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437" w:rsidRPr="003E6082" w:rsidRDefault="00D65437" w:rsidP="00597C20">
      <w:pPr>
        <w:widowControl/>
        <w:ind w:right="5387" w:firstLine="0"/>
        <w:jc w:val="center"/>
        <w:rPr>
          <w:rFonts w:ascii="Calibri" w:eastAsia="Calibri" w:hAnsi="Calibri" w:cs="AL-Mateen"/>
          <w:noProof w:val="0"/>
          <w:color w:val="auto"/>
          <w:sz w:val="40"/>
          <w:szCs w:val="40"/>
          <w:lang w:eastAsia="en-US"/>
        </w:rPr>
      </w:pPr>
      <w:bookmarkStart w:id="0" w:name="_Toc333592991"/>
      <w:r w:rsidRPr="003E6082">
        <w:rPr>
          <w:rFonts w:ascii="Calibri" w:eastAsia="Calibri" w:hAnsi="Calibri" w:cs="Old Antic Bold"/>
          <w:color w:val="auto"/>
          <w:sz w:val="40"/>
          <w:szCs w:val="40"/>
          <w:lang w:eastAsia="en-US"/>
        </w:rPr>
        <w:drawing>
          <wp:anchor distT="0" distB="0" distL="114300" distR="114300" simplePos="0" relativeHeight="251658240" behindDoc="0" locked="0" layoutInCell="1" allowOverlap="1">
            <wp:simplePos x="0" y="0"/>
            <wp:positionH relativeFrom="column">
              <wp:posOffset>128368</wp:posOffset>
            </wp:positionH>
            <wp:positionV relativeFrom="paragraph">
              <wp:posOffset>-15924</wp:posOffset>
            </wp:positionV>
            <wp:extent cx="2084070" cy="2093586"/>
            <wp:effectExtent l="0" t="0" r="0" b="254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84070" cy="2093586"/>
                    </a:xfrm>
                    <a:prstGeom prst="rect">
                      <a:avLst/>
                    </a:prstGeom>
                  </pic:spPr>
                </pic:pic>
              </a:graphicData>
            </a:graphic>
          </wp:anchor>
        </w:drawing>
      </w:r>
      <w:r w:rsidRPr="003E6082">
        <w:rPr>
          <w:rFonts w:ascii="Calibri" w:eastAsia="Calibri" w:hAnsi="Calibri" w:cs="Farsi Simple Bold" w:hint="cs"/>
          <w:noProof w:val="0"/>
          <w:color w:val="auto"/>
          <w:spacing w:val="-20"/>
          <w:sz w:val="40"/>
          <w:szCs w:val="40"/>
          <w:rtl/>
          <w:lang w:eastAsia="en-US"/>
        </w:rPr>
        <w:t xml:space="preserve">الممـلكة العربيّة </w:t>
      </w:r>
      <w:r w:rsidRPr="000A00CE">
        <w:rPr>
          <w:rFonts w:ascii="Calibri" w:eastAsia="Calibri" w:hAnsi="Calibri" w:cs="Farsi Simple Bold" w:hint="cs"/>
          <w:noProof w:val="0"/>
          <w:color w:val="auto"/>
          <w:spacing w:val="-20"/>
          <w:sz w:val="40"/>
          <w:szCs w:val="40"/>
          <w:rtl/>
          <w:lang w:val="en-AU" w:eastAsia="en-US"/>
        </w:rPr>
        <w:t>السّعودية</w:t>
      </w:r>
      <w:r w:rsidRPr="003E6082">
        <w:rPr>
          <w:rFonts w:ascii="Calibri" w:eastAsia="Calibri" w:hAnsi="Calibri" w:cs="Old Antic Bold"/>
          <w:noProof w:val="0"/>
          <w:color w:val="auto"/>
          <w:spacing w:val="-20"/>
          <w:sz w:val="40"/>
          <w:szCs w:val="40"/>
          <w:rtl/>
          <w:lang w:eastAsia="en-US"/>
        </w:rPr>
        <w:br/>
      </w:r>
      <w:r w:rsidR="00536ED9" w:rsidRPr="003E6082">
        <w:rPr>
          <w:rFonts w:cs="AL-Mateen"/>
          <w:sz w:val="40"/>
          <w:szCs w:val="40"/>
          <w:rtl/>
        </w:rPr>
        <w:t>وزارة التّعليم العالي</w:t>
      </w:r>
    </w:p>
    <w:p w:rsidR="00D65437" w:rsidRPr="003E6082" w:rsidRDefault="00D65437" w:rsidP="00597C20">
      <w:pPr>
        <w:widowControl/>
        <w:ind w:right="5387" w:firstLine="0"/>
        <w:jc w:val="center"/>
        <w:rPr>
          <w:rFonts w:ascii="Adobe Arabic" w:eastAsia="Calibri" w:hAnsi="Adobe Arabic" w:cs="Adobe Arabic"/>
          <w:noProof w:val="0"/>
          <w:color w:val="auto"/>
          <w:spacing w:val="-20"/>
          <w:sz w:val="40"/>
          <w:szCs w:val="40"/>
          <w:rtl/>
          <w:lang w:eastAsia="en-US"/>
        </w:rPr>
      </w:pPr>
      <w:r w:rsidRPr="003E6082">
        <w:rPr>
          <w:rFonts w:ascii="Adobe Arabic" w:eastAsia="Calibri" w:hAnsi="Adobe Arabic" w:cs="Adobe Arabic"/>
          <w:noProof w:val="0"/>
          <w:color w:val="auto"/>
          <w:spacing w:val="-20"/>
          <w:sz w:val="40"/>
          <w:szCs w:val="40"/>
          <w:rtl/>
          <w:lang w:eastAsia="en-US"/>
        </w:rPr>
        <w:t>الجامعة   الإسلاميّة  بالمدينة   المنـوّرة</w:t>
      </w:r>
    </w:p>
    <w:p w:rsidR="00065E4B" w:rsidRPr="003E6082" w:rsidRDefault="00D65437" w:rsidP="00597C20">
      <w:pPr>
        <w:widowControl/>
        <w:ind w:right="5387" w:firstLine="0"/>
        <w:jc w:val="center"/>
        <w:rPr>
          <w:rFonts w:ascii="Adobe Arabic" w:eastAsia="Calibri" w:hAnsi="Adobe Arabic" w:cs="Adobe Arabic"/>
          <w:noProof w:val="0"/>
          <w:color w:val="auto"/>
          <w:spacing w:val="-20"/>
          <w:sz w:val="40"/>
          <w:szCs w:val="40"/>
          <w:rtl/>
          <w:lang w:eastAsia="en-US"/>
        </w:rPr>
      </w:pPr>
      <w:r w:rsidRPr="003E6082">
        <w:rPr>
          <w:rFonts w:ascii="Adobe Arabic" w:eastAsia="Calibri" w:hAnsi="Adobe Arabic" w:cs="Adobe Arabic"/>
          <w:noProof w:val="0"/>
          <w:color w:val="auto"/>
          <w:spacing w:val="-20"/>
          <w:sz w:val="40"/>
          <w:szCs w:val="40"/>
          <w:rtl/>
          <w:lang w:eastAsia="en-US"/>
        </w:rPr>
        <w:t>(032</w:t>
      </w:r>
      <w:r w:rsidR="008C7123" w:rsidRPr="003E6082">
        <w:rPr>
          <w:rFonts w:ascii="Adobe Arabic" w:eastAsia="Calibri" w:hAnsi="Adobe Arabic" w:cs="Adobe Arabic"/>
          <w:noProof w:val="0"/>
          <w:color w:val="auto"/>
          <w:spacing w:val="-20"/>
          <w:sz w:val="40"/>
          <w:szCs w:val="40"/>
          <w:rtl/>
          <w:lang w:eastAsia="en-US"/>
        </w:rPr>
        <w:t>)</w:t>
      </w:r>
    </w:p>
    <w:p w:rsidR="008C7123" w:rsidRPr="003E6082" w:rsidRDefault="00065E4B" w:rsidP="00597C20">
      <w:pPr>
        <w:widowControl/>
        <w:ind w:right="5387" w:firstLine="0"/>
        <w:jc w:val="center"/>
        <w:rPr>
          <w:rFonts w:ascii="Calibri" w:eastAsia="Calibri" w:hAnsi="Calibri" w:cs="AL-Mateen"/>
          <w:noProof w:val="0"/>
          <w:color w:val="auto"/>
          <w:sz w:val="40"/>
          <w:szCs w:val="40"/>
          <w:rtl/>
          <w:lang w:eastAsia="en-US"/>
        </w:rPr>
      </w:pPr>
      <w:r w:rsidRPr="003E6082">
        <w:rPr>
          <w:rFonts w:ascii="Calibri" w:eastAsia="Calibri" w:hAnsi="Calibri" w:cs="AL-Mateen" w:hint="cs"/>
          <w:noProof w:val="0"/>
          <w:color w:val="auto"/>
          <w:sz w:val="40"/>
          <w:szCs w:val="40"/>
          <w:rtl/>
          <w:lang w:eastAsia="en-US"/>
        </w:rPr>
        <w:t>ك</w:t>
      </w:r>
      <w:r w:rsidR="00D65437" w:rsidRPr="003E6082">
        <w:rPr>
          <w:rFonts w:ascii="Calibri" w:eastAsia="Calibri" w:hAnsi="Calibri" w:cs="AL-Mateen" w:hint="cs"/>
          <w:noProof w:val="0"/>
          <w:color w:val="auto"/>
          <w:sz w:val="40"/>
          <w:szCs w:val="40"/>
          <w:rtl/>
          <w:lang w:eastAsia="en-US"/>
        </w:rPr>
        <w:t>لية الشر</w:t>
      </w:r>
      <w:r w:rsidR="008C7123" w:rsidRPr="003E6082">
        <w:rPr>
          <w:rFonts w:ascii="Calibri" w:eastAsia="Calibri" w:hAnsi="Calibri" w:cs="AL-Mateen" w:hint="cs"/>
          <w:noProof w:val="0"/>
          <w:color w:val="auto"/>
          <w:sz w:val="40"/>
          <w:szCs w:val="40"/>
          <w:rtl/>
          <w:lang w:eastAsia="en-US"/>
        </w:rPr>
        <w:t>يعة</w:t>
      </w:r>
    </w:p>
    <w:p w:rsidR="00D65437" w:rsidRPr="003E6082" w:rsidRDefault="00D65437" w:rsidP="00597C20">
      <w:pPr>
        <w:widowControl/>
        <w:ind w:right="5387" w:firstLine="0"/>
        <w:jc w:val="center"/>
        <w:rPr>
          <w:rFonts w:ascii="Calibri" w:eastAsia="Calibri" w:hAnsi="Calibri" w:cs="SKR HEAD1"/>
          <w:b/>
          <w:bCs/>
          <w:noProof w:val="0"/>
          <w:color w:val="auto"/>
          <w:sz w:val="40"/>
          <w:szCs w:val="40"/>
          <w:rtl/>
          <w:lang w:eastAsia="en-US"/>
        </w:rPr>
      </w:pPr>
      <w:r w:rsidRPr="003E6082">
        <w:rPr>
          <w:rFonts w:ascii="Calibri" w:eastAsia="Calibri" w:hAnsi="Calibri" w:cs="Rekaa" w:hint="cs"/>
          <w:b/>
          <w:bCs/>
          <w:noProof w:val="0"/>
          <w:sz w:val="40"/>
          <w:szCs w:val="40"/>
          <w:rtl/>
          <w:lang w:eastAsia="en-US"/>
        </w:rPr>
        <w:t>قسم أصول الفقه</w:t>
      </w:r>
    </w:p>
    <w:p w:rsidR="00D65437" w:rsidRPr="003E6082" w:rsidRDefault="00D65437" w:rsidP="00597C20">
      <w:pPr>
        <w:widowControl/>
        <w:spacing w:before="600" w:line="276" w:lineRule="auto"/>
        <w:ind w:firstLine="0"/>
        <w:jc w:val="center"/>
        <w:rPr>
          <w:rFonts w:ascii="Andalus" w:eastAsia="Calibri" w:hAnsi="Andalus" w:cs="Andalus"/>
          <w:b/>
          <w:noProof w:val="0"/>
          <w:color w:val="auto"/>
          <w:sz w:val="72"/>
          <w:szCs w:val="72"/>
          <w:rtl/>
          <w:lang w:eastAsia="en-US"/>
        </w:rPr>
      </w:pPr>
      <w:r w:rsidRPr="003E6082">
        <w:rPr>
          <w:rFonts w:ascii="Calibri" w:eastAsia="Calibri" w:hAnsi="Calibri" w:cs="AL-Bsher" w:hint="cs"/>
          <w:b/>
          <w:noProof w:val="0"/>
          <w:color w:val="auto"/>
          <w:sz w:val="72"/>
          <w:szCs w:val="72"/>
          <w:rtl/>
          <w:lang w:eastAsia="en-US"/>
        </w:rPr>
        <w:t xml:space="preserve">القواعد والضوابط الفقهية </w:t>
      </w:r>
    </w:p>
    <w:p w:rsidR="00D65437" w:rsidRPr="001F5E01" w:rsidRDefault="00D65437" w:rsidP="000F705E">
      <w:pPr>
        <w:widowControl/>
        <w:ind w:firstLine="0"/>
        <w:jc w:val="center"/>
        <w:rPr>
          <w:rFonts w:ascii="Calibri" w:eastAsia="Calibri" w:hAnsi="Calibri" w:cs="AF_Diwani"/>
          <w:noProof w:val="0"/>
          <w:color w:val="auto"/>
          <w:sz w:val="56"/>
          <w:szCs w:val="56"/>
          <w:rtl/>
          <w:lang w:eastAsia="en-US"/>
        </w:rPr>
      </w:pPr>
      <w:r w:rsidRPr="001F5E01">
        <w:rPr>
          <w:rFonts w:ascii="Calibri" w:eastAsia="Calibri" w:hAnsi="Calibri" w:cs="AF_Diwani" w:hint="cs"/>
          <w:noProof w:val="0"/>
          <w:color w:val="auto"/>
          <w:sz w:val="56"/>
          <w:szCs w:val="56"/>
          <w:rtl/>
          <w:lang w:eastAsia="en-US"/>
        </w:rPr>
        <w:t>عند الشيخ ابن عثيمين رحمه الله</w:t>
      </w:r>
      <w:r w:rsidR="00611FFB">
        <w:rPr>
          <w:rFonts w:ascii="Calibri" w:eastAsia="Calibri" w:hAnsi="Calibri" w:cs="AF_Diwani" w:hint="cs"/>
          <w:noProof w:val="0"/>
          <w:color w:val="auto"/>
          <w:sz w:val="56"/>
          <w:szCs w:val="56"/>
          <w:rtl/>
          <w:lang w:eastAsia="en-US"/>
        </w:rPr>
        <w:t xml:space="preserve"> </w:t>
      </w:r>
      <w:r w:rsidRPr="001F5E01">
        <w:rPr>
          <w:rFonts w:ascii="Calibri" w:eastAsia="Calibri" w:hAnsi="Calibri" w:cs="AF_Diwani" w:hint="cs"/>
          <w:noProof w:val="0"/>
          <w:color w:val="auto"/>
          <w:sz w:val="56"/>
          <w:szCs w:val="56"/>
          <w:rtl/>
          <w:lang w:eastAsia="en-US"/>
        </w:rPr>
        <w:t>في المعاملات من الشرح الممتع</w:t>
      </w:r>
    </w:p>
    <w:p w:rsidR="00D65437" w:rsidRPr="000F705E" w:rsidRDefault="00D65437" w:rsidP="000F705E">
      <w:pPr>
        <w:widowControl/>
        <w:spacing w:after="200"/>
        <w:ind w:firstLine="0"/>
        <w:jc w:val="center"/>
        <w:rPr>
          <w:rFonts w:ascii="Calibri" w:eastAsia="Calibri" w:hAnsi="Calibri" w:cs="AF_Diwani"/>
          <w:noProof w:val="0"/>
          <w:color w:val="auto"/>
          <w:sz w:val="52"/>
          <w:szCs w:val="52"/>
          <w:rtl/>
          <w:lang w:eastAsia="en-US"/>
        </w:rPr>
      </w:pPr>
      <w:r w:rsidRPr="000F705E">
        <w:rPr>
          <w:rFonts w:ascii="Calibri" w:eastAsia="Calibri" w:hAnsi="Calibri" w:cs="AF_Diwani" w:hint="cs"/>
          <w:noProof w:val="0"/>
          <w:color w:val="auto"/>
          <w:sz w:val="52"/>
          <w:szCs w:val="52"/>
          <w:rtl/>
          <w:lang w:eastAsia="en-US"/>
        </w:rPr>
        <w:t>جمعا ودراسة</w:t>
      </w:r>
    </w:p>
    <w:p w:rsidR="00D65437" w:rsidRDefault="00D65437" w:rsidP="000F705E">
      <w:pPr>
        <w:widowControl/>
        <w:ind w:firstLine="0"/>
        <w:jc w:val="center"/>
        <w:rPr>
          <w:rFonts w:ascii="Calibri" w:eastAsia="Calibri" w:hAnsi="Calibri" w:cs="Rekaa"/>
          <w:noProof w:val="0"/>
          <w:sz w:val="48"/>
          <w:szCs w:val="48"/>
          <w:rtl/>
          <w:lang w:eastAsia="en-US"/>
        </w:rPr>
      </w:pPr>
      <w:r w:rsidRPr="001F5E01">
        <w:rPr>
          <w:rFonts w:ascii="Calibri" w:eastAsia="Calibri" w:hAnsi="Calibri" w:cs="Rekaa" w:hint="cs"/>
          <w:noProof w:val="0"/>
          <w:sz w:val="48"/>
          <w:szCs w:val="48"/>
          <w:rtl/>
          <w:lang w:eastAsia="en-US"/>
        </w:rPr>
        <w:t xml:space="preserve">رسالة </w:t>
      </w:r>
      <w:r w:rsidR="00611FFB">
        <w:rPr>
          <w:rFonts w:ascii="Calibri" w:eastAsia="Calibri" w:hAnsi="Calibri" w:cs="Rekaa" w:hint="cs"/>
          <w:noProof w:val="0"/>
          <w:sz w:val="48"/>
          <w:szCs w:val="48"/>
          <w:rtl/>
          <w:lang w:eastAsia="en-US"/>
        </w:rPr>
        <w:t xml:space="preserve">علمية </w:t>
      </w:r>
      <w:r w:rsidRPr="001F5E01">
        <w:rPr>
          <w:rFonts w:ascii="Calibri" w:eastAsia="Calibri" w:hAnsi="Calibri" w:cs="Rekaa" w:hint="cs"/>
          <w:noProof w:val="0"/>
          <w:sz w:val="48"/>
          <w:szCs w:val="48"/>
          <w:rtl/>
          <w:lang w:eastAsia="en-US"/>
        </w:rPr>
        <w:t>مقدم</w:t>
      </w:r>
      <w:r w:rsidR="000F705E">
        <w:rPr>
          <w:rFonts w:ascii="Calibri" w:eastAsia="Calibri" w:hAnsi="Calibri" w:cs="Rekaa" w:hint="cs"/>
          <w:noProof w:val="0"/>
          <w:sz w:val="48"/>
          <w:szCs w:val="48"/>
          <w:rtl/>
          <w:lang w:eastAsia="en-US"/>
        </w:rPr>
        <w:t>ة</w:t>
      </w:r>
      <w:r w:rsidRPr="001F5E01">
        <w:rPr>
          <w:rFonts w:ascii="Calibri" w:eastAsia="Calibri" w:hAnsi="Calibri" w:cs="Rekaa" w:hint="cs"/>
          <w:noProof w:val="0"/>
          <w:sz w:val="48"/>
          <w:szCs w:val="48"/>
          <w:rtl/>
          <w:lang w:eastAsia="en-US"/>
        </w:rPr>
        <w:t xml:space="preserve"> لنيل درجة العالمية (الماجستير)</w:t>
      </w:r>
    </w:p>
    <w:p w:rsidR="000F705E" w:rsidRPr="000F705E" w:rsidRDefault="000F705E" w:rsidP="000F705E">
      <w:pPr>
        <w:widowControl/>
        <w:ind w:firstLine="0"/>
        <w:jc w:val="center"/>
        <w:rPr>
          <w:rFonts w:ascii="Calibri" w:eastAsia="Calibri" w:hAnsi="Calibri" w:cs="Rekaa"/>
          <w:noProof w:val="0"/>
          <w:rtl/>
          <w:lang w:eastAsia="en-US"/>
        </w:rPr>
      </w:pPr>
    </w:p>
    <w:p w:rsidR="000F705E" w:rsidRDefault="00D65437" w:rsidP="000F705E">
      <w:pPr>
        <w:widowControl/>
        <w:tabs>
          <w:tab w:val="right" w:pos="8645"/>
        </w:tabs>
        <w:ind w:firstLine="0"/>
        <w:jc w:val="center"/>
        <w:rPr>
          <w:rFonts w:ascii="Calibri" w:eastAsia="Calibri" w:hAnsi="Calibri" w:cs="AF_Diwani"/>
          <w:b/>
          <w:bCs/>
          <w:noProof w:val="0"/>
          <w:color w:val="auto"/>
          <w:sz w:val="52"/>
          <w:szCs w:val="52"/>
          <w:rtl/>
          <w:lang w:eastAsia="en-US"/>
        </w:rPr>
      </w:pPr>
      <w:r w:rsidRPr="00D65437">
        <w:rPr>
          <w:rFonts w:ascii="Calibri" w:eastAsia="Calibri" w:hAnsi="Calibri" w:cs="AF_Diwani" w:hint="cs"/>
          <w:b/>
          <w:bCs/>
          <w:noProof w:val="0"/>
          <w:color w:val="auto"/>
          <w:sz w:val="52"/>
          <w:szCs w:val="52"/>
          <w:rtl/>
          <w:lang w:eastAsia="en-US"/>
        </w:rPr>
        <w:t>إعداد الطالب</w:t>
      </w:r>
    </w:p>
    <w:p w:rsidR="000F705E" w:rsidRDefault="000F705E" w:rsidP="000F705E">
      <w:pPr>
        <w:widowControl/>
        <w:tabs>
          <w:tab w:val="right" w:pos="8787"/>
        </w:tabs>
        <w:ind w:left="140" w:firstLine="0"/>
        <w:jc w:val="center"/>
        <w:rPr>
          <w:rFonts w:ascii="Calibri" w:eastAsia="Calibri" w:hAnsi="Calibri" w:cs="DecoType Thuluth"/>
          <w:noProof w:val="0"/>
          <w:color w:val="auto"/>
          <w:rtl/>
          <w:lang w:eastAsia="en-US"/>
        </w:rPr>
      </w:pPr>
      <w:r w:rsidRPr="00D65437">
        <w:rPr>
          <w:rFonts w:ascii="Calibri" w:eastAsia="Calibri" w:hAnsi="Calibri" w:cs="DecoType Thuluth" w:hint="cs"/>
          <w:noProof w:val="0"/>
          <w:color w:val="auto"/>
          <w:rtl/>
          <w:lang w:eastAsia="en-US"/>
        </w:rPr>
        <w:t>مرادي سمير</w:t>
      </w:r>
    </w:p>
    <w:p w:rsidR="00D65437" w:rsidRPr="00D65437" w:rsidRDefault="001F5E01" w:rsidP="000F705E">
      <w:pPr>
        <w:widowControl/>
        <w:tabs>
          <w:tab w:val="right" w:pos="8645"/>
        </w:tabs>
        <w:ind w:firstLine="0"/>
        <w:jc w:val="center"/>
        <w:rPr>
          <w:rFonts w:ascii="Calibri" w:eastAsia="Calibri" w:hAnsi="Calibri" w:cs="AF_Diwani"/>
          <w:b/>
          <w:bCs/>
          <w:noProof w:val="0"/>
          <w:color w:val="auto"/>
          <w:sz w:val="52"/>
          <w:szCs w:val="52"/>
          <w:rtl/>
          <w:lang w:eastAsia="en-US"/>
        </w:rPr>
      </w:pPr>
      <w:r w:rsidRPr="00D65437">
        <w:rPr>
          <w:rFonts w:ascii="Calibri" w:eastAsia="Calibri" w:hAnsi="Calibri" w:cs="AF_Diwani" w:hint="cs"/>
          <w:b/>
          <w:bCs/>
          <w:noProof w:val="0"/>
          <w:color w:val="auto"/>
          <w:sz w:val="52"/>
          <w:szCs w:val="52"/>
          <w:rtl/>
          <w:lang w:eastAsia="en-US"/>
        </w:rPr>
        <w:t>إشراف فضيلة الشيخ</w:t>
      </w:r>
    </w:p>
    <w:p w:rsidR="00D65437" w:rsidRDefault="001F5E01" w:rsidP="000F705E">
      <w:pPr>
        <w:widowControl/>
        <w:tabs>
          <w:tab w:val="right" w:pos="8787"/>
        </w:tabs>
        <w:ind w:left="140" w:firstLine="0"/>
        <w:jc w:val="center"/>
        <w:rPr>
          <w:rFonts w:ascii="Calibri" w:eastAsia="Calibri" w:hAnsi="Calibri" w:cs="DecoType Thuluth"/>
          <w:noProof w:val="0"/>
          <w:color w:val="auto"/>
          <w:rtl/>
          <w:lang w:eastAsia="en-US"/>
        </w:rPr>
      </w:pPr>
      <w:r w:rsidRPr="00D65437">
        <w:rPr>
          <w:rFonts w:ascii="Calibri" w:eastAsia="Calibri" w:hAnsi="Calibri" w:cs="DecoType Thuluth" w:hint="cs"/>
          <w:noProof w:val="0"/>
          <w:color w:val="auto"/>
          <w:rtl/>
          <w:lang w:eastAsia="en-US"/>
        </w:rPr>
        <w:t>أ.د. حـمد حمدي الصاعدي</w:t>
      </w:r>
    </w:p>
    <w:p w:rsidR="000F705E" w:rsidRDefault="00D65437" w:rsidP="000F705E">
      <w:pPr>
        <w:widowControl/>
        <w:ind w:firstLine="0"/>
        <w:jc w:val="center"/>
        <w:rPr>
          <w:rFonts w:ascii="Calibri" w:eastAsia="Calibri" w:hAnsi="Calibri" w:cs="AL-Mateen"/>
          <w:noProof w:val="0"/>
          <w:color w:val="auto"/>
          <w:rtl/>
          <w:lang w:eastAsia="en-US"/>
        </w:rPr>
      </w:pPr>
      <w:r w:rsidRPr="001F5E01">
        <w:rPr>
          <w:rFonts w:ascii="Calibri" w:eastAsia="Calibri" w:hAnsi="Calibri" w:cs="AL-Mateen" w:hint="cs"/>
          <w:noProof w:val="0"/>
          <w:color w:val="auto"/>
          <w:rtl/>
          <w:lang w:eastAsia="en-US"/>
        </w:rPr>
        <w:t>العام الجامعي143</w:t>
      </w:r>
      <w:r w:rsidR="000F705E">
        <w:rPr>
          <w:rFonts w:ascii="Calibri" w:eastAsia="Calibri" w:hAnsi="Calibri" w:cs="AL-Mateen" w:hint="cs"/>
          <w:noProof w:val="0"/>
          <w:color w:val="auto"/>
          <w:rtl/>
          <w:lang w:eastAsia="en-US"/>
        </w:rPr>
        <w:t>3</w:t>
      </w:r>
      <w:r w:rsidRPr="001F5E01">
        <w:rPr>
          <w:rFonts w:ascii="Calibri" w:eastAsia="Calibri" w:hAnsi="Calibri" w:cs="AL-Mateen" w:hint="cs"/>
          <w:noProof w:val="0"/>
          <w:color w:val="auto"/>
          <w:rtl/>
          <w:lang w:eastAsia="en-US"/>
        </w:rPr>
        <w:t>/</w:t>
      </w:r>
      <w:r w:rsidR="000F705E">
        <w:rPr>
          <w:rFonts w:ascii="Calibri" w:eastAsia="Calibri" w:hAnsi="Calibri" w:cs="AL-Mateen" w:hint="cs"/>
          <w:noProof w:val="0"/>
          <w:color w:val="auto"/>
          <w:rtl/>
          <w:lang w:eastAsia="en-US"/>
        </w:rPr>
        <w:t>1434</w:t>
      </w:r>
      <w:r w:rsidRPr="001F5E01">
        <w:rPr>
          <w:rFonts w:ascii="Calibri" w:eastAsia="Calibri" w:hAnsi="Calibri" w:cs="AL-Mateen" w:hint="cs"/>
          <w:noProof w:val="0"/>
          <w:color w:val="auto"/>
          <w:rtl/>
          <w:lang w:eastAsia="en-US"/>
        </w:rPr>
        <w:t>ه</w:t>
      </w:r>
      <w:r w:rsidR="001F5E01">
        <w:rPr>
          <w:rFonts w:ascii="Calibri" w:eastAsia="Calibri" w:hAnsi="Calibri" w:cs="AL-Mateen" w:hint="cs"/>
          <w:noProof w:val="0"/>
          <w:color w:val="auto"/>
          <w:rtl/>
          <w:lang w:eastAsia="en-US"/>
        </w:rPr>
        <w:t>ـ</w:t>
      </w:r>
      <w:r w:rsidRPr="001F5E01">
        <w:rPr>
          <w:rFonts w:ascii="Calibri" w:eastAsia="Calibri" w:hAnsi="Calibri" w:cs="AL-Mateen" w:hint="cs"/>
          <w:noProof w:val="0"/>
          <w:color w:val="auto"/>
          <w:rtl/>
          <w:lang w:eastAsia="en-US"/>
        </w:rPr>
        <w:t>.</w:t>
      </w:r>
    </w:p>
    <w:p w:rsidR="000F705E" w:rsidRPr="000F705E" w:rsidRDefault="000F705E" w:rsidP="000F705E">
      <w:pPr>
        <w:widowControl/>
        <w:ind w:firstLine="0"/>
        <w:jc w:val="center"/>
        <w:rPr>
          <w:rFonts w:ascii="Calibri" w:eastAsia="Calibri" w:hAnsi="Calibri" w:cs="AL-Mateen"/>
          <w:noProof w:val="0"/>
          <w:color w:val="auto"/>
          <w:rtl/>
          <w:lang w:eastAsia="en-US"/>
        </w:rPr>
      </w:pPr>
    </w:p>
    <w:p w:rsidR="000E3D46" w:rsidRDefault="000F705E" w:rsidP="000F705E">
      <w:pPr>
        <w:widowControl/>
        <w:ind w:firstLine="0"/>
        <w:jc w:val="center"/>
        <w:rPr>
          <w:rtl/>
        </w:rPr>
      </w:pPr>
      <w:r w:rsidRPr="000F705E">
        <w:rPr>
          <w:rFonts w:ascii="Calibri" w:eastAsia="Calibri" w:hAnsi="Calibri" w:cs="AL-Mateen" w:hint="cs"/>
          <w:noProof w:val="0"/>
          <w:color w:val="auto"/>
          <w:sz w:val="40"/>
          <w:szCs w:val="40"/>
          <w:rtl/>
          <w:lang w:eastAsia="en-US"/>
        </w:rPr>
        <w:t>المجلد ا</w:t>
      </w:r>
      <w:r w:rsidR="00017A43">
        <w:rPr>
          <w:rFonts w:ascii="Calibri" w:eastAsia="Calibri" w:hAnsi="Calibri" w:cs="AL-Mateen" w:hint="cs"/>
          <w:noProof w:val="0"/>
          <w:color w:val="auto"/>
          <w:sz w:val="40"/>
          <w:szCs w:val="40"/>
          <w:rtl/>
          <w:lang w:eastAsia="en-US"/>
        </w:rPr>
        <w:t>لأول</w:t>
      </w:r>
      <w:r w:rsidR="001673B4">
        <w:rPr>
          <w:rtl/>
        </w:rPr>
        <w:br w:type="page"/>
      </w:r>
    </w:p>
    <w:p w:rsidR="000E3D46" w:rsidRDefault="000E3D46" w:rsidP="00597C20">
      <w:pPr>
        <w:widowControl/>
        <w:ind w:firstLine="0"/>
        <w:jc w:val="left"/>
        <w:rPr>
          <w:rtl/>
        </w:rPr>
      </w:pPr>
    </w:p>
    <w:p w:rsidR="000E3D46" w:rsidRPr="000E3D46" w:rsidRDefault="000E3D46" w:rsidP="00597C20">
      <w:pPr>
        <w:widowControl/>
        <w:spacing w:before="960"/>
        <w:ind w:firstLine="0"/>
        <w:jc w:val="left"/>
        <w:rPr>
          <w:sz w:val="600"/>
          <w:szCs w:val="600"/>
          <w:rtl/>
        </w:rPr>
      </w:pPr>
      <w:r w:rsidRPr="000E3D46">
        <w:rPr>
          <w:rFonts w:cs="CTraditional Arabic" w:hint="cs"/>
          <w:sz w:val="600"/>
          <w:szCs w:val="600"/>
          <w:rtl/>
        </w:rPr>
        <w:t>ﻻ</w:t>
      </w:r>
    </w:p>
    <w:p w:rsidR="00AE1AEC" w:rsidRDefault="00AE1AEC" w:rsidP="00597C20">
      <w:pPr>
        <w:widowControl/>
        <w:ind w:firstLine="0"/>
        <w:jc w:val="left"/>
        <w:rPr>
          <w:rtl/>
        </w:rPr>
        <w:sectPr w:rsidR="00AE1AEC" w:rsidSect="001F5E01">
          <w:headerReference w:type="first" r:id="rId9"/>
          <w:footnotePr>
            <w:numRestart w:val="eachPage"/>
          </w:footnotePr>
          <w:pgSz w:w="11906" w:h="16838" w:code="9"/>
          <w:pgMar w:top="1134" w:right="1134" w:bottom="1134" w:left="1418" w:header="567" w:footer="737" w:gutter="567"/>
          <w:cols w:space="708"/>
          <w:titlePg/>
          <w:bidi/>
          <w:rtlGutter/>
          <w:docGrid w:linePitch="490"/>
        </w:sectPr>
      </w:pPr>
    </w:p>
    <w:p w:rsidR="001673B4" w:rsidRDefault="001673B4" w:rsidP="00597C20">
      <w:pPr>
        <w:widowControl/>
        <w:spacing w:after="200" w:line="276" w:lineRule="auto"/>
        <w:ind w:firstLine="0"/>
        <w:jc w:val="center"/>
        <w:rPr>
          <w:rtl/>
        </w:rPr>
      </w:pPr>
    </w:p>
    <w:p w:rsidR="00F228A9" w:rsidRPr="005F53FF" w:rsidRDefault="001673B4" w:rsidP="00597C20">
      <w:pPr>
        <w:pStyle w:val="aff1"/>
      </w:pPr>
      <w:bookmarkStart w:id="1" w:name="_Toc334046265"/>
      <w:r w:rsidRPr="005F53FF">
        <w:rPr>
          <w:rFonts w:hint="cs"/>
          <w:rtl/>
        </w:rPr>
        <w:t>شكر وتقدير</w:t>
      </w:r>
      <w:bookmarkEnd w:id="1"/>
    </w:p>
    <w:p w:rsidR="00AE1AEC" w:rsidRPr="00AE1AEC" w:rsidRDefault="00AE1AEC" w:rsidP="00597C20">
      <w:pPr>
        <w:spacing w:line="640" w:lineRule="exact"/>
        <w:jc w:val="lowKashida"/>
        <w:rPr>
          <w:rFonts w:ascii="Traditional Arabic" w:hAnsi="Traditional Arabic"/>
          <w:rtl/>
        </w:rPr>
      </w:pPr>
      <w:r w:rsidRPr="00AE1AEC">
        <w:rPr>
          <w:rFonts w:ascii="Traditional Arabic" w:hAnsi="Traditional Arabic" w:hint="cs"/>
          <w:rtl/>
        </w:rPr>
        <w:t>الحمد لله على إحسانه والشكر له على توفيقه وامتنانه، وأشهد أن لا إله إلا الله وحده لا شريك له تعظيما لشأنه، وأشهد أن محمد</w:t>
      </w:r>
      <w:r w:rsidR="001E5439">
        <w:rPr>
          <w:rFonts w:ascii="Traditional Arabic" w:hAnsi="Traditional Arabic" w:hint="cs"/>
          <w:rtl/>
        </w:rPr>
        <w:t>ا</w:t>
      </w:r>
      <w:r w:rsidRPr="00AE1AEC">
        <w:rPr>
          <w:rFonts w:ascii="Traditional Arabic" w:hAnsi="Traditional Arabic" w:hint="cs"/>
          <w:rtl/>
        </w:rPr>
        <w:t xml:space="preserve"> عبده ورسوله الداعي إلى رضوانه، صلى الله عليه وعلى آله وصحبه وسلم تسليما كثيرا.</w:t>
      </w:r>
    </w:p>
    <w:p w:rsidR="00AE1AEC" w:rsidRDefault="00AE1AEC" w:rsidP="00597C20">
      <w:pPr>
        <w:spacing w:line="640" w:lineRule="exact"/>
        <w:jc w:val="lowKashida"/>
        <w:rPr>
          <w:rFonts w:ascii="Traditional Arabic" w:hAnsi="Traditional Arabic"/>
          <w:rtl/>
        </w:rPr>
      </w:pPr>
      <w:r w:rsidRPr="00AE1AEC">
        <w:rPr>
          <w:rFonts w:ascii="Traditional Arabic" w:hAnsi="Traditional Arabic" w:hint="cs"/>
          <w:rtl/>
        </w:rPr>
        <w:t xml:space="preserve">أما بعد؛ فإني أشكر الله عز وجل على ما منَّ به من الفراغ </w:t>
      </w:r>
      <w:r w:rsidR="00B81836">
        <w:rPr>
          <w:rFonts w:ascii="Traditional Arabic" w:hAnsi="Traditional Arabic" w:hint="cs"/>
          <w:rtl/>
        </w:rPr>
        <w:t xml:space="preserve">من </w:t>
      </w:r>
      <w:r w:rsidRPr="00AE1AEC">
        <w:rPr>
          <w:rFonts w:ascii="Traditional Arabic" w:hAnsi="Traditional Arabic" w:hint="cs"/>
          <w:rtl/>
        </w:rPr>
        <w:t>هذا البحث وإعداده</w:t>
      </w:r>
      <w:r w:rsidR="00B81836">
        <w:rPr>
          <w:rFonts w:ascii="Traditional Arabic" w:hAnsi="Traditional Arabic" w:hint="cs"/>
          <w:rtl/>
        </w:rPr>
        <w:t>،</w:t>
      </w:r>
      <w:r w:rsidRPr="00AE1AEC">
        <w:rPr>
          <w:rFonts w:ascii="Traditional Arabic" w:hAnsi="Traditional Arabic" w:hint="cs"/>
          <w:rtl/>
        </w:rPr>
        <w:t xml:space="preserve"> حمدا</w:t>
      </w:r>
      <w:r w:rsidR="00140980">
        <w:rPr>
          <w:rFonts w:ascii="Traditional Arabic" w:hAnsi="Traditional Arabic" w:hint="cs"/>
          <w:rtl/>
        </w:rPr>
        <w:t>ً</w:t>
      </w:r>
      <w:r w:rsidRPr="00AE1AEC">
        <w:rPr>
          <w:rFonts w:ascii="Traditional Arabic" w:hAnsi="Traditional Arabic" w:hint="cs"/>
          <w:rtl/>
        </w:rPr>
        <w:t xml:space="preserve"> لا ينفد، وشكرا لا ينقطع، فلولا إعانته </w:t>
      </w:r>
      <w:r w:rsidR="00EB1405">
        <w:rPr>
          <w:rFonts w:ascii="Traditional Arabic" w:hAnsi="Traditional Arabic" w:hint="cs"/>
          <w:rtl/>
        </w:rPr>
        <w:t>_</w:t>
      </w:r>
      <w:r w:rsidRPr="00AE1AEC">
        <w:rPr>
          <w:rFonts w:ascii="Traditional Arabic" w:hAnsi="Traditional Arabic" w:hint="cs"/>
          <w:rtl/>
        </w:rPr>
        <w:t>جل وعلا</w:t>
      </w:r>
      <w:r w:rsidR="00EB1405">
        <w:rPr>
          <w:rFonts w:ascii="Traditional Arabic" w:hAnsi="Traditional Arabic" w:hint="cs"/>
          <w:rtl/>
        </w:rPr>
        <w:t>_</w:t>
      </w:r>
      <w:r w:rsidRPr="00AE1AEC">
        <w:rPr>
          <w:rFonts w:ascii="Traditional Arabic" w:hAnsi="Traditional Arabic" w:hint="cs"/>
          <w:rtl/>
        </w:rPr>
        <w:t xml:space="preserve"> وتوفيقه وتسديده لما تمكنت من إتمامه، فالحمد لله أولا وآخرا، وظاهرا وباطنا، وسر</w:t>
      </w:r>
      <w:r w:rsidR="00140980">
        <w:rPr>
          <w:rFonts w:ascii="Traditional Arabic" w:hAnsi="Traditional Arabic" w:hint="cs"/>
          <w:rtl/>
        </w:rPr>
        <w:t>ّ</w:t>
      </w:r>
      <w:r w:rsidRPr="00AE1AEC">
        <w:rPr>
          <w:rFonts w:ascii="Traditional Arabic" w:hAnsi="Traditional Arabic" w:hint="cs"/>
          <w:rtl/>
        </w:rPr>
        <w:t>ا</w:t>
      </w:r>
      <w:r w:rsidR="00140980">
        <w:rPr>
          <w:rFonts w:ascii="Traditional Arabic" w:hAnsi="Traditional Arabic" w:hint="cs"/>
          <w:rtl/>
        </w:rPr>
        <w:t>ً</w:t>
      </w:r>
      <w:r w:rsidRPr="00AE1AEC">
        <w:rPr>
          <w:rFonts w:ascii="Traditional Arabic" w:hAnsi="Traditional Arabic" w:hint="cs"/>
          <w:rtl/>
        </w:rPr>
        <w:t xml:space="preserve"> وعلنا.</w:t>
      </w:r>
    </w:p>
    <w:p w:rsidR="008F288E" w:rsidRPr="00AE1AEC" w:rsidRDefault="008F288E" w:rsidP="008F288E">
      <w:pPr>
        <w:spacing w:line="640" w:lineRule="exact"/>
        <w:jc w:val="lowKashida"/>
        <w:rPr>
          <w:rFonts w:ascii="Traditional Arabic" w:hAnsi="Traditional Arabic"/>
          <w:rtl/>
        </w:rPr>
      </w:pPr>
      <w:r>
        <w:rPr>
          <w:rFonts w:ascii="Traditional Arabic" w:hAnsi="Traditional Arabic" w:hint="cs"/>
          <w:rtl/>
        </w:rPr>
        <w:t>ثم إ</w:t>
      </w:r>
      <w:r w:rsidRPr="008D56DE">
        <w:rPr>
          <w:rFonts w:ascii="Traditional Arabic" w:hAnsi="Traditional Arabic"/>
          <w:rtl/>
        </w:rPr>
        <w:t>ن أحقَّ الناس بالشكر بعد شكر الله تعالى</w:t>
      </w:r>
      <w:r>
        <w:rPr>
          <w:rFonts w:ascii="Traditional Arabic" w:hAnsi="Traditional Arabic"/>
          <w:rtl/>
        </w:rPr>
        <w:t>،</w:t>
      </w:r>
      <w:r w:rsidRPr="008D56DE">
        <w:rPr>
          <w:rFonts w:ascii="Traditional Arabic" w:hAnsi="Traditional Arabic"/>
          <w:rtl/>
        </w:rPr>
        <w:t xml:space="preserve"> والد</w:t>
      </w:r>
      <w:r>
        <w:rPr>
          <w:rFonts w:ascii="Traditional Arabic" w:hAnsi="Traditional Arabic" w:hint="cs"/>
          <w:rtl/>
        </w:rPr>
        <w:t>ا</w:t>
      </w:r>
      <w:r>
        <w:rPr>
          <w:rFonts w:ascii="Traditional Arabic" w:hAnsi="Traditional Arabic"/>
          <w:rtl/>
        </w:rPr>
        <w:t>ي</w:t>
      </w:r>
      <w:r w:rsidRPr="008D56DE">
        <w:rPr>
          <w:rFonts w:ascii="Traditional Arabic" w:hAnsi="Traditional Arabic"/>
          <w:rtl/>
        </w:rPr>
        <w:t xml:space="preserve"> الكريمان</w:t>
      </w:r>
      <w:r>
        <w:rPr>
          <w:rFonts w:ascii="Traditional Arabic" w:hAnsi="Traditional Arabic"/>
          <w:rtl/>
        </w:rPr>
        <w:t>،</w:t>
      </w:r>
      <w:r w:rsidRPr="008D56DE">
        <w:rPr>
          <w:rFonts w:ascii="Traditional Arabic" w:hAnsi="Traditional Arabic"/>
          <w:rtl/>
        </w:rPr>
        <w:t xml:space="preserve"> رمز </w:t>
      </w:r>
      <w:r>
        <w:rPr>
          <w:rFonts w:ascii="Traditional Arabic" w:hAnsi="Traditional Arabic"/>
          <w:rtl/>
        </w:rPr>
        <w:t>العطف وعنوان الشفقة و</w:t>
      </w:r>
      <w:r>
        <w:rPr>
          <w:rFonts w:ascii="Traditional Arabic" w:hAnsi="Traditional Arabic" w:hint="cs"/>
          <w:rtl/>
        </w:rPr>
        <w:t>الحنان</w:t>
      </w:r>
      <w:r>
        <w:rPr>
          <w:rFonts w:ascii="Traditional Arabic" w:hAnsi="Traditional Arabic"/>
          <w:rtl/>
        </w:rPr>
        <w:t>،</w:t>
      </w:r>
      <w:r w:rsidRPr="008D56DE">
        <w:rPr>
          <w:rFonts w:ascii="Traditional Arabic" w:hAnsi="Traditional Arabic"/>
          <w:rtl/>
        </w:rPr>
        <w:t xml:space="preserve"> فلقد كان لدعائهما الصادق</w:t>
      </w:r>
      <w:r>
        <w:rPr>
          <w:rFonts w:ascii="Traditional Arabic" w:hAnsi="Traditional Arabic"/>
          <w:rtl/>
        </w:rPr>
        <w:t>،</w:t>
      </w:r>
      <w:r w:rsidRPr="008D56DE">
        <w:rPr>
          <w:rFonts w:ascii="Traditional Arabic" w:hAnsi="Traditional Arabic"/>
          <w:rtl/>
        </w:rPr>
        <w:t xml:space="preserve"> وحرصهما المستمر</w:t>
      </w:r>
      <w:r>
        <w:rPr>
          <w:rFonts w:ascii="Traditional Arabic" w:hAnsi="Traditional Arabic"/>
          <w:rtl/>
        </w:rPr>
        <w:t>،</w:t>
      </w:r>
      <w:r w:rsidRPr="008D56DE">
        <w:rPr>
          <w:rFonts w:ascii="Traditional Arabic" w:hAnsi="Traditional Arabic"/>
          <w:rtl/>
        </w:rPr>
        <w:t xml:space="preserve"> وتوجيهاتهما الملازمة</w:t>
      </w:r>
      <w:r>
        <w:rPr>
          <w:rFonts w:ascii="Traditional Arabic" w:hAnsi="Traditional Arabic"/>
          <w:rtl/>
        </w:rPr>
        <w:t>،</w:t>
      </w:r>
      <w:r w:rsidRPr="008D56DE">
        <w:rPr>
          <w:rFonts w:ascii="Traditional Arabic" w:hAnsi="Traditional Arabic"/>
          <w:rtl/>
        </w:rPr>
        <w:t xml:space="preserve"> سبب عظيم من أسباب التوفيق والتسديد</w:t>
      </w:r>
      <w:r>
        <w:rPr>
          <w:rFonts w:ascii="Traditional Arabic" w:hAnsi="Traditional Arabic"/>
          <w:rtl/>
        </w:rPr>
        <w:t>،</w:t>
      </w:r>
      <w:r w:rsidRPr="008D56DE">
        <w:rPr>
          <w:rFonts w:ascii="Traditional Arabic" w:hAnsi="Traditional Arabic"/>
          <w:rtl/>
        </w:rPr>
        <w:t xml:space="preserve"> واعترافاً مني بالتقصير نحوهما</w:t>
      </w:r>
      <w:r>
        <w:rPr>
          <w:rFonts w:ascii="Traditional Arabic" w:hAnsi="Traditional Arabic"/>
          <w:rtl/>
        </w:rPr>
        <w:t>،</w:t>
      </w:r>
      <w:r w:rsidRPr="008D56DE">
        <w:rPr>
          <w:rFonts w:ascii="Traditional Arabic" w:hAnsi="Traditional Arabic"/>
          <w:rtl/>
        </w:rPr>
        <w:t xml:space="preserve"> فإني أسأل الله جل وعلا بأسمائه الحسنى وصفاته العلى</w:t>
      </w:r>
      <w:r>
        <w:rPr>
          <w:rFonts w:ascii="Traditional Arabic" w:hAnsi="Traditional Arabic" w:hint="cs"/>
          <w:rtl/>
        </w:rPr>
        <w:t xml:space="preserve"> </w:t>
      </w:r>
      <w:r w:rsidRPr="008D56DE">
        <w:rPr>
          <w:rFonts w:ascii="Traditional Arabic" w:hAnsi="Traditional Arabic"/>
          <w:rtl/>
        </w:rPr>
        <w:t>أن يجزيهما خير الجــزاء</w:t>
      </w:r>
      <w:r>
        <w:rPr>
          <w:rFonts w:ascii="Traditional Arabic" w:hAnsi="Traditional Arabic"/>
          <w:rtl/>
        </w:rPr>
        <w:t>،</w:t>
      </w:r>
      <w:r w:rsidRPr="008D56DE">
        <w:rPr>
          <w:rFonts w:ascii="Traditional Arabic" w:hAnsi="Traditional Arabic"/>
          <w:rtl/>
        </w:rPr>
        <w:t xml:space="preserve"> وأن يكافئهما خير ما كافأ والداً عن أولاده</w:t>
      </w:r>
      <w:r>
        <w:rPr>
          <w:rFonts w:ascii="Traditional Arabic" w:hAnsi="Traditional Arabic"/>
          <w:rtl/>
        </w:rPr>
        <w:t>،</w:t>
      </w:r>
      <w:r w:rsidRPr="008D56DE">
        <w:rPr>
          <w:rFonts w:ascii="Traditional Arabic" w:hAnsi="Traditional Arabic"/>
          <w:rtl/>
        </w:rPr>
        <w:t xml:space="preserve"> وأن يرحم والدي ويسكنه فسيح الجنان، وأن يبارك في عمر والدتي ويرزقني بِرَّها ما حييت، إنه وليُّ ذلك والقادر عليه</w:t>
      </w:r>
      <w:r>
        <w:rPr>
          <w:rFonts w:ascii="Traditional Arabic" w:hAnsi="Traditional Arabic"/>
          <w:rtl/>
        </w:rPr>
        <w:t>.</w:t>
      </w:r>
    </w:p>
    <w:p w:rsidR="00065E4B" w:rsidRDefault="00065E4B" w:rsidP="00597C20">
      <w:pPr>
        <w:spacing w:line="640" w:lineRule="exact"/>
        <w:jc w:val="lowKashida"/>
        <w:rPr>
          <w:rFonts w:ascii="Traditional Arabic" w:hAnsi="Traditional Arabic"/>
          <w:rtl/>
        </w:rPr>
      </w:pPr>
      <w:r w:rsidRPr="008D56DE">
        <w:rPr>
          <w:rFonts w:ascii="Traditional Arabic" w:hAnsi="Traditional Arabic"/>
          <w:rtl/>
        </w:rPr>
        <w:t>ك</w:t>
      </w:r>
      <w:r w:rsidR="001E5439">
        <w:rPr>
          <w:rFonts w:ascii="Traditional Arabic" w:hAnsi="Traditional Arabic"/>
          <w:rtl/>
        </w:rPr>
        <w:t>ما أشكر فضيلة شيخن</w:t>
      </w:r>
      <w:r w:rsidR="001E5439">
        <w:rPr>
          <w:rFonts w:ascii="Traditional Arabic" w:hAnsi="Traditional Arabic" w:hint="cs"/>
          <w:rtl/>
        </w:rPr>
        <w:t>ي</w:t>
      </w:r>
      <w:r w:rsidR="001673B4" w:rsidRPr="008D56DE">
        <w:rPr>
          <w:rFonts w:ascii="Traditional Arabic" w:hAnsi="Traditional Arabic"/>
          <w:rtl/>
        </w:rPr>
        <w:t xml:space="preserve"> الوالد المشرف على ه</w:t>
      </w:r>
      <w:r w:rsidR="008F288E">
        <w:rPr>
          <w:rFonts w:ascii="Traditional Arabic" w:hAnsi="Traditional Arabic"/>
          <w:rtl/>
        </w:rPr>
        <w:t>ذه الرسالة، الشيخ الفاضل</w:t>
      </w:r>
      <w:r w:rsidR="001673B4" w:rsidRPr="008D56DE">
        <w:rPr>
          <w:rFonts w:ascii="Traditional Arabic" w:hAnsi="Traditional Arabic"/>
          <w:rtl/>
        </w:rPr>
        <w:t xml:space="preserve"> </w:t>
      </w:r>
      <w:r w:rsidR="00140980">
        <w:rPr>
          <w:rFonts w:ascii="Traditional Arabic" w:hAnsi="Traditional Arabic" w:hint="cs"/>
          <w:rtl/>
        </w:rPr>
        <w:t xml:space="preserve">الأستاذ </w:t>
      </w:r>
      <w:r w:rsidR="001673B4" w:rsidRPr="008D56DE">
        <w:rPr>
          <w:rFonts w:ascii="Traditional Arabic" w:hAnsi="Traditional Arabic"/>
          <w:rtl/>
        </w:rPr>
        <w:t>الدكتور حمد بن حمدي الصاعدي</w:t>
      </w:r>
      <w:r w:rsidR="00170418">
        <w:rPr>
          <w:rFonts w:ascii="Traditional Arabic" w:hAnsi="Traditional Arabic" w:hint="cs"/>
          <w:rtl/>
        </w:rPr>
        <w:t xml:space="preserve"> </w:t>
      </w:r>
      <w:r w:rsidR="00140980">
        <w:rPr>
          <w:rFonts w:ascii="Traditional Arabic" w:hAnsi="Traditional Arabic" w:hint="cs"/>
          <w:rtl/>
        </w:rPr>
        <w:t>_</w:t>
      </w:r>
      <w:r w:rsidR="001673B4" w:rsidRPr="008D56DE">
        <w:rPr>
          <w:rFonts w:ascii="Traditional Arabic" w:hAnsi="Traditional Arabic"/>
          <w:rtl/>
        </w:rPr>
        <w:t>حفظه الله ورعاه</w:t>
      </w:r>
      <w:r w:rsidR="00140980">
        <w:rPr>
          <w:rFonts w:ascii="Traditional Arabic" w:hAnsi="Traditional Arabic" w:hint="cs"/>
          <w:rtl/>
        </w:rPr>
        <w:t>_</w:t>
      </w:r>
      <w:r w:rsidR="00B81836">
        <w:rPr>
          <w:rFonts w:ascii="Traditional Arabic" w:hAnsi="Traditional Arabic" w:hint="cs"/>
          <w:rtl/>
        </w:rPr>
        <w:t xml:space="preserve">، </w:t>
      </w:r>
      <w:r w:rsidR="008F288E">
        <w:rPr>
          <w:rFonts w:ascii="Traditional Arabic" w:hAnsi="Traditional Arabic"/>
          <w:rtl/>
        </w:rPr>
        <w:t xml:space="preserve">الذي </w:t>
      </w:r>
      <w:r w:rsidR="001673B4" w:rsidRPr="008D56DE">
        <w:rPr>
          <w:rFonts w:ascii="Traditional Arabic" w:hAnsi="Traditional Arabic"/>
          <w:rtl/>
        </w:rPr>
        <w:t>أحاطني بتوجيهه ون</w:t>
      </w:r>
      <w:r w:rsidR="008F288E">
        <w:rPr>
          <w:rFonts w:ascii="Traditional Arabic" w:hAnsi="Traditional Arabic" w:hint="cs"/>
          <w:rtl/>
        </w:rPr>
        <w:t>ُ</w:t>
      </w:r>
      <w:r w:rsidR="001673B4" w:rsidRPr="008D56DE">
        <w:rPr>
          <w:rFonts w:ascii="Traditional Arabic" w:hAnsi="Traditional Arabic"/>
          <w:rtl/>
        </w:rPr>
        <w:t>صحه</w:t>
      </w:r>
      <w:r w:rsidR="001673B4">
        <w:rPr>
          <w:rFonts w:ascii="Traditional Arabic" w:hAnsi="Traditional Arabic"/>
          <w:rtl/>
        </w:rPr>
        <w:t>،</w:t>
      </w:r>
      <w:r w:rsidR="008F288E">
        <w:rPr>
          <w:rFonts w:ascii="Traditional Arabic" w:hAnsi="Traditional Arabic"/>
          <w:rtl/>
        </w:rPr>
        <w:t xml:space="preserve"> </w:t>
      </w:r>
      <w:r w:rsidR="008F288E">
        <w:rPr>
          <w:rFonts w:ascii="Traditional Arabic" w:hAnsi="Traditional Arabic" w:hint="cs"/>
          <w:rtl/>
        </w:rPr>
        <w:t xml:space="preserve">والذي </w:t>
      </w:r>
      <w:r w:rsidR="00140980">
        <w:rPr>
          <w:rFonts w:ascii="Traditional Arabic" w:hAnsi="Traditional Arabic"/>
          <w:rtl/>
        </w:rPr>
        <w:t>ن</w:t>
      </w:r>
      <w:r w:rsidR="008F288E">
        <w:rPr>
          <w:rFonts w:ascii="Traditional Arabic" w:hAnsi="Traditional Arabic" w:hint="cs"/>
          <w:rtl/>
        </w:rPr>
        <w:t>َ</w:t>
      </w:r>
      <w:r w:rsidR="00140980">
        <w:rPr>
          <w:rFonts w:ascii="Traditional Arabic" w:hAnsi="Traditional Arabic"/>
          <w:rtl/>
        </w:rPr>
        <w:t>ه</w:t>
      </w:r>
      <w:r w:rsidR="008F288E">
        <w:rPr>
          <w:rFonts w:ascii="Traditional Arabic" w:hAnsi="Traditional Arabic" w:hint="cs"/>
          <w:rtl/>
        </w:rPr>
        <w:t>َ</w:t>
      </w:r>
      <w:r w:rsidR="00140980">
        <w:rPr>
          <w:rFonts w:ascii="Traditional Arabic" w:hAnsi="Traditional Arabic"/>
          <w:rtl/>
        </w:rPr>
        <w:t>ل</w:t>
      </w:r>
      <w:r w:rsidR="008F288E">
        <w:rPr>
          <w:rFonts w:ascii="Traditional Arabic" w:hAnsi="Traditional Arabic" w:hint="cs"/>
          <w:rtl/>
        </w:rPr>
        <w:t>ْ</w:t>
      </w:r>
      <w:r w:rsidR="00140980">
        <w:rPr>
          <w:rFonts w:ascii="Traditional Arabic" w:hAnsi="Traditional Arabic"/>
          <w:rtl/>
        </w:rPr>
        <w:t>ت</w:t>
      </w:r>
      <w:r w:rsidR="008F288E">
        <w:rPr>
          <w:rFonts w:ascii="Traditional Arabic" w:hAnsi="Traditional Arabic" w:hint="cs"/>
          <w:rtl/>
        </w:rPr>
        <w:t>ُ</w:t>
      </w:r>
      <w:r w:rsidR="00140980">
        <w:rPr>
          <w:rFonts w:ascii="Traditional Arabic" w:hAnsi="Traditional Arabic"/>
          <w:rtl/>
        </w:rPr>
        <w:t xml:space="preserve"> م</w:t>
      </w:r>
      <w:r w:rsidR="008F288E">
        <w:rPr>
          <w:rFonts w:ascii="Traditional Arabic" w:hAnsi="Traditional Arabic" w:hint="cs"/>
          <w:rtl/>
        </w:rPr>
        <w:t>ِ</w:t>
      </w:r>
      <w:r w:rsidR="00140980">
        <w:rPr>
          <w:rFonts w:ascii="Traditional Arabic" w:hAnsi="Traditional Arabic"/>
          <w:rtl/>
        </w:rPr>
        <w:t>ن علمه وأدبه</w:t>
      </w:r>
      <w:r w:rsidR="001673B4">
        <w:rPr>
          <w:rFonts w:ascii="Traditional Arabic" w:hAnsi="Traditional Arabic"/>
          <w:rtl/>
        </w:rPr>
        <w:t>،</w:t>
      </w:r>
      <w:r w:rsidR="00140980">
        <w:rPr>
          <w:rFonts w:ascii="Traditional Arabic" w:hAnsi="Traditional Arabic"/>
          <w:rtl/>
        </w:rPr>
        <w:t xml:space="preserve"> </w:t>
      </w:r>
      <w:r w:rsidR="00140980">
        <w:rPr>
          <w:rFonts w:ascii="Traditional Arabic" w:hAnsi="Traditional Arabic" w:hint="cs"/>
          <w:rtl/>
        </w:rPr>
        <w:t>و</w:t>
      </w:r>
      <w:r w:rsidR="001673B4" w:rsidRPr="008D56DE">
        <w:rPr>
          <w:rFonts w:ascii="Traditional Arabic" w:hAnsi="Traditional Arabic"/>
          <w:rtl/>
        </w:rPr>
        <w:t>قد كانت لتوجيهاته ا</w:t>
      </w:r>
      <w:r w:rsidR="008F288E">
        <w:rPr>
          <w:rFonts w:ascii="Traditional Arabic" w:hAnsi="Traditional Arabic"/>
          <w:rtl/>
        </w:rPr>
        <w:t>لسديدة وملاحظاته الدقيقــة</w:t>
      </w:r>
      <w:r w:rsidR="00D16E48">
        <w:rPr>
          <w:rFonts w:ascii="Traditional Arabic" w:hAnsi="Traditional Arabic"/>
          <w:rtl/>
        </w:rPr>
        <w:t xml:space="preserve">  </w:t>
      </w:r>
      <w:r w:rsidR="008F288E">
        <w:rPr>
          <w:rFonts w:ascii="Traditional Arabic" w:hAnsi="Traditional Arabic"/>
          <w:rtl/>
        </w:rPr>
        <w:t>أثر</w:t>
      </w:r>
      <w:r w:rsidR="00D16E48">
        <w:rPr>
          <w:rFonts w:ascii="Traditional Arabic" w:hAnsi="Traditional Arabic" w:hint="cs"/>
          <w:rtl/>
        </w:rPr>
        <w:t xml:space="preserve"> </w:t>
      </w:r>
      <w:r w:rsidR="001673B4" w:rsidRPr="008D56DE">
        <w:rPr>
          <w:rFonts w:ascii="Traditional Arabic" w:hAnsi="Traditional Arabic"/>
          <w:rtl/>
        </w:rPr>
        <w:t>في إصلاح هذه الرسالة، وتقويم معوجِّها</w:t>
      </w:r>
      <w:r w:rsidR="001673B4">
        <w:rPr>
          <w:rFonts w:ascii="Traditional Arabic" w:hAnsi="Traditional Arabic"/>
          <w:rtl/>
        </w:rPr>
        <w:t>،</w:t>
      </w:r>
      <w:r w:rsidR="001673B4" w:rsidRPr="008D56DE">
        <w:rPr>
          <w:rFonts w:ascii="Traditional Arabic" w:hAnsi="Traditional Arabic"/>
          <w:rtl/>
        </w:rPr>
        <w:t xml:space="preserve"> فجزاه الله خير الجزاء</w:t>
      </w:r>
      <w:r w:rsidR="001673B4">
        <w:rPr>
          <w:rFonts w:ascii="Traditional Arabic" w:hAnsi="Traditional Arabic"/>
          <w:rtl/>
        </w:rPr>
        <w:t>،</w:t>
      </w:r>
      <w:r w:rsidR="001673B4" w:rsidRPr="008D56DE">
        <w:rPr>
          <w:rFonts w:ascii="Traditional Arabic" w:hAnsi="Traditional Arabic"/>
          <w:rtl/>
        </w:rPr>
        <w:t xml:space="preserve"> وجعل الفردوس مأواه</w:t>
      </w:r>
      <w:r w:rsidR="001673B4">
        <w:rPr>
          <w:rFonts w:ascii="Traditional Arabic" w:hAnsi="Traditional Arabic"/>
          <w:rtl/>
        </w:rPr>
        <w:t>.</w:t>
      </w:r>
    </w:p>
    <w:p w:rsidR="001E5439" w:rsidRDefault="001E5439" w:rsidP="00597C20">
      <w:pPr>
        <w:spacing w:line="640" w:lineRule="exact"/>
        <w:jc w:val="lowKashida"/>
        <w:rPr>
          <w:rFonts w:ascii="Traditional Arabic" w:hAnsi="Traditional Arabic"/>
          <w:rtl/>
        </w:rPr>
      </w:pPr>
      <w:r>
        <w:rPr>
          <w:rFonts w:ascii="Traditional Arabic" w:hAnsi="Traditional Arabic" w:hint="cs"/>
          <w:rtl/>
        </w:rPr>
        <w:t xml:space="preserve">كما أتقدم بالشكر والثناء الجميل إلى الأستاذين الكريمين والشيخين الفاضلين: فضيلة الشيخ </w:t>
      </w:r>
      <w:r>
        <w:rPr>
          <w:rFonts w:ascii="Traditional Arabic" w:hAnsi="Traditional Arabic" w:hint="cs"/>
          <w:rtl/>
        </w:rPr>
        <w:lastRenderedPageBreak/>
        <w:t>الأستاذ الدكتور محمد سعد بن أحمد اليوبي، وفضيلة الشيخ الدكتور مسلّ</w:t>
      </w:r>
      <w:r w:rsidR="00CA19E4">
        <w:rPr>
          <w:rFonts w:ascii="Traditional Arabic" w:hAnsi="Traditional Arabic" w:hint="cs"/>
          <w:rtl/>
        </w:rPr>
        <w:t>َم بن بخيت الفزي؛ وذلك لما غمراني</w:t>
      </w:r>
      <w:r>
        <w:rPr>
          <w:rFonts w:ascii="Traditional Arabic" w:hAnsi="Traditional Arabic" w:hint="cs"/>
          <w:rtl/>
        </w:rPr>
        <w:t xml:space="preserve"> </w:t>
      </w:r>
      <w:r w:rsidR="00CA19E4">
        <w:rPr>
          <w:rFonts w:ascii="Traditional Arabic" w:hAnsi="Traditional Arabic" w:hint="cs"/>
          <w:rtl/>
        </w:rPr>
        <w:t>به</w:t>
      </w:r>
      <w:r>
        <w:rPr>
          <w:rFonts w:ascii="Traditional Arabic" w:hAnsi="Traditional Arabic" w:hint="cs"/>
          <w:rtl/>
        </w:rPr>
        <w:t xml:space="preserve"> من تواضع جم وأدب رفيع؛ ولتحم</w:t>
      </w:r>
      <w:r w:rsidR="00D16E48">
        <w:rPr>
          <w:rFonts w:ascii="Traditional Arabic" w:hAnsi="Traditional Arabic" w:hint="cs"/>
          <w:rtl/>
        </w:rPr>
        <w:t>ُّ</w:t>
      </w:r>
      <w:r>
        <w:rPr>
          <w:rFonts w:ascii="Traditional Arabic" w:hAnsi="Traditional Arabic" w:hint="cs"/>
          <w:rtl/>
        </w:rPr>
        <w:t>لهما عناء</w:t>
      </w:r>
      <w:r w:rsidR="00D16E48">
        <w:rPr>
          <w:rFonts w:ascii="Traditional Arabic" w:hAnsi="Traditional Arabic" w:hint="cs"/>
          <w:rtl/>
        </w:rPr>
        <w:t>َ</w:t>
      </w:r>
      <w:r>
        <w:rPr>
          <w:rFonts w:ascii="Traditional Arabic" w:hAnsi="Traditional Arabic" w:hint="cs"/>
          <w:rtl/>
        </w:rPr>
        <w:t xml:space="preserve"> قراءة هذه الرسالة، ومناقشتها، وإبداء الملحوظات عليها، مما كان له إسهام في إصلاح خللها، وتصحيح الأخطاء الواردة فيها، فأسال الله عز وجل أن يجزيهما خير الجزاء، وأن يجعل ذلك في ميزان حسناتهما يوم القيامة.</w:t>
      </w:r>
    </w:p>
    <w:p w:rsidR="008F288E" w:rsidRPr="008F4AB2" w:rsidRDefault="008F288E" w:rsidP="008F288E">
      <w:pPr>
        <w:spacing w:line="640" w:lineRule="exact"/>
        <w:jc w:val="lowKashida"/>
        <w:rPr>
          <w:rFonts w:ascii="Traditional Arabic" w:hAnsi="Traditional Arabic"/>
          <w:rtl/>
        </w:rPr>
      </w:pPr>
      <w:r w:rsidRPr="00AE1AEC">
        <w:rPr>
          <w:rFonts w:ascii="Traditional Arabic" w:hAnsi="Traditional Arabic" w:hint="cs"/>
          <w:rtl/>
        </w:rPr>
        <w:t>ثم إني أشكر المملكة العربية السعودية على ما تبذله من جهود عظيمة في نشر العقيدة الصحيحة وخدمة العلم وطلابه، وأنا واحد ممن حظي بإكرام هذه الدولة المباركة وتفض</w:t>
      </w:r>
      <w:r>
        <w:rPr>
          <w:rFonts w:ascii="Traditional Arabic" w:hAnsi="Traditional Arabic" w:hint="cs"/>
          <w:rtl/>
        </w:rPr>
        <w:t>ُّ</w:t>
      </w:r>
      <w:r w:rsidRPr="00AE1AEC">
        <w:rPr>
          <w:rFonts w:ascii="Traditional Arabic" w:hAnsi="Traditional Arabic" w:hint="cs"/>
          <w:rtl/>
        </w:rPr>
        <w:t xml:space="preserve">لها علي بعد الله </w:t>
      </w:r>
      <w:r>
        <w:rPr>
          <w:rFonts w:ascii="Traditional Arabic" w:hAnsi="Traditional Arabic" w:hint="cs"/>
          <w:rtl/>
        </w:rPr>
        <w:t>_</w:t>
      </w:r>
      <w:r w:rsidRPr="00AE1AEC">
        <w:rPr>
          <w:rFonts w:ascii="Traditional Arabic" w:hAnsi="Traditional Arabic" w:hint="cs"/>
          <w:rtl/>
        </w:rPr>
        <w:t>عز وجل</w:t>
      </w:r>
      <w:r>
        <w:rPr>
          <w:rFonts w:ascii="Traditional Arabic" w:hAnsi="Traditional Arabic" w:hint="cs"/>
          <w:rtl/>
        </w:rPr>
        <w:t>_</w:t>
      </w:r>
      <w:r w:rsidRPr="00AE1AEC">
        <w:rPr>
          <w:rFonts w:ascii="Traditional Arabic" w:hAnsi="Traditional Arabic" w:hint="cs"/>
          <w:rtl/>
        </w:rPr>
        <w:t xml:space="preserve">، وأسأل الله تعالى أن يجزي قادتها خير الجزاء، وأن يعلي درجتهم في عليين، وأن يثبتهم </w:t>
      </w:r>
      <w:r>
        <w:rPr>
          <w:rFonts w:ascii="Traditional Arabic" w:hAnsi="Traditional Arabic" w:hint="cs"/>
          <w:rtl/>
        </w:rPr>
        <w:t xml:space="preserve">على خدمة الإسلام والمسلمين، </w:t>
      </w:r>
      <w:r w:rsidRPr="00AE1AEC">
        <w:rPr>
          <w:rFonts w:ascii="Traditional Arabic" w:hAnsi="Traditional Arabic" w:hint="cs"/>
          <w:rtl/>
        </w:rPr>
        <w:t>و</w:t>
      </w:r>
      <w:r>
        <w:rPr>
          <w:rFonts w:ascii="Traditional Arabic" w:hAnsi="Traditional Arabic" w:hint="cs"/>
          <w:rtl/>
        </w:rPr>
        <w:t xml:space="preserve">أن </w:t>
      </w:r>
      <w:r w:rsidRPr="00AE1AEC">
        <w:rPr>
          <w:rFonts w:ascii="Traditional Arabic" w:hAnsi="Traditional Arabic" w:hint="cs"/>
          <w:rtl/>
        </w:rPr>
        <w:t>يزيدهم توفيقا وتسديدا.</w:t>
      </w:r>
    </w:p>
    <w:p w:rsidR="00065E4B" w:rsidRPr="008F4AB2" w:rsidRDefault="00065E4B" w:rsidP="00597C20">
      <w:pPr>
        <w:spacing w:line="640" w:lineRule="exact"/>
        <w:jc w:val="lowKashida"/>
        <w:rPr>
          <w:rFonts w:ascii="Traditional Arabic" w:hAnsi="Traditional Arabic"/>
          <w:rtl/>
        </w:rPr>
      </w:pPr>
      <w:r w:rsidRPr="008D56DE">
        <w:rPr>
          <w:rFonts w:ascii="Traditional Arabic" w:hAnsi="Traditional Arabic"/>
          <w:rtl/>
        </w:rPr>
        <w:t>ك</w:t>
      </w:r>
      <w:r w:rsidR="001673B4" w:rsidRPr="008D56DE">
        <w:rPr>
          <w:rFonts w:ascii="Traditional Arabic" w:hAnsi="Traditional Arabic"/>
          <w:rtl/>
        </w:rPr>
        <w:t>ما أتوجَّه بالشكر الجزيل للقائمين على الجامعة الإسلامية بالمدينة النبوية</w:t>
      </w:r>
      <w:r w:rsidR="00140980">
        <w:rPr>
          <w:rFonts w:ascii="Traditional Arabic" w:hAnsi="Traditional Arabic" w:hint="cs"/>
          <w:rtl/>
        </w:rPr>
        <w:t>،</w:t>
      </w:r>
      <w:r w:rsidR="001673B4" w:rsidRPr="008D56DE">
        <w:rPr>
          <w:rFonts w:ascii="Traditional Arabic" w:hAnsi="Traditional Arabic"/>
          <w:rtl/>
        </w:rPr>
        <w:t xml:space="preserve"> ممثَّلة</w:t>
      </w:r>
      <w:r w:rsidR="00140980">
        <w:rPr>
          <w:rFonts w:ascii="Traditional Arabic" w:hAnsi="Traditional Arabic" w:hint="cs"/>
          <w:rtl/>
        </w:rPr>
        <w:t>ً</w:t>
      </w:r>
      <w:r w:rsidR="001673B4" w:rsidRPr="008D56DE">
        <w:rPr>
          <w:rFonts w:ascii="Traditional Arabic" w:hAnsi="Traditional Arabic"/>
          <w:rtl/>
        </w:rPr>
        <w:t xml:space="preserve"> في مديرها الأستاذ الدكتور محمد </w:t>
      </w:r>
      <w:r w:rsidR="00B81836">
        <w:rPr>
          <w:rFonts w:ascii="Traditional Arabic" w:hAnsi="Traditional Arabic" w:hint="cs"/>
          <w:rtl/>
        </w:rPr>
        <w:t xml:space="preserve">بن </w:t>
      </w:r>
      <w:r w:rsidR="001673B4" w:rsidRPr="008D56DE">
        <w:rPr>
          <w:rFonts w:ascii="Traditional Arabic" w:hAnsi="Traditional Arabic"/>
          <w:rtl/>
        </w:rPr>
        <w:t xml:space="preserve">علي العقلا </w:t>
      </w:r>
      <w:r w:rsidR="00140980">
        <w:rPr>
          <w:rFonts w:ascii="Traditional Arabic" w:hAnsi="Traditional Arabic" w:hint="cs"/>
          <w:rtl/>
        </w:rPr>
        <w:t>_</w:t>
      </w:r>
      <w:r w:rsidR="008F288E">
        <w:rPr>
          <w:rFonts w:ascii="Traditional Arabic" w:hAnsi="Traditional Arabic" w:hint="cs"/>
          <w:rtl/>
        </w:rPr>
        <w:t>وفقه</w:t>
      </w:r>
      <w:r w:rsidR="00140980">
        <w:rPr>
          <w:rFonts w:ascii="Traditional Arabic" w:hAnsi="Traditional Arabic"/>
          <w:rtl/>
        </w:rPr>
        <w:t xml:space="preserve"> الله وسدد </w:t>
      </w:r>
      <w:r w:rsidR="00140980">
        <w:rPr>
          <w:rFonts w:ascii="Traditional Arabic" w:hAnsi="Traditional Arabic" w:hint="cs"/>
          <w:rtl/>
        </w:rPr>
        <w:t xml:space="preserve">على درب </w:t>
      </w:r>
      <w:r w:rsidR="001673B4" w:rsidRPr="008D56DE">
        <w:rPr>
          <w:rFonts w:ascii="Traditional Arabic" w:hAnsi="Traditional Arabic"/>
          <w:rtl/>
        </w:rPr>
        <w:t xml:space="preserve"> الخير خ</w:t>
      </w:r>
      <w:r w:rsidR="008F288E">
        <w:rPr>
          <w:rFonts w:ascii="Traditional Arabic" w:hAnsi="Traditional Arabic" w:hint="cs"/>
          <w:rtl/>
        </w:rPr>
        <w:t>ُ</w:t>
      </w:r>
      <w:r w:rsidR="001673B4" w:rsidRPr="008D56DE">
        <w:rPr>
          <w:rFonts w:ascii="Traditional Arabic" w:hAnsi="Traditional Arabic"/>
          <w:rtl/>
        </w:rPr>
        <w:t>طاه</w:t>
      </w:r>
      <w:r w:rsidR="00140980">
        <w:rPr>
          <w:rFonts w:ascii="Traditional Arabic" w:hAnsi="Traditional Arabic" w:hint="cs"/>
          <w:rtl/>
        </w:rPr>
        <w:t>_</w:t>
      </w:r>
      <w:r w:rsidR="008F288E">
        <w:rPr>
          <w:rFonts w:ascii="Traditional Arabic" w:hAnsi="Traditional Arabic"/>
          <w:rtl/>
        </w:rPr>
        <w:t>، الذي كان له بالغ</w:t>
      </w:r>
      <w:r w:rsidR="008F288E">
        <w:rPr>
          <w:rFonts w:ascii="Traditional Arabic" w:hAnsi="Traditional Arabic" w:hint="cs"/>
          <w:rtl/>
        </w:rPr>
        <w:t>ُ</w:t>
      </w:r>
      <w:r w:rsidR="008F288E">
        <w:rPr>
          <w:rFonts w:ascii="Traditional Arabic" w:hAnsi="Traditional Arabic"/>
          <w:rtl/>
        </w:rPr>
        <w:t xml:space="preserve"> الأثر </w:t>
      </w:r>
      <w:r w:rsidR="00140980">
        <w:rPr>
          <w:rFonts w:ascii="Traditional Arabic" w:hAnsi="Traditional Arabic" w:hint="cs"/>
          <w:rtl/>
        </w:rPr>
        <w:t xml:space="preserve"> </w:t>
      </w:r>
      <w:r w:rsidR="008F288E">
        <w:rPr>
          <w:rFonts w:ascii="Traditional Arabic" w:hAnsi="Traditional Arabic" w:hint="cs"/>
          <w:rtl/>
        </w:rPr>
        <w:t xml:space="preserve">في </w:t>
      </w:r>
      <w:r w:rsidR="001673B4" w:rsidRPr="008D56DE">
        <w:rPr>
          <w:rFonts w:ascii="Traditional Arabic" w:hAnsi="Traditional Arabic"/>
          <w:rtl/>
        </w:rPr>
        <w:t>تعزيز الدرا</w:t>
      </w:r>
      <w:r w:rsidR="00B81836">
        <w:rPr>
          <w:rFonts w:ascii="Traditional Arabic" w:hAnsi="Traditional Arabic" w:hint="cs"/>
          <w:rtl/>
        </w:rPr>
        <w:t>سا</w:t>
      </w:r>
      <w:r w:rsidR="00140980">
        <w:rPr>
          <w:rFonts w:ascii="Traditional Arabic" w:hAnsi="Traditional Arabic"/>
          <w:rtl/>
        </w:rPr>
        <w:t xml:space="preserve">ت العليا </w:t>
      </w:r>
      <w:r w:rsidR="008F288E">
        <w:rPr>
          <w:rFonts w:ascii="Traditional Arabic" w:hAnsi="Traditional Arabic" w:hint="cs"/>
          <w:rtl/>
        </w:rPr>
        <w:t xml:space="preserve">بالجامعة، </w:t>
      </w:r>
      <w:r w:rsidR="00140980">
        <w:rPr>
          <w:rFonts w:ascii="Traditional Arabic" w:hAnsi="Traditional Arabic" w:hint="cs"/>
          <w:rtl/>
        </w:rPr>
        <w:t>وخدمة أبنائه الطلاب</w:t>
      </w:r>
      <w:r w:rsidR="001673B4" w:rsidRPr="008D56DE">
        <w:rPr>
          <w:rFonts w:ascii="Traditional Arabic" w:hAnsi="Traditional Arabic"/>
          <w:rtl/>
        </w:rPr>
        <w:t>.</w:t>
      </w:r>
    </w:p>
    <w:p w:rsidR="00065E4B" w:rsidRPr="008F4AB2" w:rsidRDefault="00065E4B" w:rsidP="00597C20">
      <w:pPr>
        <w:spacing w:line="640" w:lineRule="exact"/>
        <w:jc w:val="lowKashida"/>
        <w:rPr>
          <w:rFonts w:ascii="Traditional Arabic" w:hAnsi="Traditional Arabic"/>
          <w:rtl/>
        </w:rPr>
      </w:pPr>
      <w:r w:rsidRPr="008D56DE">
        <w:rPr>
          <w:rFonts w:ascii="Traditional Arabic" w:hAnsi="Traditional Arabic"/>
          <w:rtl/>
        </w:rPr>
        <w:t>و</w:t>
      </w:r>
      <w:r w:rsidR="001673B4" w:rsidRPr="008D56DE">
        <w:rPr>
          <w:rFonts w:ascii="Traditional Arabic" w:hAnsi="Traditional Arabic"/>
          <w:rtl/>
        </w:rPr>
        <w:t>أثن</w:t>
      </w:r>
      <w:r w:rsidR="008F288E">
        <w:rPr>
          <w:rFonts w:ascii="Traditional Arabic" w:hAnsi="Traditional Arabic" w:hint="cs"/>
          <w:rtl/>
        </w:rPr>
        <w:t>ِّ</w:t>
      </w:r>
      <w:r w:rsidR="001673B4" w:rsidRPr="008D56DE">
        <w:rPr>
          <w:rFonts w:ascii="Traditional Arabic" w:hAnsi="Traditional Arabic"/>
          <w:rtl/>
        </w:rPr>
        <w:t xml:space="preserve">ي بالشكر الجزيل </w:t>
      </w:r>
      <w:r w:rsidR="00B9669B">
        <w:rPr>
          <w:rFonts w:ascii="Traditional Arabic" w:hAnsi="Traditional Arabic" w:hint="cs"/>
          <w:rtl/>
        </w:rPr>
        <w:t>لعمادة الدراسات العليا ممثلة بعميدها الأستاذ الدكتور عبد الرحمن بن عبد العزيز بن صالح، و</w:t>
      </w:r>
      <w:r w:rsidR="001673B4" w:rsidRPr="008D56DE">
        <w:rPr>
          <w:rFonts w:ascii="Traditional Arabic" w:hAnsi="Traditional Arabic"/>
          <w:rtl/>
        </w:rPr>
        <w:t>كلية الشريعة</w:t>
      </w:r>
      <w:r w:rsidR="001673B4">
        <w:rPr>
          <w:rFonts w:ascii="Traditional Arabic" w:hAnsi="Traditional Arabic" w:hint="cs"/>
          <w:rtl/>
        </w:rPr>
        <w:t>،</w:t>
      </w:r>
      <w:r w:rsidR="001673B4" w:rsidRPr="008D56DE">
        <w:rPr>
          <w:rFonts w:ascii="Traditional Arabic" w:hAnsi="Traditional Arabic"/>
          <w:rtl/>
        </w:rPr>
        <w:t xml:space="preserve"> وفي مقدمتهم عم</w:t>
      </w:r>
      <w:r w:rsidR="00CA19E4">
        <w:rPr>
          <w:rFonts w:ascii="Traditional Arabic" w:hAnsi="Traditional Arabic"/>
          <w:rtl/>
        </w:rPr>
        <w:t>يد الكلية الأسبق ا</w:t>
      </w:r>
      <w:r w:rsidR="00CA19E4">
        <w:rPr>
          <w:rFonts w:ascii="Traditional Arabic" w:hAnsi="Traditional Arabic" w:hint="cs"/>
          <w:rtl/>
        </w:rPr>
        <w:t>لشيخ</w:t>
      </w:r>
      <w:r w:rsidR="001673B4" w:rsidRPr="008D56DE">
        <w:rPr>
          <w:rFonts w:ascii="Traditional Arabic" w:hAnsi="Traditional Arabic"/>
          <w:rtl/>
        </w:rPr>
        <w:t xml:space="preserve"> عبد الله أحمد كاتب</w:t>
      </w:r>
      <w:r w:rsidR="001673B4">
        <w:rPr>
          <w:rFonts w:ascii="Traditional Arabic" w:hAnsi="Traditional Arabic" w:hint="cs"/>
          <w:rtl/>
        </w:rPr>
        <w:t>،</w:t>
      </w:r>
      <w:r w:rsidR="00CA19E4">
        <w:rPr>
          <w:rFonts w:ascii="Traditional Arabic" w:hAnsi="Traditional Arabic"/>
          <w:rtl/>
        </w:rPr>
        <w:t xml:space="preserve"> والعميد الحالي ال</w:t>
      </w:r>
      <w:r w:rsidR="00CA19E4">
        <w:rPr>
          <w:rFonts w:ascii="Traditional Arabic" w:hAnsi="Traditional Arabic" w:hint="cs"/>
          <w:rtl/>
        </w:rPr>
        <w:t>شيخ</w:t>
      </w:r>
      <w:r w:rsidR="001673B4" w:rsidRPr="008D56DE">
        <w:rPr>
          <w:rFonts w:ascii="Traditional Arabic" w:hAnsi="Traditional Arabic"/>
          <w:rtl/>
        </w:rPr>
        <w:t xml:space="preserve"> عبد الله مختار الشنقيطي، ووكيل الدراسات العليا بالكلية الشيخ عواض العمري</w:t>
      </w:r>
      <w:r w:rsidR="001673B4">
        <w:rPr>
          <w:rFonts w:ascii="Traditional Arabic" w:hAnsi="Traditional Arabic" w:hint="cs"/>
          <w:rtl/>
        </w:rPr>
        <w:t>،</w:t>
      </w:r>
      <w:r w:rsidR="00140980">
        <w:rPr>
          <w:rFonts w:ascii="Traditional Arabic" w:hAnsi="Traditional Arabic" w:hint="cs"/>
          <w:rtl/>
        </w:rPr>
        <w:t xml:space="preserve"> </w:t>
      </w:r>
      <w:r w:rsidR="001673B4">
        <w:rPr>
          <w:rFonts w:ascii="Traditional Arabic" w:hAnsi="Traditional Arabic" w:hint="cs"/>
          <w:rtl/>
        </w:rPr>
        <w:t>ف</w:t>
      </w:r>
      <w:r w:rsidR="001673B4" w:rsidRPr="008D56DE">
        <w:rPr>
          <w:rFonts w:ascii="Traditional Arabic" w:hAnsi="Traditional Arabic"/>
          <w:rtl/>
        </w:rPr>
        <w:t>جزاهم الله خير الجزاء على ما يبذلونه في خدمة طلاب العلم.</w:t>
      </w:r>
    </w:p>
    <w:p w:rsidR="00F228A9" w:rsidRPr="008F4AB2" w:rsidRDefault="00065E4B" w:rsidP="00597C20">
      <w:pPr>
        <w:spacing w:line="640" w:lineRule="exact"/>
        <w:jc w:val="lowKashida"/>
        <w:rPr>
          <w:rFonts w:ascii="Traditional Arabic" w:hAnsi="Traditional Arabic"/>
          <w:rtl/>
        </w:rPr>
      </w:pPr>
      <w:r w:rsidRPr="008D56DE">
        <w:rPr>
          <w:rFonts w:ascii="Traditional Arabic" w:hAnsi="Traditional Arabic"/>
          <w:rtl/>
        </w:rPr>
        <w:t>ك</w:t>
      </w:r>
      <w:r w:rsidR="001673B4" w:rsidRPr="008D56DE">
        <w:rPr>
          <w:rFonts w:ascii="Traditional Arabic" w:hAnsi="Traditional Arabic"/>
          <w:rtl/>
        </w:rPr>
        <w:t xml:space="preserve">ما أخصُّ بالشكر </w:t>
      </w:r>
      <w:r w:rsidR="00140980">
        <w:rPr>
          <w:rFonts w:ascii="Traditional Arabic" w:hAnsi="Traditional Arabic" w:hint="cs"/>
          <w:rtl/>
        </w:rPr>
        <w:t xml:space="preserve">القائمين على </w:t>
      </w:r>
      <w:r w:rsidR="001673B4" w:rsidRPr="008D56DE">
        <w:rPr>
          <w:rFonts w:ascii="Traditional Arabic" w:hAnsi="Traditional Arabic"/>
          <w:rtl/>
        </w:rPr>
        <w:t>قسـم أصول الفقه، وعلى رأسه</w:t>
      </w:r>
      <w:r w:rsidR="00140980">
        <w:rPr>
          <w:rFonts w:ascii="Traditional Arabic" w:hAnsi="Traditional Arabic" w:hint="cs"/>
          <w:rtl/>
        </w:rPr>
        <w:t>م</w:t>
      </w:r>
      <w:r w:rsidR="00CA19E4">
        <w:rPr>
          <w:rFonts w:ascii="Traditional Arabic" w:hAnsi="Traditional Arabic"/>
          <w:rtl/>
        </w:rPr>
        <w:t xml:space="preserve"> فضيلة </w:t>
      </w:r>
      <w:r w:rsidR="00CA19E4">
        <w:rPr>
          <w:rFonts w:ascii="Traditional Arabic" w:hAnsi="Traditional Arabic" w:hint="cs"/>
          <w:rtl/>
        </w:rPr>
        <w:t>الشيخ</w:t>
      </w:r>
      <w:r w:rsidR="00CA19E4">
        <w:rPr>
          <w:rFonts w:ascii="Traditional Arabic" w:hAnsi="Traditional Arabic"/>
          <w:rtl/>
        </w:rPr>
        <w:t xml:space="preserve"> الوالد</w:t>
      </w:r>
      <w:r w:rsidR="001673B4" w:rsidRPr="008D56DE">
        <w:rPr>
          <w:rFonts w:ascii="Traditional Arabic" w:hAnsi="Traditional Arabic"/>
          <w:rtl/>
        </w:rPr>
        <w:t xml:space="preserve"> عب</w:t>
      </w:r>
      <w:r w:rsidR="00140980">
        <w:rPr>
          <w:rFonts w:ascii="Traditional Arabic" w:hAnsi="Traditional Arabic"/>
          <w:rtl/>
        </w:rPr>
        <w:t xml:space="preserve">د العزيز القايدي </w:t>
      </w:r>
      <w:r w:rsidR="00140980">
        <w:rPr>
          <w:rFonts w:ascii="Traditional Arabic" w:hAnsi="Traditional Arabic" w:hint="cs"/>
          <w:rtl/>
        </w:rPr>
        <w:t>_</w:t>
      </w:r>
      <w:r w:rsidR="00140980">
        <w:rPr>
          <w:rFonts w:ascii="Traditional Arabic" w:hAnsi="Traditional Arabic"/>
          <w:rtl/>
        </w:rPr>
        <w:t>حفظه الله</w:t>
      </w:r>
      <w:r w:rsidR="001673B4" w:rsidRPr="008D56DE">
        <w:rPr>
          <w:rFonts w:ascii="Traditional Arabic" w:hAnsi="Traditional Arabic"/>
          <w:rtl/>
        </w:rPr>
        <w:t xml:space="preserve"> وجعل الجنة مثواه</w:t>
      </w:r>
      <w:r w:rsidR="00140980">
        <w:rPr>
          <w:rFonts w:ascii="Traditional Arabic" w:hAnsi="Traditional Arabic" w:hint="cs"/>
          <w:rtl/>
        </w:rPr>
        <w:t>_</w:t>
      </w:r>
      <w:r w:rsidR="001673B4" w:rsidRPr="008D56DE">
        <w:rPr>
          <w:rFonts w:ascii="Traditional Arabic" w:hAnsi="Traditional Arabic"/>
          <w:rtl/>
        </w:rPr>
        <w:t xml:space="preserve">، فقد لمست منه عناية ورعاية </w:t>
      </w:r>
      <w:r w:rsidR="00140980">
        <w:rPr>
          <w:rFonts w:ascii="Traditional Arabic" w:hAnsi="Traditional Arabic" w:hint="cs"/>
          <w:rtl/>
        </w:rPr>
        <w:t xml:space="preserve">فائقة </w:t>
      </w:r>
      <w:r w:rsidR="001673B4" w:rsidRPr="008D56DE">
        <w:rPr>
          <w:rFonts w:ascii="Traditional Arabic" w:hAnsi="Traditional Arabic"/>
          <w:rtl/>
        </w:rPr>
        <w:t xml:space="preserve">لطلبـــة العلم، فجزاه </w:t>
      </w:r>
      <w:r w:rsidR="00140980">
        <w:rPr>
          <w:rFonts w:ascii="Traditional Arabic" w:hAnsi="Traditional Arabic" w:hint="cs"/>
          <w:rtl/>
        </w:rPr>
        <w:t>الله</w:t>
      </w:r>
      <w:r w:rsidR="001673B4" w:rsidRPr="008D56DE">
        <w:rPr>
          <w:rFonts w:ascii="Traditional Arabic" w:hAnsi="Traditional Arabic"/>
          <w:rtl/>
        </w:rPr>
        <w:t xml:space="preserve"> على حرصه</w:t>
      </w:r>
      <w:r w:rsidR="00140980">
        <w:rPr>
          <w:rFonts w:ascii="Traditional Arabic" w:hAnsi="Traditional Arabic" w:hint="cs"/>
          <w:rtl/>
        </w:rPr>
        <w:t>،</w:t>
      </w:r>
      <w:r w:rsidR="001673B4" w:rsidRPr="008D56DE">
        <w:rPr>
          <w:rFonts w:ascii="Traditional Arabic" w:hAnsi="Traditional Arabic"/>
          <w:rtl/>
        </w:rPr>
        <w:t xml:space="preserve"> ونصحه</w:t>
      </w:r>
      <w:r w:rsidR="00140980">
        <w:rPr>
          <w:rFonts w:ascii="Traditional Arabic" w:hAnsi="Traditional Arabic" w:hint="cs"/>
          <w:rtl/>
        </w:rPr>
        <w:t>،</w:t>
      </w:r>
      <w:r w:rsidR="001673B4" w:rsidRPr="008D56DE">
        <w:rPr>
          <w:rFonts w:ascii="Traditional Arabic" w:hAnsi="Traditional Arabic"/>
          <w:rtl/>
        </w:rPr>
        <w:t xml:space="preserve"> وصبره</w:t>
      </w:r>
      <w:r w:rsidR="00140980">
        <w:rPr>
          <w:rFonts w:ascii="Traditional Arabic" w:hAnsi="Traditional Arabic" w:hint="cs"/>
          <w:rtl/>
        </w:rPr>
        <w:t>،</w:t>
      </w:r>
      <w:r w:rsidR="001673B4" w:rsidRPr="008D56DE">
        <w:rPr>
          <w:rFonts w:ascii="Traditional Arabic" w:hAnsi="Traditional Arabic"/>
          <w:rtl/>
        </w:rPr>
        <w:t xml:space="preserve"> وتفانيه في عمله</w:t>
      </w:r>
      <w:r w:rsidR="00140980">
        <w:rPr>
          <w:rFonts w:ascii="Traditional Arabic" w:hAnsi="Traditional Arabic" w:hint="cs"/>
          <w:rtl/>
        </w:rPr>
        <w:t>، خير الجزاء</w:t>
      </w:r>
      <w:r w:rsidR="001673B4" w:rsidRPr="008D56DE">
        <w:rPr>
          <w:rFonts w:ascii="Traditional Arabic" w:hAnsi="Traditional Arabic"/>
          <w:rtl/>
        </w:rPr>
        <w:t>.</w:t>
      </w:r>
    </w:p>
    <w:p w:rsidR="00065E4B" w:rsidRPr="008F4AB2" w:rsidRDefault="001673B4" w:rsidP="00597C20">
      <w:pPr>
        <w:spacing w:line="640" w:lineRule="exact"/>
        <w:jc w:val="lowKashida"/>
        <w:rPr>
          <w:rFonts w:ascii="Traditional Arabic" w:hAnsi="Traditional Arabic"/>
          <w:rtl/>
        </w:rPr>
      </w:pPr>
      <w:r w:rsidRPr="008D56DE">
        <w:rPr>
          <w:rFonts w:ascii="Traditional Arabic" w:hAnsi="Traditional Arabic"/>
          <w:rtl/>
        </w:rPr>
        <w:t>كما لا يفوتني أن أسجِّل شكري لكل من ساهم في نجاح هذه الرسالة من مشايخ فضلاء، وإخـــوة أعـــــزاء، وأخص</w:t>
      </w:r>
      <w:r w:rsidR="00140980">
        <w:rPr>
          <w:rFonts w:ascii="Traditional Arabic" w:hAnsi="Traditional Arabic"/>
          <w:rtl/>
        </w:rPr>
        <w:t>ُّ بالشكر منهم : فضيلــــة</w:t>
      </w:r>
      <w:r w:rsidRPr="008D56DE">
        <w:rPr>
          <w:rFonts w:ascii="Traditional Arabic" w:hAnsi="Traditional Arabic"/>
          <w:rtl/>
        </w:rPr>
        <w:t xml:space="preserve"> </w:t>
      </w:r>
      <w:r w:rsidR="00CA19E4">
        <w:rPr>
          <w:rFonts w:ascii="Traditional Arabic" w:hAnsi="Traditional Arabic" w:hint="cs"/>
          <w:rtl/>
        </w:rPr>
        <w:t>الشيخ</w:t>
      </w:r>
      <w:r w:rsidR="00140980">
        <w:rPr>
          <w:rFonts w:ascii="Traditional Arabic" w:hAnsi="Traditional Arabic"/>
          <w:rtl/>
        </w:rPr>
        <w:t xml:space="preserve"> سليمان الرحيلي، وا</w:t>
      </w:r>
      <w:r w:rsidR="00140980">
        <w:rPr>
          <w:rFonts w:ascii="Traditional Arabic" w:hAnsi="Traditional Arabic" w:hint="cs"/>
          <w:rtl/>
        </w:rPr>
        <w:t>لشيخ</w:t>
      </w:r>
      <w:r w:rsidRPr="008D56DE">
        <w:rPr>
          <w:rFonts w:ascii="Traditional Arabic" w:hAnsi="Traditional Arabic"/>
          <w:rtl/>
        </w:rPr>
        <w:t xml:space="preserve"> علي حسين علي</w:t>
      </w:r>
      <w:r>
        <w:rPr>
          <w:rFonts w:ascii="Traditional Arabic" w:hAnsi="Traditional Arabic"/>
          <w:rtl/>
        </w:rPr>
        <w:t>،</w:t>
      </w:r>
      <w:r w:rsidR="00140980">
        <w:rPr>
          <w:rFonts w:ascii="Traditional Arabic" w:hAnsi="Traditional Arabic" w:hint="cs"/>
          <w:rtl/>
        </w:rPr>
        <w:t xml:space="preserve"> </w:t>
      </w:r>
      <w:r w:rsidR="00CA19E4">
        <w:rPr>
          <w:rFonts w:ascii="Traditional Arabic" w:hAnsi="Traditional Arabic"/>
          <w:rtl/>
        </w:rPr>
        <w:t>والشيخ</w:t>
      </w:r>
      <w:r w:rsidR="00487E8E">
        <w:rPr>
          <w:rFonts w:ascii="Traditional Arabic" w:hAnsi="Traditional Arabic"/>
          <w:rtl/>
        </w:rPr>
        <w:t xml:space="preserve"> عبد الله البارقي</w:t>
      </w:r>
      <w:r>
        <w:rPr>
          <w:rFonts w:ascii="Traditional Arabic" w:hAnsi="Traditional Arabic"/>
          <w:rtl/>
        </w:rPr>
        <w:t>،</w:t>
      </w:r>
      <w:r w:rsidR="00140980">
        <w:rPr>
          <w:rFonts w:ascii="Traditional Arabic" w:hAnsi="Traditional Arabic" w:hint="cs"/>
          <w:rtl/>
        </w:rPr>
        <w:t xml:space="preserve"> </w:t>
      </w:r>
      <w:r w:rsidR="00CA19E4">
        <w:rPr>
          <w:rFonts w:ascii="Traditional Arabic" w:hAnsi="Traditional Arabic" w:hint="cs"/>
          <w:rtl/>
        </w:rPr>
        <w:t>والشيخ</w:t>
      </w:r>
      <w:r w:rsidR="00140980">
        <w:rPr>
          <w:rFonts w:ascii="Traditional Arabic" w:hAnsi="Traditional Arabic" w:hint="cs"/>
          <w:rtl/>
        </w:rPr>
        <w:t xml:space="preserve"> </w:t>
      </w:r>
      <w:r w:rsidR="00487E8E">
        <w:rPr>
          <w:rFonts w:ascii="Traditional Arabic" w:hAnsi="Traditional Arabic" w:hint="cs"/>
          <w:rtl/>
        </w:rPr>
        <w:t xml:space="preserve">علي الغامدي، </w:t>
      </w:r>
      <w:r w:rsidR="00CA19E4">
        <w:rPr>
          <w:rFonts w:ascii="Traditional Arabic" w:hAnsi="Traditional Arabic" w:hint="cs"/>
          <w:rtl/>
        </w:rPr>
        <w:t>والشيخ</w:t>
      </w:r>
      <w:r w:rsidR="00140980">
        <w:rPr>
          <w:rFonts w:ascii="Traditional Arabic" w:hAnsi="Traditional Arabic" w:hint="cs"/>
          <w:rtl/>
        </w:rPr>
        <w:t xml:space="preserve"> عبد الرحمن الحطاب، </w:t>
      </w:r>
      <w:r w:rsidRPr="008D56DE">
        <w:rPr>
          <w:rFonts w:ascii="Traditional Arabic" w:hAnsi="Traditional Arabic"/>
          <w:rtl/>
        </w:rPr>
        <w:t xml:space="preserve">وغيرهم من </w:t>
      </w:r>
      <w:r w:rsidR="00140980">
        <w:rPr>
          <w:rFonts w:ascii="Traditional Arabic" w:hAnsi="Traditional Arabic" w:hint="cs"/>
          <w:rtl/>
        </w:rPr>
        <w:t>المشايخ و</w:t>
      </w:r>
      <w:r w:rsidRPr="008D56DE">
        <w:rPr>
          <w:rFonts w:ascii="Traditional Arabic" w:hAnsi="Traditional Arabic"/>
          <w:rtl/>
        </w:rPr>
        <w:t>طلبة العلم الذين أخ</w:t>
      </w:r>
      <w:r w:rsidR="00140980">
        <w:rPr>
          <w:rFonts w:ascii="Traditional Arabic" w:hAnsi="Traditional Arabic" w:hint="cs"/>
          <w:rtl/>
        </w:rPr>
        <w:t>ُ</w:t>
      </w:r>
      <w:r w:rsidRPr="008D56DE">
        <w:rPr>
          <w:rFonts w:ascii="Traditional Arabic" w:hAnsi="Traditional Arabic"/>
          <w:rtl/>
        </w:rPr>
        <w:t xml:space="preserve">ص منهم الأخ الفاضل الشيخ تركي الميمان الذي استفدت منه كثيرا </w:t>
      </w:r>
      <w:r w:rsidRPr="008D56DE">
        <w:rPr>
          <w:rFonts w:ascii="Traditional Arabic" w:hAnsi="Traditional Arabic"/>
          <w:rtl/>
        </w:rPr>
        <w:lastRenderedPageBreak/>
        <w:t xml:space="preserve">من توجيهاته القيمة عند الشروع في تسجيل البحث وفي </w:t>
      </w:r>
      <w:r w:rsidR="002C5B69">
        <w:rPr>
          <w:rFonts w:ascii="Traditional Arabic" w:hAnsi="Traditional Arabic" w:hint="cs"/>
          <w:rtl/>
        </w:rPr>
        <w:t xml:space="preserve">أثناء </w:t>
      </w:r>
      <w:r w:rsidRPr="008D56DE">
        <w:rPr>
          <w:rFonts w:ascii="Traditional Arabic" w:hAnsi="Traditional Arabic"/>
          <w:rtl/>
        </w:rPr>
        <w:t>كتابة البحث</w:t>
      </w:r>
      <w:r>
        <w:rPr>
          <w:rFonts w:ascii="Traditional Arabic" w:hAnsi="Traditional Arabic"/>
          <w:rtl/>
        </w:rPr>
        <w:t>، فجزى الله الجميع خير الجزاء</w:t>
      </w:r>
      <w:r w:rsidRPr="008D56DE">
        <w:rPr>
          <w:rFonts w:ascii="Traditional Arabic" w:hAnsi="Traditional Arabic"/>
          <w:rtl/>
        </w:rPr>
        <w:t>، وجعل ما قدَّمـــوه ذخراً لهم ليوم المعاد.</w:t>
      </w:r>
    </w:p>
    <w:p w:rsidR="001673B4" w:rsidRPr="008F4AB2" w:rsidRDefault="00065E4B" w:rsidP="00597C20">
      <w:pPr>
        <w:spacing w:line="640" w:lineRule="exact"/>
        <w:jc w:val="lowKashida"/>
        <w:rPr>
          <w:rFonts w:ascii="Traditional Arabic" w:hAnsi="Traditional Arabic"/>
          <w:rtl/>
        </w:rPr>
      </w:pPr>
      <w:r>
        <w:rPr>
          <w:rFonts w:ascii="Traditional Arabic" w:hAnsi="Traditional Arabic"/>
          <w:rtl/>
        </w:rPr>
        <w:t>و</w:t>
      </w:r>
      <w:r w:rsidR="001673B4">
        <w:rPr>
          <w:rFonts w:ascii="Traditional Arabic" w:hAnsi="Traditional Arabic"/>
          <w:rtl/>
        </w:rPr>
        <w:t>ختاماً</w:t>
      </w:r>
      <w:r w:rsidR="001673B4" w:rsidRPr="008D56DE">
        <w:rPr>
          <w:rFonts w:ascii="Traditional Arabic" w:hAnsi="Traditional Arabic"/>
          <w:rtl/>
        </w:rPr>
        <w:t>: فهذا جهد المقلّ أقد</w:t>
      </w:r>
      <w:r w:rsidR="002C5B69">
        <w:rPr>
          <w:rFonts w:ascii="Traditional Arabic" w:hAnsi="Traditional Arabic" w:hint="cs"/>
          <w:rtl/>
        </w:rPr>
        <w:t>ِّ</w:t>
      </w:r>
      <w:r w:rsidR="001673B4" w:rsidRPr="008D56DE">
        <w:rPr>
          <w:rFonts w:ascii="Traditional Arabic" w:hAnsi="Traditional Arabic"/>
          <w:rtl/>
        </w:rPr>
        <w:t>مه بين يدي مشايخي وإخواني طلبة العلم</w:t>
      </w:r>
      <w:r w:rsidR="001673B4">
        <w:rPr>
          <w:rFonts w:ascii="Traditional Arabic" w:hAnsi="Traditional Arabic"/>
          <w:rtl/>
        </w:rPr>
        <w:t>، حاولت فيه أن أخدم هذا البحث ب</w:t>
      </w:r>
      <w:r w:rsidR="001673B4">
        <w:rPr>
          <w:rFonts w:ascii="Traditional Arabic" w:hAnsi="Traditional Arabic" w:hint="cs"/>
          <w:rtl/>
        </w:rPr>
        <w:t>أ</w:t>
      </w:r>
      <w:r w:rsidR="001673B4">
        <w:rPr>
          <w:rFonts w:ascii="Traditional Arabic" w:hAnsi="Traditional Arabic"/>
          <w:rtl/>
        </w:rPr>
        <w:t>م</w:t>
      </w:r>
      <w:r w:rsidR="001673B4">
        <w:rPr>
          <w:rFonts w:ascii="Traditional Arabic" w:hAnsi="Traditional Arabic" w:hint="cs"/>
          <w:rtl/>
        </w:rPr>
        <w:t>ا</w:t>
      </w:r>
      <w:r w:rsidR="00D16E48">
        <w:rPr>
          <w:rFonts w:ascii="Traditional Arabic" w:hAnsi="Traditional Arabic"/>
          <w:rtl/>
        </w:rPr>
        <w:t>نة</w:t>
      </w:r>
      <w:r w:rsidR="001673B4" w:rsidRPr="008D56DE">
        <w:rPr>
          <w:rFonts w:ascii="Traditional Arabic" w:hAnsi="Traditional Arabic"/>
          <w:rtl/>
        </w:rPr>
        <w:t>، مع اعترافي بالتقصير</w:t>
      </w:r>
      <w:r w:rsidR="00D16E48">
        <w:rPr>
          <w:rFonts w:ascii="Traditional Arabic" w:hAnsi="Traditional Arabic" w:hint="cs"/>
          <w:rtl/>
        </w:rPr>
        <w:t xml:space="preserve"> الشديد</w:t>
      </w:r>
      <w:r w:rsidR="001673B4" w:rsidRPr="008D56DE">
        <w:rPr>
          <w:rFonts w:ascii="Traditional Arabic" w:hAnsi="Traditional Arabic"/>
          <w:rtl/>
        </w:rPr>
        <w:t>، وأن البحث لا يز</w:t>
      </w:r>
      <w:r w:rsidR="00140980">
        <w:rPr>
          <w:rFonts w:ascii="Traditional Arabic" w:hAnsi="Traditional Arabic"/>
          <w:rtl/>
        </w:rPr>
        <w:t>ال يحتاج إلى تسديد</w:t>
      </w:r>
      <w:r w:rsidR="00140980">
        <w:rPr>
          <w:rFonts w:ascii="Traditional Arabic" w:hAnsi="Traditional Arabic" w:hint="cs"/>
          <w:rtl/>
        </w:rPr>
        <w:t xml:space="preserve"> وإضافة </w:t>
      </w:r>
      <w:r w:rsidR="00140980">
        <w:rPr>
          <w:rFonts w:ascii="Traditional Arabic" w:hAnsi="Traditional Arabic"/>
          <w:rtl/>
        </w:rPr>
        <w:t>وتعديل</w:t>
      </w:r>
      <w:r w:rsidR="00B81836">
        <w:rPr>
          <w:rFonts w:ascii="Traditional Arabic" w:hAnsi="Traditional Arabic" w:hint="cs"/>
          <w:rtl/>
        </w:rPr>
        <w:t>،</w:t>
      </w:r>
      <w:r w:rsidR="00983F93">
        <w:rPr>
          <w:rFonts w:ascii="Traditional Arabic" w:hAnsi="Traditional Arabic" w:hint="cs"/>
          <w:rtl/>
        </w:rPr>
        <w:t xml:space="preserve"> </w:t>
      </w:r>
      <w:r w:rsidR="00B81836">
        <w:rPr>
          <w:rFonts w:ascii="Traditional Arabic" w:hAnsi="Traditional Arabic"/>
          <w:rtl/>
        </w:rPr>
        <w:t>حتى يخرج على الوجه الذي يساهم</w:t>
      </w:r>
      <w:r w:rsidR="00CA19E4">
        <w:rPr>
          <w:rFonts w:ascii="Traditional Arabic" w:hAnsi="Traditional Arabic"/>
          <w:rtl/>
        </w:rPr>
        <w:t xml:space="preserve"> في إ</w:t>
      </w:r>
      <w:r w:rsidR="00CA19E4">
        <w:rPr>
          <w:rFonts w:ascii="Traditional Arabic" w:hAnsi="Traditional Arabic" w:hint="cs"/>
          <w:rtl/>
        </w:rPr>
        <w:t>براز</w:t>
      </w:r>
      <w:r w:rsidR="001673B4" w:rsidRPr="008D56DE">
        <w:rPr>
          <w:rFonts w:ascii="Traditional Arabic" w:hAnsi="Traditional Arabic"/>
          <w:rtl/>
        </w:rPr>
        <w:t xml:space="preserve"> جهود الشيخ ابن عثيمين </w:t>
      </w:r>
      <w:r w:rsidR="00B81836">
        <w:rPr>
          <w:rFonts w:ascii="Traditional Arabic" w:hAnsi="Traditional Arabic" w:hint="cs"/>
          <w:rtl/>
        </w:rPr>
        <w:t>رحمه الله</w:t>
      </w:r>
      <w:r w:rsidR="001673B4" w:rsidRPr="008D56DE">
        <w:rPr>
          <w:rFonts w:ascii="Traditional Arabic" w:hAnsi="Traditional Arabic"/>
          <w:rtl/>
        </w:rPr>
        <w:t xml:space="preserve"> في علم القواعد الفقهية</w:t>
      </w:r>
      <w:r w:rsidR="00983F93">
        <w:rPr>
          <w:rFonts w:ascii="Traditional Arabic" w:hAnsi="Traditional Arabic"/>
          <w:rtl/>
        </w:rPr>
        <w:t xml:space="preserve">، </w:t>
      </w:r>
      <w:r w:rsidR="00CA19E4">
        <w:rPr>
          <w:rFonts w:ascii="Traditional Arabic" w:hAnsi="Traditional Arabic" w:hint="cs"/>
          <w:rtl/>
        </w:rPr>
        <w:t>و</w:t>
      </w:r>
      <w:r w:rsidR="001673B4" w:rsidRPr="008D56DE">
        <w:rPr>
          <w:rFonts w:ascii="Traditional Arabic" w:hAnsi="Traditional Arabic"/>
          <w:rtl/>
        </w:rPr>
        <w:t>أسأل الله جل وعلا أن يجعل هذا البحث خالصاً لوجهه الكريم، نافعاً لي ثم</w:t>
      </w:r>
      <w:r w:rsidR="00140980">
        <w:rPr>
          <w:rFonts w:ascii="Traditional Arabic" w:hAnsi="Traditional Arabic" w:hint="cs"/>
          <w:rtl/>
        </w:rPr>
        <w:t xml:space="preserve"> </w:t>
      </w:r>
      <w:r w:rsidR="001673B4">
        <w:rPr>
          <w:rFonts w:ascii="Traditional Arabic" w:hAnsi="Traditional Arabic"/>
          <w:rtl/>
        </w:rPr>
        <w:t>للمسلمين</w:t>
      </w:r>
      <w:r w:rsidR="001673B4" w:rsidRPr="008D56DE">
        <w:rPr>
          <w:rFonts w:ascii="Traditional Arabic" w:hAnsi="Traditional Arabic"/>
          <w:rtl/>
        </w:rPr>
        <w:t>، مقرِّباً لمؤلفه وقارئه من جنات النعيم، وأن يجعله حجة لي لا علي، إنه خير مسؤول، وأكرم مأمول، وهو حسبنا ونعم الوكيل.</w:t>
      </w:r>
    </w:p>
    <w:p w:rsidR="001673B4" w:rsidRDefault="001673B4" w:rsidP="00597C20">
      <w:pPr>
        <w:spacing w:line="640" w:lineRule="exact"/>
        <w:jc w:val="lowKashida"/>
        <w:rPr>
          <w:rFonts w:ascii="Traditional Arabic" w:hAnsi="Traditional Arabic"/>
          <w:rtl/>
        </w:rPr>
      </w:pPr>
      <w:r w:rsidRPr="008D56DE">
        <w:rPr>
          <w:rFonts w:ascii="Traditional Arabic" w:hAnsi="Traditional Arabic"/>
          <w:rtl/>
        </w:rPr>
        <w:t>وصلى الله وسلَّم على نبيِّنا محمد وعلى آله وصحبه أجمعين.</w:t>
      </w:r>
    </w:p>
    <w:p w:rsidR="001673B4" w:rsidRPr="00C52BD8" w:rsidRDefault="001673B4" w:rsidP="00597C20">
      <w:pPr>
        <w:rPr>
          <w:rtl/>
        </w:rPr>
      </w:pPr>
    </w:p>
    <w:p w:rsidR="00C52BD8" w:rsidRDefault="00C52BD8" w:rsidP="00597C20">
      <w:pPr>
        <w:pStyle w:val="aff1"/>
        <w:rPr>
          <w:rtl/>
        </w:rPr>
        <w:sectPr w:rsidR="00C52BD8" w:rsidSect="001F5E01">
          <w:headerReference w:type="default" r:id="rId10"/>
          <w:headerReference w:type="first" r:id="rId11"/>
          <w:footnotePr>
            <w:numRestart w:val="eachPage"/>
          </w:footnotePr>
          <w:pgSz w:w="11906" w:h="16838" w:code="9"/>
          <w:pgMar w:top="1134" w:right="1134" w:bottom="1134" w:left="1418" w:header="567" w:footer="737" w:gutter="567"/>
          <w:cols w:space="708"/>
          <w:titlePg/>
          <w:bidi/>
          <w:rtlGutter/>
          <w:docGrid w:linePitch="490"/>
        </w:sectPr>
      </w:pPr>
    </w:p>
    <w:p w:rsidR="00C52BD8" w:rsidRPr="00C52BD8" w:rsidRDefault="00C52BD8" w:rsidP="00597C20">
      <w:pPr>
        <w:spacing w:after="5040"/>
        <w:rPr>
          <w:sz w:val="72"/>
          <w:szCs w:val="72"/>
          <w:rtl/>
        </w:rPr>
      </w:pPr>
    </w:p>
    <w:p w:rsidR="006F08E1" w:rsidRPr="00F96B90" w:rsidRDefault="006F08E1" w:rsidP="00597C20">
      <w:pPr>
        <w:pStyle w:val="aff1"/>
      </w:pPr>
      <w:bookmarkStart w:id="2" w:name="_Toc334046266"/>
      <w:r w:rsidRPr="00F96B90">
        <w:rPr>
          <w:rtl/>
        </w:rPr>
        <w:t>مقدمـة البحث</w:t>
      </w:r>
      <w:bookmarkEnd w:id="2"/>
    </w:p>
    <w:p w:rsidR="00575CAE" w:rsidRPr="00575CAE" w:rsidRDefault="00575CAE" w:rsidP="00597C20">
      <w:pPr>
        <w:rPr>
          <w:rtl/>
        </w:rPr>
      </w:pPr>
      <w:r w:rsidRPr="00575CAE">
        <w:rPr>
          <w:rtl/>
        </w:rPr>
        <w:br w:type="page"/>
      </w:r>
    </w:p>
    <w:p w:rsidR="00B276C1" w:rsidRPr="00ED39A4" w:rsidRDefault="00B276C1" w:rsidP="00A8347C">
      <w:pPr>
        <w:pStyle w:val="aff3"/>
        <w:rPr>
          <w:rtl/>
        </w:rPr>
      </w:pPr>
      <w:bookmarkStart w:id="3" w:name="_Toc334046267"/>
      <w:r w:rsidRPr="00FA7BB7">
        <w:rPr>
          <w:rtl/>
        </w:rPr>
        <w:lastRenderedPageBreak/>
        <w:t>الافتتاحية</w:t>
      </w:r>
      <w:bookmarkEnd w:id="3"/>
    </w:p>
    <w:p w:rsidR="00B276C1" w:rsidRPr="00ED39A4" w:rsidRDefault="0038224B" w:rsidP="0038224B">
      <w:pPr>
        <w:ind w:firstLine="0"/>
        <w:rPr>
          <w:rFonts w:ascii="Traditional Arabic" w:hAnsi="Traditional Arabic"/>
          <w:b/>
          <w:bCs/>
          <w:rtl/>
        </w:rPr>
      </w:pPr>
      <w:r>
        <w:rPr>
          <w:rFonts w:ascii="Traditional Arabic" w:hAnsi="Traditional Arabic" w:hint="cs"/>
          <w:rtl/>
        </w:rPr>
        <w:t xml:space="preserve">    </w:t>
      </w:r>
      <w:r w:rsidR="00B276C1" w:rsidRPr="00ED39A4">
        <w:rPr>
          <w:rFonts w:ascii="Traditional Arabic" w:hAnsi="Traditional Arabic"/>
          <w:rtl/>
        </w:rPr>
        <w:t>الحمد لله الفاتح</w:t>
      </w:r>
      <w:r w:rsidR="002C5B69">
        <w:rPr>
          <w:rFonts w:ascii="Traditional Arabic" w:hAnsi="Traditional Arabic" w:hint="cs"/>
          <w:rtl/>
        </w:rPr>
        <w:t>ِ</w:t>
      </w:r>
      <w:r w:rsidR="00B276C1" w:rsidRPr="00ED39A4">
        <w:rPr>
          <w:rFonts w:ascii="Traditional Arabic" w:hAnsi="Traditional Arabic"/>
          <w:rtl/>
        </w:rPr>
        <w:t xml:space="preserve"> أبواب</w:t>
      </w:r>
      <w:r w:rsidR="002C5B69">
        <w:rPr>
          <w:rFonts w:ascii="Traditional Arabic" w:hAnsi="Traditional Arabic" w:hint="cs"/>
          <w:rtl/>
        </w:rPr>
        <w:t>َ</w:t>
      </w:r>
      <w:r w:rsidR="00B276C1" w:rsidRPr="00ED39A4">
        <w:rPr>
          <w:rFonts w:ascii="Traditional Arabic" w:hAnsi="Traditional Arabic"/>
          <w:rtl/>
        </w:rPr>
        <w:t xml:space="preserve"> المعارف لطالبها</w:t>
      </w:r>
      <w:r w:rsidR="00B76414">
        <w:rPr>
          <w:rFonts w:ascii="Traditional Arabic" w:hAnsi="Traditional Arabic"/>
          <w:rtl/>
        </w:rPr>
        <w:t>،</w:t>
      </w:r>
      <w:r w:rsidR="00B276C1" w:rsidRPr="00ED39A4">
        <w:rPr>
          <w:rFonts w:ascii="Traditional Arabic" w:hAnsi="Traditional Arabic"/>
          <w:rtl/>
        </w:rPr>
        <w:t xml:space="preserve"> المانح</w:t>
      </w:r>
      <w:r w:rsidR="002C5B69">
        <w:rPr>
          <w:rFonts w:ascii="Traditional Arabic" w:hAnsi="Traditional Arabic" w:hint="cs"/>
          <w:rtl/>
        </w:rPr>
        <w:t>ِ</w:t>
      </w:r>
      <w:r w:rsidR="00B276C1" w:rsidRPr="00ED39A4">
        <w:rPr>
          <w:rFonts w:ascii="Traditional Arabic" w:hAnsi="Traditional Arabic"/>
          <w:rtl/>
        </w:rPr>
        <w:t xml:space="preserve"> أسباب</w:t>
      </w:r>
      <w:r w:rsidR="002C5B69">
        <w:rPr>
          <w:rFonts w:ascii="Traditional Arabic" w:hAnsi="Traditional Arabic" w:hint="cs"/>
          <w:rtl/>
        </w:rPr>
        <w:t>َ</w:t>
      </w:r>
      <w:r w:rsidR="00B276C1" w:rsidRPr="00ED39A4">
        <w:rPr>
          <w:rFonts w:ascii="Traditional Arabic" w:hAnsi="Traditional Arabic"/>
          <w:rtl/>
        </w:rPr>
        <w:t xml:space="preserve"> المعارف لراغبها</w:t>
      </w:r>
      <w:r w:rsidR="00B76414">
        <w:rPr>
          <w:rFonts w:ascii="Traditional Arabic" w:hAnsi="Traditional Arabic"/>
          <w:rtl/>
        </w:rPr>
        <w:t>،</w:t>
      </w:r>
      <w:r w:rsidR="00B276C1" w:rsidRPr="00ED39A4">
        <w:rPr>
          <w:rFonts w:ascii="Traditional Arabic" w:hAnsi="Traditional Arabic"/>
          <w:rtl/>
        </w:rPr>
        <w:t xml:space="preserve"> الموضح سبل الهداية لسالكها</w:t>
      </w:r>
      <w:r w:rsidR="00B76414">
        <w:rPr>
          <w:rFonts w:ascii="Traditional Arabic" w:hAnsi="Traditional Arabic"/>
          <w:rtl/>
        </w:rPr>
        <w:t>،</w:t>
      </w:r>
      <w:r w:rsidR="00B276C1" w:rsidRPr="00ED39A4">
        <w:rPr>
          <w:rFonts w:ascii="Traditional Arabic" w:hAnsi="Traditional Arabic"/>
          <w:rtl/>
        </w:rPr>
        <w:t xml:space="preserve"> المنجح مقاصد ذوي العناية في اقتضاء مذاهبها</w:t>
      </w:r>
      <w:r w:rsidR="00B76414">
        <w:rPr>
          <w:rFonts w:ascii="Traditional Arabic" w:hAnsi="Traditional Arabic"/>
          <w:rtl/>
        </w:rPr>
        <w:t>،</w:t>
      </w:r>
      <w:r w:rsidR="00B276C1" w:rsidRPr="00ED39A4">
        <w:rPr>
          <w:rFonts w:ascii="Traditional Arabic" w:hAnsi="Traditional Arabic"/>
          <w:rtl/>
        </w:rPr>
        <w:t xml:space="preserve"> والصلاة والسلام الأتمان الأكملان على المبعوث رحمة للإنس والجان، نبينا محمد</w:t>
      </w:r>
      <w:r w:rsidR="00CA19E4">
        <w:rPr>
          <w:rFonts w:ascii="Traditional Arabic" w:hAnsi="Traditional Arabic" w:hint="cs"/>
          <w:rtl/>
        </w:rPr>
        <w:t>،</w:t>
      </w:r>
      <w:r w:rsidR="00B276C1" w:rsidRPr="00ED39A4">
        <w:rPr>
          <w:rFonts w:ascii="Traditional Arabic" w:hAnsi="Traditional Arabic"/>
          <w:rtl/>
        </w:rPr>
        <w:t xml:space="preserve"> صلى الله عليه وعلى آله وصحبه وسلم تسليما كثيرا في كل وقت وآن.</w:t>
      </w:r>
    </w:p>
    <w:p w:rsidR="00B276C1" w:rsidRPr="00ED39A4" w:rsidRDefault="002C5B69" w:rsidP="00597C20">
      <w:pPr>
        <w:ind w:firstLine="567"/>
        <w:rPr>
          <w:rFonts w:ascii="Traditional Arabic" w:hAnsi="Traditional Arabic"/>
          <w:b/>
          <w:bCs/>
          <w:rtl/>
        </w:rPr>
      </w:pPr>
      <w:r>
        <w:rPr>
          <w:rFonts w:ascii="Traditional Arabic" w:hAnsi="Traditional Arabic" w:hint="cs"/>
          <w:rtl/>
        </w:rPr>
        <w:t>أما بعد</w:t>
      </w:r>
      <w:r w:rsidR="00B276C1" w:rsidRPr="00ED39A4">
        <w:rPr>
          <w:rFonts w:ascii="Traditional Arabic" w:hAnsi="Traditional Arabic"/>
          <w:rtl/>
        </w:rPr>
        <w:t>:</w:t>
      </w:r>
    </w:p>
    <w:p w:rsidR="00B276C1" w:rsidRPr="00ED39A4" w:rsidRDefault="00B276C1" w:rsidP="00597C20">
      <w:pPr>
        <w:ind w:firstLine="567"/>
        <w:rPr>
          <w:rFonts w:ascii="Traditional Arabic" w:hAnsi="Traditional Arabic"/>
          <w:b/>
          <w:bCs/>
          <w:rtl/>
        </w:rPr>
      </w:pPr>
      <w:r w:rsidRPr="00ED39A4">
        <w:rPr>
          <w:rFonts w:ascii="Traditional Arabic" w:hAnsi="Traditional Arabic"/>
          <w:rtl/>
        </w:rPr>
        <w:t xml:space="preserve">فإن </w:t>
      </w:r>
      <w:r w:rsidR="002C5B69">
        <w:rPr>
          <w:rFonts w:ascii="Traditional Arabic" w:hAnsi="Traditional Arabic" w:hint="cs"/>
          <w:rtl/>
        </w:rPr>
        <w:t>"م</w:t>
      </w:r>
      <w:r w:rsidR="00D16E48">
        <w:rPr>
          <w:rFonts w:ascii="Traditional Arabic" w:hAnsi="Traditional Arabic" w:hint="cs"/>
          <w:rtl/>
        </w:rPr>
        <w:t>ِ</w:t>
      </w:r>
      <w:r w:rsidR="002C5B69">
        <w:rPr>
          <w:rFonts w:ascii="Traditional Arabic" w:hAnsi="Traditional Arabic" w:hint="cs"/>
          <w:rtl/>
        </w:rPr>
        <w:t xml:space="preserve">ن </w:t>
      </w:r>
      <w:r w:rsidRPr="00ED39A4">
        <w:rPr>
          <w:rFonts w:ascii="Traditional Arabic" w:hAnsi="Traditional Arabic"/>
          <w:rtl/>
        </w:rPr>
        <w:t>أحسن ما يعانيه الفقيه المتقن</w:t>
      </w:r>
      <w:r w:rsidR="002C5B69">
        <w:rPr>
          <w:rFonts w:ascii="Traditional Arabic" w:hAnsi="Traditional Arabic" w:hint="cs"/>
          <w:rtl/>
        </w:rPr>
        <w:t>،</w:t>
      </w:r>
      <w:r w:rsidRPr="00ED39A4">
        <w:rPr>
          <w:rFonts w:ascii="Traditional Arabic" w:hAnsi="Traditional Arabic"/>
          <w:rtl/>
        </w:rPr>
        <w:t xml:space="preserve"> والنبيه المحسن</w:t>
      </w:r>
      <w:r w:rsidR="002C5B69">
        <w:rPr>
          <w:rFonts w:ascii="Traditional Arabic" w:hAnsi="Traditional Arabic" w:hint="cs"/>
          <w:rtl/>
        </w:rPr>
        <w:t>،</w:t>
      </w:r>
      <w:r w:rsidRPr="00ED39A4">
        <w:rPr>
          <w:rFonts w:ascii="Traditional Arabic" w:hAnsi="Traditional Arabic"/>
          <w:rtl/>
        </w:rPr>
        <w:t xml:space="preserve"> معرفة</w:t>
      </w:r>
      <w:r w:rsidR="00CA19E4">
        <w:rPr>
          <w:rFonts w:ascii="Traditional Arabic" w:hAnsi="Traditional Arabic" w:hint="cs"/>
          <w:rtl/>
        </w:rPr>
        <w:t>َ</w:t>
      </w:r>
      <w:r w:rsidRPr="00ED39A4">
        <w:rPr>
          <w:rFonts w:ascii="Traditional Arabic" w:hAnsi="Traditional Arabic"/>
          <w:rtl/>
        </w:rPr>
        <w:t xml:space="preserve"> القواعد الكلية</w:t>
      </w:r>
      <w:r w:rsidR="00B76414">
        <w:rPr>
          <w:rFonts w:ascii="Traditional Arabic" w:hAnsi="Traditional Arabic"/>
          <w:rtl/>
        </w:rPr>
        <w:t>،</w:t>
      </w:r>
      <w:r w:rsidRPr="00ED39A4">
        <w:rPr>
          <w:rFonts w:ascii="Traditional Arabic" w:hAnsi="Traditional Arabic"/>
          <w:rtl/>
        </w:rPr>
        <w:t xml:space="preserve"> والمقاصد المر</w:t>
      </w:r>
      <w:r>
        <w:rPr>
          <w:rFonts w:ascii="Traditional Arabic" w:hAnsi="Traditional Arabic"/>
          <w:rtl/>
        </w:rPr>
        <w:t>عية</w:t>
      </w:r>
      <w:r w:rsidR="00B76414">
        <w:rPr>
          <w:rFonts w:ascii="Traditional Arabic" w:hAnsi="Traditional Arabic"/>
          <w:rtl/>
        </w:rPr>
        <w:t>،</w:t>
      </w:r>
      <w:r>
        <w:rPr>
          <w:rFonts w:ascii="Traditional Arabic" w:hAnsi="Traditional Arabic"/>
          <w:rtl/>
        </w:rPr>
        <w:t xml:space="preserve"> وما يتخرج من الفروع عليها</w:t>
      </w:r>
      <w:r w:rsidR="00B76414">
        <w:rPr>
          <w:rFonts w:ascii="Traditional Arabic" w:hAnsi="Traditional Arabic"/>
          <w:rtl/>
        </w:rPr>
        <w:t>،</w:t>
      </w:r>
      <w:r w:rsidRPr="00ED39A4">
        <w:rPr>
          <w:rFonts w:ascii="Traditional Arabic" w:hAnsi="Traditional Arabic"/>
          <w:rtl/>
        </w:rPr>
        <w:t xml:space="preserve"> ويرجع من الشوارد المفر</w:t>
      </w:r>
      <w:r w:rsidR="002C5B69">
        <w:rPr>
          <w:rFonts w:ascii="Traditional Arabic" w:hAnsi="Traditional Arabic" w:hint="cs"/>
          <w:rtl/>
        </w:rPr>
        <w:t>َّ</w:t>
      </w:r>
      <w:r w:rsidRPr="00ED39A4">
        <w:rPr>
          <w:rFonts w:ascii="Traditional Arabic" w:hAnsi="Traditional Arabic"/>
          <w:rtl/>
        </w:rPr>
        <w:t>قة إليها</w:t>
      </w:r>
      <w:r w:rsidR="00B76414">
        <w:rPr>
          <w:rFonts w:ascii="Traditional Arabic" w:hAnsi="Traditional Arabic"/>
          <w:rtl/>
        </w:rPr>
        <w:t>،</w:t>
      </w:r>
      <w:r w:rsidRPr="00ED39A4">
        <w:rPr>
          <w:rFonts w:ascii="Traditional Arabic" w:hAnsi="Traditional Arabic"/>
          <w:rtl/>
        </w:rPr>
        <w:t xml:space="preserve"> وهي الطريق التي خف</w:t>
      </w:r>
      <w:r w:rsidR="002C5B69">
        <w:rPr>
          <w:rFonts w:ascii="Traditional Arabic" w:hAnsi="Traditional Arabic" w:hint="cs"/>
          <w:rtl/>
        </w:rPr>
        <w:t>ِ</w:t>
      </w:r>
      <w:r w:rsidRPr="00ED39A4">
        <w:rPr>
          <w:rFonts w:ascii="Traditional Arabic" w:hAnsi="Traditional Arabic"/>
          <w:rtl/>
        </w:rPr>
        <w:t>يت مسالك</w:t>
      </w:r>
      <w:r w:rsidR="002C5B69">
        <w:rPr>
          <w:rFonts w:ascii="Traditional Arabic" w:hAnsi="Traditional Arabic" w:hint="cs"/>
          <w:rtl/>
        </w:rPr>
        <w:t>ُ</w:t>
      </w:r>
      <w:r w:rsidRPr="00ED39A4">
        <w:rPr>
          <w:rFonts w:ascii="Traditional Arabic" w:hAnsi="Traditional Arabic"/>
          <w:rtl/>
        </w:rPr>
        <w:t>ها</w:t>
      </w:r>
      <w:r w:rsidR="002C5B69">
        <w:rPr>
          <w:rFonts w:ascii="Traditional Arabic" w:hAnsi="Traditional Arabic" w:hint="cs"/>
          <w:rtl/>
        </w:rPr>
        <w:t>،</w:t>
      </w:r>
      <w:r w:rsidRPr="00ED39A4">
        <w:rPr>
          <w:rFonts w:ascii="Traditional Arabic" w:hAnsi="Traditional Arabic"/>
          <w:rtl/>
        </w:rPr>
        <w:t xml:space="preserve"> وصع</w:t>
      </w:r>
      <w:r w:rsidR="002C5B69">
        <w:rPr>
          <w:rFonts w:ascii="Traditional Arabic" w:hAnsi="Traditional Arabic" w:hint="cs"/>
          <w:rtl/>
        </w:rPr>
        <w:t>ُ</w:t>
      </w:r>
      <w:r w:rsidRPr="00ED39A4">
        <w:rPr>
          <w:rFonts w:ascii="Traditional Arabic" w:hAnsi="Traditional Arabic"/>
          <w:rtl/>
        </w:rPr>
        <w:t>بت مدارك</w:t>
      </w:r>
      <w:r w:rsidR="002C5B69">
        <w:rPr>
          <w:rFonts w:ascii="Traditional Arabic" w:hAnsi="Traditional Arabic" w:hint="cs"/>
          <w:rtl/>
        </w:rPr>
        <w:t>ُ</w:t>
      </w:r>
      <w:r w:rsidRPr="00ED39A4">
        <w:rPr>
          <w:rFonts w:ascii="Traditional Arabic" w:hAnsi="Traditional Arabic"/>
          <w:rtl/>
        </w:rPr>
        <w:t>ها"</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3"/>
      </w:r>
      <w:r w:rsidRPr="00C821A1">
        <w:rPr>
          <w:rFonts w:ascii="Traditional Arabic" w:hAnsi="Traditional Arabic"/>
          <w:szCs w:val="32"/>
          <w:vertAlign w:val="superscript"/>
          <w:rtl/>
        </w:rPr>
        <w:t>)</w:t>
      </w:r>
      <w:r w:rsidRPr="00ED39A4">
        <w:rPr>
          <w:rFonts w:ascii="Traditional Arabic" w:hAnsi="Traditional Arabic"/>
          <w:rtl/>
        </w:rPr>
        <w:t>.</w:t>
      </w:r>
    </w:p>
    <w:p w:rsidR="00B276C1" w:rsidRPr="00ED39A4" w:rsidRDefault="00B276C1" w:rsidP="00597C20">
      <w:pPr>
        <w:ind w:firstLine="567"/>
        <w:rPr>
          <w:rFonts w:ascii="Traditional Arabic" w:hAnsi="Traditional Arabic"/>
          <w:b/>
          <w:bCs/>
          <w:rtl/>
        </w:rPr>
      </w:pPr>
      <w:r w:rsidRPr="00ED39A4">
        <w:rPr>
          <w:rFonts w:ascii="Traditional Arabic" w:hAnsi="Traditional Arabic"/>
          <w:rtl/>
        </w:rPr>
        <w:t>وإن للقواعد الفقهية من الأهمية والمكانة ما لا يخفى على دارس</w:t>
      </w:r>
      <w:r w:rsidR="00B76414">
        <w:rPr>
          <w:rFonts w:ascii="Traditional Arabic" w:hAnsi="Traditional Arabic"/>
          <w:rtl/>
        </w:rPr>
        <w:t>،</w:t>
      </w:r>
      <w:r w:rsidRPr="00ED39A4">
        <w:rPr>
          <w:rFonts w:ascii="Traditional Arabic" w:hAnsi="Traditional Arabic"/>
          <w:rtl/>
        </w:rPr>
        <w:t xml:space="preserve"> وقد أشاد كثير من أهل العلم بشأنها وحثوا على ضبطها ومعرفتها.</w:t>
      </w:r>
    </w:p>
    <w:p w:rsidR="00F228A9" w:rsidRPr="00ED39A4" w:rsidRDefault="00B276C1" w:rsidP="00597C20">
      <w:pPr>
        <w:spacing w:line="640" w:lineRule="exact"/>
        <w:jc w:val="lowKashida"/>
        <w:rPr>
          <w:rFonts w:ascii="Traditional Arabic" w:hAnsi="Traditional Arabic"/>
          <w:b/>
          <w:bCs/>
          <w:rtl/>
        </w:rPr>
      </w:pPr>
      <w:r>
        <w:rPr>
          <w:rFonts w:ascii="Traditional Arabic" w:hAnsi="Traditional Arabic"/>
          <w:rtl/>
        </w:rPr>
        <w:t xml:space="preserve">يقول العلامة القرافي </w:t>
      </w:r>
      <w:r w:rsidR="00983F93">
        <w:rPr>
          <w:rFonts w:ascii="Traditional Arabic" w:hAnsi="Traditional Arabic" w:hint="cs"/>
          <w:rtl/>
        </w:rPr>
        <w:t>_</w:t>
      </w:r>
      <w:r w:rsidR="009A0575" w:rsidRPr="005D5694">
        <w:rPr>
          <w:rFonts w:ascii="Traditional Arabic" w:hAnsi="Traditional Arabic" w:cs="CTraditional Arabic" w:hint="cs"/>
          <w:rtl/>
        </w:rPr>
        <w:t>/</w:t>
      </w:r>
      <w:r w:rsidR="00983F93">
        <w:rPr>
          <w:rFonts w:ascii="Traditional Arabic" w:hAnsi="Traditional Arabic" w:hint="cs"/>
          <w:rtl/>
        </w:rPr>
        <w:t>_</w:t>
      </w:r>
      <w:r w:rsidRPr="00ED39A4">
        <w:rPr>
          <w:rFonts w:ascii="Traditional Arabic" w:hAnsi="Traditional Arabic"/>
          <w:rtl/>
        </w:rPr>
        <w:t>: " هذه القواعد مهمة في الفقه</w:t>
      </w:r>
      <w:r w:rsidR="00B76414">
        <w:rPr>
          <w:rFonts w:ascii="Traditional Arabic" w:hAnsi="Traditional Arabic"/>
          <w:rtl/>
        </w:rPr>
        <w:t>،</w:t>
      </w:r>
      <w:r w:rsidRPr="00ED39A4">
        <w:rPr>
          <w:rFonts w:ascii="Traditional Arabic" w:hAnsi="Traditional Arabic"/>
          <w:rtl/>
        </w:rPr>
        <w:t xml:space="preserve"> عظيمة النفع</w:t>
      </w:r>
      <w:r w:rsidR="00B76414">
        <w:rPr>
          <w:rFonts w:ascii="Traditional Arabic" w:hAnsi="Traditional Arabic"/>
          <w:rtl/>
        </w:rPr>
        <w:t>،</w:t>
      </w:r>
      <w:r w:rsidRPr="00ED39A4">
        <w:rPr>
          <w:rFonts w:ascii="Traditional Arabic" w:hAnsi="Traditional Arabic"/>
          <w:rtl/>
        </w:rPr>
        <w:t xml:space="preserve"> وبقدر الإحاطة بها يعظ</w:t>
      </w:r>
      <w:r w:rsidR="006F0830">
        <w:rPr>
          <w:rFonts w:ascii="Traditional Arabic" w:hAnsi="Traditional Arabic" w:hint="cs"/>
          <w:rtl/>
        </w:rPr>
        <w:t>ُ</w:t>
      </w:r>
      <w:r w:rsidRPr="00ED39A4">
        <w:rPr>
          <w:rFonts w:ascii="Traditional Arabic" w:hAnsi="Traditional Arabic"/>
          <w:rtl/>
        </w:rPr>
        <w:t>م قدر الفقيه ويشر</w:t>
      </w:r>
      <w:r w:rsidR="006F0830">
        <w:rPr>
          <w:rFonts w:ascii="Traditional Arabic" w:hAnsi="Traditional Arabic" w:hint="cs"/>
          <w:rtl/>
        </w:rPr>
        <w:t>ُ</w:t>
      </w:r>
      <w:r w:rsidRPr="00ED39A4">
        <w:rPr>
          <w:rFonts w:ascii="Traditional Arabic" w:hAnsi="Traditional Arabic"/>
          <w:rtl/>
        </w:rPr>
        <w:t>ف</w:t>
      </w:r>
      <w:r w:rsidR="00B76414">
        <w:rPr>
          <w:rFonts w:ascii="Traditional Arabic" w:hAnsi="Traditional Arabic"/>
          <w:rtl/>
        </w:rPr>
        <w:t>،</w:t>
      </w:r>
      <w:r w:rsidRPr="00ED39A4">
        <w:rPr>
          <w:rFonts w:ascii="Traditional Arabic" w:hAnsi="Traditional Arabic"/>
          <w:rtl/>
        </w:rPr>
        <w:t xml:space="preserve"> ويظهر ر</w:t>
      </w:r>
      <w:r w:rsidR="00D16E48">
        <w:rPr>
          <w:rFonts w:ascii="Traditional Arabic" w:hAnsi="Traditional Arabic" w:hint="cs"/>
          <w:rtl/>
        </w:rPr>
        <w:t>َ</w:t>
      </w:r>
      <w:r w:rsidRPr="00ED39A4">
        <w:rPr>
          <w:rFonts w:ascii="Traditional Arabic" w:hAnsi="Traditional Arabic"/>
          <w:rtl/>
        </w:rPr>
        <w:t>و</w:t>
      </w:r>
      <w:r w:rsidR="00D16E48">
        <w:rPr>
          <w:rFonts w:ascii="Traditional Arabic" w:hAnsi="Traditional Arabic" w:hint="cs"/>
          <w:rtl/>
        </w:rPr>
        <w:t>ْ</w:t>
      </w:r>
      <w:r w:rsidRPr="00ED39A4">
        <w:rPr>
          <w:rFonts w:ascii="Traditional Arabic" w:hAnsi="Traditional Arabic"/>
          <w:rtl/>
        </w:rPr>
        <w:t>ن</w:t>
      </w:r>
      <w:r w:rsidR="00D16E48">
        <w:rPr>
          <w:rFonts w:ascii="Traditional Arabic" w:hAnsi="Traditional Arabic" w:hint="cs"/>
          <w:rtl/>
        </w:rPr>
        <w:t>َ</w:t>
      </w:r>
      <w:r w:rsidRPr="00ED39A4">
        <w:rPr>
          <w:rFonts w:ascii="Traditional Arabic" w:hAnsi="Traditional Arabic"/>
          <w:rtl/>
        </w:rPr>
        <w:t>ق</w:t>
      </w:r>
      <w:r w:rsidR="00D16E48">
        <w:rPr>
          <w:rFonts w:ascii="Traditional Arabic" w:hAnsi="Traditional Arabic" w:hint="cs"/>
          <w:rtl/>
        </w:rPr>
        <w:t>ُ</w:t>
      </w:r>
      <w:r w:rsidRPr="00ED39A4">
        <w:rPr>
          <w:rFonts w:ascii="Traditional Arabic" w:hAnsi="Traditional Arabic"/>
          <w:rtl/>
        </w:rPr>
        <w:t xml:space="preserve"> الفقه وي</w:t>
      </w:r>
      <w:r w:rsidR="006F0830">
        <w:rPr>
          <w:rFonts w:ascii="Traditional Arabic" w:hAnsi="Traditional Arabic" w:hint="cs"/>
          <w:rtl/>
        </w:rPr>
        <w:t>ُ</w:t>
      </w:r>
      <w:r w:rsidRPr="00ED39A4">
        <w:rPr>
          <w:rFonts w:ascii="Traditional Arabic" w:hAnsi="Traditional Arabic"/>
          <w:rtl/>
        </w:rPr>
        <w:t>عرف</w:t>
      </w:r>
      <w:r w:rsidR="00B76414">
        <w:rPr>
          <w:rFonts w:ascii="Traditional Arabic" w:hAnsi="Traditional Arabic"/>
          <w:rtl/>
        </w:rPr>
        <w:t>،</w:t>
      </w:r>
      <w:r w:rsidRPr="00ED39A4">
        <w:rPr>
          <w:rFonts w:ascii="Traditional Arabic" w:hAnsi="Traditional Arabic"/>
          <w:rtl/>
        </w:rPr>
        <w:t xml:space="preserve"> وتتضح مناهج الفتاوى وت</w:t>
      </w:r>
      <w:r w:rsidR="006F0830">
        <w:rPr>
          <w:rFonts w:ascii="Traditional Arabic" w:hAnsi="Traditional Arabic" w:hint="cs"/>
          <w:rtl/>
        </w:rPr>
        <w:t>ُ</w:t>
      </w:r>
      <w:r w:rsidRPr="00ED39A4">
        <w:rPr>
          <w:rFonts w:ascii="Traditional Arabic" w:hAnsi="Traditional Arabic"/>
          <w:rtl/>
        </w:rPr>
        <w:t>كشف"</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4"/>
      </w:r>
      <w:r w:rsidRPr="00C821A1">
        <w:rPr>
          <w:rFonts w:ascii="Traditional Arabic" w:hAnsi="Traditional Arabic"/>
          <w:szCs w:val="32"/>
          <w:vertAlign w:val="superscript"/>
          <w:rtl/>
        </w:rPr>
        <w:t>)</w:t>
      </w:r>
    </w:p>
    <w:p w:rsidR="00B276C1" w:rsidRPr="00ED39A4" w:rsidRDefault="00B276C1" w:rsidP="00597C20">
      <w:pPr>
        <w:ind w:firstLine="567"/>
        <w:rPr>
          <w:rFonts w:ascii="Traditional Arabic" w:hAnsi="Traditional Arabic"/>
          <w:b/>
          <w:bCs/>
          <w:rtl/>
        </w:rPr>
      </w:pPr>
      <w:r w:rsidRPr="00ED39A4">
        <w:rPr>
          <w:rFonts w:ascii="Traditional Arabic" w:hAnsi="Traditional Arabic"/>
          <w:rtl/>
        </w:rPr>
        <w:t>ورغبة مني في إبراز بعض معالم هذا الفن الجليل عند عالم من علماء الأمة وفقهاء العصر و</w:t>
      </w:r>
      <w:r>
        <w:rPr>
          <w:rFonts w:ascii="Traditional Arabic" w:hAnsi="Traditional Arabic"/>
          <w:rtl/>
        </w:rPr>
        <w:t xml:space="preserve">هو الشيخ محمد بن صالح العثيمين </w:t>
      </w:r>
      <w:r w:rsidR="009A0575" w:rsidRPr="005D5694">
        <w:rPr>
          <w:rFonts w:ascii="Traditional Arabic" w:hAnsi="Traditional Arabic" w:cs="CTraditional Arabic" w:hint="cs"/>
          <w:rtl/>
        </w:rPr>
        <w:t>/</w:t>
      </w:r>
      <w:r w:rsidR="00B76414">
        <w:rPr>
          <w:rFonts w:ascii="Traditional Arabic" w:hAnsi="Traditional Arabic"/>
          <w:rtl/>
        </w:rPr>
        <w:t>،</w:t>
      </w:r>
      <w:r w:rsidRPr="00ED39A4">
        <w:rPr>
          <w:rFonts w:ascii="Traditional Arabic" w:hAnsi="Traditional Arabic"/>
          <w:rtl/>
        </w:rPr>
        <w:t xml:space="preserve"> والذي كانت له اليد الطولى والمشاركة القوية - في هذا العصر - في علم القواعد الفقهية</w:t>
      </w:r>
      <w:r w:rsidR="0038224B">
        <w:rPr>
          <w:rFonts w:ascii="Traditional Arabic" w:hAnsi="Traditional Arabic" w:hint="cs"/>
          <w:rtl/>
        </w:rPr>
        <w:t>،</w:t>
      </w:r>
      <w:r w:rsidRPr="00ED39A4">
        <w:rPr>
          <w:rFonts w:ascii="Traditional Arabic" w:hAnsi="Traditional Arabic"/>
          <w:rtl/>
        </w:rPr>
        <w:t xml:space="preserve"> كما يظهر ذلك جلي</w:t>
      </w:r>
      <w:r w:rsidR="0038224B">
        <w:rPr>
          <w:rFonts w:ascii="Traditional Arabic" w:hAnsi="Traditional Arabic" w:hint="cs"/>
          <w:rtl/>
        </w:rPr>
        <w:t>ًّ</w:t>
      </w:r>
      <w:r w:rsidRPr="00ED39A4">
        <w:rPr>
          <w:rFonts w:ascii="Traditional Arabic" w:hAnsi="Traditional Arabic"/>
          <w:rtl/>
        </w:rPr>
        <w:t>ا من خلال بعض مؤلفاته وشروحاته في القواعد الفقهية</w:t>
      </w:r>
      <w:r w:rsidR="0038224B">
        <w:rPr>
          <w:rFonts w:ascii="Traditional Arabic" w:hAnsi="Traditional Arabic" w:hint="cs"/>
          <w:rtl/>
        </w:rPr>
        <w:t>،</w:t>
      </w:r>
      <w:r w:rsidRPr="00ED39A4">
        <w:rPr>
          <w:rFonts w:ascii="Traditional Arabic" w:hAnsi="Traditional Arabic"/>
          <w:rtl/>
        </w:rPr>
        <w:t xml:space="preserve"> ومن خلال بعض كتبه الأخرى ككتاب الشرح الممتع</w:t>
      </w:r>
      <w:r w:rsidR="0038224B">
        <w:rPr>
          <w:rFonts w:ascii="Traditional Arabic" w:hAnsi="Traditional Arabic" w:hint="cs"/>
          <w:rtl/>
        </w:rPr>
        <w:t>،</w:t>
      </w:r>
      <w:r w:rsidRPr="00ED39A4">
        <w:rPr>
          <w:rFonts w:ascii="Traditional Arabic" w:hAnsi="Traditional Arabic"/>
          <w:rtl/>
        </w:rPr>
        <w:t xml:space="preserve"> حيث جمع الشيخ فيه بين التقعيد والتأصيل</w:t>
      </w:r>
      <w:r w:rsidR="00B76414">
        <w:rPr>
          <w:rFonts w:ascii="Traditional Arabic" w:hAnsi="Traditional Arabic"/>
          <w:rtl/>
        </w:rPr>
        <w:t>،</w:t>
      </w:r>
      <w:r w:rsidRPr="00ED39A4">
        <w:rPr>
          <w:rFonts w:ascii="Traditional Arabic" w:hAnsi="Traditional Arabic"/>
          <w:rtl/>
        </w:rPr>
        <w:t xml:space="preserve"> وبين التطبيق والتمثيل وربط الفروع بالأصول</w:t>
      </w:r>
      <w:r w:rsidR="0038224B">
        <w:rPr>
          <w:rFonts w:ascii="Traditional Arabic" w:hAnsi="Traditional Arabic" w:hint="cs"/>
          <w:rtl/>
        </w:rPr>
        <w:t>،</w:t>
      </w:r>
      <w:r w:rsidRPr="00ED39A4">
        <w:rPr>
          <w:rFonts w:ascii="Traditional Arabic" w:hAnsi="Traditional Arabic"/>
          <w:rtl/>
        </w:rPr>
        <w:t xml:space="preserve"> جاعلا</w:t>
      </w:r>
      <w:r w:rsidR="0038224B">
        <w:rPr>
          <w:rFonts w:ascii="Traditional Arabic" w:hAnsi="Traditional Arabic" w:hint="cs"/>
          <w:rtl/>
        </w:rPr>
        <w:t>ً</w:t>
      </w:r>
      <w:r w:rsidRPr="00ED39A4">
        <w:rPr>
          <w:rFonts w:ascii="Traditional Arabic" w:hAnsi="Traditional Arabic"/>
          <w:rtl/>
        </w:rPr>
        <w:t xml:space="preserve"> الدليل</w:t>
      </w:r>
      <w:r w:rsidR="0038224B">
        <w:rPr>
          <w:rFonts w:ascii="Traditional Arabic" w:hAnsi="Traditional Arabic" w:hint="cs"/>
          <w:rtl/>
        </w:rPr>
        <w:t>َ</w:t>
      </w:r>
      <w:r w:rsidRPr="00ED39A4">
        <w:rPr>
          <w:rFonts w:ascii="Traditional Arabic" w:hAnsi="Traditional Arabic"/>
          <w:rtl/>
        </w:rPr>
        <w:t xml:space="preserve"> دائما نصب عينيه</w:t>
      </w:r>
      <w:r w:rsidR="00B76414">
        <w:rPr>
          <w:rFonts w:ascii="Traditional Arabic" w:hAnsi="Traditional Arabic"/>
          <w:rtl/>
        </w:rPr>
        <w:t>،</w:t>
      </w:r>
      <w:r w:rsidRPr="00ED39A4">
        <w:rPr>
          <w:rFonts w:ascii="Traditional Arabic" w:hAnsi="Traditional Arabic"/>
          <w:rtl/>
        </w:rPr>
        <w:t xml:space="preserve"> فكان كتابه مرجعا أساسيا لطلاب العلم ممن يرغب في تكوين الملكة الفقهية</w:t>
      </w:r>
      <w:r w:rsidR="00B76414">
        <w:rPr>
          <w:rFonts w:ascii="Traditional Arabic" w:hAnsi="Traditional Arabic"/>
          <w:rtl/>
        </w:rPr>
        <w:t>.</w:t>
      </w:r>
    </w:p>
    <w:p w:rsidR="00B276C1" w:rsidRPr="00ED39A4" w:rsidRDefault="00B276C1" w:rsidP="00597C20">
      <w:pPr>
        <w:ind w:firstLine="567"/>
        <w:rPr>
          <w:rFonts w:ascii="Traditional Arabic" w:hAnsi="Traditional Arabic"/>
          <w:b/>
          <w:bCs/>
          <w:rtl/>
        </w:rPr>
      </w:pPr>
      <w:r w:rsidRPr="00ED39A4">
        <w:rPr>
          <w:rFonts w:ascii="Traditional Arabic" w:hAnsi="Traditional Arabic"/>
          <w:rtl/>
        </w:rPr>
        <w:t>وبعد است</w:t>
      </w:r>
      <w:r w:rsidR="0038224B">
        <w:rPr>
          <w:rFonts w:ascii="Traditional Arabic" w:hAnsi="Traditional Arabic"/>
          <w:rtl/>
        </w:rPr>
        <w:t>شارتي لبعض مشايخي، استخرت الله</w:t>
      </w:r>
      <w:r w:rsidR="0038224B">
        <w:rPr>
          <w:rFonts w:ascii="Traditional Arabic" w:hAnsi="Traditional Arabic" w:hint="cs"/>
          <w:rtl/>
        </w:rPr>
        <w:t>_عز وجل_،</w:t>
      </w:r>
      <w:r w:rsidRPr="00ED39A4">
        <w:rPr>
          <w:rFonts w:ascii="Traditional Arabic" w:hAnsi="Traditional Arabic"/>
          <w:rtl/>
        </w:rPr>
        <w:t xml:space="preserve"> ورأيت أن يكون موضوع بحثي في</w:t>
      </w:r>
      <w:r w:rsidR="006F0830">
        <w:rPr>
          <w:rFonts w:ascii="Traditional Arabic" w:hAnsi="Traditional Arabic" w:hint="cs"/>
          <w:rtl/>
        </w:rPr>
        <w:t xml:space="preserve"> </w:t>
      </w:r>
      <w:r w:rsidRPr="00ED39A4">
        <w:rPr>
          <w:rFonts w:ascii="Traditional Arabic" w:hAnsi="Traditional Arabic"/>
          <w:rtl/>
        </w:rPr>
        <w:t>مرحلة</w:t>
      </w:r>
      <w:r>
        <w:rPr>
          <w:rFonts w:ascii="Traditional Arabic" w:hAnsi="Traditional Arabic"/>
          <w:rtl/>
        </w:rPr>
        <w:t>الماجستير</w:t>
      </w:r>
      <w:r>
        <w:rPr>
          <w:rFonts w:ascii="Traditional Arabic" w:hAnsi="Traditional Arabic" w:hint="cs"/>
          <w:rtl/>
        </w:rPr>
        <w:t>:</w:t>
      </w:r>
      <w:r w:rsidR="00B76414">
        <w:rPr>
          <w:rFonts w:ascii="Traditional Arabic" w:hAnsi="Traditional Arabic"/>
          <w:rtl/>
        </w:rPr>
        <w:t>(</w:t>
      </w:r>
      <w:r w:rsidRPr="00ED39A4">
        <w:rPr>
          <w:rFonts w:ascii="Traditional Arabic" w:hAnsi="Traditional Arabic"/>
          <w:rtl/>
        </w:rPr>
        <w:t>القواعد والضوابط الفقهية عند الشيخ ابن عثيمين</w:t>
      </w:r>
      <w:r w:rsidR="009A0575" w:rsidRPr="005D5694">
        <w:rPr>
          <w:rFonts w:ascii="Traditional Arabic" w:hAnsi="Traditional Arabic" w:cs="CTraditional Arabic" w:hint="cs"/>
          <w:rtl/>
        </w:rPr>
        <w:t>/</w:t>
      </w:r>
      <w:r w:rsidRPr="00ED39A4">
        <w:rPr>
          <w:rFonts w:ascii="Traditional Arabic" w:hAnsi="Traditional Arabic"/>
          <w:rtl/>
        </w:rPr>
        <w:t xml:space="preserve"> في المعاملات من </w:t>
      </w:r>
      <w:r w:rsidRPr="00ED39A4">
        <w:rPr>
          <w:rFonts w:ascii="Traditional Arabic" w:hAnsi="Traditional Arabic"/>
          <w:rtl/>
        </w:rPr>
        <w:lastRenderedPageBreak/>
        <w:t>الشرح الممتع</w:t>
      </w:r>
      <w:r>
        <w:rPr>
          <w:rFonts w:ascii="Traditional Arabic" w:hAnsi="Traditional Arabic" w:hint="cs"/>
          <w:rtl/>
        </w:rPr>
        <w:t xml:space="preserve">- </w:t>
      </w:r>
      <w:r w:rsidRPr="00ED39A4">
        <w:rPr>
          <w:rFonts w:ascii="Traditional Arabic" w:hAnsi="Traditional Arabic"/>
          <w:rtl/>
        </w:rPr>
        <w:t>جمعا ودراسة</w:t>
      </w:r>
      <w:r>
        <w:rPr>
          <w:rFonts w:ascii="Traditional Arabic" w:hAnsi="Traditional Arabic" w:hint="cs"/>
          <w:rtl/>
        </w:rPr>
        <w:t>-</w:t>
      </w:r>
      <w:r w:rsidRPr="00ED39A4">
        <w:rPr>
          <w:rFonts w:ascii="Traditional Arabic" w:hAnsi="Traditional Arabic"/>
          <w:rtl/>
        </w:rPr>
        <w:t>)</w:t>
      </w:r>
      <w:r w:rsidR="0038224B">
        <w:rPr>
          <w:rFonts w:ascii="Traditional Arabic" w:hAnsi="Traditional Arabic" w:hint="cs"/>
          <w:rtl/>
        </w:rPr>
        <w:t>،</w:t>
      </w:r>
      <w:r w:rsidRPr="00ED39A4">
        <w:rPr>
          <w:rFonts w:ascii="Traditional Arabic" w:hAnsi="Traditional Arabic"/>
          <w:rtl/>
        </w:rPr>
        <w:t xml:space="preserve"> وكان هذا بعد أن استوثقت من أنه لم يكتب في هذا الموضوع في أيّ</w:t>
      </w:r>
      <w:r w:rsidR="0038224B">
        <w:rPr>
          <w:rFonts w:ascii="Traditional Arabic" w:hAnsi="Traditional Arabic" w:hint="cs"/>
          <w:rtl/>
        </w:rPr>
        <w:t>ٍ</w:t>
      </w:r>
      <w:r w:rsidRPr="00ED39A4">
        <w:rPr>
          <w:rFonts w:ascii="Traditional Arabic" w:hAnsi="Traditional Arabic"/>
          <w:rtl/>
        </w:rPr>
        <w:t xml:space="preserve"> من جامعات المملكة</w:t>
      </w:r>
      <w:r w:rsidR="00B76414">
        <w:rPr>
          <w:rFonts w:ascii="Traditional Arabic" w:hAnsi="Traditional Arabic"/>
          <w:rtl/>
        </w:rPr>
        <w:t>.</w:t>
      </w:r>
    </w:p>
    <w:p w:rsidR="00B276C1" w:rsidRPr="00FA7BB7" w:rsidRDefault="00B276C1" w:rsidP="00597C20">
      <w:pPr>
        <w:ind w:firstLine="567"/>
        <w:rPr>
          <w:rFonts w:ascii="Traditional Arabic" w:hAnsi="Traditional Arabic"/>
          <w:rtl/>
        </w:rPr>
      </w:pPr>
      <w:r w:rsidRPr="00ED39A4">
        <w:rPr>
          <w:rFonts w:ascii="Traditional Arabic" w:hAnsi="Traditional Arabic"/>
          <w:rtl/>
        </w:rPr>
        <w:t>ومن الله أستمد العون والتسديد أولا وآخرا</w:t>
      </w:r>
      <w:r w:rsidR="0038224B">
        <w:rPr>
          <w:rFonts w:ascii="Traditional Arabic" w:hAnsi="Traditional Arabic" w:hint="cs"/>
          <w:rtl/>
        </w:rPr>
        <w:t>،</w:t>
      </w:r>
      <w:r w:rsidRPr="00ED39A4">
        <w:rPr>
          <w:rFonts w:ascii="Traditional Arabic" w:hAnsi="Traditional Arabic"/>
          <w:rtl/>
        </w:rPr>
        <w:t xml:space="preserve"> وأسأله</w:t>
      </w:r>
      <w:r w:rsidR="008F36CC">
        <w:rPr>
          <w:rFonts w:ascii="Traditional Arabic" w:hAnsi="Traditional Arabic"/>
          <w:rtl/>
        </w:rPr>
        <w:t xml:space="preserve"> تعالى أن يرزقني حسن القصد و</w:t>
      </w:r>
      <w:r w:rsidR="008F36CC">
        <w:rPr>
          <w:rFonts w:ascii="Traditional Arabic" w:hAnsi="Traditional Arabic" w:hint="cs"/>
          <w:rtl/>
        </w:rPr>
        <w:t>صحة</w:t>
      </w:r>
      <w:r w:rsidRPr="00ED39A4">
        <w:rPr>
          <w:rFonts w:ascii="Traditional Arabic" w:hAnsi="Traditional Arabic"/>
          <w:rtl/>
        </w:rPr>
        <w:t xml:space="preserve"> الفهم</w:t>
      </w:r>
      <w:r w:rsidR="0038224B">
        <w:rPr>
          <w:rFonts w:ascii="Traditional Arabic" w:hAnsi="Traditional Arabic" w:hint="cs"/>
          <w:rtl/>
        </w:rPr>
        <w:t>،</w:t>
      </w:r>
      <w:r w:rsidRPr="00ED39A4">
        <w:rPr>
          <w:rFonts w:ascii="Traditional Arabic" w:hAnsi="Traditional Arabic"/>
          <w:rtl/>
        </w:rPr>
        <w:t xml:space="preserve"> إنه ولي ذلك والقادر عليه.</w:t>
      </w:r>
    </w:p>
    <w:p w:rsidR="00065E4B" w:rsidRPr="00FA7BB7" w:rsidRDefault="00B276C1" w:rsidP="00A8347C">
      <w:pPr>
        <w:pStyle w:val="aff3"/>
        <w:rPr>
          <w:rtl/>
        </w:rPr>
      </w:pPr>
      <w:bookmarkStart w:id="4" w:name="_Toc334046268"/>
      <w:r w:rsidRPr="00FA7BB7">
        <w:rPr>
          <w:rtl/>
        </w:rPr>
        <w:t>أسباب اختيار الموضوع</w:t>
      </w:r>
      <w:bookmarkEnd w:id="4"/>
    </w:p>
    <w:p w:rsidR="00065E4B" w:rsidRPr="00FA7BB7" w:rsidRDefault="00065E4B" w:rsidP="00597C20">
      <w:pPr>
        <w:pStyle w:val="afc"/>
        <w:numPr>
          <w:ilvl w:val="0"/>
          <w:numId w:val="11"/>
        </w:numPr>
        <w:spacing w:after="200"/>
        <w:ind w:left="566" w:hanging="284"/>
        <w:rPr>
          <w:rFonts w:ascii="Traditional Arabic" w:hAnsi="Traditional Arabic"/>
        </w:rPr>
      </w:pPr>
      <w:r w:rsidRPr="00FA7BB7">
        <w:rPr>
          <w:rFonts w:ascii="Traditional Arabic" w:hAnsi="Traditional Arabic"/>
          <w:rtl/>
        </w:rPr>
        <w:t>إ</w:t>
      </w:r>
      <w:r w:rsidR="00B276C1" w:rsidRPr="00FA7BB7">
        <w:rPr>
          <w:rFonts w:ascii="Traditional Arabic" w:hAnsi="Traditional Arabic"/>
          <w:rtl/>
        </w:rPr>
        <w:t>براز معالم هذا الفن الجليل والرد على الطاعنين فيه</w:t>
      </w:r>
      <w:r w:rsidR="00B76414">
        <w:rPr>
          <w:rFonts w:ascii="Traditional Arabic" w:hAnsi="Traditional Arabic"/>
          <w:rtl/>
        </w:rPr>
        <w:t>،</w:t>
      </w:r>
      <w:r w:rsidR="00B276C1" w:rsidRPr="00FA7BB7">
        <w:rPr>
          <w:rFonts w:ascii="Traditional Arabic" w:hAnsi="Traditional Arabic"/>
          <w:rtl/>
        </w:rPr>
        <w:t xml:space="preserve"> والذين قللوا من شأنه ونفوا صلاحية القاعدة الفقهية لأن تكون دليلا على الأحكام الشرعية بإطلاق.</w:t>
      </w:r>
    </w:p>
    <w:p w:rsidR="00065E4B" w:rsidRPr="00FA7BB7" w:rsidRDefault="00065E4B" w:rsidP="00597C20">
      <w:pPr>
        <w:pStyle w:val="afc"/>
        <w:numPr>
          <w:ilvl w:val="0"/>
          <w:numId w:val="11"/>
        </w:numPr>
        <w:spacing w:after="200"/>
        <w:ind w:left="566" w:hanging="284"/>
        <w:rPr>
          <w:rFonts w:ascii="Traditional Arabic" w:hAnsi="Traditional Arabic"/>
        </w:rPr>
      </w:pPr>
      <w:r w:rsidRPr="00FA7BB7">
        <w:rPr>
          <w:rFonts w:ascii="Traditional Arabic" w:hAnsi="Traditional Arabic"/>
          <w:rtl/>
        </w:rPr>
        <w:t>م</w:t>
      </w:r>
      <w:r w:rsidR="00B276C1" w:rsidRPr="00FA7BB7">
        <w:rPr>
          <w:rFonts w:ascii="Traditional Arabic" w:hAnsi="Traditional Arabic"/>
          <w:rtl/>
        </w:rPr>
        <w:t>عرفة التعامل الصحيح مع القاعدة الفقهية استدلالا وتطبيقا وترجيحا</w:t>
      </w:r>
      <w:r w:rsidR="00B76414">
        <w:rPr>
          <w:rFonts w:ascii="Traditional Arabic" w:hAnsi="Traditional Arabic"/>
          <w:rtl/>
        </w:rPr>
        <w:t>.</w:t>
      </w:r>
    </w:p>
    <w:p w:rsidR="00065E4B" w:rsidRPr="00FA7BB7" w:rsidRDefault="00065E4B" w:rsidP="00597C20">
      <w:pPr>
        <w:pStyle w:val="afc"/>
        <w:numPr>
          <w:ilvl w:val="0"/>
          <w:numId w:val="11"/>
        </w:numPr>
        <w:spacing w:after="200"/>
        <w:ind w:left="566" w:hanging="284"/>
        <w:rPr>
          <w:rFonts w:ascii="Traditional Arabic" w:hAnsi="Traditional Arabic"/>
        </w:rPr>
      </w:pPr>
      <w:r w:rsidRPr="00FA7BB7">
        <w:rPr>
          <w:rFonts w:ascii="Traditional Arabic" w:hAnsi="Traditional Arabic"/>
          <w:rtl/>
        </w:rPr>
        <w:t>ت</w:t>
      </w:r>
      <w:r w:rsidR="00B276C1" w:rsidRPr="00FA7BB7">
        <w:rPr>
          <w:rFonts w:ascii="Traditional Arabic" w:hAnsi="Traditional Arabic"/>
          <w:rtl/>
        </w:rPr>
        <w:t>كوين الملكة الفقهية التي تؤهل الباحث لأن يكون فقيها قادرا على رد الفروع إلى الأصول وتنزيل الأحكام على الوقائع</w:t>
      </w:r>
      <w:r w:rsidR="00B76414">
        <w:rPr>
          <w:rFonts w:ascii="Traditional Arabic" w:hAnsi="Traditional Arabic"/>
          <w:rtl/>
        </w:rPr>
        <w:t>.</w:t>
      </w:r>
    </w:p>
    <w:p w:rsidR="00065E4B" w:rsidRPr="00FA7BB7" w:rsidRDefault="00065E4B" w:rsidP="00597C20">
      <w:pPr>
        <w:pStyle w:val="afc"/>
        <w:numPr>
          <w:ilvl w:val="0"/>
          <w:numId w:val="11"/>
        </w:numPr>
        <w:spacing w:after="200"/>
        <w:ind w:left="566" w:hanging="284"/>
        <w:rPr>
          <w:rFonts w:ascii="Traditional Arabic" w:hAnsi="Traditional Arabic"/>
        </w:rPr>
      </w:pPr>
      <w:r w:rsidRPr="00FA7BB7">
        <w:rPr>
          <w:rFonts w:ascii="Traditional Arabic" w:hAnsi="Traditional Arabic"/>
          <w:rtl/>
        </w:rPr>
        <w:t>م</w:t>
      </w:r>
      <w:r w:rsidR="00B276C1" w:rsidRPr="00FA7BB7">
        <w:rPr>
          <w:rFonts w:ascii="Traditional Arabic" w:hAnsi="Traditional Arabic"/>
          <w:rtl/>
        </w:rPr>
        <w:t>كانة الشيخ العلمية التي شهد له بها القاصي والداني</w:t>
      </w:r>
      <w:r w:rsidR="00B76414">
        <w:rPr>
          <w:rFonts w:ascii="Traditional Arabic" w:hAnsi="Traditional Arabic"/>
          <w:rtl/>
        </w:rPr>
        <w:t>،</w:t>
      </w:r>
      <w:r w:rsidR="00B276C1" w:rsidRPr="00FA7BB7">
        <w:rPr>
          <w:rFonts w:ascii="Traditional Arabic" w:hAnsi="Traditional Arabic"/>
          <w:rtl/>
        </w:rPr>
        <w:t xml:space="preserve"> ورسوخه في الفقه أصولا وفروعا واستنباطا وترجيحا.</w:t>
      </w:r>
    </w:p>
    <w:p w:rsidR="00B76414" w:rsidRDefault="00065E4B" w:rsidP="00597C20">
      <w:pPr>
        <w:pStyle w:val="afc"/>
        <w:numPr>
          <w:ilvl w:val="0"/>
          <w:numId w:val="11"/>
        </w:numPr>
        <w:ind w:left="566" w:hanging="284"/>
        <w:rPr>
          <w:rFonts w:ascii="Traditional Arabic" w:hAnsi="Traditional Arabic"/>
          <w:rtl/>
        </w:rPr>
      </w:pPr>
      <w:r w:rsidRPr="00FA7BB7">
        <w:rPr>
          <w:rFonts w:ascii="Traditional Arabic" w:hAnsi="Traditional Arabic"/>
          <w:rtl/>
        </w:rPr>
        <w:t>ا</w:t>
      </w:r>
      <w:r w:rsidR="00B276C1" w:rsidRPr="00FA7BB7">
        <w:rPr>
          <w:rFonts w:ascii="Traditional Arabic" w:hAnsi="Traditional Arabic"/>
          <w:rtl/>
        </w:rPr>
        <w:t>لإسهام في إبراز جانب من جوانب علم الشيخ</w:t>
      </w:r>
      <w:r w:rsidR="00E53843">
        <w:rPr>
          <w:rFonts w:ascii="Traditional Arabic" w:hAnsi="Traditional Arabic" w:hint="cs"/>
          <w:rtl/>
        </w:rPr>
        <w:t>،</w:t>
      </w:r>
      <w:r w:rsidR="00B276C1" w:rsidRPr="00FA7BB7">
        <w:rPr>
          <w:rFonts w:ascii="Traditional Arabic" w:hAnsi="Traditional Arabic"/>
          <w:rtl/>
        </w:rPr>
        <w:t xml:space="preserve"> وبيان مكانته وجهوده في خدمة علوم الشريعة عموما</w:t>
      </w:r>
      <w:r w:rsidR="00E53843">
        <w:rPr>
          <w:rFonts w:ascii="Traditional Arabic" w:hAnsi="Traditional Arabic" w:hint="cs"/>
          <w:rtl/>
        </w:rPr>
        <w:t>،</w:t>
      </w:r>
      <w:r w:rsidR="00B276C1" w:rsidRPr="00FA7BB7">
        <w:rPr>
          <w:rFonts w:ascii="Traditional Arabic" w:hAnsi="Traditional Arabic"/>
          <w:rtl/>
        </w:rPr>
        <w:t xml:space="preserve"> وخدمة الفقه خصوصا</w:t>
      </w:r>
      <w:r w:rsidR="00B76414">
        <w:rPr>
          <w:rFonts w:ascii="Traditional Arabic" w:hAnsi="Traditional Arabic"/>
          <w:rtl/>
        </w:rPr>
        <w:t>.</w:t>
      </w:r>
    </w:p>
    <w:p w:rsidR="00065E4B" w:rsidRPr="005F53FF" w:rsidRDefault="00B276C1" w:rsidP="00A8347C">
      <w:pPr>
        <w:pStyle w:val="aff3"/>
      </w:pPr>
      <w:bookmarkStart w:id="5" w:name="_Toc334046269"/>
      <w:r w:rsidRPr="005F53FF">
        <w:rPr>
          <w:rtl/>
        </w:rPr>
        <w:t>الدراسات السابقة</w:t>
      </w:r>
      <w:bookmarkEnd w:id="5"/>
    </w:p>
    <w:p w:rsidR="00B276C1" w:rsidRPr="00ED39A4" w:rsidRDefault="00065E4B" w:rsidP="00597C20">
      <w:pPr>
        <w:rPr>
          <w:rFonts w:ascii="Traditional Arabic" w:hAnsi="Traditional Arabic"/>
          <w:b/>
          <w:bCs/>
        </w:rPr>
      </w:pPr>
      <w:r w:rsidRPr="00ED39A4">
        <w:rPr>
          <w:rFonts w:ascii="Traditional Arabic" w:hAnsi="Traditional Arabic"/>
          <w:rtl/>
        </w:rPr>
        <w:t>ح</w:t>
      </w:r>
      <w:r w:rsidR="00B276C1" w:rsidRPr="00ED39A4">
        <w:rPr>
          <w:rFonts w:ascii="Traditional Arabic" w:hAnsi="Traditional Arabic"/>
          <w:rtl/>
        </w:rPr>
        <w:t>ظي الشيخ ابن عثيمين باهتمام الباحثين، حيث كُتِب حول تراثه العلمي عدّة رسائل جامعية متنوّعة، في كثير من المواضيع؛</w:t>
      </w:r>
      <w:r w:rsidR="00154102">
        <w:rPr>
          <w:rFonts w:ascii="Traditional Arabic" w:hAnsi="Traditional Arabic"/>
          <w:rtl/>
        </w:rPr>
        <w:t xml:space="preserve"> و</w:t>
      </w:r>
      <w:r w:rsidR="00B276C1" w:rsidRPr="00ED39A4">
        <w:rPr>
          <w:rFonts w:ascii="Traditional Arabic" w:hAnsi="Traditional Arabic"/>
          <w:rtl/>
        </w:rPr>
        <w:t>من ذلك موضوع القواعد الفقهية.</w:t>
      </w:r>
      <w:r w:rsidR="00154102">
        <w:rPr>
          <w:rFonts w:ascii="Traditional Arabic" w:hAnsi="Traditional Arabic"/>
          <w:rtl/>
        </w:rPr>
        <w:t xml:space="preserve"> و</w:t>
      </w:r>
      <w:r w:rsidR="00B276C1" w:rsidRPr="00ED39A4">
        <w:rPr>
          <w:rFonts w:ascii="Traditional Arabic" w:hAnsi="Traditional Arabic"/>
          <w:rtl/>
        </w:rPr>
        <w:t>مما اطلعت عليه في هذا الباب:</w:t>
      </w:r>
    </w:p>
    <w:p w:rsidR="00B276C1" w:rsidRDefault="00B276C1" w:rsidP="00597C20">
      <w:pPr>
        <w:pStyle w:val="afc"/>
        <w:numPr>
          <w:ilvl w:val="0"/>
          <w:numId w:val="12"/>
        </w:numPr>
        <w:spacing w:after="240"/>
        <w:ind w:left="0" w:firstLine="567"/>
        <w:contextualSpacing w:val="0"/>
        <w:rPr>
          <w:rFonts w:ascii="Traditional Arabic" w:hAnsi="Traditional Arabic"/>
        </w:rPr>
      </w:pPr>
      <w:r w:rsidRPr="00FA7BB7">
        <w:rPr>
          <w:rFonts w:ascii="Traditional Arabic" w:hAnsi="Traditional Arabic"/>
          <w:rtl/>
        </w:rPr>
        <w:t xml:space="preserve">القواعد والضوابط الفقهية عند الشيخ ابن عثيمين في الشرح الممتع في كتاب العبادات، دراسة نظرية تطبيقية، </w:t>
      </w:r>
      <w:r w:rsidR="00E27F3A">
        <w:rPr>
          <w:rFonts w:ascii="Traditional Arabic" w:hAnsi="Traditional Arabic"/>
          <w:rtl/>
        </w:rPr>
        <w:t xml:space="preserve">رسالة ماجستير -جامعة أم القرى- </w:t>
      </w:r>
      <w:r w:rsidR="00E27F3A">
        <w:rPr>
          <w:rFonts w:ascii="Traditional Arabic" w:hAnsi="Traditional Arabic" w:hint="cs"/>
          <w:rtl/>
        </w:rPr>
        <w:t>للأخ الفاضل ا</w:t>
      </w:r>
      <w:r w:rsidRPr="00FA7BB7">
        <w:rPr>
          <w:rFonts w:ascii="Traditional Arabic" w:hAnsi="Traditional Arabic"/>
          <w:rtl/>
        </w:rPr>
        <w:t>لباحث: تركي الميمان.</w:t>
      </w:r>
    </w:p>
    <w:p w:rsidR="00E27F3A" w:rsidRPr="00FA7BB7" w:rsidRDefault="00E27F3A" w:rsidP="00597C20">
      <w:pPr>
        <w:pStyle w:val="afc"/>
        <w:numPr>
          <w:ilvl w:val="0"/>
          <w:numId w:val="12"/>
        </w:numPr>
        <w:spacing w:after="240"/>
        <w:ind w:left="0" w:firstLine="567"/>
        <w:contextualSpacing w:val="0"/>
        <w:rPr>
          <w:rFonts w:ascii="Traditional Arabic" w:hAnsi="Traditional Arabic"/>
        </w:rPr>
      </w:pPr>
      <w:r>
        <w:rPr>
          <w:rFonts w:ascii="Traditional Arabic" w:hAnsi="Traditional Arabic" w:hint="cs"/>
          <w:rtl/>
        </w:rPr>
        <w:t>القواعد والضوابط الفقهية عند الشيخ ابن عثيمين من خلال الشرح الممتع من كتاب الوقف إلى آخر الكتاب_جمعا ودراسة_</w:t>
      </w:r>
      <w:r w:rsidR="00073E31">
        <w:rPr>
          <w:rFonts w:ascii="Traditional Arabic" w:hAnsi="Traditional Arabic" w:hint="cs"/>
          <w:rtl/>
        </w:rPr>
        <w:t xml:space="preserve">، وهو مشروع رسالة ماجستير تقدم به الأخ الفاضل </w:t>
      </w:r>
      <w:r w:rsidR="00073E31">
        <w:rPr>
          <w:rFonts w:ascii="Traditional Arabic" w:hAnsi="Traditional Arabic" w:hint="cs"/>
          <w:rtl/>
        </w:rPr>
        <w:lastRenderedPageBreak/>
        <w:t>الباحث صالح بن جدو إلى قسم الفقه بكلية الشريعة بالجامعة الإسلامية بالمدينة المنورة</w:t>
      </w:r>
      <w:r w:rsidR="00073E31" w:rsidRPr="00073E31">
        <w:rPr>
          <w:rFonts w:ascii="Traditional Arabic" w:hAnsi="Traditional Arabic" w:hint="cs"/>
          <w:vertAlign w:val="superscript"/>
          <w:rtl/>
        </w:rPr>
        <w:t>(</w:t>
      </w:r>
      <w:r w:rsidR="00073E31" w:rsidRPr="00073E31">
        <w:rPr>
          <w:rStyle w:val="af1"/>
          <w:rFonts w:ascii="Traditional Arabic" w:hAnsi="Traditional Arabic"/>
          <w:rtl/>
        </w:rPr>
        <w:footnoteReference w:id="5"/>
      </w:r>
      <w:r w:rsidR="00073E31" w:rsidRPr="00073E31">
        <w:rPr>
          <w:rFonts w:ascii="Traditional Arabic" w:hAnsi="Traditional Arabic" w:hint="cs"/>
          <w:vertAlign w:val="superscript"/>
          <w:rtl/>
        </w:rPr>
        <w:t>)</w:t>
      </w:r>
      <w:r w:rsidR="00073E31">
        <w:rPr>
          <w:rFonts w:ascii="Traditional Arabic" w:hAnsi="Traditional Arabic" w:hint="cs"/>
          <w:rtl/>
        </w:rPr>
        <w:t>.</w:t>
      </w:r>
    </w:p>
    <w:p w:rsidR="00F228A9" w:rsidRPr="00FA7BB7" w:rsidRDefault="00B276C1" w:rsidP="00597C20">
      <w:pPr>
        <w:pStyle w:val="afc"/>
        <w:numPr>
          <w:ilvl w:val="0"/>
          <w:numId w:val="12"/>
        </w:numPr>
        <w:spacing w:after="240"/>
        <w:ind w:left="0" w:firstLine="567"/>
        <w:contextualSpacing w:val="0"/>
        <w:rPr>
          <w:rFonts w:ascii="Traditional Arabic" w:hAnsi="Traditional Arabic"/>
          <w:rtl/>
        </w:rPr>
      </w:pPr>
      <w:r w:rsidRPr="00FA7BB7">
        <w:rPr>
          <w:rFonts w:ascii="Traditional Arabic" w:hAnsi="Traditional Arabic"/>
          <w:rtl/>
        </w:rPr>
        <w:t xml:space="preserve">وأما في الفنون الأخرى، ففي الجدول التالي سَرْدٌ لعدد من الرسائل العلمية المقدمة في جهود الشيخ </w:t>
      </w:r>
      <w:r w:rsidR="009A0575" w:rsidRPr="005D5694">
        <w:rPr>
          <w:rFonts w:ascii="Traditional Arabic" w:hAnsi="Traditional Arabic" w:cs="CTraditional Arabic" w:hint="cs"/>
          <w:rtl/>
        </w:rPr>
        <w:t>/</w:t>
      </w:r>
      <w:r w:rsidR="00E53843">
        <w:rPr>
          <w:rStyle w:val="af1"/>
          <w:rFonts w:ascii="Traditional Arabic" w:hAnsi="Traditional Arabic"/>
          <w:rtl/>
        </w:rPr>
        <w:footnoteReference w:id="6"/>
      </w:r>
      <w:r w:rsidRPr="00FA7BB7">
        <w:rPr>
          <w:rFonts w:ascii="Traditional Arabic" w:hAnsi="Traditional Arabic"/>
          <w:rtl/>
        </w:rPr>
        <w:t>:</w:t>
      </w:r>
    </w:p>
    <w:tbl>
      <w:tblPr>
        <w:bidiVisual/>
        <w:tblW w:w="0" w:type="auto"/>
        <w:jc w:val="center"/>
        <w:tblBorders>
          <w:top w:val="double" w:sz="6" w:space="0" w:color="auto"/>
          <w:left w:val="double" w:sz="6" w:space="0" w:color="auto"/>
          <w:bottom w:val="double" w:sz="6" w:space="0" w:color="auto"/>
          <w:right w:val="double" w:sz="6" w:space="0" w:color="auto"/>
          <w:insideH w:val="single" w:sz="8" w:space="0" w:color="auto"/>
          <w:insideV w:val="single" w:sz="8" w:space="0" w:color="auto"/>
        </w:tblBorders>
        <w:tblLook w:val="01E0"/>
      </w:tblPr>
      <w:tblGrid>
        <w:gridCol w:w="536"/>
        <w:gridCol w:w="2366"/>
        <w:gridCol w:w="1800"/>
        <w:gridCol w:w="1084"/>
        <w:gridCol w:w="2980"/>
      </w:tblGrid>
      <w:tr w:rsidR="005B6F97" w:rsidRPr="00FA7BB7" w:rsidTr="00F76EA4">
        <w:trPr>
          <w:cantSplit/>
          <w:tblHeader/>
          <w:jc w:val="center"/>
        </w:trPr>
        <w:tc>
          <w:tcPr>
            <w:tcW w:w="536" w:type="dxa"/>
            <w:tcBorders>
              <w:top w:val="double" w:sz="6" w:space="0" w:color="auto"/>
              <w:bottom w:val="double" w:sz="6" w:space="0" w:color="auto"/>
            </w:tcBorders>
            <w:shd w:val="clear" w:color="auto" w:fill="E0E0E0"/>
            <w:vAlign w:val="center"/>
          </w:tcPr>
          <w:p w:rsidR="005B6F97" w:rsidRPr="00FA7BB7" w:rsidRDefault="005B6F97" w:rsidP="00597C20">
            <w:pPr>
              <w:ind w:firstLine="0"/>
              <w:jc w:val="left"/>
              <w:rPr>
                <w:rFonts w:ascii="Traditional Arabic" w:hAnsi="Traditional Arabic"/>
                <w:rtl/>
              </w:rPr>
            </w:pPr>
            <w:r w:rsidRPr="00FA7BB7">
              <w:rPr>
                <w:rFonts w:ascii="Traditional Arabic" w:hAnsi="Traditional Arabic"/>
                <w:rtl/>
              </w:rPr>
              <w:t>م</w:t>
            </w:r>
          </w:p>
        </w:tc>
        <w:tc>
          <w:tcPr>
            <w:tcW w:w="2366" w:type="dxa"/>
            <w:tcBorders>
              <w:top w:val="double" w:sz="6" w:space="0" w:color="auto"/>
              <w:bottom w:val="double" w:sz="6" w:space="0" w:color="auto"/>
            </w:tcBorders>
            <w:shd w:val="clear" w:color="auto" w:fill="E0E0E0"/>
            <w:vAlign w:val="center"/>
          </w:tcPr>
          <w:p w:rsidR="005B6F97" w:rsidRPr="00FA7BB7" w:rsidRDefault="005B6F97" w:rsidP="00597C20">
            <w:pPr>
              <w:ind w:firstLine="0"/>
              <w:jc w:val="left"/>
              <w:rPr>
                <w:rFonts w:ascii="Traditional Arabic" w:hAnsi="Traditional Arabic"/>
                <w:rtl/>
              </w:rPr>
            </w:pPr>
            <w:r w:rsidRPr="00FA7BB7">
              <w:rPr>
                <w:rFonts w:ascii="Traditional Arabic" w:hAnsi="Traditional Arabic"/>
                <w:rtl/>
              </w:rPr>
              <w:t>مُقــدِّم الرســالة</w:t>
            </w:r>
          </w:p>
        </w:tc>
        <w:tc>
          <w:tcPr>
            <w:tcW w:w="1800" w:type="dxa"/>
            <w:tcBorders>
              <w:top w:val="double" w:sz="6" w:space="0" w:color="auto"/>
              <w:bottom w:val="double" w:sz="6" w:space="0" w:color="auto"/>
            </w:tcBorders>
            <w:shd w:val="clear" w:color="auto" w:fill="E0E0E0"/>
            <w:vAlign w:val="center"/>
          </w:tcPr>
          <w:p w:rsidR="005B6F97" w:rsidRPr="00FA7BB7" w:rsidRDefault="005B6F97" w:rsidP="00597C20">
            <w:pPr>
              <w:ind w:firstLine="0"/>
              <w:jc w:val="left"/>
              <w:rPr>
                <w:rFonts w:ascii="Traditional Arabic" w:hAnsi="Traditional Arabic"/>
                <w:rtl/>
              </w:rPr>
            </w:pPr>
            <w:r w:rsidRPr="00FA7BB7">
              <w:rPr>
                <w:rFonts w:ascii="Traditional Arabic" w:hAnsi="Traditional Arabic"/>
                <w:rtl/>
              </w:rPr>
              <w:t>الجامعــــة</w:t>
            </w:r>
          </w:p>
        </w:tc>
        <w:tc>
          <w:tcPr>
            <w:tcW w:w="1084" w:type="dxa"/>
            <w:tcBorders>
              <w:top w:val="double" w:sz="6" w:space="0" w:color="auto"/>
              <w:bottom w:val="double" w:sz="6" w:space="0" w:color="auto"/>
            </w:tcBorders>
            <w:shd w:val="clear" w:color="auto" w:fill="E0E0E0"/>
            <w:vAlign w:val="center"/>
          </w:tcPr>
          <w:p w:rsidR="005B6F97" w:rsidRPr="00FA7BB7" w:rsidRDefault="005B6F97" w:rsidP="00597C20">
            <w:pPr>
              <w:ind w:firstLine="0"/>
              <w:jc w:val="left"/>
              <w:rPr>
                <w:rFonts w:ascii="Traditional Arabic" w:hAnsi="Traditional Arabic"/>
                <w:rtl/>
              </w:rPr>
            </w:pPr>
            <w:r w:rsidRPr="00FA7BB7">
              <w:rPr>
                <w:rFonts w:ascii="Traditional Arabic" w:hAnsi="Traditional Arabic"/>
                <w:rtl/>
              </w:rPr>
              <w:t>الدرجة</w:t>
            </w:r>
          </w:p>
          <w:p w:rsidR="005B6F97" w:rsidRPr="00FA7BB7" w:rsidRDefault="005B6F97" w:rsidP="00597C20">
            <w:pPr>
              <w:ind w:firstLine="0"/>
              <w:jc w:val="left"/>
              <w:rPr>
                <w:rFonts w:ascii="Traditional Arabic" w:hAnsi="Traditional Arabic"/>
                <w:rtl/>
              </w:rPr>
            </w:pPr>
            <w:r w:rsidRPr="00FA7BB7">
              <w:rPr>
                <w:rFonts w:ascii="Traditional Arabic" w:hAnsi="Traditional Arabic"/>
                <w:rtl/>
              </w:rPr>
              <w:t>العلمية</w:t>
            </w:r>
          </w:p>
        </w:tc>
        <w:tc>
          <w:tcPr>
            <w:tcW w:w="2980" w:type="dxa"/>
            <w:tcBorders>
              <w:top w:val="double" w:sz="6" w:space="0" w:color="auto"/>
              <w:bottom w:val="double" w:sz="6" w:space="0" w:color="auto"/>
            </w:tcBorders>
            <w:shd w:val="clear" w:color="auto" w:fill="E0E0E0"/>
            <w:vAlign w:val="center"/>
          </w:tcPr>
          <w:p w:rsidR="005B6F97" w:rsidRPr="00FA7BB7" w:rsidRDefault="005B6F97" w:rsidP="00597C20">
            <w:pPr>
              <w:ind w:firstLine="0"/>
              <w:jc w:val="left"/>
              <w:rPr>
                <w:rFonts w:ascii="Traditional Arabic" w:hAnsi="Traditional Arabic"/>
                <w:rtl/>
              </w:rPr>
            </w:pPr>
            <w:r w:rsidRPr="00FA7BB7">
              <w:rPr>
                <w:rFonts w:ascii="Traditional Arabic" w:hAnsi="Traditional Arabic"/>
                <w:rtl/>
              </w:rPr>
              <w:t>موضــوع الدراســــة</w:t>
            </w:r>
          </w:p>
        </w:tc>
      </w:tr>
      <w:tr w:rsidR="005B6F97" w:rsidRPr="00FA7BB7" w:rsidTr="00F76EA4">
        <w:trPr>
          <w:cantSplit/>
          <w:jc w:val="center"/>
        </w:trPr>
        <w:tc>
          <w:tcPr>
            <w:tcW w:w="536" w:type="dxa"/>
            <w:tcBorders>
              <w:top w:val="double" w:sz="6" w:space="0" w:color="auto"/>
            </w:tcBorders>
            <w:shd w:val="clear" w:color="auto" w:fill="E0E0E0"/>
            <w:vAlign w:val="center"/>
          </w:tcPr>
          <w:p w:rsidR="005B6F97" w:rsidRPr="00FA7BB7" w:rsidRDefault="005B6F97" w:rsidP="00597C20">
            <w:pPr>
              <w:numPr>
                <w:ilvl w:val="0"/>
                <w:numId w:val="10"/>
              </w:numPr>
              <w:ind w:left="0" w:firstLine="0"/>
              <w:jc w:val="left"/>
              <w:rPr>
                <w:rFonts w:ascii="Traditional Arabic" w:hAnsi="Traditional Arabic"/>
                <w:b/>
                <w:bCs/>
                <w:rtl/>
              </w:rPr>
            </w:pPr>
          </w:p>
        </w:tc>
        <w:tc>
          <w:tcPr>
            <w:tcW w:w="2366" w:type="dxa"/>
            <w:tcBorders>
              <w:top w:val="double" w:sz="6" w:space="0" w:color="auto"/>
            </w:tcBorders>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أحمد بن محمد البريدي</w:t>
            </w:r>
          </w:p>
        </w:tc>
        <w:tc>
          <w:tcPr>
            <w:tcW w:w="1800" w:type="dxa"/>
            <w:tcBorders>
              <w:top w:val="double" w:sz="6" w:space="0" w:color="auto"/>
            </w:tcBorders>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 xml:space="preserve">جامعة  </w:t>
            </w:r>
            <w:r w:rsidR="00B41E0F">
              <w:rPr>
                <w:rFonts w:ascii="Traditional Arabic" w:hAnsi="Traditional Arabic" w:hint="cs"/>
                <w:rtl/>
              </w:rPr>
              <w:t xml:space="preserve">الإمام </w:t>
            </w:r>
            <w:r w:rsidRPr="00FA7BB7">
              <w:rPr>
                <w:rFonts w:ascii="Traditional Arabic" w:hAnsi="Traditional Arabic"/>
                <w:rtl/>
              </w:rPr>
              <w:t>محمد بن سعود الإسلامية</w:t>
            </w:r>
          </w:p>
        </w:tc>
        <w:tc>
          <w:tcPr>
            <w:tcW w:w="1084" w:type="dxa"/>
            <w:tcBorders>
              <w:top w:val="double" w:sz="6" w:space="0" w:color="auto"/>
            </w:tcBorders>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الدكتوراه</w:t>
            </w:r>
          </w:p>
        </w:tc>
        <w:tc>
          <w:tcPr>
            <w:tcW w:w="2980" w:type="dxa"/>
            <w:tcBorders>
              <w:top w:val="double" w:sz="6" w:space="0" w:color="auto"/>
            </w:tcBorders>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جهود الشيخ ابن</w:t>
            </w:r>
            <w:r>
              <w:rPr>
                <w:rFonts w:ascii="Traditional Arabic" w:hAnsi="Traditional Arabic"/>
                <w:rtl/>
              </w:rPr>
              <w:t xml:space="preserve"> عثيمين في التفسير وعلوم القرآن</w:t>
            </w:r>
            <w:r w:rsidRPr="00FA7BB7">
              <w:rPr>
                <w:rFonts w:ascii="Traditional Arabic" w:hAnsi="Traditional Arabic"/>
                <w:rtl/>
              </w:rPr>
              <w:t xml:space="preserve">. </w:t>
            </w:r>
          </w:p>
        </w:tc>
      </w:tr>
      <w:tr w:rsidR="005B6F97" w:rsidRPr="00FA7BB7" w:rsidTr="00F76EA4">
        <w:trPr>
          <w:cantSplit/>
          <w:jc w:val="center"/>
        </w:trPr>
        <w:tc>
          <w:tcPr>
            <w:tcW w:w="536" w:type="dxa"/>
            <w:shd w:val="clear" w:color="auto" w:fill="E0E0E0"/>
            <w:vAlign w:val="center"/>
          </w:tcPr>
          <w:p w:rsidR="005B6F97" w:rsidRPr="00FA7BB7" w:rsidRDefault="005B6F97" w:rsidP="00597C20">
            <w:pPr>
              <w:numPr>
                <w:ilvl w:val="0"/>
                <w:numId w:val="10"/>
              </w:numPr>
              <w:ind w:left="0" w:firstLine="0"/>
              <w:jc w:val="left"/>
              <w:rPr>
                <w:rFonts w:ascii="Traditional Arabic" w:hAnsi="Traditional Arabic"/>
                <w:b/>
                <w:bCs/>
                <w:rtl/>
              </w:rPr>
            </w:pPr>
          </w:p>
        </w:tc>
        <w:tc>
          <w:tcPr>
            <w:tcW w:w="2366"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محمد طاهر تيقمونين</w:t>
            </w:r>
          </w:p>
        </w:tc>
        <w:tc>
          <w:tcPr>
            <w:tcW w:w="180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الجامعة الإسلامية</w:t>
            </w:r>
          </w:p>
        </w:tc>
        <w:tc>
          <w:tcPr>
            <w:tcW w:w="1084"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الماجستير</w:t>
            </w:r>
          </w:p>
        </w:tc>
        <w:tc>
          <w:tcPr>
            <w:tcW w:w="298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جهـــود العلامة ابن عثيمين -رحمه الله - في تقرير التوحيد.</w:t>
            </w:r>
          </w:p>
        </w:tc>
      </w:tr>
      <w:tr w:rsidR="005B6F97" w:rsidRPr="00FA7BB7" w:rsidTr="00F76EA4">
        <w:trPr>
          <w:cantSplit/>
          <w:jc w:val="center"/>
        </w:trPr>
        <w:tc>
          <w:tcPr>
            <w:tcW w:w="536" w:type="dxa"/>
            <w:shd w:val="clear" w:color="auto" w:fill="E0E0E0"/>
            <w:vAlign w:val="center"/>
          </w:tcPr>
          <w:p w:rsidR="005B6F97" w:rsidRPr="00FA7BB7" w:rsidRDefault="005B6F97" w:rsidP="00597C20">
            <w:pPr>
              <w:numPr>
                <w:ilvl w:val="0"/>
                <w:numId w:val="10"/>
              </w:numPr>
              <w:ind w:left="0" w:firstLine="0"/>
              <w:jc w:val="left"/>
              <w:rPr>
                <w:rFonts w:ascii="Traditional Arabic" w:hAnsi="Traditional Arabic"/>
                <w:b/>
                <w:bCs/>
                <w:rtl/>
              </w:rPr>
            </w:pPr>
          </w:p>
        </w:tc>
        <w:tc>
          <w:tcPr>
            <w:tcW w:w="2366"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عبدالعزيز الروضان</w:t>
            </w:r>
          </w:p>
        </w:tc>
        <w:tc>
          <w:tcPr>
            <w:tcW w:w="180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 xml:space="preserve">جامعة </w:t>
            </w:r>
            <w:r w:rsidR="00B41E0F">
              <w:rPr>
                <w:rFonts w:ascii="Traditional Arabic" w:hAnsi="Traditional Arabic" w:hint="cs"/>
                <w:rtl/>
              </w:rPr>
              <w:t>الإمام</w:t>
            </w:r>
            <w:r w:rsidRPr="00FA7BB7">
              <w:rPr>
                <w:rFonts w:ascii="Traditional Arabic" w:hAnsi="Traditional Arabic"/>
                <w:rtl/>
              </w:rPr>
              <w:t xml:space="preserve"> </w:t>
            </w:r>
          </w:p>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محمد بن سعود الإسلامية</w:t>
            </w:r>
          </w:p>
        </w:tc>
        <w:tc>
          <w:tcPr>
            <w:tcW w:w="1084"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الدكتوراه</w:t>
            </w:r>
          </w:p>
        </w:tc>
        <w:tc>
          <w:tcPr>
            <w:tcW w:w="298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جهود الشيخ ابن عثيمين في الد</w:t>
            </w:r>
            <w:r>
              <w:rPr>
                <w:rFonts w:ascii="Traditional Arabic" w:hAnsi="Traditional Arabic"/>
                <w:rtl/>
              </w:rPr>
              <w:t>عوة إلى الله</w:t>
            </w:r>
            <w:r w:rsidRPr="00FA7BB7">
              <w:rPr>
                <w:rFonts w:ascii="Traditional Arabic" w:hAnsi="Traditional Arabic"/>
                <w:rtl/>
              </w:rPr>
              <w:t>.</w:t>
            </w:r>
          </w:p>
        </w:tc>
      </w:tr>
      <w:tr w:rsidR="005B6F97" w:rsidRPr="00FA7BB7" w:rsidTr="00F76EA4">
        <w:trPr>
          <w:cantSplit/>
          <w:jc w:val="center"/>
        </w:trPr>
        <w:tc>
          <w:tcPr>
            <w:tcW w:w="536" w:type="dxa"/>
            <w:shd w:val="clear" w:color="auto" w:fill="E0E0E0"/>
            <w:vAlign w:val="center"/>
          </w:tcPr>
          <w:p w:rsidR="005B6F97" w:rsidRPr="00FA7BB7" w:rsidRDefault="005B6F97" w:rsidP="00597C20">
            <w:pPr>
              <w:numPr>
                <w:ilvl w:val="0"/>
                <w:numId w:val="10"/>
              </w:numPr>
              <w:ind w:left="0" w:firstLine="0"/>
              <w:jc w:val="left"/>
              <w:rPr>
                <w:rFonts w:ascii="Traditional Arabic" w:hAnsi="Traditional Arabic"/>
                <w:b/>
                <w:bCs/>
                <w:rtl/>
              </w:rPr>
            </w:pPr>
          </w:p>
        </w:tc>
        <w:tc>
          <w:tcPr>
            <w:tcW w:w="2366"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عبدالله بن مسلم الأحمدي</w:t>
            </w:r>
          </w:p>
        </w:tc>
        <w:tc>
          <w:tcPr>
            <w:tcW w:w="180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الجامعة الإسلامية</w:t>
            </w:r>
          </w:p>
        </w:tc>
        <w:tc>
          <w:tcPr>
            <w:tcW w:w="1084"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الماجستير</w:t>
            </w:r>
          </w:p>
        </w:tc>
        <w:tc>
          <w:tcPr>
            <w:tcW w:w="298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 xml:space="preserve">جهود الشيخ ابن عثيمين </w:t>
            </w:r>
            <w:r>
              <w:rPr>
                <w:rFonts w:ascii="Traditional Arabic" w:hAnsi="Traditional Arabic"/>
                <w:rtl/>
              </w:rPr>
              <w:t>في الإيمان والمسائل المتعلقة به</w:t>
            </w:r>
            <w:r w:rsidRPr="00FA7BB7">
              <w:rPr>
                <w:rFonts w:ascii="Traditional Arabic" w:hAnsi="Traditional Arabic"/>
                <w:rtl/>
              </w:rPr>
              <w:t>.</w:t>
            </w:r>
          </w:p>
        </w:tc>
      </w:tr>
      <w:tr w:rsidR="005B6F97" w:rsidRPr="00FA7BB7" w:rsidTr="00F76EA4">
        <w:trPr>
          <w:cantSplit/>
          <w:jc w:val="center"/>
        </w:trPr>
        <w:tc>
          <w:tcPr>
            <w:tcW w:w="536" w:type="dxa"/>
            <w:shd w:val="clear" w:color="auto" w:fill="E0E0E0"/>
            <w:vAlign w:val="center"/>
          </w:tcPr>
          <w:p w:rsidR="005B6F97" w:rsidRPr="00FA7BB7" w:rsidRDefault="005B6F97" w:rsidP="00597C20">
            <w:pPr>
              <w:numPr>
                <w:ilvl w:val="0"/>
                <w:numId w:val="10"/>
              </w:numPr>
              <w:ind w:left="0" w:firstLine="0"/>
              <w:jc w:val="left"/>
              <w:rPr>
                <w:rFonts w:ascii="Traditional Arabic" w:hAnsi="Traditional Arabic"/>
                <w:b/>
                <w:bCs/>
                <w:rtl/>
              </w:rPr>
            </w:pPr>
          </w:p>
        </w:tc>
        <w:tc>
          <w:tcPr>
            <w:tcW w:w="2366"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محمد علي يحيى الأخرش</w:t>
            </w:r>
          </w:p>
        </w:tc>
        <w:tc>
          <w:tcPr>
            <w:tcW w:w="180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جامعة السودان (الخرطوم)</w:t>
            </w:r>
          </w:p>
        </w:tc>
        <w:tc>
          <w:tcPr>
            <w:tcW w:w="1084"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الدكتوراه</w:t>
            </w:r>
          </w:p>
        </w:tc>
        <w:tc>
          <w:tcPr>
            <w:tcW w:w="298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جهود ال</w:t>
            </w:r>
            <w:r>
              <w:rPr>
                <w:rFonts w:ascii="Traditional Arabic" w:hAnsi="Traditional Arabic"/>
                <w:rtl/>
              </w:rPr>
              <w:t>شيخ ابن عثيمين في الحديث وعلومه</w:t>
            </w:r>
            <w:r w:rsidRPr="00FA7BB7">
              <w:rPr>
                <w:rFonts w:ascii="Traditional Arabic" w:hAnsi="Traditional Arabic"/>
                <w:rtl/>
              </w:rPr>
              <w:t>.</w:t>
            </w:r>
          </w:p>
        </w:tc>
      </w:tr>
      <w:tr w:rsidR="005B6F97" w:rsidRPr="00FA7BB7" w:rsidTr="00F76EA4">
        <w:trPr>
          <w:cantSplit/>
          <w:jc w:val="center"/>
        </w:trPr>
        <w:tc>
          <w:tcPr>
            <w:tcW w:w="536" w:type="dxa"/>
            <w:shd w:val="clear" w:color="auto" w:fill="E0E0E0"/>
            <w:vAlign w:val="center"/>
          </w:tcPr>
          <w:p w:rsidR="005B6F97" w:rsidRPr="00FA7BB7" w:rsidRDefault="005B6F97" w:rsidP="00597C20">
            <w:pPr>
              <w:numPr>
                <w:ilvl w:val="0"/>
                <w:numId w:val="10"/>
              </w:numPr>
              <w:ind w:left="0" w:firstLine="0"/>
              <w:jc w:val="left"/>
              <w:rPr>
                <w:rFonts w:ascii="Traditional Arabic" w:hAnsi="Traditional Arabic"/>
                <w:b/>
                <w:bCs/>
                <w:rtl/>
              </w:rPr>
            </w:pPr>
          </w:p>
        </w:tc>
        <w:tc>
          <w:tcPr>
            <w:tcW w:w="2366"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طيبة بنت واجي أحمد</w:t>
            </w:r>
          </w:p>
        </w:tc>
        <w:tc>
          <w:tcPr>
            <w:tcW w:w="180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جامعة أم القرى</w:t>
            </w:r>
          </w:p>
        </w:tc>
        <w:tc>
          <w:tcPr>
            <w:tcW w:w="1084"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الماجستير</w:t>
            </w:r>
          </w:p>
        </w:tc>
        <w:tc>
          <w:tcPr>
            <w:tcW w:w="298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نماذج من الآراء التربوية للشيخ محمد بن عثيمين.</w:t>
            </w:r>
          </w:p>
        </w:tc>
      </w:tr>
      <w:tr w:rsidR="005B6F97" w:rsidRPr="00FA7BB7" w:rsidTr="00F76EA4">
        <w:trPr>
          <w:cantSplit/>
          <w:jc w:val="center"/>
        </w:trPr>
        <w:tc>
          <w:tcPr>
            <w:tcW w:w="536" w:type="dxa"/>
            <w:shd w:val="clear" w:color="auto" w:fill="E0E0E0"/>
            <w:vAlign w:val="center"/>
          </w:tcPr>
          <w:p w:rsidR="005B6F97" w:rsidRPr="00FA7BB7" w:rsidRDefault="005B6F97" w:rsidP="00597C20">
            <w:pPr>
              <w:numPr>
                <w:ilvl w:val="0"/>
                <w:numId w:val="10"/>
              </w:numPr>
              <w:ind w:left="0" w:firstLine="0"/>
              <w:jc w:val="left"/>
              <w:rPr>
                <w:rFonts w:ascii="Traditional Arabic" w:hAnsi="Traditional Arabic"/>
                <w:b/>
                <w:bCs/>
                <w:rtl/>
              </w:rPr>
            </w:pPr>
          </w:p>
        </w:tc>
        <w:tc>
          <w:tcPr>
            <w:tcW w:w="2366"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علي بن جريد العنزي</w:t>
            </w:r>
          </w:p>
        </w:tc>
        <w:tc>
          <w:tcPr>
            <w:tcW w:w="180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جامعة أم القرى</w:t>
            </w:r>
          </w:p>
        </w:tc>
        <w:tc>
          <w:tcPr>
            <w:tcW w:w="1084"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الدكتوراه</w:t>
            </w:r>
          </w:p>
        </w:tc>
        <w:tc>
          <w:tcPr>
            <w:tcW w:w="298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منهج الشيخ اب</w:t>
            </w:r>
            <w:r>
              <w:rPr>
                <w:rFonts w:ascii="Traditional Arabic" w:hAnsi="Traditional Arabic"/>
                <w:rtl/>
              </w:rPr>
              <w:t>ن عثيمين في تفسير سورة آل عمران</w:t>
            </w:r>
            <w:r w:rsidRPr="00FA7BB7">
              <w:rPr>
                <w:rFonts w:ascii="Traditional Arabic" w:hAnsi="Traditional Arabic"/>
                <w:rtl/>
              </w:rPr>
              <w:t>.</w:t>
            </w:r>
          </w:p>
        </w:tc>
      </w:tr>
      <w:tr w:rsidR="005B6F97" w:rsidRPr="00FA7BB7" w:rsidTr="00F76EA4">
        <w:trPr>
          <w:cantSplit/>
          <w:jc w:val="center"/>
        </w:trPr>
        <w:tc>
          <w:tcPr>
            <w:tcW w:w="536" w:type="dxa"/>
            <w:shd w:val="clear" w:color="auto" w:fill="E0E0E0"/>
            <w:vAlign w:val="center"/>
          </w:tcPr>
          <w:p w:rsidR="005B6F97" w:rsidRPr="00FA7BB7" w:rsidRDefault="005B6F97" w:rsidP="00597C20">
            <w:pPr>
              <w:numPr>
                <w:ilvl w:val="0"/>
                <w:numId w:val="10"/>
              </w:numPr>
              <w:ind w:left="0" w:firstLine="0"/>
              <w:jc w:val="left"/>
              <w:rPr>
                <w:rFonts w:ascii="Traditional Arabic" w:hAnsi="Traditional Arabic"/>
                <w:b/>
                <w:bCs/>
                <w:rtl/>
              </w:rPr>
            </w:pPr>
          </w:p>
        </w:tc>
        <w:tc>
          <w:tcPr>
            <w:tcW w:w="2366"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نجيب بن محفوظ الزبيدي</w:t>
            </w:r>
          </w:p>
        </w:tc>
        <w:tc>
          <w:tcPr>
            <w:tcW w:w="1800"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جامعة حضرموت</w:t>
            </w:r>
          </w:p>
        </w:tc>
        <w:tc>
          <w:tcPr>
            <w:tcW w:w="1084" w:type="dxa"/>
            <w:vAlign w:val="center"/>
          </w:tcPr>
          <w:p w:rsidR="005B6F97" w:rsidRPr="00FA7BB7" w:rsidRDefault="005B6F97" w:rsidP="00597C20">
            <w:pPr>
              <w:ind w:firstLine="0"/>
              <w:jc w:val="left"/>
              <w:rPr>
                <w:rFonts w:ascii="Traditional Arabic" w:hAnsi="Traditional Arabic"/>
                <w:b/>
                <w:bCs/>
                <w:rtl/>
              </w:rPr>
            </w:pPr>
            <w:r w:rsidRPr="00FA7BB7">
              <w:rPr>
                <w:rFonts w:ascii="Traditional Arabic" w:hAnsi="Traditional Arabic"/>
                <w:rtl/>
              </w:rPr>
              <w:t>الماجستير</w:t>
            </w:r>
          </w:p>
        </w:tc>
        <w:tc>
          <w:tcPr>
            <w:tcW w:w="2980" w:type="dxa"/>
            <w:vAlign w:val="center"/>
          </w:tcPr>
          <w:p w:rsidR="005B6F97" w:rsidRPr="00FA7BB7" w:rsidRDefault="005B6F97" w:rsidP="00597C20">
            <w:pPr>
              <w:ind w:firstLine="0"/>
              <w:jc w:val="left"/>
              <w:rPr>
                <w:rFonts w:ascii="Traditional Arabic" w:hAnsi="Traditional Arabic"/>
                <w:b/>
                <w:bCs/>
                <w:rtl/>
              </w:rPr>
            </w:pPr>
            <w:r>
              <w:rPr>
                <w:rFonts w:ascii="Traditional Arabic" w:hAnsi="Traditional Arabic"/>
                <w:rtl/>
              </w:rPr>
              <w:t>الجهود النحوية للشيخ ابن عثيمين</w:t>
            </w:r>
            <w:r w:rsidRPr="00FA7BB7">
              <w:rPr>
                <w:rFonts w:ascii="Traditional Arabic" w:hAnsi="Traditional Arabic"/>
                <w:rtl/>
              </w:rPr>
              <w:t>.</w:t>
            </w:r>
          </w:p>
        </w:tc>
      </w:tr>
    </w:tbl>
    <w:p w:rsidR="00B276C1" w:rsidRPr="005B6F97" w:rsidRDefault="00B276C1" w:rsidP="00597C20">
      <w:pPr>
        <w:spacing w:line="240" w:lineRule="exact"/>
        <w:jc w:val="lowKashida"/>
        <w:rPr>
          <w:rFonts w:ascii="Traditional Arabic" w:hAnsi="Traditional Arabic"/>
          <w:b/>
          <w:bCs/>
          <w:rtl/>
        </w:rPr>
      </w:pPr>
    </w:p>
    <w:p w:rsidR="00E27F3A" w:rsidRPr="00B76414" w:rsidRDefault="00DE5D3B" w:rsidP="00E27F3A">
      <w:pPr>
        <w:rPr>
          <w:rtl/>
        </w:rPr>
      </w:pPr>
      <w:r>
        <w:rPr>
          <w:rFonts w:hint="cs"/>
          <w:rtl/>
        </w:rPr>
        <w:t>كما ك</w:t>
      </w:r>
      <w:r w:rsidR="00D16E48">
        <w:rPr>
          <w:rFonts w:hint="cs"/>
          <w:rtl/>
        </w:rPr>
        <w:t>ُ</w:t>
      </w:r>
      <w:r>
        <w:rPr>
          <w:rFonts w:hint="cs"/>
          <w:rtl/>
        </w:rPr>
        <w:t>تب</w:t>
      </w:r>
      <w:r w:rsidR="00D16E48">
        <w:rPr>
          <w:rFonts w:hint="cs"/>
          <w:rtl/>
        </w:rPr>
        <w:t>ت</w:t>
      </w:r>
      <w:r>
        <w:rPr>
          <w:rFonts w:hint="cs"/>
          <w:rtl/>
        </w:rPr>
        <w:t xml:space="preserve"> عدد من الرسائل حول اختيارات الشيخ الفقهية </w:t>
      </w:r>
      <w:r w:rsidR="00D16E48">
        <w:rPr>
          <w:rFonts w:hint="cs"/>
          <w:rtl/>
        </w:rPr>
        <w:t xml:space="preserve">وترجيحاته </w:t>
      </w:r>
      <w:r>
        <w:rPr>
          <w:rFonts w:hint="cs"/>
          <w:rtl/>
        </w:rPr>
        <w:t xml:space="preserve">في </w:t>
      </w:r>
      <w:r w:rsidR="007B4683">
        <w:rPr>
          <w:rFonts w:hint="cs"/>
          <w:rtl/>
        </w:rPr>
        <w:t>جامعة أم القرى والمعهد العالي للقضاء بالرياض.</w:t>
      </w:r>
    </w:p>
    <w:p w:rsidR="00B276C1" w:rsidRPr="005F53FF" w:rsidRDefault="00B276C1" w:rsidP="00A8347C">
      <w:pPr>
        <w:pStyle w:val="aff3"/>
        <w:rPr>
          <w:rtl/>
        </w:rPr>
      </w:pPr>
      <w:bookmarkStart w:id="6" w:name="_Toc334046270"/>
      <w:r w:rsidRPr="005F53FF">
        <w:rPr>
          <w:rtl/>
        </w:rPr>
        <w:t>خطة البحث</w:t>
      </w:r>
      <w:bookmarkEnd w:id="6"/>
    </w:p>
    <w:p w:rsidR="00B276C1" w:rsidRPr="00FA7BB7" w:rsidRDefault="00B276C1" w:rsidP="00597C20">
      <w:pPr>
        <w:ind w:firstLine="567"/>
        <w:rPr>
          <w:rFonts w:ascii="Traditional Arabic" w:hAnsi="Traditional Arabic"/>
          <w:rtl/>
        </w:rPr>
      </w:pPr>
      <w:r w:rsidRPr="00FA7BB7">
        <w:rPr>
          <w:rFonts w:ascii="Traditional Arabic" w:hAnsi="Traditional Arabic"/>
          <w:rtl/>
        </w:rPr>
        <w:t>ولقد ضمّنت خطة البحث مقدّمة وتمهيدا وبابين وخاتمة وفهارس علمية</w:t>
      </w:r>
      <w:r w:rsidR="00B76414">
        <w:rPr>
          <w:rFonts w:ascii="Traditional Arabic" w:hAnsi="Traditional Arabic"/>
          <w:rtl/>
        </w:rPr>
        <w:t>،</w:t>
      </w:r>
      <w:r w:rsidRPr="00FA7BB7">
        <w:rPr>
          <w:rFonts w:ascii="Traditional Arabic" w:hAnsi="Traditional Arabic"/>
          <w:rtl/>
        </w:rPr>
        <w:t xml:space="preserve"> وتفصيل ذلك على النحو التّالي:</w:t>
      </w:r>
    </w:p>
    <w:p w:rsidR="00065E4B" w:rsidRPr="00DA34F2" w:rsidRDefault="00B276C1" w:rsidP="00597C20">
      <w:pPr>
        <w:spacing w:before="200"/>
        <w:ind w:firstLine="284"/>
        <w:rPr>
          <w:rFonts w:ascii="Traditional Arabic" w:hAnsi="Traditional Arabic"/>
          <w:rtl/>
        </w:rPr>
      </w:pPr>
      <w:r w:rsidRPr="00DA34F2">
        <w:rPr>
          <w:rFonts w:ascii="Traditional Arabic" w:hAnsi="Traditional Arabic"/>
          <w:rtl/>
        </w:rPr>
        <w:t>المقدمة: وتتضمّن:</w:t>
      </w:r>
    </w:p>
    <w:p w:rsidR="00065E4B" w:rsidRPr="00BF3B74" w:rsidRDefault="00065E4B" w:rsidP="00597C20">
      <w:pPr>
        <w:pStyle w:val="afc"/>
        <w:numPr>
          <w:ilvl w:val="0"/>
          <w:numId w:val="14"/>
        </w:numPr>
        <w:spacing w:after="200"/>
        <w:ind w:left="1416"/>
      </w:pPr>
      <w:r>
        <w:rPr>
          <w:rFonts w:hint="cs"/>
          <w:rtl/>
        </w:rPr>
        <w:t>ا</w:t>
      </w:r>
      <w:r w:rsidR="00B276C1">
        <w:rPr>
          <w:rFonts w:hint="cs"/>
          <w:rtl/>
        </w:rPr>
        <w:t>لافتتاحية</w:t>
      </w:r>
      <w:r w:rsidR="00B276C1" w:rsidRPr="00BF3B74">
        <w:rPr>
          <w:rFonts w:hint="cs"/>
          <w:rtl/>
        </w:rPr>
        <w:t>.</w:t>
      </w:r>
    </w:p>
    <w:p w:rsidR="00065E4B" w:rsidRPr="00BF3B74" w:rsidRDefault="00065E4B" w:rsidP="00597C20">
      <w:pPr>
        <w:pStyle w:val="afc"/>
        <w:numPr>
          <w:ilvl w:val="0"/>
          <w:numId w:val="14"/>
        </w:numPr>
        <w:spacing w:after="200"/>
        <w:ind w:left="1416"/>
      </w:pPr>
      <w:r>
        <w:rPr>
          <w:rFonts w:hint="cs"/>
          <w:rtl/>
        </w:rPr>
        <w:t>أ</w:t>
      </w:r>
      <w:r w:rsidR="00B276C1">
        <w:rPr>
          <w:rFonts w:hint="cs"/>
          <w:rtl/>
        </w:rPr>
        <w:t>سباب اختيار الموضوع</w:t>
      </w:r>
      <w:r w:rsidR="00B276C1" w:rsidRPr="00BF3B74">
        <w:rPr>
          <w:rFonts w:hint="cs"/>
          <w:rtl/>
        </w:rPr>
        <w:t>.</w:t>
      </w:r>
    </w:p>
    <w:p w:rsidR="00B276C1" w:rsidRPr="00BF3B74" w:rsidRDefault="00065E4B" w:rsidP="00597C20">
      <w:pPr>
        <w:pStyle w:val="afc"/>
        <w:numPr>
          <w:ilvl w:val="0"/>
          <w:numId w:val="14"/>
        </w:numPr>
        <w:spacing w:after="200"/>
        <w:ind w:left="1416"/>
      </w:pPr>
      <w:r>
        <w:rPr>
          <w:rFonts w:hint="cs"/>
          <w:rtl/>
        </w:rPr>
        <w:t>ا</w:t>
      </w:r>
      <w:r w:rsidR="00B276C1">
        <w:rPr>
          <w:rFonts w:hint="cs"/>
          <w:rtl/>
        </w:rPr>
        <w:t>لدراسات السابقة</w:t>
      </w:r>
      <w:r w:rsidR="00B276C1" w:rsidRPr="00BF3B74">
        <w:rPr>
          <w:rFonts w:hint="cs"/>
          <w:rtl/>
        </w:rPr>
        <w:t>.</w:t>
      </w:r>
    </w:p>
    <w:p w:rsidR="00065E4B" w:rsidRPr="00BF3B74" w:rsidRDefault="00B276C1" w:rsidP="00597C20">
      <w:pPr>
        <w:pStyle w:val="afc"/>
        <w:numPr>
          <w:ilvl w:val="0"/>
          <w:numId w:val="14"/>
        </w:numPr>
        <w:spacing w:after="200"/>
        <w:ind w:left="1416"/>
      </w:pPr>
      <w:r>
        <w:rPr>
          <w:rFonts w:hint="cs"/>
          <w:rtl/>
        </w:rPr>
        <w:t>خطة البحث</w:t>
      </w:r>
      <w:r w:rsidRPr="00BF3B74">
        <w:rPr>
          <w:rFonts w:hint="cs"/>
          <w:rtl/>
        </w:rPr>
        <w:t>.</w:t>
      </w:r>
    </w:p>
    <w:p w:rsidR="00B276C1" w:rsidRPr="00BF3B74" w:rsidRDefault="00065E4B" w:rsidP="00597C20">
      <w:pPr>
        <w:pStyle w:val="afc"/>
        <w:numPr>
          <w:ilvl w:val="0"/>
          <w:numId w:val="14"/>
        </w:numPr>
        <w:ind w:left="1416"/>
      </w:pPr>
      <w:r>
        <w:rPr>
          <w:rFonts w:hint="cs"/>
          <w:rtl/>
        </w:rPr>
        <w:t>م</w:t>
      </w:r>
      <w:r w:rsidR="00B276C1">
        <w:rPr>
          <w:rFonts w:hint="cs"/>
          <w:rtl/>
        </w:rPr>
        <w:t>نهج البحث</w:t>
      </w:r>
      <w:r w:rsidR="00B276C1" w:rsidRPr="00BF3B74">
        <w:rPr>
          <w:rFonts w:hint="cs"/>
          <w:rtl/>
        </w:rPr>
        <w:t>.</w:t>
      </w:r>
    </w:p>
    <w:p w:rsidR="00B276C1" w:rsidRPr="001776CA" w:rsidRDefault="00B276C1" w:rsidP="00597C20">
      <w:pPr>
        <w:spacing w:before="200" w:after="120"/>
        <w:ind w:firstLine="284"/>
        <w:rPr>
          <w:rFonts w:ascii="Traditional Arabic" w:hAnsi="Traditional Arabic"/>
          <w:b/>
          <w:bCs/>
          <w:rtl/>
        </w:rPr>
      </w:pPr>
      <w:r w:rsidRPr="001776CA">
        <w:rPr>
          <w:rFonts w:ascii="Traditional Arabic" w:hAnsi="Traditional Arabic"/>
          <w:rtl/>
        </w:rPr>
        <w:t>التمهيد: في التعريف بمفردات عنوان الرسالة</w:t>
      </w:r>
      <w:r w:rsidR="00B76414">
        <w:rPr>
          <w:rFonts w:ascii="Traditional Arabic" w:hAnsi="Traditional Arabic"/>
          <w:rtl/>
        </w:rPr>
        <w:t>،</w:t>
      </w:r>
      <w:r w:rsidRPr="001776CA">
        <w:rPr>
          <w:rFonts w:ascii="Traditional Arabic" w:hAnsi="Traditional Arabic"/>
          <w:rtl/>
        </w:rPr>
        <w:t xml:space="preserve"> ويشتمل على خمسة مباحث :</w:t>
      </w:r>
    </w:p>
    <w:p w:rsidR="00B276C1" w:rsidRPr="001776CA" w:rsidRDefault="00B276C1" w:rsidP="00597C20">
      <w:pPr>
        <w:spacing w:before="120" w:after="60"/>
        <w:ind w:left="2875" w:hanging="1741"/>
        <w:rPr>
          <w:rFonts w:ascii="Traditional Arabic" w:hAnsi="Traditional Arabic"/>
          <w:rtl/>
        </w:rPr>
      </w:pPr>
      <w:r w:rsidRPr="001776CA">
        <w:rPr>
          <w:rFonts w:ascii="Traditional Arabic" w:hAnsi="Traditional Arabic"/>
          <w:rtl/>
        </w:rPr>
        <w:t>المبحث الأول: ترجمة الشيخ ابن عثيمين. وتحته خمسة مطالب:</w:t>
      </w:r>
    </w:p>
    <w:p w:rsidR="00B276C1" w:rsidRPr="001776CA" w:rsidRDefault="00B276C1" w:rsidP="00597C20">
      <w:pPr>
        <w:ind w:left="1559"/>
        <w:rPr>
          <w:rFonts w:ascii="Traditional Arabic" w:hAnsi="Traditional Arabic"/>
          <w:rtl/>
        </w:rPr>
      </w:pPr>
      <w:r w:rsidRPr="001776CA">
        <w:rPr>
          <w:rFonts w:ascii="Traditional Arabic" w:hAnsi="Traditional Arabic"/>
          <w:rtl/>
        </w:rPr>
        <w:t>المطلب الأول: اسمه ونسبه ولقبه.</w:t>
      </w:r>
    </w:p>
    <w:p w:rsidR="00B276C1" w:rsidRPr="001776CA" w:rsidRDefault="00B276C1" w:rsidP="00597C20">
      <w:pPr>
        <w:ind w:left="1558"/>
        <w:rPr>
          <w:rFonts w:ascii="Traditional Arabic" w:hAnsi="Traditional Arabic"/>
          <w:rtl/>
        </w:rPr>
      </w:pPr>
      <w:r w:rsidRPr="001776CA">
        <w:rPr>
          <w:rFonts w:ascii="Traditional Arabic" w:hAnsi="Traditional Arabic"/>
          <w:rtl/>
        </w:rPr>
        <w:t>المطلب الثاني: ولادته ونشأته ووفاته.</w:t>
      </w:r>
    </w:p>
    <w:p w:rsidR="00B276C1" w:rsidRPr="001776CA" w:rsidRDefault="00B276C1" w:rsidP="00597C20">
      <w:pPr>
        <w:ind w:left="1558"/>
        <w:rPr>
          <w:rFonts w:ascii="Traditional Arabic" w:hAnsi="Traditional Arabic"/>
          <w:rtl/>
        </w:rPr>
      </w:pPr>
      <w:r w:rsidRPr="001776CA">
        <w:rPr>
          <w:rFonts w:ascii="Traditional Arabic" w:hAnsi="Traditional Arabic"/>
          <w:rtl/>
        </w:rPr>
        <w:t>المطلب الثالث: شيوخه وتلاميذه.</w:t>
      </w:r>
    </w:p>
    <w:p w:rsidR="00B276C1" w:rsidRPr="001776CA" w:rsidRDefault="00B276C1" w:rsidP="00597C20">
      <w:pPr>
        <w:ind w:left="1558"/>
        <w:rPr>
          <w:rFonts w:ascii="Traditional Arabic" w:hAnsi="Traditional Arabic"/>
          <w:rtl/>
        </w:rPr>
      </w:pPr>
      <w:r w:rsidRPr="001776CA">
        <w:rPr>
          <w:rFonts w:ascii="Traditional Arabic" w:hAnsi="Traditional Arabic"/>
          <w:rtl/>
        </w:rPr>
        <w:lastRenderedPageBreak/>
        <w:t>المطلب الرابع: مكانته العلمية.</w:t>
      </w:r>
    </w:p>
    <w:p w:rsidR="00B276C1" w:rsidRPr="001776CA" w:rsidRDefault="000F09D8" w:rsidP="00597C20">
      <w:pPr>
        <w:ind w:left="1558"/>
        <w:rPr>
          <w:rFonts w:ascii="Traditional Arabic" w:hAnsi="Traditional Arabic"/>
          <w:rtl/>
        </w:rPr>
      </w:pPr>
      <w:r>
        <w:rPr>
          <w:rFonts w:ascii="Traditional Arabic" w:hAnsi="Traditional Arabic"/>
          <w:rtl/>
        </w:rPr>
        <w:t xml:space="preserve">المطلب الخامس: </w:t>
      </w:r>
      <w:r>
        <w:rPr>
          <w:rFonts w:ascii="Traditional Arabic" w:hAnsi="Traditional Arabic" w:hint="cs"/>
          <w:rtl/>
        </w:rPr>
        <w:t>آثار</w:t>
      </w:r>
      <w:r w:rsidR="00B276C1" w:rsidRPr="001776CA">
        <w:rPr>
          <w:rFonts w:ascii="Traditional Arabic" w:hAnsi="Traditional Arabic"/>
          <w:rtl/>
        </w:rPr>
        <w:t>ه</w:t>
      </w:r>
      <w:r>
        <w:rPr>
          <w:rFonts w:ascii="Traditional Arabic" w:hAnsi="Traditional Arabic" w:hint="cs"/>
          <w:rtl/>
        </w:rPr>
        <w:t xml:space="preserve"> العلمية</w:t>
      </w:r>
      <w:r w:rsidR="00B276C1" w:rsidRPr="001776CA">
        <w:rPr>
          <w:rFonts w:ascii="Traditional Arabic" w:hAnsi="Traditional Arabic"/>
          <w:rtl/>
        </w:rPr>
        <w:t>.</w:t>
      </w:r>
    </w:p>
    <w:p w:rsidR="00B276C1" w:rsidRPr="001776CA" w:rsidRDefault="00B276C1" w:rsidP="00597C20">
      <w:pPr>
        <w:spacing w:before="120" w:after="60"/>
        <w:ind w:left="2975" w:hanging="1841"/>
        <w:rPr>
          <w:rFonts w:ascii="Traditional Arabic" w:hAnsi="Traditional Arabic"/>
          <w:b/>
          <w:bCs/>
          <w:rtl/>
        </w:rPr>
      </w:pPr>
      <w:r w:rsidRPr="001776CA">
        <w:rPr>
          <w:rFonts w:ascii="Traditional Arabic" w:hAnsi="Traditional Arabic"/>
          <w:rtl/>
        </w:rPr>
        <w:t>المبحث الثاني: التعريف بكتاب الشرح الممتع ومنهج الشيخ ابن عثيمين في الكتاب. وتحته مطلبان:</w:t>
      </w:r>
    </w:p>
    <w:p w:rsidR="00B276C1" w:rsidRPr="00B77E7A" w:rsidRDefault="00B276C1" w:rsidP="00597C20">
      <w:pPr>
        <w:ind w:left="1558"/>
        <w:rPr>
          <w:rFonts w:ascii="Traditional Arabic" w:hAnsi="Traditional Arabic"/>
          <w:b/>
          <w:bCs/>
          <w:rtl/>
        </w:rPr>
      </w:pPr>
      <w:r w:rsidRPr="001776CA">
        <w:rPr>
          <w:rFonts w:ascii="Traditional Arabic" w:hAnsi="Traditional Arabic"/>
          <w:rtl/>
        </w:rPr>
        <w:t xml:space="preserve">المطلب الأول: </w:t>
      </w:r>
      <w:r w:rsidR="006D63F7">
        <w:rPr>
          <w:rFonts w:ascii="Traditional Arabic" w:hAnsi="Traditional Arabic" w:hint="cs"/>
          <w:rtl/>
        </w:rPr>
        <w:t>التعريف ب</w:t>
      </w:r>
      <w:r w:rsidR="007B4683">
        <w:rPr>
          <w:rFonts w:ascii="Traditional Arabic" w:hAnsi="Traditional Arabic" w:hint="cs"/>
          <w:rtl/>
        </w:rPr>
        <w:t xml:space="preserve">كتاب </w:t>
      </w:r>
      <w:r w:rsidR="006D63F7">
        <w:rPr>
          <w:rFonts w:ascii="Traditional Arabic" w:hAnsi="Traditional Arabic" w:hint="cs"/>
          <w:rtl/>
        </w:rPr>
        <w:t xml:space="preserve">الشرح الممتع </w:t>
      </w:r>
      <w:r w:rsidR="007B4683">
        <w:rPr>
          <w:rFonts w:ascii="Traditional Arabic" w:hAnsi="Traditional Arabic" w:hint="cs"/>
          <w:rtl/>
        </w:rPr>
        <w:t>وقيمته</w:t>
      </w:r>
      <w:r w:rsidRPr="00B77E7A">
        <w:rPr>
          <w:rFonts w:ascii="Traditional Arabic" w:hAnsi="Traditional Arabic"/>
          <w:rtl/>
        </w:rPr>
        <w:t xml:space="preserve"> العلمية.</w:t>
      </w:r>
    </w:p>
    <w:p w:rsidR="00B276C1" w:rsidRPr="00B77E7A" w:rsidRDefault="00B276C1" w:rsidP="00597C20">
      <w:pPr>
        <w:ind w:left="1558"/>
        <w:rPr>
          <w:rFonts w:ascii="Traditional Arabic" w:hAnsi="Traditional Arabic"/>
          <w:b/>
          <w:bCs/>
          <w:rtl/>
        </w:rPr>
      </w:pPr>
      <w:r w:rsidRPr="001776CA">
        <w:rPr>
          <w:rFonts w:ascii="Traditional Arabic" w:hAnsi="Traditional Arabic"/>
          <w:rtl/>
        </w:rPr>
        <w:t xml:space="preserve">المطلب الثاني: </w:t>
      </w:r>
      <w:r w:rsidRPr="00B77E7A">
        <w:rPr>
          <w:rFonts w:ascii="Traditional Arabic" w:hAnsi="Traditional Arabic"/>
          <w:rtl/>
        </w:rPr>
        <w:t>منهج الشيخ ابن عثيمين في الكتاب.</w:t>
      </w:r>
    </w:p>
    <w:p w:rsidR="00B276C1" w:rsidRPr="001776CA" w:rsidRDefault="00B276C1" w:rsidP="00597C20">
      <w:pPr>
        <w:spacing w:before="120" w:after="60"/>
        <w:ind w:left="2875" w:hanging="1741"/>
        <w:rPr>
          <w:rFonts w:ascii="Traditional Arabic" w:hAnsi="Traditional Arabic"/>
          <w:rtl/>
        </w:rPr>
      </w:pPr>
      <w:r w:rsidRPr="001776CA">
        <w:rPr>
          <w:rFonts w:ascii="Traditional Arabic" w:hAnsi="Traditional Arabic"/>
          <w:rtl/>
        </w:rPr>
        <w:t xml:space="preserve">المبحث الثالث: </w:t>
      </w:r>
      <w:r w:rsidR="007B4683">
        <w:rPr>
          <w:rFonts w:ascii="Traditional Arabic" w:hAnsi="Traditional Arabic" w:hint="cs"/>
          <w:rtl/>
        </w:rPr>
        <w:t>الفرق بين</w:t>
      </w:r>
      <w:r w:rsidRPr="00B77E7A">
        <w:rPr>
          <w:rFonts w:ascii="Traditional Arabic" w:hAnsi="Traditional Arabic"/>
          <w:rtl/>
        </w:rPr>
        <w:t xml:space="preserve"> القاعدة الفق</w:t>
      </w:r>
      <w:r w:rsidR="007B4683">
        <w:rPr>
          <w:rFonts w:ascii="Traditional Arabic" w:hAnsi="Traditional Arabic"/>
          <w:rtl/>
        </w:rPr>
        <w:t>هية والضابط الفقهي وال</w:t>
      </w:r>
      <w:r w:rsidR="007B4683">
        <w:rPr>
          <w:rFonts w:ascii="Traditional Arabic" w:hAnsi="Traditional Arabic" w:hint="cs"/>
          <w:rtl/>
        </w:rPr>
        <w:t>قاعدة الأصولية</w:t>
      </w:r>
      <w:r w:rsidRPr="00B77E7A">
        <w:rPr>
          <w:rFonts w:ascii="Traditional Arabic" w:hAnsi="Traditional Arabic"/>
          <w:rtl/>
        </w:rPr>
        <w:t>. وتحته ثلاثة مطالب:</w:t>
      </w:r>
    </w:p>
    <w:p w:rsidR="00B276C1" w:rsidRPr="001776CA" w:rsidRDefault="00B276C1" w:rsidP="00597C20">
      <w:pPr>
        <w:ind w:left="1558"/>
        <w:rPr>
          <w:rFonts w:ascii="Traditional Arabic" w:hAnsi="Traditional Arabic"/>
          <w:rtl/>
        </w:rPr>
      </w:pPr>
      <w:r w:rsidRPr="001776CA">
        <w:rPr>
          <w:rFonts w:ascii="Traditional Arabic" w:hAnsi="Traditional Arabic"/>
          <w:rtl/>
        </w:rPr>
        <w:t xml:space="preserve">المطلب الأول: </w:t>
      </w:r>
      <w:r w:rsidRPr="00B77E7A">
        <w:rPr>
          <w:rFonts w:ascii="Traditional Arabic" w:hAnsi="Traditional Arabic"/>
          <w:rtl/>
        </w:rPr>
        <w:t>تعريف القاعدة الفقهية.</w:t>
      </w:r>
    </w:p>
    <w:p w:rsidR="00B276C1" w:rsidRPr="001776CA" w:rsidRDefault="00B276C1" w:rsidP="00597C20">
      <w:pPr>
        <w:ind w:left="1558"/>
        <w:rPr>
          <w:rFonts w:ascii="Traditional Arabic" w:hAnsi="Traditional Arabic"/>
          <w:rtl/>
        </w:rPr>
      </w:pPr>
      <w:r w:rsidRPr="001776CA">
        <w:rPr>
          <w:rFonts w:ascii="Traditional Arabic" w:hAnsi="Traditional Arabic"/>
          <w:rtl/>
        </w:rPr>
        <w:t xml:space="preserve">المطلب الثاني: </w:t>
      </w:r>
      <w:r w:rsidRPr="00B77E7A">
        <w:rPr>
          <w:rFonts w:ascii="Traditional Arabic" w:hAnsi="Traditional Arabic"/>
          <w:rtl/>
        </w:rPr>
        <w:t>تعريف الضابط الفقهي.</w:t>
      </w:r>
    </w:p>
    <w:p w:rsidR="00F228A9" w:rsidRPr="001776CA" w:rsidRDefault="00B276C1" w:rsidP="00597C20">
      <w:pPr>
        <w:ind w:left="1558"/>
        <w:rPr>
          <w:rFonts w:ascii="Traditional Arabic" w:hAnsi="Traditional Arabic"/>
          <w:rtl/>
        </w:rPr>
      </w:pPr>
      <w:r w:rsidRPr="001776CA">
        <w:rPr>
          <w:rFonts w:ascii="Traditional Arabic" w:hAnsi="Traditional Arabic"/>
          <w:rtl/>
        </w:rPr>
        <w:t xml:space="preserve">المطلب الثالث: </w:t>
      </w:r>
      <w:r w:rsidRPr="00B77E7A">
        <w:rPr>
          <w:rFonts w:ascii="Traditional Arabic" w:hAnsi="Traditional Arabic"/>
          <w:rtl/>
        </w:rPr>
        <w:t>تعريف القاعدة الأصولية.</w:t>
      </w:r>
    </w:p>
    <w:p w:rsidR="00B276C1" w:rsidRPr="001776CA" w:rsidRDefault="00B276C1" w:rsidP="00597C20">
      <w:pPr>
        <w:ind w:left="1558"/>
        <w:rPr>
          <w:rFonts w:ascii="Traditional Arabic" w:hAnsi="Traditional Arabic"/>
          <w:b/>
          <w:bCs/>
          <w:rtl/>
        </w:rPr>
      </w:pPr>
      <w:r w:rsidRPr="001776CA">
        <w:rPr>
          <w:rFonts w:ascii="Traditional Arabic" w:hAnsi="Traditional Arabic"/>
          <w:rtl/>
        </w:rPr>
        <w:t xml:space="preserve">المطلب الرابع: </w:t>
      </w:r>
      <w:r w:rsidRPr="00B77E7A">
        <w:rPr>
          <w:rFonts w:ascii="Traditional Arabic" w:hAnsi="Traditional Arabic"/>
          <w:rtl/>
        </w:rPr>
        <w:t>الفرق بين القاعدة الفقهية والضابط الفقهي.</w:t>
      </w:r>
    </w:p>
    <w:p w:rsidR="00065E4B" w:rsidRPr="001776CA" w:rsidRDefault="00B276C1" w:rsidP="00597C20">
      <w:pPr>
        <w:ind w:left="1558"/>
        <w:rPr>
          <w:rFonts w:ascii="Traditional Arabic" w:hAnsi="Traditional Arabic"/>
          <w:b/>
          <w:bCs/>
          <w:rtl/>
        </w:rPr>
      </w:pPr>
      <w:r w:rsidRPr="001776CA">
        <w:rPr>
          <w:rFonts w:ascii="Traditional Arabic" w:hAnsi="Traditional Arabic"/>
          <w:rtl/>
        </w:rPr>
        <w:t xml:space="preserve">المطلب الخامس: </w:t>
      </w:r>
      <w:r w:rsidRPr="00B77E7A">
        <w:rPr>
          <w:rFonts w:ascii="Traditional Arabic" w:hAnsi="Traditional Arabic"/>
          <w:rtl/>
        </w:rPr>
        <w:t>الفرق بين القاعدة الفقهية والقاعدة الأصولية.</w:t>
      </w:r>
    </w:p>
    <w:p w:rsidR="00B276C1" w:rsidRPr="001776CA" w:rsidRDefault="00C82163" w:rsidP="00597C20">
      <w:pPr>
        <w:spacing w:before="120" w:after="60"/>
        <w:rPr>
          <w:rFonts w:ascii="Traditional Arabic" w:hAnsi="Traditional Arabic"/>
          <w:rtl/>
        </w:rPr>
      </w:pPr>
      <w:r>
        <w:rPr>
          <w:rFonts w:ascii="Traditional Arabic" w:hAnsi="Traditional Arabic" w:hint="cs"/>
          <w:rtl/>
        </w:rPr>
        <w:t xml:space="preserve">       </w:t>
      </w:r>
      <w:r w:rsidR="00065E4B" w:rsidRPr="001776CA">
        <w:rPr>
          <w:rFonts w:ascii="Traditional Arabic" w:hAnsi="Traditional Arabic"/>
          <w:rtl/>
        </w:rPr>
        <w:t>ا</w:t>
      </w:r>
      <w:r w:rsidR="00B276C1" w:rsidRPr="001776CA">
        <w:rPr>
          <w:rFonts w:ascii="Traditional Arabic" w:hAnsi="Traditional Arabic"/>
          <w:rtl/>
        </w:rPr>
        <w:t xml:space="preserve">لمبحث الرابع: </w:t>
      </w:r>
      <w:r w:rsidR="00984A97">
        <w:rPr>
          <w:rFonts w:ascii="Traditional Arabic" w:hAnsi="Traditional Arabic" w:hint="cs"/>
          <w:rtl/>
        </w:rPr>
        <w:t>مصادر</w:t>
      </w:r>
      <w:r w:rsidR="00B276C1" w:rsidRPr="00B77E7A">
        <w:rPr>
          <w:rFonts w:ascii="Traditional Arabic" w:hAnsi="Traditional Arabic"/>
          <w:rtl/>
        </w:rPr>
        <w:t xml:space="preserve"> القاعدة والضاب</w:t>
      </w:r>
      <w:r w:rsidR="007B4683">
        <w:rPr>
          <w:rFonts w:ascii="Traditional Arabic" w:hAnsi="Traditional Arabic"/>
          <w:rtl/>
        </w:rPr>
        <w:t>ط عند الشيخ ابن عثيمين. وت</w:t>
      </w:r>
      <w:r w:rsidR="00984A97">
        <w:rPr>
          <w:rFonts w:ascii="Traditional Arabic" w:hAnsi="Traditional Arabic"/>
          <w:rtl/>
        </w:rPr>
        <w:t>حته مط</w:t>
      </w:r>
      <w:r w:rsidR="00B276C1" w:rsidRPr="00B77E7A">
        <w:rPr>
          <w:rFonts w:ascii="Traditional Arabic" w:hAnsi="Traditional Arabic"/>
          <w:rtl/>
        </w:rPr>
        <w:t>لب</w:t>
      </w:r>
      <w:r w:rsidR="00984A97">
        <w:rPr>
          <w:rFonts w:ascii="Traditional Arabic" w:hAnsi="Traditional Arabic" w:hint="cs"/>
          <w:rtl/>
        </w:rPr>
        <w:t>ان</w:t>
      </w:r>
      <w:r w:rsidR="00B276C1" w:rsidRPr="00B77E7A">
        <w:rPr>
          <w:rFonts w:ascii="Traditional Arabic" w:hAnsi="Traditional Arabic"/>
          <w:rtl/>
        </w:rPr>
        <w:t>:</w:t>
      </w:r>
    </w:p>
    <w:p w:rsidR="00B276C1" w:rsidRPr="001776CA" w:rsidRDefault="00984A97" w:rsidP="00597C20">
      <w:pPr>
        <w:ind w:left="1558"/>
        <w:rPr>
          <w:rFonts w:ascii="Traditional Arabic" w:hAnsi="Traditional Arabic"/>
          <w:b/>
          <w:bCs/>
          <w:rtl/>
        </w:rPr>
      </w:pPr>
      <w:r>
        <w:rPr>
          <w:rFonts w:ascii="Traditional Arabic" w:hAnsi="Traditional Arabic"/>
          <w:rtl/>
        </w:rPr>
        <w:t>المطلب الأول:</w:t>
      </w:r>
      <w:r>
        <w:rPr>
          <w:rFonts w:ascii="Traditional Arabic" w:hAnsi="Traditional Arabic" w:hint="cs"/>
          <w:rtl/>
        </w:rPr>
        <w:t xml:space="preserve"> </w:t>
      </w:r>
      <w:r w:rsidR="00B276C1" w:rsidRPr="00B77E7A">
        <w:rPr>
          <w:rFonts w:ascii="Traditional Arabic" w:hAnsi="Traditional Arabic"/>
          <w:rtl/>
        </w:rPr>
        <w:t xml:space="preserve"> الكتاب والسنة.</w:t>
      </w:r>
    </w:p>
    <w:p w:rsidR="00B276C1" w:rsidRPr="001776CA" w:rsidRDefault="00B276C1" w:rsidP="007B4683">
      <w:pPr>
        <w:ind w:left="1558"/>
        <w:rPr>
          <w:rFonts w:ascii="Traditional Arabic" w:hAnsi="Traditional Arabic"/>
          <w:rtl/>
        </w:rPr>
      </w:pPr>
      <w:r w:rsidRPr="001776CA">
        <w:rPr>
          <w:rFonts w:ascii="Traditional Arabic" w:hAnsi="Traditional Arabic"/>
          <w:rtl/>
        </w:rPr>
        <w:t xml:space="preserve">المطلب الثاني: </w:t>
      </w:r>
      <w:r w:rsidR="007B4683" w:rsidRPr="00B77E7A">
        <w:rPr>
          <w:rFonts w:ascii="Traditional Arabic" w:hAnsi="Traditional Arabic"/>
          <w:rtl/>
        </w:rPr>
        <w:t xml:space="preserve">كتب </w:t>
      </w:r>
      <w:r w:rsidR="00984A97">
        <w:rPr>
          <w:rFonts w:ascii="Traditional Arabic" w:hAnsi="Traditional Arabic" w:hint="cs"/>
          <w:rtl/>
        </w:rPr>
        <w:t xml:space="preserve">أهل العلم، وأهمها كتب </w:t>
      </w:r>
      <w:r w:rsidR="007B4683" w:rsidRPr="00B77E7A">
        <w:rPr>
          <w:rFonts w:ascii="Traditional Arabic" w:hAnsi="Traditional Arabic"/>
          <w:rtl/>
        </w:rPr>
        <w:t xml:space="preserve">شيخ الإسلام </w:t>
      </w:r>
      <w:r w:rsidR="00984A97">
        <w:rPr>
          <w:rFonts w:ascii="Traditional Arabic" w:hAnsi="Traditional Arabic"/>
          <w:rtl/>
        </w:rPr>
        <w:t>ابن تيمية وابن القيم</w:t>
      </w:r>
      <w:r w:rsidR="00984A97">
        <w:rPr>
          <w:rFonts w:ascii="Traditional Arabic" w:hAnsi="Traditional Arabic" w:hint="cs"/>
          <w:rtl/>
        </w:rPr>
        <w:t>،</w:t>
      </w:r>
      <w:r w:rsidR="00984A97">
        <w:rPr>
          <w:rFonts w:ascii="Traditional Arabic" w:hAnsi="Traditional Arabic"/>
          <w:rtl/>
        </w:rPr>
        <w:t xml:space="preserve"> </w:t>
      </w:r>
      <w:r w:rsidR="00984A97">
        <w:rPr>
          <w:rFonts w:ascii="Traditional Arabic" w:hAnsi="Traditional Arabic" w:hint="cs"/>
          <w:rtl/>
        </w:rPr>
        <w:t>وشيخه السعدي</w:t>
      </w:r>
      <w:r w:rsidR="007B4683" w:rsidRPr="00B77E7A">
        <w:rPr>
          <w:rFonts w:ascii="Traditional Arabic" w:hAnsi="Traditional Arabic"/>
          <w:rtl/>
        </w:rPr>
        <w:t>.</w:t>
      </w:r>
    </w:p>
    <w:p w:rsidR="00B276C1" w:rsidRPr="001776CA" w:rsidRDefault="00B276C1" w:rsidP="007B4683">
      <w:pPr>
        <w:ind w:left="1558"/>
        <w:rPr>
          <w:rFonts w:ascii="Traditional Arabic" w:hAnsi="Traditional Arabic"/>
          <w:rtl/>
        </w:rPr>
      </w:pPr>
    </w:p>
    <w:p w:rsidR="00B276C1" w:rsidRPr="001776CA" w:rsidRDefault="00C82163" w:rsidP="007B4683">
      <w:pPr>
        <w:spacing w:before="120" w:after="60"/>
        <w:rPr>
          <w:rFonts w:ascii="Traditional Arabic" w:hAnsi="Traditional Arabic"/>
          <w:rtl/>
        </w:rPr>
      </w:pPr>
      <w:r>
        <w:rPr>
          <w:rFonts w:ascii="Traditional Arabic" w:hAnsi="Traditional Arabic" w:hint="cs"/>
          <w:rtl/>
        </w:rPr>
        <w:t xml:space="preserve">     </w:t>
      </w:r>
      <w:r w:rsidR="00B276C1" w:rsidRPr="001776CA">
        <w:rPr>
          <w:rFonts w:ascii="Traditional Arabic" w:hAnsi="Traditional Arabic"/>
          <w:rtl/>
        </w:rPr>
        <w:t>المبحث الخامس:</w:t>
      </w:r>
      <w:r w:rsidR="00B276C1" w:rsidRPr="00B77E7A">
        <w:rPr>
          <w:rFonts w:ascii="Traditional Arabic" w:hAnsi="Traditional Arabic"/>
          <w:rtl/>
        </w:rPr>
        <w:t>سمات القاعدة والضابط عند ال</w:t>
      </w:r>
      <w:r w:rsidR="007B4683">
        <w:rPr>
          <w:rFonts w:ascii="Traditional Arabic" w:hAnsi="Traditional Arabic"/>
          <w:rtl/>
        </w:rPr>
        <w:t xml:space="preserve">شيخ ابن عثيمين. وتحته </w:t>
      </w:r>
      <w:r w:rsidR="007B4683">
        <w:rPr>
          <w:rFonts w:ascii="Traditional Arabic" w:hAnsi="Traditional Arabic" w:hint="cs"/>
          <w:rtl/>
        </w:rPr>
        <w:t>أربع</w:t>
      </w:r>
      <w:r w:rsidR="00B276C1" w:rsidRPr="00B77E7A">
        <w:rPr>
          <w:rFonts w:ascii="Traditional Arabic" w:hAnsi="Traditional Arabic"/>
          <w:rtl/>
        </w:rPr>
        <w:t>ة مطالب:</w:t>
      </w:r>
    </w:p>
    <w:p w:rsidR="00B276C1" w:rsidRPr="001776CA" w:rsidRDefault="00B276C1" w:rsidP="00597C20">
      <w:pPr>
        <w:ind w:left="1558"/>
        <w:rPr>
          <w:rFonts w:ascii="Traditional Arabic" w:hAnsi="Traditional Arabic"/>
          <w:rtl/>
        </w:rPr>
      </w:pPr>
      <w:r w:rsidRPr="001776CA">
        <w:rPr>
          <w:rFonts w:ascii="Traditional Arabic" w:hAnsi="Traditional Arabic"/>
          <w:rtl/>
        </w:rPr>
        <w:t xml:space="preserve">المطلب الأول: </w:t>
      </w:r>
      <w:r w:rsidRPr="00B77E7A">
        <w:rPr>
          <w:rFonts w:ascii="Traditional Arabic" w:hAnsi="Traditional Arabic"/>
          <w:rtl/>
        </w:rPr>
        <w:t>التأصيل.</w:t>
      </w:r>
    </w:p>
    <w:p w:rsidR="00B276C1" w:rsidRPr="001776CA" w:rsidRDefault="00B276C1" w:rsidP="00597C20">
      <w:pPr>
        <w:ind w:left="1558"/>
        <w:rPr>
          <w:rFonts w:ascii="Traditional Arabic" w:hAnsi="Traditional Arabic"/>
          <w:rtl/>
        </w:rPr>
      </w:pPr>
      <w:r w:rsidRPr="001776CA">
        <w:rPr>
          <w:rFonts w:ascii="Traditional Arabic" w:hAnsi="Traditional Arabic"/>
          <w:rtl/>
        </w:rPr>
        <w:t xml:space="preserve">المطلب الثاني: </w:t>
      </w:r>
      <w:r w:rsidRPr="00B77E7A">
        <w:rPr>
          <w:rFonts w:ascii="Traditional Arabic" w:hAnsi="Traditional Arabic"/>
          <w:rtl/>
        </w:rPr>
        <w:t>ارتباطها بواقع الناس.</w:t>
      </w:r>
    </w:p>
    <w:p w:rsidR="00B276C1" w:rsidRPr="001776CA" w:rsidRDefault="00B276C1" w:rsidP="00597C20">
      <w:pPr>
        <w:ind w:left="1558"/>
        <w:rPr>
          <w:rFonts w:ascii="Traditional Arabic" w:hAnsi="Traditional Arabic"/>
          <w:rtl/>
        </w:rPr>
      </w:pPr>
      <w:r w:rsidRPr="001776CA">
        <w:rPr>
          <w:rFonts w:ascii="Traditional Arabic" w:hAnsi="Traditional Arabic"/>
          <w:rtl/>
        </w:rPr>
        <w:t xml:space="preserve">المطلب الثالث: </w:t>
      </w:r>
      <w:r w:rsidRPr="00B77E7A">
        <w:rPr>
          <w:rFonts w:ascii="Traditional Arabic" w:hAnsi="Traditional Arabic"/>
          <w:rtl/>
        </w:rPr>
        <w:t>الوضوح والسهولة.</w:t>
      </w:r>
    </w:p>
    <w:p w:rsidR="00B276C1" w:rsidRPr="001776CA" w:rsidRDefault="00B276C1" w:rsidP="00597C20">
      <w:pPr>
        <w:ind w:left="1558"/>
        <w:rPr>
          <w:rFonts w:ascii="Traditional Arabic" w:hAnsi="Traditional Arabic"/>
          <w:rtl/>
        </w:rPr>
      </w:pPr>
      <w:r w:rsidRPr="001776CA">
        <w:rPr>
          <w:rFonts w:ascii="Traditional Arabic" w:hAnsi="Traditional Arabic"/>
          <w:rtl/>
        </w:rPr>
        <w:t xml:space="preserve">المطلب الرابع: </w:t>
      </w:r>
      <w:r w:rsidRPr="00B77E7A">
        <w:rPr>
          <w:rFonts w:ascii="Traditional Arabic" w:hAnsi="Traditional Arabic"/>
          <w:rtl/>
        </w:rPr>
        <w:t>الشمولية.</w:t>
      </w:r>
    </w:p>
    <w:p w:rsidR="00B276C1" w:rsidRPr="00ED39A4" w:rsidRDefault="00B276C1" w:rsidP="00597C20">
      <w:pPr>
        <w:spacing w:before="360"/>
        <w:ind w:firstLine="284"/>
        <w:rPr>
          <w:rFonts w:ascii="Traditional Arabic" w:hAnsi="Traditional Arabic"/>
          <w:b/>
          <w:bCs/>
          <w:rtl/>
        </w:rPr>
      </w:pPr>
      <w:r w:rsidRPr="001776CA">
        <w:rPr>
          <w:rFonts w:ascii="Traditional Arabic" w:hAnsi="Traditional Arabic"/>
          <w:rtl/>
        </w:rPr>
        <w:t xml:space="preserve">الباب الأول: القواعد الفقهية المتعلقة بالمعاملات من الشرح الممتع. </w:t>
      </w:r>
      <w:r w:rsidRPr="00ED39A4">
        <w:rPr>
          <w:rFonts w:ascii="Traditional Arabic" w:hAnsi="Traditional Arabic"/>
          <w:rtl/>
        </w:rPr>
        <w:t>وتحته أحد عشر فصلا:</w:t>
      </w:r>
    </w:p>
    <w:p w:rsidR="00B276C1" w:rsidRPr="001776CA" w:rsidRDefault="00B276C1" w:rsidP="00C82163">
      <w:pPr>
        <w:spacing w:before="120"/>
        <w:rPr>
          <w:rFonts w:ascii="Traditional Arabic" w:hAnsi="Traditional Arabic"/>
          <w:rtl/>
        </w:rPr>
      </w:pPr>
      <w:r w:rsidRPr="001776CA">
        <w:rPr>
          <w:rFonts w:ascii="Traditional Arabic" w:hAnsi="Traditional Arabic"/>
          <w:rtl/>
        </w:rPr>
        <w:lastRenderedPageBreak/>
        <w:t>الفصل الأول: القواعد المتعلقة بالمصالح والمفاسد والتعارض. وتحته ستة مباحث:</w:t>
      </w:r>
    </w:p>
    <w:p w:rsidR="00B276C1" w:rsidRPr="001776CA" w:rsidRDefault="00B276C1" w:rsidP="007B4683">
      <w:pPr>
        <w:spacing w:after="60"/>
        <w:ind w:left="2977" w:hanging="1843"/>
        <w:rPr>
          <w:rFonts w:ascii="Traditional Arabic" w:hAnsi="Traditional Arabic"/>
          <w:rtl/>
        </w:rPr>
      </w:pPr>
      <w:r w:rsidRPr="001776CA">
        <w:rPr>
          <w:rFonts w:ascii="Traditional Arabic" w:hAnsi="Traditional Arabic"/>
          <w:rtl/>
        </w:rPr>
        <w:t>المبحث الأول:</w:t>
      </w:r>
      <w:r w:rsidR="006F0830">
        <w:rPr>
          <w:rFonts w:ascii="Traditional Arabic" w:hAnsi="Traditional Arabic" w:hint="cs"/>
          <w:rtl/>
        </w:rPr>
        <w:t xml:space="preserve"> </w:t>
      </w:r>
      <w:r w:rsidR="00A76EEC">
        <w:rPr>
          <w:rFonts w:ascii="Traditional Arabic" w:hAnsi="Traditional Arabic"/>
          <w:rtl/>
        </w:rPr>
        <w:t xml:space="preserve">الشريعة </w:t>
      </w:r>
      <w:r w:rsidR="00A76EEC">
        <w:rPr>
          <w:rFonts w:ascii="Traditional Arabic" w:hAnsi="Traditional Arabic" w:hint="cs"/>
          <w:rtl/>
        </w:rPr>
        <w:t>جاءت بتحصيل المصالح</w:t>
      </w:r>
      <w:r w:rsidR="00A76EEC">
        <w:rPr>
          <w:rFonts w:ascii="Traditional Arabic" w:hAnsi="Traditional Arabic"/>
          <w:rtl/>
        </w:rPr>
        <w:t xml:space="preserve"> </w:t>
      </w:r>
      <w:r w:rsidR="00A76EEC">
        <w:rPr>
          <w:rFonts w:ascii="Traditional Arabic" w:hAnsi="Traditional Arabic" w:hint="cs"/>
          <w:rtl/>
        </w:rPr>
        <w:t xml:space="preserve">وتكميلها، </w:t>
      </w:r>
      <w:r w:rsidRPr="00B77E7A">
        <w:rPr>
          <w:rFonts w:ascii="Traditional Arabic" w:hAnsi="Traditional Arabic"/>
          <w:rtl/>
        </w:rPr>
        <w:t xml:space="preserve"> ودرء المفاسد</w:t>
      </w:r>
      <w:r w:rsidR="00A76EEC">
        <w:rPr>
          <w:rFonts w:ascii="Traditional Arabic" w:hAnsi="Traditional Arabic" w:hint="cs"/>
          <w:rtl/>
        </w:rPr>
        <w:t xml:space="preserve"> وتقليلها، بحسب الإمكان</w:t>
      </w:r>
      <w:r w:rsidRPr="00B77E7A">
        <w:rPr>
          <w:rFonts w:ascii="Traditional Arabic" w:hAnsi="Traditional Arabic"/>
          <w:rtl/>
        </w:rPr>
        <w:t xml:space="preserve">. </w:t>
      </w:r>
    </w:p>
    <w:p w:rsidR="00B276C1" w:rsidRPr="001776CA" w:rsidRDefault="00B276C1" w:rsidP="007B4683">
      <w:pPr>
        <w:spacing w:before="120" w:after="60"/>
        <w:ind w:left="2875" w:hanging="1741"/>
        <w:rPr>
          <w:rFonts w:ascii="Traditional Arabic" w:hAnsi="Traditional Arabic"/>
          <w:rtl/>
        </w:rPr>
      </w:pPr>
      <w:r w:rsidRPr="001776CA">
        <w:rPr>
          <w:rFonts w:ascii="Traditional Arabic" w:hAnsi="Traditional Arabic"/>
          <w:rtl/>
        </w:rPr>
        <w:t xml:space="preserve">المبحث الثاني: </w:t>
      </w:r>
      <w:r w:rsidRPr="00B77E7A">
        <w:rPr>
          <w:rFonts w:ascii="Traditional Arabic" w:hAnsi="Traditional Arabic"/>
          <w:rtl/>
        </w:rPr>
        <w:t>قاعدة إذا تعارضت المصلحة والمفسدة قدم أرجحهما.</w:t>
      </w:r>
    </w:p>
    <w:p w:rsidR="00065E4B" w:rsidRPr="001776CA" w:rsidRDefault="00B276C1" w:rsidP="00690470">
      <w:pPr>
        <w:spacing w:before="120" w:after="60"/>
        <w:ind w:left="2875" w:hanging="1741"/>
        <w:rPr>
          <w:rFonts w:ascii="Traditional Arabic" w:hAnsi="Traditional Arabic"/>
        </w:rPr>
      </w:pPr>
      <w:r w:rsidRPr="001776CA">
        <w:rPr>
          <w:rFonts w:ascii="Traditional Arabic" w:hAnsi="Traditional Arabic"/>
          <w:rtl/>
        </w:rPr>
        <w:t xml:space="preserve">المبحث الثالث: </w:t>
      </w:r>
      <w:r w:rsidR="00690470">
        <w:rPr>
          <w:rFonts w:ascii="Traditional Arabic" w:hAnsi="Traditional Arabic"/>
          <w:rtl/>
        </w:rPr>
        <w:t xml:space="preserve">قاعدة درء المفاسد </w:t>
      </w:r>
      <w:r w:rsidR="00690470">
        <w:rPr>
          <w:rFonts w:ascii="Traditional Arabic" w:hAnsi="Traditional Arabic" w:hint="cs"/>
          <w:rtl/>
        </w:rPr>
        <w:t>أولى من</w:t>
      </w:r>
      <w:r w:rsidR="00690470" w:rsidRPr="00B77E7A">
        <w:rPr>
          <w:rFonts w:ascii="Traditional Arabic" w:hAnsi="Traditional Arabic"/>
          <w:rtl/>
        </w:rPr>
        <w:t xml:space="preserve"> جلب المصالح.</w:t>
      </w:r>
    </w:p>
    <w:p w:rsidR="00065E4B" w:rsidRPr="001776CA" w:rsidRDefault="00525843" w:rsidP="00690470">
      <w:pPr>
        <w:rPr>
          <w:rFonts w:ascii="Traditional Arabic" w:hAnsi="Traditional Arabic"/>
        </w:rPr>
      </w:pPr>
      <w:r>
        <w:rPr>
          <w:rFonts w:ascii="Traditional Arabic" w:hAnsi="Traditional Arabic" w:hint="cs"/>
          <w:rtl/>
        </w:rPr>
        <w:t xml:space="preserve">        </w:t>
      </w:r>
      <w:r w:rsidR="00065E4B" w:rsidRPr="001776CA">
        <w:rPr>
          <w:rFonts w:ascii="Traditional Arabic" w:hAnsi="Traditional Arabic"/>
          <w:rtl/>
        </w:rPr>
        <w:t>ا</w:t>
      </w:r>
      <w:r w:rsidR="00B276C1" w:rsidRPr="001776CA">
        <w:rPr>
          <w:rFonts w:ascii="Traditional Arabic" w:hAnsi="Traditional Arabic"/>
          <w:rtl/>
        </w:rPr>
        <w:t xml:space="preserve">لمبحث الرابع: </w:t>
      </w:r>
      <w:r w:rsidR="00690470" w:rsidRPr="001776CA">
        <w:rPr>
          <w:rFonts w:hint="cs"/>
          <w:rtl/>
        </w:rPr>
        <w:t>قاعدة إذا اجتمع موجب التحليل والتحريم على وجه لا تمييز بينهما غلب جانب التحريم.</w:t>
      </w:r>
    </w:p>
    <w:p w:rsidR="00B276C1" w:rsidRPr="001776CA" w:rsidRDefault="00525843" w:rsidP="00690470">
      <w:pPr>
        <w:spacing w:before="120" w:after="60"/>
        <w:rPr>
          <w:b/>
          <w:bCs/>
        </w:rPr>
      </w:pPr>
      <w:r>
        <w:rPr>
          <w:rFonts w:hint="cs"/>
          <w:rtl/>
        </w:rPr>
        <w:t xml:space="preserve">        </w:t>
      </w:r>
      <w:r w:rsidR="00065E4B" w:rsidRPr="001776CA">
        <w:rPr>
          <w:rFonts w:hint="cs"/>
          <w:rtl/>
        </w:rPr>
        <w:t>ا</w:t>
      </w:r>
      <w:r w:rsidR="00B276C1" w:rsidRPr="001776CA">
        <w:rPr>
          <w:rFonts w:hint="cs"/>
          <w:rtl/>
        </w:rPr>
        <w:t xml:space="preserve">لمبحث الخامس: </w:t>
      </w:r>
      <w:r w:rsidR="00690470" w:rsidRPr="001776CA">
        <w:rPr>
          <w:rFonts w:ascii="Traditional Arabic" w:hAnsi="Traditional Arabic" w:hint="cs"/>
          <w:rtl/>
        </w:rPr>
        <w:t xml:space="preserve">إذا </w:t>
      </w:r>
      <w:r w:rsidR="00690470" w:rsidRPr="001776CA">
        <w:rPr>
          <w:rFonts w:ascii="Traditional Arabic" w:hAnsi="Traditional Arabic"/>
          <w:rtl/>
        </w:rPr>
        <w:t>تعارض</w:t>
      </w:r>
      <w:r w:rsidR="00690470" w:rsidRPr="001776CA">
        <w:rPr>
          <w:rFonts w:ascii="Traditional Arabic" w:hAnsi="Traditional Arabic" w:hint="cs"/>
          <w:rtl/>
        </w:rPr>
        <w:t xml:space="preserve"> الأصل</w:t>
      </w:r>
      <w:r w:rsidR="00690470">
        <w:rPr>
          <w:rFonts w:ascii="Traditional Arabic" w:hAnsi="Traditional Arabic" w:hint="cs"/>
          <w:rtl/>
        </w:rPr>
        <w:t xml:space="preserve"> و</w:t>
      </w:r>
      <w:r w:rsidR="00690470" w:rsidRPr="001776CA">
        <w:rPr>
          <w:rFonts w:ascii="Traditional Arabic" w:hAnsi="Traditional Arabic" w:hint="cs"/>
          <w:rtl/>
        </w:rPr>
        <w:t>الظاهر، أو تعارض</w:t>
      </w:r>
      <w:r w:rsidR="00690470" w:rsidRPr="001776CA">
        <w:rPr>
          <w:rFonts w:ascii="Traditional Arabic" w:hAnsi="Traditional Arabic"/>
          <w:rtl/>
        </w:rPr>
        <w:t xml:space="preserve"> أصلان</w:t>
      </w:r>
      <w:r w:rsidR="00690470" w:rsidRPr="001776CA">
        <w:rPr>
          <w:rFonts w:ascii="Traditional Arabic" w:hAnsi="Traditional Arabic" w:hint="cs"/>
          <w:rtl/>
        </w:rPr>
        <w:t>،</w:t>
      </w:r>
      <w:r w:rsidR="00690470" w:rsidRPr="001776CA">
        <w:rPr>
          <w:rFonts w:ascii="Traditional Arabic" w:hAnsi="Traditional Arabic"/>
          <w:rtl/>
        </w:rPr>
        <w:t xml:space="preserve"> ق</w:t>
      </w:r>
      <w:r w:rsidR="00690470" w:rsidRPr="001776CA">
        <w:rPr>
          <w:rFonts w:ascii="Traditional Arabic" w:hAnsi="Traditional Arabic" w:hint="cs"/>
          <w:rtl/>
        </w:rPr>
        <w:t>ُ</w:t>
      </w:r>
      <w:r w:rsidR="00690470" w:rsidRPr="001776CA">
        <w:rPr>
          <w:rFonts w:ascii="Traditional Arabic" w:hAnsi="Traditional Arabic"/>
          <w:rtl/>
        </w:rPr>
        <w:t>د</w:t>
      </w:r>
      <w:r w:rsidR="00690470" w:rsidRPr="001776CA">
        <w:rPr>
          <w:rFonts w:ascii="Traditional Arabic" w:hAnsi="Traditional Arabic" w:hint="cs"/>
          <w:rtl/>
        </w:rPr>
        <w:t>ِّ</w:t>
      </w:r>
      <w:r w:rsidR="00690470" w:rsidRPr="001776CA">
        <w:rPr>
          <w:rFonts w:ascii="Traditional Arabic" w:hAnsi="Traditional Arabic"/>
          <w:rtl/>
        </w:rPr>
        <w:t>م أ</w:t>
      </w:r>
      <w:r w:rsidR="00690470" w:rsidRPr="001776CA">
        <w:rPr>
          <w:rFonts w:ascii="Traditional Arabic" w:hAnsi="Traditional Arabic" w:hint="cs"/>
          <w:rtl/>
        </w:rPr>
        <w:t>قواهما</w:t>
      </w:r>
      <w:r w:rsidR="00690470" w:rsidRPr="001776CA">
        <w:rPr>
          <w:rFonts w:ascii="Traditional Arabic" w:hAnsi="Traditional Arabic"/>
          <w:rtl/>
        </w:rPr>
        <w:t xml:space="preserve"> على الآخر</w:t>
      </w:r>
      <w:r w:rsidR="00690470">
        <w:rPr>
          <w:rFonts w:ascii="Traditional Arabic" w:hAnsi="Traditional Arabic" w:hint="cs"/>
          <w:rtl/>
        </w:rPr>
        <w:t xml:space="preserve"> </w:t>
      </w:r>
      <w:r w:rsidR="00690470" w:rsidRPr="001776CA">
        <w:rPr>
          <w:rFonts w:ascii="Traditional Arabic" w:hAnsi="Traditional Arabic"/>
          <w:rtl/>
        </w:rPr>
        <w:t>حسب ما تقتضيه الشريعة</w:t>
      </w:r>
      <w:r w:rsidR="00690470">
        <w:rPr>
          <w:rFonts w:ascii="Traditional Arabic" w:hAnsi="Traditional Arabic"/>
          <w:rtl/>
        </w:rPr>
        <w:t xml:space="preserve"> و</w:t>
      </w:r>
      <w:r w:rsidR="00690470" w:rsidRPr="001776CA">
        <w:rPr>
          <w:rFonts w:ascii="Traditional Arabic" w:hAnsi="Traditional Arabic"/>
          <w:rtl/>
        </w:rPr>
        <w:t>قرائن الأحوال</w:t>
      </w:r>
      <w:r w:rsidR="00690470" w:rsidRPr="001776CA">
        <w:rPr>
          <w:rFonts w:ascii="Traditional Arabic" w:hAnsi="Traditional Arabic" w:hint="cs"/>
          <w:rtl/>
        </w:rPr>
        <w:t>.</w:t>
      </w:r>
    </w:p>
    <w:p w:rsidR="00F228A9" w:rsidRPr="001776CA" w:rsidRDefault="00B276C1" w:rsidP="00C82163">
      <w:pPr>
        <w:spacing w:before="120"/>
        <w:rPr>
          <w:rFonts w:ascii="Traditional Arabic" w:hAnsi="Traditional Arabic"/>
          <w:rtl/>
        </w:rPr>
      </w:pPr>
      <w:r w:rsidRPr="001776CA">
        <w:rPr>
          <w:rFonts w:ascii="Traditional Arabic" w:hAnsi="Traditional Arabic"/>
          <w:rtl/>
        </w:rPr>
        <w:t xml:space="preserve">الفصل الثاني: القواعد المتعلقة بالعرف والعادة. وتحته </w:t>
      </w:r>
      <w:r w:rsidR="00A76EEC">
        <w:rPr>
          <w:rFonts w:ascii="Traditional Arabic" w:hAnsi="Traditional Arabic" w:hint="cs"/>
          <w:rtl/>
        </w:rPr>
        <w:t>خم</w:t>
      </w:r>
      <w:r w:rsidR="00A76EEC">
        <w:rPr>
          <w:rFonts w:ascii="Traditional Arabic" w:hAnsi="Traditional Arabic"/>
          <w:rtl/>
        </w:rPr>
        <w:t>س</w:t>
      </w:r>
      <w:r w:rsidRPr="001776CA">
        <w:rPr>
          <w:rFonts w:ascii="Traditional Arabic" w:hAnsi="Traditional Arabic"/>
          <w:rtl/>
        </w:rPr>
        <w:t>ة مباحث:</w:t>
      </w:r>
    </w:p>
    <w:p w:rsidR="00B276C1" w:rsidRPr="001776CA" w:rsidRDefault="00B276C1" w:rsidP="007B4683">
      <w:pPr>
        <w:spacing w:after="60"/>
        <w:ind w:left="2977" w:hanging="1843"/>
        <w:rPr>
          <w:rFonts w:ascii="Traditional Arabic" w:hAnsi="Traditional Arabic"/>
          <w:b/>
          <w:bCs/>
        </w:rPr>
      </w:pPr>
      <w:r w:rsidRPr="001776CA">
        <w:rPr>
          <w:rFonts w:ascii="Traditional Arabic" w:hAnsi="Traditional Arabic"/>
          <w:rtl/>
        </w:rPr>
        <w:t xml:space="preserve">المبحث الأول: قاعدة المرجع فيما يتداوله الناس من الكلام والأفعال إلى العرف. </w:t>
      </w:r>
    </w:p>
    <w:p w:rsidR="00B276C1" w:rsidRPr="001776CA" w:rsidRDefault="00B276C1" w:rsidP="00A76EEC">
      <w:pPr>
        <w:spacing w:before="120" w:after="60"/>
        <w:ind w:left="2834" w:hanging="1700"/>
      </w:pPr>
      <w:r w:rsidRPr="001776CA">
        <w:rPr>
          <w:rFonts w:hint="cs"/>
          <w:rtl/>
        </w:rPr>
        <w:t xml:space="preserve">المبحث الثاني: </w:t>
      </w:r>
      <w:r w:rsidR="00A76EEC" w:rsidRPr="001776CA">
        <w:rPr>
          <w:rFonts w:hint="cs"/>
          <w:rtl/>
        </w:rPr>
        <w:t>قاعدة الشرط العرفي كالشرط اللفظي.</w:t>
      </w:r>
    </w:p>
    <w:p w:rsidR="00B276C1" w:rsidRPr="001776CA" w:rsidRDefault="00B276C1" w:rsidP="00A76EEC">
      <w:pPr>
        <w:spacing w:before="120" w:after="60"/>
        <w:ind w:left="2834" w:hanging="1700"/>
        <w:rPr>
          <w:b/>
          <w:bCs/>
        </w:rPr>
      </w:pPr>
      <w:r w:rsidRPr="001776CA">
        <w:rPr>
          <w:rFonts w:hint="cs"/>
          <w:rtl/>
        </w:rPr>
        <w:t xml:space="preserve">المبحث الثالث: </w:t>
      </w:r>
      <w:r w:rsidR="00A76EEC" w:rsidRPr="001776CA">
        <w:rPr>
          <w:rFonts w:hint="cs"/>
          <w:rtl/>
        </w:rPr>
        <w:t>قاعدة الإذن العرفي كالإذن اللفظي.</w:t>
      </w:r>
    </w:p>
    <w:p w:rsidR="00B276C1" w:rsidRPr="001776CA" w:rsidRDefault="00B276C1" w:rsidP="00A76EEC">
      <w:pPr>
        <w:spacing w:before="120" w:after="60"/>
        <w:ind w:left="2975" w:hanging="1841"/>
      </w:pPr>
      <w:r w:rsidRPr="001776CA">
        <w:rPr>
          <w:rFonts w:hint="cs"/>
          <w:rtl/>
        </w:rPr>
        <w:t xml:space="preserve">المبحث الرابع: </w:t>
      </w:r>
      <w:r w:rsidR="00A76EEC">
        <w:rPr>
          <w:rFonts w:hint="cs"/>
          <w:rtl/>
        </w:rPr>
        <w:t>قاعدة ما أتى ولم يحدد</w:t>
      </w:r>
      <w:r w:rsidR="00A76EEC" w:rsidRPr="001776CA">
        <w:rPr>
          <w:rFonts w:hint="cs"/>
          <w:rtl/>
        </w:rPr>
        <w:t xml:space="preserve"> </w:t>
      </w:r>
      <w:r w:rsidR="00A76EEC">
        <w:rPr>
          <w:rFonts w:hint="cs"/>
          <w:rtl/>
        </w:rPr>
        <w:t>ب</w:t>
      </w:r>
      <w:r w:rsidR="00A76EEC" w:rsidRPr="001776CA">
        <w:rPr>
          <w:rFonts w:hint="cs"/>
          <w:rtl/>
        </w:rPr>
        <w:t>الشرع فمرجعه إلى العرف.</w:t>
      </w:r>
    </w:p>
    <w:p w:rsidR="00065E4B" w:rsidRPr="001776CA" w:rsidRDefault="00B276C1" w:rsidP="00A76EEC">
      <w:pPr>
        <w:spacing w:before="120" w:after="60"/>
        <w:ind w:left="3117" w:hanging="1983"/>
        <w:rPr>
          <w:rtl/>
        </w:rPr>
      </w:pPr>
      <w:r w:rsidRPr="001776CA">
        <w:rPr>
          <w:rFonts w:hint="cs"/>
          <w:rtl/>
        </w:rPr>
        <w:t xml:space="preserve">المبحث الخامس: </w:t>
      </w:r>
      <w:r w:rsidR="009C1FFE">
        <w:rPr>
          <w:rFonts w:hint="cs"/>
          <w:rtl/>
        </w:rPr>
        <w:t>قاعدة العقود تنعقد</w:t>
      </w:r>
      <w:r w:rsidR="00A76EEC" w:rsidRPr="001776CA">
        <w:rPr>
          <w:rFonts w:hint="cs"/>
          <w:rtl/>
        </w:rPr>
        <w:t xml:space="preserve"> بما دل عليها عرفا.</w:t>
      </w:r>
    </w:p>
    <w:p w:rsidR="00B276C1" w:rsidRPr="001776CA" w:rsidRDefault="00C82163" w:rsidP="00597C20">
      <w:pPr>
        <w:spacing w:before="120"/>
        <w:rPr>
          <w:rFonts w:ascii="Traditional Arabic" w:hAnsi="Traditional Arabic"/>
          <w:b/>
          <w:bCs/>
          <w:rtl/>
        </w:rPr>
      </w:pPr>
      <w:r>
        <w:rPr>
          <w:rFonts w:ascii="Traditional Arabic" w:hAnsi="Traditional Arabic" w:hint="cs"/>
          <w:rtl/>
        </w:rPr>
        <w:t xml:space="preserve"> </w:t>
      </w:r>
      <w:r w:rsidR="00065E4B" w:rsidRPr="001776CA">
        <w:rPr>
          <w:rFonts w:ascii="Traditional Arabic" w:hAnsi="Traditional Arabic"/>
          <w:rtl/>
        </w:rPr>
        <w:t>ا</w:t>
      </w:r>
      <w:r w:rsidR="00B276C1" w:rsidRPr="001776CA">
        <w:rPr>
          <w:rFonts w:ascii="Traditional Arabic" w:hAnsi="Traditional Arabic"/>
          <w:rtl/>
        </w:rPr>
        <w:t>لفصل الثالث: القواعد المتعلقة ب</w:t>
      </w:r>
      <w:r w:rsidR="00525843">
        <w:rPr>
          <w:rFonts w:ascii="Traditional Arabic" w:hAnsi="Traditional Arabic"/>
          <w:rtl/>
        </w:rPr>
        <w:t>الوسائل وال</w:t>
      </w:r>
      <w:r w:rsidR="00525843">
        <w:rPr>
          <w:rFonts w:ascii="Traditional Arabic" w:hAnsi="Traditional Arabic" w:hint="cs"/>
          <w:rtl/>
        </w:rPr>
        <w:t>نيات</w:t>
      </w:r>
      <w:r w:rsidR="00B276C1" w:rsidRPr="001776CA">
        <w:rPr>
          <w:rFonts w:ascii="Traditional Arabic" w:hAnsi="Traditional Arabic"/>
          <w:rtl/>
        </w:rPr>
        <w:t>. وتحته ثمانية مباحث:</w:t>
      </w:r>
    </w:p>
    <w:p w:rsidR="00B276C1" w:rsidRPr="001776CA" w:rsidRDefault="00B276C1" w:rsidP="007B4683">
      <w:pPr>
        <w:spacing w:after="60"/>
        <w:ind w:left="2977" w:hanging="1843"/>
        <w:rPr>
          <w:b/>
          <w:bCs/>
        </w:rPr>
      </w:pPr>
      <w:r w:rsidRPr="001776CA">
        <w:rPr>
          <w:rFonts w:hint="cs"/>
          <w:rtl/>
        </w:rPr>
        <w:t xml:space="preserve">المبحث الأول: قاعدة الوسائل لها أحكام المقاصد. </w:t>
      </w:r>
    </w:p>
    <w:p w:rsidR="00B276C1" w:rsidRPr="001776CA" w:rsidRDefault="00B276C1" w:rsidP="007B4683">
      <w:pPr>
        <w:spacing w:before="120" w:after="60"/>
        <w:ind w:left="3117" w:hanging="1983"/>
        <w:rPr>
          <w:b/>
          <w:bCs/>
        </w:rPr>
      </w:pPr>
      <w:r w:rsidRPr="001776CA">
        <w:rPr>
          <w:rFonts w:hint="cs"/>
          <w:rtl/>
        </w:rPr>
        <w:t xml:space="preserve">المبحث الثاني: قاعدة سد الذرائع. </w:t>
      </w:r>
    </w:p>
    <w:p w:rsidR="00B276C1" w:rsidRPr="00A54EC0" w:rsidRDefault="00B276C1" w:rsidP="007B4683">
      <w:pPr>
        <w:spacing w:before="120" w:after="60"/>
        <w:ind w:left="3117" w:hanging="1983"/>
      </w:pPr>
      <w:r w:rsidRPr="00A54EC0">
        <w:rPr>
          <w:rFonts w:hint="cs"/>
          <w:rtl/>
        </w:rPr>
        <w:t xml:space="preserve">المبحث الثالث: </w:t>
      </w:r>
      <w:r w:rsidR="009C1FFE">
        <w:rPr>
          <w:rFonts w:hint="cs"/>
          <w:rtl/>
        </w:rPr>
        <w:t>قاعدة ما حرم تحريم الوسائل أباحته ا</w:t>
      </w:r>
      <w:r w:rsidRPr="001776CA">
        <w:rPr>
          <w:rFonts w:hint="cs"/>
          <w:rtl/>
        </w:rPr>
        <w:t xml:space="preserve">لحاجة. </w:t>
      </w:r>
    </w:p>
    <w:p w:rsidR="00065E4B" w:rsidRPr="00A54EC0" w:rsidRDefault="00B276C1" w:rsidP="007B4683">
      <w:pPr>
        <w:spacing w:before="120" w:after="60"/>
        <w:ind w:left="3117" w:hanging="1983"/>
        <w:rPr>
          <w:b/>
          <w:bCs/>
        </w:rPr>
      </w:pPr>
      <w:r w:rsidRPr="00A54EC0">
        <w:rPr>
          <w:rFonts w:hint="cs"/>
          <w:rtl/>
        </w:rPr>
        <w:t xml:space="preserve">المبحث الرابع: قاعدة إنما الأعمال بالنيات. </w:t>
      </w:r>
    </w:p>
    <w:p w:rsidR="00B276C1" w:rsidRPr="00A54EC0" w:rsidRDefault="00C82163" w:rsidP="007B4683">
      <w:pPr>
        <w:spacing w:before="120" w:after="60"/>
      </w:pPr>
      <w:r>
        <w:rPr>
          <w:rFonts w:hint="cs"/>
          <w:rtl/>
        </w:rPr>
        <w:t xml:space="preserve">       </w:t>
      </w:r>
      <w:r w:rsidR="00065E4B" w:rsidRPr="00A54EC0">
        <w:rPr>
          <w:rFonts w:hint="cs"/>
          <w:rtl/>
        </w:rPr>
        <w:t>ا</w:t>
      </w:r>
      <w:r w:rsidR="00B276C1" w:rsidRPr="00A54EC0">
        <w:rPr>
          <w:rFonts w:hint="cs"/>
          <w:rtl/>
        </w:rPr>
        <w:t>لمبحث الخامس: قاعدة العبرة في الألفاظ بمعانيها</w:t>
      </w:r>
      <w:r w:rsidR="007B4683">
        <w:rPr>
          <w:rFonts w:hint="cs"/>
          <w:rtl/>
        </w:rPr>
        <w:t>.</w:t>
      </w:r>
    </w:p>
    <w:p w:rsidR="007B4683" w:rsidRPr="00A54EC0" w:rsidRDefault="00B276C1" w:rsidP="007B4683">
      <w:pPr>
        <w:spacing w:before="120" w:after="60"/>
        <w:ind w:left="3117" w:hanging="1983"/>
      </w:pPr>
      <w:r w:rsidRPr="00A54EC0">
        <w:rPr>
          <w:rFonts w:hint="cs"/>
          <w:rtl/>
        </w:rPr>
        <w:t>المبحث السادس: قاعدة من أدى عن غيره واجبا يبرأ به بنية الرجوع عليه رجع</w:t>
      </w:r>
      <w:r w:rsidR="009C1FFE">
        <w:rPr>
          <w:rFonts w:hint="cs"/>
          <w:rtl/>
        </w:rPr>
        <w:t>،</w:t>
      </w:r>
      <w:r w:rsidRPr="00A54EC0">
        <w:rPr>
          <w:rFonts w:hint="cs"/>
          <w:rtl/>
        </w:rPr>
        <w:t xml:space="preserve"> وإلا </w:t>
      </w:r>
      <w:r w:rsidRPr="00A54EC0">
        <w:rPr>
          <w:rFonts w:hint="cs"/>
          <w:rtl/>
        </w:rPr>
        <w:lastRenderedPageBreak/>
        <w:t xml:space="preserve">فلا. </w:t>
      </w:r>
    </w:p>
    <w:p w:rsidR="00065E4B" w:rsidRPr="00A54EC0" w:rsidRDefault="00C82163" w:rsidP="007B4683">
      <w:pPr>
        <w:rPr>
          <w:b/>
          <w:bCs/>
          <w:rtl/>
        </w:rPr>
      </w:pPr>
      <w:r>
        <w:rPr>
          <w:rFonts w:hint="cs"/>
          <w:rtl/>
        </w:rPr>
        <w:t xml:space="preserve">       </w:t>
      </w:r>
      <w:r w:rsidR="00065E4B" w:rsidRPr="00A54EC0">
        <w:rPr>
          <w:rFonts w:hint="cs"/>
          <w:rtl/>
        </w:rPr>
        <w:t>ا</w:t>
      </w:r>
      <w:r w:rsidR="00B276C1" w:rsidRPr="00A54EC0">
        <w:rPr>
          <w:rFonts w:hint="cs"/>
          <w:rtl/>
        </w:rPr>
        <w:t xml:space="preserve">لمبحث السابع: قاعدة الحيل ممنوعة شرعا. </w:t>
      </w:r>
    </w:p>
    <w:p w:rsidR="00065E4B" w:rsidRPr="00A54EC0" w:rsidRDefault="00C82163" w:rsidP="007B4683">
      <w:pPr>
        <w:rPr>
          <w:b/>
          <w:bCs/>
          <w:rtl/>
        </w:rPr>
      </w:pPr>
      <w:r>
        <w:rPr>
          <w:rFonts w:hint="cs"/>
          <w:rtl/>
        </w:rPr>
        <w:t xml:space="preserve">      </w:t>
      </w:r>
      <w:r w:rsidR="00065E4B" w:rsidRPr="00A54EC0">
        <w:rPr>
          <w:rFonts w:hint="cs"/>
          <w:rtl/>
        </w:rPr>
        <w:t>ا</w:t>
      </w:r>
      <w:r w:rsidR="00B276C1" w:rsidRPr="00A54EC0">
        <w:rPr>
          <w:rFonts w:hint="cs"/>
          <w:rtl/>
        </w:rPr>
        <w:t xml:space="preserve">لمبحث الثامن: المعاملة بنقيض القصد. </w:t>
      </w:r>
    </w:p>
    <w:p w:rsidR="00B276C1" w:rsidRPr="00A54EC0" w:rsidRDefault="00065E4B" w:rsidP="00597C20">
      <w:pPr>
        <w:spacing w:before="120"/>
        <w:rPr>
          <w:rFonts w:ascii="Traditional Arabic" w:hAnsi="Traditional Arabic"/>
          <w:rtl/>
        </w:rPr>
      </w:pPr>
      <w:r w:rsidRPr="00A54EC0">
        <w:rPr>
          <w:rFonts w:ascii="Traditional Arabic" w:hAnsi="Traditional Arabic"/>
          <w:rtl/>
        </w:rPr>
        <w:t>ا</w:t>
      </w:r>
      <w:r w:rsidR="00B276C1" w:rsidRPr="00A54EC0">
        <w:rPr>
          <w:rFonts w:ascii="Traditional Arabic" w:hAnsi="Traditional Arabic"/>
          <w:rtl/>
        </w:rPr>
        <w:t>لفصل الرابع: القواعد المتعلقة بالضرر. وتحته ثلاثة مباحث:</w:t>
      </w:r>
    </w:p>
    <w:p w:rsidR="00B276C1" w:rsidRPr="00A54EC0" w:rsidRDefault="00B276C1" w:rsidP="007B4683">
      <w:pPr>
        <w:spacing w:after="60"/>
        <w:ind w:left="2977" w:hanging="1843"/>
        <w:rPr>
          <w:rFonts w:ascii="Traditional Arabic" w:hAnsi="Traditional Arabic"/>
          <w:b/>
          <w:bCs/>
        </w:rPr>
      </w:pPr>
      <w:r w:rsidRPr="00A54EC0">
        <w:rPr>
          <w:rFonts w:ascii="Traditional Arabic" w:hAnsi="Traditional Arabic"/>
          <w:rtl/>
        </w:rPr>
        <w:t xml:space="preserve">المبحث الأول: قاعدة لا ضرر ولا ضرار. </w:t>
      </w:r>
    </w:p>
    <w:p w:rsidR="00B276C1" w:rsidRPr="00A54EC0" w:rsidRDefault="00B276C1" w:rsidP="007B4683">
      <w:pPr>
        <w:spacing w:before="120" w:after="60"/>
        <w:ind w:left="2834" w:hanging="1700"/>
      </w:pPr>
      <w:r w:rsidRPr="00A54EC0">
        <w:rPr>
          <w:rFonts w:hint="cs"/>
          <w:rtl/>
        </w:rPr>
        <w:t>المبحث الثاني: قاعدة كل مدفوع لأذاه فلا حرمة له</w:t>
      </w:r>
      <w:r w:rsidR="00B76414">
        <w:rPr>
          <w:rFonts w:hint="cs"/>
          <w:rtl/>
        </w:rPr>
        <w:t>،</w:t>
      </w:r>
      <w:r w:rsidRPr="00A54EC0">
        <w:rPr>
          <w:rFonts w:hint="cs"/>
          <w:rtl/>
        </w:rPr>
        <w:t xml:space="preserve"> وكل ما أبيح لصوله فإنه يدفع بالأسهل فالأسهل. </w:t>
      </w:r>
    </w:p>
    <w:p w:rsidR="00B276C1" w:rsidRPr="00A54EC0" w:rsidRDefault="00B276C1" w:rsidP="00C82163">
      <w:pPr>
        <w:spacing w:before="120" w:after="60"/>
        <w:ind w:left="2975" w:hanging="1841"/>
        <w:rPr>
          <w:b/>
          <w:bCs/>
        </w:rPr>
      </w:pPr>
      <w:r w:rsidRPr="00A54EC0">
        <w:rPr>
          <w:rFonts w:hint="cs"/>
          <w:rtl/>
        </w:rPr>
        <w:t xml:space="preserve">المبحث الثالث: قاعدة </w:t>
      </w:r>
      <w:r w:rsidR="009C1FFE">
        <w:rPr>
          <w:rFonts w:hint="cs"/>
          <w:rtl/>
        </w:rPr>
        <w:t xml:space="preserve">إذا تضمن </w:t>
      </w:r>
      <w:r w:rsidRPr="00A54EC0">
        <w:rPr>
          <w:rFonts w:hint="cs"/>
          <w:rtl/>
        </w:rPr>
        <w:t xml:space="preserve">الفسخ </w:t>
      </w:r>
      <w:r w:rsidR="009C1FFE">
        <w:rPr>
          <w:rFonts w:hint="cs"/>
          <w:rtl/>
        </w:rPr>
        <w:t>ضررا على أحد الطرفين، فإن</w:t>
      </w:r>
      <w:r w:rsidRPr="00A54EC0">
        <w:rPr>
          <w:rFonts w:hint="cs"/>
          <w:rtl/>
        </w:rPr>
        <w:t xml:space="preserve"> العقود الجائزة </w:t>
      </w:r>
      <w:r w:rsidR="009C1FFE">
        <w:rPr>
          <w:rFonts w:hint="cs"/>
          <w:rtl/>
        </w:rPr>
        <w:t>تنقلب لازمة، درءاً</w:t>
      </w:r>
      <w:r w:rsidRPr="00A54EC0">
        <w:rPr>
          <w:rFonts w:hint="cs"/>
          <w:rtl/>
        </w:rPr>
        <w:t xml:space="preserve"> </w:t>
      </w:r>
      <w:r w:rsidR="009C1FFE">
        <w:rPr>
          <w:rFonts w:hint="cs"/>
          <w:rtl/>
        </w:rPr>
        <w:t>للضررا</w:t>
      </w:r>
      <w:r w:rsidRPr="00A54EC0">
        <w:rPr>
          <w:rFonts w:hint="cs"/>
          <w:rtl/>
        </w:rPr>
        <w:t xml:space="preserve">. </w:t>
      </w:r>
    </w:p>
    <w:p w:rsidR="00B276C1" w:rsidRPr="00A54EC0" w:rsidRDefault="00B276C1" w:rsidP="00C82163">
      <w:pPr>
        <w:spacing w:before="120"/>
        <w:rPr>
          <w:rFonts w:ascii="Traditional Arabic" w:hAnsi="Traditional Arabic"/>
          <w:rtl/>
        </w:rPr>
      </w:pPr>
      <w:r w:rsidRPr="00A54EC0">
        <w:rPr>
          <w:rFonts w:ascii="Traditional Arabic" w:hAnsi="Traditional Arabic"/>
          <w:rtl/>
        </w:rPr>
        <w:t>الفصل الخامس: القواعد المتعلقة بالتوابع. وتحته مبحثان:</w:t>
      </w:r>
    </w:p>
    <w:p w:rsidR="00B276C1" w:rsidRPr="00A54EC0" w:rsidRDefault="00B276C1" w:rsidP="007B4683">
      <w:pPr>
        <w:spacing w:after="60"/>
        <w:ind w:left="2977" w:hanging="1843"/>
      </w:pPr>
      <w:r w:rsidRPr="00A54EC0">
        <w:rPr>
          <w:rFonts w:hint="cs"/>
          <w:rtl/>
        </w:rPr>
        <w:t>المبحث الأول: قاعدة يثبت تبعا ما لا يثبت استقلالا</w:t>
      </w:r>
    </w:p>
    <w:p w:rsidR="00B276C1" w:rsidRPr="00A54EC0" w:rsidRDefault="00B276C1" w:rsidP="007B4683">
      <w:pPr>
        <w:spacing w:before="120" w:after="60"/>
        <w:ind w:left="2975" w:hanging="1841"/>
        <w:rPr>
          <w:b/>
          <w:bCs/>
        </w:rPr>
      </w:pPr>
      <w:r w:rsidRPr="00A54EC0">
        <w:rPr>
          <w:rFonts w:hint="cs"/>
          <w:rtl/>
        </w:rPr>
        <w:t xml:space="preserve">المبحث الثاني:. قاعدة إذا برئ الأصل برئ الفرع. </w:t>
      </w:r>
    </w:p>
    <w:p w:rsidR="00B276C1" w:rsidRPr="00A54EC0" w:rsidRDefault="00B276C1" w:rsidP="00C82163">
      <w:pPr>
        <w:spacing w:before="120"/>
        <w:rPr>
          <w:rFonts w:ascii="Traditional Arabic" w:hAnsi="Traditional Arabic"/>
          <w:rtl/>
        </w:rPr>
      </w:pPr>
      <w:r w:rsidRPr="00A54EC0">
        <w:rPr>
          <w:rFonts w:ascii="Traditional Arabic" w:hAnsi="Traditional Arabic"/>
          <w:rtl/>
        </w:rPr>
        <w:t>الفصل السادس: القواعد المتعلقة باليقين. وتحته ستة مباحث:</w:t>
      </w:r>
    </w:p>
    <w:p w:rsidR="00B276C1" w:rsidRPr="00344D2E" w:rsidRDefault="00B276C1" w:rsidP="007B4683">
      <w:pPr>
        <w:spacing w:after="60"/>
        <w:ind w:left="2977" w:hanging="1843"/>
        <w:rPr>
          <w:b/>
          <w:bCs/>
        </w:rPr>
      </w:pPr>
      <w:r w:rsidRPr="00A54EC0">
        <w:rPr>
          <w:rFonts w:hint="cs"/>
          <w:rtl/>
        </w:rPr>
        <w:t xml:space="preserve">المبحث الأول: قاعدة الأصل بقاء ما كان على ما كان. </w:t>
      </w:r>
    </w:p>
    <w:p w:rsidR="00B276C1" w:rsidRPr="00344D2E" w:rsidRDefault="00B276C1" w:rsidP="007B4683">
      <w:pPr>
        <w:spacing w:before="120" w:after="60"/>
        <w:ind w:left="2975" w:hanging="1841"/>
        <w:rPr>
          <w:rtl/>
        </w:rPr>
      </w:pPr>
      <w:r w:rsidRPr="00344D2E">
        <w:rPr>
          <w:rFonts w:hint="cs"/>
          <w:rtl/>
        </w:rPr>
        <w:t xml:space="preserve">المبحث الثاني: قاعدة الأصل براءة الذمة. </w:t>
      </w:r>
    </w:p>
    <w:p w:rsidR="00B276C1" w:rsidRPr="00344D2E" w:rsidRDefault="00B276C1" w:rsidP="007B4683">
      <w:pPr>
        <w:spacing w:before="120" w:after="60"/>
        <w:ind w:left="2975" w:hanging="1841"/>
        <w:rPr>
          <w:b/>
          <w:bCs/>
        </w:rPr>
      </w:pPr>
      <w:r w:rsidRPr="00344D2E">
        <w:rPr>
          <w:rFonts w:hint="cs"/>
          <w:rtl/>
        </w:rPr>
        <w:t xml:space="preserve">المبحث الثالث: قاعدة الأصل في العقود والشروط الجواز والصحة. </w:t>
      </w:r>
    </w:p>
    <w:p w:rsidR="00B276C1" w:rsidRPr="00344D2E" w:rsidRDefault="00B276C1" w:rsidP="007B4683">
      <w:pPr>
        <w:spacing w:before="120" w:after="60"/>
        <w:ind w:left="2975" w:hanging="1841"/>
        <w:rPr>
          <w:b/>
          <w:bCs/>
        </w:rPr>
      </w:pPr>
      <w:r w:rsidRPr="00344D2E">
        <w:rPr>
          <w:rFonts w:hint="cs"/>
          <w:rtl/>
        </w:rPr>
        <w:t xml:space="preserve">المبحث الرابع: قاعدة العبرة في المعاملات بما في نفس الأمر. </w:t>
      </w:r>
    </w:p>
    <w:p w:rsidR="00B276C1" w:rsidRPr="00344D2E" w:rsidRDefault="00B276C1" w:rsidP="007B4683">
      <w:pPr>
        <w:spacing w:before="120" w:after="60"/>
        <w:ind w:left="2975" w:hanging="1841"/>
        <w:rPr>
          <w:b/>
          <w:bCs/>
        </w:rPr>
      </w:pPr>
      <w:r w:rsidRPr="00344D2E">
        <w:rPr>
          <w:rFonts w:hint="cs"/>
          <w:rtl/>
        </w:rPr>
        <w:t xml:space="preserve">المبحث الخامس: قاعدة الأصل في أموال المحترمين العصمة. </w:t>
      </w:r>
    </w:p>
    <w:p w:rsidR="00B276C1" w:rsidRPr="00344D2E" w:rsidRDefault="00B276C1" w:rsidP="007B4683">
      <w:pPr>
        <w:spacing w:before="120" w:after="60"/>
        <w:ind w:left="2975" w:hanging="1841"/>
        <w:rPr>
          <w:b/>
          <w:bCs/>
        </w:rPr>
      </w:pPr>
      <w:r w:rsidRPr="00344D2E">
        <w:rPr>
          <w:rFonts w:hint="cs"/>
          <w:rtl/>
        </w:rPr>
        <w:t xml:space="preserve">المبحث السادس: قاعدة </w:t>
      </w:r>
      <w:r w:rsidR="00E0721F">
        <w:rPr>
          <w:rFonts w:hint="cs"/>
          <w:rtl/>
        </w:rPr>
        <w:t xml:space="preserve">العبرة بالأغلب </w:t>
      </w:r>
      <w:r w:rsidRPr="00344D2E">
        <w:rPr>
          <w:rFonts w:hint="cs"/>
          <w:rtl/>
        </w:rPr>
        <w:t xml:space="preserve">النادر لا حكم له. </w:t>
      </w:r>
    </w:p>
    <w:p w:rsidR="00B276C1" w:rsidRPr="00344D2E" w:rsidRDefault="00B276C1" w:rsidP="00C82163">
      <w:pPr>
        <w:spacing w:before="120"/>
        <w:rPr>
          <w:rFonts w:ascii="Traditional Arabic" w:hAnsi="Traditional Arabic"/>
          <w:rtl/>
        </w:rPr>
      </w:pPr>
      <w:r w:rsidRPr="00344D2E">
        <w:rPr>
          <w:rFonts w:ascii="Traditional Arabic" w:hAnsi="Traditional Arabic"/>
          <w:rtl/>
        </w:rPr>
        <w:t>الفصل السابع: القواعد المتعلقة بالضمان. وتحته سبعة مباحث:</w:t>
      </w:r>
    </w:p>
    <w:p w:rsidR="00B276C1" w:rsidRPr="00344D2E" w:rsidRDefault="00B276C1" w:rsidP="007B4683">
      <w:pPr>
        <w:spacing w:after="60"/>
        <w:ind w:left="2977" w:hanging="1843"/>
        <w:rPr>
          <w:b/>
          <w:bCs/>
        </w:rPr>
      </w:pPr>
      <w:r w:rsidRPr="00344D2E">
        <w:rPr>
          <w:rFonts w:hint="cs"/>
          <w:rtl/>
        </w:rPr>
        <w:t xml:space="preserve">المبحث الأول: قاعدة الأيدي المترتبة على يد الغاصب كلها أيدي ضمان. </w:t>
      </w:r>
    </w:p>
    <w:p w:rsidR="00B276C1" w:rsidRPr="00344D2E" w:rsidRDefault="00892EF0" w:rsidP="007B4683">
      <w:pPr>
        <w:spacing w:before="120" w:after="60"/>
        <w:ind w:left="2975" w:hanging="1841"/>
      </w:pPr>
      <w:r>
        <w:rPr>
          <w:rFonts w:hint="cs"/>
          <w:rtl/>
        </w:rPr>
        <w:t xml:space="preserve">المبحث الثاني: قاعدة إذا اجتمع متسبب ومباشر فالضمان على </w:t>
      </w:r>
      <w:r w:rsidR="00B276C1" w:rsidRPr="00344D2E">
        <w:rPr>
          <w:rFonts w:hint="cs"/>
          <w:rtl/>
        </w:rPr>
        <w:t xml:space="preserve">المباشر. </w:t>
      </w:r>
    </w:p>
    <w:p w:rsidR="00B276C1" w:rsidRPr="00344D2E" w:rsidRDefault="00B276C1" w:rsidP="007B4683">
      <w:pPr>
        <w:spacing w:before="120" w:after="60"/>
        <w:ind w:left="2975" w:hanging="1841"/>
        <w:rPr>
          <w:b/>
          <w:bCs/>
        </w:rPr>
      </w:pPr>
      <w:r w:rsidRPr="00344D2E">
        <w:rPr>
          <w:rFonts w:hint="cs"/>
          <w:rtl/>
        </w:rPr>
        <w:lastRenderedPageBreak/>
        <w:t xml:space="preserve">المبحث الثالث: قاعدة العجماء جبار. </w:t>
      </w:r>
    </w:p>
    <w:p w:rsidR="00B276C1" w:rsidRPr="00344D2E" w:rsidRDefault="00B276C1" w:rsidP="007B4683">
      <w:pPr>
        <w:spacing w:before="120" w:after="60"/>
        <w:ind w:left="2975" w:hanging="1841"/>
        <w:rPr>
          <w:b/>
          <w:bCs/>
        </w:rPr>
      </w:pPr>
      <w:r w:rsidRPr="00344D2E">
        <w:rPr>
          <w:rFonts w:hint="cs"/>
          <w:rtl/>
        </w:rPr>
        <w:t xml:space="preserve">المبحث الرابع: قاعدة الخراج بالضمان. </w:t>
      </w:r>
    </w:p>
    <w:p w:rsidR="00B276C1" w:rsidRPr="00344D2E" w:rsidRDefault="00B276C1" w:rsidP="007B4683">
      <w:pPr>
        <w:spacing w:before="120" w:after="60"/>
        <w:ind w:left="2975" w:hanging="1841"/>
        <w:rPr>
          <w:b/>
          <w:bCs/>
        </w:rPr>
      </w:pPr>
      <w:r w:rsidRPr="00344D2E">
        <w:rPr>
          <w:rFonts w:hint="cs"/>
          <w:rtl/>
        </w:rPr>
        <w:t>المبحث الخامس: قاعدة الأ</w:t>
      </w:r>
      <w:r w:rsidR="00892EF0">
        <w:rPr>
          <w:rFonts w:hint="cs"/>
          <w:rtl/>
        </w:rPr>
        <w:t>مين إذا لم يتعد ولم يفرط فلا ضمان عليه</w:t>
      </w:r>
      <w:r w:rsidRPr="00344D2E">
        <w:rPr>
          <w:rFonts w:hint="cs"/>
          <w:rtl/>
        </w:rPr>
        <w:t xml:space="preserve">. </w:t>
      </w:r>
    </w:p>
    <w:p w:rsidR="00B276C1" w:rsidRPr="00344D2E" w:rsidRDefault="00B276C1" w:rsidP="007B4683">
      <w:pPr>
        <w:spacing w:before="120" w:after="60"/>
        <w:ind w:left="2975" w:hanging="1841"/>
        <w:rPr>
          <w:b/>
          <w:bCs/>
          <w:rtl/>
        </w:rPr>
      </w:pPr>
      <w:r w:rsidRPr="00344D2E">
        <w:rPr>
          <w:rFonts w:hint="cs"/>
          <w:rtl/>
        </w:rPr>
        <w:t>المبحث الساد</w:t>
      </w:r>
      <w:r w:rsidR="00892EF0">
        <w:rPr>
          <w:rFonts w:hint="cs"/>
          <w:rtl/>
        </w:rPr>
        <w:t>س: قاعدة كل من أتلف شيئا</w:t>
      </w:r>
      <w:r w:rsidRPr="00344D2E">
        <w:rPr>
          <w:rFonts w:hint="cs"/>
          <w:rtl/>
        </w:rPr>
        <w:t xml:space="preserve"> فعليه الضمان. </w:t>
      </w:r>
    </w:p>
    <w:p w:rsidR="00B276C1" w:rsidRPr="00344D2E" w:rsidRDefault="00B276C1" w:rsidP="007B4683">
      <w:pPr>
        <w:spacing w:before="120" w:after="60"/>
        <w:ind w:left="2975" w:hanging="1841"/>
        <w:rPr>
          <w:b/>
          <w:bCs/>
        </w:rPr>
      </w:pPr>
      <w:r w:rsidRPr="00344D2E">
        <w:rPr>
          <w:rFonts w:hint="cs"/>
          <w:rtl/>
        </w:rPr>
        <w:t>المبحث السابع: قاعدة ما ترتب على المأذون فليس بمضمون</w:t>
      </w:r>
      <w:r w:rsidR="00892EF0">
        <w:rPr>
          <w:rFonts w:hint="cs"/>
          <w:rtl/>
        </w:rPr>
        <w:t>، وما ترتب على غير المأذون فهو مضمون</w:t>
      </w:r>
      <w:r w:rsidRPr="00344D2E">
        <w:rPr>
          <w:rFonts w:hint="cs"/>
          <w:rtl/>
        </w:rPr>
        <w:t xml:space="preserve">. </w:t>
      </w:r>
    </w:p>
    <w:p w:rsidR="00B276C1" w:rsidRPr="00344D2E" w:rsidRDefault="00B276C1" w:rsidP="00C82163">
      <w:pPr>
        <w:spacing w:before="120"/>
        <w:rPr>
          <w:rFonts w:ascii="Traditional Arabic" w:hAnsi="Traditional Arabic"/>
          <w:rtl/>
        </w:rPr>
      </w:pPr>
      <w:r w:rsidRPr="00344D2E">
        <w:rPr>
          <w:rFonts w:ascii="Traditional Arabic" w:hAnsi="Traditional Arabic"/>
          <w:rtl/>
        </w:rPr>
        <w:t>الفصل الثامن: القواعد المتعلقة بالشروط والأسباب والعقود. وتحته ثلاثة مباحث:</w:t>
      </w:r>
    </w:p>
    <w:p w:rsidR="00B276C1" w:rsidRPr="0091719A" w:rsidRDefault="00B276C1" w:rsidP="007B4683">
      <w:pPr>
        <w:spacing w:after="60"/>
        <w:ind w:left="2834" w:hanging="1700"/>
        <w:rPr>
          <w:b/>
          <w:bCs/>
        </w:rPr>
      </w:pPr>
      <w:r w:rsidRPr="00344D2E">
        <w:rPr>
          <w:rFonts w:hint="cs"/>
          <w:rtl/>
        </w:rPr>
        <w:t xml:space="preserve">المبحث الأول: قاعدة </w:t>
      </w:r>
      <w:r w:rsidR="00892EF0">
        <w:rPr>
          <w:rFonts w:hint="cs"/>
          <w:rtl/>
        </w:rPr>
        <w:t xml:space="preserve">جميع </w:t>
      </w:r>
      <w:r w:rsidRPr="00344D2E">
        <w:rPr>
          <w:rFonts w:hint="cs"/>
          <w:rtl/>
        </w:rPr>
        <w:t xml:space="preserve">العقود والشروط الفاسدة عقدها حرام واشتراطها حرام. </w:t>
      </w:r>
    </w:p>
    <w:p w:rsidR="00065E4B" w:rsidRPr="0091719A" w:rsidRDefault="00B276C1" w:rsidP="007B4683">
      <w:pPr>
        <w:spacing w:before="120" w:after="60"/>
        <w:ind w:left="2975" w:hanging="1841"/>
        <w:rPr>
          <w:b/>
          <w:bCs/>
          <w:rtl/>
        </w:rPr>
      </w:pPr>
      <w:r w:rsidRPr="0091719A">
        <w:rPr>
          <w:rFonts w:hint="cs"/>
          <w:rtl/>
        </w:rPr>
        <w:t xml:space="preserve">المبحث الثاني: قاعدة جميع العقود والفسوخ لابد فيها من الرضا. </w:t>
      </w:r>
    </w:p>
    <w:p w:rsidR="00F228A9" w:rsidRPr="0091719A" w:rsidRDefault="00C82163" w:rsidP="007B4683">
      <w:r>
        <w:rPr>
          <w:rFonts w:hint="cs"/>
          <w:rtl/>
        </w:rPr>
        <w:t xml:space="preserve">       </w:t>
      </w:r>
      <w:r w:rsidR="00065E4B" w:rsidRPr="0091719A">
        <w:rPr>
          <w:rFonts w:hint="cs"/>
          <w:rtl/>
        </w:rPr>
        <w:t>ا</w:t>
      </w:r>
      <w:r w:rsidR="00B276C1" w:rsidRPr="0091719A">
        <w:rPr>
          <w:rFonts w:hint="cs"/>
          <w:rtl/>
        </w:rPr>
        <w:t xml:space="preserve">لمبحث الثالث: </w:t>
      </w:r>
      <w:r w:rsidR="00892EF0">
        <w:rPr>
          <w:rFonts w:hint="cs"/>
          <w:rtl/>
        </w:rPr>
        <w:t>قاعدة الحكم يدور مع علته وجودا وعدما</w:t>
      </w:r>
      <w:r w:rsidR="00B276C1" w:rsidRPr="0091719A">
        <w:rPr>
          <w:rFonts w:hint="cs"/>
          <w:rtl/>
        </w:rPr>
        <w:t xml:space="preserve">. </w:t>
      </w:r>
    </w:p>
    <w:p w:rsidR="00B276C1" w:rsidRPr="0091719A" w:rsidRDefault="00B276C1" w:rsidP="00C82163">
      <w:pPr>
        <w:spacing w:before="120"/>
        <w:rPr>
          <w:rFonts w:ascii="Traditional Arabic" w:hAnsi="Traditional Arabic"/>
          <w:b/>
          <w:bCs/>
          <w:rtl/>
        </w:rPr>
      </w:pPr>
      <w:r w:rsidRPr="0091719A">
        <w:rPr>
          <w:rFonts w:ascii="Traditional Arabic" w:hAnsi="Traditional Arabic"/>
          <w:rtl/>
        </w:rPr>
        <w:t>الفصل التاسع: القواعد المتعلقة بالحقوق. وتحته مبحثان:</w:t>
      </w:r>
    </w:p>
    <w:p w:rsidR="00B276C1" w:rsidRPr="0091719A" w:rsidRDefault="00B276C1" w:rsidP="007B4683">
      <w:pPr>
        <w:spacing w:after="60"/>
        <w:ind w:left="2834" w:hanging="1700"/>
      </w:pPr>
      <w:r w:rsidRPr="0091719A">
        <w:rPr>
          <w:rFonts w:ascii="Traditional Arabic" w:hAnsi="Traditional Arabic"/>
          <w:rtl/>
        </w:rPr>
        <w:t xml:space="preserve">المبحث الأول: قاعدة الأصل أن كل من ثبت له حق فإنه لا يسقط إلا بما يدل على رضاه. </w:t>
      </w:r>
    </w:p>
    <w:p w:rsidR="00B276C1" w:rsidRPr="0091719A" w:rsidRDefault="00B276C1" w:rsidP="007B4683">
      <w:pPr>
        <w:spacing w:before="120" w:after="60"/>
        <w:ind w:left="2975" w:hanging="1841"/>
        <w:rPr>
          <w:b/>
          <w:bCs/>
        </w:rPr>
      </w:pPr>
      <w:r w:rsidRPr="0091719A">
        <w:rPr>
          <w:rFonts w:hint="cs"/>
          <w:rtl/>
        </w:rPr>
        <w:t xml:space="preserve">المبحث الثاني: قاعدة القرعة طريق شرعي للتمييز بين الحقوق المتساوية. </w:t>
      </w:r>
    </w:p>
    <w:p w:rsidR="00B276C1" w:rsidRPr="0091719A" w:rsidRDefault="00B276C1" w:rsidP="00C82163">
      <w:pPr>
        <w:spacing w:before="120"/>
        <w:rPr>
          <w:rFonts w:ascii="Traditional Arabic" w:hAnsi="Traditional Arabic"/>
          <w:rtl/>
        </w:rPr>
      </w:pPr>
      <w:r w:rsidRPr="0091719A">
        <w:rPr>
          <w:rFonts w:ascii="Traditional Arabic" w:hAnsi="Traditional Arabic"/>
          <w:rtl/>
        </w:rPr>
        <w:t>الفصل العاشر: القواعد المتعلقة بفصل منازعات البيوع. وتحته ستة مباحث:</w:t>
      </w:r>
    </w:p>
    <w:p w:rsidR="00B276C1" w:rsidRPr="0091719A" w:rsidRDefault="00B276C1" w:rsidP="007B4683">
      <w:pPr>
        <w:spacing w:after="60"/>
        <w:ind w:left="2834" w:hanging="1700"/>
      </w:pPr>
      <w:r w:rsidRPr="0091719A">
        <w:rPr>
          <w:rFonts w:hint="cs"/>
          <w:rtl/>
        </w:rPr>
        <w:t xml:space="preserve">المبحث الأول: قاعدة كل غارم فالقول قوله. </w:t>
      </w:r>
    </w:p>
    <w:p w:rsidR="00B276C1" w:rsidRPr="0091719A" w:rsidRDefault="00B276C1" w:rsidP="007B4683">
      <w:pPr>
        <w:spacing w:before="120" w:after="60"/>
        <w:ind w:left="2975" w:hanging="1841"/>
        <w:rPr>
          <w:b/>
          <w:bCs/>
        </w:rPr>
      </w:pPr>
      <w:r w:rsidRPr="0091719A">
        <w:rPr>
          <w:rFonts w:hint="cs"/>
          <w:rtl/>
        </w:rPr>
        <w:t>المبحث الثاني: قاع</w:t>
      </w:r>
      <w:r w:rsidR="00415A6F">
        <w:rPr>
          <w:rFonts w:hint="cs"/>
          <w:rtl/>
        </w:rPr>
        <w:t>دة كل إنسان أمين يقبل قوله فيما ائتمن فيه</w:t>
      </w:r>
      <w:r w:rsidRPr="0091719A">
        <w:rPr>
          <w:rFonts w:hint="cs"/>
          <w:rtl/>
        </w:rPr>
        <w:t xml:space="preserve">. </w:t>
      </w:r>
    </w:p>
    <w:p w:rsidR="00B276C1" w:rsidRPr="0091719A" w:rsidRDefault="00B276C1" w:rsidP="007B4683">
      <w:pPr>
        <w:spacing w:before="120" w:after="60"/>
        <w:ind w:left="2975" w:hanging="1841"/>
        <w:rPr>
          <w:b/>
          <w:bCs/>
        </w:rPr>
      </w:pPr>
      <w:r w:rsidRPr="0091719A">
        <w:rPr>
          <w:rFonts w:hint="cs"/>
          <w:rtl/>
        </w:rPr>
        <w:t>المبحث الثالث: قاعد</w:t>
      </w:r>
      <w:r w:rsidR="00415A6F">
        <w:rPr>
          <w:rFonts w:hint="cs"/>
          <w:rtl/>
        </w:rPr>
        <w:t>ة</w:t>
      </w:r>
      <w:r w:rsidRPr="0091719A">
        <w:rPr>
          <w:rFonts w:hint="cs"/>
          <w:rtl/>
        </w:rPr>
        <w:t xml:space="preserve"> من قبض الشيء لحظ نفسه لم يقبل قوله في الرد</w:t>
      </w:r>
      <w:r w:rsidR="00B76414">
        <w:rPr>
          <w:rFonts w:hint="cs"/>
          <w:rtl/>
        </w:rPr>
        <w:t>،</w:t>
      </w:r>
      <w:r w:rsidR="00C82163">
        <w:rPr>
          <w:rFonts w:hint="cs"/>
          <w:rtl/>
        </w:rPr>
        <w:t xml:space="preserve"> </w:t>
      </w:r>
      <w:r w:rsidRPr="0091719A">
        <w:rPr>
          <w:rFonts w:hint="cs"/>
          <w:rtl/>
        </w:rPr>
        <w:t>ومن قبضه لحظ م</w:t>
      </w:r>
      <w:r w:rsidR="00415A6F">
        <w:rPr>
          <w:rFonts w:hint="cs"/>
          <w:rtl/>
        </w:rPr>
        <w:t>الكه قبل قوله في الرد، ومن قبضه</w:t>
      </w:r>
      <w:r w:rsidRPr="0091719A">
        <w:rPr>
          <w:rFonts w:hint="cs"/>
          <w:rtl/>
        </w:rPr>
        <w:t xml:space="preserve"> لحظهما جميعا لم يقبل قوله في الرد. </w:t>
      </w:r>
    </w:p>
    <w:p w:rsidR="00B276C1" w:rsidRPr="0091719A" w:rsidRDefault="00B276C1" w:rsidP="007B4683">
      <w:pPr>
        <w:spacing w:before="120" w:after="60"/>
        <w:ind w:left="2834" w:hanging="1700"/>
      </w:pPr>
      <w:r w:rsidRPr="0091719A">
        <w:rPr>
          <w:rFonts w:hint="cs"/>
          <w:rtl/>
        </w:rPr>
        <w:t xml:space="preserve">المبحث الرابع: قاعدة البينة على المدعي واليمين على من أنكر. </w:t>
      </w:r>
    </w:p>
    <w:p w:rsidR="00065E4B" w:rsidRPr="0091719A" w:rsidRDefault="00B276C1" w:rsidP="007B4683">
      <w:pPr>
        <w:spacing w:before="120" w:after="60"/>
        <w:ind w:left="2834" w:hanging="1700"/>
        <w:rPr>
          <w:b/>
          <w:bCs/>
          <w:rtl/>
        </w:rPr>
      </w:pPr>
      <w:r w:rsidRPr="0091719A">
        <w:rPr>
          <w:rFonts w:hint="cs"/>
          <w:rtl/>
        </w:rPr>
        <w:t xml:space="preserve">المبحث الخامس: قاعدة قرائن الأحوال شواهد بمنزلة البينة. </w:t>
      </w:r>
    </w:p>
    <w:p w:rsidR="00065E4B" w:rsidRPr="0091719A" w:rsidRDefault="00C82163" w:rsidP="007B4683">
      <w:pPr>
        <w:rPr>
          <w:rtl/>
        </w:rPr>
      </w:pPr>
      <w:r>
        <w:rPr>
          <w:rFonts w:hint="cs"/>
          <w:rtl/>
        </w:rPr>
        <w:lastRenderedPageBreak/>
        <w:t xml:space="preserve">       </w:t>
      </w:r>
      <w:r w:rsidR="00065E4B" w:rsidRPr="0091719A">
        <w:rPr>
          <w:rFonts w:hint="cs"/>
          <w:rtl/>
        </w:rPr>
        <w:t>ا</w:t>
      </w:r>
      <w:r w:rsidR="00B276C1" w:rsidRPr="0091719A">
        <w:rPr>
          <w:rFonts w:hint="cs"/>
          <w:rtl/>
        </w:rPr>
        <w:t xml:space="preserve">لمبحث السادس: قاعدة كل ما أوجب العداوة والبغضاء بين المسلمين فهو </w:t>
      </w:r>
      <w:r w:rsidR="00415A6F">
        <w:rPr>
          <w:rFonts w:hint="cs"/>
          <w:rtl/>
        </w:rPr>
        <w:t>محر</w:t>
      </w:r>
      <w:r w:rsidR="00B276C1" w:rsidRPr="0091719A">
        <w:rPr>
          <w:rFonts w:hint="cs"/>
          <w:rtl/>
        </w:rPr>
        <w:t xml:space="preserve">م. </w:t>
      </w:r>
    </w:p>
    <w:p w:rsidR="00B276C1" w:rsidRPr="0091719A" w:rsidRDefault="00065E4B" w:rsidP="00597C20">
      <w:pPr>
        <w:spacing w:before="120"/>
        <w:rPr>
          <w:rFonts w:ascii="Traditional Arabic" w:hAnsi="Traditional Arabic"/>
          <w:rtl/>
        </w:rPr>
      </w:pPr>
      <w:r w:rsidRPr="0091719A">
        <w:rPr>
          <w:rFonts w:ascii="Traditional Arabic" w:hAnsi="Traditional Arabic"/>
          <w:rtl/>
        </w:rPr>
        <w:t>ا</w:t>
      </w:r>
      <w:r w:rsidR="00B276C1" w:rsidRPr="0091719A">
        <w:rPr>
          <w:rFonts w:ascii="Traditional Arabic" w:hAnsi="Traditional Arabic"/>
          <w:rtl/>
        </w:rPr>
        <w:t>لفصل الحادي عشر: قواعد متفرقة. وتحته تسعة مباحث:</w:t>
      </w:r>
    </w:p>
    <w:p w:rsidR="00B276C1" w:rsidRPr="0091719A" w:rsidRDefault="00B276C1" w:rsidP="007B4683">
      <w:pPr>
        <w:spacing w:after="60"/>
        <w:ind w:left="2834" w:hanging="1700"/>
        <w:rPr>
          <w:b/>
          <w:bCs/>
        </w:rPr>
      </w:pPr>
      <w:r w:rsidRPr="0091719A">
        <w:rPr>
          <w:rFonts w:ascii="Traditional Arabic" w:hAnsi="Traditional Arabic"/>
          <w:rtl/>
        </w:rPr>
        <w:t xml:space="preserve">المبحث الأول: قاعدة الأحكام </w:t>
      </w:r>
      <w:r w:rsidR="00415A6F">
        <w:rPr>
          <w:rFonts w:ascii="Traditional Arabic" w:hAnsi="Traditional Arabic" w:hint="cs"/>
          <w:rtl/>
        </w:rPr>
        <w:t xml:space="preserve">قد </w:t>
      </w:r>
      <w:r w:rsidRPr="0091719A">
        <w:rPr>
          <w:rFonts w:ascii="Traditional Arabic" w:hAnsi="Traditional Arabic"/>
          <w:rtl/>
        </w:rPr>
        <w:t xml:space="preserve">تتبعض. </w:t>
      </w:r>
    </w:p>
    <w:p w:rsidR="00B276C1" w:rsidRPr="003A2F72" w:rsidRDefault="00B276C1" w:rsidP="007B4683">
      <w:pPr>
        <w:spacing w:before="120" w:after="60"/>
        <w:ind w:left="2919" w:hanging="1785"/>
        <w:rPr>
          <w:b/>
          <w:bCs/>
        </w:rPr>
      </w:pPr>
      <w:r w:rsidRPr="0091719A">
        <w:rPr>
          <w:rFonts w:hint="cs"/>
          <w:rtl/>
        </w:rPr>
        <w:t xml:space="preserve">المبحث الثاني: قاعدة الاحتياط. </w:t>
      </w:r>
    </w:p>
    <w:p w:rsidR="00B276C1" w:rsidRPr="003A2F72" w:rsidRDefault="00B276C1" w:rsidP="007B4683">
      <w:pPr>
        <w:spacing w:before="120" w:after="60"/>
        <w:ind w:left="2919" w:hanging="1785"/>
      </w:pPr>
      <w:r w:rsidRPr="003A2F72">
        <w:rPr>
          <w:rFonts w:hint="cs"/>
          <w:rtl/>
        </w:rPr>
        <w:t xml:space="preserve">المبحث الثالث: قاعدة </w:t>
      </w:r>
      <w:r w:rsidR="00D37334">
        <w:rPr>
          <w:rFonts w:hint="cs"/>
          <w:rtl/>
        </w:rPr>
        <w:t>مدار المعاملات المحرمة</w:t>
      </w:r>
      <w:r w:rsidRPr="003A2F72">
        <w:rPr>
          <w:rFonts w:hint="cs"/>
          <w:rtl/>
        </w:rPr>
        <w:t xml:space="preserve"> على </w:t>
      </w:r>
      <w:r w:rsidR="00D37334">
        <w:rPr>
          <w:rFonts w:hint="cs"/>
          <w:rtl/>
        </w:rPr>
        <w:t>الربا و</w:t>
      </w:r>
      <w:r w:rsidRPr="003A2F72">
        <w:rPr>
          <w:rFonts w:hint="cs"/>
          <w:rtl/>
        </w:rPr>
        <w:t>الظلم وا</w:t>
      </w:r>
      <w:r w:rsidR="00D37334">
        <w:rPr>
          <w:rFonts w:hint="cs"/>
          <w:rtl/>
        </w:rPr>
        <w:t>لغرر</w:t>
      </w:r>
      <w:r w:rsidRPr="003A2F72">
        <w:rPr>
          <w:rFonts w:hint="cs"/>
          <w:rtl/>
        </w:rPr>
        <w:t xml:space="preserve">. </w:t>
      </w:r>
    </w:p>
    <w:p w:rsidR="00B276C1" w:rsidRPr="003A2F72" w:rsidRDefault="00B276C1" w:rsidP="007B4683">
      <w:pPr>
        <w:spacing w:before="120" w:after="60"/>
        <w:ind w:left="2919" w:hanging="1785"/>
        <w:rPr>
          <w:b/>
          <w:bCs/>
        </w:rPr>
      </w:pPr>
      <w:r w:rsidRPr="003A2F72">
        <w:rPr>
          <w:rFonts w:hint="cs"/>
          <w:rtl/>
        </w:rPr>
        <w:t>المبحث الرابع: قاعدة من يتصر</w:t>
      </w:r>
      <w:r w:rsidR="00D37334">
        <w:rPr>
          <w:rFonts w:hint="cs"/>
          <w:rtl/>
        </w:rPr>
        <w:t>ف لغيره يجب عليه أن يتصرف بالأصلح</w:t>
      </w:r>
      <w:r w:rsidR="00B76414">
        <w:rPr>
          <w:rFonts w:hint="cs"/>
          <w:rtl/>
        </w:rPr>
        <w:t>،</w:t>
      </w:r>
      <w:r w:rsidRPr="003A2F72">
        <w:rPr>
          <w:rFonts w:hint="cs"/>
          <w:rtl/>
        </w:rPr>
        <w:t xml:space="preserve"> ومن يتصرف لنفسه يتصرف بما شاء. </w:t>
      </w:r>
    </w:p>
    <w:p w:rsidR="00B276C1" w:rsidRPr="003A2F72" w:rsidRDefault="00B276C1" w:rsidP="007B4683">
      <w:pPr>
        <w:spacing w:before="120" w:after="60"/>
        <w:ind w:left="2919" w:hanging="1785"/>
      </w:pPr>
      <w:r w:rsidRPr="003A2F72">
        <w:rPr>
          <w:rFonts w:hint="cs"/>
          <w:rtl/>
        </w:rPr>
        <w:t xml:space="preserve">المبحث الخامس: قاعدة إذا تعذر الأصل رجعنا إلى البدل. </w:t>
      </w:r>
    </w:p>
    <w:p w:rsidR="00065E4B" w:rsidRPr="003A2F72" w:rsidRDefault="00B276C1" w:rsidP="007B4683">
      <w:pPr>
        <w:spacing w:before="120" w:after="60"/>
        <w:ind w:left="2919" w:hanging="1785"/>
        <w:rPr>
          <w:b/>
          <w:bCs/>
          <w:rtl/>
        </w:rPr>
      </w:pPr>
      <w:r w:rsidRPr="003A2F72">
        <w:rPr>
          <w:rFonts w:hint="cs"/>
          <w:rtl/>
        </w:rPr>
        <w:t>المبحث السادس: قاعدة المشغول لا يشغل.</w:t>
      </w:r>
    </w:p>
    <w:p w:rsidR="00065E4B" w:rsidRPr="003A2F72" w:rsidRDefault="00C82163" w:rsidP="007B4683">
      <w:pPr>
        <w:rPr>
          <w:rtl/>
        </w:rPr>
      </w:pPr>
      <w:r>
        <w:rPr>
          <w:rFonts w:hint="cs"/>
          <w:rtl/>
        </w:rPr>
        <w:t xml:space="preserve">       </w:t>
      </w:r>
      <w:r w:rsidR="00065E4B" w:rsidRPr="003A2F72">
        <w:rPr>
          <w:rFonts w:hint="cs"/>
          <w:rtl/>
        </w:rPr>
        <w:t>ا</w:t>
      </w:r>
      <w:r w:rsidR="00D37334">
        <w:rPr>
          <w:rFonts w:hint="cs"/>
          <w:rtl/>
        </w:rPr>
        <w:t>لمبحث السابع: قاعدة</w:t>
      </w:r>
      <w:r w:rsidR="00B276C1" w:rsidRPr="003A2F72">
        <w:rPr>
          <w:rFonts w:hint="cs"/>
          <w:rtl/>
        </w:rPr>
        <w:t xml:space="preserve"> لا تتم </w:t>
      </w:r>
      <w:r w:rsidR="00D37334">
        <w:rPr>
          <w:rFonts w:hint="cs"/>
          <w:rtl/>
        </w:rPr>
        <w:t>الأمور حتى توجد أسبابها و</w:t>
      </w:r>
      <w:r w:rsidR="00B276C1" w:rsidRPr="003A2F72">
        <w:rPr>
          <w:rFonts w:hint="cs"/>
          <w:rtl/>
        </w:rPr>
        <w:t>شروط</w:t>
      </w:r>
      <w:r w:rsidR="00D37334">
        <w:rPr>
          <w:rFonts w:hint="cs"/>
          <w:rtl/>
        </w:rPr>
        <w:t xml:space="preserve">ها،  وتنتفي </w:t>
      </w:r>
      <w:r w:rsidR="00B276C1" w:rsidRPr="003A2F72">
        <w:rPr>
          <w:rFonts w:hint="cs"/>
          <w:rtl/>
        </w:rPr>
        <w:t>موانع</w:t>
      </w:r>
      <w:r w:rsidR="00D37334">
        <w:rPr>
          <w:rFonts w:hint="cs"/>
          <w:rtl/>
        </w:rPr>
        <w:t>ها</w:t>
      </w:r>
      <w:r w:rsidR="00B276C1" w:rsidRPr="003A2F72">
        <w:rPr>
          <w:rFonts w:hint="cs"/>
          <w:rtl/>
        </w:rPr>
        <w:t xml:space="preserve">. </w:t>
      </w:r>
    </w:p>
    <w:p w:rsidR="00065E4B" w:rsidRPr="003A2F72" w:rsidRDefault="00C82163" w:rsidP="007B4683">
      <w:pPr>
        <w:rPr>
          <w:b/>
          <w:bCs/>
          <w:rtl/>
        </w:rPr>
      </w:pPr>
      <w:r>
        <w:rPr>
          <w:rFonts w:hint="cs"/>
          <w:rtl/>
        </w:rPr>
        <w:t xml:space="preserve">       </w:t>
      </w:r>
      <w:r w:rsidR="00065E4B" w:rsidRPr="003A2F72">
        <w:rPr>
          <w:rFonts w:hint="cs"/>
          <w:rtl/>
        </w:rPr>
        <w:t>ا</w:t>
      </w:r>
      <w:r w:rsidR="00B276C1" w:rsidRPr="003A2F72">
        <w:rPr>
          <w:rFonts w:hint="cs"/>
          <w:rtl/>
        </w:rPr>
        <w:t xml:space="preserve">لمبحث الثامن: قاعدة المشقة تجلب التيسير. </w:t>
      </w:r>
    </w:p>
    <w:p w:rsidR="00065E4B" w:rsidRPr="003A2F72" w:rsidRDefault="00C82163" w:rsidP="007B4683">
      <w:pPr>
        <w:rPr>
          <w:rtl/>
        </w:rPr>
      </w:pPr>
      <w:r>
        <w:rPr>
          <w:rFonts w:hint="cs"/>
          <w:rtl/>
        </w:rPr>
        <w:t xml:space="preserve">       </w:t>
      </w:r>
      <w:r w:rsidR="00065E4B" w:rsidRPr="003A2F72">
        <w:rPr>
          <w:rFonts w:hint="cs"/>
          <w:rtl/>
        </w:rPr>
        <w:t>ا</w:t>
      </w:r>
      <w:r w:rsidR="00B276C1" w:rsidRPr="003A2F72">
        <w:rPr>
          <w:rFonts w:hint="cs"/>
          <w:rtl/>
        </w:rPr>
        <w:t xml:space="preserve">لمبحث التاسع: قاعدة السلطان ولي من لا ولي له. </w:t>
      </w:r>
    </w:p>
    <w:p w:rsidR="00065E4B" w:rsidRPr="003A2F72" w:rsidRDefault="00C82163" w:rsidP="007B4683">
      <w:pPr>
        <w:rPr>
          <w:rtl/>
        </w:rPr>
      </w:pPr>
      <w:r>
        <w:rPr>
          <w:rFonts w:hint="cs"/>
          <w:rtl/>
        </w:rPr>
        <w:t xml:space="preserve">      </w:t>
      </w:r>
      <w:r w:rsidR="00065E4B" w:rsidRPr="003A2F72">
        <w:rPr>
          <w:rFonts w:hint="cs"/>
          <w:rtl/>
        </w:rPr>
        <w:t>ا</w:t>
      </w:r>
      <w:r w:rsidR="00B276C1" w:rsidRPr="003A2F72">
        <w:rPr>
          <w:rFonts w:hint="cs"/>
          <w:rtl/>
        </w:rPr>
        <w:t xml:space="preserve">لمبحث العاشر: قاعدة </w:t>
      </w:r>
      <w:r w:rsidR="00B276C1" w:rsidRPr="003A2F72">
        <w:rPr>
          <w:rFonts w:ascii="Traditional Arabic" w:hAnsi="Traditional Arabic" w:hint="cs"/>
          <w:rtl/>
        </w:rPr>
        <w:t>الأجزاء التي تتولد شيئا فشيئا بمنزلة المنافع</w:t>
      </w:r>
      <w:r w:rsidR="00B276C1" w:rsidRPr="003A2F72">
        <w:rPr>
          <w:rFonts w:hint="cs"/>
          <w:rtl/>
        </w:rPr>
        <w:t xml:space="preserve">. </w:t>
      </w:r>
    </w:p>
    <w:p w:rsidR="00B276C1" w:rsidRPr="00CD6D7F" w:rsidRDefault="00065E4B" w:rsidP="00597C20">
      <w:pPr>
        <w:spacing w:before="200"/>
        <w:rPr>
          <w:rFonts w:ascii="Traditional Arabic" w:hAnsi="Traditional Arabic"/>
          <w:rtl/>
        </w:rPr>
      </w:pPr>
      <w:r w:rsidRPr="00CD6D7F">
        <w:rPr>
          <w:rFonts w:ascii="Traditional Arabic" w:hAnsi="Traditional Arabic"/>
          <w:rtl/>
        </w:rPr>
        <w:t>ا</w:t>
      </w:r>
      <w:r w:rsidR="00B276C1" w:rsidRPr="00CD6D7F">
        <w:rPr>
          <w:rFonts w:ascii="Traditional Arabic" w:hAnsi="Traditional Arabic"/>
          <w:rtl/>
        </w:rPr>
        <w:t>لباب الثاني: الضوابط الفقهية المتعلقة بالمعاملات من الشرح الممتع. وتحته ثمانية فصول:</w:t>
      </w:r>
    </w:p>
    <w:p w:rsidR="00B276C1" w:rsidRPr="00CD6D7F" w:rsidRDefault="00B276C1" w:rsidP="00597C20">
      <w:pPr>
        <w:spacing w:before="120"/>
        <w:ind w:left="2268" w:hanging="1559"/>
        <w:rPr>
          <w:rFonts w:ascii="Traditional Arabic" w:hAnsi="Traditional Arabic"/>
          <w:rtl/>
        </w:rPr>
      </w:pPr>
      <w:r w:rsidRPr="00CD6D7F">
        <w:rPr>
          <w:rFonts w:ascii="Traditional Arabic" w:hAnsi="Traditional Arabic"/>
          <w:rtl/>
        </w:rPr>
        <w:t>الفصل الأول: الضوابط المتعلقة بباب الخيار. وتحته مبحثان:</w:t>
      </w:r>
    </w:p>
    <w:p w:rsidR="00B276C1" w:rsidRPr="00CD6D7F" w:rsidRDefault="00B276C1" w:rsidP="007B4683">
      <w:pPr>
        <w:spacing w:after="60"/>
        <w:ind w:left="2834" w:hanging="1700"/>
        <w:rPr>
          <w:b/>
          <w:bCs/>
          <w:rtl/>
        </w:rPr>
      </w:pPr>
      <w:r w:rsidRPr="00CD6D7F">
        <w:rPr>
          <w:rFonts w:hint="cs"/>
          <w:rtl/>
        </w:rPr>
        <w:t xml:space="preserve">المبحث الأول: ضابط من فات غرضه فله الخيار. </w:t>
      </w:r>
    </w:p>
    <w:p w:rsidR="00B276C1" w:rsidRPr="00CD6D7F" w:rsidRDefault="00B276C1" w:rsidP="007B4683">
      <w:pPr>
        <w:spacing w:before="120" w:after="60"/>
        <w:ind w:left="2919" w:hanging="1785"/>
        <w:rPr>
          <w:rtl/>
        </w:rPr>
      </w:pPr>
      <w:r w:rsidRPr="00CD6D7F">
        <w:rPr>
          <w:rFonts w:hint="cs"/>
          <w:rtl/>
        </w:rPr>
        <w:t>المبحث الثاني: ضابط كل عقد جائز ف</w:t>
      </w:r>
      <w:r w:rsidR="00D37334">
        <w:rPr>
          <w:rFonts w:hint="cs"/>
          <w:rtl/>
        </w:rPr>
        <w:t xml:space="preserve">ليس </w:t>
      </w:r>
      <w:r w:rsidRPr="00CD6D7F">
        <w:rPr>
          <w:rFonts w:hint="cs"/>
          <w:rtl/>
        </w:rPr>
        <w:t xml:space="preserve">فيه خيار المجلس. </w:t>
      </w:r>
    </w:p>
    <w:p w:rsidR="00B276C1" w:rsidRPr="00BF3B74" w:rsidRDefault="00B276C1" w:rsidP="00597C20">
      <w:pPr>
        <w:spacing w:before="120"/>
        <w:ind w:left="2268" w:hanging="1559"/>
        <w:rPr>
          <w:rtl/>
        </w:rPr>
      </w:pPr>
      <w:r w:rsidRPr="00CD6D7F">
        <w:rPr>
          <w:rFonts w:ascii="Traditional Arabic" w:hAnsi="Traditional Arabic"/>
          <w:rtl/>
        </w:rPr>
        <w:t>الفصل الثاني: الضوابط المتعلقة بباب الربا والصرف. وتحته مبحثان</w:t>
      </w:r>
      <w:r w:rsidRPr="00BF3B74">
        <w:rPr>
          <w:rFonts w:hint="cs"/>
          <w:rtl/>
        </w:rPr>
        <w:t>:</w:t>
      </w:r>
    </w:p>
    <w:p w:rsidR="00B276C1" w:rsidRPr="00CD6D7F" w:rsidRDefault="00B276C1" w:rsidP="007B4683">
      <w:pPr>
        <w:spacing w:after="60"/>
        <w:ind w:left="2834" w:hanging="1700"/>
        <w:rPr>
          <w:rtl/>
        </w:rPr>
      </w:pPr>
      <w:r w:rsidRPr="00CD6D7F">
        <w:rPr>
          <w:rFonts w:hint="cs"/>
          <w:rtl/>
        </w:rPr>
        <w:t>المبحث</w:t>
      </w:r>
      <w:r w:rsidR="00D37334">
        <w:rPr>
          <w:rFonts w:hint="cs"/>
          <w:rtl/>
        </w:rPr>
        <w:t xml:space="preserve"> الأول: ضابط كل قرض جر منفعة</w:t>
      </w:r>
      <w:r w:rsidRPr="00CD6D7F">
        <w:rPr>
          <w:rFonts w:hint="cs"/>
          <w:rtl/>
        </w:rPr>
        <w:t xml:space="preserve"> فهو ربا. </w:t>
      </w:r>
    </w:p>
    <w:p w:rsidR="00B276C1" w:rsidRPr="007B4683" w:rsidRDefault="00B276C1" w:rsidP="007B4683">
      <w:pPr>
        <w:spacing w:before="120" w:after="60"/>
        <w:ind w:left="2834" w:hanging="1700"/>
        <w:rPr>
          <w:rtl/>
        </w:rPr>
      </w:pPr>
      <w:r w:rsidRPr="00CD6D7F">
        <w:rPr>
          <w:rFonts w:hint="cs"/>
          <w:rtl/>
        </w:rPr>
        <w:t>المبحث الثاني: ضابط كل شيئين يجري بينهما ربا الفضل فبينهما ربا النسيئة ولا عكس.</w:t>
      </w:r>
    </w:p>
    <w:p w:rsidR="00B276C1" w:rsidRPr="00CD6D7F" w:rsidRDefault="00B276C1" w:rsidP="00597C20">
      <w:pPr>
        <w:spacing w:before="120"/>
        <w:ind w:left="2268" w:hanging="1559"/>
        <w:rPr>
          <w:rFonts w:ascii="Traditional Arabic" w:hAnsi="Traditional Arabic"/>
          <w:rtl/>
        </w:rPr>
      </w:pPr>
      <w:r w:rsidRPr="00CD6D7F">
        <w:rPr>
          <w:rFonts w:ascii="Traditional Arabic" w:hAnsi="Traditional Arabic"/>
          <w:rtl/>
        </w:rPr>
        <w:t>الفصل الثالث: الضوابط المتعلقة بباب القرض وباب الرهن</w:t>
      </w:r>
      <w:r w:rsidR="00B76414">
        <w:rPr>
          <w:rFonts w:ascii="Traditional Arabic" w:hAnsi="Traditional Arabic"/>
          <w:rtl/>
        </w:rPr>
        <w:t>.</w:t>
      </w:r>
      <w:r w:rsidRPr="00CD6D7F">
        <w:rPr>
          <w:rFonts w:ascii="Traditional Arabic" w:hAnsi="Traditional Arabic"/>
          <w:rtl/>
        </w:rPr>
        <w:t xml:space="preserve"> وتحته مبحثان:</w:t>
      </w:r>
    </w:p>
    <w:p w:rsidR="007B4683" w:rsidRPr="00CD6D7F" w:rsidRDefault="00B276C1" w:rsidP="007B4683">
      <w:pPr>
        <w:spacing w:after="60"/>
        <w:ind w:left="2834" w:hanging="1700"/>
        <w:rPr>
          <w:b/>
          <w:bCs/>
        </w:rPr>
      </w:pPr>
      <w:r w:rsidRPr="00CD6D7F">
        <w:rPr>
          <w:rFonts w:hint="cs"/>
          <w:rtl/>
        </w:rPr>
        <w:t>المبحث الأول: ضابط كل ما صح بيعه صح قرضه</w:t>
      </w:r>
      <w:r w:rsidR="00B76414">
        <w:rPr>
          <w:rFonts w:hint="cs"/>
          <w:rtl/>
        </w:rPr>
        <w:t>،</w:t>
      </w:r>
      <w:r w:rsidRPr="00CD6D7F">
        <w:rPr>
          <w:rFonts w:hint="cs"/>
          <w:rtl/>
        </w:rPr>
        <w:t xml:space="preserve"> وكل ما لا يصح بيعه لا يصح </w:t>
      </w:r>
      <w:r w:rsidRPr="00CD6D7F">
        <w:rPr>
          <w:rFonts w:hint="cs"/>
          <w:rtl/>
        </w:rPr>
        <w:lastRenderedPageBreak/>
        <w:t xml:space="preserve">قرضه. </w:t>
      </w:r>
    </w:p>
    <w:p w:rsidR="00B276C1" w:rsidRPr="00CD6D7F" w:rsidRDefault="00B276C1" w:rsidP="007B4683">
      <w:pPr>
        <w:spacing w:before="120" w:after="60"/>
        <w:ind w:left="2834" w:hanging="1700"/>
        <w:rPr>
          <w:b/>
          <w:bCs/>
          <w:rtl/>
        </w:rPr>
      </w:pPr>
      <w:r w:rsidRPr="00CD6D7F">
        <w:rPr>
          <w:rFonts w:hint="cs"/>
          <w:rtl/>
        </w:rPr>
        <w:t>المبحث الثاني: ضابط كل عين يجوز بيعها يجوز رهنها</w:t>
      </w:r>
      <w:r w:rsidR="00B76414">
        <w:rPr>
          <w:rFonts w:hint="cs"/>
          <w:rtl/>
        </w:rPr>
        <w:t>،</w:t>
      </w:r>
      <w:r w:rsidRPr="00CD6D7F">
        <w:rPr>
          <w:rFonts w:hint="cs"/>
          <w:rtl/>
        </w:rPr>
        <w:t xml:space="preserve"> وما لا فلا. </w:t>
      </w:r>
    </w:p>
    <w:p w:rsidR="00B276C1" w:rsidRPr="00CD6D7F" w:rsidRDefault="00B276C1" w:rsidP="00597C20">
      <w:pPr>
        <w:spacing w:before="120"/>
        <w:ind w:left="2268" w:hanging="1559"/>
        <w:rPr>
          <w:rFonts w:ascii="Traditional Arabic" w:hAnsi="Traditional Arabic"/>
          <w:rtl/>
        </w:rPr>
      </w:pPr>
      <w:r w:rsidRPr="00CD6D7F">
        <w:rPr>
          <w:rFonts w:ascii="Traditional Arabic" w:hAnsi="Traditional Arabic"/>
          <w:rtl/>
        </w:rPr>
        <w:t>الفصل الرابع: الضوابط المتعلقة بباب الضمان. وتحته مبحثان:</w:t>
      </w:r>
    </w:p>
    <w:p w:rsidR="00B276C1" w:rsidRPr="00CD6D7F" w:rsidRDefault="00B276C1" w:rsidP="007B4683">
      <w:pPr>
        <w:spacing w:after="60"/>
        <w:ind w:left="2975" w:hanging="1841"/>
        <w:rPr>
          <w:b/>
          <w:bCs/>
          <w:rtl/>
        </w:rPr>
      </w:pPr>
      <w:r w:rsidRPr="00CD6D7F">
        <w:rPr>
          <w:rFonts w:hint="cs"/>
          <w:rtl/>
        </w:rPr>
        <w:t xml:space="preserve">المبحث الأول: ضابط الأصل فيمن قبض ملك غيره أنه مضمون عليه. </w:t>
      </w:r>
    </w:p>
    <w:p w:rsidR="00B276C1" w:rsidRPr="00CD6D7F" w:rsidRDefault="00B276C1" w:rsidP="007B4683">
      <w:pPr>
        <w:spacing w:before="120" w:after="60"/>
        <w:ind w:left="2834" w:hanging="1700"/>
        <w:rPr>
          <w:b/>
          <w:bCs/>
          <w:rtl/>
        </w:rPr>
      </w:pPr>
      <w:r w:rsidRPr="00CD6D7F">
        <w:rPr>
          <w:rFonts w:hint="cs"/>
          <w:rtl/>
        </w:rPr>
        <w:t>المبحث الثاني: ضابط المثلي يضمن بمثله</w:t>
      </w:r>
      <w:r w:rsidR="00B76414">
        <w:rPr>
          <w:rFonts w:hint="cs"/>
          <w:rtl/>
        </w:rPr>
        <w:t>،</w:t>
      </w:r>
      <w:r w:rsidRPr="00CD6D7F">
        <w:rPr>
          <w:rFonts w:hint="cs"/>
          <w:rtl/>
        </w:rPr>
        <w:t xml:space="preserve"> والمتقوَّم يضمن بقيمته. </w:t>
      </w:r>
    </w:p>
    <w:p w:rsidR="00B276C1" w:rsidRPr="00CD6D7F" w:rsidRDefault="00B276C1" w:rsidP="00597C20">
      <w:pPr>
        <w:spacing w:before="120"/>
        <w:ind w:left="2268" w:hanging="1559"/>
        <w:rPr>
          <w:rFonts w:ascii="Traditional Arabic" w:hAnsi="Traditional Arabic"/>
          <w:rtl/>
        </w:rPr>
      </w:pPr>
      <w:r w:rsidRPr="00CD6D7F">
        <w:rPr>
          <w:rFonts w:ascii="Traditional Arabic" w:hAnsi="Traditional Arabic"/>
          <w:rtl/>
        </w:rPr>
        <w:t>الفصل الخامس: الضوابط المتعلقة بباب الحوا</w:t>
      </w:r>
      <w:r w:rsidR="00340095">
        <w:rPr>
          <w:rFonts w:ascii="Traditional Arabic" w:hAnsi="Traditional Arabic"/>
          <w:rtl/>
        </w:rPr>
        <w:t>لة وباب الوكالة. وتحته مب</w:t>
      </w:r>
      <w:r w:rsidRPr="00CD6D7F">
        <w:rPr>
          <w:rFonts w:ascii="Traditional Arabic" w:hAnsi="Traditional Arabic"/>
          <w:rtl/>
        </w:rPr>
        <w:t>حث</w:t>
      </w:r>
      <w:r w:rsidR="00340095">
        <w:rPr>
          <w:rFonts w:ascii="Traditional Arabic" w:hAnsi="Traditional Arabic" w:hint="cs"/>
          <w:rtl/>
        </w:rPr>
        <w:t>ان</w:t>
      </w:r>
      <w:r w:rsidRPr="00CD6D7F">
        <w:rPr>
          <w:rFonts w:ascii="Traditional Arabic" w:hAnsi="Traditional Arabic"/>
          <w:rtl/>
        </w:rPr>
        <w:t>:</w:t>
      </w:r>
    </w:p>
    <w:p w:rsidR="00B276C1" w:rsidRPr="00CD6D7F" w:rsidRDefault="00B276C1" w:rsidP="007B4683">
      <w:pPr>
        <w:spacing w:after="60"/>
        <w:ind w:left="2834" w:hanging="1700"/>
        <w:rPr>
          <w:rtl/>
        </w:rPr>
      </w:pPr>
      <w:r w:rsidRPr="00CD6D7F">
        <w:rPr>
          <w:rFonts w:hint="cs"/>
          <w:rtl/>
        </w:rPr>
        <w:t>المبحث الأول: ضابط الحوالة من باب الاستيفاء</w:t>
      </w:r>
      <w:r w:rsidR="00B76414">
        <w:rPr>
          <w:rFonts w:hint="cs"/>
          <w:rtl/>
        </w:rPr>
        <w:t>،</w:t>
      </w:r>
      <w:r w:rsidRPr="00CD6D7F">
        <w:rPr>
          <w:rFonts w:hint="cs"/>
          <w:rtl/>
        </w:rPr>
        <w:t xml:space="preserve"> فإذا انقلبت إلى معاوضة صار لا بد فيها من مراعاة شروط البيع المعروفة. </w:t>
      </w:r>
    </w:p>
    <w:p w:rsidR="007B4683" w:rsidRPr="00CD6D7F" w:rsidRDefault="00B276C1" w:rsidP="007B4683">
      <w:pPr>
        <w:spacing w:before="120" w:after="60"/>
        <w:ind w:left="2779" w:hanging="1645"/>
      </w:pPr>
      <w:r w:rsidRPr="00CD6D7F">
        <w:rPr>
          <w:rFonts w:hint="cs"/>
          <w:rtl/>
        </w:rPr>
        <w:t>المبحث الثاني: ضابط كل من له التصرف في شيء فله أن يوكل وله أن يتوكل</w:t>
      </w:r>
      <w:r w:rsidR="00B76414">
        <w:rPr>
          <w:rFonts w:hint="cs"/>
          <w:rtl/>
        </w:rPr>
        <w:t>،</w:t>
      </w:r>
      <w:r w:rsidRPr="00CD6D7F">
        <w:rPr>
          <w:rFonts w:hint="cs"/>
          <w:rtl/>
        </w:rPr>
        <w:t xml:space="preserve"> و</w:t>
      </w:r>
      <w:r w:rsidR="00340095">
        <w:rPr>
          <w:rFonts w:hint="cs"/>
          <w:rtl/>
        </w:rPr>
        <w:t>من ليس له التصرف فيه  فليس له أن يوكل، وليس له أن يتوكل</w:t>
      </w:r>
      <w:r w:rsidRPr="00CD6D7F">
        <w:rPr>
          <w:rFonts w:hint="cs"/>
          <w:rtl/>
        </w:rPr>
        <w:t xml:space="preserve">. </w:t>
      </w:r>
    </w:p>
    <w:p w:rsidR="00B276C1" w:rsidRPr="00CD6D7F" w:rsidRDefault="00B276C1" w:rsidP="00597C20">
      <w:pPr>
        <w:spacing w:before="120"/>
        <w:ind w:left="2268" w:hanging="1559"/>
        <w:rPr>
          <w:rFonts w:ascii="Traditional Arabic" w:hAnsi="Traditional Arabic"/>
          <w:rtl/>
        </w:rPr>
      </w:pPr>
      <w:r w:rsidRPr="00CD6D7F">
        <w:rPr>
          <w:rFonts w:ascii="Traditional Arabic" w:hAnsi="Traditional Arabic"/>
          <w:rtl/>
        </w:rPr>
        <w:t>الفصل السادس: الضوابط المتعلقة بباب الشركة</w:t>
      </w:r>
      <w:r w:rsidR="00154102">
        <w:rPr>
          <w:rFonts w:ascii="Traditional Arabic" w:hAnsi="Traditional Arabic"/>
          <w:rtl/>
        </w:rPr>
        <w:t xml:space="preserve"> و</w:t>
      </w:r>
      <w:r w:rsidRPr="00CD6D7F">
        <w:rPr>
          <w:rFonts w:ascii="Traditional Arabic" w:hAnsi="Traditional Arabic"/>
          <w:rtl/>
        </w:rPr>
        <w:t>الإجارة. وتحته ثلاثة مباحث:</w:t>
      </w:r>
    </w:p>
    <w:p w:rsidR="00B276C1" w:rsidRPr="00CD6D7F" w:rsidRDefault="00B276C1" w:rsidP="007B4683">
      <w:pPr>
        <w:spacing w:after="60"/>
        <w:ind w:left="2834" w:hanging="1700"/>
        <w:rPr>
          <w:b/>
          <w:bCs/>
          <w:rtl/>
        </w:rPr>
      </w:pPr>
      <w:r w:rsidRPr="00CD6D7F">
        <w:rPr>
          <w:rFonts w:hint="cs"/>
          <w:rtl/>
        </w:rPr>
        <w:t xml:space="preserve">المبحث الأول:ضابط الوضيعة بقدر المال. </w:t>
      </w:r>
    </w:p>
    <w:p w:rsidR="00B276C1" w:rsidRPr="00AA7962" w:rsidRDefault="00B276C1" w:rsidP="007B4683">
      <w:pPr>
        <w:spacing w:before="120" w:after="60"/>
        <w:ind w:left="2779" w:hanging="1645"/>
        <w:rPr>
          <w:rtl/>
        </w:rPr>
      </w:pPr>
      <w:r w:rsidRPr="00AA7962">
        <w:rPr>
          <w:rFonts w:hint="cs"/>
          <w:rtl/>
        </w:rPr>
        <w:t>المبحث الثاني:ضابط الأصل في الشركة اشتراك الشريكين في المغنم والمغرم</w:t>
      </w:r>
      <w:r w:rsidR="00B76414">
        <w:rPr>
          <w:rFonts w:hint="cs"/>
          <w:rtl/>
        </w:rPr>
        <w:t>.</w:t>
      </w:r>
      <w:r w:rsidRPr="00AA7962">
        <w:rPr>
          <w:rFonts w:hint="cs"/>
          <w:rtl/>
        </w:rPr>
        <w:t xml:space="preserve"> </w:t>
      </w:r>
    </w:p>
    <w:p w:rsidR="00B276C1" w:rsidRPr="00AA7962" w:rsidRDefault="00B276C1" w:rsidP="007B4683">
      <w:pPr>
        <w:spacing w:after="60"/>
        <w:ind w:left="2975" w:hanging="1841"/>
        <w:rPr>
          <w:rtl/>
        </w:rPr>
      </w:pPr>
      <w:r w:rsidRPr="00AA7962">
        <w:rPr>
          <w:rFonts w:hint="cs"/>
          <w:rtl/>
        </w:rPr>
        <w:t>المبحث الثالث :ضابط كل عمل لا يقع إلا قربة فلا يصح عقد الإجارة عليه</w:t>
      </w:r>
      <w:r w:rsidR="00B76414">
        <w:rPr>
          <w:rFonts w:hint="cs"/>
          <w:rtl/>
        </w:rPr>
        <w:t>،</w:t>
      </w:r>
      <w:r w:rsidRPr="00AA7962">
        <w:rPr>
          <w:rFonts w:hint="cs"/>
          <w:rtl/>
        </w:rPr>
        <w:t xml:space="preserve"> وما كان نفعه متعديا من القرب صح عقد الإجارة عليه. </w:t>
      </w:r>
    </w:p>
    <w:p w:rsidR="00B276C1" w:rsidRPr="00AA7962" w:rsidRDefault="00065E4B" w:rsidP="00597C20">
      <w:pPr>
        <w:spacing w:before="120"/>
        <w:rPr>
          <w:rFonts w:ascii="Traditional Arabic" w:hAnsi="Traditional Arabic"/>
          <w:rtl/>
        </w:rPr>
      </w:pPr>
      <w:r w:rsidRPr="00AA7962">
        <w:rPr>
          <w:rFonts w:ascii="Traditional Arabic" w:hAnsi="Traditional Arabic"/>
          <w:rtl/>
        </w:rPr>
        <w:t>ا</w:t>
      </w:r>
      <w:r w:rsidR="00B276C1" w:rsidRPr="00AA7962">
        <w:rPr>
          <w:rFonts w:ascii="Traditional Arabic" w:hAnsi="Traditional Arabic"/>
          <w:rtl/>
        </w:rPr>
        <w:t>لفصل السابع: الضوابط المتعلقة بباب السبق وباب العارية وباب الغصب. وتحته ثلاثة مباحث:</w:t>
      </w:r>
    </w:p>
    <w:p w:rsidR="00B276C1" w:rsidRPr="00AA7962" w:rsidRDefault="00B276C1" w:rsidP="007B4683">
      <w:pPr>
        <w:spacing w:after="60"/>
        <w:ind w:left="2905" w:hanging="1771"/>
        <w:rPr>
          <w:b/>
          <w:bCs/>
          <w:rtl/>
        </w:rPr>
      </w:pPr>
      <w:r w:rsidRPr="00AA7962">
        <w:rPr>
          <w:rFonts w:hint="cs"/>
          <w:rtl/>
        </w:rPr>
        <w:t xml:space="preserve">المبحث الأول: ضابط الأصل منع العوض في المسابقة ولا يجوز إلا لسبب. </w:t>
      </w:r>
    </w:p>
    <w:p w:rsidR="00B276C1" w:rsidRPr="00AA7962" w:rsidRDefault="00B276C1" w:rsidP="007B4683">
      <w:pPr>
        <w:spacing w:before="120" w:after="60"/>
        <w:ind w:left="2779" w:hanging="1645"/>
        <w:rPr>
          <w:rtl/>
        </w:rPr>
      </w:pPr>
      <w:r w:rsidRPr="00AA7962">
        <w:rPr>
          <w:rFonts w:hint="cs"/>
          <w:rtl/>
        </w:rPr>
        <w:t>المبح</w:t>
      </w:r>
      <w:r w:rsidR="00340095">
        <w:rPr>
          <w:rFonts w:hint="cs"/>
          <w:rtl/>
        </w:rPr>
        <w:t>ث الثاني: ضابط يد المستعير يد أما</w:t>
      </w:r>
      <w:r w:rsidRPr="00AA7962">
        <w:rPr>
          <w:rFonts w:hint="cs"/>
          <w:rtl/>
        </w:rPr>
        <w:t xml:space="preserve">نة. </w:t>
      </w:r>
    </w:p>
    <w:p w:rsidR="00B276C1" w:rsidRPr="00AA7962" w:rsidRDefault="00B276C1" w:rsidP="007B4683">
      <w:pPr>
        <w:spacing w:before="120" w:after="60"/>
        <w:ind w:left="2975" w:hanging="1841"/>
        <w:rPr>
          <w:rtl/>
        </w:rPr>
      </w:pPr>
      <w:r w:rsidRPr="00AA7962">
        <w:rPr>
          <w:rFonts w:hint="cs"/>
          <w:rtl/>
        </w:rPr>
        <w:t>المبحث الثالث: ضابط كل من بيده مال جهل صاحبه وأيس من العثور عليه</w:t>
      </w:r>
      <w:r w:rsidR="00340095">
        <w:rPr>
          <w:rFonts w:hint="cs"/>
          <w:rtl/>
        </w:rPr>
        <w:t>،</w:t>
      </w:r>
      <w:r w:rsidRPr="00AA7962">
        <w:rPr>
          <w:rFonts w:hint="cs"/>
          <w:rtl/>
        </w:rPr>
        <w:t xml:space="preserve"> فله أن يتصدق به بشرط الضمان. </w:t>
      </w:r>
    </w:p>
    <w:p w:rsidR="00B276C1" w:rsidRPr="00AA7962" w:rsidRDefault="00B276C1" w:rsidP="00597C20">
      <w:pPr>
        <w:spacing w:before="120"/>
        <w:ind w:left="2268" w:hanging="1559"/>
        <w:rPr>
          <w:rFonts w:ascii="Traditional Arabic" w:hAnsi="Traditional Arabic"/>
          <w:rtl/>
        </w:rPr>
      </w:pPr>
      <w:r w:rsidRPr="00AA7962">
        <w:rPr>
          <w:rFonts w:ascii="Traditional Arabic" w:hAnsi="Traditional Arabic"/>
          <w:rtl/>
        </w:rPr>
        <w:t>الفصل الثامن: الضوابط المتعلقة بباب الشفعة وباب الوديعة. وتحته ثلاثة مباحث:</w:t>
      </w:r>
    </w:p>
    <w:p w:rsidR="00B276C1" w:rsidRPr="00AA7962" w:rsidRDefault="00B276C1" w:rsidP="007B4683">
      <w:pPr>
        <w:spacing w:after="60"/>
        <w:ind w:left="2905" w:hanging="1771"/>
        <w:rPr>
          <w:b/>
          <w:bCs/>
          <w:rtl/>
        </w:rPr>
      </w:pPr>
      <w:r w:rsidRPr="00AA7962">
        <w:rPr>
          <w:rFonts w:hint="cs"/>
          <w:rtl/>
        </w:rPr>
        <w:t xml:space="preserve">المبحث الأول: ضابط إذا انتقل الملك على وجه اختياري ففيه الشفعة. </w:t>
      </w:r>
    </w:p>
    <w:p w:rsidR="00B276C1" w:rsidRPr="00AA7962" w:rsidRDefault="00B276C1" w:rsidP="007B4683">
      <w:pPr>
        <w:spacing w:before="120" w:after="60"/>
        <w:ind w:left="2692" w:hanging="1558"/>
        <w:rPr>
          <w:rtl/>
        </w:rPr>
      </w:pPr>
      <w:r w:rsidRPr="00AA7962">
        <w:rPr>
          <w:rFonts w:hint="cs"/>
          <w:rtl/>
        </w:rPr>
        <w:lastRenderedPageBreak/>
        <w:t xml:space="preserve">المبحث الثاني:ضابط إذا تصرف المشتري </w:t>
      </w:r>
      <w:r w:rsidR="00340095">
        <w:rPr>
          <w:rFonts w:hint="cs"/>
          <w:rtl/>
        </w:rPr>
        <w:t xml:space="preserve">فيما اشتراه </w:t>
      </w:r>
      <w:r w:rsidRPr="00AA7962">
        <w:rPr>
          <w:rFonts w:hint="cs"/>
          <w:rtl/>
        </w:rPr>
        <w:t>تصرفا ينقل الملك على وجه لا تثبت فيه الشفعة ابتداء</w:t>
      </w:r>
      <w:r w:rsidR="00340095">
        <w:rPr>
          <w:rFonts w:hint="cs"/>
          <w:rtl/>
        </w:rPr>
        <w:t>،</w:t>
      </w:r>
      <w:r w:rsidRPr="00AA7962">
        <w:rPr>
          <w:rFonts w:hint="cs"/>
          <w:rtl/>
        </w:rPr>
        <w:t xml:space="preserve"> فإن الشفعة تسقط. </w:t>
      </w:r>
    </w:p>
    <w:p w:rsidR="00065E4B" w:rsidRPr="00AA7962" w:rsidRDefault="00B276C1" w:rsidP="007B4683">
      <w:pPr>
        <w:spacing w:before="120" w:after="60"/>
        <w:ind w:left="2975" w:hanging="1841"/>
        <w:rPr>
          <w:b/>
          <w:bCs/>
          <w:rtl/>
        </w:rPr>
      </w:pPr>
      <w:r w:rsidRPr="00AA7962">
        <w:rPr>
          <w:rFonts w:hint="cs"/>
          <w:rtl/>
        </w:rPr>
        <w:t>المبحث الثالث:ضابط إذا عين المودِع الحرز</w:t>
      </w:r>
      <w:r w:rsidR="00340095">
        <w:rPr>
          <w:rFonts w:hint="cs"/>
          <w:rtl/>
        </w:rPr>
        <w:t>،</w:t>
      </w:r>
      <w:r w:rsidRPr="00AA7962">
        <w:rPr>
          <w:rFonts w:hint="cs"/>
          <w:rtl/>
        </w:rPr>
        <w:t xml:space="preserve"> فأحرز المودَع الوديعة فيما هو أشد</w:t>
      </w:r>
      <w:r w:rsidR="00340095">
        <w:rPr>
          <w:rFonts w:hint="cs"/>
          <w:rtl/>
        </w:rPr>
        <w:t>،</w:t>
      </w:r>
      <w:r w:rsidRPr="00AA7962">
        <w:rPr>
          <w:rFonts w:hint="cs"/>
          <w:rtl/>
        </w:rPr>
        <w:t xml:space="preserve"> فلا ضمان. </w:t>
      </w:r>
    </w:p>
    <w:p w:rsidR="00065E4B" w:rsidRPr="00AA7962" w:rsidRDefault="00065E4B" w:rsidP="00597C20">
      <w:pPr>
        <w:rPr>
          <w:rFonts w:ascii="Traditional Arabic" w:hAnsi="Traditional Arabic"/>
          <w:rtl/>
        </w:rPr>
      </w:pPr>
      <w:r w:rsidRPr="00AA7962">
        <w:rPr>
          <w:rFonts w:ascii="Traditional Arabic" w:hAnsi="Traditional Arabic"/>
          <w:rtl/>
        </w:rPr>
        <w:t>ا</w:t>
      </w:r>
      <w:r w:rsidR="00B276C1" w:rsidRPr="00AA7962">
        <w:rPr>
          <w:rFonts w:ascii="Traditional Arabic" w:hAnsi="Traditional Arabic"/>
          <w:rtl/>
        </w:rPr>
        <w:t>لخاتمة : وفيها أهم نتائج البحث والاقتراحات والتوصيات.</w:t>
      </w:r>
    </w:p>
    <w:p w:rsidR="00B276C1" w:rsidRPr="00AA7962" w:rsidRDefault="00065E4B" w:rsidP="00597C20">
      <w:pPr>
        <w:rPr>
          <w:rFonts w:ascii="Traditional Arabic" w:hAnsi="Traditional Arabic"/>
          <w:rtl/>
        </w:rPr>
      </w:pPr>
      <w:r w:rsidRPr="00AA7962">
        <w:rPr>
          <w:rFonts w:ascii="Traditional Arabic" w:hAnsi="Traditional Arabic"/>
          <w:rtl/>
        </w:rPr>
        <w:t>ا</w:t>
      </w:r>
      <w:r w:rsidR="00B276C1" w:rsidRPr="00AA7962">
        <w:rPr>
          <w:rFonts w:ascii="Traditional Arabic" w:hAnsi="Traditional Arabic"/>
          <w:rtl/>
        </w:rPr>
        <w:t xml:space="preserve">لفهارس : </w:t>
      </w:r>
      <w:r w:rsidR="00B276C1" w:rsidRPr="005B43B1">
        <w:rPr>
          <w:rFonts w:ascii="Traditional Arabic" w:hAnsi="Traditional Arabic"/>
          <w:rtl/>
        </w:rPr>
        <w:t>وهي كالتالي :</w:t>
      </w:r>
    </w:p>
    <w:p w:rsidR="00B276C1" w:rsidRPr="001D6637" w:rsidRDefault="00B276C1" w:rsidP="00597C20">
      <w:pPr>
        <w:pStyle w:val="afc"/>
        <w:numPr>
          <w:ilvl w:val="0"/>
          <w:numId w:val="13"/>
        </w:numPr>
        <w:tabs>
          <w:tab w:val="num" w:pos="1841"/>
        </w:tabs>
        <w:spacing w:after="200" w:line="0" w:lineRule="atLeast"/>
        <w:ind w:left="1558"/>
      </w:pPr>
      <w:r w:rsidRPr="001D6637">
        <w:rPr>
          <w:rFonts w:hint="cs"/>
          <w:rtl/>
        </w:rPr>
        <w:t>فهرس الآيات القرآنية</w:t>
      </w:r>
      <w:r w:rsidR="00B76414">
        <w:rPr>
          <w:rFonts w:hint="cs"/>
          <w:rtl/>
        </w:rPr>
        <w:t>.</w:t>
      </w:r>
    </w:p>
    <w:p w:rsidR="00B276C1" w:rsidRPr="00BF3B74" w:rsidRDefault="00B276C1" w:rsidP="00597C20">
      <w:pPr>
        <w:pStyle w:val="afc"/>
        <w:numPr>
          <w:ilvl w:val="0"/>
          <w:numId w:val="13"/>
        </w:numPr>
        <w:tabs>
          <w:tab w:val="num" w:pos="1841"/>
        </w:tabs>
        <w:spacing w:after="200" w:line="0" w:lineRule="atLeast"/>
        <w:ind w:left="1558"/>
      </w:pPr>
      <w:r w:rsidRPr="001D6637">
        <w:rPr>
          <w:rFonts w:hint="cs"/>
          <w:rtl/>
        </w:rPr>
        <w:t>فهرس الأحاديث النبوية.</w:t>
      </w:r>
    </w:p>
    <w:p w:rsidR="00B276C1" w:rsidRPr="00BF3B74" w:rsidRDefault="00B276C1" w:rsidP="00597C20">
      <w:pPr>
        <w:pStyle w:val="afc"/>
        <w:numPr>
          <w:ilvl w:val="0"/>
          <w:numId w:val="13"/>
        </w:numPr>
        <w:tabs>
          <w:tab w:val="num" w:pos="1841"/>
        </w:tabs>
        <w:spacing w:after="200" w:line="0" w:lineRule="atLeast"/>
        <w:ind w:left="1558"/>
      </w:pPr>
      <w:r w:rsidRPr="00BF3B74">
        <w:rPr>
          <w:rFonts w:hint="cs"/>
          <w:rtl/>
        </w:rPr>
        <w:t>فهرس الآثار.</w:t>
      </w:r>
    </w:p>
    <w:p w:rsidR="00B276C1" w:rsidRPr="00BF3B74" w:rsidRDefault="00B276C1" w:rsidP="00597C20">
      <w:pPr>
        <w:pStyle w:val="afc"/>
        <w:numPr>
          <w:ilvl w:val="0"/>
          <w:numId w:val="13"/>
        </w:numPr>
        <w:tabs>
          <w:tab w:val="num" w:pos="1841"/>
        </w:tabs>
        <w:spacing w:after="200" w:line="0" w:lineRule="atLeast"/>
        <w:ind w:left="1558"/>
      </w:pPr>
      <w:r w:rsidRPr="00BF3B74">
        <w:rPr>
          <w:rFonts w:hint="cs"/>
          <w:rtl/>
        </w:rPr>
        <w:t>فهرس الأعلام المترجم لهم في البحث.</w:t>
      </w:r>
    </w:p>
    <w:p w:rsidR="00B276C1" w:rsidRPr="00BF3B74" w:rsidRDefault="00B276C1" w:rsidP="00597C20">
      <w:pPr>
        <w:pStyle w:val="afc"/>
        <w:numPr>
          <w:ilvl w:val="0"/>
          <w:numId w:val="13"/>
        </w:numPr>
        <w:tabs>
          <w:tab w:val="num" w:pos="1841"/>
        </w:tabs>
        <w:spacing w:after="200" w:line="0" w:lineRule="atLeast"/>
        <w:ind w:left="1558"/>
      </w:pPr>
      <w:r w:rsidRPr="00BF3B74">
        <w:rPr>
          <w:rFonts w:hint="cs"/>
          <w:rtl/>
        </w:rPr>
        <w:t>فهرس المصطلحات العلمية والكلمات الغريبة.</w:t>
      </w:r>
    </w:p>
    <w:p w:rsidR="00B276C1" w:rsidRPr="00BF3B74" w:rsidRDefault="00B276C1" w:rsidP="00597C20">
      <w:pPr>
        <w:pStyle w:val="afc"/>
        <w:numPr>
          <w:ilvl w:val="0"/>
          <w:numId w:val="13"/>
        </w:numPr>
        <w:tabs>
          <w:tab w:val="num" w:pos="1841"/>
        </w:tabs>
        <w:spacing w:after="200" w:line="0" w:lineRule="atLeast"/>
        <w:ind w:left="1558"/>
      </w:pPr>
      <w:r w:rsidRPr="00BF3B74">
        <w:rPr>
          <w:rFonts w:hint="cs"/>
          <w:rtl/>
        </w:rPr>
        <w:t>فهرس القواعد الفقهية.</w:t>
      </w:r>
    </w:p>
    <w:p w:rsidR="00B276C1" w:rsidRPr="00BF3B74" w:rsidRDefault="00B276C1" w:rsidP="00597C20">
      <w:pPr>
        <w:pStyle w:val="afc"/>
        <w:numPr>
          <w:ilvl w:val="0"/>
          <w:numId w:val="13"/>
        </w:numPr>
        <w:tabs>
          <w:tab w:val="num" w:pos="1841"/>
        </w:tabs>
        <w:spacing w:after="200" w:line="0" w:lineRule="atLeast"/>
        <w:ind w:left="1558"/>
      </w:pPr>
      <w:r w:rsidRPr="00BF3B74">
        <w:rPr>
          <w:rFonts w:hint="cs"/>
          <w:rtl/>
        </w:rPr>
        <w:t>فهرس الضوابط الفقهية.</w:t>
      </w:r>
    </w:p>
    <w:p w:rsidR="00B276C1" w:rsidRPr="00BF3B74" w:rsidRDefault="00B276C1" w:rsidP="00597C20">
      <w:pPr>
        <w:pStyle w:val="afc"/>
        <w:numPr>
          <w:ilvl w:val="0"/>
          <w:numId w:val="13"/>
        </w:numPr>
        <w:tabs>
          <w:tab w:val="num" w:pos="1841"/>
        </w:tabs>
        <w:spacing w:after="200" w:line="0" w:lineRule="atLeast"/>
        <w:ind w:left="1558"/>
      </w:pPr>
      <w:r>
        <w:rPr>
          <w:rFonts w:hint="cs"/>
          <w:rtl/>
        </w:rPr>
        <w:t>فهرس المصادر والمراجع</w:t>
      </w:r>
      <w:r w:rsidRPr="00BF3B74">
        <w:rPr>
          <w:rFonts w:hint="cs"/>
          <w:rtl/>
        </w:rPr>
        <w:t>.</w:t>
      </w:r>
    </w:p>
    <w:p w:rsidR="00B276C1" w:rsidRPr="00BF3B74" w:rsidRDefault="00B276C1" w:rsidP="00597C20">
      <w:pPr>
        <w:pStyle w:val="afc"/>
        <w:numPr>
          <w:ilvl w:val="0"/>
          <w:numId w:val="13"/>
        </w:numPr>
        <w:tabs>
          <w:tab w:val="num" w:pos="1841"/>
        </w:tabs>
        <w:spacing w:after="200" w:line="0" w:lineRule="atLeast"/>
        <w:ind w:left="1558"/>
      </w:pPr>
      <w:r>
        <w:rPr>
          <w:rFonts w:hint="cs"/>
          <w:rtl/>
        </w:rPr>
        <w:t>فهرس الموضوعات</w:t>
      </w:r>
      <w:r w:rsidRPr="00BF3B74">
        <w:rPr>
          <w:rFonts w:hint="cs"/>
          <w:rtl/>
        </w:rPr>
        <w:t>.</w:t>
      </w:r>
    </w:p>
    <w:p w:rsidR="00065E4B" w:rsidRPr="005F53FF" w:rsidRDefault="00B276C1" w:rsidP="00A8347C">
      <w:pPr>
        <w:pStyle w:val="aff3"/>
        <w:rPr>
          <w:rtl/>
        </w:rPr>
      </w:pPr>
      <w:bookmarkStart w:id="7" w:name="_Toc334046271"/>
      <w:r w:rsidRPr="005F53FF">
        <w:rPr>
          <w:rtl/>
        </w:rPr>
        <w:t>منهج البحث</w:t>
      </w:r>
      <w:bookmarkEnd w:id="7"/>
    </w:p>
    <w:p w:rsidR="00B276C1" w:rsidRPr="008D56DE" w:rsidRDefault="00065E4B" w:rsidP="00597C20">
      <w:pPr>
        <w:spacing w:line="0" w:lineRule="atLeast"/>
        <w:rPr>
          <w:b/>
          <w:bCs/>
          <w:rtl/>
        </w:rPr>
      </w:pPr>
      <w:r w:rsidRPr="008D56DE">
        <w:rPr>
          <w:rFonts w:hint="cs"/>
          <w:rtl/>
        </w:rPr>
        <w:t>ي</w:t>
      </w:r>
      <w:r w:rsidR="00B276C1" w:rsidRPr="008D56DE">
        <w:rPr>
          <w:rFonts w:hint="cs"/>
          <w:rtl/>
        </w:rPr>
        <w:t>تلخص منهجي في كتابة هذا البحث في النقاط التالية:</w:t>
      </w:r>
    </w:p>
    <w:p w:rsidR="00415A6F" w:rsidRPr="00415A6F" w:rsidRDefault="00E30CBD" w:rsidP="00415A6F">
      <w:pPr>
        <w:pStyle w:val="afc"/>
        <w:numPr>
          <w:ilvl w:val="0"/>
          <w:numId w:val="15"/>
        </w:numPr>
        <w:spacing w:after="200" w:line="0" w:lineRule="atLeast"/>
        <w:ind w:left="707" w:hanging="425"/>
        <w:rPr>
          <w:rFonts w:ascii="Traditional Arabic" w:hAnsi="Traditional Arabic"/>
        </w:rPr>
      </w:pPr>
      <w:r>
        <w:rPr>
          <w:rFonts w:ascii="Traditional Arabic" w:hAnsi="Traditional Arabic"/>
          <w:rtl/>
        </w:rPr>
        <w:t>اعتم</w:t>
      </w:r>
      <w:r w:rsidR="00B276C1" w:rsidRPr="008D56DE">
        <w:rPr>
          <w:rFonts w:ascii="Traditional Arabic" w:hAnsi="Traditional Arabic"/>
          <w:rtl/>
        </w:rPr>
        <w:t>د</w:t>
      </w:r>
      <w:r>
        <w:rPr>
          <w:rFonts w:ascii="Traditional Arabic" w:hAnsi="Traditional Arabic" w:hint="cs"/>
          <w:rtl/>
        </w:rPr>
        <w:t>ت</w:t>
      </w:r>
      <w:r w:rsidR="00B276C1" w:rsidRPr="008D56DE">
        <w:rPr>
          <w:rFonts w:ascii="Traditional Arabic" w:hAnsi="Traditional Arabic"/>
          <w:rtl/>
        </w:rPr>
        <w:t xml:space="preserve"> في هذا البحث - فيما يتعلق بكتاب الشرح الممتع- على طبعة دار ابن الجوزي بإشراف مؤسسة الشيخ ابن عثيمين</w:t>
      </w:r>
      <w:r w:rsidR="00B76414">
        <w:rPr>
          <w:rFonts w:ascii="Traditional Arabic" w:hAnsi="Traditional Arabic"/>
          <w:rtl/>
        </w:rPr>
        <w:t>.</w:t>
      </w:r>
    </w:p>
    <w:p w:rsidR="00B276C1" w:rsidRPr="008D56DE" w:rsidRDefault="00E30CBD" w:rsidP="00597C20">
      <w:pPr>
        <w:pStyle w:val="afc"/>
        <w:numPr>
          <w:ilvl w:val="0"/>
          <w:numId w:val="15"/>
        </w:numPr>
        <w:spacing w:after="200" w:line="0" w:lineRule="atLeast"/>
        <w:ind w:left="707" w:hanging="425"/>
        <w:rPr>
          <w:rFonts w:ascii="Traditional Arabic" w:hAnsi="Traditional Arabic"/>
        </w:rPr>
      </w:pPr>
      <w:r>
        <w:rPr>
          <w:rFonts w:ascii="Traditional Arabic" w:hAnsi="Traditional Arabic"/>
          <w:rtl/>
        </w:rPr>
        <w:t>استقر</w:t>
      </w:r>
      <w:r>
        <w:rPr>
          <w:rFonts w:ascii="Traditional Arabic" w:hAnsi="Traditional Arabic" w:hint="cs"/>
          <w:rtl/>
        </w:rPr>
        <w:t>أت</w:t>
      </w:r>
      <w:r w:rsidR="00B276C1" w:rsidRPr="008D56DE">
        <w:rPr>
          <w:rFonts w:ascii="Traditional Arabic" w:hAnsi="Traditional Arabic"/>
          <w:rtl/>
        </w:rPr>
        <w:t xml:space="preserve"> القواعد وا</w:t>
      </w:r>
      <w:r w:rsidR="00C33E18">
        <w:rPr>
          <w:rFonts w:ascii="Traditional Arabic" w:hAnsi="Traditional Arabic"/>
          <w:rtl/>
        </w:rPr>
        <w:t>لضوابط الفقهية</w:t>
      </w:r>
      <w:r w:rsidR="00C33E18">
        <w:rPr>
          <w:rFonts w:ascii="Traditional Arabic" w:hAnsi="Traditional Arabic" w:hint="cs"/>
          <w:rtl/>
        </w:rPr>
        <w:t xml:space="preserve"> </w:t>
      </w:r>
      <w:r w:rsidR="00415A6F">
        <w:rPr>
          <w:rFonts w:ascii="Traditional Arabic" w:hAnsi="Traditional Arabic"/>
          <w:rtl/>
        </w:rPr>
        <w:t>في كتاب ال</w:t>
      </w:r>
      <w:r w:rsidR="00415A6F">
        <w:rPr>
          <w:rFonts w:ascii="Traditional Arabic" w:hAnsi="Traditional Arabic" w:hint="cs"/>
          <w:rtl/>
        </w:rPr>
        <w:t>بيع</w:t>
      </w:r>
      <w:r w:rsidR="00B276C1" w:rsidRPr="008D56DE">
        <w:rPr>
          <w:rFonts w:ascii="Traditional Arabic" w:hAnsi="Traditional Arabic"/>
          <w:rtl/>
        </w:rPr>
        <w:t xml:space="preserve"> من الشرح الممتع.</w:t>
      </w:r>
    </w:p>
    <w:p w:rsidR="00B276C1" w:rsidRPr="008D56DE" w:rsidRDefault="00E30CBD" w:rsidP="00597C20">
      <w:pPr>
        <w:pStyle w:val="afc"/>
        <w:numPr>
          <w:ilvl w:val="0"/>
          <w:numId w:val="15"/>
        </w:numPr>
        <w:spacing w:after="200" w:line="0" w:lineRule="atLeast"/>
        <w:ind w:left="707" w:hanging="425"/>
        <w:rPr>
          <w:rFonts w:ascii="Traditional Arabic" w:hAnsi="Traditional Arabic"/>
        </w:rPr>
      </w:pPr>
      <w:r>
        <w:rPr>
          <w:rFonts w:ascii="Traditional Arabic" w:hAnsi="Traditional Arabic" w:hint="cs"/>
          <w:rtl/>
        </w:rPr>
        <w:t>أ</w:t>
      </w:r>
      <w:r w:rsidR="00B276C1" w:rsidRPr="008D56DE">
        <w:rPr>
          <w:rFonts w:ascii="Traditional Arabic" w:hAnsi="Traditional Arabic"/>
          <w:rtl/>
        </w:rPr>
        <w:t>ذكر نص القاعدة بال</w:t>
      </w:r>
      <w:r w:rsidR="00B276C1">
        <w:rPr>
          <w:rFonts w:ascii="Traditional Arabic" w:hAnsi="Traditional Arabic"/>
          <w:rtl/>
        </w:rPr>
        <w:t xml:space="preserve">لفظ الذي ذكره الشيخ ابن عثيمين </w:t>
      </w:r>
      <w:r w:rsidR="009A0575" w:rsidRPr="005D5694">
        <w:rPr>
          <w:rFonts w:ascii="Traditional Arabic" w:hAnsi="Traditional Arabic" w:cs="CTraditional Arabic" w:hint="cs"/>
          <w:rtl/>
        </w:rPr>
        <w:t>/</w:t>
      </w:r>
      <w:r w:rsidR="00B276C1" w:rsidRPr="008D56DE">
        <w:rPr>
          <w:rFonts w:ascii="Traditional Arabic" w:hAnsi="Traditional Arabic"/>
          <w:rtl/>
        </w:rPr>
        <w:t xml:space="preserve"> إلا أن تكون قاعدة مستنبطة فإني أذكرها باللفظ المشهور عند علماء القواعد.</w:t>
      </w:r>
    </w:p>
    <w:p w:rsidR="00B276C1" w:rsidRPr="008D56DE" w:rsidRDefault="00B276C1" w:rsidP="00597C20">
      <w:pPr>
        <w:pStyle w:val="afc"/>
        <w:numPr>
          <w:ilvl w:val="0"/>
          <w:numId w:val="15"/>
        </w:numPr>
        <w:spacing w:after="200" w:line="0" w:lineRule="atLeast"/>
        <w:ind w:left="707" w:hanging="425"/>
        <w:rPr>
          <w:rFonts w:ascii="Traditional Arabic" w:hAnsi="Traditional Arabic"/>
          <w:rtl/>
        </w:rPr>
      </w:pPr>
      <w:r w:rsidRPr="008D56DE">
        <w:rPr>
          <w:rFonts w:ascii="Traditional Arabic" w:hAnsi="Traditional Arabic"/>
          <w:rtl/>
        </w:rPr>
        <w:t xml:space="preserve">لا أكتفي عند ذكر صيغ القاعدة عند الشيخ ابن عثيمين </w:t>
      </w:r>
      <w:r w:rsidR="009A0575" w:rsidRPr="005D5694">
        <w:rPr>
          <w:rFonts w:ascii="Traditional Arabic" w:hAnsi="Traditional Arabic" w:cs="CTraditional Arabic" w:hint="cs"/>
          <w:rtl/>
        </w:rPr>
        <w:t>/</w:t>
      </w:r>
      <w:r w:rsidRPr="008D56DE">
        <w:rPr>
          <w:rFonts w:ascii="Traditional Arabic" w:hAnsi="Traditional Arabic"/>
          <w:rtl/>
        </w:rPr>
        <w:t>بما ورد في كتاب الشرح الممتع، بل أذكر ما أمكن لي الاطلاع عليه من صيغ في كتبه الأخرى.</w:t>
      </w:r>
    </w:p>
    <w:p w:rsidR="00B276C1" w:rsidRPr="008D56DE" w:rsidRDefault="00B276C1" w:rsidP="00597C20">
      <w:pPr>
        <w:pStyle w:val="afc"/>
        <w:numPr>
          <w:ilvl w:val="0"/>
          <w:numId w:val="15"/>
        </w:numPr>
        <w:spacing w:after="200" w:line="0" w:lineRule="atLeast"/>
        <w:ind w:left="707" w:hanging="425"/>
        <w:rPr>
          <w:rFonts w:ascii="Traditional Arabic" w:hAnsi="Traditional Arabic"/>
          <w:rtl/>
        </w:rPr>
      </w:pPr>
      <w:r w:rsidRPr="008D56DE">
        <w:rPr>
          <w:rFonts w:ascii="Traditional Arabic" w:hAnsi="Traditional Arabic"/>
          <w:rtl/>
        </w:rPr>
        <w:lastRenderedPageBreak/>
        <w:t>إذا وردت القاعدة عند الشيخ بأكثر من لفظ فإني أقوم باختيار أحدها مما أراه مناسبا مع التعليل لذلك</w:t>
      </w:r>
      <w:r w:rsidR="00B76414">
        <w:rPr>
          <w:rFonts w:ascii="Traditional Arabic" w:hAnsi="Traditional Arabic"/>
          <w:rtl/>
        </w:rPr>
        <w:t>،</w:t>
      </w:r>
      <w:r w:rsidRPr="008D56DE">
        <w:rPr>
          <w:rFonts w:ascii="Traditional Arabic" w:hAnsi="Traditional Arabic"/>
          <w:rtl/>
        </w:rPr>
        <w:t xml:space="preserve"> ثم أتعرض لبقية الألفاظ في المطلب المتعلق بصيغ القاعدة.</w:t>
      </w:r>
    </w:p>
    <w:p w:rsidR="00B276C1" w:rsidRPr="008D56DE" w:rsidRDefault="00B276C1" w:rsidP="00597C20">
      <w:pPr>
        <w:pStyle w:val="afc"/>
        <w:numPr>
          <w:ilvl w:val="0"/>
          <w:numId w:val="15"/>
        </w:numPr>
        <w:spacing w:after="200" w:line="0" w:lineRule="atLeast"/>
        <w:ind w:left="707" w:hanging="425"/>
        <w:rPr>
          <w:rFonts w:ascii="Traditional Arabic" w:hAnsi="Traditional Arabic"/>
        </w:rPr>
      </w:pPr>
      <w:r w:rsidRPr="008D56DE">
        <w:rPr>
          <w:rFonts w:ascii="Traditional Arabic" w:hAnsi="Traditional Arabic"/>
          <w:rtl/>
        </w:rPr>
        <w:t>التصرف في لفظ القاعدة والضابط اللذين ذكرهما الشيخ - عند الحاجة -</w:t>
      </w:r>
      <w:r w:rsidR="00154102">
        <w:rPr>
          <w:rFonts w:ascii="Traditional Arabic" w:hAnsi="Traditional Arabic"/>
          <w:rtl/>
        </w:rPr>
        <w:t xml:space="preserve"> و</w:t>
      </w:r>
      <w:r w:rsidRPr="008D56DE">
        <w:rPr>
          <w:rFonts w:ascii="Traditional Arabic" w:hAnsi="Traditional Arabic"/>
          <w:rtl/>
        </w:rPr>
        <w:t xml:space="preserve">أشير إلى ذلك في الحاشية بقولي : </w:t>
      </w:r>
      <w:r w:rsidR="00B76414">
        <w:rPr>
          <w:rFonts w:ascii="Traditional Arabic" w:hAnsi="Traditional Arabic"/>
          <w:rtl/>
        </w:rPr>
        <w:t>(</w:t>
      </w:r>
      <w:r w:rsidRPr="008D56DE">
        <w:rPr>
          <w:rFonts w:ascii="Traditional Arabic" w:hAnsi="Traditional Arabic"/>
          <w:rtl/>
        </w:rPr>
        <w:t>بتصرف</w:t>
      </w:r>
      <w:r w:rsidR="00B76414">
        <w:rPr>
          <w:rFonts w:ascii="Traditional Arabic" w:hAnsi="Traditional Arabic"/>
          <w:rtl/>
        </w:rPr>
        <w:t>)</w:t>
      </w:r>
      <w:r w:rsidRPr="008D56DE">
        <w:rPr>
          <w:rFonts w:ascii="Traditional Arabic" w:hAnsi="Traditional Arabic"/>
          <w:rtl/>
        </w:rPr>
        <w:t xml:space="preserve"> مع التعليل لذلك.</w:t>
      </w:r>
    </w:p>
    <w:p w:rsidR="00B276C1" w:rsidRPr="008D56DE" w:rsidRDefault="00B276C1" w:rsidP="00597C20">
      <w:pPr>
        <w:pStyle w:val="afc"/>
        <w:numPr>
          <w:ilvl w:val="0"/>
          <w:numId w:val="15"/>
        </w:numPr>
        <w:spacing w:after="200" w:line="0" w:lineRule="atLeast"/>
        <w:ind w:left="707" w:hanging="425"/>
        <w:rPr>
          <w:rFonts w:ascii="Traditional Arabic" w:hAnsi="Traditional Arabic"/>
        </w:rPr>
      </w:pPr>
      <w:r w:rsidRPr="008D56DE">
        <w:rPr>
          <w:rFonts w:ascii="Traditional Arabic" w:hAnsi="Traditional Arabic"/>
          <w:rtl/>
        </w:rPr>
        <w:t>إذا كانت القاعدة أصولية فقهية فإني أذكر وجه كونها فقهية</w:t>
      </w:r>
      <w:r w:rsidR="00E53843">
        <w:rPr>
          <w:rFonts w:ascii="Traditional Arabic" w:hAnsi="Traditional Arabic" w:hint="cs"/>
          <w:rtl/>
        </w:rPr>
        <w:t>،</w:t>
      </w:r>
      <w:r w:rsidRPr="008D56DE">
        <w:rPr>
          <w:rFonts w:ascii="Traditional Arabic" w:hAnsi="Traditional Arabic"/>
          <w:rtl/>
        </w:rPr>
        <w:t xml:space="preserve"> ووجه كونها أصولية.</w:t>
      </w:r>
    </w:p>
    <w:p w:rsidR="00B276C1" w:rsidRPr="008D56DE" w:rsidRDefault="00B276C1" w:rsidP="00597C20">
      <w:pPr>
        <w:pStyle w:val="afc"/>
        <w:numPr>
          <w:ilvl w:val="0"/>
          <w:numId w:val="15"/>
        </w:numPr>
        <w:spacing w:after="200" w:line="0" w:lineRule="atLeast"/>
        <w:ind w:left="707" w:hanging="425"/>
        <w:rPr>
          <w:rFonts w:ascii="Traditional Arabic" w:hAnsi="Traditional Arabic"/>
        </w:rPr>
      </w:pPr>
      <w:r w:rsidRPr="008D56DE">
        <w:rPr>
          <w:rFonts w:ascii="Traditional Arabic" w:hAnsi="Traditional Arabic"/>
          <w:rtl/>
        </w:rPr>
        <w:t>جعل</w:t>
      </w:r>
      <w:r w:rsidR="00E30CBD">
        <w:rPr>
          <w:rFonts w:ascii="Traditional Arabic" w:hAnsi="Traditional Arabic" w:hint="cs"/>
          <w:rtl/>
        </w:rPr>
        <w:t>ت</w:t>
      </w:r>
      <w:r w:rsidRPr="008D56DE">
        <w:rPr>
          <w:rFonts w:ascii="Traditional Arabic" w:hAnsi="Traditional Arabic"/>
          <w:rtl/>
        </w:rPr>
        <w:t xml:space="preserve"> القواعد الفقهية التي يجمعها نفس الموضوع في فصل مستقل، وما لم يندرج منها تحت موضوع واحد جمعته في فصل واحد في آخر الباب المتعلق بالقواعد.</w:t>
      </w:r>
    </w:p>
    <w:p w:rsidR="00B276C1" w:rsidRPr="008D56DE" w:rsidRDefault="00E30CBD" w:rsidP="00597C20">
      <w:pPr>
        <w:pStyle w:val="afc"/>
        <w:numPr>
          <w:ilvl w:val="0"/>
          <w:numId w:val="15"/>
        </w:numPr>
        <w:spacing w:after="200" w:line="0" w:lineRule="atLeast"/>
        <w:ind w:left="709" w:hanging="425"/>
        <w:rPr>
          <w:rFonts w:ascii="Traditional Arabic" w:hAnsi="Traditional Arabic"/>
          <w:rtl/>
        </w:rPr>
      </w:pPr>
      <w:r>
        <w:rPr>
          <w:rFonts w:ascii="Traditional Arabic" w:hAnsi="Traditional Arabic"/>
          <w:rtl/>
        </w:rPr>
        <w:t>اقتص</w:t>
      </w:r>
      <w:r w:rsidR="00B276C1" w:rsidRPr="008D56DE">
        <w:rPr>
          <w:rFonts w:ascii="Traditional Arabic" w:hAnsi="Traditional Arabic"/>
          <w:rtl/>
        </w:rPr>
        <w:t>ر</w:t>
      </w:r>
      <w:r>
        <w:rPr>
          <w:rFonts w:ascii="Traditional Arabic" w:hAnsi="Traditional Arabic" w:hint="cs"/>
          <w:rtl/>
        </w:rPr>
        <w:t>ت</w:t>
      </w:r>
      <w:r w:rsidR="00B276C1" w:rsidRPr="008D56DE">
        <w:rPr>
          <w:rFonts w:ascii="Traditional Arabic" w:hAnsi="Traditional Arabic"/>
          <w:rtl/>
        </w:rPr>
        <w:t xml:space="preserve"> عند ذكر الضابط على اللفظ الذي ذكره الشيخ</w:t>
      </w:r>
      <w:r w:rsidR="00E53843">
        <w:rPr>
          <w:rFonts w:ascii="Traditional Arabic" w:hAnsi="Traditional Arabic" w:hint="cs"/>
          <w:rtl/>
        </w:rPr>
        <w:t>،</w:t>
      </w:r>
      <w:r w:rsidR="00B276C1" w:rsidRPr="008D56DE">
        <w:rPr>
          <w:rFonts w:ascii="Traditional Arabic" w:hAnsi="Traditional Arabic"/>
          <w:rtl/>
        </w:rPr>
        <w:t xml:space="preserve"> وإذا تعددت الصيغ</w:t>
      </w:r>
      <w:r w:rsidR="00E53843">
        <w:rPr>
          <w:rFonts w:ascii="Traditional Arabic" w:hAnsi="Traditional Arabic" w:hint="cs"/>
          <w:rtl/>
        </w:rPr>
        <w:t>،</w:t>
      </w:r>
      <w:r w:rsidR="00B276C1" w:rsidRPr="008D56DE">
        <w:rPr>
          <w:rFonts w:ascii="Traditional Arabic" w:hAnsi="Traditional Arabic"/>
          <w:rtl/>
        </w:rPr>
        <w:t xml:space="preserve"> فإني أكتفي بواحدة منها</w:t>
      </w:r>
      <w:r w:rsidR="00E53843">
        <w:rPr>
          <w:rFonts w:ascii="Traditional Arabic" w:hAnsi="Traditional Arabic" w:hint="cs"/>
          <w:rtl/>
        </w:rPr>
        <w:t>،</w:t>
      </w:r>
      <w:r w:rsidR="00B276C1" w:rsidRPr="008D56DE">
        <w:rPr>
          <w:rFonts w:ascii="Traditional Arabic" w:hAnsi="Traditional Arabic"/>
          <w:rtl/>
        </w:rPr>
        <w:t xml:space="preserve"> وأشير إلى الصيغ الأخرى في الحاشية.</w:t>
      </w:r>
    </w:p>
    <w:p w:rsidR="00B276C1" w:rsidRDefault="00E30CBD" w:rsidP="00597C20">
      <w:pPr>
        <w:pStyle w:val="afc"/>
        <w:numPr>
          <w:ilvl w:val="0"/>
          <w:numId w:val="15"/>
        </w:numPr>
        <w:spacing w:after="200" w:line="0" w:lineRule="atLeast"/>
        <w:ind w:left="707" w:hanging="425"/>
        <w:rPr>
          <w:rFonts w:ascii="Traditional Arabic" w:hAnsi="Traditional Arabic"/>
        </w:rPr>
      </w:pPr>
      <w:r>
        <w:rPr>
          <w:rFonts w:ascii="Traditional Arabic" w:hAnsi="Traditional Arabic"/>
          <w:rtl/>
        </w:rPr>
        <w:t>وث</w:t>
      </w:r>
      <w:r w:rsidR="00B276C1" w:rsidRPr="008D56DE">
        <w:rPr>
          <w:rFonts w:ascii="Traditional Arabic" w:hAnsi="Traditional Arabic"/>
          <w:rtl/>
        </w:rPr>
        <w:t>ق</w:t>
      </w:r>
      <w:r>
        <w:rPr>
          <w:rFonts w:ascii="Traditional Arabic" w:hAnsi="Traditional Arabic" w:hint="cs"/>
          <w:rtl/>
        </w:rPr>
        <w:t>ت</w:t>
      </w:r>
      <w:r w:rsidR="00B276C1" w:rsidRPr="008D56DE">
        <w:rPr>
          <w:rFonts w:ascii="Traditional Arabic" w:hAnsi="Traditional Arabic"/>
          <w:rtl/>
        </w:rPr>
        <w:t xml:space="preserve"> القواعد والضوابط من مصادرها في الحاشية في غير الشرح الممتع</w:t>
      </w:r>
      <w:r w:rsidR="00E53843">
        <w:rPr>
          <w:rFonts w:ascii="Traditional Arabic" w:hAnsi="Traditional Arabic" w:hint="cs"/>
          <w:rtl/>
        </w:rPr>
        <w:t>،</w:t>
      </w:r>
      <w:r>
        <w:rPr>
          <w:rFonts w:ascii="Traditional Arabic" w:hAnsi="Traditional Arabic"/>
          <w:rtl/>
        </w:rPr>
        <w:t xml:space="preserve"> وأش</w:t>
      </w:r>
      <w:r w:rsidR="00B276C1" w:rsidRPr="008D56DE">
        <w:rPr>
          <w:rFonts w:ascii="Traditional Arabic" w:hAnsi="Traditional Arabic"/>
          <w:rtl/>
        </w:rPr>
        <w:t>ر</w:t>
      </w:r>
      <w:r>
        <w:rPr>
          <w:rFonts w:ascii="Traditional Arabic" w:hAnsi="Traditional Arabic" w:hint="cs"/>
          <w:rtl/>
        </w:rPr>
        <w:t>ت</w:t>
      </w:r>
      <w:r w:rsidR="00B276C1" w:rsidRPr="008D56DE">
        <w:rPr>
          <w:rFonts w:ascii="Traditional Arabic" w:hAnsi="Traditional Arabic"/>
          <w:rtl/>
        </w:rPr>
        <w:t xml:space="preserve"> إلى المواطن التي وردت فيها القاعدة والضابط من كتب القواعد الفقهية الأخرى</w:t>
      </w:r>
      <w:r>
        <w:rPr>
          <w:rFonts w:ascii="Traditional Arabic" w:hAnsi="Traditional Arabic" w:hint="cs"/>
          <w:rtl/>
        </w:rPr>
        <w:t>، وا</w:t>
      </w:r>
      <w:r w:rsidR="00C82163">
        <w:rPr>
          <w:rFonts w:ascii="Traditional Arabic" w:hAnsi="Traditional Arabic" w:hint="cs"/>
          <w:rtl/>
        </w:rPr>
        <w:t>كتفي</w:t>
      </w:r>
      <w:r>
        <w:rPr>
          <w:rFonts w:ascii="Traditional Arabic" w:hAnsi="Traditional Arabic" w:hint="cs"/>
          <w:rtl/>
        </w:rPr>
        <w:t xml:space="preserve">ت في توثيق القاعدة بما </w:t>
      </w:r>
      <w:r w:rsidR="00C82163">
        <w:rPr>
          <w:rFonts w:ascii="Traditional Arabic" w:hAnsi="Traditional Arabic" w:hint="cs"/>
          <w:rtl/>
        </w:rPr>
        <w:t>ذكر</w:t>
      </w:r>
      <w:r>
        <w:rPr>
          <w:rFonts w:ascii="Traditional Arabic" w:hAnsi="Traditional Arabic" w:hint="cs"/>
          <w:rtl/>
        </w:rPr>
        <w:t>ت</w:t>
      </w:r>
      <w:r w:rsidR="00C82163">
        <w:rPr>
          <w:rFonts w:ascii="Traditional Arabic" w:hAnsi="Traditional Arabic" w:hint="cs"/>
          <w:rtl/>
        </w:rPr>
        <w:t>ه عند توثيق صيغها</w:t>
      </w:r>
      <w:r w:rsidR="00B276C1" w:rsidRPr="008D56DE">
        <w:rPr>
          <w:rFonts w:ascii="Traditional Arabic" w:hAnsi="Traditional Arabic"/>
          <w:rtl/>
        </w:rPr>
        <w:t>.</w:t>
      </w:r>
    </w:p>
    <w:p w:rsidR="00C82163" w:rsidRDefault="00C82163" w:rsidP="00597C20">
      <w:pPr>
        <w:pStyle w:val="afc"/>
        <w:numPr>
          <w:ilvl w:val="0"/>
          <w:numId w:val="15"/>
        </w:numPr>
        <w:spacing w:after="200" w:line="0" w:lineRule="atLeast"/>
        <w:ind w:left="707" w:hanging="425"/>
        <w:rPr>
          <w:rFonts w:ascii="Traditional Arabic" w:hAnsi="Traditional Arabic"/>
        </w:rPr>
      </w:pPr>
      <w:r>
        <w:rPr>
          <w:rFonts w:ascii="Traditional Arabic" w:hAnsi="Traditional Arabic" w:hint="cs"/>
          <w:rtl/>
        </w:rPr>
        <w:t>جعل</w:t>
      </w:r>
      <w:r w:rsidR="00E30CBD">
        <w:rPr>
          <w:rFonts w:ascii="Traditional Arabic" w:hAnsi="Traditional Arabic" w:hint="cs"/>
          <w:rtl/>
        </w:rPr>
        <w:t>ت</w:t>
      </w:r>
      <w:r>
        <w:rPr>
          <w:rFonts w:ascii="Traditional Arabic" w:hAnsi="Traditional Arabic" w:hint="cs"/>
          <w:rtl/>
        </w:rPr>
        <w:t xml:space="preserve"> تحت كل مبحث من مباحث الباب الأول أربعة مطالب تتعلق بصيغ القاعدة عند الشيخ وعند علماء القواعد، وشرح القاعدة، وأدلة</w:t>
      </w:r>
      <w:r w:rsidR="00E30CBD">
        <w:rPr>
          <w:rFonts w:ascii="Traditional Arabic" w:hAnsi="Traditional Arabic" w:hint="cs"/>
          <w:rtl/>
        </w:rPr>
        <w:t xml:space="preserve"> القاعدة، وتطبيقات القاعدة، وأض</w:t>
      </w:r>
      <w:r>
        <w:rPr>
          <w:rFonts w:ascii="Traditional Arabic" w:hAnsi="Traditional Arabic" w:hint="cs"/>
          <w:rtl/>
        </w:rPr>
        <w:t>ف</w:t>
      </w:r>
      <w:r w:rsidR="00E30CBD">
        <w:rPr>
          <w:rFonts w:ascii="Traditional Arabic" w:hAnsi="Traditional Arabic" w:hint="cs"/>
          <w:rtl/>
        </w:rPr>
        <w:t>ت</w:t>
      </w:r>
      <w:r>
        <w:rPr>
          <w:rFonts w:ascii="Traditional Arabic" w:hAnsi="Traditional Arabic" w:hint="cs"/>
          <w:rtl/>
        </w:rPr>
        <w:t xml:space="preserve"> مطلبا خامسا يتعلق بمستثنيات القاعدة إذا وجدت لها مستثنيات.</w:t>
      </w:r>
    </w:p>
    <w:p w:rsidR="00E30CBD" w:rsidRPr="008D56DE" w:rsidRDefault="00E30CBD" w:rsidP="00597C20">
      <w:pPr>
        <w:pStyle w:val="afc"/>
        <w:numPr>
          <w:ilvl w:val="0"/>
          <w:numId w:val="15"/>
        </w:numPr>
        <w:spacing w:after="200" w:line="0" w:lineRule="atLeast"/>
        <w:ind w:left="707" w:hanging="425"/>
        <w:rPr>
          <w:rFonts w:ascii="Traditional Arabic" w:hAnsi="Traditional Arabic"/>
        </w:rPr>
      </w:pPr>
      <w:r>
        <w:rPr>
          <w:rFonts w:ascii="Traditional Arabic" w:hAnsi="Traditional Arabic" w:hint="cs"/>
          <w:rtl/>
        </w:rPr>
        <w:t>جعلت تحت كل مبحث من مباحث الباب الثاني ثلاثة مطالب تتعلق بشرح الضابط، وأدلة الضابط، وتطبيقات الضابط، وأضفت مطلبا رابعا يتعلق بمستثنيات الضابط إن وجدت له مستثنيات.</w:t>
      </w:r>
    </w:p>
    <w:p w:rsidR="00B276C1"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hint="cs"/>
          <w:rtl/>
        </w:rPr>
        <w:t>أ</w:t>
      </w:r>
      <w:r>
        <w:rPr>
          <w:rFonts w:ascii="Traditional Arabic" w:hAnsi="Traditional Arabic"/>
          <w:rtl/>
        </w:rPr>
        <w:t>بي</w:t>
      </w:r>
      <w:r>
        <w:rPr>
          <w:rFonts w:ascii="Traditional Arabic" w:hAnsi="Traditional Arabic" w:hint="cs"/>
          <w:rtl/>
        </w:rPr>
        <w:t>ّ</w:t>
      </w:r>
      <w:r w:rsidR="00B276C1" w:rsidRPr="008D56DE">
        <w:rPr>
          <w:rFonts w:ascii="Traditional Arabic" w:hAnsi="Traditional Arabic"/>
          <w:rtl/>
        </w:rPr>
        <w:t>ن معاني مفردات القاعدة أو الضابط.</w:t>
      </w:r>
    </w:p>
    <w:p w:rsidR="00B276C1"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hint="cs"/>
          <w:rtl/>
        </w:rPr>
        <w:t>أقوم ب</w:t>
      </w:r>
      <w:r w:rsidR="00B276C1" w:rsidRPr="008D56DE">
        <w:rPr>
          <w:rFonts w:ascii="Traditional Arabic" w:hAnsi="Traditional Arabic"/>
          <w:rtl/>
        </w:rPr>
        <w:t>شرح القاعدة أو الضابط شرحا إجماليا.</w:t>
      </w:r>
    </w:p>
    <w:p w:rsidR="00B276C1"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hint="cs"/>
          <w:rtl/>
        </w:rPr>
        <w:t>أ</w:t>
      </w:r>
      <w:r w:rsidR="00B276C1" w:rsidRPr="008D56DE">
        <w:rPr>
          <w:rFonts w:ascii="Traditional Arabic" w:hAnsi="Traditional Arabic"/>
          <w:rtl/>
        </w:rPr>
        <w:t>ذكر الأدلة على القاعدة أو الضابط من كلام الشيخ ابن عثيمين</w:t>
      </w:r>
      <w:r w:rsidR="00B76414">
        <w:rPr>
          <w:rFonts w:ascii="Traditional Arabic" w:hAnsi="Traditional Arabic"/>
          <w:rtl/>
        </w:rPr>
        <w:t>،</w:t>
      </w:r>
      <w:r w:rsidR="00B276C1" w:rsidRPr="008D56DE">
        <w:rPr>
          <w:rFonts w:ascii="Traditional Arabic" w:hAnsi="Traditional Arabic"/>
          <w:rtl/>
        </w:rPr>
        <w:t xml:space="preserve"> فإن لم </w:t>
      </w:r>
      <w:r>
        <w:rPr>
          <w:rFonts w:ascii="Traditional Arabic" w:hAnsi="Traditional Arabic"/>
          <w:rtl/>
        </w:rPr>
        <w:t>يذكر على ذلك دليلا فإني أذكر</w:t>
      </w:r>
      <w:r>
        <w:rPr>
          <w:rFonts w:ascii="Traditional Arabic" w:hAnsi="Traditional Arabic" w:hint="cs"/>
          <w:rtl/>
        </w:rPr>
        <w:t xml:space="preserve">_إن وجدت_ ما </w:t>
      </w:r>
      <w:r w:rsidR="00B276C1" w:rsidRPr="008D56DE">
        <w:rPr>
          <w:rFonts w:ascii="Traditional Arabic" w:hAnsi="Traditional Arabic"/>
          <w:rtl/>
        </w:rPr>
        <w:t>أورده أهل العلم تدليلا على القاعدة أو الضابط.</w:t>
      </w:r>
    </w:p>
    <w:p w:rsidR="00B276C1"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hint="cs"/>
          <w:rtl/>
        </w:rPr>
        <w:t>أ</w:t>
      </w:r>
      <w:r w:rsidR="00B276C1" w:rsidRPr="008D56DE">
        <w:rPr>
          <w:rFonts w:ascii="Traditional Arabic" w:hAnsi="Traditional Arabic"/>
          <w:rtl/>
        </w:rPr>
        <w:t>حرص على بيان وجه الاستدلال بالنص من الكتاب</w:t>
      </w:r>
      <w:r w:rsidR="00154102">
        <w:rPr>
          <w:rFonts w:ascii="Traditional Arabic" w:hAnsi="Traditional Arabic"/>
          <w:rtl/>
        </w:rPr>
        <w:t xml:space="preserve"> و</w:t>
      </w:r>
      <w:r w:rsidR="00B276C1" w:rsidRPr="008D56DE">
        <w:rPr>
          <w:rFonts w:ascii="Traditional Arabic" w:hAnsi="Traditional Arabic"/>
          <w:rtl/>
        </w:rPr>
        <w:t>السنة عند التطرق لأدلة القاعدة والضابط.</w:t>
      </w:r>
    </w:p>
    <w:p w:rsidR="00B276C1"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hint="cs"/>
          <w:rtl/>
        </w:rPr>
        <w:t>أ</w:t>
      </w:r>
      <w:r>
        <w:rPr>
          <w:rFonts w:ascii="Traditional Arabic" w:hAnsi="Traditional Arabic"/>
          <w:rtl/>
        </w:rPr>
        <w:t>حاول</w:t>
      </w:r>
      <w:r w:rsidR="00B276C1" w:rsidRPr="008D56DE">
        <w:rPr>
          <w:rFonts w:ascii="Traditional Arabic" w:hAnsi="Traditional Arabic"/>
          <w:rtl/>
        </w:rPr>
        <w:t xml:space="preserve"> بقدر المستطاع أن تكون تطبيقات القاعدة أو الضابط من اختيارات الشيخ ابن عثيمين وترجيحاته وبالدرجة الأولى من خلال الشرح الممتع، كما أحرص عند التطبيق </w:t>
      </w:r>
      <w:r w:rsidR="00B276C1" w:rsidRPr="008D56DE">
        <w:rPr>
          <w:rFonts w:ascii="Traditional Arabic" w:hAnsi="Traditional Arabic"/>
          <w:rtl/>
        </w:rPr>
        <w:lastRenderedPageBreak/>
        <w:t>على القواعد والضوابط أن أذكر بعض الأمثلة المعاصرة من كلام الشيخ متى أمكن ذلك.</w:t>
      </w:r>
    </w:p>
    <w:p w:rsidR="00B276C1"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hint="cs"/>
          <w:rtl/>
        </w:rPr>
        <w:t>قمت ب</w:t>
      </w:r>
      <w:r w:rsidR="00B276C1" w:rsidRPr="008D56DE">
        <w:rPr>
          <w:rFonts w:ascii="Traditional Arabic" w:hAnsi="Traditional Arabic"/>
          <w:rtl/>
        </w:rPr>
        <w:t>ترتيب الفروع المندرجة تحت القواعد والضوابط حسب ترتيب الأبواب الفقهية</w:t>
      </w:r>
      <w:r w:rsidR="00B76414">
        <w:rPr>
          <w:rFonts w:ascii="Traditional Arabic" w:hAnsi="Traditional Arabic"/>
          <w:rtl/>
        </w:rPr>
        <w:t>.</w:t>
      </w:r>
    </w:p>
    <w:p w:rsidR="00F228A9"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hint="cs"/>
          <w:rtl/>
        </w:rPr>
        <w:t>قمت ب</w:t>
      </w:r>
      <w:r w:rsidR="00B276C1" w:rsidRPr="008D56DE">
        <w:rPr>
          <w:rFonts w:ascii="Traditional Arabic" w:hAnsi="Traditional Arabic"/>
          <w:rtl/>
        </w:rPr>
        <w:t>توثيق هذه الفروع من مؤلفات الشيخ ابن عثيمين</w:t>
      </w:r>
      <w:r w:rsidR="00B76414">
        <w:rPr>
          <w:rFonts w:ascii="Traditional Arabic" w:hAnsi="Traditional Arabic"/>
          <w:rtl/>
        </w:rPr>
        <w:t>،</w:t>
      </w:r>
      <w:r w:rsidR="00154102">
        <w:rPr>
          <w:rFonts w:ascii="Traditional Arabic" w:hAnsi="Traditional Arabic"/>
          <w:rtl/>
        </w:rPr>
        <w:t xml:space="preserve"> و</w:t>
      </w:r>
      <w:r w:rsidR="00B276C1" w:rsidRPr="008D56DE">
        <w:rPr>
          <w:rFonts w:ascii="Traditional Arabic" w:hAnsi="Traditional Arabic"/>
          <w:rtl/>
        </w:rPr>
        <w:t>من مؤلفات غيره من أهل العلم الذين أنقل عنهم</w:t>
      </w:r>
      <w:r w:rsidR="00E53843">
        <w:rPr>
          <w:rFonts w:ascii="Traditional Arabic" w:hAnsi="Traditional Arabic" w:hint="cs"/>
          <w:rtl/>
        </w:rPr>
        <w:t xml:space="preserve"> </w:t>
      </w:r>
      <w:r w:rsidR="00B276C1" w:rsidRPr="008D56DE">
        <w:rPr>
          <w:rFonts w:ascii="Traditional Arabic" w:hAnsi="Traditional Arabic"/>
          <w:rtl/>
        </w:rPr>
        <w:t>بعض الفروع.</w:t>
      </w:r>
    </w:p>
    <w:p w:rsidR="00B276C1" w:rsidRPr="008D56DE" w:rsidRDefault="00B276C1" w:rsidP="00597C20">
      <w:pPr>
        <w:pStyle w:val="afc"/>
        <w:numPr>
          <w:ilvl w:val="0"/>
          <w:numId w:val="15"/>
        </w:numPr>
        <w:spacing w:after="200" w:line="0" w:lineRule="atLeast"/>
        <w:ind w:left="849" w:hanging="567"/>
        <w:rPr>
          <w:rFonts w:ascii="Traditional Arabic" w:hAnsi="Traditional Arabic"/>
        </w:rPr>
      </w:pPr>
      <w:r w:rsidRPr="008D56DE">
        <w:rPr>
          <w:rFonts w:ascii="Traditional Arabic" w:hAnsi="Traditional Arabic"/>
          <w:rtl/>
        </w:rPr>
        <w:t xml:space="preserve">عند </w:t>
      </w:r>
      <w:r w:rsidR="00E30CBD">
        <w:rPr>
          <w:rFonts w:ascii="Traditional Arabic" w:hAnsi="Traditional Arabic"/>
          <w:rtl/>
        </w:rPr>
        <w:t>التطبيق على القواعد والضوابط أ بي</w:t>
      </w:r>
      <w:r w:rsidR="00E30CBD">
        <w:rPr>
          <w:rFonts w:ascii="Traditional Arabic" w:hAnsi="Traditional Arabic" w:hint="cs"/>
          <w:rtl/>
        </w:rPr>
        <w:t>ّ</w:t>
      </w:r>
      <w:r w:rsidRPr="008D56DE">
        <w:rPr>
          <w:rFonts w:ascii="Traditional Arabic" w:hAnsi="Traditional Arabic"/>
          <w:rtl/>
        </w:rPr>
        <w:t>ن وجه اندراج الفرع تحت كل منهما.</w:t>
      </w:r>
    </w:p>
    <w:p w:rsidR="00B276C1" w:rsidRPr="008D56DE" w:rsidRDefault="00B276C1" w:rsidP="00597C20">
      <w:pPr>
        <w:pStyle w:val="afc"/>
        <w:numPr>
          <w:ilvl w:val="0"/>
          <w:numId w:val="15"/>
        </w:numPr>
        <w:spacing w:after="200" w:line="0" w:lineRule="atLeast"/>
        <w:ind w:left="849" w:hanging="567"/>
        <w:rPr>
          <w:rFonts w:ascii="Traditional Arabic" w:hAnsi="Traditional Arabic"/>
        </w:rPr>
      </w:pPr>
      <w:r w:rsidRPr="008D56DE">
        <w:rPr>
          <w:rFonts w:ascii="Traditional Arabic" w:hAnsi="Traditional Arabic"/>
          <w:rtl/>
        </w:rPr>
        <w:t>ختم</w:t>
      </w:r>
      <w:r w:rsidR="00E30CBD">
        <w:rPr>
          <w:rFonts w:ascii="Traditional Arabic" w:hAnsi="Traditional Arabic" w:hint="cs"/>
          <w:rtl/>
        </w:rPr>
        <w:t>ت</w:t>
      </w:r>
      <w:r w:rsidRPr="008D56DE">
        <w:rPr>
          <w:rFonts w:ascii="Traditional Arabic" w:hAnsi="Traditional Arabic"/>
          <w:rtl/>
        </w:rPr>
        <w:t xml:space="preserve"> القواعد والضوابط بذكر بعض المستثنيات التي توضح المراد إن وُجدت.</w:t>
      </w:r>
    </w:p>
    <w:p w:rsidR="00F228A9"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hint="cs"/>
          <w:rtl/>
        </w:rPr>
        <w:t>أ</w:t>
      </w:r>
      <w:r w:rsidR="00B276C1" w:rsidRPr="008D56DE">
        <w:rPr>
          <w:rFonts w:ascii="Traditional Arabic" w:hAnsi="Traditional Arabic"/>
          <w:rtl/>
        </w:rPr>
        <w:t>حرص على أن تكون هذه المستثنيات مما ذكره الشيخ ابن عثيمين، فإن لم أجد فأنقل عن غيره من العلماء ممن ذكر مستثنيات للقاعدة.</w:t>
      </w:r>
    </w:p>
    <w:p w:rsidR="00B276C1" w:rsidRPr="008D56DE" w:rsidRDefault="00B276C1" w:rsidP="00597C20">
      <w:pPr>
        <w:pStyle w:val="afc"/>
        <w:numPr>
          <w:ilvl w:val="0"/>
          <w:numId w:val="15"/>
        </w:numPr>
        <w:spacing w:after="200" w:line="0" w:lineRule="atLeast"/>
        <w:ind w:left="849" w:hanging="567"/>
        <w:rPr>
          <w:rFonts w:ascii="Traditional Arabic" w:hAnsi="Traditional Arabic"/>
        </w:rPr>
      </w:pPr>
      <w:r w:rsidRPr="008D56DE">
        <w:rPr>
          <w:rFonts w:ascii="Traditional Arabic" w:hAnsi="Traditional Arabic"/>
          <w:rtl/>
        </w:rPr>
        <w:t>عند التوثيق في الحاشية أرتب المصادر على النحو التالي:</w:t>
      </w:r>
    </w:p>
    <w:p w:rsidR="00B276C1" w:rsidRPr="008D56DE" w:rsidRDefault="00B276C1" w:rsidP="00597C20">
      <w:pPr>
        <w:pStyle w:val="afc"/>
        <w:spacing w:line="0" w:lineRule="atLeast"/>
        <w:ind w:left="849"/>
        <w:rPr>
          <w:rFonts w:ascii="Traditional Arabic" w:hAnsi="Traditional Arabic"/>
          <w:rtl/>
        </w:rPr>
      </w:pPr>
      <w:r w:rsidRPr="008D56DE">
        <w:rPr>
          <w:rFonts w:ascii="Traditional Arabic" w:hAnsi="Traditional Arabic"/>
          <w:rtl/>
        </w:rPr>
        <w:t>أ-بالنسبة لكتب الشيخ ابن عثيمين أقدم كتاب الشرح الممتع فيما يورده الشيخ من مسائل وقواعد وضوابط، ثم أذكر كتبه الأخرى دون مراعاة ترتيب معين بينها.</w:t>
      </w:r>
    </w:p>
    <w:p w:rsidR="00F228A9" w:rsidRPr="008D56DE" w:rsidRDefault="00B276C1" w:rsidP="00597C20">
      <w:pPr>
        <w:pStyle w:val="afc"/>
        <w:spacing w:line="0" w:lineRule="atLeast"/>
        <w:ind w:left="849"/>
        <w:rPr>
          <w:rFonts w:ascii="Traditional Arabic" w:hAnsi="Traditional Arabic"/>
          <w:rtl/>
        </w:rPr>
      </w:pPr>
      <w:r w:rsidRPr="008D56DE">
        <w:rPr>
          <w:rFonts w:ascii="Traditional Arabic" w:hAnsi="Traditional Arabic"/>
          <w:rtl/>
        </w:rPr>
        <w:t xml:space="preserve">ب- بالنسبة لكتب غيره من العلماء فإني أرتب كتب الفقه </w:t>
      </w:r>
      <w:r w:rsidR="00D16E48">
        <w:rPr>
          <w:rFonts w:ascii="Traditional Arabic" w:hAnsi="Traditional Arabic" w:hint="cs"/>
          <w:rtl/>
        </w:rPr>
        <w:t xml:space="preserve">وأصول الفقه </w:t>
      </w:r>
      <w:r w:rsidRPr="008D56DE">
        <w:rPr>
          <w:rFonts w:ascii="Traditional Arabic" w:hAnsi="Traditional Arabic"/>
          <w:rtl/>
        </w:rPr>
        <w:t>والقواعد الفقهية بحسب المذاهب الفقهية أولا ثم بحسب الأقدمية في الزمن في المذهب الواحد.أما بقية المصادر فإني أرتبها بحسب الأقدمية في الزمن.</w:t>
      </w:r>
    </w:p>
    <w:p w:rsidR="00B276C1" w:rsidRPr="008D56DE" w:rsidRDefault="00B276C1" w:rsidP="00597C20">
      <w:pPr>
        <w:pStyle w:val="afc"/>
        <w:spacing w:line="0" w:lineRule="atLeast"/>
        <w:ind w:left="849"/>
        <w:rPr>
          <w:rFonts w:ascii="Traditional Arabic" w:hAnsi="Traditional Arabic"/>
        </w:rPr>
      </w:pPr>
      <w:r w:rsidRPr="008D56DE">
        <w:rPr>
          <w:rFonts w:ascii="Traditional Arabic" w:hAnsi="Traditional Arabic"/>
          <w:rtl/>
        </w:rPr>
        <w:t>ت-إذا اجتمعت كتب الشيخ وكتب غيره من العلماء تحت توثيق واحد فإني أقدم كتب الشيخ مرتبة على النحو المبين في الفقرة</w:t>
      </w:r>
      <w:r w:rsidR="00E53843">
        <w:rPr>
          <w:rFonts w:ascii="Traditional Arabic" w:hAnsi="Traditional Arabic" w:hint="cs"/>
          <w:rtl/>
        </w:rPr>
        <w:t xml:space="preserve"> </w:t>
      </w:r>
      <w:r w:rsidRPr="008D56DE">
        <w:rPr>
          <w:rFonts w:ascii="Traditional Arabic" w:hAnsi="Traditional Arabic"/>
          <w:rtl/>
        </w:rPr>
        <w:t>(أ)</w:t>
      </w:r>
      <w:r w:rsidR="00D16E48">
        <w:rPr>
          <w:rFonts w:ascii="Traditional Arabic" w:hAnsi="Traditional Arabic" w:hint="cs"/>
          <w:rtl/>
        </w:rPr>
        <w:t>،</w:t>
      </w:r>
      <w:r w:rsidRPr="008D56DE">
        <w:rPr>
          <w:rFonts w:ascii="Traditional Arabic" w:hAnsi="Traditional Arabic"/>
          <w:rtl/>
        </w:rPr>
        <w:t xml:space="preserve"> ثم أذكر كتب غيره مرتبة على النحو المبين في الفقرة</w:t>
      </w:r>
      <w:r w:rsidR="00E53843">
        <w:rPr>
          <w:rFonts w:ascii="Traditional Arabic" w:hAnsi="Traditional Arabic" w:hint="cs"/>
          <w:rtl/>
        </w:rPr>
        <w:t xml:space="preserve"> </w:t>
      </w:r>
      <w:r w:rsidRPr="008D56DE">
        <w:rPr>
          <w:rFonts w:ascii="Traditional Arabic" w:hAnsi="Traditional Arabic"/>
          <w:rtl/>
        </w:rPr>
        <w:t>(ب).</w:t>
      </w:r>
    </w:p>
    <w:p w:rsidR="00F228A9" w:rsidRPr="008D56DE" w:rsidRDefault="00B276C1" w:rsidP="00597C20">
      <w:pPr>
        <w:pStyle w:val="afc"/>
        <w:numPr>
          <w:ilvl w:val="0"/>
          <w:numId w:val="15"/>
        </w:numPr>
        <w:spacing w:after="200" w:line="0" w:lineRule="atLeast"/>
        <w:ind w:left="849" w:hanging="567"/>
        <w:rPr>
          <w:rFonts w:ascii="Traditional Arabic" w:hAnsi="Traditional Arabic"/>
        </w:rPr>
      </w:pPr>
      <w:r w:rsidRPr="008D56DE">
        <w:rPr>
          <w:rFonts w:ascii="Traditional Arabic" w:hAnsi="Traditional Arabic"/>
          <w:rtl/>
        </w:rPr>
        <w:t>عزو</w:t>
      </w:r>
      <w:r w:rsidR="00E30CBD">
        <w:rPr>
          <w:rFonts w:ascii="Traditional Arabic" w:hAnsi="Traditional Arabic" w:hint="cs"/>
          <w:rtl/>
        </w:rPr>
        <w:t>ت</w:t>
      </w:r>
      <w:r w:rsidRPr="008D56DE">
        <w:rPr>
          <w:rFonts w:ascii="Traditional Arabic" w:hAnsi="Traditional Arabic"/>
          <w:rtl/>
        </w:rPr>
        <w:t xml:space="preserve"> الآيات القرآنية الواردة في البحث بذكر اسم السورة ورقم الآية مع كتابتها بالرسم العثماني.</w:t>
      </w:r>
    </w:p>
    <w:p w:rsidR="00B276C1" w:rsidRPr="008D56DE" w:rsidRDefault="00B276C1" w:rsidP="00597C20">
      <w:pPr>
        <w:pStyle w:val="afc"/>
        <w:numPr>
          <w:ilvl w:val="0"/>
          <w:numId w:val="15"/>
        </w:numPr>
        <w:spacing w:after="200" w:line="0" w:lineRule="atLeast"/>
        <w:ind w:left="851" w:hanging="567"/>
        <w:rPr>
          <w:rFonts w:ascii="Traditional Arabic" w:hAnsi="Traditional Arabic"/>
        </w:rPr>
      </w:pPr>
      <w:r w:rsidRPr="008D56DE">
        <w:rPr>
          <w:rFonts w:ascii="Traditional Arabic" w:hAnsi="Traditional Arabic"/>
          <w:rtl/>
        </w:rPr>
        <w:t>عزو</w:t>
      </w:r>
      <w:r w:rsidR="00E30CBD">
        <w:rPr>
          <w:rFonts w:ascii="Traditional Arabic" w:hAnsi="Traditional Arabic" w:hint="cs"/>
          <w:rtl/>
        </w:rPr>
        <w:t>ت</w:t>
      </w:r>
      <w:r w:rsidRPr="008D56DE">
        <w:rPr>
          <w:rFonts w:ascii="Traditional Arabic" w:hAnsi="Traditional Arabic"/>
          <w:rtl/>
        </w:rPr>
        <w:t xml:space="preserve"> الأحاديث النبوية الواردة في البحث، فإن كان الحديث في الصحيحين أو أحدهما لم أعزه إلى غيرهما، وإن كان في غيرهما عزوته إلى كتب السنة الأخرى المعتمدة مع ذكر كلام أهل العلم في بيان درجته.</w:t>
      </w:r>
    </w:p>
    <w:p w:rsidR="00B276C1" w:rsidRPr="008D56DE" w:rsidRDefault="00B276C1" w:rsidP="00597C20">
      <w:pPr>
        <w:pStyle w:val="afc"/>
        <w:numPr>
          <w:ilvl w:val="0"/>
          <w:numId w:val="15"/>
        </w:numPr>
        <w:spacing w:after="200" w:line="0" w:lineRule="atLeast"/>
        <w:ind w:left="849" w:hanging="567"/>
        <w:rPr>
          <w:rFonts w:ascii="Traditional Arabic" w:hAnsi="Traditional Arabic"/>
        </w:rPr>
      </w:pPr>
      <w:r w:rsidRPr="008D56DE">
        <w:rPr>
          <w:rFonts w:ascii="Traditional Arabic" w:hAnsi="Traditional Arabic"/>
          <w:rtl/>
        </w:rPr>
        <w:t>عزو</w:t>
      </w:r>
      <w:r w:rsidR="00E30CBD">
        <w:rPr>
          <w:rFonts w:ascii="Traditional Arabic" w:hAnsi="Traditional Arabic" w:hint="cs"/>
          <w:rtl/>
        </w:rPr>
        <w:t>ت</w:t>
      </w:r>
      <w:r w:rsidRPr="008D56DE">
        <w:rPr>
          <w:rFonts w:ascii="Traditional Arabic" w:hAnsi="Traditional Arabic"/>
          <w:rtl/>
        </w:rPr>
        <w:t xml:space="preserve"> الآثار إلى مصادرها مع ذكر كلام أهل العلم في الحكم عليها إن وجد.</w:t>
      </w:r>
    </w:p>
    <w:p w:rsidR="00B276C1"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hint="cs"/>
          <w:rtl/>
        </w:rPr>
        <w:t>قمت ب</w:t>
      </w:r>
      <w:r w:rsidR="00B276C1" w:rsidRPr="008D56DE">
        <w:rPr>
          <w:rFonts w:ascii="Traditional Arabic" w:hAnsi="Traditional Arabic"/>
          <w:rtl/>
        </w:rPr>
        <w:t>توضيح المصطلحات العلمية وشرح الكلمات الغريبة</w:t>
      </w:r>
      <w:r w:rsidR="00B76414">
        <w:rPr>
          <w:rFonts w:ascii="Traditional Arabic" w:hAnsi="Traditional Arabic"/>
          <w:rtl/>
        </w:rPr>
        <w:t>.</w:t>
      </w:r>
    </w:p>
    <w:p w:rsidR="00B276C1"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rtl/>
        </w:rPr>
        <w:t>ترجم</w:t>
      </w:r>
      <w:r>
        <w:rPr>
          <w:rFonts w:ascii="Traditional Arabic" w:hAnsi="Traditional Arabic" w:hint="cs"/>
          <w:rtl/>
        </w:rPr>
        <w:t>ت</w:t>
      </w:r>
      <w:r w:rsidR="00B276C1" w:rsidRPr="008D56DE">
        <w:rPr>
          <w:rFonts w:ascii="Traditional Arabic" w:hAnsi="Traditional Arabic"/>
          <w:rtl/>
        </w:rPr>
        <w:t xml:space="preserve"> </w:t>
      </w:r>
      <w:r>
        <w:rPr>
          <w:rFonts w:ascii="Traditional Arabic" w:hAnsi="Traditional Arabic" w:hint="cs"/>
          <w:rtl/>
        </w:rPr>
        <w:t xml:space="preserve">ترجمة </w:t>
      </w:r>
      <w:r w:rsidR="00B276C1" w:rsidRPr="008D56DE">
        <w:rPr>
          <w:rFonts w:ascii="Traditional Arabic" w:hAnsi="Traditional Arabic"/>
          <w:rtl/>
        </w:rPr>
        <w:t>موجزة للأعلام غير المشهورين في البحث</w:t>
      </w:r>
      <w:r w:rsidR="00B76414">
        <w:rPr>
          <w:rFonts w:ascii="Traditional Arabic" w:hAnsi="Traditional Arabic"/>
          <w:rtl/>
        </w:rPr>
        <w:t>.</w:t>
      </w:r>
    </w:p>
    <w:p w:rsidR="00B276C1" w:rsidRPr="008D56DE" w:rsidRDefault="00E30CBD" w:rsidP="00597C20">
      <w:pPr>
        <w:pStyle w:val="afc"/>
        <w:numPr>
          <w:ilvl w:val="0"/>
          <w:numId w:val="15"/>
        </w:numPr>
        <w:spacing w:after="200" w:line="0" w:lineRule="atLeast"/>
        <w:ind w:left="849" w:hanging="567"/>
        <w:rPr>
          <w:rFonts w:ascii="Traditional Arabic" w:hAnsi="Traditional Arabic"/>
        </w:rPr>
      </w:pPr>
      <w:r>
        <w:rPr>
          <w:rFonts w:ascii="Traditional Arabic" w:hAnsi="Traditional Arabic"/>
          <w:rtl/>
        </w:rPr>
        <w:t>التز</w:t>
      </w:r>
      <w:r w:rsidR="00B276C1" w:rsidRPr="008D56DE">
        <w:rPr>
          <w:rFonts w:ascii="Traditional Arabic" w:hAnsi="Traditional Arabic"/>
          <w:rtl/>
        </w:rPr>
        <w:t>م</w:t>
      </w:r>
      <w:r>
        <w:rPr>
          <w:rFonts w:ascii="Traditional Arabic" w:hAnsi="Traditional Arabic" w:hint="cs"/>
          <w:rtl/>
        </w:rPr>
        <w:t>ت</w:t>
      </w:r>
      <w:r w:rsidR="00B276C1" w:rsidRPr="008D56DE">
        <w:rPr>
          <w:rFonts w:ascii="Traditional Arabic" w:hAnsi="Traditional Arabic"/>
          <w:rtl/>
        </w:rPr>
        <w:t xml:space="preserve"> بعلامات الترقيم</w:t>
      </w:r>
      <w:r w:rsidR="00B76414">
        <w:rPr>
          <w:rFonts w:ascii="Traditional Arabic" w:hAnsi="Traditional Arabic"/>
          <w:rtl/>
        </w:rPr>
        <w:t>،</w:t>
      </w:r>
      <w:r w:rsidR="00B276C1" w:rsidRPr="008D56DE">
        <w:rPr>
          <w:rFonts w:ascii="Traditional Arabic" w:hAnsi="Traditional Arabic"/>
          <w:rtl/>
        </w:rPr>
        <w:t xml:space="preserve"> و</w:t>
      </w:r>
      <w:r>
        <w:rPr>
          <w:rFonts w:ascii="Traditional Arabic" w:hAnsi="Traditional Arabic" w:hint="cs"/>
          <w:rtl/>
        </w:rPr>
        <w:t>قمت ب</w:t>
      </w:r>
      <w:r w:rsidR="00B276C1" w:rsidRPr="008D56DE">
        <w:rPr>
          <w:rFonts w:ascii="Traditional Arabic" w:hAnsi="Traditional Arabic"/>
          <w:rtl/>
        </w:rPr>
        <w:t>ضبط ما يحتاج إلى ضبط</w:t>
      </w:r>
      <w:r w:rsidR="00B76414">
        <w:rPr>
          <w:rFonts w:ascii="Traditional Arabic" w:hAnsi="Traditional Arabic"/>
          <w:rtl/>
        </w:rPr>
        <w:t>.</w:t>
      </w:r>
    </w:p>
    <w:p w:rsidR="00B276C1" w:rsidRPr="008D56DE" w:rsidRDefault="00B276C1" w:rsidP="00597C20">
      <w:pPr>
        <w:pStyle w:val="afc"/>
        <w:numPr>
          <w:ilvl w:val="0"/>
          <w:numId w:val="15"/>
        </w:numPr>
        <w:spacing w:after="200" w:line="0" w:lineRule="atLeast"/>
        <w:ind w:left="849" w:hanging="567"/>
        <w:rPr>
          <w:rFonts w:ascii="Traditional Arabic" w:hAnsi="Traditional Arabic"/>
        </w:rPr>
      </w:pPr>
      <w:r w:rsidRPr="008D56DE">
        <w:rPr>
          <w:rFonts w:ascii="Traditional Arabic" w:hAnsi="Traditional Arabic"/>
          <w:rtl/>
        </w:rPr>
        <w:lastRenderedPageBreak/>
        <w:t>وضع</w:t>
      </w:r>
      <w:r w:rsidR="00E30CBD">
        <w:rPr>
          <w:rFonts w:ascii="Traditional Arabic" w:hAnsi="Traditional Arabic" w:hint="cs"/>
          <w:rtl/>
        </w:rPr>
        <w:t>ت</w:t>
      </w:r>
      <w:r w:rsidRPr="008D56DE">
        <w:rPr>
          <w:rFonts w:ascii="Traditional Arabic" w:hAnsi="Traditional Arabic"/>
          <w:rtl/>
        </w:rPr>
        <w:t xml:space="preserve"> فهارس علمية تخدم البحث وتسه</w:t>
      </w:r>
      <w:r w:rsidR="00D16E48">
        <w:rPr>
          <w:rFonts w:ascii="Traditional Arabic" w:hAnsi="Traditional Arabic" w:hint="cs"/>
          <w:rtl/>
        </w:rPr>
        <w:t>ِّ</w:t>
      </w:r>
      <w:r w:rsidRPr="008D56DE">
        <w:rPr>
          <w:rFonts w:ascii="Traditional Arabic" w:hAnsi="Traditional Arabic"/>
          <w:rtl/>
        </w:rPr>
        <w:t>ل على القارئ الوقوف على موضوعاته وذلك على النحو المبيَّن في الخطة.</w:t>
      </w:r>
    </w:p>
    <w:p w:rsidR="001673B4" w:rsidRPr="001673B4" w:rsidRDefault="001673B4" w:rsidP="00597C20">
      <w:pPr>
        <w:rPr>
          <w:rtl/>
        </w:rPr>
      </w:pPr>
    </w:p>
    <w:p w:rsidR="00EE4769" w:rsidRDefault="00EE4769" w:rsidP="00597C20">
      <w:pPr>
        <w:spacing w:line="640" w:lineRule="exact"/>
        <w:ind w:firstLine="0"/>
        <w:rPr>
          <w:rFonts w:ascii="Traditional Arabic" w:hAnsi="Traditional Arabic"/>
          <w:b/>
          <w:bCs/>
          <w:rtl/>
        </w:rPr>
        <w:sectPr w:rsidR="00EE4769" w:rsidSect="004F64E0">
          <w:footerReference w:type="default" r:id="rId12"/>
          <w:footerReference w:type="first" r:id="rId13"/>
          <w:footnotePr>
            <w:numRestart w:val="eachPage"/>
          </w:footnotePr>
          <w:pgSz w:w="11906" w:h="16838" w:code="9"/>
          <w:pgMar w:top="1418" w:right="1134" w:bottom="1418" w:left="1418" w:header="567" w:footer="737" w:gutter="567"/>
          <w:pgBorders w:display="firstPage">
            <w:top w:val="woodwork" w:sz="14" w:space="1" w:color="000000" w:themeColor="text1"/>
            <w:left w:val="woodwork" w:sz="14" w:space="4" w:color="000000" w:themeColor="text1"/>
            <w:bottom w:val="woodwork" w:sz="14" w:space="1" w:color="000000" w:themeColor="text1"/>
            <w:right w:val="woodwork" w:sz="14" w:space="4" w:color="000000" w:themeColor="text1"/>
          </w:pgBorders>
          <w:cols w:space="708"/>
          <w:titlePg/>
          <w:bidi/>
          <w:rtlGutter/>
          <w:docGrid w:linePitch="490"/>
        </w:sectPr>
      </w:pPr>
    </w:p>
    <w:p w:rsidR="004F64E0" w:rsidRPr="00C52BD8" w:rsidRDefault="004F64E0" w:rsidP="00597C20">
      <w:pPr>
        <w:spacing w:after="2040"/>
        <w:rPr>
          <w:sz w:val="72"/>
          <w:szCs w:val="72"/>
          <w:rtl/>
        </w:rPr>
      </w:pPr>
    </w:p>
    <w:p w:rsidR="00143D77" w:rsidRPr="001B56A8" w:rsidRDefault="00143D77" w:rsidP="00597C20">
      <w:pPr>
        <w:pStyle w:val="aff1"/>
        <w:rPr>
          <w:rtl/>
        </w:rPr>
      </w:pPr>
      <w:bookmarkStart w:id="8" w:name="_Toc334046272"/>
      <w:r w:rsidRPr="001B56A8">
        <w:rPr>
          <w:rtl/>
        </w:rPr>
        <w:t>التمهيد:التعريف بم</w:t>
      </w:r>
      <w:r w:rsidRPr="001B56A8">
        <w:rPr>
          <w:rFonts w:hint="cs"/>
          <w:rtl/>
        </w:rPr>
        <w:t>فردات عنوان الرسالة</w:t>
      </w:r>
      <w:bookmarkEnd w:id="8"/>
    </w:p>
    <w:p w:rsidR="006F08E1" w:rsidRPr="00FD5687" w:rsidRDefault="006F08E1" w:rsidP="00597C20">
      <w:pPr>
        <w:spacing w:after="360" w:line="860" w:lineRule="exact"/>
        <w:ind w:right="851" w:firstLine="142"/>
        <w:rPr>
          <w:rFonts w:ascii="Traditional Arabic" w:hAnsi="Traditional Arabic"/>
          <w:b/>
          <w:bCs/>
          <w:u w:val="single"/>
          <w:rtl/>
        </w:rPr>
      </w:pPr>
      <w:r w:rsidRPr="00FD5687">
        <w:rPr>
          <w:rFonts w:ascii="Traditional Arabic" w:hAnsi="Traditional Arabic"/>
          <w:b/>
          <w:bCs/>
          <w:u w:val="single"/>
          <w:rtl/>
        </w:rPr>
        <w:t>وفيه المباحث التالية :</w:t>
      </w:r>
    </w:p>
    <w:p w:rsidR="006F08E1" w:rsidRPr="00031790" w:rsidRDefault="006F08E1" w:rsidP="00597C20">
      <w:pPr>
        <w:tabs>
          <w:tab w:val="left" w:pos="2833"/>
        </w:tabs>
        <w:ind w:left="2833" w:hanging="2268"/>
        <w:jc w:val="left"/>
        <w:rPr>
          <w:rtl/>
        </w:rPr>
      </w:pPr>
      <w:r w:rsidRPr="00FD5687">
        <w:rPr>
          <w:b/>
          <w:bCs/>
          <w:rtl/>
        </w:rPr>
        <w:t>المبحث الأول:</w:t>
      </w:r>
      <w:r w:rsidR="000712B0">
        <w:rPr>
          <w:rFonts w:hint="cs"/>
          <w:rtl/>
        </w:rPr>
        <w:tab/>
      </w:r>
      <w:r w:rsidRPr="00031790">
        <w:rPr>
          <w:rtl/>
        </w:rPr>
        <w:t>ترجمة الشيخ ابن عثيمين.</w:t>
      </w:r>
    </w:p>
    <w:p w:rsidR="006F08E1" w:rsidRPr="00FD5687" w:rsidRDefault="006F08E1" w:rsidP="00597C20">
      <w:pPr>
        <w:tabs>
          <w:tab w:val="left" w:pos="2833"/>
        </w:tabs>
        <w:ind w:left="2833" w:hanging="2268"/>
        <w:jc w:val="left"/>
        <w:rPr>
          <w:rtl/>
        </w:rPr>
      </w:pPr>
      <w:r w:rsidRPr="00FD5687">
        <w:rPr>
          <w:b/>
          <w:bCs/>
          <w:rtl/>
        </w:rPr>
        <w:t>المبحث الثاني:</w:t>
      </w:r>
      <w:r w:rsidR="00031790" w:rsidRPr="00FD5687">
        <w:rPr>
          <w:rFonts w:hint="cs"/>
          <w:rtl/>
        </w:rPr>
        <w:tab/>
      </w:r>
      <w:r w:rsidRPr="00FD5687">
        <w:rPr>
          <w:rtl/>
        </w:rPr>
        <w:t>التعريف بكتاب</w:t>
      </w:r>
      <w:r w:rsidRPr="00FD5687">
        <w:rPr>
          <w:rFonts w:hint="cs"/>
          <w:rtl/>
        </w:rPr>
        <w:t>:</w:t>
      </w:r>
      <w:r w:rsidRPr="00FD5687">
        <w:rPr>
          <w:rtl/>
        </w:rPr>
        <w:t>"الشرح الممتع</w:t>
      </w:r>
      <w:r w:rsidRPr="00FD5687">
        <w:rPr>
          <w:rFonts w:hint="cs"/>
          <w:rtl/>
        </w:rPr>
        <w:t>" ومنهج الشيخ في الكتاب</w:t>
      </w:r>
      <w:r w:rsidRPr="00FD5687">
        <w:rPr>
          <w:rtl/>
        </w:rPr>
        <w:t>.</w:t>
      </w:r>
    </w:p>
    <w:p w:rsidR="006F08E1" w:rsidRPr="00031790" w:rsidRDefault="006F08E1" w:rsidP="00597C20">
      <w:pPr>
        <w:tabs>
          <w:tab w:val="left" w:pos="2833"/>
        </w:tabs>
        <w:ind w:left="2833" w:hanging="2268"/>
        <w:jc w:val="left"/>
        <w:rPr>
          <w:rtl/>
        </w:rPr>
      </w:pPr>
      <w:r w:rsidRPr="00FD5687">
        <w:rPr>
          <w:b/>
          <w:bCs/>
          <w:rtl/>
        </w:rPr>
        <w:t>المبحث الثالث:</w:t>
      </w:r>
      <w:r w:rsidRPr="00031790">
        <w:rPr>
          <w:rtl/>
        </w:rPr>
        <w:tab/>
        <w:t>تعريف القاعدة الفقهية والضابط الفقهي والفرق بينهما.</w:t>
      </w:r>
    </w:p>
    <w:p w:rsidR="006F08E1" w:rsidRPr="00031790" w:rsidRDefault="006F08E1" w:rsidP="00597C20">
      <w:pPr>
        <w:tabs>
          <w:tab w:val="left" w:pos="2833"/>
        </w:tabs>
        <w:ind w:left="2833" w:hanging="2268"/>
        <w:jc w:val="left"/>
        <w:rPr>
          <w:rtl/>
        </w:rPr>
      </w:pPr>
      <w:r w:rsidRPr="00FD5687">
        <w:rPr>
          <w:b/>
          <w:bCs/>
          <w:rtl/>
        </w:rPr>
        <w:t>المبحث الرابع:</w:t>
      </w:r>
      <w:r w:rsidR="00031790">
        <w:rPr>
          <w:rFonts w:hint="cs"/>
          <w:rtl/>
        </w:rPr>
        <w:tab/>
      </w:r>
      <w:r w:rsidR="009A0A20">
        <w:rPr>
          <w:rFonts w:hint="cs"/>
          <w:rtl/>
        </w:rPr>
        <w:t>مصادر القاعدة عند الشيخ ابن عثيمين</w:t>
      </w:r>
      <w:r w:rsidRPr="00031790">
        <w:rPr>
          <w:rtl/>
        </w:rPr>
        <w:t>.</w:t>
      </w:r>
    </w:p>
    <w:p w:rsidR="006F08E1" w:rsidRPr="00031790" w:rsidRDefault="006F08E1" w:rsidP="00597C20">
      <w:pPr>
        <w:tabs>
          <w:tab w:val="left" w:pos="2833"/>
        </w:tabs>
        <w:ind w:left="2833" w:hanging="2268"/>
        <w:jc w:val="left"/>
        <w:rPr>
          <w:rtl/>
        </w:rPr>
      </w:pPr>
      <w:r w:rsidRPr="00FD5687">
        <w:rPr>
          <w:b/>
          <w:bCs/>
          <w:rtl/>
        </w:rPr>
        <w:t>المبحث الخامس:</w:t>
      </w:r>
      <w:r w:rsidR="000712B0">
        <w:rPr>
          <w:rFonts w:hint="cs"/>
          <w:rtl/>
        </w:rPr>
        <w:tab/>
      </w:r>
      <w:r w:rsidRPr="00031790">
        <w:rPr>
          <w:rtl/>
        </w:rPr>
        <w:t>سمات القاعدة والضابط عند الشيخ ابن عثيمين</w:t>
      </w:r>
      <w:r w:rsidR="00B76414" w:rsidRPr="00031790">
        <w:rPr>
          <w:rtl/>
        </w:rPr>
        <w:t>.</w:t>
      </w:r>
    </w:p>
    <w:p w:rsidR="00346635" w:rsidRPr="00813FCE" w:rsidRDefault="00346635" w:rsidP="00597C20">
      <w:pPr>
        <w:pStyle w:val="aff0"/>
      </w:pPr>
      <w:bookmarkStart w:id="9" w:name="_Toc334046273"/>
      <w:r w:rsidRPr="00813FCE">
        <w:rPr>
          <w:rtl/>
        </w:rPr>
        <w:lastRenderedPageBreak/>
        <w:t>المبحث الأول</w:t>
      </w:r>
      <w:r w:rsidRPr="00813FCE">
        <w:rPr>
          <w:rFonts w:hint="cs"/>
          <w:rtl/>
        </w:rPr>
        <w:t> :</w:t>
      </w:r>
      <w:r w:rsidRPr="00813FCE">
        <w:rPr>
          <w:rtl/>
        </w:rPr>
        <w:t>ترجمة الشيخ ابن عثيمين</w:t>
      </w:r>
      <w:bookmarkEnd w:id="9"/>
    </w:p>
    <w:p w:rsidR="006F08E1" w:rsidRPr="002D7A92" w:rsidRDefault="006F08E1" w:rsidP="00597C20">
      <w:pPr>
        <w:spacing w:after="360" w:line="860" w:lineRule="exact"/>
        <w:ind w:right="851" w:firstLine="142"/>
        <w:rPr>
          <w:rFonts w:ascii="Traditional Arabic" w:hAnsi="Traditional Arabic"/>
          <w:b/>
          <w:bCs/>
          <w:u w:val="single"/>
          <w:rtl/>
        </w:rPr>
      </w:pPr>
      <w:r w:rsidRPr="002D7A92">
        <w:rPr>
          <w:rFonts w:ascii="Traditional Arabic" w:hAnsi="Traditional Arabic"/>
          <w:b/>
          <w:bCs/>
          <w:u w:val="single"/>
          <w:rtl/>
        </w:rPr>
        <w:t>وفيه المطالب التالية :</w:t>
      </w:r>
    </w:p>
    <w:p w:rsidR="006F08E1" w:rsidRPr="00031790" w:rsidRDefault="006F08E1" w:rsidP="00597C20">
      <w:pPr>
        <w:tabs>
          <w:tab w:val="left" w:pos="2833"/>
        </w:tabs>
        <w:ind w:left="2833" w:hanging="2268"/>
        <w:jc w:val="left"/>
        <w:rPr>
          <w:rtl/>
        </w:rPr>
      </w:pPr>
      <w:r w:rsidRPr="00FD5687">
        <w:rPr>
          <w:b/>
          <w:bCs/>
          <w:rtl/>
        </w:rPr>
        <w:t>المطلب الأول:</w:t>
      </w:r>
      <w:r w:rsidR="002769A5">
        <w:rPr>
          <w:rFonts w:hint="cs"/>
          <w:rtl/>
        </w:rPr>
        <w:tab/>
      </w:r>
      <w:r w:rsidRPr="00031790">
        <w:rPr>
          <w:rtl/>
        </w:rPr>
        <w:t>اسمه ونسبه ولقبه.</w:t>
      </w:r>
    </w:p>
    <w:p w:rsidR="006F08E1" w:rsidRPr="00031790" w:rsidRDefault="006F08E1" w:rsidP="00597C20">
      <w:pPr>
        <w:tabs>
          <w:tab w:val="left" w:pos="2833"/>
        </w:tabs>
        <w:ind w:left="2833" w:hanging="2268"/>
        <w:jc w:val="left"/>
        <w:rPr>
          <w:rtl/>
        </w:rPr>
      </w:pPr>
      <w:r w:rsidRPr="00FD5687">
        <w:rPr>
          <w:b/>
          <w:bCs/>
          <w:rtl/>
        </w:rPr>
        <w:t>المطلب الثاني:</w:t>
      </w:r>
      <w:r w:rsidR="002769A5">
        <w:rPr>
          <w:rFonts w:hint="cs"/>
          <w:rtl/>
        </w:rPr>
        <w:tab/>
      </w:r>
      <w:r w:rsidRPr="00031790">
        <w:rPr>
          <w:rtl/>
        </w:rPr>
        <w:t>ولادته ونشأته ووفاته.</w:t>
      </w:r>
    </w:p>
    <w:p w:rsidR="006F08E1" w:rsidRPr="00031790" w:rsidRDefault="006F08E1" w:rsidP="00597C20">
      <w:pPr>
        <w:tabs>
          <w:tab w:val="left" w:pos="2833"/>
        </w:tabs>
        <w:ind w:left="2833" w:hanging="2268"/>
        <w:jc w:val="left"/>
        <w:rPr>
          <w:rtl/>
        </w:rPr>
      </w:pPr>
      <w:r w:rsidRPr="00FD5687">
        <w:rPr>
          <w:b/>
          <w:bCs/>
          <w:rtl/>
        </w:rPr>
        <w:t>المطلب الثالث:</w:t>
      </w:r>
      <w:r w:rsidR="002769A5">
        <w:rPr>
          <w:rFonts w:hint="cs"/>
          <w:rtl/>
        </w:rPr>
        <w:tab/>
      </w:r>
      <w:r w:rsidRPr="00031790">
        <w:rPr>
          <w:rtl/>
        </w:rPr>
        <w:t>شيوخه وتلاميذه.</w:t>
      </w:r>
    </w:p>
    <w:p w:rsidR="006F08E1" w:rsidRPr="00031790" w:rsidRDefault="006F08E1" w:rsidP="00597C20">
      <w:pPr>
        <w:tabs>
          <w:tab w:val="left" w:pos="2833"/>
        </w:tabs>
        <w:ind w:left="2833" w:hanging="2268"/>
        <w:jc w:val="left"/>
        <w:rPr>
          <w:rtl/>
        </w:rPr>
      </w:pPr>
      <w:r w:rsidRPr="00FD5687">
        <w:rPr>
          <w:b/>
          <w:bCs/>
          <w:rtl/>
        </w:rPr>
        <w:t>المطلب الرابع:</w:t>
      </w:r>
      <w:r w:rsidR="002769A5">
        <w:rPr>
          <w:rFonts w:hint="cs"/>
          <w:rtl/>
        </w:rPr>
        <w:tab/>
      </w:r>
      <w:r w:rsidRPr="00031790">
        <w:rPr>
          <w:rtl/>
        </w:rPr>
        <w:t>مكانته العلمية</w:t>
      </w:r>
      <w:r w:rsidR="003B5071" w:rsidRPr="00031790">
        <w:rPr>
          <w:rFonts w:hint="cs"/>
          <w:rtl/>
        </w:rPr>
        <w:t>.</w:t>
      </w:r>
    </w:p>
    <w:p w:rsidR="006F08E1" w:rsidRDefault="006F08E1" w:rsidP="00597C20">
      <w:pPr>
        <w:tabs>
          <w:tab w:val="left" w:pos="2833"/>
        </w:tabs>
        <w:ind w:left="2833" w:hanging="2268"/>
        <w:jc w:val="left"/>
        <w:rPr>
          <w:rtl/>
        </w:rPr>
      </w:pPr>
      <w:r w:rsidRPr="00FD5687">
        <w:rPr>
          <w:b/>
          <w:bCs/>
          <w:rtl/>
        </w:rPr>
        <w:t>المطلب الخامس:</w:t>
      </w:r>
      <w:r w:rsidR="002769A5">
        <w:rPr>
          <w:rFonts w:hint="cs"/>
          <w:rtl/>
        </w:rPr>
        <w:tab/>
      </w:r>
      <w:r w:rsidR="000634F2">
        <w:rPr>
          <w:rFonts w:hint="cs"/>
          <w:rtl/>
        </w:rPr>
        <w:t>آثار</w:t>
      </w:r>
      <w:r w:rsidRPr="00031790">
        <w:rPr>
          <w:rtl/>
        </w:rPr>
        <w:t>ه</w:t>
      </w:r>
      <w:r w:rsidR="000634F2">
        <w:rPr>
          <w:rFonts w:hint="cs"/>
          <w:rtl/>
        </w:rPr>
        <w:t xml:space="preserve"> العلمية</w:t>
      </w:r>
      <w:r w:rsidRPr="00031790">
        <w:rPr>
          <w:rtl/>
        </w:rPr>
        <w:t>.</w:t>
      </w:r>
    </w:p>
    <w:p w:rsidR="002769A5" w:rsidRDefault="002769A5" w:rsidP="00597C20">
      <w:pPr>
        <w:widowControl/>
        <w:ind w:firstLine="0"/>
        <w:jc w:val="left"/>
        <w:rPr>
          <w:rtl/>
        </w:rPr>
      </w:pPr>
      <w:r>
        <w:rPr>
          <w:rtl/>
        </w:rPr>
        <w:br w:type="page"/>
      </w:r>
    </w:p>
    <w:p w:rsidR="006F08E1" w:rsidRPr="004D7A3E" w:rsidRDefault="002B0222" w:rsidP="00A8347C">
      <w:pPr>
        <w:pStyle w:val="aff3"/>
        <w:rPr>
          <w:rtl/>
        </w:rPr>
      </w:pPr>
      <w:bookmarkStart w:id="10" w:name="_Toc334046274"/>
      <w:r>
        <w:rPr>
          <w:rFonts w:hint="cs"/>
          <w:rtl/>
        </w:rPr>
        <w:lastRenderedPageBreak/>
        <w:t xml:space="preserve">                                        </w:t>
      </w:r>
      <w:r w:rsidR="006F08E1" w:rsidRPr="00BC1CFB">
        <w:rPr>
          <w:rtl/>
        </w:rPr>
        <w:t>المطلب الأول</w:t>
      </w:r>
      <w:r w:rsidR="00346635">
        <w:rPr>
          <w:rFonts w:hint="cs"/>
          <w:rtl/>
        </w:rPr>
        <w:t> :</w:t>
      </w:r>
      <w:r w:rsidR="00346635">
        <w:rPr>
          <w:rFonts w:hint="cs"/>
          <w:rtl/>
        </w:rPr>
        <w:br/>
      </w:r>
      <w:r>
        <w:rPr>
          <w:rFonts w:hint="cs"/>
          <w:rtl/>
        </w:rPr>
        <w:t xml:space="preserve">                                      </w:t>
      </w:r>
      <w:r w:rsidR="006F08E1" w:rsidRPr="00BC1CFB">
        <w:rPr>
          <w:rtl/>
        </w:rPr>
        <w:t>اسمه ونسبه ولقبه</w:t>
      </w:r>
      <w:bookmarkEnd w:id="10"/>
    </w:p>
    <w:p w:rsidR="006F08E1" w:rsidRDefault="006F08E1" w:rsidP="00340095">
      <w:pPr>
        <w:spacing w:line="640" w:lineRule="exact"/>
        <w:rPr>
          <w:rFonts w:ascii="Traditional Arabic" w:hAnsi="Traditional Arabic"/>
          <w:b/>
          <w:bCs/>
          <w:rtl/>
        </w:rPr>
      </w:pPr>
      <w:r w:rsidRPr="004D7A3E">
        <w:rPr>
          <w:rFonts w:ascii="Traditional Arabic" w:hAnsi="Traditional Arabic"/>
          <w:rtl/>
        </w:rPr>
        <w:t xml:space="preserve">هو </w:t>
      </w:r>
      <w:r w:rsidR="00340095">
        <w:rPr>
          <w:rFonts w:ascii="Traditional Arabic" w:hAnsi="Traditional Arabic" w:hint="cs"/>
          <w:rtl/>
        </w:rPr>
        <w:t xml:space="preserve">الشيخ </w:t>
      </w:r>
      <w:r w:rsidRPr="004D7A3E">
        <w:rPr>
          <w:rFonts w:ascii="Traditional Arabic" w:hAnsi="Traditional Arabic"/>
          <w:rtl/>
        </w:rPr>
        <w:t>أبو عبدالله محمد بن صالح بن سليمان بن عبد</w:t>
      </w:r>
      <w:r w:rsidR="003D32C1">
        <w:rPr>
          <w:rFonts w:ascii="Traditional Arabic" w:hAnsi="Traditional Arabic" w:hint="cs"/>
          <w:rtl/>
        </w:rPr>
        <w:t xml:space="preserve"> </w:t>
      </w:r>
      <w:r w:rsidRPr="004D7A3E">
        <w:rPr>
          <w:rFonts w:ascii="Traditional Arabic" w:hAnsi="Traditional Arabic"/>
          <w:rtl/>
        </w:rPr>
        <w:t>الرحمن بن عثمان بن عبدالله بن عبد</w:t>
      </w:r>
      <w:r w:rsidR="003D32C1">
        <w:rPr>
          <w:rFonts w:ascii="Traditional Arabic" w:hAnsi="Traditional Arabic" w:hint="cs"/>
          <w:rtl/>
        </w:rPr>
        <w:t xml:space="preserve"> </w:t>
      </w:r>
      <w:r w:rsidRPr="004D7A3E">
        <w:rPr>
          <w:rFonts w:ascii="Traditional Arabic" w:hAnsi="Traditional Arabic"/>
          <w:rtl/>
        </w:rPr>
        <w:t>الرحمن بن أحمد بن مقبل</w:t>
      </w:r>
      <w:r w:rsidR="00B76414">
        <w:rPr>
          <w:rFonts w:ascii="Traditional Arabic" w:hAnsi="Traditional Arabic"/>
          <w:rtl/>
        </w:rPr>
        <w:t>،</w:t>
      </w:r>
      <w:r w:rsidRPr="004D7A3E">
        <w:rPr>
          <w:rFonts w:ascii="Traditional Arabic" w:hAnsi="Traditional Arabic"/>
          <w:rtl/>
        </w:rPr>
        <w:t xml:space="preserve"> من آل مقبل</w:t>
      </w:r>
      <w:r w:rsidR="00B76414">
        <w:rPr>
          <w:rFonts w:ascii="Traditional Arabic" w:hAnsi="Traditional Arabic"/>
          <w:rtl/>
        </w:rPr>
        <w:t>،</w:t>
      </w:r>
      <w:r w:rsidRPr="004D7A3E">
        <w:rPr>
          <w:rFonts w:ascii="Traditional Arabic" w:hAnsi="Traditional Arabic"/>
          <w:rtl/>
        </w:rPr>
        <w:t xml:space="preserve"> من آل رَيِّس الوهيبي التميمي</w:t>
      </w:r>
      <w:r w:rsidR="000B30CC">
        <w:rPr>
          <w:rFonts w:ascii="Traditional Arabic" w:hAnsi="Traditional Arabic" w:hint="cs"/>
          <w:rtl/>
        </w:rPr>
        <w:t xml:space="preserve">، وجدُّه الرابع عثمان </w:t>
      </w:r>
      <w:r w:rsidR="005F6AF9">
        <w:rPr>
          <w:rFonts w:ascii="Traditional Arabic" w:hAnsi="Traditional Arabic" w:hint="cs"/>
          <w:rtl/>
        </w:rPr>
        <w:t>أُطلق عليه: عثيمين؛ فاشتهر به، وهو من فخذ_وهبه_من تميم، نزح أجداده من الوشم إلى عنيزة</w:t>
      </w:r>
      <w:r w:rsidRPr="00C821A1">
        <w:rPr>
          <w:rStyle w:val="af1"/>
          <w:szCs w:val="32"/>
          <w:rtl/>
        </w:rPr>
        <w:t>(</w:t>
      </w:r>
      <w:r w:rsidRPr="00C821A1">
        <w:rPr>
          <w:rStyle w:val="af1"/>
          <w:szCs w:val="32"/>
          <w:rtl/>
        </w:rPr>
        <w:footnoteReference w:id="7"/>
      </w:r>
      <w:r w:rsidRPr="00C821A1">
        <w:rPr>
          <w:rStyle w:val="af1"/>
          <w:szCs w:val="32"/>
          <w:rtl/>
        </w:rPr>
        <w:t>)</w:t>
      </w:r>
      <w:r w:rsidRPr="004D7A3E">
        <w:rPr>
          <w:rFonts w:ascii="Traditional Arabic" w:hAnsi="Traditional Arabic"/>
          <w:rtl/>
        </w:rPr>
        <w:t>.</w:t>
      </w:r>
    </w:p>
    <w:p w:rsidR="00065E4B" w:rsidRDefault="002B0222" w:rsidP="00A8347C">
      <w:pPr>
        <w:pStyle w:val="aff3"/>
        <w:rPr>
          <w:rtl/>
        </w:rPr>
      </w:pPr>
      <w:bookmarkStart w:id="11" w:name="_Toc334046275"/>
      <w:r>
        <w:rPr>
          <w:rFonts w:hint="cs"/>
          <w:rtl/>
        </w:rPr>
        <w:t xml:space="preserve">                                        </w:t>
      </w:r>
      <w:r w:rsidR="006F08E1">
        <w:rPr>
          <w:rFonts w:hint="cs"/>
          <w:rtl/>
        </w:rPr>
        <w:t>المطلب الثاني</w:t>
      </w:r>
      <w:r w:rsidR="00346635">
        <w:rPr>
          <w:rFonts w:hint="eastAsia"/>
          <w:rtl/>
        </w:rPr>
        <w:t xml:space="preserve"> : </w:t>
      </w:r>
      <w:r w:rsidR="00346635">
        <w:rPr>
          <w:rFonts w:hint="cs"/>
          <w:rtl/>
        </w:rPr>
        <w:br/>
      </w:r>
      <w:r>
        <w:rPr>
          <w:rFonts w:hint="cs"/>
          <w:rtl/>
        </w:rPr>
        <w:t xml:space="preserve">                                    </w:t>
      </w:r>
      <w:r w:rsidR="003D32C1">
        <w:rPr>
          <w:rFonts w:hint="cs"/>
          <w:rtl/>
        </w:rPr>
        <w:t>ولادته</w:t>
      </w:r>
      <w:r w:rsidR="006F08E1">
        <w:rPr>
          <w:rFonts w:hint="cs"/>
          <w:rtl/>
        </w:rPr>
        <w:t xml:space="preserve"> </w:t>
      </w:r>
      <w:r w:rsidR="003D32C1">
        <w:rPr>
          <w:rFonts w:hint="cs"/>
          <w:rtl/>
        </w:rPr>
        <w:t xml:space="preserve">ونشأته </w:t>
      </w:r>
      <w:r w:rsidR="006F08E1">
        <w:rPr>
          <w:rFonts w:hint="cs"/>
          <w:rtl/>
        </w:rPr>
        <w:t>ووفاته</w:t>
      </w:r>
      <w:bookmarkEnd w:id="11"/>
    </w:p>
    <w:p w:rsidR="006F08E1" w:rsidRPr="0019018A" w:rsidRDefault="006F08E1" w:rsidP="00597C20">
      <w:pPr>
        <w:spacing w:line="640" w:lineRule="exact"/>
        <w:rPr>
          <w:rFonts w:ascii="Traditional Arabic" w:hAnsi="Traditional Arabic"/>
          <w:rtl/>
        </w:rPr>
      </w:pPr>
      <w:r w:rsidRPr="0019018A">
        <w:rPr>
          <w:rFonts w:ascii="Traditional Arabic" w:hAnsi="Traditional Arabic"/>
          <w:rtl/>
        </w:rPr>
        <w:t xml:space="preserve">ولد الشيخ ابن عثيمين – </w:t>
      </w:r>
      <w:r w:rsidR="009A0575" w:rsidRPr="005D5694">
        <w:rPr>
          <w:rFonts w:ascii="Traditional Arabic" w:hAnsi="Traditional Arabic" w:cs="CTraditional Arabic" w:hint="cs"/>
          <w:rtl/>
        </w:rPr>
        <w:t>/</w:t>
      </w:r>
      <w:r w:rsidR="005F6AF9">
        <w:rPr>
          <w:rFonts w:ascii="Traditional Arabic" w:hAnsi="Traditional Arabic"/>
          <w:rtl/>
        </w:rPr>
        <w:t xml:space="preserve"> – في</w:t>
      </w:r>
      <w:r w:rsidRPr="0019018A">
        <w:rPr>
          <w:rFonts w:ascii="Traditional Arabic" w:hAnsi="Traditional Arabic"/>
          <w:rtl/>
        </w:rPr>
        <w:t xml:space="preserve"> ليلة السابع والعشرين من شهر رمضان المبارك</w:t>
      </w:r>
      <w:r w:rsidR="00B76414">
        <w:rPr>
          <w:rFonts w:ascii="Traditional Arabic" w:hAnsi="Traditional Arabic"/>
          <w:rtl/>
        </w:rPr>
        <w:t>،</w:t>
      </w:r>
      <w:r w:rsidRPr="0019018A">
        <w:rPr>
          <w:rFonts w:ascii="Traditional Arabic" w:hAnsi="Traditional Arabic"/>
          <w:rtl/>
        </w:rPr>
        <w:t xml:space="preserve"> في مدينة عنيزة</w:t>
      </w:r>
      <w:r w:rsidR="00B76414">
        <w:rPr>
          <w:rFonts w:ascii="Traditional Arabic" w:hAnsi="Traditional Arabic"/>
          <w:rtl/>
        </w:rPr>
        <w:t>،</w:t>
      </w:r>
      <w:r w:rsidRPr="0019018A">
        <w:rPr>
          <w:rFonts w:ascii="Traditional Arabic" w:hAnsi="Traditional Arabic"/>
          <w:rtl/>
        </w:rPr>
        <w:t xml:space="preserve"> إحدى مدن القصيم بالمملكة العربية السعودية عام (1347هـ)</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8"/>
      </w:r>
      <w:r w:rsidRPr="00C821A1">
        <w:rPr>
          <w:rFonts w:ascii="Traditional Arabic" w:hAnsi="Traditional Arabic"/>
          <w:szCs w:val="32"/>
          <w:vertAlign w:val="superscript"/>
          <w:rtl/>
        </w:rPr>
        <w:t>)</w:t>
      </w:r>
      <w:r w:rsidR="00B76414">
        <w:rPr>
          <w:rFonts w:ascii="Traditional Arabic" w:hAnsi="Traditional Arabic"/>
          <w:rtl/>
        </w:rPr>
        <w:t>.</w:t>
      </w:r>
    </w:p>
    <w:p w:rsidR="000641BC" w:rsidRDefault="006F08E1" w:rsidP="000641BC">
      <w:pPr>
        <w:spacing w:line="640" w:lineRule="exact"/>
        <w:jc w:val="lowKashida"/>
        <w:rPr>
          <w:rFonts w:ascii="Traditional Arabic" w:hAnsi="Traditional Arabic"/>
          <w:rtl/>
        </w:rPr>
      </w:pPr>
      <w:r w:rsidRPr="0019018A">
        <w:rPr>
          <w:rFonts w:ascii="Traditional Arabic" w:hAnsi="Traditional Arabic"/>
          <w:rtl/>
        </w:rPr>
        <w:t xml:space="preserve">نشأ الشيخ ابن عثيمين </w:t>
      </w:r>
      <w:r w:rsidR="005F6AF9">
        <w:rPr>
          <w:rFonts w:ascii="Traditional Arabic" w:hAnsi="Traditional Arabic" w:hint="cs"/>
          <w:rtl/>
        </w:rPr>
        <w:t>_</w:t>
      </w:r>
      <w:r w:rsidR="009A0575" w:rsidRPr="005D5694">
        <w:rPr>
          <w:rFonts w:ascii="Traditional Arabic" w:hAnsi="Traditional Arabic" w:cs="CTraditional Arabic" w:hint="cs"/>
          <w:rtl/>
        </w:rPr>
        <w:t>/</w:t>
      </w:r>
      <w:r w:rsidR="005F6AF9">
        <w:rPr>
          <w:rFonts w:ascii="Traditional Arabic" w:hAnsi="Traditional Arabic" w:hint="cs"/>
          <w:rtl/>
        </w:rPr>
        <w:t>_</w:t>
      </w:r>
      <w:r w:rsidRPr="0019018A">
        <w:rPr>
          <w:rFonts w:ascii="Traditional Arabic" w:hAnsi="Traditional Arabic"/>
          <w:rtl/>
        </w:rPr>
        <w:t xml:space="preserve"> </w:t>
      </w:r>
      <w:r w:rsidR="000641BC">
        <w:rPr>
          <w:rFonts w:ascii="Traditional Arabic" w:hAnsi="Traditional Arabic" w:hint="cs"/>
          <w:rtl/>
        </w:rPr>
        <w:t>في عائلة معروفة بالدين والاستقامة</w:t>
      </w:r>
      <w:r w:rsidR="00B76414">
        <w:rPr>
          <w:rFonts w:ascii="Traditional Arabic" w:hAnsi="Traditional Arabic"/>
          <w:rtl/>
        </w:rPr>
        <w:t>،</w:t>
      </w:r>
      <w:r w:rsidRPr="0019018A">
        <w:rPr>
          <w:rFonts w:ascii="Traditional Arabic" w:hAnsi="Traditional Arabic"/>
          <w:rtl/>
        </w:rPr>
        <w:t xml:space="preserve"> </w:t>
      </w:r>
      <w:r w:rsidR="000641BC">
        <w:rPr>
          <w:rFonts w:ascii="Traditional Arabic" w:hAnsi="Traditional Arabic" w:hint="cs"/>
          <w:rtl/>
        </w:rPr>
        <w:t>وكان قد رُزق ذكاءً وزكاءً، وهمة عا</w:t>
      </w:r>
      <w:r w:rsidR="00D16E48">
        <w:rPr>
          <w:rFonts w:ascii="Traditional Arabic" w:hAnsi="Traditional Arabic" w:hint="cs"/>
          <w:rtl/>
        </w:rPr>
        <w:t>لية في تحصيل العلم ومزاحمة رُكَب</w:t>
      </w:r>
      <w:r w:rsidR="000641BC">
        <w:rPr>
          <w:rFonts w:ascii="Traditional Arabic" w:hAnsi="Traditional Arabic" w:hint="cs"/>
          <w:rtl/>
        </w:rPr>
        <w:t xml:space="preserve"> العلما</w:t>
      </w:r>
      <w:r w:rsidR="00D16E48">
        <w:rPr>
          <w:rFonts w:ascii="Traditional Arabic" w:hAnsi="Traditional Arabic" w:hint="cs"/>
          <w:rtl/>
        </w:rPr>
        <w:t>ء</w:t>
      </w:r>
      <w:r w:rsidR="000641BC">
        <w:rPr>
          <w:rFonts w:ascii="Traditional Arabic" w:hAnsi="Traditional Arabic" w:hint="cs"/>
          <w:rtl/>
        </w:rPr>
        <w:t xml:space="preserve"> في ح</w:t>
      </w:r>
      <w:r w:rsidR="00D16E48">
        <w:rPr>
          <w:rFonts w:ascii="Traditional Arabic" w:hAnsi="Traditional Arabic" w:hint="cs"/>
          <w:rtl/>
        </w:rPr>
        <w:t>ِ</w:t>
      </w:r>
      <w:r w:rsidR="000641BC">
        <w:rPr>
          <w:rFonts w:ascii="Traditional Arabic" w:hAnsi="Traditional Arabic" w:hint="cs"/>
          <w:rtl/>
        </w:rPr>
        <w:t>ل</w:t>
      </w:r>
      <w:r w:rsidR="00D16E48">
        <w:rPr>
          <w:rFonts w:ascii="Traditional Arabic" w:hAnsi="Traditional Arabic" w:hint="cs"/>
          <w:rtl/>
        </w:rPr>
        <w:t>َ</w:t>
      </w:r>
      <w:r w:rsidR="000641BC">
        <w:rPr>
          <w:rFonts w:ascii="Traditional Arabic" w:hAnsi="Traditional Arabic" w:hint="cs"/>
          <w:rtl/>
        </w:rPr>
        <w:t>ق العلم.</w:t>
      </w:r>
      <w:r w:rsidRPr="0019018A">
        <w:rPr>
          <w:rFonts w:ascii="Traditional Arabic" w:hAnsi="Traditional Arabic"/>
          <w:rtl/>
        </w:rPr>
        <w:t xml:space="preserve"> </w:t>
      </w:r>
    </w:p>
    <w:p w:rsidR="000641BC" w:rsidRDefault="006F08E1" w:rsidP="000641BC">
      <w:pPr>
        <w:spacing w:line="640" w:lineRule="exact"/>
        <w:jc w:val="lowKashida"/>
        <w:rPr>
          <w:rFonts w:ascii="Traditional Arabic" w:hAnsi="Traditional Arabic"/>
          <w:rtl/>
        </w:rPr>
      </w:pPr>
      <w:r w:rsidRPr="0019018A">
        <w:rPr>
          <w:rFonts w:ascii="Traditional Arabic" w:hAnsi="Traditional Arabic"/>
          <w:rtl/>
        </w:rPr>
        <w:t>ألحقه والده ليتعلَّم القرآن الكريم عند جده من جهـــــة أمه عبدالرحمن بن سليمان آل دامغ</w:t>
      </w:r>
      <w:r w:rsidR="005F6AF9">
        <w:rPr>
          <w:rFonts w:ascii="Traditional Arabic" w:hAnsi="Traditional Arabic" w:hint="cs"/>
          <w:rtl/>
        </w:rPr>
        <w:t>_</w:t>
      </w:r>
      <w:r w:rsidR="00AB0B9E" w:rsidRPr="00C85F0F">
        <w:rPr>
          <w:rFonts w:ascii="Traditional Arabic" w:hAnsi="Traditional Arabic"/>
          <w:rtl/>
        </w:rPr>
        <w:fldChar w:fldCharType="begin"/>
      </w:r>
      <w:r w:rsidR="004F50F0" w:rsidRPr="00C85F0F">
        <w:rPr>
          <w:rFonts w:ascii="Traditional Arabic" w:hAnsi="Traditional Arabic"/>
        </w:rPr>
        <w:instrText>XE</w:instrText>
      </w:r>
      <w:r w:rsidR="004F50F0" w:rsidRPr="00C85F0F">
        <w:rPr>
          <w:rFonts w:ascii="Traditional Arabic" w:hAnsi="Traditional Arabic"/>
          <w:rtl/>
        </w:rPr>
        <w:instrText xml:space="preserve"> "عبدالرحمن بن سليمان آل دامغ</w:instrText>
      </w:r>
      <w:r w:rsidR="004F50F0" w:rsidRPr="00C85F0F">
        <w:rPr>
          <w:rtl/>
        </w:rPr>
        <w:instrText>"\</w:instrText>
      </w:r>
      <w:r w:rsidR="004F50F0" w:rsidRPr="00C85F0F">
        <w:instrText>fa</w:instrText>
      </w:r>
      <w:r w:rsidR="004F50F0" w:rsidRPr="00C85F0F">
        <w:rPr>
          <w:rtl/>
        </w:rPr>
        <w:instrText>"</w:instrText>
      </w:r>
      <w:r w:rsidR="00AB0B9E" w:rsidRPr="00C85F0F">
        <w:rPr>
          <w:rFonts w:ascii="Traditional Arabic" w:hAnsi="Traditional Arabic"/>
          <w:rtl/>
        </w:rPr>
        <w:fldChar w:fldCharType="end"/>
      </w:r>
      <w:r w:rsidR="009A0575" w:rsidRPr="005D5694">
        <w:rPr>
          <w:rFonts w:ascii="Traditional Arabic" w:hAnsi="Traditional Arabic" w:cs="CTraditional Arabic" w:hint="cs"/>
          <w:rtl/>
        </w:rPr>
        <w:t>/</w:t>
      </w:r>
      <w:r w:rsidR="005F6AF9">
        <w:rPr>
          <w:rStyle w:val="af1"/>
          <w:rFonts w:ascii="Traditional Arabic" w:hAnsi="Traditional Arabic" w:hint="cs"/>
          <w:szCs w:val="32"/>
          <w:vertAlign w:val="baseline"/>
          <w:rtl/>
        </w:rPr>
        <w:t>_</w:t>
      </w:r>
      <w:r w:rsidRPr="00C85F0F">
        <w:rPr>
          <w:rStyle w:val="af1"/>
          <w:rFonts w:ascii="Traditional Arabic" w:hAnsi="Traditional Arabic"/>
          <w:szCs w:val="32"/>
          <w:rtl/>
        </w:rPr>
        <w:t>(</w:t>
      </w:r>
      <w:r w:rsidRPr="00C85F0F">
        <w:rPr>
          <w:rStyle w:val="af1"/>
          <w:rFonts w:ascii="Traditional Arabic" w:hAnsi="Traditional Arabic"/>
          <w:szCs w:val="32"/>
          <w:rtl/>
        </w:rPr>
        <w:footnoteReference w:id="9"/>
      </w:r>
      <w:r w:rsidRPr="00C85F0F">
        <w:rPr>
          <w:rStyle w:val="af1"/>
          <w:rFonts w:ascii="Traditional Arabic" w:hAnsi="Traditional Arabic"/>
          <w:szCs w:val="32"/>
          <w:rtl/>
        </w:rPr>
        <w:t>)</w:t>
      </w:r>
      <w:r w:rsidRPr="00C85F0F">
        <w:rPr>
          <w:rFonts w:ascii="Traditional Arabic" w:hAnsi="Traditional Arabic"/>
          <w:rtl/>
        </w:rPr>
        <w:t xml:space="preserve">، ثم تعلَّم الكتابــــة وشـــيئاً في الحساب، والنصوص الأدبية، في مدرسـة الأستاذ </w:t>
      </w:r>
      <w:r w:rsidRPr="00C85F0F">
        <w:rPr>
          <w:rFonts w:ascii="Traditional Arabic" w:hAnsi="Traditional Arabic"/>
          <w:rtl/>
        </w:rPr>
        <w:lastRenderedPageBreak/>
        <w:t>عبدالعزيز بن صالح آل دامغ</w:t>
      </w:r>
      <w:r w:rsidR="00AB0B9E" w:rsidRPr="00C85F0F">
        <w:rPr>
          <w:rFonts w:ascii="Traditional Arabic" w:hAnsi="Traditional Arabic"/>
          <w:rtl/>
        </w:rPr>
        <w:fldChar w:fldCharType="begin"/>
      </w:r>
      <w:r w:rsidR="004F50F0" w:rsidRPr="00C85F0F">
        <w:rPr>
          <w:rFonts w:ascii="Traditional Arabic" w:hAnsi="Traditional Arabic"/>
        </w:rPr>
        <w:instrText>XE</w:instrText>
      </w:r>
      <w:r w:rsidR="004F50F0" w:rsidRPr="00C85F0F">
        <w:rPr>
          <w:rFonts w:ascii="Traditional Arabic" w:hAnsi="Traditional Arabic"/>
          <w:rtl/>
        </w:rPr>
        <w:instrText xml:space="preserve"> "عبدال</w:instrText>
      </w:r>
      <w:r w:rsidR="004F50F0" w:rsidRPr="00C85F0F">
        <w:rPr>
          <w:rFonts w:ascii="Traditional Arabic" w:hAnsi="Traditional Arabic" w:hint="cs"/>
          <w:rtl/>
        </w:rPr>
        <w:instrText>عزيز</w:instrText>
      </w:r>
      <w:r w:rsidR="004F50F0" w:rsidRPr="00C85F0F">
        <w:rPr>
          <w:rFonts w:ascii="Traditional Arabic" w:hAnsi="Traditional Arabic"/>
          <w:rtl/>
        </w:rPr>
        <w:instrText xml:space="preserve"> بن </w:instrText>
      </w:r>
      <w:r w:rsidR="004F50F0" w:rsidRPr="00C85F0F">
        <w:rPr>
          <w:rFonts w:ascii="Traditional Arabic" w:hAnsi="Traditional Arabic" w:hint="cs"/>
          <w:rtl/>
        </w:rPr>
        <w:instrText>صالح</w:instrText>
      </w:r>
      <w:r w:rsidR="004F50F0" w:rsidRPr="00C85F0F">
        <w:rPr>
          <w:rFonts w:ascii="Traditional Arabic" w:hAnsi="Traditional Arabic"/>
          <w:rtl/>
        </w:rPr>
        <w:instrText xml:space="preserve"> آل دامغ</w:instrText>
      </w:r>
      <w:r w:rsidR="004F50F0" w:rsidRPr="00C85F0F">
        <w:rPr>
          <w:rtl/>
        </w:rPr>
        <w:instrText>"\</w:instrText>
      </w:r>
      <w:r w:rsidR="004F50F0" w:rsidRPr="00C85F0F">
        <w:instrText>fa</w:instrText>
      </w:r>
      <w:r w:rsidR="004F50F0" w:rsidRPr="00C85F0F">
        <w:rPr>
          <w:rtl/>
        </w:rPr>
        <w:instrText>"</w:instrText>
      </w:r>
      <w:r w:rsidR="00AB0B9E" w:rsidRPr="00C85F0F">
        <w:rPr>
          <w:rFonts w:ascii="Traditional Arabic" w:hAnsi="Traditional Arabic"/>
          <w:rtl/>
        </w:rPr>
        <w:fldChar w:fldCharType="end"/>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10"/>
      </w:r>
      <w:r w:rsidRPr="00C85F0F">
        <w:rPr>
          <w:rFonts w:ascii="Traditional Arabic" w:hAnsi="Traditional Arabic"/>
          <w:szCs w:val="32"/>
          <w:vertAlign w:val="superscript"/>
          <w:rtl/>
        </w:rPr>
        <w:t>)</w:t>
      </w:r>
      <w:r w:rsidRPr="00C85F0F">
        <w:rPr>
          <w:rFonts w:ascii="Traditional Arabic" w:hAnsi="Traditional Arabic"/>
          <w:rtl/>
        </w:rPr>
        <w:t>، ثم التحق بمدرسة الشيخ علي بن عبدالله الشحيتان</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11"/>
      </w:r>
      <w:r w:rsidRPr="00C85F0F">
        <w:rPr>
          <w:rFonts w:ascii="Traditional Arabic" w:hAnsi="Traditional Arabic"/>
          <w:szCs w:val="32"/>
          <w:vertAlign w:val="superscript"/>
          <w:rtl/>
        </w:rPr>
        <w:t>)</w:t>
      </w:r>
      <w:r w:rsidR="009A0575" w:rsidRPr="005D5694">
        <w:rPr>
          <w:rFonts w:ascii="Traditional Arabic" w:hAnsi="Traditional Arabic" w:cs="CTraditional Arabic" w:hint="cs"/>
          <w:rtl/>
        </w:rPr>
        <w:t>/</w:t>
      </w:r>
      <w:r w:rsidRPr="00C85F0F">
        <w:rPr>
          <w:rFonts w:ascii="Traditional Arabic" w:hAnsi="Traditional Arabic"/>
          <w:rtl/>
        </w:rPr>
        <w:t>، حيث حفظ عنده القرآن الكري</w:t>
      </w:r>
      <w:r w:rsidR="000641BC">
        <w:rPr>
          <w:rFonts w:ascii="Traditional Arabic" w:hAnsi="Traditional Arabic"/>
          <w:rtl/>
        </w:rPr>
        <w:t>م عن ظهر قلب، ولما يتجاوز ال</w:t>
      </w:r>
      <w:r w:rsidR="000641BC">
        <w:rPr>
          <w:rFonts w:ascii="Traditional Arabic" w:hAnsi="Traditional Arabic" w:hint="cs"/>
          <w:rtl/>
        </w:rPr>
        <w:t>رابع</w:t>
      </w:r>
      <w:r w:rsidR="000641BC">
        <w:rPr>
          <w:rFonts w:ascii="Traditional Arabic" w:hAnsi="Traditional Arabic"/>
          <w:rtl/>
        </w:rPr>
        <w:t>ة عشرة من عمره بعد</w:t>
      </w:r>
      <w:r w:rsidR="000641BC">
        <w:rPr>
          <w:rFonts w:ascii="Traditional Arabic" w:hAnsi="Traditional Arabic" w:hint="cs"/>
          <w:rtl/>
        </w:rPr>
        <w:t>.</w:t>
      </w:r>
    </w:p>
    <w:p w:rsidR="002658E5" w:rsidRDefault="006F08E1" w:rsidP="003D32C1">
      <w:pPr>
        <w:spacing w:line="640" w:lineRule="exact"/>
        <w:jc w:val="lowKashida"/>
        <w:rPr>
          <w:rFonts w:ascii="Traditional Arabic" w:hAnsi="Traditional Arabic"/>
          <w:rtl/>
        </w:rPr>
      </w:pPr>
      <w:r w:rsidRPr="00C85F0F">
        <w:rPr>
          <w:rFonts w:ascii="Traditional Arabic" w:hAnsi="Traditional Arabic"/>
          <w:rtl/>
        </w:rPr>
        <w:t xml:space="preserve">وبتوجيــه من والده، أقبـــل على طلب العلم الشرعي، فشرع </w:t>
      </w:r>
      <w:r w:rsidR="009A0575" w:rsidRPr="005D5694">
        <w:rPr>
          <w:rFonts w:ascii="Traditional Arabic" w:hAnsi="Traditional Arabic" w:cs="CTraditional Arabic" w:hint="cs"/>
          <w:rtl/>
        </w:rPr>
        <w:t>/</w:t>
      </w:r>
      <w:r w:rsidRPr="00C85F0F">
        <w:rPr>
          <w:rFonts w:ascii="Traditional Arabic" w:hAnsi="Traditional Arabic"/>
          <w:rtl/>
        </w:rPr>
        <w:t xml:space="preserve"> في طلبه على أحد تلاميذ الشيخ عبدالرحمن السعدي</w:t>
      </w:r>
      <w:r w:rsidR="00C4587C">
        <w:rPr>
          <w:rFonts w:ascii="Traditional Arabic" w:hAnsi="Traditional Arabic" w:hint="cs"/>
          <w:rtl/>
        </w:rPr>
        <w:t>_رحمه الله</w:t>
      </w:r>
      <w:r w:rsidR="003D32C1">
        <w:rPr>
          <w:rFonts w:ascii="Traditional Arabic" w:hAnsi="Traditional Arabic" w:hint="cs"/>
          <w:rtl/>
        </w:rPr>
        <w:t>_</w:t>
      </w:r>
      <w:r w:rsidR="002658E5">
        <w:rPr>
          <w:rFonts w:ascii="Traditional Arabic" w:hAnsi="Traditional Arabic"/>
          <w:rtl/>
        </w:rPr>
        <w:t>،</w:t>
      </w:r>
      <w:r w:rsidR="002658E5">
        <w:rPr>
          <w:rFonts w:ascii="Traditional Arabic" w:hAnsi="Traditional Arabic" w:hint="cs"/>
          <w:rtl/>
        </w:rPr>
        <w:t xml:space="preserve"> و</w:t>
      </w:r>
      <w:r w:rsidRPr="00C85F0F">
        <w:rPr>
          <w:rFonts w:ascii="Traditional Arabic" w:hAnsi="Traditional Arabic"/>
          <w:rtl/>
        </w:rPr>
        <w:t xml:space="preserve">درس عليـــه </w:t>
      </w:r>
      <w:r w:rsidR="002658E5">
        <w:rPr>
          <w:rFonts w:ascii="Traditional Arabic" w:hAnsi="Traditional Arabic" w:hint="cs"/>
          <w:rtl/>
        </w:rPr>
        <w:t>حتى أدرك في التوحيد والفقه والنحو ما أدرك</w:t>
      </w:r>
      <w:r w:rsidR="00C4587C">
        <w:rPr>
          <w:rFonts w:ascii="Traditional Arabic" w:hAnsi="Traditional Arabic"/>
          <w:rtl/>
        </w:rPr>
        <w:t xml:space="preserve">، ثم </w:t>
      </w:r>
      <w:r w:rsidR="00C4587C">
        <w:rPr>
          <w:rFonts w:ascii="Traditional Arabic" w:hAnsi="Traditional Arabic" w:hint="cs"/>
          <w:rtl/>
        </w:rPr>
        <w:t>جلس</w:t>
      </w:r>
      <w:r w:rsidRPr="00C85F0F">
        <w:rPr>
          <w:rFonts w:ascii="Traditional Arabic" w:hAnsi="Traditional Arabic"/>
          <w:rtl/>
        </w:rPr>
        <w:t xml:space="preserve"> الشيخ ابن عثيم</w:t>
      </w:r>
      <w:r w:rsidR="00C4587C">
        <w:rPr>
          <w:rFonts w:ascii="Traditional Arabic" w:hAnsi="Traditional Arabic"/>
          <w:rtl/>
        </w:rPr>
        <w:t xml:space="preserve">ين </w:t>
      </w:r>
      <w:r w:rsidR="00C4587C">
        <w:rPr>
          <w:rFonts w:ascii="Traditional Arabic" w:hAnsi="Traditional Arabic" w:hint="cs"/>
          <w:rtl/>
        </w:rPr>
        <w:t>في</w:t>
      </w:r>
      <w:r w:rsidR="002658E5">
        <w:rPr>
          <w:rFonts w:ascii="Traditional Arabic" w:hAnsi="Traditional Arabic"/>
          <w:rtl/>
        </w:rPr>
        <w:t xml:space="preserve"> حلق</w:t>
      </w:r>
      <w:r w:rsidR="002658E5">
        <w:rPr>
          <w:rFonts w:ascii="Traditional Arabic" w:hAnsi="Traditional Arabic" w:hint="cs"/>
          <w:rtl/>
        </w:rPr>
        <w:t>ة شيخه</w:t>
      </w:r>
      <w:r w:rsidRPr="00C85F0F">
        <w:rPr>
          <w:rFonts w:ascii="Traditional Arabic" w:hAnsi="Traditional Arabic"/>
          <w:rtl/>
        </w:rPr>
        <w:t xml:space="preserve"> </w:t>
      </w:r>
      <w:r w:rsidR="002658E5">
        <w:rPr>
          <w:rFonts w:ascii="Traditional Arabic" w:hAnsi="Traditional Arabic"/>
          <w:rtl/>
        </w:rPr>
        <w:t>عبدالرحمن بن ناصر السعدي</w:t>
      </w:r>
      <w:r w:rsidRPr="00C85F0F">
        <w:rPr>
          <w:rFonts w:ascii="Traditional Arabic" w:hAnsi="Traditional Arabic"/>
          <w:rtl/>
        </w:rPr>
        <w:t xml:space="preserve">، </w:t>
      </w:r>
      <w:r w:rsidR="002658E5">
        <w:rPr>
          <w:rFonts w:ascii="Traditional Arabic" w:hAnsi="Traditional Arabic" w:hint="cs"/>
          <w:rtl/>
        </w:rPr>
        <w:t>فدرس عليه في التفسير، والحديث، والسيرة النبوية، والتوحيد، والفقه، والأصول، والفرائض، والنحو، وحفظ مختصرات المتون في هذه العلوم.</w:t>
      </w:r>
    </w:p>
    <w:p w:rsidR="00C4587C" w:rsidRDefault="00C4587C" w:rsidP="000641BC">
      <w:pPr>
        <w:spacing w:line="640" w:lineRule="exact"/>
        <w:jc w:val="lowKashida"/>
        <w:rPr>
          <w:rFonts w:ascii="Traditional Arabic" w:hAnsi="Traditional Arabic"/>
          <w:rtl/>
        </w:rPr>
      </w:pPr>
      <w:r>
        <w:rPr>
          <w:rFonts w:ascii="Traditional Arabic" w:hAnsi="Traditional Arabic" w:hint="cs"/>
          <w:rtl/>
        </w:rPr>
        <w:t>وعندما كان الشيخ</w:t>
      </w:r>
      <w:r w:rsidRPr="00C85F0F">
        <w:rPr>
          <w:rFonts w:ascii="Traditional Arabic" w:hAnsi="Traditional Arabic"/>
          <w:rtl/>
        </w:rPr>
        <w:t xml:space="preserve"> عبدالرحمن بن علي بن عودان</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12"/>
      </w:r>
      <w:r w:rsidRPr="00C85F0F">
        <w:rPr>
          <w:rFonts w:ascii="Traditional Arabic" w:hAnsi="Traditional Arabic"/>
          <w:szCs w:val="32"/>
          <w:vertAlign w:val="superscript"/>
          <w:rtl/>
        </w:rPr>
        <w:t>)</w:t>
      </w:r>
      <w:r w:rsidRPr="005D5694">
        <w:rPr>
          <w:rFonts w:ascii="Traditional Arabic" w:hAnsi="Traditional Arabic" w:cs="CTraditional Arabic" w:hint="cs"/>
          <w:rtl/>
        </w:rPr>
        <w:t>/</w:t>
      </w:r>
      <w:r>
        <w:rPr>
          <w:rFonts w:ascii="Traditional Arabic" w:hAnsi="Traditional Arabic" w:hint="cs"/>
          <w:rtl/>
        </w:rPr>
        <w:t xml:space="preserve"> قاضياً في عنيزة قرأ عليه في علم الفرائض، كما قرأ على الشيخ عبد الرزاق عفيفي_ رحمه الله_ في النحو والبلاغة أثناء وجوده </w:t>
      </w:r>
      <w:r>
        <w:rPr>
          <w:rFonts w:ascii="Traditional Arabic" w:hAnsi="Traditional Arabic" w:hint="cs"/>
          <w:rtl/>
        </w:rPr>
        <w:lastRenderedPageBreak/>
        <w:t>مدرِّساً في تلك المدينة.</w:t>
      </w:r>
    </w:p>
    <w:p w:rsidR="000149D0" w:rsidRDefault="000149D0" w:rsidP="000641BC">
      <w:pPr>
        <w:spacing w:line="640" w:lineRule="exact"/>
        <w:jc w:val="lowKashida"/>
        <w:rPr>
          <w:rFonts w:ascii="Traditional Arabic" w:hAnsi="Traditional Arabic"/>
          <w:rtl/>
        </w:rPr>
      </w:pPr>
      <w:r>
        <w:rPr>
          <w:rFonts w:ascii="Traditional Arabic" w:hAnsi="Traditional Arabic" w:hint="cs"/>
          <w:rtl/>
        </w:rPr>
        <w:t>توسَّم فيه شيخه النَّجابة وسرعة التحصيل العلمي، فشجَّعه على التدريس وهو</w:t>
      </w:r>
      <w:r w:rsidR="00224993">
        <w:rPr>
          <w:rFonts w:ascii="Traditional Arabic" w:hAnsi="Traditional Arabic" w:hint="cs"/>
          <w:rtl/>
        </w:rPr>
        <w:t xml:space="preserve"> </w:t>
      </w:r>
      <w:r>
        <w:rPr>
          <w:rFonts w:ascii="Traditional Arabic" w:hAnsi="Traditional Arabic" w:hint="cs"/>
          <w:rtl/>
        </w:rPr>
        <w:t>ما زال طالبا في حلقته، فبدأ التدريس عام 1370ه في الجامع الكبير بعنيزة.</w:t>
      </w:r>
    </w:p>
    <w:p w:rsidR="00C4587C" w:rsidRDefault="00C4587C" w:rsidP="000641BC">
      <w:pPr>
        <w:spacing w:line="640" w:lineRule="exact"/>
        <w:jc w:val="lowKashida"/>
        <w:rPr>
          <w:rFonts w:ascii="Traditional Arabic" w:hAnsi="Traditional Arabic"/>
          <w:rtl/>
        </w:rPr>
      </w:pPr>
      <w:r>
        <w:rPr>
          <w:rFonts w:ascii="Traditional Arabic" w:hAnsi="Traditional Arabic" w:hint="cs"/>
          <w:rtl/>
        </w:rPr>
        <w:t>ولما فتح المعهد العلمي في الرياض أشار عليه ب</w:t>
      </w:r>
      <w:r w:rsidR="000149D0">
        <w:rPr>
          <w:rFonts w:ascii="Traditional Arabic" w:hAnsi="Traditional Arabic" w:hint="cs"/>
          <w:rtl/>
        </w:rPr>
        <w:t xml:space="preserve">عض إخوانه أن يلتحق به، فاستأذن </w:t>
      </w:r>
      <w:r>
        <w:rPr>
          <w:rFonts w:ascii="Traditional Arabic" w:hAnsi="Traditional Arabic" w:hint="cs"/>
          <w:rtl/>
        </w:rPr>
        <w:t>شيخه عبد الرحمن السعدي فأذن له، والتحق بالمعهد عامي 1372-1373ه.</w:t>
      </w:r>
    </w:p>
    <w:p w:rsidR="00514E0F" w:rsidRDefault="00C4587C" w:rsidP="000641BC">
      <w:pPr>
        <w:spacing w:line="640" w:lineRule="exact"/>
        <w:jc w:val="lowKashida"/>
        <w:rPr>
          <w:rFonts w:ascii="Traditional Arabic" w:hAnsi="Traditional Arabic"/>
          <w:rtl/>
        </w:rPr>
      </w:pPr>
      <w:r>
        <w:rPr>
          <w:rFonts w:ascii="Traditional Arabic" w:hAnsi="Traditional Arabic" w:hint="cs"/>
          <w:rtl/>
        </w:rPr>
        <w:t xml:space="preserve">وقد انتفع-خلال هاتين السنتين اللتين انتظم فيهما في المعهد- بالعلماء الذين كانوا يدرِّسون </w:t>
      </w:r>
      <w:r w:rsidR="003D32C1">
        <w:rPr>
          <w:rFonts w:ascii="Traditional Arabic" w:hAnsi="Traditional Arabic" w:hint="cs"/>
          <w:rtl/>
        </w:rPr>
        <w:t>فيه حينذاك</w:t>
      </w:r>
      <w:r>
        <w:rPr>
          <w:rFonts w:ascii="Traditional Arabic" w:hAnsi="Traditional Arabic" w:hint="cs"/>
          <w:rtl/>
        </w:rPr>
        <w:t>.</w:t>
      </w:r>
    </w:p>
    <w:p w:rsidR="00514E0F" w:rsidRDefault="00514E0F" w:rsidP="000641BC">
      <w:pPr>
        <w:spacing w:line="640" w:lineRule="exact"/>
        <w:jc w:val="lowKashida"/>
        <w:rPr>
          <w:rFonts w:ascii="Traditional Arabic" w:hAnsi="Traditional Arabic"/>
          <w:rtl/>
        </w:rPr>
      </w:pPr>
      <w:r>
        <w:rPr>
          <w:rFonts w:ascii="Traditional Arabic" w:hAnsi="Traditional Arabic" w:hint="cs"/>
          <w:rtl/>
        </w:rPr>
        <w:t>وفي أثناء ذلك اتصل بسماحة الشيخ عبد العزيز بن عبد الله بن باز_رحمه الله_فقرأ عليه في المسجد في صحيح البخاري، ومن رسائل شيخ الإسلام ابن تيمية، وانتفع به في علم الحديث والنظر في آراء فقهاء المذاهب والمقارنة بينها.</w:t>
      </w:r>
    </w:p>
    <w:p w:rsidR="000149D0" w:rsidRDefault="00514E0F" w:rsidP="000641BC">
      <w:pPr>
        <w:spacing w:line="640" w:lineRule="exact"/>
        <w:jc w:val="lowKashida"/>
        <w:rPr>
          <w:rFonts w:ascii="Traditional Arabic" w:hAnsi="Traditional Arabic"/>
          <w:rtl/>
        </w:rPr>
      </w:pPr>
      <w:r>
        <w:rPr>
          <w:rFonts w:ascii="Traditional Arabic" w:hAnsi="Traditional Arabic" w:hint="cs"/>
          <w:rtl/>
        </w:rPr>
        <w:t xml:space="preserve">ثم عاد الشيخ ابن عثيمين_ رحمه الله_ إلى عنيزة عام 1374ه، </w:t>
      </w:r>
      <w:r w:rsidR="000149D0">
        <w:rPr>
          <w:rFonts w:ascii="Traditional Arabic" w:hAnsi="Traditional Arabic" w:hint="cs"/>
          <w:rtl/>
        </w:rPr>
        <w:t xml:space="preserve">وعين مدرِّساً في في المعهد العلمي بعنيزة، </w:t>
      </w:r>
      <w:r>
        <w:rPr>
          <w:rFonts w:ascii="Traditional Arabic" w:hAnsi="Traditional Arabic" w:hint="cs"/>
          <w:rtl/>
        </w:rPr>
        <w:t xml:space="preserve">وصار يدرس على شيخه العلامة عبد الرحمن السعدي، ويتابع دراسته انتساباً في كلية الشريعة </w:t>
      </w:r>
      <w:r w:rsidR="00491A5A">
        <w:rPr>
          <w:rFonts w:ascii="Traditional Arabic" w:hAnsi="Traditional Arabic" w:hint="cs"/>
          <w:rtl/>
        </w:rPr>
        <w:t xml:space="preserve">بالرياض </w:t>
      </w:r>
      <w:r>
        <w:rPr>
          <w:rFonts w:ascii="Traditional Arabic" w:hAnsi="Traditional Arabic" w:hint="cs"/>
          <w:rtl/>
        </w:rPr>
        <w:t xml:space="preserve">التي أصبحت جزءاً من جامعة  </w:t>
      </w:r>
      <w:r w:rsidR="00B41E0F">
        <w:rPr>
          <w:rFonts w:ascii="Traditional Arabic" w:hAnsi="Traditional Arabic" w:hint="cs"/>
          <w:rtl/>
        </w:rPr>
        <w:t xml:space="preserve">الإمام </w:t>
      </w:r>
      <w:r>
        <w:rPr>
          <w:rFonts w:ascii="Traditional Arabic" w:hAnsi="Traditional Arabic" w:hint="cs"/>
          <w:rtl/>
        </w:rPr>
        <w:t>محمد بن سع</w:t>
      </w:r>
      <w:r w:rsidR="00491A5A">
        <w:rPr>
          <w:rFonts w:ascii="Traditional Arabic" w:hAnsi="Traditional Arabic" w:hint="cs"/>
          <w:rtl/>
        </w:rPr>
        <w:t>ود الإسلامية، حتى تخرج منها</w:t>
      </w:r>
      <w:r>
        <w:rPr>
          <w:rFonts w:ascii="Traditional Arabic" w:hAnsi="Traditional Arabic" w:hint="cs"/>
          <w:rtl/>
        </w:rPr>
        <w:t xml:space="preserve"> عام 1377ه.</w:t>
      </w:r>
    </w:p>
    <w:p w:rsidR="00BA67DA" w:rsidRDefault="000149D0" w:rsidP="000641BC">
      <w:pPr>
        <w:spacing w:line="640" w:lineRule="exact"/>
        <w:jc w:val="lowKashida"/>
        <w:rPr>
          <w:rFonts w:ascii="Traditional Arabic" w:hAnsi="Traditional Arabic"/>
          <w:rtl/>
        </w:rPr>
      </w:pPr>
      <w:r>
        <w:rPr>
          <w:rFonts w:ascii="Traditional Arabic" w:hAnsi="Traditional Arabic" w:hint="cs"/>
          <w:rtl/>
        </w:rPr>
        <w:t>وفي سنة 1376ه توفي شيخه عبد الرحمن السعدي_رحمه الله_ فتولّى إمامة الجامع الكبير في عنيزة، وإمامة العيدين فيها، والتدريس في مكتبة عنيزة الوطنية التابعة للجامع، ولما كثُر</w:t>
      </w:r>
      <w:r w:rsidR="00C4587C">
        <w:rPr>
          <w:rFonts w:ascii="Traditional Arabic" w:hAnsi="Traditional Arabic" w:hint="cs"/>
          <w:rtl/>
        </w:rPr>
        <w:t xml:space="preserve"> </w:t>
      </w:r>
      <w:r>
        <w:rPr>
          <w:rFonts w:ascii="Traditional Arabic" w:hAnsi="Traditional Arabic" w:hint="cs"/>
          <w:rtl/>
        </w:rPr>
        <w:t>الطلبة، وصارت المكتبة لا تسعهم، بدأ الشيخ _رحمه الله_  يدرِّس في المسجد الجامع نفسه</w:t>
      </w:r>
      <w:r w:rsidR="00BA67DA">
        <w:rPr>
          <w:rFonts w:ascii="Traditional Arabic" w:hAnsi="Traditional Arabic" w:hint="cs"/>
          <w:rtl/>
        </w:rPr>
        <w:t>، واجتمع إليه الطلاب وتوافدوا من المملكة وغيرها حتى كانوا يبلغون المئات في بعض الدروس.</w:t>
      </w:r>
    </w:p>
    <w:p w:rsidR="00BA67DA" w:rsidRDefault="00BA67DA" w:rsidP="000641BC">
      <w:pPr>
        <w:spacing w:line="640" w:lineRule="exact"/>
        <w:jc w:val="lowKashida"/>
        <w:rPr>
          <w:rFonts w:ascii="Traditional Arabic" w:hAnsi="Traditional Arabic"/>
          <w:rtl/>
        </w:rPr>
      </w:pPr>
      <w:r>
        <w:rPr>
          <w:rFonts w:ascii="Traditional Arabic" w:hAnsi="Traditional Arabic" w:hint="cs"/>
          <w:rtl/>
        </w:rPr>
        <w:t>وبقي الشيخ مدرسا في المعهد العلمي بعنيزة إلى عام 1398ه</w:t>
      </w:r>
      <w:r w:rsidR="00491A5A">
        <w:rPr>
          <w:rFonts w:ascii="Traditional Arabic" w:hAnsi="Traditional Arabic" w:hint="cs"/>
          <w:rtl/>
        </w:rPr>
        <w:t>،</w:t>
      </w:r>
      <w:r>
        <w:rPr>
          <w:rFonts w:ascii="Traditional Arabic" w:hAnsi="Traditional Arabic" w:hint="cs"/>
          <w:rtl/>
        </w:rPr>
        <w:t xml:space="preserve"> عندما انتقل إلى التدريس في كلية الشريعة وأصول الدين بالقصيم التابعة لجامعة  </w:t>
      </w:r>
      <w:r w:rsidR="00B41E0F">
        <w:rPr>
          <w:rFonts w:ascii="Traditional Arabic" w:hAnsi="Traditional Arabic" w:hint="cs"/>
          <w:rtl/>
        </w:rPr>
        <w:t xml:space="preserve">الإمام </w:t>
      </w:r>
      <w:r>
        <w:rPr>
          <w:rFonts w:ascii="Traditional Arabic" w:hAnsi="Traditional Arabic" w:hint="cs"/>
          <w:rtl/>
        </w:rPr>
        <w:t>محمد بن سعود الإسلامية، وظل أستاذاً فيها حتى وفاته_رحمه الله_.</w:t>
      </w:r>
    </w:p>
    <w:p w:rsidR="00C4587C" w:rsidRDefault="00BA67DA" w:rsidP="000641BC">
      <w:pPr>
        <w:spacing w:line="640" w:lineRule="exact"/>
        <w:jc w:val="lowKashida"/>
        <w:rPr>
          <w:rFonts w:ascii="Traditional Arabic" w:hAnsi="Traditional Arabic"/>
          <w:rtl/>
        </w:rPr>
      </w:pPr>
      <w:r>
        <w:rPr>
          <w:rFonts w:ascii="Traditional Arabic" w:hAnsi="Traditional Arabic" w:hint="cs"/>
          <w:rtl/>
        </w:rPr>
        <w:lastRenderedPageBreak/>
        <w:t xml:space="preserve">وكان الشيخ يدرِّس في المسجد الحرام والمسجد </w:t>
      </w:r>
      <w:r w:rsidR="00545161">
        <w:rPr>
          <w:rFonts w:ascii="Traditional Arabic" w:hAnsi="Traditional Arabic" w:hint="cs"/>
          <w:rtl/>
        </w:rPr>
        <w:t>النبوي في مواسم الحج ورمضان والإجازات</w:t>
      </w:r>
      <w:r>
        <w:rPr>
          <w:rFonts w:ascii="Traditional Arabic" w:hAnsi="Traditional Arabic" w:hint="cs"/>
          <w:rtl/>
        </w:rPr>
        <w:t xml:space="preserve"> الصيفية منذ عام 1402ه حتى وفاته_ رحمه الله_</w:t>
      </w:r>
      <w:r w:rsidR="00C4587C" w:rsidRPr="00C85F0F">
        <w:rPr>
          <w:rFonts w:ascii="Traditional Arabic" w:hAnsi="Traditional Arabic"/>
          <w:rtl/>
        </w:rPr>
        <w:t xml:space="preserve"> </w:t>
      </w:r>
      <w:r w:rsidR="00C4587C">
        <w:rPr>
          <w:rFonts w:ascii="Traditional Arabic" w:hAnsi="Traditional Arabic" w:hint="cs"/>
          <w:rtl/>
        </w:rPr>
        <w:t xml:space="preserve"> </w:t>
      </w:r>
    </w:p>
    <w:p w:rsidR="00B11BA0" w:rsidRDefault="006F08E1" w:rsidP="00597C20">
      <w:pPr>
        <w:spacing w:line="640" w:lineRule="exact"/>
        <w:jc w:val="lowKashida"/>
        <w:rPr>
          <w:rFonts w:ascii="Traditional Arabic" w:hAnsi="Traditional Arabic"/>
          <w:rtl/>
        </w:rPr>
      </w:pPr>
      <w:r w:rsidRPr="00C85F0F">
        <w:rPr>
          <w:rFonts w:ascii="Traditional Arabic" w:hAnsi="Traditional Arabic"/>
          <w:rtl/>
        </w:rPr>
        <w:t>وبعد حياة حافلة قضاها الشيخ ابن عثيمين في سلَّم الرقي، ومعارج المجد العلمي، بلغ الكتاب أجل</w:t>
      </w:r>
      <w:r w:rsidR="00B11BA0">
        <w:rPr>
          <w:rFonts w:ascii="Traditional Arabic" w:hAnsi="Traditional Arabic" w:hint="cs"/>
          <w:rtl/>
        </w:rPr>
        <w:t>َ</w:t>
      </w:r>
      <w:r w:rsidRPr="00C85F0F">
        <w:rPr>
          <w:rFonts w:ascii="Traditional Arabic" w:hAnsi="Traditional Arabic"/>
          <w:rtl/>
        </w:rPr>
        <w:t>ه</w:t>
      </w:r>
      <w:r w:rsidR="00B76414" w:rsidRPr="00C85F0F">
        <w:rPr>
          <w:rFonts w:ascii="Traditional Arabic" w:hAnsi="Traditional Arabic"/>
          <w:rtl/>
        </w:rPr>
        <w:t>،</w:t>
      </w:r>
      <w:r w:rsidRPr="00C85F0F">
        <w:rPr>
          <w:rFonts w:ascii="Traditional Arabic" w:hAnsi="Traditional Arabic"/>
          <w:rtl/>
        </w:rPr>
        <w:t xml:space="preserve"> وأسلم الشيخ الروح إلى بارئها، فكانت وفاته </w:t>
      </w:r>
      <w:r w:rsidR="009A0575" w:rsidRPr="005D5694">
        <w:rPr>
          <w:rFonts w:ascii="Traditional Arabic" w:hAnsi="Traditional Arabic" w:cs="CTraditional Arabic" w:hint="cs"/>
          <w:rtl/>
        </w:rPr>
        <w:t>/</w:t>
      </w:r>
      <w:r w:rsidRPr="00C85F0F">
        <w:rPr>
          <w:rFonts w:ascii="Traditional Arabic" w:hAnsi="Traditional Arabic"/>
          <w:rtl/>
        </w:rPr>
        <w:t xml:space="preserve"> عصر الأربعاء في الخامس عشر من شهر شوال عام (1421هـ)، في المستشفى التخصصي بجـدة، </w:t>
      </w:r>
      <w:r w:rsidRPr="00C85F0F">
        <w:rPr>
          <w:rFonts w:ascii="Traditional Arabic" w:hAnsi="Traditional Arabic" w:hint="cs"/>
          <w:rtl/>
        </w:rPr>
        <w:t>على إثر مرض ع</w:t>
      </w:r>
      <w:r w:rsidR="00A01FAB">
        <w:rPr>
          <w:rFonts w:ascii="Traditional Arabic" w:hAnsi="Traditional Arabic" w:hint="cs"/>
          <w:rtl/>
        </w:rPr>
        <w:t>ُ</w:t>
      </w:r>
      <w:r w:rsidRPr="00C85F0F">
        <w:rPr>
          <w:rFonts w:ascii="Traditional Arabic" w:hAnsi="Traditional Arabic" w:hint="cs"/>
          <w:rtl/>
        </w:rPr>
        <w:t xml:space="preserve">ضال ألمَّ به، </w:t>
      </w:r>
      <w:r w:rsidRPr="00C85F0F">
        <w:rPr>
          <w:rFonts w:ascii="Traditional Arabic" w:hAnsi="Traditional Arabic"/>
          <w:rtl/>
        </w:rPr>
        <w:t xml:space="preserve">عن عمر يناهز الرابعة والسبعين عاماً، وقد كانت جنازته مشهودة، حيث صلى عليه الآلاف المؤلفة من المسلمين في المسجد الحرام، بعد صلاة عصر يوم الخميس من اليوم التالي، وكلُّهم تلهج ألسنتهم بالدعاء للشيخ ابن عثيمين والترحُّم عليه، وبعد </w:t>
      </w:r>
      <w:r w:rsidR="00B11BA0">
        <w:rPr>
          <w:rFonts w:ascii="Traditional Arabic" w:hAnsi="Traditional Arabic"/>
          <w:rtl/>
        </w:rPr>
        <w:t>الصلاة شيَّعته تلك الحشود العظ</w:t>
      </w:r>
      <w:r w:rsidR="00B11BA0">
        <w:rPr>
          <w:rFonts w:ascii="Traditional Arabic" w:hAnsi="Traditional Arabic" w:hint="cs"/>
          <w:rtl/>
        </w:rPr>
        <w:t>يمة،</w:t>
      </w:r>
      <w:r w:rsidR="00B11BA0">
        <w:rPr>
          <w:rFonts w:ascii="Traditional Arabic" w:hAnsi="Traditional Arabic"/>
          <w:rtl/>
        </w:rPr>
        <w:t xml:space="preserve"> </w:t>
      </w:r>
    </w:p>
    <w:p w:rsidR="006F08E1" w:rsidRPr="00C85F0F" w:rsidRDefault="00B11BA0" w:rsidP="00B11BA0">
      <w:pPr>
        <w:spacing w:line="640" w:lineRule="exact"/>
        <w:ind w:firstLine="0"/>
        <w:jc w:val="lowKashida"/>
        <w:rPr>
          <w:rFonts w:ascii="Traditional Arabic" w:hAnsi="Traditional Arabic"/>
          <w:rtl/>
        </w:rPr>
      </w:pPr>
      <w:r>
        <w:rPr>
          <w:rFonts w:ascii="Traditional Arabic" w:hAnsi="Traditional Arabic" w:hint="cs"/>
          <w:rtl/>
        </w:rPr>
        <w:t>و</w:t>
      </w:r>
      <w:r w:rsidR="006F08E1" w:rsidRPr="00C85F0F">
        <w:rPr>
          <w:rFonts w:ascii="Traditional Arabic" w:hAnsi="Traditional Arabic"/>
          <w:rtl/>
        </w:rPr>
        <w:t>دُفن ال</w:t>
      </w:r>
      <w:r w:rsidR="00224993">
        <w:rPr>
          <w:rFonts w:ascii="Traditional Arabic" w:hAnsi="Traditional Arabic"/>
          <w:rtl/>
        </w:rPr>
        <w:t>شيخ ابن عثيمين</w:t>
      </w:r>
      <w:r w:rsidR="006F08E1" w:rsidRPr="00C85F0F">
        <w:rPr>
          <w:rFonts w:ascii="Traditional Arabic" w:hAnsi="Traditional Arabic"/>
          <w:rtl/>
        </w:rPr>
        <w:t xml:space="preserve"> بجوار شيخه ورفيق د</w:t>
      </w:r>
      <w:r w:rsidR="00224993">
        <w:rPr>
          <w:rFonts w:ascii="Traditional Arabic" w:hAnsi="Traditional Arabic" w:hint="cs"/>
          <w:rtl/>
        </w:rPr>
        <w:t>َ</w:t>
      </w:r>
      <w:r w:rsidR="006F08E1" w:rsidRPr="00C85F0F">
        <w:rPr>
          <w:rFonts w:ascii="Traditional Arabic" w:hAnsi="Traditional Arabic"/>
          <w:rtl/>
        </w:rPr>
        <w:t>ر</w:t>
      </w:r>
      <w:r w:rsidR="00224993">
        <w:rPr>
          <w:rFonts w:ascii="Traditional Arabic" w:hAnsi="Traditional Arabic" w:hint="cs"/>
          <w:rtl/>
        </w:rPr>
        <w:t>ْ</w:t>
      </w:r>
      <w:r w:rsidR="006F08E1" w:rsidRPr="00C85F0F">
        <w:rPr>
          <w:rFonts w:ascii="Traditional Arabic" w:hAnsi="Traditional Arabic"/>
          <w:rtl/>
        </w:rPr>
        <w:t>ب</w:t>
      </w:r>
      <w:r w:rsidR="00224993">
        <w:rPr>
          <w:rFonts w:ascii="Traditional Arabic" w:hAnsi="Traditional Arabic" w:hint="cs"/>
          <w:rtl/>
        </w:rPr>
        <w:t>ِ</w:t>
      </w:r>
      <w:r w:rsidR="006F08E1" w:rsidRPr="00C85F0F">
        <w:rPr>
          <w:rFonts w:ascii="Traditional Arabic" w:hAnsi="Traditional Arabic"/>
          <w:rtl/>
        </w:rPr>
        <w:t xml:space="preserve">ه سماحة الشيخ عبدالعزيز بن باز </w:t>
      </w:r>
      <w:r w:rsidR="009A0575" w:rsidRPr="005D5694">
        <w:rPr>
          <w:rFonts w:ascii="Traditional Arabic" w:hAnsi="Traditional Arabic" w:cs="CTraditional Arabic" w:hint="cs"/>
          <w:rtl/>
        </w:rPr>
        <w:t>/</w:t>
      </w:r>
      <w:r w:rsidR="006F08E1" w:rsidRPr="00C85F0F">
        <w:rPr>
          <w:rFonts w:ascii="Traditional Arabic" w:hAnsi="Traditional Arabic"/>
          <w:rtl/>
        </w:rPr>
        <w:t xml:space="preserve">.وبعد صلاة الجمعة من اليوم التالي، صُلِّي على الشيخ ابن عثيمين </w:t>
      </w:r>
      <w:r w:rsidR="009A0575" w:rsidRPr="005D5694">
        <w:rPr>
          <w:rFonts w:ascii="Traditional Arabic" w:hAnsi="Traditional Arabic" w:cs="CTraditional Arabic" w:hint="cs"/>
          <w:rtl/>
        </w:rPr>
        <w:t>/</w:t>
      </w:r>
      <w:r w:rsidR="006F08E1" w:rsidRPr="00C85F0F">
        <w:rPr>
          <w:rFonts w:ascii="Traditional Arabic" w:hAnsi="Traditional Arabic"/>
          <w:rtl/>
        </w:rPr>
        <w:t xml:space="preserve"> صلاة الغائب في جميع مدن المملكة العربية السعودية، بل إنه صُلِّي عليه صلاة الغائب في عامة المراكز الإسلاميـــــة في أوروبا وأمريكا وغيرها من الدول، وبموت الشيخ ابن عثيمين </w:t>
      </w:r>
      <w:r w:rsidR="009A0575" w:rsidRPr="005D5694">
        <w:rPr>
          <w:rFonts w:ascii="Traditional Arabic" w:hAnsi="Traditional Arabic" w:cs="CTraditional Arabic" w:hint="cs"/>
          <w:rtl/>
        </w:rPr>
        <w:t>/</w:t>
      </w:r>
      <w:r w:rsidR="006F08E1" w:rsidRPr="00C85F0F">
        <w:rPr>
          <w:rFonts w:ascii="Traditional Arabic" w:hAnsi="Traditional Arabic"/>
          <w:rtl/>
        </w:rPr>
        <w:t xml:space="preserve"> طويت صفحة ذهبية من صفحات العلم، ورحل علم من الأعلام</w:t>
      </w:r>
      <w:r>
        <w:rPr>
          <w:rFonts w:ascii="Traditional Arabic" w:hAnsi="Traditional Arabic"/>
          <w:rtl/>
        </w:rPr>
        <w:t xml:space="preserve"> الشوامخ</w:t>
      </w:r>
      <w:r>
        <w:rPr>
          <w:rFonts w:ascii="Traditional Arabic" w:hAnsi="Traditional Arabic" w:hint="cs"/>
          <w:rtl/>
        </w:rPr>
        <w:t xml:space="preserve"> في هذا الزمان</w:t>
      </w:r>
      <w:r>
        <w:rPr>
          <w:rFonts w:ascii="Traditional Arabic" w:hAnsi="Traditional Arabic"/>
          <w:rtl/>
        </w:rPr>
        <w:t>، ملأ في زمان</w:t>
      </w:r>
      <w:r w:rsidR="00224993">
        <w:rPr>
          <w:rFonts w:ascii="Traditional Arabic" w:hAnsi="Traditional Arabic" w:hint="cs"/>
          <w:rtl/>
        </w:rPr>
        <w:t>ه القلوب والعيون والأسماع،</w:t>
      </w:r>
      <w:r w:rsidR="006F08E1" w:rsidRPr="00C85F0F">
        <w:rPr>
          <w:rFonts w:ascii="Traditional Arabic" w:hAnsi="Traditional Arabic"/>
          <w:rtl/>
        </w:rPr>
        <w:t xml:space="preserve"> حيث كان في الورع والفتوى آية ظاهرة، وفي العلم حجة باهرة</w:t>
      </w:r>
      <w:r w:rsidR="006F08E1" w:rsidRPr="00C85F0F">
        <w:rPr>
          <w:rStyle w:val="af1"/>
          <w:szCs w:val="32"/>
          <w:rtl/>
        </w:rPr>
        <w:t>(</w:t>
      </w:r>
      <w:r w:rsidR="006F08E1" w:rsidRPr="00C85F0F">
        <w:rPr>
          <w:rStyle w:val="af1"/>
          <w:szCs w:val="32"/>
          <w:rtl/>
        </w:rPr>
        <w:footnoteReference w:id="13"/>
      </w:r>
      <w:r w:rsidR="006F08E1" w:rsidRPr="00C85F0F">
        <w:rPr>
          <w:rStyle w:val="af1"/>
          <w:szCs w:val="32"/>
          <w:rtl/>
        </w:rPr>
        <w:t>)</w:t>
      </w:r>
      <w:r w:rsidR="006F08E1" w:rsidRPr="00C85F0F">
        <w:rPr>
          <w:rFonts w:ascii="Traditional Arabic" w:hAnsi="Traditional Arabic"/>
          <w:rtl/>
        </w:rPr>
        <w:t>.</w:t>
      </w:r>
    </w:p>
    <w:p w:rsidR="00065E4B" w:rsidRPr="00C85F0F" w:rsidRDefault="009322BA" w:rsidP="00A8347C">
      <w:pPr>
        <w:pStyle w:val="aff3"/>
        <w:rPr>
          <w:rtl/>
        </w:rPr>
      </w:pPr>
      <w:bookmarkStart w:id="12" w:name="_Toc334046276"/>
      <w:r>
        <w:rPr>
          <w:rFonts w:hint="cs"/>
          <w:rtl/>
        </w:rPr>
        <w:lastRenderedPageBreak/>
        <w:t xml:space="preserve">                                           </w:t>
      </w:r>
      <w:r w:rsidR="006F08E1" w:rsidRPr="00C85F0F">
        <w:rPr>
          <w:rFonts w:hint="cs"/>
          <w:rtl/>
        </w:rPr>
        <w:t>المطلب الثالث</w:t>
      </w:r>
      <w:r w:rsidR="00346635" w:rsidRPr="00C85F0F">
        <w:rPr>
          <w:rFonts w:hint="eastAsia"/>
          <w:rtl/>
        </w:rPr>
        <w:t> :</w:t>
      </w:r>
      <w:r w:rsidR="00346635" w:rsidRPr="00C85F0F">
        <w:rPr>
          <w:rFonts w:hint="cs"/>
          <w:rtl/>
        </w:rPr>
        <w:br/>
      </w:r>
      <w:r>
        <w:rPr>
          <w:rFonts w:hint="cs"/>
          <w:rtl/>
        </w:rPr>
        <w:t xml:space="preserve">                                           </w:t>
      </w:r>
      <w:r w:rsidR="006F08E1" w:rsidRPr="00C85F0F">
        <w:rPr>
          <w:rFonts w:hint="cs"/>
          <w:rtl/>
        </w:rPr>
        <w:t>شيوخه وتلاميذه</w:t>
      </w:r>
      <w:bookmarkEnd w:id="12"/>
    </w:p>
    <w:p w:rsidR="00065E4B" w:rsidRPr="00597C20" w:rsidRDefault="00065E4B" w:rsidP="00597C20">
      <w:pPr>
        <w:pStyle w:val="53"/>
        <w:rPr>
          <w:rtl/>
        </w:rPr>
      </w:pPr>
      <w:r w:rsidRPr="00C85F0F">
        <w:rPr>
          <w:rFonts w:hint="cs"/>
          <w:rtl/>
        </w:rPr>
        <w:t>أ</w:t>
      </w:r>
      <w:r w:rsidR="006F08E1" w:rsidRPr="00C85F0F">
        <w:rPr>
          <w:rFonts w:hint="cs"/>
          <w:rtl/>
        </w:rPr>
        <w:t>ولا: شيوخه:</w:t>
      </w:r>
    </w:p>
    <w:p w:rsidR="00065E4B" w:rsidRPr="00C85F0F" w:rsidRDefault="006F08E1" w:rsidP="00CE2EB9">
      <w:pPr>
        <w:spacing w:line="640" w:lineRule="exact"/>
        <w:jc w:val="lowKashida"/>
        <w:rPr>
          <w:rFonts w:ascii="Traditional Arabic" w:hAnsi="Traditional Arabic"/>
          <w:rtl/>
        </w:rPr>
      </w:pPr>
      <w:r w:rsidRPr="00C85F0F">
        <w:rPr>
          <w:rFonts w:ascii="Traditional Arabic" w:hAnsi="Traditional Arabic"/>
          <w:rtl/>
        </w:rPr>
        <w:t xml:space="preserve">لم يُكثر </w:t>
      </w:r>
      <w:r w:rsidR="00CE2EB9">
        <w:rPr>
          <w:rFonts w:ascii="Traditional Arabic" w:hAnsi="Traditional Arabic" w:hint="cs"/>
          <w:rtl/>
        </w:rPr>
        <w:t xml:space="preserve">الشيخ </w:t>
      </w:r>
      <w:r w:rsidR="00CE2EB9" w:rsidRPr="00C85F0F">
        <w:rPr>
          <w:rFonts w:ascii="Traditional Arabic" w:hAnsi="Traditional Arabic"/>
          <w:rtl/>
        </w:rPr>
        <w:t xml:space="preserve">ابن عثيمين </w:t>
      </w:r>
      <w:r w:rsidR="00CE2EB9" w:rsidRPr="005D5694">
        <w:rPr>
          <w:rFonts w:ascii="Traditional Arabic" w:hAnsi="Traditional Arabic" w:cs="CTraditional Arabic" w:hint="cs"/>
          <w:rtl/>
        </w:rPr>
        <w:t>/</w:t>
      </w:r>
      <w:r w:rsidR="00CE2EB9" w:rsidRPr="00C85F0F">
        <w:rPr>
          <w:rFonts w:ascii="Traditional Arabic" w:hAnsi="Traditional Arabic"/>
          <w:rtl/>
        </w:rPr>
        <w:t xml:space="preserve"> </w:t>
      </w:r>
      <w:r w:rsidRPr="00C85F0F">
        <w:rPr>
          <w:rFonts w:ascii="Traditional Arabic" w:hAnsi="Traditional Arabic"/>
          <w:rtl/>
        </w:rPr>
        <w:t xml:space="preserve">من </w:t>
      </w:r>
      <w:r w:rsidR="00CE2EB9">
        <w:rPr>
          <w:rFonts w:ascii="Traditional Arabic" w:hAnsi="Traditional Arabic"/>
          <w:rtl/>
        </w:rPr>
        <w:t>المشايخ والتت</w:t>
      </w:r>
      <w:r w:rsidR="00CE2EB9">
        <w:rPr>
          <w:rFonts w:ascii="Traditional Arabic" w:hAnsi="Traditional Arabic" w:hint="cs"/>
          <w:rtl/>
        </w:rPr>
        <w:t>لم</w:t>
      </w:r>
      <w:r w:rsidR="003D32C1">
        <w:rPr>
          <w:rFonts w:ascii="Traditional Arabic" w:hAnsi="Traditional Arabic" w:hint="cs"/>
          <w:rtl/>
        </w:rPr>
        <w:t>ُ</w:t>
      </w:r>
      <w:r w:rsidR="00CE2EB9">
        <w:rPr>
          <w:rFonts w:ascii="Traditional Arabic" w:hAnsi="Traditional Arabic" w:hint="cs"/>
          <w:rtl/>
        </w:rPr>
        <w:t>ذ عليهم، لعدم رغبته في شد الرحال إلى المدن والأمصار سواء داخل الجزيرة أو خارجها، فكان يفضِّل الاكتفاء بمن حوله من العلماء</w:t>
      </w:r>
      <w:r w:rsidRPr="00C85F0F">
        <w:rPr>
          <w:rFonts w:ascii="Traditional Arabic" w:hAnsi="Traditional Arabic"/>
          <w:rtl/>
        </w:rPr>
        <w:t>.</w:t>
      </w:r>
    </w:p>
    <w:p w:rsidR="00F228A9" w:rsidRPr="00C85F0F" w:rsidRDefault="00065E4B" w:rsidP="00597C20">
      <w:pPr>
        <w:pStyle w:val="53"/>
        <w:rPr>
          <w:rtl/>
        </w:rPr>
      </w:pPr>
      <w:r w:rsidRPr="00C85F0F">
        <w:rPr>
          <w:rtl/>
        </w:rPr>
        <w:t>و</w:t>
      </w:r>
      <w:r w:rsidR="006F08E1" w:rsidRPr="00C85F0F">
        <w:rPr>
          <w:rtl/>
        </w:rPr>
        <w:t>من أبرز مشايخه:</w:t>
      </w:r>
    </w:p>
    <w:p w:rsidR="006F08E1" w:rsidRPr="00C85F0F" w:rsidRDefault="006F08E1" w:rsidP="00597C20">
      <w:pPr>
        <w:numPr>
          <w:ilvl w:val="0"/>
          <w:numId w:val="16"/>
        </w:numPr>
        <w:tabs>
          <w:tab w:val="clear" w:pos="1384"/>
          <w:tab w:val="num" w:pos="943"/>
        </w:tabs>
        <w:spacing w:line="640" w:lineRule="exact"/>
        <w:ind w:left="0" w:firstLine="454"/>
        <w:jc w:val="lowKashida"/>
        <w:rPr>
          <w:rFonts w:ascii="Traditional Arabic" w:hAnsi="Traditional Arabic"/>
          <w:rtl/>
        </w:rPr>
      </w:pPr>
      <w:r w:rsidRPr="00C85F0F">
        <w:rPr>
          <w:rFonts w:ascii="Traditional Arabic" w:hAnsi="Traditional Arabic"/>
          <w:rtl/>
        </w:rPr>
        <w:t xml:space="preserve">العلَّامة المفسِّر عبدالرحمن بن ناصر السعدي </w:t>
      </w:r>
      <w:r w:rsidR="009A0575" w:rsidRPr="005D5694">
        <w:rPr>
          <w:rFonts w:ascii="Traditional Arabic" w:hAnsi="Traditional Arabic" w:cs="CTraditional Arabic" w:hint="cs"/>
          <w:rtl/>
        </w:rPr>
        <w:t>/</w:t>
      </w:r>
      <w:r w:rsidRPr="00C85F0F">
        <w:rPr>
          <w:rFonts w:ascii="Traditional Arabic" w:hAnsi="Traditional Arabic"/>
          <w:rtl/>
        </w:rPr>
        <w:t>: ويُعدُّ شيخ</w:t>
      </w:r>
      <w:r w:rsidR="00224993">
        <w:rPr>
          <w:rFonts w:ascii="Traditional Arabic" w:hAnsi="Traditional Arabic" w:hint="cs"/>
          <w:rtl/>
        </w:rPr>
        <w:t>َ</w:t>
      </w:r>
      <w:r w:rsidRPr="00C85F0F">
        <w:rPr>
          <w:rFonts w:ascii="Traditional Arabic" w:hAnsi="Traditional Arabic"/>
          <w:rtl/>
        </w:rPr>
        <w:t>ه الأول</w:t>
      </w:r>
      <w:r w:rsidR="002658E5">
        <w:rPr>
          <w:rFonts w:ascii="Traditional Arabic" w:hAnsi="Traditional Arabic" w:hint="cs"/>
          <w:rtl/>
        </w:rPr>
        <w:t xml:space="preserve">؛ إذ </w:t>
      </w:r>
      <w:r w:rsidR="00CE2EB9">
        <w:rPr>
          <w:rFonts w:ascii="Traditional Arabic" w:hAnsi="Traditional Arabic" w:hint="cs"/>
          <w:rtl/>
        </w:rPr>
        <w:t>لازمه قرابة الست عشرة سنة، و</w:t>
      </w:r>
      <w:r w:rsidR="00224993">
        <w:rPr>
          <w:rFonts w:ascii="Traditional Arabic" w:hAnsi="Traditional Arabic" w:hint="cs"/>
          <w:rtl/>
        </w:rPr>
        <w:t>أخذ عنه العلم</w:t>
      </w:r>
      <w:r w:rsidR="002658E5">
        <w:rPr>
          <w:rFonts w:ascii="Traditional Arabic" w:hAnsi="Traditional Arabic" w:hint="cs"/>
          <w:rtl/>
        </w:rPr>
        <w:t xml:space="preserve"> معرفة</w:t>
      </w:r>
      <w:r w:rsidR="00224993">
        <w:rPr>
          <w:rFonts w:ascii="Traditional Arabic" w:hAnsi="Traditional Arabic" w:hint="cs"/>
          <w:rtl/>
        </w:rPr>
        <w:t>ً</w:t>
      </w:r>
      <w:r w:rsidR="002658E5">
        <w:rPr>
          <w:rFonts w:ascii="Traditional Arabic" w:hAnsi="Traditional Arabic" w:hint="cs"/>
          <w:rtl/>
        </w:rPr>
        <w:t xml:space="preserve"> </w:t>
      </w:r>
      <w:r w:rsidR="00CE2EB9">
        <w:rPr>
          <w:rFonts w:ascii="Traditional Arabic" w:hAnsi="Traditional Arabic" w:hint="cs"/>
          <w:rtl/>
        </w:rPr>
        <w:t>وطريقة</w:t>
      </w:r>
      <w:r w:rsidR="00224993">
        <w:rPr>
          <w:rFonts w:ascii="Traditional Arabic" w:hAnsi="Traditional Arabic" w:hint="cs"/>
          <w:rtl/>
        </w:rPr>
        <w:t>ً</w:t>
      </w:r>
      <w:r w:rsidR="00CE2EB9">
        <w:rPr>
          <w:rFonts w:ascii="Traditional Arabic" w:hAnsi="Traditional Arabic" w:hint="cs"/>
          <w:rtl/>
        </w:rPr>
        <w:t xml:space="preserve"> أكثر مما أخذ عن غيره،</w:t>
      </w:r>
      <w:r w:rsidRPr="00C85F0F">
        <w:rPr>
          <w:rFonts w:ascii="Traditional Arabic" w:hAnsi="Traditional Arabic"/>
          <w:rtl/>
        </w:rPr>
        <w:t xml:space="preserve"> وتأثر بمنهجه وتأصيله</w:t>
      </w:r>
      <w:r w:rsidR="00B76414" w:rsidRPr="00C85F0F">
        <w:rPr>
          <w:rFonts w:ascii="Traditional Arabic" w:hAnsi="Traditional Arabic"/>
          <w:rtl/>
        </w:rPr>
        <w:t>،</w:t>
      </w:r>
      <w:r w:rsidRPr="00C85F0F">
        <w:rPr>
          <w:rFonts w:ascii="Traditional Arabic" w:hAnsi="Traditional Arabic"/>
          <w:rtl/>
        </w:rPr>
        <w:t xml:space="preserve"> </w:t>
      </w:r>
      <w:r w:rsidR="002658E5">
        <w:rPr>
          <w:rFonts w:ascii="Traditional Arabic" w:hAnsi="Traditional Arabic" w:hint="cs"/>
          <w:rtl/>
        </w:rPr>
        <w:t xml:space="preserve">واتباعه للدليل، </w:t>
      </w:r>
      <w:r w:rsidR="002658E5">
        <w:rPr>
          <w:rFonts w:ascii="Traditional Arabic" w:hAnsi="Traditional Arabic"/>
          <w:rtl/>
        </w:rPr>
        <w:t>وطريقة تدريسه</w:t>
      </w:r>
      <w:r w:rsidR="00B76414" w:rsidRPr="00C85F0F">
        <w:rPr>
          <w:rFonts w:ascii="Traditional Arabic" w:hAnsi="Traditional Arabic"/>
          <w:rtl/>
        </w:rPr>
        <w:t>.</w:t>
      </w:r>
      <w:r w:rsidRPr="00C85F0F">
        <w:rPr>
          <w:rFonts w:ascii="Traditional Arabic" w:hAnsi="Traditional Arabic"/>
          <w:rtl/>
        </w:rPr>
        <w:t xml:space="preserve"> يقول الشيخ ابن عثيمين </w:t>
      </w:r>
      <w:r w:rsidR="002658E5">
        <w:rPr>
          <w:rFonts w:ascii="Traditional Arabic" w:hAnsi="Traditional Arabic" w:hint="cs"/>
          <w:rtl/>
        </w:rPr>
        <w:t>_رحمه الله_</w:t>
      </w:r>
      <w:r w:rsidRPr="00C85F0F">
        <w:rPr>
          <w:rFonts w:ascii="Traditional Arabic" w:hAnsi="Traditional Arabic"/>
          <w:rtl/>
        </w:rPr>
        <w:t>: (لقد تأثرت بشيخي عبدالرحمن السعدي في طريقة التدريس وعرض العلم</w:t>
      </w:r>
      <w:r w:rsidR="00B76414" w:rsidRPr="00C85F0F">
        <w:rPr>
          <w:rFonts w:ascii="Traditional Arabic" w:hAnsi="Traditional Arabic"/>
          <w:rtl/>
        </w:rPr>
        <w:t>،</w:t>
      </w:r>
      <w:r w:rsidRPr="00C85F0F">
        <w:rPr>
          <w:rFonts w:ascii="Traditional Arabic" w:hAnsi="Traditional Arabic"/>
          <w:rtl/>
        </w:rPr>
        <w:t xml:space="preserve"> وتقريبه للطلبة بالأمثلة والمعاني)</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14"/>
      </w:r>
      <w:r w:rsidRPr="00C85F0F">
        <w:rPr>
          <w:rFonts w:ascii="Traditional Arabic" w:hAnsi="Traditional Arabic"/>
          <w:szCs w:val="32"/>
          <w:vertAlign w:val="superscript"/>
          <w:rtl/>
        </w:rPr>
        <w:t>)</w:t>
      </w:r>
      <w:r w:rsidR="00B76414" w:rsidRPr="00C85F0F">
        <w:rPr>
          <w:rFonts w:ascii="Traditional Arabic" w:hAnsi="Traditional Arabic"/>
          <w:rtl/>
        </w:rPr>
        <w:t>.</w:t>
      </w:r>
    </w:p>
    <w:p w:rsidR="00F228A9" w:rsidRPr="00C85F0F" w:rsidRDefault="006F08E1" w:rsidP="00514E0F">
      <w:pPr>
        <w:numPr>
          <w:ilvl w:val="0"/>
          <w:numId w:val="16"/>
        </w:numPr>
        <w:tabs>
          <w:tab w:val="clear" w:pos="1384"/>
          <w:tab w:val="num" w:pos="943"/>
        </w:tabs>
        <w:spacing w:line="640" w:lineRule="exact"/>
        <w:ind w:left="0" w:firstLine="454"/>
        <w:jc w:val="lowKashida"/>
        <w:rPr>
          <w:rFonts w:ascii="Traditional Arabic" w:hAnsi="Traditional Arabic"/>
        </w:rPr>
      </w:pPr>
      <w:r w:rsidRPr="00C85F0F">
        <w:rPr>
          <w:rFonts w:ascii="Traditional Arabic" w:hAnsi="Traditional Arabic"/>
          <w:rtl/>
        </w:rPr>
        <w:t>سماحة الشيخ المحدِّث عبدالعزيز بن عبدالله بن باز</w:t>
      </w:r>
      <w:r w:rsidR="009A0575" w:rsidRPr="005D5694">
        <w:rPr>
          <w:rFonts w:ascii="Traditional Arabic" w:hAnsi="Traditional Arabic" w:cs="CTraditional Arabic" w:hint="cs"/>
          <w:rtl/>
        </w:rPr>
        <w:t>/</w:t>
      </w:r>
      <w:r w:rsidR="00CE2EB9">
        <w:rPr>
          <w:rFonts w:ascii="Traditional Arabic" w:hAnsi="Traditional Arabic"/>
          <w:rtl/>
        </w:rPr>
        <w:t>:</w:t>
      </w:r>
      <w:r w:rsidRPr="00C85F0F">
        <w:rPr>
          <w:rFonts w:ascii="Traditional Arabic" w:hAnsi="Traditional Arabic"/>
          <w:rtl/>
        </w:rPr>
        <w:t xml:space="preserve"> قرأ عليه صحيح البخاري وعدداً من رسائل شيخ الإسلام ابن تيمية</w:t>
      </w:r>
      <w:r w:rsidR="00B76414" w:rsidRPr="00C85F0F">
        <w:rPr>
          <w:rFonts w:ascii="Traditional Arabic" w:hAnsi="Traditional Arabic"/>
          <w:rtl/>
        </w:rPr>
        <w:t>،</w:t>
      </w:r>
      <w:r w:rsidR="00133933">
        <w:rPr>
          <w:rFonts w:ascii="Traditional Arabic" w:hAnsi="Traditional Arabic" w:hint="cs"/>
          <w:rtl/>
        </w:rPr>
        <w:t xml:space="preserve"> </w:t>
      </w:r>
      <w:r w:rsidRPr="00C85F0F">
        <w:rPr>
          <w:rFonts w:ascii="Traditional Arabic" w:hAnsi="Traditional Arabic"/>
          <w:rtl/>
        </w:rPr>
        <w:t>وتأثَّر به في علم الحديث</w:t>
      </w:r>
      <w:r w:rsidR="00B76414" w:rsidRPr="00C85F0F">
        <w:rPr>
          <w:rFonts w:ascii="Traditional Arabic" w:hAnsi="Traditional Arabic"/>
          <w:rtl/>
        </w:rPr>
        <w:t>،</w:t>
      </w:r>
      <w:r w:rsidRPr="00C85F0F">
        <w:rPr>
          <w:rFonts w:ascii="Traditional Arabic" w:hAnsi="Traditional Arabic"/>
          <w:rtl/>
        </w:rPr>
        <w:t xml:space="preserve"> والنظر في آراء فقهاء المذاهب والمقارنة بينها</w:t>
      </w:r>
      <w:r w:rsidR="00B76414" w:rsidRPr="00C85F0F">
        <w:rPr>
          <w:rFonts w:ascii="Traditional Arabic" w:hAnsi="Traditional Arabic"/>
          <w:rtl/>
        </w:rPr>
        <w:t>.</w:t>
      </w:r>
      <w:r w:rsidRPr="00C85F0F">
        <w:rPr>
          <w:rFonts w:ascii="Traditional Arabic" w:hAnsi="Traditional Arabic"/>
          <w:rtl/>
        </w:rPr>
        <w:t xml:space="preserve"> يقول </w:t>
      </w:r>
      <w:r w:rsidR="00224993">
        <w:rPr>
          <w:rFonts w:ascii="Traditional Arabic" w:hAnsi="Traditional Arabic"/>
          <w:rtl/>
        </w:rPr>
        <w:t>الشيخ ابن عثيمين</w:t>
      </w:r>
      <w:r w:rsidRPr="00C85F0F">
        <w:rPr>
          <w:rFonts w:ascii="Traditional Arabic" w:hAnsi="Traditional Arabic"/>
          <w:rtl/>
        </w:rPr>
        <w:t>: (لقد تأثرت بالشيخ عبدالعزيز بن باز حفظه الله من جهة العناية بالحديث</w:t>
      </w:r>
      <w:r w:rsidR="00B76414" w:rsidRPr="00C85F0F">
        <w:rPr>
          <w:rFonts w:ascii="Traditional Arabic" w:hAnsi="Traditional Arabic"/>
          <w:rtl/>
        </w:rPr>
        <w:t>،</w:t>
      </w:r>
      <w:r w:rsidRPr="00C85F0F">
        <w:rPr>
          <w:rFonts w:ascii="Traditional Arabic" w:hAnsi="Traditional Arabic"/>
          <w:rtl/>
        </w:rPr>
        <w:t xml:space="preserve"> وتأثَّرت به من جهة الأخلاق أيضاً</w:t>
      </w:r>
      <w:r w:rsidR="00B76414" w:rsidRPr="00C85F0F">
        <w:rPr>
          <w:rFonts w:ascii="Traditional Arabic" w:hAnsi="Traditional Arabic"/>
          <w:rtl/>
        </w:rPr>
        <w:t>،</w:t>
      </w:r>
      <w:r w:rsidRPr="00C85F0F">
        <w:rPr>
          <w:rFonts w:ascii="Traditional Arabic" w:hAnsi="Traditional Arabic"/>
          <w:rtl/>
        </w:rPr>
        <w:t xml:space="preserve"> وبسط نفسه للناس)</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15"/>
      </w:r>
      <w:r w:rsidRPr="00C85F0F">
        <w:rPr>
          <w:rFonts w:ascii="Traditional Arabic" w:hAnsi="Traditional Arabic"/>
          <w:szCs w:val="32"/>
          <w:vertAlign w:val="superscript"/>
          <w:rtl/>
        </w:rPr>
        <w:t>)</w:t>
      </w:r>
      <w:r w:rsidRPr="00C85F0F">
        <w:rPr>
          <w:rFonts w:ascii="Traditional Arabic" w:hAnsi="Traditional Arabic"/>
          <w:rtl/>
        </w:rPr>
        <w:t>، وكثيراً ما كان يقترن اسم الشيخ ابن عثيمين باسم شيخه ابن باز رحمهما الله حتى إذا قيــل : قال الشيخان، أو أفتى الشيخان، فلا ينصرف الذهن إلا إليهما</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16"/>
      </w:r>
      <w:r w:rsidRPr="00C85F0F">
        <w:rPr>
          <w:rFonts w:ascii="Traditional Arabic" w:hAnsi="Traditional Arabic"/>
          <w:szCs w:val="32"/>
          <w:vertAlign w:val="superscript"/>
          <w:rtl/>
        </w:rPr>
        <w:t>)</w:t>
      </w:r>
      <w:r w:rsidR="00514E0F">
        <w:rPr>
          <w:rFonts w:ascii="Traditional Arabic" w:hAnsi="Traditional Arabic" w:hint="cs"/>
          <w:rtl/>
        </w:rPr>
        <w:t>.</w:t>
      </w:r>
    </w:p>
    <w:p w:rsidR="006F08E1" w:rsidRPr="00C85F0F" w:rsidRDefault="006F08E1" w:rsidP="005D1FD9">
      <w:pPr>
        <w:numPr>
          <w:ilvl w:val="0"/>
          <w:numId w:val="16"/>
        </w:numPr>
        <w:tabs>
          <w:tab w:val="clear" w:pos="1384"/>
          <w:tab w:val="num" w:pos="943"/>
        </w:tabs>
        <w:spacing w:line="640" w:lineRule="exact"/>
        <w:ind w:left="0" w:firstLine="454"/>
        <w:jc w:val="lowKashida"/>
        <w:rPr>
          <w:rFonts w:ascii="Traditional Arabic" w:hAnsi="Traditional Arabic"/>
        </w:rPr>
      </w:pPr>
      <w:r w:rsidRPr="00C85F0F">
        <w:rPr>
          <w:rFonts w:ascii="Traditional Arabic" w:hAnsi="Traditional Arabic"/>
          <w:rtl/>
        </w:rPr>
        <w:t xml:space="preserve">الشـــيخ المفسّـر محمد الأمـــين بن محمـــد المختـــار الجكني الشنقيطي </w:t>
      </w:r>
      <w:r w:rsidR="009A0575" w:rsidRPr="005D5694">
        <w:rPr>
          <w:rFonts w:ascii="Traditional Arabic" w:hAnsi="Traditional Arabic" w:cs="CTraditional Arabic" w:hint="cs"/>
          <w:rtl/>
        </w:rPr>
        <w:t>/</w:t>
      </w:r>
      <w:r w:rsidR="005D1FD9">
        <w:rPr>
          <w:rFonts w:ascii="Traditional Arabic" w:hAnsi="Traditional Arabic"/>
          <w:rtl/>
        </w:rPr>
        <w:t>:</w:t>
      </w:r>
      <w:r w:rsidRPr="00C85F0F">
        <w:rPr>
          <w:rFonts w:ascii="Traditional Arabic" w:hAnsi="Traditional Arabic"/>
          <w:rtl/>
        </w:rPr>
        <w:t xml:space="preserve"> </w:t>
      </w:r>
      <w:r w:rsidR="005D1FD9">
        <w:rPr>
          <w:rFonts w:ascii="Traditional Arabic" w:hAnsi="Traditional Arabic" w:hint="cs"/>
          <w:rtl/>
        </w:rPr>
        <w:t xml:space="preserve">وهو مفسر </w:t>
      </w:r>
      <w:r w:rsidR="005D1FD9">
        <w:rPr>
          <w:rFonts w:ascii="Traditional Arabic" w:hAnsi="Traditional Arabic" w:hint="cs"/>
          <w:rtl/>
        </w:rPr>
        <w:lastRenderedPageBreak/>
        <w:t xml:space="preserve">لغوي </w:t>
      </w:r>
      <w:r w:rsidRPr="00C85F0F">
        <w:rPr>
          <w:rFonts w:ascii="Traditional Arabic" w:hAnsi="Traditional Arabic"/>
          <w:rtl/>
        </w:rPr>
        <w:t>صاحب التفسير المشهور (أضواء البيان في إ</w:t>
      </w:r>
      <w:r w:rsidR="005D1FD9">
        <w:rPr>
          <w:rFonts w:ascii="Traditional Arabic" w:hAnsi="Traditional Arabic"/>
          <w:rtl/>
        </w:rPr>
        <w:t>يضاح القرآن بالقرآن)</w:t>
      </w:r>
      <w:r w:rsidR="005D1FD9">
        <w:rPr>
          <w:rFonts w:ascii="Traditional Arabic" w:hAnsi="Traditional Arabic" w:hint="cs"/>
          <w:rtl/>
        </w:rPr>
        <w:t>.</w:t>
      </w:r>
      <w:r w:rsidRPr="00C85F0F">
        <w:rPr>
          <w:rFonts w:ascii="Traditional Arabic" w:hAnsi="Traditional Arabic"/>
          <w:rtl/>
        </w:rPr>
        <w:t xml:space="preserve"> </w:t>
      </w:r>
      <w:r w:rsidR="005D1FD9">
        <w:rPr>
          <w:rFonts w:ascii="Traditional Arabic" w:hAnsi="Traditional Arabic" w:hint="cs"/>
          <w:rtl/>
        </w:rPr>
        <w:t>قال عنه الشيخ العثيمين لما كان يدرِّسه في المعهد العلمي بالرياض: (...فلما ابتدأ الشنقيطي درسه، انهالت ع</w:t>
      </w:r>
      <w:r w:rsidR="00224993">
        <w:rPr>
          <w:rFonts w:ascii="Traditional Arabic" w:hAnsi="Traditional Arabic" w:hint="cs"/>
          <w:rtl/>
        </w:rPr>
        <w:t>لينا الدُرَر من الفوائد العلمية</w:t>
      </w:r>
      <w:r w:rsidR="005D1FD9">
        <w:rPr>
          <w:rFonts w:ascii="Traditional Arabic" w:hAnsi="Traditional Arabic" w:hint="cs"/>
          <w:rtl/>
        </w:rPr>
        <w:t xml:space="preserve"> من بحر علمه الزاخر، فعلمنا أننا أمام جِهبذ من العلماء، وف</w:t>
      </w:r>
      <w:r w:rsidR="00224993">
        <w:rPr>
          <w:rFonts w:ascii="Traditional Arabic" w:hAnsi="Traditional Arabic" w:hint="cs"/>
          <w:rtl/>
        </w:rPr>
        <w:t>َ</w:t>
      </w:r>
      <w:r w:rsidR="005D1FD9">
        <w:rPr>
          <w:rFonts w:ascii="Traditional Arabic" w:hAnsi="Traditional Arabic" w:hint="cs"/>
          <w:rtl/>
        </w:rPr>
        <w:t>ح</w:t>
      </w:r>
      <w:r w:rsidR="00224993">
        <w:rPr>
          <w:rFonts w:ascii="Traditional Arabic" w:hAnsi="Traditional Arabic" w:hint="cs"/>
          <w:rtl/>
        </w:rPr>
        <w:t>ْ</w:t>
      </w:r>
      <w:r w:rsidR="005D1FD9">
        <w:rPr>
          <w:rFonts w:ascii="Traditional Arabic" w:hAnsi="Traditional Arabic" w:hint="cs"/>
          <w:rtl/>
        </w:rPr>
        <w:t>ل</w:t>
      </w:r>
      <w:r w:rsidR="00224993">
        <w:rPr>
          <w:rFonts w:ascii="Traditional Arabic" w:hAnsi="Traditional Arabic" w:hint="cs"/>
          <w:rtl/>
        </w:rPr>
        <w:t>ٍ</w:t>
      </w:r>
      <w:r w:rsidR="005D1FD9">
        <w:rPr>
          <w:rFonts w:ascii="Traditional Arabic" w:hAnsi="Traditional Arabic" w:hint="cs"/>
          <w:rtl/>
        </w:rPr>
        <w:t xml:space="preserve"> من ف</w:t>
      </w:r>
      <w:r w:rsidR="00224993">
        <w:rPr>
          <w:rFonts w:ascii="Traditional Arabic" w:hAnsi="Traditional Arabic" w:hint="cs"/>
          <w:rtl/>
        </w:rPr>
        <w:t>ُ</w:t>
      </w:r>
      <w:r w:rsidR="005D1FD9">
        <w:rPr>
          <w:rFonts w:ascii="Traditional Arabic" w:hAnsi="Traditional Arabic" w:hint="cs"/>
          <w:rtl/>
        </w:rPr>
        <w:t>حولها، فاستفدنا من علمه، وسَمْته، وخ</w:t>
      </w:r>
      <w:r w:rsidR="00224993">
        <w:rPr>
          <w:rFonts w:ascii="Traditional Arabic" w:hAnsi="Traditional Arabic" w:hint="cs"/>
          <w:rtl/>
        </w:rPr>
        <w:t>ُ</w:t>
      </w:r>
      <w:r w:rsidR="005D1FD9">
        <w:rPr>
          <w:rFonts w:ascii="Traditional Arabic" w:hAnsi="Traditional Arabic" w:hint="cs"/>
          <w:rtl/>
        </w:rPr>
        <w:t>لقه، وورعه، وزهده)</w:t>
      </w:r>
      <w:r w:rsidR="003174F8" w:rsidRPr="003174F8">
        <w:rPr>
          <w:rFonts w:ascii="Traditional Arabic" w:hAnsi="Traditional Arabic" w:hint="cs"/>
          <w:vertAlign w:val="superscript"/>
          <w:rtl/>
        </w:rPr>
        <w:t>(</w:t>
      </w:r>
      <w:r w:rsidR="005D1FD9" w:rsidRPr="003174F8">
        <w:rPr>
          <w:rStyle w:val="af1"/>
          <w:rFonts w:ascii="Traditional Arabic" w:hAnsi="Traditional Arabic"/>
          <w:rtl/>
        </w:rPr>
        <w:footnoteReference w:id="17"/>
      </w:r>
      <w:r w:rsidR="003174F8" w:rsidRPr="003174F8">
        <w:rPr>
          <w:rFonts w:ascii="Traditional Arabic" w:hAnsi="Traditional Arabic" w:hint="cs"/>
          <w:vertAlign w:val="superscript"/>
          <w:rtl/>
        </w:rPr>
        <w:t>)</w:t>
      </w:r>
      <w:r w:rsidR="005D1FD9">
        <w:rPr>
          <w:rFonts w:ascii="Traditional Arabic" w:hAnsi="Traditional Arabic" w:hint="cs"/>
          <w:rtl/>
        </w:rPr>
        <w:t>.</w:t>
      </w:r>
    </w:p>
    <w:p w:rsidR="006F08E1" w:rsidRPr="00C85F0F" w:rsidRDefault="006F08E1" w:rsidP="003D32C1">
      <w:pPr>
        <w:numPr>
          <w:ilvl w:val="0"/>
          <w:numId w:val="16"/>
        </w:numPr>
        <w:tabs>
          <w:tab w:val="clear" w:pos="1384"/>
          <w:tab w:val="num" w:pos="943"/>
        </w:tabs>
        <w:spacing w:line="640" w:lineRule="exact"/>
        <w:ind w:left="0" w:firstLine="454"/>
        <w:jc w:val="lowKashida"/>
        <w:rPr>
          <w:rFonts w:ascii="Traditional Arabic" w:hAnsi="Traditional Arabic"/>
        </w:rPr>
      </w:pPr>
      <w:r w:rsidRPr="00C85F0F">
        <w:rPr>
          <w:rFonts w:ascii="Traditional Arabic" w:hAnsi="Traditional Arabic"/>
          <w:rtl/>
        </w:rPr>
        <w:t xml:space="preserve">الشيخ محمد بن عبدالعزيز المطوع </w:t>
      </w:r>
      <w:r w:rsidR="009A0575" w:rsidRPr="005D5694">
        <w:rPr>
          <w:rFonts w:ascii="Traditional Arabic" w:hAnsi="Traditional Arabic" w:cs="CTraditional Arabic" w:hint="cs"/>
          <w:rtl/>
        </w:rPr>
        <w:t>/</w:t>
      </w:r>
      <w:r w:rsidR="003D32C1" w:rsidRPr="003D32C1">
        <w:rPr>
          <w:rFonts w:ascii="Traditional Arabic" w:hAnsi="Traditional Arabic" w:hint="cs"/>
          <w:vertAlign w:val="superscript"/>
          <w:rtl/>
        </w:rPr>
        <w:t>(</w:t>
      </w:r>
      <w:r w:rsidR="003D32C1" w:rsidRPr="003D32C1">
        <w:rPr>
          <w:rStyle w:val="af1"/>
          <w:rFonts w:ascii="Traditional Arabic" w:hAnsi="Traditional Arabic"/>
          <w:rtl/>
        </w:rPr>
        <w:footnoteReference w:id="18"/>
      </w:r>
      <w:r w:rsidR="003D32C1" w:rsidRPr="003D32C1">
        <w:rPr>
          <w:rFonts w:ascii="Traditional Arabic" w:hAnsi="Traditional Arabic" w:hint="cs"/>
          <w:vertAlign w:val="superscript"/>
          <w:rtl/>
        </w:rPr>
        <w:t>)</w:t>
      </w:r>
      <w:r w:rsidRPr="00C85F0F">
        <w:rPr>
          <w:rFonts w:ascii="Traditional Arabic" w:hAnsi="Traditional Arabic"/>
          <w:rtl/>
        </w:rPr>
        <w:t>: قاضي عنيزة</w:t>
      </w:r>
      <w:r w:rsidR="00B76414" w:rsidRPr="00C85F0F">
        <w:rPr>
          <w:rFonts w:ascii="Traditional Arabic" w:hAnsi="Traditional Arabic"/>
          <w:rtl/>
        </w:rPr>
        <w:t>،</w:t>
      </w:r>
      <w:r w:rsidRPr="00C85F0F">
        <w:rPr>
          <w:rFonts w:ascii="Traditional Arabic" w:hAnsi="Traditional Arabic"/>
          <w:rtl/>
        </w:rPr>
        <w:t xml:space="preserve"> وقد قرأ عليه</w:t>
      </w:r>
      <w:r w:rsidR="003174F8">
        <w:rPr>
          <w:rFonts w:ascii="Traditional Arabic" w:hAnsi="Traditional Arabic"/>
          <w:rtl/>
        </w:rPr>
        <w:t xml:space="preserve"> الشيخ ابن عثيمين </w:t>
      </w:r>
      <w:r w:rsidRPr="00C85F0F">
        <w:rPr>
          <w:rFonts w:ascii="Traditional Arabic" w:hAnsi="Traditional Arabic"/>
          <w:rtl/>
        </w:rPr>
        <w:t>مختصر العقيدة الواسطية</w:t>
      </w:r>
      <w:r w:rsidR="00B76414" w:rsidRPr="00C85F0F">
        <w:rPr>
          <w:rFonts w:ascii="Traditional Arabic" w:hAnsi="Traditional Arabic"/>
          <w:rtl/>
        </w:rPr>
        <w:t>،</w:t>
      </w:r>
      <w:r w:rsidR="00224993">
        <w:rPr>
          <w:rFonts w:ascii="Traditional Arabic" w:hAnsi="Traditional Arabic"/>
          <w:rtl/>
        </w:rPr>
        <w:t xml:space="preserve"> ومنه</w:t>
      </w:r>
      <w:r w:rsidRPr="00C85F0F">
        <w:rPr>
          <w:rFonts w:ascii="Traditional Arabic" w:hAnsi="Traditional Arabic"/>
          <w:rtl/>
        </w:rPr>
        <w:t>ج السالكين في الفقه - كلاهما للسعدي -</w:t>
      </w:r>
      <w:r w:rsidR="00B76414" w:rsidRPr="00C85F0F">
        <w:rPr>
          <w:rFonts w:ascii="Traditional Arabic" w:hAnsi="Traditional Arabic"/>
          <w:rtl/>
        </w:rPr>
        <w:t>،</w:t>
      </w:r>
      <w:r w:rsidRPr="00C85F0F">
        <w:rPr>
          <w:rFonts w:ascii="Traditional Arabic" w:hAnsi="Traditional Arabic"/>
          <w:rtl/>
        </w:rPr>
        <w:t xml:space="preserve"> وكذلك الآجرومية</w:t>
      </w:r>
      <w:r w:rsidR="00B76414" w:rsidRPr="00C85F0F">
        <w:rPr>
          <w:rFonts w:ascii="Traditional Arabic" w:hAnsi="Traditional Arabic"/>
          <w:rtl/>
        </w:rPr>
        <w:t>،</w:t>
      </w:r>
      <w:r w:rsidRPr="00C85F0F">
        <w:rPr>
          <w:rFonts w:ascii="Traditional Arabic" w:hAnsi="Traditional Arabic"/>
          <w:rtl/>
        </w:rPr>
        <w:t xml:space="preserve"> والألفية في النحو والصرف</w:t>
      </w:r>
      <w:r w:rsidR="00B76414" w:rsidRPr="00C85F0F">
        <w:rPr>
          <w:rFonts w:ascii="Traditional Arabic" w:hAnsi="Traditional Arabic"/>
          <w:rtl/>
        </w:rPr>
        <w:t>.</w:t>
      </w:r>
    </w:p>
    <w:p w:rsidR="006F08E1" w:rsidRPr="00C85F0F" w:rsidRDefault="006F08E1" w:rsidP="00C4587C">
      <w:pPr>
        <w:numPr>
          <w:ilvl w:val="0"/>
          <w:numId w:val="16"/>
        </w:numPr>
        <w:tabs>
          <w:tab w:val="clear" w:pos="1384"/>
          <w:tab w:val="num" w:pos="943"/>
        </w:tabs>
        <w:spacing w:line="640" w:lineRule="exact"/>
        <w:ind w:left="0" w:firstLine="454"/>
        <w:jc w:val="lowKashida"/>
        <w:rPr>
          <w:rFonts w:ascii="Traditional Arabic" w:hAnsi="Traditional Arabic"/>
        </w:rPr>
      </w:pPr>
      <w:r w:rsidRPr="00C85F0F">
        <w:rPr>
          <w:rFonts w:ascii="Traditional Arabic" w:hAnsi="Traditional Arabic"/>
          <w:rtl/>
        </w:rPr>
        <w:t>الشيخ عبدالرحمن بن علي بن عودان</w:t>
      </w:r>
      <w:r w:rsidR="00C4587C">
        <w:rPr>
          <w:rFonts w:ascii="Traditional Arabic" w:hAnsi="Traditional Arabic" w:hint="cs"/>
          <w:szCs w:val="32"/>
          <w:vertAlign w:val="superscript"/>
          <w:rtl/>
        </w:rPr>
        <w:t xml:space="preserve"> </w:t>
      </w:r>
      <w:r w:rsidR="009A0575" w:rsidRPr="005D5694">
        <w:rPr>
          <w:rFonts w:ascii="Traditional Arabic" w:hAnsi="Traditional Arabic" w:cs="CTraditional Arabic" w:hint="cs"/>
          <w:rtl/>
        </w:rPr>
        <w:t>/</w:t>
      </w:r>
      <w:r w:rsidRPr="00C85F0F">
        <w:rPr>
          <w:rFonts w:ascii="Traditional Arabic" w:hAnsi="Traditional Arabic"/>
          <w:rtl/>
        </w:rPr>
        <w:t>: ودرس عليه عدداً من كتب الفقــه والفرائض</w:t>
      </w:r>
      <w:r w:rsidR="00B76414" w:rsidRPr="00C85F0F">
        <w:rPr>
          <w:rFonts w:ascii="Traditional Arabic" w:hAnsi="Traditional Arabic"/>
          <w:rtl/>
        </w:rPr>
        <w:t>،</w:t>
      </w:r>
      <w:r w:rsidRPr="00C85F0F">
        <w:rPr>
          <w:rFonts w:ascii="Traditional Arabic" w:hAnsi="Traditional Arabic"/>
          <w:rtl/>
        </w:rPr>
        <w:t xml:space="preserve"> وذلك في الفترة ما بين سنة (1361هـ) إلى سنة (1369هـ)</w:t>
      </w:r>
      <w:r w:rsidR="00B76414" w:rsidRPr="00C85F0F">
        <w:rPr>
          <w:rFonts w:ascii="Traditional Arabic" w:hAnsi="Traditional Arabic"/>
          <w:rtl/>
        </w:rPr>
        <w:t>.</w:t>
      </w:r>
    </w:p>
    <w:p w:rsidR="006F08E1" w:rsidRPr="00C85F0F" w:rsidRDefault="006F08E1" w:rsidP="003174F8">
      <w:pPr>
        <w:numPr>
          <w:ilvl w:val="0"/>
          <w:numId w:val="16"/>
        </w:numPr>
        <w:tabs>
          <w:tab w:val="clear" w:pos="1384"/>
          <w:tab w:val="num" w:pos="943"/>
        </w:tabs>
        <w:spacing w:line="640" w:lineRule="exact"/>
        <w:ind w:left="0" w:firstLine="454"/>
        <w:jc w:val="lowKashida"/>
        <w:rPr>
          <w:rFonts w:ascii="Traditional Arabic" w:hAnsi="Traditional Arabic"/>
        </w:rPr>
      </w:pPr>
      <w:r w:rsidRPr="00C85F0F">
        <w:rPr>
          <w:rFonts w:ascii="Traditional Arabic" w:hAnsi="Traditional Arabic"/>
          <w:rtl/>
        </w:rPr>
        <w:t>الشيخ عبدالرزاق بن عفيفي المصري</w:t>
      </w:r>
      <w:r w:rsidR="009A0575" w:rsidRPr="005D5694">
        <w:rPr>
          <w:rFonts w:ascii="Traditional Arabic" w:hAnsi="Traditional Arabic" w:cs="CTraditional Arabic" w:hint="cs"/>
          <w:rtl/>
        </w:rPr>
        <w:t>/</w:t>
      </w:r>
      <w:r w:rsidRPr="00C85F0F">
        <w:rPr>
          <w:rFonts w:ascii="Traditional Arabic" w:hAnsi="Traditional Arabic"/>
          <w:rtl/>
        </w:rPr>
        <w:t>: ودرس عليه الشيخ ابن عثيمين أثناء وجوده مُدِّرساً في المعهد العلمي في مدينة عنيزة</w:t>
      </w:r>
      <w:r w:rsidR="00B76414" w:rsidRPr="00C85F0F">
        <w:rPr>
          <w:rFonts w:ascii="Traditional Arabic" w:hAnsi="Traditional Arabic"/>
          <w:rtl/>
        </w:rPr>
        <w:t>،</w:t>
      </w:r>
      <w:r w:rsidRPr="00C85F0F">
        <w:rPr>
          <w:rFonts w:ascii="Traditional Arabic" w:hAnsi="Traditional Arabic"/>
          <w:rtl/>
        </w:rPr>
        <w:t xml:space="preserve"> وقرأ عليه في النحو والبلاغة</w:t>
      </w:r>
      <w:r w:rsidR="00B76414" w:rsidRPr="00C85F0F">
        <w:rPr>
          <w:rFonts w:ascii="Traditional Arabic" w:hAnsi="Traditional Arabic"/>
          <w:rtl/>
        </w:rPr>
        <w:t>،</w:t>
      </w:r>
      <w:r w:rsidRPr="00C85F0F">
        <w:rPr>
          <w:rFonts w:ascii="Traditional Arabic" w:hAnsi="Traditional Arabic"/>
          <w:rtl/>
        </w:rPr>
        <w:t xml:space="preserve"> وكان ذلك سنة (1370هـ)</w:t>
      </w:r>
      <w:r w:rsidR="00B76414" w:rsidRPr="00C85F0F">
        <w:rPr>
          <w:rFonts w:ascii="Traditional Arabic" w:hAnsi="Traditional Arabic"/>
          <w:rtl/>
        </w:rPr>
        <w:t>.</w:t>
      </w:r>
    </w:p>
    <w:p w:rsidR="006F08E1" w:rsidRPr="00C85F0F" w:rsidRDefault="006F08E1" w:rsidP="00597C20">
      <w:pPr>
        <w:numPr>
          <w:ilvl w:val="0"/>
          <w:numId w:val="16"/>
        </w:numPr>
        <w:tabs>
          <w:tab w:val="clear" w:pos="1384"/>
          <w:tab w:val="num" w:pos="943"/>
        </w:tabs>
        <w:spacing w:line="640" w:lineRule="exact"/>
        <w:ind w:left="0" w:firstLine="454"/>
        <w:jc w:val="lowKashida"/>
        <w:rPr>
          <w:rFonts w:ascii="Traditional Arabic" w:hAnsi="Traditional Arabic"/>
        </w:rPr>
      </w:pPr>
      <w:r w:rsidRPr="00C85F0F">
        <w:rPr>
          <w:rFonts w:ascii="Traditional Arabic" w:hAnsi="Traditional Arabic"/>
          <w:rtl/>
        </w:rPr>
        <w:t>الشيخ عبدالعزيز بن ناصر بن رشيد</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19"/>
      </w:r>
      <w:r w:rsidRPr="00C85F0F">
        <w:rPr>
          <w:rFonts w:ascii="Traditional Arabic" w:hAnsi="Traditional Arabic"/>
          <w:szCs w:val="32"/>
          <w:vertAlign w:val="superscript"/>
          <w:rtl/>
        </w:rPr>
        <w:t>)</w:t>
      </w:r>
      <w:r w:rsidRPr="00C85F0F">
        <w:rPr>
          <w:rFonts w:ascii="Traditional Arabic" w:hAnsi="Traditional Arabic"/>
          <w:rtl/>
        </w:rPr>
        <w:t xml:space="preserve">: يقول الشيخ ابن عثيمين </w:t>
      </w:r>
      <w:r w:rsidR="009A0575" w:rsidRPr="005D5694">
        <w:rPr>
          <w:rFonts w:ascii="Traditional Arabic" w:hAnsi="Traditional Arabic" w:cs="CTraditional Arabic" w:hint="cs"/>
          <w:rtl/>
        </w:rPr>
        <w:t>/</w:t>
      </w:r>
      <w:r w:rsidRPr="00C85F0F">
        <w:rPr>
          <w:rFonts w:ascii="Traditional Arabic" w:hAnsi="Traditional Arabic"/>
          <w:rtl/>
        </w:rPr>
        <w:t xml:space="preserve">: (انتفعت منه </w:t>
      </w:r>
      <w:r w:rsidRPr="00C85F0F">
        <w:rPr>
          <w:rFonts w:ascii="Traditional Arabic" w:hAnsi="Traditional Arabic"/>
          <w:rtl/>
        </w:rPr>
        <w:lastRenderedPageBreak/>
        <w:t>كثيراً في حساب علم الفرائض)</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20"/>
      </w:r>
      <w:r w:rsidRPr="00C85F0F">
        <w:rPr>
          <w:rFonts w:ascii="Traditional Arabic" w:hAnsi="Traditional Arabic"/>
          <w:szCs w:val="32"/>
          <w:vertAlign w:val="superscript"/>
          <w:rtl/>
        </w:rPr>
        <w:t>)</w:t>
      </w:r>
      <w:r w:rsidR="00B76414" w:rsidRPr="00C85F0F">
        <w:rPr>
          <w:rFonts w:ascii="Traditional Arabic" w:hAnsi="Traditional Arabic"/>
          <w:rtl/>
        </w:rPr>
        <w:t>.</w:t>
      </w:r>
    </w:p>
    <w:p w:rsidR="00065E4B" w:rsidRPr="00C85F0F" w:rsidRDefault="006F08E1" w:rsidP="00597C20">
      <w:pPr>
        <w:numPr>
          <w:ilvl w:val="0"/>
          <w:numId w:val="16"/>
        </w:numPr>
        <w:tabs>
          <w:tab w:val="clear" w:pos="1384"/>
          <w:tab w:val="num" w:pos="943"/>
        </w:tabs>
        <w:spacing w:line="640" w:lineRule="exact"/>
        <w:ind w:left="0" w:firstLine="454"/>
        <w:jc w:val="lowKashida"/>
        <w:rPr>
          <w:rFonts w:ascii="Traditional Arabic" w:hAnsi="Traditional Arabic"/>
        </w:rPr>
      </w:pPr>
      <w:r w:rsidRPr="00C85F0F">
        <w:rPr>
          <w:rFonts w:ascii="Traditional Arabic" w:hAnsi="Traditional Arabic"/>
          <w:rtl/>
        </w:rPr>
        <w:t>الشيخ عبدالرحم</w:t>
      </w:r>
      <w:r w:rsidR="002768D7">
        <w:rPr>
          <w:rFonts w:ascii="Traditional Arabic" w:hAnsi="Traditional Arabic"/>
          <w:rtl/>
        </w:rPr>
        <w:t>ن ا</w:t>
      </w:r>
      <w:r w:rsidR="002768D7">
        <w:rPr>
          <w:rFonts w:ascii="Traditional Arabic" w:hAnsi="Traditional Arabic" w:hint="cs"/>
          <w:rtl/>
        </w:rPr>
        <w:t>لإ</w:t>
      </w:r>
      <w:r w:rsidRPr="00C85F0F">
        <w:rPr>
          <w:rFonts w:ascii="Traditional Arabic" w:hAnsi="Traditional Arabic"/>
          <w:rtl/>
        </w:rPr>
        <w:t>فريقي</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21"/>
      </w:r>
      <w:r w:rsidRPr="00C85F0F">
        <w:rPr>
          <w:rFonts w:ascii="Traditional Arabic" w:hAnsi="Traditional Arabic"/>
          <w:szCs w:val="32"/>
          <w:vertAlign w:val="superscript"/>
          <w:rtl/>
        </w:rPr>
        <w:t>)</w:t>
      </w:r>
      <w:r w:rsidRPr="00C85F0F">
        <w:rPr>
          <w:rFonts w:ascii="Traditional Arabic" w:hAnsi="Traditional Arabic"/>
          <w:rtl/>
        </w:rPr>
        <w:t xml:space="preserve"> : وقد قرأ عليه الشيخ ابن عثيمين </w:t>
      </w:r>
      <w:r w:rsidR="009A0575" w:rsidRPr="005D5694">
        <w:rPr>
          <w:rFonts w:ascii="Traditional Arabic" w:hAnsi="Traditional Arabic" w:cs="CTraditional Arabic" w:hint="cs"/>
          <w:rtl/>
        </w:rPr>
        <w:t>/</w:t>
      </w:r>
      <w:r w:rsidRPr="00C85F0F">
        <w:rPr>
          <w:rFonts w:ascii="Traditional Arabic" w:hAnsi="Traditional Arabic"/>
          <w:rtl/>
        </w:rPr>
        <w:t xml:space="preserve"> في علم الحديث</w:t>
      </w:r>
      <w:r w:rsidR="00EE57EC">
        <w:rPr>
          <w:rFonts w:ascii="Traditional Arabic" w:hAnsi="Traditional Arabic" w:hint="cs"/>
          <w:rtl/>
        </w:rPr>
        <w:t xml:space="preserve"> لما كان يدرس بالمعهد العلمي بالرياض</w:t>
      </w:r>
      <w:r w:rsidRPr="00C85F0F">
        <w:rPr>
          <w:rFonts w:ascii="Traditional Arabic" w:hAnsi="Traditional Arabic"/>
          <w:rtl/>
        </w:rPr>
        <w:t>.</w:t>
      </w:r>
    </w:p>
    <w:p w:rsidR="006F08E1" w:rsidRPr="00597C20" w:rsidRDefault="00065E4B" w:rsidP="00597C20">
      <w:pPr>
        <w:pStyle w:val="53"/>
        <w:rPr>
          <w:rtl/>
        </w:rPr>
      </w:pPr>
      <w:r w:rsidRPr="00C85F0F">
        <w:rPr>
          <w:rFonts w:hint="cs"/>
          <w:rtl/>
        </w:rPr>
        <w:t>ث</w:t>
      </w:r>
      <w:r w:rsidR="006F08E1" w:rsidRPr="00C85F0F">
        <w:rPr>
          <w:rFonts w:hint="cs"/>
          <w:rtl/>
        </w:rPr>
        <w:t>انيا: تلاميذه:</w:t>
      </w:r>
    </w:p>
    <w:p w:rsidR="00F228A9" w:rsidRPr="00C85F0F" w:rsidRDefault="00491A5A" w:rsidP="00491A5A">
      <w:pPr>
        <w:spacing w:line="640" w:lineRule="exact"/>
        <w:ind w:firstLine="0"/>
        <w:jc w:val="lowKashida"/>
        <w:rPr>
          <w:rFonts w:ascii="Traditional Arabic" w:hAnsi="Traditional Arabic"/>
          <w:rtl/>
        </w:rPr>
      </w:pPr>
      <w:r>
        <w:rPr>
          <w:rFonts w:ascii="Traditional Arabic" w:hAnsi="Traditional Arabic" w:hint="cs"/>
          <w:rtl/>
        </w:rPr>
        <w:t xml:space="preserve">      </w:t>
      </w:r>
      <w:r w:rsidR="006F08E1" w:rsidRPr="00C85F0F">
        <w:rPr>
          <w:rFonts w:ascii="Traditional Arabic" w:hAnsi="Traditional Arabic"/>
          <w:rtl/>
        </w:rPr>
        <w:t xml:space="preserve"> كانت بداية تصدِّي الشيخ ابن عثيمين </w:t>
      </w:r>
      <w:r w:rsidR="009A0575" w:rsidRPr="005D5694">
        <w:rPr>
          <w:rFonts w:ascii="Traditional Arabic" w:hAnsi="Traditional Arabic" w:cs="CTraditional Arabic" w:hint="cs"/>
          <w:rtl/>
        </w:rPr>
        <w:t>/</w:t>
      </w:r>
      <w:r>
        <w:rPr>
          <w:rFonts w:ascii="Traditional Arabic" w:hAnsi="Traditional Arabic"/>
          <w:rtl/>
        </w:rPr>
        <w:t xml:space="preserve"> للتدريس في </w:t>
      </w:r>
      <w:r w:rsidR="009C5A6B">
        <w:rPr>
          <w:rFonts w:ascii="Traditional Arabic" w:hAnsi="Traditional Arabic" w:hint="cs"/>
          <w:rtl/>
        </w:rPr>
        <w:t xml:space="preserve">عام </w:t>
      </w:r>
      <w:r>
        <w:rPr>
          <w:rFonts w:ascii="Traditional Arabic" w:hAnsi="Traditional Arabic"/>
          <w:rtl/>
        </w:rPr>
        <w:t>1371هـ</w:t>
      </w:r>
      <w:r w:rsidR="006F08E1" w:rsidRPr="00C85F0F">
        <w:rPr>
          <w:rFonts w:ascii="Traditional Arabic" w:hAnsi="Traditional Arabic"/>
          <w:rtl/>
        </w:rPr>
        <w:t xml:space="preserve"> حتى آخر ليلة من رمضان سنة (1421هـ)</w:t>
      </w:r>
      <w:r w:rsidR="00B76414" w:rsidRPr="00C85F0F">
        <w:rPr>
          <w:rFonts w:ascii="Traditional Arabic" w:hAnsi="Traditional Arabic"/>
          <w:rtl/>
        </w:rPr>
        <w:t>،</w:t>
      </w:r>
      <w:r w:rsidR="006F08E1" w:rsidRPr="00C85F0F">
        <w:rPr>
          <w:rFonts w:ascii="Traditional Arabic" w:hAnsi="Traditional Arabic"/>
          <w:rtl/>
        </w:rPr>
        <w:t xml:space="preserve"> ف</w:t>
      </w:r>
      <w:r>
        <w:rPr>
          <w:rFonts w:ascii="Traditional Arabic" w:hAnsi="Traditional Arabic"/>
          <w:rtl/>
        </w:rPr>
        <w:t xml:space="preserve">قد عكف في المسجد قرابة </w:t>
      </w:r>
      <w:r w:rsidR="006F08E1" w:rsidRPr="00C85F0F">
        <w:rPr>
          <w:rFonts w:ascii="Traditional Arabic" w:hAnsi="Traditional Arabic"/>
          <w:rtl/>
        </w:rPr>
        <w:t>نصف قرن" في نشر هذا العلم وتبليغه</w:t>
      </w:r>
      <w:r w:rsidR="006F08E1" w:rsidRPr="00404164">
        <w:rPr>
          <w:rFonts w:ascii="Traditional Arabic" w:hAnsi="Traditional Arabic"/>
          <w:szCs w:val="32"/>
          <w:vertAlign w:val="superscript"/>
          <w:rtl/>
        </w:rPr>
        <w:t>(</w:t>
      </w:r>
      <w:r w:rsidR="006F08E1" w:rsidRPr="00404164">
        <w:rPr>
          <w:rStyle w:val="af1"/>
          <w:rFonts w:ascii="Traditional Arabic" w:hAnsi="Traditional Arabic"/>
          <w:szCs w:val="32"/>
          <w:rtl/>
        </w:rPr>
        <w:footnoteReference w:id="22"/>
      </w:r>
      <w:r w:rsidR="006F08E1" w:rsidRPr="00404164">
        <w:rPr>
          <w:rFonts w:ascii="Traditional Arabic" w:hAnsi="Traditional Arabic"/>
          <w:szCs w:val="32"/>
          <w:vertAlign w:val="superscript"/>
          <w:rtl/>
        </w:rPr>
        <w:t>)</w:t>
      </w:r>
      <w:r w:rsidR="00B76414" w:rsidRPr="00C85F0F">
        <w:rPr>
          <w:rFonts w:ascii="Traditional Arabic" w:hAnsi="Traditional Arabic"/>
          <w:rtl/>
        </w:rPr>
        <w:t>،</w:t>
      </w:r>
      <w:r w:rsidR="006F08E1" w:rsidRPr="00C85F0F">
        <w:rPr>
          <w:rFonts w:ascii="Traditional Arabic" w:hAnsi="Traditional Arabic"/>
          <w:rtl/>
        </w:rPr>
        <w:t xml:space="preserve"> ويمكن تقسيم مراحل التتلمذ على الشيخ ابن عثيمين - </w:t>
      </w:r>
      <w:r w:rsidR="009A0575" w:rsidRPr="005D5694">
        <w:rPr>
          <w:rFonts w:ascii="Traditional Arabic" w:hAnsi="Traditional Arabic" w:cs="CTraditional Arabic" w:hint="cs"/>
          <w:rtl/>
        </w:rPr>
        <w:t>/</w:t>
      </w:r>
      <w:r w:rsidR="006F08E1" w:rsidRPr="00C85F0F">
        <w:rPr>
          <w:rFonts w:ascii="Traditional Arabic" w:hAnsi="Traditional Arabic"/>
          <w:rtl/>
        </w:rPr>
        <w:t xml:space="preserve"> - خلال ت</w:t>
      </w:r>
      <w:r w:rsidR="002F5E4C">
        <w:rPr>
          <w:rFonts w:ascii="Traditional Arabic" w:hAnsi="Traditional Arabic"/>
          <w:rtl/>
        </w:rPr>
        <w:t xml:space="preserve">لك المدة الطويلة إلى </w:t>
      </w:r>
      <w:r w:rsidR="002F5E4C">
        <w:rPr>
          <w:rFonts w:ascii="Traditional Arabic" w:hAnsi="Traditional Arabic" w:hint="cs"/>
          <w:rtl/>
        </w:rPr>
        <w:lastRenderedPageBreak/>
        <w:t>ثلاث</w:t>
      </w:r>
      <w:r w:rsidR="002F5E4C">
        <w:rPr>
          <w:rFonts w:ascii="Traditional Arabic" w:hAnsi="Traditional Arabic"/>
          <w:rtl/>
        </w:rPr>
        <w:t xml:space="preserve"> مر</w:t>
      </w:r>
      <w:r w:rsidR="002F5E4C">
        <w:rPr>
          <w:rFonts w:ascii="Traditional Arabic" w:hAnsi="Traditional Arabic" w:hint="cs"/>
          <w:rtl/>
        </w:rPr>
        <w:t>ا</w:t>
      </w:r>
      <w:r w:rsidR="006F08E1" w:rsidRPr="00C85F0F">
        <w:rPr>
          <w:rFonts w:ascii="Traditional Arabic" w:hAnsi="Traditional Arabic"/>
          <w:rtl/>
        </w:rPr>
        <w:t>حل</w:t>
      </w:r>
      <w:r w:rsidR="006F08E1" w:rsidRPr="00C85F0F">
        <w:rPr>
          <w:rFonts w:ascii="Traditional Arabic" w:hAnsi="Traditional Arabic"/>
          <w:szCs w:val="32"/>
          <w:vertAlign w:val="superscript"/>
          <w:rtl/>
        </w:rPr>
        <w:t>(</w:t>
      </w:r>
      <w:r w:rsidR="006F08E1" w:rsidRPr="00C85F0F">
        <w:rPr>
          <w:rStyle w:val="af1"/>
          <w:rFonts w:ascii="Traditional Arabic" w:hAnsi="Traditional Arabic"/>
          <w:szCs w:val="32"/>
          <w:rtl/>
        </w:rPr>
        <w:footnoteReference w:id="23"/>
      </w:r>
      <w:r w:rsidR="006F08E1" w:rsidRPr="00C85F0F">
        <w:rPr>
          <w:rFonts w:ascii="Traditional Arabic" w:hAnsi="Traditional Arabic"/>
          <w:szCs w:val="32"/>
          <w:vertAlign w:val="superscript"/>
          <w:rtl/>
        </w:rPr>
        <w:t>)</w:t>
      </w:r>
      <w:r w:rsidR="006F08E1" w:rsidRPr="00C85F0F">
        <w:rPr>
          <w:rFonts w:ascii="Traditional Arabic" w:hAnsi="Traditional Arabic"/>
          <w:rtl/>
        </w:rPr>
        <w:t xml:space="preserve"> :</w:t>
      </w:r>
    </w:p>
    <w:p w:rsidR="00F228A9" w:rsidRPr="00C85F0F" w:rsidRDefault="006F08E1" w:rsidP="00597C20">
      <w:pPr>
        <w:spacing w:line="640" w:lineRule="exact"/>
        <w:jc w:val="lowKashida"/>
        <w:rPr>
          <w:rFonts w:ascii="Traditional Arabic" w:hAnsi="Traditional Arabic"/>
          <w:rtl/>
        </w:rPr>
      </w:pPr>
      <w:r w:rsidRPr="00597C20">
        <w:rPr>
          <w:rFonts w:ascii="Traditional Arabic" w:hAnsi="Traditional Arabic"/>
          <w:b/>
          <w:bCs/>
          <w:rtl/>
        </w:rPr>
        <w:t>المرحلة الأولى :</w:t>
      </w:r>
      <w:r w:rsidRPr="00C85F0F">
        <w:rPr>
          <w:rFonts w:ascii="Traditional Arabic" w:hAnsi="Traditional Arabic"/>
          <w:rtl/>
        </w:rPr>
        <w:t xml:space="preserve"> من سنة (1371هـ) حتى منتصف سنة (1376هـ) :</w:t>
      </w:r>
    </w:p>
    <w:p w:rsidR="006F08E1"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 xml:space="preserve">وهذه المرحلة تمثل أولى بدايات جلوس الشيخ </w:t>
      </w:r>
      <w:r w:rsidR="009A0575" w:rsidRPr="005D5694">
        <w:rPr>
          <w:rFonts w:ascii="Traditional Arabic" w:hAnsi="Traditional Arabic" w:cs="CTraditional Arabic" w:hint="cs"/>
          <w:rtl/>
        </w:rPr>
        <w:t>/</w:t>
      </w:r>
      <w:r w:rsidRPr="00C85F0F">
        <w:rPr>
          <w:rFonts w:ascii="Traditional Arabic" w:hAnsi="Traditional Arabic"/>
          <w:rtl/>
        </w:rPr>
        <w:t xml:space="preserve"> للتعليم وذلك بإذن وتشجيع من شيخه عبدالرحمن بن سعدي – </w:t>
      </w:r>
      <w:r w:rsidR="009A0575" w:rsidRPr="005D5694">
        <w:rPr>
          <w:rFonts w:ascii="Traditional Arabic" w:hAnsi="Traditional Arabic" w:cs="CTraditional Arabic" w:hint="cs"/>
          <w:rtl/>
        </w:rPr>
        <w:t>/</w:t>
      </w:r>
      <w:r w:rsidRPr="00C85F0F">
        <w:rPr>
          <w:rFonts w:ascii="Traditional Arabic" w:hAnsi="Traditional Arabic"/>
          <w:rtl/>
        </w:rPr>
        <w:t xml:space="preserve"> -</w:t>
      </w:r>
      <w:r w:rsidR="00B76414" w:rsidRPr="00C85F0F">
        <w:rPr>
          <w:rFonts w:ascii="Traditional Arabic" w:hAnsi="Traditional Arabic"/>
          <w:rtl/>
        </w:rPr>
        <w:t>،</w:t>
      </w:r>
      <w:r w:rsidRPr="00C85F0F">
        <w:rPr>
          <w:rFonts w:ascii="Traditional Arabic" w:hAnsi="Traditional Arabic"/>
          <w:rtl/>
        </w:rPr>
        <w:t xml:space="preserve"> إلا أن هذه المرحلة لم تكن منتظمة</w:t>
      </w:r>
      <w:r w:rsidR="00B76414" w:rsidRPr="00C85F0F">
        <w:rPr>
          <w:rFonts w:ascii="Traditional Arabic" w:hAnsi="Traditional Arabic"/>
          <w:rtl/>
        </w:rPr>
        <w:t>،</w:t>
      </w:r>
      <w:r w:rsidRPr="00C85F0F">
        <w:rPr>
          <w:rFonts w:ascii="Traditional Arabic" w:hAnsi="Traditional Arabic"/>
          <w:rtl/>
        </w:rPr>
        <w:t xml:space="preserve"> حيث سافر خلالها الشيخ للدراسة في الرياض ثم عاد بعد ذلك</w:t>
      </w:r>
      <w:r w:rsidR="00B76414" w:rsidRPr="00C85F0F">
        <w:rPr>
          <w:rFonts w:ascii="Traditional Arabic" w:hAnsi="Traditional Arabic"/>
          <w:rtl/>
        </w:rPr>
        <w:t>،</w:t>
      </w:r>
      <w:r w:rsidRPr="00C85F0F">
        <w:rPr>
          <w:rFonts w:ascii="Traditional Arabic" w:hAnsi="Traditional Arabic"/>
          <w:rtl/>
        </w:rPr>
        <w:t xml:space="preserve"> وكان يقوم فيها بتدريس فئة قليلة من الطلاب</w:t>
      </w:r>
      <w:r w:rsidR="00B76414" w:rsidRPr="00C85F0F">
        <w:rPr>
          <w:rFonts w:ascii="Traditional Arabic" w:hAnsi="Traditional Arabic"/>
          <w:rtl/>
        </w:rPr>
        <w:t>.</w:t>
      </w:r>
    </w:p>
    <w:p w:rsidR="00F228A9" w:rsidRPr="00C85F0F" w:rsidRDefault="006F08E1" w:rsidP="00597C20">
      <w:pPr>
        <w:spacing w:line="640" w:lineRule="exact"/>
        <w:jc w:val="lowKashida"/>
        <w:rPr>
          <w:rFonts w:ascii="Traditional Arabic" w:hAnsi="Traditional Arabic"/>
          <w:rtl/>
        </w:rPr>
      </w:pPr>
      <w:r w:rsidRPr="00597C20">
        <w:rPr>
          <w:rFonts w:ascii="Traditional Arabic" w:hAnsi="Traditional Arabic"/>
          <w:b/>
          <w:bCs/>
          <w:rtl/>
        </w:rPr>
        <w:t>المرحلة الثانية :</w:t>
      </w:r>
      <w:r w:rsidRPr="00C85F0F">
        <w:rPr>
          <w:rFonts w:ascii="Traditional Arabic" w:hAnsi="Traditional Arabic"/>
          <w:rtl/>
        </w:rPr>
        <w:t xml:space="preserve"> من رجب سنة (1376هـ) حتى سنة (1400هـ) :</w:t>
      </w:r>
    </w:p>
    <w:p w:rsidR="006F08E1"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وفي هذه المرحلة تسلَّم فيها الشيخ ابن عثيمين مقاليد التدريس بشكل منتظم بعد وفاة شيخه السعدي</w:t>
      </w:r>
      <w:r w:rsidR="009A0575" w:rsidRPr="005D5694">
        <w:rPr>
          <w:rFonts w:ascii="Traditional Arabic" w:hAnsi="Traditional Arabic" w:cs="CTraditional Arabic" w:hint="cs"/>
          <w:rtl/>
        </w:rPr>
        <w:t>/</w:t>
      </w:r>
      <w:r w:rsidRPr="00C85F0F">
        <w:rPr>
          <w:rFonts w:ascii="Traditional Arabic" w:hAnsi="Traditional Arabic"/>
          <w:rtl/>
        </w:rPr>
        <w:t>، وكان بعض الطلاب في تلك الفترة من زملائه في الطلب وشاركهم غير</w:t>
      </w:r>
      <w:r w:rsidR="002F5E4C">
        <w:rPr>
          <w:rFonts w:ascii="Traditional Arabic" w:hAnsi="Traditional Arabic" w:hint="cs"/>
          <w:rtl/>
        </w:rPr>
        <w:t>ُ</w:t>
      </w:r>
      <w:r w:rsidRPr="00C85F0F">
        <w:rPr>
          <w:rFonts w:ascii="Traditional Arabic" w:hAnsi="Traditional Arabic"/>
          <w:rtl/>
        </w:rPr>
        <w:t>هم</w:t>
      </w:r>
      <w:r w:rsidR="00B76414" w:rsidRPr="00C85F0F">
        <w:rPr>
          <w:rFonts w:ascii="Traditional Arabic" w:hAnsi="Traditional Arabic"/>
          <w:rtl/>
        </w:rPr>
        <w:t>،</w:t>
      </w:r>
      <w:r w:rsidRPr="00C85F0F">
        <w:rPr>
          <w:rFonts w:ascii="Traditional Arabic" w:hAnsi="Traditional Arabic"/>
          <w:rtl/>
        </w:rPr>
        <w:t xml:space="preserve"> وقد صبر الشيخ ابن عثيمين – </w:t>
      </w:r>
      <w:r w:rsidR="009A0575" w:rsidRPr="005D5694">
        <w:rPr>
          <w:rFonts w:ascii="Traditional Arabic" w:hAnsi="Traditional Arabic" w:cs="CTraditional Arabic" w:hint="cs"/>
          <w:rtl/>
        </w:rPr>
        <w:t>/</w:t>
      </w:r>
      <w:r w:rsidRPr="00C85F0F">
        <w:rPr>
          <w:rFonts w:ascii="Traditional Arabic" w:hAnsi="Traditional Arabic"/>
          <w:rtl/>
        </w:rPr>
        <w:t xml:space="preserve"> – على تلك المرحلة صبراً عجيباً</w:t>
      </w:r>
      <w:r w:rsidR="00B76414" w:rsidRPr="00C85F0F">
        <w:rPr>
          <w:rFonts w:ascii="Traditional Arabic" w:hAnsi="Traditional Arabic"/>
          <w:rtl/>
        </w:rPr>
        <w:t>،</w:t>
      </w:r>
      <w:r w:rsidRPr="00C85F0F">
        <w:rPr>
          <w:rFonts w:ascii="Traditional Arabic" w:hAnsi="Traditional Arabic"/>
          <w:rtl/>
        </w:rPr>
        <w:t xml:space="preserve"> فقد اتَّسمت هذه المرحلة بقلَّة عدد الطلاب</w:t>
      </w:r>
      <w:r w:rsidR="00B76414" w:rsidRPr="00C85F0F">
        <w:rPr>
          <w:rFonts w:ascii="Traditional Arabic" w:hAnsi="Traditional Arabic"/>
          <w:rtl/>
        </w:rPr>
        <w:t>،</w:t>
      </w:r>
      <w:r w:rsidRPr="00C85F0F">
        <w:rPr>
          <w:rFonts w:ascii="Traditional Arabic" w:hAnsi="Traditional Arabic"/>
          <w:rtl/>
        </w:rPr>
        <w:t xml:space="preserve"> حيث كان العـدد الذي بقي معه لا يزيدون على العشرة</w:t>
      </w:r>
      <w:r w:rsidR="00B76414" w:rsidRPr="00C85F0F">
        <w:rPr>
          <w:rFonts w:ascii="Traditional Arabic" w:hAnsi="Traditional Arabic"/>
          <w:rtl/>
        </w:rPr>
        <w:t>،</w:t>
      </w:r>
      <w:r w:rsidR="001D2594">
        <w:rPr>
          <w:rFonts w:ascii="Traditional Arabic" w:hAnsi="Traditional Arabic"/>
          <w:rtl/>
        </w:rPr>
        <w:t xml:space="preserve"> وأحياناً لا يتجاوزون ا</w:t>
      </w:r>
      <w:r w:rsidR="001D2594">
        <w:rPr>
          <w:rFonts w:ascii="Traditional Arabic" w:hAnsi="Traditional Arabic" w:hint="cs"/>
          <w:rtl/>
        </w:rPr>
        <w:t>لا</w:t>
      </w:r>
      <w:r w:rsidRPr="00C85F0F">
        <w:rPr>
          <w:rFonts w:ascii="Traditional Arabic" w:hAnsi="Traditional Arabic"/>
          <w:rtl/>
        </w:rPr>
        <w:t>ثنين والثلاثة</w:t>
      </w:r>
      <w:r w:rsidR="00B76414" w:rsidRPr="00C85F0F">
        <w:rPr>
          <w:rFonts w:ascii="Traditional Arabic" w:hAnsi="Traditional Arabic"/>
          <w:rtl/>
        </w:rPr>
        <w:t>،</w:t>
      </w:r>
      <w:r w:rsidRPr="00C85F0F">
        <w:rPr>
          <w:rFonts w:ascii="Traditional Arabic" w:hAnsi="Traditional Arabic"/>
          <w:rtl/>
        </w:rPr>
        <w:t xml:space="preserve"> بل ربما قَدِم الشيخ ولم يجد أحداً من التلاميذ !</w:t>
      </w:r>
    </w:p>
    <w:p w:rsidR="006F08E1" w:rsidRPr="00C85F0F" w:rsidRDefault="006F08E1" w:rsidP="00597C20">
      <w:pPr>
        <w:spacing w:line="640" w:lineRule="exact"/>
        <w:jc w:val="lowKashida"/>
        <w:rPr>
          <w:rFonts w:ascii="Traditional Arabic" w:hAnsi="Traditional Arabic"/>
          <w:rtl/>
        </w:rPr>
      </w:pPr>
      <w:r w:rsidRPr="00597C20">
        <w:rPr>
          <w:rFonts w:ascii="Traditional Arabic" w:hAnsi="Traditional Arabic"/>
          <w:b/>
          <w:bCs/>
          <w:rtl/>
        </w:rPr>
        <w:t>المرحلة الثالثة :</w:t>
      </w:r>
      <w:r w:rsidRPr="00C85F0F">
        <w:rPr>
          <w:rFonts w:ascii="Traditional Arabic" w:hAnsi="Traditional Arabic"/>
          <w:rtl/>
        </w:rPr>
        <w:t xml:space="preserve"> من سنة (1401هـ) حتى نهاية شهر رمضان (1421هـ) :</w:t>
      </w:r>
    </w:p>
    <w:p w:rsidR="006F08E1" w:rsidRDefault="006F08E1" w:rsidP="00597C20">
      <w:pPr>
        <w:spacing w:line="640" w:lineRule="exact"/>
        <w:jc w:val="lowKashida"/>
        <w:rPr>
          <w:rFonts w:ascii="Traditional Arabic" w:hAnsi="Traditional Arabic"/>
          <w:rtl/>
        </w:rPr>
      </w:pPr>
      <w:r w:rsidRPr="00C85F0F">
        <w:rPr>
          <w:rFonts w:ascii="Traditional Arabic" w:hAnsi="Traditional Arabic"/>
          <w:rtl/>
        </w:rPr>
        <w:t>وكانت هــذه المرحلة كسابقتها في البداية</w:t>
      </w:r>
      <w:r w:rsidR="00B76414" w:rsidRPr="00C85F0F">
        <w:rPr>
          <w:rFonts w:ascii="Traditional Arabic" w:hAnsi="Traditional Arabic"/>
          <w:rtl/>
        </w:rPr>
        <w:t>،</w:t>
      </w:r>
      <w:r w:rsidRPr="00C85F0F">
        <w:rPr>
          <w:rFonts w:ascii="Traditional Arabic" w:hAnsi="Traditional Arabic"/>
          <w:rtl/>
        </w:rPr>
        <w:t xml:space="preserve"> وذلك من جهة قلة الطلاب ون</w:t>
      </w:r>
      <w:r w:rsidR="00224993">
        <w:rPr>
          <w:rFonts w:ascii="Traditional Arabic" w:hAnsi="Traditional Arabic" w:hint="cs"/>
          <w:rtl/>
        </w:rPr>
        <w:t>ُ</w:t>
      </w:r>
      <w:r w:rsidRPr="00C85F0F">
        <w:rPr>
          <w:rFonts w:ascii="Traditional Arabic" w:hAnsi="Traditional Arabic"/>
          <w:rtl/>
        </w:rPr>
        <w:t>درتهم</w:t>
      </w:r>
      <w:r w:rsidR="00B76414" w:rsidRPr="00C85F0F">
        <w:rPr>
          <w:rFonts w:ascii="Traditional Arabic" w:hAnsi="Traditional Arabic"/>
          <w:rtl/>
        </w:rPr>
        <w:t>،</w:t>
      </w:r>
      <w:r w:rsidRPr="00C85F0F">
        <w:rPr>
          <w:rFonts w:ascii="Traditional Arabic" w:hAnsi="Traditional Arabic"/>
          <w:rtl/>
        </w:rPr>
        <w:t xml:space="preserve"> إلا أنهم بدأوا يزيدون يوماً بعد يوم</w:t>
      </w:r>
      <w:r w:rsidR="00B76414" w:rsidRPr="00C85F0F">
        <w:rPr>
          <w:rFonts w:ascii="Traditional Arabic" w:hAnsi="Traditional Arabic"/>
          <w:rtl/>
        </w:rPr>
        <w:t>،</w:t>
      </w:r>
      <w:r w:rsidRPr="00C85F0F">
        <w:rPr>
          <w:rFonts w:ascii="Traditional Arabic" w:hAnsi="Traditional Arabic"/>
          <w:rtl/>
        </w:rPr>
        <w:t xml:space="preserve"> فإذا بالصف في الحلقة يصبح صفين وثلاثة</w:t>
      </w:r>
      <w:r w:rsidR="00B76414" w:rsidRPr="00C85F0F">
        <w:rPr>
          <w:rFonts w:ascii="Traditional Arabic" w:hAnsi="Traditional Arabic"/>
          <w:rtl/>
        </w:rPr>
        <w:t>،</w:t>
      </w:r>
      <w:r w:rsidRPr="00C85F0F">
        <w:rPr>
          <w:rFonts w:ascii="Traditional Arabic" w:hAnsi="Traditional Arabic"/>
          <w:rtl/>
        </w:rPr>
        <w:t xml:space="preserve"> وهكذا في نمو متتابع</w:t>
      </w:r>
      <w:r w:rsidR="00B76414" w:rsidRPr="00C85F0F">
        <w:rPr>
          <w:rFonts w:ascii="Traditional Arabic" w:hAnsi="Traditional Arabic"/>
          <w:rtl/>
        </w:rPr>
        <w:t>،</w:t>
      </w:r>
      <w:r w:rsidRPr="00C85F0F">
        <w:rPr>
          <w:rFonts w:ascii="Traditional Arabic" w:hAnsi="Traditional Arabic"/>
          <w:rtl/>
        </w:rPr>
        <w:t xml:space="preserve"> وتزايد متلاحق</w:t>
      </w:r>
      <w:r w:rsidR="00B76414" w:rsidRPr="00C85F0F">
        <w:rPr>
          <w:rFonts w:ascii="Traditional Arabic" w:hAnsi="Traditional Arabic"/>
          <w:rtl/>
        </w:rPr>
        <w:t>،</w:t>
      </w:r>
      <w:r w:rsidRPr="00C85F0F">
        <w:rPr>
          <w:rFonts w:ascii="Traditional Arabic" w:hAnsi="Traditional Arabic"/>
          <w:rtl/>
        </w:rPr>
        <w:t xml:space="preserve"> وبدأ هذا التزايد تقريباً في بداية عام (1406هـ)</w:t>
      </w:r>
      <w:r w:rsidR="00B76414" w:rsidRPr="00C85F0F">
        <w:rPr>
          <w:rFonts w:ascii="Traditional Arabic" w:hAnsi="Traditional Arabic"/>
          <w:rtl/>
        </w:rPr>
        <w:t>،</w:t>
      </w:r>
      <w:r w:rsidRPr="00C85F0F">
        <w:rPr>
          <w:rFonts w:ascii="Traditional Arabic" w:hAnsi="Traditional Arabic"/>
          <w:rtl/>
        </w:rPr>
        <w:t xml:space="preserve"> حتى وصل العدد في المجلس الواحد في مسجده في الدروس العلمية إلى أكثر من ستمائة طالب تقريباً</w:t>
      </w:r>
      <w:r w:rsidR="00B76414" w:rsidRPr="00C85F0F">
        <w:rPr>
          <w:rFonts w:ascii="Traditional Arabic" w:hAnsi="Traditional Arabic"/>
          <w:rtl/>
        </w:rPr>
        <w:t>،</w:t>
      </w:r>
      <w:r w:rsidRPr="00C85F0F">
        <w:rPr>
          <w:rFonts w:ascii="Traditional Arabic" w:hAnsi="Traditional Arabic"/>
          <w:rtl/>
        </w:rPr>
        <w:t xml:space="preserve"> على اختلاف مستوياتهم وجنسياتهم</w:t>
      </w:r>
      <w:r w:rsidR="00B76414" w:rsidRPr="00C85F0F">
        <w:rPr>
          <w:rFonts w:ascii="Traditional Arabic" w:hAnsi="Traditional Arabic"/>
          <w:rtl/>
        </w:rPr>
        <w:t>،</w:t>
      </w:r>
      <w:r w:rsidRPr="00C85F0F">
        <w:rPr>
          <w:rFonts w:ascii="Traditional Arabic" w:hAnsi="Traditional Arabic"/>
          <w:rtl/>
        </w:rPr>
        <w:t xml:space="preserve"> ومن هنا فإنه يصعب على الباحث حصر طلبة الشيخ ابن عثيمين </w:t>
      </w:r>
      <w:r w:rsidR="009A0575" w:rsidRPr="005D5694">
        <w:rPr>
          <w:rFonts w:ascii="Traditional Arabic" w:hAnsi="Traditional Arabic" w:cs="CTraditional Arabic" w:hint="cs"/>
          <w:rtl/>
        </w:rPr>
        <w:t>/</w:t>
      </w:r>
      <w:r w:rsidRPr="00C85F0F">
        <w:rPr>
          <w:rFonts w:ascii="Traditional Arabic" w:hAnsi="Traditional Arabic"/>
          <w:rtl/>
        </w:rPr>
        <w:t>، وذلك نظراً لتعدُّد وسائل التدريس والتعليم عند الشيخ</w:t>
      </w:r>
      <w:r w:rsidR="00B76414" w:rsidRPr="00C85F0F">
        <w:rPr>
          <w:rFonts w:ascii="Traditional Arabic" w:hAnsi="Traditional Arabic"/>
          <w:rtl/>
        </w:rPr>
        <w:t>،</w:t>
      </w:r>
      <w:r w:rsidRPr="00C85F0F">
        <w:rPr>
          <w:rFonts w:ascii="Traditional Arabic" w:hAnsi="Traditional Arabic"/>
          <w:rtl/>
        </w:rPr>
        <w:t xml:space="preserve"> إذ إنه يدر</w:t>
      </w:r>
      <w:r w:rsidR="00224993">
        <w:rPr>
          <w:rFonts w:ascii="Traditional Arabic" w:hAnsi="Traditional Arabic"/>
          <w:rtl/>
        </w:rPr>
        <w:t>ِّس في دروسه اليومية في الجامع</w:t>
      </w:r>
      <w:r w:rsidR="00224993">
        <w:rPr>
          <w:rFonts w:ascii="Traditional Arabic" w:hAnsi="Traditional Arabic" w:hint="cs"/>
          <w:rtl/>
        </w:rPr>
        <w:t>،</w:t>
      </w:r>
      <w:r w:rsidR="00224993">
        <w:rPr>
          <w:rFonts w:ascii="Traditional Arabic" w:hAnsi="Traditional Arabic"/>
          <w:rtl/>
        </w:rPr>
        <w:t xml:space="preserve"> </w:t>
      </w:r>
      <w:r w:rsidR="00224993">
        <w:rPr>
          <w:rFonts w:ascii="Traditional Arabic" w:hAnsi="Traditional Arabic" w:hint="cs"/>
          <w:rtl/>
        </w:rPr>
        <w:t xml:space="preserve">وكانت له </w:t>
      </w:r>
      <w:r w:rsidR="00224993">
        <w:rPr>
          <w:rFonts w:ascii="Traditional Arabic" w:hAnsi="Traditional Arabic"/>
          <w:rtl/>
        </w:rPr>
        <w:t>در</w:t>
      </w:r>
      <w:r w:rsidR="00224993">
        <w:rPr>
          <w:rFonts w:ascii="Traditional Arabic" w:hAnsi="Traditional Arabic" w:hint="cs"/>
          <w:rtl/>
        </w:rPr>
        <w:t>و</w:t>
      </w:r>
      <w:r w:rsidR="00224993">
        <w:rPr>
          <w:rFonts w:ascii="Traditional Arabic" w:hAnsi="Traditional Arabic"/>
          <w:rtl/>
        </w:rPr>
        <w:t>س</w:t>
      </w:r>
      <w:r w:rsidRPr="00C85F0F">
        <w:rPr>
          <w:rFonts w:ascii="Traditional Arabic" w:hAnsi="Traditional Arabic"/>
          <w:rtl/>
        </w:rPr>
        <w:t xml:space="preserve"> في الجامعة</w:t>
      </w:r>
      <w:r w:rsidR="00B76414" w:rsidRPr="00C85F0F">
        <w:rPr>
          <w:rFonts w:ascii="Traditional Arabic" w:hAnsi="Traditional Arabic"/>
          <w:rtl/>
        </w:rPr>
        <w:t>،</w:t>
      </w:r>
      <w:r w:rsidR="00224993">
        <w:rPr>
          <w:rFonts w:ascii="Traditional Arabic" w:hAnsi="Traditional Arabic"/>
          <w:rtl/>
        </w:rPr>
        <w:t xml:space="preserve"> و</w:t>
      </w:r>
      <w:r w:rsidR="00224993">
        <w:rPr>
          <w:rFonts w:ascii="Traditional Arabic" w:hAnsi="Traditional Arabic" w:hint="cs"/>
          <w:rtl/>
        </w:rPr>
        <w:t>كان يلقي</w:t>
      </w:r>
      <w:r w:rsidRPr="00C85F0F">
        <w:rPr>
          <w:rFonts w:ascii="Traditional Arabic" w:hAnsi="Traditional Arabic"/>
          <w:rtl/>
        </w:rPr>
        <w:t xml:space="preserve"> المحاضرات في المدارس وغيرها</w:t>
      </w:r>
      <w:r w:rsidR="00B76414" w:rsidRPr="00C85F0F">
        <w:rPr>
          <w:rFonts w:ascii="Traditional Arabic" w:hAnsi="Traditional Arabic"/>
          <w:rtl/>
        </w:rPr>
        <w:t>،</w:t>
      </w:r>
      <w:r w:rsidRPr="00C85F0F">
        <w:rPr>
          <w:rFonts w:ascii="Traditional Arabic" w:hAnsi="Traditional Arabic"/>
          <w:rtl/>
        </w:rPr>
        <w:t xml:space="preserve"> ناهيك عن جهده في المحاضرات عبر </w:t>
      </w:r>
      <w:r w:rsidRPr="00C85F0F">
        <w:rPr>
          <w:rFonts w:ascii="Traditional Arabic" w:hAnsi="Traditional Arabic"/>
          <w:rtl/>
        </w:rPr>
        <w:lastRenderedPageBreak/>
        <w:t>وسائل الإعلام المختلفة</w:t>
      </w:r>
      <w:r w:rsidR="00B76414" w:rsidRPr="00C85F0F">
        <w:rPr>
          <w:rFonts w:ascii="Traditional Arabic" w:hAnsi="Traditional Arabic"/>
          <w:rtl/>
        </w:rPr>
        <w:t>،</w:t>
      </w:r>
      <w:r w:rsidRPr="00C85F0F">
        <w:rPr>
          <w:rFonts w:ascii="Traditional Arabic" w:hAnsi="Traditional Arabic"/>
          <w:rtl/>
        </w:rPr>
        <w:t xml:space="preserve"> وفي مواسم الحج والعمرة ورمضان</w:t>
      </w:r>
      <w:r w:rsidR="00B76414" w:rsidRPr="00C85F0F">
        <w:rPr>
          <w:rFonts w:ascii="Traditional Arabic" w:hAnsi="Traditional Arabic"/>
          <w:rtl/>
        </w:rPr>
        <w:t>،</w:t>
      </w:r>
      <w:r w:rsidRPr="00C85F0F">
        <w:rPr>
          <w:rFonts w:ascii="Traditional Arabic" w:hAnsi="Traditional Arabic"/>
          <w:rtl/>
        </w:rPr>
        <w:t xml:space="preserve"> كما أن شريحة كبيرة من الناس أخذوا العلم عن الشيخ عبر الأشرطة السمعية</w:t>
      </w:r>
      <w:r w:rsidR="00B76414" w:rsidRPr="00C85F0F">
        <w:rPr>
          <w:rFonts w:ascii="Traditional Arabic" w:hAnsi="Traditional Arabic"/>
          <w:rtl/>
        </w:rPr>
        <w:t>،</w:t>
      </w:r>
      <w:r w:rsidRPr="00C85F0F">
        <w:rPr>
          <w:rFonts w:ascii="Traditional Arabic" w:hAnsi="Traditional Arabic"/>
          <w:rtl/>
        </w:rPr>
        <w:t xml:space="preserve"> وربما نُقلت دروس الشيخ مباشرة عن طريق الهاتف إلى</w:t>
      </w:r>
      <w:r w:rsidR="000F09D8">
        <w:rPr>
          <w:rFonts w:ascii="Traditional Arabic" w:hAnsi="Traditional Arabic"/>
          <w:rtl/>
        </w:rPr>
        <w:t xml:space="preserve"> بعض دول أوروبا وأمريكا</w:t>
      </w:r>
      <w:r w:rsidRPr="00C85F0F">
        <w:rPr>
          <w:rFonts w:ascii="Traditional Arabic" w:hAnsi="Traditional Arabic"/>
          <w:rtl/>
        </w:rPr>
        <w:t xml:space="preserve"> وغيرها من الدول</w:t>
      </w:r>
      <w:r w:rsidR="00B76414" w:rsidRPr="00C85F0F">
        <w:rPr>
          <w:rFonts w:ascii="Traditional Arabic" w:hAnsi="Traditional Arabic"/>
          <w:rtl/>
        </w:rPr>
        <w:t>،</w:t>
      </w:r>
      <w:r w:rsidRPr="00C85F0F">
        <w:rPr>
          <w:rFonts w:ascii="Traditional Arabic" w:hAnsi="Traditional Arabic"/>
          <w:rtl/>
        </w:rPr>
        <w:t xml:space="preserve"> ولعل مثل هذه الطريقة جعلت الآلاف يتتلمذون على يد الشيخ دون أن ي</w:t>
      </w:r>
      <w:r w:rsidR="00224993">
        <w:rPr>
          <w:rFonts w:ascii="Traditional Arabic" w:hAnsi="Traditional Arabic" w:hint="cs"/>
          <w:rtl/>
        </w:rPr>
        <w:t>َ</w:t>
      </w:r>
      <w:r w:rsidRPr="00C85F0F">
        <w:rPr>
          <w:rFonts w:ascii="Traditional Arabic" w:hAnsi="Traditional Arabic"/>
          <w:rtl/>
        </w:rPr>
        <w:t>ر</w:t>
      </w:r>
      <w:r w:rsidR="00224993">
        <w:rPr>
          <w:rFonts w:ascii="Traditional Arabic" w:hAnsi="Traditional Arabic" w:hint="cs"/>
          <w:rtl/>
        </w:rPr>
        <w:t>َ</w:t>
      </w:r>
      <w:r w:rsidRPr="00C85F0F">
        <w:rPr>
          <w:rFonts w:ascii="Traditional Arabic" w:hAnsi="Traditional Arabic"/>
          <w:rtl/>
        </w:rPr>
        <w:t>و</w:t>
      </w:r>
      <w:r w:rsidR="00224993">
        <w:rPr>
          <w:rFonts w:ascii="Traditional Arabic" w:hAnsi="Traditional Arabic" w:hint="cs"/>
          <w:rtl/>
        </w:rPr>
        <w:t>ْ</w:t>
      </w:r>
      <w:r w:rsidRPr="00C85F0F">
        <w:rPr>
          <w:rFonts w:ascii="Traditional Arabic" w:hAnsi="Traditional Arabic"/>
          <w:rtl/>
        </w:rPr>
        <w:t>ه</w:t>
      </w:r>
      <w:r w:rsidR="00224993">
        <w:rPr>
          <w:rFonts w:ascii="Traditional Arabic" w:hAnsi="Traditional Arabic" w:hint="cs"/>
          <w:rtl/>
        </w:rPr>
        <w:t>ُ</w:t>
      </w:r>
      <w:r w:rsidR="00B76414" w:rsidRPr="00C85F0F">
        <w:rPr>
          <w:rFonts w:ascii="Traditional Arabic" w:hAnsi="Traditional Arabic"/>
          <w:rtl/>
        </w:rPr>
        <w:t>،</w:t>
      </w:r>
      <w:r w:rsidRPr="00C85F0F">
        <w:rPr>
          <w:rFonts w:ascii="Traditional Arabic" w:hAnsi="Traditional Arabic"/>
          <w:rtl/>
        </w:rPr>
        <w:t xml:space="preserve"> إلا أن أحد طلبة الشيخ ابن عثيمين</w:t>
      </w:r>
      <w:r w:rsidR="009A0575" w:rsidRPr="005D5694">
        <w:rPr>
          <w:rFonts w:ascii="Traditional Arabic" w:hAnsi="Traditional Arabic" w:cs="CTraditional Arabic" w:hint="cs"/>
          <w:rtl/>
        </w:rPr>
        <w:t>/</w:t>
      </w:r>
      <w:r w:rsidR="00224993">
        <w:rPr>
          <w:rFonts w:ascii="Traditional Arabic" w:hAnsi="Traditional Arabic"/>
          <w:rtl/>
        </w:rPr>
        <w:t xml:space="preserve"> في ترجم</w:t>
      </w:r>
      <w:r w:rsidR="00224993">
        <w:rPr>
          <w:rFonts w:ascii="Traditional Arabic" w:hAnsi="Traditional Arabic" w:hint="cs"/>
          <w:rtl/>
        </w:rPr>
        <w:t>ته</w:t>
      </w:r>
      <w:r w:rsidR="00224993">
        <w:rPr>
          <w:rFonts w:ascii="Traditional Arabic" w:hAnsi="Traditional Arabic"/>
          <w:rtl/>
        </w:rPr>
        <w:t xml:space="preserve"> له</w:t>
      </w:r>
      <w:r w:rsidR="00B76414" w:rsidRPr="00C85F0F">
        <w:rPr>
          <w:rFonts w:ascii="Traditional Arabic" w:hAnsi="Traditional Arabic"/>
          <w:rtl/>
        </w:rPr>
        <w:t>،</w:t>
      </w:r>
      <w:r w:rsidRPr="00C85F0F">
        <w:rPr>
          <w:rFonts w:ascii="Traditional Arabic" w:hAnsi="Traditional Arabic"/>
          <w:rtl/>
        </w:rPr>
        <w:t xml:space="preserve"> قد أشار إلى نخبة من طلبة الشيخ المتميزين</w:t>
      </w:r>
      <w:r w:rsidR="00B76414" w:rsidRPr="00C85F0F">
        <w:rPr>
          <w:rFonts w:ascii="Traditional Arabic" w:hAnsi="Traditional Arabic"/>
          <w:rtl/>
        </w:rPr>
        <w:t>،</w:t>
      </w:r>
      <w:r w:rsidRPr="00C85F0F">
        <w:rPr>
          <w:rFonts w:ascii="Traditional Arabic" w:hAnsi="Traditional Arabic"/>
          <w:rtl/>
        </w:rPr>
        <w:t xml:space="preserve"> والذين أطالوا المكث عنده سنوات</w:t>
      </w:r>
      <w:r w:rsidR="00B76414" w:rsidRPr="00C85F0F">
        <w:rPr>
          <w:rFonts w:ascii="Traditional Arabic" w:hAnsi="Traditional Arabic"/>
          <w:rtl/>
        </w:rPr>
        <w:t>،</w:t>
      </w:r>
      <w:r w:rsidRPr="00C85F0F">
        <w:rPr>
          <w:rFonts w:ascii="Traditional Arabic" w:hAnsi="Traditional Arabic"/>
          <w:rtl/>
        </w:rPr>
        <w:t xml:space="preserve"> حتى أوصلهم إلى خمسة وسبعين طالباً</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24"/>
      </w:r>
      <w:r w:rsidRPr="00C85F0F">
        <w:rPr>
          <w:rFonts w:ascii="Traditional Arabic" w:hAnsi="Traditional Arabic"/>
          <w:szCs w:val="32"/>
          <w:vertAlign w:val="superscript"/>
          <w:rtl/>
        </w:rPr>
        <w:t>)</w:t>
      </w:r>
      <w:r w:rsidR="00B76414" w:rsidRPr="00C85F0F">
        <w:rPr>
          <w:rFonts w:ascii="Traditional Arabic" w:hAnsi="Traditional Arabic"/>
          <w:rtl/>
        </w:rPr>
        <w:t>.</w:t>
      </w:r>
    </w:p>
    <w:p w:rsidR="001D2594" w:rsidRDefault="001D2594" w:rsidP="00597C20">
      <w:pPr>
        <w:spacing w:line="640" w:lineRule="exact"/>
        <w:jc w:val="lowKashida"/>
        <w:rPr>
          <w:rFonts w:ascii="Traditional Arabic" w:hAnsi="Traditional Arabic"/>
          <w:rtl/>
        </w:rPr>
      </w:pPr>
      <w:r>
        <w:rPr>
          <w:rFonts w:ascii="Traditional Arabic" w:hAnsi="Traditional Arabic" w:hint="cs"/>
          <w:rtl/>
        </w:rPr>
        <w:t>ورغم كثرة طلاب الشيخ_رحمه الله_ فإن ذلك لا يمنع من ذكر بعضهم على سبيل التمثيل لا الحصر، فمنهم:</w:t>
      </w:r>
    </w:p>
    <w:p w:rsidR="001D2594" w:rsidRDefault="001D2594" w:rsidP="00597C20">
      <w:pPr>
        <w:spacing w:line="640" w:lineRule="exact"/>
        <w:jc w:val="lowKashida"/>
        <w:rPr>
          <w:rFonts w:ascii="Traditional Arabic" w:hAnsi="Traditional Arabic"/>
          <w:rtl/>
        </w:rPr>
      </w:pPr>
      <w:r>
        <w:rPr>
          <w:rFonts w:ascii="Traditional Arabic" w:hAnsi="Traditional Arabic" w:hint="cs"/>
          <w:rtl/>
        </w:rPr>
        <w:t>-الدكتور إبراهيم بن علي العبيد.</w:t>
      </w:r>
    </w:p>
    <w:p w:rsidR="001D2594" w:rsidRDefault="001D2594" w:rsidP="00597C20">
      <w:pPr>
        <w:spacing w:line="640" w:lineRule="exact"/>
        <w:jc w:val="lowKashida"/>
        <w:rPr>
          <w:rFonts w:ascii="Traditional Arabic" w:hAnsi="Traditional Arabic"/>
          <w:rtl/>
        </w:rPr>
      </w:pPr>
      <w:r>
        <w:rPr>
          <w:rFonts w:ascii="Traditional Arabic" w:hAnsi="Traditional Arabic" w:hint="cs"/>
          <w:rtl/>
        </w:rPr>
        <w:t>-الدكتور أحمد بن عبد الرحمن القاضي.</w:t>
      </w:r>
    </w:p>
    <w:p w:rsidR="001D2594" w:rsidRDefault="001D2594" w:rsidP="00597C20">
      <w:pPr>
        <w:spacing w:line="640" w:lineRule="exact"/>
        <w:jc w:val="lowKashida"/>
        <w:rPr>
          <w:rFonts w:ascii="Traditional Arabic" w:hAnsi="Traditional Arabic"/>
          <w:rtl/>
        </w:rPr>
      </w:pPr>
      <w:r>
        <w:rPr>
          <w:rFonts w:ascii="Traditional Arabic" w:hAnsi="Traditional Arabic" w:hint="cs"/>
          <w:rtl/>
        </w:rPr>
        <w:t>_الدكتور حمد بن إبراهيم العثمان.</w:t>
      </w:r>
    </w:p>
    <w:p w:rsidR="001D2594" w:rsidRDefault="001D2594" w:rsidP="00597C20">
      <w:pPr>
        <w:spacing w:line="640" w:lineRule="exact"/>
        <w:jc w:val="lowKashida"/>
        <w:rPr>
          <w:rFonts w:ascii="Traditional Arabic" w:hAnsi="Traditional Arabic"/>
          <w:rtl/>
        </w:rPr>
      </w:pPr>
      <w:r>
        <w:rPr>
          <w:rFonts w:ascii="Traditional Arabic" w:hAnsi="Traditional Arabic" w:hint="cs"/>
          <w:rtl/>
        </w:rPr>
        <w:t>_الدكتور خالد بن علي المشيقح.</w:t>
      </w:r>
    </w:p>
    <w:p w:rsidR="001D2594" w:rsidRDefault="001D2594" w:rsidP="00597C20">
      <w:pPr>
        <w:spacing w:line="640" w:lineRule="exact"/>
        <w:jc w:val="lowKashida"/>
        <w:rPr>
          <w:rFonts w:ascii="Traditional Arabic" w:hAnsi="Traditional Arabic"/>
          <w:rtl/>
        </w:rPr>
      </w:pPr>
      <w:r>
        <w:rPr>
          <w:rFonts w:ascii="Traditional Arabic" w:hAnsi="Traditional Arabic" w:hint="cs"/>
          <w:rtl/>
        </w:rPr>
        <w:t>_خالد بن عبد الله المصلح.</w:t>
      </w:r>
    </w:p>
    <w:p w:rsidR="001D2594" w:rsidRDefault="001D2594" w:rsidP="00597C20">
      <w:pPr>
        <w:spacing w:line="640" w:lineRule="exact"/>
        <w:jc w:val="lowKashida"/>
        <w:rPr>
          <w:rFonts w:ascii="Traditional Arabic" w:hAnsi="Traditional Arabic"/>
          <w:rtl/>
        </w:rPr>
      </w:pPr>
      <w:r>
        <w:rPr>
          <w:rFonts w:ascii="Traditional Arabic" w:hAnsi="Traditional Arabic" w:hint="cs"/>
          <w:rtl/>
        </w:rPr>
        <w:t>_سامي بن محمد الصقير.</w:t>
      </w:r>
    </w:p>
    <w:p w:rsidR="001D2594" w:rsidRDefault="001D2594" w:rsidP="00597C20">
      <w:pPr>
        <w:spacing w:line="640" w:lineRule="exact"/>
        <w:jc w:val="lowKashida"/>
        <w:rPr>
          <w:rFonts w:ascii="Traditional Arabic" w:hAnsi="Traditional Arabic"/>
          <w:rtl/>
        </w:rPr>
      </w:pPr>
      <w:r>
        <w:rPr>
          <w:rFonts w:ascii="Traditional Arabic" w:hAnsi="Traditional Arabic" w:hint="cs"/>
          <w:rtl/>
        </w:rPr>
        <w:t>_الدكتور سليمان بن عبد الله أبا الخيل.</w:t>
      </w:r>
    </w:p>
    <w:p w:rsidR="00AC61C7" w:rsidRDefault="00AC61C7" w:rsidP="00597C20">
      <w:pPr>
        <w:spacing w:line="640" w:lineRule="exact"/>
        <w:jc w:val="lowKashida"/>
        <w:rPr>
          <w:rFonts w:ascii="Traditional Arabic" w:hAnsi="Traditional Arabic"/>
          <w:rtl/>
        </w:rPr>
      </w:pPr>
      <w:r>
        <w:rPr>
          <w:rFonts w:ascii="Traditional Arabic" w:hAnsi="Traditional Arabic" w:hint="cs"/>
          <w:rtl/>
        </w:rPr>
        <w:t>_عبد الرحمن بن صالح الدهش.</w:t>
      </w:r>
    </w:p>
    <w:p w:rsidR="00AC61C7" w:rsidRDefault="00AC61C7" w:rsidP="00597C20">
      <w:pPr>
        <w:spacing w:line="640" w:lineRule="exact"/>
        <w:jc w:val="lowKashida"/>
        <w:rPr>
          <w:rFonts w:ascii="Traditional Arabic" w:hAnsi="Traditional Arabic"/>
          <w:rtl/>
        </w:rPr>
      </w:pPr>
      <w:r>
        <w:rPr>
          <w:rFonts w:ascii="Traditional Arabic" w:hAnsi="Traditional Arabic" w:hint="cs"/>
          <w:rtl/>
        </w:rPr>
        <w:t>_عبد السلام بن برجس آل عبد الكريم</w:t>
      </w:r>
      <w:r w:rsidR="00224993">
        <w:rPr>
          <w:rFonts w:ascii="Traditional Arabic" w:hAnsi="Traditional Arabic" w:hint="cs"/>
          <w:rtl/>
        </w:rPr>
        <w:t xml:space="preserve"> رحمه الله</w:t>
      </w:r>
      <w:r>
        <w:rPr>
          <w:rFonts w:ascii="Traditional Arabic" w:hAnsi="Traditional Arabic" w:hint="cs"/>
          <w:rtl/>
        </w:rPr>
        <w:t>.</w:t>
      </w:r>
    </w:p>
    <w:p w:rsidR="00AC61C7" w:rsidRDefault="00AC61C7" w:rsidP="00597C20">
      <w:pPr>
        <w:spacing w:line="640" w:lineRule="exact"/>
        <w:jc w:val="lowKashida"/>
        <w:rPr>
          <w:rFonts w:ascii="Traditional Arabic" w:hAnsi="Traditional Arabic"/>
          <w:rtl/>
        </w:rPr>
      </w:pPr>
      <w:r>
        <w:rPr>
          <w:rFonts w:ascii="Traditional Arabic" w:hAnsi="Traditional Arabic" w:hint="cs"/>
          <w:rtl/>
        </w:rPr>
        <w:t>_الدكتور عبد الله بن إبراهيم الشمسان.</w:t>
      </w:r>
    </w:p>
    <w:p w:rsidR="00AC61C7" w:rsidRDefault="00AC61C7" w:rsidP="00597C20">
      <w:pPr>
        <w:spacing w:line="640" w:lineRule="exact"/>
        <w:jc w:val="lowKashida"/>
        <w:rPr>
          <w:rFonts w:ascii="Traditional Arabic" w:hAnsi="Traditional Arabic"/>
          <w:rtl/>
        </w:rPr>
      </w:pPr>
      <w:r>
        <w:rPr>
          <w:rFonts w:ascii="Traditional Arabic" w:hAnsi="Traditional Arabic" w:hint="cs"/>
          <w:rtl/>
        </w:rPr>
        <w:t>_الدكتور عبد الله بن محمد الطيار.</w:t>
      </w:r>
    </w:p>
    <w:p w:rsidR="00AC61C7" w:rsidRDefault="00AC61C7" w:rsidP="00597C20">
      <w:pPr>
        <w:spacing w:line="640" w:lineRule="exact"/>
        <w:jc w:val="lowKashida"/>
        <w:rPr>
          <w:rFonts w:ascii="Traditional Arabic" w:hAnsi="Traditional Arabic"/>
          <w:rtl/>
        </w:rPr>
      </w:pPr>
      <w:r>
        <w:rPr>
          <w:rFonts w:ascii="Traditional Arabic" w:hAnsi="Traditional Arabic" w:hint="cs"/>
          <w:rtl/>
        </w:rPr>
        <w:lastRenderedPageBreak/>
        <w:t>_الدكتور عبيد بن علي العبيد.</w:t>
      </w:r>
    </w:p>
    <w:p w:rsidR="00AC61C7" w:rsidRDefault="00AC61C7" w:rsidP="00597C20">
      <w:pPr>
        <w:spacing w:line="640" w:lineRule="exact"/>
        <w:jc w:val="lowKashida"/>
        <w:rPr>
          <w:rFonts w:ascii="Traditional Arabic" w:hAnsi="Traditional Arabic"/>
          <w:rtl/>
        </w:rPr>
      </w:pPr>
      <w:r>
        <w:rPr>
          <w:rFonts w:ascii="Traditional Arabic" w:hAnsi="Traditional Arabic" w:hint="cs"/>
          <w:rtl/>
        </w:rPr>
        <w:t>_عصام السناني.</w:t>
      </w:r>
    </w:p>
    <w:p w:rsidR="00AC61C7" w:rsidRDefault="00AC61C7" w:rsidP="00597C20">
      <w:pPr>
        <w:spacing w:line="640" w:lineRule="exact"/>
        <w:jc w:val="lowKashida"/>
        <w:rPr>
          <w:rFonts w:ascii="Traditional Arabic" w:hAnsi="Traditional Arabic"/>
          <w:rtl/>
        </w:rPr>
      </w:pPr>
      <w:r>
        <w:rPr>
          <w:rFonts w:ascii="Traditional Arabic" w:hAnsi="Traditional Arabic" w:hint="cs"/>
          <w:rtl/>
        </w:rPr>
        <w:t>_الدكتور محمد بن صالح البراك.</w:t>
      </w:r>
    </w:p>
    <w:p w:rsidR="00AC61C7" w:rsidRPr="00C85F0F" w:rsidRDefault="00AC61C7" w:rsidP="00597C20">
      <w:pPr>
        <w:spacing w:line="640" w:lineRule="exact"/>
        <w:jc w:val="lowKashida"/>
        <w:rPr>
          <w:rFonts w:ascii="Traditional Arabic" w:hAnsi="Traditional Arabic"/>
          <w:rtl/>
        </w:rPr>
      </w:pPr>
      <w:r>
        <w:rPr>
          <w:rFonts w:ascii="Traditional Arabic" w:hAnsi="Traditional Arabic" w:hint="cs"/>
          <w:rtl/>
        </w:rPr>
        <w:t>_وليد بن أحمد الحسين.</w:t>
      </w:r>
    </w:p>
    <w:p w:rsidR="006F08E1" w:rsidRPr="00C85F0F" w:rsidRDefault="009322BA" w:rsidP="00A8347C">
      <w:pPr>
        <w:pStyle w:val="aff3"/>
        <w:rPr>
          <w:rtl/>
        </w:rPr>
      </w:pPr>
      <w:bookmarkStart w:id="13" w:name="_Toc334046277"/>
      <w:r>
        <w:rPr>
          <w:rFonts w:hint="cs"/>
          <w:rtl/>
        </w:rPr>
        <w:t xml:space="preserve">            </w:t>
      </w:r>
      <w:r w:rsidR="00AC61C7">
        <w:rPr>
          <w:rFonts w:hint="cs"/>
          <w:rtl/>
        </w:rPr>
        <w:t xml:space="preserve">                              </w:t>
      </w:r>
      <w:r w:rsidR="006F08E1" w:rsidRPr="00C85F0F">
        <w:rPr>
          <w:rFonts w:hint="cs"/>
          <w:rtl/>
        </w:rPr>
        <w:t>المطلب الرابع</w:t>
      </w:r>
      <w:r w:rsidR="00EC0771" w:rsidRPr="00C85F0F">
        <w:rPr>
          <w:rFonts w:hint="eastAsia"/>
          <w:rtl/>
        </w:rPr>
        <w:t> :</w:t>
      </w:r>
      <w:r w:rsidR="00EC0771" w:rsidRPr="00C85F0F">
        <w:rPr>
          <w:rFonts w:hint="cs"/>
          <w:rtl/>
        </w:rPr>
        <w:br/>
      </w:r>
      <w:r>
        <w:rPr>
          <w:rFonts w:hint="cs"/>
          <w:rtl/>
        </w:rPr>
        <w:t xml:space="preserve">             </w:t>
      </w:r>
      <w:r w:rsidR="00AC61C7">
        <w:rPr>
          <w:rFonts w:hint="cs"/>
          <w:rtl/>
        </w:rPr>
        <w:t xml:space="preserve">                             </w:t>
      </w:r>
      <w:r w:rsidR="006F08E1" w:rsidRPr="00C85F0F">
        <w:rPr>
          <w:rFonts w:hint="cs"/>
          <w:rtl/>
        </w:rPr>
        <w:t>مكانته العلمية</w:t>
      </w:r>
      <w:bookmarkEnd w:id="13"/>
    </w:p>
    <w:p w:rsidR="006F08E1"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لما كان الشيخ ابن عثيمين متصفاً بصفات العلماء</w:t>
      </w:r>
      <w:r w:rsidR="00B76414" w:rsidRPr="00C85F0F">
        <w:rPr>
          <w:rFonts w:ascii="Traditional Arabic" w:hAnsi="Traditional Arabic"/>
          <w:rtl/>
        </w:rPr>
        <w:t>،</w:t>
      </w:r>
      <w:r w:rsidRPr="00C85F0F">
        <w:rPr>
          <w:rFonts w:ascii="Traditional Arabic" w:hAnsi="Traditional Arabic"/>
          <w:rtl/>
        </w:rPr>
        <w:t xml:space="preserve"> من العلم والعمل والتعليم</w:t>
      </w:r>
      <w:r w:rsidR="00B76414" w:rsidRPr="00C85F0F">
        <w:rPr>
          <w:rFonts w:ascii="Traditional Arabic" w:hAnsi="Traditional Arabic"/>
          <w:rtl/>
        </w:rPr>
        <w:t>،</w:t>
      </w:r>
      <w:r w:rsidRPr="00C85F0F">
        <w:rPr>
          <w:rFonts w:ascii="Traditional Arabic" w:hAnsi="Traditional Arabic"/>
          <w:rtl/>
        </w:rPr>
        <w:t xml:space="preserve"> أحبَّه الناس محبة عظيمة</w:t>
      </w:r>
      <w:r w:rsidR="00B76414" w:rsidRPr="00C85F0F">
        <w:rPr>
          <w:rFonts w:ascii="Traditional Arabic" w:hAnsi="Traditional Arabic"/>
          <w:rtl/>
        </w:rPr>
        <w:t>،</w:t>
      </w:r>
      <w:r w:rsidRPr="00C85F0F">
        <w:rPr>
          <w:rFonts w:ascii="Traditional Arabic" w:hAnsi="Traditional Arabic"/>
          <w:rtl/>
        </w:rPr>
        <w:t xml:space="preserve"> حتى نال مكانة عالية في قلوب المسلمين</w:t>
      </w:r>
      <w:r w:rsidR="00B76414" w:rsidRPr="00C85F0F">
        <w:rPr>
          <w:rFonts w:ascii="Traditional Arabic" w:hAnsi="Traditional Arabic"/>
          <w:rtl/>
        </w:rPr>
        <w:t>،</w:t>
      </w:r>
      <w:r w:rsidRPr="00C85F0F">
        <w:rPr>
          <w:rFonts w:ascii="Traditional Arabic" w:hAnsi="Traditional Arabic"/>
          <w:rtl/>
        </w:rPr>
        <w:t xml:space="preserve"> وحظي عندهم بالقبول</w:t>
      </w:r>
      <w:r w:rsidR="00B76414" w:rsidRPr="00C85F0F">
        <w:rPr>
          <w:rFonts w:ascii="Traditional Arabic" w:hAnsi="Traditional Arabic"/>
          <w:rtl/>
        </w:rPr>
        <w:t>،</w:t>
      </w:r>
      <w:r w:rsidRPr="00C85F0F">
        <w:rPr>
          <w:rFonts w:ascii="Traditional Arabic" w:hAnsi="Traditional Arabic"/>
          <w:rtl/>
        </w:rPr>
        <w:t xml:space="preserve"> وشهدوا له بة</w:t>
      </w:r>
      <w:r w:rsidR="00B76414" w:rsidRPr="00C85F0F">
        <w:rPr>
          <w:rFonts w:ascii="Traditional Arabic" w:hAnsi="Traditional Arabic"/>
          <w:rtl/>
        </w:rPr>
        <w:t>،</w:t>
      </w:r>
      <w:r w:rsidRPr="00C85F0F">
        <w:rPr>
          <w:rFonts w:ascii="Traditional Arabic" w:hAnsi="Traditional Arabic"/>
          <w:rtl/>
        </w:rPr>
        <w:t xml:space="preserve"> واطمأنوا لاختياراته وترجيحاته</w:t>
      </w:r>
      <w:r w:rsidR="00B76414" w:rsidRPr="00C85F0F">
        <w:rPr>
          <w:rFonts w:ascii="Traditional Arabic" w:hAnsi="Traditional Arabic"/>
          <w:rtl/>
        </w:rPr>
        <w:t>،</w:t>
      </w:r>
      <w:r w:rsidRPr="00C85F0F">
        <w:rPr>
          <w:rFonts w:ascii="Traditional Arabic" w:hAnsi="Traditional Arabic"/>
          <w:rtl/>
        </w:rPr>
        <w:t xml:space="preserve"> وأقبلوا على دروسه وفتاويه وآثاره العلمية</w:t>
      </w:r>
      <w:r w:rsidR="00B76414" w:rsidRPr="00C85F0F">
        <w:rPr>
          <w:rFonts w:ascii="Traditional Arabic" w:hAnsi="Traditional Arabic"/>
          <w:rtl/>
        </w:rPr>
        <w:t>،</w:t>
      </w:r>
      <w:r w:rsidRPr="00C85F0F">
        <w:rPr>
          <w:rFonts w:ascii="Traditional Arabic" w:hAnsi="Traditional Arabic"/>
          <w:rtl/>
        </w:rPr>
        <w:t xml:space="preserve"> ينهلون من معين علمه</w:t>
      </w:r>
      <w:r w:rsidR="00B76414" w:rsidRPr="00C85F0F">
        <w:rPr>
          <w:rFonts w:ascii="Traditional Arabic" w:hAnsi="Traditional Arabic"/>
          <w:rtl/>
        </w:rPr>
        <w:t>،</w:t>
      </w:r>
      <w:r w:rsidRPr="00C85F0F">
        <w:rPr>
          <w:rFonts w:ascii="Traditional Arabic" w:hAnsi="Traditional Arabic"/>
          <w:rtl/>
        </w:rPr>
        <w:t xml:space="preserve"> ويستفيدون من نصحه ومواعظه</w:t>
      </w:r>
      <w:r w:rsidR="00B76414" w:rsidRPr="00C85F0F">
        <w:rPr>
          <w:rFonts w:ascii="Traditional Arabic" w:hAnsi="Traditional Arabic"/>
          <w:rtl/>
        </w:rPr>
        <w:t>،</w:t>
      </w:r>
      <w:r w:rsidRPr="00C85F0F">
        <w:rPr>
          <w:rFonts w:ascii="Traditional Arabic" w:hAnsi="Traditional Arabic"/>
          <w:rtl/>
        </w:rPr>
        <w:t xml:space="preserve"> ليس في مجتمعه ف</w:t>
      </w:r>
      <w:r w:rsidR="00224993">
        <w:rPr>
          <w:rFonts w:ascii="Traditional Arabic" w:hAnsi="Traditional Arabic" w:hint="cs"/>
          <w:rtl/>
        </w:rPr>
        <w:t>َ</w:t>
      </w:r>
      <w:r w:rsidRPr="00C85F0F">
        <w:rPr>
          <w:rFonts w:ascii="Traditional Arabic" w:hAnsi="Traditional Arabic"/>
          <w:rtl/>
        </w:rPr>
        <w:t>ح</w:t>
      </w:r>
      <w:r w:rsidR="00224993">
        <w:rPr>
          <w:rFonts w:ascii="Traditional Arabic" w:hAnsi="Traditional Arabic" w:hint="cs"/>
          <w:rtl/>
        </w:rPr>
        <w:t>َ</w:t>
      </w:r>
      <w:r w:rsidRPr="00C85F0F">
        <w:rPr>
          <w:rFonts w:ascii="Traditional Arabic" w:hAnsi="Traditional Arabic"/>
          <w:rtl/>
        </w:rPr>
        <w:t>س</w:t>
      </w:r>
      <w:r w:rsidR="00224993">
        <w:rPr>
          <w:rFonts w:ascii="Traditional Arabic" w:hAnsi="Traditional Arabic" w:hint="cs"/>
          <w:rtl/>
        </w:rPr>
        <w:t>ْ</w:t>
      </w:r>
      <w:r w:rsidRPr="00C85F0F">
        <w:rPr>
          <w:rFonts w:ascii="Traditional Arabic" w:hAnsi="Traditional Arabic"/>
          <w:rtl/>
        </w:rPr>
        <w:t>ب</w:t>
      </w:r>
      <w:r w:rsidR="00B76414" w:rsidRPr="00C85F0F">
        <w:rPr>
          <w:rFonts w:ascii="Traditional Arabic" w:hAnsi="Traditional Arabic"/>
          <w:rtl/>
        </w:rPr>
        <w:t>،</w:t>
      </w:r>
      <w:r w:rsidRPr="00C85F0F">
        <w:rPr>
          <w:rFonts w:ascii="Traditional Arabic" w:hAnsi="Traditional Arabic"/>
          <w:rtl/>
        </w:rPr>
        <w:t xml:space="preserve"> بل في عامة البلاد والأقليات الإسلامية في مختلف دول العالم</w:t>
      </w:r>
      <w:r w:rsidR="00B76414" w:rsidRPr="00C85F0F">
        <w:rPr>
          <w:rFonts w:ascii="Traditional Arabic" w:hAnsi="Traditional Arabic"/>
          <w:rtl/>
        </w:rPr>
        <w:t>.</w:t>
      </w:r>
      <w:r w:rsidRPr="00C85F0F">
        <w:rPr>
          <w:rFonts w:ascii="Traditional Arabic" w:hAnsi="Traditional Arabic"/>
          <w:rtl/>
        </w:rPr>
        <w:t xml:space="preserve"> ولقد برز </w:t>
      </w:r>
      <w:r w:rsidR="00AC61C7">
        <w:rPr>
          <w:rFonts w:ascii="Traditional Arabic" w:hAnsi="Traditional Arabic"/>
          <w:rtl/>
        </w:rPr>
        <w:t>الشيخ ابن عثيمين في أنواع</w:t>
      </w:r>
      <w:r w:rsidR="00AC61C7">
        <w:rPr>
          <w:rFonts w:ascii="Traditional Arabic" w:hAnsi="Traditional Arabic" w:hint="cs"/>
          <w:rtl/>
        </w:rPr>
        <w:t xml:space="preserve"> العلوم</w:t>
      </w:r>
      <w:r w:rsidR="00B76414" w:rsidRPr="00C85F0F">
        <w:rPr>
          <w:rFonts w:ascii="Traditional Arabic" w:hAnsi="Traditional Arabic"/>
          <w:rtl/>
        </w:rPr>
        <w:t>،</w:t>
      </w:r>
      <w:r w:rsidRPr="00C85F0F">
        <w:rPr>
          <w:rFonts w:ascii="Traditional Arabic" w:hAnsi="Traditional Arabic"/>
          <w:rtl/>
        </w:rPr>
        <w:t xml:space="preserve"> فلا تكاد تجد باباً من أبواب العلم إلا وضرب فيه الشيخ بسهم وافر</w:t>
      </w:r>
      <w:r w:rsidR="00B76414" w:rsidRPr="00C85F0F">
        <w:rPr>
          <w:rFonts w:ascii="Traditional Arabic" w:hAnsi="Traditional Arabic"/>
          <w:rtl/>
        </w:rPr>
        <w:t>،</w:t>
      </w:r>
      <w:r w:rsidRPr="00C85F0F">
        <w:rPr>
          <w:rFonts w:ascii="Traditional Arabic" w:hAnsi="Traditional Arabic"/>
          <w:rtl/>
        </w:rPr>
        <w:t xml:space="preserve"> يشهد لذلك تراث</w:t>
      </w:r>
      <w:r w:rsidR="00224993">
        <w:rPr>
          <w:rFonts w:ascii="Traditional Arabic" w:hAnsi="Traditional Arabic" w:hint="cs"/>
          <w:rtl/>
        </w:rPr>
        <w:t>ُ</w:t>
      </w:r>
      <w:r w:rsidRPr="00C85F0F">
        <w:rPr>
          <w:rFonts w:ascii="Traditional Arabic" w:hAnsi="Traditional Arabic"/>
          <w:rtl/>
        </w:rPr>
        <w:t>ه العلمي</w:t>
      </w:r>
      <w:r w:rsidR="00B76414" w:rsidRPr="00C85F0F">
        <w:rPr>
          <w:rFonts w:ascii="Traditional Arabic" w:hAnsi="Traditional Arabic"/>
          <w:rtl/>
        </w:rPr>
        <w:t>،</w:t>
      </w:r>
      <w:r w:rsidRPr="00C85F0F">
        <w:rPr>
          <w:rFonts w:ascii="Traditional Arabic" w:hAnsi="Traditional Arabic"/>
          <w:rtl/>
        </w:rPr>
        <w:t xml:space="preserve"> وتلاميذه وأقرانه</w:t>
      </w:r>
      <w:r w:rsidR="00B76414" w:rsidRPr="00C85F0F">
        <w:rPr>
          <w:rFonts w:ascii="Traditional Arabic" w:hAnsi="Traditional Arabic"/>
          <w:rtl/>
        </w:rPr>
        <w:t>،</w:t>
      </w:r>
      <w:r w:rsidRPr="00C85F0F">
        <w:rPr>
          <w:rFonts w:ascii="Traditional Arabic" w:hAnsi="Traditional Arabic"/>
          <w:rtl/>
        </w:rPr>
        <w:t xml:space="preserve"> والعلماء العارفون بقدره</w:t>
      </w:r>
      <w:r w:rsidR="00B76414" w:rsidRPr="00C85F0F">
        <w:rPr>
          <w:rFonts w:ascii="Traditional Arabic" w:hAnsi="Traditional Arabic"/>
          <w:rtl/>
        </w:rPr>
        <w:t>،</w:t>
      </w:r>
      <w:r w:rsidRPr="00C85F0F">
        <w:rPr>
          <w:rFonts w:ascii="Traditional Arabic" w:hAnsi="Traditional Arabic"/>
          <w:rtl/>
        </w:rPr>
        <w:t xml:space="preserve"> ومن هنا فقد اتفقت ألسنة الناس عموماً</w:t>
      </w:r>
      <w:r w:rsidR="00B76414" w:rsidRPr="00C85F0F">
        <w:rPr>
          <w:rFonts w:ascii="Traditional Arabic" w:hAnsi="Traditional Arabic"/>
          <w:rtl/>
        </w:rPr>
        <w:t>،</w:t>
      </w:r>
      <w:r w:rsidRPr="00C85F0F">
        <w:rPr>
          <w:rFonts w:ascii="Traditional Arabic" w:hAnsi="Traditional Arabic"/>
          <w:rtl/>
        </w:rPr>
        <w:t xml:space="preserve"> وطلبة العلم خصوصاً</w:t>
      </w:r>
      <w:r w:rsidR="00B76414" w:rsidRPr="00C85F0F">
        <w:rPr>
          <w:rFonts w:ascii="Traditional Arabic" w:hAnsi="Traditional Arabic"/>
          <w:rtl/>
        </w:rPr>
        <w:t>،</w:t>
      </w:r>
      <w:r w:rsidRPr="00C85F0F">
        <w:rPr>
          <w:rFonts w:ascii="Traditional Arabic" w:hAnsi="Traditional Arabic"/>
          <w:rtl/>
        </w:rPr>
        <w:t xml:space="preserve"> على إجلاله وإكباره</w:t>
      </w:r>
      <w:r w:rsidR="00B76414" w:rsidRPr="00C85F0F">
        <w:rPr>
          <w:rFonts w:ascii="Traditional Arabic" w:hAnsi="Traditional Arabic"/>
          <w:rtl/>
        </w:rPr>
        <w:t>،</w:t>
      </w:r>
      <w:r w:rsidRPr="00C85F0F">
        <w:rPr>
          <w:rFonts w:ascii="Traditional Arabic" w:hAnsi="Traditional Arabic"/>
          <w:rtl/>
        </w:rPr>
        <w:t xml:space="preserve"> والثناء عليه</w:t>
      </w:r>
      <w:r w:rsidR="00B76414" w:rsidRPr="00C85F0F">
        <w:rPr>
          <w:rFonts w:ascii="Traditional Arabic" w:hAnsi="Traditional Arabic"/>
          <w:rtl/>
        </w:rPr>
        <w:t>.</w:t>
      </w:r>
    </w:p>
    <w:p w:rsidR="006F08E1"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 xml:space="preserve">يقول ســـماحة الشيخ عبدالعزيز آل الشيخ - مفتي عام المملكة </w:t>
      </w:r>
      <w:r w:rsidRPr="00C85F0F">
        <w:rPr>
          <w:rFonts w:ascii="Traditional Arabic" w:hAnsi="Traditional Arabic" w:hint="cs"/>
          <w:rtl/>
        </w:rPr>
        <w:t>العربية السعودية</w:t>
      </w:r>
      <w:r w:rsidRPr="00C85F0F">
        <w:rPr>
          <w:rFonts w:ascii="Traditional Arabic" w:hAnsi="Traditional Arabic"/>
          <w:rtl/>
        </w:rPr>
        <w:t>-</w:t>
      </w:r>
      <w:r w:rsidRPr="00C85F0F">
        <w:rPr>
          <w:rFonts w:ascii="Traditional Arabic" w:hAnsi="Traditional Arabic" w:hint="cs"/>
          <w:rtl/>
        </w:rPr>
        <w:t>حفظه الله</w:t>
      </w:r>
      <w:r w:rsidRPr="00C85F0F">
        <w:rPr>
          <w:rFonts w:ascii="Traditional Arabic" w:hAnsi="Traditional Arabic"/>
          <w:rtl/>
        </w:rPr>
        <w:t>: (والشيخ محمد – غفر الله لنا وله – لا تخفى على الجميع مكانت</w:t>
      </w:r>
      <w:r w:rsidR="00AC61C7">
        <w:rPr>
          <w:rFonts w:ascii="Traditional Arabic" w:hAnsi="Traditional Arabic" w:hint="cs"/>
          <w:rtl/>
        </w:rPr>
        <w:t>ُ</w:t>
      </w:r>
      <w:r w:rsidRPr="00C85F0F">
        <w:rPr>
          <w:rFonts w:ascii="Traditional Arabic" w:hAnsi="Traditional Arabic"/>
          <w:rtl/>
        </w:rPr>
        <w:t>ه وآثاره العلمية</w:t>
      </w:r>
      <w:r w:rsidR="00B76414" w:rsidRPr="00C85F0F">
        <w:rPr>
          <w:rFonts w:ascii="Traditional Arabic" w:hAnsi="Traditional Arabic"/>
          <w:rtl/>
        </w:rPr>
        <w:t>،</w:t>
      </w:r>
      <w:r w:rsidRPr="00C85F0F">
        <w:rPr>
          <w:rFonts w:ascii="Traditional Arabic" w:hAnsi="Traditional Arabic"/>
          <w:rtl/>
        </w:rPr>
        <w:t xml:space="preserve"> من خلال التأليف والفتاوى والمحاضرات والدروس والمقالات</w:t>
      </w:r>
      <w:r w:rsidR="00B76414" w:rsidRPr="00C85F0F">
        <w:rPr>
          <w:rFonts w:ascii="Traditional Arabic" w:hAnsi="Traditional Arabic"/>
          <w:rtl/>
        </w:rPr>
        <w:t>،</w:t>
      </w:r>
      <w:r w:rsidRPr="00C85F0F">
        <w:rPr>
          <w:rFonts w:ascii="Traditional Arabic" w:hAnsi="Traditional Arabic"/>
          <w:rtl/>
        </w:rPr>
        <w:t xml:space="preserve"> ومن خلال الأشرطة التي تحمل في طياتها كل خير</w:t>
      </w:r>
      <w:r w:rsidR="00B76414" w:rsidRPr="00C85F0F">
        <w:rPr>
          <w:rFonts w:ascii="Traditional Arabic" w:hAnsi="Traditional Arabic"/>
          <w:rtl/>
        </w:rPr>
        <w:t>،</w:t>
      </w:r>
      <w:r w:rsidRPr="00C85F0F">
        <w:rPr>
          <w:rFonts w:ascii="Traditional Arabic" w:hAnsi="Traditional Arabic"/>
          <w:rtl/>
        </w:rPr>
        <w:t xml:space="preserve"> ومن حيث اعتدال</w:t>
      </w:r>
      <w:r w:rsidR="00224993">
        <w:rPr>
          <w:rFonts w:ascii="Traditional Arabic" w:hAnsi="Traditional Arabic" w:hint="cs"/>
          <w:rtl/>
        </w:rPr>
        <w:t>ُ</w:t>
      </w:r>
      <w:r w:rsidRPr="00C85F0F">
        <w:rPr>
          <w:rFonts w:ascii="Traditional Arabic" w:hAnsi="Traditional Arabic"/>
          <w:rtl/>
        </w:rPr>
        <w:t>ه وب</w:t>
      </w:r>
      <w:r w:rsidR="00224993">
        <w:rPr>
          <w:rFonts w:ascii="Traditional Arabic" w:hAnsi="Traditional Arabic" w:hint="cs"/>
          <w:rtl/>
        </w:rPr>
        <w:t>ُ</w:t>
      </w:r>
      <w:r w:rsidRPr="00C85F0F">
        <w:rPr>
          <w:rFonts w:ascii="Traditional Arabic" w:hAnsi="Traditional Arabic"/>
          <w:rtl/>
        </w:rPr>
        <w:t>عد</w:t>
      </w:r>
      <w:r w:rsidR="00224993">
        <w:rPr>
          <w:rFonts w:ascii="Traditional Arabic" w:hAnsi="Traditional Arabic" w:hint="cs"/>
          <w:rtl/>
        </w:rPr>
        <w:t>ُ</w:t>
      </w:r>
      <w:r w:rsidRPr="00C85F0F">
        <w:rPr>
          <w:rFonts w:ascii="Traditional Arabic" w:hAnsi="Traditional Arabic"/>
          <w:rtl/>
        </w:rPr>
        <w:t>ه عن الإفراط والتفريط</w:t>
      </w:r>
      <w:r w:rsidR="00B76414" w:rsidRPr="00C85F0F">
        <w:rPr>
          <w:rFonts w:ascii="Traditional Arabic" w:hAnsi="Traditional Arabic"/>
          <w:rtl/>
        </w:rPr>
        <w:t>،</w:t>
      </w:r>
      <w:r w:rsidRPr="00C85F0F">
        <w:rPr>
          <w:rFonts w:ascii="Traditional Arabic" w:hAnsi="Traditional Arabic"/>
          <w:rtl/>
        </w:rPr>
        <w:t xml:space="preserve"> وكونه في أموره على طريق مستقيم</w:t>
      </w:r>
      <w:r w:rsidR="00B76414" w:rsidRPr="00C85F0F">
        <w:rPr>
          <w:rFonts w:ascii="Traditional Arabic" w:hAnsi="Traditional Arabic"/>
          <w:rtl/>
        </w:rPr>
        <w:t>،</w:t>
      </w:r>
      <w:r w:rsidRPr="00C85F0F">
        <w:rPr>
          <w:rFonts w:ascii="Traditional Arabic" w:hAnsi="Traditional Arabic"/>
          <w:rtl/>
        </w:rPr>
        <w:t xml:space="preserve"> وكم ربّى من طلاب</w:t>
      </w:r>
      <w:r w:rsidR="00B76414" w:rsidRPr="00C85F0F">
        <w:rPr>
          <w:rFonts w:ascii="Traditional Arabic" w:hAnsi="Traditional Arabic"/>
          <w:rtl/>
        </w:rPr>
        <w:t>،</w:t>
      </w:r>
      <w:r w:rsidRPr="00C85F0F">
        <w:rPr>
          <w:rFonts w:ascii="Traditional Arabic" w:hAnsi="Traditional Arabic"/>
          <w:rtl/>
        </w:rPr>
        <w:t xml:space="preserve"> وكم شرح من كتاب</w:t>
      </w:r>
      <w:r w:rsidR="00B76414" w:rsidRPr="00C85F0F">
        <w:rPr>
          <w:rFonts w:ascii="Traditional Arabic" w:hAnsi="Traditional Arabic"/>
          <w:rtl/>
        </w:rPr>
        <w:t>،</w:t>
      </w:r>
      <w:r w:rsidRPr="00C85F0F">
        <w:rPr>
          <w:rFonts w:ascii="Traditional Arabic" w:hAnsi="Traditional Arabic"/>
          <w:rtl/>
        </w:rPr>
        <w:t xml:space="preserve"> واستفاد منه المستفيدون</w:t>
      </w:r>
      <w:r w:rsidR="00B76414" w:rsidRPr="00C85F0F">
        <w:rPr>
          <w:rFonts w:ascii="Traditional Arabic" w:hAnsi="Traditional Arabic"/>
          <w:rtl/>
        </w:rPr>
        <w:t>،</w:t>
      </w:r>
      <w:r w:rsidRPr="00C85F0F">
        <w:rPr>
          <w:rFonts w:ascii="Traditional Arabic" w:hAnsi="Traditional Arabic"/>
          <w:rtl/>
        </w:rPr>
        <w:t xml:space="preserve"> ونسأل الله أن يجازيه عنا وعن الإسلام </w:t>
      </w:r>
      <w:r w:rsidRPr="00C85F0F">
        <w:rPr>
          <w:rFonts w:ascii="Traditional Arabic" w:hAnsi="Traditional Arabic"/>
          <w:rtl/>
        </w:rPr>
        <w:lastRenderedPageBreak/>
        <w:t>خير الجزاء)</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25"/>
      </w:r>
      <w:r w:rsidRPr="00C85F0F">
        <w:rPr>
          <w:rFonts w:ascii="Traditional Arabic" w:hAnsi="Traditional Arabic"/>
          <w:szCs w:val="32"/>
          <w:vertAlign w:val="superscript"/>
          <w:rtl/>
        </w:rPr>
        <w:t>)</w:t>
      </w:r>
      <w:r w:rsidRPr="00C85F0F">
        <w:rPr>
          <w:rFonts w:ascii="Traditional Arabic" w:hAnsi="Traditional Arabic"/>
          <w:rtl/>
        </w:rPr>
        <w:t>.</w:t>
      </w:r>
    </w:p>
    <w:p w:rsidR="006F08E1"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ويقول الشيخ العلَّامة عبدالله بن جبرين- عضو الإفتاء سابقاً –</w:t>
      </w:r>
      <w:r w:rsidR="009A0575" w:rsidRPr="005D5694">
        <w:rPr>
          <w:rFonts w:ascii="Traditional Arabic" w:hAnsi="Traditional Arabic" w:cs="CTraditional Arabic" w:hint="cs"/>
          <w:rtl/>
        </w:rPr>
        <w:t>/</w:t>
      </w:r>
      <w:r w:rsidRPr="00C85F0F">
        <w:rPr>
          <w:rFonts w:ascii="Traditional Arabic" w:hAnsi="Traditional Arabic"/>
          <w:rtl/>
        </w:rPr>
        <w:t>: (وكنّا غالباً ما نستفيد منه</w:t>
      </w:r>
      <w:r w:rsidR="00B76414" w:rsidRPr="00C85F0F">
        <w:rPr>
          <w:rFonts w:ascii="Traditional Arabic" w:hAnsi="Traditional Arabic"/>
          <w:rtl/>
        </w:rPr>
        <w:t>،</w:t>
      </w:r>
      <w:r w:rsidRPr="00C85F0F">
        <w:rPr>
          <w:rFonts w:ascii="Traditional Arabic" w:hAnsi="Traditional Arabic"/>
          <w:rtl/>
        </w:rPr>
        <w:t xml:space="preserve"> ونرسل إليه الكثير من الأسئلة</w:t>
      </w:r>
      <w:r w:rsidR="00B76414" w:rsidRPr="00C85F0F">
        <w:rPr>
          <w:rFonts w:ascii="Traditional Arabic" w:hAnsi="Traditional Arabic"/>
          <w:rtl/>
        </w:rPr>
        <w:t>،</w:t>
      </w:r>
      <w:r w:rsidRPr="00C85F0F">
        <w:rPr>
          <w:rFonts w:ascii="Traditional Arabic" w:hAnsi="Traditional Arabic"/>
          <w:rtl/>
        </w:rPr>
        <w:t xml:space="preserve"> وكذلك نرجع نحن وغير</w:t>
      </w:r>
      <w:r w:rsidRPr="00C85F0F">
        <w:rPr>
          <w:rFonts w:ascii="Traditional Arabic" w:hAnsi="Traditional Arabic" w:hint="cs"/>
          <w:rtl/>
        </w:rPr>
        <w:t>ُ</w:t>
      </w:r>
      <w:r w:rsidRPr="00C85F0F">
        <w:rPr>
          <w:rFonts w:ascii="Traditional Arabic" w:hAnsi="Traditional Arabic"/>
          <w:rtl/>
        </w:rPr>
        <w:t>نا إلى مؤلفاته القيِّمة التي تعب فيها وحق</w:t>
      </w:r>
      <w:r w:rsidR="00224993">
        <w:rPr>
          <w:rFonts w:ascii="Traditional Arabic" w:hAnsi="Traditional Arabic" w:hint="cs"/>
          <w:rtl/>
        </w:rPr>
        <w:t>َّ</w:t>
      </w:r>
      <w:r w:rsidRPr="00C85F0F">
        <w:rPr>
          <w:rFonts w:ascii="Traditional Arabic" w:hAnsi="Traditional Arabic"/>
          <w:rtl/>
        </w:rPr>
        <w:t>قها وجمع فيها كل ما حضر إليه</w:t>
      </w:r>
      <w:r w:rsidR="00B76414" w:rsidRPr="00C85F0F">
        <w:rPr>
          <w:rFonts w:ascii="Traditional Arabic" w:hAnsi="Traditional Arabic"/>
          <w:rtl/>
        </w:rPr>
        <w:t>،</w:t>
      </w:r>
      <w:r w:rsidRPr="00C85F0F">
        <w:rPr>
          <w:rFonts w:ascii="Traditional Arabic" w:hAnsi="Traditional Arabic"/>
          <w:rtl/>
        </w:rPr>
        <w:t xml:space="preserve"> وكل مسألة كتبها تدل على ع</w:t>
      </w:r>
      <w:r w:rsidR="00224993">
        <w:rPr>
          <w:rFonts w:ascii="Traditional Arabic" w:hAnsi="Traditional Arabic" w:hint="cs"/>
          <w:rtl/>
        </w:rPr>
        <w:t>ُ</w:t>
      </w:r>
      <w:r w:rsidRPr="00C85F0F">
        <w:rPr>
          <w:rFonts w:ascii="Traditional Arabic" w:hAnsi="Traditional Arabic"/>
          <w:rtl/>
        </w:rPr>
        <w:t>مق اختياره)</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26"/>
      </w:r>
      <w:r w:rsidRPr="00C85F0F">
        <w:rPr>
          <w:rFonts w:ascii="Traditional Arabic" w:hAnsi="Traditional Arabic"/>
          <w:szCs w:val="32"/>
          <w:vertAlign w:val="superscript"/>
          <w:rtl/>
        </w:rPr>
        <w:t>)</w:t>
      </w:r>
      <w:r w:rsidRPr="00C85F0F">
        <w:rPr>
          <w:rFonts w:ascii="Traditional Arabic" w:hAnsi="Traditional Arabic"/>
          <w:rtl/>
        </w:rPr>
        <w:t>.</w:t>
      </w:r>
    </w:p>
    <w:p w:rsidR="006F08E1"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ويقول معالي الشيخ عبدالله التركي - الأمين العام لرابطة العالم الإسلامي-</w:t>
      </w:r>
      <w:r w:rsidR="000F09D8">
        <w:rPr>
          <w:rFonts w:ascii="Traditional Arabic" w:hAnsi="Traditional Arabic" w:hint="cs"/>
          <w:rtl/>
        </w:rPr>
        <w:t>حفظه الله</w:t>
      </w:r>
      <w:r w:rsidRPr="00C85F0F">
        <w:rPr>
          <w:rFonts w:ascii="Traditional Arabic" w:hAnsi="Traditional Arabic"/>
          <w:rtl/>
        </w:rPr>
        <w:t xml:space="preserve">: (كان </w:t>
      </w:r>
      <w:r w:rsidR="009A0575" w:rsidRPr="005D5694">
        <w:rPr>
          <w:rFonts w:ascii="Traditional Arabic" w:hAnsi="Traditional Arabic" w:cs="CTraditional Arabic" w:hint="cs"/>
          <w:rtl/>
        </w:rPr>
        <w:t>/</w:t>
      </w:r>
      <w:r w:rsidRPr="00C85F0F">
        <w:rPr>
          <w:rFonts w:ascii="Traditional Arabic" w:hAnsi="Traditional Arabic"/>
          <w:rtl/>
        </w:rPr>
        <w:t xml:space="preserve"> متصفاً بأخلاق العلماء في التواضع وتجنب التعصُّب</w:t>
      </w:r>
      <w:r w:rsidR="00B76414" w:rsidRPr="00C85F0F">
        <w:rPr>
          <w:rFonts w:ascii="Traditional Arabic" w:hAnsi="Traditional Arabic"/>
          <w:rtl/>
        </w:rPr>
        <w:t>،</w:t>
      </w:r>
      <w:r w:rsidRPr="00C85F0F">
        <w:rPr>
          <w:rFonts w:ascii="Traditional Arabic" w:hAnsi="Traditional Arabic"/>
          <w:rtl/>
        </w:rPr>
        <w:t xml:space="preserve"> والحرص على الوقوف على الحق واتباعه</w:t>
      </w:r>
      <w:r w:rsidR="00B76414" w:rsidRPr="00C85F0F">
        <w:rPr>
          <w:rFonts w:ascii="Traditional Arabic" w:hAnsi="Traditional Arabic"/>
          <w:rtl/>
        </w:rPr>
        <w:t>،</w:t>
      </w:r>
      <w:r w:rsidRPr="00C85F0F">
        <w:rPr>
          <w:rFonts w:ascii="Traditional Arabic" w:hAnsi="Traditional Arabic"/>
          <w:rtl/>
        </w:rPr>
        <w:t xml:space="preserve"> ومتابعة م</w:t>
      </w:r>
      <w:r w:rsidR="008E4FAA">
        <w:rPr>
          <w:rFonts w:ascii="Traditional Arabic" w:hAnsi="Traditional Arabic" w:hint="cs"/>
          <w:rtl/>
        </w:rPr>
        <w:t>َ</w:t>
      </w:r>
      <w:r w:rsidRPr="00C85F0F">
        <w:rPr>
          <w:rFonts w:ascii="Traditional Arabic" w:hAnsi="Traditional Arabic"/>
          <w:rtl/>
        </w:rPr>
        <w:t>ن سلف من علماء الأمة وفقهائها ودعاتها)</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27"/>
      </w:r>
      <w:r w:rsidRPr="00C85F0F">
        <w:rPr>
          <w:rFonts w:ascii="Traditional Arabic" w:hAnsi="Traditional Arabic"/>
          <w:szCs w:val="32"/>
          <w:vertAlign w:val="superscript"/>
          <w:rtl/>
        </w:rPr>
        <w:t>)</w:t>
      </w:r>
      <w:r w:rsidRPr="00C85F0F">
        <w:rPr>
          <w:rFonts w:ascii="Traditional Arabic" w:hAnsi="Traditional Arabic"/>
          <w:rtl/>
        </w:rPr>
        <w:t>.</w:t>
      </w:r>
    </w:p>
    <w:p w:rsidR="006F08E1" w:rsidRPr="00C85F0F" w:rsidRDefault="006F08E1" w:rsidP="00597C20">
      <w:pPr>
        <w:spacing w:line="600" w:lineRule="exact"/>
        <w:jc w:val="lowKashida"/>
        <w:rPr>
          <w:rFonts w:ascii="Traditional Arabic" w:hAnsi="Traditional Arabic"/>
          <w:rtl/>
        </w:rPr>
      </w:pPr>
      <w:r w:rsidRPr="00C85F0F">
        <w:rPr>
          <w:rFonts w:ascii="Traditional Arabic" w:hAnsi="Traditional Arabic"/>
          <w:rtl/>
        </w:rPr>
        <w:t xml:space="preserve">ويقول معالي الشيخ عبدالوهاب أبو سليمان - عضو هيئة كبار العلماء </w:t>
      </w:r>
      <w:r w:rsidR="000F09D8">
        <w:rPr>
          <w:rFonts w:ascii="Traditional Arabic" w:hAnsi="Traditional Arabic"/>
          <w:rtl/>
        </w:rPr>
        <w:t>–</w:t>
      </w:r>
      <w:r w:rsidR="000F09D8">
        <w:rPr>
          <w:rFonts w:ascii="Traditional Arabic" w:hAnsi="Traditional Arabic" w:hint="cs"/>
          <w:rtl/>
        </w:rPr>
        <w:t>حفظه الله</w:t>
      </w:r>
      <w:r w:rsidRPr="00C85F0F">
        <w:rPr>
          <w:rFonts w:ascii="Traditional Arabic" w:hAnsi="Traditional Arabic"/>
          <w:rtl/>
        </w:rPr>
        <w:t>: (منح الشيخ محمد بن صالح العثيمين الأمة أفراداً وجماعات حب</w:t>
      </w:r>
      <w:r w:rsidR="008E4FAA">
        <w:rPr>
          <w:rFonts w:ascii="Traditional Arabic" w:hAnsi="Traditional Arabic" w:hint="cs"/>
          <w:rtl/>
        </w:rPr>
        <w:t>َّ</w:t>
      </w:r>
      <w:r w:rsidRPr="00C85F0F">
        <w:rPr>
          <w:rFonts w:ascii="Traditional Arabic" w:hAnsi="Traditional Arabic"/>
          <w:rtl/>
        </w:rPr>
        <w:t>ه وإخلاصه</w:t>
      </w:r>
      <w:r w:rsidR="00B76414" w:rsidRPr="00C85F0F">
        <w:rPr>
          <w:rFonts w:ascii="Traditional Arabic" w:hAnsi="Traditional Arabic"/>
          <w:rtl/>
        </w:rPr>
        <w:t>،</w:t>
      </w:r>
      <w:r w:rsidRPr="00C85F0F">
        <w:rPr>
          <w:rFonts w:ascii="Traditional Arabic" w:hAnsi="Traditional Arabic"/>
          <w:rtl/>
        </w:rPr>
        <w:t xml:space="preserve"> فبادلوه بالحب حباً ووفاء</w:t>
      </w:r>
      <w:r w:rsidR="00B76414" w:rsidRPr="00C85F0F">
        <w:rPr>
          <w:rFonts w:ascii="Traditional Arabic" w:hAnsi="Traditional Arabic"/>
          <w:rtl/>
        </w:rPr>
        <w:t>،</w:t>
      </w:r>
      <w:r w:rsidRPr="00C85F0F">
        <w:rPr>
          <w:rFonts w:ascii="Traditional Arabic" w:hAnsi="Traditional Arabic"/>
          <w:rtl/>
        </w:rPr>
        <w:t xml:space="preserve"> ليس هذا فحسب</w:t>
      </w:r>
      <w:r w:rsidR="00B76414" w:rsidRPr="00C85F0F">
        <w:rPr>
          <w:rFonts w:ascii="Traditional Arabic" w:hAnsi="Traditional Arabic"/>
          <w:rtl/>
        </w:rPr>
        <w:t>،</w:t>
      </w:r>
      <w:r w:rsidRPr="00C85F0F">
        <w:rPr>
          <w:rFonts w:ascii="Traditional Arabic" w:hAnsi="Traditional Arabic"/>
          <w:rtl/>
        </w:rPr>
        <w:t xml:space="preserve"> فقد خبروه سلفياً جوهراً ومخبراً</w:t>
      </w:r>
      <w:r w:rsidR="00B76414" w:rsidRPr="00C85F0F">
        <w:rPr>
          <w:rFonts w:ascii="Traditional Arabic" w:hAnsi="Traditional Arabic"/>
          <w:rtl/>
        </w:rPr>
        <w:t>،</w:t>
      </w:r>
      <w:r w:rsidRPr="00C85F0F">
        <w:rPr>
          <w:rFonts w:ascii="Traditional Arabic" w:hAnsi="Traditional Arabic"/>
          <w:rtl/>
        </w:rPr>
        <w:t xml:space="preserve"> لا دعوى ومظهراً</w:t>
      </w:r>
      <w:r w:rsidR="00B76414" w:rsidRPr="00C85F0F">
        <w:rPr>
          <w:rFonts w:ascii="Traditional Arabic" w:hAnsi="Traditional Arabic"/>
          <w:rtl/>
        </w:rPr>
        <w:t>،</w:t>
      </w:r>
      <w:r w:rsidRPr="00C85F0F">
        <w:rPr>
          <w:rFonts w:ascii="Traditional Arabic" w:hAnsi="Traditional Arabic"/>
          <w:rtl/>
        </w:rPr>
        <w:t xml:space="preserve"> زَهِــد فيما عند الناس فأحبه الله وأحبه الناس</w:t>
      </w:r>
      <w:r w:rsidR="00B76414" w:rsidRPr="00C85F0F">
        <w:rPr>
          <w:rFonts w:ascii="Traditional Arabic" w:hAnsi="Traditional Arabic"/>
          <w:rtl/>
        </w:rPr>
        <w:t>،</w:t>
      </w:r>
      <w:r w:rsidRPr="00C85F0F">
        <w:rPr>
          <w:rFonts w:ascii="Traditional Arabic" w:hAnsi="Traditional Arabic"/>
          <w:rtl/>
        </w:rPr>
        <w:t xml:space="preserve"> لا يخوض في أعراض الناس</w:t>
      </w:r>
      <w:r w:rsidR="00B76414" w:rsidRPr="00C85F0F">
        <w:rPr>
          <w:rFonts w:ascii="Traditional Arabic" w:hAnsi="Traditional Arabic"/>
          <w:rtl/>
        </w:rPr>
        <w:t>،</w:t>
      </w:r>
      <w:r w:rsidRPr="00C85F0F">
        <w:rPr>
          <w:rFonts w:ascii="Traditional Arabic" w:hAnsi="Traditional Arabic"/>
          <w:rtl/>
        </w:rPr>
        <w:t xml:space="preserve"> بسيط المظهر</w:t>
      </w:r>
      <w:r w:rsidR="00B76414" w:rsidRPr="00C85F0F">
        <w:rPr>
          <w:rFonts w:ascii="Traditional Arabic" w:hAnsi="Traditional Arabic"/>
          <w:rtl/>
        </w:rPr>
        <w:t>،</w:t>
      </w:r>
      <w:r w:rsidRPr="00C85F0F">
        <w:rPr>
          <w:rFonts w:ascii="Traditional Arabic" w:hAnsi="Traditional Arabic"/>
          <w:rtl/>
        </w:rPr>
        <w:t xml:space="preserve"> ذو تواضع جم</w:t>
      </w:r>
      <w:r w:rsidR="00B76414" w:rsidRPr="00C85F0F">
        <w:rPr>
          <w:rFonts w:ascii="Traditional Arabic" w:hAnsi="Traditional Arabic"/>
          <w:rtl/>
        </w:rPr>
        <w:t>،</w:t>
      </w:r>
      <w:r w:rsidRPr="00C85F0F">
        <w:rPr>
          <w:rFonts w:ascii="Traditional Arabic" w:hAnsi="Traditional Arabic"/>
          <w:rtl/>
        </w:rPr>
        <w:t xml:space="preserve"> يخفض جناحه لمحدِّثه مهما علا أو تواضع</w:t>
      </w:r>
      <w:r w:rsidR="00B76414" w:rsidRPr="00C85F0F">
        <w:rPr>
          <w:rFonts w:ascii="Traditional Arabic" w:hAnsi="Traditional Arabic"/>
          <w:rtl/>
        </w:rPr>
        <w:t>،</w:t>
      </w:r>
      <w:r w:rsidRPr="00C85F0F">
        <w:rPr>
          <w:rFonts w:ascii="Traditional Arabic" w:hAnsi="Traditional Arabic"/>
          <w:rtl/>
        </w:rPr>
        <w:t xml:space="preserve"> همه إصلاح المجتمع</w:t>
      </w:r>
      <w:r w:rsidR="00B76414" w:rsidRPr="00C85F0F">
        <w:rPr>
          <w:rFonts w:ascii="Traditional Arabic" w:hAnsi="Traditional Arabic"/>
          <w:rtl/>
        </w:rPr>
        <w:t>،</w:t>
      </w:r>
      <w:r w:rsidRPr="00C85F0F">
        <w:rPr>
          <w:rFonts w:ascii="Traditional Arabic" w:hAnsi="Traditional Arabic"/>
          <w:rtl/>
        </w:rPr>
        <w:t xml:space="preserve"> وهاجسه إصلاح الأمة)</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28"/>
      </w:r>
      <w:r w:rsidRPr="00C85F0F">
        <w:rPr>
          <w:rFonts w:ascii="Traditional Arabic" w:hAnsi="Traditional Arabic"/>
          <w:szCs w:val="32"/>
          <w:vertAlign w:val="superscript"/>
          <w:rtl/>
        </w:rPr>
        <w:t>)</w:t>
      </w:r>
      <w:r w:rsidRPr="00C85F0F">
        <w:rPr>
          <w:rFonts w:ascii="Traditional Arabic" w:hAnsi="Traditional Arabic"/>
          <w:rtl/>
        </w:rPr>
        <w:t>.</w:t>
      </w:r>
    </w:p>
    <w:p w:rsidR="006F08E1" w:rsidRPr="00C85F0F" w:rsidRDefault="006F08E1" w:rsidP="00597C20">
      <w:pPr>
        <w:spacing w:line="600" w:lineRule="exact"/>
        <w:jc w:val="lowKashida"/>
        <w:rPr>
          <w:rFonts w:ascii="Traditional Arabic" w:hAnsi="Traditional Arabic"/>
          <w:rtl/>
        </w:rPr>
      </w:pPr>
      <w:r w:rsidRPr="00C85F0F">
        <w:rPr>
          <w:rFonts w:ascii="Traditional Arabic" w:hAnsi="Traditional Arabic"/>
          <w:rtl/>
        </w:rPr>
        <w:t>ويقول معالي الشيخ صالح بن حميد - رئيس مجلس الشورى</w:t>
      </w:r>
      <w:r w:rsidR="000F09D8">
        <w:rPr>
          <w:rFonts w:ascii="Traditional Arabic" w:hAnsi="Traditional Arabic" w:hint="cs"/>
          <w:rtl/>
        </w:rPr>
        <w:t xml:space="preserve"> سابقا</w:t>
      </w:r>
      <w:r w:rsidRPr="00C85F0F">
        <w:rPr>
          <w:rFonts w:ascii="Traditional Arabic" w:hAnsi="Traditional Arabic"/>
          <w:rtl/>
        </w:rPr>
        <w:t>-</w:t>
      </w:r>
      <w:r w:rsidR="000F09D8">
        <w:rPr>
          <w:rFonts w:ascii="Traditional Arabic" w:hAnsi="Traditional Arabic" w:hint="cs"/>
          <w:rtl/>
        </w:rPr>
        <w:t>حفظه الله</w:t>
      </w:r>
      <w:r w:rsidRPr="00C85F0F">
        <w:rPr>
          <w:rFonts w:ascii="Traditional Arabic" w:hAnsi="Traditional Arabic"/>
          <w:rtl/>
        </w:rPr>
        <w:t xml:space="preserve"> : (إنه شيخ عَلِم ليعمل</w:t>
      </w:r>
      <w:r w:rsidR="00B76414" w:rsidRPr="00C85F0F">
        <w:rPr>
          <w:rFonts w:ascii="Traditional Arabic" w:hAnsi="Traditional Arabic"/>
          <w:rtl/>
        </w:rPr>
        <w:t>،</w:t>
      </w:r>
      <w:r w:rsidRPr="00C85F0F">
        <w:rPr>
          <w:rFonts w:ascii="Traditional Arabic" w:hAnsi="Traditional Arabic"/>
          <w:rtl/>
        </w:rPr>
        <w:t xml:space="preserve"> اهتم بالعلم النافع : علم الآخرة</w:t>
      </w:r>
      <w:r w:rsidR="00B76414" w:rsidRPr="00C85F0F">
        <w:rPr>
          <w:rFonts w:ascii="Traditional Arabic" w:hAnsi="Traditional Arabic"/>
          <w:rtl/>
        </w:rPr>
        <w:t>،</w:t>
      </w:r>
      <w:r w:rsidRPr="00C85F0F">
        <w:rPr>
          <w:rFonts w:ascii="Traditional Arabic" w:hAnsi="Traditional Arabic"/>
          <w:rtl/>
        </w:rPr>
        <w:t xml:space="preserve"> أما العلوم الأخرى فهي عنده علوم آلة لخدمة علم الآخرة</w:t>
      </w:r>
      <w:r w:rsidR="00B76414" w:rsidRPr="00C85F0F">
        <w:rPr>
          <w:rFonts w:ascii="Traditional Arabic" w:hAnsi="Traditional Arabic"/>
          <w:rtl/>
        </w:rPr>
        <w:t>،</w:t>
      </w:r>
      <w:r w:rsidRPr="00C85F0F">
        <w:rPr>
          <w:rFonts w:ascii="Traditional Arabic" w:hAnsi="Traditional Arabic"/>
          <w:rtl/>
        </w:rPr>
        <w:t xml:space="preserve"> لقد تعلَّم الشريعة وعلَّمها بحديثها وفقهها وتفسيرها</w:t>
      </w:r>
      <w:r w:rsidR="00B76414" w:rsidRPr="00C85F0F">
        <w:rPr>
          <w:rFonts w:ascii="Traditional Arabic" w:hAnsi="Traditional Arabic"/>
          <w:rtl/>
        </w:rPr>
        <w:t>،</w:t>
      </w:r>
      <w:r w:rsidRPr="00C85F0F">
        <w:rPr>
          <w:rFonts w:ascii="Traditional Arabic" w:hAnsi="Traditional Arabic"/>
          <w:rtl/>
        </w:rPr>
        <w:t xml:space="preserve"> مشغول</w:t>
      </w:r>
      <w:r w:rsidR="009118FF">
        <w:rPr>
          <w:rFonts w:ascii="Traditional Arabic" w:hAnsi="Traditional Arabic" w:hint="cs"/>
          <w:rtl/>
        </w:rPr>
        <w:t>ٌ</w:t>
      </w:r>
      <w:r w:rsidRPr="00C85F0F">
        <w:rPr>
          <w:rFonts w:ascii="Traditional Arabic" w:hAnsi="Traditional Arabic"/>
          <w:rtl/>
        </w:rPr>
        <w:t xml:space="preserve"> وقت</w:t>
      </w:r>
      <w:r w:rsidR="009118FF">
        <w:rPr>
          <w:rFonts w:ascii="Traditional Arabic" w:hAnsi="Traditional Arabic" w:hint="cs"/>
          <w:rtl/>
        </w:rPr>
        <w:t>ُ</w:t>
      </w:r>
      <w:r w:rsidRPr="00C85F0F">
        <w:rPr>
          <w:rFonts w:ascii="Traditional Arabic" w:hAnsi="Traditional Arabic"/>
          <w:rtl/>
        </w:rPr>
        <w:t>ــه بالعلم والذكر والفقه والوعظ والتوجيه والفتوى</w:t>
      </w:r>
      <w:r w:rsidR="00B76414" w:rsidRPr="00C85F0F">
        <w:rPr>
          <w:rFonts w:ascii="Traditional Arabic" w:hAnsi="Traditional Arabic"/>
          <w:rtl/>
        </w:rPr>
        <w:t>،</w:t>
      </w:r>
      <w:r w:rsidRPr="00C85F0F">
        <w:rPr>
          <w:rFonts w:ascii="Traditional Arabic" w:hAnsi="Traditional Arabic"/>
          <w:rtl/>
        </w:rPr>
        <w:t xml:space="preserve"> بلسانه وقلمه)</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29"/>
      </w:r>
      <w:r w:rsidRPr="00C85F0F">
        <w:rPr>
          <w:rFonts w:ascii="Traditional Arabic" w:hAnsi="Traditional Arabic"/>
          <w:szCs w:val="32"/>
          <w:vertAlign w:val="superscript"/>
          <w:rtl/>
        </w:rPr>
        <w:t>)</w:t>
      </w:r>
      <w:r w:rsidRPr="00C85F0F">
        <w:rPr>
          <w:rFonts w:ascii="Traditional Arabic" w:hAnsi="Traditional Arabic"/>
          <w:rtl/>
        </w:rPr>
        <w:t>.</w:t>
      </w:r>
    </w:p>
    <w:p w:rsidR="006F08E1" w:rsidRPr="00C85F0F" w:rsidRDefault="006F08E1" w:rsidP="00597C20">
      <w:pPr>
        <w:spacing w:line="600" w:lineRule="exact"/>
        <w:jc w:val="lowKashida"/>
        <w:rPr>
          <w:rFonts w:ascii="Traditional Arabic" w:hAnsi="Traditional Arabic"/>
          <w:rtl/>
        </w:rPr>
      </w:pPr>
      <w:r w:rsidRPr="00C85F0F">
        <w:rPr>
          <w:rFonts w:ascii="Traditional Arabic" w:hAnsi="Traditional Arabic"/>
          <w:rtl/>
        </w:rPr>
        <w:t xml:space="preserve">ويقول فضيلة الشيخ عبدالرحمن السديس - إمام وخطيب المسجد الحرام </w:t>
      </w:r>
      <w:r w:rsidR="000F09D8">
        <w:rPr>
          <w:rFonts w:ascii="Traditional Arabic" w:hAnsi="Traditional Arabic"/>
          <w:rtl/>
        </w:rPr>
        <w:t>–</w:t>
      </w:r>
      <w:r w:rsidR="000F09D8">
        <w:rPr>
          <w:rFonts w:ascii="Traditional Arabic" w:hAnsi="Traditional Arabic" w:hint="cs"/>
          <w:rtl/>
        </w:rPr>
        <w:t>حفظه الله</w:t>
      </w:r>
      <w:r w:rsidRPr="00C85F0F">
        <w:rPr>
          <w:rFonts w:ascii="Traditional Arabic" w:hAnsi="Traditional Arabic"/>
          <w:rtl/>
        </w:rPr>
        <w:t xml:space="preserve">: (يُعدُّ </w:t>
      </w:r>
      <w:r w:rsidRPr="00C85F0F">
        <w:rPr>
          <w:rFonts w:ascii="Traditional Arabic" w:hAnsi="Traditional Arabic"/>
          <w:rtl/>
        </w:rPr>
        <w:lastRenderedPageBreak/>
        <w:t xml:space="preserve">الشيخ – </w:t>
      </w:r>
      <w:r w:rsidR="009A0575" w:rsidRPr="005D5694">
        <w:rPr>
          <w:rFonts w:ascii="Traditional Arabic" w:hAnsi="Traditional Arabic" w:cs="CTraditional Arabic" w:hint="cs"/>
          <w:rtl/>
        </w:rPr>
        <w:t>/</w:t>
      </w:r>
      <w:r w:rsidRPr="00C85F0F">
        <w:rPr>
          <w:rFonts w:ascii="Traditional Arabic" w:hAnsi="Traditional Arabic"/>
          <w:rtl/>
        </w:rPr>
        <w:t xml:space="preserve"> – من بقية السلف الصالح</w:t>
      </w:r>
      <w:r w:rsidR="00B76414" w:rsidRPr="00C85F0F">
        <w:rPr>
          <w:rFonts w:ascii="Traditional Arabic" w:hAnsi="Traditional Arabic"/>
          <w:rtl/>
        </w:rPr>
        <w:t>،</w:t>
      </w:r>
      <w:r w:rsidRPr="00C85F0F">
        <w:rPr>
          <w:rFonts w:ascii="Traditional Arabic" w:hAnsi="Traditional Arabic"/>
          <w:rtl/>
        </w:rPr>
        <w:t xml:space="preserve"> وإماماً من أئمة أهل السنة والجماعة</w:t>
      </w:r>
      <w:r w:rsidR="00B76414" w:rsidRPr="00C85F0F">
        <w:rPr>
          <w:rFonts w:ascii="Traditional Arabic" w:hAnsi="Traditional Arabic"/>
          <w:rtl/>
        </w:rPr>
        <w:t>،</w:t>
      </w:r>
      <w:r w:rsidRPr="00C85F0F">
        <w:rPr>
          <w:rFonts w:ascii="Traditional Arabic" w:hAnsi="Traditional Arabic"/>
          <w:rtl/>
        </w:rPr>
        <w:t xml:space="preserve"> نحسبه كذلك ولا نزكي على الله أحداً</w:t>
      </w:r>
      <w:r w:rsidR="00B76414" w:rsidRPr="00C85F0F">
        <w:rPr>
          <w:rFonts w:ascii="Traditional Arabic" w:hAnsi="Traditional Arabic"/>
          <w:rtl/>
        </w:rPr>
        <w:t>،</w:t>
      </w:r>
      <w:r w:rsidRPr="00C85F0F">
        <w:rPr>
          <w:rFonts w:ascii="Traditional Arabic" w:hAnsi="Traditional Arabic"/>
          <w:rtl/>
        </w:rPr>
        <w:t xml:space="preserve"> فهو ممن قلَّ نظيره</w:t>
      </w:r>
      <w:r w:rsidR="00B76414" w:rsidRPr="00C85F0F">
        <w:rPr>
          <w:rFonts w:ascii="Traditional Arabic" w:hAnsi="Traditional Arabic"/>
          <w:rtl/>
        </w:rPr>
        <w:t>،</w:t>
      </w:r>
      <w:r w:rsidRPr="00C85F0F">
        <w:rPr>
          <w:rFonts w:ascii="Traditional Arabic" w:hAnsi="Traditional Arabic"/>
          <w:rtl/>
        </w:rPr>
        <w:t xml:space="preserve"> وممن جلَّ أن ترى العيون مثل</w:t>
      </w:r>
      <w:r w:rsidR="008E4FAA">
        <w:rPr>
          <w:rFonts w:ascii="Traditional Arabic" w:hAnsi="Traditional Arabic" w:hint="cs"/>
          <w:rtl/>
        </w:rPr>
        <w:t>َ</w:t>
      </w:r>
      <w:r w:rsidRPr="00C85F0F">
        <w:rPr>
          <w:rFonts w:ascii="Traditional Arabic" w:hAnsi="Traditional Arabic"/>
          <w:rtl/>
        </w:rPr>
        <w:t>ه بلا مبالغة</w:t>
      </w:r>
      <w:r w:rsidR="00B76414" w:rsidRPr="00C85F0F">
        <w:rPr>
          <w:rFonts w:ascii="Traditional Arabic" w:hAnsi="Traditional Arabic"/>
          <w:rtl/>
        </w:rPr>
        <w:t>،</w:t>
      </w:r>
      <w:r w:rsidRPr="00C85F0F">
        <w:rPr>
          <w:rFonts w:ascii="Traditional Arabic" w:hAnsi="Traditional Arabic"/>
          <w:rtl/>
        </w:rPr>
        <w:t xml:space="preserve"> لما حباه الله </w:t>
      </w:r>
      <w:r w:rsidR="00866D6A" w:rsidRPr="00C85F0F">
        <w:rPr>
          <w:rFonts w:ascii="Traditional Arabic" w:hAnsi="Traditional Arabic" w:hint="cs"/>
          <w:noProof w:val="0"/>
          <w:color w:val="auto"/>
          <w:rtl/>
          <w:lang w:eastAsia="en-US"/>
        </w:rPr>
        <w:sym w:font="AGA Arabesque" w:char="F055"/>
      </w:r>
      <w:r w:rsidR="00B76414" w:rsidRPr="00C85F0F">
        <w:rPr>
          <w:rFonts w:ascii="Traditional Arabic" w:hAnsi="Traditional Arabic"/>
          <w:rtl/>
        </w:rPr>
        <w:t>،</w:t>
      </w:r>
      <w:r w:rsidRPr="00C85F0F">
        <w:rPr>
          <w:rFonts w:ascii="Traditional Arabic" w:hAnsi="Traditional Arabic"/>
          <w:rtl/>
        </w:rPr>
        <w:t xml:space="preserve"> فهو موسوعة علمية وأخلاقية ودعوية ومنهجية يقلُّ نظيرها</w:t>
      </w:r>
      <w:r w:rsidR="00B76414" w:rsidRPr="00C85F0F">
        <w:rPr>
          <w:rFonts w:ascii="Traditional Arabic" w:hAnsi="Traditional Arabic"/>
          <w:rtl/>
        </w:rPr>
        <w:t>،</w:t>
      </w:r>
      <w:r w:rsidRPr="00C85F0F">
        <w:rPr>
          <w:rFonts w:ascii="Traditional Arabic" w:hAnsi="Traditional Arabic"/>
          <w:rtl/>
        </w:rPr>
        <w:t xml:space="preserve"> فهو أئمة في إمام</w:t>
      </w:r>
      <w:r w:rsidR="00B76414" w:rsidRPr="00C85F0F">
        <w:rPr>
          <w:rFonts w:ascii="Traditional Arabic" w:hAnsi="Traditional Arabic"/>
          <w:rtl/>
        </w:rPr>
        <w:t>،</w:t>
      </w:r>
      <w:r w:rsidRPr="00C85F0F">
        <w:rPr>
          <w:rFonts w:ascii="Traditional Arabic" w:hAnsi="Traditional Arabic"/>
          <w:rtl/>
        </w:rPr>
        <w:t xml:space="preserve"> وأُمَّة</w:t>
      </w:r>
      <w:r w:rsidR="008E4FAA">
        <w:rPr>
          <w:rFonts w:ascii="Traditional Arabic" w:hAnsi="Traditional Arabic" w:hint="cs"/>
          <w:rtl/>
        </w:rPr>
        <w:t>ٌ</w:t>
      </w:r>
      <w:r w:rsidRPr="00C85F0F">
        <w:rPr>
          <w:rFonts w:ascii="Traditional Arabic" w:hAnsi="Traditional Arabic"/>
          <w:rtl/>
        </w:rPr>
        <w:t xml:space="preserve"> وحده</w:t>
      </w:r>
      <w:r w:rsidR="00B76414" w:rsidRPr="00C85F0F">
        <w:rPr>
          <w:rFonts w:ascii="Traditional Arabic" w:hAnsi="Traditional Arabic"/>
          <w:rtl/>
        </w:rPr>
        <w:t>،</w:t>
      </w:r>
      <w:r w:rsidRPr="00C85F0F">
        <w:rPr>
          <w:rFonts w:ascii="Traditional Arabic" w:hAnsi="Traditional Arabic"/>
          <w:rtl/>
        </w:rPr>
        <w:t xml:space="preserve"> ونسيج</w:t>
      </w:r>
      <w:r w:rsidR="008E4FAA">
        <w:rPr>
          <w:rFonts w:ascii="Traditional Arabic" w:hAnsi="Traditional Arabic" w:hint="cs"/>
          <w:rtl/>
        </w:rPr>
        <w:t>ٌ</w:t>
      </w:r>
      <w:r w:rsidRPr="00C85F0F">
        <w:rPr>
          <w:rFonts w:ascii="Traditional Arabic" w:hAnsi="Traditional Arabic"/>
          <w:rtl/>
        </w:rPr>
        <w:t xml:space="preserve"> بمفرده</w:t>
      </w:r>
      <w:r w:rsidR="00B76414" w:rsidRPr="00C85F0F">
        <w:rPr>
          <w:rFonts w:ascii="Traditional Arabic" w:hAnsi="Traditional Arabic"/>
          <w:rtl/>
        </w:rPr>
        <w:t>،</w:t>
      </w:r>
      <w:r w:rsidRPr="00C85F0F">
        <w:rPr>
          <w:rFonts w:ascii="Traditional Arabic" w:hAnsi="Traditional Arabic"/>
          <w:rtl/>
        </w:rPr>
        <w:t xml:space="preserve"> وطراز</w:t>
      </w:r>
      <w:r w:rsidR="008E4FAA">
        <w:rPr>
          <w:rFonts w:ascii="Traditional Arabic" w:hAnsi="Traditional Arabic" w:hint="cs"/>
          <w:rtl/>
        </w:rPr>
        <w:t>ٌ</w:t>
      </w:r>
      <w:r w:rsidRPr="00C85F0F">
        <w:rPr>
          <w:rFonts w:ascii="Traditional Arabic" w:hAnsi="Traditional Arabic"/>
          <w:rtl/>
        </w:rPr>
        <w:t xml:space="preserve"> مستقل</w:t>
      </w:r>
      <w:r w:rsidR="00B76414" w:rsidRPr="00C85F0F">
        <w:rPr>
          <w:rFonts w:ascii="Traditional Arabic" w:hAnsi="Traditional Arabic"/>
          <w:rtl/>
        </w:rPr>
        <w:t>،</w:t>
      </w:r>
      <w:r w:rsidRPr="00C85F0F">
        <w:rPr>
          <w:rFonts w:ascii="Traditional Arabic" w:hAnsi="Traditional Arabic"/>
          <w:rtl/>
        </w:rPr>
        <w:t xml:space="preserve"> طالما نفع الله به</w:t>
      </w:r>
      <w:r w:rsidR="00B76414" w:rsidRPr="00C85F0F">
        <w:rPr>
          <w:rFonts w:ascii="Traditional Arabic" w:hAnsi="Traditional Arabic"/>
          <w:rtl/>
        </w:rPr>
        <w:t>،</w:t>
      </w:r>
      <w:r w:rsidRPr="00C85F0F">
        <w:rPr>
          <w:rFonts w:ascii="Traditional Arabic" w:hAnsi="Traditional Arabic"/>
          <w:rtl/>
        </w:rPr>
        <w:t xml:space="preserve"> ذاع ص</w:t>
      </w:r>
      <w:r w:rsidR="008E4FAA">
        <w:rPr>
          <w:rFonts w:ascii="Traditional Arabic" w:hAnsi="Traditional Arabic" w:hint="cs"/>
          <w:rtl/>
        </w:rPr>
        <w:t>ِ</w:t>
      </w:r>
      <w:r w:rsidRPr="00C85F0F">
        <w:rPr>
          <w:rFonts w:ascii="Traditional Arabic" w:hAnsi="Traditional Arabic"/>
          <w:rtl/>
        </w:rPr>
        <w:t>يته</w:t>
      </w:r>
      <w:r w:rsidR="00B76414" w:rsidRPr="00C85F0F">
        <w:rPr>
          <w:rFonts w:ascii="Traditional Arabic" w:hAnsi="Traditional Arabic"/>
          <w:rtl/>
        </w:rPr>
        <w:t>،</w:t>
      </w:r>
      <w:r w:rsidRPr="00C85F0F">
        <w:rPr>
          <w:rFonts w:ascii="Traditional Arabic" w:hAnsi="Traditional Arabic"/>
          <w:rtl/>
        </w:rPr>
        <w:t xml:space="preserve"> وعلا قدر</w:t>
      </w:r>
      <w:r w:rsidR="008E4FAA">
        <w:rPr>
          <w:rFonts w:ascii="Traditional Arabic" w:hAnsi="Traditional Arabic" w:hint="cs"/>
          <w:rtl/>
        </w:rPr>
        <w:t>ُ</w:t>
      </w:r>
      <w:r w:rsidRPr="00C85F0F">
        <w:rPr>
          <w:rFonts w:ascii="Traditional Arabic" w:hAnsi="Traditional Arabic"/>
          <w:rtl/>
        </w:rPr>
        <w:t>ه</w:t>
      </w:r>
      <w:r w:rsidR="00B76414" w:rsidRPr="00C85F0F">
        <w:rPr>
          <w:rFonts w:ascii="Traditional Arabic" w:hAnsi="Traditional Arabic"/>
          <w:rtl/>
        </w:rPr>
        <w:t>،</w:t>
      </w:r>
      <w:r w:rsidRPr="00C85F0F">
        <w:rPr>
          <w:rFonts w:ascii="Traditional Arabic" w:hAnsi="Traditional Arabic"/>
          <w:rtl/>
        </w:rPr>
        <w:t xml:space="preserve"> واستفاد منه القاصي والداني</w:t>
      </w:r>
      <w:r w:rsidR="00B76414" w:rsidRPr="00C85F0F">
        <w:rPr>
          <w:rFonts w:ascii="Traditional Arabic" w:hAnsi="Traditional Arabic"/>
          <w:rtl/>
        </w:rPr>
        <w:t>،</w:t>
      </w:r>
      <w:r w:rsidRPr="00C85F0F">
        <w:rPr>
          <w:rFonts w:ascii="Traditional Arabic" w:hAnsi="Traditional Arabic"/>
          <w:rtl/>
        </w:rPr>
        <w:t xml:space="preserve"> متميز المنهج</w:t>
      </w:r>
      <w:r w:rsidR="00B76414" w:rsidRPr="00C85F0F">
        <w:rPr>
          <w:rFonts w:ascii="Traditional Arabic" w:hAnsi="Traditional Arabic"/>
          <w:rtl/>
        </w:rPr>
        <w:t>،</w:t>
      </w:r>
      <w:r w:rsidRPr="00C85F0F">
        <w:rPr>
          <w:rFonts w:ascii="Traditional Arabic" w:hAnsi="Traditional Arabic"/>
          <w:rtl/>
        </w:rPr>
        <w:t xml:space="preserve"> فذُّ العبقرية</w:t>
      </w:r>
      <w:r w:rsidR="00B76414" w:rsidRPr="00C85F0F">
        <w:rPr>
          <w:rFonts w:ascii="Traditional Arabic" w:hAnsi="Traditional Arabic"/>
          <w:rtl/>
        </w:rPr>
        <w:t>،</w:t>
      </w:r>
      <w:r w:rsidRPr="00C85F0F">
        <w:rPr>
          <w:rFonts w:ascii="Traditional Arabic" w:hAnsi="Traditional Arabic"/>
          <w:rtl/>
        </w:rPr>
        <w:t xml:space="preserve"> معتدل الرؤى</w:t>
      </w:r>
      <w:r w:rsidR="00B76414" w:rsidRPr="00C85F0F">
        <w:rPr>
          <w:rFonts w:ascii="Traditional Arabic" w:hAnsi="Traditional Arabic"/>
          <w:rtl/>
        </w:rPr>
        <w:t>،</w:t>
      </w:r>
      <w:r w:rsidRPr="00C85F0F">
        <w:rPr>
          <w:rFonts w:ascii="Traditional Arabic" w:hAnsi="Traditional Arabic"/>
          <w:rtl/>
        </w:rPr>
        <w:t xml:space="preserve"> متماسك الشخصية</w:t>
      </w:r>
      <w:r w:rsidR="00B76414" w:rsidRPr="00C85F0F">
        <w:rPr>
          <w:rFonts w:ascii="Traditional Arabic" w:hAnsi="Traditional Arabic"/>
          <w:rtl/>
        </w:rPr>
        <w:t>،</w:t>
      </w:r>
      <w:r w:rsidRPr="00C85F0F">
        <w:rPr>
          <w:rFonts w:ascii="Traditional Arabic" w:hAnsi="Traditional Arabic"/>
          <w:rtl/>
        </w:rPr>
        <w:t xml:space="preserve"> متوازن النظرة</w:t>
      </w:r>
      <w:r w:rsidR="00B76414" w:rsidRPr="00C85F0F">
        <w:rPr>
          <w:rFonts w:ascii="Traditional Arabic" w:hAnsi="Traditional Arabic"/>
          <w:rtl/>
        </w:rPr>
        <w:t>،</w:t>
      </w:r>
      <w:r w:rsidRPr="00C85F0F">
        <w:rPr>
          <w:rFonts w:ascii="Traditional Arabic" w:hAnsi="Traditional Arabic"/>
          <w:rtl/>
        </w:rPr>
        <w:t xml:space="preserve"> وعلى الرغم من حصول زوابع</w:t>
      </w:r>
      <w:r w:rsidR="00B76414" w:rsidRPr="00C85F0F">
        <w:rPr>
          <w:rFonts w:ascii="Traditional Arabic" w:hAnsi="Traditional Arabic"/>
          <w:rtl/>
        </w:rPr>
        <w:t>،</w:t>
      </w:r>
      <w:r w:rsidRPr="00C85F0F">
        <w:rPr>
          <w:rFonts w:ascii="Traditional Arabic" w:hAnsi="Traditional Arabic"/>
          <w:rtl/>
        </w:rPr>
        <w:t xml:space="preserve"> وهبوب عواصف</w:t>
      </w:r>
      <w:r w:rsidR="00B76414" w:rsidRPr="00C85F0F">
        <w:rPr>
          <w:rFonts w:ascii="Traditional Arabic" w:hAnsi="Traditional Arabic"/>
          <w:rtl/>
        </w:rPr>
        <w:t>،</w:t>
      </w:r>
      <w:r w:rsidRPr="00C85F0F">
        <w:rPr>
          <w:rFonts w:ascii="Traditional Arabic" w:hAnsi="Traditional Arabic"/>
          <w:rtl/>
        </w:rPr>
        <w:t xml:space="preserve"> وهيجان أمواج</w:t>
      </w:r>
      <w:r w:rsidR="00B76414" w:rsidRPr="00C85F0F">
        <w:rPr>
          <w:rFonts w:ascii="Traditional Arabic" w:hAnsi="Traditional Arabic"/>
          <w:rtl/>
        </w:rPr>
        <w:t>،</w:t>
      </w:r>
      <w:r w:rsidRPr="00C85F0F">
        <w:rPr>
          <w:rFonts w:ascii="Traditional Arabic" w:hAnsi="Traditional Arabic"/>
          <w:rtl/>
        </w:rPr>
        <w:t xml:space="preserve"> إلا أنه ظلَّ بتوفيـــق الله</w:t>
      </w:r>
      <w:r w:rsidR="00B76414" w:rsidRPr="00C85F0F">
        <w:rPr>
          <w:rFonts w:ascii="Traditional Arabic" w:hAnsi="Traditional Arabic"/>
          <w:rtl/>
        </w:rPr>
        <w:t>،</w:t>
      </w:r>
      <w:r w:rsidRPr="00C85F0F">
        <w:rPr>
          <w:rFonts w:ascii="Traditional Arabic" w:hAnsi="Traditional Arabic"/>
          <w:rtl/>
        </w:rPr>
        <w:t xml:space="preserve"> الثابت في صدق المسلك</w:t>
      </w:r>
      <w:r w:rsidR="00B76414" w:rsidRPr="00C85F0F">
        <w:rPr>
          <w:rFonts w:ascii="Traditional Arabic" w:hAnsi="Traditional Arabic"/>
          <w:rtl/>
        </w:rPr>
        <w:t>،</w:t>
      </w:r>
      <w:r w:rsidRPr="00C85F0F">
        <w:rPr>
          <w:rFonts w:ascii="Traditional Arabic" w:hAnsi="Traditional Arabic"/>
          <w:rtl/>
        </w:rPr>
        <w:t xml:space="preserve"> ونفاذ البصيرة</w:t>
      </w:r>
      <w:r w:rsidR="00B76414" w:rsidRPr="00C85F0F">
        <w:rPr>
          <w:rFonts w:ascii="Traditional Arabic" w:hAnsi="Traditional Arabic"/>
          <w:rtl/>
        </w:rPr>
        <w:t>،</w:t>
      </w:r>
      <w:r w:rsidRPr="00C85F0F">
        <w:rPr>
          <w:rFonts w:ascii="Traditional Arabic" w:hAnsi="Traditional Arabic"/>
          <w:rtl/>
        </w:rPr>
        <w:t xml:space="preserve"> والنصح لله ورسوله </w:t>
      </w:r>
      <w:r w:rsidRPr="00C85F0F">
        <w:rPr>
          <w:rFonts w:ascii="Traditional Arabic" w:hAnsi="Traditional Arabic"/>
          <w:rtl/>
        </w:rPr>
        <w:sym w:font="AGA Arabesque" w:char="F065"/>
      </w:r>
      <w:r w:rsidRPr="00C85F0F">
        <w:rPr>
          <w:rFonts w:ascii="Traditional Arabic" w:hAnsi="Traditional Arabic"/>
          <w:rtl/>
        </w:rPr>
        <w:t>ولكتابه ولأئمة المسلمين وعامتهم)</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30"/>
      </w:r>
      <w:r w:rsidRPr="00C85F0F">
        <w:rPr>
          <w:rFonts w:ascii="Traditional Arabic" w:hAnsi="Traditional Arabic"/>
          <w:szCs w:val="32"/>
          <w:vertAlign w:val="superscript"/>
          <w:rtl/>
        </w:rPr>
        <w:t>)</w:t>
      </w:r>
      <w:r w:rsidRPr="00C85F0F">
        <w:rPr>
          <w:rFonts w:ascii="Traditional Arabic" w:hAnsi="Traditional Arabic"/>
          <w:rtl/>
        </w:rPr>
        <w:t>.</w:t>
      </w:r>
    </w:p>
    <w:p w:rsidR="006F08E1" w:rsidRPr="00C85F0F" w:rsidRDefault="009322BA" w:rsidP="00A8347C">
      <w:pPr>
        <w:pStyle w:val="aff3"/>
        <w:rPr>
          <w:rtl/>
        </w:rPr>
      </w:pPr>
      <w:bookmarkStart w:id="14" w:name="_Toc334046278"/>
      <w:r>
        <w:rPr>
          <w:rFonts w:hint="cs"/>
          <w:rtl/>
        </w:rPr>
        <w:t xml:space="preserve">               </w:t>
      </w:r>
      <w:r w:rsidR="005942DD">
        <w:rPr>
          <w:rFonts w:hint="cs"/>
          <w:rtl/>
        </w:rPr>
        <w:t xml:space="preserve">                         </w:t>
      </w:r>
      <w:r w:rsidR="006F08E1" w:rsidRPr="00C85F0F">
        <w:rPr>
          <w:rFonts w:hint="cs"/>
          <w:rtl/>
        </w:rPr>
        <w:t>المطلب الخامس</w:t>
      </w:r>
      <w:r w:rsidR="00EC0771" w:rsidRPr="00C85F0F">
        <w:rPr>
          <w:rFonts w:hint="eastAsia"/>
          <w:rtl/>
        </w:rPr>
        <w:t> :</w:t>
      </w:r>
      <w:r w:rsidR="00EC0771" w:rsidRPr="00C85F0F">
        <w:rPr>
          <w:rFonts w:hint="cs"/>
          <w:rtl/>
        </w:rPr>
        <w:br/>
      </w:r>
      <w:r>
        <w:rPr>
          <w:rFonts w:hint="cs"/>
          <w:rtl/>
        </w:rPr>
        <w:t xml:space="preserve">                    </w:t>
      </w:r>
      <w:r w:rsidR="000F09D8">
        <w:rPr>
          <w:rFonts w:hint="cs"/>
          <w:rtl/>
        </w:rPr>
        <w:t xml:space="preserve">                      </w:t>
      </w:r>
      <w:r w:rsidR="00C330D2">
        <w:rPr>
          <w:rFonts w:hint="cs"/>
          <w:rtl/>
        </w:rPr>
        <w:t xml:space="preserve"> </w:t>
      </w:r>
      <w:r w:rsidR="000F09D8">
        <w:rPr>
          <w:rFonts w:hint="cs"/>
          <w:rtl/>
        </w:rPr>
        <w:t>آثار</w:t>
      </w:r>
      <w:r w:rsidR="006F08E1" w:rsidRPr="00C85F0F">
        <w:rPr>
          <w:rFonts w:hint="cs"/>
          <w:rtl/>
        </w:rPr>
        <w:t>ه</w:t>
      </w:r>
      <w:bookmarkEnd w:id="14"/>
      <w:r w:rsidR="000F09D8">
        <w:rPr>
          <w:rFonts w:hint="cs"/>
          <w:rtl/>
        </w:rPr>
        <w:t xml:space="preserve"> العلمية</w:t>
      </w:r>
      <w:r w:rsidR="00C330D2">
        <w:rPr>
          <w:rFonts w:hint="cs"/>
          <w:vertAlign w:val="superscript"/>
          <w:rtl/>
        </w:rPr>
        <w:t xml:space="preserve"> </w:t>
      </w:r>
      <w:r w:rsidR="00C330D2" w:rsidRPr="00C330D2">
        <w:rPr>
          <w:rFonts w:hint="cs"/>
          <w:vertAlign w:val="superscript"/>
          <w:rtl/>
        </w:rPr>
        <w:t>(</w:t>
      </w:r>
      <w:r w:rsidR="00C330D2" w:rsidRPr="00C330D2">
        <w:rPr>
          <w:rStyle w:val="af1"/>
          <w:b w:val="0"/>
          <w:bCs w:val="0"/>
          <w:rtl/>
        </w:rPr>
        <w:footnoteReference w:id="31"/>
      </w:r>
      <w:r w:rsidR="00C330D2" w:rsidRPr="00C330D2">
        <w:rPr>
          <w:rFonts w:hint="cs"/>
          <w:vertAlign w:val="superscript"/>
          <w:rtl/>
        </w:rPr>
        <w:t>)</w:t>
      </w:r>
    </w:p>
    <w:p w:rsidR="00F228A9" w:rsidRPr="00C85F0F" w:rsidRDefault="006F08E1" w:rsidP="00D76BE4">
      <w:pPr>
        <w:spacing w:line="640" w:lineRule="exact"/>
        <w:jc w:val="lowKashida"/>
        <w:rPr>
          <w:rFonts w:ascii="Traditional Arabic" w:hAnsi="Traditional Arabic"/>
          <w:rtl/>
        </w:rPr>
      </w:pPr>
      <w:r w:rsidRPr="00C85F0F">
        <w:rPr>
          <w:rFonts w:ascii="Traditional Arabic" w:hAnsi="Traditional Arabic"/>
          <w:rtl/>
        </w:rPr>
        <w:t xml:space="preserve">خلَّف الشيخ ابن عثيمين </w:t>
      </w:r>
      <w:r w:rsidR="009A0575" w:rsidRPr="005D5694">
        <w:rPr>
          <w:rFonts w:ascii="Traditional Arabic" w:hAnsi="Traditional Arabic" w:cs="CTraditional Arabic" w:hint="cs"/>
          <w:rtl/>
        </w:rPr>
        <w:t>/</w:t>
      </w:r>
      <w:r w:rsidRPr="00C85F0F">
        <w:rPr>
          <w:rFonts w:ascii="Traditional Arabic" w:hAnsi="Traditional Arabic"/>
          <w:rtl/>
        </w:rPr>
        <w:t xml:space="preserve"> تراثاً علمياً ضخماً</w:t>
      </w:r>
      <w:r w:rsidR="00B76414" w:rsidRPr="00C85F0F">
        <w:rPr>
          <w:rFonts w:ascii="Traditional Arabic" w:hAnsi="Traditional Arabic"/>
          <w:rtl/>
        </w:rPr>
        <w:t>،</w:t>
      </w:r>
      <w:r w:rsidRPr="00C85F0F">
        <w:rPr>
          <w:rFonts w:ascii="Traditional Arabic" w:hAnsi="Traditional Arabic"/>
          <w:rtl/>
        </w:rPr>
        <w:t xml:space="preserve"> ما بين مسموع ومقرو</w:t>
      </w:r>
      <w:r w:rsidR="00D76BE4">
        <w:rPr>
          <w:rFonts w:ascii="Traditional Arabic" w:hAnsi="Traditional Arabic" w:hint="cs"/>
          <w:rtl/>
        </w:rPr>
        <w:t>ء</w:t>
      </w:r>
      <w:r w:rsidR="00B76414" w:rsidRPr="00C85F0F">
        <w:rPr>
          <w:rFonts w:ascii="Traditional Arabic" w:hAnsi="Traditional Arabic"/>
          <w:rtl/>
        </w:rPr>
        <w:t>،</w:t>
      </w:r>
      <w:r w:rsidRPr="00C85F0F">
        <w:rPr>
          <w:rFonts w:ascii="Traditional Arabic" w:hAnsi="Traditional Arabic"/>
          <w:rtl/>
        </w:rPr>
        <w:t xml:space="preserve"> و</w:t>
      </w:r>
      <w:r w:rsidR="00D76BE4">
        <w:rPr>
          <w:rFonts w:ascii="Traditional Arabic" w:hAnsi="Traditional Arabic" w:hint="cs"/>
          <w:rtl/>
        </w:rPr>
        <w:t>لقد</w:t>
      </w:r>
      <w:r w:rsidR="00EE57EC">
        <w:rPr>
          <w:rFonts w:ascii="Traditional Arabic" w:hAnsi="Traditional Arabic" w:hint="cs"/>
          <w:rtl/>
        </w:rPr>
        <w:t xml:space="preserve"> ا</w:t>
      </w:r>
      <w:r w:rsidR="000F09D8">
        <w:rPr>
          <w:rFonts w:ascii="Traditional Arabic" w:hAnsi="Traditional Arabic" w:hint="cs"/>
          <w:rtl/>
        </w:rPr>
        <w:t>ن</w:t>
      </w:r>
      <w:r w:rsidR="00EE57EC">
        <w:rPr>
          <w:rFonts w:ascii="Traditional Arabic" w:hAnsi="Traditional Arabic" w:hint="cs"/>
          <w:rtl/>
        </w:rPr>
        <w:t>ت</w:t>
      </w:r>
      <w:r w:rsidR="000F09D8">
        <w:rPr>
          <w:rFonts w:ascii="Traditional Arabic" w:hAnsi="Traditional Arabic" w:hint="cs"/>
          <w:rtl/>
        </w:rPr>
        <w:t>فع به</w:t>
      </w:r>
      <w:r w:rsidR="00D76BE4">
        <w:rPr>
          <w:rFonts w:ascii="Traditional Arabic" w:hAnsi="Traditional Arabic" w:hint="cs"/>
          <w:rtl/>
        </w:rPr>
        <w:t xml:space="preserve"> فئام من الناس في مختلف أرجاء المعمورة</w:t>
      </w:r>
      <w:r w:rsidR="00B76414" w:rsidRPr="00C85F0F">
        <w:rPr>
          <w:rFonts w:ascii="Traditional Arabic" w:hAnsi="Traditional Arabic"/>
          <w:rtl/>
        </w:rPr>
        <w:t>،</w:t>
      </w:r>
      <w:r w:rsidRPr="00C85F0F">
        <w:rPr>
          <w:rFonts w:ascii="Traditional Arabic" w:hAnsi="Traditional Arabic"/>
          <w:rtl/>
        </w:rPr>
        <w:t xml:space="preserve"> وطلباً للاختصار</w:t>
      </w:r>
      <w:r w:rsidR="00B76414" w:rsidRPr="00C85F0F">
        <w:rPr>
          <w:rFonts w:ascii="Traditional Arabic" w:hAnsi="Traditional Arabic"/>
          <w:rtl/>
        </w:rPr>
        <w:t>،</w:t>
      </w:r>
      <w:r w:rsidRPr="00C85F0F">
        <w:rPr>
          <w:rFonts w:ascii="Traditional Arabic" w:hAnsi="Traditional Arabic"/>
          <w:rtl/>
        </w:rPr>
        <w:t xml:space="preserve"> فإني لن أتصدى لع</w:t>
      </w:r>
      <w:r w:rsidR="000F09D8">
        <w:rPr>
          <w:rFonts w:ascii="Traditional Arabic" w:hAnsi="Traditional Arabic"/>
          <w:rtl/>
        </w:rPr>
        <w:t>رض جميع ذلك الإنتاج العلمي</w:t>
      </w:r>
      <w:r w:rsidR="00B76414" w:rsidRPr="00C85F0F">
        <w:rPr>
          <w:rFonts w:ascii="Traditional Arabic" w:hAnsi="Traditional Arabic"/>
          <w:rtl/>
        </w:rPr>
        <w:t>،</w:t>
      </w:r>
      <w:r w:rsidRPr="00C85F0F">
        <w:rPr>
          <w:rFonts w:ascii="Traditional Arabic" w:hAnsi="Traditional Arabic"/>
          <w:rtl/>
        </w:rPr>
        <w:t xml:space="preserve"> إلا أني سوف اقتصر في هذا المقام على أهم آثار الشيخ المقروءة والمسموعة</w:t>
      </w:r>
      <w:r w:rsidR="00B76414" w:rsidRPr="00C85F0F">
        <w:rPr>
          <w:rFonts w:ascii="Traditional Arabic" w:hAnsi="Traditional Arabic"/>
          <w:rtl/>
        </w:rPr>
        <w:t>،</w:t>
      </w:r>
      <w:r w:rsidRPr="00C85F0F">
        <w:rPr>
          <w:rFonts w:ascii="Traditional Arabic" w:hAnsi="Traditional Arabic"/>
          <w:rtl/>
        </w:rPr>
        <w:t xml:space="preserve"> وهي كما يلي :</w:t>
      </w:r>
    </w:p>
    <w:p w:rsidR="00F228A9" w:rsidRPr="00C85F0F" w:rsidRDefault="006F08E1" w:rsidP="00597C20">
      <w:pPr>
        <w:pStyle w:val="53"/>
        <w:rPr>
          <w:rtl/>
        </w:rPr>
      </w:pPr>
      <w:r w:rsidRPr="00C85F0F">
        <w:rPr>
          <w:rtl/>
        </w:rPr>
        <w:t>أولاً : الآثار المقروءة :</w:t>
      </w:r>
    </w:p>
    <w:p w:rsidR="00F228A9"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وتنقسم الآثار المقروءة إلى قسمين اثنين :</w:t>
      </w:r>
    </w:p>
    <w:p w:rsidR="00A0117D" w:rsidRPr="00C85F0F" w:rsidRDefault="006F08E1" w:rsidP="00597C20">
      <w:pPr>
        <w:pStyle w:val="61"/>
        <w:rPr>
          <w:rtl/>
        </w:rPr>
      </w:pPr>
      <w:r w:rsidRPr="00C85F0F">
        <w:rPr>
          <w:rtl/>
        </w:rPr>
        <w:t>(1) المؤلفات المحرَّرة :</w:t>
      </w:r>
    </w:p>
    <w:p w:rsidR="00F228A9" w:rsidRPr="00C85F0F" w:rsidRDefault="006F08E1" w:rsidP="00D76BE4">
      <w:pPr>
        <w:spacing w:line="640" w:lineRule="exact"/>
        <w:jc w:val="lowKashida"/>
        <w:rPr>
          <w:rFonts w:ascii="Traditional Arabic" w:hAnsi="Traditional Arabic"/>
          <w:rtl/>
        </w:rPr>
      </w:pPr>
      <w:r w:rsidRPr="00C85F0F">
        <w:rPr>
          <w:rFonts w:ascii="Traditional Arabic" w:hAnsi="Traditional Arabic"/>
          <w:rtl/>
        </w:rPr>
        <w:t>وهي المؤلفات التي ألَّفها الشيخ ابتداء</w:t>
      </w:r>
      <w:r w:rsidR="00B76414" w:rsidRPr="00C85F0F">
        <w:rPr>
          <w:rFonts w:ascii="Traditional Arabic" w:hAnsi="Traditional Arabic"/>
          <w:rtl/>
        </w:rPr>
        <w:t>،</w:t>
      </w:r>
      <w:r w:rsidRPr="00C85F0F">
        <w:rPr>
          <w:rFonts w:ascii="Traditional Arabic" w:hAnsi="Traditional Arabic"/>
          <w:rtl/>
        </w:rPr>
        <w:t xml:space="preserve"> وكتبها بخط يده</w:t>
      </w:r>
      <w:r w:rsidR="00B76414" w:rsidRPr="00C85F0F">
        <w:rPr>
          <w:rFonts w:ascii="Traditional Arabic" w:hAnsi="Traditional Arabic"/>
          <w:rtl/>
        </w:rPr>
        <w:t>،</w:t>
      </w:r>
      <w:r w:rsidRPr="00C85F0F">
        <w:rPr>
          <w:rFonts w:ascii="Traditional Arabic" w:hAnsi="Traditional Arabic"/>
          <w:rtl/>
        </w:rPr>
        <w:t xml:space="preserve"> وفرَّغ نفسه للتأليف والكتابة فيها</w:t>
      </w:r>
      <w:r w:rsidR="00B76414" w:rsidRPr="00C85F0F">
        <w:rPr>
          <w:rFonts w:ascii="Traditional Arabic" w:hAnsi="Traditional Arabic"/>
          <w:rtl/>
        </w:rPr>
        <w:t>،</w:t>
      </w:r>
      <w:r w:rsidRPr="00C85F0F">
        <w:rPr>
          <w:rFonts w:ascii="Traditional Arabic" w:hAnsi="Traditional Arabic"/>
          <w:rtl/>
        </w:rPr>
        <w:t xml:space="preserve"> </w:t>
      </w:r>
      <w:r w:rsidRPr="00C85F0F">
        <w:rPr>
          <w:rFonts w:ascii="Traditional Arabic" w:hAnsi="Traditional Arabic"/>
          <w:rtl/>
        </w:rPr>
        <w:lastRenderedPageBreak/>
        <w:t>وهي لا تمثل إلا نزراً يسيراً من نتاجه العلمي الكبير</w:t>
      </w:r>
      <w:r w:rsidR="00B76414" w:rsidRPr="00C85F0F">
        <w:rPr>
          <w:rFonts w:ascii="Traditional Arabic" w:hAnsi="Traditional Arabic"/>
          <w:rtl/>
        </w:rPr>
        <w:t>،</w:t>
      </w:r>
      <w:r w:rsidRPr="00C85F0F">
        <w:rPr>
          <w:rFonts w:ascii="Traditional Arabic" w:hAnsi="Traditional Arabic"/>
          <w:rtl/>
        </w:rPr>
        <w:t xml:space="preserve"> ومعظم تلك المؤلفات عبارة عن كتيبات صغيرة الحجم لا تتجاوز المائتي صفحة غالباً </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32"/>
      </w:r>
      <w:r w:rsidRPr="00C85F0F">
        <w:rPr>
          <w:rFonts w:ascii="Traditional Arabic" w:hAnsi="Traditional Arabic"/>
          <w:szCs w:val="32"/>
          <w:vertAlign w:val="superscript"/>
          <w:rtl/>
        </w:rPr>
        <w:t>)</w:t>
      </w:r>
      <w:r w:rsidRPr="00C85F0F">
        <w:rPr>
          <w:rFonts w:ascii="Traditional Arabic" w:hAnsi="Traditional Arabic"/>
          <w:rtl/>
        </w:rPr>
        <w:t>، ولعل السبب في ذلك – والله أعلم – هو انهماك الشيخ في التدريس والفتوى والإرشاد غالب وقته</w:t>
      </w:r>
      <w:r w:rsidR="00B76414" w:rsidRPr="00C85F0F">
        <w:rPr>
          <w:rFonts w:ascii="Traditional Arabic" w:hAnsi="Traditional Arabic"/>
          <w:rtl/>
        </w:rPr>
        <w:t>،</w:t>
      </w:r>
      <w:r w:rsidRPr="00C85F0F">
        <w:rPr>
          <w:rFonts w:ascii="Traditional Arabic" w:hAnsi="Traditional Arabic"/>
          <w:rtl/>
        </w:rPr>
        <w:t xml:space="preserve"> وكثرة أشغاله التي منعته من التأليف من هذا النوع</w:t>
      </w:r>
      <w:r w:rsidR="00B76414" w:rsidRPr="00C85F0F">
        <w:rPr>
          <w:rFonts w:ascii="Traditional Arabic" w:hAnsi="Traditional Arabic"/>
          <w:rtl/>
        </w:rPr>
        <w:t>،</w:t>
      </w:r>
      <w:r w:rsidRPr="00C85F0F">
        <w:rPr>
          <w:rFonts w:ascii="Traditional Arabic" w:hAnsi="Traditional Arabic"/>
          <w:rtl/>
        </w:rPr>
        <w:t xml:space="preserve"> فلم يتمكن من التأليف المحرَّر بيده</w:t>
      </w:r>
      <w:r w:rsidR="00B76414" w:rsidRPr="00C85F0F">
        <w:rPr>
          <w:rFonts w:ascii="Traditional Arabic" w:hAnsi="Traditional Arabic"/>
          <w:rtl/>
        </w:rPr>
        <w:t>،</w:t>
      </w:r>
      <w:r w:rsidRPr="00C85F0F">
        <w:rPr>
          <w:rFonts w:ascii="Traditional Arabic" w:hAnsi="Traditional Arabic"/>
          <w:rtl/>
        </w:rPr>
        <w:t xml:space="preserve"> وإليك هذه المؤلفات مرتَّبة على فنون العلم :</w:t>
      </w:r>
    </w:p>
    <w:p w:rsidR="00F228A9" w:rsidRPr="00C85F0F" w:rsidRDefault="006F08E1" w:rsidP="00597C20">
      <w:pPr>
        <w:pStyle w:val="71"/>
        <w:rPr>
          <w:rtl/>
        </w:rPr>
      </w:pPr>
      <w:r w:rsidRPr="00C85F0F">
        <w:rPr>
          <w:rtl/>
        </w:rPr>
        <w:t>أولاً : العقيـدة :</w:t>
      </w:r>
    </w:p>
    <w:p w:rsidR="006F08E1" w:rsidRPr="00C85F0F" w:rsidRDefault="006F08E1" w:rsidP="00D76BE4">
      <w:pPr>
        <w:numPr>
          <w:ilvl w:val="0"/>
          <w:numId w:val="17"/>
        </w:numPr>
        <w:tabs>
          <w:tab w:val="clear" w:pos="1309"/>
          <w:tab w:val="num" w:pos="1123"/>
        </w:tabs>
        <w:spacing w:line="640" w:lineRule="exact"/>
        <w:ind w:left="1123" w:hanging="669"/>
        <w:jc w:val="lowKashida"/>
        <w:rPr>
          <w:rFonts w:ascii="Traditional Arabic" w:hAnsi="Traditional Arabic"/>
          <w:rtl/>
        </w:rPr>
      </w:pPr>
      <w:r w:rsidRPr="00C85F0F">
        <w:rPr>
          <w:rFonts w:ascii="Traditional Arabic" w:hAnsi="Traditional Arabic"/>
          <w:rtl/>
        </w:rPr>
        <w:t>فتح رب البرية بتلخيص الحموية</w:t>
      </w:r>
      <w:r w:rsidR="00D76BE4">
        <w:rPr>
          <w:rFonts w:ascii="Traditional Arabic" w:hAnsi="Traditional Arabic" w:hint="cs"/>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تقريب التدمرية</w:t>
      </w:r>
      <w:r w:rsidR="00B76414" w:rsidRPr="00C85F0F">
        <w:rPr>
          <w:rFonts w:ascii="Traditional Arabic" w:hAnsi="Traditional Arabic"/>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تعليقات على العقيدة الواسطية</w:t>
      </w:r>
      <w:r w:rsidR="00B76414" w:rsidRPr="00C85F0F">
        <w:rPr>
          <w:rFonts w:ascii="Traditional Arabic" w:hAnsi="Traditional Arabic"/>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تعليق مختصر على لمعة الاعتقاد</w:t>
      </w:r>
      <w:r w:rsidR="00B76414" w:rsidRPr="00C85F0F">
        <w:rPr>
          <w:rFonts w:ascii="Traditional Arabic" w:hAnsi="Traditional Arabic"/>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نبذة في العقيدة : وصدر أيضاً بعنوان آخر وهو (شرح أصول الدين)</w:t>
      </w:r>
      <w:r w:rsidR="00B76414" w:rsidRPr="00C85F0F">
        <w:rPr>
          <w:rFonts w:ascii="Traditional Arabic" w:hAnsi="Traditional Arabic"/>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أصول الدين : لم يُنشر بعد</w:t>
      </w:r>
      <w:r w:rsidR="00B76414" w:rsidRPr="00C85F0F">
        <w:rPr>
          <w:rFonts w:ascii="Traditional Arabic" w:hAnsi="Traditional Arabic"/>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اســتدراكات على الع</w:t>
      </w:r>
      <w:r w:rsidR="000F09D8">
        <w:rPr>
          <w:rFonts w:ascii="Traditional Arabic" w:hAnsi="Traditional Arabic"/>
          <w:rtl/>
        </w:rPr>
        <w:t>قيدة السفَّارينية</w:t>
      </w:r>
      <w:r w:rsidR="00B76414" w:rsidRPr="00C85F0F">
        <w:rPr>
          <w:rFonts w:ascii="Traditional Arabic" w:hAnsi="Traditional Arabic"/>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مختارات من اقتضاء ا</w:t>
      </w:r>
      <w:r w:rsidR="000F09D8">
        <w:rPr>
          <w:rFonts w:ascii="Traditional Arabic" w:hAnsi="Traditional Arabic"/>
          <w:rtl/>
        </w:rPr>
        <w:t>لصراط المستقيم</w:t>
      </w:r>
      <w:r w:rsidR="00B76414" w:rsidRPr="00C85F0F">
        <w:rPr>
          <w:rFonts w:ascii="Traditional Arabic" w:hAnsi="Traditional Arabic"/>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عقيدة أهل السنة والجماعة</w:t>
      </w:r>
      <w:r w:rsidR="00B76414" w:rsidRPr="00C85F0F">
        <w:rPr>
          <w:rFonts w:ascii="Traditional Arabic" w:hAnsi="Traditional Arabic"/>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القواعد المثلى في صفات الله وأسمائه الحسنى</w:t>
      </w:r>
      <w:r w:rsidR="00B76414" w:rsidRPr="00C85F0F">
        <w:rPr>
          <w:rFonts w:ascii="Traditional Arabic" w:hAnsi="Traditional Arabic"/>
          <w:rtl/>
        </w:rPr>
        <w:t>.</w:t>
      </w:r>
    </w:p>
    <w:p w:rsidR="006F08E1" w:rsidRPr="00C85F0F" w:rsidRDefault="006F08E1" w:rsidP="00597C20">
      <w:pPr>
        <w:numPr>
          <w:ilvl w:val="0"/>
          <w:numId w:val="17"/>
        </w:numPr>
        <w:tabs>
          <w:tab w:val="clear" w:pos="1309"/>
          <w:tab w:val="num" w:pos="1123"/>
        </w:tabs>
        <w:spacing w:line="640" w:lineRule="exact"/>
        <w:ind w:left="1123" w:hanging="669"/>
        <w:jc w:val="lowKashida"/>
        <w:rPr>
          <w:rFonts w:ascii="Traditional Arabic" w:hAnsi="Traditional Arabic"/>
        </w:rPr>
      </w:pPr>
      <w:r w:rsidRPr="00C85F0F">
        <w:rPr>
          <w:rFonts w:ascii="Traditional Arabic" w:hAnsi="Traditional Arabic"/>
          <w:rtl/>
        </w:rPr>
        <w:t>الأدلة على</w:t>
      </w:r>
      <w:r w:rsidR="000F09D8">
        <w:rPr>
          <w:rFonts w:ascii="Traditional Arabic" w:hAnsi="Traditional Arabic"/>
          <w:rtl/>
        </w:rPr>
        <w:t xml:space="preserve"> بطلان الاشتراكية</w:t>
      </w:r>
      <w:r w:rsidR="00B76414" w:rsidRPr="00C85F0F">
        <w:rPr>
          <w:rFonts w:ascii="Traditional Arabic" w:hAnsi="Traditional Arabic"/>
          <w:rtl/>
        </w:rPr>
        <w:t>.</w:t>
      </w:r>
    </w:p>
    <w:p w:rsidR="00F228A9" w:rsidRPr="00C85F0F" w:rsidRDefault="006F08E1" w:rsidP="00597C20">
      <w:pPr>
        <w:pStyle w:val="71"/>
        <w:rPr>
          <w:rtl/>
        </w:rPr>
      </w:pPr>
      <w:r w:rsidRPr="00C85F0F">
        <w:rPr>
          <w:rtl/>
        </w:rPr>
        <w:t>ثانياً : أصول الفقه وقواعده :</w:t>
      </w:r>
    </w:p>
    <w:p w:rsidR="006F08E1" w:rsidRPr="00C85F0F" w:rsidRDefault="006F08E1" w:rsidP="00597C20">
      <w:pPr>
        <w:numPr>
          <w:ilvl w:val="0"/>
          <w:numId w:val="18"/>
        </w:numPr>
        <w:tabs>
          <w:tab w:val="clear" w:pos="765"/>
          <w:tab w:val="num" w:pos="1123"/>
        </w:tabs>
        <w:spacing w:line="640" w:lineRule="exact"/>
        <w:ind w:left="1123" w:hanging="669"/>
        <w:jc w:val="lowKashida"/>
        <w:rPr>
          <w:rFonts w:ascii="Traditional Arabic" w:hAnsi="Traditional Arabic"/>
          <w:rtl/>
        </w:rPr>
      </w:pPr>
      <w:r w:rsidRPr="00C85F0F">
        <w:rPr>
          <w:rFonts w:ascii="Traditional Arabic" w:hAnsi="Traditional Arabic"/>
          <w:rtl/>
        </w:rPr>
        <w:t>الأصول من علم الأصول</w:t>
      </w:r>
      <w:r w:rsidR="00B76414" w:rsidRPr="00C85F0F">
        <w:rPr>
          <w:rFonts w:ascii="Traditional Arabic" w:hAnsi="Traditional Arabic"/>
          <w:rtl/>
        </w:rPr>
        <w:t>.</w:t>
      </w:r>
    </w:p>
    <w:p w:rsidR="006F08E1" w:rsidRPr="00C85F0F" w:rsidRDefault="006F08E1" w:rsidP="00597C20">
      <w:pPr>
        <w:numPr>
          <w:ilvl w:val="0"/>
          <w:numId w:val="18"/>
        </w:numPr>
        <w:tabs>
          <w:tab w:val="clear" w:pos="765"/>
          <w:tab w:val="num" w:pos="1123"/>
        </w:tabs>
        <w:spacing w:line="640" w:lineRule="exact"/>
        <w:ind w:left="1123" w:hanging="669"/>
        <w:jc w:val="lowKashida"/>
        <w:rPr>
          <w:rFonts w:ascii="Traditional Arabic" w:hAnsi="Traditional Arabic"/>
        </w:rPr>
      </w:pPr>
      <w:r w:rsidRPr="00C85F0F">
        <w:rPr>
          <w:rFonts w:ascii="Traditional Arabic" w:hAnsi="Traditional Arabic"/>
          <w:rtl/>
        </w:rPr>
        <w:t>منظومة في أصول الفقه وقوا</w:t>
      </w:r>
      <w:r w:rsidR="00D76BE4">
        <w:rPr>
          <w:rFonts w:ascii="Traditional Arabic" w:hAnsi="Traditional Arabic"/>
          <w:rtl/>
        </w:rPr>
        <w:t>عده :</w:t>
      </w:r>
      <w:r w:rsidRPr="00C85F0F">
        <w:rPr>
          <w:rFonts w:ascii="Traditional Arabic" w:hAnsi="Traditional Arabic"/>
          <w:rtl/>
        </w:rPr>
        <w:t xml:space="preserve"> ويبلغ عدد أبياتها: بيتان ومائة</w:t>
      </w:r>
      <w:r w:rsidR="00B76414" w:rsidRPr="00C85F0F">
        <w:rPr>
          <w:rFonts w:ascii="Traditional Arabic" w:hAnsi="Traditional Arabic"/>
          <w:rtl/>
        </w:rPr>
        <w:t>،</w:t>
      </w:r>
      <w:r w:rsidRPr="00C85F0F">
        <w:rPr>
          <w:rFonts w:ascii="Traditional Arabic" w:hAnsi="Traditional Arabic"/>
          <w:rtl/>
        </w:rPr>
        <w:t xml:space="preserve"> وقد شرحها الشيخ </w:t>
      </w:r>
      <w:r w:rsidRPr="00C85F0F">
        <w:rPr>
          <w:rFonts w:ascii="Traditional Arabic" w:hAnsi="Traditional Arabic"/>
          <w:rtl/>
        </w:rPr>
        <w:lastRenderedPageBreak/>
        <w:t>بنفسه</w:t>
      </w:r>
      <w:r w:rsidR="00B76414" w:rsidRPr="00C85F0F">
        <w:rPr>
          <w:rFonts w:ascii="Traditional Arabic" w:hAnsi="Traditional Arabic"/>
          <w:rtl/>
        </w:rPr>
        <w:t>.</w:t>
      </w:r>
    </w:p>
    <w:p w:rsidR="00B9399B" w:rsidRPr="00B9399B" w:rsidRDefault="006F08E1" w:rsidP="00B9399B">
      <w:pPr>
        <w:numPr>
          <w:ilvl w:val="0"/>
          <w:numId w:val="18"/>
        </w:numPr>
        <w:tabs>
          <w:tab w:val="clear" w:pos="765"/>
          <w:tab w:val="num" w:pos="1123"/>
        </w:tabs>
        <w:spacing w:line="640" w:lineRule="exact"/>
        <w:ind w:left="1123" w:hanging="669"/>
        <w:jc w:val="lowKashida"/>
        <w:rPr>
          <w:rFonts w:ascii="Traditional Arabic" w:hAnsi="Traditional Arabic"/>
        </w:rPr>
      </w:pPr>
      <w:r w:rsidRPr="00C85F0F">
        <w:rPr>
          <w:rFonts w:ascii="Traditional Arabic" w:hAnsi="Traditional Arabic"/>
          <w:rtl/>
        </w:rPr>
        <w:t>نيل الأرب بتل</w:t>
      </w:r>
      <w:r w:rsidR="000F09D8">
        <w:rPr>
          <w:rFonts w:ascii="Traditional Arabic" w:hAnsi="Traditional Arabic"/>
          <w:rtl/>
        </w:rPr>
        <w:t>خيص قواعد ابن رجب</w:t>
      </w:r>
      <w:r w:rsidR="00B76414" w:rsidRPr="00C85F0F">
        <w:rPr>
          <w:rFonts w:ascii="Traditional Arabic" w:hAnsi="Traditional Arabic"/>
          <w:rtl/>
        </w:rPr>
        <w:t>.</w:t>
      </w:r>
    </w:p>
    <w:p w:rsidR="006F08E1" w:rsidRPr="00C85F0F" w:rsidRDefault="006F08E1" w:rsidP="00597C20">
      <w:pPr>
        <w:numPr>
          <w:ilvl w:val="0"/>
          <w:numId w:val="18"/>
        </w:numPr>
        <w:tabs>
          <w:tab w:val="clear" w:pos="765"/>
          <w:tab w:val="num" w:pos="1123"/>
        </w:tabs>
        <w:spacing w:line="640" w:lineRule="exact"/>
        <w:ind w:left="1123" w:hanging="669"/>
        <w:jc w:val="lowKashida"/>
        <w:rPr>
          <w:rFonts w:ascii="Traditional Arabic" w:hAnsi="Traditional Arabic"/>
        </w:rPr>
      </w:pPr>
      <w:r w:rsidRPr="00C85F0F">
        <w:rPr>
          <w:rFonts w:ascii="Traditional Arabic" w:hAnsi="Traditional Arabic"/>
          <w:rtl/>
        </w:rPr>
        <w:t>تعليقة وجيزة</w:t>
      </w:r>
      <w:r w:rsidR="000F09D8">
        <w:rPr>
          <w:rFonts w:ascii="Traditional Arabic" w:hAnsi="Traditional Arabic"/>
          <w:rtl/>
        </w:rPr>
        <w:t xml:space="preserve"> على مختصر التحرير :</w:t>
      </w:r>
      <w:r w:rsidR="00D76BE4">
        <w:rPr>
          <w:rFonts w:ascii="Traditional Arabic" w:hAnsi="Traditional Arabic"/>
          <w:rtl/>
        </w:rPr>
        <w:t xml:space="preserve"> وقد وصل فيها إلى فصل (ال</w:t>
      </w:r>
      <w:r w:rsidR="00D76BE4">
        <w:rPr>
          <w:rFonts w:ascii="Traditional Arabic" w:hAnsi="Traditional Arabic" w:hint="cs"/>
          <w:rtl/>
        </w:rPr>
        <w:t>خبر)</w:t>
      </w:r>
      <w:r w:rsidR="00B76414" w:rsidRPr="00C85F0F">
        <w:rPr>
          <w:rFonts w:ascii="Traditional Arabic" w:hAnsi="Traditional Arabic"/>
          <w:rtl/>
        </w:rPr>
        <w:t>.</w:t>
      </w:r>
    </w:p>
    <w:p w:rsidR="00F228A9" w:rsidRPr="00C85F0F" w:rsidRDefault="00597C20" w:rsidP="00597C20">
      <w:pPr>
        <w:pStyle w:val="71"/>
        <w:rPr>
          <w:rtl/>
        </w:rPr>
      </w:pPr>
      <w:r w:rsidRPr="00C85F0F">
        <w:rPr>
          <w:rtl/>
        </w:rPr>
        <w:t>رابعاً</w:t>
      </w:r>
      <w:r w:rsidR="006F08E1" w:rsidRPr="00C85F0F">
        <w:rPr>
          <w:rtl/>
        </w:rPr>
        <w:t>: التفسير :</w:t>
      </w:r>
    </w:p>
    <w:p w:rsidR="006F08E1" w:rsidRPr="00C85F0F" w:rsidRDefault="006F08E1" w:rsidP="00597C20">
      <w:pPr>
        <w:numPr>
          <w:ilvl w:val="0"/>
          <w:numId w:val="19"/>
        </w:numPr>
        <w:tabs>
          <w:tab w:val="clear" w:pos="765"/>
          <w:tab w:val="num" w:pos="943"/>
        </w:tabs>
        <w:spacing w:line="640" w:lineRule="exact"/>
        <w:ind w:left="943" w:hanging="540"/>
        <w:jc w:val="lowKashida"/>
        <w:rPr>
          <w:rFonts w:ascii="Traditional Arabic" w:hAnsi="Traditional Arabic"/>
        </w:rPr>
      </w:pPr>
      <w:r w:rsidRPr="00C85F0F">
        <w:rPr>
          <w:rFonts w:ascii="Traditional Arabic" w:hAnsi="Traditional Arabic"/>
          <w:rtl/>
        </w:rPr>
        <w:t>أصول في التفسير</w:t>
      </w:r>
      <w:r w:rsidR="00B76414" w:rsidRPr="00C85F0F">
        <w:rPr>
          <w:rFonts w:ascii="Traditional Arabic" w:hAnsi="Traditional Arabic"/>
          <w:rtl/>
        </w:rPr>
        <w:t>.</w:t>
      </w:r>
    </w:p>
    <w:p w:rsidR="006F08E1" w:rsidRPr="00C85F0F" w:rsidRDefault="006F08E1" w:rsidP="00597C20">
      <w:pPr>
        <w:numPr>
          <w:ilvl w:val="0"/>
          <w:numId w:val="19"/>
        </w:numPr>
        <w:tabs>
          <w:tab w:val="clear" w:pos="765"/>
          <w:tab w:val="num" w:pos="943"/>
        </w:tabs>
        <w:spacing w:line="640" w:lineRule="exact"/>
        <w:ind w:left="943" w:hanging="540"/>
        <w:jc w:val="lowKashida"/>
        <w:rPr>
          <w:rFonts w:ascii="Traditional Arabic" w:hAnsi="Traditional Arabic"/>
        </w:rPr>
      </w:pPr>
      <w:r w:rsidRPr="00C85F0F">
        <w:rPr>
          <w:rFonts w:ascii="Traditional Arabic" w:hAnsi="Traditional Arabic"/>
          <w:rtl/>
        </w:rPr>
        <w:t>الإلمام ببعض آيات الأحكام</w:t>
      </w:r>
      <w:r w:rsidR="00B76414" w:rsidRPr="00C85F0F">
        <w:rPr>
          <w:rFonts w:ascii="Traditional Arabic" w:hAnsi="Traditional Arabic"/>
          <w:rtl/>
        </w:rPr>
        <w:t>.</w:t>
      </w:r>
    </w:p>
    <w:p w:rsidR="006F08E1" w:rsidRPr="00C85F0F" w:rsidRDefault="006F08E1" w:rsidP="00597C20">
      <w:pPr>
        <w:numPr>
          <w:ilvl w:val="0"/>
          <w:numId w:val="19"/>
        </w:numPr>
        <w:tabs>
          <w:tab w:val="clear" w:pos="765"/>
          <w:tab w:val="num" w:pos="943"/>
        </w:tabs>
        <w:spacing w:line="640" w:lineRule="exact"/>
        <w:ind w:left="943" w:hanging="540"/>
        <w:jc w:val="lowKashida"/>
        <w:rPr>
          <w:rFonts w:ascii="Traditional Arabic" w:hAnsi="Traditional Arabic"/>
        </w:rPr>
      </w:pPr>
      <w:r w:rsidRPr="00C85F0F">
        <w:rPr>
          <w:rFonts w:ascii="Traditional Arabic" w:hAnsi="Traditional Arabic"/>
          <w:rtl/>
        </w:rPr>
        <w:t>التفســـــير المفصّل من سور المفصّل : لم يُنشر بعد</w:t>
      </w:r>
      <w:r w:rsidR="00B76414" w:rsidRPr="00C85F0F">
        <w:rPr>
          <w:rFonts w:ascii="Traditional Arabic" w:hAnsi="Traditional Arabic"/>
          <w:rtl/>
        </w:rPr>
        <w:t>،</w:t>
      </w:r>
      <w:r w:rsidRPr="00C85F0F">
        <w:rPr>
          <w:rFonts w:ascii="Traditional Arabic" w:hAnsi="Traditional Arabic"/>
          <w:rtl/>
        </w:rPr>
        <w:t xml:space="preserve"> وقد فسّر فيه الشيخ – </w:t>
      </w:r>
      <w:r w:rsidR="009A0575" w:rsidRPr="005D5694">
        <w:rPr>
          <w:rFonts w:ascii="Traditional Arabic" w:hAnsi="Traditional Arabic" w:cs="CTraditional Arabic" w:hint="cs"/>
          <w:rtl/>
        </w:rPr>
        <w:t>/</w:t>
      </w:r>
      <w:r w:rsidRPr="00C85F0F">
        <w:rPr>
          <w:rFonts w:ascii="Traditional Arabic" w:hAnsi="Traditional Arabic"/>
          <w:rtl/>
        </w:rPr>
        <w:t xml:space="preserve"> – سُوَر : الذاريات</w:t>
      </w:r>
      <w:r w:rsidR="00B76414" w:rsidRPr="00C85F0F">
        <w:rPr>
          <w:rFonts w:ascii="Traditional Arabic" w:hAnsi="Traditional Arabic"/>
          <w:rtl/>
        </w:rPr>
        <w:t>،</w:t>
      </w:r>
      <w:r w:rsidRPr="00C85F0F">
        <w:rPr>
          <w:rFonts w:ascii="Traditional Arabic" w:hAnsi="Traditional Arabic"/>
          <w:rtl/>
        </w:rPr>
        <w:t xml:space="preserve"> الطور</w:t>
      </w:r>
      <w:r w:rsidR="00B76414" w:rsidRPr="00C85F0F">
        <w:rPr>
          <w:rFonts w:ascii="Traditional Arabic" w:hAnsi="Traditional Arabic"/>
          <w:rtl/>
        </w:rPr>
        <w:t>،</w:t>
      </w:r>
      <w:r w:rsidRPr="00C85F0F">
        <w:rPr>
          <w:rFonts w:ascii="Traditional Arabic" w:hAnsi="Traditional Arabic"/>
          <w:rtl/>
        </w:rPr>
        <w:t xml:space="preserve"> النجم</w:t>
      </w:r>
      <w:r w:rsidR="00B76414" w:rsidRPr="00C85F0F">
        <w:rPr>
          <w:rFonts w:ascii="Traditional Arabic" w:hAnsi="Traditional Arabic"/>
          <w:rtl/>
        </w:rPr>
        <w:t>،</w:t>
      </w:r>
      <w:r w:rsidRPr="00C85F0F">
        <w:rPr>
          <w:rFonts w:ascii="Traditional Arabic" w:hAnsi="Traditional Arabic"/>
          <w:rtl/>
        </w:rPr>
        <w:t xml:space="preserve"> المجادلة</w:t>
      </w:r>
      <w:r w:rsidR="00B76414" w:rsidRPr="00C85F0F">
        <w:rPr>
          <w:rFonts w:ascii="Traditional Arabic" w:hAnsi="Traditional Arabic"/>
          <w:rtl/>
        </w:rPr>
        <w:t>،</w:t>
      </w:r>
      <w:r w:rsidRPr="00C85F0F">
        <w:rPr>
          <w:rFonts w:ascii="Traditional Arabic" w:hAnsi="Traditional Arabic"/>
          <w:rtl/>
        </w:rPr>
        <w:t xml:space="preserve"> الحشر</w:t>
      </w:r>
      <w:r w:rsidR="00B76414" w:rsidRPr="00C85F0F">
        <w:rPr>
          <w:rFonts w:ascii="Traditional Arabic" w:hAnsi="Traditional Arabic"/>
          <w:rtl/>
        </w:rPr>
        <w:t>.</w:t>
      </w:r>
    </w:p>
    <w:p w:rsidR="00F228A9" w:rsidRPr="00C85F0F" w:rsidRDefault="00597C20" w:rsidP="00597C20">
      <w:pPr>
        <w:pStyle w:val="71"/>
        <w:rPr>
          <w:rtl/>
        </w:rPr>
      </w:pPr>
      <w:r w:rsidRPr="00C85F0F">
        <w:rPr>
          <w:rtl/>
        </w:rPr>
        <w:t>خامساً</w:t>
      </w:r>
      <w:r w:rsidR="006F08E1" w:rsidRPr="00C85F0F">
        <w:rPr>
          <w:rtl/>
        </w:rPr>
        <w:t>: الحديث :</w:t>
      </w:r>
    </w:p>
    <w:p w:rsidR="006F08E1" w:rsidRPr="00C85F0F" w:rsidRDefault="006F08E1" w:rsidP="00597C20">
      <w:pPr>
        <w:numPr>
          <w:ilvl w:val="0"/>
          <w:numId w:val="20"/>
        </w:numPr>
        <w:tabs>
          <w:tab w:val="clear" w:pos="780"/>
          <w:tab w:val="num" w:pos="943"/>
        </w:tabs>
        <w:spacing w:line="640" w:lineRule="exact"/>
        <w:ind w:left="943" w:hanging="540"/>
        <w:jc w:val="lowKashida"/>
        <w:rPr>
          <w:rFonts w:ascii="Traditional Arabic" w:hAnsi="Traditional Arabic"/>
          <w:rtl/>
        </w:rPr>
      </w:pPr>
      <w:r w:rsidRPr="00C85F0F">
        <w:rPr>
          <w:rFonts w:ascii="Traditional Arabic" w:hAnsi="Traditional Arabic"/>
          <w:rtl/>
        </w:rPr>
        <w:t>مصطلح الحديث</w:t>
      </w:r>
      <w:r w:rsidR="00B76414" w:rsidRPr="00C85F0F">
        <w:rPr>
          <w:rFonts w:ascii="Traditional Arabic" w:hAnsi="Traditional Arabic"/>
          <w:rtl/>
        </w:rPr>
        <w:t>.</w:t>
      </w:r>
    </w:p>
    <w:p w:rsidR="006F08E1" w:rsidRPr="00C85F0F" w:rsidRDefault="006F08E1" w:rsidP="00597C20">
      <w:pPr>
        <w:numPr>
          <w:ilvl w:val="0"/>
          <w:numId w:val="20"/>
        </w:numPr>
        <w:tabs>
          <w:tab w:val="clear" w:pos="780"/>
          <w:tab w:val="num" w:pos="943"/>
        </w:tabs>
        <w:spacing w:line="640" w:lineRule="exact"/>
        <w:ind w:left="943" w:hanging="540"/>
        <w:jc w:val="lowKashida"/>
        <w:rPr>
          <w:rFonts w:ascii="Traditional Arabic" w:hAnsi="Traditional Arabic"/>
        </w:rPr>
      </w:pPr>
      <w:r w:rsidRPr="00C85F0F">
        <w:rPr>
          <w:rFonts w:ascii="Traditional Arabic" w:hAnsi="Traditional Arabic"/>
          <w:rtl/>
        </w:rPr>
        <w:t>تنبيه الأفهام بشرح عمدة الأحكام</w:t>
      </w:r>
      <w:r w:rsidR="00B76414" w:rsidRPr="00C85F0F">
        <w:rPr>
          <w:rFonts w:ascii="Traditional Arabic" w:hAnsi="Traditional Arabic"/>
          <w:rtl/>
        </w:rPr>
        <w:t>.</w:t>
      </w:r>
    </w:p>
    <w:p w:rsidR="006F08E1" w:rsidRPr="00C85F0F" w:rsidRDefault="006F08E1" w:rsidP="00597C20">
      <w:pPr>
        <w:numPr>
          <w:ilvl w:val="0"/>
          <w:numId w:val="20"/>
        </w:numPr>
        <w:tabs>
          <w:tab w:val="clear" w:pos="780"/>
          <w:tab w:val="num" w:pos="943"/>
        </w:tabs>
        <w:spacing w:line="640" w:lineRule="exact"/>
        <w:ind w:left="943" w:hanging="540"/>
        <w:jc w:val="lowKashida"/>
        <w:rPr>
          <w:rFonts w:ascii="Traditional Arabic" w:hAnsi="Traditional Arabic"/>
        </w:rPr>
      </w:pPr>
      <w:r w:rsidRPr="00C85F0F">
        <w:rPr>
          <w:rFonts w:ascii="Traditional Arabic" w:hAnsi="Traditional Arabic"/>
          <w:rtl/>
        </w:rPr>
        <w:t>تخريج أح</w:t>
      </w:r>
      <w:r w:rsidR="000F09D8">
        <w:rPr>
          <w:rFonts w:ascii="Traditional Arabic" w:hAnsi="Traditional Arabic"/>
          <w:rtl/>
        </w:rPr>
        <w:t>اديث الروض المربع</w:t>
      </w:r>
      <w:r w:rsidR="00B76414" w:rsidRPr="00C85F0F">
        <w:rPr>
          <w:rFonts w:ascii="Traditional Arabic" w:hAnsi="Traditional Arabic"/>
          <w:rtl/>
        </w:rPr>
        <w:t>.</w:t>
      </w:r>
    </w:p>
    <w:p w:rsidR="006F08E1" w:rsidRPr="00C85F0F" w:rsidRDefault="006F08E1" w:rsidP="00597C20">
      <w:pPr>
        <w:numPr>
          <w:ilvl w:val="0"/>
          <w:numId w:val="20"/>
        </w:numPr>
        <w:tabs>
          <w:tab w:val="clear" w:pos="780"/>
          <w:tab w:val="num" w:pos="943"/>
        </w:tabs>
        <w:spacing w:line="640" w:lineRule="exact"/>
        <w:ind w:left="943" w:hanging="540"/>
        <w:jc w:val="lowKashida"/>
        <w:rPr>
          <w:rFonts w:ascii="Traditional Arabic" w:hAnsi="Traditional Arabic"/>
        </w:rPr>
      </w:pPr>
      <w:r w:rsidRPr="00C85F0F">
        <w:rPr>
          <w:rFonts w:ascii="Traditional Arabic" w:hAnsi="Traditional Arabic"/>
          <w:rtl/>
        </w:rPr>
        <w:t>التمسُّك بالسنَّة : أصل</w:t>
      </w:r>
      <w:r w:rsidR="00BC3533">
        <w:rPr>
          <w:rFonts w:ascii="Traditional Arabic" w:hAnsi="Traditional Arabic" w:hint="cs"/>
          <w:rtl/>
        </w:rPr>
        <w:t>ُ</w:t>
      </w:r>
      <w:r w:rsidRPr="00C85F0F">
        <w:rPr>
          <w:rFonts w:ascii="Traditional Arabic" w:hAnsi="Traditional Arabic"/>
          <w:rtl/>
        </w:rPr>
        <w:t>ها مُحرَّر وأضيف إليها من المحاضرة</w:t>
      </w:r>
      <w:r w:rsidR="00B76414" w:rsidRPr="00C85F0F">
        <w:rPr>
          <w:rFonts w:ascii="Traditional Arabic" w:hAnsi="Traditional Arabic"/>
          <w:rtl/>
        </w:rPr>
        <w:t>.</w:t>
      </w:r>
    </w:p>
    <w:p w:rsidR="00F228A9" w:rsidRPr="00C85F0F" w:rsidRDefault="00597C20" w:rsidP="00597C20">
      <w:pPr>
        <w:pStyle w:val="71"/>
        <w:rPr>
          <w:rtl/>
        </w:rPr>
      </w:pPr>
      <w:r w:rsidRPr="00C85F0F">
        <w:rPr>
          <w:rtl/>
        </w:rPr>
        <w:t>سادساً</w:t>
      </w:r>
      <w:r w:rsidR="006F08E1" w:rsidRPr="00C85F0F">
        <w:rPr>
          <w:rtl/>
        </w:rPr>
        <w:t>: الفقه :</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tl/>
        </w:rPr>
      </w:pPr>
      <w:r w:rsidRPr="00C85F0F">
        <w:rPr>
          <w:rFonts w:ascii="Traditional Arabic" w:hAnsi="Traditional Arabic"/>
          <w:rtl/>
        </w:rPr>
        <w:t>رسالة في الوضوء والغسل والصلاة</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طهارة المريض وصلاته</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بحوث في المسح على الخفين</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رسالة في الدماء الطبيعية للنساء</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حكم تارك الصلاة</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رسالة في مواقيت الصلاة</w:t>
      </w:r>
      <w:r w:rsidR="00B76414" w:rsidRPr="00C85F0F">
        <w:rPr>
          <w:rFonts w:ascii="Traditional Arabic" w:hAnsi="Traditional Arabic"/>
          <w:rtl/>
        </w:rPr>
        <w:t>.</w:t>
      </w:r>
    </w:p>
    <w:p w:rsidR="006F08E1" w:rsidRPr="00C85F0F" w:rsidRDefault="000F09D8" w:rsidP="00597C20">
      <w:pPr>
        <w:numPr>
          <w:ilvl w:val="0"/>
          <w:numId w:val="21"/>
        </w:numPr>
        <w:tabs>
          <w:tab w:val="clear" w:pos="780"/>
          <w:tab w:val="num" w:pos="1123"/>
        </w:tabs>
        <w:spacing w:line="640" w:lineRule="exact"/>
        <w:ind w:left="1123" w:hanging="720"/>
        <w:jc w:val="lowKashida"/>
        <w:rPr>
          <w:rFonts w:ascii="Traditional Arabic" w:hAnsi="Traditional Arabic"/>
        </w:rPr>
      </w:pPr>
      <w:r>
        <w:rPr>
          <w:rFonts w:ascii="Traditional Arabic" w:hAnsi="Traditional Arabic"/>
          <w:rtl/>
        </w:rPr>
        <w:lastRenderedPageBreak/>
        <w:t>رسالة في الصلاة</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رس</w:t>
      </w:r>
      <w:r w:rsidR="000F09D8">
        <w:rPr>
          <w:rFonts w:ascii="Traditional Arabic" w:hAnsi="Traditional Arabic"/>
          <w:rtl/>
        </w:rPr>
        <w:t>الة في قصر الصلاة</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رسالة في سجود السهو</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رسالة في أحكام الميت وتكفينه ودفنه</w:t>
      </w:r>
      <w:r w:rsidR="00B76414" w:rsidRPr="00C85F0F">
        <w:rPr>
          <w:rFonts w:ascii="Traditional Arabic" w:hAnsi="Traditional Arabic"/>
          <w:rtl/>
        </w:rPr>
        <w:t>.</w:t>
      </w:r>
    </w:p>
    <w:p w:rsidR="00F228A9"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رسالة في زكاة الحلي :وقد أُلحقت هذه الرسالة بالشرح الممتع في شرح كتاب الزكاة</w:t>
      </w:r>
      <w:r w:rsidRPr="00C85F0F">
        <w:rPr>
          <w:rFonts w:ascii="Traditional Arabic" w:hAnsi="Traditional Arabic" w:hint="cs"/>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مجالس شهر رمضان</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نبذة في الصيام</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فصول في الصيام والتراويح والزكاة</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المنهج لمريد العمرة والحج</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صفة الحج</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أخطاء يرتكبها بعض الحجاج</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مناسك الحج والعمرة والمشروع في الزيارة</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النكاح وآثاره : وقد صدر بعنوان (الزواج ومجموعة أسئلة في أحكامه)</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رسالة في الربا وطرق التخلص منه.</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أحكام الأضحية والذكاة</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تلخيص أحكام الأضحية والذكاة</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المداينة</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رسالة في الطلاق الثلاث</w:t>
      </w:r>
      <w:r w:rsidR="000F09D8">
        <w:rPr>
          <w:rFonts w:ascii="Traditional Arabic" w:hAnsi="Traditional Arabic"/>
          <w:rtl/>
        </w:rPr>
        <w:t xml:space="preserve"> واحدة ولو بكلمات</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تسهيل الفرائض</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تلخيص فقه الفرائض</w:t>
      </w:r>
      <w:r w:rsidR="00B76414" w:rsidRPr="00C85F0F">
        <w:rPr>
          <w:rFonts w:ascii="Traditional Arabic" w:hAnsi="Traditional Arabic"/>
          <w:rtl/>
        </w:rPr>
        <w:t>.</w:t>
      </w:r>
    </w:p>
    <w:p w:rsidR="006F08E1" w:rsidRPr="00C85F0F" w:rsidRDefault="006F08E1" w:rsidP="00597C20">
      <w:pPr>
        <w:numPr>
          <w:ilvl w:val="0"/>
          <w:numId w:val="21"/>
        </w:numPr>
        <w:tabs>
          <w:tab w:val="clear" w:pos="780"/>
          <w:tab w:val="num" w:pos="1123"/>
        </w:tabs>
        <w:spacing w:line="640" w:lineRule="exact"/>
        <w:ind w:left="1123" w:hanging="720"/>
        <w:jc w:val="lowKashida"/>
        <w:rPr>
          <w:rFonts w:ascii="Traditional Arabic" w:hAnsi="Traditional Arabic"/>
        </w:rPr>
      </w:pPr>
      <w:r w:rsidRPr="00C85F0F">
        <w:rPr>
          <w:rFonts w:ascii="Traditional Arabic" w:hAnsi="Traditional Arabic"/>
          <w:rtl/>
        </w:rPr>
        <w:t>حاشية</w:t>
      </w:r>
      <w:r w:rsidR="009118FF">
        <w:rPr>
          <w:rFonts w:ascii="Traditional Arabic" w:hAnsi="Traditional Arabic"/>
          <w:rtl/>
        </w:rPr>
        <w:t xml:space="preserve"> على الروض المربع</w:t>
      </w:r>
      <w:r w:rsidR="00B76414" w:rsidRPr="00C85F0F">
        <w:rPr>
          <w:rFonts w:ascii="Traditional Arabic" w:hAnsi="Traditional Arabic"/>
          <w:rtl/>
        </w:rPr>
        <w:t>.</w:t>
      </w:r>
    </w:p>
    <w:p w:rsidR="00F228A9" w:rsidRPr="00C85F0F" w:rsidRDefault="00597C20" w:rsidP="00597C20">
      <w:pPr>
        <w:pStyle w:val="71"/>
        <w:rPr>
          <w:rtl/>
        </w:rPr>
      </w:pPr>
      <w:r w:rsidRPr="00C85F0F">
        <w:rPr>
          <w:rtl/>
        </w:rPr>
        <w:lastRenderedPageBreak/>
        <w:t>سابعاً</w:t>
      </w:r>
      <w:r w:rsidR="006F08E1" w:rsidRPr="00C85F0F">
        <w:rPr>
          <w:rtl/>
        </w:rPr>
        <w:t>: اللغة العربية :</w:t>
      </w:r>
    </w:p>
    <w:p w:rsidR="006F08E1" w:rsidRPr="00C85F0F" w:rsidRDefault="006F08E1" w:rsidP="00597C20">
      <w:pPr>
        <w:numPr>
          <w:ilvl w:val="0"/>
          <w:numId w:val="22"/>
        </w:numPr>
        <w:spacing w:line="640" w:lineRule="exact"/>
        <w:jc w:val="lowKashida"/>
        <w:rPr>
          <w:rFonts w:ascii="Traditional Arabic" w:hAnsi="Traditional Arabic"/>
          <w:rtl/>
        </w:rPr>
      </w:pPr>
      <w:r w:rsidRPr="00C85F0F">
        <w:rPr>
          <w:rFonts w:ascii="Traditional Arabic" w:hAnsi="Traditional Arabic"/>
          <w:rtl/>
        </w:rPr>
        <w:t>مختصر مغني اللبيب</w:t>
      </w:r>
      <w:r w:rsidR="00B76414" w:rsidRPr="00C85F0F">
        <w:rPr>
          <w:rFonts w:ascii="Traditional Arabic" w:hAnsi="Traditional Arabic"/>
          <w:rtl/>
        </w:rPr>
        <w:t>.</w:t>
      </w:r>
    </w:p>
    <w:p w:rsidR="006F08E1" w:rsidRPr="00C85F0F" w:rsidRDefault="006F08E1" w:rsidP="00597C20">
      <w:pPr>
        <w:numPr>
          <w:ilvl w:val="0"/>
          <w:numId w:val="22"/>
        </w:numPr>
        <w:spacing w:line="640" w:lineRule="exact"/>
        <w:jc w:val="lowKashida"/>
        <w:rPr>
          <w:rFonts w:ascii="Traditional Arabic" w:hAnsi="Traditional Arabic"/>
          <w:rtl/>
        </w:rPr>
      </w:pPr>
      <w:r w:rsidRPr="00C85F0F">
        <w:rPr>
          <w:rFonts w:ascii="Traditional Arabic" w:hAnsi="Traditional Arabic"/>
          <w:rtl/>
        </w:rPr>
        <w:t>قواعد في الإملاء : وهي مُلحقة في آخر شرح الآجرومية المطبوع</w:t>
      </w:r>
      <w:r w:rsidR="00B76414" w:rsidRPr="00C85F0F">
        <w:rPr>
          <w:rFonts w:ascii="Traditional Arabic" w:hAnsi="Traditional Arabic"/>
          <w:rtl/>
        </w:rPr>
        <w:t>.</w:t>
      </w:r>
    </w:p>
    <w:p w:rsidR="00F228A9" w:rsidRPr="00C85F0F" w:rsidRDefault="00597C20" w:rsidP="00597C20">
      <w:pPr>
        <w:pStyle w:val="71"/>
        <w:rPr>
          <w:rtl/>
        </w:rPr>
      </w:pPr>
      <w:r>
        <w:rPr>
          <w:rFonts w:hint="cs"/>
          <w:rtl/>
        </w:rPr>
        <w:t>ثامن</w:t>
      </w:r>
      <w:r w:rsidR="006F08E1" w:rsidRPr="00C85F0F">
        <w:rPr>
          <w:rtl/>
        </w:rPr>
        <w:t xml:space="preserve">اً : </w:t>
      </w:r>
      <w:r w:rsidR="006F08E1" w:rsidRPr="00597C20">
        <w:rPr>
          <w:szCs w:val="32"/>
          <w:rtl/>
        </w:rPr>
        <w:t>مواضيع</w:t>
      </w:r>
      <w:r w:rsidR="006F08E1" w:rsidRPr="00C85F0F">
        <w:rPr>
          <w:rtl/>
        </w:rPr>
        <w:t xml:space="preserve"> عامة :</w:t>
      </w:r>
    </w:p>
    <w:p w:rsidR="006F08E1" w:rsidRPr="00C85F0F" w:rsidRDefault="006F08E1" w:rsidP="00597C20">
      <w:pPr>
        <w:numPr>
          <w:ilvl w:val="0"/>
          <w:numId w:val="23"/>
        </w:numPr>
        <w:tabs>
          <w:tab w:val="clear" w:pos="780"/>
          <w:tab w:val="num" w:pos="943"/>
        </w:tabs>
        <w:spacing w:line="640" w:lineRule="exact"/>
        <w:ind w:left="943" w:hanging="583"/>
        <w:jc w:val="lowKashida"/>
        <w:rPr>
          <w:rFonts w:ascii="Traditional Arabic" w:hAnsi="Traditional Arabic"/>
          <w:rtl/>
        </w:rPr>
      </w:pPr>
      <w:r w:rsidRPr="00C85F0F">
        <w:rPr>
          <w:rFonts w:ascii="Traditional Arabic" w:hAnsi="Traditional Arabic"/>
          <w:rtl/>
        </w:rPr>
        <w:t>رسالة في الدعوة إلى الله</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40" w:lineRule="exact"/>
        <w:ind w:left="943" w:hanging="583"/>
        <w:jc w:val="lowKashida"/>
        <w:rPr>
          <w:rFonts w:ascii="Traditional Arabic" w:hAnsi="Traditional Arabic"/>
        </w:rPr>
      </w:pPr>
      <w:r w:rsidRPr="00C85F0F">
        <w:rPr>
          <w:rFonts w:ascii="Traditional Arabic" w:hAnsi="Traditional Arabic"/>
          <w:rtl/>
        </w:rPr>
        <w:t>حقوق دعت إليها الفطرة وقررتها الشريعة</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40" w:lineRule="exact"/>
        <w:ind w:left="943" w:hanging="583"/>
        <w:jc w:val="lowKashida"/>
        <w:rPr>
          <w:rFonts w:ascii="Traditional Arabic" w:hAnsi="Traditional Arabic"/>
        </w:rPr>
      </w:pPr>
      <w:r w:rsidRPr="00C85F0F">
        <w:rPr>
          <w:rFonts w:ascii="Traditional Arabic" w:hAnsi="Traditional Arabic"/>
          <w:rtl/>
        </w:rPr>
        <w:t>من مشكلات الشباب</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40" w:lineRule="exact"/>
        <w:ind w:left="943" w:hanging="583"/>
        <w:jc w:val="lowKashida"/>
        <w:rPr>
          <w:rFonts w:ascii="Traditional Arabic" w:hAnsi="Traditional Arabic"/>
        </w:rPr>
      </w:pPr>
      <w:r w:rsidRPr="00C85F0F">
        <w:rPr>
          <w:rFonts w:ascii="Traditional Arabic" w:hAnsi="Traditional Arabic"/>
          <w:rtl/>
        </w:rPr>
        <w:t>المنتقى من فرائد الفوائد</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40" w:lineRule="exact"/>
        <w:ind w:left="943" w:hanging="583"/>
        <w:jc w:val="lowKashida"/>
        <w:rPr>
          <w:rFonts w:ascii="Traditional Arabic" w:hAnsi="Traditional Arabic"/>
        </w:rPr>
      </w:pPr>
      <w:r w:rsidRPr="00C85F0F">
        <w:rPr>
          <w:rFonts w:ascii="Traditional Arabic" w:hAnsi="Traditional Arabic"/>
          <w:rtl/>
        </w:rPr>
        <w:t>الضياء اللامع من الخطب الجوامع</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00" w:lineRule="exact"/>
        <w:ind w:left="943" w:hanging="583"/>
        <w:jc w:val="lowKashida"/>
        <w:rPr>
          <w:rFonts w:ascii="Traditional Arabic" w:hAnsi="Traditional Arabic"/>
        </w:rPr>
      </w:pPr>
      <w:r w:rsidRPr="00C85F0F">
        <w:rPr>
          <w:rFonts w:ascii="Traditional Arabic" w:hAnsi="Traditional Arabic"/>
          <w:rtl/>
        </w:rPr>
        <w:t>مختارات</w:t>
      </w:r>
      <w:r w:rsidR="000F09D8">
        <w:rPr>
          <w:rFonts w:ascii="Traditional Arabic" w:hAnsi="Traditional Arabic"/>
          <w:rtl/>
        </w:rPr>
        <w:t xml:space="preserve"> من الطرق الحكمية</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00" w:lineRule="exact"/>
        <w:ind w:left="943" w:hanging="583"/>
        <w:jc w:val="lowKashida"/>
        <w:rPr>
          <w:rFonts w:ascii="Traditional Arabic" w:hAnsi="Traditional Arabic"/>
        </w:rPr>
      </w:pPr>
      <w:r w:rsidRPr="00C85F0F">
        <w:rPr>
          <w:rFonts w:ascii="Traditional Arabic" w:hAnsi="Traditional Arabic"/>
          <w:rtl/>
        </w:rPr>
        <w:t>رسالة في الوصول إلى القمر</w:t>
      </w:r>
      <w:r w:rsidR="00B76414" w:rsidRPr="00C85F0F">
        <w:rPr>
          <w:rFonts w:ascii="Traditional Arabic" w:hAnsi="Traditional Arabic"/>
          <w:rtl/>
        </w:rPr>
        <w:t>.</w:t>
      </w:r>
    </w:p>
    <w:p w:rsidR="006F08E1" w:rsidRPr="00C85F0F" w:rsidRDefault="000F09D8" w:rsidP="00597C20">
      <w:pPr>
        <w:numPr>
          <w:ilvl w:val="0"/>
          <w:numId w:val="23"/>
        </w:numPr>
        <w:tabs>
          <w:tab w:val="clear" w:pos="780"/>
          <w:tab w:val="num" w:pos="943"/>
        </w:tabs>
        <w:spacing w:line="600" w:lineRule="exact"/>
        <w:ind w:left="943" w:hanging="583"/>
        <w:jc w:val="lowKashida"/>
        <w:rPr>
          <w:rFonts w:ascii="Traditional Arabic" w:hAnsi="Traditional Arabic"/>
        </w:rPr>
      </w:pPr>
      <w:r>
        <w:rPr>
          <w:rFonts w:ascii="Traditional Arabic" w:hAnsi="Traditional Arabic"/>
          <w:rtl/>
        </w:rPr>
        <w:t>أذكار العبادات</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00" w:lineRule="exact"/>
        <w:ind w:left="943" w:hanging="583"/>
        <w:jc w:val="lowKashida"/>
        <w:rPr>
          <w:rFonts w:ascii="Traditional Arabic" w:hAnsi="Traditional Arabic"/>
        </w:rPr>
      </w:pPr>
      <w:r w:rsidRPr="00C85F0F">
        <w:rPr>
          <w:rFonts w:ascii="Traditional Arabic" w:hAnsi="Traditional Arabic"/>
          <w:rtl/>
        </w:rPr>
        <w:t xml:space="preserve">مختارات </w:t>
      </w:r>
      <w:r w:rsidR="00D76BE4">
        <w:rPr>
          <w:rFonts w:ascii="Traditional Arabic" w:hAnsi="Traditional Arabic"/>
          <w:rtl/>
        </w:rPr>
        <w:t>من إعلام الموقعين</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00" w:lineRule="exact"/>
        <w:ind w:left="943" w:hanging="583"/>
        <w:jc w:val="lowKashida"/>
        <w:rPr>
          <w:rFonts w:ascii="Traditional Arabic" w:hAnsi="Traditional Arabic"/>
        </w:rPr>
      </w:pPr>
      <w:r w:rsidRPr="00C85F0F">
        <w:rPr>
          <w:rFonts w:ascii="Traditional Arabic" w:hAnsi="Traditional Arabic"/>
          <w:rtl/>
        </w:rPr>
        <w:t>مختارات من زاد المعاد</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00" w:lineRule="exact"/>
        <w:ind w:left="943" w:hanging="583"/>
        <w:jc w:val="lowKashida"/>
        <w:rPr>
          <w:rFonts w:ascii="Traditional Arabic" w:hAnsi="Traditional Arabic"/>
        </w:rPr>
      </w:pPr>
      <w:r w:rsidRPr="00C85F0F">
        <w:rPr>
          <w:rFonts w:ascii="Traditional Arabic" w:hAnsi="Traditional Arabic"/>
          <w:rtl/>
        </w:rPr>
        <w:t>رسالة في الحجاب</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00" w:lineRule="exact"/>
        <w:ind w:left="943" w:hanging="583"/>
        <w:jc w:val="lowKashida"/>
        <w:rPr>
          <w:rFonts w:ascii="Traditional Arabic" w:hAnsi="Traditional Arabic"/>
        </w:rPr>
      </w:pPr>
      <w:r w:rsidRPr="00C85F0F">
        <w:rPr>
          <w:rFonts w:ascii="Traditional Arabic" w:hAnsi="Traditional Arabic"/>
          <w:rtl/>
        </w:rPr>
        <w:t>فوائد التقوى المذكورة في القرآن</w:t>
      </w:r>
      <w:r w:rsidR="00B76414" w:rsidRPr="00C85F0F">
        <w:rPr>
          <w:rFonts w:ascii="Traditional Arabic" w:hAnsi="Traditional Arabic"/>
          <w:rtl/>
        </w:rPr>
        <w:t>.</w:t>
      </w:r>
    </w:p>
    <w:p w:rsidR="006F08E1" w:rsidRPr="00C85F0F" w:rsidRDefault="006F08E1" w:rsidP="00597C20">
      <w:pPr>
        <w:numPr>
          <w:ilvl w:val="0"/>
          <w:numId w:val="23"/>
        </w:numPr>
        <w:tabs>
          <w:tab w:val="clear" w:pos="780"/>
          <w:tab w:val="num" w:pos="943"/>
        </w:tabs>
        <w:spacing w:line="600" w:lineRule="exact"/>
        <w:ind w:left="943" w:hanging="583"/>
        <w:jc w:val="lowKashida"/>
        <w:rPr>
          <w:rFonts w:ascii="Traditional Arabic" w:hAnsi="Traditional Arabic"/>
          <w:rtl/>
        </w:rPr>
      </w:pPr>
      <w:r w:rsidRPr="00C85F0F">
        <w:rPr>
          <w:rFonts w:ascii="Traditional Arabic" w:hAnsi="Traditional Arabic"/>
          <w:rtl/>
        </w:rPr>
        <w:t>الأذكار التي تُقال صباحاً ومساءً</w:t>
      </w:r>
      <w:r w:rsidR="00B76414" w:rsidRPr="00C85F0F">
        <w:rPr>
          <w:rFonts w:ascii="Traditional Arabic" w:hAnsi="Traditional Arabic"/>
          <w:rtl/>
        </w:rPr>
        <w:t>.</w:t>
      </w:r>
    </w:p>
    <w:p w:rsidR="00A0117D" w:rsidRPr="00C85F0F" w:rsidRDefault="006F08E1" w:rsidP="00597C20">
      <w:pPr>
        <w:pStyle w:val="61"/>
        <w:rPr>
          <w:rtl/>
        </w:rPr>
      </w:pPr>
      <w:r w:rsidRPr="00C85F0F">
        <w:rPr>
          <w:rtl/>
        </w:rPr>
        <w:t>(2) المؤلفات المُفرَّغـة :</w:t>
      </w:r>
    </w:p>
    <w:p w:rsidR="006F08E1" w:rsidRPr="00C85F0F" w:rsidRDefault="006F08E1" w:rsidP="00597C20">
      <w:pPr>
        <w:spacing w:line="600" w:lineRule="exact"/>
        <w:jc w:val="lowKashida"/>
        <w:rPr>
          <w:rFonts w:ascii="Traditional Arabic" w:hAnsi="Traditional Arabic"/>
          <w:rtl/>
        </w:rPr>
      </w:pPr>
      <w:r w:rsidRPr="00C85F0F">
        <w:rPr>
          <w:rFonts w:ascii="Traditional Arabic" w:hAnsi="Traditional Arabic"/>
          <w:rtl/>
        </w:rPr>
        <w:t>وهذا النوع من المؤلفات هو الذي يُمثِّل معظم كتب الشيخ المنتشرة اليوم</w:t>
      </w:r>
      <w:r w:rsidR="00B76414" w:rsidRPr="00C85F0F">
        <w:rPr>
          <w:rFonts w:ascii="Traditional Arabic" w:hAnsi="Traditional Arabic"/>
          <w:rtl/>
        </w:rPr>
        <w:t>،</w:t>
      </w:r>
      <w:r w:rsidRPr="00C85F0F">
        <w:rPr>
          <w:rFonts w:ascii="Traditional Arabic" w:hAnsi="Traditional Arabic"/>
          <w:rtl/>
        </w:rPr>
        <w:t xml:space="preserve"> وهي المؤلفات التي كانت في بطون الأشرطة السمعية ثم قام طلاب الشيخ ابن عثيمين – </w:t>
      </w:r>
      <w:r w:rsidR="009A0575" w:rsidRPr="005D5694">
        <w:rPr>
          <w:rFonts w:ascii="Traditional Arabic" w:hAnsi="Traditional Arabic" w:cs="CTraditional Arabic" w:hint="cs"/>
          <w:rtl/>
        </w:rPr>
        <w:t>/</w:t>
      </w:r>
      <w:r w:rsidRPr="00C85F0F">
        <w:rPr>
          <w:rFonts w:ascii="Traditional Arabic" w:hAnsi="Traditional Arabic"/>
          <w:rtl/>
        </w:rPr>
        <w:t xml:space="preserve"> – بتفريغها وتحريرها</w:t>
      </w:r>
      <w:r w:rsidR="00B76414" w:rsidRPr="00C85F0F">
        <w:rPr>
          <w:rFonts w:ascii="Traditional Arabic" w:hAnsi="Traditional Arabic"/>
          <w:rtl/>
        </w:rPr>
        <w:t>،</w:t>
      </w:r>
      <w:r w:rsidRPr="00C85F0F">
        <w:rPr>
          <w:rFonts w:ascii="Traditional Arabic" w:hAnsi="Traditional Arabic"/>
          <w:rtl/>
        </w:rPr>
        <w:t xml:space="preserve"> وراجع الشيخ بعض تلك المفرَّغات</w:t>
      </w:r>
      <w:r w:rsidR="00B76414" w:rsidRPr="00C85F0F">
        <w:rPr>
          <w:rFonts w:ascii="Traditional Arabic" w:hAnsi="Traditional Arabic"/>
          <w:rtl/>
        </w:rPr>
        <w:t>،</w:t>
      </w:r>
      <w:r w:rsidRPr="00C85F0F">
        <w:rPr>
          <w:rFonts w:ascii="Traditional Arabic" w:hAnsi="Traditional Arabic"/>
          <w:rtl/>
        </w:rPr>
        <w:t xml:space="preserve"> وبعضها طُبع قبل مراجعة الشيخ لها</w:t>
      </w:r>
      <w:r w:rsidR="00B76414" w:rsidRPr="00C85F0F">
        <w:rPr>
          <w:rFonts w:ascii="Traditional Arabic" w:hAnsi="Traditional Arabic"/>
          <w:rtl/>
        </w:rPr>
        <w:t>،</w:t>
      </w:r>
      <w:r w:rsidRPr="00C85F0F">
        <w:rPr>
          <w:rFonts w:ascii="Traditional Arabic" w:hAnsi="Traditional Arabic"/>
          <w:rtl/>
        </w:rPr>
        <w:t xml:space="preserve"> ولذا وقعت فيها بعض الأخطاء اليسيرة</w:t>
      </w:r>
      <w:r w:rsidR="00B76414" w:rsidRPr="00C85F0F">
        <w:rPr>
          <w:rFonts w:ascii="Traditional Arabic" w:hAnsi="Traditional Arabic"/>
          <w:rtl/>
        </w:rPr>
        <w:t>،</w:t>
      </w:r>
      <w:r w:rsidRPr="00C85F0F">
        <w:rPr>
          <w:rFonts w:ascii="Traditional Arabic" w:hAnsi="Traditional Arabic"/>
          <w:rtl/>
        </w:rPr>
        <w:t xml:space="preserve"> ومن هنا قامت مؤسسة الشيخ محمد بن صالح العثيمين الخيرية - مشكورة -</w:t>
      </w:r>
      <w:r w:rsidR="00B76414" w:rsidRPr="00C85F0F">
        <w:rPr>
          <w:rFonts w:ascii="Traditional Arabic" w:hAnsi="Traditional Arabic"/>
          <w:rtl/>
        </w:rPr>
        <w:lastRenderedPageBreak/>
        <w:t>،</w:t>
      </w:r>
      <w:r w:rsidRPr="00C85F0F">
        <w:rPr>
          <w:rFonts w:ascii="Traditional Arabic" w:hAnsi="Traditional Arabic"/>
          <w:rtl/>
        </w:rPr>
        <w:t>بالحفاظ على هذا التراث العلمي بمراجعة هذه المفرَّغات</w:t>
      </w:r>
      <w:r w:rsidR="00B76414" w:rsidRPr="00C85F0F">
        <w:rPr>
          <w:rFonts w:ascii="Traditional Arabic" w:hAnsi="Traditional Arabic"/>
          <w:rtl/>
        </w:rPr>
        <w:t>،</w:t>
      </w:r>
      <w:r w:rsidRPr="00C85F0F">
        <w:rPr>
          <w:rFonts w:ascii="Traditional Arabic" w:hAnsi="Traditional Arabic"/>
          <w:rtl/>
        </w:rPr>
        <w:t xml:space="preserve"> وكوَّنت لذلك نخبة من طلبة العلم لتولِّي هذا العمل</w:t>
      </w:r>
      <w:r w:rsidR="00B76414" w:rsidRPr="00C85F0F">
        <w:rPr>
          <w:rFonts w:ascii="Traditional Arabic" w:hAnsi="Traditional Arabic"/>
          <w:rtl/>
        </w:rPr>
        <w:t>.</w:t>
      </w:r>
    </w:p>
    <w:p w:rsidR="006F08E1" w:rsidRPr="00C85F0F" w:rsidRDefault="006F08E1" w:rsidP="00D76BE4">
      <w:pPr>
        <w:spacing w:line="600" w:lineRule="exact"/>
        <w:jc w:val="lowKashida"/>
        <w:rPr>
          <w:rFonts w:ascii="Traditional Arabic" w:hAnsi="Traditional Arabic"/>
          <w:rtl/>
        </w:rPr>
      </w:pPr>
      <w:r w:rsidRPr="00C85F0F">
        <w:rPr>
          <w:rFonts w:ascii="Traditional Arabic" w:hAnsi="Traditional Arabic"/>
          <w:rtl/>
        </w:rPr>
        <w:t>وأقتصر هنا بذكر أهم المؤلفات المندرجة تحت هذا القسم</w:t>
      </w:r>
      <w:r w:rsidR="00B76414" w:rsidRPr="00C85F0F">
        <w:rPr>
          <w:rFonts w:ascii="Traditional Arabic" w:hAnsi="Traditional Arabic"/>
          <w:rtl/>
        </w:rPr>
        <w:t>،</w:t>
      </w:r>
      <w:r w:rsidRPr="00C85F0F">
        <w:rPr>
          <w:rFonts w:ascii="Traditional Arabic" w:hAnsi="Traditional Arabic"/>
          <w:rtl/>
        </w:rPr>
        <w:t xml:space="preserve"> علماً بأن هذه المؤلفات منها المطوَّل ومنها المختصر</w:t>
      </w:r>
      <w:r w:rsidR="00B76414" w:rsidRPr="00C85F0F">
        <w:rPr>
          <w:rFonts w:ascii="Traditional Arabic" w:hAnsi="Traditional Arabic"/>
          <w:rtl/>
        </w:rPr>
        <w:t>.</w:t>
      </w:r>
    </w:p>
    <w:p w:rsidR="00F228A9" w:rsidRPr="00C85F0F" w:rsidRDefault="006F08E1" w:rsidP="00597C20">
      <w:pPr>
        <w:pStyle w:val="71"/>
        <w:rPr>
          <w:rtl/>
        </w:rPr>
      </w:pPr>
      <w:r w:rsidRPr="00C85F0F">
        <w:rPr>
          <w:rtl/>
        </w:rPr>
        <w:t>أولاً : العقيدة :</w:t>
      </w:r>
    </w:p>
    <w:p w:rsidR="006F08E1" w:rsidRPr="00C85F0F" w:rsidRDefault="006F08E1" w:rsidP="00597C20">
      <w:pPr>
        <w:numPr>
          <w:ilvl w:val="0"/>
          <w:numId w:val="24"/>
        </w:numPr>
        <w:tabs>
          <w:tab w:val="clear" w:pos="859"/>
          <w:tab w:val="num" w:pos="1123"/>
        </w:tabs>
        <w:spacing w:line="640" w:lineRule="exact"/>
        <w:jc w:val="lowKashida"/>
        <w:rPr>
          <w:rFonts w:ascii="Traditional Arabic" w:hAnsi="Traditional Arabic"/>
          <w:rtl/>
        </w:rPr>
      </w:pPr>
      <w:r w:rsidRPr="00C85F0F">
        <w:rPr>
          <w:rFonts w:ascii="Traditional Arabic" w:hAnsi="Traditional Arabic"/>
          <w:rtl/>
        </w:rPr>
        <w:t>شرح ثلاثة الأصول</w:t>
      </w:r>
      <w:r w:rsidR="00B76414" w:rsidRPr="00C85F0F">
        <w:rPr>
          <w:rFonts w:ascii="Traditional Arabic" w:hAnsi="Traditional Arabic"/>
          <w:rtl/>
        </w:rPr>
        <w:t>.</w:t>
      </w:r>
    </w:p>
    <w:p w:rsidR="006F08E1" w:rsidRPr="00C85F0F" w:rsidRDefault="006F08E1" w:rsidP="00597C20">
      <w:pPr>
        <w:numPr>
          <w:ilvl w:val="0"/>
          <w:numId w:val="24"/>
        </w:numPr>
        <w:tabs>
          <w:tab w:val="clear" w:pos="859"/>
          <w:tab w:val="num" w:pos="1123"/>
        </w:tabs>
        <w:spacing w:line="640" w:lineRule="exact"/>
        <w:jc w:val="lowKashida"/>
        <w:rPr>
          <w:rFonts w:ascii="Traditional Arabic" w:hAnsi="Traditional Arabic"/>
        </w:rPr>
      </w:pPr>
      <w:r w:rsidRPr="00C85F0F">
        <w:rPr>
          <w:rFonts w:ascii="Traditional Arabic" w:hAnsi="Traditional Arabic"/>
          <w:rtl/>
        </w:rPr>
        <w:t>شرح العقيدة الواسطية</w:t>
      </w:r>
      <w:r w:rsidR="00B76414" w:rsidRPr="00C85F0F">
        <w:rPr>
          <w:rFonts w:ascii="Traditional Arabic" w:hAnsi="Traditional Arabic"/>
          <w:rtl/>
        </w:rPr>
        <w:t>.</w:t>
      </w:r>
    </w:p>
    <w:p w:rsidR="006F08E1" w:rsidRPr="00C85F0F" w:rsidRDefault="006F08E1" w:rsidP="00597C20">
      <w:pPr>
        <w:numPr>
          <w:ilvl w:val="0"/>
          <w:numId w:val="24"/>
        </w:numPr>
        <w:tabs>
          <w:tab w:val="clear" w:pos="859"/>
          <w:tab w:val="num" w:pos="1123"/>
        </w:tabs>
        <w:spacing w:line="640" w:lineRule="exact"/>
        <w:jc w:val="lowKashida"/>
        <w:rPr>
          <w:rFonts w:ascii="Traditional Arabic" w:hAnsi="Traditional Arabic"/>
        </w:rPr>
      </w:pPr>
      <w:r w:rsidRPr="00C85F0F">
        <w:rPr>
          <w:rFonts w:ascii="Traditional Arabic" w:hAnsi="Traditional Arabic"/>
          <w:rtl/>
        </w:rPr>
        <w:t>شرح كشف الشبهات</w:t>
      </w:r>
      <w:r w:rsidR="00B76414" w:rsidRPr="00C85F0F">
        <w:rPr>
          <w:rFonts w:ascii="Traditional Arabic" w:hAnsi="Traditional Arabic"/>
          <w:rtl/>
        </w:rPr>
        <w:t>.</w:t>
      </w:r>
    </w:p>
    <w:p w:rsidR="006F08E1" w:rsidRPr="00C85F0F" w:rsidRDefault="006F08E1" w:rsidP="00597C20">
      <w:pPr>
        <w:numPr>
          <w:ilvl w:val="0"/>
          <w:numId w:val="24"/>
        </w:numPr>
        <w:tabs>
          <w:tab w:val="clear" w:pos="859"/>
          <w:tab w:val="num" w:pos="1123"/>
        </w:tabs>
        <w:spacing w:line="640" w:lineRule="exact"/>
        <w:jc w:val="lowKashida"/>
        <w:rPr>
          <w:rFonts w:ascii="Traditional Arabic" w:hAnsi="Traditional Arabic"/>
        </w:rPr>
      </w:pPr>
      <w:r w:rsidRPr="00C85F0F">
        <w:rPr>
          <w:rFonts w:ascii="Traditional Arabic" w:hAnsi="Traditional Arabic"/>
          <w:rtl/>
        </w:rPr>
        <w:t>القول المفيد شرح كتاب التوحيد</w:t>
      </w:r>
      <w:r w:rsidR="00B76414" w:rsidRPr="00C85F0F">
        <w:rPr>
          <w:rFonts w:ascii="Traditional Arabic" w:hAnsi="Traditional Arabic"/>
          <w:rtl/>
        </w:rPr>
        <w:t>.</w:t>
      </w:r>
    </w:p>
    <w:p w:rsidR="006F08E1" w:rsidRPr="00C85F0F" w:rsidRDefault="006F08E1" w:rsidP="00597C20">
      <w:pPr>
        <w:numPr>
          <w:ilvl w:val="0"/>
          <w:numId w:val="24"/>
        </w:numPr>
        <w:tabs>
          <w:tab w:val="clear" w:pos="859"/>
          <w:tab w:val="num" w:pos="1123"/>
        </w:tabs>
        <w:spacing w:line="640" w:lineRule="exact"/>
        <w:jc w:val="lowKashida"/>
        <w:rPr>
          <w:rFonts w:ascii="Traditional Arabic" w:hAnsi="Traditional Arabic"/>
        </w:rPr>
      </w:pPr>
      <w:r w:rsidRPr="00C85F0F">
        <w:rPr>
          <w:rFonts w:ascii="Traditional Arabic" w:hAnsi="Traditional Arabic"/>
          <w:rtl/>
        </w:rPr>
        <w:t>شرح العقيدة السفارينية</w:t>
      </w:r>
      <w:r w:rsidR="00B76414" w:rsidRPr="00C85F0F">
        <w:rPr>
          <w:rFonts w:ascii="Traditional Arabic" w:hAnsi="Traditional Arabic"/>
          <w:rtl/>
        </w:rPr>
        <w:t>.</w:t>
      </w:r>
    </w:p>
    <w:p w:rsidR="006F08E1" w:rsidRPr="00C85F0F" w:rsidRDefault="006F08E1" w:rsidP="00597C20">
      <w:pPr>
        <w:pStyle w:val="71"/>
        <w:rPr>
          <w:rtl/>
        </w:rPr>
      </w:pPr>
      <w:r w:rsidRPr="00C85F0F">
        <w:rPr>
          <w:rtl/>
        </w:rPr>
        <w:t>ثانياً : أصول الفقه وقواعده :</w:t>
      </w:r>
    </w:p>
    <w:p w:rsidR="006F08E1" w:rsidRPr="00C85F0F" w:rsidRDefault="006F08E1" w:rsidP="00597C20">
      <w:pPr>
        <w:numPr>
          <w:ilvl w:val="0"/>
          <w:numId w:val="25"/>
        </w:numPr>
        <w:tabs>
          <w:tab w:val="clear" w:pos="780"/>
          <w:tab w:val="num" w:pos="1123"/>
        </w:tabs>
        <w:spacing w:line="640" w:lineRule="exact"/>
        <w:jc w:val="lowKashida"/>
        <w:rPr>
          <w:rFonts w:ascii="Traditional Arabic" w:hAnsi="Traditional Arabic"/>
          <w:rtl/>
        </w:rPr>
      </w:pPr>
      <w:r w:rsidRPr="00C85F0F">
        <w:rPr>
          <w:rFonts w:ascii="Traditional Arabic" w:hAnsi="Traditional Arabic"/>
          <w:rtl/>
        </w:rPr>
        <w:t>شرح نظم الورقات في أصول الفقه</w:t>
      </w:r>
      <w:r w:rsidR="00B9399B">
        <w:rPr>
          <w:rFonts w:ascii="Traditional Arabic" w:hAnsi="Traditional Arabic" w:hint="cs"/>
          <w:rtl/>
        </w:rPr>
        <w:t xml:space="preserve"> للعمريطي</w:t>
      </w:r>
      <w:r w:rsidR="00B76414" w:rsidRPr="00C85F0F">
        <w:rPr>
          <w:rFonts w:ascii="Traditional Arabic" w:hAnsi="Traditional Arabic"/>
          <w:rtl/>
        </w:rPr>
        <w:t>.</w:t>
      </w:r>
    </w:p>
    <w:p w:rsidR="006F08E1" w:rsidRPr="00C85F0F" w:rsidRDefault="006F08E1" w:rsidP="00597C20">
      <w:pPr>
        <w:numPr>
          <w:ilvl w:val="0"/>
          <w:numId w:val="25"/>
        </w:numPr>
        <w:tabs>
          <w:tab w:val="clear" w:pos="780"/>
          <w:tab w:val="num" w:pos="1123"/>
        </w:tabs>
        <w:spacing w:line="640" w:lineRule="exact"/>
        <w:jc w:val="lowKashida"/>
        <w:rPr>
          <w:rFonts w:ascii="Traditional Arabic" w:hAnsi="Traditional Arabic"/>
        </w:rPr>
      </w:pPr>
      <w:r w:rsidRPr="00C85F0F">
        <w:rPr>
          <w:rFonts w:ascii="Traditional Arabic" w:hAnsi="Traditional Arabic"/>
          <w:rtl/>
        </w:rPr>
        <w:t>شرح منظومة الشيخ ابن عثيمين في أصول الفقه وقواعده</w:t>
      </w:r>
      <w:r w:rsidR="00B76414" w:rsidRPr="00C85F0F">
        <w:rPr>
          <w:rFonts w:ascii="Traditional Arabic" w:hAnsi="Traditional Arabic"/>
          <w:rtl/>
        </w:rPr>
        <w:t>.</w:t>
      </w:r>
    </w:p>
    <w:p w:rsidR="00F228A9" w:rsidRPr="00C85F0F" w:rsidRDefault="006F08E1" w:rsidP="00597C20">
      <w:pPr>
        <w:pStyle w:val="71"/>
        <w:rPr>
          <w:rtl/>
        </w:rPr>
      </w:pPr>
      <w:r w:rsidRPr="00C85F0F">
        <w:rPr>
          <w:rtl/>
        </w:rPr>
        <w:t>ثالثاً : أصول التفسير :</w:t>
      </w:r>
    </w:p>
    <w:p w:rsidR="006F08E1" w:rsidRDefault="006F08E1" w:rsidP="00597C20">
      <w:pPr>
        <w:numPr>
          <w:ilvl w:val="0"/>
          <w:numId w:val="26"/>
        </w:numPr>
        <w:tabs>
          <w:tab w:val="clear" w:pos="780"/>
          <w:tab w:val="num" w:pos="1123"/>
        </w:tabs>
        <w:spacing w:line="640" w:lineRule="exact"/>
        <w:jc w:val="lowKashida"/>
        <w:rPr>
          <w:rFonts w:ascii="Traditional Arabic" w:hAnsi="Traditional Arabic"/>
        </w:rPr>
      </w:pPr>
      <w:r w:rsidRPr="00C85F0F">
        <w:rPr>
          <w:rFonts w:ascii="Traditional Arabic" w:hAnsi="Traditional Arabic"/>
          <w:rtl/>
        </w:rPr>
        <w:t>شرح مقدِّمة التفسير</w:t>
      </w:r>
      <w:r w:rsidR="00B76414" w:rsidRPr="00C85F0F">
        <w:rPr>
          <w:rFonts w:ascii="Traditional Arabic" w:hAnsi="Traditional Arabic"/>
          <w:rtl/>
        </w:rPr>
        <w:t>.</w:t>
      </w:r>
    </w:p>
    <w:p w:rsidR="00BC3533" w:rsidRPr="00C85F0F" w:rsidRDefault="00BC3533" w:rsidP="00597C20">
      <w:pPr>
        <w:numPr>
          <w:ilvl w:val="0"/>
          <w:numId w:val="26"/>
        </w:numPr>
        <w:tabs>
          <w:tab w:val="clear" w:pos="780"/>
          <w:tab w:val="num" w:pos="1123"/>
        </w:tabs>
        <w:spacing w:line="640" w:lineRule="exact"/>
        <w:jc w:val="lowKashida"/>
        <w:rPr>
          <w:rFonts w:ascii="Traditional Arabic" w:hAnsi="Traditional Arabic"/>
          <w:rtl/>
        </w:rPr>
      </w:pPr>
      <w:r>
        <w:rPr>
          <w:rFonts w:ascii="Traditional Arabic" w:hAnsi="Traditional Arabic" w:hint="cs"/>
          <w:rtl/>
        </w:rPr>
        <w:t>التعليق على القواعد الحسان.</w:t>
      </w:r>
    </w:p>
    <w:p w:rsidR="00F228A9" w:rsidRPr="00C85F0F" w:rsidRDefault="006F08E1" w:rsidP="00597C20">
      <w:pPr>
        <w:pStyle w:val="71"/>
        <w:rPr>
          <w:rtl/>
        </w:rPr>
      </w:pPr>
      <w:r w:rsidRPr="00C85F0F">
        <w:rPr>
          <w:rtl/>
        </w:rPr>
        <w:t>رابعاً : التفسير :</w:t>
      </w:r>
    </w:p>
    <w:p w:rsidR="006F08E1" w:rsidRPr="00C85F0F" w:rsidRDefault="006F08E1" w:rsidP="00597C20">
      <w:pPr>
        <w:numPr>
          <w:ilvl w:val="0"/>
          <w:numId w:val="27"/>
        </w:numPr>
        <w:tabs>
          <w:tab w:val="clear" w:pos="780"/>
          <w:tab w:val="num" w:pos="943"/>
        </w:tabs>
        <w:spacing w:line="640" w:lineRule="exact"/>
        <w:jc w:val="lowKashida"/>
        <w:rPr>
          <w:rFonts w:ascii="Traditional Arabic" w:hAnsi="Traditional Arabic"/>
          <w:rtl/>
        </w:rPr>
      </w:pPr>
      <w:r w:rsidRPr="00C85F0F">
        <w:rPr>
          <w:rFonts w:ascii="Traditional Arabic" w:hAnsi="Traditional Arabic"/>
          <w:rtl/>
        </w:rPr>
        <w:t>أحكام من القرآن الكريم</w:t>
      </w:r>
      <w:r w:rsidR="00B76414" w:rsidRPr="00C85F0F">
        <w:rPr>
          <w:rFonts w:ascii="Traditional Arabic" w:hAnsi="Traditional Arabic"/>
          <w:rtl/>
        </w:rPr>
        <w:t>.</w:t>
      </w:r>
    </w:p>
    <w:p w:rsidR="006F08E1" w:rsidRPr="00C85F0F" w:rsidRDefault="006F08E1" w:rsidP="00597C20">
      <w:pPr>
        <w:numPr>
          <w:ilvl w:val="0"/>
          <w:numId w:val="27"/>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تفسير سورة الفاتحة والبقرة</w:t>
      </w:r>
      <w:r w:rsidR="00B76414" w:rsidRPr="00C85F0F">
        <w:rPr>
          <w:rFonts w:ascii="Traditional Arabic" w:hAnsi="Traditional Arabic"/>
          <w:rtl/>
        </w:rPr>
        <w:t>.</w:t>
      </w:r>
    </w:p>
    <w:p w:rsidR="006F08E1" w:rsidRDefault="006F08E1" w:rsidP="00597C20">
      <w:pPr>
        <w:numPr>
          <w:ilvl w:val="0"/>
          <w:numId w:val="27"/>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تفسير سورة آل عمران</w:t>
      </w:r>
      <w:r w:rsidR="00B76414" w:rsidRPr="00C85F0F">
        <w:rPr>
          <w:rFonts w:ascii="Traditional Arabic" w:hAnsi="Traditional Arabic"/>
          <w:rtl/>
        </w:rPr>
        <w:t>.</w:t>
      </w:r>
    </w:p>
    <w:p w:rsidR="00D76BE4" w:rsidRDefault="00D76BE4" w:rsidP="00597C20">
      <w:pPr>
        <w:numPr>
          <w:ilvl w:val="0"/>
          <w:numId w:val="27"/>
        </w:numPr>
        <w:tabs>
          <w:tab w:val="clear" w:pos="780"/>
          <w:tab w:val="num" w:pos="943"/>
        </w:tabs>
        <w:spacing w:line="640" w:lineRule="exact"/>
        <w:jc w:val="lowKashida"/>
        <w:rPr>
          <w:rFonts w:ascii="Traditional Arabic" w:hAnsi="Traditional Arabic"/>
        </w:rPr>
      </w:pPr>
      <w:r>
        <w:rPr>
          <w:rFonts w:ascii="Traditional Arabic" w:hAnsi="Traditional Arabic" w:hint="cs"/>
          <w:rtl/>
        </w:rPr>
        <w:lastRenderedPageBreak/>
        <w:t>تفسير سورة النساء.</w:t>
      </w:r>
    </w:p>
    <w:p w:rsidR="00D76BE4" w:rsidRPr="00C85F0F" w:rsidRDefault="00D76BE4" w:rsidP="00597C20">
      <w:pPr>
        <w:numPr>
          <w:ilvl w:val="0"/>
          <w:numId w:val="27"/>
        </w:numPr>
        <w:tabs>
          <w:tab w:val="clear" w:pos="780"/>
          <w:tab w:val="num" w:pos="943"/>
        </w:tabs>
        <w:spacing w:line="640" w:lineRule="exact"/>
        <w:jc w:val="lowKashida"/>
        <w:rPr>
          <w:rFonts w:ascii="Traditional Arabic" w:hAnsi="Traditional Arabic"/>
        </w:rPr>
      </w:pPr>
      <w:r>
        <w:rPr>
          <w:rFonts w:ascii="Traditional Arabic" w:hAnsi="Traditional Arabic" w:hint="cs"/>
          <w:rtl/>
        </w:rPr>
        <w:t>تفسير سورة المائدة.</w:t>
      </w:r>
    </w:p>
    <w:p w:rsidR="006F08E1" w:rsidRPr="00C85F0F" w:rsidRDefault="006F08E1" w:rsidP="00597C20">
      <w:pPr>
        <w:numPr>
          <w:ilvl w:val="0"/>
          <w:numId w:val="27"/>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تفسير سورة الكهف</w:t>
      </w:r>
      <w:r w:rsidR="00B76414" w:rsidRPr="00C85F0F">
        <w:rPr>
          <w:rFonts w:ascii="Traditional Arabic" w:hAnsi="Traditional Arabic"/>
          <w:rtl/>
        </w:rPr>
        <w:t>.</w:t>
      </w:r>
    </w:p>
    <w:p w:rsidR="006F08E1" w:rsidRPr="00C85F0F" w:rsidRDefault="006F08E1" w:rsidP="00597C20">
      <w:pPr>
        <w:numPr>
          <w:ilvl w:val="0"/>
          <w:numId w:val="27"/>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تفسير سورة يس</w:t>
      </w:r>
      <w:r w:rsidR="00B76414" w:rsidRPr="00C85F0F">
        <w:rPr>
          <w:rFonts w:ascii="Traditional Arabic" w:hAnsi="Traditional Arabic"/>
          <w:rtl/>
        </w:rPr>
        <w:t>.</w:t>
      </w:r>
    </w:p>
    <w:p w:rsidR="006F08E1" w:rsidRPr="00C85F0F" w:rsidRDefault="006F08E1" w:rsidP="00597C20">
      <w:pPr>
        <w:numPr>
          <w:ilvl w:val="0"/>
          <w:numId w:val="27"/>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تفسير سورة الصافات</w:t>
      </w:r>
      <w:r w:rsidR="00B76414" w:rsidRPr="00C85F0F">
        <w:rPr>
          <w:rFonts w:ascii="Traditional Arabic" w:hAnsi="Traditional Arabic"/>
          <w:rtl/>
        </w:rPr>
        <w:t>.</w:t>
      </w:r>
    </w:p>
    <w:p w:rsidR="006F08E1" w:rsidRPr="00C85F0F" w:rsidRDefault="006F08E1" w:rsidP="00597C20">
      <w:pPr>
        <w:numPr>
          <w:ilvl w:val="0"/>
          <w:numId w:val="27"/>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تفسير سورة ص</w:t>
      </w:r>
      <w:r w:rsidR="00B76414" w:rsidRPr="00C85F0F">
        <w:rPr>
          <w:rFonts w:ascii="Traditional Arabic" w:hAnsi="Traditional Arabic"/>
          <w:rtl/>
        </w:rPr>
        <w:t>.</w:t>
      </w:r>
    </w:p>
    <w:p w:rsidR="006F08E1" w:rsidRPr="00C85F0F" w:rsidRDefault="006F08E1" w:rsidP="00597C20">
      <w:pPr>
        <w:numPr>
          <w:ilvl w:val="0"/>
          <w:numId w:val="27"/>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تفسير السور من الحجرات إلى الحديد</w:t>
      </w:r>
      <w:r w:rsidR="00B76414" w:rsidRPr="00C85F0F">
        <w:rPr>
          <w:rFonts w:ascii="Traditional Arabic" w:hAnsi="Traditional Arabic"/>
          <w:rtl/>
        </w:rPr>
        <w:t>.</w:t>
      </w:r>
    </w:p>
    <w:p w:rsidR="006F08E1" w:rsidRPr="00C85F0F" w:rsidRDefault="006F08E1" w:rsidP="00597C20">
      <w:pPr>
        <w:numPr>
          <w:ilvl w:val="0"/>
          <w:numId w:val="27"/>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تفسير جزء عم</w:t>
      </w:r>
      <w:r w:rsidR="00B76414" w:rsidRPr="00C85F0F">
        <w:rPr>
          <w:rFonts w:ascii="Traditional Arabic" w:hAnsi="Traditional Arabic"/>
          <w:rtl/>
        </w:rPr>
        <w:t>.</w:t>
      </w:r>
    </w:p>
    <w:p w:rsidR="00F228A9" w:rsidRPr="00C85F0F" w:rsidRDefault="006F08E1" w:rsidP="00597C20">
      <w:pPr>
        <w:pStyle w:val="71"/>
        <w:rPr>
          <w:rtl/>
        </w:rPr>
      </w:pPr>
      <w:r w:rsidRPr="00C85F0F">
        <w:rPr>
          <w:rtl/>
        </w:rPr>
        <w:t>خامساً : مصطلح الحديث :</w:t>
      </w:r>
    </w:p>
    <w:p w:rsidR="006F08E1" w:rsidRPr="00C85F0F" w:rsidRDefault="006F08E1" w:rsidP="00597C20">
      <w:pPr>
        <w:numPr>
          <w:ilvl w:val="0"/>
          <w:numId w:val="28"/>
        </w:numPr>
        <w:tabs>
          <w:tab w:val="clear" w:pos="780"/>
          <w:tab w:val="num" w:pos="943"/>
        </w:tabs>
        <w:spacing w:line="640" w:lineRule="exact"/>
        <w:jc w:val="lowKashida"/>
        <w:rPr>
          <w:rFonts w:ascii="Traditional Arabic" w:hAnsi="Traditional Arabic"/>
          <w:rtl/>
        </w:rPr>
      </w:pPr>
      <w:r w:rsidRPr="00C85F0F">
        <w:rPr>
          <w:rFonts w:ascii="Traditional Arabic" w:hAnsi="Traditional Arabic"/>
          <w:rtl/>
        </w:rPr>
        <w:t>شرح المنظومة البيقونية</w:t>
      </w:r>
      <w:r w:rsidR="00B76414" w:rsidRPr="00C85F0F">
        <w:rPr>
          <w:rFonts w:ascii="Traditional Arabic" w:hAnsi="Traditional Arabic"/>
          <w:rtl/>
        </w:rPr>
        <w:t>.</w:t>
      </w:r>
    </w:p>
    <w:p w:rsidR="00F228A9" w:rsidRPr="00C85F0F" w:rsidRDefault="006F08E1" w:rsidP="00597C20">
      <w:pPr>
        <w:pStyle w:val="71"/>
        <w:rPr>
          <w:rtl/>
        </w:rPr>
      </w:pPr>
      <w:r w:rsidRPr="00C85F0F">
        <w:rPr>
          <w:rtl/>
        </w:rPr>
        <w:t>سادساً : الحديث :</w:t>
      </w:r>
    </w:p>
    <w:p w:rsidR="006F08E1" w:rsidRPr="00C85F0F" w:rsidRDefault="006F08E1" w:rsidP="00597C20">
      <w:pPr>
        <w:numPr>
          <w:ilvl w:val="0"/>
          <w:numId w:val="29"/>
        </w:numPr>
        <w:tabs>
          <w:tab w:val="clear" w:pos="780"/>
          <w:tab w:val="num" w:pos="943"/>
        </w:tabs>
        <w:spacing w:line="640" w:lineRule="exact"/>
        <w:jc w:val="lowKashida"/>
        <w:rPr>
          <w:rFonts w:ascii="Traditional Arabic" w:hAnsi="Traditional Arabic"/>
          <w:rtl/>
        </w:rPr>
      </w:pPr>
      <w:r w:rsidRPr="00C85F0F">
        <w:rPr>
          <w:rFonts w:ascii="Traditional Arabic" w:hAnsi="Traditional Arabic"/>
          <w:rtl/>
        </w:rPr>
        <w:t>شرح رياض الصالحين</w:t>
      </w:r>
      <w:r w:rsidR="00B76414" w:rsidRPr="00C85F0F">
        <w:rPr>
          <w:rFonts w:ascii="Traditional Arabic" w:hAnsi="Traditional Arabic"/>
          <w:rtl/>
        </w:rPr>
        <w:t>.</w:t>
      </w:r>
    </w:p>
    <w:p w:rsidR="006F08E1" w:rsidRPr="00C85F0F" w:rsidRDefault="00EE57EC" w:rsidP="00597C20">
      <w:pPr>
        <w:numPr>
          <w:ilvl w:val="0"/>
          <w:numId w:val="29"/>
        </w:numPr>
        <w:tabs>
          <w:tab w:val="clear" w:pos="780"/>
          <w:tab w:val="num" w:pos="943"/>
        </w:tabs>
        <w:spacing w:line="640" w:lineRule="exact"/>
        <w:jc w:val="lowKashida"/>
        <w:rPr>
          <w:rFonts w:ascii="Traditional Arabic" w:hAnsi="Traditional Arabic"/>
        </w:rPr>
      </w:pPr>
      <w:r>
        <w:rPr>
          <w:rFonts w:ascii="Traditional Arabic" w:hAnsi="Traditional Arabic"/>
          <w:rtl/>
        </w:rPr>
        <w:t>شرح الأربع</w:t>
      </w:r>
      <w:r>
        <w:rPr>
          <w:rFonts w:ascii="Traditional Arabic" w:hAnsi="Traditional Arabic" w:hint="cs"/>
          <w:rtl/>
        </w:rPr>
        <w:t>ي</w:t>
      </w:r>
      <w:r w:rsidR="006F08E1" w:rsidRPr="00C85F0F">
        <w:rPr>
          <w:rFonts w:ascii="Traditional Arabic" w:hAnsi="Traditional Arabic"/>
          <w:rtl/>
        </w:rPr>
        <w:t>ن النووية</w:t>
      </w:r>
      <w:r w:rsidR="00B76414" w:rsidRPr="00C85F0F">
        <w:rPr>
          <w:rFonts w:ascii="Traditional Arabic" w:hAnsi="Traditional Arabic"/>
          <w:rtl/>
        </w:rPr>
        <w:t>.</w:t>
      </w:r>
    </w:p>
    <w:p w:rsidR="006F08E1" w:rsidRPr="00C85F0F" w:rsidRDefault="006F08E1" w:rsidP="00597C20">
      <w:pPr>
        <w:numPr>
          <w:ilvl w:val="0"/>
          <w:numId w:val="29"/>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فتح ذي الجلال والإكرام بشرح بلوغ المرام</w:t>
      </w:r>
      <w:r w:rsidR="00B76414" w:rsidRPr="00C85F0F">
        <w:rPr>
          <w:rFonts w:ascii="Traditional Arabic" w:hAnsi="Traditional Arabic"/>
          <w:rtl/>
        </w:rPr>
        <w:t>.</w:t>
      </w:r>
    </w:p>
    <w:p w:rsidR="006F08E1" w:rsidRPr="00C85F0F" w:rsidRDefault="006F08E1" w:rsidP="00597C20">
      <w:pPr>
        <w:numPr>
          <w:ilvl w:val="0"/>
          <w:numId w:val="29"/>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 xml:space="preserve">التعليق على صحيح البخاري </w:t>
      </w:r>
      <w:r w:rsidR="009A0575" w:rsidRPr="005D5694">
        <w:rPr>
          <w:rFonts w:ascii="Traditional Arabic" w:hAnsi="Traditional Arabic" w:cs="CTraditional Arabic" w:hint="cs"/>
          <w:rtl/>
        </w:rPr>
        <w:t>/</w:t>
      </w:r>
      <w:r w:rsidR="00B76414" w:rsidRPr="00C85F0F">
        <w:rPr>
          <w:rFonts w:ascii="Traditional Arabic" w:hAnsi="Traditional Arabic"/>
          <w:rtl/>
        </w:rPr>
        <w:t>.</w:t>
      </w:r>
    </w:p>
    <w:p w:rsidR="006F08E1" w:rsidRPr="00C85F0F" w:rsidRDefault="006F08E1" w:rsidP="00597C20">
      <w:pPr>
        <w:numPr>
          <w:ilvl w:val="0"/>
          <w:numId w:val="29"/>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 xml:space="preserve">التعليق على صحيح مسلم </w:t>
      </w:r>
      <w:r w:rsidR="009A0575" w:rsidRPr="005D5694">
        <w:rPr>
          <w:rFonts w:ascii="Traditional Arabic" w:hAnsi="Traditional Arabic" w:cs="CTraditional Arabic" w:hint="cs"/>
          <w:rtl/>
        </w:rPr>
        <w:t>/</w:t>
      </w:r>
      <w:r w:rsidR="00B76414" w:rsidRPr="00C85F0F">
        <w:rPr>
          <w:rFonts w:ascii="Traditional Arabic" w:hAnsi="Traditional Arabic"/>
          <w:rtl/>
        </w:rPr>
        <w:t>.</w:t>
      </w:r>
    </w:p>
    <w:p w:rsidR="006F08E1" w:rsidRPr="00C85F0F" w:rsidRDefault="006F08E1" w:rsidP="00597C20">
      <w:pPr>
        <w:numPr>
          <w:ilvl w:val="0"/>
          <w:numId w:val="29"/>
        </w:numPr>
        <w:tabs>
          <w:tab w:val="clear" w:pos="780"/>
          <w:tab w:val="num" w:pos="943"/>
        </w:tabs>
        <w:spacing w:line="640" w:lineRule="exact"/>
        <w:jc w:val="lowKashida"/>
        <w:rPr>
          <w:rFonts w:ascii="Traditional Arabic" w:hAnsi="Traditional Arabic"/>
        </w:rPr>
      </w:pPr>
      <w:r w:rsidRPr="00C85F0F">
        <w:rPr>
          <w:rFonts w:ascii="Traditional Arabic" w:hAnsi="Traditional Arabic"/>
          <w:rtl/>
        </w:rPr>
        <w:t>شرح حديث جبريل عليه السلام</w:t>
      </w:r>
      <w:r w:rsidR="00B76414" w:rsidRPr="00C85F0F">
        <w:rPr>
          <w:rFonts w:ascii="Traditional Arabic" w:hAnsi="Traditional Arabic"/>
          <w:rtl/>
        </w:rPr>
        <w:t>.</w:t>
      </w:r>
    </w:p>
    <w:p w:rsidR="006F08E1" w:rsidRPr="00C85F0F" w:rsidRDefault="006F08E1" w:rsidP="00597C20">
      <w:pPr>
        <w:numPr>
          <w:ilvl w:val="0"/>
          <w:numId w:val="29"/>
        </w:numPr>
        <w:tabs>
          <w:tab w:val="clear" w:pos="780"/>
          <w:tab w:val="num" w:pos="943"/>
        </w:tabs>
        <w:spacing w:line="640" w:lineRule="exact"/>
        <w:jc w:val="lowKashida"/>
        <w:rPr>
          <w:rFonts w:ascii="Traditional Arabic" w:hAnsi="Traditional Arabic"/>
          <w:rtl/>
        </w:rPr>
      </w:pPr>
      <w:r w:rsidRPr="00C85F0F">
        <w:rPr>
          <w:rFonts w:ascii="Traditional Arabic" w:hAnsi="Traditional Arabic"/>
          <w:rtl/>
        </w:rPr>
        <w:t>التعليق على كتاب المنتقى</w:t>
      </w:r>
      <w:r w:rsidR="00A77F0D">
        <w:rPr>
          <w:rFonts w:ascii="Traditional Arabic" w:hAnsi="Traditional Arabic" w:hint="cs"/>
          <w:rtl/>
        </w:rPr>
        <w:t xml:space="preserve"> </w:t>
      </w:r>
      <w:r w:rsidR="00A77F0D" w:rsidRPr="00C85F0F">
        <w:rPr>
          <w:rFonts w:ascii="Traditional Arabic" w:hAnsi="Traditional Arabic"/>
          <w:rtl/>
        </w:rPr>
        <w:t xml:space="preserve">من أخبار المصطفى </w:t>
      </w:r>
      <w:r w:rsidR="00A77F0D" w:rsidRPr="00C85F0F">
        <w:rPr>
          <w:rFonts w:ascii="Traditional Arabic" w:hAnsi="Traditional Arabic"/>
          <w:rtl/>
        </w:rPr>
        <w:sym w:font="AGA Arabesque" w:char="F065"/>
      </w:r>
      <w:r w:rsidR="00B76414" w:rsidRPr="00C85F0F">
        <w:rPr>
          <w:rFonts w:ascii="Traditional Arabic" w:hAnsi="Traditional Arabic"/>
          <w:rtl/>
        </w:rPr>
        <w:t>.</w:t>
      </w:r>
    </w:p>
    <w:p w:rsidR="00F228A9" w:rsidRPr="00C85F0F" w:rsidRDefault="006F08E1" w:rsidP="00597C20">
      <w:pPr>
        <w:pStyle w:val="71"/>
        <w:rPr>
          <w:rtl/>
        </w:rPr>
      </w:pPr>
      <w:r w:rsidRPr="00C85F0F">
        <w:rPr>
          <w:rtl/>
        </w:rPr>
        <w:t>سابعاً : الفقه :</w:t>
      </w:r>
    </w:p>
    <w:p w:rsidR="006F08E1" w:rsidRPr="00C85F0F" w:rsidRDefault="006F08E1" w:rsidP="006F5F1F">
      <w:pPr>
        <w:numPr>
          <w:ilvl w:val="0"/>
          <w:numId w:val="30"/>
        </w:numPr>
        <w:tabs>
          <w:tab w:val="clear" w:pos="795"/>
          <w:tab w:val="num" w:pos="943"/>
        </w:tabs>
        <w:spacing w:line="640" w:lineRule="exact"/>
        <w:ind w:left="943" w:hanging="583"/>
        <w:jc w:val="lowKashida"/>
        <w:rPr>
          <w:rFonts w:ascii="Traditional Arabic" w:hAnsi="Traditional Arabic"/>
          <w:rtl/>
        </w:rPr>
      </w:pPr>
      <w:r w:rsidRPr="00C85F0F">
        <w:rPr>
          <w:rFonts w:ascii="Traditional Arabic" w:hAnsi="Traditional Arabic"/>
          <w:rtl/>
        </w:rPr>
        <w:t>الشرح الممتع ع</w:t>
      </w:r>
      <w:r w:rsidR="00EE57EC">
        <w:rPr>
          <w:rFonts w:ascii="Traditional Arabic" w:hAnsi="Traditional Arabic"/>
          <w:rtl/>
        </w:rPr>
        <w:t>لى زاد المستقن</w:t>
      </w:r>
      <w:r w:rsidR="00EE57EC">
        <w:rPr>
          <w:rFonts w:ascii="Traditional Arabic" w:hAnsi="Traditional Arabic" w:hint="cs"/>
          <w:rtl/>
        </w:rPr>
        <w:t>ع</w:t>
      </w:r>
      <w:r w:rsidRPr="00C85F0F">
        <w:rPr>
          <w:rFonts w:ascii="Traditional Arabic" w:hAnsi="Traditional Arabic"/>
          <w:rtl/>
        </w:rPr>
        <w:t xml:space="preserve">: وهو أكبر مؤلف مُفرَّغ للشيخ ابن عثيمين – </w:t>
      </w:r>
      <w:r w:rsidR="009A0575" w:rsidRPr="005D5694">
        <w:rPr>
          <w:rFonts w:ascii="Traditional Arabic" w:hAnsi="Traditional Arabic" w:cs="CTraditional Arabic" w:hint="cs"/>
          <w:rtl/>
        </w:rPr>
        <w:t>/</w:t>
      </w:r>
      <w:r w:rsidRPr="00C85F0F">
        <w:rPr>
          <w:rFonts w:ascii="Traditional Arabic" w:hAnsi="Traditional Arabic"/>
          <w:rtl/>
        </w:rPr>
        <w:t xml:space="preserve"> -</w:t>
      </w:r>
      <w:r w:rsidR="00B76414" w:rsidRPr="00C85F0F">
        <w:rPr>
          <w:rFonts w:ascii="Traditional Arabic" w:hAnsi="Traditional Arabic"/>
          <w:rtl/>
        </w:rPr>
        <w:t>،</w:t>
      </w:r>
      <w:r w:rsidRPr="00C85F0F">
        <w:rPr>
          <w:rFonts w:ascii="Traditional Arabic" w:hAnsi="Traditional Arabic"/>
          <w:rtl/>
        </w:rPr>
        <w:t xml:space="preserve"> </w:t>
      </w:r>
      <w:r w:rsidRPr="00C85F0F">
        <w:rPr>
          <w:rFonts w:ascii="Traditional Arabic" w:hAnsi="Traditional Arabic"/>
          <w:rtl/>
        </w:rPr>
        <w:lastRenderedPageBreak/>
        <w:t>وقد راجعه الشيخ صفحةً صفحة</w:t>
      </w:r>
      <w:r w:rsidR="00B76414" w:rsidRPr="00C85F0F">
        <w:rPr>
          <w:rFonts w:ascii="Traditional Arabic" w:hAnsi="Traditional Arabic"/>
          <w:rtl/>
        </w:rPr>
        <w:t>،</w:t>
      </w:r>
      <w:r w:rsidRPr="00C85F0F">
        <w:rPr>
          <w:rFonts w:ascii="Traditional Arabic" w:hAnsi="Traditional Arabic"/>
          <w:rtl/>
        </w:rPr>
        <w:t xml:space="preserve"> فحذف ما لا يحتــاج إليه</w:t>
      </w:r>
      <w:r w:rsidR="00B76414" w:rsidRPr="00C85F0F">
        <w:rPr>
          <w:rFonts w:ascii="Traditional Arabic" w:hAnsi="Traditional Arabic"/>
          <w:rtl/>
        </w:rPr>
        <w:t>،</w:t>
      </w:r>
      <w:r w:rsidRPr="00C85F0F">
        <w:rPr>
          <w:rFonts w:ascii="Traditional Arabic" w:hAnsi="Traditional Arabic"/>
          <w:rtl/>
        </w:rPr>
        <w:t xml:space="preserve"> وزاد ما تدعو الحاجة إليه</w:t>
      </w:r>
      <w:r w:rsidR="00B76414" w:rsidRPr="00C85F0F">
        <w:rPr>
          <w:rFonts w:ascii="Traditional Arabic" w:hAnsi="Traditional Arabic"/>
          <w:rtl/>
        </w:rPr>
        <w:t>،</w:t>
      </w:r>
      <w:r w:rsidRPr="00C85F0F">
        <w:rPr>
          <w:rFonts w:ascii="Traditional Arabic" w:hAnsi="Traditional Arabic"/>
          <w:rtl/>
        </w:rPr>
        <w:t xml:space="preserve"> وأبقى الباقي على ما كان عليـــــه</w:t>
      </w:r>
      <w:r w:rsidR="00B76414" w:rsidRPr="00C85F0F">
        <w:rPr>
          <w:rFonts w:ascii="Traditional Arabic" w:hAnsi="Traditional Arabic"/>
          <w:rtl/>
        </w:rPr>
        <w:t>،</w:t>
      </w:r>
      <w:r w:rsidRPr="00C85F0F">
        <w:rPr>
          <w:rFonts w:ascii="Traditional Arabic" w:hAnsi="Traditional Arabic"/>
          <w:rtl/>
        </w:rPr>
        <w:t xml:space="preserve"> كما صرَّح بذلك في مقدِّمــة الكتاب</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33"/>
      </w:r>
      <w:r w:rsidRPr="00C85F0F">
        <w:rPr>
          <w:rFonts w:ascii="Traditional Arabic" w:hAnsi="Traditional Arabic"/>
          <w:szCs w:val="32"/>
          <w:vertAlign w:val="superscript"/>
          <w:rtl/>
        </w:rPr>
        <w:t>)</w:t>
      </w:r>
      <w:r w:rsidR="00B76414" w:rsidRPr="00C85F0F">
        <w:rPr>
          <w:rFonts w:ascii="Traditional Arabic" w:hAnsi="Traditional Arabic"/>
          <w:rtl/>
        </w:rPr>
        <w:t>،</w:t>
      </w:r>
      <w:r w:rsidRPr="00C85F0F">
        <w:rPr>
          <w:rFonts w:ascii="Traditional Arabic" w:hAnsi="Traditional Arabic"/>
          <w:rtl/>
        </w:rPr>
        <w:t xml:space="preserve"> وقد وصل الشيخ </w:t>
      </w:r>
      <w:r w:rsidR="009A0575" w:rsidRPr="005D5694">
        <w:rPr>
          <w:rFonts w:ascii="Traditional Arabic" w:hAnsi="Traditional Arabic" w:cs="CTraditional Arabic" w:hint="cs"/>
          <w:rtl/>
        </w:rPr>
        <w:t>/</w:t>
      </w:r>
      <w:r w:rsidRPr="00C85F0F">
        <w:rPr>
          <w:rFonts w:ascii="Traditional Arabic" w:hAnsi="Traditional Arabic"/>
          <w:rtl/>
        </w:rPr>
        <w:t xml:space="preserve"> في مراجعـــة الكتاب إلى نهاية كتاب الحج</w:t>
      </w:r>
      <w:r w:rsidR="00B76414" w:rsidRPr="00C85F0F">
        <w:rPr>
          <w:rFonts w:ascii="Traditional Arabic" w:hAnsi="Traditional Arabic"/>
          <w:rtl/>
        </w:rPr>
        <w:t>،</w:t>
      </w:r>
      <w:r w:rsidR="005C33CA">
        <w:rPr>
          <w:rFonts w:ascii="Traditional Arabic" w:hAnsi="Traditional Arabic"/>
          <w:rtl/>
        </w:rPr>
        <w:t xml:space="preserve"> وه</w:t>
      </w:r>
      <w:r w:rsidR="005C33CA">
        <w:rPr>
          <w:rFonts w:ascii="Traditional Arabic" w:hAnsi="Traditional Arabic" w:hint="cs"/>
          <w:rtl/>
        </w:rPr>
        <w:t>و</w:t>
      </w:r>
      <w:r w:rsidRPr="00C85F0F">
        <w:rPr>
          <w:rFonts w:ascii="Traditional Arabic" w:hAnsi="Traditional Arabic"/>
          <w:rtl/>
        </w:rPr>
        <w:t xml:space="preserve"> ما يعادل (7) مجل</w:t>
      </w:r>
      <w:r w:rsidRPr="00C85F0F">
        <w:rPr>
          <w:rFonts w:ascii="Traditional Arabic" w:hAnsi="Traditional Arabic" w:hint="cs"/>
          <w:rtl/>
        </w:rPr>
        <w:t>دات</w:t>
      </w:r>
      <w:r w:rsidRPr="00C85F0F">
        <w:rPr>
          <w:rFonts w:ascii="Traditional Arabic" w:hAnsi="Traditional Arabic"/>
          <w:rtl/>
        </w:rPr>
        <w:t>.</w:t>
      </w:r>
    </w:p>
    <w:p w:rsidR="006F08E1" w:rsidRPr="00C85F0F" w:rsidRDefault="006F08E1" w:rsidP="00597C20">
      <w:pPr>
        <w:numPr>
          <w:ilvl w:val="0"/>
          <w:numId w:val="30"/>
        </w:numPr>
        <w:tabs>
          <w:tab w:val="clear" w:pos="795"/>
          <w:tab w:val="num" w:pos="943"/>
        </w:tabs>
        <w:spacing w:line="640" w:lineRule="exact"/>
        <w:ind w:left="943" w:hanging="583"/>
        <w:jc w:val="lowKashida"/>
        <w:rPr>
          <w:rFonts w:ascii="Traditional Arabic" w:hAnsi="Traditional Arabic"/>
        </w:rPr>
      </w:pPr>
      <w:r w:rsidRPr="00C85F0F">
        <w:rPr>
          <w:rFonts w:ascii="Traditional Arabic" w:hAnsi="Traditional Arabic"/>
          <w:rtl/>
        </w:rPr>
        <w:t>فقه العبادات</w:t>
      </w:r>
      <w:r w:rsidR="00B76414" w:rsidRPr="00C85F0F">
        <w:rPr>
          <w:rFonts w:ascii="Traditional Arabic" w:hAnsi="Traditional Arabic"/>
          <w:rtl/>
        </w:rPr>
        <w:t>.</w:t>
      </w:r>
    </w:p>
    <w:p w:rsidR="00065E4B" w:rsidRPr="00C85F0F" w:rsidRDefault="006F08E1" w:rsidP="00597C20">
      <w:pPr>
        <w:numPr>
          <w:ilvl w:val="0"/>
          <w:numId w:val="30"/>
        </w:numPr>
        <w:tabs>
          <w:tab w:val="clear" w:pos="795"/>
          <w:tab w:val="num" w:pos="943"/>
        </w:tabs>
        <w:spacing w:line="640" w:lineRule="exact"/>
        <w:ind w:left="943" w:hanging="583"/>
        <w:jc w:val="lowKashida"/>
        <w:rPr>
          <w:rFonts w:ascii="Traditional Arabic" w:hAnsi="Traditional Arabic"/>
          <w:rtl/>
        </w:rPr>
      </w:pPr>
      <w:r w:rsidRPr="00C85F0F">
        <w:rPr>
          <w:rFonts w:ascii="Traditional Arabic" w:hAnsi="Traditional Arabic"/>
          <w:rtl/>
        </w:rPr>
        <w:t>فتاوى أركان الإسلام : وهو آخر كتاب طُبع للشيخ في حياته</w:t>
      </w:r>
      <w:r w:rsidR="00B76414" w:rsidRPr="00C85F0F">
        <w:rPr>
          <w:rFonts w:ascii="Traditional Arabic" w:hAnsi="Traditional Arabic"/>
          <w:rtl/>
        </w:rPr>
        <w:t>،</w:t>
      </w:r>
      <w:r w:rsidRPr="00C85F0F">
        <w:rPr>
          <w:rFonts w:ascii="Traditional Arabic" w:hAnsi="Traditional Arabic"/>
          <w:rtl/>
        </w:rPr>
        <w:t xml:space="preserve"> حيث توفي بعده بثلاثـــة أسابيع تقريباً</w:t>
      </w:r>
      <w:r w:rsidR="00B76414" w:rsidRPr="00C85F0F">
        <w:rPr>
          <w:rFonts w:ascii="Traditional Arabic" w:hAnsi="Traditional Arabic"/>
          <w:rtl/>
        </w:rPr>
        <w:t>،</w:t>
      </w:r>
      <w:r w:rsidRPr="00C85F0F">
        <w:rPr>
          <w:rFonts w:ascii="Traditional Arabic" w:hAnsi="Traditional Arabic"/>
          <w:rtl/>
        </w:rPr>
        <w:t xml:space="preserve"> ولم يصدر له كتاب في حياته بعد هذا الكتاب</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34"/>
      </w:r>
      <w:r w:rsidRPr="00C85F0F">
        <w:rPr>
          <w:rFonts w:ascii="Traditional Arabic" w:hAnsi="Traditional Arabic"/>
          <w:szCs w:val="32"/>
          <w:vertAlign w:val="superscript"/>
          <w:rtl/>
        </w:rPr>
        <w:t>)</w:t>
      </w:r>
      <w:r w:rsidR="00B76414" w:rsidRPr="00C85F0F">
        <w:rPr>
          <w:rFonts w:ascii="Traditional Arabic" w:hAnsi="Traditional Arabic"/>
          <w:rtl/>
        </w:rPr>
        <w:t>.</w:t>
      </w:r>
    </w:p>
    <w:p w:rsidR="00F228A9" w:rsidRPr="00C85F0F" w:rsidRDefault="00065E4B" w:rsidP="00597C20">
      <w:pPr>
        <w:pStyle w:val="71"/>
        <w:rPr>
          <w:rtl/>
        </w:rPr>
      </w:pPr>
      <w:r w:rsidRPr="00C85F0F">
        <w:rPr>
          <w:rtl/>
        </w:rPr>
        <w:t>ث</w:t>
      </w:r>
      <w:r w:rsidR="006F08E1" w:rsidRPr="00C85F0F">
        <w:rPr>
          <w:rtl/>
        </w:rPr>
        <w:t>امناً : اللغة العربية :</w:t>
      </w:r>
    </w:p>
    <w:p w:rsidR="006F08E1" w:rsidRPr="00C85F0F" w:rsidRDefault="006F08E1" w:rsidP="00597C20">
      <w:pPr>
        <w:numPr>
          <w:ilvl w:val="0"/>
          <w:numId w:val="31"/>
        </w:numPr>
        <w:tabs>
          <w:tab w:val="clear" w:pos="874"/>
        </w:tabs>
        <w:spacing w:line="640" w:lineRule="exact"/>
        <w:jc w:val="lowKashida"/>
        <w:rPr>
          <w:rFonts w:ascii="Traditional Arabic" w:hAnsi="Traditional Arabic"/>
          <w:rtl/>
        </w:rPr>
      </w:pPr>
      <w:r w:rsidRPr="00C85F0F">
        <w:rPr>
          <w:rFonts w:ascii="Traditional Arabic" w:hAnsi="Traditional Arabic"/>
          <w:rtl/>
        </w:rPr>
        <w:t>شرح الآجرومية</w:t>
      </w:r>
      <w:r w:rsidR="00B76414" w:rsidRPr="00C85F0F">
        <w:rPr>
          <w:rFonts w:ascii="Traditional Arabic" w:hAnsi="Traditional Arabic"/>
          <w:rtl/>
        </w:rPr>
        <w:t>.</w:t>
      </w:r>
    </w:p>
    <w:p w:rsidR="00F228A9" w:rsidRPr="00C85F0F" w:rsidRDefault="006F08E1" w:rsidP="00597C20">
      <w:pPr>
        <w:pStyle w:val="71"/>
        <w:rPr>
          <w:rtl/>
        </w:rPr>
      </w:pPr>
      <w:r w:rsidRPr="00C85F0F">
        <w:rPr>
          <w:rtl/>
        </w:rPr>
        <w:t>تاسعاً : مواضيع أخرى :</w:t>
      </w:r>
    </w:p>
    <w:p w:rsidR="006F08E1" w:rsidRPr="00C85F0F" w:rsidRDefault="006F08E1" w:rsidP="00597C20">
      <w:pPr>
        <w:numPr>
          <w:ilvl w:val="0"/>
          <w:numId w:val="32"/>
        </w:numPr>
        <w:tabs>
          <w:tab w:val="clear" w:pos="780"/>
          <w:tab w:val="num" w:pos="943"/>
        </w:tabs>
        <w:spacing w:line="640" w:lineRule="exact"/>
        <w:jc w:val="lowKashida"/>
        <w:rPr>
          <w:rFonts w:ascii="Traditional Arabic" w:hAnsi="Traditional Arabic"/>
          <w:rtl/>
        </w:rPr>
      </w:pPr>
      <w:r w:rsidRPr="00C85F0F">
        <w:rPr>
          <w:rFonts w:ascii="Traditional Arabic" w:hAnsi="Traditional Arabic"/>
          <w:rtl/>
        </w:rPr>
        <w:t>التعليق على كتاب السياسة الشرعية</w:t>
      </w:r>
      <w:r w:rsidR="00B76414" w:rsidRPr="00C85F0F">
        <w:rPr>
          <w:rFonts w:ascii="Traditional Arabic" w:hAnsi="Traditional Arabic"/>
          <w:rtl/>
        </w:rPr>
        <w:t>.</w:t>
      </w:r>
    </w:p>
    <w:p w:rsidR="006F08E1" w:rsidRPr="00C85F0F" w:rsidRDefault="006F08E1" w:rsidP="00597C20">
      <w:pPr>
        <w:numPr>
          <w:ilvl w:val="0"/>
          <w:numId w:val="32"/>
        </w:numPr>
        <w:tabs>
          <w:tab w:val="clear" w:pos="780"/>
          <w:tab w:val="num" w:pos="943"/>
        </w:tabs>
        <w:spacing w:line="640" w:lineRule="exact"/>
        <w:jc w:val="lowKashida"/>
        <w:rPr>
          <w:rFonts w:ascii="Traditional Arabic" w:hAnsi="Traditional Arabic"/>
          <w:rtl/>
        </w:rPr>
      </w:pPr>
      <w:r w:rsidRPr="00C85F0F">
        <w:rPr>
          <w:rFonts w:ascii="Traditional Arabic" w:hAnsi="Traditional Arabic"/>
          <w:rtl/>
        </w:rPr>
        <w:t>كتاب العلم</w:t>
      </w:r>
      <w:r w:rsidR="00B76414" w:rsidRPr="00C85F0F">
        <w:rPr>
          <w:rFonts w:ascii="Traditional Arabic" w:hAnsi="Traditional Arabic"/>
          <w:rtl/>
        </w:rPr>
        <w:t>.</w:t>
      </w:r>
    </w:p>
    <w:p w:rsidR="00F228A9" w:rsidRPr="00C85F0F" w:rsidRDefault="006F08E1" w:rsidP="00A77F0D">
      <w:pPr>
        <w:pStyle w:val="53"/>
        <w:rPr>
          <w:rtl/>
        </w:rPr>
      </w:pPr>
      <w:r w:rsidRPr="00C85F0F">
        <w:rPr>
          <w:rtl/>
        </w:rPr>
        <w:t xml:space="preserve">ثانياً : </w:t>
      </w:r>
      <w:r w:rsidRPr="00597C20">
        <w:rPr>
          <w:rtl/>
        </w:rPr>
        <w:t>الآثار</w:t>
      </w:r>
      <w:r w:rsidRPr="00C85F0F">
        <w:rPr>
          <w:rtl/>
        </w:rPr>
        <w:t xml:space="preserve"> المسموعة:</w:t>
      </w:r>
    </w:p>
    <w:p w:rsidR="00F228A9"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 xml:space="preserve">تحتل آثار الشيخ ابن عثيمين – </w:t>
      </w:r>
      <w:r w:rsidR="009A0575" w:rsidRPr="005D5694">
        <w:rPr>
          <w:rFonts w:ascii="Traditional Arabic" w:hAnsi="Traditional Arabic" w:cs="CTraditional Arabic" w:hint="cs"/>
          <w:rtl/>
        </w:rPr>
        <w:t>/</w:t>
      </w:r>
      <w:r w:rsidRPr="00C85F0F">
        <w:rPr>
          <w:rFonts w:ascii="Traditional Arabic" w:hAnsi="Traditional Arabic"/>
          <w:rtl/>
        </w:rPr>
        <w:t xml:space="preserve"> – المسموعة معظم</w:t>
      </w:r>
      <w:r w:rsidR="00CB14DC">
        <w:rPr>
          <w:rFonts w:ascii="Traditional Arabic" w:hAnsi="Traditional Arabic" w:hint="cs"/>
          <w:rtl/>
        </w:rPr>
        <w:t>َ</w:t>
      </w:r>
      <w:r w:rsidRPr="00C85F0F">
        <w:rPr>
          <w:rFonts w:ascii="Traditional Arabic" w:hAnsi="Traditional Arabic"/>
          <w:rtl/>
        </w:rPr>
        <w:t xml:space="preserve"> نشاطه العلمي وأغلب</w:t>
      </w:r>
      <w:r w:rsidR="00CB14DC">
        <w:rPr>
          <w:rFonts w:ascii="Traditional Arabic" w:hAnsi="Traditional Arabic" w:hint="cs"/>
          <w:rtl/>
        </w:rPr>
        <w:t>َ</w:t>
      </w:r>
      <w:r w:rsidRPr="00C85F0F">
        <w:rPr>
          <w:rFonts w:ascii="Traditional Arabic" w:hAnsi="Traditional Arabic"/>
          <w:rtl/>
        </w:rPr>
        <w:t>ه</w:t>
      </w:r>
      <w:r w:rsidR="00B76414" w:rsidRPr="00C85F0F">
        <w:rPr>
          <w:rFonts w:ascii="Traditional Arabic" w:hAnsi="Traditional Arabic"/>
          <w:rtl/>
        </w:rPr>
        <w:t>،</w:t>
      </w:r>
      <w:r w:rsidRPr="00C85F0F">
        <w:rPr>
          <w:rFonts w:ascii="Traditional Arabic" w:hAnsi="Traditional Arabic"/>
          <w:rtl/>
        </w:rPr>
        <w:t xml:space="preserve"> فهي التي تمثِّل عامة</w:t>
      </w:r>
      <w:r w:rsidR="00CB14DC">
        <w:rPr>
          <w:rFonts w:ascii="Traditional Arabic" w:hAnsi="Traditional Arabic" w:hint="cs"/>
          <w:rtl/>
        </w:rPr>
        <w:t>َ</w:t>
      </w:r>
      <w:r w:rsidRPr="00C85F0F">
        <w:rPr>
          <w:rFonts w:ascii="Traditional Arabic" w:hAnsi="Traditional Arabic"/>
          <w:rtl/>
        </w:rPr>
        <w:t xml:space="preserve"> نتاجه العلمي</w:t>
      </w:r>
      <w:r w:rsidR="00B76414" w:rsidRPr="00C85F0F">
        <w:rPr>
          <w:rFonts w:ascii="Traditional Arabic" w:hAnsi="Traditional Arabic"/>
          <w:rtl/>
        </w:rPr>
        <w:t>،</w:t>
      </w:r>
      <w:r w:rsidRPr="00C85F0F">
        <w:rPr>
          <w:rFonts w:ascii="Traditional Arabic" w:hAnsi="Traditional Arabic"/>
          <w:rtl/>
        </w:rPr>
        <w:t xml:space="preserve"> لاسيما الكتب الكبار</w:t>
      </w:r>
      <w:r w:rsidR="00B76414" w:rsidRPr="00C85F0F">
        <w:rPr>
          <w:rFonts w:ascii="Traditional Arabic" w:hAnsi="Traditional Arabic"/>
          <w:rtl/>
        </w:rPr>
        <w:t>،</w:t>
      </w:r>
      <w:r w:rsidR="00CB14DC">
        <w:rPr>
          <w:rFonts w:ascii="Traditional Arabic" w:hAnsi="Traditional Arabic"/>
          <w:rtl/>
        </w:rPr>
        <w:t xml:space="preserve"> </w:t>
      </w:r>
      <w:r w:rsidR="00CB14DC">
        <w:rPr>
          <w:rFonts w:ascii="Traditional Arabic" w:hAnsi="Traditional Arabic" w:hint="cs"/>
          <w:rtl/>
        </w:rPr>
        <w:t xml:space="preserve">التي </w:t>
      </w:r>
      <w:r w:rsidRPr="00C85F0F">
        <w:rPr>
          <w:rFonts w:ascii="Traditional Arabic" w:hAnsi="Traditional Arabic"/>
          <w:rtl/>
        </w:rPr>
        <w:t>لم يحرِّرها الشيخ بيده</w:t>
      </w:r>
      <w:r w:rsidR="00B76414" w:rsidRPr="00C85F0F">
        <w:rPr>
          <w:rFonts w:ascii="Traditional Arabic" w:hAnsi="Traditional Arabic"/>
          <w:rtl/>
        </w:rPr>
        <w:t>،</w:t>
      </w:r>
      <w:r w:rsidRPr="00C85F0F">
        <w:rPr>
          <w:rFonts w:ascii="Traditional Arabic" w:hAnsi="Traditional Arabic"/>
          <w:rtl/>
        </w:rPr>
        <w:t xml:space="preserve"> ولم يخطَّها بقلمه</w:t>
      </w:r>
      <w:r w:rsidR="00B76414" w:rsidRPr="00C85F0F">
        <w:rPr>
          <w:rFonts w:ascii="Traditional Arabic" w:hAnsi="Traditional Arabic"/>
          <w:rtl/>
        </w:rPr>
        <w:t>،</w:t>
      </w:r>
      <w:r w:rsidR="00CB14DC">
        <w:rPr>
          <w:rFonts w:ascii="Traditional Arabic" w:hAnsi="Traditional Arabic"/>
          <w:rtl/>
        </w:rPr>
        <w:t xml:space="preserve"> </w:t>
      </w:r>
      <w:r w:rsidR="00CB14DC">
        <w:rPr>
          <w:rFonts w:ascii="Traditional Arabic" w:hAnsi="Traditional Arabic" w:hint="cs"/>
          <w:rtl/>
        </w:rPr>
        <w:t xml:space="preserve">وإنما </w:t>
      </w:r>
      <w:r w:rsidRPr="00C85F0F">
        <w:rPr>
          <w:rFonts w:ascii="Traditional Arabic" w:hAnsi="Traditional Arabic"/>
          <w:rtl/>
        </w:rPr>
        <w:t xml:space="preserve"> انتصب لها طلابه ومحبُّوه</w:t>
      </w:r>
      <w:r w:rsidR="00B76414" w:rsidRPr="00C85F0F">
        <w:rPr>
          <w:rFonts w:ascii="Traditional Arabic" w:hAnsi="Traditional Arabic"/>
          <w:rtl/>
        </w:rPr>
        <w:t>،</w:t>
      </w:r>
      <w:r w:rsidRPr="00C85F0F">
        <w:rPr>
          <w:rFonts w:ascii="Traditional Arabic" w:hAnsi="Traditional Arabic"/>
          <w:rtl/>
        </w:rPr>
        <w:t xml:space="preserve"> فعمدوا إلى الأشرطة السمعية ففرَّغوها حتى أصبحت من قبيل المطبوع في مجلدات</w:t>
      </w:r>
      <w:r w:rsidR="00B76414" w:rsidRPr="00C85F0F">
        <w:rPr>
          <w:rFonts w:ascii="Traditional Arabic" w:hAnsi="Traditional Arabic"/>
          <w:rtl/>
        </w:rPr>
        <w:t>،</w:t>
      </w:r>
      <w:r w:rsidRPr="00C85F0F">
        <w:rPr>
          <w:rFonts w:ascii="Traditional Arabic" w:hAnsi="Traditional Arabic"/>
          <w:rtl/>
        </w:rPr>
        <w:t xml:space="preserve"> ولذا كانت هذه الأشرطة المسموعة هي </w:t>
      </w:r>
      <w:r w:rsidR="00A77F0D">
        <w:rPr>
          <w:rFonts w:ascii="Traditional Arabic" w:hAnsi="Traditional Arabic" w:hint="cs"/>
          <w:rtl/>
        </w:rPr>
        <w:t>ال</w:t>
      </w:r>
      <w:r w:rsidRPr="00C85F0F">
        <w:rPr>
          <w:rFonts w:ascii="Traditional Arabic" w:hAnsi="Traditional Arabic"/>
          <w:rtl/>
        </w:rPr>
        <w:t xml:space="preserve">نواة لأكثر الكتب المطولة التي طُبعت وستطبع فيما بعد للشيخ ابن عثيمين </w:t>
      </w:r>
      <w:r w:rsidR="009A0575" w:rsidRPr="005D5694">
        <w:rPr>
          <w:rFonts w:ascii="Traditional Arabic" w:hAnsi="Traditional Arabic" w:cs="CTraditional Arabic" w:hint="cs"/>
          <w:rtl/>
        </w:rPr>
        <w:t>/</w:t>
      </w:r>
      <w:r w:rsidRPr="00C85F0F">
        <w:rPr>
          <w:rFonts w:ascii="Traditional Arabic" w:hAnsi="Traditional Arabic"/>
          <w:rtl/>
        </w:rPr>
        <w:t>، وقد نفع الله بها نفعاً عظيماً</w:t>
      </w:r>
      <w:r w:rsidR="00B76414" w:rsidRPr="00C85F0F">
        <w:rPr>
          <w:rFonts w:ascii="Traditional Arabic" w:hAnsi="Traditional Arabic"/>
          <w:rtl/>
        </w:rPr>
        <w:t>،</w:t>
      </w:r>
      <w:r w:rsidRPr="00C85F0F">
        <w:rPr>
          <w:rFonts w:ascii="Traditional Arabic" w:hAnsi="Traditional Arabic"/>
          <w:rtl/>
        </w:rPr>
        <w:t xml:space="preserve"> وإليك هذه </w:t>
      </w:r>
      <w:r w:rsidRPr="00C85F0F">
        <w:rPr>
          <w:rFonts w:ascii="Traditional Arabic" w:hAnsi="Traditional Arabic"/>
          <w:rtl/>
        </w:rPr>
        <w:lastRenderedPageBreak/>
        <w:t>الأشرطة مرت</w:t>
      </w:r>
      <w:r w:rsidR="00C330D2">
        <w:rPr>
          <w:rFonts w:ascii="Traditional Arabic" w:hAnsi="Traditional Arabic" w:hint="cs"/>
          <w:rtl/>
        </w:rPr>
        <w:t>َّ</w:t>
      </w:r>
      <w:r w:rsidRPr="00C85F0F">
        <w:rPr>
          <w:rFonts w:ascii="Traditional Arabic" w:hAnsi="Traditional Arabic"/>
          <w:rtl/>
        </w:rPr>
        <w:t>بة</w:t>
      </w:r>
      <w:r w:rsidR="00C330D2">
        <w:rPr>
          <w:rFonts w:ascii="Traditional Arabic" w:hAnsi="Traditional Arabic" w:hint="cs"/>
          <w:rtl/>
        </w:rPr>
        <w:t>ً</w:t>
      </w:r>
      <w:r w:rsidRPr="00C85F0F">
        <w:rPr>
          <w:rFonts w:ascii="Traditional Arabic" w:hAnsi="Traditional Arabic"/>
          <w:rtl/>
        </w:rPr>
        <w:t xml:space="preserve"> على فنون العلم</w:t>
      </w:r>
      <w:r w:rsidR="00C330D2" w:rsidRPr="00C330D2">
        <w:rPr>
          <w:rFonts w:ascii="Traditional Arabic" w:hAnsi="Traditional Arabic" w:hint="cs"/>
          <w:sz w:val="32"/>
          <w:szCs w:val="32"/>
          <w:vertAlign w:val="superscript"/>
          <w:rtl/>
        </w:rPr>
        <w:t>(</w:t>
      </w:r>
      <w:r w:rsidR="00C330D2" w:rsidRPr="00C330D2">
        <w:rPr>
          <w:rStyle w:val="af1"/>
          <w:rFonts w:ascii="Traditional Arabic" w:hAnsi="Traditional Arabic"/>
          <w:sz w:val="32"/>
          <w:szCs w:val="32"/>
          <w:rtl/>
        </w:rPr>
        <w:footnoteReference w:id="35"/>
      </w:r>
      <w:r w:rsidR="00C330D2" w:rsidRPr="00C330D2">
        <w:rPr>
          <w:rFonts w:ascii="Traditional Arabic" w:hAnsi="Traditional Arabic" w:hint="cs"/>
          <w:sz w:val="32"/>
          <w:szCs w:val="32"/>
          <w:vertAlign w:val="superscript"/>
          <w:rtl/>
        </w:rPr>
        <w:t>)</w:t>
      </w:r>
      <w:r w:rsidRPr="00C330D2">
        <w:rPr>
          <w:rFonts w:ascii="Traditional Arabic" w:hAnsi="Traditional Arabic"/>
          <w:sz w:val="32"/>
          <w:szCs w:val="32"/>
          <w:vertAlign w:val="superscript"/>
          <w:rtl/>
        </w:rPr>
        <w:t xml:space="preserve"> </w:t>
      </w:r>
      <w:r w:rsidRPr="00C85F0F">
        <w:rPr>
          <w:rFonts w:ascii="Traditional Arabic" w:hAnsi="Traditional Arabic"/>
          <w:rtl/>
        </w:rPr>
        <w:t>:</w:t>
      </w:r>
    </w:p>
    <w:p w:rsidR="006F08E1" w:rsidRPr="00CB14DC" w:rsidRDefault="00B76414" w:rsidP="00CB14DC">
      <w:pPr>
        <w:pStyle w:val="61"/>
      </w:pPr>
      <w:r w:rsidRPr="00C85F0F">
        <w:rPr>
          <w:rtl/>
        </w:rPr>
        <w:t>(</w:t>
      </w:r>
      <w:r w:rsidR="006F08E1" w:rsidRPr="00C85F0F">
        <w:rPr>
          <w:rtl/>
        </w:rPr>
        <w:t>أ</w:t>
      </w:r>
      <w:r w:rsidRPr="00C85F0F">
        <w:rPr>
          <w:rtl/>
        </w:rPr>
        <w:t>)</w:t>
      </w:r>
      <w:r w:rsidR="006F08E1" w:rsidRPr="00C85F0F">
        <w:rPr>
          <w:rtl/>
        </w:rPr>
        <w:t xml:space="preserve"> العقيدة :</w:t>
      </w:r>
    </w:p>
    <w:p w:rsidR="006F08E1" w:rsidRPr="00CB14DC" w:rsidRDefault="006F08E1" w:rsidP="00CB14DC">
      <w:pPr>
        <w:numPr>
          <w:ilvl w:val="0"/>
          <w:numId w:val="33"/>
        </w:numPr>
        <w:spacing w:line="640" w:lineRule="exact"/>
        <w:ind w:left="857" w:hanging="403"/>
        <w:jc w:val="lowKashida"/>
        <w:rPr>
          <w:rFonts w:ascii="Traditional Arabic" w:hAnsi="Traditional Arabic"/>
        </w:rPr>
      </w:pPr>
      <w:r w:rsidRPr="00C85F0F">
        <w:rPr>
          <w:rFonts w:ascii="Traditional Arabic" w:hAnsi="Traditional Arabic"/>
          <w:rtl/>
        </w:rPr>
        <w:t>شرح الحموية</w:t>
      </w:r>
      <w:r w:rsidR="00B76414" w:rsidRPr="00C85F0F">
        <w:rPr>
          <w:rFonts w:ascii="Traditional Arabic" w:hAnsi="Traditional Arabic"/>
          <w:rtl/>
        </w:rPr>
        <w:t>.</w:t>
      </w:r>
    </w:p>
    <w:p w:rsidR="006F08E1" w:rsidRPr="00C85F0F" w:rsidRDefault="006F08E1" w:rsidP="00597C20">
      <w:pPr>
        <w:numPr>
          <w:ilvl w:val="0"/>
          <w:numId w:val="33"/>
        </w:numPr>
        <w:spacing w:line="640" w:lineRule="exact"/>
        <w:ind w:left="857" w:hanging="403"/>
        <w:jc w:val="lowKashida"/>
        <w:rPr>
          <w:rFonts w:ascii="Traditional Arabic" w:hAnsi="Traditional Arabic"/>
        </w:rPr>
      </w:pPr>
      <w:r w:rsidRPr="00C85F0F">
        <w:rPr>
          <w:rFonts w:ascii="Traditional Arabic" w:hAnsi="Traditional Arabic"/>
          <w:rtl/>
        </w:rPr>
        <w:t>شرح القواعد المثلى في صفات الله وأسمائه الحسنى</w:t>
      </w:r>
      <w:r w:rsidR="00B76414" w:rsidRPr="00C85F0F">
        <w:rPr>
          <w:rFonts w:ascii="Traditional Arabic" w:hAnsi="Traditional Arabic"/>
          <w:rtl/>
        </w:rPr>
        <w:t>.</w:t>
      </w:r>
    </w:p>
    <w:p w:rsidR="006F08E1" w:rsidRPr="00C85F0F" w:rsidRDefault="006F08E1" w:rsidP="00597C20">
      <w:pPr>
        <w:numPr>
          <w:ilvl w:val="0"/>
          <w:numId w:val="33"/>
        </w:numPr>
        <w:spacing w:line="640" w:lineRule="exact"/>
        <w:ind w:left="857" w:hanging="403"/>
        <w:jc w:val="lowKashida"/>
        <w:rPr>
          <w:rFonts w:ascii="Traditional Arabic" w:hAnsi="Traditional Arabic"/>
        </w:rPr>
      </w:pPr>
      <w:r w:rsidRPr="00C85F0F">
        <w:rPr>
          <w:rFonts w:ascii="Traditional Arabic" w:hAnsi="Traditional Arabic"/>
          <w:rtl/>
        </w:rPr>
        <w:t>شرح نونية ابن القيم</w:t>
      </w:r>
      <w:r w:rsidR="00B76414" w:rsidRPr="00C85F0F">
        <w:rPr>
          <w:rFonts w:ascii="Traditional Arabic" w:hAnsi="Traditional Arabic"/>
          <w:rtl/>
        </w:rPr>
        <w:t>.</w:t>
      </w:r>
    </w:p>
    <w:p w:rsidR="006F08E1" w:rsidRPr="00C85F0F" w:rsidRDefault="006F08E1" w:rsidP="00597C20">
      <w:pPr>
        <w:numPr>
          <w:ilvl w:val="0"/>
          <w:numId w:val="33"/>
        </w:numPr>
        <w:spacing w:line="640" w:lineRule="exact"/>
        <w:ind w:left="857" w:hanging="403"/>
        <w:jc w:val="lowKashida"/>
        <w:rPr>
          <w:rFonts w:ascii="Traditional Arabic" w:hAnsi="Traditional Arabic"/>
        </w:rPr>
      </w:pPr>
      <w:r w:rsidRPr="00C85F0F">
        <w:rPr>
          <w:rFonts w:ascii="Traditional Arabic" w:hAnsi="Traditional Arabic"/>
          <w:rtl/>
        </w:rPr>
        <w:t>شرح توحيد الأنبياء والمرسلين</w:t>
      </w:r>
      <w:r w:rsidR="00B76414" w:rsidRPr="00C85F0F">
        <w:rPr>
          <w:rFonts w:ascii="Traditional Arabic" w:hAnsi="Traditional Arabic"/>
          <w:rtl/>
        </w:rPr>
        <w:t>.</w:t>
      </w:r>
    </w:p>
    <w:p w:rsidR="006F08E1" w:rsidRPr="00C85F0F" w:rsidRDefault="006F08E1" w:rsidP="00597C20">
      <w:pPr>
        <w:numPr>
          <w:ilvl w:val="0"/>
          <w:numId w:val="33"/>
        </w:numPr>
        <w:spacing w:line="640" w:lineRule="exact"/>
        <w:ind w:left="857" w:hanging="403"/>
        <w:jc w:val="lowKashida"/>
        <w:rPr>
          <w:rFonts w:ascii="Traditional Arabic" w:hAnsi="Traditional Arabic"/>
        </w:rPr>
      </w:pPr>
      <w:r w:rsidRPr="00C85F0F">
        <w:rPr>
          <w:rFonts w:ascii="Traditional Arabic" w:hAnsi="Traditional Arabic"/>
          <w:rtl/>
        </w:rPr>
        <w:t>شرح ميمية ابن القيم</w:t>
      </w:r>
      <w:r w:rsidR="00B76414" w:rsidRPr="00C85F0F">
        <w:rPr>
          <w:rFonts w:ascii="Traditional Arabic" w:hAnsi="Traditional Arabic"/>
          <w:rtl/>
        </w:rPr>
        <w:t>.</w:t>
      </w:r>
    </w:p>
    <w:p w:rsidR="006F08E1" w:rsidRPr="00C85F0F" w:rsidRDefault="006F08E1" w:rsidP="00597C20">
      <w:pPr>
        <w:numPr>
          <w:ilvl w:val="0"/>
          <w:numId w:val="33"/>
        </w:numPr>
        <w:spacing w:line="640" w:lineRule="exact"/>
        <w:ind w:left="857" w:hanging="403"/>
        <w:jc w:val="lowKashida"/>
        <w:rPr>
          <w:rFonts w:ascii="Traditional Arabic" w:hAnsi="Traditional Arabic"/>
        </w:rPr>
      </w:pPr>
      <w:r w:rsidRPr="00C85F0F">
        <w:rPr>
          <w:rFonts w:ascii="Traditional Arabic" w:hAnsi="Traditional Arabic"/>
          <w:rtl/>
        </w:rPr>
        <w:t xml:space="preserve">شرح عقيدة </w:t>
      </w:r>
      <w:r w:rsidR="00EE57EC">
        <w:rPr>
          <w:rFonts w:ascii="Traditional Arabic" w:hAnsi="Traditional Arabic" w:hint="cs"/>
          <w:rtl/>
        </w:rPr>
        <w:t xml:space="preserve">أهل </w:t>
      </w:r>
      <w:r w:rsidRPr="00C85F0F">
        <w:rPr>
          <w:rFonts w:ascii="Traditional Arabic" w:hAnsi="Traditional Arabic"/>
          <w:rtl/>
        </w:rPr>
        <w:t>السنة والجماعة للشيخ ابن عثيمين</w:t>
      </w:r>
      <w:r w:rsidR="00B76414" w:rsidRPr="00C85F0F">
        <w:rPr>
          <w:rFonts w:ascii="Traditional Arabic" w:hAnsi="Traditional Arabic"/>
          <w:rtl/>
        </w:rPr>
        <w:t>.</w:t>
      </w:r>
    </w:p>
    <w:p w:rsidR="006F08E1" w:rsidRPr="00C85F0F" w:rsidRDefault="006F08E1" w:rsidP="00597C20">
      <w:pPr>
        <w:numPr>
          <w:ilvl w:val="0"/>
          <w:numId w:val="33"/>
        </w:numPr>
        <w:spacing w:line="640" w:lineRule="exact"/>
        <w:ind w:left="857" w:hanging="403"/>
        <w:jc w:val="lowKashida"/>
        <w:rPr>
          <w:rFonts w:ascii="Traditional Arabic" w:hAnsi="Traditional Arabic"/>
        </w:rPr>
      </w:pPr>
      <w:r w:rsidRPr="00C85F0F">
        <w:rPr>
          <w:rFonts w:ascii="Traditional Arabic" w:hAnsi="Traditional Arabic"/>
          <w:rtl/>
        </w:rPr>
        <w:t>شرح اقتضاء الصراط المستقيم</w:t>
      </w:r>
      <w:r w:rsidR="00B76414" w:rsidRPr="00C85F0F">
        <w:rPr>
          <w:rFonts w:ascii="Traditional Arabic" w:hAnsi="Traditional Arabic"/>
          <w:rtl/>
        </w:rPr>
        <w:t>.</w:t>
      </w:r>
    </w:p>
    <w:p w:rsidR="006F08E1" w:rsidRPr="00CB14DC" w:rsidRDefault="006F08E1" w:rsidP="00CB14DC">
      <w:pPr>
        <w:pStyle w:val="61"/>
      </w:pPr>
      <w:r w:rsidRPr="00C85F0F">
        <w:rPr>
          <w:rtl/>
        </w:rPr>
        <w:t>(ب) علوم القرآن :</w:t>
      </w:r>
    </w:p>
    <w:p w:rsidR="006F08E1" w:rsidRPr="00C85F0F" w:rsidRDefault="006F08E1" w:rsidP="00597C20">
      <w:pPr>
        <w:numPr>
          <w:ilvl w:val="0"/>
          <w:numId w:val="34"/>
        </w:numPr>
        <w:tabs>
          <w:tab w:val="clear" w:pos="765"/>
        </w:tabs>
        <w:spacing w:line="640" w:lineRule="exact"/>
        <w:ind w:left="857" w:hanging="403"/>
        <w:jc w:val="lowKashida"/>
        <w:rPr>
          <w:rFonts w:ascii="Traditional Arabic" w:hAnsi="Traditional Arabic"/>
        </w:rPr>
      </w:pPr>
      <w:r w:rsidRPr="00C85F0F">
        <w:rPr>
          <w:rFonts w:ascii="Traditional Arabic" w:hAnsi="Traditional Arabic"/>
          <w:rtl/>
        </w:rPr>
        <w:t>شرح أصول في التفسير للشيخ ابن عثيمين</w:t>
      </w:r>
      <w:r w:rsidR="00B76414" w:rsidRPr="00C85F0F">
        <w:rPr>
          <w:rFonts w:ascii="Traditional Arabic" w:hAnsi="Traditional Arabic"/>
          <w:rtl/>
        </w:rPr>
        <w:t>.</w:t>
      </w:r>
    </w:p>
    <w:p w:rsidR="006F08E1" w:rsidRPr="00CB14DC" w:rsidRDefault="006F08E1" w:rsidP="00CB14DC">
      <w:pPr>
        <w:pStyle w:val="61"/>
      </w:pPr>
      <w:r w:rsidRPr="00C85F0F">
        <w:rPr>
          <w:rtl/>
        </w:rPr>
        <w:t>(جـ) التفسير:</w:t>
      </w:r>
    </w:p>
    <w:p w:rsidR="006F08E1" w:rsidRPr="00CB14DC" w:rsidRDefault="006F08E1" w:rsidP="00CB14DC">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الأنعام</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النور</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الفرقان</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الشعراء</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النمل</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القصص</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lastRenderedPageBreak/>
        <w:t>تفسير سورة العنكبوت</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الروم</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لقمان</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السجدة</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الأحزاب</w:t>
      </w:r>
      <w:r w:rsidR="00B76414" w:rsidRPr="00C85F0F">
        <w:rPr>
          <w:rFonts w:ascii="Traditional Arabic" w:hAnsi="Traditional Arabic"/>
          <w:rtl/>
        </w:rPr>
        <w:t>.</w:t>
      </w:r>
    </w:p>
    <w:p w:rsidR="006F08E1" w:rsidRPr="00CB14DC" w:rsidRDefault="006F08E1" w:rsidP="00CB14DC">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 xml:space="preserve">تفسير سورة سبأ </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الزمر</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غافر</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فصلت</w:t>
      </w:r>
      <w:r w:rsidR="00B76414" w:rsidRPr="00C85F0F">
        <w:rPr>
          <w:rFonts w:ascii="Traditional Arabic" w:hAnsi="Traditional Arabic"/>
          <w:rtl/>
        </w:rPr>
        <w:t>.</w:t>
      </w:r>
    </w:p>
    <w:p w:rsidR="006F08E1" w:rsidRPr="00C85F0F" w:rsidRDefault="006F08E1" w:rsidP="00597C20">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الشورى</w:t>
      </w:r>
      <w:r w:rsidR="00B76414" w:rsidRPr="00C85F0F">
        <w:rPr>
          <w:rFonts w:ascii="Traditional Arabic" w:hAnsi="Traditional Arabic"/>
          <w:rtl/>
        </w:rPr>
        <w:t>.</w:t>
      </w:r>
    </w:p>
    <w:p w:rsidR="006F08E1" w:rsidRPr="00CB14DC" w:rsidRDefault="006F08E1" w:rsidP="00CB14DC">
      <w:pPr>
        <w:numPr>
          <w:ilvl w:val="0"/>
          <w:numId w:val="35"/>
        </w:numPr>
        <w:tabs>
          <w:tab w:val="clear" w:pos="780"/>
        </w:tabs>
        <w:spacing w:line="640" w:lineRule="exact"/>
        <w:ind w:left="874"/>
        <w:jc w:val="lowKashida"/>
        <w:rPr>
          <w:rFonts w:ascii="Traditional Arabic" w:hAnsi="Traditional Arabic"/>
        </w:rPr>
      </w:pPr>
      <w:r w:rsidRPr="00C85F0F">
        <w:rPr>
          <w:rFonts w:ascii="Traditional Arabic" w:hAnsi="Traditional Arabic"/>
          <w:rtl/>
        </w:rPr>
        <w:t>تفسير سورة الزخرف</w:t>
      </w:r>
      <w:r w:rsidR="00B76414" w:rsidRPr="00C85F0F">
        <w:rPr>
          <w:rFonts w:ascii="Traditional Arabic" w:hAnsi="Traditional Arabic"/>
          <w:rtl/>
        </w:rPr>
        <w:t>.</w:t>
      </w:r>
    </w:p>
    <w:p w:rsidR="00F228A9" w:rsidRPr="00C85F0F" w:rsidRDefault="00B76414" w:rsidP="00597C20">
      <w:pPr>
        <w:pStyle w:val="61"/>
        <w:rPr>
          <w:rtl/>
        </w:rPr>
      </w:pPr>
      <w:r w:rsidRPr="00C85F0F">
        <w:rPr>
          <w:rtl/>
        </w:rPr>
        <w:t>(</w:t>
      </w:r>
      <w:r w:rsidR="006F08E1" w:rsidRPr="00C85F0F">
        <w:rPr>
          <w:rtl/>
        </w:rPr>
        <w:t>د</w:t>
      </w:r>
      <w:r w:rsidRPr="00C85F0F">
        <w:rPr>
          <w:rtl/>
        </w:rPr>
        <w:t>)</w:t>
      </w:r>
      <w:r w:rsidR="006F08E1" w:rsidRPr="00C85F0F">
        <w:rPr>
          <w:rtl/>
        </w:rPr>
        <w:t xml:space="preserve"> مصطلح الحديث :</w:t>
      </w:r>
    </w:p>
    <w:p w:rsidR="006F08E1" w:rsidRPr="00CB14DC" w:rsidRDefault="006F08E1" w:rsidP="00CB14DC">
      <w:pPr>
        <w:numPr>
          <w:ilvl w:val="0"/>
          <w:numId w:val="36"/>
        </w:numPr>
        <w:tabs>
          <w:tab w:val="clear" w:pos="780"/>
        </w:tabs>
        <w:spacing w:line="640" w:lineRule="exact"/>
        <w:ind w:left="823"/>
        <w:jc w:val="lowKashida"/>
        <w:rPr>
          <w:rFonts w:ascii="Traditional Arabic" w:hAnsi="Traditional Arabic"/>
        </w:rPr>
      </w:pPr>
      <w:r w:rsidRPr="00C85F0F">
        <w:rPr>
          <w:rFonts w:ascii="Traditional Arabic" w:hAnsi="Traditional Arabic"/>
          <w:rtl/>
        </w:rPr>
        <w:t>شرح نخبة الفكر</w:t>
      </w:r>
      <w:r w:rsidR="00B76414" w:rsidRPr="00C85F0F">
        <w:rPr>
          <w:rFonts w:ascii="Traditional Arabic" w:hAnsi="Traditional Arabic"/>
          <w:rtl/>
        </w:rPr>
        <w:t>.</w:t>
      </w:r>
    </w:p>
    <w:p w:rsidR="006F08E1" w:rsidRPr="00CB14DC" w:rsidRDefault="006F08E1" w:rsidP="00CB14DC">
      <w:pPr>
        <w:pStyle w:val="61"/>
      </w:pPr>
      <w:r w:rsidRPr="00C85F0F">
        <w:rPr>
          <w:rtl/>
        </w:rPr>
        <w:t>(هـ) الحـــــديث :</w:t>
      </w:r>
    </w:p>
    <w:p w:rsidR="006F08E1" w:rsidRPr="00C85F0F" w:rsidRDefault="006F08E1" w:rsidP="00597C20">
      <w:pPr>
        <w:numPr>
          <w:ilvl w:val="0"/>
          <w:numId w:val="37"/>
        </w:numPr>
        <w:tabs>
          <w:tab w:val="clear" w:pos="780"/>
        </w:tabs>
        <w:spacing w:line="640" w:lineRule="exact"/>
        <w:ind w:left="943" w:hanging="540"/>
        <w:jc w:val="lowKashida"/>
        <w:rPr>
          <w:rFonts w:ascii="Traditional Arabic" w:hAnsi="Traditional Arabic"/>
        </w:rPr>
      </w:pPr>
      <w:r w:rsidRPr="00C85F0F">
        <w:rPr>
          <w:rFonts w:ascii="Traditional Arabic" w:hAnsi="Traditional Arabic"/>
          <w:rtl/>
        </w:rPr>
        <w:t>الشرح المختصر للبلوغ بعد صلاة العصر</w:t>
      </w:r>
      <w:r w:rsidR="00B76414" w:rsidRPr="00C85F0F">
        <w:rPr>
          <w:rFonts w:ascii="Traditional Arabic" w:hAnsi="Traditional Arabic"/>
          <w:rtl/>
        </w:rPr>
        <w:t>.</w:t>
      </w:r>
    </w:p>
    <w:p w:rsidR="006F08E1" w:rsidRPr="00CB14DC" w:rsidRDefault="006F08E1" w:rsidP="00CB14DC">
      <w:pPr>
        <w:numPr>
          <w:ilvl w:val="0"/>
          <w:numId w:val="37"/>
        </w:numPr>
        <w:tabs>
          <w:tab w:val="clear" w:pos="780"/>
        </w:tabs>
        <w:spacing w:line="640" w:lineRule="exact"/>
        <w:ind w:left="943" w:hanging="540"/>
        <w:jc w:val="lowKashida"/>
        <w:rPr>
          <w:rFonts w:ascii="Traditional Arabic" w:hAnsi="Traditional Arabic"/>
        </w:rPr>
      </w:pPr>
      <w:r w:rsidRPr="00C85F0F">
        <w:rPr>
          <w:rFonts w:ascii="Traditional Arabic" w:hAnsi="Traditional Arabic"/>
          <w:rtl/>
        </w:rPr>
        <w:t>شرح عمدة الأحكام</w:t>
      </w:r>
      <w:r w:rsidR="00B76414" w:rsidRPr="00C85F0F">
        <w:rPr>
          <w:rFonts w:ascii="Traditional Arabic" w:hAnsi="Traditional Arabic"/>
          <w:rtl/>
        </w:rPr>
        <w:t>.</w:t>
      </w:r>
    </w:p>
    <w:p w:rsidR="006F08E1" w:rsidRPr="00CB14DC" w:rsidRDefault="006F08E1" w:rsidP="00CB14DC">
      <w:pPr>
        <w:numPr>
          <w:ilvl w:val="0"/>
          <w:numId w:val="37"/>
        </w:numPr>
        <w:tabs>
          <w:tab w:val="clear" w:pos="780"/>
        </w:tabs>
        <w:spacing w:line="640" w:lineRule="exact"/>
        <w:ind w:left="943" w:hanging="540"/>
        <w:jc w:val="lowKashida"/>
        <w:rPr>
          <w:rFonts w:ascii="Traditional Arabic" w:hAnsi="Traditional Arabic"/>
          <w:rtl/>
        </w:rPr>
      </w:pPr>
      <w:r w:rsidRPr="00C85F0F">
        <w:rPr>
          <w:rFonts w:ascii="Traditional Arabic" w:hAnsi="Traditional Arabic"/>
          <w:rtl/>
        </w:rPr>
        <w:t>شرح مشكاة المصابيح</w:t>
      </w:r>
      <w:r w:rsidR="00B76414" w:rsidRPr="00C85F0F">
        <w:rPr>
          <w:rFonts w:ascii="Traditional Arabic" w:hAnsi="Traditional Arabic"/>
          <w:rtl/>
        </w:rPr>
        <w:t>.</w:t>
      </w:r>
    </w:p>
    <w:p w:rsidR="006F08E1" w:rsidRPr="00CB14DC" w:rsidRDefault="00B76414" w:rsidP="00CB14DC">
      <w:pPr>
        <w:pStyle w:val="61"/>
        <w:rPr>
          <w:rtl/>
        </w:rPr>
      </w:pPr>
      <w:r w:rsidRPr="00C85F0F">
        <w:rPr>
          <w:rtl/>
        </w:rPr>
        <w:t>(</w:t>
      </w:r>
      <w:r w:rsidR="006F08E1" w:rsidRPr="00C85F0F">
        <w:rPr>
          <w:rtl/>
        </w:rPr>
        <w:t>و</w:t>
      </w:r>
      <w:r w:rsidRPr="00C85F0F">
        <w:rPr>
          <w:rtl/>
        </w:rPr>
        <w:t>)</w:t>
      </w:r>
      <w:r w:rsidR="006F08E1" w:rsidRPr="00C85F0F">
        <w:rPr>
          <w:rtl/>
        </w:rPr>
        <w:t xml:space="preserve"> أصول الفقه وقواعده :</w:t>
      </w:r>
    </w:p>
    <w:p w:rsidR="006F08E1" w:rsidRPr="00C85F0F" w:rsidRDefault="006F08E1" w:rsidP="00597C20">
      <w:pPr>
        <w:numPr>
          <w:ilvl w:val="0"/>
          <w:numId w:val="38"/>
        </w:numPr>
        <w:tabs>
          <w:tab w:val="clear" w:pos="780"/>
        </w:tabs>
        <w:spacing w:line="640" w:lineRule="exact"/>
        <w:ind w:left="943" w:hanging="540"/>
        <w:jc w:val="lowKashida"/>
        <w:rPr>
          <w:rFonts w:ascii="Traditional Arabic" w:hAnsi="Traditional Arabic"/>
        </w:rPr>
      </w:pPr>
      <w:r w:rsidRPr="00C85F0F">
        <w:rPr>
          <w:rFonts w:ascii="Traditional Arabic" w:hAnsi="Traditional Arabic"/>
          <w:rtl/>
        </w:rPr>
        <w:t>شرح مختصر التحرير</w:t>
      </w:r>
      <w:r w:rsidR="00B76414" w:rsidRPr="00C85F0F">
        <w:rPr>
          <w:rFonts w:ascii="Traditional Arabic" w:hAnsi="Traditional Arabic"/>
          <w:rtl/>
        </w:rPr>
        <w:t>.</w:t>
      </w:r>
    </w:p>
    <w:p w:rsidR="006F08E1" w:rsidRPr="00CB14DC" w:rsidRDefault="006F08E1" w:rsidP="00597C20">
      <w:pPr>
        <w:numPr>
          <w:ilvl w:val="0"/>
          <w:numId w:val="38"/>
        </w:numPr>
        <w:tabs>
          <w:tab w:val="clear" w:pos="780"/>
        </w:tabs>
        <w:spacing w:line="640" w:lineRule="exact"/>
        <w:ind w:left="943" w:hanging="540"/>
        <w:jc w:val="lowKashida"/>
        <w:rPr>
          <w:rFonts w:ascii="Traditional Arabic" w:hAnsi="Traditional Arabic"/>
        </w:rPr>
      </w:pPr>
      <w:r w:rsidRPr="00CB14DC">
        <w:rPr>
          <w:rFonts w:ascii="Traditional Arabic" w:hAnsi="Traditional Arabic"/>
          <w:rtl/>
        </w:rPr>
        <w:lastRenderedPageBreak/>
        <w:t>شرح قواعد ابن رجب الحنبلي</w:t>
      </w:r>
      <w:r w:rsidR="00CB14DC" w:rsidRPr="00CB14DC">
        <w:rPr>
          <w:rFonts w:ascii="Traditional Arabic" w:hAnsi="Traditional Arabic" w:hint="cs"/>
          <w:vertAlign w:val="superscript"/>
          <w:rtl/>
        </w:rPr>
        <w:t>(</w:t>
      </w:r>
      <w:r w:rsidR="00CB14DC" w:rsidRPr="00CB14DC">
        <w:rPr>
          <w:rStyle w:val="af1"/>
          <w:rFonts w:ascii="Traditional Arabic" w:hAnsi="Traditional Arabic"/>
          <w:rtl/>
        </w:rPr>
        <w:footnoteReference w:id="36"/>
      </w:r>
      <w:r w:rsidR="00CB14DC" w:rsidRPr="00CB14DC">
        <w:rPr>
          <w:rFonts w:ascii="Traditional Arabic" w:hAnsi="Traditional Arabic" w:hint="cs"/>
          <w:vertAlign w:val="superscript"/>
          <w:rtl/>
        </w:rPr>
        <w:t>)</w:t>
      </w:r>
      <w:r w:rsidR="00CB14DC" w:rsidRPr="00CB14DC">
        <w:rPr>
          <w:rFonts w:ascii="Traditional Arabic" w:hAnsi="Traditional Arabic" w:hint="cs"/>
          <w:rtl/>
        </w:rPr>
        <w:t xml:space="preserve">. </w:t>
      </w:r>
    </w:p>
    <w:p w:rsidR="006F08E1" w:rsidRPr="00C85F0F" w:rsidRDefault="006F08E1" w:rsidP="00597C20">
      <w:pPr>
        <w:numPr>
          <w:ilvl w:val="0"/>
          <w:numId w:val="38"/>
        </w:numPr>
        <w:tabs>
          <w:tab w:val="clear" w:pos="780"/>
        </w:tabs>
        <w:spacing w:line="640" w:lineRule="exact"/>
        <w:ind w:left="943" w:hanging="540"/>
        <w:jc w:val="lowKashida"/>
        <w:rPr>
          <w:rFonts w:ascii="Traditional Arabic" w:hAnsi="Traditional Arabic"/>
        </w:rPr>
      </w:pPr>
      <w:r w:rsidRPr="00CB14DC">
        <w:rPr>
          <w:rFonts w:ascii="Traditional Arabic" w:hAnsi="Traditional Arabic"/>
          <w:rtl/>
        </w:rPr>
        <w:t>شرح القواعد النورانية</w:t>
      </w:r>
      <w:r w:rsidR="00B76414" w:rsidRPr="00CB14DC">
        <w:rPr>
          <w:rFonts w:ascii="Traditional Arabic" w:hAnsi="Traditional Arabic"/>
          <w:rtl/>
        </w:rPr>
        <w:t>.</w:t>
      </w:r>
    </w:p>
    <w:p w:rsidR="006F08E1" w:rsidRPr="00C85F0F" w:rsidRDefault="006F08E1" w:rsidP="00597C20">
      <w:pPr>
        <w:numPr>
          <w:ilvl w:val="0"/>
          <w:numId w:val="38"/>
        </w:numPr>
        <w:tabs>
          <w:tab w:val="clear" w:pos="780"/>
        </w:tabs>
        <w:spacing w:line="640" w:lineRule="exact"/>
        <w:ind w:left="943" w:hanging="540"/>
        <w:jc w:val="lowKashida"/>
        <w:rPr>
          <w:rFonts w:ascii="Traditional Arabic" w:hAnsi="Traditional Arabic"/>
        </w:rPr>
      </w:pPr>
      <w:r w:rsidRPr="00C85F0F">
        <w:rPr>
          <w:rFonts w:ascii="Traditional Arabic" w:hAnsi="Traditional Arabic"/>
          <w:rtl/>
        </w:rPr>
        <w:t>شرح قواعد الأصول ومعاقد الفصول</w:t>
      </w:r>
      <w:r w:rsidR="00B76414" w:rsidRPr="00C85F0F">
        <w:rPr>
          <w:rFonts w:ascii="Traditional Arabic" w:hAnsi="Traditional Arabic"/>
          <w:rtl/>
        </w:rPr>
        <w:t>.</w:t>
      </w:r>
    </w:p>
    <w:p w:rsidR="006F08E1" w:rsidRPr="00C85F0F" w:rsidRDefault="006F08E1" w:rsidP="00597C20">
      <w:pPr>
        <w:numPr>
          <w:ilvl w:val="0"/>
          <w:numId w:val="38"/>
        </w:numPr>
        <w:tabs>
          <w:tab w:val="clear" w:pos="780"/>
        </w:tabs>
        <w:spacing w:line="640" w:lineRule="exact"/>
        <w:ind w:left="943" w:hanging="540"/>
        <w:jc w:val="lowKashida"/>
        <w:rPr>
          <w:rFonts w:ascii="Traditional Arabic" w:hAnsi="Traditional Arabic"/>
        </w:rPr>
      </w:pPr>
      <w:r w:rsidRPr="00C85F0F">
        <w:rPr>
          <w:rFonts w:ascii="Traditional Arabic" w:hAnsi="Traditional Arabic"/>
          <w:rtl/>
        </w:rPr>
        <w:t>شرح التعبيرات الواضحات على شرح الورقات</w:t>
      </w:r>
      <w:r w:rsidR="00B76414" w:rsidRPr="00C85F0F">
        <w:rPr>
          <w:rFonts w:ascii="Traditional Arabic" w:hAnsi="Traditional Arabic"/>
          <w:rtl/>
        </w:rPr>
        <w:t>.</w:t>
      </w:r>
    </w:p>
    <w:p w:rsidR="006F08E1" w:rsidRPr="00CB14DC" w:rsidRDefault="00B76414" w:rsidP="00CB14DC">
      <w:pPr>
        <w:pStyle w:val="61"/>
        <w:rPr>
          <w:rtl/>
        </w:rPr>
      </w:pPr>
      <w:r w:rsidRPr="00C85F0F">
        <w:rPr>
          <w:rtl/>
        </w:rPr>
        <w:t>(</w:t>
      </w:r>
      <w:r w:rsidR="006F08E1" w:rsidRPr="00C85F0F">
        <w:rPr>
          <w:rtl/>
        </w:rPr>
        <w:t>ز</w:t>
      </w:r>
      <w:r w:rsidRPr="00C85F0F">
        <w:rPr>
          <w:rtl/>
        </w:rPr>
        <w:t>)</w:t>
      </w:r>
      <w:r w:rsidR="006F08E1" w:rsidRPr="00C85F0F">
        <w:rPr>
          <w:rtl/>
        </w:rPr>
        <w:t xml:space="preserve"> الفقـه :</w:t>
      </w:r>
    </w:p>
    <w:p w:rsidR="006F08E1" w:rsidRPr="00CB14DC" w:rsidRDefault="006F08E1" w:rsidP="00CB14DC">
      <w:pPr>
        <w:numPr>
          <w:ilvl w:val="0"/>
          <w:numId w:val="39"/>
        </w:numPr>
        <w:tabs>
          <w:tab w:val="clear" w:pos="780"/>
        </w:tabs>
        <w:spacing w:line="640" w:lineRule="exact"/>
        <w:ind w:left="943" w:hanging="540"/>
        <w:jc w:val="lowKashida"/>
        <w:rPr>
          <w:rFonts w:ascii="Traditional Arabic" w:hAnsi="Traditional Arabic"/>
        </w:rPr>
      </w:pPr>
      <w:r w:rsidRPr="00C85F0F">
        <w:rPr>
          <w:rFonts w:ascii="Traditional Arabic" w:hAnsi="Traditional Arabic"/>
          <w:rtl/>
        </w:rPr>
        <w:t>شرح الكافي</w:t>
      </w:r>
      <w:r w:rsidR="00B76414" w:rsidRPr="00C85F0F">
        <w:rPr>
          <w:rFonts w:ascii="Traditional Arabic" w:hAnsi="Traditional Arabic"/>
          <w:rtl/>
        </w:rPr>
        <w:t>.</w:t>
      </w:r>
    </w:p>
    <w:p w:rsidR="006F08E1" w:rsidRPr="00C85F0F" w:rsidRDefault="006F08E1" w:rsidP="00597C20">
      <w:pPr>
        <w:numPr>
          <w:ilvl w:val="0"/>
          <w:numId w:val="39"/>
        </w:numPr>
        <w:tabs>
          <w:tab w:val="clear" w:pos="780"/>
        </w:tabs>
        <w:spacing w:line="640" w:lineRule="exact"/>
        <w:ind w:left="943" w:hanging="540"/>
        <w:jc w:val="lowKashida"/>
        <w:rPr>
          <w:rFonts w:ascii="Traditional Arabic" w:hAnsi="Traditional Arabic"/>
        </w:rPr>
      </w:pPr>
      <w:r w:rsidRPr="00C85F0F">
        <w:rPr>
          <w:rFonts w:ascii="Traditional Arabic" w:hAnsi="Traditional Arabic"/>
          <w:rtl/>
        </w:rPr>
        <w:t xml:space="preserve">دروس الجامعة في الفقه للشيخ ابن عثيمين </w:t>
      </w:r>
      <w:r w:rsidR="009A0575" w:rsidRPr="005D5694">
        <w:rPr>
          <w:rFonts w:ascii="Traditional Arabic" w:hAnsi="Traditional Arabic" w:cs="CTraditional Arabic" w:hint="cs"/>
          <w:rtl/>
        </w:rPr>
        <w:t>/</w:t>
      </w:r>
      <w:r w:rsidRPr="00C85F0F">
        <w:rPr>
          <w:rFonts w:ascii="Traditional Arabic" w:hAnsi="Traditional Arabic"/>
          <w:rtl/>
        </w:rPr>
        <w:t>.</w:t>
      </w:r>
    </w:p>
    <w:p w:rsidR="00F228A9" w:rsidRPr="00C85F0F" w:rsidRDefault="006F08E1" w:rsidP="00597C20">
      <w:pPr>
        <w:pStyle w:val="61"/>
        <w:rPr>
          <w:rtl/>
        </w:rPr>
      </w:pPr>
      <w:r w:rsidRPr="00C85F0F">
        <w:rPr>
          <w:rtl/>
        </w:rPr>
        <w:t>(ح) اللغة العربية :</w:t>
      </w:r>
    </w:p>
    <w:p w:rsidR="006F08E1" w:rsidRPr="00CB14DC" w:rsidRDefault="006F08E1" w:rsidP="00CB14DC">
      <w:pPr>
        <w:numPr>
          <w:ilvl w:val="1"/>
          <w:numId w:val="39"/>
        </w:numPr>
        <w:spacing w:line="640" w:lineRule="exact"/>
        <w:ind w:left="943" w:hanging="540"/>
        <w:jc w:val="lowKashida"/>
        <w:rPr>
          <w:rFonts w:ascii="Traditional Arabic" w:hAnsi="Traditional Arabic"/>
        </w:rPr>
      </w:pPr>
      <w:r w:rsidRPr="00C85F0F">
        <w:rPr>
          <w:rFonts w:ascii="Traditional Arabic" w:hAnsi="Traditional Arabic"/>
          <w:rtl/>
        </w:rPr>
        <w:t>شرح ألفية ابن مالك</w:t>
      </w:r>
      <w:r w:rsidR="00B76414" w:rsidRPr="00C85F0F">
        <w:rPr>
          <w:rFonts w:ascii="Traditional Arabic" w:hAnsi="Traditional Arabic"/>
          <w:rtl/>
        </w:rPr>
        <w:t>.</w:t>
      </w:r>
    </w:p>
    <w:p w:rsidR="006F08E1" w:rsidRPr="00C85F0F" w:rsidRDefault="006F08E1" w:rsidP="00597C20">
      <w:pPr>
        <w:numPr>
          <w:ilvl w:val="1"/>
          <w:numId w:val="39"/>
        </w:numPr>
        <w:spacing w:line="640" w:lineRule="exact"/>
        <w:ind w:left="943" w:hanging="540"/>
        <w:jc w:val="lowKashida"/>
        <w:rPr>
          <w:rFonts w:ascii="Traditional Arabic" w:hAnsi="Traditional Arabic"/>
        </w:rPr>
      </w:pPr>
      <w:r w:rsidRPr="00C85F0F">
        <w:rPr>
          <w:rFonts w:ascii="Traditional Arabic" w:hAnsi="Traditional Arabic"/>
          <w:rtl/>
        </w:rPr>
        <w:t>شرح الدرَّة اليتيمة</w:t>
      </w:r>
      <w:r w:rsidR="00B76414" w:rsidRPr="00C85F0F">
        <w:rPr>
          <w:rFonts w:ascii="Traditional Arabic" w:hAnsi="Traditional Arabic"/>
          <w:rtl/>
        </w:rPr>
        <w:t>.</w:t>
      </w:r>
    </w:p>
    <w:p w:rsidR="006F08E1" w:rsidRPr="00C85F0F" w:rsidRDefault="006F08E1" w:rsidP="00597C20">
      <w:pPr>
        <w:numPr>
          <w:ilvl w:val="1"/>
          <w:numId w:val="39"/>
        </w:numPr>
        <w:spacing w:line="640" w:lineRule="exact"/>
        <w:ind w:left="943" w:hanging="540"/>
        <w:jc w:val="lowKashida"/>
        <w:rPr>
          <w:rFonts w:ascii="Traditional Arabic" w:hAnsi="Traditional Arabic"/>
        </w:rPr>
      </w:pPr>
      <w:r w:rsidRPr="00C85F0F">
        <w:rPr>
          <w:rFonts w:ascii="Traditional Arabic" w:hAnsi="Traditional Arabic"/>
          <w:rtl/>
        </w:rPr>
        <w:t>شرح البلاغة</w:t>
      </w:r>
      <w:r w:rsidR="00B76414" w:rsidRPr="00C85F0F">
        <w:rPr>
          <w:rFonts w:ascii="Traditional Arabic" w:hAnsi="Traditional Arabic"/>
          <w:rtl/>
        </w:rPr>
        <w:t>.</w:t>
      </w:r>
    </w:p>
    <w:p w:rsidR="006F08E1" w:rsidRPr="00C85F0F" w:rsidRDefault="006F08E1" w:rsidP="00597C20">
      <w:pPr>
        <w:numPr>
          <w:ilvl w:val="1"/>
          <w:numId w:val="39"/>
        </w:numPr>
        <w:spacing w:line="640" w:lineRule="exact"/>
        <w:ind w:left="943" w:hanging="540"/>
        <w:jc w:val="lowKashida"/>
        <w:rPr>
          <w:rFonts w:ascii="Traditional Arabic" w:hAnsi="Traditional Arabic"/>
        </w:rPr>
      </w:pPr>
      <w:r w:rsidRPr="00C85F0F">
        <w:rPr>
          <w:rFonts w:ascii="Traditional Arabic" w:hAnsi="Traditional Arabic"/>
          <w:rtl/>
        </w:rPr>
        <w:t>شرح نظم الجمل</w:t>
      </w:r>
      <w:r w:rsidR="00B76414" w:rsidRPr="00C85F0F">
        <w:rPr>
          <w:rFonts w:ascii="Traditional Arabic" w:hAnsi="Traditional Arabic"/>
          <w:rtl/>
        </w:rPr>
        <w:t>.</w:t>
      </w:r>
    </w:p>
    <w:p w:rsidR="00F228A9" w:rsidRPr="00C85F0F" w:rsidRDefault="006F08E1" w:rsidP="00597C20">
      <w:pPr>
        <w:pStyle w:val="61"/>
        <w:rPr>
          <w:rtl/>
        </w:rPr>
      </w:pPr>
      <w:r w:rsidRPr="00C85F0F">
        <w:rPr>
          <w:rtl/>
        </w:rPr>
        <w:t>(ط) الآداب والفوائد العامة و</w:t>
      </w:r>
      <w:r w:rsidR="006F5F1F">
        <w:rPr>
          <w:rFonts w:hint="cs"/>
          <w:rtl/>
        </w:rPr>
        <w:t>الفتاوى و</w:t>
      </w:r>
      <w:r w:rsidRPr="00C85F0F">
        <w:rPr>
          <w:rtl/>
        </w:rPr>
        <w:t>مواضيع أخرى :</w:t>
      </w:r>
    </w:p>
    <w:p w:rsidR="006F08E1" w:rsidRPr="00C85F0F" w:rsidRDefault="006F08E1" w:rsidP="00597C20">
      <w:pPr>
        <w:numPr>
          <w:ilvl w:val="0"/>
          <w:numId w:val="40"/>
        </w:numPr>
        <w:tabs>
          <w:tab w:val="clear" w:pos="765"/>
          <w:tab w:val="num" w:pos="943"/>
        </w:tabs>
        <w:spacing w:line="640" w:lineRule="exact"/>
        <w:jc w:val="lowKashida"/>
        <w:rPr>
          <w:rFonts w:ascii="Traditional Arabic" w:hAnsi="Traditional Arabic"/>
        </w:rPr>
      </w:pPr>
      <w:r w:rsidRPr="00C85F0F">
        <w:rPr>
          <w:rFonts w:ascii="Traditional Arabic" w:hAnsi="Traditional Arabic"/>
          <w:rtl/>
        </w:rPr>
        <w:t>شرح حلية طالب العلم</w:t>
      </w:r>
      <w:r w:rsidR="00B76414" w:rsidRPr="00C85F0F">
        <w:rPr>
          <w:rFonts w:ascii="Traditional Arabic" w:hAnsi="Traditional Arabic"/>
          <w:rtl/>
        </w:rPr>
        <w:t>.</w:t>
      </w:r>
    </w:p>
    <w:p w:rsidR="006F08E1" w:rsidRPr="00CB14DC" w:rsidRDefault="006F08E1" w:rsidP="00CB14DC">
      <w:pPr>
        <w:numPr>
          <w:ilvl w:val="0"/>
          <w:numId w:val="40"/>
        </w:numPr>
        <w:tabs>
          <w:tab w:val="clear" w:pos="765"/>
          <w:tab w:val="num" w:pos="943"/>
        </w:tabs>
        <w:spacing w:line="640" w:lineRule="exact"/>
        <w:jc w:val="lowKashida"/>
        <w:rPr>
          <w:rFonts w:ascii="Traditional Arabic" w:hAnsi="Traditional Arabic"/>
        </w:rPr>
      </w:pPr>
      <w:r w:rsidRPr="00C85F0F">
        <w:rPr>
          <w:rFonts w:ascii="Traditional Arabic" w:hAnsi="Traditional Arabic"/>
          <w:rtl/>
        </w:rPr>
        <w:t>شرح مقدِّمة المجموع</w:t>
      </w:r>
      <w:r w:rsidR="00B76414" w:rsidRPr="00C85F0F">
        <w:rPr>
          <w:rFonts w:ascii="Traditional Arabic" w:hAnsi="Traditional Arabic"/>
          <w:rtl/>
        </w:rPr>
        <w:t>.</w:t>
      </w:r>
    </w:p>
    <w:p w:rsidR="006F08E1" w:rsidRPr="00C85F0F" w:rsidRDefault="006F08E1" w:rsidP="00A77F0D">
      <w:pPr>
        <w:numPr>
          <w:ilvl w:val="0"/>
          <w:numId w:val="40"/>
        </w:numPr>
        <w:tabs>
          <w:tab w:val="clear" w:pos="765"/>
          <w:tab w:val="num" w:pos="943"/>
        </w:tabs>
        <w:spacing w:line="640" w:lineRule="exact"/>
        <w:jc w:val="lowKashida"/>
        <w:rPr>
          <w:rFonts w:ascii="Traditional Arabic" w:hAnsi="Traditional Arabic"/>
        </w:rPr>
      </w:pPr>
      <w:r w:rsidRPr="00C85F0F">
        <w:rPr>
          <w:rFonts w:ascii="Traditional Arabic" w:hAnsi="Traditional Arabic"/>
          <w:rtl/>
        </w:rPr>
        <w:t>التعليق على كتاب "رفع الأساطين" للشوكاني</w:t>
      </w:r>
      <w:r w:rsidR="009A0575" w:rsidRPr="005D5694">
        <w:rPr>
          <w:rFonts w:ascii="Traditional Arabic" w:hAnsi="Traditional Arabic" w:cs="CTraditional Arabic" w:hint="cs"/>
          <w:rtl/>
        </w:rPr>
        <w:t>/</w:t>
      </w:r>
      <w:r w:rsidRPr="00C85F0F">
        <w:rPr>
          <w:rFonts w:ascii="Traditional Arabic" w:hAnsi="Traditional Arabic"/>
          <w:rtl/>
        </w:rPr>
        <w:t>.</w:t>
      </w:r>
    </w:p>
    <w:p w:rsidR="006F08E1" w:rsidRDefault="006F08E1" w:rsidP="00597C20">
      <w:pPr>
        <w:numPr>
          <w:ilvl w:val="0"/>
          <w:numId w:val="40"/>
        </w:numPr>
        <w:tabs>
          <w:tab w:val="clear" w:pos="765"/>
          <w:tab w:val="num" w:pos="943"/>
        </w:tabs>
        <w:spacing w:line="640" w:lineRule="exact"/>
        <w:jc w:val="lowKashida"/>
        <w:rPr>
          <w:rFonts w:ascii="Traditional Arabic" w:hAnsi="Traditional Arabic"/>
        </w:rPr>
      </w:pPr>
      <w:r w:rsidRPr="00C85F0F">
        <w:rPr>
          <w:rFonts w:ascii="Traditional Arabic" w:hAnsi="Traditional Arabic"/>
          <w:rtl/>
        </w:rPr>
        <w:lastRenderedPageBreak/>
        <w:t>لقاءات الباب المفتوح</w:t>
      </w:r>
      <w:r w:rsidR="00B76414" w:rsidRPr="00C85F0F">
        <w:rPr>
          <w:rFonts w:ascii="Traditional Arabic" w:hAnsi="Traditional Arabic"/>
          <w:rtl/>
        </w:rPr>
        <w:t>.</w:t>
      </w:r>
    </w:p>
    <w:p w:rsidR="006F5F1F" w:rsidRPr="00C85F0F" w:rsidRDefault="006F5F1F" w:rsidP="00597C20">
      <w:pPr>
        <w:numPr>
          <w:ilvl w:val="0"/>
          <w:numId w:val="40"/>
        </w:numPr>
        <w:tabs>
          <w:tab w:val="clear" w:pos="765"/>
          <w:tab w:val="num" w:pos="943"/>
        </w:tabs>
        <w:spacing w:line="640" w:lineRule="exact"/>
        <w:jc w:val="lowKashida"/>
        <w:rPr>
          <w:rFonts w:ascii="Traditional Arabic" w:hAnsi="Traditional Arabic"/>
        </w:rPr>
      </w:pPr>
      <w:r>
        <w:rPr>
          <w:rFonts w:ascii="Traditional Arabic" w:hAnsi="Traditional Arabic" w:hint="cs"/>
          <w:rtl/>
        </w:rPr>
        <w:t xml:space="preserve">فتاوى نور على الدرب </w:t>
      </w:r>
      <w:r>
        <w:rPr>
          <w:rFonts w:ascii="Traditional Arabic" w:hAnsi="Traditional Arabic"/>
        </w:rPr>
        <w:t>cd</w:t>
      </w:r>
      <w:r w:rsidRPr="006F5F1F">
        <w:rPr>
          <w:rFonts w:ascii="Traditional Arabic" w:hAnsi="Traditional Arabic" w:hint="cs"/>
          <w:vertAlign w:val="superscript"/>
          <w:rtl/>
        </w:rPr>
        <w:t>(</w:t>
      </w:r>
      <w:r w:rsidRPr="006F5F1F">
        <w:rPr>
          <w:rStyle w:val="af1"/>
          <w:rFonts w:ascii="Traditional Arabic" w:hAnsi="Traditional Arabic"/>
          <w:rtl/>
        </w:rPr>
        <w:footnoteReference w:id="37"/>
      </w:r>
      <w:r w:rsidRPr="006F5F1F">
        <w:rPr>
          <w:rFonts w:ascii="Traditional Arabic" w:hAnsi="Traditional Arabic" w:hint="cs"/>
          <w:vertAlign w:val="superscript"/>
          <w:rtl/>
        </w:rPr>
        <w:t>)</w:t>
      </w:r>
      <w:r>
        <w:rPr>
          <w:rFonts w:ascii="Traditional Arabic" w:hAnsi="Traditional Arabic" w:hint="cs"/>
          <w:rtl/>
        </w:rPr>
        <w:t>.</w:t>
      </w:r>
    </w:p>
    <w:p w:rsidR="006F08E1" w:rsidRPr="00C85F0F" w:rsidRDefault="006F08E1" w:rsidP="00597C20">
      <w:pPr>
        <w:numPr>
          <w:ilvl w:val="0"/>
          <w:numId w:val="40"/>
        </w:numPr>
        <w:tabs>
          <w:tab w:val="clear" w:pos="765"/>
          <w:tab w:val="num" w:pos="943"/>
        </w:tabs>
        <w:spacing w:line="640" w:lineRule="exact"/>
        <w:jc w:val="lowKashida"/>
        <w:rPr>
          <w:rFonts w:ascii="Traditional Arabic" w:hAnsi="Traditional Arabic"/>
          <w:rtl/>
        </w:rPr>
      </w:pPr>
      <w:r w:rsidRPr="00C85F0F">
        <w:rPr>
          <w:rFonts w:ascii="Traditional Arabic" w:hAnsi="Traditional Arabic"/>
          <w:rtl/>
        </w:rPr>
        <w:t>التعليق على كتاب "نور اليقين في سيرة سيد المرسلين"</w:t>
      </w:r>
      <w:r w:rsidR="00B76414" w:rsidRPr="00C85F0F">
        <w:rPr>
          <w:rFonts w:ascii="Traditional Arabic" w:hAnsi="Traditional Arabic"/>
          <w:rtl/>
        </w:rPr>
        <w:t>.</w:t>
      </w:r>
    </w:p>
    <w:p w:rsidR="006F08E1"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 xml:space="preserve">وتجدر الإشارة في هذا السياق إلى أن الشيخ ابن عثيمين </w:t>
      </w:r>
      <w:r w:rsidR="009A0575" w:rsidRPr="005D5694">
        <w:rPr>
          <w:rFonts w:ascii="Traditional Arabic" w:hAnsi="Traditional Arabic" w:cs="CTraditional Arabic" w:hint="cs"/>
          <w:rtl/>
        </w:rPr>
        <w:t>/</w:t>
      </w:r>
      <w:r w:rsidRPr="00C85F0F">
        <w:rPr>
          <w:rFonts w:ascii="Traditional Arabic" w:hAnsi="Traditional Arabic"/>
          <w:rtl/>
        </w:rPr>
        <w:t xml:space="preserve"> له الكثير من المحاضرات واللقاءات والبرامج التي سُجِّلت له</w:t>
      </w:r>
      <w:r w:rsidR="00B76414" w:rsidRPr="00C85F0F">
        <w:rPr>
          <w:rFonts w:ascii="Traditional Arabic" w:hAnsi="Traditional Arabic"/>
          <w:rtl/>
        </w:rPr>
        <w:t>،</w:t>
      </w:r>
      <w:r w:rsidRPr="00C85F0F">
        <w:rPr>
          <w:rFonts w:ascii="Traditional Arabic" w:hAnsi="Traditional Arabic"/>
          <w:rtl/>
        </w:rPr>
        <w:t xml:space="preserve"> كما صدر له آلاف الساعات الصوتيــة التي سَجَّل</w:t>
      </w:r>
      <w:r w:rsidR="006F5F1F">
        <w:rPr>
          <w:rFonts w:ascii="Traditional Arabic" w:hAnsi="Traditional Arabic"/>
          <w:rtl/>
        </w:rPr>
        <w:t>ت محاضراته وخطبه ولقاءاته وبرام</w:t>
      </w:r>
      <w:r w:rsidR="006F5F1F">
        <w:rPr>
          <w:rFonts w:ascii="Traditional Arabic" w:hAnsi="Traditional Arabic" w:hint="cs"/>
          <w:rtl/>
        </w:rPr>
        <w:t>جه</w:t>
      </w:r>
      <w:r w:rsidRPr="00C85F0F">
        <w:rPr>
          <w:rFonts w:ascii="Traditional Arabic" w:hAnsi="Traditional Arabic"/>
          <w:rtl/>
        </w:rPr>
        <w:t xml:space="preserve"> الإذاعية ودروسه العلمية</w:t>
      </w:r>
      <w:r w:rsidR="00B76414" w:rsidRPr="00C85F0F">
        <w:rPr>
          <w:rFonts w:ascii="Traditional Arabic" w:hAnsi="Traditional Arabic"/>
          <w:rtl/>
        </w:rPr>
        <w:t>،</w:t>
      </w:r>
      <w:r w:rsidRPr="00C85F0F">
        <w:rPr>
          <w:rFonts w:ascii="Traditional Arabic" w:hAnsi="Traditional Arabic"/>
          <w:rtl/>
        </w:rPr>
        <w:t xml:space="preserve"> حتى بلغ ما للشيخ من المواد الصوتية حوالي (6000) ساعة صوتية في علوم وفنون مختلفة</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38"/>
      </w:r>
      <w:r w:rsidRPr="00C85F0F">
        <w:rPr>
          <w:rFonts w:ascii="Traditional Arabic" w:hAnsi="Traditional Arabic"/>
          <w:szCs w:val="32"/>
          <w:vertAlign w:val="superscript"/>
          <w:rtl/>
        </w:rPr>
        <w:t>)</w:t>
      </w:r>
      <w:r w:rsidR="00B76414" w:rsidRPr="00C85F0F">
        <w:rPr>
          <w:rFonts w:ascii="Traditional Arabic" w:hAnsi="Traditional Arabic"/>
          <w:rtl/>
        </w:rPr>
        <w:t>،</w:t>
      </w:r>
      <w:r w:rsidRPr="00C85F0F">
        <w:rPr>
          <w:rFonts w:ascii="Traditional Arabic" w:hAnsi="Traditional Arabic"/>
          <w:rtl/>
        </w:rPr>
        <w:t xml:space="preserve"> وطبقاً للتوجيهات التي قرَّرها فضيلته – </w:t>
      </w:r>
      <w:r w:rsidR="009A0575" w:rsidRPr="005D5694">
        <w:rPr>
          <w:rFonts w:ascii="Traditional Arabic" w:hAnsi="Traditional Arabic" w:cs="CTraditional Arabic" w:hint="cs"/>
          <w:rtl/>
        </w:rPr>
        <w:t>/</w:t>
      </w:r>
      <w:r w:rsidRPr="00C85F0F">
        <w:rPr>
          <w:rFonts w:ascii="Traditional Arabic" w:hAnsi="Traditional Arabic"/>
          <w:rtl/>
        </w:rPr>
        <w:t xml:space="preserve"> – في نشر تراثه العلمي</w:t>
      </w:r>
      <w:r w:rsidR="00B76414" w:rsidRPr="00C85F0F">
        <w:rPr>
          <w:rFonts w:ascii="Traditional Arabic" w:hAnsi="Traditional Arabic"/>
          <w:rtl/>
        </w:rPr>
        <w:t>،</w:t>
      </w:r>
      <w:r w:rsidRPr="00C85F0F">
        <w:rPr>
          <w:rFonts w:ascii="Traditional Arabic" w:hAnsi="Traditional Arabic"/>
          <w:rtl/>
        </w:rPr>
        <w:t xml:space="preserve"> تقوم مؤسسة الشيخ محمد بن صالح العثيمين الخيرية بواجب وشرف المسؤولية ؛ لإخراج كافة آثاره العلمية</w:t>
      </w:r>
      <w:r w:rsidR="00B76414" w:rsidRPr="00C85F0F">
        <w:rPr>
          <w:rFonts w:ascii="Traditional Arabic" w:hAnsi="Traditional Arabic"/>
          <w:rtl/>
        </w:rPr>
        <w:t>،</w:t>
      </w:r>
      <w:r w:rsidRPr="00C85F0F">
        <w:rPr>
          <w:rFonts w:ascii="Traditional Arabic" w:hAnsi="Traditional Arabic"/>
          <w:rtl/>
        </w:rPr>
        <w:t xml:space="preserve"> والعناية بها</w:t>
      </w:r>
      <w:r w:rsidR="00B76414" w:rsidRPr="00C85F0F">
        <w:rPr>
          <w:rFonts w:ascii="Traditional Arabic" w:hAnsi="Traditional Arabic"/>
          <w:rtl/>
        </w:rPr>
        <w:t>.</w:t>
      </w:r>
    </w:p>
    <w:p w:rsidR="006F08E1"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 xml:space="preserve">وبناء على توجيهاته </w:t>
      </w:r>
      <w:r w:rsidR="009A0575" w:rsidRPr="005D5694">
        <w:rPr>
          <w:rFonts w:ascii="Traditional Arabic" w:hAnsi="Traditional Arabic" w:cs="CTraditional Arabic" w:hint="cs"/>
          <w:rtl/>
        </w:rPr>
        <w:t>/</w:t>
      </w:r>
      <w:r w:rsidRPr="00C85F0F">
        <w:rPr>
          <w:rFonts w:ascii="Traditional Arabic" w:hAnsi="Traditional Arabic"/>
          <w:rtl/>
        </w:rPr>
        <w:t>، فقد أُنشئ له موقع خاص على الشبكة العالميــة "الإنترنت"</w:t>
      </w:r>
      <w:r w:rsidR="00B76414" w:rsidRPr="00C85F0F">
        <w:rPr>
          <w:rFonts w:ascii="Traditional Arabic" w:hAnsi="Traditional Arabic"/>
          <w:rtl/>
        </w:rPr>
        <w:t>،</w:t>
      </w:r>
      <w:r w:rsidRPr="00C85F0F">
        <w:rPr>
          <w:rFonts w:ascii="Traditional Arabic" w:hAnsi="Traditional Arabic"/>
          <w:rtl/>
        </w:rPr>
        <w:t xml:space="preserve"> من أجل تعميم الفائدة المرجوة</w:t>
      </w:r>
      <w:r w:rsidR="00B76414" w:rsidRPr="00C85F0F">
        <w:rPr>
          <w:rFonts w:ascii="Traditional Arabic" w:hAnsi="Traditional Arabic"/>
          <w:rtl/>
        </w:rPr>
        <w:t>،</w:t>
      </w:r>
      <w:r w:rsidRPr="00C85F0F">
        <w:rPr>
          <w:rFonts w:ascii="Traditional Arabic" w:hAnsi="Traditional Arabic"/>
          <w:rtl/>
        </w:rPr>
        <w:t xml:space="preserve"> وتقديم جميع آثاره العلمية من المؤلفـــــات والتسجيلات الصوتيــــة</w:t>
      </w:r>
      <w:r w:rsidR="00B76414" w:rsidRPr="00C85F0F">
        <w:rPr>
          <w:rFonts w:ascii="Traditional Arabic" w:hAnsi="Traditional Arabic"/>
          <w:rtl/>
        </w:rPr>
        <w:t>.</w:t>
      </w:r>
      <w:r w:rsidRPr="00C85F0F">
        <w:rPr>
          <w:rFonts w:ascii="Traditional Arabic" w:hAnsi="Traditional Arabic"/>
          <w:rtl/>
        </w:rPr>
        <w:t xml:space="preserve"> وقد افتُتِح هذا الموقع بعد وفاة الشيخ – </w:t>
      </w:r>
      <w:r w:rsidR="009A0575" w:rsidRPr="005D5694">
        <w:rPr>
          <w:rFonts w:ascii="Traditional Arabic" w:hAnsi="Traditional Arabic" w:cs="CTraditional Arabic" w:hint="cs"/>
          <w:rtl/>
        </w:rPr>
        <w:t>/</w:t>
      </w:r>
      <w:r w:rsidRPr="00C85F0F">
        <w:rPr>
          <w:rFonts w:ascii="Traditional Arabic" w:hAnsi="Traditional Arabic"/>
          <w:rtl/>
        </w:rPr>
        <w:t xml:space="preserve"> -</w:t>
      </w:r>
      <w:r w:rsidR="00B76414" w:rsidRPr="00C85F0F">
        <w:rPr>
          <w:rFonts w:ascii="Traditional Arabic" w:hAnsi="Traditional Arabic"/>
          <w:rtl/>
        </w:rPr>
        <w:t>،</w:t>
      </w:r>
      <w:r w:rsidRPr="00C85F0F">
        <w:rPr>
          <w:rFonts w:ascii="Traditional Arabic" w:hAnsi="Traditional Arabic"/>
          <w:rtl/>
        </w:rPr>
        <w:t xml:space="preserve"> كما بدأت مؤسسة الشيخ – بحمد الله جل وعلا – </w:t>
      </w:r>
      <w:r w:rsidR="00A77F0D">
        <w:rPr>
          <w:rFonts w:ascii="Traditional Arabic" w:hAnsi="Traditional Arabic" w:hint="cs"/>
          <w:rtl/>
        </w:rPr>
        <w:t>ب</w:t>
      </w:r>
      <w:r w:rsidRPr="00C85F0F">
        <w:rPr>
          <w:rFonts w:ascii="Traditional Arabic" w:hAnsi="Traditional Arabic"/>
          <w:rtl/>
        </w:rPr>
        <w:t>تدشين قناة فضائية</w:t>
      </w:r>
      <w:r w:rsidR="00B76414" w:rsidRPr="00C85F0F">
        <w:rPr>
          <w:rFonts w:ascii="Traditional Arabic" w:hAnsi="Traditional Arabic"/>
          <w:rtl/>
        </w:rPr>
        <w:t>،</w:t>
      </w:r>
      <w:r w:rsidRPr="00C85F0F">
        <w:rPr>
          <w:rFonts w:ascii="Traditional Arabic" w:hAnsi="Traditional Arabic"/>
          <w:rtl/>
        </w:rPr>
        <w:t xml:space="preserve"> تُعنى ببثِّ دروس الشيخ</w:t>
      </w:r>
      <w:r w:rsidR="00B76414" w:rsidRPr="00C85F0F">
        <w:rPr>
          <w:rFonts w:ascii="Traditional Arabic" w:hAnsi="Traditional Arabic"/>
          <w:rtl/>
        </w:rPr>
        <w:t>،</w:t>
      </w:r>
      <w:r w:rsidRPr="00C85F0F">
        <w:rPr>
          <w:rFonts w:ascii="Traditional Arabic" w:hAnsi="Traditional Arabic"/>
          <w:rtl/>
        </w:rPr>
        <w:t xml:space="preserve"> ومحاضراته</w:t>
      </w:r>
      <w:r w:rsidR="00B76414" w:rsidRPr="00C85F0F">
        <w:rPr>
          <w:rFonts w:ascii="Traditional Arabic" w:hAnsi="Traditional Arabic"/>
          <w:rtl/>
        </w:rPr>
        <w:t>،</w:t>
      </w:r>
      <w:r w:rsidRPr="00C85F0F">
        <w:rPr>
          <w:rFonts w:ascii="Traditional Arabic" w:hAnsi="Traditional Arabic"/>
          <w:rtl/>
        </w:rPr>
        <w:t xml:space="preserve"> وخطبه</w:t>
      </w:r>
      <w:r w:rsidR="00B76414" w:rsidRPr="00C85F0F">
        <w:rPr>
          <w:rFonts w:ascii="Traditional Arabic" w:hAnsi="Traditional Arabic"/>
          <w:rtl/>
        </w:rPr>
        <w:t>،</w:t>
      </w:r>
      <w:r w:rsidRPr="00C85F0F">
        <w:rPr>
          <w:rFonts w:ascii="Traditional Arabic" w:hAnsi="Traditional Arabic"/>
          <w:rtl/>
        </w:rPr>
        <w:t xml:space="preserve"> وفتاويه</w:t>
      </w:r>
      <w:r w:rsidR="00B76414" w:rsidRPr="00C85F0F">
        <w:rPr>
          <w:rFonts w:ascii="Traditional Arabic" w:hAnsi="Traditional Arabic"/>
          <w:rtl/>
        </w:rPr>
        <w:t>،</w:t>
      </w:r>
      <w:r w:rsidRPr="00C85F0F">
        <w:rPr>
          <w:rFonts w:ascii="Traditional Arabic" w:hAnsi="Traditional Arabic"/>
          <w:rtl/>
        </w:rPr>
        <w:t xml:space="preserve"> صوتياً ومرئياً ؛ لتكون – بـــإذن الله تعالى – ن</w:t>
      </w:r>
      <w:r w:rsidR="00EE57EC">
        <w:rPr>
          <w:rFonts w:ascii="Traditional Arabic" w:hAnsi="Traditional Arabic" w:hint="cs"/>
          <w:rtl/>
        </w:rPr>
        <w:t>َ</w:t>
      </w:r>
      <w:r w:rsidRPr="00C85F0F">
        <w:rPr>
          <w:rFonts w:ascii="Traditional Arabic" w:hAnsi="Traditional Arabic"/>
          <w:rtl/>
        </w:rPr>
        <w:t>ق</w:t>
      </w:r>
      <w:r w:rsidR="00EE57EC">
        <w:rPr>
          <w:rFonts w:ascii="Traditional Arabic" w:hAnsi="Traditional Arabic" w:hint="cs"/>
          <w:rtl/>
        </w:rPr>
        <w:t>ْ</w:t>
      </w:r>
      <w:r w:rsidRPr="00C85F0F">
        <w:rPr>
          <w:rFonts w:ascii="Traditional Arabic" w:hAnsi="Traditional Arabic"/>
          <w:rtl/>
        </w:rPr>
        <w:t>لة</w:t>
      </w:r>
      <w:r w:rsidR="00EE57EC">
        <w:rPr>
          <w:rFonts w:ascii="Traditional Arabic" w:hAnsi="Traditional Arabic" w:hint="cs"/>
          <w:rtl/>
        </w:rPr>
        <w:t>ً</w:t>
      </w:r>
      <w:r w:rsidRPr="00C85F0F">
        <w:rPr>
          <w:rFonts w:ascii="Traditional Arabic" w:hAnsi="Traditional Arabic"/>
          <w:rtl/>
        </w:rPr>
        <w:t xml:space="preserve"> نوعيـــة في مجال نشر العلم الشرعي</w:t>
      </w:r>
      <w:r w:rsidR="00B76414" w:rsidRPr="00C85F0F">
        <w:rPr>
          <w:rFonts w:ascii="Traditional Arabic" w:hAnsi="Traditional Arabic"/>
          <w:rtl/>
        </w:rPr>
        <w:t>،</w:t>
      </w:r>
      <w:r w:rsidRPr="00C85F0F">
        <w:rPr>
          <w:rFonts w:ascii="Traditional Arabic" w:hAnsi="Traditional Arabic"/>
          <w:rtl/>
        </w:rPr>
        <w:t xml:space="preserve"> وشرعت المؤسسة – أيضاً – بإطلاق خدمة رسائل الجوال (جوال الشيخ ابن عثيمين </w:t>
      </w:r>
      <w:r w:rsidR="009A0575" w:rsidRPr="005D5694">
        <w:rPr>
          <w:rFonts w:ascii="Traditional Arabic" w:hAnsi="Traditional Arabic" w:cs="CTraditional Arabic" w:hint="cs"/>
          <w:rtl/>
        </w:rPr>
        <w:t>/</w:t>
      </w:r>
      <w:r w:rsidRPr="00C85F0F">
        <w:rPr>
          <w:rFonts w:ascii="Traditional Arabic" w:hAnsi="Traditional Arabic"/>
          <w:rtl/>
        </w:rPr>
        <w:t xml:space="preserve">) لتتواصل مع المهتمين بعلم الشيخ </w:t>
      </w:r>
      <w:r w:rsidR="009A0575" w:rsidRPr="005D5694">
        <w:rPr>
          <w:rFonts w:ascii="Traditional Arabic" w:hAnsi="Traditional Arabic" w:cs="CTraditional Arabic" w:hint="cs"/>
          <w:rtl/>
        </w:rPr>
        <w:t>/</w:t>
      </w:r>
      <w:r w:rsidRPr="00C85F0F">
        <w:rPr>
          <w:rFonts w:ascii="Traditional Arabic" w:hAnsi="Traditional Arabic"/>
          <w:rtl/>
        </w:rPr>
        <w:t xml:space="preserve"> في بثِّ توجيهاته ومواعظه واختياراته وفتاواه في المناسبات المختلفة</w:t>
      </w:r>
      <w:r w:rsidR="00B76414" w:rsidRPr="00C85F0F">
        <w:rPr>
          <w:rFonts w:ascii="Traditional Arabic" w:hAnsi="Traditional Arabic"/>
          <w:rtl/>
        </w:rPr>
        <w:t>،</w:t>
      </w:r>
      <w:r w:rsidRPr="00C85F0F">
        <w:rPr>
          <w:rFonts w:ascii="Traditional Arabic" w:hAnsi="Traditional Arabic"/>
          <w:rtl/>
        </w:rPr>
        <w:t xml:space="preserve"> وليكون ذلك رافداً من </w:t>
      </w:r>
      <w:r w:rsidRPr="00C85F0F">
        <w:rPr>
          <w:rFonts w:ascii="Traditional Arabic" w:hAnsi="Traditional Arabic"/>
          <w:rtl/>
        </w:rPr>
        <w:lastRenderedPageBreak/>
        <w:t xml:space="preserve">روافد هذه المؤسسة، في نشر علم هذا العالم الجليل </w:t>
      </w:r>
      <w:r w:rsidR="009A0575" w:rsidRPr="005D5694">
        <w:rPr>
          <w:rFonts w:ascii="Traditional Arabic" w:hAnsi="Traditional Arabic" w:cs="CTraditional Arabic" w:hint="cs"/>
          <w:rtl/>
        </w:rPr>
        <w:t>/</w:t>
      </w:r>
      <w:r w:rsidRPr="00C85F0F">
        <w:rPr>
          <w:rFonts w:ascii="Traditional Arabic" w:hAnsi="Traditional Arabic"/>
          <w:rtl/>
        </w:rPr>
        <w:t xml:space="preserve"> تعالى وأسكنه فسيح جناته</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39"/>
      </w:r>
      <w:r w:rsidRPr="00C85F0F">
        <w:rPr>
          <w:rFonts w:ascii="Traditional Arabic" w:hAnsi="Traditional Arabic"/>
          <w:szCs w:val="32"/>
          <w:vertAlign w:val="superscript"/>
          <w:rtl/>
        </w:rPr>
        <w:t>)</w:t>
      </w:r>
      <w:r w:rsidRPr="00C85F0F">
        <w:rPr>
          <w:rFonts w:ascii="Traditional Arabic" w:hAnsi="Traditional Arabic"/>
          <w:rtl/>
        </w:rPr>
        <w:t>.</w:t>
      </w:r>
    </w:p>
    <w:p w:rsidR="00F228A9" w:rsidRPr="00C85F0F" w:rsidRDefault="00EC0771" w:rsidP="00597C20">
      <w:pPr>
        <w:pStyle w:val="aff0"/>
        <w:rPr>
          <w:rFonts w:cs="PT Bold Heading"/>
        </w:rPr>
      </w:pPr>
      <w:bookmarkStart w:id="15" w:name="_Toc334046279"/>
      <w:r w:rsidRPr="00C85F0F">
        <w:rPr>
          <w:rtl/>
        </w:rPr>
        <w:lastRenderedPageBreak/>
        <w:t>المبحث الثا</w:t>
      </w:r>
      <w:r w:rsidRPr="00C85F0F">
        <w:rPr>
          <w:rFonts w:hint="cs"/>
          <w:rtl/>
        </w:rPr>
        <w:t>ني</w:t>
      </w:r>
      <w:r w:rsidRPr="00C85F0F">
        <w:rPr>
          <w:rFonts w:hint="eastAsia"/>
          <w:rtl/>
        </w:rPr>
        <w:t> :</w:t>
      </w:r>
      <w:r w:rsidRPr="00C85F0F">
        <w:rPr>
          <w:rtl/>
        </w:rPr>
        <w:t xml:space="preserve">التعريف </w:t>
      </w:r>
      <w:r w:rsidRPr="00E3179F">
        <w:rPr>
          <w:sz w:val="40"/>
          <w:rtl/>
        </w:rPr>
        <w:t>بكتاب</w:t>
      </w:r>
      <w:r w:rsidRPr="00C85F0F">
        <w:rPr>
          <w:rtl/>
        </w:rPr>
        <w:t>"الشرح الممتع</w:t>
      </w:r>
      <w:r w:rsidRPr="00C85F0F">
        <w:rPr>
          <w:rFonts w:hint="cs"/>
          <w:rtl/>
        </w:rPr>
        <w:t>"</w:t>
      </w:r>
      <w:r w:rsidRPr="00C85F0F">
        <w:rPr>
          <w:rtl/>
        </w:rPr>
        <w:t>ومنهج الشيخ ابن</w:t>
      </w:r>
      <w:r w:rsidR="00E3179F">
        <w:rPr>
          <w:rFonts w:hint="cs"/>
          <w:rtl/>
        </w:rPr>
        <w:t xml:space="preserve"> </w:t>
      </w:r>
      <w:r w:rsidRPr="00C85F0F">
        <w:rPr>
          <w:rtl/>
        </w:rPr>
        <w:t>عثيمين في</w:t>
      </w:r>
      <w:r w:rsidRPr="00C85F0F">
        <w:rPr>
          <w:rFonts w:hint="cs"/>
          <w:rtl/>
        </w:rPr>
        <w:t xml:space="preserve"> الكتاب</w:t>
      </w:r>
      <w:bookmarkEnd w:id="15"/>
    </w:p>
    <w:p w:rsidR="006F08E1" w:rsidRPr="00597C20" w:rsidRDefault="006F08E1" w:rsidP="00597C20">
      <w:pPr>
        <w:spacing w:after="360" w:line="860" w:lineRule="exact"/>
        <w:ind w:right="851" w:firstLine="142"/>
        <w:rPr>
          <w:rFonts w:ascii="Traditional Arabic" w:hAnsi="Traditional Arabic"/>
          <w:b/>
          <w:bCs/>
          <w:u w:val="single"/>
          <w:rtl/>
        </w:rPr>
      </w:pPr>
      <w:r w:rsidRPr="00597C20">
        <w:rPr>
          <w:rFonts w:ascii="Traditional Arabic" w:hAnsi="Traditional Arabic"/>
          <w:b/>
          <w:bCs/>
          <w:u w:val="single"/>
          <w:rtl/>
        </w:rPr>
        <w:t>وفيه مطلبان :</w:t>
      </w:r>
    </w:p>
    <w:p w:rsidR="006F08E1" w:rsidRPr="00C85F0F" w:rsidRDefault="006F08E1" w:rsidP="00597C20">
      <w:pPr>
        <w:tabs>
          <w:tab w:val="left" w:pos="2833"/>
        </w:tabs>
        <w:ind w:left="2833" w:hanging="2268"/>
        <w:jc w:val="left"/>
        <w:rPr>
          <w:rtl/>
        </w:rPr>
      </w:pPr>
      <w:r w:rsidRPr="00597C20">
        <w:rPr>
          <w:b/>
          <w:bCs/>
          <w:rtl/>
        </w:rPr>
        <w:t>المطلب الأول:</w:t>
      </w:r>
      <w:r w:rsidR="002769A5" w:rsidRPr="00C85F0F">
        <w:rPr>
          <w:rFonts w:hint="cs"/>
          <w:rtl/>
        </w:rPr>
        <w:tab/>
      </w:r>
      <w:r w:rsidR="006D63F7">
        <w:rPr>
          <w:rFonts w:hint="cs"/>
          <w:rtl/>
        </w:rPr>
        <w:t>التعريف بكتاب الشرح الممتع و</w:t>
      </w:r>
      <w:r w:rsidRPr="00C85F0F">
        <w:rPr>
          <w:rtl/>
        </w:rPr>
        <w:t>قيم</w:t>
      </w:r>
      <w:r w:rsidR="006D63F7">
        <w:rPr>
          <w:rFonts w:hint="cs"/>
          <w:rtl/>
        </w:rPr>
        <w:t>ته</w:t>
      </w:r>
      <w:r w:rsidRPr="00C85F0F">
        <w:rPr>
          <w:rtl/>
        </w:rPr>
        <w:t xml:space="preserve"> العلمية</w:t>
      </w:r>
      <w:r w:rsidR="00B76414" w:rsidRPr="00C85F0F">
        <w:rPr>
          <w:rtl/>
        </w:rPr>
        <w:t>.</w:t>
      </w:r>
    </w:p>
    <w:p w:rsidR="006F08E1" w:rsidRPr="00C85F0F" w:rsidRDefault="006F08E1" w:rsidP="00597C20">
      <w:pPr>
        <w:tabs>
          <w:tab w:val="left" w:pos="2833"/>
        </w:tabs>
        <w:ind w:left="2833" w:hanging="2268"/>
        <w:jc w:val="left"/>
        <w:rPr>
          <w:rtl/>
        </w:rPr>
      </w:pPr>
      <w:r w:rsidRPr="00597C20">
        <w:rPr>
          <w:b/>
          <w:bCs/>
          <w:rtl/>
        </w:rPr>
        <w:t>المطلب الثاني :</w:t>
      </w:r>
      <w:r w:rsidR="002769A5" w:rsidRPr="00C85F0F">
        <w:rPr>
          <w:rFonts w:hint="cs"/>
          <w:rtl/>
        </w:rPr>
        <w:tab/>
      </w:r>
      <w:r w:rsidRPr="00C85F0F">
        <w:rPr>
          <w:rtl/>
        </w:rPr>
        <w:t>منهج الشيخ ابن عثيمين في الكتاب.</w:t>
      </w:r>
    </w:p>
    <w:p w:rsidR="002769A5" w:rsidRPr="00C85F0F" w:rsidRDefault="002769A5" w:rsidP="00597C20">
      <w:pPr>
        <w:widowControl/>
        <w:ind w:firstLine="0"/>
        <w:jc w:val="left"/>
        <w:rPr>
          <w:rFonts w:ascii="Traditional Arabic" w:hAnsi="Traditional Arabic"/>
          <w:rtl/>
        </w:rPr>
      </w:pPr>
      <w:r w:rsidRPr="00C85F0F">
        <w:rPr>
          <w:rFonts w:ascii="Traditional Arabic" w:hAnsi="Traditional Arabic"/>
        </w:rPr>
        <w:br w:type="page"/>
      </w:r>
    </w:p>
    <w:p w:rsidR="006F08E1" w:rsidRPr="00C85F0F" w:rsidRDefault="00363638" w:rsidP="00A8347C">
      <w:pPr>
        <w:pStyle w:val="aff3"/>
        <w:rPr>
          <w:rtl/>
        </w:rPr>
      </w:pPr>
      <w:bookmarkStart w:id="16" w:name="_Toc334046280"/>
      <w:r>
        <w:rPr>
          <w:rFonts w:hint="cs"/>
          <w:rtl/>
        </w:rPr>
        <w:lastRenderedPageBreak/>
        <w:t xml:space="preserve">                                       </w:t>
      </w:r>
      <w:r w:rsidR="006F08E1" w:rsidRPr="00C85F0F">
        <w:rPr>
          <w:rtl/>
        </w:rPr>
        <w:t>المطلب الأول</w:t>
      </w:r>
      <w:r w:rsidR="00EC0771" w:rsidRPr="00C85F0F">
        <w:rPr>
          <w:rFonts w:hint="cs"/>
          <w:rtl/>
        </w:rPr>
        <w:t> :</w:t>
      </w:r>
      <w:r w:rsidR="00EC0771" w:rsidRPr="00C85F0F">
        <w:rPr>
          <w:rFonts w:hint="cs"/>
          <w:rtl/>
        </w:rPr>
        <w:br/>
      </w:r>
      <w:r>
        <w:rPr>
          <w:rFonts w:hint="cs"/>
          <w:rtl/>
        </w:rPr>
        <w:t xml:space="preserve">    </w:t>
      </w:r>
      <w:r w:rsidR="006D63F7">
        <w:rPr>
          <w:rFonts w:hint="cs"/>
          <w:rtl/>
        </w:rPr>
        <w:t xml:space="preserve">                 التعريف بكتاب الشرح الممتع و</w:t>
      </w:r>
      <w:r w:rsidR="006D63F7">
        <w:rPr>
          <w:rtl/>
        </w:rPr>
        <w:t>قيم</w:t>
      </w:r>
      <w:r w:rsidR="006D63F7">
        <w:rPr>
          <w:rFonts w:hint="cs"/>
          <w:rtl/>
        </w:rPr>
        <w:t xml:space="preserve">ته </w:t>
      </w:r>
      <w:r w:rsidR="006F08E1" w:rsidRPr="00C85F0F">
        <w:rPr>
          <w:rtl/>
        </w:rPr>
        <w:t xml:space="preserve"> العلمية</w:t>
      </w:r>
      <w:bookmarkEnd w:id="16"/>
    </w:p>
    <w:p w:rsidR="00065E4B" w:rsidRPr="00C85F0F" w:rsidRDefault="006F08E1" w:rsidP="00606D04">
      <w:pPr>
        <w:spacing w:line="640" w:lineRule="exact"/>
        <w:jc w:val="lowKashida"/>
        <w:rPr>
          <w:rFonts w:ascii="Lotus Linotype" w:hAnsi="Lotus Linotype" w:cs="Lotus Linotype"/>
          <w:rtl/>
        </w:rPr>
      </w:pPr>
      <w:r w:rsidRPr="00C85F0F">
        <w:rPr>
          <w:rFonts w:ascii="Traditional Arabic" w:hAnsi="Traditional Arabic"/>
          <w:rtl/>
        </w:rPr>
        <w:t xml:space="preserve">كتاب "الشرح الممتع" للشيخ ابن عثيمين </w:t>
      </w:r>
      <w:r w:rsidR="009A0575" w:rsidRPr="005D5694">
        <w:rPr>
          <w:rFonts w:ascii="Traditional Arabic" w:hAnsi="Traditional Arabic" w:cs="CTraditional Arabic" w:hint="cs"/>
          <w:rtl/>
        </w:rPr>
        <w:t>/</w:t>
      </w:r>
      <w:r w:rsidRPr="00C85F0F">
        <w:rPr>
          <w:rFonts w:ascii="Traditional Arabic" w:hAnsi="Traditional Arabic"/>
          <w:rtl/>
        </w:rPr>
        <w:t xml:space="preserve"> عبارة عن شرح لمتن "زاد المستقنع في اختصار المقنع" للإمام الحجَّاوي</w:t>
      </w:r>
      <w:r w:rsidR="009A5761" w:rsidRPr="009A5761">
        <w:rPr>
          <w:rFonts w:ascii="Traditional Arabic" w:hAnsi="Traditional Arabic" w:hint="cs"/>
          <w:vertAlign w:val="superscript"/>
          <w:rtl/>
        </w:rPr>
        <w:t>(</w:t>
      </w:r>
      <w:r w:rsidR="00AB26F0" w:rsidRPr="009A5761">
        <w:rPr>
          <w:rStyle w:val="af1"/>
          <w:rFonts w:ascii="Traditional Arabic" w:hAnsi="Traditional Arabic"/>
          <w:rtl/>
        </w:rPr>
        <w:footnoteReference w:id="40"/>
      </w:r>
      <w:r w:rsidR="009A5761" w:rsidRPr="009A5761">
        <w:rPr>
          <w:rFonts w:ascii="Traditional Arabic" w:hAnsi="Traditional Arabic" w:hint="cs"/>
          <w:vertAlign w:val="superscript"/>
          <w:rtl/>
        </w:rPr>
        <w:t>)</w:t>
      </w:r>
      <w:r w:rsidRPr="00C85F0F">
        <w:rPr>
          <w:rFonts w:ascii="Traditional Arabic" w:hAnsi="Traditional Arabic"/>
          <w:rtl/>
        </w:rPr>
        <w:t xml:space="preserve"> </w:t>
      </w:r>
      <w:r w:rsidR="009A0575" w:rsidRPr="005D5694">
        <w:rPr>
          <w:rFonts w:ascii="Traditional Arabic" w:hAnsi="Traditional Arabic" w:cs="CTraditional Arabic" w:hint="cs"/>
          <w:rtl/>
        </w:rPr>
        <w:t>/</w:t>
      </w:r>
      <w:r w:rsidRPr="00C85F0F">
        <w:rPr>
          <w:rFonts w:ascii="Traditional Arabic" w:hAnsi="Traditional Arabic" w:hint="cs"/>
          <w:rtl/>
        </w:rPr>
        <w:t>،</w:t>
      </w:r>
      <w:r w:rsidRPr="00C85F0F">
        <w:rPr>
          <w:rFonts w:ascii="Traditional Arabic" w:hAnsi="Traditional Arabic"/>
          <w:rtl/>
        </w:rPr>
        <w:t xml:space="preserve"> وهذا الشرح ليس إملاء من الشيخ </w:t>
      </w:r>
      <w:r w:rsidR="009A0575" w:rsidRPr="005D5694">
        <w:rPr>
          <w:rFonts w:ascii="Traditional Arabic" w:hAnsi="Traditional Arabic" w:cs="CTraditional Arabic" w:hint="cs"/>
          <w:rtl/>
        </w:rPr>
        <w:t>/</w:t>
      </w:r>
      <w:r w:rsidRPr="00C85F0F">
        <w:rPr>
          <w:rFonts w:ascii="Traditional Arabic" w:hAnsi="Traditional Arabic"/>
          <w:rtl/>
        </w:rPr>
        <w:t xml:space="preserve"> ولا تحبيراً بقلمه</w:t>
      </w:r>
      <w:r w:rsidR="00B76414" w:rsidRPr="00C85F0F">
        <w:rPr>
          <w:rFonts w:ascii="Traditional Arabic" w:hAnsi="Traditional Arabic"/>
          <w:rtl/>
        </w:rPr>
        <w:t>،</w:t>
      </w:r>
      <w:r w:rsidRPr="00C85F0F">
        <w:rPr>
          <w:rFonts w:ascii="Traditional Arabic" w:hAnsi="Traditional Arabic"/>
          <w:rtl/>
        </w:rPr>
        <w:t xml:space="preserve"> وإنما هو في الأصل عبارة عن دروس ألقاها الشيخ ابن عثيمين في الجامع الكبير بمدينة عنيزة</w:t>
      </w:r>
      <w:r w:rsidR="00B76414" w:rsidRPr="00C85F0F">
        <w:rPr>
          <w:rFonts w:ascii="Traditional Arabic" w:hAnsi="Traditional Arabic"/>
          <w:rtl/>
        </w:rPr>
        <w:t>،</w:t>
      </w:r>
      <w:r w:rsidRPr="00C85F0F">
        <w:rPr>
          <w:rFonts w:ascii="Traditional Arabic" w:hAnsi="Traditional Arabic"/>
          <w:rtl/>
        </w:rPr>
        <w:t xml:space="preserve"> وسُجِّلت تلك الدروس بواسطة الأشرطة السمعية</w:t>
      </w:r>
      <w:r w:rsidR="00B76414" w:rsidRPr="00C85F0F">
        <w:rPr>
          <w:rFonts w:ascii="Traditional Arabic" w:hAnsi="Traditional Arabic"/>
          <w:rtl/>
        </w:rPr>
        <w:t>،</w:t>
      </w:r>
      <w:r w:rsidRPr="00C85F0F">
        <w:rPr>
          <w:rFonts w:ascii="Traditional Arabic" w:hAnsi="Traditional Arabic"/>
          <w:rtl/>
        </w:rPr>
        <w:t xml:space="preserve"> ثم فُرِّغت من بطون تلك الأشرطة</w:t>
      </w:r>
      <w:r w:rsidR="00B76414" w:rsidRPr="00C85F0F">
        <w:rPr>
          <w:rFonts w:ascii="Traditional Arabic" w:hAnsi="Traditional Arabic"/>
          <w:rtl/>
        </w:rPr>
        <w:t>،</w:t>
      </w:r>
      <w:r w:rsidRPr="00C85F0F">
        <w:rPr>
          <w:rFonts w:ascii="Traditional Arabic" w:hAnsi="Traditional Arabic"/>
          <w:rtl/>
        </w:rPr>
        <w:t xml:space="preserve"> وطُبعت بعد ذلك في عدة مجلدات</w:t>
      </w:r>
      <w:r w:rsidR="00B76414" w:rsidRPr="00C85F0F">
        <w:rPr>
          <w:rFonts w:ascii="Traditional Arabic" w:hAnsi="Traditional Arabic"/>
          <w:rtl/>
        </w:rPr>
        <w:t>،</w:t>
      </w:r>
      <w:r w:rsidRPr="00C85F0F">
        <w:rPr>
          <w:rFonts w:ascii="Traditional Arabic" w:hAnsi="Traditional Arabic"/>
          <w:rtl/>
        </w:rPr>
        <w:t xml:space="preserve"> وقد صرَّح بهذا الشيخ ابن عثيمين – </w:t>
      </w:r>
      <w:r w:rsidR="009A0575" w:rsidRPr="005D5694">
        <w:rPr>
          <w:rFonts w:ascii="Traditional Arabic" w:hAnsi="Traditional Arabic" w:cs="CTraditional Arabic" w:hint="cs"/>
          <w:rtl/>
        </w:rPr>
        <w:t>/</w:t>
      </w:r>
      <w:r w:rsidRPr="00C85F0F">
        <w:rPr>
          <w:rFonts w:ascii="Traditional Arabic" w:hAnsi="Traditional Arabic"/>
          <w:rtl/>
        </w:rPr>
        <w:t xml:space="preserve"> – في مُقدِّمة الكتاب</w:t>
      </w:r>
      <w:r w:rsidR="00B76414" w:rsidRPr="00C85F0F">
        <w:rPr>
          <w:rFonts w:ascii="Traditional Arabic" w:hAnsi="Traditional Arabic"/>
          <w:rtl/>
        </w:rPr>
        <w:t>،</w:t>
      </w:r>
      <w:r w:rsidRPr="00C85F0F">
        <w:rPr>
          <w:rFonts w:ascii="Traditional Arabic" w:hAnsi="Traditional Arabic"/>
          <w:rtl/>
        </w:rPr>
        <w:t xml:space="preserve"> حيث يقول : (فإن كتاب "زاد المستقنع في اختصار المقنع" تأليف : أبي النجا موسى بن أحمد بن موسى الحجَّاوي</w:t>
      </w:r>
      <w:r w:rsidR="00B76414" w:rsidRPr="00C85F0F">
        <w:rPr>
          <w:rFonts w:ascii="Traditional Arabic" w:hAnsi="Traditional Arabic"/>
          <w:rtl/>
        </w:rPr>
        <w:t>،</w:t>
      </w:r>
      <w:r w:rsidRPr="00C85F0F">
        <w:rPr>
          <w:rFonts w:ascii="Traditional Arabic" w:hAnsi="Traditional Arabic"/>
          <w:rtl/>
        </w:rPr>
        <w:t xml:space="preserve"> كتاب قليل الألفاظ</w:t>
      </w:r>
      <w:r w:rsidR="00B76414" w:rsidRPr="00C85F0F">
        <w:rPr>
          <w:rFonts w:ascii="Traditional Arabic" w:hAnsi="Traditional Arabic"/>
          <w:rtl/>
        </w:rPr>
        <w:t>،</w:t>
      </w:r>
      <w:r w:rsidRPr="00C85F0F">
        <w:rPr>
          <w:rFonts w:ascii="Traditional Arabic" w:hAnsi="Traditional Arabic"/>
          <w:rtl/>
        </w:rPr>
        <w:t xml:space="preserve"> كثير المعاني</w:t>
      </w:r>
      <w:r w:rsidR="00B76414" w:rsidRPr="00C85F0F">
        <w:rPr>
          <w:rFonts w:ascii="Traditional Arabic" w:hAnsi="Traditional Arabic"/>
          <w:rtl/>
        </w:rPr>
        <w:t>.</w:t>
      </w:r>
      <w:r w:rsidRPr="00C85F0F">
        <w:rPr>
          <w:rFonts w:ascii="Traditional Arabic" w:hAnsi="Traditional Arabic"/>
          <w:rtl/>
        </w:rPr>
        <w:t>.. وقد انتفعنا به كثيراً ولله الحمد</w:t>
      </w:r>
      <w:r w:rsidR="00B76414" w:rsidRPr="00C85F0F">
        <w:rPr>
          <w:rFonts w:ascii="Traditional Arabic" w:hAnsi="Traditional Arabic"/>
          <w:rtl/>
        </w:rPr>
        <w:t>،</w:t>
      </w:r>
      <w:r w:rsidRPr="00C85F0F">
        <w:rPr>
          <w:rFonts w:ascii="Traditional Arabic" w:hAnsi="Traditional Arabic"/>
          <w:rtl/>
        </w:rPr>
        <w:t xml:space="preserve"> وصرنا نُدِّرس الطلبة فيه بالجامع الكبير بعنيزة</w:t>
      </w:r>
      <w:r w:rsidR="00B76414" w:rsidRPr="00C85F0F">
        <w:rPr>
          <w:rFonts w:ascii="Traditional Arabic" w:hAnsi="Traditional Arabic"/>
          <w:rtl/>
        </w:rPr>
        <w:t>،</w:t>
      </w:r>
      <w:r w:rsidRPr="00C85F0F">
        <w:rPr>
          <w:rFonts w:ascii="Traditional Arabic" w:hAnsi="Traditional Arabic"/>
          <w:rtl/>
        </w:rPr>
        <w:t xml:space="preserve"> بحلِّ ألفاظه</w:t>
      </w:r>
      <w:r w:rsidR="00B76414" w:rsidRPr="00C85F0F">
        <w:rPr>
          <w:rFonts w:ascii="Traditional Arabic" w:hAnsi="Traditional Arabic"/>
          <w:rtl/>
        </w:rPr>
        <w:t>،</w:t>
      </w:r>
      <w:r w:rsidRPr="00C85F0F">
        <w:rPr>
          <w:rFonts w:ascii="Traditional Arabic" w:hAnsi="Traditional Arabic"/>
          <w:rtl/>
        </w:rPr>
        <w:t xml:space="preserve"> وتبيين معانيه</w:t>
      </w:r>
      <w:r w:rsidR="00B76414" w:rsidRPr="00C85F0F">
        <w:rPr>
          <w:rFonts w:ascii="Traditional Arabic" w:hAnsi="Traditional Arabic"/>
          <w:rtl/>
        </w:rPr>
        <w:t>،</w:t>
      </w:r>
      <w:r w:rsidRPr="00C85F0F">
        <w:rPr>
          <w:rFonts w:ascii="Traditional Arabic" w:hAnsi="Traditional Arabic"/>
          <w:rtl/>
        </w:rPr>
        <w:t xml:space="preserve"> وذكر القول الراجح بدليله أو تعليله</w:t>
      </w:r>
      <w:r w:rsidR="00B76414" w:rsidRPr="00C85F0F">
        <w:rPr>
          <w:rFonts w:ascii="Traditional Arabic" w:hAnsi="Traditional Arabic"/>
          <w:rtl/>
        </w:rPr>
        <w:t>،</w:t>
      </w:r>
      <w:r w:rsidRPr="00C85F0F">
        <w:rPr>
          <w:rFonts w:ascii="Traditional Arabic" w:hAnsi="Traditional Arabic"/>
          <w:rtl/>
        </w:rPr>
        <w:t xml:space="preserve"> وقد اعتنى به الطلبة وسجَّلوه وكتبوه</w:t>
      </w:r>
      <w:r w:rsidR="00B76414" w:rsidRPr="00C85F0F">
        <w:rPr>
          <w:rFonts w:ascii="Traditional Arabic" w:hAnsi="Traditional Arabic"/>
          <w:rtl/>
        </w:rPr>
        <w:t>،</w:t>
      </w:r>
      <w:r w:rsidRPr="00C85F0F">
        <w:rPr>
          <w:rFonts w:ascii="Traditional Arabic" w:hAnsi="Traditional Arabic"/>
          <w:rtl/>
        </w:rPr>
        <w:t xml:space="preserve"> ولما كثر تداوله بين الناس عبر الأشرطة والمذكرات</w:t>
      </w:r>
      <w:r w:rsidR="00B76414" w:rsidRPr="00C85F0F">
        <w:rPr>
          <w:rFonts w:ascii="Traditional Arabic" w:hAnsi="Traditional Arabic"/>
          <w:rtl/>
        </w:rPr>
        <w:t>،</w:t>
      </w:r>
      <w:r w:rsidRPr="00C85F0F">
        <w:rPr>
          <w:rFonts w:ascii="Traditional Arabic" w:hAnsi="Traditional Arabic"/>
          <w:rtl/>
        </w:rPr>
        <w:t xml:space="preserve"> قام الشيخان الكريمان : الدكتور سليمان بن عبدالله أبا الخيل</w:t>
      </w:r>
      <w:r w:rsidR="00B76414" w:rsidRPr="00C85F0F">
        <w:rPr>
          <w:rFonts w:ascii="Traditional Arabic" w:hAnsi="Traditional Arabic"/>
          <w:rtl/>
        </w:rPr>
        <w:t>،</w:t>
      </w:r>
      <w:r w:rsidRPr="00C85F0F">
        <w:rPr>
          <w:rFonts w:ascii="Traditional Arabic" w:hAnsi="Traditional Arabic"/>
          <w:rtl/>
        </w:rPr>
        <w:t xml:space="preserve"> والدكتور خالد المشيقح بإخراجه في كتاب سُمِّي : "الشرح الممتع على زاد المستقنع "</w:t>
      </w:r>
      <w:r w:rsidR="00B76414" w:rsidRPr="00C85F0F">
        <w:rPr>
          <w:rFonts w:ascii="Traditional Arabic" w:hAnsi="Traditional Arabic"/>
          <w:rtl/>
        </w:rPr>
        <w:t>،</w:t>
      </w:r>
      <w:r w:rsidRPr="00C85F0F">
        <w:rPr>
          <w:rFonts w:ascii="Traditional Arabic" w:hAnsi="Traditional Arabic"/>
          <w:rtl/>
        </w:rPr>
        <w:t xml:space="preserve"> فخرَّجا أحاديثه</w:t>
      </w:r>
      <w:r w:rsidR="00B76414" w:rsidRPr="00C85F0F">
        <w:rPr>
          <w:rFonts w:ascii="Traditional Arabic" w:hAnsi="Traditional Arabic"/>
          <w:rtl/>
        </w:rPr>
        <w:t>،</w:t>
      </w:r>
      <w:r w:rsidRPr="00C85F0F">
        <w:rPr>
          <w:rFonts w:ascii="Traditional Arabic" w:hAnsi="Traditional Arabic"/>
          <w:rtl/>
        </w:rPr>
        <w:t xml:space="preserve"> ورقَّما آياته</w:t>
      </w:r>
      <w:r w:rsidR="00B76414" w:rsidRPr="00C85F0F">
        <w:rPr>
          <w:rFonts w:ascii="Traditional Arabic" w:hAnsi="Traditional Arabic"/>
          <w:rtl/>
        </w:rPr>
        <w:t>،</w:t>
      </w:r>
      <w:r w:rsidRPr="00C85F0F">
        <w:rPr>
          <w:rFonts w:ascii="Traditional Arabic" w:hAnsi="Traditional Arabic"/>
          <w:rtl/>
        </w:rPr>
        <w:t xml:space="preserve"> وعلَّقا عليه ما رأياه مناسباً</w:t>
      </w:r>
      <w:r w:rsidR="00B76414" w:rsidRPr="00C85F0F">
        <w:rPr>
          <w:rFonts w:ascii="Traditional Arabic" w:hAnsi="Traditional Arabic"/>
          <w:rtl/>
        </w:rPr>
        <w:t>،</w:t>
      </w:r>
      <w:r w:rsidRPr="00C85F0F">
        <w:rPr>
          <w:rFonts w:ascii="Traditional Arabic" w:hAnsi="Traditional Arabic"/>
          <w:rtl/>
        </w:rPr>
        <w:t xml:space="preserve"> وطبعاه الطبعة الأولى</w:t>
      </w:r>
      <w:r w:rsidR="00B76414" w:rsidRPr="00C85F0F">
        <w:rPr>
          <w:rFonts w:ascii="Traditional Arabic" w:hAnsi="Traditional Arabic"/>
          <w:rtl/>
        </w:rPr>
        <w:t>،</w:t>
      </w:r>
      <w:r w:rsidRPr="00C85F0F">
        <w:rPr>
          <w:rFonts w:ascii="Traditional Arabic" w:hAnsi="Traditional Arabic"/>
          <w:rtl/>
        </w:rPr>
        <w:t xml:space="preserve"> فجزاهما الله خيراً</w:t>
      </w:r>
      <w:r w:rsidR="00B76414" w:rsidRPr="00C85F0F">
        <w:rPr>
          <w:rFonts w:ascii="Traditional Arabic" w:hAnsi="Traditional Arabic"/>
          <w:rtl/>
        </w:rPr>
        <w:t>،</w:t>
      </w:r>
      <w:r w:rsidRPr="00C85F0F">
        <w:rPr>
          <w:rFonts w:ascii="Traditional Arabic" w:hAnsi="Traditional Arabic"/>
          <w:rtl/>
        </w:rPr>
        <w:t xml:space="preserve"> ولما كان الشرح بالتقرير لا يساوي الشرح بالتحرير</w:t>
      </w:r>
      <w:r w:rsidR="00B76414" w:rsidRPr="00C85F0F">
        <w:rPr>
          <w:rFonts w:ascii="Traditional Arabic" w:hAnsi="Traditional Arabic"/>
          <w:rtl/>
        </w:rPr>
        <w:t>،</w:t>
      </w:r>
      <w:r w:rsidRPr="00C85F0F">
        <w:rPr>
          <w:rFonts w:ascii="Traditional Arabic" w:hAnsi="Traditional Arabic"/>
          <w:rtl/>
        </w:rPr>
        <w:t xml:space="preserve"> من </w:t>
      </w:r>
      <w:r w:rsidRPr="00C85F0F">
        <w:rPr>
          <w:rFonts w:ascii="Traditional Arabic" w:hAnsi="Traditional Arabic"/>
          <w:rtl/>
        </w:rPr>
        <w:lastRenderedPageBreak/>
        <w:t>حيث انتقاء الألفاظ</w:t>
      </w:r>
      <w:r w:rsidR="00B76414" w:rsidRPr="00C85F0F">
        <w:rPr>
          <w:rFonts w:ascii="Traditional Arabic" w:hAnsi="Traditional Arabic"/>
          <w:rtl/>
        </w:rPr>
        <w:t>،</w:t>
      </w:r>
      <w:r w:rsidRPr="00C85F0F">
        <w:rPr>
          <w:rFonts w:ascii="Traditional Arabic" w:hAnsi="Traditional Arabic"/>
          <w:rtl/>
        </w:rPr>
        <w:t xml:space="preserve"> وتحرير العبارة</w:t>
      </w:r>
      <w:r w:rsidR="00B76414" w:rsidRPr="00C85F0F">
        <w:rPr>
          <w:rFonts w:ascii="Traditional Arabic" w:hAnsi="Traditional Arabic"/>
          <w:rtl/>
        </w:rPr>
        <w:t>،</w:t>
      </w:r>
      <w:r w:rsidRPr="00C85F0F">
        <w:rPr>
          <w:rFonts w:ascii="Traditional Arabic" w:hAnsi="Traditional Arabic"/>
          <w:rtl/>
        </w:rPr>
        <w:t xml:space="preserve"> واستيعاب الموضوع ؛ تبيَّن أنه من الضروري إعادة النظر في الكتاب وتهذيبــه وترتيبه</w:t>
      </w:r>
      <w:r w:rsidR="00B76414" w:rsidRPr="00C85F0F">
        <w:rPr>
          <w:rFonts w:ascii="Traditional Arabic" w:hAnsi="Traditional Arabic"/>
          <w:rtl/>
        </w:rPr>
        <w:t>،</w:t>
      </w:r>
      <w:r w:rsidRPr="00C85F0F">
        <w:rPr>
          <w:rFonts w:ascii="Traditional Arabic" w:hAnsi="Traditional Arabic"/>
          <w:rtl/>
        </w:rPr>
        <w:t xml:space="preserve"> وقد تم ذلك فعلاً – ولله الحمد – فحذفنا ما لا يحتاج إليه</w:t>
      </w:r>
      <w:r w:rsidR="00B76414" w:rsidRPr="00C85F0F">
        <w:rPr>
          <w:rFonts w:ascii="Traditional Arabic" w:hAnsi="Traditional Arabic"/>
          <w:rtl/>
        </w:rPr>
        <w:t>،</w:t>
      </w:r>
      <w:r w:rsidRPr="00C85F0F">
        <w:rPr>
          <w:rFonts w:ascii="Traditional Arabic" w:hAnsi="Traditional Arabic"/>
          <w:rtl/>
        </w:rPr>
        <w:t xml:space="preserve"> وزدنا ما تدعو الحاجة إليه</w:t>
      </w:r>
      <w:r w:rsidR="00B76414" w:rsidRPr="00C85F0F">
        <w:rPr>
          <w:rFonts w:ascii="Traditional Arabic" w:hAnsi="Traditional Arabic"/>
          <w:rtl/>
        </w:rPr>
        <w:t>،</w:t>
      </w:r>
      <w:r w:rsidRPr="00C85F0F">
        <w:rPr>
          <w:rFonts w:ascii="Traditional Arabic" w:hAnsi="Traditional Arabic"/>
          <w:rtl/>
        </w:rPr>
        <w:t xml:space="preserve"> وأبقينا الباقي على ما كان عليه</w:t>
      </w:r>
      <w:r w:rsidR="00B76414" w:rsidRPr="00C85F0F">
        <w:rPr>
          <w:rFonts w:ascii="Traditional Arabic" w:hAnsi="Traditional Arabic"/>
          <w:rtl/>
        </w:rPr>
        <w:t>)</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41"/>
      </w:r>
      <w:r w:rsidRPr="00C85F0F">
        <w:rPr>
          <w:rFonts w:ascii="Traditional Arabic" w:hAnsi="Traditional Arabic"/>
          <w:szCs w:val="32"/>
          <w:vertAlign w:val="superscript"/>
          <w:rtl/>
        </w:rPr>
        <w:t>)</w:t>
      </w:r>
      <w:r w:rsidRPr="00C85F0F">
        <w:rPr>
          <w:rFonts w:ascii="Traditional Arabic" w:hAnsi="Traditional Arabic"/>
          <w:rtl/>
        </w:rPr>
        <w:t>.</w:t>
      </w:r>
    </w:p>
    <w:p w:rsidR="00F228A9" w:rsidRPr="00C85F0F" w:rsidRDefault="00065E4B" w:rsidP="00597C20">
      <w:pPr>
        <w:spacing w:line="640" w:lineRule="exact"/>
        <w:jc w:val="lowKashida"/>
        <w:rPr>
          <w:rFonts w:ascii="Traditional Arabic" w:hAnsi="Traditional Arabic"/>
          <w:rtl/>
        </w:rPr>
      </w:pPr>
      <w:r w:rsidRPr="00C85F0F">
        <w:rPr>
          <w:rFonts w:ascii="Traditional Arabic" w:hAnsi="Traditional Arabic" w:hint="cs"/>
          <w:rtl/>
        </w:rPr>
        <w:t>و</w:t>
      </w:r>
      <w:r w:rsidR="006F08E1" w:rsidRPr="00C85F0F">
        <w:rPr>
          <w:rFonts w:ascii="Traditional Arabic" w:hAnsi="Traditional Arabic" w:hint="cs"/>
          <w:rtl/>
        </w:rPr>
        <w:t xml:space="preserve">لقد </w:t>
      </w:r>
      <w:r w:rsidR="006F08E1" w:rsidRPr="00C85F0F">
        <w:rPr>
          <w:rFonts w:ascii="Traditional Arabic" w:hAnsi="Traditional Arabic"/>
          <w:rtl/>
        </w:rPr>
        <w:t>حظي كتاب "الشرح الممتع" بمكانة عالية</w:t>
      </w:r>
      <w:r w:rsidR="00B76414" w:rsidRPr="00C85F0F">
        <w:rPr>
          <w:rFonts w:ascii="Traditional Arabic" w:hAnsi="Traditional Arabic"/>
          <w:rtl/>
        </w:rPr>
        <w:t>،</w:t>
      </w:r>
      <w:r w:rsidR="006F08E1" w:rsidRPr="00C85F0F">
        <w:rPr>
          <w:rFonts w:ascii="Traditional Arabic" w:hAnsi="Traditional Arabic"/>
          <w:rtl/>
        </w:rPr>
        <w:t xml:space="preserve"> ومنزلة رفيعة لدى طلبة العلم</w:t>
      </w:r>
      <w:r w:rsidR="00B76414" w:rsidRPr="00C85F0F">
        <w:rPr>
          <w:rFonts w:ascii="Traditional Arabic" w:hAnsi="Traditional Arabic"/>
          <w:rtl/>
        </w:rPr>
        <w:t>،</w:t>
      </w:r>
      <w:r w:rsidR="006F08E1" w:rsidRPr="00C85F0F">
        <w:rPr>
          <w:rFonts w:ascii="Traditional Arabic" w:hAnsi="Traditional Arabic"/>
          <w:rtl/>
        </w:rPr>
        <w:t xml:space="preserve"> فقد وقع موقعاً حسناً في نفوسهم</w:t>
      </w:r>
      <w:r w:rsidR="00B76414" w:rsidRPr="00C85F0F">
        <w:rPr>
          <w:rFonts w:ascii="Traditional Arabic" w:hAnsi="Traditional Arabic"/>
          <w:rtl/>
        </w:rPr>
        <w:t>،</w:t>
      </w:r>
      <w:r w:rsidR="006F08E1" w:rsidRPr="00C85F0F">
        <w:rPr>
          <w:rFonts w:ascii="Traditional Arabic" w:hAnsi="Traditional Arabic"/>
          <w:rtl/>
        </w:rPr>
        <w:t xml:space="preserve"> فطالعوه واستفادوا منه</w:t>
      </w:r>
      <w:r w:rsidR="00B76414" w:rsidRPr="00C85F0F">
        <w:rPr>
          <w:rFonts w:ascii="Traditional Arabic" w:hAnsi="Traditional Arabic"/>
          <w:rtl/>
        </w:rPr>
        <w:t>،</w:t>
      </w:r>
      <w:r w:rsidR="006F08E1" w:rsidRPr="00C85F0F">
        <w:rPr>
          <w:rFonts w:ascii="Traditional Arabic" w:hAnsi="Traditional Arabic"/>
          <w:rtl/>
        </w:rPr>
        <w:t xml:space="preserve"> وما ذاك إلا لتميُّزه عن غيره من شــروح "الزاد" التي سبقته</w:t>
      </w:r>
      <w:r w:rsidR="00B76414" w:rsidRPr="00C85F0F">
        <w:rPr>
          <w:rFonts w:ascii="Traditional Arabic" w:hAnsi="Traditional Arabic"/>
          <w:rtl/>
        </w:rPr>
        <w:t>،</w:t>
      </w:r>
      <w:r w:rsidR="00363638">
        <w:rPr>
          <w:rFonts w:ascii="Traditional Arabic" w:hAnsi="Traditional Arabic"/>
          <w:rtl/>
        </w:rPr>
        <w:t xml:space="preserve"> فهو ي</w:t>
      </w:r>
      <w:r w:rsidR="00363638">
        <w:rPr>
          <w:rFonts w:ascii="Traditional Arabic" w:hAnsi="Traditional Arabic" w:hint="cs"/>
          <w:rtl/>
        </w:rPr>
        <w:t>ُ</w:t>
      </w:r>
      <w:r w:rsidR="00363638">
        <w:rPr>
          <w:rFonts w:ascii="Traditional Arabic" w:hAnsi="Traditional Arabic"/>
          <w:rtl/>
        </w:rPr>
        <w:t>ع</w:t>
      </w:r>
      <w:r w:rsidR="00363638">
        <w:rPr>
          <w:rFonts w:ascii="Traditional Arabic" w:hAnsi="Traditional Arabic" w:hint="cs"/>
          <w:rtl/>
        </w:rPr>
        <w:t>دُّ</w:t>
      </w:r>
      <w:r w:rsidR="006F08E1" w:rsidRPr="00C85F0F">
        <w:rPr>
          <w:rFonts w:ascii="Traditional Arabic" w:hAnsi="Traditional Arabic"/>
          <w:rtl/>
        </w:rPr>
        <w:t xml:space="preserve"> مستوفياً لكثير من موضوعات الفقه</w:t>
      </w:r>
      <w:r w:rsidR="00B76414" w:rsidRPr="00C85F0F">
        <w:rPr>
          <w:rFonts w:ascii="Traditional Arabic" w:hAnsi="Traditional Arabic"/>
          <w:rtl/>
        </w:rPr>
        <w:t>،</w:t>
      </w:r>
      <w:r w:rsidR="006F08E1" w:rsidRPr="00C85F0F">
        <w:rPr>
          <w:rFonts w:ascii="Traditional Arabic" w:hAnsi="Traditional Arabic"/>
          <w:rtl/>
        </w:rPr>
        <w:t xml:space="preserve"> مع ترتيب حسن</w:t>
      </w:r>
      <w:r w:rsidR="00B76414" w:rsidRPr="00C85F0F">
        <w:rPr>
          <w:rFonts w:ascii="Traditional Arabic" w:hAnsi="Traditional Arabic"/>
          <w:rtl/>
        </w:rPr>
        <w:t>،</w:t>
      </w:r>
      <w:r w:rsidR="006F08E1" w:rsidRPr="00C85F0F">
        <w:rPr>
          <w:rFonts w:ascii="Traditional Arabic" w:hAnsi="Traditional Arabic"/>
          <w:rtl/>
        </w:rPr>
        <w:t xml:space="preserve"> وعبارة واضحة سَلِسَلة</w:t>
      </w:r>
      <w:r w:rsidR="00B76414" w:rsidRPr="00C85F0F">
        <w:rPr>
          <w:rFonts w:ascii="Traditional Arabic" w:hAnsi="Traditional Arabic"/>
          <w:rtl/>
        </w:rPr>
        <w:t>،</w:t>
      </w:r>
      <w:r w:rsidR="006F08E1" w:rsidRPr="00C85F0F">
        <w:rPr>
          <w:rFonts w:ascii="Traditional Arabic" w:hAnsi="Traditional Arabic"/>
          <w:rtl/>
        </w:rPr>
        <w:t xml:space="preserve"> كما أن هذا الكتاب يُعَدُّ ثروة فقهية عظيمة</w:t>
      </w:r>
      <w:r w:rsidR="00B76414" w:rsidRPr="00C85F0F">
        <w:rPr>
          <w:rFonts w:ascii="Traditional Arabic" w:hAnsi="Traditional Arabic"/>
          <w:rtl/>
        </w:rPr>
        <w:t>،</w:t>
      </w:r>
      <w:r w:rsidR="006F08E1" w:rsidRPr="00C85F0F">
        <w:rPr>
          <w:rFonts w:ascii="Traditional Arabic" w:hAnsi="Traditional Arabic"/>
          <w:rtl/>
        </w:rPr>
        <w:t xml:space="preserve"> ومادة علمية غزيرة</w:t>
      </w:r>
      <w:r w:rsidR="00B76414" w:rsidRPr="00C85F0F">
        <w:rPr>
          <w:rFonts w:ascii="Traditional Arabic" w:hAnsi="Traditional Arabic"/>
          <w:rtl/>
        </w:rPr>
        <w:t>،</w:t>
      </w:r>
      <w:r w:rsidR="006F08E1" w:rsidRPr="00C85F0F">
        <w:rPr>
          <w:rFonts w:ascii="Traditional Arabic" w:hAnsi="Traditional Arabic"/>
          <w:rtl/>
        </w:rPr>
        <w:t xml:space="preserve"> حفظت لنا فقه الشيخ ابن عثيمين </w:t>
      </w:r>
      <w:r w:rsidR="009A0575" w:rsidRPr="005D5694">
        <w:rPr>
          <w:rFonts w:ascii="Traditional Arabic" w:hAnsi="Traditional Arabic" w:cs="CTraditional Arabic" w:hint="cs"/>
          <w:rtl/>
        </w:rPr>
        <w:t>/</w:t>
      </w:r>
      <w:r w:rsidR="006F08E1" w:rsidRPr="00C85F0F">
        <w:rPr>
          <w:rFonts w:ascii="Traditional Arabic" w:hAnsi="Traditional Arabic"/>
          <w:rtl/>
        </w:rPr>
        <w:t>واجتهاداته</w:t>
      </w:r>
      <w:r w:rsidR="00B76414" w:rsidRPr="00C85F0F">
        <w:rPr>
          <w:rFonts w:ascii="Traditional Arabic" w:hAnsi="Traditional Arabic"/>
          <w:rtl/>
        </w:rPr>
        <w:t>،</w:t>
      </w:r>
      <w:r w:rsidR="006F08E1" w:rsidRPr="00C85F0F">
        <w:rPr>
          <w:rFonts w:ascii="Traditional Arabic" w:hAnsi="Traditional Arabic"/>
          <w:rtl/>
        </w:rPr>
        <w:t xml:space="preserve"> حيث وضع فيه عصارة علمه الغزير</w:t>
      </w:r>
      <w:r w:rsidR="00B76414" w:rsidRPr="00C85F0F">
        <w:rPr>
          <w:rFonts w:ascii="Traditional Arabic" w:hAnsi="Traditional Arabic"/>
          <w:rtl/>
        </w:rPr>
        <w:t>،</w:t>
      </w:r>
      <w:r w:rsidR="006F08E1" w:rsidRPr="00C85F0F">
        <w:rPr>
          <w:rFonts w:ascii="Traditional Arabic" w:hAnsi="Traditional Arabic"/>
          <w:rtl/>
        </w:rPr>
        <w:t xml:space="preserve"> وإدراكه العميق</w:t>
      </w:r>
      <w:r w:rsidR="00B76414" w:rsidRPr="00C85F0F">
        <w:rPr>
          <w:rFonts w:ascii="Traditional Arabic" w:hAnsi="Traditional Arabic"/>
          <w:rtl/>
        </w:rPr>
        <w:t>،</w:t>
      </w:r>
      <w:r w:rsidR="006F08E1" w:rsidRPr="00C85F0F">
        <w:rPr>
          <w:rFonts w:ascii="Traditional Arabic" w:hAnsi="Traditional Arabic"/>
          <w:rtl/>
        </w:rPr>
        <w:t xml:space="preserve"> وقد أثراه بأمور عديدة ميَّزته عن كتب الفقه الأخرى</w:t>
      </w:r>
      <w:r w:rsidR="00B76414" w:rsidRPr="00C85F0F">
        <w:rPr>
          <w:rFonts w:ascii="Traditional Arabic" w:hAnsi="Traditional Arabic"/>
          <w:rtl/>
        </w:rPr>
        <w:t>،</w:t>
      </w:r>
      <w:r w:rsidR="006F08E1" w:rsidRPr="00C85F0F">
        <w:rPr>
          <w:rFonts w:ascii="Traditional Arabic" w:hAnsi="Traditional Arabic"/>
          <w:rtl/>
        </w:rPr>
        <w:t xml:space="preserve"> وجعلت له قيمة علمية نفيسة أعلت من شأنه</w:t>
      </w:r>
      <w:r w:rsidR="00B76414" w:rsidRPr="00C85F0F">
        <w:rPr>
          <w:rFonts w:ascii="Traditional Arabic" w:hAnsi="Traditional Arabic"/>
          <w:rtl/>
        </w:rPr>
        <w:t>،</w:t>
      </w:r>
      <w:r w:rsidR="006F08E1" w:rsidRPr="00C85F0F">
        <w:rPr>
          <w:rFonts w:ascii="Traditional Arabic" w:hAnsi="Traditional Arabic"/>
          <w:rtl/>
        </w:rPr>
        <w:t xml:space="preserve"> وجعلته من أنفس كتب الفقه المعاصرة وأشهرها</w:t>
      </w:r>
      <w:r w:rsidR="00EE57EC">
        <w:rPr>
          <w:rFonts w:ascii="Traditional Arabic" w:hAnsi="Traditional Arabic" w:hint="cs"/>
          <w:rtl/>
        </w:rPr>
        <w:t>.</w:t>
      </w:r>
    </w:p>
    <w:p w:rsidR="006F08E1"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t>وقد أثنى سماحة مفتي عام المملكة الشيخ عبدالعزيز آل الشيخ –حفظه الله ثناء عَطِراً على كتاب الشرح الممتع</w:t>
      </w:r>
      <w:r w:rsidR="00B76414" w:rsidRPr="00C85F0F">
        <w:rPr>
          <w:rFonts w:ascii="Traditional Arabic" w:hAnsi="Traditional Arabic"/>
          <w:rtl/>
        </w:rPr>
        <w:t>،</w:t>
      </w:r>
      <w:r w:rsidRPr="00C85F0F">
        <w:rPr>
          <w:rFonts w:ascii="Traditional Arabic" w:hAnsi="Traditional Arabic"/>
          <w:rtl/>
        </w:rPr>
        <w:t xml:space="preserve"> عندما كان ذلك الشرح في عِداد الأشرطة</w:t>
      </w:r>
      <w:r w:rsidR="00B76414" w:rsidRPr="00C85F0F">
        <w:rPr>
          <w:rFonts w:ascii="Traditional Arabic" w:hAnsi="Traditional Arabic"/>
          <w:rtl/>
        </w:rPr>
        <w:t>،</w:t>
      </w:r>
      <w:r w:rsidRPr="00C85F0F">
        <w:rPr>
          <w:rFonts w:ascii="Traditional Arabic" w:hAnsi="Traditional Arabic"/>
          <w:rtl/>
        </w:rPr>
        <w:t xml:space="preserve"> حيث يقول : (أشرطته في شرح زاد المستقنع التي احتوت على تحليل عبارات هذا الكتاب وتوضيحه</w:t>
      </w:r>
      <w:r w:rsidR="00B76414" w:rsidRPr="00C85F0F">
        <w:rPr>
          <w:rFonts w:ascii="Traditional Arabic" w:hAnsi="Traditional Arabic"/>
          <w:rtl/>
        </w:rPr>
        <w:t>،</w:t>
      </w:r>
      <w:r w:rsidRPr="00C85F0F">
        <w:rPr>
          <w:rFonts w:ascii="Traditional Arabic" w:hAnsi="Traditional Arabic"/>
          <w:rtl/>
        </w:rPr>
        <w:t xml:space="preserve"> وبيان الأدلة على كل مسألة اشتمل عليه هذا الكتاب</w:t>
      </w:r>
      <w:r w:rsidR="00B76414" w:rsidRPr="00C85F0F">
        <w:rPr>
          <w:rFonts w:ascii="Traditional Arabic" w:hAnsi="Traditional Arabic"/>
          <w:rtl/>
        </w:rPr>
        <w:t>،</w:t>
      </w:r>
      <w:r w:rsidRPr="00C85F0F">
        <w:rPr>
          <w:rFonts w:ascii="Traditional Arabic" w:hAnsi="Traditional Arabic"/>
          <w:rtl/>
        </w:rPr>
        <w:t xml:space="preserve"> ومناقشة هذه المسائل مناقشة علمية على ضوء الكتاب والسنة</w:t>
      </w:r>
      <w:r w:rsidR="00B76414" w:rsidRPr="00C85F0F">
        <w:rPr>
          <w:rFonts w:ascii="Traditional Arabic" w:hAnsi="Traditional Arabic"/>
          <w:rtl/>
        </w:rPr>
        <w:t>،</w:t>
      </w:r>
      <w:r w:rsidRPr="00C85F0F">
        <w:rPr>
          <w:rFonts w:ascii="Traditional Arabic" w:hAnsi="Traditional Arabic"/>
          <w:rtl/>
        </w:rPr>
        <w:t xml:space="preserve"> وعرضها عرضا سهلاً ميسراً</w:t>
      </w:r>
      <w:r w:rsidR="00B76414" w:rsidRPr="00C85F0F">
        <w:rPr>
          <w:rFonts w:ascii="Traditional Arabic" w:hAnsi="Traditional Arabic"/>
          <w:rtl/>
        </w:rPr>
        <w:t>،</w:t>
      </w:r>
      <w:r w:rsidRPr="00C85F0F">
        <w:rPr>
          <w:rFonts w:ascii="Traditional Arabic" w:hAnsi="Traditional Arabic"/>
          <w:rtl/>
        </w:rPr>
        <w:t xml:space="preserve"> يجعل المستمع لتلك الأشرطة يفهم المراد بأسرع وقت</w:t>
      </w:r>
      <w:r w:rsidR="00B76414" w:rsidRPr="00C85F0F">
        <w:rPr>
          <w:rFonts w:ascii="Traditional Arabic" w:hAnsi="Traditional Arabic"/>
          <w:rtl/>
        </w:rPr>
        <w:t>،</w:t>
      </w:r>
      <w:r w:rsidRPr="00C85F0F">
        <w:rPr>
          <w:rFonts w:ascii="Traditional Arabic" w:hAnsi="Traditional Arabic"/>
          <w:rtl/>
        </w:rPr>
        <w:t xml:space="preserve"> لسهولة العبارة وس</w:t>
      </w:r>
      <w:r w:rsidR="009A5761">
        <w:rPr>
          <w:rFonts w:ascii="Traditional Arabic" w:hAnsi="Traditional Arabic" w:hint="cs"/>
          <w:rtl/>
        </w:rPr>
        <w:t>َ</w:t>
      </w:r>
      <w:r w:rsidRPr="00C85F0F">
        <w:rPr>
          <w:rFonts w:ascii="Traditional Arabic" w:hAnsi="Traditional Arabic"/>
          <w:rtl/>
        </w:rPr>
        <w:t>لاستها وب</w:t>
      </w:r>
      <w:r w:rsidR="009A5761">
        <w:rPr>
          <w:rFonts w:ascii="Traditional Arabic" w:hAnsi="Traditional Arabic" w:hint="cs"/>
          <w:rtl/>
        </w:rPr>
        <w:t>ُ</w:t>
      </w:r>
      <w:r w:rsidRPr="00C85F0F">
        <w:rPr>
          <w:rFonts w:ascii="Traditional Arabic" w:hAnsi="Traditional Arabic"/>
          <w:rtl/>
        </w:rPr>
        <w:t>عدها عن التكلُّف</w:t>
      </w:r>
      <w:r w:rsidR="00B76414" w:rsidRPr="00C85F0F">
        <w:rPr>
          <w:rFonts w:ascii="Traditional Arabic" w:hAnsi="Traditional Arabic"/>
          <w:rtl/>
        </w:rPr>
        <w:t>،</w:t>
      </w:r>
      <w:r w:rsidRPr="00C85F0F">
        <w:rPr>
          <w:rFonts w:ascii="Traditional Arabic" w:hAnsi="Traditional Arabic"/>
          <w:rtl/>
        </w:rPr>
        <w:t xml:space="preserve"> وكون الشيخ</w:t>
      </w:r>
      <w:r w:rsidR="00B76414" w:rsidRPr="00C85F0F">
        <w:rPr>
          <w:rFonts w:ascii="Traditional Arabic" w:hAnsi="Traditional Arabic"/>
          <w:rtl/>
        </w:rPr>
        <w:t>.</w:t>
      </w:r>
      <w:r w:rsidRPr="00C85F0F">
        <w:rPr>
          <w:rFonts w:ascii="Traditional Arabic" w:hAnsi="Traditional Arabic"/>
          <w:rtl/>
        </w:rPr>
        <w:t>.. يسوق هذه العبارات عن فقه ور</w:t>
      </w:r>
      <w:r w:rsidR="009A5761">
        <w:rPr>
          <w:rFonts w:ascii="Traditional Arabic" w:hAnsi="Traditional Arabic" w:hint="cs"/>
          <w:rtl/>
        </w:rPr>
        <w:t>َ</w:t>
      </w:r>
      <w:r w:rsidRPr="00C85F0F">
        <w:rPr>
          <w:rFonts w:ascii="Traditional Arabic" w:hAnsi="Traditional Arabic"/>
          <w:rtl/>
        </w:rPr>
        <w:t>و</w:t>
      </w:r>
      <w:r w:rsidR="009A5761">
        <w:rPr>
          <w:rFonts w:ascii="Traditional Arabic" w:hAnsi="Traditional Arabic" w:hint="cs"/>
          <w:rtl/>
        </w:rPr>
        <w:t>ِ</w:t>
      </w:r>
      <w:r w:rsidRPr="00C85F0F">
        <w:rPr>
          <w:rFonts w:ascii="Traditional Arabic" w:hAnsi="Traditional Arabic"/>
          <w:rtl/>
        </w:rPr>
        <w:t>ي</w:t>
      </w:r>
      <w:r w:rsidR="009A5761">
        <w:rPr>
          <w:rFonts w:ascii="Traditional Arabic" w:hAnsi="Traditional Arabic" w:hint="cs"/>
          <w:rtl/>
        </w:rPr>
        <w:t>َّ</w:t>
      </w:r>
      <w:r w:rsidRPr="00C85F0F">
        <w:rPr>
          <w:rFonts w:ascii="Traditional Arabic" w:hAnsi="Traditional Arabic"/>
          <w:rtl/>
        </w:rPr>
        <w:t>ة وتأك</w:t>
      </w:r>
      <w:r w:rsidR="009A5761">
        <w:rPr>
          <w:rFonts w:ascii="Traditional Arabic" w:hAnsi="Traditional Arabic" w:hint="cs"/>
          <w:rtl/>
        </w:rPr>
        <w:t>ُّ</w:t>
      </w:r>
      <w:r w:rsidRPr="00C85F0F">
        <w:rPr>
          <w:rFonts w:ascii="Traditional Arabic" w:hAnsi="Traditional Arabic"/>
          <w:rtl/>
        </w:rPr>
        <w:t>د مما قال</w:t>
      </w:r>
      <w:r w:rsidR="00B76414" w:rsidRPr="00C85F0F">
        <w:rPr>
          <w:rFonts w:ascii="Traditional Arabic" w:hAnsi="Traditional Arabic"/>
          <w:rtl/>
        </w:rPr>
        <w:t>،</w:t>
      </w:r>
      <w:r w:rsidRPr="00C85F0F">
        <w:rPr>
          <w:rFonts w:ascii="Traditional Arabic" w:hAnsi="Traditional Arabic"/>
          <w:rtl/>
        </w:rPr>
        <w:t xml:space="preserve"> مما يجعل لهذه الأشرطة رَوَجَاناً بين طلاب العلم)</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42"/>
      </w:r>
      <w:r w:rsidRPr="00C85F0F">
        <w:rPr>
          <w:rFonts w:ascii="Traditional Arabic" w:hAnsi="Traditional Arabic"/>
          <w:szCs w:val="32"/>
          <w:vertAlign w:val="superscript"/>
          <w:rtl/>
        </w:rPr>
        <w:t>)</w:t>
      </w:r>
      <w:r w:rsidR="00B76414" w:rsidRPr="00C85F0F">
        <w:rPr>
          <w:rFonts w:ascii="Traditional Arabic" w:hAnsi="Traditional Arabic"/>
          <w:rtl/>
        </w:rPr>
        <w:t>.</w:t>
      </w:r>
    </w:p>
    <w:p w:rsidR="00F228A9" w:rsidRPr="00C85F0F" w:rsidRDefault="006F08E1" w:rsidP="00597C20">
      <w:pPr>
        <w:spacing w:line="640" w:lineRule="exact"/>
        <w:jc w:val="lowKashida"/>
        <w:rPr>
          <w:rFonts w:ascii="Traditional Arabic" w:hAnsi="Traditional Arabic"/>
          <w:rtl/>
        </w:rPr>
      </w:pPr>
      <w:r w:rsidRPr="00C85F0F">
        <w:rPr>
          <w:rFonts w:ascii="Traditional Arabic" w:hAnsi="Traditional Arabic"/>
          <w:rtl/>
        </w:rPr>
        <w:lastRenderedPageBreak/>
        <w:t>ويمكن استعراض أبرز الملامح التي امتاز بها هذا الكتاب</w:t>
      </w:r>
      <w:r w:rsidR="00B76414" w:rsidRPr="00C85F0F">
        <w:rPr>
          <w:rFonts w:ascii="Traditional Arabic" w:hAnsi="Traditional Arabic"/>
          <w:rtl/>
        </w:rPr>
        <w:t>،</w:t>
      </w:r>
      <w:r w:rsidRPr="00C85F0F">
        <w:rPr>
          <w:rFonts w:ascii="Traditional Arabic" w:hAnsi="Traditional Arabic"/>
          <w:rtl/>
        </w:rPr>
        <w:t xml:space="preserve"> من خلال النقاط الآتية :</w:t>
      </w:r>
    </w:p>
    <w:p w:rsidR="00F228A9" w:rsidRPr="00C85F0F" w:rsidRDefault="00A57165" w:rsidP="00597C20">
      <w:pPr>
        <w:pStyle w:val="53"/>
        <w:rPr>
          <w:rtl/>
        </w:rPr>
      </w:pPr>
      <w:r>
        <w:rPr>
          <w:rtl/>
        </w:rPr>
        <w:t>(1)</w:t>
      </w:r>
      <w:r w:rsidR="008444A1">
        <w:rPr>
          <w:rFonts w:hint="cs"/>
          <w:rtl/>
        </w:rPr>
        <w:t xml:space="preserve"> </w:t>
      </w:r>
      <w:r>
        <w:rPr>
          <w:rtl/>
        </w:rPr>
        <w:t>ا</w:t>
      </w:r>
      <w:r w:rsidR="006F08E1" w:rsidRPr="00C85F0F">
        <w:rPr>
          <w:rtl/>
        </w:rPr>
        <w:t xml:space="preserve">عتماد </w:t>
      </w:r>
      <w:r>
        <w:rPr>
          <w:rFonts w:hint="cs"/>
          <w:rtl/>
        </w:rPr>
        <w:t xml:space="preserve">الشيخ فيه </w:t>
      </w:r>
      <w:r w:rsidR="006F08E1" w:rsidRPr="00597C20">
        <w:rPr>
          <w:rtl/>
        </w:rPr>
        <w:t>على</w:t>
      </w:r>
      <w:r w:rsidR="006F08E1" w:rsidRPr="00C85F0F">
        <w:rPr>
          <w:rtl/>
        </w:rPr>
        <w:t xml:space="preserve"> الدليل </w:t>
      </w:r>
      <w:r w:rsidR="00DF3DC2">
        <w:rPr>
          <w:rFonts w:hint="cs"/>
          <w:rtl/>
        </w:rPr>
        <w:t>و</w:t>
      </w:r>
      <w:r>
        <w:rPr>
          <w:rFonts w:hint="cs"/>
          <w:rtl/>
        </w:rPr>
        <w:t>تحر</w:t>
      </w:r>
      <w:r w:rsidR="00EE57EC">
        <w:rPr>
          <w:rFonts w:hint="cs"/>
          <w:rtl/>
        </w:rPr>
        <w:t>ُّ</w:t>
      </w:r>
      <w:r>
        <w:rPr>
          <w:rFonts w:hint="cs"/>
          <w:rtl/>
        </w:rPr>
        <w:t>ره</w:t>
      </w:r>
      <w:r w:rsidR="00DF3DC2">
        <w:rPr>
          <w:rFonts w:hint="cs"/>
          <w:rtl/>
        </w:rPr>
        <w:t xml:space="preserve"> فيه </w:t>
      </w:r>
      <w:r w:rsidR="00AF690F">
        <w:rPr>
          <w:rFonts w:hint="cs"/>
          <w:rtl/>
        </w:rPr>
        <w:t>من التعصب المذهبي</w:t>
      </w:r>
      <w:r w:rsidR="006F08E1" w:rsidRPr="00C85F0F">
        <w:rPr>
          <w:rtl/>
        </w:rPr>
        <w:t>:</w:t>
      </w:r>
    </w:p>
    <w:p w:rsidR="00510C76" w:rsidRDefault="006F08E1" w:rsidP="00510C76">
      <w:pPr>
        <w:spacing w:line="640" w:lineRule="exact"/>
        <w:jc w:val="lowKashida"/>
        <w:rPr>
          <w:rFonts w:ascii="Traditional Arabic" w:hAnsi="Traditional Arabic"/>
          <w:rtl/>
        </w:rPr>
      </w:pPr>
      <w:r w:rsidRPr="00C85F0F">
        <w:rPr>
          <w:rFonts w:ascii="Traditional Arabic" w:hAnsi="Traditional Arabic"/>
          <w:rtl/>
        </w:rPr>
        <w:t>هذا الأصل العظيم من أبرز ما تميَّز به الشيخ ابن عثيمين</w:t>
      </w:r>
      <w:r w:rsidR="008444A1">
        <w:rPr>
          <w:rFonts w:ascii="Traditional Arabic" w:hAnsi="Traditional Arabic" w:hint="cs"/>
          <w:rtl/>
        </w:rPr>
        <w:t>_رحمه الله_</w:t>
      </w:r>
      <w:r w:rsidRPr="00C85F0F">
        <w:rPr>
          <w:rFonts w:ascii="Traditional Arabic" w:hAnsi="Traditional Arabic"/>
          <w:rtl/>
        </w:rPr>
        <w:t xml:space="preserve"> في كتابه</w:t>
      </w:r>
      <w:r w:rsidR="00B76414" w:rsidRPr="00C85F0F">
        <w:rPr>
          <w:rFonts w:ascii="Traditional Arabic" w:hAnsi="Traditional Arabic"/>
          <w:rtl/>
        </w:rPr>
        <w:t>،</w:t>
      </w:r>
      <w:r w:rsidRPr="00C85F0F">
        <w:rPr>
          <w:rFonts w:ascii="Traditional Arabic" w:hAnsi="Traditional Arabic"/>
          <w:rtl/>
        </w:rPr>
        <w:t xml:space="preserve"> بل هو ظاهر في جميع ما كتبه</w:t>
      </w:r>
      <w:r w:rsidR="00B76414" w:rsidRPr="00C85F0F">
        <w:rPr>
          <w:rFonts w:ascii="Traditional Arabic" w:hAnsi="Traditional Arabic"/>
          <w:rtl/>
        </w:rPr>
        <w:t>،</w:t>
      </w:r>
      <w:r w:rsidRPr="00C85F0F">
        <w:rPr>
          <w:rFonts w:ascii="Traditional Arabic" w:hAnsi="Traditional Arabic"/>
          <w:rtl/>
        </w:rPr>
        <w:t xml:space="preserve"> أو أفتى به</w:t>
      </w:r>
      <w:r w:rsidR="00B76414" w:rsidRPr="00C85F0F">
        <w:rPr>
          <w:rFonts w:ascii="Traditional Arabic" w:hAnsi="Traditional Arabic"/>
          <w:rtl/>
        </w:rPr>
        <w:t>،</w:t>
      </w:r>
      <w:r w:rsidRPr="00C85F0F">
        <w:rPr>
          <w:rFonts w:ascii="Traditional Arabic" w:hAnsi="Traditional Arabic"/>
          <w:rtl/>
        </w:rPr>
        <w:t xml:space="preserve"> أو قام بشــرحه من كتب أهل العلم</w:t>
      </w:r>
      <w:r w:rsidR="00B76414" w:rsidRPr="00C85F0F">
        <w:rPr>
          <w:rFonts w:ascii="Traditional Arabic" w:hAnsi="Traditional Arabic"/>
          <w:rtl/>
        </w:rPr>
        <w:t>،</w:t>
      </w:r>
      <w:r w:rsidRPr="00C85F0F">
        <w:rPr>
          <w:rFonts w:ascii="Traditional Arabic" w:hAnsi="Traditional Arabic"/>
          <w:rtl/>
        </w:rPr>
        <w:t xml:space="preserve"> فقد كان –</w:t>
      </w:r>
      <w:r w:rsidR="009A0575" w:rsidRPr="005D5694">
        <w:rPr>
          <w:rFonts w:ascii="Traditional Arabic" w:hAnsi="Traditional Arabic" w:cs="CTraditional Arabic" w:hint="cs"/>
          <w:rtl/>
        </w:rPr>
        <w:t>/</w:t>
      </w:r>
      <w:r w:rsidRPr="00C85F0F">
        <w:rPr>
          <w:rFonts w:ascii="Traditional Arabic" w:hAnsi="Traditional Arabic"/>
          <w:rtl/>
        </w:rPr>
        <w:t>– حريصاً على دعم آرائه وترجيحاته بالأدلة والبراهين</w:t>
      </w:r>
      <w:r w:rsidR="00B76414" w:rsidRPr="00C85F0F">
        <w:rPr>
          <w:rFonts w:ascii="Traditional Arabic" w:hAnsi="Traditional Arabic"/>
          <w:rtl/>
        </w:rPr>
        <w:t>،</w:t>
      </w:r>
      <w:r w:rsidRPr="00C85F0F">
        <w:rPr>
          <w:rFonts w:ascii="Traditional Arabic" w:hAnsi="Traditional Arabic"/>
          <w:rtl/>
        </w:rPr>
        <w:t xml:space="preserve"> فقلَّ أن تجد مسألة إلا وهو يعضِّدها بذكر الدليل</w:t>
      </w:r>
      <w:r w:rsidR="00B76414" w:rsidRPr="00C85F0F">
        <w:rPr>
          <w:rFonts w:ascii="Traditional Arabic" w:hAnsi="Traditional Arabic"/>
          <w:rtl/>
        </w:rPr>
        <w:t>،</w:t>
      </w:r>
      <w:r w:rsidRPr="00C85F0F">
        <w:rPr>
          <w:rFonts w:ascii="Traditional Arabic" w:hAnsi="Traditional Arabic"/>
          <w:rtl/>
        </w:rPr>
        <w:t xml:space="preserve"> ويؤكد الشيخ ابن عثيمين </w:t>
      </w:r>
      <w:r w:rsidR="008444A1">
        <w:rPr>
          <w:rFonts w:ascii="Traditional Arabic" w:hAnsi="Traditional Arabic" w:hint="cs"/>
          <w:rtl/>
        </w:rPr>
        <w:t xml:space="preserve">على </w:t>
      </w:r>
      <w:r w:rsidRPr="00C85F0F">
        <w:rPr>
          <w:rFonts w:ascii="Traditional Arabic" w:hAnsi="Traditional Arabic"/>
          <w:rtl/>
        </w:rPr>
        <w:t>هذا الأصل في مقدمة كتابه "الشرح الممتع"</w:t>
      </w:r>
      <w:r w:rsidR="00B76414" w:rsidRPr="00C85F0F">
        <w:rPr>
          <w:rFonts w:ascii="Traditional Arabic" w:hAnsi="Traditional Arabic"/>
          <w:rtl/>
        </w:rPr>
        <w:t>،</w:t>
      </w:r>
      <w:r w:rsidRPr="00C85F0F">
        <w:rPr>
          <w:rFonts w:ascii="Traditional Arabic" w:hAnsi="Traditional Arabic"/>
          <w:rtl/>
        </w:rPr>
        <w:t xml:space="preserve"> حيث يقول : (وبهذا نعرف أهمية الدليل</w:t>
      </w:r>
      <w:r w:rsidR="00B76414" w:rsidRPr="00C85F0F">
        <w:rPr>
          <w:rFonts w:ascii="Traditional Arabic" w:hAnsi="Traditional Arabic"/>
          <w:rtl/>
        </w:rPr>
        <w:t>،</w:t>
      </w:r>
      <w:r w:rsidRPr="00C85F0F">
        <w:rPr>
          <w:rFonts w:ascii="Traditional Arabic" w:hAnsi="Traditional Arabic"/>
          <w:rtl/>
        </w:rPr>
        <w:t xml:space="preserve"> وأن طالب العلم يجب عليه أن يتلقَّى المسائل بدلائلها</w:t>
      </w:r>
      <w:r w:rsidR="00B76414" w:rsidRPr="00C85F0F">
        <w:rPr>
          <w:rFonts w:ascii="Traditional Arabic" w:hAnsi="Traditional Arabic"/>
          <w:rtl/>
        </w:rPr>
        <w:t>،</w:t>
      </w:r>
      <w:r w:rsidRPr="00C85F0F">
        <w:rPr>
          <w:rFonts w:ascii="Traditional Arabic" w:hAnsi="Traditional Arabic"/>
          <w:rtl/>
        </w:rPr>
        <w:t xml:space="preserve"> وهذا هو الذي ينجيه عند الله سبحانه وتعالى</w:t>
      </w:r>
      <w:r w:rsidR="00EE57EC">
        <w:rPr>
          <w:rFonts w:ascii="Traditional Arabic" w:hAnsi="Traditional Arabic" w:hint="cs"/>
          <w:rtl/>
        </w:rPr>
        <w:t>؛</w:t>
      </w:r>
      <w:r w:rsidRPr="00C85F0F">
        <w:rPr>
          <w:rFonts w:ascii="Traditional Arabic" w:hAnsi="Traditional Arabic"/>
          <w:rtl/>
        </w:rPr>
        <w:t xml:space="preserve"> لأن الله سيقول له يوم القيامة </w:t>
      </w:r>
      <w:r w:rsidR="0069012C" w:rsidRPr="00C85F0F">
        <w:rPr>
          <w:rFonts w:ascii="Traditional Arabic" w:hAnsi="Traditional Arabic"/>
          <w:rtl/>
        </w:rPr>
        <w:t xml:space="preserve">: </w:t>
      </w:r>
      <w:bookmarkStart w:id="17" w:name="سورة_القصص_65"/>
      <w:r w:rsidR="007A6CF4" w:rsidRPr="00EF3646">
        <w:rPr>
          <w:rFonts w:ascii="QCF_BSML" w:hAnsi="QCF_BSML" w:cs="QCF_BSML"/>
          <w:color w:val="auto"/>
          <w:rtl/>
          <w:lang w:eastAsia="en-US"/>
        </w:rPr>
        <w:t>ﭽ</w:t>
      </w:r>
      <w:r w:rsidR="007A6CF4" w:rsidRPr="00EF3646">
        <w:rPr>
          <w:rFonts w:ascii="QCF_P393" w:hAnsi="QCF_P393" w:cs="QCF_P393"/>
          <w:color w:val="auto"/>
          <w:rtl/>
          <w:lang w:eastAsia="en-US"/>
        </w:rPr>
        <w:t>ﮢﮣﮤﮥﮦﮧ</w:t>
      </w:r>
      <w:r w:rsidR="007A6CF4" w:rsidRPr="00EF3646">
        <w:rPr>
          <w:rFonts w:ascii="QCF_BSML" w:hAnsi="QCF_BSML" w:cs="QCF_BSML"/>
          <w:color w:val="auto"/>
          <w:rtl/>
          <w:lang w:eastAsia="en-US"/>
        </w:rPr>
        <w:t>ﭼ</w:t>
      </w:r>
      <w:bookmarkEnd w:id="17"/>
      <w:r w:rsidR="007A6CF4">
        <w:rPr>
          <w:rFonts w:ascii="Arial" w:hAnsi="Arial" w:hint="cs"/>
          <w:color w:val="auto"/>
          <w:rtl/>
          <w:lang w:eastAsia="en-US"/>
        </w:rPr>
        <w:t>[</w:t>
      </w:r>
      <w:r w:rsidR="007A6CF4" w:rsidRPr="007A6CF4">
        <w:rPr>
          <w:rFonts w:ascii="Arial" w:hAnsi="Arial"/>
          <w:color w:val="auto"/>
          <w:rtl/>
          <w:lang w:eastAsia="en-US"/>
        </w:rPr>
        <w:t>القصص : 65</w:t>
      </w:r>
      <w:r w:rsidR="007A6CF4">
        <w:rPr>
          <w:rFonts w:ascii="Arial" w:hAnsi="Arial" w:hint="cs"/>
          <w:color w:val="auto"/>
          <w:rtl/>
          <w:lang w:eastAsia="en-US"/>
        </w:rPr>
        <w:t>]</w:t>
      </w:r>
      <w:r w:rsidR="00B76414" w:rsidRPr="00C85F0F">
        <w:rPr>
          <w:rFonts w:ascii="Traditional Arabic" w:hAnsi="Traditional Arabic"/>
          <w:rtl/>
        </w:rPr>
        <w:t>،</w:t>
      </w:r>
      <w:r w:rsidRPr="00C85F0F">
        <w:rPr>
          <w:rFonts w:ascii="Traditional Arabic" w:hAnsi="Traditional Arabic"/>
          <w:rtl/>
        </w:rPr>
        <w:t xml:space="preserve"> ولن يقول : ماذا أجبتم المؤلف الفلاني</w:t>
      </w:r>
      <w:r w:rsidR="00B76414" w:rsidRPr="00C85F0F">
        <w:rPr>
          <w:rFonts w:ascii="Traditional Arabic" w:hAnsi="Traditional Arabic"/>
          <w:rtl/>
        </w:rPr>
        <w:t>،</w:t>
      </w:r>
      <w:r w:rsidRPr="00C85F0F">
        <w:rPr>
          <w:rFonts w:ascii="Traditional Arabic" w:hAnsi="Traditional Arabic"/>
          <w:rtl/>
        </w:rPr>
        <w:t xml:space="preserve"> فإذاً لابد أن نعرف ماذا قالت الرسل لنعمل به)</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43"/>
      </w:r>
      <w:r w:rsidRPr="00C85F0F">
        <w:rPr>
          <w:rFonts w:ascii="Traditional Arabic" w:hAnsi="Traditional Arabic"/>
          <w:szCs w:val="32"/>
          <w:vertAlign w:val="superscript"/>
          <w:rtl/>
        </w:rPr>
        <w:t>)</w:t>
      </w:r>
      <w:r w:rsidR="00B76414" w:rsidRPr="00C85F0F">
        <w:rPr>
          <w:rFonts w:ascii="Traditional Arabic" w:hAnsi="Traditional Arabic"/>
          <w:rtl/>
        </w:rPr>
        <w:t>.</w:t>
      </w:r>
    </w:p>
    <w:p w:rsidR="00F228A9" w:rsidRDefault="00510C76" w:rsidP="00510C76">
      <w:pPr>
        <w:spacing w:line="640" w:lineRule="exact"/>
        <w:jc w:val="lowKashida"/>
        <w:rPr>
          <w:rFonts w:ascii="Traditional Arabic" w:hAnsi="Traditional Arabic"/>
          <w:rtl/>
        </w:rPr>
      </w:pPr>
      <w:r>
        <w:rPr>
          <w:rFonts w:ascii="Traditional Arabic" w:hAnsi="Traditional Arabic" w:hint="cs"/>
          <w:rtl/>
        </w:rPr>
        <w:t xml:space="preserve">ويقول الشيخ _رحمه الله_ عند ترجيح أحد الأقول:( </w:t>
      </w:r>
      <w:r w:rsidR="006F08E1" w:rsidRPr="00C85F0F">
        <w:rPr>
          <w:rFonts w:ascii="Traditional Arabic" w:hAnsi="Traditional Arabic"/>
          <w:rtl/>
        </w:rPr>
        <w:t xml:space="preserve"> </w:t>
      </w:r>
      <w:r w:rsidRPr="00510C76">
        <w:rPr>
          <w:rFonts w:ascii="Traditional Arabic" w:hAnsi="Traditional Arabic"/>
          <w:noProof w:val="0"/>
          <w:rtl/>
          <w:lang w:eastAsia="en-US"/>
        </w:rPr>
        <w:t>وعندي أن هذا أقرب إلى الصواب لو لم يكن فيه إلا اتباع السنة لكان كافيا</w:t>
      </w:r>
      <w:r>
        <w:rPr>
          <w:rFonts w:ascii="Traditional Arabic" w:hAnsi="Traditional Arabic" w:hint="cs"/>
          <w:rtl/>
        </w:rPr>
        <w:t>)</w:t>
      </w:r>
      <w:r w:rsidRPr="00510C76">
        <w:rPr>
          <w:rFonts w:ascii="Traditional Arabic" w:hAnsi="Traditional Arabic" w:hint="cs"/>
          <w:vertAlign w:val="superscript"/>
          <w:rtl/>
        </w:rPr>
        <w:t>(</w:t>
      </w:r>
      <w:r w:rsidRPr="00510C76">
        <w:rPr>
          <w:rStyle w:val="af1"/>
          <w:rFonts w:ascii="Traditional Arabic" w:hAnsi="Traditional Arabic"/>
          <w:rtl/>
        </w:rPr>
        <w:footnoteReference w:id="44"/>
      </w:r>
      <w:r w:rsidRPr="00510C76">
        <w:rPr>
          <w:rFonts w:ascii="Traditional Arabic" w:hAnsi="Traditional Arabic" w:hint="cs"/>
          <w:vertAlign w:val="superscript"/>
          <w:rtl/>
        </w:rPr>
        <w:t>)</w:t>
      </w:r>
      <w:r>
        <w:rPr>
          <w:rFonts w:ascii="Traditional Arabic" w:hAnsi="Traditional Arabic" w:hint="cs"/>
          <w:rtl/>
        </w:rPr>
        <w:t>.</w:t>
      </w:r>
    </w:p>
    <w:p w:rsidR="00510C76" w:rsidRPr="00510C76" w:rsidRDefault="00510C76" w:rsidP="00510C76">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rtl/>
        </w:rPr>
        <w:t xml:space="preserve">    ويقول_ رحمه الله_: (</w:t>
      </w:r>
      <w:r w:rsidRPr="00510C76">
        <w:rPr>
          <w:rFonts w:ascii="Traditional Arabic" w:hAnsi="Traditional Arabic"/>
          <w:noProof w:val="0"/>
          <w:color w:val="auto"/>
          <w:rtl/>
          <w:lang w:eastAsia="en-US"/>
        </w:rPr>
        <w:t>وكما أسلفنا كثيرا أن من رجح قولا على قول</w:t>
      </w:r>
      <w:r>
        <w:rPr>
          <w:rFonts w:ascii="Traditional Arabic" w:hAnsi="Traditional Arabic" w:hint="cs"/>
          <w:noProof w:val="0"/>
          <w:color w:val="auto"/>
          <w:rtl/>
          <w:lang w:eastAsia="en-US"/>
        </w:rPr>
        <w:t>،</w:t>
      </w:r>
      <w:r w:rsidRPr="00510C76">
        <w:rPr>
          <w:rFonts w:ascii="Traditional Arabic" w:hAnsi="Traditional Arabic"/>
          <w:noProof w:val="0"/>
          <w:color w:val="auto"/>
          <w:rtl/>
          <w:lang w:eastAsia="en-US"/>
        </w:rPr>
        <w:t xml:space="preserve"> فلا بد من أمرين:</w:t>
      </w:r>
    </w:p>
    <w:p w:rsidR="00510C76" w:rsidRPr="00510C76" w:rsidRDefault="00510C76" w:rsidP="00510C76">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Pr="00510C76">
        <w:rPr>
          <w:rFonts w:ascii="Traditional Arabic" w:hAnsi="Traditional Arabic"/>
          <w:noProof w:val="0"/>
          <w:color w:val="auto"/>
          <w:rtl/>
          <w:lang w:eastAsia="en-US"/>
        </w:rPr>
        <w:t>الأول: بيان دليل الر</w:t>
      </w:r>
      <w:r w:rsidR="00FF4079">
        <w:rPr>
          <w:rFonts w:ascii="Traditional Arabic" w:hAnsi="Traditional Arabic" w:hint="cs"/>
          <w:noProof w:val="0"/>
          <w:color w:val="auto"/>
          <w:rtl/>
          <w:lang w:eastAsia="en-US"/>
        </w:rPr>
        <w:t>ُّ</w:t>
      </w:r>
      <w:r w:rsidRPr="00510C76">
        <w:rPr>
          <w:rFonts w:ascii="Traditional Arabic" w:hAnsi="Traditional Arabic"/>
          <w:noProof w:val="0"/>
          <w:color w:val="auto"/>
          <w:rtl/>
          <w:lang w:eastAsia="en-US"/>
        </w:rPr>
        <w:t>جحان.</w:t>
      </w:r>
    </w:p>
    <w:p w:rsidR="00510C76" w:rsidRPr="00510C76" w:rsidRDefault="00510C76" w:rsidP="00510C76">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9A5761">
        <w:rPr>
          <w:rFonts w:ascii="Traditional Arabic" w:hAnsi="Traditional Arabic"/>
          <w:noProof w:val="0"/>
          <w:color w:val="auto"/>
          <w:rtl/>
          <w:lang w:eastAsia="en-US"/>
        </w:rPr>
        <w:t xml:space="preserve">والثاني: </w:t>
      </w:r>
      <w:r w:rsidRPr="00510C76">
        <w:rPr>
          <w:rFonts w:ascii="Traditional Arabic" w:hAnsi="Traditional Arabic"/>
          <w:noProof w:val="0"/>
          <w:color w:val="auto"/>
          <w:rtl/>
          <w:lang w:eastAsia="en-US"/>
        </w:rPr>
        <w:t>الإجابة على أدلة الخصوم.</w:t>
      </w:r>
    </w:p>
    <w:p w:rsidR="00510C76" w:rsidRPr="00510C76" w:rsidRDefault="00510C76" w:rsidP="00510C76">
      <w:pPr>
        <w:spacing w:line="640" w:lineRule="exact"/>
        <w:ind w:firstLine="0"/>
        <w:jc w:val="lowKashida"/>
        <w:rPr>
          <w:rFonts w:ascii="Traditional Arabic" w:hAnsi="Traditional Arabic"/>
          <w:color w:val="auto"/>
          <w:rtl/>
        </w:rPr>
      </w:pPr>
      <w:r>
        <w:rPr>
          <w:rFonts w:ascii="Traditional Arabic" w:hAnsi="Traditional Arabic" w:hint="cs"/>
          <w:noProof w:val="0"/>
          <w:color w:val="auto"/>
          <w:rtl/>
          <w:lang w:eastAsia="en-US"/>
        </w:rPr>
        <w:t xml:space="preserve">    </w:t>
      </w:r>
      <w:r w:rsidRPr="00510C76">
        <w:rPr>
          <w:rFonts w:ascii="Traditional Arabic" w:hAnsi="Traditional Arabic"/>
          <w:noProof w:val="0"/>
          <w:color w:val="auto"/>
          <w:rtl/>
          <w:lang w:eastAsia="en-US"/>
        </w:rPr>
        <w:t>ولا يكفي أن تذكر أدلتك حتى ترد</w:t>
      </w:r>
      <w:r>
        <w:rPr>
          <w:rFonts w:ascii="Traditional Arabic" w:hAnsi="Traditional Arabic" w:hint="cs"/>
          <w:noProof w:val="0"/>
          <w:color w:val="auto"/>
          <w:rtl/>
          <w:lang w:eastAsia="en-US"/>
        </w:rPr>
        <w:t>َّ</w:t>
      </w:r>
      <w:r w:rsidRPr="00510C76">
        <w:rPr>
          <w:rFonts w:ascii="Traditional Arabic" w:hAnsi="Traditional Arabic"/>
          <w:noProof w:val="0"/>
          <w:color w:val="auto"/>
          <w:rtl/>
          <w:lang w:eastAsia="en-US"/>
        </w:rPr>
        <w:t xml:space="preserve"> على أدلة خصومك</w:t>
      </w:r>
      <w:r>
        <w:rPr>
          <w:rFonts w:ascii="Traditional Arabic" w:hAnsi="Traditional Arabic" w:hint="cs"/>
          <w:color w:val="auto"/>
          <w:rtl/>
        </w:rPr>
        <w:t>)</w:t>
      </w:r>
      <w:r w:rsidR="00A242B9" w:rsidRPr="00A242B9">
        <w:rPr>
          <w:rFonts w:ascii="Traditional Arabic" w:hAnsi="Traditional Arabic" w:hint="cs"/>
          <w:color w:val="auto"/>
          <w:vertAlign w:val="superscript"/>
          <w:rtl/>
        </w:rPr>
        <w:t>(</w:t>
      </w:r>
      <w:r w:rsidRPr="00A242B9">
        <w:rPr>
          <w:rStyle w:val="af1"/>
          <w:rFonts w:ascii="Traditional Arabic" w:hAnsi="Traditional Arabic"/>
          <w:color w:val="auto"/>
          <w:rtl/>
        </w:rPr>
        <w:footnoteReference w:id="45"/>
      </w:r>
      <w:r w:rsidR="00A242B9" w:rsidRPr="00A242B9">
        <w:rPr>
          <w:rFonts w:ascii="Traditional Arabic" w:hAnsi="Traditional Arabic" w:hint="cs"/>
          <w:color w:val="auto"/>
          <w:vertAlign w:val="superscript"/>
          <w:rtl/>
        </w:rPr>
        <w:t>)</w:t>
      </w:r>
      <w:r>
        <w:rPr>
          <w:rFonts w:ascii="Traditional Arabic" w:hAnsi="Traditional Arabic" w:hint="cs"/>
          <w:color w:val="auto"/>
          <w:rtl/>
        </w:rPr>
        <w:t>.</w:t>
      </w:r>
    </w:p>
    <w:p w:rsidR="006F08E1" w:rsidRPr="00C85F0F" w:rsidRDefault="00A242B9" w:rsidP="00AF690F">
      <w:pPr>
        <w:spacing w:line="620" w:lineRule="exact"/>
        <w:jc w:val="lowKashida"/>
        <w:rPr>
          <w:rFonts w:ascii="Traditional Arabic" w:hAnsi="Traditional Arabic"/>
          <w:rtl/>
        </w:rPr>
      </w:pPr>
      <w:r>
        <w:rPr>
          <w:rFonts w:ascii="Traditional Arabic" w:hAnsi="Traditional Arabic" w:hint="cs"/>
          <w:rtl/>
        </w:rPr>
        <w:t>ف</w:t>
      </w:r>
      <w:r w:rsidR="00AF690F">
        <w:rPr>
          <w:rFonts w:ascii="Traditional Arabic" w:hAnsi="Traditional Arabic" w:hint="cs"/>
          <w:rtl/>
        </w:rPr>
        <w:t>الشيخ_ رحمه الله_ يرج</w:t>
      </w:r>
      <w:r w:rsidR="009A5761">
        <w:rPr>
          <w:rFonts w:ascii="Traditional Arabic" w:hAnsi="Traditional Arabic" w:hint="cs"/>
          <w:rtl/>
        </w:rPr>
        <w:t>ِّ</w:t>
      </w:r>
      <w:r w:rsidR="00AF690F">
        <w:rPr>
          <w:rFonts w:ascii="Traditional Arabic" w:hAnsi="Traditional Arabic" w:hint="cs"/>
          <w:rtl/>
        </w:rPr>
        <w:t>ح ما عليه المذهب ما وافق الدليل</w:t>
      </w:r>
      <w:r w:rsidR="009A5761">
        <w:rPr>
          <w:rFonts w:ascii="Traditional Arabic" w:hAnsi="Traditional Arabic" w:hint="cs"/>
          <w:rtl/>
        </w:rPr>
        <w:t>َ</w:t>
      </w:r>
      <w:r w:rsidR="00AF690F">
        <w:rPr>
          <w:rFonts w:ascii="Traditional Arabic" w:hAnsi="Traditional Arabic" w:hint="cs"/>
          <w:rtl/>
        </w:rPr>
        <w:t>، أما إذا كان المذهب على خلاف الدليل، فإنه يردّه؛</w:t>
      </w:r>
      <w:r w:rsidR="006F08E1" w:rsidRPr="00C85F0F">
        <w:rPr>
          <w:rFonts w:ascii="Traditional Arabic" w:hAnsi="Traditional Arabic"/>
          <w:rtl/>
        </w:rPr>
        <w:t xml:space="preserve"> ولهذا خالف المذهب في كثير من المسائل التي يرى أن الدليل </w:t>
      </w:r>
      <w:r w:rsidR="00AF690F">
        <w:rPr>
          <w:rFonts w:ascii="Traditional Arabic" w:hAnsi="Traditional Arabic" w:hint="cs"/>
          <w:rtl/>
        </w:rPr>
        <w:t xml:space="preserve">على </w:t>
      </w:r>
      <w:r w:rsidR="006F08E1" w:rsidRPr="00C85F0F">
        <w:rPr>
          <w:rFonts w:ascii="Traditional Arabic" w:hAnsi="Traditional Arabic"/>
          <w:rtl/>
        </w:rPr>
        <w:lastRenderedPageBreak/>
        <w:t>خلاف</w:t>
      </w:r>
      <w:r w:rsidR="009A5761">
        <w:rPr>
          <w:rFonts w:ascii="Traditional Arabic" w:hAnsi="Traditional Arabic" w:hint="cs"/>
          <w:rtl/>
        </w:rPr>
        <w:t>ه</w:t>
      </w:r>
      <w:r w:rsidR="00B76414" w:rsidRPr="00C85F0F">
        <w:rPr>
          <w:rFonts w:ascii="Traditional Arabic" w:hAnsi="Traditional Arabic"/>
          <w:rtl/>
        </w:rPr>
        <w:t>،</w:t>
      </w:r>
      <w:r w:rsidR="00251136">
        <w:rPr>
          <w:rFonts w:ascii="Traditional Arabic" w:hAnsi="Traditional Arabic"/>
          <w:rtl/>
        </w:rPr>
        <w:t xml:space="preserve"> ومن </w:t>
      </w:r>
      <w:r w:rsidR="00251136">
        <w:rPr>
          <w:rFonts w:ascii="Traditional Arabic" w:hAnsi="Traditional Arabic" w:hint="cs"/>
          <w:rtl/>
        </w:rPr>
        <w:t>ذلك: جواز بيع المصحف، وجواز بيع الأدهان المتنجِّسة، وجواز بيع الصوف على الظهر، وجواز بيع الفجل والجزر والبصل ونحوها مما هو مستور في الأرض</w:t>
      </w:r>
      <w:r w:rsidR="00C26C1D">
        <w:rPr>
          <w:rFonts w:ascii="Traditional Arabic" w:hAnsi="Traditional Arabic" w:hint="cs"/>
          <w:rtl/>
        </w:rPr>
        <w:t>، وجواز البيع المعلق على شرط</w:t>
      </w:r>
      <w:r w:rsidR="00B76414" w:rsidRPr="00C85F0F">
        <w:rPr>
          <w:rFonts w:ascii="Traditional Arabic" w:hAnsi="Traditional Arabic"/>
          <w:rtl/>
        </w:rPr>
        <w:t>،</w:t>
      </w:r>
      <w:r w:rsidR="006F08E1" w:rsidRPr="00C85F0F">
        <w:rPr>
          <w:rFonts w:ascii="Traditional Arabic" w:hAnsi="Traditional Arabic"/>
          <w:rtl/>
        </w:rPr>
        <w:t xml:space="preserve"> وغيرها من المسائل التي خالف فيها مذهب الحنابلة</w:t>
      </w:r>
      <w:r w:rsidR="006F08E1" w:rsidRPr="00C85F0F">
        <w:rPr>
          <w:rFonts w:ascii="Traditional Arabic" w:hAnsi="Traditional Arabic"/>
          <w:szCs w:val="32"/>
          <w:vertAlign w:val="superscript"/>
          <w:rtl/>
        </w:rPr>
        <w:t>(</w:t>
      </w:r>
      <w:r w:rsidR="006F08E1" w:rsidRPr="00C85F0F">
        <w:rPr>
          <w:rStyle w:val="af1"/>
          <w:rFonts w:ascii="Traditional Arabic" w:hAnsi="Traditional Arabic"/>
          <w:szCs w:val="32"/>
          <w:rtl/>
        </w:rPr>
        <w:footnoteReference w:id="46"/>
      </w:r>
      <w:r w:rsidR="006F08E1" w:rsidRPr="00C85F0F">
        <w:rPr>
          <w:rFonts w:ascii="Traditional Arabic" w:hAnsi="Traditional Arabic"/>
          <w:szCs w:val="32"/>
          <w:vertAlign w:val="superscript"/>
          <w:rtl/>
        </w:rPr>
        <w:t>)</w:t>
      </w:r>
      <w:r w:rsidR="00AF690F">
        <w:rPr>
          <w:rFonts w:ascii="Traditional Arabic" w:hAnsi="Traditional Arabic" w:hint="cs"/>
          <w:rtl/>
        </w:rPr>
        <w:t>.</w:t>
      </w:r>
    </w:p>
    <w:p w:rsidR="00F228A9" w:rsidRPr="00C85F0F" w:rsidRDefault="00AF690F" w:rsidP="00597C20">
      <w:pPr>
        <w:pStyle w:val="53"/>
        <w:rPr>
          <w:rtl/>
        </w:rPr>
      </w:pPr>
      <w:r w:rsidRPr="00C85F0F">
        <w:rPr>
          <w:rtl/>
        </w:rPr>
        <w:t xml:space="preserve"> </w:t>
      </w:r>
      <w:r w:rsidR="00DF3DC2">
        <w:rPr>
          <w:rtl/>
        </w:rPr>
        <w:t>(</w:t>
      </w:r>
      <w:r w:rsidR="00DF3DC2">
        <w:rPr>
          <w:rFonts w:hint="cs"/>
          <w:rtl/>
        </w:rPr>
        <w:t>2</w:t>
      </w:r>
      <w:r w:rsidR="006F08E1" w:rsidRPr="00C85F0F">
        <w:rPr>
          <w:rtl/>
        </w:rPr>
        <w:t xml:space="preserve">) العناية </w:t>
      </w:r>
      <w:r w:rsidR="006F08E1" w:rsidRPr="00597C20">
        <w:rPr>
          <w:rtl/>
        </w:rPr>
        <w:t>بالمسائل</w:t>
      </w:r>
      <w:r w:rsidR="006D63F7">
        <w:rPr>
          <w:rtl/>
        </w:rPr>
        <w:t xml:space="preserve"> ال</w:t>
      </w:r>
      <w:r w:rsidR="006D63F7">
        <w:rPr>
          <w:rFonts w:hint="cs"/>
          <w:rtl/>
        </w:rPr>
        <w:t>معاصرة</w:t>
      </w:r>
      <w:r w:rsidR="006F08E1" w:rsidRPr="00C85F0F">
        <w:rPr>
          <w:rtl/>
        </w:rPr>
        <w:t xml:space="preserve"> :</w:t>
      </w:r>
    </w:p>
    <w:p w:rsidR="00F228A9" w:rsidRDefault="006F08E1" w:rsidP="00597C20">
      <w:pPr>
        <w:spacing w:line="640" w:lineRule="exact"/>
        <w:jc w:val="lowKashida"/>
        <w:rPr>
          <w:rFonts w:ascii="Traditional Arabic" w:hAnsi="Traditional Arabic"/>
          <w:rtl/>
        </w:rPr>
      </w:pPr>
      <w:r w:rsidRPr="00C85F0F">
        <w:rPr>
          <w:rFonts w:ascii="Traditional Arabic" w:hAnsi="Traditional Arabic"/>
          <w:rtl/>
        </w:rPr>
        <w:t>اعتنى الشيخ ابن عثيمين</w:t>
      </w:r>
      <w:r w:rsidR="009A0575" w:rsidRPr="007A6CF4">
        <w:rPr>
          <w:rFonts w:ascii="Traditional Arabic" w:hAnsi="Traditional Arabic" w:cs="CTraditional Arabic" w:hint="cs"/>
          <w:rtl/>
        </w:rPr>
        <w:t>/</w:t>
      </w:r>
      <w:r w:rsidRPr="00C85F0F">
        <w:rPr>
          <w:rFonts w:ascii="Traditional Arabic" w:hAnsi="Traditional Arabic"/>
          <w:rtl/>
        </w:rPr>
        <w:t>في كتابه بتنزيل الفقه على الحوادث الواقعة</w:t>
      </w:r>
      <w:r w:rsidR="00B76414" w:rsidRPr="00C85F0F">
        <w:rPr>
          <w:rFonts w:ascii="Traditional Arabic" w:hAnsi="Traditional Arabic"/>
          <w:rtl/>
        </w:rPr>
        <w:t>،</w:t>
      </w:r>
      <w:r w:rsidRPr="00C85F0F">
        <w:rPr>
          <w:rFonts w:ascii="Traditional Arabic" w:hAnsi="Traditional Arabic"/>
          <w:rtl/>
        </w:rPr>
        <w:t xml:space="preserve"> والنــوازل المعاصرة</w:t>
      </w:r>
      <w:r w:rsidR="004B709B">
        <w:rPr>
          <w:rFonts w:ascii="Traditional Arabic" w:hAnsi="Traditional Arabic" w:hint="cs"/>
          <w:rtl/>
        </w:rPr>
        <w:t xml:space="preserve">، </w:t>
      </w:r>
      <w:r w:rsidR="004B709B">
        <w:rPr>
          <w:rFonts w:ascii="Traditional Arabic" w:hAnsi="Traditional Arabic"/>
          <w:rtl/>
        </w:rPr>
        <w:t>و</w:t>
      </w:r>
      <w:r w:rsidR="004B709B">
        <w:rPr>
          <w:rFonts w:ascii="Traditional Arabic" w:hAnsi="Traditional Arabic" w:hint="cs"/>
          <w:rtl/>
        </w:rPr>
        <w:t>هذه</w:t>
      </w:r>
      <w:r w:rsidRPr="00C85F0F">
        <w:rPr>
          <w:rFonts w:ascii="Traditional Arabic" w:hAnsi="Traditional Arabic"/>
          <w:rtl/>
        </w:rPr>
        <w:t xml:space="preserve"> بعض المسائل </w:t>
      </w:r>
      <w:r w:rsidR="004B709B">
        <w:rPr>
          <w:rFonts w:ascii="Traditional Arabic" w:hAnsi="Traditional Arabic" w:hint="cs"/>
          <w:rtl/>
        </w:rPr>
        <w:t>المعاصرة التي</w:t>
      </w:r>
      <w:r w:rsidRPr="00C85F0F">
        <w:rPr>
          <w:rFonts w:ascii="Traditional Arabic" w:hAnsi="Traditional Arabic"/>
          <w:rtl/>
        </w:rPr>
        <w:t xml:space="preserve"> </w:t>
      </w:r>
      <w:r w:rsidR="00B90A7C">
        <w:rPr>
          <w:rFonts w:ascii="Traditional Arabic" w:hAnsi="Traditional Arabic" w:hint="cs"/>
          <w:rtl/>
        </w:rPr>
        <w:t xml:space="preserve">ذكرها </w:t>
      </w:r>
      <w:r w:rsidRPr="00C85F0F">
        <w:rPr>
          <w:rFonts w:ascii="Traditional Arabic" w:hAnsi="Traditional Arabic"/>
          <w:rtl/>
        </w:rPr>
        <w:t xml:space="preserve">الشيخ </w:t>
      </w:r>
      <w:r w:rsidR="004B709B">
        <w:rPr>
          <w:rFonts w:ascii="Traditional Arabic" w:hAnsi="Traditional Arabic" w:hint="cs"/>
          <w:rtl/>
        </w:rPr>
        <w:t>_رحمه الله_</w:t>
      </w:r>
      <w:r w:rsidR="004B709B">
        <w:rPr>
          <w:rFonts w:ascii="Traditional Arabic" w:hAnsi="Traditional Arabic"/>
          <w:rtl/>
        </w:rPr>
        <w:t>ف</w:t>
      </w:r>
      <w:r w:rsidR="004B709B">
        <w:rPr>
          <w:rFonts w:ascii="Traditional Arabic" w:hAnsi="Traditional Arabic" w:hint="cs"/>
          <w:rtl/>
        </w:rPr>
        <w:t>ي الكتاب</w:t>
      </w:r>
      <w:r w:rsidR="00B90A7C" w:rsidRPr="00B90A7C">
        <w:rPr>
          <w:rFonts w:ascii="Traditional Arabic" w:hAnsi="Traditional Arabic" w:hint="cs"/>
          <w:vertAlign w:val="superscript"/>
          <w:rtl/>
        </w:rPr>
        <w:t>(</w:t>
      </w:r>
      <w:r w:rsidR="00B90A7C" w:rsidRPr="00B90A7C">
        <w:rPr>
          <w:rStyle w:val="af1"/>
          <w:rFonts w:ascii="Traditional Arabic" w:hAnsi="Traditional Arabic"/>
          <w:rtl/>
        </w:rPr>
        <w:footnoteReference w:id="47"/>
      </w:r>
      <w:r w:rsidR="00B90A7C" w:rsidRPr="00B90A7C">
        <w:rPr>
          <w:rFonts w:ascii="Traditional Arabic" w:hAnsi="Traditional Arabic" w:hint="cs"/>
          <w:vertAlign w:val="superscript"/>
          <w:rtl/>
        </w:rPr>
        <w:t>)</w:t>
      </w:r>
      <w:r w:rsidRPr="00C85F0F">
        <w:rPr>
          <w:rFonts w:ascii="Traditional Arabic" w:hAnsi="Traditional Arabic"/>
          <w:rtl/>
        </w:rPr>
        <w:t>:</w:t>
      </w:r>
    </w:p>
    <w:p w:rsidR="00C26C1D" w:rsidRDefault="00825695" w:rsidP="000A76C7">
      <w:pPr>
        <w:pStyle w:val="afc"/>
        <w:numPr>
          <w:ilvl w:val="0"/>
          <w:numId w:val="337"/>
        </w:numPr>
        <w:spacing w:line="640" w:lineRule="exact"/>
        <w:jc w:val="lowKashida"/>
        <w:rPr>
          <w:rFonts w:ascii="Traditional Arabic" w:hAnsi="Traditional Arabic"/>
        </w:rPr>
      </w:pPr>
      <w:r>
        <w:rPr>
          <w:rFonts w:ascii="Traditional Arabic" w:hAnsi="Traditional Arabic" w:hint="cs"/>
          <w:rtl/>
        </w:rPr>
        <w:t>حكم</w:t>
      </w:r>
      <w:r w:rsidR="00C26C1D">
        <w:rPr>
          <w:rFonts w:ascii="Traditional Arabic" w:hAnsi="Traditional Arabic" w:hint="cs"/>
          <w:rtl/>
        </w:rPr>
        <w:t xml:space="preserve"> قطع الأصبع الزائدة بناء على تقدُّم الطب</w:t>
      </w:r>
      <w:r>
        <w:rPr>
          <w:rFonts w:ascii="Traditional Arabic" w:hAnsi="Traditional Arabic" w:hint="cs"/>
          <w:rtl/>
        </w:rPr>
        <w:t xml:space="preserve"> في الزم</w:t>
      </w:r>
      <w:r w:rsidR="00553BA1">
        <w:rPr>
          <w:rFonts w:ascii="Traditional Arabic" w:hAnsi="Traditional Arabic" w:hint="cs"/>
          <w:rtl/>
        </w:rPr>
        <w:t>ن</w:t>
      </w:r>
      <w:r>
        <w:rPr>
          <w:rFonts w:ascii="Traditional Arabic" w:hAnsi="Traditional Arabic" w:hint="cs"/>
          <w:rtl/>
        </w:rPr>
        <w:t xml:space="preserve"> الحاضر</w:t>
      </w:r>
      <w:r w:rsidR="00C26C1D" w:rsidRPr="00C26C1D">
        <w:rPr>
          <w:rFonts w:ascii="Traditional Arabic" w:hAnsi="Traditional Arabic" w:hint="cs"/>
          <w:vertAlign w:val="superscript"/>
          <w:rtl/>
        </w:rPr>
        <w:t>(</w:t>
      </w:r>
      <w:r w:rsidR="00C26C1D" w:rsidRPr="00C26C1D">
        <w:rPr>
          <w:rStyle w:val="af1"/>
          <w:rFonts w:ascii="Traditional Arabic" w:hAnsi="Traditional Arabic"/>
          <w:rtl/>
        </w:rPr>
        <w:footnoteReference w:id="48"/>
      </w:r>
      <w:r w:rsidR="00C26C1D" w:rsidRPr="00C26C1D">
        <w:rPr>
          <w:rFonts w:ascii="Traditional Arabic" w:hAnsi="Traditional Arabic" w:hint="cs"/>
          <w:vertAlign w:val="superscript"/>
          <w:rtl/>
        </w:rPr>
        <w:t>)</w:t>
      </w:r>
      <w:r w:rsidR="00C26C1D">
        <w:rPr>
          <w:rFonts w:ascii="Traditional Arabic" w:hAnsi="Traditional Arabic" w:hint="cs"/>
          <w:rtl/>
        </w:rPr>
        <w:t>.</w:t>
      </w:r>
    </w:p>
    <w:p w:rsidR="00C26C1D" w:rsidRDefault="00825695" w:rsidP="000A76C7">
      <w:pPr>
        <w:pStyle w:val="afc"/>
        <w:numPr>
          <w:ilvl w:val="0"/>
          <w:numId w:val="337"/>
        </w:numPr>
        <w:spacing w:line="640" w:lineRule="exact"/>
        <w:jc w:val="lowKashida"/>
        <w:rPr>
          <w:rFonts w:ascii="Traditional Arabic" w:hAnsi="Traditional Arabic"/>
        </w:rPr>
      </w:pPr>
      <w:r>
        <w:rPr>
          <w:rFonts w:ascii="Traditional Arabic" w:hAnsi="Traditional Arabic" w:hint="cs"/>
          <w:rtl/>
        </w:rPr>
        <w:t xml:space="preserve">حكم </w:t>
      </w:r>
      <w:r w:rsidR="00553BA1">
        <w:rPr>
          <w:rFonts w:ascii="Traditional Arabic" w:hAnsi="Traditional Arabic" w:hint="cs"/>
          <w:rtl/>
        </w:rPr>
        <w:t>ال</w:t>
      </w:r>
      <w:r>
        <w:rPr>
          <w:rFonts w:ascii="Traditional Arabic" w:hAnsi="Traditional Arabic" w:hint="cs"/>
          <w:rtl/>
        </w:rPr>
        <w:t>بيع على التصريف</w:t>
      </w:r>
      <w:r w:rsidRPr="00825695">
        <w:rPr>
          <w:rFonts w:ascii="Traditional Arabic" w:hAnsi="Traditional Arabic" w:hint="cs"/>
          <w:vertAlign w:val="superscript"/>
          <w:rtl/>
        </w:rPr>
        <w:t>(</w:t>
      </w:r>
      <w:r w:rsidRPr="00825695">
        <w:rPr>
          <w:rStyle w:val="af1"/>
          <w:rFonts w:ascii="Traditional Arabic" w:hAnsi="Traditional Arabic"/>
          <w:rtl/>
        </w:rPr>
        <w:footnoteReference w:id="49"/>
      </w:r>
      <w:r w:rsidRPr="00825695">
        <w:rPr>
          <w:rFonts w:ascii="Traditional Arabic" w:hAnsi="Traditional Arabic" w:hint="cs"/>
          <w:vertAlign w:val="superscript"/>
          <w:rtl/>
        </w:rPr>
        <w:t>)</w:t>
      </w:r>
      <w:r>
        <w:rPr>
          <w:rFonts w:ascii="Traditional Arabic" w:hAnsi="Traditional Arabic" w:hint="cs"/>
          <w:rtl/>
        </w:rPr>
        <w:t>.</w:t>
      </w:r>
    </w:p>
    <w:p w:rsidR="00825695" w:rsidRPr="00C26C1D" w:rsidRDefault="00553BA1" w:rsidP="000A76C7">
      <w:pPr>
        <w:pStyle w:val="afc"/>
        <w:numPr>
          <w:ilvl w:val="0"/>
          <w:numId w:val="337"/>
        </w:numPr>
        <w:spacing w:line="640" w:lineRule="exact"/>
        <w:jc w:val="lowKashida"/>
        <w:rPr>
          <w:rFonts w:ascii="Traditional Arabic" w:hAnsi="Traditional Arabic"/>
          <w:rtl/>
        </w:rPr>
      </w:pPr>
      <w:r>
        <w:rPr>
          <w:rFonts w:ascii="Traditional Arabic" w:hAnsi="Traditional Arabic" w:hint="cs"/>
          <w:rtl/>
        </w:rPr>
        <w:t>حكم التأمين</w:t>
      </w:r>
      <w:r w:rsidRPr="00553BA1">
        <w:rPr>
          <w:rFonts w:ascii="Traditional Arabic" w:hAnsi="Traditional Arabic" w:hint="cs"/>
          <w:vertAlign w:val="superscript"/>
          <w:rtl/>
        </w:rPr>
        <w:t>(</w:t>
      </w:r>
      <w:r w:rsidRPr="00553BA1">
        <w:rPr>
          <w:rStyle w:val="af1"/>
          <w:rFonts w:ascii="Traditional Arabic" w:hAnsi="Traditional Arabic"/>
          <w:rtl/>
        </w:rPr>
        <w:footnoteReference w:id="50"/>
      </w:r>
      <w:r w:rsidRPr="00553BA1">
        <w:rPr>
          <w:rFonts w:ascii="Traditional Arabic" w:hAnsi="Traditional Arabic" w:hint="cs"/>
          <w:vertAlign w:val="superscript"/>
          <w:rtl/>
        </w:rPr>
        <w:t>)</w:t>
      </w:r>
      <w:r>
        <w:rPr>
          <w:rFonts w:ascii="Traditional Arabic" w:hAnsi="Traditional Arabic" w:hint="cs"/>
          <w:rtl/>
        </w:rPr>
        <w:t>.</w:t>
      </w:r>
    </w:p>
    <w:p w:rsidR="00F228A9" w:rsidRPr="00C85F0F" w:rsidRDefault="00DF3DC2" w:rsidP="00597C20">
      <w:pPr>
        <w:pStyle w:val="53"/>
        <w:rPr>
          <w:rtl/>
        </w:rPr>
      </w:pPr>
      <w:r>
        <w:rPr>
          <w:rFonts w:hint="cs"/>
          <w:rtl/>
        </w:rPr>
        <w:lastRenderedPageBreak/>
        <w:t>(3</w:t>
      </w:r>
      <w:r w:rsidR="006F08E1" w:rsidRPr="00C85F0F">
        <w:rPr>
          <w:rtl/>
        </w:rPr>
        <w:t>) الوضوح والبيان :</w:t>
      </w:r>
    </w:p>
    <w:p w:rsidR="006F08E1" w:rsidRPr="00C85F0F" w:rsidRDefault="006F08E1" w:rsidP="004B709B">
      <w:pPr>
        <w:spacing w:line="640" w:lineRule="exact"/>
        <w:jc w:val="lowKashida"/>
        <w:rPr>
          <w:rFonts w:ascii="Traditional Arabic" w:hAnsi="Traditional Arabic"/>
          <w:rtl/>
        </w:rPr>
      </w:pPr>
      <w:r w:rsidRPr="00C85F0F">
        <w:rPr>
          <w:rFonts w:ascii="Traditional Arabic" w:hAnsi="Traditional Arabic"/>
          <w:rtl/>
        </w:rPr>
        <w:t xml:space="preserve">ضرب الشيخ ابن عثيمين </w:t>
      </w:r>
      <w:r w:rsidR="009A0575" w:rsidRPr="007A6CF4">
        <w:rPr>
          <w:rFonts w:ascii="Traditional Arabic" w:hAnsi="Traditional Arabic" w:cs="CTraditional Arabic" w:hint="cs"/>
          <w:rtl/>
        </w:rPr>
        <w:t>/</w:t>
      </w:r>
      <w:r w:rsidRPr="00C85F0F">
        <w:rPr>
          <w:rFonts w:ascii="Traditional Arabic" w:hAnsi="Traditional Arabic"/>
          <w:rtl/>
        </w:rPr>
        <w:t xml:space="preserve"> أروع الأمثلة في تيسير العلم الشرعي</w:t>
      </w:r>
      <w:r w:rsidR="00B76414" w:rsidRPr="00C85F0F">
        <w:rPr>
          <w:rFonts w:ascii="Traditional Arabic" w:hAnsi="Traditional Arabic"/>
          <w:rtl/>
        </w:rPr>
        <w:t>،</w:t>
      </w:r>
      <w:r w:rsidRPr="00C85F0F">
        <w:rPr>
          <w:rFonts w:ascii="Traditional Arabic" w:hAnsi="Traditional Arabic"/>
          <w:rtl/>
        </w:rPr>
        <w:t xml:space="preserve"> وإيصاله للناس بأسهل عبارة</w:t>
      </w:r>
      <w:r w:rsidR="00B76414" w:rsidRPr="00C85F0F">
        <w:rPr>
          <w:rFonts w:ascii="Traditional Arabic" w:hAnsi="Traditional Arabic"/>
          <w:rtl/>
        </w:rPr>
        <w:t>،</w:t>
      </w:r>
      <w:r w:rsidRPr="00C85F0F">
        <w:rPr>
          <w:rFonts w:ascii="Traditional Arabic" w:hAnsi="Traditional Arabic"/>
          <w:rtl/>
        </w:rPr>
        <w:t xml:space="preserve"> بحيث تبدو المسألة المطروحة في غاية الوضوح والبيان</w:t>
      </w:r>
      <w:r w:rsidR="00B76414" w:rsidRPr="00C85F0F">
        <w:rPr>
          <w:rFonts w:ascii="Traditional Arabic" w:hAnsi="Traditional Arabic"/>
          <w:rtl/>
        </w:rPr>
        <w:t>،</w:t>
      </w:r>
      <w:r w:rsidRPr="00C85F0F">
        <w:rPr>
          <w:rFonts w:ascii="Traditional Arabic" w:hAnsi="Traditional Arabic"/>
          <w:rtl/>
        </w:rPr>
        <w:t xml:space="preserve"> فقد كان الشيخ – </w:t>
      </w:r>
      <w:r w:rsidR="009A0575" w:rsidRPr="007A6CF4">
        <w:rPr>
          <w:rFonts w:ascii="Traditional Arabic" w:hAnsi="Traditional Arabic" w:cs="CTraditional Arabic" w:hint="cs"/>
          <w:rtl/>
        </w:rPr>
        <w:t>/</w:t>
      </w:r>
      <w:r w:rsidRPr="00C85F0F">
        <w:rPr>
          <w:rFonts w:ascii="Traditional Arabic" w:hAnsi="Traditional Arabic"/>
          <w:rtl/>
        </w:rPr>
        <w:t xml:space="preserve"> – بعيداً </w:t>
      </w:r>
      <w:r w:rsidR="004B709B">
        <w:rPr>
          <w:rFonts w:ascii="Traditional Arabic" w:hAnsi="Traditional Arabic" w:hint="cs"/>
          <w:rtl/>
        </w:rPr>
        <w:t xml:space="preserve"> </w:t>
      </w:r>
      <w:r w:rsidR="004B709B">
        <w:rPr>
          <w:rFonts w:ascii="Traditional Arabic" w:hAnsi="Traditional Arabic"/>
          <w:rtl/>
        </w:rPr>
        <w:t>كل البعد عن الغم</w:t>
      </w:r>
      <w:r w:rsidR="004B709B">
        <w:rPr>
          <w:rFonts w:ascii="Traditional Arabic" w:hAnsi="Traditional Arabic" w:hint="cs"/>
          <w:rtl/>
        </w:rPr>
        <w:t>وض</w:t>
      </w:r>
      <w:r w:rsidR="00B76414" w:rsidRPr="00C85F0F">
        <w:rPr>
          <w:rFonts w:ascii="Traditional Arabic" w:hAnsi="Traditional Arabic"/>
          <w:rtl/>
        </w:rPr>
        <w:t>،</w:t>
      </w:r>
      <w:r w:rsidR="004B709B">
        <w:rPr>
          <w:rFonts w:ascii="Traditional Arabic" w:hAnsi="Traditional Arabic"/>
          <w:rtl/>
        </w:rPr>
        <w:t xml:space="preserve"> </w:t>
      </w:r>
      <w:r w:rsidRPr="00C85F0F">
        <w:rPr>
          <w:rFonts w:ascii="Traditional Arabic" w:hAnsi="Traditional Arabic"/>
          <w:rtl/>
        </w:rPr>
        <w:t xml:space="preserve"> </w:t>
      </w:r>
      <w:r w:rsidR="004B709B">
        <w:rPr>
          <w:rFonts w:ascii="Traditional Arabic" w:hAnsi="Traditional Arabic" w:hint="cs"/>
          <w:rtl/>
        </w:rPr>
        <w:t xml:space="preserve">مما يجعل القارئ </w:t>
      </w:r>
      <w:r w:rsidR="004B709B">
        <w:rPr>
          <w:rFonts w:ascii="Traditional Arabic" w:hAnsi="Traditional Arabic"/>
          <w:rtl/>
        </w:rPr>
        <w:t>يفهم</w:t>
      </w:r>
      <w:r w:rsidRPr="00C85F0F">
        <w:rPr>
          <w:rFonts w:ascii="Traditional Arabic" w:hAnsi="Traditional Arabic"/>
          <w:rtl/>
        </w:rPr>
        <w:t xml:space="preserve"> المراد بمجرَّد القراءة دون معاناة أو جهد في الفهم</w:t>
      </w:r>
      <w:r w:rsidR="00B76414" w:rsidRPr="00C85F0F">
        <w:rPr>
          <w:rFonts w:ascii="Traditional Arabic" w:hAnsi="Traditional Arabic"/>
          <w:rtl/>
        </w:rPr>
        <w:t>،</w:t>
      </w:r>
      <w:r w:rsidRPr="00C85F0F">
        <w:rPr>
          <w:rFonts w:ascii="Traditional Arabic" w:hAnsi="Traditional Arabic"/>
          <w:rtl/>
        </w:rPr>
        <w:t xml:space="preserve"> فعندما تقرأ هذا الشرح – ولاسيما في المجلــدات الأولى – تبدو وكأنك تقرأ</w:t>
      </w:r>
      <w:r w:rsidR="003F25B1">
        <w:rPr>
          <w:rFonts w:ascii="Traditional Arabic" w:hAnsi="Traditional Arabic" w:hint="cs"/>
          <w:rtl/>
        </w:rPr>
        <w:t xml:space="preserve"> </w:t>
      </w:r>
      <w:r w:rsidRPr="00C85F0F">
        <w:rPr>
          <w:rFonts w:ascii="Traditional Arabic" w:hAnsi="Traditional Arabic"/>
          <w:rtl/>
        </w:rPr>
        <w:t xml:space="preserve"> ك</w:t>
      </w:r>
      <w:r w:rsidR="003F25B1">
        <w:rPr>
          <w:rFonts w:ascii="Traditional Arabic" w:hAnsi="Traditional Arabic" w:hint="cs"/>
          <w:rtl/>
        </w:rPr>
        <w:t>ُ</w:t>
      </w:r>
      <w:r w:rsidRPr="00C85F0F">
        <w:rPr>
          <w:rFonts w:ascii="Traditional Arabic" w:hAnsi="Traditional Arabic"/>
          <w:rtl/>
        </w:rPr>
        <w:t>تيباً لطيفاً سرعان ما ينقضي</w:t>
      </w:r>
      <w:r w:rsidR="00B76414" w:rsidRPr="00C85F0F">
        <w:rPr>
          <w:rFonts w:ascii="Traditional Arabic" w:hAnsi="Traditional Arabic"/>
          <w:rtl/>
        </w:rPr>
        <w:t>،</w:t>
      </w:r>
      <w:r w:rsidRPr="00C85F0F">
        <w:rPr>
          <w:rFonts w:ascii="Traditional Arabic" w:hAnsi="Traditional Arabic"/>
          <w:rtl/>
        </w:rPr>
        <w:t xml:space="preserve"> فتدخل في عالم جميل تحفّه لمسات العثيمين الرائعـة وكنوز علمه الوافرة</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51"/>
      </w:r>
      <w:r w:rsidRPr="00C85F0F">
        <w:rPr>
          <w:rFonts w:ascii="Traditional Arabic" w:hAnsi="Traditional Arabic"/>
          <w:szCs w:val="32"/>
          <w:vertAlign w:val="superscript"/>
          <w:rtl/>
        </w:rPr>
        <w:t>)</w:t>
      </w:r>
      <w:r w:rsidR="004B709B">
        <w:rPr>
          <w:rFonts w:ascii="Traditional Arabic" w:hAnsi="Traditional Arabic" w:hint="cs"/>
          <w:rtl/>
        </w:rPr>
        <w:t>.</w:t>
      </w:r>
    </w:p>
    <w:p w:rsidR="00F228A9" w:rsidRPr="00C85F0F" w:rsidRDefault="00DF3DC2" w:rsidP="00597C20">
      <w:pPr>
        <w:pStyle w:val="53"/>
        <w:rPr>
          <w:rtl/>
        </w:rPr>
      </w:pPr>
      <w:r>
        <w:rPr>
          <w:rtl/>
        </w:rPr>
        <w:t>(</w:t>
      </w:r>
      <w:r>
        <w:rPr>
          <w:rFonts w:hint="cs"/>
          <w:rtl/>
        </w:rPr>
        <w:t>4</w:t>
      </w:r>
      <w:r w:rsidR="006F08E1" w:rsidRPr="00C85F0F">
        <w:rPr>
          <w:rtl/>
        </w:rPr>
        <w:t xml:space="preserve">) </w:t>
      </w:r>
      <w:r w:rsidR="006F08E1" w:rsidRPr="00597C20">
        <w:rPr>
          <w:rtl/>
        </w:rPr>
        <w:t>العناية</w:t>
      </w:r>
      <w:r w:rsidR="006F08E1" w:rsidRPr="00C85F0F">
        <w:rPr>
          <w:rtl/>
        </w:rPr>
        <w:t xml:space="preserve"> بالقواعد :</w:t>
      </w:r>
    </w:p>
    <w:p w:rsidR="006F08E1" w:rsidRPr="00C85F0F" w:rsidRDefault="006F08E1" w:rsidP="003F25B1">
      <w:pPr>
        <w:spacing w:line="640" w:lineRule="exact"/>
        <w:jc w:val="lowKashida"/>
        <w:rPr>
          <w:rFonts w:ascii="Traditional Arabic" w:hAnsi="Traditional Arabic"/>
          <w:rtl/>
        </w:rPr>
      </w:pPr>
      <w:r w:rsidRPr="00C85F0F">
        <w:rPr>
          <w:rFonts w:ascii="Traditional Arabic" w:hAnsi="Traditional Arabic"/>
          <w:rtl/>
        </w:rPr>
        <w:t>إن المطَّلع على كتاب الشرح الممتع</w:t>
      </w:r>
      <w:r w:rsidR="00B76414" w:rsidRPr="00C85F0F">
        <w:rPr>
          <w:rFonts w:ascii="Traditional Arabic" w:hAnsi="Traditional Arabic"/>
          <w:rtl/>
        </w:rPr>
        <w:t>،</w:t>
      </w:r>
      <w:r w:rsidRPr="00C85F0F">
        <w:rPr>
          <w:rFonts w:ascii="Traditional Arabic" w:hAnsi="Traditional Arabic"/>
          <w:rtl/>
        </w:rPr>
        <w:t xml:space="preserve"> يلحظ أن الجانب التقعيدي سمة ظاهرة في منهج الشيخ ابن عثيمين </w:t>
      </w:r>
      <w:r w:rsidR="009A0575" w:rsidRPr="007A6CF4">
        <w:rPr>
          <w:rFonts w:ascii="Traditional Arabic" w:hAnsi="Traditional Arabic" w:cs="CTraditional Arabic" w:hint="cs"/>
          <w:rtl/>
        </w:rPr>
        <w:t>/</w:t>
      </w:r>
      <w:r w:rsidRPr="00C85F0F">
        <w:rPr>
          <w:rFonts w:ascii="Traditional Arabic" w:hAnsi="Traditional Arabic"/>
          <w:rtl/>
        </w:rPr>
        <w:t>، فقد اشتمل الكتاب على عدد من القواعد الفقهية</w:t>
      </w:r>
      <w:r w:rsidR="00B76414" w:rsidRPr="00C85F0F">
        <w:rPr>
          <w:rFonts w:ascii="Traditional Arabic" w:hAnsi="Traditional Arabic"/>
          <w:rtl/>
        </w:rPr>
        <w:t>،</w:t>
      </w:r>
      <w:r w:rsidRPr="00C85F0F">
        <w:rPr>
          <w:rFonts w:ascii="Traditional Arabic" w:hAnsi="Traditional Arabic"/>
          <w:rtl/>
        </w:rPr>
        <w:t xml:space="preserve"> والأصولية</w:t>
      </w:r>
      <w:r w:rsidR="00B76414" w:rsidRPr="00C85F0F">
        <w:rPr>
          <w:rFonts w:ascii="Traditional Arabic" w:hAnsi="Traditional Arabic"/>
          <w:rtl/>
        </w:rPr>
        <w:t>،</w:t>
      </w:r>
      <w:r w:rsidRPr="00C85F0F">
        <w:rPr>
          <w:rFonts w:ascii="Traditional Arabic" w:hAnsi="Traditional Arabic"/>
          <w:rtl/>
        </w:rPr>
        <w:t xml:space="preserve"> واللغوية</w:t>
      </w:r>
      <w:r w:rsidR="00B76414" w:rsidRPr="00C85F0F">
        <w:rPr>
          <w:rFonts w:ascii="Traditional Arabic" w:hAnsi="Traditional Arabic"/>
          <w:rtl/>
        </w:rPr>
        <w:t>،</w:t>
      </w:r>
      <w:r w:rsidRPr="00C85F0F">
        <w:rPr>
          <w:rFonts w:ascii="Traditional Arabic" w:hAnsi="Traditional Arabic"/>
          <w:rtl/>
        </w:rPr>
        <w:t xml:space="preserve"> والتفسيرية</w:t>
      </w:r>
      <w:r w:rsidR="00B76414" w:rsidRPr="00C85F0F">
        <w:rPr>
          <w:rFonts w:ascii="Traditional Arabic" w:hAnsi="Traditional Arabic"/>
          <w:rtl/>
        </w:rPr>
        <w:t>،</w:t>
      </w:r>
      <w:r w:rsidRPr="00C85F0F">
        <w:rPr>
          <w:rFonts w:ascii="Traditional Arabic" w:hAnsi="Traditional Arabic"/>
          <w:rtl/>
        </w:rPr>
        <w:t xml:space="preserve"> وغيرها</w:t>
      </w:r>
      <w:r w:rsidR="00B76414" w:rsidRPr="00C85F0F">
        <w:rPr>
          <w:rFonts w:ascii="Traditional Arabic" w:hAnsi="Traditional Arabic"/>
          <w:rtl/>
        </w:rPr>
        <w:t>،</w:t>
      </w:r>
      <w:r w:rsidRPr="00C85F0F">
        <w:rPr>
          <w:rFonts w:ascii="Traditional Arabic" w:hAnsi="Traditional Arabic"/>
          <w:rtl/>
        </w:rPr>
        <w:t xml:space="preserve"> مما يدلُّ على عناية الشيخ ابن عثيمين بتأصيل المسائل العلمية</w:t>
      </w:r>
      <w:r w:rsidR="00B76414" w:rsidRPr="00C85F0F">
        <w:rPr>
          <w:rFonts w:ascii="Traditional Arabic" w:hAnsi="Traditional Arabic"/>
          <w:rtl/>
        </w:rPr>
        <w:t>،</w:t>
      </w:r>
      <w:r w:rsidR="004B709B">
        <w:rPr>
          <w:rFonts w:ascii="Traditional Arabic" w:hAnsi="Traditional Arabic"/>
          <w:rtl/>
        </w:rPr>
        <w:t xml:space="preserve"> وربطها بقواعدها التي ت</w:t>
      </w:r>
      <w:r w:rsidR="004B709B">
        <w:rPr>
          <w:rFonts w:ascii="Traditional Arabic" w:hAnsi="Traditional Arabic" w:hint="cs"/>
          <w:rtl/>
        </w:rPr>
        <w:t>نبني عليها</w:t>
      </w:r>
      <w:r w:rsidR="00B76414" w:rsidRPr="00C85F0F">
        <w:rPr>
          <w:rFonts w:ascii="Traditional Arabic" w:hAnsi="Traditional Arabic"/>
          <w:rtl/>
        </w:rPr>
        <w:t>.</w:t>
      </w:r>
      <w:r w:rsidRPr="00C85F0F">
        <w:rPr>
          <w:rFonts w:ascii="Traditional Arabic" w:hAnsi="Traditional Arabic"/>
          <w:rtl/>
        </w:rPr>
        <w:t xml:space="preserve"> وإليك أمثلة على ذلك :</w:t>
      </w:r>
    </w:p>
    <w:p w:rsidR="006F08E1" w:rsidRDefault="006F08E1" w:rsidP="000A76C7">
      <w:pPr>
        <w:numPr>
          <w:ilvl w:val="0"/>
          <w:numId w:val="41"/>
        </w:numPr>
        <w:tabs>
          <w:tab w:val="clear" w:pos="1339"/>
          <w:tab w:val="num" w:pos="943"/>
        </w:tabs>
        <w:spacing w:line="640" w:lineRule="exact"/>
        <w:ind w:left="943" w:hanging="489"/>
        <w:jc w:val="lowKashida"/>
        <w:rPr>
          <w:rFonts w:ascii="Traditional Arabic" w:hAnsi="Traditional Arabic"/>
        </w:rPr>
      </w:pPr>
      <w:r w:rsidRPr="00C85F0F">
        <w:rPr>
          <w:rFonts w:ascii="Traditional Arabic" w:hAnsi="Traditional Arabic"/>
          <w:rtl/>
        </w:rPr>
        <w:t>مثال على قاعدة أصولية</w:t>
      </w:r>
      <w:r w:rsidR="00B76414" w:rsidRPr="00C85F0F">
        <w:rPr>
          <w:rFonts w:ascii="Traditional Arabic" w:hAnsi="Traditional Arabic"/>
          <w:rtl/>
        </w:rPr>
        <w:t>،</w:t>
      </w:r>
      <w:r w:rsidR="003F25B1">
        <w:rPr>
          <w:rFonts w:ascii="Traditional Arabic" w:hAnsi="Traditional Arabic"/>
          <w:rtl/>
        </w:rPr>
        <w:t xml:space="preserve"> قوله </w:t>
      </w:r>
      <w:r w:rsidR="003F25B1">
        <w:rPr>
          <w:rFonts w:ascii="Traditional Arabic" w:hAnsi="Traditional Arabic" w:hint="cs"/>
          <w:rtl/>
        </w:rPr>
        <w:t>(المفهوم لا عموم له</w:t>
      </w:r>
      <w:r w:rsidRPr="00C85F0F">
        <w:rPr>
          <w:rFonts w:ascii="Traditional Arabic" w:hAnsi="Traditional Arabic"/>
          <w:rtl/>
        </w:rPr>
        <w:t>)</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52"/>
      </w:r>
      <w:r w:rsidRPr="00C85F0F">
        <w:rPr>
          <w:rFonts w:ascii="Traditional Arabic" w:hAnsi="Traditional Arabic"/>
          <w:szCs w:val="32"/>
          <w:vertAlign w:val="superscript"/>
          <w:rtl/>
        </w:rPr>
        <w:t>)</w:t>
      </w:r>
      <w:r w:rsidR="00B76414" w:rsidRPr="00C85F0F">
        <w:rPr>
          <w:rFonts w:ascii="Traditional Arabic" w:hAnsi="Traditional Arabic"/>
          <w:rtl/>
        </w:rPr>
        <w:t>.</w:t>
      </w:r>
    </w:p>
    <w:p w:rsidR="000A76C7" w:rsidRPr="000A76C7" w:rsidRDefault="000A76C7" w:rsidP="000A76C7">
      <w:pPr>
        <w:numPr>
          <w:ilvl w:val="0"/>
          <w:numId w:val="41"/>
        </w:numPr>
        <w:tabs>
          <w:tab w:val="clear" w:pos="1339"/>
          <w:tab w:val="num" w:pos="943"/>
        </w:tabs>
        <w:spacing w:line="640" w:lineRule="exact"/>
        <w:ind w:left="943" w:hanging="489"/>
        <w:jc w:val="lowKashida"/>
        <w:rPr>
          <w:rFonts w:ascii="Traditional Arabic" w:hAnsi="Traditional Arabic"/>
          <w:color w:val="auto"/>
        </w:rPr>
      </w:pPr>
      <w:r>
        <w:rPr>
          <w:rFonts w:ascii="Traditional Arabic" w:hAnsi="Traditional Arabic" w:hint="cs"/>
          <w:rtl/>
        </w:rPr>
        <w:t>مثال على قاعدة نحوية، قوله: (</w:t>
      </w:r>
      <w:r w:rsidRPr="000A76C7">
        <w:rPr>
          <w:rFonts w:ascii="Traditional Arabic" w:hAnsi="Traditional Arabic"/>
          <w:noProof w:val="0"/>
          <w:color w:val="auto"/>
          <w:rtl/>
          <w:lang w:eastAsia="en-US"/>
        </w:rPr>
        <w:t>والمعروف أن كل مجرور لا بد له من عامل يتعلق به، وهذا العامل إما مذكور وإما محذوف، فإن كان مذكورا فالأمر واضح، وإن كان محذوفا فلا بد أن يقد</w:t>
      </w:r>
      <w:r w:rsidR="004F4D45">
        <w:rPr>
          <w:rFonts w:ascii="Traditional Arabic" w:hAnsi="Traditional Arabic" w:hint="cs"/>
          <w:noProof w:val="0"/>
          <w:color w:val="auto"/>
          <w:rtl/>
          <w:lang w:eastAsia="en-US"/>
        </w:rPr>
        <w:t>َّ</w:t>
      </w:r>
      <w:r w:rsidRPr="000A76C7">
        <w:rPr>
          <w:rFonts w:ascii="Traditional Arabic" w:hAnsi="Traditional Arabic"/>
          <w:noProof w:val="0"/>
          <w:color w:val="auto"/>
          <w:rtl/>
          <w:lang w:eastAsia="en-US"/>
        </w:rPr>
        <w:t>ر بما يناسب السياق</w:t>
      </w:r>
      <w:r>
        <w:rPr>
          <w:rFonts w:ascii="Traditional Arabic" w:hAnsi="Traditional Arabic" w:hint="cs"/>
          <w:color w:val="auto"/>
          <w:rtl/>
        </w:rPr>
        <w:t>)</w:t>
      </w:r>
      <w:r w:rsidR="004F4D45" w:rsidRPr="004F4D45">
        <w:rPr>
          <w:rFonts w:ascii="Traditional Arabic" w:hAnsi="Traditional Arabic" w:hint="cs"/>
          <w:color w:val="auto"/>
          <w:vertAlign w:val="superscript"/>
          <w:rtl/>
        </w:rPr>
        <w:t>(</w:t>
      </w:r>
      <w:r w:rsidRPr="004F4D45">
        <w:rPr>
          <w:rStyle w:val="af1"/>
          <w:rFonts w:ascii="Traditional Arabic" w:hAnsi="Traditional Arabic"/>
          <w:color w:val="auto"/>
          <w:rtl/>
        </w:rPr>
        <w:footnoteReference w:id="53"/>
      </w:r>
      <w:r w:rsidR="004F4D45" w:rsidRPr="004F4D45">
        <w:rPr>
          <w:rFonts w:ascii="Traditional Arabic" w:hAnsi="Traditional Arabic" w:hint="cs"/>
          <w:color w:val="auto"/>
          <w:vertAlign w:val="superscript"/>
          <w:rtl/>
        </w:rPr>
        <w:t>)</w:t>
      </w:r>
      <w:r>
        <w:rPr>
          <w:rFonts w:ascii="Traditional Arabic" w:hAnsi="Traditional Arabic" w:hint="cs"/>
          <w:color w:val="auto"/>
          <w:rtl/>
        </w:rPr>
        <w:t>.</w:t>
      </w:r>
    </w:p>
    <w:p w:rsidR="006F08E1" w:rsidRDefault="006F08E1" w:rsidP="000A76C7">
      <w:pPr>
        <w:numPr>
          <w:ilvl w:val="0"/>
          <w:numId w:val="41"/>
        </w:numPr>
        <w:tabs>
          <w:tab w:val="clear" w:pos="1339"/>
          <w:tab w:val="num" w:pos="943"/>
        </w:tabs>
        <w:spacing w:line="640" w:lineRule="exact"/>
        <w:ind w:left="943" w:hanging="489"/>
        <w:jc w:val="lowKashida"/>
        <w:rPr>
          <w:rFonts w:ascii="Traditional Arabic" w:hAnsi="Traditional Arabic"/>
        </w:rPr>
      </w:pPr>
      <w:r w:rsidRPr="00C85F0F">
        <w:rPr>
          <w:rFonts w:ascii="Traditional Arabic" w:hAnsi="Traditional Arabic"/>
          <w:rtl/>
        </w:rPr>
        <w:t>مثال على قاعدة تفسيرية</w:t>
      </w:r>
      <w:r w:rsidR="00B76414" w:rsidRPr="00C85F0F">
        <w:rPr>
          <w:rFonts w:ascii="Traditional Arabic" w:hAnsi="Traditional Arabic"/>
          <w:rtl/>
        </w:rPr>
        <w:t>،</w:t>
      </w:r>
      <w:r w:rsidRPr="00C85F0F">
        <w:rPr>
          <w:rFonts w:ascii="Traditional Arabic" w:hAnsi="Traditional Arabic"/>
          <w:rtl/>
        </w:rPr>
        <w:t xml:space="preserve"> قوله : (كل معنيين يحتملهما اللفظ القرآني أو اللفظ النبوي </w:t>
      </w:r>
      <w:r w:rsidRPr="00C85F0F">
        <w:rPr>
          <w:rFonts w:ascii="Traditional Arabic" w:hAnsi="Traditional Arabic"/>
          <w:rtl/>
        </w:rPr>
        <w:lastRenderedPageBreak/>
        <w:t>ولا يتنافيان</w:t>
      </w:r>
      <w:r w:rsidR="00B76414" w:rsidRPr="00C85F0F">
        <w:rPr>
          <w:rFonts w:ascii="Traditional Arabic" w:hAnsi="Traditional Arabic"/>
          <w:rtl/>
        </w:rPr>
        <w:t>،</w:t>
      </w:r>
      <w:r w:rsidRPr="00C85F0F">
        <w:rPr>
          <w:rFonts w:ascii="Traditional Arabic" w:hAnsi="Traditional Arabic"/>
          <w:rtl/>
        </w:rPr>
        <w:t xml:space="preserve"> فإنهما مرادان باللفظ)</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54"/>
      </w:r>
      <w:r w:rsidRPr="00C85F0F">
        <w:rPr>
          <w:rFonts w:ascii="Traditional Arabic" w:hAnsi="Traditional Arabic"/>
          <w:szCs w:val="32"/>
          <w:vertAlign w:val="superscript"/>
          <w:rtl/>
        </w:rPr>
        <w:t>)</w:t>
      </w:r>
      <w:r w:rsidR="00B76414" w:rsidRPr="00C85F0F">
        <w:rPr>
          <w:rFonts w:ascii="Traditional Arabic" w:hAnsi="Traditional Arabic"/>
          <w:rtl/>
        </w:rPr>
        <w:t>.</w:t>
      </w:r>
    </w:p>
    <w:p w:rsidR="008D4384" w:rsidRPr="008D4384" w:rsidRDefault="008D4384" w:rsidP="008D4384">
      <w:pPr>
        <w:pStyle w:val="afc"/>
        <w:widowControl/>
        <w:numPr>
          <w:ilvl w:val="0"/>
          <w:numId w:val="41"/>
        </w:numPr>
        <w:autoSpaceDE w:val="0"/>
        <w:autoSpaceDN w:val="0"/>
        <w:adjustRightInd w:val="0"/>
        <w:jc w:val="left"/>
        <w:rPr>
          <w:rFonts w:ascii="Traditional Arabic" w:hAnsi="Traditional Arabic"/>
          <w:noProof w:val="0"/>
          <w:color w:val="auto"/>
          <w:rtl/>
          <w:lang w:eastAsia="en-US"/>
        </w:rPr>
      </w:pPr>
      <w:r w:rsidRPr="008D4384">
        <w:rPr>
          <w:rFonts w:ascii="Traditional Arabic" w:hAnsi="Traditional Arabic"/>
          <w:rtl/>
        </w:rPr>
        <w:t>مثال على قاعدة بلاغية، قوله :</w:t>
      </w:r>
      <w:r w:rsidRPr="008D4384">
        <w:rPr>
          <w:rFonts w:ascii="Traditional Arabic" w:hAnsi="Traditional Arabic" w:hint="cs"/>
          <w:rtl/>
        </w:rPr>
        <w:t xml:space="preserve"> (</w:t>
      </w:r>
      <w:r w:rsidRPr="008D4384">
        <w:rPr>
          <w:rFonts w:ascii="Traditional Arabic" w:hAnsi="Traditional Arabic"/>
          <w:noProof w:val="0"/>
          <w:color w:val="auto"/>
          <w:rtl/>
          <w:lang w:eastAsia="en-US"/>
        </w:rPr>
        <w:t>فإذا قال قائل: ما هو الأصل أن يكون الل</w:t>
      </w:r>
      <w:r>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 xml:space="preserve"> والن</w:t>
      </w:r>
      <w:r>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شر مرت</w:t>
      </w:r>
      <w:r>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با</w:t>
      </w:r>
      <w:r>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 xml:space="preserve"> أو أن يكون غير مرتب؟</w:t>
      </w:r>
      <w:r w:rsidRPr="008D4384">
        <w:rPr>
          <w:rFonts w:ascii="Traditional Arabic" w:hAnsi="Traditional Arabic" w:hint="cs"/>
          <w:noProof w:val="0"/>
          <w:color w:val="auto"/>
          <w:rtl/>
          <w:lang w:eastAsia="en-US"/>
        </w:rPr>
        <w:t xml:space="preserve"> </w:t>
      </w:r>
      <w:r w:rsidRPr="008D4384">
        <w:rPr>
          <w:rFonts w:ascii="Traditional Arabic" w:hAnsi="Traditional Arabic"/>
          <w:noProof w:val="0"/>
          <w:rtl/>
          <w:lang w:eastAsia="en-US"/>
        </w:rPr>
        <w:t>قلنا: الأصل أن يكون مرتبا؛ لكنه يأتي أحيانا غير مرتب لن</w:t>
      </w:r>
      <w:r>
        <w:rPr>
          <w:rFonts w:ascii="Traditional Arabic" w:hAnsi="Traditional Arabic" w:hint="cs"/>
          <w:noProof w:val="0"/>
          <w:rtl/>
          <w:lang w:eastAsia="en-US"/>
        </w:rPr>
        <w:t>ُ</w:t>
      </w:r>
      <w:r w:rsidRPr="008D4384">
        <w:rPr>
          <w:rFonts w:ascii="Traditional Arabic" w:hAnsi="Traditional Arabic"/>
          <w:noProof w:val="0"/>
          <w:rtl/>
          <w:lang w:eastAsia="en-US"/>
        </w:rPr>
        <w:t>كتة بلاغية تظهر عند التأمل</w:t>
      </w:r>
      <w:r w:rsidRPr="008D4384">
        <w:rPr>
          <w:rFonts w:ascii="Traditional Arabic" w:hAnsi="Traditional Arabic" w:hint="cs"/>
          <w:noProof w:val="0"/>
          <w:rtl/>
          <w:lang w:eastAsia="en-US"/>
        </w:rPr>
        <w:t>)</w:t>
      </w:r>
      <w:r w:rsidRPr="008D4384">
        <w:rPr>
          <w:rFonts w:ascii="Traditional Arabic" w:hAnsi="Traditional Arabic" w:hint="cs"/>
          <w:noProof w:val="0"/>
          <w:vertAlign w:val="superscript"/>
          <w:rtl/>
          <w:lang w:eastAsia="en-US"/>
        </w:rPr>
        <w:t>(</w:t>
      </w:r>
      <w:r w:rsidRPr="008D4384">
        <w:rPr>
          <w:rStyle w:val="af1"/>
          <w:rFonts w:ascii="Traditional Arabic" w:hAnsi="Traditional Arabic"/>
          <w:noProof w:val="0"/>
          <w:rtl/>
          <w:lang w:eastAsia="en-US"/>
        </w:rPr>
        <w:footnoteReference w:id="55"/>
      </w:r>
      <w:r w:rsidRPr="008D4384">
        <w:rPr>
          <w:rFonts w:ascii="Traditional Arabic" w:hAnsi="Traditional Arabic" w:hint="cs"/>
          <w:noProof w:val="0"/>
          <w:vertAlign w:val="superscript"/>
          <w:rtl/>
          <w:lang w:eastAsia="en-US"/>
        </w:rPr>
        <w:t>)</w:t>
      </w:r>
      <w:r w:rsidRPr="008D4384">
        <w:rPr>
          <w:rFonts w:ascii="Traditional Arabic" w:hAnsi="Traditional Arabic" w:hint="cs"/>
          <w:noProof w:val="0"/>
          <w:rtl/>
          <w:lang w:eastAsia="en-US"/>
        </w:rPr>
        <w:t xml:space="preserve">. </w:t>
      </w:r>
    </w:p>
    <w:p w:rsidR="008D4384" w:rsidRPr="008D4384" w:rsidRDefault="008D4384" w:rsidP="008D4384">
      <w:pPr>
        <w:pStyle w:val="afc"/>
        <w:widowControl/>
        <w:numPr>
          <w:ilvl w:val="0"/>
          <w:numId w:val="41"/>
        </w:numPr>
        <w:autoSpaceDE w:val="0"/>
        <w:autoSpaceDN w:val="0"/>
        <w:adjustRightInd w:val="0"/>
        <w:jc w:val="left"/>
        <w:rPr>
          <w:rFonts w:ascii="Traditional Arabic" w:hAnsi="Traditional Arabic"/>
          <w:noProof w:val="0"/>
          <w:color w:val="auto"/>
          <w:lang w:eastAsia="en-US"/>
        </w:rPr>
      </w:pPr>
      <w:r w:rsidRPr="008D4384">
        <w:rPr>
          <w:rFonts w:ascii="Traditional Arabic" w:hAnsi="Traditional Arabic" w:hint="cs"/>
          <w:rtl/>
        </w:rPr>
        <w:t>مثال على قاعدة صرفية، قوله: (</w:t>
      </w:r>
      <w:r w:rsidRPr="008D4384">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م</w:t>
      </w:r>
      <w:r w:rsidRPr="008D4384">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قامه أو م</w:t>
      </w:r>
      <w:r w:rsidRPr="008D4384">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قامه، إذا كانت رباعية فهي بضم أوله، وإن كانت ثلاثية فهي بالفتح</w:t>
      </w:r>
      <w:r w:rsidR="00EA3D34">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 xml:space="preserve"> هذه القاعدة، فتقول: قام م</w:t>
      </w:r>
      <w:r w:rsidRPr="008D4384">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قام، وتقول: أقام م</w:t>
      </w:r>
      <w:r w:rsidRPr="008D4384">
        <w:rPr>
          <w:rFonts w:ascii="Traditional Arabic" w:hAnsi="Traditional Arabic" w:hint="cs"/>
          <w:noProof w:val="0"/>
          <w:color w:val="auto"/>
          <w:rtl/>
          <w:lang w:eastAsia="en-US"/>
        </w:rPr>
        <w:t>ُ</w:t>
      </w:r>
      <w:r w:rsidRPr="008D4384">
        <w:rPr>
          <w:rFonts w:ascii="Traditional Arabic" w:hAnsi="Traditional Arabic"/>
          <w:noProof w:val="0"/>
          <w:color w:val="auto"/>
          <w:rtl/>
          <w:lang w:eastAsia="en-US"/>
        </w:rPr>
        <w:t>قامه؛ لأنه رب</w:t>
      </w:r>
      <w:r w:rsidRPr="008D4384">
        <w:rPr>
          <w:rFonts w:ascii="Traditional Arabic" w:hAnsi="Traditional Arabic" w:hint="cs"/>
          <w:noProof w:val="0"/>
          <w:color w:val="auto"/>
          <w:rtl/>
          <w:lang w:eastAsia="en-US"/>
        </w:rPr>
        <w:t>اعي)</w:t>
      </w:r>
      <w:r w:rsidRPr="008D4384">
        <w:rPr>
          <w:rFonts w:ascii="Traditional Arabic" w:hAnsi="Traditional Arabic" w:hint="cs"/>
          <w:noProof w:val="0"/>
          <w:color w:val="auto"/>
          <w:vertAlign w:val="superscript"/>
          <w:rtl/>
          <w:lang w:eastAsia="en-US"/>
        </w:rPr>
        <w:t>(</w:t>
      </w:r>
      <w:r w:rsidRPr="000A76C7">
        <w:rPr>
          <w:rStyle w:val="af1"/>
          <w:rFonts w:ascii="Traditional Arabic" w:hAnsi="Traditional Arabic"/>
          <w:noProof w:val="0"/>
          <w:color w:val="auto"/>
          <w:rtl/>
          <w:lang w:eastAsia="en-US"/>
        </w:rPr>
        <w:footnoteReference w:id="56"/>
      </w:r>
      <w:r w:rsidRPr="008D4384">
        <w:rPr>
          <w:rFonts w:ascii="Traditional Arabic" w:hAnsi="Traditional Arabic" w:hint="cs"/>
          <w:noProof w:val="0"/>
          <w:color w:val="auto"/>
          <w:vertAlign w:val="superscript"/>
          <w:rtl/>
          <w:lang w:eastAsia="en-US"/>
        </w:rPr>
        <w:t>)</w:t>
      </w:r>
      <w:r w:rsidRPr="008D4384">
        <w:rPr>
          <w:rFonts w:ascii="Traditional Arabic" w:hAnsi="Traditional Arabic" w:hint="cs"/>
          <w:noProof w:val="0"/>
          <w:color w:val="auto"/>
          <w:rtl/>
          <w:lang w:eastAsia="en-US"/>
        </w:rPr>
        <w:t>.</w:t>
      </w:r>
    </w:p>
    <w:p w:rsidR="008D4384" w:rsidRPr="00C85F0F" w:rsidRDefault="00C407BE" w:rsidP="00C407BE">
      <w:pPr>
        <w:spacing w:line="640" w:lineRule="exact"/>
        <w:jc w:val="lowKashida"/>
        <w:rPr>
          <w:rFonts w:ascii="Traditional Arabic" w:hAnsi="Traditional Arabic"/>
        </w:rPr>
      </w:pPr>
      <w:r>
        <w:rPr>
          <w:rFonts w:ascii="Traditional Arabic" w:hAnsi="Traditional Arabic" w:hint="cs"/>
          <w:rtl/>
        </w:rPr>
        <w:t>أما القواعد والضوابط الفقهية فإنها مما يزخر به كتاب الشرح الممتع</w:t>
      </w:r>
      <w:r w:rsidR="002A634F">
        <w:rPr>
          <w:rFonts w:ascii="Traditional Arabic" w:hAnsi="Traditional Arabic" w:hint="cs"/>
          <w:rtl/>
        </w:rPr>
        <w:t>،</w:t>
      </w:r>
      <w:r>
        <w:rPr>
          <w:rFonts w:ascii="Traditional Arabic" w:hAnsi="Traditional Arabic" w:hint="cs"/>
          <w:rtl/>
        </w:rPr>
        <w:t xml:space="preserve"> وقد أكثر الشيخ </w:t>
      </w:r>
      <w:r w:rsidR="002A634F">
        <w:rPr>
          <w:rFonts w:ascii="Traditional Arabic" w:hAnsi="Traditional Arabic" w:hint="cs"/>
          <w:rtl/>
        </w:rPr>
        <w:t xml:space="preserve">ابن عثيمين _رحمه الله_ </w:t>
      </w:r>
      <w:r>
        <w:rPr>
          <w:rFonts w:ascii="Traditional Arabic" w:hAnsi="Traditional Arabic" w:hint="cs"/>
          <w:rtl/>
        </w:rPr>
        <w:t>من ذكر القواعد فيه، حتى أنه قد يذكر أكثر من قاعدة في صفحة واحدة</w:t>
      </w:r>
      <w:r w:rsidR="001403DE" w:rsidRPr="001403DE">
        <w:rPr>
          <w:rFonts w:ascii="Traditional Arabic" w:hAnsi="Traditional Arabic" w:hint="cs"/>
          <w:vertAlign w:val="superscript"/>
          <w:rtl/>
        </w:rPr>
        <w:t>(</w:t>
      </w:r>
      <w:r w:rsidRPr="001403DE">
        <w:rPr>
          <w:rStyle w:val="af1"/>
          <w:rFonts w:ascii="Traditional Arabic" w:hAnsi="Traditional Arabic"/>
          <w:rtl/>
        </w:rPr>
        <w:footnoteReference w:id="57"/>
      </w:r>
      <w:r w:rsidR="001403DE" w:rsidRPr="001403DE">
        <w:rPr>
          <w:rFonts w:ascii="Traditional Arabic" w:hAnsi="Traditional Arabic" w:hint="cs"/>
          <w:vertAlign w:val="superscript"/>
          <w:rtl/>
        </w:rPr>
        <w:t>)</w:t>
      </w:r>
      <w:r>
        <w:rPr>
          <w:rFonts w:ascii="Traditional Arabic" w:hAnsi="Traditional Arabic" w:hint="cs"/>
          <w:rtl/>
        </w:rPr>
        <w:t>، وس</w:t>
      </w:r>
      <w:r w:rsidR="001403DE">
        <w:rPr>
          <w:rFonts w:ascii="Traditional Arabic" w:hAnsi="Traditional Arabic" w:hint="cs"/>
          <w:rtl/>
        </w:rPr>
        <w:t>ي</w:t>
      </w:r>
      <w:r>
        <w:rPr>
          <w:rFonts w:ascii="Traditional Arabic" w:hAnsi="Traditional Arabic" w:hint="cs"/>
          <w:rtl/>
        </w:rPr>
        <w:t xml:space="preserve">أتي في البابين الأول والثاني من هذا البحث </w:t>
      </w:r>
      <w:r w:rsidR="002A634F">
        <w:rPr>
          <w:rFonts w:ascii="Traditional Arabic" w:hAnsi="Traditional Arabic" w:hint="cs"/>
          <w:rtl/>
        </w:rPr>
        <w:t>إيراد</w:t>
      </w:r>
      <w:r>
        <w:rPr>
          <w:rFonts w:ascii="Traditional Arabic" w:hAnsi="Traditional Arabic" w:hint="cs"/>
          <w:rtl/>
        </w:rPr>
        <w:t xml:space="preserve"> </w:t>
      </w:r>
      <w:r w:rsidR="002831CE">
        <w:rPr>
          <w:rFonts w:ascii="Traditional Arabic" w:hAnsi="Traditional Arabic" w:hint="cs"/>
          <w:rtl/>
        </w:rPr>
        <w:t xml:space="preserve">هذه القواعد </w:t>
      </w:r>
      <w:r>
        <w:rPr>
          <w:rFonts w:ascii="Traditional Arabic" w:hAnsi="Traditional Arabic" w:hint="cs"/>
          <w:rtl/>
        </w:rPr>
        <w:t xml:space="preserve">ودراستها </w:t>
      </w:r>
      <w:r w:rsidR="001403DE">
        <w:rPr>
          <w:rFonts w:ascii="Traditional Arabic" w:hAnsi="Traditional Arabic" w:hint="cs"/>
          <w:rtl/>
        </w:rPr>
        <w:t>على نحو</w:t>
      </w:r>
      <w:r>
        <w:rPr>
          <w:rFonts w:ascii="Traditional Arabic" w:hAnsi="Traditional Arabic" w:hint="cs"/>
          <w:rtl/>
        </w:rPr>
        <w:t xml:space="preserve"> </w:t>
      </w:r>
      <w:r w:rsidR="001403DE">
        <w:rPr>
          <w:rFonts w:ascii="Traditional Arabic" w:hAnsi="Traditional Arabic" w:hint="cs"/>
          <w:rtl/>
        </w:rPr>
        <w:t>ما جاء</w:t>
      </w:r>
      <w:r>
        <w:rPr>
          <w:rFonts w:ascii="Traditional Arabic" w:hAnsi="Traditional Arabic" w:hint="cs"/>
          <w:rtl/>
        </w:rPr>
        <w:t xml:space="preserve"> في خطة البحث</w:t>
      </w:r>
      <w:r w:rsidR="002831CE" w:rsidRPr="002831CE">
        <w:rPr>
          <w:rFonts w:ascii="Traditional Arabic" w:hAnsi="Traditional Arabic" w:hint="cs"/>
          <w:vertAlign w:val="superscript"/>
          <w:rtl/>
        </w:rPr>
        <w:t>(</w:t>
      </w:r>
      <w:r w:rsidR="002831CE" w:rsidRPr="002831CE">
        <w:rPr>
          <w:rStyle w:val="af1"/>
          <w:rFonts w:ascii="Traditional Arabic" w:hAnsi="Traditional Arabic"/>
          <w:rtl/>
        </w:rPr>
        <w:footnoteReference w:id="58"/>
      </w:r>
      <w:r w:rsidR="002831CE" w:rsidRPr="002831CE">
        <w:rPr>
          <w:rFonts w:ascii="Traditional Arabic" w:hAnsi="Traditional Arabic" w:hint="cs"/>
          <w:vertAlign w:val="superscript"/>
          <w:rtl/>
        </w:rPr>
        <w:t>)</w:t>
      </w:r>
      <w:r>
        <w:rPr>
          <w:rFonts w:ascii="Traditional Arabic" w:hAnsi="Traditional Arabic" w:hint="cs"/>
          <w:rtl/>
        </w:rPr>
        <w:t xml:space="preserve">. </w:t>
      </w:r>
    </w:p>
    <w:p w:rsidR="00F228A9" w:rsidRPr="00C85F0F" w:rsidRDefault="008D4384" w:rsidP="00597C20">
      <w:pPr>
        <w:pStyle w:val="53"/>
        <w:rPr>
          <w:rtl/>
        </w:rPr>
      </w:pPr>
      <w:r>
        <w:rPr>
          <w:rtl/>
        </w:rPr>
        <w:t xml:space="preserve"> </w:t>
      </w:r>
      <w:r w:rsidR="00DF3DC2">
        <w:rPr>
          <w:rtl/>
        </w:rPr>
        <w:t>(</w:t>
      </w:r>
      <w:r w:rsidR="00DF3DC2">
        <w:rPr>
          <w:rFonts w:hint="cs"/>
          <w:rtl/>
        </w:rPr>
        <w:t>5</w:t>
      </w:r>
      <w:r w:rsidR="006F08E1" w:rsidRPr="00C85F0F">
        <w:rPr>
          <w:rtl/>
        </w:rPr>
        <w:t xml:space="preserve">) تأثُّره بالعلماء </w:t>
      </w:r>
      <w:r w:rsidR="006F08E1" w:rsidRPr="00597C20">
        <w:rPr>
          <w:rtl/>
        </w:rPr>
        <w:t>المجتهدين</w:t>
      </w:r>
      <w:r w:rsidR="006F08E1" w:rsidRPr="00C85F0F">
        <w:rPr>
          <w:rtl/>
        </w:rPr>
        <w:t xml:space="preserve"> والأئمة المحققين </w:t>
      </w:r>
      <w:r w:rsidR="004B709B">
        <w:rPr>
          <w:rFonts w:hint="cs"/>
          <w:rtl/>
        </w:rPr>
        <w:t>واعتماد اختياراتهم</w:t>
      </w:r>
      <w:r w:rsidR="006F08E1" w:rsidRPr="00C85F0F">
        <w:rPr>
          <w:rtl/>
        </w:rPr>
        <w:t>:</w:t>
      </w:r>
    </w:p>
    <w:p w:rsidR="00510C76" w:rsidRDefault="006F08E1" w:rsidP="00597C20">
      <w:pPr>
        <w:spacing w:line="580" w:lineRule="exact"/>
        <w:jc w:val="lowKashida"/>
        <w:rPr>
          <w:rFonts w:ascii="Traditional Arabic" w:hAnsi="Traditional Arabic"/>
          <w:rtl/>
        </w:rPr>
      </w:pPr>
      <w:r w:rsidRPr="00C85F0F">
        <w:rPr>
          <w:rFonts w:ascii="Traditional Arabic" w:hAnsi="Traditional Arabic"/>
          <w:rtl/>
        </w:rPr>
        <w:t xml:space="preserve">لقد تأثر الشيخ ابن عثيمين – </w:t>
      </w:r>
      <w:r w:rsidR="009A0575" w:rsidRPr="007A6CF4">
        <w:rPr>
          <w:rFonts w:ascii="Traditional Arabic" w:hAnsi="Traditional Arabic" w:cs="CTraditional Arabic" w:hint="cs"/>
          <w:rtl/>
        </w:rPr>
        <w:t>/</w:t>
      </w:r>
      <w:r w:rsidRPr="00C85F0F">
        <w:rPr>
          <w:rFonts w:ascii="Traditional Arabic" w:hAnsi="Traditional Arabic"/>
          <w:rtl/>
        </w:rPr>
        <w:t xml:space="preserve"> – بجملة من العلماء والمحققين</w:t>
      </w:r>
      <w:r w:rsidR="00B76414" w:rsidRPr="00C85F0F">
        <w:rPr>
          <w:rFonts w:ascii="Traditional Arabic" w:hAnsi="Traditional Arabic"/>
          <w:rtl/>
        </w:rPr>
        <w:t>،</w:t>
      </w:r>
      <w:r w:rsidRPr="00C85F0F">
        <w:rPr>
          <w:rFonts w:ascii="Traditional Arabic" w:hAnsi="Traditional Arabic"/>
          <w:rtl/>
        </w:rPr>
        <w:t xml:space="preserve"> الذين كا</w:t>
      </w:r>
      <w:r w:rsidR="00510C76">
        <w:rPr>
          <w:rFonts w:ascii="Traditional Arabic" w:hAnsi="Traditional Arabic"/>
          <w:rtl/>
        </w:rPr>
        <w:t>نت لهم بصمات واضحة في منهج</w:t>
      </w:r>
      <w:r w:rsidR="00510C76">
        <w:rPr>
          <w:rFonts w:ascii="Traditional Arabic" w:hAnsi="Traditional Arabic" w:hint="cs"/>
          <w:rtl/>
        </w:rPr>
        <w:t>ه</w:t>
      </w:r>
      <w:r w:rsidRPr="00C85F0F">
        <w:rPr>
          <w:rFonts w:ascii="Traditional Arabic" w:hAnsi="Traditional Arabic"/>
          <w:rtl/>
        </w:rPr>
        <w:t xml:space="preserve"> العلمي</w:t>
      </w:r>
      <w:r w:rsidR="00B76414" w:rsidRPr="00C85F0F">
        <w:rPr>
          <w:rFonts w:ascii="Traditional Arabic" w:hAnsi="Traditional Arabic"/>
          <w:rtl/>
        </w:rPr>
        <w:t>،</w:t>
      </w:r>
      <w:r w:rsidRPr="00C85F0F">
        <w:rPr>
          <w:rFonts w:ascii="Traditional Arabic" w:hAnsi="Traditional Arabic"/>
          <w:rtl/>
        </w:rPr>
        <w:t xml:space="preserve"> وفي اختياراته الفقهية</w:t>
      </w:r>
      <w:r w:rsidR="00B76414" w:rsidRPr="00C85F0F">
        <w:rPr>
          <w:rFonts w:ascii="Traditional Arabic" w:hAnsi="Traditional Arabic"/>
          <w:rtl/>
        </w:rPr>
        <w:t>،</w:t>
      </w:r>
      <w:r w:rsidRPr="00C85F0F">
        <w:rPr>
          <w:rFonts w:ascii="Traditional Arabic" w:hAnsi="Traditional Arabic"/>
          <w:rtl/>
        </w:rPr>
        <w:t xml:space="preserve"> حيث تأثَّر الشيخ </w:t>
      </w:r>
      <w:r w:rsidR="009A0575" w:rsidRPr="007A6CF4">
        <w:rPr>
          <w:rFonts w:ascii="Traditional Arabic" w:hAnsi="Traditional Arabic" w:cs="CTraditional Arabic" w:hint="cs"/>
          <w:rtl/>
        </w:rPr>
        <w:t>/</w:t>
      </w:r>
      <w:r w:rsidRPr="00C85F0F">
        <w:rPr>
          <w:rFonts w:ascii="Traditional Arabic" w:hAnsi="Traditional Arabic"/>
          <w:rtl/>
        </w:rPr>
        <w:t xml:space="preserve"> – بمدرسة شيخ الإسلام ابن تيمية</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59"/>
      </w:r>
      <w:r w:rsidRPr="00C85F0F">
        <w:rPr>
          <w:rFonts w:ascii="Traditional Arabic" w:hAnsi="Traditional Arabic"/>
          <w:szCs w:val="32"/>
          <w:vertAlign w:val="superscript"/>
          <w:rtl/>
        </w:rPr>
        <w:t>)</w:t>
      </w:r>
      <w:r w:rsidRPr="00C85F0F">
        <w:rPr>
          <w:rFonts w:ascii="Traditional Arabic" w:hAnsi="Traditional Arabic"/>
          <w:rtl/>
        </w:rPr>
        <w:t xml:space="preserve"> وتلميذه ابن القيم</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60"/>
      </w:r>
      <w:r w:rsidRPr="00C85F0F">
        <w:rPr>
          <w:rFonts w:ascii="Traditional Arabic" w:hAnsi="Traditional Arabic"/>
          <w:szCs w:val="32"/>
          <w:vertAlign w:val="superscript"/>
          <w:rtl/>
        </w:rPr>
        <w:t>)</w:t>
      </w:r>
      <w:r w:rsidR="00B76414" w:rsidRPr="00C85F0F">
        <w:rPr>
          <w:rFonts w:ascii="Traditional Arabic" w:hAnsi="Traditional Arabic"/>
          <w:rtl/>
        </w:rPr>
        <w:t>،</w:t>
      </w:r>
      <w:r w:rsidRPr="00C85F0F">
        <w:rPr>
          <w:rFonts w:ascii="Traditional Arabic" w:hAnsi="Traditional Arabic"/>
          <w:rtl/>
        </w:rPr>
        <w:t xml:space="preserve"> فكثيراً ما كان موافقاً لآرائهما وترجيحاتهما التي </w:t>
      </w:r>
      <w:r w:rsidRPr="00C85F0F">
        <w:rPr>
          <w:rFonts w:ascii="Traditional Arabic" w:hAnsi="Traditional Arabic"/>
          <w:rtl/>
        </w:rPr>
        <w:lastRenderedPageBreak/>
        <w:t>كان يرجع إليها في كتابه ؛ وذلك لما تميَّز به الشيخان من العناية بالدليل</w:t>
      </w:r>
      <w:r w:rsidR="00B76414" w:rsidRPr="00C85F0F">
        <w:rPr>
          <w:rFonts w:ascii="Traditional Arabic" w:hAnsi="Traditional Arabic"/>
          <w:rtl/>
        </w:rPr>
        <w:t>،</w:t>
      </w:r>
      <w:r w:rsidRPr="00C85F0F">
        <w:rPr>
          <w:rFonts w:ascii="Traditional Arabic" w:hAnsi="Traditional Arabic"/>
          <w:rtl/>
        </w:rPr>
        <w:t xml:space="preserve"> والنظر إلى مقاصد الشريعة وضبط أصولها وكليَّاتها</w:t>
      </w:r>
      <w:r w:rsidR="00B76414" w:rsidRPr="00C85F0F">
        <w:rPr>
          <w:rFonts w:ascii="Traditional Arabic" w:hAnsi="Traditional Arabic"/>
          <w:rtl/>
        </w:rPr>
        <w:t>،</w:t>
      </w:r>
      <w:r w:rsidRPr="00C85F0F">
        <w:rPr>
          <w:rFonts w:ascii="Traditional Arabic" w:hAnsi="Traditional Arabic"/>
          <w:rtl/>
        </w:rPr>
        <w:t xml:space="preserve"> إضافــــة إلى ذلك فقد تأثَّر الشيخ ابن عثيمين بهما أيضاً في مداولاتهما ومناقشتهما لأقوال المخالفين</w:t>
      </w:r>
      <w:r w:rsidR="00B76414" w:rsidRPr="00C85F0F">
        <w:rPr>
          <w:rFonts w:ascii="Traditional Arabic" w:hAnsi="Traditional Arabic"/>
          <w:rtl/>
        </w:rPr>
        <w:t>،</w:t>
      </w:r>
      <w:r w:rsidRPr="00C85F0F">
        <w:rPr>
          <w:rFonts w:ascii="Traditional Arabic" w:hAnsi="Traditional Arabic"/>
          <w:rtl/>
        </w:rPr>
        <w:t xml:space="preserve"> فتجده أحياناً يستعرض قول المخالف ويبسط أدلته وح</w:t>
      </w:r>
      <w:r w:rsidR="00510C76">
        <w:rPr>
          <w:rFonts w:ascii="Traditional Arabic" w:hAnsi="Traditional Arabic" w:hint="cs"/>
          <w:rtl/>
        </w:rPr>
        <w:t>ُ</w:t>
      </w:r>
      <w:r w:rsidRPr="00C85F0F">
        <w:rPr>
          <w:rFonts w:ascii="Traditional Arabic" w:hAnsi="Traditional Arabic"/>
          <w:rtl/>
        </w:rPr>
        <w:t>ججه</w:t>
      </w:r>
      <w:r w:rsidR="00B76414" w:rsidRPr="00C85F0F">
        <w:rPr>
          <w:rFonts w:ascii="Traditional Arabic" w:hAnsi="Traditional Arabic"/>
          <w:rtl/>
        </w:rPr>
        <w:t>،</w:t>
      </w:r>
      <w:r w:rsidRPr="00C85F0F">
        <w:rPr>
          <w:rFonts w:ascii="Traditional Arabic" w:hAnsi="Traditional Arabic"/>
          <w:rtl/>
        </w:rPr>
        <w:t xml:space="preserve"> حتى تقول : كأن الشيخ يتبنى هذا القول</w:t>
      </w:r>
      <w:r w:rsidR="00B76414" w:rsidRPr="00C85F0F">
        <w:rPr>
          <w:rFonts w:ascii="Traditional Arabic" w:hAnsi="Traditional Arabic"/>
          <w:rtl/>
        </w:rPr>
        <w:t>،</w:t>
      </w:r>
      <w:r w:rsidRPr="00C85F0F">
        <w:rPr>
          <w:rFonts w:ascii="Traditional Arabic" w:hAnsi="Traditional Arabic"/>
          <w:rtl/>
        </w:rPr>
        <w:t xml:space="preserve"> حتى إذا ما فرغ من بسطه وعرضه</w:t>
      </w:r>
      <w:r w:rsidR="00B76414" w:rsidRPr="00C85F0F">
        <w:rPr>
          <w:rFonts w:ascii="Traditional Arabic" w:hAnsi="Traditional Arabic"/>
          <w:rtl/>
        </w:rPr>
        <w:t>،</w:t>
      </w:r>
      <w:r w:rsidRPr="00C85F0F">
        <w:rPr>
          <w:rFonts w:ascii="Traditional Arabic" w:hAnsi="Traditional Arabic"/>
          <w:rtl/>
        </w:rPr>
        <w:t xml:space="preserve"> نقض تلك الحجج والبراهــين بأقـوى وأدلَّ منها</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61"/>
      </w:r>
      <w:r w:rsidRPr="00C85F0F">
        <w:rPr>
          <w:rFonts w:ascii="Traditional Arabic" w:hAnsi="Traditional Arabic"/>
          <w:szCs w:val="32"/>
          <w:vertAlign w:val="superscript"/>
          <w:rtl/>
        </w:rPr>
        <w:t>)</w:t>
      </w:r>
      <w:r w:rsidR="00B76414" w:rsidRPr="00C85F0F">
        <w:rPr>
          <w:rFonts w:ascii="Traditional Arabic" w:hAnsi="Traditional Arabic"/>
          <w:rtl/>
        </w:rPr>
        <w:t>.</w:t>
      </w:r>
    </w:p>
    <w:p w:rsidR="006F08E1" w:rsidRPr="00C85F0F" w:rsidRDefault="006F08E1" w:rsidP="00597C20">
      <w:pPr>
        <w:spacing w:line="580" w:lineRule="exact"/>
        <w:jc w:val="lowKashida"/>
        <w:rPr>
          <w:rFonts w:ascii="Traditional Arabic" w:hAnsi="Traditional Arabic"/>
          <w:rtl/>
        </w:rPr>
      </w:pPr>
      <w:r w:rsidRPr="00C85F0F">
        <w:rPr>
          <w:rFonts w:ascii="Traditional Arabic" w:hAnsi="Traditional Arabic"/>
          <w:rtl/>
        </w:rPr>
        <w:t xml:space="preserve"> كما ظهر تأثُّر الشيخ – </w:t>
      </w:r>
      <w:r w:rsidR="009A0575" w:rsidRPr="007A6CF4">
        <w:rPr>
          <w:rFonts w:ascii="Traditional Arabic" w:hAnsi="Traditional Arabic" w:cs="CTraditional Arabic" w:hint="cs"/>
          <w:rtl/>
        </w:rPr>
        <w:t>/</w:t>
      </w:r>
      <w:r w:rsidRPr="00C85F0F">
        <w:rPr>
          <w:rFonts w:ascii="Traditional Arabic" w:hAnsi="Traditional Arabic"/>
          <w:rtl/>
        </w:rPr>
        <w:t xml:space="preserve"> – بالعلماء الراسـخين الذين تتلمـــذ على أيديهم</w:t>
      </w:r>
      <w:r w:rsidR="00B76414" w:rsidRPr="00C85F0F">
        <w:rPr>
          <w:rFonts w:ascii="Traditional Arabic" w:hAnsi="Traditional Arabic"/>
          <w:rtl/>
        </w:rPr>
        <w:t>،</w:t>
      </w:r>
      <w:r w:rsidRPr="00C85F0F">
        <w:rPr>
          <w:rFonts w:ascii="Traditional Arabic" w:hAnsi="Traditional Arabic"/>
          <w:rtl/>
        </w:rPr>
        <w:t xml:space="preserve"> وعلى رأسهم شيخـــه الأول عبد الرحمن السـعدي</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62"/>
      </w:r>
      <w:r w:rsidRPr="00C85F0F">
        <w:rPr>
          <w:rFonts w:ascii="Traditional Arabic" w:hAnsi="Traditional Arabic"/>
          <w:szCs w:val="32"/>
          <w:vertAlign w:val="superscript"/>
          <w:rtl/>
        </w:rPr>
        <w:t>)</w:t>
      </w:r>
      <w:r w:rsidRPr="00C85F0F">
        <w:rPr>
          <w:rFonts w:ascii="Traditional Arabic" w:hAnsi="Traditional Arabic"/>
          <w:rtl/>
        </w:rPr>
        <w:t xml:space="preserve"> –</w:t>
      </w:r>
      <w:r w:rsidR="009A0575" w:rsidRPr="007A6CF4">
        <w:rPr>
          <w:rFonts w:ascii="Traditional Arabic" w:hAnsi="Traditional Arabic" w:cs="CTraditional Arabic" w:hint="cs"/>
          <w:rtl/>
        </w:rPr>
        <w:t>/</w:t>
      </w:r>
      <w:r w:rsidRPr="00C85F0F">
        <w:rPr>
          <w:rFonts w:ascii="Traditional Arabic" w:hAnsi="Traditional Arabic"/>
          <w:rtl/>
        </w:rPr>
        <w:t>-</w:t>
      </w:r>
      <w:r w:rsidR="00B76414" w:rsidRPr="00C85F0F">
        <w:rPr>
          <w:rFonts w:ascii="Traditional Arabic" w:hAnsi="Traditional Arabic"/>
          <w:rtl/>
        </w:rPr>
        <w:t>،</w:t>
      </w:r>
      <w:r w:rsidRPr="00C85F0F">
        <w:rPr>
          <w:rFonts w:ascii="Traditional Arabic" w:hAnsi="Traditional Arabic"/>
          <w:rtl/>
        </w:rPr>
        <w:t xml:space="preserve"> وشيخـه الثاني عبدالعـــزيز بن باز</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63"/>
      </w:r>
      <w:r w:rsidRPr="00C85F0F">
        <w:rPr>
          <w:rFonts w:ascii="Traditional Arabic" w:hAnsi="Traditional Arabic"/>
          <w:szCs w:val="32"/>
          <w:vertAlign w:val="superscript"/>
          <w:rtl/>
        </w:rPr>
        <w:t>)</w:t>
      </w:r>
      <w:r w:rsidRPr="00C85F0F">
        <w:rPr>
          <w:rFonts w:ascii="Traditional Arabic" w:hAnsi="Traditional Arabic"/>
          <w:rtl/>
        </w:rPr>
        <w:t xml:space="preserve"> –</w:t>
      </w:r>
      <w:r w:rsidR="009A0575" w:rsidRPr="007A6CF4">
        <w:rPr>
          <w:rFonts w:ascii="Traditional Arabic" w:hAnsi="Traditional Arabic" w:cs="CTraditional Arabic" w:hint="cs"/>
          <w:rtl/>
        </w:rPr>
        <w:t>/</w:t>
      </w:r>
      <w:r w:rsidRPr="00C85F0F">
        <w:rPr>
          <w:rFonts w:ascii="Traditional Arabic" w:hAnsi="Traditional Arabic"/>
          <w:rtl/>
        </w:rPr>
        <w:t>-</w:t>
      </w:r>
      <w:r w:rsidR="00B76414" w:rsidRPr="00C85F0F">
        <w:rPr>
          <w:rFonts w:ascii="Traditional Arabic" w:hAnsi="Traditional Arabic"/>
          <w:rtl/>
        </w:rPr>
        <w:t>،</w:t>
      </w:r>
      <w:r w:rsidRPr="00C85F0F">
        <w:rPr>
          <w:rFonts w:ascii="Traditional Arabic" w:hAnsi="Traditional Arabic"/>
          <w:rtl/>
        </w:rPr>
        <w:t xml:space="preserve"> فقد كان لهذين الشيخين الأثر البارز في مسيرة الشيخ العلمية</w:t>
      </w:r>
      <w:r w:rsidR="00B76414" w:rsidRPr="00C85F0F">
        <w:rPr>
          <w:rFonts w:ascii="Traditional Arabic" w:hAnsi="Traditional Arabic"/>
          <w:rtl/>
        </w:rPr>
        <w:t>،</w:t>
      </w:r>
      <w:r w:rsidRPr="00C85F0F">
        <w:rPr>
          <w:rFonts w:ascii="Traditional Arabic" w:hAnsi="Traditional Arabic"/>
          <w:rtl/>
        </w:rPr>
        <w:t xml:space="preserve"> من جهة الاعتناء بالدليل والتحرر من ر</w:t>
      </w:r>
      <w:r w:rsidR="009A5761">
        <w:rPr>
          <w:rFonts w:ascii="Traditional Arabic" w:hAnsi="Traditional Arabic" w:hint="cs"/>
          <w:rtl/>
        </w:rPr>
        <w:t>ِ</w:t>
      </w:r>
      <w:r w:rsidRPr="00C85F0F">
        <w:rPr>
          <w:rFonts w:ascii="Traditional Arabic" w:hAnsi="Traditional Arabic"/>
          <w:rtl/>
        </w:rPr>
        <w:t>ب</w:t>
      </w:r>
      <w:r w:rsidR="009A5761">
        <w:rPr>
          <w:rFonts w:ascii="Traditional Arabic" w:hAnsi="Traditional Arabic" w:hint="cs"/>
          <w:rtl/>
        </w:rPr>
        <w:t>ْ</w:t>
      </w:r>
      <w:r w:rsidRPr="00C85F0F">
        <w:rPr>
          <w:rFonts w:ascii="Traditional Arabic" w:hAnsi="Traditional Arabic"/>
          <w:rtl/>
        </w:rPr>
        <w:t>قة التقليد والجمود</w:t>
      </w:r>
      <w:r w:rsidR="00B76414" w:rsidRPr="00C85F0F">
        <w:rPr>
          <w:rFonts w:ascii="Traditional Arabic" w:hAnsi="Traditional Arabic"/>
          <w:rtl/>
        </w:rPr>
        <w:t>،</w:t>
      </w:r>
      <w:r w:rsidRPr="00C85F0F">
        <w:rPr>
          <w:rFonts w:ascii="Traditional Arabic" w:hAnsi="Traditional Arabic"/>
          <w:rtl/>
        </w:rPr>
        <w:t xml:space="preserve"> مع رعاية الأدب والاحترام للمخالف</w:t>
      </w:r>
      <w:r w:rsidR="009D4D7B" w:rsidRPr="009D4D7B">
        <w:rPr>
          <w:rFonts w:ascii="Traditional Arabic" w:hAnsi="Traditional Arabic" w:hint="cs"/>
          <w:vertAlign w:val="superscript"/>
          <w:rtl/>
        </w:rPr>
        <w:t>(</w:t>
      </w:r>
      <w:r w:rsidR="009D4D7B" w:rsidRPr="009D4D7B">
        <w:rPr>
          <w:rStyle w:val="af1"/>
          <w:rFonts w:ascii="Traditional Arabic" w:hAnsi="Traditional Arabic"/>
          <w:rtl/>
        </w:rPr>
        <w:footnoteReference w:id="64"/>
      </w:r>
      <w:r w:rsidR="009D4D7B" w:rsidRPr="009D4D7B">
        <w:rPr>
          <w:rFonts w:ascii="Traditional Arabic" w:hAnsi="Traditional Arabic" w:hint="cs"/>
          <w:vertAlign w:val="superscript"/>
          <w:rtl/>
        </w:rPr>
        <w:t>)</w:t>
      </w:r>
      <w:r w:rsidR="00B76414" w:rsidRPr="00C85F0F">
        <w:rPr>
          <w:rFonts w:ascii="Traditional Arabic" w:hAnsi="Traditional Arabic"/>
          <w:rtl/>
        </w:rPr>
        <w:t>.</w:t>
      </w:r>
    </w:p>
    <w:p w:rsidR="00F228A9" w:rsidRPr="00C85F0F" w:rsidRDefault="00DF3DC2" w:rsidP="00597C20">
      <w:pPr>
        <w:pStyle w:val="53"/>
        <w:rPr>
          <w:rtl/>
        </w:rPr>
      </w:pPr>
      <w:r>
        <w:rPr>
          <w:rFonts w:hint="cs"/>
          <w:rtl/>
        </w:rPr>
        <w:t>(6</w:t>
      </w:r>
      <w:r w:rsidR="006F08E1" w:rsidRPr="00C85F0F">
        <w:rPr>
          <w:rtl/>
        </w:rPr>
        <w:t>) العناية بالفروق الفقهية :</w:t>
      </w:r>
    </w:p>
    <w:p w:rsidR="00F228A9" w:rsidRDefault="006F08E1" w:rsidP="00597C20">
      <w:pPr>
        <w:spacing w:line="580" w:lineRule="exact"/>
        <w:jc w:val="lowKashida"/>
        <w:rPr>
          <w:rFonts w:ascii="Traditional Arabic" w:hAnsi="Traditional Arabic"/>
          <w:rtl/>
        </w:rPr>
      </w:pPr>
      <w:r w:rsidRPr="00C85F0F">
        <w:rPr>
          <w:rFonts w:ascii="Traditional Arabic" w:hAnsi="Traditional Arabic"/>
          <w:rtl/>
        </w:rPr>
        <w:t xml:space="preserve">حرص الشيخ ابن عثيمين – </w:t>
      </w:r>
      <w:r w:rsidR="009A0575" w:rsidRPr="007A6CF4">
        <w:rPr>
          <w:rFonts w:ascii="Traditional Arabic" w:hAnsi="Traditional Arabic" w:cs="CTraditional Arabic" w:hint="cs"/>
          <w:rtl/>
        </w:rPr>
        <w:t>/</w:t>
      </w:r>
      <w:r w:rsidRPr="00C85F0F">
        <w:rPr>
          <w:rFonts w:ascii="Traditional Arabic" w:hAnsi="Traditional Arabic"/>
          <w:rtl/>
        </w:rPr>
        <w:t xml:space="preserve"> – على بيان الفروق بين المسائل الفقهية المتشابهة</w:t>
      </w:r>
      <w:r w:rsidR="00B76414" w:rsidRPr="00C85F0F">
        <w:rPr>
          <w:rFonts w:ascii="Traditional Arabic" w:hAnsi="Traditional Arabic"/>
          <w:rtl/>
        </w:rPr>
        <w:t>،</w:t>
      </w:r>
      <w:r w:rsidRPr="00C85F0F">
        <w:rPr>
          <w:rFonts w:ascii="Traditional Arabic" w:hAnsi="Traditional Arabic"/>
          <w:rtl/>
        </w:rPr>
        <w:t xml:space="preserve"> ل</w:t>
      </w:r>
      <w:r w:rsidR="00FF4079">
        <w:rPr>
          <w:rFonts w:ascii="Traditional Arabic" w:hAnsi="Traditional Arabic" w:hint="cs"/>
          <w:rtl/>
        </w:rPr>
        <w:t>ِ</w:t>
      </w:r>
      <w:r w:rsidRPr="00C85F0F">
        <w:rPr>
          <w:rFonts w:ascii="Traditional Arabic" w:hAnsi="Traditional Arabic"/>
          <w:rtl/>
        </w:rPr>
        <w:t>ما لها من أهمية بالغة من إيضاح الفروق الدقيقة بين النظائر الفقهية المتحدة معنىً</w:t>
      </w:r>
      <w:r w:rsidR="00B76414" w:rsidRPr="00C85F0F">
        <w:rPr>
          <w:rFonts w:ascii="Traditional Arabic" w:hAnsi="Traditional Arabic"/>
          <w:rtl/>
        </w:rPr>
        <w:t>،</w:t>
      </w:r>
      <w:r w:rsidRPr="00C85F0F">
        <w:rPr>
          <w:rFonts w:ascii="Traditional Arabic" w:hAnsi="Traditional Arabic"/>
          <w:rtl/>
        </w:rPr>
        <w:t xml:space="preserve"> والمختلفة حكماً وعلة</w:t>
      </w:r>
      <w:r w:rsidR="00B76414" w:rsidRPr="00C85F0F">
        <w:rPr>
          <w:rFonts w:ascii="Traditional Arabic" w:hAnsi="Traditional Arabic"/>
          <w:rtl/>
        </w:rPr>
        <w:t>،</w:t>
      </w:r>
      <w:r w:rsidR="0061160B">
        <w:rPr>
          <w:rFonts w:ascii="Traditional Arabic" w:hAnsi="Traditional Arabic"/>
          <w:rtl/>
        </w:rPr>
        <w:t xml:space="preserve"> ومن هنا </w:t>
      </w:r>
      <w:r w:rsidR="0061160B">
        <w:rPr>
          <w:rFonts w:ascii="Traditional Arabic" w:hAnsi="Traditional Arabic" w:hint="cs"/>
          <w:rtl/>
        </w:rPr>
        <w:t>يجد القارئ</w:t>
      </w:r>
      <w:r w:rsidRPr="00C85F0F">
        <w:rPr>
          <w:rFonts w:ascii="Traditional Arabic" w:hAnsi="Traditional Arabic"/>
          <w:rtl/>
        </w:rPr>
        <w:t xml:space="preserve"> </w:t>
      </w:r>
      <w:r w:rsidR="0061160B">
        <w:rPr>
          <w:rFonts w:ascii="Traditional Arabic" w:hAnsi="Traditional Arabic" w:hint="cs"/>
          <w:rtl/>
        </w:rPr>
        <w:t xml:space="preserve">للكتاب </w:t>
      </w:r>
      <w:r w:rsidRPr="00C85F0F">
        <w:rPr>
          <w:rFonts w:ascii="Traditional Arabic" w:hAnsi="Traditional Arabic"/>
          <w:rtl/>
        </w:rPr>
        <w:t>أن كثيراً من تلك الفروق منثورة في تضاعيف الكتاب</w:t>
      </w:r>
      <w:r w:rsidR="006F0830">
        <w:rPr>
          <w:rFonts w:ascii="Traditional Arabic" w:hAnsi="Traditional Arabic"/>
          <w:rtl/>
        </w:rPr>
        <w:t xml:space="preserve">، ومن </w:t>
      </w:r>
      <w:r w:rsidR="006F0830">
        <w:rPr>
          <w:rFonts w:ascii="Traditional Arabic" w:hAnsi="Traditional Arabic" w:hint="cs"/>
          <w:rtl/>
        </w:rPr>
        <w:t>ت</w:t>
      </w:r>
      <w:r w:rsidRPr="00C85F0F">
        <w:rPr>
          <w:rFonts w:ascii="Traditional Arabic" w:hAnsi="Traditional Arabic"/>
          <w:rtl/>
        </w:rPr>
        <w:t>لك</w:t>
      </w:r>
      <w:r w:rsidR="006F0830">
        <w:rPr>
          <w:rFonts w:ascii="Traditional Arabic" w:hAnsi="Traditional Arabic" w:hint="cs"/>
          <w:rtl/>
        </w:rPr>
        <w:t>م الفروق</w:t>
      </w:r>
      <w:r w:rsidR="0061160B" w:rsidRPr="0061160B">
        <w:rPr>
          <w:rFonts w:ascii="Traditional Arabic" w:hAnsi="Traditional Arabic" w:hint="cs"/>
          <w:vertAlign w:val="superscript"/>
          <w:rtl/>
        </w:rPr>
        <w:t>(</w:t>
      </w:r>
      <w:r w:rsidR="0061160B" w:rsidRPr="0061160B">
        <w:rPr>
          <w:rStyle w:val="af1"/>
          <w:rFonts w:ascii="Traditional Arabic" w:hAnsi="Traditional Arabic"/>
          <w:rtl/>
        </w:rPr>
        <w:footnoteReference w:id="65"/>
      </w:r>
      <w:r w:rsidR="0061160B" w:rsidRPr="0061160B">
        <w:rPr>
          <w:rFonts w:ascii="Traditional Arabic" w:hAnsi="Traditional Arabic" w:hint="cs"/>
          <w:vertAlign w:val="superscript"/>
          <w:rtl/>
        </w:rPr>
        <w:t>)</w:t>
      </w:r>
      <w:r w:rsidRPr="00C85F0F">
        <w:rPr>
          <w:rFonts w:ascii="Traditional Arabic" w:hAnsi="Traditional Arabic"/>
          <w:rtl/>
        </w:rPr>
        <w:t>:</w:t>
      </w:r>
    </w:p>
    <w:p w:rsidR="00DF3DC2" w:rsidRDefault="002A634F" w:rsidP="00597C20">
      <w:pPr>
        <w:spacing w:line="580" w:lineRule="exact"/>
        <w:jc w:val="lowKashida"/>
        <w:rPr>
          <w:rFonts w:ascii="Traditional Arabic" w:hAnsi="Traditional Arabic"/>
          <w:rtl/>
        </w:rPr>
      </w:pPr>
      <w:r>
        <w:rPr>
          <w:rFonts w:ascii="Traditional Arabic" w:hAnsi="Traditional Arabic" w:hint="cs"/>
          <w:rtl/>
        </w:rPr>
        <w:lastRenderedPageBreak/>
        <w:t>(1) الفرق بين بيع الحمل وبين استثناء الحمل في البيع</w:t>
      </w:r>
      <w:r w:rsidRPr="002A634F">
        <w:rPr>
          <w:rFonts w:ascii="Traditional Arabic" w:hAnsi="Traditional Arabic" w:hint="cs"/>
          <w:vertAlign w:val="superscript"/>
          <w:rtl/>
        </w:rPr>
        <w:t>(</w:t>
      </w:r>
      <w:r w:rsidRPr="002A634F">
        <w:rPr>
          <w:rStyle w:val="af1"/>
          <w:rFonts w:ascii="Traditional Arabic" w:hAnsi="Traditional Arabic"/>
          <w:rtl/>
        </w:rPr>
        <w:footnoteReference w:id="66"/>
      </w:r>
      <w:r w:rsidRPr="002A634F">
        <w:rPr>
          <w:rFonts w:ascii="Traditional Arabic" w:hAnsi="Traditional Arabic" w:hint="cs"/>
          <w:vertAlign w:val="superscript"/>
          <w:rtl/>
        </w:rPr>
        <w:t>)</w:t>
      </w:r>
      <w:r>
        <w:rPr>
          <w:rFonts w:ascii="Traditional Arabic" w:hAnsi="Traditional Arabic" w:hint="cs"/>
          <w:rtl/>
        </w:rPr>
        <w:t>.</w:t>
      </w:r>
    </w:p>
    <w:p w:rsidR="002A634F" w:rsidRDefault="002A634F" w:rsidP="001E3043">
      <w:pPr>
        <w:spacing w:line="580" w:lineRule="exact"/>
        <w:jc w:val="lowKashida"/>
        <w:rPr>
          <w:rFonts w:ascii="Traditional Arabic" w:hAnsi="Traditional Arabic"/>
          <w:rtl/>
        </w:rPr>
      </w:pPr>
      <w:r>
        <w:rPr>
          <w:rFonts w:ascii="Traditional Arabic" w:hAnsi="Traditional Arabic" w:hint="cs"/>
          <w:rtl/>
        </w:rPr>
        <w:t xml:space="preserve">(2) </w:t>
      </w:r>
      <w:r w:rsidR="001E3043">
        <w:rPr>
          <w:rFonts w:ascii="Traditional Arabic" w:hAnsi="Traditional Arabic" w:hint="cs"/>
          <w:rtl/>
        </w:rPr>
        <w:t>الفرق بين الكفالة</w:t>
      </w:r>
      <w:r w:rsidR="00C87D15" w:rsidRPr="00C87D15">
        <w:rPr>
          <w:rFonts w:ascii="Traditional Arabic" w:hAnsi="Traditional Arabic" w:hint="cs"/>
          <w:vertAlign w:val="superscript"/>
          <w:rtl/>
        </w:rPr>
        <w:t>(</w:t>
      </w:r>
      <w:r w:rsidR="00C87D15" w:rsidRPr="00C87D15">
        <w:rPr>
          <w:rStyle w:val="af1"/>
          <w:rFonts w:ascii="Traditional Arabic" w:hAnsi="Traditional Arabic"/>
          <w:rtl/>
        </w:rPr>
        <w:footnoteReference w:id="67"/>
      </w:r>
      <w:r w:rsidR="00C87D15" w:rsidRPr="00C87D15">
        <w:rPr>
          <w:rFonts w:ascii="Traditional Arabic" w:hAnsi="Traditional Arabic" w:hint="cs"/>
          <w:vertAlign w:val="superscript"/>
          <w:rtl/>
        </w:rPr>
        <w:t>)</w:t>
      </w:r>
      <w:r w:rsidR="001E3043">
        <w:rPr>
          <w:rFonts w:ascii="Traditional Arabic" w:hAnsi="Traditional Arabic" w:hint="cs"/>
          <w:rtl/>
        </w:rPr>
        <w:t xml:space="preserve"> والضمان</w:t>
      </w:r>
      <w:r w:rsidR="001E3043" w:rsidRPr="001E3043">
        <w:rPr>
          <w:rFonts w:ascii="Traditional Arabic" w:hAnsi="Traditional Arabic" w:hint="cs"/>
          <w:vertAlign w:val="superscript"/>
          <w:rtl/>
        </w:rPr>
        <w:t>(</w:t>
      </w:r>
      <w:r w:rsidR="001E3043" w:rsidRPr="001E3043">
        <w:rPr>
          <w:rStyle w:val="af1"/>
          <w:rFonts w:ascii="Traditional Arabic" w:hAnsi="Traditional Arabic"/>
          <w:rtl/>
        </w:rPr>
        <w:footnoteReference w:id="68"/>
      </w:r>
      <w:r w:rsidR="001E3043" w:rsidRPr="001E3043">
        <w:rPr>
          <w:rFonts w:ascii="Traditional Arabic" w:hAnsi="Traditional Arabic" w:hint="cs"/>
          <w:vertAlign w:val="superscript"/>
          <w:rtl/>
        </w:rPr>
        <w:t>)</w:t>
      </w:r>
      <w:r w:rsidR="001E3043">
        <w:rPr>
          <w:rFonts w:ascii="Traditional Arabic" w:hAnsi="Traditional Arabic" w:hint="cs"/>
          <w:rtl/>
        </w:rPr>
        <w:t>.</w:t>
      </w:r>
    </w:p>
    <w:p w:rsidR="001E3043" w:rsidRDefault="001E3043" w:rsidP="001E3043">
      <w:pPr>
        <w:spacing w:line="580" w:lineRule="exact"/>
        <w:jc w:val="lowKashida"/>
        <w:rPr>
          <w:rFonts w:ascii="Traditional Arabic" w:hAnsi="Traditional Arabic"/>
          <w:rtl/>
        </w:rPr>
      </w:pPr>
      <w:r>
        <w:rPr>
          <w:rFonts w:ascii="Traditional Arabic" w:hAnsi="Traditional Arabic" w:hint="cs"/>
          <w:rtl/>
        </w:rPr>
        <w:t>(3) الفرق بين شروط البيع والشروط في البيع</w:t>
      </w:r>
      <w:r w:rsidRPr="001E3043">
        <w:rPr>
          <w:rFonts w:ascii="Traditional Arabic" w:hAnsi="Traditional Arabic" w:hint="cs"/>
          <w:vertAlign w:val="superscript"/>
          <w:rtl/>
        </w:rPr>
        <w:t>(</w:t>
      </w:r>
      <w:r w:rsidRPr="001E3043">
        <w:rPr>
          <w:rStyle w:val="af1"/>
          <w:rFonts w:ascii="Traditional Arabic" w:hAnsi="Traditional Arabic"/>
          <w:rtl/>
        </w:rPr>
        <w:footnoteReference w:id="69"/>
      </w:r>
      <w:r w:rsidRPr="001E3043">
        <w:rPr>
          <w:rFonts w:ascii="Traditional Arabic" w:hAnsi="Traditional Arabic" w:hint="cs"/>
          <w:vertAlign w:val="superscript"/>
          <w:rtl/>
        </w:rPr>
        <w:t>)</w:t>
      </w:r>
      <w:r>
        <w:rPr>
          <w:rFonts w:ascii="Traditional Arabic" w:hAnsi="Traditional Arabic" w:hint="cs"/>
          <w:rtl/>
        </w:rPr>
        <w:t>.</w:t>
      </w:r>
    </w:p>
    <w:p w:rsidR="001E3043" w:rsidRDefault="0061160B" w:rsidP="001E3043">
      <w:pPr>
        <w:spacing w:line="580" w:lineRule="exact"/>
        <w:jc w:val="lowKashida"/>
        <w:rPr>
          <w:rFonts w:ascii="Traditional Arabic" w:hAnsi="Traditional Arabic"/>
          <w:rtl/>
        </w:rPr>
      </w:pPr>
      <w:r>
        <w:rPr>
          <w:rFonts w:ascii="Traditional Arabic" w:hAnsi="Traditional Arabic" w:hint="cs"/>
          <w:rtl/>
        </w:rPr>
        <w:t>(4</w:t>
      </w:r>
      <w:r w:rsidR="001E3043">
        <w:rPr>
          <w:rFonts w:ascii="Traditional Arabic" w:hAnsi="Traditional Arabic" w:hint="cs"/>
          <w:rtl/>
        </w:rPr>
        <w:t>) الفرق بين المحجور عليه شرعا والمحجور عليه حكما</w:t>
      </w:r>
      <w:r w:rsidR="001E3043" w:rsidRPr="001E3043">
        <w:rPr>
          <w:rFonts w:ascii="Traditional Arabic" w:hAnsi="Traditional Arabic" w:hint="cs"/>
          <w:vertAlign w:val="superscript"/>
          <w:rtl/>
        </w:rPr>
        <w:t>(</w:t>
      </w:r>
      <w:r w:rsidR="001E3043" w:rsidRPr="001E3043">
        <w:rPr>
          <w:rStyle w:val="af1"/>
          <w:rFonts w:ascii="Traditional Arabic" w:hAnsi="Traditional Arabic"/>
          <w:rtl/>
        </w:rPr>
        <w:footnoteReference w:id="70"/>
      </w:r>
      <w:r w:rsidR="001E3043" w:rsidRPr="001E3043">
        <w:rPr>
          <w:rFonts w:ascii="Traditional Arabic" w:hAnsi="Traditional Arabic" w:hint="cs"/>
          <w:vertAlign w:val="superscript"/>
          <w:rtl/>
        </w:rPr>
        <w:t>)</w:t>
      </w:r>
      <w:r w:rsidR="001E3043">
        <w:rPr>
          <w:rFonts w:ascii="Traditional Arabic" w:hAnsi="Traditional Arabic" w:hint="cs"/>
          <w:rtl/>
        </w:rPr>
        <w:t>.</w:t>
      </w:r>
    </w:p>
    <w:p w:rsidR="001E3043" w:rsidRPr="00C85F0F" w:rsidRDefault="0061160B" w:rsidP="0061160B">
      <w:pPr>
        <w:spacing w:line="580" w:lineRule="exact"/>
        <w:jc w:val="lowKashida"/>
        <w:rPr>
          <w:rFonts w:ascii="Traditional Arabic" w:hAnsi="Traditional Arabic"/>
          <w:rtl/>
        </w:rPr>
      </w:pPr>
      <w:r>
        <w:rPr>
          <w:rFonts w:ascii="Traditional Arabic" w:hAnsi="Traditional Arabic" w:hint="cs"/>
          <w:rtl/>
        </w:rPr>
        <w:t>(5</w:t>
      </w:r>
      <w:r w:rsidR="001E3043">
        <w:rPr>
          <w:rFonts w:ascii="Traditional Arabic" w:hAnsi="Traditional Arabic" w:hint="cs"/>
          <w:rtl/>
        </w:rPr>
        <w:t>) الفرق بين الأجير الخاص والأجير المشترك</w:t>
      </w:r>
      <w:r w:rsidR="001E3043" w:rsidRPr="001E3043">
        <w:rPr>
          <w:rFonts w:ascii="Traditional Arabic" w:hAnsi="Traditional Arabic" w:hint="cs"/>
          <w:vertAlign w:val="superscript"/>
          <w:rtl/>
        </w:rPr>
        <w:t>(</w:t>
      </w:r>
      <w:r w:rsidR="001E3043" w:rsidRPr="001E3043">
        <w:rPr>
          <w:rStyle w:val="af1"/>
          <w:rFonts w:ascii="Traditional Arabic" w:hAnsi="Traditional Arabic"/>
          <w:rtl/>
        </w:rPr>
        <w:footnoteReference w:id="71"/>
      </w:r>
      <w:r w:rsidR="001E3043" w:rsidRPr="001E3043">
        <w:rPr>
          <w:rFonts w:ascii="Traditional Arabic" w:hAnsi="Traditional Arabic" w:hint="cs"/>
          <w:vertAlign w:val="superscript"/>
          <w:rtl/>
        </w:rPr>
        <w:t>)</w:t>
      </w:r>
      <w:r w:rsidR="001E3043">
        <w:rPr>
          <w:rFonts w:ascii="Traditional Arabic" w:hAnsi="Traditional Arabic" w:hint="cs"/>
          <w:rtl/>
        </w:rPr>
        <w:t>.</w:t>
      </w:r>
    </w:p>
    <w:p w:rsidR="00F228A9" w:rsidRPr="00C85F0F" w:rsidRDefault="00DF3DC2" w:rsidP="00597C20">
      <w:pPr>
        <w:pStyle w:val="53"/>
        <w:rPr>
          <w:rtl/>
        </w:rPr>
      </w:pPr>
      <w:r w:rsidRPr="00C85F0F">
        <w:rPr>
          <w:rtl/>
        </w:rPr>
        <w:t xml:space="preserve"> </w:t>
      </w:r>
      <w:r>
        <w:rPr>
          <w:rtl/>
        </w:rPr>
        <w:t>(</w:t>
      </w:r>
      <w:r>
        <w:rPr>
          <w:rFonts w:hint="cs"/>
          <w:rtl/>
        </w:rPr>
        <w:t>7</w:t>
      </w:r>
      <w:r w:rsidR="00C15AF3">
        <w:rPr>
          <w:rtl/>
        </w:rPr>
        <w:t>) الا</w:t>
      </w:r>
      <w:r w:rsidR="00C15AF3">
        <w:rPr>
          <w:rFonts w:hint="cs"/>
          <w:rtl/>
        </w:rPr>
        <w:t>هتمام</w:t>
      </w:r>
      <w:r w:rsidR="006F08E1" w:rsidRPr="00C85F0F">
        <w:rPr>
          <w:rtl/>
        </w:rPr>
        <w:t xml:space="preserve"> </w:t>
      </w:r>
      <w:r w:rsidR="006F08E1" w:rsidRPr="00597C20">
        <w:rPr>
          <w:rtl/>
        </w:rPr>
        <w:t>بالتقاسيم</w:t>
      </w:r>
      <w:r w:rsidR="00C15AF3">
        <w:rPr>
          <w:rtl/>
        </w:rPr>
        <w:t xml:space="preserve"> الفقهية</w:t>
      </w:r>
      <w:r w:rsidR="006F08E1" w:rsidRPr="00C85F0F">
        <w:rPr>
          <w:rtl/>
        </w:rPr>
        <w:t>:</w:t>
      </w:r>
    </w:p>
    <w:p w:rsidR="00000A26" w:rsidRDefault="00C15AF3" w:rsidP="00000A26">
      <w:pPr>
        <w:spacing w:line="640" w:lineRule="exact"/>
        <w:jc w:val="lowKashida"/>
        <w:rPr>
          <w:rFonts w:ascii="Traditional Arabic" w:hAnsi="Traditional Arabic"/>
          <w:rtl/>
        </w:rPr>
      </w:pPr>
      <w:r>
        <w:rPr>
          <w:rFonts w:ascii="Traditional Arabic" w:hAnsi="Traditional Arabic" w:hint="cs"/>
          <w:rtl/>
        </w:rPr>
        <w:t xml:space="preserve">تميَّز </w:t>
      </w:r>
      <w:r w:rsidR="006F08E1" w:rsidRPr="00C85F0F">
        <w:rPr>
          <w:rFonts w:ascii="Traditional Arabic" w:hAnsi="Traditional Arabic"/>
          <w:rtl/>
        </w:rPr>
        <w:t>الشيخ ابن عثيمي</w:t>
      </w:r>
      <w:r>
        <w:rPr>
          <w:rFonts w:ascii="Traditional Arabic" w:hAnsi="Traditional Arabic" w:hint="cs"/>
          <w:rtl/>
        </w:rPr>
        <w:t>ن _رحمه الله_ بالتحديد الدقيق للمصطلحات</w:t>
      </w:r>
      <w:r w:rsidR="006F0830">
        <w:rPr>
          <w:rFonts w:ascii="Traditional Arabic" w:hAnsi="Traditional Arabic" w:hint="cs"/>
          <w:rtl/>
        </w:rPr>
        <w:t>،</w:t>
      </w:r>
      <w:r>
        <w:rPr>
          <w:rFonts w:ascii="Traditional Arabic" w:hAnsi="Traditional Arabic" w:hint="cs"/>
          <w:rtl/>
        </w:rPr>
        <w:t xml:space="preserve"> وبسط المسائل وتحريرها وإيضاحها على شكل عناصر يتم تقسيمها وتعدادها ليسه</w:t>
      </w:r>
      <w:r w:rsidR="00000A26">
        <w:rPr>
          <w:rFonts w:ascii="Traditional Arabic" w:hAnsi="Traditional Arabic" w:hint="cs"/>
          <w:rtl/>
        </w:rPr>
        <w:t>ُ</w:t>
      </w:r>
      <w:r>
        <w:rPr>
          <w:rFonts w:ascii="Traditional Arabic" w:hAnsi="Traditional Arabic" w:hint="cs"/>
          <w:rtl/>
        </w:rPr>
        <w:t>ل</w:t>
      </w:r>
      <w:r w:rsidR="00000A26">
        <w:rPr>
          <w:rFonts w:ascii="Traditional Arabic" w:hAnsi="Traditional Arabic" w:hint="cs"/>
          <w:rtl/>
        </w:rPr>
        <w:t xml:space="preserve"> تناولها، والذي يستعرض الأحكام خاصة في شرح الش</w:t>
      </w:r>
      <w:r w:rsidR="006F08E1" w:rsidRPr="00C85F0F">
        <w:rPr>
          <w:rFonts w:ascii="Traditional Arabic" w:hAnsi="Traditional Arabic"/>
          <w:rtl/>
        </w:rPr>
        <w:t>ي</w:t>
      </w:r>
      <w:r w:rsidR="00000A26">
        <w:rPr>
          <w:rFonts w:ascii="Traditional Arabic" w:hAnsi="Traditional Arabic" w:hint="cs"/>
          <w:rtl/>
        </w:rPr>
        <w:t>خ لزاد المستقنع يتجلى له كثير من هذه الأمثلة</w:t>
      </w:r>
      <w:r w:rsidR="006F0830" w:rsidRPr="006F0830">
        <w:rPr>
          <w:rFonts w:ascii="Traditional Arabic" w:hAnsi="Traditional Arabic" w:hint="cs"/>
          <w:vertAlign w:val="superscript"/>
          <w:rtl/>
        </w:rPr>
        <w:t>(</w:t>
      </w:r>
      <w:r w:rsidR="00000A26" w:rsidRPr="006F0830">
        <w:rPr>
          <w:rStyle w:val="af1"/>
          <w:rFonts w:ascii="Traditional Arabic" w:hAnsi="Traditional Arabic"/>
          <w:rtl/>
        </w:rPr>
        <w:footnoteReference w:id="72"/>
      </w:r>
      <w:r w:rsidR="006F0830" w:rsidRPr="006F0830">
        <w:rPr>
          <w:rFonts w:ascii="Traditional Arabic" w:hAnsi="Traditional Arabic" w:hint="cs"/>
          <w:vertAlign w:val="superscript"/>
          <w:rtl/>
        </w:rPr>
        <w:t>)</w:t>
      </w:r>
      <w:r w:rsidR="00000A26">
        <w:rPr>
          <w:rFonts w:ascii="Traditional Arabic" w:hAnsi="Traditional Arabic" w:hint="cs"/>
          <w:rtl/>
        </w:rPr>
        <w:t>.</w:t>
      </w:r>
    </w:p>
    <w:p w:rsidR="006F08E1" w:rsidRDefault="00000A26" w:rsidP="00000A26">
      <w:pPr>
        <w:spacing w:line="640" w:lineRule="exact"/>
        <w:ind w:firstLine="0"/>
        <w:jc w:val="lowKashida"/>
        <w:rPr>
          <w:rFonts w:ascii="Traditional Arabic" w:hAnsi="Traditional Arabic"/>
          <w:rtl/>
        </w:rPr>
      </w:pPr>
      <w:r>
        <w:rPr>
          <w:rFonts w:ascii="Traditional Arabic" w:hAnsi="Traditional Arabic" w:hint="cs"/>
          <w:rtl/>
        </w:rPr>
        <w:t xml:space="preserve">    ومن أمثلة ذلك ما يلي:</w:t>
      </w:r>
    </w:p>
    <w:p w:rsidR="00000A26" w:rsidRPr="00000A26" w:rsidRDefault="00000A26" w:rsidP="00000A26">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rtl/>
        </w:rPr>
        <w:lastRenderedPageBreak/>
        <w:t xml:space="preserve">    (1) </w:t>
      </w:r>
      <w:r w:rsidRPr="00000A26">
        <w:rPr>
          <w:rFonts w:ascii="Traditional Arabic" w:hAnsi="Traditional Arabic"/>
          <w:noProof w:val="0"/>
          <w:rtl/>
          <w:lang w:eastAsia="en-US"/>
        </w:rPr>
        <w:t>الموصوف ينقسم إلى قسمين:</w:t>
      </w:r>
    </w:p>
    <w:p w:rsidR="00000A26" w:rsidRPr="00000A26" w:rsidRDefault="00000A26" w:rsidP="00000A26">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000A26">
        <w:rPr>
          <w:rFonts w:ascii="Traditional Arabic" w:hAnsi="Traditional Arabic"/>
          <w:noProof w:val="0"/>
          <w:rtl/>
          <w:lang w:eastAsia="en-US"/>
        </w:rPr>
        <w:t>أحدهما: أن يكون معي</w:t>
      </w:r>
      <w:r>
        <w:rPr>
          <w:rFonts w:ascii="Traditional Arabic" w:hAnsi="Traditional Arabic" w:hint="cs"/>
          <w:noProof w:val="0"/>
          <w:rtl/>
          <w:lang w:eastAsia="en-US"/>
        </w:rPr>
        <w:t>َّ</w:t>
      </w:r>
      <w:r w:rsidRPr="00000A26">
        <w:rPr>
          <w:rFonts w:ascii="Traditional Arabic" w:hAnsi="Traditional Arabic"/>
          <w:noProof w:val="0"/>
          <w:rtl/>
          <w:lang w:eastAsia="en-US"/>
        </w:rPr>
        <w:t>نا</w:t>
      </w:r>
      <w:r>
        <w:rPr>
          <w:rFonts w:ascii="Traditional Arabic" w:hAnsi="Traditional Arabic" w:hint="cs"/>
          <w:noProof w:val="0"/>
          <w:rtl/>
          <w:lang w:eastAsia="en-US"/>
        </w:rPr>
        <w:t>ً</w:t>
      </w:r>
      <w:r w:rsidRPr="00000A26">
        <w:rPr>
          <w:rFonts w:ascii="Traditional Arabic" w:hAnsi="Traditional Arabic"/>
          <w:noProof w:val="0"/>
          <w:rtl/>
          <w:lang w:eastAsia="en-US"/>
        </w:rPr>
        <w:t>.</w:t>
      </w:r>
    </w:p>
    <w:p w:rsidR="00000A26" w:rsidRDefault="00000A26" w:rsidP="00000A26">
      <w:pPr>
        <w:spacing w:line="640" w:lineRule="exact"/>
        <w:ind w:firstLine="0"/>
        <w:jc w:val="lowKashida"/>
        <w:rPr>
          <w:rFonts w:ascii="Traditional Arabic" w:hAnsi="Traditional Arabic"/>
          <w:rtl/>
        </w:rPr>
      </w:pPr>
      <w:r>
        <w:rPr>
          <w:rFonts w:ascii="Traditional Arabic" w:hAnsi="Traditional Arabic" w:hint="cs"/>
          <w:noProof w:val="0"/>
          <w:rtl/>
          <w:lang w:eastAsia="en-US"/>
        </w:rPr>
        <w:t xml:space="preserve">         </w:t>
      </w:r>
      <w:r w:rsidRPr="00000A26">
        <w:rPr>
          <w:rFonts w:ascii="Traditional Arabic" w:hAnsi="Traditional Arabic"/>
          <w:noProof w:val="0"/>
          <w:rtl/>
          <w:lang w:eastAsia="en-US"/>
        </w:rPr>
        <w:t>الثاني: أن يكون في الذمة</w:t>
      </w:r>
      <w:r w:rsidR="00C9554A" w:rsidRPr="00C9554A">
        <w:rPr>
          <w:rFonts w:ascii="Traditional Arabic" w:hAnsi="Traditional Arabic" w:hint="cs"/>
          <w:noProof w:val="0"/>
          <w:vertAlign w:val="superscript"/>
          <w:rtl/>
          <w:lang w:eastAsia="en-US"/>
        </w:rPr>
        <w:t>(</w:t>
      </w:r>
      <w:r w:rsidRPr="00C9554A">
        <w:rPr>
          <w:rStyle w:val="af1"/>
          <w:rFonts w:ascii="Traditional Arabic" w:hAnsi="Traditional Arabic"/>
          <w:noProof w:val="0"/>
          <w:rtl/>
          <w:lang w:eastAsia="en-US"/>
        </w:rPr>
        <w:footnoteReference w:id="73"/>
      </w:r>
      <w:r w:rsidR="00C9554A" w:rsidRPr="00C9554A">
        <w:rPr>
          <w:rFonts w:ascii="Traditional Arabic" w:hAnsi="Traditional Arabic" w:hint="cs"/>
          <w:noProof w:val="0"/>
          <w:vertAlign w:val="superscript"/>
          <w:rtl/>
          <w:lang w:eastAsia="en-US"/>
        </w:rPr>
        <w:t>)</w:t>
      </w:r>
      <w:r w:rsidRPr="00000A26">
        <w:rPr>
          <w:rFonts w:ascii="Traditional Arabic" w:hAnsi="Traditional Arabic"/>
          <w:noProof w:val="0"/>
          <w:rtl/>
          <w:lang w:eastAsia="en-US"/>
        </w:rPr>
        <w:t>.</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rtl/>
        </w:rPr>
        <w:t xml:space="preserve">    (2) </w:t>
      </w:r>
      <w:r w:rsidRPr="00C9554A">
        <w:rPr>
          <w:rFonts w:ascii="Traditional Arabic" w:hAnsi="Traditional Arabic"/>
          <w:noProof w:val="0"/>
          <w:rtl/>
          <w:lang w:eastAsia="en-US"/>
        </w:rPr>
        <w:t>الشروط الصحيحة تنقسم إلى ثلاثة أقسام:</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الأول: قسم ثابت، سواء شرط أم لم يشترط؛ لأنه من مقتضى العقد، مثل تسليم البائع المبيع والمشتري الثمن</w:t>
      </w:r>
      <w:r w:rsidRPr="00C9554A">
        <w:rPr>
          <w:rFonts w:ascii="Traditional Arabic" w:hAnsi="Traditional Arabic" w:hint="cs"/>
          <w:noProof w:val="0"/>
          <w:rtl/>
          <w:lang w:eastAsia="en-US"/>
        </w:rPr>
        <w:t>.</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الثاني: ما يتعلق بمصلحة العقد وليس نفعا مستقلا، مثل: ا</w:t>
      </w:r>
      <w:r w:rsidRPr="00C9554A">
        <w:rPr>
          <w:rFonts w:ascii="Traditional Arabic" w:hAnsi="Traditional Arabic" w:hint="cs"/>
          <w:noProof w:val="0"/>
          <w:rtl/>
          <w:lang w:eastAsia="en-US"/>
        </w:rPr>
        <w:t>لرهن</w:t>
      </w:r>
      <w:r w:rsidRPr="00C9554A">
        <w:rPr>
          <w:rFonts w:ascii="Traditional Arabic" w:hAnsi="Traditional Arabic"/>
          <w:noProof w:val="0"/>
          <w:rtl/>
          <w:lang w:eastAsia="en-US"/>
        </w:rPr>
        <w:t>.</w:t>
      </w:r>
    </w:p>
    <w:p w:rsidR="00C9554A" w:rsidRDefault="00C9554A" w:rsidP="00C9554A">
      <w:pPr>
        <w:spacing w:line="640" w:lineRule="exact"/>
        <w:ind w:firstLine="0"/>
        <w:jc w:val="lowKashida"/>
        <w:rPr>
          <w:rFonts w:ascii="Traditional Arabic" w:hAnsi="Traditional Arabic"/>
          <w:rtl/>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الثالث: شرط نفع إما للبائع وإما للمشتري</w:t>
      </w:r>
      <w:r w:rsidRPr="00C9554A">
        <w:rPr>
          <w:rFonts w:ascii="Traditional Arabic" w:hAnsi="Traditional Arabic" w:hint="cs"/>
          <w:rtl/>
        </w:rPr>
        <w:t xml:space="preserve">، </w:t>
      </w:r>
      <w:r w:rsidRPr="00C9554A">
        <w:rPr>
          <w:rFonts w:ascii="Traditional Arabic" w:hAnsi="Traditional Arabic"/>
          <w:noProof w:val="0"/>
          <w:rtl/>
          <w:lang w:eastAsia="en-US"/>
        </w:rPr>
        <w:t>والذي للبائع، مثل أن يشترط إذا باع داره س</w:t>
      </w:r>
      <w:r>
        <w:rPr>
          <w:rFonts w:ascii="Traditional Arabic" w:hAnsi="Traditional Arabic" w:hint="cs"/>
          <w:noProof w:val="0"/>
          <w:rtl/>
          <w:lang w:eastAsia="en-US"/>
        </w:rPr>
        <w:t>ُ</w:t>
      </w:r>
      <w:r w:rsidRPr="00C9554A">
        <w:rPr>
          <w:rFonts w:ascii="Traditional Arabic" w:hAnsi="Traditional Arabic"/>
          <w:noProof w:val="0"/>
          <w:rtl/>
          <w:lang w:eastAsia="en-US"/>
        </w:rPr>
        <w:t>ك</w:t>
      </w:r>
      <w:r>
        <w:rPr>
          <w:rFonts w:ascii="Traditional Arabic" w:hAnsi="Traditional Arabic" w:hint="cs"/>
          <w:noProof w:val="0"/>
          <w:rtl/>
          <w:lang w:eastAsia="en-US"/>
        </w:rPr>
        <w:t>ْ</w:t>
      </w:r>
      <w:r w:rsidRPr="00C9554A">
        <w:rPr>
          <w:rFonts w:ascii="Traditional Arabic" w:hAnsi="Traditional Arabic"/>
          <w:noProof w:val="0"/>
          <w:rtl/>
          <w:lang w:eastAsia="en-US"/>
        </w:rPr>
        <w:t>ناها شهرا</w:t>
      </w:r>
      <w:r>
        <w:rPr>
          <w:rFonts w:ascii="Traditional Arabic" w:hAnsi="Traditional Arabic" w:hint="cs"/>
          <w:noProof w:val="0"/>
          <w:rtl/>
          <w:lang w:eastAsia="en-US"/>
        </w:rPr>
        <w:t>ً</w:t>
      </w:r>
      <w:r w:rsidRPr="00C9554A">
        <w:rPr>
          <w:rFonts w:ascii="Traditional Arabic" w:hAnsi="Traditional Arabic"/>
          <w:noProof w:val="0"/>
          <w:rtl/>
          <w:lang w:eastAsia="en-US"/>
        </w:rPr>
        <w:t>، والذي للمشتري، مثل أن يشترط على البائع أن يحمل الحطب</w:t>
      </w:r>
      <w:r w:rsidRPr="00C9554A">
        <w:rPr>
          <w:rFonts w:ascii="Traditional Arabic" w:hAnsi="Traditional Arabic" w:hint="cs"/>
          <w:noProof w:val="0"/>
          <w:vertAlign w:val="superscript"/>
          <w:rtl/>
          <w:lang w:eastAsia="en-US"/>
        </w:rPr>
        <w:t>(</w:t>
      </w:r>
      <w:r w:rsidRPr="00C9554A">
        <w:rPr>
          <w:rStyle w:val="af1"/>
          <w:rFonts w:ascii="Traditional Arabic" w:hAnsi="Traditional Arabic"/>
          <w:noProof w:val="0"/>
          <w:rtl/>
          <w:lang w:eastAsia="en-US"/>
        </w:rPr>
        <w:footnoteReference w:id="74"/>
      </w:r>
      <w:r w:rsidRPr="00C9554A">
        <w:rPr>
          <w:rFonts w:ascii="Traditional Arabic" w:hAnsi="Traditional Arabic" w:hint="cs"/>
          <w:vertAlign w:val="superscript"/>
          <w:rtl/>
        </w:rPr>
        <w:t>)</w:t>
      </w:r>
      <w:r w:rsidRPr="00C9554A">
        <w:rPr>
          <w:rFonts w:ascii="Traditional Arabic" w:hAnsi="Traditional Arabic" w:hint="cs"/>
          <w:rtl/>
        </w:rPr>
        <w:t>.</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rtl/>
        </w:rPr>
        <w:t xml:space="preserve">    (3)</w:t>
      </w:r>
      <w:r w:rsidRPr="00C9554A">
        <w:rPr>
          <w:rFonts w:ascii="Traditional Arabic" w:hAnsi="Traditional Arabic" w:hint="cs"/>
          <w:rtl/>
        </w:rPr>
        <w:t xml:space="preserve"> </w:t>
      </w:r>
      <w:r w:rsidR="009A5761">
        <w:rPr>
          <w:rFonts w:ascii="Traditional Arabic" w:hAnsi="Traditional Arabic"/>
          <w:noProof w:val="0"/>
          <w:rtl/>
          <w:lang w:eastAsia="en-US"/>
        </w:rPr>
        <w:t xml:space="preserve">تلف المكيل ونحوه </w:t>
      </w:r>
      <w:r w:rsidRPr="00C9554A">
        <w:rPr>
          <w:rFonts w:ascii="Traditional Arabic" w:hAnsi="Traditional Arabic"/>
          <w:noProof w:val="0"/>
          <w:rtl/>
          <w:lang w:eastAsia="en-US"/>
        </w:rPr>
        <w:t>على أربعة أقسام:</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أولا: أن ي</w:t>
      </w:r>
      <w:r>
        <w:rPr>
          <w:rFonts w:ascii="Traditional Arabic" w:hAnsi="Traditional Arabic" w:hint="cs"/>
          <w:noProof w:val="0"/>
          <w:rtl/>
          <w:lang w:eastAsia="en-US"/>
        </w:rPr>
        <w:t>ُ</w:t>
      </w:r>
      <w:r w:rsidRPr="00C9554A">
        <w:rPr>
          <w:rFonts w:ascii="Traditional Arabic" w:hAnsi="Traditional Arabic"/>
          <w:noProof w:val="0"/>
          <w:rtl/>
          <w:lang w:eastAsia="en-US"/>
        </w:rPr>
        <w:t>تلفه البائع.</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ثانيا: أن ي</w:t>
      </w:r>
      <w:r>
        <w:rPr>
          <w:rFonts w:ascii="Traditional Arabic" w:hAnsi="Traditional Arabic" w:hint="cs"/>
          <w:noProof w:val="0"/>
          <w:rtl/>
          <w:lang w:eastAsia="en-US"/>
        </w:rPr>
        <w:t>َ</w:t>
      </w:r>
      <w:r w:rsidRPr="00C9554A">
        <w:rPr>
          <w:rFonts w:ascii="Traditional Arabic" w:hAnsi="Traditional Arabic"/>
          <w:noProof w:val="0"/>
          <w:rtl/>
          <w:lang w:eastAsia="en-US"/>
        </w:rPr>
        <w:t>تلف بآفة سماوية.</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ثالثا: أن ي</w:t>
      </w:r>
      <w:r>
        <w:rPr>
          <w:rFonts w:ascii="Traditional Arabic" w:hAnsi="Traditional Arabic" w:hint="cs"/>
          <w:noProof w:val="0"/>
          <w:rtl/>
          <w:lang w:eastAsia="en-US"/>
        </w:rPr>
        <w:t>ُ</w:t>
      </w:r>
      <w:r w:rsidRPr="00C9554A">
        <w:rPr>
          <w:rFonts w:ascii="Traditional Arabic" w:hAnsi="Traditional Arabic"/>
          <w:noProof w:val="0"/>
          <w:rtl/>
          <w:lang w:eastAsia="en-US"/>
        </w:rPr>
        <w:t>تلفه ما لا يمكن تضمينه.</w:t>
      </w:r>
    </w:p>
    <w:p w:rsidR="00C9554A" w:rsidRDefault="00C9554A" w:rsidP="00C9554A">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رابعا: أن يتلفه آدمي يمكن تضمينه</w:t>
      </w:r>
      <w:r w:rsidRPr="00C9554A">
        <w:rPr>
          <w:rFonts w:ascii="Traditional Arabic" w:hAnsi="Traditional Arabic" w:hint="cs"/>
          <w:noProof w:val="0"/>
          <w:vertAlign w:val="superscript"/>
          <w:rtl/>
          <w:lang w:eastAsia="en-US"/>
        </w:rPr>
        <w:t>(</w:t>
      </w:r>
      <w:r w:rsidRPr="00C9554A">
        <w:rPr>
          <w:rStyle w:val="af1"/>
          <w:rFonts w:ascii="Traditional Arabic" w:hAnsi="Traditional Arabic"/>
          <w:noProof w:val="0"/>
          <w:rtl/>
          <w:lang w:eastAsia="en-US"/>
        </w:rPr>
        <w:footnoteReference w:id="75"/>
      </w:r>
      <w:r w:rsidRPr="00C9554A">
        <w:rPr>
          <w:rFonts w:ascii="Traditional Arabic" w:hAnsi="Traditional Arabic" w:hint="cs"/>
          <w:noProof w:val="0"/>
          <w:vertAlign w:val="superscript"/>
          <w:rtl/>
          <w:lang w:eastAsia="en-US"/>
        </w:rPr>
        <w:t>)</w:t>
      </w:r>
      <w:r w:rsidRPr="00C9554A">
        <w:rPr>
          <w:rFonts w:ascii="Traditional Arabic" w:hAnsi="Traditional Arabic"/>
          <w:noProof w:val="0"/>
          <w:rtl/>
          <w:lang w:eastAsia="en-US"/>
        </w:rPr>
        <w:t>.</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color w:val="auto"/>
          <w:rtl/>
          <w:lang w:eastAsia="en-US"/>
        </w:rPr>
        <w:t xml:space="preserve">    (4) </w:t>
      </w:r>
      <w:r w:rsidRPr="00C9554A">
        <w:rPr>
          <w:rFonts w:ascii="Traditional Arabic" w:hAnsi="Traditional Arabic"/>
          <w:noProof w:val="0"/>
          <w:rtl/>
          <w:lang w:eastAsia="en-US"/>
        </w:rPr>
        <w:t>البيع إما أن يقع في جنس واحد ربوي</w:t>
      </w:r>
      <w:r>
        <w:rPr>
          <w:rFonts w:ascii="Traditional Arabic" w:hAnsi="Traditional Arabic" w:hint="cs"/>
          <w:noProof w:val="0"/>
          <w:rtl/>
          <w:lang w:eastAsia="en-US"/>
        </w:rPr>
        <w:t>،</w:t>
      </w:r>
      <w:r w:rsidRPr="00C9554A">
        <w:rPr>
          <w:rFonts w:ascii="Traditional Arabic" w:hAnsi="Traditional Arabic"/>
          <w:noProof w:val="0"/>
          <w:rtl/>
          <w:lang w:eastAsia="en-US"/>
        </w:rPr>
        <w:t xml:space="preserve"> أو في جنسين ربويين اتفقا في علة ربا الفضل، أو في جنسين ربويين لم يتفقا في العلة</w:t>
      </w:r>
      <w:r>
        <w:rPr>
          <w:rFonts w:ascii="Traditional Arabic" w:hAnsi="Traditional Arabic" w:hint="cs"/>
          <w:noProof w:val="0"/>
          <w:rtl/>
          <w:lang w:eastAsia="en-US"/>
        </w:rPr>
        <w:t>،</w:t>
      </w:r>
      <w:r w:rsidRPr="00C9554A">
        <w:rPr>
          <w:rFonts w:ascii="Traditional Arabic" w:hAnsi="Traditional Arabic"/>
          <w:noProof w:val="0"/>
          <w:rtl/>
          <w:lang w:eastAsia="en-US"/>
        </w:rPr>
        <w:t xml:space="preserve"> أو في شيئين ليسا ربويين، فالأقسام أربعة:</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الأول: إذا كان البيع في جنس واحد ربوي، حرم فيه التفاضل والنساء.</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الثاني: إذا كان في جنسين ربويين اتفقا في علة ربا الفضل، حرم بينهما النساء فقط دون الفضل.</w:t>
      </w:r>
    </w:p>
    <w:p w:rsidR="00C9554A" w:rsidRPr="00C9554A" w:rsidRDefault="00C9554A" w:rsidP="00C9554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الثالث: إذا كان بين جنسين ربويين لم يتفقا في العلة، جاز الفضل والنساء.</w:t>
      </w:r>
    </w:p>
    <w:p w:rsidR="00C9554A" w:rsidRDefault="00C9554A" w:rsidP="00C9554A">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rtl/>
          <w:lang w:eastAsia="en-US"/>
        </w:rPr>
        <w:t xml:space="preserve">       </w:t>
      </w:r>
      <w:r w:rsidRPr="00C9554A">
        <w:rPr>
          <w:rFonts w:ascii="Traditional Arabic" w:hAnsi="Traditional Arabic"/>
          <w:noProof w:val="0"/>
          <w:rtl/>
          <w:lang w:eastAsia="en-US"/>
        </w:rPr>
        <w:t>الرابع: إذا كان بين شيئين ليسا ربويين، جاز كل شيء، الفضل والنسيئة</w:t>
      </w:r>
      <w:r w:rsidRPr="00C9554A">
        <w:rPr>
          <w:rFonts w:ascii="Traditional Arabic" w:hAnsi="Traditional Arabic" w:hint="cs"/>
          <w:noProof w:val="0"/>
          <w:vertAlign w:val="superscript"/>
          <w:rtl/>
          <w:lang w:eastAsia="en-US"/>
        </w:rPr>
        <w:t>(</w:t>
      </w:r>
      <w:r w:rsidRPr="00C9554A">
        <w:rPr>
          <w:rStyle w:val="af1"/>
          <w:rFonts w:ascii="Traditional Arabic" w:hAnsi="Traditional Arabic"/>
          <w:noProof w:val="0"/>
          <w:rtl/>
          <w:lang w:eastAsia="en-US"/>
        </w:rPr>
        <w:footnoteReference w:id="76"/>
      </w:r>
      <w:r w:rsidRPr="00C9554A">
        <w:rPr>
          <w:rFonts w:ascii="Traditional Arabic" w:hAnsi="Traditional Arabic" w:hint="cs"/>
          <w:noProof w:val="0"/>
          <w:vertAlign w:val="superscript"/>
          <w:rtl/>
          <w:lang w:eastAsia="en-US"/>
        </w:rPr>
        <w:t>)</w:t>
      </w:r>
      <w:r w:rsidRPr="00C9554A">
        <w:rPr>
          <w:rFonts w:ascii="Traditional Arabic" w:hAnsi="Traditional Arabic"/>
          <w:noProof w:val="0"/>
          <w:rtl/>
          <w:lang w:eastAsia="en-US"/>
        </w:rPr>
        <w:t>.</w:t>
      </w:r>
    </w:p>
    <w:p w:rsidR="00624CDD" w:rsidRPr="00624CDD" w:rsidRDefault="00C9554A" w:rsidP="00624CDD">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color w:val="auto"/>
          <w:rtl/>
          <w:lang w:eastAsia="en-US"/>
        </w:rPr>
        <w:lastRenderedPageBreak/>
        <w:t xml:space="preserve">    (5) </w:t>
      </w:r>
      <w:r w:rsidR="00624CDD" w:rsidRPr="00624CDD">
        <w:rPr>
          <w:rFonts w:ascii="Traditional Arabic" w:hAnsi="Traditional Arabic"/>
          <w:noProof w:val="0"/>
          <w:rtl/>
          <w:lang w:eastAsia="en-US"/>
        </w:rPr>
        <w:t>الأمر لا يخلو من أحوال ثلاثة:</w:t>
      </w:r>
    </w:p>
    <w:p w:rsidR="00624CDD" w:rsidRPr="00624CDD" w:rsidRDefault="00624CDD" w:rsidP="00624CDD">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624CDD">
        <w:rPr>
          <w:rFonts w:ascii="Traditional Arabic" w:hAnsi="Traditional Arabic"/>
          <w:noProof w:val="0"/>
          <w:rtl/>
          <w:lang w:eastAsia="en-US"/>
        </w:rPr>
        <w:t>إما أن يبيعه بشرط القطع في الحال، أو بشرط التبقية، أو يسكت ولا يشترط لا بقاء</w:t>
      </w:r>
      <w:r>
        <w:rPr>
          <w:rFonts w:ascii="Traditional Arabic" w:hAnsi="Traditional Arabic" w:hint="cs"/>
          <w:noProof w:val="0"/>
          <w:rtl/>
          <w:lang w:eastAsia="en-US"/>
        </w:rPr>
        <w:t>ً</w:t>
      </w:r>
      <w:r w:rsidRPr="00624CDD">
        <w:rPr>
          <w:rFonts w:ascii="Traditional Arabic" w:hAnsi="Traditional Arabic"/>
          <w:noProof w:val="0"/>
          <w:rtl/>
          <w:lang w:eastAsia="en-US"/>
        </w:rPr>
        <w:t xml:space="preserve"> ولا قطعا.</w:t>
      </w:r>
    </w:p>
    <w:p w:rsidR="00624CDD" w:rsidRPr="00624CDD" w:rsidRDefault="00624CDD" w:rsidP="006F0830">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624CDD">
        <w:rPr>
          <w:rFonts w:ascii="Traditional Arabic" w:hAnsi="Traditional Arabic"/>
          <w:noProof w:val="0"/>
          <w:rtl/>
          <w:lang w:eastAsia="en-US"/>
        </w:rPr>
        <w:t>ففي الحال الأو</w:t>
      </w:r>
      <w:r w:rsidR="006F0830">
        <w:rPr>
          <w:rFonts w:ascii="Traditional Arabic" w:hAnsi="Traditional Arabic"/>
          <w:noProof w:val="0"/>
          <w:rtl/>
          <w:lang w:eastAsia="en-US"/>
        </w:rPr>
        <w:t>لى: يصح البيع بشرط أن ينتفع به</w:t>
      </w:r>
      <w:r w:rsidR="006F0830">
        <w:rPr>
          <w:rFonts w:ascii="Traditional Arabic" w:hAnsi="Traditional Arabic" w:hint="cs"/>
          <w:noProof w:val="0"/>
          <w:rtl/>
          <w:lang w:eastAsia="en-US"/>
        </w:rPr>
        <w:t>.</w:t>
      </w:r>
    </w:p>
    <w:p w:rsidR="00C9554A" w:rsidRDefault="00624CDD" w:rsidP="00624CDD">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rtl/>
          <w:lang w:eastAsia="en-US"/>
        </w:rPr>
        <w:t xml:space="preserve">        </w:t>
      </w:r>
      <w:r w:rsidRPr="00624CDD">
        <w:rPr>
          <w:rFonts w:ascii="Traditional Arabic" w:hAnsi="Traditional Arabic"/>
          <w:noProof w:val="0"/>
          <w:rtl/>
          <w:lang w:eastAsia="en-US"/>
        </w:rPr>
        <w:t>وفي الحال الثانية والثالثة: لا يصح</w:t>
      </w:r>
      <w:r w:rsidRPr="00624CDD">
        <w:rPr>
          <w:rFonts w:ascii="Traditional Arabic" w:hAnsi="Traditional Arabic" w:hint="cs"/>
          <w:noProof w:val="0"/>
          <w:vertAlign w:val="superscript"/>
          <w:rtl/>
          <w:lang w:eastAsia="en-US"/>
        </w:rPr>
        <w:t>(</w:t>
      </w:r>
      <w:r w:rsidRPr="00624CDD">
        <w:rPr>
          <w:rStyle w:val="af1"/>
          <w:rFonts w:ascii="Traditional Arabic" w:hAnsi="Traditional Arabic"/>
          <w:noProof w:val="0"/>
          <w:rtl/>
          <w:lang w:eastAsia="en-US"/>
        </w:rPr>
        <w:footnoteReference w:id="77"/>
      </w:r>
      <w:r w:rsidRPr="00624CDD">
        <w:rPr>
          <w:rFonts w:ascii="Traditional Arabic" w:hAnsi="Traditional Arabic" w:hint="cs"/>
          <w:noProof w:val="0"/>
          <w:vertAlign w:val="superscript"/>
          <w:rtl/>
          <w:lang w:eastAsia="en-US"/>
        </w:rPr>
        <w:t>)</w:t>
      </w:r>
      <w:r w:rsidRPr="00624CDD">
        <w:rPr>
          <w:rFonts w:ascii="Traditional Arabic" w:hAnsi="Traditional Arabic"/>
          <w:noProof w:val="0"/>
          <w:rtl/>
          <w:lang w:eastAsia="en-US"/>
        </w:rPr>
        <w:t>.</w:t>
      </w:r>
    </w:p>
    <w:p w:rsidR="00624CDD" w:rsidRPr="00624CDD" w:rsidRDefault="00624CDD" w:rsidP="00624CDD">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color w:val="auto"/>
          <w:rtl/>
          <w:lang w:eastAsia="en-US"/>
        </w:rPr>
        <w:t xml:space="preserve">    (6) </w:t>
      </w:r>
      <w:r w:rsidRPr="00624CDD">
        <w:rPr>
          <w:rFonts w:ascii="Traditional Arabic" w:hAnsi="Traditional Arabic"/>
          <w:noProof w:val="0"/>
          <w:rtl/>
          <w:lang w:eastAsia="en-US"/>
        </w:rPr>
        <w:t>الس</w:t>
      </w:r>
      <w:r w:rsidR="00BC3533">
        <w:rPr>
          <w:rFonts w:ascii="Traditional Arabic" w:hAnsi="Traditional Arabic" w:hint="cs"/>
          <w:noProof w:val="0"/>
          <w:rtl/>
          <w:lang w:eastAsia="en-US"/>
        </w:rPr>
        <w:t>َّ</w:t>
      </w:r>
      <w:r w:rsidRPr="00624CDD">
        <w:rPr>
          <w:rFonts w:ascii="Traditional Arabic" w:hAnsi="Traditional Arabic"/>
          <w:noProof w:val="0"/>
          <w:rtl/>
          <w:lang w:eastAsia="en-US"/>
        </w:rPr>
        <w:t>ب</w:t>
      </w:r>
      <w:r w:rsidR="00BC3533">
        <w:rPr>
          <w:rFonts w:ascii="Traditional Arabic" w:hAnsi="Traditional Arabic" w:hint="cs"/>
          <w:noProof w:val="0"/>
          <w:rtl/>
          <w:lang w:eastAsia="en-US"/>
        </w:rPr>
        <w:t>ْ</w:t>
      </w:r>
      <w:r w:rsidRPr="00624CDD">
        <w:rPr>
          <w:rFonts w:ascii="Traditional Arabic" w:hAnsi="Traditional Arabic"/>
          <w:noProof w:val="0"/>
          <w:rtl/>
          <w:lang w:eastAsia="en-US"/>
        </w:rPr>
        <w:t>ق ينقسم إلى ثلاثة أقسام:</w:t>
      </w:r>
    </w:p>
    <w:p w:rsidR="00624CDD" w:rsidRPr="00624CDD" w:rsidRDefault="00624CDD" w:rsidP="00624CDD">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624CDD">
        <w:rPr>
          <w:rFonts w:ascii="Traditional Arabic" w:hAnsi="Traditional Arabic"/>
          <w:noProof w:val="0"/>
          <w:rtl/>
          <w:lang w:eastAsia="en-US"/>
        </w:rPr>
        <w:t>قسم لا يجوز لا بعوض ولا بغيره.</w:t>
      </w:r>
    </w:p>
    <w:p w:rsidR="00624CDD" w:rsidRPr="00624CDD" w:rsidRDefault="00624CDD" w:rsidP="00624CDD">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624CDD">
        <w:rPr>
          <w:rFonts w:ascii="Traditional Arabic" w:hAnsi="Traditional Arabic"/>
          <w:noProof w:val="0"/>
          <w:rtl/>
          <w:lang w:eastAsia="en-US"/>
        </w:rPr>
        <w:t>وقسم يجوز بعوض وغيره.</w:t>
      </w:r>
    </w:p>
    <w:p w:rsidR="00624CDD" w:rsidRDefault="00624CDD" w:rsidP="00624CDD">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624CDD">
        <w:rPr>
          <w:rFonts w:ascii="Traditional Arabic" w:hAnsi="Traditional Arabic"/>
          <w:noProof w:val="0"/>
          <w:rtl/>
          <w:lang w:eastAsia="en-US"/>
        </w:rPr>
        <w:t>وقسم يجوز بلا عوض، ولا يجوز بعوض</w:t>
      </w:r>
      <w:r w:rsidRPr="00624CDD">
        <w:rPr>
          <w:rFonts w:ascii="Traditional Arabic" w:hAnsi="Traditional Arabic" w:hint="cs"/>
          <w:noProof w:val="0"/>
          <w:vertAlign w:val="superscript"/>
          <w:rtl/>
          <w:lang w:eastAsia="en-US"/>
        </w:rPr>
        <w:t>(</w:t>
      </w:r>
      <w:r w:rsidRPr="00624CDD">
        <w:rPr>
          <w:rStyle w:val="af1"/>
          <w:rFonts w:ascii="Traditional Arabic" w:hAnsi="Traditional Arabic"/>
          <w:noProof w:val="0"/>
          <w:rtl/>
          <w:lang w:eastAsia="en-US"/>
        </w:rPr>
        <w:footnoteReference w:id="78"/>
      </w:r>
      <w:r w:rsidRPr="00624CDD">
        <w:rPr>
          <w:rFonts w:ascii="Traditional Arabic" w:hAnsi="Traditional Arabic" w:hint="cs"/>
          <w:noProof w:val="0"/>
          <w:vertAlign w:val="superscript"/>
          <w:rtl/>
          <w:lang w:eastAsia="en-US"/>
        </w:rPr>
        <w:t>)</w:t>
      </w:r>
      <w:r w:rsidRPr="00624CDD">
        <w:rPr>
          <w:rFonts w:ascii="Traditional Arabic" w:hAnsi="Traditional Arabic"/>
          <w:noProof w:val="0"/>
          <w:rtl/>
          <w:lang w:eastAsia="en-US"/>
        </w:rPr>
        <w:t>.</w:t>
      </w:r>
    </w:p>
    <w:p w:rsidR="00624CDD" w:rsidRDefault="00624CDD" w:rsidP="00624CDD">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(7) </w:t>
      </w:r>
      <w:r w:rsidRPr="00624CDD">
        <w:rPr>
          <w:rFonts w:ascii="Traditional Arabic" w:hAnsi="Traditional Arabic"/>
          <w:noProof w:val="0"/>
          <w:rtl/>
          <w:lang w:eastAsia="en-US"/>
        </w:rPr>
        <w:t>الحيوانات تنقسم إلى ثلاثة أقسام:</w:t>
      </w:r>
    </w:p>
    <w:p w:rsidR="00624CDD" w:rsidRPr="00624CDD" w:rsidRDefault="00373366" w:rsidP="00624CDD">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624CDD" w:rsidRPr="00624CDD">
        <w:rPr>
          <w:rFonts w:ascii="Traditional Arabic" w:hAnsi="Traditional Arabic"/>
          <w:noProof w:val="0"/>
          <w:rtl/>
          <w:lang w:eastAsia="en-US"/>
        </w:rPr>
        <w:t>الأول: ما أ</w:t>
      </w:r>
      <w:r w:rsidR="006F0830">
        <w:rPr>
          <w:rFonts w:ascii="Traditional Arabic" w:hAnsi="Traditional Arabic" w:hint="cs"/>
          <w:noProof w:val="0"/>
          <w:rtl/>
          <w:lang w:eastAsia="en-US"/>
        </w:rPr>
        <w:t>ُ</w:t>
      </w:r>
      <w:r w:rsidR="00624CDD" w:rsidRPr="00624CDD">
        <w:rPr>
          <w:rFonts w:ascii="Traditional Arabic" w:hAnsi="Traditional Arabic"/>
          <w:noProof w:val="0"/>
          <w:rtl/>
          <w:lang w:eastAsia="en-US"/>
        </w:rPr>
        <w:t>مر بقتله</w:t>
      </w:r>
      <w:r w:rsidR="006F0830">
        <w:rPr>
          <w:rFonts w:ascii="Traditional Arabic" w:hAnsi="Traditional Arabic" w:hint="cs"/>
          <w:noProof w:val="0"/>
          <w:rtl/>
          <w:lang w:eastAsia="en-US"/>
        </w:rPr>
        <w:t>،</w:t>
      </w:r>
      <w:r w:rsidR="00624CDD" w:rsidRPr="00624CDD">
        <w:rPr>
          <w:rFonts w:ascii="Traditional Arabic" w:hAnsi="Traditional Arabic"/>
          <w:noProof w:val="0"/>
          <w:rtl/>
          <w:lang w:eastAsia="en-US"/>
        </w:rPr>
        <w:t xml:space="preserve"> وهي كل المؤذيات.</w:t>
      </w:r>
    </w:p>
    <w:p w:rsidR="00624CDD" w:rsidRPr="00624CDD" w:rsidRDefault="00373366" w:rsidP="00624CDD">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624CDD" w:rsidRPr="00624CDD">
        <w:rPr>
          <w:rFonts w:ascii="Traditional Arabic" w:hAnsi="Traditional Arabic"/>
          <w:noProof w:val="0"/>
          <w:rtl/>
          <w:lang w:eastAsia="en-US"/>
        </w:rPr>
        <w:t>الثاني: ما نهي عن قتله، وهي أربعة: النحلة، والنملة، واله</w:t>
      </w:r>
      <w:r>
        <w:rPr>
          <w:rFonts w:ascii="Traditional Arabic" w:hAnsi="Traditional Arabic" w:hint="cs"/>
          <w:noProof w:val="0"/>
          <w:rtl/>
          <w:lang w:eastAsia="en-US"/>
        </w:rPr>
        <w:t>د</w:t>
      </w:r>
      <w:r w:rsidR="00624CDD" w:rsidRPr="00624CDD">
        <w:rPr>
          <w:rFonts w:ascii="Traditional Arabic" w:hAnsi="Traditional Arabic"/>
          <w:noProof w:val="0"/>
          <w:rtl/>
          <w:lang w:eastAsia="en-US"/>
        </w:rPr>
        <w:t>هد، والص</w:t>
      </w:r>
      <w:r>
        <w:rPr>
          <w:rFonts w:ascii="Traditional Arabic" w:hAnsi="Traditional Arabic" w:hint="cs"/>
          <w:noProof w:val="0"/>
          <w:rtl/>
          <w:lang w:eastAsia="en-US"/>
        </w:rPr>
        <w:t>ُّ</w:t>
      </w:r>
      <w:r w:rsidR="00624CDD" w:rsidRPr="00624CDD">
        <w:rPr>
          <w:rFonts w:ascii="Traditional Arabic" w:hAnsi="Traditional Arabic"/>
          <w:noProof w:val="0"/>
          <w:rtl/>
          <w:lang w:eastAsia="en-US"/>
        </w:rPr>
        <w:t>ر</w:t>
      </w:r>
      <w:r>
        <w:rPr>
          <w:rFonts w:ascii="Traditional Arabic" w:hAnsi="Traditional Arabic" w:hint="cs"/>
          <w:noProof w:val="0"/>
          <w:rtl/>
          <w:lang w:eastAsia="en-US"/>
        </w:rPr>
        <w:t>َ</w:t>
      </w:r>
      <w:r>
        <w:rPr>
          <w:rFonts w:ascii="Traditional Arabic" w:hAnsi="Traditional Arabic"/>
          <w:noProof w:val="0"/>
          <w:rtl/>
          <w:lang w:eastAsia="en-US"/>
        </w:rPr>
        <w:t>د</w:t>
      </w:r>
      <w:r w:rsidR="00624CDD" w:rsidRPr="00624CDD">
        <w:rPr>
          <w:rFonts w:ascii="Traditional Arabic" w:hAnsi="Traditional Arabic"/>
          <w:noProof w:val="0"/>
          <w:rtl/>
          <w:lang w:eastAsia="en-US"/>
        </w:rPr>
        <w:t>.</w:t>
      </w:r>
    </w:p>
    <w:p w:rsidR="00000A26" w:rsidRPr="00C85F0F" w:rsidRDefault="00373366" w:rsidP="00373366">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624CDD" w:rsidRPr="00624CDD">
        <w:rPr>
          <w:rFonts w:ascii="Traditional Arabic" w:hAnsi="Traditional Arabic"/>
          <w:noProof w:val="0"/>
          <w:rtl/>
          <w:lang w:eastAsia="en-US"/>
        </w:rPr>
        <w:t>الثالث: ما س</w:t>
      </w:r>
      <w:r w:rsidR="006F0830">
        <w:rPr>
          <w:rFonts w:ascii="Traditional Arabic" w:hAnsi="Traditional Arabic" w:hint="cs"/>
          <w:noProof w:val="0"/>
          <w:rtl/>
          <w:lang w:eastAsia="en-US"/>
        </w:rPr>
        <w:t>ُ</w:t>
      </w:r>
      <w:r w:rsidR="00624CDD" w:rsidRPr="00624CDD">
        <w:rPr>
          <w:rFonts w:ascii="Traditional Arabic" w:hAnsi="Traditional Arabic"/>
          <w:noProof w:val="0"/>
          <w:rtl/>
          <w:lang w:eastAsia="en-US"/>
        </w:rPr>
        <w:t>كت عنه، فهذه الأصل أن لا ت</w:t>
      </w:r>
      <w:r>
        <w:rPr>
          <w:rFonts w:ascii="Traditional Arabic" w:hAnsi="Traditional Arabic" w:hint="cs"/>
          <w:noProof w:val="0"/>
          <w:rtl/>
          <w:lang w:eastAsia="en-US"/>
        </w:rPr>
        <w:t>ُ</w:t>
      </w:r>
      <w:r w:rsidR="00624CDD" w:rsidRPr="00624CDD">
        <w:rPr>
          <w:rFonts w:ascii="Traditional Arabic" w:hAnsi="Traditional Arabic"/>
          <w:noProof w:val="0"/>
          <w:rtl/>
          <w:lang w:eastAsia="en-US"/>
        </w:rPr>
        <w:t>قتل</w:t>
      </w:r>
      <w:r w:rsidRPr="00373366">
        <w:rPr>
          <w:rFonts w:ascii="Traditional Arabic" w:hAnsi="Traditional Arabic" w:hint="cs"/>
          <w:noProof w:val="0"/>
          <w:vertAlign w:val="superscript"/>
          <w:rtl/>
          <w:lang w:eastAsia="en-US"/>
        </w:rPr>
        <w:t>(</w:t>
      </w:r>
      <w:r w:rsidRPr="00373366">
        <w:rPr>
          <w:rStyle w:val="af1"/>
          <w:rFonts w:ascii="Traditional Arabic" w:hAnsi="Traditional Arabic"/>
          <w:noProof w:val="0"/>
          <w:rtl/>
          <w:lang w:eastAsia="en-US"/>
        </w:rPr>
        <w:footnoteReference w:id="79"/>
      </w:r>
      <w:r w:rsidRPr="00373366">
        <w:rPr>
          <w:rFonts w:ascii="Traditional Arabic" w:hAnsi="Traditional Arabic" w:hint="cs"/>
          <w:noProof w:val="0"/>
          <w:vertAlign w:val="superscript"/>
          <w:rtl/>
          <w:lang w:eastAsia="en-US"/>
        </w:rPr>
        <w:t>)</w:t>
      </w:r>
      <w:r>
        <w:rPr>
          <w:rFonts w:ascii="Traditional Arabic" w:hAnsi="Traditional Arabic" w:hint="cs"/>
          <w:noProof w:val="0"/>
          <w:rtl/>
          <w:lang w:eastAsia="en-US"/>
        </w:rPr>
        <w:t>.</w:t>
      </w:r>
    </w:p>
    <w:p w:rsidR="006F08E1" w:rsidRPr="00C85F0F" w:rsidRDefault="009404C0" w:rsidP="00A8347C">
      <w:pPr>
        <w:pStyle w:val="aff3"/>
        <w:rPr>
          <w:rtl/>
        </w:rPr>
      </w:pPr>
      <w:bookmarkStart w:id="18" w:name="_Toc334046281"/>
      <w:r>
        <w:rPr>
          <w:rFonts w:hint="cs"/>
          <w:rtl/>
        </w:rPr>
        <w:t xml:space="preserve">                                              </w:t>
      </w:r>
      <w:r w:rsidR="006F08E1" w:rsidRPr="00C85F0F">
        <w:rPr>
          <w:rtl/>
        </w:rPr>
        <w:t>المطلب الثا</w:t>
      </w:r>
      <w:r w:rsidR="006F08E1" w:rsidRPr="00C85F0F">
        <w:rPr>
          <w:rFonts w:hint="cs"/>
          <w:rtl/>
        </w:rPr>
        <w:t>ني</w:t>
      </w:r>
      <w:r w:rsidR="001C50AE" w:rsidRPr="00C85F0F">
        <w:rPr>
          <w:rFonts w:hint="eastAsia"/>
          <w:rtl/>
        </w:rPr>
        <w:t> :</w:t>
      </w:r>
      <w:r w:rsidR="001C50AE" w:rsidRPr="00C85F0F">
        <w:rPr>
          <w:rtl/>
        </w:rPr>
        <w:br/>
      </w:r>
      <w:r>
        <w:rPr>
          <w:rFonts w:hint="cs"/>
          <w:rtl/>
        </w:rPr>
        <w:t xml:space="preserve">                                </w:t>
      </w:r>
      <w:r w:rsidR="00AD29A1">
        <w:rPr>
          <w:rFonts w:hint="cs"/>
          <w:rtl/>
        </w:rPr>
        <w:t xml:space="preserve"> </w:t>
      </w:r>
      <w:r w:rsidR="006F08E1" w:rsidRPr="00C85F0F">
        <w:rPr>
          <w:rtl/>
        </w:rPr>
        <w:t>منهج</w:t>
      </w:r>
      <w:r>
        <w:rPr>
          <w:rFonts w:hint="cs"/>
          <w:rtl/>
        </w:rPr>
        <w:t xml:space="preserve"> </w:t>
      </w:r>
      <w:r w:rsidR="006F08E1" w:rsidRPr="00C85F0F">
        <w:rPr>
          <w:rtl/>
        </w:rPr>
        <w:t>الشيخ ابن عثيمين في الكتاب</w:t>
      </w:r>
      <w:bookmarkEnd w:id="18"/>
    </w:p>
    <w:p w:rsidR="00F228A9" w:rsidRPr="00C85F0F" w:rsidRDefault="006F08E1" w:rsidP="00597C20">
      <w:pPr>
        <w:spacing w:line="660" w:lineRule="exact"/>
        <w:jc w:val="lowKashida"/>
        <w:rPr>
          <w:rFonts w:ascii="Traditional Arabic" w:hAnsi="Traditional Arabic"/>
          <w:rtl/>
        </w:rPr>
      </w:pPr>
      <w:r w:rsidRPr="00C85F0F">
        <w:rPr>
          <w:rFonts w:ascii="Traditional Arabic" w:hAnsi="Traditional Arabic"/>
          <w:rtl/>
        </w:rPr>
        <w:t>من خلال دراسة كتاب "الشرح الممتع" وما نتج عنه من استقراء لمحتوياته</w:t>
      </w:r>
      <w:r w:rsidR="00B76414" w:rsidRPr="00C85F0F">
        <w:rPr>
          <w:rFonts w:ascii="Traditional Arabic" w:hAnsi="Traditional Arabic"/>
          <w:rtl/>
        </w:rPr>
        <w:t>،</w:t>
      </w:r>
      <w:r w:rsidRPr="00C85F0F">
        <w:rPr>
          <w:rFonts w:ascii="Traditional Arabic" w:hAnsi="Traditional Arabic"/>
          <w:rtl/>
        </w:rPr>
        <w:t xml:space="preserve"> يمكن تلخيص منهج الشــــيخ ابن عثيمين </w:t>
      </w:r>
      <w:r w:rsidR="009A0575" w:rsidRPr="005D5694">
        <w:rPr>
          <w:rFonts w:ascii="Traditional Arabic" w:hAnsi="Traditional Arabic" w:cs="CTraditional Arabic" w:hint="cs"/>
          <w:rtl/>
        </w:rPr>
        <w:t>/</w:t>
      </w:r>
      <w:r w:rsidRPr="00C85F0F">
        <w:rPr>
          <w:rFonts w:ascii="Traditional Arabic" w:hAnsi="Traditional Arabic"/>
          <w:rtl/>
        </w:rPr>
        <w:t xml:space="preserve"> في كتابه عبر الملامح الآتية :</w:t>
      </w:r>
    </w:p>
    <w:p w:rsidR="006F08E1" w:rsidRPr="00C85F0F" w:rsidRDefault="006F08E1" w:rsidP="000A76C7">
      <w:pPr>
        <w:numPr>
          <w:ilvl w:val="0"/>
          <w:numId w:val="42"/>
        </w:numPr>
        <w:tabs>
          <w:tab w:val="clear" w:pos="1324"/>
          <w:tab w:val="num" w:pos="943"/>
        </w:tabs>
        <w:spacing w:line="660" w:lineRule="exact"/>
        <w:ind w:left="943" w:hanging="489"/>
        <w:jc w:val="lowKashida"/>
        <w:rPr>
          <w:rFonts w:ascii="Traditional Arabic" w:hAnsi="Traditional Arabic"/>
          <w:rtl/>
        </w:rPr>
      </w:pPr>
      <w:r w:rsidRPr="00C85F0F">
        <w:rPr>
          <w:rFonts w:ascii="Traditional Arabic" w:hAnsi="Traditional Arabic"/>
          <w:rtl/>
        </w:rPr>
        <w:t xml:space="preserve">في كثير من الأحيان يمهِّد للباب أو الكتاب الذي يُراد شرحه بكلام يتناول فيه : </w:t>
      </w:r>
      <w:r w:rsidRPr="00C85F0F">
        <w:rPr>
          <w:rFonts w:ascii="Traditional Arabic" w:hAnsi="Traditional Arabic"/>
          <w:rtl/>
        </w:rPr>
        <w:lastRenderedPageBreak/>
        <w:t>تعريفه</w:t>
      </w:r>
      <w:r w:rsidR="00B76414" w:rsidRPr="00C85F0F">
        <w:rPr>
          <w:rFonts w:ascii="Traditional Arabic" w:hAnsi="Traditional Arabic"/>
          <w:rtl/>
        </w:rPr>
        <w:t>،</w:t>
      </w:r>
      <w:r w:rsidRPr="00C85F0F">
        <w:rPr>
          <w:rFonts w:ascii="Traditional Arabic" w:hAnsi="Traditional Arabic"/>
          <w:rtl/>
        </w:rPr>
        <w:t xml:space="preserve"> وأهميته</w:t>
      </w:r>
      <w:r w:rsidR="00B76414" w:rsidRPr="00C85F0F">
        <w:rPr>
          <w:rFonts w:ascii="Traditional Arabic" w:hAnsi="Traditional Arabic"/>
          <w:rtl/>
        </w:rPr>
        <w:t>،</w:t>
      </w:r>
      <w:r w:rsidRPr="00C85F0F">
        <w:rPr>
          <w:rFonts w:ascii="Traditional Arabic" w:hAnsi="Traditional Arabic"/>
          <w:rtl/>
        </w:rPr>
        <w:t xml:space="preserve"> وم</w:t>
      </w:r>
      <w:r w:rsidR="00027B98">
        <w:rPr>
          <w:rFonts w:ascii="Traditional Arabic" w:hAnsi="Traditional Arabic" w:hint="cs"/>
          <w:rtl/>
        </w:rPr>
        <w:t>َ</w:t>
      </w:r>
      <w:r w:rsidRPr="00C85F0F">
        <w:rPr>
          <w:rFonts w:ascii="Traditional Arabic" w:hAnsi="Traditional Arabic"/>
          <w:rtl/>
        </w:rPr>
        <w:t>رام</w:t>
      </w:r>
      <w:r w:rsidR="00027B98">
        <w:rPr>
          <w:rFonts w:ascii="Traditional Arabic" w:hAnsi="Traditional Arabic" w:hint="cs"/>
          <w:rtl/>
        </w:rPr>
        <w:t>ِ</w:t>
      </w:r>
      <w:r w:rsidRPr="00C85F0F">
        <w:rPr>
          <w:rFonts w:ascii="Traditional Arabic" w:hAnsi="Traditional Arabic"/>
          <w:rtl/>
        </w:rPr>
        <w:t>ي</w:t>
      </w:r>
      <w:r w:rsidR="00027B98">
        <w:rPr>
          <w:rFonts w:ascii="Traditional Arabic" w:hAnsi="Traditional Arabic" w:hint="cs"/>
          <w:rtl/>
        </w:rPr>
        <w:t>َ</w:t>
      </w:r>
      <w:r w:rsidRPr="00C85F0F">
        <w:rPr>
          <w:rFonts w:ascii="Traditional Arabic" w:hAnsi="Traditional Arabic"/>
          <w:rtl/>
        </w:rPr>
        <w:t>ه</w:t>
      </w:r>
      <w:r w:rsidR="00B76414" w:rsidRPr="00C85F0F">
        <w:rPr>
          <w:rFonts w:ascii="Traditional Arabic" w:hAnsi="Traditional Arabic"/>
          <w:rtl/>
        </w:rPr>
        <w:t>،</w:t>
      </w:r>
      <w:r w:rsidRPr="00C85F0F">
        <w:rPr>
          <w:rFonts w:ascii="Traditional Arabic" w:hAnsi="Traditional Arabic"/>
          <w:rtl/>
        </w:rPr>
        <w:t xml:space="preserve"> والنصوص الدالة عليه</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80"/>
      </w:r>
      <w:r w:rsidRPr="00C85F0F">
        <w:rPr>
          <w:rFonts w:ascii="Traditional Arabic" w:hAnsi="Traditional Arabic"/>
          <w:szCs w:val="32"/>
          <w:vertAlign w:val="superscript"/>
          <w:rtl/>
        </w:rPr>
        <w:t>)</w:t>
      </w:r>
      <w:r w:rsidR="00B76414" w:rsidRPr="00C85F0F">
        <w:rPr>
          <w:rFonts w:ascii="Traditional Arabic" w:hAnsi="Traditional Arabic"/>
          <w:rtl/>
        </w:rPr>
        <w:t>.</w:t>
      </w:r>
    </w:p>
    <w:p w:rsidR="006F08E1" w:rsidRDefault="006F08E1" w:rsidP="000A76C7">
      <w:pPr>
        <w:numPr>
          <w:ilvl w:val="0"/>
          <w:numId w:val="42"/>
        </w:numPr>
        <w:tabs>
          <w:tab w:val="clear" w:pos="1324"/>
          <w:tab w:val="num" w:pos="943"/>
        </w:tabs>
        <w:spacing w:line="660" w:lineRule="exact"/>
        <w:ind w:left="943" w:hanging="489"/>
        <w:jc w:val="lowKashida"/>
        <w:rPr>
          <w:rFonts w:ascii="Traditional Arabic" w:hAnsi="Traditional Arabic"/>
        </w:rPr>
      </w:pPr>
      <w:r w:rsidRPr="00C85F0F">
        <w:rPr>
          <w:rFonts w:ascii="Traditional Arabic" w:hAnsi="Traditional Arabic"/>
          <w:rtl/>
        </w:rPr>
        <w:t xml:space="preserve">يــورد الشيخ ابن عثيمين – </w:t>
      </w:r>
      <w:r w:rsidR="009A0575" w:rsidRPr="005D5694">
        <w:rPr>
          <w:rFonts w:ascii="Traditional Arabic" w:hAnsi="Traditional Arabic" w:cs="CTraditional Arabic" w:hint="cs"/>
          <w:rtl/>
        </w:rPr>
        <w:t>/</w:t>
      </w:r>
      <w:r w:rsidRPr="00C85F0F">
        <w:rPr>
          <w:rFonts w:ascii="Traditional Arabic" w:hAnsi="Traditional Arabic"/>
          <w:rtl/>
        </w:rPr>
        <w:t xml:space="preserve"> – العبارة الواردة في متن "زاد المستقنع"</w:t>
      </w:r>
      <w:r w:rsidR="00B76414" w:rsidRPr="00C85F0F">
        <w:rPr>
          <w:rFonts w:ascii="Traditional Arabic" w:hAnsi="Traditional Arabic"/>
          <w:rtl/>
        </w:rPr>
        <w:t>،</w:t>
      </w:r>
      <w:r w:rsidRPr="00C85F0F">
        <w:rPr>
          <w:rFonts w:ascii="Traditional Arabic" w:hAnsi="Traditional Arabic"/>
          <w:rtl/>
        </w:rPr>
        <w:t xml:space="preserve"> ثم يثنِّي بشرحها</w:t>
      </w:r>
      <w:r w:rsidR="00B76414" w:rsidRPr="00C85F0F">
        <w:rPr>
          <w:rFonts w:ascii="Traditional Arabic" w:hAnsi="Traditional Arabic"/>
          <w:rtl/>
        </w:rPr>
        <w:t>،</w:t>
      </w:r>
      <w:r w:rsidRPr="00C85F0F">
        <w:rPr>
          <w:rFonts w:ascii="Traditional Arabic" w:hAnsi="Traditional Arabic"/>
          <w:rtl/>
        </w:rPr>
        <w:t xml:space="preserve"> وإيضاح المقصود</w:t>
      </w:r>
      <w:r w:rsidR="00B76414" w:rsidRPr="00C85F0F">
        <w:rPr>
          <w:rFonts w:ascii="Traditional Arabic" w:hAnsi="Traditional Arabic"/>
          <w:rtl/>
        </w:rPr>
        <w:t>،</w:t>
      </w:r>
      <w:r w:rsidRPr="00C85F0F">
        <w:rPr>
          <w:rFonts w:ascii="Traditional Arabic" w:hAnsi="Traditional Arabic"/>
          <w:rtl/>
        </w:rPr>
        <w:t xml:space="preserve"> وكشف غوامضها بأسلوب واضح</w:t>
      </w:r>
      <w:r w:rsidR="00B76414" w:rsidRPr="00C85F0F">
        <w:rPr>
          <w:rFonts w:ascii="Traditional Arabic" w:hAnsi="Traditional Arabic"/>
          <w:rtl/>
        </w:rPr>
        <w:t>،</w:t>
      </w:r>
      <w:r w:rsidRPr="00C85F0F">
        <w:rPr>
          <w:rFonts w:ascii="Traditional Arabic" w:hAnsi="Traditional Arabic"/>
          <w:rtl/>
        </w:rPr>
        <w:t xml:space="preserve"> ولغة سهلة</w:t>
      </w:r>
      <w:r w:rsidR="00B76414" w:rsidRPr="00C85F0F">
        <w:rPr>
          <w:rFonts w:ascii="Traditional Arabic" w:hAnsi="Traditional Arabic"/>
          <w:rtl/>
        </w:rPr>
        <w:t>.</w:t>
      </w:r>
    </w:p>
    <w:p w:rsidR="00E843E0" w:rsidRPr="00C85F0F" w:rsidRDefault="00EE31EA" w:rsidP="000A76C7">
      <w:pPr>
        <w:numPr>
          <w:ilvl w:val="0"/>
          <w:numId w:val="42"/>
        </w:numPr>
        <w:tabs>
          <w:tab w:val="clear" w:pos="1324"/>
          <w:tab w:val="num" w:pos="943"/>
        </w:tabs>
        <w:spacing w:line="660" w:lineRule="exact"/>
        <w:ind w:left="943" w:hanging="489"/>
        <w:jc w:val="lowKashida"/>
        <w:rPr>
          <w:rFonts w:ascii="Traditional Arabic" w:hAnsi="Traditional Arabic"/>
        </w:rPr>
      </w:pPr>
      <w:r>
        <w:rPr>
          <w:rFonts w:ascii="Traditional Arabic" w:hAnsi="Traditional Arabic" w:hint="cs"/>
          <w:rtl/>
        </w:rPr>
        <w:t xml:space="preserve">كثيرا ما </w:t>
      </w:r>
      <w:r w:rsidR="00E843E0">
        <w:rPr>
          <w:rFonts w:ascii="Traditional Arabic" w:hAnsi="Traditional Arabic" w:hint="cs"/>
          <w:rtl/>
        </w:rPr>
        <w:t>ي</w:t>
      </w:r>
      <w:r>
        <w:rPr>
          <w:rFonts w:ascii="Traditional Arabic" w:hAnsi="Traditional Arabic" w:hint="cs"/>
          <w:rtl/>
        </w:rPr>
        <w:t>ذكر</w:t>
      </w:r>
      <w:r w:rsidR="00E843E0">
        <w:rPr>
          <w:rFonts w:ascii="Traditional Arabic" w:hAnsi="Traditional Arabic" w:hint="cs"/>
          <w:rtl/>
        </w:rPr>
        <w:t xml:space="preserve"> الشيخ </w:t>
      </w:r>
      <w:r>
        <w:rPr>
          <w:rFonts w:ascii="Traditional Arabic" w:hAnsi="Traditional Arabic" w:hint="cs"/>
          <w:rtl/>
        </w:rPr>
        <w:t>صورة المسأ</w:t>
      </w:r>
      <w:r w:rsidR="00E843E0">
        <w:rPr>
          <w:rFonts w:ascii="Traditional Arabic" w:hAnsi="Traditional Arabic" w:hint="cs"/>
          <w:rtl/>
        </w:rPr>
        <w:t>ل</w:t>
      </w:r>
      <w:r>
        <w:rPr>
          <w:rFonts w:ascii="Traditional Arabic" w:hAnsi="Traditional Arabic" w:hint="cs"/>
          <w:rtl/>
        </w:rPr>
        <w:t>ة</w:t>
      </w:r>
      <w:r w:rsidR="00E843E0">
        <w:rPr>
          <w:rFonts w:ascii="Traditional Arabic" w:hAnsi="Traditional Arabic" w:hint="cs"/>
          <w:rtl/>
        </w:rPr>
        <w:t xml:space="preserve"> ويمث</w:t>
      </w:r>
      <w:r>
        <w:rPr>
          <w:rFonts w:ascii="Traditional Arabic" w:hAnsi="Traditional Arabic" w:hint="cs"/>
          <w:rtl/>
        </w:rPr>
        <w:t>ِّ</w:t>
      </w:r>
      <w:r w:rsidR="00E843E0">
        <w:rPr>
          <w:rFonts w:ascii="Traditional Arabic" w:hAnsi="Traditional Arabic" w:hint="cs"/>
          <w:rtl/>
        </w:rPr>
        <w:t>ل لها</w:t>
      </w:r>
      <w:r w:rsidRPr="00EE31EA">
        <w:rPr>
          <w:rFonts w:ascii="Traditional Arabic" w:hAnsi="Traditional Arabic" w:hint="cs"/>
          <w:vertAlign w:val="superscript"/>
          <w:rtl/>
        </w:rPr>
        <w:t>(</w:t>
      </w:r>
      <w:r w:rsidRPr="00EE31EA">
        <w:rPr>
          <w:rStyle w:val="af1"/>
          <w:rFonts w:ascii="Traditional Arabic" w:hAnsi="Traditional Arabic"/>
          <w:rtl/>
        </w:rPr>
        <w:footnoteReference w:id="81"/>
      </w:r>
      <w:r w:rsidRPr="00EE31EA">
        <w:rPr>
          <w:rFonts w:ascii="Traditional Arabic" w:hAnsi="Traditional Arabic" w:hint="cs"/>
          <w:vertAlign w:val="superscript"/>
          <w:rtl/>
        </w:rPr>
        <w:t>)</w:t>
      </w:r>
      <w:r w:rsidR="00E843E0">
        <w:rPr>
          <w:rFonts w:ascii="Traditional Arabic" w:hAnsi="Traditional Arabic" w:hint="cs"/>
          <w:rtl/>
        </w:rPr>
        <w:t>.</w:t>
      </w:r>
    </w:p>
    <w:p w:rsidR="006F08E1" w:rsidRDefault="006F08E1" w:rsidP="000A76C7">
      <w:pPr>
        <w:numPr>
          <w:ilvl w:val="0"/>
          <w:numId w:val="42"/>
        </w:numPr>
        <w:tabs>
          <w:tab w:val="clear" w:pos="1324"/>
          <w:tab w:val="num" w:pos="943"/>
        </w:tabs>
        <w:spacing w:line="660" w:lineRule="exact"/>
        <w:ind w:left="943" w:hanging="489"/>
        <w:jc w:val="lowKashida"/>
        <w:rPr>
          <w:rFonts w:ascii="Traditional Arabic" w:hAnsi="Traditional Arabic"/>
        </w:rPr>
      </w:pPr>
      <w:r w:rsidRPr="00C85F0F">
        <w:rPr>
          <w:rFonts w:ascii="Traditional Arabic" w:hAnsi="Traditional Arabic"/>
          <w:rtl/>
        </w:rPr>
        <w:t xml:space="preserve">ثم يشرع الشيخ – </w:t>
      </w:r>
      <w:r w:rsidR="009A0575" w:rsidRPr="005D5694">
        <w:rPr>
          <w:rFonts w:ascii="Traditional Arabic" w:hAnsi="Traditional Arabic" w:cs="CTraditional Arabic" w:hint="cs"/>
          <w:rtl/>
        </w:rPr>
        <w:t>/</w:t>
      </w:r>
      <w:r w:rsidRPr="00C85F0F">
        <w:rPr>
          <w:rFonts w:ascii="Traditional Arabic" w:hAnsi="Traditional Arabic"/>
          <w:rtl/>
        </w:rPr>
        <w:t xml:space="preserve"> – في بيان الأحكام الواردة في عبارة "الزاد"</w:t>
      </w:r>
      <w:r w:rsidR="00B76414" w:rsidRPr="00C85F0F">
        <w:rPr>
          <w:rFonts w:ascii="Traditional Arabic" w:hAnsi="Traditional Arabic"/>
          <w:rtl/>
        </w:rPr>
        <w:t>،</w:t>
      </w:r>
      <w:r w:rsidRPr="00C85F0F">
        <w:rPr>
          <w:rFonts w:ascii="Traditional Arabic" w:hAnsi="Traditional Arabic"/>
          <w:rtl/>
        </w:rPr>
        <w:t xml:space="preserve"> مع ذكر القيود</w:t>
      </w:r>
      <w:r w:rsidR="00B76414" w:rsidRPr="00C85F0F">
        <w:rPr>
          <w:rFonts w:ascii="Traditional Arabic" w:hAnsi="Traditional Arabic"/>
          <w:rtl/>
        </w:rPr>
        <w:t>،</w:t>
      </w:r>
      <w:r w:rsidRPr="00C85F0F">
        <w:rPr>
          <w:rFonts w:ascii="Traditional Arabic" w:hAnsi="Traditional Arabic"/>
          <w:rtl/>
        </w:rPr>
        <w:t xml:space="preserve"> والاستدراكات</w:t>
      </w:r>
      <w:r w:rsidR="00B76414" w:rsidRPr="00C85F0F">
        <w:rPr>
          <w:rFonts w:ascii="Traditional Arabic" w:hAnsi="Traditional Arabic"/>
          <w:rtl/>
        </w:rPr>
        <w:t>،</w:t>
      </w:r>
      <w:r w:rsidRPr="00C85F0F">
        <w:rPr>
          <w:rFonts w:ascii="Traditional Arabic" w:hAnsi="Traditional Arabic"/>
          <w:rtl/>
        </w:rPr>
        <w:t xml:space="preserve"> والمحترزات – إن وجدت -</w:t>
      </w:r>
      <w:r w:rsidR="00B76414" w:rsidRPr="00C85F0F">
        <w:rPr>
          <w:rFonts w:ascii="Traditional Arabic" w:hAnsi="Traditional Arabic"/>
          <w:rtl/>
        </w:rPr>
        <w:t>.</w:t>
      </w:r>
    </w:p>
    <w:p w:rsidR="001F08AA" w:rsidRDefault="001F08AA" w:rsidP="000A76C7">
      <w:pPr>
        <w:numPr>
          <w:ilvl w:val="0"/>
          <w:numId w:val="42"/>
        </w:numPr>
        <w:tabs>
          <w:tab w:val="clear" w:pos="1324"/>
          <w:tab w:val="num" w:pos="943"/>
        </w:tabs>
        <w:spacing w:line="660" w:lineRule="exact"/>
        <w:ind w:left="943" w:hanging="489"/>
        <w:jc w:val="lowKashida"/>
        <w:rPr>
          <w:rFonts w:ascii="Traditional Arabic" w:hAnsi="Traditional Arabic"/>
        </w:rPr>
      </w:pPr>
      <w:r>
        <w:rPr>
          <w:rFonts w:ascii="Traditional Arabic" w:hAnsi="Traditional Arabic" w:hint="cs"/>
          <w:rtl/>
        </w:rPr>
        <w:t>يلخ</w:t>
      </w:r>
      <w:r w:rsidR="00A95E66">
        <w:rPr>
          <w:rFonts w:ascii="Traditional Arabic" w:hAnsi="Traditional Arabic" w:hint="cs"/>
          <w:rtl/>
        </w:rPr>
        <w:t>ِّ</w:t>
      </w:r>
      <w:r>
        <w:rPr>
          <w:rFonts w:ascii="Traditional Arabic" w:hAnsi="Traditional Arabic" w:hint="cs"/>
          <w:rtl/>
        </w:rPr>
        <w:t>ص المسائل والأقوال بعد الانتهاء من التفصيل فيها، فيقول</w:t>
      </w:r>
      <w:r w:rsidR="009A5761">
        <w:rPr>
          <w:rFonts w:ascii="Traditional Arabic" w:hAnsi="Traditional Arabic" w:hint="cs"/>
          <w:rtl/>
        </w:rPr>
        <w:t xml:space="preserve"> مثلاً</w:t>
      </w:r>
      <w:r>
        <w:rPr>
          <w:rFonts w:ascii="Traditional Arabic" w:hAnsi="Traditional Arabic" w:hint="cs"/>
          <w:rtl/>
        </w:rPr>
        <w:t>: الخلاصة كذا وكذا</w:t>
      </w:r>
      <w:r w:rsidR="00A95E66" w:rsidRPr="00A95E66">
        <w:rPr>
          <w:rFonts w:ascii="Traditional Arabic" w:hAnsi="Traditional Arabic" w:hint="cs"/>
          <w:vertAlign w:val="superscript"/>
          <w:rtl/>
        </w:rPr>
        <w:t>(</w:t>
      </w:r>
      <w:r w:rsidRPr="00A95E66">
        <w:rPr>
          <w:rStyle w:val="af1"/>
          <w:rFonts w:ascii="Traditional Arabic" w:hAnsi="Traditional Arabic"/>
          <w:rtl/>
        </w:rPr>
        <w:footnoteReference w:id="82"/>
      </w:r>
      <w:r w:rsidR="00A95E66" w:rsidRPr="00A95E66">
        <w:rPr>
          <w:rFonts w:ascii="Traditional Arabic" w:hAnsi="Traditional Arabic" w:hint="cs"/>
          <w:vertAlign w:val="superscript"/>
          <w:rtl/>
        </w:rPr>
        <w:t>)</w:t>
      </w:r>
      <w:r>
        <w:rPr>
          <w:rFonts w:ascii="Traditional Arabic" w:hAnsi="Traditional Arabic" w:hint="cs"/>
          <w:rtl/>
        </w:rPr>
        <w:t>.</w:t>
      </w:r>
    </w:p>
    <w:p w:rsidR="001F08AA" w:rsidRDefault="001F08AA" w:rsidP="000A76C7">
      <w:pPr>
        <w:numPr>
          <w:ilvl w:val="0"/>
          <w:numId w:val="42"/>
        </w:numPr>
        <w:tabs>
          <w:tab w:val="clear" w:pos="1324"/>
          <w:tab w:val="num" w:pos="943"/>
        </w:tabs>
        <w:spacing w:line="660" w:lineRule="exact"/>
        <w:ind w:left="943" w:hanging="489"/>
        <w:jc w:val="lowKashida"/>
        <w:rPr>
          <w:rFonts w:ascii="Traditional Arabic" w:hAnsi="Traditional Arabic"/>
        </w:rPr>
      </w:pPr>
      <w:r>
        <w:rPr>
          <w:rFonts w:ascii="Traditional Arabic" w:hAnsi="Traditional Arabic" w:hint="cs"/>
          <w:rtl/>
        </w:rPr>
        <w:t>إذا كان في كلام صاحب الزاد إجمال ذكر الشيخ أن كلامه فيه تفصيل، ثم يشرع في  التفصيل في ذلك</w:t>
      </w:r>
      <w:r w:rsidRPr="001F08AA">
        <w:rPr>
          <w:rFonts w:ascii="Traditional Arabic" w:hAnsi="Traditional Arabic" w:hint="cs"/>
          <w:vertAlign w:val="superscript"/>
          <w:rtl/>
        </w:rPr>
        <w:t>(</w:t>
      </w:r>
      <w:r w:rsidRPr="001F08AA">
        <w:rPr>
          <w:rStyle w:val="af1"/>
          <w:rFonts w:ascii="Traditional Arabic" w:hAnsi="Traditional Arabic"/>
          <w:rtl/>
        </w:rPr>
        <w:footnoteReference w:id="83"/>
      </w:r>
      <w:r w:rsidRPr="001F08AA">
        <w:rPr>
          <w:rFonts w:ascii="Traditional Arabic" w:hAnsi="Traditional Arabic" w:hint="cs"/>
          <w:vertAlign w:val="superscript"/>
          <w:rtl/>
        </w:rPr>
        <w:t>)</w:t>
      </w:r>
      <w:r>
        <w:rPr>
          <w:rFonts w:ascii="Traditional Arabic" w:hAnsi="Traditional Arabic" w:hint="cs"/>
          <w:rtl/>
        </w:rPr>
        <w:t>.</w:t>
      </w:r>
    </w:p>
    <w:p w:rsidR="00CD7CC0" w:rsidRDefault="00CD7CC0" w:rsidP="000A76C7">
      <w:pPr>
        <w:numPr>
          <w:ilvl w:val="0"/>
          <w:numId w:val="42"/>
        </w:numPr>
        <w:tabs>
          <w:tab w:val="clear" w:pos="1324"/>
          <w:tab w:val="num" w:pos="943"/>
        </w:tabs>
        <w:spacing w:line="660" w:lineRule="exact"/>
        <w:ind w:left="943" w:hanging="489"/>
        <w:jc w:val="lowKashida"/>
        <w:rPr>
          <w:rFonts w:ascii="Traditional Arabic" w:hAnsi="Traditional Arabic"/>
        </w:rPr>
      </w:pPr>
      <w:r>
        <w:rPr>
          <w:rFonts w:ascii="Traditional Arabic" w:hAnsi="Traditional Arabic" w:hint="cs"/>
          <w:rtl/>
        </w:rPr>
        <w:t>يستطرد الشيخ أحيانا فيذكر فوائد تربوية أو لغوية أو عقدية، أو غير ذلك من الفوائد واللطائف</w:t>
      </w:r>
      <w:r w:rsidR="00E843E0" w:rsidRPr="00E843E0">
        <w:rPr>
          <w:rFonts w:ascii="Traditional Arabic" w:hAnsi="Traditional Arabic" w:hint="cs"/>
          <w:vertAlign w:val="superscript"/>
          <w:rtl/>
        </w:rPr>
        <w:t>(</w:t>
      </w:r>
      <w:r w:rsidRPr="00E843E0">
        <w:rPr>
          <w:rStyle w:val="af1"/>
          <w:rFonts w:ascii="Traditional Arabic" w:hAnsi="Traditional Arabic"/>
          <w:rtl/>
        </w:rPr>
        <w:footnoteReference w:id="84"/>
      </w:r>
      <w:r w:rsidR="00E843E0" w:rsidRPr="00E843E0">
        <w:rPr>
          <w:rFonts w:ascii="Traditional Arabic" w:hAnsi="Traditional Arabic" w:hint="cs"/>
          <w:vertAlign w:val="superscript"/>
          <w:rtl/>
        </w:rPr>
        <w:t>)</w:t>
      </w:r>
      <w:r>
        <w:rPr>
          <w:rFonts w:ascii="Traditional Arabic" w:hAnsi="Traditional Arabic" w:hint="cs"/>
          <w:rtl/>
        </w:rPr>
        <w:t>.</w:t>
      </w:r>
    </w:p>
    <w:p w:rsidR="00A95E66" w:rsidRDefault="00A95E66" w:rsidP="000A76C7">
      <w:pPr>
        <w:numPr>
          <w:ilvl w:val="0"/>
          <w:numId w:val="42"/>
        </w:numPr>
        <w:tabs>
          <w:tab w:val="clear" w:pos="1324"/>
          <w:tab w:val="num" w:pos="943"/>
        </w:tabs>
        <w:spacing w:line="660" w:lineRule="exact"/>
        <w:ind w:left="943" w:hanging="489"/>
        <w:jc w:val="lowKashida"/>
        <w:rPr>
          <w:rFonts w:ascii="Traditional Arabic" w:hAnsi="Traditional Arabic"/>
        </w:rPr>
      </w:pPr>
      <w:r>
        <w:rPr>
          <w:rFonts w:ascii="Traditional Arabic" w:hAnsi="Traditional Arabic" w:hint="cs"/>
          <w:rtl/>
        </w:rPr>
        <w:t>يهتم الشيخ بذكر التعليلات والح</w:t>
      </w:r>
      <w:r w:rsidR="009A5761">
        <w:rPr>
          <w:rFonts w:ascii="Traditional Arabic" w:hAnsi="Traditional Arabic" w:hint="cs"/>
          <w:rtl/>
        </w:rPr>
        <w:t>ِ</w:t>
      </w:r>
      <w:r>
        <w:rPr>
          <w:rFonts w:ascii="Traditional Arabic" w:hAnsi="Traditional Arabic" w:hint="cs"/>
          <w:rtl/>
        </w:rPr>
        <w:t>كم والمقاصد الشرعية والكلام عن محاسن الشريعة</w:t>
      </w:r>
      <w:r w:rsidRPr="00A95E66">
        <w:rPr>
          <w:rFonts w:ascii="Traditional Arabic" w:hAnsi="Traditional Arabic" w:hint="cs"/>
          <w:vertAlign w:val="superscript"/>
          <w:rtl/>
        </w:rPr>
        <w:t>(</w:t>
      </w:r>
      <w:r w:rsidRPr="00A95E66">
        <w:rPr>
          <w:rStyle w:val="af1"/>
          <w:rFonts w:ascii="Traditional Arabic" w:hAnsi="Traditional Arabic"/>
          <w:rtl/>
        </w:rPr>
        <w:footnoteReference w:id="85"/>
      </w:r>
      <w:r w:rsidRPr="00A95E66">
        <w:rPr>
          <w:rFonts w:ascii="Traditional Arabic" w:hAnsi="Traditional Arabic" w:hint="cs"/>
          <w:vertAlign w:val="superscript"/>
          <w:rtl/>
        </w:rPr>
        <w:t>)</w:t>
      </w:r>
      <w:r>
        <w:rPr>
          <w:rFonts w:ascii="Traditional Arabic" w:hAnsi="Traditional Arabic" w:hint="cs"/>
          <w:rtl/>
        </w:rPr>
        <w:t>.</w:t>
      </w:r>
    </w:p>
    <w:p w:rsidR="00373366" w:rsidRDefault="009A5761" w:rsidP="000A76C7">
      <w:pPr>
        <w:numPr>
          <w:ilvl w:val="0"/>
          <w:numId w:val="42"/>
        </w:numPr>
        <w:tabs>
          <w:tab w:val="clear" w:pos="1324"/>
          <w:tab w:val="num" w:pos="943"/>
        </w:tabs>
        <w:spacing w:line="660" w:lineRule="exact"/>
        <w:ind w:left="943" w:hanging="489"/>
        <w:jc w:val="lowKashida"/>
        <w:rPr>
          <w:rFonts w:ascii="Traditional Arabic" w:hAnsi="Traditional Arabic"/>
        </w:rPr>
      </w:pPr>
      <w:r>
        <w:rPr>
          <w:rFonts w:ascii="Traditional Arabic" w:hAnsi="Traditional Arabic" w:hint="cs"/>
          <w:rtl/>
        </w:rPr>
        <w:lastRenderedPageBreak/>
        <w:t>يورد</w:t>
      </w:r>
      <w:r w:rsidR="00373366">
        <w:rPr>
          <w:rFonts w:ascii="Traditional Arabic" w:hAnsi="Traditional Arabic" w:hint="cs"/>
          <w:rtl/>
        </w:rPr>
        <w:t xml:space="preserve"> الشيخ</w:t>
      </w:r>
      <w:r w:rsidR="00CD0FB7">
        <w:rPr>
          <w:rFonts w:ascii="Traditional Arabic" w:hAnsi="Traditional Arabic" w:hint="cs"/>
          <w:rtl/>
        </w:rPr>
        <w:t xml:space="preserve"> الدليل على الحكم الذي أورده صاحب متن الزاد من الكتاب والسنة والإجماع والتعليل.</w:t>
      </w:r>
    </w:p>
    <w:p w:rsidR="00CD0FB7" w:rsidRDefault="00CD0FB7" w:rsidP="000A76C7">
      <w:pPr>
        <w:numPr>
          <w:ilvl w:val="0"/>
          <w:numId w:val="42"/>
        </w:numPr>
        <w:tabs>
          <w:tab w:val="clear" w:pos="1324"/>
          <w:tab w:val="num" w:pos="943"/>
        </w:tabs>
        <w:spacing w:line="660" w:lineRule="exact"/>
        <w:ind w:left="943" w:hanging="489"/>
        <w:jc w:val="lowKashida"/>
        <w:rPr>
          <w:rFonts w:ascii="Traditional Arabic" w:hAnsi="Traditional Arabic"/>
        </w:rPr>
      </w:pPr>
      <w:r>
        <w:rPr>
          <w:rFonts w:ascii="Traditional Arabic" w:hAnsi="Traditional Arabic" w:hint="cs"/>
          <w:rtl/>
        </w:rPr>
        <w:t>إن كان في المسألة قول آخر يراه راجحا ثنى به، وقال: الصحيح في المسألة كذا، أو قال: القول الثاني في المسألة كذا وهو الصحيح، ثم يذكر الأدلة على القول الراجح عنده.</w:t>
      </w:r>
    </w:p>
    <w:p w:rsidR="00CD0FB7" w:rsidRPr="00C85F0F" w:rsidRDefault="00CD0FB7" w:rsidP="000A76C7">
      <w:pPr>
        <w:numPr>
          <w:ilvl w:val="0"/>
          <w:numId w:val="42"/>
        </w:numPr>
        <w:tabs>
          <w:tab w:val="clear" w:pos="1324"/>
          <w:tab w:val="num" w:pos="943"/>
        </w:tabs>
        <w:spacing w:line="660" w:lineRule="exact"/>
        <w:ind w:left="943" w:hanging="489"/>
        <w:jc w:val="lowKashida"/>
        <w:rPr>
          <w:rFonts w:ascii="Traditional Arabic" w:hAnsi="Traditional Arabic"/>
        </w:rPr>
      </w:pPr>
      <w:r>
        <w:rPr>
          <w:rFonts w:ascii="Traditional Arabic" w:hAnsi="Traditional Arabic" w:hint="cs"/>
          <w:rtl/>
        </w:rPr>
        <w:t>يذكر الشيخ أحيانا أقوال الفقهاء الأربعة في المسألة، وذلك عند ذكر الخلاف، وإن كان تركيز</w:t>
      </w:r>
      <w:r w:rsidR="009A5761">
        <w:rPr>
          <w:rFonts w:ascii="Traditional Arabic" w:hAnsi="Traditional Arabic" w:hint="cs"/>
          <w:rtl/>
        </w:rPr>
        <w:t>ُ</w:t>
      </w:r>
      <w:r>
        <w:rPr>
          <w:rFonts w:ascii="Traditional Arabic" w:hAnsi="Traditional Arabic" w:hint="cs"/>
          <w:rtl/>
        </w:rPr>
        <w:t xml:space="preserve"> الشيخ بحث</w:t>
      </w:r>
      <w:r w:rsidR="009A5761">
        <w:rPr>
          <w:rFonts w:ascii="Traditional Arabic" w:hAnsi="Traditional Arabic" w:hint="cs"/>
          <w:rtl/>
        </w:rPr>
        <w:t>ُ</w:t>
      </w:r>
      <w:r>
        <w:rPr>
          <w:rFonts w:ascii="Traditional Arabic" w:hAnsi="Traditional Arabic" w:hint="cs"/>
          <w:rtl/>
        </w:rPr>
        <w:t>ه عن الصواب في الأقوال أكثر من اهتمامه بجمع الأقوال.</w:t>
      </w:r>
    </w:p>
    <w:p w:rsidR="006F08E1" w:rsidRPr="00C85F0F" w:rsidRDefault="006F08E1" w:rsidP="000A76C7">
      <w:pPr>
        <w:numPr>
          <w:ilvl w:val="0"/>
          <w:numId w:val="42"/>
        </w:numPr>
        <w:tabs>
          <w:tab w:val="clear" w:pos="1324"/>
          <w:tab w:val="num" w:pos="943"/>
        </w:tabs>
        <w:spacing w:line="640" w:lineRule="exact"/>
        <w:ind w:left="943" w:hanging="489"/>
        <w:jc w:val="lowKashida"/>
        <w:rPr>
          <w:rFonts w:ascii="Traditional Arabic" w:hAnsi="Traditional Arabic"/>
        </w:rPr>
      </w:pPr>
      <w:r w:rsidRPr="00C85F0F">
        <w:rPr>
          <w:rFonts w:ascii="Traditional Arabic" w:hAnsi="Traditional Arabic"/>
          <w:rtl/>
        </w:rPr>
        <w:t xml:space="preserve">ثم يختم الشيخ – </w:t>
      </w:r>
      <w:r w:rsidR="009A0575" w:rsidRPr="005D5694">
        <w:rPr>
          <w:rFonts w:ascii="Traditional Arabic" w:hAnsi="Traditional Arabic" w:cs="CTraditional Arabic" w:hint="cs"/>
          <w:rtl/>
        </w:rPr>
        <w:t>/</w:t>
      </w:r>
      <w:r w:rsidRPr="00C85F0F">
        <w:rPr>
          <w:rFonts w:ascii="Traditional Arabic" w:hAnsi="Traditional Arabic"/>
          <w:rtl/>
        </w:rPr>
        <w:t xml:space="preserve"> – المسألة</w:t>
      </w:r>
      <w:r w:rsidR="00B76414" w:rsidRPr="00C85F0F">
        <w:rPr>
          <w:rFonts w:ascii="Traditional Arabic" w:hAnsi="Traditional Arabic"/>
          <w:rtl/>
        </w:rPr>
        <w:t>،</w:t>
      </w:r>
      <w:r w:rsidRPr="00C85F0F">
        <w:rPr>
          <w:rFonts w:ascii="Traditional Arabic" w:hAnsi="Traditional Arabic"/>
          <w:rtl/>
        </w:rPr>
        <w:t xml:space="preserve"> بذكر ما ترجَّح لديه فيها</w:t>
      </w:r>
      <w:r w:rsidR="00B76414" w:rsidRPr="00C85F0F">
        <w:rPr>
          <w:rFonts w:ascii="Traditional Arabic" w:hAnsi="Traditional Arabic"/>
          <w:rtl/>
        </w:rPr>
        <w:t>،</w:t>
      </w:r>
      <w:r w:rsidRPr="00C85F0F">
        <w:rPr>
          <w:rFonts w:ascii="Traditional Arabic" w:hAnsi="Traditional Arabic"/>
          <w:rtl/>
        </w:rPr>
        <w:t xml:space="preserve"> مُعزِّزاً ذلك بالأدلة والقواعد</w:t>
      </w:r>
      <w:r w:rsidR="00B76414" w:rsidRPr="00C85F0F">
        <w:rPr>
          <w:rFonts w:ascii="Traditional Arabic" w:hAnsi="Traditional Arabic"/>
          <w:rtl/>
        </w:rPr>
        <w:t>،</w:t>
      </w:r>
      <w:r w:rsidRPr="00C85F0F">
        <w:rPr>
          <w:rFonts w:ascii="Traditional Arabic" w:hAnsi="Traditional Arabic"/>
          <w:rtl/>
        </w:rPr>
        <w:t xml:space="preserve"> مع مناقشة أدلة الأقوال الأخرى</w:t>
      </w:r>
      <w:r w:rsidR="00B76414" w:rsidRPr="00C85F0F">
        <w:rPr>
          <w:rFonts w:ascii="Traditional Arabic" w:hAnsi="Traditional Arabic"/>
          <w:rtl/>
        </w:rPr>
        <w:t>،</w:t>
      </w:r>
      <w:r w:rsidRPr="00C85F0F">
        <w:rPr>
          <w:rFonts w:ascii="Traditional Arabic" w:hAnsi="Traditional Arabic"/>
          <w:rtl/>
        </w:rPr>
        <w:t xml:space="preserve"> كما يجيب على الإشكالات بعبارة واضحة ومأخذ سليم</w:t>
      </w:r>
      <w:r w:rsidR="00B76414" w:rsidRPr="00C85F0F">
        <w:rPr>
          <w:rFonts w:ascii="Traditional Arabic" w:hAnsi="Traditional Arabic"/>
          <w:rtl/>
        </w:rPr>
        <w:t>،</w:t>
      </w:r>
      <w:r w:rsidRPr="00C85F0F">
        <w:rPr>
          <w:rFonts w:ascii="Traditional Arabic" w:hAnsi="Traditional Arabic"/>
          <w:rtl/>
        </w:rPr>
        <w:t xml:space="preserve"> بعيداً عن التعصب والتكلُّف</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86"/>
      </w:r>
      <w:r w:rsidRPr="00C85F0F">
        <w:rPr>
          <w:rFonts w:ascii="Traditional Arabic" w:hAnsi="Traditional Arabic"/>
          <w:szCs w:val="32"/>
          <w:vertAlign w:val="superscript"/>
          <w:rtl/>
        </w:rPr>
        <w:t>)</w:t>
      </w:r>
      <w:r w:rsidR="00B76414" w:rsidRPr="00C85F0F">
        <w:rPr>
          <w:rFonts w:ascii="Traditional Arabic" w:hAnsi="Traditional Arabic"/>
          <w:rtl/>
        </w:rPr>
        <w:t>.</w:t>
      </w:r>
    </w:p>
    <w:p w:rsidR="00F228A9" w:rsidRDefault="006F08E1" w:rsidP="000A76C7">
      <w:pPr>
        <w:numPr>
          <w:ilvl w:val="0"/>
          <w:numId w:val="42"/>
        </w:numPr>
        <w:tabs>
          <w:tab w:val="clear" w:pos="1324"/>
          <w:tab w:val="num" w:pos="943"/>
        </w:tabs>
        <w:spacing w:line="640" w:lineRule="exact"/>
        <w:ind w:left="943" w:hanging="489"/>
        <w:jc w:val="lowKashida"/>
        <w:rPr>
          <w:rFonts w:ascii="Traditional Arabic" w:hAnsi="Traditional Arabic"/>
        </w:rPr>
      </w:pPr>
      <w:r w:rsidRPr="00C85F0F">
        <w:rPr>
          <w:rFonts w:ascii="Traditional Arabic" w:hAnsi="Traditional Arabic"/>
          <w:rtl/>
        </w:rPr>
        <w:t xml:space="preserve">يتوقف الشيخ </w:t>
      </w:r>
      <w:r w:rsidR="009A0575" w:rsidRPr="005D5694">
        <w:rPr>
          <w:rFonts w:ascii="Traditional Arabic" w:hAnsi="Traditional Arabic" w:cs="CTraditional Arabic" w:hint="cs"/>
          <w:rtl/>
        </w:rPr>
        <w:t>/</w:t>
      </w:r>
      <w:r w:rsidRPr="00C85F0F">
        <w:rPr>
          <w:rFonts w:ascii="Traditional Arabic" w:hAnsi="Traditional Arabic"/>
          <w:rtl/>
        </w:rPr>
        <w:t xml:space="preserve"> في بعض الأحيان عن الترجيح في المسائل التي تتكافأ فيها الأدلة</w:t>
      </w:r>
      <w:r w:rsidR="00B76414" w:rsidRPr="00C85F0F">
        <w:rPr>
          <w:rFonts w:ascii="Traditional Arabic" w:hAnsi="Traditional Arabic"/>
          <w:rtl/>
        </w:rPr>
        <w:t>،</w:t>
      </w:r>
      <w:r w:rsidRPr="00C85F0F">
        <w:rPr>
          <w:rFonts w:ascii="Traditional Arabic" w:hAnsi="Traditional Arabic"/>
          <w:rtl/>
        </w:rPr>
        <w:t xml:space="preserve"> ولم يتبين له وجه الصواب فيها</w:t>
      </w:r>
      <w:r w:rsidR="00B76414" w:rsidRPr="00C85F0F">
        <w:rPr>
          <w:rFonts w:ascii="Traditional Arabic" w:hAnsi="Traditional Arabic"/>
          <w:rtl/>
        </w:rPr>
        <w:t>،</w:t>
      </w:r>
      <w:r w:rsidR="009404C0">
        <w:rPr>
          <w:rFonts w:ascii="Traditional Arabic" w:hAnsi="Traditional Arabic" w:hint="cs"/>
          <w:rtl/>
        </w:rPr>
        <w:t xml:space="preserve"> </w:t>
      </w:r>
      <w:r w:rsidRPr="00C85F0F">
        <w:rPr>
          <w:rFonts w:ascii="Traditional Arabic" w:hAnsi="Traditional Arabic"/>
          <w:rtl/>
        </w:rPr>
        <w:t xml:space="preserve">وهذا هو ديدن العلماء </w:t>
      </w:r>
      <w:r w:rsidR="00CD7CC0">
        <w:rPr>
          <w:rFonts w:ascii="Traditional Arabic" w:hAnsi="Traditional Arabic" w:hint="cs"/>
          <w:rtl/>
        </w:rPr>
        <w:t>الربانيين</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87"/>
      </w:r>
      <w:r w:rsidRPr="00C85F0F">
        <w:rPr>
          <w:rFonts w:ascii="Traditional Arabic" w:hAnsi="Traditional Arabic"/>
          <w:szCs w:val="32"/>
          <w:vertAlign w:val="superscript"/>
          <w:rtl/>
        </w:rPr>
        <w:t>)</w:t>
      </w:r>
      <w:r w:rsidR="00B76414" w:rsidRPr="00C85F0F">
        <w:rPr>
          <w:rFonts w:ascii="Traditional Arabic" w:hAnsi="Traditional Arabic"/>
          <w:rtl/>
        </w:rPr>
        <w:t>.</w:t>
      </w:r>
    </w:p>
    <w:p w:rsidR="00967867" w:rsidRDefault="006F0830" w:rsidP="000A76C7">
      <w:pPr>
        <w:numPr>
          <w:ilvl w:val="0"/>
          <w:numId w:val="42"/>
        </w:numPr>
        <w:tabs>
          <w:tab w:val="clear" w:pos="1324"/>
          <w:tab w:val="num" w:pos="943"/>
        </w:tabs>
        <w:spacing w:line="640" w:lineRule="exact"/>
        <w:ind w:left="943" w:hanging="489"/>
        <w:jc w:val="lowKashida"/>
        <w:rPr>
          <w:rFonts w:ascii="Traditional Arabic" w:hAnsi="Traditional Arabic"/>
        </w:rPr>
      </w:pPr>
      <w:r>
        <w:rPr>
          <w:rFonts w:ascii="Traditional Arabic" w:hAnsi="Traditional Arabic" w:hint="cs"/>
          <w:rtl/>
        </w:rPr>
        <w:t>يضيف الشيخ أحيانا مسائل لم ترد في متن الزاد، ويذكر الأقوال فيها</w:t>
      </w:r>
      <w:r w:rsidR="00F73A5D" w:rsidRPr="00F73A5D">
        <w:rPr>
          <w:rFonts w:ascii="Traditional Arabic" w:hAnsi="Traditional Arabic" w:hint="cs"/>
          <w:vertAlign w:val="superscript"/>
          <w:rtl/>
        </w:rPr>
        <w:t>(</w:t>
      </w:r>
      <w:r w:rsidRPr="00F73A5D">
        <w:rPr>
          <w:rStyle w:val="af1"/>
          <w:rFonts w:ascii="Traditional Arabic" w:hAnsi="Traditional Arabic"/>
          <w:rtl/>
        </w:rPr>
        <w:footnoteReference w:id="88"/>
      </w:r>
      <w:r w:rsidR="00F73A5D" w:rsidRPr="00F73A5D">
        <w:rPr>
          <w:rFonts w:ascii="Traditional Arabic" w:hAnsi="Traditional Arabic" w:hint="cs"/>
          <w:vertAlign w:val="superscript"/>
          <w:rtl/>
        </w:rPr>
        <w:t>)</w:t>
      </w:r>
      <w:r>
        <w:rPr>
          <w:rFonts w:ascii="Traditional Arabic" w:hAnsi="Traditional Arabic" w:hint="cs"/>
          <w:rtl/>
        </w:rPr>
        <w:t>.</w:t>
      </w:r>
    </w:p>
    <w:p w:rsidR="00F73A5D" w:rsidRDefault="00F73A5D" w:rsidP="000A76C7">
      <w:pPr>
        <w:numPr>
          <w:ilvl w:val="0"/>
          <w:numId w:val="42"/>
        </w:numPr>
        <w:tabs>
          <w:tab w:val="clear" w:pos="1324"/>
          <w:tab w:val="num" w:pos="943"/>
        </w:tabs>
        <w:spacing w:line="640" w:lineRule="exact"/>
        <w:ind w:left="943" w:hanging="489"/>
        <w:jc w:val="lowKashida"/>
        <w:rPr>
          <w:rFonts w:ascii="Traditional Arabic" w:hAnsi="Traditional Arabic"/>
        </w:rPr>
      </w:pPr>
      <w:r>
        <w:rPr>
          <w:rFonts w:ascii="Traditional Arabic" w:hAnsi="Traditional Arabic" w:hint="cs"/>
          <w:rtl/>
        </w:rPr>
        <w:t>يورد الشيخ مسائل معاصرة بعد شرح كلام صاحب الزاد</w:t>
      </w:r>
      <w:r w:rsidRPr="00F73A5D">
        <w:rPr>
          <w:rFonts w:ascii="Traditional Arabic" w:hAnsi="Traditional Arabic" w:hint="cs"/>
          <w:vertAlign w:val="superscript"/>
          <w:rtl/>
        </w:rPr>
        <w:t>(</w:t>
      </w:r>
      <w:r w:rsidRPr="00F73A5D">
        <w:rPr>
          <w:rStyle w:val="af1"/>
          <w:rFonts w:ascii="Traditional Arabic" w:hAnsi="Traditional Arabic"/>
          <w:rtl/>
        </w:rPr>
        <w:footnoteReference w:id="89"/>
      </w:r>
      <w:r w:rsidRPr="00F73A5D">
        <w:rPr>
          <w:rFonts w:ascii="Traditional Arabic" w:hAnsi="Traditional Arabic" w:hint="cs"/>
          <w:vertAlign w:val="superscript"/>
          <w:rtl/>
        </w:rPr>
        <w:t>)</w:t>
      </w:r>
      <w:r>
        <w:rPr>
          <w:rFonts w:ascii="Traditional Arabic" w:hAnsi="Traditional Arabic" w:hint="cs"/>
          <w:rtl/>
        </w:rPr>
        <w:t>.</w:t>
      </w:r>
    </w:p>
    <w:p w:rsidR="00F73A5D" w:rsidRPr="00C85F0F" w:rsidRDefault="00F73A5D" w:rsidP="000A76C7">
      <w:pPr>
        <w:numPr>
          <w:ilvl w:val="0"/>
          <w:numId w:val="42"/>
        </w:numPr>
        <w:tabs>
          <w:tab w:val="clear" w:pos="1324"/>
          <w:tab w:val="num" w:pos="943"/>
        </w:tabs>
        <w:spacing w:line="640" w:lineRule="exact"/>
        <w:ind w:left="943" w:hanging="489"/>
        <w:jc w:val="lowKashida"/>
        <w:rPr>
          <w:rFonts w:ascii="Traditional Arabic" w:hAnsi="Traditional Arabic"/>
        </w:rPr>
      </w:pPr>
      <w:r>
        <w:rPr>
          <w:rFonts w:ascii="Traditional Arabic" w:hAnsi="Traditional Arabic" w:hint="cs"/>
          <w:rtl/>
        </w:rPr>
        <w:lastRenderedPageBreak/>
        <w:t>يورد إشكالات على بعض المسائل أو القواعد ثم يجيب عنها</w:t>
      </w:r>
      <w:r w:rsidR="00CD7CC0" w:rsidRPr="00CD7CC0">
        <w:rPr>
          <w:rFonts w:ascii="Traditional Arabic" w:hAnsi="Traditional Arabic" w:hint="cs"/>
          <w:vertAlign w:val="superscript"/>
          <w:rtl/>
        </w:rPr>
        <w:t>(</w:t>
      </w:r>
      <w:r w:rsidRPr="00CD7CC0">
        <w:rPr>
          <w:rStyle w:val="af1"/>
          <w:rFonts w:ascii="Traditional Arabic" w:hAnsi="Traditional Arabic"/>
          <w:rtl/>
        </w:rPr>
        <w:footnoteReference w:id="90"/>
      </w:r>
      <w:r w:rsidR="00CD7CC0" w:rsidRPr="00CD7CC0">
        <w:rPr>
          <w:rFonts w:ascii="Traditional Arabic" w:hAnsi="Traditional Arabic" w:hint="cs"/>
          <w:vertAlign w:val="superscript"/>
          <w:rtl/>
        </w:rPr>
        <w:t>)</w:t>
      </w:r>
      <w:r>
        <w:rPr>
          <w:rFonts w:ascii="Traditional Arabic" w:hAnsi="Traditional Arabic" w:hint="cs"/>
          <w:rtl/>
        </w:rPr>
        <w:t>.</w:t>
      </w:r>
    </w:p>
    <w:p w:rsidR="001C50AE" w:rsidRPr="00C85F0F" w:rsidRDefault="001C50AE" w:rsidP="001E513A">
      <w:pPr>
        <w:pStyle w:val="aff0"/>
      </w:pPr>
      <w:bookmarkStart w:id="19" w:name="_Toc334046282"/>
      <w:r w:rsidRPr="00C85F0F">
        <w:rPr>
          <w:rtl/>
        </w:rPr>
        <w:lastRenderedPageBreak/>
        <w:t>المبحث الثالث</w:t>
      </w:r>
      <w:r w:rsidRPr="00C85F0F">
        <w:rPr>
          <w:rFonts w:hint="cs"/>
          <w:rtl/>
        </w:rPr>
        <w:t> :</w:t>
      </w:r>
      <w:r w:rsidRPr="00C85F0F">
        <w:rPr>
          <w:rtl/>
        </w:rPr>
        <w:t xml:space="preserve"> </w:t>
      </w:r>
      <w:r w:rsidR="009A5761">
        <w:rPr>
          <w:rFonts w:hint="cs"/>
          <w:rtl/>
        </w:rPr>
        <w:t xml:space="preserve">الفرق بين </w:t>
      </w:r>
      <w:r w:rsidRPr="00C85F0F">
        <w:rPr>
          <w:rtl/>
        </w:rPr>
        <w:t>القا</w:t>
      </w:r>
      <w:r w:rsidR="009A5761">
        <w:rPr>
          <w:rtl/>
        </w:rPr>
        <w:t>عدة الفقهية والضابط الفقهي وال</w:t>
      </w:r>
      <w:r w:rsidRPr="00C85F0F">
        <w:rPr>
          <w:rtl/>
        </w:rPr>
        <w:t>ق</w:t>
      </w:r>
      <w:r w:rsidR="009A5761">
        <w:rPr>
          <w:rFonts w:hint="cs"/>
          <w:rtl/>
        </w:rPr>
        <w:t>اعدة</w:t>
      </w:r>
      <w:r w:rsidR="009A5761">
        <w:rPr>
          <w:rtl/>
        </w:rPr>
        <w:t xml:space="preserve"> </w:t>
      </w:r>
      <w:r w:rsidRPr="00C85F0F">
        <w:rPr>
          <w:rtl/>
        </w:rPr>
        <w:t>ا</w:t>
      </w:r>
      <w:bookmarkEnd w:id="19"/>
      <w:r w:rsidR="009A5761">
        <w:rPr>
          <w:rFonts w:hint="cs"/>
          <w:rtl/>
        </w:rPr>
        <w:t>لأصولية</w:t>
      </w:r>
    </w:p>
    <w:p w:rsidR="006F08E1" w:rsidRPr="00D509F4" w:rsidRDefault="006F08E1" w:rsidP="00597C20">
      <w:pPr>
        <w:spacing w:after="360" w:line="860" w:lineRule="exact"/>
        <w:ind w:right="851" w:firstLine="142"/>
        <w:rPr>
          <w:rFonts w:ascii="Traditional Arabic" w:hAnsi="Traditional Arabic"/>
          <w:b/>
          <w:bCs/>
          <w:u w:val="single"/>
          <w:rtl/>
        </w:rPr>
      </w:pPr>
      <w:r w:rsidRPr="00D509F4">
        <w:rPr>
          <w:rFonts w:ascii="Traditional Arabic" w:hAnsi="Traditional Arabic"/>
          <w:b/>
          <w:bCs/>
          <w:u w:val="single"/>
          <w:rtl/>
        </w:rPr>
        <w:t>وفيه المطالب التالية :</w:t>
      </w:r>
    </w:p>
    <w:p w:rsidR="006F08E1" w:rsidRPr="00C85F0F" w:rsidRDefault="006F08E1" w:rsidP="00597C20">
      <w:pPr>
        <w:tabs>
          <w:tab w:val="left" w:pos="2833"/>
        </w:tabs>
        <w:ind w:left="2833" w:hanging="2268"/>
        <w:jc w:val="left"/>
        <w:rPr>
          <w:rtl/>
        </w:rPr>
      </w:pPr>
      <w:r w:rsidRPr="00D509F4">
        <w:rPr>
          <w:b/>
          <w:bCs/>
          <w:rtl/>
        </w:rPr>
        <w:t>المطلب الأول:</w:t>
      </w:r>
      <w:r w:rsidR="002769A5" w:rsidRPr="00C85F0F">
        <w:rPr>
          <w:rtl/>
        </w:rPr>
        <w:tab/>
      </w:r>
      <w:r w:rsidRPr="00C85F0F">
        <w:rPr>
          <w:rtl/>
        </w:rPr>
        <w:t>تعريف القاعدة الفقهية</w:t>
      </w:r>
      <w:r w:rsidR="00B76414" w:rsidRPr="00C85F0F">
        <w:rPr>
          <w:rtl/>
        </w:rPr>
        <w:t>.</w:t>
      </w:r>
    </w:p>
    <w:p w:rsidR="006F08E1" w:rsidRPr="00C85F0F" w:rsidRDefault="006F08E1" w:rsidP="00597C20">
      <w:pPr>
        <w:tabs>
          <w:tab w:val="left" w:pos="2833"/>
        </w:tabs>
        <w:ind w:left="2833" w:hanging="2268"/>
        <w:jc w:val="left"/>
        <w:rPr>
          <w:rtl/>
        </w:rPr>
      </w:pPr>
      <w:r w:rsidRPr="00D509F4">
        <w:rPr>
          <w:b/>
          <w:bCs/>
          <w:rtl/>
        </w:rPr>
        <w:t>المطلب الثاني:</w:t>
      </w:r>
      <w:r w:rsidR="002769A5" w:rsidRPr="00C85F0F">
        <w:rPr>
          <w:rtl/>
        </w:rPr>
        <w:tab/>
      </w:r>
      <w:r w:rsidRPr="00C85F0F">
        <w:rPr>
          <w:rtl/>
        </w:rPr>
        <w:t>تعريف الضابط الفقهي.</w:t>
      </w:r>
    </w:p>
    <w:p w:rsidR="006F08E1" w:rsidRPr="00C85F0F" w:rsidRDefault="006F08E1" w:rsidP="00597C20">
      <w:pPr>
        <w:tabs>
          <w:tab w:val="left" w:pos="2833"/>
        </w:tabs>
        <w:ind w:left="2833" w:hanging="2268"/>
        <w:jc w:val="left"/>
        <w:rPr>
          <w:rtl/>
        </w:rPr>
      </w:pPr>
      <w:r w:rsidRPr="00D509F4">
        <w:rPr>
          <w:b/>
          <w:bCs/>
          <w:rtl/>
        </w:rPr>
        <w:t>المطلب الثالث:</w:t>
      </w:r>
      <w:r w:rsidR="002769A5" w:rsidRPr="00C85F0F">
        <w:rPr>
          <w:rFonts w:hint="cs"/>
          <w:rtl/>
        </w:rPr>
        <w:tab/>
      </w:r>
      <w:r w:rsidRPr="00C85F0F">
        <w:rPr>
          <w:rtl/>
        </w:rPr>
        <w:t>تعريف القاعدة الأصولية.</w:t>
      </w:r>
    </w:p>
    <w:p w:rsidR="006F08E1" w:rsidRPr="00C85F0F" w:rsidRDefault="006F08E1" w:rsidP="00597C20">
      <w:pPr>
        <w:tabs>
          <w:tab w:val="left" w:pos="2833"/>
        </w:tabs>
        <w:ind w:left="2833" w:hanging="2268"/>
        <w:jc w:val="left"/>
        <w:rPr>
          <w:rtl/>
        </w:rPr>
      </w:pPr>
      <w:r w:rsidRPr="00D509F4">
        <w:rPr>
          <w:b/>
          <w:bCs/>
          <w:rtl/>
        </w:rPr>
        <w:t>المطلب الرابع:</w:t>
      </w:r>
      <w:r w:rsidR="002769A5" w:rsidRPr="00C85F0F">
        <w:rPr>
          <w:rFonts w:hint="cs"/>
          <w:rtl/>
        </w:rPr>
        <w:tab/>
      </w:r>
      <w:r w:rsidRPr="00C85F0F">
        <w:rPr>
          <w:rtl/>
        </w:rPr>
        <w:t>الفرق بين القاعدة الفقهية والضابط الفقهي.</w:t>
      </w:r>
    </w:p>
    <w:p w:rsidR="006F08E1" w:rsidRPr="00C85F0F" w:rsidRDefault="006F08E1" w:rsidP="00597C20">
      <w:pPr>
        <w:tabs>
          <w:tab w:val="left" w:pos="2833"/>
        </w:tabs>
        <w:ind w:left="2833" w:hanging="2268"/>
        <w:jc w:val="left"/>
        <w:rPr>
          <w:rtl/>
        </w:rPr>
      </w:pPr>
      <w:r w:rsidRPr="00D509F4">
        <w:rPr>
          <w:b/>
          <w:bCs/>
          <w:rtl/>
        </w:rPr>
        <w:t>المطلب الخامس:</w:t>
      </w:r>
      <w:r w:rsidR="002769A5" w:rsidRPr="00C85F0F">
        <w:rPr>
          <w:rFonts w:hint="cs"/>
          <w:rtl/>
        </w:rPr>
        <w:tab/>
      </w:r>
      <w:r w:rsidRPr="00C85F0F">
        <w:rPr>
          <w:rtl/>
        </w:rPr>
        <w:t>الفرق بين القاعدة الفقهية والقاعدة الأصولية.</w:t>
      </w:r>
    </w:p>
    <w:p w:rsidR="002769A5" w:rsidRPr="00C85F0F" w:rsidRDefault="002769A5" w:rsidP="00597C20">
      <w:pPr>
        <w:widowControl/>
        <w:ind w:firstLine="0"/>
        <w:jc w:val="left"/>
        <w:rPr>
          <w:rtl/>
        </w:rPr>
      </w:pPr>
      <w:r w:rsidRPr="00C85F0F">
        <w:rPr>
          <w:rtl/>
        </w:rPr>
        <w:br w:type="page"/>
      </w:r>
    </w:p>
    <w:p w:rsidR="00634F57" w:rsidRDefault="00634F57" w:rsidP="00A8347C">
      <w:pPr>
        <w:pStyle w:val="aff3"/>
        <w:rPr>
          <w:rtl/>
        </w:rPr>
      </w:pPr>
      <w:bookmarkStart w:id="20" w:name="_Toc334046283"/>
      <w:r>
        <w:rPr>
          <w:rFonts w:hint="cs"/>
          <w:rtl/>
        </w:rPr>
        <w:lastRenderedPageBreak/>
        <w:t xml:space="preserve">                                             </w:t>
      </w:r>
      <w:r w:rsidR="006F08E1" w:rsidRPr="00C85F0F">
        <w:rPr>
          <w:rtl/>
        </w:rPr>
        <w:t>المطلب الأول</w:t>
      </w:r>
      <w:r w:rsidR="00BE412F">
        <w:rPr>
          <w:rFonts w:hint="cs"/>
          <w:rtl/>
        </w:rPr>
        <w:t xml:space="preserve"> : </w:t>
      </w:r>
    </w:p>
    <w:p w:rsidR="006F08E1" w:rsidRPr="00C85F0F" w:rsidRDefault="00634F57" w:rsidP="00A8347C">
      <w:pPr>
        <w:pStyle w:val="aff3"/>
        <w:rPr>
          <w:rtl/>
        </w:rPr>
      </w:pPr>
      <w:r>
        <w:rPr>
          <w:rFonts w:hint="cs"/>
          <w:rtl/>
        </w:rPr>
        <w:t xml:space="preserve">         </w:t>
      </w:r>
      <w:r w:rsidR="009A5761">
        <w:rPr>
          <w:rFonts w:hint="cs"/>
          <w:rtl/>
        </w:rPr>
        <w:t xml:space="preserve">                               </w:t>
      </w:r>
      <w:r w:rsidR="006F08E1" w:rsidRPr="00C85F0F">
        <w:rPr>
          <w:rtl/>
        </w:rPr>
        <w:t>تعريف القاعدة الفقهية</w:t>
      </w:r>
      <w:bookmarkEnd w:id="20"/>
    </w:p>
    <w:p w:rsidR="00E3179F" w:rsidRDefault="00E3179F" w:rsidP="00597C20">
      <w:pPr>
        <w:spacing w:line="640" w:lineRule="exact"/>
        <w:jc w:val="lowKashida"/>
        <w:rPr>
          <w:rFonts w:ascii="Traditional Arabic" w:hAnsi="Traditional Arabic"/>
          <w:rtl/>
        </w:rPr>
      </w:pPr>
      <w:r>
        <w:rPr>
          <w:rFonts w:ascii="Traditional Arabic" w:hAnsi="Traditional Arabic" w:hint="cs"/>
          <w:rtl/>
        </w:rPr>
        <w:t>القاعدة الفقهية مصطلح مرك</w:t>
      </w:r>
      <w:r w:rsidR="00BE412F">
        <w:rPr>
          <w:rFonts w:ascii="Traditional Arabic" w:hAnsi="Traditional Arabic" w:hint="cs"/>
          <w:rtl/>
        </w:rPr>
        <w:t>َّ</w:t>
      </w:r>
      <w:r>
        <w:rPr>
          <w:rFonts w:ascii="Traditional Arabic" w:hAnsi="Traditional Arabic" w:hint="cs"/>
          <w:rtl/>
        </w:rPr>
        <w:t>ب من كلمتين: إحداهما موصوف، وهي كلمة "القاعدة"، والأخرى وصف للأولى، وهي كلمة" الفقهية".</w:t>
      </w:r>
    </w:p>
    <w:p w:rsidR="00065E4B" w:rsidRPr="00C85F0F" w:rsidRDefault="00E3179F" w:rsidP="00597C20">
      <w:pPr>
        <w:spacing w:line="640" w:lineRule="exact"/>
        <w:jc w:val="lowKashida"/>
        <w:rPr>
          <w:rFonts w:ascii="Traditional Arabic" w:hAnsi="Traditional Arabic"/>
          <w:rtl/>
        </w:rPr>
      </w:pPr>
      <w:r>
        <w:rPr>
          <w:rFonts w:ascii="Traditional Arabic" w:hAnsi="Traditional Arabic" w:hint="cs"/>
          <w:rtl/>
        </w:rPr>
        <w:t>ولما كانت</w:t>
      </w:r>
      <w:r w:rsidR="006044C2">
        <w:rPr>
          <w:rFonts w:ascii="Traditional Arabic" w:hAnsi="Traditional Arabic" w:hint="cs"/>
          <w:rtl/>
        </w:rPr>
        <w:t xml:space="preserve"> معرفة المركب متوقفة على معرفة مفرداته</w:t>
      </w:r>
      <w:r w:rsidR="00BE412F" w:rsidRPr="00BE412F">
        <w:rPr>
          <w:rFonts w:ascii="Traditional Arabic" w:hAnsi="Traditional Arabic" w:hint="cs"/>
          <w:vertAlign w:val="superscript"/>
          <w:rtl/>
        </w:rPr>
        <w:t>(</w:t>
      </w:r>
      <w:r w:rsidR="001E2D6C" w:rsidRPr="00BE412F">
        <w:rPr>
          <w:rStyle w:val="af1"/>
          <w:rFonts w:ascii="Traditional Arabic" w:hAnsi="Traditional Arabic"/>
          <w:rtl/>
        </w:rPr>
        <w:footnoteReference w:id="91"/>
      </w:r>
      <w:r w:rsidR="00BE412F" w:rsidRPr="00BE412F">
        <w:rPr>
          <w:rFonts w:ascii="Traditional Arabic" w:hAnsi="Traditional Arabic" w:hint="cs"/>
          <w:vertAlign w:val="superscript"/>
          <w:rtl/>
        </w:rPr>
        <w:t>)</w:t>
      </w:r>
      <w:r>
        <w:rPr>
          <w:rFonts w:ascii="Traditional Arabic" w:hAnsi="Traditional Arabic" w:hint="cs"/>
          <w:rtl/>
        </w:rPr>
        <w:t>، اقتضى ذلك التعريفَ بجزأي المركب، كل منهما على حِدَة، ثم التعريف بهما مجتمعين، بعد أن أصبحا ع</w:t>
      </w:r>
      <w:r w:rsidR="001E2D6C">
        <w:rPr>
          <w:rFonts w:ascii="Traditional Arabic" w:hAnsi="Traditional Arabic" w:hint="cs"/>
          <w:rtl/>
        </w:rPr>
        <w:t>َ</w:t>
      </w:r>
      <w:r>
        <w:rPr>
          <w:rFonts w:ascii="Traditional Arabic" w:hAnsi="Traditional Arabic" w:hint="cs"/>
          <w:rtl/>
        </w:rPr>
        <w:t>ل</w:t>
      </w:r>
      <w:r w:rsidR="001E2D6C">
        <w:rPr>
          <w:rFonts w:ascii="Traditional Arabic" w:hAnsi="Traditional Arabic" w:hint="cs"/>
          <w:rtl/>
        </w:rPr>
        <w:t>َ</w:t>
      </w:r>
      <w:r>
        <w:rPr>
          <w:rFonts w:ascii="Traditional Arabic" w:hAnsi="Traditional Arabic" w:hint="cs"/>
          <w:rtl/>
        </w:rPr>
        <w:t>ما</w:t>
      </w:r>
      <w:r w:rsidR="001E2D6C">
        <w:rPr>
          <w:rFonts w:ascii="Traditional Arabic" w:hAnsi="Traditional Arabic" w:hint="cs"/>
          <w:rtl/>
        </w:rPr>
        <w:t>ً</w:t>
      </w:r>
      <w:r>
        <w:rPr>
          <w:rFonts w:ascii="Traditional Arabic" w:hAnsi="Traditional Arabic" w:hint="cs"/>
          <w:rtl/>
        </w:rPr>
        <w:t xml:space="preserve"> ول</w:t>
      </w:r>
      <w:r w:rsidR="001E2D6C">
        <w:rPr>
          <w:rFonts w:ascii="Traditional Arabic" w:hAnsi="Traditional Arabic" w:hint="cs"/>
          <w:rtl/>
        </w:rPr>
        <w:t>َ</w:t>
      </w:r>
      <w:r>
        <w:rPr>
          <w:rFonts w:ascii="Traditional Arabic" w:hAnsi="Traditional Arabic" w:hint="cs"/>
          <w:rtl/>
        </w:rPr>
        <w:t>ق</w:t>
      </w:r>
      <w:r w:rsidR="001E2D6C">
        <w:rPr>
          <w:rFonts w:ascii="Traditional Arabic" w:hAnsi="Traditional Arabic" w:hint="cs"/>
          <w:rtl/>
        </w:rPr>
        <w:t>َ</w:t>
      </w:r>
      <w:r>
        <w:rPr>
          <w:rFonts w:ascii="Traditional Arabic" w:hAnsi="Traditional Arabic" w:hint="cs"/>
          <w:rtl/>
        </w:rPr>
        <w:t>با</w:t>
      </w:r>
      <w:r w:rsidR="001E2D6C">
        <w:rPr>
          <w:rFonts w:ascii="Traditional Arabic" w:hAnsi="Traditional Arabic" w:hint="cs"/>
          <w:rtl/>
        </w:rPr>
        <w:t>ً</w:t>
      </w:r>
      <w:r>
        <w:rPr>
          <w:rFonts w:ascii="Traditional Arabic" w:hAnsi="Traditional Arabic" w:hint="cs"/>
          <w:rtl/>
        </w:rPr>
        <w:t xml:space="preserve"> على فن معروف</w:t>
      </w:r>
      <w:r w:rsidR="00B76414" w:rsidRPr="00C85F0F">
        <w:rPr>
          <w:rFonts w:ascii="Traditional Arabic" w:hAnsi="Traditional Arabic"/>
          <w:rtl/>
        </w:rPr>
        <w:t>.</w:t>
      </w:r>
    </w:p>
    <w:p w:rsidR="00F228A9" w:rsidRPr="00115419" w:rsidRDefault="00065E4B" w:rsidP="006D63F7">
      <w:pPr>
        <w:pStyle w:val="53"/>
        <w:numPr>
          <w:ilvl w:val="0"/>
          <w:numId w:val="340"/>
        </w:numPr>
        <w:rPr>
          <w:rtl/>
        </w:rPr>
      </w:pPr>
      <w:r w:rsidRPr="00115419">
        <w:rPr>
          <w:rtl/>
        </w:rPr>
        <w:t>ت</w:t>
      </w:r>
      <w:r w:rsidR="006F08E1" w:rsidRPr="00115419">
        <w:rPr>
          <w:rtl/>
        </w:rPr>
        <w:t xml:space="preserve">عريف </w:t>
      </w:r>
      <w:r w:rsidR="006F08E1" w:rsidRPr="003B550A">
        <w:rPr>
          <w:rtl/>
        </w:rPr>
        <w:t>القاعدة</w:t>
      </w:r>
      <w:r w:rsidR="00AB0B9E" w:rsidRPr="006D675B">
        <w:rPr>
          <w:rtl/>
        </w:rPr>
        <w:fldChar w:fldCharType="begin"/>
      </w:r>
      <w:r w:rsidR="006D675B" w:rsidRPr="00531753">
        <w:rPr>
          <w:bCs w:val="0"/>
        </w:rPr>
        <w:instrText>XE</w:instrText>
      </w:r>
      <w:r w:rsidR="006D675B" w:rsidRPr="00531753">
        <w:rPr>
          <w:bCs w:val="0"/>
          <w:rtl/>
        </w:rPr>
        <w:instrText xml:space="preserve"> "القاعدة" \</w:instrText>
      </w:r>
      <w:r w:rsidR="006D675B" w:rsidRPr="00531753">
        <w:rPr>
          <w:bCs w:val="0"/>
        </w:rPr>
        <w:instrText>fm</w:instrText>
      </w:r>
      <w:r w:rsidR="00AB0B9E" w:rsidRPr="006D675B">
        <w:rPr>
          <w:rtl/>
        </w:rPr>
        <w:fldChar w:fldCharType="end"/>
      </w:r>
      <w:r w:rsidR="006F08E1" w:rsidRPr="00115419">
        <w:rPr>
          <w:rtl/>
        </w:rPr>
        <w:t xml:space="preserve"> </w:t>
      </w:r>
      <w:r w:rsidR="006D63F7">
        <w:rPr>
          <w:rFonts w:hint="cs"/>
          <w:rtl/>
        </w:rPr>
        <w:t>لغة واصطلاحا</w:t>
      </w:r>
      <w:r w:rsidR="006F08E1" w:rsidRPr="00115419">
        <w:rPr>
          <w:rtl/>
        </w:rPr>
        <w:t>:</w:t>
      </w:r>
    </w:p>
    <w:p w:rsidR="00D509F4" w:rsidRDefault="006F08E1" w:rsidP="006D63F7">
      <w:pPr>
        <w:pStyle w:val="61"/>
        <w:numPr>
          <w:ilvl w:val="0"/>
          <w:numId w:val="341"/>
        </w:numPr>
        <w:rPr>
          <w:rtl/>
        </w:rPr>
      </w:pPr>
      <w:r w:rsidRPr="00B35119">
        <w:rPr>
          <w:rtl/>
        </w:rPr>
        <w:t>القاعدة لغة :</w:t>
      </w:r>
    </w:p>
    <w:p w:rsidR="006F08E1" w:rsidRDefault="007F3D62" w:rsidP="00D917C1">
      <w:pPr>
        <w:spacing w:line="680" w:lineRule="exact"/>
        <w:ind w:firstLine="720"/>
        <w:jc w:val="lowKashida"/>
        <w:rPr>
          <w:rFonts w:ascii="Traditional Arabic" w:hAnsi="Traditional Arabic"/>
          <w:rtl/>
        </w:rPr>
      </w:pPr>
      <w:r>
        <w:rPr>
          <w:rFonts w:ascii="Traditional Arabic" w:hAnsi="Traditional Arabic" w:hint="cs"/>
          <w:rtl/>
        </w:rPr>
        <w:t>تأتي مادة (قعد) في اللغة لمعان عديدة، تدور حول معنيي الاستقرار والثبات، فمن ذلك: الْمُقْعَد، وهو المريض الذي لا يستطي</w:t>
      </w:r>
      <w:r w:rsidR="00616A9F">
        <w:rPr>
          <w:rFonts w:ascii="Traditional Arabic" w:hAnsi="Traditional Arabic" w:hint="cs"/>
          <w:rtl/>
        </w:rPr>
        <w:t>ع القيام</w:t>
      </w:r>
      <w:r>
        <w:rPr>
          <w:rFonts w:ascii="Traditional Arabic" w:hAnsi="Traditional Arabic" w:hint="cs"/>
          <w:rtl/>
        </w:rPr>
        <w:t>، وقعيدة الرجل، امرأته القاعدة</w:t>
      </w:r>
      <w:r w:rsidR="00616A9F">
        <w:rPr>
          <w:rFonts w:ascii="Traditional Arabic" w:hAnsi="Traditional Arabic" w:hint="cs"/>
          <w:rtl/>
        </w:rPr>
        <w:t xml:space="preserve"> في بيته</w:t>
      </w:r>
      <w:r w:rsidR="00B76414">
        <w:rPr>
          <w:rFonts w:ascii="Traditional Arabic" w:hAnsi="Traditional Arabic"/>
          <w:rtl/>
        </w:rPr>
        <w:t>،</w:t>
      </w:r>
      <w:r w:rsidR="00636912">
        <w:rPr>
          <w:rFonts w:ascii="Traditional Arabic" w:hAnsi="Traditional Arabic"/>
          <w:rtl/>
        </w:rPr>
        <w:t xml:space="preserve"> </w:t>
      </w:r>
      <w:r w:rsidR="00636912">
        <w:rPr>
          <w:rFonts w:ascii="Traditional Arabic" w:hAnsi="Traditional Arabic" w:hint="cs"/>
          <w:rtl/>
        </w:rPr>
        <w:t>و</w:t>
      </w:r>
      <w:r w:rsidR="00636912">
        <w:rPr>
          <w:rFonts w:ascii="Traditional Arabic" w:hAnsi="Traditional Arabic"/>
          <w:rtl/>
        </w:rPr>
        <w:t>قواعد البيت</w:t>
      </w:r>
      <w:r w:rsidR="00B76414">
        <w:rPr>
          <w:rFonts w:ascii="Traditional Arabic" w:hAnsi="Traditional Arabic"/>
          <w:rtl/>
        </w:rPr>
        <w:t>،</w:t>
      </w:r>
      <w:r w:rsidR="006F08E1" w:rsidRPr="00115419">
        <w:rPr>
          <w:rFonts w:ascii="Traditional Arabic" w:hAnsi="Traditional Arabic"/>
          <w:rtl/>
        </w:rPr>
        <w:t xml:space="preserve"> أ</w:t>
      </w:r>
      <w:r w:rsidR="00E3179F">
        <w:rPr>
          <w:rFonts w:ascii="Traditional Arabic" w:hAnsi="Traditional Arabic" w:hint="cs"/>
          <w:rtl/>
        </w:rPr>
        <w:t>ُ</w:t>
      </w:r>
      <w:r w:rsidR="006F08E1" w:rsidRPr="00115419">
        <w:rPr>
          <w:rFonts w:ascii="Traditional Arabic" w:hAnsi="Traditional Arabic"/>
          <w:rtl/>
        </w:rPr>
        <w:t xml:space="preserve">سسه </w:t>
      </w:r>
      <w:r w:rsidR="00636912">
        <w:rPr>
          <w:rFonts w:ascii="Traditional Arabic" w:hAnsi="Traditional Arabic" w:hint="cs"/>
          <w:rtl/>
        </w:rPr>
        <w:t xml:space="preserve">وأصوله </w:t>
      </w:r>
      <w:r w:rsidR="00636912">
        <w:rPr>
          <w:rFonts w:ascii="Traditional Arabic" w:hAnsi="Traditional Arabic"/>
          <w:rtl/>
        </w:rPr>
        <w:t>التي ي</w:t>
      </w:r>
      <w:r w:rsidR="00636912">
        <w:rPr>
          <w:rFonts w:ascii="Traditional Arabic" w:hAnsi="Traditional Arabic" w:hint="cs"/>
          <w:rtl/>
        </w:rPr>
        <w:t>ُبنى</w:t>
      </w:r>
      <w:r w:rsidR="006F08E1" w:rsidRPr="00115419">
        <w:rPr>
          <w:rFonts w:ascii="Traditional Arabic" w:hAnsi="Traditional Arabic"/>
          <w:rtl/>
        </w:rPr>
        <w:t xml:space="preserve"> عليها</w:t>
      </w:r>
      <w:r w:rsidR="00636912">
        <w:rPr>
          <w:rFonts w:ascii="Traditional Arabic" w:hAnsi="Traditional Arabic" w:hint="cs"/>
          <w:rtl/>
        </w:rPr>
        <w:t>،</w:t>
      </w:r>
      <w:r w:rsidR="006F08E1" w:rsidRPr="00115419">
        <w:rPr>
          <w:rFonts w:ascii="Traditional Arabic" w:hAnsi="Traditional Arabic"/>
          <w:rtl/>
        </w:rPr>
        <w:t xml:space="preserve"> </w:t>
      </w:r>
      <w:r w:rsidR="00636912">
        <w:rPr>
          <w:rFonts w:ascii="Traditional Arabic" w:hAnsi="Traditional Arabic" w:hint="cs"/>
          <w:rtl/>
        </w:rPr>
        <w:t xml:space="preserve">ومنه </w:t>
      </w:r>
      <w:r w:rsidR="006F08E1" w:rsidRPr="00115419">
        <w:rPr>
          <w:rFonts w:ascii="Traditional Arabic" w:hAnsi="Traditional Arabic"/>
          <w:rtl/>
        </w:rPr>
        <w:t xml:space="preserve">قوله تعالى </w:t>
      </w:r>
      <w:bookmarkStart w:id="21" w:name="سورة_البقرة_127"/>
      <w:r w:rsidR="006F08E1" w:rsidRPr="00284B31">
        <w:rPr>
          <w:rFonts w:ascii="QCF_BSML" w:hAnsi="QCF_BSML" w:cs="QCF_BSML"/>
          <w:rtl/>
          <w:lang w:eastAsia="en-US"/>
        </w:rPr>
        <w:t>ﭽ</w:t>
      </w:r>
      <w:r w:rsidR="006F08E1" w:rsidRPr="00284B31">
        <w:rPr>
          <w:rFonts w:ascii="QCF_P020" w:hAnsi="QCF_P020" w:cs="QCF_P020"/>
          <w:rtl/>
          <w:lang w:eastAsia="en-US"/>
        </w:rPr>
        <w:t>ﭑ</w:t>
      </w:r>
      <w:r w:rsidR="00BE412F">
        <w:rPr>
          <w:rFonts w:ascii="QCF_P020" w:hAnsi="QCF_P020" w:cs="QCF_P020" w:hint="cs"/>
          <w:rtl/>
          <w:lang w:eastAsia="en-US"/>
        </w:rPr>
        <w:t xml:space="preserve"> </w:t>
      </w:r>
      <w:r w:rsidR="00E3179F">
        <w:rPr>
          <w:rFonts w:ascii="QCF_P020" w:hAnsi="QCF_P020" w:cs="QCF_P020" w:hint="cs"/>
          <w:rtl/>
          <w:lang w:eastAsia="en-US"/>
        </w:rPr>
        <w:t xml:space="preserve"> </w:t>
      </w:r>
      <w:r w:rsidR="00BE412F">
        <w:rPr>
          <w:rFonts w:ascii="QCF_P020" w:hAnsi="QCF_P020" w:cs="QCF_P020" w:hint="cs"/>
          <w:rtl/>
          <w:lang w:eastAsia="en-US"/>
        </w:rPr>
        <w:t xml:space="preserve"> </w:t>
      </w:r>
      <w:r w:rsidR="006F08E1" w:rsidRPr="00284B31">
        <w:rPr>
          <w:rFonts w:ascii="QCF_P020" w:hAnsi="QCF_P020" w:cs="QCF_P020"/>
          <w:rtl/>
          <w:lang w:eastAsia="en-US"/>
        </w:rPr>
        <w:t>ﭒ</w:t>
      </w:r>
      <w:r w:rsidR="00BE412F">
        <w:rPr>
          <w:rFonts w:ascii="QCF_P020" w:hAnsi="QCF_P020" w:cs="QCF_P020" w:hint="cs"/>
          <w:rtl/>
          <w:lang w:eastAsia="en-US"/>
        </w:rPr>
        <w:t xml:space="preserve"> </w:t>
      </w:r>
      <w:r w:rsidR="00E3179F">
        <w:rPr>
          <w:rFonts w:ascii="QCF_P020" w:hAnsi="QCF_P020" w:cs="QCF_P020" w:hint="cs"/>
          <w:rtl/>
          <w:lang w:eastAsia="en-US"/>
        </w:rPr>
        <w:t xml:space="preserve"> </w:t>
      </w:r>
      <w:r w:rsidR="00BE412F">
        <w:rPr>
          <w:rFonts w:ascii="QCF_P020" w:hAnsi="QCF_P020" w:cs="QCF_P020" w:hint="cs"/>
          <w:rtl/>
          <w:lang w:eastAsia="en-US"/>
        </w:rPr>
        <w:t xml:space="preserve"> </w:t>
      </w:r>
      <w:r w:rsidR="006F08E1" w:rsidRPr="00284B31">
        <w:rPr>
          <w:rFonts w:ascii="QCF_P020" w:hAnsi="QCF_P020" w:cs="QCF_P020"/>
          <w:rtl/>
          <w:lang w:eastAsia="en-US"/>
        </w:rPr>
        <w:t>ﭓ</w:t>
      </w:r>
      <w:r w:rsidR="00BE412F">
        <w:rPr>
          <w:rFonts w:ascii="QCF_P020" w:hAnsi="QCF_P020" w:cs="QCF_P020" w:hint="cs"/>
          <w:rtl/>
          <w:lang w:eastAsia="en-US"/>
        </w:rPr>
        <w:t xml:space="preserve"> </w:t>
      </w:r>
      <w:r w:rsidR="00E3179F">
        <w:rPr>
          <w:rFonts w:ascii="QCF_P020" w:hAnsi="QCF_P020" w:cs="QCF_P020" w:hint="cs"/>
          <w:rtl/>
          <w:lang w:eastAsia="en-US"/>
        </w:rPr>
        <w:t xml:space="preserve"> </w:t>
      </w:r>
      <w:r w:rsidR="006F08E1" w:rsidRPr="00284B31">
        <w:rPr>
          <w:rFonts w:ascii="QCF_P020" w:hAnsi="QCF_P020" w:cs="QCF_P020"/>
          <w:rtl/>
          <w:lang w:eastAsia="en-US"/>
        </w:rPr>
        <w:t>ﭔ</w:t>
      </w:r>
      <w:r w:rsidR="00BE412F">
        <w:rPr>
          <w:rFonts w:ascii="QCF_P020" w:hAnsi="QCF_P020" w:cs="QCF_P020" w:hint="cs"/>
          <w:rtl/>
          <w:lang w:eastAsia="en-US"/>
        </w:rPr>
        <w:t xml:space="preserve"> </w:t>
      </w:r>
      <w:r w:rsidR="00E3179F">
        <w:rPr>
          <w:rFonts w:ascii="QCF_P020" w:hAnsi="QCF_P020" w:cs="QCF_P020" w:hint="cs"/>
          <w:rtl/>
          <w:lang w:eastAsia="en-US"/>
        </w:rPr>
        <w:t xml:space="preserve"> </w:t>
      </w:r>
      <w:r w:rsidR="006F08E1" w:rsidRPr="00284B31">
        <w:rPr>
          <w:rFonts w:ascii="QCF_P020" w:hAnsi="QCF_P020" w:cs="QCF_P020"/>
          <w:rtl/>
          <w:lang w:eastAsia="en-US"/>
        </w:rPr>
        <w:t>ﭕ</w:t>
      </w:r>
      <w:r w:rsidR="00BE412F">
        <w:rPr>
          <w:rFonts w:ascii="QCF_P020" w:hAnsi="QCF_P020" w:cs="QCF_P020" w:hint="cs"/>
          <w:rtl/>
          <w:lang w:eastAsia="en-US"/>
        </w:rPr>
        <w:t xml:space="preserve"> </w:t>
      </w:r>
      <w:r w:rsidR="00E3179F">
        <w:rPr>
          <w:rFonts w:ascii="QCF_P020" w:hAnsi="QCF_P020" w:cs="QCF_P020" w:hint="cs"/>
          <w:rtl/>
          <w:lang w:eastAsia="en-US"/>
        </w:rPr>
        <w:t xml:space="preserve"> </w:t>
      </w:r>
      <w:r w:rsidR="006F08E1" w:rsidRPr="00284B31">
        <w:rPr>
          <w:rFonts w:ascii="QCF_P020" w:hAnsi="QCF_P020" w:cs="QCF_P020"/>
          <w:rtl/>
          <w:lang w:eastAsia="en-US"/>
        </w:rPr>
        <w:t>ﭖ</w:t>
      </w:r>
      <w:r w:rsidR="00BE412F">
        <w:rPr>
          <w:rFonts w:ascii="QCF_P020" w:hAnsi="QCF_P020" w:cs="QCF_P020" w:hint="cs"/>
          <w:rtl/>
          <w:lang w:eastAsia="en-US"/>
        </w:rPr>
        <w:t xml:space="preserve"> </w:t>
      </w:r>
      <w:r w:rsidR="00E3179F">
        <w:rPr>
          <w:rFonts w:ascii="QCF_P020" w:hAnsi="QCF_P020" w:cs="QCF_P020" w:hint="cs"/>
          <w:rtl/>
          <w:lang w:eastAsia="en-US"/>
        </w:rPr>
        <w:t xml:space="preserve"> </w:t>
      </w:r>
      <w:r w:rsidR="00BE412F">
        <w:rPr>
          <w:rFonts w:ascii="QCF_P020" w:hAnsi="QCF_P020" w:cs="QCF_P020" w:hint="cs"/>
          <w:rtl/>
          <w:lang w:eastAsia="en-US"/>
        </w:rPr>
        <w:t xml:space="preserve"> </w:t>
      </w:r>
      <w:r w:rsidR="006F08E1" w:rsidRPr="00284B31">
        <w:rPr>
          <w:rFonts w:ascii="QCF_P020" w:hAnsi="QCF_P020" w:cs="QCF_P020"/>
          <w:rtl/>
          <w:lang w:eastAsia="en-US"/>
        </w:rPr>
        <w:t>ﭗ</w:t>
      </w:r>
      <w:r w:rsidR="00BE412F">
        <w:rPr>
          <w:rFonts w:ascii="QCF_P020" w:hAnsi="QCF_P020" w:cs="QCF_P020" w:hint="cs"/>
          <w:rtl/>
          <w:lang w:eastAsia="en-US"/>
        </w:rPr>
        <w:t xml:space="preserve"> </w:t>
      </w:r>
      <w:r w:rsidR="006F08E1" w:rsidRPr="00284B31">
        <w:rPr>
          <w:rFonts w:ascii="QCF_BSML" w:hAnsi="QCF_BSML" w:cs="QCF_BSML"/>
          <w:rtl/>
          <w:lang w:eastAsia="en-US"/>
        </w:rPr>
        <w:t>ﭼ</w:t>
      </w:r>
      <w:bookmarkEnd w:id="21"/>
      <w:r w:rsidR="006F08E1">
        <w:rPr>
          <w:rFonts w:ascii="Traditional Arabic" w:hAnsi="Traditional Arabic" w:hint="cs"/>
          <w:color w:val="auto"/>
          <w:rtl/>
          <w:lang w:eastAsia="en-US"/>
        </w:rPr>
        <w:t>[</w:t>
      </w:r>
      <w:r w:rsidR="006F08E1" w:rsidRPr="00284B31">
        <w:rPr>
          <w:rFonts w:ascii="Traditional Arabic" w:hAnsi="Traditional Arabic"/>
          <w:color w:val="auto"/>
          <w:rtl/>
          <w:lang w:eastAsia="en-US"/>
        </w:rPr>
        <w:t>البقرة: ١٢٧</w:t>
      </w:r>
      <w:r w:rsidR="006F08E1">
        <w:rPr>
          <w:rFonts w:ascii="Traditional Arabic" w:hAnsi="Traditional Arabic" w:hint="cs"/>
          <w:color w:val="auto"/>
          <w:rtl/>
          <w:lang w:eastAsia="en-US"/>
        </w:rPr>
        <w:t>]</w:t>
      </w:r>
      <w:r w:rsidR="006F08E1" w:rsidRPr="00115419">
        <w:rPr>
          <w:rFonts w:ascii="Traditional Arabic" w:hAnsi="Traditional Arabic"/>
          <w:rtl/>
        </w:rPr>
        <w:t>، وقـوله تعالى :</w:t>
      </w:r>
      <w:bookmarkStart w:id="22" w:name="سورة_النحل_26"/>
      <w:r w:rsidR="006F08E1" w:rsidRPr="00284B31">
        <w:rPr>
          <w:rFonts w:ascii="QCF_BSML" w:hAnsi="QCF_BSML" w:cs="QCF_BSML"/>
          <w:rtl/>
          <w:lang w:eastAsia="en-US"/>
        </w:rPr>
        <w:t>ﭽ</w:t>
      </w:r>
      <w:r w:rsidR="006F08E1" w:rsidRPr="00284B31">
        <w:rPr>
          <w:rFonts w:ascii="QCF_P269" w:hAnsi="QCF_P269" w:cs="QCF_P269"/>
          <w:rtl/>
          <w:lang w:eastAsia="en-US"/>
        </w:rPr>
        <w:t>ﯲ</w:t>
      </w:r>
      <w:r w:rsidR="00E3179F">
        <w:rPr>
          <w:rFonts w:ascii="QCF_P269" w:hAnsi="QCF_P269" w:cs="QCF_P269" w:hint="cs"/>
          <w:rtl/>
          <w:lang w:eastAsia="en-US"/>
        </w:rPr>
        <w:t xml:space="preserve"> </w:t>
      </w:r>
      <w:r w:rsidR="00BE412F">
        <w:rPr>
          <w:rFonts w:ascii="QCF_P269" w:hAnsi="QCF_P269" w:cs="QCF_P269" w:hint="cs"/>
          <w:rtl/>
          <w:lang w:eastAsia="en-US"/>
        </w:rPr>
        <w:t xml:space="preserve"> </w:t>
      </w:r>
      <w:r w:rsidR="006F08E1" w:rsidRPr="00284B31">
        <w:rPr>
          <w:rFonts w:ascii="QCF_P269" w:hAnsi="QCF_P269" w:cs="QCF_P269"/>
          <w:rtl/>
          <w:lang w:eastAsia="en-US"/>
        </w:rPr>
        <w:t>ﯳ</w:t>
      </w:r>
      <w:r w:rsidR="00BE412F">
        <w:rPr>
          <w:rFonts w:ascii="QCF_P269" w:hAnsi="QCF_P269" w:cs="QCF_P269" w:hint="cs"/>
          <w:rtl/>
          <w:lang w:eastAsia="en-US"/>
        </w:rPr>
        <w:t xml:space="preserve"> </w:t>
      </w:r>
      <w:r w:rsidR="00E3179F">
        <w:rPr>
          <w:rFonts w:ascii="QCF_P269" w:hAnsi="QCF_P269" w:cs="QCF_P269" w:hint="cs"/>
          <w:rtl/>
          <w:lang w:eastAsia="en-US"/>
        </w:rPr>
        <w:t xml:space="preserve"> </w:t>
      </w:r>
      <w:r w:rsidR="006F08E1" w:rsidRPr="00284B31">
        <w:rPr>
          <w:rFonts w:ascii="QCF_P269" w:hAnsi="QCF_P269" w:cs="QCF_P269"/>
          <w:rtl/>
          <w:lang w:eastAsia="en-US"/>
        </w:rPr>
        <w:t>ﯴ</w:t>
      </w:r>
      <w:r w:rsidR="00BE412F">
        <w:rPr>
          <w:rFonts w:ascii="QCF_P269" w:hAnsi="QCF_P269" w:cs="QCF_P269" w:hint="cs"/>
          <w:rtl/>
          <w:lang w:eastAsia="en-US"/>
        </w:rPr>
        <w:t xml:space="preserve"> </w:t>
      </w:r>
      <w:r w:rsidR="00E3179F">
        <w:rPr>
          <w:rFonts w:ascii="QCF_P269" w:hAnsi="QCF_P269" w:cs="QCF_P269" w:hint="cs"/>
          <w:rtl/>
          <w:lang w:eastAsia="en-US"/>
        </w:rPr>
        <w:t xml:space="preserve"> </w:t>
      </w:r>
      <w:r w:rsidR="006F08E1" w:rsidRPr="00284B31">
        <w:rPr>
          <w:rFonts w:ascii="QCF_P269" w:hAnsi="QCF_P269" w:cs="QCF_P269"/>
          <w:rtl/>
          <w:lang w:eastAsia="en-US"/>
        </w:rPr>
        <w:t>ﯵ</w:t>
      </w:r>
      <w:r w:rsidR="00BE412F">
        <w:rPr>
          <w:rFonts w:ascii="QCF_P269" w:hAnsi="QCF_P269" w:cs="QCF_P269" w:hint="cs"/>
          <w:rtl/>
          <w:lang w:eastAsia="en-US"/>
        </w:rPr>
        <w:t xml:space="preserve"> </w:t>
      </w:r>
      <w:r w:rsidR="00E3179F">
        <w:rPr>
          <w:rFonts w:ascii="QCF_P269" w:hAnsi="QCF_P269" w:cs="QCF_P269" w:hint="cs"/>
          <w:rtl/>
          <w:lang w:eastAsia="en-US"/>
        </w:rPr>
        <w:t xml:space="preserve"> </w:t>
      </w:r>
      <w:r w:rsidR="00BE412F">
        <w:rPr>
          <w:rFonts w:ascii="QCF_P269" w:hAnsi="QCF_P269" w:cs="QCF_P269" w:hint="cs"/>
          <w:rtl/>
          <w:lang w:eastAsia="en-US"/>
        </w:rPr>
        <w:t xml:space="preserve"> </w:t>
      </w:r>
      <w:r w:rsidR="006F08E1" w:rsidRPr="00284B31">
        <w:rPr>
          <w:rFonts w:ascii="QCF_P269" w:hAnsi="QCF_P269" w:cs="QCF_P269"/>
          <w:rtl/>
          <w:lang w:eastAsia="en-US"/>
        </w:rPr>
        <w:t>ﯶ</w:t>
      </w:r>
      <w:r w:rsidR="006F08E1" w:rsidRPr="00284B31">
        <w:rPr>
          <w:rFonts w:ascii="QCF_BSML" w:hAnsi="QCF_BSML" w:cs="QCF_BSML"/>
          <w:rtl/>
          <w:lang w:eastAsia="en-US"/>
        </w:rPr>
        <w:t>ﭼ</w:t>
      </w:r>
      <w:bookmarkEnd w:id="22"/>
      <w:r w:rsidR="006F08E1">
        <w:rPr>
          <w:rFonts w:ascii="Traditional Arabic" w:hAnsi="Traditional Arabic" w:hint="cs"/>
          <w:color w:val="auto"/>
          <w:rtl/>
          <w:lang w:eastAsia="en-US"/>
        </w:rPr>
        <w:t>[</w:t>
      </w:r>
      <w:r w:rsidR="006F08E1" w:rsidRPr="00284B31">
        <w:rPr>
          <w:rFonts w:ascii="Traditional Arabic" w:hAnsi="Traditional Arabic"/>
          <w:color w:val="auto"/>
          <w:rtl/>
          <w:lang w:eastAsia="en-US"/>
        </w:rPr>
        <w:t>النحل: ٢٦</w:t>
      </w:r>
      <w:r w:rsidR="006F08E1">
        <w:rPr>
          <w:rFonts w:ascii="Traditional Arabic" w:hAnsi="Traditional Arabic" w:hint="cs"/>
          <w:color w:val="auto"/>
          <w:rtl/>
        </w:rPr>
        <w:t>]</w:t>
      </w:r>
      <w:r w:rsidR="00B76414">
        <w:rPr>
          <w:rFonts w:ascii="Traditional Arabic" w:hAnsi="Traditional Arabic"/>
          <w:rtl/>
        </w:rPr>
        <w:t>،</w:t>
      </w:r>
      <w:r w:rsidR="006F08E1" w:rsidRPr="00115419">
        <w:rPr>
          <w:rFonts w:ascii="Traditional Arabic" w:hAnsi="Traditional Arabic"/>
          <w:rtl/>
        </w:rPr>
        <w:t xml:space="preserve"> وكما تطلق "القاعدة" على الأمور الحسية</w:t>
      </w:r>
      <w:r w:rsidR="00636912">
        <w:rPr>
          <w:rFonts w:ascii="Traditional Arabic" w:hAnsi="Traditional Arabic" w:hint="cs"/>
          <w:rtl/>
        </w:rPr>
        <w:t>،</w:t>
      </w:r>
      <w:r w:rsidR="006F08E1" w:rsidRPr="00115419">
        <w:rPr>
          <w:rFonts w:ascii="Traditional Arabic" w:hAnsi="Traditional Arabic"/>
          <w:rtl/>
        </w:rPr>
        <w:t xml:space="preserve"> فإنها تطلق أيضاً على الأشياء المعنوية مجازاً</w:t>
      </w:r>
      <w:r w:rsidR="00B76414">
        <w:rPr>
          <w:rFonts w:ascii="Traditional Arabic" w:hAnsi="Traditional Arabic"/>
          <w:rtl/>
        </w:rPr>
        <w:t>،</w:t>
      </w:r>
      <w:r w:rsidR="00D917C1">
        <w:rPr>
          <w:rFonts w:ascii="Traditional Arabic" w:hAnsi="Traditional Arabic"/>
          <w:rtl/>
        </w:rPr>
        <w:t xml:space="preserve"> </w:t>
      </w:r>
      <w:r w:rsidR="00D917C1">
        <w:rPr>
          <w:rFonts w:ascii="Traditional Arabic" w:hAnsi="Traditional Arabic" w:hint="cs"/>
          <w:rtl/>
        </w:rPr>
        <w:t>ف</w:t>
      </w:r>
      <w:r w:rsidR="00366B6A">
        <w:rPr>
          <w:rFonts w:ascii="Traditional Arabic" w:hAnsi="Traditional Arabic" w:hint="cs"/>
          <w:rtl/>
        </w:rPr>
        <w:t>يقال: "بنى أ</w:t>
      </w:r>
      <w:r w:rsidR="00D917C1">
        <w:rPr>
          <w:rFonts w:ascii="Traditional Arabic" w:hAnsi="Traditional Arabic" w:hint="cs"/>
          <w:rtl/>
        </w:rPr>
        <w:t>َ</w:t>
      </w:r>
      <w:r w:rsidR="00366B6A">
        <w:rPr>
          <w:rFonts w:ascii="Traditional Arabic" w:hAnsi="Traditional Arabic" w:hint="cs"/>
          <w:rtl/>
        </w:rPr>
        <w:t>م</w:t>
      </w:r>
      <w:r w:rsidR="00D917C1">
        <w:rPr>
          <w:rFonts w:ascii="Traditional Arabic" w:hAnsi="Traditional Arabic" w:hint="cs"/>
          <w:rtl/>
        </w:rPr>
        <w:t>ْ</w:t>
      </w:r>
      <w:r w:rsidR="00366B6A">
        <w:rPr>
          <w:rFonts w:ascii="Traditional Arabic" w:hAnsi="Traditional Arabic" w:hint="cs"/>
          <w:rtl/>
        </w:rPr>
        <w:t>ر</w:t>
      </w:r>
      <w:r w:rsidR="00D917C1">
        <w:rPr>
          <w:rFonts w:ascii="Traditional Arabic" w:hAnsi="Traditional Arabic" w:hint="cs"/>
          <w:rtl/>
        </w:rPr>
        <w:t>َ</w:t>
      </w:r>
      <w:r w:rsidR="00366B6A">
        <w:rPr>
          <w:rFonts w:ascii="Traditional Arabic" w:hAnsi="Traditional Arabic" w:hint="cs"/>
          <w:rtl/>
        </w:rPr>
        <w:t>ه على قاعدة"، وقاعدة</w:t>
      </w:r>
      <w:r w:rsidR="00616A9F">
        <w:rPr>
          <w:rFonts w:ascii="Traditional Arabic" w:hAnsi="Traditional Arabic" w:hint="cs"/>
          <w:rtl/>
        </w:rPr>
        <w:t>ُ</w:t>
      </w:r>
      <w:r w:rsidR="00366B6A">
        <w:rPr>
          <w:rFonts w:ascii="Traditional Arabic" w:hAnsi="Traditional Arabic" w:hint="cs"/>
          <w:rtl/>
        </w:rPr>
        <w:t xml:space="preserve"> أ</w:t>
      </w:r>
      <w:r w:rsidR="00616A9F">
        <w:rPr>
          <w:rFonts w:ascii="Traditional Arabic" w:hAnsi="Traditional Arabic" w:hint="cs"/>
          <w:rtl/>
        </w:rPr>
        <w:t>َ</w:t>
      </w:r>
      <w:r w:rsidR="00366B6A">
        <w:rPr>
          <w:rFonts w:ascii="Traditional Arabic" w:hAnsi="Traditional Arabic" w:hint="cs"/>
          <w:rtl/>
        </w:rPr>
        <w:t>م</w:t>
      </w:r>
      <w:r w:rsidR="00616A9F">
        <w:rPr>
          <w:rFonts w:ascii="Traditional Arabic" w:hAnsi="Traditional Arabic" w:hint="cs"/>
          <w:rtl/>
        </w:rPr>
        <w:t>ْ</w:t>
      </w:r>
      <w:r w:rsidR="00366B6A">
        <w:rPr>
          <w:rFonts w:ascii="Traditional Arabic" w:hAnsi="Traditional Arabic" w:hint="cs"/>
          <w:rtl/>
        </w:rPr>
        <w:t>ر</w:t>
      </w:r>
      <w:r w:rsidR="00616A9F">
        <w:rPr>
          <w:rFonts w:ascii="Traditional Arabic" w:hAnsi="Traditional Arabic" w:hint="cs"/>
          <w:rtl/>
        </w:rPr>
        <w:t>ِ</w:t>
      </w:r>
      <w:r w:rsidR="00366B6A">
        <w:rPr>
          <w:rFonts w:ascii="Traditional Arabic" w:hAnsi="Traditional Arabic" w:hint="cs"/>
          <w:rtl/>
        </w:rPr>
        <w:t>ك واهية"</w:t>
      </w:r>
      <w:r w:rsidR="006F08E1" w:rsidRPr="00C821A1">
        <w:rPr>
          <w:rFonts w:ascii="Traditional Arabic" w:hAnsi="Traditional Arabic"/>
          <w:szCs w:val="32"/>
          <w:vertAlign w:val="superscript"/>
          <w:rtl/>
        </w:rPr>
        <w:t>(</w:t>
      </w:r>
      <w:r w:rsidR="006F08E1" w:rsidRPr="00C821A1">
        <w:rPr>
          <w:rStyle w:val="af1"/>
          <w:rFonts w:ascii="Traditional Arabic" w:hAnsi="Traditional Arabic"/>
          <w:szCs w:val="32"/>
          <w:rtl/>
        </w:rPr>
        <w:footnoteReference w:id="92"/>
      </w:r>
      <w:r w:rsidR="006F08E1" w:rsidRPr="00C821A1">
        <w:rPr>
          <w:rFonts w:ascii="Traditional Arabic" w:hAnsi="Traditional Arabic"/>
          <w:szCs w:val="32"/>
          <w:vertAlign w:val="superscript"/>
          <w:rtl/>
        </w:rPr>
        <w:t>)</w:t>
      </w:r>
      <w:r w:rsidR="00B76414">
        <w:rPr>
          <w:rFonts w:ascii="Traditional Arabic" w:hAnsi="Traditional Arabic"/>
          <w:rtl/>
        </w:rPr>
        <w:t>.</w:t>
      </w:r>
    </w:p>
    <w:p w:rsidR="00D917C1" w:rsidRPr="00115419" w:rsidRDefault="00D917C1" w:rsidP="00D917C1">
      <w:pPr>
        <w:spacing w:line="680" w:lineRule="exact"/>
        <w:ind w:firstLine="720"/>
        <w:jc w:val="lowKashida"/>
        <w:rPr>
          <w:rFonts w:ascii="Traditional Arabic" w:hAnsi="Traditional Arabic"/>
          <w:b/>
          <w:bCs/>
          <w:rtl/>
        </w:rPr>
      </w:pPr>
      <w:r w:rsidRPr="00115419">
        <w:rPr>
          <w:rFonts w:ascii="Traditional Arabic" w:hAnsi="Traditional Arabic"/>
          <w:rtl/>
        </w:rPr>
        <w:t xml:space="preserve">ومن هذا الاستعمال المجازي للقاعدة ورد استعمال الفقهاء لكلمة "القاعدة" للقواعد </w:t>
      </w:r>
      <w:r w:rsidRPr="00115419">
        <w:rPr>
          <w:rFonts w:ascii="Traditional Arabic" w:hAnsi="Traditional Arabic"/>
          <w:rtl/>
        </w:rPr>
        <w:lastRenderedPageBreak/>
        <w:t>الفقهية</w:t>
      </w:r>
      <w:r w:rsidRPr="00D917C1">
        <w:rPr>
          <w:rFonts w:ascii="Traditional Arabic" w:hAnsi="Traditional Arabic" w:hint="cs"/>
          <w:vertAlign w:val="superscript"/>
          <w:rtl/>
        </w:rPr>
        <w:t>(</w:t>
      </w:r>
      <w:r w:rsidRPr="00D917C1">
        <w:rPr>
          <w:rStyle w:val="af1"/>
          <w:rFonts w:ascii="Traditional Arabic" w:hAnsi="Traditional Arabic"/>
          <w:b/>
          <w:bCs/>
          <w:rtl/>
        </w:rPr>
        <w:footnoteReference w:id="93"/>
      </w:r>
      <w:r w:rsidRPr="00D917C1">
        <w:rPr>
          <w:rFonts w:ascii="Traditional Arabic" w:hAnsi="Traditional Arabic" w:hint="cs"/>
          <w:b/>
          <w:bCs/>
          <w:vertAlign w:val="superscript"/>
          <w:rtl/>
        </w:rPr>
        <w:t>)</w:t>
      </w:r>
      <w:r>
        <w:rPr>
          <w:rFonts w:ascii="Traditional Arabic" w:hAnsi="Traditional Arabic" w:hint="cs"/>
          <w:b/>
          <w:bCs/>
          <w:rtl/>
        </w:rPr>
        <w:t>.</w:t>
      </w:r>
    </w:p>
    <w:p w:rsidR="00D509F4" w:rsidRDefault="00E107E7" w:rsidP="006D63F7">
      <w:pPr>
        <w:pStyle w:val="61"/>
        <w:numPr>
          <w:ilvl w:val="0"/>
          <w:numId w:val="341"/>
        </w:numPr>
        <w:rPr>
          <w:rtl/>
        </w:rPr>
      </w:pPr>
      <w:r>
        <w:rPr>
          <w:rtl/>
        </w:rPr>
        <w:t>القاعدة اصطلاحاً</w:t>
      </w:r>
      <w:r w:rsidR="006F08E1" w:rsidRPr="00B35119">
        <w:rPr>
          <w:rtl/>
        </w:rPr>
        <w:t>:</w:t>
      </w:r>
    </w:p>
    <w:p w:rsidR="00E107E7" w:rsidRPr="00E107E7" w:rsidRDefault="00E107E7" w:rsidP="00D509F4">
      <w:pPr>
        <w:pStyle w:val="61"/>
        <w:rPr>
          <w:b w:val="0"/>
          <w:bCs w:val="0"/>
          <w:rtl/>
        </w:rPr>
      </w:pPr>
      <w:r>
        <w:rPr>
          <w:rFonts w:hint="cs"/>
          <w:rtl/>
        </w:rPr>
        <w:t xml:space="preserve">        </w:t>
      </w:r>
      <w:r>
        <w:rPr>
          <w:rFonts w:hint="cs"/>
          <w:b w:val="0"/>
          <w:bCs w:val="0"/>
          <w:rtl/>
        </w:rPr>
        <w:t xml:space="preserve">قضية </w:t>
      </w:r>
      <w:r w:rsidR="00B37BB2" w:rsidRPr="00B37BB2">
        <w:rPr>
          <w:rFonts w:hint="cs"/>
          <w:b w:val="0"/>
          <w:bCs w:val="0"/>
          <w:vertAlign w:val="superscript"/>
          <w:rtl/>
        </w:rPr>
        <w:t>(</w:t>
      </w:r>
      <w:r w:rsidR="00B37BB2" w:rsidRPr="00B37BB2">
        <w:rPr>
          <w:rStyle w:val="af1"/>
          <w:b w:val="0"/>
          <w:bCs w:val="0"/>
          <w:rtl/>
        </w:rPr>
        <w:footnoteReference w:id="94"/>
      </w:r>
      <w:r w:rsidR="00B37BB2" w:rsidRPr="00B37BB2">
        <w:rPr>
          <w:rFonts w:hint="cs"/>
          <w:b w:val="0"/>
          <w:bCs w:val="0"/>
          <w:vertAlign w:val="superscript"/>
          <w:rtl/>
        </w:rPr>
        <w:t>)</w:t>
      </w:r>
      <w:r>
        <w:rPr>
          <w:rFonts w:hint="cs"/>
          <w:b w:val="0"/>
          <w:bCs w:val="0"/>
          <w:rtl/>
        </w:rPr>
        <w:t>كلي</w:t>
      </w:r>
      <w:r w:rsidR="00B37BB2">
        <w:rPr>
          <w:rFonts w:hint="cs"/>
          <w:b w:val="0"/>
          <w:bCs w:val="0"/>
          <w:rtl/>
        </w:rPr>
        <w:t>َّ</w:t>
      </w:r>
      <w:r w:rsidR="0028148F">
        <w:rPr>
          <w:rFonts w:hint="cs"/>
          <w:b w:val="0"/>
          <w:bCs w:val="0"/>
          <w:rtl/>
        </w:rPr>
        <w:t>ة ي</w:t>
      </w:r>
      <w:r w:rsidR="00547221">
        <w:rPr>
          <w:rFonts w:hint="cs"/>
          <w:b w:val="0"/>
          <w:bCs w:val="0"/>
          <w:rtl/>
        </w:rPr>
        <w:t>ُ</w:t>
      </w:r>
      <w:r w:rsidR="0028148F">
        <w:rPr>
          <w:rFonts w:hint="cs"/>
          <w:b w:val="0"/>
          <w:bCs w:val="0"/>
          <w:rtl/>
        </w:rPr>
        <w:t>تعر</w:t>
      </w:r>
      <w:r w:rsidR="00547221">
        <w:rPr>
          <w:rFonts w:hint="cs"/>
          <w:b w:val="0"/>
          <w:bCs w:val="0"/>
          <w:rtl/>
        </w:rPr>
        <w:t>َّ</w:t>
      </w:r>
      <w:r w:rsidR="0028148F">
        <w:rPr>
          <w:rFonts w:hint="cs"/>
          <w:b w:val="0"/>
          <w:bCs w:val="0"/>
          <w:rtl/>
        </w:rPr>
        <w:t>ف منها</w:t>
      </w:r>
      <w:r>
        <w:rPr>
          <w:rFonts w:hint="cs"/>
          <w:b w:val="0"/>
          <w:bCs w:val="0"/>
          <w:rtl/>
        </w:rPr>
        <w:t xml:space="preserve"> </w:t>
      </w:r>
      <w:r w:rsidR="0028148F">
        <w:rPr>
          <w:rFonts w:hint="cs"/>
          <w:b w:val="0"/>
          <w:bCs w:val="0"/>
          <w:rtl/>
        </w:rPr>
        <w:t xml:space="preserve">أحكام </w:t>
      </w:r>
      <w:r>
        <w:rPr>
          <w:rFonts w:hint="cs"/>
          <w:b w:val="0"/>
          <w:bCs w:val="0"/>
          <w:rtl/>
        </w:rPr>
        <w:t>جزئياتها</w:t>
      </w:r>
      <w:r w:rsidRPr="00E107E7">
        <w:rPr>
          <w:rFonts w:hint="cs"/>
          <w:b w:val="0"/>
          <w:bCs w:val="0"/>
          <w:vertAlign w:val="superscript"/>
          <w:rtl/>
        </w:rPr>
        <w:t>(</w:t>
      </w:r>
      <w:r w:rsidRPr="00E107E7">
        <w:rPr>
          <w:rStyle w:val="af1"/>
          <w:b w:val="0"/>
          <w:bCs w:val="0"/>
          <w:rtl/>
        </w:rPr>
        <w:footnoteReference w:id="95"/>
      </w:r>
      <w:r w:rsidRPr="00E107E7">
        <w:rPr>
          <w:rFonts w:hint="cs"/>
          <w:b w:val="0"/>
          <w:bCs w:val="0"/>
          <w:vertAlign w:val="superscript"/>
          <w:rtl/>
        </w:rPr>
        <w:t>)</w:t>
      </w:r>
      <w:r>
        <w:rPr>
          <w:rFonts w:hint="cs"/>
          <w:b w:val="0"/>
          <w:bCs w:val="0"/>
          <w:rtl/>
        </w:rPr>
        <w:t>.</w:t>
      </w:r>
    </w:p>
    <w:p w:rsidR="009E62A4" w:rsidRPr="00E03C89" w:rsidRDefault="009E62A4" w:rsidP="006D63F7">
      <w:pPr>
        <w:pStyle w:val="53"/>
        <w:numPr>
          <w:ilvl w:val="0"/>
          <w:numId w:val="340"/>
        </w:numPr>
        <w:rPr>
          <w:rFonts w:ascii="Traditional Arabic" w:hAnsi="Traditional Arabic"/>
          <w:b w:val="0"/>
          <w:rtl/>
        </w:rPr>
      </w:pPr>
      <w:r w:rsidRPr="00E03C89">
        <w:rPr>
          <w:rFonts w:ascii="Traditional Arabic" w:hAnsi="Traditional Arabic"/>
          <w:b w:val="0"/>
          <w:rtl/>
        </w:rPr>
        <w:t>تعريف الفقه</w:t>
      </w:r>
      <w:r w:rsidR="00AB0B9E" w:rsidRPr="00E03C89">
        <w:rPr>
          <w:rFonts w:ascii="Traditional Arabic" w:hAnsi="Traditional Arabic"/>
          <w:b w:val="0"/>
        </w:rPr>
        <w:fldChar w:fldCharType="begin"/>
      </w:r>
      <w:r w:rsidRPr="00E03C89">
        <w:rPr>
          <w:rFonts w:ascii="Traditional Arabic" w:hAnsi="Traditional Arabic"/>
          <w:b w:val="0"/>
        </w:rPr>
        <w:instrText>XE</w:instrText>
      </w:r>
      <w:r w:rsidRPr="00E03C89">
        <w:rPr>
          <w:rFonts w:ascii="Traditional Arabic" w:hAnsi="Traditional Arabic"/>
          <w:b w:val="0"/>
          <w:rtl/>
        </w:rPr>
        <w:instrText xml:space="preserve"> "الفقه" \</w:instrText>
      </w:r>
      <w:r w:rsidRPr="00E03C89">
        <w:rPr>
          <w:rFonts w:ascii="Traditional Arabic" w:hAnsi="Traditional Arabic"/>
          <w:b w:val="0"/>
        </w:rPr>
        <w:instrText>fm</w:instrText>
      </w:r>
      <w:r w:rsidR="00AB0B9E" w:rsidRPr="00E03C89">
        <w:rPr>
          <w:rFonts w:ascii="Traditional Arabic" w:hAnsi="Traditional Arabic"/>
          <w:b w:val="0"/>
        </w:rPr>
        <w:fldChar w:fldCharType="end"/>
      </w:r>
      <w:r w:rsidRPr="00E03C89">
        <w:rPr>
          <w:rFonts w:ascii="Traditional Arabic" w:hAnsi="Traditional Arabic"/>
          <w:b w:val="0"/>
          <w:rtl/>
        </w:rPr>
        <w:t xml:space="preserve"> </w:t>
      </w:r>
      <w:r w:rsidR="006D63F7">
        <w:rPr>
          <w:rFonts w:ascii="Traditional Arabic" w:hAnsi="Traditional Arabic" w:hint="cs"/>
          <w:b w:val="0"/>
          <w:rtl/>
        </w:rPr>
        <w:t>لغة واصطلاحا</w:t>
      </w:r>
      <w:r w:rsidRPr="00E03C89">
        <w:rPr>
          <w:rFonts w:ascii="Traditional Arabic" w:hAnsi="Traditional Arabic"/>
          <w:b w:val="0"/>
          <w:rtl/>
        </w:rPr>
        <w:t>:</w:t>
      </w:r>
    </w:p>
    <w:p w:rsidR="009E62A4" w:rsidRDefault="009E62A4" w:rsidP="006D63F7">
      <w:pPr>
        <w:pStyle w:val="53"/>
        <w:numPr>
          <w:ilvl w:val="0"/>
          <w:numId w:val="342"/>
        </w:numPr>
        <w:rPr>
          <w:rtl/>
        </w:rPr>
      </w:pPr>
      <w:r w:rsidRPr="00B35119">
        <w:rPr>
          <w:rtl/>
        </w:rPr>
        <w:t>الفقه لغة :</w:t>
      </w:r>
    </w:p>
    <w:p w:rsidR="009E62A4" w:rsidRPr="00284B31" w:rsidRDefault="009E62A4" w:rsidP="009E62A4">
      <w:pPr>
        <w:spacing w:line="680" w:lineRule="exact"/>
        <w:ind w:firstLine="0"/>
        <w:jc w:val="lowKashida"/>
        <w:rPr>
          <w:rFonts w:ascii="Traditional Arabic" w:hAnsi="Traditional Arabic"/>
          <w:b/>
          <w:bCs/>
          <w:color w:val="auto"/>
          <w:rtl/>
        </w:rPr>
      </w:pPr>
      <w:r>
        <w:rPr>
          <w:rFonts w:ascii="Traditional Arabic" w:hAnsi="Traditional Arabic" w:hint="cs"/>
          <w:rtl/>
        </w:rPr>
        <w:t xml:space="preserve">     </w:t>
      </w:r>
      <w:r w:rsidRPr="00115419">
        <w:rPr>
          <w:rFonts w:ascii="Traditional Arabic" w:hAnsi="Traditional Arabic"/>
          <w:rtl/>
        </w:rPr>
        <w:t xml:space="preserve"> الفهم</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96"/>
      </w:r>
      <w:r w:rsidRPr="00C821A1">
        <w:rPr>
          <w:rFonts w:ascii="Traditional Arabic" w:hAnsi="Traditional Arabic"/>
          <w:szCs w:val="32"/>
          <w:vertAlign w:val="superscript"/>
          <w:rtl/>
        </w:rPr>
        <w:t>)</w:t>
      </w:r>
      <w:r>
        <w:rPr>
          <w:rFonts w:ascii="Traditional Arabic" w:hAnsi="Traditional Arabic"/>
          <w:rtl/>
        </w:rPr>
        <w:t>. ومنه قوله تعالى</w:t>
      </w:r>
      <w:r w:rsidRPr="00115419">
        <w:rPr>
          <w:rFonts w:ascii="Traditional Arabic" w:hAnsi="Traditional Arabic"/>
          <w:rtl/>
        </w:rPr>
        <w:t xml:space="preserve">: </w:t>
      </w:r>
      <w:bookmarkStart w:id="23" w:name="سورة_النساء_78"/>
      <w:r w:rsidRPr="00284B31">
        <w:rPr>
          <w:rFonts w:ascii="QCF_BSML" w:hAnsi="QCF_BSML" w:cs="QCF_BSML"/>
          <w:rtl/>
          <w:lang w:eastAsia="en-US"/>
        </w:rPr>
        <w:t>ﭽ</w:t>
      </w:r>
      <w:r w:rsidRPr="00284B31">
        <w:rPr>
          <w:rFonts w:ascii="QCF_P090" w:hAnsi="QCF_P090" w:cs="QCF_P090"/>
          <w:rtl/>
          <w:lang w:eastAsia="en-US"/>
        </w:rPr>
        <w:t>ﯽ</w:t>
      </w:r>
      <w:r>
        <w:rPr>
          <w:rFonts w:ascii="QCF_P090" w:hAnsi="QCF_P090" w:cs="QCF_P090" w:hint="cs"/>
          <w:rtl/>
          <w:lang w:eastAsia="en-US"/>
        </w:rPr>
        <w:t xml:space="preserve"> </w:t>
      </w:r>
      <w:r w:rsidRPr="00284B31">
        <w:rPr>
          <w:rFonts w:ascii="QCF_P090" w:hAnsi="QCF_P090" w:cs="QCF_P090"/>
          <w:rtl/>
          <w:lang w:eastAsia="en-US"/>
        </w:rPr>
        <w:t>ﯾ</w:t>
      </w:r>
      <w:r>
        <w:rPr>
          <w:rFonts w:ascii="QCF_P090" w:hAnsi="QCF_P090" w:cs="QCF_P090" w:hint="cs"/>
          <w:rtl/>
          <w:lang w:eastAsia="en-US"/>
        </w:rPr>
        <w:t xml:space="preserve"> </w:t>
      </w:r>
      <w:r w:rsidRPr="00284B31">
        <w:rPr>
          <w:rFonts w:ascii="QCF_P090" w:hAnsi="QCF_P090" w:cs="QCF_P090"/>
          <w:rtl/>
          <w:lang w:eastAsia="en-US"/>
        </w:rPr>
        <w:t>ﯿ</w:t>
      </w:r>
      <w:r>
        <w:rPr>
          <w:rFonts w:ascii="QCF_P090" w:hAnsi="QCF_P090" w:cs="QCF_P090" w:hint="cs"/>
          <w:rtl/>
          <w:lang w:eastAsia="en-US"/>
        </w:rPr>
        <w:t xml:space="preserve"> </w:t>
      </w:r>
      <w:r w:rsidRPr="00284B31">
        <w:rPr>
          <w:rFonts w:ascii="QCF_P090" w:hAnsi="QCF_P090" w:cs="QCF_P090"/>
          <w:rtl/>
          <w:lang w:eastAsia="en-US"/>
        </w:rPr>
        <w:t>ﰀ</w:t>
      </w:r>
      <w:r>
        <w:rPr>
          <w:rFonts w:ascii="QCF_P090" w:hAnsi="QCF_P090" w:cs="QCF_P090" w:hint="cs"/>
          <w:rtl/>
          <w:lang w:eastAsia="en-US"/>
        </w:rPr>
        <w:t xml:space="preserve"> </w:t>
      </w:r>
      <w:r w:rsidRPr="00284B31">
        <w:rPr>
          <w:rFonts w:ascii="QCF_P090" w:hAnsi="QCF_P090" w:cs="QCF_P090"/>
          <w:rtl/>
          <w:lang w:eastAsia="en-US"/>
        </w:rPr>
        <w:t>ﰁ</w:t>
      </w:r>
      <w:r>
        <w:rPr>
          <w:rFonts w:ascii="QCF_P090" w:hAnsi="QCF_P090" w:cs="QCF_P090" w:hint="cs"/>
          <w:rtl/>
          <w:lang w:eastAsia="en-US"/>
        </w:rPr>
        <w:t xml:space="preserve"> </w:t>
      </w:r>
      <w:r w:rsidRPr="00284B31">
        <w:rPr>
          <w:rFonts w:ascii="QCF_P090" w:hAnsi="QCF_P090" w:cs="QCF_P090"/>
          <w:rtl/>
          <w:lang w:eastAsia="en-US"/>
        </w:rPr>
        <w:t>ﰂ</w:t>
      </w:r>
      <w:r>
        <w:rPr>
          <w:rFonts w:ascii="QCF_P090" w:hAnsi="QCF_P090" w:cs="QCF_P090" w:hint="cs"/>
          <w:rtl/>
          <w:lang w:eastAsia="en-US"/>
        </w:rPr>
        <w:t xml:space="preserve"> </w:t>
      </w:r>
      <w:r w:rsidRPr="00284B31">
        <w:rPr>
          <w:rFonts w:ascii="QCF_P090" w:hAnsi="QCF_P090" w:cs="QCF_P090"/>
          <w:rtl/>
          <w:lang w:eastAsia="en-US"/>
        </w:rPr>
        <w:t>ﰃ</w:t>
      </w:r>
      <w:r>
        <w:rPr>
          <w:rFonts w:ascii="QCF_P090" w:hAnsi="QCF_P090" w:cs="QCF_P090" w:hint="cs"/>
          <w:rtl/>
          <w:lang w:eastAsia="en-US"/>
        </w:rPr>
        <w:t xml:space="preserve"> </w:t>
      </w:r>
      <w:r w:rsidRPr="00284B31">
        <w:rPr>
          <w:rFonts w:ascii="QCF_P090" w:hAnsi="QCF_P090" w:cs="QCF_P090"/>
          <w:rtl/>
          <w:lang w:eastAsia="en-US"/>
        </w:rPr>
        <w:t xml:space="preserve"> </w:t>
      </w:r>
      <w:r>
        <w:rPr>
          <w:rFonts w:ascii="QCF_P090" w:hAnsi="QCF_P090" w:cs="QCF_P090" w:hint="cs"/>
          <w:rtl/>
          <w:lang w:eastAsia="en-US"/>
        </w:rPr>
        <w:t xml:space="preserve"> </w:t>
      </w:r>
      <w:r w:rsidRPr="00284B31">
        <w:rPr>
          <w:rFonts w:ascii="QCF_BSML" w:hAnsi="QCF_BSML" w:cs="QCF_BSML"/>
          <w:rtl/>
          <w:lang w:eastAsia="en-US"/>
        </w:rPr>
        <w:t>ﭼ</w:t>
      </w:r>
      <w:bookmarkEnd w:id="23"/>
      <w:r>
        <w:rPr>
          <w:rFonts w:ascii="Traditional Arabic" w:hAnsi="Traditional Arabic" w:hint="cs"/>
          <w:color w:val="auto"/>
          <w:rtl/>
          <w:lang w:eastAsia="en-US"/>
        </w:rPr>
        <w:t>[</w:t>
      </w:r>
      <w:r w:rsidRPr="00284B31">
        <w:rPr>
          <w:rFonts w:ascii="Traditional Arabic" w:hAnsi="Traditional Arabic"/>
          <w:color w:val="auto"/>
          <w:rtl/>
          <w:lang w:eastAsia="en-US"/>
        </w:rPr>
        <w:t>النساء: ٧٨</w:t>
      </w:r>
      <w:r>
        <w:rPr>
          <w:rFonts w:ascii="Traditional Arabic" w:hAnsi="Traditional Arabic" w:hint="cs"/>
          <w:color w:val="auto"/>
          <w:rtl/>
          <w:lang w:eastAsia="en-US"/>
        </w:rPr>
        <w:t>]</w:t>
      </w:r>
      <w:r>
        <w:rPr>
          <w:rFonts w:ascii="Traditional Arabic" w:hAnsi="Traditional Arabic"/>
          <w:rtl/>
        </w:rPr>
        <w:t>، وقوله تعالى</w:t>
      </w:r>
      <w:r w:rsidRPr="00115419">
        <w:rPr>
          <w:rFonts w:ascii="Traditional Arabic" w:hAnsi="Traditional Arabic"/>
          <w:rtl/>
        </w:rPr>
        <w:t xml:space="preserve">: </w:t>
      </w:r>
      <w:bookmarkStart w:id="24" w:name="سورة_هود_91"/>
      <w:r w:rsidRPr="00284B31">
        <w:rPr>
          <w:rFonts w:ascii="QCF_BSML" w:hAnsi="QCF_BSML" w:cs="QCF_BSML"/>
          <w:rtl/>
          <w:lang w:eastAsia="en-US"/>
        </w:rPr>
        <w:t>ﭽ</w:t>
      </w:r>
      <w:r w:rsidRPr="00284B31">
        <w:rPr>
          <w:rFonts w:ascii="QCF_P232" w:hAnsi="QCF_P232" w:cs="QCF_P232"/>
          <w:rtl/>
          <w:lang w:eastAsia="en-US"/>
        </w:rPr>
        <w:t>ﭴ</w:t>
      </w:r>
      <w:r>
        <w:rPr>
          <w:rFonts w:ascii="QCF_P232" w:hAnsi="QCF_P232" w:cs="QCF_P232" w:hint="cs"/>
          <w:rtl/>
          <w:lang w:eastAsia="en-US"/>
        </w:rPr>
        <w:t xml:space="preserve"> </w:t>
      </w:r>
      <w:r w:rsidRPr="00284B31">
        <w:rPr>
          <w:rFonts w:ascii="QCF_P232" w:hAnsi="QCF_P232" w:cs="QCF_P232"/>
          <w:rtl/>
          <w:lang w:eastAsia="en-US"/>
        </w:rPr>
        <w:t>ﭵ</w:t>
      </w:r>
      <w:r>
        <w:rPr>
          <w:rFonts w:ascii="QCF_P232" w:hAnsi="QCF_P232" w:cs="QCF_P232" w:hint="cs"/>
          <w:rtl/>
          <w:lang w:eastAsia="en-US"/>
        </w:rPr>
        <w:t xml:space="preserve"> </w:t>
      </w:r>
      <w:r w:rsidRPr="00284B31">
        <w:rPr>
          <w:rFonts w:ascii="QCF_P232" w:hAnsi="QCF_P232" w:cs="QCF_P232"/>
          <w:rtl/>
          <w:lang w:eastAsia="en-US"/>
        </w:rPr>
        <w:t>ﭶ</w:t>
      </w:r>
      <w:r>
        <w:rPr>
          <w:rFonts w:ascii="QCF_P232" w:hAnsi="QCF_P232" w:cs="QCF_P232" w:hint="cs"/>
          <w:rtl/>
          <w:lang w:eastAsia="en-US"/>
        </w:rPr>
        <w:t xml:space="preserve"> </w:t>
      </w:r>
      <w:r w:rsidRPr="00284B31">
        <w:rPr>
          <w:rFonts w:ascii="QCF_P232" w:hAnsi="QCF_P232" w:cs="QCF_P232"/>
          <w:rtl/>
          <w:lang w:eastAsia="en-US"/>
        </w:rPr>
        <w:t>ﭷ</w:t>
      </w:r>
      <w:r>
        <w:rPr>
          <w:rFonts w:ascii="QCF_P232" w:hAnsi="QCF_P232" w:cs="QCF_P232" w:hint="cs"/>
          <w:rtl/>
          <w:lang w:eastAsia="en-US"/>
        </w:rPr>
        <w:t xml:space="preserve"> </w:t>
      </w:r>
      <w:r w:rsidRPr="00284B31">
        <w:rPr>
          <w:rFonts w:ascii="QCF_P232" w:hAnsi="QCF_P232" w:cs="QCF_P232"/>
          <w:rtl/>
          <w:lang w:eastAsia="en-US"/>
        </w:rPr>
        <w:t>ﭸ</w:t>
      </w:r>
      <w:r>
        <w:rPr>
          <w:rFonts w:ascii="QCF_P232" w:hAnsi="QCF_P232" w:cs="QCF_P232" w:hint="cs"/>
          <w:rtl/>
          <w:lang w:eastAsia="en-US"/>
        </w:rPr>
        <w:t xml:space="preserve"> </w:t>
      </w:r>
      <w:r w:rsidRPr="00284B31">
        <w:rPr>
          <w:rFonts w:ascii="QCF_P232" w:hAnsi="QCF_P232" w:cs="QCF_P232"/>
          <w:rtl/>
          <w:lang w:eastAsia="en-US"/>
        </w:rPr>
        <w:t>ﭹ</w:t>
      </w:r>
      <w:r>
        <w:rPr>
          <w:rFonts w:ascii="QCF_P232" w:hAnsi="QCF_P232" w:cs="QCF_P232" w:hint="cs"/>
          <w:rtl/>
          <w:lang w:eastAsia="en-US"/>
        </w:rPr>
        <w:t xml:space="preserve"> </w:t>
      </w:r>
      <w:r w:rsidRPr="00284B31">
        <w:rPr>
          <w:rFonts w:ascii="QCF_P232" w:hAnsi="QCF_P232" w:cs="QCF_P232"/>
          <w:rtl/>
          <w:lang w:eastAsia="en-US"/>
        </w:rPr>
        <w:t>ﭺ</w:t>
      </w:r>
      <w:r w:rsidRPr="00284B31">
        <w:rPr>
          <w:rFonts w:ascii="QCF_BSML" w:hAnsi="QCF_BSML" w:cs="QCF_BSML"/>
          <w:rtl/>
          <w:lang w:eastAsia="en-US"/>
        </w:rPr>
        <w:t>ﭼ</w:t>
      </w:r>
      <w:bookmarkEnd w:id="24"/>
      <w:r w:rsidRPr="00284B31">
        <w:rPr>
          <w:rFonts w:ascii="Traditional Arabic" w:hAnsi="Traditional Arabic"/>
          <w:rtl/>
          <w:lang w:eastAsia="en-US"/>
        </w:rPr>
        <w:t>[</w:t>
      </w:r>
      <w:r w:rsidRPr="00284B31">
        <w:rPr>
          <w:rFonts w:ascii="Traditional Arabic" w:hAnsi="Traditional Arabic"/>
          <w:color w:val="auto"/>
          <w:rtl/>
          <w:lang w:eastAsia="en-US"/>
        </w:rPr>
        <w:t>هود: ٩١</w:t>
      </w:r>
      <w:r>
        <w:rPr>
          <w:rFonts w:ascii="Traditional Arabic" w:hAnsi="Traditional Arabic" w:hint="cs"/>
          <w:color w:val="auto"/>
          <w:rtl/>
        </w:rPr>
        <w:t>]</w:t>
      </w:r>
      <w:r w:rsidRPr="00284B31">
        <w:rPr>
          <w:rFonts w:ascii="Traditional Arabic" w:hAnsi="Traditional Arabic"/>
          <w:color w:val="auto"/>
          <w:rtl/>
        </w:rPr>
        <w:t>.</w:t>
      </w:r>
    </w:p>
    <w:p w:rsidR="009E62A4" w:rsidRDefault="009E62A4" w:rsidP="006D63F7">
      <w:pPr>
        <w:pStyle w:val="53"/>
        <w:numPr>
          <w:ilvl w:val="0"/>
          <w:numId w:val="342"/>
        </w:numPr>
        <w:rPr>
          <w:rtl/>
        </w:rPr>
      </w:pPr>
      <w:r w:rsidRPr="00B35119">
        <w:rPr>
          <w:rtl/>
        </w:rPr>
        <w:t xml:space="preserve">الفقه اصطلاحاً </w:t>
      </w:r>
      <w:r w:rsidRPr="00B35119">
        <w:rPr>
          <w:rFonts w:hint="cs"/>
          <w:rtl/>
        </w:rPr>
        <w:t>:</w:t>
      </w:r>
    </w:p>
    <w:p w:rsidR="009E62A4" w:rsidRPr="00115419" w:rsidRDefault="009E62A4" w:rsidP="009E62A4">
      <w:pPr>
        <w:spacing w:line="660" w:lineRule="exact"/>
        <w:jc w:val="lowKashida"/>
        <w:rPr>
          <w:rFonts w:ascii="Traditional Arabic" w:hAnsi="Traditional Arabic"/>
          <w:b/>
          <w:bCs/>
          <w:rtl/>
        </w:rPr>
      </w:pPr>
      <w:r w:rsidRPr="00115419">
        <w:rPr>
          <w:rFonts w:ascii="Traditional Arabic" w:hAnsi="Traditional Arabic"/>
          <w:rtl/>
        </w:rPr>
        <w:t>هو العلم بالأحكام الشرعية العملية المكتسب</w:t>
      </w:r>
      <w:r>
        <w:rPr>
          <w:rFonts w:ascii="Traditional Arabic" w:hAnsi="Traditional Arabic" w:hint="cs"/>
          <w:rtl/>
        </w:rPr>
        <w:t>ُ</w:t>
      </w:r>
      <w:r w:rsidRPr="00115419">
        <w:rPr>
          <w:rFonts w:ascii="Traditional Arabic" w:hAnsi="Traditional Arabic"/>
          <w:rtl/>
        </w:rPr>
        <w:t xml:space="preserve"> من أدلتها التفصيلية</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97"/>
      </w:r>
      <w:r w:rsidRPr="00C821A1">
        <w:rPr>
          <w:rFonts w:ascii="Traditional Arabic" w:hAnsi="Traditional Arabic"/>
          <w:szCs w:val="32"/>
          <w:vertAlign w:val="superscript"/>
          <w:rtl/>
        </w:rPr>
        <w:t>)</w:t>
      </w:r>
      <w:r>
        <w:rPr>
          <w:rFonts w:ascii="Traditional Arabic" w:hAnsi="Traditional Arabic"/>
          <w:rtl/>
        </w:rPr>
        <w:t>.</w:t>
      </w:r>
    </w:p>
    <w:p w:rsidR="009E62A4" w:rsidRPr="006D63F7" w:rsidRDefault="009E62A4" w:rsidP="006D63F7">
      <w:pPr>
        <w:pStyle w:val="afc"/>
        <w:numPr>
          <w:ilvl w:val="0"/>
          <w:numId w:val="340"/>
        </w:numPr>
        <w:spacing w:line="580" w:lineRule="exact"/>
        <w:jc w:val="lowKashida"/>
        <w:rPr>
          <w:rFonts w:ascii="Traditional Arabic" w:hAnsi="Traditional Arabic"/>
          <w:b/>
          <w:bCs/>
          <w:rtl/>
        </w:rPr>
      </w:pPr>
      <w:r w:rsidRPr="006D63F7">
        <w:rPr>
          <w:rFonts w:ascii="Traditional Arabic" w:hAnsi="Traditional Arabic" w:hint="cs"/>
          <w:b/>
          <w:bCs/>
          <w:rtl/>
        </w:rPr>
        <w:t>تعريف القاعدة الفقهية باعتبارها لقباً على فن معيَّن:</w:t>
      </w:r>
    </w:p>
    <w:p w:rsidR="00547221" w:rsidRDefault="00547221" w:rsidP="009E62A4">
      <w:pPr>
        <w:spacing w:line="580" w:lineRule="exact"/>
        <w:ind w:firstLine="0"/>
        <w:jc w:val="lowKashida"/>
        <w:rPr>
          <w:rFonts w:ascii="Traditional Arabic" w:hAnsi="Traditional Arabic"/>
          <w:rtl/>
        </w:rPr>
      </w:pPr>
      <w:r>
        <w:rPr>
          <w:rFonts w:ascii="Traditional Arabic" w:hAnsi="Traditional Arabic" w:hint="cs"/>
          <w:b/>
          <w:bCs/>
          <w:rtl/>
        </w:rPr>
        <w:t xml:space="preserve">     </w:t>
      </w:r>
      <w:r>
        <w:rPr>
          <w:rFonts w:ascii="Traditional Arabic" w:hAnsi="Traditional Arabic" w:hint="cs"/>
          <w:rtl/>
        </w:rPr>
        <w:t xml:space="preserve">بعد تعريف كل جزء من جزأي المركب الوصفي "القاعدة الفقهية" والكشف عن معناهما، يسهل تصور القاعدة منسوبة إلى الفقه، ومن ثم إدراك حقيقة القاعدة الفقهية بعد أن صارت </w:t>
      </w:r>
      <w:r>
        <w:rPr>
          <w:rFonts w:ascii="Traditional Arabic" w:hAnsi="Traditional Arabic" w:hint="cs"/>
          <w:rtl/>
        </w:rPr>
        <w:lastRenderedPageBreak/>
        <w:t>علما محدد المعالم، مبيَّن المباحث والمقاصد</w:t>
      </w:r>
      <w:r w:rsidRPr="00547221">
        <w:rPr>
          <w:rFonts w:ascii="Traditional Arabic" w:hAnsi="Traditional Arabic" w:hint="cs"/>
          <w:vertAlign w:val="superscript"/>
          <w:rtl/>
        </w:rPr>
        <w:t>(</w:t>
      </w:r>
      <w:r w:rsidRPr="00547221">
        <w:rPr>
          <w:rStyle w:val="af1"/>
          <w:rFonts w:ascii="Traditional Arabic" w:hAnsi="Traditional Arabic"/>
          <w:rtl/>
        </w:rPr>
        <w:footnoteReference w:id="98"/>
      </w:r>
      <w:r w:rsidRPr="00547221">
        <w:rPr>
          <w:rFonts w:ascii="Traditional Arabic" w:hAnsi="Traditional Arabic" w:hint="cs"/>
          <w:vertAlign w:val="superscript"/>
          <w:rtl/>
        </w:rPr>
        <w:t>)</w:t>
      </w:r>
      <w:r>
        <w:rPr>
          <w:rFonts w:ascii="Traditional Arabic" w:hAnsi="Traditional Arabic" w:hint="cs"/>
          <w:rtl/>
        </w:rPr>
        <w:t>.</w:t>
      </w:r>
    </w:p>
    <w:p w:rsidR="00B2290D" w:rsidRDefault="00B2290D" w:rsidP="00B2290D">
      <w:pPr>
        <w:pStyle w:val="af5"/>
        <w:ind w:firstLine="368"/>
        <w:jc w:val="lowKashida"/>
        <w:rPr>
          <w:rStyle w:val="aff5"/>
          <w:i w:val="0"/>
          <w:iCs w:val="0"/>
          <w:rtl/>
        </w:rPr>
      </w:pPr>
      <w:r>
        <w:rPr>
          <w:rStyle w:val="aff5"/>
          <w:rFonts w:hint="cs"/>
          <w:i w:val="0"/>
          <w:iCs w:val="0"/>
          <w:rtl/>
        </w:rPr>
        <w:t>ومما يُ</w:t>
      </w:r>
      <w:r w:rsidR="00521697">
        <w:rPr>
          <w:rStyle w:val="aff5"/>
          <w:rFonts w:hint="cs"/>
          <w:i w:val="0"/>
          <w:iCs w:val="0"/>
          <w:rtl/>
        </w:rPr>
        <w:t>نبَّه</w:t>
      </w:r>
      <w:r w:rsidR="00521697">
        <w:rPr>
          <w:rStyle w:val="aff5"/>
          <w:i w:val="0"/>
          <w:iCs w:val="0"/>
          <w:rtl/>
        </w:rPr>
        <w:t xml:space="preserve"> </w:t>
      </w:r>
      <w:r w:rsidR="00521697">
        <w:rPr>
          <w:rStyle w:val="aff5"/>
          <w:rFonts w:hint="cs"/>
          <w:i w:val="0"/>
          <w:iCs w:val="0"/>
          <w:rtl/>
        </w:rPr>
        <w:t xml:space="preserve">عليه </w:t>
      </w:r>
      <w:r w:rsidR="00A43675">
        <w:rPr>
          <w:rStyle w:val="aff5"/>
          <w:i w:val="0"/>
          <w:iCs w:val="0"/>
          <w:rtl/>
        </w:rPr>
        <w:t>أن</w:t>
      </w:r>
      <w:r w:rsidRPr="009D4C39">
        <w:rPr>
          <w:rStyle w:val="aff5"/>
          <w:i w:val="0"/>
          <w:iCs w:val="0"/>
          <w:rtl/>
        </w:rPr>
        <w:t xml:space="preserve"> </w:t>
      </w:r>
      <w:r w:rsidR="00A43675">
        <w:rPr>
          <w:rStyle w:val="aff5"/>
          <w:rFonts w:hint="cs"/>
          <w:i w:val="0"/>
          <w:iCs w:val="0"/>
          <w:rtl/>
        </w:rPr>
        <w:t xml:space="preserve">أكثر </w:t>
      </w:r>
      <w:r w:rsidRPr="009D4C39">
        <w:rPr>
          <w:rStyle w:val="aff5"/>
          <w:i w:val="0"/>
          <w:iCs w:val="0"/>
          <w:rtl/>
        </w:rPr>
        <w:t>العلماء المتقدمين إذا عرَّفوا القاعدة الفقهية لا يميزون في تعريف</w:t>
      </w:r>
      <w:r>
        <w:rPr>
          <w:rStyle w:val="aff5"/>
          <w:i w:val="0"/>
          <w:iCs w:val="0"/>
          <w:rtl/>
        </w:rPr>
        <w:t>ها بين تعريف القاعدة</w:t>
      </w:r>
      <w:r>
        <w:rPr>
          <w:rStyle w:val="aff5"/>
          <w:rFonts w:hint="cs"/>
          <w:i w:val="0"/>
          <w:iCs w:val="0"/>
          <w:rtl/>
        </w:rPr>
        <w:t xml:space="preserve"> بالاصطلاح العام</w:t>
      </w:r>
      <w:r w:rsidRPr="009D4C39">
        <w:rPr>
          <w:rStyle w:val="aff5"/>
          <w:i w:val="0"/>
          <w:iCs w:val="0"/>
          <w:rtl/>
        </w:rPr>
        <w:t xml:space="preserve"> وتعريف القاعدة الفقهية</w:t>
      </w:r>
      <w:r w:rsidRPr="009D4C39">
        <w:rPr>
          <w:rStyle w:val="aff5"/>
          <w:i w:val="0"/>
          <w:iCs w:val="0"/>
          <w:vertAlign w:val="superscript"/>
          <w:rtl/>
        </w:rPr>
        <w:t>(</w:t>
      </w:r>
      <w:r w:rsidRPr="009D4C39">
        <w:rPr>
          <w:rStyle w:val="aff5"/>
          <w:i w:val="0"/>
          <w:iCs w:val="0"/>
          <w:vertAlign w:val="superscript"/>
          <w:rtl/>
        </w:rPr>
        <w:footnoteReference w:id="99"/>
      </w:r>
      <w:r w:rsidRPr="009D4C39">
        <w:rPr>
          <w:rStyle w:val="aff5"/>
          <w:i w:val="0"/>
          <w:iCs w:val="0"/>
          <w:vertAlign w:val="superscript"/>
          <w:rtl/>
        </w:rPr>
        <w:t>)</w:t>
      </w:r>
      <w:r w:rsidRPr="009D4C39">
        <w:rPr>
          <w:rStyle w:val="aff5"/>
          <w:rFonts w:hint="cs"/>
          <w:i w:val="0"/>
          <w:iCs w:val="0"/>
          <w:rtl/>
        </w:rPr>
        <w:t>.</w:t>
      </w:r>
    </w:p>
    <w:p w:rsidR="00521697" w:rsidRDefault="00521697" w:rsidP="00521697">
      <w:pPr>
        <w:ind w:firstLine="0"/>
        <w:rPr>
          <w:rtl/>
        </w:rPr>
      </w:pPr>
      <w:r>
        <w:rPr>
          <w:rFonts w:hint="cs"/>
          <w:rtl/>
        </w:rPr>
        <w:t xml:space="preserve">    </w:t>
      </w:r>
      <w:r w:rsidR="002A17CF">
        <w:rPr>
          <w:rFonts w:hint="cs"/>
          <w:rtl/>
        </w:rPr>
        <w:t>وبالتأمل في</w:t>
      </w:r>
      <w:r>
        <w:rPr>
          <w:rFonts w:hint="cs"/>
          <w:rtl/>
        </w:rPr>
        <w:t xml:space="preserve"> </w:t>
      </w:r>
      <w:r w:rsidR="002A17CF">
        <w:rPr>
          <w:rFonts w:hint="cs"/>
          <w:rtl/>
        </w:rPr>
        <w:t>تعريفات العلماء ل</w:t>
      </w:r>
      <w:r>
        <w:rPr>
          <w:rFonts w:hint="cs"/>
          <w:rtl/>
        </w:rPr>
        <w:t xml:space="preserve">لقاعدة الفقهية </w:t>
      </w:r>
      <w:r w:rsidR="002A17CF">
        <w:rPr>
          <w:rFonts w:hint="cs"/>
          <w:rtl/>
        </w:rPr>
        <w:t>يظهر أنها ترجع في الجملة إلى تصو</w:t>
      </w:r>
      <w:r w:rsidR="00BC5A69">
        <w:rPr>
          <w:rFonts w:hint="cs"/>
          <w:rtl/>
        </w:rPr>
        <w:t>ُّ</w:t>
      </w:r>
      <w:r w:rsidR="002A17CF">
        <w:rPr>
          <w:rFonts w:hint="cs"/>
          <w:rtl/>
        </w:rPr>
        <w:t>رين رئيسين</w:t>
      </w:r>
      <w:r w:rsidR="00CB78B1" w:rsidRPr="00CB78B1">
        <w:rPr>
          <w:rFonts w:hint="cs"/>
          <w:vertAlign w:val="superscript"/>
          <w:rtl/>
        </w:rPr>
        <w:t>(</w:t>
      </w:r>
      <w:r w:rsidR="00CB78B1" w:rsidRPr="00CB78B1">
        <w:rPr>
          <w:rStyle w:val="af1"/>
          <w:rtl/>
        </w:rPr>
        <w:footnoteReference w:id="100"/>
      </w:r>
      <w:r w:rsidR="00CB78B1" w:rsidRPr="00CB78B1">
        <w:rPr>
          <w:rFonts w:hint="cs"/>
          <w:vertAlign w:val="superscript"/>
          <w:rtl/>
        </w:rPr>
        <w:t>)</w:t>
      </w:r>
      <w:r>
        <w:rPr>
          <w:rFonts w:hint="cs"/>
          <w:rtl/>
        </w:rPr>
        <w:t>:</w:t>
      </w:r>
    </w:p>
    <w:p w:rsidR="00A43675" w:rsidRDefault="002A17CF" w:rsidP="00521697">
      <w:pPr>
        <w:ind w:firstLine="0"/>
        <w:rPr>
          <w:rtl/>
        </w:rPr>
      </w:pPr>
      <w:r>
        <w:rPr>
          <w:rFonts w:hint="cs"/>
          <w:rtl/>
        </w:rPr>
        <w:t xml:space="preserve">    </w:t>
      </w:r>
      <w:r w:rsidRPr="002A17CF">
        <w:rPr>
          <w:rFonts w:hint="cs"/>
          <w:b/>
          <w:bCs/>
          <w:rtl/>
        </w:rPr>
        <w:t>التصور</w:t>
      </w:r>
      <w:r>
        <w:rPr>
          <w:rFonts w:hint="cs"/>
          <w:rtl/>
        </w:rPr>
        <w:t xml:space="preserve"> </w:t>
      </w:r>
      <w:r w:rsidR="00521697" w:rsidRPr="002A17CF">
        <w:rPr>
          <w:rFonts w:hint="cs"/>
          <w:b/>
          <w:bCs/>
          <w:rtl/>
        </w:rPr>
        <w:t>الأول</w:t>
      </w:r>
      <w:r>
        <w:rPr>
          <w:rFonts w:hint="cs"/>
          <w:rtl/>
        </w:rPr>
        <w:t>: كون</w:t>
      </w:r>
      <w:r w:rsidR="00521697">
        <w:rPr>
          <w:rFonts w:hint="cs"/>
          <w:rtl/>
        </w:rPr>
        <w:t xml:space="preserve"> القاعدة الفقهية </w:t>
      </w:r>
      <w:r>
        <w:rPr>
          <w:rFonts w:hint="cs"/>
          <w:rtl/>
        </w:rPr>
        <w:t>شيئا كليًّا، بمعنى أنه يدخل فيه كل الج</w:t>
      </w:r>
      <w:r w:rsidR="005E7506">
        <w:rPr>
          <w:rFonts w:hint="cs"/>
          <w:rtl/>
        </w:rPr>
        <w:t>زئيات التي تنطبق عليها،</w:t>
      </w:r>
      <w:r w:rsidR="00A43675">
        <w:rPr>
          <w:rFonts w:hint="cs"/>
          <w:rtl/>
        </w:rPr>
        <w:t xml:space="preserve"> </w:t>
      </w:r>
      <w:r w:rsidR="005E7506">
        <w:rPr>
          <w:rFonts w:hint="cs"/>
          <w:rtl/>
        </w:rPr>
        <w:t>وأصحاب هذا التصور أخذوا به انطلاقا من</w:t>
      </w:r>
      <w:r w:rsidR="00A43675">
        <w:rPr>
          <w:rFonts w:hint="cs"/>
          <w:rtl/>
        </w:rPr>
        <w:t xml:space="preserve"> تعريف القاعدة بمعناها الاصطلاحي العام</w:t>
      </w:r>
      <w:r w:rsidR="00CB78B1" w:rsidRPr="00CB78B1">
        <w:rPr>
          <w:rFonts w:hint="cs"/>
          <w:vertAlign w:val="superscript"/>
          <w:rtl/>
        </w:rPr>
        <w:t>(</w:t>
      </w:r>
      <w:r w:rsidR="00A43675" w:rsidRPr="00CB78B1">
        <w:rPr>
          <w:rStyle w:val="af1"/>
          <w:rtl/>
        </w:rPr>
        <w:footnoteReference w:id="101"/>
      </w:r>
      <w:r w:rsidR="00CB78B1" w:rsidRPr="00CB78B1">
        <w:rPr>
          <w:rFonts w:hint="cs"/>
          <w:vertAlign w:val="superscript"/>
          <w:rtl/>
        </w:rPr>
        <w:t>)</w:t>
      </w:r>
      <w:r w:rsidR="00A43675">
        <w:rPr>
          <w:rFonts w:hint="cs"/>
          <w:rtl/>
        </w:rPr>
        <w:t>.</w:t>
      </w:r>
    </w:p>
    <w:p w:rsidR="00CB78B1" w:rsidRDefault="00CB78B1" w:rsidP="00521697">
      <w:pPr>
        <w:ind w:firstLine="0"/>
        <w:rPr>
          <w:rtl/>
        </w:rPr>
      </w:pPr>
      <w:r>
        <w:rPr>
          <w:rFonts w:hint="cs"/>
          <w:rtl/>
        </w:rPr>
        <w:t xml:space="preserve">      ومما عرفها به أصحاب هذا المسلك: (الأمر الكلي الذي ينطبق عليه جزئيات كثيرة ي</w:t>
      </w:r>
      <w:r w:rsidR="008C262C">
        <w:rPr>
          <w:rFonts w:hint="cs"/>
          <w:rtl/>
        </w:rPr>
        <w:t>ُ</w:t>
      </w:r>
      <w:r>
        <w:rPr>
          <w:rFonts w:hint="cs"/>
          <w:rtl/>
        </w:rPr>
        <w:t>فهم أحكامها منه)</w:t>
      </w:r>
      <w:r w:rsidRPr="00CB78B1">
        <w:rPr>
          <w:rFonts w:hint="cs"/>
          <w:vertAlign w:val="superscript"/>
          <w:rtl/>
        </w:rPr>
        <w:t>(</w:t>
      </w:r>
      <w:r w:rsidRPr="00CB78B1">
        <w:rPr>
          <w:rStyle w:val="af1"/>
          <w:rtl/>
        </w:rPr>
        <w:footnoteReference w:id="102"/>
      </w:r>
      <w:r w:rsidRPr="00CB78B1">
        <w:rPr>
          <w:rFonts w:hint="cs"/>
          <w:vertAlign w:val="superscript"/>
          <w:rtl/>
        </w:rPr>
        <w:t>)</w:t>
      </w:r>
      <w:r>
        <w:rPr>
          <w:rFonts w:hint="cs"/>
          <w:rtl/>
        </w:rPr>
        <w:t>.</w:t>
      </w:r>
    </w:p>
    <w:p w:rsidR="00521697" w:rsidRDefault="00A43675" w:rsidP="00521697">
      <w:pPr>
        <w:ind w:firstLine="0"/>
        <w:rPr>
          <w:rtl/>
        </w:rPr>
      </w:pPr>
      <w:r>
        <w:rPr>
          <w:rFonts w:hint="cs"/>
          <w:rtl/>
        </w:rPr>
        <w:t xml:space="preserve">     </w:t>
      </w:r>
      <w:r w:rsidR="005E7506">
        <w:rPr>
          <w:rFonts w:hint="cs"/>
          <w:b/>
          <w:bCs/>
          <w:rtl/>
        </w:rPr>
        <w:t>التصور</w:t>
      </w:r>
      <w:r w:rsidRPr="002A17CF">
        <w:rPr>
          <w:rFonts w:hint="cs"/>
          <w:b/>
          <w:bCs/>
          <w:rtl/>
        </w:rPr>
        <w:t xml:space="preserve"> الثاني</w:t>
      </w:r>
      <w:r w:rsidR="005E7506">
        <w:rPr>
          <w:rFonts w:hint="cs"/>
          <w:rtl/>
        </w:rPr>
        <w:t>: كون</w:t>
      </w:r>
      <w:r>
        <w:rPr>
          <w:rFonts w:hint="cs"/>
          <w:rtl/>
        </w:rPr>
        <w:t xml:space="preserve"> ا</w:t>
      </w:r>
      <w:r w:rsidR="005E7506">
        <w:rPr>
          <w:rFonts w:hint="cs"/>
          <w:rtl/>
        </w:rPr>
        <w:t xml:space="preserve">لقاعدة الفقهية </w:t>
      </w:r>
      <w:r w:rsidR="006D63F7">
        <w:rPr>
          <w:rFonts w:hint="cs"/>
          <w:rtl/>
        </w:rPr>
        <w:t>شيئاً أغلبيّاً</w:t>
      </w:r>
      <w:r w:rsidR="005E7506">
        <w:rPr>
          <w:rFonts w:hint="cs"/>
          <w:rtl/>
        </w:rPr>
        <w:t>،</w:t>
      </w:r>
      <w:r>
        <w:rPr>
          <w:rFonts w:hint="cs"/>
          <w:rtl/>
        </w:rPr>
        <w:t xml:space="preserve"> </w:t>
      </w:r>
      <w:r w:rsidR="005E7506">
        <w:rPr>
          <w:rFonts w:hint="cs"/>
          <w:rtl/>
        </w:rPr>
        <w:t xml:space="preserve">بمعنى أنه يدخل فيه أكثر الجزئيات التي تنطبق عليها، وأصحاب هذا التصور أخذوا به </w:t>
      </w:r>
      <w:r>
        <w:rPr>
          <w:rFonts w:hint="cs"/>
          <w:rtl/>
        </w:rPr>
        <w:t xml:space="preserve">نظرا </w:t>
      </w:r>
      <w:r w:rsidR="005E7506">
        <w:rPr>
          <w:rFonts w:hint="cs"/>
          <w:rtl/>
        </w:rPr>
        <w:t xml:space="preserve">منهم </w:t>
      </w:r>
      <w:r>
        <w:rPr>
          <w:rFonts w:hint="cs"/>
          <w:rtl/>
        </w:rPr>
        <w:t>إلى  وجود مستثنيات خارجة عن القواعد</w:t>
      </w:r>
      <w:r w:rsidR="00CB78B1" w:rsidRPr="00CB78B1">
        <w:rPr>
          <w:rFonts w:hint="cs"/>
          <w:vertAlign w:val="superscript"/>
          <w:rtl/>
        </w:rPr>
        <w:t>(</w:t>
      </w:r>
      <w:r w:rsidR="00CB78B1" w:rsidRPr="00CB78B1">
        <w:rPr>
          <w:rStyle w:val="af1"/>
          <w:rtl/>
        </w:rPr>
        <w:footnoteReference w:id="103"/>
      </w:r>
      <w:r w:rsidR="00CB78B1" w:rsidRPr="00CB78B1">
        <w:rPr>
          <w:rFonts w:hint="cs"/>
          <w:vertAlign w:val="superscript"/>
          <w:rtl/>
        </w:rPr>
        <w:t>)</w:t>
      </w:r>
      <w:r w:rsidR="005E7506">
        <w:rPr>
          <w:rFonts w:hint="cs"/>
          <w:rtl/>
        </w:rPr>
        <w:t>، فالقاعدة عندهم منطبقة على أكثر الجزئيات لا كلّها</w:t>
      </w:r>
      <w:r>
        <w:rPr>
          <w:rFonts w:hint="cs"/>
          <w:rtl/>
        </w:rPr>
        <w:t>.</w:t>
      </w:r>
    </w:p>
    <w:p w:rsidR="00CB78B1" w:rsidRDefault="00CB78B1" w:rsidP="00521697">
      <w:pPr>
        <w:ind w:firstLine="0"/>
        <w:rPr>
          <w:rtl/>
        </w:rPr>
      </w:pPr>
      <w:r>
        <w:rPr>
          <w:rFonts w:hint="cs"/>
          <w:rtl/>
        </w:rPr>
        <w:t xml:space="preserve">     ومما عرفها به أصحاب هذا المسلك: (حكم أكثري لا كلي، ينطبق على أكثر جزئياته؛ لتعرف أحكامها منه)</w:t>
      </w:r>
      <w:r w:rsidRPr="00CB78B1">
        <w:rPr>
          <w:rFonts w:hint="cs"/>
          <w:vertAlign w:val="superscript"/>
          <w:rtl/>
        </w:rPr>
        <w:t>(</w:t>
      </w:r>
      <w:r w:rsidRPr="00CB78B1">
        <w:rPr>
          <w:rStyle w:val="af1"/>
          <w:rtl/>
        </w:rPr>
        <w:footnoteReference w:id="104"/>
      </w:r>
      <w:r w:rsidRPr="00CB78B1">
        <w:rPr>
          <w:rFonts w:hint="cs"/>
          <w:vertAlign w:val="superscript"/>
          <w:rtl/>
        </w:rPr>
        <w:t>)</w:t>
      </w:r>
      <w:r>
        <w:rPr>
          <w:rFonts w:hint="cs"/>
          <w:rtl/>
        </w:rPr>
        <w:t>.</w:t>
      </w:r>
    </w:p>
    <w:p w:rsidR="00EE67FB" w:rsidRDefault="00DC7CD0" w:rsidP="00521697">
      <w:pPr>
        <w:rPr>
          <w:rtl/>
        </w:rPr>
      </w:pPr>
      <w:r>
        <w:rPr>
          <w:rFonts w:hint="cs"/>
          <w:rtl/>
        </w:rPr>
        <w:t xml:space="preserve">وقد </w:t>
      </w:r>
      <w:r w:rsidR="009A3457">
        <w:rPr>
          <w:rFonts w:hint="cs"/>
          <w:rtl/>
        </w:rPr>
        <w:t>أورد الباحثون المعاصرون على هذين التعريفين، وغيرهما؛ مما ع</w:t>
      </w:r>
      <w:r w:rsidR="00BC3533">
        <w:rPr>
          <w:rFonts w:hint="cs"/>
          <w:rtl/>
        </w:rPr>
        <w:t>ُ</w:t>
      </w:r>
      <w:r w:rsidR="009A3457">
        <w:rPr>
          <w:rFonts w:hint="cs"/>
          <w:rtl/>
        </w:rPr>
        <w:t xml:space="preserve">رّفت به القواعد الفقهية </w:t>
      </w:r>
      <w:r w:rsidR="009A3457">
        <w:rPr>
          <w:rFonts w:hint="cs"/>
          <w:rtl/>
        </w:rPr>
        <w:lastRenderedPageBreak/>
        <w:t xml:space="preserve">إشكالات كثيرة، ثم حاول أكثرهم </w:t>
      </w:r>
      <w:r w:rsidR="006D2B15">
        <w:rPr>
          <w:rFonts w:hint="cs"/>
          <w:rtl/>
        </w:rPr>
        <w:t xml:space="preserve">وضع تعريف جامع مانع للقواعد الفقهية في نظره، والذي </w:t>
      </w:r>
      <w:r w:rsidR="005E7506">
        <w:rPr>
          <w:rFonts w:hint="cs"/>
          <w:rtl/>
        </w:rPr>
        <w:t>يظهر_والله أعلم_ أن هذه التعاريف متقاربة وتؤدي إلى معنى واحد، وإن اختلفت عباراته</w:t>
      </w:r>
      <w:r w:rsidR="00EE67FB">
        <w:rPr>
          <w:rFonts w:hint="cs"/>
          <w:rtl/>
        </w:rPr>
        <w:t>ا</w:t>
      </w:r>
      <w:r w:rsidR="00EE67FB" w:rsidRPr="00EE67FB">
        <w:rPr>
          <w:rFonts w:hint="cs"/>
          <w:vertAlign w:val="superscript"/>
          <w:rtl/>
        </w:rPr>
        <w:t>(</w:t>
      </w:r>
      <w:r w:rsidR="00EE67FB" w:rsidRPr="00EE67FB">
        <w:rPr>
          <w:rStyle w:val="af1"/>
          <w:rtl/>
        </w:rPr>
        <w:footnoteReference w:id="105"/>
      </w:r>
      <w:r w:rsidR="00EE67FB" w:rsidRPr="00EE67FB">
        <w:rPr>
          <w:rFonts w:hint="cs"/>
          <w:vertAlign w:val="superscript"/>
          <w:rtl/>
        </w:rPr>
        <w:t>)</w:t>
      </w:r>
      <w:r w:rsidR="00EE67FB">
        <w:rPr>
          <w:rFonts w:hint="cs"/>
          <w:rtl/>
        </w:rPr>
        <w:t>.</w:t>
      </w:r>
    </w:p>
    <w:p w:rsidR="00EE67FB" w:rsidRDefault="00EE67FB" w:rsidP="00EE67FB">
      <w:pPr>
        <w:rPr>
          <w:rtl/>
        </w:rPr>
      </w:pPr>
      <w:r>
        <w:rPr>
          <w:rFonts w:hint="cs"/>
          <w:rtl/>
        </w:rPr>
        <w:t xml:space="preserve">وبناءً على ذلك يمكن أن تعرَّف القاعدة الفقهية بأنها: </w:t>
      </w:r>
    </w:p>
    <w:p w:rsidR="006D2B15" w:rsidRDefault="006D2B15" w:rsidP="00EE67FB">
      <w:pPr>
        <w:rPr>
          <w:rtl/>
        </w:rPr>
      </w:pPr>
      <w:r w:rsidRPr="00B7479A">
        <w:rPr>
          <w:rFonts w:hint="cs"/>
          <w:b/>
          <w:bCs/>
          <w:rtl/>
        </w:rPr>
        <w:t xml:space="preserve">قضية </w:t>
      </w:r>
      <w:r w:rsidR="00EE67FB" w:rsidRPr="00B7479A">
        <w:rPr>
          <w:rFonts w:hint="cs"/>
          <w:b/>
          <w:bCs/>
          <w:rtl/>
        </w:rPr>
        <w:t>كلية فقهية منطبقة على فروع كثيرة</w:t>
      </w:r>
      <w:r w:rsidRPr="00B7479A">
        <w:rPr>
          <w:rFonts w:hint="cs"/>
          <w:b/>
          <w:bCs/>
          <w:rtl/>
        </w:rPr>
        <w:t xml:space="preserve"> </w:t>
      </w:r>
      <w:r w:rsidR="00BC5A69" w:rsidRPr="00B7479A">
        <w:rPr>
          <w:rFonts w:hint="cs"/>
          <w:b/>
          <w:bCs/>
          <w:rtl/>
        </w:rPr>
        <w:t>مباش</w:t>
      </w:r>
      <w:r w:rsidR="00027B98">
        <w:rPr>
          <w:rFonts w:hint="cs"/>
          <w:b/>
          <w:bCs/>
          <w:rtl/>
        </w:rPr>
        <w:t>َ</w:t>
      </w:r>
      <w:r w:rsidR="00BC5A69" w:rsidRPr="00B7479A">
        <w:rPr>
          <w:rFonts w:hint="cs"/>
          <w:b/>
          <w:bCs/>
          <w:rtl/>
        </w:rPr>
        <w:t>رة</w:t>
      </w:r>
      <w:r w:rsidR="00027B98">
        <w:rPr>
          <w:rFonts w:hint="cs"/>
          <w:b/>
          <w:bCs/>
          <w:rtl/>
        </w:rPr>
        <w:t>ً</w:t>
      </w:r>
      <w:r w:rsidR="00BC5A69" w:rsidRPr="00B7479A">
        <w:rPr>
          <w:rFonts w:hint="cs"/>
          <w:b/>
          <w:bCs/>
          <w:rtl/>
        </w:rPr>
        <w:t xml:space="preserve"> </w:t>
      </w:r>
      <w:r w:rsidRPr="00B7479A">
        <w:rPr>
          <w:rFonts w:hint="cs"/>
          <w:b/>
          <w:bCs/>
          <w:rtl/>
        </w:rPr>
        <w:t>في أكثر من باب</w:t>
      </w:r>
      <w:r w:rsidR="00E13E02" w:rsidRPr="00E13E02">
        <w:rPr>
          <w:rFonts w:hint="cs"/>
          <w:vertAlign w:val="superscript"/>
          <w:rtl/>
        </w:rPr>
        <w:t>(</w:t>
      </w:r>
      <w:r w:rsidR="00E13E02" w:rsidRPr="00E13E02">
        <w:rPr>
          <w:rStyle w:val="af1"/>
          <w:rtl/>
        </w:rPr>
        <w:footnoteReference w:id="106"/>
      </w:r>
      <w:r w:rsidR="00E13E02" w:rsidRPr="00E13E02">
        <w:rPr>
          <w:rFonts w:hint="cs"/>
          <w:vertAlign w:val="superscript"/>
          <w:rtl/>
        </w:rPr>
        <w:t>)</w:t>
      </w:r>
      <w:r>
        <w:rPr>
          <w:rFonts w:hint="cs"/>
          <w:rtl/>
        </w:rPr>
        <w:t>.</w:t>
      </w:r>
    </w:p>
    <w:p w:rsidR="009E62A4" w:rsidRDefault="00EE67FB" w:rsidP="001C4C78">
      <w:pPr>
        <w:spacing w:line="580" w:lineRule="exact"/>
        <w:ind w:firstLine="0"/>
        <w:jc w:val="lowKashida"/>
        <w:rPr>
          <w:rFonts w:ascii="Traditional Arabic" w:hAnsi="Traditional Arabic"/>
          <w:rtl/>
        </w:rPr>
      </w:pPr>
      <w:r>
        <w:rPr>
          <w:rFonts w:hint="cs"/>
          <w:b/>
          <w:bCs/>
          <w:rtl/>
        </w:rPr>
        <w:t xml:space="preserve">    أسباب اختيار هذا </w:t>
      </w:r>
      <w:r w:rsidR="006D2B15">
        <w:rPr>
          <w:rFonts w:hint="cs"/>
          <w:b/>
          <w:bCs/>
          <w:rtl/>
        </w:rPr>
        <w:t xml:space="preserve">التعريف: </w:t>
      </w:r>
      <w:r>
        <w:rPr>
          <w:rFonts w:ascii="Traditional Arabic" w:hAnsi="Traditional Arabic" w:hint="cs"/>
          <w:rtl/>
        </w:rPr>
        <w:t xml:space="preserve">    </w:t>
      </w:r>
    </w:p>
    <w:p w:rsidR="009E62A4" w:rsidRDefault="003B41EB" w:rsidP="000A76C7">
      <w:pPr>
        <w:pStyle w:val="afc"/>
        <w:numPr>
          <w:ilvl w:val="0"/>
          <w:numId w:val="332"/>
        </w:numPr>
        <w:spacing w:line="580" w:lineRule="exact"/>
        <w:jc w:val="lowKashida"/>
        <w:rPr>
          <w:rFonts w:ascii="Traditional Arabic" w:hAnsi="Traditional Arabic"/>
        </w:rPr>
      </w:pPr>
      <w:r>
        <w:rPr>
          <w:rFonts w:ascii="Traditional Arabic" w:hAnsi="Traditional Arabic" w:hint="cs"/>
          <w:rtl/>
        </w:rPr>
        <w:t>وصف</w:t>
      </w:r>
      <w:r w:rsidR="001C4C78">
        <w:rPr>
          <w:rFonts w:ascii="Traditional Arabic" w:hAnsi="Traditional Arabic" w:hint="cs"/>
          <w:rtl/>
        </w:rPr>
        <w:t xml:space="preserve"> القاعدة </w:t>
      </w:r>
      <w:r>
        <w:rPr>
          <w:rFonts w:ascii="Traditional Arabic" w:hAnsi="Traditional Arabic" w:hint="cs"/>
          <w:rtl/>
        </w:rPr>
        <w:t>الفقهية بالكلية أقرب</w:t>
      </w:r>
      <w:r w:rsidR="001C4C78">
        <w:rPr>
          <w:rFonts w:ascii="Traditional Arabic" w:hAnsi="Traditional Arabic" w:hint="cs"/>
          <w:rtl/>
        </w:rPr>
        <w:t xml:space="preserve"> من جعلها أكثرية</w:t>
      </w:r>
      <w:r w:rsidR="00EE67FB">
        <w:rPr>
          <w:rFonts w:ascii="Traditional Arabic" w:hAnsi="Traditional Arabic" w:hint="cs"/>
          <w:rtl/>
        </w:rPr>
        <w:t xml:space="preserve">، من جهة أن شأن القاعدة في كل فن أن تكون كلية، وكون </w:t>
      </w:r>
      <w:r w:rsidR="004C0662">
        <w:rPr>
          <w:rFonts w:ascii="Traditional Arabic" w:hAnsi="Traditional Arabic" w:hint="cs"/>
          <w:rtl/>
        </w:rPr>
        <w:t>القاعدة شذ</w:t>
      </w:r>
      <w:r w:rsidR="00027B98">
        <w:rPr>
          <w:rFonts w:ascii="Traditional Arabic" w:hAnsi="Traditional Arabic" w:hint="cs"/>
          <w:rtl/>
        </w:rPr>
        <w:t>َّ</w:t>
      </w:r>
      <w:r w:rsidR="004C0662">
        <w:rPr>
          <w:rFonts w:ascii="Traditional Arabic" w:hAnsi="Traditional Arabic" w:hint="cs"/>
          <w:rtl/>
        </w:rPr>
        <w:t>ت عنها بعض الفروع الفقهية لا ينافي و</w:t>
      </w:r>
      <w:r w:rsidR="0070078D">
        <w:rPr>
          <w:rFonts w:ascii="Traditional Arabic" w:hAnsi="Traditional Arabic" w:hint="cs"/>
          <w:rtl/>
        </w:rPr>
        <w:t>َ</w:t>
      </w:r>
      <w:r w:rsidR="004C0662">
        <w:rPr>
          <w:rFonts w:ascii="Traditional Arabic" w:hAnsi="Traditional Arabic" w:hint="cs"/>
          <w:rtl/>
        </w:rPr>
        <w:t>ص</w:t>
      </w:r>
      <w:r w:rsidR="0070078D">
        <w:rPr>
          <w:rFonts w:ascii="Traditional Arabic" w:hAnsi="Traditional Arabic" w:hint="cs"/>
          <w:rtl/>
        </w:rPr>
        <w:t>ْ</w:t>
      </w:r>
      <w:r w:rsidR="004C0662">
        <w:rPr>
          <w:rFonts w:ascii="Traditional Arabic" w:hAnsi="Traditional Arabic" w:hint="cs"/>
          <w:rtl/>
        </w:rPr>
        <w:t>ف</w:t>
      </w:r>
      <w:r w:rsidR="0070078D">
        <w:rPr>
          <w:rFonts w:ascii="Traditional Arabic" w:hAnsi="Traditional Arabic" w:hint="cs"/>
          <w:rtl/>
        </w:rPr>
        <w:t>َ</w:t>
      </w:r>
      <w:r w:rsidR="004C0662">
        <w:rPr>
          <w:rFonts w:ascii="Traditional Arabic" w:hAnsi="Traditional Arabic" w:hint="cs"/>
          <w:rtl/>
        </w:rPr>
        <w:t>ها بالكلية؛ (لأن الغالب الأكثري معتبر في الشريعة اعتبارَ العام القطعي؛ إذ المتخلفات الجزئية لا ينتظ</w:t>
      </w:r>
      <w:r w:rsidR="0070078D">
        <w:rPr>
          <w:rFonts w:ascii="Traditional Arabic" w:hAnsi="Traditional Arabic" w:hint="cs"/>
          <w:rtl/>
        </w:rPr>
        <w:t>ِ</w:t>
      </w:r>
      <w:r w:rsidR="004C0662">
        <w:rPr>
          <w:rFonts w:ascii="Traditional Arabic" w:hAnsi="Traditional Arabic" w:hint="cs"/>
          <w:rtl/>
        </w:rPr>
        <w:t>م منها كليٌّ يعار</w:t>
      </w:r>
      <w:r w:rsidR="0070078D">
        <w:rPr>
          <w:rFonts w:ascii="Traditional Arabic" w:hAnsi="Traditional Arabic" w:hint="cs"/>
          <w:rtl/>
        </w:rPr>
        <w:t>ِ</w:t>
      </w:r>
      <w:r w:rsidR="004C0662">
        <w:rPr>
          <w:rFonts w:ascii="Traditional Arabic" w:hAnsi="Traditional Arabic" w:hint="cs"/>
          <w:rtl/>
        </w:rPr>
        <w:t>ض هذا الكليَّ الثابت)</w:t>
      </w:r>
      <w:r w:rsidR="00701349" w:rsidRPr="00701349">
        <w:rPr>
          <w:rFonts w:ascii="Traditional Arabic" w:hAnsi="Traditional Arabic" w:hint="cs"/>
          <w:vertAlign w:val="superscript"/>
          <w:rtl/>
        </w:rPr>
        <w:t>(</w:t>
      </w:r>
      <w:r w:rsidR="004C0662" w:rsidRPr="00701349">
        <w:rPr>
          <w:rStyle w:val="af1"/>
          <w:rFonts w:ascii="Traditional Arabic" w:hAnsi="Traditional Arabic"/>
          <w:rtl/>
        </w:rPr>
        <w:footnoteReference w:id="107"/>
      </w:r>
      <w:r w:rsidR="00701349" w:rsidRPr="00701349">
        <w:rPr>
          <w:rFonts w:ascii="Traditional Arabic" w:hAnsi="Traditional Arabic" w:hint="cs"/>
          <w:vertAlign w:val="superscript"/>
          <w:rtl/>
        </w:rPr>
        <w:t>)</w:t>
      </w:r>
      <w:r w:rsidR="001C4C78">
        <w:rPr>
          <w:rFonts w:ascii="Traditional Arabic" w:hAnsi="Traditional Arabic" w:hint="cs"/>
          <w:rtl/>
        </w:rPr>
        <w:t>.</w:t>
      </w:r>
    </w:p>
    <w:p w:rsidR="001C4C78" w:rsidRDefault="001C4C78" w:rsidP="000A76C7">
      <w:pPr>
        <w:pStyle w:val="afc"/>
        <w:numPr>
          <w:ilvl w:val="0"/>
          <w:numId w:val="332"/>
        </w:numPr>
        <w:spacing w:line="580" w:lineRule="exact"/>
        <w:jc w:val="lowKashida"/>
        <w:rPr>
          <w:rFonts w:ascii="Traditional Arabic" w:hAnsi="Traditional Arabic"/>
        </w:rPr>
      </w:pPr>
      <w:r>
        <w:rPr>
          <w:rFonts w:ascii="Traditional Arabic" w:hAnsi="Traditional Arabic" w:hint="cs"/>
          <w:rtl/>
        </w:rPr>
        <w:t>إن في هذا التعريف التصريح بما يمي</w:t>
      </w:r>
      <w:r w:rsidR="003B41EB">
        <w:rPr>
          <w:rFonts w:ascii="Traditional Arabic" w:hAnsi="Traditional Arabic" w:hint="cs"/>
          <w:rtl/>
        </w:rPr>
        <w:t>ِّ</w:t>
      </w:r>
      <w:r>
        <w:rPr>
          <w:rFonts w:ascii="Traditional Arabic" w:hAnsi="Traditional Arabic" w:hint="cs"/>
          <w:rtl/>
        </w:rPr>
        <w:t>ز القاعدة الفقهية عن غيرها من قواعد الفنون الأخرى، وهو قيد (فقهية).</w:t>
      </w:r>
    </w:p>
    <w:p w:rsidR="001C4C78" w:rsidRDefault="00701349" w:rsidP="000A76C7">
      <w:pPr>
        <w:pStyle w:val="afc"/>
        <w:numPr>
          <w:ilvl w:val="0"/>
          <w:numId w:val="332"/>
        </w:numPr>
        <w:spacing w:line="580" w:lineRule="exact"/>
        <w:jc w:val="lowKashida"/>
        <w:rPr>
          <w:rFonts w:ascii="Traditional Arabic" w:hAnsi="Traditional Arabic"/>
        </w:rPr>
      </w:pPr>
      <w:r>
        <w:rPr>
          <w:rFonts w:ascii="Traditional Arabic" w:hAnsi="Traditional Arabic" w:hint="cs"/>
          <w:rtl/>
        </w:rPr>
        <w:t>قيد (منطبقة): المقصود به موافقة القاعدة للفروع المندرجة تحتها وملاءمتها لها، وهذا لا يتأتى إلا بعد تعرُّف الأحكام منها</w:t>
      </w:r>
      <w:r w:rsidRPr="00701349">
        <w:rPr>
          <w:rFonts w:ascii="Traditional Arabic" w:hAnsi="Traditional Arabic" w:hint="cs"/>
          <w:vertAlign w:val="superscript"/>
          <w:rtl/>
        </w:rPr>
        <w:t>(</w:t>
      </w:r>
      <w:r w:rsidRPr="00701349">
        <w:rPr>
          <w:rStyle w:val="af1"/>
          <w:rFonts w:ascii="Traditional Arabic" w:hAnsi="Traditional Arabic"/>
          <w:rtl/>
        </w:rPr>
        <w:footnoteReference w:id="108"/>
      </w:r>
      <w:r w:rsidRPr="00701349">
        <w:rPr>
          <w:rFonts w:ascii="Traditional Arabic" w:hAnsi="Traditional Arabic" w:hint="cs"/>
          <w:vertAlign w:val="superscript"/>
          <w:rtl/>
        </w:rPr>
        <w:t>)</w:t>
      </w:r>
      <w:r>
        <w:rPr>
          <w:rFonts w:ascii="Traditional Arabic" w:hAnsi="Traditional Arabic" w:hint="cs"/>
          <w:rtl/>
        </w:rPr>
        <w:t xml:space="preserve">. </w:t>
      </w:r>
    </w:p>
    <w:p w:rsidR="001C4C78" w:rsidRDefault="001C4C78" w:rsidP="000A76C7">
      <w:pPr>
        <w:pStyle w:val="afc"/>
        <w:numPr>
          <w:ilvl w:val="0"/>
          <w:numId w:val="332"/>
        </w:numPr>
        <w:spacing w:line="580" w:lineRule="exact"/>
        <w:jc w:val="lowKashida"/>
        <w:rPr>
          <w:rFonts w:ascii="Traditional Arabic" w:hAnsi="Traditional Arabic"/>
        </w:rPr>
      </w:pPr>
      <w:r>
        <w:rPr>
          <w:rFonts w:ascii="Traditional Arabic" w:hAnsi="Traditional Arabic" w:hint="cs"/>
          <w:rtl/>
        </w:rPr>
        <w:lastRenderedPageBreak/>
        <w:t>قيد (في أكثر من باب) أخرج الضوابط الفقهية، فإنها تختص بباب واحد</w:t>
      </w:r>
      <w:r w:rsidR="002E00F7" w:rsidRPr="002E00F7">
        <w:rPr>
          <w:rFonts w:ascii="Traditional Arabic" w:hAnsi="Traditional Arabic" w:hint="cs"/>
          <w:vertAlign w:val="superscript"/>
          <w:rtl/>
        </w:rPr>
        <w:t>(</w:t>
      </w:r>
      <w:r w:rsidR="002E00F7" w:rsidRPr="002E00F7">
        <w:rPr>
          <w:rStyle w:val="af1"/>
          <w:rFonts w:ascii="Traditional Arabic" w:hAnsi="Traditional Arabic"/>
          <w:rtl/>
        </w:rPr>
        <w:footnoteReference w:id="109"/>
      </w:r>
      <w:r w:rsidR="002E00F7" w:rsidRPr="002E00F7">
        <w:rPr>
          <w:rFonts w:ascii="Traditional Arabic" w:hAnsi="Traditional Arabic" w:hint="cs"/>
          <w:vertAlign w:val="superscript"/>
          <w:rtl/>
        </w:rPr>
        <w:t>)</w:t>
      </w:r>
      <w:r>
        <w:rPr>
          <w:rFonts w:ascii="Traditional Arabic" w:hAnsi="Traditional Arabic" w:hint="cs"/>
          <w:rtl/>
        </w:rPr>
        <w:t>.</w:t>
      </w:r>
    </w:p>
    <w:p w:rsidR="003B41EB" w:rsidRDefault="003B41EB" w:rsidP="000A76C7">
      <w:pPr>
        <w:pStyle w:val="afc"/>
        <w:numPr>
          <w:ilvl w:val="0"/>
          <w:numId w:val="332"/>
        </w:numPr>
        <w:spacing w:line="580" w:lineRule="exact"/>
        <w:jc w:val="lowKashida"/>
        <w:rPr>
          <w:rFonts w:ascii="Traditional Arabic" w:hAnsi="Traditional Arabic"/>
        </w:rPr>
      </w:pPr>
      <w:r>
        <w:rPr>
          <w:rFonts w:ascii="Traditional Arabic" w:hAnsi="Traditional Arabic" w:hint="cs"/>
          <w:rtl/>
        </w:rPr>
        <w:t>قيد (مباشرة) أخرج القواعد الأصولية، فإنها تنطبق على فروع كثيرة، ولكن بواسطة وليس مباشرة</w:t>
      </w:r>
      <w:r w:rsidRPr="002E00F7">
        <w:rPr>
          <w:rFonts w:ascii="Traditional Arabic" w:hAnsi="Traditional Arabic" w:hint="cs"/>
          <w:vertAlign w:val="superscript"/>
          <w:rtl/>
        </w:rPr>
        <w:t>(</w:t>
      </w:r>
      <w:r w:rsidRPr="002E00F7">
        <w:rPr>
          <w:rStyle w:val="af1"/>
          <w:rFonts w:ascii="Traditional Arabic" w:hAnsi="Traditional Arabic"/>
          <w:rtl/>
        </w:rPr>
        <w:footnoteReference w:id="110"/>
      </w:r>
      <w:r w:rsidRPr="002E00F7">
        <w:rPr>
          <w:rFonts w:ascii="Traditional Arabic" w:hAnsi="Traditional Arabic" w:hint="cs"/>
          <w:vertAlign w:val="superscript"/>
          <w:rtl/>
        </w:rPr>
        <w:t>)</w:t>
      </w:r>
      <w:r w:rsidR="00CE7DB5">
        <w:rPr>
          <w:rFonts w:ascii="Traditional Arabic" w:hAnsi="Traditional Arabic" w:hint="cs"/>
          <w:rtl/>
        </w:rPr>
        <w:t>، فإن القاعدة الأصولية "الأمر يقتضي الوجوب"</w:t>
      </w:r>
      <w:r w:rsidR="0070078D" w:rsidRPr="0070078D">
        <w:rPr>
          <w:rFonts w:ascii="Traditional Arabic" w:hAnsi="Traditional Arabic" w:hint="cs"/>
          <w:vertAlign w:val="superscript"/>
          <w:rtl/>
        </w:rPr>
        <w:t>(</w:t>
      </w:r>
      <w:r w:rsidR="006D63F7" w:rsidRPr="0070078D">
        <w:rPr>
          <w:rStyle w:val="af1"/>
          <w:rFonts w:ascii="Traditional Arabic" w:hAnsi="Traditional Arabic"/>
          <w:rtl/>
        </w:rPr>
        <w:footnoteReference w:id="111"/>
      </w:r>
      <w:r w:rsidR="0070078D" w:rsidRPr="0070078D">
        <w:rPr>
          <w:rFonts w:ascii="Traditional Arabic" w:hAnsi="Traditional Arabic" w:hint="cs"/>
          <w:vertAlign w:val="superscript"/>
          <w:rtl/>
        </w:rPr>
        <w:t>)</w:t>
      </w:r>
      <w:r w:rsidR="00CE7DB5">
        <w:rPr>
          <w:rFonts w:ascii="Traditional Arabic" w:hAnsi="Traditional Arabic" w:hint="cs"/>
          <w:rtl/>
        </w:rPr>
        <w:t xml:space="preserve"> أفادت أن الصلاة واجبة، ولكن ليس مباشرة، بل بواسطة الدليل، وهو قوله تعالى: </w:t>
      </w:r>
      <w:r w:rsidR="00CE7DB5">
        <w:rPr>
          <w:rFonts w:ascii="QCF_BSML" w:hAnsi="QCF_BSML" w:cs="QCF_BSML"/>
          <w:noProof w:val="0"/>
          <w:sz w:val="47"/>
          <w:szCs w:val="47"/>
          <w:rtl/>
          <w:lang w:eastAsia="en-US"/>
        </w:rPr>
        <w:t xml:space="preserve"> </w:t>
      </w:r>
      <w:r w:rsidR="00CE7DB5" w:rsidRPr="00CE7DB5">
        <w:rPr>
          <w:rFonts w:ascii="QCF_BSML" w:hAnsi="QCF_BSML" w:cs="QCF_BSML"/>
          <w:noProof w:val="0"/>
          <w:rtl/>
          <w:lang w:eastAsia="en-US"/>
        </w:rPr>
        <w:t xml:space="preserve">ﭽ </w:t>
      </w:r>
      <w:r w:rsidR="00CE7DB5" w:rsidRPr="00CE7DB5">
        <w:rPr>
          <w:rFonts w:ascii="QCF_P007" w:hAnsi="QCF_P007" w:cs="QCF_P007"/>
          <w:noProof w:val="0"/>
          <w:rtl/>
          <w:lang w:eastAsia="en-US"/>
        </w:rPr>
        <w:t xml:space="preserve">ﮛ  ﮜ  </w:t>
      </w:r>
      <w:r w:rsidR="00CE7DB5" w:rsidRPr="00CE7DB5">
        <w:rPr>
          <w:rFonts w:ascii="QCF_BSML" w:hAnsi="QCF_BSML" w:cs="QCF_BSML"/>
          <w:noProof w:val="0"/>
          <w:rtl/>
          <w:lang w:eastAsia="en-US"/>
        </w:rPr>
        <w:t>ﭼ</w:t>
      </w:r>
      <w:r w:rsidR="00CE7DB5">
        <w:rPr>
          <w:rFonts w:ascii="Arial" w:hAnsi="Arial" w:cs="Arial"/>
          <w:noProof w:val="0"/>
          <w:sz w:val="18"/>
          <w:szCs w:val="18"/>
          <w:rtl/>
          <w:lang w:eastAsia="en-US"/>
        </w:rPr>
        <w:t xml:space="preserve"> </w:t>
      </w:r>
      <w:r w:rsidR="00CE7DB5">
        <w:rPr>
          <w:rFonts w:ascii="Traditional Arabic" w:hAnsi="Traditional Arabic" w:hint="cs"/>
          <w:noProof w:val="0"/>
          <w:color w:val="auto"/>
          <w:rtl/>
          <w:lang w:eastAsia="en-US"/>
        </w:rPr>
        <w:t>[</w:t>
      </w:r>
      <w:r w:rsidR="00CE7DB5" w:rsidRPr="00CE7DB5">
        <w:rPr>
          <w:rFonts w:ascii="Traditional Arabic" w:hAnsi="Traditional Arabic"/>
          <w:noProof w:val="0"/>
          <w:color w:val="auto"/>
          <w:rtl/>
          <w:lang w:eastAsia="en-US"/>
        </w:rPr>
        <w:t>البقرة: ٤٣</w:t>
      </w:r>
      <w:r w:rsidR="00CE7DB5">
        <w:rPr>
          <w:rFonts w:ascii="Traditional Arabic" w:hAnsi="Traditional Arabic" w:hint="cs"/>
          <w:noProof w:val="0"/>
          <w:color w:val="auto"/>
          <w:rtl/>
          <w:lang w:eastAsia="en-US"/>
        </w:rPr>
        <w:t>]، فالقاعدة الأصولية يستنبط منها الحكم بواسطة، أما القاعدة الفقهية فبلا واسطة، فقاعدة"الأمور بمقاصدها" أفادت وجوب النية في الصلاة مباشرة</w:t>
      </w:r>
      <w:r w:rsidR="00CE7DB5" w:rsidRPr="00CE7DB5">
        <w:rPr>
          <w:rFonts w:ascii="Traditional Arabic" w:hAnsi="Traditional Arabic" w:hint="cs"/>
          <w:noProof w:val="0"/>
          <w:color w:val="auto"/>
          <w:vertAlign w:val="superscript"/>
          <w:rtl/>
          <w:lang w:eastAsia="en-US"/>
        </w:rPr>
        <w:t>(</w:t>
      </w:r>
      <w:r w:rsidR="00CE7DB5" w:rsidRPr="00CE7DB5">
        <w:rPr>
          <w:rStyle w:val="af1"/>
          <w:rFonts w:ascii="Traditional Arabic" w:hAnsi="Traditional Arabic"/>
          <w:noProof w:val="0"/>
          <w:color w:val="auto"/>
          <w:rtl/>
          <w:lang w:eastAsia="en-US"/>
        </w:rPr>
        <w:footnoteReference w:id="112"/>
      </w:r>
      <w:r w:rsidR="00CE7DB5" w:rsidRPr="00CE7DB5">
        <w:rPr>
          <w:rFonts w:ascii="Traditional Arabic" w:hAnsi="Traditional Arabic" w:hint="cs"/>
          <w:color w:val="auto"/>
          <w:vertAlign w:val="superscript"/>
          <w:rtl/>
        </w:rPr>
        <w:t>)</w:t>
      </w:r>
      <w:r w:rsidRPr="00CE7DB5">
        <w:rPr>
          <w:rFonts w:ascii="Traditional Arabic" w:hAnsi="Traditional Arabic"/>
          <w:color w:val="auto"/>
          <w:rtl/>
        </w:rPr>
        <w:t>.</w:t>
      </w:r>
    </w:p>
    <w:p w:rsidR="00F228A9" w:rsidRPr="00DD21CD" w:rsidRDefault="003B41EB" w:rsidP="00A8347C">
      <w:pPr>
        <w:pStyle w:val="aff3"/>
        <w:rPr>
          <w:rtl/>
        </w:rPr>
      </w:pPr>
      <w:bookmarkStart w:id="25" w:name="_Toc334046284"/>
      <w:r>
        <w:rPr>
          <w:rFonts w:hint="cs"/>
          <w:rtl/>
        </w:rPr>
        <w:t xml:space="preserve">                                        </w:t>
      </w:r>
      <w:r w:rsidR="006F08E1" w:rsidRPr="00115419">
        <w:rPr>
          <w:rtl/>
        </w:rPr>
        <w:t>المطلب الثاني</w:t>
      </w:r>
      <w:r w:rsidR="001C50AE">
        <w:rPr>
          <w:rFonts w:hint="cs"/>
          <w:rtl/>
        </w:rPr>
        <w:t> :</w:t>
      </w:r>
      <w:r w:rsidR="001C50AE">
        <w:rPr>
          <w:rFonts w:hint="cs"/>
          <w:rtl/>
        </w:rPr>
        <w:br/>
      </w:r>
      <w:r>
        <w:rPr>
          <w:rFonts w:hint="cs"/>
          <w:rtl/>
        </w:rPr>
        <w:t xml:space="preserve">                                    </w:t>
      </w:r>
      <w:r w:rsidR="006F08E1" w:rsidRPr="00115419">
        <w:rPr>
          <w:rtl/>
        </w:rPr>
        <w:t>تعريف الضابط الفقهي</w:t>
      </w:r>
      <w:bookmarkEnd w:id="25"/>
    </w:p>
    <w:p w:rsidR="00D509F4" w:rsidRDefault="00BC3533" w:rsidP="00D509F4">
      <w:pPr>
        <w:pStyle w:val="53"/>
        <w:rPr>
          <w:rtl/>
        </w:rPr>
      </w:pPr>
      <w:r>
        <w:rPr>
          <w:rFonts w:hint="cs"/>
          <w:rtl/>
        </w:rPr>
        <w:t>أ_</w:t>
      </w:r>
      <w:r w:rsidR="006F08E1" w:rsidRPr="00B82E1C">
        <w:rPr>
          <w:rtl/>
        </w:rPr>
        <w:t>الضابط</w:t>
      </w:r>
      <w:r w:rsidR="00AB0B9E" w:rsidRPr="00B82E1C">
        <w:rPr>
          <w:rtl/>
        </w:rPr>
        <w:fldChar w:fldCharType="begin"/>
      </w:r>
      <w:r w:rsidR="001714C3" w:rsidRPr="00531753">
        <w:instrText>XE</w:instrText>
      </w:r>
      <w:r w:rsidR="001714C3" w:rsidRPr="00531753">
        <w:rPr>
          <w:rtl/>
        </w:rPr>
        <w:instrText xml:space="preserve"> "الضابط" \</w:instrText>
      </w:r>
      <w:r w:rsidR="001714C3" w:rsidRPr="00531753">
        <w:instrText>fm</w:instrText>
      </w:r>
      <w:r w:rsidR="00AB0B9E" w:rsidRPr="00B82E1C">
        <w:rPr>
          <w:rtl/>
        </w:rPr>
        <w:fldChar w:fldCharType="end"/>
      </w:r>
      <w:r w:rsidR="006F08E1" w:rsidRPr="00B82E1C">
        <w:rPr>
          <w:rtl/>
        </w:rPr>
        <w:t xml:space="preserve"> لغة :</w:t>
      </w:r>
    </w:p>
    <w:p w:rsidR="0068573F" w:rsidRPr="00BC5A69" w:rsidRDefault="006F08E1" w:rsidP="00BA3488">
      <w:pPr>
        <w:spacing w:line="640" w:lineRule="exact"/>
        <w:jc w:val="lowKashida"/>
        <w:rPr>
          <w:rFonts w:ascii="Traditional Arabic" w:hAnsi="Traditional Arabic"/>
          <w:rtl/>
        </w:rPr>
      </w:pPr>
      <w:r w:rsidRPr="00115419">
        <w:rPr>
          <w:rFonts w:ascii="Traditional Arabic" w:hAnsi="Traditional Arabic"/>
          <w:rtl/>
        </w:rPr>
        <w:t>اسم فاعل</w:t>
      </w:r>
      <w:r w:rsidR="00B76414">
        <w:rPr>
          <w:rFonts w:ascii="Traditional Arabic" w:hAnsi="Traditional Arabic"/>
          <w:rtl/>
        </w:rPr>
        <w:t>،</w:t>
      </w:r>
      <w:r w:rsidRPr="00115419">
        <w:rPr>
          <w:rFonts w:ascii="Traditional Arabic" w:hAnsi="Traditional Arabic"/>
          <w:rtl/>
        </w:rPr>
        <w:t xml:space="preserve"> من الضبط</w:t>
      </w:r>
      <w:r w:rsidR="00B76414">
        <w:rPr>
          <w:rFonts w:ascii="Traditional Arabic" w:hAnsi="Traditional Arabic"/>
          <w:rtl/>
        </w:rPr>
        <w:t>،</w:t>
      </w:r>
      <w:r w:rsidRPr="00115419">
        <w:rPr>
          <w:rFonts w:ascii="Traditional Arabic" w:hAnsi="Traditional Arabic"/>
          <w:rtl/>
        </w:rPr>
        <w:t xml:space="preserve"> الذي هو لزوم الشيء وح</w:t>
      </w:r>
      <w:r w:rsidR="008F5C5A">
        <w:rPr>
          <w:rFonts w:ascii="Traditional Arabic" w:hAnsi="Traditional Arabic" w:hint="cs"/>
          <w:rtl/>
        </w:rPr>
        <w:t>َ</w:t>
      </w:r>
      <w:r w:rsidRPr="00115419">
        <w:rPr>
          <w:rFonts w:ascii="Traditional Arabic" w:hAnsi="Traditional Arabic"/>
          <w:rtl/>
        </w:rPr>
        <w:t>ب</w:t>
      </w:r>
      <w:r w:rsidR="008F5C5A">
        <w:rPr>
          <w:rFonts w:ascii="Traditional Arabic" w:hAnsi="Traditional Arabic" w:hint="cs"/>
          <w:rtl/>
        </w:rPr>
        <w:t>ْ</w:t>
      </w:r>
      <w:r w:rsidRPr="00115419">
        <w:rPr>
          <w:rFonts w:ascii="Traditional Arabic" w:hAnsi="Traditional Arabic"/>
          <w:rtl/>
        </w:rPr>
        <w:t>س</w:t>
      </w:r>
      <w:r w:rsidR="008F5C5A">
        <w:rPr>
          <w:rFonts w:ascii="Traditional Arabic" w:hAnsi="Traditional Arabic" w:hint="cs"/>
          <w:rtl/>
        </w:rPr>
        <w:t>ُ</w:t>
      </w:r>
      <w:r w:rsidRPr="00115419">
        <w:rPr>
          <w:rFonts w:ascii="Traditional Arabic" w:hAnsi="Traditional Arabic"/>
          <w:rtl/>
        </w:rPr>
        <w:t>ه</w:t>
      </w:r>
      <w:r w:rsidR="008F5C5A">
        <w:rPr>
          <w:rFonts w:ascii="Traditional Arabic" w:hAnsi="Traditional Arabic" w:hint="cs"/>
          <w:rtl/>
        </w:rPr>
        <w:t>،</w:t>
      </w:r>
      <w:r w:rsidRPr="00115419">
        <w:rPr>
          <w:rFonts w:ascii="Traditional Arabic" w:hAnsi="Traditional Arabic"/>
          <w:rtl/>
        </w:rPr>
        <w:t xml:space="preserve"> </w:t>
      </w:r>
      <w:r w:rsidR="008F5C5A">
        <w:rPr>
          <w:rFonts w:ascii="Traditional Arabic" w:hAnsi="Traditional Arabic" w:hint="cs"/>
          <w:rtl/>
        </w:rPr>
        <w:t>و</w:t>
      </w:r>
      <w:r w:rsidRPr="00115419">
        <w:rPr>
          <w:rFonts w:ascii="Traditional Arabic" w:hAnsi="Traditional Arabic"/>
          <w:rtl/>
        </w:rPr>
        <w:t>ح</w:t>
      </w:r>
      <w:r w:rsidR="008F5C5A">
        <w:rPr>
          <w:rFonts w:ascii="Traditional Arabic" w:hAnsi="Traditional Arabic" w:hint="cs"/>
          <w:rtl/>
        </w:rPr>
        <w:t>ِ</w:t>
      </w:r>
      <w:r w:rsidRPr="00115419">
        <w:rPr>
          <w:rFonts w:ascii="Traditional Arabic" w:hAnsi="Traditional Arabic"/>
          <w:rtl/>
        </w:rPr>
        <w:t>فظه بالحزم</w:t>
      </w:r>
      <w:r w:rsidR="00B76414">
        <w:rPr>
          <w:rFonts w:ascii="Traditional Arabic" w:hAnsi="Traditional Arabic"/>
          <w:rtl/>
        </w:rPr>
        <w:t>،</w:t>
      </w:r>
      <w:r w:rsidRPr="00115419">
        <w:rPr>
          <w:rFonts w:ascii="Traditional Arabic" w:hAnsi="Traditional Arabic"/>
          <w:rtl/>
        </w:rPr>
        <w:t xml:space="preserve"> </w:t>
      </w:r>
      <w:r w:rsidR="008F5C5A">
        <w:rPr>
          <w:rFonts w:ascii="Traditional Arabic" w:hAnsi="Traditional Arabic" w:hint="cs"/>
          <w:rtl/>
        </w:rPr>
        <w:t>وتقول: ضب</w:t>
      </w:r>
      <w:r w:rsidR="0062093F">
        <w:rPr>
          <w:rFonts w:ascii="Traditional Arabic" w:hAnsi="Traditional Arabic" w:hint="cs"/>
          <w:rtl/>
        </w:rPr>
        <w:t>َ</w:t>
      </w:r>
      <w:r w:rsidR="008F5C5A">
        <w:rPr>
          <w:rFonts w:ascii="Traditional Arabic" w:hAnsi="Traditional Arabic" w:hint="cs"/>
          <w:rtl/>
        </w:rPr>
        <w:t>ط الشيء</w:t>
      </w:r>
      <w:r w:rsidR="00BC5A69">
        <w:rPr>
          <w:rFonts w:ascii="Traditional Arabic" w:hAnsi="Traditional Arabic" w:hint="cs"/>
          <w:rtl/>
        </w:rPr>
        <w:t xml:space="preserve"> </w:t>
      </w:r>
      <w:r w:rsidR="008F5C5A">
        <w:rPr>
          <w:rFonts w:ascii="Traditional Arabic" w:hAnsi="Traditional Arabic" w:hint="cs"/>
          <w:rtl/>
        </w:rPr>
        <w:t xml:space="preserve"> : إذا أتقنه وأحكمه</w:t>
      </w:r>
      <w:r w:rsidR="0068573F">
        <w:rPr>
          <w:rFonts w:ascii="Traditional Arabic" w:hAnsi="Traditional Arabic" w:hint="cs"/>
          <w:rtl/>
        </w:rPr>
        <w:t xml:space="preserve"> وح</w:t>
      </w:r>
      <w:r w:rsidR="00BC3533">
        <w:rPr>
          <w:rFonts w:ascii="Traditional Arabic" w:hAnsi="Traditional Arabic" w:hint="cs"/>
          <w:rtl/>
        </w:rPr>
        <w:t>َ</w:t>
      </w:r>
      <w:r w:rsidR="0068573F">
        <w:rPr>
          <w:rFonts w:ascii="Traditional Arabic" w:hAnsi="Traditional Arabic" w:hint="cs"/>
          <w:rtl/>
        </w:rPr>
        <w:t>ف</w:t>
      </w:r>
      <w:r w:rsidR="00BC3533">
        <w:rPr>
          <w:rFonts w:ascii="Traditional Arabic" w:hAnsi="Traditional Arabic" w:hint="cs"/>
          <w:rtl/>
        </w:rPr>
        <w:t>ِ</w:t>
      </w:r>
      <w:r w:rsidR="0068573F">
        <w:rPr>
          <w:rFonts w:ascii="Traditional Arabic" w:hAnsi="Traditional Arabic" w:hint="cs"/>
          <w:rtl/>
        </w:rPr>
        <w:t>ظه حفظاً بليغاً</w:t>
      </w:r>
      <w:r w:rsidR="008F5C5A">
        <w:rPr>
          <w:rFonts w:ascii="Traditional Arabic" w:hAnsi="Traditional Arabic" w:hint="cs"/>
          <w:rtl/>
        </w:rPr>
        <w:t xml:space="preserve">، </w:t>
      </w:r>
      <w:r w:rsidRPr="00115419">
        <w:rPr>
          <w:rFonts w:ascii="Traditional Arabic" w:hAnsi="Traditional Arabic"/>
          <w:rtl/>
        </w:rPr>
        <w:t>و</w:t>
      </w:r>
      <w:r w:rsidR="008F5C5A">
        <w:rPr>
          <w:rFonts w:ascii="Traditional Arabic" w:hAnsi="Traditional Arabic" w:hint="cs"/>
          <w:rtl/>
        </w:rPr>
        <w:t>ضب</w:t>
      </w:r>
      <w:r w:rsidR="0068573F">
        <w:rPr>
          <w:rFonts w:ascii="Traditional Arabic" w:hAnsi="Traditional Arabic" w:hint="cs"/>
          <w:rtl/>
        </w:rPr>
        <w:t>َ</w:t>
      </w:r>
      <w:r w:rsidR="008F5C5A">
        <w:rPr>
          <w:rFonts w:ascii="Traditional Arabic" w:hAnsi="Traditional Arabic" w:hint="cs"/>
          <w:rtl/>
        </w:rPr>
        <w:t>ط الكتاب: إذا أصلح خ</w:t>
      </w:r>
      <w:r w:rsidR="0068573F">
        <w:rPr>
          <w:rFonts w:ascii="Traditional Arabic" w:hAnsi="Traditional Arabic" w:hint="cs"/>
          <w:rtl/>
        </w:rPr>
        <w:t>َ</w:t>
      </w:r>
      <w:r w:rsidR="008F5C5A">
        <w:rPr>
          <w:rFonts w:ascii="Traditional Arabic" w:hAnsi="Traditional Arabic" w:hint="cs"/>
          <w:rtl/>
        </w:rPr>
        <w:t>ل</w:t>
      </w:r>
      <w:r w:rsidR="0068573F">
        <w:rPr>
          <w:rFonts w:ascii="Traditional Arabic" w:hAnsi="Traditional Arabic" w:hint="cs"/>
          <w:rtl/>
        </w:rPr>
        <w:t>َ</w:t>
      </w:r>
      <w:r w:rsidR="008F5C5A">
        <w:rPr>
          <w:rFonts w:ascii="Traditional Arabic" w:hAnsi="Traditional Arabic" w:hint="cs"/>
          <w:rtl/>
        </w:rPr>
        <w:t>ل</w:t>
      </w:r>
      <w:r w:rsidR="0068573F">
        <w:rPr>
          <w:rFonts w:ascii="Traditional Arabic" w:hAnsi="Traditional Arabic" w:hint="cs"/>
          <w:rtl/>
        </w:rPr>
        <w:t>َ</w:t>
      </w:r>
      <w:r w:rsidR="008F5C5A">
        <w:rPr>
          <w:rFonts w:ascii="Traditional Arabic" w:hAnsi="Traditional Arabic" w:hint="cs"/>
          <w:rtl/>
        </w:rPr>
        <w:t>ه، أو صحَّحه وشكَّله</w:t>
      </w:r>
      <w:r w:rsidR="008F5C5A" w:rsidRPr="008F5C5A">
        <w:rPr>
          <w:rFonts w:ascii="Traditional Arabic" w:hAnsi="Traditional Arabic" w:hint="cs"/>
          <w:vertAlign w:val="superscript"/>
          <w:rtl/>
        </w:rPr>
        <w:t>(</w:t>
      </w:r>
      <w:r w:rsidR="008F5C5A" w:rsidRPr="008F5C5A">
        <w:rPr>
          <w:rStyle w:val="af1"/>
          <w:rFonts w:ascii="Traditional Arabic" w:hAnsi="Traditional Arabic"/>
          <w:rtl/>
        </w:rPr>
        <w:footnoteReference w:id="113"/>
      </w:r>
      <w:r w:rsidR="008F5C5A" w:rsidRPr="008F5C5A">
        <w:rPr>
          <w:rFonts w:ascii="Traditional Arabic" w:hAnsi="Traditional Arabic" w:hint="cs"/>
          <w:vertAlign w:val="superscript"/>
          <w:rtl/>
        </w:rPr>
        <w:t>)</w:t>
      </w:r>
      <w:r w:rsidR="008F5C5A">
        <w:rPr>
          <w:rFonts w:ascii="Traditional Arabic" w:hAnsi="Traditional Arabic" w:hint="cs"/>
          <w:rtl/>
        </w:rPr>
        <w:t>.</w:t>
      </w:r>
      <w:r w:rsidR="0068573F">
        <w:rPr>
          <w:rFonts w:ascii="Traditional Arabic" w:hAnsi="Traditional Arabic" w:hint="cs"/>
          <w:rtl/>
        </w:rPr>
        <w:t>والضابطة: الماسِكة والقاعدة</w:t>
      </w:r>
      <w:r w:rsidR="0068573F" w:rsidRPr="0068573F">
        <w:rPr>
          <w:rFonts w:ascii="Traditional Arabic" w:hAnsi="Traditional Arabic" w:hint="cs"/>
          <w:vertAlign w:val="superscript"/>
          <w:rtl/>
        </w:rPr>
        <w:t>(</w:t>
      </w:r>
      <w:r w:rsidR="0068573F" w:rsidRPr="0068573F">
        <w:rPr>
          <w:rStyle w:val="af1"/>
          <w:rFonts w:ascii="Traditional Arabic" w:hAnsi="Traditional Arabic"/>
          <w:rtl/>
        </w:rPr>
        <w:footnoteReference w:id="114"/>
      </w:r>
      <w:r w:rsidR="0068573F" w:rsidRPr="0068573F">
        <w:rPr>
          <w:rFonts w:ascii="Traditional Arabic" w:hAnsi="Traditional Arabic" w:hint="cs"/>
          <w:vertAlign w:val="superscript"/>
          <w:rtl/>
        </w:rPr>
        <w:t>)</w:t>
      </w:r>
      <w:r w:rsidR="0068573F">
        <w:rPr>
          <w:rFonts w:ascii="Traditional Arabic" w:hAnsi="Traditional Arabic" w:hint="cs"/>
          <w:rtl/>
        </w:rPr>
        <w:t>.</w:t>
      </w:r>
    </w:p>
    <w:p w:rsidR="00D509F4" w:rsidRDefault="00BC3533" w:rsidP="00D509F4">
      <w:pPr>
        <w:pStyle w:val="53"/>
        <w:rPr>
          <w:rtl/>
        </w:rPr>
      </w:pPr>
      <w:r>
        <w:rPr>
          <w:rFonts w:hint="cs"/>
          <w:rtl/>
        </w:rPr>
        <w:lastRenderedPageBreak/>
        <w:t>ب_</w:t>
      </w:r>
      <w:r w:rsidR="006F08E1" w:rsidRPr="00B82E1C">
        <w:rPr>
          <w:rtl/>
        </w:rPr>
        <w:t>الضابط اصطلاحاً :</w:t>
      </w:r>
    </w:p>
    <w:p w:rsidR="00E22C45" w:rsidRDefault="00E22C45" w:rsidP="00D509F4">
      <w:pPr>
        <w:spacing w:line="640" w:lineRule="exact"/>
        <w:jc w:val="lowKashida"/>
        <w:rPr>
          <w:rFonts w:ascii="Traditional Arabic" w:hAnsi="Traditional Arabic"/>
          <w:rtl/>
        </w:rPr>
      </w:pPr>
      <w:r>
        <w:rPr>
          <w:rFonts w:ascii="Traditional Arabic" w:hAnsi="Traditional Arabic" w:hint="cs"/>
          <w:rtl/>
        </w:rPr>
        <w:t>للعلماء في تعريف الضابط وبيان مفهومه اتجاهان اثنان:</w:t>
      </w:r>
    </w:p>
    <w:p w:rsidR="00E22C45" w:rsidRDefault="00E22C45" w:rsidP="00D509F4">
      <w:pPr>
        <w:spacing w:line="640" w:lineRule="exact"/>
        <w:jc w:val="lowKashida"/>
        <w:rPr>
          <w:rFonts w:ascii="Traditional Arabic" w:hAnsi="Traditional Arabic"/>
          <w:rtl/>
        </w:rPr>
      </w:pPr>
      <w:r>
        <w:rPr>
          <w:rFonts w:ascii="Traditional Arabic" w:hAnsi="Traditional Arabic" w:hint="cs"/>
          <w:b/>
          <w:bCs/>
          <w:rtl/>
        </w:rPr>
        <w:t xml:space="preserve">الأول: </w:t>
      </w:r>
      <w:r w:rsidR="00C00AC8">
        <w:rPr>
          <w:rFonts w:ascii="Traditional Arabic" w:hAnsi="Traditional Arabic" w:hint="cs"/>
          <w:rtl/>
        </w:rPr>
        <w:t>عدم التفريق بين الضابط وا</w:t>
      </w:r>
      <w:r>
        <w:rPr>
          <w:rFonts w:ascii="Traditional Arabic" w:hAnsi="Traditional Arabic" w:hint="cs"/>
          <w:rtl/>
        </w:rPr>
        <w:t xml:space="preserve">لقاعدة، </w:t>
      </w:r>
      <w:r w:rsidR="00C00AC8">
        <w:rPr>
          <w:rFonts w:ascii="Traditional Arabic" w:hAnsi="Traditional Arabic" w:hint="cs"/>
          <w:rtl/>
        </w:rPr>
        <w:t>وأن الضابط مُرادِف لها</w:t>
      </w:r>
      <w:r>
        <w:rPr>
          <w:rFonts w:ascii="Traditional Arabic" w:hAnsi="Traditional Arabic" w:hint="cs"/>
          <w:rtl/>
        </w:rPr>
        <w:t>، فمعناه معناها</w:t>
      </w:r>
      <w:r w:rsidR="00C00AC8">
        <w:rPr>
          <w:rFonts w:ascii="Traditional Arabic" w:hAnsi="Traditional Arabic" w:hint="cs"/>
          <w:rtl/>
        </w:rPr>
        <w:t>.</w:t>
      </w:r>
      <w:r>
        <w:rPr>
          <w:rFonts w:ascii="Traditional Arabic" w:hAnsi="Traditional Arabic" w:hint="cs"/>
          <w:rtl/>
        </w:rPr>
        <w:t xml:space="preserve"> وسار على ذلك بعض الأئمة</w:t>
      </w:r>
      <w:r w:rsidRPr="00E22C45">
        <w:rPr>
          <w:rFonts w:ascii="Traditional Arabic" w:hAnsi="Traditional Arabic" w:hint="cs"/>
          <w:vertAlign w:val="superscript"/>
          <w:rtl/>
        </w:rPr>
        <w:t>(</w:t>
      </w:r>
      <w:r w:rsidRPr="00E22C45">
        <w:rPr>
          <w:rStyle w:val="af1"/>
          <w:rFonts w:ascii="Traditional Arabic" w:hAnsi="Traditional Arabic"/>
          <w:rtl/>
        </w:rPr>
        <w:footnoteReference w:id="115"/>
      </w:r>
      <w:r w:rsidRPr="00E22C45">
        <w:rPr>
          <w:rFonts w:ascii="Traditional Arabic" w:hAnsi="Traditional Arabic" w:hint="cs"/>
          <w:vertAlign w:val="superscript"/>
          <w:rtl/>
        </w:rPr>
        <w:t>)</w:t>
      </w:r>
      <w:r>
        <w:rPr>
          <w:rFonts w:ascii="Traditional Arabic" w:hAnsi="Traditional Arabic" w:hint="cs"/>
          <w:rtl/>
        </w:rPr>
        <w:t>.</w:t>
      </w:r>
    </w:p>
    <w:p w:rsidR="00E22C45" w:rsidRDefault="00E22C45" w:rsidP="00D509F4">
      <w:pPr>
        <w:spacing w:line="640" w:lineRule="exact"/>
        <w:jc w:val="lowKashida"/>
        <w:rPr>
          <w:rFonts w:ascii="Traditional Arabic" w:hAnsi="Traditional Arabic"/>
          <w:rtl/>
        </w:rPr>
      </w:pPr>
      <w:r>
        <w:rPr>
          <w:rFonts w:ascii="Traditional Arabic" w:hAnsi="Traditional Arabic" w:hint="cs"/>
          <w:b/>
          <w:bCs/>
          <w:rtl/>
        </w:rPr>
        <w:t xml:space="preserve">الثاني: </w:t>
      </w:r>
      <w:r>
        <w:rPr>
          <w:rFonts w:ascii="Traditional Arabic" w:hAnsi="Traditional Arabic" w:hint="cs"/>
          <w:rtl/>
        </w:rPr>
        <w:t xml:space="preserve">التفريق بين الضابط والقاعدة، </w:t>
      </w:r>
      <w:r w:rsidR="00DB2B5C">
        <w:rPr>
          <w:rFonts w:ascii="Traditional Arabic" w:hAnsi="Traditional Arabic" w:hint="cs"/>
          <w:rtl/>
        </w:rPr>
        <w:t xml:space="preserve">وأن القاعدة تجمع فروعا من أبواب شتى، والضابط يجمعها من باب واحد، </w:t>
      </w:r>
      <w:r>
        <w:rPr>
          <w:rFonts w:ascii="Traditional Arabic" w:hAnsi="Traditional Arabic" w:hint="cs"/>
          <w:rtl/>
        </w:rPr>
        <w:t>و</w:t>
      </w:r>
      <w:r w:rsidR="00027B98">
        <w:rPr>
          <w:rFonts w:ascii="Traditional Arabic" w:hAnsi="Traditional Arabic" w:hint="cs"/>
          <w:rtl/>
        </w:rPr>
        <w:t>هذا الا</w:t>
      </w:r>
      <w:r w:rsidR="00DB2B5C">
        <w:rPr>
          <w:rFonts w:ascii="Traditional Arabic" w:hAnsi="Traditional Arabic" w:hint="cs"/>
          <w:rtl/>
        </w:rPr>
        <w:t xml:space="preserve">تجاه </w:t>
      </w:r>
      <w:r>
        <w:rPr>
          <w:rFonts w:ascii="Traditional Arabic" w:hAnsi="Traditional Arabic" w:hint="cs"/>
          <w:rtl/>
        </w:rPr>
        <w:t>عليه جمهرة علماء هذا الفن</w:t>
      </w:r>
      <w:r w:rsidRPr="00E22C45">
        <w:rPr>
          <w:rFonts w:ascii="Traditional Arabic" w:hAnsi="Traditional Arabic" w:hint="cs"/>
          <w:vertAlign w:val="superscript"/>
          <w:rtl/>
        </w:rPr>
        <w:t>(</w:t>
      </w:r>
      <w:r w:rsidRPr="00E22C45">
        <w:rPr>
          <w:rStyle w:val="af1"/>
          <w:rFonts w:ascii="Traditional Arabic" w:hAnsi="Traditional Arabic"/>
          <w:rtl/>
        </w:rPr>
        <w:footnoteReference w:id="116"/>
      </w:r>
      <w:r w:rsidRPr="00E22C45">
        <w:rPr>
          <w:rFonts w:ascii="Traditional Arabic" w:hAnsi="Traditional Arabic" w:hint="cs"/>
          <w:vertAlign w:val="superscript"/>
          <w:rtl/>
        </w:rPr>
        <w:t>)</w:t>
      </w:r>
      <w:r w:rsidR="00C00AC8">
        <w:rPr>
          <w:rFonts w:ascii="Traditional Arabic" w:hAnsi="Traditional Arabic" w:hint="cs"/>
          <w:rtl/>
        </w:rPr>
        <w:t>.</w:t>
      </w:r>
      <w:r>
        <w:rPr>
          <w:rFonts w:ascii="Traditional Arabic" w:hAnsi="Traditional Arabic" w:hint="cs"/>
          <w:rtl/>
        </w:rPr>
        <w:t xml:space="preserve"> وسار عليه أغل</w:t>
      </w:r>
      <w:r w:rsidR="0038224B">
        <w:rPr>
          <w:rFonts w:ascii="Traditional Arabic" w:hAnsi="Traditional Arabic" w:hint="cs"/>
          <w:rtl/>
        </w:rPr>
        <w:t xml:space="preserve">ب من تطرق إلى الفرق بين </w:t>
      </w:r>
      <w:r>
        <w:rPr>
          <w:rFonts w:ascii="Traditional Arabic" w:hAnsi="Traditional Arabic" w:hint="cs"/>
          <w:rtl/>
        </w:rPr>
        <w:t xml:space="preserve">القاعدة </w:t>
      </w:r>
      <w:r w:rsidR="0038224B">
        <w:rPr>
          <w:rFonts w:ascii="Traditional Arabic" w:hAnsi="Traditional Arabic" w:hint="cs"/>
          <w:rtl/>
        </w:rPr>
        <w:t xml:space="preserve">والضابط </w:t>
      </w:r>
      <w:r>
        <w:rPr>
          <w:rFonts w:ascii="Traditional Arabic" w:hAnsi="Traditional Arabic" w:hint="cs"/>
          <w:rtl/>
        </w:rPr>
        <w:t>من المعاصرين</w:t>
      </w:r>
      <w:r w:rsidRPr="00E22C45">
        <w:rPr>
          <w:rFonts w:ascii="Traditional Arabic" w:hAnsi="Traditional Arabic" w:hint="cs"/>
          <w:vertAlign w:val="superscript"/>
          <w:rtl/>
        </w:rPr>
        <w:t>(</w:t>
      </w:r>
      <w:r w:rsidRPr="00E22C45">
        <w:rPr>
          <w:rStyle w:val="af1"/>
          <w:rFonts w:ascii="Traditional Arabic" w:hAnsi="Traditional Arabic"/>
          <w:rtl/>
        </w:rPr>
        <w:footnoteReference w:id="117"/>
      </w:r>
      <w:r w:rsidRPr="00E22C45">
        <w:rPr>
          <w:rFonts w:ascii="Traditional Arabic" w:hAnsi="Traditional Arabic" w:hint="cs"/>
          <w:vertAlign w:val="superscript"/>
          <w:rtl/>
        </w:rPr>
        <w:t>)</w:t>
      </w:r>
      <w:r>
        <w:rPr>
          <w:rFonts w:ascii="Traditional Arabic" w:hAnsi="Traditional Arabic" w:hint="cs"/>
          <w:rtl/>
        </w:rPr>
        <w:t>.</w:t>
      </w:r>
    </w:p>
    <w:p w:rsidR="00E22C45" w:rsidRDefault="00DB2B5C" w:rsidP="00B93718">
      <w:pPr>
        <w:widowControl/>
        <w:autoSpaceDE w:val="0"/>
        <w:autoSpaceDN w:val="0"/>
        <w:adjustRightInd w:val="0"/>
        <w:ind w:firstLine="0"/>
        <w:jc w:val="left"/>
        <w:rPr>
          <w:rFonts w:ascii="Traditional Arabic" w:hAnsi="Traditional Arabic"/>
          <w:b/>
          <w:bCs/>
          <w:noProof w:val="0"/>
          <w:sz w:val="44"/>
          <w:szCs w:val="44"/>
          <w:rtl/>
          <w:lang w:eastAsia="en-US"/>
        </w:rPr>
      </w:pPr>
      <w:r>
        <w:rPr>
          <w:rFonts w:ascii="Traditional Arabic" w:hAnsi="Traditional Arabic" w:hint="cs"/>
          <w:rtl/>
        </w:rPr>
        <w:t xml:space="preserve">    </w:t>
      </w:r>
      <w:r w:rsidR="00E22C45">
        <w:rPr>
          <w:rFonts w:ascii="Traditional Arabic" w:hAnsi="Traditional Arabic" w:hint="cs"/>
          <w:rtl/>
        </w:rPr>
        <w:t xml:space="preserve">يقول </w:t>
      </w:r>
      <w:r w:rsidR="00B93718">
        <w:rPr>
          <w:rFonts w:ascii="Traditional Arabic" w:hAnsi="Traditional Arabic" w:hint="cs"/>
          <w:rtl/>
        </w:rPr>
        <w:t xml:space="preserve">العلامة </w:t>
      </w:r>
      <w:r w:rsidR="00E22C45">
        <w:rPr>
          <w:rFonts w:ascii="Traditional Arabic" w:hAnsi="Traditional Arabic" w:hint="cs"/>
          <w:rtl/>
        </w:rPr>
        <w:t xml:space="preserve">تاج الدين السبكي_رحمه الله_: ( </w:t>
      </w:r>
      <w:r w:rsidR="00E22C45" w:rsidRPr="00E22C45">
        <w:rPr>
          <w:rFonts w:ascii="Traditional Arabic" w:hAnsi="Traditional Arabic"/>
          <w:noProof w:val="0"/>
          <w:color w:val="auto"/>
          <w:rtl/>
          <w:lang w:eastAsia="en-US"/>
        </w:rPr>
        <w:t>ومنها ما لا يختص بباب كقولنا : "اليقين لا يرفع بالشك"</w:t>
      </w:r>
      <w:r w:rsidR="00E22C45">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 xml:space="preserve"> ومنها ما يختص كقولنا : "كل كفارة سبب</w:t>
      </w:r>
      <w:r w:rsidR="00027B98">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ها معصية</w:t>
      </w:r>
      <w:r w:rsidR="00027B98">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 xml:space="preserve"> فهي على الفور"</w:t>
      </w:r>
      <w:r w:rsidR="00E22C45">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 xml:space="preserve"> والغالب فيما اختص بباب</w:t>
      </w:r>
      <w:r w:rsidR="00C00AC8">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 xml:space="preserve"> وق</w:t>
      </w:r>
      <w:r w:rsidR="00E22C45">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صد به ن</w:t>
      </w:r>
      <w:r w:rsidR="00E22C45">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ظ</w:t>
      </w:r>
      <w:r w:rsidR="00E22C45">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م</w:t>
      </w:r>
      <w:r w:rsidR="00C00AC8">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 xml:space="preserve"> ص</w:t>
      </w:r>
      <w:r w:rsidR="00E22C45">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و</w:t>
      </w:r>
      <w:r w:rsidR="00E22C45">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ر</w:t>
      </w:r>
      <w:r w:rsidR="00C00AC8">
        <w:rPr>
          <w:rFonts w:ascii="Traditional Arabic" w:hAnsi="Traditional Arabic" w:hint="cs"/>
          <w:noProof w:val="0"/>
          <w:color w:val="auto"/>
          <w:rtl/>
          <w:lang w:eastAsia="en-US"/>
        </w:rPr>
        <w:t>ٍ</w:t>
      </w:r>
      <w:r w:rsidR="00E22C45" w:rsidRPr="00E22C45">
        <w:rPr>
          <w:rFonts w:ascii="Traditional Arabic" w:hAnsi="Traditional Arabic"/>
          <w:noProof w:val="0"/>
          <w:color w:val="auto"/>
          <w:rtl/>
          <w:lang w:eastAsia="en-US"/>
        </w:rPr>
        <w:t xml:space="preserve"> متشابهة أن تسمى ضابطا</w:t>
      </w:r>
      <w:r w:rsidR="002D35AE">
        <w:rPr>
          <w:rFonts w:ascii="Traditional Arabic" w:hAnsi="Traditional Arabic" w:hint="cs"/>
          <w:noProof w:val="0"/>
          <w:color w:val="auto"/>
          <w:rtl/>
          <w:lang w:eastAsia="en-US"/>
        </w:rPr>
        <w:t>)</w:t>
      </w:r>
      <w:r w:rsidR="00C00AC8" w:rsidRPr="00C00AC8">
        <w:rPr>
          <w:rFonts w:ascii="Traditional Arabic" w:hAnsi="Traditional Arabic" w:hint="cs"/>
          <w:noProof w:val="0"/>
          <w:color w:val="auto"/>
          <w:vertAlign w:val="superscript"/>
          <w:rtl/>
          <w:lang w:eastAsia="en-US"/>
        </w:rPr>
        <w:t>(</w:t>
      </w:r>
      <w:r w:rsidR="002D35AE" w:rsidRPr="00C00AC8">
        <w:rPr>
          <w:rStyle w:val="af1"/>
          <w:rFonts w:ascii="Traditional Arabic" w:hAnsi="Traditional Arabic"/>
          <w:noProof w:val="0"/>
          <w:color w:val="auto"/>
          <w:rtl/>
          <w:lang w:eastAsia="en-US"/>
        </w:rPr>
        <w:footnoteReference w:id="118"/>
      </w:r>
      <w:r w:rsidR="00C00AC8" w:rsidRPr="00C00AC8">
        <w:rPr>
          <w:rFonts w:ascii="Traditional Arabic" w:hAnsi="Traditional Arabic" w:hint="cs"/>
          <w:noProof w:val="0"/>
          <w:color w:val="auto"/>
          <w:vertAlign w:val="superscript"/>
          <w:rtl/>
          <w:lang w:eastAsia="en-US"/>
        </w:rPr>
        <w:t>)</w:t>
      </w:r>
      <w:r w:rsidR="002D35AE">
        <w:rPr>
          <w:rFonts w:ascii="Traditional Arabic" w:hAnsi="Traditional Arabic" w:hint="cs"/>
          <w:noProof w:val="0"/>
          <w:color w:val="auto"/>
          <w:rtl/>
          <w:lang w:eastAsia="en-US"/>
        </w:rPr>
        <w:t>.</w:t>
      </w:r>
    </w:p>
    <w:p w:rsidR="00634F57" w:rsidRPr="00EA4890" w:rsidRDefault="00982D2B" w:rsidP="00EA4890">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b/>
          <w:bCs/>
          <w:noProof w:val="0"/>
          <w:sz w:val="44"/>
          <w:szCs w:val="44"/>
          <w:rtl/>
          <w:lang w:eastAsia="en-US"/>
        </w:rPr>
        <w:t xml:space="preserve">   </w:t>
      </w:r>
      <w:r w:rsidR="00647662">
        <w:rPr>
          <w:rFonts w:ascii="Traditional Arabic" w:hAnsi="Traditional Arabic" w:hint="cs"/>
          <w:b/>
          <w:bCs/>
          <w:noProof w:val="0"/>
          <w:sz w:val="44"/>
          <w:szCs w:val="44"/>
          <w:rtl/>
          <w:lang w:eastAsia="en-US"/>
        </w:rPr>
        <w:t xml:space="preserve"> </w:t>
      </w:r>
      <w:r>
        <w:rPr>
          <w:rFonts w:ascii="Traditional Arabic" w:hAnsi="Traditional Arabic" w:hint="cs"/>
          <w:noProof w:val="0"/>
          <w:rtl/>
          <w:lang w:eastAsia="en-US"/>
        </w:rPr>
        <w:t>والفرق بين التعريفين مجر</w:t>
      </w:r>
      <w:r w:rsidR="00E710BD">
        <w:rPr>
          <w:rFonts w:ascii="Traditional Arabic" w:hAnsi="Traditional Arabic" w:hint="cs"/>
          <w:noProof w:val="0"/>
          <w:rtl/>
          <w:lang w:eastAsia="en-US"/>
        </w:rPr>
        <w:t>َّ</w:t>
      </w:r>
      <w:r>
        <w:rPr>
          <w:rFonts w:ascii="Traditional Arabic" w:hAnsi="Traditional Arabic" w:hint="cs"/>
          <w:noProof w:val="0"/>
          <w:rtl/>
          <w:lang w:eastAsia="en-US"/>
        </w:rPr>
        <w:t>د</w:t>
      </w:r>
      <w:r w:rsidR="00E710BD">
        <w:rPr>
          <w:rFonts w:ascii="Traditional Arabic" w:hAnsi="Traditional Arabic" w:hint="cs"/>
          <w:noProof w:val="0"/>
          <w:rtl/>
          <w:lang w:eastAsia="en-US"/>
        </w:rPr>
        <w:t>ُ</w:t>
      </w:r>
      <w:r>
        <w:rPr>
          <w:rFonts w:ascii="Traditional Arabic" w:hAnsi="Traditional Arabic" w:hint="cs"/>
          <w:noProof w:val="0"/>
          <w:rtl/>
          <w:lang w:eastAsia="en-US"/>
        </w:rPr>
        <w:t xml:space="preserve"> اصطلاح، لا تترتب عليه ثمرة حقيقية، فإن إطلاق الضابط على ما اصطُلح أنه قاعدة كثير</w:t>
      </w:r>
      <w:r w:rsidR="00783054">
        <w:rPr>
          <w:rFonts w:ascii="Traditional Arabic" w:hAnsi="Traditional Arabic" w:hint="cs"/>
          <w:noProof w:val="0"/>
          <w:rtl/>
          <w:lang w:eastAsia="en-US"/>
        </w:rPr>
        <w:t>ٌ</w:t>
      </w:r>
      <w:r>
        <w:rPr>
          <w:rFonts w:ascii="Traditional Arabic" w:hAnsi="Traditional Arabic" w:hint="cs"/>
          <w:noProof w:val="0"/>
          <w:rtl/>
          <w:lang w:eastAsia="en-US"/>
        </w:rPr>
        <w:t xml:space="preserve"> في كتب الفقهاء</w:t>
      </w:r>
      <w:r w:rsidR="00E710BD" w:rsidRPr="00E710BD">
        <w:rPr>
          <w:rFonts w:ascii="Traditional Arabic" w:hAnsi="Traditional Arabic" w:hint="cs"/>
          <w:noProof w:val="0"/>
          <w:vertAlign w:val="superscript"/>
          <w:rtl/>
          <w:lang w:eastAsia="en-US"/>
        </w:rPr>
        <w:t>(</w:t>
      </w:r>
      <w:r w:rsidR="00E710BD" w:rsidRPr="00E710BD">
        <w:rPr>
          <w:rStyle w:val="af1"/>
          <w:rFonts w:ascii="Traditional Arabic" w:hAnsi="Traditional Arabic"/>
          <w:noProof w:val="0"/>
          <w:rtl/>
          <w:lang w:eastAsia="en-US"/>
        </w:rPr>
        <w:footnoteReference w:id="119"/>
      </w:r>
      <w:r w:rsidR="00E710BD" w:rsidRPr="00E710BD">
        <w:rPr>
          <w:rFonts w:ascii="Traditional Arabic" w:hAnsi="Traditional Arabic" w:hint="cs"/>
          <w:noProof w:val="0"/>
          <w:vertAlign w:val="superscript"/>
          <w:rtl/>
          <w:lang w:eastAsia="en-US"/>
        </w:rPr>
        <w:t>)</w:t>
      </w:r>
      <w:r w:rsidR="00E710BD">
        <w:rPr>
          <w:rFonts w:ascii="Traditional Arabic" w:hAnsi="Traditional Arabic" w:hint="cs"/>
          <w:noProof w:val="0"/>
          <w:rtl/>
          <w:lang w:eastAsia="en-US"/>
        </w:rPr>
        <w:t>.</w:t>
      </w:r>
      <w:r w:rsidR="000E6ABE">
        <w:rPr>
          <w:rFonts w:ascii="Traditional Arabic" w:hAnsi="Traditional Arabic" w:hint="cs"/>
          <w:noProof w:val="0"/>
          <w:rtl/>
          <w:lang w:eastAsia="en-US"/>
        </w:rPr>
        <w:t xml:space="preserve"> </w:t>
      </w:r>
    </w:p>
    <w:p w:rsidR="00E710BD" w:rsidRPr="00E710BD" w:rsidRDefault="00E710BD" w:rsidP="00E710BD">
      <w:pPr>
        <w:spacing w:line="640" w:lineRule="exact"/>
        <w:ind w:firstLine="0"/>
        <w:jc w:val="lowKashida"/>
        <w:rPr>
          <w:rFonts w:ascii="Traditional Arabic" w:hAnsi="Traditional Arabic"/>
          <w:b/>
          <w:bCs/>
          <w:rtl/>
        </w:rPr>
      </w:pPr>
      <w:r>
        <w:rPr>
          <w:rFonts w:ascii="Traditional Arabic" w:hAnsi="Traditional Arabic" w:hint="cs"/>
          <w:b/>
          <w:bCs/>
          <w:rtl/>
        </w:rPr>
        <w:lastRenderedPageBreak/>
        <w:t>تعريف الضابط الفقهي:</w:t>
      </w:r>
    </w:p>
    <w:p w:rsidR="00BA3488" w:rsidRDefault="00E710BD" w:rsidP="00BA3488">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0E6ABE">
        <w:rPr>
          <w:rFonts w:ascii="Traditional Arabic" w:hAnsi="Traditional Arabic" w:hint="cs"/>
          <w:noProof w:val="0"/>
          <w:rtl/>
          <w:lang w:eastAsia="en-US"/>
        </w:rPr>
        <w:t xml:space="preserve"> يمكن أن يعر</w:t>
      </w:r>
      <w:r>
        <w:rPr>
          <w:rFonts w:ascii="Traditional Arabic" w:hAnsi="Traditional Arabic" w:hint="cs"/>
          <w:noProof w:val="0"/>
          <w:rtl/>
          <w:lang w:eastAsia="en-US"/>
        </w:rPr>
        <w:t>َّف الضابط الفقهي</w:t>
      </w:r>
      <w:r w:rsidR="00BA3488">
        <w:rPr>
          <w:rFonts w:ascii="Traditional Arabic" w:hAnsi="Traditional Arabic" w:hint="cs"/>
          <w:noProof w:val="0"/>
          <w:rtl/>
          <w:lang w:eastAsia="en-US"/>
        </w:rPr>
        <w:t xml:space="preserve"> بناءً على القول بالتفريق بين الضابط والقاعدة </w:t>
      </w:r>
      <w:r>
        <w:rPr>
          <w:rFonts w:ascii="Traditional Arabic" w:hAnsi="Traditional Arabic" w:hint="cs"/>
          <w:noProof w:val="0"/>
          <w:rtl/>
          <w:lang w:eastAsia="en-US"/>
        </w:rPr>
        <w:t xml:space="preserve"> بأنه: </w:t>
      </w:r>
    </w:p>
    <w:p w:rsidR="00982D2B" w:rsidRPr="00982D2B" w:rsidRDefault="00101AB9" w:rsidP="00BA3488">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b/>
          <w:bCs/>
          <w:noProof w:val="0"/>
          <w:rtl/>
          <w:lang w:eastAsia="en-US"/>
        </w:rPr>
        <w:t>قضية كلية فقهية منطبقة</w:t>
      </w:r>
      <w:r w:rsidR="00B7479A" w:rsidRPr="00BA3488">
        <w:rPr>
          <w:rFonts w:ascii="Traditional Arabic" w:hAnsi="Traditional Arabic" w:hint="cs"/>
          <w:b/>
          <w:bCs/>
          <w:noProof w:val="0"/>
          <w:rtl/>
          <w:lang w:eastAsia="en-US"/>
        </w:rPr>
        <w:t xml:space="preserve"> </w:t>
      </w:r>
      <w:r w:rsidR="00E710BD" w:rsidRPr="00BA3488">
        <w:rPr>
          <w:rFonts w:ascii="Traditional Arabic" w:hAnsi="Traditional Arabic" w:hint="cs"/>
          <w:b/>
          <w:bCs/>
          <w:noProof w:val="0"/>
          <w:rtl/>
          <w:lang w:eastAsia="en-US"/>
        </w:rPr>
        <w:t>على فروع من باب</w:t>
      </w:r>
      <w:r w:rsidR="003932DA">
        <w:rPr>
          <w:rFonts w:ascii="Traditional Arabic" w:hAnsi="Traditional Arabic" w:hint="cs"/>
          <w:noProof w:val="0"/>
          <w:vertAlign w:val="superscript"/>
          <w:rtl/>
          <w:lang w:eastAsia="en-US"/>
        </w:rPr>
        <w:t xml:space="preserve"> </w:t>
      </w:r>
      <w:r w:rsidR="003932DA" w:rsidRPr="003932DA">
        <w:rPr>
          <w:rFonts w:ascii="Traditional Arabic" w:hAnsi="Traditional Arabic" w:hint="cs"/>
          <w:b/>
          <w:bCs/>
          <w:noProof w:val="0"/>
          <w:vertAlign w:val="superscript"/>
          <w:rtl/>
          <w:lang w:eastAsia="en-US"/>
        </w:rPr>
        <w:t xml:space="preserve"> </w:t>
      </w:r>
      <w:r w:rsidR="003932DA" w:rsidRPr="003932DA">
        <w:rPr>
          <w:rFonts w:ascii="Traditional Arabic" w:hAnsi="Traditional Arabic" w:hint="cs"/>
          <w:b/>
          <w:bCs/>
          <w:noProof w:val="0"/>
          <w:rtl/>
          <w:lang w:eastAsia="en-US"/>
        </w:rPr>
        <w:t>واحد</w:t>
      </w:r>
      <w:r w:rsidR="003932DA">
        <w:rPr>
          <w:rFonts w:ascii="Traditional Arabic" w:hAnsi="Traditional Arabic" w:hint="cs"/>
          <w:noProof w:val="0"/>
          <w:vertAlign w:val="superscript"/>
          <w:rtl/>
          <w:lang w:eastAsia="en-US"/>
        </w:rPr>
        <w:t xml:space="preserve"> </w:t>
      </w:r>
      <w:r w:rsidR="00B7479A" w:rsidRPr="00B7479A">
        <w:rPr>
          <w:rFonts w:ascii="Traditional Arabic" w:hAnsi="Traditional Arabic" w:hint="cs"/>
          <w:noProof w:val="0"/>
          <w:vertAlign w:val="superscript"/>
          <w:rtl/>
          <w:lang w:eastAsia="en-US"/>
        </w:rPr>
        <w:t>(</w:t>
      </w:r>
      <w:r w:rsidR="00B7479A" w:rsidRPr="00B7479A">
        <w:rPr>
          <w:rStyle w:val="af1"/>
          <w:rFonts w:ascii="Traditional Arabic" w:hAnsi="Traditional Arabic"/>
          <w:noProof w:val="0"/>
          <w:rtl/>
          <w:lang w:eastAsia="en-US"/>
        </w:rPr>
        <w:footnoteReference w:id="120"/>
      </w:r>
      <w:r w:rsidR="00B7479A" w:rsidRPr="00B7479A">
        <w:rPr>
          <w:rFonts w:ascii="Traditional Arabic" w:hAnsi="Traditional Arabic" w:hint="cs"/>
          <w:noProof w:val="0"/>
          <w:vertAlign w:val="superscript"/>
          <w:rtl/>
          <w:lang w:eastAsia="en-US"/>
        </w:rPr>
        <w:t>)</w:t>
      </w:r>
      <w:r w:rsidR="00B7479A">
        <w:rPr>
          <w:rFonts w:ascii="Traditional Arabic" w:hAnsi="Traditional Arabic" w:hint="cs"/>
          <w:noProof w:val="0"/>
          <w:rtl/>
          <w:lang w:eastAsia="en-US"/>
        </w:rPr>
        <w:t>.</w:t>
      </w:r>
      <w:r w:rsidR="00CB1A66">
        <w:rPr>
          <w:rFonts w:ascii="Traditional Arabic" w:hAnsi="Traditional Arabic" w:hint="cs"/>
          <w:noProof w:val="0"/>
          <w:rtl/>
          <w:lang w:eastAsia="en-US"/>
        </w:rPr>
        <w:t xml:space="preserve"> </w:t>
      </w:r>
    </w:p>
    <w:p w:rsidR="006F08E1" w:rsidRDefault="00634F57" w:rsidP="00A8347C">
      <w:pPr>
        <w:pStyle w:val="aff3"/>
        <w:rPr>
          <w:rtl/>
        </w:rPr>
      </w:pPr>
      <w:bookmarkStart w:id="26" w:name="_Toc334046285"/>
      <w:r>
        <w:rPr>
          <w:rFonts w:hint="cs"/>
          <w:rtl/>
        </w:rPr>
        <w:t xml:space="preserve">                                           </w:t>
      </w:r>
      <w:r w:rsidR="006F08E1">
        <w:rPr>
          <w:rFonts w:hint="cs"/>
          <w:rtl/>
        </w:rPr>
        <w:t>المطلب الثالث</w:t>
      </w:r>
      <w:r w:rsidR="001C50AE">
        <w:rPr>
          <w:rFonts w:hint="eastAsia"/>
          <w:rtl/>
        </w:rPr>
        <w:t> :</w:t>
      </w:r>
      <w:r w:rsidR="001C50AE">
        <w:rPr>
          <w:rFonts w:hint="cs"/>
          <w:rtl/>
        </w:rPr>
        <w:br/>
      </w:r>
      <w:r>
        <w:rPr>
          <w:rFonts w:hint="cs"/>
          <w:rtl/>
        </w:rPr>
        <w:t xml:space="preserve">                                       </w:t>
      </w:r>
      <w:r w:rsidR="006F08E1">
        <w:rPr>
          <w:rFonts w:hint="cs"/>
          <w:rtl/>
        </w:rPr>
        <w:t>تعريف القاعدة الأصولية</w:t>
      </w:r>
      <w:bookmarkEnd w:id="26"/>
    </w:p>
    <w:p w:rsidR="00B03A89" w:rsidRDefault="00647662" w:rsidP="00647662">
      <w:pPr>
        <w:pStyle w:val="53"/>
        <w:rPr>
          <w:rtl/>
        </w:rPr>
      </w:pPr>
      <w:r>
        <w:rPr>
          <w:rFonts w:hint="cs"/>
          <w:rtl/>
        </w:rPr>
        <w:t>أ-</w:t>
      </w:r>
      <w:r w:rsidR="006F08E1">
        <w:rPr>
          <w:rFonts w:hint="cs"/>
          <w:rtl/>
        </w:rPr>
        <w:t>الأصول</w:t>
      </w:r>
      <w:r w:rsidR="00AB0B9E" w:rsidRPr="001714C3">
        <w:rPr>
          <w:rtl/>
        </w:rPr>
        <w:fldChar w:fldCharType="begin"/>
      </w:r>
      <w:r w:rsidR="001714C3" w:rsidRPr="00531753">
        <w:rPr>
          <w:bCs w:val="0"/>
        </w:rPr>
        <w:instrText>XE</w:instrText>
      </w:r>
      <w:r w:rsidR="001714C3" w:rsidRPr="00531753">
        <w:rPr>
          <w:bCs w:val="0"/>
          <w:rtl/>
        </w:rPr>
        <w:instrText xml:space="preserve"> "الأصل" \</w:instrText>
      </w:r>
      <w:r w:rsidR="001714C3" w:rsidRPr="00531753">
        <w:rPr>
          <w:bCs w:val="0"/>
        </w:rPr>
        <w:instrText>fm</w:instrText>
      </w:r>
      <w:r w:rsidR="00AB0B9E" w:rsidRPr="001714C3">
        <w:rPr>
          <w:rtl/>
        </w:rPr>
        <w:fldChar w:fldCharType="end"/>
      </w:r>
      <w:r w:rsidR="006F08E1">
        <w:rPr>
          <w:rFonts w:hint="cs"/>
          <w:rtl/>
        </w:rPr>
        <w:t xml:space="preserve"> لغة:</w:t>
      </w:r>
    </w:p>
    <w:p w:rsidR="006F08E1" w:rsidRPr="003B1CB0" w:rsidRDefault="006F08E1" w:rsidP="00597C20">
      <w:pPr>
        <w:rPr>
          <w:b/>
          <w:bCs/>
          <w:rtl/>
        </w:rPr>
      </w:pPr>
      <w:r>
        <w:rPr>
          <w:rFonts w:ascii="Traditional Arabic" w:hAnsi="Traditional Arabic" w:hint="cs"/>
          <w:rtl/>
        </w:rPr>
        <w:t xml:space="preserve">جمع أصل، والأصل في اللغة </w:t>
      </w:r>
      <w:r w:rsidRPr="003B1CB0">
        <w:rPr>
          <w:rFonts w:hint="cs"/>
          <w:rtl/>
        </w:rPr>
        <w:t>يطلق على معانٍ متعددة،</w:t>
      </w:r>
      <w:r w:rsidR="00154102">
        <w:rPr>
          <w:rFonts w:hint="cs"/>
          <w:rtl/>
        </w:rPr>
        <w:t xml:space="preserve"> و</w:t>
      </w:r>
      <w:r w:rsidRPr="003B1CB0">
        <w:rPr>
          <w:rFonts w:hint="cs"/>
          <w:rtl/>
        </w:rPr>
        <w:t>قد ذكر أصحاب المعاجم اللغوية بعضا</w:t>
      </w:r>
      <w:r w:rsidR="00BA3488">
        <w:rPr>
          <w:rFonts w:hint="cs"/>
          <w:rtl/>
        </w:rPr>
        <w:t>ً</w:t>
      </w:r>
      <w:r w:rsidRPr="003B1CB0">
        <w:rPr>
          <w:rFonts w:hint="cs"/>
          <w:rtl/>
        </w:rPr>
        <w:t xml:space="preserve"> منها،</w:t>
      </w:r>
      <w:r w:rsidR="00154102">
        <w:rPr>
          <w:rFonts w:hint="cs"/>
          <w:rtl/>
        </w:rPr>
        <w:t xml:space="preserve"> و</w:t>
      </w:r>
      <w:r w:rsidRPr="003B1CB0">
        <w:rPr>
          <w:rFonts w:hint="cs"/>
          <w:rtl/>
        </w:rPr>
        <w:t>زاد الأصوليون كثيرا مما لم يذكره أهل اللغة</w:t>
      </w:r>
      <w:r w:rsidRPr="00C821A1">
        <w:rPr>
          <w:rStyle w:val="af1"/>
          <w:szCs w:val="32"/>
          <w:rtl/>
        </w:rPr>
        <w:t>(</w:t>
      </w:r>
      <w:r w:rsidRPr="00C821A1">
        <w:rPr>
          <w:rStyle w:val="af1"/>
          <w:szCs w:val="32"/>
          <w:rtl/>
        </w:rPr>
        <w:footnoteReference w:id="121"/>
      </w:r>
      <w:r w:rsidRPr="00C821A1">
        <w:rPr>
          <w:rStyle w:val="af1"/>
          <w:szCs w:val="32"/>
          <w:rtl/>
        </w:rPr>
        <w:t>)</w:t>
      </w:r>
      <w:r w:rsidRPr="003B1CB0">
        <w:rPr>
          <w:rFonts w:hint="cs"/>
          <w:rtl/>
        </w:rPr>
        <w:t>،</w:t>
      </w:r>
      <w:r w:rsidR="00154102">
        <w:rPr>
          <w:rFonts w:hint="cs"/>
          <w:rtl/>
        </w:rPr>
        <w:t xml:space="preserve"> و</w:t>
      </w:r>
      <w:r w:rsidRPr="003B1CB0">
        <w:rPr>
          <w:rFonts w:hint="cs"/>
          <w:rtl/>
        </w:rPr>
        <w:t>فيما يلي بيان</w:t>
      </w:r>
      <w:r w:rsidR="00BA3488">
        <w:rPr>
          <w:rFonts w:hint="cs"/>
          <w:rtl/>
        </w:rPr>
        <w:t>ٌ</w:t>
      </w:r>
      <w:r w:rsidRPr="003B1CB0">
        <w:rPr>
          <w:rFonts w:hint="cs"/>
          <w:rtl/>
        </w:rPr>
        <w:t xml:space="preserve"> لأهم هذه المعاني:</w:t>
      </w:r>
    </w:p>
    <w:p w:rsidR="00065E4B" w:rsidRPr="003B1CB0" w:rsidRDefault="006F08E1" w:rsidP="00597C20">
      <w:pPr>
        <w:pStyle w:val="61"/>
        <w:rPr>
          <w:rtl/>
        </w:rPr>
      </w:pPr>
      <w:r w:rsidRPr="003B1CB0">
        <w:rPr>
          <w:rFonts w:hint="cs"/>
          <w:rtl/>
        </w:rPr>
        <w:t>المعنى الأول:</w:t>
      </w:r>
    </w:p>
    <w:p w:rsidR="006F08E1" w:rsidRPr="003B1CB0" w:rsidRDefault="00065E4B" w:rsidP="00B93718">
      <w:pPr>
        <w:rPr>
          <w:b/>
          <w:bCs/>
          <w:rtl/>
        </w:rPr>
      </w:pPr>
      <w:r w:rsidRPr="003B1CB0">
        <w:rPr>
          <w:rFonts w:hint="cs"/>
          <w:rtl/>
        </w:rPr>
        <w:t>ي</w:t>
      </w:r>
      <w:r w:rsidR="006F08E1" w:rsidRPr="003B1CB0">
        <w:rPr>
          <w:rFonts w:hint="cs"/>
          <w:rtl/>
        </w:rPr>
        <w:t xml:space="preserve">قول ابن فارس </w:t>
      </w:r>
      <w:r w:rsidR="009A0575" w:rsidRPr="005D5694">
        <w:rPr>
          <w:rFonts w:ascii="Traditional Arabic" w:hAnsi="Traditional Arabic" w:cs="CTraditional Arabic" w:hint="cs"/>
          <w:rtl/>
        </w:rPr>
        <w:t>/</w:t>
      </w:r>
      <w:r w:rsidR="006F08E1" w:rsidRPr="003B1CB0">
        <w:rPr>
          <w:rFonts w:hint="cs"/>
          <w:rtl/>
        </w:rPr>
        <w:t>:</w:t>
      </w:r>
      <w:r w:rsidR="00BA3488">
        <w:rPr>
          <w:rFonts w:ascii="Traditional Arabic" w:hAnsi="Traditional Arabic" w:hint="cs"/>
          <w:color w:val="auto"/>
          <w:rtl/>
          <w:lang w:eastAsia="en-US"/>
        </w:rPr>
        <w:t xml:space="preserve"> (</w:t>
      </w:r>
      <w:r w:rsidR="006F08E1" w:rsidRPr="003B1CB0">
        <w:rPr>
          <w:rFonts w:ascii="Traditional Arabic" w:hAnsi="Traditional Arabic"/>
          <w:color w:val="auto"/>
          <w:rtl/>
          <w:lang w:eastAsia="en-US"/>
        </w:rPr>
        <w:t xml:space="preserve">الهمزة والصاد واللام، ثلاثة أصولٍ متباعدٍ بعضُها من بعض، أحدها: </w:t>
      </w:r>
      <w:r w:rsidR="006F08E1" w:rsidRPr="003B1CB0">
        <w:rPr>
          <w:rFonts w:ascii="Traditional Arabic" w:hAnsi="Traditional Arabic"/>
          <w:color w:val="auto"/>
          <w:rtl/>
          <w:lang w:eastAsia="en-US"/>
        </w:rPr>
        <w:lastRenderedPageBreak/>
        <w:t>أساس الشيء</w:t>
      </w:r>
      <w:r w:rsidR="00BA3488">
        <w:rPr>
          <w:rFonts w:ascii="Traditional Arabic" w:hAnsi="Traditional Arabic" w:hint="cs"/>
          <w:color w:val="auto"/>
          <w:rtl/>
          <w:lang w:eastAsia="en-US"/>
        </w:rPr>
        <w:t>)</w:t>
      </w:r>
      <w:r w:rsidR="006F08E1" w:rsidRPr="00C821A1">
        <w:rPr>
          <w:rStyle w:val="af1"/>
          <w:szCs w:val="32"/>
          <w:rtl/>
        </w:rPr>
        <w:t>(</w:t>
      </w:r>
      <w:r w:rsidR="006F08E1" w:rsidRPr="00C821A1">
        <w:rPr>
          <w:rStyle w:val="af1"/>
          <w:szCs w:val="32"/>
          <w:rtl/>
        </w:rPr>
        <w:footnoteReference w:id="122"/>
      </w:r>
      <w:r w:rsidR="006F08E1" w:rsidRPr="00C821A1">
        <w:rPr>
          <w:rStyle w:val="af1"/>
          <w:szCs w:val="32"/>
          <w:rtl/>
        </w:rPr>
        <w:t>)</w:t>
      </w:r>
      <w:r w:rsidR="00BA3488">
        <w:rPr>
          <w:rFonts w:hint="cs"/>
          <w:rtl/>
        </w:rPr>
        <w:t>.و</w:t>
      </w:r>
      <w:r w:rsidR="006F08E1" w:rsidRPr="003B1CB0">
        <w:rPr>
          <w:rFonts w:hint="cs"/>
          <w:rtl/>
        </w:rPr>
        <w:t>منه قولهم:</w:t>
      </w:r>
      <w:r w:rsidR="00BA3488">
        <w:rPr>
          <w:rFonts w:hint="cs"/>
          <w:rtl/>
        </w:rPr>
        <w:t xml:space="preserve"> </w:t>
      </w:r>
      <w:r w:rsidR="006F08E1" w:rsidRPr="003B1CB0">
        <w:rPr>
          <w:rFonts w:hint="cs"/>
          <w:rtl/>
        </w:rPr>
        <w:t>أساس الحائط أصله</w:t>
      </w:r>
      <w:r w:rsidR="006F08E1" w:rsidRPr="00C821A1">
        <w:rPr>
          <w:rStyle w:val="af1"/>
          <w:szCs w:val="32"/>
          <w:rtl/>
        </w:rPr>
        <w:t>(</w:t>
      </w:r>
      <w:r w:rsidR="006F08E1" w:rsidRPr="00C821A1">
        <w:rPr>
          <w:rStyle w:val="af1"/>
          <w:szCs w:val="32"/>
          <w:rtl/>
        </w:rPr>
        <w:footnoteReference w:id="123"/>
      </w:r>
      <w:r w:rsidR="006F08E1" w:rsidRPr="00C821A1">
        <w:rPr>
          <w:rStyle w:val="af1"/>
          <w:szCs w:val="32"/>
          <w:rtl/>
        </w:rPr>
        <w:t>)</w:t>
      </w:r>
      <w:r w:rsidR="006F08E1" w:rsidRPr="003B1CB0">
        <w:rPr>
          <w:rFonts w:hint="cs"/>
          <w:rtl/>
        </w:rPr>
        <w:t>.</w:t>
      </w:r>
    </w:p>
    <w:p w:rsidR="00065E4B" w:rsidRPr="003B1CB0" w:rsidRDefault="006F08E1" w:rsidP="00597C20">
      <w:pPr>
        <w:pStyle w:val="61"/>
        <w:rPr>
          <w:rtl/>
        </w:rPr>
      </w:pPr>
      <w:r w:rsidRPr="003B1CB0">
        <w:rPr>
          <w:rFonts w:hint="cs"/>
          <w:rtl/>
        </w:rPr>
        <w:t>المعنى الثاني:</w:t>
      </w:r>
    </w:p>
    <w:p w:rsidR="006F08E1" w:rsidRPr="003B1CB0" w:rsidRDefault="00065E4B" w:rsidP="00597C20">
      <w:pPr>
        <w:rPr>
          <w:b/>
          <w:bCs/>
          <w:rtl/>
        </w:rPr>
      </w:pPr>
      <w:r w:rsidRPr="003B1CB0">
        <w:rPr>
          <w:rFonts w:hint="cs"/>
          <w:rtl/>
        </w:rPr>
        <w:t>ا</w:t>
      </w:r>
      <w:r w:rsidR="006F08E1" w:rsidRPr="003B1CB0">
        <w:rPr>
          <w:rFonts w:hint="cs"/>
          <w:rtl/>
        </w:rPr>
        <w:t>لأصل هو أسفل الشيء</w:t>
      </w:r>
      <w:r w:rsidR="006F08E1" w:rsidRPr="00C821A1">
        <w:rPr>
          <w:rStyle w:val="af1"/>
          <w:szCs w:val="32"/>
          <w:rtl/>
        </w:rPr>
        <w:t>(</w:t>
      </w:r>
      <w:r w:rsidR="006F08E1" w:rsidRPr="00C821A1">
        <w:rPr>
          <w:rStyle w:val="af1"/>
          <w:szCs w:val="32"/>
          <w:rtl/>
        </w:rPr>
        <w:footnoteReference w:id="124"/>
      </w:r>
      <w:r w:rsidR="006F08E1" w:rsidRPr="00C821A1">
        <w:rPr>
          <w:rStyle w:val="af1"/>
          <w:szCs w:val="32"/>
          <w:rtl/>
        </w:rPr>
        <w:t>)</w:t>
      </w:r>
      <w:r w:rsidR="006F08E1" w:rsidRPr="003B1CB0">
        <w:rPr>
          <w:rFonts w:hint="cs"/>
          <w:rtl/>
        </w:rPr>
        <w:t>.</w:t>
      </w:r>
    </w:p>
    <w:p w:rsidR="00065E4B" w:rsidRPr="003B1CB0" w:rsidRDefault="006F08E1" w:rsidP="00597C20">
      <w:pPr>
        <w:pStyle w:val="61"/>
        <w:rPr>
          <w:rtl/>
        </w:rPr>
      </w:pPr>
      <w:r w:rsidRPr="003B1CB0">
        <w:rPr>
          <w:rFonts w:hint="cs"/>
          <w:rtl/>
        </w:rPr>
        <w:t>المعنى الثالث:</w:t>
      </w:r>
    </w:p>
    <w:p w:rsidR="006F08E1" w:rsidRPr="003B1CB0" w:rsidRDefault="00065E4B" w:rsidP="00597C20">
      <w:pPr>
        <w:rPr>
          <w:b/>
          <w:bCs/>
          <w:rtl/>
        </w:rPr>
      </w:pPr>
      <w:r w:rsidRPr="003B1CB0">
        <w:rPr>
          <w:rFonts w:hint="cs"/>
          <w:rtl/>
        </w:rPr>
        <w:t>ا</w:t>
      </w:r>
      <w:r w:rsidR="00BA3488">
        <w:rPr>
          <w:rFonts w:hint="cs"/>
          <w:rtl/>
        </w:rPr>
        <w:t>لأصل هو مَنْشأ</w:t>
      </w:r>
      <w:r w:rsidR="006F08E1" w:rsidRPr="003B1CB0">
        <w:rPr>
          <w:rFonts w:hint="cs"/>
          <w:rtl/>
        </w:rPr>
        <w:t xml:space="preserve"> الشيء </w:t>
      </w:r>
      <w:r w:rsidR="006F08E1" w:rsidRPr="00C821A1">
        <w:rPr>
          <w:rStyle w:val="af1"/>
          <w:szCs w:val="32"/>
          <w:rtl/>
        </w:rPr>
        <w:t>(</w:t>
      </w:r>
      <w:r w:rsidR="006F08E1" w:rsidRPr="00C821A1">
        <w:rPr>
          <w:rStyle w:val="af1"/>
          <w:szCs w:val="32"/>
          <w:rtl/>
        </w:rPr>
        <w:footnoteReference w:id="125"/>
      </w:r>
      <w:r w:rsidR="006F08E1" w:rsidRPr="00C821A1">
        <w:rPr>
          <w:rStyle w:val="af1"/>
          <w:szCs w:val="32"/>
          <w:rtl/>
        </w:rPr>
        <w:t>)</w:t>
      </w:r>
      <w:r w:rsidR="006F08E1" w:rsidRPr="003B1CB0">
        <w:rPr>
          <w:rFonts w:hint="cs"/>
          <w:rtl/>
        </w:rPr>
        <w:t>.</w:t>
      </w:r>
    </w:p>
    <w:p w:rsidR="00065E4B" w:rsidRPr="003B1CB0" w:rsidRDefault="006F08E1" w:rsidP="00597C20">
      <w:pPr>
        <w:pStyle w:val="61"/>
        <w:rPr>
          <w:rtl/>
        </w:rPr>
      </w:pPr>
      <w:r w:rsidRPr="003B1CB0">
        <w:rPr>
          <w:rFonts w:hint="cs"/>
          <w:rtl/>
        </w:rPr>
        <w:t>المعنى الرابع:</w:t>
      </w:r>
    </w:p>
    <w:p w:rsidR="006F08E1" w:rsidRPr="003B1CB0" w:rsidRDefault="00065E4B" w:rsidP="00597C20">
      <w:pPr>
        <w:rPr>
          <w:b/>
          <w:bCs/>
          <w:rtl/>
        </w:rPr>
      </w:pPr>
      <w:r w:rsidRPr="003B1CB0">
        <w:rPr>
          <w:rFonts w:hint="cs"/>
          <w:rtl/>
        </w:rPr>
        <w:t>أ</w:t>
      </w:r>
      <w:r w:rsidR="006F08E1" w:rsidRPr="003B1CB0">
        <w:rPr>
          <w:rFonts w:hint="cs"/>
          <w:rtl/>
        </w:rPr>
        <w:t>صلُ كلِّ شيءٍ</w:t>
      </w:r>
      <w:r w:rsidR="00BA3488">
        <w:rPr>
          <w:rFonts w:hint="cs"/>
          <w:rtl/>
        </w:rPr>
        <w:t xml:space="preserve"> ما يَستند وجودُ ذلك الشيء إليه،</w:t>
      </w:r>
      <w:r w:rsidR="006F08E1" w:rsidRPr="003B1CB0">
        <w:rPr>
          <w:rFonts w:hint="cs"/>
          <w:rtl/>
        </w:rPr>
        <w:t xml:space="preserve"> كالأب إذ هو أصل</w:t>
      </w:r>
      <w:r w:rsidR="00BA3488">
        <w:rPr>
          <w:rFonts w:hint="cs"/>
          <w:rtl/>
        </w:rPr>
        <w:t>ٌ</w:t>
      </w:r>
      <w:r w:rsidR="006F08E1" w:rsidRPr="003B1CB0">
        <w:rPr>
          <w:rFonts w:hint="cs"/>
          <w:rtl/>
        </w:rPr>
        <w:t xml:space="preserve"> للولد</w:t>
      </w:r>
      <w:r w:rsidR="006F08E1" w:rsidRPr="00C821A1">
        <w:rPr>
          <w:rStyle w:val="af1"/>
          <w:szCs w:val="32"/>
          <w:rtl/>
        </w:rPr>
        <w:t>(</w:t>
      </w:r>
      <w:r w:rsidR="006F08E1" w:rsidRPr="00C821A1">
        <w:rPr>
          <w:rStyle w:val="af1"/>
          <w:szCs w:val="32"/>
          <w:rtl/>
        </w:rPr>
        <w:footnoteReference w:id="126"/>
      </w:r>
      <w:r w:rsidR="006F08E1" w:rsidRPr="00C821A1">
        <w:rPr>
          <w:rStyle w:val="af1"/>
          <w:szCs w:val="32"/>
          <w:rtl/>
        </w:rPr>
        <w:t>)</w:t>
      </w:r>
      <w:r w:rsidR="006F08E1" w:rsidRPr="003B1CB0">
        <w:rPr>
          <w:rFonts w:hint="cs"/>
          <w:rtl/>
        </w:rPr>
        <w:t>.</w:t>
      </w:r>
    </w:p>
    <w:p w:rsidR="00065E4B" w:rsidRPr="003B1CB0" w:rsidRDefault="006F08E1" w:rsidP="00597C20">
      <w:pPr>
        <w:pStyle w:val="61"/>
        <w:rPr>
          <w:rtl/>
        </w:rPr>
      </w:pPr>
      <w:r w:rsidRPr="003B1CB0">
        <w:rPr>
          <w:rFonts w:hint="cs"/>
          <w:rtl/>
        </w:rPr>
        <w:t>المعنى الخامس:</w:t>
      </w:r>
    </w:p>
    <w:p w:rsidR="006F08E1" w:rsidRPr="003B1CB0" w:rsidRDefault="00065E4B" w:rsidP="00597C20">
      <w:pPr>
        <w:rPr>
          <w:b/>
          <w:bCs/>
          <w:rtl/>
        </w:rPr>
      </w:pPr>
      <w:r w:rsidRPr="003B1CB0">
        <w:rPr>
          <w:rFonts w:hint="cs"/>
          <w:rtl/>
        </w:rPr>
        <w:t>ا</w:t>
      </w:r>
      <w:r w:rsidR="006F08E1" w:rsidRPr="003B1CB0">
        <w:rPr>
          <w:rFonts w:hint="cs"/>
          <w:rtl/>
        </w:rPr>
        <w:t>لأصل: ما يَبْتَني عليه غيرُه</w:t>
      </w:r>
      <w:r w:rsidR="00154102">
        <w:rPr>
          <w:rFonts w:hint="cs"/>
          <w:rtl/>
        </w:rPr>
        <w:t xml:space="preserve"> و</w:t>
      </w:r>
      <w:r w:rsidR="006F08E1" w:rsidRPr="003B1CB0">
        <w:rPr>
          <w:rFonts w:hint="cs"/>
          <w:rtl/>
        </w:rPr>
        <w:t>يتفرَّع عليه</w:t>
      </w:r>
      <w:r w:rsidR="006F08E1" w:rsidRPr="00C821A1">
        <w:rPr>
          <w:rStyle w:val="af1"/>
          <w:szCs w:val="32"/>
          <w:rtl/>
        </w:rPr>
        <w:t>(</w:t>
      </w:r>
      <w:r w:rsidR="006F08E1" w:rsidRPr="00C821A1">
        <w:rPr>
          <w:rStyle w:val="af1"/>
          <w:szCs w:val="32"/>
          <w:rtl/>
        </w:rPr>
        <w:footnoteReference w:id="127"/>
      </w:r>
      <w:r w:rsidR="006F08E1" w:rsidRPr="00C821A1">
        <w:rPr>
          <w:rStyle w:val="af1"/>
          <w:szCs w:val="32"/>
          <w:rtl/>
        </w:rPr>
        <w:t>)</w:t>
      </w:r>
      <w:r w:rsidR="006F08E1" w:rsidRPr="003B1CB0">
        <w:rPr>
          <w:rFonts w:hint="cs"/>
          <w:rtl/>
        </w:rPr>
        <w:t>.</w:t>
      </w:r>
    </w:p>
    <w:p w:rsidR="00065E4B" w:rsidRPr="003B1CB0" w:rsidRDefault="006F08E1" w:rsidP="00597C20">
      <w:pPr>
        <w:pStyle w:val="61"/>
        <w:rPr>
          <w:rtl/>
        </w:rPr>
      </w:pPr>
      <w:r w:rsidRPr="003B1CB0">
        <w:rPr>
          <w:rFonts w:hint="cs"/>
          <w:rtl/>
        </w:rPr>
        <w:t>المعنى السادس:</w:t>
      </w:r>
    </w:p>
    <w:p w:rsidR="006F08E1" w:rsidRPr="003B1CB0" w:rsidRDefault="00065E4B" w:rsidP="00597C20">
      <w:pPr>
        <w:rPr>
          <w:b/>
          <w:bCs/>
          <w:rtl/>
        </w:rPr>
      </w:pPr>
      <w:r w:rsidRPr="003B1CB0">
        <w:rPr>
          <w:rFonts w:hint="cs"/>
          <w:rtl/>
        </w:rPr>
        <w:t>أ</w:t>
      </w:r>
      <w:r w:rsidR="006F08E1" w:rsidRPr="003B1CB0">
        <w:rPr>
          <w:rFonts w:hint="cs"/>
          <w:rtl/>
        </w:rPr>
        <w:t>صلُ الشيء ما منه الشيءُ.</w:t>
      </w:r>
      <w:r w:rsidR="00154102">
        <w:rPr>
          <w:rFonts w:hint="cs"/>
          <w:rtl/>
        </w:rPr>
        <w:t xml:space="preserve"> و</w:t>
      </w:r>
      <w:r w:rsidR="006F08E1" w:rsidRPr="003B1CB0">
        <w:rPr>
          <w:rFonts w:hint="cs"/>
          <w:rtl/>
        </w:rPr>
        <w:t>"م</w:t>
      </w:r>
      <w:r w:rsidR="00BA3488">
        <w:rPr>
          <w:rFonts w:hint="cs"/>
          <w:rtl/>
        </w:rPr>
        <w:t>ِن"هنا إما تبعيضية، أي</w:t>
      </w:r>
      <w:r w:rsidR="006F08E1" w:rsidRPr="003B1CB0">
        <w:rPr>
          <w:rFonts w:hint="cs"/>
          <w:rtl/>
        </w:rPr>
        <w:t>:</w:t>
      </w:r>
      <w:r w:rsidR="00BA3488">
        <w:rPr>
          <w:rFonts w:hint="cs"/>
          <w:rtl/>
        </w:rPr>
        <w:t xml:space="preserve"> </w:t>
      </w:r>
      <w:r w:rsidR="006F08E1" w:rsidRPr="003B1CB0">
        <w:rPr>
          <w:rFonts w:hint="cs"/>
          <w:rtl/>
        </w:rPr>
        <w:t>ما بعض</w:t>
      </w:r>
      <w:r w:rsidR="00BA3488">
        <w:rPr>
          <w:rFonts w:hint="cs"/>
          <w:rtl/>
        </w:rPr>
        <w:t>ُ</w:t>
      </w:r>
      <w:r w:rsidR="006F08E1" w:rsidRPr="003B1CB0">
        <w:rPr>
          <w:rFonts w:hint="cs"/>
          <w:rtl/>
        </w:rPr>
        <w:t>ه الشيء</w:t>
      </w:r>
      <w:r w:rsidR="00BA3488">
        <w:rPr>
          <w:rFonts w:hint="cs"/>
          <w:rtl/>
        </w:rPr>
        <w:t>ُ</w:t>
      </w:r>
      <w:r w:rsidR="006F08E1" w:rsidRPr="003B1CB0">
        <w:rPr>
          <w:rFonts w:hint="cs"/>
          <w:rtl/>
        </w:rPr>
        <w:t>،</w:t>
      </w:r>
      <w:r w:rsidR="00154102">
        <w:rPr>
          <w:rFonts w:hint="cs"/>
          <w:rtl/>
        </w:rPr>
        <w:t xml:space="preserve"> و</w:t>
      </w:r>
      <w:r w:rsidR="006F08E1" w:rsidRPr="003B1CB0">
        <w:rPr>
          <w:rFonts w:hint="cs"/>
          <w:rtl/>
        </w:rPr>
        <w:t>الفرع بعض أصله، كالولد من الوالد،</w:t>
      </w:r>
      <w:r w:rsidR="00154102">
        <w:rPr>
          <w:rFonts w:hint="cs"/>
          <w:rtl/>
        </w:rPr>
        <w:t xml:space="preserve"> و</w:t>
      </w:r>
      <w:r w:rsidR="006F08E1" w:rsidRPr="003B1CB0">
        <w:rPr>
          <w:rFonts w:hint="cs"/>
          <w:rtl/>
        </w:rPr>
        <w:t>الغصن من الشجرة،</w:t>
      </w:r>
      <w:r w:rsidR="00154102">
        <w:rPr>
          <w:rFonts w:hint="cs"/>
          <w:rtl/>
        </w:rPr>
        <w:t xml:space="preserve"> و</w:t>
      </w:r>
      <w:r w:rsidR="006F08E1" w:rsidRPr="003B1CB0">
        <w:rPr>
          <w:rFonts w:hint="cs"/>
          <w:rtl/>
        </w:rPr>
        <w:t>إما أنها لابتداء الغاية، على معنى مبدأ ظهور الشيء</w:t>
      </w:r>
      <w:r w:rsidR="006F08E1" w:rsidRPr="00C821A1">
        <w:rPr>
          <w:rStyle w:val="af1"/>
          <w:szCs w:val="32"/>
          <w:rtl/>
        </w:rPr>
        <w:t>(</w:t>
      </w:r>
      <w:r w:rsidR="006F08E1" w:rsidRPr="00C821A1">
        <w:rPr>
          <w:rStyle w:val="af1"/>
          <w:szCs w:val="32"/>
          <w:rtl/>
        </w:rPr>
        <w:footnoteReference w:id="128"/>
      </w:r>
      <w:r w:rsidR="006F08E1" w:rsidRPr="00C821A1">
        <w:rPr>
          <w:rStyle w:val="af1"/>
          <w:szCs w:val="32"/>
          <w:rtl/>
        </w:rPr>
        <w:t>)</w:t>
      </w:r>
      <w:r w:rsidR="006F08E1" w:rsidRPr="003B1CB0">
        <w:rPr>
          <w:rFonts w:hint="cs"/>
          <w:rtl/>
        </w:rPr>
        <w:t>.</w:t>
      </w:r>
    </w:p>
    <w:p w:rsidR="00065E4B" w:rsidRPr="003B1CB0" w:rsidRDefault="006F08E1" w:rsidP="00597C20">
      <w:pPr>
        <w:pStyle w:val="61"/>
        <w:rPr>
          <w:rtl/>
        </w:rPr>
      </w:pPr>
      <w:r w:rsidRPr="003B1CB0">
        <w:rPr>
          <w:rFonts w:hint="cs"/>
          <w:rtl/>
        </w:rPr>
        <w:lastRenderedPageBreak/>
        <w:t>المعنى السابع:</w:t>
      </w:r>
    </w:p>
    <w:p w:rsidR="006F08E1" w:rsidRPr="00A14236" w:rsidRDefault="00065E4B" w:rsidP="00597C20">
      <w:pPr>
        <w:rPr>
          <w:b/>
          <w:bCs/>
          <w:rtl/>
        </w:rPr>
      </w:pPr>
      <w:r w:rsidRPr="00A14236">
        <w:rPr>
          <w:rFonts w:hint="cs"/>
          <w:rtl/>
        </w:rPr>
        <w:t>ا</w:t>
      </w:r>
      <w:r w:rsidR="006F08E1" w:rsidRPr="00A14236">
        <w:rPr>
          <w:rFonts w:hint="cs"/>
          <w:rtl/>
        </w:rPr>
        <w:t>لأصل هو المحتاج إليه</w:t>
      </w:r>
      <w:r w:rsidR="006F08E1" w:rsidRPr="00C821A1">
        <w:rPr>
          <w:rStyle w:val="af1"/>
          <w:szCs w:val="32"/>
          <w:rtl/>
        </w:rPr>
        <w:t>(</w:t>
      </w:r>
      <w:r w:rsidR="006F08E1" w:rsidRPr="00C821A1">
        <w:rPr>
          <w:rStyle w:val="af1"/>
          <w:szCs w:val="32"/>
          <w:rtl/>
        </w:rPr>
        <w:footnoteReference w:id="129"/>
      </w:r>
      <w:r w:rsidR="006F08E1" w:rsidRPr="00C821A1">
        <w:rPr>
          <w:rStyle w:val="af1"/>
          <w:szCs w:val="32"/>
          <w:rtl/>
        </w:rPr>
        <w:t>)</w:t>
      </w:r>
      <w:r w:rsidR="006F08E1" w:rsidRPr="00A14236">
        <w:rPr>
          <w:rFonts w:hint="cs"/>
          <w:rtl/>
        </w:rPr>
        <w:t>.</w:t>
      </w:r>
    </w:p>
    <w:p w:rsidR="006F08E1" w:rsidRPr="00A14236" w:rsidRDefault="006F08E1" w:rsidP="00597C20">
      <w:pPr>
        <w:ind w:firstLine="0"/>
        <w:rPr>
          <w:b/>
          <w:bCs/>
          <w:rtl/>
        </w:rPr>
      </w:pPr>
      <w:r w:rsidRPr="00A14236">
        <w:rPr>
          <w:rFonts w:hint="cs"/>
          <w:rtl/>
        </w:rPr>
        <w:t>والذي يبدو- والله أعلم-</w:t>
      </w:r>
      <w:r>
        <w:rPr>
          <w:rFonts w:hint="cs"/>
          <w:rtl/>
        </w:rPr>
        <w:t xml:space="preserve"> أن أحسن هذه المعاني هو الخامس؛ </w:t>
      </w:r>
      <w:r w:rsidRPr="00A14236">
        <w:rPr>
          <w:rFonts w:hint="cs"/>
          <w:rtl/>
        </w:rPr>
        <w:t>لما يأتي:</w:t>
      </w:r>
    </w:p>
    <w:p w:rsidR="006F08E1" w:rsidRPr="00A14236" w:rsidRDefault="003932DA" w:rsidP="000A76C7">
      <w:pPr>
        <w:pStyle w:val="afc"/>
        <w:numPr>
          <w:ilvl w:val="0"/>
          <w:numId w:val="43"/>
        </w:numPr>
      </w:pPr>
      <w:r>
        <w:rPr>
          <w:rFonts w:hint="cs"/>
          <w:rtl/>
        </w:rPr>
        <w:t>أ</w:t>
      </w:r>
      <w:r w:rsidR="00BA3488">
        <w:rPr>
          <w:rFonts w:hint="cs"/>
          <w:rtl/>
        </w:rPr>
        <w:t>ن التعاريف الأخرى ل</w:t>
      </w:r>
      <w:r w:rsidR="006F08E1" w:rsidRPr="00A14236">
        <w:rPr>
          <w:rFonts w:hint="cs"/>
          <w:rtl/>
        </w:rPr>
        <w:t>لأصل يمكن إرجاعها إليه</w:t>
      </w:r>
      <w:r w:rsidR="00BA3488">
        <w:rPr>
          <w:rFonts w:hint="cs"/>
          <w:rtl/>
        </w:rPr>
        <w:t>،</w:t>
      </w:r>
      <w:r w:rsidR="006F08E1" w:rsidRPr="00A14236">
        <w:rPr>
          <w:rFonts w:hint="cs"/>
          <w:rtl/>
        </w:rPr>
        <w:t xml:space="preserve"> سواء التي ذكرها أهل اللغة أو أهل الأصول، فالأصل عند اللغويين هو الأساس، أو أسفل الشيء، أو منشأ الشيء الذي ينب</w:t>
      </w:r>
      <w:r w:rsidR="00BA3488">
        <w:rPr>
          <w:rFonts w:hint="cs"/>
          <w:rtl/>
        </w:rPr>
        <w:t>ُ</w:t>
      </w:r>
      <w:r w:rsidR="006F08E1" w:rsidRPr="00A14236">
        <w:rPr>
          <w:rFonts w:hint="cs"/>
          <w:rtl/>
        </w:rPr>
        <w:t>ت منه،</w:t>
      </w:r>
      <w:r w:rsidR="00154102">
        <w:rPr>
          <w:rFonts w:hint="cs"/>
          <w:rtl/>
        </w:rPr>
        <w:t xml:space="preserve"> و</w:t>
      </w:r>
      <w:r w:rsidR="006F08E1" w:rsidRPr="00A14236">
        <w:rPr>
          <w:rFonts w:hint="cs"/>
          <w:rtl/>
        </w:rPr>
        <w:t>من الواضح أن أساس الشيء</w:t>
      </w:r>
      <w:r w:rsidR="00154102">
        <w:rPr>
          <w:rFonts w:hint="cs"/>
          <w:rtl/>
        </w:rPr>
        <w:t xml:space="preserve"> و</w:t>
      </w:r>
      <w:r w:rsidR="006F08E1" w:rsidRPr="00A14236">
        <w:rPr>
          <w:rFonts w:hint="cs"/>
          <w:rtl/>
        </w:rPr>
        <w:t>أسفله</w:t>
      </w:r>
      <w:r w:rsidR="00154102">
        <w:rPr>
          <w:rFonts w:hint="cs"/>
          <w:rtl/>
        </w:rPr>
        <w:t xml:space="preserve"> و</w:t>
      </w:r>
      <w:r w:rsidR="006F08E1" w:rsidRPr="00A14236">
        <w:rPr>
          <w:rFonts w:hint="cs"/>
          <w:rtl/>
        </w:rPr>
        <w:t>منشأه هو الذي يقع عليه البناء</w:t>
      </w:r>
      <w:r w:rsidR="006F08E1" w:rsidRPr="00C821A1">
        <w:rPr>
          <w:rStyle w:val="af1"/>
          <w:szCs w:val="32"/>
          <w:rtl/>
        </w:rPr>
        <w:t>(</w:t>
      </w:r>
      <w:r w:rsidR="006F08E1" w:rsidRPr="00C821A1">
        <w:rPr>
          <w:rStyle w:val="af1"/>
          <w:szCs w:val="32"/>
          <w:rtl/>
        </w:rPr>
        <w:footnoteReference w:id="130"/>
      </w:r>
      <w:r w:rsidR="006F08E1" w:rsidRPr="00C821A1">
        <w:rPr>
          <w:rStyle w:val="af1"/>
          <w:szCs w:val="32"/>
          <w:rtl/>
        </w:rPr>
        <w:t>)</w:t>
      </w:r>
      <w:r w:rsidR="006F08E1" w:rsidRPr="00A14236">
        <w:rPr>
          <w:rFonts w:hint="cs"/>
          <w:rtl/>
        </w:rPr>
        <w:t>.</w:t>
      </w:r>
    </w:p>
    <w:p w:rsidR="00F228A9" w:rsidRPr="00A14236" w:rsidRDefault="006F08E1" w:rsidP="00597C20">
      <w:pPr>
        <w:pStyle w:val="afc"/>
        <w:ind w:firstLine="0"/>
        <w:rPr>
          <w:rtl/>
        </w:rPr>
      </w:pPr>
      <w:r w:rsidRPr="00A14236">
        <w:rPr>
          <w:rFonts w:hint="cs"/>
          <w:rtl/>
        </w:rPr>
        <w:t>و كذلك الأمر بالنسبة لتعريفات الأصوليين</w:t>
      </w:r>
      <w:r w:rsidR="00027B98">
        <w:rPr>
          <w:rFonts w:hint="cs"/>
          <w:rtl/>
        </w:rPr>
        <w:t xml:space="preserve"> الأخرى</w:t>
      </w:r>
      <w:r w:rsidRPr="00A14236">
        <w:rPr>
          <w:rFonts w:hint="cs"/>
          <w:rtl/>
        </w:rPr>
        <w:t>، فإنها في الجملة راجعة إلى التعريف اللغوي المختار</w:t>
      </w:r>
      <w:r w:rsidRPr="00C821A1">
        <w:rPr>
          <w:rStyle w:val="af1"/>
          <w:szCs w:val="32"/>
          <w:rtl/>
        </w:rPr>
        <w:t>(</w:t>
      </w:r>
      <w:r w:rsidRPr="00C821A1">
        <w:rPr>
          <w:rStyle w:val="af1"/>
          <w:szCs w:val="32"/>
          <w:rtl/>
        </w:rPr>
        <w:footnoteReference w:id="131"/>
      </w:r>
      <w:r w:rsidRPr="00C821A1">
        <w:rPr>
          <w:rStyle w:val="af1"/>
          <w:szCs w:val="32"/>
          <w:rtl/>
        </w:rPr>
        <w:t>)</w:t>
      </w:r>
      <w:r w:rsidRPr="00A14236">
        <w:rPr>
          <w:rFonts w:hint="cs"/>
          <w:rtl/>
        </w:rPr>
        <w:t>.</w:t>
      </w:r>
    </w:p>
    <w:p w:rsidR="00065E4B" w:rsidRPr="00A14236" w:rsidRDefault="003932DA" w:rsidP="000A76C7">
      <w:pPr>
        <w:pStyle w:val="afc"/>
        <w:numPr>
          <w:ilvl w:val="0"/>
          <w:numId w:val="43"/>
        </w:numPr>
      </w:pPr>
      <w:r>
        <w:rPr>
          <w:rFonts w:hint="cs"/>
          <w:rtl/>
        </w:rPr>
        <w:t>أ</w:t>
      </w:r>
      <w:r w:rsidR="006F08E1" w:rsidRPr="00A14236">
        <w:rPr>
          <w:rFonts w:hint="cs"/>
          <w:rtl/>
        </w:rPr>
        <w:t>ن هذا التعريف يشمل ما إذا كان الفرع مَبنيّاً على أصله، كما يشمل ما إذا كان متفرِّعاً عنه، فالسقف مبنيٌّ على الجدار،</w:t>
      </w:r>
      <w:r w:rsidR="00154102">
        <w:rPr>
          <w:rFonts w:hint="cs"/>
          <w:rtl/>
        </w:rPr>
        <w:t xml:space="preserve"> و</w:t>
      </w:r>
      <w:r w:rsidR="006F08E1" w:rsidRPr="00A14236">
        <w:rPr>
          <w:rFonts w:hint="cs"/>
          <w:rtl/>
        </w:rPr>
        <w:t>الولد متفرِّعٌ عن والده،</w:t>
      </w:r>
      <w:r w:rsidR="00154102">
        <w:rPr>
          <w:rFonts w:hint="cs"/>
          <w:rtl/>
        </w:rPr>
        <w:t xml:space="preserve"> و</w:t>
      </w:r>
      <w:r w:rsidR="006F08E1" w:rsidRPr="00A14236">
        <w:rPr>
          <w:rFonts w:hint="cs"/>
          <w:rtl/>
        </w:rPr>
        <w:t>لا يقال: إنه مبني عليه،و الله أعلم.</w:t>
      </w:r>
    </w:p>
    <w:p w:rsidR="006F08E1" w:rsidRPr="00A14236" w:rsidRDefault="00065E4B" w:rsidP="00597C20">
      <w:pPr>
        <w:autoSpaceDE w:val="0"/>
        <w:autoSpaceDN w:val="0"/>
        <w:adjustRightInd w:val="0"/>
        <w:rPr>
          <w:rFonts w:ascii="Traditional Arabic" w:hAnsi="Traditional Arabic"/>
          <w:b/>
          <w:bCs/>
          <w:lang w:eastAsia="en-US"/>
        </w:rPr>
      </w:pPr>
      <w:r w:rsidRPr="00A14236">
        <w:rPr>
          <w:rFonts w:hint="cs"/>
          <w:rtl/>
        </w:rPr>
        <w:t>ي</w:t>
      </w:r>
      <w:r w:rsidR="006F08E1" w:rsidRPr="00A14236">
        <w:rPr>
          <w:rFonts w:hint="cs"/>
          <w:rtl/>
        </w:rPr>
        <w:t xml:space="preserve">قول الشيخ ابن عثيمين </w:t>
      </w:r>
      <w:r w:rsidR="009A0575" w:rsidRPr="005D5694">
        <w:rPr>
          <w:rFonts w:ascii="Traditional Arabic" w:hAnsi="Traditional Arabic" w:cs="CTraditional Arabic" w:hint="cs"/>
          <w:rtl/>
        </w:rPr>
        <w:t>/</w:t>
      </w:r>
      <w:r w:rsidR="006F08E1" w:rsidRPr="00A14236">
        <w:rPr>
          <w:rFonts w:hint="cs"/>
          <w:rtl/>
        </w:rPr>
        <w:t xml:space="preserve"> : </w:t>
      </w:r>
      <w:r w:rsidR="00B76414">
        <w:rPr>
          <w:rFonts w:hint="cs"/>
          <w:rtl/>
        </w:rPr>
        <w:t>(</w:t>
      </w:r>
      <w:r w:rsidR="006F08E1" w:rsidRPr="00A14236">
        <w:rPr>
          <w:rFonts w:ascii="Traditional Arabic" w:hAnsi="Traditional Arabic"/>
          <w:rtl/>
          <w:lang w:eastAsia="en-US"/>
        </w:rPr>
        <w:t>فالأصول جمع</w:t>
      </w:r>
      <w:r w:rsidR="00103C36">
        <w:rPr>
          <w:rFonts w:ascii="Traditional Arabic" w:hAnsi="Traditional Arabic" w:hint="cs"/>
          <w:rtl/>
          <w:lang w:eastAsia="en-US"/>
        </w:rPr>
        <w:t>ُ</w:t>
      </w:r>
      <w:r w:rsidR="006F08E1" w:rsidRPr="00A14236">
        <w:rPr>
          <w:rFonts w:ascii="Traditional Arabic" w:hAnsi="Traditional Arabic"/>
          <w:rtl/>
          <w:lang w:eastAsia="en-US"/>
        </w:rPr>
        <w:t xml:space="preserve"> أصل، وهو في اللغة ما يتفرع منه الشيء أو ي</w:t>
      </w:r>
      <w:r w:rsidR="006F08E1" w:rsidRPr="00A14236">
        <w:rPr>
          <w:rFonts w:ascii="Traditional Arabic" w:hAnsi="Traditional Arabic" w:hint="cs"/>
          <w:rtl/>
          <w:lang w:eastAsia="en-US"/>
        </w:rPr>
        <w:t>ُ</w:t>
      </w:r>
      <w:r w:rsidR="006F08E1" w:rsidRPr="00A14236">
        <w:rPr>
          <w:rFonts w:ascii="Traditional Arabic" w:hAnsi="Traditional Arabic"/>
          <w:rtl/>
          <w:lang w:eastAsia="en-US"/>
        </w:rPr>
        <w:t>بنى عليه الشيء، فالأب أصل</w:t>
      </w:r>
      <w:r w:rsidR="006F08E1" w:rsidRPr="00A14236">
        <w:rPr>
          <w:rFonts w:ascii="Traditional Arabic" w:hAnsi="Traditional Arabic" w:hint="cs"/>
          <w:rtl/>
          <w:lang w:eastAsia="en-US"/>
        </w:rPr>
        <w:t>ٌ</w:t>
      </w:r>
      <w:r w:rsidR="006F08E1" w:rsidRPr="00A14236">
        <w:rPr>
          <w:rFonts w:ascii="Traditional Arabic" w:hAnsi="Traditional Arabic"/>
          <w:rtl/>
          <w:lang w:eastAsia="en-US"/>
        </w:rPr>
        <w:t xml:space="preserve"> للابن؛ لأن الابن متفر</w:t>
      </w:r>
      <w:r w:rsidR="006F08E1" w:rsidRPr="00A14236">
        <w:rPr>
          <w:rFonts w:ascii="Traditional Arabic" w:hAnsi="Traditional Arabic" w:hint="cs"/>
          <w:rtl/>
          <w:lang w:eastAsia="en-US"/>
        </w:rPr>
        <w:t>ِّ</w:t>
      </w:r>
      <w:r w:rsidR="006F08E1" w:rsidRPr="00A14236">
        <w:rPr>
          <w:rFonts w:ascii="Traditional Arabic" w:hAnsi="Traditional Arabic"/>
          <w:rtl/>
          <w:lang w:eastAsia="en-US"/>
        </w:rPr>
        <w:t>ع منه، وأساس الجدار أصل للجدار؛ لأن الجدار مبني</w:t>
      </w:r>
      <w:r w:rsidR="006F08E1" w:rsidRPr="00A14236">
        <w:rPr>
          <w:rFonts w:ascii="Traditional Arabic" w:hAnsi="Traditional Arabic" w:hint="cs"/>
          <w:rtl/>
          <w:lang w:eastAsia="en-US"/>
        </w:rPr>
        <w:t>ٌّ</w:t>
      </w:r>
      <w:r w:rsidR="006F08E1" w:rsidRPr="00A14236">
        <w:rPr>
          <w:rFonts w:ascii="Traditional Arabic" w:hAnsi="Traditional Arabic"/>
          <w:rtl/>
          <w:lang w:eastAsia="en-US"/>
        </w:rPr>
        <w:t xml:space="preserve"> عليه</w:t>
      </w:r>
      <w:r w:rsidR="006F08E1" w:rsidRPr="00A14236">
        <w:rPr>
          <w:rFonts w:ascii="Traditional Arabic" w:hAnsi="Traditional Arabic" w:hint="cs"/>
          <w:rtl/>
          <w:lang w:eastAsia="en-US"/>
        </w:rPr>
        <w:t>)</w:t>
      </w:r>
      <w:r w:rsidR="006F08E1" w:rsidRPr="00C821A1">
        <w:rPr>
          <w:rStyle w:val="af1"/>
          <w:szCs w:val="32"/>
          <w:rtl/>
        </w:rPr>
        <w:t>(</w:t>
      </w:r>
      <w:r w:rsidR="006F08E1" w:rsidRPr="00C821A1">
        <w:rPr>
          <w:rStyle w:val="af1"/>
          <w:szCs w:val="32"/>
          <w:rtl/>
        </w:rPr>
        <w:footnoteReference w:id="132"/>
      </w:r>
      <w:r w:rsidR="006F08E1" w:rsidRPr="00C821A1">
        <w:rPr>
          <w:rStyle w:val="af1"/>
          <w:szCs w:val="32"/>
          <w:rtl/>
        </w:rPr>
        <w:t>)</w:t>
      </w:r>
      <w:r w:rsidR="006F08E1" w:rsidRPr="00A14236">
        <w:rPr>
          <w:rFonts w:ascii="Traditional Arabic" w:hAnsi="Traditional Arabic"/>
          <w:rtl/>
          <w:lang w:eastAsia="en-US"/>
        </w:rPr>
        <w:t>.</w:t>
      </w:r>
    </w:p>
    <w:p w:rsidR="006F08E1" w:rsidRDefault="00647662" w:rsidP="00597C20">
      <w:pPr>
        <w:pStyle w:val="53"/>
        <w:rPr>
          <w:rtl/>
        </w:rPr>
      </w:pPr>
      <w:r>
        <w:rPr>
          <w:rFonts w:hint="cs"/>
          <w:rtl/>
        </w:rPr>
        <w:t>ب-</w:t>
      </w:r>
      <w:r w:rsidR="006F08E1">
        <w:rPr>
          <w:rFonts w:hint="cs"/>
          <w:rtl/>
        </w:rPr>
        <w:t xml:space="preserve">الأصل </w:t>
      </w:r>
      <w:r w:rsidR="006F08E1" w:rsidRPr="001714C3">
        <w:rPr>
          <w:rFonts w:hint="cs"/>
          <w:rtl/>
        </w:rPr>
        <w:t>اصطلاحا</w:t>
      </w:r>
      <w:r w:rsidR="006F08E1">
        <w:rPr>
          <w:rFonts w:hint="cs"/>
          <w:rtl/>
        </w:rPr>
        <w:t>:</w:t>
      </w:r>
    </w:p>
    <w:p w:rsidR="006F08E1" w:rsidRDefault="006F08E1" w:rsidP="00103C36">
      <w:pPr>
        <w:rPr>
          <w:rtl/>
        </w:rPr>
      </w:pPr>
      <w:r>
        <w:rPr>
          <w:rFonts w:hint="cs"/>
          <w:rtl/>
        </w:rPr>
        <w:t>يطلق الأصل في الاصطلاح على عدة معانٍ، منها:</w:t>
      </w:r>
    </w:p>
    <w:p w:rsidR="00B03A89" w:rsidRDefault="006F08E1" w:rsidP="00597C20">
      <w:pPr>
        <w:pStyle w:val="61"/>
        <w:rPr>
          <w:rtl/>
        </w:rPr>
      </w:pPr>
      <w:r>
        <w:rPr>
          <w:rFonts w:hint="cs"/>
          <w:rtl/>
        </w:rPr>
        <w:t>المعنى الأول:</w:t>
      </w:r>
    </w:p>
    <w:p w:rsidR="006F08E1" w:rsidRPr="00103C36" w:rsidRDefault="006F08E1" w:rsidP="00103C36">
      <w:pPr>
        <w:rPr>
          <w:rFonts w:ascii="Traditional Arabic" w:hAnsi="Traditional Arabic"/>
          <w:noProof w:val="0"/>
          <w:color w:val="auto"/>
          <w:rtl/>
          <w:lang w:eastAsia="en-US"/>
        </w:rPr>
      </w:pPr>
      <w:r w:rsidRPr="00103C36">
        <w:rPr>
          <w:rFonts w:hint="cs"/>
          <w:b/>
          <w:bCs/>
          <w:rtl/>
        </w:rPr>
        <w:t>الدليل</w:t>
      </w:r>
      <w:r w:rsidR="00103C36" w:rsidRPr="00103C36">
        <w:rPr>
          <w:rFonts w:hint="cs"/>
          <w:b/>
          <w:bCs/>
          <w:rtl/>
        </w:rPr>
        <w:t>:</w:t>
      </w:r>
      <w:r w:rsidR="00103C36">
        <w:rPr>
          <w:rFonts w:hint="cs"/>
          <w:b/>
          <w:bCs/>
          <w:rtl/>
        </w:rPr>
        <w:t xml:space="preserve"> </w:t>
      </w:r>
      <w:r>
        <w:rPr>
          <w:rFonts w:hint="cs"/>
          <w:rtl/>
        </w:rPr>
        <w:t>ومنه قولهم:أصل هذه المسألة من الكتاب</w:t>
      </w:r>
      <w:r w:rsidR="00154102">
        <w:rPr>
          <w:rFonts w:hint="cs"/>
          <w:rtl/>
        </w:rPr>
        <w:t xml:space="preserve"> و</w:t>
      </w:r>
      <w:r>
        <w:rPr>
          <w:rFonts w:hint="cs"/>
          <w:rtl/>
        </w:rPr>
        <w:t>السنة، أي:دليلها</w:t>
      </w:r>
      <w:r w:rsidRPr="00103C36">
        <w:rPr>
          <w:rFonts w:ascii="Traditional Arabic" w:hAnsi="Traditional Arabic" w:hint="cs"/>
          <w:noProof w:val="0"/>
          <w:color w:val="auto"/>
          <w:rtl/>
          <w:lang w:eastAsia="en-US"/>
        </w:rPr>
        <w:t xml:space="preserve">، </w:t>
      </w:r>
      <w:r w:rsidR="00103C36">
        <w:rPr>
          <w:rFonts w:ascii="Traditional Arabic" w:hAnsi="Traditional Arabic" w:hint="cs"/>
          <w:noProof w:val="0"/>
          <w:color w:val="auto"/>
          <w:rtl/>
          <w:lang w:eastAsia="en-US"/>
        </w:rPr>
        <w:t>و</w:t>
      </w:r>
      <w:r w:rsidRPr="00103C36">
        <w:rPr>
          <w:rFonts w:ascii="Traditional Arabic" w:hAnsi="Traditional Arabic" w:hint="cs"/>
          <w:noProof w:val="0"/>
          <w:color w:val="auto"/>
          <w:rtl/>
          <w:lang w:eastAsia="en-US"/>
        </w:rPr>
        <w:t xml:space="preserve">منه أصول الفقه، </w:t>
      </w:r>
      <w:r w:rsidRPr="00103C36">
        <w:rPr>
          <w:rFonts w:ascii="Traditional Arabic" w:hAnsi="Traditional Arabic" w:hint="cs"/>
          <w:noProof w:val="0"/>
          <w:color w:val="auto"/>
          <w:rtl/>
          <w:lang w:eastAsia="en-US"/>
        </w:rPr>
        <w:lastRenderedPageBreak/>
        <w:t>أي:أدلته</w:t>
      </w:r>
      <w:r w:rsidRPr="00103C36">
        <w:rPr>
          <w:rStyle w:val="af1"/>
          <w:szCs w:val="32"/>
          <w:rtl/>
        </w:rPr>
        <w:t>(</w:t>
      </w:r>
      <w:r w:rsidRPr="00C821A1">
        <w:rPr>
          <w:rStyle w:val="af1"/>
          <w:szCs w:val="32"/>
          <w:rtl/>
        </w:rPr>
        <w:footnoteReference w:id="133"/>
      </w:r>
      <w:r w:rsidRPr="00103C36">
        <w:rPr>
          <w:rStyle w:val="af1"/>
          <w:szCs w:val="32"/>
          <w:rtl/>
        </w:rPr>
        <w:t>)</w:t>
      </w:r>
      <w:r w:rsidRPr="00103C36">
        <w:rPr>
          <w:rFonts w:ascii="Traditional Arabic" w:hAnsi="Traditional Arabic" w:hint="cs"/>
          <w:noProof w:val="0"/>
          <w:color w:val="auto"/>
          <w:rtl/>
          <w:lang w:eastAsia="en-US"/>
        </w:rPr>
        <w:t>.</w:t>
      </w:r>
    </w:p>
    <w:p w:rsidR="00B03A89" w:rsidRDefault="006F08E1" w:rsidP="00597C20">
      <w:pPr>
        <w:pStyle w:val="61"/>
        <w:rPr>
          <w:rtl/>
        </w:rPr>
      </w:pPr>
      <w:r>
        <w:rPr>
          <w:rFonts w:hint="cs"/>
          <w:rtl/>
        </w:rPr>
        <w:t>المعنى الثاني:</w:t>
      </w:r>
    </w:p>
    <w:p w:rsidR="006F08E1" w:rsidRPr="00103C36" w:rsidRDefault="006F08E1" w:rsidP="00103C36">
      <w:pPr>
        <w:rPr>
          <w:rFonts w:ascii="Traditional Arabic" w:hAnsi="Traditional Arabic"/>
          <w:rtl/>
        </w:rPr>
      </w:pPr>
      <w:r w:rsidRPr="00103C36">
        <w:rPr>
          <w:rFonts w:hint="cs"/>
          <w:b/>
          <w:bCs/>
          <w:rtl/>
        </w:rPr>
        <w:t>القاعدة المستمرة،</w:t>
      </w:r>
      <w:r w:rsidRPr="004410A6">
        <w:rPr>
          <w:rFonts w:hint="cs"/>
          <w:rtl/>
        </w:rPr>
        <w:t xml:space="preserve"> كقولهم:</w:t>
      </w:r>
      <w:r w:rsidR="003932DA">
        <w:rPr>
          <w:rFonts w:hint="cs"/>
          <w:rtl/>
        </w:rPr>
        <w:t xml:space="preserve"> </w:t>
      </w:r>
      <w:r w:rsidRPr="004410A6">
        <w:rPr>
          <w:rFonts w:hint="cs"/>
          <w:rtl/>
        </w:rPr>
        <w:t>إباحة الميتة للمضطر على خلاف الأصل</w:t>
      </w:r>
      <w:r w:rsidRPr="00103C36">
        <w:rPr>
          <w:rStyle w:val="af1"/>
          <w:szCs w:val="32"/>
          <w:rtl/>
        </w:rPr>
        <w:t>(</w:t>
      </w:r>
      <w:r w:rsidRPr="00C821A1">
        <w:rPr>
          <w:rStyle w:val="af1"/>
          <w:szCs w:val="32"/>
          <w:rtl/>
        </w:rPr>
        <w:footnoteReference w:id="134"/>
      </w:r>
      <w:r w:rsidRPr="00103C36">
        <w:rPr>
          <w:rStyle w:val="af1"/>
          <w:szCs w:val="32"/>
          <w:rtl/>
        </w:rPr>
        <w:t>)</w:t>
      </w:r>
      <w:r w:rsidRPr="004410A6">
        <w:rPr>
          <w:rFonts w:hint="cs"/>
          <w:rtl/>
        </w:rPr>
        <w:t>.</w:t>
      </w:r>
    </w:p>
    <w:p w:rsidR="00B03A89" w:rsidRDefault="006F08E1" w:rsidP="00597C20">
      <w:pPr>
        <w:pStyle w:val="61"/>
        <w:rPr>
          <w:rtl/>
        </w:rPr>
      </w:pPr>
      <w:r>
        <w:rPr>
          <w:rFonts w:hint="cs"/>
          <w:rtl/>
        </w:rPr>
        <w:t>المعنى الثالث:</w:t>
      </w:r>
    </w:p>
    <w:p w:rsidR="006F08E1" w:rsidRDefault="006F08E1" w:rsidP="00103C36">
      <w:pPr>
        <w:rPr>
          <w:rtl/>
        </w:rPr>
      </w:pPr>
      <w:r w:rsidRPr="00103C36">
        <w:rPr>
          <w:rFonts w:hint="cs"/>
          <w:b/>
          <w:bCs/>
          <w:rtl/>
        </w:rPr>
        <w:t>الرُّجْحان</w:t>
      </w:r>
      <w:r w:rsidRPr="004410A6">
        <w:rPr>
          <w:rFonts w:hint="cs"/>
          <w:rtl/>
        </w:rPr>
        <w:t>، كقولهم: الأصل في الكلام الحقيقة، أي: الراجح عند السامع هو الحقيقة لا المجاز</w:t>
      </w:r>
      <w:r w:rsidRPr="00103C36">
        <w:rPr>
          <w:rStyle w:val="af1"/>
          <w:szCs w:val="32"/>
          <w:rtl/>
        </w:rPr>
        <w:t>(</w:t>
      </w:r>
      <w:r w:rsidRPr="00C821A1">
        <w:rPr>
          <w:rStyle w:val="af1"/>
          <w:szCs w:val="32"/>
          <w:rtl/>
        </w:rPr>
        <w:footnoteReference w:id="135"/>
      </w:r>
      <w:r w:rsidRPr="00103C36">
        <w:rPr>
          <w:rStyle w:val="af1"/>
          <w:szCs w:val="32"/>
          <w:rtl/>
        </w:rPr>
        <w:t>)</w:t>
      </w:r>
      <w:r w:rsidRPr="004410A6">
        <w:rPr>
          <w:rFonts w:hint="cs"/>
          <w:rtl/>
        </w:rPr>
        <w:t>.</w:t>
      </w:r>
    </w:p>
    <w:p w:rsidR="00B03A89" w:rsidRDefault="006F08E1" w:rsidP="00597C20">
      <w:pPr>
        <w:pStyle w:val="61"/>
        <w:rPr>
          <w:rtl/>
        </w:rPr>
      </w:pPr>
      <w:r>
        <w:rPr>
          <w:rFonts w:hint="cs"/>
          <w:rtl/>
        </w:rPr>
        <w:t>المعنى الرابع:</w:t>
      </w:r>
    </w:p>
    <w:p w:rsidR="006F08E1" w:rsidRPr="00103C36" w:rsidRDefault="006F08E1" w:rsidP="00103C36">
      <w:pPr>
        <w:rPr>
          <w:b/>
          <w:bCs/>
          <w:rtl/>
        </w:rPr>
      </w:pPr>
      <w:r w:rsidRPr="00103C36">
        <w:rPr>
          <w:rFonts w:hint="cs"/>
          <w:b/>
          <w:bCs/>
          <w:rtl/>
        </w:rPr>
        <w:t>الصورة المقيس عليها</w:t>
      </w:r>
      <w:r w:rsidRPr="00103C36">
        <w:rPr>
          <w:rStyle w:val="af1"/>
          <w:szCs w:val="32"/>
          <w:rtl/>
        </w:rPr>
        <w:t>(</w:t>
      </w:r>
      <w:r w:rsidRPr="00C821A1">
        <w:rPr>
          <w:rStyle w:val="af1"/>
          <w:szCs w:val="32"/>
          <w:rtl/>
        </w:rPr>
        <w:footnoteReference w:id="136"/>
      </w:r>
      <w:r w:rsidRPr="00103C36">
        <w:rPr>
          <w:rStyle w:val="af1"/>
          <w:szCs w:val="32"/>
          <w:rtl/>
        </w:rPr>
        <w:t>)</w:t>
      </w:r>
      <w:r w:rsidRPr="00103C36">
        <w:rPr>
          <w:rFonts w:hint="cs"/>
          <w:b/>
          <w:bCs/>
          <w:rtl/>
        </w:rPr>
        <w:t>.</w:t>
      </w:r>
    </w:p>
    <w:p w:rsidR="00B03A89" w:rsidRDefault="006F08E1" w:rsidP="00597C20">
      <w:pPr>
        <w:pStyle w:val="61"/>
        <w:rPr>
          <w:rtl/>
        </w:rPr>
      </w:pPr>
      <w:r>
        <w:rPr>
          <w:rFonts w:hint="cs"/>
          <w:rtl/>
        </w:rPr>
        <w:t>المعنى الخامس:</w:t>
      </w:r>
    </w:p>
    <w:p w:rsidR="00065E4B" w:rsidRDefault="006F08E1" w:rsidP="00103C36">
      <w:pPr>
        <w:rPr>
          <w:rtl/>
        </w:rPr>
      </w:pPr>
      <w:r w:rsidRPr="00103C36">
        <w:rPr>
          <w:rFonts w:hint="cs"/>
          <w:b/>
          <w:bCs/>
          <w:rtl/>
        </w:rPr>
        <w:t>المُستصحَب،</w:t>
      </w:r>
      <w:r w:rsidRPr="00A1658A">
        <w:rPr>
          <w:rFonts w:hint="cs"/>
          <w:rtl/>
        </w:rPr>
        <w:t>كما يقال: طهارة الماء أصلٌ</w:t>
      </w:r>
      <w:r w:rsidRPr="00103C36">
        <w:rPr>
          <w:rStyle w:val="af1"/>
          <w:szCs w:val="32"/>
          <w:rtl/>
        </w:rPr>
        <w:t>(</w:t>
      </w:r>
      <w:r w:rsidRPr="00C821A1">
        <w:rPr>
          <w:rStyle w:val="af1"/>
          <w:szCs w:val="32"/>
          <w:rtl/>
        </w:rPr>
        <w:footnoteReference w:id="137"/>
      </w:r>
      <w:r w:rsidRPr="00103C36">
        <w:rPr>
          <w:rStyle w:val="af1"/>
          <w:szCs w:val="32"/>
          <w:rtl/>
        </w:rPr>
        <w:t>)</w:t>
      </w:r>
      <w:r w:rsidRPr="00103C36">
        <w:rPr>
          <w:rFonts w:hint="cs"/>
          <w:b/>
          <w:bCs/>
          <w:rtl/>
        </w:rPr>
        <w:t>، أو استمرارُ الحُكم السابق،</w:t>
      </w:r>
      <w:r w:rsidR="00103C36">
        <w:rPr>
          <w:rFonts w:hint="cs"/>
          <w:b/>
          <w:bCs/>
          <w:rtl/>
        </w:rPr>
        <w:t xml:space="preserve"> </w:t>
      </w:r>
      <w:r>
        <w:rPr>
          <w:rFonts w:hint="cs"/>
          <w:rtl/>
        </w:rPr>
        <w:t>كقولهم: الأصل بقاء ما كان على ما كان حتى يوجَدَ المزيلُ له</w:t>
      </w:r>
      <w:r w:rsidRPr="00103C36">
        <w:rPr>
          <w:rStyle w:val="af1"/>
          <w:szCs w:val="32"/>
          <w:rtl/>
        </w:rPr>
        <w:t>(</w:t>
      </w:r>
      <w:r w:rsidRPr="00C821A1">
        <w:rPr>
          <w:rStyle w:val="af1"/>
          <w:szCs w:val="32"/>
          <w:rtl/>
        </w:rPr>
        <w:footnoteReference w:id="138"/>
      </w:r>
      <w:r w:rsidRPr="00103C36">
        <w:rPr>
          <w:rStyle w:val="af1"/>
          <w:szCs w:val="32"/>
          <w:rtl/>
        </w:rPr>
        <w:t>)</w:t>
      </w:r>
      <w:r>
        <w:rPr>
          <w:rFonts w:hint="cs"/>
          <w:rtl/>
        </w:rPr>
        <w:t>.</w:t>
      </w:r>
    </w:p>
    <w:p w:rsidR="00065E4B" w:rsidRPr="00A14236" w:rsidRDefault="00065E4B" w:rsidP="00597C20">
      <w:pPr>
        <w:rPr>
          <w:b/>
          <w:bCs/>
          <w:rtl/>
        </w:rPr>
      </w:pPr>
      <w:r w:rsidRPr="00A14236">
        <w:rPr>
          <w:rFonts w:hint="cs"/>
          <w:rtl/>
        </w:rPr>
        <w:t>و</w:t>
      </w:r>
      <w:r w:rsidR="006F08E1" w:rsidRPr="00A14236">
        <w:rPr>
          <w:rFonts w:hint="cs"/>
          <w:rtl/>
        </w:rPr>
        <w:t>عر</w:t>
      </w:r>
      <w:r w:rsidR="006F08E1">
        <w:rPr>
          <w:rFonts w:hint="cs"/>
          <w:rtl/>
        </w:rPr>
        <w:t>ّ</w:t>
      </w:r>
      <w:r w:rsidR="006F08E1" w:rsidRPr="00A14236">
        <w:rPr>
          <w:rFonts w:hint="cs"/>
          <w:rtl/>
        </w:rPr>
        <w:t xml:space="preserve">ف الشيخ ابن عثيمين </w:t>
      </w:r>
      <w:r w:rsidR="009A0575" w:rsidRPr="005D5694">
        <w:rPr>
          <w:rFonts w:ascii="Traditional Arabic" w:hAnsi="Traditional Arabic" w:cs="CTraditional Arabic" w:hint="cs"/>
          <w:rtl/>
        </w:rPr>
        <w:t>/</w:t>
      </w:r>
      <w:r w:rsidR="006F08E1" w:rsidRPr="00A14236">
        <w:rPr>
          <w:rFonts w:hint="cs"/>
          <w:rtl/>
        </w:rPr>
        <w:t xml:space="preserve"> الأصل اصطلاحا فقال: (</w:t>
      </w:r>
      <w:r w:rsidR="006F08E1" w:rsidRPr="00A14236">
        <w:rPr>
          <w:rFonts w:ascii="Traditional Arabic" w:hAnsi="Traditional Arabic"/>
          <w:rtl/>
          <w:lang w:eastAsia="en-US"/>
        </w:rPr>
        <w:t>أما الأصل في الاصطلاح فإنه يختلف بحس</w:t>
      </w:r>
      <w:r w:rsidR="006F08E1" w:rsidRPr="00A14236">
        <w:rPr>
          <w:rFonts w:ascii="Traditional Arabic" w:hAnsi="Traditional Arabic" w:hint="cs"/>
          <w:rtl/>
          <w:lang w:eastAsia="en-US"/>
        </w:rPr>
        <w:t>َ</w:t>
      </w:r>
      <w:r w:rsidR="006F08E1" w:rsidRPr="00A14236">
        <w:rPr>
          <w:rFonts w:ascii="Traditional Arabic" w:hAnsi="Traditional Arabic"/>
          <w:rtl/>
          <w:lang w:eastAsia="en-US"/>
        </w:rPr>
        <w:t>ب المواضع، فإذا تكلمنا عن الأدلة فإنما نعني بالأصل الدليل، ولهذا تجد في الكتب التي تعتني بالأدلة، إذا ذ</w:t>
      </w:r>
      <w:r w:rsidR="00103C36">
        <w:rPr>
          <w:rFonts w:ascii="Traditional Arabic" w:hAnsi="Traditional Arabic" w:hint="cs"/>
          <w:rtl/>
          <w:lang w:eastAsia="en-US"/>
        </w:rPr>
        <w:t>َ</w:t>
      </w:r>
      <w:r w:rsidR="006F08E1" w:rsidRPr="00A14236">
        <w:rPr>
          <w:rFonts w:ascii="Traditional Arabic" w:hAnsi="Traditional Arabic"/>
          <w:rtl/>
          <w:lang w:eastAsia="en-US"/>
        </w:rPr>
        <w:t xml:space="preserve">كر حكم المسألة قال: والأصل في ذلك قوله تعالى أو قوله </w:t>
      </w:r>
      <w:r w:rsidR="00F350DE">
        <w:rPr>
          <w:rFonts w:ascii="Traditional Arabic" w:hAnsi="Traditional Arabic"/>
          <w:noProof w:val="0"/>
          <w:color w:val="auto"/>
          <w:rtl/>
          <w:lang w:eastAsia="en-US"/>
        </w:rPr>
        <w:sym w:font="AGA Arabesque" w:char="F072"/>
      </w:r>
      <w:r w:rsidR="006F08E1" w:rsidRPr="00A14236">
        <w:rPr>
          <w:rFonts w:ascii="Traditional Arabic" w:hAnsi="Traditional Arabic"/>
          <w:rtl/>
          <w:lang w:eastAsia="en-US"/>
        </w:rPr>
        <w:t>، وتارة يطلق على كل ما تفرع عنه غير</w:t>
      </w:r>
      <w:r w:rsidR="006F08E1" w:rsidRPr="00A14236">
        <w:rPr>
          <w:rFonts w:ascii="Traditional Arabic" w:hAnsi="Traditional Arabic" w:hint="cs"/>
          <w:rtl/>
          <w:lang w:eastAsia="en-US"/>
        </w:rPr>
        <w:t>ُ</w:t>
      </w:r>
      <w:r w:rsidR="006F08E1" w:rsidRPr="00A14236">
        <w:rPr>
          <w:rFonts w:ascii="Traditional Arabic" w:hAnsi="Traditional Arabic"/>
          <w:rtl/>
          <w:lang w:eastAsia="en-US"/>
        </w:rPr>
        <w:t>ه</w:t>
      </w:r>
      <w:r w:rsidR="00103C36">
        <w:rPr>
          <w:rFonts w:ascii="Traditional Arabic" w:hAnsi="Traditional Arabic" w:hint="cs"/>
          <w:rtl/>
          <w:lang w:eastAsia="en-US"/>
        </w:rPr>
        <w:t>،</w:t>
      </w:r>
      <w:r w:rsidR="006F08E1" w:rsidRPr="00A14236">
        <w:rPr>
          <w:rFonts w:ascii="Traditional Arabic" w:hAnsi="Traditional Arabic"/>
          <w:rtl/>
          <w:lang w:eastAsia="en-US"/>
        </w:rPr>
        <w:t xml:space="preserve"> كالقواعد والضوابط وما أشبه ذلك</w:t>
      </w:r>
      <w:r w:rsidR="006F08E1" w:rsidRPr="00A14236">
        <w:rPr>
          <w:rFonts w:hint="cs"/>
          <w:rtl/>
        </w:rPr>
        <w:t>)</w:t>
      </w:r>
      <w:r w:rsidR="006F08E1" w:rsidRPr="00C821A1">
        <w:rPr>
          <w:rStyle w:val="af1"/>
          <w:szCs w:val="32"/>
          <w:rtl/>
        </w:rPr>
        <w:t>(</w:t>
      </w:r>
      <w:r w:rsidR="006F08E1" w:rsidRPr="00C821A1">
        <w:rPr>
          <w:rStyle w:val="af1"/>
          <w:szCs w:val="32"/>
          <w:rtl/>
        </w:rPr>
        <w:footnoteReference w:id="139"/>
      </w:r>
      <w:r w:rsidR="006F08E1" w:rsidRPr="00C821A1">
        <w:rPr>
          <w:rStyle w:val="af1"/>
          <w:szCs w:val="32"/>
          <w:rtl/>
        </w:rPr>
        <w:t>)</w:t>
      </w:r>
      <w:r w:rsidR="006F08E1" w:rsidRPr="00A14236">
        <w:rPr>
          <w:rFonts w:hint="cs"/>
          <w:rtl/>
        </w:rPr>
        <w:t>.</w:t>
      </w:r>
    </w:p>
    <w:p w:rsidR="006F08E1" w:rsidRDefault="00065E4B" w:rsidP="00597C20">
      <w:pPr>
        <w:rPr>
          <w:b/>
          <w:bCs/>
          <w:rtl/>
        </w:rPr>
      </w:pPr>
      <w:r w:rsidRPr="00A14236">
        <w:rPr>
          <w:rFonts w:hint="cs"/>
          <w:rtl/>
        </w:rPr>
        <w:lastRenderedPageBreak/>
        <w:t>ف</w:t>
      </w:r>
      <w:r w:rsidR="006F08E1" w:rsidRPr="00A14236">
        <w:rPr>
          <w:rFonts w:hint="cs"/>
          <w:rtl/>
        </w:rPr>
        <w:t xml:space="preserve">الأصل </w:t>
      </w:r>
      <w:r w:rsidR="006F08E1">
        <w:rPr>
          <w:rFonts w:hint="cs"/>
          <w:rtl/>
        </w:rPr>
        <w:t>اصطلاحا عند الأصوليين هو الدليل،</w:t>
      </w:r>
      <w:r w:rsidR="00103C36">
        <w:rPr>
          <w:rFonts w:hint="cs"/>
          <w:rtl/>
        </w:rPr>
        <w:t xml:space="preserve"> وأصول الفقه بالمعنى التركيبي هو</w:t>
      </w:r>
      <w:r w:rsidR="006F08E1">
        <w:rPr>
          <w:rFonts w:hint="cs"/>
          <w:rtl/>
        </w:rPr>
        <w:t xml:space="preserve"> أدلة الفقه.</w:t>
      </w:r>
    </w:p>
    <w:p w:rsidR="00065E4B" w:rsidRDefault="00647662" w:rsidP="00597C20">
      <w:pPr>
        <w:pStyle w:val="53"/>
        <w:rPr>
          <w:rtl/>
        </w:rPr>
      </w:pPr>
      <w:r>
        <w:rPr>
          <w:rFonts w:hint="cs"/>
          <w:rtl/>
        </w:rPr>
        <w:t>ج-</w:t>
      </w:r>
      <w:r w:rsidR="006F08E1" w:rsidRPr="003B550A">
        <w:rPr>
          <w:rFonts w:hint="cs"/>
          <w:rtl/>
        </w:rPr>
        <w:t>تعريف</w:t>
      </w:r>
      <w:r w:rsidR="006F08E1" w:rsidRPr="00E40973">
        <w:rPr>
          <w:rFonts w:hint="cs"/>
          <w:rtl/>
        </w:rPr>
        <w:t xml:space="preserve"> أصول الفقه</w:t>
      </w:r>
      <w:r w:rsidR="00AB0B9E" w:rsidRPr="003B550A">
        <w:rPr>
          <w:b w:val="0"/>
          <w:rtl/>
        </w:rPr>
        <w:fldChar w:fldCharType="begin"/>
      </w:r>
      <w:r w:rsidR="003B550A" w:rsidRPr="00531753">
        <w:rPr>
          <w:bCs w:val="0"/>
        </w:rPr>
        <w:instrText>XE</w:instrText>
      </w:r>
      <w:r w:rsidR="003B550A" w:rsidRPr="00531753">
        <w:rPr>
          <w:bCs w:val="0"/>
          <w:rtl/>
        </w:rPr>
        <w:instrText xml:space="preserve"> "</w:instrText>
      </w:r>
      <w:r w:rsidR="003B550A" w:rsidRPr="00531753">
        <w:rPr>
          <w:bCs w:val="0"/>
          <w:rtl/>
          <w:lang w:val="fr-FR"/>
        </w:rPr>
        <w:instrText>أصول الفقه</w:instrText>
      </w:r>
      <w:r w:rsidR="003B550A" w:rsidRPr="00531753">
        <w:rPr>
          <w:bCs w:val="0"/>
          <w:rtl/>
        </w:rPr>
        <w:instrText>" \</w:instrText>
      </w:r>
      <w:r w:rsidR="003B550A" w:rsidRPr="00531753">
        <w:rPr>
          <w:bCs w:val="0"/>
        </w:rPr>
        <w:instrText>fm</w:instrText>
      </w:r>
      <w:r w:rsidR="00AB0B9E" w:rsidRPr="003B550A">
        <w:rPr>
          <w:b w:val="0"/>
          <w:rtl/>
        </w:rPr>
        <w:fldChar w:fldCharType="end"/>
      </w:r>
      <w:r w:rsidR="006F08E1" w:rsidRPr="00E40973">
        <w:rPr>
          <w:rFonts w:hint="cs"/>
          <w:rtl/>
        </w:rPr>
        <w:t xml:space="preserve"> باعتبار كونه </w:t>
      </w:r>
      <w:r w:rsidR="006F08E1" w:rsidRPr="003B550A">
        <w:rPr>
          <w:rFonts w:hint="cs"/>
          <w:rtl/>
        </w:rPr>
        <w:t>لقبا</w:t>
      </w:r>
      <w:r w:rsidR="006F08E1" w:rsidRPr="00E40973">
        <w:rPr>
          <w:rFonts w:hint="cs"/>
          <w:rtl/>
        </w:rPr>
        <w:t xml:space="preserve"> على هذا الفن:</w:t>
      </w:r>
    </w:p>
    <w:p w:rsidR="00065E4B" w:rsidRDefault="00065E4B" w:rsidP="00B93718">
      <w:pPr>
        <w:rPr>
          <w:b/>
          <w:bCs/>
          <w:rtl/>
        </w:rPr>
      </w:pPr>
      <w:r>
        <w:rPr>
          <w:rFonts w:hint="cs"/>
          <w:rtl/>
        </w:rPr>
        <w:t>ع</w:t>
      </w:r>
      <w:r w:rsidR="006F08E1">
        <w:rPr>
          <w:rFonts w:hint="cs"/>
          <w:rtl/>
        </w:rPr>
        <w:t xml:space="preserve">رفه البيضاوي </w:t>
      </w:r>
      <w:r w:rsidR="009A0575" w:rsidRPr="005D5694">
        <w:rPr>
          <w:rFonts w:ascii="Traditional Arabic" w:hAnsi="Traditional Arabic" w:cs="CTraditional Arabic" w:hint="cs"/>
          <w:rtl/>
        </w:rPr>
        <w:t>/</w:t>
      </w:r>
      <w:r w:rsidR="006F08E1">
        <w:rPr>
          <w:rFonts w:hint="cs"/>
          <w:rtl/>
        </w:rPr>
        <w:t xml:space="preserve"> فقال:</w:t>
      </w:r>
      <w:r w:rsidR="00103C36">
        <w:rPr>
          <w:rFonts w:hint="cs"/>
          <w:rtl/>
        </w:rPr>
        <w:t xml:space="preserve"> </w:t>
      </w:r>
      <w:r w:rsidR="00B76414">
        <w:rPr>
          <w:rFonts w:hint="cs"/>
          <w:rtl/>
        </w:rPr>
        <w:t>(</w:t>
      </w:r>
      <w:r w:rsidR="006F08E1">
        <w:rPr>
          <w:rFonts w:hint="cs"/>
          <w:rtl/>
        </w:rPr>
        <w:t>معرفة دلائل الفقه إجمالاً، وكيفية الاستفادة، وحال المستفيد)</w:t>
      </w:r>
      <w:r w:rsidR="006F08E1" w:rsidRPr="00C821A1">
        <w:rPr>
          <w:rStyle w:val="af1"/>
          <w:szCs w:val="32"/>
          <w:rtl/>
        </w:rPr>
        <w:t>(</w:t>
      </w:r>
      <w:r w:rsidR="006F08E1" w:rsidRPr="00C821A1">
        <w:rPr>
          <w:rStyle w:val="af1"/>
          <w:szCs w:val="32"/>
          <w:rtl/>
        </w:rPr>
        <w:footnoteReference w:id="140"/>
      </w:r>
      <w:r w:rsidR="006F08E1" w:rsidRPr="00C821A1">
        <w:rPr>
          <w:rStyle w:val="af1"/>
          <w:szCs w:val="32"/>
          <w:rtl/>
        </w:rPr>
        <w:t>)</w:t>
      </w:r>
      <w:r w:rsidR="006F08E1">
        <w:rPr>
          <w:rFonts w:hint="cs"/>
          <w:rtl/>
        </w:rPr>
        <w:t>.</w:t>
      </w:r>
    </w:p>
    <w:p w:rsidR="00101AB9" w:rsidRPr="00101AB9" w:rsidRDefault="006B4842" w:rsidP="00597C20">
      <w:pPr>
        <w:rPr>
          <w:rtl/>
        </w:rPr>
      </w:pPr>
      <w:r>
        <w:rPr>
          <w:rFonts w:hint="cs"/>
          <w:rtl/>
        </w:rPr>
        <w:t>وعرفه ابن الحاجب رحمه الله فقال: ( أما حدُّه</w:t>
      </w:r>
      <w:r w:rsidR="00101AB9">
        <w:rPr>
          <w:rFonts w:hint="cs"/>
          <w:rtl/>
        </w:rPr>
        <w:t xml:space="preserve"> </w:t>
      </w:r>
      <w:r>
        <w:rPr>
          <w:rFonts w:hint="cs"/>
          <w:rtl/>
        </w:rPr>
        <w:t>لَقباً: ف</w:t>
      </w:r>
      <w:r w:rsidR="00101AB9">
        <w:rPr>
          <w:rFonts w:hint="cs"/>
          <w:rtl/>
        </w:rPr>
        <w:t>العلم بالقواعد التي ي</w:t>
      </w:r>
      <w:r w:rsidR="00CE4EC6">
        <w:rPr>
          <w:rFonts w:hint="cs"/>
          <w:rtl/>
        </w:rPr>
        <w:t>ُ</w:t>
      </w:r>
      <w:r w:rsidR="00101AB9">
        <w:rPr>
          <w:rFonts w:hint="cs"/>
          <w:rtl/>
        </w:rPr>
        <w:t>توصل بها إلى استنباط الأحكام الشرعية الفرعية من أدلتها التفصيلية</w:t>
      </w:r>
      <w:r>
        <w:rPr>
          <w:rFonts w:hint="cs"/>
          <w:rtl/>
        </w:rPr>
        <w:t>)</w:t>
      </w:r>
      <w:r w:rsidR="00101AB9" w:rsidRPr="00101AB9">
        <w:rPr>
          <w:rFonts w:hint="cs"/>
          <w:vertAlign w:val="superscript"/>
          <w:rtl/>
        </w:rPr>
        <w:t>(</w:t>
      </w:r>
      <w:r w:rsidR="00101AB9" w:rsidRPr="00101AB9">
        <w:rPr>
          <w:rStyle w:val="af1"/>
          <w:rtl/>
        </w:rPr>
        <w:footnoteReference w:id="141"/>
      </w:r>
      <w:r w:rsidR="00101AB9" w:rsidRPr="00101AB9">
        <w:rPr>
          <w:rFonts w:hint="cs"/>
          <w:vertAlign w:val="superscript"/>
          <w:rtl/>
        </w:rPr>
        <w:t>)</w:t>
      </w:r>
      <w:r w:rsidR="00101AB9">
        <w:rPr>
          <w:rFonts w:hint="cs"/>
          <w:rtl/>
        </w:rPr>
        <w:t>.</w:t>
      </w:r>
    </w:p>
    <w:p w:rsidR="00065E4B" w:rsidRDefault="00065E4B" w:rsidP="00597C20">
      <w:pPr>
        <w:rPr>
          <w:b/>
          <w:bCs/>
          <w:rtl/>
        </w:rPr>
      </w:pPr>
      <w:r>
        <w:rPr>
          <w:rFonts w:hint="cs"/>
          <w:rtl/>
        </w:rPr>
        <w:t>ب</w:t>
      </w:r>
      <w:r w:rsidR="006F08E1">
        <w:rPr>
          <w:rFonts w:hint="cs"/>
          <w:rtl/>
        </w:rPr>
        <w:t>ناء</w:t>
      </w:r>
      <w:r w:rsidR="00647662">
        <w:rPr>
          <w:rFonts w:hint="cs"/>
          <w:rtl/>
        </w:rPr>
        <w:t>ً</w:t>
      </w:r>
      <w:r w:rsidR="006F08E1">
        <w:rPr>
          <w:rFonts w:hint="cs"/>
          <w:rtl/>
        </w:rPr>
        <w:t xml:space="preserve"> على ما سبق يمكن تعريف القاعدة الأصولية بالمعنى اللقبي، فيقال:</w:t>
      </w:r>
    </w:p>
    <w:p w:rsidR="00FF4149" w:rsidRPr="00FF4149" w:rsidRDefault="00101AB9" w:rsidP="00597C20">
      <w:pPr>
        <w:rPr>
          <w:rtl/>
        </w:rPr>
      </w:pPr>
      <w:r>
        <w:rPr>
          <w:rFonts w:hint="cs"/>
          <w:b/>
          <w:bCs/>
          <w:rtl/>
        </w:rPr>
        <w:t>قضية كلية</w:t>
      </w:r>
      <w:r w:rsidR="00FF4149">
        <w:rPr>
          <w:rFonts w:hint="cs"/>
          <w:b/>
          <w:bCs/>
          <w:rtl/>
        </w:rPr>
        <w:t xml:space="preserve"> ي</w:t>
      </w:r>
      <w:r w:rsidR="00223FD5">
        <w:rPr>
          <w:rFonts w:hint="cs"/>
          <w:b/>
          <w:bCs/>
          <w:rtl/>
        </w:rPr>
        <w:t>ُ</w:t>
      </w:r>
      <w:r w:rsidR="00FF4149">
        <w:rPr>
          <w:rFonts w:hint="cs"/>
          <w:b/>
          <w:bCs/>
          <w:rtl/>
        </w:rPr>
        <w:t xml:space="preserve">توصل بها إلى استنباط الأحكام الشرعية </w:t>
      </w:r>
      <w:r>
        <w:rPr>
          <w:rFonts w:hint="cs"/>
          <w:b/>
          <w:bCs/>
          <w:rtl/>
        </w:rPr>
        <w:t xml:space="preserve">الفرعية من </w:t>
      </w:r>
      <w:r w:rsidR="00FF4149">
        <w:rPr>
          <w:rFonts w:hint="cs"/>
          <w:b/>
          <w:bCs/>
          <w:rtl/>
        </w:rPr>
        <w:t>أدل</w:t>
      </w:r>
      <w:r>
        <w:rPr>
          <w:rFonts w:hint="cs"/>
          <w:b/>
          <w:bCs/>
          <w:rtl/>
        </w:rPr>
        <w:t>تها التفصيلية</w:t>
      </w:r>
      <w:r w:rsidR="00634F57" w:rsidRPr="00634F57">
        <w:rPr>
          <w:rFonts w:hint="cs"/>
          <w:b/>
          <w:bCs/>
          <w:vertAlign w:val="superscript"/>
          <w:rtl/>
        </w:rPr>
        <w:t>(</w:t>
      </w:r>
      <w:r w:rsidR="00634F57" w:rsidRPr="00634F57">
        <w:rPr>
          <w:rStyle w:val="af1"/>
          <w:rtl/>
        </w:rPr>
        <w:footnoteReference w:id="142"/>
      </w:r>
      <w:r w:rsidR="00634F57" w:rsidRPr="00634F57">
        <w:rPr>
          <w:rFonts w:hint="cs"/>
          <w:b/>
          <w:bCs/>
          <w:vertAlign w:val="superscript"/>
          <w:rtl/>
        </w:rPr>
        <w:t>)</w:t>
      </w:r>
      <w:r w:rsidR="00FF4149">
        <w:rPr>
          <w:rFonts w:hint="cs"/>
          <w:rtl/>
        </w:rPr>
        <w:t>.</w:t>
      </w:r>
    </w:p>
    <w:p w:rsidR="00EA4890" w:rsidRPr="00EA4890" w:rsidRDefault="00634F57" w:rsidP="00A8347C">
      <w:pPr>
        <w:pStyle w:val="aff3"/>
        <w:rPr>
          <w:rtl/>
        </w:rPr>
      </w:pPr>
      <w:bookmarkStart w:id="27" w:name="_Toc334046286"/>
      <w:r>
        <w:rPr>
          <w:rFonts w:hint="cs"/>
          <w:rtl/>
        </w:rPr>
        <w:t xml:space="preserve">                                          </w:t>
      </w:r>
      <w:r w:rsidR="006F08E1">
        <w:rPr>
          <w:rFonts w:hint="cs"/>
          <w:rtl/>
        </w:rPr>
        <w:t>المطلب الرابع</w:t>
      </w:r>
      <w:r w:rsidR="001C50AE">
        <w:rPr>
          <w:rFonts w:hint="eastAsia"/>
          <w:rtl/>
        </w:rPr>
        <w:t> :</w:t>
      </w:r>
      <w:r w:rsidR="001C50AE">
        <w:rPr>
          <w:rFonts w:hint="cs"/>
          <w:rtl/>
        </w:rPr>
        <w:br/>
      </w:r>
      <w:r>
        <w:rPr>
          <w:rFonts w:hint="cs"/>
          <w:rtl/>
        </w:rPr>
        <w:t xml:space="preserve">                          </w:t>
      </w:r>
      <w:r w:rsidR="006F08E1">
        <w:rPr>
          <w:rFonts w:hint="cs"/>
          <w:rtl/>
        </w:rPr>
        <w:t>الفرق بين القاعدة الفقهية والضابط الفقهي</w:t>
      </w:r>
      <w:bookmarkEnd w:id="27"/>
    </w:p>
    <w:p w:rsidR="00931967" w:rsidRPr="00931967" w:rsidRDefault="00931967" w:rsidP="00931967">
      <w:pPr>
        <w:spacing w:line="640" w:lineRule="exact"/>
        <w:ind w:firstLine="0"/>
        <w:jc w:val="lowKashida"/>
        <w:rPr>
          <w:rFonts w:ascii="Traditional Arabic" w:hAnsi="Traditional Arabic"/>
          <w:rtl/>
        </w:rPr>
      </w:pPr>
      <w:r>
        <w:rPr>
          <w:rFonts w:ascii="Traditional Arabic" w:hAnsi="Traditional Arabic" w:hint="cs"/>
          <w:rtl/>
        </w:rPr>
        <w:t xml:space="preserve">    </w:t>
      </w:r>
      <w:r w:rsidRPr="00931967">
        <w:rPr>
          <w:rFonts w:ascii="Traditional Arabic" w:hAnsi="Traditional Arabic" w:hint="cs"/>
          <w:rtl/>
        </w:rPr>
        <w:t>تتمثل أهم الفروق بين القاعدة الفقهية والضابط الفقهي فيما يلي:</w:t>
      </w:r>
    </w:p>
    <w:p w:rsidR="00931967" w:rsidRDefault="00931967" w:rsidP="00931967">
      <w:pPr>
        <w:spacing w:line="640" w:lineRule="exact"/>
        <w:ind w:firstLine="0"/>
        <w:jc w:val="lowKashida"/>
        <w:rPr>
          <w:rFonts w:ascii="Traditional Arabic" w:hAnsi="Traditional Arabic"/>
          <w:rtl/>
        </w:rPr>
      </w:pPr>
      <w:r>
        <w:rPr>
          <w:rFonts w:ascii="Traditional Arabic" w:hAnsi="Traditional Arabic" w:hint="cs"/>
          <w:rtl/>
        </w:rPr>
        <w:t xml:space="preserve">    </w:t>
      </w:r>
      <w:r w:rsidRPr="00931967">
        <w:rPr>
          <w:rFonts w:ascii="Traditional Arabic" w:hAnsi="Traditional Arabic" w:hint="cs"/>
          <w:b/>
          <w:bCs/>
          <w:rtl/>
        </w:rPr>
        <w:t>الفرق الأول:</w:t>
      </w:r>
      <w:r w:rsidR="00027B98">
        <w:rPr>
          <w:rFonts w:ascii="Traditional Arabic" w:hAnsi="Traditional Arabic" w:hint="cs"/>
          <w:rtl/>
        </w:rPr>
        <w:t xml:space="preserve"> أ</w:t>
      </w:r>
      <w:r>
        <w:rPr>
          <w:rFonts w:ascii="Traditional Arabic" w:hAnsi="Traditional Arabic" w:hint="cs"/>
          <w:rtl/>
        </w:rPr>
        <w:t>ن القاعدة الفقهية تجمع فروعا من أبواب</w:t>
      </w:r>
      <w:r w:rsidRPr="00931967">
        <w:rPr>
          <w:rFonts w:ascii="Traditional Arabic" w:hAnsi="Traditional Arabic" w:hint="cs"/>
          <w:rtl/>
        </w:rPr>
        <w:t xml:space="preserve"> </w:t>
      </w:r>
      <w:r>
        <w:rPr>
          <w:rFonts w:ascii="Traditional Arabic" w:hAnsi="Traditional Arabic" w:hint="cs"/>
          <w:rtl/>
        </w:rPr>
        <w:t>شتى ويندرج تحتها من مسائل الفقه ما لا يُحصى. وأما الضابط فإنه مختصٌّ بباب واحد من أبواب الفقه تعلَّل به مسائله، أو يختص بفرع واحد فقط.</w:t>
      </w:r>
    </w:p>
    <w:p w:rsidR="00EA4890" w:rsidRDefault="00931967" w:rsidP="00931967">
      <w:pPr>
        <w:spacing w:line="640" w:lineRule="exact"/>
        <w:ind w:firstLine="0"/>
        <w:jc w:val="lowKashida"/>
        <w:rPr>
          <w:rFonts w:ascii="Traditional Arabic" w:hAnsi="Traditional Arabic"/>
          <w:rtl/>
        </w:rPr>
      </w:pPr>
      <w:r>
        <w:rPr>
          <w:rFonts w:ascii="Traditional Arabic" w:hAnsi="Traditional Arabic" w:hint="cs"/>
          <w:rtl/>
        </w:rPr>
        <w:t xml:space="preserve">    </w:t>
      </w:r>
      <w:r>
        <w:rPr>
          <w:rFonts w:ascii="Traditional Arabic" w:hAnsi="Traditional Arabic" w:hint="cs"/>
          <w:b/>
          <w:bCs/>
          <w:rtl/>
        </w:rPr>
        <w:t xml:space="preserve">الفرق الثاني: </w:t>
      </w:r>
      <w:r w:rsidR="00027B98">
        <w:rPr>
          <w:rFonts w:ascii="Traditional Arabic" w:hAnsi="Traditional Arabic" w:hint="cs"/>
          <w:rtl/>
        </w:rPr>
        <w:t>أ</w:t>
      </w:r>
      <w:r>
        <w:rPr>
          <w:rFonts w:ascii="Traditional Arabic" w:hAnsi="Traditional Arabic" w:hint="cs"/>
          <w:rtl/>
        </w:rPr>
        <w:t>ن القاعدة في الأعم الأغلب متفق على مضمونها بين المذاهب أو أكثرها. وأما الضابط فهو يختص بمذهب معين-إلا ما ندَر عمومه_</w:t>
      </w:r>
      <w:r w:rsidR="00027B98">
        <w:rPr>
          <w:rFonts w:ascii="Traditional Arabic" w:hAnsi="Traditional Arabic" w:hint="cs"/>
          <w:rtl/>
        </w:rPr>
        <w:t xml:space="preserve">، </w:t>
      </w:r>
      <w:r>
        <w:rPr>
          <w:rFonts w:ascii="Traditional Arabic" w:hAnsi="Traditional Arabic" w:hint="cs"/>
          <w:rtl/>
        </w:rPr>
        <w:t xml:space="preserve">بل منه ما يكون وجهة نظر فقيه واحد في </w:t>
      </w:r>
      <w:r>
        <w:rPr>
          <w:rFonts w:ascii="Traditional Arabic" w:hAnsi="Traditional Arabic" w:hint="cs"/>
          <w:rtl/>
        </w:rPr>
        <w:lastRenderedPageBreak/>
        <w:t>مذهب معين قد يخالفه فيه فقهاء آخر</w:t>
      </w:r>
      <w:r w:rsidR="00027B98">
        <w:rPr>
          <w:rFonts w:ascii="Traditional Arabic" w:hAnsi="Traditional Arabic" w:hint="cs"/>
          <w:rtl/>
        </w:rPr>
        <w:t>ون</w:t>
      </w:r>
      <w:r>
        <w:rPr>
          <w:rFonts w:ascii="Traditional Arabic" w:hAnsi="Traditional Arabic" w:hint="cs"/>
          <w:rtl/>
        </w:rPr>
        <w:t xml:space="preserve"> من نفس المذهب</w:t>
      </w:r>
      <w:r w:rsidR="00A57165" w:rsidRPr="00931967">
        <w:rPr>
          <w:rFonts w:ascii="Traditional Arabic" w:hAnsi="Traditional Arabic" w:hint="cs"/>
          <w:vertAlign w:val="superscript"/>
          <w:rtl/>
        </w:rPr>
        <w:t>(</w:t>
      </w:r>
      <w:r w:rsidR="00A57165" w:rsidRPr="00931967">
        <w:rPr>
          <w:rStyle w:val="af1"/>
          <w:rFonts w:ascii="Traditional Arabic" w:hAnsi="Traditional Arabic"/>
          <w:rtl/>
        </w:rPr>
        <w:footnoteReference w:id="143"/>
      </w:r>
      <w:r w:rsidR="00A57165" w:rsidRPr="00931967">
        <w:rPr>
          <w:rFonts w:ascii="Traditional Arabic" w:hAnsi="Traditional Arabic" w:hint="cs"/>
          <w:vertAlign w:val="superscript"/>
          <w:rtl/>
        </w:rPr>
        <w:t>)</w:t>
      </w:r>
      <w:r>
        <w:rPr>
          <w:rFonts w:ascii="Traditional Arabic" w:hAnsi="Traditional Arabic" w:hint="cs"/>
          <w:rtl/>
        </w:rPr>
        <w:t>.</w:t>
      </w:r>
    </w:p>
    <w:p w:rsidR="00931967" w:rsidRPr="00CE4EC6" w:rsidRDefault="006960A7" w:rsidP="00CE4EC6">
      <w:pPr>
        <w:spacing w:line="640" w:lineRule="exact"/>
        <w:ind w:firstLine="0"/>
        <w:jc w:val="lowKashida"/>
        <w:rPr>
          <w:rFonts w:ascii="Traditional Arabic" w:hAnsi="Traditional Arabic"/>
          <w:rtl/>
        </w:rPr>
      </w:pPr>
      <w:r>
        <w:rPr>
          <w:rFonts w:ascii="Traditional Arabic" w:hAnsi="Traditional Arabic" w:hint="cs"/>
          <w:rtl/>
        </w:rPr>
        <w:t xml:space="preserve">    </w:t>
      </w:r>
      <w:r>
        <w:rPr>
          <w:rFonts w:ascii="Traditional Arabic" w:hAnsi="Traditional Arabic" w:hint="cs"/>
          <w:b/>
          <w:bCs/>
          <w:rtl/>
        </w:rPr>
        <w:t xml:space="preserve">الفرق الثالث: </w:t>
      </w:r>
      <w:r w:rsidR="00027B98">
        <w:rPr>
          <w:rFonts w:ascii="Traditional Arabic" w:hAnsi="Traditional Arabic" w:hint="cs"/>
          <w:rtl/>
        </w:rPr>
        <w:t>أ</w:t>
      </w:r>
      <w:r>
        <w:rPr>
          <w:rFonts w:ascii="Traditional Arabic" w:hAnsi="Traditional Arabic" w:hint="cs"/>
          <w:rtl/>
        </w:rPr>
        <w:t>ن مساحة الاستثناءات الواردة على القواعد أوسع بكثير من مساحة الاستثناءات الواردة على الضوابط؛ لأن الضوابط الفقهية تضبط موضوعا واحدا فلا تكث</w:t>
      </w:r>
      <w:r w:rsidR="003932DA">
        <w:rPr>
          <w:rFonts w:ascii="Traditional Arabic" w:hAnsi="Traditional Arabic" w:hint="cs"/>
          <w:rtl/>
        </w:rPr>
        <w:t>ُ</w:t>
      </w:r>
      <w:r>
        <w:rPr>
          <w:rFonts w:ascii="Traditional Arabic" w:hAnsi="Traditional Arabic" w:hint="cs"/>
          <w:rtl/>
        </w:rPr>
        <w:t>ر فيها الاستثناءات</w:t>
      </w:r>
      <w:r w:rsidRPr="006960A7">
        <w:rPr>
          <w:rFonts w:ascii="Traditional Arabic" w:hAnsi="Traditional Arabic" w:hint="cs"/>
          <w:vertAlign w:val="superscript"/>
          <w:rtl/>
        </w:rPr>
        <w:t>(</w:t>
      </w:r>
      <w:r w:rsidRPr="006960A7">
        <w:rPr>
          <w:rStyle w:val="af1"/>
          <w:rFonts w:ascii="Traditional Arabic" w:hAnsi="Traditional Arabic"/>
          <w:rtl/>
        </w:rPr>
        <w:footnoteReference w:id="144"/>
      </w:r>
      <w:r w:rsidRPr="006960A7">
        <w:rPr>
          <w:rFonts w:ascii="Traditional Arabic" w:hAnsi="Traditional Arabic" w:hint="cs"/>
          <w:vertAlign w:val="superscript"/>
          <w:rtl/>
        </w:rPr>
        <w:t>)</w:t>
      </w:r>
      <w:r>
        <w:rPr>
          <w:rFonts w:ascii="Traditional Arabic" w:hAnsi="Traditional Arabic" w:hint="cs"/>
          <w:rtl/>
        </w:rPr>
        <w:t>.</w:t>
      </w:r>
    </w:p>
    <w:p w:rsidR="007A1F42" w:rsidRPr="00F35797" w:rsidRDefault="00EA4890" w:rsidP="00A8347C">
      <w:pPr>
        <w:pStyle w:val="aff3"/>
        <w:rPr>
          <w:rtl/>
        </w:rPr>
      </w:pPr>
      <w:bookmarkStart w:id="28" w:name="_Toc334046287"/>
      <w:r>
        <w:rPr>
          <w:rFonts w:hint="cs"/>
          <w:rtl/>
        </w:rPr>
        <w:t xml:space="preserve">                                        </w:t>
      </w:r>
      <w:r w:rsidR="006F08E1">
        <w:rPr>
          <w:rFonts w:hint="cs"/>
          <w:rtl/>
        </w:rPr>
        <w:t>المطلب الخامس</w:t>
      </w:r>
      <w:r w:rsidR="001C50AE">
        <w:rPr>
          <w:rFonts w:hint="eastAsia"/>
          <w:rtl/>
        </w:rPr>
        <w:t> :</w:t>
      </w:r>
      <w:r w:rsidR="001C50AE">
        <w:rPr>
          <w:rFonts w:hint="cs"/>
          <w:rtl/>
        </w:rPr>
        <w:br/>
      </w:r>
      <w:r>
        <w:rPr>
          <w:rFonts w:hint="cs"/>
          <w:rtl/>
        </w:rPr>
        <w:t xml:space="preserve">                     </w:t>
      </w:r>
      <w:r w:rsidR="004B4234">
        <w:rPr>
          <w:rFonts w:hint="cs"/>
          <w:rtl/>
        </w:rPr>
        <w:t xml:space="preserve"> </w:t>
      </w:r>
      <w:r w:rsidR="006F08E1">
        <w:rPr>
          <w:rFonts w:hint="cs"/>
          <w:rtl/>
        </w:rPr>
        <w:t>الفرق بين القاعدة الفقهية والقاعدة الأصولية</w:t>
      </w:r>
      <w:bookmarkEnd w:id="28"/>
    </w:p>
    <w:p w:rsidR="006F08E1" w:rsidRDefault="00065E4B" w:rsidP="00597C20">
      <w:pPr>
        <w:spacing w:line="640" w:lineRule="exact"/>
        <w:jc w:val="lowKashida"/>
        <w:rPr>
          <w:rFonts w:ascii="Traditional Arabic" w:hAnsi="Traditional Arabic"/>
          <w:b/>
          <w:bCs/>
          <w:rtl/>
        </w:rPr>
      </w:pPr>
      <w:r>
        <w:rPr>
          <w:rFonts w:ascii="Traditional Arabic" w:hAnsi="Traditional Arabic" w:hint="cs"/>
          <w:rtl/>
        </w:rPr>
        <w:t>ي</w:t>
      </w:r>
      <w:r w:rsidR="006F08E1">
        <w:rPr>
          <w:rFonts w:ascii="Traditional Arabic" w:hAnsi="Traditional Arabic" w:hint="cs"/>
          <w:rtl/>
        </w:rPr>
        <w:t xml:space="preserve">مكن تلخيص </w:t>
      </w:r>
      <w:r w:rsidR="004B4234">
        <w:rPr>
          <w:rFonts w:ascii="Traditional Arabic" w:hAnsi="Traditional Arabic" w:hint="cs"/>
          <w:rtl/>
        </w:rPr>
        <w:t xml:space="preserve">أهم </w:t>
      </w:r>
      <w:r w:rsidR="006F08E1">
        <w:rPr>
          <w:rFonts w:ascii="Traditional Arabic" w:hAnsi="Traditional Arabic" w:hint="cs"/>
          <w:rtl/>
        </w:rPr>
        <w:t>الفر</w:t>
      </w:r>
      <w:r w:rsidR="004B4234">
        <w:rPr>
          <w:rFonts w:ascii="Traditional Arabic" w:hAnsi="Traditional Arabic" w:hint="cs"/>
          <w:rtl/>
        </w:rPr>
        <w:t>و</w:t>
      </w:r>
      <w:r w:rsidR="006F08E1">
        <w:rPr>
          <w:rFonts w:ascii="Traditional Arabic" w:hAnsi="Traditional Arabic" w:hint="cs"/>
          <w:rtl/>
        </w:rPr>
        <w:t>ق بين القاعدة الأصولية والقاعدة الفقهية في النقاط التالية:</w:t>
      </w:r>
    </w:p>
    <w:p w:rsidR="006F08E1" w:rsidRDefault="006F08E1" w:rsidP="000A76C7">
      <w:pPr>
        <w:pStyle w:val="afc"/>
        <w:numPr>
          <w:ilvl w:val="0"/>
          <w:numId w:val="44"/>
        </w:numPr>
        <w:spacing w:line="640" w:lineRule="exact"/>
        <w:jc w:val="lowKashida"/>
        <w:rPr>
          <w:rFonts w:ascii="Traditional Arabic" w:hAnsi="Traditional Arabic"/>
        </w:rPr>
      </w:pPr>
      <w:r>
        <w:rPr>
          <w:rFonts w:ascii="Traditional Arabic" w:hAnsi="Traditional Arabic" w:hint="cs"/>
          <w:rtl/>
        </w:rPr>
        <w:t>القاعدة الأصولية موضوعها الأدلةُ من حيث استخراجُ الأحكام منها، فهي وسط بين الأدلة والأحكام، ومنهج يضبط طريقة استخراج الأحكام من الأدلة.</w:t>
      </w:r>
    </w:p>
    <w:p w:rsidR="007A1F42" w:rsidRPr="002B2749" w:rsidRDefault="006F08E1" w:rsidP="002B2749">
      <w:pPr>
        <w:pStyle w:val="afc"/>
        <w:spacing w:line="640" w:lineRule="exact"/>
        <w:ind w:left="1027" w:firstLine="0"/>
        <w:jc w:val="lowKashida"/>
        <w:rPr>
          <w:rFonts w:ascii="Traditional Arabic" w:hAnsi="Traditional Arabic"/>
          <w:rtl/>
        </w:rPr>
      </w:pPr>
      <w:r>
        <w:rPr>
          <w:rFonts w:ascii="Traditional Arabic" w:hAnsi="Traditional Arabic" w:hint="cs"/>
          <w:rtl/>
        </w:rPr>
        <w:t>أما القاعدة الفقهية فموضوعها المكلف من حيث حكمُ أفعاله وتصرفاته، فتتسلط القاعدة عليه مباشرة، دون حاجة إلى واسطة بينهما</w:t>
      </w:r>
      <w:r w:rsidRPr="00C821A1">
        <w:rPr>
          <w:rStyle w:val="af1"/>
          <w:szCs w:val="32"/>
          <w:rtl/>
        </w:rPr>
        <w:t>(</w:t>
      </w:r>
      <w:r w:rsidRPr="00C821A1">
        <w:rPr>
          <w:rStyle w:val="af1"/>
          <w:szCs w:val="32"/>
          <w:rtl/>
        </w:rPr>
        <w:footnoteReference w:id="145"/>
      </w:r>
      <w:r w:rsidRPr="00C821A1">
        <w:rPr>
          <w:rStyle w:val="af1"/>
          <w:szCs w:val="32"/>
          <w:rtl/>
        </w:rPr>
        <w:t>)</w:t>
      </w:r>
      <w:r>
        <w:rPr>
          <w:rFonts w:ascii="Traditional Arabic" w:hAnsi="Traditional Arabic" w:hint="cs"/>
          <w:rtl/>
        </w:rPr>
        <w:t>.</w:t>
      </w:r>
    </w:p>
    <w:p w:rsidR="007A1F42" w:rsidRPr="002B2749" w:rsidRDefault="006F08E1" w:rsidP="002B2749">
      <w:pPr>
        <w:pStyle w:val="afc"/>
        <w:numPr>
          <w:ilvl w:val="0"/>
          <w:numId w:val="44"/>
        </w:numPr>
        <w:spacing w:line="640" w:lineRule="exact"/>
        <w:jc w:val="lowKashida"/>
        <w:rPr>
          <w:rFonts w:ascii="Traditional Arabic" w:hAnsi="Traditional Arabic"/>
        </w:rPr>
      </w:pPr>
      <w:r>
        <w:rPr>
          <w:rFonts w:ascii="Traditional Arabic" w:hAnsi="Traditional Arabic" w:hint="cs"/>
          <w:rtl/>
        </w:rPr>
        <w:t>قواعد أصول الفقه إنما نشأت من اللفظ، وما يعرِض له من</w:t>
      </w:r>
      <w:r w:rsidR="004B4234">
        <w:rPr>
          <w:rFonts w:ascii="Traditional Arabic" w:hAnsi="Traditional Arabic" w:hint="cs"/>
          <w:rtl/>
        </w:rPr>
        <w:t xml:space="preserve"> </w:t>
      </w:r>
      <w:r>
        <w:rPr>
          <w:rFonts w:ascii="Traditional Arabic" w:hAnsi="Traditional Arabic" w:hint="cs"/>
          <w:rtl/>
        </w:rPr>
        <w:t>خصوص وعموم وإطلاق وتقييد، ونحو ذلك، وأما القواعد الف</w:t>
      </w:r>
      <w:r w:rsidR="00981CDD">
        <w:rPr>
          <w:rFonts w:ascii="Traditional Arabic" w:hAnsi="Traditional Arabic" w:hint="cs"/>
          <w:rtl/>
        </w:rPr>
        <w:t>ق</w:t>
      </w:r>
      <w:r>
        <w:rPr>
          <w:rFonts w:ascii="Traditional Arabic" w:hAnsi="Traditional Arabic" w:hint="cs"/>
          <w:rtl/>
        </w:rPr>
        <w:t xml:space="preserve">هية فلم تنشأ من الألفاظ، وإنما نشأت من تتبع النصوص، وما تشتمل عليه من الأحكام والفروع المتشابهة، ثم استخراج رابط واحد </w:t>
      </w:r>
      <w:r>
        <w:rPr>
          <w:rFonts w:ascii="Traditional Arabic" w:hAnsi="Traditional Arabic" w:hint="cs"/>
          <w:rtl/>
        </w:rPr>
        <w:lastRenderedPageBreak/>
        <w:t>يربط بينها جميعا</w:t>
      </w:r>
      <w:r w:rsidRPr="00C821A1">
        <w:rPr>
          <w:rStyle w:val="af1"/>
          <w:szCs w:val="32"/>
          <w:rtl/>
        </w:rPr>
        <w:t>(</w:t>
      </w:r>
      <w:r w:rsidRPr="00C821A1">
        <w:rPr>
          <w:rStyle w:val="af1"/>
          <w:szCs w:val="32"/>
          <w:rtl/>
        </w:rPr>
        <w:footnoteReference w:id="146"/>
      </w:r>
      <w:r w:rsidRPr="00C821A1">
        <w:rPr>
          <w:rStyle w:val="af1"/>
          <w:szCs w:val="32"/>
          <w:rtl/>
        </w:rPr>
        <w:t>)</w:t>
      </w:r>
      <w:r>
        <w:rPr>
          <w:rFonts w:ascii="Traditional Arabic" w:hAnsi="Traditional Arabic" w:hint="cs"/>
          <w:rtl/>
        </w:rPr>
        <w:t>.</w:t>
      </w:r>
    </w:p>
    <w:p w:rsidR="006F08E1" w:rsidRPr="004B4234" w:rsidRDefault="006F08E1" w:rsidP="000A76C7">
      <w:pPr>
        <w:pStyle w:val="afc"/>
        <w:numPr>
          <w:ilvl w:val="0"/>
          <w:numId w:val="45"/>
        </w:numPr>
        <w:spacing w:line="640" w:lineRule="exact"/>
        <w:jc w:val="lowKashida"/>
        <w:rPr>
          <w:rFonts w:ascii="Traditional Arabic" w:hAnsi="Traditional Arabic"/>
          <w:rtl/>
        </w:rPr>
      </w:pPr>
      <w:r>
        <w:rPr>
          <w:rFonts w:ascii="Traditional Arabic" w:hAnsi="Traditional Arabic" w:hint="cs"/>
          <w:rtl/>
        </w:rPr>
        <w:t>القواعد الأصولية متقدم</w:t>
      </w:r>
      <w:r w:rsidR="004B4234">
        <w:rPr>
          <w:rFonts w:ascii="Traditional Arabic" w:hAnsi="Traditional Arabic" w:hint="cs"/>
          <w:rtl/>
        </w:rPr>
        <w:t xml:space="preserve">ة في الوجود على القواعد الفقهية، </w:t>
      </w:r>
      <w:r w:rsidRPr="004B4234">
        <w:rPr>
          <w:rFonts w:ascii="Traditional Arabic" w:hAnsi="Traditional Arabic" w:hint="cs"/>
          <w:rtl/>
        </w:rPr>
        <w:t>وسبب ذلك أن القواعد الأصولية أدوات يستخدمها المجتهد في استنباط الأحكام بها من الكتاب والسنة؛ فلهذا لابد أن تكون موجودة قبل أن يحصل الاسنباط، وهذا يعني أنها موجودة في ذهن الفقيه، ومن خلالها يتوصل إلى الحكم، وهي وإن لم تظهر إلا متأخرة من حيث اكتشافها من الفروع، فليس معنى ذلك أنها لم تكن موجودة.</w:t>
      </w:r>
    </w:p>
    <w:p w:rsidR="00065E4B" w:rsidRPr="0072672C" w:rsidRDefault="006F08E1" w:rsidP="00597C20">
      <w:pPr>
        <w:pStyle w:val="afc"/>
        <w:spacing w:line="640" w:lineRule="exact"/>
        <w:ind w:left="1027" w:firstLine="0"/>
        <w:jc w:val="lowKashida"/>
        <w:rPr>
          <w:rFonts w:ascii="Traditional Arabic" w:hAnsi="Traditional Arabic"/>
          <w:rtl/>
        </w:rPr>
      </w:pPr>
      <w:r>
        <w:rPr>
          <w:rFonts w:ascii="Traditional Arabic" w:hAnsi="Traditional Arabic" w:hint="cs"/>
          <w:rtl/>
        </w:rPr>
        <w:t>أما القواعد الفقهية فهي رابط يربط بين عدد من الفروع، وهذا الضابط الذي يجمع فروعا متشابهة في المأخذ لا يمكن أن يوجد إلا بعد وجود الفروع، ومعرفة مآخذها،</w:t>
      </w:r>
    </w:p>
    <w:p w:rsidR="006F08E1" w:rsidRDefault="00065E4B" w:rsidP="00597C20">
      <w:pPr>
        <w:spacing w:line="640" w:lineRule="exact"/>
        <w:jc w:val="lowKashida"/>
        <w:rPr>
          <w:rFonts w:ascii="Traditional Arabic" w:hAnsi="Traditional Arabic"/>
          <w:rtl/>
        </w:rPr>
      </w:pPr>
      <w:r>
        <w:rPr>
          <w:rFonts w:ascii="Traditional Arabic" w:hAnsi="Traditional Arabic" w:hint="cs"/>
          <w:rtl/>
        </w:rPr>
        <w:t>و</w:t>
      </w:r>
      <w:r w:rsidR="006F08E1">
        <w:rPr>
          <w:rFonts w:ascii="Traditional Arabic" w:hAnsi="Traditional Arabic" w:hint="cs"/>
          <w:rtl/>
        </w:rPr>
        <w:t>محاولة التوصل إلى صيغة واحدة مختصرة تجمعها</w:t>
      </w:r>
      <w:r w:rsidR="006F08E1" w:rsidRPr="00C821A1">
        <w:rPr>
          <w:rStyle w:val="af1"/>
          <w:szCs w:val="32"/>
          <w:rtl/>
        </w:rPr>
        <w:t>(</w:t>
      </w:r>
      <w:r w:rsidR="006F08E1" w:rsidRPr="00C821A1">
        <w:rPr>
          <w:rStyle w:val="af1"/>
          <w:szCs w:val="32"/>
          <w:rtl/>
        </w:rPr>
        <w:footnoteReference w:id="147"/>
      </w:r>
      <w:r w:rsidR="006F08E1" w:rsidRPr="00C821A1">
        <w:rPr>
          <w:rStyle w:val="af1"/>
          <w:szCs w:val="32"/>
          <w:rtl/>
        </w:rPr>
        <w:t>)</w:t>
      </w:r>
      <w:r w:rsidR="006F08E1">
        <w:rPr>
          <w:rFonts w:ascii="Traditional Arabic" w:hAnsi="Traditional Arabic" w:hint="cs"/>
          <w:rtl/>
        </w:rPr>
        <w:t>.</w:t>
      </w:r>
    </w:p>
    <w:p w:rsidR="0076024D" w:rsidRDefault="002B2749" w:rsidP="00597C20">
      <w:pPr>
        <w:spacing w:line="640" w:lineRule="exact"/>
        <w:jc w:val="lowKashida"/>
        <w:rPr>
          <w:rFonts w:ascii="Traditional Arabic" w:hAnsi="Traditional Arabic"/>
          <w:rtl/>
        </w:rPr>
      </w:pPr>
      <w:r>
        <w:rPr>
          <w:rFonts w:ascii="Tahoma" w:hAnsi="Tahoma" w:hint="cs"/>
          <w:rtl/>
        </w:rPr>
        <w:t>ومما يشار إليه في آخر هذا المطلب أن ثمة نوع</w:t>
      </w:r>
      <w:r w:rsidR="00CE4EC6">
        <w:rPr>
          <w:rFonts w:ascii="Tahoma" w:hAnsi="Tahoma" w:hint="cs"/>
          <w:rtl/>
        </w:rPr>
        <w:t>ا</w:t>
      </w:r>
      <w:r>
        <w:rPr>
          <w:rFonts w:ascii="Tahoma" w:hAnsi="Tahoma" w:hint="cs"/>
          <w:rtl/>
        </w:rPr>
        <w:t xml:space="preserve"> آخر من القواعد يشترك في تطبيقاتها الفقهاء والأصوليون، وهي التي تُعرف بالقواعد المشتركة بين الفقه والأصول، فهي قواعد فقهية أصولية في الوقت نفسه، فإذا نُظر إليها باعتبار كونها دليلا شرعيا إجماليا كانت أصولية، وإذا نظر إليها باعتبار كونها حكما جزئيا لفعل من أفعال المكلف كانت فقهية</w:t>
      </w:r>
      <w:r w:rsidRPr="002B2749">
        <w:rPr>
          <w:rFonts w:ascii="Tahoma" w:hAnsi="Tahoma" w:hint="cs"/>
          <w:vertAlign w:val="superscript"/>
          <w:rtl/>
        </w:rPr>
        <w:t>(</w:t>
      </w:r>
      <w:r w:rsidRPr="002B2749">
        <w:rPr>
          <w:rStyle w:val="af1"/>
          <w:rFonts w:ascii="Tahoma" w:hAnsi="Tahoma"/>
          <w:rtl/>
        </w:rPr>
        <w:footnoteReference w:id="148"/>
      </w:r>
      <w:r w:rsidRPr="002B2749">
        <w:rPr>
          <w:rFonts w:ascii="Tahoma" w:hAnsi="Tahoma" w:hint="cs"/>
          <w:vertAlign w:val="superscript"/>
          <w:rtl/>
        </w:rPr>
        <w:t>)</w:t>
      </w:r>
      <w:r>
        <w:rPr>
          <w:rFonts w:ascii="Tahoma" w:hAnsi="Tahoma" w:hint="cs"/>
          <w:rtl/>
        </w:rPr>
        <w:t>.</w:t>
      </w:r>
    </w:p>
    <w:p w:rsidR="00F228A9" w:rsidRPr="00EA687E" w:rsidRDefault="001C50AE" w:rsidP="00964E64">
      <w:pPr>
        <w:pStyle w:val="aff0"/>
        <w:jc w:val="both"/>
      </w:pPr>
      <w:bookmarkStart w:id="29" w:name="_Toc334046288"/>
      <w:r w:rsidRPr="00EA687E">
        <w:rPr>
          <w:rtl/>
        </w:rPr>
        <w:lastRenderedPageBreak/>
        <w:t xml:space="preserve">المبحث </w:t>
      </w:r>
      <w:r w:rsidRPr="001C50AE">
        <w:rPr>
          <w:rtl/>
        </w:rPr>
        <w:t>الرابع</w:t>
      </w:r>
      <w:r>
        <w:rPr>
          <w:rFonts w:hint="cs"/>
          <w:rtl/>
        </w:rPr>
        <w:t>:</w:t>
      </w:r>
      <w:r w:rsidR="00964E64">
        <w:rPr>
          <w:rFonts w:hint="cs"/>
          <w:rtl/>
        </w:rPr>
        <w:t xml:space="preserve"> </w:t>
      </w:r>
      <w:r w:rsidRPr="00EA687E">
        <w:rPr>
          <w:rtl/>
        </w:rPr>
        <w:t xml:space="preserve"> </w:t>
      </w:r>
      <w:r w:rsidR="00984A97">
        <w:rPr>
          <w:rFonts w:hint="cs"/>
          <w:rtl/>
        </w:rPr>
        <w:t xml:space="preserve">مصادر </w:t>
      </w:r>
      <w:r w:rsidRPr="00EA687E">
        <w:rPr>
          <w:rtl/>
        </w:rPr>
        <w:t>القاعدة والضابط عند الشيخ ابن عثيمين</w:t>
      </w:r>
      <w:r w:rsidR="00964E64">
        <w:rPr>
          <w:rFonts w:hint="cs"/>
          <w:rtl/>
        </w:rPr>
        <w:t xml:space="preserve"> رحمه الله</w:t>
      </w:r>
      <w:r w:rsidRPr="00EA687E">
        <w:rPr>
          <w:rtl/>
        </w:rPr>
        <w:t xml:space="preserve"> </w:t>
      </w:r>
      <w:bookmarkEnd w:id="29"/>
    </w:p>
    <w:p w:rsidR="00F228A9" w:rsidRPr="002D7A92" w:rsidRDefault="006F08E1" w:rsidP="00597C20">
      <w:pPr>
        <w:spacing w:after="360" w:line="860" w:lineRule="exact"/>
        <w:ind w:right="851" w:firstLine="142"/>
        <w:rPr>
          <w:rFonts w:ascii="Traditional Arabic" w:hAnsi="Traditional Arabic"/>
          <w:b/>
          <w:bCs/>
          <w:u w:val="single"/>
          <w:rtl/>
        </w:rPr>
      </w:pPr>
      <w:r w:rsidRPr="002D7A92">
        <w:rPr>
          <w:rFonts w:ascii="Traditional Arabic" w:hAnsi="Traditional Arabic"/>
          <w:b/>
          <w:bCs/>
          <w:u w:val="single"/>
          <w:rtl/>
        </w:rPr>
        <w:t>وفيه المطالب التالية :</w:t>
      </w:r>
    </w:p>
    <w:p w:rsidR="006F08E1" w:rsidRPr="002769A5" w:rsidRDefault="006F08E1" w:rsidP="00597C20">
      <w:pPr>
        <w:tabs>
          <w:tab w:val="left" w:pos="2833"/>
        </w:tabs>
        <w:ind w:left="2833" w:hanging="2268"/>
        <w:jc w:val="left"/>
        <w:rPr>
          <w:rtl/>
        </w:rPr>
      </w:pPr>
      <w:r w:rsidRPr="00FD5687">
        <w:rPr>
          <w:b/>
          <w:bCs/>
          <w:rtl/>
        </w:rPr>
        <w:t>المطلب الأول :</w:t>
      </w:r>
      <w:r w:rsidR="00984A97">
        <w:rPr>
          <w:rtl/>
        </w:rPr>
        <w:tab/>
      </w:r>
      <w:r w:rsidRPr="002769A5">
        <w:rPr>
          <w:rtl/>
        </w:rPr>
        <w:t xml:space="preserve"> الكتاب والسنة</w:t>
      </w:r>
      <w:r w:rsidR="00B76414" w:rsidRPr="002769A5">
        <w:rPr>
          <w:rtl/>
        </w:rPr>
        <w:t>.</w:t>
      </w:r>
    </w:p>
    <w:p w:rsidR="006F08E1" w:rsidRPr="00031790" w:rsidRDefault="006F08E1" w:rsidP="00984A97">
      <w:pPr>
        <w:tabs>
          <w:tab w:val="left" w:pos="2833"/>
        </w:tabs>
        <w:ind w:left="2833" w:hanging="2268"/>
        <w:jc w:val="left"/>
        <w:rPr>
          <w:rtl/>
        </w:rPr>
      </w:pPr>
      <w:r w:rsidRPr="00FD5687">
        <w:rPr>
          <w:b/>
          <w:bCs/>
          <w:rtl/>
        </w:rPr>
        <w:t>المطلب الثاني :</w:t>
      </w:r>
      <w:r w:rsidRPr="00031790">
        <w:rPr>
          <w:rtl/>
        </w:rPr>
        <w:tab/>
      </w:r>
      <w:r w:rsidR="00984A97">
        <w:rPr>
          <w:rFonts w:hint="cs"/>
          <w:rtl/>
        </w:rPr>
        <w:t>ك</w:t>
      </w:r>
      <w:r w:rsidR="00984A97" w:rsidRPr="00031790">
        <w:rPr>
          <w:rtl/>
        </w:rPr>
        <w:t xml:space="preserve">تب </w:t>
      </w:r>
      <w:r w:rsidR="00984A97">
        <w:rPr>
          <w:rFonts w:hint="cs"/>
          <w:rtl/>
        </w:rPr>
        <w:t xml:space="preserve">أهل العلم، وأهمها كتب </w:t>
      </w:r>
      <w:r w:rsidR="00984A97" w:rsidRPr="00031790">
        <w:rPr>
          <w:rtl/>
        </w:rPr>
        <w:t>شيخ الإسلام ابن</w:t>
      </w:r>
      <w:r w:rsidR="00984A97">
        <w:rPr>
          <w:rtl/>
        </w:rPr>
        <w:t xml:space="preserve"> تيميــة وابن القيم</w:t>
      </w:r>
      <w:r w:rsidR="00984A97">
        <w:rPr>
          <w:rFonts w:hint="cs"/>
          <w:rtl/>
        </w:rPr>
        <w:t xml:space="preserve"> و</w:t>
      </w:r>
      <w:r w:rsidRPr="00031790">
        <w:rPr>
          <w:rtl/>
        </w:rPr>
        <w:t>شيخ</w:t>
      </w:r>
      <w:r w:rsidR="00984A97">
        <w:rPr>
          <w:rFonts w:hint="cs"/>
          <w:rtl/>
        </w:rPr>
        <w:t>ه</w:t>
      </w:r>
      <w:r w:rsidR="00984A97">
        <w:rPr>
          <w:rtl/>
        </w:rPr>
        <w:t xml:space="preserve"> السعدي</w:t>
      </w:r>
      <w:r w:rsidRPr="00031790">
        <w:rPr>
          <w:rtl/>
        </w:rPr>
        <w:t>.</w:t>
      </w:r>
    </w:p>
    <w:p w:rsidR="001C50AE" w:rsidRDefault="001C50AE" w:rsidP="00597C20">
      <w:pPr>
        <w:widowControl/>
        <w:ind w:firstLine="0"/>
        <w:jc w:val="left"/>
        <w:rPr>
          <w:rFonts w:ascii="Traditional Arabic" w:hAnsi="Traditional Arabic"/>
          <w:rtl/>
        </w:rPr>
      </w:pPr>
      <w:r>
        <w:rPr>
          <w:rFonts w:ascii="Traditional Arabic" w:hAnsi="Traditional Arabic"/>
          <w:rtl/>
        </w:rPr>
        <w:br w:type="page"/>
      </w:r>
    </w:p>
    <w:p w:rsidR="006F08E1" w:rsidRPr="00693FC7" w:rsidRDefault="005071C9" w:rsidP="00A8347C">
      <w:pPr>
        <w:pStyle w:val="aff3"/>
        <w:rPr>
          <w:rtl/>
        </w:rPr>
      </w:pPr>
      <w:bookmarkStart w:id="30" w:name="_Toc334046289"/>
      <w:r>
        <w:rPr>
          <w:rFonts w:hint="cs"/>
          <w:rtl/>
        </w:rPr>
        <w:lastRenderedPageBreak/>
        <w:t xml:space="preserve">                                          </w:t>
      </w:r>
      <w:r w:rsidR="006F08E1" w:rsidRPr="00693FC7">
        <w:rPr>
          <w:rtl/>
        </w:rPr>
        <w:t>المطلب الأول</w:t>
      </w:r>
      <w:r w:rsidR="00575CAE">
        <w:rPr>
          <w:rFonts w:hint="cs"/>
          <w:rtl/>
        </w:rPr>
        <w:t> :</w:t>
      </w:r>
      <w:r w:rsidR="001C50AE">
        <w:rPr>
          <w:rFonts w:hint="cs"/>
          <w:rtl/>
        </w:rPr>
        <w:br/>
      </w:r>
      <w:r>
        <w:rPr>
          <w:rFonts w:hint="cs"/>
          <w:rtl/>
        </w:rPr>
        <w:t xml:space="preserve">                                 </w:t>
      </w:r>
      <w:r w:rsidR="00984A97">
        <w:rPr>
          <w:rFonts w:hint="cs"/>
          <w:rtl/>
        </w:rPr>
        <w:t xml:space="preserve">       </w:t>
      </w:r>
      <w:r w:rsidR="006F08E1" w:rsidRPr="00693FC7">
        <w:rPr>
          <w:rtl/>
        </w:rPr>
        <w:t xml:space="preserve"> الكتاب والسنة</w:t>
      </w:r>
      <w:bookmarkEnd w:id="30"/>
    </w:p>
    <w:p w:rsidR="006135FE" w:rsidRDefault="006F08E1" w:rsidP="00597C20">
      <w:pPr>
        <w:spacing w:line="640" w:lineRule="exact"/>
        <w:jc w:val="lowKashida"/>
        <w:rPr>
          <w:rFonts w:ascii="Traditional Arabic" w:hAnsi="Traditional Arabic"/>
          <w:rtl/>
        </w:rPr>
      </w:pPr>
      <w:r w:rsidRPr="00693FC7">
        <w:rPr>
          <w:rFonts w:ascii="Traditional Arabic" w:hAnsi="Traditional Arabic"/>
          <w:rtl/>
        </w:rPr>
        <w:t xml:space="preserve">الشيخ ابن عثيمين </w:t>
      </w:r>
      <w:r w:rsidR="009A0575" w:rsidRPr="005D5694">
        <w:rPr>
          <w:rFonts w:ascii="Traditional Arabic" w:hAnsi="Traditional Arabic" w:cs="CTraditional Arabic" w:hint="cs"/>
          <w:rtl/>
        </w:rPr>
        <w:t>/</w:t>
      </w:r>
      <w:r w:rsidRPr="00693FC7">
        <w:rPr>
          <w:rFonts w:ascii="Traditional Arabic" w:hAnsi="Traditional Arabic"/>
          <w:rtl/>
        </w:rPr>
        <w:t>رجل يُمثِّل سيرة العلماء العاملين الذين يتحر</w:t>
      </w:r>
      <w:r w:rsidR="006135FE">
        <w:rPr>
          <w:rFonts w:ascii="Traditional Arabic" w:hAnsi="Traditional Arabic" w:hint="cs"/>
          <w:rtl/>
        </w:rPr>
        <w:t>َّ</w:t>
      </w:r>
      <w:r w:rsidRPr="00693FC7">
        <w:rPr>
          <w:rFonts w:ascii="Traditional Arabic" w:hAnsi="Traditional Arabic"/>
          <w:rtl/>
        </w:rPr>
        <w:t xml:space="preserve">ون الدليل والبرهان والسير على نهج الرسول </w:t>
      </w:r>
      <w:r w:rsidR="00F350DE">
        <w:rPr>
          <w:rFonts w:ascii="Traditional Arabic" w:hAnsi="Traditional Arabic"/>
          <w:noProof w:val="0"/>
          <w:color w:val="auto"/>
          <w:rtl/>
          <w:lang w:eastAsia="en-US"/>
        </w:rPr>
        <w:sym w:font="AGA Arabesque" w:char="F072"/>
      </w:r>
      <w:r w:rsidRPr="00693FC7">
        <w:rPr>
          <w:rFonts w:ascii="Traditional Arabic" w:hAnsi="Traditional Arabic"/>
          <w:rtl/>
        </w:rPr>
        <w:t xml:space="preserve">، وكان </w:t>
      </w:r>
      <w:r w:rsidR="009A0575" w:rsidRPr="005D5694">
        <w:rPr>
          <w:rFonts w:ascii="Traditional Arabic" w:hAnsi="Traditional Arabic" w:cs="CTraditional Arabic" w:hint="cs"/>
          <w:rtl/>
        </w:rPr>
        <w:t>/</w:t>
      </w:r>
      <w:r w:rsidRPr="00693FC7">
        <w:rPr>
          <w:rFonts w:ascii="Traditional Arabic" w:hAnsi="Traditional Arabic"/>
          <w:rtl/>
        </w:rPr>
        <w:t xml:space="preserve"> مُعظِّماً للأمر الذي عليه الدليل من كتاب الله وسنة رسوله </w:t>
      </w:r>
      <w:r w:rsidR="00F350DE">
        <w:rPr>
          <w:rFonts w:ascii="Traditional Arabic" w:hAnsi="Traditional Arabic"/>
          <w:noProof w:val="0"/>
          <w:color w:val="auto"/>
          <w:rtl/>
          <w:lang w:eastAsia="en-US"/>
        </w:rPr>
        <w:sym w:font="AGA Arabesque" w:char="F072"/>
      </w:r>
      <w:r w:rsidR="00B76414">
        <w:rPr>
          <w:rFonts w:ascii="Traditional Arabic" w:hAnsi="Traditional Arabic"/>
          <w:rtl/>
        </w:rPr>
        <w:t>،</w:t>
      </w:r>
      <w:r w:rsidRPr="00693FC7">
        <w:rPr>
          <w:rFonts w:ascii="Traditional Arabic" w:hAnsi="Traditional Arabic"/>
          <w:rtl/>
        </w:rPr>
        <w:t xml:space="preserve"> يقول </w:t>
      </w:r>
      <w:r w:rsidR="009A0575" w:rsidRPr="005D5694">
        <w:rPr>
          <w:rFonts w:ascii="Traditional Arabic" w:hAnsi="Traditional Arabic" w:cs="CTraditional Arabic" w:hint="cs"/>
          <w:rtl/>
        </w:rPr>
        <w:t>/</w:t>
      </w:r>
      <w:r w:rsidRPr="00693FC7">
        <w:rPr>
          <w:rFonts w:ascii="Traditional Arabic" w:hAnsi="Traditional Arabic"/>
          <w:rtl/>
        </w:rPr>
        <w:t>: (فيجب على طالب العلم أن يلتزم بالقرآن والسنة الصحيحة</w:t>
      </w:r>
      <w:r w:rsidR="00B76414">
        <w:rPr>
          <w:rFonts w:ascii="Traditional Arabic" w:hAnsi="Traditional Arabic"/>
          <w:rtl/>
        </w:rPr>
        <w:t>،</w:t>
      </w:r>
      <w:r w:rsidRPr="00693FC7">
        <w:rPr>
          <w:rFonts w:ascii="Traditional Arabic" w:hAnsi="Traditional Arabic"/>
          <w:rtl/>
        </w:rPr>
        <w:t xml:space="preserve"> وهما له – أي طالب العلم – كالجناحين للطائر</w:t>
      </w:r>
      <w:r w:rsidR="00B76414">
        <w:rPr>
          <w:rFonts w:ascii="Traditional Arabic" w:hAnsi="Traditional Arabic"/>
          <w:rtl/>
        </w:rPr>
        <w:t>،</w:t>
      </w:r>
      <w:r w:rsidRPr="00693FC7">
        <w:rPr>
          <w:rFonts w:ascii="Traditional Arabic" w:hAnsi="Traditional Arabic"/>
          <w:rtl/>
        </w:rPr>
        <w:t xml:space="preserve"> إذا انكسر أحدهما لم ي</w:t>
      </w:r>
      <w:r w:rsidR="007A1F42">
        <w:rPr>
          <w:rFonts w:ascii="Traditional Arabic" w:hAnsi="Traditional Arabic" w:hint="cs"/>
          <w:rtl/>
        </w:rPr>
        <w:t>َ</w:t>
      </w:r>
      <w:r w:rsidRPr="00693FC7">
        <w:rPr>
          <w:rFonts w:ascii="Traditional Arabic" w:hAnsi="Traditional Arabic"/>
          <w:rtl/>
        </w:rPr>
        <w:t>ط</w:t>
      </w:r>
      <w:r w:rsidR="007A1F42">
        <w:rPr>
          <w:rFonts w:ascii="Traditional Arabic" w:hAnsi="Traditional Arabic" w:hint="cs"/>
          <w:rtl/>
        </w:rPr>
        <w:t>ِ</w:t>
      </w:r>
      <w:r w:rsidRPr="00693FC7">
        <w:rPr>
          <w:rFonts w:ascii="Traditional Arabic" w:hAnsi="Traditional Arabic"/>
          <w:rtl/>
        </w:rPr>
        <w:t>ر)</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149"/>
      </w:r>
      <w:r w:rsidRPr="00C821A1">
        <w:rPr>
          <w:rFonts w:ascii="Traditional Arabic" w:hAnsi="Traditional Arabic"/>
          <w:szCs w:val="32"/>
          <w:vertAlign w:val="superscript"/>
          <w:rtl/>
        </w:rPr>
        <w:t>)</w:t>
      </w:r>
      <w:r w:rsidR="00B76414">
        <w:rPr>
          <w:rFonts w:ascii="Traditional Arabic" w:hAnsi="Traditional Arabic"/>
          <w:rtl/>
        </w:rPr>
        <w:t>.</w:t>
      </w:r>
      <w:r w:rsidRPr="00693FC7">
        <w:rPr>
          <w:rFonts w:ascii="Traditional Arabic" w:hAnsi="Traditional Arabic"/>
          <w:rtl/>
        </w:rPr>
        <w:t xml:space="preserve"> </w:t>
      </w:r>
    </w:p>
    <w:p w:rsidR="00F228A9" w:rsidRDefault="006F08E1" w:rsidP="00597C20">
      <w:pPr>
        <w:spacing w:line="640" w:lineRule="exact"/>
        <w:jc w:val="lowKashida"/>
        <w:rPr>
          <w:rFonts w:ascii="Traditional Arabic" w:hAnsi="Traditional Arabic"/>
          <w:b/>
          <w:bCs/>
          <w:rtl/>
        </w:rPr>
      </w:pPr>
      <w:r w:rsidRPr="00693FC7">
        <w:rPr>
          <w:rFonts w:ascii="Traditional Arabic" w:hAnsi="Traditional Arabic"/>
          <w:rtl/>
        </w:rPr>
        <w:t>ولهذا فقد التزم الشيخ ابن عثيمين في منهجه الفقهي بوجه عام</w:t>
      </w:r>
      <w:r w:rsidR="00B76414">
        <w:rPr>
          <w:rFonts w:ascii="Traditional Arabic" w:hAnsi="Traditional Arabic"/>
          <w:rtl/>
        </w:rPr>
        <w:t>،</w:t>
      </w:r>
      <w:r w:rsidRPr="00693FC7">
        <w:rPr>
          <w:rFonts w:ascii="Traditional Arabic" w:hAnsi="Traditional Arabic"/>
          <w:rtl/>
        </w:rPr>
        <w:t xml:space="preserve"> وفي منهجه في القواعد الفقهية على وجه الخصوص</w:t>
      </w:r>
      <w:r w:rsidR="00B76414">
        <w:rPr>
          <w:rFonts w:ascii="Traditional Arabic" w:hAnsi="Traditional Arabic"/>
          <w:rtl/>
        </w:rPr>
        <w:t>،</w:t>
      </w:r>
      <w:r w:rsidRPr="00693FC7">
        <w:rPr>
          <w:rFonts w:ascii="Traditional Arabic" w:hAnsi="Traditional Arabic"/>
          <w:rtl/>
        </w:rPr>
        <w:t xml:space="preserve"> الاعتماد على النصوص الشرعية من كتاب الله وسنة رسوله </w:t>
      </w:r>
      <w:r w:rsidR="00F350DE">
        <w:rPr>
          <w:rFonts w:ascii="Traditional Arabic" w:hAnsi="Traditional Arabic"/>
          <w:noProof w:val="0"/>
          <w:color w:val="auto"/>
          <w:rtl/>
          <w:lang w:eastAsia="en-US"/>
        </w:rPr>
        <w:sym w:font="AGA Arabesque" w:char="F072"/>
      </w:r>
      <w:r w:rsidRPr="00693FC7">
        <w:rPr>
          <w:rFonts w:ascii="Traditional Arabic" w:hAnsi="Traditional Arabic"/>
          <w:rtl/>
        </w:rPr>
        <w:t xml:space="preserve">، وهذا ظاهر لمن تأمل القواعد الفقهية التي يذكرها الشيخ </w:t>
      </w:r>
      <w:r w:rsidR="009A0575" w:rsidRPr="005D5694">
        <w:rPr>
          <w:rFonts w:ascii="Traditional Arabic" w:hAnsi="Traditional Arabic" w:cs="CTraditional Arabic" w:hint="cs"/>
          <w:rtl/>
        </w:rPr>
        <w:t>/</w:t>
      </w:r>
      <w:r w:rsidRPr="00693FC7">
        <w:rPr>
          <w:rFonts w:ascii="Traditional Arabic" w:hAnsi="Traditional Arabic"/>
          <w:rtl/>
        </w:rPr>
        <w:t>، ويمكن إيضاح هذا العامل من خلال جهود الشيخ التالية</w:t>
      </w:r>
      <w:r w:rsidR="006135FE" w:rsidRPr="006135FE">
        <w:rPr>
          <w:rFonts w:ascii="Traditional Arabic" w:hAnsi="Traditional Arabic" w:hint="cs"/>
          <w:vertAlign w:val="superscript"/>
          <w:rtl/>
        </w:rPr>
        <w:t>(</w:t>
      </w:r>
      <w:r w:rsidR="006135FE" w:rsidRPr="006135FE">
        <w:rPr>
          <w:rStyle w:val="af1"/>
          <w:rFonts w:ascii="Traditional Arabic" w:hAnsi="Traditional Arabic"/>
          <w:rtl/>
        </w:rPr>
        <w:footnoteReference w:id="150"/>
      </w:r>
      <w:r w:rsidR="006135FE" w:rsidRPr="006135FE">
        <w:rPr>
          <w:rFonts w:ascii="Traditional Arabic" w:hAnsi="Traditional Arabic" w:hint="cs"/>
          <w:vertAlign w:val="superscript"/>
          <w:rtl/>
        </w:rPr>
        <w:t>)</w:t>
      </w:r>
      <w:r w:rsidRPr="00693FC7">
        <w:rPr>
          <w:rFonts w:ascii="Traditional Arabic" w:hAnsi="Traditional Arabic"/>
          <w:rtl/>
        </w:rPr>
        <w:t xml:space="preserve"> :</w:t>
      </w:r>
    </w:p>
    <w:p w:rsidR="0040539A" w:rsidRDefault="0040539A" w:rsidP="0040539A">
      <w:pPr>
        <w:spacing w:line="640" w:lineRule="exact"/>
        <w:ind w:firstLine="0"/>
        <w:jc w:val="lowKashida"/>
        <w:rPr>
          <w:rFonts w:ascii="Traditional Arabic" w:hAnsi="Traditional Arabic"/>
          <w:b/>
          <w:bCs/>
          <w:rtl/>
        </w:rPr>
      </w:pPr>
      <w:r>
        <w:rPr>
          <w:rFonts w:ascii="Traditional Arabic" w:hAnsi="Traditional Arabic" w:hint="cs"/>
          <w:b/>
          <w:bCs/>
          <w:rtl/>
        </w:rPr>
        <w:t>(أ) إذا كان أصل القاعدة آيةً من كتاب الله أو حديثا نبويّاً فإنه يورد القاعدة بلفظ الآية والحديث:</w:t>
      </w:r>
    </w:p>
    <w:p w:rsidR="0040539A" w:rsidRDefault="0040539A" w:rsidP="0040539A">
      <w:pPr>
        <w:spacing w:line="640" w:lineRule="exact"/>
        <w:ind w:firstLine="0"/>
        <w:jc w:val="lowKashida"/>
        <w:rPr>
          <w:rFonts w:ascii="Traditional Arabic" w:hAnsi="Traditional Arabic"/>
          <w:rtl/>
        </w:rPr>
      </w:pPr>
      <w:r>
        <w:rPr>
          <w:rFonts w:ascii="Traditional Arabic" w:hAnsi="Traditional Arabic" w:hint="cs"/>
          <w:rtl/>
        </w:rPr>
        <w:t xml:space="preserve">    ومن أمثلة ذلك ما يلي:</w:t>
      </w:r>
    </w:p>
    <w:p w:rsidR="0040539A" w:rsidRDefault="0040539A" w:rsidP="0040539A">
      <w:pPr>
        <w:spacing w:line="640" w:lineRule="exact"/>
        <w:ind w:firstLine="0"/>
        <w:jc w:val="lowKashida"/>
        <w:rPr>
          <w:rFonts w:ascii="Traditional Arabic" w:hAnsi="Traditional Arabic"/>
          <w:rtl/>
        </w:rPr>
      </w:pPr>
      <w:r>
        <w:rPr>
          <w:rFonts w:ascii="Traditional Arabic" w:hAnsi="Traditional Arabic" w:hint="cs"/>
          <w:rtl/>
        </w:rPr>
        <w:t xml:space="preserve">    (1) </w:t>
      </w:r>
      <w:r w:rsidR="00647611">
        <w:rPr>
          <w:rFonts w:ascii="Traditional Arabic" w:hAnsi="Traditional Arabic" w:hint="cs"/>
          <w:rtl/>
        </w:rPr>
        <w:t xml:space="preserve">قوله _رحمه الله_جواباً على سؤال: </w:t>
      </w:r>
      <w:r w:rsidR="00647611" w:rsidRPr="009B6C13">
        <w:rPr>
          <w:rFonts w:ascii="Traditional Arabic" w:hAnsi="Traditional Arabic"/>
          <w:rtl/>
        </w:rPr>
        <w:t>إذا كان الرجل لا يستطيع السجود على الجبهة ؛ لأن فيها جروحاً لا يتمكن أن يمسَّ بها الأرض</w:t>
      </w:r>
      <w:r w:rsidR="00647611">
        <w:rPr>
          <w:rFonts w:ascii="Traditional Arabic" w:hAnsi="Traditional Arabic"/>
          <w:rtl/>
        </w:rPr>
        <w:t>،</w:t>
      </w:r>
      <w:r w:rsidR="00647611" w:rsidRPr="009B6C13">
        <w:rPr>
          <w:rFonts w:ascii="Traditional Arabic" w:hAnsi="Traditional Arabic"/>
          <w:rtl/>
        </w:rPr>
        <w:t xml:space="preserve"> لكنه يقدر باليدين وبالركبتين</w:t>
      </w:r>
      <w:r w:rsidR="00647611">
        <w:rPr>
          <w:rFonts w:ascii="Traditional Arabic" w:hAnsi="Traditional Arabic"/>
          <w:rtl/>
        </w:rPr>
        <w:t>،</w:t>
      </w:r>
      <w:r w:rsidR="00647611" w:rsidRPr="009B6C13">
        <w:rPr>
          <w:rFonts w:ascii="Traditional Arabic" w:hAnsi="Traditional Arabic"/>
          <w:rtl/>
        </w:rPr>
        <w:t xml:space="preserve"> فماذا يصنع؟</w:t>
      </w:r>
      <w:r w:rsidR="00647611">
        <w:rPr>
          <w:rFonts w:ascii="Traditional Arabic" w:hAnsi="Traditional Arabic" w:hint="cs"/>
          <w:rtl/>
        </w:rPr>
        <w:t>:</w:t>
      </w:r>
      <w:r w:rsidR="00647611" w:rsidRPr="009B6C13">
        <w:rPr>
          <w:rFonts w:ascii="Traditional Arabic" w:hAnsi="Traditional Arabic"/>
          <w:rtl/>
        </w:rPr>
        <w:t xml:space="preserve"> (نأخذ بالقاعدة :</w:t>
      </w:r>
      <w:r w:rsidR="00647611">
        <w:rPr>
          <w:rFonts w:ascii="QCF_BSML" w:hAnsi="QCF_BSML" w:cs="QCF_BSML"/>
          <w:noProof w:val="0"/>
          <w:sz w:val="35"/>
          <w:szCs w:val="35"/>
          <w:rtl/>
          <w:lang w:val="fr-FR" w:eastAsia="en-US"/>
        </w:rPr>
        <w:t xml:space="preserve">ﭽ </w:t>
      </w:r>
      <w:r w:rsidR="00647611">
        <w:rPr>
          <w:rFonts w:ascii="QCF_P557" w:hAnsi="QCF_P557" w:cs="QCF_P557"/>
          <w:noProof w:val="0"/>
          <w:sz w:val="35"/>
          <w:szCs w:val="35"/>
          <w:rtl/>
          <w:lang w:val="fr-FR" w:eastAsia="en-US"/>
        </w:rPr>
        <w:t>ﮧﮨﮩﮪ</w:t>
      </w:r>
      <w:r w:rsidR="00647611">
        <w:rPr>
          <w:rFonts w:ascii="QCF_BSML" w:hAnsi="QCF_BSML" w:cs="QCF_BSML"/>
          <w:noProof w:val="0"/>
          <w:sz w:val="35"/>
          <w:szCs w:val="35"/>
          <w:rtl/>
          <w:lang w:val="fr-FR" w:eastAsia="en-US"/>
        </w:rPr>
        <w:t>ﭼ</w:t>
      </w:r>
      <w:r w:rsidR="00647611">
        <w:rPr>
          <w:rFonts w:ascii="Traditional Arabic" w:hAnsi="Traditional Arabic" w:hint="cs"/>
          <w:rtl/>
        </w:rPr>
        <w:t xml:space="preserve">[التغابن: 16]، </w:t>
      </w:r>
      <w:r w:rsidR="00647611" w:rsidRPr="009B6C13">
        <w:rPr>
          <w:rFonts w:ascii="Traditional Arabic" w:hAnsi="Traditional Arabic"/>
          <w:rtl/>
        </w:rPr>
        <w:t>فيضع يديه على الأرض ويدنو من الأرض بقدر استطاعته ؛ لقوله تعالى :</w:t>
      </w:r>
      <w:r w:rsidR="00647611">
        <w:rPr>
          <w:rFonts w:ascii="QCF_BSML" w:hAnsi="QCF_BSML" w:cs="QCF_BSML"/>
          <w:noProof w:val="0"/>
          <w:sz w:val="35"/>
          <w:szCs w:val="35"/>
          <w:rtl/>
          <w:lang w:val="fr-FR" w:eastAsia="en-US"/>
        </w:rPr>
        <w:t xml:space="preserve">ﭽ </w:t>
      </w:r>
      <w:r w:rsidR="00647611">
        <w:rPr>
          <w:rFonts w:ascii="QCF_P557" w:hAnsi="QCF_P557" w:cs="QCF_P557"/>
          <w:noProof w:val="0"/>
          <w:sz w:val="35"/>
          <w:szCs w:val="35"/>
          <w:rtl/>
          <w:lang w:val="fr-FR" w:eastAsia="en-US"/>
        </w:rPr>
        <w:t>ﮧﮨﮩﮪ</w:t>
      </w:r>
      <w:r w:rsidR="00647611">
        <w:rPr>
          <w:rFonts w:ascii="QCF_BSML" w:hAnsi="QCF_BSML" w:cs="QCF_BSML"/>
          <w:noProof w:val="0"/>
          <w:sz w:val="35"/>
          <w:szCs w:val="35"/>
          <w:rtl/>
          <w:lang w:val="fr-FR" w:eastAsia="en-US"/>
        </w:rPr>
        <w:t>ﭼ</w:t>
      </w:r>
      <w:r w:rsidR="00647611">
        <w:rPr>
          <w:rFonts w:ascii="Lotus Linotype" w:hAnsi="Lotus Linotype" w:cs="Lotus Linotype"/>
          <w:rtl/>
        </w:rPr>
        <w:t>)</w:t>
      </w:r>
      <w:r w:rsidR="00647611" w:rsidRPr="00C821A1">
        <w:rPr>
          <w:rFonts w:ascii="Lotus Linotype" w:hAnsi="Lotus Linotype" w:hint="cs"/>
          <w:szCs w:val="32"/>
          <w:vertAlign w:val="superscript"/>
          <w:rtl/>
        </w:rPr>
        <w:t>(</w:t>
      </w:r>
      <w:r w:rsidR="00647611" w:rsidRPr="00C821A1">
        <w:rPr>
          <w:rStyle w:val="af1"/>
          <w:rFonts w:ascii="Lotus Linotype" w:hAnsi="Lotus Linotype"/>
          <w:szCs w:val="32"/>
          <w:rtl/>
        </w:rPr>
        <w:footnoteReference w:id="151"/>
      </w:r>
      <w:r w:rsidR="00647611" w:rsidRPr="00C821A1">
        <w:rPr>
          <w:rFonts w:ascii="Lotus Linotype" w:hAnsi="Lotus Linotype" w:hint="cs"/>
          <w:szCs w:val="32"/>
          <w:vertAlign w:val="superscript"/>
          <w:rtl/>
        </w:rPr>
        <w:t>)</w:t>
      </w:r>
      <w:r w:rsidR="00647611">
        <w:rPr>
          <w:rFonts w:ascii="Lotus Linotype" w:hAnsi="Lotus Linotype" w:cs="Lotus Linotype"/>
          <w:rtl/>
        </w:rPr>
        <w:t>.</w:t>
      </w:r>
    </w:p>
    <w:p w:rsidR="00C72363" w:rsidRDefault="00647611" w:rsidP="00647611">
      <w:pPr>
        <w:spacing w:line="640" w:lineRule="exact"/>
        <w:jc w:val="lowKashida"/>
        <w:rPr>
          <w:rFonts w:ascii="QCF_BSML" w:hAnsi="QCF_BSML" w:cs="QCF_BSML"/>
          <w:noProof w:val="0"/>
          <w:sz w:val="35"/>
          <w:szCs w:val="35"/>
          <w:rtl/>
          <w:lang w:val="fr-FR" w:eastAsia="en-US"/>
        </w:rPr>
      </w:pPr>
      <w:r>
        <w:rPr>
          <w:rFonts w:ascii="Traditional Arabic" w:hAnsi="Traditional Arabic" w:hint="cs"/>
          <w:rtl/>
        </w:rPr>
        <w:lastRenderedPageBreak/>
        <w:t xml:space="preserve">(2) قوله الشيخ _رحمه الله_ </w:t>
      </w:r>
      <w:r w:rsidRPr="009B6C13">
        <w:rPr>
          <w:rFonts w:ascii="Traditional Arabic" w:hAnsi="Traditional Arabic"/>
          <w:rtl/>
        </w:rPr>
        <w:t>في مُقدِّمة شرحه لباب صلاة أهل الأعذار</w:t>
      </w:r>
      <w:r>
        <w:rPr>
          <w:rFonts w:ascii="Traditional Arabic" w:hAnsi="Traditional Arabic" w:hint="cs"/>
          <w:rtl/>
        </w:rPr>
        <w:t>: (</w:t>
      </w:r>
      <w:r w:rsidRPr="009B6C13">
        <w:rPr>
          <w:rFonts w:ascii="Traditional Arabic" w:hAnsi="Traditional Arabic"/>
          <w:rtl/>
        </w:rPr>
        <w:t>اختلاف الصلاة هيئة أو عدداً بهذه الأعذار مأخوذ من قاعدة عامة في الشريعة الإسلامية</w:t>
      </w:r>
      <w:r>
        <w:rPr>
          <w:rFonts w:ascii="Traditional Arabic" w:hAnsi="Traditional Arabic"/>
          <w:rtl/>
        </w:rPr>
        <w:t>،</w:t>
      </w:r>
      <w:r w:rsidRPr="009B6C13">
        <w:rPr>
          <w:rFonts w:ascii="Traditional Arabic" w:hAnsi="Traditional Arabic"/>
          <w:rtl/>
        </w:rPr>
        <w:t xml:space="preserve"> وهي قوله تعالى :</w:t>
      </w:r>
    </w:p>
    <w:p w:rsidR="00647611" w:rsidRDefault="00647611" w:rsidP="00C72363">
      <w:pPr>
        <w:spacing w:line="640" w:lineRule="exact"/>
        <w:ind w:firstLine="0"/>
        <w:jc w:val="lowKashida"/>
        <w:rPr>
          <w:rFonts w:ascii="Traditional Arabic" w:hAnsi="Traditional Arabic"/>
          <w:rtl/>
        </w:rPr>
      </w:pPr>
      <w:r>
        <w:rPr>
          <w:rFonts w:ascii="QCF_BSML" w:hAnsi="QCF_BSML" w:cs="QCF_BSML"/>
          <w:noProof w:val="0"/>
          <w:sz w:val="35"/>
          <w:szCs w:val="35"/>
          <w:rtl/>
          <w:lang w:val="fr-FR" w:eastAsia="en-US"/>
        </w:rPr>
        <w:t>ﭽ</w:t>
      </w:r>
      <w:r>
        <w:rPr>
          <w:rFonts w:ascii="QCF_P028" w:hAnsi="QCF_P028" w:cs="QCF_P028"/>
          <w:noProof w:val="0"/>
          <w:sz w:val="35"/>
          <w:szCs w:val="35"/>
          <w:rtl/>
          <w:lang w:val="fr-FR" w:eastAsia="en-US"/>
        </w:rPr>
        <w:t xml:space="preserve"> ﯗﯘﯙﯚﯛﯜﯝﯞ</w:t>
      </w:r>
      <w:r>
        <w:rPr>
          <w:rFonts w:ascii="QCF_BSML" w:hAnsi="QCF_BSML" w:cs="QCF_BSML"/>
          <w:noProof w:val="0"/>
          <w:sz w:val="35"/>
          <w:szCs w:val="35"/>
          <w:rtl/>
          <w:lang w:val="fr-FR" w:eastAsia="en-US"/>
        </w:rPr>
        <w:t>ﭼ</w:t>
      </w:r>
      <w:r>
        <w:rPr>
          <w:rFonts w:ascii="Traditional Arabic" w:hAnsi="Traditional Arabic" w:hint="cs"/>
          <w:rtl/>
        </w:rPr>
        <w:t>[البقرة: 185]</w:t>
      </w:r>
      <w:r w:rsidRPr="00AC297E">
        <w:rPr>
          <w:rFonts w:ascii="Lotus Linotype" w:hAnsi="Lotus Linotype" w:cs="Lotus Linotype"/>
          <w:rtl/>
        </w:rPr>
        <w:t xml:space="preserve">، </w:t>
      </w:r>
      <w:r w:rsidRPr="009B6C13">
        <w:rPr>
          <w:rFonts w:ascii="Traditional Arabic" w:hAnsi="Traditional Arabic"/>
          <w:rtl/>
        </w:rPr>
        <w:t>وقوله :</w:t>
      </w:r>
      <w:r>
        <w:rPr>
          <w:rFonts w:ascii="QCF_BSML" w:hAnsi="QCF_BSML" w:cs="QCF_BSML"/>
          <w:noProof w:val="0"/>
          <w:sz w:val="35"/>
          <w:szCs w:val="35"/>
          <w:rtl/>
          <w:lang w:val="fr-FR" w:eastAsia="en-US"/>
        </w:rPr>
        <w:t xml:space="preserve">ﭽ </w:t>
      </w:r>
      <w:r>
        <w:rPr>
          <w:rFonts w:ascii="QCF_P049" w:hAnsi="QCF_P049" w:cs="QCF_P049"/>
          <w:noProof w:val="0"/>
          <w:sz w:val="35"/>
          <w:szCs w:val="35"/>
          <w:rtl/>
          <w:lang w:val="fr-FR" w:eastAsia="en-US"/>
        </w:rPr>
        <w:t>ﯗﯘﯙﯚﯛﯜ</w:t>
      </w:r>
      <w:r>
        <w:rPr>
          <w:rFonts w:ascii="QCF_P049" w:hAnsi="QCF_P049" w:cs="QCF_P049"/>
          <w:noProof w:val="0"/>
          <w:color w:val="0000A5"/>
          <w:sz w:val="35"/>
          <w:szCs w:val="35"/>
          <w:rtl/>
          <w:lang w:val="fr-FR" w:eastAsia="en-US"/>
        </w:rPr>
        <w:t>ﯝ</w:t>
      </w:r>
      <w:r>
        <w:rPr>
          <w:rFonts w:ascii="QCF_BSML" w:hAnsi="QCF_BSML" w:cs="QCF_BSML"/>
          <w:noProof w:val="0"/>
          <w:sz w:val="35"/>
          <w:szCs w:val="35"/>
          <w:rtl/>
          <w:lang w:val="fr-FR" w:eastAsia="en-US"/>
        </w:rPr>
        <w:t>ﭼ</w:t>
      </w:r>
      <w:r w:rsidRPr="009B6C13">
        <w:rPr>
          <w:rFonts w:ascii="Traditional Arabic" w:hAnsi="Traditional Arabic"/>
          <w:rtl/>
        </w:rPr>
        <w:t>[البقرة: 286]،</w:t>
      </w:r>
      <w:r>
        <w:rPr>
          <w:rFonts w:ascii="Traditional Arabic" w:hAnsi="Traditional Arabic" w:hint="cs"/>
          <w:rtl/>
        </w:rPr>
        <w:t xml:space="preserve"> </w:t>
      </w:r>
      <w:r w:rsidRPr="009B6C13">
        <w:rPr>
          <w:rFonts w:ascii="Traditional Arabic" w:hAnsi="Traditional Arabic"/>
          <w:rtl/>
        </w:rPr>
        <w:t>فكلما وُجدت المشقَّة وُجد التيسير</w:t>
      </w:r>
      <w:r>
        <w:rPr>
          <w:rFonts w:ascii="Traditional Arabic" w:hAnsi="Traditional Arabic"/>
          <w:rtl/>
        </w:rPr>
        <w:t>،</w:t>
      </w:r>
      <w:r w:rsidRPr="009B6C13">
        <w:rPr>
          <w:rFonts w:ascii="Traditional Arabic" w:hAnsi="Traditional Arabic"/>
          <w:rtl/>
        </w:rPr>
        <w:t xml:space="preserve"> ومن القواعد المعروفة عند الفقهاء : أن المشقَّة تجلب التيسير)</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152"/>
      </w:r>
      <w:r w:rsidRPr="00C821A1">
        <w:rPr>
          <w:rFonts w:ascii="Traditional Arabic" w:hAnsi="Traditional Arabic"/>
          <w:szCs w:val="32"/>
          <w:vertAlign w:val="superscript"/>
          <w:rtl/>
        </w:rPr>
        <w:t>)</w:t>
      </w:r>
      <w:r w:rsidRPr="009B6C13">
        <w:rPr>
          <w:rFonts w:ascii="Traditional Arabic" w:hAnsi="Traditional Arabic"/>
          <w:rtl/>
        </w:rPr>
        <w:t>.</w:t>
      </w:r>
    </w:p>
    <w:p w:rsidR="00647611" w:rsidRDefault="006B4304" w:rsidP="000B2D01">
      <w:pPr>
        <w:spacing w:line="640" w:lineRule="exact"/>
        <w:ind w:firstLine="0"/>
        <w:jc w:val="lowKashida"/>
        <w:rPr>
          <w:rFonts w:ascii="Traditional Arabic" w:hAnsi="Traditional Arabic"/>
          <w:b/>
          <w:bCs/>
          <w:rtl/>
        </w:rPr>
      </w:pPr>
      <w:r>
        <w:rPr>
          <w:rFonts w:ascii="Traditional Arabic" w:hAnsi="Traditional Arabic" w:hint="cs"/>
          <w:rtl/>
        </w:rPr>
        <w:t xml:space="preserve">     </w:t>
      </w:r>
      <w:r w:rsidR="00647611">
        <w:rPr>
          <w:rFonts w:ascii="Traditional Arabic" w:hAnsi="Traditional Arabic" w:hint="cs"/>
          <w:rtl/>
        </w:rPr>
        <w:t xml:space="preserve">(3) </w:t>
      </w:r>
      <w:r w:rsidR="00027B98">
        <w:rPr>
          <w:rFonts w:ascii="Traditional Arabic" w:hAnsi="Traditional Arabic" w:hint="cs"/>
          <w:noProof w:val="0"/>
          <w:color w:val="auto"/>
          <w:rtl/>
          <w:lang w:eastAsia="en-US"/>
        </w:rPr>
        <w:t>قول الشيخ رحمه الله: (</w:t>
      </w:r>
      <w:r w:rsidR="000B2D01" w:rsidRPr="000B2D01">
        <w:rPr>
          <w:rFonts w:ascii="Traditional Arabic" w:hAnsi="Traditional Arabic"/>
          <w:noProof w:val="0"/>
          <w:color w:val="auto"/>
          <w:rtl/>
          <w:lang w:eastAsia="en-US"/>
        </w:rPr>
        <w:t>لدينا قاعدة ممن له الح</w:t>
      </w:r>
      <w:r w:rsidR="000B2D01">
        <w:rPr>
          <w:rFonts w:ascii="Traditional Arabic" w:hAnsi="Traditional Arabic" w:hint="cs"/>
          <w:noProof w:val="0"/>
          <w:color w:val="auto"/>
          <w:rtl/>
          <w:lang w:eastAsia="en-US"/>
        </w:rPr>
        <w:t>ُ</w:t>
      </w:r>
      <w:r w:rsidR="000B2D01" w:rsidRPr="000B2D01">
        <w:rPr>
          <w:rFonts w:ascii="Traditional Arabic" w:hAnsi="Traditional Arabic"/>
          <w:noProof w:val="0"/>
          <w:color w:val="auto"/>
          <w:rtl/>
          <w:lang w:eastAsia="en-US"/>
        </w:rPr>
        <w:t xml:space="preserve">كم، وهو الله تبارك وتعالى، فقد قال في قول المؤمنين: </w:t>
      </w:r>
      <w:r w:rsidR="000B2D01" w:rsidRPr="000B2D01">
        <w:rPr>
          <w:rFonts w:ascii="QCF_BSML" w:hAnsi="QCF_BSML" w:cs="QCF_BSML"/>
          <w:noProof w:val="0"/>
          <w:rtl/>
          <w:lang w:eastAsia="en-US"/>
        </w:rPr>
        <w:t xml:space="preserve">ﭽ </w:t>
      </w:r>
      <w:r w:rsidR="000B2D01" w:rsidRPr="000B2D01">
        <w:rPr>
          <w:rFonts w:ascii="QCF_P049" w:hAnsi="QCF_P049" w:cs="QCF_P049"/>
          <w:noProof w:val="0"/>
          <w:rtl/>
          <w:lang w:eastAsia="en-US"/>
        </w:rPr>
        <w:t>ﯥ  ﯦ  ﯧ  ﯨ    ﯩ  ﯪ  ﯫ</w:t>
      </w:r>
      <w:r w:rsidR="000B2D01" w:rsidRPr="000B2D01">
        <w:rPr>
          <w:rFonts w:ascii="Arial" w:hAnsi="Arial" w:cs="Arial"/>
          <w:noProof w:val="0"/>
          <w:rtl/>
          <w:lang w:eastAsia="en-US"/>
        </w:rPr>
        <w:t xml:space="preserve"> </w:t>
      </w:r>
      <w:r w:rsidR="000B2D01" w:rsidRPr="000B2D01">
        <w:rPr>
          <w:rFonts w:ascii="QCF_BSML" w:hAnsi="QCF_BSML" w:cs="QCF_BSML"/>
          <w:noProof w:val="0"/>
          <w:rtl/>
          <w:lang w:eastAsia="en-US"/>
        </w:rPr>
        <w:t xml:space="preserve">ﭼ </w:t>
      </w:r>
      <w:r w:rsidR="000B2D01">
        <w:rPr>
          <w:rFonts w:ascii="Traditional Arabic" w:hAnsi="Traditional Arabic"/>
          <w:noProof w:val="0"/>
          <w:color w:val="auto"/>
          <w:rtl/>
          <w:lang w:eastAsia="en-US"/>
        </w:rPr>
        <w:t xml:space="preserve">[البقرة: 286] : </w:t>
      </w:r>
      <w:r w:rsidR="000B2D01">
        <w:rPr>
          <w:rFonts w:ascii="Traditional Arabic" w:hAnsi="Traditional Arabic" w:hint="cs"/>
          <w:noProof w:val="0"/>
          <w:color w:val="auto"/>
          <w:rtl/>
          <w:lang w:eastAsia="en-US"/>
        </w:rPr>
        <w:t>"</w:t>
      </w:r>
      <w:r w:rsidR="000B2D01" w:rsidRPr="000B2D01">
        <w:rPr>
          <w:rFonts w:ascii="Traditional Arabic" w:hAnsi="Traditional Arabic"/>
          <w:noProof w:val="0"/>
          <w:color w:val="auto"/>
          <w:rtl/>
          <w:lang w:eastAsia="en-US"/>
        </w:rPr>
        <w:t>قد فعلت</w:t>
      </w:r>
      <w:r w:rsidR="000B2D01">
        <w:rPr>
          <w:rFonts w:ascii="Traditional Arabic" w:hAnsi="Traditional Arabic" w:hint="cs"/>
          <w:noProof w:val="0"/>
          <w:color w:val="auto"/>
          <w:rtl/>
          <w:lang w:eastAsia="en-US"/>
        </w:rPr>
        <w:t>"</w:t>
      </w:r>
      <w:r w:rsidRPr="006B4304">
        <w:rPr>
          <w:rFonts w:ascii="Traditional Arabic" w:hAnsi="Traditional Arabic" w:hint="cs"/>
          <w:noProof w:val="0"/>
          <w:color w:val="auto"/>
          <w:vertAlign w:val="superscript"/>
          <w:rtl/>
          <w:lang w:eastAsia="en-US"/>
        </w:rPr>
        <w:t>(</w:t>
      </w:r>
      <w:r w:rsidR="000B2D01" w:rsidRPr="006B4304">
        <w:rPr>
          <w:rStyle w:val="af1"/>
          <w:rFonts w:ascii="Traditional Arabic" w:hAnsi="Traditional Arabic"/>
          <w:noProof w:val="0"/>
          <w:color w:val="auto"/>
          <w:rtl/>
          <w:lang w:eastAsia="en-US"/>
        </w:rPr>
        <w:footnoteReference w:id="153"/>
      </w:r>
      <w:r w:rsidRPr="006B4304">
        <w:rPr>
          <w:rFonts w:ascii="Traditional Arabic" w:hAnsi="Traditional Arabic" w:hint="cs"/>
          <w:noProof w:val="0"/>
          <w:color w:val="auto"/>
          <w:vertAlign w:val="superscript"/>
          <w:rtl/>
          <w:lang w:eastAsia="en-US"/>
        </w:rPr>
        <w:t>)</w:t>
      </w:r>
      <w:r w:rsidR="000B2D01">
        <w:rPr>
          <w:rFonts w:ascii="Traditional Arabic" w:hAnsi="Traditional Arabic" w:hint="cs"/>
          <w:noProof w:val="0"/>
          <w:color w:val="auto"/>
          <w:rtl/>
          <w:lang w:eastAsia="en-US"/>
        </w:rPr>
        <w:t>)</w:t>
      </w:r>
      <w:r w:rsidR="000B2D01" w:rsidRPr="000B2D01">
        <w:rPr>
          <w:rFonts w:ascii="Traditional Arabic" w:hAnsi="Traditional Arabic" w:hint="cs"/>
          <w:noProof w:val="0"/>
          <w:color w:val="auto"/>
          <w:vertAlign w:val="superscript"/>
          <w:rtl/>
          <w:lang w:eastAsia="en-US"/>
        </w:rPr>
        <w:t>(</w:t>
      </w:r>
      <w:r w:rsidR="000B2D01" w:rsidRPr="000B2D01">
        <w:rPr>
          <w:rStyle w:val="af1"/>
          <w:rFonts w:ascii="Traditional Arabic" w:hAnsi="Traditional Arabic"/>
          <w:noProof w:val="0"/>
          <w:color w:val="auto"/>
          <w:rtl/>
          <w:lang w:eastAsia="en-US"/>
        </w:rPr>
        <w:footnoteReference w:id="154"/>
      </w:r>
      <w:r w:rsidR="000B2D01" w:rsidRPr="000B2D01">
        <w:rPr>
          <w:rFonts w:ascii="Traditional Arabic" w:hAnsi="Traditional Arabic" w:hint="cs"/>
          <w:noProof w:val="0"/>
          <w:color w:val="auto"/>
          <w:vertAlign w:val="superscript"/>
          <w:rtl/>
          <w:lang w:eastAsia="en-US"/>
        </w:rPr>
        <w:t>)</w:t>
      </w:r>
      <w:r w:rsidR="000B2D01">
        <w:rPr>
          <w:rFonts w:ascii="Traditional Arabic" w:hAnsi="Traditional Arabic" w:hint="cs"/>
          <w:noProof w:val="0"/>
          <w:color w:val="auto"/>
          <w:rtl/>
          <w:lang w:eastAsia="en-US"/>
        </w:rPr>
        <w:t>.</w:t>
      </w:r>
    </w:p>
    <w:p w:rsidR="00647611" w:rsidRPr="0040539A" w:rsidRDefault="006B4304" w:rsidP="00771670">
      <w:pPr>
        <w:spacing w:line="640" w:lineRule="exact"/>
        <w:ind w:firstLine="0"/>
        <w:jc w:val="lowKashida"/>
        <w:rPr>
          <w:rFonts w:ascii="Traditional Arabic" w:hAnsi="Traditional Arabic"/>
          <w:rtl/>
        </w:rPr>
      </w:pPr>
      <w:r>
        <w:rPr>
          <w:rFonts w:ascii="Traditional Arabic" w:hAnsi="Traditional Arabic" w:hint="cs"/>
          <w:rtl/>
        </w:rPr>
        <w:t xml:space="preserve">    (4) قوله _رحمه الله_: (</w:t>
      </w:r>
      <w:r w:rsidRPr="006B4304">
        <w:rPr>
          <w:rFonts w:ascii="Traditional Arabic" w:hAnsi="Traditional Arabic"/>
          <w:noProof w:val="0"/>
          <w:color w:val="auto"/>
          <w:rtl/>
          <w:lang w:eastAsia="en-US"/>
        </w:rPr>
        <w:t>فلدينا قاعدة أس</w:t>
      </w:r>
      <w:r>
        <w:rPr>
          <w:rFonts w:ascii="Traditional Arabic" w:hAnsi="Traditional Arabic" w:hint="cs"/>
          <w:noProof w:val="0"/>
          <w:color w:val="auto"/>
          <w:rtl/>
          <w:lang w:eastAsia="en-US"/>
        </w:rPr>
        <w:t>َّ</w:t>
      </w:r>
      <w:r w:rsidRPr="006B4304">
        <w:rPr>
          <w:rFonts w:ascii="Traditional Arabic" w:hAnsi="Traditional Arabic"/>
          <w:noProof w:val="0"/>
          <w:color w:val="auto"/>
          <w:rtl/>
          <w:lang w:eastAsia="en-US"/>
        </w:rPr>
        <w:t>سها النبي صلى الله عليه وسلم وهي:</w:t>
      </w:r>
      <w:r w:rsidRPr="006B4304">
        <w:rPr>
          <w:rFonts w:ascii="Traditional Arabic" w:hAnsi="Traditional Arabic" w:hint="cs"/>
          <w:color w:val="auto"/>
          <w:rtl/>
        </w:rPr>
        <w:t xml:space="preserve"> </w:t>
      </w:r>
      <w:r>
        <w:rPr>
          <w:rFonts w:ascii="Traditional Arabic" w:hAnsi="Traditional Arabic" w:hint="cs"/>
          <w:noProof w:val="0"/>
          <w:color w:val="auto"/>
          <w:rtl/>
          <w:lang w:eastAsia="en-US"/>
        </w:rPr>
        <w:t>"</w:t>
      </w:r>
      <w:r w:rsidRPr="006B4304">
        <w:rPr>
          <w:rFonts w:ascii="Traditional Arabic" w:hAnsi="Traditional Arabic"/>
          <w:noProof w:val="0"/>
          <w:color w:val="auto"/>
          <w:rtl/>
          <w:lang w:eastAsia="en-US"/>
        </w:rPr>
        <w:t>العجماء ج</w:t>
      </w:r>
      <w:r>
        <w:rPr>
          <w:rFonts w:ascii="Traditional Arabic" w:hAnsi="Traditional Arabic" w:hint="cs"/>
          <w:noProof w:val="0"/>
          <w:color w:val="auto"/>
          <w:rtl/>
          <w:lang w:eastAsia="en-US"/>
        </w:rPr>
        <w:t>ُ</w:t>
      </w:r>
      <w:r w:rsidRPr="006B4304">
        <w:rPr>
          <w:rFonts w:ascii="Traditional Arabic" w:hAnsi="Traditional Arabic"/>
          <w:noProof w:val="0"/>
          <w:color w:val="auto"/>
          <w:rtl/>
          <w:lang w:eastAsia="en-US"/>
        </w:rPr>
        <w:t>بار</w:t>
      </w:r>
      <w:r>
        <w:rPr>
          <w:rFonts w:ascii="Traditional Arabic" w:hAnsi="Traditional Arabic" w:hint="cs"/>
          <w:noProof w:val="0"/>
          <w:color w:val="auto"/>
          <w:rtl/>
          <w:lang w:eastAsia="en-US"/>
        </w:rPr>
        <w:t>"</w:t>
      </w:r>
      <w:r w:rsidR="007A1F42" w:rsidRPr="007A1F42">
        <w:rPr>
          <w:rFonts w:ascii="Traditional Arabic" w:hAnsi="Traditional Arabic" w:hint="cs"/>
          <w:noProof w:val="0"/>
          <w:color w:val="auto"/>
          <w:vertAlign w:val="superscript"/>
          <w:rtl/>
          <w:lang w:eastAsia="en-US"/>
        </w:rPr>
        <w:t>(</w:t>
      </w:r>
      <w:r w:rsidRPr="007A1F42">
        <w:rPr>
          <w:rStyle w:val="af1"/>
          <w:rFonts w:ascii="Traditional Arabic" w:hAnsi="Traditional Arabic"/>
          <w:noProof w:val="0"/>
          <w:color w:val="auto"/>
          <w:rtl/>
          <w:lang w:eastAsia="en-US"/>
        </w:rPr>
        <w:footnoteReference w:id="155"/>
      </w:r>
      <w:r w:rsidR="007A1F42" w:rsidRPr="007A1F42">
        <w:rPr>
          <w:rFonts w:ascii="Traditional Arabic" w:hAnsi="Traditional Arabic" w:hint="cs"/>
          <w:noProof w:val="0"/>
          <w:color w:val="auto"/>
          <w:vertAlign w:val="superscript"/>
          <w:rtl/>
          <w:lang w:eastAsia="en-US"/>
        </w:rPr>
        <w:t>)</w:t>
      </w:r>
      <w:r>
        <w:rPr>
          <w:rFonts w:ascii="Traditional Arabic" w:hAnsi="Traditional Arabic" w:hint="cs"/>
          <w:noProof w:val="0"/>
          <w:color w:val="auto"/>
          <w:rtl/>
          <w:lang w:eastAsia="en-US"/>
        </w:rPr>
        <w:t>)</w:t>
      </w:r>
      <w:r w:rsidRPr="006B4304">
        <w:rPr>
          <w:rFonts w:ascii="Traditional Arabic" w:hAnsi="Traditional Arabic" w:hint="cs"/>
          <w:noProof w:val="0"/>
          <w:color w:val="auto"/>
          <w:vertAlign w:val="superscript"/>
          <w:rtl/>
          <w:lang w:eastAsia="en-US"/>
        </w:rPr>
        <w:t>(</w:t>
      </w:r>
      <w:r w:rsidRPr="006B4304">
        <w:rPr>
          <w:rStyle w:val="af1"/>
          <w:rFonts w:ascii="Traditional Arabic" w:hAnsi="Traditional Arabic"/>
          <w:noProof w:val="0"/>
          <w:color w:val="auto"/>
          <w:rtl/>
          <w:lang w:eastAsia="en-US"/>
        </w:rPr>
        <w:footnoteReference w:id="156"/>
      </w:r>
      <w:r w:rsidRPr="006B4304">
        <w:rPr>
          <w:rFonts w:ascii="Traditional Arabic" w:hAnsi="Traditional Arabic" w:hint="cs"/>
          <w:noProof w:val="0"/>
          <w:color w:val="auto"/>
          <w:vertAlign w:val="superscript"/>
          <w:rtl/>
          <w:lang w:eastAsia="en-US"/>
        </w:rPr>
        <w:t>)</w:t>
      </w:r>
      <w:r>
        <w:rPr>
          <w:rFonts w:ascii="Traditional Arabic" w:hAnsi="Traditional Arabic" w:hint="cs"/>
          <w:noProof w:val="0"/>
          <w:color w:val="auto"/>
          <w:rtl/>
          <w:lang w:eastAsia="en-US"/>
        </w:rPr>
        <w:t>.</w:t>
      </w:r>
    </w:p>
    <w:p w:rsidR="006135FE" w:rsidRPr="007A1F42" w:rsidRDefault="00B76414" w:rsidP="007A1F42">
      <w:pPr>
        <w:pStyle w:val="53"/>
        <w:rPr>
          <w:rtl/>
        </w:rPr>
      </w:pPr>
      <w:r>
        <w:rPr>
          <w:rtl/>
        </w:rPr>
        <w:t>(</w:t>
      </w:r>
      <w:r w:rsidR="0040539A">
        <w:rPr>
          <w:rFonts w:hint="cs"/>
          <w:rtl/>
        </w:rPr>
        <w:t>ب</w:t>
      </w:r>
      <w:r>
        <w:rPr>
          <w:rtl/>
        </w:rPr>
        <w:t>)</w:t>
      </w:r>
      <w:r w:rsidR="006F08E1" w:rsidRPr="00693FC7">
        <w:rPr>
          <w:rtl/>
        </w:rPr>
        <w:t xml:space="preserve"> استنباط القواعد من النصوص الشرعية :</w:t>
      </w:r>
    </w:p>
    <w:p w:rsidR="006F08E1" w:rsidRPr="00290D9A" w:rsidRDefault="006135FE" w:rsidP="00290D9A">
      <w:pPr>
        <w:spacing w:line="600" w:lineRule="exact"/>
        <w:jc w:val="lowKashida"/>
        <w:rPr>
          <w:rFonts w:ascii="QCF_BSML" w:hAnsi="QCF_BSML" w:cs="QCF_BSML"/>
          <w:noProof w:val="0"/>
          <w:rtl/>
          <w:lang w:val="fr-FR" w:eastAsia="en-US"/>
        </w:rPr>
      </w:pPr>
      <w:r w:rsidRPr="00693FC7">
        <w:rPr>
          <w:rFonts w:ascii="Traditional Arabic" w:hAnsi="Traditional Arabic"/>
          <w:rtl/>
        </w:rPr>
        <w:t xml:space="preserve"> </w:t>
      </w:r>
      <w:r w:rsidR="006F08E1" w:rsidRPr="00693FC7">
        <w:rPr>
          <w:rFonts w:ascii="Traditional Arabic" w:hAnsi="Traditional Arabic"/>
          <w:rtl/>
        </w:rPr>
        <w:t xml:space="preserve">(1) ذكر الشيخ ابن عثيمين </w:t>
      </w:r>
      <w:r w:rsidR="009A0575" w:rsidRPr="005D5694">
        <w:rPr>
          <w:rFonts w:ascii="Traditional Arabic" w:hAnsi="Traditional Arabic" w:cs="CTraditional Arabic" w:hint="cs"/>
          <w:rtl/>
        </w:rPr>
        <w:t>/</w:t>
      </w:r>
      <w:r w:rsidR="006F08E1" w:rsidRPr="00693FC7">
        <w:rPr>
          <w:rFonts w:ascii="Traditional Arabic" w:hAnsi="Traditional Arabic"/>
          <w:rtl/>
        </w:rPr>
        <w:t xml:space="preserve"> من الفوائد المستنبطة من قوله تعالى:</w:t>
      </w:r>
      <w:bookmarkStart w:id="31" w:name="سورة_البقرة_229"/>
      <w:r w:rsidR="001C50AE" w:rsidRPr="001C50AE">
        <w:rPr>
          <w:rFonts w:ascii="QCF_BSML" w:hAnsi="QCF_BSML" w:cs="QCF_BSML"/>
          <w:noProof w:val="0"/>
          <w:rtl/>
          <w:lang w:val="fr-FR" w:eastAsia="en-US"/>
        </w:rPr>
        <w:t xml:space="preserve">ﭽ </w:t>
      </w:r>
      <w:r w:rsidR="001C50AE" w:rsidRPr="001C50AE">
        <w:rPr>
          <w:rFonts w:ascii="QCF_P036" w:hAnsi="QCF_P036" w:cs="QCF_P036"/>
          <w:noProof w:val="0"/>
          <w:rtl/>
          <w:lang w:val="fr-FR" w:eastAsia="en-US"/>
        </w:rPr>
        <w:t>ﮦﮧ</w:t>
      </w:r>
      <w:r w:rsidR="001C50AE" w:rsidRPr="001C50AE">
        <w:rPr>
          <w:rFonts w:ascii="QCF_P036" w:hAnsi="QCF_P036" w:cs="QCF_P036"/>
          <w:noProof w:val="0"/>
          <w:color w:val="0000A5"/>
          <w:rtl/>
          <w:lang w:val="fr-FR" w:eastAsia="en-US"/>
        </w:rPr>
        <w:t>ﮨ</w:t>
      </w:r>
      <w:r w:rsidR="001C50AE" w:rsidRPr="001C50AE">
        <w:rPr>
          <w:rFonts w:ascii="QCF_P036" w:hAnsi="QCF_P036" w:cs="QCF_P036"/>
          <w:noProof w:val="0"/>
          <w:rtl/>
          <w:lang w:val="fr-FR" w:eastAsia="en-US"/>
        </w:rPr>
        <w:t>ﮩﮪﮫﮬﮭ</w:t>
      </w:r>
      <w:r w:rsidR="001C50AE" w:rsidRPr="001C50AE">
        <w:rPr>
          <w:rFonts w:ascii="QCF_P036" w:hAnsi="QCF_P036" w:cs="QCF_P036"/>
          <w:noProof w:val="0"/>
          <w:color w:val="0000A5"/>
          <w:rtl/>
          <w:lang w:val="fr-FR" w:eastAsia="en-US"/>
        </w:rPr>
        <w:t>ﮮ</w:t>
      </w:r>
      <w:r w:rsidR="001C50AE" w:rsidRPr="001C50AE">
        <w:rPr>
          <w:rFonts w:ascii="QCF_P036" w:hAnsi="QCF_P036" w:cs="QCF_P036"/>
          <w:noProof w:val="0"/>
          <w:rtl/>
          <w:lang w:val="fr-FR" w:eastAsia="en-US"/>
        </w:rPr>
        <w:t>ﮯﮰﮱﯓﯔﯕﯖﯗﯘﯙﯚﯛﯜﯝﯞ</w:t>
      </w:r>
      <w:r w:rsidR="001C50AE" w:rsidRPr="001C50AE">
        <w:rPr>
          <w:rFonts w:ascii="QCF_P036" w:hAnsi="QCF_P036" w:cs="QCF_P036"/>
          <w:noProof w:val="0"/>
          <w:color w:val="0000A5"/>
          <w:rtl/>
          <w:lang w:val="fr-FR" w:eastAsia="en-US"/>
        </w:rPr>
        <w:t>ﯟ</w:t>
      </w:r>
      <w:r w:rsidR="001C50AE" w:rsidRPr="001C50AE">
        <w:rPr>
          <w:rFonts w:ascii="QCF_P036" w:hAnsi="QCF_P036" w:cs="QCF_P036"/>
          <w:noProof w:val="0"/>
          <w:rtl/>
          <w:lang w:val="fr-FR" w:eastAsia="en-US"/>
        </w:rPr>
        <w:t>ﯠﯡﯢﯣﯤﯥﯦﯧﯨﯩﯪﯫ</w:t>
      </w:r>
      <w:r w:rsidR="001C50AE" w:rsidRPr="001C50AE">
        <w:rPr>
          <w:rFonts w:ascii="QCF_P036" w:hAnsi="QCF_P036" w:cs="QCF_P036"/>
          <w:noProof w:val="0"/>
          <w:color w:val="0000A5"/>
          <w:rtl/>
          <w:lang w:val="fr-FR" w:eastAsia="en-US"/>
        </w:rPr>
        <w:t>ﯬ</w:t>
      </w:r>
      <w:r w:rsidR="001C50AE" w:rsidRPr="001C50AE">
        <w:rPr>
          <w:rFonts w:ascii="QCF_P036" w:hAnsi="QCF_P036" w:cs="QCF_P036"/>
          <w:noProof w:val="0"/>
          <w:rtl/>
          <w:lang w:val="fr-FR" w:eastAsia="en-US"/>
        </w:rPr>
        <w:t>ﯭ</w:t>
      </w:r>
      <w:r w:rsidR="001C50AE" w:rsidRPr="001C50AE">
        <w:rPr>
          <w:rFonts w:ascii="QCF_P036" w:hAnsi="QCF_P036" w:cs="QCF_P036"/>
          <w:noProof w:val="0"/>
          <w:rtl/>
          <w:lang w:val="fr-FR" w:eastAsia="en-US"/>
        </w:rPr>
        <w:lastRenderedPageBreak/>
        <w:t>ﯮﯯﯰﯱ</w:t>
      </w:r>
      <w:r w:rsidR="001C50AE" w:rsidRPr="001C50AE">
        <w:rPr>
          <w:rFonts w:ascii="QCF_P036" w:hAnsi="QCF_P036" w:cs="QCF_P036"/>
          <w:noProof w:val="0"/>
          <w:color w:val="0000A5"/>
          <w:rtl/>
          <w:lang w:val="fr-FR" w:eastAsia="en-US"/>
        </w:rPr>
        <w:t>ﯲ</w:t>
      </w:r>
      <w:r w:rsidR="001C50AE" w:rsidRPr="001C50AE">
        <w:rPr>
          <w:rFonts w:ascii="QCF_P036" w:hAnsi="QCF_P036" w:cs="QCF_P036"/>
          <w:noProof w:val="0"/>
          <w:rtl/>
          <w:lang w:val="fr-FR" w:eastAsia="en-US"/>
        </w:rPr>
        <w:t>ﯳﯴﯵﯶﯷﯸﯹ</w:t>
      </w:r>
      <w:r w:rsidR="001C50AE" w:rsidRPr="001C50AE">
        <w:rPr>
          <w:rFonts w:ascii="QCF_BSML" w:hAnsi="QCF_BSML" w:cs="QCF_BSML"/>
          <w:noProof w:val="0"/>
          <w:rtl/>
          <w:lang w:val="fr-FR" w:eastAsia="en-US"/>
        </w:rPr>
        <w:t>ﭼ</w:t>
      </w:r>
      <w:bookmarkEnd w:id="31"/>
      <w:r w:rsidR="006F08E1" w:rsidRPr="001C50AE">
        <w:rPr>
          <w:rFonts w:ascii="Traditional Arabic" w:hAnsi="Traditional Arabic" w:hint="cs"/>
          <w:rtl/>
        </w:rPr>
        <w:t>[البقرة: 229]</w:t>
      </w:r>
      <w:r w:rsidR="006F08E1">
        <w:rPr>
          <w:rFonts w:ascii="Lotus Linotype" w:hAnsi="Lotus Linotype" w:cs="Lotus Linotype" w:hint="cs"/>
          <w:rtl/>
        </w:rPr>
        <w:t xml:space="preserve"> </w:t>
      </w:r>
      <w:r w:rsidR="00771670">
        <w:rPr>
          <w:rFonts w:ascii="Traditional Arabic" w:hAnsi="Traditional Arabic" w:hint="cs"/>
          <w:rtl/>
        </w:rPr>
        <w:t>أن</w:t>
      </w:r>
      <w:r w:rsidR="006F08E1" w:rsidRPr="00693FC7">
        <w:rPr>
          <w:rFonts w:ascii="Traditional Arabic" w:hAnsi="Traditional Arabic"/>
          <w:rtl/>
        </w:rPr>
        <w:t xml:space="preserve"> للوسائل أحكام المقاصد</w:t>
      </w:r>
      <w:r w:rsidR="00771670">
        <w:rPr>
          <w:rFonts w:ascii="Traditional Arabic" w:hAnsi="Traditional Arabic" w:hint="cs"/>
          <w:rtl/>
        </w:rPr>
        <w:t>،</w:t>
      </w:r>
      <w:r w:rsidR="006F08E1" w:rsidRPr="00693FC7">
        <w:rPr>
          <w:rFonts w:ascii="Traditional Arabic" w:hAnsi="Traditional Arabic"/>
          <w:rtl/>
        </w:rPr>
        <w:t xml:space="preserve"> </w:t>
      </w:r>
      <w:r w:rsidR="00771670">
        <w:rPr>
          <w:rFonts w:ascii="Traditional Arabic" w:hAnsi="Traditional Arabic" w:hint="cs"/>
          <w:rtl/>
        </w:rPr>
        <w:t xml:space="preserve">وأن ذلك </w:t>
      </w:r>
      <w:r w:rsidR="00771670">
        <w:rPr>
          <w:rFonts w:ascii="Traditional Arabic" w:hAnsi="Traditional Arabic"/>
          <w:rtl/>
        </w:rPr>
        <w:t>يؤخ</w:t>
      </w:r>
      <w:r w:rsidR="00771670">
        <w:rPr>
          <w:rFonts w:ascii="Traditional Arabic" w:hAnsi="Traditional Arabic" w:hint="cs"/>
          <w:rtl/>
        </w:rPr>
        <w:t>ذ</w:t>
      </w:r>
      <w:r w:rsidR="006F08E1" w:rsidRPr="00693FC7">
        <w:rPr>
          <w:rFonts w:ascii="Traditional Arabic" w:hAnsi="Traditional Arabic"/>
          <w:rtl/>
        </w:rPr>
        <w:t xml:space="preserve"> من جواز أخذ الإنسان من امرأته ما أتاها أو بعضه ؛إذا خيفت المسألة في البقاء على الزوجية)</w:t>
      </w:r>
      <w:r w:rsidR="006F08E1" w:rsidRPr="00C821A1">
        <w:rPr>
          <w:rFonts w:ascii="Traditional Arabic" w:hAnsi="Traditional Arabic"/>
          <w:szCs w:val="32"/>
          <w:vertAlign w:val="superscript"/>
          <w:rtl/>
        </w:rPr>
        <w:t>(</w:t>
      </w:r>
      <w:r w:rsidR="006F08E1" w:rsidRPr="00C821A1">
        <w:rPr>
          <w:rStyle w:val="af1"/>
          <w:rFonts w:ascii="Traditional Arabic" w:hAnsi="Traditional Arabic"/>
          <w:szCs w:val="32"/>
          <w:rtl/>
        </w:rPr>
        <w:footnoteReference w:id="157"/>
      </w:r>
      <w:r w:rsidR="006F08E1" w:rsidRPr="00C821A1">
        <w:rPr>
          <w:rFonts w:ascii="Traditional Arabic" w:hAnsi="Traditional Arabic"/>
          <w:szCs w:val="32"/>
          <w:vertAlign w:val="superscript"/>
          <w:rtl/>
        </w:rPr>
        <w:t>)</w:t>
      </w:r>
      <w:r w:rsidR="006F08E1" w:rsidRPr="00693FC7">
        <w:rPr>
          <w:rFonts w:ascii="Traditional Arabic" w:hAnsi="Traditional Arabic"/>
          <w:rtl/>
        </w:rPr>
        <w:t>.</w:t>
      </w:r>
    </w:p>
    <w:p w:rsidR="009474A6" w:rsidRPr="009474A6" w:rsidRDefault="009474A6" w:rsidP="009474A6">
      <w:pPr>
        <w:widowControl/>
        <w:autoSpaceDE w:val="0"/>
        <w:autoSpaceDN w:val="0"/>
        <w:adjustRightInd w:val="0"/>
        <w:ind w:left="360" w:firstLine="0"/>
        <w:rPr>
          <w:rStyle w:val="af1"/>
          <w:rFonts w:ascii="Traditional Arabic" w:hAnsi="Traditional Arabic"/>
          <w:color w:val="auto"/>
          <w:vertAlign w:val="baseline"/>
          <w:rtl/>
        </w:rPr>
      </w:pPr>
      <w:r>
        <w:rPr>
          <w:rFonts w:hint="cs"/>
          <w:rtl/>
        </w:rPr>
        <w:t xml:space="preserve">(2) وذكر الشيخ _رحمه الله_ أنه يستفاد من </w:t>
      </w:r>
      <w:r w:rsidRPr="009474A6">
        <w:rPr>
          <w:rStyle w:val="af1"/>
          <w:rFonts w:hint="cs"/>
          <w:vertAlign w:val="baseline"/>
          <w:rtl/>
        </w:rPr>
        <w:t xml:space="preserve">قول الله تعالى: </w:t>
      </w:r>
      <w:r w:rsidRPr="009474A6">
        <w:rPr>
          <w:rFonts w:ascii="QCF_BSML" w:hAnsi="QCF_BSML" w:cs="QCF_BSML"/>
          <w:noProof w:val="0"/>
          <w:rtl/>
          <w:lang w:eastAsia="en-US"/>
        </w:rPr>
        <w:t>ﭽ</w:t>
      </w:r>
      <w:r w:rsidRPr="009474A6">
        <w:rPr>
          <w:rFonts w:ascii="QCF_P047" w:hAnsi="QCF_P047" w:cs="QCF_P047"/>
          <w:noProof w:val="0"/>
          <w:rtl/>
          <w:lang w:eastAsia="en-US"/>
        </w:rPr>
        <w:t>ﯧ</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ﯨ</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ﯩ</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ﯪ</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ﯫ</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ﯬ</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ﯭ</w:t>
      </w:r>
      <w:r w:rsidRPr="009474A6">
        <w:rPr>
          <w:rFonts w:ascii="QCF_P047" w:hAnsi="QCF_P047" w:cs="QCF_P047" w:hint="cs"/>
          <w:noProof w:val="0"/>
          <w:rtl/>
          <w:lang w:eastAsia="en-US"/>
        </w:rPr>
        <w:t xml:space="preserve"> </w:t>
      </w:r>
      <w:r w:rsidRPr="009474A6">
        <w:rPr>
          <w:rFonts w:ascii="QCF_P047" w:hAnsi="QCF_P047" w:cs="QCF_P047"/>
          <w:noProof w:val="0"/>
          <w:color w:val="0000A5"/>
          <w:rtl/>
          <w:lang w:eastAsia="en-US"/>
        </w:rPr>
        <w:t>ﯮ</w:t>
      </w:r>
      <w:r w:rsidRPr="009474A6">
        <w:rPr>
          <w:rFonts w:ascii="QCF_P047" w:hAnsi="QCF_P047" w:cs="QCF_P047" w:hint="cs"/>
          <w:noProof w:val="0"/>
          <w:color w:val="0000A5"/>
          <w:rtl/>
          <w:lang w:eastAsia="en-US"/>
        </w:rPr>
        <w:t xml:space="preserve"> </w:t>
      </w:r>
      <w:r w:rsidRPr="009474A6">
        <w:rPr>
          <w:rFonts w:ascii="QCF_P047" w:hAnsi="QCF_P047" w:cs="QCF_P047"/>
          <w:noProof w:val="0"/>
          <w:rtl/>
          <w:lang w:eastAsia="en-US"/>
        </w:rPr>
        <w:t>ﯯ</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ﯰ</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ﯱ</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ﯲ</w:t>
      </w:r>
      <w:r w:rsidRPr="009474A6">
        <w:rPr>
          <w:rFonts w:ascii="QCF_P047" w:hAnsi="QCF_P047" w:cs="QCF_P047" w:hint="cs"/>
          <w:noProof w:val="0"/>
          <w:rtl/>
          <w:lang w:eastAsia="en-US"/>
        </w:rPr>
        <w:t xml:space="preserve"> </w:t>
      </w:r>
      <w:r w:rsidRPr="009474A6">
        <w:rPr>
          <w:rFonts w:ascii="QCF_P047" w:hAnsi="QCF_P047" w:cs="QCF_P047"/>
          <w:noProof w:val="0"/>
          <w:color w:val="0000A5"/>
          <w:rtl/>
          <w:lang w:eastAsia="en-US"/>
        </w:rPr>
        <w:t>ﯳ</w:t>
      </w:r>
      <w:r w:rsidRPr="009474A6">
        <w:rPr>
          <w:rFonts w:ascii="QCF_P047" w:hAnsi="QCF_P047" w:cs="QCF_P047" w:hint="cs"/>
          <w:noProof w:val="0"/>
          <w:color w:val="0000A5"/>
          <w:rtl/>
          <w:lang w:eastAsia="en-US"/>
        </w:rPr>
        <w:t xml:space="preserve"> </w:t>
      </w:r>
      <w:r w:rsidRPr="009474A6">
        <w:rPr>
          <w:rFonts w:ascii="QCF_P047" w:hAnsi="QCF_P047" w:cs="QCF_P047"/>
          <w:noProof w:val="0"/>
          <w:rtl/>
          <w:lang w:eastAsia="en-US"/>
        </w:rPr>
        <w:t>ﯴ</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ﯵ</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 xml:space="preserve"> </w:t>
      </w:r>
      <w:r w:rsidRPr="009474A6">
        <w:rPr>
          <w:rFonts w:ascii="QCF_P047" w:hAnsi="QCF_P047" w:cs="QCF_P047" w:hint="cs"/>
          <w:noProof w:val="0"/>
          <w:rtl/>
          <w:lang w:eastAsia="en-US"/>
        </w:rPr>
        <w:t xml:space="preserve"> </w:t>
      </w:r>
      <w:r w:rsidRPr="009474A6">
        <w:rPr>
          <w:rFonts w:ascii="QCF_P047" w:hAnsi="QCF_P047" w:cs="QCF_P047"/>
          <w:noProof w:val="0"/>
          <w:rtl/>
          <w:lang w:eastAsia="en-US"/>
        </w:rPr>
        <w:t>ﯶ</w:t>
      </w:r>
      <w:r w:rsidRPr="009474A6">
        <w:rPr>
          <w:rFonts w:ascii="QCF_BSML" w:hAnsi="QCF_BSML" w:cs="QCF_BSML"/>
          <w:noProof w:val="0"/>
          <w:rtl/>
          <w:lang w:eastAsia="en-US"/>
        </w:rPr>
        <w:t>ﭼ</w:t>
      </w:r>
      <w:r w:rsidRPr="009474A6">
        <w:rPr>
          <w:rFonts w:ascii="Traditional Arabic" w:hAnsi="Traditional Arabic" w:hint="cs"/>
          <w:noProof w:val="0"/>
          <w:color w:val="auto"/>
          <w:rtl/>
          <w:lang w:eastAsia="en-US"/>
        </w:rPr>
        <w:t>[</w:t>
      </w:r>
      <w:r w:rsidRPr="009474A6">
        <w:rPr>
          <w:rFonts w:ascii="Traditional Arabic" w:hAnsi="Traditional Arabic"/>
          <w:noProof w:val="0"/>
          <w:color w:val="auto"/>
          <w:rtl/>
          <w:lang w:eastAsia="en-US"/>
        </w:rPr>
        <w:t>البقرة: ٢٨٠</w:t>
      </w:r>
      <w:r w:rsidRPr="009474A6">
        <w:rPr>
          <w:rFonts w:ascii="Traditional Arabic" w:hAnsi="Traditional Arabic" w:hint="cs"/>
          <w:color w:val="auto"/>
          <w:rtl/>
        </w:rPr>
        <w:t xml:space="preserve">] </w:t>
      </w:r>
      <w:r w:rsidRPr="009474A6">
        <w:rPr>
          <w:rFonts w:ascii="Traditional Arabic" w:hAnsi="Traditional Arabic" w:hint="cs"/>
          <w:noProof w:val="0"/>
          <w:rtl/>
          <w:lang w:eastAsia="en-US"/>
        </w:rPr>
        <w:t xml:space="preserve">أن الحكم يدور مع علته وجودا وعدما؛ </w:t>
      </w:r>
      <w:r w:rsidRPr="009474A6">
        <w:rPr>
          <w:rFonts w:ascii="Traditional Arabic" w:hAnsi="Traditional Arabic"/>
          <w:noProof w:val="0"/>
          <w:rtl/>
          <w:lang w:eastAsia="en-US"/>
        </w:rPr>
        <w:t>لأنه لما كان وجوب الإنظار م</w:t>
      </w:r>
      <w:r w:rsidRPr="009474A6">
        <w:rPr>
          <w:rFonts w:ascii="Traditional Arabic" w:hAnsi="Traditional Arabic" w:hint="cs"/>
          <w:noProof w:val="0"/>
          <w:rtl/>
          <w:lang w:eastAsia="en-US"/>
        </w:rPr>
        <w:t>ُ</w:t>
      </w:r>
      <w:r w:rsidRPr="009474A6">
        <w:rPr>
          <w:rFonts w:ascii="Traditional Arabic" w:hAnsi="Traditional Arabic"/>
          <w:noProof w:val="0"/>
          <w:rtl/>
          <w:lang w:eastAsia="en-US"/>
        </w:rPr>
        <w:t>عل</w:t>
      </w:r>
      <w:r w:rsidRPr="009474A6">
        <w:rPr>
          <w:rFonts w:ascii="Traditional Arabic" w:hAnsi="Traditional Arabic" w:hint="cs"/>
          <w:noProof w:val="0"/>
          <w:rtl/>
          <w:lang w:eastAsia="en-US"/>
        </w:rPr>
        <w:t>َّ</w:t>
      </w:r>
      <w:r w:rsidRPr="009474A6">
        <w:rPr>
          <w:rFonts w:ascii="Traditional Arabic" w:hAnsi="Traditional Arabic"/>
          <w:noProof w:val="0"/>
          <w:rtl/>
          <w:lang w:eastAsia="en-US"/>
        </w:rPr>
        <w:t>لا</w:t>
      </w:r>
      <w:r w:rsidRPr="009474A6">
        <w:rPr>
          <w:rFonts w:ascii="Traditional Arabic" w:hAnsi="Traditional Arabic" w:hint="cs"/>
          <w:noProof w:val="0"/>
          <w:rtl/>
          <w:lang w:eastAsia="en-US"/>
        </w:rPr>
        <w:t>ً</w:t>
      </w:r>
      <w:r w:rsidRPr="009474A6">
        <w:rPr>
          <w:rFonts w:ascii="Traditional Arabic" w:hAnsi="Traditional Arabic"/>
          <w:noProof w:val="0"/>
          <w:rtl/>
          <w:lang w:eastAsia="en-US"/>
        </w:rPr>
        <w:t xml:space="preserve"> بالإعسار صار مستمراً إلى أن تزول العلة - وهي الع</w:t>
      </w:r>
      <w:r w:rsidRPr="009474A6">
        <w:rPr>
          <w:rFonts w:ascii="Traditional Arabic" w:hAnsi="Traditional Arabic" w:hint="cs"/>
          <w:noProof w:val="0"/>
          <w:rtl/>
          <w:lang w:eastAsia="en-US"/>
        </w:rPr>
        <w:t>ُ</w:t>
      </w:r>
      <w:r w:rsidRPr="009474A6">
        <w:rPr>
          <w:rFonts w:ascii="Traditional Arabic" w:hAnsi="Traditional Arabic"/>
          <w:noProof w:val="0"/>
          <w:rtl/>
          <w:lang w:eastAsia="en-US"/>
        </w:rPr>
        <w:t>سرة - حتى تجوز مطالبت</w:t>
      </w:r>
      <w:r w:rsidRPr="009474A6">
        <w:rPr>
          <w:rFonts w:ascii="Traditional Arabic" w:hAnsi="Traditional Arabic" w:hint="cs"/>
          <w:noProof w:val="0"/>
          <w:rtl/>
          <w:lang w:eastAsia="en-US"/>
        </w:rPr>
        <w:t>ُ</w:t>
      </w:r>
      <w:r w:rsidRPr="009474A6">
        <w:rPr>
          <w:rFonts w:ascii="Traditional Arabic" w:hAnsi="Traditional Arabic"/>
          <w:noProof w:val="0"/>
          <w:rtl/>
          <w:lang w:eastAsia="en-US"/>
        </w:rPr>
        <w:t>ه</w:t>
      </w:r>
      <w:r w:rsidRPr="009474A6">
        <w:rPr>
          <w:rStyle w:val="af1"/>
          <w:szCs w:val="32"/>
          <w:rtl/>
        </w:rPr>
        <w:t>(</w:t>
      </w:r>
      <w:r w:rsidRPr="00C821A1">
        <w:rPr>
          <w:rStyle w:val="af1"/>
          <w:szCs w:val="32"/>
          <w:rtl/>
        </w:rPr>
        <w:footnoteReference w:id="158"/>
      </w:r>
      <w:r w:rsidRPr="009474A6">
        <w:rPr>
          <w:rStyle w:val="af1"/>
          <w:szCs w:val="32"/>
          <w:rtl/>
        </w:rPr>
        <w:t>)</w:t>
      </w:r>
      <w:r w:rsidRPr="009474A6">
        <w:rPr>
          <w:rFonts w:ascii="Traditional Arabic" w:hAnsi="Traditional Arabic"/>
          <w:noProof w:val="0"/>
          <w:rtl/>
          <w:lang w:eastAsia="en-US"/>
        </w:rPr>
        <w:t>.</w:t>
      </w:r>
    </w:p>
    <w:p w:rsidR="009474A6" w:rsidRPr="009474A6" w:rsidRDefault="009474A6" w:rsidP="009474A6">
      <w:pPr>
        <w:ind w:firstLine="0"/>
        <w:rPr>
          <w:rFonts w:ascii="Traditional Arabic" w:hAnsi="Traditional Arabic"/>
          <w:color w:val="auto"/>
          <w:rtl/>
        </w:rPr>
      </w:pPr>
      <w:r>
        <w:rPr>
          <w:rFonts w:ascii="Traditional Arabic" w:hAnsi="Traditional Arabic" w:hint="cs"/>
          <w:rtl/>
        </w:rPr>
        <w:t xml:space="preserve">(3) </w:t>
      </w:r>
      <w:r>
        <w:rPr>
          <w:rFonts w:ascii="Traditional Arabic" w:hAnsi="Traditional Arabic" w:hint="cs"/>
          <w:noProof w:val="0"/>
          <w:color w:val="auto"/>
          <w:rtl/>
          <w:lang w:eastAsia="en-US"/>
        </w:rPr>
        <w:t xml:space="preserve"> </w:t>
      </w:r>
      <w:r w:rsidR="00C86D3D">
        <w:rPr>
          <w:rFonts w:ascii="Traditional Arabic" w:hAnsi="Traditional Arabic" w:hint="cs"/>
          <w:noProof w:val="0"/>
          <w:color w:val="auto"/>
          <w:rtl/>
          <w:lang w:eastAsia="en-US"/>
        </w:rPr>
        <w:t>و</w:t>
      </w:r>
      <w:r>
        <w:rPr>
          <w:rFonts w:ascii="Traditional Arabic" w:hAnsi="Traditional Arabic" w:hint="cs"/>
          <w:noProof w:val="0"/>
          <w:color w:val="auto"/>
          <w:rtl/>
          <w:lang w:eastAsia="en-US"/>
        </w:rPr>
        <w:t>في معرِض شرحه ل</w:t>
      </w:r>
      <w:r w:rsidRPr="00D80F33">
        <w:rPr>
          <w:rFonts w:ascii="Traditional Arabic" w:hAnsi="Traditional Arabic" w:hint="cs"/>
          <w:noProof w:val="0"/>
          <w:color w:val="auto"/>
          <w:rtl/>
          <w:lang w:eastAsia="en-US"/>
        </w:rPr>
        <w:t>حديث</w:t>
      </w:r>
      <w:r w:rsidRPr="00D80F33">
        <w:rPr>
          <w:rFonts w:ascii="Traditional Arabic" w:hAnsi="Traditional Arabic"/>
          <w:noProof w:val="0"/>
          <w:color w:val="auto"/>
          <w:rtl/>
          <w:lang w:eastAsia="en-US"/>
        </w:rPr>
        <w:t xml:space="preserve"> عائشة </w:t>
      </w:r>
      <w:r w:rsidRPr="00D80F33">
        <w:rPr>
          <w:rFonts w:ascii="Traditional Arabic" w:hAnsi="Traditional Arabic" w:hint="cs"/>
          <w:noProof w:val="0"/>
          <w:color w:val="auto"/>
          <w:rtl/>
          <w:lang w:eastAsia="en-US"/>
        </w:rPr>
        <w:t>_</w:t>
      </w:r>
      <w:r w:rsidRPr="00D80F33">
        <w:rPr>
          <w:rFonts w:ascii="Traditional Arabic" w:hAnsi="Traditional Arabic" w:cs="CTraditional Arabic" w:hint="cs"/>
          <w:noProof w:val="0"/>
          <w:color w:val="auto"/>
          <w:rtl/>
          <w:lang w:eastAsia="en-US"/>
        </w:rPr>
        <w:t>ل</w:t>
      </w:r>
      <w:r w:rsidRPr="00D80F33">
        <w:rPr>
          <w:rFonts w:ascii="Traditional Arabic" w:hAnsi="Traditional Arabic" w:hint="cs"/>
          <w:noProof w:val="0"/>
          <w:color w:val="auto"/>
          <w:rtl/>
          <w:lang w:eastAsia="en-US"/>
        </w:rPr>
        <w:t>_</w:t>
      </w:r>
      <w:r w:rsidRPr="00D80F33">
        <w:rPr>
          <w:rFonts w:ascii="Traditional Arabic" w:hAnsi="Traditional Arabic"/>
          <w:noProof w:val="0"/>
          <w:color w:val="auto"/>
          <w:rtl/>
          <w:lang w:eastAsia="en-US"/>
        </w:rPr>
        <w:t>: دخلت</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ه</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د</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بنت</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ع</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ت</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ب</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ة</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-امرأة أبي سفيان- على رسول الله</w:t>
      </w:r>
      <w:r w:rsidRPr="00D80F33">
        <w:rPr>
          <w:rFonts w:ascii="Traditional Arabic" w:hAnsi="Traditional Arabic" w:hint="cs"/>
          <w:noProof w:val="0"/>
          <w:color w:val="auto"/>
          <w:rtl/>
          <w:lang w:eastAsia="en-US"/>
        </w:rPr>
        <w:t xml:space="preserve"> </w:t>
      </w:r>
      <w:r>
        <w:rPr>
          <w:rtl/>
          <w:lang w:eastAsia="en-US"/>
        </w:rPr>
        <w:sym w:font="AGA Arabesque" w:char="F072"/>
      </w:r>
      <w:r w:rsidR="00AB0B9E" w:rsidRPr="00D80F33">
        <w:rPr>
          <w:rFonts w:ascii="Traditional Arabic" w:hAnsi="Traditional Arabic"/>
          <w:noProof w:val="0"/>
          <w:color w:val="auto"/>
          <w:rtl/>
          <w:lang w:eastAsia="en-US"/>
        </w:rPr>
        <w:fldChar w:fldCharType="begin"/>
      </w:r>
      <w:r w:rsidRPr="00C85F0F">
        <w:instrText>XE</w:instrText>
      </w:r>
      <w:r w:rsidRPr="00C85F0F">
        <w:rPr>
          <w:rtl/>
        </w:rPr>
        <w:instrText xml:space="preserve"> "</w:instrText>
      </w:r>
      <w:r w:rsidRPr="00D80F33">
        <w:rPr>
          <w:rFonts w:ascii="Traditional Arabic" w:hAnsi="Traditional Arabic"/>
          <w:noProof w:val="0"/>
          <w:color w:val="auto"/>
          <w:rtl/>
          <w:lang w:eastAsia="en-US"/>
        </w:rPr>
        <w:instrText>خ</w:instrText>
      </w:r>
      <w:r w:rsidRPr="00D80F33">
        <w:rPr>
          <w:rFonts w:ascii="Traditional Arabic" w:hAnsi="Traditional Arabic" w:hint="cs"/>
          <w:noProof w:val="0"/>
          <w:color w:val="auto"/>
          <w:rtl/>
          <w:lang w:eastAsia="en-US"/>
        </w:rPr>
        <w:instrText>ُ</w:instrText>
      </w:r>
      <w:r w:rsidRPr="00D80F33">
        <w:rPr>
          <w:rFonts w:ascii="Traditional Arabic" w:hAnsi="Traditional Arabic"/>
          <w:noProof w:val="0"/>
          <w:color w:val="auto"/>
          <w:rtl/>
          <w:lang w:eastAsia="en-US"/>
        </w:rPr>
        <w:instrText>ذي م</w:instrText>
      </w:r>
      <w:r w:rsidRPr="00D80F33">
        <w:rPr>
          <w:rFonts w:ascii="Traditional Arabic" w:hAnsi="Traditional Arabic" w:hint="cs"/>
          <w:noProof w:val="0"/>
          <w:color w:val="auto"/>
          <w:rtl/>
          <w:lang w:eastAsia="en-US"/>
        </w:rPr>
        <w:instrText>ِ</w:instrText>
      </w:r>
      <w:r w:rsidRPr="00D80F33">
        <w:rPr>
          <w:rFonts w:ascii="Traditional Arabic" w:hAnsi="Traditional Arabic"/>
          <w:noProof w:val="0"/>
          <w:color w:val="auto"/>
          <w:rtl/>
          <w:lang w:eastAsia="en-US"/>
        </w:rPr>
        <w:instrText>ن مال</w:instrText>
      </w:r>
      <w:r w:rsidRPr="00D80F33">
        <w:rPr>
          <w:rFonts w:ascii="Traditional Arabic" w:hAnsi="Traditional Arabic" w:hint="cs"/>
          <w:noProof w:val="0"/>
          <w:color w:val="auto"/>
          <w:rtl/>
          <w:lang w:eastAsia="en-US"/>
        </w:rPr>
        <w:instrText>ِ</w:instrText>
      </w:r>
      <w:r w:rsidRPr="00D80F33">
        <w:rPr>
          <w:rFonts w:ascii="Traditional Arabic" w:hAnsi="Traditional Arabic"/>
          <w:noProof w:val="0"/>
          <w:color w:val="auto"/>
          <w:rtl/>
          <w:lang w:eastAsia="en-US"/>
        </w:rPr>
        <w:instrText>ه بالمعروف ما يكفيك، ويكفي ب</w:instrText>
      </w:r>
      <w:r w:rsidRPr="00D80F33">
        <w:rPr>
          <w:rFonts w:ascii="Traditional Arabic" w:hAnsi="Traditional Arabic" w:hint="cs"/>
          <w:noProof w:val="0"/>
          <w:color w:val="auto"/>
          <w:rtl/>
          <w:lang w:eastAsia="en-US"/>
        </w:rPr>
        <w:instrText>َ</w:instrText>
      </w:r>
      <w:r w:rsidRPr="00D80F33">
        <w:rPr>
          <w:rFonts w:ascii="Traditional Arabic" w:hAnsi="Traditional Arabic"/>
          <w:noProof w:val="0"/>
          <w:color w:val="auto"/>
          <w:rtl/>
          <w:lang w:eastAsia="en-US"/>
        </w:rPr>
        <w:instrText>نيك</w:instrText>
      </w:r>
      <w:r w:rsidRPr="00C85F0F">
        <w:rPr>
          <w:rtl/>
        </w:rPr>
        <w:instrText>" \</w:instrText>
      </w:r>
      <w:r w:rsidRPr="00C85F0F">
        <w:instrText>f</w:instrText>
      </w:r>
      <w:r>
        <w:instrText>h</w:instrText>
      </w:r>
      <w:r w:rsidR="00AB0B9E" w:rsidRPr="00D80F33">
        <w:rPr>
          <w:rFonts w:ascii="Traditional Arabic" w:hAnsi="Traditional Arabic"/>
          <w:noProof w:val="0"/>
          <w:color w:val="auto"/>
          <w:rtl/>
          <w:lang w:eastAsia="en-US"/>
        </w:rPr>
        <w:fldChar w:fldCharType="end"/>
      </w:r>
      <w:r w:rsidRPr="00D80F33">
        <w:rPr>
          <w:rFonts w:ascii="Traditional Arabic" w:hAnsi="Traditional Arabic"/>
          <w:noProof w:val="0"/>
          <w:color w:val="auto"/>
          <w:rtl/>
          <w:lang w:eastAsia="en-US"/>
        </w:rPr>
        <w:t xml:space="preserve"> فقالت: يا رسول الله</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إن أبا سفيان رجل</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ش</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حيح</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لا ي</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عطيني من النفقة ما ي</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ك</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فيني ويكفي ب</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ي</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إلا ما أخذت</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من ماله بغير ع</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لمه، فهل علي في ذلك من ج</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ناح؟ فقال: "خ</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ذي م</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 مال</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ه بالمعروف ما يكفيك، ويكفي ب</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نيك"</w:t>
      </w:r>
      <w:r w:rsidRPr="00D80F33">
        <w:rPr>
          <w:rStyle w:val="af1"/>
          <w:szCs w:val="32"/>
          <w:rtl/>
        </w:rPr>
        <w:t>(</w:t>
      </w:r>
      <w:r w:rsidRPr="00C821A1">
        <w:rPr>
          <w:rStyle w:val="af1"/>
          <w:szCs w:val="32"/>
          <w:rtl/>
        </w:rPr>
        <w:footnoteReference w:id="159"/>
      </w:r>
      <w:r w:rsidRPr="00D80F33">
        <w:rPr>
          <w:rStyle w:val="af1"/>
          <w:szCs w:val="32"/>
          <w:rtl/>
        </w:rPr>
        <w:t>)</w:t>
      </w:r>
      <w:r w:rsidR="00C86D3D">
        <w:rPr>
          <w:rFonts w:ascii="Traditional Arabic" w:hAnsi="Traditional Arabic" w:hint="cs"/>
          <w:noProof w:val="0"/>
          <w:color w:val="auto"/>
          <w:rtl/>
          <w:lang w:eastAsia="en-US"/>
        </w:rPr>
        <w:t>، ذكر_رحمه الله_</w:t>
      </w:r>
      <w:r>
        <w:rPr>
          <w:rFonts w:ascii="Traditional Arabic" w:hAnsi="Traditional Arabic" w:hint="cs"/>
          <w:noProof w:val="0"/>
          <w:color w:val="auto"/>
          <w:rtl/>
          <w:lang w:eastAsia="en-US"/>
        </w:rPr>
        <w:t xml:space="preserve"> أن </w:t>
      </w:r>
      <w:r w:rsidRPr="009474A6">
        <w:rPr>
          <w:rFonts w:hint="cs"/>
          <w:rtl/>
        </w:rPr>
        <w:t>معنى</w:t>
      </w:r>
      <w:r>
        <w:rPr>
          <w:rFonts w:hint="cs"/>
          <w:b/>
          <w:bCs/>
          <w:rtl/>
        </w:rPr>
        <w:t xml:space="preserve"> </w:t>
      </w:r>
      <w:r w:rsidRPr="009474A6">
        <w:rPr>
          <w:rFonts w:hint="cs"/>
          <w:rtl/>
        </w:rPr>
        <w:t>قوله صلى الله عليه وسلم: "خذي من ماله</w:t>
      </w:r>
      <w:r>
        <w:rPr>
          <w:rFonts w:hint="cs"/>
          <w:b/>
          <w:bCs/>
          <w:rtl/>
        </w:rPr>
        <w:t xml:space="preserve"> </w:t>
      </w:r>
      <w:r w:rsidRPr="009474A6">
        <w:rPr>
          <w:rFonts w:hint="cs"/>
          <w:rtl/>
        </w:rPr>
        <w:t>بالمعروف"،</w:t>
      </w:r>
      <w:r>
        <w:rPr>
          <w:rFonts w:hint="cs"/>
          <w:b/>
          <w:bCs/>
          <w:rtl/>
        </w:rPr>
        <w:t xml:space="preserve"> </w:t>
      </w:r>
      <w:r w:rsidRPr="009474A6">
        <w:rPr>
          <w:rFonts w:hint="cs"/>
          <w:rtl/>
        </w:rPr>
        <w:t>خذي ما يكفيك ويكفي بنيك أخذاً مصحوباً بما جرت به العادة، و</w:t>
      </w:r>
      <w:r>
        <w:rPr>
          <w:rFonts w:hint="cs"/>
          <w:rtl/>
        </w:rPr>
        <w:t xml:space="preserve">أنه </w:t>
      </w:r>
      <w:r w:rsidRPr="009474A6">
        <w:rPr>
          <w:rFonts w:hint="cs"/>
          <w:rtl/>
        </w:rPr>
        <w:t>يستفاد من ذلك الرجوع إلى العرف واعتبار</w:t>
      </w:r>
      <w:r w:rsidR="00CA3049">
        <w:rPr>
          <w:rFonts w:hint="cs"/>
          <w:rtl/>
        </w:rPr>
        <w:t>ُ</w:t>
      </w:r>
      <w:r w:rsidRPr="009474A6">
        <w:rPr>
          <w:rFonts w:hint="cs"/>
          <w:rtl/>
        </w:rPr>
        <w:t>ه</w:t>
      </w:r>
      <w:r w:rsidRPr="009474A6">
        <w:rPr>
          <w:rStyle w:val="af1"/>
          <w:rtl/>
        </w:rPr>
        <w:t>(</w:t>
      </w:r>
      <w:r w:rsidRPr="009474A6">
        <w:rPr>
          <w:rStyle w:val="af1"/>
          <w:rtl/>
        </w:rPr>
        <w:footnoteReference w:id="160"/>
      </w:r>
      <w:r w:rsidRPr="009474A6">
        <w:rPr>
          <w:rStyle w:val="af1"/>
          <w:rtl/>
        </w:rPr>
        <w:t>)</w:t>
      </w:r>
      <w:r w:rsidRPr="009474A6">
        <w:rPr>
          <w:rFonts w:hint="cs"/>
          <w:rtl/>
        </w:rPr>
        <w:t>.</w:t>
      </w:r>
    </w:p>
    <w:p w:rsidR="00B75E09" w:rsidRDefault="00D82122" w:rsidP="00D82122">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rtl/>
        </w:rPr>
        <w:t xml:space="preserve">(4)  </w:t>
      </w:r>
      <w:r w:rsidR="00C86D3D">
        <w:rPr>
          <w:rFonts w:ascii="Traditional Arabic" w:hAnsi="Traditional Arabic" w:hint="cs"/>
          <w:noProof w:val="0"/>
          <w:color w:val="auto"/>
          <w:rtl/>
          <w:lang w:eastAsia="en-US"/>
        </w:rPr>
        <w:t>و</w:t>
      </w:r>
      <w:r>
        <w:rPr>
          <w:rFonts w:ascii="Traditional Arabic" w:hAnsi="Traditional Arabic" w:hint="cs"/>
          <w:noProof w:val="0"/>
          <w:color w:val="auto"/>
          <w:rtl/>
          <w:lang w:eastAsia="en-US"/>
        </w:rPr>
        <w:t xml:space="preserve">عند شرحه لحديث </w:t>
      </w:r>
      <w:r w:rsidRPr="0048508D">
        <w:rPr>
          <w:rFonts w:ascii="Traditional Arabic" w:hAnsi="Traditional Arabic" w:hint="cs"/>
          <w:noProof w:val="0"/>
          <w:color w:val="auto"/>
          <w:rtl/>
          <w:lang w:eastAsia="en-US"/>
        </w:rPr>
        <w:t>عبد الله بن</w:t>
      </w:r>
      <w:r w:rsidRPr="0048508D">
        <w:rPr>
          <w:rFonts w:ascii="Traditional Arabic" w:hAnsi="Traditional Arabic" w:hint="cs"/>
          <w:noProof w:val="0"/>
          <w:rtl/>
          <w:lang w:eastAsia="en-US"/>
        </w:rPr>
        <w:t xml:space="preserve"> زيد بن عاصم المازِني </w:t>
      </w:r>
      <w:r>
        <w:rPr>
          <w:rFonts w:ascii="Traditional Arabic" w:hAnsi="Traditional Arabic" w:hint="cs"/>
          <w:noProof w:val="0"/>
          <w:rtl/>
          <w:lang w:eastAsia="en-US"/>
        </w:rPr>
        <w:t>_</w:t>
      </w:r>
      <w:r w:rsidRPr="0048508D">
        <w:rPr>
          <w:rFonts w:ascii="Traditional Arabic" w:hAnsi="Traditional Arabic" w:hint="cs"/>
          <w:noProof w:val="0"/>
          <w:color w:val="auto"/>
          <w:rtl/>
          <w:lang w:eastAsia="en-US"/>
        </w:rPr>
        <w:t>رضي الله عنه</w:t>
      </w:r>
      <w:r>
        <w:rPr>
          <w:rFonts w:ascii="Traditional Arabic" w:hAnsi="Traditional Arabic" w:hint="cs"/>
          <w:noProof w:val="0"/>
          <w:color w:val="auto"/>
          <w:rtl/>
          <w:lang w:eastAsia="en-US"/>
        </w:rPr>
        <w:t>_</w:t>
      </w:r>
      <w:r w:rsidRPr="0048508D">
        <w:rPr>
          <w:rStyle w:val="af1"/>
          <w:szCs w:val="32"/>
          <w:rtl/>
        </w:rPr>
        <w:t>(</w:t>
      </w:r>
      <w:r w:rsidRPr="00C85F0F">
        <w:rPr>
          <w:rStyle w:val="af1"/>
          <w:szCs w:val="32"/>
          <w:rtl/>
        </w:rPr>
        <w:footnoteReference w:id="161"/>
      </w:r>
      <w:r w:rsidRPr="0048508D">
        <w:rPr>
          <w:rStyle w:val="af1"/>
          <w:szCs w:val="32"/>
          <w:rtl/>
        </w:rPr>
        <w:t>)</w:t>
      </w:r>
      <w:r>
        <w:rPr>
          <w:rFonts w:ascii="Traditional Arabic" w:hAnsi="Traditional Arabic" w:hint="cs"/>
          <w:noProof w:val="0"/>
          <w:rtl/>
          <w:lang w:eastAsia="en-US"/>
        </w:rPr>
        <w:t>:</w:t>
      </w:r>
      <w:r w:rsidR="00C86D3D">
        <w:rPr>
          <w:rFonts w:ascii="Traditional Arabic" w:hAnsi="Traditional Arabic" w:hint="cs"/>
          <w:noProof w:val="0"/>
          <w:rtl/>
          <w:lang w:eastAsia="en-US"/>
        </w:rPr>
        <w:t xml:space="preserve"> </w:t>
      </w:r>
      <w:r w:rsidRPr="0048508D">
        <w:rPr>
          <w:rFonts w:ascii="Traditional Arabic" w:hAnsi="Traditional Arabic"/>
          <w:noProof w:val="0"/>
          <w:rtl/>
          <w:lang w:eastAsia="en-US"/>
        </w:rPr>
        <w:t>ش</w:t>
      </w:r>
      <w:r w:rsidRPr="0048508D">
        <w:rPr>
          <w:rFonts w:ascii="Traditional Arabic" w:hAnsi="Traditional Arabic" w:hint="cs"/>
          <w:noProof w:val="0"/>
          <w:rtl/>
          <w:lang w:eastAsia="en-US"/>
        </w:rPr>
        <w:t>ُ</w:t>
      </w:r>
      <w:r w:rsidRPr="0048508D">
        <w:rPr>
          <w:rFonts w:ascii="Traditional Arabic" w:hAnsi="Traditional Arabic"/>
          <w:noProof w:val="0"/>
          <w:rtl/>
          <w:lang w:eastAsia="en-US"/>
        </w:rPr>
        <w:t>ك</w:t>
      </w:r>
      <w:r w:rsidRPr="0048508D">
        <w:rPr>
          <w:rFonts w:ascii="Traditional Arabic" w:hAnsi="Traditional Arabic" w:hint="cs"/>
          <w:noProof w:val="0"/>
          <w:rtl/>
          <w:lang w:eastAsia="en-US"/>
        </w:rPr>
        <w:t>ِ</w:t>
      </w:r>
      <w:r w:rsidRPr="0048508D">
        <w:rPr>
          <w:rFonts w:ascii="Traditional Arabic" w:hAnsi="Traditional Arabic"/>
          <w:noProof w:val="0"/>
          <w:rtl/>
          <w:lang w:eastAsia="en-US"/>
        </w:rPr>
        <w:t>ي</w:t>
      </w:r>
      <w:r w:rsidRPr="0048508D">
        <w:rPr>
          <w:rFonts w:ascii="Traditional Arabic" w:hAnsi="Traditional Arabic" w:hint="cs"/>
          <w:noProof w:val="0"/>
          <w:rtl/>
          <w:lang w:eastAsia="en-US"/>
        </w:rPr>
        <w:t>َ</w:t>
      </w:r>
      <w:r w:rsidRPr="0048508D">
        <w:rPr>
          <w:rFonts w:ascii="Traditional Arabic" w:hAnsi="Traditional Arabic"/>
          <w:noProof w:val="0"/>
          <w:rtl/>
          <w:lang w:eastAsia="en-US"/>
        </w:rPr>
        <w:t xml:space="preserve"> إلى النبي </w:t>
      </w:r>
      <w:r w:rsidRPr="0048508D">
        <w:rPr>
          <w:rFonts w:ascii="Traditional Arabic" w:hAnsi="Traditional Arabic" w:hint="cs"/>
          <w:rtl/>
        </w:rPr>
        <w:t>صلى الله عليه وسلم</w:t>
      </w:r>
      <w:r w:rsidRPr="0048508D">
        <w:rPr>
          <w:rFonts w:ascii="Traditional Arabic" w:hAnsi="Traditional Arabic"/>
          <w:noProof w:val="0"/>
          <w:rtl/>
          <w:lang w:eastAsia="en-US"/>
        </w:rPr>
        <w:t xml:space="preserve"> الرجل</w:t>
      </w:r>
      <w:r w:rsidRPr="0048508D">
        <w:rPr>
          <w:rFonts w:ascii="Traditional Arabic" w:hAnsi="Traditional Arabic" w:hint="cs"/>
          <w:noProof w:val="0"/>
          <w:rtl/>
          <w:lang w:eastAsia="en-US"/>
        </w:rPr>
        <w:t>ُ</w:t>
      </w:r>
      <w:r w:rsidRPr="0048508D">
        <w:rPr>
          <w:rFonts w:ascii="Traditional Arabic" w:hAnsi="Traditional Arabic"/>
          <w:noProof w:val="0"/>
          <w:rtl/>
          <w:lang w:eastAsia="en-US"/>
        </w:rPr>
        <w:t xml:space="preserve"> ي</w:t>
      </w:r>
      <w:r w:rsidRPr="0048508D">
        <w:rPr>
          <w:rFonts w:ascii="Traditional Arabic" w:hAnsi="Traditional Arabic" w:hint="cs"/>
          <w:noProof w:val="0"/>
          <w:rtl/>
          <w:lang w:eastAsia="en-US"/>
        </w:rPr>
        <w:t>ُ</w:t>
      </w:r>
      <w:r w:rsidRPr="0048508D">
        <w:rPr>
          <w:rFonts w:ascii="Traditional Arabic" w:hAnsi="Traditional Arabic"/>
          <w:noProof w:val="0"/>
          <w:rtl/>
          <w:lang w:eastAsia="en-US"/>
        </w:rPr>
        <w:t>خ</w:t>
      </w:r>
      <w:r w:rsidRPr="0048508D">
        <w:rPr>
          <w:rFonts w:ascii="Traditional Arabic" w:hAnsi="Traditional Arabic" w:hint="cs"/>
          <w:noProof w:val="0"/>
          <w:rtl/>
          <w:lang w:eastAsia="en-US"/>
        </w:rPr>
        <w:t>َ</w:t>
      </w:r>
      <w:r w:rsidRPr="0048508D">
        <w:rPr>
          <w:rFonts w:ascii="Traditional Arabic" w:hAnsi="Traditional Arabic"/>
          <w:noProof w:val="0"/>
          <w:rtl/>
          <w:lang w:eastAsia="en-US"/>
        </w:rPr>
        <w:t>ي</w:t>
      </w:r>
      <w:r w:rsidRPr="0048508D">
        <w:rPr>
          <w:rFonts w:ascii="Traditional Arabic" w:hAnsi="Traditional Arabic" w:hint="cs"/>
          <w:noProof w:val="0"/>
          <w:rtl/>
          <w:lang w:eastAsia="en-US"/>
        </w:rPr>
        <w:t>َّ</w:t>
      </w:r>
      <w:r w:rsidRPr="0048508D">
        <w:rPr>
          <w:rFonts w:ascii="Traditional Arabic" w:hAnsi="Traditional Arabic"/>
          <w:noProof w:val="0"/>
          <w:rtl/>
          <w:lang w:eastAsia="en-US"/>
        </w:rPr>
        <w:t>ل إليه أنه يجد</w:t>
      </w:r>
      <w:r w:rsidRPr="0048508D">
        <w:rPr>
          <w:rFonts w:ascii="Traditional Arabic" w:hAnsi="Traditional Arabic" w:hint="cs"/>
          <w:noProof w:val="0"/>
          <w:rtl/>
          <w:lang w:eastAsia="en-US"/>
        </w:rPr>
        <w:t>ُ</w:t>
      </w:r>
      <w:r w:rsidRPr="0048508D">
        <w:rPr>
          <w:rFonts w:ascii="Traditional Arabic" w:hAnsi="Traditional Arabic"/>
          <w:noProof w:val="0"/>
          <w:rtl/>
          <w:lang w:eastAsia="en-US"/>
        </w:rPr>
        <w:t xml:space="preserve"> الشيء</w:t>
      </w:r>
      <w:r w:rsidRPr="0048508D">
        <w:rPr>
          <w:rFonts w:ascii="Traditional Arabic" w:hAnsi="Traditional Arabic" w:hint="cs"/>
          <w:noProof w:val="0"/>
          <w:rtl/>
          <w:lang w:eastAsia="en-US"/>
        </w:rPr>
        <w:t>َ</w:t>
      </w:r>
      <w:r w:rsidR="00C86D3D">
        <w:rPr>
          <w:rFonts w:ascii="Traditional Arabic" w:hAnsi="Traditional Arabic"/>
          <w:noProof w:val="0"/>
          <w:rtl/>
          <w:lang w:eastAsia="en-US"/>
        </w:rPr>
        <w:t xml:space="preserve"> في الصلاة قال</w:t>
      </w:r>
      <w:r w:rsidRPr="0048508D">
        <w:rPr>
          <w:rFonts w:ascii="Traditional Arabic" w:hAnsi="Traditional Arabic"/>
          <w:noProof w:val="0"/>
          <w:rtl/>
          <w:lang w:eastAsia="en-US"/>
        </w:rPr>
        <w:t>:</w:t>
      </w:r>
      <w:r w:rsidR="00C86D3D">
        <w:rPr>
          <w:rFonts w:ascii="Traditional Arabic" w:hAnsi="Traditional Arabic" w:hint="cs"/>
          <w:noProof w:val="0"/>
          <w:rtl/>
          <w:lang w:eastAsia="en-US"/>
        </w:rPr>
        <w:t xml:space="preserve"> </w:t>
      </w:r>
      <w:r w:rsidRPr="0048508D">
        <w:rPr>
          <w:rFonts w:ascii="Traditional Arabic" w:hAnsi="Traditional Arabic"/>
          <w:noProof w:val="0"/>
          <w:rtl/>
          <w:lang w:eastAsia="en-US"/>
        </w:rPr>
        <w:t xml:space="preserve">"لا ينصرف </w:t>
      </w:r>
    </w:p>
    <w:p w:rsidR="00D82122" w:rsidRPr="00C86D3D" w:rsidRDefault="00D82122" w:rsidP="00C86D3D">
      <w:pPr>
        <w:widowControl/>
        <w:autoSpaceDE w:val="0"/>
        <w:autoSpaceDN w:val="0"/>
        <w:adjustRightInd w:val="0"/>
        <w:ind w:firstLine="0"/>
        <w:rPr>
          <w:rFonts w:ascii="Simplified Arabic" w:hAnsi="Simplified Arabic" w:cs="Simplified Arabic"/>
          <w:noProof w:val="0"/>
          <w:color w:val="000000" w:themeColor="text1"/>
          <w:rtl/>
          <w:lang w:eastAsia="en-US"/>
        </w:rPr>
      </w:pPr>
      <w:r w:rsidRPr="0048508D">
        <w:rPr>
          <w:rFonts w:ascii="Traditional Arabic" w:hAnsi="Traditional Arabic"/>
          <w:noProof w:val="0"/>
          <w:rtl/>
          <w:lang w:eastAsia="en-US"/>
        </w:rPr>
        <w:lastRenderedPageBreak/>
        <w:t>حتى يسمع صوتا</w:t>
      </w:r>
      <w:r w:rsidRPr="0048508D">
        <w:rPr>
          <w:rFonts w:ascii="Traditional Arabic" w:hAnsi="Traditional Arabic" w:hint="cs"/>
          <w:noProof w:val="0"/>
          <w:rtl/>
          <w:lang w:eastAsia="en-US"/>
        </w:rPr>
        <w:t xml:space="preserve">ً </w:t>
      </w:r>
      <w:r w:rsidRPr="0048508D">
        <w:rPr>
          <w:rFonts w:ascii="Traditional Arabic" w:hAnsi="Traditional Arabic"/>
          <w:noProof w:val="0"/>
          <w:rtl/>
          <w:lang w:eastAsia="en-US"/>
        </w:rPr>
        <w:t>أو يجد</w:t>
      </w:r>
      <w:r>
        <w:rPr>
          <w:rFonts w:ascii="Traditional Arabic" w:hAnsi="Traditional Arabic" w:hint="cs"/>
          <w:noProof w:val="0"/>
          <w:rtl/>
          <w:lang w:eastAsia="en-US"/>
        </w:rPr>
        <w:t xml:space="preserve"> </w:t>
      </w:r>
      <w:r w:rsidRPr="0048508D">
        <w:rPr>
          <w:rFonts w:ascii="Traditional Arabic" w:hAnsi="Traditional Arabic"/>
          <w:noProof w:val="0"/>
          <w:rtl/>
          <w:lang w:eastAsia="en-US"/>
        </w:rPr>
        <w:t>ريحاً</w:t>
      </w:r>
      <w:r w:rsidR="00AB0B9E" w:rsidRPr="0048508D">
        <w:rPr>
          <w:rFonts w:ascii="Traditional Arabic" w:hAnsi="Traditional Arabic"/>
          <w:noProof w:val="0"/>
          <w:lang w:eastAsia="en-US"/>
        </w:rPr>
        <w:fldChar w:fldCharType="begin"/>
      </w:r>
      <w:r w:rsidRPr="00C85F0F">
        <w:instrText>XE</w:instrText>
      </w:r>
      <w:r w:rsidRPr="00C85F0F">
        <w:rPr>
          <w:rtl/>
        </w:rPr>
        <w:instrText xml:space="preserve"> "</w:instrText>
      </w:r>
      <w:r w:rsidRPr="0048508D">
        <w:rPr>
          <w:rFonts w:ascii="Traditional Arabic" w:hAnsi="Traditional Arabic"/>
          <w:noProof w:val="0"/>
          <w:rtl/>
          <w:lang w:eastAsia="en-US"/>
        </w:rPr>
        <w:instrText>لا ينصرف حتى يسمع صوتاأو يجدريحا</w:instrText>
      </w:r>
      <w:r w:rsidRPr="00C85F0F">
        <w:rPr>
          <w:rtl/>
        </w:rPr>
        <w:instrText>" \</w:instrText>
      </w:r>
      <w:r w:rsidRPr="00C85F0F">
        <w:instrText>fh</w:instrText>
      </w:r>
      <w:r w:rsidR="00AB0B9E" w:rsidRPr="0048508D">
        <w:rPr>
          <w:rFonts w:ascii="Traditional Arabic" w:hAnsi="Traditional Arabic"/>
          <w:noProof w:val="0"/>
          <w:lang w:eastAsia="en-US"/>
        </w:rPr>
        <w:fldChar w:fldCharType="end"/>
      </w:r>
      <w:r w:rsidRPr="0048508D">
        <w:rPr>
          <w:rFonts w:ascii="Traditional Arabic" w:hAnsi="Traditional Arabic"/>
          <w:noProof w:val="0"/>
          <w:rtl/>
          <w:lang w:eastAsia="en-US"/>
        </w:rPr>
        <w:t>"</w:t>
      </w:r>
      <w:r w:rsidRPr="0048508D">
        <w:rPr>
          <w:rStyle w:val="af1"/>
          <w:szCs w:val="32"/>
          <w:rtl/>
        </w:rPr>
        <w:t>(</w:t>
      </w:r>
      <w:r w:rsidRPr="00C821A1">
        <w:rPr>
          <w:rStyle w:val="af1"/>
          <w:szCs w:val="32"/>
          <w:rtl/>
        </w:rPr>
        <w:footnoteReference w:id="162"/>
      </w:r>
      <w:r w:rsidRPr="0048508D">
        <w:rPr>
          <w:rStyle w:val="af1"/>
          <w:szCs w:val="32"/>
          <w:rtl/>
        </w:rPr>
        <w:t>)</w:t>
      </w:r>
      <w:r w:rsidR="00C86D3D">
        <w:rPr>
          <w:rFonts w:hint="cs"/>
          <w:rtl/>
        </w:rPr>
        <w:t>،</w:t>
      </w:r>
      <w:r w:rsidR="00C86D3D">
        <w:rPr>
          <w:rFonts w:ascii="Simplified Arabic" w:hAnsi="Simplified Arabic" w:cs="Simplified Arabic" w:hint="cs"/>
          <w:noProof w:val="0"/>
          <w:color w:val="000000" w:themeColor="text1"/>
          <w:rtl/>
          <w:lang w:eastAsia="en-US"/>
        </w:rPr>
        <w:t xml:space="preserve"> </w:t>
      </w:r>
      <w:r w:rsidR="00C86D3D">
        <w:rPr>
          <w:rFonts w:hint="cs"/>
          <w:rtl/>
        </w:rPr>
        <w:t xml:space="preserve">ذكر الشيخ_ رحمه الله_ </w:t>
      </w:r>
      <w:r>
        <w:rPr>
          <w:rFonts w:hint="cs"/>
          <w:rtl/>
        </w:rPr>
        <w:t xml:space="preserve">أن النبي </w:t>
      </w:r>
      <w:r w:rsidRPr="00AF1D02">
        <w:rPr>
          <w:rFonts w:cs="CTraditional Arabic" w:hint="cs"/>
          <w:color w:val="auto"/>
          <w:rtl/>
        </w:rPr>
        <w:t>&gt;</w:t>
      </w:r>
      <w:r>
        <w:rPr>
          <w:rFonts w:hint="cs"/>
          <w:rtl/>
        </w:rPr>
        <w:t xml:space="preserve"> أرشد عبد الله بن زيد _</w:t>
      </w:r>
      <w:r w:rsidRPr="00AF1D02">
        <w:rPr>
          <w:rFonts w:cs="CTraditional Arabic" w:hint="cs"/>
          <w:color w:val="auto"/>
          <w:rtl/>
        </w:rPr>
        <w:t>ط</w:t>
      </w:r>
      <w:r>
        <w:rPr>
          <w:rFonts w:hint="cs"/>
          <w:rtl/>
        </w:rPr>
        <w:t xml:space="preserve">_ إلى </w:t>
      </w:r>
      <w:r w:rsidR="00C86D3D">
        <w:rPr>
          <w:rFonts w:hint="cs"/>
          <w:rtl/>
        </w:rPr>
        <w:t>البناء على الأصل الأول:</w:t>
      </w:r>
      <w:r>
        <w:rPr>
          <w:rFonts w:hint="cs"/>
          <w:rtl/>
        </w:rPr>
        <w:t xml:space="preserve"> وهو الطهارة، وأن يبقى في صلاته، فلا ينصرف حتى يتيقَّن زوال الطهارة بسماع الحدَث أو شَمِّ الريح.</w:t>
      </w:r>
    </w:p>
    <w:p w:rsidR="006F08E1" w:rsidRPr="00D82122" w:rsidRDefault="00C86D3D" w:rsidP="00C86D3D">
      <w:pPr>
        <w:rPr>
          <w:rtl/>
        </w:rPr>
      </w:pPr>
      <w:r>
        <w:rPr>
          <w:rFonts w:hint="cs"/>
          <w:rtl/>
        </w:rPr>
        <w:t>ثم ذكر من فوائد هذا الحديث</w:t>
      </w:r>
      <w:r w:rsidR="00D82122">
        <w:rPr>
          <w:rFonts w:hint="cs"/>
          <w:rtl/>
        </w:rPr>
        <w:t xml:space="preserve"> أن</w:t>
      </w:r>
      <w:r w:rsidR="00D82122" w:rsidRPr="00AF1D02">
        <w:rPr>
          <w:rFonts w:hint="cs"/>
          <w:b/>
          <w:bCs/>
          <w:rtl/>
        </w:rPr>
        <w:t xml:space="preserve"> </w:t>
      </w:r>
      <w:r w:rsidR="00D82122" w:rsidRPr="0048508D">
        <w:rPr>
          <w:rFonts w:hint="cs"/>
          <w:rtl/>
        </w:rPr>
        <w:t>الأصل بقاء الشيء على ما كان عليه</w:t>
      </w:r>
      <w:r w:rsidR="00D82122" w:rsidRPr="00C821A1">
        <w:rPr>
          <w:rStyle w:val="af1"/>
          <w:szCs w:val="32"/>
          <w:rtl/>
        </w:rPr>
        <w:t>(</w:t>
      </w:r>
      <w:r w:rsidR="00D82122" w:rsidRPr="00C821A1">
        <w:rPr>
          <w:rStyle w:val="af1"/>
          <w:szCs w:val="32"/>
          <w:rtl/>
        </w:rPr>
        <w:footnoteReference w:id="163"/>
      </w:r>
      <w:r w:rsidR="00D82122" w:rsidRPr="00C821A1">
        <w:rPr>
          <w:rStyle w:val="af1"/>
          <w:szCs w:val="32"/>
          <w:rtl/>
        </w:rPr>
        <w:t>)</w:t>
      </w:r>
      <w:r w:rsidR="00D82122">
        <w:rPr>
          <w:rFonts w:hint="cs"/>
          <w:rtl/>
        </w:rPr>
        <w:t>.</w:t>
      </w:r>
      <w:r w:rsidR="006F08E1" w:rsidRPr="009B6C13">
        <w:rPr>
          <w:rFonts w:ascii="Traditional Arabic" w:hAnsi="Traditional Arabic"/>
          <w:rtl/>
        </w:rPr>
        <w:t xml:space="preserve"> </w:t>
      </w:r>
    </w:p>
    <w:p w:rsidR="00F228A9" w:rsidRPr="009B6C13" w:rsidRDefault="0040539A" w:rsidP="00597C20">
      <w:pPr>
        <w:pStyle w:val="53"/>
        <w:rPr>
          <w:rtl/>
        </w:rPr>
      </w:pPr>
      <w:r>
        <w:rPr>
          <w:rtl/>
        </w:rPr>
        <w:t>(</w:t>
      </w:r>
      <w:r>
        <w:rPr>
          <w:rFonts w:hint="cs"/>
          <w:rtl/>
        </w:rPr>
        <w:t>ج</w:t>
      </w:r>
      <w:r w:rsidR="006F08E1" w:rsidRPr="009B6C13">
        <w:rPr>
          <w:rtl/>
        </w:rPr>
        <w:t>) الاستدلال للقواعد بالكتاب والسنة :</w:t>
      </w:r>
    </w:p>
    <w:p w:rsidR="00961695" w:rsidRDefault="006F08E1" w:rsidP="00B75E09">
      <w:pPr>
        <w:spacing w:line="640" w:lineRule="exact"/>
        <w:jc w:val="lowKashida"/>
        <w:rPr>
          <w:rFonts w:ascii="Traditional Arabic" w:hAnsi="Traditional Arabic"/>
          <w:rtl/>
        </w:rPr>
      </w:pPr>
      <w:r w:rsidRPr="009B6C13">
        <w:rPr>
          <w:rFonts w:ascii="Traditional Arabic" w:hAnsi="Traditional Arabic"/>
          <w:rtl/>
        </w:rPr>
        <w:t xml:space="preserve">حَرِص الشيخ ابن عثيمين </w:t>
      </w:r>
      <w:r w:rsidR="009A0575" w:rsidRPr="005D5694">
        <w:rPr>
          <w:rFonts w:ascii="Traditional Arabic" w:hAnsi="Traditional Arabic" w:cs="CTraditional Arabic" w:hint="cs"/>
          <w:rtl/>
        </w:rPr>
        <w:t>/</w:t>
      </w:r>
      <w:r w:rsidR="00B75E09">
        <w:rPr>
          <w:rFonts w:ascii="Traditional Arabic" w:hAnsi="Traditional Arabic"/>
          <w:rtl/>
        </w:rPr>
        <w:t xml:space="preserve"> عند ذكره للقواعد</w:t>
      </w:r>
      <w:r w:rsidR="00B76414">
        <w:rPr>
          <w:rFonts w:ascii="Traditional Arabic" w:hAnsi="Traditional Arabic"/>
          <w:rtl/>
        </w:rPr>
        <w:t>،</w:t>
      </w:r>
      <w:r w:rsidRPr="009B6C13">
        <w:rPr>
          <w:rFonts w:ascii="Traditional Arabic" w:hAnsi="Traditional Arabic"/>
          <w:rtl/>
        </w:rPr>
        <w:t xml:space="preserve"> أن يستشهد لها بعدد من نصوص الكتاب والسنة</w:t>
      </w:r>
      <w:r w:rsidR="00B76414">
        <w:rPr>
          <w:rFonts w:ascii="Traditional Arabic" w:hAnsi="Traditional Arabic"/>
          <w:rtl/>
        </w:rPr>
        <w:t>،</w:t>
      </w:r>
      <w:r w:rsidRPr="009B6C13">
        <w:rPr>
          <w:rFonts w:ascii="Traditional Arabic" w:hAnsi="Traditional Arabic"/>
          <w:rtl/>
        </w:rPr>
        <w:t xml:space="preserve"> فلا يكاد يذكر قاعدة</w:t>
      </w:r>
      <w:r w:rsidR="00CC3EE2">
        <w:rPr>
          <w:rFonts w:ascii="Traditional Arabic" w:hAnsi="Traditional Arabic" w:hint="cs"/>
          <w:rtl/>
        </w:rPr>
        <w:t>ً</w:t>
      </w:r>
      <w:r w:rsidRPr="009B6C13">
        <w:rPr>
          <w:rFonts w:ascii="Traditional Arabic" w:hAnsi="Traditional Arabic"/>
          <w:rtl/>
        </w:rPr>
        <w:t xml:space="preserve"> إلا ويعضِّدها بتلك النصوص</w:t>
      </w:r>
      <w:r w:rsidR="00B76414">
        <w:rPr>
          <w:rFonts w:ascii="Traditional Arabic" w:hAnsi="Traditional Arabic"/>
          <w:rtl/>
        </w:rPr>
        <w:t>،</w:t>
      </w:r>
      <w:r w:rsidRPr="009B6C13">
        <w:rPr>
          <w:rFonts w:ascii="Traditional Arabic" w:hAnsi="Traditional Arabic"/>
          <w:rtl/>
        </w:rPr>
        <w:t xml:space="preserve"> مما يؤكد صحة القاعدة</w:t>
      </w:r>
      <w:r w:rsidR="00B76414">
        <w:rPr>
          <w:rFonts w:ascii="Traditional Arabic" w:hAnsi="Traditional Arabic"/>
          <w:rtl/>
        </w:rPr>
        <w:t>،</w:t>
      </w:r>
      <w:r w:rsidRPr="009B6C13">
        <w:rPr>
          <w:rFonts w:ascii="Traditional Arabic" w:hAnsi="Traditional Arabic"/>
          <w:rtl/>
        </w:rPr>
        <w:t xml:space="preserve"> وارتباطها بالدليل</w:t>
      </w:r>
      <w:r w:rsidR="00B76414">
        <w:rPr>
          <w:rFonts w:ascii="Traditional Arabic" w:hAnsi="Traditional Arabic"/>
          <w:rtl/>
        </w:rPr>
        <w:t>.</w:t>
      </w:r>
      <w:r w:rsidRPr="009B6C13">
        <w:rPr>
          <w:rFonts w:ascii="Traditional Arabic" w:hAnsi="Traditional Arabic"/>
          <w:rtl/>
        </w:rPr>
        <w:t xml:space="preserve"> وخير شاهد على ذلك</w:t>
      </w:r>
      <w:r w:rsidR="00B76414">
        <w:rPr>
          <w:rFonts w:ascii="Traditional Arabic" w:hAnsi="Traditional Arabic"/>
          <w:rtl/>
        </w:rPr>
        <w:t>،</w:t>
      </w:r>
      <w:r w:rsidRPr="009B6C13">
        <w:rPr>
          <w:rFonts w:ascii="Traditional Arabic" w:hAnsi="Traditional Arabic"/>
          <w:rtl/>
        </w:rPr>
        <w:t xml:space="preserve"> ما نجده واضحاً جلياً في شرحه على منظومته في أصول الفقه وقواعده</w:t>
      </w:r>
      <w:r w:rsidR="00B76414">
        <w:rPr>
          <w:rFonts w:ascii="Traditional Arabic" w:hAnsi="Traditional Arabic"/>
          <w:rtl/>
        </w:rPr>
        <w:t>،</w:t>
      </w:r>
      <w:r w:rsidRPr="009B6C13">
        <w:rPr>
          <w:rFonts w:ascii="Traditional Arabic" w:hAnsi="Traditional Arabic"/>
          <w:rtl/>
        </w:rPr>
        <w:t xml:space="preserve"> حيث</w:t>
      </w:r>
      <w:r w:rsidR="00961695">
        <w:rPr>
          <w:rFonts w:ascii="Traditional Arabic" w:hAnsi="Traditional Arabic" w:hint="cs"/>
          <w:rtl/>
        </w:rPr>
        <w:t xml:space="preserve"> كان _في الغالب_</w:t>
      </w:r>
      <w:r w:rsidRPr="009B6C13">
        <w:rPr>
          <w:rFonts w:ascii="Traditional Arabic" w:hAnsi="Traditional Arabic"/>
          <w:rtl/>
        </w:rPr>
        <w:t xml:space="preserve"> لا ي</w:t>
      </w:r>
      <w:r w:rsidR="00CC3EE2">
        <w:rPr>
          <w:rFonts w:ascii="Traditional Arabic" w:hAnsi="Traditional Arabic" w:hint="cs"/>
          <w:rtl/>
        </w:rPr>
        <w:t>َ</w:t>
      </w:r>
      <w:r w:rsidRPr="009B6C13">
        <w:rPr>
          <w:rFonts w:ascii="Traditional Arabic" w:hAnsi="Traditional Arabic"/>
          <w:rtl/>
        </w:rPr>
        <w:t>عر</w:t>
      </w:r>
      <w:r w:rsidR="00CC3EE2">
        <w:rPr>
          <w:rFonts w:ascii="Traditional Arabic" w:hAnsi="Traditional Arabic" w:hint="cs"/>
          <w:rtl/>
        </w:rPr>
        <w:t>ِ</w:t>
      </w:r>
      <w:r w:rsidRPr="009B6C13">
        <w:rPr>
          <w:rFonts w:ascii="Traditional Arabic" w:hAnsi="Traditional Arabic"/>
          <w:rtl/>
        </w:rPr>
        <w:t>ض القواعد عارية</w:t>
      </w:r>
      <w:r w:rsidR="00CC3EE2">
        <w:rPr>
          <w:rFonts w:ascii="Traditional Arabic" w:hAnsi="Traditional Arabic" w:hint="cs"/>
          <w:rtl/>
        </w:rPr>
        <w:t>ً</w:t>
      </w:r>
      <w:r w:rsidRPr="009B6C13">
        <w:rPr>
          <w:rFonts w:ascii="Traditional Arabic" w:hAnsi="Traditional Arabic"/>
          <w:rtl/>
        </w:rPr>
        <w:t xml:space="preserve"> عن الدليل</w:t>
      </w:r>
      <w:r w:rsidR="00B76414">
        <w:rPr>
          <w:rFonts w:ascii="Traditional Arabic" w:hAnsi="Traditional Arabic"/>
          <w:rtl/>
        </w:rPr>
        <w:t>،</w:t>
      </w:r>
      <w:r w:rsidRPr="009B6C13">
        <w:rPr>
          <w:rFonts w:ascii="Traditional Arabic" w:hAnsi="Traditional Arabic"/>
          <w:rtl/>
        </w:rPr>
        <w:t xml:space="preserve"> بل إنه يسوق لكل قاعدة من القواعد التي يذكرها من الأدلة والبراهين من الكتاب والسنة والآثار ما يعضِّدها ويكشـــف النقاب عنها</w:t>
      </w:r>
      <w:r w:rsidR="00B76414">
        <w:rPr>
          <w:rFonts w:ascii="Traditional Arabic" w:hAnsi="Traditional Arabic"/>
          <w:rtl/>
        </w:rPr>
        <w:t>،</w:t>
      </w:r>
      <w:r w:rsidRPr="009B6C13">
        <w:rPr>
          <w:rFonts w:ascii="Traditional Arabic" w:hAnsi="Traditional Arabic"/>
          <w:rtl/>
        </w:rPr>
        <w:t xml:space="preserve"> ويؤكد صحتها وقوة دلالتها</w:t>
      </w:r>
      <w:r w:rsidR="00961695">
        <w:rPr>
          <w:rFonts w:ascii="Traditional Arabic" w:hAnsi="Traditional Arabic" w:hint="cs"/>
          <w:rtl/>
        </w:rPr>
        <w:t>.</w:t>
      </w:r>
      <w:r w:rsidRPr="009B6C13">
        <w:rPr>
          <w:rFonts w:ascii="Traditional Arabic" w:hAnsi="Traditional Arabic"/>
          <w:rtl/>
        </w:rPr>
        <w:t xml:space="preserve"> </w:t>
      </w:r>
    </w:p>
    <w:p w:rsidR="006F08E1" w:rsidRDefault="00961695" w:rsidP="00961695">
      <w:pPr>
        <w:spacing w:line="640" w:lineRule="exact"/>
        <w:ind w:firstLine="0"/>
        <w:jc w:val="lowKashida"/>
        <w:rPr>
          <w:rFonts w:ascii="Traditional Arabic" w:hAnsi="Traditional Arabic"/>
          <w:b/>
          <w:bCs/>
          <w:rtl/>
        </w:rPr>
      </w:pPr>
      <w:r>
        <w:rPr>
          <w:rFonts w:ascii="Traditional Arabic" w:hAnsi="Traditional Arabic" w:hint="cs"/>
          <w:rtl/>
        </w:rPr>
        <w:t xml:space="preserve">    </w:t>
      </w:r>
      <w:r w:rsidR="006F08E1" w:rsidRPr="009B6C13">
        <w:rPr>
          <w:rFonts w:ascii="Traditional Arabic" w:hAnsi="Traditional Arabic"/>
          <w:rtl/>
        </w:rPr>
        <w:t>ومن أمثلة ذلك</w:t>
      </w:r>
      <w:r w:rsidR="00B76414">
        <w:rPr>
          <w:rFonts w:ascii="Traditional Arabic" w:hAnsi="Traditional Arabic"/>
          <w:rtl/>
        </w:rPr>
        <w:t>،</w:t>
      </w:r>
      <w:r w:rsidR="006F08E1" w:rsidRPr="009B6C13">
        <w:rPr>
          <w:rFonts w:ascii="Traditional Arabic" w:hAnsi="Traditional Arabic"/>
          <w:rtl/>
        </w:rPr>
        <w:t xml:space="preserve"> قولــه – </w:t>
      </w:r>
      <w:r w:rsidR="009A0575" w:rsidRPr="005D5694">
        <w:rPr>
          <w:rFonts w:ascii="Traditional Arabic" w:hAnsi="Traditional Arabic" w:cs="CTraditional Arabic" w:hint="cs"/>
          <w:rtl/>
        </w:rPr>
        <w:t>/</w:t>
      </w:r>
      <w:r w:rsidR="006F08E1" w:rsidRPr="009B6C13">
        <w:rPr>
          <w:rFonts w:ascii="Traditional Arabic" w:hAnsi="Traditional Arabic"/>
          <w:rtl/>
        </w:rPr>
        <w:t xml:space="preserve"> – في قاعدة "الق</w:t>
      </w:r>
      <w:r w:rsidR="00C86D3D">
        <w:rPr>
          <w:rFonts w:ascii="Traditional Arabic" w:hAnsi="Traditional Arabic" w:hint="cs"/>
          <w:rtl/>
        </w:rPr>
        <w:t>ُ</w:t>
      </w:r>
      <w:r w:rsidR="006F08E1" w:rsidRPr="009B6C13">
        <w:rPr>
          <w:rFonts w:ascii="Traditional Arabic" w:hAnsi="Traditional Arabic"/>
          <w:rtl/>
        </w:rPr>
        <w:t>رعــة" : (وهذه القاعدة مأخوذة من الكتاب والسنة</w:t>
      </w:r>
      <w:r w:rsidR="00B76414">
        <w:rPr>
          <w:rFonts w:ascii="Traditional Arabic" w:hAnsi="Traditional Arabic"/>
          <w:rtl/>
        </w:rPr>
        <w:t>،</w:t>
      </w:r>
      <w:r w:rsidR="006F08E1" w:rsidRPr="009B6C13">
        <w:rPr>
          <w:rFonts w:ascii="Traditional Arabic" w:hAnsi="Traditional Arabic"/>
          <w:rtl/>
        </w:rPr>
        <w:t xml:space="preserve"> أما الكتاب : فإن الله تعالى ذكر القرعة في موضعين من كتابه</w:t>
      </w:r>
      <w:r w:rsidR="00B76414">
        <w:rPr>
          <w:rFonts w:ascii="Traditional Arabic" w:hAnsi="Traditional Arabic"/>
          <w:rtl/>
        </w:rPr>
        <w:t>.</w:t>
      </w:r>
      <w:r w:rsidR="006F08E1" w:rsidRPr="009B6C13">
        <w:rPr>
          <w:rFonts w:ascii="Traditional Arabic" w:hAnsi="Traditional Arabic"/>
          <w:rtl/>
        </w:rPr>
        <w:t>.. وأما السنة : فقد جاءت القرعة في ستة مواضع</w:t>
      </w:r>
      <w:r w:rsidR="00B76414">
        <w:rPr>
          <w:rFonts w:ascii="Traditional Arabic" w:hAnsi="Traditional Arabic"/>
          <w:rtl/>
        </w:rPr>
        <w:t>.</w:t>
      </w:r>
      <w:r w:rsidR="006F08E1" w:rsidRPr="009B6C13">
        <w:rPr>
          <w:rFonts w:ascii="Traditional Arabic" w:hAnsi="Traditional Arabic"/>
          <w:rtl/>
        </w:rPr>
        <w:t>..)</w:t>
      </w:r>
      <w:r w:rsidR="006F08E1" w:rsidRPr="00C821A1">
        <w:rPr>
          <w:rFonts w:ascii="Traditional Arabic" w:hAnsi="Traditional Arabic"/>
          <w:szCs w:val="32"/>
          <w:vertAlign w:val="superscript"/>
          <w:rtl/>
        </w:rPr>
        <w:t>(</w:t>
      </w:r>
      <w:r w:rsidR="006F08E1" w:rsidRPr="00C821A1">
        <w:rPr>
          <w:rStyle w:val="af1"/>
          <w:rFonts w:ascii="Traditional Arabic" w:hAnsi="Traditional Arabic"/>
          <w:szCs w:val="32"/>
          <w:rtl/>
        </w:rPr>
        <w:footnoteReference w:id="164"/>
      </w:r>
      <w:r w:rsidR="006F08E1" w:rsidRPr="00C821A1">
        <w:rPr>
          <w:rFonts w:ascii="Traditional Arabic" w:hAnsi="Traditional Arabic"/>
          <w:szCs w:val="32"/>
          <w:vertAlign w:val="superscript"/>
          <w:rtl/>
        </w:rPr>
        <w:t>)</w:t>
      </w:r>
      <w:r w:rsidR="00B76414">
        <w:rPr>
          <w:rFonts w:ascii="Traditional Arabic" w:hAnsi="Traditional Arabic"/>
          <w:rtl/>
        </w:rPr>
        <w:t>.</w:t>
      </w:r>
      <w:r w:rsidR="006F08E1" w:rsidRPr="009B6C13">
        <w:rPr>
          <w:rFonts w:ascii="Traditional Arabic" w:hAnsi="Traditional Arabic"/>
          <w:rtl/>
        </w:rPr>
        <w:t xml:space="preserve"> </w:t>
      </w:r>
    </w:p>
    <w:p w:rsidR="001F5C0A" w:rsidRDefault="00961695" w:rsidP="001F5C0A">
      <w:pPr>
        <w:widowControl/>
        <w:autoSpaceDE w:val="0"/>
        <w:autoSpaceDN w:val="0"/>
        <w:adjustRightInd w:val="0"/>
        <w:ind w:firstLine="0"/>
        <w:jc w:val="left"/>
        <w:rPr>
          <w:rFonts w:ascii="Traditional Arabic" w:hAnsi="Traditional Arabic"/>
          <w:b/>
          <w:bCs/>
          <w:noProof w:val="0"/>
          <w:color w:val="auto"/>
          <w:sz w:val="44"/>
          <w:szCs w:val="44"/>
          <w:rtl/>
          <w:lang w:eastAsia="en-US"/>
        </w:rPr>
      </w:pPr>
      <w:r>
        <w:rPr>
          <w:rFonts w:ascii="Traditional Arabic" w:hAnsi="Traditional Arabic" w:hint="cs"/>
          <w:rtl/>
        </w:rPr>
        <w:lastRenderedPageBreak/>
        <w:t xml:space="preserve">    </w:t>
      </w:r>
      <w:r w:rsidR="001F5C0A">
        <w:rPr>
          <w:rFonts w:ascii="Traditional Arabic" w:hAnsi="Traditional Arabic" w:hint="cs"/>
          <w:rtl/>
        </w:rPr>
        <w:t>وق</w:t>
      </w:r>
      <w:r>
        <w:rPr>
          <w:rFonts w:ascii="Traditional Arabic" w:hAnsi="Traditional Arabic" w:hint="cs"/>
          <w:rtl/>
        </w:rPr>
        <w:t>و</w:t>
      </w:r>
      <w:r w:rsidR="001F5C0A">
        <w:rPr>
          <w:rFonts w:ascii="Traditional Arabic" w:hAnsi="Traditional Arabic" w:hint="cs"/>
          <w:rtl/>
        </w:rPr>
        <w:t>ل</w:t>
      </w:r>
      <w:r>
        <w:rPr>
          <w:rFonts w:ascii="Traditional Arabic" w:hAnsi="Traditional Arabic" w:hint="cs"/>
          <w:rtl/>
        </w:rPr>
        <w:t>ه</w:t>
      </w:r>
      <w:r w:rsidR="001F5C0A">
        <w:rPr>
          <w:rFonts w:ascii="Traditional Arabic" w:hAnsi="Traditional Arabic" w:hint="cs"/>
          <w:rtl/>
        </w:rPr>
        <w:t xml:space="preserve"> عن</w:t>
      </w:r>
      <w:r>
        <w:rPr>
          <w:rFonts w:ascii="Traditional Arabic" w:hAnsi="Traditional Arabic" w:hint="cs"/>
          <w:rtl/>
        </w:rPr>
        <w:t>د</w:t>
      </w:r>
      <w:r w:rsidR="001F5C0A">
        <w:rPr>
          <w:rFonts w:ascii="Traditional Arabic" w:hAnsi="Traditional Arabic" w:hint="cs"/>
          <w:rtl/>
        </w:rPr>
        <w:t xml:space="preserve"> ذكر قاعدة الأصل في الأطعمة الحل: (</w:t>
      </w:r>
      <w:r w:rsidR="001F5C0A" w:rsidRPr="001F5C0A">
        <w:rPr>
          <w:rFonts w:ascii="Traditional Arabic" w:hAnsi="Traditional Arabic"/>
          <w:noProof w:val="0"/>
          <w:rtl/>
          <w:lang w:eastAsia="en-US"/>
        </w:rPr>
        <w:t>وهذا أمر م</w:t>
      </w:r>
      <w:r w:rsidR="00C86D3D">
        <w:rPr>
          <w:rFonts w:ascii="Traditional Arabic" w:hAnsi="Traditional Arabic" w:hint="cs"/>
          <w:noProof w:val="0"/>
          <w:rtl/>
          <w:lang w:eastAsia="en-US"/>
        </w:rPr>
        <w:t>ُ</w:t>
      </w:r>
      <w:r w:rsidR="001F5C0A" w:rsidRPr="001F5C0A">
        <w:rPr>
          <w:rFonts w:ascii="Traditional Arabic" w:hAnsi="Traditional Arabic"/>
          <w:noProof w:val="0"/>
          <w:rtl/>
          <w:lang w:eastAsia="en-US"/>
        </w:rPr>
        <w:t>جمع</w:t>
      </w:r>
      <w:r w:rsidR="00C86D3D">
        <w:rPr>
          <w:rFonts w:ascii="Traditional Arabic" w:hAnsi="Traditional Arabic" w:hint="cs"/>
          <w:noProof w:val="0"/>
          <w:rtl/>
          <w:lang w:eastAsia="en-US"/>
        </w:rPr>
        <w:t>ٌ</w:t>
      </w:r>
      <w:r w:rsidR="001F5C0A" w:rsidRPr="001F5C0A">
        <w:rPr>
          <w:rFonts w:ascii="Traditional Arabic" w:hAnsi="Traditional Arabic"/>
          <w:noProof w:val="0"/>
          <w:rtl/>
          <w:lang w:eastAsia="en-US"/>
        </w:rPr>
        <w:t xml:space="preserve"> عليه، </w:t>
      </w:r>
      <w:r w:rsidR="001F5C0A" w:rsidRPr="001F5C0A">
        <w:rPr>
          <w:rFonts w:ascii="Traditional Arabic" w:hAnsi="Traditional Arabic"/>
          <w:noProof w:val="0"/>
          <w:color w:val="auto"/>
          <w:rtl/>
          <w:lang w:eastAsia="en-US"/>
        </w:rPr>
        <w:t>دل</w:t>
      </w:r>
      <w:r>
        <w:rPr>
          <w:rFonts w:ascii="Traditional Arabic" w:hAnsi="Traditional Arabic"/>
          <w:noProof w:val="0"/>
          <w:rtl/>
          <w:lang w:eastAsia="en-US"/>
        </w:rPr>
        <w:t xml:space="preserve"> عليه القرآن </w:t>
      </w:r>
      <w:r>
        <w:rPr>
          <w:rFonts w:ascii="Traditional Arabic" w:hAnsi="Traditional Arabic" w:hint="cs"/>
          <w:noProof w:val="0"/>
          <w:rtl/>
          <w:lang w:eastAsia="en-US"/>
        </w:rPr>
        <w:t>ف</w:t>
      </w:r>
      <w:r w:rsidR="001F5C0A" w:rsidRPr="001F5C0A">
        <w:rPr>
          <w:rFonts w:ascii="Traditional Arabic" w:hAnsi="Traditional Arabic"/>
          <w:noProof w:val="0"/>
          <w:rtl/>
          <w:lang w:eastAsia="en-US"/>
        </w:rPr>
        <w:t>ي قوله تعالى:</w:t>
      </w:r>
      <w:r w:rsidR="001F5C0A">
        <w:rPr>
          <w:rFonts w:ascii="Traditional Arabic" w:hAnsi="Traditional Arabic"/>
          <w:b/>
          <w:bCs/>
          <w:noProof w:val="0"/>
          <w:sz w:val="44"/>
          <w:szCs w:val="44"/>
          <w:rtl/>
          <w:lang w:eastAsia="en-US"/>
        </w:rPr>
        <w:t xml:space="preserve"> </w:t>
      </w:r>
      <w:r w:rsidR="001F5C0A" w:rsidRPr="001F5C0A">
        <w:rPr>
          <w:rFonts w:ascii="QCF_BSML" w:hAnsi="QCF_BSML" w:cs="QCF_BSML"/>
          <w:noProof w:val="0"/>
          <w:rtl/>
          <w:lang w:eastAsia="en-US"/>
        </w:rPr>
        <w:t xml:space="preserve">ﭽ </w:t>
      </w:r>
      <w:r w:rsidR="001F5C0A" w:rsidRPr="001F5C0A">
        <w:rPr>
          <w:rFonts w:ascii="QCF_P005" w:hAnsi="QCF_P005" w:cs="QCF_P005"/>
          <w:noProof w:val="0"/>
          <w:rtl/>
          <w:lang w:eastAsia="en-US"/>
        </w:rPr>
        <w:t xml:space="preserve">ﯬ   ﯭ  ﯮ  ﯯ  ﯰ  ﯱ  ﯲ  ﯳ  </w:t>
      </w:r>
      <w:r w:rsidR="001F5C0A" w:rsidRPr="001F5C0A">
        <w:rPr>
          <w:rFonts w:ascii="QCF_BSML" w:hAnsi="QCF_BSML" w:cs="QCF_BSML"/>
          <w:noProof w:val="0"/>
          <w:rtl/>
          <w:lang w:eastAsia="en-US"/>
        </w:rPr>
        <w:t>ﭼ</w:t>
      </w:r>
      <w:r w:rsidR="001F5C0A" w:rsidRPr="001F5C0A">
        <w:rPr>
          <w:rFonts w:ascii="Arial" w:hAnsi="Arial" w:cs="Arial"/>
          <w:noProof w:val="0"/>
          <w:rtl/>
          <w:lang w:eastAsia="en-US"/>
        </w:rPr>
        <w:t xml:space="preserve"> </w:t>
      </w:r>
      <w:r w:rsidR="001F5C0A">
        <w:rPr>
          <w:rFonts w:ascii="Traditional Arabic" w:hAnsi="Traditional Arabic" w:hint="cs"/>
          <w:noProof w:val="0"/>
          <w:color w:val="auto"/>
          <w:rtl/>
          <w:lang w:eastAsia="en-US"/>
        </w:rPr>
        <w:t>[</w:t>
      </w:r>
      <w:r w:rsidR="001F5C0A" w:rsidRPr="001F5C0A">
        <w:rPr>
          <w:rFonts w:ascii="Traditional Arabic" w:hAnsi="Traditional Arabic"/>
          <w:noProof w:val="0"/>
          <w:color w:val="auto"/>
          <w:rtl/>
          <w:lang w:eastAsia="en-US"/>
        </w:rPr>
        <w:t>البقرة: ٢٩</w:t>
      </w:r>
      <w:r w:rsidR="001F5C0A">
        <w:rPr>
          <w:rFonts w:ascii="Traditional Arabic" w:hAnsi="Traditional Arabic" w:hint="cs"/>
          <w:noProof w:val="0"/>
          <w:color w:val="auto"/>
          <w:rtl/>
          <w:lang w:eastAsia="en-US"/>
        </w:rPr>
        <w:t>]،</w:t>
      </w:r>
      <w:r w:rsidR="001F5C0A" w:rsidRPr="001F5C0A">
        <w:rPr>
          <w:rFonts w:ascii="Traditional Arabic" w:hAnsi="Traditional Arabic" w:hint="cs"/>
          <w:noProof w:val="0"/>
          <w:color w:val="auto"/>
          <w:rtl/>
          <w:lang w:eastAsia="en-US"/>
        </w:rPr>
        <w:t xml:space="preserve"> </w:t>
      </w:r>
      <w:r w:rsidR="001F5C0A">
        <w:rPr>
          <w:rFonts w:ascii="Traditional Arabic" w:hAnsi="Traditional Arabic"/>
          <w:noProof w:val="0"/>
          <w:rtl/>
          <w:lang w:eastAsia="en-US"/>
        </w:rPr>
        <w:t>و</w:t>
      </w:r>
      <w:r w:rsidR="001F5C0A">
        <w:rPr>
          <w:rFonts w:ascii="Traditional Arabic" w:hAnsi="Traditional Arabic" w:hint="cs"/>
          <w:noProof w:val="0"/>
          <w:rtl/>
          <w:lang w:eastAsia="en-US"/>
        </w:rPr>
        <w:t>"</w:t>
      </w:r>
      <w:r w:rsidR="001F5C0A">
        <w:rPr>
          <w:rFonts w:ascii="Traditional Arabic" w:hAnsi="Traditional Arabic"/>
          <w:noProof w:val="0"/>
          <w:rtl/>
          <w:lang w:eastAsia="en-US"/>
        </w:rPr>
        <w:t>ما</w:t>
      </w:r>
      <w:r w:rsidR="001F5C0A">
        <w:rPr>
          <w:rFonts w:ascii="Traditional Arabic" w:hAnsi="Traditional Arabic" w:hint="cs"/>
          <w:noProof w:val="0"/>
          <w:rtl/>
          <w:lang w:eastAsia="en-US"/>
        </w:rPr>
        <w:t>"</w:t>
      </w:r>
      <w:r w:rsidR="001F5C0A" w:rsidRPr="001F5C0A">
        <w:rPr>
          <w:rFonts w:ascii="Traditional Arabic" w:hAnsi="Traditional Arabic"/>
          <w:noProof w:val="0"/>
          <w:rtl/>
          <w:lang w:eastAsia="en-US"/>
        </w:rPr>
        <w:t xml:space="preserve"> اسم موصول، والاسم الموصول يفيد العموم</w:t>
      </w:r>
      <w:r w:rsidR="0070078D" w:rsidRPr="0070078D">
        <w:rPr>
          <w:rFonts w:ascii="Traditional Arabic" w:hAnsi="Traditional Arabic" w:hint="cs"/>
          <w:noProof w:val="0"/>
          <w:vertAlign w:val="superscript"/>
          <w:rtl/>
          <w:lang w:eastAsia="en-US"/>
        </w:rPr>
        <w:t>(</w:t>
      </w:r>
      <w:r w:rsidR="00CC3EE2" w:rsidRPr="0070078D">
        <w:rPr>
          <w:rStyle w:val="af1"/>
          <w:rFonts w:ascii="Traditional Arabic" w:hAnsi="Traditional Arabic"/>
          <w:noProof w:val="0"/>
          <w:rtl/>
          <w:lang w:eastAsia="en-US"/>
        </w:rPr>
        <w:footnoteReference w:id="165"/>
      </w:r>
      <w:r w:rsidR="0070078D" w:rsidRPr="0070078D">
        <w:rPr>
          <w:rFonts w:ascii="Traditional Arabic" w:hAnsi="Traditional Arabic" w:hint="cs"/>
          <w:noProof w:val="0"/>
          <w:vertAlign w:val="superscript"/>
          <w:rtl/>
          <w:lang w:eastAsia="en-US"/>
        </w:rPr>
        <w:t>)</w:t>
      </w:r>
      <w:r w:rsidR="001F5C0A" w:rsidRPr="001F5C0A">
        <w:rPr>
          <w:rFonts w:ascii="Traditional Arabic" w:hAnsi="Traditional Arabic"/>
          <w:noProof w:val="0"/>
          <w:rtl/>
          <w:lang w:eastAsia="en-US"/>
        </w:rPr>
        <w:t>، كما أ</w:t>
      </w:r>
      <w:r w:rsidR="001F5C0A">
        <w:rPr>
          <w:rFonts w:ascii="Traditional Arabic" w:hAnsi="Traditional Arabic"/>
          <w:noProof w:val="0"/>
          <w:rtl/>
          <w:lang w:eastAsia="en-US"/>
        </w:rPr>
        <w:t xml:space="preserve">نه أكد ذلك العموم بقوله: </w:t>
      </w:r>
      <w:r w:rsidR="001F5C0A">
        <w:rPr>
          <w:rFonts w:ascii="Traditional Arabic" w:hAnsi="Traditional Arabic" w:hint="cs"/>
          <w:noProof w:val="0"/>
          <w:rtl/>
          <w:lang w:eastAsia="en-US"/>
        </w:rPr>
        <w:t>"</w:t>
      </w:r>
      <w:r w:rsidR="001F5C0A">
        <w:rPr>
          <w:rFonts w:ascii="Traditional Arabic" w:hAnsi="Traditional Arabic"/>
          <w:noProof w:val="0"/>
          <w:rtl/>
          <w:lang w:eastAsia="en-US"/>
        </w:rPr>
        <w:t>جميعا</w:t>
      </w:r>
      <w:r w:rsidR="001F5C0A">
        <w:rPr>
          <w:rFonts w:ascii="Traditional Arabic" w:hAnsi="Traditional Arabic" w:hint="cs"/>
          <w:noProof w:val="0"/>
          <w:rtl/>
          <w:lang w:eastAsia="en-US"/>
        </w:rPr>
        <w:t>"</w:t>
      </w:r>
      <w:r w:rsidR="001F5C0A" w:rsidRPr="001F5C0A">
        <w:rPr>
          <w:rFonts w:ascii="Traditional Arabic" w:hAnsi="Traditional Arabic"/>
          <w:noProof w:val="0"/>
          <w:rtl/>
          <w:lang w:eastAsia="en-US"/>
        </w:rPr>
        <w:t>، فكل ما في الأرض فهو حلال لنا، أكلا</w:t>
      </w:r>
      <w:r w:rsidR="001F5C0A">
        <w:rPr>
          <w:rFonts w:ascii="Traditional Arabic" w:hAnsi="Traditional Arabic" w:hint="cs"/>
          <w:noProof w:val="0"/>
          <w:rtl/>
          <w:lang w:eastAsia="en-US"/>
        </w:rPr>
        <w:t>ً</w:t>
      </w:r>
      <w:r w:rsidR="001F5C0A" w:rsidRPr="001F5C0A">
        <w:rPr>
          <w:rFonts w:ascii="Traditional Arabic" w:hAnsi="Traditional Arabic"/>
          <w:noProof w:val="0"/>
          <w:rtl/>
          <w:lang w:eastAsia="en-US"/>
        </w:rPr>
        <w:t>، وشربا</w:t>
      </w:r>
      <w:r w:rsidR="001F5C0A">
        <w:rPr>
          <w:rFonts w:ascii="Traditional Arabic" w:hAnsi="Traditional Arabic" w:hint="cs"/>
          <w:noProof w:val="0"/>
          <w:rtl/>
          <w:lang w:eastAsia="en-US"/>
        </w:rPr>
        <w:t>ً</w:t>
      </w:r>
      <w:r w:rsidR="001F5C0A" w:rsidRPr="001F5C0A">
        <w:rPr>
          <w:rFonts w:ascii="Traditional Arabic" w:hAnsi="Traditional Arabic"/>
          <w:noProof w:val="0"/>
          <w:rtl/>
          <w:lang w:eastAsia="en-US"/>
        </w:rPr>
        <w:t>، ولبسا</w:t>
      </w:r>
      <w:r w:rsidR="001F5C0A">
        <w:rPr>
          <w:rFonts w:ascii="Traditional Arabic" w:hAnsi="Traditional Arabic" w:hint="cs"/>
          <w:noProof w:val="0"/>
          <w:rtl/>
          <w:lang w:eastAsia="en-US"/>
        </w:rPr>
        <w:t>ً</w:t>
      </w:r>
      <w:r w:rsidR="001F5C0A" w:rsidRPr="001F5C0A">
        <w:rPr>
          <w:rFonts w:ascii="Traditional Arabic" w:hAnsi="Traditional Arabic"/>
          <w:noProof w:val="0"/>
          <w:rtl/>
          <w:lang w:eastAsia="en-US"/>
        </w:rPr>
        <w:t>، وانتفاعا</w:t>
      </w:r>
      <w:r w:rsidR="001F5C0A">
        <w:rPr>
          <w:rFonts w:ascii="Traditional Arabic" w:hAnsi="Traditional Arabic" w:hint="cs"/>
          <w:noProof w:val="0"/>
          <w:rtl/>
          <w:lang w:eastAsia="en-US"/>
        </w:rPr>
        <w:t>ً</w:t>
      </w:r>
      <w:r w:rsidR="001F5C0A" w:rsidRPr="001F5C0A">
        <w:rPr>
          <w:rFonts w:ascii="Traditional Arabic" w:hAnsi="Traditional Arabic"/>
          <w:noProof w:val="0"/>
          <w:rtl/>
          <w:lang w:eastAsia="en-US"/>
        </w:rPr>
        <w:t>، وم</w:t>
      </w:r>
      <w:r w:rsidR="001F5C0A">
        <w:rPr>
          <w:rFonts w:ascii="Traditional Arabic" w:hAnsi="Traditional Arabic" w:hint="cs"/>
          <w:noProof w:val="0"/>
          <w:rtl/>
          <w:lang w:eastAsia="en-US"/>
        </w:rPr>
        <w:t>َ</w:t>
      </w:r>
      <w:r w:rsidR="001F5C0A" w:rsidRPr="001F5C0A">
        <w:rPr>
          <w:rFonts w:ascii="Traditional Arabic" w:hAnsi="Traditional Arabic"/>
          <w:noProof w:val="0"/>
          <w:rtl/>
          <w:lang w:eastAsia="en-US"/>
        </w:rPr>
        <w:t>ن ادعى خلاف</w:t>
      </w:r>
      <w:r w:rsidR="001F5C0A">
        <w:rPr>
          <w:rFonts w:ascii="Traditional Arabic" w:hAnsi="Traditional Arabic" w:hint="cs"/>
          <w:noProof w:val="0"/>
          <w:rtl/>
          <w:lang w:eastAsia="en-US"/>
        </w:rPr>
        <w:t>َ</w:t>
      </w:r>
      <w:r w:rsidR="001F5C0A" w:rsidRPr="001F5C0A">
        <w:rPr>
          <w:rFonts w:ascii="Traditional Arabic" w:hAnsi="Traditional Arabic"/>
          <w:noProof w:val="0"/>
          <w:rtl/>
          <w:lang w:eastAsia="en-US"/>
        </w:rPr>
        <w:t xml:space="preserve"> ذلك فهو محجوج بهذا الدليل، إلا أن يقيم دليلا على ما ادعاه</w:t>
      </w:r>
      <w:r w:rsidR="001F5C0A">
        <w:rPr>
          <w:rFonts w:ascii="Traditional Arabic" w:hAnsi="Traditional Arabic" w:hint="cs"/>
          <w:b/>
          <w:bCs/>
          <w:noProof w:val="0"/>
          <w:color w:val="auto"/>
          <w:sz w:val="44"/>
          <w:szCs w:val="44"/>
          <w:rtl/>
          <w:lang w:eastAsia="en-US"/>
        </w:rPr>
        <w:t>)</w:t>
      </w:r>
      <w:r w:rsidRPr="00961695">
        <w:rPr>
          <w:rFonts w:ascii="Traditional Arabic" w:hAnsi="Traditional Arabic" w:hint="cs"/>
          <w:b/>
          <w:bCs/>
          <w:noProof w:val="0"/>
          <w:color w:val="auto"/>
          <w:vertAlign w:val="superscript"/>
          <w:rtl/>
          <w:lang w:eastAsia="en-US"/>
        </w:rPr>
        <w:t>(</w:t>
      </w:r>
      <w:r w:rsidR="001F5C0A" w:rsidRPr="00961695">
        <w:rPr>
          <w:rStyle w:val="af1"/>
          <w:rFonts w:ascii="Traditional Arabic" w:hAnsi="Traditional Arabic"/>
          <w:noProof w:val="0"/>
          <w:color w:val="auto"/>
          <w:rtl/>
          <w:lang w:eastAsia="en-US"/>
        </w:rPr>
        <w:footnoteReference w:id="166"/>
      </w:r>
      <w:r w:rsidRPr="00961695">
        <w:rPr>
          <w:rFonts w:ascii="Traditional Arabic" w:hAnsi="Traditional Arabic" w:hint="cs"/>
          <w:b/>
          <w:bCs/>
          <w:noProof w:val="0"/>
          <w:color w:val="auto"/>
          <w:vertAlign w:val="superscript"/>
          <w:rtl/>
          <w:lang w:eastAsia="en-US"/>
        </w:rPr>
        <w:t>)</w:t>
      </w:r>
      <w:r w:rsidR="001F5C0A">
        <w:rPr>
          <w:rFonts w:ascii="Traditional Arabic" w:hAnsi="Traditional Arabic" w:hint="cs"/>
          <w:b/>
          <w:bCs/>
          <w:noProof w:val="0"/>
          <w:color w:val="auto"/>
          <w:sz w:val="44"/>
          <w:szCs w:val="44"/>
          <w:rtl/>
          <w:lang w:eastAsia="en-US"/>
        </w:rPr>
        <w:t>.</w:t>
      </w:r>
    </w:p>
    <w:p w:rsidR="001F5C0A" w:rsidRDefault="00C86D3D" w:rsidP="001F5C0A">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1F5C0A" w:rsidRPr="001F5C0A">
        <w:rPr>
          <w:rFonts w:ascii="Traditional Arabic" w:hAnsi="Traditional Arabic" w:hint="cs"/>
          <w:noProof w:val="0"/>
          <w:color w:val="auto"/>
          <w:rtl/>
          <w:lang w:eastAsia="en-US"/>
        </w:rPr>
        <w:t>وقال في موطن آخر عن هذه القاعدة: (</w:t>
      </w:r>
      <w:r w:rsidR="001F5C0A" w:rsidRPr="001F5C0A">
        <w:rPr>
          <w:rFonts w:ascii="Traditional Arabic" w:hAnsi="Traditional Arabic"/>
          <w:noProof w:val="0"/>
          <w:color w:val="auto"/>
          <w:rtl/>
          <w:lang w:eastAsia="en-US"/>
        </w:rPr>
        <w:t>وهذه القاعدة العظيمة التي دل عليها الكتاب، ودلت عليها السنة</w:t>
      </w:r>
      <w:r w:rsidR="001F5C0A">
        <w:rPr>
          <w:rFonts w:ascii="Traditional Arabic" w:hAnsi="Traditional Arabic" w:hint="cs"/>
          <w:noProof w:val="0"/>
          <w:color w:val="auto"/>
          <w:rtl/>
          <w:lang w:eastAsia="en-US"/>
        </w:rPr>
        <w:t>)</w:t>
      </w:r>
      <w:r w:rsidR="00961695" w:rsidRPr="00961695">
        <w:rPr>
          <w:rFonts w:ascii="Traditional Arabic" w:hAnsi="Traditional Arabic" w:hint="cs"/>
          <w:noProof w:val="0"/>
          <w:color w:val="auto"/>
          <w:vertAlign w:val="superscript"/>
          <w:rtl/>
          <w:lang w:eastAsia="en-US"/>
        </w:rPr>
        <w:t>(</w:t>
      </w:r>
      <w:r w:rsidR="001F5C0A" w:rsidRPr="00961695">
        <w:rPr>
          <w:rStyle w:val="af1"/>
          <w:rFonts w:ascii="Traditional Arabic" w:hAnsi="Traditional Arabic"/>
          <w:noProof w:val="0"/>
          <w:color w:val="auto"/>
          <w:rtl/>
          <w:lang w:eastAsia="en-US"/>
        </w:rPr>
        <w:footnoteReference w:id="167"/>
      </w:r>
      <w:r w:rsidR="00961695" w:rsidRPr="00961695">
        <w:rPr>
          <w:rFonts w:ascii="Traditional Arabic" w:hAnsi="Traditional Arabic" w:hint="cs"/>
          <w:noProof w:val="0"/>
          <w:color w:val="auto"/>
          <w:vertAlign w:val="superscript"/>
          <w:rtl/>
          <w:lang w:eastAsia="en-US"/>
        </w:rPr>
        <w:t>)</w:t>
      </w:r>
      <w:r w:rsidR="001F5C0A">
        <w:rPr>
          <w:rFonts w:ascii="Traditional Arabic" w:hAnsi="Traditional Arabic" w:hint="cs"/>
          <w:noProof w:val="0"/>
          <w:color w:val="auto"/>
          <w:rtl/>
          <w:lang w:eastAsia="en-US"/>
        </w:rPr>
        <w:t>.</w:t>
      </w:r>
    </w:p>
    <w:p w:rsidR="00640B0E" w:rsidRPr="00640B0E" w:rsidRDefault="00C86D3D" w:rsidP="00640B0E">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640B0E">
        <w:rPr>
          <w:rFonts w:ascii="Traditional Arabic" w:hAnsi="Traditional Arabic" w:hint="cs"/>
          <w:noProof w:val="0"/>
          <w:color w:val="auto"/>
          <w:rtl/>
          <w:lang w:eastAsia="en-US"/>
        </w:rPr>
        <w:t>وقال كذلك</w:t>
      </w:r>
      <w:r w:rsidR="00D7493E">
        <w:rPr>
          <w:rFonts w:ascii="Traditional Arabic" w:hAnsi="Traditional Arabic" w:hint="cs"/>
          <w:noProof w:val="0"/>
          <w:color w:val="auto"/>
          <w:rtl/>
          <w:lang w:eastAsia="en-US"/>
        </w:rPr>
        <w:t xml:space="preserve"> عند ذكره لقاعدة الضرورات تبيح المحظورات</w:t>
      </w:r>
      <w:r w:rsidR="00640B0E">
        <w:rPr>
          <w:rFonts w:ascii="Traditional Arabic" w:hAnsi="Traditional Arabic" w:hint="cs"/>
          <w:noProof w:val="0"/>
          <w:color w:val="auto"/>
          <w:rtl/>
          <w:lang w:eastAsia="en-US"/>
        </w:rPr>
        <w:t>: (</w:t>
      </w:r>
      <w:r w:rsidR="00D7493E">
        <w:rPr>
          <w:rFonts w:ascii="Traditional Arabic" w:hAnsi="Traditional Arabic" w:hint="cs"/>
          <w:noProof w:val="0"/>
          <w:rtl/>
          <w:lang w:eastAsia="en-US"/>
        </w:rPr>
        <w:t xml:space="preserve"> </w:t>
      </w:r>
      <w:r w:rsidR="00640B0E" w:rsidRPr="00640B0E">
        <w:rPr>
          <w:rFonts w:ascii="Traditional Arabic" w:hAnsi="Traditional Arabic"/>
          <w:noProof w:val="0"/>
          <w:rtl/>
          <w:lang w:eastAsia="en-US"/>
        </w:rPr>
        <w:t xml:space="preserve">والقاعدة أن المحرم لا يجوز إلا للضرورة؛ لقول الله تبارك وتعالى: </w:t>
      </w:r>
      <w:r w:rsidR="00640B0E" w:rsidRPr="00640B0E">
        <w:rPr>
          <w:rFonts w:ascii="QCF_BSML" w:hAnsi="QCF_BSML" w:cs="QCF_BSML"/>
          <w:noProof w:val="0"/>
          <w:rtl/>
          <w:lang w:eastAsia="en-US"/>
        </w:rPr>
        <w:t xml:space="preserve">ﭽ </w:t>
      </w:r>
      <w:r w:rsidR="00640B0E" w:rsidRPr="00640B0E">
        <w:rPr>
          <w:rFonts w:ascii="QCF_P143" w:hAnsi="QCF_P143" w:cs="QCF_P143"/>
          <w:noProof w:val="0"/>
          <w:rtl/>
          <w:lang w:eastAsia="en-US"/>
        </w:rPr>
        <w:t>ﭚ  ﭛ    ﭜ  ﭝ  ﭞ  ﭟ  ﭠ  ﭡ  ﭢ  ﭣ</w:t>
      </w:r>
      <w:r w:rsidR="00640B0E" w:rsidRPr="00640B0E">
        <w:rPr>
          <w:rFonts w:ascii="Arial" w:hAnsi="Arial" w:cs="Arial"/>
          <w:noProof w:val="0"/>
          <w:rtl/>
          <w:lang w:eastAsia="en-US"/>
        </w:rPr>
        <w:t xml:space="preserve"> </w:t>
      </w:r>
      <w:r w:rsidR="00640B0E" w:rsidRPr="00640B0E">
        <w:rPr>
          <w:rFonts w:ascii="QCF_BSML" w:hAnsi="QCF_BSML" w:cs="QCF_BSML"/>
          <w:noProof w:val="0"/>
          <w:rtl/>
          <w:lang w:eastAsia="en-US"/>
        </w:rPr>
        <w:t>ﭼ</w:t>
      </w:r>
      <w:r w:rsidR="00640B0E">
        <w:rPr>
          <w:rFonts w:ascii="QCF_BSML" w:hAnsi="QCF_BSML" w:cs="QCF_BSML"/>
          <w:noProof w:val="0"/>
          <w:sz w:val="47"/>
          <w:szCs w:val="47"/>
          <w:rtl/>
          <w:lang w:eastAsia="en-US"/>
        </w:rPr>
        <w:t xml:space="preserve"> </w:t>
      </w:r>
      <w:r w:rsidR="00640B0E" w:rsidRPr="00640B0E">
        <w:rPr>
          <w:rFonts w:ascii="Traditional Arabic" w:hAnsi="Traditional Arabic"/>
          <w:noProof w:val="0"/>
          <w:rtl/>
          <w:lang w:eastAsia="en-US"/>
        </w:rPr>
        <w:t>[الأنعام: 119]</w:t>
      </w:r>
      <w:r w:rsidR="00640B0E">
        <w:rPr>
          <w:rFonts w:ascii="Traditional Arabic" w:hAnsi="Traditional Arabic" w:hint="cs"/>
          <w:noProof w:val="0"/>
          <w:rtl/>
          <w:lang w:eastAsia="en-US"/>
        </w:rPr>
        <w:t>)</w:t>
      </w:r>
      <w:r w:rsidR="00640B0E" w:rsidRPr="00640B0E">
        <w:rPr>
          <w:rFonts w:ascii="Traditional Arabic" w:hAnsi="Traditional Arabic" w:hint="cs"/>
          <w:noProof w:val="0"/>
          <w:vertAlign w:val="superscript"/>
          <w:rtl/>
          <w:lang w:eastAsia="en-US"/>
        </w:rPr>
        <w:t>(</w:t>
      </w:r>
      <w:r w:rsidR="00640B0E" w:rsidRPr="00640B0E">
        <w:rPr>
          <w:rStyle w:val="af1"/>
          <w:rFonts w:ascii="Traditional Arabic" w:hAnsi="Traditional Arabic"/>
          <w:noProof w:val="0"/>
          <w:rtl/>
          <w:lang w:eastAsia="en-US"/>
        </w:rPr>
        <w:footnoteReference w:id="168"/>
      </w:r>
      <w:r w:rsidR="00640B0E" w:rsidRPr="00640B0E">
        <w:rPr>
          <w:rFonts w:ascii="Traditional Arabic" w:hAnsi="Traditional Arabic" w:hint="cs"/>
          <w:noProof w:val="0"/>
          <w:vertAlign w:val="superscript"/>
          <w:rtl/>
          <w:lang w:eastAsia="en-US"/>
        </w:rPr>
        <w:t>)</w:t>
      </w:r>
      <w:r w:rsidR="00640B0E">
        <w:rPr>
          <w:rFonts w:ascii="Traditional Arabic" w:hAnsi="Traditional Arabic" w:hint="cs"/>
          <w:noProof w:val="0"/>
          <w:rtl/>
          <w:lang w:eastAsia="en-US"/>
        </w:rPr>
        <w:t>.</w:t>
      </w:r>
    </w:p>
    <w:p w:rsidR="00B75E09" w:rsidRDefault="00640B0E" w:rsidP="00961695">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961695">
        <w:rPr>
          <w:rFonts w:ascii="Traditional Arabic" w:hAnsi="Traditional Arabic" w:hint="cs"/>
          <w:noProof w:val="0"/>
          <w:color w:val="auto"/>
          <w:rtl/>
          <w:lang w:eastAsia="en-US"/>
        </w:rPr>
        <w:t xml:space="preserve">ومن الأمثلة </w:t>
      </w:r>
      <w:r>
        <w:rPr>
          <w:rFonts w:ascii="Traditional Arabic" w:hAnsi="Traditional Arabic" w:hint="cs"/>
          <w:noProof w:val="0"/>
          <w:color w:val="auto"/>
          <w:rtl/>
          <w:lang w:eastAsia="en-US"/>
        </w:rPr>
        <w:t>على ذلك_</w:t>
      </w:r>
      <w:r w:rsidR="00961695">
        <w:rPr>
          <w:rFonts w:ascii="Traditional Arabic" w:hAnsi="Traditional Arabic" w:hint="cs"/>
          <w:noProof w:val="0"/>
          <w:color w:val="auto"/>
          <w:rtl/>
          <w:lang w:eastAsia="en-US"/>
        </w:rPr>
        <w:t>فيما يتعلق بالضوابط</w:t>
      </w:r>
      <w:r>
        <w:rPr>
          <w:rFonts w:ascii="Traditional Arabic" w:hAnsi="Traditional Arabic" w:hint="cs"/>
          <w:noProof w:val="0"/>
          <w:color w:val="auto"/>
          <w:rtl/>
          <w:lang w:eastAsia="en-US"/>
        </w:rPr>
        <w:t>_</w:t>
      </w:r>
      <w:r w:rsidR="00961695">
        <w:rPr>
          <w:rFonts w:ascii="Traditional Arabic" w:hAnsi="Traditional Arabic" w:hint="cs"/>
          <w:noProof w:val="0"/>
          <w:color w:val="auto"/>
          <w:rtl/>
          <w:lang w:eastAsia="en-US"/>
        </w:rPr>
        <w:t xml:space="preserve"> قوله _رحمه الله_ عند ذكر ضابط:</w:t>
      </w:r>
      <w:r w:rsidR="00D7493E">
        <w:rPr>
          <w:rFonts w:ascii="Traditional Arabic" w:hAnsi="Traditional Arabic" w:hint="cs"/>
          <w:noProof w:val="0"/>
          <w:color w:val="auto"/>
          <w:rtl/>
          <w:lang w:eastAsia="en-US"/>
        </w:rPr>
        <w:t xml:space="preserve"> </w:t>
      </w:r>
      <w:r w:rsidR="00961695">
        <w:rPr>
          <w:rFonts w:ascii="Traditional Arabic" w:hAnsi="Traditional Arabic" w:hint="cs"/>
          <w:noProof w:val="0"/>
          <w:color w:val="auto"/>
          <w:rtl/>
          <w:lang w:eastAsia="en-US"/>
        </w:rPr>
        <w:t>"إذا ان</w:t>
      </w:r>
      <w:r w:rsidR="00CC3EE2">
        <w:rPr>
          <w:rFonts w:ascii="Traditional Arabic" w:hAnsi="Traditional Arabic" w:hint="cs"/>
          <w:noProof w:val="0"/>
          <w:color w:val="auto"/>
          <w:rtl/>
          <w:lang w:eastAsia="en-US"/>
        </w:rPr>
        <w:t>ت</w:t>
      </w:r>
      <w:r w:rsidR="00961695">
        <w:rPr>
          <w:rFonts w:ascii="Traditional Arabic" w:hAnsi="Traditional Arabic" w:hint="cs"/>
          <w:noProof w:val="0"/>
          <w:color w:val="auto"/>
          <w:rtl/>
          <w:lang w:eastAsia="en-US"/>
        </w:rPr>
        <w:t>قل الملك على وجه اختياري ففيه الشفعة</w:t>
      </w:r>
      <w:r w:rsidR="00D7493E" w:rsidRPr="00D7493E">
        <w:rPr>
          <w:rFonts w:ascii="Traditional Arabic" w:hAnsi="Traditional Arabic" w:hint="cs"/>
          <w:noProof w:val="0"/>
          <w:color w:val="auto"/>
          <w:vertAlign w:val="superscript"/>
          <w:rtl/>
          <w:lang w:eastAsia="en-US"/>
        </w:rPr>
        <w:t>(</w:t>
      </w:r>
      <w:r w:rsidR="005447E4" w:rsidRPr="00D7493E">
        <w:rPr>
          <w:rStyle w:val="af1"/>
          <w:rFonts w:ascii="Traditional Arabic" w:hAnsi="Traditional Arabic"/>
          <w:noProof w:val="0"/>
          <w:color w:val="auto"/>
          <w:rtl/>
          <w:lang w:eastAsia="en-US"/>
        </w:rPr>
        <w:footnoteReference w:id="169"/>
      </w:r>
      <w:r w:rsidR="00D7493E" w:rsidRPr="00D7493E">
        <w:rPr>
          <w:rFonts w:ascii="Traditional Arabic" w:hAnsi="Traditional Arabic" w:hint="cs"/>
          <w:noProof w:val="0"/>
          <w:color w:val="auto"/>
          <w:vertAlign w:val="superscript"/>
          <w:rtl/>
          <w:lang w:eastAsia="en-US"/>
        </w:rPr>
        <w:t>)</w:t>
      </w:r>
      <w:r w:rsidR="00961695">
        <w:rPr>
          <w:rFonts w:ascii="Traditional Arabic" w:hAnsi="Traditional Arabic" w:hint="cs"/>
          <w:noProof w:val="0"/>
          <w:color w:val="auto"/>
          <w:rtl/>
          <w:lang w:eastAsia="en-US"/>
        </w:rPr>
        <w:t xml:space="preserve">": </w:t>
      </w:r>
      <w:r w:rsidR="00961695" w:rsidRPr="00961695">
        <w:rPr>
          <w:rFonts w:ascii="Traditional Arabic" w:hAnsi="Traditional Arabic" w:hint="cs"/>
          <w:noProof w:val="0"/>
          <w:color w:val="auto"/>
          <w:rtl/>
          <w:lang w:eastAsia="en-US"/>
        </w:rPr>
        <w:t>(...</w:t>
      </w:r>
      <w:r w:rsidR="00961695" w:rsidRPr="00961695">
        <w:rPr>
          <w:rFonts w:ascii="Traditional Arabic" w:hAnsi="Traditional Arabic"/>
          <w:noProof w:val="0"/>
          <w:color w:val="auto"/>
          <w:rtl/>
          <w:lang w:eastAsia="en-US"/>
        </w:rPr>
        <w:t>لأن القاعدة التي تظهر لي من السنة أنه متى انتقل الملك على وجه اختياري، ففيه الشفعة بأي حال من الأحوال</w:t>
      </w:r>
      <w:r w:rsidR="00961695">
        <w:rPr>
          <w:rFonts w:ascii="Traditional Arabic" w:hAnsi="Traditional Arabic" w:hint="cs"/>
          <w:noProof w:val="0"/>
          <w:color w:val="auto"/>
          <w:rtl/>
          <w:lang w:eastAsia="en-US"/>
        </w:rPr>
        <w:t>)</w:t>
      </w:r>
      <w:r w:rsidR="00961695" w:rsidRPr="00961695">
        <w:rPr>
          <w:rFonts w:ascii="Traditional Arabic" w:hAnsi="Traditional Arabic" w:hint="cs"/>
          <w:noProof w:val="0"/>
          <w:color w:val="auto"/>
          <w:vertAlign w:val="superscript"/>
          <w:rtl/>
          <w:lang w:eastAsia="en-US"/>
        </w:rPr>
        <w:t>(</w:t>
      </w:r>
      <w:r w:rsidR="00961695" w:rsidRPr="00961695">
        <w:rPr>
          <w:rStyle w:val="af1"/>
          <w:rFonts w:ascii="Traditional Arabic" w:hAnsi="Traditional Arabic"/>
          <w:noProof w:val="0"/>
          <w:color w:val="auto"/>
          <w:rtl/>
          <w:lang w:eastAsia="en-US"/>
        </w:rPr>
        <w:footnoteReference w:id="170"/>
      </w:r>
      <w:r w:rsidR="00961695" w:rsidRPr="00961695">
        <w:rPr>
          <w:rFonts w:ascii="Traditional Arabic" w:hAnsi="Traditional Arabic" w:hint="cs"/>
          <w:noProof w:val="0"/>
          <w:color w:val="auto"/>
          <w:vertAlign w:val="superscript"/>
          <w:rtl/>
          <w:lang w:eastAsia="en-US"/>
        </w:rPr>
        <w:t>)</w:t>
      </w:r>
      <w:r w:rsidR="00961695" w:rsidRPr="00961695">
        <w:rPr>
          <w:rFonts w:ascii="Traditional Arabic" w:hAnsi="Traditional Arabic"/>
          <w:noProof w:val="0"/>
          <w:color w:val="auto"/>
          <w:rtl/>
          <w:lang w:eastAsia="en-US"/>
        </w:rPr>
        <w:t>.</w:t>
      </w:r>
    </w:p>
    <w:p w:rsidR="00796E5B" w:rsidRPr="00961695" w:rsidRDefault="00796E5B" w:rsidP="00961695">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lastRenderedPageBreak/>
        <w:t xml:space="preserve">    وسيأتي في ثنايا هذا البحث عند ذكر أدلة القواعد والضوابط المزيد من الأمثلة التي تبيّن حرص الشيخ رحمه الله على الاستدلال للقواعد بالكتاب والسنة.</w:t>
      </w:r>
    </w:p>
    <w:p w:rsidR="00F228A9" w:rsidRPr="00B50A50" w:rsidRDefault="0040539A" w:rsidP="00597C20">
      <w:pPr>
        <w:pStyle w:val="53"/>
        <w:rPr>
          <w:rtl/>
        </w:rPr>
      </w:pPr>
      <w:r>
        <w:rPr>
          <w:rtl/>
        </w:rPr>
        <w:t>(</w:t>
      </w:r>
      <w:r>
        <w:rPr>
          <w:rFonts w:hint="cs"/>
          <w:rtl/>
        </w:rPr>
        <w:t>د</w:t>
      </w:r>
      <w:r w:rsidR="006F08E1" w:rsidRPr="00B50A50">
        <w:rPr>
          <w:rtl/>
        </w:rPr>
        <w:t>) نقد القاعدة المخالفة للدليل الشرعي :</w:t>
      </w:r>
    </w:p>
    <w:p w:rsidR="00F228A9" w:rsidRPr="00B50A50" w:rsidRDefault="006F08E1" w:rsidP="00597C20">
      <w:pPr>
        <w:spacing w:line="640" w:lineRule="exact"/>
        <w:jc w:val="lowKashida"/>
        <w:rPr>
          <w:rFonts w:ascii="Traditional Arabic" w:hAnsi="Traditional Arabic"/>
          <w:b/>
          <w:bCs/>
          <w:rtl/>
        </w:rPr>
      </w:pPr>
      <w:r w:rsidRPr="00B50A50">
        <w:rPr>
          <w:rFonts w:ascii="Traditional Arabic" w:hAnsi="Traditional Arabic"/>
          <w:rtl/>
        </w:rPr>
        <w:t xml:space="preserve">لم يكن الشيخ ابن عثيمين </w:t>
      </w:r>
      <w:r w:rsidR="009A0575" w:rsidRPr="005D5694">
        <w:rPr>
          <w:rFonts w:ascii="Traditional Arabic" w:hAnsi="Traditional Arabic" w:cs="CTraditional Arabic" w:hint="cs"/>
          <w:rtl/>
        </w:rPr>
        <w:t>/</w:t>
      </w:r>
      <w:r w:rsidRPr="00B50A50">
        <w:rPr>
          <w:rFonts w:ascii="Traditional Arabic" w:hAnsi="Traditional Arabic"/>
          <w:rtl/>
        </w:rPr>
        <w:t xml:space="preserve"> يُسلِّم لأي قاعدة أو ضابط</w:t>
      </w:r>
      <w:r w:rsidR="00B76414">
        <w:rPr>
          <w:rFonts w:ascii="Traditional Arabic" w:hAnsi="Traditional Arabic"/>
          <w:rtl/>
        </w:rPr>
        <w:t>،</w:t>
      </w:r>
      <w:r w:rsidRPr="00B50A50">
        <w:rPr>
          <w:rFonts w:ascii="Traditional Arabic" w:hAnsi="Traditional Arabic"/>
          <w:rtl/>
        </w:rPr>
        <w:t xml:space="preserve"> حتى يعرضه على الكتاب والسنة</w:t>
      </w:r>
      <w:r w:rsidR="00B76414">
        <w:rPr>
          <w:rFonts w:ascii="Traditional Arabic" w:hAnsi="Traditional Arabic"/>
          <w:rtl/>
        </w:rPr>
        <w:t>،</w:t>
      </w:r>
      <w:r w:rsidRPr="00B50A50">
        <w:rPr>
          <w:rFonts w:ascii="Traditional Arabic" w:hAnsi="Traditional Arabic"/>
          <w:rtl/>
        </w:rPr>
        <w:t xml:space="preserve"> فما وافقهما قب</w:t>
      </w:r>
      <w:r w:rsidR="00961695">
        <w:rPr>
          <w:rFonts w:ascii="Traditional Arabic" w:hAnsi="Traditional Arabic" w:hint="cs"/>
          <w:rtl/>
        </w:rPr>
        <w:t>ِ</w:t>
      </w:r>
      <w:r w:rsidRPr="00B50A50">
        <w:rPr>
          <w:rFonts w:ascii="Traditional Arabic" w:hAnsi="Traditional Arabic"/>
          <w:rtl/>
        </w:rPr>
        <w:t>له وعمل به</w:t>
      </w:r>
      <w:r w:rsidR="00B76414">
        <w:rPr>
          <w:rFonts w:ascii="Traditional Arabic" w:hAnsi="Traditional Arabic"/>
          <w:rtl/>
        </w:rPr>
        <w:t>،</w:t>
      </w:r>
      <w:r w:rsidRPr="00B50A50">
        <w:rPr>
          <w:rFonts w:ascii="Traditional Arabic" w:hAnsi="Traditional Arabic"/>
          <w:rtl/>
        </w:rPr>
        <w:t xml:space="preserve"> وما خالفهما نق</w:t>
      </w:r>
      <w:r w:rsidR="00961695">
        <w:rPr>
          <w:rFonts w:ascii="Traditional Arabic" w:hAnsi="Traditional Arabic" w:hint="cs"/>
          <w:rtl/>
        </w:rPr>
        <w:t>َ</w:t>
      </w:r>
      <w:r w:rsidRPr="00B50A50">
        <w:rPr>
          <w:rFonts w:ascii="Traditional Arabic" w:hAnsi="Traditional Arabic"/>
          <w:rtl/>
        </w:rPr>
        <w:t>ده واستدركه</w:t>
      </w:r>
      <w:r w:rsidR="00B76414">
        <w:rPr>
          <w:rFonts w:ascii="Traditional Arabic" w:hAnsi="Traditional Arabic"/>
          <w:rtl/>
        </w:rPr>
        <w:t>،</w:t>
      </w:r>
      <w:r w:rsidRPr="00B50A50">
        <w:rPr>
          <w:rFonts w:ascii="Traditional Arabic" w:hAnsi="Traditional Arabic"/>
          <w:rtl/>
        </w:rPr>
        <w:t xml:space="preserve"> وذلك بأسلوب علمي وتحرير دقيق</w:t>
      </w:r>
      <w:r w:rsidR="00B76414">
        <w:rPr>
          <w:rFonts w:ascii="Traditional Arabic" w:hAnsi="Traditional Arabic"/>
          <w:rtl/>
        </w:rPr>
        <w:t>.</w:t>
      </w:r>
      <w:r w:rsidRPr="00B50A50">
        <w:rPr>
          <w:rFonts w:ascii="Traditional Arabic" w:hAnsi="Traditional Arabic"/>
          <w:rtl/>
        </w:rPr>
        <w:t xml:space="preserve"> ومن أمثلة ذلك ما يلي</w:t>
      </w:r>
      <w:r w:rsidR="00C86D3D" w:rsidRPr="00C86D3D">
        <w:rPr>
          <w:rFonts w:ascii="Traditional Arabic" w:hAnsi="Traditional Arabic" w:hint="cs"/>
          <w:vertAlign w:val="superscript"/>
          <w:rtl/>
        </w:rPr>
        <w:t>(</w:t>
      </w:r>
      <w:r w:rsidR="00C86D3D" w:rsidRPr="00C86D3D">
        <w:rPr>
          <w:rStyle w:val="af1"/>
          <w:rFonts w:ascii="Traditional Arabic" w:hAnsi="Traditional Arabic"/>
          <w:rtl/>
        </w:rPr>
        <w:footnoteReference w:id="171"/>
      </w:r>
      <w:r w:rsidR="00C86D3D" w:rsidRPr="00C86D3D">
        <w:rPr>
          <w:rFonts w:ascii="Traditional Arabic" w:hAnsi="Traditional Arabic" w:hint="cs"/>
          <w:vertAlign w:val="superscript"/>
          <w:rtl/>
        </w:rPr>
        <w:t>)</w:t>
      </w:r>
      <w:r w:rsidRPr="00B50A50">
        <w:rPr>
          <w:rFonts w:ascii="Traditional Arabic" w:hAnsi="Traditional Arabic"/>
          <w:rtl/>
        </w:rPr>
        <w:t xml:space="preserve"> :</w:t>
      </w:r>
    </w:p>
    <w:p w:rsidR="006F08E1" w:rsidRPr="00B50A50" w:rsidRDefault="006F08E1" w:rsidP="0054384D">
      <w:pPr>
        <w:spacing w:line="640" w:lineRule="exact"/>
        <w:jc w:val="lowKashida"/>
        <w:rPr>
          <w:rFonts w:ascii="Traditional Arabic" w:hAnsi="Traditional Arabic"/>
          <w:b/>
          <w:bCs/>
          <w:rtl/>
        </w:rPr>
      </w:pPr>
      <w:r w:rsidRPr="005023CD">
        <w:rPr>
          <w:rFonts w:ascii="Traditional Arabic" w:hAnsi="Traditional Arabic"/>
          <w:b/>
          <w:bCs/>
          <w:rtl/>
        </w:rPr>
        <w:t>(1) قاعدة :</w:t>
      </w:r>
      <w:r w:rsidRPr="00B50A50">
        <w:rPr>
          <w:rFonts w:ascii="Traditional Arabic" w:hAnsi="Traditional Arabic"/>
          <w:rtl/>
        </w:rPr>
        <w:t xml:space="preserve"> (كل العبادات الأفضل أن تُسْتَقبل فيها القبلة)</w:t>
      </w:r>
      <w:r w:rsidR="00B76414">
        <w:rPr>
          <w:rFonts w:ascii="Traditional Arabic" w:hAnsi="Traditional Arabic"/>
          <w:rtl/>
        </w:rPr>
        <w:t>.</w:t>
      </w:r>
    </w:p>
    <w:p w:rsidR="006F08E1" w:rsidRPr="00B50A50" w:rsidRDefault="006F08E1" w:rsidP="00597C20">
      <w:pPr>
        <w:spacing w:line="600" w:lineRule="exact"/>
        <w:jc w:val="lowKashida"/>
        <w:rPr>
          <w:rFonts w:ascii="Traditional Arabic" w:hAnsi="Traditional Arabic"/>
          <w:b/>
          <w:bCs/>
          <w:rtl/>
        </w:rPr>
      </w:pPr>
      <w:r w:rsidRPr="00B50A50">
        <w:rPr>
          <w:rFonts w:ascii="Traditional Arabic" w:hAnsi="Traditional Arabic"/>
          <w:rtl/>
        </w:rPr>
        <w:t xml:space="preserve">يقول الشيخ ابن عثيمين </w:t>
      </w:r>
      <w:r w:rsidR="009A0575" w:rsidRPr="005D5694">
        <w:rPr>
          <w:rFonts w:ascii="Traditional Arabic" w:hAnsi="Traditional Arabic" w:cs="CTraditional Arabic" w:hint="cs"/>
          <w:rtl/>
        </w:rPr>
        <w:t>/</w:t>
      </w:r>
      <w:r w:rsidRPr="00B50A50">
        <w:rPr>
          <w:rFonts w:ascii="Traditional Arabic" w:hAnsi="Traditional Arabic"/>
          <w:rtl/>
        </w:rPr>
        <w:t xml:space="preserve"> في نقد هذه القاعدة : (ولاشك أنه في الدعاء ينبغي أن يستقبل القبلة</w:t>
      </w:r>
      <w:r w:rsidR="00B76414">
        <w:rPr>
          <w:rFonts w:ascii="Traditional Arabic" w:hAnsi="Traditional Arabic"/>
          <w:rtl/>
        </w:rPr>
        <w:t>،</w:t>
      </w:r>
      <w:r w:rsidRPr="00B50A50">
        <w:rPr>
          <w:rFonts w:ascii="Traditional Arabic" w:hAnsi="Traditional Arabic"/>
          <w:rtl/>
        </w:rPr>
        <w:t xml:space="preserve"> أما في الوضوء وشبهه</w:t>
      </w:r>
      <w:r w:rsidR="00B76414">
        <w:rPr>
          <w:rFonts w:ascii="Traditional Arabic" w:hAnsi="Traditional Arabic"/>
          <w:rtl/>
        </w:rPr>
        <w:t>،</w:t>
      </w:r>
      <w:r w:rsidRPr="00B50A50">
        <w:rPr>
          <w:rFonts w:ascii="Traditional Arabic" w:hAnsi="Traditional Arabic"/>
          <w:rtl/>
        </w:rPr>
        <w:t xml:space="preserve"> ففي النفس من هذا شيء</w:t>
      </w:r>
      <w:r w:rsidR="00B76414">
        <w:rPr>
          <w:rFonts w:ascii="Traditional Arabic" w:hAnsi="Traditional Arabic"/>
          <w:rtl/>
        </w:rPr>
        <w:t>،</w:t>
      </w:r>
      <w:r w:rsidRPr="00B50A50">
        <w:rPr>
          <w:rFonts w:ascii="Traditional Arabic" w:hAnsi="Traditional Arabic"/>
          <w:rtl/>
        </w:rPr>
        <w:t xml:space="preserve"> فيحتاج إلى دليل خاص ؛ لأن الظاهر من حال الرسول </w:t>
      </w:r>
      <w:r w:rsidRPr="00B50A50">
        <w:rPr>
          <w:rFonts w:ascii="Traditional Arabic" w:hAnsi="Traditional Arabic"/>
        </w:rPr>
        <w:sym w:font="AGA Arabesque" w:char="F065"/>
      </w:r>
      <w:r w:rsidRPr="00B50A50">
        <w:rPr>
          <w:rFonts w:ascii="Traditional Arabic" w:hAnsi="Traditional Arabic"/>
          <w:rtl/>
        </w:rPr>
        <w:t xml:space="preserve"> أنه لا يتعمد ذلك)</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172"/>
      </w:r>
      <w:r w:rsidRPr="00C821A1">
        <w:rPr>
          <w:rFonts w:ascii="Traditional Arabic" w:hAnsi="Traditional Arabic"/>
          <w:szCs w:val="32"/>
          <w:vertAlign w:val="superscript"/>
          <w:rtl/>
        </w:rPr>
        <w:t>)</w:t>
      </w:r>
      <w:r w:rsidR="00B76414">
        <w:rPr>
          <w:rFonts w:ascii="Traditional Arabic" w:hAnsi="Traditional Arabic"/>
          <w:rtl/>
        </w:rPr>
        <w:t>.</w:t>
      </w:r>
    </w:p>
    <w:p w:rsidR="006F08E1" w:rsidRPr="00B50A50" w:rsidRDefault="006F08E1" w:rsidP="00597C20">
      <w:pPr>
        <w:spacing w:line="600" w:lineRule="exact"/>
        <w:jc w:val="lowKashida"/>
        <w:rPr>
          <w:rFonts w:ascii="Traditional Arabic" w:hAnsi="Traditional Arabic"/>
          <w:b/>
          <w:bCs/>
          <w:rtl/>
        </w:rPr>
      </w:pPr>
      <w:r w:rsidRPr="00B50A50">
        <w:rPr>
          <w:rFonts w:ascii="Traditional Arabic" w:hAnsi="Traditional Arabic"/>
          <w:rtl/>
        </w:rPr>
        <w:t xml:space="preserve">ويقول الشيخ ابن عثيمين </w:t>
      </w:r>
      <w:r w:rsidR="009A0575" w:rsidRPr="005D5694">
        <w:rPr>
          <w:rFonts w:ascii="Traditional Arabic" w:hAnsi="Traditional Arabic" w:cs="CTraditional Arabic" w:hint="cs"/>
          <w:rtl/>
        </w:rPr>
        <w:t>/</w:t>
      </w:r>
      <w:r w:rsidRPr="00B50A50">
        <w:rPr>
          <w:rFonts w:ascii="Traditional Arabic" w:hAnsi="Traditional Arabic"/>
          <w:rtl/>
        </w:rPr>
        <w:t xml:space="preserve"> في موضع آخر : (قال بعض العلماء : إن كل طاعة الأفضل فيها استقبال القبلة إلا بدليل</w:t>
      </w:r>
      <w:r w:rsidR="00B76414">
        <w:rPr>
          <w:rFonts w:ascii="Traditional Arabic" w:hAnsi="Traditional Arabic"/>
          <w:rtl/>
        </w:rPr>
        <w:t>.</w:t>
      </w:r>
      <w:r w:rsidRPr="00B50A50">
        <w:rPr>
          <w:rFonts w:ascii="Traditional Arabic" w:hAnsi="Traditional Arabic"/>
          <w:rtl/>
        </w:rPr>
        <w:t xml:space="preserve"> ولكن في هذا نظر لأننا إذا جعلنا هذه قاعدة</w:t>
      </w:r>
      <w:r w:rsidR="00B76414">
        <w:rPr>
          <w:rFonts w:ascii="Traditional Arabic" w:hAnsi="Traditional Arabic"/>
          <w:rtl/>
        </w:rPr>
        <w:t>،</w:t>
      </w:r>
      <w:r w:rsidRPr="00B50A50">
        <w:rPr>
          <w:rFonts w:ascii="Traditional Arabic" w:hAnsi="Traditional Arabic"/>
          <w:rtl/>
        </w:rPr>
        <w:t xml:space="preserve"> فإن هذا خلاف المعروف من أن الأصل في العبادات الحظر)</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173"/>
      </w:r>
      <w:r w:rsidRPr="00C821A1">
        <w:rPr>
          <w:rFonts w:ascii="Traditional Arabic" w:hAnsi="Traditional Arabic"/>
          <w:szCs w:val="32"/>
          <w:vertAlign w:val="superscript"/>
          <w:rtl/>
        </w:rPr>
        <w:t>)</w:t>
      </w:r>
      <w:r w:rsidR="00B76414">
        <w:rPr>
          <w:rFonts w:ascii="Traditional Arabic" w:hAnsi="Traditional Arabic"/>
          <w:rtl/>
        </w:rPr>
        <w:t>.</w:t>
      </w:r>
    </w:p>
    <w:p w:rsidR="006F08E1" w:rsidRPr="00B50A50" w:rsidRDefault="006F08E1" w:rsidP="0054384D">
      <w:pPr>
        <w:spacing w:line="600" w:lineRule="exact"/>
        <w:jc w:val="lowKashida"/>
        <w:rPr>
          <w:rFonts w:ascii="Traditional Arabic" w:hAnsi="Traditional Arabic"/>
          <w:b/>
          <w:bCs/>
          <w:rtl/>
        </w:rPr>
      </w:pPr>
      <w:r w:rsidRPr="005023CD">
        <w:rPr>
          <w:rFonts w:ascii="Traditional Arabic" w:hAnsi="Traditional Arabic"/>
          <w:b/>
          <w:bCs/>
          <w:rtl/>
        </w:rPr>
        <w:t>(2) ضابط :</w:t>
      </w:r>
      <w:r w:rsidRPr="00B50A50">
        <w:rPr>
          <w:rFonts w:ascii="Traditional Arabic" w:hAnsi="Traditional Arabic"/>
          <w:rtl/>
        </w:rPr>
        <w:t xml:space="preserve"> (الفطر مما دخل لا مما خرج</w:t>
      </w:r>
      <w:r w:rsidR="00B76414">
        <w:rPr>
          <w:rFonts w:ascii="Traditional Arabic" w:hAnsi="Traditional Arabic"/>
          <w:rtl/>
        </w:rPr>
        <w:t>،</w:t>
      </w:r>
      <w:r w:rsidRPr="00B50A50">
        <w:rPr>
          <w:rFonts w:ascii="Traditional Arabic" w:hAnsi="Traditional Arabic"/>
          <w:rtl/>
        </w:rPr>
        <w:t xml:space="preserve"> والوضوء مما خرج لا مما دخل)</w:t>
      </w:r>
      <w:r w:rsidR="00B76414">
        <w:rPr>
          <w:rFonts w:ascii="Traditional Arabic" w:hAnsi="Traditional Arabic"/>
          <w:rtl/>
        </w:rPr>
        <w:t>.</w:t>
      </w:r>
    </w:p>
    <w:p w:rsidR="006F08E1" w:rsidRPr="00B50A50" w:rsidRDefault="006F08E1" w:rsidP="0054384D">
      <w:pPr>
        <w:spacing w:line="600" w:lineRule="exact"/>
        <w:jc w:val="lowKashida"/>
        <w:rPr>
          <w:rFonts w:ascii="Traditional Arabic" w:hAnsi="Traditional Arabic"/>
          <w:b/>
          <w:bCs/>
          <w:rtl/>
        </w:rPr>
      </w:pPr>
      <w:r w:rsidRPr="00B50A50">
        <w:rPr>
          <w:rFonts w:ascii="Traditional Arabic" w:hAnsi="Traditional Arabic"/>
          <w:rtl/>
        </w:rPr>
        <w:t xml:space="preserve">ذكر الشيخ ابن عثيمين </w:t>
      </w:r>
      <w:r w:rsidR="009A0575" w:rsidRPr="005D5694">
        <w:rPr>
          <w:rFonts w:ascii="Traditional Arabic" w:hAnsi="Traditional Arabic" w:cs="CTraditional Arabic" w:hint="cs"/>
          <w:rtl/>
        </w:rPr>
        <w:t>/</w:t>
      </w:r>
      <w:r w:rsidRPr="00B50A50">
        <w:rPr>
          <w:rFonts w:ascii="Traditional Arabic" w:hAnsi="Traditional Arabic"/>
          <w:rtl/>
        </w:rPr>
        <w:t xml:space="preserve"> في نقد هذا الضابط ما نصّه : (والجواب : أن يقال : أين الدليل على هذه القاعدة ؟!</w:t>
      </w:r>
      <w:r w:rsidR="00B76414">
        <w:rPr>
          <w:rFonts w:ascii="Traditional Arabic" w:hAnsi="Traditional Arabic"/>
          <w:rtl/>
        </w:rPr>
        <w:t>،</w:t>
      </w:r>
      <w:r w:rsidRPr="00B50A50">
        <w:rPr>
          <w:rFonts w:ascii="Traditional Arabic" w:hAnsi="Traditional Arabic"/>
          <w:rtl/>
        </w:rPr>
        <w:t xml:space="preserve"> فهذا لحم الإبل ينقض وهو داخل !</w:t>
      </w:r>
      <w:r w:rsidR="00B76414">
        <w:rPr>
          <w:rFonts w:ascii="Traditional Arabic" w:hAnsi="Traditional Arabic"/>
          <w:rtl/>
        </w:rPr>
        <w:t>،</w:t>
      </w:r>
      <w:r w:rsidRPr="00B50A50">
        <w:rPr>
          <w:rFonts w:ascii="Traditional Arabic" w:hAnsi="Traditional Arabic"/>
          <w:rtl/>
        </w:rPr>
        <w:t xml:space="preserve"> فسيقــولون : لا ينقض الوضوء </w:t>
      </w:r>
      <w:r w:rsidRPr="00B50A50">
        <w:rPr>
          <w:rFonts w:ascii="Traditional Arabic" w:hAnsi="Traditional Arabic"/>
          <w:rtl/>
        </w:rPr>
        <w:lastRenderedPageBreak/>
        <w:t xml:space="preserve">إلا على مذهب  </w:t>
      </w:r>
      <w:r w:rsidR="00B41E0F">
        <w:rPr>
          <w:rFonts w:ascii="Traditional Arabic" w:hAnsi="Traditional Arabic" w:hint="cs"/>
          <w:rtl/>
        </w:rPr>
        <w:t xml:space="preserve">الإمام </w:t>
      </w:r>
      <w:r w:rsidRPr="00B50A50">
        <w:rPr>
          <w:rFonts w:ascii="Traditional Arabic" w:hAnsi="Traditional Arabic"/>
          <w:rtl/>
        </w:rPr>
        <w:t>أحمد فقاعدتنا سليمة</w:t>
      </w:r>
      <w:r w:rsidR="00B76414">
        <w:rPr>
          <w:rFonts w:ascii="Traditional Arabic" w:hAnsi="Traditional Arabic"/>
          <w:rtl/>
        </w:rPr>
        <w:t>،</w:t>
      </w:r>
      <w:r w:rsidRPr="00B50A50">
        <w:rPr>
          <w:rFonts w:ascii="Traditional Arabic" w:hAnsi="Traditional Arabic"/>
          <w:rtl/>
        </w:rPr>
        <w:t xml:space="preserve"> قلنا لهــم : إنزال المني من الصائم</w:t>
      </w:r>
      <w:r w:rsidR="00B76414">
        <w:rPr>
          <w:rFonts w:ascii="Traditional Arabic" w:hAnsi="Traditional Arabic"/>
          <w:rtl/>
        </w:rPr>
        <w:t>،</w:t>
      </w:r>
      <w:r w:rsidRPr="00B50A50">
        <w:rPr>
          <w:rFonts w:ascii="Traditional Arabic" w:hAnsi="Traditional Arabic"/>
          <w:rtl/>
        </w:rPr>
        <w:t xml:space="preserve"> خارج ويُفسد الصوم</w:t>
      </w:r>
      <w:r w:rsidR="00B76414">
        <w:rPr>
          <w:rFonts w:ascii="Traditional Arabic" w:hAnsi="Traditional Arabic"/>
          <w:rtl/>
        </w:rPr>
        <w:t>،</w:t>
      </w:r>
      <w:r w:rsidRPr="00B50A50">
        <w:rPr>
          <w:rFonts w:ascii="Traditional Arabic" w:hAnsi="Traditional Arabic"/>
          <w:rtl/>
        </w:rPr>
        <w:t xml:space="preserve"> والصواب : أن القيء عمداً مفطِّر ؛ لأن الحديث دلَّ عليه</w:t>
      </w:r>
      <w:r w:rsidR="00B76414">
        <w:rPr>
          <w:rFonts w:ascii="Traditional Arabic" w:hAnsi="Traditional Arabic"/>
          <w:rtl/>
        </w:rPr>
        <w:t>،</w:t>
      </w:r>
      <w:r w:rsidRPr="00B50A50">
        <w:rPr>
          <w:rFonts w:ascii="Traditional Arabic" w:hAnsi="Traditional Arabic"/>
          <w:rtl/>
        </w:rPr>
        <w:t xml:space="preserve"> والقاعدة التي أسَّسوها غير صحيحة</w:t>
      </w:r>
      <w:r w:rsidR="00B76414">
        <w:rPr>
          <w:rFonts w:ascii="Traditional Arabic" w:hAnsi="Traditional Arabic"/>
          <w:rtl/>
        </w:rPr>
        <w:t>.</w:t>
      </w:r>
      <w:r w:rsidRPr="00B50A50">
        <w:rPr>
          <w:rFonts w:ascii="Traditional Arabic" w:hAnsi="Traditional Arabic"/>
          <w:rtl/>
        </w:rPr>
        <w:t>.. والرأي المقابل للنص المعارض له</w:t>
      </w:r>
      <w:r w:rsidR="00B76414">
        <w:rPr>
          <w:rFonts w:ascii="Traditional Arabic" w:hAnsi="Traditional Arabic"/>
          <w:rtl/>
        </w:rPr>
        <w:t>،</w:t>
      </w:r>
      <w:r w:rsidRPr="00B50A50">
        <w:rPr>
          <w:rFonts w:ascii="Traditional Arabic" w:hAnsi="Traditional Arabic"/>
          <w:rtl/>
        </w:rPr>
        <w:t xml:space="preserve"> فاسد لا عبرة به</w:t>
      </w:r>
      <w:r w:rsidR="00B76414">
        <w:rPr>
          <w:rFonts w:ascii="Traditional Arabic" w:hAnsi="Traditional Arabic"/>
          <w:rtl/>
        </w:rPr>
        <w:t>،</w:t>
      </w:r>
      <w:r w:rsidRPr="00B50A50">
        <w:rPr>
          <w:rFonts w:ascii="Traditional Arabic" w:hAnsi="Traditional Arabic"/>
          <w:rtl/>
        </w:rPr>
        <w:t xml:space="preserve"> ونقول لصاحبه : أأنت أعلم أم الله ؟ فما دام هذا حكم الله</w:t>
      </w:r>
      <w:r w:rsidR="00B76414">
        <w:rPr>
          <w:rFonts w:ascii="Traditional Arabic" w:hAnsi="Traditional Arabic"/>
          <w:rtl/>
        </w:rPr>
        <w:t>،</w:t>
      </w:r>
      <w:r w:rsidRPr="00B50A50">
        <w:rPr>
          <w:rFonts w:ascii="Traditional Arabic" w:hAnsi="Traditional Arabic"/>
          <w:rtl/>
        </w:rPr>
        <w:t xml:space="preserve"> فإنه خير من الرأي)</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174"/>
      </w:r>
      <w:r w:rsidRPr="00C821A1">
        <w:rPr>
          <w:rFonts w:ascii="Traditional Arabic" w:hAnsi="Traditional Arabic"/>
          <w:szCs w:val="32"/>
          <w:vertAlign w:val="superscript"/>
          <w:rtl/>
        </w:rPr>
        <w:t>)</w:t>
      </w:r>
      <w:r w:rsidR="00B76414">
        <w:rPr>
          <w:rFonts w:ascii="Traditional Arabic" w:hAnsi="Traditional Arabic"/>
          <w:rtl/>
        </w:rPr>
        <w:t>.</w:t>
      </w:r>
    </w:p>
    <w:p w:rsidR="006F08E1" w:rsidRDefault="005071C9" w:rsidP="00B75D25">
      <w:pPr>
        <w:spacing w:line="640" w:lineRule="exact"/>
        <w:jc w:val="lowKashida"/>
        <w:rPr>
          <w:rFonts w:ascii="Traditional Arabic" w:hAnsi="Traditional Arabic"/>
          <w:rtl/>
        </w:rPr>
      </w:pPr>
      <w:r>
        <w:rPr>
          <w:rFonts w:ascii="Traditional Arabic" w:hAnsi="Traditional Arabic"/>
          <w:b/>
          <w:bCs/>
          <w:rtl/>
        </w:rPr>
        <w:t>(</w:t>
      </w:r>
      <w:r>
        <w:rPr>
          <w:rFonts w:ascii="Traditional Arabic" w:hAnsi="Traditional Arabic" w:hint="cs"/>
          <w:b/>
          <w:bCs/>
          <w:rtl/>
        </w:rPr>
        <w:t>3</w:t>
      </w:r>
      <w:r w:rsidR="006F08E1" w:rsidRPr="005023CD">
        <w:rPr>
          <w:rFonts w:ascii="Traditional Arabic" w:hAnsi="Traditional Arabic"/>
          <w:b/>
          <w:bCs/>
          <w:rtl/>
        </w:rPr>
        <w:t>) قاعدة :</w:t>
      </w:r>
      <w:r w:rsidR="006F08E1" w:rsidRPr="00B50A50">
        <w:rPr>
          <w:rFonts w:ascii="Traditional Arabic" w:hAnsi="Traditional Arabic"/>
          <w:rtl/>
        </w:rPr>
        <w:t xml:space="preserve"> </w:t>
      </w:r>
      <w:r w:rsidR="00B75D25">
        <w:rPr>
          <w:rFonts w:ascii="Traditional Arabic" w:hAnsi="Traditional Arabic" w:hint="cs"/>
          <w:rtl/>
        </w:rPr>
        <w:t xml:space="preserve">(كل بيع معلق على شرط </w:t>
      </w:r>
      <w:r w:rsidR="00CC0901">
        <w:rPr>
          <w:rFonts w:ascii="Traditional Arabic" w:hAnsi="Traditional Arabic" w:hint="cs"/>
          <w:rtl/>
        </w:rPr>
        <w:t xml:space="preserve">مستقبل </w:t>
      </w:r>
      <w:r w:rsidR="00B75D25">
        <w:rPr>
          <w:rFonts w:ascii="Traditional Arabic" w:hAnsi="Traditional Arabic" w:hint="cs"/>
          <w:rtl/>
        </w:rPr>
        <w:t>فإنه لا يصح)</w:t>
      </w:r>
      <w:r w:rsidR="00166BB4" w:rsidRPr="00166BB4">
        <w:rPr>
          <w:rFonts w:ascii="Traditional Arabic" w:hAnsi="Traditional Arabic" w:hint="cs"/>
          <w:vertAlign w:val="superscript"/>
          <w:rtl/>
        </w:rPr>
        <w:t>(</w:t>
      </w:r>
      <w:r w:rsidR="00166BB4" w:rsidRPr="00166BB4">
        <w:rPr>
          <w:rStyle w:val="af1"/>
          <w:rFonts w:ascii="Traditional Arabic" w:hAnsi="Traditional Arabic"/>
          <w:rtl/>
        </w:rPr>
        <w:footnoteReference w:id="175"/>
      </w:r>
      <w:r w:rsidR="00166BB4" w:rsidRPr="00166BB4">
        <w:rPr>
          <w:rFonts w:ascii="Traditional Arabic" w:hAnsi="Traditional Arabic" w:hint="cs"/>
          <w:vertAlign w:val="superscript"/>
          <w:rtl/>
        </w:rPr>
        <w:t>)</w:t>
      </w:r>
      <w:r w:rsidR="00B75D25">
        <w:rPr>
          <w:rFonts w:ascii="Traditional Arabic" w:hAnsi="Traditional Arabic" w:hint="cs"/>
          <w:rtl/>
        </w:rPr>
        <w:t>.</w:t>
      </w:r>
    </w:p>
    <w:p w:rsidR="00B75D25" w:rsidRDefault="00B75D25" w:rsidP="00B75D25">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ذكر الشيخ_ رحمه الله_ عند تطرُّقه لمسألة: " إذا </w:t>
      </w:r>
      <w:r w:rsidRPr="00B75D25">
        <w:rPr>
          <w:rFonts w:ascii="Traditional Arabic" w:hAnsi="Traditional Arabic"/>
          <w:noProof w:val="0"/>
          <w:rtl/>
          <w:lang w:eastAsia="en-US"/>
        </w:rPr>
        <w:t>ق</w:t>
      </w:r>
      <w:r w:rsidRPr="00B75D25">
        <w:rPr>
          <w:rFonts w:ascii="Traditional Arabic" w:hAnsi="Traditional Arabic" w:hint="cs"/>
          <w:noProof w:val="0"/>
          <w:rtl/>
          <w:lang w:eastAsia="en-US"/>
        </w:rPr>
        <w:t>ا</w:t>
      </w:r>
      <w:r w:rsidRPr="00B75D25">
        <w:rPr>
          <w:rFonts w:ascii="Traditional Arabic" w:hAnsi="Traditional Arabic"/>
          <w:noProof w:val="0"/>
          <w:rtl/>
          <w:lang w:eastAsia="en-US"/>
        </w:rPr>
        <w:t xml:space="preserve">ل </w:t>
      </w:r>
      <w:r>
        <w:rPr>
          <w:rFonts w:ascii="Traditional Arabic" w:hAnsi="Traditional Arabic" w:hint="cs"/>
          <w:noProof w:val="0"/>
          <w:rtl/>
          <w:lang w:eastAsia="en-US"/>
        </w:rPr>
        <w:t xml:space="preserve">الراهن </w:t>
      </w:r>
      <w:r w:rsidRPr="00B75D25">
        <w:rPr>
          <w:rFonts w:ascii="Traditional Arabic" w:hAnsi="Traditional Arabic"/>
          <w:noProof w:val="0"/>
          <w:rtl/>
          <w:lang w:eastAsia="en-US"/>
        </w:rPr>
        <w:t>للمرتهن: إن جئتك بحقك</w:t>
      </w:r>
      <w:r>
        <w:rPr>
          <w:rFonts w:ascii="Traditional Arabic" w:hAnsi="Traditional Arabic"/>
          <w:noProof w:val="0"/>
          <w:rtl/>
          <w:lang w:eastAsia="en-US"/>
        </w:rPr>
        <w:t xml:space="preserve"> في وقت الحلول</w:t>
      </w:r>
      <w:r>
        <w:rPr>
          <w:rFonts w:ascii="Traditional Arabic" w:hAnsi="Traditional Arabic" w:hint="cs"/>
          <w:noProof w:val="0"/>
          <w:rtl/>
          <w:lang w:eastAsia="en-US"/>
        </w:rPr>
        <w:t xml:space="preserve"> </w:t>
      </w:r>
      <w:r w:rsidRPr="00B75D25">
        <w:rPr>
          <w:rFonts w:ascii="Traditional Arabic" w:hAnsi="Traditional Arabic"/>
          <w:noProof w:val="0"/>
          <w:rtl/>
          <w:lang w:eastAsia="en-US"/>
        </w:rPr>
        <w:t>وإلا فالرهن لك</w:t>
      </w:r>
      <w:r>
        <w:rPr>
          <w:rFonts w:ascii="Traditional Arabic" w:hAnsi="Traditional Arabic" w:hint="cs"/>
          <w:noProof w:val="0"/>
          <w:rtl/>
          <w:lang w:eastAsia="en-US"/>
        </w:rPr>
        <w:t>" أن هذا البيع</w:t>
      </w:r>
      <w:r w:rsidRPr="00B75D25">
        <w:rPr>
          <w:rFonts w:ascii="Traditional Arabic" w:hAnsi="Traditional Arabic"/>
          <w:noProof w:val="0"/>
          <w:rtl/>
          <w:lang w:eastAsia="en-US"/>
        </w:rPr>
        <w:t xml:space="preserve"> </w:t>
      </w:r>
      <w:r>
        <w:rPr>
          <w:rFonts w:ascii="Traditional Arabic" w:hAnsi="Traditional Arabic"/>
          <w:noProof w:val="0"/>
          <w:rtl/>
          <w:lang w:eastAsia="en-US"/>
        </w:rPr>
        <w:t>لا يصح</w:t>
      </w:r>
      <w:r>
        <w:rPr>
          <w:rFonts w:ascii="Traditional Arabic" w:hAnsi="Traditional Arabic" w:hint="cs"/>
          <w:noProof w:val="0"/>
          <w:rtl/>
          <w:lang w:eastAsia="en-US"/>
        </w:rPr>
        <w:t xml:space="preserve">؛ لأن القاعدة في المذهب: "أن </w:t>
      </w:r>
      <w:r w:rsidRPr="00B75D25">
        <w:rPr>
          <w:rFonts w:ascii="Traditional Arabic" w:hAnsi="Traditional Arabic"/>
          <w:noProof w:val="0"/>
          <w:rtl/>
          <w:lang w:eastAsia="en-US"/>
        </w:rPr>
        <w:t>كل بيع معلق على شرط فإنه لا يصح</w:t>
      </w:r>
      <w:r>
        <w:rPr>
          <w:rFonts w:ascii="Traditional Arabic" w:hAnsi="Traditional Arabic" w:hint="cs"/>
          <w:noProof w:val="0"/>
          <w:rtl/>
          <w:lang w:eastAsia="en-US"/>
        </w:rPr>
        <w:t>"، ثم قال معلِّقا على ذلك: (</w:t>
      </w:r>
      <w:r w:rsidRPr="00B75D25">
        <w:rPr>
          <w:rFonts w:ascii="Traditional Arabic" w:hAnsi="Traditional Arabic"/>
          <w:noProof w:val="0"/>
          <w:rtl/>
          <w:lang w:eastAsia="en-US"/>
        </w:rPr>
        <w:t>والصحيح أنه يصح</w:t>
      </w:r>
      <w:r>
        <w:rPr>
          <w:rFonts w:ascii="Traditional Arabic" w:hAnsi="Traditional Arabic" w:hint="cs"/>
          <w:noProof w:val="0"/>
          <w:rtl/>
          <w:lang w:eastAsia="en-US"/>
        </w:rPr>
        <w:t>،</w:t>
      </w:r>
      <w:r w:rsidRPr="00B75D25">
        <w:rPr>
          <w:rFonts w:ascii="Traditional Arabic" w:hAnsi="Traditional Arabic"/>
          <w:noProof w:val="0"/>
          <w:rtl/>
          <w:lang w:eastAsia="en-US"/>
        </w:rPr>
        <w:t xml:space="preserve"> وهو اختيار شيخ الإسلام ابن تيمية</w:t>
      </w:r>
      <w:r w:rsidR="00145FDE" w:rsidRPr="00145FDE">
        <w:rPr>
          <w:rFonts w:ascii="Traditional Arabic" w:hAnsi="Traditional Arabic" w:hint="cs"/>
          <w:noProof w:val="0"/>
          <w:vertAlign w:val="superscript"/>
          <w:rtl/>
          <w:lang w:eastAsia="en-US"/>
        </w:rPr>
        <w:t>(</w:t>
      </w:r>
      <w:r w:rsidR="00145FDE" w:rsidRPr="00145FDE">
        <w:rPr>
          <w:rStyle w:val="af1"/>
          <w:rFonts w:ascii="Traditional Arabic" w:hAnsi="Traditional Arabic"/>
          <w:noProof w:val="0"/>
          <w:rtl/>
          <w:lang w:eastAsia="en-US"/>
        </w:rPr>
        <w:footnoteReference w:id="176"/>
      </w:r>
      <w:r w:rsidR="00145FDE" w:rsidRPr="00145FDE">
        <w:rPr>
          <w:rFonts w:ascii="Traditional Arabic" w:hAnsi="Traditional Arabic" w:hint="cs"/>
          <w:noProof w:val="0"/>
          <w:vertAlign w:val="superscript"/>
          <w:rtl/>
          <w:lang w:eastAsia="en-US"/>
        </w:rPr>
        <w:t>)</w:t>
      </w:r>
      <w:r w:rsidRPr="00B75D25">
        <w:rPr>
          <w:rFonts w:ascii="Traditional Arabic" w:hAnsi="Traditional Arabic"/>
          <w:noProof w:val="0"/>
          <w:rtl/>
          <w:lang w:eastAsia="en-US"/>
        </w:rPr>
        <w:t>، إذا كان المعل</w:t>
      </w:r>
      <w:r>
        <w:rPr>
          <w:rFonts w:ascii="Traditional Arabic" w:hAnsi="Traditional Arabic" w:hint="cs"/>
          <w:noProof w:val="0"/>
          <w:rtl/>
          <w:lang w:eastAsia="en-US"/>
        </w:rPr>
        <w:t>َّ</w:t>
      </w:r>
      <w:r>
        <w:rPr>
          <w:rFonts w:ascii="Traditional Arabic" w:hAnsi="Traditional Arabic"/>
          <w:noProof w:val="0"/>
          <w:rtl/>
          <w:lang w:eastAsia="en-US"/>
        </w:rPr>
        <w:t>ق عليه أمرا ممكنا معلوما</w:t>
      </w:r>
      <w:r w:rsidRPr="00B75D25">
        <w:rPr>
          <w:rFonts w:ascii="Traditional Arabic" w:hAnsi="Traditional Arabic"/>
          <w:noProof w:val="0"/>
          <w:rtl/>
          <w:lang w:eastAsia="en-US"/>
        </w:rPr>
        <w:t>؛ لأن ذلك فيه مصلحة، وكوننا نفرق بين عقد وعقد فهذا تناق</w:t>
      </w:r>
      <w:r>
        <w:rPr>
          <w:rFonts w:ascii="Traditional Arabic" w:hAnsi="Traditional Arabic" w:hint="cs"/>
          <w:noProof w:val="0"/>
          <w:rtl/>
          <w:lang w:eastAsia="en-US"/>
        </w:rPr>
        <w:t>ُ</w:t>
      </w:r>
      <w:r w:rsidRPr="00B75D25">
        <w:rPr>
          <w:rFonts w:ascii="Traditional Arabic" w:hAnsi="Traditional Arabic"/>
          <w:noProof w:val="0"/>
          <w:rtl/>
          <w:lang w:eastAsia="en-US"/>
        </w:rPr>
        <w:t>ض</w:t>
      </w:r>
      <w:r w:rsidR="00455CC2" w:rsidRPr="00455CC2">
        <w:rPr>
          <w:rFonts w:ascii="Traditional Arabic" w:hAnsi="Traditional Arabic" w:hint="cs"/>
          <w:noProof w:val="0"/>
          <w:vertAlign w:val="superscript"/>
          <w:rtl/>
          <w:lang w:eastAsia="en-US"/>
        </w:rPr>
        <w:t>(</w:t>
      </w:r>
      <w:r w:rsidR="00455CC2" w:rsidRPr="00455CC2">
        <w:rPr>
          <w:rStyle w:val="af1"/>
          <w:rFonts w:ascii="Traditional Arabic" w:hAnsi="Traditional Arabic"/>
          <w:noProof w:val="0"/>
          <w:rtl/>
          <w:lang w:eastAsia="en-US"/>
        </w:rPr>
        <w:footnoteReference w:id="177"/>
      </w:r>
      <w:r w:rsidR="00455CC2" w:rsidRPr="00455CC2">
        <w:rPr>
          <w:rFonts w:ascii="Traditional Arabic" w:hAnsi="Traditional Arabic" w:hint="cs"/>
          <w:noProof w:val="0"/>
          <w:vertAlign w:val="superscript"/>
          <w:rtl/>
          <w:lang w:eastAsia="en-US"/>
        </w:rPr>
        <w:t>)</w:t>
      </w:r>
      <w:r w:rsidRPr="00B75D25">
        <w:rPr>
          <w:rFonts w:ascii="Traditional Arabic" w:hAnsi="Traditional Arabic"/>
          <w:noProof w:val="0"/>
          <w:rtl/>
          <w:lang w:eastAsia="en-US"/>
        </w:rPr>
        <w:t>، إلا بدليل واضح يقتضي التفريق، بل كوننا نفر</w:t>
      </w:r>
      <w:r>
        <w:rPr>
          <w:rFonts w:ascii="Traditional Arabic" w:hAnsi="Traditional Arabic" w:hint="cs"/>
          <w:noProof w:val="0"/>
          <w:rtl/>
          <w:lang w:eastAsia="en-US"/>
        </w:rPr>
        <w:t>ِّ</w:t>
      </w:r>
      <w:r w:rsidRPr="00B75D25">
        <w:rPr>
          <w:rFonts w:ascii="Traditional Arabic" w:hAnsi="Traditional Arabic"/>
          <w:noProof w:val="0"/>
          <w:rtl/>
          <w:lang w:eastAsia="en-US"/>
        </w:rPr>
        <w:t>ق بين العقد والفسخ لا دليل عليه</w:t>
      </w:r>
      <w:r w:rsidR="00455CC2" w:rsidRPr="00455CC2">
        <w:rPr>
          <w:rFonts w:ascii="Traditional Arabic" w:hAnsi="Traditional Arabic" w:hint="cs"/>
          <w:noProof w:val="0"/>
          <w:vertAlign w:val="superscript"/>
          <w:rtl/>
          <w:lang w:eastAsia="en-US"/>
        </w:rPr>
        <w:t>(</w:t>
      </w:r>
      <w:r w:rsidR="00455CC2" w:rsidRPr="00455CC2">
        <w:rPr>
          <w:rStyle w:val="af1"/>
          <w:rFonts w:ascii="Traditional Arabic" w:hAnsi="Traditional Arabic"/>
          <w:noProof w:val="0"/>
          <w:rtl/>
          <w:lang w:eastAsia="en-US"/>
        </w:rPr>
        <w:footnoteReference w:id="178"/>
      </w:r>
      <w:r w:rsidR="00455CC2" w:rsidRPr="00455CC2">
        <w:rPr>
          <w:rFonts w:ascii="Traditional Arabic" w:hAnsi="Traditional Arabic" w:hint="cs"/>
          <w:noProof w:val="0"/>
          <w:vertAlign w:val="superscript"/>
          <w:rtl/>
          <w:lang w:eastAsia="en-US"/>
        </w:rPr>
        <w:t>)</w:t>
      </w:r>
      <w:r w:rsidRPr="00B75D25">
        <w:rPr>
          <w:rFonts w:ascii="Traditional Arabic" w:hAnsi="Traditional Arabic"/>
          <w:noProof w:val="0"/>
          <w:rtl/>
          <w:lang w:eastAsia="en-US"/>
        </w:rPr>
        <w:t>؛ لأن الأصل أنه إذا جاز تعليق الفسخ جاز تعليق العقد</w:t>
      </w:r>
      <w:r>
        <w:rPr>
          <w:rFonts w:ascii="Traditional Arabic" w:hAnsi="Traditional Arabic" w:hint="cs"/>
          <w:noProof w:val="0"/>
          <w:rtl/>
          <w:lang w:eastAsia="en-US"/>
        </w:rPr>
        <w:t>)</w:t>
      </w:r>
      <w:r w:rsidRPr="00B75D25">
        <w:rPr>
          <w:rFonts w:ascii="Traditional Arabic" w:hAnsi="Traditional Arabic" w:hint="cs"/>
          <w:noProof w:val="0"/>
          <w:vertAlign w:val="superscript"/>
          <w:rtl/>
          <w:lang w:eastAsia="en-US"/>
        </w:rPr>
        <w:t>(</w:t>
      </w:r>
      <w:r w:rsidRPr="00B75D25">
        <w:rPr>
          <w:rStyle w:val="af1"/>
          <w:rFonts w:ascii="Traditional Arabic" w:hAnsi="Traditional Arabic"/>
          <w:noProof w:val="0"/>
          <w:rtl/>
          <w:lang w:eastAsia="en-US"/>
        </w:rPr>
        <w:footnoteReference w:id="179"/>
      </w:r>
      <w:r w:rsidRPr="00B75D25">
        <w:rPr>
          <w:rFonts w:ascii="Traditional Arabic" w:hAnsi="Traditional Arabic" w:hint="cs"/>
          <w:noProof w:val="0"/>
          <w:vertAlign w:val="superscript"/>
          <w:rtl/>
          <w:lang w:eastAsia="en-US"/>
        </w:rPr>
        <w:t>)</w:t>
      </w:r>
      <w:r>
        <w:rPr>
          <w:rFonts w:ascii="Traditional Arabic" w:hAnsi="Traditional Arabic" w:hint="cs"/>
          <w:noProof w:val="0"/>
          <w:rtl/>
          <w:lang w:eastAsia="en-US"/>
        </w:rPr>
        <w:t>.</w:t>
      </w:r>
    </w:p>
    <w:p w:rsidR="00D61DF9" w:rsidRDefault="00D61DF9" w:rsidP="00B75D25">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lastRenderedPageBreak/>
        <w:t xml:space="preserve">    ولما قرر الشيخ رحمه الله طهارة بعض الحيوانات كالبغل والحمار، وأورد حديثا مشكلا على القائلين بنجاستها، قال: ( إن جواب القائلين بالنجاسة على ذلك هو بناءً على قواعدهم التي أصَّلوها، ولكن الشرع مقدَّم على قواعدهم)</w:t>
      </w:r>
      <w:r w:rsidRPr="00D61DF9">
        <w:rPr>
          <w:rFonts w:ascii="Traditional Arabic" w:hAnsi="Traditional Arabic" w:hint="cs"/>
          <w:noProof w:val="0"/>
          <w:vertAlign w:val="superscript"/>
          <w:rtl/>
          <w:lang w:eastAsia="en-US"/>
        </w:rPr>
        <w:t>(</w:t>
      </w:r>
      <w:r w:rsidRPr="00D61DF9">
        <w:rPr>
          <w:rStyle w:val="af1"/>
          <w:rFonts w:ascii="Traditional Arabic" w:hAnsi="Traditional Arabic"/>
          <w:noProof w:val="0"/>
          <w:rtl/>
          <w:lang w:eastAsia="en-US"/>
        </w:rPr>
        <w:footnoteReference w:id="180"/>
      </w:r>
      <w:r w:rsidRPr="00D61DF9">
        <w:rPr>
          <w:rFonts w:ascii="Traditional Arabic" w:hAnsi="Traditional Arabic" w:hint="cs"/>
          <w:noProof w:val="0"/>
          <w:vertAlign w:val="superscript"/>
          <w:rtl/>
          <w:lang w:eastAsia="en-US"/>
        </w:rPr>
        <w:t>)</w:t>
      </w:r>
      <w:r>
        <w:rPr>
          <w:rFonts w:ascii="Traditional Arabic" w:hAnsi="Traditional Arabic" w:hint="cs"/>
          <w:noProof w:val="0"/>
          <w:rtl/>
          <w:lang w:eastAsia="en-US"/>
        </w:rPr>
        <w:t>.</w:t>
      </w:r>
    </w:p>
    <w:p w:rsidR="00D61DF9" w:rsidRPr="00B75D25" w:rsidRDefault="00D61DF9" w:rsidP="00B75D25">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وفي هذا يقول ابن القيم رحمه الله: (</w:t>
      </w:r>
      <w:r w:rsidR="00DC7BA3" w:rsidRPr="00DC7BA3">
        <w:rPr>
          <w:rFonts w:ascii="Traditional Arabic" w:hAnsi="Traditional Arabic"/>
          <w:noProof w:val="0"/>
          <w:rtl/>
          <w:lang w:eastAsia="en-US"/>
        </w:rPr>
        <w:t>أما أن نقع</w:t>
      </w:r>
      <w:r w:rsidR="00DC7BA3">
        <w:rPr>
          <w:rFonts w:ascii="Traditional Arabic" w:hAnsi="Traditional Arabic" w:hint="cs"/>
          <w:noProof w:val="0"/>
          <w:rtl/>
          <w:lang w:eastAsia="en-US"/>
        </w:rPr>
        <w:t>ِّ</w:t>
      </w:r>
      <w:r w:rsidR="00DC7BA3" w:rsidRPr="00DC7BA3">
        <w:rPr>
          <w:rFonts w:ascii="Traditional Arabic" w:hAnsi="Traditional Arabic"/>
          <w:noProof w:val="0"/>
          <w:rtl/>
          <w:lang w:eastAsia="en-US"/>
        </w:rPr>
        <w:t>د قاعدة</w:t>
      </w:r>
      <w:r w:rsidR="00DC7BA3">
        <w:rPr>
          <w:rFonts w:ascii="Traditional Arabic" w:hAnsi="Traditional Arabic" w:hint="cs"/>
          <w:noProof w:val="0"/>
          <w:rtl/>
          <w:lang w:eastAsia="en-US"/>
        </w:rPr>
        <w:t>ً</w:t>
      </w:r>
      <w:r w:rsidR="00DC7BA3" w:rsidRPr="00DC7BA3">
        <w:rPr>
          <w:rFonts w:ascii="Traditional Arabic" w:hAnsi="Traditional Arabic"/>
          <w:noProof w:val="0"/>
          <w:rtl/>
          <w:lang w:eastAsia="en-US"/>
        </w:rPr>
        <w:t xml:space="preserve"> ونقول</w:t>
      </w:r>
      <w:r w:rsidR="00DC7BA3">
        <w:rPr>
          <w:rFonts w:ascii="Traditional Arabic" w:hAnsi="Traditional Arabic" w:hint="cs"/>
          <w:noProof w:val="0"/>
          <w:rtl/>
          <w:lang w:eastAsia="en-US"/>
        </w:rPr>
        <w:t>:</w:t>
      </w:r>
      <w:r w:rsidR="00DC7BA3" w:rsidRPr="00DC7BA3">
        <w:rPr>
          <w:rFonts w:ascii="Traditional Arabic" w:hAnsi="Traditional Arabic"/>
          <w:noProof w:val="0"/>
          <w:rtl/>
          <w:lang w:eastAsia="en-US"/>
        </w:rPr>
        <w:t xml:space="preserve"> هذا هو الأصل</w:t>
      </w:r>
      <w:r w:rsidR="00DC7BA3">
        <w:rPr>
          <w:rFonts w:ascii="Traditional Arabic" w:hAnsi="Traditional Arabic" w:hint="cs"/>
          <w:noProof w:val="0"/>
          <w:rtl/>
          <w:lang w:eastAsia="en-US"/>
        </w:rPr>
        <w:t>،</w:t>
      </w:r>
      <w:r w:rsidR="00DC7BA3" w:rsidRPr="00DC7BA3">
        <w:rPr>
          <w:rFonts w:ascii="Traditional Arabic" w:hAnsi="Traditional Arabic"/>
          <w:noProof w:val="0"/>
          <w:rtl/>
          <w:lang w:eastAsia="en-US"/>
        </w:rPr>
        <w:t xml:space="preserve"> ثم نرد</w:t>
      </w:r>
      <w:r w:rsidR="00DC7BA3">
        <w:rPr>
          <w:rFonts w:ascii="Traditional Arabic" w:hAnsi="Traditional Arabic" w:hint="cs"/>
          <w:noProof w:val="0"/>
          <w:rtl/>
          <w:lang w:eastAsia="en-US"/>
        </w:rPr>
        <w:t>ُّ</w:t>
      </w:r>
      <w:r w:rsidR="00DC7BA3" w:rsidRPr="00DC7BA3">
        <w:rPr>
          <w:rFonts w:ascii="Traditional Arabic" w:hAnsi="Traditional Arabic"/>
          <w:noProof w:val="0"/>
          <w:rtl/>
          <w:lang w:eastAsia="en-US"/>
        </w:rPr>
        <w:t xml:space="preserve"> السنة لأجل مخالفة تلك القاعدة</w:t>
      </w:r>
      <w:r w:rsidR="00DC7BA3">
        <w:rPr>
          <w:rFonts w:ascii="Traditional Arabic" w:hAnsi="Traditional Arabic" w:hint="cs"/>
          <w:noProof w:val="0"/>
          <w:rtl/>
          <w:lang w:eastAsia="en-US"/>
        </w:rPr>
        <w:t>،</w:t>
      </w:r>
      <w:r w:rsidR="00DC7BA3" w:rsidRPr="00DC7BA3">
        <w:rPr>
          <w:rFonts w:ascii="Traditional Arabic" w:hAnsi="Traditional Arabic"/>
          <w:noProof w:val="0"/>
          <w:color w:val="auto"/>
          <w:rtl/>
          <w:lang w:eastAsia="en-US"/>
        </w:rPr>
        <w:t xml:space="preserve"> فل</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ع</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م</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ر</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 xml:space="preserve"> الله ل</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هد</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م</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 xml:space="preserve"> ألف قاعدة لم يؤص</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لها الله</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 xml:space="preserve"> ورسوله أفرض</w:t>
      </w:r>
      <w:r w:rsidR="00DC7BA3">
        <w:rPr>
          <w:rFonts w:ascii="Traditional Arabic" w:hAnsi="Traditional Arabic" w:hint="cs"/>
          <w:noProof w:val="0"/>
          <w:color w:val="auto"/>
          <w:rtl/>
          <w:lang w:eastAsia="en-US"/>
        </w:rPr>
        <w:t>ُ</w:t>
      </w:r>
      <w:r w:rsidR="00DC7BA3" w:rsidRPr="00DC7BA3">
        <w:rPr>
          <w:rFonts w:ascii="Traditional Arabic" w:hAnsi="Traditional Arabic"/>
          <w:noProof w:val="0"/>
          <w:color w:val="auto"/>
          <w:rtl/>
          <w:lang w:eastAsia="en-US"/>
        </w:rPr>
        <w:t xml:space="preserve"> علينا من رد حديث واحد</w:t>
      </w:r>
      <w:r>
        <w:rPr>
          <w:rFonts w:ascii="Traditional Arabic" w:hAnsi="Traditional Arabic" w:hint="cs"/>
          <w:noProof w:val="0"/>
          <w:rtl/>
          <w:lang w:eastAsia="en-US"/>
        </w:rPr>
        <w:t>)</w:t>
      </w:r>
      <w:r w:rsidR="00DC7BA3" w:rsidRPr="00DC7BA3">
        <w:rPr>
          <w:rFonts w:ascii="Traditional Arabic" w:hAnsi="Traditional Arabic" w:hint="cs"/>
          <w:noProof w:val="0"/>
          <w:vertAlign w:val="superscript"/>
          <w:rtl/>
          <w:lang w:eastAsia="en-US"/>
        </w:rPr>
        <w:t>(</w:t>
      </w:r>
      <w:r w:rsidR="00DC7BA3" w:rsidRPr="00DC7BA3">
        <w:rPr>
          <w:rStyle w:val="af1"/>
          <w:rFonts w:ascii="Traditional Arabic" w:hAnsi="Traditional Arabic"/>
          <w:noProof w:val="0"/>
          <w:rtl/>
          <w:lang w:eastAsia="en-US"/>
        </w:rPr>
        <w:footnoteReference w:id="181"/>
      </w:r>
      <w:r w:rsidR="00DC7BA3" w:rsidRPr="00DC7BA3">
        <w:rPr>
          <w:rFonts w:ascii="Traditional Arabic" w:hAnsi="Traditional Arabic" w:hint="cs"/>
          <w:noProof w:val="0"/>
          <w:vertAlign w:val="superscript"/>
          <w:rtl/>
          <w:lang w:eastAsia="en-US"/>
        </w:rPr>
        <w:t>)</w:t>
      </w:r>
      <w:r>
        <w:rPr>
          <w:rFonts w:ascii="Traditional Arabic" w:hAnsi="Traditional Arabic" w:hint="cs"/>
          <w:noProof w:val="0"/>
          <w:rtl/>
          <w:lang w:eastAsia="en-US"/>
        </w:rPr>
        <w:t>.</w:t>
      </w:r>
    </w:p>
    <w:p w:rsidR="00984A97" w:rsidRDefault="00727A8B" w:rsidP="00A8347C">
      <w:pPr>
        <w:pStyle w:val="aff3"/>
        <w:rPr>
          <w:rtl/>
        </w:rPr>
      </w:pPr>
      <w:bookmarkStart w:id="32" w:name="_Toc334046292"/>
      <w:r>
        <w:rPr>
          <w:rFonts w:hint="cs"/>
          <w:rtl/>
        </w:rPr>
        <w:t xml:space="preserve">           </w:t>
      </w:r>
      <w:r w:rsidR="00E654A5">
        <w:rPr>
          <w:rFonts w:hint="cs"/>
          <w:rtl/>
        </w:rPr>
        <w:t xml:space="preserve">                             </w:t>
      </w:r>
      <w:r w:rsidR="00984A97">
        <w:rPr>
          <w:rtl/>
        </w:rPr>
        <w:t>المطلب ال</w:t>
      </w:r>
      <w:r w:rsidR="00984A97">
        <w:rPr>
          <w:rFonts w:hint="cs"/>
          <w:rtl/>
        </w:rPr>
        <w:t>ثاني</w:t>
      </w:r>
      <w:r w:rsidR="00D75AED">
        <w:rPr>
          <w:rFonts w:hint="cs"/>
          <w:rtl/>
        </w:rPr>
        <w:t> :</w:t>
      </w:r>
      <w:r w:rsidR="00D75AED">
        <w:rPr>
          <w:rFonts w:hint="cs"/>
          <w:rtl/>
        </w:rPr>
        <w:br/>
      </w:r>
      <w:r w:rsidR="00984A97">
        <w:rPr>
          <w:rFonts w:hint="cs"/>
          <w:rtl/>
        </w:rPr>
        <w:t xml:space="preserve">       </w:t>
      </w:r>
      <w:r w:rsidR="006F08E1" w:rsidRPr="008262F0">
        <w:rPr>
          <w:rtl/>
        </w:rPr>
        <w:t xml:space="preserve">كتب </w:t>
      </w:r>
      <w:r w:rsidR="00984A97">
        <w:rPr>
          <w:rFonts w:hint="cs"/>
          <w:rtl/>
        </w:rPr>
        <w:t xml:space="preserve">أهل العلم، وأهمها : كتب </w:t>
      </w:r>
      <w:r w:rsidR="006F08E1" w:rsidRPr="008262F0">
        <w:rPr>
          <w:rtl/>
        </w:rPr>
        <w:t>شيخ الإسلام ابن تيمية</w:t>
      </w:r>
      <w:r w:rsidR="00984A97">
        <w:rPr>
          <w:rFonts w:hint="cs"/>
          <w:rtl/>
        </w:rPr>
        <w:t xml:space="preserve"> وابن القيم</w:t>
      </w:r>
      <w:bookmarkEnd w:id="32"/>
    </w:p>
    <w:p w:rsidR="00F228A9" w:rsidRPr="008262F0" w:rsidRDefault="00984A97" w:rsidP="00A8347C">
      <w:pPr>
        <w:pStyle w:val="aff3"/>
        <w:rPr>
          <w:rtl/>
        </w:rPr>
      </w:pPr>
      <w:r>
        <w:rPr>
          <w:rFonts w:hint="cs"/>
          <w:rtl/>
        </w:rPr>
        <w:t xml:space="preserve">            </w:t>
      </w:r>
      <w:r w:rsidR="00647662">
        <w:rPr>
          <w:rFonts w:hint="cs"/>
          <w:rtl/>
        </w:rPr>
        <w:t xml:space="preserve">                          وكتب ش</w:t>
      </w:r>
      <w:r>
        <w:rPr>
          <w:rFonts w:hint="cs"/>
          <w:rtl/>
        </w:rPr>
        <w:t xml:space="preserve">يخه السعدي                   </w:t>
      </w:r>
    </w:p>
    <w:p w:rsidR="008454EA" w:rsidRDefault="006F08E1" w:rsidP="008454EA">
      <w:pPr>
        <w:spacing w:line="600" w:lineRule="exact"/>
        <w:jc w:val="lowKashida"/>
        <w:rPr>
          <w:rFonts w:ascii="Traditional Arabic" w:hAnsi="Traditional Arabic"/>
          <w:rtl/>
        </w:rPr>
      </w:pPr>
      <w:r w:rsidRPr="008262F0">
        <w:rPr>
          <w:rFonts w:ascii="Traditional Arabic" w:hAnsi="Traditional Arabic"/>
          <w:rtl/>
        </w:rPr>
        <w:t xml:space="preserve">انكبَّ الشيخ ابن عثيمين </w:t>
      </w:r>
      <w:r w:rsidR="009A0575" w:rsidRPr="005D5694">
        <w:rPr>
          <w:rFonts w:ascii="Traditional Arabic" w:hAnsi="Traditional Arabic" w:cs="CTraditional Arabic" w:hint="cs"/>
          <w:rtl/>
        </w:rPr>
        <w:t>/</w:t>
      </w:r>
      <w:r w:rsidRPr="008262F0">
        <w:rPr>
          <w:rFonts w:ascii="Traditional Arabic" w:hAnsi="Traditional Arabic"/>
          <w:rtl/>
        </w:rPr>
        <w:t xml:space="preserve"> على مؤلفات الشيخين الجليلين ابن تيمية وتلميذه ابن القيم</w:t>
      </w:r>
      <w:r w:rsidR="008454EA">
        <w:rPr>
          <w:rFonts w:ascii="Traditional Arabic" w:hAnsi="Traditional Arabic" w:hint="cs"/>
          <w:rtl/>
        </w:rPr>
        <w:t>_</w:t>
      </w:r>
      <w:r w:rsidRPr="008262F0">
        <w:rPr>
          <w:rFonts w:ascii="Traditional Arabic" w:hAnsi="Traditional Arabic"/>
          <w:rtl/>
        </w:rPr>
        <w:t xml:space="preserve"> رحمهما الله</w:t>
      </w:r>
      <w:r w:rsidR="008454EA">
        <w:rPr>
          <w:rFonts w:ascii="Traditional Arabic" w:hAnsi="Traditional Arabic" w:hint="cs"/>
          <w:rtl/>
        </w:rPr>
        <w:t>_</w:t>
      </w:r>
      <w:r w:rsidR="008454EA">
        <w:rPr>
          <w:rFonts w:ascii="Traditional Arabic" w:hAnsi="Traditional Arabic"/>
          <w:rtl/>
        </w:rPr>
        <w:t>، فاست</w:t>
      </w:r>
      <w:r w:rsidR="008454EA">
        <w:rPr>
          <w:rFonts w:ascii="Traditional Arabic" w:hAnsi="Traditional Arabic" w:hint="cs"/>
          <w:rtl/>
        </w:rPr>
        <w:t>فاد</w:t>
      </w:r>
      <w:r w:rsidRPr="008262F0">
        <w:rPr>
          <w:rFonts w:ascii="Traditional Arabic" w:hAnsi="Traditional Arabic"/>
          <w:rtl/>
        </w:rPr>
        <w:t xml:space="preserve"> </w:t>
      </w:r>
      <w:r w:rsidR="008454EA">
        <w:rPr>
          <w:rFonts w:ascii="Traditional Arabic" w:hAnsi="Traditional Arabic" w:hint="cs"/>
          <w:rtl/>
        </w:rPr>
        <w:t>م</w:t>
      </w:r>
      <w:r w:rsidRPr="008262F0">
        <w:rPr>
          <w:rFonts w:ascii="Traditional Arabic" w:hAnsi="Traditional Arabic"/>
          <w:rtl/>
        </w:rPr>
        <w:t>ما حوته كتبهما من التحقيق العظيم في علوم السلف</w:t>
      </w:r>
      <w:r w:rsidR="00B76414">
        <w:rPr>
          <w:rFonts w:ascii="Traditional Arabic" w:hAnsi="Traditional Arabic"/>
          <w:rtl/>
        </w:rPr>
        <w:t>،</w:t>
      </w:r>
      <w:r w:rsidRPr="008262F0">
        <w:rPr>
          <w:rFonts w:ascii="Traditional Arabic" w:hAnsi="Traditional Arabic"/>
          <w:rtl/>
        </w:rPr>
        <w:t xml:space="preserve"> والحرص على طلب الدليل الصحيح</w:t>
      </w:r>
      <w:r w:rsidR="00B76414">
        <w:rPr>
          <w:rFonts w:ascii="Traditional Arabic" w:hAnsi="Traditional Arabic"/>
          <w:rtl/>
        </w:rPr>
        <w:t>،</w:t>
      </w:r>
      <w:r w:rsidRPr="008262F0">
        <w:rPr>
          <w:rFonts w:ascii="Traditional Arabic" w:hAnsi="Traditional Arabic"/>
          <w:rtl/>
        </w:rPr>
        <w:t xml:space="preserve"> مما كان له أبلغ الأثر في شخصية </w:t>
      </w:r>
      <w:r w:rsidR="008454EA">
        <w:rPr>
          <w:rFonts w:ascii="Traditional Arabic" w:hAnsi="Traditional Arabic" w:hint="cs"/>
          <w:rtl/>
        </w:rPr>
        <w:t xml:space="preserve">الشيخ </w:t>
      </w:r>
      <w:r w:rsidRPr="008262F0">
        <w:rPr>
          <w:rFonts w:ascii="Traditional Arabic" w:hAnsi="Traditional Arabic"/>
          <w:rtl/>
        </w:rPr>
        <w:t>ابن عثيمين</w:t>
      </w:r>
      <w:r w:rsidR="008454EA">
        <w:rPr>
          <w:rFonts w:ascii="Traditional Arabic" w:hAnsi="Traditional Arabic" w:hint="cs"/>
          <w:rtl/>
        </w:rPr>
        <w:t>_رحمه الله_</w:t>
      </w:r>
      <w:r w:rsidR="00A97756">
        <w:rPr>
          <w:rFonts w:ascii="Traditional Arabic" w:hAnsi="Traditional Arabic" w:hint="cs"/>
          <w:rtl/>
        </w:rPr>
        <w:t>.</w:t>
      </w:r>
      <w:r w:rsidRPr="008262F0">
        <w:rPr>
          <w:rFonts w:ascii="Traditional Arabic" w:hAnsi="Traditional Arabic"/>
          <w:rtl/>
        </w:rPr>
        <w:t xml:space="preserve"> يقول الشيخ </w:t>
      </w:r>
      <w:r w:rsidR="009A0575" w:rsidRPr="005D5694">
        <w:rPr>
          <w:rFonts w:ascii="Traditional Arabic" w:hAnsi="Traditional Arabic" w:cs="CTraditional Arabic" w:hint="cs"/>
          <w:rtl/>
        </w:rPr>
        <w:t>/</w:t>
      </w:r>
      <w:r w:rsidRPr="008262F0">
        <w:rPr>
          <w:rFonts w:ascii="Traditional Arabic" w:hAnsi="Traditional Arabic"/>
          <w:rtl/>
        </w:rPr>
        <w:t>: (ومن أجلِّ الكتب التي يجب على طالب العلم أن يحرص عليها</w:t>
      </w:r>
      <w:r w:rsidR="00B76414">
        <w:rPr>
          <w:rFonts w:ascii="Traditional Arabic" w:hAnsi="Traditional Arabic"/>
          <w:rtl/>
        </w:rPr>
        <w:t>،</w:t>
      </w:r>
      <w:r w:rsidRPr="008262F0">
        <w:rPr>
          <w:rFonts w:ascii="Traditional Arabic" w:hAnsi="Traditional Arabic"/>
          <w:rtl/>
        </w:rPr>
        <w:t>كتب شيخ الإسلام ابن تيمية وتلميذه ابن القيم رحمهما الله)</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182"/>
      </w:r>
      <w:r w:rsidRPr="00C821A1">
        <w:rPr>
          <w:rFonts w:ascii="Traditional Arabic" w:hAnsi="Traditional Arabic"/>
          <w:szCs w:val="32"/>
          <w:vertAlign w:val="superscript"/>
          <w:rtl/>
        </w:rPr>
        <w:t>)</w:t>
      </w:r>
      <w:r w:rsidR="00B76414">
        <w:rPr>
          <w:rFonts w:ascii="Traditional Arabic" w:hAnsi="Traditional Arabic"/>
          <w:rtl/>
        </w:rPr>
        <w:t>.</w:t>
      </w:r>
      <w:r w:rsidR="008454EA">
        <w:rPr>
          <w:rFonts w:ascii="Traditional Arabic" w:hAnsi="Traditional Arabic" w:hint="cs"/>
          <w:rtl/>
        </w:rPr>
        <w:t xml:space="preserve"> </w:t>
      </w:r>
      <w:r w:rsidRPr="008262F0">
        <w:rPr>
          <w:rFonts w:ascii="Traditional Arabic" w:hAnsi="Traditional Arabic"/>
          <w:rtl/>
        </w:rPr>
        <w:t xml:space="preserve"> </w:t>
      </w:r>
    </w:p>
    <w:p w:rsidR="008454EA" w:rsidRPr="00C95443" w:rsidRDefault="00C95443" w:rsidP="00C95443">
      <w:pPr>
        <w:widowControl/>
        <w:autoSpaceDE w:val="0"/>
        <w:autoSpaceDN w:val="0"/>
        <w:adjustRightInd w:val="0"/>
        <w:ind w:firstLine="0"/>
        <w:jc w:val="left"/>
        <w:rPr>
          <w:rFonts w:ascii="Simplified Arabic" w:hAnsi="Simplified Arabic" w:cs="Simplified Arabic"/>
          <w:noProof w:val="0"/>
          <w:color w:val="FF0000"/>
          <w:sz w:val="28"/>
          <w:szCs w:val="28"/>
          <w:rtl/>
          <w:lang w:eastAsia="en-US"/>
        </w:rPr>
      </w:pPr>
      <w:r>
        <w:rPr>
          <w:rFonts w:ascii="Traditional Arabic" w:hAnsi="Traditional Arabic" w:hint="cs"/>
          <w:rtl/>
        </w:rPr>
        <w:t xml:space="preserve">    </w:t>
      </w:r>
      <w:r w:rsidR="008454EA">
        <w:rPr>
          <w:rFonts w:ascii="Traditional Arabic" w:hAnsi="Traditional Arabic" w:hint="cs"/>
          <w:rtl/>
        </w:rPr>
        <w:t xml:space="preserve">ومع ذلك لم يكن الشيخ ابن عثيمين </w:t>
      </w:r>
      <w:r>
        <w:rPr>
          <w:rFonts w:ascii="Traditional Arabic" w:hAnsi="Traditional Arabic" w:hint="cs"/>
          <w:rtl/>
        </w:rPr>
        <w:t xml:space="preserve">مقلِّدا لهما، بل كان يرجح من أقوالهما </w:t>
      </w:r>
      <w:r w:rsidR="008454EA">
        <w:rPr>
          <w:rFonts w:ascii="Traditional Arabic" w:hAnsi="Traditional Arabic" w:hint="cs"/>
          <w:rtl/>
        </w:rPr>
        <w:t>ما وافقا فيه الدليل</w:t>
      </w:r>
      <w:r>
        <w:rPr>
          <w:rFonts w:ascii="Traditional Arabic" w:hAnsi="Traditional Arabic" w:hint="cs"/>
          <w:rtl/>
        </w:rPr>
        <w:t>، ويردُّ ما تبيَّن له أنه على خلافه</w:t>
      </w:r>
      <w:r w:rsidR="008454EA">
        <w:rPr>
          <w:rFonts w:ascii="Traditional Arabic" w:hAnsi="Traditional Arabic" w:hint="cs"/>
          <w:rtl/>
        </w:rPr>
        <w:t>؛ ولهذا يقول_رحمه الله_</w:t>
      </w:r>
      <w:r>
        <w:rPr>
          <w:rFonts w:ascii="Traditional Arabic" w:hAnsi="Traditional Arabic" w:hint="cs"/>
          <w:rtl/>
        </w:rPr>
        <w:t>لما خالف شيخَ الإسلام في بعض المسائل</w:t>
      </w:r>
      <w:r w:rsidR="008454EA">
        <w:rPr>
          <w:rFonts w:ascii="Traditional Arabic" w:hAnsi="Traditional Arabic" w:hint="cs"/>
          <w:rtl/>
        </w:rPr>
        <w:t xml:space="preserve">: </w:t>
      </w:r>
      <w:r w:rsidR="008454EA" w:rsidRPr="008454EA">
        <w:rPr>
          <w:rFonts w:ascii="Traditional Arabic" w:hAnsi="Traditional Arabic" w:hint="cs"/>
          <w:rtl/>
        </w:rPr>
        <w:t>(</w:t>
      </w:r>
      <w:r w:rsidR="008454EA" w:rsidRPr="008454EA">
        <w:rPr>
          <w:rFonts w:ascii="Traditional Arabic" w:hAnsi="Traditional Arabic"/>
          <w:noProof w:val="0"/>
          <w:rtl/>
          <w:lang w:eastAsia="en-US"/>
        </w:rPr>
        <w:t>وعلى هذا</w:t>
      </w:r>
      <w:r w:rsidR="008454EA">
        <w:rPr>
          <w:rFonts w:ascii="Traditional Arabic" w:hAnsi="Traditional Arabic" w:hint="cs"/>
          <w:noProof w:val="0"/>
          <w:rtl/>
          <w:lang w:eastAsia="en-US"/>
        </w:rPr>
        <w:t>،</w:t>
      </w:r>
      <w:r w:rsidR="008454EA" w:rsidRPr="008454EA">
        <w:rPr>
          <w:rFonts w:ascii="Traditional Arabic" w:hAnsi="Traditional Arabic"/>
          <w:noProof w:val="0"/>
          <w:rtl/>
          <w:lang w:eastAsia="en-US"/>
        </w:rPr>
        <w:t xml:space="preserve"> فيكون هذا من المواضع التي يخال</w:t>
      </w:r>
      <w:r w:rsidR="008454EA">
        <w:rPr>
          <w:rFonts w:ascii="Traditional Arabic" w:hAnsi="Traditional Arabic" w:hint="cs"/>
          <w:noProof w:val="0"/>
          <w:rtl/>
          <w:lang w:eastAsia="en-US"/>
        </w:rPr>
        <w:t>َ</w:t>
      </w:r>
      <w:r w:rsidR="008454EA" w:rsidRPr="008454EA">
        <w:rPr>
          <w:rFonts w:ascii="Traditional Arabic" w:hAnsi="Traditional Arabic"/>
          <w:noProof w:val="0"/>
          <w:rtl/>
          <w:lang w:eastAsia="en-US"/>
        </w:rPr>
        <w:t>ف فيها شيخ الإسلام ـ رحمه الله ـ مع أن غالب اختياراته أقرب</w:t>
      </w:r>
      <w:r w:rsidR="008454EA">
        <w:rPr>
          <w:rFonts w:ascii="Traditional Arabic" w:hAnsi="Traditional Arabic" w:hint="cs"/>
          <w:noProof w:val="0"/>
          <w:rtl/>
          <w:lang w:eastAsia="en-US"/>
        </w:rPr>
        <w:t>ُ</w:t>
      </w:r>
      <w:r w:rsidR="008454EA">
        <w:rPr>
          <w:rFonts w:ascii="Traditional Arabic" w:hAnsi="Traditional Arabic"/>
          <w:noProof w:val="0"/>
          <w:rtl/>
          <w:lang w:eastAsia="en-US"/>
        </w:rPr>
        <w:t xml:space="preserve"> إلى الصواب من غيره</w:t>
      </w:r>
      <w:r w:rsidR="008454EA">
        <w:rPr>
          <w:rFonts w:ascii="Traditional Arabic" w:hAnsi="Traditional Arabic" w:hint="cs"/>
          <w:noProof w:val="0"/>
          <w:rtl/>
          <w:lang w:eastAsia="en-US"/>
        </w:rPr>
        <w:t>؛</w:t>
      </w:r>
      <w:r w:rsidR="008454EA" w:rsidRPr="008454EA">
        <w:rPr>
          <w:rFonts w:ascii="Traditional Arabic" w:hAnsi="Traditional Arabic"/>
          <w:noProof w:val="0"/>
          <w:rtl/>
          <w:lang w:eastAsia="en-US"/>
        </w:rPr>
        <w:t xml:space="preserve"> كل ما اختاره إذا تأملته وتدبرته</w:t>
      </w:r>
      <w:r w:rsidR="008454EA" w:rsidRPr="008454EA">
        <w:rPr>
          <w:rFonts w:ascii="Simplified Arabic" w:hAnsi="Simplified Arabic" w:cs="Simplified Arabic" w:hint="cs"/>
          <w:noProof w:val="0"/>
          <w:color w:val="FF0000"/>
          <w:rtl/>
          <w:lang w:eastAsia="en-US"/>
        </w:rPr>
        <w:t xml:space="preserve"> </w:t>
      </w:r>
      <w:r w:rsidR="008454EA" w:rsidRPr="008454EA">
        <w:rPr>
          <w:rFonts w:ascii="Traditional Arabic" w:hAnsi="Traditional Arabic"/>
          <w:noProof w:val="0"/>
          <w:rtl/>
          <w:lang w:eastAsia="en-US"/>
        </w:rPr>
        <w:t xml:space="preserve">وجدته أقرب إلى </w:t>
      </w:r>
      <w:r w:rsidR="008454EA" w:rsidRPr="008454EA">
        <w:rPr>
          <w:rFonts w:ascii="Traditional Arabic" w:hAnsi="Traditional Arabic"/>
          <w:noProof w:val="0"/>
          <w:rtl/>
          <w:lang w:eastAsia="en-US"/>
        </w:rPr>
        <w:lastRenderedPageBreak/>
        <w:t>الصواب من غيره، لكنه ليس بمعصوم، لدينا نحو عشر مسائل أو أكثر</w:t>
      </w:r>
      <w:r w:rsidR="008454EA">
        <w:rPr>
          <w:rFonts w:ascii="Traditional Arabic" w:hAnsi="Traditional Arabic" w:hint="cs"/>
          <w:noProof w:val="0"/>
          <w:rtl/>
          <w:lang w:eastAsia="en-US"/>
        </w:rPr>
        <w:t>،</w:t>
      </w:r>
      <w:r w:rsidR="008454EA" w:rsidRPr="008454EA">
        <w:rPr>
          <w:rFonts w:ascii="Traditional Arabic" w:hAnsi="Traditional Arabic"/>
          <w:noProof w:val="0"/>
          <w:rtl/>
          <w:lang w:eastAsia="en-US"/>
        </w:rPr>
        <w:t xml:space="preserve"> نرى أن الصواب خلاف كلامه ـ رحمه الله ـ؛ لأنه كغيره يخطئ ويصيب</w:t>
      </w:r>
      <w:r w:rsidR="008454EA" w:rsidRPr="008454EA">
        <w:rPr>
          <w:rFonts w:ascii="Traditional Arabic" w:hAnsi="Traditional Arabic" w:hint="cs"/>
          <w:noProof w:val="0"/>
          <w:rtl/>
          <w:lang w:eastAsia="en-US"/>
        </w:rPr>
        <w:t>)</w:t>
      </w:r>
      <w:r w:rsidR="008454EA" w:rsidRPr="008454EA">
        <w:rPr>
          <w:rFonts w:ascii="Traditional Arabic" w:hAnsi="Traditional Arabic" w:hint="cs"/>
          <w:noProof w:val="0"/>
          <w:vertAlign w:val="superscript"/>
          <w:rtl/>
          <w:lang w:eastAsia="en-US"/>
        </w:rPr>
        <w:t>(</w:t>
      </w:r>
      <w:r w:rsidR="008454EA" w:rsidRPr="008454EA">
        <w:rPr>
          <w:rStyle w:val="af1"/>
          <w:rFonts w:ascii="Traditional Arabic" w:hAnsi="Traditional Arabic"/>
          <w:noProof w:val="0"/>
          <w:rtl/>
          <w:lang w:eastAsia="en-US"/>
        </w:rPr>
        <w:footnoteReference w:id="183"/>
      </w:r>
      <w:r w:rsidR="008454EA" w:rsidRPr="008454EA">
        <w:rPr>
          <w:rFonts w:ascii="Traditional Arabic" w:hAnsi="Traditional Arabic" w:hint="cs"/>
          <w:noProof w:val="0"/>
          <w:vertAlign w:val="superscript"/>
          <w:rtl/>
          <w:lang w:eastAsia="en-US"/>
        </w:rPr>
        <w:t>)</w:t>
      </w:r>
      <w:r w:rsidR="008454EA" w:rsidRPr="008454EA">
        <w:rPr>
          <w:rFonts w:ascii="Traditional Arabic" w:hAnsi="Traditional Arabic" w:hint="cs"/>
          <w:noProof w:val="0"/>
          <w:rtl/>
          <w:lang w:eastAsia="en-US"/>
        </w:rPr>
        <w:t>.</w:t>
      </w:r>
    </w:p>
    <w:p w:rsidR="00165AFE" w:rsidRDefault="008454EA" w:rsidP="008454EA">
      <w:pPr>
        <w:spacing w:line="600" w:lineRule="exact"/>
        <w:jc w:val="lowKashida"/>
        <w:rPr>
          <w:rFonts w:ascii="Traditional Arabic" w:hAnsi="Traditional Arabic"/>
          <w:rtl/>
        </w:rPr>
      </w:pPr>
      <w:r>
        <w:rPr>
          <w:rFonts w:ascii="Traditional Arabic" w:hAnsi="Traditional Arabic" w:hint="cs"/>
          <w:rtl/>
        </w:rPr>
        <w:t xml:space="preserve"> </w:t>
      </w:r>
      <w:r w:rsidR="00C95443">
        <w:rPr>
          <w:rFonts w:ascii="Traditional Arabic" w:hAnsi="Traditional Arabic"/>
          <w:rtl/>
        </w:rPr>
        <w:t xml:space="preserve">و </w:t>
      </w:r>
      <w:r w:rsidR="00C95443">
        <w:rPr>
          <w:rFonts w:ascii="Traditional Arabic" w:hAnsi="Traditional Arabic" w:hint="cs"/>
          <w:rtl/>
        </w:rPr>
        <w:t xml:space="preserve">لقد ظهر أثر هذين العلمين الجليلين في الشيخ ابن عثيمين </w:t>
      </w:r>
      <w:r w:rsidR="006F08E1" w:rsidRPr="008262F0">
        <w:rPr>
          <w:rFonts w:ascii="Traditional Arabic" w:hAnsi="Traditional Arabic"/>
          <w:rtl/>
        </w:rPr>
        <w:t xml:space="preserve">من </w:t>
      </w:r>
      <w:r w:rsidR="00C95443">
        <w:rPr>
          <w:rFonts w:ascii="Traditional Arabic" w:hAnsi="Traditional Arabic" w:hint="cs"/>
          <w:rtl/>
        </w:rPr>
        <w:t xml:space="preserve">خلال </w:t>
      </w:r>
      <w:r w:rsidR="006F08E1" w:rsidRPr="008262F0">
        <w:rPr>
          <w:rFonts w:ascii="Traditional Arabic" w:hAnsi="Traditional Arabic"/>
          <w:rtl/>
        </w:rPr>
        <w:t xml:space="preserve">القواعد </w:t>
      </w:r>
      <w:r w:rsidR="00C95443">
        <w:rPr>
          <w:rFonts w:ascii="Traditional Arabic" w:hAnsi="Traditional Arabic" w:hint="cs"/>
          <w:rtl/>
        </w:rPr>
        <w:t xml:space="preserve">الكثيرة </w:t>
      </w:r>
      <w:r w:rsidR="00C95443">
        <w:rPr>
          <w:rFonts w:ascii="Traditional Arabic" w:hAnsi="Traditional Arabic"/>
          <w:rtl/>
        </w:rPr>
        <w:t xml:space="preserve">التي </w:t>
      </w:r>
      <w:r w:rsidR="00C95443">
        <w:rPr>
          <w:rFonts w:ascii="Traditional Arabic" w:hAnsi="Traditional Arabic" w:hint="cs"/>
          <w:rtl/>
        </w:rPr>
        <w:t>استقا</w:t>
      </w:r>
      <w:r w:rsidR="006F08E1" w:rsidRPr="008262F0">
        <w:rPr>
          <w:rFonts w:ascii="Traditional Arabic" w:hAnsi="Traditional Arabic"/>
          <w:rtl/>
        </w:rPr>
        <w:t xml:space="preserve">هـا الشيخ ابن عثيمين </w:t>
      </w:r>
      <w:r w:rsidR="009A0575" w:rsidRPr="005D5694">
        <w:rPr>
          <w:rFonts w:ascii="Traditional Arabic" w:hAnsi="Traditional Arabic" w:cs="CTraditional Arabic" w:hint="cs"/>
          <w:rtl/>
        </w:rPr>
        <w:t>/</w:t>
      </w:r>
      <w:r w:rsidR="006F08E1" w:rsidRPr="008262F0">
        <w:rPr>
          <w:rFonts w:ascii="Traditional Arabic" w:hAnsi="Traditional Arabic"/>
          <w:rtl/>
        </w:rPr>
        <w:t xml:space="preserve"> </w:t>
      </w:r>
      <w:r w:rsidR="00C95443">
        <w:rPr>
          <w:rFonts w:ascii="Traditional Arabic" w:hAnsi="Traditional Arabic" w:hint="cs"/>
          <w:rtl/>
        </w:rPr>
        <w:t>من كتبهما، ويظهر ذلك جليّاً عند المقارنة بين صيغ القاعدة عند الشيخ_ رحمه الله_ وعند علماء القواعد، فكثيرا ما تجد اتفاقا أو تشابها في بعض صيغ القاعدة التي  ذكرها الشيخ_ رحمه الله_ وبين الصيغ التي يوردها ان ابن تيمية وابن القيم في كتبهما، بل إن الشيخ ابن عثيمين _رحمه الله_</w:t>
      </w:r>
      <w:r w:rsidR="00165AFE">
        <w:rPr>
          <w:rFonts w:ascii="Traditional Arabic" w:hAnsi="Traditional Arabic" w:hint="cs"/>
          <w:rtl/>
        </w:rPr>
        <w:t>يصرّح أحيانا</w:t>
      </w:r>
      <w:r w:rsidR="00C95443">
        <w:rPr>
          <w:rFonts w:ascii="Traditional Arabic" w:hAnsi="Traditional Arabic" w:hint="cs"/>
          <w:rtl/>
        </w:rPr>
        <w:t xml:space="preserve"> </w:t>
      </w:r>
      <w:r w:rsidR="00A97756">
        <w:rPr>
          <w:rFonts w:ascii="Traditional Arabic" w:hAnsi="Traditional Arabic" w:hint="cs"/>
          <w:rtl/>
        </w:rPr>
        <w:t xml:space="preserve">أن </w:t>
      </w:r>
      <w:r w:rsidR="00C95443">
        <w:rPr>
          <w:rFonts w:ascii="Traditional Arabic" w:hAnsi="Traditional Arabic" w:hint="cs"/>
          <w:rtl/>
        </w:rPr>
        <w:t>القاعدة قد ذكرها شيخ الإسلام ابن تيمية، فيقول: (</w:t>
      </w:r>
      <w:r w:rsidR="00165AFE" w:rsidRPr="00165AFE">
        <w:rPr>
          <w:rFonts w:ascii="Traditional Arabic" w:hAnsi="Traditional Arabic"/>
          <w:noProof w:val="0"/>
          <w:color w:val="auto"/>
          <w:rtl/>
          <w:lang w:eastAsia="en-US"/>
        </w:rPr>
        <w:t>لأن المعاملات الممنوعة ـ كما قال شيخ الإسلام ـ رحمه الله ـ وقوله صحيح ـ مبناها على ثلاثة أشياء: الظلم، والغرر، والميسر</w:t>
      </w:r>
      <w:r w:rsidR="00C95443">
        <w:rPr>
          <w:rFonts w:ascii="Traditional Arabic" w:hAnsi="Traditional Arabic" w:hint="cs"/>
          <w:rtl/>
        </w:rPr>
        <w:t>)</w:t>
      </w:r>
      <w:r w:rsidR="00165AFE" w:rsidRPr="00165AFE">
        <w:rPr>
          <w:rFonts w:ascii="Traditional Arabic" w:hAnsi="Traditional Arabic" w:hint="cs"/>
          <w:vertAlign w:val="superscript"/>
          <w:rtl/>
        </w:rPr>
        <w:t>(</w:t>
      </w:r>
      <w:r w:rsidR="00165AFE" w:rsidRPr="00165AFE">
        <w:rPr>
          <w:rStyle w:val="af1"/>
          <w:rFonts w:ascii="Traditional Arabic" w:hAnsi="Traditional Arabic"/>
          <w:rtl/>
        </w:rPr>
        <w:footnoteReference w:id="184"/>
      </w:r>
      <w:r w:rsidR="00165AFE" w:rsidRPr="00165AFE">
        <w:rPr>
          <w:rFonts w:ascii="Traditional Arabic" w:hAnsi="Traditional Arabic" w:hint="cs"/>
          <w:vertAlign w:val="superscript"/>
          <w:rtl/>
        </w:rPr>
        <w:t>)</w:t>
      </w:r>
      <w:r w:rsidR="00165AFE">
        <w:rPr>
          <w:rFonts w:ascii="Traditional Arabic" w:hAnsi="Traditional Arabic" w:hint="cs"/>
          <w:rtl/>
        </w:rPr>
        <w:t>.</w:t>
      </w:r>
      <w:r w:rsidR="00C95443">
        <w:rPr>
          <w:rFonts w:ascii="Traditional Arabic" w:hAnsi="Traditional Arabic" w:hint="cs"/>
          <w:rtl/>
        </w:rPr>
        <w:t xml:space="preserve"> </w:t>
      </w:r>
    </w:p>
    <w:p w:rsidR="00165AFE" w:rsidRDefault="00165AFE" w:rsidP="008454EA">
      <w:pPr>
        <w:spacing w:line="600" w:lineRule="exact"/>
        <w:jc w:val="lowKashida"/>
        <w:rPr>
          <w:rFonts w:ascii="Traditional Arabic" w:hAnsi="Traditional Arabic"/>
          <w:rtl/>
        </w:rPr>
      </w:pPr>
      <w:r>
        <w:rPr>
          <w:rFonts w:ascii="Traditional Arabic" w:hAnsi="Traditional Arabic" w:hint="cs"/>
          <w:rtl/>
        </w:rPr>
        <w:t>ويقول _رحمه الله_: (...في قول العلماء المحقِّقين أنه لا فرق بين عقد وعقد، ولا فرق بين عقد وفسخ في ذلك، وم</w:t>
      </w:r>
      <w:r w:rsidR="00124DC3">
        <w:rPr>
          <w:rFonts w:ascii="Traditional Arabic" w:hAnsi="Traditional Arabic" w:hint="cs"/>
          <w:rtl/>
        </w:rPr>
        <w:t>ن</w:t>
      </w:r>
      <w:r>
        <w:rPr>
          <w:rFonts w:ascii="Traditional Arabic" w:hAnsi="Traditional Arabic" w:hint="cs"/>
          <w:rtl/>
        </w:rPr>
        <w:t>هم شيخ الإسلام ابن تيمية _رحمه الله_، حيث قال: إن جميع العقود تنعقد بما تعار</w:t>
      </w:r>
      <w:r w:rsidR="00B071AC">
        <w:rPr>
          <w:rFonts w:ascii="Traditional Arabic" w:hAnsi="Traditional Arabic" w:hint="cs"/>
          <w:rtl/>
        </w:rPr>
        <w:t>َ</w:t>
      </w:r>
      <w:r>
        <w:rPr>
          <w:rFonts w:ascii="Traditional Arabic" w:hAnsi="Traditional Arabic" w:hint="cs"/>
          <w:rtl/>
        </w:rPr>
        <w:t>فه الناس</w:t>
      </w:r>
      <w:r w:rsidR="00B071AC" w:rsidRPr="00B071AC">
        <w:rPr>
          <w:rFonts w:ascii="Traditional Arabic" w:hAnsi="Traditional Arabic" w:hint="cs"/>
          <w:vertAlign w:val="superscript"/>
          <w:rtl/>
        </w:rPr>
        <w:t>(</w:t>
      </w:r>
      <w:r w:rsidR="00B071AC" w:rsidRPr="00B071AC">
        <w:rPr>
          <w:rStyle w:val="af1"/>
          <w:rFonts w:ascii="Traditional Arabic" w:hAnsi="Traditional Arabic"/>
          <w:rtl/>
        </w:rPr>
        <w:footnoteReference w:id="185"/>
      </w:r>
      <w:r w:rsidR="00B071AC" w:rsidRPr="00B071AC">
        <w:rPr>
          <w:rFonts w:ascii="Traditional Arabic" w:hAnsi="Traditional Arabic" w:hint="cs"/>
          <w:vertAlign w:val="superscript"/>
          <w:rtl/>
        </w:rPr>
        <w:t>)</w:t>
      </w:r>
      <w:r w:rsidR="00124DC3">
        <w:rPr>
          <w:rFonts w:ascii="Traditional Arabic" w:hAnsi="Traditional Arabic" w:hint="cs"/>
          <w:rtl/>
        </w:rPr>
        <w:t>، وهو عالم محقق، قوي الفهم، قوي الدين، ولهذا تجد غالب اختياراته موافقة للدليل الصحيح، وإني أوصي طالب العلم بالحرص على كتبه وكتب تلميذه ابن القيم_رحمهما الله_، فإن فيهما خيراً كثيراً، ويعطيان الإنسان مَلَكةً قوية للترجيح بين الأقوال</w:t>
      </w:r>
      <w:r>
        <w:rPr>
          <w:rFonts w:ascii="Traditional Arabic" w:hAnsi="Traditional Arabic" w:hint="cs"/>
          <w:rtl/>
        </w:rPr>
        <w:t>)</w:t>
      </w:r>
      <w:r w:rsidRPr="00165AFE">
        <w:rPr>
          <w:rFonts w:ascii="Traditional Arabic" w:hAnsi="Traditional Arabic" w:hint="cs"/>
          <w:vertAlign w:val="superscript"/>
          <w:rtl/>
        </w:rPr>
        <w:t>(</w:t>
      </w:r>
      <w:r w:rsidRPr="00165AFE">
        <w:rPr>
          <w:rStyle w:val="af1"/>
          <w:rFonts w:ascii="Traditional Arabic" w:hAnsi="Traditional Arabic"/>
          <w:rtl/>
        </w:rPr>
        <w:footnoteReference w:id="186"/>
      </w:r>
      <w:r w:rsidRPr="00165AFE">
        <w:rPr>
          <w:rFonts w:ascii="Traditional Arabic" w:hAnsi="Traditional Arabic" w:hint="cs"/>
          <w:vertAlign w:val="superscript"/>
          <w:rtl/>
        </w:rPr>
        <w:t>)</w:t>
      </w:r>
      <w:r>
        <w:rPr>
          <w:rFonts w:ascii="Traditional Arabic" w:hAnsi="Traditional Arabic" w:hint="cs"/>
          <w:rtl/>
        </w:rPr>
        <w:t>.</w:t>
      </w:r>
    </w:p>
    <w:p w:rsidR="00124DC3" w:rsidRDefault="00CA3049" w:rsidP="00124DC3">
      <w:pPr>
        <w:spacing w:line="600" w:lineRule="exact"/>
        <w:ind w:firstLine="0"/>
        <w:jc w:val="lowKashida"/>
        <w:rPr>
          <w:rFonts w:ascii="Traditional Arabic" w:hAnsi="Traditional Arabic"/>
          <w:rtl/>
        </w:rPr>
      </w:pPr>
      <w:r>
        <w:rPr>
          <w:rFonts w:ascii="Traditional Arabic" w:hAnsi="Traditional Arabic" w:hint="cs"/>
          <w:rtl/>
        </w:rPr>
        <w:t xml:space="preserve">    </w:t>
      </w:r>
      <w:r w:rsidR="00124DC3">
        <w:rPr>
          <w:rFonts w:ascii="Traditional Arabic" w:hAnsi="Traditional Arabic" w:hint="cs"/>
          <w:rtl/>
        </w:rPr>
        <w:t xml:space="preserve">ويقول الشيخ _رحمه الله_ في معرض ذكره لفوائد معرفة عِلل الأحكام: (أن الإنسان يكون عنده ملكة ورسوخ في العلم، وإن شئت دليلا على ذلك فاقرأ </w:t>
      </w:r>
      <w:r w:rsidR="00BC6BFA">
        <w:rPr>
          <w:rFonts w:ascii="Traditional Arabic" w:hAnsi="Traditional Arabic" w:hint="cs"/>
          <w:rtl/>
        </w:rPr>
        <w:t xml:space="preserve"> </w:t>
      </w:r>
      <w:r w:rsidR="00124DC3">
        <w:rPr>
          <w:rFonts w:ascii="Traditional Arabic" w:hAnsi="Traditional Arabic" w:hint="cs"/>
          <w:rtl/>
        </w:rPr>
        <w:t xml:space="preserve">كتب شيخ الإسلام ابن تيمية_رحمه الله_، وانظر كيف يأتي بالشواهد الكثيرة على مسألة واحدة حتى تعرف مقدار </w:t>
      </w:r>
      <w:r w:rsidR="00124DC3">
        <w:rPr>
          <w:rFonts w:ascii="Traditional Arabic" w:hAnsi="Traditional Arabic" w:hint="cs"/>
          <w:rtl/>
        </w:rPr>
        <w:lastRenderedPageBreak/>
        <w:t>الرسوخ في العلم من الإنسان الذي يفهم الحِكم والأسرار)</w:t>
      </w:r>
      <w:r w:rsidR="00124DC3" w:rsidRPr="00124DC3">
        <w:rPr>
          <w:rFonts w:ascii="Traditional Arabic" w:hAnsi="Traditional Arabic" w:hint="cs"/>
          <w:vertAlign w:val="superscript"/>
          <w:rtl/>
        </w:rPr>
        <w:t>(</w:t>
      </w:r>
      <w:r w:rsidR="00124DC3" w:rsidRPr="00124DC3">
        <w:rPr>
          <w:rStyle w:val="af1"/>
          <w:rFonts w:ascii="Traditional Arabic" w:hAnsi="Traditional Arabic"/>
          <w:rtl/>
        </w:rPr>
        <w:footnoteReference w:id="187"/>
      </w:r>
      <w:r w:rsidR="00124DC3" w:rsidRPr="00124DC3">
        <w:rPr>
          <w:rFonts w:ascii="Traditional Arabic" w:hAnsi="Traditional Arabic" w:hint="cs"/>
          <w:vertAlign w:val="superscript"/>
          <w:rtl/>
        </w:rPr>
        <w:t>)</w:t>
      </w:r>
      <w:r w:rsidR="00124DC3">
        <w:rPr>
          <w:rFonts w:ascii="Traditional Arabic" w:hAnsi="Traditional Arabic" w:hint="cs"/>
          <w:rtl/>
        </w:rPr>
        <w:t>.</w:t>
      </w:r>
    </w:p>
    <w:p w:rsidR="00065E4B" w:rsidRDefault="006F08E1" w:rsidP="00CA3049">
      <w:pPr>
        <w:spacing w:line="640" w:lineRule="exact"/>
        <w:ind w:firstLine="0"/>
        <w:jc w:val="lowKashida"/>
        <w:rPr>
          <w:rFonts w:ascii="Traditional Arabic" w:hAnsi="Traditional Arabic"/>
          <w:rtl/>
        </w:rPr>
      </w:pPr>
      <w:r w:rsidRPr="008262F0">
        <w:rPr>
          <w:rFonts w:ascii="Traditional Arabic" w:hAnsi="Traditional Arabic"/>
          <w:rtl/>
        </w:rPr>
        <w:t xml:space="preserve"> </w:t>
      </w:r>
      <w:r w:rsidR="00CA3049">
        <w:rPr>
          <w:rFonts w:ascii="Traditional Arabic" w:hAnsi="Traditional Arabic" w:hint="cs"/>
          <w:rtl/>
        </w:rPr>
        <w:t xml:space="preserve">    كما أن الشيخ ابن عثيمين تأثر بشيخه عبد الرحمن </w:t>
      </w:r>
      <w:r w:rsidRPr="008262F0">
        <w:rPr>
          <w:rFonts w:ascii="Traditional Arabic" w:hAnsi="Traditional Arabic"/>
          <w:rtl/>
        </w:rPr>
        <w:t xml:space="preserve"> السعدي </w:t>
      </w:r>
      <w:r w:rsidR="009A0575" w:rsidRPr="005D5694">
        <w:rPr>
          <w:rFonts w:ascii="Traditional Arabic" w:hAnsi="Traditional Arabic" w:cs="CTraditional Arabic" w:hint="cs"/>
          <w:rtl/>
        </w:rPr>
        <w:t>/</w:t>
      </w:r>
      <w:r w:rsidRPr="008262F0">
        <w:rPr>
          <w:rFonts w:ascii="Traditional Arabic" w:hAnsi="Traditional Arabic"/>
          <w:rtl/>
        </w:rPr>
        <w:t xml:space="preserve"> </w:t>
      </w:r>
      <w:r w:rsidR="00CA3049">
        <w:rPr>
          <w:rFonts w:ascii="Traditional Arabic" w:hAnsi="Traditional Arabic" w:hint="cs"/>
          <w:rtl/>
        </w:rPr>
        <w:t xml:space="preserve">الذي خلَّف </w:t>
      </w:r>
      <w:r w:rsidRPr="008262F0">
        <w:rPr>
          <w:rFonts w:ascii="Traditional Arabic" w:hAnsi="Traditional Arabic"/>
          <w:rtl/>
        </w:rPr>
        <w:t>ثروة عظيمة</w:t>
      </w:r>
      <w:r w:rsidR="00B76414">
        <w:rPr>
          <w:rFonts w:ascii="Traditional Arabic" w:hAnsi="Traditional Arabic"/>
          <w:rtl/>
        </w:rPr>
        <w:t>،</w:t>
      </w:r>
      <w:r w:rsidRPr="008262F0">
        <w:rPr>
          <w:rFonts w:ascii="Traditional Arabic" w:hAnsi="Traditional Arabic"/>
          <w:rtl/>
        </w:rPr>
        <w:t xml:space="preserve"> ارتبطت بالتقعيد والتأصيل</w:t>
      </w:r>
      <w:r w:rsidR="00B76414">
        <w:rPr>
          <w:rFonts w:ascii="Traditional Arabic" w:hAnsi="Traditional Arabic"/>
          <w:rtl/>
        </w:rPr>
        <w:t>،</w:t>
      </w:r>
      <w:r w:rsidR="00CA3049">
        <w:rPr>
          <w:rFonts w:ascii="Traditional Arabic" w:hAnsi="Traditional Arabic"/>
          <w:rtl/>
        </w:rPr>
        <w:t xml:space="preserve"> </w:t>
      </w:r>
      <w:r w:rsidR="00CA3049">
        <w:rPr>
          <w:rFonts w:ascii="Traditional Arabic" w:hAnsi="Traditional Arabic" w:hint="cs"/>
          <w:rtl/>
        </w:rPr>
        <w:t xml:space="preserve">والذي </w:t>
      </w:r>
      <w:r w:rsidRPr="008262F0">
        <w:rPr>
          <w:rFonts w:ascii="Traditional Arabic" w:hAnsi="Traditional Arabic"/>
          <w:rtl/>
        </w:rPr>
        <w:t xml:space="preserve"> كان له باع</w:t>
      </w:r>
      <w:r w:rsidR="00165AFE">
        <w:rPr>
          <w:rFonts w:ascii="Traditional Arabic" w:hAnsi="Traditional Arabic" w:hint="cs"/>
          <w:rtl/>
        </w:rPr>
        <w:t>ٌ</w:t>
      </w:r>
      <w:r w:rsidRPr="008262F0">
        <w:rPr>
          <w:rFonts w:ascii="Traditional Arabic" w:hAnsi="Traditional Arabic"/>
          <w:rtl/>
        </w:rPr>
        <w:t xml:space="preserve"> طويل في أصول الفقه وقواعده</w:t>
      </w:r>
      <w:r w:rsidR="00B76414">
        <w:rPr>
          <w:rFonts w:ascii="Traditional Arabic" w:hAnsi="Traditional Arabic"/>
          <w:rtl/>
        </w:rPr>
        <w:t>،</w:t>
      </w:r>
      <w:r w:rsidR="00C97B8A">
        <w:rPr>
          <w:rFonts w:ascii="Traditional Arabic" w:hAnsi="Traditional Arabic"/>
          <w:rtl/>
        </w:rPr>
        <w:t xml:space="preserve"> فانطبع هذا المنهج </w:t>
      </w:r>
      <w:r w:rsidR="00CC3EE2">
        <w:rPr>
          <w:rFonts w:ascii="Traditional Arabic" w:hAnsi="Traditional Arabic" w:hint="cs"/>
          <w:rtl/>
        </w:rPr>
        <w:t>في الشيخ</w:t>
      </w:r>
      <w:r w:rsidRPr="008262F0">
        <w:rPr>
          <w:rFonts w:ascii="Traditional Arabic" w:hAnsi="Traditional Arabic"/>
          <w:rtl/>
        </w:rPr>
        <w:t xml:space="preserve"> ابن عثيمين</w:t>
      </w:r>
      <w:r w:rsidR="00B76414">
        <w:rPr>
          <w:rFonts w:ascii="Traditional Arabic" w:hAnsi="Traditional Arabic"/>
          <w:rtl/>
        </w:rPr>
        <w:t>،</w:t>
      </w:r>
      <w:r w:rsidRPr="008262F0">
        <w:rPr>
          <w:rFonts w:ascii="Traditional Arabic" w:hAnsi="Traditional Arabic"/>
          <w:rtl/>
        </w:rPr>
        <w:t xml:space="preserve"> لاسيما في كتابه "الشرح الممتع"</w:t>
      </w:r>
      <w:r w:rsidR="00B76414">
        <w:rPr>
          <w:rFonts w:ascii="Traditional Arabic" w:hAnsi="Traditional Arabic"/>
          <w:rtl/>
        </w:rPr>
        <w:t>،</w:t>
      </w:r>
      <w:r w:rsidRPr="008262F0">
        <w:rPr>
          <w:rFonts w:ascii="Traditional Arabic" w:hAnsi="Traditional Arabic"/>
          <w:rtl/>
        </w:rPr>
        <w:t xml:space="preserve"> حيث نجد هذا الأثر واضحاً في ربط المسائل والفروع بالقواعد والضوابط الفقهية</w:t>
      </w:r>
      <w:r w:rsidR="00B76414">
        <w:rPr>
          <w:rFonts w:ascii="Traditional Arabic" w:hAnsi="Traditional Arabic"/>
          <w:rtl/>
        </w:rPr>
        <w:t>،</w:t>
      </w:r>
      <w:r w:rsidRPr="008262F0">
        <w:rPr>
          <w:rFonts w:ascii="Traditional Arabic" w:hAnsi="Traditional Arabic"/>
          <w:rtl/>
        </w:rPr>
        <w:t xml:space="preserve"> إضافة إلى تأثُّر الشيخ ابن عثيمين بشيخه السعدي في عرض القواعد الفقهية</w:t>
      </w:r>
      <w:r w:rsidR="00B76414">
        <w:rPr>
          <w:rFonts w:ascii="Traditional Arabic" w:hAnsi="Traditional Arabic"/>
          <w:rtl/>
        </w:rPr>
        <w:t>،</w:t>
      </w:r>
      <w:r w:rsidRPr="008262F0">
        <w:rPr>
          <w:rFonts w:ascii="Traditional Arabic" w:hAnsi="Traditional Arabic"/>
          <w:rtl/>
        </w:rPr>
        <w:t xml:space="preserve"> حيث إن لكل منهما منظومة</w:t>
      </w:r>
      <w:r w:rsidR="00CC3EE2">
        <w:rPr>
          <w:rFonts w:ascii="Traditional Arabic" w:hAnsi="Traditional Arabic" w:hint="cs"/>
          <w:rtl/>
        </w:rPr>
        <w:t>ً</w:t>
      </w:r>
      <w:r w:rsidRPr="008262F0">
        <w:rPr>
          <w:rFonts w:ascii="Traditional Arabic" w:hAnsi="Traditional Arabic"/>
          <w:rtl/>
        </w:rPr>
        <w:t xml:space="preserve"> ماتعة حسنة في أصول الفقه وقواعده</w:t>
      </w:r>
      <w:r w:rsidR="00B76414">
        <w:rPr>
          <w:rFonts w:ascii="Traditional Arabic" w:hAnsi="Traditional Arabic"/>
          <w:rtl/>
        </w:rPr>
        <w:t>،</w:t>
      </w:r>
      <w:r w:rsidRPr="008262F0">
        <w:rPr>
          <w:rFonts w:ascii="Traditional Arabic" w:hAnsi="Traditional Arabic"/>
          <w:rtl/>
        </w:rPr>
        <w:t xml:space="preserve"> تميَّزت بالجزالة وحسن التقسيم والشمولية</w:t>
      </w:r>
      <w:r w:rsidR="00B76414">
        <w:rPr>
          <w:rFonts w:ascii="Traditional Arabic" w:hAnsi="Traditional Arabic"/>
          <w:rtl/>
        </w:rPr>
        <w:t>،</w:t>
      </w:r>
      <w:r w:rsidRPr="008262F0">
        <w:rPr>
          <w:rFonts w:ascii="Traditional Arabic" w:hAnsi="Traditional Arabic"/>
          <w:rtl/>
        </w:rPr>
        <w:t xml:space="preserve"> مما يؤكد إفادة الشيخ ابن عثيمين البالغة من شيخه السعدي في فن القواعد</w:t>
      </w:r>
      <w:r w:rsidR="00B76414">
        <w:rPr>
          <w:rFonts w:ascii="Traditional Arabic" w:hAnsi="Traditional Arabic"/>
          <w:rtl/>
        </w:rPr>
        <w:t>،</w:t>
      </w:r>
      <w:r w:rsidRPr="008262F0">
        <w:rPr>
          <w:rFonts w:ascii="Traditional Arabic" w:hAnsi="Traditional Arabic"/>
          <w:rtl/>
        </w:rPr>
        <w:t xml:space="preserve"> تفكيراً وتأصيلاً ومنهجاً</w:t>
      </w:r>
      <w:r w:rsidR="00B76414">
        <w:rPr>
          <w:rFonts w:ascii="Traditional Arabic" w:hAnsi="Traditional Arabic"/>
          <w:rtl/>
        </w:rPr>
        <w:t>،</w:t>
      </w:r>
      <w:r w:rsidRPr="008262F0">
        <w:rPr>
          <w:rFonts w:ascii="Traditional Arabic" w:hAnsi="Traditional Arabic"/>
          <w:rtl/>
        </w:rPr>
        <w:t xml:space="preserve"> ولا غ</w:t>
      </w:r>
      <w:r w:rsidR="00CC3EE2">
        <w:rPr>
          <w:rFonts w:ascii="Traditional Arabic" w:hAnsi="Traditional Arabic" w:hint="cs"/>
          <w:rtl/>
        </w:rPr>
        <w:t>َ</w:t>
      </w:r>
      <w:r w:rsidRPr="008262F0">
        <w:rPr>
          <w:rFonts w:ascii="Traditional Arabic" w:hAnsi="Traditional Arabic"/>
          <w:rtl/>
        </w:rPr>
        <w:t>ر</w:t>
      </w:r>
      <w:r w:rsidR="00CC3EE2">
        <w:rPr>
          <w:rFonts w:ascii="Traditional Arabic" w:hAnsi="Traditional Arabic" w:hint="cs"/>
          <w:rtl/>
        </w:rPr>
        <w:t>ْ</w:t>
      </w:r>
      <w:r w:rsidRPr="008262F0">
        <w:rPr>
          <w:rFonts w:ascii="Traditional Arabic" w:hAnsi="Traditional Arabic"/>
          <w:rtl/>
        </w:rPr>
        <w:t>و</w:t>
      </w:r>
      <w:r w:rsidR="00CC3EE2">
        <w:rPr>
          <w:rFonts w:ascii="Traditional Arabic" w:hAnsi="Traditional Arabic" w:hint="cs"/>
          <w:rtl/>
        </w:rPr>
        <w:t>َ</w:t>
      </w:r>
      <w:r w:rsidRPr="008262F0">
        <w:rPr>
          <w:rFonts w:ascii="Traditional Arabic" w:hAnsi="Traditional Arabic"/>
          <w:rtl/>
        </w:rPr>
        <w:t xml:space="preserve"> في ذلك ؛ فقد لازمه مدة طويلة</w:t>
      </w:r>
      <w:r w:rsidR="00B76414">
        <w:rPr>
          <w:rFonts w:ascii="Traditional Arabic" w:hAnsi="Traditional Arabic"/>
          <w:rtl/>
        </w:rPr>
        <w:t>،</w:t>
      </w:r>
      <w:r w:rsidR="00C97B8A">
        <w:rPr>
          <w:rFonts w:ascii="Traditional Arabic" w:hAnsi="Traditional Arabic"/>
          <w:rtl/>
        </w:rPr>
        <w:t xml:space="preserve"> ونهل من</w:t>
      </w:r>
      <w:r w:rsidR="00C97B8A">
        <w:rPr>
          <w:rFonts w:ascii="Traditional Arabic" w:hAnsi="Traditional Arabic" w:hint="cs"/>
          <w:rtl/>
        </w:rPr>
        <w:t>ه</w:t>
      </w:r>
      <w:r w:rsidRPr="008262F0">
        <w:rPr>
          <w:rFonts w:ascii="Traditional Arabic" w:hAnsi="Traditional Arabic"/>
          <w:rtl/>
        </w:rPr>
        <w:t xml:space="preserve"> وأخذ عنه أكثر فنونه</w:t>
      </w:r>
      <w:r w:rsidR="00B76414">
        <w:rPr>
          <w:rFonts w:ascii="Traditional Arabic" w:hAnsi="Traditional Arabic"/>
          <w:rtl/>
        </w:rPr>
        <w:t>،</w:t>
      </w:r>
      <w:r w:rsidRPr="008262F0">
        <w:rPr>
          <w:rFonts w:ascii="Traditional Arabic" w:hAnsi="Traditional Arabic"/>
          <w:rtl/>
        </w:rPr>
        <w:t xml:space="preserve"> واقتبس منه العقلية العلمية المنهجية المؤصَّلة</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188"/>
      </w:r>
      <w:r w:rsidRPr="00C821A1">
        <w:rPr>
          <w:rFonts w:ascii="Traditional Arabic" w:hAnsi="Traditional Arabic"/>
          <w:szCs w:val="32"/>
          <w:vertAlign w:val="superscript"/>
          <w:rtl/>
        </w:rPr>
        <w:t>)</w:t>
      </w:r>
      <w:r w:rsidR="00B76414">
        <w:rPr>
          <w:rFonts w:ascii="Traditional Arabic" w:hAnsi="Traditional Arabic"/>
          <w:rtl/>
        </w:rPr>
        <w:t>.</w:t>
      </w:r>
    </w:p>
    <w:p w:rsidR="00C97B8A" w:rsidRDefault="00C97B8A" w:rsidP="00597C20">
      <w:pPr>
        <w:spacing w:line="640" w:lineRule="exact"/>
        <w:jc w:val="lowKashida"/>
        <w:rPr>
          <w:rFonts w:ascii="Traditional Arabic" w:hAnsi="Traditional Arabic"/>
          <w:rtl/>
        </w:rPr>
      </w:pPr>
      <w:r>
        <w:rPr>
          <w:rFonts w:ascii="Traditional Arabic" w:hAnsi="Traditional Arabic" w:hint="cs"/>
          <w:rtl/>
        </w:rPr>
        <w:t>بل إن أغلب القواعد التي ذكرها الشيخ ابن عثيمين_ رحمه الله_ قد سبقه إليها شيخه عبد الرحمن السعدي_ رحمه الله_، ولعل هذا يظهر بوضوح عند عقد مقارنة بين صيغ القاعدة عند كلٍّ من هذين الشيخين الجليلين</w:t>
      </w:r>
      <w:r w:rsidR="00BE11AE" w:rsidRPr="00BE11AE">
        <w:rPr>
          <w:rFonts w:ascii="Traditional Arabic" w:hAnsi="Traditional Arabic" w:hint="cs"/>
          <w:vertAlign w:val="superscript"/>
          <w:rtl/>
        </w:rPr>
        <w:t>(</w:t>
      </w:r>
      <w:r w:rsidR="00BE11AE" w:rsidRPr="00BE11AE">
        <w:rPr>
          <w:rStyle w:val="af1"/>
          <w:rFonts w:ascii="Traditional Arabic" w:hAnsi="Traditional Arabic"/>
          <w:rtl/>
        </w:rPr>
        <w:footnoteReference w:id="189"/>
      </w:r>
      <w:r w:rsidR="00BE11AE" w:rsidRPr="00BE11AE">
        <w:rPr>
          <w:rFonts w:ascii="Traditional Arabic" w:hAnsi="Traditional Arabic" w:hint="cs"/>
          <w:vertAlign w:val="superscript"/>
          <w:rtl/>
        </w:rPr>
        <w:t>)</w:t>
      </w:r>
      <w:r>
        <w:rPr>
          <w:rFonts w:ascii="Traditional Arabic" w:hAnsi="Traditional Arabic" w:hint="cs"/>
          <w:rtl/>
        </w:rPr>
        <w:t>.</w:t>
      </w:r>
    </w:p>
    <w:p w:rsidR="00C97B8A" w:rsidRDefault="00C97B8A" w:rsidP="00597C20">
      <w:pPr>
        <w:spacing w:line="640" w:lineRule="exact"/>
        <w:jc w:val="lowKashida"/>
        <w:rPr>
          <w:rFonts w:ascii="Traditional Arabic" w:hAnsi="Traditional Arabic"/>
          <w:rtl/>
        </w:rPr>
      </w:pPr>
      <w:r>
        <w:rPr>
          <w:rFonts w:ascii="Traditional Arabic" w:hAnsi="Traditional Arabic" w:hint="cs"/>
          <w:rtl/>
        </w:rPr>
        <w:t>ورغم تأثر الشيخ ابن عثيمين بشيخه إلا أنه كان_أحيانا_ يخالفه فينتقده في صياغة بعض القواعد، أو يضيف عليها قيدا يجعل القاعدة أكثر دلالة على مضمونها، وفيما يلي بعض النقول التي تدل على ذلك:</w:t>
      </w:r>
    </w:p>
    <w:p w:rsidR="00C97B8A" w:rsidRDefault="00C97B8A" w:rsidP="00597C20">
      <w:pPr>
        <w:spacing w:line="640" w:lineRule="exact"/>
        <w:jc w:val="lowKashida"/>
        <w:rPr>
          <w:rFonts w:ascii="Traditional Arabic" w:hAnsi="Traditional Arabic"/>
          <w:b/>
          <w:bCs/>
          <w:rtl/>
        </w:rPr>
      </w:pPr>
      <w:r>
        <w:rPr>
          <w:rFonts w:ascii="Traditional Arabic" w:hAnsi="Traditional Arabic" w:hint="cs"/>
          <w:rtl/>
        </w:rPr>
        <w:t>يقول الشيخ ابن عث</w:t>
      </w:r>
      <w:r w:rsidR="00CA3049">
        <w:rPr>
          <w:rFonts w:ascii="Traditional Arabic" w:hAnsi="Traditional Arabic" w:hint="cs"/>
          <w:rtl/>
        </w:rPr>
        <w:t>يمين تعليقا على القاعدة التي ذكر</w:t>
      </w:r>
      <w:r>
        <w:rPr>
          <w:rFonts w:ascii="Traditional Arabic" w:hAnsi="Traditional Arabic" w:hint="cs"/>
          <w:rtl/>
        </w:rPr>
        <w:t>ها شيخه بلفظ: (</w:t>
      </w:r>
      <w:r w:rsidR="008909EC">
        <w:rPr>
          <w:rFonts w:ascii="Traditional Arabic" w:hAnsi="Traditional Arabic" w:hint="cs"/>
          <w:rtl/>
        </w:rPr>
        <w:t xml:space="preserve">الأصل في العبادات </w:t>
      </w:r>
      <w:r w:rsidR="008909EC">
        <w:rPr>
          <w:rFonts w:ascii="Traditional Arabic" w:hAnsi="Traditional Arabic" w:hint="cs"/>
          <w:rtl/>
        </w:rPr>
        <w:lastRenderedPageBreak/>
        <w:t>الحظر، فلا يشرع منها إلا ما شرعه الله ورسوله، والأصل في العادات الإباحة، فلا يحرم منها إلا ما حرمه الله ورسوله</w:t>
      </w:r>
      <w:r>
        <w:rPr>
          <w:rFonts w:ascii="Traditional Arabic" w:hAnsi="Traditional Arabic" w:hint="cs"/>
          <w:rtl/>
        </w:rPr>
        <w:t>)</w:t>
      </w:r>
      <w:r w:rsidR="008909EC" w:rsidRPr="008909EC">
        <w:rPr>
          <w:rFonts w:ascii="Traditional Arabic" w:hAnsi="Traditional Arabic" w:hint="cs"/>
          <w:vertAlign w:val="superscript"/>
          <w:rtl/>
        </w:rPr>
        <w:t>(</w:t>
      </w:r>
      <w:r w:rsidR="008909EC" w:rsidRPr="008909EC">
        <w:rPr>
          <w:rStyle w:val="af1"/>
          <w:rFonts w:ascii="Traditional Arabic" w:hAnsi="Traditional Arabic"/>
          <w:rtl/>
        </w:rPr>
        <w:footnoteReference w:id="190"/>
      </w:r>
      <w:r w:rsidR="008909EC" w:rsidRPr="008909EC">
        <w:rPr>
          <w:rFonts w:ascii="Traditional Arabic" w:hAnsi="Traditional Arabic" w:hint="cs"/>
          <w:vertAlign w:val="superscript"/>
          <w:rtl/>
        </w:rPr>
        <w:t>)</w:t>
      </w:r>
      <w:r w:rsidR="008909EC">
        <w:rPr>
          <w:rFonts w:ascii="Traditional Arabic" w:hAnsi="Traditional Arabic" w:hint="cs"/>
          <w:rtl/>
        </w:rPr>
        <w:t>، :(</w:t>
      </w:r>
      <w:r>
        <w:rPr>
          <w:rFonts w:ascii="Traditional Arabic" w:hAnsi="Traditional Arabic" w:hint="cs"/>
          <w:rtl/>
        </w:rPr>
        <w:t xml:space="preserve"> </w:t>
      </w:r>
      <w:r w:rsidR="007944E9">
        <w:rPr>
          <w:rFonts w:ascii="Traditional Arabic" w:hAnsi="Traditional Arabic" w:hint="cs"/>
          <w:rtl/>
        </w:rPr>
        <w:t xml:space="preserve">هذه القاعدة مهمة، لكن ليت الشيخ رحمه الله </w:t>
      </w:r>
      <w:r w:rsidR="008909EC">
        <w:rPr>
          <w:rFonts w:ascii="Traditional Arabic" w:hAnsi="Traditional Arabic" w:hint="cs"/>
          <w:rtl/>
        </w:rPr>
        <w:t xml:space="preserve">قال: </w:t>
      </w:r>
      <w:r w:rsidR="007944E9">
        <w:rPr>
          <w:rFonts w:ascii="Traditional Arabic" w:hAnsi="Traditional Arabic" w:hint="cs"/>
          <w:rtl/>
        </w:rPr>
        <w:t>"</w:t>
      </w:r>
      <w:r w:rsidR="008909EC">
        <w:rPr>
          <w:rFonts w:ascii="Traditional Arabic" w:hAnsi="Traditional Arabic" w:hint="cs"/>
          <w:rtl/>
        </w:rPr>
        <w:t>الأصل في غيرها الإباحة</w:t>
      </w:r>
      <w:r w:rsidR="007944E9">
        <w:rPr>
          <w:rFonts w:ascii="Traditional Arabic" w:hAnsi="Traditional Arabic" w:hint="cs"/>
          <w:b/>
          <w:bCs/>
          <w:rtl/>
        </w:rPr>
        <w:t xml:space="preserve">" </w:t>
      </w:r>
      <w:r w:rsidR="007944E9" w:rsidRPr="007944E9">
        <w:rPr>
          <w:rFonts w:ascii="Traditional Arabic" w:hAnsi="Traditional Arabic" w:hint="cs"/>
          <w:rtl/>
        </w:rPr>
        <w:t>لي</w:t>
      </w:r>
      <w:r w:rsidR="007944E9">
        <w:rPr>
          <w:rFonts w:ascii="Traditional Arabic" w:hAnsi="Traditional Arabic" w:hint="cs"/>
          <w:rtl/>
        </w:rPr>
        <w:t>دخل فيه العادات والأعيان المنتفَع بها مثل المخلوقات من حيوانات وأشجار وطيور وغير ذلك)</w:t>
      </w:r>
      <w:r w:rsidR="007944E9" w:rsidRPr="007944E9">
        <w:rPr>
          <w:rFonts w:ascii="Traditional Arabic" w:hAnsi="Traditional Arabic" w:hint="cs"/>
          <w:vertAlign w:val="superscript"/>
          <w:rtl/>
        </w:rPr>
        <w:t>(</w:t>
      </w:r>
      <w:r w:rsidR="007944E9" w:rsidRPr="007944E9">
        <w:rPr>
          <w:rStyle w:val="af1"/>
          <w:rFonts w:ascii="Traditional Arabic" w:hAnsi="Traditional Arabic"/>
          <w:rtl/>
        </w:rPr>
        <w:footnoteReference w:id="191"/>
      </w:r>
      <w:r w:rsidR="007944E9" w:rsidRPr="007944E9">
        <w:rPr>
          <w:rFonts w:ascii="Traditional Arabic" w:hAnsi="Traditional Arabic" w:hint="cs"/>
          <w:vertAlign w:val="superscript"/>
          <w:rtl/>
        </w:rPr>
        <w:t>)</w:t>
      </w:r>
      <w:r w:rsidR="007944E9">
        <w:rPr>
          <w:rFonts w:ascii="Traditional Arabic" w:hAnsi="Traditional Arabic" w:hint="cs"/>
          <w:rtl/>
        </w:rPr>
        <w:t>.</w:t>
      </w:r>
    </w:p>
    <w:p w:rsidR="007944E9" w:rsidRPr="007944E9" w:rsidRDefault="007944E9" w:rsidP="00597C20">
      <w:pPr>
        <w:spacing w:line="640" w:lineRule="exact"/>
        <w:jc w:val="lowKashida"/>
        <w:rPr>
          <w:rFonts w:ascii="Traditional Arabic" w:hAnsi="Traditional Arabic"/>
          <w:rtl/>
        </w:rPr>
      </w:pPr>
      <w:r w:rsidRPr="007944E9">
        <w:rPr>
          <w:rFonts w:ascii="Traditional Arabic" w:hAnsi="Traditional Arabic" w:hint="cs"/>
          <w:rtl/>
        </w:rPr>
        <w:t>ويقول الشيخ ابن عثيمين_ رحمه الله_</w:t>
      </w:r>
      <w:r>
        <w:rPr>
          <w:rFonts w:ascii="Traditional Arabic" w:hAnsi="Traditional Arabic" w:hint="cs"/>
          <w:rtl/>
        </w:rPr>
        <w:t xml:space="preserve"> تعليقا على القاعدة التي ذكره شيخه السعدي رحمه الله بلفظ (من أدى عن غيره واجبا بنية الرجوع رجع، وإلا فلا)</w:t>
      </w:r>
      <w:r w:rsidR="00D61DF9" w:rsidRPr="00D61DF9">
        <w:rPr>
          <w:rFonts w:ascii="Traditional Arabic" w:hAnsi="Traditional Arabic" w:hint="cs"/>
          <w:vertAlign w:val="superscript"/>
          <w:rtl/>
        </w:rPr>
        <w:t>(</w:t>
      </w:r>
      <w:r w:rsidRPr="00D61DF9">
        <w:rPr>
          <w:rStyle w:val="af1"/>
          <w:rFonts w:ascii="Traditional Arabic" w:hAnsi="Traditional Arabic"/>
          <w:rtl/>
        </w:rPr>
        <w:footnoteReference w:id="192"/>
      </w:r>
      <w:r w:rsidR="00D61DF9" w:rsidRPr="00D61DF9">
        <w:rPr>
          <w:rFonts w:ascii="Traditional Arabic" w:hAnsi="Traditional Arabic" w:hint="cs"/>
          <w:vertAlign w:val="superscript"/>
          <w:rtl/>
        </w:rPr>
        <w:t>)</w:t>
      </w:r>
      <w:r>
        <w:rPr>
          <w:rFonts w:ascii="Traditional Arabic" w:hAnsi="Traditional Arabic" w:hint="cs"/>
          <w:rtl/>
        </w:rPr>
        <w:t>: (هذه القاعدة ينبغي أن يضاف إليها قيد</w:t>
      </w:r>
      <w:r w:rsidR="0074056D">
        <w:rPr>
          <w:rFonts w:ascii="Traditional Arabic" w:hAnsi="Traditional Arabic" w:hint="cs"/>
          <w:rtl/>
        </w:rPr>
        <w:t>، وهو: "إن برئ الغير بذلك"، فتكون القاعدة إذاً</w:t>
      </w:r>
      <w:r>
        <w:rPr>
          <w:rFonts w:ascii="Traditional Arabic" w:hAnsi="Traditional Arabic" w:hint="cs"/>
          <w:rtl/>
        </w:rPr>
        <w:t xml:space="preserve">: </w:t>
      </w:r>
      <w:r w:rsidR="0074056D">
        <w:rPr>
          <w:rFonts w:ascii="Traditional Arabic" w:hAnsi="Traditional Arabic" w:hint="cs"/>
          <w:rtl/>
        </w:rPr>
        <w:t>"من</w:t>
      </w:r>
      <w:r>
        <w:rPr>
          <w:rFonts w:ascii="Traditional Arabic" w:hAnsi="Traditional Arabic" w:hint="cs"/>
          <w:rtl/>
        </w:rPr>
        <w:t xml:space="preserve"> أدى </w:t>
      </w:r>
      <w:r w:rsidR="0074056D">
        <w:rPr>
          <w:rFonts w:ascii="Traditional Arabic" w:hAnsi="Traditional Arabic" w:hint="cs"/>
          <w:rtl/>
        </w:rPr>
        <w:t>واجبا عن غيره</w:t>
      </w:r>
      <w:r>
        <w:rPr>
          <w:rFonts w:ascii="Traditional Arabic" w:hAnsi="Traditional Arabic" w:hint="cs"/>
          <w:rtl/>
        </w:rPr>
        <w:t xml:space="preserve"> يبرأ به بنية الرجوع </w:t>
      </w:r>
      <w:r w:rsidR="0074056D">
        <w:rPr>
          <w:rFonts w:ascii="Traditional Arabic" w:hAnsi="Traditional Arabic" w:hint="cs"/>
          <w:rtl/>
        </w:rPr>
        <w:t xml:space="preserve">عليه </w:t>
      </w:r>
      <w:r>
        <w:rPr>
          <w:rFonts w:ascii="Traditional Arabic" w:hAnsi="Traditional Arabic" w:hint="cs"/>
          <w:rtl/>
        </w:rPr>
        <w:t>رجع، وإلا فلا)</w:t>
      </w:r>
      <w:r w:rsidR="00D61DF9" w:rsidRPr="00D61DF9">
        <w:rPr>
          <w:rFonts w:ascii="Traditional Arabic" w:hAnsi="Traditional Arabic" w:hint="cs"/>
          <w:vertAlign w:val="superscript"/>
          <w:rtl/>
        </w:rPr>
        <w:t>(</w:t>
      </w:r>
      <w:r w:rsidRPr="00D61DF9">
        <w:rPr>
          <w:rStyle w:val="af1"/>
          <w:rFonts w:ascii="Traditional Arabic" w:hAnsi="Traditional Arabic"/>
          <w:rtl/>
        </w:rPr>
        <w:footnoteReference w:id="193"/>
      </w:r>
      <w:r w:rsidR="00D61DF9" w:rsidRPr="00D61DF9">
        <w:rPr>
          <w:rFonts w:ascii="Traditional Arabic" w:hAnsi="Traditional Arabic" w:hint="cs"/>
          <w:vertAlign w:val="superscript"/>
          <w:rtl/>
        </w:rPr>
        <w:t>)</w:t>
      </w:r>
      <w:r>
        <w:rPr>
          <w:rFonts w:ascii="Traditional Arabic" w:hAnsi="Traditional Arabic" w:hint="cs"/>
          <w:rtl/>
        </w:rPr>
        <w:t>.</w:t>
      </w:r>
    </w:p>
    <w:p w:rsidR="00F7255C" w:rsidRPr="00F7255C" w:rsidRDefault="00F7255C" w:rsidP="0091310E">
      <w:pPr>
        <w:spacing w:line="600" w:lineRule="exact"/>
        <w:ind w:left="943" w:firstLine="0"/>
        <w:jc w:val="lowKashida"/>
        <w:rPr>
          <w:rFonts w:ascii="Traditional Arabic" w:hAnsi="Traditional Arabic"/>
        </w:rPr>
      </w:pPr>
    </w:p>
    <w:p w:rsidR="00262F13" w:rsidRPr="003849E5" w:rsidRDefault="00262F13" w:rsidP="00AB26F0">
      <w:pPr>
        <w:spacing w:line="600" w:lineRule="exact"/>
        <w:ind w:firstLine="0"/>
        <w:jc w:val="lowKashida"/>
        <w:rPr>
          <w:rFonts w:ascii="Traditional Arabic" w:hAnsi="Traditional Arabic"/>
          <w:rtl/>
        </w:rPr>
      </w:pPr>
    </w:p>
    <w:p w:rsidR="00D75AED" w:rsidRPr="0038224B" w:rsidRDefault="00D75AED" w:rsidP="00597C20">
      <w:pPr>
        <w:pStyle w:val="aff0"/>
        <w:rPr>
          <w:rFonts w:ascii="Traditional Arabic" w:hAnsi="Traditional Arabic"/>
        </w:rPr>
      </w:pPr>
      <w:bookmarkStart w:id="33" w:name="_Toc334046295"/>
      <w:r w:rsidRPr="000D7355">
        <w:rPr>
          <w:rtl/>
        </w:rPr>
        <w:lastRenderedPageBreak/>
        <w:t xml:space="preserve">المبحث </w:t>
      </w:r>
      <w:r w:rsidR="00187620" w:rsidRPr="00187620">
        <w:rPr>
          <w:rtl/>
        </w:rPr>
        <w:t>الخامس</w:t>
      </w:r>
      <w:r>
        <w:rPr>
          <w:rFonts w:hint="cs"/>
          <w:rtl/>
        </w:rPr>
        <w:t xml:space="preserve"> : </w:t>
      </w:r>
      <w:r w:rsidRPr="000D7355">
        <w:rPr>
          <w:rtl/>
        </w:rPr>
        <w:t>سمات القاعدة والضابط عند الشيخ ابن عثيمين</w:t>
      </w:r>
      <w:bookmarkEnd w:id="33"/>
    </w:p>
    <w:p w:rsidR="00F228A9" w:rsidRPr="002D7A92" w:rsidRDefault="006F08E1" w:rsidP="00597C20">
      <w:pPr>
        <w:spacing w:after="360" w:line="860" w:lineRule="exact"/>
        <w:ind w:right="851" w:firstLine="142"/>
        <w:rPr>
          <w:rFonts w:ascii="Traditional Arabic" w:hAnsi="Traditional Arabic"/>
          <w:b/>
          <w:bCs/>
          <w:u w:val="single"/>
          <w:rtl/>
        </w:rPr>
      </w:pPr>
      <w:r w:rsidRPr="002D7A92">
        <w:rPr>
          <w:rFonts w:ascii="Traditional Arabic" w:hAnsi="Traditional Arabic"/>
          <w:b/>
          <w:bCs/>
          <w:u w:val="single"/>
          <w:rtl/>
        </w:rPr>
        <w:t>وفيه المطالب التالية :</w:t>
      </w:r>
    </w:p>
    <w:p w:rsidR="006F08E1" w:rsidRPr="00031790" w:rsidRDefault="006F08E1" w:rsidP="00597C20">
      <w:pPr>
        <w:tabs>
          <w:tab w:val="left" w:pos="2833"/>
        </w:tabs>
        <w:ind w:left="2833" w:hanging="2268"/>
        <w:jc w:val="left"/>
        <w:rPr>
          <w:rtl/>
        </w:rPr>
      </w:pPr>
      <w:r w:rsidRPr="00FD5687">
        <w:rPr>
          <w:b/>
          <w:bCs/>
          <w:rtl/>
        </w:rPr>
        <w:t>المطلب الأول :</w:t>
      </w:r>
      <w:r w:rsidR="002769A5">
        <w:rPr>
          <w:rFonts w:hint="cs"/>
          <w:rtl/>
        </w:rPr>
        <w:tab/>
      </w:r>
      <w:r w:rsidRPr="00031790">
        <w:rPr>
          <w:rtl/>
        </w:rPr>
        <w:t>التأصيــــــــــــــــــــــــــــــــــــــــــل</w:t>
      </w:r>
      <w:r w:rsidR="00B76414" w:rsidRPr="00031790">
        <w:rPr>
          <w:rtl/>
        </w:rPr>
        <w:t>.</w:t>
      </w:r>
    </w:p>
    <w:p w:rsidR="006F08E1" w:rsidRPr="00031790" w:rsidRDefault="006F08E1" w:rsidP="00597C20">
      <w:pPr>
        <w:tabs>
          <w:tab w:val="left" w:pos="2833"/>
        </w:tabs>
        <w:ind w:left="2833" w:hanging="2268"/>
        <w:jc w:val="left"/>
        <w:rPr>
          <w:rtl/>
        </w:rPr>
      </w:pPr>
      <w:r w:rsidRPr="00FD5687">
        <w:rPr>
          <w:b/>
          <w:bCs/>
          <w:rtl/>
        </w:rPr>
        <w:t>المطلب الثاني :</w:t>
      </w:r>
      <w:r w:rsidR="002769A5">
        <w:rPr>
          <w:rFonts w:hint="cs"/>
          <w:rtl/>
        </w:rPr>
        <w:tab/>
      </w:r>
      <w:r w:rsidRPr="00031790">
        <w:rPr>
          <w:rtl/>
        </w:rPr>
        <w:t>ارتباطها بواقع الناس</w:t>
      </w:r>
      <w:r w:rsidR="00B76414" w:rsidRPr="00031790">
        <w:rPr>
          <w:rtl/>
        </w:rPr>
        <w:t>.</w:t>
      </w:r>
    </w:p>
    <w:p w:rsidR="006F08E1" w:rsidRPr="00031790" w:rsidRDefault="006F08E1" w:rsidP="00597C20">
      <w:pPr>
        <w:tabs>
          <w:tab w:val="left" w:pos="2833"/>
        </w:tabs>
        <w:ind w:left="2833" w:hanging="2268"/>
        <w:jc w:val="left"/>
        <w:rPr>
          <w:rtl/>
        </w:rPr>
      </w:pPr>
      <w:r w:rsidRPr="00FD5687">
        <w:rPr>
          <w:b/>
          <w:bCs/>
          <w:rtl/>
        </w:rPr>
        <w:t>المطلب الثالث :</w:t>
      </w:r>
      <w:r w:rsidR="002769A5">
        <w:rPr>
          <w:rFonts w:hint="cs"/>
          <w:rtl/>
        </w:rPr>
        <w:tab/>
      </w:r>
      <w:r w:rsidRPr="00031790">
        <w:rPr>
          <w:rtl/>
        </w:rPr>
        <w:t>الوضـــــوح والسهولـــــــة</w:t>
      </w:r>
      <w:r w:rsidR="00B76414" w:rsidRPr="00031790">
        <w:rPr>
          <w:rtl/>
        </w:rPr>
        <w:t>.</w:t>
      </w:r>
    </w:p>
    <w:p w:rsidR="006F08E1" w:rsidRPr="00031790" w:rsidRDefault="006F08E1" w:rsidP="00597C20">
      <w:pPr>
        <w:tabs>
          <w:tab w:val="left" w:pos="2833"/>
        </w:tabs>
        <w:ind w:left="2833" w:hanging="2268"/>
        <w:jc w:val="left"/>
        <w:rPr>
          <w:rtl/>
        </w:rPr>
      </w:pPr>
      <w:r w:rsidRPr="00FD5687">
        <w:rPr>
          <w:b/>
          <w:bCs/>
          <w:rtl/>
        </w:rPr>
        <w:t>المطلب الرابع :</w:t>
      </w:r>
      <w:r w:rsidR="002769A5">
        <w:rPr>
          <w:rFonts w:hint="cs"/>
          <w:rtl/>
        </w:rPr>
        <w:tab/>
      </w:r>
      <w:r w:rsidRPr="00031790">
        <w:rPr>
          <w:rtl/>
        </w:rPr>
        <w:t>الشــــــــــموليـــــــــــــــــــــــــــــة</w:t>
      </w:r>
      <w:r w:rsidR="00B76414" w:rsidRPr="00031790">
        <w:rPr>
          <w:rtl/>
        </w:rPr>
        <w:t>.</w:t>
      </w:r>
    </w:p>
    <w:p w:rsidR="006F08E1" w:rsidRDefault="006F08E1" w:rsidP="00597C20">
      <w:pPr>
        <w:spacing w:line="640" w:lineRule="exact"/>
        <w:jc w:val="lowKashida"/>
        <w:rPr>
          <w:rFonts w:ascii="Traditional Arabic" w:hAnsi="Traditional Arabic"/>
          <w:b/>
          <w:bCs/>
          <w:rtl/>
        </w:rPr>
      </w:pPr>
      <w:r>
        <w:rPr>
          <w:rFonts w:cs="PT Bold Heading"/>
          <w:sz w:val="38"/>
          <w:szCs w:val="38"/>
          <w:rtl/>
        </w:rPr>
        <w:br w:type="page"/>
      </w:r>
    </w:p>
    <w:p w:rsidR="006F08E1" w:rsidRPr="008A4295" w:rsidRDefault="00262F13" w:rsidP="00A8347C">
      <w:pPr>
        <w:pStyle w:val="aff3"/>
        <w:rPr>
          <w:rtl/>
        </w:rPr>
      </w:pPr>
      <w:bookmarkStart w:id="34" w:name="_Toc334046296"/>
      <w:r>
        <w:rPr>
          <w:rFonts w:hint="cs"/>
          <w:rtl/>
        </w:rPr>
        <w:lastRenderedPageBreak/>
        <w:t xml:space="preserve">               </w:t>
      </w:r>
      <w:r w:rsidR="00AE48CB">
        <w:rPr>
          <w:rFonts w:hint="cs"/>
          <w:rtl/>
        </w:rPr>
        <w:t xml:space="preserve">                            </w:t>
      </w:r>
      <w:r w:rsidR="006F08E1" w:rsidRPr="008A4295">
        <w:rPr>
          <w:rtl/>
        </w:rPr>
        <w:t>المطلب الأول</w:t>
      </w:r>
      <w:r w:rsidR="004A1352">
        <w:rPr>
          <w:rFonts w:hint="cs"/>
          <w:rtl/>
        </w:rPr>
        <w:t> :</w:t>
      </w:r>
      <w:r w:rsidR="004A1352">
        <w:rPr>
          <w:rFonts w:hint="cs"/>
          <w:rtl/>
        </w:rPr>
        <w:br/>
      </w:r>
      <w:r>
        <w:rPr>
          <w:rFonts w:hint="cs"/>
          <w:rtl/>
        </w:rPr>
        <w:t xml:space="preserve">                   </w:t>
      </w:r>
      <w:r w:rsidR="00AE48CB">
        <w:rPr>
          <w:rFonts w:hint="cs"/>
          <w:rtl/>
        </w:rPr>
        <w:t xml:space="preserve">                           </w:t>
      </w:r>
      <w:r w:rsidR="006F08E1" w:rsidRPr="008A4295">
        <w:rPr>
          <w:rtl/>
        </w:rPr>
        <w:t>التأصيـل</w:t>
      </w:r>
      <w:bookmarkEnd w:id="34"/>
    </w:p>
    <w:p w:rsidR="00CC3EE2" w:rsidRDefault="006F08E1" w:rsidP="0029266D">
      <w:pPr>
        <w:spacing w:line="640" w:lineRule="exact"/>
        <w:jc w:val="lowKashida"/>
        <w:rPr>
          <w:rFonts w:ascii="Traditional Arabic" w:hAnsi="Traditional Arabic"/>
          <w:rtl/>
        </w:rPr>
      </w:pPr>
      <w:r w:rsidRPr="008A4295">
        <w:rPr>
          <w:rFonts w:ascii="Traditional Arabic" w:hAnsi="Traditional Arabic"/>
          <w:rtl/>
        </w:rPr>
        <w:t>والمراد بالتأصيل هنا</w:t>
      </w:r>
      <w:r w:rsidR="00B76414">
        <w:rPr>
          <w:rFonts w:ascii="Traditional Arabic" w:hAnsi="Traditional Arabic"/>
          <w:rtl/>
        </w:rPr>
        <w:t>،</w:t>
      </w:r>
      <w:r w:rsidRPr="008A4295">
        <w:rPr>
          <w:rFonts w:ascii="Traditional Arabic" w:hAnsi="Traditional Arabic"/>
          <w:rtl/>
        </w:rPr>
        <w:t xml:space="preserve"> أن القواعد والضوابط الفقهية التي ذكرها الشيخ ابن عثيمين </w:t>
      </w:r>
      <w:r w:rsidR="009A0575" w:rsidRPr="005D5694">
        <w:rPr>
          <w:rFonts w:ascii="Traditional Arabic" w:hAnsi="Traditional Arabic" w:cs="CTraditional Arabic" w:hint="cs"/>
          <w:rtl/>
        </w:rPr>
        <w:t>/</w:t>
      </w:r>
      <w:r w:rsidRPr="008A4295">
        <w:rPr>
          <w:rFonts w:ascii="Traditional Arabic" w:hAnsi="Traditional Arabic"/>
          <w:rtl/>
        </w:rPr>
        <w:t xml:space="preserve"> واعتمد عليها</w:t>
      </w:r>
      <w:r w:rsidR="00B76414">
        <w:rPr>
          <w:rFonts w:ascii="Traditional Arabic" w:hAnsi="Traditional Arabic"/>
          <w:rtl/>
        </w:rPr>
        <w:t>،</w:t>
      </w:r>
      <w:r w:rsidRPr="008A4295">
        <w:rPr>
          <w:rFonts w:ascii="Traditional Arabic" w:hAnsi="Traditional Arabic"/>
          <w:rtl/>
        </w:rPr>
        <w:t xml:space="preserve"> مبنيِّة على تأصيل مستمد من المصـــادر الأصلية</w:t>
      </w:r>
      <w:r w:rsidR="00B76414">
        <w:rPr>
          <w:rFonts w:ascii="Traditional Arabic" w:hAnsi="Traditional Arabic"/>
          <w:rtl/>
        </w:rPr>
        <w:t>،</w:t>
      </w:r>
      <w:r w:rsidRPr="008A4295">
        <w:rPr>
          <w:rFonts w:ascii="Traditional Arabic" w:hAnsi="Traditional Arabic"/>
          <w:rtl/>
        </w:rPr>
        <w:t xml:space="preserve"> </w:t>
      </w:r>
      <w:r w:rsidR="0019534E">
        <w:rPr>
          <w:rFonts w:ascii="Traditional Arabic" w:hAnsi="Traditional Arabic" w:hint="cs"/>
          <w:rtl/>
        </w:rPr>
        <w:t xml:space="preserve">فعامة قواعده وضوابطه قد توافرت عليها الأدلة </w:t>
      </w:r>
      <w:r w:rsidRPr="008A4295">
        <w:rPr>
          <w:rFonts w:ascii="Traditional Arabic" w:hAnsi="Traditional Arabic"/>
          <w:rtl/>
        </w:rPr>
        <w:t xml:space="preserve">من الكتاب </w:t>
      </w:r>
      <w:r w:rsidR="0019534E">
        <w:rPr>
          <w:rFonts w:ascii="Traditional Arabic" w:hAnsi="Traditional Arabic" w:hint="cs"/>
          <w:rtl/>
        </w:rPr>
        <w:t>أ</w:t>
      </w:r>
      <w:r w:rsidRPr="008A4295">
        <w:rPr>
          <w:rFonts w:ascii="Traditional Arabic" w:hAnsi="Traditional Arabic"/>
          <w:rtl/>
        </w:rPr>
        <w:t xml:space="preserve">والسنة </w:t>
      </w:r>
      <w:r w:rsidR="0019534E">
        <w:rPr>
          <w:rFonts w:ascii="Traditional Arabic" w:hAnsi="Traditional Arabic" w:hint="cs"/>
          <w:rtl/>
        </w:rPr>
        <w:t>أ</w:t>
      </w:r>
      <w:r w:rsidRPr="008A4295">
        <w:rPr>
          <w:rFonts w:ascii="Traditional Arabic" w:hAnsi="Traditional Arabic"/>
          <w:rtl/>
        </w:rPr>
        <w:t>و</w:t>
      </w:r>
      <w:r w:rsidR="0019534E">
        <w:rPr>
          <w:rFonts w:ascii="Traditional Arabic" w:hAnsi="Traditional Arabic" w:hint="cs"/>
          <w:rtl/>
        </w:rPr>
        <w:t xml:space="preserve"> الإجماع أو القياس الصحيح أو النظر العقلي المعتضد بالدليل النقلي</w:t>
      </w:r>
      <w:r w:rsidR="0029266D">
        <w:rPr>
          <w:rFonts w:ascii="Traditional Arabic" w:hAnsi="Traditional Arabic" w:hint="cs"/>
          <w:rtl/>
        </w:rPr>
        <w:t>.</w:t>
      </w:r>
    </w:p>
    <w:p w:rsidR="006F08E1" w:rsidRDefault="00CC3EE2" w:rsidP="00CC3EE2">
      <w:pPr>
        <w:spacing w:line="640" w:lineRule="exact"/>
        <w:ind w:firstLine="0"/>
        <w:jc w:val="lowKashida"/>
        <w:rPr>
          <w:rFonts w:ascii="Traditional Arabic" w:hAnsi="Traditional Arabic"/>
          <w:rtl/>
        </w:rPr>
      </w:pPr>
      <w:r>
        <w:rPr>
          <w:rFonts w:ascii="Traditional Arabic" w:hAnsi="Traditional Arabic" w:hint="cs"/>
          <w:rtl/>
        </w:rPr>
        <w:t xml:space="preserve">    </w:t>
      </w:r>
      <w:r w:rsidR="006F08E1" w:rsidRPr="008A4295">
        <w:rPr>
          <w:rFonts w:ascii="Traditional Arabic" w:hAnsi="Traditional Arabic"/>
          <w:rtl/>
        </w:rPr>
        <w:t xml:space="preserve"> يقول الشيخ ابن عثيمين</w:t>
      </w:r>
      <w:r w:rsidR="009A0575" w:rsidRPr="005D5694">
        <w:rPr>
          <w:rFonts w:ascii="Traditional Arabic" w:hAnsi="Traditional Arabic" w:cs="CTraditional Arabic" w:hint="cs"/>
          <w:rtl/>
        </w:rPr>
        <w:t>/</w:t>
      </w:r>
      <w:r w:rsidR="006F08E1" w:rsidRPr="008A4295">
        <w:rPr>
          <w:rFonts w:ascii="Traditional Arabic" w:hAnsi="Traditional Arabic"/>
          <w:rtl/>
        </w:rPr>
        <w:t>: (هذ</w:t>
      </w:r>
      <w:r w:rsidR="00262F13">
        <w:rPr>
          <w:rFonts w:ascii="Traditional Arabic" w:hAnsi="Traditional Arabic"/>
          <w:rtl/>
        </w:rPr>
        <w:t xml:space="preserve">ه القواعد قد </w:t>
      </w:r>
      <w:r w:rsidR="00262F13">
        <w:rPr>
          <w:rFonts w:ascii="Traditional Arabic" w:hAnsi="Traditional Arabic" w:hint="cs"/>
          <w:rtl/>
        </w:rPr>
        <w:t>ي</w:t>
      </w:r>
      <w:r w:rsidR="006F08E1" w:rsidRPr="008A4295">
        <w:rPr>
          <w:rFonts w:ascii="Traditional Arabic" w:hAnsi="Traditional Arabic"/>
          <w:rtl/>
        </w:rPr>
        <w:t>كون بعضها موجود</w:t>
      </w:r>
      <w:r w:rsidR="00B071AC">
        <w:rPr>
          <w:rFonts w:ascii="Traditional Arabic" w:hAnsi="Traditional Arabic" w:hint="cs"/>
          <w:rtl/>
        </w:rPr>
        <w:t>ا</w:t>
      </w:r>
      <w:r w:rsidR="006F08E1" w:rsidRPr="008A4295">
        <w:rPr>
          <w:rFonts w:ascii="Traditional Arabic" w:hAnsi="Traditional Arabic"/>
          <w:rtl/>
        </w:rPr>
        <w:t xml:space="preserve"> في القرآن الكريم</w:t>
      </w:r>
      <w:r w:rsidR="00B76414">
        <w:rPr>
          <w:rFonts w:ascii="Traditional Arabic" w:hAnsi="Traditional Arabic"/>
          <w:rtl/>
        </w:rPr>
        <w:t>،</w:t>
      </w:r>
      <w:r w:rsidR="006F08E1" w:rsidRPr="008A4295">
        <w:rPr>
          <w:rFonts w:ascii="Traditional Arabic" w:hAnsi="Traditional Arabic"/>
          <w:rtl/>
        </w:rPr>
        <w:t xml:space="preserve"> وبعضها في السنة النبوية</w:t>
      </w:r>
      <w:r w:rsidR="00B76414">
        <w:rPr>
          <w:rFonts w:ascii="Traditional Arabic" w:hAnsi="Traditional Arabic"/>
          <w:rtl/>
        </w:rPr>
        <w:t>،</w:t>
      </w:r>
      <w:r w:rsidR="006F08E1" w:rsidRPr="008A4295">
        <w:rPr>
          <w:rFonts w:ascii="Traditional Arabic" w:hAnsi="Traditional Arabic"/>
          <w:rtl/>
        </w:rPr>
        <w:t xml:space="preserve"> وبعضها في كلام الصحابة</w:t>
      </w:r>
      <w:r w:rsidR="00B76414">
        <w:rPr>
          <w:rFonts w:ascii="Traditional Arabic" w:hAnsi="Traditional Arabic"/>
          <w:rtl/>
        </w:rPr>
        <w:t>،</w:t>
      </w:r>
      <w:r w:rsidR="00B071AC">
        <w:rPr>
          <w:rFonts w:ascii="Traditional Arabic" w:hAnsi="Traditional Arabic" w:hint="cs"/>
          <w:rtl/>
        </w:rPr>
        <w:t xml:space="preserve"> </w:t>
      </w:r>
      <w:r w:rsidR="006F08E1" w:rsidRPr="008A4295">
        <w:rPr>
          <w:rFonts w:ascii="Traditional Arabic" w:hAnsi="Traditional Arabic"/>
          <w:rtl/>
        </w:rPr>
        <w:t>وبعضها في كلام الأئمة، وبعضها في كلام العلماء الذين هم دون الأئمة</w:t>
      </w:r>
      <w:r w:rsidR="00B76414">
        <w:rPr>
          <w:rFonts w:ascii="Traditional Arabic" w:hAnsi="Traditional Arabic"/>
          <w:rtl/>
        </w:rPr>
        <w:t>،</w:t>
      </w:r>
      <w:r w:rsidR="006F08E1" w:rsidRPr="008A4295">
        <w:rPr>
          <w:rFonts w:ascii="Traditional Arabic" w:hAnsi="Traditional Arabic"/>
          <w:rtl/>
        </w:rPr>
        <w:t xml:space="preserve"> لكن من وفقه الله لجمع شتاتها فهذا خير)</w:t>
      </w:r>
      <w:r w:rsidR="006F08E1" w:rsidRPr="00C821A1">
        <w:rPr>
          <w:rFonts w:ascii="Traditional Arabic" w:hAnsi="Traditional Arabic"/>
          <w:szCs w:val="32"/>
          <w:vertAlign w:val="superscript"/>
          <w:rtl/>
        </w:rPr>
        <w:t>(</w:t>
      </w:r>
      <w:r w:rsidR="006F08E1" w:rsidRPr="00C821A1">
        <w:rPr>
          <w:rStyle w:val="af1"/>
          <w:rFonts w:ascii="Traditional Arabic" w:hAnsi="Traditional Arabic"/>
          <w:szCs w:val="32"/>
          <w:rtl/>
        </w:rPr>
        <w:footnoteReference w:id="194"/>
      </w:r>
      <w:r w:rsidR="006F08E1" w:rsidRPr="00C821A1">
        <w:rPr>
          <w:rFonts w:ascii="Traditional Arabic" w:hAnsi="Traditional Arabic"/>
          <w:szCs w:val="32"/>
          <w:vertAlign w:val="superscript"/>
          <w:rtl/>
        </w:rPr>
        <w:t>)</w:t>
      </w:r>
      <w:r w:rsidR="00B76414">
        <w:rPr>
          <w:rFonts w:ascii="Traditional Arabic" w:hAnsi="Traditional Arabic"/>
          <w:rtl/>
        </w:rPr>
        <w:t>.</w:t>
      </w:r>
      <w:r w:rsidR="006F08E1" w:rsidRPr="008A4295">
        <w:rPr>
          <w:rFonts w:ascii="Traditional Arabic" w:hAnsi="Traditional Arabic"/>
          <w:rtl/>
        </w:rPr>
        <w:t xml:space="preserve"> </w:t>
      </w:r>
    </w:p>
    <w:p w:rsidR="00FD682D" w:rsidRDefault="0019534E" w:rsidP="00AE48CB">
      <w:pPr>
        <w:spacing w:line="640" w:lineRule="exact"/>
        <w:jc w:val="lowKashida"/>
        <w:rPr>
          <w:rFonts w:ascii="Traditional Arabic" w:hAnsi="Traditional Arabic"/>
          <w:rtl/>
        </w:rPr>
      </w:pPr>
      <w:r>
        <w:rPr>
          <w:rFonts w:ascii="Traditional Arabic" w:hAnsi="Traditional Arabic" w:hint="cs"/>
          <w:rtl/>
        </w:rPr>
        <w:t>يقول الشيخ ابن عثيمين_ رحمه الله_ :( الأصل أنه لا يحرُم من المعاملات إلا ما دل الكتاب والسنة على تحريمه</w:t>
      </w:r>
      <w:r w:rsidR="00220935">
        <w:rPr>
          <w:rFonts w:ascii="Traditional Arabic" w:hAnsi="Traditional Arabic" w:hint="cs"/>
          <w:rtl/>
        </w:rPr>
        <w:t>...كما أن الأ</w:t>
      </w:r>
      <w:r>
        <w:rPr>
          <w:rFonts w:ascii="Traditional Arabic" w:hAnsi="Traditional Arabic" w:hint="cs"/>
          <w:rtl/>
        </w:rPr>
        <w:t>صل في العبادات التي يتقرب بها الإنسان إلى ربه ألاّ يُشرعُ</w:t>
      </w:r>
      <w:r>
        <w:rPr>
          <w:rFonts w:ascii="Traditional Arabic" w:hAnsi="Traditional Arabic" w:hint="cs"/>
          <w:b/>
          <w:bCs/>
          <w:rtl/>
        </w:rPr>
        <w:t xml:space="preserve"> </w:t>
      </w:r>
      <w:r>
        <w:rPr>
          <w:rFonts w:ascii="Traditional Arabic" w:hAnsi="Traditional Arabic" w:hint="cs"/>
          <w:rtl/>
        </w:rPr>
        <w:t>منها إلا ما شرعه الله...وهذان الأصلان مفيدان جدّاً...وهكذا يقال في الأعيان؛ فالأصل فيما خرج من الأرض الحِلّ...وكيف يقول العلماء: الأصل في هذا الحل</w:t>
      </w:r>
      <w:r w:rsidR="00FD682D">
        <w:rPr>
          <w:rFonts w:ascii="Traditional Arabic" w:hAnsi="Traditional Arabic" w:hint="cs"/>
          <w:rtl/>
        </w:rPr>
        <w:t>، والأصل في هذا الحُرمة؟على أي أساس؟</w:t>
      </w:r>
      <w:r w:rsidR="00AE48CB">
        <w:rPr>
          <w:rFonts w:ascii="Traditional Arabic" w:hAnsi="Traditional Arabic" w:hint="cs"/>
          <w:rtl/>
        </w:rPr>
        <w:t xml:space="preserve"> </w:t>
      </w:r>
      <w:r w:rsidR="00FD682D">
        <w:rPr>
          <w:rFonts w:ascii="Traditional Arabic" w:hAnsi="Traditional Arabic" w:hint="cs"/>
          <w:rtl/>
        </w:rPr>
        <w:t>نقول: أساسه الدليل من الكتاب والسنة:</w:t>
      </w:r>
    </w:p>
    <w:p w:rsidR="00FD682D" w:rsidRDefault="00FD682D" w:rsidP="00FD682D">
      <w:pPr>
        <w:spacing w:line="640" w:lineRule="exact"/>
        <w:jc w:val="lowKashida"/>
        <w:rPr>
          <w:rFonts w:ascii="Traditional Arabic" w:hAnsi="Traditional Arabic"/>
          <w:rtl/>
        </w:rPr>
      </w:pPr>
      <w:r>
        <w:rPr>
          <w:rFonts w:ascii="Traditional Arabic" w:hAnsi="Traditional Arabic" w:hint="cs"/>
          <w:rtl/>
        </w:rPr>
        <w:t>فقوله تعالى:</w:t>
      </w:r>
      <w:r w:rsidRPr="00FD682D">
        <w:rPr>
          <w:rFonts w:ascii="Traditional Arabic" w:hAnsi="Traditional Arabic" w:hint="cs"/>
          <w:rtl/>
        </w:rPr>
        <w:t xml:space="preserve"> </w:t>
      </w:r>
      <w:r w:rsidRPr="00FD682D">
        <w:rPr>
          <w:rFonts w:ascii="QCF_BSML" w:hAnsi="QCF_BSML" w:cs="QCF_BSML"/>
          <w:noProof w:val="0"/>
          <w:rtl/>
          <w:lang w:eastAsia="en-US"/>
        </w:rPr>
        <w:t xml:space="preserve">ﭽ </w:t>
      </w:r>
      <w:r w:rsidRPr="00FD682D">
        <w:rPr>
          <w:rFonts w:ascii="QCF_P005" w:hAnsi="QCF_P005" w:cs="QCF_P005"/>
          <w:noProof w:val="0"/>
          <w:rtl/>
          <w:lang w:eastAsia="en-US"/>
        </w:rPr>
        <w:t xml:space="preserve">ﯬ   ﯭ  ﯮ  ﯯ  ﯰ  ﯱ  ﯲ  ﯳ  </w:t>
      </w:r>
      <w:r w:rsidRPr="00FD682D">
        <w:rPr>
          <w:rFonts w:ascii="QCF_BSML" w:hAnsi="QCF_BSML" w:cs="QCF_BSML"/>
          <w:noProof w:val="0"/>
          <w:rtl/>
          <w:lang w:eastAsia="en-US"/>
        </w:rPr>
        <w:t>ﭼ</w:t>
      </w:r>
      <w:r w:rsidRPr="00FD682D">
        <w:rPr>
          <w:rFonts w:ascii="Arial" w:hAnsi="Arial" w:cs="Arial"/>
          <w:noProof w:val="0"/>
          <w:rtl/>
          <w:lang w:eastAsia="en-US"/>
        </w:rPr>
        <w:t xml:space="preserve"> </w:t>
      </w:r>
      <w:r>
        <w:rPr>
          <w:rFonts w:ascii="Traditional Arabic" w:hAnsi="Traditional Arabic" w:hint="cs"/>
          <w:noProof w:val="0"/>
          <w:color w:val="auto"/>
          <w:rtl/>
          <w:lang w:eastAsia="en-US"/>
        </w:rPr>
        <w:t>[</w:t>
      </w:r>
      <w:r w:rsidRPr="00FD682D">
        <w:rPr>
          <w:rFonts w:ascii="Traditional Arabic" w:hAnsi="Traditional Arabic"/>
          <w:noProof w:val="0"/>
          <w:color w:val="auto"/>
          <w:rtl/>
          <w:lang w:eastAsia="en-US"/>
        </w:rPr>
        <w:t>البقرة: ٢٩</w:t>
      </w:r>
      <w:r>
        <w:rPr>
          <w:rFonts w:ascii="Traditional Arabic" w:hAnsi="Traditional Arabic" w:hint="cs"/>
          <w:noProof w:val="0"/>
          <w:color w:val="auto"/>
          <w:rtl/>
          <w:lang w:eastAsia="en-US"/>
        </w:rPr>
        <w:t xml:space="preserve">] يدل على أن كل شيء </w:t>
      </w:r>
      <w:r w:rsidR="00220935">
        <w:rPr>
          <w:rFonts w:ascii="Traditional Arabic" w:hAnsi="Traditional Arabic" w:hint="cs"/>
          <w:noProof w:val="0"/>
          <w:color w:val="auto"/>
          <w:rtl/>
          <w:lang w:eastAsia="en-US"/>
        </w:rPr>
        <w:t xml:space="preserve">في الأرض </w:t>
      </w:r>
      <w:r>
        <w:rPr>
          <w:rFonts w:ascii="Traditional Arabic" w:hAnsi="Traditional Arabic" w:hint="cs"/>
          <w:noProof w:val="0"/>
          <w:color w:val="auto"/>
          <w:rtl/>
          <w:lang w:eastAsia="en-US"/>
        </w:rPr>
        <w:t>حلال</w:t>
      </w:r>
      <w:r w:rsidR="00220935">
        <w:rPr>
          <w:rFonts w:ascii="Traditional Arabic" w:hAnsi="Traditional Arabic" w:hint="cs"/>
          <w:noProof w:val="0"/>
          <w:color w:val="auto"/>
          <w:rtl/>
          <w:lang w:eastAsia="en-US"/>
        </w:rPr>
        <w:t>؛ ثم في المعاملات قوله صلى الله عليه وسلم: "المسلمون على شروطهم إلا شرطا أحلَّ حراما أو حرّم حلالا"</w:t>
      </w:r>
      <w:r w:rsidR="00220935" w:rsidRPr="00220935">
        <w:rPr>
          <w:rFonts w:ascii="Traditional Arabic" w:hAnsi="Traditional Arabic" w:hint="cs"/>
          <w:noProof w:val="0"/>
          <w:color w:val="auto"/>
          <w:vertAlign w:val="superscript"/>
          <w:rtl/>
          <w:lang w:eastAsia="en-US"/>
        </w:rPr>
        <w:t>(</w:t>
      </w:r>
      <w:r w:rsidR="00220935" w:rsidRPr="00220935">
        <w:rPr>
          <w:rStyle w:val="af1"/>
          <w:rFonts w:ascii="Traditional Arabic" w:hAnsi="Traditional Arabic"/>
          <w:noProof w:val="0"/>
          <w:color w:val="auto"/>
          <w:rtl/>
          <w:lang w:eastAsia="en-US"/>
        </w:rPr>
        <w:footnoteReference w:id="195"/>
      </w:r>
      <w:r w:rsidR="00220935" w:rsidRPr="00220935">
        <w:rPr>
          <w:rFonts w:ascii="Traditional Arabic" w:hAnsi="Traditional Arabic" w:hint="cs"/>
          <w:noProof w:val="0"/>
          <w:color w:val="auto"/>
          <w:vertAlign w:val="superscript"/>
          <w:rtl/>
          <w:lang w:eastAsia="en-US"/>
        </w:rPr>
        <w:t>)</w:t>
      </w:r>
      <w:r w:rsidR="00220935">
        <w:rPr>
          <w:rFonts w:ascii="Traditional Arabic" w:hAnsi="Traditional Arabic" w:hint="cs"/>
          <w:noProof w:val="0"/>
          <w:color w:val="auto"/>
          <w:rtl/>
          <w:lang w:eastAsia="en-US"/>
        </w:rPr>
        <w:t>)</w:t>
      </w:r>
      <w:r w:rsidR="00220935" w:rsidRPr="00220935">
        <w:rPr>
          <w:rFonts w:ascii="Traditional Arabic" w:hAnsi="Traditional Arabic" w:hint="cs"/>
          <w:noProof w:val="0"/>
          <w:color w:val="auto"/>
          <w:vertAlign w:val="superscript"/>
          <w:rtl/>
          <w:lang w:eastAsia="en-US"/>
        </w:rPr>
        <w:t>(</w:t>
      </w:r>
      <w:r w:rsidR="00220935" w:rsidRPr="00220935">
        <w:rPr>
          <w:rStyle w:val="af1"/>
          <w:rFonts w:ascii="Traditional Arabic" w:hAnsi="Traditional Arabic"/>
          <w:noProof w:val="0"/>
          <w:color w:val="auto"/>
          <w:rtl/>
          <w:lang w:eastAsia="en-US"/>
        </w:rPr>
        <w:footnoteReference w:id="196"/>
      </w:r>
      <w:r w:rsidR="00220935" w:rsidRPr="00220935">
        <w:rPr>
          <w:rFonts w:ascii="Traditional Arabic" w:hAnsi="Traditional Arabic" w:hint="cs"/>
          <w:noProof w:val="0"/>
          <w:color w:val="auto"/>
          <w:vertAlign w:val="superscript"/>
          <w:rtl/>
          <w:lang w:eastAsia="en-US"/>
        </w:rPr>
        <w:t>)</w:t>
      </w:r>
      <w:r>
        <w:rPr>
          <w:rFonts w:ascii="Traditional Arabic" w:hAnsi="Traditional Arabic" w:hint="cs"/>
          <w:noProof w:val="0"/>
          <w:color w:val="auto"/>
          <w:rtl/>
          <w:lang w:eastAsia="en-US"/>
        </w:rPr>
        <w:t>.</w:t>
      </w:r>
    </w:p>
    <w:p w:rsidR="001E60CD" w:rsidRDefault="001E60CD" w:rsidP="00203C32">
      <w:pPr>
        <w:rPr>
          <w:rtl/>
        </w:rPr>
      </w:pPr>
      <w:r w:rsidRPr="00203C32">
        <w:rPr>
          <w:rFonts w:ascii="Traditional Arabic" w:hAnsi="Traditional Arabic" w:hint="cs"/>
          <w:rtl/>
        </w:rPr>
        <w:lastRenderedPageBreak/>
        <w:t xml:space="preserve">ومن أمثلة استمداد القواعد من الإجماع </w:t>
      </w:r>
      <w:r w:rsidR="006960A7">
        <w:rPr>
          <w:rFonts w:ascii="Traditional Arabic" w:hAnsi="Traditional Arabic" w:hint="cs"/>
          <w:rtl/>
        </w:rPr>
        <w:t xml:space="preserve">قول </w:t>
      </w:r>
      <w:r w:rsidRPr="00203C32">
        <w:rPr>
          <w:rFonts w:ascii="Traditional Arabic" w:hAnsi="Traditional Arabic" w:hint="cs"/>
          <w:rtl/>
        </w:rPr>
        <w:t>الشيخ ابن عثيمين_ رحمه الله_</w:t>
      </w:r>
      <w:r>
        <w:rPr>
          <w:rFonts w:hint="cs"/>
          <w:rtl/>
        </w:rPr>
        <w:t>في معرض كلامه عن حديث:"كل قرض جر منفعة فهو ربا"</w:t>
      </w:r>
      <w:r w:rsidRPr="00203C32">
        <w:rPr>
          <w:rFonts w:hint="cs"/>
          <w:vertAlign w:val="superscript"/>
          <w:rtl/>
        </w:rPr>
        <w:t>(</w:t>
      </w:r>
      <w:r w:rsidRPr="001E60CD">
        <w:rPr>
          <w:rStyle w:val="af1"/>
          <w:rtl/>
        </w:rPr>
        <w:footnoteReference w:id="197"/>
      </w:r>
      <w:r w:rsidRPr="00203C32">
        <w:rPr>
          <w:rFonts w:hint="cs"/>
          <w:vertAlign w:val="superscript"/>
          <w:rtl/>
        </w:rPr>
        <w:t>)</w:t>
      </w:r>
      <w:r>
        <w:rPr>
          <w:rFonts w:hint="cs"/>
          <w:rtl/>
        </w:rPr>
        <w:t>_ وهذا الحديث جعله العلماء ضابطا</w:t>
      </w:r>
      <w:r w:rsidR="00AE48CB">
        <w:rPr>
          <w:rFonts w:hint="cs"/>
          <w:rtl/>
        </w:rPr>
        <w:t xml:space="preserve"> فقهيا</w:t>
      </w:r>
      <w:r>
        <w:rPr>
          <w:rFonts w:hint="cs"/>
          <w:rtl/>
        </w:rPr>
        <w:t xml:space="preserve"> في باب الربا_: ( ذكر السائل أن أي قرض جر منفعة فهو ربا، فهذا ليس حديثا صحيحا عن النبي عليه الصلاة والسلام، لكن العلماء مُجمِعون على مضمونه ومُقتضاه)</w:t>
      </w:r>
      <w:r w:rsidRPr="00203C32">
        <w:rPr>
          <w:rFonts w:hint="cs"/>
          <w:vertAlign w:val="superscript"/>
          <w:rtl/>
        </w:rPr>
        <w:t>(</w:t>
      </w:r>
      <w:r w:rsidRPr="00443CC2">
        <w:rPr>
          <w:rStyle w:val="af1"/>
          <w:rtl/>
        </w:rPr>
        <w:footnoteReference w:id="198"/>
      </w:r>
      <w:r w:rsidRPr="00203C32">
        <w:rPr>
          <w:rFonts w:hint="cs"/>
          <w:vertAlign w:val="superscript"/>
          <w:rtl/>
        </w:rPr>
        <w:t>)</w:t>
      </w:r>
      <w:r>
        <w:rPr>
          <w:rFonts w:hint="cs"/>
          <w:rtl/>
        </w:rPr>
        <w:t>.</w:t>
      </w:r>
    </w:p>
    <w:p w:rsidR="00AE48CB" w:rsidRDefault="0029266D" w:rsidP="00203C32">
      <w:pPr>
        <w:rPr>
          <w:rtl/>
        </w:rPr>
      </w:pPr>
      <w:r>
        <w:rPr>
          <w:rFonts w:ascii="Traditional Arabic" w:hAnsi="Traditional Arabic" w:hint="cs"/>
          <w:rtl/>
        </w:rPr>
        <w:t>ومن أمثلة استدلاله رحمه الله بالمعقول المعتضد بالمنقول قو</w:t>
      </w:r>
      <w:r w:rsidR="00203C32" w:rsidRPr="00203C32">
        <w:rPr>
          <w:rFonts w:ascii="Traditional Arabic" w:hAnsi="Traditional Arabic" w:hint="cs"/>
          <w:rtl/>
        </w:rPr>
        <w:t>ل</w:t>
      </w:r>
      <w:r>
        <w:rPr>
          <w:rFonts w:ascii="Traditional Arabic" w:hAnsi="Traditional Arabic" w:hint="cs"/>
          <w:rtl/>
        </w:rPr>
        <w:t>ه عند الاستدلال لقاعدة"درء المفاسد مقدَّم على جلب المصالح"</w:t>
      </w:r>
      <w:r w:rsidR="00203C32" w:rsidRPr="00203C32">
        <w:rPr>
          <w:rFonts w:ascii="Traditional Arabic" w:hAnsi="Traditional Arabic" w:hint="cs"/>
          <w:rtl/>
        </w:rPr>
        <w:t>:</w:t>
      </w:r>
      <w:r>
        <w:rPr>
          <w:rFonts w:ascii="Traditional Arabic" w:hAnsi="Traditional Arabic" w:hint="cs"/>
          <w:rtl/>
        </w:rPr>
        <w:t xml:space="preserve"> </w:t>
      </w:r>
      <w:r w:rsidR="00203C32" w:rsidRPr="00203C32">
        <w:rPr>
          <w:rFonts w:ascii="Traditional Arabic" w:hAnsi="Traditional Arabic" w:hint="cs"/>
          <w:rtl/>
        </w:rPr>
        <w:t>(</w:t>
      </w:r>
      <w:r w:rsidR="00203C32">
        <w:rPr>
          <w:rFonts w:ascii="Traditional Arabic" w:hAnsi="Traditional Arabic" w:hint="cs"/>
          <w:rtl/>
        </w:rPr>
        <w:t xml:space="preserve"> </w:t>
      </w:r>
      <w:r w:rsidR="00203C32" w:rsidRPr="00203C32">
        <w:rPr>
          <w:rFonts w:ascii="Traditional Arabic" w:hAnsi="Traditional Arabic" w:hint="cs"/>
          <w:rtl/>
        </w:rPr>
        <w:t>والمعنى يدل عليه، وهو أن ما كان مشتملا على مضرة ولا يمكن اجتنابه إلا باجتناب ما فيه من المنفعة فإنه يجب اجتنابه</w:t>
      </w:r>
      <w:r w:rsidR="00203C32">
        <w:rPr>
          <w:rFonts w:ascii="Traditional Arabic" w:hAnsi="Traditional Arabic" w:hint="cs"/>
          <w:rtl/>
        </w:rPr>
        <w:t>...وقد أشارت النصوص إلى هذا</w:t>
      </w:r>
      <w:r w:rsidR="00203C32" w:rsidRPr="00203C32">
        <w:rPr>
          <w:rFonts w:ascii="Traditional Arabic" w:hAnsi="Traditional Arabic" w:hint="cs"/>
          <w:rtl/>
        </w:rPr>
        <w:t>)</w:t>
      </w:r>
      <w:r w:rsidR="00203C32" w:rsidRPr="00203C32">
        <w:rPr>
          <w:rStyle w:val="af1"/>
          <w:szCs w:val="32"/>
          <w:rtl/>
        </w:rPr>
        <w:t>(</w:t>
      </w:r>
      <w:r w:rsidR="00203C32" w:rsidRPr="00C821A1">
        <w:rPr>
          <w:rStyle w:val="af1"/>
          <w:szCs w:val="32"/>
          <w:rtl/>
        </w:rPr>
        <w:footnoteReference w:id="199"/>
      </w:r>
      <w:r w:rsidR="00203C32" w:rsidRPr="00203C32">
        <w:rPr>
          <w:rStyle w:val="af1"/>
          <w:szCs w:val="32"/>
          <w:rtl/>
        </w:rPr>
        <w:t>)</w:t>
      </w:r>
      <w:r w:rsidR="00203C32" w:rsidRPr="00203C32">
        <w:rPr>
          <w:rFonts w:ascii="Traditional Arabic" w:hAnsi="Traditional Arabic" w:hint="cs"/>
          <w:rtl/>
        </w:rPr>
        <w:t>.</w:t>
      </w:r>
    </w:p>
    <w:p w:rsidR="001E60CD" w:rsidRPr="00FD682D" w:rsidRDefault="001E60CD" w:rsidP="00FD682D">
      <w:pPr>
        <w:spacing w:line="640" w:lineRule="exact"/>
        <w:jc w:val="lowKashida"/>
        <w:rPr>
          <w:rFonts w:ascii="Traditional Arabic" w:hAnsi="Traditional Arabic"/>
          <w:rtl/>
        </w:rPr>
      </w:pPr>
    </w:p>
    <w:p w:rsidR="006F08E1" w:rsidRPr="008A4295" w:rsidRDefault="00203C32" w:rsidP="00A8347C">
      <w:pPr>
        <w:pStyle w:val="aff3"/>
        <w:rPr>
          <w:rtl/>
        </w:rPr>
      </w:pPr>
      <w:bookmarkStart w:id="35" w:name="_Toc334046297"/>
      <w:r>
        <w:rPr>
          <w:rFonts w:hint="cs"/>
          <w:rtl/>
        </w:rPr>
        <w:lastRenderedPageBreak/>
        <w:t xml:space="preserve">                                          </w:t>
      </w:r>
      <w:r w:rsidR="006F08E1" w:rsidRPr="008A4295">
        <w:rPr>
          <w:rtl/>
        </w:rPr>
        <w:t>المطلب الثاني</w:t>
      </w:r>
      <w:r w:rsidR="004A1352">
        <w:rPr>
          <w:rFonts w:hint="cs"/>
          <w:rtl/>
        </w:rPr>
        <w:t> :</w:t>
      </w:r>
      <w:r w:rsidR="004A1352">
        <w:rPr>
          <w:rFonts w:hint="cs"/>
          <w:rtl/>
        </w:rPr>
        <w:br/>
      </w:r>
      <w:r>
        <w:rPr>
          <w:rFonts w:hint="cs"/>
          <w:rtl/>
        </w:rPr>
        <w:t xml:space="preserve">                                     </w:t>
      </w:r>
      <w:r w:rsidR="006F08E1" w:rsidRPr="008A4295">
        <w:rPr>
          <w:rtl/>
        </w:rPr>
        <w:t>ارتبــــاطها بواقـــع النــــاس</w:t>
      </w:r>
      <w:bookmarkEnd w:id="35"/>
    </w:p>
    <w:p w:rsidR="00C30BD3" w:rsidRDefault="006F08E1" w:rsidP="00597C20">
      <w:pPr>
        <w:spacing w:line="640" w:lineRule="exact"/>
        <w:jc w:val="lowKashida"/>
        <w:rPr>
          <w:rFonts w:ascii="Traditional Arabic" w:hAnsi="Traditional Arabic"/>
          <w:rtl/>
        </w:rPr>
      </w:pPr>
      <w:r w:rsidRPr="008A4295">
        <w:rPr>
          <w:rFonts w:ascii="Traditional Arabic" w:hAnsi="Traditional Arabic"/>
          <w:rtl/>
        </w:rPr>
        <w:t>إعمال القواعد الفقهية</w:t>
      </w:r>
      <w:r w:rsidR="00B76414">
        <w:rPr>
          <w:rFonts w:ascii="Traditional Arabic" w:hAnsi="Traditional Arabic"/>
          <w:rtl/>
        </w:rPr>
        <w:t>،</w:t>
      </w:r>
      <w:r w:rsidRPr="008A4295">
        <w:rPr>
          <w:rFonts w:ascii="Traditional Arabic" w:hAnsi="Traditional Arabic"/>
          <w:rtl/>
        </w:rPr>
        <w:t xml:space="preserve"> وربطها بواقع الناس وحياتهم</w:t>
      </w:r>
      <w:r w:rsidR="00B76414">
        <w:rPr>
          <w:rFonts w:ascii="Traditional Arabic" w:hAnsi="Traditional Arabic"/>
          <w:rtl/>
        </w:rPr>
        <w:t>،</w:t>
      </w:r>
      <w:r w:rsidRPr="008A4295">
        <w:rPr>
          <w:rFonts w:ascii="Traditional Arabic" w:hAnsi="Traditional Arabic"/>
          <w:rtl/>
        </w:rPr>
        <w:t xml:space="preserve"> سمة ظاهرة اتَّسم بها الشيخ ابن عثيمين </w:t>
      </w:r>
      <w:r w:rsidR="009A0575" w:rsidRPr="005D5694">
        <w:rPr>
          <w:rFonts w:ascii="Traditional Arabic" w:hAnsi="Traditional Arabic" w:cs="CTraditional Arabic" w:hint="cs"/>
          <w:rtl/>
        </w:rPr>
        <w:t>/</w:t>
      </w:r>
      <w:r w:rsidR="00B76414">
        <w:rPr>
          <w:rFonts w:ascii="Traditional Arabic" w:hAnsi="Traditional Arabic"/>
          <w:rtl/>
        </w:rPr>
        <w:t>،</w:t>
      </w:r>
      <w:r w:rsidR="00DA6C6A">
        <w:rPr>
          <w:rFonts w:ascii="Traditional Arabic" w:hAnsi="Traditional Arabic"/>
          <w:rtl/>
        </w:rPr>
        <w:t xml:space="preserve"> فقد اعتنى</w:t>
      </w:r>
      <w:r w:rsidRPr="008A4295">
        <w:rPr>
          <w:rFonts w:ascii="Traditional Arabic" w:hAnsi="Traditional Arabic"/>
          <w:rtl/>
        </w:rPr>
        <w:t xml:space="preserve"> </w:t>
      </w:r>
      <w:r w:rsidR="009A0575" w:rsidRPr="005D5694">
        <w:rPr>
          <w:rFonts w:ascii="Traditional Arabic" w:hAnsi="Traditional Arabic" w:cs="CTraditional Arabic" w:hint="cs"/>
          <w:rtl/>
        </w:rPr>
        <w:t>/</w:t>
      </w:r>
      <w:r w:rsidRPr="008A4295">
        <w:rPr>
          <w:rFonts w:ascii="Traditional Arabic" w:hAnsi="Traditional Arabic"/>
          <w:rtl/>
        </w:rPr>
        <w:t xml:space="preserve"> بهذا الجانب واهتم به</w:t>
      </w:r>
      <w:r w:rsidR="00B76414">
        <w:rPr>
          <w:rFonts w:ascii="Traditional Arabic" w:hAnsi="Traditional Arabic"/>
          <w:rtl/>
        </w:rPr>
        <w:t>،</w:t>
      </w:r>
      <w:r w:rsidRPr="008A4295">
        <w:rPr>
          <w:rFonts w:ascii="Traditional Arabic" w:hAnsi="Traditional Arabic"/>
          <w:rtl/>
        </w:rPr>
        <w:t xml:space="preserve"> حيث نجد في تطبيقات الشيخ على القواعد</w:t>
      </w:r>
      <w:r w:rsidR="00B76414">
        <w:rPr>
          <w:rFonts w:ascii="Traditional Arabic" w:hAnsi="Traditional Arabic"/>
          <w:rtl/>
        </w:rPr>
        <w:t>،</w:t>
      </w:r>
      <w:r w:rsidRPr="008A4295">
        <w:rPr>
          <w:rFonts w:ascii="Traditional Arabic" w:hAnsi="Traditional Arabic"/>
          <w:rtl/>
        </w:rPr>
        <w:t xml:space="preserve"> أنه بعيد</w:t>
      </w:r>
      <w:r w:rsidR="00203C32">
        <w:rPr>
          <w:rFonts w:ascii="Traditional Arabic" w:hAnsi="Traditional Arabic" w:hint="cs"/>
          <w:rtl/>
        </w:rPr>
        <w:t>ٌ</w:t>
      </w:r>
      <w:r w:rsidRPr="008A4295">
        <w:rPr>
          <w:rFonts w:ascii="Traditional Arabic" w:hAnsi="Traditional Arabic"/>
          <w:rtl/>
        </w:rPr>
        <w:t xml:space="preserve"> ك</w:t>
      </w:r>
      <w:r w:rsidR="00203C32">
        <w:rPr>
          <w:rFonts w:ascii="Traditional Arabic" w:hAnsi="Traditional Arabic" w:hint="cs"/>
          <w:rtl/>
        </w:rPr>
        <w:t>ُ</w:t>
      </w:r>
      <w:r w:rsidRPr="008A4295">
        <w:rPr>
          <w:rFonts w:ascii="Traditional Arabic" w:hAnsi="Traditional Arabic"/>
          <w:rtl/>
        </w:rPr>
        <w:t>ل</w:t>
      </w:r>
      <w:r w:rsidR="00203C32">
        <w:rPr>
          <w:rFonts w:ascii="Traditional Arabic" w:hAnsi="Traditional Arabic" w:hint="cs"/>
          <w:rtl/>
        </w:rPr>
        <w:t>َّ</w:t>
      </w:r>
      <w:r w:rsidRPr="008A4295">
        <w:rPr>
          <w:rFonts w:ascii="Traditional Arabic" w:hAnsi="Traditional Arabic"/>
          <w:rtl/>
        </w:rPr>
        <w:t xml:space="preserve"> البعد عن الإغراق في شواذ المسائل</w:t>
      </w:r>
      <w:r w:rsidR="00B76414">
        <w:rPr>
          <w:rFonts w:ascii="Traditional Arabic" w:hAnsi="Traditional Arabic"/>
          <w:rtl/>
        </w:rPr>
        <w:t>،</w:t>
      </w:r>
      <w:r w:rsidRPr="008A4295">
        <w:rPr>
          <w:rFonts w:ascii="Traditional Arabic" w:hAnsi="Traditional Arabic"/>
          <w:rtl/>
        </w:rPr>
        <w:t xml:space="preserve"> والافتراضات المتكل</w:t>
      </w:r>
      <w:r w:rsidR="00203C32">
        <w:rPr>
          <w:rFonts w:ascii="Traditional Arabic" w:hAnsi="Traditional Arabic" w:hint="cs"/>
          <w:rtl/>
        </w:rPr>
        <w:t>َّ</w:t>
      </w:r>
      <w:r w:rsidRPr="008A4295">
        <w:rPr>
          <w:rFonts w:ascii="Traditional Arabic" w:hAnsi="Traditional Arabic"/>
          <w:rtl/>
        </w:rPr>
        <w:t>فة</w:t>
      </w:r>
      <w:r w:rsidR="00B76414">
        <w:rPr>
          <w:rFonts w:ascii="Traditional Arabic" w:hAnsi="Traditional Arabic"/>
          <w:rtl/>
        </w:rPr>
        <w:t>،</w:t>
      </w:r>
      <w:r w:rsidRPr="008A4295">
        <w:rPr>
          <w:rFonts w:ascii="Traditional Arabic" w:hAnsi="Traditional Arabic"/>
          <w:rtl/>
        </w:rPr>
        <w:t xml:space="preserve"> والتي لا تم</w:t>
      </w:r>
      <w:r w:rsidR="00203C32">
        <w:rPr>
          <w:rFonts w:ascii="Traditional Arabic" w:hAnsi="Traditional Arabic" w:hint="cs"/>
          <w:rtl/>
        </w:rPr>
        <w:t>ُ</w:t>
      </w:r>
      <w:r w:rsidRPr="008A4295">
        <w:rPr>
          <w:rFonts w:ascii="Traditional Arabic" w:hAnsi="Traditional Arabic"/>
          <w:rtl/>
        </w:rPr>
        <w:t>ت</w:t>
      </w:r>
      <w:r w:rsidR="00203C32">
        <w:rPr>
          <w:rFonts w:ascii="Traditional Arabic" w:hAnsi="Traditional Arabic" w:hint="cs"/>
          <w:rtl/>
        </w:rPr>
        <w:t>ُّ</w:t>
      </w:r>
      <w:r w:rsidRPr="008A4295">
        <w:rPr>
          <w:rFonts w:ascii="Traditional Arabic" w:hAnsi="Traditional Arabic"/>
          <w:rtl/>
        </w:rPr>
        <w:t xml:space="preserve"> للواقع بصلة</w:t>
      </w:r>
      <w:r w:rsidR="00B76414">
        <w:rPr>
          <w:rFonts w:ascii="Traditional Arabic" w:hAnsi="Traditional Arabic"/>
          <w:rtl/>
        </w:rPr>
        <w:t>،</w:t>
      </w:r>
      <w:r w:rsidRPr="008A4295">
        <w:rPr>
          <w:rFonts w:ascii="Traditional Arabic" w:hAnsi="Traditional Arabic"/>
          <w:rtl/>
        </w:rPr>
        <w:t xml:space="preserve"> بل إن الشيخ </w:t>
      </w:r>
      <w:r w:rsidR="009A0575" w:rsidRPr="005D5694">
        <w:rPr>
          <w:rFonts w:ascii="Traditional Arabic" w:hAnsi="Traditional Arabic" w:cs="CTraditional Arabic" w:hint="cs"/>
          <w:rtl/>
        </w:rPr>
        <w:t>/</w:t>
      </w:r>
      <w:r w:rsidRPr="008A4295">
        <w:rPr>
          <w:rFonts w:ascii="Traditional Arabic" w:hAnsi="Traditional Arabic"/>
          <w:rtl/>
        </w:rPr>
        <w:t xml:space="preserve"> يحاول أن يوظِّف تلك القواعد في التعامل مع النوازل الواقعة والمستجدات المعاصرة</w:t>
      </w:r>
      <w:r w:rsidR="00B76414">
        <w:rPr>
          <w:rFonts w:ascii="Traditional Arabic" w:hAnsi="Traditional Arabic"/>
          <w:rtl/>
        </w:rPr>
        <w:t>،</w:t>
      </w:r>
      <w:r w:rsidRPr="008A4295">
        <w:rPr>
          <w:rFonts w:ascii="Traditional Arabic" w:hAnsi="Traditional Arabic"/>
          <w:rtl/>
        </w:rPr>
        <w:t xml:space="preserve"> بالفهم العميق والرؤية الثاقبة</w:t>
      </w:r>
      <w:r w:rsidR="00B76414">
        <w:rPr>
          <w:rFonts w:ascii="Traditional Arabic" w:hAnsi="Traditional Arabic"/>
          <w:rtl/>
        </w:rPr>
        <w:t>،</w:t>
      </w:r>
      <w:r w:rsidRPr="008A4295">
        <w:rPr>
          <w:rFonts w:ascii="Traditional Arabic" w:hAnsi="Traditional Arabic"/>
          <w:rtl/>
        </w:rPr>
        <w:t xml:space="preserve"> من خلال تخريج تلك النوازل والمستجدات على القواعد والضوابط الفقهية</w:t>
      </w:r>
      <w:r w:rsidR="00B76414">
        <w:rPr>
          <w:rFonts w:ascii="Traditional Arabic" w:hAnsi="Traditional Arabic"/>
          <w:rtl/>
        </w:rPr>
        <w:t>،</w:t>
      </w:r>
      <w:r w:rsidR="00DA6C6A">
        <w:rPr>
          <w:rFonts w:ascii="Traditional Arabic" w:hAnsi="Traditional Arabic"/>
          <w:rtl/>
        </w:rPr>
        <w:t xml:space="preserve"> وهذا مما أبان عن عظيم ف</w:t>
      </w:r>
      <w:r w:rsidR="00DA6C6A">
        <w:rPr>
          <w:rFonts w:ascii="Traditional Arabic" w:hAnsi="Traditional Arabic" w:hint="cs"/>
          <w:rtl/>
        </w:rPr>
        <w:t>قه</w:t>
      </w:r>
      <w:r w:rsidRPr="008A4295">
        <w:rPr>
          <w:rFonts w:ascii="Traditional Arabic" w:hAnsi="Traditional Arabic"/>
          <w:rtl/>
        </w:rPr>
        <w:t xml:space="preserve"> الشيخ </w:t>
      </w:r>
      <w:r w:rsidR="009A0575" w:rsidRPr="005D5694">
        <w:rPr>
          <w:rFonts w:ascii="Traditional Arabic" w:hAnsi="Traditional Arabic" w:cs="CTraditional Arabic" w:hint="cs"/>
          <w:rtl/>
        </w:rPr>
        <w:t>/</w:t>
      </w:r>
      <w:r w:rsidR="00DA6C6A">
        <w:rPr>
          <w:rFonts w:ascii="Traditional Arabic" w:hAnsi="Traditional Arabic" w:cs="CTraditional Arabic" w:hint="cs"/>
          <w:rtl/>
        </w:rPr>
        <w:t xml:space="preserve"> </w:t>
      </w:r>
      <w:r w:rsidRPr="008A4295">
        <w:rPr>
          <w:rFonts w:ascii="Traditional Arabic" w:hAnsi="Traditional Arabic"/>
          <w:rtl/>
        </w:rPr>
        <w:t>وكبير فهمه</w:t>
      </w:r>
      <w:r w:rsidR="00B76414">
        <w:rPr>
          <w:rFonts w:ascii="Traditional Arabic" w:hAnsi="Traditional Arabic"/>
          <w:rtl/>
        </w:rPr>
        <w:t>،</w:t>
      </w:r>
      <w:r w:rsidRPr="008A4295">
        <w:rPr>
          <w:rFonts w:ascii="Traditional Arabic" w:hAnsi="Traditional Arabic"/>
          <w:rtl/>
        </w:rPr>
        <w:t xml:space="preserve"> وأنه مساير لوقته وعصره في الوصول إلى الحكم الشرعي الذي تؤيده القواعد الشرعية</w:t>
      </w:r>
      <w:r w:rsidR="00C30BD3">
        <w:rPr>
          <w:rFonts w:ascii="Traditional Arabic" w:hAnsi="Traditional Arabic" w:hint="cs"/>
          <w:rtl/>
        </w:rPr>
        <w:t>؛</w:t>
      </w:r>
      <w:r w:rsidR="00C30BD3">
        <w:rPr>
          <w:rFonts w:ascii="Traditional Arabic" w:hAnsi="Traditional Arabic"/>
          <w:rtl/>
        </w:rPr>
        <w:t xml:space="preserve"> إذ </w:t>
      </w:r>
      <w:r w:rsidR="00C30BD3">
        <w:rPr>
          <w:rFonts w:ascii="Traditional Arabic" w:hAnsi="Traditional Arabic" w:hint="cs"/>
          <w:rtl/>
        </w:rPr>
        <w:t>أ</w:t>
      </w:r>
      <w:r w:rsidRPr="008A4295">
        <w:rPr>
          <w:rFonts w:ascii="Traditional Arabic" w:hAnsi="Traditional Arabic"/>
          <w:rtl/>
        </w:rPr>
        <w:t>ن الشريعة شاملة وكاملة ومستوفية لكل الحوادث إلى قيام الساعة</w:t>
      </w:r>
      <w:r w:rsidR="0091310E" w:rsidRPr="0091310E">
        <w:rPr>
          <w:rFonts w:ascii="Traditional Arabic" w:hAnsi="Traditional Arabic" w:hint="cs"/>
          <w:vertAlign w:val="superscript"/>
          <w:rtl/>
        </w:rPr>
        <w:t>(</w:t>
      </w:r>
      <w:r w:rsidR="00DA6C6A" w:rsidRPr="0091310E">
        <w:rPr>
          <w:rStyle w:val="af1"/>
          <w:rFonts w:ascii="Traditional Arabic" w:hAnsi="Traditional Arabic"/>
          <w:rtl/>
        </w:rPr>
        <w:footnoteReference w:id="200"/>
      </w:r>
      <w:r w:rsidR="0091310E" w:rsidRPr="0091310E">
        <w:rPr>
          <w:rFonts w:ascii="Traditional Arabic" w:hAnsi="Traditional Arabic" w:hint="cs"/>
          <w:vertAlign w:val="superscript"/>
          <w:rtl/>
        </w:rPr>
        <w:t>)</w:t>
      </w:r>
      <w:r w:rsidR="00C30BD3">
        <w:rPr>
          <w:rFonts w:ascii="Traditional Arabic" w:hAnsi="Traditional Arabic" w:hint="cs"/>
          <w:rtl/>
        </w:rPr>
        <w:t>.</w:t>
      </w:r>
    </w:p>
    <w:p w:rsidR="00DA6C6A" w:rsidRDefault="006F08E1" w:rsidP="00597C20">
      <w:pPr>
        <w:spacing w:line="640" w:lineRule="exact"/>
        <w:jc w:val="lowKashida"/>
        <w:rPr>
          <w:rFonts w:ascii="Traditional Arabic" w:hAnsi="Traditional Arabic"/>
          <w:rtl/>
        </w:rPr>
      </w:pPr>
      <w:r w:rsidRPr="008A4295">
        <w:rPr>
          <w:rFonts w:ascii="Traditional Arabic" w:hAnsi="Traditional Arabic"/>
          <w:rtl/>
        </w:rPr>
        <w:t xml:space="preserve"> يقول الشيخ ابن عثيمين </w:t>
      </w:r>
      <w:r w:rsidR="009A0575" w:rsidRPr="005D5694">
        <w:rPr>
          <w:rFonts w:ascii="Traditional Arabic" w:hAnsi="Traditional Arabic" w:cs="CTraditional Arabic" w:hint="cs"/>
          <w:rtl/>
        </w:rPr>
        <w:t>/</w:t>
      </w:r>
      <w:r w:rsidRPr="008A4295">
        <w:rPr>
          <w:rFonts w:ascii="Traditional Arabic" w:hAnsi="Traditional Arabic"/>
          <w:rtl/>
        </w:rPr>
        <w:t>: (لابد أن يكون الفقيه بدين الله عنده شيء من فقه أحوال الناس وواقعهم</w:t>
      </w:r>
      <w:r w:rsidR="00B76414">
        <w:rPr>
          <w:rFonts w:ascii="Traditional Arabic" w:hAnsi="Traditional Arabic"/>
          <w:rtl/>
        </w:rPr>
        <w:t>،</w:t>
      </w:r>
      <w:r w:rsidRPr="008A4295">
        <w:rPr>
          <w:rFonts w:ascii="Traditional Arabic" w:hAnsi="Traditional Arabic"/>
          <w:rtl/>
        </w:rPr>
        <w:t xml:space="preserve"> حتى يمكن أن يطبِّق الأحكام الشرعية على مقتضى ما ف</w:t>
      </w:r>
      <w:r w:rsidR="0029266D">
        <w:rPr>
          <w:rFonts w:ascii="Traditional Arabic" w:hAnsi="Traditional Arabic" w:hint="cs"/>
          <w:rtl/>
        </w:rPr>
        <w:t>َ</w:t>
      </w:r>
      <w:r w:rsidRPr="008A4295">
        <w:rPr>
          <w:rFonts w:ascii="Traditional Arabic" w:hAnsi="Traditional Arabic"/>
          <w:rtl/>
        </w:rPr>
        <w:t>ه</w:t>
      </w:r>
      <w:r w:rsidR="0029266D">
        <w:rPr>
          <w:rFonts w:ascii="Traditional Arabic" w:hAnsi="Traditional Arabic" w:hint="cs"/>
          <w:rtl/>
        </w:rPr>
        <w:t>ِ</w:t>
      </w:r>
      <w:r w:rsidRPr="008A4295">
        <w:rPr>
          <w:rFonts w:ascii="Traditional Arabic" w:hAnsi="Traditional Arabic"/>
          <w:rtl/>
        </w:rPr>
        <w:t>م من أحوال الناس</w:t>
      </w:r>
      <w:r w:rsidR="00DA6C6A">
        <w:rPr>
          <w:rFonts w:ascii="Traditional Arabic" w:hAnsi="Traditional Arabic" w:hint="cs"/>
          <w:rtl/>
        </w:rPr>
        <w:t>؛</w:t>
      </w:r>
      <w:r w:rsidRPr="008A4295">
        <w:rPr>
          <w:rFonts w:ascii="Traditional Arabic" w:hAnsi="Traditional Arabic"/>
          <w:rtl/>
        </w:rPr>
        <w:t xml:space="preserve"> و</w:t>
      </w:r>
      <w:r w:rsidR="00DA6C6A">
        <w:rPr>
          <w:rFonts w:ascii="Traditional Arabic" w:hAnsi="Traditional Arabic"/>
          <w:rtl/>
        </w:rPr>
        <w:t>لهذا ذكر العلماء في باب القضاء</w:t>
      </w:r>
      <w:r w:rsidRPr="008A4295">
        <w:rPr>
          <w:rFonts w:ascii="Traditional Arabic" w:hAnsi="Traditional Arabic"/>
          <w:rtl/>
        </w:rPr>
        <w:t xml:space="preserve"> أن من صفات القاضي أن يكون عارفاً بأحوال الناس ومصطلحاتهم في كلامهم وأفعالهم)</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201"/>
      </w:r>
      <w:r w:rsidRPr="00C821A1">
        <w:rPr>
          <w:rFonts w:ascii="Traditional Arabic" w:hAnsi="Traditional Arabic"/>
          <w:szCs w:val="32"/>
          <w:vertAlign w:val="superscript"/>
          <w:rtl/>
        </w:rPr>
        <w:t>)</w:t>
      </w:r>
      <w:r w:rsidR="00B76414">
        <w:rPr>
          <w:rFonts w:ascii="Traditional Arabic" w:hAnsi="Traditional Arabic"/>
          <w:rtl/>
        </w:rPr>
        <w:t>.</w:t>
      </w:r>
      <w:r w:rsidRPr="008A4295">
        <w:rPr>
          <w:rFonts w:ascii="Traditional Arabic" w:hAnsi="Traditional Arabic"/>
          <w:rtl/>
        </w:rPr>
        <w:t xml:space="preserve"> </w:t>
      </w:r>
    </w:p>
    <w:p w:rsidR="00F228A9" w:rsidRPr="008A4295" w:rsidRDefault="006F08E1" w:rsidP="00597C20">
      <w:pPr>
        <w:spacing w:line="640" w:lineRule="exact"/>
        <w:jc w:val="lowKashida"/>
        <w:rPr>
          <w:rFonts w:ascii="Traditional Arabic" w:hAnsi="Traditional Arabic"/>
          <w:b/>
          <w:bCs/>
          <w:rtl/>
        </w:rPr>
      </w:pPr>
      <w:r w:rsidRPr="008A4295">
        <w:rPr>
          <w:rFonts w:ascii="Traditional Arabic" w:hAnsi="Traditional Arabic"/>
          <w:rtl/>
        </w:rPr>
        <w:t xml:space="preserve">ومن </w:t>
      </w:r>
      <w:r w:rsidR="00DA6C6A">
        <w:rPr>
          <w:rFonts w:ascii="Traditional Arabic" w:hAnsi="Traditional Arabic" w:hint="cs"/>
          <w:rtl/>
        </w:rPr>
        <w:t>القواعد والضوابط التي ارتبطت بالواقع من خلال فقه الشيخ، تأصيلا وتفريعا، ما يلي:</w:t>
      </w:r>
    </w:p>
    <w:p w:rsidR="0091310E" w:rsidRDefault="0091310E" w:rsidP="000A76C7">
      <w:pPr>
        <w:numPr>
          <w:ilvl w:val="0"/>
          <w:numId w:val="49"/>
        </w:numPr>
        <w:tabs>
          <w:tab w:val="clear" w:pos="1324"/>
          <w:tab w:val="num" w:pos="1123"/>
        </w:tabs>
        <w:spacing w:line="640" w:lineRule="exact"/>
        <w:ind w:left="1123" w:hanging="669"/>
        <w:jc w:val="lowKashida"/>
        <w:rPr>
          <w:rFonts w:ascii="Traditional Arabic" w:hAnsi="Traditional Arabic"/>
        </w:rPr>
      </w:pPr>
      <w:r w:rsidRPr="0091310E">
        <w:rPr>
          <w:rFonts w:ascii="Traditional Arabic" w:hAnsi="Traditional Arabic" w:hint="cs"/>
          <w:rtl/>
        </w:rPr>
        <w:t>قاعدة</w:t>
      </w:r>
      <w:r w:rsidR="00173F8B">
        <w:rPr>
          <w:rFonts w:ascii="Traditional Arabic" w:hAnsi="Traditional Arabic" w:hint="cs"/>
          <w:rtl/>
        </w:rPr>
        <w:t>:</w:t>
      </w:r>
      <w:r w:rsidRPr="0091310E">
        <w:rPr>
          <w:rFonts w:ascii="Traditional Arabic" w:hAnsi="Traditional Arabic" w:hint="cs"/>
          <w:rtl/>
        </w:rPr>
        <w:t xml:space="preserve"> </w:t>
      </w:r>
      <w:r w:rsidR="00173F8B">
        <w:rPr>
          <w:rFonts w:ascii="Traditional Arabic" w:hAnsi="Traditional Arabic" w:hint="cs"/>
          <w:rtl/>
        </w:rPr>
        <w:t>"</w:t>
      </w:r>
      <w:r w:rsidRPr="0091310E">
        <w:rPr>
          <w:rFonts w:ascii="Traditional Arabic" w:hAnsi="Traditional Arabic" w:hint="cs"/>
          <w:rtl/>
        </w:rPr>
        <w:t xml:space="preserve">الأصل في </w:t>
      </w:r>
      <w:r>
        <w:rPr>
          <w:rFonts w:ascii="Traditional Arabic" w:hAnsi="Traditional Arabic" w:hint="cs"/>
          <w:rtl/>
        </w:rPr>
        <w:t>العقود والشروط الجواز والصحة</w:t>
      </w:r>
      <w:r w:rsidR="00173F8B">
        <w:rPr>
          <w:rFonts w:ascii="Traditional Arabic" w:hAnsi="Traditional Arabic" w:hint="cs"/>
          <w:rtl/>
        </w:rPr>
        <w:t>"</w:t>
      </w:r>
      <w:r w:rsidRPr="0091310E">
        <w:rPr>
          <w:rFonts w:ascii="Traditional Arabic" w:hAnsi="Traditional Arabic" w:hint="cs"/>
          <w:vertAlign w:val="superscript"/>
          <w:rtl/>
        </w:rPr>
        <w:t>(</w:t>
      </w:r>
      <w:r w:rsidRPr="0091310E">
        <w:rPr>
          <w:rStyle w:val="af1"/>
          <w:rFonts w:ascii="Traditional Arabic" w:hAnsi="Traditional Arabic"/>
          <w:rtl/>
        </w:rPr>
        <w:footnoteReference w:id="202"/>
      </w:r>
      <w:r w:rsidRPr="0091310E">
        <w:rPr>
          <w:rFonts w:ascii="Traditional Arabic" w:hAnsi="Traditional Arabic" w:hint="cs"/>
          <w:vertAlign w:val="superscript"/>
          <w:rtl/>
        </w:rPr>
        <w:t>)</w:t>
      </w:r>
      <w:r>
        <w:rPr>
          <w:rFonts w:ascii="Traditional Arabic" w:hAnsi="Traditional Arabic" w:hint="cs"/>
          <w:rtl/>
        </w:rPr>
        <w:t>.</w:t>
      </w:r>
    </w:p>
    <w:p w:rsidR="006F1A84" w:rsidRPr="00647662" w:rsidRDefault="0091310E" w:rsidP="00647662">
      <w:pPr>
        <w:numPr>
          <w:ilvl w:val="0"/>
          <w:numId w:val="49"/>
        </w:numPr>
        <w:tabs>
          <w:tab w:val="clear" w:pos="1324"/>
          <w:tab w:val="num" w:pos="1123"/>
        </w:tabs>
        <w:spacing w:line="640" w:lineRule="exact"/>
        <w:ind w:left="1123" w:hanging="669"/>
        <w:jc w:val="lowKashida"/>
        <w:rPr>
          <w:rFonts w:ascii="Traditional Arabic" w:hAnsi="Traditional Arabic"/>
        </w:rPr>
      </w:pPr>
      <w:r>
        <w:rPr>
          <w:rFonts w:ascii="Traditional Arabic" w:hAnsi="Traditional Arabic" w:hint="cs"/>
          <w:rtl/>
        </w:rPr>
        <w:t>قاعدة</w:t>
      </w:r>
      <w:r w:rsidR="00173F8B">
        <w:rPr>
          <w:rFonts w:ascii="Traditional Arabic" w:hAnsi="Traditional Arabic" w:hint="cs"/>
          <w:rtl/>
        </w:rPr>
        <w:t>:</w:t>
      </w:r>
      <w:r>
        <w:rPr>
          <w:rFonts w:ascii="Traditional Arabic" w:hAnsi="Traditional Arabic" w:hint="cs"/>
          <w:rtl/>
        </w:rPr>
        <w:t xml:space="preserve"> </w:t>
      </w:r>
      <w:r w:rsidR="00173F8B">
        <w:rPr>
          <w:rFonts w:ascii="Traditional Arabic" w:hAnsi="Traditional Arabic" w:hint="cs"/>
          <w:rtl/>
        </w:rPr>
        <w:t>"</w:t>
      </w:r>
      <w:r>
        <w:rPr>
          <w:rFonts w:ascii="Traditional Arabic" w:hAnsi="Traditional Arabic" w:hint="cs"/>
          <w:rtl/>
        </w:rPr>
        <w:t>الوسائل لها أحكام المقاصد</w:t>
      </w:r>
      <w:r w:rsidR="00173F8B">
        <w:rPr>
          <w:rFonts w:ascii="Traditional Arabic" w:hAnsi="Traditional Arabic" w:hint="cs"/>
          <w:rtl/>
        </w:rPr>
        <w:t>"</w:t>
      </w:r>
      <w:r w:rsidRPr="0091310E">
        <w:rPr>
          <w:rFonts w:ascii="Traditional Arabic" w:hAnsi="Traditional Arabic" w:hint="cs"/>
          <w:vertAlign w:val="superscript"/>
          <w:rtl/>
        </w:rPr>
        <w:t>(</w:t>
      </w:r>
      <w:r w:rsidRPr="0091310E">
        <w:rPr>
          <w:rStyle w:val="af1"/>
          <w:rFonts w:ascii="Traditional Arabic" w:hAnsi="Traditional Arabic"/>
          <w:rtl/>
        </w:rPr>
        <w:footnoteReference w:id="203"/>
      </w:r>
      <w:r w:rsidRPr="0091310E">
        <w:rPr>
          <w:rFonts w:ascii="Traditional Arabic" w:hAnsi="Traditional Arabic" w:hint="cs"/>
          <w:vertAlign w:val="superscript"/>
          <w:rtl/>
        </w:rPr>
        <w:t>)</w:t>
      </w:r>
      <w:r>
        <w:rPr>
          <w:rFonts w:ascii="Traditional Arabic" w:hAnsi="Traditional Arabic" w:hint="cs"/>
          <w:rtl/>
        </w:rPr>
        <w:t>.</w:t>
      </w:r>
    </w:p>
    <w:p w:rsidR="005D4589" w:rsidRPr="005D4589" w:rsidRDefault="006F1A84" w:rsidP="000A76C7">
      <w:pPr>
        <w:numPr>
          <w:ilvl w:val="0"/>
          <w:numId w:val="49"/>
        </w:numPr>
        <w:tabs>
          <w:tab w:val="clear" w:pos="1324"/>
          <w:tab w:val="num" w:pos="1123"/>
        </w:tabs>
        <w:spacing w:line="640" w:lineRule="exact"/>
        <w:ind w:left="1123" w:hanging="669"/>
        <w:jc w:val="lowKashida"/>
        <w:rPr>
          <w:rFonts w:ascii="Traditional Arabic" w:hAnsi="Traditional Arabic"/>
          <w:rtl/>
        </w:rPr>
      </w:pPr>
      <w:r>
        <w:rPr>
          <w:rFonts w:ascii="Traditional Arabic" w:hAnsi="Traditional Arabic" w:hint="cs"/>
          <w:rtl/>
        </w:rPr>
        <w:lastRenderedPageBreak/>
        <w:t>قواعد العرف والعادة</w:t>
      </w:r>
      <w:r w:rsidRPr="006F1A84">
        <w:rPr>
          <w:rFonts w:ascii="Traditional Arabic" w:hAnsi="Traditional Arabic" w:hint="cs"/>
          <w:vertAlign w:val="superscript"/>
          <w:rtl/>
        </w:rPr>
        <w:t>(</w:t>
      </w:r>
      <w:r w:rsidRPr="006F1A84">
        <w:rPr>
          <w:rStyle w:val="af1"/>
          <w:rFonts w:ascii="Traditional Arabic" w:hAnsi="Traditional Arabic"/>
          <w:rtl/>
        </w:rPr>
        <w:footnoteReference w:id="204"/>
      </w:r>
      <w:r w:rsidRPr="006F1A84">
        <w:rPr>
          <w:rFonts w:ascii="Traditional Arabic" w:hAnsi="Traditional Arabic" w:hint="cs"/>
          <w:vertAlign w:val="superscript"/>
          <w:rtl/>
        </w:rPr>
        <w:t>)</w:t>
      </w:r>
      <w:r>
        <w:rPr>
          <w:rFonts w:ascii="Traditional Arabic" w:hAnsi="Traditional Arabic" w:hint="cs"/>
          <w:rtl/>
        </w:rPr>
        <w:t>.</w:t>
      </w:r>
    </w:p>
    <w:p w:rsidR="005D4589" w:rsidRDefault="005D4589" w:rsidP="000A76C7">
      <w:pPr>
        <w:numPr>
          <w:ilvl w:val="0"/>
          <w:numId w:val="49"/>
        </w:numPr>
        <w:tabs>
          <w:tab w:val="clear" w:pos="1324"/>
          <w:tab w:val="num" w:pos="1123"/>
        </w:tabs>
        <w:spacing w:line="640" w:lineRule="exact"/>
        <w:ind w:left="1123" w:hanging="669"/>
        <w:jc w:val="lowKashida"/>
        <w:rPr>
          <w:rFonts w:ascii="Traditional Arabic" w:hAnsi="Traditional Arabic"/>
        </w:rPr>
      </w:pPr>
      <w:r>
        <w:rPr>
          <w:rFonts w:ascii="Traditional Arabic" w:hAnsi="Traditional Arabic" w:hint="cs"/>
          <w:rtl/>
        </w:rPr>
        <w:t>قواعد المصالح</w:t>
      </w:r>
      <w:r w:rsidR="00173F8B" w:rsidRPr="00173F8B">
        <w:rPr>
          <w:rFonts w:ascii="Traditional Arabic" w:hAnsi="Traditional Arabic" w:hint="cs"/>
          <w:vertAlign w:val="superscript"/>
          <w:rtl/>
        </w:rPr>
        <w:t>(</w:t>
      </w:r>
      <w:r w:rsidRPr="00173F8B">
        <w:rPr>
          <w:rStyle w:val="af1"/>
          <w:rFonts w:ascii="Traditional Arabic" w:hAnsi="Traditional Arabic"/>
          <w:rtl/>
        </w:rPr>
        <w:footnoteReference w:id="205"/>
      </w:r>
      <w:r w:rsidR="00173F8B" w:rsidRPr="00173F8B">
        <w:rPr>
          <w:rFonts w:ascii="Traditional Arabic" w:hAnsi="Traditional Arabic" w:hint="cs"/>
          <w:vertAlign w:val="superscript"/>
          <w:rtl/>
        </w:rPr>
        <w:t>)</w:t>
      </w:r>
      <w:r>
        <w:rPr>
          <w:rFonts w:ascii="Traditional Arabic" w:hAnsi="Traditional Arabic" w:hint="cs"/>
          <w:rtl/>
        </w:rPr>
        <w:t>.</w:t>
      </w:r>
    </w:p>
    <w:p w:rsidR="00173F8B" w:rsidRDefault="00173F8B" w:rsidP="000A76C7">
      <w:pPr>
        <w:numPr>
          <w:ilvl w:val="0"/>
          <w:numId w:val="49"/>
        </w:numPr>
        <w:tabs>
          <w:tab w:val="clear" w:pos="1324"/>
          <w:tab w:val="num" w:pos="1123"/>
        </w:tabs>
        <w:spacing w:line="640" w:lineRule="exact"/>
        <w:ind w:left="1123" w:hanging="669"/>
        <w:jc w:val="lowKashida"/>
        <w:rPr>
          <w:rFonts w:ascii="Traditional Arabic" w:hAnsi="Traditional Arabic"/>
        </w:rPr>
      </w:pPr>
      <w:r>
        <w:rPr>
          <w:rFonts w:ascii="Traditional Arabic" w:hAnsi="Traditional Arabic" w:hint="cs"/>
          <w:rtl/>
        </w:rPr>
        <w:t>قاعدة: "المشقة تجلب التيسير</w:t>
      </w:r>
      <w:r w:rsidRPr="00173F8B">
        <w:rPr>
          <w:rFonts w:ascii="Traditional Arabic" w:hAnsi="Traditional Arabic" w:hint="cs"/>
          <w:vertAlign w:val="superscript"/>
          <w:rtl/>
        </w:rPr>
        <w:t>(</w:t>
      </w:r>
      <w:r w:rsidRPr="00173F8B">
        <w:rPr>
          <w:rStyle w:val="af1"/>
          <w:rFonts w:ascii="Traditional Arabic" w:hAnsi="Traditional Arabic"/>
          <w:rtl/>
        </w:rPr>
        <w:footnoteReference w:id="206"/>
      </w:r>
      <w:r w:rsidRPr="00173F8B">
        <w:rPr>
          <w:rFonts w:ascii="Traditional Arabic" w:hAnsi="Traditional Arabic" w:hint="cs"/>
          <w:vertAlign w:val="superscript"/>
          <w:rtl/>
        </w:rPr>
        <w:t>)</w:t>
      </w:r>
      <w:r>
        <w:rPr>
          <w:rFonts w:ascii="Traditional Arabic" w:hAnsi="Traditional Arabic" w:hint="cs"/>
          <w:rtl/>
        </w:rPr>
        <w:t>.</w:t>
      </w:r>
    </w:p>
    <w:p w:rsidR="00173F8B" w:rsidRDefault="00173F8B" w:rsidP="000A76C7">
      <w:pPr>
        <w:numPr>
          <w:ilvl w:val="0"/>
          <w:numId w:val="49"/>
        </w:numPr>
        <w:tabs>
          <w:tab w:val="clear" w:pos="1324"/>
          <w:tab w:val="num" w:pos="1123"/>
        </w:tabs>
        <w:spacing w:line="640" w:lineRule="exact"/>
        <w:ind w:left="1123" w:hanging="669"/>
        <w:jc w:val="lowKashida"/>
        <w:rPr>
          <w:rFonts w:ascii="Traditional Arabic" w:hAnsi="Traditional Arabic"/>
        </w:rPr>
      </w:pPr>
      <w:r>
        <w:rPr>
          <w:rFonts w:ascii="Traditional Arabic" w:hAnsi="Traditional Arabic" w:hint="cs"/>
          <w:rtl/>
        </w:rPr>
        <w:t>قاعدة: "لا ضرر ولا ضرار"</w:t>
      </w:r>
      <w:r w:rsidRPr="00173F8B">
        <w:rPr>
          <w:rFonts w:ascii="Traditional Arabic" w:hAnsi="Traditional Arabic" w:hint="cs"/>
          <w:vertAlign w:val="superscript"/>
          <w:rtl/>
        </w:rPr>
        <w:t>(</w:t>
      </w:r>
      <w:r w:rsidRPr="00173F8B">
        <w:rPr>
          <w:rStyle w:val="af1"/>
          <w:rFonts w:ascii="Traditional Arabic" w:hAnsi="Traditional Arabic"/>
          <w:rtl/>
        </w:rPr>
        <w:footnoteReference w:id="207"/>
      </w:r>
      <w:r w:rsidRPr="00173F8B">
        <w:rPr>
          <w:rFonts w:ascii="Traditional Arabic" w:hAnsi="Traditional Arabic" w:hint="cs"/>
          <w:vertAlign w:val="superscript"/>
          <w:rtl/>
        </w:rPr>
        <w:t>)</w:t>
      </w:r>
      <w:r>
        <w:rPr>
          <w:rFonts w:ascii="Traditional Arabic" w:hAnsi="Traditional Arabic" w:hint="cs"/>
          <w:rtl/>
        </w:rPr>
        <w:t>.</w:t>
      </w:r>
    </w:p>
    <w:p w:rsidR="00041CA2" w:rsidRDefault="00041CA2" w:rsidP="000A76C7">
      <w:pPr>
        <w:numPr>
          <w:ilvl w:val="0"/>
          <w:numId w:val="49"/>
        </w:numPr>
        <w:tabs>
          <w:tab w:val="clear" w:pos="1324"/>
          <w:tab w:val="num" w:pos="1123"/>
        </w:tabs>
        <w:spacing w:line="640" w:lineRule="exact"/>
        <w:ind w:left="1123" w:hanging="669"/>
        <w:jc w:val="lowKashida"/>
        <w:rPr>
          <w:rFonts w:ascii="Traditional Arabic" w:hAnsi="Traditional Arabic"/>
        </w:rPr>
      </w:pPr>
      <w:r w:rsidRPr="00C85F0F">
        <w:rPr>
          <w:rFonts w:ascii="Traditional Arabic" w:hAnsi="Traditional Arabic"/>
          <w:noProof w:val="0"/>
          <w:rtl/>
          <w:lang w:eastAsia="en-US"/>
        </w:rPr>
        <w:t>إذا تضم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الف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ضر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أح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الطر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 العقود الجائزة 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لاز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ءا</w:t>
      </w:r>
      <w:r w:rsidRPr="00C85F0F">
        <w:rPr>
          <w:rFonts w:ascii="Traditional Arabic" w:hAnsi="Traditional Arabic" w:hint="cs"/>
          <w:noProof w:val="0"/>
          <w:rtl/>
          <w:lang w:eastAsia="en-US"/>
        </w:rPr>
        <w:t>ً</w:t>
      </w:r>
      <w:r>
        <w:rPr>
          <w:rFonts w:ascii="Traditional Arabic" w:hAnsi="Traditional Arabic" w:hint="cs"/>
          <w:noProof w:val="0"/>
          <w:rtl/>
          <w:lang w:eastAsia="en-US"/>
        </w:rPr>
        <w:t xml:space="preserve"> </w:t>
      </w:r>
      <w:r w:rsidRPr="00C85F0F">
        <w:rPr>
          <w:rFonts w:ascii="Traditional Arabic" w:hAnsi="Traditional Arabic"/>
          <w:noProof w:val="0"/>
          <w:rtl/>
          <w:lang w:eastAsia="en-US"/>
        </w:rPr>
        <w:t>للض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041CA2">
        <w:rPr>
          <w:rFonts w:ascii="Traditional Arabic" w:hAnsi="Traditional Arabic" w:hint="cs"/>
          <w:noProof w:val="0"/>
          <w:vertAlign w:val="superscript"/>
          <w:rtl/>
          <w:lang w:eastAsia="en-US"/>
        </w:rPr>
        <w:t>(</w:t>
      </w:r>
      <w:r w:rsidRPr="00041CA2">
        <w:rPr>
          <w:rStyle w:val="af1"/>
          <w:rFonts w:ascii="Traditional Arabic" w:hAnsi="Traditional Arabic"/>
          <w:rtl/>
        </w:rPr>
        <w:footnoteReference w:id="208"/>
      </w:r>
      <w:r w:rsidRPr="00041CA2">
        <w:rPr>
          <w:rFonts w:ascii="Traditional Arabic" w:hAnsi="Traditional Arabic" w:hint="cs"/>
          <w:vertAlign w:val="superscript"/>
          <w:rtl/>
        </w:rPr>
        <w:t>)</w:t>
      </w:r>
      <w:r>
        <w:rPr>
          <w:rFonts w:ascii="Traditional Arabic" w:hAnsi="Traditional Arabic" w:hint="cs"/>
          <w:rtl/>
        </w:rPr>
        <w:t>.</w:t>
      </w:r>
    </w:p>
    <w:p w:rsidR="00041CA2" w:rsidRDefault="000E139F" w:rsidP="000A76C7">
      <w:pPr>
        <w:numPr>
          <w:ilvl w:val="0"/>
          <w:numId w:val="49"/>
        </w:numPr>
        <w:tabs>
          <w:tab w:val="clear" w:pos="1324"/>
          <w:tab w:val="num" w:pos="1123"/>
        </w:tabs>
        <w:spacing w:line="640" w:lineRule="exact"/>
        <w:ind w:left="1123" w:hanging="669"/>
        <w:jc w:val="lowKashida"/>
        <w:rPr>
          <w:rFonts w:ascii="Traditional Arabic" w:hAnsi="Traditional Arabic"/>
        </w:rPr>
      </w:pPr>
      <w:r>
        <w:rPr>
          <w:rFonts w:hint="cs"/>
          <w:rtl/>
        </w:rPr>
        <w:t>قاعدة: "</w:t>
      </w:r>
      <w:r w:rsidR="00041CA2" w:rsidRPr="00C85F0F">
        <w:rPr>
          <w:rFonts w:hint="cs"/>
          <w:rtl/>
        </w:rPr>
        <w:t>مَدار المعاملات المحرَّمة</w:t>
      </w:r>
      <w:r w:rsidR="00041CA2">
        <w:rPr>
          <w:rFonts w:hint="cs"/>
          <w:rtl/>
        </w:rPr>
        <w:t xml:space="preserve"> </w:t>
      </w:r>
      <w:r w:rsidR="00041CA2" w:rsidRPr="00C85F0F">
        <w:rPr>
          <w:rFonts w:hint="cs"/>
          <w:rtl/>
        </w:rPr>
        <w:t>على الربا والظلم والغَرَر</w:t>
      </w:r>
      <w:r>
        <w:rPr>
          <w:rFonts w:hint="cs"/>
          <w:rtl/>
        </w:rPr>
        <w:t>"</w:t>
      </w:r>
      <w:r w:rsidRPr="000E139F">
        <w:rPr>
          <w:rFonts w:hint="cs"/>
          <w:vertAlign w:val="superscript"/>
          <w:rtl/>
        </w:rPr>
        <w:t>(</w:t>
      </w:r>
      <w:r w:rsidR="00041CA2" w:rsidRPr="000E139F">
        <w:rPr>
          <w:rStyle w:val="af1"/>
          <w:rFonts w:ascii="Traditional Arabic" w:hAnsi="Traditional Arabic"/>
          <w:rtl/>
        </w:rPr>
        <w:footnoteReference w:id="209"/>
      </w:r>
      <w:r w:rsidRPr="000E139F">
        <w:rPr>
          <w:rFonts w:hint="cs"/>
          <w:vertAlign w:val="superscript"/>
          <w:rtl/>
        </w:rPr>
        <w:t>)</w:t>
      </w:r>
      <w:r w:rsidR="00041CA2">
        <w:rPr>
          <w:rFonts w:ascii="Traditional Arabic" w:hAnsi="Traditional Arabic" w:hint="cs"/>
          <w:rtl/>
        </w:rPr>
        <w:t>.</w:t>
      </w:r>
    </w:p>
    <w:p w:rsidR="000D2750" w:rsidRDefault="000D2750" w:rsidP="000A76C7">
      <w:pPr>
        <w:numPr>
          <w:ilvl w:val="0"/>
          <w:numId w:val="49"/>
        </w:numPr>
        <w:tabs>
          <w:tab w:val="clear" w:pos="1324"/>
          <w:tab w:val="num" w:pos="1123"/>
        </w:tabs>
        <w:spacing w:line="640" w:lineRule="exact"/>
        <w:ind w:left="1123" w:hanging="669"/>
        <w:jc w:val="lowKashida"/>
        <w:rPr>
          <w:rFonts w:ascii="Traditional Arabic" w:hAnsi="Traditional Arabic"/>
        </w:rPr>
      </w:pPr>
      <w:r>
        <w:rPr>
          <w:rFonts w:ascii="Traditional Arabic" w:hAnsi="Traditional Arabic" w:hint="cs"/>
          <w:rtl/>
        </w:rPr>
        <w:t>قاعدة الحيل</w:t>
      </w:r>
      <w:r w:rsidRPr="000D2750">
        <w:rPr>
          <w:rFonts w:ascii="Traditional Arabic" w:hAnsi="Traditional Arabic" w:hint="cs"/>
          <w:vertAlign w:val="superscript"/>
          <w:rtl/>
        </w:rPr>
        <w:t>(</w:t>
      </w:r>
      <w:r w:rsidRPr="000D2750">
        <w:rPr>
          <w:rStyle w:val="af1"/>
          <w:rFonts w:ascii="Traditional Arabic" w:hAnsi="Traditional Arabic"/>
          <w:rtl/>
        </w:rPr>
        <w:footnoteReference w:id="210"/>
      </w:r>
      <w:r w:rsidRPr="000D2750">
        <w:rPr>
          <w:rFonts w:ascii="Traditional Arabic" w:hAnsi="Traditional Arabic" w:hint="cs"/>
          <w:vertAlign w:val="superscript"/>
          <w:rtl/>
        </w:rPr>
        <w:t>)</w:t>
      </w:r>
      <w:r>
        <w:rPr>
          <w:rFonts w:ascii="Traditional Arabic" w:hAnsi="Traditional Arabic" w:hint="cs"/>
          <w:rtl/>
        </w:rPr>
        <w:t>.</w:t>
      </w:r>
    </w:p>
    <w:p w:rsidR="000E139F" w:rsidRDefault="000E139F" w:rsidP="000A76C7">
      <w:pPr>
        <w:numPr>
          <w:ilvl w:val="0"/>
          <w:numId w:val="49"/>
        </w:numPr>
        <w:tabs>
          <w:tab w:val="clear" w:pos="1324"/>
          <w:tab w:val="num" w:pos="1123"/>
        </w:tabs>
        <w:spacing w:line="640" w:lineRule="exact"/>
        <w:ind w:left="1123" w:hanging="669"/>
        <w:jc w:val="lowKashida"/>
        <w:rPr>
          <w:rFonts w:ascii="Traditional Arabic" w:hAnsi="Traditional Arabic"/>
        </w:rPr>
      </w:pPr>
      <w:r>
        <w:rPr>
          <w:rFonts w:ascii="Traditional Arabic" w:hAnsi="Traditional Arabic" w:hint="cs"/>
          <w:rtl/>
        </w:rPr>
        <w:t>ضابط: "كل قرض جر منفعة فهو ربا"</w:t>
      </w:r>
      <w:r w:rsidRPr="000E139F">
        <w:rPr>
          <w:rFonts w:ascii="Traditional Arabic" w:hAnsi="Traditional Arabic" w:hint="cs"/>
          <w:vertAlign w:val="superscript"/>
          <w:rtl/>
        </w:rPr>
        <w:t>(</w:t>
      </w:r>
      <w:r w:rsidRPr="000E139F">
        <w:rPr>
          <w:rStyle w:val="af1"/>
          <w:rFonts w:ascii="Traditional Arabic" w:hAnsi="Traditional Arabic"/>
          <w:rtl/>
        </w:rPr>
        <w:footnoteReference w:id="211"/>
      </w:r>
      <w:r w:rsidRPr="000E139F">
        <w:rPr>
          <w:rFonts w:ascii="Traditional Arabic" w:hAnsi="Traditional Arabic" w:hint="cs"/>
          <w:vertAlign w:val="superscript"/>
          <w:rtl/>
        </w:rPr>
        <w:t>)</w:t>
      </w:r>
      <w:r>
        <w:rPr>
          <w:rFonts w:ascii="Traditional Arabic" w:hAnsi="Traditional Arabic" w:hint="cs"/>
          <w:rtl/>
        </w:rPr>
        <w:t>.</w:t>
      </w:r>
    </w:p>
    <w:p w:rsidR="000E139F" w:rsidRDefault="000E139F" w:rsidP="000A76C7">
      <w:pPr>
        <w:numPr>
          <w:ilvl w:val="0"/>
          <w:numId w:val="49"/>
        </w:numPr>
        <w:tabs>
          <w:tab w:val="clear" w:pos="1324"/>
          <w:tab w:val="num" w:pos="1123"/>
        </w:tabs>
        <w:spacing w:line="640" w:lineRule="exact"/>
        <w:ind w:left="1123" w:hanging="669"/>
        <w:jc w:val="lowKashida"/>
        <w:rPr>
          <w:rFonts w:ascii="Traditional Arabic" w:hAnsi="Traditional Arabic"/>
        </w:rPr>
      </w:pPr>
      <w:r>
        <w:rPr>
          <w:rFonts w:ascii="Traditional Arabic" w:hAnsi="Traditional Arabic" w:hint="cs"/>
          <w:rtl/>
        </w:rPr>
        <w:t>ضابط: "</w:t>
      </w:r>
      <w:r w:rsidRPr="000E139F">
        <w:rPr>
          <w:rtl/>
        </w:rPr>
        <w:t xml:space="preserve"> </w:t>
      </w:r>
      <w:r w:rsidRPr="00C85F0F">
        <w:rPr>
          <w:rtl/>
        </w:rPr>
        <w:t>كل عمل لا يقع إلا ق</w:t>
      </w:r>
      <w:r>
        <w:rPr>
          <w:rFonts w:hint="cs"/>
          <w:rtl/>
        </w:rPr>
        <w:t>ُ</w:t>
      </w:r>
      <w:r w:rsidRPr="00C85F0F">
        <w:rPr>
          <w:rtl/>
        </w:rPr>
        <w:t>ربة فلا يصح عقد الإجارة عليه، وما كان نفعه</w:t>
      </w:r>
      <w:r>
        <w:rPr>
          <w:rFonts w:hint="cs"/>
          <w:rtl/>
        </w:rPr>
        <w:t xml:space="preserve"> </w:t>
      </w:r>
      <w:r w:rsidRPr="00C85F0F">
        <w:rPr>
          <w:rtl/>
        </w:rPr>
        <w:t>متعديا من الق</w:t>
      </w:r>
      <w:r>
        <w:rPr>
          <w:rFonts w:hint="cs"/>
          <w:rtl/>
        </w:rPr>
        <w:t>ُ</w:t>
      </w:r>
      <w:r w:rsidRPr="00C85F0F">
        <w:rPr>
          <w:rtl/>
        </w:rPr>
        <w:t>ر</w:t>
      </w:r>
      <w:r>
        <w:rPr>
          <w:rFonts w:hint="cs"/>
          <w:rtl/>
        </w:rPr>
        <w:t>َ</w:t>
      </w:r>
      <w:r w:rsidRPr="00C85F0F">
        <w:rPr>
          <w:rtl/>
        </w:rPr>
        <w:t>ب صح عقد الإجارة عليه</w:t>
      </w:r>
      <w:r>
        <w:rPr>
          <w:rFonts w:ascii="Traditional Arabic" w:hAnsi="Traditional Arabic" w:hint="cs"/>
          <w:rtl/>
        </w:rPr>
        <w:t>"</w:t>
      </w:r>
      <w:r w:rsidRPr="000E139F">
        <w:rPr>
          <w:rFonts w:ascii="Traditional Arabic" w:hAnsi="Traditional Arabic" w:hint="cs"/>
          <w:vertAlign w:val="superscript"/>
          <w:rtl/>
        </w:rPr>
        <w:t>(</w:t>
      </w:r>
      <w:r w:rsidRPr="000E139F">
        <w:rPr>
          <w:rStyle w:val="af1"/>
          <w:rFonts w:ascii="Traditional Arabic" w:hAnsi="Traditional Arabic"/>
          <w:rtl/>
        </w:rPr>
        <w:footnoteReference w:id="212"/>
      </w:r>
      <w:r w:rsidRPr="000E139F">
        <w:rPr>
          <w:rFonts w:ascii="Traditional Arabic" w:hAnsi="Traditional Arabic" w:hint="cs"/>
          <w:vertAlign w:val="superscript"/>
          <w:rtl/>
        </w:rPr>
        <w:t>)</w:t>
      </w:r>
      <w:r>
        <w:rPr>
          <w:rFonts w:ascii="Traditional Arabic" w:hAnsi="Traditional Arabic" w:hint="cs"/>
          <w:rtl/>
        </w:rPr>
        <w:t>.</w:t>
      </w:r>
    </w:p>
    <w:p w:rsidR="003253E6" w:rsidRDefault="003253E6" w:rsidP="003253E6">
      <w:pPr>
        <w:spacing w:line="640" w:lineRule="exact"/>
        <w:ind w:left="1123" w:firstLine="0"/>
        <w:jc w:val="lowKashida"/>
        <w:rPr>
          <w:rFonts w:ascii="Traditional Arabic" w:hAnsi="Traditional Arabic"/>
          <w:rtl/>
        </w:rPr>
      </w:pPr>
    </w:p>
    <w:p w:rsidR="006F08E1" w:rsidRPr="008A4295" w:rsidRDefault="00981CDD" w:rsidP="00A8347C">
      <w:pPr>
        <w:pStyle w:val="aff3"/>
        <w:rPr>
          <w:rtl/>
        </w:rPr>
      </w:pPr>
      <w:bookmarkStart w:id="36" w:name="_Toc334046298"/>
      <w:r>
        <w:rPr>
          <w:rFonts w:hint="cs"/>
          <w:color w:val="000000"/>
          <w:rtl/>
        </w:rPr>
        <w:lastRenderedPageBreak/>
        <w:t xml:space="preserve">                                         </w:t>
      </w:r>
      <w:r w:rsidR="003253E6">
        <w:rPr>
          <w:rFonts w:hint="cs"/>
          <w:rtl/>
        </w:rPr>
        <w:t xml:space="preserve"> </w:t>
      </w:r>
      <w:r w:rsidR="006F08E1" w:rsidRPr="008A4295">
        <w:rPr>
          <w:rtl/>
        </w:rPr>
        <w:t>المطلب الثالث</w:t>
      </w:r>
      <w:r w:rsidR="004A1352">
        <w:rPr>
          <w:rFonts w:hint="cs"/>
          <w:rtl/>
        </w:rPr>
        <w:t> :</w:t>
      </w:r>
      <w:r w:rsidR="004A1352">
        <w:rPr>
          <w:rFonts w:hint="cs"/>
          <w:rtl/>
        </w:rPr>
        <w:br/>
      </w:r>
      <w:r w:rsidR="003253E6">
        <w:rPr>
          <w:rFonts w:hint="cs"/>
          <w:rtl/>
        </w:rPr>
        <w:t xml:space="preserve">                                        </w:t>
      </w:r>
      <w:r w:rsidR="006F08E1" w:rsidRPr="008A4295">
        <w:rPr>
          <w:rtl/>
        </w:rPr>
        <w:t>الوضـــوح والسهولــــة</w:t>
      </w:r>
      <w:bookmarkEnd w:id="36"/>
    </w:p>
    <w:p w:rsidR="006F08E1" w:rsidRDefault="006F08E1" w:rsidP="000D2750">
      <w:pPr>
        <w:spacing w:line="640" w:lineRule="exact"/>
        <w:jc w:val="lowKashida"/>
        <w:rPr>
          <w:rFonts w:ascii="Traditional Arabic" w:hAnsi="Traditional Arabic"/>
          <w:b/>
          <w:bCs/>
          <w:rtl/>
        </w:rPr>
      </w:pPr>
      <w:r w:rsidRPr="008A4295">
        <w:rPr>
          <w:rFonts w:ascii="Traditional Arabic" w:hAnsi="Traditional Arabic"/>
          <w:rtl/>
        </w:rPr>
        <w:t xml:space="preserve">امتاز الشيخ ابن عثيمين </w:t>
      </w:r>
      <w:r w:rsidR="009A0575" w:rsidRPr="005D5694">
        <w:rPr>
          <w:rFonts w:ascii="Traditional Arabic" w:hAnsi="Traditional Arabic" w:cs="CTraditional Arabic" w:hint="cs"/>
          <w:rtl/>
        </w:rPr>
        <w:t>/</w:t>
      </w:r>
      <w:r w:rsidRPr="008A4295">
        <w:rPr>
          <w:rFonts w:ascii="Traditional Arabic" w:hAnsi="Traditional Arabic"/>
          <w:rtl/>
        </w:rPr>
        <w:t xml:space="preserve"> في عرض القواعد والضوابط الفقهية بأسلوبــه السهل</w:t>
      </w:r>
      <w:r w:rsidR="00B76414">
        <w:rPr>
          <w:rFonts w:ascii="Traditional Arabic" w:hAnsi="Traditional Arabic"/>
          <w:rtl/>
        </w:rPr>
        <w:t>،</w:t>
      </w:r>
      <w:r w:rsidRPr="008A4295">
        <w:rPr>
          <w:rFonts w:ascii="Traditional Arabic" w:hAnsi="Traditional Arabic"/>
          <w:rtl/>
        </w:rPr>
        <w:t xml:space="preserve"> وعبارته الواضحة</w:t>
      </w:r>
      <w:r w:rsidR="00B76414">
        <w:rPr>
          <w:rFonts w:ascii="Traditional Arabic" w:hAnsi="Traditional Arabic"/>
          <w:rtl/>
        </w:rPr>
        <w:t>،</w:t>
      </w:r>
      <w:r w:rsidRPr="008A4295">
        <w:rPr>
          <w:rFonts w:ascii="Traditional Arabic" w:hAnsi="Traditional Arabic"/>
          <w:rtl/>
        </w:rPr>
        <w:t xml:space="preserve"> </w:t>
      </w:r>
      <w:r w:rsidR="003253E6">
        <w:rPr>
          <w:rFonts w:ascii="Traditional Arabic" w:hAnsi="Traditional Arabic" w:hint="cs"/>
          <w:rtl/>
        </w:rPr>
        <w:t xml:space="preserve">الخالية من التعقيد والإبهام، </w:t>
      </w:r>
      <w:r w:rsidR="0029266D">
        <w:rPr>
          <w:rFonts w:ascii="Traditional Arabic" w:hAnsi="Traditional Arabic"/>
          <w:rtl/>
        </w:rPr>
        <w:t>فلا تكلّ</w:t>
      </w:r>
      <w:r w:rsidR="0029266D">
        <w:rPr>
          <w:rFonts w:ascii="Traditional Arabic" w:hAnsi="Traditional Arabic" w:hint="cs"/>
          <w:rtl/>
        </w:rPr>
        <w:t>ُ</w:t>
      </w:r>
      <w:r w:rsidRPr="008A4295">
        <w:rPr>
          <w:rFonts w:ascii="Traditional Arabic" w:hAnsi="Traditional Arabic"/>
          <w:rtl/>
        </w:rPr>
        <w:t>ف في الأسلوب</w:t>
      </w:r>
      <w:r w:rsidR="00B76414">
        <w:rPr>
          <w:rFonts w:ascii="Traditional Arabic" w:hAnsi="Traditional Arabic"/>
          <w:rtl/>
        </w:rPr>
        <w:t>،</w:t>
      </w:r>
      <w:r w:rsidRPr="008A4295">
        <w:rPr>
          <w:rFonts w:ascii="Traditional Arabic" w:hAnsi="Traditional Arabic"/>
          <w:rtl/>
        </w:rPr>
        <w:t xml:space="preserve"> ولا تقعُّر في الكلام</w:t>
      </w:r>
      <w:r w:rsidR="00B76414">
        <w:rPr>
          <w:rFonts w:ascii="Traditional Arabic" w:hAnsi="Traditional Arabic"/>
          <w:rtl/>
        </w:rPr>
        <w:t>،</w:t>
      </w:r>
      <w:r w:rsidRPr="008A4295">
        <w:rPr>
          <w:rFonts w:ascii="Traditional Arabic" w:hAnsi="Traditional Arabic"/>
          <w:rtl/>
        </w:rPr>
        <w:t xml:space="preserve"> فهو يحاول أن يوصِل المعلومة بشتى الطرق والأساليب</w:t>
      </w:r>
      <w:r w:rsidR="00B76414">
        <w:rPr>
          <w:rFonts w:ascii="Traditional Arabic" w:hAnsi="Traditional Arabic"/>
          <w:rtl/>
        </w:rPr>
        <w:t>،</w:t>
      </w:r>
      <w:r w:rsidRPr="008A4295">
        <w:rPr>
          <w:rFonts w:ascii="Traditional Arabic" w:hAnsi="Traditional Arabic"/>
          <w:rtl/>
        </w:rPr>
        <w:t xml:space="preserve"> سواء كان ذلك بضرب الأمثال والفروع المتعلِّقة بالقاعدة أو الضابط</w:t>
      </w:r>
      <w:r w:rsidR="00B76414">
        <w:rPr>
          <w:rFonts w:ascii="Traditional Arabic" w:hAnsi="Traditional Arabic"/>
          <w:rtl/>
        </w:rPr>
        <w:t>،</w:t>
      </w:r>
      <w:r w:rsidRPr="008A4295">
        <w:rPr>
          <w:rFonts w:ascii="Traditional Arabic" w:hAnsi="Traditional Arabic"/>
          <w:rtl/>
        </w:rPr>
        <w:t xml:space="preserve"> وذلك لإيضاح الحكم وتقريبه</w:t>
      </w:r>
      <w:r w:rsidR="00B76414">
        <w:rPr>
          <w:rFonts w:ascii="Traditional Arabic" w:hAnsi="Traditional Arabic"/>
          <w:rtl/>
        </w:rPr>
        <w:t>،</w:t>
      </w:r>
      <w:r w:rsidRPr="008A4295">
        <w:rPr>
          <w:rFonts w:ascii="Traditional Arabic" w:hAnsi="Traditional Arabic"/>
          <w:rtl/>
        </w:rPr>
        <w:t xml:space="preserve"> أو كان ذلك عن طريق تكرار القاعدة في مظانها</w:t>
      </w:r>
      <w:r w:rsidR="00B76414">
        <w:rPr>
          <w:rFonts w:ascii="Traditional Arabic" w:hAnsi="Traditional Arabic"/>
          <w:rtl/>
        </w:rPr>
        <w:t>،</w:t>
      </w:r>
      <w:r w:rsidRPr="008A4295">
        <w:rPr>
          <w:rFonts w:ascii="Traditional Arabic" w:hAnsi="Traditional Arabic"/>
          <w:rtl/>
        </w:rPr>
        <w:t xml:space="preserve"> ومعاودة الاحتجاج بها</w:t>
      </w:r>
      <w:r w:rsidR="00B76414">
        <w:rPr>
          <w:rFonts w:ascii="Traditional Arabic" w:hAnsi="Traditional Arabic"/>
          <w:rtl/>
        </w:rPr>
        <w:t>،</w:t>
      </w:r>
      <w:r w:rsidRPr="008A4295">
        <w:rPr>
          <w:rFonts w:ascii="Traditional Arabic" w:hAnsi="Traditional Arabic"/>
          <w:rtl/>
        </w:rPr>
        <w:t xml:space="preserve"> وكثرة التخريج عليها ؛ للتأكد من رسوخ المعلومة</w:t>
      </w:r>
      <w:r w:rsidR="00B76414">
        <w:rPr>
          <w:rFonts w:ascii="Traditional Arabic" w:hAnsi="Traditional Arabic"/>
          <w:rtl/>
        </w:rPr>
        <w:t>،</w:t>
      </w:r>
      <w:r w:rsidRPr="008A4295">
        <w:rPr>
          <w:rFonts w:ascii="Traditional Arabic" w:hAnsi="Traditional Arabic"/>
          <w:rtl/>
        </w:rPr>
        <w:t xml:space="preserve"> أو إيضاح حكم القاعدة بأمثلة واقعية يعايشها الناس</w:t>
      </w:r>
      <w:r w:rsidR="00B76414">
        <w:rPr>
          <w:rFonts w:ascii="Traditional Arabic" w:hAnsi="Traditional Arabic"/>
          <w:rtl/>
        </w:rPr>
        <w:t>،</w:t>
      </w:r>
      <w:r w:rsidRPr="008A4295">
        <w:rPr>
          <w:rFonts w:ascii="Traditional Arabic" w:hAnsi="Traditional Arabic"/>
          <w:rtl/>
        </w:rPr>
        <w:t xml:space="preserve"> </w:t>
      </w:r>
      <w:r w:rsidR="003253E6">
        <w:rPr>
          <w:rFonts w:ascii="Traditional Arabic" w:hAnsi="Traditional Arabic" w:hint="cs"/>
          <w:rtl/>
        </w:rPr>
        <w:t xml:space="preserve">وإزالة ما قد يرد من إشكال على القاعدة، </w:t>
      </w:r>
      <w:r w:rsidRPr="008A4295">
        <w:rPr>
          <w:rFonts w:ascii="Traditional Arabic" w:hAnsi="Traditional Arabic"/>
          <w:rtl/>
        </w:rPr>
        <w:t>ونحو ذلك</w:t>
      </w:r>
      <w:r w:rsidR="00B76414">
        <w:rPr>
          <w:rFonts w:ascii="Traditional Arabic" w:hAnsi="Traditional Arabic"/>
          <w:rtl/>
        </w:rPr>
        <w:t>،</w:t>
      </w:r>
      <w:r w:rsidRPr="008A4295">
        <w:rPr>
          <w:rFonts w:ascii="Traditional Arabic" w:hAnsi="Traditional Arabic"/>
          <w:rtl/>
        </w:rPr>
        <w:t xml:space="preserve"> وهذا يدلُّ على عناية الشيخ </w:t>
      </w:r>
      <w:r w:rsidR="009A0575" w:rsidRPr="005D5694">
        <w:rPr>
          <w:rFonts w:ascii="Traditional Arabic" w:hAnsi="Traditional Arabic" w:cs="CTraditional Arabic" w:hint="cs"/>
          <w:rtl/>
        </w:rPr>
        <w:t>/</w:t>
      </w:r>
      <w:r w:rsidRPr="008A4295">
        <w:rPr>
          <w:rFonts w:ascii="Traditional Arabic" w:hAnsi="Traditional Arabic"/>
          <w:rtl/>
        </w:rPr>
        <w:t xml:space="preserve"> بإيضاح القاعدة</w:t>
      </w:r>
      <w:r w:rsidR="00B76414">
        <w:rPr>
          <w:rFonts w:ascii="Traditional Arabic" w:hAnsi="Traditional Arabic"/>
          <w:rtl/>
        </w:rPr>
        <w:t>،</w:t>
      </w:r>
      <w:r w:rsidRPr="008A4295">
        <w:rPr>
          <w:rFonts w:ascii="Traditional Arabic" w:hAnsi="Traditional Arabic"/>
          <w:rtl/>
        </w:rPr>
        <w:t xml:space="preserve"> فقلَّما تجد قاعدة إلا ويوضحها بالشرح والمثال</w:t>
      </w:r>
      <w:r w:rsidR="00B76414">
        <w:rPr>
          <w:rFonts w:ascii="Traditional Arabic" w:hAnsi="Traditional Arabic"/>
          <w:rtl/>
        </w:rPr>
        <w:t>،</w:t>
      </w:r>
      <w:r w:rsidRPr="008A4295">
        <w:rPr>
          <w:rFonts w:ascii="Traditional Arabic" w:hAnsi="Traditional Arabic"/>
          <w:rtl/>
        </w:rPr>
        <w:t xml:space="preserve"> أو يورد عليها احترازات وتنبيهات ؛ ليسهل فهمها وإيضاحها</w:t>
      </w:r>
      <w:r w:rsidR="003253E6">
        <w:rPr>
          <w:rFonts w:ascii="Traditional Arabic" w:hAnsi="Traditional Arabic" w:hint="cs"/>
          <w:rtl/>
        </w:rPr>
        <w:t xml:space="preserve">، </w:t>
      </w:r>
      <w:r w:rsidR="00C30BD3">
        <w:rPr>
          <w:rFonts w:ascii="Traditional Arabic" w:hAnsi="Traditional Arabic" w:hint="cs"/>
          <w:rtl/>
        </w:rPr>
        <w:t>حتى إ</w:t>
      </w:r>
      <w:r w:rsidR="000D2750">
        <w:rPr>
          <w:rFonts w:ascii="Traditional Arabic" w:hAnsi="Traditional Arabic" w:hint="cs"/>
          <w:rtl/>
        </w:rPr>
        <w:t>ن معنى بعض القواعد ليتبادر إلى الذهن من مجرد قراءتها أو سماعها،</w:t>
      </w:r>
      <w:r w:rsidR="000D2750" w:rsidRPr="008A4295">
        <w:rPr>
          <w:rFonts w:ascii="Traditional Arabic" w:hAnsi="Traditional Arabic"/>
          <w:rtl/>
        </w:rPr>
        <w:t xml:space="preserve"> </w:t>
      </w:r>
      <w:r w:rsidRPr="008A4295">
        <w:rPr>
          <w:rFonts w:ascii="Traditional Arabic" w:hAnsi="Traditional Arabic"/>
          <w:rtl/>
        </w:rPr>
        <w:t xml:space="preserve">كما يتجلى ذلك المنهج في الوضوح التام في تطابق الفرع </w:t>
      </w:r>
      <w:r w:rsidR="003253E6">
        <w:rPr>
          <w:rFonts w:ascii="Traditional Arabic" w:hAnsi="Traditional Arabic"/>
          <w:rtl/>
        </w:rPr>
        <w:t>والقاعدة</w:t>
      </w:r>
      <w:r w:rsidRPr="008A4295">
        <w:rPr>
          <w:rFonts w:ascii="Traditional Arabic" w:hAnsi="Traditional Arabic"/>
          <w:rtl/>
        </w:rPr>
        <w:t xml:space="preserve"> من غير تكلُّف</w:t>
      </w:r>
      <w:r w:rsidR="00B76414">
        <w:rPr>
          <w:rFonts w:ascii="Traditional Arabic" w:hAnsi="Traditional Arabic"/>
          <w:rtl/>
        </w:rPr>
        <w:t>،</w:t>
      </w:r>
      <w:r w:rsidRPr="008A4295">
        <w:rPr>
          <w:rFonts w:ascii="Traditional Arabic" w:hAnsi="Traditional Arabic"/>
          <w:rtl/>
        </w:rPr>
        <w:t xml:space="preserve"> مما يُنبئ عن ملكة فقهية فذَّة في تصوير القواعد وفهمها</w:t>
      </w:r>
      <w:r w:rsidR="000D2750" w:rsidRPr="000D2750">
        <w:rPr>
          <w:rFonts w:ascii="Traditional Arabic" w:hAnsi="Traditional Arabic" w:hint="cs"/>
          <w:vertAlign w:val="superscript"/>
          <w:rtl/>
        </w:rPr>
        <w:t>(</w:t>
      </w:r>
      <w:r w:rsidR="000D2750" w:rsidRPr="000D2750">
        <w:rPr>
          <w:rStyle w:val="af1"/>
          <w:rFonts w:ascii="Traditional Arabic" w:hAnsi="Traditional Arabic"/>
          <w:rtl/>
        </w:rPr>
        <w:footnoteReference w:id="213"/>
      </w:r>
      <w:r w:rsidR="000D2750" w:rsidRPr="000D2750">
        <w:rPr>
          <w:rFonts w:ascii="Traditional Arabic" w:hAnsi="Traditional Arabic" w:hint="cs"/>
          <w:vertAlign w:val="superscript"/>
          <w:rtl/>
        </w:rPr>
        <w:t>)</w:t>
      </w:r>
      <w:r w:rsidR="00B76414">
        <w:rPr>
          <w:rFonts w:ascii="Traditional Arabic" w:hAnsi="Traditional Arabic"/>
          <w:rtl/>
        </w:rPr>
        <w:t>.</w:t>
      </w:r>
    </w:p>
    <w:p w:rsidR="00A5551C" w:rsidRDefault="000D2750" w:rsidP="00A5551C">
      <w:pPr>
        <w:spacing w:line="640" w:lineRule="exact"/>
        <w:jc w:val="lowKashida"/>
        <w:rPr>
          <w:rFonts w:ascii="Traditional Arabic" w:hAnsi="Traditional Arabic"/>
          <w:rtl/>
        </w:rPr>
      </w:pPr>
      <w:r>
        <w:rPr>
          <w:rFonts w:ascii="Traditional Arabic" w:hAnsi="Traditional Arabic" w:hint="cs"/>
          <w:rtl/>
        </w:rPr>
        <w:t xml:space="preserve">ولعل هذا الوضوح والسهولة في أسلوب عرض المادة العلمية في القواعد خصوصا، وفي الفنون الأخرى عموما ،كان من أهم أسباب إقبال القاصي والداني على كتب الشيخ وأشرطته، والاستفادة من علمه_رحمه الله_. </w:t>
      </w:r>
      <w:bookmarkStart w:id="37" w:name="_Toc334046299"/>
    </w:p>
    <w:p w:rsidR="00981CDD" w:rsidRPr="00A5551C" w:rsidRDefault="00981CDD" w:rsidP="00A5551C">
      <w:pPr>
        <w:spacing w:line="640" w:lineRule="exact"/>
        <w:jc w:val="lowKashida"/>
        <w:rPr>
          <w:rFonts w:ascii="Traditional Arabic" w:hAnsi="Traditional Arabic"/>
          <w:rtl/>
        </w:rPr>
      </w:pPr>
      <w:r>
        <w:rPr>
          <w:rFonts w:hint="cs"/>
          <w:rtl/>
        </w:rPr>
        <w:t xml:space="preserve">                        </w:t>
      </w:r>
    </w:p>
    <w:p w:rsidR="006F08E1" w:rsidRPr="008A4295" w:rsidRDefault="00981CDD" w:rsidP="00A8347C">
      <w:pPr>
        <w:pStyle w:val="aff3"/>
        <w:rPr>
          <w:rtl/>
        </w:rPr>
      </w:pPr>
      <w:r>
        <w:rPr>
          <w:rFonts w:hint="cs"/>
          <w:rtl/>
        </w:rPr>
        <w:lastRenderedPageBreak/>
        <w:t xml:space="preserve">                                       </w:t>
      </w:r>
      <w:r w:rsidR="006F08E1" w:rsidRPr="008A4295">
        <w:rPr>
          <w:rtl/>
        </w:rPr>
        <w:t>المطلب الرابع</w:t>
      </w:r>
      <w:r w:rsidR="004A1352">
        <w:rPr>
          <w:rFonts w:hint="cs"/>
          <w:rtl/>
        </w:rPr>
        <w:t> :</w:t>
      </w:r>
      <w:r w:rsidR="004A1352">
        <w:rPr>
          <w:rFonts w:hint="cs"/>
          <w:rtl/>
        </w:rPr>
        <w:br/>
      </w:r>
      <w:r>
        <w:rPr>
          <w:rFonts w:hint="cs"/>
          <w:rtl/>
        </w:rPr>
        <w:t xml:space="preserve">                                          </w:t>
      </w:r>
      <w:r w:rsidR="006F08E1" w:rsidRPr="008A4295">
        <w:rPr>
          <w:rtl/>
        </w:rPr>
        <w:t>الشموليـــة</w:t>
      </w:r>
      <w:bookmarkEnd w:id="37"/>
    </w:p>
    <w:p w:rsidR="00F228A9" w:rsidRPr="008A4295" w:rsidRDefault="006F08E1" w:rsidP="00597C20">
      <w:pPr>
        <w:spacing w:line="640" w:lineRule="exact"/>
        <w:jc w:val="lowKashida"/>
        <w:rPr>
          <w:rFonts w:ascii="Traditional Arabic" w:hAnsi="Traditional Arabic"/>
          <w:b/>
          <w:bCs/>
          <w:rtl/>
        </w:rPr>
      </w:pPr>
      <w:r w:rsidRPr="008A4295">
        <w:rPr>
          <w:rFonts w:ascii="Traditional Arabic" w:hAnsi="Traditional Arabic"/>
          <w:rtl/>
        </w:rPr>
        <w:t xml:space="preserve">من سمات القاعدة التي يذكرها الشيخ ابن عثيمين </w:t>
      </w:r>
      <w:r w:rsidR="009A0575" w:rsidRPr="005D5694">
        <w:rPr>
          <w:rFonts w:ascii="Traditional Arabic" w:hAnsi="Traditional Arabic" w:cs="CTraditional Arabic" w:hint="cs"/>
          <w:rtl/>
        </w:rPr>
        <w:t>/</w:t>
      </w:r>
      <w:r w:rsidRPr="008A4295">
        <w:rPr>
          <w:rFonts w:ascii="Traditional Arabic" w:hAnsi="Traditional Arabic"/>
          <w:rtl/>
        </w:rPr>
        <w:t xml:space="preserve"> أنها شاملة لكل ما يهم المسلم في أمور دينه وفقه عبادته</w:t>
      </w:r>
      <w:r w:rsidR="00B76414">
        <w:rPr>
          <w:rFonts w:ascii="Traditional Arabic" w:hAnsi="Traditional Arabic"/>
          <w:rtl/>
        </w:rPr>
        <w:t>،</w:t>
      </w:r>
      <w:r w:rsidRPr="008A4295">
        <w:rPr>
          <w:rFonts w:ascii="Traditional Arabic" w:hAnsi="Traditional Arabic"/>
          <w:rtl/>
        </w:rPr>
        <w:t xml:space="preserve"> حيث يندرج تحت القاعدة ما لا يُحصى كثرة من الفروع الفقهية المختلفة</w:t>
      </w:r>
      <w:r w:rsidR="00B76414">
        <w:rPr>
          <w:rFonts w:ascii="Traditional Arabic" w:hAnsi="Traditional Arabic"/>
          <w:rtl/>
        </w:rPr>
        <w:t>،</w:t>
      </w:r>
      <w:r w:rsidRPr="008A4295">
        <w:rPr>
          <w:rFonts w:ascii="Traditional Arabic" w:hAnsi="Traditional Arabic"/>
          <w:rtl/>
        </w:rPr>
        <w:t xml:space="preserve"> والوقائع المستجدة</w:t>
      </w:r>
      <w:r w:rsidR="00B76414">
        <w:rPr>
          <w:rFonts w:ascii="Traditional Arabic" w:hAnsi="Traditional Arabic"/>
          <w:rtl/>
        </w:rPr>
        <w:t>،</w:t>
      </w:r>
      <w:r w:rsidRPr="008A4295">
        <w:rPr>
          <w:rFonts w:ascii="Traditional Arabic" w:hAnsi="Traditional Arabic"/>
          <w:rtl/>
        </w:rPr>
        <w:t xml:space="preserve"> ومن دلائل شمولية القاعدة لدى الشيخ ابن عثيمين</w:t>
      </w:r>
      <w:r w:rsidR="00B76414">
        <w:rPr>
          <w:rFonts w:ascii="Traditional Arabic" w:hAnsi="Traditional Arabic"/>
          <w:rtl/>
        </w:rPr>
        <w:t>،</w:t>
      </w:r>
      <w:r w:rsidRPr="008A4295">
        <w:rPr>
          <w:rFonts w:ascii="Traditional Arabic" w:hAnsi="Traditional Arabic"/>
          <w:rtl/>
        </w:rPr>
        <w:t xml:space="preserve"> أنها ليست مقيَّدة بمذهب أو زمن معين</w:t>
      </w:r>
      <w:r w:rsidR="00B76414">
        <w:rPr>
          <w:rFonts w:ascii="Traditional Arabic" w:hAnsi="Traditional Arabic"/>
          <w:rtl/>
        </w:rPr>
        <w:t>،</w:t>
      </w:r>
      <w:r w:rsidRPr="008A4295">
        <w:rPr>
          <w:rFonts w:ascii="Traditional Arabic" w:hAnsi="Traditional Arabic"/>
          <w:rtl/>
        </w:rPr>
        <w:t xml:space="preserve"> ومن هنا نلحظ اطِّراد منهج الشيخ ابن عثيمين في احتجاجه بالقاعدة الفقهية في جميع مظانها</w:t>
      </w:r>
      <w:r w:rsidR="00B76414">
        <w:rPr>
          <w:rFonts w:ascii="Traditional Arabic" w:hAnsi="Traditional Arabic"/>
          <w:rtl/>
        </w:rPr>
        <w:t>،</w:t>
      </w:r>
      <w:r w:rsidRPr="008A4295">
        <w:rPr>
          <w:rFonts w:ascii="Traditional Arabic" w:hAnsi="Traditional Arabic"/>
          <w:rtl/>
        </w:rPr>
        <w:t xml:space="preserve"> وعلاوة على هذا الشمول المعنوي</w:t>
      </w:r>
      <w:r w:rsidR="00B76414">
        <w:rPr>
          <w:rFonts w:ascii="Traditional Arabic" w:hAnsi="Traditional Arabic"/>
          <w:rtl/>
        </w:rPr>
        <w:t>،</w:t>
      </w:r>
      <w:r w:rsidRPr="008A4295">
        <w:rPr>
          <w:rFonts w:ascii="Traditional Arabic" w:hAnsi="Traditional Arabic"/>
          <w:rtl/>
        </w:rPr>
        <w:t xml:space="preserve"> فإن قواعد الشيخ ابن عثيمين </w:t>
      </w:r>
      <w:r w:rsidR="009A0575" w:rsidRPr="005D5694">
        <w:rPr>
          <w:rFonts w:ascii="Traditional Arabic" w:hAnsi="Traditional Arabic" w:cs="CTraditional Arabic" w:hint="cs"/>
          <w:rtl/>
        </w:rPr>
        <w:t>/</w:t>
      </w:r>
      <w:r w:rsidRPr="008A4295">
        <w:rPr>
          <w:rFonts w:ascii="Traditional Arabic" w:hAnsi="Traditional Arabic"/>
          <w:rtl/>
        </w:rPr>
        <w:t xml:space="preserve"> غالباً ما تتَّسم بالشمول اللفظي</w:t>
      </w:r>
      <w:r w:rsidR="00B76414">
        <w:rPr>
          <w:rFonts w:ascii="Traditional Arabic" w:hAnsi="Traditional Arabic"/>
          <w:rtl/>
        </w:rPr>
        <w:t>،</w:t>
      </w:r>
      <w:r w:rsidRPr="008A4295">
        <w:rPr>
          <w:rFonts w:ascii="Traditional Arabic" w:hAnsi="Traditional Arabic"/>
          <w:rtl/>
        </w:rPr>
        <w:t xml:space="preserve"> حيث إن كثيراً منها قد تكون مصدَّرة بإحدى صيغ العموم</w:t>
      </w:r>
      <w:r w:rsidR="00B76414">
        <w:rPr>
          <w:rFonts w:ascii="Traditional Arabic" w:hAnsi="Traditional Arabic"/>
          <w:rtl/>
        </w:rPr>
        <w:t>،</w:t>
      </w:r>
      <w:r w:rsidRPr="008A4295">
        <w:rPr>
          <w:rFonts w:ascii="Traditional Arabic" w:hAnsi="Traditional Arabic"/>
          <w:rtl/>
        </w:rPr>
        <w:t xml:space="preserve"> والتي تفيد شموليَّة القاعدة لجميع فروعها</w:t>
      </w:r>
      <w:r w:rsidR="00B76414">
        <w:rPr>
          <w:rFonts w:ascii="Traditional Arabic" w:hAnsi="Traditional Arabic"/>
          <w:rtl/>
        </w:rPr>
        <w:t>،</w:t>
      </w:r>
      <w:r w:rsidRPr="008A4295">
        <w:rPr>
          <w:rFonts w:ascii="Traditional Arabic" w:hAnsi="Traditional Arabic"/>
          <w:rtl/>
        </w:rPr>
        <w:t xml:space="preserve"> ومن أمثلة ذلك القواعد الآتية :</w:t>
      </w:r>
    </w:p>
    <w:p w:rsidR="006F08E1" w:rsidRPr="000D2750" w:rsidRDefault="00C332B4" w:rsidP="000A76C7">
      <w:pPr>
        <w:numPr>
          <w:ilvl w:val="0"/>
          <w:numId w:val="50"/>
        </w:numPr>
        <w:tabs>
          <w:tab w:val="clear" w:pos="1309"/>
          <w:tab w:val="num" w:pos="943"/>
        </w:tabs>
        <w:spacing w:line="640" w:lineRule="exact"/>
        <w:ind w:left="943" w:hanging="489"/>
        <w:jc w:val="lowKashida"/>
        <w:rPr>
          <w:rFonts w:ascii="Traditional Arabic" w:hAnsi="Traditional Arabic"/>
          <w:rtl/>
        </w:rPr>
      </w:pPr>
      <w:r>
        <w:rPr>
          <w:rFonts w:ascii="Traditional Arabic" w:hAnsi="Traditional Arabic" w:hint="cs"/>
          <w:rtl/>
        </w:rPr>
        <w:t>"</w:t>
      </w:r>
      <w:r w:rsidR="006F08E1" w:rsidRPr="000D2750">
        <w:rPr>
          <w:rFonts w:ascii="Traditional Arabic" w:hAnsi="Traditional Arabic"/>
          <w:rtl/>
        </w:rPr>
        <w:t>كل من أراد التحيُّل على إسقاط الواجب أو فعل المحرم عُوقب بنقيض قصده</w:t>
      </w:r>
      <w:r>
        <w:rPr>
          <w:rFonts w:ascii="Traditional Arabic" w:hAnsi="Traditional Arabic" w:hint="cs"/>
          <w:rtl/>
        </w:rPr>
        <w:t>"</w:t>
      </w:r>
      <w:r w:rsidR="006F08E1" w:rsidRPr="000D2750">
        <w:rPr>
          <w:rFonts w:ascii="Traditional Arabic" w:hAnsi="Traditional Arabic"/>
          <w:vertAlign w:val="superscript"/>
          <w:rtl/>
        </w:rPr>
        <w:t>(</w:t>
      </w:r>
      <w:r w:rsidR="006F08E1" w:rsidRPr="000D2750">
        <w:rPr>
          <w:rStyle w:val="af1"/>
          <w:rFonts w:ascii="Traditional Arabic" w:hAnsi="Traditional Arabic"/>
          <w:rtl/>
        </w:rPr>
        <w:footnoteReference w:id="214"/>
      </w:r>
      <w:r w:rsidR="006F08E1" w:rsidRPr="000D2750">
        <w:rPr>
          <w:rFonts w:ascii="Traditional Arabic" w:hAnsi="Traditional Arabic"/>
          <w:vertAlign w:val="superscript"/>
          <w:rtl/>
        </w:rPr>
        <w:t>)</w:t>
      </w:r>
      <w:r w:rsidR="00B76414" w:rsidRPr="000D2750">
        <w:rPr>
          <w:rFonts w:ascii="Traditional Arabic" w:hAnsi="Traditional Arabic"/>
          <w:rtl/>
        </w:rPr>
        <w:t>.</w:t>
      </w:r>
    </w:p>
    <w:p w:rsidR="006F08E1" w:rsidRPr="000D2750" w:rsidRDefault="00C332B4" w:rsidP="000A76C7">
      <w:pPr>
        <w:numPr>
          <w:ilvl w:val="0"/>
          <w:numId w:val="50"/>
        </w:numPr>
        <w:tabs>
          <w:tab w:val="clear" w:pos="1309"/>
          <w:tab w:val="num" w:pos="943"/>
        </w:tabs>
        <w:spacing w:line="640" w:lineRule="exact"/>
        <w:ind w:left="943" w:hanging="489"/>
        <w:jc w:val="lowKashida"/>
        <w:rPr>
          <w:rFonts w:ascii="Traditional Arabic" w:hAnsi="Traditional Arabic"/>
        </w:rPr>
      </w:pPr>
      <w:r>
        <w:rPr>
          <w:rFonts w:ascii="Traditional Arabic" w:hAnsi="Traditional Arabic" w:hint="cs"/>
          <w:rtl/>
        </w:rPr>
        <w:t>"</w:t>
      </w:r>
      <w:r w:rsidR="006F08E1" w:rsidRPr="000D2750">
        <w:rPr>
          <w:rFonts w:ascii="Traditional Arabic" w:hAnsi="Traditional Arabic"/>
          <w:rtl/>
        </w:rPr>
        <w:t>ما أتى ولم يحدَّد بالشرع فمرجعه إلى العرف</w:t>
      </w:r>
      <w:r>
        <w:rPr>
          <w:rFonts w:ascii="Traditional Arabic" w:hAnsi="Traditional Arabic" w:hint="cs"/>
          <w:rtl/>
        </w:rPr>
        <w:t>"</w:t>
      </w:r>
      <w:r w:rsidR="006F08E1" w:rsidRPr="000D2750">
        <w:rPr>
          <w:rFonts w:ascii="Traditional Arabic" w:hAnsi="Traditional Arabic"/>
          <w:vertAlign w:val="superscript"/>
          <w:rtl/>
        </w:rPr>
        <w:t>(</w:t>
      </w:r>
      <w:r w:rsidR="006F08E1" w:rsidRPr="000D2750">
        <w:rPr>
          <w:rStyle w:val="af1"/>
          <w:rFonts w:ascii="Traditional Arabic" w:hAnsi="Traditional Arabic"/>
          <w:rtl/>
        </w:rPr>
        <w:footnoteReference w:id="215"/>
      </w:r>
      <w:r w:rsidR="006F08E1" w:rsidRPr="000D2750">
        <w:rPr>
          <w:rFonts w:ascii="Traditional Arabic" w:hAnsi="Traditional Arabic"/>
          <w:vertAlign w:val="superscript"/>
          <w:rtl/>
        </w:rPr>
        <w:t>)</w:t>
      </w:r>
      <w:r w:rsidR="00B76414" w:rsidRPr="000D2750">
        <w:rPr>
          <w:rFonts w:ascii="Traditional Arabic" w:hAnsi="Traditional Arabic"/>
          <w:rtl/>
        </w:rPr>
        <w:t>.</w:t>
      </w:r>
    </w:p>
    <w:p w:rsidR="00065E4B" w:rsidRPr="000D2750" w:rsidRDefault="000D2750" w:rsidP="000A76C7">
      <w:pPr>
        <w:numPr>
          <w:ilvl w:val="0"/>
          <w:numId w:val="50"/>
        </w:numPr>
        <w:tabs>
          <w:tab w:val="clear" w:pos="1309"/>
          <w:tab w:val="num" w:pos="943"/>
        </w:tabs>
        <w:spacing w:line="640" w:lineRule="exact"/>
        <w:ind w:left="943" w:hanging="489"/>
        <w:jc w:val="lowKashida"/>
        <w:rPr>
          <w:rFonts w:ascii="Traditional Arabic" w:hAnsi="Traditional Arabic"/>
        </w:rPr>
      </w:pPr>
      <w:r w:rsidRPr="000D2750">
        <w:rPr>
          <w:rFonts w:ascii="Traditional Arabic" w:hAnsi="Traditional Arabic"/>
          <w:rtl/>
        </w:rPr>
        <w:t xml:space="preserve"> </w:t>
      </w:r>
      <w:r w:rsidR="00C332B4">
        <w:rPr>
          <w:rFonts w:ascii="Traditional Arabic" w:hAnsi="Traditional Arabic" w:hint="cs"/>
          <w:rtl/>
        </w:rPr>
        <w:t>"</w:t>
      </w:r>
      <w:r w:rsidR="006F08E1" w:rsidRPr="000D2750">
        <w:rPr>
          <w:rFonts w:ascii="Traditional Arabic" w:hAnsi="Traditional Arabic"/>
          <w:rtl/>
        </w:rPr>
        <w:t>ماترتَّب على المأذون فليس بمضمون</w:t>
      </w:r>
      <w:r w:rsidR="00C332B4">
        <w:rPr>
          <w:rFonts w:ascii="Traditional Arabic" w:hAnsi="Traditional Arabic" w:hint="cs"/>
          <w:rtl/>
        </w:rPr>
        <w:t>"</w:t>
      </w:r>
      <w:r w:rsidR="006F08E1" w:rsidRPr="000D2750">
        <w:rPr>
          <w:rFonts w:ascii="Traditional Arabic" w:hAnsi="Traditional Arabic"/>
          <w:vertAlign w:val="superscript"/>
          <w:rtl/>
        </w:rPr>
        <w:t>(</w:t>
      </w:r>
      <w:r w:rsidR="006F08E1" w:rsidRPr="000D2750">
        <w:rPr>
          <w:rStyle w:val="af1"/>
          <w:rFonts w:ascii="Traditional Arabic" w:hAnsi="Traditional Arabic"/>
          <w:rtl/>
        </w:rPr>
        <w:footnoteReference w:id="216"/>
      </w:r>
      <w:r w:rsidR="006F08E1" w:rsidRPr="000D2750">
        <w:rPr>
          <w:rFonts w:ascii="Traditional Arabic" w:hAnsi="Traditional Arabic"/>
          <w:vertAlign w:val="superscript"/>
          <w:rtl/>
        </w:rPr>
        <w:t>)</w:t>
      </w:r>
      <w:r w:rsidR="00B76414" w:rsidRPr="000D2750">
        <w:rPr>
          <w:rFonts w:ascii="Traditional Arabic" w:hAnsi="Traditional Arabic"/>
          <w:rtl/>
        </w:rPr>
        <w:t>.</w:t>
      </w:r>
    </w:p>
    <w:p w:rsidR="006F08E1" w:rsidRDefault="000D2750" w:rsidP="000A76C7">
      <w:pPr>
        <w:numPr>
          <w:ilvl w:val="0"/>
          <w:numId w:val="50"/>
        </w:numPr>
        <w:tabs>
          <w:tab w:val="clear" w:pos="1309"/>
          <w:tab w:val="num" w:pos="943"/>
        </w:tabs>
        <w:spacing w:line="640" w:lineRule="exact"/>
        <w:ind w:left="943" w:hanging="489"/>
        <w:jc w:val="lowKashida"/>
        <w:rPr>
          <w:rFonts w:ascii="Traditional Arabic" w:hAnsi="Traditional Arabic"/>
        </w:rPr>
      </w:pPr>
      <w:r w:rsidRPr="000D2750">
        <w:rPr>
          <w:rFonts w:ascii="Traditional Arabic" w:hAnsi="Traditional Arabic"/>
          <w:rtl/>
        </w:rPr>
        <w:t xml:space="preserve"> </w:t>
      </w:r>
      <w:r w:rsidR="00C332B4">
        <w:rPr>
          <w:rFonts w:ascii="Traditional Arabic" w:hAnsi="Traditional Arabic" w:hint="cs"/>
          <w:rtl/>
        </w:rPr>
        <w:t>"</w:t>
      </w:r>
      <w:r w:rsidR="006F08E1" w:rsidRPr="000D2750">
        <w:rPr>
          <w:rFonts w:ascii="Traditional Arabic" w:hAnsi="Traditional Arabic"/>
          <w:rtl/>
        </w:rPr>
        <w:t>ما حُرِّم تحريم الوسائل أباحته الحاجة</w:t>
      </w:r>
      <w:r w:rsidR="00C332B4">
        <w:rPr>
          <w:rFonts w:ascii="Traditional Arabic" w:hAnsi="Traditional Arabic" w:hint="cs"/>
          <w:rtl/>
        </w:rPr>
        <w:t>"</w:t>
      </w:r>
      <w:r w:rsidR="006F08E1" w:rsidRPr="000D2750">
        <w:rPr>
          <w:rFonts w:ascii="Traditional Arabic" w:hAnsi="Traditional Arabic"/>
          <w:vertAlign w:val="superscript"/>
          <w:rtl/>
        </w:rPr>
        <w:t>(</w:t>
      </w:r>
      <w:r w:rsidR="006F08E1" w:rsidRPr="000D2750">
        <w:rPr>
          <w:rStyle w:val="af1"/>
          <w:rFonts w:ascii="Traditional Arabic" w:hAnsi="Traditional Arabic"/>
          <w:rtl/>
        </w:rPr>
        <w:footnoteReference w:id="217"/>
      </w:r>
      <w:r w:rsidR="006F08E1" w:rsidRPr="000D2750">
        <w:rPr>
          <w:rFonts w:ascii="Traditional Arabic" w:hAnsi="Traditional Arabic"/>
          <w:vertAlign w:val="superscript"/>
          <w:rtl/>
        </w:rPr>
        <w:t>)</w:t>
      </w:r>
      <w:r w:rsidR="00B76414" w:rsidRPr="000D2750">
        <w:rPr>
          <w:rFonts w:ascii="Traditional Arabic" w:hAnsi="Traditional Arabic"/>
          <w:rtl/>
        </w:rPr>
        <w:t>.</w:t>
      </w:r>
    </w:p>
    <w:p w:rsidR="00C332B4" w:rsidRDefault="00C332B4" w:rsidP="000A76C7">
      <w:pPr>
        <w:numPr>
          <w:ilvl w:val="0"/>
          <w:numId w:val="50"/>
        </w:numPr>
        <w:tabs>
          <w:tab w:val="clear" w:pos="1309"/>
          <w:tab w:val="num" w:pos="943"/>
        </w:tabs>
        <w:spacing w:line="640" w:lineRule="exact"/>
        <w:ind w:left="943" w:hanging="489"/>
        <w:jc w:val="lowKashida"/>
        <w:rPr>
          <w:rFonts w:ascii="Traditional Arabic" w:hAnsi="Traditional Arabic"/>
        </w:rPr>
      </w:pPr>
      <w:r>
        <w:rPr>
          <w:rFonts w:ascii="Traditional Arabic" w:hAnsi="Traditional Arabic" w:hint="cs"/>
          <w:rtl/>
        </w:rPr>
        <w:t>"كل ما أوجب العداوة والبغضاء بين المسلمين فهو محرم"</w:t>
      </w:r>
      <w:r w:rsidRPr="00C332B4">
        <w:rPr>
          <w:rFonts w:ascii="Traditional Arabic" w:hAnsi="Traditional Arabic" w:hint="cs"/>
          <w:vertAlign w:val="superscript"/>
          <w:rtl/>
        </w:rPr>
        <w:t>(</w:t>
      </w:r>
      <w:r w:rsidRPr="00C332B4">
        <w:rPr>
          <w:rStyle w:val="af1"/>
          <w:rFonts w:ascii="Traditional Arabic" w:hAnsi="Traditional Arabic"/>
          <w:rtl/>
        </w:rPr>
        <w:footnoteReference w:id="218"/>
      </w:r>
      <w:r w:rsidRPr="00C332B4">
        <w:rPr>
          <w:rFonts w:ascii="Traditional Arabic" w:hAnsi="Traditional Arabic" w:hint="cs"/>
          <w:vertAlign w:val="superscript"/>
          <w:rtl/>
        </w:rPr>
        <w:t>)</w:t>
      </w:r>
      <w:r>
        <w:rPr>
          <w:rFonts w:ascii="Traditional Arabic" w:hAnsi="Traditional Arabic" w:hint="cs"/>
          <w:rtl/>
        </w:rPr>
        <w:t>.</w:t>
      </w:r>
    </w:p>
    <w:p w:rsidR="00C332B4" w:rsidRPr="00C332B4" w:rsidRDefault="00C332B4" w:rsidP="000A76C7">
      <w:pPr>
        <w:numPr>
          <w:ilvl w:val="0"/>
          <w:numId w:val="50"/>
        </w:numPr>
        <w:tabs>
          <w:tab w:val="clear" w:pos="1309"/>
          <w:tab w:val="num" w:pos="943"/>
        </w:tabs>
        <w:spacing w:line="640" w:lineRule="exact"/>
        <w:ind w:left="943" w:hanging="489"/>
        <w:jc w:val="lowKashida"/>
        <w:rPr>
          <w:rFonts w:ascii="Traditional Arabic" w:hAnsi="Traditional Arabic"/>
        </w:rPr>
      </w:pPr>
      <w:r>
        <w:rPr>
          <w:rFonts w:ascii="Traditional Arabic" w:hAnsi="Traditional Arabic" w:hint="cs"/>
          <w:rtl/>
        </w:rPr>
        <w:t>"كل غارم فالقول قوله"</w:t>
      </w:r>
      <w:r w:rsidRPr="00C332B4">
        <w:rPr>
          <w:rFonts w:ascii="Traditional Arabic" w:hAnsi="Traditional Arabic" w:hint="cs"/>
          <w:vertAlign w:val="superscript"/>
          <w:rtl/>
        </w:rPr>
        <w:t>(</w:t>
      </w:r>
      <w:r w:rsidRPr="00C332B4">
        <w:rPr>
          <w:rStyle w:val="af1"/>
          <w:rFonts w:ascii="Traditional Arabic" w:hAnsi="Traditional Arabic"/>
          <w:rtl/>
        </w:rPr>
        <w:footnoteReference w:id="219"/>
      </w:r>
      <w:r w:rsidRPr="00C332B4">
        <w:rPr>
          <w:rFonts w:ascii="Traditional Arabic" w:hAnsi="Traditional Arabic" w:hint="cs"/>
          <w:vertAlign w:val="superscript"/>
          <w:rtl/>
        </w:rPr>
        <w:t>)</w:t>
      </w:r>
      <w:r>
        <w:rPr>
          <w:rFonts w:ascii="Traditional Arabic" w:hAnsi="Traditional Arabic" w:hint="cs"/>
          <w:rtl/>
        </w:rPr>
        <w:t>.</w:t>
      </w:r>
    </w:p>
    <w:p w:rsidR="00EE4769" w:rsidRDefault="00EE4769" w:rsidP="00A5551C">
      <w:pPr>
        <w:spacing w:line="640" w:lineRule="exact"/>
        <w:jc w:val="lowKashida"/>
        <w:rPr>
          <w:rFonts w:ascii="Traditional Arabic" w:hAnsi="Traditional Arabic"/>
          <w:b/>
          <w:bCs/>
        </w:rPr>
        <w:sectPr w:rsidR="00EE4769" w:rsidSect="004F64E0">
          <w:headerReference w:type="default" r:id="rId14"/>
          <w:footnotePr>
            <w:numRestart w:val="eachPage"/>
          </w:footnotePr>
          <w:pgSz w:w="11906" w:h="16838" w:code="9"/>
          <w:pgMar w:top="1418" w:right="1134" w:bottom="1418" w:left="1418" w:header="567" w:footer="737" w:gutter="567"/>
          <w:pgBorders w:display="firstPage">
            <w:top w:val="woodwork" w:sz="14" w:space="1" w:color="000000" w:themeColor="text1"/>
            <w:left w:val="woodwork" w:sz="14" w:space="4" w:color="000000" w:themeColor="text1"/>
            <w:bottom w:val="woodwork" w:sz="14" w:space="1" w:color="000000" w:themeColor="text1"/>
            <w:right w:val="woodwork" w:sz="14" w:space="4" w:color="000000" w:themeColor="text1"/>
          </w:pgBorders>
          <w:cols w:space="708"/>
          <w:titlePg/>
          <w:bidi/>
          <w:rtlGutter/>
          <w:docGrid w:linePitch="490"/>
        </w:sectPr>
      </w:pPr>
    </w:p>
    <w:p w:rsidR="004F64E0" w:rsidRPr="00C52BD8" w:rsidRDefault="004F64E0" w:rsidP="00597C20">
      <w:pPr>
        <w:spacing w:after="2040"/>
        <w:rPr>
          <w:sz w:val="72"/>
          <w:szCs w:val="72"/>
          <w:rtl/>
        </w:rPr>
      </w:pPr>
    </w:p>
    <w:p w:rsidR="001D52CC" w:rsidRPr="00011F65" w:rsidRDefault="001D52CC" w:rsidP="00597C20">
      <w:pPr>
        <w:pStyle w:val="aff1"/>
        <w:rPr>
          <w:rtl/>
        </w:rPr>
      </w:pPr>
      <w:bookmarkStart w:id="38" w:name="_Toc334046301"/>
      <w:r w:rsidRPr="00011F65">
        <w:rPr>
          <w:rtl/>
        </w:rPr>
        <w:t>الباب الأول</w:t>
      </w:r>
      <w:r w:rsidR="00B235ED" w:rsidRPr="00011F65">
        <w:rPr>
          <w:rtl/>
        </w:rPr>
        <w:t xml:space="preserve"> :القواعد </w:t>
      </w:r>
      <w:r w:rsidR="00B235ED" w:rsidRPr="006802D7">
        <w:rPr>
          <w:sz w:val="56"/>
          <w:rtl/>
        </w:rPr>
        <w:t xml:space="preserve">الفقهية </w:t>
      </w:r>
      <w:r w:rsidR="00B235ED" w:rsidRPr="00011F65">
        <w:rPr>
          <w:rtl/>
        </w:rPr>
        <w:t>المتعلقة</w:t>
      </w:r>
      <w:r w:rsidR="006802D7">
        <w:rPr>
          <w:rFonts w:hint="cs"/>
          <w:rtl/>
        </w:rPr>
        <w:t xml:space="preserve"> </w:t>
      </w:r>
      <w:r w:rsidRPr="00011F65">
        <w:rPr>
          <w:rtl/>
        </w:rPr>
        <w:t>بالمعاملات من الشرح الممتع</w:t>
      </w:r>
      <w:bookmarkEnd w:id="0"/>
      <w:bookmarkEnd w:id="38"/>
    </w:p>
    <w:p w:rsidR="00F228A9" w:rsidRPr="002D7A92" w:rsidRDefault="001D52CC" w:rsidP="00597C20">
      <w:pPr>
        <w:spacing w:after="360" w:line="860" w:lineRule="exact"/>
        <w:ind w:right="851" w:firstLine="142"/>
        <w:rPr>
          <w:rFonts w:ascii="Traditional Arabic" w:hAnsi="Traditional Arabic"/>
          <w:b/>
          <w:bCs/>
          <w:u w:val="single"/>
          <w:rtl/>
        </w:rPr>
      </w:pPr>
      <w:r w:rsidRPr="002D7A92">
        <w:rPr>
          <w:rFonts w:ascii="Traditional Arabic" w:hAnsi="Traditional Arabic"/>
          <w:b/>
          <w:bCs/>
          <w:u w:val="single"/>
          <w:rtl/>
        </w:rPr>
        <w:t>وفيه أحد عشر فصلا :</w:t>
      </w:r>
    </w:p>
    <w:p w:rsidR="001D52CC" w:rsidRPr="00011F65" w:rsidRDefault="001D52CC" w:rsidP="00597C20">
      <w:pPr>
        <w:tabs>
          <w:tab w:val="left" w:pos="2833"/>
        </w:tabs>
        <w:ind w:left="2833" w:hanging="2268"/>
        <w:jc w:val="left"/>
        <w:rPr>
          <w:rtl/>
        </w:rPr>
      </w:pPr>
      <w:r w:rsidRPr="00FD5687">
        <w:rPr>
          <w:rFonts w:hint="cs"/>
          <w:b/>
          <w:bCs/>
          <w:rtl/>
        </w:rPr>
        <w:t>الفصل الأول:</w:t>
      </w:r>
      <w:r w:rsidR="00183D67">
        <w:rPr>
          <w:rFonts w:hint="cs"/>
          <w:rtl/>
        </w:rPr>
        <w:tab/>
      </w:r>
      <w:r w:rsidRPr="00011F65">
        <w:rPr>
          <w:rFonts w:hint="cs"/>
          <w:rtl/>
        </w:rPr>
        <w:t>القواعد المتعلقة بالمصالح والمفاسد والتعارض.</w:t>
      </w:r>
    </w:p>
    <w:p w:rsidR="001D52CC" w:rsidRPr="00011F65" w:rsidRDefault="001D52CC" w:rsidP="00597C20">
      <w:pPr>
        <w:tabs>
          <w:tab w:val="left" w:pos="2833"/>
        </w:tabs>
        <w:ind w:left="2833" w:hanging="2268"/>
        <w:jc w:val="left"/>
        <w:rPr>
          <w:rtl/>
        </w:rPr>
      </w:pPr>
      <w:r w:rsidRPr="00FD5687">
        <w:rPr>
          <w:rFonts w:hint="cs"/>
          <w:b/>
          <w:bCs/>
          <w:rtl/>
        </w:rPr>
        <w:t>الفصل الثاني:</w:t>
      </w:r>
      <w:r w:rsidR="00183D67">
        <w:rPr>
          <w:rFonts w:hint="cs"/>
          <w:rtl/>
        </w:rPr>
        <w:tab/>
      </w:r>
      <w:r w:rsidRPr="00011F65">
        <w:rPr>
          <w:rFonts w:hint="cs"/>
          <w:rtl/>
        </w:rPr>
        <w:t>القواعد المتعلقة بالعرف والعادة.</w:t>
      </w:r>
    </w:p>
    <w:p w:rsidR="001D52CC" w:rsidRPr="00011F65" w:rsidRDefault="001D52CC" w:rsidP="00597C20">
      <w:pPr>
        <w:tabs>
          <w:tab w:val="left" w:pos="2833"/>
        </w:tabs>
        <w:ind w:left="2833" w:hanging="2268"/>
        <w:jc w:val="left"/>
        <w:rPr>
          <w:rtl/>
        </w:rPr>
      </w:pPr>
      <w:r w:rsidRPr="00FD5687">
        <w:rPr>
          <w:rFonts w:hint="cs"/>
          <w:b/>
          <w:bCs/>
          <w:rtl/>
        </w:rPr>
        <w:t>الفصل الثالث:</w:t>
      </w:r>
      <w:r w:rsidR="00183D67">
        <w:rPr>
          <w:rFonts w:hint="cs"/>
          <w:rtl/>
        </w:rPr>
        <w:tab/>
      </w:r>
      <w:r w:rsidRPr="00011F65">
        <w:rPr>
          <w:rFonts w:hint="cs"/>
          <w:rtl/>
        </w:rPr>
        <w:t>ال</w:t>
      </w:r>
      <w:r w:rsidR="00584769">
        <w:rPr>
          <w:rFonts w:hint="cs"/>
          <w:rtl/>
        </w:rPr>
        <w:t>قواعد المتعلقة بالوسائل والنيات</w:t>
      </w:r>
      <w:r w:rsidRPr="00011F65">
        <w:rPr>
          <w:rFonts w:hint="cs"/>
          <w:rtl/>
        </w:rPr>
        <w:t>.</w:t>
      </w:r>
    </w:p>
    <w:p w:rsidR="001D52CC" w:rsidRPr="00011F65" w:rsidRDefault="001D52CC" w:rsidP="00597C20">
      <w:pPr>
        <w:tabs>
          <w:tab w:val="left" w:pos="2833"/>
        </w:tabs>
        <w:ind w:left="2833" w:hanging="2268"/>
        <w:jc w:val="left"/>
        <w:rPr>
          <w:rtl/>
        </w:rPr>
      </w:pPr>
      <w:r w:rsidRPr="00FD5687">
        <w:rPr>
          <w:rFonts w:hint="cs"/>
          <w:b/>
          <w:bCs/>
          <w:rtl/>
        </w:rPr>
        <w:t>الفصل الرابع:</w:t>
      </w:r>
      <w:r w:rsidR="00183D67">
        <w:rPr>
          <w:rFonts w:hint="cs"/>
          <w:rtl/>
        </w:rPr>
        <w:tab/>
      </w:r>
      <w:r w:rsidRPr="00011F65">
        <w:rPr>
          <w:rFonts w:hint="cs"/>
          <w:rtl/>
        </w:rPr>
        <w:t>القواعد المتعلقة بالضرر.</w:t>
      </w:r>
    </w:p>
    <w:p w:rsidR="001D52CC" w:rsidRPr="00011F65" w:rsidRDefault="001D52CC" w:rsidP="00597C20">
      <w:pPr>
        <w:tabs>
          <w:tab w:val="left" w:pos="2833"/>
        </w:tabs>
        <w:ind w:left="2833" w:hanging="2268"/>
        <w:jc w:val="left"/>
        <w:rPr>
          <w:rtl/>
        </w:rPr>
      </w:pPr>
      <w:r w:rsidRPr="00FD5687">
        <w:rPr>
          <w:rFonts w:hint="cs"/>
          <w:b/>
          <w:bCs/>
          <w:rtl/>
        </w:rPr>
        <w:t>الفصل الخامس:</w:t>
      </w:r>
      <w:r w:rsidR="00183D67">
        <w:rPr>
          <w:rFonts w:hint="cs"/>
          <w:rtl/>
        </w:rPr>
        <w:tab/>
      </w:r>
      <w:r w:rsidRPr="00011F65">
        <w:rPr>
          <w:rFonts w:hint="cs"/>
          <w:rtl/>
        </w:rPr>
        <w:t>القواعد المتعلقة بالتوابع.</w:t>
      </w:r>
    </w:p>
    <w:p w:rsidR="001D52CC" w:rsidRPr="00011F65" w:rsidRDefault="001D52CC" w:rsidP="00597C20">
      <w:pPr>
        <w:tabs>
          <w:tab w:val="left" w:pos="2833"/>
        </w:tabs>
        <w:ind w:left="2833" w:hanging="2268"/>
        <w:jc w:val="left"/>
        <w:rPr>
          <w:rtl/>
        </w:rPr>
      </w:pPr>
      <w:r w:rsidRPr="00FD5687">
        <w:rPr>
          <w:rFonts w:hint="cs"/>
          <w:b/>
          <w:bCs/>
          <w:rtl/>
        </w:rPr>
        <w:t>الفصل السادس:</w:t>
      </w:r>
      <w:r w:rsidR="00183D67" w:rsidRPr="00183D67">
        <w:rPr>
          <w:rFonts w:hint="cs"/>
          <w:b/>
          <w:bCs/>
          <w:rtl/>
        </w:rPr>
        <w:tab/>
      </w:r>
      <w:r w:rsidRPr="00011F65">
        <w:rPr>
          <w:rFonts w:hint="cs"/>
          <w:rtl/>
        </w:rPr>
        <w:t>القواعد المتعلقة باليقين.</w:t>
      </w:r>
    </w:p>
    <w:p w:rsidR="001D52CC" w:rsidRPr="00011F65" w:rsidRDefault="001D52CC" w:rsidP="00597C20">
      <w:pPr>
        <w:tabs>
          <w:tab w:val="left" w:pos="2833"/>
        </w:tabs>
        <w:ind w:left="2833" w:hanging="2268"/>
        <w:jc w:val="left"/>
        <w:rPr>
          <w:rtl/>
        </w:rPr>
      </w:pPr>
      <w:r w:rsidRPr="00FD5687">
        <w:rPr>
          <w:rFonts w:hint="cs"/>
          <w:b/>
          <w:bCs/>
          <w:rtl/>
        </w:rPr>
        <w:t>الفصل السابع:</w:t>
      </w:r>
      <w:r w:rsidR="00183D67" w:rsidRPr="00183D67">
        <w:rPr>
          <w:rFonts w:hint="cs"/>
          <w:b/>
          <w:bCs/>
          <w:rtl/>
        </w:rPr>
        <w:tab/>
      </w:r>
      <w:r w:rsidRPr="00011F65">
        <w:rPr>
          <w:rFonts w:hint="cs"/>
          <w:rtl/>
        </w:rPr>
        <w:t>القواعد المتعلقة بالضمان.</w:t>
      </w:r>
    </w:p>
    <w:p w:rsidR="001D52CC" w:rsidRPr="00011F65" w:rsidRDefault="001D52CC" w:rsidP="00597C20">
      <w:pPr>
        <w:tabs>
          <w:tab w:val="left" w:pos="2833"/>
        </w:tabs>
        <w:ind w:left="2833" w:hanging="2268"/>
        <w:jc w:val="left"/>
        <w:rPr>
          <w:rtl/>
        </w:rPr>
      </w:pPr>
      <w:r w:rsidRPr="00FD5687">
        <w:rPr>
          <w:rFonts w:hint="cs"/>
          <w:b/>
          <w:bCs/>
          <w:rtl/>
        </w:rPr>
        <w:t>الفصل الثامن:</w:t>
      </w:r>
      <w:r w:rsidR="00183D67">
        <w:rPr>
          <w:rFonts w:hint="cs"/>
          <w:rtl/>
        </w:rPr>
        <w:tab/>
      </w:r>
      <w:r w:rsidRPr="00011F65">
        <w:rPr>
          <w:rFonts w:hint="cs"/>
          <w:rtl/>
        </w:rPr>
        <w:t>القواعد المتعلقة بالشروط والأسباب والعقود.</w:t>
      </w:r>
    </w:p>
    <w:p w:rsidR="001D52CC" w:rsidRPr="00011F65" w:rsidRDefault="001D52CC" w:rsidP="00597C20">
      <w:pPr>
        <w:tabs>
          <w:tab w:val="left" w:pos="2833"/>
        </w:tabs>
        <w:ind w:left="2833" w:hanging="2268"/>
        <w:jc w:val="left"/>
        <w:rPr>
          <w:rtl/>
        </w:rPr>
      </w:pPr>
      <w:r w:rsidRPr="00FD5687">
        <w:rPr>
          <w:rFonts w:hint="cs"/>
          <w:b/>
          <w:bCs/>
          <w:rtl/>
        </w:rPr>
        <w:t>الفصل التاسع:</w:t>
      </w:r>
      <w:r w:rsidR="00183D67">
        <w:rPr>
          <w:rFonts w:hint="cs"/>
          <w:rtl/>
        </w:rPr>
        <w:tab/>
      </w:r>
      <w:r w:rsidRPr="00011F65">
        <w:rPr>
          <w:rFonts w:hint="cs"/>
          <w:rtl/>
        </w:rPr>
        <w:t>القواعد المتعلقة بالحقوق.</w:t>
      </w:r>
    </w:p>
    <w:p w:rsidR="001D52CC" w:rsidRPr="00011F65" w:rsidRDefault="001D52CC" w:rsidP="00597C20">
      <w:pPr>
        <w:tabs>
          <w:tab w:val="left" w:pos="2833"/>
        </w:tabs>
        <w:ind w:left="2833" w:hanging="2268"/>
        <w:jc w:val="left"/>
        <w:rPr>
          <w:rtl/>
        </w:rPr>
      </w:pPr>
      <w:r w:rsidRPr="00FD5687">
        <w:rPr>
          <w:rFonts w:hint="cs"/>
          <w:b/>
          <w:bCs/>
          <w:rtl/>
        </w:rPr>
        <w:t>الفصل العاشر:</w:t>
      </w:r>
      <w:r w:rsidR="00183D67">
        <w:rPr>
          <w:rFonts w:hint="cs"/>
          <w:rtl/>
        </w:rPr>
        <w:tab/>
      </w:r>
      <w:r w:rsidRPr="00011F65">
        <w:rPr>
          <w:rFonts w:hint="cs"/>
          <w:rtl/>
        </w:rPr>
        <w:t>القواعد المتعلقة بفصل منازعات البيوع.</w:t>
      </w:r>
    </w:p>
    <w:p w:rsidR="001D52CC" w:rsidRPr="00F20955" w:rsidRDefault="001D52CC" w:rsidP="00597C20">
      <w:pPr>
        <w:tabs>
          <w:tab w:val="left" w:pos="2833"/>
        </w:tabs>
        <w:ind w:left="2833" w:hanging="2268"/>
        <w:jc w:val="left"/>
        <w:rPr>
          <w:rtl/>
        </w:rPr>
      </w:pPr>
      <w:r w:rsidRPr="00FD5687">
        <w:rPr>
          <w:rFonts w:hint="cs"/>
          <w:b/>
          <w:bCs/>
          <w:rtl/>
        </w:rPr>
        <w:t>الفصل الحادي عشر:</w:t>
      </w:r>
      <w:r w:rsidR="00183D67">
        <w:rPr>
          <w:rFonts w:hint="cs"/>
          <w:rtl/>
        </w:rPr>
        <w:tab/>
      </w:r>
      <w:r>
        <w:rPr>
          <w:rFonts w:hint="cs"/>
          <w:rtl/>
        </w:rPr>
        <w:t>قواعد متفرقة.</w:t>
      </w:r>
    </w:p>
    <w:p w:rsidR="001D52CC" w:rsidRPr="002D7A92" w:rsidRDefault="001D52CC" w:rsidP="00597C20">
      <w:pPr>
        <w:pStyle w:val="aff0"/>
        <w:rPr>
          <w:rtl/>
        </w:rPr>
      </w:pPr>
      <w:bookmarkStart w:id="39" w:name="_Toc333592992"/>
      <w:bookmarkStart w:id="40" w:name="_Toc334046302"/>
      <w:r w:rsidRPr="002D7A92">
        <w:rPr>
          <w:rtl/>
        </w:rPr>
        <w:lastRenderedPageBreak/>
        <w:t>الفصل الأول</w:t>
      </w:r>
      <w:r w:rsidR="004F66DF" w:rsidRPr="002D7A92">
        <w:rPr>
          <w:rFonts w:hint="cs"/>
          <w:rtl/>
        </w:rPr>
        <w:t> :</w:t>
      </w:r>
      <w:r w:rsidRPr="002D7A92">
        <w:rPr>
          <w:rFonts w:hint="cs"/>
          <w:rtl/>
        </w:rPr>
        <w:t>ال</w:t>
      </w:r>
      <w:r w:rsidRPr="002D7A92">
        <w:rPr>
          <w:rtl/>
        </w:rPr>
        <w:t>قــواعـــــد ال</w:t>
      </w:r>
      <w:r w:rsidRPr="002D7A92">
        <w:rPr>
          <w:rFonts w:hint="cs"/>
          <w:rtl/>
        </w:rPr>
        <w:t>متعلقة بالمصالح والمفاسد والتعارض</w:t>
      </w:r>
      <w:bookmarkEnd w:id="39"/>
      <w:bookmarkEnd w:id="40"/>
    </w:p>
    <w:p w:rsidR="001D52CC" w:rsidRPr="002D7A92" w:rsidRDefault="001D52CC"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w:t>
      </w:r>
      <w:r w:rsidR="002B5E90">
        <w:rPr>
          <w:rFonts w:ascii="Traditional Arabic" w:hAnsi="Traditional Arabic" w:hint="cs"/>
          <w:b/>
          <w:bCs/>
          <w:u w:val="single"/>
          <w:rtl/>
        </w:rPr>
        <w:t>فيه</w:t>
      </w:r>
      <w:r w:rsidR="00690470">
        <w:rPr>
          <w:rFonts w:ascii="Traditional Arabic" w:hAnsi="Traditional Arabic" w:hint="cs"/>
          <w:b/>
          <w:bCs/>
          <w:u w:val="single"/>
          <w:rtl/>
        </w:rPr>
        <w:t xml:space="preserve"> خمس</w:t>
      </w:r>
      <w:r w:rsidRPr="002D7A92">
        <w:rPr>
          <w:rFonts w:ascii="Traditional Arabic" w:hAnsi="Traditional Arabic" w:hint="cs"/>
          <w:b/>
          <w:bCs/>
          <w:u w:val="single"/>
          <w:rtl/>
        </w:rPr>
        <w:t>ة مباحث:</w:t>
      </w:r>
    </w:p>
    <w:p w:rsidR="001D52CC" w:rsidRDefault="001D52CC" w:rsidP="00597C20">
      <w:pPr>
        <w:tabs>
          <w:tab w:val="left" w:pos="2833"/>
        </w:tabs>
        <w:ind w:left="2833" w:hanging="2268"/>
        <w:jc w:val="left"/>
        <w:rPr>
          <w:rtl/>
        </w:rPr>
      </w:pPr>
      <w:r w:rsidRPr="00FD5687">
        <w:rPr>
          <w:rFonts w:hint="cs"/>
          <w:b/>
          <w:bCs/>
          <w:rtl/>
        </w:rPr>
        <w:t>المبحث الأول:</w:t>
      </w:r>
      <w:r w:rsidR="00F42A8E">
        <w:rPr>
          <w:rFonts w:hint="cs"/>
          <w:rtl/>
        </w:rPr>
        <w:tab/>
      </w:r>
      <w:r w:rsidR="003171F2">
        <w:rPr>
          <w:rFonts w:hint="cs"/>
          <w:rtl/>
        </w:rPr>
        <w:t xml:space="preserve">قاعدة </w:t>
      </w:r>
      <w:r w:rsidR="003171F2" w:rsidRPr="008F36CC">
        <w:rPr>
          <w:rFonts w:hint="eastAsia"/>
          <w:rtl/>
        </w:rPr>
        <w:t>الشريعة</w:t>
      </w:r>
      <w:r w:rsidR="003171F2" w:rsidRPr="008F36CC">
        <w:rPr>
          <w:rFonts w:hint="cs"/>
          <w:rtl/>
        </w:rPr>
        <w:t xml:space="preserve"> </w:t>
      </w:r>
      <w:r w:rsidR="003171F2" w:rsidRPr="008F36CC">
        <w:rPr>
          <w:rFonts w:hint="eastAsia"/>
          <w:rtl/>
        </w:rPr>
        <w:t>جاءت</w:t>
      </w:r>
      <w:r w:rsidR="003171F2" w:rsidRPr="008F36CC">
        <w:rPr>
          <w:rFonts w:hint="cs"/>
          <w:rtl/>
        </w:rPr>
        <w:t xml:space="preserve"> </w:t>
      </w:r>
      <w:r w:rsidR="003171F2" w:rsidRPr="008F36CC">
        <w:rPr>
          <w:rFonts w:hint="eastAsia"/>
          <w:rtl/>
        </w:rPr>
        <w:t>بتحصيل</w:t>
      </w:r>
      <w:r w:rsidR="003171F2" w:rsidRPr="008F36CC">
        <w:rPr>
          <w:rFonts w:hint="cs"/>
          <w:rtl/>
        </w:rPr>
        <w:t xml:space="preserve"> </w:t>
      </w:r>
      <w:r w:rsidR="003171F2" w:rsidRPr="008F36CC">
        <w:rPr>
          <w:rFonts w:hint="eastAsia"/>
          <w:rtl/>
        </w:rPr>
        <w:t>المصالح</w:t>
      </w:r>
      <w:r w:rsidR="003171F2" w:rsidRPr="008F36CC">
        <w:rPr>
          <w:rFonts w:hint="cs"/>
          <w:rtl/>
        </w:rPr>
        <w:t xml:space="preserve"> </w:t>
      </w:r>
      <w:r w:rsidR="003171F2" w:rsidRPr="008F36CC">
        <w:rPr>
          <w:rFonts w:hint="eastAsia"/>
          <w:rtl/>
        </w:rPr>
        <w:t>وتكميلها،</w:t>
      </w:r>
      <w:r w:rsidR="003171F2" w:rsidRPr="008F36CC">
        <w:rPr>
          <w:rFonts w:hint="cs"/>
          <w:rtl/>
        </w:rPr>
        <w:t xml:space="preserve"> </w:t>
      </w:r>
      <w:r w:rsidR="003171F2" w:rsidRPr="008F36CC">
        <w:rPr>
          <w:rFonts w:hint="eastAsia"/>
          <w:rtl/>
        </w:rPr>
        <w:t>ودرء</w:t>
      </w:r>
      <w:r w:rsidR="003171F2" w:rsidRPr="008F36CC">
        <w:rPr>
          <w:rFonts w:hint="cs"/>
          <w:rtl/>
        </w:rPr>
        <w:t xml:space="preserve"> </w:t>
      </w:r>
      <w:r w:rsidR="003171F2" w:rsidRPr="008F36CC">
        <w:rPr>
          <w:rFonts w:hint="eastAsia"/>
          <w:rtl/>
        </w:rPr>
        <w:t>المفاسد</w:t>
      </w:r>
      <w:r w:rsidR="003171F2" w:rsidRPr="008F36CC">
        <w:rPr>
          <w:rFonts w:hint="cs"/>
          <w:rtl/>
        </w:rPr>
        <w:t xml:space="preserve"> </w:t>
      </w:r>
      <w:r w:rsidR="003171F2" w:rsidRPr="008F36CC">
        <w:rPr>
          <w:rFonts w:hint="eastAsia"/>
          <w:rtl/>
        </w:rPr>
        <w:t>وتقليلها</w:t>
      </w:r>
      <w:r w:rsidR="003171F2" w:rsidRPr="008F36CC">
        <w:rPr>
          <w:rFonts w:hint="cs"/>
          <w:rtl/>
        </w:rPr>
        <w:t xml:space="preserve"> </w:t>
      </w:r>
      <w:r w:rsidR="003171F2" w:rsidRPr="008F36CC">
        <w:rPr>
          <w:rFonts w:hint="eastAsia"/>
          <w:rtl/>
        </w:rPr>
        <w:t>بحسب</w:t>
      </w:r>
      <w:r w:rsidR="003171F2" w:rsidRPr="008F36CC">
        <w:rPr>
          <w:rFonts w:hint="cs"/>
          <w:rtl/>
        </w:rPr>
        <w:t xml:space="preserve"> </w:t>
      </w:r>
      <w:r w:rsidR="003171F2" w:rsidRPr="008F36CC">
        <w:rPr>
          <w:rFonts w:hint="eastAsia"/>
          <w:rtl/>
        </w:rPr>
        <w:t>الإمكان</w:t>
      </w:r>
      <w:r>
        <w:rPr>
          <w:rFonts w:hint="cs"/>
          <w:rtl/>
        </w:rPr>
        <w:t>.</w:t>
      </w:r>
    </w:p>
    <w:p w:rsidR="001D52CC" w:rsidRDefault="001D52CC" w:rsidP="00597C20">
      <w:pPr>
        <w:tabs>
          <w:tab w:val="left" w:pos="2833"/>
        </w:tabs>
        <w:ind w:left="2833" w:hanging="2268"/>
        <w:jc w:val="left"/>
        <w:rPr>
          <w:rtl/>
        </w:rPr>
      </w:pPr>
      <w:r w:rsidRPr="00FD5687">
        <w:rPr>
          <w:rFonts w:hint="cs"/>
          <w:b/>
          <w:bCs/>
          <w:rtl/>
        </w:rPr>
        <w:t>المبحث الثاني:</w:t>
      </w:r>
      <w:r w:rsidR="00F42A8E">
        <w:rPr>
          <w:rFonts w:hint="cs"/>
          <w:rtl/>
        </w:rPr>
        <w:tab/>
      </w:r>
      <w:r>
        <w:rPr>
          <w:rFonts w:hint="cs"/>
          <w:rtl/>
        </w:rPr>
        <w:t>قاعدة إذا تعارضت المصلحة والمفسدة قدم أرجحهما.</w:t>
      </w:r>
    </w:p>
    <w:p w:rsidR="001D52CC" w:rsidRDefault="001D52CC" w:rsidP="00690470">
      <w:pPr>
        <w:tabs>
          <w:tab w:val="left" w:pos="2833"/>
        </w:tabs>
        <w:ind w:left="2833" w:hanging="2268"/>
        <w:jc w:val="left"/>
        <w:rPr>
          <w:rtl/>
        </w:rPr>
      </w:pPr>
      <w:r w:rsidRPr="00FD5687">
        <w:rPr>
          <w:rFonts w:hint="cs"/>
          <w:b/>
          <w:bCs/>
          <w:rtl/>
        </w:rPr>
        <w:t>المبحث الثالث:</w:t>
      </w:r>
      <w:r w:rsidR="00F42A8E">
        <w:rPr>
          <w:rFonts w:hint="cs"/>
          <w:rtl/>
        </w:rPr>
        <w:tab/>
      </w:r>
      <w:r w:rsidR="00690470">
        <w:rPr>
          <w:rFonts w:hint="cs"/>
          <w:rtl/>
        </w:rPr>
        <w:t>قاعدة درء المفاسد أولى من جلب المصالح.</w:t>
      </w:r>
    </w:p>
    <w:p w:rsidR="001D52CC" w:rsidRDefault="001D52CC" w:rsidP="00690470">
      <w:pPr>
        <w:tabs>
          <w:tab w:val="left" w:pos="2833"/>
        </w:tabs>
        <w:ind w:left="2833" w:hanging="2268"/>
        <w:jc w:val="left"/>
        <w:rPr>
          <w:rtl/>
        </w:rPr>
      </w:pPr>
      <w:r w:rsidRPr="00FD5687">
        <w:rPr>
          <w:rFonts w:hint="cs"/>
          <w:b/>
          <w:bCs/>
          <w:rtl/>
        </w:rPr>
        <w:t>المبحث الرابع:</w:t>
      </w:r>
      <w:r w:rsidR="00F42A8E">
        <w:rPr>
          <w:rFonts w:hint="cs"/>
          <w:rtl/>
        </w:rPr>
        <w:tab/>
      </w:r>
      <w:r w:rsidR="00690470">
        <w:rPr>
          <w:rFonts w:hint="cs"/>
          <w:rtl/>
        </w:rPr>
        <w:t>قاعدة إذا اجتمع موجب التحليل والتحريم على وجه لا تمييز بينهما غلب جانب التحريم.</w:t>
      </w:r>
    </w:p>
    <w:p w:rsidR="001D52CC" w:rsidRDefault="001D52CC" w:rsidP="00690470">
      <w:pPr>
        <w:tabs>
          <w:tab w:val="left" w:pos="2833"/>
        </w:tabs>
        <w:ind w:left="2833" w:hanging="2268"/>
        <w:jc w:val="left"/>
        <w:rPr>
          <w:rtl/>
        </w:rPr>
      </w:pPr>
      <w:r w:rsidRPr="00FD5687">
        <w:rPr>
          <w:rFonts w:hint="cs"/>
          <w:b/>
          <w:bCs/>
          <w:rtl/>
        </w:rPr>
        <w:t>المبحث الخامس:</w:t>
      </w:r>
      <w:r w:rsidR="00F42A8E">
        <w:rPr>
          <w:rFonts w:hint="cs"/>
          <w:rtl/>
        </w:rPr>
        <w:tab/>
      </w:r>
      <w:r w:rsidR="00690470">
        <w:rPr>
          <w:rFonts w:hint="cs"/>
          <w:rtl/>
        </w:rPr>
        <w:t>قاعدة إذا تعارض الأصل والظاهر، أو تعارض أصلان، قدم أقواهما على الآخر حسب ما تقتضيه الشريعة وقرائن الأحوال.</w:t>
      </w:r>
    </w:p>
    <w:p w:rsidR="001D52CC" w:rsidRDefault="00F42A8E" w:rsidP="00690470">
      <w:pPr>
        <w:tabs>
          <w:tab w:val="left" w:pos="2833"/>
        </w:tabs>
        <w:ind w:left="2833" w:hanging="2268"/>
        <w:jc w:val="left"/>
        <w:rPr>
          <w:rtl/>
        </w:rPr>
      </w:pPr>
      <w:r>
        <w:rPr>
          <w:rFonts w:hint="cs"/>
          <w:rtl/>
        </w:rPr>
        <w:tab/>
      </w:r>
    </w:p>
    <w:p w:rsidR="003841F8" w:rsidRPr="00531753" w:rsidRDefault="007B7634" w:rsidP="000F5C0F">
      <w:pPr>
        <w:pStyle w:val="aff2"/>
        <w:rPr>
          <w:rtl/>
        </w:rPr>
      </w:pPr>
      <w:bookmarkStart w:id="41" w:name="_Toc333592993"/>
      <w:bookmarkStart w:id="42" w:name="_Toc334046303"/>
      <w:r>
        <w:rPr>
          <w:rFonts w:hint="cs"/>
          <w:rtl/>
        </w:rPr>
        <w:lastRenderedPageBreak/>
        <w:t>المبحث الأول</w:t>
      </w:r>
      <w:r w:rsidR="0032649F">
        <w:rPr>
          <w:rFonts w:hint="eastAsia"/>
          <w:rtl/>
        </w:rPr>
        <w:t> :</w:t>
      </w:r>
      <w:r w:rsidR="0032649F">
        <w:rPr>
          <w:rtl/>
        </w:rPr>
        <w:br/>
      </w:r>
      <w:r w:rsidR="003841F8" w:rsidRPr="003841F8">
        <w:rPr>
          <w:rFonts w:hint="cs"/>
          <w:rtl/>
        </w:rPr>
        <w:t>قاعدة</w:t>
      </w:r>
      <w:r w:rsidR="0032649F">
        <w:rPr>
          <w:rtl/>
        </w:rPr>
        <w:br/>
      </w:r>
      <w:r w:rsidR="008F36CC" w:rsidRPr="008F36CC">
        <w:rPr>
          <w:rFonts w:hint="eastAsia"/>
          <w:rtl/>
        </w:rPr>
        <w:t>قاعدة</w:t>
      </w:r>
      <w:r w:rsidR="008F36CC" w:rsidRPr="008F36CC">
        <w:rPr>
          <w:rFonts w:hint="cs"/>
          <w:rtl/>
        </w:rPr>
        <w:t xml:space="preserve"> </w:t>
      </w:r>
      <w:r w:rsidR="008F36CC" w:rsidRPr="008F36CC">
        <w:rPr>
          <w:rtl/>
        </w:rPr>
        <w:t>"</w:t>
      </w:r>
      <w:r w:rsidR="008F36CC" w:rsidRPr="008F36CC">
        <w:rPr>
          <w:rFonts w:hint="eastAsia"/>
          <w:rtl/>
        </w:rPr>
        <w:t>الشريعة</w:t>
      </w:r>
      <w:r w:rsidR="008F36CC" w:rsidRPr="008F36CC">
        <w:rPr>
          <w:rFonts w:hint="cs"/>
          <w:rtl/>
        </w:rPr>
        <w:t xml:space="preserve"> </w:t>
      </w:r>
      <w:r w:rsidR="008F36CC" w:rsidRPr="008F36CC">
        <w:rPr>
          <w:rFonts w:hint="eastAsia"/>
          <w:rtl/>
        </w:rPr>
        <w:t>جاءت</w:t>
      </w:r>
      <w:r w:rsidR="008F36CC" w:rsidRPr="008F36CC">
        <w:rPr>
          <w:rFonts w:hint="cs"/>
          <w:rtl/>
        </w:rPr>
        <w:t xml:space="preserve"> </w:t>
      </w:r>
      <w:r w:rsidR="008F36CC" w:rsidRPr="008F36CC">
        <w:rPr>
          <w:rFonts w:hint="eastAsia"/>
          <w:rtl/>
        </w:rPr>
        <w:t>بتحصيل</w:t>
      </w:r>
      <w:r w:rsidR="008F36CC" w:rsidRPr="008F36CC">
        <w:rPr>
          <w:rFonts w:hint="cs"/>
          <w:rtl/>
        </w:rPr>
        <w:t xml:space="preserve"> </w:t>
      </w:r>
      <w:r w:rsidR="008F36CC" w:rsidRPr="008F36CC">
        <w:rPr>
          <w:rFonts w:hint="eastAsia"/>
          <w:rtl/>
        </w:rPr>
        <w:t>المصالح</w:t>
      </w:r>
      <w:r w:rsidR="008F36CC" w:rsidRPr="008F36CC">
        <w:rPr>
          <w:rFonts w:hint="cs"/>
          <w:rtl/>
        </w:rPr>
        <w:t xml:space="preserve"> </w:t>
      </w:r>
      <w:r w:rsidR="008F36CC" w:rsidRPr="008F36CC">
        <w:rPr>
          <w:rFonts w:hint="eastAsia"/>
          <w:rtl/>
        </w:rPr>
        <w:t>وتكميلها،</w:t>
      </w:r>
      <w:r w:rsidR="008F36CC" w:rsidRPr="008F36CC">
        <w:rPr>
          <w:rFonts w:hint="cs"/>
          <w:rtl/>
        </w:rPr>
        <w:t xml:space="preserve"> </w:t>
      </w:r>
      <w:r w:rsidR="008F36CC" w:rsidRPr="008F36CC">
        <w:rPr>
          <w:rFonts w:hint="eastAsia"/>
          <w:rtl/>
        </w:rPr>
        <w:t>ودرء</w:t>
      </w:r>
      <w:r w:rsidR="008F36CC" w:rsidRPr="008F36CC">
        <w:rPr>
          <w:rFonts w:hint="cs"/>
          <w:rtl/>
        </w:rPr>
        <w:t xml:space="preserve"> </w:t>
      </w:r>
      <w:r w:rsidR="008F36CC" w:rsidRPr="008F36CC">
        <w:rPr>
          <w:rFonts w:hint="eastAsia"/>
          <w:rtl/>
        </w:rPr>
        <w:t>المفاسد</w:t>
      </w:r>
      <w:r w:rsidR="008F36CC" w:rsidRPr="008F36CC">
        <w:rPr>
          <w:rFonts w:hint="cs"/>
          <w:rtl/>
        </w:rPr>
        <w:t xml:space="preserve"> </w:t>
      </w:r>
      <w:r w:rsidR="008F36CC" w:rsidRPr="008F36CC">
        <w:rPr>
          <w:rFonts w:hint="eastAsia"/>
          <w:rtl/>
        </w:rPr>
        <w:t>وتقليلها</w:t>
      </w:r>
      <w:r w:rsidR="008F36CC" w:rsidRPr="008F36CC">
        <w:rPr>
          <w:rFonts w:hint="cs"/>
          <w:rtl/>
        </w:rPr>
        <w:t xml:space="preserve"> </w:t>
      </w:r>
      <w:r w:rsidR="008F36CC" w:rsidRPr="008F36CC">
        <w:rPr>
          <w:rFonts w:hint="eastAsia"/>
          <w:rtl/>
        </w:rPr>
        <w:t>بحسب</w:t>
      </w:r>
      <w:r w:rsidR="008F36CC" w:rsidRPr="008F36CC">
        <w:rPr>
          <w:rFonts w:hint="cs"/>
          <w:rtl/>
        </w:rPr>
        <w:t xml:space="preserve"> </w:t>
      </w:r>
      <w:r w:rsidR="008F36CC" w:rsidRPr="008F36CC">
        <w:rPr>
          <w:rFonts w:hint="eastAsia"/>
          <w:rtl/>
        </w:rPr>
        <w:t>الإمكان</w:t>
      </w:r>
      <w:r w:rsidR="000606DE">
        <w:rPr>
          <w:rFonts w:hint="cs"/>
          <w:rtl/>
        </w:rPr>
        <w:t>"</w:t>
      </w:r>
      <w:r w:rsidR="00AB0B9E" w:rsidRPr="00531753">
        <w:rPr>
          <w:rtl/>
        </w:rPr>
        <w:fldChar w:fldCharType="begin"/>
      </w:r>
      <w:r w:rsidR="003504FF" w:rsidRPr="00531753">
        <w:rPr>
          <w:rFonts w:hint="cs"/>
        </w:rPr>
        <w:instrText>XE</w:instrText>
      </w:r>
      <w:r w:rsidR="003504FF" w:rsidRPr="00531753">
        <w:rPr>
          <w:rtl/>
        </w:rPr>
        <w:instrText xml:space="preserve"> "</w:instrText>
      </w:r>
      <w:r w:rsidR="003504FF" w:rsidRPr="00531753">
        <w:rPr>
          <w:rFonts w:hint="cs"/>
          <w:rtl/>
        </w:rPr>
        <w:instrText>الشريعةجاءتبتحصيلالمصالحوتكميلها،ودرءالمفاسدوتقليلهابحسبالإمكان</w:instrText>
      </w:r>
      <w:r w:rsidR="003504FF" w:rsidRPr="00531753">
        <w:rPr>
          <w:rtl/>
        </w:rPr>
        <w:instrText>"\</w:instrText>
      </w:r>
      <w:r w:rsidR="003504FF" w:rsidRPr="00531753">
        <w:rPr>
          <w:rFonts w:cs="Arial"/>
        </w:rPr>
        <w:instrText>fq</w:instrText>
      </w:r>
      <w:r w:rsidR="003504FF" w:rsidRPr="00531753">
        <w:rPr>
          <w:rtl/>
        </w:rPr>
        <w:instrText xml:space="preserve">" </w:instrText>
      </w:r>
      <w:r w:rsidR="00AB0B9E" w:rsidRPr="00531753">
        <w:rPr>
          <w:rtl/>
        </w:rPr>
        <w:fldChar w:fldCharType="end"/>
      </w:r>
      <w:r w:rsidR="003841F8" w:rsidRPr="00531753">
        <w:rPr>
          <w:rStyle w:val="af1"/>
          <w:b w:val="0"/>
          <w:bCs w:val="0"/>
          <w:szCs w:val="32"/>
          <w:rtl/>
        </w:rPr>
        <w:t>(</w:t>
      </w:r>
      <w:r w:rsidR="003841F8" w:rsidRPr="00531753">
        <w:rPr>
          <w:rStyle w:val="af1"/>
          <w:b w:val="0"/>
          <w:bCs w:val="0"/>
          <w:szCs w:val="32"/>
          <w:rtl/>
        </w:rPr>
        <w:footnoteReference w:id="220"/>
      </w:r>
      <w:r w:rsidR="003841F8" w:rsidRPr="00531753">
        <w:rPr>
          <w:rStyle w:val="af1"/>
          <w:b w:val="0"/>
          <w:bCs w:val="0"/>
          <w:szCs w:val="32"/>
          <w:rtl/>
        </w:rPr>
        <w:t>)</w:t>
      </w:r>
      <w:bookmarkEnd w:id="41"/>
      <w:bookmarkEnd w:id="42"/>
    </w:p>
    <w:p w:rsidR="003841F8" w:rsidRPr="00487E8E" w:rsidRDefault="002E3D96" w:rsidP="00A8347C">
      <w:pPr>
        <w:pStyle w:val="aff3"/>
        <w:rPr>
          <w:rtl/>
        </w:rPr>
      </w:pPr>
      <w:bookmarkStart w:id="43" w:name="_Toc333592994"/>
      <w:bookmarkStart w:id="44" w:name="_Toc334046304"/>
      <w:r>
        <w:rPr>
          <w:rFonts w:hint="cs"/>
          <w:rtl/>
        </w:rPr>
        <w:t xml:space="preserve">                    </w:t>
      </w:r>
      <w:r w:rsidR="0034363C">
        <w:rPr>
          <w:rFonts w:hint="cs"/>
          <w:rtl/>
        </w:rPr>
        <w:t xml:space="preserve">                    </w:t>
      </w:r>
      <w:r w:rsidR="003841F8" w:rsidRPr="00487E8E">
        <w:rPr>
          <w:rFonts w:hint="cs"/>
          <w:rtl/>
        </w:rPr>
        <w:t>المطلب الأول</w:t>
      </w:r>
      <w:r w:rsidR="004F66DF" w:rsidRPr="00487E8E">
        <w:rPr>
          <w:rFonts w:hint="eastAsia"/>
          <w:rtl/>
        </w:rPr>
        <w:t> :</w:t>
      </w:r>
      <w:r w:rsidR="004F66DF" w:rsidRPr="00487E8E">
        <w:rPr>
          <w:rtl/>
        </w:rPr>
        <w:br/>
      </w:r>
      <w:r>
        <w:rPr>
          <w:rFonts w:hint="cs"/>
          <w:rtl/>
        </w:rPr>
        <w:t xml:space="preserve">                </w:t>
      </w:r>
      <w:r w:rsidR="0034363C">
        <w:rPr>
          <w:rFonts w:hint="cs"/>
          <w:rtl/>
        </w:rPr>
        <w:t xml:space="preserve">      </w:t>
      </w:r>
      <w:r w:rsidR="003841F8" w:rsidRPr="00487E8E">
        <w:rPr>
          <w:rFonts w:hint="cs"/>
          <w:rtl/>
        </w:rPr>
        <w:t>صيغ القاعدة عند الشيخ وعند علماء القواعد</w:t>
      </w:r>
      <w:bookmarkEnd w:id="43"/>
      <w:bookmarkEnd w:id="44"/>
    </w:p>
    <w:p w:rsidR="003841F8" w:rsidRPr="00531753" w:rsidRDefault="003841F8" w:rsidP="000F2637">
      <w:pPr>
        <w:ind w:firstLine="0"/>
        <w:rPr>
          <w:rtl/>
        </w:rPr>
      </w:pPr>
      <w:r w:rsidRPr="00531753">
        <w:rPr>
          <w:rFonts w:hint="cs"/>
          <w:rtl/>
        </w:rPr>
        <w:t>وردت هذه القاعدة عند الشيخ ابن عثيمين</w:t>
      </w:r>
      <w:r w:rsidR="000F2637">
        <w:rPr>
          <w:rFonts w:hint="cs"/>
          <w:rtl/>
        </w:rPr>
        <w:t>_</w:t>
      </w:r>
      <w:r w:rsidRPr="00531753">
        <w:rPr>
          <w:rFonts w:hint="cs"/>
          <w:rtl/>
        </w:rPr>
        <w:t xml:space="preserve"> </w:t>
      </w:r>
      <w:r w:rsidR="009A0575" w:rsidRPr="000F5C0F">
        <w:rPr>
          <w:rFonts w:ascii="Traditional Arabic" w:hAnsi="Traditional Arabic" w:cs="CTraditional Arabic" w:hint="cs"/>
          <w:rtl/>
        </w:rPr>
        <w:t>/</w:t>
      </w:r>
      <w:r w:rsidR="000F2637">
        <w:rPr>
          <w:rFonts w:hint="cs"/>
          <w:rtl/>
        </w:rPr>
        <w:t>_</w:t>
      </w:r>
      <w:r w:rsidRPr="00531753">
        <w:rPr>
          <w:rFonts w:hint="cs"/>
          <w:rtl/>
        </w:rPr>
        <w:t xml:space="preserve"> بعدة صيغ، منها:</w:t>
      </w:r>
    </w:p>
    <w:p w:rsidR="005B3597" w:rsidRPr="00531753" w:rsidRDefault="00B0574F" w:rsidP="00597C20">
      <w:pPr>
        <w:pStyle w:val="a7"/>
        <w:numPr>
          <w:ilvl w:val="0"/>
          <w:numId w:val="5"/>
        </w:numPr>
        <w:jc w:val="lowKashida"/>
        <w:rPr>
          <w:rFonts w:ascii="Traditional Arabic" w:hAnsi="Traditional Arabic"/>
          <w:sz w:val="36"/>
          <w:szCs w:val="36"/>
        </w:rPr>
      </w:pPr>
      <w:r w:rsidRPr="00531753">
        <w:rPr>
          <w:rFonts w:hint="cs"/>
          <w:sz w:val="36"/>
          <w:szCs w:val="36"/>
          <w:rtl/>
        </w:rPr>
        <w:t>الشارع ي</w:t>
      </w:r>
      <w:r w:rsidR="005B3597" w:rsidRPr="00531753">
        <w:rPr>
          <w:rFonts w:hint="cs"/>
          <w:sz w:val="36"/>
          <w:szCs w:val="36"/>
          <w:rtl/>
        </w:rPr>
        <w:t>أتي بدرء المفاسد وجلب المصالح</w:t>
      </w:r>
      <w:r w:rsidR="005B3597" w:rsidRPr="00531753">
        <w:rPr>
          <w:rStyle w:val="af1"/>
          <w:szCs w:val="32"/>
          <w:rtl/>
        </w:rPr>
        <w:t>(</w:t>
      </w:r>
      <w:r w:rsidR="005B3597" w:rsidRPr="00531753">
        <w:rPr>
          <w:rStyle w:val="af1"/>
          <w:szCs w:val="32"/>
          <w:rtl/>
        </w:rPr>
        <w:footnoteReference w:id="221"/>
      </w:r>
      <w:r w:rsidR="005B3597" w:rsidRPr="00531753">
        <w:rPr>
          <w:rStyle w:val="af1"/>
          <w:szCs w:val="32"/>
          <w:rtl/>
        </w:rPr>
        <w:t>)</w:t>
      </w:r>
      <w:r w:rsidR="005B3597" w:rsidRPr="00531753">
        <w:rPr>
          <w:rFonts w:ascii="Traditional Arabic" w:hAnsi="Traditional Arabic"/>
          <w:sz w:val="36"/>
          <w:szCs w:val="36"/>
          <w:rtl/>
        </w:rPr>
        <w:t>.</w:t>
      </w:r>
    </w:p>
    <w:p w:rsidR="00B0574F" w:rsidRPr="00531753" w:rsidRDefault="00B0574F" w:rsidP="00597C20">
      <w:pPr>
        <w:pStyle w:val="a7"/>
        <w:numPr>
          <w:ilvl w:val="0"/>
          <w:numId w:val="5"/>
        </w:numPr>
        <w:jc w:val="lowKashida"/>
        <w:rPr>
          <w:rFonts w:ascii="Traditional Arabic" w:hAnsi="Traditional Arabic"/>
          <w:color w:val="auto"/>
          <w:sz w:val="36"/>
          <w:szCs w:val="36"/>
        </w:rPr>
      </w:pPr>
      <w:r w:rsidRPr="00531753">
        <w:rPr>
          <w:rFonts w:ascii="Traditional Arabic" w:hAnsi="Traditional Arabic"/>
          <w:noProof w:val="0"/>
          <w:color w:val="auto"/>
          <w:sz w:val="36"/>
          <w:szCs w:val="36"/>
          <w:rtl/>
          <w:lang w:eastAsia="en-US"/>
        </w:rPr>
        <w:t>أصل الشريعة مبن</w:t>
      </w:r>
      <w:r w:rsidRPr="00531753">
        <w:rPr>
          <w:rFonts w:ascii="Traditional Arabic" w:hAnsi="Traditional Arabic" w:hint="cs"/>
          <w:noProof w:val="0"/>
          <w:color w:val="auto"/>
          <w:sz w:val="36"/>
          <w:szCs w:val="36"/>
          <w:rtl/>
          <w:lang w:eastAsia="en-US"/>
        </w:rPr>
        <w:t>يٌّ</w:t>
      </w:r>
      <w:r w:rsidRPr="00531753">
        <w:rPr>
          <w:rFonts w:ascii="Traditional Arabic" w:hAnsi="Traditional Arabic"/>
          <w:noProof w:val="0"/>
          <w:color w:val="auto"/>
          <w:sz w:val="36"/>
          <w:szCs w:val="36"/>
          <w:rtl/>
          <w:lang w:eastAsia="en-US"/>
        </w:rPr>
        <w:t xml:space="preserve"> على المصالح الخالصة أو الراجحة</w:t>
      </w:r>
      <w:r w:rsidRPr="00531753">
        <w:rPr>
          <w:rStyle w:val="af1"/>
          <w:szCs w:val="32"/>
          <w:rtl/>
        </w:rPr>
        <w:t>(</w:t>
      </w:r>
      <w:r w:rsidRPr="00531753">
        <w:rPr>
          <w:rStyle w:val="af1"/>
          <w:szCs w:val="32"/>
          <w:rtl/>
        </w:rPr>
        <w:footnoteReference w:id="222"/>
      </w:r>
      <w:r w:rsidRPr="00531753">
        <w:rPr>
          <w:rStyle w:val="af1"/>
          <w:szCs w:val="32"/>
          <w:rtl/>
        </w:rPr>
        <w:t>)</w:t>
      </w:r>
      <w:r w:rsidRPr="00531753">
        <w:rPr>
          <w:rFonts w:ascii="Traditional Arabic" w:hAnsi="Traditional Arabic" w:hint="cs"/>
          <w:color w:val="auto"/>
          <w:sz w:val="36"/>
          <w:szCs w:val="36"/>
          <w:rtl/>
        </w:rPr>
        <w:t>.</w:t>
      </w:r>
    </w:p>
    <w:p w:rsidR="007C1BFD" w:rsidRPr="00531753" w:rsidRDefault="007C1BFD" w:rsidP="00597C20">
      <w:pPr>
        <w:numPr>
          <w:ilvl w:val="0"/>
          <w:numId w:val="5"/>
        </w:numPr>
      </w:pPr>
      <w:r w:rsidRPr="00531753">
        <w:rPr>
          <w:rFonts w:hint="cs"/>
          <w:rtl/>
        </w:rPr>
        <w:t>الشرع مبنيٌّ على تحصيل المصالح ودرء المفاسد</w:t>
      </w:r>
      <w:r w:rsidRPr="00531753">
        <w:rPr>
          <w:rStyle w:val="af1"/>
          <w:szCs w:val="32"/>
          <w:rtl/>
        </w:rPr>
        <w:t>(</w:t>
      </w:r>
      <w:r w:rsidRPr="00531753">
        <w:rPr>
          <w:rStyle w:val="af1"/>
          <w:szCs w:val="32"/>
          <w:rtl/>
        </w:rPr>
        <w:footnoteReference w:id="223"/>
      </w:r>
      <w:r w:rsidRPr="00531753">
        <w:rPr>
          <w:rStyle w:val="af1"/>
          <w:szCs w:val="32"/>
          <w:rtl/>
        </w:rPr>
        <w:t>)</w:t>
      </w:r>
      <w:r w:rsidRPr="00531753">
        <w:rPr>
          <w:rFonts w:hint="cs"/>
          <w:rtl/>
        </w:rPr>
        <w:t>.</w:t>
      </w:r>
    </w:p>
    <w:p w:rsidR="007C1BFD" w:rsidRPr="00531753" w:rsidRDefault="007C1BFD" w:rsidP="00597C20">
      <w:pPr>
        <w:numPr>
          <w:ilvl w:val="0"/>
          <w:numId w:val="5"/>
        </w:numPr>
      </w:pPr>
      <w:r w:rsidRPr="00531753">
        <w:rPr>
          <w:rFonts w:hint="cs"/>
          <w:rtl/>
        </w:rPr>
        <w:t>الشريعة مبنيَّة على جلب المصالح ودفع المضارّ</w:t>
      </w:r>
      <w:r w:rsidRPr="00531753">
        <w:rPr>
          <w:rStyle w:val="af1"/>
          <w:szCs w:val="32"/>
          <w:rtl/>
        </w:rPr>
        <w:t>(</w:t>
      </w:r>
      <w:r w:rsidRPr="00531753">
        <w:rPr>
          <w:rStyle w:val="af1"/>
          <w:szCs w:val="32"/>
          <w:rtl/>
        </w:rPr>
        <w:footnoteReference w:id="224"/>
      </w:r>
      <w:r w:rsidRPr="00531753">
        <w:rPr>
          <w:rStyle w:val="af1"/>
          <w:szCs w:val="32"/>
          <w:rtl/>
        </w:rPr>
        <w:t>)</w:t>
      </w:r>
      <w:r w:rsidRPr="00531753">
        <w:rPr>
          <w:rFonts w:hint="cs"/>
          <w:rtl/>
        </w:rPr>
        <w:t>.</w:t>
      </w:r>
    </w:p>
    <w:p w:rsidR="007C1BFD" w:rsidRPr="00531753" w:rsidRDefault="007C1BFD" w:rsidP="00597C20">
      <w:pPr>
        <w:numPr>
          <w:ilvl w:val="0"/>
          <w:numId w:val="5"/>
        </w:numPr>
      </w:pPr>
      <w:r w:rsidRPr="00531753">
        <w:rPr>
          <w:rFonts w:hint="cs"/>
          <w:rtl/>
        </w:rPr>
        <w:t>الشريعة جاءت باستجلاب المصالح ودفع المفاسد</w:t>
      </w:r>
      <w:r w:rsidRPr="00531753">
        <w:rPr>
          <w:rStyle w:val="af1"/>
          <w:szCs w:val="32"/>
          <w:rtl/>
        </w:rPr>
        <w:t>(</w:t>
      </w:r>
      <w:r w:rsidRPr="00531753">
        <w:rPr>
          <w:rStyle w:val="af1"/>
          <w:szCs w:val="32"/>
          <w:rtl/>
        </w:rPr>
        <w:footnoteReference w:id="225"/>
      </w:r>
      <w:r w:rsidRPr="00531753">
        <w:rPr>
          <w:rStyle w:val="af1"/>
          <w:szCs w:val="32"/>
          <w:rtl/>
        </w:rPr>
        <w:t>)</w:t>
      </w:r>
      <w:r w:rsidRPr="00531753">
        <w:rPr>
          <w:rFonts w:hint="cs"/>
          <w:rtl/>
        </w:rPr>
        <w:t>.</w:t>
      </w:r>
    </w:p>
    <w:p w:rsidR="00F228A9" w:rsidRPr="00531753" w:rsidRDefault="007C1BFD" w:rsidP="00597C20">
      <w:pPr>
        <w:numPr>
          <w:ilvl w:val="0"/>
          <w:numId w:val="5"/>
        </w:numPr>
      </w:pPr>
      <w:r w:rsidRPr="00531753">
        <w:rPr>
          <w:rFonts w:hint="cs"/>
          <w:rtl/>
        </w:rPr>
        <w:t>الشريعة إنما تأمر بما مصلحت</w:t>
      </w:r>
      <w:r w:rsidR="00A428B0" w:rsidRPr="00531753">
        <w:rPr>
          <w:rFonts w:hint="cs"/>
          <w:rtl/>
        </w:rPr>
        <w:t>ُ</w:t>
      </w:r>
      <w:r w:rsidRPr="00531753">
        <w:rPr>
          <w:rFonts w:hint="cs"/>
          <w:rtl/>
        </w:rPr>
        <w:t>ه خالصة أو راجحة، وتنهى عم</w:t>
      </w:r>
      <w:r w:rsidR="00A428B0" w:rsidRPr="00531753">
        <w:rPr>
          <w:rFonts w:hint="cs"/>
          <w:rtl/>
        </w:rPr>
        <w:t>َّ</w:t>
      </w:r>
      <w:r w:rsidRPr="00531753">
        <w:rPr>
          <w:rFonts w:hint="cs"/>
          <w:rtl/>
        </w:rPr>
        <w:t>ا مفسدت</w:t>
      </w:r>
      <w:r w:rsidR="00A428B0" w:rsidRPr="00531753">
        <w:rPr>
          <w:rFonts w:hint="cs"/>
          <w:rtl/>
        </w:rPr>
        <w:t>ُ</w:t>
      </w:r>
      <w:r w:rsidRPr="00531753">
        <w:rPr>
          <w:rFonts w:hint="cs"/>
          <w:rtl/>
        </w:rPr>
        <w:t>ه خالصة</w:t>
      </w:r>
    </w:p>
    <w:p w:rsidR="007C1BFD" w:rsidRPr="00531753" w:rsidRDefault="007C1BFD" w:rsidP="00597C20">
      <w:pPr>
        <w:ind w:left="1174" w:firstLine="0"/>
      </w:pPr>
      <w:r w:rsidRPr="00531753">
        <w:rPr>
          <w:rFonts w:hint="cs"/>
          <w:rtl/>
        </w:rPr>
        <w:t>أو راجحة</w:t>
      </w:r>
      <w:r w:rsidRPr="00531753">
        <w:rPr>
          <w:rStyle w:val="af1"/>
          <w:szCs w:val="32"/>
          <w:rtl/>
        </w:rPr>
        <w:t>(</w:t>
      </w:r>
      <w:r w:rsidRPr="00531753">
        <w:rPr>
          <w:rStyle w:val="af1"/>
          <w:szCs w:val="32"/>
          <w:rtl/>
        </w:rPr>
        <w:footnoteReference w:id="226"/>
      </w:r>
      <w:r w:rsidRPr="00531753">
        <w:rPr>
          <w:rStyle w:val="af1"/>
          <w:szCs w:val="32"/>
          <w:rtl/>
        </w:rPr>
        <w:t>)</w:t>
      </w:r>
      <w:r w:rsidRPr="00531753">
        <w:rPr>
          <w:rFonts w:hint="cs"/>
          <w:rtl/>
        </w:rPr>
        <w:t>.</w:t>
      </w:r>
    </w:p>
    <w:p w:rsidR="00502D4C" w:rsidRPr="00531753" w:rsidRDefault="00502D4C" w:rsidP="00597C20">
      <w:pPr>
        <w:numPr>
          <w:ilvl w:val="0"/>
          <w:numId w:val="5"/>
        </w:numPr>
      </w:pPr>
      <w:r w:rsidRPr="00531753">
        <w:rPr>
          <w:rFonts w:hint="cs"/>
          <w:rtl/>
        </w:rPr>
        <w:lastRenderedPageBreak/>
        <w:t>الشريعة جاءت بتحقيق المصالح وإبطال المفاسد</w:t>
      </w:r>
      <w:r w:rsidRPr="00531753">
        <w:rPr>
          <w:rStyle w:val="af1"/>
          <w:szCs w:val="32"/>
          <w:rtl/>
        </w:rPr>
        <w:t>(</w:t>
      </w:r>
      <w:r w:rsidRPr="00531753">
        <w:rPr>
          <w:rStyle w:val="af1"/>
          <w:szCs w:val="32"/>
          <w:rtl/>
        </w:rPr>
        <w:footnoteReference w:id="227"/>
      </w:r>
      <w:r w:rsidRPr="00531753">
        <w:rPr>
          <w:rStyle w:val="af1"/>
          <w:szCs w:val="32"/>
          <w:rtl/>
        </w:rPr>
        <w:t>)</w:t>
      </w:r>
      <w:r w:rsidRPr="00531753">
        <w:rPr>
          <w:rFonts w:hint="cs"/>
          <w:rtl/>
        </w:rPr>
        <w:t>.</w:t>
      </w:r>
    </w:p>
    <w:p w:rsidR="002803F3" w:rsidRPr="00531753" w:rsidRDefault="002803F3" w:rsidP="00597C20">
      <w:pPr>
        <w:pStyle w:val="afc"/>
        <w:numPr>
          <w:ilvl w:val="0"/>
          <w:numId w:val="6"/>
        </w:numPr>
      </w:pPr>
      <w:r w:rsidRPr="00531753">
        <w:rPr>
          <w:rFonts w:hint="cs"/>
          <w:rtl/>
        </w:rPr>
        <w:t>الشريعة جاءت بتعطيل المفاسد أو تقليلها إذا لم يمكن تعطيل</w:t>
      </w:r>
      <w:r w:rsidR="00770C72" w:rsidRPr="00531753">
        <w:rPr>
          <w:rFonts w:hint="cs"/>
          <w:rtl/>
        </w:rPr>
        <w:t>ُ</w:t>
      </w:r>
      <w:r w:rsidRPr="00531753">
        <w:rPr>
          <w:rFonts w:hint="cs"/>
          <w:rtl/>
        </w:rPr>
        <w:t xml:space="preserve">ها، وبتحصيل المصالح </w:t>
      </w:r>
      <w:r w:rsidR="00770C72" w:rsidRPr="00531753">
        <w:rPr>
          <w:rFonts w:hint="cs"/>
          <w:rtl/>
        </w:rPr>
        <w:t>أ</w:t>
      </w:r>
      <w:r w:rsidRPr="00531753">
        <w:rPr>
          <w:rFonts w:hint="cs"/>
          <w:rtl/>
        </w:rPr>
        <w:t>وتكميلها، وإذا لم يمكن تكميلها، فلا أقلَّ من تحصيلها بقدر الإمكان</w:t>
      </w:r>
      <w:r w:rsidRPr="00531753">
        <w:rPr>
          <w:rStyle w:val="af1"/>
          <w:szCs w:val="32"/>
          <w:rtl/>
        </w:rPr>
        <w:t>(</w:t>
      </w:r>
      <w:r w:rsidRPr="00531753">
        <w:rPr>
          <w:rStyle w:val="af1"/>
          <w:szCs w:val="32"/>
          <w:rtl/>
        </w:rPr>
        <w:footnoteReference w:id="228"/>
      </w:r>
      <w:r w:rsidRPr="00531753">
        <w:rPr>
          <w:rStyle w:val="af1"/>
          <w:szCs w:val="32"/>
          <w:rtl/>
        </w:rPr>
        <w:t>)</w:t>
      </w:r>
      <w:r w:rsidR="007038B1" w:rsidRPr="00531753">
        <w:rPr>
          <w:rFonts w:hint="cs"/>
          <w:rtl/>
        </w:rPr>
        <w:t>.</w:t>
      </w:r>
    </w:p>
    <w:p w:rsidR="009C5B23" w:rsidRPr="00531753" w:rsidRDefault="007C1BFD" w:rsidP="00597C20">
      <w:pPr>
        <w:rPr>
          <w:rtl/>
        </w:rPr>
      </w:pPr>
      <w:r w:rsidRPr="00531753">
        <w:rPr>
          <w:rFonts w:hint="cs"/>
          <w:rtl/>
        </w:rPr>
        <w:t>ووردت</w:t>
      </w:r>
      <w:r w:rsidR="006750C3" w:rsidRPr="00531753">
        <w:rPr>
          <w:rFonts w:hint="cs"/>
          <w:rtl/>
        </w:rPr>
        <w:t xml:space="preserve"> هذه القاعدة عند علماء القواعد بعدة صيغ، منها</w:t>
      </w:r>
      <w:r w:rsidRPr="00531753">
        <w:rPr>
          <w:rFonts w:hint="cs"/>
          <w:rtl/>
        </w:rPr>
        <w:t>:</w:t>
      </w:r>
    </w:p>
    <w:p w:rsidR="00F228A9" w:rsidRPr="00531753" w:rsidRDefault="00223413" w:rsidP="00597C20">
      <w:pPr>
        <w:pStyle w:val="afc"/>
        <w:numPr>
          <w:ilvl w:val="0"/>
          <w:numId w:val="9"/>
        </w:numPr>
      </w:pPr>
      <w:r w:rsidRPr="00531753">
        <w:rPr>
          <w:rFonts w:hint="cs"/>
          <w:rtl/>
        </w:rPr>
        <w:t>جميع ما أُمر به إنما أُمر به لِجَلْب مصلحة أو مصالح، أو لدرء مفسدة أو مفاسد، أو للأمرين، وجميع ما نُهي عنه إنما نهي عنه لدفع مفسدة أو مفاسد، أو جلب مصلحة أو مصالح، أو للأمرين</w:t>
      </w:r>
      <w:r w:rsidRPr="00531753">
        <w:rPr>
          <w:rStyle w:val="af1"/>
          <w:szCs w:val="32"/>
          <w:rtl/>
        </w:rPr>
        <w:t>(</w:t>
      </w:r>
      <w:r w:rsidRPr="00531753">
        <w:rPr>
          <w:rStyle w:val="af1"/>
          <w:szCs w:val="32"/>
          <w:rtl/>
        </w:rPr>
        <w:footnoteReference w:id="229"/>
      </w:r>
      <w:r w:rsidRPr="00531753">
        <w:rPr>
          <w:rStyle w:val="af1"/>
          <w:szCs w:val="32"/>
          <w:rtl/>
        </w:rPr>
        <w:t>)</w:t>
      </w:r>
      <w:r w:rsidRPr="00531753">
        <w:rPr>
          <w:rFonts w:hint="cs"/>
          <w:rtl/>
        </w:rPr>
        <w:t>.</w:t>
      </w:r>
    </w:p>
    <w:p w:rsidR="007C1BFD" w:rsidRPr="00531753" w:rsidRDefault="009C5B23" w:rsidP="00597C20">
      <w:pPr>
        <w:pStyle w:val="a7"/>
        <w:numPr>
          <w:ilvl w:val="0"/>
          <w:numId w:val="5"/>
        </w:numPr>
        <w:jc w:val="lowKashida"/>
        <w:rPr>
          <w:rFonts w:ascii="Traditional Arabic" w:hAnsi="Traditional Arabic"/>
          <w:color w:val="auto"/>
          <w:sz w:val="36"/>
          <w:szCs w:val="36"/>
        </w:rPr>
      </w:pPr>
      <w:r w:rsidRPr="00531753">
        <w:rPr>
          <w:rFonts w:ascii="Traditional Arabic" w:hAnsi="Traditional Arabic" w:hint="cs"/>
          <w:color w:val="auto"/>
          <w:sz w:val="36"/>
          <w:szCs w:val="36"/>
          <w:rtl/>
        </w:rPr>
        <w:t>الشريعة جاءت بتحصيل المصالح وتكميلها، وتعطيل المفاسد وتقليلها بحسب الإمكان</w:t>
      </w:r>
      <w:r w:rsidRPr="00531753">
        <w:rPr>
          <w:rStyle w:val="af1"/>
          <w:szCs w:val="32"/>
          <w:rtl/>
        </w:rPr>
        <w:t>(</w:t>
      </w:r>
      <w:r w:rsidRPr="00531753">
        <w:rPr>
          <w:rStyle w:val="af1"/>
          <w:szCs w:val="32"/>
          <w:rtl/>
        </w:rPr>
        <w:footnoteReference w:id="230"/>
      </w:r>
      <w:r w:rsidRPr="00531753">
        <w:rPr>
          <w:rStyle w:val="af1"/>
          <w:szCs w:val="32"/>
          <w:rtl/>
        </w:rPr>
        <w:t>)</w:t>
      </w:r>
      <w:r w:rsidRPr="00531753">
        <w:rPr>
          <w:rFonts w:ascii="Traditional Arabic" w:hAnsi="Traditional Arabic" w:hint="cs"/>
          <w:color w:val="auto"/>
          <w:sz w:val="36"/>
          <w:szCs w:val="36"/>
          <w:rtl/>
        </w:rPr>
        <w:t>.</w:t>
      </w:r>
    </w:p>
    <w:p w:rsidR="003E6F57" w:rsidRPr="00531753" w:rsidRDefault="003E6F57" w:rsidP="00597C20">
      <w:pPr>
        <w:pStyle w:val="a7"/>
        <w:numPr>
          <w:ilvl w:val="0"/>
          <w:numId w:val="5"/>
        </w:numPr>
        <w:jc w:val="lowKashida"/>
        <w:rPr>
          <w:rFonts w:ascii="Traditional Arabic" w:hAnsi="Traditional Arabic"/>
          <w:color w:val="auto"/>
          <w:sz w:val="36"/>
          <w:szCs w:val="36"/>
        </w:rPr>
      </w:pPr>
      <w:r w:rsidRPr="00531753">
        <w:rPr>
          <w:rFonts w:ascii="Traditional Arabic" w:hAnsi="Traditional Arabic"/>
          <w:noProof w:val="0"/>
          <w:color w:val="auto"/>
          <w:sz w:val="36"/>
          <w:szCs w:val="36"/>
          <w:rtl/>
          <w:lang w:eastAsia="en-US"/>
        </w:rPr>
        <w:t>الشرائع م</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ب</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ناها على المصالح بحس</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ب الإمكان وتكميل</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ها</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 xml:space="preserve"> وتعطيل</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 xml:space="preserve"> المفاسد بحس</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ب الإمكان وتق</w:t>
      </w:r>
      <w:r w:rsidRPr="00531753">
        <w:rPr>
          <w:rFonts w:ascii="Traditional Arabic" w:hAnsi="Traditional Arabic" w:hint="cs"/>
          <w:noProof w:val="0"/>
          <w:color w:val="auto"/>
          <w:sz w:val="36"/>
          <w:szCs w:val="36"/>
          <w:rtl/>
          <w:lang w:eastAsia="en-US"/>
        </w:rPr>
        <w:t>ل</w:t>
      </w:r>
      <w:r w:rsidRPr="00531753">
        <w:rPr>
          <w:rFonts w:ascii="Traditional Arabic" w:hAnsi="Traditional Arabic"/>
          <w:noProof w:val="0"/>
          <w:color w:val="auto"/>
          <w:sz w:val="36"/>
          <w:szCs w:val="36"/>
          <w:rtl/>
          <w:lang w:eastAsia="en-US"/>
        </w:rPr>
        <w:t>يل</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ها</w:t>
      </w:r>
      <w:r w:rsidRPr="00531753">
        <w:rPr>
          <w:rStyle w:val="af1"/>
          <w:szCs w:val="32"/>
          <w:rtl/>
        </w:rPr>
        <w:t>(</w:t>
      </w:r>
      <w:r w:rsidRPr="00531753">
        <w:rPr>
          <w:rStyle w:val="af1"/>
          <w:szCs w:val="32"/>
          <w:rtl/>
        </w:rPr>
        <w:footnoteReference w:id="231"/>
      </w:r>
      <w:r w:rsidRPr="00531753">
        <w:rPr>
          <w:rStyle w:val="af1"/>
          <w:szCs w:val="32"/>
          <w:rtl/>
        </w:rPr>
        <w:t>)</w:t>
      </w:r>
      <w:r w:rsidRPr="00531753">
        <w:rPr>
          <w:rFonts w:ascii="Traditional Arabic" w:hAnsi="Traditional Arabic" w:hint="cs"/>
          <w:color w:val="auto"/>
          <w:sz w:val="36"/>
          <w:szCs w:val="36"/>
          <w:rtl/>
        </w:rPr>
        <w:t>.</w:t>
      </w:r>
    </w:p>
    <w:p w:rsidR="003E6F57" w:rsidRPr="00531753" w:rsidRDefault="00E91582" w:rsidP="00597C20">
      <w:pPr>
        <w:pStyle w:val="a7"/>
        <w:numPr>
          <w:ilvl w:val="0"/>
          <w:numId w:val="5"/>
        </w:numPr>
        <w:jc w:val="lowKashida"/>
        <w:rPr>
          <w:rFonts w:ascii="Traditional Arabic" w:hAnsi="Traditional Arabic"/>
          <w:color w:val="auto"/>
          <w:sz w:val="36"/>
          <w:szCs w:val="36"/>
        </w:rPr>
      </w:pPr>
      <w:r w:rsidRPr="00531753">
        <w:rPr>
          <w:rFonts w:ascii="Traditional Arabic" w:hAnsi="Traditional Arabic" w:hint="cs"/>
          <w:color w:val="auto"/>
          <w:sz w:val="36"/>
          <w:szCs w:val="36"/>
          <w:rtl/>
        </w:rPr>
        <w:t>الشارع لا يأمر إلا بما مصلحتُه خالصة أو راجحة، ولا ينهى إلا عمَّا مفسدتُه خالصة أو راجحة</w:t>
      </w:r>
      <w:r w:rsidRPr="00531753">
        <w:rPr>
          <w:rStyle w:val="af1"/>
          <w:szCs w:val="32"/>
          <w:rtl/>
        </w:rPr>
        <w:t>(</w:t>
      </w:r>
      <w:r w:rsidRPr="00531753">
        <w:rPr>
          <w:rStyle w:val="af1"/>
          <w:szCs w:val="32"/>
          <w:rtl/>
        </w:rPr>
        <w:footnoteReference w:id="232"/>
      </w:r>
      <w:r w:rsidRPr="00531753">
        <w:rPr>
          <w:rStyle w:val="af1"/>
          <w:szCs w:val="32"/>
          <w:rtl/>
        </w:rPr>
        <w:t>)</w:t>
      </w:r>
      <w:r w:rsidRPr="00531753">
        <w:rPr>
          <w:rFonts w:ascii="Traditional Arabic" w:hAnsi="Traditional Arabic" w:hint="cs"/>
          <w:color w:val="auto"/>
          <w:sz w:val="36"/>
          <w:szCs w:val="36"/>
          <w:rtl/>
        </w:rPr>
        <w:t>.</w:t>
      </w:r>
    </w:p>
    <w:p w:rsidR="00E91582" w:rsidRPr="00531753" w:rsidRDefault="00E91582" w:rsidP="00597C20">
      <w:pPr>
        <w:pStyle w:val="a7"/>
        <w:numPr>
          <w:ilvl w:val="0"/>
          <w:numId w:val="5"/>
        </w:numPr>
        <w:jc w:val="lowKashida"/>
        <w:rPr>
          <w:rFonts w:ascii="Traditional Arabic" w:hAnsi="Traditional Arabic"/>
          <w:color w:val="auto"/>
          <w:sz w:val="36"/>
          <w:szCs w:val="36"/>
        </w:rPr>
      </w:pPr>
      <w:r w:rsidRPr="00531753">
        <w:rPr>
          <w:rFonts w:ascii="Traditional Arabic" w:hAnsi="Traditional Arabic" w:hint="cs"/>
          <w:color w:val="auto"/>
          <w:sz w:val="36"/>
          <w:szCs w:val="36"/>
          <w:rtl/>
        </w:rPr>
        <w:t>الدين مبنيٌّ على المصالح</w:t>
      </w:r>
      <w:r w:rsidR="006802D7">
        <w:rPr>
          <w:rFonts w:ascii="Traditional Arabic" w:hAnsi="Traditional Arabic" w:hint="cs"/>
          <w:color w:val="auto"/>
          <w:sz w:val="36"/>
          <w:szCs w:val="36"/>
          <w:rtl/>
        </w:rPr>
        <w:t xml:space="preserve">        </w:t>
      </w:r>
      <w:r w:rsidRPr="00531753">
        <w:rPr>
          <w:rFonts w:ascii="Traditional Arabic" w:hAnsi="Traditional Arabic" w:hint="cs"/>
          <w:color w:val="auto"/>
          <w:sz w:val="36"/>
          <w:szCs w:val="36"/>
          <w:rtl/>
        </w:rPr>
        <w:t>في جَلْبِها والدَّرْءِ للقبائح</w:t>
      </w:r>
      <w:r w:rsidRPr="00531753">
        <w:rPr>
          <w:rStyle w:val="af1"/>
          <w:szCs w:val="32"/>
          <w:rtl/>
        </w:rPr>
        <w:t>(</w:t>
      </w:r>
      <w:r w:rsidRPr="00531753">
        <w:rPr>
          <w:rStyle w:val="af1"/>
          <w:szCs w:val="32"/>
          <w:rtl/>
        </w:rPr>
        <w:footnoteReference w:id="233"/>
      </w:r>
      <w:r w:rsidRPr="00531753">
        <w:rPr>
          <w:rStyle w:val="af1"/>
          <w:szCs w:val="32"/>
          <w:rtl/>
        </w:rPr>
        <w:t>)</w:t>
      </w:r>
      <w:r w:rsidRPr="00531753">
        <w:rPr>
          <w:rFonts w:ascii="Traditional Arabic" w:hAnsi="Traditional Arabic" w:hint="cs"/>
          <w:color w:val="auto"/>
          <w:sz w:val="36"/>
          <w:szCs w:val="36"/>
          <w:rtl/>
        </w:rPr>
        <w:t>.</w:t>
      </w:r>
    </w:p>
    <w:p w:rsidR="00065E4B" w:rsidRPr="00531753" w:rsidRDefault="006802D7" w:rsidP="00A8347C">
      <w:pPr>
        <w:pStyle w:val="aff3"/>
        <w:rPr>
          <w:rtl/>
        </w:rPr>
      </w:pPr>
      <w:bookmarkStart w:id="45" w:name="_Toc333592995"/>
      <w:bookmarkStart w:id="46" w:name="_Toc334046305"/>
      <w:r>
        <w:rPr>
          <w:rFonts w:hint="cs"/>
          <w:rtl/>
        </w:rPr>
        <w:lastRenderedPageBreak/>
        <w:t xml:space="preserve">                   </w:t>
      </w:r>
      <w:r w:rsidR="000F2637">
        <w:rPr>
          <w:rFonts w:hint="cs"/>
          <w:rtl/>
        </w:rPr>
        <w:t xml:space="preserve">                       </w:t>
      </w:r>
      <w:r w:rsidR="006750C3" w:rsidRPr="00531753">
        <w:rPr>
          <w:rFonts w:hint="cs"/>
          <w:rtl/>
        </w:rPr>
        <w:t>المطلب الثاني</w:t>
      </w:r>
      <w:r w:rsidR="004F66DF" w:rsidRPr="00531753">
        <w:rPr>
          <w:rFonts w:hint="eastAsia"/>
          <w:rtl/>
        </w:rPr>
        <w:t> :</w:t>
      </w:r>
      <w:r w:rsidR="004F66DF" w:rsidRPr="00531753">
        <w:rPr>
          <w:rFonts w:hint="cs"/>
          <w:rtl/>
        </w:rPr>
        <w:br/>
      </w:r>
      <w:r>
        <w:rPr>
          <w:rFonts w:hint="cs"/>
          <w:rtl/>
        </w:rPr>
        <w:t xml:space="preserve">                   </w:t>
      </w:r>
      <w:r w:rsidR="000F2637">
        <w:rPr>
          <w:rFonts w:hint="cs"/>
          <w:rtl/>
        </w:rPr>
        <w:t xml:space="preserve">                        </w:t>
      </w:r>
      <w:r w:rsidR="006750C3" w:rsidRPr="00531753">
        <w:rPr>
          <w:rFonts w:hint="cs"/>
          <w:rtl/>
        </w:rPr>
        <w:t>شرح القاعدة</w:t>
      </w:r>
      <w:bookmarkEnd w:id="45"/>
      <w:bookmarkEnd w:id="46"/>
    </w:p>
    <w:p w:rsidR="005023CD" w:rsidRDefault="00065E4B" w:rsidP="00597C20">
      <w:pPr>
        <w:pStyle w:val="53"/>
        <w:rPr>
          <w:b w:val="0"/>
          <w:rtl/>
        </w:rPr>
      </w:pPr>
      <w:r w:rsidRPr="00487E8E">
        <w:rPr>
          <w:rFonts w:ascii="Traditional Arabic" w:hAnsi="Traditional Arabic"/>
          <w:b w:val="0"/>
          <w:rtl/>
        </w:rPr>
        <w:t>ا</w:t>
      </w:r>
      <w:r w:rsidR="006750C3" w:rsidRPr="00487E8E">
        <w:rPr>
          <w:rFonts w:ascii="Traditional Arabic" w:hAnsi="Traditional Arabic"/>
          <w:b w:val="0"/>
          <w:rtl/>
        </w:rPr>
        <w:t>لمصالح</w:t>
      </w:r>
      <w:r w:rsidR="000606DE">
        <w:rPr>
          <w:rFonts w:ascii="Traditional Arabic" w:hAnsi="Traditional Arabic"/>
          <w:b w:val="0"/>
        </w:rPr>
        <w:t xml:space="preserve"> </w:t>
      </w:r>
      <w:r w:rsidR="00AB0B9E" w:rsidRPr="00487E8E">
        <w:rPr>
          <w:rFonts w:ascii="Traditional Arabic" w:hAnsi="Traditional Arabic"/>
          <w:b w:val="0"/>
        </w:rPr>
        <w:fldChar w:fldCharType="begin"/>
      </w:r>
      <w:r w:rsidR="00FF37C2" w:rsidRPr="00487E8E">
        <w:rPr>
          <w:rFonts w:ascii="Traditional Arabic" w:hAnsi="Traditional Arabic"/>
          <w:b w:val="0"/>
        </w:rPr>
        <w:instrText>XE</w:instrText>
      </w:r>
      <w:r w:rsidR="00FF37C2" w:rsidRPr="00487E8E">
        <w:rPr>
          <w:rFonts w:ascii="Traditional Arabic" w:hAnsi="Traditional Arabic"/>
          <w:b w:val="0"/>
          <w:rtl/>
        </w:rPr>
        <w:instrText xml:space="preserve"> "المصلحة" </w:instrText>
      </w:r>
      <w:r w:rsidR="00FF37C2" w:rsidRPr="00487E8E">
        <w:rPr>
          <w:rFonts w:ascii="Traditional Arabic" w:hAnsi="Traditional Arabic"/>
          <w:b w:val="0"/>
          <w:rtl/>
          <w:lang w:val="fr-FR"/>
        </w:rPr>
        <w:instrText>\</w:instrText>
      </w:r>
      <w:r w:rsidR="00FF37C2" w:rsidRPr="00487E8E">
        <w:rPr>
          <w:rFonts w:ascii="Traditional Arabic" w:hAnsi="Traditional Arabic"/>
          <w:b w:val="0"/>
          <w:lang w:val="fr-FR"/>
        </w:rPr>
        <w:instrText>fm</w:instrText>
      </w:r>
      <w:r w:rsidR="00AB0B9E" w:rsidRPr="00487E8E">
        <w:rPr>
          <w:rFonts w:ascii="Traditional Arabic" w:hAnsi="Traditional Arabic"/>
          <w:b w:val="0"/>
        </w:rPr>
        <w:fldChar w:fldCharType="end"/>
      </w:r>
      <w:r w:rsidR="006750C3">
        <w:rPr>
          <w:rFonts w:hint="cs"/>
          <w:b w:val="0"/>
          <w:rtl/>
        </w:rPr>
        <w:t>لغة:</w:t>
      </w:r>
    </w:p>
    <w:p w:rsidR="006750C3" w:rsidRPr="006F0FCD" w:rsidRDefault="006759F1" w:rsidP="00B93718">
      <w:pPr>
        <w:pStyle w:val="a7"/>
        <w:ind w:left="-2" w:firstLine="709"/>
        <w:rPr>
          <w:rFonts w:ascii="Traditional Arabic" w:hAnsi="Traditional Arabic"/>
          <w:b/>
          <w:bCs/>
          <w:color w:val="auto"/>
          <w:sz w:val="36"/>
          <w:szCs w:val="36"/>
          <w:rtl/>
        </w:rPr>
      </w:pPr>
      <w:r>
        <w:rPr>
          <w:rFonts w:ascii="Traditional Arabic" w:hAnsi="Traditional Arabic" w:hint="cs"/>
          <w:color w:val="auto"/>
          <w:sz w:val="36"/>
          <w:szCs w:val="36"/>
          <w:rtl/>
        </w:rPr>
        <w:t>جمع مصلحة.</w:t>
      </w:r>
      <w:r w:rsidR="00C57222">
        <w:rPr>
          <w:rFonts w:ascii="Traditional Arabic" w:hAnsi="Traditional Arabic" w:hint="cs"/>
          <w:color w:val="auto"/>
          <w:sz w:val="36"/>
          <w:szCs w:val="36"/>
          <w:rtl/>
        </w:rPr>
        <w:t xml:space="preserve"> </w:t>
      </w:r>
      <w:r>
        <w:rPr>
          <w:rFonts w:ascii="Traditional Arabic" w:hAnsi="Traditional Arabic" w:hint="cs"/>
          <w:color w:val="auto"/>
          <w:sz w:val="36"/>
          <w:szCs w:val="36"/>
          <w:rtl/>
        </w:rPr>
        <w:t xml:space="preserve">يقول ابن فارس </w:t>
      </w:r>
      <w:r w:rsidR="000F2637">
        <w:rPr>
          <w:rFonts w:ascii="Traditional Arabic" w:hAnsi="Traditional Arabic" w:hint="cs"/>
          <w:color w:val="auto"/>
          <w:sz w:val="36"/>
          <w:szCs w:val="36"/>
          <w:rtl/>
        </w:rPr>
        <w:t>_</w:t>
      </w:r>
      <w:r w:rsidR="009A0575" w:rsidRPr="005D5694">
        <w:rPr>
          <w:rFonts w:ascii="Traditional Arabic" w:hAnsi="Traditional Arabic" w:cs="CTraditional Arabic" w:hint="cs"/>
          <w:szCs w:val="36"/>
          <w:rtl/>
        </w:rPr>
        <w:t>/</w:t>
      </w:r>
      <w:r w:rsidR="000F2637">
        <w:rPr>
          <w:rFonts w:ascii="Traditional Arabic" w:hAnsi="Traditional Arabic" w:hint="cs"/>
          <w:color w:val="auto"/>
          <w:sz w:val="36"/>
          <w:szCs w:val="36"/>
          <w:rtl/>
        </w:rPr>
        <w:t>_</w:t>
      </w:r>
      <w:r>
        <w:rPr>
          <w:rFonts w:ascii="Traditional Arabic" w:hAnsi="Traditional Arabic" w:hint="cs"/>
          <w:color w:val="auto"/>
          <w:sz w:val="36"/>
          <w:szCs w:val="36"/>
          <w:rtl/>
        </w:rPr>
        <w:t xml:space="preserve"> : (</w:t>
      </w:r>
      <w:r w:rsidRPr="006759F1">
        <w:rPr>
          <w:rFonts w:ascii="Traditional Arabic" w:hAnsi="Traditional Arabic"/>
          <w:sz w:val="36"/>
          <w:szCs w:val="36"/>
          <w:rtl/>
        </w:rPr>
        <w:t>والصاد واللام والحاء أصل واحد يدل على خ</w:t>
      </w:r>
      <w:r>
        <w:rPr>
          <w:rFonts w:ascii="Traditional Arabic" w:hAnsi="Traditional Arabic" w:hint="cs"/>
          <w:sz w:val="36"/>
          <w:szCs w:val="36"/>
          <w:rtl/>
        </w:rPr>
        <w:t>ِ</w:t>
      </w:r>
      <w:r w:rsidRPr="006759F1">
        <w:rPr>
          <w:rFonts w:ascii="Traditional Arabic" w:hAnsi="Traditional Arabic"/>
          <w:sz w:val="36"/>
          <w:szCs w:val="36"/>
          <w:rtl/>
        </w:rPr>
        <w:t>لاف الفساد</w:t>
      </w:r>
      <w:r>
        <w:rPr>
          <w:rFonts w:ascii="Traditional Arabic" w:hAnsi="Traditional Arabic" w:hint="cs"/>
          <w:sz w:val="36"/>
          <w:szCs w:val="36"/>
          <w:rtl/>
        </w:rPr>
        <w:t>)</w:t>
      </w:r>
      <w:r w:rsidRPr="00C821A1">
        <w:rPr>
          <w:rStyle w:val="af1"/>
          <w:szCs w:val="32"/>
          <w:rtl/>
        </w:rPr>
        <w:t>(</w:t>
      </w:r>
      <w:r w:rsidRPr="00C821A1">
        <w:rPr>
          <w:rStyle w:val="af1"/>
          <w:szCs w:val="32"/>
          <w:rtl/>
        </w:rPr>
        <w:footnoteReference w:id="234"/>
      </w:r>
      <w:r w:rsidRPr="00C821A1">
        <w:rPr>
          <w:rStyle w:val="af1"/>
          <w:szCs w:val="32"/>
          <w:rtl/>
        </w:rPr>
        <w:t>)</w:t>
      </w:r>
      <w:r>
        <w:rPr>
          <w:rFonts w:ascii="Traditional Arabic" w:hAnsi="Traditional Arabic" w:hint="cs"/>
          <w:sz w:val="36"/>
          <w:szCs w:val="36"/>
          <w:rtl/>
        </w:rPr>
        <w:t>.</w:t>
      </w:r>
    </w:p>
    <w:p w:rsidR="006759F1" w:rsidRPr="006759F1" w:rsidRDefault="003171F2" w:rsidP="00597C20">
      <w:pPr>
        <w:pStyle w:val="a7"/>
        <w:ind w:firstLine="253"/>
        <w:jc w:val="lowKashida"/>
        <w:rPr>
          <w:rFonts w:ascii="Traditional Arabic" w:hAnsi="Traditional Arabic"/>
          <w:color w:val="auto"/>
          <w:sz w:val="36"/>
          <w:szCs w:val="36"/>
          <w:rtl/>
        </w:rPr>
      </w:pPr>
      <w:r>
        <w:rPr>
          <w:rFonts w:ascii="Traditional Arabic" w:hAnsi="Traditional Arabic" w:hint="cs"/>
          <w:color w:val="auto"/>
          <w:sz w:val="36"/>
          <w:szCs w:val="36"/>
          <w:rtl/>
        </w:rPr>
        <w:t>فالمصلحة</w:t>
      </w:r>
      <w:r w:rsidR="006759F1">
        <w:rPr>
          <w:rFonts w:ascii="Traditional Arabic" w:hAnsi="Traditional Arabic" w:hint="cs"/>
          <w:color w:val="auto"/>
          <w:sz w:val="36"/>
          <w:szCs w:val="36"/>
          <w:rtl/>
        </w:rPr>
        <w:t xml:space="preserve"> ضدُّ المفسدة</w:t>
      </w:r>
      <w:r>
        <w:rPr>
          <w:rFonts w:ascii="Traditional Arabic" w:hAnsi="Traditional Arabic" w:hint="cs"/>
          <w:color w:val="auto"/>
          <w:sz w:val="36"/>
          <w:szCs w:val="36"/>
          <w:rtl/>
        </w:rPr>
        <w:t>،</w:t>
      </w:r>
      <w:r w:rsidR="006759F1">
        <w:rPr>
          <w:rFonts w:ascii="Traditional Arabic" w:hAnsi="Traditional Arabic" w:hint="cs"/>
          <w:color w:val="auto"/>
          <w:sz w:val="36"/>
          <w:szCs w:val="36"/>
          <w:rtl/>
        </w:rPr>
        <w:t xml:space="preserve"> وهي الم</w:t>
      </w:r>
      <w:r w:rsidR="00080CF2">
        <w:rPr>
          <w:rFonts w:ascii="Traditional Arabic" w:hAnsi="Traditional Arabic" w:hint="cs"/>
          <w:color w:val="auto"/>
          <w:sz w:val="36"/>
          <w:szCs w:val="36"/>
          <w:rtl/>
        </w:rPr>
        <w:t>َ</w:t>
      </w:r>
      <w:r w:rsidR="006759F1">
        <w:rPr>
          <w:rFonts w:ascii="Traditional Arabic" w:hAnsi="Traditional Arabic" w:hint="cs"/>
          <w:color w:val="auto"/>
          <w:sz w:val="36"/>
          <w:szCs w:val="36"/>
          <w:rtl/>
        </w:rPr>
        <w:t>ن</w:t>
      </w:r>
      <w:r w:rsidR="00080CF2">
        <w:rPr>
          <w:rFonts w:ascii="Traditional Arabic" w:hAnsi="Traditional Arabic" w:hint="cs"/>
          <w:color w:val="auto"/>
          <w:sz w:val="36"/>
          <w:szCs w:val="36"/>
          <w:rtl/>
        </w:rPr>
        <w:t>ْ</w:t>
      </w:r>
      <w:r w:rsidR="006759F1">
        <w:rPr>
          <w:rFonts w:ascii="Traditional Arabic" w:hAnsi="Traditional Arabic" w:hint="cs"/>
          <w:color w:val="auto"/>
          <w:sz w:val="36"/>
          <w:szCs w:val="36"/>
          <w:rtl/>
        </w:rPr>
        <w:t>فعة</w:t>
      </w:r>
      <w:r w:rsidR="006759F1" w:rsidRPr="00C821A1">
        <w:rPr>
          <w:rStyle w:val="af1"/>
          <w:szCs w:val="32"/>
          <w:rtl/>
        </w:rPr>
        <w:t>(</w:t>
      </w:r>
      <w:r w:rsidR="006759F1" w:rsidRPr="00C821A1">
        <w:rPr>
          <w:rStyle w:val="af1"/>
          <w:szCs w:val="32"/>
          <w:rtl/>
        </w:rPr>
        <w:footnoteReference w:id="235"/>
      </w:r>
      <w:r w:rsidR="006759F1" w:rsidRPr="00C821A1">
        <w:rPr>
          <w:rStyle w:val="af1"/>
          <w:szCs w:val="32"/>
          <w:rtl/>
        </w:rPr>
        <w:t>)</w:t>
      </w:r>
      <w:r w:rsidR="006759F1">
        <w:rPr>
          <w:rFonts w:ascii="Traditional Arabic" w:hAnsi="Traditional Arabic" w:hint="cs"/>
          <w:color w:val="auto"/>
          <w:sz w:val="36"/>
          <w:szCs w:val="36"/>
          <w:rtl/>
        </w:rPr>
        <w:t>.</w:t>
      </w:r>
    </w:p>
    <w:p w:rsidR="005023CD" w:rsidRDefault="006750C3" w:rsidP="00597C20">
      <w:pPr>
        <w:pStyle w:val="53"/>
        <w:rPr>
          <w:noProof w:val="0"/>
          <w:rtl/>
        </w:rPr>
      </w:pPr>
      <w:r w:rsidRPr="001851F0">
        <w:rPr>
          <w:rFonts w:hint="cs"/>
          <w:rtl/>
        </w:rPr>
        <w:t>المصلحة</w:t>
      </w:r>
      <w:r w:rsidR="000606DE">
        <w:rPr>
          <w:rFonts w:hint="cs"/>
          <w:rtl/>
        </w:rPr>
        <w:t xml:space="preserve"> </w:t>
      </w:r>
      <w:r w:rsidRPr="001851F0">
        <w:rPr>
          <w:rFonts w:hint="cs"/>
          <w:rtl/>
        </w:rPr>
        <w:t>اصطلاحا</w:t>
      </w:r>
      <w:r>
        <w:rPr>
          <w:rFonts w:hint="cs"/>
          <w:rtl/>
        </w:rPr>
        <w:t>:</w:t>
      </w:r>
    </w:p>
    <w:p w:rsidR="006750C3" w:rsidRPr="000B5C2D" w:rsidRDefault="00367F16" w:rsidP="00597C20">
      <w:pPr>
        <w:pStyle w:val="a7"/>
        <w:ind w:left="-2" w:firstLine="709"/>
        <w:rPr>
          <w:rFonts w:ascii="Traditional Arabic" w:hAnsi="Traditional Arabic"/>
          <w:color w:val="auto"/>
          <w:sz w:val="36"/>
          <w:szCs w:val="36"/>
          <w:rtl/>
        </w:rPr>
      </w:pPr>
      <w:r w:rsidRPr="000B5C2D">
        <w:rPr>
          <w:rFonts w:ascii="Traditional Arabic" w:hAnsi="Traditional Arabic"/>
          <w:color w:val="auto"/>
          <w:sz w:val="36"/>
          <w:szCs w:val="36"/>
          <w:rtl/>
        </w:rPr>
        <w:t>المحافظة على</w:t>
      </w:r>
      <w:r w:rsidRPr="000B5C2D">
        <w:rPr>
          <w:rFonts w:ascii="Traditional Arabic" w:hAnsi="Traditional Arabic" w:hint="cs"/>
          <w:color w:val="auto"/>
          <w:sz w:val="36"/>
          <w:szCs w:val="36"/>
          <w:rtl/>
        </w:rPr>
        <w:t xml:space="preserve"> مقصود الشرع.</w:t>
      </w:r>
      <w:r w:rsidRPr="000B5C2D">
        <w:rPr>
          <w:rFonts w:ascii="Traditional Arabic" w:hAnsi="Traditional Arabic"/>
          <w:color w:val="auto"/>
          <w:sz w:val="36"/>
          <w:szCs w:val="36"/>
          <w:rtl/>
        </w:rPr>
        <w:t>ومقصود الشرع من الخلق خمسة</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 xml:space="preserve"> وهو أن يحفظ عليهم دين</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هم ون</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ف</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سهم وع</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ق</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لهم ون</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س</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لهم ومال</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هم</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 xml:space="preserve"> فكل ما يتضم</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ن ح</w:t>
      </w:r>
      <w:r w:rsidRPr="000B5C2D">
        <w:rPr>
          <w:rFonts w:ascii="Traditional Arabic" w:hAnsi="Traditional Arabic" w:hint="cs"/>
          <w:color w:val="auto"/>
          <w:sz w:val="36"/>
          <w:szCs w:val="36"/>
          <w:rtl/>
        </w:rPr>
        <w:t>ِ</w:t>
      </w:r>
      <w:r w:rsidRPr="000B5C2D">
        <w:rPr>
          <w:rFonts w:ascii="Traditional Arabic" w:hAnsi="Traditional Arabic"/>
          <w:color w:val="auto"/>
          <w:sz w:val="36"/>
          <w:szCs w:val="36"/>
          <w:rtl/>
        </w:rPr>
        <w:t>فظ هذه الأصول الخمسة فهو مصلحة</w:t>
      </w:r>
      <w:r w:rsidRPr="00C821A1">
        <w:rPr>
          <w:rFonts w:ascii="Traditional Arabic" w:hAnsi="Traditional Arabic"/>
          <w:color w:val="auto"/>
          <w:szCs w:val="32"/>
          <w:vertAlign w:val="superscript"/>
          <w:rtl/>
        </w:rPr>
        <w:t>(</w:t>
      </w:r>
      <w:r w:rsidRPr="00C821A1">
        <w:rPr>
          <w:rFonts w:ascii="Traditional Arabic" w:hAnsi="Traditional Arabic"/>
          <w:color w:val="auto"/>
          <w:szCs w:val="32"/>
          <w:vertAlign w:val="superscript"/>
          <w:rtl/>
        </w:rPr>
        <w:footnoteReference w:id="236"/>
      </w:r>
      <w:r w:rsidRPr="00C821A1">
        <w:rPr>
          <w:rFonts w:ascii="Traditional Arabic" w:hAnsi="Traditional Arabic"/>
          <w:color w:val="auto"/>
          <w:szCs w:val="32"/>
          <w:vertAlign w:val="superscript"/>
          <w:rtl/>
        </w:rPr>
        <w:t>)</w:t>
      </w:r>
      <w:r w:rsidRPr="000B5C2D">
        <w:rPr>
          <w:rFonts w:ascii="Traditional Arabic" w:hAnsi="Traditional Arabic" w:hint="cs"/>
          <w:color w:val="auto"/>
          <w:sz w:val="36"/>
          <w:szCs w:val="36"/>
          <w:rtl/>
        </w:rPr>
        <w:t>.</w:t>
      </w:r>
    </w:p>
    <w:p w:rsidR="001851F0" w:rsidRDefault="00367F16" w:rsidP="00597C20">
      <w:pPr>
        <w:pStyle w:val="53"/>
        <w:rPr>
          <w:b w:val="0"/>
          <w:noProof w:val="0"/>
          <w:rtl/>
        </w:rPr>
      </w:pPr>
      <w:r>
        <w:rPr>
          <w:rFonts w:hint="cs"/>
          <w:b w:val="0"/>
          <w:noProof w:val="0"/>
          <w:rtl/>
        </w:rPr>
        <w:t>المفاسد</w:t>
      </w:r>
      <w:r w:rsidR="00AB0B9E">
        <w:rPr>
          <w:b w:val="0"/>
          <w:rtl/>
        </w:rPr>
        <w:fldChar w:fldCharType="begin"/>
      </w:r>
      <w:r w:rsidR="00FF37C2" w:rsidRPr="00531753">
        <w:rPr>
          <w:bCs w:val="0"/>
        </w:rPr>
        <w:instrText>XE</w:instrText>
      </w:r>
      <w:r w:rsidR="00FF37C2" w:rsidRPr="00531753">
        <w:rPr>
          <w:bCs w:val="0"/>
          <w:rtl/>
        </w:rPr>
        <w:instrText xml:space="preserve"> "</w:instrText>
      </w:r>
      <w:r w:rsidR="00FF37C2" w:rsidRPr="00531753">
        <w:rPr>
          <w:rFonts w:hint="cs"/>
          <w:bCs w:val="0"/>
          <w:rtl/>
        </w:rPr>
        <w:instrText xml:space="preserve"> المفسدة</w:instrText>
      </w:r>
      <w:r w:rsidR="00FF37C2" w:rsidRPr="00531753">
        <w:rPr>
          <w:bCs w:val="0"/>
          <w:rtl/>
        </w:rPr>
        <w:instrText xml:space="preserve"> " </w:instrText>
      </w:r>
      <w:r w:rsidR="00FF37C2" w:rsidRPr="00531753">
        <w:rPr>
          <w:bCs w:val="0"/>
          <w:rtl/>
          <w:lang w:val="fr-FR"/>
        </w:rPr>
        <w:instrText>\</w:instrText>
      </w:r>
      <w:r w:rsidR="00FF37C2" w:rsidRPr="00531753">
        <w:rPr>
          <w:bCs w:val="0"/>
          <w:lang w:val="fr-FR"/>
        </w:rPr>
        <w:instrText>fm</w:instrText>
      </w:r>
      <w:r w:rsidR="00AB0B9E">
        <w:rPr>
          <w:b w:val="0"/>
          <w:rtl/>
        </w:rPr>
        <w:fldChar w:fldCharType="end"/>
      </w:r>
      <w:r>
        <w:rPr>
          <w:rFonts w:hint="cs"/>
          <w:b w:val="0"/>
          <w:noProof w:val="0"/>
          <w:rtl/>
        </w:rPr>
        <w:t xml:space="preserve"> لغة:</w:t>
      </w:r>
    </w:p>
    <w:p w:rsidR="00F228A9" w:rsidRDefault="00367F16" w:rsidP="00597C20">
      <w:pPr>
        <w:widowControl/>
        <w:autoSpaceDE w:val="0"/>
        <w:autoSpaceDN w:val="0"/>
        <w:adjustRightInd w:val="0"/>
        <w:ind w:firstLine="72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جمع مَفْسَدة، وهي ضدُّ المصلحة</w:t>
      </w:r>
      <w:r w:rsidRPr="00C821A1">
        <w:rPr>
          <w:rStyle w:val="af1"/>
          <w:szCs w:val="32"/>
          <w:rtl/>
        </w:rPr>
        <w:t>(</w:t>
      </w:r>
      <w:r w:rsidRPr="00C821A1">
        <w:rPr>
          <w:rStyle w:val="af1"/>
          <w:szCs w:val="32"/>
          <w:rtl/>
        </w:rPr>
        <w:footnoteReference w:id="237"/>
      </w:r>
      <w:r w:rsidRPr="00C821A1">
        <w:rPr>
          <w:rStyle w:val="af1"/>
          <w:szCs w:val="32"/>
          <w:rtl/>
        </w:rPr>
        <w:t>)</w:t>
      </w:r>
      <w:r>
        <w:rPr>
          <w:rFonts w:ascii="Traditional Arabic" w:hAnsi="Traditional Arabic" w:hint="cs"/>
          <w:noProof w:val="0"/>
          <w:color w:val="auto"/>
          <w:rtl/>
          <w:lang w:eastAsia="en-US"/>
        </w:rPr>
        <w:t>، وهي المضرَّة</w:t>
      </w:r>
      <w:r w:rsidRPr="00C821A1">
        <w:rPr>
          <w:rStyle w:val="af1"/>
          <w:szCs w:val="32"/>
          <w:rtl/>
        </w:rPr>
        <w:t>(</w:t>
      </w:r>
      <w:r w:rsidRPr="00C821A1">
        <w:rPr>
          <w:rStyle w:val="af1"/>
          <w:szCs w:val="32"/>
          <w:rtl/>
        </w:rPr>
        <w:footnoteReference w:id="238"/>
      </w:r>
      <w:r w:rsidRPr="00C821A1">
        <w:rPr>
          <w:rStyle w:val="af1"/>
          <w:szCs w:val="32"/>
          <w:rtl/>
        </w:rPr>
        <w:t>)</w:t>
      </w:r>
      <w:r>
        <w:rPr>
          <w:rFonts w:ascii="Traditional Arabic" w:hAnsi="Traditional Arabic" w:hint="cs"/>
          <w:noProof w:val="0"/>
          <w:color w:val="auto"/>
          <w:rtl/>
          <w:lang w:eastAsia="en-US"/>
        </w:rPr>
        <w:t>.</w:t>
      </w:r>
    </w:p>
    <w:p w:rsidR="001851F0" w:rsidRDefault="00367F16" w:rsidP="00597C20">
      <w:pPr>
        <w:pStyle w:val="53"/>
        <w:rPr>
          <w:rtl/>
        </w:rPr>
      </w:pPr>
      <w:r w:rsidRPr="00080CF2">
        <w:rPr>
          <w:rFonts w:hint="cs"/>
          <w:rtl/>
        </w:rPr>
        <w:t>المفسدة اصطلاحا:</w:t>
      </w:r>
    </w:p>
    <w:p w:rsidR="00367F16" w:rsidRPr="00F338C3" w:rsidRDefault="00367F16" w:rsidP="00597C20">
      <w:pPr>
        <w:widowControl/>
        <w:autoSpaceDE w:val="0"/>
        <w:autoSpaceDN w:val="0"/>
        <w:adjustRightInd w:val="0"/>
        <w:ind w:firstLine="720"/>
        <w:rPr>
          <w:rFonts w:ascii="Traditional Arabic" w:hAnsi="Traditional Arabic"/>
          <w:color w:val="auto"/>
          <w:rtl/>
        </w:rPr>
      </w:pPr>
      <w:r>
        <w:rPr>
          <w:rFonts w:ascii="Traditional Arabic" w:hAnsi="Traditional Arabic" w:hint="cs"/>
          <w:color w:val="auto"/>
          <w:rtl/>
        </w:rPr>
        <w:t>كل ما يفوِّت الأصول الخمسة: الدين، والنفس، والعقل، والنَّسْل، والمال</w:t>
      </w:r>
      <w:r w:rsidRPr="00C821A1">
        <w:rPr>
          <w:rStyle w:val="af1"/>
          <w:szCs w:val="32"/>
          <w:rtl/>
        </w:rPr>
        <w:t>(</w:t>
      </w:r>
      <w:r w:rsidRPr="00C821A1">
        <w:rPr>
          <w:rStyle w:val="af1"/>
          <w:szCs w:val="32"/>
          <w:rtl/>
        </w:rPr>
        <w:footnoteReference w:id="239"/>
      </w:r>
      <w:r w:rsidRPr="00C821A1">
        <w:rPr>
          <w:rStyle w:val="af1"/>
          <w:szCs w:val="32"/>
          <w:rtl/>
        </w:rPr>
        <w:t>)</w:t>
      </w:r>
      <w:r>
        <w:rPr>
          <w:rFonts w:ascii="Traditional Arabic" w:hAnsi="Traditional Arabic" w:hint="cs"/>
          <w:color w:val="auto"/>
          <w:rtl/>
        </w:rPr>
        <w:t>.</w:t>
      </w:r>
    </w:p>
    <w:p w:rsidR="00367F16" w:rsidRPr="001851F0" w:rsidRDefault="000918A2" w:rsidP="00597C20">
      <w:pPr>
        <w:pStyle w:val="53"/>
        <w:rPr>
          <w:rtl/>
        </w:rPr>
      </w:pPr>
      <w:r w:rsidRPr="001851F0">
        <w:rPr>
          <w:rFonts w:hint="cs"/>
          <w:rtl/>
        </w:rPr>
        <w:lastRenderedPageBreak/>
        <w:t>معنى القاعدة إجمالا:</w:t>
      </w:r>
    </w:p>
    <w:p w:rsidR="00F478D9" w:rsidRDefault="00442386"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القاعدة في الشريعة الإسلامية أنها جاءت </w:t>
      </w:r>
      <w:r w:rsidR="005F7DCE">
        <w:rPr>
          <w:rFonts w:ascii="Traditional Arabic" w:hAnsi="Traditional Arabic" w:hint="cs"/>
          <w:noProof w:val="0"/>
          <w:color w:val="auto"/>
          <w:rtl/>
          <w:lang w:eastAsia="en-US"/>
        </w:rPr>
        <w:t>لسعادة البشر، ولانتفاء الشر</w:t>
      </w:r>
      <w:r>
        <w:rPr>
          <w:rFonts w:ascii="Traditional Arabic" w:hAnsi="Traditional Arabic" w:hint="cs"/>
          <w:noProof w:val="0"/>
          <w:color w:val="auto"/>
          <w:rtl/>
          <w:lang w:eastAsia="en-US"/>
        </w:rPr>
        <w:t xml:space="preserve"> والضرر </w:t>
      </w:r>
      <w:r w:rsidR="005F7DCE">
        <w:rPr>
          <w:rFonts w:ascii="Traditional Arabic" w:hAnsi="Traditional Arabic" w:hint="cs"/>
          <w:noProof w:val="0"/>
          <w:color w:val="auto"/>
          <w:rtl/>
          <w:lang w:eastAsia="en-US"/>
        </w:rPr>
        <w:t xml:space="preserve">عنهم </w:t>
      </w:r>
      <w:r w:rsidR="006A60E0">
        <w:rPr>
          <w:rFonts w:ascii="Traditional Arabic" w:hAnsi="Traditional Arabic" w:hint="cs"/>
          <w:noProof w:val="0"/>
          <w:color w:val="auto"/>
          <w:rtl/>
          <w:lang w:eastAsia="en-US"/>
        </w:rPr>
        <w:t xml:space="preserve">في الدنيا والآخرة، </w:t>
      </w:r>
      <w:r>
        <w:rPr>
          <w:rFonts w:ascii="Traditional Arabic" w:hAnsi="Traditional Arabic" w:hint="cs"/>
          <w:noProof w:val="0"/>
          <w:color w:val="auto"/>
          <w:rtl/>
          <w:lang w:eastAsia="en-US"/>
        </w:rPr>
        <w:t xml:space="preserve">وهذان هما الأمران اللذان تدور عليهما شريعة النبي </w:t>
      </w:r>
      <w:r w:rsidR="00F350DE">
        <w:rPr>
          <w:rFonts w:ascii="Traditional Arabic" w:hAnsi="Traditional Arabic"/>
          <w:noProof w:val="0"/>
          <w:color w:val="auto"/>
          <w:rtl/>
          <w:lang w:eastAsia="en-US"/>
        </w:rPr>
        <w:sym w:font="AGA Arabesque" w:char="F072"/>
      </w:r>
      <w:r w:rsidR="009127F2">
        <w:rPr>
          <w:rFonts w:ascii="Traditional Arabic" w:hAnsi="Traditional Arabic" w:hint="cs"/>
          <w:noProof w:val="0"/>
          <w:color w:val="auto"/>
          <w:rtl/>
          <w:lang w:eastAsia="en-US"/>
        </w:rPr>
        <w:t>: تحصيل المصالح وتكميلها</w:t>
      </w:r>
      <w:r>
        <w:rPr>
          <w:rFonts w:ascii="Traditional Arabic" w:hAnsi="Traditional Arabic" w:hint="cs"/>
          <w:noProof w:val="0"/>
          <w:color w:val="auto"/>
          <w:rtl/>
          <w:lang w:eastAsia="en-US"/>
        </w:rPr>
        <w:t>، وتقليل المفاسد أو إعدامها</w:t>
      </w:r>
      <w:r w:rsidR="006A60E0">
        <w:rPr>
          <w:rFonts w:ascii="Traditional Arabic" w:hAnsi="Traditional Arabic" w:hint="cs"/>
          <w:noProof w:val="0"/>
          <w:color w:val="auto"/>
          <w:rtl/>
          <w:lang w:eastAsia="en-US"/>
        </w:rPr>
        <w:t xml:space="preserve"> بحسب الإمكان، فهي</w:t>
      </w:r>
      <w:r w:rsidR="003701B0">
        <w:rPr>
          <w:rFonts w:ascii="Traditional Arabic" w:hAnsi="Traditional Arabic" w:hint="cs"/>
          <w:noProof w:val="0"/>
          <w:color w:val="auto"/>
          <w:rtl/>
          <w:lang w:eastAsia="en-US"/>
        </w:rPr>
        <w:t xml:space="preserve"> قاعدة متفق عليها،</w:t>
      </w:r>
      <w:r w:rsidR="000F2637">
        <w:rPr>
          <w:rFonts w:ascii="Traditional Arabic" w:hAnsi="Traditional Arabic" w:hint="cs"/>
          <w:noProof w:val="0"/>
          <w:color w:val="auto"/>
          <w:rtl/>
          <w:lang w:eastAsia="en-US"/>
        </w:rPr>
        <w:t xml:space="preserve"> </w:t>
      </w:r>
      <w:r w:rsidR="003701B0">
        <w:rPr>
          <w:rFonts w:ascii="Traditional Arabic" w:hAnsi="Traditional Arabic" w:hint="cs"/>
          <w:noProof w:val="0"/>
          <w:color w:val="auto"/>
          <w:rtl/>
          <w:lang w:eastAsia="en-US"/>
        </w:rPr>
        <w:t>و</w:t>
      </w:r>
      <w:r w:rsidR="00D06346">
        <w:rPr>
          <w:rFonts w:ascii="Traditional Arabic" w:hAnsi="Traditional Arabic" w:hint="cs"/>
          <w:noProof w:val="0"/>
          <w:color w:val="auto"/>
          <w:rtl/>
          <w:lang w:eastAsia="en-US"/>
        </w:rPr>
        <w:t>أصل من أصول الإسلام</w:t>
      </w:r>
      <w:r w:rsidR="003701B0">
        <w:rPr>
          <w:rFonts w:ascii="Traditional Arabic" w:hAnsi="Traditional Arabic" w:hint="cs"/>
          <w:noProof w:val="0"/>
          <w:color w:val="auto"/>
          <w:rtl/>
          <w:lang w:eastAsia="en-US"/>
        </w:rPr>
        <w:t>،</w:t>
      </w:r>
      <w:r w:rsidR="00D06346">
        <w:rPr>
          <w:rFonts w:ascii="Traditional Arabic" w:hAnsi="Traditional Arabic" w:hint="cs"/>
          <w:noProof w:val="0"/>
          <w:color w:val="auto"/>
          <w:rtl/>
          <w:lang w:eastAsia="en-US"/>
        </w:rPr>
        <w:t xml:space="preserve"> أنه جاء لجلب المصالح ودرء المفاسد</w:t>
      </w:r>
      <w:r w:rsidR="006A60E0">
        <w:rPr>
          <w:rFonts w:ascii="Traditional Arabic" w:hAnsi="Traditional Arabic" w:hint="cs"/>
          <w:noProof w:val="0"/>
          <w:color w:val="auto"/>
          <w:rtl/>
          <w:lang w:eastAsia="en-US"/>
        </w:rPr>
        <w:t>.</w:t>
      </w:r>
    </w:p>
    <w:p w:rsidR="00065E4B" w:rsidRPr="000918A2" w:rsidRDefault="00442386"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والمرجع في تحقيق المصالح والمفاسد إلى الشرع، الكتاب والسنة، لا إلى الذ</w:t>
      </w:r>
      <w:r w:rsidR="007C7D58">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وق، </w:t>
      </w:r>
      <w:r w:rsidR="00D06346">
        <w:rPr>
          <w:rFonts w:ascii="Traditional Arabic" w:hAnsi="Traditional Arabic" w:hint="cs"/>
          <w:noProof w:val="0"/>
          <w:color w:val="auto"/>
          <w:rtl/>
          <w:lang w:eastAsia="en-US"/>
        </w:rPr>
        <w:t>ولا إلى الرأي، ولا إلى الخيال</w:t>
      </w:r>
      <w:r w:rsidR="00752F8E" w:rsidRPr="00C821A1">
        <w:rPr>
          <w:rStyle w:val="af1"/>
          <w:szCs w:val="32"/>
          <w:rtl/>
        </w:rPr>
        <w:t>(</w:t>
      </w:r>
      <w:r w:rsidR="00752F8E" w:rsidRPr="00C821A1">
        <w:rPr>
          <w:rStyle w:val="af1"/>
          <w:szCs w:val="32"/>
          <w:rtl/>
        </w:rPr>
        <w:footnoteReference w:id="240"/>
      </w:r>
      <w:r w:rsidR="00752F8E" w:rsidRPr="00C821A1">
        <w:rPr>
          <w:rStyle w:val="af1"/>
          <w:szCs w:val="32"/>
          <w:rtl/>
        </w:rPr>
        <w:t>)</w:t>
      </w:r>
      <w:r w:rsidR="00D06346">
        <w:rPr>
          <w:rFonts w:ascii="Traditional Arabic" w:hAnsi="Traditional Arabic" w:hint="cs"/>
          <w:noProof w:val="0"/>
          <w:color w:val="auto"/>
          <w:rtl/>
          <w:lang w:eastAsia="en-US"/>
        </w:rPr>
        <w:t>، فك</w:t>
      </w:r>
      <w:r>
        <w:rPr>
          <w:rFonts w:ascii="Traditional Arabic" w:hAnsi="Traditional Arabic" w:hint="cs"/>
          <w:noProof w:val="0"/>
          <w:color w:val="auto"/>
          <w:rtl/>
          <w:lang w:eastAsia="en-US"/>
        </w:rPr>
        <w:t xml:space="preserve">ل </w:t>
      </w:r>
      <w:r w:rsidR="00D06346">
        <w:rPr>
          <w:rFonts w:ascii="Traditional Arabic" w:hAnsi="Traditional Arabic" w:hint="cs"/>
          <w:noProof w:val="0"/>
          <w:color w:val="auto"/>
          <w:rtl/>
          <w:lang w:eastAsia="en-US"/>
        </w:rPr>
        <w:t>ما أمر الشرع به فهو مصلح</w:t>
      </w:r>
      <w:r>
        <w:rPr>
          <w:rFonts w:ascii="Traditional Arabic" w:hAnsi="Traditional Arabic" w:hint="cs"/>
          <w:noProof w:val="0"/>
          <w:color w:val="auto"/>
          <w:rtl/>
          <w:lang w:eastAsia="en-US"/>
        </w:rPr>
        <w:t>ة</w:t>
      </w:r>
      <w:r w:rsidR="00D06346">
        <w:rPr>
          <w:rFonts w:ascii="Traditional Arabic" w:hAnsi="Traditional Arabic" w:hint="cs"/>
          <w:noProof w:val="0"/>
          <w:color w:val="auto"/>
          <w:rtl/>
          <w:lang w:eastAsia="en-US"/>
        </w:rPr>
        <w:t xml:space="preserve"> خالصة أو راجحة</w:t>
      </w:r>
      <w:r>
        <w:rPr>
          <w:rFonts w:ascii="Traditional Arabic" w:hAnsi="Traditional Arabic" w:hint="cs"/>
          <w:noProof w:val="0"/>
          <w:color w:val="auto"/>
          <w:rtl/>
          <w:lang w:eastAsia="en-US"/>
        </w:rPr>
        <w:t xml:space="preserve">، وكل ما </w:t>
      </w:r>
      <w:r w:rsidR="00D06346">
        <w:rPr>
          <w:rFonts w:ascii="Traditional Arabic" w:hAnsi="Traditional Arabic" w:hint="cs"/>
          <w:noProof w:val="0"/>
          <w:color w:val="auto"/>
          <w:rtl/>
          <w:lang w:eastAsia="en-US"/>
        </w:rPr>
        <w:t>نهى عنه فهو مفسدة خالصة أو راجحة</w:t>
      </w:r>
      <w:r w:rsidR="005F7DCE" w:rsidRPr="00C821A1">
        <w:rPr>
          <w:rStyle w:val="af1"/>
          <w:szCs w:val="32"/>
          <w:rtl/>
        </w:rPr>
        <w:t>(</w:t>
      </w:r>
      <w:r w:rsidR="005F7DCE" w:rsidRPr="00C821A1">
        <w:rPr>
          <w:rStyle w:val="af1"/>
          <w:szCs w:val="32"/>
          <w:rtl/>
        </w:rPr>
        <w:footnoteReference w:id="241"/>
      </w:r>
      <w:r w:rsidR="005F7DCE" w:rsidRPr="00C821A1">
        <w:rPr>
          <w:rStyle w:val="af1"/>
          <w:szCs w:val="32"/>
          <w:rtl/>
        </w:rPr>
        <w:t>)</w:t>
      </w:r>
      <w:r w:rsidR="00D06346">
        <w:rPr>
          <w:rFonts w:ascii="Traditional Arabic" w:hAnsi="Traditional Arabic" w:hint="cs"/>
          <w:noProof w:val="0"/>
          <w:color w:val="auto"/>
          <w:rtl/>
          <w:lang w:eastAsia="en-US"/>
        </w:rPr>
        <w:t>.</w:t>
      </w:r>
    </w:p>
    <w:p w:rsidR="00F228A9" w:rsidRDefault="008F36CC" w:rsidP="003616DF">
      <w:pPr>
        <w:widowControl/>
        <w:autoSpaceDE w:val="0"/>
        <w:autoSpaceDN w:val="0"/>
        <w:adjustRightInd w:val="0"/>
        <w:ind w:firstLine="0"/>
        <w:rPr>
          <w:rFonts w:ascii="Traditional Arabic" w:hAnsi="Traditional Arabic"/>
          <w:b/>
          <w:bCs/>
          <w:noProof w:val="0"/>
          <w:color w:val="auto"/>
          <w:rtl/>
          <w:lang w:eastAsia="en-US"/>
        </w:rPr>
      </w:pPr>
      <w:r>
        <w:rPr>
          <w:rFonts w:ascii="Traditional Arabic" w:hAnsi="Traditional Arabic" w:hint="cs"/>
          <w:noProof w:val="0"/>
          <w:color w:val="auto"/>
          <w:rtl/>
          <w:lang w:eastAsia="en-US"/>
        </w:rPr>
        <w:t xml:space="preserve">    </w:t>
      </w:r>
      <w:r w:rsidR="003616DF">
        <w:rPr>
          <w:rFonts w:ascii="Traditional Arabic" w:hAnsi="Traditional Arabic" w:hint="cs"/>
          <w:noProof w:val="0"/>
          <w:color w:val="auto"/>
          <w:rtl/>
          <w:lang w:eastAsia="en-US"/>
        </w:rPr>
        <w:t xml:space="preserve"> ف</w:t>
      </w:r>
      <w:r w:rsidR="0055729C">
        <w:rPr>
          <w:rFonts w:ascii="Traditional Arabic" w:hAnsi="Traditional Arabic" w:hint="cs"/>
          <w:noProof w:val="0"/>
          <w:color w:val="auto"/>
          <w:rtl/>
          <w:lang w:eastAsia="en-US"/>
        </w:rPr>
        <w:t xml:space="preserve">كل ما تضمن مصلحة، ولم يكن فيه محذور </w:t>
      </w:r>
      <w:r w:rsidR="003B3E89">
        <w:rPr>
          <w:rFonts w:ascii="Traditional Arabic" w:hAnsi="Traditional Arabic" w:hint="cs"/>
          <w:noProof w:val="0"/>
          <w:color w:val="auto"/>
          <w:rtl/>
          <w:lang w:eastAsia="en-US"/>
        </w:rPr>
        <w:t>شرعي، فإن الشريعة لا تأتي بمنعه؛</w:t>
      </w:r>
      <w:r w:rsidR="0055729C">
        <w:rPr>
          <w:rFonts w:ascii="Traditional Arabic" w:hAnsi="Traditional Arabic" w:hint="cs"/>
          <w:noProof w:val="0"/>
          <w:color w:val="auto"/>
          <w:rtl/>
          <w:lang w:eastAsia="en-US"/>
        </w:rPr>
        <w:t xml:space="preserve"> لاشتمالها على المصالح</w:t>
      </w:r>
      <w:r>
        <w:rPr>
          <w:rFonts w:ascii="Traditional Arabic" w:hAnsi="Traditional Arabic" w:hint="cs"/>
          <w:noProof w:val="0"/>
          <w:color w:val="auto"/>
          <w:rtl/>
          <w:lang w:eastAsia="en-US"/>
        </w:rPr>
        <w:t>،</w:t>
      </w:r>
      <w:r w:rsidR="0055729C">
        <w:rPr>
          <w:rFonts w:ascii="Traditional Arabic" w:hAnsi="Traditional Arabic" w:hint="cs"/>
          <w:noProof w:val="0"/>
          <w:color w:val="auto"/>
          <w:rtl/>
          <w:lang w:eastAsia="en-US"/>
        </w:rPr>
        <w:t xml:space="preserve"> والب</w:t>
      </w:r>
      <w:r w:rsidR="009956F8">
        <w:rPr>
          <w:rFonts w:ascii="Traditional Arabic" w:hAnsi="Traditional Arabic" w:hint="cs"/>
          <w:noProof w:val="0"/>
          <w:color w:val="auto"/>
          <w:rtl/>
          <w:lang w:eastAsia="en-US"/>
        </w:rPr>
        <w:t>ُ</w:t>
      </w:r>
      <w:r w:rsidR="0055729C">
        <w:rPr>
          <w:rFonts w:ascii="Traditional Arabic" w:hAnsi="Traditional Arabic" w:hint="cs"/>
          <w:noProof w:val="0"/>
          <w:color w:val="auto"/>
          <w:rtl/>
          <w:lang w:eastAsia="en-US"/>
        </w:rPr>
        <w:t xml:space="preserve">عد عن المفاسد وعما فيه حرج </w:t>
      </w:r>
      <w:r w:rsidR="00844DA0">
        <w:rPr>
          <w:rFonts w:ascii="Traditional Arabic" w:hAnsi="Traditional Arabic" w:hint="cs"/>
          <w:noProof w:val="0"/>
          <w:color w:val="auto"/>
          <w:rtl/>
          <w:lang w:eastAsia="en-US"/>
        </w:rPr>
        <w:t>و</w:t>
      </w:r>
      <w:r w:rsidR="0055729C">
        <w:rPr>
          <w:rFonts w:ascii="Traditional Arabic" w:hAnsi="Traditional Arabic" w:hint="cs"/>
          <w:noProof w:val="0"/>
          <w:color w:val="auto"/>
          <w:rtl/>
          <w:lang w:eastAsia="en-US"/>
        </w:rPr>
        <w:t>تضييق)</w:t>
      </w:r>
      <w:r w:rsidR="0055729C" w:rsidRPr="00C821A1">
        <w:rPr>
          <w:rStyle w:val="af1"/>
          <w:szCs w:val="32"/>
          <w:rtl/>
        </w:rPr>
        <w:t>(</w:t>
      </w:r>
      <w:r w:rsidR="0055729C" w:rsidRPr="00C821A1">
        <w:rPr>
          <w:rStyle w:val="af1"/>
          <w:szCs w:val="32"/>
          <w:rtl/>
        </w:rPr>
        <w:footnoteReference w:id="242"/>
      </w:r>
      <w:r w:rsidR="0055729C" w:rsidRPr="00C821A1">
        <w:rPr>
          <w:rStyle w:val="af1"/>
          <w:szCs w:val="32"/>
          <w:rtl/>
        </w:rPr>
        <w:t>)</w:t>
      </w:r>
      <w:r w:rsidR="0055729C">
        <w:rPr>
          <w:rFonts w:ascii="Traditional Arabic" w:hAnsi="Traditional Arabic" w:hint="cs"/>
          <w:noProof w:val="0"/>
          <w:color w:val="auto"/>
          <w:rtl/>
          <w:lang w:eastAsia="en-US"/>
        </w:rPr>
        <w:t>؛ ولهذا (</w:t>
      </w:r>
      <w:r w:rsidR="00844DA0">
        <w:rPr>
          <w:rFonts w:ascii="Traditional Arabic" w:hAnsi="Traditional Arabic" w:hint="cs"/>
          <w:noProof w:val="0"/>
          <w:color w:val="auto"/>
          <w:rtl/>
          <w:lang w:eastAsia="en-US"/>
        </w:rPr>
        <w:t>لم يحرِّم الله عقدا</w:t>
      </w:r>
      <w:r w:rsidR="00F23297">
        <w:rPr>
          <w:rFonts w:ascii="Traditional Arabic" w:hAnsi="Traditional Arabic" w:hint="cs"/>
          <w:noProof w:val="0"/>
          <w:color w:val="auto"/>
          <w:rtl/>
          <w:lang w:eastAsia="en-US"/>
        </w:rPr>
        <w:t>ً</w:t>
      </w:r>
      <w:r w:rsidR="00844DA0">
        <w:rPr>
          <w:rFonts w:ascii="Traditional Arabic" w:hAnsi="Traditional Arabic" w:hint="cs"/>
          <w:noProof w:val="0"/>
          <w:color w:val="auto"/>
          <w:rtl/>
          <w:lang w:eastAsia="en-US"/>
        </w:rPr>
        <w:t xml:space="preserve"> فيه مصلحة للمسلمين، بلا مفسدة تقاوِم ذلك</w:t>
      </w:r>
      <w:r w:rsidR="0055729C">
        <w:rPr>
          <w:rFonts w:ascii="Traditional Arabic" w:hAnsi="Traditional Arabic" w:hint="cs"/>
          <w:noProof w:val="0"/>
          <w:color w:val="auto"/>
          <w:rtl/>
          <w:lang w:eastAsia="en-US"/>
        </w:rPr>
        <w:t>)</w:t>
      </w:r>
      <w:r w:rsidR="00844DA0" w:rsidRPr="00C821A1">
        <w:rPr>
          <w:rStyle w:val="af1"/>
          <w:szCs w:val="32"/>
          <w:rtl/>
        </w:rPr>
        <w:t>(</w:t>
      </w:r>
      <w:r w:rsidR="00844DA0" w:rsidRPr="00C821A1">
        <w:rPr>
          <w:rStyle w:val="af1"/>
          <w:szCs w:val="32"/>
          <w:rtl/>
        </w:rPr>
        <w:footnoteReference w:id="243"/>
      </w:r>
      <w:r w:rsidR="00844DA0" w:rsidRPr="00C821A1">
        <w:rPr>
          <w:rStyle w:val="af1"/>
          <w:szCs w:val="32"/>
          <w:rtl/>
        </w:rPr>
        <w:t>)</w:t>
      </w:r>
      <w:r w:rsidR="00844DA0">
        <w:rPr>
          <w:rFonts w:ascii="Traditional Arabic" w:hAnsi="Traditional Arabic" w:hint="cs"/>
          <w:noProof w:val="0"/>
          <w:color w:val="auto"/>
          <w:rtl/>
          <w:lang w:eastAsia="en-US"/>
        </w:rPr>
        <w:t>.</w:t>
      </w:r>
      <w:bookmarkStart w:id="47" w:name="_Toc333592996"/>
    </w:p>
    <w:p w:rsidR="00380872" w:rsidRDefault="00F23297" w:rsidP="00A8347C">
      <w:pPr>
        <w:pStyle w:val="aff3"/>
        <w:rPr>
          <w:rtl/>
        </w:rPr>
      </w:pPr>
      <w:bookmarkStart w:id="48" w:name="_Toc334046306"/>
      <w:r>
        <w:rPr>
          <w:rFonts w:hint="cs"/>
          <w:rtl/>
        </w:rPr>
        <w:lastRenderedPageBreak/>
        <w:t xml:space="preserve">                    </w:t>
      </w:r>
      <w:r w:rsidR="000F2637">
        <w:rPr>
          <w:rFonts w:hint="cs"/>
          <w:rtl/>
        </w:rPr>
        <w:t xml:space="preserve">                        </w:t>
      </w:r>
      <w:r w:rsidR="00380872">
        <w:rPr>
          <w:rFonts w:hint="cs"/>
          <w:rtl/>
        </w:rPr>
        <w:t>المطلب الثالث</w:t>
      </w:r>
      <w:r w:rsidR="004F66DF">
        <w:rPr>
          <w:rFonts w:hint="eastAsia"/>
          <w:rtl/>
        </w:rPr>
        <w:t> :</w:t>
      </w:r>
      <w:r w:rsidR="004F66DF">
        <w:rPr>
          <w:rFonts w:hint="cs"/>
          <w:rtl/>
        </w:rPr>
        <w:br/>
      </w:r>
      <w:r>
        <w:rPr>
          <w:rFonts w:hint="cs"/>
          <w:rtl/>
        </w:rPr>
        <w:t xml:space="preserve">                  </w:t>
      </w:r>
      <w:r w:rsidR="000F2637">
        <w:rPr>
          <w:rFonts w:hint="cs"/>
          <w:rtl/>
        </w:rPr>
        <w:t xml:space="preserve">                            </w:t>
      </w:r>
      <w:r w:rsidR="00380872">
        <w:rPr>
          <w:rFonts w:hint="cs"/>
          <w:rtl/>
        </w:rPr>
        <w:t>أدلة القاعدة</w:t>
      </w:r>
      <w:bookmarkEnd w:id="47"/>
      <w:bookmarkEnd w:id="48"/>
    </w:p>
    <w:p w:rsidR="00380872" w:rsidRDefault="00F23297" w:rsidP="00597C20">
      <w:pPr>
        <w:pStyle w:val="afc"/>
        <w:widowControl/>
        <w:numPr>
          <w:ilvl w:val="0"/>
          <w:numId w:val="7"/>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قول الله </w:t>
      </w:r>
      <w:r w:rsidR="00380872">
        <w:rPr>
          <w:rFonts w:ascii="Traditional Arabic" w:hAnsi="Traditional Arabic" w:hint="cs"/>
          <w:noProof w:val="0"/>
          <w:color w:val="auto"/>
          <w:rtl/>
          <w:lang w:eastAsia="en-US"/>
        </w:rPr>
        <w:t>تعالى:</w:t>
      </w:r>
      <w:bookmarkStart w:id="49" w:name="سورة_البقرة_151"/>
      <w:r w:rsidR="000F2637">
        <w:rPr>
          <w:rFonts w:ascii="Traditional Arabic" w:hAnsi="Traditional Arabic" w:hint="cs"/>
          <w:noProof w:val="0"/>
          <w:color w:val="auto"/>
          <w:rtl/>
          <w:lang w:eastAsia="en-US"/>
        </w:rPr>
        <w:t xml:space="preserve"> </w:t>
      </w:r>
      <w:r w:rsidR="00D25E91" w:rsidRPr="00D25E91">
        <w:rPr>
          <w:rFonts w:ascii="QCF_BSML" w:hAnsi="QCF_BSML" w:cs="QCF_BSML"/>
          <w:noProof w:val="0"/>
          <w:rtl/>
          <w:lang w:eastAsia="en-US"/>
        </w:rPr>
        <w:t>ﭽ</w:t>
      </w:r>
      <w:r>
        <w:rPr>
          <w:rFonts w:ascii="QCF_P023" w:hAnsi="QCF_P023" w:cs="QCF_P023"/>
          <w:noProof w:val="0"/>
          <w:rtl/>
          <w:lang w:eastAsia="en-US"/>
        </w:rPr>
        <w:t>ﯗ</w:t>
      </w:r>
      <w:r w:rsidR="000F2637">
        <w:rPr>
          <w:rFonts w:ascii="QCF_P023" w:hAnsi="QCF_P023" w:cs="QCF_P023" w:hint="cs"/>
          <w:noProof w:val="0"/>
          <w:rtl/>
          <w:lang w:eastAsia="en-US"/>
        </w:rPr>
        <w:t xml:space="preserve"> </w:t>
      </w:r>
      <w:r>
        <w:rPr>
          <w:rFonts w:ascii="QCF_P023" w:hAnsi="QCF_P023" w:cs="QCF_P023"/>
          <w:noProof w:val="0"/>
          <w:rtl/>
          <w:lang w:eastAsia="en-US"/>
        </w:rPr>
        <w:t>ﯘ</w:t>
      </w:r>
      <w:r w:rsidR="000F2637">
        <w:rPr>
          <w:rFonts w:ascii="QCF_P023" w:hAnsi="QCF_P023" w:cs="QCF_P023" w:hint="cs"/>
          <w:noProof w:val="0"/>
          <w:rtl/>
          <w:lang w:eastAsia="en-US"/>
        </w:rPr>
        <w:t xml:space="preserve"> </w:t>
      </w:r>
      <w:r>
        <w:rPr>
          <w:rFonts w:ascii="QCF_P023" w:hAnsi="QCF_P023" w:cs="QCF_P023"/>
          <w:noProof w:val="0"/>
          <w:rtl/>
          <w:lang w:eastAsia="en-US"/>
        </w:rPr>
        <w:t>ﯙ</w:t>
      </w:r>
      <w:r w:rsidR="000F2637">
        <w:rPr>
          <w:rFonts w:ascii="QCF_P023" w:hAnsi="QCF_P023" w:cs="QCF_P023" w:hint="cs"/>
          <w:noProof w:val="0"/>
          <w:rtl/>
          <w:lang w:eastAsia="en-US"/>
        </w:rPr>
        <w:t xml:space="preserve"> </w:t>
      </w:r>
      <w:r>
        <w:rPr>
          <w:rFonts w:ascii="QCF_P023" w:hAnsi="QCF_P023" w:cs="QCF_P023"/>
          <w:noProof w:val="0"/>
          <w:rtl/>
          <w:lang w:eastAsia="en-US"/>
        </w:rPr>
        <w:t>ﯚ</w:t>
      </w:r>
      <w:r w:rsidR="000F2637">
        <w:rPr>
          <w:rFonts w:ascii="QCF_P023" w:hAnsi="QCF_P023" w:cs="QCF_P023" w:hint="cs"/>
          <w:noProof w:val="0"/>
          <w:rtl/>
          <w:lang w:eastAsia="en-US"/>
        </w:rPr>
        <w:t xml:space="preserve"> </w:t>
      </w:r>
      <w:r>
        <w:rPr>
          <w:rFonts w:ascii="QCF_P023" w:hAnsi="QCF_P023" w:cs="QCF_P023"/>
          <w:noProof w:val="0"/>
          <w:rtl/>
          <w:lang w:eastAsia="en-US"/>
        </w:rPr>
        <w:t>ﯛ</w:t>
      </w:r>
      <w:r w:rsidR="000F2637">
        <w:rPr>
          <w:rFonts w:ascii="QCF_P023" w:hAnsi="QCF_P023" w:cs="QCF_P023" w:hint="cs"/>
          <w:noProof w:val="0"/>
          <w:rtl/>
          <w:lang w:eastAsia="en-US"/>
        </w:rPr>
        <w:t xml:space="preserve"> </w:t>
      </w:r>
      <w:r>
        <w:rPr>
          <w:rFonts w:ascii="QCF_P023" w:hAnsi="QCF_P023" w:cs="QCF_P023"/>
          <w:noProof w:val="0"/>
          <w:rtl/>
          <w:lang w:eastAsia="en-US"/>
        </w:rPr>
        <w:t>ﯜ</w:t>
      </w:r>
      <w:r w:rsidR="000F2637">
        <w:rPr>
          <w:rFonts w:ascii="QCF_P023" w:hAnsi="QCF_P023" w:cs="QCF_P023" w:hint="cs"/>
          <w:noProof w:val="0"/>
          <w:rtl/>
          <w:lang w:eastAsia="en-US"/>
        </w:rPr>
        <w:t xml:space="preserve"> </w:t>
      </w:r>
      <w:r>
        <w:rPr>
          <w:rFonts w:ascii="QCF_P023" w:hAnsi="QCF_P023" w:cs="QCF_P023"/>
          <w:noProof w:val="0"/>
          <w:rtl/>
          <w:lang w:eastAsia="en-US"/>
        </w:rPr>
        <w:t>ﯝ</w:t>
      </w:r>
      <w:r w:rsidR="000F2637">
        <w:rPr>
          <w:rFonts w:ascii="QCF_P023" w:hAnsi="QCF_P023" w:cs="QCF_P023" w:hint="cs"/>
          <w:noProof w:val="0"/>
          <w:rtl/>
          <w:lang w:eastAsia="en-US"/>
        </w:rPr>
        <w:t xml:space="preserve"> </w:t>
      </w:r>
      <w:r>
        <w:rPr>
          <w:rFonts w:ascii="QCF_P023" w:hAnsi="QCF_P023" w:cs="QCF_P023"/>
          <w:noProof w:val="0"/>
          <w:rtl/>
          <w:lang w:eastAsia="en-US"/>
        </w:rPr>
        <w:t>ﯞ</w:t>
      </w:r>
      <w:r w:rsidR="000F2637">
        <w:rPr>
          <w:rFonts w:ascii="QCF_P023" w:hAnsi="QCF_P023" w:cs="QCF_P023" w:hint="cs"/>
          <w:noProof w:val="0"/>
          <w:rtl/>
          <w:lang w:eastAsia="en-US"/>
        </w:rPr>
        <w:t xml:space="preserve"> </w:t>
      </w:r>
      <w:r w:rsidR="00D25E91" w:rsidRPr="00D25E91">
        <w:rPr>
          <w:rFonts w:ascii="QCF_P023" w:hAnsi="QCF_P023" w:cs="QCF_P023"/>
          <w:noProof w:val="0"/>
          <w:rtl/>
          <w:lang w:eastAsia="en-US"/>
        </w:rPr>
        <w:t>ﯠ</w:t>
      </w:r>
      <w:r w:rsidR="000F2637">
        <w:rPr>
          <w:rFonts w:ascii="QCF_P023" w:hAnsi="QCF_P023" w:cs="QCF_P023" w:hint="cs"/>
          <w:noProof w:val="0"/>
          <w:rtl/>
          <w:lang w:eastAsia="en-US"/>
        </w:rPr>
        <w:t xml:space="preserve"> </w:t>
      </w:r>
      <w:r w:rsidR="00D25E91" w:rsidRPr="00D25E91">
        <w:rPr>
          <w:rFonts w:ascii="QCF_P023" w:hAnsi="QCF_P023" w:cs="QCF_P023"/>
          <w:noProof w:val="0"/>
          <w:rtl/>
          <w:lang w:eastAsia="en-US"/>
        </w:rPr>
        <w:t>ﯡ</w:t>
      </w:r>
      <w:r w:rsidR="000F2637">
        <w:rPr>
          <w:rFonts w:ascii="QCF_P023" w:hAnsi="QCF_P023" w:cs="QCF_P023" w:hint="cs"/>
          <w:noProof w:val="0"/>
          <w:rtl/>
          <w:lang w:eastAsia="en-US"/>
        </w:rPr>
        <w:t xml:space="preserve"> </w:t>
      </w:r>
      <w:r>
        <w:rPr>
          <w:rFonts w:ascii="QCF_P023" w:hAnsi="QCF_P023" w:cs="QCF_P023" w:hint="cs"/>
          <w:noProof w:val="0"/>
          <w:rtl/>
          <w:lang w:eastAsia="en-US"/>
        </w:rPr>
        <w:t xml:space="preserve"> </w:t>
      </w:r>
      <w:r w:rsidR="000F2637">
        <w:rPr>
          <w:rFonts w:ascii="QCF_P023" w:hAnsi="QCF_P023" w:cs="QCF_P023" w:hint="cs"/>
          <w:noProof w:val="0"/>
          <w:rtl/>
          <w:lang w:eastAsia="en-US"/>
        </w:rPr>
        <w:t xml:space="preserve"> </w:t>
      </w:r>
      <w:r>
        <w:rPr>
          <w:rFonts w:ascii="QCF_P023" w:hAnsi="QCF_P023" w:cs="QCF_P023" w:hint="cs"/>
          <w:noProof w:val="0"/>
          <w:rtl/>
          <w:lang w:eastAsia="en-US"/>
        </w:rPr>
        <w:t xml:space="preserve"> </w:t>
      </w:r>
      <w:r w:rsidR="00D25E91" w:rsidRPr="00D25E91">
        <w:rPr>
          <w:rFonts w:ascii="QCF_P023" w:hAnsi="QCF_P023" w:cs="QCF_P023"/>
          <w:noProof w:val="0"/>
          <w:rtl/>
          <w:lang w:eastAsia="en-US"/>
        </w:rPr>
        <w:t>ﯢ</w:t>
      </w:r>
      <w:r w:rsidR="000F2637">
        <w:rPr>
          <w:rFonts w:ascii="QCF_P023" w:hAnsi="QCF_P023" w:cs="QCF_P023" w:hint="cs"/>
          <w:noProof w:val="0"/>
          <w:rtl/>
          <w:lang w:eastAsia="en-US"/>
        </w:rPr>
        <w:t xml:space="preserve"> </w:t>
      </w:r>
      <w:r w:rsidR="00D25E91" w:rsidRPr="00D25E91">
        <w:rPr>
          <w:rFonts w:ascii="QCF_P023" w:hAnsi="QCF_P023" w:cs="QCF_P023"/>
          <w:noProof w:val="0"/>
          <w:rtl/>
          <w:lang w:eastAsia="en-US"/>
        </w:rPr>
        <w:t>ﯣ</w:t>
      </w:r>
      <w:r w:rsidR="000F2637">
        <w:rPr>
          <w:rFonts w:ascii="QCF_P023" w:hAnsi="QCF_P023" w:cs="QCF_P023" w:hint="cs"/>
          <w:noProof w:val="0"/>
          <w:rtl/>
          <w:lang w:eastAsia="en-US"/>
        </w:rPr>
        <w:t xml:space="preserve"> </w:t>
      </w:r>
      <w:r w:rsidR="00D25E91" w:rsidRPr="00D25E91">
        <w:rPr>
          <w:rFonts w:ascii="QCF_P023" w:hAnsi="QCF_P023" w:cs="QCF_P023"/>
          <w:noProof w:val="0"/>
          <w:rtl/>
          <w:lang w:eastAsia="en-US"/>
        </w:rPr>
        <w:t>ﯤ</w:t>
      </w:r>
      <w:r w:rsidR="000F2637">
        <w:rPr>
          <w:rFonts w:ascii="QCF_P023" w:hAnsi="QCF_P023" w:cs="QCF_P023" w:hint="cs"/>
          <w:noProof w:val="0"/>
          <w:rtl/>
          <w:lang w:eastAsia="en-US"/>
        </w:rPr>
        <w:t xml:space="preserve"> </w:t>
      </w:r>
      <w:r w:rsidR="00D25E91" w:rsidRPr="00D25E91">
        <w:rPr>
          <w:rFonts w:ascii="QCF_P023" w:hAnsi="QCF_P023" w:cs="QCF_P023"/>
          <w:noProof w:val="0"/>
          <w:rtl/>
          <w:lang w:eastAsia="en-US"/>
        </w:rPr>
        <w:t>ﯥ</w:t>
      </w:r>
      <w:r w:rsidR="000F2637">
        <w:rPr>
          <w:rFonts w:ascii="QCF_P023" w:hAnsi="QCF_P023" w:cs="QCF_P023" w:hint="cs"/>
          <w:noProof w:val="0"/>
          <w:rtl/>
          <w:lang w:eastAsia="en-US"/>
        </w:rPr>
        <w:t xml:space="preserve"> </w:t>
      </w:r>
      <w:r w:rsidR="00D25E91" w:rsidRPr="00D25E91">
        <w:rPr>
          <w:rFonts w:ascii="QCF_P023" w:hAnsi="QCF_P023" w:cs="QCF_P023"/>
          <w:noProof w:val="0"/>
          <w:rtl/>
          <w:lang w:eastAsia="en-US"/>
        </w:rPr>
        <w:t>ﯦ</w:t>
      </w:r>
      <w:r w:rsidR="000F2637">
        <w:rPr>
          <w:rFonts w:ascii="QCF_P023" w:hAnsi="QCF_P023" w:cs="QCF_P023" w:hint="cs"/>
          <w:noProof w:val="0"/>
          <w:rtl/>
          <w:lang w:eastAsia="en-US"/>
        </w:rPr>
        <w:t xml:space="preserve"> </w:t>
      </w:r>
      <w:r w:rsidR="00D25E91" w:rsidRPr="00D25E91">
        <w:rPr>
          <w:rFonts w:ascii="QCF_P023" w:hAnsi="QCF_P023" w:cs="QCF_P023"/>
          <w:noProof w:val="0"/>
          <w:rtl/>
          <w:lang w:eastAsia="en-US"/>
        </w:rPr>
        <w:t>ﯧ</w:t>
      </w:r>
      <w:r w:rsidR="00D25E91" w:rsidRPr="00D25E91">
        <w:rPr>
          <w:rFonts w:ascii="QCF_BSML" w:hAnsi="QCF_BSML" w:cs="QCF_BSML"/>
          <w:noProof w:val="0"/>
          <w:rtl/>
          <w:lang w:eastAsia="en-US"/>
        </w:rPr>
        <w:t>ﭼ</w:t>
      </w:r>
      <w:bookmarkEnd w:id="49"/>
      <w:r w:rsidR="00D25E91">
        <w:rPr>
          <w:rFonts w:ascii="Traditional Arabic" w:hAnsi="Traditional Arabic" w:hint="cs"/>
          <w:noProof w:val="0"/>
          <w:color w:val="auto"/>
          <w:rtl/>
          <w:lang w:eastAsia="en-US"/>
        </w:rPr>
        <w:t>[</w:t>
      </w:r>
      <w:r w:rsidR="00D25E91" w:rsidRPr="00D25E91">
        <w:rPr>
          <w:rFonts w:ascii="Traditional Arabic" w:hAnsi="Traditional Arabic"/>
          <w:noProof w:val="0"/>
          <w:color w:val="auto"/>
          <w:rtl/>
          <w:lang w:eastAsia="en-US"/>
        </w:rPr>
        <w:t>البقرة: ١٥١</w:t>
      </w:r>
      <w:r w:rsidR="00D25E91">
        <w:rPr>
          <w:rFonts w:ascii="Traditional Arabic" w:hAnsi="Traditional Arabic" w:hint="cs"/>
          <w:noProof w:val="0"/>
          <w:color w:val="auto"/>
          <w:rtl/>
          <w:lang w:eastAsia="en-US"/>
        </w:rPr>
        <w:t>].</w:t>
      </w:r>
    </w:p>
    <w:p w:rsidR="00D25E91" w:rsidRPr="001851F0" w:rsidRDefault="00D25E91" w:rsidP="00597C20">
      <w:pPr>
        <w:pStyle w:val="53"/>
        <w:rPr>
          <w:rtl/>
        </w:rPr>
      </w:pPr>
      <w:r w:rsidRPr="001851F0">
        <w:rPr>
          <w:rFonts w:hint="cs"/>
          <w:rtl/>
        </w:rPr>
        <w:t>وجه الدلالة:</w:t>
      </w:r>
    </w:p>
    <w:p w:rsidR="00F23297" w:rsidRDefault="00F23297" w:rsidP="00597C20">
      <w:pPr>
        <w:widowControl/>
        <w:autoSpaceDE w:val="0"/>
        <w:autoSpaceDN w:val="0"/>
        <w:adjustRightInd w:val="0"/>
        <w:ind w:firstLine="720"/>
        <w:rPr>
          <w:rFonts w:ascii="QCF_BSML" w:hAnsi="QCF_BSML" w:cs="QCF_BSML"/>
          <w:noProof w:val="0"/>
          <w:rtl/>
          <w:lang w:eastAsia="en-US"/>
        </w:rPr>
      </w:pPr>
      <w:r>
        <w:rPr>
          <w:rFonts w:ascii="Traditional Arabic" w:hAnsi="Traditional Arabic" w:hint="cs"/>
          <w:noProof w:val="0"/>
          <w:rtl/>
          <w:lang w:eastAsia="en-US"/>
        </w:rPr>
        <w:t>إ</w:t>
      </w:r>
      <w:r w:rsidR="00D25E91" w:rsidRPr="00D25E91">
        <w:rPr>
          <w:rFonts w:ascii="Traditional Arabic" w:hAnsi="Traditional Arabic"/>
          <w:noProof w:val="0"/>
          <w:rtl/>
          <w:lang w:eastAsia="en-US"/>
        </w:rPr>
        <w:t xml:space="preserve">ن الشريعة التي جاء بها النبي </w:t>
      </w:r>
      <w:r w:rsidR="00F350DE">
        <w:rPr>
          <w:rFonts w:ascii="Traditional Arabic" w:hAnsi="Traditional Arabic"/>
          <w:noProof w:val="0"/>
          <w:color w:val="auto"/>
          <w:rtl/>
          <w:lang w:eastAsia="en-US"/>
        </w:rPr>
        <w:sym w:font="AGA Arabesque" w:char="F072"/>
      </w:r>
      <w:r w:rsidR="00D25E91" w:rsidRPr="00D25E91">
        <w:rPr>
          <w:rFonts w:ascii="Traditional Arabic" w:hAnsi="Traditional Arabic"/>
          <w:noProof w:val="0"/>
          <w:rtl/>
          <w:lang w:eastAsia="en-US"/>
        </w:rPr>
        <w:t xml:space="preserve"> كل</w:t>
      </w:r>
      <w:r w:rsidR="00D25E91">
        <w:rPr>
          <w:rFonts w:ascii="Traditional Arabic" w:hAnsi="Traditional Arabic" w:hint="cs"/>
          <w:noProof w:val="0"/>
          <w:rtl/>
          <w:lang w:eastAsia="en-US"/>
        </w:rPr>
        <w:t>ُّ</w:t>
      </w:r>
      <w:r w:rsidR="00D25E91" w:rsidRPr="00D25E91">
        <w:rPr>
          <w:rFonts w:ascii="Traditional Arabic" w:hAnsi="Traditional Arabic"/>
          <w:noProof w:val="0"/>
          <w:rtl/>
          <w:lang w:eastAsia="en-US"/>
        </w:rPr>
        <w:t>ها تزكية للأمة، وتنمية لأخلاقها، ودعوة إلى الأخلاق الفاضلة؛ ولهذا كان من القواعد المقررة في الشريعة أنها تأتي بالمصالح الخالصة، أو الراجحة، وتنهى عن المفاسد الخالصة، أو الراجحة؛ فالخمر فيه مصالح، ومفاسد؛ لكن مفاسده راجحة؛ ولهذا ح</w:t>
      </w:r>
      <w:r w:rsidR="00D25E91">
        <w:rPr>
          <w:rFonts w:ascii="Traditional Arabic" w:hAnsi="Traditional Arabic" w:hint="cs"/>
          <w:noProof w:val="0"/>
          <w:rtl/>
          <w:lang w:eastAsia="en-US"/>
        </w:rPr>
        <w:t>ُ</w:t>
      </w:r>
      <w:r w:rsidR="00D25E91" w:rsidRPr="00D25E91">
        <w:rPr>
          <w:rFonts w:ascii="Traditional Arabic" w:hAnsi="Traditional Arabic"/>
          <w:noProof w:val="0"/>
          <w:rtl/>
          <w:lang w:eastAsia="en-US"/>
        </w:rPr>
        <w:t>ر</w:t>
      </w:r>
      <w:r w:rsidR="00D25E91">
        <w:rPr>
          <w:rFonts w:ascii="Traditional Arabic" w:hAnsi="Traditional Arabic" w:hint="cs"/>
          <w:noProof w:val="0"/>
          <w:rtl/>
          <w:lang w:eastAsia="en-US"/>
        </w:rPr>
        <w:t>ِّ</w:t>
      </w:r>
      <w:r w:rsidR="00D25E91" w:rsidRPr="00D25E91">
        <w:rPr>
          <w:rFonts w:ascii="Traditional Arabic" w:hAnsi="Traditional Arabic"/>
          <w:noProof w:val="0"/>
          <w:rtl/>
          <w:lang w:eastAsia="en-US"/>
        </w:rPr>
        <w:t xml:space="preserve">م؛ </w:t>
      </w:r>
      <w:r w:rsidR="00D25E91">
        <w:rPr>
          <w:rFonts w:ascii="Traditional Arabic" w:hAnsi="Traditional Arabic" w:hint="cs"/>
          <w:noProof w:val="0"/>
          <w:rtl/>
          <w:lang w:eastAsia="en-US"/>
        </w:rPr>
        <w:t>و</w:t>
      </w:r>
      <w:r w:rsidR="00D25E91" w:rsidRPr="00D25E91">
        <w:rPr>
          <w:rFonts w:ascii="Traditional Arabic" w:hAnsi="Traditional Arabic"/>
          <w:noProof w:val="0"/>
          <w:rtl/>
          <w:lang w:eastAsia="en-US"/>
        </w:rPr>
        <w:t>الح</w:t>
      </w:r>
      <w:r w:rsidR="00D25E91">
        <w:rPr>
          <w:rFonts w:ascii="Traditional Arabic" w:hAnsi="Traditional Arabic" w:hint="cs"/>
          <w:noProof w:val="0"/>
          <w:rtl/>
          <w:lang w:eastAsia="en-US"/>
        </w:rPr>
        <w:t>َ</w:t>
      </w:r>
      <w:r w:rsidR="00D25E91" w:rsidRPr="00D25E91">
        <w:rPr>
          <w:rFonts w:ascii="Traditional Arabic" w:hAnsi="Traditional Arabic"/>
          <w:noProof w:val="0"/>
          <w:rtl/>
          <w:lang w:eastAsia="en-US"/>
        </w:rPr>
        <w:t>ج</w:t>
      </w:r>
      <w:r w:rsidR="00D25E91">
        <w:rPr>
          <w:rFonts w:ascii="Traditional Arabic" w:hAnsi="Traditional Arabic" w:hint="cs"/>
          <w:noProof w:val="0"/>
          <w:rtl/>
          <w:lang w:eastAsia="en-US"/>
        </w:rPr>
        <w:t>ْ</w:t>
      </w:r>
      <w:r w:rsidR="00D25E91" w:rsidRPr="00D25E91">
        <w:rPr>
          <w:rFonts w:ascii="Traditional Arabic" w:hAnsi="Traditional Arabic"/>
          <w:noProof w:val="0"/>
          <w:rtl/>
          <w:lang w:eastAsia="en-US"/>
        </w:rPr>
        <w:t>ر على السفيه فيه مصالح، وفيه مفاسد؛ لكن مصالحه راجحة؛ فلذلك ق</w:t>
      </w:r>
      <w:r w:rsidR="00D25E91">
        <w:rPr>
          <w:rFonts w:ascii="Traditional Arabic" w:hAnsi="Traditional Arabic" w:hint="cs"/>
          <w:noProof w:val="0"/>
          <w:rtl/>
          <w:lang w:eastAsia="en-US"/>
        </w:rPr>
        <w:t>ُ</w:t>
      </w:r>
      <w:r w:rsidR="00D25E91" w:rsidRPr="00D25E91">
        <w:rPr>
          <w:rFonts w:ascii="Traditional Arabic" w:hAnsi="Traditional Arabic"/>
          <w:noProof w:val="0"/>
          <w:rtl/>
          <w:lang w:eastAsia="en-US"/>
        </w:rPr>
        <w:t>د</w:t>
      </w:r>
      <w:r w:rsidR="00D25E91">
        <w:rPr>
          <w:rFonts w:ascii="Traditional Arabic" w:hAnsi="Traditional Arabic" w:hint="cs"/>
          <w:noProof w:val="0"/>
          <w:rtl/>
          <w:lang w:eastAsia="en-US"/>
        </w:rPr>
        <w:t>ِّ</w:t>
      </w:r>
      <w:r w:rsidR="003616DF">
        <w:rPr>
          <w:rFonts w:ascii="Traditional Arabic" w:hAnsi="Traditional Arabic"/>
          <w:noProof w:val="0"/>
          <w:rtl/>
          <w:lang w:eastAsia="en-US"/>
        </w:rPr>
        <w:t xml:space="preserve">مت المصالح؛ </w:t>
      </w:r>
      <w:r w:rsidR="003616DF">
        <w:rPr>
          <w:rFonts w:ascii="Traditional Arabic" w:hAnsi="Traditional Arabic" w:hint="cs"/>
          <w:noProof w:val="0"/>
          <w:rtl/>
          <w:lang w:eastAsia="en-US"/>
        </w:rPr>
        <w:t xml:space="preserve">وقد تكون </w:t>
      </w:r>
      <w:r w:rsidR="00F81F18">
        <w:rPr>
          <w:rFonts w:ascii="Traditional Arabic" w:hAnsi="Traditional Arabic"/>
          <w:noProof w:val="0"/>
          <w:rtl/>
          <w:lang w:eastAsia="en-US"/>
        </w:rPr>
        <w:t xml:space="preserve"> </w:t>
      </w:r>
      <w:r w:rsidR="003616DF">
        <w:rPr>
          <w:rFonts w:ascii="Traditional Arabic" w:hAnsi="Traditional Arabic" w:hint="cs"/>
          <w:noProof w:val="0"/>
          <w:rtl/>
          <w:lang w:eastAsia="en-US"/>
        </w:rPr>
        <w:t>ال</w:t>
      </w:r>
      <w:r w:rsidR="00F81F18">
        <w:rPr>
          <w:rFonts w:ascii="Traditional Arabic" w:hAnsi="Traditional Arabic"/>
          <w:noProof w:val="0"/>
          <w:rtl/>
          <w:lang w:eastAsia="en-US"/>
        </w:rPr>
        <w:t>مصالح خالصة</w:t>
      </w:r>
      <w:r w:rsidR="00F81F18">
        <w:rPr>
          <w:rFonts w:ascii="Traditional Arabic" w:hAnsi="Traditional Arabic" w:hint="cs"/>
          <w:noProof w:val="0"/>
          <w:rtl/>
          <w:lang w:eastAsia="en-US"/>
        </w:rPr>
        <w:t>،</w:t>
      </w:r>
      <w:r w:rsidR="00D25E91" w:rsidRPr="00D25E91">
        <w:rPr>
          <w:rFonts w:ascii="Traditional Arabic" w:hAnsi="Traditional Arabic"/>
          <w:noProof w:val="0"/>
          <w:rtl/>
          <w:lang w:eastAsia="en-US"/>
        </w:rPr>
        <w:t xml:space="preserve">، كعبادة الله مثلاً؛ </w:t>
      </w:r>
      <w:r w:rsidR="00F81F18">
        <w:rPr>
          <w:rFonts w:ascii="Traditional Arabic" w:hAnsi="Traditional Arabic" w:hint="cs"/>
          <w:noProof w:val="0"/>
          <w:rtl/>
          <w:lang w:eastAsia="en-US"/>
        </w:rPr>
        <w:t>و</w:t>
      </w:r>
      <w:r w:rsidR="00D25E91" w:rsidRPr="00D25E91">
        <w:rPr>
          <w:rFonts w:ascii="Traditional Arabic" w:hAnsi="Traditional Arabic"/>
          <w:noProof w:val="0"/>
          <w:rtl/>
          <w:lang w:eastAsia="en-US"/>
        </w:rPr>
        <w:t>هذه قاعدة الشري</w:t>
      </w:r>
      <w:r w:rsidR="00D25E91">
        <w:rPr>
          <w:rFonts w:ascii="Traditional Arabic" w:hAnsi="Traditional Arabic"/>
          <w:noProof w:val="0"/>
          <w:rtl/>
          <w:lang w:eastAsia="en-US"/>
        </w:rPr>
        <w:t xml:space="preserve">عة؛ ولهذا قال تعالى: </w:t>
      </w:r>
      <w:r w:rsidR="00D25E91" w:rsidRPr="00D25E91">
        <w:rPr>
          <w:rFonts w:ascii="QCF_BSML" w:hAnsi="QCF_BSML" w:cs="QCF_BSML"/>
          <w:noProof w:val="0"/>
          <w:rtl/>
          <w:lang w:eastAsia="en-US"/>
        </w:rPr>
        <w:t xml:space="preserve">ﭽ </w:t>
      </w:r>
      <w:r w:rsidR="00D25E91" w:rsidRPr="00D25E91">
        <w:rPr>
          <w:rFonts w:ascii="QCF_P023" w:hAnsi="QCF_P023" w:cs="QCF_P023"/>
          <w:noProof w:val="0"/>
          <w:rtl/>
          <w:lang w:eastAsia="en-US"/>
        </w:rPr>
        <w:t>ﯟ</w:t>
      </w:r>
      <w:r w:rsidR="00D25E91" w:rsidRPr="00D25E91">
        <w:rPr>
          <w:rFonts w:ascii="QCF_BSML" w:hAnsi="QCF_BSML" w:cs="QCF_BSML"/>
          <w:noProof w:val="0"/>
          <w:rtl/>
          <w:lang w:eastAsia="en-US"/>
        </w:rPr>
        <w:t>ﭼ</w:t>
      </w:r>
      <w:r w:rsidR="0093793F" w:rsidRPr="00C821A1">
        <w:rPr>
          <w:rStyle w:val="af1"/>
          <w:szCs w:val="32"/>
          <w:rtl/>
        </w:rPr>
        <w:t>(</w:t>
      </w:r>
      <w:r w:rsidR="0093793F" w:rsidRPr="00C821A1">
        <w:rPr>
          <w:rStyle w:val="af1"/>
          <w:szCs w:val="32"/>
          <w:rtl/>
        </w:rPr>
        <w:footnoteReference w:id="244"/>
      </w:r>
      <w:r w:rsidR="0093793F" w:rsidRPr="00C821A1">
        <w:rPr>
          <w:rStyle w:val="af1"/>
          <w:szCs w:val="32"/>
          <w:rtl/>
        </w:rPr>
        <w:t>)</w:t>
      </w:r>
      <w:r w:rsidR="00D25E91">
        <w:rPr>
          <w:rFonts w:ascii="Traditional Arabic" w:hAnsi="Traditional Arabic" w:hint="cs"/>
          <w:noProof w:val="0"/>
          <w:rtl/>
          <w:lang w:eastAsia="en-US"/>
        </w:rPr>
        <w:t>.</w:t>
      </w:r>
      <w:bookmarkStart w:id="50" w:name="سورة_الإسراء_9"/>
    </w:p>
    <w:p w:rsidR="00E875E8" w:rsidRPr="00F23297" w:rsidRDefault="00F23297" w:rsidP="00F23297">
      <w:pPr>
        <w:pStyle w:val="afc"/>
        <w:widowControl/>
        <w:numPr>
          <w:ilvl w:val="0"/>
          <w:numId w:val="7"/>
        </w:numPr>
        <w:autoSpaceDE w:val="0"/>
        <w:autoSpaceDN w:val="0"/>
        <w:adjustRightInd w:val="0"/>
        <w:rPr>
          <w:rFonts w:ascii="Traditional Arabic" w:hAnsi="Traditional Arabic"/>
          <w:noProof w:val="0"/>
          <w:lang w:eastAsia="en-US"/>
        </w:rPr>
      </w:pPr>
      <w:r w:rsidRPr="00F23297">
        <w:rPr>
          <w:rFonts w:ascii="QCF_BSML" w:hAnsi="QCF_BSML" w:cs="QCF_BSML" w:hint="cs"/>
          <w:noProof w:val="0"/>
          <w:rtl/>
          <w:lang w:eastAsia="en-US"/>
        </w:rPr>
        <w:t xml:space="preserve">  </w:t>
      </w:r>
      <w:r w:rsidR="00065E4B" w:rsidRPr="00F23297">
        <w:rPr>
          <w:rFonts w:ascii="QCF_BSML" w:hAnsi="QCF_BSML" w:cs="QCF_BSML"/>
          <w:noProof w:val="0"/>
          <w:rtl/>
          <w:lang w:eastAsia="en-US"/>
        </w:rPr>
        <w:t>ﭽ</w:t>
      </w:r>
      <w:r w:rsidR="00446674" w:rsidRPr="00F23297">
        <w:rPr>
          <w:rFonts w:ascii="QCF_P283" w:hAnsi="QCF_P283" w:cs="QCF_P283"/>
          <w:noProof w:val="0"/>
          <w:rtl/>
          <w:lang w:eastAsia="en-US"/>
        </w:rPr>
        <w:t>ﭟﭠﭡﭢﭣﭤﭥ</w:t>
      </w:r>
      <w:r w:rsidR="00446674" w:rsidRPr="00F23297">
        <w:rPr>
          <w:rFonts w:ascii="QCF_BSML" w:hAnsi="QCF_BSML" w:cs="QCF_BSML"/>
          <w:noProof w:val="0"/>
          <w:rtl/>
          <w:lang w:eastAsia="en-US"/>
        </w:rPr>
        <w:t>ﭼ</w:t>
      </w:r>
      <w:bookmarkEnd w:id="50"/>
      <w:r w:rsidR="00446674" w:rsidRPr="00F23297">
        <w:rPr>
          <w:rFonts w:ascii="Traditional Arabic" w:hAnsi="Traditional Arabic" w:hint="cs"/>
          <w:noProof w:val="0"/>
          <w:color w:val="auto"/>
          <w:rtl/>
          <w:lang w:eastAsia="en-US"/>
        </w:rPr>
        <w:t>[</w:t>
      </w:r>
      <w:r w:rsidR="00446674" w:rsidRPr="00F23297">
        <w:rPr>
          <w:rFonts w:ascii="Traditional Arabic" w:hAnsi="Traditional Arabic"/>
          <w:noProof w:val="0"/>
          <w:color w:val="auto"/>
          <w:rtl/>
          <w:lang w:eastAsia="en-US"/>
        </w:rPr>
        <w:t>الإسراء: ٩</w:t>
      </w:r>
      <w:r w:rsidR="00446674" w:rsidRPr="00F23297">
        <w:rPr>
          <w:rFonts w:ascii="Traditional Arabic" w:hAnsi="Traditional Arabic" w:hint="cs"/>
          <w:noProof w:val="0"/>
          <w:rtl/>
          <w:lang w:eastAsia="en-US"/>
        </w:rPr>
        <w:t>].</w:t>
      </w:r>
    </w:p>
    <w:p w:rsidR="00A82DFE" w:rsidRPr="001851F0" w:rsidRDefault="00A82DFE" w:rsidP="00597C20">
      <w:pPr>
        <w:pStyle w:val="53"/>
        <w:rPr>
          <w:rtl/>
        </w:rPr>
      </w:pPr>
      <w:r w:rsidRPr="001851F0">
        <w:rPr>
          <w:rFonts w:hint="cs"/>
          <w:rtl/>
        </w:rPr>
        <w:t>وجه الدلالة:</w:t>
      </w:r>
    </w:p>
    <w:p w:rsidR="00A82DFE" w:rsidRPr="001851F0" w:rsidRDefault="00672DD9" w:rsidP="00672DD9">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F23297">
        <w:rPr>
          <w:rFonts w:ascii="Traditional Arabic" w:hAnsi="Traditional Arabic" w:hint="cs"/>
          <w:noProof w:val="0"/>
          <w:color w:val="auto"/>
          <w:rtl/>
          <w:lang w:eastAsia="en-US"/>
        </w:rPr>
        <w:t>إ</w:t>
      </w:r>
      <w:r w:rsidR="006730D7" w:rsidRPr="001851F0">
        <w:rPr>
          <w:rFonts w:ascii="Traditional Arabic" w:hAnsi="Traditional Arabic" w:hint="cs"/>
          <w:noProof w:val="0"/>
          <w:color w:val="auto"/>
          <w:rtl/>
          <w:lang w:eastAsia="en-US"/>
        </w:rPr>
        <w:t>ن كلَّ ما كان أَكملَ وأَصلحَ وأعظمَ قياماً وصلاحاً</w:t>
      </w:r>
      <w:r w:rsidR="00A82DFE" w:rsidRPr="001851F0">
        <w:rPr>
          <w:rFonts w:ascii="Traditional Arabic" w:hAnsi="Traditional Arabic" w:hint="cs"/>
          <w:noProof w:val="0"/>
          <w:color w:val="auto"/>
          <w:rtl/>
          <w:lang w:eastAsia="en-US"/>
        </w:rPr>
        <w:t xml:space="preserve"> في العقائد والأعمال والأقوال والأخلاق والمعاملات والمنهيات؛ فإن القرآن يهدي إليه</w:t>
      </w:r>
      <w:r w:rsidR="00874975" w:rsidRPr="001851F0">
        <w:rPr>
          <w:rFonts w:ascii="Traditional Arabic" w:hAnsi="Traditional Arabic" w:hint="cs"/>
          <w:noProof w:val="0"/>
          <w:color w:val="auto"/>
          <w:rtl/>
          <w:lang w:eastAsia="en-US"/>
        </w:rPr>
        <w:t xml:space="preserve"> ويرشد </w:t>
      </w:r>
      <w:r w:rsidR="00860DE9" w:rsidRPr="001851F0">
        <w:rPr>
          <w:rFonts w:ascii="Traditional Arabic" w:hAnsi="Traditional Arabic" w:hint="cs"/>
          <w:noProof w:val="0"/>
          <w:color w:val="auto"/>
          <w:rtl/>
          <w:lang w:eastAsia="en-US"/>
        </w:rPr>
        <w:t>إليه ويأمر به</w:t>
      </w:r>
      <w:r w:rsidR="00A82DFE" w:rsidRPr="001851F0">
        <w:rPr>
          <w:rFonts w:ascii="Traditional Arabic" w:hAnsi="Traditional Arabic" w:hint="cs"/>
          <w:noProof w:val="0"/>
          <w:color w:val="auto"/>
          <w:rtl/>
          <w:lang w:eastAsia="en-US"/>
        </w:rPr>
        <w:t>.</w:t>
      </w:r>
    </w:p>
    <w:p w:rsidR="009127F2" w:rsidRPr="001851F0" w:rsidRDefault="00672DD9" w:rsidP="00672DD9">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874975" w:rsidRPr="001851F0">
        <w:rPr>
          <w:rFonts w:ascii="Traditional Arabic" w:hAnsi="Traditional Arabic" w:hint="cs"/>
          <w:noProof w:val="0"/>
          <w:rtl/>
          <w:lang w:eastAsia="en-US"/>
        </w:rPr>
        <w:t>ويؤخذ من هذه الآية قواعد عظيمة، منها:</w:t>
      </w:r>
    </w:p>
    <w:p w:rsidR="00874975" w:rsidRPr="001851F0" w:rsidRDefault="00672DD9" w:rsidP="00597C20">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874975" w:rsidRPr="001851F0">
        <w:rPr>
          <w:rFonts w:ascii="Traditional Arabic" w:hAnsi="Traditional Arabic" w:hint="cs"/>
          <w:noProof w:val="0"/>
          <w:rtl/>
          <w:lang w:eastAsia="en-US"/>
        </w:rPr>
        <w:t>أن الدين الإسلامي جاء بتحصيل المصالح وتقليل المفاسد بقدر الإمكان.</w:t>
      </w:r>
    </w:p>
    <w:p w:rsidR="00446674" w:rsidRPr="001851F0" w:rsidRDefault="00672DD9" w:rsidP="00672DD9">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874975" w:rsidRPr="001851F0">
        <w:rPr>
          <w:rFonts w:ascii="Traditional Arabic" w:hAnsi="Traditional Arabic" w:hint="cs"/>
          <w:noProof w:val="0"/>
          <w:rtl/>
          <w:lang w:eastAsia="en-US"/>
        </w:rPr>
        <w:t>فكلُّ ما كان أقومَ، فإن القرآن يهدي إل</w:t>
      </w:r>
      <w:r w:rsidR="003616DF">
        <w:rPr>
          <w:rFonts w:ascii="Traditional Arabic" w:hAnsi="Traditional Arabic" w:hint="cs"/>
          <w:noProof w:val="0"/>
          <w:rtl/>
          <w:lang w:eastAsia="en-US"/>
        </w:rPr>
        <w:t>يه، وكلما كان أَرْدَأَ وأَسْوَأَ</w:t>
      </w:r>
      <w:r w:rsidR="00874975" w:rsidRPr="001851F0">
        <w:rPr>
          <w:rFonts w:ascii="Traditional Arabic" w:hAnsi="Traditional Arabic" w:hint="cs"/>
          <w:noProof w:val="0"/>
          <w:rtl/>
          <w:lang w:eastAsia="en-US"/>
        </w:rPr>
        <w:t>، فإن القرآن لا يهدي إليه؛ بل يهدي إلى ضدِّه وعكسه</w:t>
      </w:r>
      <w:r w:rsidR="00860DE9" w:rsidRPr="00C821A1">
        <w:rPr>
          <w:rStyle w:val="af1"/>
          <w:szCs w:val="32"/>
          <w:rtl/>
        </w:rPr>
        <w:t>(</w:t>
      </w:r>
      <w:r w:rsidR="00860DE9" w:rsidRPr="00C821A1">
        <w:rPr>
          <w:rStyle w:val="af1"/>
          <w:szCs w:val="32"/>
          <w:rtl/>
        </w:rPr>
        <w:footnoteReference w:id="245"/>
      </w:r>
      <w:r w:rsidR="00860DE9" w:rsidRPr="00C821A1">
        <w:rPr>
          <w:rStyle w:val="af1"/>
          <w:szCs w:val="32"/>
          <w:rtl/>
        </w:rPr>
        <w:t>)</w:t>
      </w:r>
      <w:r w:rsidR="00874975" w:rsidRPr="001851F0">
        <w:rPr>
          <w:rFonts w:ascii="Traditional Arabic" w:hAnsi="Traditional Arabic" w:hint="cs"/>
          <w:noProof w:val="0"/>
          <w:rtl/>
          <w:lang w:eastAsia="en-US"/>
        </w:rPr>
        <w:t>.</w:t>
      </w:r>
    </w:p>
    <w:p w:rsidR="005615C6" w:rsidRPr="007B7634" w:rsidRDefault="00B47FC3" w:rsidP="00597C20">
      <w:pPr>
        <w:pStyle w:val="afc"/>
        <w:widowControl/>
        <w:numPr>
          <w:ilvl w:val="0"/>
          <w:numId w:val="7"/>
        </w:numPr>
        <w:autoSpaceDE w:val="0"/>
        <w:autoSpaceDN w:val="0"/>
        <w:adjustRightInd w:val="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lastRenderedPageBreak/>
        <w:t xml:space="preserve">عن ابن عباس </w:t>
      </w:r>
      <w:r w:rsidR="000F2637">
        <w:rPr>
          <w:rFonts w:ascii="Traditional Arabic" w:hAnsi="Traditional Arabic" w:hint="cs"/>
          <w:noProof w:val="0"/>
          <w:color w:val="auto"/>
          <w:rtl/>
          <w:lang w:eastAsia="en-US"/>
        </w:rPr>
        <w:t>_</w:t>
      </w:r>
      <w:r w:rsidR="00154102">
        <w:rPr>
          <w:rFonts w:ascii="Traditional Arabic" w:hAnsi="Traditional Arabic" w:cs="CTraditional Arabic" w:hint="cs"/>
          <w:noProof w:val="0"/>
          <w:color w:val="auto"/>
          <w:rtl/>
          <w:lang w:eastAsia="en-US"/>
        </w:rPr>
        <w:t>ب</w:t>
      </w:r>
      <w:r w:rsidR="000F2637">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أن النبي </w:t>
      </w:r>
      <w:r w:rsidR="00F350DE">
        <w:rPr>
          <w:rFonts w:ascii="Traditional Arabic" w:hAnsi="Traditional Arabic"/>
          <w:noProof w:val="0"/>
          <w:color w:val="auto"/>
          <w:rtl/>
          <w:lang w:eastAsia="en-US"/>
        </w:rPr>
        <w:sym w:font="AGA Arabesque" w:char="F072"/>
      </w:r>
      <w:r>
        <w:rPr>
          <w:rFonts w:ascii="Traditional Arabic" w:hAnsi="Traditional Arabic" w:hint="cs"/>
          <w:noProof w:val="0"/>
          <w:color w:val="auto"/>
          <w:rtl/>
          <w:lang w:eastAsia="en-US"/>
        </w:rPr>
        <w:t xml:space="preserve"> قال:" لا ضرر ولا ضِرار</w:t>
      </w:r>
      <w:r w:rsidR="00AB0B9E">
        <w:rPr>
          <w:rFonts w:ascii="Traditional Arabic" w:hAnsi="Traditional Arabic"/>
          <w:noProof w:val="0"/>
          <w:color w:val="auto"/>
          <w:rtl/>
          <w:lang w:eastAsia="en-US"/>
        </w:rPr>
        <w:fldChar w:fldCharType="begin"/>
      </w:r>
      <w:r w:rsidR="0020241F" w:rsidRPr="00531753">
        <w:instrText>XE</w:instrText>
      </w:r>
      <w:r w:rsidR="0020241F" w:rsidRPr="00531753">
        <w:rPr>
          <w:rtl/>
        </w:rPr>
        <w:instrText xml:space="preserve"> "</w:instrText>
      </w:r>
      <w:r w:rsidR="00F65015" w:rsidRPr="00531753">
        <w:rPr>
          <w:rFonts w:ascii="Traditional Arabic" w:hAnsi="Traditional Arabic" w:hint="cs"/>
          <w:noProof w:val="0"/>
          <w:color w:val="auto"/>
          <w:rtl/>
          <w:lang w:eastAsia="en-US"/>
        </w:rPr>
        <w:instrText>لا ضرر ولا ض</w:instrText>
      </w:r>
      <w:r w:rsidR="0020241F" w:rsidRPr="00531753">
        <w:rPr>
          <w:rFonts w:ascii="Traditional Arabic" w:hAnsi="Traditional Arabic" w:hint="cs"/>
          <w:noProof w:val="0"/>
          <w:color w:val="auto"/>
          <w:rtl/>
          <w:lang w:eastAsia="en-US"/>
        </w:rPr>
        <w:instrText>رار</w:instrText>
      </w:r>
      <w:r w:rsidR="0020241F" w:rsidRPr="00531753">
        <w:rPr>
          <w:rtl/>
        </w:rPr>
        <w:instrText xml:space="preserve">" </w:instrText>
      </w:r>
      <w:r w:rsidR="00F706D7" w:rsidRPr="00531753">
        <w:rPr>
          <w:rtl/>
        </w:rPr>
        <w:instrText>\</w:instrText>
      </w:r>
      <w:r w:rsidR="00F706D7" w:rsidRPr="00531753">
        <w:instrText>fh</w:instrText>
      </w:r>
      <w:r w:rsidR="00AB0B9E">
        <w:rPr>
          <w:rFonts w:ascii="Traditional Arabic" w:hAnsi="Traditional Arabic"/>
          <w:noProof w:val="0"/>
          <w:color w:val="auto"/>
          <w:rtl/>
          <w:lang w:eastAsia="en-US"/>
        </w:rPr>
        <w:fldChar w:fldCharType="end"/>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246"/>
      </w:r>
      <w:r w:rsidRPr="00C821A1">
        <w:rPr>
          <w:rStyle w:val="af1"/>
          <w:szCs w:val="32"/>
          <w:rtl/>
        </w:rPr>
        <w:t>)</w:t>
      </w:r>
      <w:r>
        <w:rPr>
          <w:rFonts w:ascii="Traditional Arabic" w:hAnsi="Traditional Arabic" w:hint="cs"/>
          <w:noProof w:val="0"/>
          <w:color w:val="auto"/>
          <w:rtl/>
          <w:lang w:eastAsia="en-US"/>
        </w:rPr>
        <w:t>.</w:t>
      </w:r>
    </w:p>
    <w:p w:rsidR="00B47FC3" w:rsidRPr="001851F0" w:rsidRDefault="00B47FC3" w:rsidP="00597C20">
      <w:pPr>
        <w:pStyle w:val="53"/>
        <w:rPr>
          <w:rtl/>
        </w:rPr>
      </w:pPr>
      <w:r w:rsidRPr="001851F0">
        <w:rPr>
          <w:rFonts w:hint="cs"/>
          <w:rtl/>
        </w:rPr>
        <w:t>وجه الدلالة:</w:t>
      </w:r>
    </w:p>
    <w:p w:rsidR="00B47FC3" w:rsidRPr="001851F0" w:rsidRDefault="00B47FC3" w:rsidP="00597C20">
      <w:pPr>
        <w:widowControl/>
        <w:autoSpaceDE w:val="0"/>
        <w:autoSpaceDN w:val="0"/>
        <w:adjustRightInd w:val="0"/>
        <w:jc w:val="left"/>
        <w:rPr>
          <w:rFonts w:ascii="Traditional Arabic" w:hAnsi="Traditional Arabic"/>
          <w:noProof w:val="0"/>
          <w:color w:val="auto"/>
          <w:rtl/>
          <w:lang w:eastAsia="en-US"/>
        </w:rPr>
      </w:pPr>
      <w:r w:rsidRPr="001851F0">
        <w:rPr>
          <w:rFonts w:ascii="Traditional Arabic" w:hAnsi="Traditional Arabic" w:hint="cs"/>
          <w:noProof w:val="0"/>
          <w:color w:val="auto"/>
          <w:rtl/>
          <w:lang w:eastAsia="en-US"/>
        </w:rPr>
        <w:t>أنه ليس في الدين ضرر ولا م</w:t>
      </w:r>
      <w:r w:rsidR="00317117" w:rsidRPr="001851F0">
        <w:rPr>
          <w:rFonts w:ascii="Traditional Arabic" w:hAnsi="Traditional Arabic" w:hint="cs"/>
          <w:noProof w:val="0"/>
          <w:color w:val="auto"/>
          <w:rtl/>
          <w:lang w:eastAsia="en-US"/>
        </w:rPr>
        <w:t>ُ</w:t>
      </w:r>
      <w:r w:rsidRPr="001851F0">
        <w:rPr>
          <w:rFonts w:ascii="Traditional Arabic" w:hAnsi="Traditional Arabic" w:hint="cs"/>
          <w:noProof w:val="0"/>
          <w:color w:val="auto"/>
          <w:rtl/>
          <w:lang w:eastAsia="en-US"/>
        </w:rPr>
        <w:t>ضارَّة</w:t>
      </w:r>
      <w:r w:rsidR="006907D8" w:rsidRPr="00C821A1">
        <w:rPr>
          <w:rStyle w:val="af1"/>
          <w:szCs w:val="32"/>
          <w:rtl/>
        </w:rPr>
        <w:t>(</w:t>
      </w:r>
      <w:r w:rsidR="006907D8" w:rsidRPr="00C821A1">
        <w:rPr>
          <w:rStyle w:val="af1"/>
          <w:szCs w:val="32"/>
          <w:rtl/>
        </w:rPr>
        <w:footnoteReference w:id="247"/>
      </w:r>
      <w:r w:rsidR="006907D8" w:rsidRPr="00C821A1">
        <w:rPr>
          <w:rStyle w:val="af1"/>
          <w:szCs w:val="32"/>
          <w:rtl/>
        </w:rPr>
        <w:t>)</w:t>
      </w:r>
      <w:r w:rsidRPr="001851F0">
        <w:rPr>
          <w:rFonts w:ascii="Traditional Arabic" w:hAnsi="Traditional Arabic" w:hint="cs"/>
          <w:noProof w:val="0"/>
          <w:color w:val="auto"/>
          <w:rtl/>
          <w:lang w:eastAsia="en-US"/>
        </w:rPr>
        <w:t xml:space="preserve">، بل هو الدين الكامل الذي بُعث به </w:t>
      </w:r>
      <w:r w:rsidR="00317117" w:rsidRPr="001851F0">
        <w:rPr>
          <w:rFonts w:ascii="Traditional Arabic" w:hAnsi="Traditional Arabic" w:hint="cs"/>
          <w:noProof w:val="0"/>
          <w:color w:val="auto"/>
          <w:rtl/>
          <w:lang w:eastAsia="en-US"/>
        </w:rPr>
        <w:t xml:space="preserve">نبيُّنا </w:t>
      </w:r>
      <w:r w:rsidRPr="001851F0">
        <w:rPr>
          <w:rFonts w:ascii="Traditional Arabic" w:hAnsi="Traditional Arabic" w:hint="cs"/>
          <w:noProof w:val="0"/>
          <w:color w:val="auto"/>
          <w:rtl/>
          <w:lang w:eastAsia="en-US"/>
        </w:rPr>
        <w:t xml:space="preserve">محمد </w:t>
      </w:r>
      <w:r w:rsidR="00F350DE">
        <w:rPr>
          <w:rtl/>
          <w:lang w:eastAsia="en-US"/>
        </w:rPr>
        <w:sym w:font="AGA Arabesque" w:char="F072"/>
      </w:r>
      <w:r w:rsidRPr="001851F0">
        <w:rPr>
          <w:rFonts w:ascii="Traditional Arabic" w:hAnsi="Traditional Arabic" w:hint="cs"/>
          <w:noProof w:val="0"/>
          <w:color w:val="auto"/>
          <w:rtl/>
          <w:lang w:eastAsia="en-US"/>
        </w:rPr>
        <w:t>، إذ إنه جاء لسعادة البشر، ولانتفاء الشر عنهم والضرر</w:t>
      </w:r>
      <w:r w:rsidR="006907D8" w:rsidRPr="001851F0">
        <w:rPr>
          <w:rFonts w:ascii="Traditional Arabic" w:hAnsi="Traditional Arabic" w:hint="cs"/>
          <w:noProof w:val="0"/>
          <w:color w:val="auto"/>
          <w:rtl/>
          <w:lang w:eastAsia="en-US"/>
        </w:rPr>
        <w:t>؛ ولهذا على العبد أن يجتن</w:t>
      </w:r>
      <w:r w:rsidR="00B22058" w:rsidRPr="001851F0">
        <w:rPr>
          <w:rFonts w:ascii="Traditional Arabic" w:hAnsi="Traditional Arabic" w:hint="cs"/>
          <w:noProof w:val="0"/>
          <w:color w:val="auto"/>
          <w:rtl/>
          <w:lang w:eastAsia="en-US"/>
        </w:rPr>
        <w:t>ِ</w:t>
      </w:r>
      <w:r w:rsidR="006907D8" w:rsidRPr="001851F0">
        <w:rPr>
          <w:rFonts w:ascii="Traditional Arabic" w:hAnsi="Traditional Arabic" w:hint="cs"/>
          <w:noProof w:val="0"/>
          <w:color w:val="auto"/>
          <w:rtl/>
          <w:lang w:eastAsia="en-US"/>
        </w:rPr>
        <w:t>ب كل ما نهى الله عنه؛ لأن كل ممنوع ضارٌّ</w:t>
      </w:r>
      <w:r w:rsidR="006907D8" w:rsidRPr="00C821A1">
        <w:rPr>
          <w:rStyle w:val="af1"/>
          <w:szCs w:val="32"/>
          <w:rtl/>
        </w:rPr>
        <w:t>(</w:t>
      </w:r>
      <w:r w:rsidR="006907D8" w:rsidRPr="00C821A1">
        <w:rPr>
          <w:rStyle w:val="af1"/>
          <w:szCs w:val="32"/>
          <w:rtl/>
        </w:rPr>
        <w:footnoteReference w:id="248"/>
      </w:r>
      <w:r w:rsidR="006907D8" w:rsidRPr="00C821A1">
        <w:rPr>
          <w:rStyle w:val="af1"/>
          <w:szCs w:val="32"/>
          <w:rtl/>
        </w:rPr>
        <w:t>)</w:t>
      </w:r>
      <w:r w:rsidRPr="001851F0">
        <w:rPr>
          <w:rFonts w:ascii="Traditional Arabic" w:hAnsi="Traditional Arabic" w:hint="cs"/>
          <w:noProof w:val="0"/>
          <w:color w:val="auto"/>
          <w:rtl/>
          <w:lang w:eastAsia="en-US"/>
        </w:rPr>
        <w:t>.</w:t>
      </w:r>
    </w:p>
    <w:p w:rsidR="00F228A9" w:rsidRPr="003701B0" w:rsidRDefault="003701B0" w:rsidP="00597C20">
      <w:pPr>
        <w:pStyle w:val="afc"/>
        <w:widowControl/>
        <w:numPr>
          <w:ilvl w:val="0"/>
          <w:numId w:val="7"/>
        </w:numPr>
        <w:autoSpaceDE w:val="0"/>
        <w:autoSpaceDN w:val="0"/>
        <w:adjustRightInd w:val="0"/>
        <w:jc w:val="left"/>
        <w:rPr>
          <w:rFonts w:ascii="Traditional Arabic" w:hAnsi="Traditional Arabic"/>
          <w:b/>
          <w:bCs/>
          <w:noProof w:val="0"/>
          <w:color w:val="auto"/>
          <w:rtl/>
          <w:lang w:eastAsia="en-US"/>
        </w:rPr>
      </w:pPr>
      <w:r w:rsidRPr="003701B0">
        <w:rPr>
          <w:rFonts w:ascii="Traditional Arabic" w:hAnsi="Traditional Arabic" w:hint="cs"/>
          <w:b/>
          <w:bCs/>
          <w:noProof w:val="0"/>
          <w:color w:val="auto"/>
          <w:rtl/>
          <w:lang w:eastAsia="en-US"/>
        </w:rPr>
        <w:lastRenderedPageBreak/>
        <w:t>الإجماع:</w:t>
      </w:r>
      <w:r w:rsidR="00F23297">
        <w:rPr>
          <w:rFonts w:ascii="Traditional Arabic" w:hAnsi="Traditional Arabic" w:hint="cs"/>
          <w:b/>
          <w:bCs/>
          <w:noProof w:val="0"/>
          <w:color w:val="auto"/>
          <w:rtl/>
          <w:lang w:eastAsia="en-US"/>
        </w:rPr>
        <w:t xml:space="preserve"> </w:t>
      </w:r>
      <w:r>
        <w:rPr>
          <w:rFonts w:ascii="Traditional Arabic" w:hAnsi="Traditional Arabic" w:hint="cs"/>
          <w:noProof w:val="0"/>
          <w:color w:val="auto"/>
          <w:rtl/>
          <w:lang w:eastAsia="en-US"/>
        </w:rPr>
        <w:t>نقل جمعٌ من العلماء</w:t>
      </w:r>
      <w:r w:rsidR="00CC1637">
        <w:rPr>
          <w:rFonts w:ascii="Traditional Arabic" w:hAnsi="Traditional Arabic" w:hint="cs"/>
          <w:noProof w:val="0"/>
          <w:color w:val="auto"/>
          <w:rtl/>
          <w:lang w:eastAsia="en-US"/>
        </w:rPr>
        <w:t xml:space="preserve"> الإجماع على أن </w:t>
      </w:r>
      <w:r w:rsidR="00715C00">
        <w:rPr>
          <w:rFonts w:ascii="Traditional Arabic" w:hAnsi="Traditional Arabic" w:hint="cs"/>
          <w:noProof w:val="0"/>
          <w:color w:val="auto"/>
          <w:rtl/>
          <w:lang w:eastAsia="en-US"/>
        </w:rPr>
        <w:t>الأحكام شُرعت لمصالح العباد</w:t>
      </w:r>
      <w:r w:rsidR="00715C00" w:rsidRPr="00C821A1">
        <w:rPr>
          <w:rStyle w:val="af1"/>
          <w:szCs w:val="32"/>
          <w:rtl/>
        </w:rPr>
        <w:t>(</w:t>
      </w:r>
      <w:r w:rsidR="00715C00" w:rsidRPr="00C821A1">
        <w:rPr>
          <w:rStyle w:val="af1"/>
          <w:szCs w:val="32"/>
          <w:rtl/>
        </w:rPr>
        <w:footnoteReference w:id="249"/>
      </w:r>
      <w:r w:rsidR="00715C00" w:rsidRPr="00C821A1">
        <w:rPr>
          <w:rStyle w:val="af1"/>
          <w:szCs w:val="32"/>
          <w:rtl/>
        </w:rPr>
        <w:t>)</w:t>
      </w:r>
      <w:r w:rsidR="00715C00">
        <w:rPr>
          <w:rFonts w:ascii="Traditional Arabic" w:hAnsi="Traditional Arabic" w:hint="cs"/>
          <w:noProof w:val="0"/>
          <w:color w:val="auto"/>
          <w:rtl/>
          <w:lang w:eastAsia="en-US"/>
        </w:rPr>
        <w:t>، وأن الشارع راعى المصلحة والمفسدة بالجملة</w:t>
      </w:r>
      <w:r w:rsidRPr="00C821A1">
        <w:rPr>
          <w:rStyle w:val="af1"/>
          <w:szCs w:val="32"/>
          <w:rtl/>
        </w:rPr>
        <w:t>(</w:t>
      </w:r>
      <w:r w:rsidRPr="00C821A1">
        <w:rPr>
          <w:rStyle w:val="af1"/>
          <w:szCs w:val="32"/>
          <w:rtl/>
        </w:rPr>
        <w:footnoteReference w:id="250"/>
      </w:r>
      <w:r w:rsidRPr="00C821A1">
        <w:rPr>
          <w:rStyle w:val="af1"/>
          <w:szCs w:val="32"/>
          <w:rtl/>
        </w:rPr>
        <w:t>)</w:t>
      </w:r>
      <w:r>
        <w:rPr>
          <w:rFonts w:ascii="Traditional Arabic" w:hAnsi="Traditional Arabic" w:hint="cs"/>
          <w:noProof w:val="0"/>
          <w:color w:val="auto"/>
          <w:rtl/>
          <w:lang w:eastAsia="en-US"/>
        </w:rPr>
        <w:t>.</w:t>
      </w:r>
      <w:bookmarkStart w:id="51" w:name="_Toc333592997"/>
    </w:p>
    <w:p w:rsidR="00B22058" w:rsidRDefault="00F23297" w:rsidP="00A8347C">
      <w:pPr>
        <w:pStyle w:val="aff3"/>
        <w:rPr>
          <w:rtl/>
        </w:rPr>
      </w:pPr>
      <w:bookmarkStart w:id="52" w:name="_Toc334046307"/>
      <w:r>
        <w:rPr>
          <w:rFonts w:hint="cs"/>
          <w:rtl/>
        </w:rPr>
        <w:t xml:space="preserve">                    </w:t>
      </w:r>
      <w:r w:rsidR="000F2637">
        <w:rPr>
          <w:rFonts w:hint="cs"/>
          <w:rtl/>
        </w:rPr>
        <w:t xml:space="preserve">                    </w:t>
      </w:r>
      <w:r w:rsidR="00B22058">
        <w:rPr>
          <w:rFonts w:hint="cs"/>
          <w:rtl/>
        </w:rPr>
        <w:t>المطلب الرابع</w:t>
      </w:r>
      <w:r w:rsidR="004F66DF">
        <w:rPr>
          <w:rFonts w:hint="eastAsia"/>
          <w:rtl/>
        </w:rPr>
        <w:t> :</w:t>
      </w:r>
      <w:r w:rsidR="004F66DF">
        <w:rPr>
          <w:rtl/>
        </w:rPr>
        <w:br/>
      </w:r>
      <w:r>
        <w:rPr>
          <w:rFonts w:hint="cs"/>
          <w:rtl/>
        </w:rPr>
        <w:t xml:space="preserve">                  </w:t>
      </w:r>
      <w:r w:rsidR="000F2637">
        <w:rPr>
          <w:rFonts w:hint="cs"/>
          <w:rtl/>
        </w:rPr>
        <w:t xml:space="preserve">                     </w:t>
      </w:r>
      <w:r w:rsidR="00B22058" w:rsidRPr="00B22058">
        <w:rPr>
          <w:rFonts w:hint="cs"/>
          <w:rtl/>
        </w:rPr>
        <w:t>تطبيقات القاعدة</w:t>
      </w:r>
      <w:bookmarkEnd w:id="51"/>
      <w:bookmarkEnd w:id="52"/>
    </w:p>
    <w:p w:rsidR="00F228A9" w:rsidRDefault="007C7D58" w:rsidP="00597C20">
      <w:pPr>
        <w:pStyle w:val="a7"/>
        <w:numPr>
          <w:ilvl w:val="0"/>
          <w:numId w:val="8"/>
        </w:numPr>
        <w:spacing w:line="440" w:lineRule="exact"/>
        <w:jc w:val="lowKashida"/>
        <w:rPr>
          <w:rFonts w:ascii="Traditional Arabic" w:hAnsi="Traditional Arabic"/>
          <w:color w:val="auto"/>
          <w:sz w:val="36"/>
          <w:szCs w:val="36"/>
        </w:rPr>
      </w:pPr>
      <w:r w:rsidRPr="00953ECC">
        <w:rPr>
          <w:rFonts w:ascii="Traditional Arabic" w:hAnsi="Traditional Arabic"/>
          <w:noProof w:val="0"/>
          <w:sz w:val="36"/>
          <w:szCs w:val="36"/>
          <w:rtl/>
          <w:lang w:eastAsia="en-US"/>
        </w:rPr>
        <w:t>يجوز للإنسان أن ي</w:t>
      </w:r>
      <w:r w:rsidR="00C651F5">
        <w:rPr>
          <w:rFonts w:ascii="Traditional Arabic" w:hAnsi="Traditional Arabic" w:hint="cs"/>
          <w:noProof w:val="0"/>
          <w:sz w:val="36"/>
          <w:szCs w:val="36"/>
          <w:rtl/>
          <w:lang w:eastAsia="en-US"/>
        </w:rPr>
        <w:t>ُ</w:t>
      </w:r>
      <w:r w:rsidRPr="00953ECC">
        <w:rPr>
          <w:rFonts w:ascii="Traditional Arabic" w:hAnsi="Traditional Arabic"/>
          <w:noProof w:val="0"/>
          <w:sz w:val="36"/>
          <w:szCs w:val="36"/>
          <w:rtl/>
          <w:lang w:eastAsia="en-US"/>
        </w:rPr>
        <w:t>ق</w:t>
      </w:r>
      <w:r w:rsidR="00C651F5">
        <w:rPr>
          <w:rFonts w:ascii="Traditional Arabic" w:hAnsi="Traditional Arabic" w:hint="cs"/>
          <w:noProof w:val="0"/>
          <w:sz w:val="36"/>
          <w:szCs w:val="36"/>
          <w:rtl/>
          <w:lang w:eastAsia="en-US"/>
        </w:rPr>
        <w:t>ْ</w:t>
      </w:r>
      <w:r w:rsidRPr="00953ECC">
        <w:rPr>
          <w:rFonts w:ascii="Traditional Arabic" w:hAnsi="Traditional Arabic"/>
          <w:noProof w:val="0"/>
          <w:sz w:val="36"/>
          <w:szCs w:val="36"/>
          <w:rtl/>
          <w:lang w:eastAsia="en-US"/>
        </w:rPr>
        <w:t>د</w:t>
      </w:r>
      <w:r w:rsidR="00C651F5">
        <w:rPr>
          <w:rFonts w:ascii="Traditional Arabic" w:hAnsi="Traditional Arabic" w:hint="cs"/>
          <w:noProof w:val="0"/>
          <w:sz w:val="36"/>
          <w:szCs w:val="36"/>
          <w:rtl/>
          <w:lang w:eastAsia="en-US"/>
        </w:rPr>
        <w:t>ِ</w:t>
      </w:r>
      <w:r w:rsidRPr="00953ECC">
        <w:rPr>
          <w:rFonts w:ascii="Traditional Arabic" w:hAnsi="Traditional Arabic"/>
          <w:noProof w:val="0"/>
          <w:sz w:val="36"/>
          <w:szCs w:val="36"/>
          <w:rtl/>
          <w:lang w:eastAsia="en-US"/>
        </w:rPr>
        <w:t>م على بيع مل</w:t>
      </w:r>
      <w:r w:rsidR="00C651F5">
        <w:rPr>
          <w:rFonts w:ascii="Traditional Arabic" w:hAnsi="Traditional Arabic" w:hint="cs"/>
          <w:noProof w:val="0"/>
          <w:sz w:val="36"/>
          <w:szCs w:val="36"/>
          <w:rtl/>
          <w:lang w:eastAsia="en-US"/>
        </w:rPr>
        <w:t>ْ</w:t>
      </w:r>
      <w:r w:rsidRPr="00953ECC">
        <w:rPr>
          <w:rFonts w:ascii="Traditional Arabic" w:hAnsi="Traditional Arabic"/>
          <w:noProof w:val="0"/>
          <w:sz w:val="36"/>
          <w:szCs w:val="36"/>
          <w:rtl/>
          <w:lang w:eastAsia="en-US"/>
        </w:rPr>
        <w:t>ك غيره بدون إذنه</w:t>
      </w:r>
      <w:r w:rsidR="00C651F5">
        <w:rPr>
          <w:rFonts w:ascii="Traditional Arabic" w:hAnsi="Traditional Arabic" w:hint="cs"/>
          <w:noProof w:val="0"/>
          <w:sz w:val="36"/>
          <w:szCs w:val="36"/>
          <w:rtl/>
          <w:lang w:eastAsia="en-US"/>
        </w:rPr>
        <w:t>،</w:t>
      </w:r>
      <w:r w:rsidR="00953ECC" w:rsidRPr="00953ECC">
        <w:rPr>
          <w:rFonts w:ascii="Traditional Arabic" w:hAnsi="Traditional Arabic" w:hint="cs"/>
          <w:color w:val="auto"/>
          <w:sz w:val="36"/>
          <w:szCs w:val="36"/>
          <w:rtl/>
        </w:rPr>
        <w:t xml:space="preserve"> إذا وُجدت</w:t>
      </w:r>
      <w:r w:rsidR="00953ECC">
        <w:rPr>
          <w:rFonts w:ascii="Traditional Arabic" w:hAnsi="Traditional Arabic" w:hint="cs"/>
          <w:color w:val="auto"/>
          <w:sz w:val="36"/>
          <w:szCs w:val="36"/>
          <w:rtl/>
        </w:rPr>
        <w:t xml:space="preserve"> مصلحة للمالك في ذلك، كأن</w:t>
      </w:r>
      <w:r w:rsidR="00F23297">
        <w:rPr>
          <w:rFonts w:ascii="Traditional Arabic" w:hAnsi="Traditional Arabic" w:hint="cs"/>
          <w:noProof w:val="0"/>
          <w:sz w:val="36"/>
          <w:szCs w:val="36"/>
          <w:rtl/>
          <w:lang w:eastAsia="en-US"/>
        </w:rPr>
        <w:t xml:space="preserve"> </w:t>
      </w:r>
      <w:r w:rsidR="00953ECC">
        <w:rPr>
          <w:rFonts w:ascii="Traditional Arabic" w:hAnsi="Traditional Arabic" w:hint="cs"/>
          <w:noProof w:val="0"/>
          <w:sz w:val="36"/>
          <w:szCs w:val="36"/>
          <w:rtl/>
          <w:lang w:eastAsia="en-US"/>
        </w:rPr>
        <w:t xml:space="preserve">يعلم البائع </w:t>
      </w:r>
      <w:r w:rsidR="00953ECC">
        <w:rPr>
          <w:rFonts w:ascii="Traditional Arabic" w:hAnsi="Traditional Arabic"/>
          <w:noProof w:val="0"/>
          <w:sz w:val="36"/>
          <w:szCs w:val="36"/>
          <w:rtl/>
          <w:lang w:eastAsia="en-US"/>
        </w:rPr>
        <w:t>أن</w:t>
      </w:r>
      <w:r w:rsidR="00953ECC">
        <w:rPr>
          <w:rFonts w:ascii="Traditional Arabic" w:hAnsi="Traditional Arabic" w:hint="cs"/>
          <w:noProof w:val="0"/>
          <w:sz w:val="36"/>
          <w:szCs w:val="36"/>
          <w:rtl/>
          <w:lang w:eastAsia="en-US"/>
        </w:rPr>
        <w:t xml:space="preserve"> المالك</w:t>
      </w:r>
      <w:r w:rsidR="00953ECC">
        <w:rPr>
          <w:rFonts w:ascii="Traditional Arabic" w:hAnsi="Traditional Arabic"/>
          <w:noProof w:val="0"/>
          <w:sz w:val="36"/>
          <w:szCs w:val="36"/>
          <w:rtl/>
          <w:lang w:eastAsia="en-US"/>
        </w:rPr>
        <w:t xml:space="preserve"> يريد أن يبيع بيته</w:t>
      </w:r>
      <w:r w:rsidR="00953ECC">
        <w:rPr>
          <w:rFonts w:ascii="Traditional Arabic" w:hAnsi="Traditional Arabic" w:hint="cs"/>
          <w:noProof w:val="0"/>
          <w:sz w:val="36"/>
          <w:szCs w:val="36"/>
          <w:rtl/>
          <w:lang w:eastAsia="en-US"/>
        </w:rPr>
        <w:t xml:space="preserve"> بتسعين ألفاً مثلاً،</w:t>
      </w:r>
      <w:r w:rsidR="00F23297">
        <w:rPr>
          <w:rFonts w:ascii="Traditional Arabic" w:hAnsi="Traditional Arabic" w:hint="cs"/>
          <w:noProof w:val="0"/>
          <w:sz w:val="36"/>
          <w:szCs w:val="36"/>
          <w:rtl/>
          <w:lang w:eastAsia="en-US"/>
        </w:rPr>
        <w:t xml:space="preserve"> </w:t>
      </w:r>
      <w:r w:rsidR="00953ECC">
        <w:rPr>
          <w:rFonts w:ascii="Traditional Arabic" w:hAnsi="Traditional Arabic" w:hint="cs"/>
          <w:noProof w:val="0"/>
          <w:sz w:val="36"/>
          <w:szCs w:val="36"/>
          <w:rtl/>
          <w:lang w:eastAsia="en-US"/>
        </w:rPr>
        <w:t>ويجد مَن</w:t>
      </w:r>
      <w:r w:rsidR="00F23297">
        <w:rPr>
          <w:rFonts w:ascii="Traditional Arabic" w:hAnsi="Traditional Arabic" w:hint="cs"/>
          <w:noProof w:val="0"/>
          <w:sz w:val="36"/>
          <w:szCs w:val="36"/>
          <w:rtl/>
          <w:lang w:eastAsia="en-US"/>
        </w:rPr>
        <w:t xml:space="preserve"> </w:t>
      </w:r>
      <w:r w:rsidR="00953ECC">
        <w:rPr>
          <w:rFonts w:ascii="Traditional Arabic" w:hAnsi="Traditional Arabic" w:hint="cs"/>
          <w:noProof w:val="0"/>
          <w:sz w:val="36"/>
          <w:szCs w:val="36"/>
          <w:rtl/>
          <w:lang w:eastAsia="en-US"/>
        </w:rPr>
        <w:t xml:space="preserve">يريد شراء </w:t>
      </w:r>
      <w:r w:rsidR="00953ECC" w:rsidRPr="00953ECC">
        <w:rPr>
          <w:rFonts w:ascii="Traditional Arabic" w:hAnsi="Traditional Arabic"/>
          <w:noProof w:val="0"/>
          <w:sz w:val="36"/>
          <w:szCs w:val="36"/>
          <w:rtl/>
          <w:lang w:eastAsia="en-US"/>
        </w:rPr>
        <w:t>الب</w:t>
      </w:r>
      <w:r w:rsidR="00953ECC">
        <w:rPr>
          <w:rFonts w:ascii="Traditional Arabic" w:hAnsi="Traditional Arabic"/>
          <w:noProof w:val="0"/>
          <w:sz w:val="36"/>
          <w:szCs w:val="36"/>
          <w:rtl/>
          <w:lang w:eastAsia="en-US"/>
        </w:rPr>
        <w:t>يت بمائة ألف، فيجوز ل</w:t>
      </w:r>
      <w:r w:rsidR="00953ECC">
        <w:rPr>
          <w:rFonts w:ascii="Traditional Arabic" w:hAnsi="Traditional Arabic" w:hint="cs"/>
          <w:noProof w:val="0"/>
          <w:sz w:val="36"/>
          <w:szCs w:val="36"/>
          <w:rtl/>
          <w:lang w:eastAsia="en-US"/>
        </w:rPr>
        <w:t>ه</w:t>
      </w:r>
      <w:r w:rsidR="00953ECC">
        <w:rPr>
          <w:rFonts w:ascii="Traditional Arabic" w:hAnsi="Traditional Arabic"/>
          <w:noProof w:val="0"/>
          <w:sz w:val="36"/>
          <w:szCs w:val="36"/>
          <w:rtl/>
          <w:lang w:eastAsia="en-US"/>
        </w:rPr>
        <w:t xml:space="preserve"> أن </w:t>
      </w:r>
      <w:r w:rsidR="00953ECC">
        <w:rPr>
          <w:rFonts w:ascii="Traditional Arabic" w:hAnsi="Traditional Arabic" w:hint="cs"/>
          <w:noProof w:val="0"/>
          <w:sz w:val="36"/>
          <w:szCs w:val="36"/>
          <w:rtl/>
          <w:lang w:eastAsia="en-US"/>
        </w:rPr>
        <w:t>ي</w:t>
      </w:r>
      <w:r w:rsidR="00953ECC">
        <w:rPr>
          <w:rFonts w:ascii="Traditional Arabic" w:hAnsi="Traditional Arabic"/>
          <w:noProof w:val="0"/>
          <w:sz w:val="36"/>
          <w:szCs w:val="36"/>
          <w:rtl/>
          <w:lang w:eastAsia="en-US"/>
        </w:rPr>
        <w:t>بيعه ؛ لأن هذا فيه مصلحة</w:t>
      </w:r>
      <w:r w:rsidR="00953ECC">
        <w:rPr>
          <w:rFonts w:ascii="Traditional Arabic" w:hAnsi="Traditional Arabic" w:hint="cs"/>
          <w:noProof w:val="0"/>
          <w:sz w:val="36"/>
          <w:szCs w:val="36"/>
          <w:rtl/>
          <w:lang w:eastAsia="en-US"/>
        </w:rPr>
        <w:t xml:space="preserve"> للمالك</w:t>
      </w:r>
      <w:r w:rsidR="00953ECC" w:rsidRPr="00C821A1">
        <w:rPr>
          <w:rStyle w:val="af1"/>
          <w:szCs w:val="32"/>
          <w:rtl/>
        </w:rPr>
        <w:t>(</w:t>
      </w:r>
      <w:r w:rsidR="00953ECC" w:rsidRPr="00C821A1">
        <w:rPr>
          <w:rStyle w:val="af1"/>
          <w:szCs w:val="32"/>
          <w:rtl/>
        </w:rPr>
        <w:footnoteReference w:id="251"/>
      </w:r>
      <w:r w:rsidR="00953ECC" w:rsidRPr="00C821A1">
        <w:rPr>
          <w:rStyle w:val="af1"/>
          <w:szCs w:val="32"/>
          <w:rtl/>
        </w:rPr>
        <w:t>)</w:t>
      </w:r>
      <w:r w:rsidR="00953ECC">
        <w:rPr>
          <w:rFonts w:ascii="Traditional Arabic" w:hAnsi="Traditional Arabic" w:hint="cs"/>
          <w:noProof w:val="0"/>
          <w:sz w:val="36"/>
          <w:szCs w:val="36"/>
          <w:rtl/>
          <w:lang w:eastAsia="en-US"/>
        </w:rPr>
        <w:t>.</w:t>
      </w:r>
    </w:p>
    <w:p w:rsidR="00C651F5" w:rsidRDefault="00C651F5" w:rsidP="00597C20">
      <w:pPr>
        <w:pStyle w:val="53"/>
        <w:rPr>
          <w:rtl/>
        </w:rPr>
      </w:pPr>
      <w:r>
        <w:rPr>
          <w:rFonts w:hint="cs"/>
          <w:rtl/>
        </w:rPr>
        <w:t>وجه اندراج الفرع تحت القاعدة:</w:t>
      </w:r>
    </w:p>
    <w:p w:rsidR="00F228A9" w:rsidRPr="00C651F5" w:rsidRDefault="00606147" w:rsidP="00597C20">
      <w:pPr>
        <w:pStyle w:val="a7"/>
        <w:spacing w:line="440" w:lineRule="exact"/>
        <w:ind w:left="0" w:firstLine="720"/>
        <w:rPr>
          <w:rFonts w:ascii="Traditional Arabic" w:hAnsi="Traditional Arabic"/>
          <w:color w:val="auto"/>
          <w:sz w:val="36"/>
          <w:szCs w:val="36"/>
          <w:rtl/>
        </w:rPr>
      </w:pPr>
      <w:r>
        <w:rPr>
          <w:rFonts w:ascii="Traditional Arabic" w:hAnsi="Traditional Arabic" w:hint="cs"/>
          <w:color w:val="auto"/>
          <w:sz w:val="36"/>
          <w:szCs w:val="36"/>
          <w:rtl/>
        </w:rPr>
        <w:t>إ</w:t>
      </w:r>
      <w:r w:rsidR="00C651F5">
        <w:rPr>
          <w:rFonts w:ascii="Traditional Arabic" w:hAnsi="Traditional Arabic" w:hint="cs"/>
          <w:color w:val="auto"/>
          <w:sz w:val="36"/>
          <w:szCs w:val="36"/>
          <w:rtl/>
        </w:rPr>
        <w:t>ن في إقدام البائع على بيع البيت مصلحة للمالك، فكان ذلك جائزا؛ لأن الشريعة جاءت بتحصيل المصالح ودفع المفاسد، والشريعة لا تحرِّم عقداً فيه مصلحة للمسلمين، بلا مفسدة تقاوِمها.</w:t>
      </w:r>
    </w:p>
    <w:p w:rsidR="009324F7" w:rsidRDefault="008135F7" w:rsidP="00597C20">
      <w:pPr>
        <w:pStyle w:val="a7"/>
        <w:numPr>
          <w:ilvl w:val="0"/>
          <w:numId w:val="8"/>
        </w:numPr>
        <w:spacing w:line="440" w:lineRule="exact"/>
        <w:jc w:val="lowKashida"/>
        <w:rPr>
          <w:rFonts w:ascii="Traditional Arabic" w:hAnsi="Traditional Arabic"/>
          <w:color w:val="auto"/>
          <w:sz w:val="36"/>
          <w:szCs w:val="36"/>
        </w:rPr>
      </w:pPr>
      <w:r w:rsidRPr="008135F7">
        <w:rPr>
          <w:rFonts w:ascii="Traditional Arabic" w:hAnsi="Traditional Arabic"/>
          <w:noProof w:val="0"/>
          <w:sz w:val="36"/>
          <w:szCs w:val="36"/>
          <w:rtl/>
          <w:lang w:eastAsia="en-US"/>
        </w:rPr>
        <w:t>إذا غ</w:t>
      </w:r>
      <w:r w:rsidR="009E4B83">
        <w:rPr>
          <w:rFonts w:ascii="Traditional Arabic" w:hAnsi="Traditional Arabic" w:hint="cs"/>
          <w:noProof w:val="0"/>
          <w:sz w:val="36"/>
          <w:szCs w:val="36"/>
          <w:rtl/>
          <w:lang w:eastAsia="en-US"/>
        </w:rPr>
        <w:t>ُ</w:t>
      </w:r>
      <w:r w:rsidRPr="008135F7">
        <w:rPr>
          <w:rFonts w:ascii="Traditional Arabic" w:hAnsi="Traditional Arabic"/>
          <w:noProof w:val="0"/>
          <w:sz w:val="36"/>
          <w:szCs w:val="36"/>
          <w:rtl/>
          <w:lang w:eastAsia="en-US"/>
        </w:rPr>
        <w:t>بن الإنسان غ</w:t>
      </w:r>
      <w:r w:rsidR="009E4B83">
        <w:rPr>
          <w:rFonts w:ascii="Traditional Arabic" w:hAnsi="Traditional Arabic" w:hint="cs"/>
          <w:noProof w:val="0"/>
          <w:sz w:val="36"/>
          <w:szCs w:val="36"/>
          <w:rtl/>
          <w:lang w:eastAsia="en-US"/>
        </w:rPr>
        <w:t>َ</w:t>
      </w:r>
      <w:r w:rsidRPr="008135F7">
        <w:rPr>
          <w:rFonts w:ascii="Traditional Arabic" w:hAnsi="Traditional Arabic"/>
          <w:noProof w:val="0"/>
          <w:sz w:val="36"/>
          <w:szCs w:val="36"/>
          <w:rtl/>
          <w:lang w:eastAsia="en-US"/>
        </w:rPr>
        <w:t>ب</w:t>
      </w:r>
      <w:r w:rsidR="009E4B83">
        <w:rPr>
          <w:rFonts w:ascii="Traditional Arabic" w:hAnsi="Traditional Arabic" w:hint="cs"/>
          <w:noProof w:val="0"/>
          <w:sz w:val="36"/>
          <w:szCs w:val="36"/>
          <w:rtl/>
          <w:lang w:eastAsia="en-US"/>
        </w:rPr>
        <w:t>ْ</w:t>
      </w:r>
      <w:r w:rsidRPr="008135F7">
        <w:rPr>
          <w:rFonts w:ascii="Traditional Arabic" w:hAnsi="Traditional Arabic"/>
          <w:noProof w:val="0"/>
          <w:sz w:val="36"/>
          <w:szCs w:val="36"/>
          <w:rtl/>
          <w:lang w:eastAsia="en-US"/>
        </w:rPr>
        <w:t>نا</w:t>
      </w:r>
      <w:r w:rsidR="009E4B83">
        <w:rPr>
          <w:rFonts w:ascii="Traditional Arabic" w:hAnsi="Traditional Arabic" w:hint="cs"/>
          <w:noProof w:val="0"/>
          <w:sz w:val="36"/>
          <w:szCs w:val="36"/>
          <w:rtl/>
          <w:lang w:eastAsia="en-US"/>
        </w:rPr>
        <w:t>ً</w:t>
      </w:r>
      <w:r w:rsidR="00BB1F1B" w:rsidRPr="00C821A1">
        <w:rPr>
          <w:rStyle w:val="af1"/>
          <w:szCs w:val="32"/>
          <w:rtl/>
        </w:rPr>
        <w:t>(</w:t>
      </w:r>
      <w:r w:rsidR="00BB1F1B" w:rsidRPr="00C821A1">
        <w:rPr>
          <w:rStyle w:val="af1"/>
          <w:szCs w:val="32"/>
          <w:rtl/>
        </w:rPr>
        <w:footnoteReference w:id="252"/>
      </w:r>
      <w:r w:rsidR="00BB1F1B" w:rsidRPr="00C821A1">
        <w:rPr>
          <w:rStyle w:val="af1"/>
          <w:szCs w:val="32"/>
          <w:rtl/>
        </w:rPr>
        <w:t>)</w:t>
      </w:r>
      <w:r w:rsidRPr="008135F7">
        <w:rPr>
          <w:rFonts w:ascii="Traditional Arabic" w:hAnsi="Traditional Arabic"/>
          <w:noProof w:val="0"/>
          <w:sz w:val="36"/>
          <w:szCs w:val="36"/>
          <w:rtl/>
          <w:lang w:eastAsia="en-US"/>
        </w:rPr>
        <w:t xml:space="preserve"> يخر</w:t>
      </w:r>
      <w:r w:rsidR="009E4B83">
        <w:rPr>
          <w:rFonts w:ascii="Traditional Arabic" w:hAnsi="Traditional Arabic" w:hint="cs"/>
          <w:noProof w:val="0"/>
          <w:sz w:val="36"/>
          <w:szCs w:val="36"/>
          <w:rtl/>
          <w:lang w:eastAsia="en-US"/>
        </w:rPr>
        <w:t>ُ</w:t>
      </w:r>
      <w:r w:rsidRPr="008135F7">
        <w:rPr>
          <w:rFonts w:ascii="Traditional Arabic" w:hAnsi="Traditional Arabic"/>
          <w:noProof w:val="0"/>
          <w:sz w:val="36"/>
          <w:szCs w:val="36"/>
          <w:rtl/>
          <w:lang w:eastAsia="en-US"/>
        </w:rPr>
        <w:t>ج عن العادة،</w:t>
      </w:r>
      <w:r w:rsidR="00F23297">
        <w:rPr>
          <w:rFonts w:ascii="Traditional Arabic" w:hAnsi="Traditional Arabic" w:hint="cs"/>
          <w:noProof w:val="0"/>
          <w:sz w:val="36"/>
          <w:szCs w:val="36"/>
          <w:rtl/>
          <w:lang w:eastAsia="en-US"/>
        </w:rPr>
        <w:t xml:space="preserve"> </w:t>
      </w:r>
      <w:r w:rsidR="00F23297">
        <w:rPr>
          <w:rFonts w:ascii="Traditional Arabic" w:hAnsi="Traditional Arabic" w:hint="cs"/>
          <w:color w:val="auto"/>
          <w:sz w:val="36"/>
          <w:szCs w:val="36"/>
          <w:rtl/>
        </w:rPr>
        <w:t>فإ</w:t>
      </w:r>
      <w:r w:rsidR="009E4B83">
        <w:rPr>
          <w:rFonts w:ascii="Traditional Arabic" w:hAnsi="Traditional Arabic" w:hint="cs"/>
          <w:color w:val="auto"/>
          <w:sz w:val="36"/>
          <w:szCs w:val="36"/>
          <w:rtl/>
        </w:rPr>
        <w:t xml:space="preserve">نه </w:t>
      </w:r>
      <w:r w:rsidRPr="008135F7">
        <w:rPr>
          <w:rFonts w:ascii="Traditional Arabic" w:hAnsi="Traditional Arabic"/>
          <w:noProof w:val="0"/>
          <w:sz w:val="36"/>
          <w:szCs w:val="36"/>
          <w:rtl/>
          <w:lang w:eastAsia="en-US"/>
        </w:rPr>
        <w:t>يثب</w:t>
      </w:r>
      <w:r w:rsidR="00F23297">
        <w:rPr>
          <w:rFonts w:ascii="Traditional Arabic" w:hAnsi="Traditional Arabic" w:hint="cs"/>
          <w:noProof w:val="0"/>
          <w:sz w:val="36"/>
          <w:szCs w:val="36"/>
          <w:rtl/>
          <w:lang w:eastAsia="en-US"/>
        </w:rPr>
        <w:t>ُ</w:t>
      </w:r>
      <w:r w:rsidRPr="008135F7">
        <w:rPr>
          <w:rFonts w:ascii="Traditional Arabic" w:hAnsi="Traditional Arabic"/>
          <w:noProof w:val="0"/>
          <w:sz w:val="36"/>
          <w:szCs w:val="36"/>
          <w:rtl/>
          <w:lang w:eastAsia="en-US"/>
        </w:rPr>
        <w:t>ت به الخيا</w:t>
      </w:r>
      <w:r w:rsidRPr="008135F7">
        <w:rPr>
          <w:rFonts w:ascii="Traditional Arabic" w:hAnsi="Traditional Arabic" w:hint="cs"/>
          <w:noProof w:val="0"/>
          <w:sz w:val="36"/>
          <w:szCs w:val="36"/>
          <w:rtl/>
          <w:lang w:eastAsia="en-US"/>
        </w:rPr>
        <w:t>ر سواء شر</w:t>
      </w:r>
      <w:r w:rsidR="00F23297">
        <w:rPr>
          <w:rFonts w:ascii="Traditional Arabic" w:hAnsi="Traditional Arabic" w:hint="cs"/>
          <w:noProof w:val="0"/>
          <w:sz w:val="36"/>
          <w:szCs w:val="36"/>
          <w:rtl/>
          <w:lang w:eastAsia="en-US"/>
        </w:rPr>
        <w:t>َ</w:t>
      </w:r>
      <w:r w:rsidRPr="008135F7">
        <w:rPr>
          <w:rFonts w:ascii="Traditional Arabic" w:hAnsi="Traditional Arabic" w:hint="cs"/>
          <w:noProof w:val="0"/>
          <w:sz w:val="36"/>
          <w:szCs w:val="36"/>
          <w:rtl/>
          <w:lang w:eastAsia="en-US"/>
        </w:rPr>
        <w:t>طه أو لم يشترطه؛ لأ</w:t>
      </w:r>
      <w:r w:rsidRPr="008135F7">
        <w:rPr>
          <w:rFonts w:ascii="Traditional Arabic" w:hAnsi="Traditional Arabic"/>
          <w:noProof w:val="0"/>
          <w:sz w:val="36"/>
          <w:szCs w:val="36"/>
          <w:rtl/>
          <w:lang w:eastAsia="en-US"/>
        </w:rPr>
        <w:t>ن هذا من الغش والخيانة، ولو لم نثب</w:t>
      </w:r>
      <w:r w:rsidR="00F23297">
        <w:rPr>
          <w:rFonts w:ascii="Traditional Arabic" w:hAnsi="Traditional Arabic" w:hint="cs"/>
          <w:noProof w:val="0"/>
          <w:sz w:val="36"/>
          <w:szCs w:val="36"/>
          <w:rtl/>
          <w:lang w:eastAsia="en-US"/>
        </w:rPr>
        <w:t>ِ</w:t>
      </w:r>
      <w:r w:rsidRPr="008135F7">
        <w:rPr>
          <w:rFonts w:ascii="Traditional Arabic" w:hAnsi="Traditional Arabic"/>
          <w:noProof w:val="0"/>
          <w:sz w:val="36"/>
          <w:szCs w:val="36"/>
          <w:rtl/>
          <w:lang w:eastAsia="en-US"/>
        </w:rPr>
        <w:t xml:space="preserve">ت الفسخ لكان في ذلك فتح </w:t>
      </w:r>
      <w:r w:rsidR="009E4B83">
        <w:rPr>
          <w:rFonts w:ascii="Traditional Arabic" w:hAnsi="Traditional Arabic" w:hint="cs"/>
          <w:noProof w:val="0"/>
          <w:sz w:val="36"/>
          <w:szCs w:val="36"/>
          <w:rtl/>
          <w:lang w:eastAsia="en-US"/>
        </w:rPr>
        <w:t>ٌ</w:t>
      </w:r>
      <w:r w:rsidRPr="008135F7">
        <w:rPr>
          <w:rFonts w:ascii="Traditional Arabic" w:hAnsi="Traditional Arabic"/>
          <w:noProof w:val="0"/>
          <w:sz w:val="36"/>
          <w:szCs w:val="36"/>
          <w:rtl/>
          <w:lang w:eastAsia="en-US"/>
        </w:rPr>
        <w:t xml:space="preserve">لباب </w:t>
      </w:r>
      <w:r w:rsidRPr="008135F7">
        <w:rPr>
          <w:rFonts w:ascii="Traditional Arabic" w:hAnsi="Traditional Arabic"/>
          <w:noProof w:val="0"/>
          <w:sz w:val="36"/>
          <w:szCs w:val="36"/>
          <w:rtl/>
          <w:lang w:eastAsia="en-US"/>
        </w:rPr>
        <w:lastRenderedPageBreak/>
        <w:t>الغش والخيانة</w:t>
      </w:r>
      <w:r w:rsidRPr="00C821A1">
        <w:rPr>
          <w:rStyle w:val="af1"/>
          <w:szCs w:val="32"/>
          <w:rtl/>
        </w:rPr>
        <w:t>(</w:t>
      </w:r>
      <w:r w:rsidRPr="00C821A1">
        <w:rPr>
          <w:rStyle w:val="af1"/>
          <w:szCs w:val="32"/>
          <w:rtl/>
        </w:rPr>
        <w:footnoteReference w:id="253"/>
      </w:r>
      <w:r w:rsidRPr="00C821A1">
        <w:rPr>
          <w:rStyle w:val="af1"/>
          <w:szCs w:val="32"/>
          <w:rtl/>
        </w:rPr>
        <w:t>)</w:t>
      </w:r>
      <w:r w:rsidRPr="008135F7">
        <w:rPr>
          <w:rFonts w:ascii="Traditional Arabic" w:hAnsi="Traditional Arabic" w:hint="cs"/>
          <w:noProof w:val="0"/>
          <w:sz w:val="36"/>
          <w:szCs w:val="36"/>
          <w:rtl/>
          <w:lang w:eastAsia="en-US"/>
        </w:rPr>
        <w:t>.</w:t>
      </w:r>
    </w:p>
    <w:p w:rsidR="008135F7" w:rsidRDefault="008135F7" w:rsidP="00597C20">
      <w:pPr>
        <w:pStyle w:val="53"/>
        <w:rPr>
          <w:rtl/>
        </w:rPr>
      </w:pPr>
      <w:r>
        <w:rPr>
          <w:rFonts w:hint="cs"/>
          <w:rtl/>
        </w:rPr>
        <w:t>وجه اندراج الفرع تحت القاعدة:</w:t>
      </w:r>
    </w:p>
    <w:p w:rsidR="008135F7" w:rsidRDefault="008135F7" w:rsidP="00597C20">
      <w:pPr>
        <w:pStyle w:val="a7"/>
        <w:spacing w:line="440" w:lineRule="exact"/>
        <w:ind w:left="0" w:firstLine="720"/>
        <w:rPr>
          <w:rFonts w:ascii="Traditional Arabic" w:hAnsi="Traditional Arabic"/>
          <w:color w:val="auto"/>
          <w:sz w:val="36"/>
          <w:szCs w:val="36"/>
          <w:rtl/>
        </w:rPr>
      </w:pPr>
      <w:r>
        <w:rPr>
          <w:rFonts w:ascii="Traditional Arabic" w:hAnsi="Traditional Arabic"/>
          <w:noProof w:val="0"/>
          <w:sz w:val="36"/>
          <w:szCs w:val="36"/>
          <w:rtl/>
          <w:lang w:eastAsia="en-US"/>
        </w:rPr>
        <w:t xml:space="preserve">ما </w:t>
      </w:r>
      <w:r>
        <w:rPr>
          <w:rFonts w:ascii="Traditional Arabic" w:hAnsi="Traditional Arabic" w:hint="cs"/>
          <w:noProof w:val="0"/>
          <w:sz w:val="36"/>
          <w:szCs w:val="36"/>
          <w:rtl/>
          <w:lang w:eastAsia="en-US"/>
        </w:rPr>
        <w:t>دام في</w:t>
      </w:r>
      <w:r w:rsidR="00F23297">
        <w:rPr>
          <w:rFonts w:ascii="Traditional Arabic" w:hAnsi="Traditional Arabic" w:hint="cs"/>
          <w:noProof w:val="0"/>
          <w:sz w:val="36"/>
          <w:szCs w:val="36"/>
          <w:rtl/>
          <w:lang w:eastAsia="en-US"/>
        </w:rPr>
        <w:t xml:space="preserve"> </w:t>
      </w:r>
      <w:r>
        <w:rPr>
          <w:rFonts w:ascii="Traditional Arabic" w:hAnsi="Traditional Arabic" w:hint="cs"/>
          <w:noProof w:val="0"/>
          <w:sz w:val="36"/>
          <w:szCs w:val="36"/>
          <w:rtl/>
          <w:lang w:eastAsia="en-US"/>
        </w:rPr>
        <w:t>إثبات الخيار للمشتري</w:t>
      </w:r>
      <w:r w:rsidR="00F23297">
        <w:rPr>
          <w:rFonts w:ascii="Traditional Arabic" w:hAnsi="Traditional Arabic"/>
          <w:noProof w:val="0"/>
          <w:sz w:val="36"/>
          <w:szCs w:val="36"/>
          <w:rtl/>
          <w:lang w:eastAsia="en-US"/>
        </w:rPr>
        <w:t xml:space="preserve"> درء</w:t>
      </w:r>
      <w:r w:rsidR="00F23297">
        <w:rPr>
          <w:rFonts w:ascii="Traditional Arabic" w:hAnsi="Traditional Arabic" w:hint="cs"/>
          <w:noProof w:val="0"/>
          <w:sz w:val="36"/>
          <w:szCs w:val="36"/>
          <w:rtl/>
          <w:lang w:eastAsia="en-US"/>
        </w:rPr>
        <w:t>ٌ</w:t>
      </w:r>
      <w:r w:rsidRPr="008135F7">
        <w:rPr>
          <w:rFonts w:ascii="Traditional Arabic" w:hAnsi="Traditional Arabic"/>
          <w:noProof w:val="0"/>
          <w:sz w:val="36"/>
          <w:szCs w:val="36"/>
          <w:rtl/>
          <w:lang w:eastAsia="en-US"/>
        </w:rPr>
        <w:t xml:space="preserve"> للمفسدة</w:t>
      </w:r>
      <w:r>
        <w:rPr>
          <w:rFonts w:ascii="Traditional Arabic" w:hAnsi="Traditional Arabic" w:hint="cs"/>
          <w:noProof w:val="0"/>
          <w:sz w:val="36"/>
          <w:szCs w:val="36"/>
          <w:rtl/>
          <w:lang w:eastAsia="en-US"/>
        </w:rPr>
        <w:t>،</w:t>
      </w:r>
      <w:r w:rsidR="00F23297">
        <w:rPr>
          <w:rFonts w:ascii="Traditional Arabic" w:hAnsi="Traditional Arabic"/>
          <w:noProof w:val="0"/>
          <w:sz w:val="36"/>
          <w:szCs w:val="36"/>
          <w:rtl/>
          <w:lang w:eastAsia="en-US"/>
        </w:rPr>
        <w:t xml:space="preserve"> وقط</w:t>
      </w:r>
      <w:r w:rsidR="00F23297">
        <w:rPr>
          <w:rFonts w:ascii="Traditional Arabic" w:hAnsi="Traditional Arabic" w:hint="cs"/>
          <w:noProof w:val="0"/>
          <w:sz w:val="36"/>
          <w:szCs w:val="36"/>
          <w:rtl/>
          <w:lang w:eastAsia="en-US"/>
        </w:rPr>
        <w:t xml:space="preserve">عٌ </w:t>
      </w:r>
      <w:r>
        <w:rPr>
          <w:rFonts w:ascii="Traditional Arabic" w:hAnsi="Traditional Arabic" w:hint="cs"/>
          <w:noProof w:val="0"/>
          <w:sz w:val="36"/>
          <w:szCs w:val="36"/>
          <w:rtl/>
          <w:lang w:eastAsia="en-US"/>
        </w:rPr>
        <w:t xml:space="preserve">للطريق </w:t>
      </w:r>
      <w:r>
        <w:rPr>
          <w:rFonts w:ascii="Traditional Arabic" w:hAnsi="Traditional Arabic"/>
          <w:noProof w:val="0"/>
          <w:sz w:val="36"/>
          <w:szCs w:val="36"/>
          <w:rtl/>
          <w:lang w:eastAsia="en-US"/>
        </w:rPr>
        <w:t>على أهل الخيانة والغش</w:t>
      </w:r>
      <w:r w:rsidRPr="008135F7">
        <w:rPr>
          <w:rFonts w:ascii="Traditional Arabic" w:hAnsi="Traditional Arabic"/>
          <w:noProof w:val="0"/>
          <w:sz w:val="36"/>
          <w:szCs w:val="36"/>
          <w:rtl/>
          <w:lang w:eastAsia="en-US"/>
        </w:rPr>
        <w:t>، فإن الواجب س</w:t>
      </w:r>
      <w:r>
        <w:rPr>
          <w:rFonts w:ascii="Traditional Arabic" w:hAnsi="Traditional Arabic" w:hint="cs"/>
          <w:noProof w:val="0"/>
          <w:sz w:val="36"/>
          <w:szCs w:val="36"/>
          <w:rtl/>
          <w:lang w:eastAsia="en-US"/>
        </w:rPr>
        <w:t>ُ</w:t>
      </w:r>
      <w:r w:rsidRPr="008135F7">
        <w:rPr>
          <w:rFonts w:ascii="Traditional Arabic" w:hAnsi="Traditional Arabic"/>
          <w:noProof w:val="0"/>
          <w:sz w:val="36"/>
          <w:szCs w:val="36"/>
          <w:rtl/>
          <w:lang w:eastAsia="en-US"/>
        </w:rPr>
        <w:t>لوك هذا الطريق</w:t>
      </w:r>
      <w:r w:rsidRPr="008135F7">
        <w:rPr>
          <w:rFonts w:ascii="Traditional Arabic" w:hAnsi="Traditional Arabic" w:hint="cs"/>
          <w:noProof w:val="0"/>
          <w:sz w:val="36"/>
          <w:szCs w:val="36"/>
          <w:rtl/>
          <w:lang w:eastAsia="en-US"/>
        </w:rPr>
        <w:t xml:space="preserve">؛ لأن </w:t>
      </w:r>
      <w:r w:rsidRPr="008135F7">
        <w:rPr>
          <w:rFonts w:ascii="Traditional Arabic" w:hAnsi="Traditional Arabic"/>
          <w:noProof w:val="0"/>
          <w:sz w:val="36"/>
          <w:szCs w:val="36"/>
          <w:rtl/>
          <w:lang w:eastAsia="en-US"/>
        </w:rPr>
        <w:t>الشارع يأتي بدرء المفاسد وجلب المصالح</w:t>
      </w:r>
      <w:r w:rsidRPr="00C821A1">
        <w:rPr>
          <w:rStyle w:val="af1"/>
          <w:szCs w:val="32"/>
          <w:rtl/>
        </w:rPr>
        <w:t>(</w:t>
      </w:r>
      <w:r w:rsidRPr="00C821A1">
        <w:rPr>
          <w:rStyle w:val="af1"/>
          <w:szCs w:val="32"/>
          <w:rtl/>
        </w:rPr>
        <w:footnoteReference w:id="254"/>
      </w:r>
      <w:r w:rsidRPr="00C821A1">
        <w:rPr>
          <w:rStyle w:val="af1"/>
          <w:szCs w:val="32"/>
          <w:rtl/>
        </w:rPr>
        <w:t>)</w:t>
      </w:r>
      <w:r w:rsidRPr="008135F7">
        <w:rPr>
          <w:rFonts w:ascii="Traditional Arabic" w:hAnsi="Traditional Arabic" w:hint="cs"/>
          <w:noProof w:val="0"/>
          <w:sz w:val="36"/>
          <w:szCs w:val="36"/>
          <w:rtl/>
          <w:lang w:eastAsia="en-US"/>
        </w:rPr>
        <w:t>.</w:t>
      </w:r>
    </w:p>
    <w:p w:rsidR="00B96BCA" w:rsidRPr="000F2637" w:rsidRDefault="00B96BCA" w:rsidP="000F2637">
      <w:pPr>
        <w:pStyle w:val="a7"/>
        <w:numPr>
          <w:ilvl w:val="0"/>
          <w:numId w:val="8"/>
        </w:numPr>
        <w:spacing w:line="440" w:lineRule="exact"/>
        <w:jc w:val="lowKashida"/>
        <w:rPr>
          <w:rFonts w:ascii="Traditional Arabic" w:hAnsi="Traditional Arabic"/>
          <w:color w:val="auto"/>
          <w:sz w:val="36"/>
          <w:szCs w:val="36"/>
          <w:rtl/>
        </w:rPr>
      </w:pPr>
      <w:r>
        <w:rPr>
          <w:rFonts w:ascii="Traditional Arabic" w:hAnsi="Traditional Arabic" w:hint="cs"/>
          <w:color w:val="auto"/>
          <w:sz w:val="36"/>
          <w:szCs w:val="36"/>
          <w:rtl/>
        </w:rPr>
        <w:t>يجوز للدائن أن ي</w:t>
      </w:r>
      <w:r w:rsidR="00091991">
        <w:rPr>
          <w:rFonts w:ascii="Traditional Arabic" w:hAnsi="Traditional Arabic" w:hint="cs"/>
          <w:color w:val="auto"/>
          <w:sz w:val="36"/>
          <w:szCs w:val="36"/>
          <w:rtl/>
        </w:rPr>
        <w:t>ُ</w:t>
      </w:r>
      <w:r>
        <w:rPr>
          <w:rFonts w:ascii="Traditional Arabic" w:hAnsi="Traditional Arabic" w:hint="cs"/>
          <w:color w:val="auto"/>
          <w:sz w:val="36"/>
          <w:szCs w:val="36"/>
          <w:rtl/>
        </w:rPr>
        <w:t xml:space="preserve">صالح المدين عن دينه المؤجَّل بأن </w:t>
      </w:r>
      <w:r w:rsidR="00091991">
        <w:rPr>
          <w:rFonts w:ascii="Traditional Arabic" w:hAnsi="Traditional Arabic" w:hint="cs"/>
          <w:color w:val="auto"/>
          <w:sz w:val="36"/>
          <w:szCs w:val="36"/>
          <w:rtl/>
        </w:rPr>
        <w:t>يبرئه من بعض الدين و</w:t>
      </w:r>
      <w:r w:rsidR="008F3465">
        <w:rPr>
          <w:rFonts w:ascii="Traditional Arabic" w:hAnsi="Traditional Arabic" w:hint="cs"/>
          <w:color w:val="auto"/>
          <w:sz w:val="36"/>
          <w:szCs w:val="36"/>
          <w:rtl/>
        </w:rPr>
        <w:t>يوفيه</w:t>
      </w:r>
      <w:r>
        <w:rPr>
          <w:rFonts w:ascii="Traditional Arabic" w:hAnsi="Traditional Arabic" w:hint="cs"/>
          <w:color w:val="auto"/>
          <w:sz w:val="36"/>
          <w:szCs w:val="36"/>
          <w:rtl/>
        </w:rPr>
        <w:t xml:space="preserve"> ال</w:t>
      </w:r>
      <w:r w:rsidR="00091991">
        <w:rPr>
          <w:rFonts w:ascii="Traditional Arabic" w:hAnsi="Traditional Arabic" w:hint="cs"/>
          <w:color w:val="auto"/>
          <w:sz w:val="36"/>
          <w:szCs w:val="36"/>
          <w:rtl/>
        </w:rPr>
        <w:t>مدين الباقي حالاًّ</w:t>
      </w:r>
      <w:r>
        <w:rPr>
          <w:rFonts w:ascii="Traditional Arabic" w:hAnsi="Traditional Arabic" w:hint="cs"/>
          <w:color w:val="auto"/>
          <w:sz w:val="36"/>
          <w:szCs w:val="36"/>
          <w:rtl/>
        </w:rPr>
        <w:t xml:space="preserve">؛ </w:t>
      </w:r>
      <w:r w:rsidRPr="00B96BCA">
        <w:rPr>
          <w:rFonts w:ascii="Traditional Arabic" w:hAnsi="Traditional Arabic"/>
          <w:noProof w:val="0"/>
          <w:sz w:val="36"/>
          <w:szCs w:val="36"/>
          <w:rtl/>
          <w:lang w:eastAsia="en-US"/>
        </w:rPr>
        <w:t>لأن فيه مصلحة</w:t>
      </w:r>
      <w:r>
        <w:rPr>
          <w:rFonts w:ascii="Traditional Arabic" w:hAnsi="Traditional Arabic" w:hint="cs"/>
          <w:noProof w:val="0"/>
          <w:sz w:val="36"/>
          <w:szCs w:val="36"/>
          <w:rtl/>
          <w:lang w:eastAsia="en-US"/>
        </w:rPr>
        <w:t>ً</w:t>
      </w:r>
      <w:r w:rsidR="00091991">
        <w:rPr>
          <w:rFonts w:ascii="Traditional Arabic" w:hAnsi="Traditional Arabic"/>
          <w:noProof w:val="0"/>
          <w:sz w:val="36"/>
          <w:szCs w:val="36"/>
          <w:rtl/>
          <w:lang w:eastAsia="en-US"/>
        </w:rPr>
        <w:t xml:space="preserve"> للطرفين، </w:t>
      </w:r>
      <w:r w:rsidR="00091991">
        <w:rPr>
          <w:rFonts w:ascii="Traditional Arabic" w:hAnsi="Traditional Arabic" w:hint="cs"/>
          <w:noProof w:val="0"/>
          <w:sz w:val="36"/>
          <w:szCs w:val="36"/>
          <w:rtl/>
          <w:lang w:eastAsia="en-US"/>
        </w:rPr>
        <w:t>ف</w:t>
      </w:r>
      <w:r>
        <w:rPr>
          <w:rFonts w:ascii="Traditional Arabic" w:hAnsi="Traditional Arabic"/>
          <w:noProof w:val="0"/>
          <w:sz w:val="36"/>
          <w:szCs w:val="36"/>
          <w:rtl/>
          <w:lang w:eastAsia="en-US"/>
        </w:rPr>
        <w:t>ال</w:t>
      </w:r>
      <w:r>
        <w:rPr>
          <w:rFonts w:ascii="Traditional Arabic" w:hAnsi="Traditional Arabic" w:hint="cs"/>
          <w:noProof w:val="0"/>
          <w:sz w:val="36"/>
          <w:szCs w:val="36"/>
          <w:rtl/>
          <w:lang w:eastAsia="en-US"/>
        </w:rPr>
        <w:t>دائن</w:t>
      </w:r>
      <w:r w:rsidR="00153D33">
        <w:rPr>
          <w:rFonts w:ascii="Traditional Arabic" w:hAnsi="Traditional Arabic" w:hint="cs"/>
          <w:noProof w:val="0"/>
          <w:sz w:val="36"/>
          <w:szCs w:val="36"/>
          <w:rtl/>
          <w:lang w:eastAsia="en-US"/>
        </w:rPr>
        <w:t xml:space="preserve"> </w:t>
      </w:r>
      <w:r>
        <w:rPr>
          <w:rFonts w:ascii="Traditional Arabic" w:hAnsi="Traditional Arabic"/>
          <w:noProof w:val="0"/>
          <w:sz w:val="36"/>
          <w:szCs w:val="36"/>
          <w:rtl/>
          <w:lang w:eastAsia="en-US"/>
        </w:rPr>
        <w:t>مصلحت</w:t>
      </w:r>
      <w:r w:rsidR="00091991">
        <w:rPr>
          <w:rFonts w:ascii="Traditional Arabic" w:hAnsi="Traditional Arabic" w:hint="cs"/>
          <w:noProof w:val="0"/>
          <w:sz w:val="36"/>
          <w:szCs w:val="36"/>
          <w:rtl/>
          <w:lang w:eastAsia="en-US"/>
        </w:rPr>
        <w:t>ُ</w:t>
      </w:r>
      <w:r>
        <w:rPr>
          <w:rFonts w:ascii="Traditional Arabic" w:hAnsi="Traditional Arabic"/>
          <w:noProof w:val="0"/>
          <w:sz w:val="36"/>
          <w:szCs w:val="36"/>
          <w:rtl/>
          <w:lang w:eastAsia="en-US"/>
        </w:rPr>
        <w:t xml:space="preserve">ه </w:t>
      </w:r>
      <w:r w:rsidR="00091991">
        <w:rPr>
          <w:rFonts w:ascii="Traditional Arabic" w:hAnsi="Traditional Arabic"/>
          <w:noProof w:val="0"/>
          <w:sz w:val="36"/>
          <w:szCs w:val="36"/>
          <w:rtl/>
          <w:lang w:eastAsia="en-US"/>
        </w:rPr>
        <w:t>التعجيل،</w:t>
      </w:r>
      <w:r w:rsidR="000F2637">
        <w:rPr>
          <w:rFonts w:ascii="Traditional Arabic" w:hAnsi="Traditional Arabic" w:hint="cs"/>
          <w:color w:val="auto"/>
          <w:sz w:val="36"/>
          <w:szCs w:val="36"/>
          <w:rtl/>
        </w:rPr>
        <w:t xml:space="preserve"> </w:t>
      </w:r>
      <w:r w:rsidR="00091991" w:rsidRPr="000F2637">
        <w:rPr>
          <w:rFonts w:ascii="Traditional Arabic" w:hAnsi="Traditional Arabic"/>
          <w:noProof w:val="0"/>
          <w:sz w:val="36"/>
          <w:szCs w:val="36"/>
          <w:rtl/>
          <w:lang w:eastAsia="en-US"/>
        </w:rPr>
        <w:t>و</w:t>
      </w:r>
      <w:r w:rsidRPr="000F2637">
        <w:rPr>
          <w:rFonts w:ascii="Traditional Arabic" w:hAnsi="Traditional Arabic"/>
          <w:noProof w:val="0"/>
          <w:sz w:val="36"/>
          <w:szCs w:val="36"/>
          <w:rtl/>
          <w:lang w:eastAsia="en-US"/>
        </w:rPr>
        <w:t>الم</w:t>
      </w:r>
      <w:r w:rsidRPr="000F2637">
        <w:rPr>
          <w:rFonts w:ascii="Traditional Arabic" w:hAnsi="Traditional Arabic" w:hint="cs"/>
          <w:noProof w:val="0"/>
          <w:sz w:val="36"/>
          <w:szCs w:val="36"/>
          <w:rtl/>
          <w:lang w:eastAsia="en-US"/>
        </w:rPr>
        <w:t>دين</w:t>
      </w:r>
      <w:r w:rsidR="00153D33" w:rsidRPr="000F2637">
        <w:rPr>
          <w:rFonts w:ascii="Traditional Arabic" w:hAnsi="Traditional Arabic" w:hint="cs"/>
          <w:noProof w:val="0"/>
          <w:sz w:val="36"/>
          <w:szCs w:val="36"/>
          <w:rtl/>
          <w:lang w:eastAsia="en-US"/>
        </w:rPr>
        <w:t xml:space="preserve"> </w:t>
      </w:r>
      <w:r w:rsidRPr="000F2637">
        <w:rPr>
          <w:rFonts w:ascii="Traditional Arabic" w:hAnsi="Traditional Arabic"/>
          <w:noProof w:val="0"/>
          <w:sz w:val="36"/>
          <w:szCs w:val="36"/>
          <w:rtl/>
          <w:lang w:eastAsia="en-US"/>
        </w:rPr>
        <w:t>مصلحت</w:t>
      </w:r>
      <w:r w:rsidR="00091991"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ه الإسقاط، ومن المعلوم أن الشريعة لا تأتي ب</w:t>
      </w:r>
      <w:r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م</w:t>
      </w:r>
      <w:r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ن</w:t>
      </w:r>
      <w:r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ع</w:t>
      </w:r>
      <w:r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 xml:space="preserve"> عقد فيه مصلحة للطرفين، وليس فيه غرر ولا جهالة، وأيضا فإن </w:t>
      </w:r>
      <w:r w:rsidRPr="000F2637">
        <w:rPr>
          <w:rFonts w:ascii="Traditional Arabic" w:hAnsi="Traditional Arabic" w:hint="cs"/>
          <w:noProof w:val="0"/>
          <w:sz w:val="36"/>
          <w:szCs w:val="36"/>
          <w:rtl/>
          <w:lang w:eastAsia="en-US"/>
        </w:rPr>
        <w:t xml:space="preserve">محذور </w:t>
      </w:r>
      <w:r w:rsidRPr="000F2637">
        <w:rPr>
          <w:rFonts w:ascii="Traditional Arabic" w:hAnsi="Traditional Arabic"/>
          <w:noProof w:val="0"/>
          <w:sz w:val="36"/>
          <w:szCs w:val="36"/>
          <w:rtl/>
          <w:lang w:eastAsia="en-US"/>
        </w:rPr>
        <w:t>الربا في هذا بعيد جدا؛ لأن المدين لم يطرأ على باله حين استدان أنه سوف يرد</w:t>
      </w:r>
      <w:r w:rsidR="00091991"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 xml:space="preserve">ه </w:t>
      </w:r>
      <w:r w:rsidR="00153D33" w:rsidRPr="000F2637">
        <w:rPr>
          <w:rFonts w:ascii="Traditional Arabic" w:hAnsi="Traditional Arabic" w:hint="cs"/>
          <w:noProof w:val="0"/>
          <w:sz w:val="36"/>
          <w:szCs w:val="36"/>
          <w:rtl/>
          <w:lang w:eastAsia="en-US"/>
        </w:rPr>
        <w:t>ب</w:t>
      </w:r>
      <w:r w:rsidRPr="000F2637">
        <w:rPr>
          <w:rFonts w:ascii="Traditional Arabic" w:hAnsi="Traditional Arabic"/>
          <w:noProof w:val="0"/>
          <w:sz w:val="36"/>
          <w:szCs w:val="36"/>
          <w:rtl/>
          <w:lang w:eastAsia="en-US"/>
        </w:rPr>
        <w:t>أ</w:t>
      </w:r>
      <w:r w:rsidR="00091991"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ن</w:t>
      </w:r>
      <w:r w:rsidR="00091991"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ق</w:t>
      </w:r>
      <w:r w:rsidR="00091991"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ص</w:t>
      </w:r>
      <w:r w:rsidR="00091991"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 xml:space="preserve"> </w:t>
      </w:r>
      <w:r w:rsidR="00153D33" w:rsidRPr="000F2637">
        <w:rPr>
          <w:rFonts w:ascii="Traditional Arabic" w:hAnsi="Traditional Arabic" w:hint="cs"/>
          <w:noProof w:val="0"/>
          <w:sz w:val="36"/>
          <w:szCs w:val="36"/>
          <w:rtl/>
          <w:lang w:eastAsia="en-US"/>
        </w:rPr>
        <w:t>من ق</w:t>
      </w:r>
      <w:r w:rsidR="008F3465">
        <w:rPr>
          <w:rFonts w:ascii="Traditional Arabic" w:hAnsi="Traditional Arabic" w:hint="cs"/>
          <w:noProof w:val="0"/>
          <w:sz w:val="36"/>
          <w:szCs w:val="36"/>
          <w:rtl/>
          <w:lang w:eastAsia="en-US"/>
        </w:rPr>
        <w:t>َ</w:t>
      </w:r>
      <w:r w:rsidR="00153D33" w:rsidRPr="000F2637">
        <w:rPr>
          <w:rFonts w:ascii="Traditional Arabic" w:hAnsi="Traditional Arabic" w:hint="cs"/>
          <w:noProof w:val="0"/>
          <w:sz w:val="36"/>
          <w:szCs w:val="36"/>
          <w:rtl/>
          <w:lang w:eastAsia="en-US"/>
        </w:rPr>
        <w:t>د</w:t>
      </w:r>
      <w:r w:rsidR="008F3465">
        <w:rPr>
          <w:rFonts w:ascii="Traditional Arabic" w:hAnsi="Traditional Arabic" w:hint="cs"/>
          <w:noProof w:val="0"/>
          <w:sz w:val="36"/>
          <w:szCs w:val="36"/>
          <w:rtl/>
          <w:lang w:eastAsia="en-US"/>
        </w:rPr>
        <w:t>ْ</w:t>
      </w:r>
      <w:r w:rsidR="00153D33" w:rsidRPr="000F2637">
        <w:rPr>
          <w:rFonts w:ascii="Traditional Arabic" w:hAnsi="Traditional Arabic" w:hint="cs"/>
          <w:noProof w:val="0"/>
          <w:sz w:val="36"/>
          <w:szCs w:val="36"/>
          <w:rtl/>
          <w:lang w:eastAsia="en-US"/>
        </w:rPr>
        <w:t>ر</w:t>
      </w:r>
      <w:r w:rsidR="008F3465">
        <w:rPr>
          <w:rFonts w:ascii="Traditional Arabic" w:hAnsi="Traditional Arabic" w:hint="cs"/>
          <w:noProof w:val="0"/>
          <w:sz w:val="36"/>
          <w:szCs w:val="36"/>
          <w:rtl/>
          <w:lang w:eastAsia="en-US"/>
        </w:rPr>
        <w:t>ِ</w:t>
      </w:r>
      <w:r w:rsidR="00153D33" w:rsidRPr="000F2637">
        <w:rPr>
          <w:rFonts w:ascii="Traditional Arabic" w:hAnsi="Traditional Arabic" w:hint="cs"/>
          <w:noProof w:val="0"/>
          <w:sz w:val="36"/>
          <w:szCs w:val="36"/>
          <w:rtl/>
          <w:lang w:eastAsia="en-US"/>
        </w:rPr>
        <w:t xml:space="preserve"> الدين </w:t>
      </w:r>
      <w:r w:rsidRPr="000F2637">
        <w:rPr>
          <w:rFonts w:ascii="Traditional Arabic" w:hAnsi="Traditional Arabic"/>
          <w:noProof w:val="0"/>
          <w:sz w:val="36"/>
          <w:szCs w:val="36"/>
          <w:rtl/>
          <w:lang w:eastAsia="en-US"/>
        </w:rPr>
        <w:t>معج</w:t>
      </w:r>
      <w:r w:rsidR="00091991" w:rsidRPr="000F2637">
        <w:rPr>
          <w:rFonts w:ascii="Traditional Arabic" w:hAnsi="Traditional Arabic" w:hint="cs"/>
          <w:noProof w:val="0"/>
          <w:sz w:val="36"/>
          <w:szCs w:val="36"/>
          <w:rtl/>
          <w:lang w:eastAsia="en-US"/>
        </w:rPr>
        <w:t>َّ</w:t>
      </w:r>
      <w:r w:rsidRPr="000F2637">
        <w:rPr>
          <w:rFonts w:ascii="Traditional Arabic" w:hAnsi="Traditional Arabic"/>
          <w:noProof w:val="0"/>
          <w:sz w:val="36"/>
          <w:szCs w:val="36"/>
          <w:rtl/>
          <w:lang w:eastAsia="en-US"/>
        </w:rPr>
        <w:t>لا</w:t>
      </w:r>
      <w:r w:rsidR="00091991" w:rsidRPr="000F2637">
        <w:rPr>
          <w:rFonts w:ascii="Traditional Arabic" w:hAnsi="Traditional Arabic" w:hint="cs"/>
          <w:noProof w:val="0"/>
          <w:sz w:val="36"/>
          <w:szCs w:val="36"/>
          <w:rtl/>
          <w:lang w:eastAsia="en-US"/>
        </w:rPr>
        <w:t>ً</w:t>
      </w:r>
      <w:r w:rsidR="00091991" w:rsidRPr="000F2637">
        <w:rPr>
          <w:rStyle w:val="af1"/>
          <w:szCs w:val="32"/>
          <w:rtl/>
        </w:rPr>
        <w:t>(</w:t>
      </w:r>
      <w:r w:rsidR="00091991" w:rsidRPr="00C821A1">
        <w:rPr>
          <w:rStyle w:val="af1"/>
          <w:szCs w:val="32"/>
          <w:rtl/>
        </w:rPr>
        <w:footnoteReference w:id="255"/>
      </w:r>
      <w:r w:rsidR="00091991" w:rsidRPr="000F2637">
        <w:rPr>
          <w:rStyle w:val="af1"/>
          <w:szCs w:val="32"/>
          <w:rtl/>
        </w:rPr>
        <w:t>)</w:t>
      </w:r>
      <w:r w:rsidR="00091991" w:rsidRPr="000F2637">
        <w:rPr>
          <w:rFonts w:ascii="Traditional Arabic" w:hAnsi="Traditional Arabic" w:hint="cs"/>
          <w:noProof w:val="0"/>
          <w:sz w:val="36"/>
          <w:szCs w:val="36"/>
          <w:rtl/>
          <w:lang w:eastAsia="en-US"/>
        </w:rPr>
        <w:t>.</w:t>
      </w:r>
    </w:p>
    <w:p w:rsidR="00091991" w:rsidRDefault="00091991" w:rsidP="00597C20">
      <w:pPr>
        <w:pStyle w:val="53"/>
        <w:rPr>
          <w:rtl/>
        </w:rPr>
      </w:pPr>
      <w:r>
        <w:rPr>
          <w:rFonts w:hint="cs"/>
          <w:rtl/>
        </w:rPr>
        <w:t>وجه اندراج الفرع تحت القاعدة:</w:t>
      </w:r>
    </w:p>
    <w:p w:rsidR="00F228A9" w:rsidRDefault="000F2637" w:rsidP="00597C20">
      <w:pPr>
        <w:pStyle w:val="a7"/>
        <w:spacing w:line="440" w:lineRule="exact"/>
        <w:ind w:left="0" w:firstLine="720"/>
        <w:rPr>
          <w:rFonts w:ascii="Traditional Arabic" w:hAnsi="Traditional Arabic"/>
          <w:color w:val="auto"/>
          <w:sz w:val="36"/>
          <w:szCs w:val="36"/>
          <w:rtl/>
        </w:rPr>
      </w:pPr>
      <w:r>
        <w:rPr>
          <w:rFonts w:ascii="Traditional Arabic" w:hAnsi="Traditional Arabic" w:hint="cs"/>
          <w:color w:val="auto"/>
          <w:sz w:val="36"/>
          <w:szCs w:val="36"/>
          <w:rtl/>
        </w:rPr>
        <w:t>إ</w:t>
      </w:r>
      <w:r w:rsidR="00091991">
        <w:rPr>
          <w:rFonts w:ascii="Traditional Arabic" w:hAnsi="Traditional Arabic" w:hint="cs"/>
          <w:color w:val="auto"/>
          <w:sz w:val="36"/>
          <w:szCs w:val="36"/>
          <w:rtl/>
        </w:rPr>
        <w:t>ن هذا الصلح جائز؛ لأنه لا غررَ فيه ولا جهالةَ</w:t>
      </w:r>
      <w:r w:rsidR="00154102">
        <w:rPr>
          <w:rFonts w:ascii="Traditional Arabic" w:hAnsi="Traditional Arabic" w:hint="cs"/>
          <w:color w:val="auto"/>
          <w:sz w:val="36"/>
          <w:szCs w:val="36"/>
          <w:rtl/>
        </w:rPr>
        <w:t xml:space="preserve"> و</w:t>
      </w:r>
      <w:r w:rsidR="00091991">
        <w:rPr>
          <w:rFonts w:ascii="Traditional Arabic" w:hAnsi="Traditional Arabic" w:hint="cs"/>
          <w:color w:val="auto"/>
          <w:sz w:val="36"/>
          <w:szCs w:val="36"/>
          <w:rtl/>
        </w:rPr>
        <w:t>لا ربا، وفيه مصلحة للطرفين،</w:t>
      </w:r>
      <w:r w:rsidR="00153D33">
        <w:rPr>
          <w:rFonts w:ascii="Traditional Arabic" w:hAnsi="Traditional Arabic" w:hint="cs"/>
          <w:color w:val="auto"/>
          <w:sz w:val="36"/>
          <w:szCs w:val="36"/>
          <w:rtl/>
        </w:rPr>
        <w:t xml:space="preserve"> </w:t>
      </w:r>
      <w:r w:rsidR="00091991">
        <w:rPr>
          <w:rFonts w:ascii="Traditional Arabic" w:hAnsi="Traditional Arabic" w:hint="cs"/>
          <w:color w:val="auto"/>
          <w:sz w:val="36"/>
          <w:szCs w:val="36"/>
          <w:rtl/>
        </w:rPr>
        <w:t>والشريعة لا تحرِّم عقدا فيه مصلحة للطرفين بلا مفسدة تقاومها؛ بل جاءت بجلب المصالح وتكميلها.</w:t>
      </w:r>
    </w:p>
    <w:p w:rsidR="002C3CD7" w:rsidRDefault="002C3CD7" w:rsidP="002C3CD7">
      <w:pPr>
        <w:pStyle w:val="a7"/>
        <w:spacing w:line="440" w:lineRule="exact"/>
        <w:ind w:left="0" w:firstLine="720"/>
        <w:jc w:val="center"/>
        <w:rPr>
          <w:rFonts w:ascii="Traditional Arabic" w:hAnsi="Traditional Arabic"/>
          <w:b/>
          <w:bCs/>
          <w:color w:val="auto"/>
          <w:sz w:val="36"/>
          <w:szCs w:val="36"/>
          <w:rtl/>
        </w:rPr>
      </w:pPr>
    </w:p>
    <w:p w:rsidR="00606147" w:rsidRDefault="00606147" w:rsidP="002C3CD7">
      <w:pPr>
        <w:pStyle w:val="a7"/>
        <w:spacing w:line="440" w:lineRule="exact"/>
        <w:ind w:left="0" w:firstLine="720"/>
        <w:jc w:val="center"/>
        <w:rPr>
          <w:rFonts w:ascii="Traditional Arabic" w:hAnsi="Traditional Arabic"/>
          <w:b/>
          <w:bCs/>
          <w:color w:val="auto"/>
          <w:sz w:val="36"/>
          <w:szCs w:val="36"/>
          <w:rtl/>
        </w:rPr>
      </w:pPr>
    </w:p>
    <w:p w:rsidR="00606147" w:rsidRPr="00A63630" w:rsidRDefault="00606147" w:rsidP="002C3CD7">
      <w:pPr>
        <w:pStyle w:val="a7"/>
        <w:spacing w:line="440" w:lineRule="exact"/>
        <w:ind w:left="0" w:firstLine="720"/>
        <w:jc w:val="center"/>
        <w:rPr>
          <w:rFonts w:ascii="Traditional Arabic" w:hAnsi="Traditional Arabic"/>
          <w:b/>
          <w:bCs/>
          <w:color w:val="auto"/>
          <w:sz w:val="36"/>
          <w:szCs w:val="36"/>
          <w:rtl/>
        </w:rPr>
      </w:pPr>
    </w:p>
    <w:p w:rsidR="002C3CD7" w:rsidRDefault="00153D33" w:rsidP="008F3465">
      <w:pPr>
        <w:pStyle w:val="a7"/>
        <w:spacing w:line="440" w:lineRule="exact"/>
        <w:rPr>
          <w:rFonts w:ascii="Traditional Arabic" w:hAnsi="Traditional Arabic"/>
          <w:color w:val="auto"/>
          <w:sz w:val="36"/>
          <w:szCs w:val="36"/>
          <w:rtl/>
        </w:rPr>
      </w:pPr>
      <w:r w:rsidRPr="00A63630">
        <w:rPr>
          <w:rFonts w:ascii="Traditional Arabic" w:hAnsi="Traditional Arabic" w:hint="cs"/>
          <w:b/>
          <w:bCs/>
          <w:color w:val="auto"/>
          <w:sz w:val="36"/>
          <w:szCs w:val="36"/>
          <w:rtl/>
        </w:rPr>
        <w:t xml:space="preserve">                             </w:t>
      </w:r>
      <w:r w:rsidR="00A63630">
        <w:rPr>
          <w:rFonts w:ascii="Traditional Arabic" w:hAnsi="Traditional Arabic" w:hint="cs"/>
          <w:b/>
          <w:bCs/>
          <w:color w:val="auto"/>
          <w:sz w:val="36"/>
          <w:szCs w:val="36"/>
          <w:rtl/>
        </w:rPr>
        <w:t xml:space="preserve">         </w:t>
      </w:r>
    </w:p>
    <w:p w:rsidR="00606147" w:rsidRPr="002C3CD7" w:rsidRDefault="00606147" w:rsidP="002C3CD7">
      <w:pPr>
        <w:pStyle w:val="a7"/>
        <w:spacing w:line="440" w:lineRule="exact"/>
        <w:jc w:val="left"/>
        <w:rPr>
          <w:rFonts w:ascii="Traditional Arabic" w:hAnsi="Traditional Arabic"/>
          <w:color w:val="auto"/>
          <w:sz w:val="36"/>
          <w:szCs w:val="36"/>
          <w:rtl/>
        </w:rPr>
      </w:pPr>
    </w:p>
    <w:p w:rsidR="000C501F" w:rsidRPr="00C85F0F" w:rsidRDefault="000C501F" w:rsidP="000F5C0F">
      <w:pPr>
        <w:pStyle w:val="aff2"/>
        <w:rPr>
          <w:rtl/>
        </w:rPr>
      </w:pPr>
      <w:bookmarkStart w:id="53" w:name="_Toc334046308"/>
      <w:r>
        <w:rPr>
          <w:rFonts w:hint="cs"/>
          <w:rtl/>
        </w:rPr>
        <w:lastRenderedPageBreak/>
        <w:t>المبحث الثاني</w:t>
      </w:r>
      <w:r>
        <w:rPr>
          <w:rFonts w:hint="eastAsia"/>
          <w:rtl/>
          <w:lang w:bidi="ar-DZ"/>
        </w:rPr>
        <w:t> :</w:t>
      </w:r>
      <w:r>
        <w:rPr>
          <w:rFonts w:hint="cs"/>
          <w:rtl/>
          <w:lang w:bidi="ar-DZ"/>
        </w:rPr>
        <w:br/>
      </w:r>
      <w:r>
        <w:rPr>
          <w:rFonts w:hint="cs"/>
          <w:rtl/>
        </w:rPr>
        <w:t>قاعدة</w:t>
      </w:r>
      <w:r>
        <w:rPr>
          <w:rtl/>
        </w:rPr>
        <w:br/>
      </w:r>
      <w:r>
        <w:rPr>
          <w:rFonts w:hint="cs"/>
          <w:rtl/>
        </w:rPr>
        <w:t>"إذا تعارضت المصلحة والمفسدة قدم أرجحهما</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إذاتعارضتالمصلحةوالمفسدةقدمأرجحهما</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bookmarkEnd w:id="53"/>
    </w:p>
    <w:p w:rsidR="00065E4B" w:rsidRPr="00C85F0F" w:rsidRDefault="00153D33" w:rsidP="00A8347C">
      <w:pPr>
        <w:pStyle w:val="aff3"/>
        <w:rPr>
          <w:rtl/>
        </w:rPr>
      </w:pPr>
      <w:bookmarkStart w:id="54" w:name="_Toc334046309"/>
      <w:r>
        <w:rPr>
          <w:rFonts w:hint="cs"/>
          <w:rtl/>
        </w:rPr>
        <w:t xml:space="preserve">                </w:t>
      </w:r>
      <w:r w:rsidR="006802D7">
        <w:rPr>
          <w:rFonts w:hint="cs"/>
          <w:rtl/>
        </w:rPr>
        <w:t xml:space="preserve">  </w:t>
      </w:r>
      <w:r w:rsidR="00A63630">
        <w:rPr>
          <w:rFonts w:hint="cs"/>
          <w:rtl/>
        </w:rPr>
        <w:t xml:space="preserve">                       </w:t>
      </w:r>
      <w:r w:rsidR="000C501F" w:rsidRPr="00C85F0F">
        <w:rPr>
          <w:rFonts w:hint="cs"/>
          <w:rtl/>
        </w:rPr>
        <w:t>المطلب الأول</w:t>
      </w:r>
      <w:r w:rsidR="000C501F" w:rsidRPr="00C85F0F">
        <w:rPr>
          <w:rFonts w:hint="eastAsia"/>
          <w:rtl/>
        </w:rPr>
        <w:t> :</w:t>
      </w:r>
      <w:r w:rsidR="000C501F" w:rsidRPr="00C85F0F">
        <w:rPr>
          <w:rFonts w:hint="cs"/>
          <w:rtl/>
        </w:rPr>
        <w:br/>
      </w:r>
      <w:r>
        <w:rPr>
          <w:rFonts w:hint="cs"/>
          <w:rtl/>
        </w:rPr>
        <w:t xml:space="preserve">        </w:t>
      </w:r>
      <w:r w:rsidR="006802D7">
        <w:rPr>
          <w:rFonts w:hint="cs"/>
          <w:rtl/>
        </w:rPr>
        <w:t xml:space="preserve">  </w:t>
      </w:r>
      <w:r w:rsidR="00A63630">
        <w:rPr>
          <w:rFonts w:hint="cs"/>
          <w:rtl/>
        </w:rPr>
        <w:t xml:space="preserve">             </w:t>
      </w:r>
      <w:r w:rsidR="000C501F" w:rsidRPr="00C85F0F">
        <w:rPr>
          <w:rFonts w:hint="cs"/>
          <w:rtl/>
        </w:rPr>
        <w:t>صيغ القاعدة عند الشيخ وعند علماء القواعد</w:t>
      </w:r>
      <w:bookmarkEnd w:id="54"/>
    </w:p>
    <w:p w:rsidR="00065E4B" w:rsidRPr="00C85F0F" w:rsidRDefault="000F2637" w:rsidP="00597C20">
      <w:pPr>
        <w:widowControl/>
        <w:autoSpaceDE w:val="0"/>
        <w:autoSpaceDN w:val="0"/>
        <w:adjustRightInd w:val="0"/>
        <w:ind w:firstLine="0"/>
        <w:rPr>
          <w:rtl/>
        </w:rPr>
      </w:pPr>
      <w:r>
        <w:rPr>
          <w:rFonts w:hint="cs"/>
          <w:rtl/>
        </w:rPr>
        <w:t xml:space="preserve">    </w:t>
      </w:r>
      <w:r w:rsidR="00065E4B" w:rsidRPr="00C85F0F">
        <w:rPr>
          <w:rFonts w:hint="cs"/>
          <w:rtl/>
        </w:rPr>
        <w:t>ل</w:t>
      </w:r>
      <w:r w:rsidR="000C501F" w:rsidRPr="00C85F0F">
        <w:rPr>
          <w:rFonts w:hint="cs"/>
          <w:rtl/>
        </w:rPr>
        <w:t>م يصر</w:t>
      </w:r>
      <w:r w:rsidR="00606147">
        <w:rPr>
          <w:rFonts w:hint="cs"/>
          <w:rtl/>
        </w:rPr>
        <w:t>ّ</w:t>
      </w:r>
      <w:r w:rsidR="000C501F" w:rsidRPr="00C85F0F">
        <w:rPr>
          <w:rFonts w:hint="cs"/>
          <w:rtl/>
        </w:rPr>
        <w:t xml:space="preserve">ح الشيخ ابن عثيمين </w:t>
      </w:r>
      <w:r>
        <w:rPr>
          <w:rFonts w:hint="cs"/>
          <w:rtl/>
        </w:rPr>
        <w:t>_</w:t>
      </w:r>
      <w:r w:rsidR="009A0575" w:rsidRPr="005D5694">
        <w:rPr>
          <w:rFonts w:ascii="Traditional Arabic" w:hAnsi="Traditional Arabic" w:cs="CTraditional Arabic" w:hint="cs"/>
          <w:rtl/>
        </w:rPr>
        <w:t>/</w:t>
      </w:r>
      <w:r>
        <w:rPr>
          <w:rFonts w:hint="cs"/>
          <w:rtl/>
        </w:rPr>
        <w:t>_</w:t>
      </w:r>
      <w:r w:rsidR="000C501F" w:rsidRPr="00C85F0F">
        <w:rPr>
          <w:rFonts w:hint="cs"/>
          <w:rtl/>
        </w:rPr>
        <w:t xml:space="preserve"> بهذه </w:t>
      </w:r>
      <w:r w:rsidR="00606147">
        <w:rPr>
          <w:rFonts w:hint="cs"/>
          <w:rtl/>
        </w:rPr>
        <w:t xml:space="preserve">القاعدة </w:t>
      </w:r>
      <w:r w:rsidR="000C501F" w:rsidRPr="00C85F0F">
        <w:rPr>
          <w:rFonts w:hint="cs"/>
          <w:rtl/>
        </w:rPr>
        <w:t>لفظاً</w:t>
      </w:r>
      <w:r w:rsidR="008F3465">
        <w:rPr>
          <w:rFonts w:hint="cs"/>
          <w:rtl/>
        </w:rPr>
        <w:t xml:space="preserve"> في كتاب البيع من الشرح الممتع</w:t>
      </w:r>
      <w:r w:rsidR="000C501F" w:rsidRPr="00C85F0F">
        <w:rPr>
          <w:rFonts w:hint="cs"/>
          <w:rtl/>
        </w:rPr>
        <w:t xml:space="preserve">، وإنما ذكر ما يدل على معناها، حيث </w:t>
      </w:r>
      <w:r>
        <w:rPr>
          <w:rFonts w:hint="cs"/>
          <w:rtl/>
        </w:rPr>
        <w:t xml:space="preserve">إنه </w:t>
      </w:r>
      <w:r w:rsidR="000C501F" w:rsidRPr="00C85F0F">
        <w:rPr>
          <w:rFonts w:hint="cs"/>
          <w:rtl/>
        </w:rPr>
        <w:t>قال</w:t>
      </w:r>
      <w:r w:rsidR="000C501F" w:rsidRPr="00C85F0F">
        <w:rPr>
          <w:rFonts w:ascii="Traditional Arabic" w:hAnsi="Traditional Arabic" w:hint="cs"/>
          <w:noProof w:val="0"/>
          <w:rtl/>
          <w:lang w:eastAsia="en-US"/>
        </w:rPr>
        <w:t xml:space="preserve"> عند كلامه على جواز إخراج الميازيب</w:t>
      </w:r>
      <w:r w:rsidR="000C501F" w:rsidRPr="00C85F0F">
        <w:rPr>
          <w:rStyle w:val="af1"/>
          <w:szCs w:val="32"/>
          <w:rtl/>
        </w:rPr>
        <w:t>(</w:t>
      </w:r>
      <w:r w:rsidR="000C501F" w:rsidRPr="00C85F0F">
        <w:rPr>
          <w:rStyle w:val="af1"/>
          <w:szCs w:val="32"/>
          <w:rtl/>
        </w:rPr>
        <w:footnoteReference w:id="256"/>
      </w:r>
      <w:r w:rsidR="000C501F" w:rsidRPr="00C85F0F">
        <w:rPr>
          <w:rStyle w:val="af1"/>
          <w:szCs w:val="32"/>
          <w:rtl/>
        </w:rPr>
        <w:t>)</w:t>
      </w:r>
      <w:r w:rsidR="000C501F" w:rsidRPr="00C85F0F">
        <w:rPr>
          <w:rFonts w:ascii="Traditional Arabic" w:hAnsi="Traditional Arabic" w:hint="cs"/>
          <w:noProof w:val="0"/>
          <w:rtl/>
          <w:lang w:eastAsia="en-US"/>
        </w:rPr>
        <w:t xml:space="preserve"> إلى الطريق النافذ</w:t>
      </w:r>
      <w:r w:rsidR="000C501F" w:rsidRPr="00C85F0F">
        <w:rPr>
          <w:rStyle w:val="af1"/>
          <w:szCs w:val="32"/>
          <w:rtl/>
        </w:rPr>
        <w:t>(</w:t>
      </w:r>
      <w:r w:rsidR="000C501F" w:rsidRPr="00C85F0F">
        <w:rPr>
          <w:rStyle w:val="af1"/>
          <w:szCs w:val="32"/>
          <w:rtl/>
        </w:rPr>
        <w:footnoteReference w:id="257"/>
      </w:r>
      <w:r w:rsidR="000C501F" w:rsidRPr="00C85F0F">
        <w:rPr>
          <w:rStyle w:val="af1"/>
          <w:szCs w:val="32"/>
          <w:rtl/>
        </w:rPr>
        <w:t>)</w:t>
      </w:r>
      <w:r w:rsidR="000C501F" w:rsidRPr="00C85F0F">
        <w:rPr>
          <w:rFonts w:ascii="Traditional Arabic" w:hAnsi="Traditional Arabic" w:hint="cs"/>
          <w:noProof w:val="0"/>
          <w:rtl/>
          <w:lang w:eastAsia="en-US"/>
        </w:rPr>
        <w:t>، وما يمكن أن يترتب عليه من بعض الأضرار المغتفَرة: (</w:t>
      </w:r>
      <w:r w:rsidR="000C501F" w:rsidRPr="00C85F0F">
        <w:rPr>
          <w:rFonts w:ascii="Traditional Arabic" w:hAnsi="Traditional Arabic"/>
          <w:noProof w:val="0"/>
          <w:rtl/>
          <w:lang w:eastAsia="en-US"/>
        </w:rPr>
        <w:t>وهذا ضرر م</w:t>
      </w:r>
      <w:r w:rsidR="000C501F" w:rsidRPr="00C85F0F">
        <w:rPr>
          <w:rFonts w:ascii="Traditional Arabic" w:hAnsi="Traditional Arabic" w:hint="cs"/>
          <w:noProof w:val="0"/>
          <w:rtl/>
          <w:lang w:eastAsia="en-US"/>
        </w:rPr>
        <w:t>ُ</w:t>
      </w:r>
      <w:r w:rsidR="000C501F" w:rsidRPr="00C85F0F">
        <w:rPr>
          <w:rFonts w:ascii="Traditional Arabic" w:hAnsi="Traditional Arabic"/>
          <w:noProof w:val="0"/>
          <w:rtl/>
          <w:lang w:eastAsia="en-US"/>
        </w:rPr>
        <w:t>غتف</w:t>
      </w:r>
      <w:r w:rsidR="000C501F" w:rsidRPr="00C85F0F">
        <w:rPr>
          <w:rFonts w:ascii="Traditional Arabic" w:hAnsi="Traditional Arabic" w:hint="cs"/>
          <w:noProof w:val="0"/>
          <w:rtl/>
          <w:lang w:eastAsia="en-US"/>
        </w:rPr>
        <w:t>َ</w:t>
      </w:r>
      <w:r w:rsidR="000C501F" w:rsidRPr="00C85F0F">
        <w:rPr>
          <w:rFonts w:ascii="Traditional Arabic" w:hAnsi="Traditional Arabic"/>
          <w:noProof w:val="0"/>
          <w:rtl/>
          <w:lang w:eastAsia="en-US"/>
        </w:rPr>
        <w:t>ر في جانب المصلحة التي تكون للناس</w:t>
      </w:r>
      <w:r w:rsidR="000C501F" w:rsidRPr="00C85F0F">
        <w:rPr>
          <w:rFonts w:ascii="Traditional Arabic" w:hAnsi="Traditional Arabic" w:hint="cs"/>
          <w:noProof w:val="0"/>
          <w:sz w:val="44"/>
          <w:szCs w:val="44"/>
          <w:rtl/>
          <w:lang w:eastAsia="en-US"/>
        </w:rPr>
        <w:t>)</w:t>
      </w:r>
      <w:r w:rsidR="000C501F" w:rsidRPr="00C85F0F">
        <w:rPr>
          <w:rStyle w:val="af1"/>
          <w:szCs w:val="32"/>
          <w:rtl/>
        </w:rPr>
        <w:t>(</w:t>
      </w:r>
      <w:r w:rsidR="000C501F" w:rsidRPr="00C85F0F">
        <w:rPr>
          <w:rStyle w:val="af1"/>
          <w:szCs w:val="32"/>
          <w:rtl/>
        </w:rPr>
        <w:footnoteReference w:id="258"/>
      </w:r>
      <w:r w:rsidR="000C501F" w:rsidRPr="00C85F0F">
        <w:rPr>
          <w:rStyle w:val="af1"/>
          <w:szCs w:val="32"/>
          <w:rtl/>
        </w:rPr>
        <w:t>)</w:t>
      </w:r>
      <w:r w:rsidR="000C501F" w:rsidRPr="00C85F0F">
        <w:rPr>
          <w:rFonts w:ascii="Traditional Arabic" w:hAnsi="Traditional Arabic"/>
          <w:noProof w:val="0"/>
          <w:sz w:val="44"/>
          <w:szCs w:val="44"/>
          <w:rtl/>
          <w:lang w:eastAsia="en-US"/>
        </w:rPr>
        <w:t>.</w:t>
      </w:r>
    </w:p>
    <w:p w:rsidR="00E53F00" w:rsidRDefault="000F2637" w:rsidP="008F3465">
      <w:pPr>
        <w:widowControl/>
        <w:autoSpaceDE w:val="0"/>
        <w:autoSpaceDN w:val="0"/>
        <w:adjustRightInd w:val="0"/>
        <w:ind w:firstLine="0"/>
        <w:rPr>
          <w:color w:val="auto"/>
          <w:rtl/>
        </w:rPr>
      </w:pPr>
      <w:r>
        <w:rPr>
          <w:rFonts w:hint="cs"/>
          <w:rtl/>
        </w:rPr>
        <w:t xml:space="preserve">     </w:t>
      </w:r>
      <w:r w:rsidR="00065E4B" w:rsidRPr="00C85F0F">
        <w:rPr>
          <w:rFonts w:hint="cs"/>
          <w:rtl/>
        </w:rPr>
        <w:t>و</w:t>
      </w:r>
      <w:r w:rsidR="000C501F" w:rsidRPr="00C85F0F">
        <w:rPr>
          <w:rFonts w:hint="cs"/>
          <w:rtl/>
        </w:rPr>
        <w:t xml:space="preserve">لما تطرّق إلى </w:t>
      </w:r>
      <w:r w:rsidR="000C501F" w:rsidRPr="00C85F0F">
        <w:rPr>
          <w:rFonts w:hint="cs"/>
          <w:color w:val="auto"/>
          <w:rtl/>
        </w:rPr>
        <w:t>عدم صحة المسابَقة</w:t>
      </w:r>
      <w:r w:rsidR="003B3E89" w:rsidRPr="003B3E89">
        <w:rPr>
          <w:rFonts w:hint="cs"/>
          <w:color w:val="auto"/>
          <w:vertAlign w:val="superscript"/>
          <w:rtl/>
        </w:rPr>
        <w:t>(</w:t>
      </w:r>
      <w:r w:rsidR="003B3E89" w:rsidRPr="003B3E89">
        <w:rPr>
          <w:rStyle w:val="af1"/>
          <w:color w:val="auto"/>
          <w:rtl/>
        </w:rPr>
        <w:footnoteReference w:id="259"/>
      </w:r>
      <w:r w:rsidR="003B3E89" w:rsidRPr="003B3E89">
        <w:rPr>
          <w:rFonts w:hint="cs"/>
          <w:color w:val="auto"/>
          <w:vertAlign w:val="superscript"/>
          <w:rtl/>
        </w:rPr>
        <w:t>)</w:t>
      </w:r>
      <w:r w:rsidR="000C501F" w:rsidRPr="00C85F0F">
        <w:rPr>
          <w:rFonts w:hint="cs"/>
          <w:color w:val="auto"/>
          <w:rtl/>
        </w:rPr>
        <w:t xml:space="preserve"> بِعِوَضٍ إلا في الإبل</w:t>
      </w:r>
      <w:r w:rsidR="00154102" w:rsidRPr="00C85F0F">
        <w:rPr>
          <w:rFonts w:hint="cs"/>
          <w:color w:val="auto"/>
          <w:rtl/>
        </w:rPr>
        <w:t xml:space="preserve"> و</w:t>
      </w:r>
      <w:r w:rsidR="000C501F" w:rsidRPr="00C85F0F">
        <w:rPr>
          <w:rFonts w:hint="cs"/>
          <w:color w:val="auto"/>
          <w:rtl/>
        </w:rPr>
        <w:t>الخيل</w:t>
      </w:r>
      <w:r w:rsidR="00154102" w:rsidRPr="00C85F0F">
        <w:rPr>
          <w:rFonts w:hint="cs"/>
          <w:color w:val="auto"/>
          <w:rtl/>
        </w:rPr>
        <w:t xml:space="preserve"> و</w:t>
      </w:r>
      <w:r w:rsidR="004C4CBC">
        <w:rPr>
          <w:rFonts w:hint="cs"/>
          <w:color w:val="auto"/>
          <w:rtl/>
        </w:rPr>
        <w:t>السِّهام</w:t>
      </w:r>
      <w:r w:rsidR="00E53F00">
        <w:rPr>
          <w:rFonts w:hint="cs"/>
          <w:color w:val="auto"/>
          <w:rtl/>
        </w:rPr>
        <w:t xml:space="preserve"> قال</w:t>
      </w:r>
      <w:r w:rsidR="004C4CBC">
        <w:rPr>
          <w:rFonts w:hint="cs"/>
          <w:color w:val="auto"/>
          <w:rtl/>
        </w:rPr>
        <w:t xml:space="preserve">: </w:t>
      </w:r>
    </w:p>
    <w:p w:rsidR="00E53F00" w:rsidRDefault="00E53F00" w:rsidP="008F3465">
      <w:pPr>
        <w:widowControl/>
        <w:autoSpaceDE w:val="0"/>
        <w:autoSpaceDN w:val="0"/>
        <w:adjustRightInd w:val="0"/>
        <w:ind w:firstLine="0"/>
        <w:rPr>
          <w:color w:val="auto"/>
          <w:rtl/>
        </w:rPr>
      </w:pPr>
    </w:p>
    <w:p w:rsidR="000C501F" w:rsidRPr="00C85F0F" w:rsidRDefault="00E53F00" w:rsidP="008F3465">
      <w:pPr>
        <w:widowControl/>
        <w:autoSpaceDE w:val="0"/>
        <w:autoSpaceDN w:val="0"/>
        <w:adjustRightInd w:val="0"/>
        <w:ind w:firstLine="0"/>
        <w:rPr>
          <w:rFonts w:ascii="Traditional Arabic" w:hAnsi="Traditional Arabic"/>
          <w:noProof w:val="0"/>
          <w:rtl/>
          <w:lang w:eastAsia="en-US"/>
        </w:rPr>
      </w:pPr>
      <w:r>
        <w:rPr>
          <w:rFonts w:hint="cs"/>
          <w:color w:val="auto"/>
          <w:rtl/>
        </w:rPr>
        <w:lastRenderedPageBreak/>
        <w:t xml:space="preserve">    </w:t>
      </w:r>
      <w:r w:rsidR="004C4CBC">
        <w:rPr>
          <w:rFonts w:hint="cs"/>
          <w:color w:val="auto"/>
          <w:rtl/>
        </w:rPr>
        <w:t>(و</w:t>
      </w:r>
      <w:r w:rsidR="000C501F" w:rsidRPr="00C85F0F">
        <w:rPr>
          <w:rFonts w:hint="cs"/>
          <w:color w:val="auto"/>
          <w:rtl/>
        </w:rPr>
        <w:t>هذه المسألة مستثناة</w:t>
      </w:r>
      <w:r w:rsidR="000C501F" w:rsidRPr="00C85F0F">
        <w:rPr>
          <w:rStyle w:val="af1"/>
          <w:szCs w:val="32"/>
          <w:rtl/>
        </w:rPr>
        <w:t>(</w:t>
      </w:r>
      <w:r w:rsidR="000C501F" w:rsidRPr="00C85F0F">
        <w:rPr>
          <w:rStyle w:val="af1"/>
          <w:szCs w:val="32"/>
          <w:rtl/>
        </w:rPr>
        <w:footnoteReference w:id="260"/>
      </w:r>
      <w:r w:rsidR="000C501F" w:rsidRPr="00C85F0F">
        <w:rPr>
          <w:rStyle w:val="af1"/>
          <w:szCs w:val="32"/>
          <w:rtl/>
        </w:rPr>
        <w:t>)</w:t>
      </w:r>
      <w:r w:rsidR="000C501F" w:rsidRPr="00C85F0F">
        <w:rPr>
          <w:rFonts w:ascii="Traditional Arabic" w:hAnsi="Traditional Arabic"/>
          <w:noProof w:val="0"/>
          <w:sz w:val="44"/>
          <w:szCs w:val="44"/>
          <w:rtl/>
          <w:lang w:eastAsia="en-US"/>
        </w:rPr>
        <w:t>،</w:t>
      </w:r>
      <w:r w:rsidR="000C501F" w:rsidRPr="00C85F0F">
        <w:rPr>
          <w:rFonts w:ascii="Traditional Arabic" w:hAnsi="Traditional Arabic"/>
          <w:noProof w:val="0"/>
          <w:rtl/>
          <w:lang w:eastAsia="en-US"/>
        </w:rPr>
        <w:t xml:space="preserve"> وأن فيها مصلحة ت</w:t>
      </w:r>
      <w:r w:rsidR="000C501F" w:rsidRPr="00C85F0F">
        <w:rPr>
          <w:rFonts w:ascii="Traditional Arabic" w:hAnsi="Traditional Arabic" w:hint="cs"/>
          <w:noProof w:val="0"/>
          <w:rtl/>
          <w:lang w:eastAsia="en-US"/>
        </w:rPr>
        <w:t>َ</w:t>
      </w:r>
      <w:r w:rsidR="000C501F" w:rsidRPr="00C85F0F">
        <w:rPr>
          <w:rFonts w:ascii="Traditional Arabic" w:hAnsi="Traditional Arabic"/>
          <w:noProof w:val="0"/>
          <w:rtl/>
          <w:lang w:eastAsia="en-US"/>
        </w:rPr>
        <w:t>ر</w:t>
      </w:r>
      <w:r w:rsidR="000C501F" w:rsidRPr="00C85F0F">
        <w:rPr>
          <w:rFonts w:ascii="Traditional Arabic" w:hAnsi="Traditional Arabic" w:hint="cs"/>
          <w:noProof w:val="0"/>
          <w:rtl/>
          <w:lang w:eastAsia="en-US"/>
        </w:rPr>
        <w:t>ْ</w:t>
      </w:r>
      <w:r w:rsidR="000C501F" w:rsidRPr="00C85F0F">
        <w:rPr>
          <w:rFonts w:ascii="Traditional Arabic" w:hAnsi="Traditional Arabic"/>
          <w:noProof w:val="0"/>
          <w:rtl/>
          <w:lang w:eastAsia="en-US"/>
        </w:rPr>
        <w:t>بو</w:t>
      </w:r>
      <w:r w:rsidR="000C501F" w:rsidRPr="00C85F0F">
        <w:rPr>
          <w:rStyle w:val="af1"/>
          <w:szCs w:val="32"/>
          <w:rtl/>
        </w:rPr>
        <w:t>(</w:t>
      </w:r>
      <w:r w:rsidR="000C501F" w:rsidRPr="00C85F0F">
        <w:rPr>
          <w:rStyle w:val="af1"/>
          <w:szCs w:val="32"/>
          <w:rtl/>
        </w:rPr>
        <w:footnoteReference w:id="261"/>
      </w:r>
      <w:r w:rsidR="000C501F" w:rsidRPr="00C85F0F">
        <w:rPr>
          <w:rStyle w:val="af1"/>
          <w:szCs w:val="32"/>
          <w:rtl/>
        </w:rPr>
        <w:t>)</w:t>
      </w:r>
      <w:r w:rsidR="000C501F" w:rsidRPr="00C85F0F">
        <w:rPr>
          <w:rFonts w:ascii="Traditional Arabic" w:hAnsi="Traditional Arabic"/>
          <w:noProof w:val="0"/>
          <w:rtl/>
          <w:lang w:eastAsia="en-US"/>
        </w:rPr>
        <w:t xml:space="preserve"> على مفسدتها، والمصلحة هي</w:t>
      </w:r>
      <w:r w:rsidR="004C4CBC">
        <w:rPr>
          <w:rFonts w:ascii="Traditional Arabic" w:hAnsi="Traditional Arabic" w:hint="cs"/>
          <w:noProof w:val="0"/>
          <w:rtl/>
          <w:lang w:eastAsia="en-US"/>
        </w:rPr>
        <w:t xml:space="preserve"> </w:t>
      </w:r>
      <w:r w:rsidR="000C501F" w:rsidRPr="00C85F0F">
        <w:rPr>
          <w:rFonts w:ascii="Traditional Arabic" w:hAnsi="Traditional Arabic"/>
          <w:noProof w:val="0"/>
          <w:rtl/>
          <w:lang w:eastAsia="en-US"/>
        </w:rPr>
        <w:t>التمر</w:t>
      </w:r>
      <w:r w:rsidR="004C4CBC">
        <w:rPr>
          <w:rFonts w:ascii="Traditional Arabic" w:hAnsi="Traditional Arabic" w:hint="cs"/>
          <w:noProof w:val="0"/>
          <w:rtl/>
          <w:lang w:eastAsia="en-US"/>
        </w:rPr>
        <w:t>ُّ</w:t>
      </w:r>
      <w:r w:rsidR="000C501F" w:rsidRPr="00C85F0F">
        <w:rPr>
          <w:rFonts w:ascii="Traditional Arabic" w:hAnsi="Traditional Arabic"/>
          <w:noProof w:val="0"/>
          <w:rtl/>
          <w:lang w:eastAsia="en-US"/>
        </w:rPr>
        <w:t>ن على آلات القتال، وهذه مصلحة كبيرة وعظيمة تنغم</w:t>
      </w:r>
      <w:r w:rsidR="000C501F" w:rsidRPr="00C85F0F">
        <w:rPr>
          <w:rFonts w:ascii="Traditional Arabic" w:hAnsi="Traditional Arabic" w:hint="cs"/>
          <w:noProof w:val="0"/>
          <w:rtl/>
          <w:lang w:eastAsia="en-US"/>
        </w:rPr>
        <w:t>ِ</w:t>
      </w:r>
      <w:r w:rsidR="000C501F" w:rsidRPr="00C85F0F">
        <w:rPr>
          <w:rFonts w:ascii="Traditional Arabic" w:hAnsi="Traditional Arabic"/>
          <w:noProof w:val="0"/>
          <w:rtl/>
          <w:lang w:eastAsia="en-US"/>
        </w:rPr>
        <w:t>ر</w:t>
      </w:r>
      <w:r w:rsidR="008F3465">
        <w:rPr>
          <w:rStyle w:val="af1"/>
          <w:rFonts w:hint="cs"/>
          <w:szCs w:val="32"/>
          <w:rtl/>
        </w:rPr>
        <w:t xml:space="preserve"> </w:t>
      </w:r>
      <w:r w:rsidR="000C501F" w:rsidRPr="00C85F0F">
        <w:rPr>
          <w:rFonts w:ascii="Traditional Arabic" w:hAnsi="Traditional Arabic"/>
          <w:noProof w:val="0"/>
          <w:rtl/>
          <w:lang w:eastAsia="en-US"/>
        </w:rPr>
        <w:t>فيها المفسدة التي تحصل بالميسر</w:t>
      </w:r>
      <w:r w:rsidR="000C501F" w:rsidRPr="00C85F0F">
        <w:rPr>
          <w:rStyle w:val="af1"/>
          <w:szCs w:val="32"/>
          <w:rtl/>
        </w:rPr>
        <w:t>(</w:t>
      </w:r>
      <w:r w:rsidR="000C501F" w:rsidRPr="00C85F0F">
        <w:rPr>
          <w:rStyle w:val="af1"/>
          <w:szCs w:val="32"/>
          <w:rtl/>
        </w:rPr>
        <w:footnoteReference w:id="262"/>
      </w:r>
      <w:r w:rsidR="000C501F" w:rsidRPr="00C85F0F">
        <w:rPr>
          <w:rStyle w:val="af1"/>
          <w:szCs w:val="32"/>
          <w:rtl/>
        </w:rPr>
        <w:t>)</w:t>
      </w:r>
      <w:r w:rsidR="000C501F" w:rsidRPr="00C85F0F">
        <w:rPr>
          <w:rFonts w:ascii="Traditional Arabic" w:hAnsi="Traditional Arabic" w:hint="cs"/>
          <w:noProof w:val="0"/>
          <w:rtl/>
          <w:lang w:eastAsia="en-US"/>
        </w:rPr>
        <w:t>)</w:t>
      </w:r>
      <w:r w:rsidR="000C501F" w:rsidRPr="00C85F0F">
        <w:rPr>
          <w:rStyle w:val="af1"/>
          <w:szCs w:val="32"/>
          <w:rtl/>
        </w:rPr>
        <w:t>(</w:t>
      </w:r>
      <w:r w:rsidR="000C501F" w:rsidRPr="00C85F0F">
        <w:rPr>
          <w:rStyle w:val="af1"/>
          <w:szCs w:val="32"/>
          <w:rtl/>
        </w:rPr>
        <w:footnoteReference w:id="263"/>
      </w:r>
      <w:r w:rsidR="000C501F" w:rsidRPr="00C85F0F">
        <w:rPr>
          <w:rStyle w:val="af1"/>
          <w:szCs w:val="32"/>
          <w:rtl/>
        </w:rPr>
        <w:t>)</w:t>
      </w:r>
      <w:r w:rsidR="000C501F" w:rsidRPr="00C85F0F">
        <w:rPr>
          <w:rFonts w:ascii="Traditional Arabic" w:hAnsi="Traditional Arabic" w:hint="cs"/>
          <w:noProof w:val="0"/>
          <w:rtl/>
          <w:lang w:eastAsia="en-US"/>
        </w:rPr>
        <w:t>.</w:t>
      </w:r>
    </w:p>
    <w:p w:rsidR="000C501F" w:rsidRPr="00C85F0F" w:rsidRDefault="000C501F"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ويستفاد مما تقدم نقل</w:t>
      </w:r>
      <w:r w:rsidR="00153D33">
        <w:rPr>
          <w:rFonts w:ascii="Traditional Arabic" w:hAnsi="Traditional Arabic" w:hint="cs"/>
          <w:noProof w:val="0"/>
          <w:rtl/>
          <w:lang w:eastAsia="en-US"/>
        </w:rPr>
        <w:t>ُ</w:t>
      </w:r>
      <w:r w:rsidRPr="00C85F0F">
        <w:rPr>
          <w:rFonts w:ascii="Traditional Arabic" w:hAnsi="Traditional Arabic" w:hint="cs"/>
          <w:noProof w:val="0"/>
          <w:rtl/>
          <w:lang w:eastAsia="en-US"/>
        </w:rPr>
        <w:t xml:space="preserve">ه عن الشيخ ابن عثيمين </w:t>
      </w:r>
      <w:r w:rsidR="004C4CBC">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4C4CBC">
        <w:rPr>
          <w:rFonts w:ascii="Traditional Arabic" w:hAnsi="Traditional Arabic" w:hint="cs"/>
          <w:noProof w:val="0"/>
          <w:rtl/>
          <w:lang w:eastAsia="en-US"/>
        </w:rPr>
        <w:t>_</w:t>
      </w:r>
      <w:r w:rsidRPr="00C85F0F">
        <w:rPr>
          <w:rFonts w:ascii="Traditional Arabic" w:hAnsi="Traditional Arabic" w:hint="cs"/>
          <w:noProof w:val="0"/>
          <w:rtl/>
          <w:lang w:eastAsia="en-US"/>
        </w:rPr>
        <w:t xml:space="preserve"> تقديم المصالح الراجحة والغالبة على المفاسد المرجوحة.</w:t>
      </w:r>
    </w:p>
    <w:p w:rsidR="000C501F" w:rsidRPr="00C85F0F" w:rsidRDefault="000C501F"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rtl/>
          <w:lang w:eastAsia="en-US"/>
        </w:rPr>
        <w:t>وقال في موطن آخر: (</w:t>
      </w:r>
      <w:r w:rsidRPr="00C85F0F">
        <w:rPr>
          <w:rFonts w:ascii="Traditional Arabic" w:hAnsi="Traditional Arabic"/>
          <w:noProof w:val="0"/>
          <w:color w:val="auto"/>
          <w:rtl/>
          <w:lang w:eastAsia="en-US"/>
        </w:rPr>
        <w:t>قاعدة درء المفاسد مقد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 على جلب المصالح</w:t>
      </w:r>
      <w:r w:rsidRPr="00C85F0F">
        <w:rPr>
          <w:rStyle w:val="af1"/>
          <w:szCs w:val="32"/>
          <w:rtl/>
        </w:rPr>
        <w:t>(</w:t>
      </w:r>
      <w:r w:rsidRPr="00C85F0F">
        <w:rPr>
          <w:rStyle w:val="af1"/>
          <w:szCs w:val="32"/>
          <w:rtl/>
        </w:rPr>
        <w:footnoteReference w:id="264"/>
      </w:r>
      <w:r w:rsidRPr="00C85F0F">
        <w:rPr>
          <w:rStyle w:val="af1"/>
          <w:szCs w:val="32"/>
          <w:rtl/>
        </w:rPr>
        <w:t>)</w:t>
      </w:r>
      <w:r w:rsidRPr="00C85F0F">
        <w:rPr>
          <w:rFonts w:ascii="Traditional Arabic" w:hAnsi="Traditional Arabic"/>
          <w:noProof w:val="0"/>
          <w:color w:val="auto"/>
          <w:rtl/>
          <w:lang w:eastAsia="en-US"/>
        </w:rPr>
        <w:t xml:space="preserve"> ليست على إطلاقها، بل يكون ذلك عند التساوي أو 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جحان المفاسد، أما إذا 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ج</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 المصالح فإنه ت</w:t>
      </w:r>
      <w:r w:rsidR="004C4CBC">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غتفر المفاسد بجانب تلك المصالح، ولهذا أجاز الشرع بعض المسائل الربوية من أجل المصلحة، مثل بيع العرايا</w:t>
      </w:r>
      <w:r w:rsidR="00B0560B" w:rsidRPr="00B0560B">
        <w:rPr>
          <w:rFonts w:ascii="Traditional Arabic" w:hAnsi="Traditional Arabic" w:hint="cs"/>
          <w:noProof w:val="0"/>
          <w:color w:val="auto"/>
          <w:vertAlign w:val="superscript"/>
          <w:rtl/>
          <w:lang w:eastAsia="en-US"/>
        </w:rPr>
        <w:t>(</w:t>
      </w:r>
      <w:r w:rsidR="000E2FB7" w:rsidRPr="00B0560B">
        <w:rPr>
          <w:rStyle w:val="af1"/>
          <w:rFonts w:ascii="Traditional Arabic" w:hAnsi="Traditional Arabic"/>
          <w:noProof w:val="0"/>
          <w:color w:val="auto"/>
          <w:rtl/>
          <w:lang w:eastAsia="en-US"/>
        </w:rPr>
        <w:footnoteReference w:id="265"/>
      </w:r>
      <w:r w:rsidR="00B0560B" w:rsidRPr="00B0560B">
        <w:rPr>
          <w:rFonts w:ascii="Traditional Arabic" w:hAnsi="Traditional Arabic" w:hint="cs"/>
          <w:noProof w:val="0"/>
          <w:color w:val="auto"/>
          <w:vertAlign w:val="superscript"/>
          <w:rtl/>
          <w:lang w:eastAsia="en-US"/>
        </w:rPr>
        <w:t>)</w:t>
      </w:r>
      <w:r w:rsidRPr="00C85F0F">
        <w:rPr>
          <w:rFonts w:ascii="Traditional Arabic" w:hAnsi="Traditional Arabic" w:hint="cs"/>
          <w:noProof w:val="0"/>
          <w:color w:val="auto"/>
          <w:rtl/>
          <w:lang w:eastAsia="en-US"/>
        </w:rPr>
        <w:t>)</w:t>
      </w:r>
      <w:r w:rsidRPr="00C85F0F">
        <w:rPr>
          <w:rStyle w:val="af1"/>
          <w:szCs w:val="32"/>
          <w:rtl/>
        </w:rPr>
        <w:t>(</w:t>
      </w:r>
      <w:r w:rsidRPr="00C85F0F">
        <w:rPr>
          <w:rStyle w:val="af1"/>
          <w:szCs w:val="32"/>
          <w:rtl/>
        </w:rPr>
        <w:footnoteReference w:id="266"/>
      </w:r>
      <w:r w:rsidRPr="00C85F0F">
        <w:rPr>
          <w:rStyle w:val="af1"/>
          <w:szCs w:val="32"/>
          <w:rtl/>
        </w:rPr>
        <w:t>)</w:t>
      </w:r>
      <w:r w:rsidRPr="00C85F0F">
        <w:rPr>
          <w:rFonts w:ascii="Traditional Arabic" w:hAnsi="Traditional Arabic" w:hint="cs"/>
          <w:noProof w:val="0"/>
          <w:color w:val="auto"/>
          <w:rtl/>
          <w:lang w:eastAsia="en-US"/>
        </w:rPr>
        <w:t>.</w:t>
      </w:r>
    </w:p>
    <w:p w:rsidR="00065E4B" w:rsidRPr="00C85F0F" w:rsidRDefault="000C501F" w:rsidP="00597C20">
      <w:pPr>
        <w:widowControl/>
        <w:autoSpaceDE w:val="0"/>
        <w:autoSpaceDN w:val="0"/>
        <w:adjustRightInd w:val="0"/>
        <w:ind w:firstLine="72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ويستفاد من هذا تقديم المصالح على المفاسد إذا كانت المصالح أرجح</w:t>
      </w:r>
      <w:r w:rsidR="004C4CBC">
        <w:rPr>
          <w:rFonts w:ascii="Traditional Arabic" w:hAnsi="Traditional Arabic" w:hint="cs"/>
          <w:noProof w:val="0"/>
          <w:color w:val="auto"/>
          <w:rtl/>
          <w:lang w:eastAsia="en-US"/>
        </w:rPr>
        <w:t>َ منها</w:t>
      </w:r>
      <w:r w:rsidRPr="00C85F0F">
        <w:rPr>
          <w:rFonts w:ascii="Traditional Arabic" w:hAnsi="Traditional Arabic" w:hint="cs"/>
          <w:noProof w:val="0"/>
          <w:color w:val="auto"/>
          <w:rtl/>
          <w:lang w:eastAsia="en-US"/>
        </w:rPr>
        <w:t>، وتقديم درء المفاسد إذا كانت المفاسد أرجح من المصالح</w:t>
      </w:r>
      <w:r w:rsidR="008F3465">
        <w:rPr>
          <w:rFonts w:ascii="Traditional Arabic" w:hAnsi="Traditional Arabic" w:hint="cs"/>
          <w:noProof w:val="0"/>
          <w:color w:val="auto"/>
          <w:rtl/>
          <w:lang w:eastAsia="en-US"/>
        </w:rPr>
        <w:t xml:space="preserve"> أو مساويةً لها</w:t>
      </w:r>
      <w:r w:rsidRPr="00C85F0F">
        <w:rPr>
          <w:rFonts w:ascii="Traditional Arabic" w:hAnsi="Traditional Arabic" w:hint="cs"/>
          <w:noProof w:val="0"/>
          <w:color w:val="auto"/>
          <w:rtl/>
          <w:lang w:eastAsia="en-US"/>
        </w:rPr>
        <w:t>.</w:t>
      </w:r>
    </w:p>
    <w:p w:rsidR="000C501F" w:rsidRPr="00C85F0F" w:rsidRDefault="004C4CBC" w:rsidP="00597C20">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sidRPr="00C85F0F">
        <w:rPr>
          <w:rFonts w:ascii="Traditional Arabic" w:hAnsi="Traditional Arabic" w:hint="cs"/>
          <w:noProof w:val="0"/>
          <w:color w:val="auto"/>
          <w:rtl/>
          <w:lang w:eastAsia="en-US"/>
        </w:rPr>
        <w:t>و</w:t>
      </w:r>
      <w:r w:rsidR="000C501F" w:rsidRPr="00C85F0F">
        <w:rPr>
          <w:rFonts w:ascii="Traditional Arabic" w:hAnsi="Traditional Arabic" w:hint="cs"/>
          <w:noProof w:val="0"/>
          <w:color w:val="auto"/>
          <w:rtl/>
          <w:lang w:eastAsia="en-US"/>
        </w:rPr>
        <w:t>وردت هذه القاعدة عند علماء القواعد بعدة صيغ</w:t>
      </w:r>
      <w:r w:rsidR="000C501F" w:rsidRPr="00C85F0F">
        <w:rPr>
          <w:rStyle w:val="af1"/>
          <w:szCs w:val="32"/>
          <w:rtl/>
        </w:rPr>
        <w:t>(</w:t>
      </w:r>
      <w:r w:rsidR="000C501F" w:rsidRPr="00C85F0F">
        <w:rPr>
          <w:rStyle w:val="af1"/>
          <w:szCs w:val="32"/>
          <w:rtl/>
        </w:rPr>
        <w:footnoteReference w:id="267"/>
      </w:r>
      <w:r w:rsidR="000C501F" w:rsidRPr="00C85F0F">
        <w:rPr>
          <w:rStyle w:val="af1"/>
          <w:szCs w:val="32"/>
          <w:rtl/>
        </w:rPr>
        <w:t>)</w:t>
      </w:r>
      <w:r w:rsidR="000C501F" w:rsidRPr="00C85F0F">
        <w:rPr>
          <w:rFonts w:ascii="Traditional Arabic" w:hAnsi="Traditional Arabic" w:hint="cs"/>
          <w:noProof w:val="0"/>
          <w:color w:val="auto"/>
          <w:rtl/>
          <w:lang w:eastAsia="en-US"/>
        </w:rPr>
        <w:t>، منها:</w:t>
      </w:r>
    </w:p>
    <w:p w:rsidR="000C501F" w:rsidRPr="00C85F0F" w:rsidRDefault="000C501F" w:rsidP="000A76C7">
      <w:pPr>
        <w:pStyle w:val="afc"/>
        <w:widowControl/>
        <w:numPr>
          <w:ilvl w:val="0"/>
          <w:numId w:val="51"/>
        </w:numPr>
        <w:autoSpaceDE w:val="0"/>
        <w:autoSpaceDN w:val="0"/>
        <w:adjustRightInd w:val="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lastRenderedPageBreak/>
        <w:t>إذا اجتمعت مصالح ومفاسد، وتعذَّر الجمع، فإن رجحت المصالح حصَّلناها...وإن رجحت المفاسد دفعناها</w:t>
      </w:r>
      <w:r w:rsidRPr="00C85F0F">
        <w:rPr>
          <w:rStyle w:val="af1"/>
          <w:szCs w:val="32"/>
          <w:rtl/>
        </w:rPr>
        <w:t>(</w:t>
      </w:r>
      <w:r w:rsidRPr="00C85F0F">
        <w:rPr>
          <w:rStyle w:val="af1"/>
          <w:szCs w:val="32"/>
          <w:rtl/>
        </w:rPr>
        <w:footnoteReference w:id="268"/>
      </w:r>
      <w:r w:rsidRPr="00C85F0F">
        <w:rPr>
          <w:rStyle w:val="af1"/>
          <w:szCs w:val="32"/>
          <w:rtl/>
        </w:rPr>
        <w:t>)</w:t>
      </w:r>
      <w:r w:rsidRPr="00C85F0F">
        <w:rPr>
          <w:rFonts w:ascii="Traditional Arabic" w:hAnsi="Traditional Arabic" w:hint="cs"/>
          <w:noProof w:val="0"/>
          <w:color w:val="auto"/>
          <w:rtl/>
          <w:lang w:eastAsia="en-US"/>
        </w:rPr>
        <w:t>.</w:t>
      </w:r>
    </w:p>
    <w:p w:rsidR="000C501F" w:rsidRPr="00C85F0F" w:rsidRDefault="000C501F" w:rsidP="000A76C7">
      <w:pPr>
        <w:pStyle w:val="afc"/>
        <w:widowControl/>
        <w:numPr>
          <w:ilvl w:val="0"/>
          <w:numId w:val="51"/>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hint="cs"/>
          <w:noProof w:val="0"/>
          <w:color w:val="auto"/>
          <w:rtl/>
          <w:lang w:eastAsia="en-US"/>
        </w:rPr>
        <w:t>إذا تعارضت المفسدة المرجوحة والمصلحة الراجحة اغتُفرت المفسدة</w:t>
      </w:r>
      <w:r w:rsidRPr="00C85F0F">
        <w:rPr>
          <w:rStyle w:val="af1"/>
          <w:szCs w:val="32"/>
          <w:rtl/>
        </w:rPr>
        <w:t>(</w:t>
      </w:r>
      <w:r w:rsidRPr="00C85F0F">
        <w:rPr>
          <w:rStyle w:val="af1"/>
          <w:szCs w:val="32"/>
          <w:rtl/>
        </w:rPr>
        <w:footnoteReference w:id="269"/>
      </w:r>
      <w:r w:rsidRPr="00C85F0F">
        <w:rPr>
          <w:rStyle w:val="af1"/>
          <w:szCs w:val="32"/>
          <w:rtl/>
        </w:rPr>
        <w:t>)</w:t>
      </w:r>
      <w:r w:rsidRPr="00C85F0F">
        <w:rPr>
          <w:rFonts w:ascii="Traditional Arabic" w:hAnsi="Traditional Arabic" w:hint="cs"/>
          <w:noProof w:val="0"/>
          <w:color w:val="auto"/>
          <w:rtl/>
          <w:lang w:eastAsia="en-US"/>
        </w:rPr>
        <w:t>.</w:t>
      </w:r>
    </w:p>
    <w:p w:rsidR="000C501F" w:rsidRPr="00C85F0F" w:rsidRDefault="000C501F" w:rsidP="000A76C7">
      <w:pPr>
        <w:pStyle w:val="afc"/>
        <w:widowControl/>
        <w:numPr>
          <w:ilvl w:val="0"/>
          <w:numId w:val="51"/>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hint="cs"/>
          <w:noProof w:val="0"/>
          <w:color w:val="auto"/>
          <w:rtl/>
          <w:lang w:eastAsia="en-US"/>
        </w:rPr>
        <w:t>إذا تعارضت المصالح والمفاسد، فإنه يجب ترجيح الراجح منها</w:t>
      </w:r>
      <w:r w:rsidRPr="00C85F0F">
        <w:rPr>
          <w:rStyle w:val="af1"/>
          <w:szCs w:val="32"/>
          <w:rtl/>
        </w:rPr>
        <w:t>(</w:t>
      </w:r>
      <w:r w:rsidRPr="00C85F0F">
        <w:rPr>
          <w:rStyle w:val="af1"/>
          <w:szCs w:val="32"/>
          <w:rtl/>
        </w:rPr>
        <w:footnoteReference w:id="270"/>
      </w:r>
      <w:r w:rsidRPr="00C85F0F">
        <w:rPr>
          <w:rStyle w:val="af1"/>
          <w:szCs w:val="32"/>
          <w:rtl/>
        </w:rPr>
        <w:t>)</w:t>
      </w:r>
      <w:r w:rsidRPr="00C85F0F">
        <w:rPr>
          <w:rFonts w:ascii="Traditional Arabic" w:hAnsi="Traditional Arabic" w:hint="cs"/>
          <w:noProof w:val="0"/>
          <w:color w:val="auto"/>
          <w:rtl/>
          <w:lang w:eastAsia="en-US"/>
        </w:rPr>
        <w:t>.</w:t>
      </w:r>
    </w:p>
    <w:p w:rsidR="000C501F" w:rsidRPr="00C85F0F" w:rsidRDefault="000C501F" w:rsidP="000A76C7">
      <w:pPr>
        <w:pStyle w:val="afc"/>
        <w:widowControl/>
        <w:numPr>
          <w:ilvl w:val="0"/>
          <w:numId w:val="51"/>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hint="cs"/>
          <w:noProof w:val="0"/>
          <w:color w:val="auto"/>
          <w:rtl/>
          <w:lang w:eastAsia="en-US"/>
        </w:rPr>
        <w:t>إذا تعارضت المصلحة والمفسدة قُدِّم أرجحهما</w:t>
      </w:r>
      <w:r w:rsidRPr="00C85F0F">
        <w:rPr>
          <w:rStyle w:val="af1"/>
          <w:szCs w:val="32"/>
          <w:rtl/>
        </w:rPr>
        <w:t>(</w:t>
      </w:r>
      <w:r w:rsidRPr="00C85F0F">
        <w:rPr>
          <w:rStyle w:val="af1"/>
          <w:szCs w:val="32"/>
          <w:rtl/>
        </w:rPr>
        <w:footnoteReference w:id="271"/>
      </w:r>
      <w:r w:rsidRPr="00C85F0F">
        <w:rPr>
          <w:rStyle w:val="af1"/>
          <w:szCs w:val="32"/>
          <w:rtl/>
        </w:rPr>
        <w:t>)</w:t>
      </w:r>
      <w:r w:rsidRPr="00C85F0F">
        <w:rPr>
          <w:rFonts w:ascii="Traditional Arabic" w:hAnsi="Traditional Arabic" w:hint="cs"/>
          <w:noProof w:val="0"/>
          <w:color w:val="auto"/>
          <w:rtl/>
          <w:lang w:eastAsia="en-US"/>
        </w:rPr>
        <w:t>.</w:t>
      </w:r>
    </w:p>
    <w:p w:rsidR="000C501F" w:rsidRPr="00C85F0F" w:rsidRDefault="000C501F" w:rsidP="000A76C7">
      <w:pPr>
        <w:pStyle w:val="afc"/>
        <w:widowControl/>
        <w:numPr>
          <w:ilvl w:val="0"/>
          <w:numId w:val="51"/>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hint="cs"/>
          <w:noProof w:val="0"/>
          <w:color w:val="auto"/>
          <w:rtl/>
          <w:lang w:eastAsia="en-US"/>
        </w:rPr>
        <w:t>تُقدَّم المصلحة الغالبة على المفسدة النادرة ولا تُترك لها</w:t>
      </w:r>
      <w:r w:rsidRPr="00C85F0F">
        <w:rPr>
          <w:rStyle w:val="af1"/>
          <w:szCs w:val="32"/>
          <w:rtl/>
        </w:rPr>
        <w:t>(</w:t>
      </w:r>
      <w:r w:rsidRPr="00C85F0F">
        <w:rPr>
          <w:rStyle w:val="af1"/>
          <w:szCs w:val="32"/>
          <w:rtl/>
        </w:rPr>
        <w:footnoteReference w:id="272"/>
      </w:r>
      <w:r w:rsidRPr="00C85F0F">
        <w:rPr>
          <w:rStyle w:val="af1"/>
          <w:szCs w:val="32"/>
          <w:rtl/>
        </w:rPr>
        <w:t>)</w:t>
      </w:r>
      <w:r w:rsidRPr="00C85F0F">
        <w:rPr>
          <w:rFonts w:ascii="Traditional Arabic" w:hAnsi="Traditional Arabic" w:hint="cs"/>
          <w:noProof w:val="0"/>
          <w:color w:val="auto"/>
          <w:rtl/>
          <w:lang w:eastAsia="en-US"/>
        </w:rPr>
        <w:t>.</w:t>
      </w:r>
    </w:p>
    <w:p w:rsidR="00065E4B" w:rsidRPr="00C85F0F" w:rsidRDefault="00153D33" w:rsidP="00A8347C">
      <w:pPr>
        <w:pStyle w:val="aff3"/>
        <w:rPr>
          <w:rtl/>
        </w:rPr>
      </w:pPr>
      <w:bookmarkStart w:id="55" w:name="_Toc334046310"/>
      <w:r>
        <w:rPr>
          <w:rFonts w:hint="cs"/>
          <w:rtl/>
        </w:rPr>
        <w:t xml:space="preserve">                 </w:t>
      </w:r>
      <w:r w:rsidR="004C4CBC">
        <w:rPr>
          <w:rFonts w:hint="cs"/>
          <w:rtl/>
        </w:rPr>
        <w:t xml:space="preserve">                        </w:t>
      </w:r>
      <w:r>
        <w:rPr>
          <w:rFonts w:hint="cs"/>
          <w:rtl/>
        </w:rPr>
        <w:t xml:space="preserve">    </w:t>
      </w:r>
      <w:r w:rsidR="000C501F" w:rsidRPr="00C85F0F">
        <w:rPr>
          <w:rFonts w:hint="cs"/>
          <w:rtl/>
        </w:rPr>
        <w:t>المطلب الثاني</w:t>
      </w:r>
      <w:r w:rsidR="000C501F" w:rsidRPr="00C85F0F">
        <w:rPr>
          <w:rFonts w:hint="eastAsia"/>
          <w:rtl/>
        </w:rPr>
        <w:t> </w:t>
      </w:r>
      <w:r w:rsidR="000C501F" w:rsidRPr="00C85F0F">
        <w:rPr>
          <w:rFonts w:hint="cs"/>
          <w:rtl/>
        </w:rPr>
        <w:t>:</w:t>
      </w:r>
      <w:r w:rsidR="000C501F" w:rsidRPr="00C85F0F">
        <w:rPr>
          <w:rtl/>
        </w:rPr>
        <w:br/>
      </w:r>
      <w:r>
        <w:rPr>
          <w:rFonts w:hint="cs"/>
          <w:rtl/>
        </w:rPr>
        <w:t xml:space="preserve">                   </w:t>
      </w:r>
      <w:r w:rsidR="004C4CBC">
        <w:rPr>
          <w:rFonts w:hint="cs"/>
          <w:rtl/>
        </w:rPr>
        <w:t xml:space="preserve">                           </w:t>
      </w:r>
      <w:r w:rsidR="000C501F" w:rsidRPr="00C85F0F">
        <w:rPr>
          <w:rFonts w:hint="cs"/>
          <w:rtl/>
        </w:rPr>
        <w:t>شرح القاعدة</w:t>
      </w:r>
      <w:bookmarkEnd w:id="55"/>
    </w:p>
    <w:p w:rsidR="002C3CD7" w:rsidRDefault="002C3CD7" w:rsidP="002C3CD7">
      <w:pPr>
        <w:pStyle w:val="53"/>
        <w:rPr>
          <w:rtl/>
        </w:rPr>
      </w:pPr>
      <w:r w:rsidRPr="00531753">
        <w:rPr>
          <w:rFonts w:hint="cs"/>
          <w:rtl/>
        </w:rPr>
        <w:t>التعارُض</w:t>
      </w:r>
      <w:r w:rsidR="00AB0B9E" w:rsidRPr="00C85F0F">
        <w:fldChar w:fldCharType="begin"/>
      </w:r>
      <w:r w:rsidRPr="00C85F0F">
        <w:instrText>XE</w:instrText>
      </w:r>
      <w:r w:rsidRPr="00C85F0F">
        <w:rPr>
          <w:rtl/>
        </w:rPr>
        <w:instrText xml:space="preserve"> "</w:instrText>
      </w:r>
      <w:r w:rsidRPr="00531753">
        <w:rPr>
          <w:rFonts w:hint="cs"/>
          <w:b w:val="0"/>
          <w:bCs w:val="0"/>
          <w:rtl/>
        </w:rPr>
        <w:instrText>التعارُض</w:instrText>
      </w:r>
      <w:r w:rsidRPr="00C85F0F">
        <w:rPr>
          <w:rtl/>
        </w:rPr>
        <w:instrText>" \</w:instrText>
      </w:r>
      <w:r w:rsidRPr="00C85F0F">
        <w:instrText>fm</w:instrText>
      </w:r>
      <w:r w:rsidR="00AB0B9E" w:rsidRPr="00C85F0F">
        <w:fldChar w:fldCharType="end"/>
      </w:r>
      <w:r>
        <w:rPr>
          <w:rFonts w:hint="cs"/>
          <w:b w:val="0"/>
          <w:rtl/>
        </w:rPr>
        <w:t xml:space="preserve"> لغة :</w:t>
      </w:r>
    </w:p>
    <w:p w:rsidR="002C3CD7" w:rsidRDefault="00B0560B" w:rsidP="002C3CD7">
      <w:pPr>
        <w:ind w:firstLine="720"/>
        <w:rPr>
          <w:rtl/>
        </w:rPr>
      </w:pPr>
      <w:r>
        <w:rPr>
          <w:rFonts w:hint="cs"/>
          <w:rtl/>
        </w:rPr>
        <w:t>تفاعُل من العَرْض، ومادته"عرض"</w:t>
      </w:r>
      <w:r w:rsidR="002C3CD7">
        <w:rPr>
          <w:rFonts w:hint="cs"/>
          <w:rtl/>
        </w:rPr>
        <w:t xml:space="preserve"> تأتي في اللغة لعدة معانٍ، والذي يناسب المقام منها-و الله أعلم- معنيان</w:t>
      </w:r>
      <w:r w:rsidR="002C3CD7" w:rsidRPr="00C821A1">
        <w:rPr>
          <w:rStyle w:val="af1"/>
          <w:szCs w:val="32"/>
          <w:rtl/>
        </w:rPr>
        <w:t>(</w:t>
      </w:r>
      <w:r w:rsidR="002C3CD7" w:rsidRPr="00C821A1">
        <w:rPr>
          <w:rStyle w:val="af1"/>
          <w:szCs w:val="32"/>
          <w:rtl/>
        </w:rPr>
        <w:footnoteReference w:id="273"/>
      </w:r>
      <w:r w:rsidR="002C3CD7" w:rsidRPr="00C821A1">
        <w:rPr>
          <w:rStyle w:val="af1"/>
          <w:szCs w:val="32"/>
          <w:rtl/>
        </w:rPr>
        <w:t>)</w:t>
      </w:r>
      <w:r w:rsidR="002C3CD7">
        <w:rPr>
          <w:rFonts w:hint="cs"/>
          <w:rtl/>
        </w:rPr>
        <w:t>:</w:t>
      </w:r>
    </w:p>
    <w:p w:rsidR="002C3CD7" w:rsidRDefault="002C3CD7" w:rsidP="002C3CD7">
      <w:pPr>
        <w:pStyle w:val="53"/>
        <w:rPr>
          <w:rtl/>
        </w:rPr>
      </w:pPr>
      <w:r w:rsidRPr="000864A7">
        <w:rPr>
          <w:rFonts w:hint="cs"/>
          <w:rtl/>
        </w:rPr>
        <w:t>المنع</w:t>
      </w:r>
      <w:r>
        <w:rPr>
          <w:rFonts w:hint="cs"/>
          <w:rtl/>
        </w:rPr>
        <w:t>:</w:t>
      </w:r>
    </w:p>
    <w:p w:rsidR="002C3CD7" w:rsidRDefault="004C4CBC" w:rsidP="002C3CD7">
      <w:pPr>
        <w:ind w:firstLine="0"/>
        <w:rPr>
          <w:rtl/>
        </w:rPr>
      </w:pPr>
      <w:r>
        <w:rPr>
          <w:rFonts w:hint="cs"/>
          <w:rtl/>
        </w:rPr>
        <w:t xml:space="preserve">        </w:t>
      </w:r>
      <w:r w:rsidR="002C3CD7">
        <w:rPr>
          <w:rFonts w:hint="cs"/>
          <w:rtl/>
        </w:rPr>
        <w:t>مِن عَرَض يَعْرِض، وكل ما منعك من شُغل وغيره من الأمراض، فهو عارض.</w:t>
      </w:r>
    </w:p>
    <w:p w:rsidR="002C3CD7" w:rsidRDefault="002C3CD7" w:rsidP="002C3CD7">
      <w:pPr>
        <w:pStyle w:val="53"/>
        <w:rPr>
          <w:rtl/>
        </w:rPr>
      </w:pPr>
      <w:r w:rsidRPr="000864A7">
        <w:rPr>
          <w:rFonts w:hint="cs"/>
          <w:rtl/>
        </w:rPr>
        <w:t>الم</w:t>
      </w:r>
      <w:r>
        <w:rPr>
          <w:rFonts w:hint="cs"/>
          <w:rtl/>
        </w:rPr>
        <w:t>ُ</w:t>
      </w:r>
      <w:r w:rsidRPr="000864A7">
        <w:rPr>
          <w:rFonts w:hint="cs"/>
          <w:rtl/>
        </w:rPr>
        <w:t>قابَلة</w:t>
      </w:r>
      <w:r>
        <w:rPr>
          <w:rFonts w:hint="cs"/>
          <w:rtl/>
        </w:rPr>
        <w:t>:</w:t>
      </w:r>
    </w:p>
    <w:p w:rsidR="002C3CD7" w:rsidRPr="000864A7" w:rsidRDefault="002C3CD7" w:rsidP="002C3CD7">
      <w:pPr>
        <w:ind w:firstLine="720"/>
        <w:rPr>
          <w:rtl/>
        </w:rPr>
      </w:pPr>
      <w:r>
        <w:rPr>
          <w:rFonts w:hint="cs"/>
          <w:rtl/>
        </w:rPr>
        <w:t>يقال: عارَض الشيءَ بالشيء إذا قابَله به، وتقول: عَرَضتُ كتابي بكتابه،</w:t>
      </w:r>
      <w:r w:rsidR="00CE1C6C">
        <w:rPr>
          <w:rFonts w:hint="cs"/>
          <w:rtl/>
        </w:rPr>
        <w:t xml:space="preserve"> </w:t>
      </w:r>
      <w:r>
        <w:rPr>
          <w:rFonts w:hint="cs"/>
          <w:rtl/>
        </w:rPr>
        <w:t>أي: قابلته.</w:t>
      </w:r>
    </w:p>
    <w:p w:rsidR="002C3CD7" w:rsidRDefault="002C3CD7" w:rsidP="002C3CD7">
      <w:pPr>
        <w:pStyle w:val="53"/>
        <w:rPr>
          <w:rtl/>
        </w:rPr>
      </w:pPr>
      <w:r>
        <w:rPr>
          <w:rFonts w:hint="cs"/>
          <w:rtl/>
        </w:rPr>
        <w:lastRenderedPageBreak/>
        <w:t>التعارض اصطلاحا :</w:t>
      </w:r>
    </w:p>
    <w:p w:rsidR="002C3CD7" w:rsidRDefault="004C4CBC" w:rsidP="002C3CD7">
      <w:pPr>
        <w:pStyle w:val="53"/>
        <w:rPr>
          <w:b w:val="0"/>
          <w:bCs w:val="0"/>
          <w:rtl/>
        </w:rPr>
      </w:pPr>
      <w:r>
        <w:rPr>
          <w:rFonts w:hint="cs"/>
          <w:b w:val="0"/>
          <w:bCs w:val="0"/>
          <w:rtl/>
        </w:rPr>
        <w:t xml:space="preserve">       </w:t>
      </w:r>
      <w:r w:rsidR="002C3CD7" w:rsidRPr="002C3CD7">
        <w:rPr>
          <w:rFonts w:hint="cs"/>
          <w:b w:val="0"/>
          <w:bCs w:val="0"/>
          <w:rtl/>
        </w:rPr>
        <w:t>تقابُل الحُجتين المتساويتين على وجهٍ لا يمكن الجمع بينهما بوجهٍ</w:t>
      </w:r>
      <w:r w:rsidR="002C3CD7" w:rsidRPr="002C3CD7">
        <w:rPr>
          <w:rStyle w:val="af1"/>
          <w:b w:val="0"/>
          <w:bCs w:val="0"/>
          <w:szCs w:val="32"/>
          <w:rtl/>
        </w:rPr>
        <w:t>(</w:t>
      </w:r>
      <w:r w:rsidR="002C3CD7" w:rsidRPr="002C3CD7">
        <w:rPr>
          <w:rStyle w:val="af1"/>
          <w:b w:val="0"/>
          <w:bCs w:val="0"/>
          <w:szCs w:val="32"/>
          <w:rtl/>
        </w:rPr>
        <w:footnoteReference w:id="274"/>
      </w:r>
      <w:r w:rsidR="002C3CD7" w:rsidRPr="002C3CD7">
        <w:rPr>
          <w:rStyle w:val="af1"/>
          <w:b w:val="0"/>
          <w:bCs w:val="0"/>
          <w:szCs w:val="32"/>
          <w:rtl/>
        </w:rPr>
        <w:t>)</w:t>
      </w:r>
      <w:r w:rsidR="002C3CD7" w:rsidRPr="002C3CD7">
        <w:rPr>
          <w:rFonts w:hint="cs"/>
          <w:b w:val="0"/>
          <w:bCs w:val="0"/>
          <w:rtl/>
        </w:rPr>
        <w:t>.</w:t>
      </w:r>
    </w:p>
    <w:p w:rsidR="008F3465" w:rsidRPr="002C3CD7" w:rsidRDefault="008F3465" w:rsidP="002C3CD7">
      <w:pPr>
        <w:pStyle w:val="53"/>
        <w:rPr>
          <w:b w:val="0"/>
          <w:bCs w:val="0"/>
          <w:rtl/>
        </w:rPr>
      </w:pPr>
      <w:r>
        <w:rPr>
          <w:rFonts w:hint="cs"/>
          <w:b w:val="0"/>
          <w:bCs w:val="0"/>
          <w:rtl/>
        </w:rPr>
        <w:t xml:space="preserve">    والمراد بتعارض المصلحة والمفسدة أن يتضمن الفعل</w:t>
      </w:r>
      <w:r w:rsidR="003B3E89">
        <w:rPr>
          <w:rFonts w:hint="cs"/>
          <w:b w:val="0"/>
          <w:bCs w:val="0"/>
          <w:rtl/>
        </w:rPr>
        <w:t>ُ</w:t>
      </w:r>
      <w:r>
        <w:rPr>
          <w:rFonts w:hint="cs"/>
          <w:b w:val="0"/>
          <w:bCs w:val="0"/>
          <w:rtl/>
        </w:rPr>
        <w:t xml:space="preserve"> مصلحةً من وجه ومفسدة من وجه آخر</w:t>
      </w:r>
      <w:r w:rsidR="003B3E89">
        <w:rPr>
          <w:rFonts w:hint="cs"/>
          <w:b w:val="0"/>
          <w:bCs w:val="0"/>
          <w:rtl/>
        </w:rPr>
        <w:t>، وتكون إحداهما مستلزمةً للأخرى</w:t>
      </w:r>
      <w:r>
        <w:rPr>
          <w:rFonts w:hint="cs"/>
          <w:b w:val="0"/>
          <w:bCs w:val="0"/>
          <w:rtl/>
        </w:rPr>
        <w:t xml:space="preserve"> بحيث لا يمكن فعل المصلحة إلا بارتكاب المفسدة</w:t>
      </w:r>
      <w:r w:rsidRPr="008F3465">
        <w:rPr>
          <w:rFonts w:hint="cs"/>
          <w:b w:val="0"/>
          <w:bCs w:val="0"/>
          <w:vertAlign w:val="superscript"/>
          <w:rtl/>
        </w:rPr>
        <w:t>(</w:t>
      </w:r>
      <w:r w:rsidRPr="008F3465">
        <w:rPr>
          <w:rStyle w:val="af1"/>
          <w:b w:val="0"/>
          <w:bCs w:val="0"/>
          <w:rtl/>
        </w:rPr>
        <w:footnoteReference w:id="275"/>
      </w:r>
      <w:r w:rsidRPr="008F3465">
        <w:rPr>
          <w:rFonts w:hint="cs"/>
          <w:b w:val="0"/>
          <w:bCs w:val="0"/>
          <w:vertAlign w:val="superscript"/>
          <w:rtl/>
        </w:rPr>
        <w:t>)</w:t>
      </w:r>
      <w:r>
        <w:rPr>
          <w:rFonts w:hint="cs"/>
          <w:b w:val="0"/>
          <w:bCs w:val="0"/>
          <w:rtl/>
        </w:rPr>
        <w:t>.</w:t>
      </w:r>
    </w:p>
    <w:p w:rsidR="001851F0" w:rsidRDefault="00065E4B" w:rsidP="000F5C0F">
      <w:pPr>
        <w:pStyle w:val="53"/>
        <w:rPr>
          <w:rtl/>
        </w:rPr>
      </w:pPr>
      <w:r w:rsidRPr="000F5C0F">
        <w:rPr>
          <w:rFonts w:hint="cs"/>
          <w:rtl/>
        </w:rPr>
        <w:t>أ</w:t>
      </w:r>
      <w:r w:rsidR="000C501F" w:rsidRPr="000F5C0F">
        <w:rPr>
          <w:rFonts w:hint="cs"/>
          <w:rtl/>
        </w:rPr>
        <w:t>َرْجَحُهما</w:t>
      </w:r>
      <w:r w:rsidR="00AB0B9E" w:rsidRPr="000F5C0F">
        <w:fldChar w:fldCharType="begin"/>
      </w:r>
      <w:r w:rsidR="000A019A" w:rsidRPr="000F5C0F">
        <w:instrText>XE</w:instrText>
      </w:r>
      <w:r w:rsidR="000A019A" w:rsidRPr="000F5C0F">
        <w:rPr>
          <w:rtl/>
        </w:rPr>
        <w:instrText xml:space="preserve"> "</w:instrText>
      </w:r>
      <w:r w:rsidR="000A019A" w:rsidRPr="000F5C0F">
        <w:rPr>
          <w:rFonts w:hint="cs"/>
          <w:rtl/>
        </w:rPr>
        <w:instrText xml:space="preserve"> الأرجح</w:instrText>
      </w:r>
      <w:r w:rsidR="000A019A" w:rsidRPr="000F5C0F">
        <w:rPr>
          <w:rtl/>
        </w:rPr>
        <w:instrText>" \</w:instrText>
      </w:r>
      <w:r w:rsidR="000A019A" w:rsidRPr="000F5C0F">
        <w:instrText>fm</w:instrText>
      </w:r>
      <w:r w:rsidR="00AB0B9E" w:rsidRPr="000F5C0F">
        <w:fldChar w:fldCharType="end"/>
      </w:r>
      <w:r w:rsidR="000C501F">
        <w:rPr>
          <w:rFonts w:hint="cs"/>
          <w:rtl/>
        </w:rPr>
        <w:t xml:space="preserve"> لغة:</w:t>
      </w:r>
    </w:p>
    <w:p w:rsidR="000C501F" w:rsidRDefault="000C501F"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اسم تفضيل من رَجَح الشيءُ يَرجَح رُجوحاً، والاسم منه الرُّجحان، ورجَّحت الشيءَ بمعنى فضَّلته وقوَّيته</w:t>
      </w:r>
      <w:r w:rsidRPr="00C821A1">
        <w:rPr>
          <w:rStyle w:val="af1"/>
          <w:szCs w:val="32"/>
          <w:rtl/>
        </w:rPr>
        <w:t>(</w:t>
      </w:r>
      <w:r w:rsidRPr="00C821A1">
        <w:rPr>
          <w:rStyle w:val="af1"/>
          <w:szCs w:val="32"/>
          <w:rtl/>
        </w:rPr>
        <w:footnoteReference w:id="276"/>
      </w:r>
      <w:r w:rsidRPr="00C821A1">
        <w:rPr>
          <w:rStyle w:val="af1"/>
          <w:szCs w:val="32"/>
          <w:rtl/>
        </w:rPr>
        <w:t>)</w:t>
      </w:r>
      <w:r>
        <w:rPr>
          <w:rFonts w:ascii="Traditional Arabic" w:hAnsi="Traditional Arabic" w:hint="cs"/>
          <w:noProof w:val="0"/>
          <w:color w:val="auto"/>
          <w:rtl/>
          <w:lang w:eastAsia="en-US"/>
        </w:rPr>
        <w:t>.</w:t>
      </w:r>
    </w:p>
    <w:p w:rsidR="00065E4B" w:rsidRDefault="004C4CBC" w:rsidP="00597C20">
      <w:pPr>
        <w:widowControl/>
        <w:autoSpaceDE w:val="0"/>
        <w:autoSpaceDN w:val="0"/>
        <w:adjustRightInd w:val="0"/>
        <w:ind w:firstLine="72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فالأرجح إذاً</w:t>
      </w:r>
      <w:r w:rsidR="000C501F">
        <w:rPr>
          <w:rFonts w:ascii="Traditional Arabic" w:hAnsi="Traditional Arabic" w:hint="cs"/>
          <w:noProof w:val="0"/>
          <w:color w:val="auto"/>
          <w:rtl/>
          <w:lang w:eastAsia="en-US"/>
        </w:rPr>
        <w:t xml:space="preserve"> هو الأفضل والأقوى.</w:t>
      </w:r>
    </w:p>
    <w:p w:rsidR="000C501F" w:rsidRDefault="00065E4B" w:rsidP="00597C20">
      <w:pPr>
        <w:pStyle w:val="53"/>
        <w:rPr>
          <w:rtl/>
        </w:rPr>
      </w:pPr>
      <w:r>
        <w:rPr>
          <w:rFonts w:hint="cs"/>
          <w:rtl/>
        </w:rPr>
        <w:t>م</w:t>
      </w:r>
      <w:r w:rsidR="000C501F">
        <w:rPr>
          <w:rFonts w:hint="cs"/>
          <w:rtl/>
        </w:rPr>
        <w:t>عنى القاعدة إجمالا:</w:t>
      </w:r>
    </w:p>
    <w:p w:rsidR="00F228A9" w:rsidRDefault="000C501F"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إذا اجتمع في الشيء مَضرَّة ومنفعة، وكانت إحداهما تستلزم الأخرى</w:t>
      </w:r>
      <w:r w:rsidRPr="00C821A1">
        <w:rPr>
          <w:rStyle w:val="af1"/>
          <w:szCs w:val="32"/>
          <w:rtl/>
        </w:rPr>
        <w:t>(</w:t>
      </w:r>
      <w:r w:rsidRPr="00C821A1">
        <w:rPr>
          <w:rStyle w:val="af1"/>
          <w:szCs w:val="32"/>
          <w:rtl/>
        </w:rPr>
        <w:footnoteReference w:id="277"/>
      </w:r>
      <w:r w:rsidRPr="00C821A1">
        <w:rPr>
          <w:rStyle w:val="af1"/>
          <w:szCs w:val="32"/>
          <w:rtl/>
        </w:rPr>
        <w:t>)</w:t>
      </w:r>
      <w:r>
        <w:rPr>
          <w:rFonts w:ascii="Traditional Arabic" w:hAnsi="Traditional Arabic" w:hint="cs"/>
          <w:noProof w:val="0"/>
          <w:color w:val="auto"/>
          <w:rtl/>
          <w:lang w:eastAsia="en-US"/>
        </w:rPr>
        <w:t>، فإن ترجَّح جانب إحداهما على الآخر كان الحكم له، فيكون ما غلب نَفْعُه مشروعا، وما غلب ضررُه ممنوعا</w:t>
      </w:r>
      <w:r w:rsidRPr="00C821A1">
        <w:rPr>
          <w:rStyle w:val="af1"/>
          <w:szCs w:val="32"/>
          <w:rtl/>
        </w:rPr>
        <w:t>(</w:t>
      </w:r>
      <w:r w:rsidRPr="00C821A1">
        <w:rPr>
          <w:rStyle w:val="af1"/>
          <w:szCs w:val="32"/>
          <w:rtl/>
        </w:rPr>
        <w:footnoteReference w:id="278"/>
      </w:r>
      <w:r w:rsidRPr="00C821A1">
        <w:rPr>
          <w:rStyle w:val="af1"/>
          <w:szCs w:val="32"/>
          <w:rtl/>
        </w:rPr>
        <w:t>)</w:t>
      </w:r>
      <w:r>
        <w:rPr>
          <w:rFonts w:ascii="Traditional Arabic" w:hAnsi="Traditional Arabic" w:hint="cs"/>
          <w:noProof w:val="0"/>
          <w:color w:val="auto"/>
          <w:rtl/>
          <w:lang w:eastAsia="en-US"/>
        </w:rPr>
        <w:t>.</w:t>
      </w:r>
    </w:p>
    <w:p w:rsidR="000C501F" w:rsidRDefault="000C501F" w:rsidP="00597C20">
      <w:pPr>
        <w:widowControl/>
        <w:autoSpaceDE w:val="0"/>
        <w:autoSpaceDN w:val="0"/>
        <w:adjustRightInd w:val="0"/>
        <w:ind w:firstLine="720"/>
        <w:rPr>
          <w:rFonts w:ascii="Traditional Arabic" w:hAnsi="Traditional Arabic"/>
          <w:noProof w:val="0"/>
          <w:color w:val="auto"/>
          <w:rtl/>
          <w:lang w:eastAsia="en-US"/>
        </w:rPr>
      </w:pPr>
      <w:r w:rsidRPr="00E5180D">
        <w:rPr>
          <w:rFonts w:ascii="Traditional Arabic" w:hAnsi="Traditional Arabic" w:hint="cs"/>
          <w:noProof w:val="0"/>
          <w:color w:val="auto"/>
          <w:rtl/>
          <w:lang w:eastAsia="en-US"/>
        </w:rPr>
        <w:lastRenderedPageBreak/>
        <w:t>ف</w:t>
      </w:r>
      <w:r w:rsidRPr="00E5180D">
        <w:rPr>
          <w:rFonts w:ascii="Traditional Arabic" w:hAnsi="Traditional Arabic"/>
          <w:noProof w:val="0"/>
          <w:color w:val="auto"/>
          <w:rtl/>
          <w:lang w:eastAsia="en-US"/>
        </w:rPr>
        <w:t xml:space="preserve">قاعدة الشريعة </w:t>
      </w:r>
      <w:r>
        <w:rPr>
          <w:rFonts w:ascii="Traditional Arabic" w:hAnsi="Traditional Arabic" w:hint="cs"/>
          <w:noProof w:val="0"/>
          <w:color w:val="auto"/>
          <w:rtl/>
          <w:lang w:eastAsia="en-US"/>
        </w:rPr>
        <w:t xml:space="preserve">أنها </w:t>
      </w:r>
      <w:r w:rsidRPr="00E5180D">
        <w:rPr>
          <w:rFonts w:ascii="Traditional Arabic" w:hAnsi="Traditional Arabic"/>
          <w:noProof w:val="0"/>
          <w:color w:val="auto"/>
          <w:rtl/>
          <w:lang w:eastAsia="en-US"/>
        </w:rPr>
        <w:t>تأم</w:t>
      </w:r>
      <w:r>
        <w:rPr>
          <w:rFonts w:ascii="Traditional Arabic" w:hAnsi="Traditional Arabic" w:hint="cs"/>
          <w:noProof w:val="0"/>
          <w:color w:val="auto"/>
          <w:rtl/>
          <w:lang w:eastAsia="en-US"/>
        </w:rPr>
        <w:t>ُ</w:t>
      </w:r>
      <w:r>
        <w:rPr>
          <w:rFonts w:ascii="Traditional Arabic" w:hAnsi="Traditional Arabic"/>
          <w:noProof w:val="0"/>
          <w:color w:val="auto"/>
          <w:rtl/>
          <w:lang w:eastAsia="en-US"/>
        </w:rPr>
        <w:t>ر بالمصالح وتنه</w:t>
      </w:r>
      <w:r>
        <w:rPr>
          <w:rFonts w:ascii="Traditional Arabic" w:hAnsi="Traditional Arabic" w:hint="cs"/>
          <w:noProof w:val="0"/>
          <w:color w:val="auto"/>
          <w:rtl/>
          <w:lang w:eastAsia="en-US"/>
        </w:rPr>
        <w:t>ى</w:t>
      </w:r>
      <w:r w:rsidRPr="00E5180D">
        <w:rPr>
          <w:rFonts w:ascii="Traditional Arabic" w:hAnsi="Traditional Arabic"/>
          <w:noProof w:val="0"/>
          <w:color w:val="auto"/>
          <w:rtl/>
          <w:lang w:eastAsia="en-US"/>
        </w:rPr>
        <w:t xml:space="preserve"> عن المفاسد</w:t>
      </w:r>
      <w:r>
        <w:rPr>
          <w:rFonts w:ascii="Traditional Arabic" w:hAnsi="Traditional Arabic" w:hint="cs"/>
          <w:noProof w:val="0"/>
          <w:color w:val="auto"/>
          <w:rtl/>
          <w:lang w:eastAsia="en-US"/>
        </w:rPr>
        <w:t>،</w:t>
      </w:r>
      <w:r w:rsidRPr="00E5180D">
        <w:rPr>
          <w:rFonts w:ascii="Traditional Arabic" w:hAnsi="Traditional Arabic"/>
          <w:noProof w:val="0"/>
          <w:color w:val="auto"/>
          <w:rtl/>
          <w:lang w:eastAsia="en-US"/>
        </w:rPr>
        <w:t xml:space="preserve"> وإذا اجتمع في الشيء مفسدة ومصلحة غ</w:t>
      </w:r>
      <w:r>
        <w:rPr>
          <w:rFonts w:ascii="Traditional Arabic" w:hAnsi="Traditional Arabic" w:hint="cs"/>
          <w:noProof w:val="0"/>
          <w:color w:val="auto"/>
          <w:rtl/>
          <w:lang w:eastAsia="en-US"/>
        </w:rPr>
        <w:t>ُ</w:t>
      </w:r>
      <w:r w:rsidRPr="00E5180D">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E5180D">
        <w:rPr>
          <w:rFonts w:ascii="Traditional Arabic" w:hAnsi="Traditional Arabic"/>
          <w:noProof w:val="0"/>
          <w:color w:val="auto"/>
          <w:rtl/>
          <w:lang w:eastAsia="en-US"/>
        </w:rPr>
        <w:t>ب الأقوى منهما والأكثر</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فإن كان</w:t>
      </w:r>
      <w:r>
        <w:rPr>
          <w:rFonts w:ascii="Traditional Arabic" w:hAnsi="Traditional Arabic" w:hint="cs"/>
          <w:noProof w:val="0"/>
          <w:color w:val="auto"/>
          <w:rtl/>
          <w:lang w:eastAsia="en-US"/>
        </w:rPr>
        <w:t>ت</w:t>
      </w:r>
      <w:r w:rsidRPr="00E5180D">
        <w:rPr>
          <w:rFonts w:ascii="Traditional Arabic" w:hAnsi="Traditional Arabic"/>
          <w:noProof w:val="0"/>
          <w:color w:val="auto"/>
          <w:rtl/>
          <w:lang w:eastAsia="en-US"/>
        </w:rPr>
        <w:t xml:space="preserve"> المصلحة</w:t>
      </w:r>
      <w:r>
        <w:rPr>
          <w:rFonts w:ascii="Traditional Arabic" w:hAnsi="Traditional Arabic" w:hint="cs"/>
          <w:noProof w:val="0"/>
          <w:color w:val="auto"/>
          <w:rtl/>
          <w:lang w:eastAsia="en-US"/>
        </w:rPr>
        <w:t xml:space="preserve"> هي الأكثر</w:t>
      </w:r>
      <w:r w:rsidRPr="00E5180D">
        <w:rPr>
          <w:rFonts w:ascii="Traditional Arabic" w:hAnsi="Traditional Arabic"/>
          <w:noProof w:val="0"/>
          <w:color w:val="auto"/>
          <w:rtl/>
          <w:lang w:eastAsia="en-US"/>
        </w:rPr>
        <w:t xml:space="preserve"> غ</w:t>
      </w:r>
      <w:r>
        <w:rPr>
          <w:rFonts w:ascii="Traditional Arabic" w:hAnsi="Traditional Arabic" w:hint="cs"/>
          <w:noProof w:val="0"/>
          <w:color w:val="auto"/>
          <w:rtl/>
          <w:lang w:eastAsia="en-US"/>
        </w:rPr>
        <w:t>ُ</w:t>
      </w:r>
      <w:r w:rsidRPr="00E5180D">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E5180D">
        <w:rPr>
          <w:rFonts w:ascii="Traditional Arabic" w:hAnsi="Traditional Arabic"/>
          <w:noProof w:val="0"/>
          <w:color w:val="auto"/>
          <w:rtl/>
          <w:lang w:eastAsia="en-US"/>
        </w:rPr>
        <w:t>بت</w:t>
      </w:r>
      <w:r>
        <w:rPr>
          <w:rFonts w:ascii="Traditional Arabic" w:hAnsi="Traditional Arabic" w:hint="cs"/>
          <w:noProof w:val="0"/>
          <w:color w:val="auto"/>
          <w:rtl/>
          <w:lang w:eastAsia="en-US"/>
        </w:rPr>
        <w:t xml:space="preserve"> المصلحة، </w:t>
      </w:r>
      <w:r w:rsidRPr="00E5180D">
        <w:rPr>
          <w:rFonts w:ascii="Traditional Arabic" w:hAnsi="Traditional Arabic"/>
          <w:noProof w:val="0"/>
          <w:color w:val="auto"/>
          <w:rtl/>
          <w:lang w:eastAsia="en-US"/>
        </w:rPr>
        <w:t xml:space="preserve">وإن كانت المفسدة </w:t>
      </w:r>
      <w:r>
        <w:rPr>
          <w:rFonts w:ascii="Traditional Arabic" w:hAnsi="Traditional Arabic" w:hint="cs"/>
          <w:noProof w:val="0"/>
          <w:color w:val="auto"/>
          <w:rtl/>
          <w:lang w:eastAsia="en-US"/>
        </w:rPr>
        <w:t xml:space="preserve">هي الأكثر </w:t>
      </w:r>
      <w:r w:rsidRPr="00E5180D">
        <w:rPr>
          <w:rFonts w:ascii="Traditional Arabic" w:hAnsi="Traditional Arabic"/>
          <w:noProof w:val="0"/>
          <w:color w:val="auto"/>
          <w:rtl/>
          <w:lang w:eastAsia="en-US"/>
        </w:rPr>
        <w:t>غ</w:t>
      </w:r>
      <w:r>
        <w:rPr>
          <w:rFonts w:ascii="Traditional Arabic" w:hAnsi="Traditional Arabic" w:hint="cs"/>
          <w:noProof w:val="0"/>
          <w:color w:val="auto"/>
          <w:rtl/>
          <w:lang w:eastAsia="en-US"/>
        </w:rPr>
        <w:t>ُ</w:t>
      </w:r>
      <w:r w:rsidRPr="00E5180D">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E5180D">
        <w:rPr>
          <w:rFonts w:ascii="Traditional Arabic" w:hAnsi="Traditional Arabic"/>
          <w:noProof w:val="0"/>
          <w:color w:val="auto"/>
          <w:rtl/>
          <w:lang w:eastAsia="en-US"/>
        </w:rPr>
        <w:t>بت</w:t>
      </w:r>
      <w:r w:rsidR="003E722C">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المفسدة</w:t>
      </w:r>
      <w:r w:rsidRPr="00C821A1">
        <w:rPr>
          <w:rStyle w:val="af1"/>
          <w:szCs w:val="32"/>
          <w:rtl/>
        </w:rPr>
        <w:t>(</w:t>
      </w:r>
      <w:r w:rsidRPr="00C821A1">
        <w:rPr>
          <w:rStyle w:val="af1"/>
          <w:szCs w:val="32"/>
          <w:rtl/>
        </w:rPr>
        <w:footnoteReference w:id="279"/>
      </w:r>
      <w:r w:rsidRPr="00C821A1">
        <w:rPr>
          <w:rStyle w:val="af1"/>
          <w:szCs w:val="32"/>
          <w:rtl/>
        </w:rPr>
        <w:t>)</w:t>
      </w:r>
      <w:r>
        <w:rPr>
          <w:rFonts w:ascii="Traditional Arabic" w:hAnsi="Traditional Arabic" w:hint="cs"/>
          <w:noProof w:val="0"/>
          <w:color w:val="auto"/>
          <w:rtl/>
          <w:lang w:eastAsia="en-US"/>
        </w:rPr>
        <w:t>.</w:t>
      </w:r>
    </w:p>
    <w:p w:rsidR="00F228A9" w:rsidRPr="00B02723" w:rsidRDefault="000C501F" w:rsidP="00597C20">
      <w:pPr>
        <w:widowControl/>
        <w:autoSpaceDE w:val="0"/>
        <w:autoSpaceDN w:val="0"/>
        <w:adjustRightInd w:val="0"/>
        <w:ind w:firstLine="720"/>
        <w:rPr>
          <w:rFonts w:ascii="Traditional Arabic" w:hAnsi="Traditional Arabic"/>
          <w:noProof w:val="0"/>
          <w:color w:val="auto"/>
          <w:rtl/>
          <w:lang w:eastAsia="en-US"/>
        </w:rPr>
      </w:pPr>
      <w:r w:rsidRPr="00B02723">
        <w:rPr>
          <w:rFonts w:ascii="Traditional Arabic" w:hAnsi="Traditional Arabic"/>
          <w:noProof w:val="0"/>
          <w:color w:val="auto"/>
          <w:rtl/>
          <w:lang w:eastAsia="en-US"/>
        </w:rPr>
        <w:t>والمحظور الشرعي إذا قاب</w:t>
      </w:r>
      <w:r w:rsidR="009F7DCC">
        <w:rPr>
          <w:rFonts w:ascii="Traditional Arabic" w:hAnsi="Traditional Arabic" w:hint="cs"/>
          <w:noProof w:val="0"/>
          <w:color w:val="auto"/>
          <w:rtl/>
          <w:lang w:eastAsia="en-US"/>
        </w:rPr>
        <w:t>َ</w:t>
      </w:r>
      <w:r w:rsidRPr="00B02723">
        <w:rPr>
          <w:rFonts w:ascii="Traditional Arabic" w:hAnsi="Traditional Arabic"/>
          <w:noProof w:val="0"/>
          <w:color w:val="auto"/>
          <w:rtl/>
          <w:lang w:eastAsia="en-US"/>
        </w:rPr>
        <w:t>لت</w:t>
      </w:r>
      <w:r w:rsidR="009F7DCC">
        <w:rPr>
          <w:rFonts w:ascii="Traditional Arabic" w:hAnsi="Traditional Arabic" w:hint="cs"/>
          <w:noProof w:val="0"/>
          <w:color w:val="auto"/>
          <w:rtl/>
          <w:lang w:eastAsia="en-US"/>
        </w:rPr>
        <w:t>ْ</w:t>
      </w:r>
      <w:r w:rsidR="00E87217">
        <w:rPr>
          <w:rFonts w:ascii="Traditional Arabic" w:hAnsi="Traditional Arabic"/>
          <w:noProof w:val="0"/>
          <w:color w:val="auto"/>
          <w:rtl/>
          <w:lang w:eastAsia="en-US"/>
        </w:rPr>
        <w:t xml:space="preserve">ه مصلحة </w:t>
      </w:r>
      <w:r w:rsidRPr="00B02723">
        <w:rPr>
          <w:rFonts w:ascii="Traditional Arabic" w:hAnsi="Traditional Arabic"/>
          <w:noProof w:val="0"/>
          <w:color w:val="auto"/>
          <w:rtl/>
          <w:lang w:eastAsia="en-US"/>
        </w:rPr>
        <w:t>أرجح</w:t>
      </w:r>
      <w:r>
        <w:rPr>
          <w:rFonts w:ascii="Traditional Arabic" w:hAnsi="Traditional Arabic" w:hint="cs"/>
          <w:noProof w:val="0"/>
          <w:color w:val="auto"/>
          <w:rtl/>
          <w:lang w:eastAsia="en-US"/>
        </w:rPr>
        <w:t>ُ</w:t>
      </w:r>
      <w:r w:rsidRPr="00B02723">
        <w:rPr>
          <w:rFonts w:ascii="Traditional Arabic" w:hAnsi="Traditional Arabic"/>
          <w:noProof w:val="0"/>
          <w:color w:val="auto"/>
          <w:rtl/>
          <w:lang w:eastAsia="en-US"/>
        </w:rPr>
        <w:t xml:space="preserve"> منه أصبح جائزا بمقتضى ترج</w:t>
      </w:r>
      <w:r>
        <w:rPr>
          <w:rFonts w:ascii="Traditional Arabic" w:hAnsi="Traditional Arabic" w:hint="cs"/>
          <w:noProof w:val="0"/>
          <w:color w:val="auto"/>
          <w:rtl/>
          <w:lang w:eastAsia="en-US"/>
        </w:rPr>
        <w:t>ُّ</w:t>
      </w:r>
      <w:r w:rsidRPr="00B02723">
        <w:rPr>
          <w:rFonts w:ascii="Traditional Arabic" w:hAnsi="Traditional Arabic"/>
          <w:noProof w:val="0"/>
          <w:color w:val="auto"/>
          <w:rtl/>
          <w:lang w:eastAsia="en-US"/>
        </w:rPr>
        <w:t>ح المصلحة، وإذا كان الشرع يحر</w:t>
      </w:r>
      <w:r>
        <w:rPr>
          <w:rFonts w:ascii="Traditional Arabic" w:hAnsi="Traditional Arabic" w:hint="cs"/>
          <w:noProof w:val="0"/>
          <w:color w:val="auto"/>
          <w:rtl/>
          <w:lang w:eastAsia="en-US"/>
        </w:rPr>
        <w:t>ِّ</w:t>
      </w:r>
      <w:r w:rsidRPr="00B02723">
        <w:rPr>
          <w:rFonts w:ascii="Traditional Arabic" w:hAnsi="Traditional Arabic"/>
          <w:noProof w:val="0"/>
          <w:color w:val="auto"/>
          <w:rtl/>
          <w:lang w:eastAsia="en-US"/>
        </w:rPr>
        <w:t>م الشيء؛ لأن إثمه أكبر، فإنه يبيح الشيء إذا كانت مصلحته أكبر</w:t>
      </w:r>
      <w:r w:rsidRPr="00C821A1">
        <w:rPr>
          <w:rStyle w:val="af1"/>
          <w:szCs w:val="32"/>
          <w:rtl/>
        </w:rPr>
        <w:t>(</w:t>
      </w:r>
      <w:r w:rsidRPr="00C821A1">
        <w:rPr>
          <w:rStyle w:val="af1"/>
          <w:szCs w:val="32"/>
          <w:rtl/>
        </w:rPr>
        <w:footnoteReference w:id="280"/>
      </w:r>
      <w:r w:rsidRPr="00C821A1">
        <w:rPr>
          <w:rStyle w:val="af1"/>
          <w:szCs w:val="32"/>
          <w:rtl/>
        </w:rPr>
        <w:t>)</w:t>
      </w:r>
      <w:r>
        <w:rPr>
          <w:rFonts w:ascii="Traditional Arabic" w:hAnsi="Traditional Arabic" w:hint="cs"/>
          <w:noProof w:val="0"/>
          <w:color w:val="auto"/>
          <w:rtl/>
          <w:lang w:eastAsia="en-US"/>
        </w:rPr>
        <w:t>.</w:t>
      </w:r>
    </w:p>
    <w:p w:rsidR="00065E4B" w:rsidRPr="000C501F" w:rsidRDefault="003E722C" w:rsidP="00A8347C">
      <w:pPr>
        <w:pStyle w:val="aff3"/>
        <w:rPr>
          <w:rtl/>
        </w:rPr>
      </w:pPr>
      <w:bookmarkStart w:id="56" w:name="_Toc334046311"/>
      <w:r>
        <w:rPr>
          <w:rFonts w:hint="cs"/>
          <w:rtl/>
        </w:rPr>
        <w:t xml:space="preserve">                   </w:t>
      </w:r>
      <w:r w:rsidR="004C4CBC">
        <w:rPr>
          <w:rFonts w:hint="cs"/>
          <w:rtl/>
        </w:rPr>
        <w:t xml:space="preserve">                      </w:t>
      </w:r>
      <w:r w:rsidR="000C501F" w:rsidRPr="000C501F">
        <w:rPr>
          <w:rFonts w:hint="cs"/>
          <w:rtl/>
        </w:rPr>
        <w:t>المطلب الثالث</w:t>
      </w:r>
      <w:r w:rsidR="000C501F">
        <w:rPr>
          <w:rFonts w:hint="eastAsia"/>
          <w:rtl/>
        </w:rPr>
        <w:t> :</w:t>
      </w:r>
      <w:r w:rsidR="000C501F">
        <w:rPr>
          <w:rFonts w:hint="cs"/>
          <w:rtl/>
        </w:rPr>
        <w:br/>
      </w:r>
      <w:r>
        <w:rPr>
          <w:rFonts w:hint="cs"/>
          <w:rtl/>
        </w:rPr>
        <w:t xml:space="preserve">                </w:t>
      </w:r>
      <w:r w:rsidR="00E87217">
        <w:rPr>
          <w:rFonts w:hint="cs"/>
          <w:rtl/>
        </w:rPr>
        <w:t xml:space="preserve"> </w:t>
      </w:r>
      <w:r w:rsidR="004C4CBC">
        <w:rPr>
          <w:rFonts w:hint="cs"/>
          <w:rtl/>
        </w:rPr>
        <w:t xml:space="preserve">                          </w:t>
      </w:r>
      <w:r w:rsidR="000C501F" w:rsidRPr="000C501F">
        <w:rPr>
          <w:rFonts w:hint="cs"/>
          <w:rtl/>
        </w:rPr>
        <w:t>أدلة القاعدة</w:t>
      </w:r>
      <w:bookmarkEnd w:id="56"/>
    </w:p>
    <w:p w:rsidR="00065E4B" w:rsidRPr="00650F9C" w:rsidRDefault="00065E4B" w:rsidP="00597C20">
      <w:pPr>
        <w:widowControl/>
        <w:autoSpaceDE w:val="0"/>
        <w:autoSpaceDN w:val="0"/>
        <w:adjustRightInd w:val="0"/>
        <w:ind w:left="565" w:hanging="565"/>
        <w:rPr>
          <w:rFonts w:ascii="Traditional Arabic" w:hAnsi="Traditional Arabic"/>
          <w:noProof w:val="0"/>
          <w:color w:val="auto"/>
          <w:rtl/>
          <w:lang w:eastAsia="en-US"/>
        </w:rPr>
      </w:pPr>
      <w:r>
        <w:rPr>
          <w:rFonts w:ascii="Traditional Arabic" w:hAnsi="Traditional Arabic" w:hint="cs"/>
          <w:noProof w:val="0"/>
          <w:rtl/>
          <w:lang w:eastAsia="en-US"/>
        </w:rPr>
        <w:t>(</w:t>
      </w:r>
      <w:r w:rsidR="000C501F">
        <w:rPr>
          <w:rFonts w:ascii="Traditional Arabic" w:hAnsi="Traditional Arabic" w:hint="cs"/>
          <w:noProof w:val="0"/>
          <w:rtl/>
          <w:lang w:eastAsia="en-US"/>
        </w:rPr>
        <w:t>1)</w:t>
      </w:r>
      <w:r w:rsidR="000C501F">
        <w:rPr>
          <w:rFonts w:ascii="Traditional Arabic" w:hAnsi="Traditional Arabic" w:hint="cs"/>
          <w:noProof w:val="0"/>
          <w:color w:val="auto"/>
          <w:rtl/>
          <w:lang w:eastAsia="en-US"/>
        </w:rPr>
        <w:t xml:space="preserve"> قوله الله تعالى:</w:t>
      </w:r>
      <w:bookmarkStart w:id="57" w:name="سورة_المائدة_90"/>
      <w:r w:rsidR="004C4CBC">
        <w:rPr>
          <w:rFonts w:ascii="Traditional Arabic" w:hAnsi="Traditional Arabic" w:hint="cs"/>
          <w:noProof w:val="0"/>
          <w:color w:val="auto"/>
          <w:rtl/>
          <w:lang w:eastAsia="en-US"/>
        </w:rPr>
        <w:t xml:space="preserve"> </w:t>
      </w:r>
      <w:r w:rsidR="000C501F" w:rsidRPr="00650F9C">
        <w:rPr>
          <w:rFonts w:ascii="QCF_BSML" w:hAnsi="QCF_BSML" w:cs="QCF_BSML"/>
          <w:noProof w:val="0"/>
          <w:rtl/>
          <w:lang w:eastAsia="en-US"/>
        </w:rPr>
        <w:t xml:space="preserve">ﭽ </w:t>
      </w:r>
      <w:r w:rsidR="000C501F" w:rsidRPr="00650F9C">
        <w:rPr>
          <w:rFonts w:ascii="QCF_P123" w:hAnsi="QCF_P123" w:cs="QCF_P123"/>
          <w:noProof w:val="0"/>
          <w:rtl/>
          <w:lang w:eastAsia="en-US"/>
        </w:rPr>
        <w:t>ﭑﭒ</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ﭓ</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ﭔ</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ﭕ</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ﭖ</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ﭗ</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ﭘ</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ﭙ</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ﭚ</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ﭛ</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ﭜ</w:t>
      </w:r>
      <w:r w:rsidR="009F7DCC">
        <w:rPr>
          <w:rFonts w:ascii="QCF_P123" w:hAnsi="QCF_P123" w:cs="QCF_P123" w:hint="cs"/>
          <w:noProof w:val="0"/>
          <w:rtl/>
          <w:lang w:eastAsia="en-US"/>
        </w:rPr>
        <w:t xml:space="preserve"> </w:t>
      </w:r>
      <w:r w:rsidR="000C501F" w:rsidRPr="00650F9C">
        <w:rPr>
          <w:rFonts w:ascii="QCF_P123" w:hAnsi="QCF_P123" w:cs="QCF_P123"/>
          <w:noProof w:val="0"/>
          <w:rtl/>
          <w:lang w:eastAsia="en-US"/>
        </w:rPr>
        <w:t>ﭝﭞﭟﭠ</w:t>
      </w:r>
      <w:r w:rsidR="000C501F" w:rsidRPr="00650F9C">
        <w:rPr>
          <w:rFonts w:ascii="QCF_BSML" w:hAnsi="QCF_BSML" w:cs="QCF_BSML"/>
          <w:noProof w:val="0"/>
          <w:rtl/>
          <w:lang w:eastAsia="en-US"/>
        </w:rPr>
        <w:t>ﭼ</w:t>
      </w:r>
      <w:bookmarkEnd w:id="57"/>
      <w:r w:rsidR="000C501F">
        <w:rPr>
          <w:rFonts w:ascii="Traditional Arabic" w:hAnsi="Traditional Arabic" w:hint="cs"/>
          <w:noProof w:val="0"/>
          <w:color w:val="auto"/>
          <w:rtl/>
          <w:lang w:eastAsia="en-US"/>
        </w:rPr>
        <w:t>[</w:t>
      </w:r>
      <w:r w:rsidR="003E722C">
        <w:rPr>
          <w:rFonts w:ascii="Traditional Arabic" w:hAnsi="Traditional Arabic"/>
          <w:noProof w:val="0"/>
          <w:color w:val="auto"/>
          <w:rtl/>
          <w:lang w:eastAsia="en-US"/>
        </w:rPr>
        <w:t>المائدة:</w:t>
      </w:r>
      <w:r w:rsidR="000C501F" w:rsidRPr="00650F9C">
        <w:rPr>
          <w:rFonts w:ascii="Traditional Arabic" w:hAnsi="Traditional Arabic"/>
          <w:noProof w:val="0"/>
          <w:color w:val="auto"/>
          <w:rtl/>
          <w:lang w:eastAsia="en-US"/>
        </w:rPr>
        <w:t>٩٠</w:t>
      </w:r>
      <w:r w:rsidR="000C501F">
        <w:rPr>
          <w:rFonts w:ascii="Traditional Arabic" w:hAnsi="Traditional Arabic" w:hint="cs"/>
          <w:noProof w:val="0"/>
          <w:color w:val="auto"/>
          <w:rtl/>
          <w:lang w:eastAsia="en-US"/>
        </w:rPr>
        <w:t>]،</w:t>
      </w:r>
      <w:r w:rsidR="004C4CBC">
        <w:rPr>
          <w:rFonts w:ascii="Traditional Arabic" w:hAnsi="Traditional Arabic" w:hint="cs"/>
          <w:noProof w:val="0"/>
          <w:color w:val="auto"/>
          <w:rtl/>
          <w:lang w:eastAsia="en-US"/>
        </w:rPr>
        <w:t xml:space="preserve"> </w:t>
      </w:r>
      <w:r w:rsidR="00154102">
        <w:rPr>
          <w:rFonts w:ascii="Traditional Arabic" w:hAnsi="Traditional Arabic" w:hint="cs"/>
          <w:noProof w:val="0"/>
          <w:color w:val="auto"/>
          <w:rtl/>
          <w:lang w:eastAsia="en-US"/>
        </w:rPr>
        <w:t>و</w:t>
      </w:r>
      <w:r w:rsidR="003E722C">
        <w:rPr>
          <w:rFonts w:ascii="Traditional Arabic" w:hAnsi="Traditional Arabic" w:hint="cs"/>
          <w:noProof w:val="0"/>
          <w:rtl/>
          <w:lang w:eastAsia="en-US"/>
        </w:rPr>
        <w:t>قوله</w:t>
      </w:r>
      <w:r w:rsidR="009F7DCC">
        <w:rPr>
          <w:rFonts w:ascii="Traditional Arabic" w:hAnsi="Traditional Arabic" w:hint="cs"/>
          <w:noProof w:val="0"/>
          <w:rtl/>
          <w:lang w:eastAsia="en-US"/>
        </w:rPr>
        <w:t xml:space="preserve"> </w:t>
      </w:r>
      <w:r w:rsidR="000C501F">
        <w:rPr>
          <w:rFonts w:ascii="Traditional Arabic" w:hAnsi="Traditional Arabic" w:hint="cs"/>
          <w:noProof w:val="0"/>
          <w:rtl/>
          <w:lang w:eastAsia="en-US"/>
        </w:rPr>
        <w:t>تعالى:</w:t>
      </w:r>
      <w:bookmarkStart w:id="58" w:name="سورة_البقرة_219"/>
      <w:r w:rsidR="004C4CBC">
        <w:rPr>
          <w:rFonts w:ascii="Traditional Arabic" w:hAnsi="Traditional Arabic" w:hint="cs"/>
          <w:noProof w:val="0"/>
          <w:rtl/>
          <w:lang w:eastAsia="en-US"/>
        </w:rPr>
        <w:t xml:space="preserve"> </w:t>
      </w:r>
      <w:r w:rsidR="000C501F" w:rsidRPr="00650F9C">
        <w:rPr>
          <w:rFonts w:ascii="QCF_BSML" w:hAnsi="QCF_BSML" w:cs="QCF_BSML"/>
          <w:noProof w:val="0"/>
          <w:rtl/>
          <w:lang w:eastAsia="en-US"/>
        </w:rPr>
        <w:t>ﭽ</w:t>
      </w:r>
      <w:r w:rsidR="000C501F" w:rsidRPr="00650F9C">
        <w:rPr>
          <w:rFonts w:ascii="QCF_P034" w:hAnsi="QCF_P034" w:cs="QCF_P034"/>
          <w:noProof w:val="0"/>
          <w:rtl/>
          <w:lang w:eastAsia="en-US"/>
        </w:rPr>
        <w:t>ﯣ</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ﯤ</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ﯥ</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ﯦ</w:t>
      </w:r>
      <w:r w:rsidR="009F7DCC">
        <w:rPr>
          <w:rFonts w:ascii="QCF_P034" w:hAnsi="QCF_P034" w:cs="QCF_P034" w:hint="cs"/>
          <w:noProof w:val="0"/>
          <w:rtl/>
          <w:lang w:eastAsia="en-US"/>
        </w:rPr>
        <w:t xml:space="preserve"> </w:t>
      </w:r>
      <w:r w:rsidR="000C501F" w:rsidRPr="00650F9C">
        <w:rPr>
          <w:rFonts w:ascii="QCF_P034" w:hAnsi="QCF_P034" w:cs="QCF_P034"/>
          <w:noProof w:val="0"/>
          <w:color w:val="0000A5"/>
          <w:rtl/>
          <w:lang w:eastAsia="en-US"/>
        </w:rPr>
        <w:t>ﯧ</w:t>
      </w:r>
      <w:r w:rsidR="003E722C">
        <w:rPr>
          <w:rFonts w:ascii="QCF_P034" w:hAnsi="QCF_P034" w:cs="QCF_P034"/>
          <w:noProof w:val="0"/>
          <w:rtl/>
          <w:lang w:eastAsia="en-US"/>
        </w:rPr>
        <w:t>ﯨ</w:t>
      </w:r>
      <w:r w:rsidR="009F7DCC">
        <w:rPr>
          <w:rFonts w:ascii="QCF_P034" w:hAnsi="QCF_P034" w:cs="QCF_P034" w:hint="cs"/>
          <w:noProof w:val="0"/>
          <w:rtl/>
          <w:lang w:eastAsia="en-US"/>
        </w:rPr>
        <w:t xml:space="preserve">  </w:t>
      </w:r>
      <w:r w:rsidR="003E722C">
        <w:rPr>
          <w:rFonts w:ascii="QCF_P034" w:hAnsi="QCF_P034" w:cs="QCF_P034"/>
          <w:noProof w:val="0"/>
          <w:rtl/>
          <w:lang w:eastAsia="en-US"/>
        </w:rPr>
        <w:t>ﯩﯪ</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ﯫ</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ﯬ</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ﯭ</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ﯮ</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ﯯ</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ﯰ</w:t>
      </w:r>
      <w:r w:rsidR="009F7DCC">
        <w:rPr>
          <w:rFonts w:ascii="QCF_P034" w:hAnsi="QCF_P034" w:cs="QCF_P034" w:hint="cs"/>
          <w:noProof w:val="0"/>
          <w:rtl/>
          <w:lang w:eastAsia="en-US"/>
        </w:rPr>
        <w:t xml:space="preserve"> </w:t>
      </w:r>
      <w:r w:rsidR="000C501F" w:rsidRPr="00650F9C">
        <w:rPr>
          <w:rFonts w:ascii="QCF_P034" w:hAnsi="QCF_P034" w:cs="QCF_P034"/>
          <w:noProof w:val="0"/>
          <w:rtl/>
          <w:lang w:eastAsia="en-US"/>
        </w:rPr>
        <w:t>ﯱ</w:t>
      </w:r>
      <w:r w:rsidR="000C501F" w:rsidRPr="00650F9C">
        <w:rPr>
          <w:rFonts w:ascii="QCF_BSML" w:hAnsi="QCF_BSML" w:cs="QCF_BSML"/>
          <w:noProof w:val="0"/>
          <w:rtl/>
          <w:lang w:eastAsia="en-US"/>
        </w:rPr>
        <w:t>ﭼ</w:t>
      </w:r>
      <w:bookmarkEnd w:id="58"/>
      <w:r w:rsidR="000C501F">
        <w:rPr>
          <w:rFonts w:ascii="Traditional Arabic" w:hAnsi="Traditional Arabic" w:hint="cs"/>
          <w:noProof w:val="0"/>
          <w:color w:val="auto"/>
          <w:rtl/>
          <w:lang w:eastAsia="en-US"/>
        </w:rPr>
        <w:t>[</w:t>
      </w:r>
      <w:r w:rsidR="000C501F" w:rsidRPr="00650F9C">
        <w:rPr>
          <w:rFonts w:ascii="Traditional Arabic" w:hAnsi="Traditional Arabic"/>
          <w:noProof w:val="0"/>
          <w:color w:val="auto"/>
          <w:rtl/>
          <w:lang w:eastAsia="en-US"/>
        </w:rPr>
        <w:t>البقرة: ٢١٩</w:t>
      </w:r>
      <w:r w:rsidR="000C501F">
        <w:rPr>
          <w:rFonts w:ascii="Traditional Arabic" w:hAnsi="Traditional Arabic" w:hint="cs"/>
          <w:noProof w:val="0"/>
          <w:color w:val="auto"/>
          <w:rtl/>
          <w:lang w:eastAsia="en-US"/>
        </w:rPr>
        <w:t>].</w:t>
      </w:r>
    </w:p>
    <w:p w:rsidR="000C501F" w:rsidRDefault="00065E4B" w:rsidP="00597C20">
      <w:pPr>
        <w:pStyle w:val="53"/>
        <w:rPr>
          <w:rtl/>
        </w:rPr>
      </w:pPr>
      <w:r>
        <w:rPr>
          <w:rFonts w:hint="cs"/>
          <w:rtl/>
        </w:rPr>
        <w:t>و</w:t>
      </w:r>
      <w:r w:rsidR="000C501F">
        <w:rPr>
          <w:rFonts w:hint="cs"/>
          <w:rtl/>
        </w:rPr>
        <w:t>جه الدلالة :</w:t>
      </w:r>
    </w:p>
    <w:p w:rsidR="00065E4B" w:rsidRDefault="000C501F" w:rsidP="00597C20">
      <w:pPr>
        <w:widowControl/>
        <w:autoSpaceDE w:val="0"/>
        <w:autoSpaceDN w:val="0"/>
        <w:adjustRightInd w:val="0"/>
        <w:ind w:firstLine="720"/>
        <w:rPr>
          <w:rFonts w:ascii="Traditional Arabic" w:hAnsi="Traditional Arabic"/>
          <w:b/>
          <w:bCs/>
          <w:noProof w:val="0"/>
          <w:color w:val="auto"/>
          <w:rtl/>
          <w:lang w:eastAsia="en-US"/>
        </w:rPr>
      </w:pPr>
      <w:r w:rsidRPr="00650F9C">
        <w:rPr>
          <w:rFonts w:ascii="Traditional Arabic" w:hAnsi="Traditional Arabic"/>
          <w:noProof w:val="0"/>
          <w:color w:val="auto"/>
          <w:rtl/>
          <w:lang w:eastAsia="en-US"/>
        </w:rPr>
        <w:t>أمر الله تعالى</w:t>
      </w:r>
      <w:r>
        <w:rPr>
          <w:rFonts w:ascii="Traditional Arabic" w:hAnsi="Traditional Arabic" w:hint="cs"/>
          <w:noProof w:val="0"/>
          <w:color w:val="auto"/>
          <w:rtl/>
          <w:lang w:eastAsia="en-US"/>
        </w:rPr>
        <w:t xml:space="preserve"> في الآية الأولى</w:t>
      </w:r>
      <w:r w:rsidRPr="00650F9C">
        <w:rPr>
          <w:rFonts w:ascii="Traditional Arabic" w:hAnsi="Traditional Arabic"/>
          <w:noProof w:val="0"/>
          <w:color w:val="auto"/>
          <w:rtl/>
          <w:lang w:eastAsia="en-US"/>
        </w:rPr>
        <w:t xml:space="preserve"> باجتناب هذه الأربعة: الخمر</w:t>
      </w:r>
      <w:r>
        <w:rPr>
          <w:rFonts w:ascii="Traditional Arabic" w:hAnsi="Traditional Arabic"/>
          <w:noProof w:val="0"/>
          <w:color w:val="auto"/>
          <w:rtl/>
          <w:lang w:eastAsia="en-US"/>
        </w:rPr>
        <w:t xml:space="preserve"> والميسر والأنصاب والأزلام</w:t>
      </w:r>
      <w:r>
        <w:rPr>
          <w:rFonts w:ascii="Traditional Arabic" w:hAnsi="Traditional Arabic" w:hint="cs"/>
          <w:noProof w:val="0"/>
          <w:color w:val="auto"/>
          <w:rtl/>
          <w:lang w:eastAsia="en-US"/>
        </w:rPr>
        <w:t>،</w:t>
      </w:r>
      <w:r w:rsidRPr="00650F9C">
        <w:rPr>
          <w:rFonts w:ascii="Traditional Arabic" w:hAnsi="Traditional Arabic"/>
          <w:noProof w:val="0"/>
          <w:color w:val="auto"/>
          <w:rtl/>
          <w:lang w:eastAsia="en-US"/>
        </w:rPr>
        <w:t xml:space="preserve"> وع</w:t>
      </w:r>
      <w:r>
        <w:rPr>
          <w:rFonts w:ascii="Traditional Arabic" w:hAnsi="Traditional Arabic" w:hint="cs"/>
          <w:noProof w:val="0"/>
          <w:color w:val="auto"/>
          <w:rtl/>
          <w:lang w:eastAsia="en-US"/>
        </w:rPr>
        <w:t>َ</w:t>
      </w:r>
      <w:r w:rsidRPr="00650F9C">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650F9C">
        <w:rPr>
          <w:rFonts w:ascii="Traditional Arabic" w:hAnsi="Traditional Arabic"/>
          <w:noProof w:val="0"/>
          <w:color w:val="auto"/>
          <w:rtl/>
          <w:lang w:eastAsia="en-US"/>
        </w:rPr>
        <w:t>ل اجتناب</w:t>
      </w:r>
      <w:r>
        <w:rPr>
          <w:rFonts w:ascii="Traditional Arabic" w:hAnsi="Traditional Arabic" w:hint="cs"/>
          <w:noProof w:val="0"/>
          <w:color w:val="auto"/>
          <w:rtl/>
          <w:lang w:eastAsia="en-US"/>
        </w:rPr>
        <w:t>َ</w:t>
      </w:r>
      <w:r w:rsidRPr="00650F9C">
        <w:rPr>
          <w:rFonts w:ascii="Traditional Arabic" w:hAnsi="Traditional Arabic"/>
          <w:noProof w:val="0"/>
          <w:color w:val="auto"/>
          <w:rtl/>
          <w:lang w:eastAsia="en-US"/>
        </w:rPr>
        <w:t xml:space="preserve"> الخمر والميسر في </w:t>
      </w:r>
      <w:r>
        <w:rPr>
          <w:rFonts w:ascii="Traditional Arabic" w:hAnsi="Traditional Arabic" w:hint="cs"/>
          <w:noProof w:val="0"/>
          <w:color w:val="auto"/>
          <w:rtl/>
          <w:lang w:eastAsia="en-US"/>
        </w:rPr>
        <w:t>ال</w:t>
      </w:r>
      <w:r w:rsidRPr="00650F9C">
        <w:rPr>
          <w:rFonts w:ascii="Traditional Arabic" w:hAnsi="Traditional Arabic"/>
          <w:noProof w:val="0"/>
          <w:color w:val="auto"/>
          <w:rtl/>
          <w:lang w:eastAsia="en-US"/>
        </w:rPr>
        <w:t xml:space="preserve">آية </w:t>
      </w:r>
      <w:r>
        <w:rPr>
          <w:rFonts w:ascii="Traditional Arabic" w:hAnsi="Traditional Arabic" w:hint="cs"/>
          <w:noProof w:val="0"/>
          <w:color w:val="auto"/>
          <w:rtl/>
          <w:lang w:eastAsia="en-US"/>
        </w:rPr>
        <w:t>ال</w:t>
      </w:r>
      <w:r w:rsidRPr="00650F9C">
        <w:rPr>
          <w:rFonts w:ascii="Traditional Arabic" w:hAnsi="Traditional Arabic"/>
          <w:noProof w:val="0"/>
          <w:color w:val="auto"/>
          <w:rtl/>
          <w:lang w:eastAsia="en-US"/>
        </w:rPr>
        <w:t>أخرى بأن فيهما إثما كبيرا ومنافع</w:t>
      </w:r>
      <w:r>
        <w:rPr>
          <w:rFonts w:ascii="Traditional Arabic" w:hAnsi="Traditional Arabic" w:hint="cs"/>
          <w:noProof w:val="0"/>
          <w:color w:val="auto"/>
          <w:rtl/>
          <w:lang w:eastAsia="en-US"/>
        </w:rPr>
        <w:t>َ</w:t>
      </w:r>
      <w:r w:rsidRPr="00650F9C">
        <w:rPr>
          <w:rFonts w:ascii="Traditional Arabic" w:hAnsi="Traditional Arabic"/>
          <w:noProof w:val="0"/>
          <w:color w:val="auto"/>
          <w:rtl/>
          <w:lang w:eastAsia="en-US"/>
        </w:rPr>
        <w:t xml:space="preserve"> للناس</w:t>
      </w:r>
      <w:r>
        <w:rPr>
          <w:rFonts w:ascii="Traditional Arabic" w:hAnsi="Traditional Arabic" w:hint="cs"/>
          <w:noProof w:val="0"/>
          <w:color w:val="auto"/>
          <w:rtl/>
          <w:lang w:eastAsia="en-US"/>
        </w:rPr>
        <w:t xml:space="preserve"> وأن الضرر فيهما أكبر من النفع</w:t>
      </w:r>
      <w:r w:rsidRPr="00650F9C">
        <w:rPr>
          <w:rFonts w:ascii="Traditional Arabic" w:hAnsi="Traditional Arabic"/>
          <w:noProof w:val="0"/>
          <w:color w:val="auto"/>
          <w:rtl/>
          <w:lang w:eastAsia="en-US"/>
        </w:rPr>
        <w:t xml:space="preserve">، </w:t>
      </w:r>
      <w:r>
        <w:rPr>
          <w:rFonts w:ascii="Traditional Arabic" w:hAnsi="Traditional Arabic" w:hint="cs"/>
          <w:noProof w:val="0"/>
          <w:color w:val="auto"/>
          <w:rtl/>
          <w:lang w:eastAsia="en-US"/>
        </w:rPr>
        <w:t>فالمنافع تقتضي الإباحة، لكن لما غلب فيهما جانب الشر مُنع منهما</w:t>
      </w:r>
      <w:r w:rsidRPr="00C821A1">
        <w:rPr>
          <w:rStyle w:val="af1"/>
          <w:szCs w:val="32"/>
          <w:rtl/>
        </w:rPr>
        <w:t>(</w:t>
      </w:r>
      <w:r w:rsidRPr="00C821A1">
        <w:rPr>
          <w:rStyle w:val="af1"/>
          <w:szCs w:val="32"/>
          <w:rtl/>
        </w:rPr>
        <w:footnoteReference w:id="281"/>
      </w:r>
      <w:r w:rsidRPr="00C821A1">
        <w:rPr>
          <w:rStyle w:val="af1"/>
          <w:szCs w:val="32"/>
          <w:rtl/>
        </w:rPr>
        <w:t>)</w:t>
      </w:r>
      <w:r>
        <w:rPr>
          <w:rFonts w:ascii="Traditional Arabic" w:hAnsi="Traditional Arabic" w:hint="cs"/>
          <w:noProof w:val="0"/>
          <w:color w:val="auto"/>
          <w:rtl/>
          <w:lang w:eastAsia="en-US"/>
        </w:rPr>
        <w:t>.</w:t>
      </w:r>
    </w:p>
    <w:p w:rsidR="00065E4B" w:rsidRDefault="00065E4B" w:rsidP="00597C20">
      <w:pPr>
        <w:widowControl/>
        <w:autoSpaceDE w:val="0"/>
        <w:autoSpaceDN w:val="0"/>
        <w:adjustRightInd w:val="0"/>
        <w:ind w:left="565" w:hanging="565"/>
        <w:rPr>
          <w:rFonts w:ascii="Traditional Arabic" w:hAnsi="Traditional Arabic"/>
          <w:noProof w:val="0"/>
          <w:color w:val="auto"/>
          <w:rtl/>
          <w:lang w:eastAsia="en-US"/>
        </w:rPr>
      </w:pPr>
      <w:r>
        <w:rPr>
          <w:rFonts w:ascii="Traditional Arabic" w:hAnsi="Traditional Arabic" w:hint="cs"/>
          <w:noProof w:val="0"/>
          <w:color w:val="auto"/>
          <w:rtl/>
          <w:lang w:eastAsia="en-US"/>
        </w:rPr>
        <w:t>(</w:t>
      </w:r>
      <w:r w:rsidR="000C501F">
        <w:rPr>
          <w:rFonts w:ascii="Traditional Arabic" w:hAnsi="Traditional Arabic" w:hint="cs"/>
          <w:noProof w:val="0"/>
          <w:color w:val="auto"/>
          <w:rtl/>
          <w:lang w:eastAsia="en-US"/>
        </w:rPr>
        <w:t>2) قوله تعالى:</w:t>
      </w:r>
      <w:bookmarkStart w:id="59" w:name="سورة_البقرة_216"/>
      <w:r w:rsidR="004C4CBC">
        <w:rPr>
          <w:rFonts w:ascii="Traditional Arabic" w:hAnsi="Traditional Arabic" w:hint="cs"/>
          <w:noProof w:val="0"/>
          <w:color w:val="auto"/>
          <w:rtl/>
          <w:lang w:eastAsia="en-US"/>
        </w:rPr>
        <w:t xml:space="preserve"> </w:t>
      </w:r>
      <w:r w:rsidR="000C501F" w:rsidRPr="00F90D89">
        <w:rPr>
          <w:rFonts w:ascii="QCF_BSML" w:hAnsi="QCF_BSML" w:cs="QCF_BSML"/>
          <w:noProof w:val="0"/>
          <w:color w:val="auto"/>
          <w:rtl/>
          <w:lang w:eastAsia="en-US"/>
        </w:rPr>
        <w:t>ﭽ</w:t>
      </w:r>
      <w:r w:rsidR="000C501F" w:rsidRPr="00F90D89">
        <w:rPr>
          <w:rFonts w:ascii="QCF_P034" w:hAnsi="QCF_P034" w:cs="QCF_P034"/>
          <w:noProof w:val="0"/>
          <w:color w:val="auto"/>
          <w:rtl/>
          <w:lang w:eastAsia="en-US"/>
        </w:rPr>
        <w:t>ﭑ</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ﭒ</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ﭓ</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ﭔ</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ﭕ</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ﭖ</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ﭗﭘ</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ﭙ</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ﭚ</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ﭛ</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ﭜ</w:t>
      </w:r>
      <w:r w:rsidR="00E87217">
        <w:rPr>
          <w:rFonts w:ascii="QCF_P034" w:hAnsi="QCF_P034" w:cs="QCF_P034" w:hint="cs"/>
          <w:noProof w:val="0"/>
          <w:color w:val="auto"/>
          <w:rtl/>
          <w:lang w:eastAsia="en-US"/>
        </w:rPr>
        <w:t xml:space="preserve"> </w:t>
      </w:r>
      <w:r w:rsidR="000C501F" w:rsidRPr="00F90D89">
        <w:rPr>
          <w:rFonts w:ascii="QCF_P034" w:hAnsi="QCF_P034" w:cs="QCF_P034"/>
          <w:noProof w:val="0"/>
          <w:color w:val="auto"/>
          <w:rtl/>
          <w:lang w:eastAsia="en-US"/>
        </w:rPr>
        <w:t>ﭝ</w:t>
      </w:r>
      <w:r w:rsidR="000C501F" w:rsidRPr="00F90D89">
        <w:rPr>
          <w:rFonts w:ascii="QCF_BSML" w:hAnsi="QCF_BSML" w:cs="QCF_BSML"/>
          <w:noProof w:val="0"/>
          <w:color w:val="auto"/>
          <w:rtl/>
          <w:lang w:eastAsia="en-US"/>
        </w:rPr>
        <w:t>ﭼ</w:t>
      </w:r>
      <w:bookmarkEnd w:id="59"/>
      <w:r w:rsidR="000C501F">
        <w:rPr>
          <w:rFonts w:ascii="Traditional Arabic" w:hAnsi="Traditional Arabic" w:hint="cs"/>
          <w:noProof w:val="0"/>
          <w:color w:val="auto"/>
          <w:rtl/>
          <w:lang w:eastAsia="en-US"/>
        </w:rPr>
        <w:t>[</w:t>
      </w:r>
      <w:r w:rsidR="000C501F" w:rsidRPr="00F90D89">
        <w:rPr>
          <w:rFonts w:ascii="Traditional Arabic" w:hAnsi="Traditional Arabic"/>
          <w:noProof w:val="0"/>
          <w:color w:val="auto"/>
          <w:rtl/>
          <w:lang w:eastAsia="en-US"/>
        </w:rPr>
        <w:t>البقرة: ٢١٦</w:t>
      </w:r>
      <w:r w:rsidR="000C501F">
        <w:rPr>
          <w:rFonts w:ascii="Traditional Arabic" w:hAnsi="Traditional Arabic" w:hint="cs"/>
          <w:noProof w:val="0"/>
          <w:color w:val="auto"/>
          <w:rtl/>
          <w:lang w:eastAsia="en-US"/>
        </w:rPr>
        <w:t>].</w:t>
      </w:r>
    </w:p>
    <w:p w:rsidR="000C501F" w:rsidRDefault="00065E4B" w:rsidP="00597C20">
      <w:pPr>
        <w:pStyle w:val="53"/>
        <w:rPr>
          <w:rtl/>
        </w:rPr>
      </w:pPr>
      <w:r>
        <w:rPr>
          <w:rFonts w:hint="cs"/>
          <w:rtl/>
        </w:rPr>
        <w:lastRenderedPageBreak/>
        <w:t>و</w:t>
      </w:r>
      <w:r w:rsidR="000C501F">
        <w:rPr>
          <w:rFonts w:hint="cs"/>
          <w:rtl/>
        </w:rPr>
        <w:t>جه الدلالة:</w:t>
      </w:r>
    </w:p>
    <w:p w:rsidR="00F228A9" w:rsidRDefault="004C4CBC"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0C501F">
        <w:rPr>
          <w:rFonts w:ascii="Traditional Arabic" w:hAnsi="Traditional Arabic" w:hint="cs"/>
          <w:noProof w:val="0"/>
          <w:color w:val="auto"/>
          <w:rtl/>
          <w:lang w:eastAsia="en-US"/>
        </w:rPr>
        <w:t xml:space="preserve">ن الله </w:t>
      </w:r>
      <w:r>
        <w:rPr>
          <w:rFonts w:ascii="Traditional Arabic" w:hAnsi="Traditional Arabic" w:hint="cs"/>
          <w:noProof w:val="0"/>
          <w:color w:val="auto"/>
          <w:rtl/>
          <w:lang w:eastAsia="en-US"/>
        </w:rPr>
        <w:t>_</w:t>
      </w:r>
      <w:r w:rsidR="00866D6A" w:rsidRPr="00866D6A">
        <w:rPr>
          <w:rFonts w:ascii="Traditional Arabic" w:hAnsi="Traditional Arabic" w:hint="cs"/>
          <w:noProof w:val="0"/>
          <w:color w:val="auto"/>
          <w:rtl/>
          <w:lang w:eastAsia="en-US"/>
        </w:rPr>
        <w:sym w:font="AGA Arabesque" w:char="F055"/>
      </w:r>
      <w:r>
        <w:rPr>
          <w:rFonts w:ascii="Traditional Arabic" w:hAnsi="Traditional Arabic" w:hint="cs"/>
          <w:noProof w:val="0"/>
          <w:color w:val="auto"/>
          <w:rtl/>
          <w:lang w:eastAsia="en-US"/>
        </w:rPr>
        <w:t>_</w:t>
      </w:r>
      <w:r w:rsidR="000C501F">
        <w:rPr>
          <w:rFonts w:ascii="Traditional Arabic" w:hAnsi="Traditional Arabic" w:hint="cs"/>
          <w:noProof w:val="0"/>
          <w:color w:val="auto"/>
          <w:rtl/>
          <w:lang w:eastAsia="en-US"/>
        </w:rPr>
        <w:t xml:space="preserve"> بي</w:t>
      </w:r>
      <w:r>
        <w:rPr>
          <w:rFonts w:ascii="Traditional Arabic" w:hAnsi="Traditional Arabic" w:hint="cs"/>
          <w:noProof w:val="0"/>
          <w:color w:val="auto"/>
          <w:rtl/>
          <w:lang w:eastAsia="en-US"/>
        </w:rPr>
        <w:t>َّ</w:t>
      </w:r>
      <w:r w:rsidR="000C501F">
        <w:rPr>
          <w:rFonts w:ascii="Traditional Arabic" w:hAnsi="Traditional Arabic" w:hint="cs"/>
          <w:noProof w:val="0"/>
          <w:color w:val="auto"/>
          <w:rtl/>
          <w:lang w:eastAsia="en-US"/>
        </w:rPr>
        <w:t>ن أن الجهاد الذي أُمروا به، وإن كان مكروها للنفوس، شاقّاً عليها، فمصلحته راجحة، وهو خير لهم، وأحمدُ عاقبةً، وأعظم</w:t>
      </w:r>
      <w:r>
        <w:rPr>
          <w:rFonts w:ascii="Traditional Arabic" w:hAnsi="Traditional Arabic" w:hint="cs"/>
          <w:noProof w:val="0"/>
          <w:color w:val="auto"/>
          <w:rtl/>
          <w:lang w:eastAsia="en-US"/>
        </w:rPr>
        <w:t>ُ</w:t>
      </w:r>
      <w:r w:rsidR="000C501F">
        <w:rPr>
          <w:rFonts w:ascii="Traditional Arabic" w:hAnsi="Traditional Arabic" w:hint="cs"/>
          <w:noProof w:val="0"/>
          <w:color w:val="auto"/>
          <w:rtl/>
          <w:lang w:eastAsia="en-US"/>
        </w:rPr>
        <w:t xml:space="preserve"> فائدة</w:t>
      </w:r>
      <w:r>
        <w:rPr>
          <w:rFonts w:ascii="Traditional Arabic" w:hAnsi="Traditional Arabic" w:hint="cs"/>
          <w:noProof w:val="0"/>
          <w:color w:val="auto"/>
          <w:rtl/>
          <w:lang w:eastAsia="en-US"/>
        </w:rPr>
        <w:t>ً</w:t>
      </w:r>
      <w:r w:rsidR="000C501F">
        <w:rPr>
          <w:rFonts w:ascii="Traditional Arabic" w:hAnsi="Traditional Arabic" w:hint="cs"/>
          <w:noProof w:val="0"/>
          <w:color w:val="auto"/>
          <w:rtl/>
          <w:lang w:eastAsia="en-US"/>
        </w:rPr>
        <w:t>، فالشر الذي فيه مغمور</w:t>
      </w:r>
      <w:r w:rsidR="003E722C">
        <w:rPr>
          <w:rFonts w:ascii="Traditional Arabic" w:hAnsi="Traditional Arabic" w:hint="cs"/>
          <w:noProof w:val="0"/>
          <w:color w:val="auto"/>
          <w:rtl/>
          <w:lang w:eastAsia="en-US"/>
        </w:rPr>
        <w:t>ٌ</w:t>
      </w:r>
      <w:r w:rsidR="000C501F">
        <w:rPr>
          <w:rFonts w:ascii="Traditional Arabic" w:hAnsi="Traditional Arabic" w:hint="cs"/>
          <w:noProof w:val="0"/>
          <w:color w:val="auto"/>
          <w:rtl/>
          <w:lang w:eastAsia="en-US"/>
        </w:rPr>
        <w:t xml:space="preserve"> بالنسبة إلى ما تضمَّنه من الخير</w:t>
      </w:r>
      <w:r w:rsidR="000C501F" w:rsidRPr="00C821A1">
        <w:rPr>
          <w:rStyle w:val="af1"/>
          <w:szCs w:val="32"/>
          <w:rtl/>
        </w:rPr>
        <w:t>(</w:t>
      </w:r>
      <w:r w:rsidR="000C501F" w:rsidRPr="00C821A1">
        <w:rPr>
          <w:rStyle w:val="af1"/>
          <w:szCs w:val="32"/>
          <w:rtl/>
        </w:rPr>
        <w:footnoteReference w:id="282"/>
      </w:r>
      <w:r w:rsidR="000C501F" w:rsidRPr="00C821A1">
        <w:rPr>
          <w:rStyle w:val="af1"/>
          <w:szCs w:val="32"/>
          <w:rtl/>
        </w:rPr>
        <w:t>)</w:t>
      </w:r>
      <w:r w:rsidR="000C501F">
        <w:rPr>
          <w:rFonts w:ascii="Traditional Arabic" w:hAnsi="Traditional Arabic" w:hint="cs"/>
          <w:noProof w:val="0"/>
          <w:color w:val="auto"/>
          <w:rtl/>
          <w:lang w:eastAsia="en-US"/>
        </w:rPr>
        <w:t>.</w:t>
      </w:r>
    </w:p>
    <w:p w:rsidR="00065E4B" w:rsidRPr="003E722C" w:rsidRDefault="000C501F" w:rsidP="003E722C">
      <w:pPr>
        <w:pStyle w:val="afc"/>
        <w:widowControl/>
        <w:numPr>
          <w:ilvl w:val="0"/>
          <w:numId w:val="8"/>
        </w:numPr>
        <w:autoSpaceDE w:val="0"/>
        <w:autoSpaceDN w:val="0"/>
        <w:adjustRightInd w:val="0"/>
        <w:rPr>
          <w:rFonts w:ascii="Arial" w:hAnsi="Arial" w:cs="Arial"/>
          <w:noProof w:val="0"/>
          <w:rtl/>
          <w:lang w:eastAsia="en-US"/>
        </w:rPr>
      </w:pPr>
      <w:r w:rsidRPr="003E722C">
        <w:rPr>
          <w:rFonts w:ascii="Traditional Arabic" w:hAnsi="Traditional Arabic" w:hint="cs"/>
          <w:noProof w:val="0"/>
          <w:color w:val="auto"/>
          <w:rtl/>
          <w:lang w:eastAsia="en-US"/>
        </w:rPr>
        <w:t>قوله تعالى في قصة موسى عليه السلام مع الخض</w:t>
      </w:r>
      <w:r w:rsidR="003E722C" w:rsidRPr="003E722C">
        <w:rPr>
          <w:rFonts w:ascii="Traditional Arabic" w:hAnsi="Traditional Arabic" w:hint="cs"/>
          <w:noProof w:val="0"/>
          <w:color w:val="auto"/>
          <w:rtl/>
          <w:lang w:eastAsia="en-US"/>
        </w:rPr>
        <w:t>ِ</w:t>
      </w:r>
      <w:r w:rsidRPr="003E722C">
        <w:rPr>
          <w:rFonts w:ascii="Traditional Arabic" w:hAnsi="Traditional Arabic" w:hint="cs"/>
          <w:noProof w:val="0"/>
          <w:color w:val="auto"/>
          <w:rtl/>
          <w:lang w:eastAsia="en-US"/>
        </w:rPr>
        <w:t>ر:</w:t>
      </w:r>
      <w:bookmarkStart w:id="60" w:name="سورة_الكهف_71"/>
      <w:r w:rsidR="004C4CBC">
        <w:rPr>
          <w:rFonts w:ascii="Traditional Arabic" w:hAnsi="Traditional Arabic" w:hint="cs"/>
          <w:noProof w:val="0"/>
          <w:color w:val="auto"/>
          <w:rtl/>
          <w:lang w:eastAsia="en-US"/>
        </w:rPr>
        <w:t xml:space="preserve"> </w:t>
      </w:r>
      <w:r w:rsidRPr="003E722C">
        <w:rPr>
          <w:rFonts w:ascii="QCF_BSML" w:hAnsi="QCF_BSML" w:cs="QCF_BSML"/>
          <w:noProof w:val="0"/>
          <w:rtl/>
          <w:lang w:eastAsia="en-US"/>
        </w:rPr>
        <w:t>ﭽ</w:t>
      </w:r>
      <w:r w:rsidRPr="003E722C">
        <w:rPr>
          <w:rFonts w:ascii="QCF_P301" w:hAnsi="QCF_P301" w:cs="QCF_P301"/>
          <w:noProof w:val="0"/>
          <w:rtl/>
          <w:lang w:eastAsia="en-US"/>
        </w:rPr>
        <w:t>ﯡ</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ﯢ</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ﯣ</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ﯤ</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ﯥ</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ﯦ</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ﯧ</w:t>
      </w:r>
      <w:r w:rsidR="003E722C">
        <w:rPr>
          <w:rFonts w:ascii="QCF_P301" w:hAnsi="QCF_P301" w:cs="QCF_P301" w:hint="cs"/>
          <w:noProof w:val="0"/>
          <w:rtl/>
          <w:lang w:eastAsia="en-US"/>
        </w:rPr>
        <w:t xml:space="preserve"> </w:t>
      </w:r>
      <w:r w:rsidRPr="003E722C">
        <w:rPr>
          <w:rFonts w:ascii="QCF_P301" w:hAnsi="QCF_P301" w:cs="QCF_P301"/>
          <w:noProof w:val="0"/>
          <w:color w:val="0000A5"/>
          <w:rtl/>
          <w:lang w:eastAsia="en-US"/>
        </w:rPr>
        <w:t>ﯨ</w:t>
      </w:r>
      <w:r w:rsidRPr="003E722C">
        <w:rPr>
          <w:rFonts w:ascii="QCF_P301" w:hAnsi="QCF_P301" w:cs="QCF_P301"/>
          <w:noProof w:val="0"/>
          <w:rtl/>
          <w:lang w:eastAsia="en-US"/>
        </w:rPr>
        <w:t>ﯩ</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ﯪ</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ﯫ</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ﯬﯭ</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ﯮ</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ﯯ</w:t>
      </w:r>
      <w:r w:rsidR="003E722C">
        <w:rPr>
          <w:rFonts w:ascii="QCF_P301" w:hAnsi="QCF_P301" w:cs="QCF_P301" w:hint="cs"/>
          <w:noProof w:val="0"/>
          <w:rtl/>
          <w:lang w:eastAsia="en-US"/>
        </w:rPr>
        <w:t xml:space="preserve"> </w:t>
      </w:r>
      <w:r w:rsidRPr="003E722C">
        <w:rPr>
          <w:rFonts w:ascii="QCF_P301" w:hAnsi="QCF_P301" w:cs="QCF_P301"/>
          <w:noProof w:val="0"/>
          <w:rtl/>
          <w:lang w:eastAsia="en-US"/>
        </w:rPr>
        <w:t>ﯰ</w:t>
      </w:r>
      <w:r w:rsidRPr="003E722C">
        <w:rPr>
          <w:rFonts w:ascii="QCF_BSML" w:hAnsi="QCF_BSML" w:cs="QCF_BSML"/>
          <w:noProof w:val="0"/>
          <w:rtl/>
          <w:lang w:eastAsia="en-US"/>
        </w:rPr>
        <w:t>ﭼ</w:t>
      </w:r>
      <w:bookmarkEnd w:id="60"/>
      <w:r w:rsidRPr="003E722C">
        <w:rPr>
          <w:rFonts w:ascii="Arial" w:hAnsi="Arial" w:cs="Arial" w:hint="cs"/>
          <w:noProof w:val="0"/>
          <w:rtl/>
          <w:lang w:eastAsia="en-US"/>
        </w:rPr>
        <w:t>[</w:t>
      </w:r>
      <w:r w:rsidRPr="003E722C">
        <w:rPr>
          <w:rFonts w:ascii="Traditional Arabic" w:hAnsi="Traditional Arabic" w:hint="cs"/>
          <w:noProof w:val="0"/>
          <w:rtl/>
          <w:lang w:eastAsia="en-US"/>
        </w:rPr>
        <w:t xml:space="preserve">الكهف:71] </w:t>
      </w:r>
      <w:r w:rsidRPr="003E722C">
        <w:rPr>
          <w:rFonts w:ascii="Traditional Arabic" w:hAnsi="Traditional Arabic" w:hint="cs"/>
          <w:noProof w:val="0"/>
          <w:color w:val="auto"/>
          <w:rtl/>
          <w:lang w:eastAsia="en-US"/>
        </w:rPr>
        <w:t>إلى قوله تعالى على لسان الخ</w:t>
      </w:r>
      <w:r w:rsidR="004C4CBC">
        <w:rPr>
          <w:rFonts w:ascii="Traditional Arabic" w:hAnsi="Traditional Arabic" w:hint="cs"/>
          <w:noProof w:val="0"/>
          <w:color w:val="auto"/>
          <w:rtl/>
          <w:lang w:eastAsia="en-US"/>
        </w:rPr>
        <w:t>َ</w:t>
      </w:r>
      <w:r w:rsidRPr="003E722C">
        <w:rPr>
          <w:rFonts w:ascii="Traditional Arabic" w:hAnsi="Traditional Arabic" w:hint="cs"/>
          <w:noProof w:val="0"/>
          <w:color w:val="auto"/>
          <w:rtl/>
          <w:lang w:eastAsia="en-US"/>
        </w:rPr>
        <w:t>ض</w:t>
      </w:r>
      <w:r w:rsidR="004C4CBC">
        <w:rPr>
          <w:rFonts w:ascii="Traditional Arabic" w:hAnsi="Traditional Arabic" w:hint="cs"/>
          <w:noProof w:val="0"/>
          <w:color w:val="auto"/>
          <w:rtl/>
          <w:lang w:eastAsia="en-US"/>
        </w:rPr>
        <w:t>ِ</w:t>
      </w:r>
      <w:r w:rsidRPr="003E722C">
        <w:rPr>
          <w:rFonts w:ascii="Traditional Arabic" w:hAnsi="Traditional Arabic" w:hint="cs"/>
          <w:noProof w:val="0"/>
          <w:color w:val="auto"/>
          <w:rtl/>
          <w:lang w:eastAsia="en-US"/>
        </w:rPr>
        <w:t>ر:</w:t>
      </w:r>
      <w:bookmarkStart w:id="61" w:name="سورة_الكهف_79"/>
      <w:r w:rsidRPr="003E722C">
        <w:rPr>
          <w:rFonts w:ascii="QCF_BSML" w:hAnsi="QCF_BSML" w:cs="QCF_BSML"/>
          <w:noProof w:val="0"/>
          <w:rtl/>
          <w:lang w:eastAsia="en-US"/>
        </w:rPr>
        <w:t>ﭽ</w:t>
      </w:r>
      <w:r w:rsidRPr="003E722C">
        <w:rPr>
          <w:rFonts w:ascii="QCF_P302" w:hAnsi="QCF_P302" w:cs="QCF_P302"/>
          <w:noProof w:val="0"/>
          <w:rtl/>
          <w:lang w:eastAsia="en-US"/>
        </w:rPr>
        <w:t>ﮓ</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ﮔ</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ﮕ</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ﮖ</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ﮗ</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ﮘﮙ</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ﮚ</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ﮛ</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ﮜ</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ﮝ</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ﮞ</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ﮟ</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ﮠ</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ﮡ</w:t>
      </w:r>
      <w:r w:rsidR="003E722C">
        <w:rPr>
          <w:rFonts w:ascii="QCF_P302" w:hAnsi="QCF_P302" w:cs="QCF_P302" w:hint="cs"/>
          <w:noProof w:val="0"/>
          <w:rtl/>
          <w:lang w:eastAsia="en-US"/>
        </w:rPr>
        <w:t xml:space="preserve"> </w:t>
      </w:r>
      <w:r w:rsidRPr="003E722C">
        <w:rPr>
          <w:rFonts w:ascii="QCF_P302" w:hAnsi="QCF_P302" w:cs="QCF_P302"/>
          <w:noProof w:val="0"/>
          <w:rtl/>
          <w:lang w:eastAsia="en-US"/>
        </w:rPr>
        <w:t>ﮢﮣ</w:t>
      </w:r>
      <w:r w:rsidRPr="003E722C">
        <w:rPr>
          <w:rFonts w:ascii="QCF_BSML" w:hAnsi="QCF_BSML" w:cs="QCF_BSML"/>
          <w:noProof w:val="0"/>
          <w:rtl/>
          <w:lang w:eastAsia="en-US"/>
        </w:rPr>
        <w:t>ﭼ</w:t>
      </w:r>
      <w:bookmarkEnd w:id="61"/>
      <w:r w:rsidRPr="003E722C">
        <w:rPr>
          <w:rFonts w:ascii="Traditional Arabic" w:hAnsi="Traditional Arabic" w:hint="cs"/>
          <w:noProof w:val="0"/>
          <w:color w:val="auto"/>
          <w:rtl/>
          <w:lang w:eastAsia="en-US"/>
        </w:rPr>
        <w:t>[</w:t>
      </w:r>
      <w:r w:rsidRPr="003E722C">
        <w:rPr>
          <w:rFonts w:ascii="Traditional Arabic" w:hAnsi="Traditional Arabic"/>
          <w:noProof w:val="0"/>
          <w:color w:val="auto"/>
          <w:rtl/>
          <w:lang w:eastAsia="en-US"/>
        </w:rPr>
        <w:t>الكهف: ٧٩</w:t>
      </w:r>
      <w:r w:rsidRPr="003E722C">
        <w:rPr>
          <w:rFonts w:ascii="Traditional Arabic" w:hAnsi="Traditional Arabic" w:hint="cs"/>
          <w:noProof w:val="0"/>
          <w:color w:val="auto"/>
          <w:rtl/>
          <w:lang w:eastAsia="en-US"/>
        </w:rPr>
        <w:t>].</w:t>
      </w:r>
    </w:p>
    <w:p w:rsidR="000C501F" w:rsidRDefault="00065E4B" w:rsidP="00597C20">
      <w:pPr>
        <w:pStyle w:val="53"/>
        <w:rPr>
          <w:rtl/>
        </w:rPr>
      </w:pPr>
      <w:r>
        <w:rPr>
          <w:rFonts w:hint="cs"/>
          <w:rtl/>
        </w:rPr>
        <w:t>و</w:t>
      </w:r>
      <w:r w:rsidR="000C501F">
        <w:rPr>
          <w:rFonts w:hint="cs"/>
          <w:rtl/>
        </w:rPr>
        <w:t>جه الدلالة:</w:t>
      </w:r>
    </w:p>
    <w:p w:rsidR="00065E4B" w:rsidRDefault="000C501F"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يقول الشيخ عبد الرحمن السعدي </w:t>
      </w:r>
      <w:r w:rsidR="004C4CBC">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4C4CBC">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w:t>
      </w:r>
      <w:r w:rsidR="00B76414">
        <w:rPr>
          <w:rFonts w:ascii="Traditional Arabic" w:hAnsi="Traditional Arabic" w:hint="cs"/>
          <w:noProof w:val="0"/>
          <w:color w:val="auto"/>
          <w:rtl/>
          <w:lang w:eastAsia="en-US"/>
        </w:rPr>
        <w:t>(</w:t>
      </w:r>
      <w:r>
        <w:rPr>
          <w:rFonts w:ascii="Traditional Arabic" w:hAnsi="Traditional Arabic" w:hint="cs"/>
          <w:noProof w:val="0"/>
          <w:color w:val="auto"/>
          <w:rtl/>
          <w:lang w:eastAsia="en-US"/>
        </w:rPr>
        <w:t>يستفاد من قصة موسى مع الخضر...وأن المفسدة الجزئية ت</w:t>
      </w:r>
      <w:r w:rsidR="003E722C">
        <w:rPr>
          <w:rFonts w:ascii="Traditional Arabic" w:hAnsi="Traditional Arabic" w:hint="cs"/>
          <w:noProof w:val="0"/>
          <w:color w:val="auto"/>
          <w:rtl/>
          <w:lang w:eastAsia="en-US"/>
        </w:rPr>
        <w:t>ُ</w:t>
      </w:r>
      <w:r>
        <w:rPr>
          <w:rFonts w:ascii="Traditional Arabic" w:hAnsi="Traditional Arabic" w:hint="cs"/>
          <w:noProof w:val="0"/>
          <w:color w:val="auto"/>
          <w:rtl/>
          <w:lang w:eastAsia="en-US"/>
        </w:rPr>
        <w:t>غتفر في المصلحة العظيمة، وأن فساد مال</w:t>
      </w:r>
      <w:r w:rsidR="003E722C">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الغير إذا تضمن إصلاحه من</w:t>
      </w:r>
      <w:r w:rsidR="003E722C">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وجه آخر أرجحَ من إفساده، فإنه محمود</w:t>
      </w:r>
      <w:r w:rsidR="00B76414">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283"/>
      </w:r>
      <w:r w:rsidRPr="00C821A1">
        <w:rPr>
          <w:rStyle w:val="af1"/>
          <w:szCs w:val="32"/>
          <w:rtl/>
        </w:rPr>
        <w:t>)</w:t>
      </w:r>
      <w:r>
        <w:rPr>
          <w:rFonts w:ascii="Traditional Arabic" w:hAnsi="Traditional Arabic" w:hint="cs"/>
          <w:noProof w:val="0"/>
          <w:color w:val="auto"/>
          <w:rtl/>
          <w:lang w:eastAsia="en-US"/>
        </w:rPr>
        <w:t>.</w:t>
      </w:r>
    </w:p>
    <w:p w:rsidR="00065E4B" w:rsidRDefault="00065E4B" w:rsidP="00597C20">
      <w:pPr>
        <w:ind w:left="565" w:hanging="565"/>
        <w:rPr>
          <w:rFonts w:ascii="Traditional Arabic" w:hAnsi="Traditional Arabic"/>
          <w:color w:val="auto"/>
          <w:rtl/>
        </w:rPr>
      </w:pPr>
      <w:r w:rsidRPr="005A0462">
        <w:rPr>
          <w:rFonts w:ascii="Traditional Arabic" w:hAnsi="Traditional Arabic" w:hint="cs"/>
          <w:noProof w:val="0"/>
          <w:color w:val="auto"/>
          <w:rtl/>
          <w:lang w:eastAsia="en-US"/>
        </w:rPr>
        <w:t>(</w:t>
      </w:r>
      <w:r w:rsidR="000C501F" w:rsidRPr="005A0462">
        <w:rPr>
          <w:rFonts w:ascii="Traditional Arabic" w:hAnsi="Traditional Arabic" w:hint="cs"/>
          <w:noProof w:val="0"/>
          <w:color w:val="auto"/>
          <w:rtl/>
          <w:lang w:eastAsia="en-US"/>
        </w:rPr>
        <w:t xml:space="preserve">4) </w:t>
      </w:r>
      <w:r w:rsidR="00766A01">
        <w:rPr>
          <w:rFonts w:ascii="Traditional Arabic" w:hAnsi="Traditional Arabic" w:hint="cs"/>
          <w:noProof w:val="0"/>
          <w:color w:val="auto"/>
          <w:rtl/>
          <w:lang w:eastAsia="en-US"/>
        </w:rPr>
        <w:t>حديث</w:t>
      </w:r>
      <w:r w:rsidR="000C501F" w:rsidRPr="005A0462">
        <w:rPr>
          <w:rFonts w:ascii="Traditional Arabic" w:hAnsi="Traditional Arabic"/>
          <w:noProof w:val="0"/>
          <w:color w:val="auto"/>
          <w:rtl/>
          <w:lang w:eastAsia="en-US"/>
        </w:rPr>
        <w:t xml:space="preserve"> عائشة </w:t>
      </w:r>
      <w:r w:rsidR="004C4CBC">
        <w:rPr>
          <w:rFonts w:ascii="Traditional Arabic" w:hAnsi="Traditional Arabic" w:hint="cs"/>
          <w:noProof w:val="0"/>
          <w:color w:val="auto"/>
          <w:rtl/>
          <w:lang w:eastAsia="en-US"/>
        </w:rPr>
        <w:t>_</w:t>
      </w:r>
      <w:r w:rsidR="00154102">
        <w:rPr>
          <w:rFonts w:ascii="Traditional Arabic" w:hAnsi="Traditional Arabic" w:cs="CTraditional Arabic" w:hint="cs"/>
          <w:noProof w:val="0"/>
          <w:color w:val="auto"/>
          <w:rtl/>
          <w:lang w:eastAsia="en-US"/>
        </w:rPr>
        <w:t>ل</w:t>
      </w:r>
      <w:r w:rsidR="004C4CBC">
        <w:rPr>
          <w:rFonts w:ascii="Traditional Arabic" w:hAnsi="Traditional Arabic" w:hint="cs"/>
          <w:noProof w:val="0"/>
          <w:color w:val="auto"/>
          <w:rtl/>
          <w:lang w:eastAsia="en-US"/>
        </w:rPr>
        <w:t>_</w:t>
      </w:r>
      <w:r w:rsidR="000C501F" w:rsidRPr="005A0462">
        <w:rPr>
          <w:rFonts w:ascii="Traditional Arabic" w:hAnsi="Traditional Arabic"/>
          <w:noProof w:val="0"/>
          <w:color w:val="auto"/>
          <w:rtl/>
          <w:lang w:eastAsia="en-US"/>
        </w:rPr>
        <w:t xml:space="preserve"> قالت: دخلت</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 xml:space="preserve"> ه</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ن</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د</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 xml:space="preserve"> بنت</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 xml:space="preserve"> ع</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ت</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ب</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ة</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 xml:space="preserve"> -امرأة أبي سفيان- على رسول الله</w:t>
      </w:r>
      <w:r w:rsidR="004C4CBC">
        <w:rPr>
          <w:rFonts w:ascii="Traditional Arabic" w:hAnsi="Traditional Arabic" w:hint="cs"/>
          <w:noProof w:val="0"/>
          <w:color w:val="auto"/>
          <w:rtl/>
          <w:lang w:eastAsia="en-US"/>
        </w:rPr>
        <w:t xml:space="preserve"> </w:t>
      </w:r>
      <w:r w:rsidR="00F350DE">
        <w:rPr>
          <w:rFonts w:ascii="Traditional Arabic" w:hAnsi="Traditional Arabic"/>
          <w:noProof w:val="0"/>
          <w:color w:val="auto"/>
          <w:rtl/>
          <w:lang w:eastAsia="en-US"/>
        </w:rPr>
        <w:sym w:font="AGA Arabesque" w:char="F072"/>
      </w:r>
      <w:r w:rsidR="004C4CBC">
        <w:rPr>
          <w:rFonts w:ascii="Traditional Arabic" w:hAnsi="Traditional Arabic" w:hint="cs"/>
          <w:noProof w:val="0"/>
          <w:color w:val="auto"/>
          <w:rtl/>
          <w:lang w:eastAsia="en-US"/>
        </w:rPr>
        <w:t xml:space="preserve"> </w:t>
      </w:r>
      <w:r w:rsidR="00AB0B9E">
        <w:rPr>
          <w:rFonts w:ascii="Traditional Arabic" w:hAnsi="Traditional Arabic"/>
          <w:noProof w:val="0"/>
          <w:color w:val="auto"/>
          <w:rtl/>
          <w:lang w:eastAsia="en-US"/>
        </w:rPr>
        <w:fldChar w:fldCharType="begin"/>
      </w:r>
      <w:r w:rsidR="00DB0C53" w:rsidRPr="00531753">
        <w:instrText>XE</w:instrText>
      </w:r>
      <w:r w:rsidR="00DB0C53" w:rsidRPr="00531753">
        <w:rPr>
          <w:rtl/>
        </w:rPr>
        <w:instrText xml:space="preserve"> "</w:instrText>
      </w:r>
      <w:r w:rsidR="0003131A" w:rsidRPr="00531753">
        <w:rPr>
          <w:rFonts w:ascii="Traditional Arabic" w:hAnsi="Traditional Arabic"/>
          <w:noProof w:val="0"/>
          <w:color w:val="auto"/>
          <w:rtl/>
          <w:lang w:eastAsia="en-US"/>
        </w:rPr>
        <w:instrText>خ</w:instrText>
      </w:r>
      <w:r w:rsidR="0003131A" w:rsidRPr="00531753">
        <w:rPr>
          <w:rFonts w:ascii="Traditional Arabic" w:hAnsi="Traditional Arabic" w:hint="cs"/>
          <w:noProof w:val="0"/>
          <w:color w:val="auto"/>
          <w:rtl/>
          <w:lang w:eastAsia="en-US"/>
        </w:rPr>
        <w:instrText>ُ</w:instrText>
      </w:r>
      <w:r w:rsidR="0003131A" w:rsidRPr="00531753">
        <w:rPr>
          <w:rFonts w:ascii="Traditional Arabic" w:hAnsi="Traditional Arabic"/>
          <w:noProof w:val="0"/>
          <w:color w:val="auto"/>
          <w:rtl/>
          <w:lang w:eastAsia="en-US"/>
        </w:rPr>
        <w:instrText>ذي م</w:instrText>
      </w:r>
      <w:r w:rsidR="0003131A" w:rsidRPr="00531753">
        <w:rPr>
          <w:rFonts w:ascii="Traditional Arabic" w:hAnsi="Traditional Arabic" w:hint="cs"/>
          <w:noProof w:val="0"/>
          <w:color w:val="auto"/>
          <w:rtl/>
          <w:lang w:eastAsia="en-US"/>
        </w:rPr>
        <w:instrText>ِ</w:instrText>
      </w:r>
      <w:r w:rsidR="0003131A" w:rsidRPr="00531753">
        <w:rPr>
          <w:rFonts w:ascii="Traditional Arabic" w:hAnsi="Traditional Arabic"/>
          <w:noProof w:val="0"/>
          <w:color w:val="auto"/>
          <w:rtl/>
          <w:lang w:eastAsia="en-US"/>
        </w:rPr>
        <w:instrText>ن مال</w:instrText>
      </w:r>
      <w:r w:rsidR="0003131A" w:rsidRPr="00531753">
        <w:rPr>
          <w:rFonts w:ascii="Traditional Arabic" w:hAnsi="Traditional Arabic" w:hint="cs"/>
          <w:noProof w:val="0"/>
          <w:color w:val="auto"/>
          <w:rtl/>
          <w:lang w:eastAsia="en-US"/>
        </w:rPr>
        <w:instrText>ِ</w:instrText>
      </w:r>
      <w:r w:rsidR="0003131A" w:rsidRPr="00531753">
        <w:rPr>
          <w:rFonts w:ascii="Traditional Arabic" w:hAnsi="Traditional Arabic"/>
          <w:noProof w:val="0"/>
          <w:color w:val="auto"/>
          <w:rtl/>
          <w:lang w:eastAsia="en-US"/>
        </w:rPr>
        <w:instrText>ه بالمعروف ما يكفيك، ويكفي ب</w:instrText>
      </w:r>
      <w:r w:rsidR="0003131A" w:rsidRPr="00531753">
        <w:rPr>
          <w:rFonts w:ascii="Traditional Arabic" w:hAnsi="Traditional Arabic" w:hint="cs"/>
          <w:noProof w:val="0"/>
          <w:color w:val="auto"/>
          <w:rtl/>
          <w:lang w:eastAsia="en-US"/>
        </w:rPr>
        <w:instrText>َ</w:instrText>
      </w:r>
      <w:r w:rsidR="0003131A" w:rsidRPr="00531753">
        <w:rPr>
          <w:rFonts w:ascii="Traditional Arabic" w:hAnsi="Traditional Arabic"/>
          <w:noProof w:val="0"/>
          <w:color w:val="auto"/>
          <w:rtl/>
          <w:lang w:eastAsia="en-US"/>
        </w:rPr>
        <w:instrText>نيك</w:instrText>
      </w:r>
      <w:r w:rsidR="00DB0C53" w:rsidRPr="00531753">
        <w:rPr>
          <w:rtl/>
        </w:rPr>
        <w:instrText xml:space="preserve">" </w:instrText>
      </w:r>
      <w:r w:rsidR="00D662E0" w:rsidRPr="00531753">
        <w:rPr>
          <w:rtl/>
        </w:rPr>
        <w:instrText>\</w:instrText>
      </w:r>
      <w:r w:rsidR="00D662E0" w:rsidRPr="00531753">
        <w:instrText>fh</w:instrText>
      </w:r>
      <w:r w:rsidR="00AB0B9E">
        <w:rPr>
          <w:rFonts w:ascii="Traditional Arabic" w:hAnsi="Traditional Arabic"/>
          <w:noProof w:val="0"/>
          <w:color w:val="auto"/>
          <w:rtl/>
          <w:lang w:eastAsia="en-US"/>
        </w:rPr>
        <w:fldChar w:fldCharType="end"/>
      </w:r>
      <w:r w:rsidR="000C501F" w:rsidRPr="005A0462">
        <w:rPr>
          <w:rFonts w:ascii="Traditional Arabic" w:hAnsi="Traditional Arabic"/>
          <w:noProof w:val="0"/>
          <w:color w:val="auto"/>
          <w:rtl/>
          <w:lang w:eastAsia="en-US"/>
        </w:rPr>
        <w:t xml:space="preserve"> فقالت: يا رسول الله</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 xml:space="preserve"> إن أبا سفيان رجل</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 xml:space="preserve"> ش</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حيح</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 xml:space="preserve"> لا ي</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عطيني من النفقة ما ي</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ك</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فيني ويكفي ب</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ن</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ي</w:t>
      </w:r>
      <w:r w:rsidR="000C501F" w:rsidRPr="005A0462">
        <w:rPr>
          <w:rFonts w:ascii="Traditional Arabic" w:hAnsi="Traditional Arabic" w:hint="cs"/>
          <w:noProof w:val="0"/>
          <w:color w:val="auto"/>
          <w:rtl/>
          <w:lang w:eastAsia="en-US"/>
        </w:rPr>
        <w:t>َّ</w:t>
      </w:r>
      <w:r w:rsidR="00B76414">
        <w:rPr>
          <w:rFonts w:ascii="Traditional Arabic" w:hAnsi="Traditional Arabic"/>
          <w:noProof w:val="0"/>
          <w:color w:val="auto"/>
          <w:rtl/>
          <w:lang w:eastAsia="en-US"/>
        </w:rPr>
        <w:t>،</w:t>
      </w:r>
      <w:r w:rsidR="000C501F" w:rsidRPr="005A0462">
        <w:rPr>
          <w:rFonts w:ascii="Traditional Arabic" w:hAnsi="Traditional Arabic"/>
          <w:noProof w:val="0"/>
          <w:color w:val="auto"/>
          <w:rtl/>
          <w:lang w:eastAsia="en-US"/>
        </w:rPr>
        <w:t xml:space="preserve"> إلا ما أخذت</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 xml:space="preserve"> من ماله بغير ع</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لمه</w:t>
      </w:r>
      <w:r w:rsidR="00B76414">
        <w:rPr>
          <w:rFonts w:ascii="Traditional Arabic" w:hAnsi="Traditional Arabic"/>
          <w:noProof w:val="0"/>
          <w:color w:val="auto"/>
          <w:rtl/>
          <w:lang w:eastAsia="en-US"/>
        </w:rPr>
        <w:t>،</w:t>
      </w:r>
      <w:r w:rsidR="000C501F" w:rsidRPr="005A0462">
        <w:rPr>
          <w:rFonts w:ascii="Traditional Arabic" w:hAnsi="Traditional Arabic"/>
          <w:noProof w:val="0"/>
          <w:color w:val="auto"/>
          <w:rtl/>
          <w:lang w:eastAsia="en-US"/>
        </w:rPr>
        <w:t xml:space="preserve"> فهل علي في ذلك من ج</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ناح</w:t>
      </w:r>
      <w:r w:rsidR="007A5A1C">
        <w:rPr>
          <w:rFonts w:ascii="Traditional Arabic" w:hAnsi="Traditional Arabic"/>
          <w:noProof w:val="0"/>
          <w:color w:val="auto"/>
          <w:rtl/>
          <w:lang w:eastAsia="en-US"/>
        </w:rPr>
        <w:t>؟</w:t>
      </w:r>
      <w:r w:rsidR="000C501F" w:rsidRPr="005A0462">
        <w:rPr>
          <w:rFonts w:ascii="Traditional Arabic" w:hAnsi="Traditional Arabic"/>
          <w:noProof w:val="0"/>
          <w:color w:val="auto"/>
          <w:rtl/>
          <w:lang w:eastAsia="en-US"/>
        </w:rPr>
        <w:t xml:space="preserve"> فقال: "خ</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ذي م</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ن مال</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ه بالمعروف ما يكفيك</w:t>
      </w:r>
      <w:r w:rsidR="00B76414">
        <w:rPr>
          <w:rFonts w:ascii="Traditional Arabic" w:hAnsi="Traditional Arabic"/>
          <w:noProof w:val="0"/>
          <w:color w:val="auto"/>
          <w:rtl/>
          <w:lang w:eastAsia="en-US"/>
        </w:rPr>
        <w:t>،</w:t>
      </w:r>
      <w:r w:rsidR="000C501F" w:rsidRPr="005A0462">
        <w:rPr>
          <w:rFonts w:ascii="Traditional Arabic" w:hAnsi="Traditional Arabic"/>
          <w:noProof w:val="0"/>
          <w:color w:val="auto"/>
          <w:rtl/>
          <w:lang w:eastAsia="en-US"/>
        </w:rPr>
        <w:t xml:space="preserve"> ويكفي ب</w:t>
      </w:r>
      <w:r w:rsidR="000C501F" w:rsidRPr="005A0462">
        <w:rPr>
          <w:rFonts w:ascii="Traditional Arabic" w:hAnsi="Traditional Arabic" w:hint="cs"/>
          <w:noProof w:val="0"/>
          <w:color w:val="auto"/>
          <w:rtl/>
          <w:lang w:eastAsia="en-US"/>
        </w:rPr>
        <w:t>َ</w:t>
      </w:r>
      <w:r w:rsidR="000C501F" w:rsidRPr="005A0462">
        <w:rPr>
          <w:rFonts w:ascii="Traditional Arabic" w:hAnsi="Traditional Arabic"/>
          <w:noProof w:val="0"/>
          <w:color w:val="auto"/>
          <w:rtl/>
          <w:lang w:eastAsia="en-US"/>
        </w:rPr>
        <w:t>نيك"</w:t>
      </w:r>
      <w:r w:rsidR="000C501F" w:rsidRPr="00C821A1">
        <w:rPr>
          <w:rStyle w:val="af1"/>
          <w:szCs w:val="32"/>
          <w:rtl/>
        </w:rPr>
        <w:t>(</w:t>
      </w:r>
      <w:r w:rsidR="000C501F" w:rsidRPr="00C821A1">
        <w:rPr>
          <w:rStyle w:val="af1"/>
          <w:szCs w:val="32"/>
          <w:rtl/>
        </w:rPr>
        <w:footnoteReference w:id="284"/>
      </w:r>
      <w:r w:rsidR="000C501F" w:rsidRPr="00C821A1">
        <w:rPr>
          <w:rStyle w:val="af1"/>
          <w:szCs w:val="32"/>
          <w:rtl/>
        </w:rPr>
        <w:t>)</w:t>
      </w:r>
      <w:r w:rsidR="000C501F" w:rsidRPr="005A0462">
        <w:rPr>
          <w:rFonts w:ascii="Traditional Arabic" w:hAnsi="Traditional Arabic"/>
          <w:noProof w:val="0"/>
          <w:color w:val="auto"/>
          <w:rtl/>
          <w:lang w:eastAsia="en-US"/>
        </w:rPr>
        <w:t>.</w:t>
      </w:r>
    </w:p>
    <w:p w:rsidR="000C501F" w:rsidRDefault="00065E4B" w:rsidP="00597C20">
      <w:pPr>
        <w:pStyle w:val="53"/>
        <w:rPr>
          <w:rtl/>
        </w:rPr>
      </w:pPr>
      <w:r>
        <w:rPr>
          <w:rFonts w:hint="cs"/>
          <w:rtl/>
        </w:rPr>
        <w:t>و</w:t>
      </w:r>
      <w:r w:rsidR="000C501F">
        <w:rPr>
          <w:rFonts w:hint="cs"/>
          <w:rtl/>
        </w:rPr>
        <w:t>جه الدلالة:</w:t>
      </w:r>
    </w:p>
    <w:p w:rsidR="000C501F" w:rsidRDefault="004C4CBC" w:rsidP="004C4CBC">
      <w:pPr>
        <w:ind w:firstLine="0"/>
        <w:rPr>
          <w:rFonts w:ascii="Traditional Arabic" w:hAnsi="Traditional Arabic"/>
          <w:color w:val="auto"/>
          <w:rtl/>
        </w:rPr>
      </w:pPr>
      <w:r>
        <w:rPr>
          <w:rFonts w:ascii="Traditional Arabic" w:hAnsi="Traditional Arabic" w:hint="cs"/>
          <w:color w:val="auto"/>
          <w:rtl/>
        </w:rPr>
        <w:t xml:space="preserve">    </w:t>
      </w:r>
      <w:r w:rsidR="000C501F">
        <w:rPr>
          <w:rFonts w:ascii="Traditional Arabic" w:hAnsi="Traditional Arabic" w:hint="cs"/>
          <w:color w:val="auto"/>
          <w:rtl/>
        </w:rPr>
        <w:t xml:space="preserve">يقول الشيخ ابن عثيمين </w:t>
      </w:r>
      <w:r>
        <w:rPr>
          <w:rFonts w:ascii="Traditional Arabic" w:hAnsi="Traditional Arabic" w:hint="cs"/>
          <w:color w:val="auto"/>
          <w:rtl/>
        </w:rPr>
        <w:t>_</w:t>
      </w:r>
      <w:r w:rsidR="009A0575" w:rsidRPr="005D5694">
        <w:rPr>
          <w:rFonts w:ascii="Traditional Arabic" w:hAnsi="Traditional Arabic" w:cs="CTraditional Arabic" w:hint="cs"/>
          <w:rtl/>
        </w:rPr>
        <w:t>/</w:t>
      </w:r>
      <w:r>
        <w:rPr>
          <w:rFonts w:ascii="Traditional Arabic" w:hAnsi="Traditional Arabic" w:hint="cs"/>
          <w:color w:val="auto"/>
          <w:rtl/>
        </w:rPr>
        <w:t>_</w:t>
      </w:r>
      <w:r w:rsidR="000C501F">
        <w:rPr>
          <w:rFonts w:ascii="Traditional Arabic" w:hAnsi="Traditional Arabic" w:hint="cs"/>
          <w:color w:val="auto"/>
          <w:rtl/>
        </w:rPr>
        <w:t xml:space="preserve"> في معرض ذكره لفوائد الحديث: </w:t>
      </w:r>
      <w:r w:rsidR="00B76414">
        <w:rPr>
          <w:rFonts w:ascii="Traditional Arabic" w:hAnsi="Traditional Arabic" w:hint="cs"/>
          <w:color w:val="auto"/>
          <w:rtl/>
        </w:rPr>
        <w:t>(</w:t>
      </w:r>
      <w:r w:rsidR="000C501F">
        <w:rPr>
          <w:rFonts w:ascii="Traditional Arabic" w:hAnsi="Traditional Arabic" w:hint="cs"/>
          <w:color w:val="auto"/>
          <w:rtl/>
        </w:rPr>
        <w:t xml:space="preserve">جواز ذكر الغير بما يَكره </w:t>
      </w:r>
      <w:r w:rsidR="000C501F">
        <w:rPr>
          <w:rFonts w:ascii="Traditional Arabic" w:hAnsi="Traditional Arabic" w:hint="cs"/>
          <w:color w:val="auto"/>
          <w:rtl/>
        </w:rPr>
        <w:lastRenderedPageBreak/>
        <w:t>للحاجة؛ لقولها: "إن أبا سفيان رجل شحيح"؛ لأن حاله تنبني عليها الفتوى، ولو لم تذكر هذه الحال لم تمكن الفتوى، فإذا دعت الحاجة إلى ذكر الغير بما يكره</w:t>
      </w:r>
      <w:r w:rsidR="00690470">
        <w:rPr>
          <w:rFonts w:ascii="Traditional Arabic" w:hAnsi="Traditional Arabic" w:hint="cs"/>
          <w:color w:val="auto"/>
          <w:rtl/>
        </w:rPr>
        <w:t>،</w:t>
      </w:r>
      <w:r w:rsidR="000C501F">
        <w:rPr>
          <w:rFonts w:ascii="Traditional Arabic" w:hAnsi="Traditional Arabic" w:hint="cs"/>
          <w:color w:val="auto"/>
          <w:rtl/>
        </w:rPr>
        <w:t xml:space="preserve"> كان ذلك جائزا.</w:t>
      </w:r>
    </w:p>
    <w:p w:rsidR="000C501F" w:rsidRPr="005A0462" w:rsidRDefault="004C4CBC" w:rsidP="00597C20">
      <w:pPr>
        <w:ind w:firstLine="0"/>
        <w:rPr>
          <w:rFonts w:ascii="Traditional Arabic" w:hAnsi="Traditional Arabic"/>
          <w:color w:val="auto"/>
          <w:rtl/>
        </w:rPr>
      </w:pPr>
      <w:r>
        <w:rPr>
          <w:rFonts w:ascii="Traditional Arabic" w:hAnsi="Traditional Arabic" w:hint="cs"/>
          <w:color w:val="auto"/>
          <w:rtl/>
        </w:rPr>
        <w:t xml:space="preserve">    </w:t>
      </w:r>
      <w:r w:rsidR="000C501F">
        <w:rPr>
          <w:rFonts w:ascii="Traditional Arabic" w:hAnsi="Traditional Arabic" w:hint="cs"/>
          <w:color w:val="auto"/>
          <w:rtl/>
        </w:rPr>
        <w:t>ويؤخذ من هذه المسألة الفردية أنه إذا تعارضت المصالح</w:t>
      </w:r>
      <w:r w:rsidR="00690470">
        <w:rPr>
          <w:rFonts w:ascii="Traditional Arabic" w:hAnsi="Traditional Arabic" w:hint="cs"/>
          <w:color w:val="auto"/>
          <w:rtl/>
        </w:rPr>
        <w:t xml:space="preserve"> والمفاسد،</w:t>
      </w:r>
      <w:r w:rsidR="000C501F">
        <w:rPr>
          <w:rFonts w:ascii="Traditional Arabic" w:hAnsi="Traditional Arabic" w:hint="cs"/>
          <w:color w:val="auto"/>
          <w:rtl/>
        </w:rPr>
        <w:t xml:space="preserve"> وكانت المصالح أكبر</w:t>
      </w:r>
      <w:r w:rsidR="00690470">
        <w:rPr>
          <w:rFonts w:ascii="Traditional Arabic" w:hAnsi="Traditional Arabic" w:hint="cs"/>
          <w:color w:val="auto"/>
          <w:rtl/>
        </w:rPr>
        <w:t xml:space="preserve"> منها،</w:t>
      </w:r>
      <w:r w:rsidR="000C501F">
        <w:rPr>
          <w:rFonts w:ascii="Traditional Arabic" w:hAnsi="Traditional Arabic" w:hint="cs"/>
          <w:color w:val="auto"/>
          <w:rtl/>
        </w:rPr>
        <w:t xml:space="preserve"> جاز ارتكاب المفاسد، ففي هذه المسألة لا يمكن أن تتحقق المصلحة إلا بارتكاب المفسدة، وهي ذكر أبي سفيان </w:t>
      </w:r>
      <w:r>
        <w:rPr>
          <w:rFonts w:ascii="Traditional Arabic" w:hAnsi="Traditional Arabic" w:hint="cs"/>
          <w:color w:val="auto"/>
          <w:rtl/>
        </w:rPr>
        <w:t>_</w:t>
      </w:r>
      <w:r w:rsidR="009A0575">
        <w:rPr>
          <w:rFonts w:ascii="Traditional Arabic" w:hAnsi="Traditional Arabic" w:cs="CTraditional Arabic" w:hint="cs"/>
          <w:rtl/>
        </w:rPr>
        <w:t>ا</w:t>
      </w:r>
      <w:r>
        <w:rPr>
          <w:rFonts w:ascii="Traditional Arabic" w:hAnsi="Traditional Arabic" w:hint="cs"/>
          <w:color w:val="auto"/>
          <w:rtl/>
        </w:rPr>
        <w:t>_</w:t>
      </w:r>
      <w:r w:rsidR="000C501F">
        <w:rPr>
          <w:rFonts w:ascii="Traditional Arabic" w:hAnsi="Traditional Arabic" w:hint="cs"/>
          <w:color w:val="auto"/>
          <w:rtl/>
        </w:rPr>
        <w:t xml:space="preserve"> بما يكره، لأننا نعلم عِلْمَ اليقين أن أبا سفيان يكره أن يُذْكر عند النبي </w:t>
      </w:r>
      <w:r w:rsidR="00F350DE">
        <w:rPr>
          <w:rFonts w:ascii="Traditional Arabic" w:hAnsi="Traditional Arabic"/>
          <w:noProof w:val="0"/>
          <w:color w:val="auto"/>
          <w:rtl/>
          <w:lang w:eastAsia="en-US"/>
        </w:rPr>
        <w:sym w:font="AGA Arabesque" w:char="F072"/>
      </w:r>
      <w:r w:rsidR="000C501F">
        <w:rPr>
          <w:rFonts w:ascii="Traditional Arabic" w:hAnsi="Traditional Arabic" w:hint="cs"/>
          <w:color w:val="auto"/>
          <w:rtl/>
        </w:rPr>
        <w:t xml:space="preserve"> بهذا الوصف، ولكن الحاجة داعية إلى ذلك)</w:t>
      </w:r>
      <w:r w:rsidR="000C501F" w:rsidRPr="00C821A1">
        <w:rPr>
          <w:rStyle w:val="af1"/>
          <w:szCs w:val="32"/>
          <w:rtl/>
        </w:rPr>
        <w:t>(</w:t>
      </w:r>
      <w:r w:rsidR="000C501F" w:rsidRPr="00C821A1">
        <w:rPr>
          <w:rStyle w:val="af1"/>
          <w:szCs w:val="32"/>
          <w:rtl/>
        </w:rPr>
        <w:footnoteReference w:id="285"/>
      </w:r>
      <w:r w:rsidR="000C501F" w:rsidRPr="00C821A1">
        <w:rPr>
          <w:rStyle w:val="af1"/>
          <w:szCs w:val="32"/>
          <w:rtl/>
        </w:rPr>
        <w:t>)</w:t>
      </w:r>
      <w:r w:rsidR="000C501F">
        <w:rPr>
          <w:rFonts w:ascii="Traditional Arabic" w:hAnsi="Traditional Arabic" w:hint="cs"/>
          <w:color w:val="auto"/>
          <w:rtl/>
        </w:rPr>
        <w:t>.</w:t>
      </w:r>
    </w:p>
    <w:p w:rsidR="000C501F" w:rsidRPr="000C501F" w:rsidRDefault="00E87217" w:rsidP="000C69DB">
      <w:pPr>
        <w:pStyle w:val="aff3"/>
        <w:rPr>
          <w:rtl/>
        </w:rPr>
      </w:pPr>
      <w:bookmarkStart w:id="62" w:name="_Toc334046312"/>
      <w:r>
        <w:rPr>
          <w:rFonts w:hint="cs"/>
          <w:rtl/>
        </w:rPr>
        <w:t xml:space="preserve">                 </w:t>
      </w:r>
      <w:r w:rsidR="004C4CBC">
        <w:rPr>
          <w:rFonts w:hint="cs"/>
          <w:rtl/>
        </w:rPr>
        <w:t xml:space="preserve">                        </w:t>
      </w:r>
      <w:r w:rsidR="000C501F" w:rsidRPr="000C501F">
        <w:rPr>
          <w:rFonts w:hint="cs"/>
          <w:rtl/>
        </w:rPr>
        <w:t>المطلب الرابع</w:t>
      </w:r>
      <w:r w:rsidR="000C501F">
        <w:rPr>
          <w:rFonts w:hint="eastAsia"/>
          <w:rtl/>
        </w:rPr>
        <w:t> :</w:t>
      </w:r>
      <w:r w:rsidR="000C501F">
        <w:rPr>
          <w:rFonts w:hint="cs"/>
          <w:rtl/>
        </w:rPr>
        <w:br/>
      </w:r>
      <w:r>
        <w:rPr>
          <w:rFonts w:hint="cs"/>
          <w:rtl/>
        </w:rPr>
        <w:t xml:space="preserve">               </w:t>
      </w:r>
      <w:r w:rsidR="004C4CBC">
        <w:rPr>
          <w:rFonts w:hint="cs"/>
          <w:rtl/>
        </w:rPr>
        <w:t xml:space="preserve">                         </w:t>
      </w:r>
      <w:r w:rsidR="000C501F" w:rsidRPr="000C501F">
        <w:rPr>
          <w:rFonts w:hint="cs"/>
          <w:rtl/>
        </w:rPr>
        <w:t>تطبيقات القاعدة</w:t>
      </w:r>
      <w:bookmarkEnd w:id="62"/>
    </w:p>
    <w:p w:rsidR="000C501F" w:rsidRDefault="000C501F" w:rsidP="000A76C7">
      <w:pPr>
        <w:pStyle w:val="afc"/>
        <w:widowControl/>
        <w:numPr>
          <w:ilvl w:val="0"/>
          <w:numId w:val="52"/>
        </w:numPr>
        <w:autoSpaceDE w:val="0"/>
        <w:autoSpaceDN w:val="0"/>
        <w:adjustRightInd w:val="0"/>
        <w:rPr>
          <w:rFonts w:ascii="Traditional Arabic" w:hAnsi="Traditional Arabic"/>
          <w:noProof w:val="0"/>
          <w:color w:val="auto"/>
          <w:lang w:eastAsia="en-US"/>
        </w:rPr>
      </w:pPr>
      <w:r w:rsidRPr="00012291">
        <w:rPr>
          <w:rFonts w:ascii="Traditional Arabic" w:hAnsi="Traditional Arabic" w:hint="cs"/>
          <w:rtl/>
        </w:rPr>
        <w:t>إباحة بيع العرايا: فالأصل عدم جواز بيع الرُّطَب بالتمر وإن تساويا وزناً؛ لأن الرُّطَب ينقص وزنُه إذا جَفَّ</w:t>
      </w:r>
      <w:r w:rsidR="00B76414">
        <w:rPr>
          <w:rFonts w:ascii="Traditional Arabic" w:hAnsi="Traditional Arabic" w:hint="cs"/>
          <w:rtl/>
        </w:rPr>
        <w:t>،</w:t>
      </w:r>
      <w:r w:rsidRPr="00012291">
        <w:rPr>
          <w:rFonts w:ascii="Traditional Arabic" w:hAnsi="Traditional Arabic" w:hint="cs"/>
          <w:rtl/>
        </w:rPr>
        <w:t xml:space="preserve"> لكن استثنى الشارع بيع العرايا فأباحَه دَفْعاً لحاجة الفقير الذي يريد أن يَتَفَكَّهَ</w:t>
      </w:r>
      <w:r w:rsidR="00C60EF0">
        <w:rPr>
          <w:rStyle w:val="af1"/>
          <w:rFonts w:hint="cs"/>
          <w:szCs w:val="32"/>
          <w:rtl/>
        </w:rPr>
        <w:t xml:space="preserve"> </w:t>
      </w:r>
      <w:r w:rsidRPr="00012291">
        <w:rPr>
          <w:rFonts w:ascii="Traditional Arabic" w:hAnsi="Traditional Arabic" w:hint="cs"/>
          <w:rtl/>
        </w:rPr>
        <w:t>بالرطب</w:t>
      </w:r>
      <w:r w:rsidRPr="00C821A1">
        <w:rPr>
          <w:rStyle w:val="af1"/>
          <w:szCs w:val="32"/>
          <w:rtl/>
        </w:rPr>
        <w:t>(</w:t>
      </w:r>
      <w:r w:rsidRPr="00C821A1">
        <w:rPr>
          <w:rStyle w:val="af1"/>
          <w:szCs w:val="32"/>
          <w:rtl/>
        </w:rPr>
        <w:footnoteReference w:id="286"/>
      </w:r>
      <w:r w:rsidRPr="00C821A1">
        <w:rPr>
          <w:rStyle w:val="af1"/>
          <w:szCs w:val="32"/>
          <w:rtl/>
        </w:rPr>
        <w:t>)</w:t>
      </w:r>
      <w:r w:rsidRPr="00012291">
        <w:rPr>
          <w:rFonts w:ascii="Traditional Arabic" w:hAnsi="Traditional Arabic" w:hint="cs"/>
          <w:rtl/>
        </w:rPr>
        <w:t>.</w:t>
      </w:r>
    </w:p>
    <w:p w:rsidR="000C501F" w:rsidRDefault="000C501F" w:rsidP="00597C20">
      <w:pPr>
        <w:pStyle w:val="53"/>
        <w:rPr>
          <w:rtl/>
        </w:rPr>
      </w:pPr>
      <w:r>
        <w:rPr>
          <w:rFonts w:hint="cs"/>
          <w:rtl/>
        </w:rPr>
        <w:t>وجه اندراج الفرع تحت القاعدة:</w:t>
      </w:r>
    </w:p>
    <w:p w:rsidR="000C501F" w:rsidRPr="000C69DB" w:rsidRDefault="000C501F" w:rsidP="000C69DB">
      <w:pPr>
        <w:widowControl/>
        <w:autoSpaceDE w:val="0"/>
        <w:autoSpaceDN w:val="0"/>
        <w:adjustRightInd w:val="0"/>
        <w:ind w:firstLine="720"/>
        <w:rPr>
          <w:rFonts w:ascii="Traditional Arabic" w:hAnsi="Traditional Arabic"/>
          <w:rtl/>
        </w:rPr>
      </w:pPr>
      <w:r w:rsidRPr="001851F0">
        <w:rPr>
          <w:rFonts w:ascii="Traditional Arabic" w:hAnsi="Traditional Arabic" w:hint="cs"/>
          <w:rtl/>
        </w:rPr>
        <w:t>إن الذي يمكن أن يقع في العرايا هو ربا الفضل</w:t>
      </w:r>
      <w:r w:rsidRPr="00C821A1">
        <w:rPr>
          <w:rStyle w:val="af1"/>
          <w:szCs w:val="32"/>
          <w:rtl/>
        </w:rPr>
        <w:t>(</w:t>
      </w:r>
      <w:r w:rsidRPr="00C821A1">
        <w:rPr>
          <w:rStyle w:val="af1"/>
          <w:szCs w:val="32"/>
          <w:rtl/>
        </w:rPr>
        <w:footnoteReference w:id="287"/>
      </w:r>
      <w:r w:rsidRPr="00C821A1">
        <w:rPr>
          <w:rStyle w:val="af1"/>
          <w:szCs w:val="32"/>
          <w:rtl/>
        </w:rPr>
        <w:t>)</w:t>
      </w:r>
      <w:r w:rsidRPr="001851F0">
        <w:rPr>
          <w:rFonts w:ascii="Traditional Arabic" w:hAnsi="Traditional Arabic" w:hint="cs"/>
          <w:rtl/>
        </w:rPr>
        <w:t xml:space="preserve"> الذي حُرِّم لكونه وسيلةً إلى ربا النسيئة</w:t>
      </w:r>
      <w:r w:rsidRPr="00C821A1">
        <w:rPr>
          <w:rStyle w:val="af1"/>
          <w:szCs w:val="32"/>
          <w:rtl/>
        </w:rPr>
        <w:t>(</w:t>
      </w:r>
      <w:r w:rsidRPr="00C821A1">
        <w:rPr>
          <w:rStyle w:val="af1"/>
          <w:szCs w:val="32"/>
          <w:rtl/>
        </w:rPr>
        <w:footnoteReference w:id="288"/>
      </w:r>
      <w:r w:rsidRPr="00C821A1">
        <w:rPr>
          <w:rStyle w:val="af1"/>
          <w:szCs w:val="32"/>
          <w:rtl/>
        </w:rPr>
        <w:t>)</w:t>
      </w:r>
      <w:r w:rsidRPr="001851F0">
        <w:rPr>
          <w:rFonts w:ascii="Traditional Arabic" w:hAnsi="Traditional Arabic" w:hint="cs"/>
          <w:rtl/>
        </w:rPr>
        <w:t>، وما حر</w:t>
      </w:r>
      <w:r w:rsidR="00C60EF0">
        <w:rPr>
          <w:rFonts w:ascii="Traditional Arabic" w:hAnsi="Traditional Arabic" w:hint="cs"/>
          <w:rtl/>
        </w:rPr>
        <w:t>ُ</w:t>
      </w:r>
      <w:r w:rsidRPr="001851F0">
        <w:rPr>
          <w:rFonts w:ascii="Traditional Arabic" w:hAnsi="Traditional Arabic" w:hint="cs"/>
          <w:rtl/>
        </w:rPr>
        <w:t xml:space="preserve">م تحريم الوسائل يجوز للمصلحة الراجحة </w:t>
      </w:r>
      <w:r w:rsidRPr="00C821A1">
        <w:rPr>
          <w:rFonts w:ascii="Traditional Arabic" w:hAnsi="Traditional Arabic"/>
          <w:szCs w:val="32"/>
          <w:vertAlign w:val="superscript"/>
          <w:rtl/>
        </w:rPr>
        <w:t>(</w:t>
      </w:r>
      <w:r w:rsidRPr="00C821A1">
        <w:rPr>
          <w:szCs w:val="32"/>
          <w:vertAlign w:val="superscript"/>
          <w:rtl/>
        </w:rPr>
        <w:footnoteReference w:id="289"/>
      </w:r>
      <w:r w:rsidRPr="00C821A1">
        <w:rPr>
          <w:rFonts w:ascii="Traditional Arabic" w:hAnsi="Traditional Arabic"/>
          <w:szCs w:val="32"/>
          <w:vertAlign w:val="superscript"/>
          <w:rtl/>
        </w:rPr>
        <w:t>)</w:t>
      </w:r>
      <w:r w:rsidRPr="001851F0">
        <w:rPr>
          <w:rFonts w:ascii="Traditional Arabic" w:hAnsi="Traditional Arabic" w:hint="cs"/>
          <w:b/>
          <w:bCs/>
          <w:noProof w:val="0"/>
          <w:color w:val="auto"/>
          <w:rtl/>
          <w:lang w:eastAsia="en-US"/>
        </w:rPr>
        <w:t xml:space="preserve">، </w:t>
      </w:r>
      <w:r w:rsidRPr="001851F0">
        <w:rPr>
          <w:rFonts w:ascii="Traditional Arabic" w:hAnsi="Traditional Arabic" w:hint="cs"/>
          <w:noProof w:val="0"/>
          <w:color w:val="auto"/>
          <w:rtl/>
          <w:lang w:eastAsia="en-US"/>
        </w:rPr>
        <w:t>وهذا من باب تقديم المصلحة على المفسدة إذا كانت المصلحة أرجح</w:t>
      </w:r>
      <w:r w:rsidRPr="00C821A1">
        <w:rPr>
          <w:rStyle w:val="af1"/>
          <w:szCs w:val="32"/>
          <w:rtl/>
        </w:rPr>
        <w:t>(</w:t>
      </w:r>
      <w:r w:rsidRPr="00C821A1">
        <w:rPr>
          <w:rStyle w:val="af1"/>
          <w:szCs w:val="32"/>
          <w:rtl/>
        </w:rPr>
        <w:footnoteReference w:id="290"/>
      </w:r>
      <w:r w:rsidRPr="00C821A1">
        <w:rPr>
          <w:rStyle w:val="af1"/>
          <w:szCs w:val="32"/>
          <w:rtl/>
        </w:rPr>
        <w:t>)</w:t>
      </w:r>
      <w:r w:rsidRPr="001851F0">
        <w:rPr>
          <w:rFonts w:ascii="Traditional Arabic" w:hAnsi="Traditional Arabic" w:hint="cs"/>
          <w:noProof w:val="0"/>
          <w:color w:val="auto"/>
          <w:rtl/>
          <w:lang w:eastAsia="en-US"/>
        </w:rPr>
        <w:t>.</w:t>
      </w:r>
    </w:p>
    <w:p w:rsidR="000C501F" w:rsidRPr="009F6D83" w:rsidRDefault="00B0560B" w:rsidP="000A76C7">
      <w:pPr>
        <w:pStyle w:val="afc"/>
        <w:widowControl/>
        <w:numPr>
          <w:ilvl w:val="0"/>
          <w:numId w:val="52"/>
        </w:numPr>
        <w:autoSpaceDE w:val="0"/>
        <w:autoSpaceDN w:val="0"/>
        <w:adjustRightInd w:val="0"/>
        <w:rPr>
          <w:rFonts w:ascii="Traditional Arabic" w:hAnsi="Traditional Arabic"/>
          <w:noProof w:val="0"/>
          <w:rtl/>
          <w:lang w:eastAsia="en-US"/>
        </w:rPr>
      </w:pPr>
      <w:r>
        <w:rPr>
          <w:rFonts w:ascii="Traditional Arabic" w:hAnsi="Traditional Arabic"/>
          <w:noProof w:val="0"/>
          <w:rtl/>
          <w:lang w:eastAsia="en-US"/>
        </w:rPr>
        <w:lastRenderedPageBreak/>
        <w:t>يجوز</w:t>
      </w:r>
      <w:r w:rsidR="000C501F">
        <w:rPr>
          <w:rFonts w:ascii="Traditional Arabic" w:hAnsi="Traditional Arabic"/>
          <w:noProof w:val="0"/>
          <w:rtl/>
          <w:lang w:eastAsia="en-US"/>
        </w:rPr>
        <w:t xml:space="preserve"> </w:t>
      </w:r>
      <w:r w:rsidR="000C501F">
        <w:rPr>
          <w:rFonts w:ascii="Traditional Arabic" w:hAnsi="Traditional Arabic" w:hint="cs"/>
          <w:noProof w:val="0"/>
          <w:rtl/>
          <w:lang w:eastAsia="en-US"/>
        </w:rPr>
        <w:t>إ</w:t>
      </w:r>
      <w:r w:rsidR="000C501F" w:rsidRPr="009F6D83">
        <w:rPr>
          <w:rFonts w:ascii="Traditional Arabic" w:hAnsi="Traditional Arabic"/>
          <w:noProof w:val="0"/>
          <w:rtl/>
          <w:lang w:eastAsia="en-US"/>
        </w:rPr>
        <w:t>خر</w:t>
      </w:r>
      <w:r w:rsidR="000C501F">
        <w:rPr>
          <w:rFonts w:ascii="Traditional Arabic" w:hAnsi="Traditional Arabic" w:hint="cs"/>
          <w:noProof w:val="0"/>
          <w:rtl/>
          <w:lang w:eastAsia="en-US"/>
        </w:rPr>
        <w:t>ا</w:t>
      </w:r>
      <w:r w:rsidR="000C501F" w:rsidRPr="009F6D83">
        <w:rPr>
          <w:rFonts w:ascii="Traditional Arabic" w:hAnsi="Traditional Arabic"/>
          <w:noProof w:val="0"/>
          <w:rtl/>
          <w:lang w:eastAsia="en-US"/>
        </w:rPr>
        <w:t>ج الميزاب</w:t>
      </w:r>
      <w:r w:rsidR="000C501F">
        <w:rPr>
          <w:rFonts w:ascii="Traditional Arabic" w:hAnsi="Traditional Arabic" w:hint="cs"/>
          <w:noProof w:val="0"/>
          <w:rtl/>
          <w:lang w:eastAsia="en-US"/>
        </w:rPr>
        <w:t xml:space="preserve"> إلى الطريق النافذ</w:t>
      </w:r>
      <w:r w:rsidR="000C501F" w:rsidRPr="009F6D83">
        <w:rPr>
          <w:rFonts w:ascii="Traditional Arabic" w:hAnsi="Traditional Arabic"/>
          <w:noProof w:val="0"/>
          <w:rtl/>
          <w:lang w:eastAsia="en-US"/>
        </w:rPr>
        <w:t>، بشرط ألا يكون في ذلك ضرر</w:t>
      </w:r>
      <w:r w:rsidR="000C501F">
        <w:rPr>
          <w:rFonts w:ascii="Traditional Arabic" w:hAnsi="Traditional Arabic" w:hint="cs"/>
          <w:noProof w:val="0"/>
          <w:rtl/>
          <w:lang w:eastAsia="en-US"/>
        </w:rPr>
        <w:t xml:space="preserve"> على الناس.</w:t>
      </w:r>
    </w:p>
    <w:p w:rsidR="000C501F" w:rsidRPr="009F6D83" w:rsidRDefault="000C501F" w:rsidP="00597C20">
      <w:pPr>
        <w:pStyle w:val="afc"/>
        <w:widowControl/>
        <w:autoSpaceDE w:val="0"/>
        <w:autoSpaceDN w:val="0"/>
        <w:adjustRightInd w:val="0"/>
        <w:ind w:left="1080" w:firstLine="0"/>
        <w:rPr>
          <w:rFonts w:ascii="Traditional Arabic" w:hAnsi="Traditional Arabic"/>
          <w:noProof w:val="0"/>
          <w:rtl/>
          <w:lang w:eastAsia="en-US"/>
        </w:rPr>
      </w:pPr>
      <w:r w:rsidRPr="009F6D83">
        <w:rPr>
          <w:rFonts w:ascii="Traditional Arabic" w:hAnsi="Traditional Arabic"/>
          <w:noProof w:val="0"/>
          <w:rtl/>
          <w:lang w:eastAsia="en-US"/>
        </w:rPr>
        <w:t>فإن قال قائل: الضرر لا بد أن يكون في الميزاب؛ لأنه إذا جاء المطر فسوف يص</w:t>
      </w:r>
      <w:r>
        <w:rPr>
          <w:rFonts w:ascii="Traditional Arabic" w:hAnsi="Traditional Arabic" w:hint="cs"/>
          <w:noProof w:val="0"/>
          <w:rtl/>
          <w:lang w:eastAsia="en-US"/>
        </w:rPr>
        <w:t>ُ</w:t>
      </w:r>
      <w:r w:rsidRPr="009F6D83">
        <w:rPr>
          <w:rFonts w:ascii="Traditional Arabic" w:hAnsi="Traditional Arabic"/>
          <w:noProof w:val="0"/>
          <w:rtl/>
          <w:lang w:eastAsia="en-US"/>
        </w:rPr>
        <w:t>ب</w:t>
      </w:r>
      <w:r>
        <w:rPr>
          <w:rFonts w:ascii="Traditional Arabic" w:hAnsi="Traditional Arabic" w:hint="cs"/>
          <w:noProof w:val="0"/>
          <w:rtl/>
          <w:lang w:eastAsia="en-US"/>
        </w:rPr>
        <w:t>ُّ</w:t>
      </w:r>
      <w:r w:rsidRPr="009F6D83">
        <w:rPr>
          <w:rFonts w:ascii="Traditional Arabic" w:hAnsi="Traditional Arabic"/>
          <w:noProof w:val="0"/>
          <w:rtl/>
          <w:lang w:eastAsia="en-US"/>
        </w:rPr>
        <w:t xml:space="preserve"> على المار</w:t>
      </w:r>
      <w:r>
        <w:rPr>
          <w:rFonts w:ascii="Traditional Arabic" w:hAnsi="Traditional Arabic" w:hint="cs"/>
          <w:noProof w:val="0"/>
          <w:rtl/>
          <w:lang w:eastAsia="en-US"/>
        </w:rPr>
        <w:t>َّ</w:t>
      </w:r>
      <w:r w:rsidRPr="009F6D83">
        <w:rPr>
          <w:rFonts w:ascii="Traditional Arabic" w:hAnsi="Traditional Arabic"/>
          <w:noProof w:val="0"/>
          <w:rtl/>
          <w:lang w:eastAsia="en-US"/>
        </w:rPr>
        <w:t>ة؟</w:t>
      </w:r>
    </w:p>
    <w:p w:rsidR="000C501F" w:rsidRPr="009F6D83" w:rsidRDefault="009F7DCC" w:rsidP="00597C20">
      <w:pPr>
        <w:pStyle w:val="afc"/>
        <w:widowControl/>
        <w:autoSpaceDE w:val="0"/>
        <w:autoSpaceDN w:val="0"/>
        <w:adjustRightInd w:val="0"/>
        <w:ind w:left="1080" w:firstLine="0"/>
        <w:jc w:val="left"/>
        <w:rPr>
          <w:rFonts w:ascii="Traditional Arabic" w:hAnsi="Traditional Arabic"/>
          <w:noProof w:val="0"/>
          <w:rtl/>
          <w:lang w:eastAsia="en-US"/>
        </w:rPr>
      </w:pPr>
      <w:r>
        <w:rPr>
          <w:rFonts w:ascii="Traditional Arabic" w:hAnsi="Traditional Arabic"/>
          <w:noProof w:val="0"/>
          <w:rtl/>
          <w:lang w:eastAsia="en-US"/>
        </w:rPr>
        <w:t xml:space="preserve">فيقال: أولا: هذا </w:t>
      </w:r>
      <w:r>
        <w:rPr>
          <w:rFonts w:ascii="Traditional Arabic" w:hAnsi="Traditional Arabic" w:hint="cs"/>
          <w:noProof w:val="0"/>
          <w:rtl/>
          <w:lang w:eastAsia="en-US"/>
        </w:rPr>
        <w:t>لا يحصل</w:t>
      </w:r>
      <w:r w:rsidR="000C501F" w:rsidRPr="009F6D83">
        <w:rPr>
          <w:rFonts w:ascii="Traditional Arabic" w:hAnsi="Traditional Arabic"/>
          <w:noProof w:val="0"/>
          <w:rtl/>
          <w:lang w:eastAsia="en-US"/>
        </w:rPr>
        <w:t xml:space="preserve"> دائما.</w:t>
      </w:r>
    </w:p>
    <w:p w:rsidR="00065E4B" w:rsidRPr="009F6D83" w:rsidRDefault="000C501F" w:rsidP="00597C20">
      <w:pPr>
        <w:pStyle w:val="afc"/>
        <w:widowControl/>
        <w:autoSpaceDE w:val="0"/>
        <w:autoSpaceDN w:val="0"/>
        <w:adjustRightInd w:val="0"/>
        <w:ind w:left="1080" w:firstLine="0"/>
        <w:rPr>
          <w:rFonts w:ascii="Simplified Arabic" w:hAnsi="Simplified Arabic" w:cs="Simplified Arabic"/>
          <w:noProof w:val="0"/>
          <w:color w:val="FF0000"/>
          <w:rtl/>
          <w:lang w:eastAsia="en-US"/>
        </w:rPr>
      </w:pPr>
      <w:r w:rsidRPr="009F6D83">
        <w:rPr>
          <w:rFonts w:ascii="Traditional Arabic" w:hAnsi="Traditional Arabic"/>
          <w:noProof w:val="0"/>
          <w:rtl/>
          <w:lang w:eastAsia="en-US"/>
        </w:rPr>
        <w:t>وثان</w:t>
      </w:r>
      <w:r>
        <w:rPr>
          <w:rFonts w:ascii="Traditional Arabic" w:hAnsi="Traditional Arabic"/>
          <w:noProof w:val="0"/>
          <w:rtl/>
          <w:lang w:eastAsia="en-US"/>
        </w:rPr>
        <w:t>يا: الناس في أوقات المطر الشديد</w:t>
      </w:r>
      <w:r w:rsidR="009F7DCC">
        <w:rPr>
          <w:rFonts w:ascii="Traditional Arabic" w:hAnsi="Traditional Arabic" w:hint="cs"/>
          <w:noProof w:val="0"/>
          <w:rtl/>
          <w:lang w:eastAsia="en-US"/>
        </w:rPr>
        <w:t xml:space="preserve"> </w:t>
      </w:r>
      <w:r>
        <w:rPr>
          <w:rFonts w:ascii="Traditional Arabic" w:hAnsi="Traditional Arabic" w:hint="cs"/>
          <w:noProof w:val="0"/>
          <w:rtl/>
          <w:lang w:eastAsia="en-US"/>
        </w:rPr>
        <w:t>يكونون في بيوتهم غالبا؛ ولهذا فإن</w:t>
      </w:r>
      <w:r w:rsidR="00690470">
        <w:rPr>
          <w:rFonts w:ascii="Traditional Arabic" w:hAnsi="Traditional Arabic" w:hint="cs"/>
          <w:noProof w:val="0"/>
          <w:rtl/>
          <w:lang w:eastAsia="en-US"/>
        </w:rPr>
        <w:t xml:space="preserve"> </w:t>
      </w:r>
      <w:r>
        <w:rPr>
          <w:rFonts w:ascii="Traditional Arabic" w:hAnsi="Traditional Arabic" w:hint="cs"/>
          <w:noProof w:val="0"/>
          <w:rtl/>
          <w:lang w:eastAsia="en-US"/>
        </w:rPr>
        <w:t>ال</w:t>
      </w:r>
      <w:r w:rsidRPr="009F6D83">
        <w:rPr>
          <w:rFonts w:ascii="Traditional Arabic" w:hAnsi="Traditional Arabic"/>
          <w:noProof w:val="0"/>
          <w:rtl/>
          <w:lang w:eastAsia="en-US"/>
        </w:rPr>
        <w:t>ضرر</w:t>
      </w:r>
      <w:r>
        <w:rPr>
          <w:rFonts w:ascii="Traditional Arabic" w:hAnsi="Traditional Arabic" w:hint="cs"/>
          <w:noProof w:val="0"/>
          <w:rtl/>
          <w:lang w:eastAsia="en-US"/>
        </w:rPr>
        <w:t xml:space="preserve"> في هذه الحال</w:t>
      </w:r>
      <w:r w:rsidR="009F7DCC">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يكون </w:t>
      </w:r>
      <w:r w:rsidRPr="009F6D83">
        <w:rPr>
          <w:rFonts w:ascii="Traditional Arabic" w:hAnsi="Traditional Arabic"/>
          <w:noProof w:val="0"/>
          <w:rtl/>
          <w:lang w:eastAsia="en-US"/>
        </w:rPr>
        <w:t>مغتفر</w:t>
      </w:r>
      <w:r>
        <w:rPr>
          <w:rFonts w:ascii="Traditional Arabic" w:hAnsi="Traditional Arabic" w:hint="cs"/>
          <w:noProof w:val="0"/>
          <w:rtl/>
          <w:lang w:eastAsia="en-US"/>
        </w:rPr>
        <w:t>ا</w:t>
      </w:r>
      <w:r w:rsidRPr="009F6D83">
        <w:rPr>
          <w:rFonts w:ascii="Traditional Arabic" w:hAnsi="Traditional Arabic"/>
          <w:noProof w:val="0"/>
          <w:rtl/>
          <w:lang w:eastAsia="en-US"/>
        </w:rPr>
        <w:t xml:space="preserve"> في جانب المصلحة التي تكون للناس</w:t>
      </w:r>
      <w:r>
        <w:rPr>
          <w:rFonts w:ascii="Traditional Arabic" w:hAnsi="Traditional Arabic" w:hint="cs"/>
          <w:noProof w:val="0"/>
          <w:rtl/>
          <w:lang w:eastAsia="en-US"/>
        </w:rPr>
        <w:t xml:space="preserve"> بإخراج الميازيب</w:t>
      </w:r>
      <w:r w:rsidRPr="00C821A1">
        <w:rPr>
          <w:rStyle w:val="af1"/>
          <w:szCs w:val="32"/>
          <w:rtl/>
        </w:rPr>
        <w:t>(</w:t>
      </w:r>
      <w:r w:rsidRPr="00C821A1">
        <w:rPr>
          <w:rStyle w:val="af1"/>
          <w:szCs w:val="32"/>
          <w:rtl/>
        </w:rPr>
        <w:footnoteReference w:id="291"/>
      </w:r>
      <w:r w:rsidRPr="00C821A1">
        <w:rPr>
          <w:rStyle w:val="af1"/>
          <w:szCs w:val="32"/>
          <w:rtl/>
        </w:rPr>
        <w:t>)</w:t>
      </w:r>
      <w:r w:rsidRPr="009F6D83">
        <w:rPr>
          <w:rFonts w:ascii="Traditional Arabic" w:hAnsi="Traditional Arabic"/>
          <w:noProof w:val="0"/>
          <w:rtl/>
          <w:lang w:eastAsia="en-US"/>
        </w:rPr>
        <w:t>.</w:t>
      </w:r>
    </w:p>
    <w:p w:rsidR="000C501F" w:rsidRDefault="00065E4B" w:rsidP="00597C20">
      <w:pPr>
        <w:pStyle w:val="53"/>
        <w:rPr>
          <w:rtl/>
        </w:rPr>
      </w:pPr>
      <w:r>
        <w:rPr>
          <w:rFonts w:hint="cs"/>
          <w:rtl/>
        </w:rPr>
        <w:t>و</w:t>
      </w:r>
      <w:r w:rsidR="000C501F">
        <w:rPr>
          <w:rFonts w:hint="cs"/>
          <w:rtl/>
        </w:rPr>
        <w:t>جه اندراج الفرع تحت القاعدة:</w:t>
      </w:r>
    </w:p>
    <w:p w:rsidR="00F228A9" w:rsidRDefault="00B0560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0C501F">
        <w:rPr>
          <w:rFonts w:ascii="Traditional Arabic" w:hAnsi="Traditional Arabic" w:hint="cs"/>
          <w:noProof w:val="0"/>
          <w:color w:val="auto"/>
          <w:rtl/>
          <w:lang w:eastAsia="en-US"/>
        </w:rPr>
        <w:t>نه تعارضت مصلحة إخراج الميزاب مع الضرر الحاصل على المارّة من المطر النازل م</w:t>
      </w:r>
      <w:r>
        <w:rPr>
          <w:rFonts w:ascii="Traditional Arabic" w:hAnsi="Traditional Arabic" w:hint="cs"/>
          <w:noProof w:val="0"/>
          <w:color w:val="auto"/>
          <w:rtl/>
          <w:lang w:eastAsia="en-US"/>
        </w:rPr>
        <w:t>نه، إلا أن المصلحة غالبة على</w:t>
      </w:r>
      <w:r w:rsidR="000C501F">
        <w:rPr>
          <w:rFonts w:ascii="Traditional Arabic" w:hAnsi="Traditional Arabic" w:hint="cs"/>
          <w:noProof w:val="0"/>
          <w:color w:val="auto"/>
          <w:rtl/>
          <w:lang w:eastAsia="en-US"/>
        </w:rPr>
        <w:t xml:space="preserve"> هذه المفسدة</w:t>
      </w:r>
      <w:r w:rsidR="00B76414">
        <w:rPr>
          <w:rFonts w:ascii="Traditional Arabic" w:hAnsi="Traditional Arabic" w:hint="cs"/>
          <w:noProof w:val="0"/>
          <w:color w:val="auto"/>
          <w:rtl/>
          <w:lang w:eastAsia="en-US"/>
        </w:rPr>
        <w:t>،</w:t>
      </w:r>
      <w:r w:rsidR="000C501F">
        <w:rPr>
          <w:rFonts w:ascii="Traditional Arabic" w:hAnsi="Traditional Arabic" w:hint="cs"/>
          <w:noProof w:val="0"/>
          <w:color w:val="auto"/>
          <w:rtl/>
          <w:lang w:eastAsia="en-US"/>
        </w:rPr>
        <w:t xml:space="preserve"> فلا يُلتفت إليها؛ لأنه إذا تعارضت مصلحة ومفسدة قدم أرجحهما.</w:t>
      </w:r>
    </w:p>
    <w:p w:rsidR="000C501F" w:rsidRDefault="000C501F" w:rsidP="00B0560B">
      <w:pPr>
        <w:pStyle w:val="afc"/>
        <w:widowControl/>
        <w:numPr>
          <w:ilvl w:val="0"/>
          <w:numId w:val="52"/>
        </w:numPr>
        <w:autoSpaceDE w:val="0"/>
        <w:autoSpaceDN w:val="0"/>
        <w:adjustRightInd w:val="0"/>
        <w:jc w:val="left"/>
        <w:rPr>
          <w:rFonts w:ascii="Traditional Arabic" w:hAnsi="Traditional Arabic"/>
          <w:noProof w:val="0"/>
          <w:color w:val="auto"/>
          <w:lang w:eastAsia="en-US"/>
        </w:rPr>
      </w:pPr>
      <w:r w:rsidRPr="009E2649">
        <w:rPr>
          <w:rFonts w:ascii="Traditional Arabic" w:hAnsi="Traditional Arabic"/>
          <w:noProof w:val="0"/>
          <w:rtl/>
          <w:lang w:eastAsia="en-US"/>
        </w:rPr>
        <w:t>لا تصح المسابقة</w:t>
      </w:r>
      <w:r w:rsidR="00B0560B">
        <w:rPr>
          <w:rStyle w:val="af1"/>
          <w:rFonts w:hint="cs"/>
          <w:szCs w:val="32"/>
          <w:rtl/>
        </w:rPr>
        <w:t xml:space="preserve"> </w:t>
      </w:r>
      <w:r w:rsidRPr="009E2649">
        <w:rPr>
          <w:rFonts w:ascii="Traditional Arabic" w:hAnsi="Traditional Arabic"/>
          <w:noProof w:val="0"/>
          <w:rtl/>
          <w:lang w:eastAsia="en-US"/>
        </w:rPr>
        <w:t>بع</w:t>
      </w:r>
      <w:r>
        <w:rPr>
          <w:rFonts w:ascii="Traditional Arabic" w:hAnsi="Traditional Arabic" w:hint="cs"/>
          <w:noProof w:val="0"/>
          <w:rtl/>
          <w:lang w:eastAsia="en-US"/>
        </w:rPr>
        <w:t>ِ</w:t>
      </w:r>
      <w:r w:rsidRPr="009E2649">
        <w:rPr>
          <w:rFonts w:ascii="Traditional Arabic" w:hAnsi="Traditional Arabic"/>
          <w:noProof w:val="0"/>
          <w:rtl/>
          <w:lang w:eastAsia="en-US"/>
        </w:rPr>
        <w:t>و</w:t>
      </w:r>
      <w:r>
        <w:rPr>
          <w:rFonts w:ascii="Traditional Arabic" w:hAnsi="Traditional Arabic" w:hint="cs"/>
          <w:noProof w:val="0"/>
          <w:rtl/>
          <w:lang w:eastAsia="en-US"/>
        </w:rPr>
        <w:t>َ</w:t>
      </w:r>
      <w:r w:rsidRPr="009E2649">
        <w:rPr>
          <w:rFonts w:ascii="Traditional Arabic" w:hAnsi="Traditional Arabic"/>
          <w:noProof w:val="0"/>
          <w:rtl/>
          <w:lang w:eastAsia="en-US"/>
        </w:rPr>
        <w:t>ض</w:t>
      </w:r>
      <w:r>
        <w:rPr>
          <w:rFonts w:ascii="Traditional Arabic" w:hAnsi="Traditional Arabic" w:hint="cs"/>
          <w:noProof w:val="0"/>
          <w:color w:val="auto"/>
          <w:rtl/>
          <w:lang w:eastAsia="en-US"/>
        </w:rPr>
        <w:t xml:space="preserve"> إلا في الإبل والخيل والسِّهام.</w:t>
      </w:r>
    </w:p>
    <w:p w:rsidR="000C501F" w:rsidRDefault="000C501F" w:rsidP="00E87217">
      <w:pPr>
        <w:pStyle w:val="afc"/>
        <w:widowControl/>
        <w:autoSpaceDE w:val="0"/>
        <w:autoSpaceDN w:val="0"/>
        <w:adjustRightInd w:val="0"/>
        <w:ind w:left="1080" w:firstLine="0"/>
        <w:rPr>
          <w:rFonts w:ascii="Traditional Arabic" w:hAnsi="Traditional Arabic"/>
          <w:noProof w:val="0"/>
          <w:rtl/>
          <w:lang w:eastAsia="en-US"/>
        </w:rPr>
      </w:pPr>
      <w:r w:rsidRPr="009E2649">
        <w:rPr>
          <w:rFonts w:ascii="Traditional Arabic" w:hAnsi="Traditional Arabic"/>
          <w:noProof w:val="0"/>
          <w:rtl/>
          <w:lang w:eastAsia="en-US"/>
        </w:rPr>
        <w:t>فإن قال قائل: هذا جار</w:t>
      </w:r>
      <w:r>
        <w:rPr>
          <w:rFonts w:ascii="Traditional Arabic" w:hAnsi="Traditional Arabic" w:hint="cs"/>
          <w:noProof w:val="0"/>
          <w:rtl/>
          <w:lang w:eastAsia="en-US"/>
        </w:rPr>
        <w:t>ٍ</w:t>
      </w:r>
      <w:r w:rsidRPr="009E2649">
        <w:rPr>
          <w:rFonts w:ascii="Traditional Arabic" w:hAnsi="Traditional Arabic"/>
          <w:noProof w:val="0"/>
          <w:rtl/>
          <w:lang w:eastAsia="en-US"/>
        </w:rPr>
        <w:t xml:space="preserve"> على خلا</w:t>
      </w:r>
      <w:r>
        <w:rPr>
          <w:rFonts w:ascii="Traditional Arabic" w:hAnsi="Traditional Arabic"/>
          <w:noProof w:val="0"/>
          <w:rtl/>
          <w:lang w:eastAsia="en-US"/>
        </w:rPr>
        <w:t>ف القياس؛ لأنه م</w:t>
      </w:r>
      <w:r>
        <w:rPr>
          <w:rFonts w:ascii="Traditional Arabic" w:hAnsi="Traditional Arabic" w:hint="cs"/>
          <w:noProof w:val="0"/>
          <w:rtl/>
          <w:lang w:eastAsia="en-US"/>
        </w:rPr>
        <w:t>َ</w:t>
      </w:r>
      <w:r>
        <w:rPr>
          <w:rFonts w:ascii="Traditional Arabic" w:hAnsi="Traditional Arabic"/>
          <w:noProof w:val="0"/>
          <w:rtl/>
          <w:lang w:eastAsia="en-US"/>
        </w:rPr>
        <w:t>يس</w:t>
      </w:r>
      <w:r>
        <w:rPr>
          <w:rFonts w:ascii="Traditional Arabic" w:hAnsi="Traditional Arabic" w:hint="cs"/>
          <w:noProof w:val="0"/>
          <w:rtl/>
          <w:lang w:eastAsia="en-US"/>
        </w:rPr>
        <w:t>ِ</w:t>
      </w:r>
      <w:r>
        <w:rPr>
          <w:rFonts w:ascii="Traditional Arabic" w:hAnsi="Traditional Arabic"/>
          <w:noProof w:val="0"/>
          <w:rtl/>
          <w:lang w:eastAsia="en-US"/>
        </w:rPr>
        <w:t>ر</w:t>
      </w:r>
      <w:r w:rsidR="00E87217">
        <w:rPr>
          <w:rStyle w:val="af1"/>
          <w:rFonts w:hint="cs"/>
          <w:szCs w:val="32"/>
          <w:rtl/>
        </w:rPr>
        <w:t xml:space="preserve"> </w:t>
      </w:r>
      <w:r w:rsidR="00E87217">
        <w:rPr>
          <w:rFonts w:ascii="Traditional Arabic" w:hAnsi="Traditional Arabic" w:hint="cs"/>
          <w:noProof w:val="0"/>
          <w:rtl/>
          <w:lang w:eastAsia="en-US"/>
        </w:rPr>
        <w:t xml:space="preserve">؛ </w:t>
      </w:r>
      <w:r w:rsidR="00E87217">
        <w:rPr>
          <w:rFonts w:ascii="Traditional Arabic" w:hAnsi="Traditional Arabic"/>
          <w:noProof w:val="0"/>
          <w:rtl/>
          <w:lang w:eastAsia="en-US"/>
        </w:rPr>
        <w:t xml:space="preserve">إذ </w:t>
      </w:r>
      <w:r w:rsidR="00E87217">
        <w:rPr>
          <w:rFonts w:ascii="Traditional Arabic" w:hAnsi="Traditional Arabic" w:hint="cs"/>
          <w:noProof w:val="0"/>
          <w:rtl/>
          <w:lang w:eastAsia="en-US"/>
        </w:rPr>
        <w:t>إ</w:t>
      </w:r>
      <w:r>
        <w:rPr>
          <w:rFonts w:ascii="Traditional Arabic" w:hAnsi="Traditional Arabic"/>
          <w:noProof w:val="0"/>
          <w:rtl/>
          <w:lang w:eastAsia="en-US"/>
        </w:rPr>
        <w:t>ن أحد</w:t>
      </w:r>
      <w:r>
        <w:rPr>
          <w:rFonts w:ascii="Traditional Arabic" w:hAnsi="Traditional Arabic" w:hint="cs"/>
          <w:noProof w:val="0"/>
          <w:rtl/>
          <w:lang w:eastAsia="en-US"/>
        </w:rPr>
        <w:t xml:space="preserve"> المتسابقين إما أن يكون </w:t>
      </w:r>
      <w:r w:rsidRPr="009E2649">
        <w:rPr>
          <w:rFonts w:ascii="Traditional Arabic" w:hAnsi="Traditional Arabic"/>
          <w:noProof w:val="0"/>
          <w:rtl/>
          <w:lang w:eastAsia="en-US"/>
        </w:rPr>
        <w:t>غان</w:t>
      </w:r>
      <w:r>
        <w:rPr>
          <w:rFonts w:ascii="Traditional Arabic" w:hAnsi="Traditional Arabic" w:hint="cs"/>
          <w:noProof w:val="0"/>
          <w:rtl/>
          <w:lang w:eastAsia="en-US"/>
        </w:rPr>
        <w:t>ِ</w:t>
      </w:r>
      <w:r w:rsidRPr="009E2649">
        <w:rPr>
          <w:rFonts w:ascii="Traditional Arabic" w:hAnsi="Traditional Arabic"/>
          <w:noProof w:val="0"/>
          <w:rtl/>
          <w:lang w:eastAsia="en-US"/>
        </w:rPr>
        <w:t>م</w:t>
      </w:r>
      <w:r>
        <w:rPr>
          <w:rFonts w:ascii="Traditional Arabic" w:hAnsi="Traditional Arabic" w:hint="cs"/>
          <w:noProof w:val="0"/>
          <w:rtl/>
          <w:lang w:eastAsia="en-US"/>
        </w:rPr>
        <w:t>اً</w:t>
      </w:r>
      <w:r w:rsidR="00E87217">
        <w:rPr>
          <w:rFonts w:ascii="Traditional Arabic" w:hAnsi="Traditional Arabic" w:hint="cs"/>
          <w:noProof w:val="0"/>
          <w:rtl/>
          <w:lang w:eastAsia="en-US"/>
        </w:rPr>
        <w:t xml:space="preserve"> </w:t>
      </w:r>
      <w:r w:rsidRPr="009E2649">
        <w:rPr>
          <w:rFonts w:ascii="Traditional Arabic" w:hAnsi="Traditional Arabic"/>
          <w:noProof w:val="0"/>
          <w:rtl/>
          <w:lang w:eastAsia="en-US"/>
        </w:rPr>
        <w:t>و</w:t>
      </w:r>
      <w:r>
        <w:rPr>
          <w:rFonts w:ascii="Traditional Arabic" w:hAnsi="Traditional Arabic" w:hint="cs"/>
          <w:noProof w:val="0"/>
          <w:rtl/>
          <w:lang w:eastAsia="en-US"/>
        </w:rPr>
        <w:t>إما</w:t>
      </w:r>
      <w:r w:rsidR="00E87217">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أن يكون </w:t>
      </w:r>
      <w:r w:rsidRPr="009E2649">
        <w:rPr>
          <w:rFonts w:ascii="Traditional Arabic" w:hAnsi="Traditional Arabic"/>
          <w:noProof w:val="0"/>
          <w:rtl/>
          <w:lang w:eastAsia="en-US"/>
        </w:rPr>
        <w:t>غار</w:t>
      </w:r>
      <w:r>
        <w:rPr>
          <w:rFonts w:ascii="Traditional Arabic" w:hAnsi="Traditional Arabic" w:hint="cs"/>
          <w:noProof w:val="0"/>
          <w:rtl/>
          <w:lang w:eastAsia="en-US"/>
        </w:rPr>
        <w:t>ِ</w:t>
      </w:r>
      <w:r w:rsidRPr="009E2649">
        <w:rPr>
          <w:rFonts w:ascii="Traditional Arabic" w:hAnsi="Traditional Arabic"/>
          <w:noProof w:val="0"/>
          <w:rtl/>
          <w:lang w:eastAsia="en-US"/>
        </w:rPr>
        <w:t>م</w:t>
      </w:r>
      <w:r>
        <w:rPr>
          <w:rFonts w:ascii="Traditional Arabic" w:hAnsi="Traditional Arabic" w:hint="cs"/>
          <w:noProof w:val="0"/>
          <w:rtl/>
          <w:lang w:eastAsia="en-US"/>
        </w:rPr>
        <w:t>اً.</w:t>
      </w:r>
    </w:p>
    <w:p w:rsidR="00065E4B" w:rsidRDefault="000C501F" w:rsidP="00597C20">
      <w:pPr>
        <w:widowControl/>
        <w:autoSpaceDE w:val="0"/>
        <w:autoSpaceDN w:val="0"/>
        <w:adjustRightInd w:val="0"/>
        <w:ind w:firstLine="720"/>
        <w:rPr>
          <w:rFonts w:ascii="Traditional Arabic" w:hAnsi="Traditional Arabic"/>
          <w:b/>
          <w:bCs/>
          <w:noProof w:val="0"/>
          <w:sz w:val="44"/>
          <w:szCs w:val="44"/>
          <w:rtl/>
          <w:lang w:eastAsia="en-US"/>
        </w:rPr>
      </w:pPr>
      <w:r>
        <w:rPr>
          <w:rFonts w:ascii="Traditional Arabic" w:hAnsi="Traditional Arabic" w:hint="cs"/>
          <w:noProof w:val="0"/>
          <w:rtl/>
          <w:lang w:eastAsia="en-US"/>
        </w:rPr>
        <w:t xml:space="preserve">فالجواب أن هذه المسألة </w:t>
      </w:r>
      <w:r w:rsidRPr="009E2649">
        <w:rPr>
          <w:rFonts w:ascii="Traditional Arabic" w:hAnsi="Traditional Arabic"/>
          <w:noProof w:val="0"/>
          <w:rtl/>
          <w:lang w:eastAsia="en-US"/>
        </w:rPr>
        <w:t>م</w:t>
      </w:r>
      <w:r>
        <w:rPr>
          <w:rFonts w:ascii="Traditional Arabic" w:hAnsi="Traditional Arabic" w:hint="cs"/>
          <w:noProof w:val="0"/>
          <w:rtl/>
          <w:lang w:eastAsia="en-US"/>
        </w:rPr>
        <w:t>ُ</w:t>
      </w:r>
      <w:r w:rsidRPr="009E2649">
        <w:rPr>
          <w:rFonts w:ascii="Traditional Arabic" w:hAnsi="Traditional Arabic"/>
          <w:noProof w:val="0"/>
          <w:rtl/>
          <w:lang w:eastAsia="en-US"/>
        </w:rPr>
        <w:t>ستثناة</w:t>
      </w:r>
      <w:r>
        <w:rPr>
          <w:rFonts w:ascii="Traditional Arabic" w:hAnsi="Traditional Arabic" w:hint="cs"/>
          <w:noProof w:val="0"/>
          <w:rtl/>
          <w:lang w:eastAsia="en-US"/>
        </w:rPr>
        <w:t xml:space="preserve"> من الميسر</w:t>
      </w:r>
      <w:r w:rsidRPr="009E2649">
        <w:rPr>
          <w:rFonts w:ascii="Traditional Arabic" w:hAnsi="Traditional Arabic"/>
          <w:noProof w:val="0"/>
          <w:rtl/>
          <w:lang w:eastAsia="en-US"/>
        </w:rPr>
        <w:t>، وأن فيها مصلحة</w:t>
      </w:r>
      <w:r w:rsidR="00B0560B">
        <w:rPr>
          <w:rFonts w:ascii="Traditional Arabic" w:hAnsi="Traditional Arabic" w:hint="cs"/>
          <w:noProof w:val="0"/>
          <w:rtl/>
          <w:lang w:eastAsia="en-US"/>
        </w:rPr>
        <w:t>ً</w:t>
      </w:r>
      <w:r w:rsidRPr="009E2649">
        <w:rPr>
          <w:rFonts w:ascii="Traditional Arabic" w:hAnsi="Traditional Arabic"/>
          <w:noProof w:val="0"/>
          <w:rtl/>
          <w:lang w:eastAsia="en-US"/>
        </w:rPr>
        <w:t xml:space="preserve"> ت</w:t>
      </w:r>
      <w:r>
        <w:rPr>
          <w:rFonts w:ascii="Traditional Arabic" w:hAnsi="Traditional Arabic" w:hint="cs"/>
          <w:noProof w:val="0"/>
          <w:rtl/>
          <w:lang w:eastAsia="en-US"/>
        </w:rPr>
        <w:t>َ</w:t>
      </w:r>
      <w:r w:rsidRPr="009E2649">
        <w:rPr>
          <w:rFonts w:ascii="Traditional Arabic" w:hAnsi="Traditional Arabic"/>
          <w:noProof w:val="0"/>
          <w:rtl/>
          <w:lang w:eastAsia="en-US"/>
        </w:rPr>
        <w:t>ر</w:t>
      </w:r>
      <w:r>
        <w:rPr>
          <w:rFonts w:ascii="Traditional Arabic" w:hAnsi="Traditional Arabic" w:hint="cs"/>
          <w:noProof w:val="0"/>
          <w:rtl/>
          <w:lang w:eastAsia="en-US"/>
        </w:rPr>
        <w:t>ْ</w:t>
      </w:r>
      <w:r w:rsidRPr="009E2649">
        <w:rPr>
          <w:rFonts w:ascii="Traditional Arabic" w:hAnsi="Traditional Arabic"/>
          <w:noProof w:val="0"/>
          <w:rtl/>
          <w:lang w:eastAsia="en-US"/>
        </w:rPr>
        <w:t>ب</w:t>
      </w:r>
      <w:r>
        <w:rPr>
          <w:rFonts w:ascii="Traditional Arabic" w:hAnsi="Traditional Arabic" w:hint="cs"/>
          <w:noProof w:val="0"/>
          <w:rtl/>
          <w:lang w:eastAsia="en-US"/>
        </w:rPr>
        <w:t>ُ</w:t>
      </w:r>
      <w:r w:rsidRPr="009E2649">
        <w:rPr>
          <w:rFonts w:ascii="Traditional Arabic" w:hAnsi="Traditional Arabic"/>
          <w:noProof w:val="0"/>
          <w:rtl/>
          <w:lang w:eastAsia="en-US"/>
        </w:rPr>
        <w:t>و على مفسدتها، والمصلحة هي</w:t>
      </w:r>
      <w:r w:rsidR="00E87217">
        <w:rPr>
          <w:rFonts w:ascii="Traditional Arabic" w:hAnsi="Traditional Arabic" w:hint="cs"/>
          <w:noProof w:val="0"/>
          <w:rtl/>
          <w:lang w:eastAsia="en-US"/>
        </w:rPr>
        <w:t xml:space="preserve"> </w:t>
      </w:r>
      <w:r w:rsidRPr="009E2649">
        <w:rPr>
          <w:rFonts w:ascii="Traditional Arabic" w:hAnsi="Traditional Arabic"/>
          <w:noProof w:val="0"/>
          <w:rtl/>
          <w:lang w:eastAsia="en-US"/>
        </w:rPr>
        <w:t>التمر</w:t>
      </w:r>
      <w:r>
        <w:rPr>
          <w:rFonts w:ascii="Traditional Arabic" w:hAnsi="Traditional Arabic" w:hint="cs"/>
          <w:noProof w:val="0"/>
          <w:rtl/>
          <w:lang w:eastAsia="en-US"/>
        </w:rPr>
        <w:t>ُّ</w:t>
      </w:r>
      <w:r w:rsidRPr="009E2649">
        <w:rPr>
          <w:rFonts w:ascii="Traditional Arabic" w:hAnsi="Traditional Arabic"/>
          <w:noProof w:val="0"/>
          <w:rtl/>
          <w:lang w:eastAsia="en-US"/>
        </w:rPr>
        <w:t>ن على آلات القتال</w:t>
      </w:r>
      <w:r>
        <w:rPr>
          <w:rFonts w:ascii="Traditional Arabic" w:hAnsi="Traditional Arabic" w:hint="cs"/>
          <w:noProof w:val="0"/>
          <w:rtl/>
          <w:lang w:eastAsia="en-US"/>
        </w:rPr>
        <w:t xml:space="preserve"> مما يُحتاج إليه في الجهاد في سبيل الله</w:t>
      </w:r>
      <w:r w:rsidRPr="009E2649">
        <w:rPr>
          <w:rFonts w:ascii="Traditional Arabic" w:hAnsi="Traditional Arabic"/>
          <w:noProof w:val="0"/>
          <w:rtl/>
          <w:lang w:eastAsia="en-US"/>
        </w:rPr>
        <w:t>، وهذه مصلحة كبيرة وعظيمة تنغم</w:t>
      </w:r>
      <w:r w:rsidR="00E87217">
        <w:rPr>
          <w:rFonts w:ascii="Traditional Arabic" w:hAnsi="Traditional Arabic" w:hint="cs"/>
          <w:noProof w:val="0"/>
          <w:rtl/>
          <w:lang w:eastAsia="en-US"/>
        </w:rPr>
        <w:t>ِ</w:t>
      </w:r>
      <w:r w:rsidRPr="009E2649">
        <w:rPr>
          <w:rFonts w:ascii="Traditional Arabic" w:hAnsi="Traditional Arabic"/>
          <w:noProof w:val="0"/>
          <w:rtl/>
          <w:lang w:eastAsia="en-US"/>
        </w:rPr>
        <w:t>ر فيها المفسدة التي تحصل بالميسر، والشرع كل</w:t>
      </w:r>
      <w:r w:rsidR="00E87217">
        <w:rPr>
          <w:rFonts w:ascii="Traditional Arabic" w:hAnsi="Traditional Arabic" w:hint="cs"/>
          <w:noProof w:val="0"/>
          <w:rtl/>
          <w:lang w:eastAsia="en-US"/>
        </w:rPr>
        <w:t>ُّ</w:t>
      </w:r>
      <w:r w:rsidRPr="009E2649">
        <w:rPr>
          <w:rFonts w:ascii="Traditional Arabic" w:hAnsi="Traditional Arabic"/>
          <w:noProof w:val="0"/>
          <w:rtl/>
          <w:lang w:eastAsia="en-US"/>
        </w:rPr>
        <w:t>ه مصالح</w:t>
      </w:r>
      <w:r w:rsidR="00E87217">
        <w:rPr>
          <w:rFonts w:ascii="Traditional Arabic" w:hAnsi="Traditional Arabic" w:hint="cs"/>
          <w:noProof w:val="0"/>
          <w:rtl/>
          <w:lang w:eastAsia="en-US"/>
        </w:rPr>
        <w:t>ُ</w:t>
      </w:r>
      <w:r w:rsidRPr="009E2649">
        <w:rPr>
          <w:rFonts w:ascii="Traditional Arabic" w:hAnsi="Traditional Arabic"/>
          <w:noProof w:val="0"/>
          <w:rtl/>
          <w:lang w:eastAsia="en-US"/>
        </w:rPr>
        <w:t xml:space="preserve">، إما غالبة وإما </w:t>
      </w:r>
      <w:r>
        <w:rPr>
          <w:rFonts w:ascii="Traditional Arabic" w:hAnsi="Traditional Arabic" w:hint="cs"/>
          <w:noProof w:val="0"/>
          <w:rtl/>
          <w:lang w:eastAsia="en-US"/>
        </w:rPr>
        <w:t>خالصة</w:t>
      </w:r>
      <w:r w:rsidRPr="00C821A1">
        <w:rPr>
          <w:rStyle w:val="af1"/>
          <w:szCs w:val="32"/>
          <w:rtl/>
        </w:rPr>
        <w:t>(</w:t>
      </w:r>
      <w:r w:rsidRPr="00C821A1">
        <w:rPr>
          <w:rStyle w:val="af1"/>
          <w:szCs w:val="32"/>
          <w:rtl/>
        </w:rPr>
        <w:footnoteReference w:id="292"/>
      </w:r>
      <w:r w:rsidRPr="00C821A1">
        <w:rPr>
          <w:rStyle w:val="af1"/>
          <w:szCs w:val="32"/>
          <w:rtl/>
        </w:rPr>
        <w:t>)</w:t>
      </w:r>
      <w:r w:rsidRPr="009E2649">
        <w:rPr>
          <w:rFonts w:ascii="Traditional Arabic" w:hAnsi="Traditional Arabic"/>
          <w:noProof w:val="0"/>
          <w:rtl/>
          <w:lang w:eastAsia="en-US"/>
        </w:rPr>
        <w:t>.</w:t>
      </w:r>
    </w:p>
    <w:p w:rsidR="000C501F" w:rsidRDefault="00065E4B" w:rsidP="00597C20">
      <w:pPr>
        <w:pStyle w:val="53"/>
        <w:rPr>
          <w:rtl/>
        </w:rPr>
      </w:pPr>
      <w:r>
        <w:rPr>
          <w:rFonts w:hint="cs"/>
          <w:rtl/>
        </w:rPr>
        <w:lastRenderedPageBreak/>
        <w:t>و</w:t>
      </w:r>
      <w:r w:rsidR="000C501F">
        <w:rPr>
          <w:rFonts w:hint="cs"/>
          <w:rtl/>
        </w:rPr>
        <w:t>جه اندراج الفرع تحت القاعدة:</w:t>
      </w:r>
    </w:p>
    <w:p w:rsidR="000C501F" w:rsidRDefault="00E87217"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0C501F">
        <w:rPr>
          <w:rFonts w:ascii="Traditional Arabic" w:hAnsi="Traditional Arabic" w:hint="cs"/>
          <w:noProof w:val="0"/>
          <w:color w:val="auto"/>
          <w:rtl/>
          <w:lang w:eastAsia="en-US"/>
        </w:rPr>
        <w:t xml:space="preserve">نه </w:t>
      </w:r>
      <w:r>
        <w:rPr>
          <w:rFonts w:ascii="Traditional Arabic" w:hAnsi="Traditional Arabic" w:hint="cs"/>
          <w:noProof w:val="0"/>
          <w:color w:val="auto"/>
          <w:rtl/>
          <w:lang w:eastAsia="en-US"/>
        </w:rPr>
        <w:t xml:space="preserve">لما </w:t>
      </w:r>
      <w:r w:rsidR="000C501F">
        <w:rPr>
          <w:rFonts w:ascii="Traditional Arabic" w:hAnsi="Traditional Arabic" w:hint="cs"/>
          <w:noProof w:val="0"/>
          <w:color w:val="auto"/>
          <w:rtl/>
          <w:lang w:eastAsia="en-US"/>
        </w:rPr>
        <w:t>تعارضت مصلحة إباحة المسابقة في هذه الثلاث مع مفسدة الميسر، ولما كانت المصلحة في ذلك أرجح من المفسدة قدِّمت المصلحة،؛ لأن القاعدة عند تعارض المصلحة والمفسدة أن يقدَّم أرجحهما.</w:t>
      </w:r>
    </w:p>
    <w:p w:rsidR="00F228A9" w:rsidRPr="00C85F0F" w:rsidRDefault="00690470" w:rsidP="000F5C0F">
      <w:pPr>
        <w:pStyle w:val="aff2"/>
        <w:rPr>
          <w:rtl/>
        </w:rPr>
      </w:pPr>
      <w:bookmarkStart w:id="63" w:name="_Toc334046318"/>
      <w:r>
        <w:rPr>
          <w:rFonts w:hint="cs"/>
          <w:rtl/>
        </w:rPr>
        <w:lastRenderedPageBreak/>
        <w:t>المبحث الثالث</w:t>
      </w:r>
      <w:r w:rsidR="00F228A9">
        <w:rPr>
          <w:rFonts w:hint="eastAsia"/>
          <w:rtl/>
        </w:rPr>
        <w:t> :</w:t>
      </w:r>
      <w:r w:rsidR="00F228A9">
        <w:rPr>
          <w:rFonts w:hint="cs"/>
          <w:rtl/>
        </w:rPr>
        <w:br/>
        <w:t>قاعدة</w:t>
      </w:r>
      <w:r w:rsidR="00F228A9">
        <w:rPr>
          <w:rtl/>
        </w:rPr>
        <w:br/>
      </w:r>
      <w:r w:rsidR="002C1C02">
        <w:rPr>
          <w:rFonts w:hint="cs"/>
          <w:rtl/>
        </w:rPr>
        <w:t>"درء</w:t>
      </w:r>
      <w:r w:rsidR="00592393">
        <w:rPr>
          <w:rFonts w:hint="cs"/>
          <w:rtl/>
        </w:rPr>
        <w:t xml:space="preserve"> المفاسد أولى</w:t>
      </w:r>
      <w:r>
        <w:rPr>
          <w:rFonts w:hint="cs"/>
          <w:rtl/>
        </w:rPr>
        <w:t xml:space="preserve"> من</w:t>
      </w:r>
      <w:r w:rsidR="00F228A9">
        <w:rPr>
          <w:rFonts w:hint="cs"/>
          <w:rtl/>
        </w:rPr>
        <w:t xml:space="preserve"> جلب المصالح</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درءالمفاسدأولىمنجلبالمصالح</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F228A9" w:rsidRPr="00C85F0F">
        <w:rPr>
          <w:rFonts w:hint="cs"/>
          <w:rtl/>
        </w:rPr>
        <w:t>"</w:t>
      </w:r>
      <w:r w:rsidR="00F228A9" w:rsidRPr="00C85F0F">
        <w:rPr>
          <w:rStyle w:val="af1"/>
          <w:b w:val="0"/>
          <w:bCs w:val="0"/>
          <w:szCs w:val="32"/>
          <w:rtl/>
        </w:rPr>
        <w:t>(</w:t>
      </w:r>
      <w:r w:rsidR="00F228A9" w:rsidRPr="00C85F0F">
        <w:rPr>
          <w:rStyle w:val="af1"/>
          <w:b w:val="0"/>
          <w:bCs w:val="0"/>
          <w:szCs w:val="32"/>
          <w:rtl/>
        </w:rPr>
        <w:footnoteReference w:id="293"/>
      </w:r>
      <w:r w:rsidR="00F228A9" w:rsidRPr="00C85F0F">
        <w:rPr>
          <w:rStyle w:val="af1"/>
          <w:b w:val="0"/>
          <w:bCs w:val="0"/>
          <w:szCs w:val="32"/>
          <w:rtl/>
        </w:rPr>
        <w:t>)</w:t>
      </w:r>
      <w:bookmarkEnd w:id="63"/>
    </w:p>
    <w:p w:rsidR="00065E4B" w:rsidRPr="00C85F0F" w:rsidRDefault="00AB6BD0" w:rsidP="00A8347C">
      <w:pPr>
        <w:pStyle w:val="aff3"/>
        <w:rPr>
          <w:rtl/>
        </w:rPr>
      </w:pPr>
      <w:bookmarkStart w:id="64" w:name="_Toc334046319"/>
      <w:r>
        <w:rPr>
          <w:rFonts w:hint="cs"/>
          <w:rtl/>
        </w:rPr>
        <w:t xml:space="preserve">                  </w:t>
      </w:r>
      <w:r w:rsidR="00BE3E18">
        <w:rPr>
          <w:rFonts w:hint="cs"/>
          <w:rtl/>
        </w:rPr>
        <w:t xml:space="preserve">                       </w:t>
      </w:r>
      <w:r w:rsidR="00310588" w:rsidRPr="00C85F0F">
        <w:rPr>
          <w:rFonts w:hint="cs"/>
          <w:rtl/>
        </w:rPr>
        <w:t>المطلب الأول</w:t>
      </w:r>
      <w:r w:rsidR="00310588" w:rsidRPr="00C85F0F">
        <w:rPr>
          <w:rFonts w:hint="eastAsia"/>
          <w:rtl/>
        </w:rPr>
        <w:t> :</w:t>
      </w:r>
      <w:r w:rsidR="00310588" w:rsidRPr="00C85F0F">
        <w:rPr>
          <w:rFonts w:hint="cs"/>
          <w:rtl/>
        </w:rPr>
        <w:br/>
      </w:r>
      <w:r>
        <w:rPr>
          <w:rFonts w:hint="cs"/>
          <w:rtl/>
        </w:rPr>
        <w:t xml:space="preserve">              </w:t>
      </w:r>
      <w:r w:rsidR="00BE3E18">
        <w:rPr>
          <w:rFonts w:hint="cs"/>
          <w:rtl/>
        </w:rPr>
        <w:t xml:space="preserve">         </w:t>
      </w:r>
      <w:r w:rsidR="00310588" w:rsidRPr="00C85F0F">
        <w:rPr>
          <w:rFonts w:hint="cs"/>
          <w:rtl/>
        </w:rPr>
        <w:t>صيغ القاعدة عند الشيخ وعند علماء القواعد</w:t>
      </w:r>
      <w:bookmarkEnd w:id="64"/>
    </w:p>
    <w:p w:rsidR="00310588" w:rsidRPr="00C85F0F" w:rsidRDefault="00592393" w:rsidP="00597C20">
      <w:pPr>
        <w:ind w:firstLine="0"/>
        <w:rPr>
          <w:rtl/>
        </w:rPr>
      </w:pPr>
      <w:r>
        <w:rPr>
          <w:rFonts w:hint="cs"/>
          <w:rtl/>
        </w:rPr>
        <w:t>وردت</w:t>
      </w:r>
      <w:r w:rsidR="00310588" w:rsidRPr="00C85F0F">
        <w:rPr>
          <w:rFonts w:hint="cs"/>
          <w:rtl/>
        </w:rPr>
        <w:t xml:space="preserve"> هذه القاعدة عند الشيخ ابن عثيمين </w:t>
      </w:r>
      <w:r>
        <w:rPr>
          <w:rFonts w:hint="cs"/>
          <w:rtl/>
        </w:rPr>
        <w:t>_</w:t>
      </w:r>
      <w:r w:rsidR="009A0575" w:rsidRPr="005D5694">
        <w:rPr>
          <w:rFonts w:ascii="Traditional Arabic" w:hAnsi="Traditional Arabic" w:cs="CTraditional Arabic" w:hint="cs"/>
          <w:rtl/>
        </w:rPr>
        <w:t>/</w:t>
      </w:r>
      <w:r>
        <w:rPr>
          <w:rFonts w:hint="cs"/>
          <w:rtl/>
        </w:rPr>
        <w:t xml:space="preserve">- بعدة </w:t>
      </w:r>
      <w:r w:rsidR="00310588" w:rsidRPr="00C85F0F">
        <w:rPr>
          <w:rFonts w:hint="cs"/>
          <w:rtl/>
        </w:rPr>
        <w:t>صيغ</w:t>
      </w:r>
      <w:r>
        <w:rPr>
          <w:rFonts w:hint="cs"/>
          <w:rtl/>
        </w:rPr>
        <w:t>، منها</w:t>
      </w:r>
      <w:r w:rsidR="00310588" w:rsidRPr="00C85F0F">
        <w:rPr>
          <w:rFonts w:hint="cs"/>
          <w:rtl/>
        </w:rPr>
        <w:t>:</w:t>
      </w:r>
    </w:p>
    <w:p w:rsidR="00310588" w:rsidRPr="00C85F0F" w:rsidRDefault="00310588" w:rsidP="000A76C7">
      <w:pPr>
        <w:numPr>
          <w:ilvl w:val="0"/>
          <w:numId w:val="57"/>
        </w:numPr>
        <w:rPr>
          <w:color w:val="auto"/>
        </w:rPr>
      </w:pP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المفاسد مقد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 على ج</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 المصالح</w:t>
      </w:r>
      <w:r w:rsidRPr="00C85F0F">
        <w:rPr>
          <w:rStyle w:val="af1"/>
          <w:szCs w:val="32"/>
          <w:rtl/>
        </w:rPr>
        <w:t>(</w:t>
      </w:r>
      <w:r w:rsidRPr="00C85F0F">
        <w:rPr>
          <w:rStyle w:val="af1"/>
          <w:szCs w:val="32"/>
          <w:rtl/>
        </w:rPr>
        <w:footnoteReference w:id="294"/>
      </w:r>
      <w:r w:rsidRPr="00C85F0F">
        <w:rPr>
          <w:rStyle w:val="af1"/>
          <w:szCs w:val="32"/>
          <w:rtl/>
        </w:rPr>
        <w:t>)</w:t>
      </w:r>
      <w:r w:rsidRPr="00C85F0F">
        <w:rPr>
          <w:rFonts w:hint="cs"/>
          <w:color w:val="auto"/>
          <w:rtl/>
        </w:rPr>
        <w:t>.</w:t>
      </w:r>
    </w:p>
    <w:p w:rsidR="00310588" w:rsidRPr="00C85F0F" w:rsidRDefault="00310588" w:rsidP="000A76C7">
      <w:pPr>
        <w:numPr>
          <w:ilvl w:val="0"/>
          <w:numId w:val="57"/>
        </w:numPr>
        <w:rPr>
          <w:color w:val="auto"/>
        </w:rPr>
      </w:pPr>
      <w:r w:rsidRPr="00C85F0F">
        <w:rPr>
          <w:rFonts w:ascii="Traditional Arabic" w:hAnsi="Traditional Arabic"/>
          <w:noProof w:val="0"/>
          <w:color w:val="auto"/>
          <w:rtl/>
          <w:lang w:eastAsia="en-US"/>
        </w:rPr>
        <w:t>درء المفاسد أولى من جلب المصالح</w:t>
      </w:r>
      <w:r w:rsidRPr="00C85F0F">
        <w:rPr>
          <w:rStyle w:val="af1"/>
          <w:szCs w:val="32"/>
          <w:rtl/>
        </w:rPr>
        <w:t>(</w:t>
      </w:r>
      <w:r w:rsidRPr="00C85F0F">
        <w:rPr>
          <w:rStyle w:val="af1"/>
          <w:szCs w:val="32"/>
          <w:rtl/>
        </w:rPr>
        <w:footnoteReference w:id="295"/>
      </w:r>
      <w:r w:rsidRPr="00C85F0F">
        <w:rPr>
          <w:rStyle w:val="af1"/>
          <w:szCs w:val="32"/>
          <w:rtl/>
        </w:rPr>
        <w:t>)</w:t>
      </w:r>
      <w:r w:rsidRPr="00C85F0F">
        <w:rPr>
          <w:rFonts w:hint="cs"/>
          <w:color w:val="auto"/>
          <w:rtl/>
        </w:rPr>
        <w:t>.</w:t>
      </w:r>
    </w:p>
    <w:p w:rsidR="00310588" w:rsidRPr="00C85F0F" w:rsidRDefault="00310588" w:rsidP="000A76C7">
      <w:pPr>
        <w:pStyle w:val="afc"/>
        <w:widowControl/>
        <w:numPr>
          <w:ilvl w:val="0"/>
          <w:numId w:val="57"/>
        </w:numPr>
        <w:autoSpaceDE w:val="0"/>
        <w:autoSpaceDN w:val="0"/>
        <w:adjustRightInd w:val="0"/>
        <w:jc w:val="left"/>
        <w:rPr>
          <w:rFonts w:ascii="Traditional Arabic" w:hAnsi="Traditional Arabic"/>
          <w:noProof w:val="0"/>
          <w:lang w:eastAsia="en-US"/>
        </w:rPr>
      </w:pPr>
      <w:r w:rsidRPr="00C85F0F">
        <w:rPr>
          <w:rFonts w:hint="cs"/>
          <w:color w:val="auto"/>
          <w:rtl/>
        </w:rPr>
        <w:t xml:space="preserve">إذا </w:t>
      </w:r>
      <w:r w:rsidRPr="00C85F0F">
        <w:rPr>
          <w:rFonts w:ascii="Traditional Arabic" w:hAnsi="Traditional Arabic"/>
          <w:noProof w:val="0"/>
          <w:rtl/>
          <w:lang w:eastAsia="en-US"/>
        </w:rPr>
        <w:t>تعارضت</w:t>
      </w:r>
      <w:r w:rsidR="00C60EF0">
        <w:rPr>
          <w:rFonts w:ascii="Traditional Arabic" w:hAnsi="Traditional Arabic" w:hint="cs"/>
          <w:noProof w:val="0"/>
          <w:rtl/>
          <w:lang w:eastAsia="en-US"/>
        </w:rPr>
        <w:t xml:space="preserve"> </w:t>
      </w:r>
      <w:r w:rsidRPr="00C85F0F">
        <w:rPr>
          <w:rFonts w:ascii="Traditional Arabic" w:hAnsi="Traditional Arabic"/>
          <w:noProof w:val="0"/>
          <w:rtl/>
          <w:lang w:eastAsia="en-US"/>
        </w:rPr>
        <w:t>المصالح والمفاسد مع التساوي، أو مع ترج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 المفاسد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 </w:t>
      </w:r>
      <w:r w:rsidRPr="00C85F0F">
        <w:rPr>
          <w:rFonts w:ascii="Traditional Arabic" w:hAnsi="Traditional Arabic"/>
          <w:noProof w:val="0"/>
          <w:color w:val="auto"/>
          <w:rtl/>
          <w:lang w:eastAsia="en-US"/>
        </w:rPr>
        <w:t xml:space="preserve">درء </w:t>
      </w:r>
      <w:r w:rsidRPr="00C85F0F">
        <w:rPr>
          <w:rFonts w:ascii="Traditional Arabic" w:hAnsi="Traditional Arabic"/>
          <w:noProof w:val="0"/>
          <w:rtl/>
          <w:lang w:eastAsia="en-US"/>
        </w:rPr>
        <w:t>المفسدة أولى</w:t>
      </w:r>
      <w:r w:rsidR="00592393">
        <w:rPr>
          <w:rFonts w:ascii="Traditional Arabic" w:hAnsi="Traditional Arabic" w:hint="cs"/>
          <w:noProof w:val="0"/>
          <w:rtl/>
          <w:lang w:eastAsia="en-US"/>
        </w:rPr>
        <w:t xml:space="preserve"> </w:t>
      </w:r>
      <w:r w:rsidRPr="00C85F0F">
        <w:rPr>
          <w:rFonts w:ascii="Traditional Arabic" w:hAnsi="Traditional Arabic"/>
          <w:noProof w:val="0"/>
          <w:rtl/>
          <w:lang w:eastAsia="en-US"/>
        </w:rPr>
        <w:t>من جلب المصلحة</w:t>
      </w:r>
      <w:r w:rsidRPr="00C85F0F">
        <w:rPr>
          <w:rStyle w:val="af1"/>
          <w:szCs w:val="32"/>
          <w:rtl/>
        </w:rPr>
        <w:t>(</w:t>
      </w:r>
      <w:r w:rsidRPr="00C85F0F">
        <w:rPr>
          <w:rStyle w:val="af1"/>
          <w:szCs w:val="32"/>
          <w:rtl/>
        </w:rPr>
        <w:footnoteReference w:id="296"/>
      </w:r>
      <w:r w:rsidRPr="00C85F0F">
        <w:rPr>
          <w:rStyle w:val="af1"/>
          <w:szCs w:val="32"/>
          <w:rtl/>
        </w:rPr>
        <w:t>)</w:t>
      </w:r>
      <w:r w:rsidRPr="00C85F0F">
        <w:rPr>
          <w:rFonts w:ascii="Traditional Arabic" w:hAnsi="Traditional Arabic" w:hint="cs"/>
          <w:noProof w:val="0"/>
          <w:rtl/>
          <w:lang w:eastAsia="en-US"/>
        </w:rPr>
        <w:t>.</w:t>
      </w:r>
    </w:p>
    <w:p w:rsidR="00065E4B" w:rsidRPr="00C85F0F" w:rsidRDefault="00310588" w:rsidP="000A76C7">
      <w:pPr>
        <w:pStyle w:val="afc"/>
        <w:widowControl/>
        <w:numPr>
          <w:ilvl w:val="0"/>
          <w:numId w:val="57"/>
        </w:numPr>
        <w:autoSpaceDE w:val="0"/>
        <w:autoSpaceDN w:val="0"/>
        <w:adjustRightInd w:val="0"/>
        <w:jc w:val="left"/>
        <w:rPr>
          <w:rFonts w:ascii="Traditional Arabic" w:hAnsi="Traditional Arabic"/>
          <w:noProof w:val="0"/>
          <w:lang w:eastAsia="en-US"/>
        </w:rPr>
      </w:pPr>
      <w:r w:rsidRPr="00C85F0F">
        <w:rPr>
          <w:rFonts w:hint="cs"/>
          <w:color w:val="auto"/>
          <w:rtl/>
        </w:rPr>
        <w:t>دَفْع المفسدة مقدَّم على جلب المصلحة</w:t>
      </w:r>
      <w:r w:rsidRPr="00C85F0F">
        <w:rPr>
          <w:rStyle w:val="af1"/>
          <w:szCs w:val="32"/>
          <w:rtl/>
        </w:rPr>
        <w:t>(</w:t>
      </w:r>
      <w:r w:rsidRPr="00C85F0F">
        <w:rPr>
          <w:rStyle w:val="af1"/>
          <w:szCs w:val="32"/>
          <w:rtl/>
        </w:rPr>
        <w:footnoteReference w:id="297"/>
      </w:r>
      <w:r w:rsidRPr="00C85F0F">
        <w:rPr>
          <w:rStyle w:val="af1"/>
          <w:szCs w:val="32"/>
          <w:rtl/>
        </w:rPr>
        <w:t>)</w:t>
      </w:r>
      <w:r w:rsidRPr="00C85F0F">
        <w:rPr>
          <w:rFonts w:hint="cs"/>
          <w:color w:val="auto"/>
          <w:rtl/>
        </w:rPr>
        <w:t>.</w:t>
      </w:r>
    </w:p>
    <w:p w:rsidR="00310588" w:rsidRPr="00C85F0F" w:rsidRDefault="00065E4B" w:rsidP="00597C20">
      <w:pPr>
        <w:ind w:firstLine="0"/>
        <w:rPr>
          <w:color w:val="auto"/>
          <w:rtl/>
        </w:rPr>
      </w:pPr>
      <w:r w:rsidRPr="00C85F0F">
        <w:rPr>
          <w:rFonts w:hint="cs"/>
          <w:color w:val="auto"/>
          <w:rtl/>
        </w:rPr>
        <w:t>و</w:t>
      </w:r>
      <w:r w:rsidR="00310588" w:rsidRPr="00C85F0F">
        <w:rPr>
          <w:rFonts w:hint="cs"/>
          <w:color w:val="auto"/>
          <w:rtl/>
        </w:rPr>
        <w:t>وردت هذه القاعدة عند علماء القواعد بعدة صيغ، منها:</w:t>
      </w:r>
    </w:p>
    <w:p w:rsidR="00310588" w:rsidRPr="00C85F0F" w:rsidRDefault="00310588" w:rsidP="000A76C7">
      <w:pPr>
        <w:numPr>
          <w:ilvl w:val="0"/>
          <w:numId w:val="58"/>
        </w:numPr>
        <w:rPr>
          <w:color w:val="auto"/>
        </w:rPr>
      </w:pPr>
      <w:r w:rsidRPr="00C85F0F">
        <w:rPr>
          <w:rFonts w:hint="cs"/>
          <w:color w:val="auto"/>
          <w:rtl/>
        </w:rPr>
        <w:t>دفع الضرر أولى من جلب النفع</w:t>
      </w:r>
      <w:r w:rsidRPr="00C85F0F">
        <w:rPr>
          <w:rStyle w:val="af1"/>
          <w:szCs w:val="32"/>
          <w:rtl/>
        </w:rPr>
        <w:t>(</w:t>
      </w:r>
      <w:r w:rsidRPr="00C85F0F">
        <w:rPr>
          <w:rStyle w:val="af1"/>
          <w:szCs w:val="32"/>
          <w:rtl/>
        </w:rPr>
        <w:footnoteReference w:id="298"/>
      </w:r>
      <w:r w:rsidRPr="00C85F0F">
        <w:rPr>
          <w:rStyle w:val="af1"/>
          <w:szCs w:val="32"/>
          <w:rtl/>
        </w:rPr>
        <w:t>)</w:t>
      </w:r>
      <w:r w:rsidRPr="00C85F0F">
        <w:rPr>
          <w:rFonts w:hint="cs"/>
          <w:color w:val="auto"/>
          <w:rtl/>
        </w:rPr>
        <w:t>.</w:t>
      </w:r>
    </w:p>
    <w:p w:rsidR="00F228A9" w:rsidRPr="00C85F0F" w:rsidRDefault="00310588" w:rsidP="000A76C7">
      <w:pPr>
        <w:numPr>
          <w:ilvl w:val="0"/>
          <w:numId w:val="58"/>
        </w:numPr>
        <w:rPr>
          <w:color w:val="auto"/>
        </w:rPr>
      </w:pPr>
      <w:r w:rsidRPr="00C85F0F">
        <w:rPr>
          <w:rFonts w:hint="cs"/>
          <w:color w:val="auto"/>
          <w:rtl/>
        </w:rPr>
        <w:lastRenderedPageBreak/>
        <w:t>درء المفاسد أولى من جلب المصالح</w:t>
      </w:r>
      <w:r w:rsidRPr="00C85F0F">
        <w:rPr>
          <w:rStyle w:val="af1"/>
          <w:szCs w:val="32"/>
          <w:rtl/>
        </w:rPr>
        <w:t>(</w:t>
      </w:r>
      <w:r w:rsidRPr="00C85F0F">
        <w:rPr>
          <w:rStyle w:val="af1"/>
          <w:szCs w:val="32"/>
          <w:rtl/>
        </w:rPr>
        <w:footnoteReference w:id="299"/>
      </w:r>
      <w:r w:rsidRPr="00C85F0F">
        <w:rPr>
          <w:rStyle w:val="af1"/>
          <w:szCs w:val="32"/>
          <w:rtl/>
        </w:rPr>
        <w:t>)</w:t>
      </w:r>
      <w:r w:rsidRPr="00C85F0F">
        <w:rPr>
          <w:rFonts w:hint="cs"/>
          <w:color w:val="auto"/>
          <w:rtl/>
        </w:rPr>
        <w:t>.</w:t>
      </w:r>
    </w:p>
    <w:p w:rsidR="00F228A9" w:rsidRPr="00C85F0F" w:rsidRDefault="00F228A9" w:rsidP="000A76C7">
      <w:pPr>
        <w:pStyle w:val="afc"/>
        <w:numPr>
          <w:ilvl w:val="0"/>
          <w:numId w:val="58"/>
        </w:numPr>
        <w:rPr>
          <w:color w:val="auto"/>
          <w:rtl/>
        </w:rPr>
      </w:pPr>
      <w:r w:rsidRPr="00C85F0F">
        <w:rPr>
          <w:rFonts w:hint="cs"/>
          <w:color w:val="auto"/>
          <w:rtl/>
        </w:rPr>
        <w:t>عناية الشرع بِدرء المفاسد أشدُّ من عنايته بجلب المصالح</w:t>
      </w:r>
      <w:r w:rsidRPr="00C85F0F">
        <w:rPr>
          <w:rStyle w:val="af1"/>
          <w:szCs w:val="32"/>
          <w:rtl/>
        </w:rPr>
        <w:t>(</w:t>
      </w:r>
      <w:r w:rsidRPr="00C85F0F">
        <w:rPr>
          <w:rStyle w:val="af1"/>
          <w:szCs w:val="32"/>
          <w:rtl/>
        </w:rPr>
        <w:footnoteReference w:id="300"/>
      </w:r>
      <w:r w:rsidRPr="00C85F0F">
        <w:rPr>
          <w:rStyle w:val="af1"/>
          <w:szCs w:val="32"/>
          <w:rtl/>
        </w:rPr>
        <w:t>)</w:t>
      </w:r>
      <w:r w:rsidRPr="00C85F0F">
        <w:rPr>
          <w:rFonts w:hint="cs"/>
          <w:color w:val="auto"/>
          <w:rtl/>
        </w:rPr>
        <w:t>.</w:t>
      </w:r>
    </w:p>
    <w:p w:rsidR="00310588" w:rsidRPr="00C85F0F" w:rsidRDefault="00310588" w:rsidP="000A76C7">
      <w:pPr>
        <w:numPr>
          <w:ilvl w:val="0"/>
          <w:numId w:val="58"/>
        </w:numPr>
        <w:rPr>
          <w:color w:val="auto"/>
        </w:rPr>
      </w:pPr>
      <w:r w:rsidRPr="00C85F0F">
        <w:rPr>
          <w:rFonts w:hint="cs"/>
          <w:color w:val="auto"/>
          <w:rtl/>
        </w:rPr>
        <w:t xml:space="preserve">درء المفاسد مقدَّم على جلب المصالح </w:t>
      </w:r>
      <w:r w:rsidRPr="00C85F0F">
        <w:rPr>
          <w:rStyle w:val="af1"/>
          <w:szCs w:val="32"/>
          <w:rtl/>
        </w:rPr>
        <w:t>(</w:t>
      </w:r>
      <w:r w:rsidRPr="00C85F0F">
        <w:rPr>
          <w:rStyle w:val="af1"/>
          <w:szCs w:val="32"/>
          <w:rtl/>
        </w:rPr>
        <w:footnoteReference w:id="301"/>
      </w:r>
      <w:r w:rsidRPr="00C85F0F">
        <w:rPr>
          <w:rStyle w:val="af1"/>
          <w:szCs w:val="32"/>
          <w:rtl/>
        </w:rPr>
        <w:t>)</w:t>
      </w:r>
      <w:r w:rsidRPr="00C85F0F">
        <w:rPr>
          <w:rFonts w:hint="cs"/>
          <w:color w:val="auto"/>
          <w:rtl/>
        </w:rPr>
        <w:t>.</w:t>
      </w:r>
    </w:p>
    <w:p w:rsidR="00310588" w:rsidRPr="00C85F0F" w:rsidRDefault="00310588" w:rsidP="000A76C7">
      <w:pPr>
        <w:numPr>
          <w:ilvl w:val="0"/>
          <w:numId w:val="58"/>
        </w:numPr>
        <w:rPr>
          <w:color w:val="auto"/>
        </w:rPr>
      </w:pPr>
      <w:r w:rsidRPr="00C85F0F">
        <w:rPr>
          <w:rFonts w:hint="cs"/>
          <w:color w:val="auto"/>
          <w:rtl/>
        </w:rPr>
        <w:t>درء المفاسد أولى من جلب المنافع</w:t>
      </w:r>
      <w:r w:rsidRPr="00C85F0F">
        <w:rPr>
          <w:rStyle w:val="af1"/>
          <w:szCs w:val="32"/>
          <w:rtl/>
        </w:rPr>
        <w:t>(</w:t>
      </w:r>
      <w:r w:rsidRPr="00C85F0F">
        <w:rPr>
          <w:rStyle w:val="af1"/>
          <w:szCs w:val="32"/>
          <w:rtl/>
        </w:rPr>
        <w:footnoteReference w:id="302"/>
      </w:r>
      <w:r w:rsidRPr="00C85F0F">
        <w:rPr>
          <w:rStyle w:val="af1"/>
          <w:szCs w:val="32"/>
          <w:rtl/>
        </w:rPr>
        <w:t>)</w:t>
      </w:r>
      <w:r w:rsidRPr="00C85F0F">
        <w:rPr>
          <w:rFonts w:hint="cs"/>
          <w:color w:val="auto"/>
          <w:rtl/>
        </w:rPr>
        <w:t>.</w:t>
      </w:r>
    </w:p>
    <w:p w:rsidR="00065E4B" w:rsidRPr="00C85F0F" w:rsidRDefault="00AB6BD0" w:rsidP="00A8347C">
      <w:pPr>
        <w:pStyle w:val="aff3"/>
        <w:rPr>
          <w:rtl/>
        </w:rPr>
      </w:pPr>
      <w:bookmarkStart w:id="65" w:name="_Toc334046320"/>
      <w:r>
        <w:rPr>
          <w:rFonts w:hint="cs"/>
          <w:rtl/>
        </w:rPr>
        <w:t xml:space="preserve">                 </w:t>
      </w:r>
      <w:r w:rsidR="00BE3E18">
        <w:rPr>
          <w:rFonts w:hint="cs"/>
          <w:rtl/>
        </w:rPr>
        <w:t xml:space="preserve">                     </w:t>
      </w:r>
      <w:r w:rsidR="00310588" w:rsidRPr="00C85F0F">
        <w:rPr>
          <w:rFonts w:hint="cs"/>
          <w:rtl/>
        </w:rPr>
        <w:t>المطلب الثاني</w:t>
      </w:r>
      <w:r w:rsidR="00310588" w:rsidRPr="00C85F0F">
        <w:rPr>
          <w:rFonts w:hint="eastAsia"/>
          <w:rtl/>
        </w:rPr>
        <w:t> :</w:t>
      </w:r>
      <w:r w:rsidR="00310588" w:rsidRPr="00C85F0F">
        <w:rPr>
          <w:rtl/>
        </w:rPr>
        <w:br/>
      </w:r>
      <w:r>
        <w:rPr>
          <w:rFonts w:hint="cs"/>
          <w:rtl/>
        </w:rPr>
        <w:t xml:space="preserve">               </w:t>
      </w:r>
      <w:r w:rsidR="00BE3E18">
        <w:rPr>
          <w:rFonts w:hint="cs"/>
          <w:rtl/>
        </w:rPr>
        <w:t xml:space="preserve">                        </w:t>
      </w:r>
      <w:r w:rsidR="00310588" w:rsidRPr="00C85F0F">
        <w:rPr>
          <w:rFonts w:hint="cs"/>
          <w:rtl/>
        </w:rPr>
        <w:t>شرح القاعدة</w:t>
      </w:r>
      <w:bookmarkEnd w:id="65"/>
    </w:p>
    <w:p w:rsidR="006259DD" w:rsidRDefault="00065E4B" w:rsidP="000F5C0F">
      <w:pPr>
        <w:pStyle w:val="53"/>
        <w:rPr>
          <w:b w:val="0"/>
          <w:rtl/>
        </w:rPr>
      </w:pPr>
      <w:r w:rsidRPr="000F5C0F">
        <w:rPr>
          <w:rFonts w:hint="cs"/>
          <w:rtl/>
        </w:rPr>
        <w:t>ا</w:t>
      </w:r>
      <w:r w:rsidR="00310588" w:rsidRPr="000F5C0F">
        <w:rPr>
          <w:rFonts w:hint="cs"/>
          <w:rtl/>
        </w:rPr>
        <w:t>لدَّرْء</w:t>
      </w:r>
      <w:r w:rsidR="00AB0B9E" w:rsidRPr="000F5C0F">
        <w:fldChar w:fldCharType="begin"/>
      </w:r>
      <w:r w:rsidR="007F4BBF" w:rsidRPr="000F5C0F">
        <w:instrText>XE</w:instrText>
      </w:r>
      <w:r w:rsidR="007F4BBF" w:rsidRPr="000F5C0F">
        <w:rPr>
          <w:rtl/>
        </w:rPr>
        <w:instrText xml:space="preserve"> "</w:instrText>
      </w:r>
      <w:r w:rsidR="007F4BBF" w:rsidRPr="000F5C0F">
        <w:rPr>
          <w:rFonts w:hint="cs"/>
          <w:rtl/>
        </w:rPr>
        <w:instrText>الدَّرْء</w:instrText>
      </w:r>
      <w:r w:rsidR="007F4BBF" w:rsidRPr="000F5C0F">
        <w:rPr>
          <w:rtl/>
        </w:rPr>
        <w:instrText>" \</w:instrText>
      </w:r>
      <w:r w:rsidR="007F4BBF" w:rsidRPr="000F5C0F">
        <w:instrText>fm</w:instrText>
      </w:r>
      <w:r w:rsidR="00AB0B9E" w:rsidRPr="000F5C0F">
        <w:fldChar w:fldCharType="end"/>
      </w:r>
      <w:r w:rsidR="00310588">
        <w:rPr>
          <w:rFonts w:hint="cs"/>
          <w:b w:val="0"/>
          <w:rtl/>
        </w:rPr>
        <w:t xml:space="preserve"> لغة:</w:t>
      </w:r>
    </w:p>
    <w:p w:rsidR="00065E4B" w:rsidRDefault="00592393" w:rsidP="00B93718">
      <w:pPr>
        <w:ind w:firstLine="0"/>
        <w:rPr>
          <w:color w:val="auto"/>
          <w:rtl/>
        </w:rPr>
      </w:pPr>
      <w:r>
        <w:rPr>
          <w:rFonts w:hint="cs"/>
          <w:color w:val="auto"/>
          <w:rtl/>
        </w:rPr>
        <w:t xml:space="preserve">    </w:t>
      </w:r>
      <w:r w:rsidR="00310588">
        <w:rPr>
          <w:rFonts w:hint="cs"/>
          <w:color w:val="auto"/>
          <w:rtl/>
        </w:rPr>
        <w:t xml:space="preserve">يقول ابن فارس </w:t>
      </w:r>
      <w:r>
        <w:rPr>
          <w:rFonts w:hint="cs"/>
          <w:color w:val="auto"/>
          <w:rtl/>
        </w:rPr>
        <w:t>_</w:t>
      </w:r>
      <w:r w:rsidR="009A0575" w:rsidRPr="005D5694">
        <w:rPr>
          <w:rFonts w:ascii="Traditional Arabic" w:hAnsi="Traditional Arabic" w:cs="CTraditional Arabic" w:hint="cs"/>
          <w:rtl/>
        </w:rPr>
        <w:t>/</w:t>
      </w:r>
      <w:r>
        <w:rPr>
          <w:rFonts w:hint="cs"/>
          <w:color w:val="auto"/>
          <w:rtl/>
        </w:rPr>
        <w:t>_</w:t>
      </w:r>
      <w:r w:rsidR="00310588">
        <w:rPr>
          <w:rFonts w:hint="cs"/>
          <w:color w:val="auto"/>
          <w:rtl/>
        </w:rPr>
        <w:t>: (</w:t>
      </w:r>
      <w:r w:rsidR="00310588" w:rsidRPr="00266FAA">
        <w:rPr>
          <w:rFonts w:ascii="Traditional Arabic" w:hAnsi="Traditional Arabic"/>
          <w:noProof w:val="0"/>
          <w:rtl/>
          <w:lang w:eastAsia="en-US"/>
        </w:rPr>
        <w:t>الدال والراء والحرف المعتل والمهموز. أما الذي ليس بمهموز فأ</w:t>
      </w:r>
      <w:r w:rsidR="00310588">
        <w:rPr>
          <w:rFonts w:ascii="Traditional Arabic" w:hAnsi="Traditional Arabic"/>
          <w:noProof w:val="0"/>
          <w:rtl/>
          <w:lang w:eastAsia="en-US"/>
        </w:rPr>
        <w:t>صلا</w:t>
      </w:r>
      <w:r w:rsidR="00310588">
        <w:rPr>
          <w:rFonts w:ascii="Traditional Arabic" w:hAnsi="Traditional Arabic" w:hint="cs"/>
          <w:noProof w:val="0"/>
          <w:rtl/>
          <w:lang w:eastAsia="en-US"/>
        </w:rPr>
        <w:t>ن:</w:t>
      </w:r>
      <w:r w:rsidR="00B76414">
        <w:rPr>
          <w:rFonts w:ascii="Traditional Arabic" w:hAnsi="Traditional Arabic" w:hint="cs"/>
          <w:noProof w:val="0"/>
          <w:rtl/>
          <w:lang w:eastAsia="en-US"/>
        </w:rPr>
        <w:t>.</w:t>
      </w:r>
      <w:r w:rsidR="00310588">
        <w:rPr>
          <w:rFonts w:ascii="Traditional Arabic" w:hAnsi="Traditional Arabic" w:hint="cs"/>
          <w:noProof w:val="0"/>
          <w:rtl/>
          <w:lang w:eastAsia="en-US"/>
        </w:rPr>
        <w:t>..</w:t>
      </w:r>
      <w:r w:rsidR="00310588" w:rsidRPr="00266FAA">
        <w:rPr>
          <w:rFonts w:ascii="Traditional Arabic" w:hAnsi="Traditional Arabic"/>
          <w:noProof w:val="0"/>
          <w:rtl/>
          <w:lang w:eastAsia="en-US"/>
        </w:rPr>
        <w:t>وأما المهموز فأصل واحد، وهو د</w:t>
      </w:r>
      <w:r w:rsidR="00310588">
        <w:rPr>
          <w:rFonts w:ascii="Traditional Arabic" w:hAnsi="Traditional Arabic" w:hint="cs"/>
          <w:noProof w:val="0"/>
          <w:rtl/>
          <w:lang w:eastAsia="en-US"/>
        </w:rPr>
        <w:t>َ</w:t>
      </w:r>
      <w:r w:rsidR="00310588" w:rsidRPr="00266FAA">
        <w:rPr>
          <w:rFonts w:ascii="Traditional Arabic" w:hAnsi="Traditional Arabic"/>
          <w:noProof w:val="0"/>
          <w:rtl/>
          <w:lang w:eastAsia="en-US"/>
        </w:rPr>
        <w:t>ف</w:t>
      </w:r>
      <w:r w:rsidR="00310588">
        <w:rPr>
          <w:rFonts w:ascii="Traditional Arabic" w:hAnsi="Traditional Arabic" w:hint="cs"/>
          <w:noProof w:val="0"/>
          <w:rtl/>
          <w:lang w:eastAsia="en-US"/>
        </w:rPr>
        <w:t>ْ</w:t>
      </w:r>
      <w:r w:rsidR="00310588" w:rsidRPr="00266FAA">
        <w:rPr>
          <w:rFonts w:ascii="Traditional Arabic" w:hAnsi="Traditional Arabic"/>
          <w:noProof w:val="0"/>
          <w:rtl/>
          <w:lang w:eastAsia="en-US"/>
        </w:rPr>
        <w:t>ع</w:t>
      </w:r>
      <w:r w:rsidR="00310588">
        <w:rPr>
          <w:rFonts w:ascii="Traditional Arabic" w:hAnsi="Traditional Arabic" w:hint="cs"/>
          <w:noProof w:val="0"/>
          <w:rtl/>
          <w:lang w:eastAsia="en-US"/>
        </w:rPr>
        <w:t>ُ</w:t>
      </w:r>
      <w:r w:rsidR="00310588" w:rsidRPr="00266FAA">
        <w:rPr>
          <w:rFonts w:ascii="Traditional Arabic" w:hAnsi="Traditional Arabic"/>
          <w:noProof w:val="0"/>
          <w:rtl/>
          <w:lang w:eastAsia="en-US"/>
        </w:rPr>
        <w:t xml:space="preserve"> الشيء</w:t>
      </w:r>
      <w:r w:rsidR="00310588">
        <w:rPr>
          <w:rFonts w:ascii="Traditional Arabic" w:hAnsi="Traditional Arabic" w:hint="cs"/>
          <w:noProof w:val="0"/>
          <w:rtl/>
          <w:lang w:eastAsia="en-US"/>
        </w:rPr>
        <w:t>)</w:t>
      </w:r>
      <w:r w:rsidR="00310588" w:rsidRPr="00C821A1">
        <w:rPr>
          <w:rStyle w:val="af1"/>
          <w:szCs w:val="32"/>
          <w:rtl/>
        </w:rPr>
        <w:t>(</w:t>
      </w:r>
      <w:r w:rsidR="00310588" w:rsidRPr="00C821A1">
        <w:rPr>
          <w:rStyle w:val="af1"/>
          <w:szCs w:val="32"/>
          <w:rtl/>
        </w:rPr>
        <w:footnoteReference w:id="303"/>
      </w:r>
      <w:r w:rsidR="00310588" w:rsidRPr="00C821A1">
        <w:rPr>
          <w:rStyle w:val="af1"/>
          <w:szCs w:val="32"/>
          <w:rtl/>
        </w:rPr>
        <w:t>)</w:t>
      </w:r>
      <w:r w:rsidR="00310588" w:rsidRPr="00266FAA">
        <w:rPr>
          <w:rFonts w:ascii="Traditional Arabic" w:hAnsi="Traditional Arabic"/>
          <w:noProof w:val="0"/>
          <w:rtl/>
          <w:lang w:eastAsia="en-US"/>
        </w:rPr>
        <w:t>.</w:t>
      </w:r>
    </w:p>
    <w:p w:rsidR="00065E4B" w:rsidRDefault="00065E4B" w:rsidP="00597C20">
      <w:pPr>
        <w:widowControl/>
        <w:autoSpaceDE w:val="0"/>
        <w:autoSpaceDN w:val="0"/>
        <w:adjustRightInd w:val="0"/>
        <w:ind w:firstLine="0"/>
        <w:rPr>
          <w:rFonts w:ascii="Traditional Arabic" w:hAnsi="Traditional Arabic"/>
          <w:rtl/>
        </w:rPr>
      </w:pPr>
      <w:r>
        <w:rPr>
          <w:rFonts w:hint="cs"/>
          <w:b/>
          <w:bCs/>
          <w:color w:val="auto"/>
          <w:rtl/>
        </w:rPr>
        <w:t>ج</w:t>
      </w:r>
      <w:r w:rsidR="00310588">
        <w:rPr>
          <w:rFonts w:hint="cs"/>
          <w:b/>
          <w:bCs/>
          <w:color w:val="auto"/>
          <w:rtl/>
        </w:rPr>
        <w:t>َلْب</w:t>
      </w:r>
      <w:r w:rsidR="00AB0B9E">
        <w:rPr>
          <w:b/>
          <w:bCs/>
          <w:color w:val="auto"/>
          <w:rtl/>
        </w:rPr>
        <w:fldChar w:fldCharType="begin"/>
      </w:r>
      <w:r w:rsidR="007F4BBF" w:rsidRPr="00531753">
        <w:instrText>XE</w:instrText>
      </w:r>
      <w:r w:rsidR="007F4BBF" w:rsidRPr="00531753">
        <w:rPr>
          <w:rtl/>
        </w:rPr>
        <w:instrText xml:space="preserve"> "</w:instrText>
      </w:r>
      <w:r w:rsidR="007F4BBF" w:rsidRPr="00531753">
        <w:rPr>
          <w:rFonts w:hint="cs"/>
          <w:rtl/>
        </w:rPr>
        <w:instrText>ال</w:instrText>
      </w:r>
      <w:r w:rsidR="007F4BBF" w:rsidRPr="00531753">
        <w:rPr>
          <w:rFonts w:hint="cs"/>
          <w:color w:val="auto"/>
          <w:rtl/>
        </w:rPr>
        <w:instrText>جَلْب</w:instrText>
      </w:r>
      <w:r w:rsidR="007F4BBF" w:rsidRPr="00531753">
        <w:rPr>
          <w:rtl/>
        </w:rPr>
        <w:instrText>" \</w:instrText>
      </w:r>
      <w:r w:rsidR="007F4BBF" w:rsidRPr="00531753">
        <w:instrText>fm</w:instrText>
      </w:r>
      <w:r w:rsidR="00AB0B9E">
        <w:rPr>
          <w:b/>
          <w:bCs/>
          <w:color w:val="auto"/>
          <w:rtl/>
        </w:rPr>
        <w:fldChar w:fldCharType="end"/>
      </w:r>
      <w:r w:rsidR="00310588">
        <w:rPr>
          <w:rFonts w:hint="cs"/>
          <w:b/>
          <w:bCs/>
          <w:color w:val="auto"/>
          <w:rtl/>
        </w:rPr>
        <w:t>:</w:t>
      </w:r>
      <w:r w:rsidR="00592393">
        <w:rPr>
          <w:rFonts w:hint="cs"/>
          <w:b/>
          <w:bCs/>
          <w:color w:val="auto"/>
          <w:rtl/>
        </w:rPr>
        <w:t xml:space="preserve"> </w:t>
      </w:r>
      <w:r w:rsidR="00310588" w:rsidRPr="00AB5F7A">
        <w:rPr>
          <w:rFonts w:hint="cs"/>
          <w:color w:val="auto"/>
          <w:rtl/>
        </w:rPr>
        <w:t xml:space="preserve">يقول ابن فارس </w:t>
      </w:r>
      <w:r w:rsidR="00592393">
        <w:rPr>
          <w:rFonts w:hint="cs"/>
          <w:color w:val="auto"/>
          <w:rtl/>
        </w:rPr>
        <w:t>_</w:t>
      </w:r>
      <w:r w:rsidR="009A0575" w:rsidRPr="005D5694">
        <w:rPr>
          <w:rFonts w:ascii="Traditional Arabic" w:hAnsi="Traditional Arabic" w:cs="CTraditional Arabic" w:hint="cs"/>
          <w:rtl/>
        </w:rPr>
        <w:t>/</w:t>
      </w:r>
      <w:r w:rsidR="00592393">
        <w:rPr>
          <w:rFonts w:hint="cs"/>
          <w:color w:val="auto"/>
          <w:rtl/>
        </w:rPr>
        <w:t>_</w:t>
      </w:r>
      <w:r w:rsidR="00310588" w:rsidRPr="00AB5F7A">
        <w:rPr>
          <w:rFonts w:hint="cs"/>
          <w:color w:val="auto"/>
          <w:rtl/>
        </w:rPr>
        <w:t>: (</w:t>
      </w:r>
      <w:r w:rsidR="00310588">
        <w:rPr>
          <w:rFonts w:ascii="Traditional Arabic" w:hAnsi="Traditional Arabic"/>
          <w:noProof w:val="0"/>
          <w:sz w:val="32"/>
          <w:szCs w:val="32"/>
          <w:rtl/>
          <w:lang w:eastAsia="en-US"/>
        </w:rPr>
        <w:t>الجيم واللام والباء أصلان</w:t>
      </w:r>
      <w:r w:rsidR="00310588" w:rsidRPr="00AB5F7A">
        <w:rPr>
          <w:rFonts w:ascii="Traditional Arabic" w:hAnsi="Traditional Arabic"/>
          <w:noProof w:val="0"/>
          <w:sz w:val="32"/>
          <w:szCs w:val="32"/>
          <w:rtl/>
          <w:lang w:eastAsia="en-US"/>
        </w:rPr>
        <w:t xml:space="preserve"> : أحدهما الإتيان بالشيء من موض</w:t>
      </w:r>
      <w:r w:rsidR="00310588">
        <w:rPr>
          <w:rFonts w:ascii="Traditional Arabic" w:hAnsi="Traditional Arabic"/>
          <w:noProof w:val="0"/>
          <w:sz w:val="32"/>
          <w:szCs w:val="32"/>
          <w:rtl/>
          <w:lang w:eastAsia="en-US"/>
        </w:rPr>
        <w:t>ع إلى موضع</w:t>
      </w:r>
      <w:r w:rsidR="00310588">
        <w:rPr>
          <w:rFonts w:ascii="Traditional Arabic" w:hAnsi="Traditional Arabic" w:hint="cs"/>
          <w:noProof w:val="0"/>
          <w:sz w:val="32"/>
          <w:szCs w:val="32"/>
          <w:rtl/>
          <w:lang w:eastAsia="en-US"/>
        </w:rPr>
        <w:t>...)</w:t>
      </w:r>
      <w:r w:rsidR="00310588" w:rsidRPr="00C821A1">
        <w:rPr>
          <w:rStyle w:val="af1"/>
          <w:szCs w:val="32"/>
          <w:rtl/>
        </w:rPr>
        <w:t>(</w:t>
      </w:r>
      <w:r w:rsidR="00310588" w:rsidRPr="00C821A1">
        <w:rPr>
          <w:rStyle w:val="af1"/>
          <w:szCs w:val="32"/>
          <w:rtl/>
        </w:rPr>
        <w:footnoteReference w:id="304"/>
      </w:r>
      <w:r w:rsidR="00310588" w:rsidRPr="00C821A1">
        <w:rPr>
          <w:rStyle w:val="af1"/>
          <w:szCs w:val="32"/>
          <w:rtl/>
        </w:rPr>
        <w:t>)</w:t>
      </w:r>
      <w:r w:rsidR="00310588">
        <w:rPr>
          <w:rFonts w:ascii="Traditional Arabic" w:hAnsi="Traditional Arabic" w:hint="cs"/>
          <w:noProof w:val="0"/>
          <w:sz w:val="32"/>
          <w:szCs w:val="32"/>
          <w:rtl/>
          <w:lang w:eastAsia="en-US"/>
        </w:rPr>
        <w:t>.</w:t>
      </w:r>
    </w:p>
    <w:p w:rsidR="00065E4B" w:rsidRDefault="00592393" w:rsidP="00597C20">
      <w:pPr>
        <w:widowControl/>
        <w:autoSpaceDE w:val="0"/>
        <w:autoSpaceDN w:val="0"/>
        <w:adjustRightInd w:val="0"/>
        <w:ind w:firstLine="0"/>
        <w:jc w:val="left"/>
        <w:rPr>
          <w:rFonts w:ascii="Traditional Arabic" w:hAnsi="Traditional Arabic"/>
          <w:noProof w:val="0"/>
          <w:sz w:val="32"/>
          <w:szCs w:val="32"/>
          <w:rtl/>
          <w:lang w:eastAsia="en-US"/>
        </w:rPr>
      </w:pPr>
      <w:r>
        <w:rPr>
          <w:rFonts w:ascii="Traditional Arabic" w:hAnsi="Traditional Arabic" w:hint="cs"/>
          <w:rtl/>
        </w:rPr>
        <w:t xml:space="preserve">        </w:t>
      </w:r>
      <w:r w:rsidR="00065E4B" w:rsidRPr="003B21F2">
        <w:rPr>
          <w:rFonts w:ascii="Traditional Arabic" w:hAnsi="Traditional Arabic"/>
          <w:rtl/>
        </w:rPr>
        <w:t>ف</w:t>
      </w:r>
      <w:r w:rsidR="00310588" w:rsidRPr="003B21F2">
        <w:rPr>
          <w:rFonts w:ascii="Traditional Arabic" w:hAnsi="Traditional Arabic"/>
          <w:rtl/>
        </w:rPr>
        <w:t>الجل</w:t>
      </w:r>
      <w:r w:rsidR="00310588">
        <w:rPr>
          <w:rFonts w:ascii="Traditional Arabic" w:hAnsi="Traditional Arabic" w:hint="cs"/>
          <w:rtl/>
        </w:rPr>
        <w:t>ْ</w:t>
      </w:r>
      <w:r w:rsidR="00310588" w:rsidRPr="003B21F2">
        <w:rPr>
          <w:rFonts w:ascii="Traditional Arabic" w:hAnsi="Traditional Arabic"/>
          <w:rtl/>
        </w:rPr>
        <w:t>ب سَوق الشي</w:t>
      </w:r>
      <w:r w:rsidR="00310588" w:rsidRPr="003B21F2">
        <w:rPr>
          <w:rFonts w:ascii="Traditional Arabic" w:hAnsi="Traditional Arabic" w:hint="cs"/>
          <w:rtl/>
        </w:rPr>
        <w:t>ء</w:t>
      </w:r>
      <w:r>
        <w:rPr>
          <w:rFonts w:ascii="Traditional Arabic" w:hAnsi="Traditional Arabic" w:hint="cs"/>
          <w:rtl/>
        </w:rPr>
        <w:t xml:space="preserve"> </w:t>
      </w:r>
      <w:r w:rsidR="00310588" w:rsidRPr="003B21F2">
        <w:rPr>
          <w:rFonts w:ascii="Traditional Arabic" w:hAnsi="Traditional Arabic"/>
          <w:rtl/>
        </w:rPr>
        <w:t>من موضع إلى موضع آخر</w:t>
      </w:r>
      <w:r w:rsidR="00310588" w:rsidRPr="00C821A1">
        <w:rPr>
          <w:rFonts w:ascii="Traditional Arabic" w:hAnsi="Traditional Arabic" w:hint="cs"/>
          <w:b/>
          <w:szCs w:val="32"/>
          <w:vertAlign w:val="superscript"/>
          <w:rtl/>
        </w:rPr>
        <w:t>(</w:t>
      </w:r>
      <w:r w:rsidR="00310588" w:rsidRPr="00C821A1">
        <w:rPr>
          <w:rStyle w:val="af1"/>
          <w:rFonts w:ascii="Traditional Arabic" w:hAnsi="Traditional Arabic"/>
          <w:b/>
          <w:szCs w:val="32"/>
          <w:rtl/>
        </w:rPr>
        <w:footnoteReference w:id="305"/>
      </w:r>
      <w:r w:rsidR="00310588" w:rsidRPr="00C821A1">
        <w:rPr>
          <w:rFonts w:ascii="Traditional Arabic" w:hAnsi="Traditional Arabic" w:hint="cs"/>
          <w:b/>
          <w:szCs w:val="32"/>
          <w:vertAlign w:val="superscript"/>
          <w:rtl/>
        </w:rPr>
        <w:t>)</w:t>
      </w:r>
      <w:r w:rsidR="00310588" w:rsidRPr="003B21F2">
        <w:rPr>
          <w:rFonts w:ascii="Traditional Arabic" w:hAnsi="Traditional Arabic" w:hint="cs"/>
          <w:rtl/>
        </w:rPr>
        <w:t>.</w:t>
      </w:r>
    </w:p>
    <w:p w:rsidR="00310588" w:rsidRPr="00962A1B" w:rsidRDefault="00065E4B" w:rsidP="00597C20">
      <w:pPr>
        <w:pStyle w:val="53"/>
        <w:rPr>
          <w:rtl/>
        </w:rPr>
      </w:pPr>
      <w:r w:rsidRPr="00962A1B">
        <w:rPr>
          <w:rFonts w:hint="cs"/>
          <w:rtl/>
        </w:rPr>
        <w:lastRenderedPageBreak/>
        <w:t>م</w:t>
      </w:r>
      <w:r w:rsidR="00310588" w:rsidRPr="00962A1B">
        <w:rPr>
          <w:rFonts w:hint="cs"/>
          <w:rtl/>
        </w:rPr>
        <w:t>عنى القاعدة إجمالا:</w:t>
      </w:r>
    </w:p>
    <w:p w:rsidR="00310588" w:rsidRPr="00B93C91" w:rsidRDefault="00592393" w:rsidP="00592393">
      <w:pPr>
        <w:spacing w:line="620" w:lineRule="exact"/>
        <w:ind w:firstLine="0"/>
        <w:jc w:val="lowKashida"/>
        <w:rPr>
          <w:rFonts w:ascii="Traditional Arabic" w:hAnsi="Traditional Arabic"/>
          <w:rtl/>
        </w:rPr>
      </w:pPr>
      <w:r>
        <w:rPr>
          <w:rFonts w:ascii="Traditional Arabic" w:hAnsi="Traditional Arabic" w:hint="cs"/>
          <w:rtl/>
        </w:rPr>
        <w:t xml:space="preserve">    </w:t>
      </w:r>
      <w:r w:rsidR="00310588" w:rsidRPr="00B93C91">
        <w:rPr>
          <w:rFonts w:ascii="Traditional Arabic" w:hAnsi="Traditional Arabic"/>
          <w:rtl/>
        </w:rPr>
        <w:t xml:space="preserve">قسَّم الشيخ ابن عثيمين </w:t>
      </w:r>
      <w:r>
        <w:rPr>
          <w:rFonts w:ascii="Traditional Arabic" w:hAnsi="Traditional Arabic" w:hint="cs"/>
          <w:rtl/>
        </w:rPr>
        <w:t>_</w:t>
      </w:r>
      <w:r w:rsidR="009A0575" w:rsidRPr="005D5694">
        <w:rPr>
          <w:rFonts w:ascii="Traditional Arabic" w:hAnsi="Traditional Arabic" w:cs="CTraditional Arabic" w:hint="cs"/>
          <w:rtl/>
        </w:rPr>
        <w:t>/</w:t>
      </w:r>
      <w:r>
        <w:rPr>
          <w:rFonts w:ascii="Traditional Arabic" w:hAnsi="Traditional Arabic" w:hint="cs"/>
          <w:rtl/>
        </w:rPr>
        <w:t>_</w:t>
      </w:r>
      <w:r w:rsidR="00310588">
        <w:rPr>
          <w:rFonts w:ascii="Traditional Arabic" w:hAnsi="Traditional Arabic"/>
          <w:rtl/>
        </w:rPr>
        <w:t>الأعمال</w:t>
      </w:r>
      <w:r w:rsidR="00310588">
        <w:rPr>
          <w:rFonts w:ascii="Traditional Arabic" w:hAnsi="Traditional Arabic" w:hint="cs"/>
          <w:rtl/>
        </w:rPr>
        <w:t xml:space="preserve"> من حيث</w:t>
      </w:r>
      <w:r w:rsidR="00310588">
        <w:rPr>
          <w:rFonts w:ascii="Traditional Arabic" w:hAnsi="Traditional Arabic"/>
          <w:rtl/>
        </w:rPr>
        <w:t xml:space="preserve"> اشتمال</w:t>
      </w:r>
      <w:r w:rsidR="00310588">
        <w:rPr>
          <w:rFonts w:ascii="Traditional Arabic" w:hAnsi="Traditional Arabic" w:hint="cs"/>
          <w:rtl/>
        </w:rPr>
        <w:t>ُ</w:t>
      </w:r>
      <w:r w:rsidR="00310588">
        <w:rPr>
          <w:rFonts w:ascii="Traditional Arabic" w:hAnsi="Traditional Arabic"/>
          <w:rtl/>
        </w:rPr>
        <w:t>ها على المصالح والمفاسد</w:t>
      </w:r>
      <w:r w:rsidR="00310588" w:rsidRPr="00B93C91">
        <w:rPr>
          <w:rFonts w:ascii="Traditional Arabic" w:hAnsi="Traditional Arabic"/>
          <w:rtl/>
        </w:rPr>
        <w:t>، إلى خمسة أقسام:</w:t>
      </w:r>
    </w:p>
    <w:p w:rsidR="00310588" w:rsidRPr="00B93C91" w:rsidRDefault="00310588" w:rsidP="00597C20">
      <w:pPr>
        <w:tabs>
          <w:tab w:val="left" w:pos="1483"/>
        </w:tabs>
        <w:spacing w:line="620" w:lineRule="exact"/>
        <w:jc w:val="lowKashida"/>
        <w:rPr>
          <w:rFonts w:ascii="Traditional Arabic" w:hAnsi="Traditional Arabic"/>
          <w:rtl/>
        </w:rPr>
      </w:pPr>
      <w:r w:rsidRPr="006259DD">
        <w:rPr>
          <w:rFonts w:ascii="Traditional Arabic" w:hAnsi="Traditional Arabic"/>
          <w:b/>
          <w:bCs/>
          <w:rtl/>
        </w:rPr>
        <w:t>الأول:</w:t>
      </w:r>
      <w:r>
        <w:rPr>
          <w:rFonts w:ascii="Traditional Arabic" w:hAnsi="Traditional Arabic"/>
          <w:rtl/>
        </w:rPr>
        <w:t xml:space="preserve"> ما اشتمل على مصلحة محضة</w:t>
      </w:r>
      <w:r w:rsidRPr="00B93C91">
        <w:rPr>
          <w:rFonts w:ascii="Traditional Arabic" w:hAnsi="Traditional Arabic"/>
          <w:rtl/>
        </w:rPr>
        <w:t>.</w:t>
      </w:r>
    </w:p>
    <w:p w:rsidR="00310588" w:rsidRPr="00B93C91" w:rsidRDefault="00310588" w:rsidP="00597C20">
      <w:pPr>
        <w:tabs>
          <w:tab w:val="left" w:pos="1483"/>
        </w:tabs>
        <w:spacing w:line="620" w:lineRule="exact"/>
        <w:jc w:val="lowKashida"/>
        <w:rPr>
          <w:rFonts w:ascii="Traditional Arabic" w:hAnsi="Traditional Arabic"/>
          <w:rtl/>
        </w:rPr>
      </w:pPr>
      <w:r w:rsidRPr="006259DD">
        <w:rPr>
          <w:rFonts w:ascii="Traditional Arabic" w:hAnsi="Traditional Arabic"/>
          <w:b/>
          <w:bCs/>
          <w:rtl/>
        </w:rPr>
        <w:t>الثاني:</w:t>
      </w:r>
      <w:r>
        <w:rPr>
          <w:rFonts w:ascii="Traditional Arabic" w:hAnsi="Traditional Arabic"/>
          <w:rtl/>
        </w:rPr>
        <w:t xml:space="preserve"> ما اشتمل على مفسدة محضــة</w:t>
      </w:r>
      <w:r w:rsidRPr="00C821A1">
        <w:rPr>
          <w:rStyle w:val="af1"/>
          <w:szCs w:val="32"/>
          <w:rtl/>
        </w:rPr>
        <w:t>(</w:t>
      </w:r>
      <w:r w:rsidRPr="00C821A1">
        <w:rPr>
          <w:rStyle w:val="af1"/>
          <w:szCs w:val="32"/>
          <w:rtl/>
        </w:rPr>
        <w:footnoteReference w:id="306"/>
      </w:r>
      <w:r w:rsidRPr="00C821A1">
        <w:rPr>
          <w:rStyle w:val="af1"/>
          <w:szCs w:val="32"/>
          <w:rtl/>
        </w:rPr>
        <w:t>)</w:t>
      </w:r>
      <w:r w:rsidRPr="00B93C91">
        <w:rPr>
          <w:rFonts w:ascii="Traditional Arabic" w:hAnsi="Traditional Arabic"/>
          <w:rtl/>
        </w:rPr>
        <w:t>.</w:t>
      </w:r>
    </w:p>
    <w:p w:rsidR="00310588" w:rsidRPr="00B93C91" w:rsidRDefault="00310588" w:rsidP="00597C20">
      <w:pPr>
        <w:tabs>
          <w:tab w:val="left" w:pos="1483"/>
        </w:tabs>
        <w:spacing w:line="620" w:lineRule="exact"/>
        <w:jc w:val="lowKashida"/>
        <w:rPr>
          <w:rFonts w:ascii="Traditional Arabic" w:hAnsi="Traditional Arabic"/>
          <w:rtl/>
        </w:rPr>
      </w:pPr>
      <w:r w:rsidRPr="006259DD">
        <w:rPr>
          <w:rFonts w:ascii="Traditional Arabic" w:hAnsi="Traditional Arabic"/>
          <w:b/>
          <w:bCs/>
          <w:rtl/>
        </w:rPr>
        <w:t>الثالث:</w:t>
      </w:r>
      <w:r w:rsidRPr="00B93C91">
        <w:rPr>
          <w:rFonts w:ascii="Traditional Arabic" w:hAnsi="Traditional Arabic"/>
          <w:rtl/>
        </w:rPr>
        <w:t xml:space="preserve"> ما اشتمل على </w:t>
      </w:r>
      <w:r>
        <w:rPr>
          <w:rFonts w:ascii="Traditional Arabic" w:hAnsi="Traditional Arabic"/>
          <w:rtl/>
        </w:rPr>
        <w:t>مصلحة غالبـة</w:t>
      </w:r>
      <w:r w:rsidRPr="00B93C91">
        <w:rPr>
          <w:rFonts w:ascii="Traditional Arabic" w:hAnsi="Traditional Arabic"/>
          <w:rtl/>
        </w:rPr>
        <w:t>.</w:t>
      </w:r>
    </w:p>
    <w:p w:rsidR="00310588" w:rsidRPr="00B93C91" w:rsidRDefault="00310588" w:rsidP="00597C20">
      <w:pPr>
        <w:tabs>
          <w:tab w:val="left" w:pos="1483"/>
        </w:tabs>
        <w:spacing w:line="620" w:lineRule="exact"/>
        <w:jc w:val="lowKashida"/>
        <w:rPr>
          <w:rFonts w:ascii="Traditional Arabic" w:hAnsi="Traditional Arabic"/>
          <w:rtl/>
        </w:rPr>
      </w:pPr>
      <w:r w:rsidRPr="006259DD">
        <w:rPr>
          <w:rFonts w:ascii="Traditional Arabic" w:hAnsi="Traditional Arabic"/>
          <w:b/>
          <w:bCs/>
          <w:rtl/>
        </w:rPr>
        <w:t>الرابع:</w:t>
      </w:r>
      <w:r>
        <w:rPr>
          <w:rFonts w:ascii="Traditional Arabic" w:hAnsi="Traditional Arabic"/>
          <w:rtl/>
        </w:rPr>
        <w:t xml:space="preserve"> ما اشتمل على مفسدة غالبــة</w:t>
      </w:r>
      <w:r w:rsidRPr="00B93C91">
        <w:rPr>
          <w:rFonts w:ascii="Traditional Arabic" w:hAnsi="Traditional Arabic"/>
          <w:rtl/>
        </w:rPr>
        <w:t>.</w:t>
      </w:r>
    </w:p>
    <w:p w:rsidR="00310588" w:rsidRPr="00B93C91" w:rsidRDefault="00310588" w:rsidP="00597C20">
      <w:pPr>
        <w:tabs>
          <w:tab w:val="left" w:pos="1483"/>
        </w:tabs>
        <w:spacing w:line="620" w:lineRule="exact"/>
        <w:jc w:val="lowKashida"/>
        <w:rPr>
          <w:rFonts w:ascii="Traditional Arabic" w:hAnsi="Traditional Arabic"/>
          <w:rtl/>
        </w:rPr>
      </w:pPr>
      <w:r w:rsidRPr="006259DD">
        <w:rPr>
          <w:rFonts w:ascii="Traditional Arabic" w:hAnsi="Traditional Arabic"/>
          <w:b/>
          <w:bCs/>
          <w:rtl/>
        </w:rPr>
        <w:t>الخامس:</w:t>
      </w:r>
      <w:r w:rsidRPr="00B93C91">
        <w:rPr>
          <w:rFonts w:ascii="Traditional Arabic" w:hAnsi="Traditional Arabic"/>
          <w:rtl/>
        </w:rPr>
        <w:t xml:space="preserve"> ما </w:t>
      </w:r>
      <w:r>
        <w:rPr>
          <w:rFonts w:ascii="Traditional Arabic" w:hAnsi="Traditional Arabic"/>
          <w:rtl/>
        </w:rPr>
        <w:t>تساوت مصلحته ومفسدته</w:t>
      </w:r>
      <w:r w:rsidRPr="00C821A1">
        <w:rPr>
          <w:rStyle w:val="af1"/>
          <w:szCs w:val="32"/>
          <w:rtl/>
        </w:rPr>
        <w:t>(</w:t>
      </w:r>
      <w:r w:rsidRPr="00C821A1">
        <w:rPr>
          <w:rStyle w:val="af1"/>
          <w:szCs w:val="32"/>
          <w:rtl/>
        </w:rPr>
        <w:footnoteReference w:id="307"/>
      </w:r>
      <w:r w:rsidRPr="00C821A1">
        <w:rPr>
          <w:rStyle w:val="af1"/>
          <w:szCs w:val="32"/>
          <w:rtl/>
        </w:rPr>
        <w:t>)</w:t>
      </w:r>
      <w:r w:rsidRPr="00B93C91">
        <w:rPr>
          <w:rFonts w:ascii="Traditional Arabic" w:hAnsi="Traditional Arabic"/>
          <w:rtl/>
        </w:rPr>
        <w:t>.</w:t>
      </w:r>
    </w:p>
    <w:p w:rsidR="00F228A9" w:rsidRDefault="00310588" w:rsidP="00597C20">
      <w:pPr>
        <w:widowControl/>
        <w:autoSpaceDE w:val="0"/>
        <w:autoSpaceDN w:val="0"/>
        <w:adjustRightInd w:val="0"/>
        <w:ind w:firstLine="720"/>
        <w:rPr>
          <w:rFonts w:ascii="Traditional Arabic" w:hAnsi="Traditional Arabic"/>
          <w:rtl/>
        </w:rPr>
      </w:pPr>
      <w:r w:rsidRPr="00B93C91">
        <w:rPr>
          <w:rFonts w:ascii="Traditional Arabic" w:hAnsi="Traditional Arabic"/>
          <w:rtl/>
        </w:rPr>
        <w:lastRenderedPageBreak/>
        <w:t xml:space="preserve">ومن هنا يقــول الشيخ – </w:t>
      </w:r>
      <w:r w:rsidR="009A0575" w:rsidRPr="005D5694">
        <w:rPr>
          <w:rFonts w:ascii="Traditional Arabic" w:hAnsi="Traditional Arabic" w:cs="CTraditional Arabic" w:hint="cs"/>
          <w:rtl/>
        </w:rPr>
        <w:t>/</w:t>
      </w:r>
      <w:r w:rsidRPr="00B93C91">
        <w:rPr>
          <w:rFonts w:ascii="Traditional Arabic" w:hAnsi="Traditional Arabic"/>
          <w:rtl/>
        </w:rPr>
        <w:t xml:space="preserve"> - : (والحقيقة : أن الأقسام في هذه الح</w:t>
      </w:r>
      <w:r>
        <w:rPr>
          <w:rFonts w:ascii="Traditional Arabic" w:hAnsi="Traditional Arabic"/>
          <w:rtl/>
        </w:rPr>
        <w:t>ال خمسة</w:t>
      </w:r>
      <w:r w:rsidR="00763E78">
        <w:rPr>
          <w:rFonts w:ascii="Traditional Arabic" w:hAnsi="Traditional Arabic" w:hint="cs"/>
          <w:rtl/>
        </w:rPr>
        <w:t>...</w:t>
      </w:r>
      <w:r>
        <w:rPr>
          <w:rFonts w:ascii="Traditional Arabic" w:hAnsi="Traditional Arabic"/>
          <w:rtl/>
        </w:rPr>
        <w:t xml:space="preserve"> فإن كان</w:t>
      </w:r>
      <w:r w:rsidR="00763E78">
        <w:rPr>
          <w:rFonts w:ascii="Traditional Arabic" w:hAnsi="Traditional Arabic" w:hint="cs"/>
          <w:rtl/>
        </w:rPr>
        <w:t>ت</w:t>
      </w:r>
      <w:r>
        <w:rPr>
          <w:rFonts w:ascii="Traditional Arabic" w:hAnsi="Traditional Arabic"/>
          <w:rtl/>
        </w:rPr>
        <w:t xml:space="preserve"> </w:t>
      </w:r>
      <w:r w:rsidR="00763E78">
        <w:rPr>
          <w:rFonts w:ascii="Traditional Arabic" w:hAnsi="Traditional Arabic" w:hint="cs"/>
          <w:rtl/>
        </w:rPr>
        <w:t>ال</w:t>
      </w:r>
      <w:r>
        <w:rPr>
          <w:rFonts w:ascii="Traditional Arabic" w:hAnsi="Traditional Arabic"/>
          <w:rtl/>
        </w:rPr>
        <w:t>مصلحة خالصة، فالحكم واضح</w:t>
      </w:r>
      <w:r w:rsidRPr="00B93C91">
        <w:rPr>
          <w:rFonts w:ascii="Traditional Arabic" w:hAnsi="Traditional Arabic"/>
          <w:rtl/>
        </w:rPr>
        <w:t>، أننا نأخذ به</w:t>
      </w:r>
      <w:r w:rsidR="00763E78">
        <w:rPr>
          <w:rFonts w:ascii="Traditional Arabic" w:hAnsi="Traditional Arabic" w:hint="cs"/>
          <w:rtl/>
        </w:rPr>
        <w:t>ا</w:t>
      </w:r>
      <w:r w:rsidRPr="00B93C91">
        <w:rPr>
          <w:rFonts w:ascii="Traditional Arabic" w:hAnsi="Traditional Arabic"/>
          <w:rtl/>
        </w:rPr>
        <w:t xml:space="preserve"> ونعتب</w:t>
      </w:r>
      <w:r>
        <w:rPr>
          <w:rFonts w:ascii="Traditional Arabic" w:hAnsi="Traditional Arabic" w:hint="cs"/>
          <w:rtl/>
        </w:rPr>
        <w:t>ِ</w:t>
      </w:r>
      <w:r>
        <w:rPr>
          <w:rFonts w:ascii="Traditional Arabic" w:hAnsi="Traditional Arabic"/>
          <w:rtl/>
        </w:rPr>
        <w:t>ره</w:t>
      </w:r>
      <w:r w:rsidR="00763E78">
        <w:rPr>
          <w:rFonts w:ascii="Traditional Arabic" w:hAnsi="Traditional Arabic" w:hint="cs"/>
          <w:rtl/>
        </w:rPr>
        <w:t>ا</w:t>
      </w:r>
      <w:r>
        <w:rPr>
          <w:rFonts w:ascii="Traditional Arabic" w:hAnsi="Traditional Arabic"/>
          <w:rtl/>
        </w:rPr>
        <w:t>، وإن كان</w:t>
      </w:r>
      <w:r w:rsidR="00763E78">
        <w:rPr>
          <w:rFonts w:ascii="Traditional Arabic" w:hAnsi="Traditional Arabic" w:hint="cs"/>
          <w:rtl/>
        </w:rPr>
        <w:t>ت</w:t>
      </w:r>
      <w:r>
        <w:rPr>
          <w:rFonts w:ascii="Traditional Arabic" w:hAnsi="Traditional Arabic"/>
          <w:rtl/>
        </w:rPr>
        <w:t xml:space="preserve"> </w:t>
      </w:r>
      <w:r w:rsidR="00763E78">
        <w:rPr>
          <w:rFonts w:ascii="Traditional Arabic" w:hAnsi="Traditional Arabic" w:hint="cs"/>
          <w:rtl/>
        </w:rPr>
        <w:t>ال</w:t>
      </w:r>
      <w:r w:rsidR="00763E78">
        <w:rPr>
          <w:rFonts w:ascii="Traditional Arabic" w:hAnsi="Traditional Arabic"/>
          <w:rtl/>
        </w:rPr>
        <w:t>مفسد</w:t>
      </w:r>
      <w:r w:rsidR="00763E78">
        <w:rPr>
          <w:rFonts w:ascii="Traditional Arabic" w:hAnsi="Traditional Arabic" w:hint="cs"/>
          <w:rtl/>
        </w:rPr>
        <w:t>ة</w:t>
      </w:r>
      <w:r>
        <w:rPr>
          <w:rFonts w:ascii="Traditional Arabic" w:hAnsi="Traditional Arabic"/>
          <w:rtl/>
        </w:rPr>
        <w:t xml:space="preserve"> خالصة</w:t>
      </w:r>
      <w:r w:rsidRPr="00B93C91">
        <w:rPr>
          <w:rFonts w:ascii="Traditional Arabic" w:hAnsi="Traditional Arabic"/>
          <w:rtl/>
        </w:rPr>
        <w:t xml:space="preserve">، </w:t>
      </w:r>
      <w:r>
        <w:rPr>
          <w:rFonts w:ascii="Traditional Arabic" w:hAnsi="Traditional Arabic"/>
          <w:rtl/>
        </w:rPr>
        <w:t>فكذلك الحكم واضح،وهو</w:t>
      </w:r>
      <w:r w:rsidRPr="00B93C91">
        <w:rPr>
          <w:rFonts w:ascii="Traditional Arabic" w:hAnsi="Traditional Arabic"/>
          <w:rtl/>
        </w:rPr>
        <w:t>: أن نعتب</w:t>
      </w:r>
      <w:r>
        <w:rPr>
          <w:rFonts w:ascii="Traditional Arabic" w:hAnsi="Traditional Arabic" w:hint="cs"/>
          <w:rtl/>
        </w:rPr>
        <w:t>ِ</w:t>
      </w:r>
      <w:r w:rsidRPr="00B93C91">
        <w:rPr>
          <w:rFonts w:ascii="Traditional Arabic" w:hAnsi="Traditional Arabic"/>
          <w:rtl/>
        </w:rPr>
        <w:t>ر ب</w:t>
      </w:r>
      <w:r>
        <w:rPr>
          <w:rFonts w:ascii="Traditional Arabic" w:hAnsi="Traditional Arabic"/>
          <w:rtl/>
        </w:rPr>
        <w:t>المفسدة، ونتجن</w:t>
      </w:r>
      <w:r>
        <w:rPr>
          <w:rFonts w:ascii="Traditional Arabic" w:hAnsi="Traditional Arabic" w:hint="cs"/>
          <w:rtl/>
        </w:rPr>
        <w:t>ِ</w:t>
      </w:r>
      <w:r>
        <w:rPr>
          <w:rFonts w:ascii="Traditional Arabic" w:hAnsi="Traditional Arabic"/>
          <w:rtl/>
        </w:rPr>
        <w:t>ب ما فيه المفسدة</w:t>
      </w:r>
      <w:r w:rsidRPr="00B93C91">
        <w:rPr>
          <w:rFonts w:ascii="Traditional Arabic" w:hAnsi="Traditional Arabic"/>
          <w:rtl/>
        </w:rPr>
        <w:t>، وإذا كانت المصلحة غالبة أُخذ بها وأُلغي جانب المفسدة، و</w:t>
      </w:r>
      <w:r>
        <w:rPr>
          <w:rFonts w:ascii="Traditional Arabic" w:hAnsi="Traditional Arabic" w:hint="cs"/>
          <w:rtl/>
        </w:rPr>
        <w:t>إذا كانت المفسدة غالبة، أُخذ بها-أي: اعتُبر جانب المفسدة-وأُلغي جانب المصلحة، و</w:t>
      </w:r>
      <w:r w:rsidRPr="00B93C91">
        <w:rPr>
          <w:rFonts w:ascii="Traditional Arabic" w:hAnsi="Traditional Arabic"/>
          <w:rtl/>
        </w:rPr>
        <w:t>إذا تساوى الأمران فإن المعتب</w:t>
      </w:r>
      <w:r>
        <w:rPr>
          <w:rFonts w:ascii="Traditional Arabic" w:hAnsi="Traditional Arabic" w:hint="cs"/>
          <w:rtl/>
        </w:rPr>
        <w:t>َ</w:t>
      </w:r>
      <w:r w:rsidRPr="00B93C91">
        <w:rPr>
          <w:rFonts w:ascii="Traditional Arabic" w:hAnsi="Traditional Arabic"/>
          <w:rtl/>
        </w:rPr>
        <w:t>ر جانب المفسدة</w:t>
      </w:r>
      <w:r w:rsidRPr="00C821A1">
        <w:rPr>
          <w:rStyle w:val="af1"/>
          <w:szCs w:val="32"/>
          <w:rtl/>
        </w:rPr>
        <w:t>(</w:t>
      </w:r>
      <w:r w:rsidRPr="00C821A1">
        <w:rPr>
          <w:rStyle w:val="af1"/>
          <w:szCs w:val="32"/>
          <w:rtl/>
        </w:rPr>
        <w:footnoteReference w:id="308"/>
      </w:r>
      <w:r w:rsidRPr="00C821A1">
        <w:rPr>
          <w:rStyle w:val="af1"/>
          <w:szCs w:val="32"/>
          <w:rtl/>
        </w:rPr>
        <w:t>)</w:t>
      </w:r>
      <w:r w:rsidRPr="00B93C91">
        <w:rPr>
          <w:rFonts w:ascii="Traditional Arabic" w:hAnsi="Traditional Arabic"/>
          <w:rtl/>
        </w:rPr>
        <w:t>احتياطاً وتنزُّهاً عن الوقوع فيها)</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309"/>
      </w:r>
      <w:r w:rsidRPr="00C821A1">
        <w:rPr>
          <w:rFonts w:ascii="Traditional Arabic" w:hAnsi="Traditional Arabic"/>
          <w:szCs w:val="32"/>
          <w:vertAlign w:val="superscript"/>
          <w:rtl/>
        </w:rPr>
        <w:t>)</w:t>
      </w:r>
      <w:r>
        <w:rPr>
          <w:rFonts w:ascii="Traditional Arabic" w:hAnsi="Traditional Arabic" w:hint="cs"/>
          <w:rtl/>
        </w:rPr>
        <w:t>.</w:t>
      </w:r>
    </w:p>
    <w:p w:rsidR="00065E4B" w:rsidRDefault="00310588" w:rsidP="00597C20">
      <w:pPr>
        <w:widowControl/>
        <w:autoSpaceDE w:val="0"/>
        <w:autoSpaceDN w:val="0"/>
        <w:adjustRightInd w:val="0"/>
        <w:ind w:firstLine="720"/>
        <w:rPr>
          <w:rFonts w:ascii="Traditional Arabic" w:hAnsi="Traditional Arabic"/>
          <w:noProof w:val="0"/>
          <w:sz w:val="32"/>
          <w:szCs w:val="32"/>
          <w:rtl/>
          <w:lang w:eastAsia="en-US"/>
        </w:rPr>
      </w:pPr>
      <w:r w:rsidRPr="00B93C91">
        <w:rPr>
          <w:rFonts w:ascii="Traditional Arabic" w:hAnsi="Traditional Arabic"/>
          <w:rtl/>
        </w:rPr>
        <w:lastRenderedPageBreak/>
        <w:t>و</w:t>
      </w:r>
      <w:r>
        <w:rPr>
          <w:rFonts w:ascii="Traditional Arabic" w:hAnsi="Traditional Arabic" w:hint="cs"/>
          <w:rtl/>
        </w:rPr>
        <w:t xml:space="preserve">يقول </w:t>
      </w:r>
      <w:r w:rsidR="00592393">
        <w:rPr>
          <w:rFonts w:ascii="Traditional Arabic" w:hAnsi="Traditional Arabic" w:hint="cs"/>
          <w:rtl/>
        </w:rPr>
        <w:t>_</w:t>
      </w:r>
      <w:r w:rsidR="009A0575" w:rsidRPr="005D5694">
        <w:rPr>
          <w:rFonts w:ascii="Traditional Arabic" w:hAnsi="Traditional Arabic" w:cs="CTraditional Arabic" w:hint="cs"/>
          <w:rtl/>
        </w:rPr>
        <w:t>/</w:t>
      </w:r>
      <w:r w:rsidR="00592393">
        <w:rPr>
          <w:rFonts w:ascii="Traditional Arabic" w:hAnsi="Traditional Arabic" w:hint="cs"/>
          <w:rtl/>
        </w:rPr>
        <w:t>_</w:t>
      </w:r>
      <w:r>
        <w:rPr>
          <w:rFonts w:ascii="Traditional Arabic" w:hAnsi="Traditional Arabic" w:hint="cs"/>
          <w:rtl/>
        </w:rPr>
        <w:t xml:space="preserve"> تعليلا</w:t>
      </w:r>
      <w:r w:rsidR="00AB6BD0">
        <w:rPr>
          <w:rFonts w:ascii="Traditional Arabic" w:hAnsi="Traditional Arabic" w:hint="cs"/>
          <w:rtl/>
        </w:rPr>
        <w:t>ً</w:t>
      </w:r>
      <w:r>
        <w:rPr>
          <w:rFonts w:ascii="Traditional Arabic" w:hAnsi="Traditional Arabic" w:hint="cs"/>
          <w:rtl/>
        </w:rPr>
        <w:t xml:space="preserve"> لِدرء المفاسد عند التساوي بينها وبين المصالح:</w:t>
      </w:r>
      <w:r w:rsidRPr="00B93C91">
        <w:rPr>
          <w:rFonts w:ascii="Traditional Arabic" w:hAnsi="Traditional Arabic"/>
          <w:rtl/>
        </w:rPr>
        <w:t xml:space="preserve"> (</w:t>
      </w:r>
      <w:r>
        <w:rPr>
          <w:rFonts w:ascii="Traditional Arabic" w:hAnsi="Traditional Arabic" w:hint="cs"/>
          <w:rtl/>
        </w:rPr>
        <w:t>...</w:t>
      </w:r>
      <w:r w:rsidRPr="00B93C91">
        <w:rPr>
          <w:rFonts w:ascii="Traditional Arabic" w:hAnsi="Traditional Arabic"/>
          <w:rtl/>
        </w:rPr>
        <w:t>لأن المفسدة المساوية للمصلحة وال</w:t>
      </w:r>
      <w:r w:rsidR="00592393">
        <w:rPr>
          <w:rFonts w:ascii="Traditional Arabic" w:hAnsi="Traditional Arabic" w:hint="cs"/>
          <w:rtl/>
        </w:rPr>
        <w:t>ْ</w:t>
      </w:r>
      <w:r w:rsidRPr="00B93C91">
        <w:rPr>
          <w:rFonts w:ascii="Traditional Arabic" w:hAnsi="Traditional Arabic"/>
          <w:rtl/>
        </w:rPr>
        <w:t>م</w:t>
      </w:r>
      <w:r w:rsidR="00592393">
        <w:rPr>
          <w:rFonts w:ascii="Traditional Arabic" w:hAnsi="Traditional Arabic" w:hint="cs"/>
          <w:rtl/>
        </w:rPr>
        <w:t>َ</w:t>
      </w:r>
      <w:r w:rsidRPr="00B93C91">
        <w:rPr>
          <w:rFonts w:ascii="Traditional Arabic" w:hAnsi="Traditional Arabic"/>
          <w:rtl/>
        </w:rPr>
        <w:t>ض</w:t>
      </w:r>
      <w:r w:rsidR="00592393">
        <w:rPr>
          <w:rFonts w:ascii="Traditional Arabic" w:hAnsi="Traditional Arabic" w:hint="cs"/>
          <w:rtl/>
        </w:rPr>
        <w:t>َ</w:t>
      </w:r>
      <w:r w:rsidRPr="00B93C91">
        <w:rPr>
          <w:rFonts w:ascii="Traditional Arabic" w:hAnsi="Traditional Arabic"/>
          <w:rtl/>
        </w:rPr>
        <w:t>ر</w:t>
      </w:r>
      <w:r>
        <w:rPr>
          <w:rFonts w:ascii="Traditional Arabic" w:hAnsi="Traditional Arabic" w:hint="cs"/>
          <w:rtl/>
        </w:rPr>
        <w:t>َّ</w:t>
      </w:r>
      <w:r w:rsidRPr="00B93C91">
        <w:rPr>
          <w:rFonts w:ascii="Traditional Arabic" w:hAnsi="Traditional Arabic"/>
          <w:rtl/>
        </w:rPr>
        <w:t>ة المساويـــة للمنفعــ</w:t>
      </w:r>
      <w:r>
        <w:rPr>
          <w:rFonts w:ascii="Traditional Arabic" w:hAnsi="Traditional Arabic"/>
          <w:rtl/>
        </w:rPr>
        <w:t>ة</w:t>
      </w:r>
      <w:r w:rsidRPr="00B93C91">
        <w:rPr>
          <w:rFonts w:ascii="Traditional Arabic" w:hAnsi="Traditional Arabic"/>
          <w:rtl/>
        </w:rPr>
        <w:t>، قد تغل</w:t>
      </w:r>
      <w:r>
        <w:rPr>
          <w:rFonts w:ascii="Traditional Arabic" w:hAnsi="Traditional Arabic" w:hint="cs"/>
          <w:rtl/>
        </w:rPr>
        <w:t>ِ</w:t>
      </w:r>
      <w:r w:rsidRPr="00B93C91">
        <w:rPr>
          <w:rFonts w:ascii="Traditional Arabic" w:hAnsi="Traditional Arabic"/>
          <w:rtl/>
        </w:rPr>
        <w:t>ب وتزيد على المصلحــ</w:t>
      </w:r>
      <w:r>
        <w:rPr>
          <w:rFonts w:ascii="Traditional Arabic" w:hAnsi="Traditional Arabic"/>
          <w:rtl/>
        </w:rPr>
        <w:t>ة في المستقبل</w:t>
      </w:r>
      <w:r w:rsidRPr="00B93C91">
        <w:rPr>
          <w:rFonts w:ascii="Traditional Arabic" w:hAnsi="Traditional Arabic"/>
          <w:rtl/>
        </w:rPr>
        <w:t>؛ لأن خبثها قــد يؤث</w:t>
      </w:r>
      <w:r>
        <w:rPr>
          <w:rFonts w:ascii="Traditional Arabic" w:hAnsi="Traditional Arabic" w:hint="cs"/>
          <w:rtl/>
        </w:rPr>
        <w:t>ِّ</w:t>
      </w:r>
      <w:r>
        <w:rPr>
          <w:rFonts w:ascii="Traditional Arabic" w:hAnsi="Traditional Arabic"/>
          <w:rtl/>
        </w:rPr>
        <w:t>ر على القلب وعلى العمل</w:t>
      </w:r>
      <w:r w:rsidRPr="00B93C91">
        <w:rPr>
          <w:rFonts w:ascii="Traditional Arabic" w:hAnsi="Traditional Arabic"/>
          <w:rtl/>
        </w:rPr>
        <w:t>، فيحص</w:t>
      </w:r>
      <w:r>
        <w:rPr>
          <w:rFonts w:ascii="Traditional Arabic" w:hAnsi="Traditional Arabic" w:hint="cs"/>
          <w:rtl/>
        </w:rPr>
        <w:t>ُ</w:t>
      </w:r>
      <w:r w:rsidRPr="00B93C91">
        <w:rPr>
          <w:rFonts w:ascii="Traditional Arabic" w:hAnsi="Traditional Arabic"/>
          <w:rtl/>
        </w:rPr>
        <w:t>ل بذلك الشــر)</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310"/>
      </w:r>
      <w:r w:rsidRPr="00C821A1">
        <w:rPr>
          <w:rFonts w:ascii="Traditional Arabic" w:hAnsi="Traditional Arabic"/>
          <w:szCs w:val="32"/>
          <w:vertAlign w:val="superscript"/>
          <w:rtl/>
        </w:rPr>
        <w:t>)</w:t>
      </w:r>
      <w:r>
        <w:rPr>
          <w:rFonts w:ascii="Traditional Arabic" w:hAnsi="Traditional Arabic" w:hint="cs"/>
          <w:noProof w:val="0"/>
          <w:sz w:val="32"/>
          <w:szCs w:val="32"/>
          <w:rtl/>
          <w:lang w:eastAsia="en-US"/>
        </w:rPr>
        <w:t>.</w:t>
      </w:r>
    </w:p>
    <w:p w:rsidR="00065E4B" w:rsidRDefault="00592393" w:rsidP="00592393">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sidRPr="00666BE1">
        <w:rPr>
          <w:rFonts w:ascii="Traditional Arabic" w:hAnsi="Traditional Arabic" w:hint="cs"/>
          <w:noProof w:val="0"/>
          <w:rtl/>
          <w:lang w:eastAsia="en-US"/>
        </w:rPr>
        <w:t>و</w:t>
      </w:r>
      <w:r w:rsidR="00310588" w:rsidRPr="00666BE1">
        <w:rPr>
          <w:rFonts w:ascii="Traditional Arabic" w:hAnsi="Traditional Arabic" w:hint="cs"/>
          <w:noProof w:val="0"/>
          <w:rtl/>
          <w:lang w:eastAsia="en-US"/>
        </w:rPr>
        <w:t xml:space="preserve">قد بين الشيخ ابن عثيمين </w:t>
      </w:r>
      <w:r>
        <w:rPr>
          <w:rFonts w:ascii="Traditional Arabic" w:hAnsi="Traditional Arabic" w:hint="cs"/>
          <w:noProof w:val="0"/>
          <w:rtl/>
          <w:lang w:eastAsia="en-US"/>
        </w:rPr>
        <w:t>-</w:t>
      </w:r>
      <w:r w:rsidR="009A0575" w:rsidRPr="005D5694">
        <w:rPr>
          <w:rFonts w:ascii="Traditional Arabic" w:hAnsi="Traditional Arabic" w:cs="CTraditional Arabic" w:hint="cs"/>
          <w:rtl/>
        </w:rPr>
        <w:t>/</w:t>
      </w:r>
      <w:r>
        <w:rPr>
          <w:rFonts w:ascii="Traditional Arabic" w:hAnsi="Traditional Arabic" w:hint="cs"/>
          <w:noProof w:val="0"/>
          <w:rtl/>
          <w:lang w:eastAsia="en-US"/>
        </w:rPr>
        <w:t>_</w:t>
      </w:r>
      <w:r w:rsidR="00310588">
        <w:rPr>
          <w:rFonts w:ascii="Traditional Arabic" w:hAnsi="Traditional Arabic" w:hint="cs"/>
          <w:noProof w:val="0"/>
          <w:rtl/>
          <w:lang w:eastAsia="en-US"/>
        </w:rPr>
        <w:t>أن تقديم درء المفاسد على جلب المصالح ليس على إطلاقه، وأن محلَّ هذه القاعدة فيما إذا تساوت المصلحة والمفسدة أو ترج</w:t>
      </w:r>
      <w:r w:rsidR="002F50A0">
        <w:rPr>
          <w:rFonts w:ascii="Traditional Arabic" w:hAnsi="Traditional Arabic" w:hint="cs"/>
          <w:noProof w:val="0"/>
          <w:rtl/>
          <w:lang w:eastAsia="en-US"/>
        </w:rPr>
        <w:t>َّ</w:t>
      </w:r>
      <w:r w:rsidR="00310588">
        <w:rPr>
          <w:rFonts w:ascii="Traditional Arabic" w:hAnsi="Traditional Arabic" w:hint="cs"/>
          <w:noProof w:val="0"/>
          <w:rtl/>
          <w:lang w:eastAsia="en-US"/>
        </w:rPr>
        <w:t>حت المفسدة على المصلحة.</w:t>
      </w:r>
    </w:p>
    <w:p w:rsidR="00065E4B" w:rsidRDefault="00592393" w:rsidP="00592393">
      <w:pPr>
        <w:widowControl/>
        <w:autoSpaceDE w:val="0"/>
        <w:autoSpaceDN w:val="0"/>
        <w:adjustRightInd w:val="0"/>
        <w:ind w:firstLine="0"/>
        <w:rPr>
          <w:rFonts w:ascii="Simplified Arabic" w:hAnsi="Simplified Arabic" w:cs="Simplified Arabic"/>
          <w:noProof w:val="0"/>
          <w:color w:val="auto"/>
          <w:rtl/>
          <w:lang w:eastAsia="en-US"/>
        </w:rPr>
      </w:pPr>
      <w:r>
        <w:rPr>
          <w:rFonts w:ascii="Traditional Arabic" w:hAnsi="Traditional Arabic" w:hint="cs"/>
          <w:noProof w:val="0"/>
          <w:rtl/>
          <w:lang w:eastAsia="en-US"/>
        </w:rPr>
        <w:t xml:space="preserve">    </w:t>
      </w:r>
      <w:r w:rsidR="00065E4B">
        <w:rPr>
          <w:rFonts w:ascii="Traditional Arabic" w:hAnsi="Traditional Arabic" w:hint="cs"/>
          <w:noProof w:val="0"/>
          <w:rtl/>
          <w:lang w:eastAsia="en-US"/>
        </w:rPr>
        <w:t>ق</w:t>
      </w:r>
      <w:r w:rsidR="00310588">
        <w:rPr>
          <w:rFonts w:ascii="Traditional Arabic" w:hAnsi="Traditional Arabic" w:hint="cs"/>
          <w:noProof w:val="0"/>
          <w:rtl/>
          <w:lang w:eastAsia="en-US"/>
        </w:rPr>
        <w:t xml:space="preserve">ال </w:t>
      </w:r>
      <w:r>
        <w:rPr>
          <w:rFonts w:ascii="Traditional Arabic" w:hAnsi="Traditional Arabic" w:hint="cs"/>
          <w:noProof w:val="0"/>
          <w:rtl/>
          <w:lang w:eastAsia="en-US"/>
        </w:rPr>
        <w:t>_</w:t>
      </w:r>
      <w:r w:rsidR="009A0575" w:rsidRPr="005D5694">
        <w:rPr>
          <w:rFonts w:ascii="Traditional Arabic" w:hAnsi="Traditional Arabic" w:cs="CTraditional Arabic" w:hint="cs"/>
          <w:rtl/>
        </w:rPr>
        <w:t>/</w:t>
      </w:r>
      <w:r>
        <w:rPr>
          <w:rFonts w:ascii="Traditional Arabic" w:hAnsi="Traditional Arabic" w:hint="cs"/>
          <w:noProof w:val="0"/>
          <w:rtl/>
          <w:lang w:eastAsia="en-US"/>
        </w:rPr>
        <w:t>_</w:t>
      </w:r>
      <w:r w:rsidR="00310588">
        <w:rPr>
          <w:rFonts w:ascii="Traditional Arabic" w:hAnsi="Traditional Arabic" w:hint="cs"/>
          <w:noProof w:val="0"/>
          <w:rtl/>
          <w:lang w:eastAsia="en-US"/>
        </w:rPr>
        <w:t>: (...</w:t>
      </w:r>
      <w:r w:rsidR="00310588" w:rsidRPr="00BD748B">
        <w:rPr>
          <w:rFonts w:ascii="Traditional Arabic" w:hAnsi="Traditional Arabic"/>
          <w:noProof w:val="0"/>
          <w:color w:val="auto"/>
          <w:rtl/>
          <w:lang w:eastAsia="en-US"/>
        </w:rPr>
        <w:t>ومن هنا نأخذ أن قاعدة درء المفاسد مقد</w:t>
      </w:r>
      <w:r w:rsidR="00310588">
        <w:rPr>
          <w:rFonts w:ascii="Traditional Arabic" w:hAnsi="Traditional Arabic" w:hint="cs"/>
          <w:noProof w:val="0"/>
          <w:color w:val="auto"/>
          <w:rtl/>
          <w:lang w:eastAsia="en-US"/>
        </w:rPr>
        <w:t>َّ</w:t>
      </w:r>
      <w:r w:rsidR="00310588" w:rsidRPr="00BD748B">
        <w:rPr>
          <w:rFonts w:ascii="Traditional Arabic" w:hAnsi="Traditional Arabic"/>
          <w:noProof w:val="0"/>
          <w:color w:val="auto"/>
          <w:rtl/>
          <w:lang w:eastAsia="en-US"/>
        </w:rPr>
        <w:t>م على جلب المصالح ليست على إطلاقها، بل يكون ذلك عند التساوي أو ر</w:t>
      </w:r>
      <w:r w:rsidR="00310588">
        <w:rPr>
          <w:rFonts w:ascii="Traditional Arabic" w:hAnsi="Traditional Arabic" w:hint="cs"/>
          <w:noProof w:val="0"/>
          <w:color w:val="auto"/>
          <w:rtl/>
          <w:lang w:eastAsia="en-US"/>
        </w:rPr>
        <w:t>ُ</w:t>
      </w:r>
      <w:r w:rsidR="00310588" w:rsidRPr="00BD748B">
        <w:rPr>
          <w:rFonts w:ascii="Traditional Arabic" w:hAnsi="Traditional Arabic"/>
          <w:noProof w:val="0"/>
          <w:color w:val="auto"/>
          <w:rtl/>
          <w:lang w:eastAsia="en-US"/>
        </w:rPr>
        <w:t>جحان المفاسد، أما إذا رجحت المصالح فإنه ت</w:t>
      </w:r>
      <w:r w:rsidR="00310588">
        <w:rPr>
          <w:rFonts w:ascii="Traditional Arabic" w:hAnsi="Traditional Arabic" w:hint="cs"/>
          <w:noProof w:val="0"/>
          <w:color w:val="auto"/>
          <w:rtl/>
          <w:lang w:eastAsia="en-US"/>
        </w:rPr>
        <w:t>ُ</w:t>
      </w:r>
      <w:r w:rsidR="00310588" w:rsidRPr="00BD748B">
        <w:rPr>
          <w:rFonts w:ascii="Traditional Arabic" w:hAnsi="Traditional Arabic"/>
          <w:noProof w:val="0"/>
          <w:color w:val="auto"/>
          <w:rtl/>
          <w:lang w:eastAsia="en-US"/>
        </w:rPr>
        <w:t>غتف</w:t>
      </w:r>
      <w:r w:rsidR="00310588">
        <w:rPr>
          <w:rFonts w:ascii="Traditional Arabic" w:hAnsi="Traditional Arabic" w:hint="cs"/>
          <w:noProof w:val="0"/>
          <w:color w:val="auto"/>
          <w:rtl/>
          <w:lang w:eastAsia="en-US"/>
        </w:rPr>
        <w:t>َ</w:t>
      </w:r>
      <w:r w:rsidR="00310588" w:rsidRPr="00BD748B">
        <w:rPr>
          <w:rFonts w:ascii="Traditional Arabic" w:hAnsi="Traditional Arabic"/>
          <w:noProof w:val="0"/>
          <w:color w:val="auto"/>
          <w:rtl/>
          <w:lang w:eastAsia="en-US"/>
        </w:rPr>
        <w:t>ر المفاسد بجانب تلك المصالح، ولهذا أجاز الشرع بعض المسائل الر</w:t>
      </w:r>
      <w:r w:rsidR="00310588">
        <w:rPr>
          <w:rFonts w:ascii="Traditional Arabic" w:hAnsi="Traditional Arabic" w:hint="cs"/>
          <w:noProof w:val="0"/>
          <w:color w:val="auto"/>
          <w:rtl/>
          <w:lang w:eastAsia="en-US"/>
        </w:rPr>
        <w:t>ِّ</w:t>
      </w:r>
      <w:r w:rsidR="00310588" w:rsidRPr="00BD748B">
        <w:rPr>
          <w:rFonts w:ascii="Traditional Arabic" w:hAnsi="Traditional Arabic"/>
          <w:noProof w:val="0"/>
          <w:color w:val="auto"/>
          <w:rtl/>
          <w:lang w:eastAsia="en-US"/>
        </w:rPr>
        <w:t>بوية من أجل المصلحة، مثل بيع العرايا</w:t>
      </w:r>
      <w:r w:rsidR="00310588">
        <w:rPr>
          <w:rFonts w:ascii="Traditional Arabic" w:hAnsi="Traditional Arabic" w:hint="cs"/>
          <w:noProof w:val="0"/>
          <w:color w:val="auto"/>
          <w:rtl/>
          <w:lang w:eastAsia="en-US"/>
        </w:rPr>
        <w:t>)</w:t>
      </w:r>
      <w:r w:rsidR="00310588" w:rsidRPr="00C821A1">
        <w:rPr>
          <w:rStyle w:val="af1"/>
          <w:szCs w:val="32"/>
          <w:rtl/>
        </w:rPr>
        <w:t>(</w:t>
      </w:r>
      <w:r w:rsidR="00310588" w:rsidRPr="00C821A1">
        <w:rPr>
          <w:rStyle w:val="af1"/>
          <w:szCs w:val="32"/>
          <w:rtl/>
        </w:rPr>
        <w:footnoteReference w:id="311"/>
      </w:r>
      <w:r w:rsidR="00310588" w:rsidRPr="00C821A1">
        <w:rPr>
          <w:rStyle w:val="af1"/>
          <w:szCs w:val="32"/>
          <w:rtl/>
        </w:rPr>
        <w:t>)</w:t>
      </w:r>
      <w:r w:rsidR="00310588">
        <w:rPr>
          <w:rFonts w:ascii="Traditional Arabic" w:hAnsi="Traditional Arabic" w:hint="cs"/>
          <w:noProof w:val="0"/>
          <w:color w:val="auto"/>
          <w:rtl/>
          <w:lang w:eastAsia="en-US"/>
        </w:rPr>
        <w:t>.</w:t>
      </w:r>
    </w:p>
    <w:p w:rsidR="00F228A9" w:rsidRDefault="00592393" w:rsidP="00592393">
      <w:pPr>
        <w:widowControl/>
        <w:autoSpaceDE w:val="0"/>
        <w:autoSpaceDN w:val="0"/>
        <w:adjustRightInd w:val="0"/>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Pr>
          <w:rFonts w:ascii="Traditional Arabic" w:hAnsi="Traditional Arabic"/>
          <w:noProof w:val="0"/>
          <w:color w:val="auto"/>
          <w:rtl/>
          <w:lang w:eastAsia="en-US"/>
        </w:rPr>
        <w:t>و</w:t>
      </w:r>
      <w:r w:rsidR="00310588">
        <w:rPr>
          <w:rFonts w:ascii="Traditional Arabic" w:hAnsi="Traditional Arabic"/>
          <w:noProof w:val="0"/>
          <w:color w:val="auto"/>
          <w:rtl/>
          <w:lang w:eastAsia="en-US"/>
        </w:rPr>
        <w:t xml:space="preserve">مما </w:t>
      </w:r>
      <w:r w:rsidR="00310588" w:rsidRPr="000F5F1F">
        <w:rPr>
          <w:rFonts w:ascii="Traditional Arabic" w:hAnsi="Traditional Arabic"/>
          <w:noProof w:val="0"/>
          <w:color w:val="auto"/>
          <w:rtl/>
          <w:lang w:eastAsia="en-US"/>
        </w:rPr>
        <w:t>تقد</w:t>
      </w:r>
      <w:r w:rsidR="00310588">
        <w:rPr>
          <w:rFonts w:ascii="Traditional Arabic" w:hAnsi="Traditional Arabic" w:hint="cs"/>
          <w:noProof w:val="0"/>
          <w:color w:val="auto"/>
          <w:rtl/>
          <w:lang w:eastAsia="en-US"/>
        </w:rPr>
        <w:t>َّ</w:t>
      </w:r>
      <w:r w:rsidR="00310588" w:rsidRPr="000F5F1F">
        <w:rPr>
          <w:rFonts w:ascii="Traditional Arabic" w:hAnsi="Traditional Arabic"/>
          <w:noProof w:val="0"/>
          <w:color w:val="auto"/>
          <w:rtl/>
          <w:lang w:eastAsia="en-US"/>
        </w:rPr>
        <w:t>م</w:t>
      </w:r>
      <w:r w:rsidR="00310588">
        <w:rPr>
          <w:rFonts w:ascii="Traditional Arabic" w:hAnsi="Traditional Arabic" w:hint="cs"/>
          <w:noProof w:val="0"/>
          <w:color w:val="auto"/>
          <w:rtl/>
          <w:lang w:eastAsia="en-US"/>
        </w:rPr>
        <w:t xml:space="preserve"> يتبيَّن أن معنى القاعدة أنه إذا تعارَض تحصيل مصلحة ودفع مفسدة، ولم يمكن جلب المصلحة ودفع المفسدة معا، وكانت المفسدة مساوية</w:t>
      </w:r>
      <w:r w:rsidR="00FA4309">
        <w:rPr>
          <w:rFonts w:ascii="Traditional Arabic" w:hAnsi="Traditional Arabic" w:hint="cs"/>
          <w:noProof w:val="0"/>
          <w:color w:val="auto"/>
          <w:rtl/>
          <w:lang w:eastAsia="en-US"/>
        </w:rPr>
        <w:t>ً</w:t>
      </w:r>
      <w:r w:rsidR="00310588">
        <w:rPr>
          <w:rFonts w:ascii="Traditional Arabic" w:hAnsi="Traditional Arabic" w:hint="cs"/>
          <w:noProof w:val="0"/>
          <w:color w:val="auto"/>
          <w:rtl/>
          <w:lang w:eastAsia="en-US"/>
        </w:rPr>
        <w:t xml:space="preserve"> للمصلحة أو أرجح</w:t>
      </w:r>
      <w:r w:rsidR="00FA4309">
        <w:rPr>
          <w:rFonts w:ascii="Traditional Arabic" w:hAnsi="Traditional Arabic" w:hint="cs"/>
          <w:noProof w:val="0"/>
          <w:color w:val="auto"/>
          <w:rtl/>
          <w:lang w:eastAsia="en-US"/>
        </w:rPr>
        <w:t>َ</w:t>
      </w:r>
      <w:r w:rsidR="00310588">
        <w:rPr>
          <w:rFonts w:ascii="Traditional Arabic" w:hAnsi="Traditional Arabic" w:hint="cs"/>
          <w:noProof w:val="0"/>
          <w:color w:val="auto"/>
          <w:rtl/>
          <w:lang w:eastAsia="en-US"/>
        </w:rPr>
        <w:t xml:space="preserve"> منها، فإنه يقدَّم دفع المفسدة، ولو فاتَت المصلحة</w:t>
      </w:r>
      <w:r w:rsidR="00310588" w:rsidRPr="00C821A1">
        <w:rPr>
          <w:rStyle w:val="af1"/>
          <w:szCs w:val="32"/>
          <w:rtl/>
        </w:rPr>
        <w:t>(</w:t>
      </w:r>
      <w:r w:rsidR="00310588" w:rsidRPr="00C821A1">
        <w:rPr>
          <w:rStyle w:val="af1"/>
          <w:szCs w:val="32"/>
          <w:rtl/>
        </w:rPr>
        <w:footnoteReference w:id="312"/>
      </w:r>
      <w:r w:rsidR="00310588" w:rsidRPr="00C821A1">
        <w:rPr>
          <w:rStyle w:val="af1"/>
          <w:szCs w:val="32"/>
          <w:rtl/>
        </w:rPr>
        <w:t>)</w:t>
      </w:r>
      <w:r w:rsidR="00310588">
        <w:rPr>
          <w:rFonts w:ascii="Traditional Arabic" w:hAnsi="Traditional Arabic" w:hint="cs"/>
          <w:noProof w:val="0"/>
          <w:color w:val="auto"/>
          <w:rtl/>
          <w:lang w:eastAsia="en-US"/>
        </w:rPr>
        <w:t>.</w:t>
      </w:r>
    </w:p>
    <w:p w:rsidR="00310588" w:rsidRPr="00310588" w:rsidRDefault="00AB6BD0" w:rsidP="00A8347C">
      <w:pPr>
        <w:pStyle w:val="aff3"/>
        <w:rPr>
          <w:rtl/>
        </w:rPr>
      </w:pPr>
      <w:bookmarkStart w:id="66" w:name="_Toc334046321"/>
      <w:r>
        <w:rPr>
          <w:rFonts w:hint="cs"/>
          <w:rtl/>
        </w:rPr>
        <w:t xml:space="preserve">               </w:t>
      </w:r>
      <w:r w:rsidR="002F50A0">
        <w:rPr>
          <w:rFonts w:hint="cs"/>
          <w:rtl/>
        </w:rPr>
        <w:t xml:space="preserve">  </w:t>
      </w:r>
      <w:r w:rsidR="00BE3E18">
        <w:rPr>
          <w:rFonts w:hint="cs"/>
          <w:rtl/>
        </w:rPr>
        <w:t xml:space="preserve">                     </w:t>
      </w:r>
      <w:r w:rsidR="00310588" w:rsidRPr="00310588">
        <w:rPr>
          <w:rFonts w:hint="cs"/>
          <w:rtl/>
        </w:rPr>
        <w:t>المطلب الثالث</w:t>
      </w:r>
      <w:r w:rsidR="00310588">
        <w:rPr>
          <w:rFonts w:hint="eastAsia"/>
          <w:rtl/>
        </w:rPr>
        <w:t> :</w:t>
      </w:r>
      <w:r w:rsidR="00310588">
        <w:rPr>
          <w:rFonts w:hint="cs"/>
          <w:rtl/>
        </w:rPr>
        <w:br/>
      </w:r>
      <w:r>
        <w:rPr>
          <w:rFonts w:hint="cs"/>
          <w:rtl/>
        </w:rPr>
        <w:t xml:space="preserve">            </w:t>
      </w:r>
      <w:r w:rsidR="002F50A0">
        <w:rPr>
          <w:rFonts w:hint="cs"/>
          <w:rtl/>
        </w:rPr>
        <w:t xml:space="preserve">   </w:t>
      </w:r>
      <w:r w:rsidR="00BE3E18">
        <w:rPr>
          <w:rFonts w:hint="cs"/>
          <w:rtl/>
        </w:rPr>
        <w:t xml:space="preserve">                         </w:t>
      </w:r>
      <w:r w:rsidR="00310588" w:rsidRPr="00310588">
        <w:rPr>
          <w:rFonts w:hint="cs"/>
          <w:rtl/>
        </w:rPr>
        <w:t>أدلة القاعدة</w:t>
      </w:r>
      <w:bookmarkEnd w:id="66"/>
    </w:p>
    <w:p w:rsidR="00310588" w:rsidRPr="0067519F" w:rsidRDefault="00310588" w:rsidP="000A76C7">
      <w:pPr>
        <w:pStyle w:val="afc"/>
        <w:widowControl/>
        <w:numPr>
          <w:ilvl w:val="0"/>
          <w:numId w:val="59"/>
        </w:numPr>
        <w:autoSpaceDE w:val="0"/>
        <w:autoSpaceDN w:val="0"/>
        <w:adjustRightInd w:val="0"/>
        <w:rPr>
          <w:rFonts w:ascii="Traditional Arabic" w:hAnsi="Traditional Arabic"/>
          <w:b/>
          <w:bCs/>
          <w:noProof w:val="0"/>
          <w:color w:val="auto"/>
          <w:lang w:eastAsia="en-US"/>
        </w:rPr>
      </w:pPr>
      <w:r>
        <w:rPr>
          <w:rFonts w:ascii="Traditional Arabic" w:hAnsi="Traditional Arabic" w:hint="cs"/>
          <w:noProof w:val="0"/>
          <w:color w:val="auto"/>
          <w:rtl/>
          <w:lang w:eastAsia="en-US"/>
        </w:rPr>
        <w:t>قول الله تعالى:</w:t>
      </w:r>
      <w:bookmarkStart w:id="67" w:name="سورة_الأنعام_108"/>
      <w:r w:rsidRPr="0067519F">
        <w:rPr>
          <w:rFonts w:ascii="QCF_BSML" w:hAnsi="QCF_BSML" w:cs="QCF_BSML"/>
          <w:noProof w:val="0"/>
          <w:rtl/>
          <w:lang w:eastAsia="en-US"/>
        </w:rPr>
        <w:t>ﭽ</w:t>
      </w:r>
      <w:r w:rsidRPr="0067519F">
        <w:rPr>
          <w:rFonts w:ascii="QCF_P141" w:hAnsi="QCF_P141" w:cs="QCF_P141"/>
          <w:noProof w:val="0"/>
          <w:rtl/>
          <w:lang w:eastAsia="en-US"/>
        </w:rPr>
        <w:t>ﮬ</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ﮭ</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ﮮ</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ﮯ</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ﮰ</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ﮱ</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ﯓ</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ﯔ</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ﯕ</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ﯖ</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ﯗ</w:t>
      </w:r>
      <w:r w:rsidR="002F50A0">
        <w:rPr>
          <w:rFonts w:ascii="QCF_P141" w:hAnsi="QCF_P141" w:cs="QCF_P141" w:hint="cs"/>
          <w:noProof w:val="0"/>
          <w:rtl/>
          <w:lang w:eastAsia="en-US"/>
        </w:rPr>
        <w:t xml:space="preserve"> </w:t>
      </w:r>
      <w:r w:rsidRPr="0067519F">
        <w:rPr>
          <w:rFonts w:ascii="QCF_P141" w:hAnsi="QCF_P141" w:cs="QCF_P141"/>
          <w:noProof w:val="0"/>
          <w:rtl/>
          <w:lang w:eastAsia="en-US"/>
        </w:rPr>
        <w:t>ﯘ</w:t>
      </w:r>
      <w:r w:rsidRPr="0067519F">
        <w:rPr>
          <w:rFonts w:ascii="QCF_BSML" w:hAnsi="QCF_BSML" w:cs="QCF_BSML"/>
          <w:noProof w:val="0"/>
          <w:rtl/>
          <w:lang w:eastAsia="en-US"/>
        </w:rPr>
        <w:t>ﭼ</w:t>
      </w:r>
      <w:bookmarkEnd w:id="67"/>
      <w:r>
        <w:rPr>
          <w:rFonts w:ascii="Traditional Arabic" w:hAnsi="Traditional Arabic" w:hint="cs"/>
          <w:noProof w:val="0"/>
          <w:color w:val="auto"/>
          <w:rtl/>
          <w:lang w:eastAsia="en-US"/>
        </w:rPr>
        <w:t>[</w:t>
      </w:r>
      <w:r w:rsidRPr="0067519F">
        <w:rPr>
          <w:rFonts w:ascii="Traditional Arabic" w:hAnsi="Traditional Arabic"/>
          <w:noProof w:val="0"/>
          <w:color w:val="auto"/>
          <w:rtl/>
          <w:lang w:eastAsia="en-US"/>
        </w:rPr>
        <w:t>الأنعام: ١٠٨</w:t>
      </w:r>
      <w:r>
        <w:rPr>
          <w:rFonts w:ascii="Traditional Arabic" w:hAnsi="Traditional Arabic" w:hint="cs"/>
          <w:noProof w:val="0"/>
          <w:color w:val="auto"/>
          <w:rtl/>
          <w:lang w:eastAsia="en-US"/>
        </w:rPr>
        <w:t>].</w:t>
      </w:r>
    </w:p>
    <w:p w:rsidR="00065E4B" w:rsidRPr="003A7C17" w:rsidRDefault="00310588" w:rsidP="003A7C17">
      <w:pPr>
        <w:widowControl/>
        <w:autoSpaceDE w:val="0"/>
        <w:autoSpaceDN w:val="0"/>
        <w:adjustRightInd w:val="0"/>
        <w:ind w:firstLine="0"/>
        <w:jc w:val="left"/>
        <w:rPr>
          <w:rFonts w:ascii="Traditional Arabic" w:hAnsi="Traditional Arabic"/>
          <w:b/>
          <w:bCs/>
          <w:noProof w:val="0"/>
          <w:color w:val="auto"/>
          <w:rtl/>
          <w:lang w:eastAsia="en-US"/>
        </w:rPr>
      </w:pPr>
      <w:r w:rsidRPr="003A7C17">
        <w:rPr>
          <w:rFonts w:ascii="Traditional Arabic" w:hAnsi="Traditional Arabic" w:hint="cs"/>
          <w:b/>
          <w:bCs/>
          <w:noProof w:val="0"/>
          <w:color w:val="auto"/>
          <w:rtl/>
          <w:lang w:eastAsia="en-US"/>
        </w:rPr>
        <w:lastRenderedPageBreak/>
        <w:t>وجه الدلالة:</w:t>
      </w:r>
    </w:p>
    <w:p w:rsidR="00310588" w:rsidRDefault="003A7C17" w:rsidP="003A7C17">
      <w:pPr>
        <w:widowControl/>
        <w:autoSpaceDE w:val="0"/>
        <w:autoSpaceDN w:val="0"/>
        <w:adjustRightInd w:val="0"/>
        <w:ind w:firstLine="0"/>
        <w:rPr>
          <w:rFonts w:ascii="Traditional Arabic" w:hAnsi="Traditional Arabic"/>
          <w:noProof w:val="0"/>
          <w:color w:val="auto"/>
          <w:rtl/>
          <w:lang w:eastAsia="en-US"/>
        </w:rPr>
      </w:pPr>
      <w:r>
        <w:rPr>
          <w:rFonts w:ascii="Traditional Arabic" w:hAnsi="Traditional Arabic" w:hint="cs"/>
          <w:noProof w:val="0"/>
          <w:rtl/>
          <w:lang w:eastAsia="en-US"/>
        </w:rPr>
        <w:t xml:space="preserve">    </w:t>
      </w:r>
      <w:r w:rsidR="002F50A0">
        <w:rPr>
          <w:rFonts w:ascii="Traditional Arabic" w:hAnsi="Traditional Arabic" w:hint="cs"/>
          <w:noProof w:val="0"/>
          <w:rtl/>
          <w:lang w:eastAsia="en-US"/>
        </w:rPr>
        <w:t>إ</w:t>
      </w:r>
      <w:r w:rsidR="00310588">
        <w:rPr>
          <w:rFonts w:ascii="Traditional Arabic" w:hAnsi="Traditional Arabic"/>
          <w:noProof w:val="0"/>
          <w:rtl/>
          <w:lang w:eastAsia="en-US"/>
        </w:rPr>
        <w:t>ن سب</w:t>
      </w:r>
      <w:r w:rsidR="00310588">
        <w:rPr>
          <w:rFonts w:ascii="Traditional Arabic" w:hAnsi="Traditional Arabic" w:hint="cs"/>
          <w:noProof w:val="0"/>
          <w:rtl/>
          <w:lang w:eastAsia="en-US"/>
        </w:rPr>
        <w:t>َّ</w:t>
      </w:r>
      <w:r w:rsidR="00310588">
        <w:rPr>
          <w:rFonts w:ascii="Traditional Arabic" w:hAnsi="Traditional Arabic"/>
          <w:noProof w:val="0"/>
          <w:rtl/>
          <w:lang w:eastAsia="en-US"/>
        </w:rPr>
        <w:t xml:space="preserve"> آلهة المشركين</w:t>
      </w:r>
      <w:r w:rsidR="00310588" w:rsidRPr="0067519F">
        <w:rPr>
          <w:rFonts w:ascii="Traditional Arabic" w:hAnsi="Traditional Arabic"/>
          <w:noProof w:val="0"/>
          <w:rtl/>
          <w:lang w:eastAsia="en-US"/>
        </w:rPr>
        <w:t xml:space="preserve"> أمر</w:t>
      </w:r>
      <w:r w:rsidR="00310588">
        <w:rPr>
          <w:rFonts w:ascii="Traditional Arabic" w:hAnsi="Traditional Arabic" w:hint="cs"/>
          <w:noProof w:val="0"/>
          <w:rtl/>
          <w:lang w:eastAsia="en-US"/>
        </w:rPr>
        <w:t>ٌ</w:t>
      </w:r>
      <w:r w:rsidR="00310588" w:rsidRPr="0067519F">
        <w:rPr>
          <w:rFonts w:ascii="Traditional Arabic" w:hAnsi="Traditional Arabic"/>
          <w:noProof w:val="0"/>
          <w:rtl/>
          <w:lang w:eastAsia="en-US"/>
        </w:rPr>
        <w:t xml:space="preserve"> مطلوب،</w:t>
      </w:r>
      <w:r w:rsidR="00310588">
        <w:rPr>
          <w:rFonts w:ascii="Traditional Arabic" w:hAnsi="Traditional Arabic" w:hint="cs"/>
          <w:noProof w:val="0"/>
          <w:rtl/>
          <w:lang w:eastAsia="en-US"/>
        </w:rPr>
        <w:t xml:space="preserve"> ولا شك أنه مصلحة،</w:t>
      </w:r>
      <w:r w:rsidR="00310588">
        <w:rPr>
          <w:rFonts w:ascii="Traditional Arabic" w:hAnsi="Traditional Arabic"/>
          <w:noProof w:val="0"/>
          <w:rtl/>
          <w:lang w:eastAsia="en-US"/>
        </w:rPr>
        <w:t xml:space="preserve">لكن لما كان يترتب عليه </w:t>
      </w:r>
      <w:r w:rsidR="00310588">
        <w:rPr>
          <w:rFonts w:ascii="Traditional Arabic" w:hAnsi="Traditional Arabic" w:hint="cs"/>
          <w:noProof w:val="0"/>
          <w:rtl/>
          <w:lang w:eastAsia="en-US"/>
        </w:rPr>
        <w:t>مفسدة</w:t>
      </w:r>
      <w:r w:rsidR="00310588">
        <w:rPr>
          <w:rFonts w:ascii="Traditional Arabic" w:hAnsi="Traditional Arabic"/>
          <w:noProof w:val="0"/>
          <w:rtl/>
          <w:lang w:eastAsia="en-US"/>
        </w:rPr>
        <w:t xml:space="preserve"> أعظم، وهو سب</w:t>
      </w:r>
      <w:r w:rsidR="00310588">
        <w:rPr>
          <w:rFonts w:ascii="Traditional Arabic" w:hAnsi="Traditional Arabic" w:hint="cs"/>
          <w:noProof w:val="0"/>
          <w:rtl/>
          <w:lang w:eastAsia="en-US"/>
        </w:rPr>
        <w:t>ُّ</w:t>
      </w:r>
      <w:r w:rsidR="00310588">
        <w:rPr>
          <w:rFonts w:ascii="Traditional Arabic" w:hAnsi="Traditional Arabic"/>
          <w:noProof w:val="0"/>
          <w:rtl/>
          <w:lang w:eastAsia="en-US"/>
        </w:rPr>
        <w:t>هم لله تعال</w:t>
      </w:r>
      <w:r w:rsidR="00310588">
        <w:rPr>
          <w:rFonts w:ascii="Traditional Arabic" w:hAnsi="Traditional Arabic" w:hint="cs"/>
          <w:noProof w:val="0"/>
          <w:rtl/>
          <w:lang w:eastAsia="en-US"/>
        </w:rPr>
        <w:t>ى</w:t>
      </w:r>
      <w:r w:rsidR="00310588">
        <w:rPr>
          <w:rFonts w:ascii="Traditional Arabic" w:hAnsi="Traditional Arabic"/>
          <w:noProof w:val="0"/>
          <w:rtl/>
          <w:lang w:eastAsia="en-US"/>
        </w:rPr>
        <w:t xml:space="preserve"> عدواً بغير علم، نه</w:t>
      </w:r>
      <w:r w:rsidR="00310588">
        <w:rPr>
          <w:rFonts w:ascii="Traditional Arabic" w:hAnsi="Traditional Arabic" w:hint="cs"/>
          <w:noProof w:val="0"/>
          <w:rtl/>
          <w:lang w:eastAsia="en-US"/>
        </w:rPr>
        <w:t>ى</w:t>
      </w:r>
      <w:r w:rsidR="00310588">
        <w:rPr>
          <w:rFonts w:ascii="Traditional Arabic" w:hAnsi="Traditional Arabic"/>
          <w:noProof w:val="0"/>
          <w:rtl/>
          <w:lang w:eastAsia="en-US"/>
        </w:rPr>
        <w:t xml:space="preserve"> الله عن سب آله</w:t>
      </w:r>
      <w:r w:rsidR="00310588">
        <w:rPr>
          <w:rFonts w:ascii="Traditional Arabic" w:hAnsi="Traditional Arabic" w:hint="cs"/>
          <w:noProof w:val="0"/>
          <w:rtl/>
          <w:lang w:eastAsia="en-US"/>
        </w:rPr>
        <w:t>تهم</w:t>
      </w:r>
      <w:r w:rsidR="00310588" w:rsidRPr="0067519F">
        <w:rPr>
          <w:rFonts w:ascii="Traditional Arabic" w:hAnsi="Traditional Arabic"/>
          <w:noProof w:val="0"/>
          <w:rtl/>
          <w:lang w:eastAsia="en-US"/>
        </w:rPr>
        <w:t xml:space="preserve"> في هذه الحال</w:t>
      </w:r>
      <w:r w:rsidR="00310588" w:rsidRPr="00C821A1">
        <w:rPr>
          <w:rStyle w:val="af1"/>
          <w:szCs w:val="32"/>
          <w:rtl/>
        </w:rPr>
        <w:t>(</w:t>
      </w:r>
      <w:r w:rsidR="00310588" w:rsidRPr="00C821A1">
        <w:rPr>
          <w:rStyle w:val="af1"/>
          <w:szCs w:val="32"/>
          <w:rtl/>
        </w:rPr>
        <w:footnoteReference w:id="313"/>
      </w:r>
      <w:r w:rsidR="00310588" w:rsidRPr="00C821A1">
        <w:rPr>
          <w:rStyle w:val="af1"/>
          <w:szCs w:val="32"/>
          <w:rtl/>
        </w:rPr>
        <w:t>)</w:t>
      </w:r>
      <w:r w:rsidR="00310588" w:rsidRPr="0067519F">
        <w:rPr>
          <w:rFonts w:ascii="Traditional Arabic" w:hAnsi="Traditional Arabic"/>
          <w:noProof w:val="0"/>
          <w:rtl/>
          <w:lang w:eastAsia="en-US"/>
        </w:rPr>
        <w:t>.</w:t>
      </w:r>
    </w:p>
    <w:p w:rsidR="00310588" w:rsidRDefault="00310588" w:rsidP="000A76C7">
      <w:pPr>
        <w:pStyle w:val="afc"/>
        <w:widowControl/>
        <w:numPr>
          <w:ilvl w:val="0"/>
          <w:numId w:val="59"/>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قول الله تعالى:</w:t>
      </w:r>
      <w:bookmarkStart w:id="68" w:name="سورة_البقرة_219_2"/>
      <w:r w:rsidR="003A7C17">
        <w:rPr>
          <w:rFonts w:ascii="QCF_BSML" w:hAnsi="QCF_BSML" w:cs="QCF_BSML" w:hint="cs"/>
          <w:noProof w:val="0"/>
          <w:rtl/>
          <w:lang w:eastAsia="en-US"/>
        </w:rPr>
        <w:t xml:space="preserve">   </w:t>
      </w:r>
      <w:r w:rsidRPr="0075200E">
        <w:rPr>
          <w:rFonts w:ascii="QCF_BSML" w:hAnsi="QCF_BSML" w:cs="QCF_BSML"/>
          <w:noProof w:val="0"/>
          <w:rtl/>
          <w:lang w:eastAsia="en-US"/>
        </w:rPr>
        <w:t>ﭽ</w:t>
      </w:r>
      <w:r w:rsidRPr="0075200E">
        <w:rPr>
          <w:rFonts w:ascii="QCF_P034" w:hAnsi="QCF_P034" w:cs="QCF_P034"/>
          <w:noProof w:val="0"/>
          <w:rtl/>
          <w:lang w:eastAsia="en-US"/>
        </w:rPr>
        <w:t>ﯣ</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ﯤ</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ﯥ</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ﯦ</w:t>
      </w:r>
      <w:r w:rsidR="002F50A0">
        <w:rPr>
          <w:rFonts w:ascii="QCF_P034" w:hAnsi="QCF_P034" w:cs="QCF_P034" w:hint="cs"/>
          <w:noProof w:val="0"/>
          <w:rtl/>
          <w:lang w:eastAsia="en-US"/>
        </w:rPr>
        <w:t xml:space="preserve"> </w:t>
      </w:r>
      <w:r w:rsidRPr="0075200E">
        <w:rPr>
          <w:rFonts w:ascii="QCF_P034" w:hAnsi="QCF_P034" w:cs="QCF_P034"/>
          <w:noProof w:val="0"/>
          <w:color w:val="0000A5"/>
          <w:rtl/>
          <w:lang w:eastAsia="en-US"/>
        </w:rPr>
        <w:t>ﯧ</w:t>
      </w:r>
      <w:r w:rsidRPr="0075200E">
        <w:rPr>
          <w:rFonts w:ascii="QCF_P034" w:hAnsi="QCF_P034" w:cs="QCF_P034"/>
          <w:noProof w:val="0"/>
          <w:rtl/>
          <w:lang w:eastAsia="en-US"/>
        </w:rPr>
        <w:t>ﯨ</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ﯩ</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ﯪ</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 xml:space="preserve"> ﯫ</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ﯬ</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ﯭ</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ﯮ</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ﯯ</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ﯰ</w:t>
      </w:r>
      <w:r w:rsidR="002F50A0">
        <w:rPr>
          <w:rFonts w:ascii="QCF_P034" w:hAnsi="QCF_P034" w:cs="QCF_P034" w:hint="cs"/>
          <w:noProof w:val="0"/>
          <w:rtl/>
          <w:lang w:eastAsia="en-US"/>
        </w:rPr>
        <w:t xml:space="preserve">  </w:t>
      </w:r>
      <w:r w:rsidRPr="0075200E">
        <w:rPr>
          <w:rFonts w:ascii="QCF_P034" w:hAnsi="QCF_P034" w:cs="QCF_P034"/>
          <w:noProof w:val="0"/>
          <w:rtl/>
          <w:lang w:eastAsia="en-US"/>
        </w:rPr>
        <w:t>ﯱ</w:t>
      </w:r>
      <w:r w:rsidRPr="0075200E">
        <w:rPr>
          <w:rFonts w:ascii="QCF_BSML" w:hAnsi="QCF_BSML" w:cs="QCF_BSML"/>
          <w:noProof w:val="0"/>
          <w:rtl/>
          <w:lang w:eastAsia="en-US"/>
        </w:rPr>
        <w:t>ﭼ</w:t>
      </w:r>
      <w:bookmarkEnd w:id="68"/>
      <w:r>
        <w:rPr>
          <w:rFonts w:ascii="Traditional Arabic" w:hAnsi="Traditional Arabic" w:hint="cs"/>
          <w:noProof w:val="0"/>
          <w:color w:val="auto"/>
          <w:rtl/>
          <w:lang w:eastAsia="en-US"/>
        </w:rPr>
        <w:t>[</w:t>
      </w:r>
      <w:r w:rsidRPr="0075200E">
        <w:rPr>
          <w:rFonts w:ascii="Traditional Arabic" w:hAnsi="Traditional Arabic"/>
          <w:noProof w:val="0"/>
          <w:color w:val="auto"/>
          <w:rtl/>
          <w:lang w:eastAsia="en-US"/>
        </w:rPr>
        <w:t>البقرة: ٢١٩</w:t>
      </w:r>
      <w:r>
        <w:rPr>
          <w:rFonts w:ascii="Traditional Arabic" w:hAnsi="Traditional Arabic" w:hint="cs"/>
          <w:noProof w:val="0"/>
          <w:color w:val="auto"/>
          <w:rtl/>
          <w:lang w:eastAsia="en-US"/>
        </w:rPr>
        <w:t>].</w:t>
      </w:r>
    </w:p>
    <w:p w:rsidR="00065E4B" w:rsidRDefault="00310588" w:rsidP="00597C20">
      <w:pPr>
        <w:pStyle w:val="53"/>
        <w:rPr>
          <w:rtl/>
        </w:rPr>
      </w:pPr>
      <w:r>
        <w:rPr>
          <w:rFonts w:hint="cs"/>
          <w:rtl/>
        </w:rPr>
        <w:t>وجه الدلالة:</w:t>
      </w:r>
    </w:p>
    <w:p w:rsidR="00310588" w:rsidRDefault="003A7C17" w:rsidP="003A7C17">
      <w:pPr>
        <w:widowControl/>
        <w:autoSpaceDE w:val="0"/>
        <w:autoSpaceDN w:val="0"/>
        <w:adjustRightInd w:val="0"/>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sidRPr="00650F9C">
        <w:rPr>
          <w:rFonts w:ascii="Traditional Arabic" w:hAnsi="Traditional Arabic"/>
          <w:noProof w:val="0"/>
          <w:color w:val="auto"/>
          <w:rtl/>
          <w:lang w:eastAsia="en-US"/>
        </w:rPr>
        <w:t>أ</w:t>
      </w:r>
      <w:r w:rsidR="00310588" w:rsidRPr="00650F9C">
        <w:rPr>
          <w:rFonts w:ascii="Traditional Arabic" w:hAnsi="Traditional Arabic"/>
          <w:noProof w:val="0"/>
          <w:color w:val="auto"/>
          <w:rtl/>
          <w:lang w:eastAsia="en-US"/>
        </w:rPr>
        <w:t>مر الله تعالى</w:t>
      </w:r>
      <w:r w:rsidR="00310588">
        <w:rPr>
          <w:rFonts w:ascii="Traditional Arabic" w:hAnsi="Traditional Arabic" w:hint="cs"/>
          <w:noProof w:val="0"/>
          <w:color w:val="auto"/>
          <w:rtl/>
          <w:lang w:eastAsia="en-US"/>
        </w:rPr>
        <w:t xml:space="preserve"> في الآية الأولى</w:t>
      </w:r>
      <w:r w:rsidR="00310588" w:rsidRPr="00650F9C">
        <w:rPr>
          <w:rFonts w:ascii="Traditional Arabic" w:hAnsi="Traditional Arabic"/>
          <w:noProof w:val="0"/>
          <w:color w:val="auto"/>
          <w:rtl/>
          <w:lang w:eastAsia="en-US"/>
        </w:rPr>
        <w:t xml:space="preserve"> باجتناب هذه الأربعة: الخمر</w:t>
      </w:r>
      <w:r w:rsidR="00310588">
        <w:rPr>
          <w:rFonts w:ascii="Traditional Arabic" w:hAnsi="Traditional Arabic"/>
          <w:noProof w:val="0"/>
          <w:color w:val="auto"/>
          <w:rtl/>
          <w:lang w:eastAsia="en-US"/>
        </w:rPr>
        <w:t xml:space="preserve"> والميسر والأنصاب والأزلام</w:t>
      </w:r>
      <w:r w:rsidR="00310588">
        <w:rPr>
          <w:rFonts w:ascii="Traditional Arabic" w:hAnsi="Traditional Arabic" w:hint="cs"/>
          <w:noProof w:val="0"/>
          <w:color w:val="auto"/>
          <w:rtl/>
          <w:lang w:eastAsia="en-US"/>
        </w:rPr>
        <w:t>،</w:t>
      </w:r>
      <w:r w:rsidR="00310588" w:rsidRPr="00650F9C">
        <w:rPr>
          <w:rFonts w:ascii="Traditional Arabic" w:hAnsi="Traditional Arabic"/>
          <w:noProof w:val="0"/>
          <w:color w:val="auto"/>
          <w:rtl/>
          <w:lang w:eastAsia="en-US"/>
        </w:rPr>
        <w:t xml:space="preserve"> وع</w:t>
      </w:r>
      <w:r w:rsidR="00310588">
        <w:rPr>
          <w:rFonts w:ascii="Traditional Arabic" w:hAnsi="Traditional Arabic" w:hint="cs"/>
          <w:noProof w:val="0"/>
          <w:color w:val="auto"/>
          <w:rtl/>
          <w:lang w:eastAsia="en-US"/>
        </w:rPr>
        <w:t>َ</w:t>
      </w:r>
      <w:r w:rsidR="00310588" w:rsidRPr="00650F9C">
        <w:rPr>
          <w:rFonts w:ascii="Traditional Arabic" w:hAnsi="Traditional Arabic"/>
          <w:noProof w:val="0"/>
          <w:color w:val="auto"/>
          <w:rtl/>
          <w:lang w:eastAsia="en-US"/>
        </w:rPr>
        <w:t>ل</w:t>
      </w:r>
      <w:r w:rsidR="00310588">
        <w:rPr>
          <w:rFonts w:ascii="Traditional Arabic" w:hAnsi="Traditional Arabic" w:hint="cs"/>
          <w:noProof w:val="0"/>
          <w:color w:val="auto"/>
          <w:rtl/>
          <w:lang w:eastAsia="en-US"/>
        </w:rPr>
        <w:t>َّ</w:t>
      </w:r>
      <w:r w:rsidR="00310588" w:rsidRPr="00650F9C">
        <w:rPr>
          <w:rFonts w:ascii="Traditional Arabic" w:hAnsi="Traditional Arabic"/>
          <w:noProof w:val="0"/>
          <w:color w:val="auto"/>
          <w:rtl/>
          <w:lang w:eastAsia="en-US"/>
        </w:rPr>
        <w:t>ل اجتناب</w:t>
      </w:r>
      <w:r w:rsidR="00310588">
        <w:rPr>
          <w:rFonts w:ascii="Traditional Arabic" w:hAnsi="Traditional Arabic" w:hint="cs"/>
          <w:noProof w:val="0"/>
          <w:color w:val="auto"/>
          <w:rtl/>
          <w:lang w:eastAsia="en-US"/>
        </w:rPr>
        <w:t>َ</w:t>
      </w:r>
      <w:r w:rsidR="00310588" w:rsidRPr="00650F9C">
        <w:rPr>
          <w:rFonts w:ascii="Traditional Arabic" w:hAnsi="Traditional Arabic"/>
          <w:noProof w:val="0"/>
          <w:color w:val="auto"/>
          <w:rtl/>
          <w:lang w:eastAsia="en-US"/>
        </w:rPr>
        <w:t xml:space="preserve"> الخمر والميسر في </w:t>
      </w:r>
      <w:r w:rsidR="00310588">
        <w:rPr>
          <w:rFonts w:ascii="Traditional Arabic" w:hAnsi="Traditional Arabic" w:hint="cs"/>
          <w:noProof w:val="0"/>
          <w:color w:val="auto"/>
          <w:rtl/>
          <w:lang w:eastAsia="en-US"/>
        </w:rPr>
        <w:t>ال</w:t>
      </w:r>
      <w:r w:rsidR="00310588" w:rsidRPr="00650F9C">
        <w:rPr>
          <w:rFonts w:ascii="Traditional Arabic" w:hAnsi="Traditional Arabic"/>
          <w:noProof w:val="0"/>
          <w:color w:val="auto"/>
          <w:rtl/>
          <w:lang w:eastAsia="en-US"/>
        </w:rPr>
        <w:t xml:space="preserve">آية </w:t>
      </w:r>
      <w:r w:rsidR="00310588">
        <w:rPr>
          <w:rFonts w:ascii="Traditional Arabic" w:hAnsi="Traditional Arabic" w:hint="cs"/>
          <w:noProof w:val="0"/>
          <w:color w:val="auto"/>
          <w:rtl/>
          <w:lang w:eastAsia="en-US"/>
        </w:rPr>
        <w:t>ال</w:t>
      </w:r>
      <w:r w:rsidR="00310588" w:rsidRPr="00650F9C">
        <w:rPr>
          <w:rFonts w:ascii="Traditional Arabic" w:hAnsi="Traditional Arabic"/>
          <w:noProof w:val="0"/>
          <w:color w:val="auto"/>
          <w:rtl/>
          <w:lang w:eastAsia="en-US"/>
        </w:rPr>
        <w:t>أخرى بأن فيهما إثما كبيرا ومنافع</w:t>
      </w:r>
      <w:r w:rsidR="00310588">
        <w:rPr>
          <w:rFonts w:ascii="Traditional Arabic" w:hAnsi="Traditional Arabic" w:hint="cs"/>
          <w:noProof w:val="0"/>
          <w:color w:val="auto"/>
          <w:rtl/>
          <w:lang w:eastAsia="en-US"/>
        </w:rPr>
        <w:t>َ</w:t>
      </w:r>
      <w:r w:rsidR="00310588" w:rsidRPr="00650F9C">
        <w:rPr>
          <w:rFonts w:ascii="Traditional Arabic" w:hAnsi="Traditional Arabic"/>
          <w:noProof w:val="0"/>
          <w:color w:val="auto"/>
          <w:rtl/>
          <w:lang w:eastAsia="en-US"/>
        </w:rPr>
        <w:t xml:space="preserve"> للناس</w:t>
      </w:r>
      <w:r w:rsidR="00310588">
        <w:rPr>
          <w:rFonts w:ascii="Traditional Arabic" w:hAnsi="Traditional Arabic" w:hint="cs"/>
          <w:noProof w:val="0"/>
          <w:color w:val="auto"/>
          <w:rtl/>
          <w:lang w:eastAsia="en-US"/>
        </w:rPr>
        <w:t xml:space="preserve"> وأن الضرر فيهما أكبر من النفع</w:t>
      </w:r>
      <w:r w:rsidR="00310588" w:rsidRPr="00650F9C">
        <w:rPr>
          <w:rFonts w:ascii="Traditional Arabic" w:hAnsi="Traditional Arabic"/>
          <w:noProof w:val="0"/>
          <w:color w:val="auto"/>
          <w:rtl/>
          <w:lang w:eastAsia="en-US"/>
        </w:rPr>
        <w:t xml:space="preserve">، </w:t>
      </w:r>
      <w:r w:rsidR="00310588">
        <w:rPr>
          <w:rFonts w:ascii="Traditional Arabic" w:hAnsi="Traditional Arabic" w:hint="cs"/>
          <w:noProof w:val="0"/>
          <w:color w:val="auto"/>
          <w:rtl/>
          <w:lang w:eastAsia="en-US"/>
        </w:rPr>
        <w:t>فالمنافع تقتضي الإباحة، لكن لما غلب فيهما جانب الشر مُنع منهما، فإذا اجتمعت المفاسد والمصالح وترجَّح جانب المفسدة فإنه يغلَّب جان</w:t>
      </w:r>
      <w:r>
        <w:rPr>
          <w:rFonts w:ascii="Traditional Arabic" w:hAnsi="Traditional Arabic" w:hint="cs"/>
          <w:noProof w:val="0"/>
          <w:color w:val="auto"/>
          <w:rtl/>
          <w:lang w:eastAsia="en-US"/>
        </w:rPr>
        <w:t>ِ</w:t>
      </w:r>
      <w:r w:rsidR="00310588">
        <w:rPr>
          <w:rFonts w:ascii="Traditional Arabic" w:hAnsi="Traditional Arabic" w:hint="cs"/>
          <w:noProof w:val="0"/>
          <w:color w:val="auto"/>
          <w:rtl/>
          <w:lang w:eastAsia="en-US"/>
        </w:rPr>
        <w:t>بها</w:t>
      </w:r>
      <w:r w:rsidR="00310588" w:rsidRPr="00C821A1">
        <w:rPr>
          <w:rStyle w:val="af1"/>
          <w:szCs w:val="32"/>
          <w:rtl/>
        </w:rPr>
        <w:t>(</w:t>
      </w:r>
      <w:r w:rsidR="00310588" w:rsidRPr="00C821A1">
        <w:rPr>
          <w:rStyle w:val="af1"/>
          <w:szCs w:val="32"/>
          <w:rtl/>
        </w:rPr>
        <w:footnoteReference w:id="314"/>
      </w:r>
      <w:r w:rsidR="00310588" w:rsidRPr="00C821A1">
        <w:rPr>
          <w:rStyle w:val="af1"/>
          <w:szCs w:val="32"/>
          <w:rtl/>
        </w:rPr>
        <w:t>)</w:t>
      </w:r>
      <w:r w:rsidR="00310588">
        <w:rPr>
          <w:rFonts w:ascii="Traditional Arabic" w:hAnsi="Traditional Arabic" w:hint="cs"/>
          <w:noProof w:val="0"/>
          <w:color w:val="auto"/>
          <w:rtl/>
          <w:lang w:eastAsia="en-US"/>
        </w:rPr>
        <w:t>.</w:t>
      </w:r>
    </w:p>
    <w:p w:rsidR="00310588" w:rsidRDefault="005447E4" w:rsidP="000A76C7">
      <w:pPr>
        <w:pStyle w:val="afc"/>
        <w:numPr>
          <w:ilvl w:val="0"/>
          <w:numId w:val="59"/>
        </w:numPr>
        <w:spacing w:line="620" w:lineRule="exact"/>
        <w:jc w:val="lowKashida"/>
        <w:rPr>
          <w:rFonts w:ascii="Traditional Arabic" w:hAnsi="Traditional Arabic"/>
        </w:rPr>
      </w:pPr>
      <w:r>
        <w:rPr>
          <w:rFonts w:ascii="Traditional Arabic" w:hAnsi="Traditional Arabic" w:hint="cs"/>
          <w:rtl/>
        </w:rPr>
        <w:t xml:space="preserve">حديث </w:t>
      </w:r>
      <w:r w:rsidR="00310588" w:rsidRPr="00462E72">
        <w:rPr>
          <w:rFonts w:ascii="Traditional Arabic" w:hAnsi="Traditional Arabic"/>
          <w:rtl/>
        </w:rPr>
        <w:t xml:space="preserve">عائشة </w:t>
      </w:r>
      <w:r w:rsidR="003A7C17">
        <w:rPr>
          <w:rFonts w:ascii="Traditional Arabic" w:hAnsi="Traditional Arabic" w:hint="cs"/>
          <w:rtl/>
        </w:rPr>
        <w:t>_</w:t>
      </w:r>
      <w:r w:rsidR="00154102">
        <w:rPr>
          <w:rFonts w:ascii="Traditional Arabic" w:hAnsi="Traditional Arabic" w:cs="CTraditional Arabic" w:hint="cs"/>
          <w:noProof w:val="0"/>
          <w:color w:val="auto"/>
          <w:rtl/>
          <w:lang w:eastAsia="en-US"/>
        </w:rPr>
        <w:t>ل</w:t>
      </w:r>
      <w:r w:rsidR="003A7C17">
        <w:rPr>
          <w:rFonts w:ascii="Traditional Arabic" w:hAnsi="Traditional Arabic" w:hint="cs"/>
          <w:rtl/>
        </w:rPr>
        <w:t>_</w:t>
      </w:r>
      <w:r w:rsidR="00310588" w:rsidRPr="00462E72">
        <w:rPr>
          <w:rFonts w:ascii="Traditional Arabic" w:hAnsi="Traditional Arabic"/>
          <w:rtl/>
        </w:rPr>
        <w:t xml:space="preserve"> أن النبي </w:t>
      </w:r>
      <w:r w:rsidR="00310588" w:rsidRPr="00462E72">
        <w:rPr>
          <w:rFonts w:ascii="Traditional Arabic" w:hAnsi="Traditional Arabic"/>
        </w:rPr>
        <w:sym w:font="AGA Arabesque" w:char="F065"/>
      </w:r>
      <w:r w:rsidR="00310588">
        <w:rPr>
          <w:rFonts w:ascii="Traditional Arabic" w:hAnsi="Traditional Arabic"/>
          <w:rtl/>
        </w:rPr>
        <w:t xml:space="preserve"> قال لها:</w:t>
      </w:r>
      <w:r w:rsidR="003A7C17">
        <w:rPr>
          <w:rFonts w:ascii="Traditional Arabic" w:hAnsi="Traditional Arabic" w:hint="cs"/>
          <w:rtl/>
        </w:rPr>
        <w:t xml:space="preserve"> </w:t>
      </w:r>
      <w:r w:rsidR="00310588" w:rsidRPr="00462E72">
        <w:rPr>
          <w:rFonts w:ascii="Traditional Arabic" w:hAnsi="Traditional Arabic"/>
          <w:rtl/>
        </w:rPr>
        <w:t>"يا عائشة لولا قوم</w:t>
      </w:r>
      <w:r w:rsidR="00310588">
        <w:rPr>
          <w:rFonts w:ascii="Traditional Arabic" w:hAnsi="Traditional Arabic" w:hint="cs"/>
          <w:rtl/>
        </w:rPr>
        <w:t>ُ</w:t>
      </w:r>
      <w:r w:rsidR="00310588" w:rsidRPr="00462E72">
        <w:rPr>
          <w:rFonts w:ascii="Traditional Arabic" w:hAnsi="Traditional Arabic"/>
          <w:rtl/>
        </w:rPr>
        <w:t>ك حديث</w:t>
      </w:r>
      <w:r w:rsidR="00310588">
        <w:rPr>
          <w:rFonts w:ascii="Traditional Arabic" w:hAnsi="Traditional Arabic" w:hint="cs"/>
          <w:rtl/>
        </w:rPr>
        <w:t>ٌ</w:t>
      </w:r>
      <w:r w:rsidR="00310588" w:rsidRPr="00462E72">
        <w:rPr>
          <w:rFonts w:ascii="Traditional Arabic" w:hAnsi="Traditional Arabic"/>
          <w:rtl/>
        </w:rPr>
        <w:t xml:space="preserve"> عهد</w:t>
      </w:r>
      <w:r w:rsidR="00310588">
        <w:rPr>
          <w:rFonts w:ascii="Traditional Arabic" w:hAnsi="Traditional Arabic" w:hint="cs"/>
          <w:rtl/>
        </w:rPr>
        <w:t>ُ</w:t>
      </w:r>
      <w:r w:rsidR="00310588" w:rsidRPr="00462E72">
        <w:rPr>
          <w:rFonts w:ascii="Traditional Arabic" w:hAnsi="Traditional Arabic"/>
          <w:rtl/>
        </w:rPr>
        <w:t>هم ب</w:t>
      </w:r>
      <w:r w:rsidR="00310588">
        <w:rPr>
          <w:rFonts w:ascii="Traditional Arabic" w:hAnsi="Traditional Arabic" w:hint="cs"/>
          <w:rtl/>
        </w:rPr>
        <w:t>ِ</w:t>
      </w:r>
      <w:r w:rsidR="00310588" w:rsidRPr="00462E72">
        <w:rPr>
          <w:rFonts w:ascii="Traditional Arabic" w:hAnsi="Traditional Arabic"/>
          <w:rtl/>
        </w:rPr>
        <w:t>ك</w:t>
      </w:r>
      <w:r w:rsidR="00310588">
        <w:rPr>
          <w:rFonts w:ascii="Traditional Arabic" w:hAnsi="Traditional Arabic" w:hint="cs"/>
          <w:rtl/>
        </w:rPr>
        <w:t>ُ</w:t>
      </w:r>
      <w:r w:rsidR="00310588" w:rsidRPr="00462E72">
        <w:rPr>
          <w:rFonts w:ascii="Traditional Arabic" w:hAnsi="Traditional Arabic"/>
          <w:rtl/>
        </w:rPr>
        <w:t>فــر</w:t>
      </w:r>
      <w:r w:rsidR="00310588">
        <w:rPr>
          <w:rFonts w:ascii="Traditional Arabic" w:hAnsi="Traditional Arabic" w:hint="cs"/>
          <w:rtl/>
        </w:rPr>
        <w:t>ٍ</w:t>
      </w:r>
      <w:r w:rsidR="00310588" w:rsidRPr="00462E72">
        <w:rPr>
          <w:rFonts w:ascii="Traditional Arabic" w:hAnsi="Traditional Arabic"/>
          <w:rtl/>
        </w:rPr>
        <w:t>،</w:t>
      </w:r>
      <w:r w:rsidR="00AB0B9E">
        <w:rPr>
          <w:rFonts w:ascii="Traditional Arabic" w:hAnsi="Traditional Arabic"/>
          <w:rtl/>
        </w:rPr>
        <w:fldChar w:fldCharType="begin"/>
      </w:r>
      <w:r w:rsidR="00F706D7" w:rsidRPr="00531753">
        <w:instrText>XE</w:instrText>
      </w:r>
      <w:r w:rsidR="00F706D7" w:rsidRPr="00531753">
        <w:rPr>
          <w:rtl/>
        </w:rPr>
        <w:instrText xml:space="preserve"> "</w:instrText>
      </w:r>
      <w:r w:rsidR="00F706D7" w:rsidRPr="00531753">
        <w:rPr>
          <w:rFonts w:ascii="Traditional Arabic" w:hAnsi="Traditional Arabic"/>
          <w:rtl/>
        </w:rPr>
        <w:instrText>يا عائشة لولا قوم</w:instrText>
      </w:r>
      <w:r w:rsidR="00F706D7" w:rsidRPr="00531753">
        <w:rPr>
          <w:rFonts w:ascii="Traditional Arabic" w:hAnsi="Traditional Arabic" w:hint="cs"/>
          <w:rtl/>
        </w:rPr>
        <w:instrText>ُ</w:instrText>
      </w:r>
      <w:r w:rsidR="00F706D7" w:rsidRPr="00531753">
        <w:rPr>
          <w:rFonts w:ascii="Traditional Arabic" w:hAnsi="Traditional Arabic"/>
          <w:rtl/>
        </w:rPr>
        <w:instrText>ك حديث</w:instrText>
      </w:r>
      <w:r w:rsidR="00F706D7" w:rsidRPr="00531753">
        <w:rPr>
          <w:rFonts w:ascii="Traditional Arabic" w:hAnsi="Traditional Arabic" w:hint="cs"/>
          <w:rtl/>
        </w:rPr>
        <w:instrText>ٌ</w:instrText>
      </w:r>
      <w:r w:rsidR="00F706D7" w:rsidRPr="00531753">
        <w:rPr>
          <w:rFonts w:ascii="Traditional Arabic" w:hAnsi="Traditional Arabic"/>
          <w:rtl/>
        </w:rPr>
        <w:instrText xml:space="preserve"> عهد</w:instrText>
      </w:r>
      <w:r w:rsidR="00F706D7" w:rsidRPr="00531753">
        <w:rPr>
          <w:rFonts w:ascii="Traditional Arabic" w:hAnsi="Traditional Arabic" w:hint="cs"/>
          <w:rtl/>
        </w:rPr>
        <w:instrText>ُ</w:instrText>
      </w:r>
      <w:r w:rsidR="00F706D7" w:rsidRPr="00531753">
        <w:rPr>
          <w:rFonts w:ascii="Traditional Arabic" w:hAnsi="Traditional Arabic"/>
          <w:rtl/>
        </w:rPr>
        <w:instrText>هم ب</w:instrText>
      </w:r>
      <w:r w:rsidR="00F706D7" w:rsidRPr="00531753">
        <w:rPr>
          <w:rFonts w:ascii="Traditional Arabic" w:hAnsi="Traditional Arabic" w:hint="cs"/>
          <w:rtl/>
        </w:rPr>
        <w:instrText>ِ</w:instrText>
      </w:r>
      <w:r w:rsidR="00F706D7" w:rsidRPr="00531753">
        <w:rPr>
          <w:rFonts w:ascii="Traditional Arabic" w:hAnsi="Traditional Arabic"/>
          <w:rtl/>
        </w:rPr>
        <w:instrText>ك</w:instrText>
      </w:r>
      <w:r w:rsidR="00F706D7" w:rsidRPr="00531753">
        <w:rPr>
          <w:rFonts w:ascii="Traditional Arabic" w:hAnsi="Traditional Arabic" w:hint="cs"/>
          <w:rtl/>
        </w:rPr>
        <w:instrText>ُ</w:instrText>
      </w:r>
      <w:r w:rsidR="00F706D7" w:rsidRPr="00531753">
        <w:rPr>
          <w:rFonts w:ascii="Traditional Arabic" w:hAnsi="Traditional Arabic"/>
          <w:rtl/>
        </w:rPr>
        <w:instrText>فــر</w:instrText>
      </w:r>
      <w:r w:rsidR="00F706D7" w:rsidRPr="00531753">
        <w:rPr>
          <w:rFonts w:ascii="Traditional Arabic" w:hAnsi="Traditional Arabic" w:hint="cs"/>
          <w:rtl/>
        </w:rPr>
        <w:instrText>ٍ</w:instrText>
      </w:r>
      <w:r w:rsidR="00F706D7" w:rsidRPr="00531753">
        <w:rPr>
          <w:rFonts w:ascii="Traditional Arabic" w:hAnsi="Traditional Arabic"/>
          <w:rtl/>
        </w:rPr>
        <w:instrText>،</w:instrText>
      </w:r>
      <w:r w:rsidR="00F706D7" w:rsidRPr="00531753">
        <w:rPr>
          <w:rtl/>
        </w:rPr>
        <w:instrText>" \</w:instrText>
      </w:r>
      <w:r w:rsidR="00F706D7" w:rsidRPr="00531753">
        <w:instrText>fh</w:instrText>
      </w:r>
      <w:r w:rsidR="00AB0B9E">
        <w:rPr>
          <w:rFonts w:ascii="Traditional Arabic" w:hAnsi="Traditional Arabic"/>
          <w:rtl/>
        </w:rPr>
        <w:fldChar w:fldCharType="end"/>
      </w:r>
      <w:r w:rsidR="00310588" w:rsidRPr="00462E72">
        <w:rPr>
          <w:rFonts w:ascii="Traditional Arabic" w:hAnsi="Traditional Arabic"/>
          <w:rtl/>
        </w:rPr>
        <w:t xml:space="preserve"> لنقضت</w:t>
      </w:r>
      <w:r w:rsidR="00310588">
        <w:rPr>
          <w:rFonts w:ascii="Traditional Arabic" w:hAnsi="Traditional Arabic" w:hint="cs"/>
          <w:rtl/>
        </w:rPr>
        <w:t>ُ</w:t>
      </w:r>
      <w:r w:rsidR="00310588" w:rsidRPr="00462E72">
        <w:rPr>
          <w:rFonts w:ascii="Traditional Arabic" w:hAnsi="Traditional Arabic"/>
          <w:rtl/>
        </w:rPr>
        <w:t xml:space="preserve"> الكعبة فجعلت لها بابين،</w:t>
      </w:r>
      <w:r w:rsidR="00310588">
        <w:rPr>
          <w:rFonts w:ascii="Traditional Arabic" w:hAnsi="Traditional Arabic"/>
          <w:rtl/>
        </w:rPr>
        <w:t xml:space="preserve"> باب</w:t>
      </w:r>
      <w:r w:rsidR="00310588">
        <w:rPr>
          <w:rFonts w:ascii="Traditional Arabic" w:hAnsi="Traditional Arabic" w:hint="cs"/>
          <w:rtl/>
        </w:rPr>
        <w:t>اً</w:t>
      </w:r>
      <w:r w:rsidR="00310588">
        <w:rPr>
          <w:rFonts w:ascii="Traditional Arabic" w:hAnsi="Traditional Arabic"/>
          <w:rtl/>
        </w:rPr>
        <w:t xml:space="preserve"> يدخل </w:t>
      </w:r>
      <w:r w:rsidR="00310588">
        <w:rPr>
          <w:rFonts w:ascii="Traditional Arabic" w:hAnsi="Traditional Arabic" w:hint="cs"/>
          <w:rtl/>
        </w:rPr>
        <w:t xml:space="preserve">منه </w:t>
      </w:r>
      <w:r w:rsidR="00310588">
        <w:rPr>
          <w:rFonts w:ascii="Traditional Arabic" w:hAnsi="Traditional Arabic"/>
          <w:rtl/>
        </w:rPr>
        <w:t>الناس</w:t>
      </w:r>
      <w:r w:rsidR="00310588" w:rsidRPr="00462E72">
        <w:rPr>
          <w:rFonts w:ascii="Traditional Arabic" w:hAnsi="Traditional Arabic"/>
          <w:rtl/>
        </w:rPr>
        <w:t>، وباب</w:t>
      </w:r>
      <w:r w:rsidR="00310588">
        <w:rPr>
          <w:rFonts w:ascii="Traditional Arabic" w:hAnsi="Traditional Arabic" w:hint="cs"/>
          <w:rtl/>
        </w:rPr>
        <w:t>اً</w:t>
      </w:r>
      <w:r w:rsidR="00310588" w:rsidRPr="00462E72">
        <w:rPr>
          <w:rFonts w:ascii="Traditional Arabic" w:hAnsi="Traditional Arabic"/>
          <w:rtl/>
        </w:rPr>
        <w:t xml:space="preserve"> يخرجون</w:t>
      </w:r>
      <w:r w:rsidR="00310588">
        <w:rPr>
          <w:rFonts w:ascii="Traditional Arabic" w:hAnsi="Traditional Arabic" w:hint="cs"/>
          <w:rtl/>
        </w:rPr>
        <w:t xml:space="preserve"> منه</w:t>
      </w:r>
      <w:r w:rsidR="00310588" w:rsidRPr="00462E72">
        <w:rPr>
          <w:rFonts w:ascii="Traditional Arabic" w:hAnsi="Traditional Arabic"/>
          <w:rtl/>
        </w:rPr>
        <w:t>"</w:t>
      </w:r>
      <w:r w:rsidR="00310588" w:rsidRPr="00C821A1">
        <w:rPr>
          <w:rFonts w:ascii="Traditional Arabic" w:hAnsi="Traditional Arabic"/>
          <w:szCs w:val="32"/>
          <w:vertAlign w:val="superscript"/>
          <w:rtl/>
        </w:rPr>
        <w:t>(</w:t>
      </w:r>
      <w:r w:rsidR="00310588" w:rsidRPr="00C821A1">
        <w:rPr>
          <w:rStyle w:val="af1"/>
          <w:rFonts w:ascii="Traditional Arabic" w:hAnsi="Traditional Arabic"/>
          <w:szCs w:val="32"/>
          <w:rtl/>
        </w:rPr>
        <w:footnoteReference w:id="315"/>
      </w:r>
      <w:r w:rsidR="00310588" w:rsidRPr="00C821A1">
        <w:rPr>
          <w:rFonts w:ascii="Traditional Arabic" w:hAnsi="Traditional Arabic"/>
          <w:szCs w:val="32"/>
          <w:vertAlign w:val="superscript"/>
          <w:rtl/>
        </w:rPr>
        <w:t>)</w:t>
      </w:r>
      <w:r w:rsidR="00310588" w:rsidRPr="00462E72">
        <w:rPr>
          <w:rFonts w:ascii="Traditional Arabic" w:hAnsi="Traditional Arabic"/>
          <w:rtl/>
        </w:rPr>
        <w:t>.</w:t>
      </w:r>
    </w:p>
    <w:p w:rsidR="00065E4B" w:rsidRDefault="00310588" w:rsidP="00597C20">
      <w:pPr>
        <w:pStyle w:val="53"/>
        <w:rPr>
          <w:rtl/>
        </w:rPr>
      </w:pPr>
      <w:r>
        <w:rPr>
          <w:rFonts w:hint="cs"/>
          <w:rtl/>
        </w:rPr>
        <w:t>وجه الدلالة:</w:t>
      </w:r>
    </w:p>
    <w:p w:rsidR="00F228A9" w:rsidRDefault="003A7C17" w:rsidP="003A7C17">
      <w:pPr>
        <w:spacing w:line="620" w:lineRule="exact"/>
        <w:ind w:firstLine="0"/>
        <w:jc w:val="lowKashida"/>
        <w:rPr>
          <w:rFonts w:ascii="Traditional Arabic" w:hAnsi="Traditional Arabic"/>
          <w:rtl/>
        </w:rPr>
      </w:pPr>
      <w:r>
        <w:rPr>
          <w:rFonts w:ascii="Traditional Arabic" w:hAnsi="Traditional Arabic" w:hint="cs"/>
          <w:rtl/>
        </w:rPr>
        <w:t xml:space="preserve">    </w:t>
      </w:r>
      <w:r w:rsidR="00065E4B">
        <w:rPr>
          <w:rFonts w:ascii="Traditional Arabic" w:hAnsi="Traditional Arabic" w:hint="cs"/>
          <w:rtl/>
        </w:rPr>
        <w:t>ي</w:t>
      </w:r>
      <w:r w:rsidR="00310588">
        <w:rPr>
          <w:rFonts w:ascii="Traditional Arabic" w:hAnsi="Traditional Arabic" w:hint="cs"/>
          <w:rtl/>
        </w:rPr>
        <w:t xml:space="preserve">قول الشيخ ابن عثيمين </w:t>
      </w:r>
      <w:r>
        <w:rPr>
          <w:rFonts w:ascii="Traditional Arabic" w:hAnsi="Traditional Arabic" w:hint="cs"/>
          <w:rtl/>
        </w:rPr>
        <w:t>_</w:t>
      </w:r>
      <w:r w:rsidR="009A0575" w:rsidRPr="005D5694">
        <w:rPr>
          <w:rFonts w:ascii="Traditional Arabic" w:hAnsi="Traditional Arabic" w:cs="CTraditional Arabic" w:hint="cs"/>
          <w:rtl/>
        </w:rPr>
        <w:t>/</w:t>
      </w:r>
      <w:r>
        <w:rPr>
          <w:rFonts w:ascii="Traditional Arabic" w:hAnsi="Traditional Arabic" w:hint="cs"/>
          <w:rtl/>
        </w:rPr>
        <w:t>_</w:t>
      </w:r>
      <w:r w:rsidR="00310588">
        <w:rPr>
          <w:rFonts w:ascii="Traditional Arabic" w:hAnsi="Traditional Arabic" w:hint="cs"/>
          <w:rtl/>
        </w:rPr>
        <w:t xml:space="preserve">: </w:t>
      </w:r>
      <w:r w:rsidR="00310588" w:rsidRPr="005F4623">
        <w:rPr>
          <w:rFonts w:ascii="Traditional Arabic" w:hAnsi="Traditional Arabic"/>
          <w:rtl/>
        </w:rPr>
        <w:t>(الشيء المطلوب شرعاً إذا خيف أن يترتَّب</w:t>
      </w:r>
      <w:r w:rsidR="00310588">
        <w:rPr>
          <w:rFonts w:ascii="Traditional Arabic" w:hAnsi="Traditional Arabic"/>
          <w:rtl/>
        </w:rPr>
        <w:t xml:space="preserve"> عليه مفسدة</w:t>
      </w:r>
      <w:r w:rsidR="00310588" w:rsidRPr="005F4623">
        <w:rPr>
          <w:rFonts w:ascii="Traditional Arabic" w:hAnsi="Traditional Arabic"/>
          <w:rtl/>
        </w:rPr>
        <w:t>، فإنه يجب مراعاة هذه المفسدة، وأن يُ</w:t>
      </w:r>
      <w:r w:rsidR="00310588">
        <w:rPr>
          <w:rFonts w:ascii="Traditional Arabic" w:hAnsi="Traditional Arabic"/>
          <w:rtl/>
        </w:rPr>
        <w:t>ترك</w:t>
      </w:r>
      <w:r w:rsidR="00310588" w:rsidRPr="005F4623">
        <w:rPr>
          <w:rFonts w:ascii="Traditional Arabic" w:hAnsi="Traditional Arabic"/>
          <w:rtl/>
        </w:rPr>
        <w:t>، والقاعـــ</w:t>
      </w:r>
      <w:r w:rsidR="00310588">
        <w:rPr>
          <w:rFonts w:ascii="Traditional Arabic" w:hAnsi="Traditional Arabic"/>
          <w:rtl/>
        </w:rPr>
        <w:t>دة المقررة عند أهل العلم</w:t>
      </w:r>
      <w:r w:rsidR="00F67EA6">
        <w:rPr>
          <w:rFonts w:ascii="Traditional Arabic" w:hAnsi="Traditional Arabic" w:hint="cs"/>
          <w:rtl/>
        </w:rPr>
        <w:t xml:space="preserve"> </w:t>
      </w:r>
      <w:r w:rsidR="00310588" w:rsidRPr="005F4623">
        <w:rPr>
          <w:rFonts w:ascii="Traditional Arabic" w:hAnsi="Traditional Arabic"/>
          <w:rtl/>
        </w:rPr>
        <w:t>أنه إذا تعارضت المصالح والمفاسد مع التساوي أو مع ترجُّ</w:t>
      </w:r>
      <w:r w:rsidR="00310588">
        <w:rPr>
          <w:rFonts w:ascii="Traditional Arabic" w:hAnsi="Traditional Arabic"/>
          <w:rtl/>
        </w:rPr>
        <w:t>ح المفاسد</w:t>
      </w:r>
      <w:r w:rsidR="00310588" w:rsidRPr="005F4623">
        <w:rPr>
          <w:rFonts w:ascii="Traditional Arabic" w:hAnsi="Traditional Arabic"/>
          <w:rtl/>
        </w:rPr>
        <w:t>، فإن درء</w:t>
      </w:r>
      <w:r w:rsidR="00310588">
        <w:rPr>
          <w:rFonts w:ascii="Traditional Arabic" w:hAnsi="Traditional Arabic"/>
          <w:rtl/>
        </w:rPr>
        <w:t xml:space="preserve"> المفسدة أولى من جلب المصلحة</w:t>
      </w:r>
      <w:r w:rsidR="00310588" w:rsidRPr="005F4623">
        <w:rPr>
          <w:rFonts w:ascii="Traditional Arabic" w:hAnsi="Traditional Arabic"/>
          <w:rtl/>
        </w:rPr>
        <w:t xml:space="preserve">، </w:t>
      </w:r>
      <w:r w:rsidR="00310588" w:rsidRPr="005F4623">
        <w:rPr>
          <w:rFonts w:ascii="Traditional Arabic" w:hAnsi="Traditional Arabic"/>
          <w:rtl/>
        </w:rPr>
        <w:lastRenderedPageBreak/>
        <w:t xml:space="preserve">وهذا النبي </w:t>
      </w:r>
      <w:r w:rsidR="00310588" w:rsidRPr="005F4623">
        <w:rPr>
          <w:rFonts w:ascii="Traditional Arabic" w:hAnsi="Traditional Arabic"/>
        </w:rPr>
        <w:sym w:font="AGA Arabesque" w:char="F065"/>
      </w:r>
      <w:r w:rsidR="00310588" w:rsidRPr="005F4623">
        <w:rPr>
          <w:rFonts w:ascii="Traditional Arabic" w:hAnsi="Traditional Arabic"/>
          <w:rtl/>
        </w:rPr>
        <w:t xml:space="preserve"> أراد أن ي</w:t>
      </w:r>
      <w:r w:rsidR="00310588">
        <w:rPr>
          <w:rFonts w:ascii="Traditional Arabic" w:hAnsi="Traditional Arabic" w:hint="cs"/>
          <w:rtl/>
        </w:rPr>
        <w:t>َ</w:t>
      </w:r>
      <w:r w:rsidR="00310588" w:rsidRPr="005F4623">
        <w:rPr>
          <w:rFonts w:ascii="Traditional Arabic" w:hAnsi="Traditional Arabic"/>
          <w:rtl/>
        </w:rPr>
        <w:t>ه</w:t>
      </w:r>
      <w:r w:rsidR="00310588">
        <w:rPr>
          <w:rFonts w:ascii="Traditional Arabic" w:hAnsi="Traditional Arabic" w:hint="cs"/>
          <w:rtl/>
        </w:rPr>
        <w:t>ْ</w:t>
      </w:r>
      <w:r w:rsidR="00310588" w:rsidRPr="005F4623">
        <w:rPr>
          <w:rFonts w:ascii="Traditional Arabic" w:hAnsi="Traditional Arabic"/>
          <w:rtl/>
        </w:rPr>
        <w:t>د</w:t>
      </w:r>
      <w:r w:rsidR="00310588">
        <w:rPr>
          <w:rFonts w:ascii="Traditional Arabic" w:hAnsi="Traditional Arabic" w:hint="cs"/>
          <w:rtl/>
        </w:rPr>
        <w:t>ِ</w:t>
      </w:r>
      <w:r w:rsidR="00310588" w:rsidRPr="005F4623">
        <w:rPr>
          <w:rFonts w:ascii="Traditional Arabic" w:hAnsi="Traditional Arabic"/>
          <w:rtl/>
        </w:rPr>
        <w:t>م الكعبة وأن يجِّدد بناءها على قواعد إبراهيم عليه الص</w:t>
      </w:r>
      <w:r w:rsidR="00310588">
        <w:rPr>
          <w:rFonts w:ascii="Traditional Arabic" w:hAnsi="Traditional Arabic"/>
          <w:rtl/>
        </w:rPr>
        <w:t>لاة والسلام</w:t>
      </w:r>
      <w:r w:rsidR="00310588" w:rsidRPr="005F4623">
        <w:rPr>
          <w:rFonts w:ascii="Traditional Arabic" w:hAnsi="Traditional Arabic"/>
          <w:rtl/>
        </w:rPr>
        <w:t>، ول</w:t>
      </w:r>
      <w:r w:rsidR="00310588">
        <w:rPr>
          <w:rFonts w:ascii="Traditional Arabic" w:hAnsi="Traditional Arabic"/>
          <w:rtl/>
        </w:rPr>
        <w:t>كن لما كان الناس حديثي عهد</w:t>
      </w:r>
      <w:r w:rsidR="00310588">
        <w:rPr>
          <w:rFonts w:ascii="Traditional Arabic" w:hAnsi="Traditional Arabic" w:hint="cs"/>
          <w:rtl/>
        </w:rPr>
        <w:t>ٍ</w:t>
      </w:r>
      <w:r w:rsidR="00310588">
        <w:rPr>
          <w:rFonts w:ascii="Traditional Arabic" w:hAnsi="Traditional Arabic"/>
          <w:rtl/>
        </w:rPr>
        <w:t xml:space="preserve"> بكفر</w:t>
      </w:r>
      <w:r w:rsidR="00310588" w:rsidRPr="005F4623">
        <w:rPr>
          <w:rFonts w:ascii="Traditional Arabic" w:hAnsi="Traditional Arabic"/>
          <w:rtl/>
        </w:rPr>
        <w:t>، ترك هذا الأمر المطلوب خوفاً من المفسدة)</w:t>
      </w:r>
      <w:r w:rsidR="00310588" w:rsidRPr="00C821A1">
        <w:rPr>
          <w:rFonts w:ascii="Traditional Arabic" w:hAnsi="Traditional Arabic"/>
          <w:szCs w:val="32"/>
          <w:vertAlign w:val="superscript"/>
          <w:rtl/>
        </w:rPr>
        <w:t>(</w:t>
      </w:r>
      <w:r w:rsidR="00310588" w:rsidRPr="00C821A1">
        <w:rPr>
          <w:rStyle w:val="af1"/>
          <w:rFonts w:ascii="Traditional Arabic" w:hAnsi="Traditional Arabic"/>
          <w:szCs w:val="32"/>
          <w:rtl/>
        </w:rPr>
        <w:footnoteReference w:id="316"/>
      </w:r>
      <w:r w:rsidR="00310588" w:rsidRPr="00C821A1">
        <w:rPr>
          <w:rFonts w:ascii="Traditional Arabic" w:hAnsi="Traditional Arabic"/>
          <w:szCs w:val="32"/>
          <w:vertAlign w:val="superscript"/>
          <w:rtl/>
        </w:rPr>
        <w:t>)</w:t>
      </w:r>
      <w:r w:rsidR="00B76414">
        <w:rPr>
          <w:rFonts w:ascii="Traditional Arabic" w:hAnsi="Traditional Arabic"/>
          <w:rtl/>
        </w:rPr>
        <w:t>.</w:t>
      </w:r>
    </w:p>
    <w:p w:rsidR="00F228A9" w:rsidRDefault="003A7C17" w:rsidP="000A76C7">
      <w:pPr>
        <w:pStyle w:val="afc"/>
        <w:numPr>
          <w:ilvl w:val="0"/>
          <w:numId w:val="59"/>
        </w:numPr>
        <w:spacing w:line="620" w:lineRule="exact"/>
        <w:jc w:val="lowKashida"/>
        <w:rPr>
          <w:rFonts w:ascii="Traditional Arabic" w:hAnsi="Traditional Arabic"/>
        </w:rPr>
      </w:pPr>
      <w:r>
        <w:rPr>
          <w:rFonts w:ascii="Traditional Arabic" w:hAnsi="Traditional Arabic" w:hint="cs"/>
          <w:b/>
          <w:bCs/>
          <w:rtl/>
        </w:rPr>
        <w:t xml:space="preserve">من التعليل: </w:t>
      </w:r>
      <w:r w:rsidR="00310588">
        <w:rPr>
          <w:rFonts w:ascii="Traditional Arabic" w:hAnsi="Traditional Arabic" w:hint="cs"/>
          <w:rtl/>
        </w:rPr>
        <w:t xml:space="preserve">قال الشيخ ابن عثيمين </w:t>
      </w:r>
      <w:r>
        <w:rPr>
          <w:rFonts w:ascii="Traditional Arabic" w:hAnsi="Traditional Arabic" w:hint="cs"/>
          <w:rtl/>
        </w:rPr>
        <w:t>_</w:t>
      </w:r>
      <w:r w:rsidR="009A0575" w:rsidRPr="005D5694">
        <w:rPr>
          <w:rFonts w:ascii="Traditional Arabic" w:hAnsi="Traditional Arabic" w:cs="CTraditional Arabic" w:hint="cs"/>
          <w:rtl/>
        </w:rPr>
        <w:t>/</w:t>
      </w:r>
      <w:r>
        <w:rPr>
          <w:rFonts w:ascii="Traditional Arabic" w:hAnsi="Traditional Arabic" w:hint="cs"/>
          <w:rtl/>
        </w:rPr>
        <w:t>_</w:t>
      </w:r>
      <w:r w:rsidR="00310588">
        <w:rPr>
          <w:rFonts w:ascii="Traditional Arabic" w:hAnsi="Traditional Arabic" w:hint="cs"/>
          <w:rtl/>
        </w:rPr>
        <w:t xml:space="preserve"> :</w:t>
      </w:r>
      <w:r w:rsidR="00B76414">
        <w:rPr>
          <w:rFonts w:ascii="Traditional Arabic" w:hAnsi="Traditional Arabic" w:hint="cs"/>
          <w:rtl/>
        </w:rPr>
        <w:t>(</w:t>
      </w:r>
      <w:r w:rsidR="00310588">
        <w:rPr>
          <w:rFonts w:ascii="Traditional Arabic" w:hAnsi="Traditional Arabic" w:hint="cs"/>
          <w:rtl/>
        </w:rPr>
        <w:t>والمعنى يدل عليه، وهو أن ما كان مشتملا على مضرة ولا يمكن اجتنابه إلا باجتناب ما فيه من المنفعة فإنه يجب اجتنابه</w:t>
      </w:r>
      <w:r w:rsidR="00310588" w:rsidRPr="00C821A1">
        <w:rPr>
          <w:rStyle w:val="af1"/>
          <w:szCs w:val="32"/>
          <w:rtl/>
        </w:rPr>
        <w:t>(</w:t>
      </w:r>
      <w:r w:rsidR="00310588" w:rsidRPr="00C821A1">
        <w:rPr>
          <w:rStyle w:val="af1"/>
          <w:szCs w:val="32"/>
          <w:rtl/>
        </w:rPr>
        <w:footnoteReference w:id="317"/>
      </w:r>
      <w:r w:rsidR="00310588" w:rsidRPr="00C821A1">
        <w:rPr>
          <w:rStyle w:val="af1"/>
          <w:szCs w:val="32"/>
          <w:rtl/>
        </w:rPr>
        <w:t>)</w:t>
      </w:r>
      <w:r w:rsidR="00310588">
        <w:rPr>
          <w:rFonts w:ascii="Traditional Arabic" w:hAnsi="Traditional Arabic" w:hint="cs"/>
          <w:rtl/>
        </w:rPr>
        <w:t>)</w:t>
      </w:r>
      <w:r w:rsidR="00310588" w:rsidRPr="00C821A1">
        <w:rPr>
          <w:rStyle w:val="af1"/>
          <w:szCs w:val="32"/>
          <w:rtl/>
        </w:rPr>
        <w:t>(</w:t>
      </w:r>
      <w:r w:rsidR="00310588" w:rsidRPr="00C821A1">
        <w:rPr>
          <w:rStyle w:val="af1"/>
          <w:szCs w:val="32"/>
          <w:rtl/>
        </w:rPr>
        <w:footnoteReference w:id="318"/>
      </w:r>
      <w:r w:rsidR="00310588" w:rsidRPr="00C821A1">
        <w:rPr>
          <w:rStyle w:val="af1"/>
          <w:szCs w:val="32"/>
          <w:rtl/>
        </w:rPr>
        <w:t>)</w:t>
      </w:r>
      <w:r w:rsidR="00310588">
        <w:rPr>
          <w:rFonts w:ascii="Traditional Arabic" w:hAnsi="Traditional Arabic" w:hint="cs"/>
          <w:rtl/>
        </w:rPr>
        <w:t>.</w:t>
      </w:r>
    </w:p>
    <w:p w:rsidR="00310588" w:rsidRPr="00310588" w:rsidRDefault="002F50A0" w:rsidP="00A8347C">
      <w:pPr>
        <w:pStyle w:val="aff3"/>
        <w:rPr>
          <w:rtl/>
        </w:rPr>
      </w:pPr>
      <w:bookmarkStart w:id="69" w:name="_Toc334046322"/>
      <w:r>
        <w:rPr>
          <w:rFonts w:hint="cs"/>
          <w:rtl/>
        </w:rPr>
        <w:t xml:space="preserve">                </w:t>
      </w:r>
      <w:r w:rsidR="00BE3E18">
        <w:rPr>
          <w:rFonts w:hint="cs"/>
          <w:rtl/>
        </w:rPr>
        <w:t xml:space="preserve">                          </w:t>
      </w:r>
      <w:r w:rsidR="00310588" w:rsidRPr="00310588">
        <w:rPr>
          <w:rFonts w:hint="cs"/>
          <w:rtl/>
        </w:rPr>
        <w:t>المطلب الرابع</w:t>
      </w:r>
      <w:r w:rsidR="00310588">
        <w:rPr>
          <w:rFonts w:hint="eastAsia"/>
          <w:rtl/>
        </w:rPr>
        <w:t> :</w:t>
      </w:r>
      <w:r w:rsidR="00310588">
        <w:rPr>
          <w:rFonts w:hint="cs"/>
          <w:rtl/>
        </w:rPr>
        <w:br/>
      </w:r>
      <w:r>
        <w:rPr>
          <w:rFonts w:hint="cs"/>
          <w:rtl/>
        </w:rPr>
        <w:t xml:space="preserve">              </w:t>
      </w:r>
      <w:r w:rsidR="00BE3E18">
        <w:rPr>
          <w:rFonts w:hint="cs"/>
          <w:rtl/>
        </w:rPr>
        <w:t xml:space="preserve">                           </w:t>
      </w:r>
      <w:r w:rsidR="00310588" w:rsidRPr="00310588">
        <w:rPr>
          <w:rFonts w:hint="cs"/>
          <w:rtl/>
        </w:rPr>
        <w:t>تطبيقات القاعدة</w:t>
      </w:r>
      <w:bookmarkEnd w:id="69"/>
    </w:p>
    <w:p w:rsidR="00F228A9" w:rsidRPr="00763E78" w:rsidRDefault="00310588" w:rsidP="00763E78">
      <w:pPr>
        <w:spacing w:line="620" w:lineRule="exact"/>
        <w:ind w:left="360" w:firstLine="0"/>
        <w:jc w:val="lowKashida"/>
        <w:rPr>
          <w:rFonts w:ascii="Traditional Arabic" w:hAnsi="Traditional Arabic"/>
          <w:b/>
          <w:bCs/>
        </w:rPr>
      </w:pPr>
      <w:r w:rsidRPr="00763E78">
        <w:rPr>
          <w:rFonts w:ascii="Traditional Arabic" w:hAnsi="Traditional Arabic" w:hint="cs"/>
          <w:rtl/>
        </w:rPr>
        <w:t>إذا بنى المشتري أو غرس في الأرض أو زرع قبل الأخذ بالشُّفعة</w:t>
      </w:r>
      <w:r w:rsidR="00BE3E18" w:rsidRPr="00763E78">
        <w:rPr>
          <w:rFonts w:ascii="Traditional Arabic" w:hAnsi="Traditional Arabic" w:hint="cs"/>
          <w:rtl/>
        </w:rPr>
        <w:t xml:space="preserve">، فللشفيع تملُّك البناء أو الغرس أو الزرع </w:t>
      </w:r>
      <w:r w:rsidRPr="00763E78">
        <w:rPr>
          <w:rFonts w:ascii="Traditional Arabic" w:hAnsi="Traditional Arabic" w:hint="cs"/>
          <w:rtl/>
        </w:rPr>
        <w:t>بقيمته</w:t>
      </w:r>
      <w:r w:rsidR="005D4589" w:rsidRPr="00763E78">
        <w:rPr>
          <w:rFonts w:ascii="Traditional Arabic" w:hAnsi="Traditional Arabic" w:hint="cs"/>
          <w:rtl/>
        </w:rPr>
        <w:t>،</w:t>
      </w:r>
      <w:r w:rsidRPr="00763E78">
        <w:rPr>
          <w:rFonts w:ascii="Traditional Arabic" w:hAnsi="Traditional Arabic" w:hint="cs"/>
          <w:rtl/>
        </w:rPr>
        <w:t xml:space="preserve"> </w:t>
      </w:r>
      <w:r w:rsidR="009451FD" w:rsidRPr="00763E78">
        <w:rPr>
          <w:rFonts w:ascii="Traditional Arabic" w:hAnsi="Traditional Arabic" w:hint="cs"/>
          <w:rtl/>
        </w:rPr>
        <w:t>و</w:t>
      </w:r>
      <w:r w:rsidR="00BE3E18" w:rsidRPr="00763E78">
        <w:rPr>
          <w:rFonts w:ascii="Traditional Arabic" w:hAnsi="Traditional Arabic" w:hint="cs"/>
          <w:rtl/>
        </w:rPr>
        <w:t>له</w:t>
      </w:r>
      <w:r w:rsidR="009451FD" w:rsidRPr="00763E78">
        <w:rPr>
          <w:rFonts w:ascii="Traditional Arabic" w:hAnsi="Traditional Arabic" w:hint="cs"/>
          <w:rtl/>
        </w:rPr>
        <w:t xml:space="preserve"> </w:t>
      </w:r>
      <w:r w:rsidR="00BE3E18" w:rsidRPr="00763E78">
        <w:rPr>
          <w:rFonts w:ascii="Traditional Arabic" w:hAnsi="Traditional Arabic" w:hint="cs"/>
          <w:rtl/>
        </w:rPr>
        <w:t>أن يهدم البناء ويقلع الغرس والزرع</w:t>
      </w:r>
      <w:r w:rsidR="009451FD" w:rsidRPr="00763E78">
        <w:rPr>
          <w:rFonts w:ascii="Traditional Arabic" w:hAnsi="Traditional Arabic" w:hint="cs"/>
          <w:rtl/>
        </w:rPr>
        <w:t xml:space="preserve"> مع </w:t>
      </w:r>
      <w:r w:rsidRPr="00763E78">
        <w:rPr>
          <w:rFonts w:ascii="Traditional Arabic" w:hAnsi="Traditional Arabic" w:hint="cs"/>
          <w:rtl/>
        </w:rPr>
        <w:t>غ</w:t>
      </w:r>
      <w:r w:rsidR="009451FD" w:rsidRPr="00763E78">
        <w:rPr>
          <w:rFonts w:ascii="Traditional Arabic" w:hAnsi="Traditional Arabic" w:hint="cs"/>
          <w:rtl/>
        </w:rPr>
        <w:t>َ</w:t>
      </w:r>
      <w:r w:rsidRPr="00763E78">
        <w:rPr>
          <w:rFonts w:ascii="Traditional Arabic" w:hAnsi="Traditional Arabic" w:hint="cs"/>
          <w:rtl/>
        </w:rPr>
        <w:t>ر</w:t>
      </w:r>
      <w:r w:rsidR="009451FD" w:rsidRPr="00763E78">
        <w:rPr>
          <w:rFonts w:ascii="Traditional Arabic" w:hAnsi="Traditional Arabic" w:hint="cs"/>
          <w:rtl/>
        </w:rPr>
        <w:t>ْ</w:t>
      </w:r>
      <w:r w:rsidR="00BE3E18" w:rsidRPr="00763E78">
        <w:rPr>
          <w:rFonts w:ascii="Traditional Arabic" w:hAnsi="Traditional Arabic" w:hint="cs"/>
          <w:rtl/>
        </w:rPr>
        <w:t>م نقصه.</w:t>
      </w:r>
      <w:r w:rsidRPr="00763E78">
        <w:rPr>
          <w:rFonts w:ascii="Traditional Arabic" w:hAnsi="Traditional Arabic" w:hint="cs"/>
          <w:rtl/>
        </w:rPr>
        <w:t xml:space="preserve"> لكن إذا أراد المشت</w:t>
      </w:r>
      <w:r w:rsidR="00BE3E18" w:rsidRPr="00763E78">
        <w:rPr>
          <w:rFonts w:ascii="Traditional Arabic" w:hAnsi="Traditional Arabic" w:hint="cs"/>
          <w:rtl/>
        </w:rPr>
        <w:t>ري أخذه فله ذلك؛ لأنه ملْكه،</w:t>
      </w:r>
      <w:r w:rsidR="00F67EA6" w:rsidRPr="00763E78">
        <w:rPr>
          <w:rFonts w:ascii="Traditional Arabic" w:hAnsi="Traditional Arabic" w:hint="cs"/>
          <w:rtl/>
        </w:rPr>
        <w:t xml:space="preserve"> </w:t>
      </w:r>
      <w:r w:rsidR="005447E4" w:rsidRPr="00763E78">
        <w:rPr>
          <w:rFonts w:ascii="Traditional Arabic" w:hAnsi="Traditional Arabic" w:hint="cs"/>
          <w:rtl/>
        </w:rPr>
        <w:t>بش</w:t>
      </w:r>
      <w:r w:rsidRPr="00763E78">
        <w:rPr>
          <w:rFonts w:ascii="Traditional Arabic" w:hAnsi="Traditional Arabic" w:hint="cs"/>
          <w:rtl/>
        </w:rPr>
        <w:t>رط ألا يضرّ ذلك بالشفيع</w:t>
      </w:r>
      <w:r w:rsidRPr="00763E78">
        <w:rPr>
          <w:rStyle w:val="af1"/>
          <w:szCs w:val="32"/>
          <w:rtl/>
        </w:rPr>
        <w:t>(</w:t>
      </w:r>
      <w:r w:rsidRPr="00C821A1">
        <w:rPr>
          <w:rStyle w:val="af1"/>
          <w:szCs w:val="32"/>
          <w:rtl/>
        </w:rPr>
        <w:footnoteReference w:id="319"/>
      </w:r>
      <w:r w:rsidRPr="00763E78">
        <w:rPr>
          <w:rStyle w:val="af1"/>
          <w:szCs w:val="32"/>
          <w:rtl/>
        </w:rPr>
        <w:t>)</w:t>
      </w:r>
      <w:r w:rsidRPr="00763E78">
        <w:rPr>
          <w:rFonts w:ascii="Traditional Arabic" w:hAnsi="Traditional Arabic" w:hint="cs"/>
          <w:rtl/>
        </w:rPr>
        <w:t>.</w:t>
      </w:r>
    </w:p>
    <w:p w:rsidR="00310588" w:rsidRDefault="00310588" w:rsidP="00597C20">
      <w:pPr>
        <w:pStyle w:val="53"/>
        <w:rPr>
          <w:rtl/>
        </w:rPr>
      </w:pPr>
      <w:r>
        <w:rPr>
          <w:rFonts w:hint="cs"/>
          <w:rtl/>
        </w:rPr>
        <w:t>وجه اندراج الفرع تحت القاعدة:</w:t>
      </w:r>
    </w:p>
    <w:p w:rsidR="00310588" w:rsidRDefault="00310588" w:rsidP="00597C20">
      <w:pPr>
        <w:spacing w:line="620" w:lineRule="exact"/>
        <w:ind w:firstLine="720"/>
        <w:jc w:val="lowKashida"/>
        <w:rPr>
          <w:rFonts w:ascii="Traditional Arabic" w:hAnsi="Traditional Arabic"/>
          <w:rtl/>
        </w:rPr>
      </w:pPr>
      <w:r w:rsidRPr="00065E4B">
        <w:rPr>
          <w:rFonts w:ascii="Traditional Arabic" w:hAnsi="Traditional Arabic"/>
          <w:noProof w:val="0"/>
          <w:rtl/>
          <w:lang w:eastAsia="en-US"/>
        </w:rPr>
        <w:t xml:space="preserve">إن كان هناك ضرر </w:t>
      </w:r>
      <w:r w:rsidRPr="00065E4B">
        <w:rPr>
          <w:rFonts w:ascii="Traditional Arabic" w:hAnsi="Traditional Arabic" w:hint="cs"/>
          <w:noProof w:val="0"/>
          <w:rtl/>
          <w:lang w:eastAsia="en-US"/>
        </w:rPr>
        <w:t xml:space="preserve">على الشفيع، </w:t>
      </w:r>
      <w:r w:rsidRPr="00065E4B">
        <w:rPr>
          <w:rFonts w:ascii="Traditional Arabic" w:hAnsi="Traditional Arabic"/>
          <w:noProof w:val="0"/>
          <w:rtl/>
          <w:lang w:eastAsia="en-US"/>
        </w:rPr>
        <w:t>فإنه لا يمكن أن يزال الضرر بمصلحة</w:t>
      </w:r>
      <w:r w:rsidR="005447E4">
        <w:rPr>
          <w:rFonts w:ascii="Traditional Arabic" w:hAnsi="Traditional Arabic" w:hint="cs"/>
          <w:noProof w:val="0"/>
          <w:rtl/>
          <w:lang w:eastAsia="en-US"/>
        </w:rPr>
        <w:t xml:space="preserve"> مرجوحة</w:t>
      </w:r>
      <w:r w:rsidRPr="00065E4B">
        <w:rPr>
          <w:rFonts w:ascii="Traditional Arabic" w:hAnsi="Traditional Arabic"/>
          <w:noProof w:val="0"/>
          <w:rtl/>
          <w:lang w:eastAsia="en-US"/>
        </w:rPr>
        <w:t>؛ لأن أ</w:t>
      </w:r>
      <w:r w:rsidRPr="00065E4B">
        <w:rPr>
          <w:rFonts w:ascii="Traditional Arabic" w:hAnsi="Traditional Arabic" w:hint="cs"/>
          <w:noProof w:val="0"/>
          <w:rtl/>
          <w:lang w:eastAsia="en-US"/>
        </w:rPr>
        <w:t>َ</w:t>
      </w:r>
      <w:r w:rsidRPr="00065E4B">
        <w:rPr>
          <w:rFonts w:ascii="Traditional Arabic" w:hAnsi="Traditional Arabic"/>
          <w:noProof w:val="0"/>
          <w:rtl/>
          <w:lang w:eastAsia="en-US"/>
        </w:rPr>
        <w:t>خ</w:t>
      </w:r>
      <w:r w:rsidRPr="00065E4B">
        <w:rPr>
          <w:rFonts w:ascii="Traditional Arabic" w:hAnsi="Traditional Arabic" w:hint="cs"/>
          <w:noProof w:val="0"/>
          <w:rtl/>
          <w:lang w:eastAsia="en-US"/>
        </w:rPr>
        <w:t>ْ</w:t>
      </w:r>
      <w:r w:rsidRPr="00065E4B">
        <w:rPr>
          <w:rFonts w:ascii="Traditional Arabic" w:hAnsi="Traditional Arabic"/>
          <w:noProof w:val="0"/>
          <w:rtl/>
          <w:lang w:eastAsia="en-US"/>
        </w:rPr>
        <w:t xml:space="preserve">ذ </w:t>
      </w:r>
      <w:r w:rsidRPr="00065E4B">
        <w:rPr>
          <w:rFonts w:ascii="Traditional Arabic" w:hAnsi="Traditional Arabic" w:hint="cs"/>
          <w:noProof w:val="0"/>
          <w:rtl/>
          <w:lang w:eastAsia="en-US"/>
        </w:rPr>
        <w:t>المشتري</w:t>
      </w:r>
      <w:r w:rsidRPr="00065E4B">
        <w:rPr>
          <w:rFonts w:ascii="Traditional Arabic" w:hAnsi="Traditional Arabic"/>
          <w:noProof w:val="0"/>
          <w:rtl/>
          <w:lang w:eastAsia="en-US"/>
        </w:rPr>
        <w:t xml:space="preserve"> ل</w:t>
      </w:r>
      <w:r w:rsidRPr="00065E4B">
        <w:rPr>
          <w:rFonts w:ascii="Traditional Arabic" w:hAnsi="Traditional Arabic" w:hint="cs"/>
          <w:noProof w:val="0"/>
          <w:rtl/>
          <w:lang w:eastAsia="en-US"/>
        </w:rPr>
        <w:t>ملكه</w:t>
      </w:r>
      <w:r w:rsidRPr="00065E4B">
        <w:rPr>
          <w:rFonts w:ascii="Traditional Arabic" w:hAnsi="Traditional Arabic"/>
          <w:noProof w:val="0"/>
          <w:rtl/>
          <w:lang w:eastAsia="en-US"/>
        </w:rPr>
        <w:t xml:space="preserve"> مصلحة له، لكن يتضرر </w:t>
      </w:r>
      <w:r w:rsidRPr="00065E4B">
        <w:rPr>
          <w:rFonts w:ascii="Traditional Arabic" w:hAnsi="Traditional Arabic" w:hint="cs"/>
          <w:noProof w:val="0"/>
          <w:rtl/>
          <w:lang w:eastAsia="en-US"/>
        </w:rPr>
        <w:t xml:space="preserve">بذلك </w:t>
      </w:r>
      <w:r w:rsidRPr="00065E4B">
        <w:rPr>
          <w:rFonts w:ascii="Traditional Arabic" w:hAnsi="Traditional Arabic"/>
          <w:noProof w:val="0"/>
          <w:rtl/>
          <w:lang w:eastAsia="en-US"/>
        </w:rPr>
        <w:t>رب الأرض، ومن المعلوم أن درء المفاسد أولى من جلب المصالح</w:t>
      </w:r>
      <w:r w:rsidRPr="00C821A1">
        <w:rPr>
          <w:rStyle w:val="af1"/>
          <w:szCs w:val="32"/>
          <w:rtl/>
        </w:rPr>
        <w:t>(</w:t>
      </w:r>
      <w:r w:rsidRPr="00C821A1">
        <w:rPr>
          <w:rStyle w:val="af1"/>
          <w:szCs w:val="32"/>
          <w:rtl/>
        </w:rPr>
        <w:footnoteReference w:id="320"/>
      </w:r>
      <w:r w:rsidRPr="00C821A1">
        <w:rPr>
          <w:rStyle w:val="af1"/>
          <w:szCs w:val="32"/>
          <w:rtl/>
        </w:rPr>
        <w:t>)</w:t>
      </w:r>
      <w:r w:rsidRPr="00065E4B">
        <w:rPr>
          <w:rFonts w:ascii="Traditional Arabic" w:hAnsi="Traditional Arabic" w:hint="cs"/>
          <w:rtl/>
        </w:rPr>
        <w:t>.</w:t>
      </w:r>
    </w:p>
    <w:p w:rsidR="002C1C02" w:rsidRDefault="002C1C02" w:rsidP="00597C20">
      <w:pPr>
        <w:spacing w:line="620" w:lineRule="exact"/>
        <w:ind w:firstLine="720"/>
        <w:jc w:val="lowKashida"/>
        <w:rPr>
          <w:rFonts w:ascii="Traditional Arabic" w:hAnsi="Traditional Arabic"/>
          <w:rtl/>
        </w:rPr>
      </w:pPr>
    </w:p>
    <w:p w:rsidR="002C1C02" w:rsidRPr="00BE3E18" w:rsidRDefault="002F50A0" w:rsidP="002F50A0">
      <w:pPr>
        <w:widowControl/>
        <w:autoSpaceDE w:val="0"/>
        <w:autoSpaceDN w:val="0"/>
        <w:adjustRightInd w:val="0"/>
        <w:ind w:firstLine="720"/>
        <w:rPr>
          <w:rFonts w:ascii="Traditional Arabic" w:hAnsi="Traditional Arabic"/>
          <w:b/>
          <w:bCs/>
          <w:noProof w:val="0"/>
          <w:rtl/>
          <w:lang w:eastAsia="en-US"/>
        </w:rPr>
      </w:pPr>
      <w:r>
        <w:rPr>
          <w:rFonts w:ascii="Traditional Arabic" w:hAnsi="Traditional Arabic" w:hint="cs"/>
          <w:b/>
          <w:bCs/>
          <w:noProof w:val="0"/>
          <w:sz w:val="44"/>
          <w:szCs w:val="44"/>
          <w:rtl/>
          <w:lang w:eastAsia="en-US"/>
        </w:rPr>
        <w:t xml:space="preserve">                          </w:t>
      </w:r>
      <w:r w:rsidR="002C1C02" w:rsidRPr="00BE3E18">
        <w:rPr>
          <w:rFonts w:ascii="Traditional Arabic" w:hAnsi="Traditional Arabic" w:hint="cs"/>
          <w:b/>
          <w:bCs/>
          <w:noProof w:val="0"/>
          <w:rtl/>
          <w:lang w:eastAsia="en-US"/>
        </w:rPr>
        <w:t>المطلب الخامس:</w:t>
      </w:r>
    </w:p>
    <w:p w:rsidR="002C1C02" w:rsidRPr="00BE3E18" w:rsidRDefault="002F50A0" w:rsidP="002F50A0">
      <w:pPr>
        <w:widowControl/>
        <w:autoSpaceDE w:val="0"/>
        <w:autoSpaceDN w:val="0"/>
        <w:adjustRightInd w:val="0"/>
        <w:ind w:firstLine="720"/>
        <w:rPr>
          <w:rFonts w:ascii="Traditional Arabic" w:hAnsi="Traditional Arabic"/>
          <w:b/>
          <w:bCs/>
          <w:noProof w:val="0"/>
          <w:rtl/>
          <w:lang w:eastAsia="en-US"/>
        </w:rPr>
      </w:pPr>
      <w:r w:rsidRPr="00BE3E18">
        <w:rPr>
          <w:rFonts w:ascii="Traditional Arabic" w:hAnsi="Traditional Arabic" w:hint="cs"/>
          <w:b/>
          <w:bCs/>
          <w:noProof w:val="0"/>
          <w:rtl/>
          <w:lang w:eastAsia="en-US"/>
        </w:rPr>
        <w:t xml:space="preserve">                          </w:t>
      </w:r>
      <w:r w:rsidR="00BE3E18">
        <w:rPr>
          <w:rFonts w:ascii="Traditional Arabic" w:hAnsi="Traditional Arabic" w:hint="cs"/>
          <w:b/>
          <w:bCs/>
          <w:noProof w:val="0"/>
          <w:rtl/>
          <w:lang w:eastAsia="en-US"/>
        </w:rPr>
        <w:t xml:space="preserve">     </w:t>
      </w:r>
      <w:r w:rsidR="003A7C17">
        <w:rPr>
          <w:rFonts w:ascii="Traditional Arabic" w:hAnsi="Traditional Arabic" w:hint="cs"/>
          <w:b/>
          <w:bCs/>
          <w:noProof w:val="0"/>
          <w:rtl/>
          <w:lang w:eastAsia="en-US"/>
        </w:rPr>
        <w:t xml:space="preserve"> </w:t>
      </w:r>
      <w:r w:rsidR="002C1C02" w:rsidRPr="00BE3E18">
        <w:rPr>
          <w:rFonts w:ascii="Traditional Arabic" w:hAnsi="Traditional Arabic" w:hint="cs"/>
          <w:b/>
          <w:bCs/>
          <w:noProof w:val="0"/>
          <w:rtl/>
          <w:lang w:eastAsia="en-US"/>
        </w:rPr>
        <w:t>مستثنيات القاعدة</w:t>
      </w:r>
    </w:p>
    <w:p w:rsidR="00E54921" w:rsidRDefault="00E54921" w:rsidP="00E54921">
      <w:pPr>
        <w:spacing w:line="620" w:lineRule="exact"/>
        <w:jc w:val="lowKashida"/>
        <w:rPr>
          <w:rFonts w:ascii="Traditional Arabic" w:hAnsi="Traditional Arabic"/>
          <w:noProof w:val="0"/>
          <w:rtl/>
          <w:lang w:eastAsia="en-US"/>
        </w:rPr>
      </w:pPr>
      <w:r>
        <w:rPr>
          <w:rFonts w:ascii="Traditional Arabic" w:hAnsi="Traditional Arabic" w:hint="cs"/>
          <w:noProof w:val="0"/>
          <w:rtl/>
          <w:lang w:eastAsia="en-US"/>
        </w:rPr>
        <w:t>يستثنى من هذه القاعدة ما إذا كانت المصلحة راجحة على المفسدة، قدِّم جلب المصالح على درء المفاسد، والله أعلم.</w:t>
      </w:r>
    </w:p>
    <w:p w:rsidR="002C1C02" w:rsidRPr="00065E4B" w:rsidRDefault="00E54921" w:rsidP="00E54921">
      <w:pPr>
        <w:spacing w:line="620" w:lineRule="exact"/>
        <w:jc w:val="lowKashida"/>
        <w:rPr>
          <w:rFonts w:ascii="Traditional Arabic" w:hAnsi="Traditional Arabic"/>
          <w:rtl/>
        </w:rPr>
      </w:pPr>
      <w:r>
        <w:rPr>
          <w:rFonts w:ascii="Traditional Arabic" w:hAnsi="Traditional Arabic" w:hint="cs"/>
          <w:noProof w:val="0"/>
          <w:rtl/>
          <w:lang w:eastAsia="en-US"/>
        </w:rPr>
        <w:t>ومن أمثلة ذلك: الحجر على المفلس مفسدة في حقه، لكنه ثبت تقديما لمصلحة الغرماء على مفسدة الحجر</w:t>
      </w:r>
      <w:r w:rsidRPr="00E54921">
        <w:rPr>
          <w:rFonts w:ascii="Traditional Arabic" w:hAnsi="Traditional Arabic" w:hint="cs"/>
          <w:noProof w:val="0"/>
          <w:vertAlign w:val="superscript"/>
          <w:rtl/>
          <w:lang w:eastAsia="en-US"/>
        </w:rPr>
        <w:t>(</w:t>
      </w:r>
      <w:r w:rsidRPr="00E54921">
        <w:rPr>
          <w:rStyle w:val="af1"/>
          <w:rFonts w:ascii="Traditional Arabic" w:hAnsi="Traditional Arabic"/>
          <w:noProof w:val="0"/>
          <w:rtl/>
          <w:lang w:eastAsia="en-US"/>
        </w:rPr>
        <w:footnoteReference w:id="321"/>
      </w:r>
      <w:r w:rsidRPr="00E54921">
        <w:rPr>
          <w:rFonts w:ascii="Traditional Arabic" w:hAnsi="Traditional Arabic" w:hint="cs"/>
          <w:noProof w:val="0"/>
          <w:vertAlign w:val="superscript"/>
          <w:rtl/>
          <w:lang w:eastAsia="en-US"/>
        </w:rPr>
        <w:t>)</w:t>
      </w:r>
      <w:r>
        <w:rPr>
          <w:rFonts w:ascii="Traditional Arabic" w:hAnsi="Traditional Arabic" w:hint="cs"/>
          <w:noProof w:val="0"/>
          <w:rtl/>
          <w:lang w:eastAsia="en-US"/>
        </w:rPr>
        <w:t>.</w:t>
      </w:r>
    </w:p>
    <w:p w:rsidR="004716EF" w:rsidRPr="00C85F0F" w:rsidRDefault="004716EF" w:rsidP="000F5C0F">
      <w:pPr>
        <w:pStyle w:val="aff2"/>
        <w:rPr>
          <w:rtl/>
        </w:rPr>
      </w:pPr>
      <w:bookmarkStart w:id="70" w:name="_Toc334046323"/>
      <w:r>
        <w:rPr>
          <w:rFonts w:hint="cs"/>
          <w:rtl/>
        </w:rPr>
        <w:lastRenderedPageBreak/>
        <w:t>المبحث</w:t>
      </w:r>
      <w:r w:rsidR="00690470">
        <w:rPr>
          <w:rFonts w:hint="cs"/>
          <w:rtl/>
        </w:rPr>
        <w:t xml:space="preserve"> الرابع</w:t>
      </w:r>
      <w:r>
        <w:rPr>
          <w:rFonts w:hint="eastAsia"/>
          <w:rtl/>
        </w:rPr>
        <w:t> :</w:t>
      </w:r>
      <w:r>
        <w:rPr>
          <w:rFonts w:hint="cs"/>
          <w:rtl/>
        </w:rPr>
        <w:br/>
        <w:t xml:space="preserve">قاعدة </w:t>
      </w:r>
      <w:r>
        <w:rPr>
          <w:rtl/>
        </w:rPr>
        <w:br/>
      </w:r>
      <w:r>
        <w:rPr>
          <w:rFonts w:hint="cs"/>
          <w:rtl/>
        </w:rPr>
        <w:t>"إذا اجتمع موجِبُ التحليل والتحريم على وجهٍ لا تمييزَ بينهما غ</w:t>
      </w:r>
      <w:r w:rsidR="002C1C02">
        <w:rPr>
          <w:rFonts w:hint="cs"/>
          <w:rtl/>
        </w:rPr>
        <w:t>ُلِّب جانِبُ التحريم</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إذااجتمعموجِبُالتحليلوالتحريمعلىوجهٍلاتمييزَبينهماغُلِّبجانِبُالحَظْر</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szCs w:val="32"/>
          <w:vertAlign w:val="superscript"/>
          <w:rtl/>
        </w:rPr>
        <w:t>(</w:t>
      </w:r>
      <w:r w:rsidRPr="00C85F0F">
        <w:rPr>
          <w:szCs w:val="32"/>
          <w:vertAlign w:val="superscript"/>
          <w:rtl/>
        </w:rPr>
        <w:footnoteReference w:id="322"/>
      </w:r>
      <w:r w:rsidRPr="00C85F0F">
        <w:rPr>
          <w:szCs w:val="32"/>
          <w:vertAlign w:val="superscript"/>
          <w:rtl/>
        </w:rPr>
        <w:t>)</w:t>
      </w:r>
      <w:bookmarkEnd w:id="70"/>
    </w:p>
    <w:p w:rsidR="004716EF" w:rsidRPr="00C85F0F" w:rsidRDefault="002F50A0" w:rsidP="00A8347C">
      <w:pPr>
        <w:pStyle w:val="aff3"/>
        <w:rPr>
          <w:rtl/>
        </w:rPr>
      </w:pPr>
      <w:bookmarkStart w:id="71" w:name="_Toc334046324"/>
      <w:r>
        <w:rPr>
          <w:rFonts w:hint="cs"/>
          <w:rtl/>
        </w:rPr>
        <w:t xml:space="preserve">                    </w:t>
      </w:r>
      <w:r w:rsidR="00BE3E18">
        <w:rPr>
          <w:rFonts w:hint="cs"/>
          <w:rtl/>
        </w:rPr>
        <w:t xml:space="preserve">                     </w:t>
      </w:r>
      <w:r w:rsidR="004716EF" w:rsidRPr="00C85F0F">
        <w:rPr>
          <w:rFonts w:hint="cs"/>
          <w:rtl/>
        </w:rPr>
        <w:t>المطلب الأول</w:t>
      </w:r>
      <w:r w:rsidR="004716EF" w:rsidRPr="00C85F0F">
        <w:rPr>
          <w:rFonts w:hint="eastAsia"/>
          <w:rtl/>
        </w:rPr>
        <w:t> :</w:t>
      </w:r>
      <w:r w:rsidR="004716EF" w:rsidRPr="00C85F0F">
        <w:rPr>
          <w:rFonts w:hint="cs"/>
          <w:rtl/>
        </w:rPr>
        <w:br/>
      </w:r>
      <w:r>
        <w:rPr>
          <w:rFonts w:hint="cs"/>
          <w:rtl/>
        </w:rPr>
        <w:t xml:space="preserve">              </w:t>
      </w:r>
      <w:r w:rsidR="00F67EA6">
        <w:rPr>
          <w:rFonts w:hint="cs"/>
          <w:rtl/>
        </w:rPr>
        <w:t xml:space="preserve"> </w:t>
      </w:r>
      <w:r w:rsidR="00BE3E18">
        <w:rPr>
          <w:rFonts w:hint="cs"/>
          <w:rtl/>
        </w:rPr>
        <w:t xml:space="preserve">      </w:t>
      </w:r>
      <w:r w:rsidR="004716EF" w:rsidRPr="00C85F0F">
        <w:rPr>
          <w:rFonts w:hint="cs"/>
          <w:rtl/>
        </w:rPr>
        <w:t>صيغ القاعدة عند الشيخ وعند علماء القواعد</w:t>
      </w:r>
      <w:bookmarkEnd w:id="71"/>
    </w:p>
    <w:p w:rsidR="004716EF" w:rsidRPr="00C85F0F" w:rsidRDefault="004716EF" w:rsidP="00BE3E18">
      <w:pPr>
        <w:ind w:firstLine="0"/>
        <w:rPr>
          <w:rtl/>
        </w:rPr>
      </w:pPr>
      <w:r w:rsidRPr="00C85F0F">
        <w:rPr>
          <w:rFonts w:hint="cs"/>
          <w:rtl/>
        </w:rPr>
        <w:t>وردت هذه القاعدة عند الشيخ ابن عثيمين</w:t>
      </w:r>
      <w:r w:rsidR="003A7C17">
        <w:rPr>
          <w:rFonts w:hint="cs"/>
          <w:rtl/>
        </w:rPr>
        <w:t>_</w:t>
      </w:r>
      <w:r w:rsidRPr="00C85F0F">
        <w:rPr>
          <w:rFonts w:hint="cs"/>
          <w:rtl/>
        </w:rPr>
        <w:t xml:space="preserve"> </w:t>
      </w:r>
      <w:r w:rsidRPr="005D5694">
        <w:rPr>
          <w:rFonts w:cs="CTraditional Arabic" w:hint="cs"/>
          <w:color w:val="auto"/>
          <w:rtl/>
        </w:rPr>
        <w:t>/</w:t>
      </w:r>
      <w:r w:rsidR="003A7C17">
        <w:rPr>
          <w:rFonts w:hint="cs"/>
          <w:rtl/>
        </w:rPr>
        <w:t>_</w:t>
      </w:r>
      <w:r w:rsidRPr="00C85F0F">
        <w:rPr>
          <w:rFonts w:hint="cs"/>
          <w:rtl/>
        </w:rPr>
        <w:t>بعدة صيغ، منها:</w:t>
      </w:r>
    </w:p>
    <w:p w:rsidR="00065E4B" w:rsidRPr="00C85F0F" w:rsidRDefault="004716EF" w:rsidP="000A76C7">
      <w:pPr>
        <w:pStyle w:val="afc"/>
        <w:numPr>
          <w:ilvl w:val="0"/>
          <w:numId w:val="61"/>
        </w:numPr>
        <w:rPr>
          <w:rtl/>
        </w:rPr>
      </w:pPr>
      <w:r w:rsidRPr="00C85F0F">
        <w:rPr>
          <w:rFonts w:ascii="Traditional Arabic" w:hAnsi="Traditional Arabic"/>
          <w:noProof w:val="0"/>
          <w:rtl/>
          <w:lang w:eastAsia="en-US"/>
        </w:rPr>
        <w:t>إِذا اجتمع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بيحٌ وحاظ</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ولم يتميَّز أحدُهما بِرُجْحَانٍ، فإِنه يُغلَّب جانب 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ظ</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Style w:val="af1"/>
          <w:szCs w:val="32"/>
          <w:rtl/>
        </w:rPr>
        <w:t>(</w:t>
      </w:r>
      <w:r w:rsidRPr="00C85F0F">
        <w:rPr>
          <w:rStyle w:val="af1"/>
          <w:szCs w:val="32"/>
          <w:rtl/>
        </w:rPr>
        <w:footnoteReference w:id="323"/>
      </w:r>
      <w:r w:rsidRPr="00C85F0F">
        <w:rPr>
          <w:rStyle w:val="af1"/>
          <w:szCs w:val="32"/>
          <w:rtl/>
        </w:rPr>
        <w:t>)</w:t>
      </w:r>
      <w:r w:rsidRPr="00C85F0F">
        <w:rPr>
          <w:rFonts w:hint="cs"/>
          <w:rtl/>
        </w:rPr>
        <w:t>.</w:t>
      </w:r>
    </w:p>
    <w:p w:rsidR="004716EF" w:rsidRPr="00C85F0F" w:rsidRDefault="00065E4B" w:rsidP="000A76C7">
      <w:pPr>
        <w:pStyle w:val="afc"/>
        <w:numPr>
          <w:ilvl w:val="0"/>
          <w:numId w:val="61"/>
        </w:numPr>
      </w:pPr>
      <w:r w:rsidRPr="00C85F0F">
        <w:rPr>
          <w:rFonts w:ascii="Traditional Arabic" w:hAnsi="Traditional Arabic"/>
          <w:noProof w:val="0"/>
          <w:rtl/>
          <w:lang w:eastAsia="en-US"/>
        </w:rPr>
        <w:t>إ</w:t>
      </w:r>
      <w:r w:rsidR="004716EF" w:rsidRPr="00C85F0F">
        <w:rPr>
          <w:rFonts w:ascii="Traditional Arabic" w:hAnsi="Traditional Arabic"/>
          <w:noProof w:val="0"/>
          <w:rtl/>
          <w:lang w:eastAsia="en-US"/>
        </w:rPr>
        <w:t>ذا اجتمع مبيح وحاظر غُلِّبَ جانب الحظر</w:t>
      </w:r>
      <w:r w:rsidR="004716EF" w:rsidRPr="00C85F0F">
        <w:rPr>
          <w:rStyle w:val="af1"/>
          <w:szCs w:val="32"/>
          <w:rtl/>
        </w:rPr>
        <w:t>(</w:t>
      </w:r>
      <w:r w:rsidR="004716EF" w:rsidRPr="00C85F0F">
        <w:rPr>
          <w:rStyle w:val="af1"/>
          <w:szCs w:val="32"/>
          <w:rtl/>
        </w:rPr>
        <w:footnoteReference w:id="324"/>
      </w:r>
      <w:r w:rsidR="004716EF" w:rsidRPr="00C85F0F">
        <w:rPr>
          <w:rStyle w:val="af1"/>
          <w:szCs w:val="32"/>
          <w:rtl/>
        </w:rPr>
        <w:t>)</w:t>
      </w:r>
      <w:r w:rsidR="004716EF" w:rsidRPr="00C85F0F">
        <w:rPr>
          <w:rFonts w:hint="cs"/>
          <w:rtl/>
        </w:rPr>
        <w:t>.</w:t>
      </w:r>
    </w:p>
    <w:p w:rsidR="004716EF" w:rsidRPr="00C85F0F" w:rsidRDefault="004716EF" w:rsidP="000A76C7">
      <w:pPr>
        <w:pStyle w:val="afc"/>
        <w:numPr>
          <w:ilvl w:val="0"/>
          <w:numId w:val="61"/>
        </w:numPr>
      </w:pPr>
      <w:r w:rsidRPr="00C85F0F">
        <w:rPr>
          <w:rFonts w:ascii="Traditional Arabic" w:hAnsi="Traditional Arabic"/>
          <w:noProof w:val="0"/>
          <w:rtl/>
          <w:lang w:eastAsia="en-US"/>
        </w:rPr>
        <w:t>إذا اجتمع مبيح وحاظر</w:t>
      </w:r>
      <w:r w:rsidRPr="00C85F0F">
        <w:rPr>
          <w:rFonts w:hint="cs"/>
          <w:rtl/>
        </w:rPr>
        <w:t xml:space="preserve"> قُدِّمَ الحاظر على المبيح</w:t>
      </w:r>
      <w:r w:rsidRPr="00C85F0F">
        <w:rPr>
          <w:rStyle w:val="af1"/>
          <w:szCs w:val="32"/>
          <w:rtl/>
        </w:rPr>
        <w:t>(</w:t>
      </w:r>
      <w:r w:rsidRPr="00C85F0F">
        <w:rPr>
          <w:rStyle w:val="af1"/>
          <w:szCs w:val="32"/>
          <w:rtl/>
        </w:rPr>
        <w:footnoteReference w:id="325"/>
      </w:r>
      <w:r w:rsidRPr="00C85F0F">
        <w:rPr>
          <w:rStyle w:val="af1"/>
          <w:szCs w:val="32"/>
          <w:rtl/>
        </w:rPr>
        <w:t>)</w:t>
      </w:r>
      <w:r w:rsidRPr="00C85F0F">
        <w:rPr>
          <w:rFonts w:hint="cs"/>
          <w:rtl/>
        </w:rPr>
        <w:t>.</w:t>
      </w:r>
    </w:p>
    <w:p w:rsidR="004716EF" w:rsidRPr="00C85F0F" w:rsidRDefault="004716EF" w:rsidP="000A76C7">
      <w:pPr>
        <w:pStyle w:val="afc"/>
        <w:numPr>
          <w:ilvl w:val="0"/>
          <w:numId w:val="61"/>
        </w:numPr>
      </w:pPr>
      <w:r w:rsidRPr="00C85F0F">
        <w:rPr>
          <w:rFonts w:ascii="Traditional Arabic" w:hAnsi="Traditional Arabic"/>
          <w:noProof w:val="0"/>
          <w:rtl/>
          <w:lang w:eastAsia="en-US"/>
        </w:rPr>
        <w:t>إذا اجتمع مبيح وحاظر فالح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كم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حاظر</w:t>
      </w:r>
      <w:r w:rsidRPr="00C85F0F">
        <w:rPr>
          <w:rStyle w:val="af1"/>
          <w:szCs w:val="32"/>
          <w:rtl/>
        </w:rPr>
        <w:t>(</w:t>
      </w:r>
      <w:r w:rsidRPr="00C85F0F">
        <w:rPr>
          <w:rStyle w:val="af1"/>
          <w:szCs w:val="32"/>
          <w:rtl/>
        </w:rPr>
        <w:footnoteReference w:id="326"/>
      </w:r>
      <w:r w:rsidRPr="00C85F0F">
        <w:rPr>
          <w:rStyle w:val="af1"/>
          <w:szCs w:val="32"/>
          <w:rtl/>
        </w:rPr>
        <w:t>)</w:t>
      </w:r>
      <w:r w:rsidRPr="00C85F0F">
        <w:rPr>
          <w:rFonts w:hint="cs"/>
          <w:rtl/>
        </w:rPr>
        <w:t>.</w:t>
      </w:r>
    </w:p>
    <w:p w:rsidR="004716EF" w:rsidRPr="00C85F0F" w:rsidRDefault="004716EF" w:rsidP="000A76C7">
      <w:pPr>
        <w:pStyle w:val="afc"/>
        <w:numPr>
          <w:ilvl w:val="0"/>
          <w:numId w:val="61"/>
        </w:numPr>
        <w:rPr>
          <w:color w:val="auto"/>
        </w:rPr>
      </w:pPr>
      <w:r w:rsidRPr="00C85F0F">
        <w:rPr>
          <w:rFonts w:ascii="Traditional Arabic" w:hAnsi="Traditional Arabic"/>
          <w:noProof w:val="0"/>
          <w:color w:val="auto"/>
          <w:rtl/>
          <w:lang w:eastAsia="en-US"/>
        </w:rPr>
        <w:lastRenderedPageBreak/>
        <w:t>إذا اجتمع في شيء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مبيح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وحاظر، ولم يتميز المبيح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الحاظر، فإنه يغل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 جانب الحاظر</w:t>
      </w:r>
      <w:r w:rsidRPr="00C85F0F">
        <w:rPr>
          <w:rStyle w:val="af1"/>
          <w:szCs w:val="32"/>
          <w:rtl/>
        </w:rPr>
        <w:t>(</w:t>
      </w:r>
      <w:r w:rsidRPr="00C85F0F">
        <w:rPr>
          <w:rStyle w:val="af1"/>
          <w:szCs w:val="32"/>
          <w:rtl/>
        </w:rPr>
        <w:footnoteReference w:id="327"/>
      </w:r>
      <w:r w:rsidRPr="00C85F0F">
        <w:rPr>
          <w:rStyle w:val="af1"/>
          <w:szCs w:val="32"/>
          <w:rtl/>
        </w:rPr>
        <w:t>)</w:t>
      </w:r>
      <w:r w:rsidRPr="00C85F0F">
        <w:rPr>
          <w:rFonts w:hint="cs"/>
          <w:color w:val="auto"/>
          <w:rtl/>
        </w:rPr>
        <w:t>.</w:t>
      </w:r>
    </w:p>
    <w:p w:rsidR="004716EF" w:rsidRPr="00C85F0F" w:rsidRDefault="004716EF" w:rsidP="000A76C7">
      <w:pPr>
        <w:pStyle w:val="afc"/>
        <w:widowControl/>
        <w:numPr>
          <w:ilvl w:val="0"/>
          <w:numId w:val="61"/>
        </w:numPr>
        <w:autoSpaceDE w:val="0"/>
        <w:autoSpaceDN w:val="0"/>
        <w:adjustRightInd w:val="0"/>
        <w:jc w:val="left"/>
        <w:rPr>
          <w:rFonts w:ascii="Traditional Arabic" w:hAnsi="Traditional Arabic"/>
          <w:noProof w:val="0"/>
          <w:rtl/>
          <w:lang w:eastAsia="en-US"/>
        </w:rPr>
      </w:pPr>
      <w:r w:rsidRPr="00C85F0F">
        <w:rPr>
          <w:rFonts w:ascii="Traditional Arabic" w:hAnsi="Traditional Arabic"/>
          <w:noProof w:val="0"/>
          <w:rtl/>
          <w:lang w:eastAsia="en-US"/>
        </w:rPr>
        <w:t>إذا اجتمع سببان: مبيح وحاظر، غُل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 جانب الحظر</w:t>
      </w:r>
      <w:r w:rsidRPr="00C85F0F">
        <w:rPr>
          <w:rStyle w:val="af1"/>
          <w:szCs w:val="32"/>
          <w:rtl/>
        </w:rPr>
        <w:t>(</w:t>
      </w:r>
      <w:r w:rsidRPr="00C85F0F">
        <w:rPr>
          <w:rStyle w:val="af1"/>
          <w:szCs w:val="32"/>
          <w:rtl/>
        </w:rPr>
        <w:footnoteReference w:id="328"/>
      </w:r>
      <w:r w:rsidRPr="00C85F0F">
        <w:rPr>
          <w:rStyle w:val="af1"/>
          <w:szCs w:val="32"/>
          <w:rtl/>
        </w:rPr>
        <w:t>)</w:t>
      </w:r>
      <w:r w:rsidRPr="00C85F0F">
        <w:rPr>
          <w:rFonts w:ascii="Traditional Arabic" w:hAnsi="Traditional Arabic"/>
          <w:noProof w:val="0"/>
          <w:rtl/>
          <w:lang w:eastAsia="en-US"/>
        </w:rPr>
        <w:t>.</w:t>
      </w:r>
    </w:p>
    <w:p w:rsidR="00065E4B" w:rsidRPr="00C85F0F" w:rsidRDefault="004716EF" w:rsidP="000A76C7">
      <w:pPr>
        <w:pStyle w:val="afc"/>
        <w:numPr>
          <w:ilvl w:val="0"/>
          <w:numId w:val="61"/>
        </w:numPr>
      </w:pPr>
      <w:r w:rsidRPr="00C85F0F">
        <w:rPr>
          <w:rFonts w:ascii="Traditional Arabic" w:hAnsi="Traditional Arabic"/>
          <w:noProof w:val="0"/>
          <w:rtl/>
          <w:lang w:eastAsia="en-US"/>
        </w:rPr>
        <w:t>إذا اجتمع مبيح وحاظر</w:t>
      </w:r>
      <w:r w:rsidRPr="00C85F0F">
        <w:rPr>
          <w:rFonts w:hint="cs"/>
          <w:rtl/>
        </w:rPr>
        <w:t xml:space="preserve"> وتعذَّر انفكاكُ أحدِهما عن الآخَر فإنه يغلَّب جانِبُ الحظر</w:t>
      </w:r>
      <w:r w:rsidRPr="00C85F0F">
        <w:rPr>
          <w:rStyle w:val="af1"/>
          <w:szCs w:val="32"/>
          <w:rtl/>
        </w:rPr>
        <w:t>(</w:t>
      </w:r>
      <w:r w:rsidRPr="00C85F0F">
        <w:rPr>
          <w:rStyle w:val="af1"/>
          <w:szCs w:val="32"/>
          <w:rtl/>
        </w:rPr>
        <w:footnoteReference w:id="329"/>
      </w:r>
      <w:r w:rsidRPr="00C85F0F">
        <w:rPr>
          <w:rStyle w:val="af1"/>
          <w:szCs w:val="32"/>
          <w:rtl/>
        </w:rPr>
        <w:t>)</w:t>
      </w:r>
      <w:r w:rsidRPr="00C85F0F">
        <w:rPr>
          <w:rFonts w:hint="cs"/>
          <w:rtl/>
        </w:rPr>
        <w:t>.</w:t>
      </w:r>
    </w:p>
    <w:p w:rsidR="004716EF" w:rsidRPr="00C85F0F" w:rsidRDefault="00065E4B" w:rsidP="00597C20">
      <w:pPr>
        <w:ind w:firstLine="0"/>
        <w:rPr>
          <w:rtl/>
        </w:rPr>
      </w:pPr>
      <w:r w:rsidRPr="00C85F0F">
        <w:rPr>
          <w:rFonts w:hint="cs"/>
          <w:rtl/>
        </w:rPr>
        <w:t>و</w:t>
      </w:r>
      <w:r w:rsidR="004716EF" w:rsidRPr="00C85F0F">
        <w:rPr>
          <w:rFonts w:hint="cs"/>
          <w:rtl/>
        </w:rPr>
        <w:t>وردت هذه القاعدة عند علماء القواعد بعدة صيغ، منها:</w:t>
      </w:r>
    </w:p>
    <w:p w:rsidR="00F228A9" w:rsidRPr="00C85F0F" w:rsidRDefault="004716EF" w:rsidP="000A76C7">
      <w:pPr>
        <w:pStyle w:val="afc"/>
        <w:numPr>
          <w:ilvl w:val="0"/>
          <w:numId w:val="62"/>
        </w:numPr>
      </w:pPr>
      <w:r w:rsidRPr="00C85F0F">
        <w:rPr>
          <w:rFonts w:hint="cs"/>
          <w:rtl/>
        </w:rPr>
        <w:t xml:space="preserve">إذا تعارَض المُقْتضي والمانِع يقدَّم المانع </w:t>
      </w:r>
      <w:r w:rsidRPr="00C85F0F">
        <w:rPr>
          <w:rStyle w:val="af1"/>
          <w:szCs w:val="32"/>
          <w:rtl/>
        </w:rPr>
        <w:t>(</w:t>
      </w:r>
      <w:r w:rsidRPr="00C85F0F">
        <w:rPr>
          <w:rStyle w:val="af1"/>
          <w:szCs w:val="32"/>
          <w:rtl/>
        </w:rPr>
        <w:footnoteReference w:id="330"/>
      </w:r>
      <w:r w:rsidRPr="00C85F0F">
        <w:rPr>
          <w:rStyle w:val="af1"/>
          <w:szCs w:val="32"/>
          <w:rtl/>
        </w:rPr>
        <w:t>)</w:t>
      </w:r>
      <w:r w:rsidRPr="00C85F0F">
        <w:rPr>
          <w:rFonts w:hint="cs"/>
          <w:rtl/>
        </w:rPr>
        <w:t>.</w:t>
      </w:r>
    </w:p>
    <w:p w:rsidR="004716EF" w:rsidRPr="00C85F0F" w:rsidRDefault="004716EF" w:rsidP="000A76C7">
      <w:pPr>
        <w:pStyle w:val="afc"/>
        <w:numPr>
          <w:ilvl w:val="0"/>
          <w:numId w:val="62"/>
        </w:numPr>
      </w:pPr>
      <w:r w:rsidRPr="00C85F0F">
        <w:rPr>
          <w:rFonts w:hint="cs"/>
          <w:rtl/>
        </w:rPr>
        <w:t>إذا اجتمع الحلال والحرام غَلَبَ الحرام</w:t>
      </w:r>
      <w:r w:rsidRPr="00C85F0F">
        <w:rPr>
          <w:rStyle w:val="af1"/>
          <w:szCs w:val="32"/>
          <w:rtl/>
        </w:rPr>
        <w:t>(</w:t>
      </w:r>
      <w:r w:rsidRPr="00C85F0F">
        <w:rPr>
          <w:rStyle w:val="af1"/>
          <w:szCs w:val="32"/>
          <w:rtl/>
        </w:rPr>
        <w:footnoteReference w:id="331"/>
      </w:r>
      <w:r w:rsidRPr="00C85F0F">
        <w:rPr>
          <w:rStyle w:val="af1"/>
          <w:szCs w:val="32"/>
          <w:rtl/>
        </w:rPr>
        <w:t>)</w:t>
      </w:r>
      <w:r w:rsidRPr="00C85F0F">
        <w:rPr>
          <w:rFonts w:hint="cs"/>
          <w:rtl/>
        </w:rPr>
        <w:t>.</w:t>
      </w:r>
    </w:p>
    <w:p w:rsidR="004716EF" w:rsidRPr="00C85F0F" w:rsidRDefault="004716EF" w:rsidP="000A76C7">
      <w:pPr>
        <w:pStyle w:val="afc"/>
        <w:numPr>
          <w:ilvl w:val="0"/>
          <w:numId w:val="62"/>
        </w:numPr>
      </w:pPr>
      <w:r w:rsidRPr="00C85F0F">
        <w:rPr>
          <w:rFonts w:hint="cs"/>
          <w:rtl/>
        </w:rPr>
        <w:t>إذا اجتمع الحلال والحرام أو المبيح والمحرِّم غُلِّب جانبُ المحرِّم</w:t>
      </w:r>
      <w:r w:rsidRPr="00C85F0F">
        <w:rPr>
          <w:rStyle w:val="af1"/>
          <w:szCs w:val="32"/>
          <w:rtl/>
        </w:rPr>
        <w:t>(</w:t>
      </w:r>
      <w:r w:rsidRPr="00C85F0F">
        <w:rPr>
          <w:rStyle w:val="af1"/>
          <w:szCs w:val="32"/>
          <w:rtl/>
        </w:rPr>
        <w:footnoteReference w:id="332"/>
      </w:r>
      <w:r w:rsidRPr="00C85F0F">
        <w:rPr>
          <w:rStyle w:val="af1"/>
          <w:szCs w:val="32"/>
          <w:rtl/>
        </w:rPr>
        <w:t>)</w:t>
      </w:r>
      <w:r w:rsidRPr="00C85F0F">
        <w:rPr>
          <w:rFonts w:hint="cs"/>
          <w:rtl/>
        </w:rPr>
        <w:t>.</w:t>
      </w:r>
    </w:p>
    <w:p w:rsidR="004716EF" w:rsidRPr="00C85F0F" w:rsidRDefault="004716EF" w:rsidP="000A76C7">
      <w:pPr>
        <w:pStyle w:val="afc"/>
        <w:numPr>
          <w:ilvl w:val="0"/>
          <w:numId w:val="62"/>
        </w:numPr>
      </w:pPr>
      <w:r w:rsidRPr="00C85F0F">
        <w:rPr>
          <w:rFonts w:hint="cs"/>
          <w:rtl/>
        </w:rPr>
        <w:t>إذا اجتمع حَظْرٌ وإباحة غلِّب جانب الحظر</w:t>
      </w:r>
      <w:r w:rsidRPr="00C85F0F">
        <w:rPr>
          <w:rStyle w:val="af1"/>
          <w:szCs w:val="32"/>
          <w:rtl/>
        </w:rPr>
        <w:t>(</w:t>
      </w:r>
      <w:r w:rsidRPr="00C85F0F">
        <w:rPr>
          <w:rStyle w:val="af1"/>
          <w:szCs w:val="32"/>
          <w:rtl/>
        </w:rPr>
        <w:footnoteReference w:id="333"/>
      </w:r>
      <w:r w:rsidRPr="00C85F0F">
        <w:rPr>
          <w:rStyle w:val="af1"/>
          <w:szCs w:val="32"/>
          <w:rtl/>
        </w:rPr>
        <w:t>)</w:t>
      </w:r>
      <w:r w:rsidRPr="00C85F0F">
        <w:rPr>
          <w:rFonts w:hint="cs"/>
          <w:rtl/>
        </w:rPr>
        <w:t>.</w:t>
      </w:r>
    </w:p>
    <w:p w:rsidR="004716EF" w:rsidRPr="00C85F0F" w:rsidRDefault="004716EF" w:rsidP="000A76C7">
      <w:pPr>
        <w:pStyle w:val="afc"/>
        <w:numPr>
          <w:ilvl w:val="0"/>
          <w:numId w:val="62"/>
        </w:numPr>
      </w:pPr>
      <w:r w:rsidRPr="00C85F0F">
        <w:rPr>
          <w:rFonts w:hint="cs"/>
          <w:rtl/>
        </w:rPr>
        <w:t>ما اجتمع الحلالُ والحرام إلا وغَلَب الحرامُ الحلالَ</w:t>
      </w:r>
      <w:r w:rsidRPr="00C85F0F">
        <w:rPr>
          <w:rStyle w:val="af1"/>
          <w:szCs w:val="32"/>
          <w:rtl/>
        </w:rPr>
        <w:t>(</w:t>
      </w:r>
      <w:r w:rsidRPr="00C85F0F">
        <w:rPr>
          <w:rStyle w:val="af1"/>
          <w:szCs w:val="32"/>
          <w:rtl/>
        </w:rPr>
        <w:footnoteReference w:id="334"/>
      </w:r>
      <w:r w:rsidRPr="00C85F0F">
        <w:rPr>
          <w:rStyle w:val="af1"/>
          <w:szCs w:val="32"/>
          <w:rtl/>
        </w:rPr>
        <w:t>)</w:t>
      </w:r>
      <w:r w:rsidRPr="00C85F0F">
        <w:rPr>
          <w:rFonts w:hint="cs"/>
          <w:rtl/>
        </w:rPr>
        <w:t>.</w:t>
      </w:r>
    </w:p>
    <w:p w:rsidR="004716EF" w:rsidRPr="00C85F0F" w:rsidRDefault="004716EF" w:rsidP="000A76C7">
      <w:pPr>
        <w:pStyle w:val="afc"/>
        <w:numPr>
          <w:ilvl w:val="0"/>
          <w:numId w:val="62"/>
        </w:numPr>
      </w:pPr>
      <w:r w:rsidRPr="00C85F0F">
        <w:rPr>
          <w:rFonts w:hint="cs"/>
          <w:rtl/>
        </w:rPr>
        <w:t>ما اجتمع الحلالُ والحرام إلا غَلَب الحرامُ</w:t>
      </w:r>
      <w:r w:rsidRPr="00C85F0F">
        <w:rPr>
          <w:rStyle w:val="af1"/>
          <w:szCs w:val="32"/>
          <w:rtl/>
        </w:rPr>
        <w:t>(</w:t>
      </w:r>
      <w:r w:rsidRPr="00C85F0F">
        <w:rPr>
          <w:rStyle w:val="af1"/>
          <w:szCs w:val="32"/>
          <w:rtl/>
        </w:rPr>
        <w:footnoteReference w:id="335"/>
      </w:r>
      <w:r w:rsidRPr="00C85F0F">
        <w:rPr>
          <w:rStyle w:val="af1"/>
          <w:szCs w:val="32"/>
          <w:rtl/>
        </w:rPr>
        <w:t>)</w:t>
      </w:r>
      <w:r w:rsidRPr="00C85F0F">
        <w:rPr>
          <w:rFonts w:hint="cs"/>
          <w:rtl/>
        </w:rPr>
        <w:t>.</w:t>
      </w:r>
    </w:p>
    <w:p w:rsidR="004716EF" w:rsidRPr="00C85F0F" w:rsidRDefault="004716EF" w:rsidP="000A76C7">
      <w:pPr>
        <w:pStyle w:val="afc"/>
        <w:numPr>
          <w:ilvl w:val="0"/>
          <w:numId w:val="62"/>
        </w:numPr>
      </w:pPr>
      <w:r w:rsidRPr="00C85F0F">
        <w:rPr>
          <w:rFonts w:hint="cs"/>
          <w:rtl/>
        </w:rPr>
        <w:lastRenderedPageBreak/>
        <w:t>ما اجتمع محرِّمٌ ومبيح إلا غلب المحرِّم</w:t>
      </w:r>
      <w:r w:rsidRPr="00C85F0F">
        <w:rPr>
          <w:rStyle w:val="af1"/>
          <w:szCs w:val="32"/>
          <w:rtl/>
        </w:rPr>
        <w:t>(</w:t>
      </w:r>
      <w:r w:rsidRPr="00C85F0F">
        <w:rPr>
          <w:rStyle w:val="af1"/>
          <w:szCs w:val="32"/>
          <w:rtl/>
        </w:rPr>
        <w:footnoteReference w:id="336"/>
      </w:r>
      <w:r w:rsidRPr="00C85F0F">
        <w:rPr>
          <w:rStyle w:val="af1"/>
          <w:szCs w:val="32"/>
          <w:rtl/>
        </w:rPr>
        <w:t>)</w:t>
      </w:r>
      <w:r w:rsidRPr="00C85F0F">
        <w:rPr>
          <w:rFonts w:hint="cs"/>
          <w:rtl/>
        </w:rPr>
        <w:t>.</w:t>
      </w:r>
    </w:p>
    <w:p w:rsidR="004716EF" w:rsidRPr="00C85F0F" w:rsidRDefault="004716EF" w:rsidP="000A76C7">
      <w:pPr>
        <w:pStyle w:val="afc"/>
        <w:numPr>
          <w:ilvl w:val="0"/>
          <w:numId w:val="62"/>
        </w:numPr>
        <w:rPr>
          <w:rtl/>
        </w:rPr>
      </w:pPr>
      <w:r w:rsidRPr="00C85F0F">
        <w:rPr>
          <w:rFonts w:hint="cs"/>
          <w:rtl/>
        </w:rPr>
        <w:t>إذا استوى الحلالُ والحرامُ يَغلِبُ الحرامُ الحلالَ</w:t>
      </w:r>
      <w:r w:rsidRPr="00C85F0F">
        <w:rPr>
          <w:rStyle w:val="af1"/>
          <w:szCs w:val="32"/>
          <w:rtl/>
        </w:rPr>
        <w:t>(</w:t>
      </w:r>
      <w:r w:rsidRPr="00C85F0F">
        <w:rPr>
          <w:rStyle w:val="af1"/>
          <w:szCs w:val="32"/>
          <w:rtl/>
        </w:rPr>
        <w:footnoteReference w:id="337"/>
      </w:r>
      <w:r w:rsidRPr="00C85F0F">
        <w:rPr>
          <w:rStyle w:val="af1"/>
          <w:szCs w:val="32"/>
          <w:rtl/>
        </w:rPr>
        <w:t>)</w:t>
      </w:r>
      <w:r w:rsidRPr="00C85F0F">
        <w:rPr>
          <w:rFonts w:hint="cs"/>
          <w:rtl/>
        </w:rPr>
        <w:t>.</w:t>
      </w:r>
    </w:p>
    <w:p w:rsidR="004716EF" w:rsidRPr="00C85F0F" w:rsidRDefault="004716EF" w:rsidP="000A76C7">
      <w:pPr>
        <w:pStyle w:val="afc"/>
        <w:numPr>
          <w:ilvl w:val="0"/>
          <w:numId w:val="62"/>
        </w:numPr>
        <w:rPr>
          <w:rtl/>
        </w:rPr>
      </w:pPr>
      <w:r w:rsidRPr="00C85F0F">
        <w:rPr>
          <w:rFonts w:hint="cs"/>
          <w:rtl/>
        </w:rPr>
        <w:t>إذا اجتمع المعنى الموجِبُ للحظر والموجب للإباحة في شيء واحد يُغَلَّب الموجب للحظر</w:t>
      </w:r>
      <w:r w:rsidRPr="00C85F0F">
        <w:rPr>
          <w:rStyle w:val="af1"/>
          <w:szCs w:val="32"/>
          <w:rtl/>
        </w:rPr>
        <w:t>(</w:t>
      </w:r>
      <w:r w:rsidRPr="00C85F0F">
        <w:rPr>
          <w:rStyle w:val="af1"/>
          <w:szCs w:val="32"/>
          <w:rtl/>
        </w:rPr>
        <w:footnoteReference w:id="338"/>
      </w:r>
      <w:r w:rsidRPr="00C85F0F">
        <w:rPr>
          <w:rStyle w:val="af1"/>
          <w:szCs w:val="32"/>
          <w:rtl/>
        </w:rPr>
        <w:t>)</w:t>
      </w:r>
      <w:r w:rsidRPr="00C85F0F">
        <w:rPr>
          <w:rFonts w:hint="cs"/>
          <w:rtl/>
        </w:rPr>
        <w:t>.</w:t>
      </w:r>
    </w:p>
    <w:p w:rsidR="004716EF" w:rsidRPr="00C85F0F" w:rsidRDefault="004716EF" w:rsidP="000A76C7">
      <w:pPr>
        <w:pStyle w:val="afc"/>
        <w:numPr>
          <w:ilvl w:val="0"/>
          <w:numId w:val="62"/>
        </w:numPr>
      </w:pPr>
      <w:r w:rsidRPr="00C85F0F">
        <w:rPr>
          <w:rFonts w:hint="cs"/>
          <w:rtl/>
        </w:rPr>
        <w:t>إذا امْتَزَج التحريمُ والتحليل غَلَّبْنا التحريمَ على التحليل</w:t>
      </w:r>
      <w:r w:rsidRPr="00C85F0F">
        <w:rPr>
          <w:rStyle w:val="af1"/>
          <w:szCs w:val="32"/>
          <w:rtl/>
        </w:rPr>
        <w:t>(</w:t>
      </w:r>
      <w:r w:rsidRPr="00C85F0F">
        <w:rPr>
          <w:rStyle w:val="af1"/>
          <w:szCs w:val="32"/>
          <w:rtl/>
        </w:rPr>
        <w:footnoteReference w:id="339"/>
      </w:r>
      <w:r w:rsidRPr="00C85F0F">
        <w:rPr>
          <w:rStyle w:val="af1"/>
          <w:szCs w:val="32"/>
          <w:rtl/>
        </w:rPr>
        <w:t>)</w:t>
      </w:r>
      <w:r w:rsidRPr="00C85F0F">
        <w:rPr>
          <w:rFonts w:hint="cs"/>
          <w:rtl/>
        </w:rPr>
        <w:t>.</w:t>
      </w:r>
    </w:p>
    <w:p w:rsidR="004716EF" w:rsidRPr="00C85F0F" w:rsidRDefault="002F50A0" w:rsidP="00A8347C">
      <w:pPr>
        <w:pStyle w:val="aff3"/>
        <w:rPr>
          <w:rtl/>
        </w:rPr>
      </w:pPr>
      <w:bookmarkStart w:id="72" w:name="_Toc334046325"/>
      <w:r>
        <w:rPr>
          <w:rFonts w:hint="cs"/>
          <w:rtl/>
        </w:rPr>
        <w:t xml:space="preserve">                </w:t>
      </w:r>
      <w:r w:rsidR="00BE3E18">
        <w:rPr>
          <w:rFonts w:hint="cs"/>
          <w:rtl/>
        </w:rPr>
        <w:t xml:space="preserve">                  </w:t>
      </w:r>
      <w:r w:rsidR="003A7C17">
        <w:rPr>
          <w:rFonts w:hint="cs"/>
          <w:rtl/>
        </w:rPr>
        <w:t xml:space="preserve">      </w:t>
      </w:r>
      <w:r w:rsidR="004716EF" w:rsidRPr="00C85F0F">
        <w:rPr>
          <w:rtl/>
        </w:rPr>
        <w:t xml:space="preserve">المطلب </w:t>
      </w:r>
      <w:r w:rsidR="004716EF" w:rsidRPr="00C85F0F">
        <w:rPr>
          <w:rFonts w:hint="cs"/>
          <w:rtl/>
        </w:rPr>
        <w:t>الثاني</w:t>
      </w:r>
      <w:r w:rsidR="004716EF" w:rsidRPr="00C85F0F">
        <w:rPr>
          <w:rFonts w:hint="eastAsia"/>
          <w:rtl/>
        </w:rPr>
        <w:t> :</w:t>
      </w:r>
      <w:r w:rsidR="004716EF" w:rsidRPr="00C85F0F">
        <w:rPr>
          <w:rFonts w:hint="cs"/>
          <w:rtl/>
        </w:rPr>
        <w:br/>
      </w:r>
      <w:r>
        <w:rPr>
          <w:rFonts w:hint="cs"/>
          <w:rtl/>
        </w:rPr>
        <w:t xml:space="preserve">               </w:t>
      </w:r>
      <w:r w:rsidR="00BE3E18">
        <w:rPr>
          <w:rFonts w:hint="cs"/>
          <w:rtl/>
        </w:rPr>
        <w:t xml:space="preserve">                    </w:t>
      </w:r>
      <w:r w:rsidR="003A7C17">
        <w:rPr>
          <w:rFonts w:hint="cs"/>
          <w:rtl/>
        </w:rPr>
        <w:t xml:space="preserve">      </w:t>
      </w:r>
      <w:r w:rsidR="004716EF" w:rsidRPr="00C85F0F">
        <w:rPr>
          <w:rFonts w:hint="cs"/>
          <w:rtl/>
        </w:rPr>
        <w:t>شرح القاعدة</w:t>
      </w:r>
      <w:bookmarkEnd w:id="72"/>
    </w:p>
    <w:p w:rsidR="00065E4B" w:rsidRDefault="004716EF" w:rsidP="000F5C0F">
      <w:pPr>
        <w:pStyle w:val="53"/>
        <w:rPr>
          <w:rtl/>
        </w:rPr>
      </w:pPr>
      <w:r w:rsidRPr="000F5C0F">
        <w:rPr>
          <w:rFonts w:hint="cs"/>
          <w:rtl/>
        </w:rPr>
        <w:t>الموجِب</w:t>
      </w:r>
      <w:r w:rsidR="00AB0B9E" w:rsidRPr="000F5C0F">
        <w:fldChar w:fldCharType="begin"/>
      </w:r>
      <w:r w:rsidR="007F4BBF" w:rsidRPr="000F5C0F">
        <w:instrText>XE</w:instrText>
      </w:r>
      <w:r w:rsidR="007F4BBF" w:rsidRPr="000F5C0F">
        <w:rPr>
          <w:rtl/>
        </w:rPr>
        <w:instrText xml:space="preserve"> "</w:instrText>
      </w:r>
      <w:r w:rsidR="007F4BBF" w:rsidRPr="000F5C0F">
        <w:rPr>
          <w:rFonts w:hint="cs"/>
          <w:rtl/>
        </w:rPr>
        <w:instrText>الموجِب</w:instrText>
      </w:r>
      <w:r w:rsidR="007F4BBF" w:rsidRPr="000F5C0F">
        <w:rPr>
          <w:rtl/>
        </w:rPr>
        <w:instrText>" \</w:instrText>
      </w:r>
      <w:r w:rsidR="007F4BBF" w:rsidRPr="000F5C0F">
        <w:instrText>fm</w:instrText>
      </w:r>
      <w:r w:rsidR="00AB0B9E" w:rsidRPr="000F5C0F">
        <w:fldChar w:fldCharType="end"/>
      </w:r>
      <w:r>
        <w:rPr>
          <w:rFonts w:hint="cs"/>
          <w:rtl/>
        </w:rPr>
        <w:t xml:space="preserve"> لغة:</w:t>
      </w:r>
    </w:p>
    <w:p w:rsidR="00065E4B" w:rsidRPr="002B3A43" w:rsidRDefault="004716EF" w:rsidP="00FA4309">
      <w:pPr>
        <w:ind w:firstLine="720"/>
        <w:rPr>
          <w:rtl/>
        </w:rPr>
      </w:pPr>
      <w:r>
        <w:rPr>
          <w:rFonts w:hint="cs"/>
          <w:b/>
          <w:bCs/>
          <w:rtl/>
        </w:rPr>
        <w:t>الموجِب بالكسر السبب،</w:t>
      </w:r>
      <w:r>
        <w:rPr>
          <w:rFonts w:ascii="Traditional Arabic" w:hAnsi="Traditional Arabic" w:hint="cs"/>
          <w:noProof w:val="0"/>
          <w:rtl/>
          <w:lang w:eastAsia="en-US"/>
        </w:rPr>
        <w:t xml:space="preserve"> تقول: </w:t>
      </w:r>
      <w:r>
        <w:rPr>
          <w:rFonts w:ascii="Traditional Arabic" w:hAnsi="Traditional Arabic"/>
          <w:noProof w:val="0"/>
          <w:rtl/>
          <w:lang w:eastAsia="en-US"/>
        </w:rPr>
        <w:t>أَوْجَبَتِ</w:t>
      </w:r>
      <w:r w:rsidRPr="002B3A43">
        <w:rPr>
          <w:rFonts w:ascii="Traditional Arabic" w:hAnsi="Traditional Arabic"/>
          <w:noProof w:val="0"/>
          <w:rtl/>
          <w:lang w:eastAsia="en-US"/>
        </w:rPr>
        <w:t xml:space="preserve"> السرقة</w:t>
      </w:r>
      <w:r>
        <w:rPr>
          <w:rFonts w:ascii="Traditional Arabic" w:hAnsi="Traditional Arabic" w:hint="cs"/>
          <w:noProof w:val="0"/>
          <w:rtl/>
          <w:lang w:eastAsia="en-US"/>
        </w:rPr>
        <w:t>ُ</w:t>
      </w:r>
      <w:r w:rsidRPr="002B3A43">
        <w:rPr>
          <w:rFonts w:ascii="Traditional Arabic" w:hAnsi="Traditional Arabic"/>
          <w:noProof w:val="0"/>
          <w:rtl/>
          <w:lang w:eastAsia="en-US"/>
        </w:rPr>
        <w:t xml:space="preserve"> الق</w:t>
      </w:r>
      <w:r>
        <w:rPr>
          <w:rFonts w:ascii="Traditional Arabic" w:hAnsi="Traditional Arabic" w:hint="cs"/>
          <w:noProof w:val="0"/>
          <w:rtl/>
          <w:lang w:eastAsia="en-US"/>
        </w:rPr>
        <w:t>َ</w:t>
      </w:r>
      <w:r w:rsidRPr="002B3A43">
        <w:rPr>
          <w:rFonts w:ascii="Traditional Arabic" w:hAnsi="Traditional Arabic"/>
          <w:noProof w:val="0"/>
          <w:rtl/>
          <w:lang w:eastAsia="en-US"/>
        </w:rPr>
        <w:t>ط</w:t>
      </w:r>
      <w:r>
        <w:rPr>
          <w:rFonts w:ascii="Traditional Arabic" w:hAnsi="Traditional Arabic" w:hint="cs"/>
          <w:noProof w:val="0"/>
          <w:rtl/>
          <w:lang w:eastAsia="en-US"/>
        </w:rPr>
        <w:t>ْ</w:t>
      </w:r>
      <w:r w:rsidRPr="002B3A43">
        <w:rPr>
          <w:rFonts w:ascii="Traditional Arabic" w:hAnsi="Traditional Arabic"/>
          <w:noProof w:val="0"/>
          <w:rtl/>
          <w:lang w:eastAsia="en-US"/>
        </w:rPr>
        <w:t>ع</w:t>
      </w:r>
      <w:r>
        <w:rPr>
          <w:rFonts w:ascii="Traditional Arabic" w:hAnsi="Traditional Arabic" w:hint="cs"/>
          <w:noProof w:val="0"/>
          <w:rtl/>
          <w:lang w:eastAsia="en-US"/>
        </w:rPr>
        <w:t>َ،</w:t>
      </w:r>
      <w:r w:rsidR="005A21A8">
        <w:rPr>
          <w:rFonts w:ascii="Traditional Arabic" w:hAnsi="Traditional Arabic" w:hint="cs"/>
          <w:noProof w:val="0"/>
          <w:rtl/>
          <w:lang w:eastAsia="en-US"/>
        </w:rPr>
        <w:t xml:space="preserve"> </w:t>
      </w:r>
      <w:r>
        <w:rPr>
          <w:rFonts w:ascii="Traditional Arabic" w:hAnsi="Traditional Arabic" w:hint="cs"/>
          <w:b/>
          <w:bCs/>
          <w:noProof w:val="0"/>
          <w:rtl/>
          <w:lang w:eastAsia="en-US"/>
        </w:rPr>
        <w:t>فالسرقة موجِب القطع</w:t>
      </w:r>
      <w:r w:rsidRPr="00C821A1">
        <w:rPr>
          <w:rStyle w:val="af1"/>
          <w:szCs w:val="32"/>
          <w:rtl/>
        </w:rPr>
        <w:t>(</w:t>
      </w:r>
      <w:r w:rsidRPr="00C821A1">
        <w:rPr>
          <w:rStyle w:val="af1"/>
          <w:szCs w:val="32"/>
          <w:rtl/>
        </w:rPr>
        <w:footnoteReference w:id="340"/>
      </w:r>
      <w:r w:rsidRPr="00C821A1">
        <w:rPr>
          <w:rStyle w:val="af1"/>
          <w:szCs w:val="32"/>
          <w:rtl/>
        </w:rPr>
        <w:t>)</w:t>
      </w:r>
      <w:r w:rsidR="00FA4309">
        <w:rPr>
          <w:rFonts w:ascii="Traditional Arabic" w:hAnsi="Traditional Arabic" w:hint="cs"/>
          <w:noProof w:val="0"/>
          <w:rtl/>
          <w:lang w:eastAsia="en-US"/>
        </w:rPr>
        <w:t>.</w:t>
      </w:r>
    </w:p>
    <w:p w:rsidR="00065E4B" w:rsidRDefault="00065E4B" w:rsidP="00597C20">
      <w:pPr>
        <w:pStyle w:val="53"/>
        <w:rPr>
          <w:rFonts w:ascii="Traditional Arabic" w:hAnsi="Traditional Arabic"/>
          <w:noProof w:val="0"/>
          <w:sz w:val="44"/>
          <w:szCs w:val="44"/>
          <w:rtl/>
        </w:rPr>
      </w:pPr>
      <w:r w:rsidRPr="00F2413F">
        <w:rPr>
          <w:rFonts w:hint="cs"/>
          <w:rtl/>
        </w:rPr>
        <w:t>ا</w:t>
      </w:r>
      <w:r w:rsidR="004716EF" w:rsidRPr="00F2413F">
        <w:rPr>
          <w:rFonts w:hint="cs"/>
          <w:rtl/>
        </w:rPr>
        <w:t>لتحلي</w:t>
      </w:r>
      <w:r w:rsidR="004716EF">
        <w:rPr>
          <w:rFonts w:hint="cs"/>
          <w:rtl/>
        </w:rPr>
        <w:t>ل</w:t>
      </w:r>
      <w:r w:rsidR="004716EF">
        <w:rPr>
          <w:rFonts w:ascii="Traditional Arabic" w:hAnsi="Traditional Arabic" w:hint="cs"/>
          <w:rtl/>
        </w:rPr>
        <w:t xml:space="preserve"> لغة</w:t>
      </w:r>
      <w:r w:rsidR="004716EF" w:rsidRPr="00CF50B9">
        <w:rPr>
          <w:rFonts w:ascii="Traditional Arabic" w:hAnsi="Traditional Arabic" w:hint="cs"/>
          <w:color w:val="auto"/>
          <w:rtl/>
        </w:rPr>
        <w:t>:</w:t>
      </w:r>
    </w:p>
    <w:p w:rsidR="00065E4B" w:rsidRDefault="004716EF"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 xml:space="preserve">يقول ابن فارس </w:t>
      </w:r>
      <w:r w:rsidRPr="005D5694">
        <w:rPr>
          <w:rFonts w:ascii="Traditional Arabic" w:hAnsi="Traditional Arabic" w:cs="CTraditional Arabic" w:hint="cs"/>
          <w:noProof w:val="0"/>
          <w:color w:val="auto"/>
          <w:rtl/>
          <w:lang w:eastAsia="en-US"/>
        </w:rPr>
        <w:t>/</w:t>
      </w:r>
      <w:r>
        <w:rPr>
          <w:rFonts w:ascii="Traditional Arabic" w:hAnsi="Traditional Arabic" w:hint="cs"/>
          <w:noProof w:val="0"/>
          <w:rtl/>
          <w:lang w:eastAsia="en-US"/>
        </w:rPr>
        <w:t>:</w:t>
      </w:r>
      <w:r w:rsidR="00541168">
        <w:rPr>
          <w:rFonts w:ascii="Traditional Arabic" w:hAnsi="Traditional Arabic" w:hint="cs"/>
          <w:noProof w:val="0"/>
          <w:rtl/>
          <w:lang w:eastAsia="en-US"/>
        </w:rPr>
        <w:t xml:space="preserve"> (</w:t>
      </w:r>
      <w:r w:rsidRPr="003D7F1E">
        <w:rPr>
          <w:rFonts w:ascii="Traditional Arabic" w:hAnsi="Traditional Arabic"/>
          <w:noProof w:val="0"/>
          <w:rtl/>
          <w:lang w:eastAsia="en-US"/>
        </w:rPr>
        <w:t>الحاء واللام له فروع كثيرة ومسائلُ، وأصلها ك</w:t>
      </w:r>
      <w:r>
        <w:rPr>
          <w:rFonts w:ascii="Traditional Arabic" w:hAnsi="Traditional Arabic"/>
          <w:noProof w:val="0"/>
          <w:rtl/>
          <w:lang w:eastAsia="en-US"/>
        </w:rPr>
        <w:t xml:space="preserve">لُّها عندي </w:t>
      </w:r>
      <w:r w:rsidRPr="00415797">
        <w:rPr>
          <w:rFonts w:ascii="Traditional Arabic" w:hAnsi="Traditional Arabic"/>
          <w:b/>
          <w:bCs/>
          <w:noProof w:val="0"/>
          <w:rtl/>
          <w:lang w:eastAsia="en-US"/>
        </w:rPr>
        <w:t>فَتْح الشيء</w:t>
      </w:r>
      <w:r>
        <w:rPr>
          <w:rFonts w:ascii="Traditional Arabic" w:hAnsi="Traditional Arabic"/>
          <w:noProof w:val="0"/>
          <w:rtl/>
          <w:lang w:eastAsia="en-US"/>
        </w:rPr>
        <w:t>، لا يشذّ</w:t>
      </w:r>
      <w:r>
        <w:rPr>
          <w:rFonts w:ascii="Traditional Arabic" w:hAnsi="Traditional Arabic" w:hint="cs"/>
          <w:noProof w:val="0"/>
          <w:rtl/>
          <w:lang w:eastAsia="en-US"/>
        </w:rPr>
        <w:t>ُ</w:t>
      </w:r>
      <w:r w:rsidRPr="003D7F1E">
        <w:rPr>
          <w:rFonts w:ascii="Traditional Arabic" w:hAnsi="Traditional Arabic"/>
          <w:noProof w:val="0"/>
          <w:rtl/>
          <w:lang w:eastAsia="en-US"/>
        </w:rPr>
        <w:t xml:space="preserve"> عنه شيء.</w:t>
      </w:r>
      <w:r>
        <w:rPr>
          <w:rFonts w:ascii="Traditional Arabic" w:hAnsi="Traditional Arabic" w:hint="cs"/>
          <w:noProof w:val="0"/>
          <w:rtl/>
          <w:lang w:eastAsia="en-US"/>
        </w:rPr>
        <w:t>..</w:t>
      </w:r>
      <w:r w:rsidRPr="003D7F1E">
        <w:rPr>
          <w:rFonts w:ascii="Traditional Arabic" w:hAnsi="Traditional Arabic"/>
          <w:noProof w:val="0"/>
          <w:rtl/>
          <w:lang w:eastAsia="en-US"/>
        </w:rPr>
        <w:t xml:space="preserve">والحلال: ضِدُّ الحرام، وهو من الأصل الذي ذكرناهُ، كأنه </w:t>
      </w:r>
      <w:r w:rsidRPr="00D5480A">
        <w:rPr>
          <w:rFonts w:ascii="Traditional Arabic" w:hAnsi="Traditional Arabic"/>
          <w:b/>
          <w:bCs/>
          <w:noProof w:val="0"/>
          <w:rtl/>
          <w:lang w:eastAsia="en-US"/>
        </w:rPr>
        <w:t>من حَلَلْتُ الشيء</w:t>
      </w:r>
      <w:r w:rsidRPr="00D5480A">
        <w:rPr>
          <w:rFonts w:ascii="Traditional Arabic" w:hAnsi="Traditional Arabic" w:hint="cs"/>
          <w:b/>
          <w:bCs/>
          <w:noProof w:val="0"/>
          <w:rtl/>
          <w:lang w:eastAsia="en-US"/>
        </w:rPr>
        <w:t>َ</w:t>
      </w:r>
      <w:r w:rsidRPr="00D5480A">
        <w:rPr>
          <w:rFonts w:ascii="Traditional Arabic" w:hAnsi="Traditional Arabic"/>
          <w:b/>
          <w:bCs/>
          <w:noProof w:val="0"/>
          <w:rtl/>
          <w:lang w:eastAsia="en-US"/>
        </w:rPr>
        <w:t>، إذا أبحْتَه</w:t>
      </w:r>
      <w:r w:rsidRPr="003D7F1E">
        <w:rPr>
          <w:rFonts w:ascii="Traditional Arabic" w:hAnsi="Traditional Arabic"/>
          <w:noProof w:val="0"/>
          <w:rtl/>
          <w:lang w:eastAsia="en-US"/>
        </w:rPr>
        <w:t xml:space="preserve"> وأ</w:t>
      </w:r>
      <w:r>
        <w:rPr>
          <w:rFonts w:ascii="Traditional Arabic" w:hAnsi="Traditional Arabic" w:hint="cs"/>
          <w:noProof w:val="0"/>
          <w:rtl/>
          <w:lang w:eastAsia="en-US"/>
        </w:rPr>
        <w:t>َ</w:t>
      </w:r>
      <w:r w:rsidRPr="003D7F1E">
        <w:rPr>
          <w:rFonts w:ascii="Traditional Arabic" w:hAnsi="Traditional Arabic"/>
          <w:noProof w:val="0"/>
          <w:rtl/>
          <w:lang w:eastAsia="en-US"/>
        </w:rPr>
        <w:t>وس</w:t>
      </w:r>
      <w:r>
        <w:rPr>
          <w:rFonts w:ascii="Traditional Arabic" w:hAnsi="Traditional Arabic" w:hint="cs"/>
          <w:noProof w:val="0"/>
          <w:rtl/>
          <w:lang w:eastAsia="en-US"/>
        </w:rPr>
        <w:t>َ</w:t>
      </w:r>
      <w:r w:rsidRPr="003D7F1E">
        <w:rPr>
          <w:rFonts w:ascii="Traditional Arabic" w:hAnsi="Traditional Arabic"/>
          <w:noProof w:val="0"/>
          <w:rtl/>
          <w:lang w:eastAsia="en-US"/>
        </w:rPr>
        <w:t>عته لأمرٍ فيه</w:t>
      </w:r>
      <w:r w:rsidR="00541168">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341"/>
      </w:r>
      <w:r w:rsidRPr="00C821A1">
        <w:rPr>
          <w:rStyle w:val="af1"/>
          <w:szCs w:val="32"/>
          <w:rtl/>
        </w:rPr>
        <w:t>)</w:t>
      </w:r>
      <w:r>
        <w:rPr>
          <w:rFonts w:ascii="Traditional Arabic" w:hAnsi="Traditional Arabic" w:hint="cs"/>
          <w:noProof w:val="0"/>
          <w:rtl/>
          <w:lang w:eastAsia="en-US"/>
        </w:rPr>
        <w:t>،</w:t>
      </w:r>
      <w:r w:rsidR="00154102">
        <w:rPr>
          <w:rFonts w:ascii="Traditional Arabic" w:hAnsi="Traditional Arabic" w:hint="cs"/>
          <w:noProof w:val="0"/>
          <w:rtl/>
          <w:lang w:eastAsia="en-US"/>
        </w:rPr>
        <w:t xml:space="preserve"> و</w:t>
      </w:r>
      <w:r>
        <w:rPr>
          <w:rFonts w:ascii="Traditional Arabic" w:hAnsi="Traditional Arabic" w:hint="cs"/>
          <w:noProof w:val="0"/>
          <w:rtl/>
          <w:lang w:eastAsia="en-US"/>
        </w:rPr>
        <w:t>يقال:</w:t>
      </w:r>
      <w:r w:rsidRPr="00CF50B9">
        <w:rPr>
          <w:rFonts w:ascii="Traditional Arabic" w:hAnsi="Traditional Arabic"/>
          <w:noProof w:val="0"/>
          <w:color w:val="auto"/>
          <w:rtl/>
          <w:lang w:eastAsia="en-US"/>
        </w:rPr>
        <w:t>ح</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 xml:space="preserve"> له كذا، فهو ح</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وح</w:t>
      </w:r>
      <w:r>
        <w:rPr>
          <w:rFonts w:ascii="Traditional Arabic" w:hAnsi="Traditional Arabic" w:hint="cs"/>
          <w:noProof w:val="0"/>
          <w:color w:val="auto"/>
          <w:rtl/>
          <w:lang w:eastAsia="en-US"/>
        </w:rPr>
        <w:t>َ</w:t>
      </w:r>
      <w:r>
        <w:rPr>
          <w:rFonts w:ascii="Traditional Arabic" w:hAnsi="Traditional Arabic"/>
          <w:noProof w:val="0"/>
          <w:color w:val="auto"/>
          <w:rtl/>
          <w:lang w:eastAsia="en-US"/>
        </w:rPr>
        <w:t>لال</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 xml:space="preserve"> وح</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 xml:space="preserve"> المحر</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 xml:space="preserve"> وأحل</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 فهو ح</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 xml:space="preserve"> وح</w:t>
      </w:r>
      <w:r>
        <w:rPr>
          <w:rFonts w:ascii="Traditional Arabic" w:hAnsi="Traditional Arabic" w:hint="cs"/>
          <w:noProof w:val="0"/>
          <w:color w:val="auto"/>
          <w:rtl/>
          <w:lang w:eastAsia="en-US"/>
        </w:rPr>
        <w:t>َ</w:t>
      </w:r>
      <w:r w:rsidRPr="00CF50B9">
        <w:rPr>
          <w:rFonts w:ascii="Traditional Arabic" w:hAnsi="Traditional Arabic"/>
          <w:noProof w:val="0"/>
          <w:color w:val="auto"/>
          <w:rtl/>
          <w:lang w:eastAsia="en-US"/>
        </w:rPr>
        <w:t>لال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w:t>
      </w:r>
      <w:r w:rsidRPr="0083204A">
        <w:rPr>
          <w:rFonts w:ascii="Traditional Arabic" w:hAnsi="Traditional Arabic"/>
          <w:b/>
          <w:bCs/>
          <w:noProof w:val="0"/>
          <w:color w:val="auto"/>
          <w:rtl/>
          <w:lang w:eastAsia="en-US"/>
        </w:rPr>
        <w:t>وأ</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color w:val="auto"/>
          <w:rtl/>
          <w:lang w:eastAsia="en-US"/>
        </w:rPr>
        <w:t>ح</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color w:val="auto"/>
          <w:rtl/>
          <w:lang w:eastAsia="en-US"/>
        </w:rPr>
        <w:t>ل</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color w:val="auto"/>
          <w:rtl/>
          <w:lang w:eastAsia="en-US"/>
        </w:rPr>
        <w:t>ه</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color w:val="auto"/>
          <w:rtl/>
          <w:lang w:eastAsia="en-US"/>
        </w:rPr>
        <w:t xml:space="preserve"> الله</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color w:val="auto"/>
          <w:rtl/>
          <w:lang w:eastAsia="en-US"/>
        </w:rPr>
        <w:t xml:space="preserve"> وح</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color w:val="auto"/>
          <w:rtl/>
          <w:lang w:eastAsia="en-US"/>
        </w:rPr>
        <w:t>ل</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color w:val="auto"/>
          <w:rtl/>
          <w:lang w:eastAsia="en-US"/>
        </w:rPr>
        <w:t>ل</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color w:val="auto"/>
          <w:rtl/>
          <w:lang w:eastAsia="en-US"/>
        </w:rPr>
        <w:t>ه</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rtl/>
          <w:lang w:eastAsia="en-US"/>
        </w:rPr>
        <w:t xml:space="preserve"> إحلالاً وتَحْلِيلاً</w:t>
      </w:r>
      <w:r w:rsidRPr="00CF50B9">
        <w:rPr>
          <w:rFonts w:ascii="Traditional Arabic" w:hAnsi="Traditional Arabic"/>
          <w:noProof w:val="0"/>
          <w:color w:val="auto"/>
          <w:rtl/>
          <w:lang w:eastAsia="en-US"/>
        </w:rPr>
        <w:t xml:space="preserve">: </w:t>
      </w:r>
      <w:r w:rsidRPr="0083204A">
        <w:rPr>
          <w:rFonts w:ascii="Traditional Arabic" w:hAnsi="Traditional Arabic"/>
          <w:b/>
          <w:bCs/>
          <w:noProof w:val="0"/>
          <w:color w:val="auto"/>
          <w:rtl/>
          <w:lang w:eastAsia="en-US"/>
        </w:rPr>
        <w:t>ضد</w:t>
      </w:r>
      <w:r w:rsidRPr="0083204A">
        <w:rPr>
          <w:rFonts w:ascii="Traditional Arabic" w:hAnsi="Traditional Arabic" w:hint="cs"/>
          <w:b/>
          <w:bCs/>
          <w:noProof w:val="0"/>
          <w:color w:val="auto"/>
          <w:rtl/>
          <w:lang w:eastAsia="en-US"/>
        </w:rPr>
        <w:t>ُّ</w:t>
      </w:r>
      <w:r w:rsidR="003A7C17">
        <w:rPr>
          <w:rFonts w:ascii="Traditional Arabic" w:hAnsi="Traditional Arabic" w:hint="cs"/>
          <w:b/>
          <w:bCs/>
          <w:noProof w:val="0"/>
          <w:color w:val="auto"/>
          <w:rtl/>
          <w:lang w:eastAsia="en-US"/>
        </w:rPr>
        <w:t xml:space="preserve"> </w:t>
      </w:r>
      <w:r w:rsidRPr="0083204A">
        <w:rPr>
          <w:rFonts w:ascii="Traditional Arabic" w:hAnsi="Traditional Arabic"/>
          <w:b/>
          <w:bCs/>
          <w:noProof w:val="0"/>
          <w:color w:val="auto"/>
          <w:rtl/>
          <w:lang w:eastAsia="en-US"/>
        </w:rPr>
        <w:t>حر</w:t>
      </w:r>
      <w:r w:rsidRPr="0083204A">
        <w:rPr>
          <w:rFonts w:ascii="Traditional Arabic" w:hAnsi="Traditional Arabic" w:hint="cs"/>
          <w:b/>
          <w:bCs/>
          <w:noProof w:val="0"/>
          <w:color w:val="auto"/>
          <w:rtl/>
          <w:lang w:eastAsia="en-US"/>
        </w:rPr>
        <w:t>َّ</w:t>
      </w:r>
      <w:r w:rsidRPr="0083204A">
        <w:rPr>
          <w:rFonts w:ascii="Traditional Arabic" w:hAnsi="Traditional Arabic"/>
          <w:b/>
          <w:bCs/>
          <w:noProof w:val="0"/>
          <w:color w:val="auto"/>
          <w:rtl/>
          <w:lang w:eastAsia="en-US"/>
        </w:rPr>
        <w:t>مه</w:t>
      </w:r>
      <w:r w:rsidRPr="00C821A1">
        <w:rPr>
          <w:rStyle w:val="af1"/>
          <w:szCs w:val="32"/>
          <w:rtl/>
        </w:rPr>
        <w:t>(</w:t>
      </w:r>
      <w:r w:rsidRPr="00C821A1">
        <w:rPr>
          <w:rStyle w:val="af1"/>
          <w:szCs w:val="32"/>
          <w:rtl/>
        </w:rPr>
        <w:footnoteReference w:id="342"/>
      </w:r>
      <w:r w:rsidRPr="00C821A1">
        <w:rPr>
          <w:rStyle w:val="af1"/>
          <w:szCs w:val="32"/>
          <w:rtl/>
        </w:rPr>
        <w:t>)</w:t>
      </w:r>
      <w:r>
        <w:rPr>
          <w:rFonts w:ascii="Traditional Arabic" w:hAnsi="Traditional Arabic" w:hint="cs"/>
          <w:noProof w:val="0"/>
          <w:rtl/>
          <w:lang w:eastAsia="en-US"/>
        </w:rPr>
        <w:t>.</w:t>
      </w:r>
    </w:p>
    <w:p w:rsidR="00065E4B" w:rsidRDefault="002F50A0" w:rsidP="00597C20">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F67EA6">
        <w:rPr>
          <w:rFonts w:ascii="Traditional Arabic" w:hAnsi="Traditional Arabic" w:hint="cs"/>
          <w:noProof w:val="0"/>
          <w:rtl/>
          <w:lang w:eastAsia="en-US"/>
        </w:rPr>
        <w:t xml:space="preserve">   </w:t>
      </w:r>
      <w:r w:rsidR="00065E4B">
        <w:rPr>
          <w:rFonts w:ascii="Traditional Arabic" w:hAnsi="Traditional Arabic" w:hint="cs"/>
          <w:noProof w:val="0"/>
          <w:rtl/>
          <w:lang w:eastAsia="en-US"/>
        </w:rPr>
        <w:t>ف</w:t>
      </w:r>
      <w:r w:rsidR="004716EF">
        <w:rPr>
          <w:rFonts w:ascii="Traditional Arabic" w:hAnsi="Traditional Arabic" w:hint="cs"/>
          <w:noProof w:val="0"/>
          <w:rtl/>
          <w:lang w:eastAsia="en-US"/>
        </w:rPr>
        <w:t>على هذا</w:t>
      </w:r>
      <w:r w:rsidR="003A7C17">
        <w:rPr>
          <w:rFonts w:ascii="Traditional Arabic" w:hAnsi="Traditional Arabic" w:hint="cs"/>
          <w:noProof w:val="0"/>
          <w:rtl/>
          <w:lang w:eastAsia="en-US"/>
        </w:rPr>
        <w:t>،</w:t>
      </w:r>
      <w:r w:rsidR="004716EF">
        <w:rPr>
          <w:rFonts w:ascii="Traditional Arabic" w:hAnsi="Traditional Arabic" w:hint="cs"/>
          <w:noProof w:val="0"/>
          <w:rtl/>
          <w:lang w:eastAsia="en-US"/>
        </w:rPr>
        <w:t xml:space="preserve"> يتبين أن التحليل هو ضِدُّ التحريم.</w:t>
      </w:r>
    </w:p>
    <w:p w:rsidR="00065E4B" w:rsidRDefault="00065E4B" w:rsidP="00597C20">
      <w:pPr>
        <w:pStyle w:val="53"/>
        <w:rPr>
          <w:rtl/>
        </w:rPr>
      </w:pPr>
      <w:r>
        <w:rPr>
          <w:rFonts w:hint="cs"/>
          <w:rtl/>
        </w:rPr>
        <w:lastRenderedPageBreak/>
        <w:t>ا</w:t>
      </w:r>
      <w:r w:rsidR="004716EF">
        <w:rPr>
          <w:rFonts w:hint="cs"/>
          <w:rtl/>
        </w:rPr>
        <w:t>لتحليل</w:t>
      </w:r>
      <w:r w:rsidR="00AB0B9E">
        <w:rPr>
          <w:rtl/>
        </w:rPr>
        <w:fldChar w:fldCharType="begin"/>
      </w:r>
      <w:r w:rsidR="007F4BBF" w:rsidRPr="00531753">
        <w:rPr>
          <w:bCs w:val="0"/>
        </w:rPr>
        <w:instrText>XE</w:instrText>
      </w:r>
      <w:r w:rsidR="007F4BBF" w:rsidRPr="00531753">
        <w:rPr>
          <w:bCs w:val="0"/>
          <w:rtl/>
        </w:rPr>
        <w:instrText xml:space="preserve"> "</w:instrText>
      </w:r>
      <w:r w:rsidR="007F4BBF" w:rsidRPr="00531753">
        <w:rPr>
          <w:rFonts w:hint="cs"/>
          <w:bCs w:val="0"/>
          <w:rtl/>
        </w:rPr>
        <w:instrText>التحليل</w:instrText>
      </w:r>
      <w:r w:rsidR="007F4BBF" w:rsidRPr="00531753">
        <w:rPr>
          <w:bCs w:val="0"/>
          <w:rtl/>
        </w:rPr>
        <w:instrText>" \</w:instrText>
      </w:r>
      <w:r w:rsidR="007F4BBF" w:rsidRPr="00531753">
        <w:rPr>
          <w:bCs w:val="0"/>
        </w:rPr>
        <w:instrText>fm</w:instrText>
      </w:r>
      <w:r w:rsidR="00AB0B9E">
        <w:rPr>
          <w:rtl/>
        </w:rPr>
        <w:fldChar w:fldCharType="end"/>
      </w:r>
      <w:r w:rsidR="004716EF">
        <w:rPr>
          <w:rFonts w:hint="cs"/>
          <w:rtl/>
        </w:rPr>
        <w:t xml:space="preserve"> اصطلاحا:</w:t>
      </w:r>
    </w:p>
    <w:p w:rsidR="00065E4B" w:rsidRDefault="003A7C17" w:rsidP="003A7C17">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4716EF">
        <w:rPr>
          <w:rFonts w:ascii="Traditional Arabic" w:hAnsi="Traditional Arabic" w:hint="cs"/>
          <w:noProof w:val="0"/>
          <w:rtl/>
          <w:lang w:eastAsia="en-US"/>
        </w:rPr>
        <w:t>التحليل هو الإباحة، والمراد بالإباحة هنا: جواز الفعل والترك، فيدخل فيها المكروه والمندوب والمباح المصطلح عليه</w:t>
      </w:r>
      <w:r w:rsidR="004716EF" w:rsidRPr="00C821A1">
        <w:rPr>
          <w:rStyle w:val="af1"/>
          <w:szCs w:val="32"/>
          <w:rtl/>
        </w:rPr>
        <w:t>(</w:t>
      </w:r>
      <w:r w:rsidR="004716EF" w:rsidRPr="00C821A1">
        <w:rPr>
          <w:rStyle w:val="af1"/>
          <w:szCs w:val="32"/>
          <w:rtl/>
        </w:rPr>
        <w:footnoteReference w:id="343"/>
      </w:r>
      <w:r w:rsidR="004716EF" w:rsidRPr="00C821A1">
        <w:rPr>
          <w:rStyle w:val="af1"/>
          <w:szCs w:val="32"/>
          <w:rtl/>
        </w:rPr>
        <w:t>)</w:t>
      </w:r>
      <w:r w:rsidR="004716EF">
        <w:rPr>
          <w:rFonts w:ascii="Traditional Arabic" w:hAnsi="Traditional Arabic" w:hint="cs"/>
          <w:noProof w:val="0"/>
          <w:rtl/>
          <w:lang w:eastAsia="en-US"/>
        </w:rPr>
        <w:t>.</w:t>
      </w:r>
    </w:p>
    <w:p w:rsidR="00065E4B" w:rsidRDefault="00065E4B" w:rsidP="00597C20">
      <w:pPr>
        <w:pStyle w:val="53"/>
        <w:rPr>
          <w:b w:val="0"/>
          <w:rtl/>
        </w:rPr>
      </w:pPr>
      <w:r>
        <w:rPr>
          <w:rFonts w:hint="cs"/>
          <w:b w:val="0"/>
          <w:rtl/>
        </w:rPr>
        <w:t>ا</w:t>
      </w:r>
      <w:r w:rsidR="004716EF">
        <w:rPr>
          <w:rFonts w:hint="cs"/>
          <w:b w:val="0"/>
          <w:rtl/>
        </w:rPr>
        <w:t>لتحريم</w:t>
      </w:r>
      <w:r w:rsidR="00AB0B9E">
        <w:rPr>
          <w:b w:val="0"/>
          <w:rtl/>
        </w:rPr>
        <w:fldChar w:fldCharType="begin"/>
      </w:r>
      <w:r w:rsidR="007F4BBF" w:rsidRPr="00531753">
        <w:rPr>
          <w:bCs w:val="0"/>
        </w:rPr>
        <w:instrText>XE</w:instrText>
      </w:r>
      <w:r w:rsidR="007F4BBF" w:rsidRPr="00531753">
        <w:rPr>
          <w:bCs w:val="0"/>
          <w:rtl/>
        </w:rPr>
        <w:instrText xml:space="preserve"> "</w:instrText>
      </w:r>
      <w:r w:rsidR="007F4BBF" w:rsidRPr="00531753">
        <w:rPr>
          <w:rFonts w:hint="cs"/>
          <w:bCs w:val="0"/>
          <w:rtl/>
        </w:rPr>
        <w:instrText>التحريم</w:instrText>
      </w:r>
      <w:r w:rsidR="007F4BBF" w:rsidRPr="00531753">
        <w:rPr>
          <w:bCs w:val="0"/>
          <w:rtl/>
        </w:rPr>
        <w:instrText>" \</w:instrText>
      </w:r>
      <w:r w:rsidR="007F4BBF" w:rsidRPr="00531753">
        <w:rPr>
          <w:bCs w:val="0"/>
        </w:rPr>
        <w:instrText>fm</w:instrText>
      </w:r>
      <w:r w:rsidR="00AB0B9E">
        <w:rPr>
          <w:b w:val="0"/>
          <w:rtl/>
        </w:rPr>
        <w:fldChar w:fldCharType="end"/>
      </w:r>
      <w:r w:rsidR="004716EF">
        <w:rPr>
          <w:rFonts w:hint="cs"/>
          <w:b w:val="0"/>
          <w:rtl/>
        </w:rPr>
        <w:t xml:space="preserve"> لغة:</w:t>
      </w:r>
    </w:p>
    <w:p w:rsidR="003A7C17" w:rsidRDefault="003A7C17" w:rsidP="003A7C17">
      <w:pPr>
        <w:widowControl/>
        <w:autoSpaceDE w:val="0"/>
        <w:autoSpaceDN w:val="0"/>
        <w:adjustRightInd w:val="0"/>
        <w:ind w:firstLine="0"/>
        <w:jc w:val="left"/>
        <w:rPr>
          <w:rFonts w:ascii="Traditional Arabic" w:hAnsi="Traditional Arabic"/>
          <w:b/>
          <w:bCs/>
          <w:noProof w:val="0"/>
          <w:rtl/>
          <w:lang w:eastAsia="en-US"/>
        </w:rPr>
      </w:pPr>
      <w:r>
        <w:rPr>
          <w:rFonts w:ascii="Traditional Arabic" w:hAnsi="Traditional Arabic" w:hint="cs"/>
          <w:noProof w:val="0"/>
          <w:rtl/>
          <w:lang w:eastAsia="en-US"/>
        </w:rPr>
        <w:t xml:space="preserve">    </w:t>
      </w:r>
      <w:r w:rsidR="004716EF" w:rsidRPr="00C8472D">
        <w:rPr>
          <w:rFonts w:ascii="Traditional Arabic" w:hAnsi="Traditional Arabic" w:hint="cs"/>
          <w:noProof w:val="0"/>
          <w:rtl/>
          <w:lang w:eastAsia="en-US"/>
        </w:rPr>
        <w:t>مصدر الفعل حرَّم يُحرِّم تحريماً</w:t>
      </w:r>
      <w:r w:rsidR="004716EF">
        <w:rPr>
          <w:rFonts w:ascii="Traditional Arabic" w:hAnsi="Traditional Arabic" w:hint="cs"/>
          <w:b/>
          <w:bCs/>
          <w:noProof w:val="0"/>
          <w:rtl/>
          <w:lang w:eastAsia="en-US"/>
        </w:rPr>
        <w:t xml:space="preserve">. </w:t>
      </w:r>
    </w:p>
    <w:p w:rsidR="00065E4B" w:rsidRDefault="003A7C17" w:rsidP="00B93718">
      <w:pPr>
        <w:widowControl/>
        <w:autoSpaceDE w:val="0"/>
        <w:autoSpaceDN w:val="0"/>
        <w:adjustRightInd w:val="0"/>
        <w:ind w:firstLine="0"/>
        <w:jc w:val="left"/>
        <w:rPr>
          <w:rFonts w:ascii="Traditional Arabic" w:hAnsi="Traditional Arabic"/>
          <w:noProof w:val="0"/>
          <w:sz w:val="44"/>
          <w:szCs w:val="44"/>
          <w:rtl/>
          <w:lang w:eastAsia="en-US"/>
        </w:rPr>
      </w:pPr>
      <w:r>
        <w:rPr>
          <w:rFonts w:ascii="Traditional Arabic" w:hAnsi="Traditional Arabic" w:hint="cs"/>
          <w:b/>
          <w:bCs/>
          <w:noProof w:val="0"/>
          <w:rtl/>
          <w:lang w:eastAsia="en-US"/>
        </w:rPr>
        <w:t xml:space="preserve">    </w:t>
      </w:r>
      <w:r w:rsidR="004716EF" w:rsidRPr="00415797">
        <w:rPr>
          <w:rFonts w:ascii="Traditional Arabic" w:hAnsi="Traditional Arabic" w:hint="cs"/>
          <w:noProof w:val="0"/>
          <w:rtl/>
          <w:lang w:eastAsia="en-US"/>
        </w:rPr>
        <w:t>قال ابن فارس</w:t>
      </w:r>
      <w:r>
        <w:rPr>
          <w:rFonts w:ascii="Traditional Arabic" w:hAnsi="Traditional Arabic" w:hint="cs"/>
          <w:noProof w:val="0"/>
          <w:rtl/>
          <w:lang w:eastAsia="en-US"/>
        </w:rPr>
        <w:t>_</w:t>
      </w:r>
      <w:r w:rsidR="004716EF" w:rsidRPr="005D5694">
        <w:rPr>
          <w:rFonts w:ascii="Traditional Arabic" w:hAnsi="Traditional Arabic" w:cs="CTraditional Arabic" w:hint="cs"/>
          <w:noProof w:val="0"/>
          <w:color w:val="auto"/>
          <w:rtl/>
          <w:lang w:eastAsia="en-US"/>
        </w:rPr>
        <w:t>/</w:t>
      </w:r>
      <w:r>
        <w:rPr>
          <w:rFonts w:ascii="Traditional Arabic" w:hAnsi="Traditional Arabic" w:hint="cs"/>
          <w:noProof w:val="0"/>
          <w:sz w:val="44"/>
          <w:szCs w:val="44"/>
          <w:rtl/>
          <w:lang w:eastAsia="en-US"/>
        </w:rPr>
        <w:t>_</w:t>
      </w:r>
      <w:r w:rsidR="004716EF">
        <w:rPr>
          <w:rFonts w:ascii="Traditional Arabic" w:hAnsi="Traditional Arabic" w:hint="cs"/>
          <w:noProof w:val="0"/>
          <w:sz w:val="44"/>
          <w:szCs w:val="44"/>
          <w:rtl/>
          <w:lang w:eastAsia="en-US"/>
        </w:rPr>
        <w:t xml:space="preserve">: </w:t>
      </w:r>
      <w:r w:rsidR="004716EF" w:rsidRPr="00C2003A">
        <w:rPr>
          <w:rFonts w:ascii="Traditional Arabic" w:hAnsi="Traditional Arabic" w:hint="cs"/>
          <w:noProof w:val="0"/>
          <w:rtl/>
          <w:lang w:eastAsia="en-US"/>
        </w:rPr>
        <w:t>(</w:t>
      </w:r>
      <w:r w:rsidR="004716EF" w:rsidRPr="00C2003A">
        <w:rPr>
          <w:rFonts w:ascii="Traditional Arabic" w:hAnsi="Traditional Arabic"/>
          <w:noProof w:val="0"/>
          <w:rtl/>
          <w:lang w:eastAsia="en-US"/>
        </w:rPr>
        <w:t>الحاء والراء والميم أصل</w:t>
      </w:r>
      <w:r w:rsidR="004716EF" w:rsidRPr="00C2003A">
        <w:rPr>
          <w:rFonts w:ascii="Traditional Arabic" w:hAnsi="Traditional Arabic" w:hint="cs"/>
          <w:noProof w:val="0"/>
          <w:rtl/>
          <w:lang w:eastAsia="en-US"/>
        </w:rPr>
        <w:t>ٌ</w:t>
      </w:r>
      <w:r w:rsidR="004716EF" w:rsidRPr="00C2003A">
        <w:rPr>
          <w:rFonts w:ascii="Traditional Arabic" w:hAnsi="Traditional Arabic"/>
          <w:noProof w:val="0"/>
          <w:rtl/>
          <w:lang w:eastAsia="en-US"/>
        </w:rPr>
        <w:t xml:space="preserve"> واحد، وهو الم</w:t>
      </w:r>
      <w:r w:rsidR="004716EF" w:rsidRPr="00C2003A">
        <w:rPr>
          <w:rFonts w:ascii="Traditional Arabic" w:hAnsi="Traditional Arabic" w:hint="cs"/>
          <w:noProof w:val="0"/>
          <w:rtl/>
          <w:lang w:eastAsia="en-US"/>
        </w:rPr>
        <w:t>َ</w:t>
      </w:r>
      <w:r w:rsidR="004716EF" w:rsidRPr="00C2003A">
        <w:rPr>
          <w:rFonts w:ascii="Traditional Arabic" w:hAnsi="Traditional Arabic"/>
          <w:noProof w:val="0"/>
          <w:rtl/>
          <w:lang w:eastAsia="en-US"/>
        </w:rPr>
        <w:t>ن</w:t>
      </w:r>
      <w:r w:rsidR="004716EF" w:rsidRPr="00C2003A">
        <w:rPr>
          <w:rFonts w:ascii="Traditional Arabic" w:hAnsi="Traditional Arabic" w:hint="cs"/>
          <w:noProof w:val="0"/>
          <w:rtl/>
          <w:lang w:eastAsia="en-US"/>
        </w:rPr>
        <w:t>ْ</w:t>
      </w:r>
      <w:r w:rsidR="004716EF" w:rsidRPr="00C2003A">
        <w:rPr>
          <w:rFonts w:ascii="Traditional Arabic" w:hAnsi="Traditional Arabic"/>
          <w:noProof w:val="0"/>
          <w:rtl/>
          <w:lang w:eastAsia="en-US"/>
        </w:rPr>
        <w:t>ع والتشديد. فالحرام: ضد الحلال</w:t>
      </w:r>
      <w:r w:rsidR="004716EF" w:rsidRPr="00C2003A">
        <w:rPr>
          <w:rFonts w:ascii="Traditional Arabic" w:hAnsi="Traditional Arabic" w:hint="cs"/>
          <w:noProof w:val="0"/>
          <w:rtl/>
          <w:lang w:eastAsia="en-US"/>
        </w:rPr>
        <w:t>)</w:t>
      </w:r>
      <w:r w:rsidR="004716EF" w:rsidRPr="00C821A1">
        <w:rPr>
          <w:rStyle w:val="af1"/>
          <w:szCs w:val="32"/>
          <w:rtl/>
        </w:rPr>
        <w:t>(</w:t>
      </w:r>
      <w:r w:rsidR="004716EF" w:rsidRPr="00C821A1">
        <w:rPr>
          <w:rStyle w:val="af1"/>
          <w:szCs w:val="32"/>
          <w:rtl/>
        </w:rPr>
        <w:footnoteReference w:id="344"/>
      </w:r>
      <w:r w:rsidR="004716EF" w:rsidRPr="00C821A1">
        <w:rPr>
          <w:rStyle w:val="af1"/>
          <w:szCs w:val="32"/>
          <w:rtl/>
        </w:rPr>
        <w:t>)</w:t>
      </w:r>
      <w:r w:rsidR="004716EF" w:rsidRPr="00D41F16">
        <w:rPr>
          <w:rFonts w:ascii="Traditional Arabic" w:hAnsi="Traditional Arabic"/>
          <w:noProof w:val="0"/>
          <w:sz w:val="44"/>
          <w:szCs w:val="44"/>
          <w:rtl/>
          <w:lang w:eastAsia="en-US"/>
        </w:rPr>
        <w:t>.</w:t>
      </w:r>
    </w:p>
    <w:p w:rsidR="00065E4B" w:rsidRPr="007E0654" w:rsidRDefault="003A7C17" w:rsidP="00597C20">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065E4B" w:rsidRPr="007E0654">
        <w:rPr>
          <w:rFonts w:ascii="Traditional Arabic" w:hAnsi="Traditional Arabic" w:hint="cs"/>
          <w:noProof w:val="0"/>
          <w:rtl/>
          <w:lang w:eastAsia="en-US"/>
        </w:rPr>
        <w:t>و</w:t>
      </w:r>
      <w:r>
        <w:rPr>
          <w:rFonts w:ascii="Traditional Arabic" w:hAnsi="Traditional Arabic" w:hint="cs"/>
          <w:noProof w:val="0"/>
          <w:rtl/>
          <w:lang w:eastAsia="en-US"/>
        </w:rPr>
        <w:t>بناءً على ذلك،</w:t>
      </w:r>
      <w:r w:rsidR="004716EF">
        <w:rPr>
          <w:rFonts w:ascii="Traditional Arabic" w:hAnsi="Traditional Arabic" w:hint="cs"/>
          <w:noProof w:val="0"/>
          <w:rtl/>
          <w:lang w:eastAsia="en-US"/>
        </w:rPr>
        <w:t xml:space="preserve"> </w:t>
      </w:r>
      <w:r w:rsidR="004716EF" w:rsidRPr="007E0654">
        <w:rPr>
          <w:rFonts w:ascii="Traditional Arabic" w:hAnsi="Traditional Arabic" w:hint="cs"/>
          <w:noProof w:val="0"/>
          <w:rtl/>
          <w:lang w:eastAsia="en-US"/>
        </w:rPr>
        <w:t>يكون التحريم ضد التحليل.</w:t>
      </w:r>
    </w:p>
    <w:p w:rsidR="00065E4B" w:rsidRDefault="00065E4B" w:rsidP="00597C20">
      <w:pPr>
        <w:pStyle w:val="53"/>
        <w:rPr>
          <w:rtl/>
        </w:rPr>
      </w:pPr>
      <w:r w:rsidRPr="00286B2C">
        <w:rPr>
          <w:rFonts w:hint="cs"/>
          <w:rtl/>
        </w:rPr>
        <w:t>ا</w:t>
      </w:r>
      <w:r w:rsidR="004716EF" w:rsidRPr="00286B2C">
        <w:rPr>
          <w:rFonts w:hint="cs"/>
          <w:rtl/>
        </w:rPr>
        <w:t>لتحريم اصطلاحا:</w:t>
      </w:r>
    </w:p>
    <w:p w:rsidR="00065E4B" w:rsidRDefault="003A7C17" w:rsidP="003A7C17">
      <w:pPr>
        <w:widowControl/>
        <w:autoSpaceDE w:val="0"/>
        <w:autoSpaceDN w:val="0"/>
        <w:adjustRightInd w:val="0"/>
        <w:ind w:firstLine="0"/>
        <w:jc w:val="left"/>
        <w:rPr>
          <w:rFonts w:ascii="Traditional Arabic" w:hAnsi="Traditional Arabic"/>
          <w:b/>
          <w:bCs/>
          <w:noProof w:val="0"/>
          <w:rtl/>
          <w:lang w:eastAsia="en-US"/>
        </w:rPr>
      </w:pPr>
      <w:r>
        <w:rPr>
          <w:rFonts w:ascii="Traditional Arabic" w:hAnsi="Traditional Arabic" w:hint="cs"/>
          <w:noProof w:val="0"/>
          <w:rtl/>
          <w:lang w:eastAsia="en-US"/>
        </w:rPr>
        <w:t xml:space="preserve">    </w:t>
      </w:r>
      <w:r w:rsidR="004716EF" w:rsidRPr="00286B2C">
        <w:rPr>
          <w:rFonts w:ascii="Traditional Arabic" w:hAnsi="Traditional Arabic" w:hint="cs"/>
          <w:noProof w:val="0"/>
          <w:rtl/>
          <w:lang w:eastAsia="en-US"/>
        </w:rPr>
        <w:t>ضد الإباحة</w:t>
      </w:r>
      <w:r w:rsidR="004716EF">
        <w:rPr>
          <w:rFonts w:ascii="Traditional Arabic" w:hAnsi="Traditional Arabic" w:hint="cs"/>
          <w:noProof w:val="0"/>
          <w:rtl/>
          <w:lang w:eastAsia="en-US"/>
        </w:rPr>
        <w:t>، وهو ورود خطاب الشرع بطلب تركٍ مع جزمٍ مقتضٍ للوعيد على الفعل</w:t>
      </w:r>
      <w:r w:rsidR="004716EF" w:rsidRPr="00C821A1">
        <w:rPr>
          <w:rStyle w:val="af1"/>
          <w:szCs w:val="32"/>
          <w:rtl/>
        </w:rPr>
        <w:t>(</w:t>
      </w:r>
      <w:r w:rsidR="004716EF" w:rsidRPr="00C821A1">
        <w:rPr>
          <w:rStyle w:val="af1"/>
          <w:szCs w:val="32"/>
          <w:rtl/>
        </w:rPr>
        <w:footnoteReference w:id="345"/>
      </w:r>
      <w:r w:rsidR="004716EF" w:rsidRPr="00C821A1">
        <w:rPr>
          <w:rStyle w:val="af1"/>
          <w:szCs w:val="32"/>
          <w:rtl/>
        </w:rPr>
        <w:t>)</w:t>
      </w:r>
      <w:r w:rsidR="004716EF">
        <w:rPr>
          <w:rFonts w:ascii="Traditional Arabic" w:hAnsi="Traditional Arabic" w:hint="cs"/>
          <w:noProof w:val="0"/>
          <w:rtl/>
          <w:lang w:eastAsia="en-US"/>
        </w:rPr>
        <w:t>.</w:t>
      </w:r>
    </w:p>
    <w:p w:rsidR="00065E4B" w:rsidRDefault="00065E4B" w:rsidP="00597C20">
      <w:pPr>
        <w:pStyle w:val="53"/>
        <w:rPr>
          <w:rtl/>
        </w:rPr>
      </w:pPr>
      <w:r>
        <w:rPr>
          <w:rFonts w:hint="cs"/>
          <w:rtl/>
        </w:rPr>
        <w:t>م</w:t>
      </w:r>
      <w:r w:rsidR="004716EF">
        <w:rPr>
          <w:rFonts w:hint="cs"/>
          <w:rtl/>
        </w:rPr>
        <w:t>عنى القاعدة إجمالا:</w:t>
      </w:r>
    </w:p>
    <w:p w:rsidR="00065E4B" w:rsidRDefault="003A7C17" w:rsidP="003A7C17">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sidRPr="00667783">
        <w:rPr>
          <w:rFonts w:ascii="Traditional Arabic" w:hAnsi="Traditional Arabic"/>
          <w:noProof w:val="0"/>
          <w:rtl/>
          <w:lang w:eastAsia="en-US"/>
        </w:rPr>
        <w:t>ه</w:t>
      </w:r>
      <w:r w:rsidR="004716EF" w:rsidRPr="00667783">
        <w:rPr>
          <w:rFonts w:ascii="Traditional Arabic" w:hAnsi="Traditional Arabic"/>
          <w:noProof w:val="0"/>
          <w:rtl/>
          <w:lang w:eastAsia="en-US"/>
        </w:rPr>
        <w:t>ذه القاعدة</w:t>
      </w:r>
      <w:r w:rsidR="004716EF">
        <w:rPr>
          <w:rFonts w:ascii="Traditional Arabic" w:hAnsi="Traditional Arabic" w:hint="cs"/>
          <w:noProof w:val="0"/>
          <w:rtl/>
          <w:lang w:eastAsia="en-US"/>
        </w:rPr>
        <w:t xml:space="preserve"> من القواعد المهمة التي يتمثل فيها جانب الاحتياط</w:t>
      </w:r>
      <w:r w:rsidR="004716EF" w:rsidRPr="00C821A1">
        <w:rPr>
          <w:rStyle w:val="af1"/>
          <w:szCs w:val="32"/>
          <w:rtl/>
        </w:rPr>
        <w:t>(</w:t>
      </w:r>
      <w:r w:rsidR="004716EF" w:rsidRPr="00C821A1">
        <w:rPr>
          <w:rStyle w:val="af1"/>
          <w:szCs w:val="32"/>
          <w:rtl/>
        </w:rPr>
        <w:footnoteReference w:id="346"/>
      </w:r>
      <w:r w:rsidR="004716EF" w:rsidRPr="00C821A1">
        <w:rPr>
          <w:rStyle w:val="af1"/>
          <w:szCs w:val="32"/>
          <w:rtl/>
        </w:rPr>
        <w:t>)</w:t>
      </w:r>
      <w:r w:rsidR="004716EF">
        <w:rPr>
          <w:rFonts w:ascii="Traditional Arabic" w:hAnsi="Traditional Arabic" w:hint="cs"/>
          <w:noProof w:val="0"/>
          <w:rtl/>
          <w:lang w:eastAsia="en-US"/>
        </w:rPr>
        <w:t>، وهي</w:t>
      </w:r>
      <w:r>
        <w:rPr>
          <w:rFonts w:ascii="Traditional Arabic" w:hAnsi="Traditional Arabic" w:hint="cs"/>
          <w:rtl/>
        </w:rPr>
        <w:t xml:space="preserve"> </w:t>
      </w:r>
      <w:r w:rsidR="004716EF" w:rsidRPr="00667783">
        <w:rPr>
          <w:rFonts w:ascii="Traditional Arabic" w:hAnsi="Traditional Arabic"/>
          <w:rtl/>
        </w:rPr>
        <w:t>قاعدةٌ شرعية مُطَّ</w:t>
      </w:r>
      <w:r w:rsidR="004716EF">
        <w:rPr>
          <w:rFonts w:ascii="Traditional Arabic" w:hAnsi="Traditional Arabic"/>
          <w:rtl/>
        </w:rPr>
        <w:t>ردة</w:t>
      </w:r>
      <w:r w:rsidR="00541168">
        <w:rPr>
          <w:rFonts w:ascii="Traditional Arabic" w:hAnsi="Traditional Arabic" w:hint="cs"/>
          <w:rtl/>
        </w:rPr>
        <w:t xml:space="preserve"> </w:t>
      </w:r>
      <w:r w:rsidR="004716EF">
        <w:rPr>
          <w:rFonts w:ascii="Traditional Arabic" w:hAnsi="Traditional Arabic" w:hint="cs"/>
          <w:rtl/>
        </w:rPr>
        <w:t xml:space="preserve">في </w:t>
      </w:r>
      <w:r w:rsidR="004716EF" w:rsidRPr="00667783">
        <w:rPr>
          <w:rFonts w:ascii="Traditional Arabic" w:hAnsi="Traditional Arabic"/>
          <w:rtl/>
        </w:rPr>
        <w:t>الأشياء التي تتعارض فيها الأدلة</w:t>
      </w:r>
      <w:r w:rsidR="004716EF" w:rsidRPr="00C821A1">
        <w:rPr>
          <w:rFonts w:ascii="Traditional Arabic" w:hAnsi="Traditional Arabic"/>
          <w:szCs w:val="32"/>
          <w:vertAlign w:val="superscript"/>
          <w:rtl/>
        </w:rPr>
        <w:t>(</w:t>
      </w:r>
      <w:r w:rsidR="004716EF" w:rsidRPr="00C821A1">
        <w:rPr>
          <w:rStyle w:val="af1"/>
          <w:rFonts w:ascii="Traditional Arabic" w:hAnsi="Traditional Arabic"/>
          <w:szCs w:val="32"/>
          <w:rtl/>
        </w:rPr>
        <w:footnoteReference w:id="347"/>
      </w:r>
      <w:r w:rsidR="004716EF" w:rsidRPr="00C821A1">
        <w:rPr>
          <w:rFonts w:ascii="Traditional Arabic" w:hAnsi="Traditional Arabic"/>
          <w:szCs w:val="32"/>
          <w:vertAlign w:val="superscript"/>
          <w:rtl/>
        </w:rPr>
        <w:t>)</w:t>
      </w:r>
      <w:r w:rsidR="004716EF">
        <w:rPr>
          <w:rFonts w:ascii="Traditional Arabic" w:hAnsi="Traditional Arabic" w:hint="cs"/>
          <w:noProof w:val="0"/>
          <w:rtl/>
          <w:lang w:eastAsia="en-US"/>
        </w:rPr>
        <w:t xml:space="preserve">، فهي </w:t>
      </w:r>
      <w:r w:rsidR="004716EF" w:rsidRPr="0078163F">
        <w:rPr>
          <w:rFonts w:ascii="Traditional Arabic" w:hAnsi="Traditional Arabic" w:hint="cs"/>
          <w:b/>
          <w:bCs/>
          <w:noProof w:val="0"/>
          <w:rtl/>
          <w:lang w:eastAsia="en-US"/>
        </w:rPr>
        <w:t>قاعدة أصولية</w:t>
      </w:r>
      <w:r w:rsidR="002D78A8">
        <w:rPr>
          <w:rFonts w:ascii="Traditional Arabic" w:hAnsi="Traditional Arabic" w:hint="cs"/>
          <w:noProof w:val="0"/>
          <w:rtl/>
          <w:lang w:eastAsia="en-US"/>
        </w:rPr>
        <w:t>؛</w:t>
      </w:r>
      <w:r w:rsidR="004716EF">
        <w:rPr>
          <w:rFonts w:ascii="Traditional Arabic" w:hAnsi="Traditional Arabic" w:hint="cs"/>
          <w:noProof w:val="0"/>
          <w:rtl/>
          <w:lang w:eastAsia="en-US"/>
        </w:rPr>
        <w:t xml:space="preserve"> لتعل</w:t>
      </w:r>
      <w:r>
        <w:rPr>
          <w:rFonts w:ascii="Traditional Arabic" w:hAnsi="Traditional Arabic" w:hint="cs"/>
          <w:noProof w:val="0"/>
          <w:rtl/>
          <w:lang w:eastAsia="en-US"/>
        </w:rPr>
        <w:t>ُّ</w:t>
      </w:r>
      <w:r w:rsidR="004716EF">
        <w:rPr>
          <w:rFonts w:ascii="Traditional Arabic" w:hAnsi="Traditional Arabic" w:hint="cs"/>
          <w:noProof w:val="0"/>
          <w:rtl/>
          <w:lang w:eastAsia="en-US"/>
        </w:rPr>
        <w:t xml:space="preserve">قها بالتعارض والترجيح بين </w:t>
      </w:r>
      <w:r w:rsidR="004716EF">
        <w:rPr>
          <w:rFonts w:ascii="Traditional Arabic" w:hAnsi="Traditional Arabic" w:hint="cs"/>
          <w:noProof w:val="0"/>
          <w:rtl/>
          <w:lang w:eastAsia="en-US"/>
        </w:rPr>
        <w:lastRenderedPageBreak/>
        <w:t xml:space="preserve">الأدلة، وهو من المباحث المهمة في أصول الفقه، وهي أيضا </w:t>
      </w:r>
      <w:r w:rsidR="004716EF" w:rsidRPr="0078163F">
        <w:rPr>
          <w:rFonts w:ascii="Traditional Arabic" w:hAnsi="Traditional Arabic" w:hint="cs"/>
          <w:b/>
          <w:bCs/>
          <w:noProof w:val="0"/>
          <w:rtl/>
          <w:lang w:eastAsia="en-US"/>
        </w:rPr>
        <w:t>قاعدة فقهية</w:t>
      </w:r>
      <w:r w:rsidR="002D78A8">
        <w:rPr>
          <w:rFonts w:ascii="Traditional Arabic" w:hAnsi="Traditional Arabic" w:hint="cs"/>
          <w:b/>
          <w:bCs/>
          <w:noProof w:val="0"/>
          <w:rtl/>
          <w:lang w:eastAsia="en-US"/>
        </w:rPr>
        <w:t>؛</w:t>
      </w:r>
      <w:r w:rsidR="004716EF">
        <w:rPr>
          <w:rFonts w:ascii="Traditional Arabic" w:hAnsi="Traditional Arabic" w:hint="cs"/>
          <w:noProof w:val="0"/>
          <w:rtl/>
          <w:lang w:eastAsia="en-US"/>
        </w:rPr>
        <w:t xml:space="preserve"> لِتعلُّقها بفِعل المكلَّف</w:t>
      </w:r>
      <w:r w:rsidR="004716EF" w:rsidRPr="00C821A1">
        <w:rPr>
          <w:rStyle w:val="af1"/>
          <w:szCs w:val="32"/>
          <w:rtl/>
        </w:rPr>
        <w:t>(</w:t>
      </w:r>
      <w:r w:rsidR="004716EF" w:rsidRPr="00C821A1">
        <w:rPr>
          <w:rStyle w:val="af1"/>
          <w:szCs w:val="32"/>
          <w:rtl/>
        </w:rPr>
        <w:footnoteReference w:id="348"/>
      </w:r>
      <w:r w:rsidR="004716EF" w:rsidRPr="00C821A1">
        <w:rPr>
          <w:rStyle w:val="af1"/>
          <w:szCs w:val="32"/>
          <w:rtl/>
        </w:rPr>
        <w:t>)</w:t>
      </w:r>
      <w:r w:rsidR="004716EF">
        <w:rPr>
          <w:rFonts w:ascii="Traditional Arabic" w:hAnsi="Traditional Arabic" w:hint="cs"/>
          <w:noProof w:val="0"/>
          <w:rtl/>
          <w:lang w:eastAsia="en-US"/>
        </w:rPr>
        <w:t xml:space="preserve"> مِن حيثُ تَرْكُه للحلال إذا اختلَط بالحرام ولم يمكن ترك الحرام إلا بترك الحلال.</w:t>
      </w:r>
    </w:p>
    <w:p w:rsidR="00F228A9" w:rsidRDefault="002D78A8" w:rsidP="002D78A8">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sidRPr="002D78A8">
        <w:rPr>
          <w:rFonts w:ascii="Traditional Arabic" w:hAnsi="Traditional Arabic" w:hint="cs"/>
          <w:noProof w:val="0"/>
          <w:rtl/>
          <w:lang w:eastAsia="en-US"/>
        </w:rPr>
        <w:t>و</w:t>
      </w:r>
      <w:r w:rsidR="004716EF" w:rsidRPr="002D78A8">
        <w:rPr>
          <w:rFonts w:ascii="Traditional Arabic" w:hAnsi="Traditional Arabic" w:hint="cs"/>
          <w:noProof w:val="0"/>
          <w:rtl/>
          <w:lang w:eastAsia="en-US"/>
        </w:rPr>
        <w:t>معنى القاعدة</w:t>
      </w:r>
      <w:r w:rsidR="004716EF">
        <w:rPr>
          <w:rFonts w:ascii="Traditional Arabic" w:hAnsi="Traditional Arabic" w:hint="cs"/>
          <w:noProof w:val="0"/>
          <w:rtl/>
          <w:lang w:eastAsia="en-US"/>
        </w:rPr>
        <w:t xml:space="preserve"> أنه إذا اجتمع سببان:</w:t>
      </w:r>
      <w:r w:rsidR="007B727E">
        <w:rPr>
          <w:rFonts w:ascii="Traditional Arabic" w:hAnsi="Traditional Arabic" w:hint="cs"/>
          <w:noProof w:val="0"/>
          <w:rtl/>
          <w:lang w:eastAsia="en-US"/>
        </w:rPr>
        <w:t xml:space="preserve"> </w:t>
      </w:r>
      <w:r w:rsidR="004716EF">
        <w:rPr>
          <w:rFonts w:ascii="Traditional Arabic" w:hAnsi="Traditional Arabic" w:hint="cs"/>
          <w:noProof w:val="0"/>
          <w:rtl/>
          <w:lang w:eastAsia="en-US"/>
        </w:rPr>
        <w:t>سببٌ للإباحة وسبب لِلمَنْع ولم يمكن التمييز بين الحلال والحرام بحيث تعذَّر انفكاكُ أحدهما عن الآخر</w:t>
      </w:r>
      <w:r w:rsidR="004716EF" w:rsidRPr="00C821A1">
        <w:rPr>
          <w:rStyle w:val="af1"/>
          <w:szCs w:val="32"/>
          <w:rtl/>
        </w:rPr>
        <w:t>(</w:t>
      </w:r>
      <w:r w:rsidR="004716EF" w:rsidRPr="00C821A1">
        <w:rPr>
          <w:rStyle w:val="af1"/>
          <w:szCs w:val="32"/>
          <w:rtl/>
        </w:rPr>
        <w:footnoteReference w:id="349"/>
      </w:r>
      <w:r w:rsidR="004716EF" w:rsidRPr="00C821A1">
        <w:rPr>
          <w:rStyle w:val="af1"/>
          <w:szCs w:val="32"/>
          <w:rtl/>
        </w:rPr>
        <w:t>)</w:t>
      </w:r>
      <w:r w:rsidR="004716EF">
        <w:rPr>
          <w:rFonts w:ascii="Traditional Arabic" w:hAnsi="Traditional Arabic" w:hint="cs"/>
          <w:noProof w:val="0"/>
          <w:rtl/>
          <w:lang w:eastAsia="en-US"/>
        </w:rPr>
        <w:t xml:space="preserve"> غُلِّب جانب التحريم؛ لأن اجتناب الحرام واجبٌ، ولا يمكن اجتنابُه في مثل هذه الحال إلا باجتناب الحلال، وما لا يتم الواجب إلا به فهو واجب؛ ولأن تقديم جانبِ التحريم أَبْرَأُ للذِّمة وأَ</w:t>
      </w:r>
      <w:r w:rsidR="00FA4309">
        <w:rPr>
          <w:rFonts w:ascii="Traditional Arabic" w:hAnsi="Traditional Arabic" w:hint="cs"/>
          <w:noProof w:val="0"/>
          <w:rtl/>
          <w:lang w:eastAsia="en-US"/>
        </w:rPr>
        <w:t>حْوَطُ؛</w:t>
      </w:r>
      <w:r w:rsidR="004716EF">
        <w:rPr>
          <w:rFonts w:ascii="Traditional Arabic" w:hAnsi="Traditional Arabic" w:hint="cs"/>
          <w:noProof w:val="0"/>
          <w:rtl/>
          <w:lang w:eastAsia="en-US"/>
        </w:rPr>
        <w:t xml:space="preserve"> إذ الاحتياطُ في مَقام النهي يكون بالتَّرْك</w:t>
      </w:r>
      <w:r w:rsidR="004716EF" w:rsidRPr="00C821A1">
        <w:rPr>
          <w:rStyle w:val="af1"/>
          <w:szCs w:val="32"/>
          <w:rtl/>
        </w:rPr>
        <w:t>(</w:t>
      </w:r>
      <w:r w:rsidR="004716EF" w:rsidRPr="00C821A1">
        <w:rPr>
          <w:rStyle w:val="af1"/>
          <w:szCs w:val="32"/>
          <w:rtl/>
        </w:rPr>
        <w:footnoteReference w:id="350"/>
      </w:r>
      <w:r w:rsidR="004716EF" w:rsidRPr="00C821A1">
        <w:rPr>
          <w:rStyle w:val="af1"/>
          <w:szCs w:val="32"/>
          <w:rtl/>
        </w:rPr>
        <w:t>)</w:t>
      </w:r>
      <w:r w:rsidR="004716EF">
        <w:rPr>
          <w:rFonts w:ascii="Traditional Arabic" w:hAnsi="Traditional Arabic" w:hint="cs"/>
          <w:noProof w:val="0"/>
          <w:rtl/>
          <w:lang w:eastAsia="en-US"/>
        </w:rPr>
        <w:t>.</w:t>
      </w:r>
    </w:p>
    <w:p w:rsidR="00065E4B" w:rsidRDefault="00273DC6" w:rsidP="00A8347C">
      <w:pPr>
        <w:pStyle w:val="aff3"/>
        <w:rPr>
          <w:rtl/>
        </w:rPr>
      </w:pPr>
      <w:bookmarkStart w:id="73" w:name="_Toc334046326"/>
      <w:r>
        <w:rPr>
          <w:rFonts w:hint="cs"/>
          <w:rtl/>
        </w:rPr>
        <w:t xml:space="preserve">                 </w:t>
      </w:r>
      <w:r w:rsidR="00BE3E18">
        <w:rPr>
          <w:rFonts w:hint="cs"/>
          <w:rtl/>
        </w:rPr>
        <w:t xml:space="preserve">                    </w:t>
      </w:r>
      <w:r w:rsidR="004716EF" w:rsidRPr="00AA74DB">
        <w:rPr>
          <w:rtl/>
        </w:rPr>
        <w:t xml:space="preserve">المطلب </w:t>
      </w:r>
      <w:r w:rsidR="004716EF" w:rsidRPr="00690887">
        <w:rPr>
          <w:rFonts w:hint="cs"/>
          <w:rtl/>
        </w:rPr>
        <w:t>الثالث</w:t>
      </w:r>
      <w:r w:rsidR="004716EF">
        <w:rPr>
          <w:rFonts w:hint="eastAsia"/>
          <w:rtl/>
        </w:rPr>
        <w:t> :</w:t>
      </w:r>
      <w:r w:rsidR="004716EF">
        <w:rPr>
          <w:rFonts w:hint="cs"/>
          <w:rtl/>
        </w:rPr>
        <w:br/>
      </w:r>
      <w:r>
        <w:rPr>
          <w:rFonts w:hint="cs"/>
          <w:rtl/>
        </w:rPr>
        <w:t xml:space="preserve">               </w:t>
      </w:r>
      <w:r w:rsidR="00A422DD">
        <w:rPr>
          <w:rFonts w:hint="cs"/>
          <w:rtl/>
        </w:rPr>
        <w:t xml:space="preserve">   </w:t>
      </w:r>
      <w:r w:rsidR="00BE3E18">
        <w:rPr>
          <w:rFonts w:hint="cs"/>
          <w:rtl/>
        </w:rPr>
        <w:t xml:space="preserve">                     </w:t>
      </w:r>
      <w:r w:rsidR="004716EF">
        <w:rPr>
          <w:rFonts w:hint="cs"/>
          <w:rtl/>
        </w:rPr>
        <w:t>أدلة القاعدة</w:t>
      </w:r>
      <w:bookmarkEnd w:id="73"/>
    </w:p>
    <w:p w:rsidR="00065E4B" w:rsidRPr="007B727E" w:rsidRDefault="004716EF" w:rsidP="000A76C7">
      <w:pPr>
        <w:pStyle w:val="afc"/>
        <w:numPr>
          <w:ilvl w:val="0"/>
          <w:numId w:val="60"/>
        </w:numPr>
        <w:spacing w:line="580" w:lineRule="exact"/>
        <w:jc w:val="lowKashida"/>
        <w:rPr>
          <w:rFonts w:ascii="Traditional Arabic" w:hAnsi="Traditional Arabic"/>
          <w:b/>
          <w:bCs/>
          <w:rtl/>
        </w:rPr>
      </w:pPr>
      <w:r w:rsidRPr="007B727E">
        <w:rPr>
          <w:rFonts w:ascii="Traditional Arabic" w:hAnsi="Traditional Arabic"/>
          <w:rtl/>
        </w:rPr>
        <w:t>حديث عطية الس</w:t>
      </w:r>
      <w:r w:rsidRPr="007B727E">
        <w:rPr>
          <w:rFonts w:ascii="Traditional Arabic" w:hAnsi="Traditional Arabic" w:hint="cs"/>
          <w:rtl/>
        </w:rPr>
        <w:t>َّ</w:t>
      </w:r>
      <w:r w:rsidRPr="007B727E">
        <w:rPr>
          <w:rFonts w:ascii="Traditional Arabic" w:hAnsi="Traditional Arabic"/>
          <w:rtl/>
        </w:rPr>
        <w:t>عدي</w:t>
      </w:r>
      <w:r w:rsidR="00A63630" w:rsidRPr="007B727E">
        <w:rPr>
          <w:rFonts w:ascii="Traditional Arabic" w:hAnsi="Traditional Arabic" w:hint="cs"/>
          <w:rtl/>
        </w:rPr>
        <w:t xml:space="preserve"> _</w:t>
      </w:r>
      <w:r w:rsidR="00A63630" w:rsidRPr="00AA74DB">
        <w:sym w:font="AGA Arabesque" w:char="F074"/>
      </w:r>
      <w:r w:rsidR="00A63630" w:rsidRPr="007B727E">
        <w:rPr>
          <w:rFonts w:ascii="Traditional Arabic" w:hAnsi="Traditional Arabic" w:hint="cs"/>
          <w:rtl/>
        </w:rPr>
        <w:t xml:space="preserve">_ </w:t>
      </w:r>
      <w:r w:rsidRPr="007B727E">
        <w:rPr>
          <w:rFonts w:ascii="Traditional Arabic" w:hAnsi="Traditional Arabic"/>
          <w:szCs w:val="32"/>
          <w:vertAlign w:val="superscript"/>
          <w:rtl/>
        </w:rPr>
        <w:t>(</w:t>
      </w:r>
      <w:r w:rsidRPr="00C821A1">
        <w:rPr>
          <w:rStyle w:val="af1"/>
          <w:rFonts w:ascii="Traditional Arabic" w:hAnsi="Traditional Arabic"/>
          <w:szCs w:val="32"/>
          <w:rtl/>
        </w:rPr>
        <w:footnoteReference w:id="351"/>
      </w:r>
      <w:r w:rsidRPr="007B727E">
        <w:rPr>
          <w:rFonts w:ascii="Traditional Arabic" w:hAnsi="Traditional Arabic"/>
          <w:szCs w:val="32"/>
          <w:vertAlign w:val="superscript"/>
          <w:rtl/>
        </w:rPr>
        <w:t>)</w:t>
      </w:r>
      <w:r w:rsidRPr="007B727E">
        <w:rPr>
          <w:rFonts w:ascii="Traditional Arabic" w:hAnsi="Traditional Arabic"/>
          <w:rtl/>
        </w:rPr>
        <w:t xml:space="preserve">قال : قال النبي </w:t>
      </w:r>
      <w:r w:rsidRPr="00AA74DB">
        <w:sym w:font="AGA Arabesque" w:char="F065"/>
      </w:r>
      <w:r w:rsidRPr="007B727E">
        <w:rPr>
          <w:rFonts w:ascii="Traditional Arabic" w:hAnsi="Traditional Arabic"/>
          <w:rtl/>
        </w:rPr>
        <w:t xml:space="preserve"> : "لا يبلغ العبد أن يكون من المتقين،حتى ي</w:t>
      </w:r>
      <w:r w:rsidRPr="007B727E">
        <w:rPr>
          <w:rFonts w:ascii="Traditional Arabic" w:hAnsi="Traditional Arabic" w:hint="cs"/>
          <w:rtl/>
        </w:rPr>
        <w:t>َ</w:t>
      </w:r>
      <w:r w:rsidRPr="007B727E">
        <w:rPr>
          <w:rFonts w:ascii="Traditional Arabic" w:hAnsi="Traditional Arabic"/>
          <w:rtl/>
        </w:rPr>
        <w:t>د</w:t>
      </w:r>
      <w:r w:rsidRPr="007B727E">
        <w:rPr>
          <w:rFonts w:ascii="Traditional Arabic" w:hAnsi="Traditional Arabic" w:hint="cs"/>
          <w:rtl/>
        </w:rPr>
        <w:t>َ</w:t>
      </w:r>
      <w:r w:rsidRPr="007B727E">
        <w:rPr>
          <w:rFonts w:ascii="Traditional Arabic" w:hAnsi="Traditional Arabic"/>
          <w:rtl/>
        </w:rPr>
        <w:t>ع</w:t>
      </w:r>
      <w:r w:rsidRPr="007B727E">
        <w:rPr>
          <w:rFonts w:ascii="Traditional Arabic" w:hAnsi="Traditional Arabic" w:hint="cs"/>
          <w:rtl/>
        </w:rPr>
        <w:t>َ</w:t>
      </w:r>
      <w:r w:rsidRPr="007B727E">
        <w:rPr>
          <w:rFonts w:ascii="Traditional Arabic" w:hAnsi="Traditional Arabic"/>
          <w:rtl/>
        </w:rPr>
        <w:t xml:space="preserve"> ما لا بأس به</w:t>
      </w:r>
      <w:r w:rsidR="00AB0B9E" w:rsidRPr="007B727E">
        <w:rPr>
          <w:rFonts w:ascii="Traditional Arabic" w:hAnsi="Traditional Arabic"/>
          <w:rtl/>
        </w:rPr>
        <w:fldChar w:fldCharType="begin"/>
      </w:r>
      <w:r w:rsidR="00F706D7" w:rsidRPr="00531753">
        <w:instrText>XE</w:instrText>
      </w:r>
      <w:r w:rsidR="00F706D7" w:rsidRPr="00531753">
        <w:rPr>
          <w:rtl/>
        </w:rPr>
        <w:instrText xml:space="preserve"> "</w:instrText>
      </w:r>
      <w:r w:rsidR="00F706D7" w:rsidRPr="007B727E">
        <w:rPr>
          <w:rFonts w:ascii="Traditional Arabic" w:hAnsi="Traditional Arabic"/>
          <w:rtl/>
        </w:rPr>
        <w:instrText>لا يبلغ العبد أن يكون من المتقين،حتى ي</w:instrText>
      </w:r>
      <w:r w:rsidR="00F706D7" w:rsidRPr="007B727E">
        <w:rPr>
          <w:rFonts w:ascii="Traditional Arabic" w:hAnsi="Traditional Arabic" w:hint="cs"/>
          <w:rtl/>
        </w:rPr>
        <w:instrText>َ</w:instrText>
      </w:r>
      <w:r w:rsidR="00F706D7" w:rsidRPr="007B727E">
        <w:rPr>
          <w:rFonts w:ascii="Traditional Arabic" w:hAnsi="Traditional Arabic"/>
          <w:rtl/>
        </w:rPr>
        <w:instrText>د</w:instrText>
      </w:r>
      <w:r w:rsidR="00F706D7" w:rsidRPr="007B727E">
        <w:rPr>
          <w:rFonts w:ascii="Traditional Arabic" w:hAnsi="Traditional Arabic" w:hint="cs"/>
          <w:rtl/>
        </w:rPr>
        <w:instrText>َ</w:instrText>
      </w:r>
      <w:r w:rsidR="00F706D7" w:rsidRPr="007B727E">
        <w:rPr>
          <w:rFonts w:ascii="Traditional Arabic" w:hAnsi="Traditional Arabic"/>
          <w:rtl/>
        </w:rPr>
        <w:instrText>ع</w:instrText>
      </w:r>
      <w:r w:rsidR="00F706D7" w:rsidRPr="007B727E">
        <w:rPr>
          <w:rFonts w:ascii="Traditional Arabic" w:hAnsi="Traditional Arabic" w:hint="cs"/>
          <w:rtl/>
        </w:rPr>
        <w:instrText>َ</w:instrText>
      </w:r>
      <w:r w:rsidR="00F706D7" w:rsidRPr="007B727E">
        <w:rPr>
          <w:rFonts w:ascii="Traditional Arabic" w:hAnsi="Traditional Arabic"/>
          <w:rtl/>
        </w:rPr>
        <w:instrText xml:space="preserve"> ما لا بأس به</w:instrText>
      </w:r>
      <w:r w:rsidR="00F706D7" w:rsidRPr="00531753">
        <w:rPr>
          <w:rtl/>
        </w:rPr>
        <w:instrText>" \</w:instrText>
      </w:r>
      <w:r w:rsidR="00F706D7" w:rsidRPr="00531753">
        <w:instrText>fh</w:instrText>
      </w:r>
      <w:r w:rsidR="00AB0B9E" w:rsidRPr="007B727E">
        <w:rPr>
          <w:rFonts w:ascii="Traditional Arabic" w:hAnsi="Traditional Arabic"/>
          <w:rtl/>
        </w:rPr>
        <w:fldChar w:fldCharType="end"/>
      </w:r>
      <w:r w:rsidRPr="007B727E">
        <w:rPr>
          <w:rFonts w:ascii="Traditional Arabic" w:hAnsi="Traditional Arabic"/>
          <w:rtl/>
        </w:rPr>
        <w:t xml:space="preserve"> حذ</w:t>
      </w:r>
      <w:r w:rsidRPr="007B727E">
        <w:rPr>
          <w:rFonts w:ascii="Traditional Arabic" w:hAnsi="Traditional Arabic" w:hint="cs"/>
          <w:rtl/>
        </w:rPr>
        <w:t>َ</w:t>
      </w:r>
      <w:r w:rsidRPr="007B727E">
        <w:rPr>
          <w:rFonts w:ascii="Traditional Arabic" w:hAnsi="Traditional Arabic"/>
          <w:rtl/>
        </w:rPr>
        <w:t>راً لما به البأس"</w:t>
      </w:r>
      <w:r w:rsidRPr="007B727E">
        <w:rPr>
          <w:rFonts w:ascii="Traditional Arabic" w:hAnsi="Traditional Arabic"/>
          <w:szCs w:val="32"/>
          <w:vertAlign w:val="superscript"/>
          <w:rtl/>
        </w:rPr>
        <w:t>(</w:t>
      </w:r>
      <w:r w:rsidRPr="00C821A1">
        <w:rPr>
          <w:rStyle w:val="af1"/>
          <w:rFonts w:ascii="Traditional Arabic" w:hAnsi="Traditional Arabic"/>
          <w:szCs w:val="32"/>
          <w:rtl/>
        </w:rPr>
        <w:footnoteReference w:id="352"/>
      </w:r>
      <w:r w:rsidRPr="007B727E">
        <w:rPr>
          <w:rFonts w:ascii="Traditional Arabic" w:hAnsi="Traditional Arabic"/>
          <w:szCs w:val="32"/>
          <w:vertAlign w:val="superscript"/>
          <w:rtl/>
        </w:rPr>
        <w:t>)</w:t>
      </w:r>
      <w:r w:rsidRPr="007B727E">
        <w:rPr>
          <w:rFonts w:ascii="Traditional Arabic" w:hAnsi="Traditional Arabic"/>
          <w:rtl/>
        </w:rPr>
        <w:t>.</w:t>
      </w:r>
    </w:p>
    <w:p w:rsidR="00065E4B" w:rsidRDefault="00065E4B" w:rsidP="00597C20">
      <w:pPr>
        <w:pStyle w:val="53"/>
        <w:rPr>
          <w:rtl/>
        </w:rPr>
      </w:pPr>
      <w:r w:rsidRPr="00E26B5F">
        <w:rPr>
          <w:rtl/>
        </w:rPr>
        <w:lastRenderedPageBreak/>
        <w:t>و</w:t>
      </w:r>
      <w:r w:rsidR="004716EF" w:rsidRPr="00E26B5F">
        <w:rPr>
          <w:rtl/>
        </w:rPr>
        <w:t>جه الدلالة</w:t>
      </w:r>
      <w:r w:rsidR="004716EF">
        <w:rPr>
          <w:rtl/>
        </w:rPr>
        <w:t xml:space="preserve"> :</w:t>
      </w:r>
    </w:p>
    <w:p w:rsidR="00065E4B" w:rsidRDefault="002D78A8" w:rsidP="002D78A8">
      <w:pPr>
        <w:spacing w:line="620" w:lineRule="exact"/>
        <w:ind w:firstLine="0"/>
        <w:jc w:val="lowKashida"/>
        <w:rPr>
          <w:rFonts w:ascii="Traditional Arabic" w:hAnsi="Traditional Arabic"/>
          <w:rtl/>
        </w:rPr>
      </w:pPr>
      <w:r>
        <w:rPr>
          <w:rFonts w:ascii="Traditional Arabic" w:hAnsi="Traditional Arabic" w:hint="cs"/>
          <w:rtl/>
        </w:rPr>
        <w:t xml:space="preserve">    </w:t>
      </w:r>
      <w:r w:rsidR="004716EF">
        <w:rPr>
          <w:rFonts w:ascii="Traditional Arabic" w:hAnsi="Traditional Arabic"/>
          <w:rtl/>
        </w:rPr>
        <w:t>يقول الشيخ ابن عثيمين</w:t>
      </w:r>
      <w:r>
        <w:rPr>
          <w:rFonts w:ascii="Traditional Arabic" w:hAnsi="Traditional Arabic" w:hint="cs"/>
          <w:rtl/>
        </w:rPr>
        <w:t>_</w:t>
      </w:r>
      <w:r w:rsidR="004716EF" w:rsidRPr="005D5694">
        <w:rPr>
          <w:rFonts w:ascii="Traditional Arabic" w:hAnsi="Traditional Arabic" w:cs="CTraditional Arabic"/>
          <w:color w:val="auto"/>
          <w:rtl/>
        </w:rPr>
        <w:t>/</w:t>
      </w:r>
      <w:r w:rsidR="00A63630">
        <w:rPr>
          <w:rFonts w:ascii="Traditional Arabic" w:hAnsi="Traditional Arabic" w:hint="cs"/>
          <w:rtl/>
        </w:rPr>
        <w:t>_</w:t>
      </w:r>
      <w:r w:rsidR="004716EF" w:rsidRPr="00E26B5F">
        <w:rPr>
          <w:rFonts w:ascii="Traditional Arabic" w:hAnsi="Traditional Arabic"/>
          <w:rtl/>
        </w:rPr>
        <w:t>: (وهذا فيما إذا اشتب</w:t>
      </w:r>
      <w:r w:rsidR="004716EF">
        <w:rPr>
          <w:rFonts w:ascii="Traditional Arabic" w:hAnsi="Traditional Arabic" w:hint="cs"/>
          <w:rtl/>
        </w:rPr>
        <w:t>َ</w:t>
      </w:r>
      <w:r w:rsidR="004716EF" w:rsidRPr="00E26B5F">
        <w:rPr>
          <w:rFonts w:ascii="Traditional Arabic" w:hAnsi="Traditional Arabic"/>
          <w:rtl/>
        </w:rPr>
        <w:t>ه مباح بمحر</w:t>
      </w:r>
      <w:r w:rsidR="004716EF">
        <w:rPr>
          <w:rFonts w:ascii="Traditional Arabic" w:hAnsi="Traditional Arabic" w:hint="cs"/>
          <w:rtl/>
        </w:rPr>
        <w:t>َّ</w:t>
      </w:r>
      <w:r w:rsidR="004716EF" w:rsidRPr="00E26B5F">
        <w:rPr>
          <w:rFonts w:ascii="Traditional Arabic" w:hAnsi="Traditional Arabic"/>
          <w:rtl/>
        </w:rPr>
        <w:t>م وتعذَّر التمييز</w:t>
      </w:r>
      <w:r w:rsidR="00B76414">
        <w:rPr>
          <w:rFonts w:ascii="Traditional Arabic" w:hAnsi="Traditional Arabic"/>
          <w:rtl/>
        </w:rPr>
        <w:t>،</w:t>
      </w:r>
      <w:r w:rsidR="004716EF" w:rsidRPr="00E26B5F">
        <w:rPr>
          <w:rFonts w:ascii="Traditional Arabic" w:hAnsi="Traditional Arabic"/>
          <w:rtl/>
        </w:rPr>
        <w:t xml:space="preserve"> فإنه م</w:t>
      </w:r>
      <w:r w:rsidR="004716EF">
        <w:rPr>
          <w:rFonts w:ascii="Traditional Arabic" w:hAnsi="Traditional Arabic" w:hint="cs"/>
          <w:rtl/>
        </w:rPr>
        <w:t>ِ</w:t>
      </w:r>
      <w:r w:rsidR="004716EF" w:rsidRPr="00E26B5F">
        <w:rPr>
          <w:rFonts w:ascii="Traditional Arabic" w:hAnsi="Traditional Arabic"/>
          <w:rtl/>
        </w:rPr>
        <w:t>ن تمام</w:t>
      </w:r>
      <w:r w:rsidR="004716EF">
        <w:rPr>
          <w:rFonts w:ascii="Traditional Arabic" w:hAnsi="Traditional Arabic" w:hint="cs"/>
          <w:rtl/>
        </w:rPr>
        <w:t>ِ</w:t>
      </w:r>
      <w:r w:rsidR="004716EF" w:rsidRPr="00E26B5F">
        <w:rPr>
          <w:rFonts w:ascii="Traditional Arabic" w:hAnsi="Traditional Arabic"/>
          <w:rtl/>
        </w:rPr>
        <w:t xml:space="preserve"> اليقين والتقوى </w:t>
      </w:r>
      <w:r w:rsidR="004716EF" w:rsidRPr="007B727E">
        <w:rPr>
          <w:rFonts w:ascii="Traditional Arabic" w:hAnsi="Traditional Arabic"/>
          <w:rtl/>
        </w:rPr>
        <w:t>أن ت</w:t>
      </w:r>
      <w:r w:rsidR="004716EF" w:rsidRPr="007B727E">
        <w:rPr>
          <w:rFonts w:ascii="Traditional Arabic" w:hAnsi="Traditional Arabic" w:hint="cs"/>
          <w:rtl/>
        </w:rPr>
        <w:t>َ</w:t>
      </w:r>
      <w:r w:rsidR="004716EF" w:rsidRPr="007B727E">
        <w:rPr>
          <w:rFonts w:ascii="Traditional Arabic" w:hAnsi="Traditional Arabic"/>
          <w:rtl/>
        </w:rPr>
        <w:t>د</w:t>
      </w:r>
      <w:r w:rsidR="004716EF" w:rsidRPr="007B727E">
        <w:rPr>
          <w:rFonts w:ascii="Traditional Arabic" w:hAnsi="Traditional Arabic" w:hint="cs"/>
          <w:rtl/>
        </w:rPr>
        <w:t>َ</w:t>
      </w:r>
      <w:r w:rsidR="004716EF" w:rsidRPr="007B727E">
        <w:rPr>
          <w:rFonts w:ascii="Traditional Arabic" w:hAnsi="Traditional Arabic"/>
          <w:rtl/>
        </w:rPr>
        <w:t>ع</w:t>
      </w:r>
      <w:r w:rsidR="004716EF" w:rsidRPr="007B727E">
        <w:rPr>
          <w:rFonts w:ascii="Traditional Arabic" w:hAnsi="Traditional Arabic" w:hint="cs"/>
          <w:rtl/>
        </w:rPr>
        <w:t>َ</w:t>
      </w:r>
      <w:r w:rsidR="004716EF" w:rsidRPr="007B727E">
        <w:rPr>
          <w:rFonts w:ascii="Traditional Arabic" w:hAnsi="Traditional Arabic"/>
          <w:rtl/>
        </w:rPr>
        <w:t xml:space="preserve"> الحلال</w:t>
      </w:r>
      <w:r w:rsidR="004716EF" w:rsidRPr="007B727E">
        <w:rPr>
          <w:rFonts w:ascii="Traditional Arabic" w:hAnsi="Traditional Arabic" w:hint="cs"/>
          <w:rtl/>
        </w:rPr>
        <w:t>َ</w:t>
      </w:r>
      <w:r w:rsidR="004716EF" w:rsidRPr="007B727E">
        <w:rPr>
          <w:rFonts w:ascii="Traditional Arabic" w:hAnsi="Traditional Arabic"/>
          <w:rtl/>
        </w:rPr>
        <w:t xml:space="preserve"> خوفاً من الوقوع في الحرام</w:t>
      </w:r>
      <w:r w:rsidR="00B76414">
        <w:rPr>
          <w:rFonts w:ascii="Traditional Arabic" w:hAnsi="Traditional Arabic"/>
          <w:rtl/>
        </w:rPr>
        <w:t>،</w:t>
      </w:r>
      <w:r w:rsidR="004716EF" w:rsidRPr="00E26B5F">
        <w:rPr>
          <w:rFonts w:ascii="Traditional Arabic" w:hAnsi="Traditional Arabic"/>
          <w:rtl/>
        </w:rPr>
        <w:t xml:space="preserve"> وهذا أمر واجب كما قاله أهل العلم : إنه إذا اشتب</w:t>
      </w:r>
      <w:r w:rsidR="004716EF">
        <w:rPr>
          <w:rFonts w:ascii="Traditional Arabic" w:hAnsi="Traditional Arabic" w:hint="cs"/>
          <w:rtl/>
        </w:rPr>
        <w:t>َ</w:t>
      </w:r>
      <w:r w:rsidR="004716EF" w:rsidRPr="00E26B5F">
        <w:rPr>
          <w:rFonts w:ascii="Traditional Arabic" w:hAnsi="Traditional Arabic"/>
          <w:rtl/>
        </w:rPr>
        <w:t>ه مباح بمحر</w:t>
      </w:r>
      <w:r w:rsidR="004716EF">
        <w:rPr>
          <w:rFonts w:ascii="Traditional Arabic" w:hAnsi="Traditional Arabic" w:hint="cs"/>
          <w:rtl/>
        </w:rPr>
        <w:t>َّ</w:t>
      </w:r>
      <w:r w:rsidR="004716EF" w:rsidRPr="00E26B5F">
        <w:rPr>
          <w:rFonts w:ascii="Traditional Arabic" w:hAnsi="Traditional Arabic"/>
          <w:rtl/>
        </w:rPr>
        <w:t>م وجب اجتناب الجميع ؛ لأن اجتناب المحرم واجب</w:t>
      </w:r>
      <w:r w:rsidR="00B76414">
        <w:rPr>
          <w:rFonts w:ascii="Traditional Arabic" w:hAnsi="Traditional Arabic"/>
          <w:rtl/>
        </w:rPr>
        <w:t>،</w:t>
      </w:r>
      <w:r w:rsidR="004716EF" w:rsidRPr="00E26B5F">
        <w:rPr>
          <w:rFonts w:ascii="Traditional Arabic" w:hAnsi="Traditional Arabic"/>
          <w:rtl/>
        </w:rPr>
        <w:t xml:space="preserve"> ولا يتم إلا باجت</w:t>
      </w:r>
      <w:r w:rsidR="004716EF">
        <w:rPr>
          <w:rFonts w:ascii="Traditional Arabic" w:hAnsi="Traditional Arabic"/>
          <w:rtl/>
        </w:rPr>
        <w:t>ناب المباح</w:t>
      </w:r>
      <w:r w:rsidR="004716EF" w:rsidRPr="00E26B5F">
        <w:rPr>
          <w:rFonts w:ascii="Traditional Arabic" w:hAnsi="Traditional Arabic"/>
          <w:rtl/>
        </w:rPr>
        <w:t>، وما لا يتم الواجب إلا به فهو واجب)</w:t>
      </w:r>
      <w:r w:rsidR="004716EF" w:rsidRPr="00C821A1">
        <w:rPr>
          <w:rFonts w:ascii="Traditional Arabic" w:hAnsi="Traditional Arabic"/>
          <w:szCs w:val="32"/>
          <w:vertAlign w:val="superscript"/>
          <w:rtl/>
        </w:rPr>
        <w:t>(</w:t>
      </w:r>
      <w:r w:rsidR="004716EF" w:rsidRPr="00C821A1">
        <w:rPr>
          <w:rStyle w:val="af1"/>
          <w:rFonts w:ascii="Traditional Arabic" w:hAnsi="Traditional Arabic"/>
          <w:szCs w:val="32"/>
          <w:rtl/>
        </w:rPr>
        <w:footnoteReference w:id="353"/>
      </w:r>
      <w:r w:rsidR="004716EF" w:rsidRPr="00C821A1">
        <w:rPr>
          <w:rFonts w:ascii="Traditional Arabic" w:hAnsi="Traditional Arabic"/>
          <w:szCs w:val="32"/>
          <w:vertAlign w:val="superscript"/>
          <w:rtl/>
        </w:rPr>
        <w:t>)</w:t>
      </w:r>
      <w:r w:rsidR="00B76414">
        <w:rPr>
          <w:rFonts w:ascii="Traditional Arabic" w:hAnsi="Traditional Arabic"/>
          <w:rtl/>
        </w:rPr>
        <w:t>.</w:t>
      </w:r>
    </w:p>
    <w:p w:rsidR="004716EF" w:rsidRPr="00067951" w:rsidRDefault="00065E4B" w:rsidP="00597C20">
      <w:pPr>
        <w:spacing w:line="620" w:lineRule="exact"/>
        <w:ind w:left="565" w:hanging="565"/>
        <w:jc w:val="lowKashida"/>
        <w:rPr>
          <w:rFonts w:ascii="Traditional Arabic" w:hAnsi="Traditional Arabic"/>
          <w:b/>
          <w:bCs/>
          <w:rtl/>
        </w:rPr>
      </w:pPr>
      <w:r w:rsidRPr="00067951">
        <w:rPr>
          <w:rFonts w:ascii="Traditional Arabic" w:hAnsi="Traditional Arabic"/>
          <w:rtl/>
        </w:rPr>
        <w:t>(</w:t>
      </w:r>
      <w:r w:rsidR="00541168">
        <w:rPr>
          <w:rFonts w:ascii="Traditional Arabic" w:hAnsi="Traditional Arabic" w:hint="cs"/>
          <w:rtl/>
        </w:rPr>
        <w:t>2</w:t>
      </w:r>
      <w:r w:rsidR="004716EF" w:rsidRPr="00067951">
        <w:rPr>
          <w:rFonts w:ascii="Traditional Arabic" w:hAnsi="Traditional Arabic"/>
          <w:rtl/>
        </w:rPr>
        <w:t>) حديث النعمان بن بشير</w:t>
      </w:r>
      <w:r w:rsidR="00A63630">
        <w:rPr>
          <w:rFonts w:ascii="Traditional Arabic" w:hAnsi="Traditional Arabic" w:hint="cs"/>
          <w:rtl/>
        </w:rPr>
        <w:t>_</w:t>
      </w:r>
      <w:r w:rsidR="004716EF" w:rsidRPr="00067951">
        <w:rPr>
          <w:rFonts w:ascii="Traditional Arabic" w:hAnsi="Traditional Arabic"/>
        </w:rPr>
        <w:sym w:font="AGA Arabesque" w:char="F074"/>
      </w:r>
      <w:r w:rsidR="00A63630">
        <w:rPr>
          <w:rFonts w:ascii="Traditional Arabic" w:hAnsi="Traditional Arabic" w:hint="cs"/>
          <w:rtl/>
        </w:rPr>
        <w:t>_</w:t>
      </w:r>
      <w:r w:rsidR="004716EF" w:rsidRPr="00067951">
        <w:rPr>
          <w:rFonts w:ascii="Traditional Arabic" w:hAnsi="Traditional Arabic"/>
          <w:rtl/>
        </w:rPr>
        <w:t xml:space="preserve"> قال : سمعت رسول الله </w:t>
      </w:r>
      <w:r w:rsidR="004716EF" w:rsidRPr="00067951">
        <w:rPr>
          <w:rFonts w:ascii="Traditional Arabic" w:hAnsi="Traditional Arabic"/>
        </w:rPr>
        <w:sym w:font="AGA Arabesque" w:char="F065"/>
      </w:r>
      <w:r w:rsidR="004716EF" w:rsidRPr="00067951">
        <w:rPr>
          <w:rFonts w:ascii="Traditional Arabic" w:hAnsi="Traditional Arabic"/>
          <w:rtl/>
        </w:rPr>
        <w:t xml:space="preserve"> يقول : "إن الحلال بيِّن وإن الحرام بيِّن</w:t>
      </w:r>
      <w:r w:rsidR="00B76414">
        <w:rPr>
          <w:rFonts w:ascii="Traditional Arabic" w:hAnsi="Traditional Arabic"/>
          <w:rtl/>
        </w:rPr>
        <w:t>،</w:t>
      </w:r>
      <w:r w:rsidR="00AB0B9E">
        <w:rPr>
          <w:rFonts w:ascii="Traditional Arabic" w:hAnsi="Traditional Arabic"/>
          <w:rtl/>
        </w:rPr>
        <w:fldChar w:fldCharType="begin"/>
      </w:r>
      <w:r w:rsidR="00F706D7" w:rsidRPr="00531753">
        <w:instrText>XE</w:instrText>
      </w:r>
      <w:r w:rsidR="00F706D7" w:rsidRPr="00531753">
        <w:rPr>
          <w:rtl/>
        </w:rPr>
        <w:instrText xml:space="preserve"> "</w:instrText>
      </w:r>
      <w:r w:rsidR="00F706D7" w:rsidRPr="00531753">
        <w:rPr>
          <w:rFonts w:ascii="Traditional Arabic" w:hAnsi="Traditional Arabic"/>
          <w:rtl/>
        </w:rPr>
        <w:instrText>إن الحلال بيِّن وإن الحرام بيِّن،</w:instrText>
      </w:r>
      <w:r w:rsidR="00F706D7" w:rsidRPr="00531753">
        <w:rPr>
          <w:rtl/>
        </w:rPr>
        <w:instrText>" \</w:instrText>
      </w:r>
      <w:r w:rsidR="00F706D7" w:rsidRPr="00531753">
        <w:instrText>fh</w:instrText>
      </w:r>
      <w:r w:rsidR="00AB0B9E">
        <w:rPr>
          <w:rFonts w:ascii="Traditional Arabic" w:hAnsi="Traditional Arabic"/>
          <w:rtl/>
        </w:rPr>
        <w:fldChar w:fldCharType="end"/>
      </w:r>
      <w:r w:rsidR="004716EF" w:rsidRPr="00067951">
        <w:rPr>
          <w:rFonts w:ascii="Traditional Arabic" w:hAnsi="Traditional Arabic"/>
          <w:rtl/>
        </w:rPr>
        <w:t xml:space="preserve"> وبينهما مشتب</w:t>
      </w:r>
      <w:r w:rsidR="00541168">
        <w:rPr>
          <w:rFonts w:ascii="Traditional Arabic" w:hAnsi="Traditional Arabic" w:hint="cs"/>
          <w:rtl/>
        </w:rPr>
        <w:t>ِ</w:t>
      </w:r>
      <w:r w:rsidR="004716EF" w:rsidRPr="00067951">
        <w:rPr>
          <w:rFonts w:ascii="Traditional Arabic" w:hAnsi="Traditional Arabic"/>
          <w:rtl/>
        </w:rPr>
        <w:t>هات لا يعلمهن كثير من الناس</w:t>
      </w:r>
      <w:r w:rsidR="00B76414">
        <w:rPr>
          <w:rFonts w:ascii="Traditional Arabic" w:hAnsi="Traditional Arabic"/>
          <w:rtl/>
        </w:rPr>
        <w:t>،</w:t>
      </w:r>
      <w:r w:rsidR="004716EF" w:rsidRPr="00067951">
        <w:rPr>
          <w:rFonts w:ascii="Traditional Arabic" w:hAnsi="Traditional Arabic"/>
          <w:rtl/>
        </w:rPr>
        <w:t xml:space="preserve"> فمن اتقى الشبهات استبرأ لدينه وعرضه</w:t>
      </w:r>
      <w:r w:rsidR="00B76414">
        <w:rPr>
          <w:rFonts w:ascii="Traditional Arabic" w:hAnsi="Traditional Arabic"/>
          <w:rtl/>
        </w:rPr>
        <w:t>،</w:t>
      </w:r>
      <w:r w:rsidR="004716EF" w:rsidRPr="00067951">
        <w:rPr>
          <w:rFonts w:ascii="Traditional Arabic" w:hAnsi="Traditional Arabic"/>
          <w:rtl/>
        </w:rPr>
        <w:t xml:space="preserve"> ومن وقع في الشبهات وقع في الحرام</w:t>
      </w:r>
      <w:r w:rsidR="00B76414">
        <w:rPr>
          <w:rFonts w:ascii="Traditional Arabic" w:hAnsi="Traditional Arabic"/>
          <w:rtl/>
        </w:rPr>
        <w:t>،</w:t>
      </w:r>
      <w:r w:rsidR="004716EF" w:rsidRPr="00067951">
        <w:rPr>
          <w:rFonts w:ascii="Traditional Arabic" w:hAnsi="Traditional Arabic"/>
          <w:rtl/>
        </w:rPr>
        <w:t xml:space="preserve"> كالراعي يرعى حول الح</w:t>
      </w:r>
      <w:r w:rsidR="00273DC6">
        <w:rPr>
          <w:rFonts w:ascii="Traditional Arabic" w:hAnsi="Traditional Arabic" w:hint="cs"/>
          <w:rtl/>
        </w:rPr>
        <w:t>ِ</w:t>
      </w:r>
      <w:r w:rsidR="004716EF" w:rsidRPr="00067951">
        <w:rPr>
          <w:rFonts w:ascii="Traditional Arabic" w:hAnsi="Traditional Arabic"/>
          <w:rtl/>
        </w:rPr>
        <w:t>مى</w:t>
      </w:r>
      <w:r w:rsidR="00B76414">
        <w:rPr>
          <w:rFonts w:ascii="Traditional Arabic" w:hAnsi="Traditional Arabic"/>
          <w:rtl/>
        </w:rPr>
        <w:t>،</w:t>
      </w:r>
      <w:r w:rsidR="004716EF" w:rsidRPr="00067951">
        <w:rPr>
          <w:rFonts w:ascii="Traditional Arabic" w:hAnsi="Traditional Arabic"/>
          <w:rtl/>
        </w:rPr>
        <w:t xml:space="preserve"> يوشك أن ي</w:t>
      </w:r>
      <w:r w:rsidR="00273DC6">
        <w:rPr>
          <w:rFonts w:ascii="Traditional Arabic" w:hAnsi="Traditional Arabic" w:hint="cs"/>
          <w:rtl/>
        </w:rPr>
        <w:t>َ</w:t>
      </w:r>
      <w:r w:rsidR="004716EF" w:rsidRPr="00067951">
        <w:rPr>
          <w:rFonts w:ascii="Traditional Arabic" w:hAnsi="Traditional Arabic"/>
          <w:rtl/>
        </w:rPr>
        <w:t>ر</w:t>
      </w:r>
      <w:r w:rsidR="00273DC6">
        <w:rPr>
          <w:rFonts w:ascii="Traditional Arabic" w:hAnsi="Traditional Arabic" w:hint="cs"/>
          <w:rtl/>
        </w:rPr>
        <w:t>ْ</w:t>
      </w:r>
      <w:r w:rsidR="004716EF" w:rsidRPr="00067951">
        <w:rPr>
          <w:rFonts w:ascii="Traditional Arabic" w:hAnsi="Traditional Arabic"/>
          <w:rtl/>
        </w:rPr>
        <w:t>ت</w:t>
      </w:r>
      <w:r w:rsidR="00273DC6">
        <w:rPr>
          <w:rFonts w:ascii="Traditional Arabic" w:hAnsi="Traditional Arabic" w:hint="cs"/>
          <w:rtl/>
        </w:rPr>
        <w:t>َ</w:t>
      </w:r>
      <w:r w:rsidR="004716EF" w:rsidRPr="00067951">
        <w:rPr>
          <w:rFonts w:ascii="Traditional Arabic" w:hAnsi="Traditional Arabic"/>
          <w:rtl/>
        </w:rPr>
        <w:t>ع فيه"</w:t>
      </w:r>
      <w:r w:rsidR="004716EF" w:rsidRPr="00C821A1">
        <w:rPr>
          <w:rFonts w:ascii="Traditional Arabic" w:hAnsi="Traditional Arabic"/>
          <w:szCs w:val="32"/>
          <w:vertAlign w:val="superscript"/>
          <w:rtl/>
        </w:rPr>
        <w:t>(</w:t>
      </w:r>
      <w:r w:rsidR="004716EF" w:rsidRPr="00C821A1">
        <w:rPr>
          <w:rStyle w:val="af1"/>
          <w:rFonts w:ascii="Traditional Arabic" w:hAnsi="Traditional Arabic"/>
          <w:szCs w:val="32"/>
          <w:rtl/>
        </w:rPr>
        <w:footnoteReference w:id="354"/>
      </w:r>
      <w:r w:rsidR="004716EF" w:rsidRPr="00C821A1">
        <w:rPr>
          <w:rFonts w:ascii="Traditional Arabic" w:hAnsi="Traditional Arabic"/>
          <w:szCs w:val="32"/>
          <w:vertAlign w:val="superscript"/>
          <w:rtl/>
        </w:rPr>
        <w:t>)</w:t>
      </w:r>
      <w:r w:rsidR="004716EF" w:rsidRPr="00067951">
        <w:rPr>
          <w:rFonts w:ascii="Traditional Arabic" w:hAnsi="Traditional Arabic"/>
          <w:rtl/>
        </w:rPr>
        <w:t>.</w:t>
      </w:r>
    </w:p>
    <w:p w:rsidR="00065E4B" w:rsidRDefault="004716EF" w:rsidP="00597C20">
      <w:pPr>
        <w:pStyle w:val="53"/>
        <w:rPr>
          <w:rtl/>
        </w:rPr>
      </w:pPr>
      <w:r w:rsidRPr="00AA74DB">
        <w:rPr>
          <w:rtl/>
        </w:rPr>
        <w:t>وجه الدلالة</w:t>
      </w:r>
      <w:r w:rsidRPr="00067951">
        <w:rPr>
          <w:rtl/>
        </w:rPr>
        <w:t xml:space="preserve"> :</w:t>
      </w:r>
    </w:p>
    <w:p w:rsidR="00F228A9" w:rsidRPr="00067951" w:rsidRDefault="002D78A8" w:rsidP="002D78A8">
      <w:pPr>
        <w:spacing w:line="620" w:lineRule="exact"/>
        <w:ind w:firstLine="0"/>
        <w:jc w:val="lowKashida"/>
        <w:rPr>
          <w:rFonts w:ascii="Traditional Arabic" w:hAnsi="Traditional Arabic"/>
          <w:b/>
          <w:bCs/>
          <w:rtl/>
        </w:rPr>
      </w:pPr>
      <w:r>
        <w:rPr>
          <w:rFonts w:ascii="Traditional Arabic" w:hAnsi="Traditional Arabic" w:hint="cs"/>
          <w:rtl/>
        </w:rPr>
        <w:t xml:space="preserve">    </w:t>
      </w:r>
      <w:r w:rsidR="004716EF" w:rsidRPr="00067951">
        <w:rPr>
          <w:rFonts w:ascii="Traditional Arabic" w:hAnsi="Traditional Arabic"/>
          <w:rtl/>
        </w:rPr>
        <w:t>دلَّ الحديث على أن الأشياء تنقسم إلى ثلاثة أقسام :</w:t>
      </w:r>
    </w:p>
    <w:p w:rsidR="004716EF" w:rsidRPr="00067951" w:rsidRDefault="004716EF" w:rsidP="000A76C7">
      <w:pPr>
        <w:numPr>
          <w:ilvl w:val="0"/>
          <w:numId w:val="64"/>
        </w:numPr>
        <w:tabs>
          <w:tab w:val="clear" w:pos="859"/>
          <w:tab w:val="num" w:pos="943"/>
        </w:tabs>
        <w:spacing w:line="620" w:lineRule="exact"/>
        <w:jc w:val="lowKashida"/>
        <w:rPr>
          <w:rFonts w:ascii="Traditional Arabic" w:hAnsi="Traditional Arabic"/>
          <w:b/>
          <w:bCs/>
          <w:rtl/>
        </w:rPr>
      </w:pPr>
      <w:r w:rsidRPr="00067951">
        <w:rPr>
          <w:rFonts w:ascii="Traditional Arabic" w:hAnsi="Traditional Arabic"/>
          <w:rtl/>
        </w:rPr>
        <w:t>حلال بيِّن لا يخفى ح</w:t>
      </w:r>
      <w:r>
        <w:rPr>
          <w:rFonts w:ascii="Traditional Arabic" w:hAnsi="Traditional Arabic" w:hint="cs"/>
          <w:rtl/>
        </w:rPr>
        <w:t>ِ</w:t>
      </w:r>
      <w:r w:rsidRPr="00067951">
        <w:rPr>
          <w:rFonts w:ascii="Traditional Arabic" w:hAnsi="Traditional Arabic"/>
          <w:rtl/>
        </w:rPr>
        <w:t>ل</w:t>
      </w:r>
      <w:r>
        <w:rPr>
          <w:rFonts w:ascii="Traditional Arabic" w:hAnsi="Traditional Arabic" w:hint="cs"/>
          <w:rtl/>
        </w:rPr>
        <w:t>ُّ</w:t>
      </w:r>
      <w:r w:rsidRPr="00067951">
        <w:rPr>
          <w:rFonts w:ascii="Traditional Arabic" w:hAnsi="Traditional Arabic"/>
          <w:rtl/>
        </w:rPr>
        <w:t>ه</w:t>
      </w:r>
      <w:r w:rsidR="00B76414">
        <w:rPr>
          <w:rFonts w:ascii="Traditional Arabic" w:hAnsi="Traditional Arabic"/>
          <w:rtl/>
        </w:rPr>
        <w:t>.</w:t>
      </w:r>
    </w:p>
    <w:p w:rsidR="004716EF" w:rsidRPr="00067951" w:rsidRDefault="004716EF" w:rsidP="000A76C7">
      <w:pPr>
        <w:numPr>
          <w:ilvl w:val="0"/>
          <w:numId w:val="64"/>
        </w:numPr>
        <w:tabs>
          <w:tab w:val="clear" w:pos="859"/>
          <w:tab w:val="num" w:pos="943"/>
        </w:tabs>
        <w:spacing w:line="580" w:lineRule="exact"/>
        <w:jc w:val="lowKashida"/>
        <w:rPr>
          <w:rFonts w:ascii="Traditional Arabic" w:hAnsi="Traditional Arabic"/>
          <w:b/>
          <w:bCs/>
        </w:rPr>
      </w:pPr>
      <w:r w:rsidRPr="00067951">
        <w:rPr>
          <w:rFonts w:ascii="Traditional Arabic" w:hAnsi="Traditional Arabic"/>
          <w:rtl/>
        </w:rPr>
        <w:t>حرام بيِّن لا يخفى تحريمه</w:t>
      </w:r>
      <w:r w:rsidR="00B76414">
        <w:rPr>
          <w:rFonts w:ascii="Traditional Arabic" w:hAnsi="Traditional Arabic"/>
          <w:rtl/>
        </w:rPr>
        <w:t>.</w:t>
      </w:r>
    </w:p>
    <w:p w:rsidR="00F228A9" w:rsidRPr="00067951" w:rsidRDefault="004716EF" w:rsidP="000A76C7">
      <w:pPr>
        <w:numPr>
          <w:ilvl w:val="0"/>
          <w:numId w:val="64"/>
        </w:numPr>
        <w:tabs>
          <w:tab w:val="clear" w:pos="859"/>
          <w:tab w:val="num" w:pos="943"/>
        </w:tabs>
        <w:spacing w:line="580" w:lineRule="exact"/>
        <w:jc w:val="lowKashida"/>
        <w:rPr>
          <w:rFonts w:ascii="Traditional Arabic" w:hAnsi="Traditional Arabic"/>
          <w:b/>
          <w:bCs/>
          <w:rtl/>
        </w:rPr>
      </w:pPr>
      <w:r w:rsidRPr="00067951">
        <w:rPr>
          <w:rFonts w:ascii="Traditional Arabic" w:hAnsi="Traditional Arabic"/>
          <w:rtl/>
        </w:rPr>
        <w:t>م</w:t>
      </w:r>
      <w:r>
        <w:rPr>
          <w:rFonts w:ascii="Traditional Arabic" w:hAnsi="Traditional Arabic" w:hint="cs"/>
          <w:rtl/>
        </w:rPr>
        <w:t>ُ</w:t>
      </w:r>
      <w:r w:rsidRPr="00067951">
        <w:rPr>
          <w:rFonts w:ascii="Traditional Arabic" w:hAnsi="Traditional Arabic"/>
          <w:rtl/>
        </w:rPr>
        <w:t>شتب</w:t>
      </w:r>
      <w:r>
        <w:rPr>
          <w:rFonts w:ascii="Traditional Arabic" w:hAnsi="Traditional Arabic" w:hint="cs"/>
          <w:rtl/>
        </w:rPr>
        <w:t>ِ</w:t>
      </w:r>
      <w:r w:rsidRPr="00067951">
        <w:rPr>
          <w:rFonts w:ascii="Traditional Arabic" w:hAnsi="Traditional Arabic"/>
          <w:rtl/>
        </w:rPr>
        <w:t>ه يخفى على كثير من الناس</w:t>
      </w:r>
      <w:r w:rsidR="00B76414">
        <w:rPr>
          <w:rFonts w:ascii="Traditional Arabic" w:hAnsi="Traditional Arabic"/>
          <w:rtl/>
        </w:rPr>
        <w:t>.</w:t>
      </w:r>
    </w:p>
    <w:p w:rsidR="004716EF" w:rsidRPr="00067951" w:rsidRDefault="002D78A8" w:rsidP="002D78A8">
      <w:pPr>
        <w:spacing w:line="580" w:lineRule="exact"/>
        <w:ind w:firstLine="0"/>
        <w:jc w:val="lowKashida"/>
        <w:rPr>
          <w:rFonts w:ascii="Traditional Arabic" w:hAnsi="Traditional Arabic"/>
          <w:b/>
          <w:bCs/>
          <w:rtl/>
        </w:rPr>
      </w:pPr>
      <w:r>
        <w:rPr>
          <w:rFonts w:ascii="Traditional Arabic" w:hAnsi="Traditional Arabic" w:hint="cs"/>
          <w:rtl/>
        </w:rPr>
        <w:t xml:space="preserve">    </w:t>
      </w:r>
      <w:r w:rsidR="004716EF" w:rsidRPr="00070DE3">
        <w:rPr>
          <w:rFonts w:ascii="Traditional Arabic" w:hAnsi="Traditional Arabic"/>
          <w:rtl/>
        </w:rPr>
        <w:t>والأشياء</w:t>
      </w:r>
      <w:r w:rsidR="004716EF">
        <w:rPr>
          <w:rFonts w:ascii="Traditional Arabic" w:hAnsi="Traditional Arabic"/>
          <w:rtl/>
        </w:rPr>
        <w:t xml:space="preserve"> التي يجتمع فيها الحاظر والمبيح</w:t>
      </w:r>
      <w:r w:rsidR="004716EF" w:rsidRPr="00070DE3">
        <w:rPr>
          <w:rFonts w:ascii="Traditional Arabic" w:hAnsi="Traditional Arabic"/>
          <w:rtl/>
        </w:rPr>
        <w:t>، ويتجاذ</w:t>
      </w:r>
      <w:r w:rsidR="00372501">
        <w:rPr>
          <w:rFonts w:ascii="Traditional Arabic" w:hAnsi="Traditional Arabic" w:hint="cs"/>
          <w:rtl/>
        </w:rPr>
        <w:t>َ</w:t>
      </w:r>
      <w:r w:rsidR="004716EF" w:rsidRPr="00070DE3">
        <w:rPr>
          <w:rFonts w:ascii="Traditional Arabic" w:hAnsi="Traditional Arabic"/>
          <w:rtl/>
        </w:rPr>
        <w:t>ب</w:t>
      </w:r>
      <w:r w:rsidR="00372501">
        <w:rPr>
          <w:rFonts w:ascii="Traditional Arabic" w:hAnsi="Traditional Arabic" w:hint="cs"/>
          <w:rtl/>
        </w:rPr>
        <w:t>ُ</w:t>
      </w:r>
      <w:r w:rsidR="004716EF" w:rsidRPr="00070DE3">
        <w:rPr>
          <w:rFonts w:ascii="Traditional Arabic" w:hAnsi="Traditional Arabic"/>
          <w:rtl/>
        </w:rPr>
        <w:t>ها الح</w:t>
      </w:r>
      <w:r w:rsidR="004716EF" w:rsidRPr="00070DE3">
        <w:rPr>
          <w:rFonts w:ascii="Traditional Arabic" w:hAnsi="Traditional Arabic" w:hint="cs"/>
          <w:rtl/>
        </w:rPr>
        <w:t>ِ</w:t>
      </w:r>
      <w:r w:rsidR="004716EF" w:rsidRPr="00070DE3">
        <w:rPr>
          <w:rFonts w:ascii="Traditional Arabic" w:hAnsi="Traditional Arabic"/>
          <w:rtl/>
        </w:rPr>
        <w:t>ل</w:t>
      </w:r>
      <w:r w:rsidR="004716EF" w:rsidRPr="00070DE3">
        <w:rPr>
          <w:rFonts w:ascii="Traditional Arabic" w:hAnsi="Traditional Arabic" w:hint="cs"/>
          <w:rtl/>
        </w:rPr>
        <w:t>ُّ</w:t>
      </w:r>
      <w:r w:rsidR="004716EF" w:rsidRPr="00070DE3">
        <w:rPr>
          <w:rFonts w:ascii="Traditional Arabic" w:hAnsi="Traditional Arabic"/>
          <w:rtl/>
        </w:rPr>
        <w:t xml:space="preserve"> والح</w:t>
      </w:r>
      <w:r w:rsidR="004716EF" w:rsidRPr="00070DE3">
        <w:rPr>
          <w:rFonts w:ascii="Traditional Arabic" w:hAnsi="Traditional Arabic" w:hint="cs"/>
          <w:rtl/>
        </w:rPr>
        <w:t>ُ</w:t>
      </w:r>
      <w:r w:rsidR="004716EF" w:rsidRPr="00070DE3">
        <w:rPr>
          <w:rFonts w:ascii="Traditional Arabic" w:hAnsi="Traditional Arabic"/>
          <w:rtl/>
        </w:rPr>
        <w:t>ر</w:t>
      </w:r>
      <w:r w:rsidR="004716EF" w:rsidRPr="00070DE3">
        <w:rPr>
          <w:rFonts w:ascii="Traditional Arabic" w:hAnsi="Traditional Arabic" w:hint="cs"/>
          <w:rtl/>
        </w:rPr>
        <w:t>ْ</w:t>
      </w:r>
      <w:r w:rsidR="004716EF">
        <w:rPr>
          <w:rFonts w:ascii="Traditional Arabic" w:hAnsi="Traditional Arabic"/>
          <w:rtl/>
        </w:rPr>
        <w:t>مة</w:t>
      </w:r>
      <w:r w:rsidR="004716EF" w:rsidRPr="00070DE3">
        <w:rPr>
          <w:rFonts w:ascii="Traditional Arabic" w:hAnsi="Traditional Arabic"/>
          <w:rtl/>
        </w:rPr>
        <w:t>، هي من جملة المشتب</w:t>
      </w:r>
      <w:r>
        <w:rPr>
          <w:rFonts w:ascii="Traditional Arabic" w:hAnsi="Traditional Arabic" w:hint="cs"/>
          <w:rtl/>
        </w:rPr>
        <w:t>ِ</w:t>
      </w:r>
      <w:r w:rsidR="004716EF" w:rsidRPr="00070DE3">
        <w:rPr>
          <w:rFonts w:ascii="Traditional Arabic" w:hAnsi="Traditional Arabic"/>
          <w:rtl/>
        </w:rPr>
        <w:t>هات التي أمرنا الرسو</w:t>
      </w:r>
      <w:r w:rsidR="004716EF" w:rsidRPr="00070DE3">
        <w:rPr>
          <w:rFonts w:ascii="Traditional Arabic" w:hAnsi="Traditional Arabic" w:hint="cs"/>
          <w:rtl/>
        </w:rPr>
        <w:t xml:space="preserve">ل </w:t>
      </w:r>
      <w:r w:rsidR="00F350DE">
        <w:rPr>
          <w:rFonts w:ascii="Traditional Arabic" w:hAnsi="Traditional Arabic"/>
          <w:noProof w:val="0"/>
          <w:color w:val="auto"/>
          <w:rtl/>
          <w:lang w:eastAsia="en-US"/>
        </w:rPr>
        <w:sym w:font="AGA Arabesque" w:char="F072"/>
      </w:r>
      <w:r w:rsidR="004716EF" w:rsidRPr="00070DE3">
        <w:rPr>
          <w:rFonts w:ascii="Traditional Arabic" w:hAnsi="Traditional Arabic"/>
          <w:rtl/>
        </w:rPr>
        <w:t xml:space="preserve"> باجتنابها</w:t>
      </w:r>
      <w:r w:rsidR="00B76414">
        <w:rPr>
          <w:rFonts w:ascii="Traditional Arabic" w:hAnsi="Traditional Arabic"/>
          <w:rtl/>
        </w:rPr>
        <w:t>،</w:t>
      </w:r>
      <w:r w:rsidR="004716EF" w:rsidRPr="00070DE3">
        <w:rPr>
          <w:rFonts w:ascii="Traditional Arabic" w:hAnsi="Traditional Arabic"/>
          <w:rtl/>
        </w:rPr>
        <w:t xml:space="preserve"> ولا يتم ذلك إلا بتغليب جانب التحريم فيها</w:t>
      </w:r>
      <w:r w:rsidR="004716EF" w:rsidRPr="00C821A1">
        <w:rPr>
          <w:rFonts w:ascii="Traditional Arabic" w:hAnsi="Traditional Arabic"/>
          <w:szCs w:val="32"/>
          <w:vertAlign w:val="superscript"/>
          <w:rtl/>
        </w:rPr>
        <w:t>(</w:t>
      </w:r>
      <w:r w:rsidR="004716EF" w:rsidRPr="00C821A1">
        <w:rPr>
          <w:rStyle w:val="af1"/>
          <w:rFonts w:ascii="Traditional Arabic" w:hAnsi="Traditional Arabic"/>
          <w:szCs w:val="32"/>
          <w:rtl/>
        </w:rPr>
        <w:footnoteReference w:id="355"/>
      </w:r>
      <w:r w:rsidR="004716EF" w:rsidRPr="00C821A1">
        <w:rPr>
          <w:rFonts w:ascii="Traditional Arabic" w:hAnsi="Traditional Arabic"/>
          <w:szCs w:val="32"/>
          <w:vertAlign w:val="superscript"/>
          <w:rtl/>
        </w:rPr>
        <w:t>)</w:t>
      </w:r>
      <w:r w:rsidR="004716EF" w:rsidRPr="00067951">
        <w:rPr>
          <w:rFonts w:ascii="Traditional Arabic" w:hAnsi="Traditional Arabic"/>
          <w:rtl/>
        </w:rPr>
        <w:t>.</w:t>
      </w:r>
    </w:p>
    <w:p w:rsidR="004716EF" w:rsidRPr="00541168" w:rsidRDefault="00541168" w:rsidP="00541168">
      <w:pPr>
        <w:spacing w:line="580" w:lineRule="exact"/>
        <w:jc w:val="lowKashida"/>
        <w:rPr>
          <w:rFonts w:ascii="Traditional Arabic" w:hAnsi="Traditional Arabic"/>
          <w:b/>
          <w:bCs/>
          <w:rtl/>
        </w:rPr>
      </w:pPr>
      <w:r>
        <w:rPr>
          <w:rFonts w:ascii="Traditional Arabic" w:hAnsi="Traditional Arabic" w:hint="cs"/>
          <w:rtl/>
        </w:rPr>
        <w:t>(3)</w:t>
      </w:r>
      <w:r w:rsidR="004716EF" w:rsidRPr="00541168">
        <w:rPr>
          <w:rFonts w:ascii="Traditional Arabic" w:hAnsi="Traditional Arabic"/>
          <w:rtl/>
        </w:rPr>
        <w:t>حديث ع</w:t>
      </w:r>
      <w:r w:rsidR="004716EF" w:rsidRPr="00541168">
        <w:rPr>
          <w:rFonts w:ascii="Traditional Arabic" w:hAnsi="Traditional Arabic" w:hint="cs"/>
          <w:rtl/>
        </w:rPr>
        <w:t>َ</w:t>
      </w:r>
      <w:r w:rsidR="004716EF" w:rsidRPr="00541168">
        <w:rPr>
          <w:rFonts w:ascii="Traditional Arabic" w:hAnsi="Traditional Arabic"/>
          <w:rtl/>
        </w:rPr>
        <w:t>د</w:t>
      </w:r>
      <w:r w:rsidR="004716EF" w:rsidRPr="00541168">
        <w:rPr>
          <w:rFonts w:ascii="Traditional Arabic" w:hAnsi="Traditional Arabic" w:hint="cs"/>
          <w:rtl/>
        </w:rPr>
        <w:t>ِ</w:t>
      </w:r>
      <w:r w:rsidR="004716EF" w:rsidRPr="00541168">
        <w:rPr>
          <w:rFonts w:ascii="Traditional Arabic" w:hAnsi="Traditional Arabic"/>
          <w:rtl/>
        </w:rPr>
        <w:t>ي</w:t>
      </w:r>
      <w:r w:rsidR="004716EF" w:rsidRPr="00541168">
        <w:rPr>
          <w:rFonts w:ascii="Traditional Arabic" w:hAnsi="Traditional Arabic" w:hint="cs"/>
          <w:rtl/>
        </w:rPr>
        <w:t>ِّ</w:t>
      </w:r>
      <w:r w:rsidR="004716EF" w:rsidRPr="00541168">
        <w:rPr>
          <w:rFonts w:ascii="Traditional Arabic" w:hAnsi="Traditional Arabic"/>
          <w:rtl/>
        </w:rPr>
        <w:t xml:space="preserve"> بن</w:t>
      </w:r>
      <w:r w:rsidR="004716EF" w:rsidRPr="00541168">
        <w:rPr>
          <w:rFonts w:ascii="Traditional Arabic" w:hAnsi="Traditional Arabic" w:hint="cs"/>
          <w:rtl/>
        </w:rPr>
        <w:t>ِ</w:t>
      </w:r>
      <w:r w:rsidR="004716EF" w:rsidRPr="00541168">
        <w:rPr>
          <w:rFonts w:ascii="Traditional Arabic" w:hAnsi="Traditional Arabic"/>
          <w:rtl/>
        </w:rPr>
        <w:t xml:space="preserve"> حاتم</w:t>
      </w:r>
      <w:r w:rsidR="00A63630" w:rsidRPr="00541168">
        <w:rPr>
          <w:rFonts w:ascii="Traditional Arabic" w:hAnsi="Traditional Arabic" w:hint="cs"/>
          <w:rtl/>
        </w:rPr>
        <w:t xml:space="preserve"> _</w:t>
      </w:r>
      <w:r w:rsidR="00A63630" w:rsidRPr="00AA74DB">
        <w:sym w:font="AGA Arabesque" w:char="F074"/>
      </w:r>
      <w:r w:rsidR="00A63630" w:rsidRPr="00541168">
        <w:rPr>
          <w:rFonts w:ascii="Traditional Arabic" w:hAnsi="Traditional Arabic" w:hint="cs"/>
          <w:rtl/>
        </w:rPr>
        <w:t>_</w:t>
      </w:r>
      <w:r w:rsidR="004716EF" w:rsidRPr="00541168">
        <w:rPr>
          <w:rFonts w:ascii="Traditional Arabic" w:hAnsi="Traditional Arabic"/>
          <w:noProof w:val="0"/>
          <w:rtl/>
          <w:lang w:eastAsia="en-US"/>
        </w:rPr>
        <w:t>قال: قال لي رسول الله</w:t>
      </w:r>
      <w:r w:rsidR="004716EF" w:rsidRPr="00541168">
        <w:rPr>
          <w:rFonts w:ascii="Traditional Arabic" w:hAnsi="Traditional Arabic" w:hint="cs"/>
          <w:noProof w:val="0"/>
          <w:rtl/>
          <w:lang w:eastAsia="en-US"/>
        </w:rPr>
        <w:t>:</w:t>
      </w:r>
      <w:r w:rsidR="004716EF" w:rsidRPr="00541168">
        <w:rPr>
          <w:rFonts w:ascii="Traditional Arabic" w:hAnsi="Traditional Arabic"/>
          <w:noProof w:val="0"/>
          <w:rtl/>
          <w:lang w:eastAsia="en-US"/>
        </w:rPr>
        <w:t xml:space="preserve"> "إذا أرسلت </w:t>
      </w:r>
      <w:r w:rsidR="004716EF" w:rsidRPr="00541168">
        <w:rPr>
          <w:rFonts w:ascii="Traditional Arabic" w:hAnsi="Traditional Arabic" w:hint="cs"/>
          <w:noProof w:val="0"/>
          <w:rtl/>
          <w:lang w:eastAsia="en-US"/>
        </w:rPr>
        <w:t>َ</w:t>
      </w:r>
      <w:r w:rsidR="004716EF" w:rsidRPr="00541168">
        <w:rPr>
          <w:rFonts w:ascii="Traditional Arabic" w:hAnsi="Traditional Arabic"/>
          <w:noProof w:val="0"/>
          <w:rtl/>
          <w:lang w:eastAsia="en-US"/>
        </w:rPr>
        <w:t>كلبك فاذكر اسم الله</w:t>
      </w:r>
      <w:r w:rsidR="00B76414" w:rsidRPr="00541168">
        <w:rPr>
          <w:rFonts w:ascii="Traditional Arabic" w:hAnsi="Traditional Arabic"/>
          <w:noProof w:val="0"/>
          <w:rtl/>
          <w:lang w:eastAsia="en-US"/>
        </w:rPr>
        <w:t>،</w:t>
      </w:r>
      <w:r w:rsidR="00AB0B9E" w:rsidRPr="00541168">
        <w:rPr>
          <w:rFonts w:ascii="Traditional Arabic" w:hAnsi="Traditional Arabic"/>
          <w:noProof w:val="0"/>
          <w:rtl/>
          <w:lang w:eastAsia="en-US"/>
        </w:rPr>
        <w:fldChar w:fldCharType="begin"/>
      </w:r>
      <w:r w:rsidR="00F706D7" w:rsidRPr="00531753">
        <w:instrText>XE</w:instrText>
      </w:r>
      <w:r w:rsidR="00F706D7" w:rsidRPr="00531753">
        <w:rPr>
          <w:rtl/>
        </w:rPr>
        <w:instrText xml:space="preserve"> "</w:instrText>
      </w:r>
      <w:r w:rsidR="00F706D7" w:rsidRPr="00541168">
        <w:rPr>
          <w:rFonts w:ascii="Traditional Arabic" w:hAnsi="Traditional Arabic"/>
          <w:noProof w:val="0"/>
          <w:rtl/>
          <w:lang w:eastAsia="en-US"/>
        </w:rPr>
        <w:instrText>إذا أرسلت كلبك فاذكر اسم الله،</w:instrText>
      </w:r>
      <w:r w:rsidR="00F706D7" w:rsidRPr="00531753">
        <w:rPr>
          <w:rtl/>
        </w:rPr>
        <w:instrText>" \</w:instrText>
      </w:r>
      <w:r w:rsidR="00F706D7" w:rsidRPr="00531753">
        <w:instrText>fh</w:instrText>
      </w:r>
      <w:r w:rsidR="00AB0B9E" w:rsidRPr="00541168">
        <w:rPr>
          <w:rFonts w:ascii="Traditional Arabic" w:hAnsi="Traditional Arabic"/>
          <w:noProof w:val="0"/>
          <w:rtl/>
          <w:lang w:eastAsia="en-US"/>
        </w:rPr>
        <w:fldChar w:fldCharType="end"/>
      </w:r>
      <w:r w:rsidR="004716EF" w:rsidRPr="00541168">
        <w:rPr>
          <w:rFonts w:ascii="Traditional Arabic" w:hAnsi="Traditional Arabic"/>
          <w:noProof w:val="0"/>
          <w:rtl/>
          <w:lang w:eastAsia="en-US"/>
        </w:rPr>
        <w:t xml:space="preserve"> فإن أمسك عليك فأدركت</w:t>
      </w:r>
      <w:r w:rsidR="004716EF" w:rsidRPr="00541168">
        <w:rPr>
          <w:rFonts w:ascii="Traditional Arabic" w:hAnsi="Traditional Arabic" w:hint="cs"/>
          <w:noProof w:val="0"/>
          <w:rtl/>
          <w:lang w:eastAsia="en-US"/>
        </w:rPr>
        <w:t>َ</w:t>
      </w:r>
      <w:r w:rsidR="004716EF" w:rsidRPr="00541168">
        <w:rPr>
          <w:rFonts w:ascii="Traditional Arabic" w:hAnsi="Traditional Arabic"/>
          <w:noProof w:val="0"/>
          <w:rtl/>
          <w:lang w:eastAsia="en-US"/>
        </w:rPr>
        <w:t>ه حيا فاذبحه</w:t>
      </w:r>
      <w:r w:rsidR="00B76414" w:rsidRPr="00541168">
        <w:rPr>
          <w:rFonts w:ascii="Traditional Arabic" w:hAnsi="Traditional Arabic"/>
          <w:noProof w:val="0"/>
          <w:rtl/>
          <w:lang w:eastAsia="en-US"/>
        </w:rPr>
        <w:t>،</w:t>
      </w:r>
      <w:r w:rsidR="004716EF" w:rsidRPr="00541168">
        <w:rPr>
          <w:rFonts w:ascii="Traditional Arabic" w:hAnsi="Traditional Arabic"/>
          <w:noProof w:val="0"/>
          <w:rtl/>
          <w:lang w:eastAsia="en-US"/>
        </w:rPr>
        <w:t xml:space="preserve"> وإن أدركته قد ق</w:t>
      </w:r>
      <w:r w:rsidR="004716EF" w:rsidRPr="00541168">
        <w:rPr>
          <w:rFonts w:ascii="Traditional Arabic" w:hAnsi="Traditional Arabic" w:hint="cs"/>
          <w:noProof w:val="0"/>
          <w:rtl/>
          <w:lang w:eastAsia="en-US"/>
        </w:rPr>
        <w:t>ُ</w:t>
      </w:r>
      <w:r w:rsidR="004716EF" w:rsidRPr="00541168">
        <w:rPr>
          <w:rFonts w:ascii="Traditional Arabic" w:hAnsi="Traditional Arabic"/>
          <w:noProof w:val="0"/>
          <w:rtl/>
          <w:lang w:eastAsia="en-US"/>
        </w:rPr>
        <w:t>تل ولم يؤكل منه فك</w:t>
      </w:r>
      <w:r w:rsidR="004716EF" w:rsidRPr="00541168">
        <w:rPr>
          <w:rFonts w:ascii="Traditional Arabic" w:hAnsi="Traditional Arabic" w:hint="cs"/>
          <w:noProof w:val="0"/>
          <w:rtl/>
          <w:lang w:eastAsia="en-US"/>
        </w:rPr>
        <w:t>ُ</w:t>
      </w:r>
      <w:r w:rsidR="004716EF" w:rsidRPr="00541168">
        <w:rPr>
          <w:rFonts w:ascii="Traditional Arabic" w:hAnsi="Traditional Arabic"/>
          <w:noProof w:val="0"/>
          <w:rtl/>
          <w:lang w:eastAsia="en-US"/>
        </w:rPr>
        <w:t>ل</w:t>
      </w:r>
      <w:r w:rsidR="004716EF" w:rsidRPr="00541168">
        <w:rPr>
          <w:rFonts w:ascii="Traditional Arabic" w:hAnsi="Traditional Arabic" w:hint="cs"/>
          <w:noProof w:val="0"/>
          <w:rtl/>
          <w:lang w:eastAsia="en-US"/>
        </w:rPr>
        <w:t>ْ</w:t>
      </w:r>
      <w:r w:rsidR="004716EF" w:rsidRPr="00541168">
        <w:rPr>
          <w:rFonts w:ascii="Traditional Arabic" w:hAnsi="Traditional Arabic"/>
          <w:noProof w:val="0"/>
          <w:rtl/>
          <w:lang w:eastAsia="en-US"/>
        </w:rPr>
        <w:t>ه</w:t>
      </w:r>
      <w:r w:rsidR="004716EF" w:rsidRPr="00541168">
        <w:rPr>
          <w:rFonts w:ascii="Traditional Arabic" w:hAnsi="Traditional Arabic" w:hint="cs"/>
          <w:noProof w:val="0"/>
          <w:rtl/>
          <w:lang w:eastAsia="en-US"/>
        </w:rPr>
        <w:t>ُ</w:t>
      </w:r>
      <w:r w:rsidR="00B76414" w:rsidRPr="00541168">
        <w:rPr>
          <w:rFonts w:ascii="Traditional Arabic" w:hAnsi="Traditional Arabic"/>
          <w:noProof w:val="0"/>
          <w:rtl/>
          <w:lang w:eastAsia="en-US"/>
        </w:rPr>
        <w:t>،</w:t>
      </w:r>
      <w:r w:rsidR="004716EF" w:rsidRPr="00541168">
        <w:rPr>
          <w:rFonts w:ascii="Traditional Arabic" w:hAnsi="Traditional Arabic"/>
          <w:noProof w:val="0"/>
          <w:rtl/>
          <w:lang w:eastAsia="en-US"/>
        </w:rPr>
        <w:t xml:space="preserve"> وإن وجدت </w:t>
      </w:r>
      <w:r w:rsidR="004716EF" w:rsidRPr="00541168">
        <w:rPr>
          <w:rFonts w:ascii="Traditional Arabic" w:hAnsi="Traditional Arabic"/>
          <w:noProof w:val="0"/>
          <w:rtl/>
          <w:lang w:eastAsia="en-US"/>
        </w:rPr>
        <w:lastRenderedPageBreak/>
        <w:t>مع كلبك كلبا غيره وقد ق</w:t>
      </w:r>
      <w:r w:rsidR="004716EF" w:rsidRPr="00541168">
        <w:rPr>
          <w:rFonts w:ascii="Traditional Arabic" w:hAnsi="Traditional Arabic" w:hint="cs"/>
          <w:noProof w:val="0"/>
          <w:rtl/>
          <w:lang w:eastAsia="en-US"/>
        </w:rPr>
        <w:t>ُ</w:t>
      </w:r>
      <w:r w:rsidR="004716EF" w:rsidRPr="00541168">
        <w:rPr>
          <w:rFonts w:ascii="Traditional Arabic" w:hAnsi="Traditional Arabic"/>
          <w:noProof w:val="0"/>
          <w:rtl/>
          <w:lang w:eastAsia="en-US"/>
        </w:rPr>
        <w:t>تل فلا تأكل: فإنك لا تدري أيهما قت</w:t>
      </w:r>
      <w:r w:rsidR="004716EF" w:rsidRPr="00541168">
        <w:rPr>
          <w:rFonts w:ascii="Traditional Arabic" w:hAnsi="Traditional Arabic" w:hint="cs"/>
          <w:noProof w:val="0"/>
          <w:rtl/>
          <w:lang w:eastAsia="en-US"/>
        </w:rPr>
        <w:t>َ</w:t>
      </w:r>
      <w:r w:rsidR="004716EF" w:rsidRPr="00541168">
        <w:rPr>
          <w:rFonts w:ascii="Traditional Arabic" w:hAnsi="Traditional Arabic"/>
          <w:noProof w:val="0"/>
          <w:rtl/>
          <w:lang w:eastAsia="en-US"/>
        </w:rPr>
        <w:t>له</w:t>
      </w:r>
      <w:r w:rsidR="00B76414" w:rsidRPr="00541168">
        <w:rPr>
          <w:rFonts w:ascii="Traditional Arabic" w:hAnsi="Traditional Arabic"/>
          <w:noProof w:val="0"/>
          <w:rtl/>
          <w:lang w:eastAsia="en-US"/>
        </w:rPr>
        <w:t>،</w:t>
      </w:r>
      <w:r w:rsidR="004716EF" w:rsidRPr="00541168">
        <w:rPr>
          <w:rFonts w:ascii="Traditional Arabic" w:hAnsi="Traditional Arabic"/>
          <w:noProof w:val="0"/>
          <w:rtl/>
          <w:lang w:eastAsia="en-US"/>
        </w:rPr>
        <w:t xml:space="preserve"> وإن رميت سهمك فاذكر اسم الله</w:t>
      </w:r>
      <w:r w:rsidR="00B76414" w:rsidRPr="00541168">
        <w:rPr>
          <w:rFonts w:ascii="Traditional Arabic" w:hAnsi="Traditional Arabic"/>
          <w:noProof w:val="0"/>
          <w:rtl/>
          <w:lang w:eastAsia="en-US"/>
        </w:rPr>
        <w:t>،</w:t>
      </w:r>
      <w:r w:rsidR="004716EF" w:rsidRPr="00541168">
        <w:rPr>
          <w:rFonts w:ascii="Traditional Arabic" w:hAnsi="Traditional Arabic"/>
          <w:noProof w:val="0"/>
          <w:rtl/>
          <w:lang w:eastAsia="en-US"/>
        </w:rPr>
        <w:t xml:space="preserve"> فإن غاب عنك يوما</w:t>
      </w:r>
      <w:r w:rsidR="00B76414" w:rsidRPr="00541168">
        <w:rPr>
          <w:rFonts w:ascii="Traditional Arabic" w:hAnsi="Traditional Arabic"/>
          <w:noProof w:val="0"/>
          <w:rtl/>
          <w:lang w:eastAsia="en-US"/>
        </w:rPr>
        <w:t>،</w:t>
      </w:r>
      <w:r w:rsidR="004716EF" w:rsidRPr="00541168">
        <w:rPr>
          <w:rFonts w:ascii="Traditional Arabic" w:hAnsi="Traditional Arabic"/>
          <w:noProof w:val="0"/>
          <w:rtl/>
          <w:lang w:eastAsia="en-US"/>
        </w:rPr>
        <w:t xml:space="preserve"> فلم تجد فيه إلا أثر</w:t>
      </w:r>
      <w:r w:rsidR="004716EF" w:rsidRPr="00541168">
        <w:rPr>
          <w:rFonts w:ascii="Traditional Arabic" w:hAnsi="Traditional Arabic" w:hint="cs"/>
          <w:noProof w:val="0"/>
          <w:rtl/>
          <w:lang w:eastAsia="en-US"/>
        </w:rPr>
        <w:t>َ</w:t>
      </w:r>
      <w:r w:rsidR="004716EF" w:rsidRPr="00541168">
        <w:rPr>
          <w:rFonts w:ascii="Traditional Arabic" w:hAnsi="Traditional Arabic"/>
          <w:noProof w:val="0"/>
          <w:rtl/>
          <w:lang w:eastAsia="en-US"/>
        </w:rPr>
        <w:t xml:space="preserve"> سهمك</w:t>
      </w:r>
      <w:r w:rsidR="00B76414" w:rsidRPr="00541168">
        <w:rPr>
          <w:rFonts w:ascii="Traditional Arabic" w:hAnsi="Traditional Arabic"/>
          <w:noProof w:val="0"/>
          <w:rtl/>
          <w:lang w:eastAsia="en-US"/>
        </w:rPr>
        <w:t>،</w:t>
      </w:r>
      <w:r w:rsidR="004716EF" w:rsidRPr="00541168">
        <w:rPr>
          <w:rFonts w:ascii="Traditional Arabic" w:hAnsi="Traditional Arabic"/>
          <w:noProof w:val="0"/>
          <w:rtl/>
          <w:lang w:eastAsia="en-US"/>
        </w:rPr>
        <w:t xml:space="preserve"> فكل إن شئت</w:t>
      </w:r>
      <w:r w:rsidR="00B76414" w:rsidRPr="00541168">
        <w:rPr>
          <w:rFonts w:ascii="Traditional Arabic" w:hAnsi="Traditional Arabic"/>
          <w:noProof w:val="0"/>
          <w:rtl/>
          <w:lang w:eastAsia="en-US"/>
        </w:rPr>
        <w:t>،</w:t>
      </w:r>
      <w:r w:rsidR="004716EF" w:rsidRPr="00541168">
        <w:rPr>
          <w:rFonts w:ascii="Traditional Arabic" w:hAnsi="Traditional Arabic"/>
          <w:noProof w:val="0"/>
          <w:rtl/>
          <w:lang w:eastAsia="en-US"/>
        </w:rPr>
        <w:t xml:space="preserve"> وإن وجدته غريقا في الماء</w:t>
      </w:r>
      <w:r w:rsidR="00B76414" w:rsidRPr="00541168">
        <w:rPr>
          <w:rFonts w:ascii="Traditional Arabic" w:hAnsi="Traditional Arabic"/>
          <w:noProof w:val="0"/>
          <w:rtl/>
          <w:lang w:eastAsia="en-US"/>
        </w:rPr>
        <w:t>،</w:t>
      </w:r>
      <w:r w:rsidR="004716EF" w:rsidRPr="00541168">
        <w:rPr>
          <w:rFonts w:ascii="Traditional Arabic" w:hAnsi="Traditional Arabic"/>
          <w:noProof w:val="0"/>
          <w:rtl/>
          <w:lang w:eastAsia="en-US"/>
        </w:rPr>
        <w:t xml:space="preserve"> فلا تأكل</w:t>
      </w:r>
      <w:r w:rsidR="004716EF" w:rsidRPr="00541168">
        <w:rPr>
          <w:rFonts w:ascii="Traditional Arabic" w:hAnsi="Traditional Arabic"/>
          <w:rtl/>
        </w:rPr>
        <w:t>"</w:t>
      </w:r>
      <w:r w:rsidR="004716EF" w:rsidRPr="00541168">
        <w:rPr>
          <w:rFonts w:ascii="Traditional Arabic" w:hAnsi="Traditional Arabic"/>
          <w:szCs w:val="32"/>
          <w:vertAlign w:val="superscript"/>
          <w:rtl/>
        </w:rPr>
        <w:t>(</w:t>
      </w:r>
      <w:r w:rsidR="004716EF" w:rsidRPr="00C821A1">
        <w:rPr>
          <w:rStyle w:val="af1"/>
          <w:rFonts w:ascii="Traditional Arabic" w:hAnsi="Traditional Arabic"/>
          <w:szCs w:val="32"/>
          <w:rtl/>
        </w:rPr>
        <w:footnoteReference w:id="356"/>
      </w:r>
      <w:r w:rsidR="004716EF" w:rsidRPr="00541168">
        <w:rPr>
          <w:rFonts w:ascii="Traditional Arabic" w:hAnsi="Traditional Arabic"/>
          <w:szCs w:val="32"/>
          <w:vertAlign w:val="superscript"/>
          <w:rtl/>
        </w:rPr>
        <w:t>)</w:t>
      </w:r>
      <w:r w:rsidR="00B76414" w:rsidRPr="00541168">
        <w:rPr>
          <w:rFonts w:ascii="Traditional Arabic" w:hAnsi="Traditional Arabic"/>
          <w:rtl/>
        </w:rPr>
        <w:t>.</w:t>
      </w:r>
    </w:p>
    <w:p w:rsidR="00065E4B" w:rsidRDefault="004716EF" w:rsidP="00597C20">
      <w:pPr>
        <w:pStyle w:val="53"/>
        <w:rPr>
          <w:rtl/>
        </w:rPr>
      </w:pPr>
      <w:r w:rsidRPr="00AA74DB">
        <w:rPr>
          <w:rtl/>
        </w:rPr>
        <w:t>وجه الدلالة :</w:t>
      </w:r>
    </w:p>
    <w:p w:rsidR="004716EF" w:rsidRPr="00A226BD" w:rsidRDefault="002D78A8" w:rsidP="002D78A8">
      <w:pPr>
        <w:spacing w:line="580" w:lineRule="exact"/>
        <w:ind w:firstLine="0"/>
        <w:jc w:val="lowKashida"/>
        <w:rPr>
          <w:rFonts w:ascii="Traditional Arabic" w:hAnsi="Traditional Arabic"/>
          <w:rtl/>
        </w:rPr>
      </w:pPr>
      <w:r>
        <w:rPr>
          <w:rFonts w:ascii="Traditional Arabic" w:hAnsi="Traditional Arabic" w:hint="cs"/>
          <w:rtl/>
        </w:rPr>
        <w:t xml:space="preserve">    </w:t>
      </w:r>
      <w:r w:rsidR="004716EF" w:rsidRPr="00CB453B">
        <w:rPr>
          <w:rFonts w:ascii="Traditional Arabic" w:hAnsi="Traditional Arabic" w:hint="cs"/>
          <w:rtl/>
        </w:rPr>
        <w:t>في هذا الحديث الإشارة إلى</w:t>
      </w:r>
      <w:r w:rsidR="004716EF">
        <w:rPr>
          <w:rFonts w:ascii="Traditional Arabic" w:hAnsi="Traditional Arabic" w:hint="cs"/>
          <w:rtl/>
        </w:rPr>
        <w:t xml:space="preserve"> قاعدة شرعية معروفة عند العلماء: أنه إذا اجتمع مبيح وحاظر نُغَلِّب جانب الحظر، فهذا الصيد الذي قُتل ونحن لا نعلم اشترك فيه الكلبان أو انفرد به </w:t>
      </w:r>
      <w:r w:rsidR="004716EF" w:rsidRPr="00DF4155">
        <w:rPr>
          <w:rFonts w:ascii="Traditional Arabic" w:hAnsi="Traditional Arabic" w:hint="cs"/>
          <w:rtl/>
        </w:rPr>
        <w:t>أحدهما</w:t>
      </w:r>
      <w:r w:rsidR="004716EF">
        <w:rPr>
          <w:rFonts w:ascii="Traditional Arabic" w:hAnsi="Traditional Arabic" w:hint="cs"/>
          <w:noProof w:val="0"/>
          <w:rtl/>
          <w:lang w:eastAsia="en-US"/>
        </w:rPr>
        <w:t>،</w:t>
      </w:r>
      <w:r w:rsidR="00A63630">
        <w:rPr>
          <w:rFonts w:ascii="Traditional Arabic" w:hAnsi="Traditional Arabic" w:hint="cs"/>
          <w:noProof w:val="0"/>
          <w:rtl/>
          <w:lang w:eastAsia="en-US"/>
        </w:rPr>
        <w:t xml:space="preserve"> </w:t>
      </w:r>
      <w:r w:rsidR="004716EF">
        <w:rPr>
          <w:rFonts w:ascii="Traditional Arabic" w:hAnsi="Traditional Arabic" w:hint="cs"/>
          <w:noProof w:val="0"/>
          <w:rtl/>
          <w:lang w:eastAsia="en-US"/>
        </w:rPr>
        <w:t xml:space="preserve">ولهذا </w:t>
      </w:r>
      <w:r w:rsidR="004716EF" w:rsidRPr="00DF4155">
        <w:rPr>
          <w:rFonts w:ascii="Traditional Arabic" w:hAnsi="Traditional Arabic"/>
          <w:noProof w:val="0"/>
          <w:rtl/>
          <w:lang w:eastAsia="en-US"/>
        </w:rPr>
        <w:t>نهى</w:t>
      </w:r>
      <w:r w:rsidR="00273DC6">
        <w:rPr>
          <w:rFonts w:ascii="Traditional Arabic" w:hAnsi="Traditional Arabic" w:hint="cs"/>
          <w:noProof w:val="0"/>
          <w:rtl/>
          <w:lang w:eastAsia="en-US"/>
        </w:rPr>
        <w:t xml:space="preserve"> </w:t>
      </w:r>
      <w:r w:rsidR="00F350DE">
        <w:rPr>
          <w:rFonts w:ascii="Traditional Arabic" w:hAnsi="Traditional Arabic"/>
          <w:noProof w:val="0"/>
          <w:color w:val="auto"/>
          <w:rtl/>
          <w:lang w:eastAsia="en-US"/>
        </w:rPr>
        <w:sym w:font="AGA Arabesque" w:char="F072"/>
      </w:r>
      <w:r w:rsidR="004716EF" w:rsidRPr="00DF4155">
        <w:rPr>
          <w:rFonts w:ascii="Traditional Arabic" w:hAnsi="Traditional Arabic"/>
          <w:noProof w:val="0"/>
          <w:rtl/>
          <w:lang w:eastAsia="en-US"/>
        </w:rPr>
        <w:t xml:space="preserve"> عنه لاحتمال أن المؤث</w:t>
      </w:r>
      <w:r w:rsidR="004716EF">
        <w:rPr>
          <w:rFonts w:ascii="Traditional Arabic" w:hAnsi="Traditional Arabic" w:hint="cs"/>
          <w:noProof w:val="0"/>
          <w:rtl/>
          <w:lang w:eastAsia="en-US"/>
        </w:rPr>
        <w:t>ِّ</w:t>
      </w:r>
      <w:r w:rsidR="004716EF" w:rsidRPr="00DF4155">
        <w:rPr>
          <w:rFonts w:ascii="Traditional Arabic" w:hAnsi="Traditional Arabic"/>
          <w:noProof w:val="0"/>
          <w:rtl/>
          <w:lang w:eastAsia="en-US"/>
        </w:rPr>
        <w:t>ر فيه كلب آخ</w:t>
      </w:r>
      <w:r w:rsidR="004716EF">
        <w:rPr>
          <w:rFonts w:ascii="Traditional Arabic" w:hAnsi="Traditional Arabic"/>
          <w:noProof w:val="0"/>
          <w:rtl/>
          <w:lang w:eastAsia="en-US"/>
        </w:rPr>
        <w:t>ر غير</w:t>
      </w:r>
      <w:r w:rsidR="004716EF">
        <w:rPr>
          <w:rFonts w:ascii="Traditional Arabic" w:hAnsi="Traditional Arabic" w:hint="cs"/>
          <w:noProof w:val="0"/>
          <w:rtl/>
          <w:lang w:eastAsia="en-US"/>
        </w:rPr>
        <w:t>ُ</w:t>
      </w:r>
      <w:r w:rsidR="004716EF">
        <w:rPr>
          <w:rFonts w:ascii="Traditional Arabic" w:hAnsi="Traditional Arabic"/>
          <w:noProof w:val="0"/>
          <w:rtl/>
          <w:lang w:eastAsia="en-US"/>
        </w:rPr>
        <w:t xml:space="preserve"> المرس</w:t>
      </w:r>
      <w:r w:rsidR="004716EF">
        <w:rPr>
          <w:rFonts w:ascii="Traditional Arabic" w:hAnsi="Traditional Arabic" w:hint="cs"/>
          <w:noProof w:val="0"/>
          <w:rtl/>
          <w:lang w:eastAsia="en-US"/>
        </w:rPr>
        <w:t>َ</w:t>
      </w:r>
      <w:r w:rsidR="004716EF">
        <w:rPr>
          <w:rFonts w:ascii="Traditional Arabic" w:hAnsi="Traditional Arabic"/>
          <w:noProof w:val="0"/>
          <w:rtl/>
          <w:lang w:eastAsia="en-US"/>
        </w:rPr>
        <w:t>ل</w:t>
      </w:r>
      <w:r w:rsidR="004716EF">
        <w:rPr>
          <w:rFonts w:ascii="Traditional Arabic" w:hAnsi="Traditional Arabic" w:hint="cs"/>
          <w:noProof w:val="0"/>
          <w:rtl/>
          <w:lang w:eastAsia="en-US"/>
        </w:rPr>
        <w:t>،</w:t>
      </w:r>
      <w:r w:rsidR="004716EF">
        <w:rPr>
          <w:rFonts w:ascii="Traditional Arabic" w:hAnsi="Traditional Arabic"/>
          <w:noProof w:val="0"/>
          <w:rtl/>
          <w:lang w:eastAsia="en-US"/>
        </w:rPr>
        <w:t xml:space="preserve"> في</w:t>
      </w:r>
      <w:r w:rsidR="004716EF">
        <w:rPr>
          <w:rFonts w:ascii="Traditional Arabic" w:hAnsi="Traditional Arabic" w:hint="cs"/>
          <w:noProof w:val="0"/>
          <w:rtl/>
          <w:lang w:eastAsia="en-US"/>
        </w:rPr>
        <w:t>ُ</w:t>
      </w:r>
      <w:r w:rsidR="004716EF">
        <w:rPr>
          <w:rFonts w:ascii="Traditional Arabic" w:hAnsi="Traditional Arabic"/>
          <w:noProof w:val="0"/>
          <w:rtl/>
          <w:lang w:eastAsia="en-US"/>
        </w:rPr>
        <w:t>ترك ترجيحا</w:t>
      </w:r>
      <w:r w:rsidR="00A63630">
        <w:rPr>
          <w:rFonts w:ascii="Traditional Arabic" w:hAnsi="Traditional Arabic" w:hint="cs"/>
          <w:noProof w:val="0"/>
          <w:rtl/>
          <w:lang w:eastAsia="en-US"/>
        </w:rPr>
        <w:t>ً</w:t>
      </w:r>
      <w:r w:rsidR="004716EF">
        <w:rPr>
          <w:rFonts w:ascii="Traditional Arabic" w:hAnsi="Traditional Arabic"/>
          <w:noProof w:val="0"/>
          <w:rtl/>
          <w:lang w:eastAsia="en-US"/>
        </w:rPr>
        <w:t xml:space="preserve"> لج</w:t>
      </w:r>
      <w:r w:rsidR="004716EF">
        <w:rPr>
          <w:rFonts w:ascii="Traditional Arabic" w:hAnsi="Traditional Arabic" w:hint="cs"/>
          <w:noProof w:val="0"/>
          <w:rtl/>
          <w:lang w:eastAsia="en-US"/>
        </w:rPr>
        <w:t>انب</w:t>
      </w:r>
      <w:r w:rsidR="004716EF" w:rsidRPr="00DF4155">
        <w:rPr>
          <w:rFonts w:ascii="Traditional Arabic" w:hAnsi="Traditional Arabic"/>
          <w:noProof w:val="0"/>
          <w:rtl/>
          <w:lang w:eastAsia="en-US"/>
        </w:rPr>
        <w:t xml:space="preserve"> الحظر</w:t>
      </w:r>
      <w:r w:rsidR="004716EF" w:rsidRPr="00C821A1">
        <w:rPr>
          <w:rFonts w:ascii="Traditional Arabic" w:hAnsi="Traditional Arabic"/>
          <w:szCs w:val="32"/>
          <w:vertAlign w:val="superscript"/>
          <w:rtl/>
        </w:rPr>
        <w:t>(</w:t>
      </w:r>
      <w:r w:rsidR="004716EF" w:rsidRPr="00C821A1">
        <w:rPr>
          <w:rStyle w:val="af1"/>
          <w:rFonts w:ascii="Traditional Arabic" w:hAnsi="Traditional Arabic"/>
          <w:szCs w:val="32"/>
          <w:rtl/>
        </w:rPr>
        <w:footnoteReference w:id="357"/>
      </w:r>
      <w:r w:rsidR="004716EF" w:rsidRPr="00C821A1">
        <w:rPr>
          <w:rFonts w:ascii="Traditional Arabic" w:hAnsi="Traditional Arabic"/>
          <w:szCs w:val="32"/>
          <w:vertAlign w:val="superscript"/>
          <w:rtl/>
        </w:rPr>
        <w:t>)</w:t>
      </w:r>
      <w:r w:rsidR="004716EF" w:rsidRPr="00AA74DB">
        <w:rPr>
          <w:rFonts w:ascii="Traditional Arabic" w:hAnsi="Traditional Arabic"/>
          <w:rtl/>
        </w:rPr>
        <w:t>.</w:t>
      </w:r>
    </w:p>
    <w:p w:rsidR="00F228A9" w:rsidRDefault="00273DC6" w:rsidP="00A8347C">
      <w:pPr>
        <w:pStyle w:val="aff3"/>
        <w:rPr>
          <w:rtl/>
        </w:rPr>
      </w:pPr>
      <w:bookmarkStart w:id="74" w:name="_Toc334046327"/>
      <w:r>
        <w:rPr>
          <w:rFonts w:hint="cs"/>
          <w:rtl/>
        </w:rPr>
        <w:t xml:space="preserve">                 </w:t>
      </w:r>
      <w:r w:rsidR="00BE3E18">
        <w:rPr>
          <w:rFonts w:hint="cs"/>
          <w:rtl/>
        </w:rPr>
        <w:t xml:space="preserve">                       </w:t>
      </w:r>
      <w:r w:rsidR="004716EF" w:rsidRPr="00AA74DB">
        <w:rPr>
          <w:rtl/>
        </w:rPr>
        <w:t xml:space="preserve">المطلب </w:t>
      </w:r>
      <w:r w:rsidR="004716EF">
        <w:rPr>
          <w:rFonts w:hint="cs"/>
          <w:rtl/>
        </w:rPr>
        <w:t>الرابع</w:t>
      </w:r>
      <w:r w:rsidR="000A0F2E">
        <w:rPr>
          <w:rFonts w:hint="cs"/>
          <w:rtl/>
        </w:rPr>
        <w:t xml:space="preserve"> </w:t>
      </w:r>
      <w:r w:rsidR="004716EF">
        <w:rPr>
          <w:rFonts w:hint="eastAsia"/>
          <w:rtl/>
        </w:rPr>
        <w:t>:</w:t>
      </w:r>
      <w:r w:rsidR="004716EF">
        <w:rPr>
          <w:rFonts w:hint="cs"/>
          <w:rtl/>
        </w:rPr>
        <w:br/>
      </w:r>
      <w:r>
        <w:rPr>
          <w:rFonts w:hint="cs"/>
          <w:rtl/>
        </w:rPr>
        <w:t xml:space="preserve">               </w:t>
      </w:r>
      <w:r w:rsidR="00BE3E18">
        <w:rPr>
          <w:rFonts w:hint="cs"/>
          <w:rtl/>
        </w:rPr>
        <w:t xml:space="preserve">                       </w:t>
      </w:r>
      <w:r>
        <w:rPr>
          <w:rFonts w:hint="cs"/>
          <w:rtl/>
        </w:rPr>
        <w:t xml:space="preserve"> </w:t>
      </w:r>
      <w:r w:rsidR="004716EF">
        <w:rPr>
          <w:rFonts w:hint="cs"/>
          <w:rtl/>
        </w:rPr>
        <w:t>تطبيقات القاعدة</w:t>
      </w:r>
      <w:bookmarkEnd w:id="74"/>
    </w:p>
    <w:p w:rsidR="004716EF" w:rsidRPr="00541168" w:rsidRDefault="004716EF" w:rsidP="00541168">
      <w:pPr>
        <w:widowControl/>
        <w:autoSpaceDE w:val="0"/>
        <w:autoSpaceDN w:val="0"/>
        <w:adjustRightInd w:val="0"/>
        <w:jc w:val="left"/>
        <w:rPr>
          <w:rFonts w:ascii="Traditional Arabic" w:hAnsi="Traditional Arabic"/>
          <w:noProof w:val="0"/>
          <w:rtl/>
          <w:lang w:eastAsia="en-US"/>
        </w:rPr>
      </w:pPr>
      <w:r w:rsidRPr="00541168">
        <w:rPr>
          <w:rFonts w:ascii="Traditional Arabic" w:hAnsi="Traditional Arabic"/>
          <w:noProof w:val="0"/>
          <w:rtl/>
          <w:lang w:eastAsia="en-US"/>
        </w:rPr>
        <w:t>البغل، حيوان متول</w:t>
      </w:r>
      <w:r w:rsidRPr="00541168">
        <w:rPr>
          <w:rFonts w:ascii="Traditional Arabic" w:hAnsi="Traditional Arabic" w:hint="cs"/>
          <w:noProof w:val="0"/>
          <w:rtl/>
          <w:lang w:eastAsia="en-US"/>
        </w:rPr>
        <w:t>ِّ</w:t>
      </w:r>
      <w:r w:rsidRPr="00541168">
        <w:rPr>
          <w:rFonts w:ascii="Traditional Arabic" w:hAnsi="Traditional Arabic"/>
          <w:noProof w:val="0"/>
          <w:rtl/>
          <w:lang w:eastAsia="en-US"/>
        </w:rPr>
        <w:t>د بين الحمار والفر</w:t>
      </w:r>
      <w:r w:rsidRPr="00541168">
        <w:rPr>
          <w:rFonts w:ascii="Traditional Arabic" w:hAnsi="Traditional Arabic" w:hint="cs"/>
          <w:noProof w:val="0"/>
          <w:rtl/>
          <w:lang w:eastAsia="en-US"/>
        </w:rPr>
        <w:t>َ</w:t>
      </w:r>
      <w:r w:rsidRPr="00541168">
        <w:rPr>
          <w:rFonts w:ascii="Traditional Arabic" w:hAnsi="Traditional Arabic"/>
          <w:noProof w:val="0"/>
          <w:rtl/>
          <w:lang w:eastAsia="en-US"/>
        </w:rPr>
        <w:t>س، وحكمه أنه حرام</w:t>
      </w:r>
      <w:r w:rsidR="00541168">
        <w:rPr>
          <w:rFonts w:ascii="Traditional Arabic" w:hAnsi="Traditional Arabic" w:hint="cs"/>
          <w:noProof w:val="0"/>
          <w:rtl/>
          <w:lang w:eastAsia="en-US"/>
        </w:rPr>
        <w:t xml:space="preserve"> الأكل</w:t>
      </w:r>
      <w:r w:rsidRPr="00541168">
        <w:rPr>
          <w:rFonts w:ascii="Traditional Arabic" w:hAnsi="Traditional Arabic"/>
          <w:noProof w:val="0"/>
          <w:rtl/>
          <w:lang w:eastAsia="en-US"/>
        </w:rPr>
        <w:t>؛ لأنه</w:t>
      </w:r>
      <w:r w:rsidR="00A422DD" w:rsidRPr="00541168">
        <w:rPr>
          <w:rFonts w:ascii="Traditional Arabic" w:hAnsi="Traditional Arabic" w:hint="cs"/>
          <w:noProof w:val="0"/>
          <w:rtl/>
          <w:lang w:eastAsia="en-US"/>
        </w:rPr>
        <w:t xml:space="preserve"> </w:t>
      </w:r>
      <w:r w:rsidRPr="00541168">
        <w:rPr>
          <w:rFonts w:ascii="Traditional Arabic" w:hAnsi="Traditional Arabic"/>
          <w:noProof w:val="0"/>
          <w:rtl/>
          <w:lang w:eastAsia="en-US"/>
        </w:rPr>
        <w:t>متول</w:t>
      </w:r>
      <w:r w:rsidR="00A422DD" w:rsidRPr="00541168">
        <w:rPr>
          <w:rFonts w:ascii="Traditional Arabic" w:hAnsi="Traditional Arabic" w:hint="cs"/>
          <w:noProof w:val="0"/>
          <w:rtl/>
          <w:lang w:eastAsia="en-US"/>
        </w:rPr>
        <w:t>ِّ</w:t>
      </w:r>
      <w:r w:rsidRPr="00541168">
        <w:rPr>
          <w:rFonts w:ascii="Traditional Arabic" w:hAnsi="Traditional Arabic"/>
          <w:noProof w:val="0"/>
          <w:rtl/>
          <w:lang w:eastAsia="en-US"/>
        </w:rPr>
        <w:t>د من حلال وحرام على وجه</w:t>
      </w:r>
      <w:r w:rsidRPr="00541168">
        <w:rPr>
          <w:rFonts w:ascii="Traditional Arabic" w:hAnsi="Traditional Arabic" w:hint="cs"/>
          <w:noProof w:val="0"/>
          <w:rtl/>
          <w:lang w:eastAsia="en-US"/>
        </w:rPr>
        <w:t>ٍ</w:t>
      </w:r>
      <w:r w:rsidRPr="00541168">
        <w:rPr>
          <w:rFonts w:ascii="Traditional Arabic" w:hAnsi="Traditional Arabic"/>
          <w:noProof w:val="0"/>
          <w:rtl/>
          <w:lang w:eastAsia="en-US"/>
        </w:rPr>
        <w:t xml:space="preserve"> لا يتمي</w:t>
      </w:r>
      <w:r w:rsidRPr="00541168">
        <w:rPr>
          <w:rFonts w:ascii="Traditional Arabic" w:hAnsi="Traditional Arabic" w:hint="cs"/>
          <w:noProof w:val="0"/>
          <w:rtl/>
          <w:lang w:eastAsia="en-US"/>
        </w:rPr>
        <w:t>َّ</w:t>
      </w:r>
      <w:r w:rsidRPr="00541168">
        <w:rPr>
          <w:rFonts w:ascii="Traditional Arabic" w:hAnsi="Traditional Arabic"/>
          <w:noProof w:val="0"/>
          <w:rtl/>
          <w:lang w:eastAsia="en-US"/>
        </w:rPr>
        <w:t>ز</w:t>
      </w:r>
      <w:r w:rsidR="00541168">
        <w:rPr>
          <w:rFonts w:ascii="Traditional Arabic" w:hAnsi="Traditional Arabic" w:hint="cs"/>
          <w:noProof w:val="0"/>
          <w:rtl/>
          <w:lang w:eastAsia="en-US"/>
        </w:rPr>
        <w:t xml:space="preserve"> فيه الحلال من الحرام</w:t>
      </w:r>
      <w:r w:rsidR="00A422DD" w:rsidRPr="00541168">
        <w:rPr>
          <w:rFonts w:ascii="Traditional Arabic" w:hAnsi="Traditional Arabic" w:hint="cs"/>
          <w:noProof w:val="0"/>
          <w:rtl/>
          <w:lang w:eastAsia="en-US"/>
        </w:rPr>
        <w:t>،</w:t>
      </w:r>
      <w:r w:rsidRPr="00541168">
        <w:rPr>
          <w:rFonts w:ascii="Traditional Arabic" w:hAnsi="Traditional Arabic"/>
          <w:noProof w:val="0"/>
          <w:rtl/>
          <w:lang w:eastAsia="en-US"/>
        </w:rPr>
        <w:t xml:space="preserve"> فغُل</w:t>
      </w:r>
      <w:r w:rsidRPr="00541168">
        <w:rPr>
          <w:rFonts w:ascii="Traditional Arabic" w:hAnsi="Traditional Arabic" w:hint="cs"/>
          <w:noProof w:val="0"/>
          <w:rtl/>
          <w:lang w:eastAsia="en-US"/>
        </w:rPr>
        <w:t>ِّ</w:t>
      </w:r>
      <w:r w:rsidRPr="00541168">
        <w:rPr>
          <w:rFonts w:ascii="Traditional Arabic" w:hAnsi="Traditional Arabic"/>
          <w:noProof w:val="0"/>
          <w:rtl/>
          <w:lang w:eastAsia="en-US"/>
        </w:rPr>
        <w:t>بَ جانب</w:t>
      </w:r>
      <w:r w:rsidRPr="00541168">
        <w:rPr>
          <w:rFonts w:ascii="Traditional Arabic" w:hAnsi="Traditional Arabic" w:hint="cs"/>
          <w:noProof w:val="0"/>
          <w:rtl/>
          <w:lang w:eastAsia="en-US"/>
        </w:rPr>
        <w:t>ُ</w:t>
      </w:r>
      <w:r w:rsidRPr="00541168">
        <w:rPr>
          <w:rFonts w:ascii="Traditional Arabic" w:hAnsi="Traditional Arabic"/>
          <w:noProof w:val="0"/>
          <w:rtl/>
          <w:lang w:eastAsia="en-US"/>
        </w:rPr>
        <w:t xml:space="preserve"> التحريم</w:t>
      </w:r>
      <w:r w:rsidRPr="00541168">
        <w:rPr>
          <w:rStyle w:val="af1"/>
          <w:szCs w:val="32"/>
          <w:rtl/>
        </w:rPr>
        <w:t>(</w:t>
      </w:r>
      <w:r w:rsidRPr="00C821A1">
        <w:rPr>
          <w:rStyle w:val="af1"/>
          <w:szCs w:val="32"/>
          <w:rtl/>
        </w:rPr>
        <w:footnoteReference w:id="358"/>
      </w:r>
      <w:r w:rsidRPr="00541168">
        <w:rPr>
          <w:rStyle w:val="af1"/>
          <w:szCs w:val="32"/>
          <w:rtl/>
        </w:rPr>
        <w:t>)</w:t>
      </w:r>
      <w:r w:rsidRPr="00541168">
        <w:rPr>
          <w:rFonts w:ascii="Traditional Arabic" w:hAnsi="Traditional Arabic"/>
          <w:noProof w:val="0"/>
          <w:rtl/>
          <w:lang w:eastAsia="en-US"/>
        </w:rPr>
        <w:t>.</w:t>
      </w:r>
    </w:p>
    <w:p w:rsidR="00065E4B" w:rsidRDefault="004716EF" w:rsidP="00597C20">
      <w:pPr>
        <w:pStyle w:val="53"/>
        <w:rPr>
          <w:rtl/>
        </w:rPr>
      </w:pPr>
      <w:r>
        <w:rPr>
          <w:rFonts w:hint="cs"/>
          <w:rtl/>
        </w:rPr>
        <w:lastRenderedPageBreak/>
        <w:t>وجه اندراج الفرع تحت القاعدة:</w:t>
      </w:r>
    </w:p>
    <w:p w:rsidR="00F228A9" w:rsidRPr="00EA5B46" w:rsidRDefault="00065E4B" w:rsidP="00597C20">
      <w:pPr>
        <w:widowControl/>
        <w:autoSpaceDE w:val="0"/>
        <w:autoSpaceDN w:val="0"/>
        <w:adjustRightInd w:val="0"/>
        <w:ind w:firstLine="720"/>
        <w:rPr>
          <w:rFonts w:ascii="Traditional Arabic" w:hAnsi="Traditional Arabic"/>
          <w:noProof w:val="0"/>
          <w:rtl/>
          <w:lang w:eastAsia="en-US"/>
        </w:rPr>
      </w:pPr>
      <w:r w:rsidRPr="00EA5B46">
        <w:rPr>
          <w:rFonts w:ascii="Traditional Arabic" w:hAnsi="Traditional Arabic"/>
          <w:noProof w:val="0"/>
          <w:rtl/>
          <w:lang w:eastAsia="en-US"/>
        </w:rPr>
        <w:t>إ</w:t>
      </w:r>
      <w:r w:rsidR="004716EF" w:rsidRPr="00EA5B46">
        <w:rPr>
          <w:rFonts w:ascii="Traditional Arabic" w:hAnsi="Traditional Arabic"/>
          <w:noProof w:val="0"/>
          <w:rtl/>
          <w:lang w:eastAsia="en-US"/>
        </w:rPr>
        <w:t>ذا اجتمع موجب التحليل والتحريم على وجه</w:t>
      </w:r>
      <w:r w:rsidR="004716EF">
        <w:rPr>
          <w:rFonts w:ascii="Traditional Arabic" w:hAnsi="Traditional Arabic" w:hint="cs"/>
          <w:noProof w:val="0"/>
          <w:rtl/>
          <w:lang w:eastAsia="en-US"/>
        </w:rPr>
        <w:t>ٍ</w:t>
      </w:r>
      <w:r w:rsidR="004716EF" w:rsidRPr="00EA5B46">
        <w:rPr>
          <w:rFonts w:ascii="Traditional Arabic" w:hAnsi="Traditional Arabic"/>
          <w:noProof w:val="0"/>
          <w:rtl/>
          <w:lang w:eastAsia="en-US"/>
        </w:rPr>
        <w:t xml:space="preserve"> لا تمييز</w:t>
      </w:r>
      <w:r w:rsidR="004716EF">
        <w:rPr>
          <w:rFonts w:ascii="Traditional Arabic" w:hAnsi="Traditional Arabic" w:hint="cs"/>
          <w:noProof w:val="0"/>
          <w:rtl/>
          <w:lang w:eastAsia="en-US"/>
        </w:rPr>
        <w:t>َ</w:t>
      </w:r>
      <w:r w:rsidR="004716EF" w:rsidRPr="00EA5B46">
        <w:rPr>
          <w:rFonts w:ascii="Traditional Arabic" w:hAnsi="Traditional Arabic"/>
          <w:noProof w:val="0"/>
          <w:rtl/>
          <w:lang w:eastAsia="en-US"/>
        </w:rPr>
        <w:t xml:space="preserve"> بينهما غ</w:t>
      </w:r>
      <w:r w:rsidR="004716EF">
        <w:rPr>
          <w:rFonts w:ascii="Traditional Arabic" w:hAnsi="Traditional Arabic" w:hint="cs"/>
          <w:noProof w:val="0"/>
          <w:rtl/>
          <w:lang w:eastAsia="en-US"/>
        </w:rPr>
        <w:t>ُ</w:t>
      </w:r>
      <w:r w:rsidR="004716EF" w:rsidRPr="00EA5B46">
        <w:rPr>
          <w:rFonts w:ascii="Traditional Arabic" w:hAnsi="Traditional Arabic"/>
          <w:noProof w:val="0"/>
          <w:rtl/>
          <w:lang w:eastAsia="en-US"/>
        </w:rPr>
        <w:t>ل</w:t>
      </w:r>
      <w:r w:rsidR="004716EF">
        <w:rPr>
          <w:rFonts w:ascii="Traditional Arabic" w:hAnsi="Traditional Arabic" w:hint="cs"/>
          <w:noProof w:val="0"/>
          <w:rtl/>
          <w:lang w:eastAsia="en-US"/>
        </w:rPr>
        <w:t>ِّ</w:t>
      </w:r>
      <w:r w:rsidR="004716EF" w:rsidRPr="00EA5B46">
        <w:rPr>
          <w:rFonts w:ascii="Traditional Arabic" w:hAnsi="Traditional Arabic"/>
          <w:noProof w:val="0"/>
          <w:rtl/>
          <w:lang w:eastAsia="en-US"/>
        </w:rPr>
        <w:t>ب جانب التحريم؛</w:t>
      </w:r>
      <w:r w:rsidR="00541168">
        <w:rPr>
          <w:rFonts w:ascii="Traditional Arabic" w:hAnsi="Traditional Arabic" w:hint="cs"/>
          <w:noProof w:val="0"/>
          <w:rtl/>
          <w:lang w:eastAsia="en-US"/>
        </w:rPr>
        <w:t xml:space="preserve"> </w:t>
      </w:r>
      <w:r>
        <w:rPr>
          <w:rFonts w:ascii="Traditional Arabic" w:hAnsi="Traditional Arabic" w:hint="cs"/>
          <w:noProof w:val="0"/>
          <w:color w:val="auto"/>
          <w:rtl/>
          <w:lang w:eastAsia="en-US"/>
        </w:rPr>
        <w:t>و</w:t>
      </w:r>
      <w:r w:rsidR="004716EF">
        <w:rPr>
          <w:rFonts w:ascii="Traditional Arabic" w:hAnsi="Traditional Arabic" w:hint="cs"/>
          <w:noProof w:val="0"/>
          <w:color w:val="auto"/>
          <w:rtl/>
          <w:lang w:eastAsia="en-US"/>
        </w:rPr>
        <w:t>هذا</w:t>
      </w:r>
      <w:r w:rsidR="004716EF" w:rsidRPr="00690887">
        <w:rPr>
          <w:rFonts w:ascii="Traditional Arabic" w:hAnsi="Traditional Arabic"/>
          <w:noProof w:val="0"/>
          <w:color w:val="auto"/>
          <w:rtl/>
          <w:lang w:eastAsia="en-US"/>
        </w:rPr>
        <w:t xml:space="preserve"> البغل خ</w:t>
      </w:r>
      <w:r w:rsidR="00541168">
        <w:rPr>
          <w:rFonts w:ascii="Traditional Arabic" w:hAnsi="Traditional Arabic"/>
          <w:noProof w:val="0"/>
          <w:color w:val="auto"/>
          <w:rtl/>
          <w:lang w:eastAsia="en-US"/>
        </w:rPr>
        <w:t>ُلِقَ من الفرس والحمار الأهليِّ</w:t>
      </w:r>
      <w:r w:rsidR="004716EF" w:rsidRPr="00690887">
        <w:rPr>
          <w:rFonts w:ascii="Traditional Arabic" w:hAnsi="Traditional Arabic"/>
          <w:noProof w:val="0"/>
          <w:color w:val="auto"/>
          <w:rtl/>
          <w:lang w:eastAsia="en-US"/>
        </w:rPr>
        <w:t xml:space="preserve"> على وجه</w:t>
      </w:r>
      <w:r w:rsidR="004716EF">
        <w:rPr>
          <w:rFonts w:ascii="Traditional Arabic" w:hAnsi="Traditional Arabic" w:hint="cs"/>
          <w:noProof w:val="0"/>
          <w:color w:val="auto"/>
          <w:rtl/>
          <w:lang w:eastAsia="en-US"/>
        </w:rPr>
        <w:t>ٍ</w:t>
      </w:r>
      <w:r w:rsidR="004716EF" w:rsidRPr="00690887">
        <w:rPr>
          <w:rFonts w:ascii="Traditional Arabic" w:hAnsi="Traditional Arabic"/>
          <w:noProof w:val="0"/>
          <w:color w:val="auto"/>
          <w:rtl/>
          <w:lang w:eastAsia="en-US"/>
        </w:rPr>
        <w:t xml:space="preserve"> لا يتميَّز به أحد</w:t>
      </w:r>
      <w:r w:rsidR="004716EF">
        <w:rPr>
          <w:rFonts w:ascii="Traditional Arabic" w:hAnsi="Traditional Arabic" w:hint="cs"/>
          <w:noProof w:val="0"/>
          <w:color w:val="auto"/>
          <w:rtl/>
          <w:lang w:eastAsia="en-US"/>
        </w:rPr>
        <w:t>ُ</w:t>
      </w:r>
      <w:r w:rsidR="004716EF">
        <w:rPr>
          <w:rFonts w:ascii="Traditional Arabic" w:hAnsi="Traditional Arabic"/>
          <w:noProof w:val="0"/>
          <w:color w:val="auto"/>
          <w:rtl/>
          <w:lang w:eastAsia="en-US"/>
        </w:rPr>
        <w:t xml:space="preserve">هما عن الآخر؛ </w:t>
      </w:r>
      <w:r w:rsidR="004716EF">
        <w:rPr>
          <w:rFonts w:ascii="Traditional Arabic" w:hAnsi="Traditional Arabic" w:hint="cs"/>
          <w:noProof w:val="0"/>
          <w:color w:val="auto"/>
          <w:rtl/>
          <w:lang w:eastAsia="en-US"/>
        </w:rPr>
        <w:t xml:space="preserve">وحيث إنه </w:t>
      </w:r>
      <w:r w:rsidR="004716EF" w:rsidRPr="00690887">
        <w:rPr>
          <w:rFonts w:ascii="Traditional Arabic" w:hAnsi="Traditional Arabic"/>
          <w:noProof w:val="0"/>
          <w:color w:val="auto"/>
          <w:rtl/>
          <w:lang w:eastAsia="en-US"/>
        </w:rPr>
        <w:t>لا يمكن اجتناب الحرام</w:t>
      </w:r>
      <w:r w:rsidR="004716EF">
        <w:rPr>
          <w:rFonts w:ascii="Traditional Arabic" w:hAnsi="Traditional Arabic" w:hint="cs"/>
          <w:noProof w:val="0"/>
          <w:color w:val="auto"/>
          <w:rtl/>
          <w:lang w:eastAsia="en-US"/>
        </w:rPr>
        <w:t xml:space="preserve"> في مثل هذه الحال</w:t>
      </w:r>
      <w:r w:rsidR="004716EF" w:rsidRPr="00690887">
        <w:rPr>
          <w:rFonts w:ascii="Traditional Arabic" w:hAnsi="Traditional Arabic"/>
          <w:noProof w:val="0"/>
          <w:color w:val="auto"/>
          <w:rtl/>
          <w:lang w:eastAsia="en-US"/>
        </w:rPr>
        <w:t xml:space="preserve"> إِلا باجتناب الحلال</w:t>
      </w:r>
      <w:r w:rsidR="004716EF">
        <w:rPr>
          <w:rFonts w:ascii="Traditional Arabic" w:hAnsi="Traditional Arabic" w:hint="cs"/>
          <w:b/>
          <w:bCs/>
          <w:noProof w:val="0"/>
          <w:sz w:val="44"/>
          <w:szCs w:val="44"/>
          <w:rtl/>
          <w:lang w:eastAsia="en-US"/>
        </w:rPr>
        <w:t xml:space="preserve">؛ </w:t>
      </w:r>
      <w:r w:rsidR="004716EF" w:rsidRPr="00690887">
        <w:rPr>
          <w:rFonts w:ascii="Traditional Arabic" w:hAnsi="Traditional Arabic"/>
          <w:noProof w:val="0"/>
          <w:color w:val="auto"/>
          <w:rtl/>
          <w:lang w:eastAsia="en-US"/>
        </w:rPr>
        <w:t>غ</w:t>
      </w:r>
      <w:r w:rsidR="004716EF">
        <w:rPr>
          <w:rFonts w:ascii="Traditional Arabic" w:hAnsi="Traditional Arabic" w:hint="cs"/>
          <w:noProof w:val="0"/>
          <w:color w:val="auto"/>
          <w:rtl/>
          <w:lang w:eastAsia="en-US"/>
        </w:rPr>
        <w:t>ُ</w:t>
      </w:r>
      <w:r w:rsidR="004716EF">
        <w:rPr>
          <w:rFonts w:ascii="Traditional Arabic" w:hAnsi="Traditional Arabic"/>
          <w:noProof w:val="0"/>
          <w:color w:val="auto"/>
          <w:rtl/>
          <w:lang w:eastAsia="en-US"/>
        </w:rPr>
        <w:t>ل</w:t>
      </w:r>
      <w:r w:rsidR="004716EF">
        <w:rPr>
          <w:rFonts w:ascii="Traditional Arabic" w:hAnsi="Traditional Arabic" w:hint="cs"/>
          <w:noProof w:val="0"/>
          <w:color w:val="auto"/>
          <w:rtl/>
          <w:lang w:eastAsia="en-US"/>
        </w:rPr>
        <w:t>ِّ</w:t>
      </w:r>
      <w:r w:rsidR="004716EF">
        <w:rPr>
          <w:rFonts w:ascii="Traditional Arabic" w:hAnsi="Traditional Arabic"/>
          <w:noProof w:val="0"/>
          <w:color w:val="auto"/>
          <w:rtl/>
          <w:lang w:eastAsia="en-US"/>
        </w:rPr>
        <w:t>ب جانب الحظر</w:t>
      </w:r>
      <w:r w:rsidR="004716EF" w:rsidRPr="00C821A1">
        <w:rPr>
          <w:rStyle w:val="af1"/>
          <w:szCs w:val="32"/>
          <w:rtl/>
        </w:rPr>
        <w:t>(</w:t>
      </w:r>
      <w:r w:rsidR="004716EF" w:rsidRPr="00C821A1">
        <w:rPr>
          <w:rStyle w:val="af1"/>
          <w:szCs w:val="32"/>
          <w:rtl/>
        </w:rPr>
        <w:footnoteReference w:id="359"/>
      </w:r>
      <w:r w:rsidR="004716EF" w:rsidRPr="00C821A1">
        <w:rPr>
          <w:rStyle w:val="af1"/>
          <w:szCs w:val="32"/>
          <w:rtl/>
        </w:rPr>
        <w:t>)</w:t>
      </w:r>
      <w:r w:rsidR="004716EF">
        <w:rPr>
          <w:rFonts w:ascii="Traditional Arabic" w:hAnsi="Traditional Arabic" w:hint="cs"/>
          <w:noProof w:val="0"/>
          <w:color w:val="auto"/>
          <w:rtl/>
          <w:lang w:eastAsia="en-US"/>
        </w:rPr>
        <w:t>.</w:t>
      </w:r>
    </w:p>
    <w:p w:rsidR="004716EF" w:rsidRPr="00AA74DB" w:rsidRDefault="00273DC6" w:rsidP="00A8347C">
      <w:pPr>
        <w:pStyle w:val="aff3"/>
        <w:rPr>
          <w:rtl/>
        </w:rPr>
      </w:pPr>
      <w:bookmarkStart w:id="75" w:name="_Toc334046328"/>
      <w:r>
        <w:rPr>
          <w:rFonts w:hint="cs"/>
          <w:rtl/>
        </w:rPr>
        <w:t xml:space="preserve"> </w:t>
      </w:r>
      <w:r w:rsidR="00A422DD">
        <w:rPr>
          <w:rFonts w:hint="cs"/>
          <w:rtl/>
        </w:rPr>
        <w:t xml:space="preserve">                  </w:t>
      </w:r>
      <w:r w:rsidR="000A0F2E">
        <w:rPr>
          <w:rFonts w:hint="cs"/>
          <w:rtl/>
        </w:rPr>
        <w:t xml:space="preserve">                   </w:t>
      </w:r>
      <w:r w:rsidR="004716EF" w:rsidRPr="00AA74DB">
        <w:rPr>
          <w:rtl/>
        </w:rPr>
        <w:t xml:space="preserve">المطلب </w:t>
      </w:r>
      <w:r w:rsidR="004716EF" w:rsidRPr="00913B9E">
        <w:rPr>
          <w:rtl/>
        </w:rPr>
        <w:t>الخامس</w:t>
      </w:r>
      <w:r w:rsidR="00913B9E">
        <w:rPr>
          <w:rFonts w:hint="cs"/>
          <w:rtl/>
        </w:rPr>
        <w:t> :</w:t>
      </w:r>
      <w:r w:rsidR="00913B9E">
        <w:rPr>
          <w:rFonts w:hint="cs"/>
          <w:rtl/>
        </w:rPr>
        <w:br/>
      </w:r>
      <w:r w:rsidR="00A422DD">
        <w:rPr>
          <w:rFonts w:hint="cs"/>
          <w:rtl/>
        </w:rPr>
        <w:t xml:space="preserve">                  </w:t>
      </w:r>
      <w:r w:rsidR="00BE3E18">
        <w:rPr>
          <w:rFonts w:hint="cs"/>
          <w:rtl/>
        </w:rPr>
        <w:t xml:space="preserve">           </w:t>
      </w:r>
      <w:r w:rsidR="000A0F2E">
        <w:rPr>
          <w:rFonts w:hint="cs"/>
          <w:rtl/>
        </w:rPr>
        <w:t xml:space="preserve">      </w:t>
      </w:r>
      <w:r w:rsidR="004716EF" w:rsidRPr="00AA74DB">
        <w:rPr>
          <w:rtl/>
        </w:rPr>
        <w:t>مســـتثنيات القاعــــــــــــــدة</w:t>
      </w:r>
      <w:bookmarkEnd w:id="75"/>
    </w:p>
    <w:p w:rsidR="00F228A9" w:rsidRPr="00AA74DB" w:rsidRDefault="004716EF" w:rsidP="00597C20">
      <w:pPr>
        <w:spacing w:line="640" w:lineRule="exact"/>
        <w:jc w:val="lowKashida"/>
        <w:rPr>
          <w:rFonts w:ascii="Traditional Arabic" w:hAnsi="Traditional Arabic"/>
          <w:rtl/>
        </w:rPr>
      </w:pPr>
      <w:r w:rsidRPr="00AA74DB">
        <w:rPr>
          <w:rFonts w:ascii="Traditional Arabic" w:hAnsi="Traditional Arabic"/>
          <w:rtl/>
        </w:rPr>
        <w:t>يقول الشيخ ابن عثيمين</w:t>
      </w:r>
      <w:r w:rsidR="002D78A8">
        <w:rPr>
          <w:rFonts w:ascii="Traditional Arabic" w:hAnsi="Traditional Arabic" w:hint="cs"/>
          <w:rtl/>
        </w:rPr>
        <w:t>_</w:t>
      </w:r>
      <w:r w:rsidR="009A0575" w:rsidRPr="005D5694">
        <w:rPr>
          <w:rFonts w:ascii="Traditional Arabic" w:hAnsi="Traditional Arabic" w:cs="CTraditional Arabic" w:hint="cs"/>
          <w:rtl/>
        </w:rPr>
        <w:t>/</w:t>
      </w:r>
      <w:r w:rsidR="002D78A8">
        <w:rPr>
          <w:rFonts w:ascii="Traditional Arabic" w:hAnsi="Traditional Arabic" w:hint="cs"/>
          <w:rtl/>
        </w:rPr>
        <w:t>_</w:t>
      </w:r>
      <w:r w:rsidRPr="00AA74DB">
        <w:rPr>
          <w:rFonts w:ascii="Traditional Arabic" w:hAnsi="Traditional Arabic"/>
          <w:rtl/>
        </w:rPr>
        <w:t>:</w:t>
      </w:r>
    </w:p>
    <w:p w:rsidR="00F228A9" w:rsidRPr="00AA74DB" w:rsidRDefault="004716EF" w:rsidP="00597C20">
      <w:pPr>
        <w:spacing w:line="640" w:lineRule="exact"/>
        <w:jc w:val="lowKashida"/>
        <w:rPr>
          <w:rFonts w:ascii="Traditional Arabic" w:hAnsi="Traditional Arabic"/>
          <w:rtl/>
        </w:rPr>
      </w:pPr>
      <w:r w:rsidRPr="00AA74DB">
        <w:rPr>
          <w:rFonts w:ascii="Traditional Arabic" w:hAnsi="Traditional Arabic"/>
          <w:rtl/>
        </w:rPr>
        <w:t>(خرج عن القاعدة مسائل :</w:t>
      </w:r>
    </w:p>
    <w:p w:rsidR="004716EF" w:rsidRPr="00AA74DB" w:rsidRDefault="004716EF" w:rsidP="00597C20">
      <w:pPr>
        <w:spacing w:line="640" w:lineRule="exact"/>
        <w:ind w:firstLine="720"/>
        <w:jc w:val="lowKashida"/>
        <w:rPr>
          <w:rFonts w:ascii="Traditional Arabic" w:hAnsi="Traditional Arabic"/>
          <w:rtl/>
        </w:rPr>
      </w:pPr>
      <w:r w:rsidRPr="00AA74DB">
        <w:rPr>
          <w:rFonts w:ascii="Traditional Arabic" w:hAnsi="Traditional Arabic"/>
          <w:rtl/>
        </w:rPr>
        <w:t>منهــا : عورة الخنثى في الصلاة</w:t>
      </w:r>
      <w:r w:rsidR="00B76414">
        <w:rPr>
          <w:rFonts w:ascii="Traditional Arabic" w:hAnsi="Traditional Arabic"/>
          <w:rtl/>
        </w:rPr>
        <w:t>،</w:t>
      </w:r>
      <w:r w:rsidRPr="00AA74DB">
        <w:rPr>
          <w:rFonts w:ascii="Traditional Arabic" w:hAnsi="Traditional Arabic"/>
          <w:rtl/>
        </w:rPr>
        <w:t xml:space="preserve"> أ</w:t>
      </w:r>
      <w:r>
        <w:rPr>
          <w:rFonts w:ascii="Traditional Arabic" w:hAnsi="Traditional Arabic" w:hint="cs"/>
          <w:rtl/>
        </w:rPr>
        <w:t>َ</w:t>
      </w:r>
      <w:r w:rsidRPr="00AA74DB">
        <w:rPr>
          <w:rFonts w:ascii="Traditional Arabic" w:hAnsi="Traditional Arabic"/>
          <w:rtl/>
        </w:rPr>
        <w:t>ل</w:t>
      </w:r>
      <w:r>
        <w:rPr>
          <w:rFonts w:ascii="Traditional Arabic" w:hAnsi="Traditional Arabic" w:hint="cs"/>
          <w:rtl/>
        </w:rPr>
        <w:t>ْ</w:t>
      </w:r>
      <w:r w:rsidRPr="00AA74DB">
        <w:rPr>
          <w:rFonts w:ascii="Traditional Arabic" w:hAnsi="Traditional Arabic"/>
          <w:rtl/>
        </w:rPr>
        <w:t>ح</w:t>
      </w:r>
      <w:r>
        <w:rPr>
          <w:rFonts w:ascii="Traditional Arabic" w:hAnsi="Traditional Arabic" w:hint="cs"/>
          <w:rtl/>
        </w:rPr>
        <w:t>َ</w:t>
      </w:r>
      <w:r w:rsidRPr="00AA74DB">
        <w:rPr>
          <w:rFonts w:ascii="Traditional Arabic" w:hAnsi="Traditional Arabic"/>
          <w:rtl/>
        </w:rPr>
        <w:t>قوها بالذك</w:t>
      </w:r>
      <w:r w:rsidR="00541168">
        <w:rPr>
          <w:rFonts w:ascii="Traditional Arabic" w:hAnsi="Traditional Arabic" w:hint="cs"/>
          <w:rtl/>
        </w:rPr>
        <w:t>َ</w:t>
      </w:r>
      <w:r w:rsidRPr="00AA74DB">
        <w:rPr>
          <w:rFonts w:ascii="Traditional Arabic" w:hAnsi="Traditional Arabic"/>
          <w:rtl/>
        </w:rPr>
        <w:t>ر</w:t>
      </w:r>
      <w:r w:rsidR="00B76414">
        <w:rPr>
          <w:rFonts w:ascii="Traditional Arabic" w:hAnsi="Traditional Arabic"/>
          <w:rtl/>
        </w:rPr>
        <w:t>.</w:t>
      </w:r>
    </w:p>
    <w:p w:rsidR="004716EF" w:rsidRPr="00AA74DB" w:rsidRDefault="004716EF" w:rsidP="00597C20">
      <w:pPr>
        <w:spacing w:line="640" w:lineRule="exact"/>
        <w:ind w:firstLine="720"/>
        <w:jc w:val="lowKashida"/>
        <w:rPr>
          <w:rFonts w:ascii="Traditional Arabic" w:hAnsi="Traditional Arabic"/>
          <w:rtl/>
        </w:rPr>
      </w:pPr>
      <w:r w:rsidRPr="00AA74DB">
        <w:rPr>
          <w:rFonts w:ascii="Traditional Arabic" w:hAnsi="Traditional Arabic"/>
          <w:rtl/>
        </w:rPr>
        <w:t>ومنها : الحرير المساوي ما معه</w:t>
      </w:r>
      <w:r w:rsidR="00B76414">
        <w:rPr>
          <w:rFonts w:ascii="Traditional Arabic" w:hAnsi="Traditional Arabic"/>
          <w:rtl/>
        </w:rPr>
        <w:t>،</w:t>
      </w:r>
      <w:r w:rsidRPr="00AA74DB">
        <w:rPr>
          <w:rFonts w:ascii="Traditional Arabic" w:hAnsi="Traditional Arabic"/>
          <w:rtl/>
        </w:rPr>
        <w:t xml:space="preserve"> ألح</w:t>
      </w:r>
      <w:r w:rsidR="002D78A8">
        <w:rPr>
          <w:rFonts w:ascii="Traditional Arabic" w:hAnsi="Traditional Arabic" w:hint="cs"/>
          <w:rtl/>
        </w:rPr>
        <w:t>َ</w:t>
      </w:r>
      <w:r w:rsidRPr="00AA74DB">
        <w:rPr>
          <w:rFonts w:ascii="Traditional Arabic" w:hAnsi="Traditional Arabic"/>
          <w:rtl/>
        </w:rPr>
        <w:t>ق</w:t>
      </w:r>
      <w:r w:rsidR="002D78A8">
        <w:rPr>
          <w:rFonts w:ascii="Traditional Arabic" w:hAnsi="Traditional Arabic" w:hint="cs"/>
          <w:rtl/>
        </w:rPr>
        <w:t>ُ</w:t>
      </w:r>
      <w:r w:rsidRPr="00AA74DB">
        <w:rPr>
          <w:rFonts w:ascii="Traditional Arabic" w:hAnsi="Traditional Arabic"/>
          <w:rtl/>
        </w:rPr>
        <w:t>وه بالمباح)</w:t>
      </w:r>
      <w:r w:rsidR="00541168" w:rsidRPr="00541168">
        <w:rPr>
          <w:rFonts w:ascii="Traditional Arabic" w:hAnsi="Traditional Arabic" w:hint="cs"/>
          <w:vertAlign w:val="superscript"/>
          <w:rtl/>
        </w:rPr>
        <w:t>(</w:t>
      </w:r>
      <w:r w:rsidR="00541168" w:rsidRPr="00541168">
        <w:rPr>
          <w:rStyle w:val="af1"/>
          <w:rFonts w:ascii="Traditional Arabic" w:hAnsi="Traditional Arabic"/>
          <w:rtl/>
        </w:rPr>
        <w:footnoteReference w:id="360"/>
      </w:r>
      <w:r w:rsidR="00541168" w:rsidRPr="00541168">
        <w:rPr>
          <w:rFonts w:ascii="Traditional Arabic" w:hAnsi="Traditional Arabic" w:hint="cs"/>
          <w:vertAlign w:val="superscript"/>
          <w:rtl/>
        </w:rPr>
        <w:t>)</w:t>
      </w:r>
      <w:r w:rsidR="00B76414">
        <w:rPr>
          <w:rFonts w:ascii="Traditional Arabic" w:hAnsi="Traditional Arabic"/>
          <w:rtl/>
        </w:rPr>
        <w:t>.</w:t>
      </w:r>
    </w:p>
    <w:p w:rsidR="004716EF" w:rsidRPr="00AA74DB" w:rsidRDefault="004716EF" w:rsidP="00597C20">
      <w:pPr>
        <w:spacing w:line="640" w:lineRule="exact"/>
        <w:ind w:firstLine="720"/>
        <w:jc w:val="lowKashida"/>
        <w:rPr>
          <w:rFonts w:ascii="Traditional Arabic" w:hAnsi="Traditional Arabic"/>
          <w:rtl/>
        </w:rPr>
      </w:pPr>
      <w:r w:rsidRPr="00AA74DB">
        <w:rPr>
          <w:rFonts w:ascii="Traditional Arabic" w:hAnsi="Traditional Arabic"/>
          <w:rtl/>
        </w:rPr>
        <w:t>وعلَّ</w:t>
      </w:r>
      <w:r>
        <w:rPr>
          <w:rFonts w:ascii="Traditional Arabic" w:hAnsi="Traditional Arabic"/>
          <w:rtl/>
        </w:rPr>
        <w:t xml:space="preserve">ل الشيخ ابن عثيمين </w:t>
      </w:r>
      <w:r w:rsidR="002D78A8">
        <w:rPr>
          <w:rFonts w:ascii="Traditional Arabic" w:hAnsi="Traditional Arabic" w:hint="cs"/>
          <w:rtl/>
        </w:rPr>
        <w:t>_</w:t>
      </w:r>
      <w:r w:rsidRPr="005D5694">
        <w:rPr>
          <w:rFonts w:ascii="Traditional Arabic" w:hAnsi="Traditional Arabic" w:cs="CTraditional Arabic"/>
          <w:color w:val="auto"/>
          <w:rtl/>
        </w:rPr>
        <w:t>/</w:t>
      </w:r>
      <w:r w:rsidR="002D78A8">
        <w:rPr>
          <w:rFonts w:ascii="Traditional Arabic" w:hAnsi="Traditional Arabic" w:hint="cs"/>
          <w:rtl/>
        </w:rPr>
        <w:t>_</w:t>
      </w:r>
      <w:r w:rsidR="002D78A8">
        <w:rPr>
          <w:rFonts w:ascii="Traditional Arabic" w:hAnsi="Traditional Arabic"/>
          <w:rtl/>
        </w:rPr>
        <w:t xml:space="preserve"> </w:t>
      </w:r>
      <w:r w:rsidR="002D78A8">
        <w:rPr>
          <w:rFonts w:ascii="Traditional Arabic" w:hAnsi="Traditional Arabic" w:hint="cs"/>
          <w:rtl/>
        </w:rPr>
        <w:t>هذا</w:t>
      </w:r>
      <w:r w:rsidRPr="00AA74DB">
        <w:rPr>
          <w:rFonts w:ascii="Traditional Arabic" w:hAnsi="Traditional Arabic"/>
          <w:rtl/>
        </w:rPr>
        <w:t xml:space="preserve"> الاستثناء بقوله : (ووجه خروجهما عن القاعدة المذكورة</w:t>
      </w:r>
      <w:r w:rsidR="00065E4B">
        <w:rPr>
          <w:rFonts w:ascii="Traditional Arabic" w:hAnsi="Traditional Arabic" w:hint="cs"/>
          <w:rtl/>
        </w:rPr>
        <w:t> </w:t>
      </w:r>
      <w:r w:rsidRPr="00AA74DB">
        <w:rPr>
          <w:rFonts w:ascii="Traditional Arabic" w:hAnsi="Traditional Arabic"/>
          <w:rtl/>
        </w:rPr>
        <w:t>: أن الأصل إباحة الثياب</w:t>
      </w:r>
      <w:r w:rsidR="00B76414">
        <w:rPr>
          <w:rFonts w:ascii="Traditional Arabic" w:hAnsi="Traditional Arabic"/>
          <w:rtl/>
        </w:rPr>
        <w:t>،</w:t>
      </w:r>
      <w:r w:rsidRPr="00AA74DB">
        <w:rPr>
          <w:rFonts w:ascii="Traditional Arabic" w:hAnsi="Traditional Arabic"/>
          <w:rtl/>
        </w:rPr>
        <w:t xml:space="preserve"> وعدم وجوب س</w:t>
      </w:r>
      <w:r>
        <w:rPr>
          <w:rFonts w:ascii="Traditional Arabic" w:hAnsi="Traditional Arabic" w:hint="cs"/>
          <w:rtl/>
        </w:rPr>
        <w:t>َ</w:t>
      </w:r>
      <w:r w:rsidRPr="00AA74DB">
        <w:rPr>
          <w:rFonts w:ascii="Traditional Arabic" w:hAnsi="Traditional Arabic"/>
          <w:rtl/>
        </w:rPr>
        <w:t>ت</w:t>
      </w:r>
      <w:r>
        <w:rPr>
          <w:rFonts w:ascii="Traditional Arabic" w:hAnsi="Traditional Arabic" w:hint="cs"/>
          <w:rtl/>
        </w:rPr>
        <w:t>ْ</w:t>
      </w:r>
      <w:r w:rsidRPr="00AA74DB">
        <w:rPr>
          <w:rFonts w:ascii="Traditional Arabic" w:hAnsi="Traditional Arabic"/>
          <w:rtl/>
        </w:rPr>
        <w:t>ر</w:t>
      </w:r>
      <w:r>
        <w:rPr>
          <w:rFonts w:ascii="Traditional Arabic" w:hAnsi="Traditional Arabic" w:hint="cs"/>
          <w:rtl/>
        </w:rPr>
        <w:t>ِ</w:t>
      </w:r>
      <w:r w:rsidRPr="00AA74DB">
        <w:rPr>
          <w:rFonts w:ascii="Traditional Arabic" w:hAnsi="Traditional Arabic"/>
          <w:rtl/>
        </w:rPr>
        <w:t xml:space="preserve"> ما زاد على عورة الذكر إلا بدليل</w:t>
      </w:r>
      <w:r w:rsidR="00B76414">
        <w:rPr>
          <w:rFonts w:ascii="Traditional Arabic" w:hAnsi="Traditional Arabic"/>
          <w:rtl/>
        </w:rPr>
        <w:t>،</w:t>
      </w:r>
      <w:r w:rsidRPr="00AA74DB">
        <w:rPr>
          <w:rFonts w:ascii="Traditional Arabic" w:hAnsi="Traditional Arabic"/>
          <w:rtl/>
        </w:rPr>
        <w:t xml:space="preserve"> والله أعلم)</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361"/>
      </w:r>
      <w:r w:rsidRPr="00C821A1">
        <w:rPr>
          <w:rFonts w:ascii="Traditional Arabic" w:hAnsi="Traditional Arabic"/>
          <w:szCs w:val="32"/>
          <w:vertAlign w:val="superscript"/>
          <w:rtl/>
        </w:rPr>
        <w:t>)</w:t>
      </w:r>
      <w:r w:rsidR="00B76414">
        <w:rPr>
          <w:rFonts w:ascii="Traditional Arabic" w:hAnsi="Traditional Arabic"/>
          <w:rtl/>
        </w:rPr>
        <w:t>.</w:t>
      </w:r>
    </w:p>
    <w:p w:rsidR="00A6645D" w:rsidRPr="00C85F0F" w:rsidRDefault="00690470" w:rsidP="000F5C0F">
      <w:pPr>
        <w:pStyle w:val="aff2"/>
        <w:rPr>
          <w:rtl/>
        </w:rPr>
      </w:pPr>
      <w:bookmarkStart w:id="76" w:name="_Toc334046329"/>
      <w:r>
        <w:rPr>
          <w:rFonts w:hint="cs"/>
          <w:rtl/>
        </w:rPr>
        <w:lastRenderedPageBreak/>
        <w:t>المبحث الخام</w:t>
      </w:r>
      <w:r w:rsidR="00A6645D">
        <w:rPr>
          <w:rFonts w:hint="cs"/>
          <w:rtl/>
        </w:rPr>
        <w:t>س</w:t>
      </w:r>
      <w:r w:rsidR="00A6645D">
        <w:rPr>
          <w:rFonts w:hint="eastAsia"/>
          <w:rtl/>
        </w:rPr>
        <w:t> :</w:t>
      </w:r>
      <w:r w:rsidR="00A6645D">
        <w:rPr>
          <w:rFonts w:hint="cs"/>
          <w:rtl/>
        </w:rPr>
        <w:br/>
        <w:t>قاعدة</w:t>
      </w:r>
      <w:r w:rsidR="00A6645D">
        <w:rPr>
          <w:rtl/>
        </w:rPr>
        <w:br/>
      </w:r>
      <w:r w:rsidR="00A6645D">
        <w:rPr>
          <w:rFonts w:hint="cs"/>
          <w:rtl/>
        </w:rPr>
        <w:t>"</w:t>
      </w:r>
      <w:r w:rsidR="00A6645D" w:rsidRPr="00DE7BC0">
        <w:rPr>
          <w:rFonts w:hint="cs"/>
          <w:rtl/>
        </w:rPr>
        <w:t xml:space="preserve">إذا </w:t>
      </w:r>
      <w:r w:rsidR="00A6645D" w:rsidRPr="00DE7BC0">
        <w:rPr>
          <w:rtl/>
        </w:rPr>
        <w:t>ت</w:t>
      </w:r>
      <w:r w:rsidR="00A6645D" w:rsidRPr="00DE7BC0">
        <w:rPr>
          <w:rFonts w:hint="cs"/>
          <w:rtl/>
        </w:rPr>
        <w:t>َ</w:t>
      </w:r>
      <w:r w:rsidR="00A6645D" w:rsidRPr="00DE7BC0">
        <w:rPr>
          <w:rtl/>
        </w:rPr>
        <w:t>عار</w:t>
      </w:r>
      <w:r w:rsidR="00A6645D" w:rsidRPr="00DE7BC0">
        <w:rPr>
          <w:rFonts w:hint="cs"/>
          <w:rtl/>
        </w:rPr>
        <w:t>َ</w:t>
      </w:r>
      <w:r w:rsidR="00A6645D" w:rsidRPr="00DE7BC0">
        <w:rPr>
          <w:rtl/>
        </w:rPr>
        <w:t>ض</w:t>
      </w:r>
      <w:r w:rsidR="00A6645D">
        <w:rPr>
          <w:rFonts w:hint="cs"/>
          <w:rtl/>
        </w:rPr>
        <w:t xml:space="preserve"> الأصل</w:t>
      </w:r>
      <w:r w:rsidR="00154102">
        <w:rPr>
          <w:rFonts w:hint="cs"/>
          <w:rtl/>
        </w:rPr>
        <w:t xml:space="preserve"> و</w:t>
      </w:r>
      <w:r w:rsidR="00A6645D">
        <w:rPr>
          <w:rFonts w:hint="cs"/>
          <w:rtl/>
        </w:rPr>
        <w:t>الظاهر، أو تعارض</w:t>
      </w:r>
      <w:r w:rsidR="00A6645D" w:rsidRPr="00DE7BC0">
        <w:rPr>
          <w:rtl/>
        </w:rPr>
        <w:t xml:space="preserve"> أصلان</w:t>
      </w:r>
      <w:r w:rsidR="00A6645D">
        <w:rPr>
          <w:rFonts w:hint="cs"/>
          <w:rtl/>
        </w:rPr>
        <w:t>،</w:t>
      </w:r>
      <w:r w:rsidR="00A6645D" w:rsidRPr="00DE7BC0">
        <w:rPr>
          <w:rtl/>
        </w:rPr>
        <w:t xml:space="preserve"> ق</w:t>
      </w:r>
      <w:r w:rsidR="00A6645D" w:rsidRPr="00DE7BC0">
        <w:rPr>
          <w:rFonts w:hint="cs"/>
          <w:rtl/>
        </w:rPr>
        <w:t>ُ</w:t>
      </w:r>
      <w:r w:rsidR="00A6645D" w:rsidRPr="00DE7BC0">
        <w:rPr>
          <w:rtl/>
        </w:rPr>
        <w:t>د</w:t>
      </w:r>
      <w:r w:rsidR="00A6645D" w:rsidRPr="00DE7BC0">
        <w:rPr>
          <w:rFonts w:hint="cs"/>
          <w:rtl/>
        </w:rPr>
        <w:t>ِّ</w:t>
      </w:r>
      <w:r w:rsidR="00A6645D">
        <w:rPr>
          <w:rtl/>
        </w:rPr>
        <w:t>م أ</w:t>
      </w:r>
      <w:r w:rsidR="00A6645D">
        <w:rPr>
          <w:rFonts w:hint="cs"/>
          <w:rtl/>
        </w:rPr>
        <w:t>قواهما</w:t>
      </w:r>
      <w:r w:rsidR="00A6645D" w:rsidRPr="00DE7BC0">
        <w:rPr>
          <w:rtl/>
        </w:rPr>
        <w:t xml:space="preserve"> على الآخر حس</w:t>
      </w:r>
      <w:r w:rsidR="00A6645D">
        <w:rPr>
          <w:rtl/>
        </w:rPr>
        <w:t>ب</w:t>
      </w:r>
      <w:r w:rsidR="003C597B">
        <w:rPr>
          <w:rFonts w:hint="cs"/>
          <w:rtl/>
        </w:rPr>
        <w:t xml:space="preserve"> </w:t>
      </w:r>
      <w:r w:rsidR="00A6645D" w:rsidRPr="00DE7BC0">
        <w:rPr>
          <w:rtl/>
        </w:rPr>
        <w:t>ما تقتضيه</w:t>
      </w:r>
      <w:r w:rsidR="00A6645D">
        <w:rPr>
          <w:rtl/>
        </w:rPr>
        <w:t xml:space="preserve"> الشريعة</w:t>
      </w:r>
      <w:r w:rsidR="00A6645D">
        <w:rPr>
          <w:rFonts w:hint="cs"/>
          <w:rtl/>
        </w:rPr>
        <w:t>ُ</w:t>
      </w:r>
      <w:r w:rsidR="00154102">
        <w:rPr>
          <w:rtl/>
        </w:rPr>
        <w:t xml:space="preserve"> و</w:t>
      </w:r>
      <w:r w:rsidR="00A6645D" w:rsidRPr="00DE7BC0">
        <w:rPr>
          <w:rtl/>
        </w:rPr>
        <w:t>قرائن</w:t>
      </w:r>
      <w:r w:rsidR="00A6645D">
        <w:rPr>
          <w:rFonts w:hint="cs"/>
          <w:rtl/>
        </w:rPr>
        <w:t>ُ</w:t>
      </w:r>
      <w:r w:rsidR="00A6645D" w:rsidRPr="00DE7BC0">
        <w:rPr>
          <w:rtl/>
        </w:rPr>
        <w:t xml:space="preserve"> الأحوال</w:t>
      </w:r>
      <w:r w:rsidR="00AB0B9E" w:rsidRPr="00C85F0F">
        <w:rPr>
          <w:rtl/>
        </w:rPr>
        <w:fldChar w:fldCharType="begin"/>
      </w:r>
      <w:r w:rsidR="003504FF" w:rsidRPr="00C85F0F">
        <w:instrText>XE</w:instrText>
      </w:r>
      <w:r w:rsidR="003504FF" w:rsidRPr="00C85F0F">
        <w:rPr>
          <w:rtl/>
        </w:rPr>
        <w:instrText xml:space="preserve"> "</w:instrText>
      </w:r>
      <w:r w:rsidR="003504FF" w:rsidRPr="00C85F0F">
        <w:rPr>
          <w:rFonts w:hint="cs"/>
          <w:rtl/>
        </w:rPr>
        <w:instrText>إذاتَعارَضالأصلوالظاهر،أوتعارضأصلان،قُدِّمأقواهماعلىالآخرحَسَبماتقتضيهالشريعةُوقرائنُالأحوال</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AA387F" w:rsidRPr="00C85F0F">
        <w:rPr>
          <w:rFonts w:hint="cs"/>
          <w:rtl/>
        </w:rPr>
        <w:t>"</w:t>
      </w:r>
      <w:r w:rsidR="00A6645D" w:rsidRPr="00C85F0F">
        <w:rPr>
          <w:rStyle w:val="af1"/>
          <w:b w:val="0"/>
          <w:bCs w:val="0"/>
          <w:szCs w:val="32"/>
          <w:rtl/>
        </w:rPr>
        <w:t>(</w:t>
      </w:r>
      <w:r w:rsidR="00A6645D" w:rsidRPr="00C85F0F">
        <w:rPr>
          <w:rStyle w:val="af1"/>
          <w:b w:val="0"/>
          <w:bCs w:val="0"/>
          <w:szCs w:val="32"/>
          <w:rtl/>
        </w:rPr>
        <w:footnoteReference w:id="362"/>
      </w:r>
      <w:r w:rsidR="00A6645D" w:rsidRPr="00C85F0F">
        <w:rPr>
          <w:rStyle w:val="af1"/>
          <w:b w:val="0"/>
          <w:bCs w:val="0"/>
          <w:szCs w:val="32"/>
          <w:rtl/>
        </w:rPr>
        <w:t>)</w:t>
      </w:r>
      <w:bookmarkEnd w:id="76"/>
    </w:p>
    <w:p w:rsidR="00A6645D" w:rsidRPr="00C85F0F" w:rsidRDefault="005B65ED" w:rsidP="00A8347C">
      <w:pPr>
        <w:pStyle w:val="aff3"/>
        <w:rPr>
          <w:rtl/>
        </w:rPr>
      </w:pPr>
      <w:bookmarkStart w:id="77" w:name="_Toc334046330"/>
      <w:r>
        <w:rPr>
          <w:rFonts w:hint="cs"/>
          <w:rtl/>
        </w:rPr>
        <w:t xml:space="preserve">                     </w:t>
      </w:r>
      <w:r w:rsidR="00BE3E18">
        <w:rPr>
          <w:rFonts w:hint="cs"/>
          <w:rtl/>
        </w:rPr>
        <w:t xml:space="preserve">                    </w:t>
      </w:r>
      <w:r w:rsidR="00A6645D" w:rsidRPr="00C85F0F">
        <w:rPr>
          <w:rFonts w:hint="cs"/>
          <w:rtl/>
        </w:rPr>
        <w:t>المطلب الأول</w:t>
      </w:r>
      <w:r w:rsidR="00AA387F" w:rsidRPr="00C85F0F">
        <w:rPr>
          <w:rFonts w:hint="eastAsia"/>
          <w:rtl/>
        </w:rPr>
        <w:t> :</w:t>
      </w:r>
      <w:r w:rsidR="00AA387F" w:rsidRPr="00C85F0F">
        <w:rPr>
          <w:rFonts w:hint="cs"/>
          <w:rtl/>
        </w:rPr>
        <w:br/>
      </w:r>
      <w:r>
        <w:rPr>
          <w:rFonts w:hint="cs"/>
          <w:rtl/>
        </w:rPr>
        <w:t xml:space="preserve">               </w:t>
      </w:r>
      <w:r w:rsidR="00BE3E18">
        <w:rPr>
          <w:rFonts w:hint="cs"/>
          <w:rtl/>
        </w:rPr>
        <w:t xml:space="preserve">      </w:t>
      </w:r>
      <w:r w:rsidR="003C597B">
        <w:rPr>
          <w:rFonts w:hint="cs"/>
          <w:rtl/>
        </w:rPr>
        <w:t xml:space="preserve">  </w:t>
      </w:r>
      <w:r w:rsidR="00A6645D" w:rsidRPr="00C85F0F">
        <w:rPr>
          <w:rFonts w:hint="cs"/>
          <w:rtl/>
        </w:rPr>
        <w:t>صيغ القاعدة عند الشيخ</w:t>
      </w:r>
      <w:r w:rsidR="00154102" w:rsidRPr="00C85F0F">
        <w:rPr>
          <w:rFonts w:hint="cs"/>
          <w:rtl/>
        </w:rPr>
        <w:t xml:space="preserve"> و</w:t>
      </w:r>
      <w:r w:rsidR="00A6645D" w:rsidRPr="00C85F0F">
        <w:rPr>
          <w:rFonts w:hint="cs"/>
          <w:rtl/>
        </w:rPr>
        <w:t>عند علماء القواعد</w:t>
      </w:r>
      <w:bookmarkEnd w:id="77"/>
    </w:p>
    <w:p w:rsidR="00A6645D" w:rsidRPr="00C85F0F" w:rsidRDefault="002D78A8" w:rsidP="00BE3E18">
      <w:pPr>
        <w:ind w:firstLine="0"/>
        <w:rPr>
          <w:rtl/>
        </w:rPr>
      </w:pPr>
      <w:r>
        <w:rPr>
          <w:rFonts w:hint="cs"/>
          <w:rtl/>
        </w:rPr>
        <w:t xml:space="preserve">    </w:t>
      </w:r>
      <w:r w:rsidR="00A6645D" w:rsidRPr="00C85F0F">
        <w:rPr>
          <w:rFonts w:hint="cs"/>
          <w:rtl/>
        </w:rPr>
        <w:t>وردت هذه ال</w:t>
      </w:r>
      <w:r w:rsidR="00BE3E18">
        <w:rPr>
          <w:rFonts w:hint="cs"/>
          <w:rtl/>
        </w:rPr>
        <w:t>قاعدة عند الشيخ العثيمين بصيغ عديدة</w:t>
      </w:r>
      <w:r w:rsidR="00A6645D" w:rsidRPr="00C85F0F">
        <w:rPr>
          <w:rFonts w:hint="cs"/>
          <w:rtl/>
        </w:rPr>
        <w:t xml:space="preserve">، </w:t>
      </w:r>
      <w:r w:rsidR="00BE3E18">
        <w:rPr>
          <w:rFonts w:hint="cs"/>
          <w:rtl/>
        </w:rPr>
        <w:t>منه</w:t>
      </w:r>
      <w:r w:rsidR="00A6645D" w:rsidRPr="00C85F0F">
        <w:rPr>
          <w:rFonts w:hint="cs"/>
          <w:rtl/>
        </w:rPr>
        <w:t>ا:</w:t>
      </w:r>
    </w:p>
    <w:p w:rsidR="00A6645D" w:rsidRPr="00C85F0F" w:rsidRDefault="00A6645D" w:rsidP="000A76C7">
      <w:pPr>
        <w:pStyle w:val="afc"/>
        <w:numPr>
          <w:ilvl w:val="0"/>
          <w:numId w:val="66"/>
        </w:numPr>
        <w:rPr>
          <w:rtl/>
        </w:rPr>
      </w:pPr>
      <w:r w:rsidRPr="00C85F0F">
        <w:rPr>
          <w:rFonts w:hint="cs"/>
          <w:rtl/>
        </w:rPr>
        <w:t>الظاهر إذا قَوِي غُلِّب على الأصل</w:t>
      </w:r>
      <w:r w:rsidRPr="00C85F0F">
        <w:rPr>
          <w:rStyle w:val="af1"/>
          <w:szCs w:val="32"/>
          <w:rtl/>
        </w:rPr>
        <w:t>(</w:t>
      </w:r>
      <w:r w:rsidRPr="00C85F0F">
        <w:rPr>
          <w:rStyle w:val="af1"/>
          <w:szCs w:val="32"/>
          <w:rtl/>
        </w:rPr>
        <w:footnoteReference w:id="363"/>
      </w:r>
      <w:r w:rsidRPr="00C85F0F">
        <w:rPr>
          <w:rStyle w:val="af1"/>
          <w:szCs w:val="32"/>
          <w:rtl/>
        </w:rPr>
        <w:t>)</w:t>
      </w:r>
      <w:r w:rsidRPr="00C85F0F">
        <w:rPr>
          <w:rFonts w:hint="cs"/>
          <w:rtl/>
        </w:rPr>
        <w:t>.</w:t>
      </w:r>
    </w:p>
    <w:p w:rsidR="00A6645D" w:rsidRPr="00C85F0F" w:rsidRDefault="00A6645D" w:rsidP="000A76C7">
      <w:pPr>
        <w:pStyle w:val="afc"/>
        <w:numPr>
          <w:ilvl w:val="0"/>
          <w:numId w:val="66"/>
        </w:numPr>
        <w:rPr>
          <w:rFonts w:ascii="Traditional Arabic" w:hAnsi="Traditional Arabic"/>
          <w:noProof w:val="0"/>
          <w:lang w:eastAsia="en-US"/>
        </w:rPr>
      </w:pPr>
      <w:r w:rsidRPr="00C85F0F">
        <w:rPr>
          <w:rFonts w:ascii="Traditional Arabic" w:hAnsi="Traditional Arabic" w:hint="cs"/>
          <w:noProof w:val="0"/>
          <w:rtl/>
          <w:lang w:eastAsia="en-US"/>
        </w:rPr>
        <w:t xml:space="preserve">إذا </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عار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ض</w:t>
      </w:r>
      <w:r w:rsidRPr="00C85F0F">
        <w:rPr>
          <w:rFonts w:ascii="Traditional Arabic" w:hAnsi="Traditional Arabic" w:hint="cs"/>
          <w:noProof w:val="0"/>
          <w:rtl/>
          <w:lang w:eastAsia="en-US"/>
        </w:rPr>
        <w:t xml:space="preserve"> الأصل والظاهر، أو تعارض</w:t>
      </w:r>
      <w:r w:rsidRPr="00C85F0F">
        <w:rPr>
          <w:rFonts w:ascii="Traditional Arabic" w:hAnsi="Traditional Arabic"/>
          <w:noProof w:val="0"/>
          <w:rtl/>
          <w:lang w:eastAsia="en-US"/>
        </w:rPr>
        <w:t xml:space="preserve"> أصلان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 أحد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هما على الآخر</w:t>
      </w:r>
      <w:r w:rsidR="003C597B">
        <w:rPr>
          <w:rFonts w:ascii="Traditional Arabic" w:hAnsi="Traditional Arabic" w:hint="cs"/>
          <w:noProof w:val="0"/>
          <w:rtl/>
          <w:lang w:eastAsia="en-US"/>
        </w:rPr>
        <w:t>،</w:t>
      </w:r>
      <w:r w:rsidRPr="00C85F0F">
        <w:rPr>
          <w:rFonts w:ascii="Traditional Arabic" w:hAnsi="Traditional Arabic"/>
          <w:noProof w:val="0"/>
          <w:rtl/>
          <w:lang w:eastAsia="en-US"/>
        </w:rPr>
        <w:t xml:space="preserve"> 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 ما تقتضيه الشريعة</w:t>
      </w:r>
      <w:r w:rsidRPr="00C85F0F">
        <w:rPr>
          <w:rFonts w:ascii="Traditional Arabic" w:hAnsi="Traditional Arabic" w:hint="cs"/>
          <w:noProof w:val="0"/>
          <w:rtl/>
          <w:lang w:eastAsia="en-US"/>
        </w:rPr>
        <w:t>ُ</w:t>
      </w:r>
      <w:r w:rsidR="00154102" w:rsidRPr="00C85F0F">
        <w:rPr>
          <w:rFonts w:ascii="Traditional Arabic" w:hAnsi="Traditional Arabic"/>
          <w:noProof w:val="0"/>
          <w:rtl/>
          <w:lang w:eastAsia="en-US"/>
        </w:rPr>
        <w:t xml:space="preserve"> و</w:t>
      </w:r>
      <w:r w:rsidRPr="00C85F0F">
        <w:rPr>
          <w:rFonts w:ascii="Traditional Arabic" w:hAnsi="Traditional Arabic"/>
          <w:noProof w:val="0"/>
          <w:rtl/>
          <w:lang w:eastAsia="en-US"/>
        </w:rPr>
        <w:t>قرائن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الأحوال</w:t>
      </w:r>
      <w:r w:rsidRPr="00C85F0F">
        <w:rPr>
          <w:rStyle w:val="af1"/>
          <w:szCs w:val="32"/>
          <w:rtl/>
        </w:rPr>
        <w:t>(</w:t>
      </w:r>
      <w:r w:rsidRPr="00C85F0F">
        <w:rPr>
          <w:rStyle w:val="af1"/>
          <w:szCs w:val="32"/>
          <w:rtl/>
        </w:rPr>
        <w:footnoteReference w:id="364"/>
      </w:r>
      <w:r w:rsidRPr="00C85F0F">
        <w:rPr>
          <w:rStyle w:val="af1"/>
          <w:szCs w:val="32"/>
          <w:rtl/>
        </w:rPr>
        <w:t>)</w:t>
      </w:r>
      <w:r w:rsidRPr="00C85F0F">
        <w:rPr>
          <w:rFonts w:ascii="Traditional Arabic" w:hAnsi="Traditional Arabic" w:hint="cs"/>
          <w:noProof w:val="0"/>
          <w:rtl/>
          <w:lang w:eastAsia="en-US"/>
        </w:rPr>
        <w:t>.</w:t>
      </w:r>
    </w:p>
    <w:p w:rsidR="00065E4B" w:rsidRPr="00C85F0F" w:rsidRDefault="00A6645D" w:rsidP="000A76C7">
      <w:pPr>
        <w:pStyle w:val="afc"/>
        <w:numPr>
          <w:ilvl w:val="0"/>
          <w:numId w:val="66"/>
        </w:numPr>
        <w:rPr>
          <w:rFonts w:ascii="Traditional Arabic" w:hAnsi="Traditional Arabic"/>
          <w:noProof w:val="0"/>
          <w:lang w:eastAsia="en-US"/>
        </w:rPr>
      </w:pPr>
      <w:r w:rsidRPr="00C85F0F">
        <w:rPr>
          <w:rFonts w:ascii="Traditional Arabic" w:hAnsi="Traditional Arabic" w:hint="cs"/>
          <w:noProof w:val="0"/>
          <w:rtl/>
          <w:lang w:eastAsia="en-US"/>
        </w:rPr>
        <w:t>الأصل في جميع الاختلافات أن يُقبَل قول مَن الأصلُ معه،</w:t>
      </w:r>
      <w:r w:rsidR="00BE3E18">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إلا أن يكون الظاهرُ أقوى من الأصل</w:t>
      </w:r>
      <w:r w:rsidR="003C597B">
        <w:rPr>
          <w:rFonts w:ascii="Traditional Arabic" w:hAnsi="Traditional Arabic" w:hint="cs"/>
          <w:noProof w:val="0"/>
          <w:rtl/>
          <w:lang w:eastAsia="en-US"/>
        </w:rPr>
        <w:t>،</w:t>
      </w:r>
      <w:r w:rsidRPr="00C85F0F">
        <w:rPr>
          <w:rFonts w:ascii="Traditional Arabic" w:hAnsi="Traditional Arabic" w:hint="cs"/>
          <w:noProof w:val="0"/>
          <w:rtl/>
          <w:lang w:eastAsia="en-US"/>
        </w:rPr>
        <w:t xml:space="preserve"> فيغلَّب الظاهر</w:t>
      </w:r>
      <w:r w:rsidRPr="00C85F0F">
        <w:rPr>
          <w:rStyle w:val="af1"/>
          <w:szCs w:val="32"/>
          <w:rtl/>
        </w:rPr>
        <w:t>(</w:t>
      </w:r>
      <w:r w:rsidRPr="00C85F0F">
        <w:rPr>
          <w:rStyle w:val="af1"/>
          <w:szCs w:val="32"/>
          <w:rtl/>
        </w:rPr>
        <w:footnoteReference w:id="365"/>
      </w:r>
      <w:r w:rsidRPr="00C85F0F">
        <w:rPr>
          <w:rStyle w:val="af1"/>
          <w:szCs w:val="32"/>
          <w:rtl/>
        </w:rPr>
        <w:t>)</w:t>
      </w:r>
      <w:r w:rsidRPr="00C85F0F">
        <w:rPr>
          <w:rFonts w:ascii="Traditional Arabic" w:hAnsi="Traditional Arabic" w:hint="cs"/>
          <w:noProof w:val="0"/>
          <w:rtl/>
          <w:lang w:eastAsia="en-US"/>
        </w:rPr>
        <w:t>.</w:t>
      </w:r>
    </w:p>
    <w:p w:rsidR="00A6645D" w:rsidRPr="00C85F0F" w:rsidRDefault="00065E4B" w:rsidP="00597C20">
      <w:pPr>
        <w:rPr>
          <w:rFonts w:ascii="Traditional Arabic" w:hAnsi="Traditional Arabic"/>
          <w:noProof w:val="0"/>
          <w:rtl/>
          <w:lang w:eastAsia="en-US"/>
        </w:rPr>
      </w:pPr>
      <w:r w:rsidRPr="00C85F0F">
        <w:rPr>
          <w:rFonts w:ascii="Traditional Arabic" w:hAnsi="Traditional Arabic" w:hint="cs"/>
          <w:noProof w:val="0"/>
          <w:rtl/>
          <w:lang w:eastAsia="en-US"/>
        </w:rPr>
        <w:lastRenderedPageBreak/>
        <w:t>أ</w:t>
      </w:r>
      <w:r w:rsidR="00A6645D" w:rsidRPr="00C85F0F">
        <w:rPr>
          <w:rFonts w:ascii="Traditional Arabic" w:hAnsi="Traditional Arabic" w:hint="cs"/>
          <w:noProof w:val="0"/>
          <w:rtl/>
          <w:lang w:eastAsia="en-US"/>
        </w:rPr>
        <w:t>ما علماء القواعد فقد تعددت عباراتهم في التعبير عن القاعدة،</w:t>
      </w:r>
      <w:r w:rsidR="00154102" w:rsidRPr="00C85F0F">
        <w:rPr>
          <w:rFonts w:ascii="Traditional Arabic" w:hAnsi="Traditional Arabic" w:hint="cs"/>
          <w:noProof w:val="0"/>
          <w:rtl/>
          <w:lang w:eastAsia="en-US"/>
        </w:rPr>
        <w:t xml:space="preserve"> و</w:t>
      </w:r>
      <w:r w:rsidR="00A6645D" w:rsidRPr="00C85F0F">
        <w:rPr>
          <w:rFonts w:ascii="Traditional Arabic" w:hAnsi="Traditional Arabic" w:hint="cs"/>
          <w:noProof w:val="0"/>
          <w:rtl/>
          <w:lang w:eastAsia="en-US"/>
        </w:rPr>
        <w:t>مما ورد عنهم في ذلك</w:t>
      </w:r>
      <w:r w:rsidR="00A6645D" w:rsidRPr="00C85F0F">
        <w:rPr>
          <w:rStyle w:val="af1"/>
          <w:szCs w:val="32"/>
          <w:rtl/>
        </w:rPr>
        <w:t>(</w:t>
      </w:r>
      <w:r w:rsidR="00A6645D" w:rsidRPr="00C85F0F">
        <w:rPr>
          <w:rStyle w:val="af1"/>
          <w:szCs w:val="32"/>
          <w:rtl/>
        </w:rPr>
        <w:footnoteReference w:id="366"/>
      </w:r>
      <w:r w:rsidR="00A6645D" w:rsidRPr="00C85F0F">
        <w:rPr>
          <w:rStyle w:val="af1"/>
          <w:szCs w:val="32"/>
          <w:rtl/>
        </w:rPr>
        <w:t>)</w:t>
      </w:r>
      <w:r w:rsidR="00A6645D" w:rsidRPr="00C85F0F">
        <w:rPr>
          <w:rFonts w:ascii="Traditional Arabic" w:hAnsi="Traditional Arabic" w:hint="cs"/>
          <w:noProof w:val="0"/>
          <w:rtl/>
          <w:lang w:eastAsia="en-US"/>
        </w:rPr>
        <w:t>:</w:t>
      </w:r>
    </w:p>
    <w:p w:rsidR="00F228A9" w:rsidRPr="00C85F0F" w:rsidRDefault="00A6645D" w:rsidP="000A76C7">
      <w:pPr>
        <w:pStyle w:val="afc"/>
        <w:numPr>
          <w:ilvl w:val="0"/>
          <w:numId w:val="67"/>
        </w:numPr>
        <w:rPr>
          <w:rFonts w:ascii="Traditional Arabic" w:hAnsi="Traditional Arabic"/>
          <w:noProof w:val="0"/>
          <w:lang w:eastAsia="en-US"/>
        </w:rPr>
      </w:pPr>
      <w:r w:rsidRPr="00C85F0F">
        <w:rPr>
          <w:rFonts w:ascii="Traditional Arabic" w:hAnsi="Traditional Arabic" w:hint="cs"/>
          <w:noProof w:val="0"/>
          <w:rtl/>
          <w:lang w:eastAsia="en-US"/>
        </w:rPr>
        <w:t>إذا تعارض أصلان</w:t>
      </w:r>
      <w:r w:rsidR="00B76414" w:rsidRPr="00C85F0F">
        <w:rPr>
          <w:rFonts w:ascii="Traditional Arabic" w:hAnsi="Traditional Arabic" w:hint="cs"/>
          <w:noProof w:val="0"/>
          <w:rtl/>
          <w:lang w:eastAsia="en-US"/>
        </w:rPr>
        <w:t>،</w:t>
      </w:r>
      <w:r w:rsidRPr="00C85F0F">
        <w:rPr>
          <w:rFonts w:ascii="Traditional Arabic" w:hAnsi="Traditional Arabic" w:hint="cs"/>
          <w:noProof w:val="0"/>
          <w:rtl/>
          <w:lang w:eastAsia="en-US"/>
        </w:rPr>
        <w:t xml:space="preserve"> أو أصل</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 xml:space="preserve">ظاهر جرى غالبا قولان للشافعي </w:t>
      </w:r>
      <w:r w:rsidRPr="005D5694">
        <w:rPr>
          <w:rFonts w:ascii="Traditional Arabic" w:hAnsi="Traditional Arabic" w:cs="CTraditional Arabic" w:hint="cs"/>
          <w:noProof w:val="0"/>
          <w:color w:val="auto"/>
          <w:rtl/>
          <w:lang w:eastAsia="en-US"/>
        </w:rPr>
        <w:t>/</w:t>
      </w:r>
    </w:p>
    <w:p w:rsidR="00A6645D" w:rsidRPr="00C85F0F" w:rsidRDefault="00A6645D" w:rsidP="00597C20">
      <w:pPr>
        <w:pStyle w:val="afc"/>
        <w:ind w:left="1450" w:firstLine="0"/>
        <w:rPr>
          <w:rFonts w:ascii="Traditional Arabic" w:hAnsi="Traditional Arabic"/>
          <w:noProof w:val="0"/>
          <w:lang w:eastAsia="en-US"/>
        </w:rPr>
      </w:pPr>
      <w:r w:rsidRPr="00C85F0F">
        <w:rPr>
          <w:rFonts w:ascii="Traditional Arabic" w:hAnsi="Traditional Arabic" w:hint="cs"/>
          <w:noProof w:val="0"/>
          <w:rtl/>
          <w:lang w:eastAsia="en-US"/>
        </w:rPr>
        <w:t>أو وجهان للأصحاب</w:t>
      </w:r>
      <w:r w:rsidRPr="00C85F0F">
        <w:rPr>
          <w:rStyle w:val="af1"/>
          <w:szCs w:val="32"/>
          <w:rtl/>
        </w:rPr>
        <w:t>(</w:t>
      </w:r>
      <w:r w:rsidRPr="00C85F0F">
        <w:rPr>
          <w:rStyle w:val="af1"/>
          <w:szCs w:val="32"/>
          <w:rtl/>
        </w:rPr>
        <w:footnoteReference w:id="367"/>
      </w:r>
      <w:r w:rsidRPr="00C85F0F">
        <w:rPr>
          <w:rStyle w:val="af1"/>
          <w:szCs w:val="32"/>
          <w:rtl/>
        </w:rPr>
        <w:t>)</w:t>
      </w:r>
      <w:r w:rsidRPr="00C85F0F">
        <w:rPr>
          <w:rFonts w:ascii="Traditional Arabic" w:hAnsi="Traditional Arabic" w:hint="cs"/>
          <w:noProof w:val="0"/>
          <w:rtl/>
          <w:lang w:eastAsia="en-US"/>
        </w:rPr>
        <w:t>.</w:t>
      </w:r>
    </w:p>
    <w:p w:rsidR="00F228A9" w:rsidRPr="00C85F0F" w:rsidRDefault="00A6645D" w:rsidP="000A76C7">
      <w:pPr>
        <w:pStyle w:val="afc"/>
        <w:numPr>
          <w:ilvl w:val="0"/>
          <w:numId w:val="67"/>
        </w:numPr>
        <w:rPr>
          <w:rFonts w:ascii="Traditional Arabic" w:hAnsi="Traditional Arabic"/>
          <w:noProof w:val="0"/>
          <w:lang w:eastAsia="en-US"/>
        </w:rPr>
      </w:pPr>
      <w:r w:rsidRPr="00C85F0F">
        <w:rPr>
          <w:rFonts w:ascii="Traditional Arabic" w:hAnsi="Traditional Arabic" w:hint="cs"/>
          <w:noProof w:val="0"/>
          <w:rtl/>
          <w:lang w:eastAsia="en-US"/>
        </w:rPr>
        <w:t>الأصلان إذا تعارضا في لَوازمهما فقد يعطى كل أصل حُكمَه،</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إن تناقضا،</w:t>
      </w:r>
    </w:p>
    <w:p w:rsidR="00A6645D" w:rsidRPr="00C85F0F" w:rsidRDefault="00A6645D" w:rsidP="00597C20">
      <w:pPr>
        <w:pStyle w:val="afc"/>
        <w:ind w:left="1450" w:firstLine="0"/>
        <w:rPr>
          <w:rFonts w:ascii="Traditional Arabic" w:hAnsi="Traditional Arabic"/>
          <w:noProof w:val="0"/>
          <w:lang w:eastAsia="en-US"/>
        </w:rPr>
      </w:pPr>
      <w:r w:rsidRPr="00C85F0F">
        <w:rPr>
          <w:rFonts w:ascii="Traditional Arabic" w:hAnsi="Traditional Arabic" w:hint="cs"/>
          <w:noProof w:val="0"/>
          <w:rtl/>
          <w:lang w:eastAsia="en-US"/>
        </w:rPr>
        <w:t>و قد يعبر عن ذلك بأن اختلاف اللَّوازم قد لا يؤثر في اختلاف الملزومات</w:t>
      </w:r>
      <w:r w:rsidRPr="00C85F0F">
        <w:rPr>
          <w:rStyle w:val="af1"/>
          <w:szCs w:val="32"/>
          <w:rtl/>
        </w:rPr>
        <w:t>(</w:t>
      </w:r>
      <w:r w:rsidRPr="00C85F0F">
        <w:rPr>
          <w:rStyle w:val="af1"/>
          <w:szCs w:val="32"/>
          <w:rtl/>
        </w:rPr>
        <w:footnoteReference w:id="368"/>
      </w:r>
      <w:r w:rsidRPr="00C85F0F">
        <w:rPr>
          <w:rStyle w:val="af1"/>
          <w:szCs w:val="32"/>
          <w:rtl/>
        </w:rPr>
        <w:t>)</w:t>
      </w:r>
      <w:r w:rsidRPr="00C85F0F">
        <w:rPr>
          <w:rFonts w:ascii="Traditional Arabic" w:hAnsi="Traditional Arabic" w:hint="cs"/>
          <w:noProof w:val="0"/>
          <w:rtl/>
          <w:lang w:eastAsia="en-US"/>
        </w:rPr>
        <w:t>.</w:t>
      </w:r>
    </w:p>
    <w:p w:rsidR="00A6645D" w:rsidRPr="00C85F0F" w:rsidRDefault="00A6645D" w:rsidP="000A76C7">
      <w:pPr>
        <w:pStyle w:val="afc"/>
        <w:numPr>
          <w:ilvl w:val="0"/>
          <w:numId w:val="67"/>
        </w:numPr>
        <w:rPr>
          <w:rFonts w:ascii="Traditional Arabic" w:hAnsi="Traditional Arabic"/>
          <w:noProof w:val="0"/>
          <w:lang w:eastAsia="en-US"/>
        </w:rPr>
      </w:pPr>
      <w:r w:rsidRPr="00C85F0F">
        <w:rPr>
          <w:rFonts w:ascii="Traditional Arabic" w:hAnsi="Traditional Arabic" w:hint="cs"/>
          <w:noProof w:val="0"/>
          <w:rtl/>
          <w:lang w:eastAsia="en-US"/>
        </w:rPr>
        <w:t>إذا تعارض أصلان، أو أصل</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ظاهر، وجب النظر في الترجيح، كما في تعارض الدليلين، فإن تُرُدِّدَ في الراجح فهي مسائل القولين</w:t>
      </w:r>
      <w:r w:rsidRPr="00C85F0F">
        <w:rPr>
          <w:rStyle w:val="af1"/>
          <w:szCs w:val="32"/>
          <w:rtl/>
        </w:rPr>
        <w:t>(</w:t>
      </w:r>
      <w:r w:rsidRPr="00C85F0F">
        <w:rPr>
          <w:rStyle w:val="af1"/>
          <w:szCs w:val="32"/>
          <w:rtl/>
        </w:rPr>
        <w:footnoteReference w:id="369"/>
      </w:r>
      <w:r w:rsidRPr="00C85F0F">
        <w:rPr>
          <w:rStyle w:val="af1"/>
          <w:szCs w:val="32"/>
          <w:rtl/>
        </w:rPr>
        <w:t>)</w:t>
      </w:r>
      <w:r w:rsidRPr="00C85F0F">
        <w:rPr>
          <w:rFonts w:ascii="Traditional Arabic" w:hAnsi="Traditional Arabic" w:hint="cs"/>
          <w:noProof w:val="0"/>
          <w:rtl/>
          <w:lang w:eastAsia="en-US"/>
        </w:rPr>
        <w:t>.</w:t>
      </w:r>
    </w:p>
    <w:p w:rsidR="00A6645D" w:rsidRPr="00C85F0F" w:rsidRDefault="00A6645D" w:rsidP="000A76C7">
      <w:pPr>
        <w:pStyle w:val="afc"/>
        <w:numPr>
          <w:ilvl w:val="0"/>
          <w:numId w:val="67"/>
        </w:numPr>
        <w:rPr>
          <w:rFonts w:ascii="Traditional Arabic" w:hAnsi="Traditional Arabic"/>
          <w:noProof w:val="0"/>
          <w:lang w:eastAsia="en-US"/>
        </w:rPr>
      </w:pPr>
      <w:r w:rsidRPr="00C85F0F">
        <w:rPr>
          <w:rFonts w:ascii="Traditional Arabic" w:hAnsi="Traditional Arabic" w:hint="cs"/>
          <w:noProof w:val="0"/>
          <w:color w:val="auto"/>
          <w:rtl/>
          <w:lang w:eastAsia="en-US"/>
        </w:rPr>
        <w:t>إذا تعارض أصل</w:t>
      </w:r>
      <w:r w:rsidR="00154102" w:rsidRPr="00C85F0F">
        <w:rPr>
          <w:rFonts w:ascii="Traditional Arabic" w:hAnsi="Traditional Arabic" w:hint="cs"/>
          <w:noProof w:val="0"/>
          <w:color w:val="auto"/>
          <w:rtl/>
          <w:lang w:eastAsia="en-US"/>
        </w:rPr>
        <w:t xml:space="preserve"> و</w:t>
      </w:r>
      <w:r w:rsidRPr="00C85F0F">
        <w:rPr>
          <w:rFonts w:ascii="Traditional Arabic" w:hAnsi="Traditional Arabic" w:hint="cs"/>
          <w:noProof w:val="0"/>
          <w:color w:val="auto"/>
          <w:rtl/>
          <w:lang w:eastAsia="en-US"/>
        </w:rPr>
        <w:t>ظاهر فللمالكية في المقدَّم منهما قولان، كالمقبرة القديمة: الأصل الطهارة،</w:t>
      </w:r>
      <w:r w:rsidR="00154102" w:rsidRPr="00C85F0F">
        <w:rPr>
          <w:rFonts w:ascii="Traditional Arabic" w:hAnsi="Traditional Arabic" w:hint="cs"/>
          <w:noProof w:val="0"/>
          <w:color w:val="auto"/>
          <w:rtl/>
          <w:lang w:eastAsia="en-US"/>
        </w:rPr>
        <w:t xml:space="preserve"> و</w:t>
      </w:r>
      <w:r w:rsidRPr="00C85F0F">
        <w:rPr>
          <w:rFonts w:ascii="Traditional Arabic" w:hAnsi="Traditional Arabic" w:hint="cs"/>
          <w:noProof w:val="0"/>
          <w:color w:val="auto"/>
          <w:rtl/>
          <w:lang w:eastAsia="en-US"/>
        </w:rPr>
        <w:t>الظاهر تخال</w:t>
      </w:r>
      <w:r w:rsidR="008B2568">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ط الأجزاء</w:t>
      </w:r>
      <w:r w:rsidRPr="00C85F0F">
        <w:rPr>
          <w:rStyle w:val="af1"/>
          <w:szCs w:val="32"/>
          <w:rtl/>
        </w:rPr>
        <w:t>(</w:t>
      </w:r>
      <w:r w:rsidRPr="00C85F0F">
        <w:rPr>
          <w:rStyle w:val="af1"/>
          <w:szCs w:val="32"/>
          <w:rtl/>
        </w:rPr>
        <w:footnoteReference w:id="370"/>
      </w:r>
      <w:r w:rsidRPr="00C85F0F">
        <w:rPr>
          <w:rStyle w:val="af1"/>
          <w:szCs w:val="32"/>
          <w:rtl/>
        </w:rPr>
        <w:t>)</w:t>
      </w:r>
      <w:r w:rsidRPr="00C85F0F">
        <w:rPr>
          <w:rFonts w:ascii="Traditional Arabic" w:hAnsi="Traditional Arabic" w:hint="cs"/>
          <w:noProof w:val="0"/>
          <w:color w:val="auto"/>
          <w:rtl/>
          <w:lang w:eastAsia="en-US"/>
        </w:rPr>
        <w:t>.</w:t>
      </w:r>
    </w:p>
    <w:p w:rsidR="00A6645D" w:rsidRPr="00C85F0F" w:rsidRDefault="00A6645D" w:rsidP="000A76C7">
      <w:pPr>
        <w:pStyle w:val="afc"/>
        <w:numPr>
          <w:ilvl w:val="0"/>
          <w:numId w:val="67"/>
        </w:numPr>
        <w:rPr>
          <w:rFonts w:ascii="Traditional Arabic" w:hAnsi="Traditional Arabic"/>
          <w:noProof w:val="0"/>
          <w:lang w:eastAsia="en-US"/>
        </w:rPr>
      </w:pPr>
      <w:r w:rsidRPr="00C85F0F">
        <w:rPr>
          <w:rFonts w:ascii="Traditional Arabic" w:hAnsi="Traditional Arabic" w:hint="cs"/>
          <w:noProof w:val="0"/>
          <w:rtl/>
          <w:lang w:eastAsia="en-US"/>
        </w:rPr>
        <w:t>إذا تعارض أصلان جرى غالبا قولان</w:t>
      </w:r>
      <w:r w:rsidRPr="00C85F0F">
        <w:rPr>
          <w:rStyle w:val="af1"/>
          <w:szCs w:val="32"/>
          <w:rtl/>
        </w:rPr>
        <w:t>(</w:t>
      </w:r>
      <w:r w:rsidRPr="00C85F0F">
        <w:rPr>
          <w:rStyle w:val="af1"/>
          <w:szCs w:val="32"/>
          <w:rtl/>
        </w:rPr>
        <w:footnoteReference w:id="371"/>
      </w:r>
      <w:r w:rsidRPr="00C85F0F">
        <w:rPr>
          <w:rStyle w:val="af1"/>
          <w:szCs w:val="32"/>
          <w:rtl/>
        </w:rPr>
        <w:t>)</w:t>
      </w:r>
      <w:r w:rsidRPr="00C85F0F">
        <w:rPr>
          <w:rFonts w:ascii="Traditional Arabic" w:hAnsi="Traditional Arabic" w:hint="cs"/>
          <w:noProof w:val="0"/>
          <w:rtl/>
          <w:lang w:eastAsia="en-US"/>
        </w:rPr>
        <w:t>.</w:t>
      </w:r>
    </w:p>
    <w:p w:rsidR="00A6645D" w:rsidRDefault="00A6645D" w:rsidP="000A76C7">
      <w:pPr>
        <w:pStyle w:val="afc"/>
        <w:numPr>
          <w:ilvl w:val="0"/>
          <w:numId w:val="67"/>
        </w:numPr>
        <w:rPr>
          <w:rFonts w:ascii="Traditional Arabic" w:hAnsi="Traditional Arabic"/>
          <w:noProof w:val="0"/>
          <w:lang w:eastAsia="en-US"/>
        </w:rPr>
      </w:pPr>
      <w:r w:rsidRPr="00C85F0F">
        <w:rPr>
          <w:rFonts w:ascii="Traditional Arabic" w:hAnsi="Traditional Arabic" w:hint="cs"/>
          <w:noProof w:val="0"/>
          <w:rtl/>
          <w:lang w:eastAsia="en-US"/>
        </w:rPr>
        <w:t>إذا تعارض أصلان أخذنا بالأحوط منهما</w:t>
      </w:r>
      <w:r w:rsidRPr="00C85F0F">
        <w:rPr>
          <w:rStyle w:val="af1"/>
          <w:szCs w:val="32"/>
          <w:rtl/>
        </w:rPr>
        <w:t>(</w:t>
      </w:r>
      <w:r w:rsidRPr="00C85F0F">
        <w:rPr>
          <w:rStyle w:val="af1"/>
          <w:szCs w:val="32"/>
          <w:rtl/>
        </w:rPr>
        <w:footnoteReference w:id="372"/>
      </w:r>
      <w:r w:rsidRPr="00C85F0F">
        <w:rPr>
          <w:rStyle w:val="af1"/>
          <w:szCs w:val="32"/>
          <w:rtl/>
        </w:rPr>
        <w:t>)</w:t>
      </w:r>
      <w:r w:rsidRPr="00C85F0F">
        <w:rPr>
          <w:rFonts w:ascii="Traditional Arabic" w:hAnsi="Traditional Arabic" w:hint="cs"/>
          <w:noProof w:val="0"/>
          <w:rtl/>
          <w:lang w:eastAsia="en-US"/>
        </w:rPr>
        <w:t>.</w:t>
      </w:r>
    </w:p>
    <w:p w:rsidR="008B2568" w:rsidRPr="008B2568" w:rsidRDefault="008B2568" w:rsidP="008B2568">
      <w:pPr>
        <w:pStyle w:val="afc"/>
        <w:numPr>
          <w:ilvl w:val="0"/>
          <w:numId w:val="67"/>
        </w:numPr>
        <w:rPr>
          <w:rFonts w:ascii="Traditional Arabic" w:hAnsi="Traditional Arabic"/>
          <w:noProof w:val="0"/>
          <w:lang w:eastAsia="en-US"/>
        </w:rPr>
      </w:pPr>
      <w:r w:rsidRPr="00C85F0F">
        <w:rPr>
          <w:rFonts w:ascii="Traditional Arabic" w:hAnsi="Traditional Arabic" w:hint="cs"/>
          <w:noProof w:val="0"/>
          <w:rtl/>
          <w:lang w:eastAsia="en-US"/>
        </w:rPr>
        <w:t>قد يتعارض أصلان، ولا يتقدم أحدهما على الآخر، بل يُعمل بكل منهما</w:t>
      </w:r>
      <w:r w:rsidRPr="00C85F0F">
        <w:rPr>
          <w:rStyle w:val="af1"/>
          <w:szCs w:val="32"/>
          <w:rtl/>
        </w:rPr>
        <w:t>(</w:t>
      </w:r>
      <w:r w:rsidRPr="00C85F0F">
        <w:rPr>
          <w:rStyle w:val="af1"/>
          <w:szCs w:val="32"/>
          <w:rtl/>
        </w:rPr>
        <w:footnoteReference w:id="373"/>
      </w:r>
      <w:r w:rsidRPr="00C85F0F">
        <w:rPr>
          <w:rStyle w:val="af1"/>
          <w:szCs w:val="32"/>
          <w:rtl/>
        </w:rPr>
        <w:t>)</w:t>
      </w:r>
      <w:r w:rsidRPr="00C85F0F">
        <w:rPr>
          <w:rFonts w:ascii="Traditional Arabic" w:hAnsi="Traditional Arabic" w:hint="cs"/>
          <w:noProof w:val="0"/>
          <w:rtl/>
          <w:lang w:eastAsia="en-US"/>
        </w:rPr>
        <w:t>.</w:t>
      </w:r>
    </w:p>
    <w:p w:rsidR="00A6645D" w:rsidRPr="00C85F0F" w:rsidRDefault="00A6645D" w:rsidP="000A76C7">
      <w:pPr>
        <w:pStyle w:val="afc"/>
        <w:numPr>
          <w:ilvl w:val="0"/>
          <w:numId w:val="67"/>
        </w:numPr>
        <w:rPr>
          <w:rFonts w:ascii="Traditional Arabic" w:hAnsi="Traditional Arabic"/>
          <w:noProof w:val="0"/>
          <w:lang w:eastAsia="en-US"/>
        </w:rPr>
      </w:pPr>
      <w:r w:rsidRPr="00C85F0F">
        <w:rPr>
          <w:rFonts w:ascii="Traditional Arabic" w:hAnsi="Traditional Arabic" w:hint="cs"/>
          <w:noProof w:val="0"/>
          <w:rtl/>
          <w:lang w:eastAsia="en-US"/>
        </w:rPr>
        <w:t xml:space="preserve">إذا تعارَض أصلان عُمل بالأرجح منهما؛ لاِعْتِضاده بما يرجِّحه، فإن تَساوَيا؛ </w:t>
      </w:r>
      <w:r w:rsidRPr="00C85F0F">
        <w:rPr>
          <w:rFonts w:ascii="Traditional Arabic" w:hAnsi="Traditional Arabic" w:hint="cs"/>
          <w:noProof w:val="0"/>
          <w:rtl/>
          <w:lang w:eastAsia="en-US"/>
        </w:rPr>
        <w:lastRenderedPageBreak/>
        <w:t>خُرِّج في المسألة وجهان غالبا</w:t>
      </w:r>
      <w:r w:rsidRPr="00C85F0F">
        <w:rPr>
          <w:rStyle w:val="af1"/>
          <w:szCs w:val="32"/>
          <w:rtl/>
        </w:rPr>
        <w:t>(</w:t>
      </w:r>
      <w:r w:rsidRPr="00C85F0F">
        <w:rPr>
          <w:rStyle w:val="af1"/>
          <w:szCs w:val="32"/>
          <w:rtl/>
        </w:rPr>
        <w:footnoteReference w:id="374"/>
      </w:r>
      <w:r w:rsidRPr="00C85F0F">
        <w:rPr>
          <w:rStyle w:val="af1"/>
          <w:szCs w:val="32"/>
          <w:rtl/>
        </w:rPr>
        <w:t>)</w:t>
      </w:r>
      <w:r w:rsidRPr="00C85F0F">
        <w:rPr>
          <w:rFonts w:ascii="Traditional Arabic" w:hAnsi="Traditional Arabic" w:hint="cs"/>
          <w:noProof w:val="0"/>
          <w:rtl/>
          <w:lang w:eastAsia="en-US"/>
        </w:rPr>
        <w:t>.</w:t>
      </w:r>
    </w:p>
    <w:p w:rsidR="00A6645D" w:rsidRPr="00C85F0F" w:rsidRDefault="00A6645D" w:rsidP="000A76C7">
      <w:pPr>
        <w:pStyle w:val="afc"/>
        <w:numPr>
          <w:ilvl w:val="0"/>
          <w:numId w:val="67"/>
        </w:numPr>
        <w:rPr>
          <w:rFonts w:ascii="Traditional Arabic" w:hAnsi="Traditional Arabic"/>
          <w:noProof w:val="0"/>
          <w:color w:val="auto"/>
          <w:lang w:eastAsia="en-US"/>
        </w:rPr>
      </w:pPr>
      <w:r w:rsidRPr="00C85F0F">
        <w:rPr>
          <w:rFonts w:ascii="Traditional Arabic" w:hAnsi="Traditional Arabic"/>
          <w:noProof w:val="0"/>
          <w:color w:val="auto"/>
          <w:rtl/>
          <w:lang w:eastAsia="en-US"/>
        </w:rPr>
        <w:t>إذا تعارض الأصل والظاهر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فإن</w:t>
      </w:r>
      <w:r w:rsidR="008B2568">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كان الظاهر حجة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يجب قبول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 شرعا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كالشهادة والرواية والإخبار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فهو مقد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 على الأصل بغير خلاف</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وإن لم يكن كذلك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بل كان مستنده العرف أو العادة الغالبة أو القرائن أو غلبة الظن ونحو ذلك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فتارة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عمل بالأصل ولا يلتفت إلى الظاهر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وتارة يعمل بالظاهر ولا يلتفت إلى الأصل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وتارة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خر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ج في المسألة خلاف</w:t>
      </w:r>
      <w:r w:rsidRPr="00C85F0F">
        <w:rPr>
          <w:rStyle w:val="af1"/>
          <w:szCs w:val="32"/>
          <w:rtl/>
        </w:rPr>
        <w:t>(</w:t>
      </w:r>
      <w:r w:rsidRPr="00C85F0F">
        <w:rPr>
          <w:rStyle w:val="af1"/>
          <w:szCs w:val="32"/>
          <w:rtl/>
        </w:rPr>
        <w:footnoteReference w:id="375"/>
      </w:r>
      <w:r w:rsidRPr="00C85F0F">
        <w:rPr>
          <w:rStyle w:val="af1"/>
          <w:szCs w:val="32"/>
          <w:rtl/>
        </w:rPr>
        <w:t>)</w:t>
      </w:r>
      <w:r w:rsidRPr="00C85F0F">
        <w:rPr>
          <w:rFonts w:ascii="Traditional Arabic" w:hAnsi="Traditional Arabic" w:hint="cs"/>
          <w:noProof w:val="0"/>
          <w:color w:val="auto"/>
          <w:rtl/>
          <w:lang w:eastAsia="en-US"/>
        </w:rPr>
        <w:t>.</w:t>
      </w:r>
    </w:p>
    <w:p w:rsidR="00A6645D" w:rsidRPr="00C85F0F" w:rsidRDefault="00A6645D" w:rsidP="000A76C7">
      <w:pPr>
        <w:pStyle w:val="afc"/>
        <w:numPr>
          <w:ilvl w:val="0"/>
          <w:numId w:val="67"/>
        </w:numPr>
        <w:rPr>
          <w:rFonts w:ascii="Traditional Arabic" w:hAnsi="Traditional Arabic"/>
          <w:noProof w:val="0"/>
          <w:color w:val="auto"/>
          <w:lang w:eastAsia="en-US"/>
        </w:rPr>
      </w:pPr>
      <w:r w:rsidRPr="00C85F0F">
        <w:rPr>
          <w:rFonts w:ascii="Traditional Arabic" w:hAnsi="Traditional Arabic" w:hint="cs"/>
          <w:noProof w:val="0"/>
          <w:color w:val="auto"/>
          <w:rtl/>
          <w:lang w:eastAsia="en-US"/>
        </w:rPr>
        <w:t>إذا تعارض أصل</w:t>
      </w:r>
      <w:r w:rsidR="00154102" w:rsidRPr="00C85F0F">
        <w:rPr>
          <w:rFonts w:ascii="Traditional Arabic" w:hAnsi="Traditional Arabic" w:hint="cs"/>
          <w:noProof w:val="0"/>
          <w:color w:val="auto"/>
          <w:rtl/>
          <w:lang w:eastAsia="en-US"/>
        </w:rPr>
        <w:t xml:space="preserve"> و</w:t>
      </w:r>
      <w:r w:rsidRPr="00C85F0F">
        <w:rPr>
          <w:rFonts w:ascii="Traditional Arabic" w:hAnsi="Traditional Arabic" w:hint="cs"/>
          <w:noProof w:val="0"/>
          <w:color w:val="auto"/>
          <w:rtl/>
          <w:lang w:eastAsia="en-US"/>
        </w:rPr>
        <w:t>ظاهر أيهما يقدمَّ؟</w:t>
      </w:r>
      <w:r w:rsidRPr="00C85F0F">
        <w:rPr>
          <w:rStyle w:val="af1"/>
          <w:szCs w:val="32"/>
          <w:rtl/>
        </w:rPr>
        <w:t>(</w:t>
      </w:r>
      <w:r w:rsidRPr="00C85F0F">
        <w:rPr>
          <w:rStyle w:val="af1"/>
          <w:szCs w:val="32"/>
          <w:rtl/>
        </w:rPr>
        <w:footnoteReference w:id="376"/>
      </w:r>
      <w:r w:rsidRPr="00C85F0F">
        <w:rPr>
          <w:rStyle w:val="af1"/>
          <w:szCs w:val="32"/>
          <w:rtl/>
        </w:rPr>
        <w:t>)</w:t>
      </w:r>
    </w:p>
    <w:p w:rsidR="00A6645D" w:rsidRPr="002C3CD7" w:rsidRDefault="005B65ED" w:rsidP="00A8347C">
      <w:pPr>
        <w:pStyle w:val="aff3"/>
        <w:rPr>
          <w:rtl/>
        </w:rPr>
      </w:pPr>
      <w:bookmarkStart w:id="78" w:name="_Toc334046331"/>
      <w:r>
        <w:rPr>
          <w:rFonts w:hint="cs"/>
          <w:rtl/>
        </w:rPr>
        <w:t xml:space="preserve">                    </w:t>
      </w:r>
      <w:r w:rsidR="00A422DD">
        <w:rPr>
          <w:rFonts w:hint="cs"/>
          <w:rtl/>
        </w:rPr>
        <w:t xml:space="preserve"> </w:t>
      </w:r>
      <w:r w:rsidR="00BE3E18">
        <w:rPr>
          <w:rFonts w:hint="cs"/>
          <w:rtl/>
        </w:rPr>
        <w:t xml:space="preserve">                </w:t>
      </w:r>
      <w:r w:rsidR="00A422DD">
        <w:rPr>
          <w:rFonts w:hint="cs"/>
          <w:rtl/>
        </w:rPr>
        <w:t xml:space="preserve"> </w:t>
      </w:r>
      <w:r w:rsidR="00964480" w:rsidRPr="00C85F0F">
        <w:rPr>
          <w:rFonts w:hint="cs"/>
          <w:rtl/>
        </w:rPr>
        <w:t>المطلب الثاني</w:t>
      </w:r>
      <w:r w:rsidR="00964480" w:rsidRPr="00C85F0F">
        <w:rPr>
          <w:rFonts w:hint="eastAsia"/>
          <w:rtl/>
        </w:rPr>
        <w:t> :</w:t>
      </w:r>
      <w:r w:rsidR="00964480" w:rsidRPr="00C85F0F">
        <w:rPr>
          <w:rFonts w:hint="cs"/>
          <w:rtl/>
        </w:rPr>
        <w:br/>
      </w:r>
      <w:r>
        <w:rPr>
          <w:rFonts w:hint="cs"/>
          <w:rtl/>
        </w:rPr>
        <w:t xml:space="preserve">                   </w:t>
      </w:r>
      <w:r w:rsidR="00A422DD">
        <w:rPr>
          <w:rFonts w:hint="cs"/>
          <w:rtl/>
        </w:rPr>
        <w:t xml:space="preserve"> </w:t>
      </w:r>
      <w:r w:rsidR="00BE3E18">
        <w:rPr>
          <w:rFonts w:hint="cs"/>
          <w:rtl/>
        </w:rPr>
        <w:t xml:space="preserve">                 </w:t>
      </w:r>
      <w:r w:rsidR="00A422DD">
        <w:rPr>
          <w:rFonts w:hint="cs"/>
          <w:rtl/>
        </w:rPr>
        <w:t xml:space="preserve"> </w:t>
      </w:r>
      <w:r w:rsidR="007E4718">
        <w:rPr>
          <w:rFonts w:hint="cs"/>
          <w:rtl/>
        </w:rPr>
        <w:t xml:space="preserve"> </w:t>
      </w:r>
      <w:r w:rsidR="00A6645D" w:rsidRPr="00C85F0F">
        <w:rPr>
          <w:rFonts w:hint="cs"/>
          <w:rtl/>
        </w:rPr>
        <w:t>شرح القاعدة</w:t>
      </w:r>
      <w:bookmarkEnd w:id="78"/>
    </w:p>
    <w:p w:rsidR="00A6645D" w:rsidRDefault="00A6645D" w:rsidP="00CD5330">
      <w:pPr>
        <w:ind w:firstLine="0"/>
        <w:rPr>
          <w:rtl/>
        </w:rPr>
      </w:pPr>
      <w:r>
        <w:rPr>
          <w:rFonts w:hint="cs"/>
          <w:b/>
          <w:bCs/>
          <w:rtl/>
        </w:rPr>
        <w:t xml:space="preserve">الأصل: </w:t>
      </w:r>
      <w:r>
        <w:rPr>
          <w:rFonts w:hint="cs"/>
          <w:rtl/>
        </w:rPr>
        <w:t>تقدم الكلام عنه،</w:t>
      </w:r>
      <w:r w:rsidR="00154102">
        <w:rPr>
          <w:rFonts w:hint="cs"/>
          <w:rtl/>
        </w:rPr>
        <w:t xml:space="preserve"> و</w:t>
      </w:r>
      <w:r>
        <w:rPr>
          <w:rFonts w:hint="cs"/>
          <w:rtl/>
        </w:rPr>
        <w:t>المراد بالأصل هنا القاعدة المستمرة أو الاستصحاب</w:t>
      </w:r>
      <w:r w:rsidRPr="00C821A1">
        <w:rPr>
          <w:rStyle w:val="af1"/>
          <w:szCs w:val="32"/>
          <w:rtl/>
        </w:rPr>
        <w:t>(</w:t>
      </w:r>
      <w:r w:rsidRPr="00C821A1">
        <w:rPr>
          <w:rStyle w:val="af1"/>
          <w:szCs w:val="32"/>
          <w:rtl/>
        </w:rPr>
        <w:footnoteReference w:id="377"/>
      </w:r>
      <w:r w:rsidRPr="00C821A1">
        <w:rPr>
          <w:rStyle w:val="af1"/>
          <w:szCs w:val="32"/>
          <w:rtl/>
        </w:rPr>
        <w:t>)</w:t>
      </w:r>
      <w:r>
        <w:rPr>
          <w:rFonts w:hint="cs"/>
          <w:rtl/>
        </w:rPr>
        <w:t>.</w:t>
      </w:r>
    </w:p>
    <w:p w:rsidR="00065E4B" w:rsidRDefault="00A6645D" w:rsidP="00597C20">
      <w:pPr>
        <w:pStyle w:val="53"/>
        <w:rPr>
          <w:b w:val="0"/>
          <w:rtl/>
        </w:rPr>
      </w:pPr>
      <w:r>
        <w:rPr>
          <w:rFonts w:hint="cs"/>
          <w:b w:val="0"/>
          <w:rtl/>
        </w:rPr>
        <w:t>الظاهر</w:t>
      </w:r>
      <w:r w:rsidR="00AB0B9E">
        <w:rPr>
          <w:b w:val="0"/>
          <w:rtl/>
        </w:rPr>
        <w:fldChar w:fldCharType="begin"/>
      </w:r>
      <w:r w:rsidR="001F758B" w:rsidRPr="00C85F0F">
        <w:rPr>
          <w:bCs w:val="0"/>
        </w:rPr>
        <w:instrText>XE</w:instrText>
      </w:r>
      <w:r w:rsidR="001F758B" w:rsidRPr="00C85F0F">
        <w:rPr>
          <w:bCs w:val="0"/>
          <w:rtl/>
        </w:rPr>
        <w:instrText xml:space="preserve"> "</w:instrText>
      </w:r>
      <w:r w:rsidR="001F758B" w:rsidRPr="00C85F0F">
        <w:rPr>
          <w:rFonts w:hint="cs"/>
          <w:bCs w:val="0"/>
          <w:rtl/>
        </w:rPr>
        <w:instrText>الظاهر</w:instrText>
      </w:r>
      <w:r w:rsidR="001F758B" w:rsidRPr="00C85F0F">
        <w:rPr>
          <w:bCs w:val="0"/>
          <w:rtl/>
        </w:rPr>
        <w:instrText>" \</w:instrText>
      </w:r>
      <w:r w:rsidR="001F758B" w:rsidRPr="00C85F0F">
        <w:rPr>
          <w:bCs w:val="0"/>
        </w:rPr>
        <w:instrText>f</w:instrText>
      </w:r>
      <w:r w:rsidR="001F758B">
        <w:instrText>m</w:instrText>
      </w:r>
      <w:r w:rsidR="00AB0B9E">
        <w:rPr>
          <w:b w:val="0"/>
          <w:rtl/>
        </w:rPr>
        <w:fldChar w:fldCharType="end"/>
      </w:r>
      <w:r>
        <w:rPr>
          <w:rFonts w:hint="cs"/>
          <w:b w:val="0"/>
          <w:rtl/>
        </w:rPr>
        <w:t xml:space="preserve"> لغة :</w:t>
      </w:r>
    </w:p>
    <w:p w:rsidR="00065E4B" w:rsidRDefault="00A6645D" w:rsidP="00B93718">
      <w:pPr>
        <w:ind w:firstLine="720"/>
        <w:rPr>
          <w:b/>
          <w:bCs/>
          <w:rtl/>
        </w:rPr>
      </w:pPr>
      <w:r>
        <w:rPr>
          <w:rFonts w:hint="cs"/>
          <w:rtl/>
        </w:rPr>
        <w:t xml:space="preserve">قال ابن فارس </w:t>
      </w:r>
      <w:r w:rsidR="007E4718">
        <w:rPr>
          <w:rFonts w:hint="cs"/>
          <w:rtl/>
        </w:rPr>
        <w:t>_</w:t>
      </w:r>
      <w:r w:rsidRPr="005D5694">
        <w:rPr>
          <w:rFonts w:cs="CTraditional Arabic" w:hint="cs"/>
          <w:color w:val="auto"/>
          <w:rtl/>
        </w:rPr>
        <w:t>/</w:t>
      </w:r>
      <w:r w:rsidR="007E4718">
        <w:rPr>
          <w:rFonts w:hint="cs"/>
          <w:rtl/>
        </w:rPr>
        <w:t>_</w:t>
      </w:r>
      <w:r>
        <w:rPr>
          <w:rFonts w:hint="cs"/>
          <w:rtl/>
        </w:rPr>
        <w:t xml:space="preserve">: </w:t>
      </w:r>
      <w:r w:rsidR="00B76414">
        <w:rPr>
          <w:rFonts w:hint="cs"/>
          <w:rtl/>
        </w:rPr>
        <w:t>(</w:t>
      </w:r>
      <w:r>
        <w:rPr>
          <w:rFonts w:hint="cs"/>
          <w:rtl/>
        </w:rPr>
        <w:t>الظاء</w:t>
      </w:r>
      <w:r w:rsidR="00154102">
        <w:rPr>
          <w:rFonts w:hint="cs"/>
          <w:rtl/>
        </w:rPr>
        <w:t xml:space="preserve"> و</w:t>
      </w:r>
      <w:r>
        <w:rPr>
          <w:rFonts w:hint="cs"/>
          <w:rtl/>
        </w:rPr>
        <w:t>الهاء</w:t>
      </w:r>
      <w:r w:rsidR="00154102">
        <w:rPr>
          <w:rFonts w:hint="cs"/>
          <w:rtl/>
        </w:rPr>
        <w:t xml:space="preserve"> و</w:t>
      </w:r>
      <w:r>
        <w:rPr>
          <w:rFonts w:hint="cs"/>
          <w:rtl/>
        </w:rPr>
        <w:t>الراء: أصل صحيح واحد يدل على قوة وبُروز،</w:t>
      </w:r>
      <w:r w:rsidR="00154102">
        <w:rPr>
          <w:rFonts w:hint="cs"/>
          <w:rtl/>
        </w:rPr>
        <w:t xml:space="preserve"> و</w:t>
      </w:r>
      <w:r>
        <w:rPr>
          <w:rFonts w:hint="cs"/>
          <w:rtl/>
        </w:rPr>
        <w:t>من ذلك ظهر الشيءُ يظهر ظهورا فهو ظاهر، إذا انكشف</w:t>
      </w:r>
      <w:r w:rsidR="00154102">
        <w:rPr>
          <w:rFonts w:hint="cs"/>
          <w:rtl/>
        </w:rPr>
        <w:t xml:space="preserve"> و</w:t>
      </w:r>
      <w:r>
        <w:rPr>
          <w:rFonts w:hint="cs"/>
          <w:rtl/>
        </w:rPr>
        <w:t>برز،</w:t>
      </w:r>
      <w:r w:rsidR="00154102">
        <w:rPr>
          <w:rFonts w:hint="cs"/>
          <w:rtl/>
        </w:rPr>
        <w:t xml:space="preserve"> و</w:t>
      </w:r>
      <w:r>
        <w:rPr>
          <w:rFonts w:hint="cs"/>
          <w:rtl/>
        </w:rPr>
        <w:t>لذلك سُمّي وقت الظهر</w:t>
      </w:r>
      <w:r w:rsidR="00154102">
        <w:rPr>
          <w:rFonts w:hint="cs"/>
          <w:rtl/>
        </w:rPr>
        <w:t xml:space="preserve"> </w:t>
      </w:r>
      <w:r w:rsidR="00154102">
        <w:rPr>
          <w:rFonts w:hint="cs"/>
          <w:rtl/>
        </w:rPr>
        <w:lastRenderedPageBreak/>
        <w:t>و</w:t>
      </w:r>
      <w:r>
        <w:rPr>
          <w:rFonts w:hint="cs"/>
          <w:rtl/>
        </w:rPr>
        <w:t>الظهيرة،</w:t>
      </w:r>
      <w:r w:rsidR="00154102">
        <w:rPr>
          <w:rFonts w:hint="cs"/>
          <w:rtl/>
        </w:rPr>
        <w:t xml:space="preserve"> و</w:t>
      </w:r>
      <w:r>
        <w:rPr>
          <w:rFonts w:hint="cs"/>
          <w:rtl/>
        </w:rPr>
        <w:t>هو أظهر أوقات النهار</w:t>
      </w:r>
      <w:r w:rsidR="00154102">
        <w:rPr>
          <w:rFonts w:hint="cs"/>
          <w:rtl/>
        </w:rPr>
        <w:t xml:space="preserve"> و</w:t>
      </w:r>
      <w:r>
        <w:rPr>
          <w:rFonts w:hint="cs"/>
          <w:rtl/>
        </w:rPr>
        <w:t>أضوَؤها،</w:t>
      </w:r>
      <w:r w:rsidR="00154102">
        <w:rPr>
          <w:rFonts w:hint="cs"/>
          <w:rtl/>
        </w:rPr>
        <w:t xml:space="preserve"> و</w:t>
      </w:r>
      <w:r>
        <w:rPr>
          <w:rFonts w:hint="cs"/>
          <w:rtl/>
        </w:rPr>
        <w:t>الأصل فيه كله ظهر الإنسان،</w:t>
      </w:r>
      <w:r w:rsidR="00154102">
        <w:rPr>
          <w:rFonts w:hint="cs"/>
          <w:rtl/>
        </w:rPr>
        <w:t xml:space="preserve"> و</w:t>
      </w:r>
      <w:r>
        <w:rPr>
          <w:rFonts w:hint="cs"/>
          <w:rtl/>
        </w:rPr>
        <w:t>خلاف بطنه،</w:t>
      </w:r>
      <w:r w:rsidR="00154102">
        <w:rPr>
          <w:rFonts w:hint="cs"/>
          <w:rtl/>
        </w:rPr>
        <w:t xml:space="preserve"> و</w:t>
      </w:r>
      <w:r>
        <w:rPr>
          <w:rFonts w:hint="cs"/>
          <w:rtl/>
        </w:rPr>
        <w:t>هو يجمع البروز</w:t>
      </w:r>
      <w:r w:rsidR="00154102">
        <w:rPr>
          <w:rFonts w:hint="cs"/>
          <w:rtl/>
        </w:rPr>
        <w:t xml:space="preserve"> و</w:t>
      </w:r>
      <w:r>
        <w:rPr>
          <w:rFonts w:hint="cs"/>
          <w:rtl/>
        </w:rPr>
        <w:t>القوة)</w:t>
      </w:r>
      <w:r w:rsidRPr="00C821A1">
        <w:rPr>
          <w:rStyle w:val="af1"/>
          <w:szCs w:val="32"/>
          <w:rtl/>
        </w:rPr>
        <w:t>(</w:t>
      </w:r>
      <w:r w:rsidRPr="00C821A1">
        <w:rPr>
          <w:rStyle w:val="af1"/>
          <w:szCs w:val="32"/>
          <w:rtl/>
        </w:rPr>
        <w:footnoteReference w:id="378"/>
      </w:r>
      <w:r w:rsidRPr="00C821A1">
        <w:rPr>
          <w:rStyle w:val="af1"/>
          <w:szCs w:val="32"/>
          <w:rtl/>
        </w:rPr>
        <w:t>)</w:t>
      </w:r>
      <w:r>
        <w:rPr>
          <w:rFonts w:hint="cs"/>
          <w:rtl/>
        </w:rPr>
        <w:t>.</w:t>
      </w:r>
    </w:p>
    <w:p w:rsidR="00065E4B" w:rsidRDefault="00065E4B" w:rsidP="00597C20">
      <w:pPr>
        <w:pStyle w:val="53"/>
        <w:rPr>
          <w:rtl/>
        </w:rPr>
      </w:pPr>
      <w:r>
        <w:rPr>
          <w:rFonts w:hint="cs"/>
          <w:rtl/>
        </w:rPr>
        <w:t>ا</w:t>
      </w:r>
      <w:r w:rsidR="00A6645D">
        <w:rPr>
          <w:rFonts w:hint="cs"/>
          <w:rtl/>
        </w:rPr>
        <w:t>لظاهر اصطلاحا :</w:t>
      </w:r>
    </w:p>
    <w:p w:rsidR="00065E4B" w:rsidRDefault="00A6645D" w:rsidP="00597C20">
      <w:pPr>
        <w:ind w:firstLine="720"/>
        <w:rPr>
          <w:rtl/>
        </w:rPr>
      </w:pPr>
      <w:r w:rsidRPr="006828D3">
        <w:rPr>
          <w:rFonts w:hint="cs"/>
          <w:rtl/>
        </w:rPr>
        <w:t>للظاهر تعريفات اصطلاحية كثيرة مختلفة باختلاف العلم الذي يبحث</w:t>
      </w:r>
      <w:r>
        <w:rPr>
          <w:rFonts w:hint="cs"/>
          <w:rtl/>
        </w:rPr>
        <w:t xml:space="preserve"> فيه، فهناك ظاهر أصولي</w:t>
      </w:r>
      <w:r w:rsidR="00154102">
        <w:rPr>
          <w:rFonts w:hint="cs"/>
          <w:rtl/>
        </w:rPr>
        <w:t xml:space="preserve"> و</w:t>
      </w:r>
      <w:r>
        <w:rPr>
          <w:rFonts w:hint="cs"/>
          <w:rtl/>
        </w:rPr>
        <w:t>هو الظاهر المبحوث في الدلالات في أصول الفقه،</w:t>
      </w:r>
      <w:r w:rsidR="00154102">
        <w:rPr>
          <w:rFonts w:hint="cs"/>
          <w:rtl/>
        </w:rPr>
        <w:t xml:space="preserve"> و</w:t>
      </w:r>
      <w:r>
        <w:rPr>
          <w:rFonts w:hint="cs"/>
          <w:rtl/>
        </w:rPr>
        <w:t>هناك ظاهر فقهي</w:t>
      </w:r>
      <w:r w:rsidR="00154102">
        <w:rPr>
          <w:rFonts w:hint="cs"/>
          <w:rtl/>
        </w:rPr>
        <w:t xml:space="preserve"> و</w:t>
      </w:r>
      <w:r>
        <w:rPr>
          <w:rFonts w:hint="cs"/>
          <w:rtl/>
        </w:rPr>
        <w:t>هو الظاهر الذي يكث</w:t>
      </w:r>
      <w:r w:rsidR="00E35ED5">
        <w:rPr>
          <w:rFonts w:hint="cs"/>
          <w:rtl/>
        </w:rPr>
        <w:t>ُ</w:t>
      </w:r>
      <w:r>
        <w:rPr>
          <w:rFonts w:hint="cs"/>
          <w:rtl/>
        </w:rPr>
        <w:t>ر وروده في كتب الفقه</w:t>
      </w:r>
      <w:r w:rsidR="00154102">
        <w:rPr>
          <w:rFonts w:hint="cs"/>
          <w:rtl/>
        </w:rPr>
        <w:t xml:space="preserve"> و</w:t>
      </w:r>
      <w:r>
        <w:rPr>
          <w:rFonts w:hint="cs"/>
          <w:rtl/>
        </w:rPr>
        <w:t>قواعده،</w:t>
      </w:r>
      <w:r w:rsidR="00154102">
        <w:rPr>
          <w:rFonts w:hint="cs"/>
          <w:rtl/>
        </w:rPr>
        <w:t xml:space="preserve"> و</w:t>
      </w:r>
      <w:r>
        <w:rPr>
          <w:rFonts w:hint="cs"/>
          <w:rtl/>
        </w:rPr>
        <w:t>هو المقصود هنا في القاعدة</w:t>
      </w:r>
      <w:r w:rsidRPr="00C821A1">
        <w:rPr>
          <w:rStyle w:val="af1"/>
          <w:szCs w:val="32"/>
          <w:rtl/>
        </w:rPr>
        <w:t>(</w:t>
      </w:r>
      <w:r w:rsidRPr="00C821A1">
        <w:rPr>
          <w:rStyle w:val="af1"/>
          <w:szCs w:val="32"/>
          <w:rtl/>
        </w:rPr>
        <w:footnoteReference w:id="379"/>
      </w:r>
      <w:r w:rsidRPr="00C821A1">
        <w:rPr>
          <w:rStyle w:val="af1"/>
          <w:szCs w:val="32"/>
          <w:rtl/>
        </w:rPr>
        <w:t>)</w:t>
      </w:r>
      <w:r>
        <w:rPr>
          <w:rFonts w:hint="cs"/>
          <w:rtl/>
        </w:rPr>
        <w:t>.</w:t>
      </w:r>
    </w:p>
    <w:p w:rsidR="008A2793" w:rsidRDefault="008A2793" w:rsidP="008A2793">
      <w:pPr>
        <w:ind w:firstLine="0"/>
        <w:rPr>
          <w:b/>
          <w:bCs/>
          <w:rtl/>
        </w:rPr>
      </w:pPr>
      <w:r>
        <w:rPr>
          <w:rFonts w:hint="cs"/>
          <w:b/>
          <w:bCs/>
          <w:rtl/>
        </w:rPr>
        <w:t>أ_ تعريف الظاهر عند الأصوليين:</w:t>
      </w:r>
    </w:p>
    <w:p w:rsidR="008A2793" w:rsidRPr="008A2793" w:rsidRDefault="008A2793" w:rsidP="008A2793">
      <w:pPr>
        <w:ind w:firstLine="0"/>
        <w:rPr>
          <w:rtl/>
        </w:rPr>
      </w:pPr>
      <w:r>
        <w:rPr>
          <w:rFonts w:hint="cs"/>
          <w:rtl/>
        </w:rPr>
        <w:t xml:space="preserve">    ما دل على معنى مع قبوله لإفادة غيره إفادةً مرجوحة</w:t>
      </w:r>
      <w:r w:rsidRPr="008A2793">
        <w:rPr>
          <w:rFonts w:hint="cs"/>
          <w:vertAlign w:val="superscript"/>
          <w:rtl/>
        </w:rPr>
        <w:t>(</w:t>
      </w:r>
      <w:r w:rsidRPr="008A2793">
        <w:rPr>
          <w:rStyle w:val="af1"/>
          <w:rtl/>
        </w:rPr>
        <w:footnoteReference w:id="380"/>
      </w:r>
      <w:r w:rsidRPr="008A2793">
        <w:rPr>
          <w:rFonts w:hint="cs"/>
          <w:vertAlign w:val="superscript"/>
          <w:rtl/>
        </w:rPr>
        <w:t>)</w:t>
      </w:r>
      <w:r>
        <w:rPr>
          <w:rFonts w:hint="cs"/>
          <w:rtl/>
        </w:rPr>
        <w:t>.</w:t>
      </w:r>
    </w:p>
    <w:p w:rsidR="00065E4B" w:rsidRDefault="008A2793" w:rsidP="008A2793">
      <w:pPr>
        <w:pStyle w:val="53"/>
        <w:rPr>
          <w:rtl/>
        </w:rPr>
      </w:pPr>
      <w:r>
        <w:rPr>
          <w:rFonts w:hint="cs"/>
          <w:rtl/>
        </w:rPr>
        <w:t>ب_</w:t>
      </w:r>
      <w:r w:rsidR="00065E4B">
        <w:rPr>
          <w:rFonts w:hint="cs"/>
          <w:rtl/>
        </w:rPr>
        <w:t>ا</w:t>
      </w:r>
      <w:r w:rsidR="00A6645D">
        <w:rPr>
          <w:rFonts w:hint="cs"/>
          <w:rtl/>
        </w:rPr>
        <w:t>لظاهر في القواعد الفقهية:</w:t>
      </w:r>
    </w:p>
    <w:p w:rsidR="00065E4B" w:rsidRDefault="00A6645D" w:rsidP="008A2793">
      <w:pPr>
        <w:keepLines/>
        <w:rPr>
          <w:rStyle w:val="af1"/>
          <w:vertAlign w:val="baseline"/>
          <w:rtl/>
        </w:rPr>
      </w:pPr>
      <w:r>
        <w:rPr>
          <w:rFonts w:hint="cs"/>
          <w:rtl/>
        </w:rPr>
        <w:t>هو الحالة القائمة التي تدل على أمرٍ راجحٍ حصولُه</w:t>
      </w:r>
      <w:r w:rsidRPr="00C821A1">
        <w:rPr>
          <w:rStyle w:val="af1"/>
          <w:szCs w:val="32"/>
          <w:rtl/>
        </w:rPr>
        <w:t>(</w:t>
      </w:r>
      <w:r w:rsidRPr="00C821A1">
        <w:rPr>
          <w:rStyle w:val="af1"/>
          <w:szCs w:val="32"/>
          <w:rtl/>
        </w:rPr>
        <w:footnoteReference w:id="381"/>
      </w:r>
      <w:r w:rsidRPr="00C821A1">
        <w:rPr>
          <w:rStyle w:val="af1"/>
          <w:szCs w:val="32"/>
          <w:rtl/>
        </w:rPr>
        <w:t>)</w:t>
      </w:r>
      <w:r>
        <w:rPr>
          <w:rStyle w:val="af1"/>
          <w:rFonts w:hint="cs"/>
          <w:vertAlign w:val="baseline"/>
          <w:rtl/>
        </w:rPr>
        <w:t>.</w:t>
      </w:r>
    </w:p>
    <w:p w:rsidR="00065E4B" w:rsidRPr="00065E4B" w:rsidRDefault="00065E4B" w:rsidP="00597C20">
      <w:pPr>
        <w:pStyle w:val="53"/>
        <w:rPr>
          <w:rtl/>
        </w:rPr>
      </w:pPr>
      <w:r w:rsidRPr="00065E4B">
        <w:rPr>
          <w:rStyle w:val="af1"/>
          <w:rFonts w:hint="cs"/>
          <w:vertAlign w:val="baseline"/>
          <w:rtl/>
        </w:rPr>
        <w:t>م</w:t>
      </w:r>
      <w:r w:rsidR="00A6645D" w:rsidRPr="00065E4B">
        <w:rPr>
          <w:rStyle w:val="af1"/>
          <w:rFonts w:hint="cs"/>
          <w:vertAlign w:val="baseline"/>
          <w:rtl/>
        </w:rPr>
        <w:t>عنى القاعدة إجمالا:</w:t>
      </w:r>
    </w:p>
    <w:p w:rsidR="00A6645D" w:rsidRDefault="00065E4B" w:rsidP="00597C20">
      <w:pPr>
        <w:keepLines/>
        <w:ind w:firstLine="720"/>
        <w:rPr>
          <w:rtl/>
        </w:rPr>
      </w:pPr>
      <w:r w:rsidRPr="003D3485">
        <w:rPr>
          <w:rFonts w:hint="cs"/>
          <w:rtl/>
        </w:rPr>
        <w:t>إ</w:t>
      </w:r>
      <w:r w:rsidR="00A6645D" w:rsidRPr="003D3485">
        <w:rPr>
          <w:rFonts w:hint="cs"/>
          <w:rtl/>
        </w:rPr>
        <w:t>ذا</w:t>
      </w:r>
      <w:r w:rsidR="00A6645D">
        <w:rPr>
          <w:rFonts w:hint="cs"/>
          <w:rtl/>
        </w:rPr>
        <w:t xml:space="preserve"> تقابل</w:t>
      </w:r>
      <w:r w:rsidR="00A6645D" w:rsidRPr="003D3485">
        <w:rPr>
          <w:rFonts w:hint="cs"/>
          <w:rtl/>
        </w:rPr>
        <w:t xml:space="preserve"> أصلان أو أصل</w:t>
      </w:r>
      <w:r w:rsidR="00154102">
        <w:rPr>
          <w:rFonts w:hint="cs"/>
          <w:rtl/>
        </w:rPr>
        <w:t xml:space="preserve"> و</w:t>
      </w:r>
      <w:r w:rsidR="00A6645D" w:rsidRPr="003D3485">
        <w:rPr>
          <w:rFonts w:hint="cs"/>
          <w:rtl/>
        </w:rPr>
        <w:t>ظاهر</w:t>
      </w:r>
      <w:r w:rsidR="00A6645D">
        <w:rPr>
          <w:rFonts w:hint="cs"/>
          <w:rtl/>
        </w:rPr>
        <w:t xml:space="preserve"> في مسألة ما، بحيث دل أحدهما على عكس ما دل عليه الآخر، كأن دل أحدهما على براءة الذمة،</w:t>
      </w:r>
      <w:r w:rsidR="00154102">
        <w:rPr>
          <w:rFonts w:hint="cs"/>
          <w:rtl/>
        </w:rPr>
        <w:t xml:space="preserve"> و</w:t>
      </w:r>
      <w:r w:rsidR="00A6645D">
        <w:rPr>
          <w:rFonts w:hint="cs"/>
          <w:rtl/>
        </w:rPr>
        <w:t>دل الآخر على شغلها،</w:t>
      </w:r>
      <w:r w:rsidR="00154102">
        <w:rPr>
          <w:rFonts w:hint="cs"/>
          <w:rtl/>
        </w:rPr>
        <w:t xml:space="preserve"> و</w:t>
      </w:r>
      <w:r w:rsidR="00A6645D">
        <w:rPr>
          <w:rFonts w:hint="cs"/>
          <w:rtl/>
        </w:rPr>
        <w:t>لم يمكن العمل بهما جميعا، وجب النظر في الترجيح،</w:t>
      </w:r>
      <w:r w:rsidR="00154102">
        <w:rPr>
          <w:rFonts w:hint="cs"/>
          <w:rtl/>
        </w:rPr>
        <w:t xml:space="preserve"> و</w:t>
      </w:r>
      <w:r w:rsidR="00A6645D">
        <w:rPr>
          <w:rFonts w:hint="cs"/>
          <w:rtl/>
        </w:rPr>
        <w:t>العمل بالأقوى منهما استنادا إلى ضوابط الترجيح التي ارتضاها العلماء</w:t>
      </w:r>
      <w:r w:rsidR="00A6645D" w:rsidRPr="00C821A1">
        <w:rPr>
          <w:rStyle w:val="af1"/>
          <w:szCs w:val="32"/>
          <w:rtl/>
        </w:rPr>
        <w:t>(</w:t>
      </w:r>
      <w:r w:rsidR="00A6645D" w:rsidRPr="00C821A1">
        <w:rPr>
          <w:rStyle w:val="af1"/>
          <w:szCs w:val="32"/>
          <w:rtl/>
        </w:rPr>
        <w:footnoteReference w:id="382"/>
      </w:r>
      <w:r w:rsidR="00A6645D" w:rsidRPr="00C821A1">
        <w:rPr>
          <w:rStyle w:val="af1"/>
          <w:szCs w:val="32"/>
          <w:rtl/>
        </w:rPr>
        <w:t>)</w:t>
      </w:r>
      <w:r w:rsidR="00A6645D">
        <w:rPr>
          <w:rFonts w:hint="cs"/>
          <w:rtl/>
        </w:rPr>
        <w:t>.</w:t>
      </w:r>
    </w:p>
    <w:p w:rsidR="00A6645D" w:rsidRPr="00FD5390" w:rsidRDefault="005B65ED" w:rsidP="00A8347C">
      <w:pPr>
        <w:pStyle w:val="aff3"/>
        <w:rPr>
          <w:rtl/>
        </w:rPr>
      </w:pPr>
      <w:bookmarkStart w:id="79" w:name="_Toc334046332"/>
      <w:r>
        <w:rPr>
          <w:rFonts w:hint="cs"/>
          <w:rtl/>
        </w:rPr>
        <w:lastRenderedPageBreak/>
        <w:t xml:space="preserve">                  </w:t>
      </w:r>
      <w:r w:rsidR="00BE3E18">
        <w:rPr>
          <w:rFonts w:hint="cs"/>
          <w:rtl/>
        </w:rPr>
        <w:t xml:space="preserve">                 </w:t>
      </w:r>
      <w:r w:rsidR="00964480">
        <w:rPr>
          <w:rFonts w:hint="cs"/>
          <w:rtl/>
        </w:rPr>
        <w:t>ا</w:t>
      </w:r>
      <w:r w:rsidR="00A6645D">
        <w:rPr>
          <w:rFonts w:hint="cs"/>
          <w:rtl/>
        </w:rPr>
        <w:t>لمطلب ال</w:t>
      </w:r>
      <w:r w:rsidR="00964480">
        <w:rPr>
          <w:rFonts w:hint="cs"/>
          <w:rtl/>
        </w:rPr>
        <w:t>ثالث</w:t>
      </w:r>
      <w:r w:rsidR="00964480">
        <w:rPr>
          <w:rFonts w:hint="eastAsia"/>
          <w:rtl/>
        </w:rPr>
        <w:t> :</w:t>
      </w:r>
      <w:r w:rsidR="00964480">
        <w:rPr>
          <w:rFonts w:hint="cs"/>
          <w:rtl/>
        </w:rPr>
        <w:br/>
      </w:r>
      <w:r>
        <w:rPr>
          <w:rFonts w:hint="cs"/>
          <w:rtl/>
        </w:rPr>
        <w:t xml:space="preserve">                </w:t>
      </w:r>
      <w:r w:rsidR="00BE3E18">
        <w:rPr>
          <w:rFonts w:hint="cs"/>
          <w:rtl/>
        </w:rPr>
        <w:t xml:space="preserve">                   </w:t>
      </w:r>
      <w:r>
        <w:rPr>
          <w:rFonts w:hint="cs"/>
          <w:rtl/>
        </w:rPr>
        <w:t xml:space="preserve"> </w:t>
      </w:r>
      <w:r w:rsidR="007E4718">
        <w:rPr>
          <w:rFonts w:hint="cs"/>
          <w:rtl/>
        </w:rPr>
        <w:t xml:space="preserve"> </w:t>
      </w:r>
      <w:r w:rsidR="00A6645D">
        <w:rPr>
          <w:rFonts w:hint="cs"/>
          <w:rtl/>
        </w:rPr>
        <w:t>أدلة القاعدة</w:t>
      </w:r>
      <w:r w:rsidR="00A6645D" w:rsidRPr="00C821A1">
        <w:rPr>
          <w:rStyle w:val="af1"/>
          <w:bCs w:val="0"/>
          <w:szCs w:val="32"/>
          <w:rtl/>
        </w:rPr>
        <w:t>(</w:t>
      </w:r>
      <w:r w:rsidR="00A6645D" w:rsidRPr="00C821A1">
        <w:rPr>
          <w:rStyle w:val="af1"/>
          <w:bCs w:val="0"/>
          <w:szCs w:val="32"/>
          <w:rtl/>
        </w:rPr>
        <w:footnoteReference w:id="383"/>
      </w:r>
      <w:r w:rsidR="00A6645D" w:rsidRPr="00C821A1">
        <w:rPr>
          <w:rStyle w:val="af1"/>
          <w:bCs w:val="0"/>
          <w:szCs w:val="32"/>
          <w:rtl/>
        </w:rPr>
        <w:t>)</w:t>
      </w:r>
      <w:bookmarkEnd w:id="79"/>
    </w:p>
    <w:p w:rsidR="00A6645D" w:rsidRPr="0005774A" w:rsidRDefault="00A6645D" w:rsidP="000A76C7">
      <w:pPr>
        <w:pStyle w:val="afc"/>
        <w:widowControl/>
        <w:numPr>
          <w:ilvl w:val="0"/>
          <w:numId w:val="68"/>
        </w:numPr>
        <w:autoSpaceDE w:val="0"/>
        <w:autoSpaceDN w:val="0"/>
        <w:adjustRightInd w:val="0"/>
        <w:rPr>
          <w:rStyle w:val="af1"/>
          <w:rFonts w:ascii="Traditional Arabic" w:hAnsi="Traditional Arabic"/>
          <w:noProof w:val="0"/>
          <w:color w:val="auto"/>
          <w:vertAlign w:val="baseline"/>
          <w:lang w:eastAsia="en-US"/>
        </w:rPr>
      </w:pPr>
      <w:r w:rsidRPr="0005774A">
        <w:rPr>
          <w:rFonts w:ascii="Traditional Arabic" w:hAnsi="Traditional Arabic" w:hint="cs"/>
          <w:noProof w:val="0"/>
          <w:color w:val="auto"/>
          <w:rtl/>
          <w:lang w:eastAsia="en-US"/>
        </w:rPr>
        <w:t xml:space="preserve">حديث </w:t>
      </w:r>
      <w:r w:rsidRPr="0005774A">
        <w:rPr>
          <w:rFonts w:ascii="Traditional Arabic" w:hAnsi="Traditional Arabic"/>
          <w:noProof w:val="0"/>
          <w:color w:val="auto"/>
          <w:rtl/>
          <w:lang w:eastAsia="en-US"/>
        </w:rPr>
        <w:t>حمنة</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بنت ج</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ح</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ش</w:t>
      </w:r>
      <w:r w:rsidR="007E4718">
        <w:rPr>
          <w:rFonts w:ascii="Traditional Arabic" w:hAnsi="Traditional Arabic" w:hint="cs"/>
          <w:noProof w:val="0"/>
          <w:color w:val="auto"/>
          <w:rtl/>
          <w:lang w:eastAsia="en-US"/>
        </w:rPr>
        <w:t>_رضي الله عنها_</w:t>
      </w:r>
      <w:r w:rsidR="00AB0B9E" w:rsidRPr="00C85F0F">
        <w:rPr>
          <w:rFonts w:ascii="Traditional Arabic" w:hAnsi="Traditional Arabic"/>
          <w:noProof w:val="0"/>
          <w:color w:val="auto"/>
          <w:rtl/>
          <w:lang w:eastAsia="en-US"/>
        </w:rPr>
        <w:fldChar w:fldCharType="begin"/>
      </w:r>
      <w:r w:rsidR="004F50F0" w:rsidRPr="00C85F0F">
        <w:rPr>
          <w:rFonts w:ascii="Traditional Arabic" w:hAnsi="Traditional Arabic"/>
          <w:noProof w:val="0"/>
          <w:color w:val="auto"/>
          <w:lang w:eastAsia="en-US"/>
        </w:rPr>
        <w:instrText>XE</w:instrText>
      </w:r>
      <w:r w:rsidR="004F50F0" w:rsidRPr="00C85F0F">
        <w:rPr>
          <w:rFonts w:ascii="Traditional Arabic" w:hAnsi="Traditional Arabic"/>
          <w:noProof w:val="0"/>
          <w:color w:val="auto"/>
          <w:rtl/>
          <w:lang w:eastAsia="en-US"/>
        </w:rPr>
        <w:instrText xml:space="preserve"> "حمنة</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 xml:space="preserve"> بنت ج</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ح</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ش</w:instrText>
      </w:r>
      <w:r w:rsidR="004F50F0" w:rsidRPr="00C85F0F">
        <w:rPr>
          <w:rtl/>
        </w:rPr>
        <w:instrText>"\</w:instrText>
      </w:r>
      <w:r w:rsidR="004F50F0" w:rsidRPr="00C85F0F">
        <w:instrText>fa</w:instrText>
      </w:r>
      <w:r w:rsidR="004F50F0" w:rsidRPr="00C85F0F">
        <w:rPr>
          <w:rtl/>
        </w:rPr>
        <w:instrText>"</w:instrText>
      </w:r>
      <w:r w:rsidR="00AB0B9E" w:rsidRPr="00C85F0F">
        <w:rPr>
          <w:rFonts w:ascii="Traditional Arabic" w:hAnsi="Traditional Arabic"/>
          <w:noProof w:val="0"/>
          <w:color w:val="auto"/>
          <w:rtl/>
          <w:lang w:eastAsia="en-US"/>
        </w:rPr>
        <w:fldChar w:fldCharType="end"/>
      </w:r>
      <w:r w:rsidRPr="00C85F0F">
        <w:rPr>
          <w:rStyle w:val="af1"/>
          <w:color w:val="auto"/>
          <w:szCs w:val="32"/>
          <w:rtl/>
        </w:rPr>
        <w:t>(</w:t>
      </w:r>
      <w:r w:rsidRPr="00C85F0F">
        <w:rPr>
          <w:rStyle w:val="af1"/>
          <w:color w:val="auto"/>
          <w:szCs w:val="32"/>
          <w:rtl/>
        </w:rPr>
        <w:footnoteReference w:id="384"/>
      </w:r>
      <w:r w:rsidRPr="00C85F0F">
        <w:rPr>
          <w:rStyle w:val="af1"/>
          <w:color w:val="auto"/>
          <w:szCs w:val="32"/>
          <w:rtl/>
        </w:rPr>
        <w:t>)</w:t>
      </w:r>
      <w:r w:rsidRPr="00C85F0F">
        <w:rPr>
          <w:rFonts w:ascii="Traditional Arabic" w:hAnsi="Traditional Arabic" w:hint="cs"/>
          <w:noProof w:val="0"/>
          <w:color w:val="auto"/>
          <w:rtl/>
          <w:lang w:eastAsia="en-US"/>
        </w:rPr>
        <w:t xml:space="preserve">، لما اشتكت إلى النبي </w:t>
      </w:r>
      <w:r w:rsidR="000F5C0F">
        <w:rPr>
          <w:rFonts w:ascii="Traditional Arabic" w:hAnsi="Traditional Arabic" w:cs="CTraditional Arabic" w:hint="cs"/>
          <w:noProof w:val="0"/>
          <w:color w:val="auto"/>
          <w:rtl/>
          <w:lang w:eastAsia="en-US"/>
        </w:rPr>
        <w:t>ق</w:t>
      </w:r>
      <w:r w:rsidRPr="00C85F0F">
        <w:rPr>
          <w:rFonts w:ascii="Traditional Arabic" w:hAnsi="Traditional Arabic" w:hint="cs"/>
          <w:noProof w:val="0"/>
          <w:color w:val="auto"/>
          <w:rtl/>
          <w:lang w:eastAsia="en-US"/>
        </w:rPr>
        <w:t xml:space="preserve"> أنها</w:t>
      </w:r>
      <w:r w:rsidR="00A422DD">
        <w:rPr>
          <w:rFonts w:ascii="Traditional Arabic" w:hAnsi="Traditional Arabic" w:hint="cs"/>
          <w:noProof w:val="0"/>
          <w:color w:val="auto"/>
          <w:rtl/>
          <w:lang w:eastAsia="en-US"/>
        </w:rPr>
        <w:t xml:space="preserve"> </w:t>
      </w:r>
      <w:r w:rsidRPr="00C85F0F">
        <w:rPr>
          <w:rFonts w:ascii="Traditional Arabic" w:hAnsi="Traditional Arabic" w:hint="cs"/>
          <w:noProof w:val="0"/>
          <w:color w:val="auto"/>
          <w:rtl/>
          <w:lang w:eastAsia="en-US"/>
        </w:rPr>
        <w:t>تُ</w:t>
      </w:r>
      <w:r w:rsidRPr="00C85F0F">
        <w:rPr>
          <w:rFonts w:ascii="Traditional Arabic" w:hAnsi="Traditional Arabic"/>
          <w:noProof w:val="0"/>
          <w:color w:val="auto"/>
          <w:rtl/>
          <w:lang w:eastAsia="en-US"/>
        </w:rPr>
        <w:t>ستحاض حيضة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كثيرة شديدة</w:t>
      </w:r>
      <w:r w:rsidRPr="00C85F0F">
        <w:rPr>
          <w:rFonts w:ascii="Traditional Arabic" w:hAnsi="Traditional Arabic" w:hint="cs"/>
          <w:noProof w:val="0"/>
          <w:color w:val="auto"/>
          <w:rtl/>
          <w:lang w:eastAsia="en-US"/>
        </w:rPr>
        <w:t>،</w:t>
      </w:r>
      <w:r w:rsidR="00154102" w:rsidRPr="00C85F0F">
        <w:rPr>
          <w:rFonts w:ascii="Traditional Arabic" w:hAnsi="Traditional Arabic" w:hint="cs"/>
          <w:noProof w:val="0"/>
          <w:color w:val="auto"/>
          <w:rtl/>
          <w:lang w:eastAsia="en-US"/>
        </w:rPr>
        <w:t xml:space="preserve"> و</w:t>
      </w:r>
      <w:r w:rsidRPr="00C85F0F">
        <w:rPr>
          <w:rFonts w:ascii="Traditional Arabic" w:hAnsi="Traditional Arabic" w:hint="cs"/>
          <w:noProof w:val="0"/>
          <w:color w:val="auto"/>
          <w:rtl/>
          <w:lang w:eastAsia="en-US"/>
        </w:rPr>
        <w:t xml:space="preserve">فيه أنه </w:t>
      </w:r>
      <w:r w:rsidR="000F5C0F">
        <w:rPr>
          <w:rFonts w:ascii="Traditional Arabic" w:hAnsi="Traditional Arabic" w:cs="CTraditional Arabic" w:hint="cs"/>
          <w:noProof w:val="0"/>
          <w:color w:val="auto"/>
          <w:rtl/>
          <w:lang w:eastAsia="en-US"/>
        </w:rPr>
        <w:t>ق</w:t>
      </w:r>
      <w:r w:rsidRPr="00C85F0F">
        <w:rPr>
          <w:rFonts w:ascii="Traditional Arabic" w:hAnsi="Traditional Arabic" w:hint="cs"/>
          <w:noProof w:val="0"/>
          <w:color w:val="auto"/>
          <w:rtl/>
          <w:lang w:eastAsia="en-US"/>
        </w:rPr>
        <w:t xml:space="preserve"> قال لها:"</w:t>
      </w:r>
      <w:r w:rsidRPr="00C85F0F">
        <w:rPr>
          <w:rFonts w:ascii="Traditional Arabic" w:hAnsi="Traditional Arabic"/>
          <w:noProof w:val="0"/>
          <w:color w:val="auto"/>
          <w:rtl/>
          <w:lang w:eastAsia="en-US"/>
        </w:rPr>
        <w:t xml:space="preserve"> إنما هذه </w:t>
      </w:r>
      <w:r w:rsidRPr="00C85F0F">
        <w:rPr>
          <w:rFonts w:ascii="Traditional Arabic" w:hAnsi="Traditional Arabic" w:hint="cs"/>
          <w:noProof w:val="0"/>
          <w:color w:val="auto"/>
          <w:rtl/>
          <w:lang w:eastAsia="en-US"/>
        </w:rPr>
        <w:t>رَكْ</w:t>
      </w:r>
      <w:r w:rsidRPr="00C85F0F">
        <w:rPr>
          <w:rFonts w:ascii="Traditional Arabic" w:hAnsi="Traditional Arabic"/>
          <w:noProof w:val="0"/>
          <w:color w:val="auto"/>
          <w:rtl/>
          <w:lang w:eastAsia="en-US"/>
        </w:rPr>
        <w:t>ض</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من 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ضات الش</w:t>
      </w:r>
      <w:r w:rsidRPr="00C85F0F">
        <w:rPr>
          <w:rFonts w:ascii="Traditional Arabic" w:hAnsi="Traditional Arabic" w:hint="cs"/>
          <w:noProof w:val="0"/>
          <w:color w:val="auto"/>
          <w:rtl/>
          <w:lang w:eastAsia="en-US"/>
        </w:rPr>
        <w:t>ي</w:t>
      </w:r>
      <w:r w:rsidRPr="00C85F0F">
        <w:rPr>
          <w:rFonts w:ascii="Traditional Arabic" w:hAnsi="Traditional Arabic"/>
          <w:noProof w:val="0"/>
          <w:color w:val="auto"/>
          <w:rtl/>
          <w:lang w:eastAsia="en-US"/>
        </w:rPr>
        <w:t>طان</w:t>
      </w:r>
      <w:r w:rsidRPr="00C85F0F">
        <w:rPr>
          <w:rFonts w:ascii="Traditional Arabic" w:hAnsi="Traditional Arabic" w:hint="cs"/>
          <w:noProof w:val="0"/>
          <w:color w:val="auto"/>
          <w:rtl/>
          <w:lang w:eastAsia="en-US"/>
        </w:rPr>
        <w:t>،</w:t>
      </w:r>
      <w:r w:rsidR="00AB0B9E" w:rsidRPr="00C85F0F">
        <w:rPr>
          <w:rFonts w:ascii="Traditional Arabic" w:hAnsi="Traditional Arabic"/>
          <w:noProof w:val="0"/>
          <w:color w:val="auto"/>
          <w:lang w:eastAsia="en-US"/>
        </w:rPr>
        <w:fldChar w:fldCharType="begin"/>
      </w:r>
      <w:r w:rsidR="00F706D7" w:rsidRPr="00C85F0F">
        <w:instrText>XE</w:instrText>
      </w:r>
      <w:r w:rsidR="00F706D7" w:rsidRPr="00C85F0F">
        <w:rPr>
          <w:rtl/>
        </w:rPr>
        <w:instrText xml:space="preserve"> "</w:instrText>
      </w:r>
      <w:r w:rsidR="00F706D7" w:rsidRPr="00C85F0F">
        <w:rPr>
          <w:rFonts w:ascii="Traditional Arabic" w:hAnsi="Traditional Arabic"/>
          <w:noProof w:val="0"/>
          <w:color w:val="auto"/>
          <w:rtl/>
          <w:lang w:eastAsia="en-US"/>
        </w:rPr>
        <w:instrText xml:space="preserve">إنما هذه </w:instrText>
      </w:r>
      <w:r w:rsidR="00F706D7" w:rsidRPr="00C85F0F">
        <w:rPr>
          <w:rFonts w:ascii="Traditional Arabic" w:hAnsi="Traditional Arabic" w:hint="cs"/>
          <w:noProof w:val="0"/>
          <w:color w:val="auto"/>
          <w:rtl/>
          <w:lang w:eastAsia="en-US"/>
        </w:rPr>
        <w:instrText>رَكْ</w:instrText>
      </w:r>
      <w:r w:rsidR="00F706D7" w:rsidRPr="00C85F0F">
        <w:rPr>
          <w:rFonts w:ascii="Traditional Arabic" w:hAnsi="Traditional Arabic"/>
          <w:noProof w:val="0"/>
          <w:color w:val="auto"/>
          <w:rtl/>
          <w:lang w:eastAsia="en-US"/>
        </w:rPr>
        <w:instrText>ض</w:instrText>
      </w:r>
      <w:r w:rsidR="00F706D7" w:rsidRPr="00C85F0F">
        <w:rPr>
          <w:rFonts w:ascii="Traditional Arabic" w:hAnsi="Traditional Arabic" w:hint="cs"/>
          <w:noProof w:val="0"/>
          <w:color w:val="auto"/>
          <w:rtl/>
          <w:lang w:eastAsia="en-US"/>
        </w:rPr>
        <w:instrText>َ</w:instrText>
      </w:r>
      <w:r w:rsidR="00F706D7" w:rsidRPr="00C85F0F">
        <w:rPr>
          <w:rFonts w:ascii="Traditional Arabic" w:hAnsi="Traditional Arabic"/>
          <w:noProof w:val="0"/>
          <w:color w:val="auto"/>
          <w:rtl/>
          <w:lang w:eastAsia="en-US"/>
        </w:rPr>
        <w:instrText>ة</w:instrText>
      </w:r>
      <w:r w:rsidR="00F706D7" w:rsidRPr="00C85F0F">
        <w:rPr>
          <w:rFonts w:ascii="Traditional Arabic" w:hAnsi="Traditional Arabic" w:hint="cs"/>
          <w:noProof w:val="0"/>
          <w:color w:val="auto"/>
          <w:rtl/>
          <w:lang w:eastAsia="en-US"/>
        </w:rPr>
        <w:instrText>ٌ</w:instrText>
      </w:r>
      <w:r w:rsidR="00F706D7" w:rsidRPr="00C85F0F">
        <w:rPr>
          <w:rFonts w:ascii="Traditional Arabic" w:hAnsi="Traditional Arabic"/>
          <w:noProof w:val="0"/>
          <w:color w:val="auto"/>
          <w:rtl/>
          <w:lang w:eastAsia="en-US"/>
        </w:rPr>
        <w:instrText xml:space="preserve"> من ر</w:instrText>
      </w:r>
      <w:r w:rsidR="00F706D7" w:rsidRPr="00C85F0F">
        <w:rPr>
          <w:rFonts w:ascii="Traditional Arabic" w:hAnsi="Traditional Arabic" w:hint="cs"/>
          <w:noProof w:val="0"/>
          <w:color w:val="auto"/>
          <w:rtl/>
          <w:lang w:eastAsia="en-US"/>
        </w:rPr>
        <w:instrText>َ</w:instrText>
      </w:r>
      <w:r w:rsidR="00F706D7" w:rsidRPr="00C85F0F">
        <w:rPr>
          <w:rFonts w:ascii="Traditional Arabic" w:hAnsi="Traditional Arabic"/>
          <w:noProof w:val="0"/>
          <w:color w:val="auto"/>
          <w:rtl/>
          <w:lang w:eastAsia="en-US"/>
        </w:rPr>
        <w:instrText>ك</w:instrText>
      </w:r>
      <w:r w:rsidR="00F706D7" w:rsidRPr="00C85F0F">
        <w:rPr>
          <w:rFonts w:ascii="Traditional Arabic" w:hAnsi="Traditional Arabic" w:hint="cs"/>
          <w:noProof w:val="0"/>
          <w:color w:val="auto"/>
          <w:rtl/>
          <w:lang w:eastAsia="en-US"/>
        </w:rPr>
        <w:instrText>َ</w:instrText>
      </w:r>
      <w:r w:rsidR="00F706D7" w:rsidRPr="00C85F0F">
        <w:rPr>
          <w:rFonts w:ascii="Traditional Arabic" w:hAnsi="Traditional Arabic"/>
          <w:noProof w:val="0"/>
          <w:color w:val="auto"/>
          <w:rtl/>
          <w:lang w:eastAsia="en-US"/>
        </w:rPr>
        <w:instrText>ضات الش</w:instrText>
      </w:r>
      <w:r w:rsidR="00F706D7" w:rsidRPr="00C85F0F">
        <w:rPr>
          <w:rFonts w:ascii="Traditional Arabic" w:hAnsi="Traditional Arabic" w:hint="cs"/>
          <w:noProof w:val="0"/>
          <w:color w:val="auto"/>
          <w:rtl/>
          <w:lang w:eastAsia="en-US"/>
        </w:rPr>
        <w:instrText>ي</w:instrText>
      </w:r>
      <w:r w:rsidR="00F706D7" w:rsidRPr="00C85F0F">
        <w:rPr>
          <w:rFonts w:ascii="Traditional Arabic" w:hAnsi="Traditional Arabic"/>
          <w:noProof w:val="0"/>
          <w:color w:val="auto"/>
          <w:rtl/>
          <w:lang w:eastAsia="en-US"/>
        </w:rPr>
        <w:instrText>طان</w:instrText>
      </w:r>
      <w:r w:rsidR="00F706D7" w:rsidRPr="00C85F0F">
        <w:rPr>
          <w:rFonts w:ascii="Traditional Arabic" w:hAnsi="Traditional Arabic" w:hint="cs"/>
          <w:noProof w:val="0"/>
          <w:color w:val="auto"/>
          <w:rtl/>
          <w:lang w:eastAsia="en-US"/>
        </w:rPr>
        <w:instrText>،</w:instrText>
      </w:r>
      <w:r w:rsidR="00F706D7" w:rsidRPr="00C85F0F">
        <w:rPr>
          <w:rtl/>
        </w:rPr>
        <w:instrText>" \</w:instrText>
      </w:r>
      <w:r w:rsidR="00F706D7" w:rsidRPr="00C85F0F">
        <w:instrText>fh</w:instrText>
      </w:r>
      <w:r w:rsidR="00AB0B9E" w:rsidRPr="00C85F0F">
        <w:rPr>
          <w:rFonts w:ascii="Traditional Arabic" w:hAnsi="Traditional Arabic"/>
          <w:noProof w:val="0"/>
          <w:color w:val="auto"/>
          <w:lang w:eastAsia="en-US"/>
        </w:rPr>
        <w:fldChar w:fldCharType="end"/>
      </w:r>
      <w:r w:rsidRPr="00706269">
        <w:rPr>
          <w:rFonts w:ascii="Traditional Arabic" w:hAnsi="Traditional Arabic"/>
          <w:noProof w:val="0"/>
          <w:color w:val="auto"/>
          <w:rtl/>
          <w:lang w:eastAsia="en-US"/>
        </w:rPr>
        <w:t>فتحي</w:t>
      </w:r>
      <w:r w:rsidRPr="00706269">
        <w:rPr>
          <w:rFonts w:ascii="Traditional Arabic" w:hAnsi="Traditional Arabic" w:hint="cs"/>
          <w:noProof w:val="0"/>
          <w:color w:val="auto"/>
          <w:rtl/>
          <w:lang w:eastAsia="en-US"/>
        </w:rPr>
        <w:t>َّ</w:t>
      </w:r>
      <w:r w:rsidRPr="00706269">
        <w:rPr>
          <w:rFonts w:ascii="Traditional Arabic" w:hAnsi="Traditional Arabic"/>
          <w:noProof w:val="0"/>
          <w:color w:val="auto"/>
          <w:rtl/>
          <w:lang w:eastAsia="en-US"/>
        </w:rPr>
        <w:t>ضى ستة أيام أو سبعة أيام</w:t>
      </w:r>
      <w:r w:rsidRPr="0005774A">
        <w:rPr>
          <w:rFonts w:ascii="Traditional Arabic" w:hAnsi="Traditional Arabic"/>
          <w:noProof w:val="0"/>
          <w:color w:val="auto"/>
          <w:rtl/>
          <w:lang w:eastAsia="en-US"/>
        </w:rPr>
        <w:t xml:space="preserve"> ف</w:t>
      </w:r>
      <w:r w:rsidRPr="0005774A">
        <w:rPr>
          <w:rFonts w:ascii="Traditional Arabic" w:hAnsi="Traditional Arabic" w:hint="cs"/>
          <w:noProof w:val="0"/>
          <w:color w:val="auto"/>
          <w:rtl/>
          <w:lang w:eastAsia="en-US"/>
        </w:rPr>
        <w:t>ي</w:t>
      </w:r>
      <w:r w:rsidRPr="0005774A">
        <w:rPr>
          <w:rFonts w:ascii="Traditional Arabic" w:hAnsi="Traditional Arabic"/>
          <w:noProof w:val="0"/>
          <w:color w:val="auto"/>
          <w:rtl/>
          <w:lang w:eastAsia="en-US"/>
        </w:rPr>
        <w:t xml:space="preserve"> علم الله</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ثم اغتسل</w:t>
      </w:r>
      <w:r w:rsidRPr="0005774A">
        <w:rPr>
          <w:rFonts w:ascii="Traditional Arabic" w:hAnsi="Traditional Arabic" w:hint="cs"/>
          <w:noProof w:val="0"/>
          <w:color w:val="auto"/>
          <w:rtl/>
          <w:lang w:eastAsia="en-US"/>
        </w:rPr>
        <w:t>ي</w:t>
      </w:r>
      <w:r w:rsidRPr="0005774A">
        <w:rPr>
          <w:rFonts w:ascii="Traditional Arabic" w:hAnsi="Traditional Arabic"/>
          <w:noProof w:val="0"/>
          <w:color w:val="auto"/>
          <w:rtl/>
          <w:lang w:eastAsia="en-US"/>
        </w:rPr>
        <w:t xml:space="preserve"> حتى إذا رأيت</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أنك قد طهرت</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واستن</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ق</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أ</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ت</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فصل</w:t>
      </w:r>
      <w:r w:rsidRPr="0005774A">
        <w:rPr>
          <w:rFonts w:ascii="Traditional Arabic" w:hAnsi="Traditional Arabic" w:hint="cs"/>
          <w:noProof w:val="0"/>
          <w:color w:val="auto"/>
          <w:rtl/>
          <w:lang w:eastAsia="en-US"/>
        </w:rPr>
        <w:t>ي</w:t>
      </w:r>
      <w:r w:rsidRPr="0005774A">
        <w:rPr>
          <w:rFonts w:ascii="Traditional Arabic" w:hAnsi="Traditional Arabic"/>
          <w:noProof w:val="0"/>
          <w:color w:val="auto"/>
          <w:rtl/>
          <w:lang w:eastAsia="en-US"/>
        </w:rPr>
        <w:t xml:space="preserve"> ثلاثا وعشرين ليلة أو أربعا وعشرين ليلة وأيام</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ها وصوم</w:t>
      </w:r>
      <w:r w:rsidRPr="0005774A">
        <w:rPr>
          <w:rFonts w:ascii="Traditional Arabic" w:hAnsi="Traditional Arabic" w:hint="cs"/>
          <w:noProof w:val="0"/>
          <w:color w:val="auto"/>
          <w:rtl/>
          <w:lang w:eastAsia="en-US"/>
        </w:rPr>
        <w:t>ي،</w:t>
      </w:r>
      <w:r w:rsidRPr="0005774A">
        <w:rPr>
          <w:rFonts w:ascii="Traditional Arabic" w:hAnsi="Traditional Arabic"/>
          <w:noProof w:val="0"/>
          <w:color w:val="auto"/>
          <w:rtl/>
          <w:lang w:eastAsia="en-US"/>
        </w:rPr>
        <w:t xml:space="preserve"> فإن ذلك ي</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ج</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ز</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ئك</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وكذلك فافعل</w:t>
      </w:r>
      <w:r w:rsidRPr="0005774A">
        <w:rPr>
          <w:rFonts w:ascii="Traditional Arabic" w:hAnsi="Traditional Arabic" w:hint="cs"/>
          <w:noProof w:val="0"/>
          <w:color w:val="auto"/>
          <w:rtl/>
          <w:lang w:eastAsia="en-US"/>
        </w:rPr>
        <w:t>ي</w:t>
      </w:r>
      <w:r w:rsidRPr="0005774A">
        <w:rPr>
          <w:rFonts w:ascii="Traditional Arabic" w:hAnsi="Traditional Arabic"/>
          <w:noProof w:val="0"/>
          <w:color w:val="auto"/>
          <w:rtl/>
          <w:lang w:eastAsia="en-US"/>
        </w:rPr>
        <w:t xml:space="preserve"> ف</w:t>
      </w:r>
      <w:r w:rsidRPr="0005774A">
        <w:rPr>
          <w:rFonts w:ascii="Traditional Arabic" w:hAnsi="Traditional Arabic" w:hint="cs"/>
          <w:noProof w:val="0"/>
          <w:color w:val="auto"/>
          <w:rtl/>
          <w:lang w:eastAsia="en-US"/>
        </w:rPr>
        <w:t>ي</w:t>
      </w:r>
      <w:r w:rsidRPr="0005774A">
        <w:rPr>
          <w:rFonts w:ascii="Traditional Arabic" w:hAnsi="Traditional Arabic"/>
          <w:noProof w:val="0"/>
          <w:color w:val="auto"/>
          <w:rtl/>
          <w:lang w:eastAsia="en-US"/>
        </w:rPr>
        <w:t xml:space="preserve"> كل شهر </w:t>
      </w:r>
      <w:r w:rsidRPr="00706269">
        <w:rPr>
          <w:rFonts w:ascii="Traditional Arabic" w:hAnsi="Traditional Arabic"/>
          <w:noProof w:val="0"/>
          <w:color w:val="auto"/>
          <w:rtl/>
          <w:lang w:eastAsia="en-US"/>
        </w:rPr>
        <w:t>كما تحيض النساء وكما ي</w:t>
      </w:r>
      <w:r w:rsidRPr="00706269">
        <w:rPr>
          <w:rFonts w:ascii="Traditional Arabic" w:hAnsi="Traditional Arabic" w:hint="cs"/>
          <w:noProof w:val="0"/>
          <w:color w:val="auto"/>
          <w:rtl/>
          <w:lang w:eastAsia="en-US"/>
        </w:rPr>
        <w:t>َ</w:t>
      </w:r>
      <w:r w:rsidRPr="00706269">
        <w:rPr>
          <w:rFonts w:ascii="Traditional Arabic" w:hAnsi="Traditional Arabic"/>
          <w:noProof w:val="0"/>
          <w:color w:val="auto"/>
          <w:rtl/>
          <w:lang w:eastAsia="en-US"/>
        </w:rPr>
        <w:t>ط</w:t>
      </w:r>
      <w:r w:rsidRPr="00706269">
        <w:rPr>
          <w:rFonts w:ascii="Traditional Arabic" w:hAnsi="Traditional Arabic" w:hint="cs"/>
          <w:noProof w:val="0"/>
          <w:color w:val="auto"/>
          <w:rtl/>
          <w:lang w:eastAsia="en-US"/>
        </w:rPr>
        <w:t>ْ</w:t>
      </w:r>
      <w:r w:rsidRPr="00706269">
        <w:rPr>
          <w:rFonts w:ascii="Traditional Arabic" w:hAnsi="Traditional Arabic"/>
          <w:noProof w:val="0"/>
          <w:color w:val="auto"/>
          <w:rtl/>
          <w:lang w:eastAsia="en-US"/>
        </w:rPr>
        <w:t>ه</w:t>
      </w:r>
      <w:r w:rsidRPr="00706269">
        <w:rPr>
          <w:rFonts w:ascii="Traditional Arabic" w:hAnsi="Traditional Arabic" w:hint="cs"/>
          <w:noProof w:val="0"/>
          <w:color w:val="auto"/>
          <w:rtl/>
          <w:lang w:eastAsia="en-US"/>
        </w:rPr>
        <w:t>ُ</w:t>
      </w:r>
      <w:r w:rsidRPr="00706269">
        <w:rPr>
          <w:rFonts w:ascii="Traditional Arabic" w:hAnsi="Traditional Arabic"/>
          <w:noProof w:val="0"/>
          <w:color w:val="auto"/>
          <w:rtl/>
          <w:lang w:eastAsia="en-US"/>
        </w:rPr>
        <w:t>رن ميقات حيضهن وط</w:t>
      </w:r>
      <w:r w:rsidRPr="00706269">
        <w:rPr>
          <w:rFonts w:ascii="Traditional Arabic" w:hAnsi="Traditional Arabic" w:hint="cs"/>
          <w:noProof w:val="0"/>
          <w:color w:val="auto"/>
          <w:rtl/>
          <w:lang w:eastAsia="en-US"/>
        </w:rPr>
        <w:t>ُ</w:t>
      </w:r>
      <w:r w:rsidRPr="00706269">
        <w:rPr>
          <w:rFonts w:ascii="Traditional Arabic" w:hAnsi="Traditional Arabic"/>
          <w:noProof w:val="0"/>
          <w:color w:val="auto"/>
          <w:rtl/>
          <w:lang w:eastAsia="en-US"/>
        </w:rPr>
        <w:t>هرهن</w:t>
      </w:r>
      <w:r w:rsidRPr="0005774A">
        <w:rPr>
          <w:rFonts w:ascii="Traditional Arabic" w:hAnsi="Traditional Arabic" w:hint="cs"/>
          <w:noProof w:val="0"/>
          <w:color w:val="auto"/>
          <w:rtl/>
          <w:lang w:eastAsia="en-US"/>
        </w:rPr>
        <w:t>...</w:t>
      </w:r>
      <w:r w:rsidRPr="0005774A">
        <w:rPr>
          <w:rStyle w:val="af1"/>
          <w:rFonts w:hint="cs"/>
          <w:color w:val="auto"/>
          <w:vertAlign w:val="baseline"/>
          <w:rtl/>
        </w:rPr>
        <w:t>"</w:t>
      </w:r>
      <w:r w:rsidRPr="00C821A1">
        <w:rPr>
          <w:rStyle w:val="af1"/>
          <w:color w:val="auto"/>
          <w:szCs w:val="32"/>
          <w:rtl/>
        </w:rPr>
        <w:t>(</w:t>
      </w:r>
      <w:r w:rsidRPr="00C821A1">
        <w:rPr>
          <w:rStyle w:val="af1"/>
          <w:color w:val="auto"/>
          <w:szCs w:val="32"/>
          <w:rtl/>
        </w:rPr>
        <w:footnoteReference w:id="385"/>
      </w:r>
      <w:r w:rsidRPr="00C821A1">
        <w:rPr>
          <w:rStyle w:val="af1"/>
          <w:color w:val="auto"/>
          <w:szCs w:val="32"/>
          <w:rtl/>
        </w:rPr>
        <w:t>)</w:t>
      </w:r>
      <w:r w:rsidRPr="0005774A">
        <w:rPr>
          <w:rStyle w:val="af1"/>
          <w:rFonts w:hint="cs"/>
          <w:color w:val="auto"/>
          <w:vertAlign w:val="baseline"/>
          <w:rtl/>
        </w:rPr>
        <w:t>.</w:t>
      </w:r>
    </w:p>
    <w:p w:rsidR="00F228A9" w:rsidRDefault="00A6645D" w:rsidP="00597C20">
      <w:pPr>
        <w:pStyle w:val="53"/>
        <w:rPr>
          <w:rtl/>
        </w:rPr>
      </w:pPr>
      <w:r w:rsidRPr="0005774A">
        <w:rPr>
          <w:rFonts w:hint="cs"/>
          <w:rtl/>
        </w:rPr>
        <w:lastRenderedPageBreak/>
        <w:t>وجه الدلالة:</w:t>
      </w:r>
    </w:p>
    <w:p w:rsidR="00A6645D" w:rsidRPr="0005774A" w:rsidRDefault="00A6645D" w:rsidP="00597C20">
      <w:pPr>
        <w:pStyle w:val="afc"/>
        <w:widowControl/>
        <w:autoSpaceDE w:val="0"/>
        <w:autoSpaceDN w:val="0"/>
        <w:adjustRightInd w:val="0"/>
        <w:ind w:firstLine="0"/>
        <w:rPr>
          <w:rFonts w:ascii="Traditional Arabic" w:hAnsi="Traditional Arabic"/>
          <w:noProof w:val="0"/>
          <w:color w:val="auto"/>
          <w:rtl/>
          <w:lang w:eastAsia="en-US"/>
        </w:rPr>
      </w:pPr>
      <w:r w:rsidRPr="0005774A">
        <w:rPr>
          <w:rFonts w:ascii="Traditional Arabic" w:hAnsi="Traditional Arabic" w:hint="cs"/>
          <w:noProof w:val="0"/>
          <w:color w:val="auto"/>
          <w:rtl/>
          <w:lang w:eastAsia="en-US"/>
        </w:rPr>
        <w:t>الأصل جرَيان الدم</w:t>
      </w:r>
      <w:r w:rsidR="00154102">
        <w:rPr>
          <w:rFonts w:ascii="Traditional Arabic" w:hAnsi="Traditional Arabic" w:hint="cs"/>
          <w:noProof w:val="0"/>
          <w:color w:val="auto"/>
          <w:rtl/>
          <w:lang w:eastAsia="en-US"/>
        </w:rPr>
        <w:t xml:space="preserve"> و</w:t>
      </w:r>
      <w:r w:rsidRPr="0005774A">
        <w:rPr>
          <w:rFonts w:ascii="Traditional Arabic" w:hAnsi="Traditional Arabic" w:hint="cs"/>
          <w:noProof w:val="0"/>
          <w:color w:val="auto"/>
          <w:rtl/>
          <w:lang w:eastAsia="en-US"/>
        </w:rPr>
        <w:t xml:space="preserve">عدم فراغ الحيض، إلا أن الظاهر أن جريان دمها كسائر النساء ست أو سبعة أيام، فالنبي </w:t>
      </w:r>
      <w:r w:rsidR="0083137E">
        <w:rPr>
          <w:rFonts w:ascii="Traditional Arabic" w:hAnsi="Traditional Arabic" w:cs="CTraditional Arabic" w:hint="cs"/>
          <w:noProof w:val="0"/>
          <w:color w:val="auto"/>
          <w:lang w:eastAsia="en-US"/>
        </w:rPr>
        <w:sym w:font="AGA Arabesque" w:char="F072"/>
      </w:r>
      <w:r w:rsidRPr="0005774A">
        <w:rPr>
          <w:rFonts w:ascii="Traditional Arabic" w:hAnsi="Traditional Arabic" w:hint="cs"/>
          <w:noProof w:val="0"/>
          <w:color w:val="auto"/>
          <w:rtl/>
          <w:lang w:eastAsia="en-US"/>
        </w:rPr>
        <w:t xml:space="preserve"> أرشد حمنة بنت جحش </w:t>
      </w:r>
      <w:r w:rsidR="007E4718">
        <w:rPr>
          <w:rFonts w:ascii="Traditional Arabic" w:hAnsi="Traditional Arabic" w:hint="cs"/>
          <w:noProof w:val="0"/>
          <w:color w:val="auto"/>
          <w:rtl/>
          <w:lang w:eastAsia="en-US"/>
        </w:rPr>
        <w:t>_</w:t>
      </w:r>
      <w:r w:rsidRPr="0005774A">
        <w:rPr>
          <w:rFonts w:ascii="Traditional Arabic" w:hAnsi="Traditional Arabic" w:cs="CTraditional Arabic" w:hint="cs"/>
          <w:noProof w:val="0"/>
          <w:color w:val="auto"/>
          <w:rtl/>
          <w:lang w:eastAsia="en-US"/>
        </w:rPr>
        <w:t>ك</w:t>
      </w:r>
      <w:r w:rsidR="007E4718">
        <w:rPr>
          <w:rFonts w:ascii="Traditional Arabic" w:hAnsi="Traditional Arabic" w:hint="cs"/>
          <w:noProof w:val="0"/>
          <w:color w:val="auto"/>
          <w:rtl/>
          <w:lang w:eastAsia="en-US"/>
        </w:rPr>
        <w:t>_</w:t>
      </w:r>
      <w:r w:rsidRPr="0005774A">
        <w:rPr>
          <w:rFonts w:ascii="Traditional Arabic" w:hAnsi="Traditional Arabic" w:hint="cs"/>
          <w:noProof w:val="0"/>
          <w:color w:val="auto"/>
          <w:rtl/>
          <w:lang w:eastAsia="en-US"/>
        </w:rPr>
        <w:t xml:space="preserve"> أن تعمل بالظاهر المعتضِد بعادة النساء</w:t>
      </w:r>
      <w:r w:rsidR="00154102">
        <w:rPr>
          <w:rFonts w:ascii="Traditional Arabic" w:hAnsi="Traditional Arabic" w:hint="cs"/>
          <w:noProof w:val="0"/>
          <w:color w:val="auto"/>
          <w:rtl/>
          <w:lang w:eastAsia="en-US"/>
        </w:rPr>
        <w:t xml:space="preserve"> و</w:t>
      </w:r>
      <w:r w:rsidRPr="0005774A">
        <w:rPr>
          <w:rFonts w:ascii="Traditional Arabic" w:hAnsi="Traditional Arabic" w:hint="cs"/>
          <w:noProof w:val="0"/>
          <w:color w:val="auto"/>
          <w:rtl/>
          <w:lang w:eastAsia="en-US"/>
        </w:rPr>
        <w:t>أن تترك الأصل الذي هو عدم فراغ حيضها</w:t>
      </w:r>
      <w:r w:rsidRPr="00C821A1">
        <w:rPr>
          <w:rStyle w:val="af1"/>
          <w:color w:val="auto"/>
          <w:szCs w:val="32"/>
          <w:rtl/>
        </w:rPr>
        <w:t>(</w:t>
      </w:r>
      <w:r w:rsidRPr="00C821A1">
        <w:rPr>
          <w:rStyle w:val="af1"/>
          <w:color w:val="auto"/>
          <w:szCs w:val="32"/>
          <w:rtl/>
        </w:rPr>
        <w:footnoteReference w:id="386"/>
      </w:r>
      <w:r w:rsidRPr="00C821A1">
        <w:rPr>
          <w:rStyle w:val="af1"/>
          <w:color w:val="auto"/>
          <w:szCs w:val="32"/>
          <w:rtl/>
        </w:rPr>
        <w:t>)</w:t>
      </w:r>
      <w:r w:rsidRPr="0005774A">
        <w:rPr>
          <w:rFonts w:ascii="Traditional Arabic" w:hAnsi="Traditional Arabic" w:hint="cs"/>
          <w:noProof w:val="0"/>
          <w:color w:val="auto"/>
          <w:rtl/>
          <w:lang w:eastAsia="en-US"/>
        </w:rPr>
        <w:t>.</w:t>
      </w:r>
    </w:p>
    <w:p w:rsidR="00A6645D" w:rsidRPr="00A422DD" w:rsidRDefault="00A6645D" w:rsidP="008B2568">
      <w:pPr>
        <w:pStyle w:val="afc"/>
        <w:widowControl/>
        <w:numPr>
          <w:ilvl w:val="0"/>
          <w:numId w:val="68"/>
        </w:numPr>
        <w:autoSpaceDE w:val="0"/>
        <w:autoSpaceDN w:val="0"/>
        <w:adjustRightInd w:val="0"/>
        <w:rPr>
          <w:rFonts w:ascii="Traditional Arabic" w:hAnsi="Traditional Arabic"/>
          <w:noProof w:val="0"/>
          <w:color w:val="auto"/>
          <w:lang w:eastAsia="en-US"/>
        </w:rPr>
      </w:pPr>
      <w:r w:rsidRPr="0005774A">
        <w:rPr>
          <w:rFonts w:ascii="Traditional Arabic" w:hAnsi="Traditional Arabic" w:hint="cs"/>
          <w:noProof w:val="0"/>
          <w:color w:val="auto"/>
          <w:rtl/>
          <w:lang w:eastAsia="en-US"/>
        </w:rPr>
        <w:t xml:space="preserve">حديث سهل بن سعد </w:t>
      </w:r>
      <w:r w:rsidR="007E4718">
        <w:rPr>
          <w:rFonts w:ascii="Traditional Arabic" w:hAnsi="Traditional Arabic" w:hint="cs"/>
          <w:noProof w:val="0"/>
          <w:color w:val="auto"/>
          <w:rtl/>
          <w:lang w:eastAsia="en-US"/>
        </w:rPr>
        <w:t>_</w:t>
      </w:r>
      <w:r w:rsidRPr="0005774A">
        <w:rPr>
          <w:rFonts w:ascii="Traditional Arabic" w:hAnsi="Traditional Arabic" w:cs="CTraditional Arabic" w:hint="cs"/>
          <w:noProof w:val="0"/>
          <w:color w:val="auto"/>
          <w:rtl/>
          <w:lang w:eastAsia="en-US"/>
        </w:rPr>
        <w:t>ط</w:t>
      </w:r>
      <w:r w:rsidR="007E4718">
        <w:rPr>
          <w:rFonts w:ascii="Traditional Arabic" w:hAnsi="Traditional Arabic" w:hint="cs"/>
          <w:noProof w:val="0"/>
          <w:color w:val="auto"/>
          <w:rtl/>
          <w:lang w:eastAsia="en-US"/>
        </w:rPr>
        <w:t>_</w:t>
      </w:r>
      <w:r w:rsidR="007E4718">
        <w:rPr>
          <w:rStyle w:val="af1"/>
          <w:rFonts w:hint="cs"/>
          <w:szCs w:val="32"/>
          <w:rtl/>
        </w:rPr>
        <w:t xml:space="preserve"> </w:t>
      </w:r>
      <w:r w:rsidRPr="0005774A">
        <w:rPr>
          <w:rFonts w:ascii="Traditional Arabic" w:hAnsi="Traditional Arabic" w:hint="cs"/>
          <w:noProof w:val="0"/>
          <w:color w:val="auto"/>
          <w:rtl/>
          <w:lang w:eastAsia="en-US"/>
        </w:rPr>
        <w:t>قال: "لا تزال أمتي على سنتي ما لم تنتظر ب</w:t>
      </w:r>
      <w:r w:rsidR="007E4718">
        <w:rPr>
          <w:rFonts w:ascii="Traditional Arabic" w:hAnsi="Traditional Arabic" w:hint="cs"/>
          <w:noProof w:val="0"/>
          <w:color w:val="auto"/>
          <w:rtl/>
          <w:lang w:eastAsia="en-US"/>
        </w:rPr>
        <w:t>ِ</w:t>
      </w:r>
      <w:r w:rsidRPr="0005774A">
        <w:rPr>
          <w:rFonts w:ascii="Traditional Arabic" w:hAnsi="Traditional Arabic" w:hint="cs"/>
          <w:noProof w:val="0"/>
          <w:color w:val="auto"/>
          <w:rtl/>
          <w:lang w:eastAsia="en-US"/>
        </w:rPr>
        <w:t>ف</w:t>
      </w:r>
      <w:r w:rsidR="007E4718">
        <w:rPr>
          <w:rFonts w:ascii="Traditional Arabic" w:hAnsi="Traditional Arabic" w:hint="cs"/>
          <w:noProof w:val="0"/>
          <w:color w:val="auto"/>
          <w:rtl/>
          <w:lang w:eastAsia="en-US"/>
        </w:rPr>
        <w:t>ِ</w:t>
      </w:r>
      <w:r w:rsidRPr="0005774A">
        <w:rPr>
          <w:rFonts w:ascii="Traditional Arabic" w:hAnsi="Traditional Arabic" w:hint="cs"/>
          <w:noProof w:val="0"/>
          <w:color w:val="auto"/>
          <w:rtl/>
          <w:lang w:eastAsia="en-US"/>
        </w:rPr>
        <w:t>ط</w:t>
      </w:r>
      <w:r w:rsidR="007E4718">
        <w:rPr>
          <w:rFonts w:ascii="Traditional Arabic" w:hAnsi="Traditional Arabic" w:hint="cs"/>
          <w:noProof w:val="0"/>
          <w:color w:val="auto"/>
          <w:rtl/>
          <w:lang w:eastAsia="en-US"/>
        </w:rPr>
        <w:t>ْ</w:t>
      </w:r>
      <w:r w:rsidRPr="0005774A">
        <w:rPr>
          <w:rFonts w:ascii="Traditional Arabic" w:hAnsi="Traditional Arabic" w:hint="cs"/>
          <w:noProof w:val="0"/>
          <w:color w:val="auto"/>
          <w:rtl/>
          <w:lang w:eastAsia="en-US"/>
        </w:rPr>
        <w:t>ر</w:t>
      </w:r>
      <w:r w:rsidR="007E4718">
        <w:rPr>
          <w:rFonts w:ascii="Traditional Arabic" w:hAnsi="Traditional Arabic" w:hint="cs"/>
          <w:noProof w:val="0"/>
          <w:color w:val="auto"/>
          <w:rtl/>
          <w:lang w:eastAsia="en-US"/>
        </w:rPr>
        <w:t>ِ</w:t>
      </w:r>
      <w:r w:rsidRPr="0005774A">
        <w:rPr>
          <w:rFonts w:ascii="Traditional Arabic" w:hAnsi="Traditional Arabic" w:hint="cs"/>
          <w:noProof w:val="0"/>
          <w:color w:val="auto"/>
          <w:rtl/>
          <w:lang w:eastAsia="en-US"/>
        </w:rPr>
        <w:t>ها النجوم</w:t>
      </w:r>
      <w:r w:rsidR="00AB0B9E">
        <w:rPr>
          <w:rFonts w:ascii="Traditional Arabic" w:hAnsi="Traditional Arabic"/>
          <w:noProof w:val="0"/>
          <w:color w:val="auto"/>
          <w:rtl/>
          <w:lang w:eastAsia="en-US"/>
        </w:rPr>
        <w:fldChar w:fldCharType="begin"/>
      </w:r>
      <w:r w:rsidR="00F706D7" w:rsidRPr="00C85F0F">
        <w:instrText>XE</w:instrText>
      </w:r>
      <w:r w:rsidR="00F706D7" w:rsidRPr="00C85F0F">
        <w:rPr>
          <w:rtl/>
        </w:rPr>
        <w:instrText xml:space="preserve"> "</w:instrText>
      </w:r>
      <w:r w:rsidR="00F706D7" w:rsidRPr="00C85F0F">
        <w:rPr>
          <w:rFonts w:ascii="Traditional Arabic" w:hAnsi="Traditional Arabic" w:hint="cs"/>
          <w:noProof w:val="0"/>
          <w:color w:val="auto"/>
          <w:rtl/>
          <w:lang w:eastAsia="en-US"/>
        </w:rPr>
        <w:instrText>لا تزال أمتي على سنتي ما لم تنتظر بفطرها النجوم</w:instrText>
      </w:r>
      <w:r w:rsidR="00F706D7" w:rsidRPr="00C85F0F">
        <w:rPr>
          <w:rtl/>
        </w:rPr>
        <w:instrText>" \</w:instrText>
      </w:r>
      <w:r w:rsidR="00F706D7" w:rsidRPr="00C85F0F">
        <w:instrText>f</w:instrText>
      </w:r>
      <w:r w:rsidR="00F706D7">
        <w:instrText>h</w:instrText>
      </w:r>
      <w:r w:rsidR="00AB0B9E">
        <w:rPr>
          <w:rFonts w:ascii="Traditional Arabic" w:hAnsi="Traditional Arabic"/>
          <w:noProof w:val="0"/>
          <w:color w:val="auto"/>
          <w:rtl/>
          <w:lang w:eastAsia="en-US"/>
        </w:rPr>
        <w:fldChar w:fldCharType="end"/>
      </w:r>
      <w:r w:rsidRPr="0005774A">
        <w:rPr>
          <w:rFonts w:ascii="Traditional Arabic" w:hAnsi="Traditional Arabic" w:hint="cs"/>
          <w:noProof w:val="0"/>
          <w:color w:val="auto"/>
          <w:rtl/>
          <w:lang w:eastAsia="en-US"/>
        </w:rPr>
        <w:t>".</w:t>
      </w:r>
      <w:r w:rsidR="007E4718">
        <w:rPr>
          <w:rFonts w:ascii="Traditional Arabic" w:hAnsi="Traditional Arabic" w:hint="cs"/>
          <w:noProof w:val="0"/>
          <w:color w:val="auto"/>
          <w:rtl/>
          <w:lang w:eastAsia="en-US"/>
        </w:rPr>
        <w:t xml:space="preserve"> </w:t>
      </w:r>
      <w:r w:rsidRPr="0005774A">
        <w:rPr>
          <w:rFonts w:ascii="Traditional Arabic" w:hAnsi="Traditional Arabic" w:hint="cs"/>
          <w:noProof w:val="0"/>
          <w:color w:val="auto"/>
          <w:rtl/>
          <w:lang w:eastAsia="en-US"/>
        </w:rPr>
        <w:t>قال: و</w:t>
      </w:r>
      <w:r w:rsidRPr="0005774A">
        <w:rPr>
          <w:rFonts w:ascii="Traditional Arabic" w:hAnsi="Traditional Arabic"/>
          <w:noProof w:val="0"/>
          <w:color w:val="auto"/>
          <w:rtl/>
          <w:lang w:eastAsia="en-US"/>
        </w:rPr>
        <w:t xml:space="preserve">كان النبي </w:t>
      </w:r>
      <w:r w:rsidR="004E2EB7">
        <w:rPr>
          <w:rFonts w:ascii="Traditional Arabic" w:hAnsi="Traditional Arabic" w:cs="CTraditional Arabic" w:hint="cs"/>
          <w:noProof w:val="0"/>
          <w:color w:val="auto"/>
          <w:rtl/>
          <w:lang w:eastAsia="en-US"/>
        </w:rPr>
        <w:t>غ</w:t>
      </w:r>
      <w:r w:rsidRPr="0005774A">
        <w:rPr>
          <w:rFonts w:ascii="Traditional Arabic" w:hAnsi="Traditional Arabic"/>
          <w:noProof w:val="0"/>
          <w:color w:val="auto"/>
          <w:rtl/>
          <w:lang w:eastAsia="en-US"/>
        </w:rPr>
        <w:t xml:space="preserve"> إذا كان صائما أمر رجلا فأ</w:t>
      </w:r>
      <w:r w:rsidR="00A422DD">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و</w:t>
      </w:r>
      <w:r w:rsidR="00A422DD">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ف</w:t>
      </w:r>
      <w:r w:rsidR="00A422DD">
        <w:rPr>
          <w:rFonts w:ascii="Traditional Arabic" w:hAnsi="Traditional Arabic" w:hint="cs"/>
          <w:noProof w:val="0"/>
          <w:color w:val="auto"/>
          <w:rtl/>
          <w:lang w:eastAsia="en-US"/>
        </w:rPr>
        <w:t>ى</w:t>
      </w:r>
      <w:r w:rsidR="003B63D2" w:rsidRPr="003B63D2">
        <w:rPr>
          <w:rFonts w:ascii="Traditional Arabic" w:hAnsi="Traditional Arabic" w:hint="cs"/>
          <w:noProof w:val="0"/>
          <w:color w:val="auto"/>
          <w:vertAlign w:val="superscript"/>
          <w:rtl/>
          <w:lang w:eastAsia="en-US"/>
        </w:rPr>
        <w:t>(</w:t>
      </w:r>
      <w:r w:rsidR="00A422DD" w:rsidRPr="003B63D2">
        <w:rPr>
          <w:rStyle w:val="af1"/>
          <w:rFonts w:ascii="Traditional Arabic" w:hAnsi="Traditional Arabic"/>
          <w:noProof w:val="0"/>
          <w:color w:val="auto"/>
          <w:rtl/>
          <w:lang w:eastAsia="en-US"/>
        </w:rPr>
        <w:footnoteReference w:id="387"/>
      </w:r>
      <w:r w:rsidR="003B63D2" w:rsidRPr="003B63D2">
        <w:rPr>
          <w:rFonts w:ascii="Traditional Arabic" w:hAnsi="Traditional Arabic" w:hint="cs"/>
          <w:noProof w:val="0"/>
          <w:color w:val="auto"/>
          <w:vertAlign w:val="superscript"/>
          <w:rtl/>
          <w:lang w:eastAsia="en-US"/>
        </w:rPr>
        <w:t>)</w:t>
      </w:r>
      <w:r w:rsidRPr="0005774A">
        <w:rPr>
          <w:rFonts w:ascii="Traditional Arabic" w:hAnsi="Traditional Arabic"/>
          <w:noProof w:val="0"/>
          <w:color w:val="auto"/>
          <w:rtl/>
          <w:lang w:eastAsia="en-US"/>
        </w:rPr>
        <w:t xml:space="preserve"> عل</w:t>
      </w:r>
      <w:r w:rsidR="00A422DD">
        <w:rPr>
          <w:rFonts w:ascii="Traditional Arabic" w:hAnsi="Traditional Arabic" w:hint="cs"/>
          <w:noProof w:val="0"/>
          <w:color w:val="auto"/>
          <w:rtl/>
          <w:lang w:eastAsia="en-US"/>
        </w:rPr>
        <w:t xml:space="preserve">ى </w:t>
      </w:r>
      <w:r w:rsidRPr="00A422DD">
        <w:rPr>
          <w:rFonts w:ascii="Traditional Arabic" w:hAnsi="Traditional Arabic" w:hint="cs"/>
          <w:noProof w:val="0"/>
          <w:color w:val="auto"/>
          <w:rtl/>
          <w:lang w:eastAsia="en-US"/>
        </w:rPr>
        <w:t>شيء،</w:t>
      </w:r>
      <w:r w:rsidRPr="00A422DD">
        <w:rPr>
          <w:rFonts w:ascii="Traditional Arabic" w:hAnsi="Traditional Arabic"/>
          <w:noProof w:val="0"/>
          <w:color w:val="auto"/>
          <w:rtl/>
          <w:lang w:eastAsia="en-US"/>
        </w:rPr>
        <w:t xml:space="preserve"> فإذا قال</w:t>
      </w:r>
      <w:r w:rsidRPr="00A422DD">
        <w:rPr>
          <w:rFonts w:ascii="Traditional Arabic" w:hAnsi="Traditional Arabic" w:hint="cs"/>
          <w:noProof w:val="0"/>
          <w:color w:val="auto"/>
          <w:rtl/>
          <w:lang w:eastAsia="en-US"/>
        </w:rPr>
        <w:t>:</w:t>
      </w:r>
      <w:r w:rsidRPr="00A422DD">
        <w:rPr>
          <w:rFonts w:ascii="Traditional Arabic" w:hAnsi="Traditional Arabic"/>
          <w:noProof w:val="0"/>
          <w:color w:val="auto"/>
          <w:rtl/>
          <w:lang w:eastAsia="en-US"/>
        </w:rPr>
        <w:t xml:space="preserve"> قد غابت الشمس أفطر</w:t>
      </w:r>
      <w:r w:rsidRPr="00A422DD">
        <w:rPr>
          <w:rStyle w:val="af1"/>
          <w:color w:val="auto"/>
          <w:szCs w:val="32"/>
          <w:rtl/>
        </w:rPr>
        <w:t>(</w:t>
      </w:r>
      <w:r w:rsidRPr="00C821A1">
        <w:rPr>
          <w:rStyle w:val="af1"/>
          <w:color w:val="auto"/>
          <w:szCs w:val="32"/>
          <w:rtl/>
        </w:rPr>
        <w:footnoteReference w:id="388"/>
      </w:r>
      <w:r w:rsidRPr="00A422DD">
        <w:rPr>
          <w:rStyle w:val="af1"/>
          <w:color w:val="auto"/>
          <w:szCs w:val="32"/>
          <w:rtl/>
        </w:rPr>
        <w:t>)</w:t>
      </w:r>
      <w:r w:rsidRPr="00A422DD">
        <w:rPr>
          <w:rFonts w:ascii="Traditional Arabic" w:hAnsi="Traditional Arabic" w:hint="cs"/>
          <w:noProof w:val="0"/>
          <w:color w:val="auto"/>
          <w:rtl/>
          <w:lang w:eastAsia="en-US"/>
        </w:rPr>
        <w:t>.</w:t>
      </w:r>
    </w:p>
    <w:p w:rsidR="00065E4B" w:rsidRPr="0005774A" w:rsidRDefault="00A6645D" w:rsidP="00597C20">
      <w:pPr>
        <w:pStyle w:val="53"/>
        <w:rPr>
          <w:rtl/>
        </w:rPr>
      </w:pPr>
      <w:r w:rsidRPr="0005774A">
        <w:rPr>
          <w:rFonts w:hint="cs"/>
          <w:rtl/>
        </w:rPr>
        <w:t>وجه الدلالة:</w:t>
      </w:r>
    </w:p>
    <w:p w:rsidR="00A6645D" w:rsidRPr="00085F7F" w:rsidRDefault="00065E4B" w:rsidP="00597C20">
      <w:pPr>
        <w:widowControl/>
        <w:autoSpaceDE w:val="0"/>
        <w:autoSpaceDN w:val="0"/>
        <w:adjustRightInd w:val="0"/>
        <w:ind w:firstLine="720"/>
        <w:rPr>
          <w:rFonts w:ascii="Traditional Arabic" w:hAnsi="Traditional Arabic"/>
          <w:noProof w:val="0"/>
          <w:color w:val="auto"/>
          <w:lang w:eastAsia="en-US"/>
        </w:rPr>
      </w:pPr>
      <w:r w:rsidRPr="00085F7F">
        <w:rPr>
          <w:rFonts w:ascii="Traditional Arabic" w:hAnsi="Traditional Arabic" w:hint="cs"/>
          <w:noProof w:val="0"/>
          <w:color w:val="auto"/>
          <w:rtl/>
          <w:lang w:eastAsia="en-US"/>
        </w:rPr>
        <w:t>ا</w:t>
      </w:r>
      <w:r w:rsidR="00A6645D" w:rsidRPr="00085F7F">
        <w:rPr>
          <w:rFonts w:ascii="Traditional Arabic" w:hAnsi="Traditional Arabic" w:hint="cs"/>
          <w:noProof w:val="0"/>
          <w:color w:val="auto"/>
          <w:rtl/>
          <w:lang w:eastAsia="en-US"/>
        </w:rPr>
        <w:t xml:space="preserve">لنبي </w:t>
      </w:r>
      <w:r w:rsidR="00A6645D" w:rsidRPr="00085F7F">
        <w:rPr>
          <w:rFonts w:ascii="Traditional Arabic" w:hAnsi="Traditional Arabic" w:cs="CTraditional Arabic" w:hint="cs"/>
          <w:noProof w:val="0"/>
          <w:color w:val="auto"/>
          <w:rtl/>
          <w:lang w:eastAsia="en-US"/>
        </w:rPr>
        <w:t>&gt;</w:t>
      </w:r>
      <w:r w:rsidR="00A6645D" w:rsidRPr="00085F7F">
        <w:rPr>
          <w:rFonts w:ascii="Traditional Arabic" w:hAnsi="Traditional Arabic" w:hint="cs"/>
          <w:noProof w:val="0"/>
          <w:color w:val="auto"/>
          <w:rtl/>
          <w:lang w:eastAsia="en-US"/>
        </w:rPr>
        <w:t xml:space="preserve"> عمل بالظاهر القوي من خلال شهادة الثقة في غروب الشمس، وترك الأصل الذي هو بقاؤها،</w:t>
      </w:r>
      <w:r w:rsidR="00154102">
        <w:rPr>
          <w:rFonts w:ascii="Traditional Arabic" w:hAnsi="Traditional Arabic" w:hint="cs"/>
          <w:noProof w:val="0"/>
          <w:color w:val="auto"/>
          <w:rtl/>
          <w:lang w:eastAsia="en-US"/>
        </w:rPr>
        <w:t xml:space="preserve"> و</w:t>
      </w:r>
      <w:r w:rsidR="00A6645D" w:rsidRPr="00085F7F">
        <w:rPr>
          <w:rFonts w:ascii="Traditional Arabic" w:hAnsi="Traditional Arabic" w:hint="cs"/>
          <w:noProof w:val="0"/>
          <w:color w:val="auto"/>
          <w:rtl/>
          <w:lang w:eastAsia="en-US"/>
        </w:rPr>
        <w:t>فيه دليل على أن الظاهر القوي يقد</w:t>
      </w:r>
      <w:r w:rsidR="007E4718">
        <w:rPr>
          <w:rFonts w:ascii="Traditional Arabic" w:hAnsi="Traditional Arabic" w:hint="cs"/>
          <w:noProof w:val="0"/>
          <w:color w:val="auto"/>
          <w:rtl/>
          <w:lang w:eastAsia="en-US"/>
        </w:rPr>
        <w:t>َّ</w:t>
      </w:r>
      <w:r w:rsidR="00A6645D" w:rsidRPr="00085F7F">
        <w:rPr>
          <w:rFonts w:ascii="Traditional Arabic" w:hAnsi="Traditional Arabic" w:hint="cs"/>
          <w:noProof w:val="0"/>
          <w:color w:val="auto"/>
          <w:rtl/>
          <w:lang w:eastAsia="en-US"/>
        </w:rPr>
        <w:t>م على الأصل</w:t>
      </w:r>
      <w:r w:rsidR="00A6645D" w:rsidRPr="00C821A1">
        <w:rPr>
          <w:rStyle w:val="af1"/>
          <w:color w:val="auto"/>
          <w:szCs w:val="32"/>
          <w:rtl/>
        </w:rPr>
        <w:t>(</w:t>
      </w:r>
      <w:r w:rsidR="00A6645D" w:rsidRPr="00C821A1">
        <w:rPr>
          <w:rStyle w:val="af1"/>
          <w:color w:val="auto"/>
          <w:szCs w:val="32"/>
          <w:rtl/>
        </w:rPr>
        <w:footnoteReference w:id="389"/>
      </w:r>
      <w:r w:rsidR="00A6645D" w:rsidRPr="00C821A1">
        <w:rPr>
          <w:rStyle w:val="af1"/>
          <w:color w:val="auto"/>
          <w:szCs w:val="32"/>
          <w:rtl/>
        </w:rPr>
        <w:t>)</w:t>
      </w:r>
      <w:r w:rsidR="00A6645D" w:rsidRPr="00085F7F">
        <w:rPr>
          <w:rFonts w:ascii="Traditional Arabic" w:hAnsi="Traditional Arabic" w:hint="cs"/>
          <w:noProof w:val="0"/>
          <w:color w:val="auto"/>
          <w:rtl/>
          <w:lang w:eastAsia="en-US"/>
        </w:rPr>
        <w:t>.</w:t>
      </w:r>
    </w:p>
    <w:p w:rsidR="00A6645D" w:rsidRPr="00C85F0F" w:rsidRDefault="00A6645D" w:rsidP="000A76C7">
      <w:pPr>
        <w:pStyle w:val="afc"/>
        <w:widowControl/>
        <w:numPr>
          <w:ilvl w:val="0"/>
          <w:numId w:val="68"/>
        </w:numPr>
        <w:autoSpaceDE w:val="0"/>
        <w:autoSpaceDN w:val="0"/>
        <w:adjustRightInd w:val="0"/>
        <w:rPr>
          <w:rFonts w:ascii="Traditional Arabic" w:hAnsi="Traditional Arabic"/>
          <w:noProof w:val="0"/>
          <w:color w:val="auto"/>
          <w:lang w:eastAsia="en-US"/>
        </w:rPr>
      </w:pPr>
      <w:r w:rsidRPr="0005774A">
        <w:rPr>
          <w:rFonts w:ascii="Traditional Arabic" w:hAnsi="Traditional Arabic"/>
          <w:noProof w:val="0"/>
          <w:color w:val="auto"/>
          <w:rtl/>
          <w:lang w:eastAsia="en-US"/>
        </w:rPr>
        <w:t>عن</w:t>
      </w:r>
      <w:r>
        <w:rPr>
          <w:rFonts w:ascii="Traditional Arabic" w:hAnsi="Traditional Arabic" w:hint="cs"/>
          <w:noProof w:val="0"/>
          <w:color w:val="auto"/>
          <w:rtl/>
          <w:lang w:eastAsia="en-US"/>
        </w:rPr>
        <w:t xml:space="preserve"> محمد بن سيرين عن</w:t>
      </w:r>
      <w:r w:rsidRPr="0005774A">
        <w:rPr>
          <w:rFonts w:ascii="Traditional Arabic" w:hAnsi="Traditional Arabic"/>
          <w:noProof w:val="0"/>
          <w:color w:val="auto"/>
          <w:rtl/>
          <w:lang w:eastAsia="en-US"/>
        </w:rPr>
        <w:t xml:space="preserve"> أبي هريرة</w:t>
      </w:r>
      <w:r w:rsidR="005B65ED">
        <w:rPr>
          <w:rFonts w:ascii="Traditional Arabic" w:hAnsi="Traditional Arabic" w:hint="cs"/>
          <w:noProof w:val="0"/>
          <w:color w:val="auto"/>
          <w:rtl/>
          <w:lang w:eastAsia="en-US"/>
        </w:rPr>
        <w:t xml:space="preserve"> </w:t>
      </w:r>
      <w:r w:rsidR="007E4718">
        <w:rPr>
          <w:rFonts w:ascii="Traditional Arabic" w:hAnsi="Traditional Arabic" w:hint="cs"/>
          <w:noProof w:val="0"/>
          <w:color w:val="auto"/>
          <w:rtl/>
          <w:lang w:eastAsia="en-US"/>
        </w:rPr>
        <w:t>_</w:t>
      </w:r>
      <w:r w:rsidRPr="0005774A">
        <w:rPr>
          <w:rFonts w:ascii="Traditional Arabic" w:hAnsi="Traditional Arabic" w:cs="CTraditional Arabic" w:hint="cs"/>
          <w:noProof w:val="0"/>
          <w:color w:val="auto"/>
          <w:rtl/>
          <w:lang w:eastAsia="en-US"/>
        </w:rPr>
        <w:t>ط</w:t>
      </w:r>
      <w:r w:rsidR="007E4718">
        <w:rPr>
          <w:rFonts w:ascii="Traditional Arabic" w:hAnsi="Traditional Arabic" w:hint="cs"/>
          <w:noProof w:val="0"/>
          <w:color w:val="auto"/>
          <w:rtl/>
          <w:lang w:eastAsia="en-US"/>
        </w:rPr>
        <w:t>_</w:t>
      </w:r>
      <w:r w:rsidRPr="0005774A">
        <w:rPr>
          <w:rFonts w:ascii="Traditional Arabic" w:hAnsi="Traditional Arabic"/>
          <w:noProof w:val="0"/>
          <w:color w:val="auto"/>
          <w:rtl/>
          <w:lang w:eastAsia="en-US"/>
        </w:rPr>
        <w:t>قال</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صلى بنا رسول الله </w:t>
      </w:r>
      <w:r w:rsidRPr="0005774A">
        <w:rPr>
          <w:rFonts w:ascii="Traditional Arabic" w:hAnsi="Traditional Arabic" w:cs="CTraditional Arabic"/>
          <w:noProof w:val="0"/>
          <w:color w:val="auto"/>
          <w:rtl/>
          <w:lang w:eastAsia="en-US"/>
        </w:rPr>
        <w:t>&gt;</w:t>
      </w:r>
      <w:r w:rsidRPr="0005774A">
        <w:rPr>
          <w:rFonts w:ascii="Traditional Arabic" w:hAnsi="Traditional Arabic"/>
          <w:noProof w:val="0"/>
          <w:color w:val="auto"/>
          <w:rtl/>
          <w:lang w:eastAsia="en-US"/>
        </w:rPr>
        <w:t xml:space="preserve"> إحدى صلاتي الع</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ش</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ي</w:t>
      </w:r>
      <w:r w:rsidRPr="0005774A">
        <w:rPr>
          <w:rFonts w:ascii="Traditional Arabic" w:hAnsi="Traditional Arabic" w:hint="cs"/>
          <w:noProof w:val="0"/>
          <w:color w:val="auto"/>
          <w:rtl/>
          <w:lang w:eastAsia="en-US"/>
        </w:rPr>
        <w:t>ّ</w:t>
      </w:r>
      <w:r w:rsidR="00AB0B9E">
        <w:rPr>
          <w:rFonts w:ascii="Traditional Arabic" w:hAnsi="Traditional Arabic"/>
          <w:noProof w:val="0"/>
          <w:color w:val="auto"/>
          <w:rtl/>
          <w:lang w:eastAsia="en-US"/>
        </w:rPr>
        <w:fldChar w:fldCharType="begin"/>
      </w:r>
      <w:r w:rsidR="00F706D7" w:rsidRPr="00C85F0F">
        <w:instrText>XE</w:instrText>
      </w:r>
      <w:r w:rsidR="00F706D7" w:rsidRPr="00C85F0F">
        <w:rPr>
          <w:rtl/>
        </w:rPr>
        <w:instrText xml:space="preserve"> "</w:instrText>
      </w:r>
      <w:r w:rsidR="00F706D7" w:rsidRPr="00C85F0F">
        <w:rPr>
          <w:rFonts w:ascii="Traditional Arabic" w:hAnsi="Traditional Arabic"/>
          <w:noProof w:val="0"/>
          <w:color w:val="auto"/>
          <w:rtl/>
          <w:lang w:eastAsia="en-US"/>
        </w:rPr>
        <w:instrText>صلى بنا رسول الله &gt; إحدى صلاتي الع</w:instrText>
      </w:r>
      <w:r w:rsidR="00F706D7" w:rsidRPr="00C85F0F">
        <w:rPr>
          <w:rFonts w:ascii="Traditional Arabic" w:hAnsi="Traditional Arabic" w:hint="cs"/>
          <w:noProof w:val="0"/>
          <w:color w:val="auto"/>
          <w:rtl/>
          <w:lang w:eastAsia="en-US"/>
        </w:rPr>
        <w:instrText>َ</w:instrText>
      </w:r>
      <w:r w:rsidR="00F706D7" w:rsidRPr="00C85F0F">
        <w:rPr>
          <w:rFonts w:ascii="Traditional Arabic" w:hAnsi="Traditional Arabic"/>
          <w:noProof w:val="0"/>
          <w:color w:val="auto"/>
          <w:rtl/>
          <w:lang w:eastAsia="en-US"/>
        </w:rPr>
        <w:instrText>ش</w:instrText>
      </w:r>
      <w:r w:rsidR="00F706D7" w:rsidRPr="00C85F0F">
        <w:rPr>
          <w:rFonts w:ascii="Traditional Arabic" w:hAnsi="Traditional Arabic" w:hint="cs"/>
          <w:noProof w:val="0"/>
          <w:color w:val="auto"/>
          <w:rtl/>
          <w:lang w:eastAsia="en-US"/>
        </w:rPr>
        <w:instrText>ِ</w:instrText>
      </w:r>
      <w:r w:rsidR="00F706D7" w:rsidRPr="00C85F0F">
        <w:rPr>
          <w:rFonts w:ascii="Traditional Arabic" w:hAnsi="Traditional Arabic"/>
          <w:noProof w:val="0"/>
          <w:color w:val="auto"/>
          <w:rtl/>
          <w:lang w:eastAsia="en-US"/>
        </w:rPr>
        <w:instrText>ي</w:instrText>
      </w:r>
      <w:r w:rsidR="00F706D7" w:rsidRPr="00C85F0F">
        <w:rPr>
          <w:rFonts w:ascii="Traditional Arabic" w:hAnsi="Traditional Arabic" w:hint="cs"/>
          <w:noProof w:val="0"/>
          <w:color w:val="auto"/>
          <w:rtl/>
          <w:lang w:eastAsia="en-US"/>
        </w:rPr>
        <w:instrText>ّ</w:instrText>
      </w:r>
      <w:r w:rsidR="00F706D7" w:rsidRPr="00C85F0F">
        <w:rPr>
          <w:rtl/>
        </w:rPr>
        <w:instrText>" \</w:instrText>
      </w:r>
      <w:r w:rsidR="00F706D7" w:rsidRPr="00C85F0F">
        <w:instrText>f</w:instrText>
      </w:r>
      <w:r w:rsidR="00F706D7">
        <w:instrText>h</w:instrText>
      </w:r>
      <w:r w:rsidR="00AB0B9E">
        <w:rPr>
          <w:rFonts w:ascii="Traditional Arabic" w:hAnsi="Traditional Arabic"/>
          <w:noProof w:val="0"/>
          <w:color w:val="auto"/>
          <w:rtl/>
          <w:lang w:eastAsia="en-US"/>
        </w:rPr>
        <w:fldChar w:fldCharType="end"/>
      </w:r>
      <w:r>
        <w:rPr>
          <w:rFonts w:ascii="Traditional Arabic" w:hAnsi="Traditional Arabic" w:hint="cs"/>
          <w:noProof w:val="0"/>
          <w:color w:val="auto"/>
          <w:rtl/>
          <w:lang w:eastAsia="en-US"/>
        </w:rPr>
        <w:t xml:space="preserve">. </w:t>
      </w:r>
      <w:r w:rsidRPr="00465638">
        <w:rPr>
          <w:rFonts w:ascii="Traditional Arabic" w:hAnsi="Traditional Arabic"/>
          <w:noProof w:val="0"/>
          <w:rtl/>
          <w:lang w:eastAsia="en-US"/>
        </w:rPr>
        <w:t>قال ابن سيرين</w:t>
      </w:r>
      <w:r>
        <w:rPr>
          <w:rFonts w:ascii="Traditional Arabic" w:hAnsi="Traditional Arabic" w:hint="cs"/>
          <w:noProof w:val="0"/>
          <w:rtl/>
          <w:lang w:eastAsia="en-US"/>
        </w:rPr>
        <w:t>:</w:t>
      </w:r>
      <w:r w:rsidRPr="00465638">
        <w:rPr>
          <w:rFonts w:ascii="Traditional Arabic" w:hAnsi="Traditional Arabic"/>
          <w:noProof w:val="0"/>
          <w:rtl/>
          <w:lang w:eastAsia="en-US"/>
        </w:rPr>
        <w:t xml:space="preserve"> سماها أبو هريرة ولكن نسيت أنا</w:t>
      </w:r>
      <w:r>
        <w:rPr>
          <w:rFonts w:ascii="Traditional Arabic" w:hAnsi="Traditional Arabic" w:hint="cs"/>
          <w:noProof w:val="0"/>
          <w:rtl/>
          <w:lang w:eastAsia="en-US"/>
        </w:rPr>
        <w:t>.</w:t>
      </w:r>
      <w:r w:rsidRPr="00465638">
        <w:rPr>
          <w:rFonts w:ascii="Traditional Arabic" w:hAnsi="Traditional Arabic"/>
          <w:noProof w:val="0"/>
          <w:rtl/>
          <w:lang w:eastAsia="en-US"/>
        </w:rPr>
        <w:t xml:space="preserve"> قال</w:t>
      </w:r>
      <w:r>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فصلى بنا ركعتين ثم سل</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م فقام إلى خشبة معروضة في المسجد فاتَّكأ عليها كأنه غَضْبَانُ</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ووضع يده اليمنى على </w:t>
      </w:r>
      <w:r w:rsidRPr="0005774A">
        <w:rPr>
          <w:rFonts w:ascii="Traditional Arabic" w:hAnsi="Traditional Arabic"/>
          <w:noProof w:val="0"/>
          <w:color w:val="auto"/>
          <w:rtl/>
          <w:lang w:eastAsia="en-US"/>
        </w:rPr>
        <w:lastRenderedPageBreak/>
        <w:t>اليسرى وشبَّك بين أصابعه ووضع خدَّه الأيمن على ظهر كفه اليسرى</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وَخَرَجَتِ السَّرَعَانُ</w:t>
      </w:r>
      <w:r w:rsidRPr="00C821A1">
        <w:rPr>
          <w:rStyle w:val="af1"/>
          <w:color w:val="auto"/>
          <w:szCs w:val="32"/>
          <w:rtl/>
        </w:rPr>
        <w:t>(</w:t>
      </w:r>
      <w:r w:rsidRPr="00C821A1">
        <w:rPr>
          <w:rStyle w:val="af1"/>
          <w:color w:val="auto"/>
          <w:szCs w:val="32"/>
          <w:rtl/>
        </w:rPr>
        <w:footnoteReference w:id="390"/>
      </w:r>
      <w:r w:rsidRPr="00C821A1">
        <w:rPr>
          <w:rStyle w:val="af1"/>
          <w:color w:val="auto"/>
          <w:szCs w:val="32"/>
          <w:rtl/>
        </w:rPr>
        <w:t>)</w:t>
      </w:r>
      <w:r w:rsidRPr="0005774A">
        <w:rPr>
          <w:rFonts w:ascii="Traditional Arabic" w:hAnsi="Traditional Arabic"/>
          <w:noProof w:val="0"/>
          <w:color w:val="auto"/>
          <w:rtl/>
          <w:lang w:eastAsia="en-US"/>
        </w:rPr>
        <w:t xml:space="preserve"> من أبواب المسجد فقالوا</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قَصُرَتِ الصلاةُ</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وفي القوم أبو بكر وعمر فهابا أن يُكلِّماه</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وفي القوم رجل في يديه طُولٌ يقال له ذُو الْيَدَيْنِ</w:t>
      </w:r>
      <w:r w:rsidRPr="00C821A1">
        <w:rPr>
          <w:rStyle w:val="af1"/>
          <w:szCs w:val="32"/>
          <w:rtl/>
        </w:rPr>
        <w:t>(</w:t>
      </w:r>
      <w:r w:rsidRPr="00C821A1">
        <w:rPr>
          <w:rStyle w:val="af1"/>
          <w:szCs w:val="32"/>
          <w:rtl/>
        </w:rPr>
        <w:footnoteReference w:id="391"/>
      </w:r>
      <w:r w:rsidRPr="00C821A1">
        <w:rPr>
          <w:rStyle w:val="af1"/>
          <w:szCs w:val="32"/>
          <w:rtl/>
        </w:rPr>
        <w:t>)</w:t>
      </w:r>
      <w:r w:rsidRPr="0005774A">
        <w:rPr>
          <w:rFonts w:ascii="Traditional Arabic" w:hAnsi="Traditional Arabic"/>
          <w:noProof w:val="0"/>
          <w:color w:val="auto"/>
          <w:rtl/>
          <w:lang w:eastAsia="en-US"/>
        </w:rPr>
        <w:t xml:space="preserve"> قال</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يا رسول الله أَنَسِيتَ أم قُصِرَتِ الصَّلَاةُ </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قال</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لم أَنْسَ ولم تُقْصَرْ</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 xml:space="preserve"> فقال</w:t>
      </w:r>
      <w:r w:rsidRPr="0005774A">
        <w:rPr>
          <w:rFonts w:ascii="Traditional Arabic" w:hAnsi="Traditional Arabic" w:hint="cs"/>
          <w:noProof w:val="0"/>
          <w:color w:val="auto"/>
          <w:rtl/>
          <w:lang w:eastAsia="en-US"/>
        </w:rPr>
        <w:t>:"</w:t>
      </w:r>
      <w:r w:rsidRPr="0005774A">
        <w:rPr>
          <w:rFonts w:ascii="Traditional Arabic" w:hAnsi="Traditional Arabic"/>
          <w:noProof w:val="0"/>
          <w:color w:val="auto"/>
          <w:rtl/>
          <w:lang w:eastAsia="en-US"/>
        </w:rPr>
        <w:t>أكما يقول ذو اليدين</w:t>
      </w:r>
      <w:r w:rsidR="00AB0B9E" w:rsidRPr="00C85F0F">
        <w:rPr>
          <w:rFonts w:ascii="Traditional Arabic" w:hAnsi="Traditional Arabic"/>
          <w:noProof w:val="0"/>
          <w:color w:val="auto"/>
          <w:rtl/>
          <w:lang w:eastAsia="en-US"/>
        </w:rPr>
        <w:fldChar w:fldCharType="begin"/>
      </w:r>
      <w:r w:rsidR="004F50F0" w:rsidRPr="00C85F0F">
        <w:rPr>
          <w:rFonts w:ascii="Traditional Arabic" w:hAnsi="Traditional Arabic"/>
          <w:noProof w:val="0"/>
          <w:color w:val="auto"/>
          <w:lang w:eastAsia="en-US"/>
        </w:rPr>
        <w:instrText>XE</w:instrText>
      </w:r>
      <w:r w:rsidR="004F50F0" w:rsidRPr="00C85F0F">
        <w:rPr>
          <w:rFonts w:ascii="Traditional Arabic" w:hAnsi="Traditional Arabic"/>
          <w:noProof w:val="0"/>
          <w:color w:val="auto"/>
          <w:rtl/>
          <w:lang w:eastAsia="en-US"/>
        </w:rPr>
        <w:instrText xml:space="preserve"> "</w:instrText>
      </w:r>
      <w:r w:rsidR="004F50F0" w:rsidRPr="00C85F0F">
        <w:rPr>
          <w:rFonts w:hint="cs"/>
          <w:rtl/>
        </w:rPr>
        <w:instrText>ذو اليدين</w:instrText>
      </w:r>
      <w:r w:rsidR="004F50F0" w:rsidRPr="00C85F0F">
        <w:rPr>
          <w:rtl/>
        </w:rPr>
        <w:instrText>"\</w:instrText>
      </w:r>
      <w:r w:rsidR="004F50F0" w:rsidRPr="00C85F0F">
        <w:instrText>fa</w:instrText>
      </w:r>
      <w:r w:rsidR="004F50F0" w:rsidRPr="00C85F0F">
        <w:rPr>
          <w:rtl/>
        </w:rPr>
        <w:instrText>"</w:instrText>
      </w:r>
      <w:r w:rsidR="00AB0B9E" w:rsidRPr="00C85F0F">
        <w:rPr>
          <w:rFonts w:ascii="Traditional Arabic" w:hAnsi="Traditional Arabic"/>
          <w:noProof w:val="0"/>
          <w:color w:val="auto"/>
          <w:rtl/>
          <w:lang w:eastAsia="en-US"/>
        </w:rPr>
        <w:fldChar w:fldCharType="end"/>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فَقَالُوا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نعم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فتقد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 فصلى ما ترك ثم سل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 ثم كب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 وسجد مِثل سجوده أو أطوَل ثم رَفع رأسه وكبر ثم كبر وسجد مِثل سجوده أو أطو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00E35ED5">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ثم رفع رأسه وكبَّر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فربما سألوه ثم سل</w:t>
      </w:r>
      <w:r w:rsidRPr="00C85F0F">
        <w:rPr>
          <w:rFonts w:ascii="Traditional Arabic" w:hAnsi="Traditional Arabic" w:hint="cs"/>
          <w:noProof w:val="0"/>
          <w:color w:val="auto"/>
          <w:rtl/>
          <w:lang w:eastAsia="en-US"/>
        </w:rPr>
        <w:t>ّ</w:t>
      </w:r>
      <w:r w:rsidR="003B63D2">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فيقول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نُبِّئْتُ</w:t>
      </w:r>
      <w:r w:rsidRPr="00C85F0F">
        <w:rPr>
          <w:rStyle w:val="af1"/>
          <w:szCs w:val="32"/>
          <w:rtl/>
        </w:rPr>
        <w:t>(</w:t>
      </w:r>
      <w:r w:rsidRPr="00C85F0F">
        <w:rPr>
          <w:rStyle w:val="af1"/>
          <w:szCs w:val="32"/>
          <w:rtl/>
        </w:rPr>
        <w:footnoteReference w:id="392"/>
      </w:r>
      <w:r w:rsidRPr="00C85F0F">
        <w:rPr>
          <w:rStyle w:val="af1"/>
          <w:szCs w:val="32"/>
          <w:rtl/>
        </w:rPr>
        <w:t>)</w:t>
      </w:r>
      <w:r w:rsidRPr="00C85F0F">
        <w:rPr>
          <w:rFonts w:ascii="Traditional Arabic" w:hAnsi="Traditional Arabic" w:hint="cs"/>
          <w:noProof w:val="0"/>
          <w:color w:val="auto"/>
          <w:rtl/>
          <w:lang w:eastAsia="en-US"/>
        </w:rPr>
        <w:t>أ</w:t>
      </w:r>
      <w:r w:rsidRPr="00C85F0F">
        <w:rPr>
          <w:rFonts w:ascii="Traditional Arabic" w:hAnsi="Traditional Arabic"/>
          <w:noProof w:val="0"/>
          <w:color w:val="auto"/>
          <w:rtl/>
          <w:lang w:eastAsia="en-US"/>
        </w:rPr>
        <w:t>ن عِم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ا</w:t>
      </w:r>
      <w:r w:rsidRPr="00C85F0F">
        <w:rPr>
          <w:rFonts w:ascii="Traditional Arabic" w:hAnsi="Traditional Arabic"/>
          <w:noProof w:val="0"/>
          <w:color w:val="auto"/>
          <w:rtl/>
          <w:lang w:eastAsia="en-US"/>
        </w:rPr>
        <w:t>ن بن حُص</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ين</w:t>
      </w:r>
      <w:r w:rsidR="007E4718">
        <w:rPr>
          <w:rStyle w:val="af1"/>
          <w:rFonts w:hint="cs"/>
          <w:color w:val="auto"/>
          <w:szCs w:val="32"/>
          <w:rtl/>
        </w:rPr>
        <w:t xml:space="preserve"> </w:t>
      </w:r>
      <w:r w:rsidRPr="00C85F0F">
        <w:rPr>
          <w:rFonts w:ascii="Traditional Arabic" w:hAnsi="Traditional Arabic"/>
          <w:noProof w:val="0"/>
          <w:color w:val="auto"/>
          <w:rtl/>
          <w:lang w:eastAsia="en-US"/>
        </w:rPr>
        <w:t>قال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ثم سل</w:t>
      </w:r>
      <w:r w:rsidR="007E4718">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Style w:val="af1"/>
          <w:color w:val="auto"/>
          <w:szCs w:val="32"/>
          <w:rtl/>
        </w:rPr>
        <w:t>(</w:t>
      </w:r>
      <w:r w:rsidRPr="00C85F0F">
        <w:rPr>
          <w:rStyle w:val="af1"/>
          <w:color w:val="auto"/>
          <w:szCs w:val="32"/>
          <w:rtl/>
        </w:rPr>
        <w:footnoteReference w:id="393"/>
      </w:r>
      <w:r w:rsidRPr="00C85F0F">
        <w:rPr>
          <w:rStyle w:val="af1"/>
          <w:color w:val="auto"/>
          <w:szCs w:val="32"/>
          <w:rtl/>
        </w:rPr>
        <w:t>)</w:t>
      </w:r>
      <w:r w:rsidRPr="00C85F0F">
        <w:rPr>
          <w:rFonts w:ascii="Traditional Arabic" w:hAnsi="Traditional Arabic" w:hint="cs"/>
          <w:noProof w:val="0"/>
          <w:color w:val="auto"/>
          <w:rtl/>
          <w:lang w:eastAsia="en-US"/>
        </w:rPr>
        <w:t>.</w:t>
      </w:r>
    </w:p>
    <w:p w:rsidR="00A6645D" w:rsidRPr="00C85F0F" w:rsidRDefault="00A6645D" w:rsidP="00597C20">
      <w:pPr>
        <w:pStyle w:val="53"/>
        <w:rPr>
          <w:rtl/>
        </w:rPr>
      </w:pPr>
      <w:r w:rsidRPr="00C85F0F">
        <w:rPr>
          <w:rFonts w:hint="cs"/>
          <w:rtl/>
        </w:rPr>
        <w:t xml:space="preserve">وجه </w:t>
      </w:r>
      <w:r w:rsidRPr="00531753">
        <w:rPr>
          <w:rFonts w:hint="cs"/>
          <w:rtl/>
        </w:rPr>
        <w:t>الدلالة</w:t>
      </w:r>
      <w:r w:rsidRPr="00C85F0F">
        <w:rPr>
          <w:rFonts w:hint="cs"/>
          <w:rtl/>
        </w:rPr>
        <w:t>:</w:t>
      </w:r>
    </w:p>
    <w:p w:rsidR="00F228A9" w:rsidRPr="00C85F0F" w:rsidRDefault="007E4718"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A6645D" w:rsidRPr="00C85F0F">
        <w:rPr>
          <w:rFonts w:ascii="Traditional Arabic" w:hAnsi="Traditional Arabic" w:hint="cs"/>
          <w:noProof w:val="0"/>
          <w:color w:val="auto"/>
          <w:rtl/>
          <w:lang w:eastAsia="en-US"/>
        </w:rPr>
        <w:t>ن أبابكر</w:t>
      </w:r>
      <w:r w:rsidR="00154102" w:rsidRPr="00C85F0F">
        <w:rPr>
          <w:rFonts w:ascii="Traditional Arabic" w:hAnsi="Traditional Arabic" w:hint="cs"/>
          <w:noProof w:val="0"/>
          <w:color w:val="auto"/>
          <w:rtl/>
          <w:lang w:eastAsia="en-US"/>
        </w:rPr>
        <w:t xml:space="preserve"> و</w:t>
      </w:r>
      <w:r w:rsidR="00A6645D" w:rsidRPr="00C85F0F">
        <w:rPr>
          <w:rFonts w:ascii="Traditional Arabic" w:hAnsi="Traditional Arabic" w:hint="cs"/>
          <w:noProof w:val="0"/>
          <w:color w:val="auto"/>
          <w:rtl/>
          <w:lang w:eastAsia="en-US"/>
        </w:rPr>
        <w:t>عمر</w:t>
      </w:r>
      <w:r w:rsidR="00154102" w:rsidRPr="00C85F0F">
        <w:rPr>
          <w:rFonts w:ascii="Traditional Arabic" w:hAnsi="Traditional Arabic" w:hint="cs"/>
          <w:noProof w:val="0"/>
          <w:color w:val="auto"/>
          <w:rtl/>
          <w:lang w:eastAsia="en-US"/>
        </w:rPr>
        <w:t xml:space="preserve"> و</w:t>
      </w:r>
      <w:r w:rsidR="00A6645D" w:rsidRPr="00C85F0F">
        <w:rPr>
          <w:rFonts w:ascii="Traditional Arabic" w:hAnsi="Traditional Arabic" w:hint="cs"/>
          <w:noProof w:val="0"/>
          <w:color w:val="auto"/>
          <w:rtl/>
          <w:lang w:eastAsia="en-US"/>
        </w:rPr>
        <w:t>بقية الصحابة الذين لم يتكلموا  كان سكوت</w:t>
      </w:r>
      <w:r>
        <w:rPr>
          <w:rFonts w:ascii="Traditional Arabic" w:hAnsi="Traditional Arabic" w:hint="cs"/>
          <w:noProof w:val="0"/>
          <w:color w:val="auto"/>
          <w:rtl/>
          <w:lang w:eastAsia="en-US"/>
        </w:rPr>
        <w:t>ُ</w:t>
      </w:r>
      <w:r w:rsidR="00A6645D" w:rsidRPr="00C85F0F">
        <w:rPr>
          <w:rFonts w:ascii="Traditional Arabic" w:hAnsi="Traditional Arabic" w:hint="cs"/>
          <w:noProof w:val="0"/>
          <w:color w:val="auto"/>
          <w:rtl/>
          <w:lang w:eastAsia="en-US"/>
        </w:rPr>
        <w:t>هم لِتعارُض الأصل</w:t>
      </w:r>
      <w:r w:rsidR="00154102" w:rsidRPr="00C85F0F">
        <w:rPr>
          <w:rFonts w:ascii="Traditional Arabic" w:hAnsi="Traditional Arabic" w:hint="cs"/>
          <w:noProof w:val="0"/>
          <w:color w:val="auto"/>
          <w:rtl/>
          <w:lang w:eastAsia="en-US"/>
        </w:rPr>
        <w:t xml:space="preserve"> و</w:t>
      </w:r>
      <w:r w:rsidR="00A6645D" w:rsidRPr="00C85F0F">
        <w:rPr>
          <w:rFonts w:ascii="Traditional Arabic" w:hAnsi="Traditional Arabic" w:hint="cs"/>
          <w:noProof w:val="0"/>
          <w:color w:val="auto"/>
          <w:rtl/>
          <w:lang w:eastAsia="en-US"/>
        </w:rPr>
        <w:t>الظاهر عندهم، فإن الأصل بقاء الصلاة على ما هي عليه</w:t>
      </w:r>
      <w:r w:rsidR="00154102" w:rsidRPr="00C85F0F">
        <w:rPr>
          <w:rFonts w:ascii="Traditional Arabic" w:hAnsi="Traditional Arabic" w:hint="cs"/>
          <w:noProof w:val="0"/>
          <w:color w:val="auto"/>
          <w:rtl/>
          <w:lang w:eastAsia="en-US"/>
        </w:rPr>
        <w:t xml:space="preserve"> و</w:t>
      </w:r>
      <w:r w:rsidR="00A6645D" w:rsidRPr="00C85F0F">
        <w:rPr>
          <w:rFonts w:ascii="Traditional Arabic" w:hAnsi="Traditional Arabic" w:hint="cs"/>
          <w:noProof w:val="0"/>
          <w:color w:val="auto"/>
          <w:rtl/>
          <w:lang w:eastAsia="en-US"/>
        </w:rPr>
        <w:t>عدم النسخ،</w:t>
      </w:r>
      <w:r w:rsidR="00154102" w:rsidRPr="00C85F0F">
        <w:rPr>
          <w:rFonts w:ascii="Traditional Arabic" w:hAnsi="Traditional Arabic" w:hint="cs"/>
          <w:noProof w:val="0"/>
          <w:color w:val="auto"/>
          <w:rtl/>
          <w:lang w:eastAsia="en-US"/>
        </w:rPr>
        <w:t xml:space="preserve"> و</w:t>
      </w:r>
      <w:r w:rsidR="00FB1694">
        <w:rPr>
          <w:rFonts w:ascii="Traditional Arabic" w:hAnsi="Traditional Arabic" w:hint="cs"/>
          <w:noProof w:val="0"/>
          <w:color w:val="auto"/>
          <w:rtl/>
          <w:lang w:eastAsia="en-US"/>
        </w:rPr>
        <w:t>الظاهر التشريع في أفعال النبي صلى الله عليه وسلم</w:t>
      </w:r>
      <w:r w:rsidR="00154102" w:rsidRPr="00C85F0F">
        <w:rPr>
          <w:rFonts w:ascii="Traditional Arabic" w:hAnsi="Traditional Arabic" w:hint="cs"/>
          <w:noProof w:val="0"/>
          <w:color w:val="auto"/>
          <w:rtl/>
          <w:lang w:eastAsia="en-US"/>
        </w:rPr>
        <w:t xml:space="preserve"> و</w:t>
      </w:r>
      <w:r w:rsidR="00A6645D" w:rsidRPr="00C85F0F">
        <w:rPr>
          <w:rFonts w:ascii="Traditional Arabic" w:hAnsi="Traditional Arabic" w:hint="cs"/>
          <w:noProof w:val="0"/>
          <w:color w:val="auto"/>
          <w:rtl/>
          <w:lang w:eastAsia="en-US"/>
        </w:rPr>
        <w:t xml:space="preserve">عدم السهو، فلما تعارض هذان عندهم لم يقدِّموا أحدهما على الآخر، بل </w:t>
      </w:r>
      <w:r w:rsidR="00A6645D" w:rsidRPr="00C85F0F">
        <w:rPr>
          <w:rFonts w:ascii="Traditional Arabic" w:hAnsi="Traditional Arabic" w:hint="cs"/>
          <w:noProof w:val="0"/>
          <w:color w:val="auto"/>
          <w:rtl/>
          <w:lang w:eastAsia="en-US"/>
        </w:rPr>
        <w:lastRenderedPageBreak/>
        <w:t xml:space="preserve">سكتوا علما منهم بأنه إذا </w:t>
      </w:r>
      <w:r w:rsidR="00FB1694">
        <w:rPr>
          <w:rFonts w:ascii="Traditional Arabic" w:hAnsi="Traditional Arabic" w:hint="cs"/>
          <w:noProof w:val="0"/>
          <w:color w:val="auto"/>
          <w:rtl/>
          <w:lang w:eastAsia="en-US"/>
        </w:rPr>
        <w:t>كان هذا على وجه السهو من النبي صلى الله عليه وسلم</w:t>
      </w:r>
      <w:r w:rsidR="00A6645D" w:rsidRPr="00C85F0F">
        <w:rPr>
          <w:rFonts w:ascii="Traditional Arabic" w:hAnsi="Traditional Arabic" w:hint="cs"/>
          <w:noProof w:val="0"/>
          <w:color w:val="auto"/>
          <w:rtl/>
          <w:lang w:eastAsia="en-US"/>
        </w:rPr>
        <w:t xml:space="preserve"> فإنه يتبيّن الأمر</w:t>
      </w:r>
      <w:r w:rsidR="00154102" w:rsidRPr="00C85F0F">
        <w:rPr>
          <w:rFonts w:ascii="Traditional Arabic" w:hAnsi="Traditional Arabic" w:hint="cs"/>
          <w:noProof w:val="0"/>
          <w:color w:val="auto"/>
          <w:rtl/>
          <w:lang w:eastAsia="en-US"/>
        </w:rPr>
        <w:t xml:space="preserve"> و</w:t>
      </w:r>
      <w:r w:rsidR="00A6645D" w:rsidRPr="00C85F0F">
        <w:rPr>
          <w:rFonts w:ascii="Traditional Arabic" w:hAnsi="Traditional Arabic" w:hint="cs"/>
          <w:noProof w:val="0"/>
          <w:color w:val="auto"/>
          <w:rtl/>
          <w:lang w:eastAsia="en-US"/>
        </w:rPr>
        <w:t>لا يُقَرُّ عليه</w:t>
      </w:r>
      <w:r w:rsidR="00A6645D" w:rsidRPr="00C85F0F">
        <w:rPr>
          <w:rStyle w:val="af1"/>
          <w:color w:val="auto"/>
          <w:szCs w:val="32"/>
          <w:rtl/>
        </w:rPr>
        <w:t>(</w:t>
      </w:r>
      <w:r w:rsidR="00A6645D" w:rsidRPr="00C85F0F">
        <w:rPr>
          <w:rStyle w:val="af1"/>
          <w:color w:val="auto"/>
          <w:szCs w:val="32"/>
          <w:rtl/>
        </w:rPr>
        <w:footnoteReference w:id="394"/>
      </w:r>
      <w:r w:rsidR="00A6645D" w:rsidRPr="00C85F0F">
        <w:rPr>
          <w:rStyle w:val="af1"/>
          <w:color w:val="auto"/>
          <w:szCs w:val="32"/>
          <w:rtl/>
        </w:rPr>
        <w:t>)</w:t>
      </w:r>
      <w:r w:rsidR="00A6645D" w:rsidRPr="00C85F0F">
        <w:rPr>
          <w:rFonts w:ascii="Traditional Arabic" w:hAnsi="Traditional Arabic" w:hint="cs"/>
          <w:noProof w:val="0"/>
          <w:color w:val="auto"/>
          <w:rtl/>
          <w:lang w:eastAsia="en-US"/>
        </w:rPr>
        <w:t>.</w:t>
      </w:r>
    </w:p>
    <w:p w:rsidR="00A6645D" w:rsidRPr="00C85F0F" w:rsidRDefault="005B65ED" w:rsidP="00A8347C">
      <w:pPr>
        <w:pStyle w:val="aff3"/>
        <w:rPr>
          <w:rtl/>
        </w:rPr>
      </w:pPr>
      <w:bookmarkStart w:id="80" w:name="_Toc334046333"/>
      <w:r>
        <w:rPr>
          <w:rFonts w:hint="cs"/>
          <w:rtl/>
        </w:rPr>
        <w:t xml:space="preserve">             </w:t>
      </w:r>
      <w:r w:rsidR="00BE3E18">
        <w:rPr>
          <w:rFonts w:hint="cs"/>
          <w:rtl/>
        </w:rPr>
        <w:t xml:space="preserve">                       </w:t>
      </w:r>
      <w:r>
        <w:rPr>
          <w:rFonts w:hint="cs"/>
          <w:rtl/>
        </w:rPr>
        <w:t xml:space="preserve"> </w:t>
      </w:r>
      <w:r w:rsidR="00A6645D" w:rsidRPr="00C85F0F">
        <w:rPr>
          <w:rFonts w:hint="cs"/>
          <w:rtl/>
        </w:rPr>
        <w:t>المطلب الرابع</w:t>
      </w:r>
      <w:r w:rsidR="00964480" w:rsidRPr="00C85F0F">
        <w:rPr>
          <w:rFonts w:hint="eastAsia"/>
          <w:rtl/>
        </w:rPr>
        <w:t> :</w:t>
      </w:r>
      <w:r w:rsidR="00964480" w:rsidRPr="00C85F0F">
        <w:rPr>
          <w:rFonts w:hint="cs"/>
          <w:rtl/>
        </w:rPr>
        <w:br/>
      </w:r>
      <w:r>
        <w:rPr>
          <w:rFonts w:hint="cs"/>
          <w:rtl/>
        </w:rPr>
        <w:t xml:space="preserve">            </w:t>
      </w:r>
      <w:r w:rsidR="00BE3E18">
        <w:rPr>
          <w:rFonts w:hint="cs"/>
          <w:rtl/>
        </w:rPr>
        <w:t xml:space="preserve">                      </w:t>
      </w:r>
      <w:r>
        <w:rPr>
          <w:rFonts w:hint="cs"/>
          <w:rtl/>
        </w:rPr>
        <w:t xml:space="preserve"> </w:t>
      </w:r>
      <w:r w:rsidR="00BE3E18">
        <w:rPr>
          <w:rFonts w:hint="cs"/>
          <w:rtl/>
        </w:rPr>
        <w:t xml:space="preserve"> </w:t>
      </w:r>
      <w:r w:rsidR="00A6645D" w:rsidRPr="00C85F0F">
        <w:rPr>
          <w:rFonts w:hint="cs"/>
          <w:rtl/>
        </w:rPr>
        <w:t>تطبيقات القاعدة</w:t>
      </w:r>
      <w:bookmarkEnd w:id="80"/>
    </w:p>
    <w:p w:rsidR="00F228A9" w:rsidRPr="00C85F0F" w:rsidRDefault="00A6645D" w:rsidP="000A76C7">
      <w:pPr>
        <w:pStyle w:val="afc"/>
        <w:widowControl/>
        <w:numPr>
          <w:ilvl w:val="0"/>
          <w:numId w:val="69"/>
        </w:numPr>
        <w:autoSpaceDE w:val="0"/>
        <w:autoSpaceDN w:val="0"/>
        <w:adjustRightInd w:val="0"/>
        <w:jc w:val="left"/>
        <w:rPr>
          <w:rFonts w:ascii="Traditional Arabic" w:hAnsi="Traditional Arabic"/>
          <w:noProof w:val="0"/>
          <w:color w:val="auto"/>
          <w:rtl/>
          <w:lang w:eastAsia="en-US"/>
        </w:rPr>
      </w:pPr>
      <w:r w:rsidRPr="00C85F0F">
        <w:rPr>
          <w:rFonts w:ascii="Traditional Arabic" w:hAnsi="Traditional Arabic"/>
          <w:noProof w:val="0"/>
          <w:rtl/>
          <w:lang w:eastAsia="en-US"/>
        </w:rPr>
        <w:t>لا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فتق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الفسخ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بالعيب</w:t>
      </w:r>
      <w:r w:rsidRPr="00C85F0F">
        <w:rPr>
          <w:rFonts w:ascii="Traditional Arabic" w:hAnsi="Traditional Arabic" w:hint="cs"/>
          <w:noProof w:val="0"/>
          <w:color w:val="auto"/>
          <w:rtl/>
          <w:lang w:eastAsia="en-US"/>
        </w:rPr>
        <w:t xml:space="preserve"> إلى رضا البائع؛ لأن</w:t>
      </w:r>
      <w:r w:rsidR="005B65ED">
        <w:rPr>
          <w:rFonts w:ascii="Traditional Arabic" w:hAnsi="Traditional Arabic" w:hint="cs"/>
          <w:noProof w:val="0"/>
          <w:color w:val="auto"/>
          <w:rtl/>
          <w:lang w:eastAsia="en-US"/>
        </w:rPr>
        <w:t xml:space="preserve"> </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 xml:space="preserve">لمشتري </w:t>
      </w:r>
      <w:r w:rsidRPr="00C85F0F">
        <w:rPr>
          <w:rFonts w:ascii="Traditional Arabic" w:hAnsi="Traditional Arabic" w:hint="cs"/>
          <w:noProof w:val="0"/>
          <w:rtl/>
          <w:lang w:eastAsia="en-US"/>
        </w:rPr>
        <w:t>ه</w:t>
      </w:r>
      <w:r w:rsidRPr="00C85F0F">
        <w:rPr>
          <w:rFonts w:ascii="Traditional Arabic" w:hAnsi="Traditional Arabic"/>
          <w:noProof w:val="0"/>
          <w:rtl/>
          <w:lang w:eastAsia="en-US"/>
        </w:rPr>
        <w:t>و الذي له حق الفسخ</w:t>
      </w:r>
      <w:r w:rsidRPr="00C85F0F">
        <w:rPr>
          <w:rFonts w:ascii="Traditional Arabic" w:hAnsi="Traditional Arabic" w:hint="cs"/>
          <w:noProof w:val="0"/>
          <w:rtl/>
          <w:lang w:eastAsia="en-US"/>
        </w:rPr>
        <w:t>،</w:t>
      </w:r>
    </w:p>
    <w:p w:rsidR="00A6645D" w:rsidRPr="00C85F0F" w:rsidRDefault="00A6645D" w:rsidP="00597C20">
      <w:pPr>
        <w:pStyle w:val="afc"/>
        <w:widowControl/>
        <w:autoSpaceDE w:val="0"/>
        <w:autoSpaceDN w:val="0"/>
        <w:adjustRightInd w:val="0"/>
        <w:ind w:left="1080" w:firstLine="0"/>
        <w:rPr>
          <w:rFonts w:ascii="Traditional Arabic" w:hAnsi="Traditional Arabic"/>
          <w:noProof w:val="0"/>
          <w:rtl/>
          <w:lang w:eastAsia="en-US"/>
        </w:rPr>
      </w:pPr>
      <w:r w:rsidRPr="00C85F0F">
        <w:rPr>
          <w:rFonts w:ascii="Traditional Arabic" w:hAnsi="Traditional Arabic"/>
          <w:noProof w:val="0"/>
          <w:rtl/>
          <w:lang w:eastAsia="en-US"/>
        </w:rPr>
        <w:t>فإن ادعى المشتري أنه قد فسخ</w:t>
      </w:r>
      <w:r w:rsidRPr="00C85F0F">
        <w:rPr>
          <w:rFonts w:ascii="Traditional Arabic" w:hAnsi="Traditional Arabic" w:hint="cs"/>
          <w:noProof w:val="0"/>
          <w:rtl/>
          <w:lang w:eastAsia="en-US"/>
        </w:rPr>
        <w:t xml:space="preserve"> البيع</w:t>
      </w:r>
      <w:r w:rsidRPr="00C85F0F">
        <w:rPr>
          <w:rFonts w:ascii="Traditional Arabic" w:hAnsi="Traditional Arabic"/>
          <w:noProof w:val="0"/>
          <w:rtl/>
          <w:lang w:eastAsia="en-US"/>
        </w:rPr>
        <w:t xml:space="preserve"> وأنكر البائع، فالقول قول المشتري؛ لأن</w:t>
      </w:r>
      <w:r w:rsidRPr="00C85F0F">
        <w:rPr>
          <w:rFonts w:ascii="Traditional Arabic" w:hAnsi="Traditional Arabic" w:hint="cs"/>
          <w:noProof w:val="0"/>
          <w:rtl/>
          <w:lang w:eastAsia="en-US"/>
        </w:rPr>
        <w:t xml:space="preserve"> الفسخ</w:t>
      </w:r>
      <w:r w:rsidRPr="00C85F0F">
        <w:rPr>
          <w:rFonts w:ascii="Traditional Arabic" w:hAnsi="Traditional Arabic"/>
          <w:noProof w:val="0"/>
          <w:rtl/>
          <w:lang w:eastAsia="en-US"/>
        </w:rPr>
        <w:t xml:space="preserve"> لا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 إلا من جهته</w:t>
      </w:r>
      <w:r w:rsidRPr="00C85F0F">
        <w:rPr>
          <w:rStyle w:val="af1"/>
          <w:szCs w:val="32"/>
          <w:rtl/>
        </w:rPr>
        <w:t>(</w:t>
      </w:r>
      <w:r w:rsidRPr="00C85F0F">
        <w:rPr>
          <w:rStyle w:val="af1"/>
          <w:szCs w:val="32"/>
          <w:rtl/>
        </w:rPr>
        <w:footnoteReference w:id="395"/>
      </w:r>
      <w:r w:rsidRPr="00C85F0F">
        <w:rPr>
          <w:rStyle w:val="af1"/>
          <w:szCs w:val="32"/>
          <w:rtl/>
        </w:rPr>
        <w:t>)</w:t>
      </w:r>
      <w:r w:rsidRPr="00C85F0F">
        <w:rPr>
          <w:rFonts w:ascii="Traditional Arabic" w:hAnsi="Traditional Arabic"/>
          <w:noProof w:val="0"/>
          <w:rtl/>
          <w:lang w:eastAsia="en-US"/>
        </w:rPr>
        <w:t>.</w:t>
      </w:r>
    </w:p>
    <w:p w:rsidR="00A6645D" w:rsidRPr="00C85F0F" w:rsidRDefault="00A6645D" w:rsidP="00597C20">
      <w:pPr>
        <w:pStyle w:val="53"/>
        <w:rPr>
          <w:rtl/>
        </w:rPr>
      </w:pPr>
      <w:r w:rsidRPr="00C85F0F">
        <w:rPr>
          <w:rFonts w:hint="cs"/>
          <w:rtl/>
        </w:rPr>
        <w:t xml:space="preserve">وجه اندراج </w:t>
      </w:r>
      <w:r w:rsidRPr="00531753">
        <w:rPr>
          <w:rFonts w:hint="cs"/>
          <w:rtl/>
        </w:rPr>
        <w:t>الفرع</w:t>
      </w:r>
      <w:r w:rsidRPr="00C85F0F">
        <w:rPr>
          <w:rFonts w:hint="cs"/>
          <w:rtl/>
        </w:rPr>
        <w:t xml:space="preserve"> تحت القاعدة:</w:t>
      </w:r>
    </w:p>
    <w:p w:rsidR="00A6645D" w:rsidRPr="00C85F0F" w:rsidRDefault="00A6645D"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تعارَض في هذه المسألة أصلان: الأول: الأصل عدم الفسخ،</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الثاني: الأصل أن الفسخ لا يعلم إلا من جهة المشتري، فقُدِّم الأصل الثاني على الأصل الأول</w:t>
      </w:r>
      <w:r w:rsidRPr="00C85F0F">
        <w:rPr>
          <w:rStyle w:val="af1"/>
          <w:szCs w:val="32"/>
          <w:rtl/>
        </w:rPr>
        <w:t>(</w:t>
      </w:r>
      <w:r w:rsidRPr="00C85F0F">
        <w:rPr>
          <w:rStyle w:val="af1"/>
          <w:szCs w:val="32"/>
          <w:rtl/>
        </w:rPr>
        <w:footnoteReference w:id="396"/>
      </w:r>
      <w:r w:rsidRPr="00C85F0F">
        <w:rPr>
          <w:rStyle w:val="af1"/>
          <w:szCs w:val="32"/>
          <w:rtl/>
        </w:rPr>
        <w:t>)</w:t>
      </w:r>
      <w:r w:rsidRPr="00C85F0F">
        <w:rPr>
          <w:rFonts w:ascii="Traditional Arabic" w:hAnsi="Traditional Arabic" w:hint="cs"/>
          <w:noProof w:val="0"/>
          <w:rtl/>
          <w:lang w:eastAsia="en-US"/>
        </w:rPr>
        <w:t>.</w:t>
      </w:r>
    </w:p>
    <w:p w:rsidR="00A6645D" w:rsidRPr="00C85F0F" w:rsidRDefault="00A6645D" w:rsidP="000A76C7">
      <w:pPr>
        <w:pStyle w:val="afc"/>
        <w:widowControl/>
        <w:numPr>
          <w:ilvl w:val="0"/>
          <w:numId w:val="69"/>
        </w:numPr>
        <w:autoSpaceDE w:val="0"/>
        <w:autoSpaceDN w:val="0"/>
        <w:adjustRightInd w:val="0"/>
        <w:rPr>
          <w:rFonts w:ascii="Traditional Arabic" w:hAnsi="Traditional Arabic"/>
          <w:noProof w:val="0"/>
          <w:lang w:eastAsia="en-US"/>
        </w:rPr>
      </w:pPr>
      <w:r w:rsidRPr="00C85F0F">
        <w:rPr>
          <w:rFonts w:ascii="Traditional Arabic" w:hAnsi="Traditional Arabic"/>
          <w:noProof w:val="0"/>
          <w:rtl/>
          <w:lang w:eastAsia="en-US"/>
        </w:rPr>
        <w:t xml:space="preserve">إذا </w:t>
      </w:r>
      <w:r w:rsidRPr="00C85F0F">
        <w:rPr>
          <w:rFonts w:ascii="Traditional Arabic" w:hAnsi="Traditional Arabic" w:hint="cs"/>
          <w:noProof w:val="0"/>
          <w:rtl/>
          <w:lang w:eastAsia="en-US"/>
        </w:rPr>
        <w:t>لم ي</w:t>
      </w:r>
      <w:r w:rsidRPr="00C85F0F">
        <w:rPr>
          <w:rFonts w:ascii="Traditional Arabic" w:hAnsi="Traditional Arabic"/>
          <w:noProof w:val="0"/>
          <w:rtl/>
          <w:lang w:eastAsia="en-US"/>
        </w:rPr>
        <w:t>شترط</w:t>
      </w:r>
      <w:r w:rsidRPr="00C85F0F">
        <w:rPr>
          <w:rFonts w:ascii="Traditional Arabic" w:hAnsi="Traditional Arabic" w:hint="cs"/>
          <w:noProof w:val="0"/>
          <w:rtl/>
          <w:lang w:eastAsia="en-US"/>
        </w:rPr>
        <w:t xml:space="preserve"> المشتري</w:t>
      </w:r>
      <w:r w:rsidRPr="00C85F0F">
        <w:rPr>
          <w:rFonts w:ascii="Traditional Arabic" w:hAnsi="Traditional Arabic"/>
          <w:noProof w:val="0"/>
          <w:rtl/>
          <w:lang w:eastAsia="en-US"/>
        </w:rPr>
        <w:t xml:space="preserve"> في الأمة أن تكون ب</w:t>
      </w:r>
      <w:r w:rsidR="009B7DB3">
        <w:rPr>
          <w:rFonts w:ascii="Traditional Arabic" w:hAnsi="Traditional Arabic" w:hint="cs"/>
          <w:noProof w:val="0"/>
          <w:rtl/>
          <w:lang w:eastAsia="en-US"/>
        </w:rPr>
        <w:t>ِ</w:t>
      </w:r>
      <w:r w:rsidRPr="00C85F0F">
        <w:rPr>
          <w:rFonts w:ascii="Traditional Arabic" w:hAnsi="Traditional Arabic"/>
          <w:noProof w:val="0"/>
          <w:rtl/>
          <w:lang w:eastAsia="en-US"/>
        </w:rPr>
        <w:t>كراً،</w:t>
      </w:r>
      <w:r w:rsidR="009B7DB3">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 xml:space="preserve">ثم لما اشتراها </w:t>
      </w:r>
      <w:r w:rsidRPr="00C85F0F">
        <w:rPr>
          <w:rFonts w:ascii="Traditional Arabic" w:hAnsi="Traditional Arabic"/>
          <w:noProof w:val="0"/>
          <w:rtl/>
          <w:lang w:eastAsia="en-US"/>
        </w:rPr>
        <w:t>وجدها ثي</w:t>
      </w:r>
      <w:r w:rsidR="009B7DB3">
        <w:rPr>
          <w:rFonts w:ascii="Traditional Arabic" w:hAnsi="Traditional Arabic" w:hint="cs"/>
          <w:noProof w:val="0"/>
          <w:rtl/>
          <w:lang w:eastAsia="en-US"/>
        </w:rPr>
        <w:t>ِّ</w:t>
      </w:r>
      <w:r w:rsidRPr="00C85F0F">
        <w:rPr>
          <w:rFonts w:ascii="Traditional Arabic" w:hAnsi="Traditional Arabic"/>
          <w:noProof w:val="0"/>
          <w:rtl/>
          <w:lang w:eastAsia="en-US"/>
        </w:rPr>
        <w:t>باً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w:t>
      </w:r>
      <w:r w:rsidRPr="00C85F0F">
        <w:rPr>
          <w:rFonts w:ascii="Traditional Arabic" w:hAnsi="Traditional Arabic" w:hint="cs"/>
          <w:noProof w:val="0"/>
          <w:rtl/>
          <w:lang w:eastAsia="en-US"/>
        </w:rPr>
        <w:t xml:space="preserve">إنه </w:t>
      </w:r>
      <w:r w:rsidRPr="00C85F0F">
        <w:rPr>
          <w:rFonts w:ascii="Traditional Arabic" w:hAnsi="Traditional Arabic"/>
          <w:noProof w:val="0"/>
          <w:rtl/>
          <w:lang w:eastAsia="en-US"/>
        </w:rPr>
        <w:t>لا خيار له</w:t>
      </w:r>
      <w:r w:rsidRPr="00C85F0F">
        <w:rPr>
          <w:rStyle w:val="af1"/>
          <w:szCs w:val="32"/>
          <w:rtl/>
        </w:rPr>
        <w:t>(</w:t>
      </w:r>
      <w:r w:rsidRPr="00C85F0F">
        <w:rPr>
          <w:rStyle w:val="af1"/>
          <w:szCs w:val="32"/>
          <w:rtl/>
        </w:rPr>
        <w:footnoteReference w:id="397"/>
      </w:r>
      <w:r w:rsidRPr="00C85F0F">
        <w:rPr>
          <w:rStyle w:val="af1"/>
          <w:szCs w:val="32"/>
          <w:rtl/>
        </w:rPr>
        <w:t>)</w:t>
      </w:r>
      <w:r w:rsidRPr="00C85F0F">
        <w:rPr>
          <w:rFonts w:ascii="Traditional Arabic" w:hAnsi="Traditional Arabic" w:hint="cs"/>
          <w:noProof w:val="0"/>
          <w:rtl/>
          <w:lang w:eastAsia="en-US"/>
        </w:rPr>
        <w:t>.</w:t>
      </w:r>
    </w:p>
    <w:p w:rsidR="00A6645D" w:rsidRPr="00C85F0F" w:rsidRDefault="00A6645D" w:rsidP="00597C20">
      <w:pPr>
        <w:pStyle w:val="53"/>
        <w:rPr>
          <w:rtl/>
        </w:rPr>
      </w:pPr>
      <w:r w:rsidRPr="00C85F0F">
        <w:rPr>
          <w:rFonts w:hint="cs"/>
          <w:rtl/>
        </w:rPr>
        <w:t>وجه اندراج الفرع تحت القاعدة:</w:t>
      </w:r>
    </w:p>
    <w:p w:rsidR="00A6645D" w:rsidRPr="00C85F0F" w:rsidRDefault="00A6645D"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تعارض في المسألة أصل</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ظاهر، فا</w:t>
      </w:r>
      <w:r w:rsidR="00E35ED5">
        <w:rPr>
          <w:rFonts w:ascii="Traditional Arabic" w:hAnsi="Traditional Arabic" w:hint="cs"/>
          <w:noProof w:val="0"/>
          <w:rtl/>
          <w:lang w:eastAsia="en-US"/>
        </w:rPr>
        <w:t>لأصل هو</w:t>
      </w:r>
      <w:r w:rsidRPr="00C85F0F">
        <w:rPr>
          <w:rFonts w:ascii="Traditional Arabic" w:hAnsi="Traditional Arabic" w:hint="cs"/>
          <w:noProof w:val="0"/>
          <w:rtl/>
          <w:lang w:eastAsia="en-US"/>
        </w:rPr>
        <w:t xml:space="preserve"> الب</w:t>
      </w:r>
      <w:r w:rsidR="00E35ED5">
        <w:rPr>
          <w:rFonts w:ascii="Traditional Arabic" w:hAnsi="Traditional Arabic" w:hint="cs"/>
          <w:noProof w:val="0"/>
          <w:rtl/>
          <w:lang w:eastAsia="en-US"/>
        </w:rPr>
        <w:t>َ</w:t>
      </w:r>
      <w:r w:rsidRPr="00C85F0F">
        <w:rPr>
          <w:rFonts w:ascii="Traditional Arabic" w:hAnsi="Traditional Arabic" w:hint="cs"/>
          <w:noProof w:val="0"/>
          <w:rtl/>
          <w:lang w:eastAsia="en-US"/>
        </w:rPr>
        <w:t>كارة، والظاهر أن الأمة موطوءة؛</w:t>
      </w:r>
      <w:r w:rsidRPr="00C85F0F">
        <w:rPr>
          <w:rFonts w:ascii="Traditional Arabic" w:hAnsi="Traditional Arabic"/>
          <w:noProof w:val="0"/>
          <w:rtl/>
          <w:lang w:eastAsia="en-US"/>
        </w:rPr>
        <w:t xml:space="preserve"> لأن</w:t>
      </w:r>
      <w:r w:rsidRPr="00C85F0F">
        <w:rPr>
          <w:rFonts w:ascii="Traditional Arabic" w:hAnsi="Traditional Arabic" w:hint="cs"/>
          <w:noProof w:val="0"/>
          <w:rtl/>
          <w:lang w:eastAsia="en-US"/>
        </w:rPr>
        <w:t>ها</w:t>
      </w:r>
      <w:r w:rsidRPr="00C85F0F">
        <w:rPr>
          <w:rFonts w:ascii="Traditional Arabic" w:hAnsi="Traditional Arabic"/>
          <w:noProof w:val="0"/>
          <w:rtl/>
          <w:lang w:eastAsia="en-US"/>
        </w:rPr>
        <w:t xml:space="preserve"> إذا كانت عند سيدها فالغالب أنه يطؤها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وهذا مما تعارض فيه الأصل والظاهر وق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 فيه الظاهر</w:t>
      </w:r>
      <w:r w:rsidRPr="00C85F0F">
        <w:rPr>
          <w:rStyle w:val="af1"/>
          <w:szCs w:val="32"/>
          <w:rtl/>
        </w:rPr>
        <w:t>(</w:t>
      </w:r>
      <w:r w:rsidRPr="00C85F0F">
        <w:rPr>
          <w:rStyle w:val="af1"/>
          <w:szCs w:val="32"/>
          <w:rtl/>
        </w:rPr>
        <w:footnoteReference w:id="398"/>
      </w:r>
      <w:r w:rsidRPr="00C85F0F">
        <w:rPr>
          <w:rStyle w:val="af1"/>
          <w:szCs w:val="32"/>
          <w:rtl/>
        </w:rPr>
        <w:t>)</w:t>
      </w:r>
      <w:r w:rsidRPr="00C85F0F">
        <w:rPr>
          <w:rFonts w:ascii="Traditional Arabic" w:hAnsi="Traditional Arabic" w:hint="cs"/>
          <w:noProof w:val="0"/>
          <w:rtl/>
          <w:lang w:eastAsia="en-US"/>
        </w:rPr>
        <w:t>.</w:t>
      </w:r>
    </w:p>
    <w:p w:rsidR="00A6645D" w:rsidRPr="00C85F0F" w:rsidRDefault="00A6645D" w:rsidP="000A76C7">
      <w:pPr>
        <w:pStyle w:val="afc"/>
        <w:widowControl/>
        <w:numPr>
          <w:ilvl w:val="0"/>
          <w:numId w:val="69"/>
        </w:numPr>
        <w:autoSpaceDE w:val="0"/>
        <w:autoSpaceDN w:val="0"/>
        <w:adjustRightInd w:val="0"/>
        <w:rPr>
          <w:rFonts w:ascii="Traditional Arabic" w:hAnsi="Traditional Arabic"/>
          <w:noProof w:val="0"/>
          <w:lang w:eastAsia="en-US"/>
        </w:rPr>
      </w:pP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قول الراهن في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الدين</w:t>
      </w:r>
      <w:r w:rsidRPr="00C85F0F">
        <w:rPr>
          <w:rFonts w:ascii="Traditional Arabic" w:hAnsi="Traditional Arabic" w:hint="cs"/>
          <w:noProof w:val="0"/>
          <w:rtl/>
          <w:lang w:eastAsia="en-US"/>
        </w:rPr>
        <w:t xml:space="preserve"> مع يمينه </w:t>
      </w:r>
      <w:r w:rsidRPr="00C85F0F">
        <w:rPr>
          <w:rFonts w:ascii="Traditional Arabic" w:hAnsi="Traditional Arabic"/>
          <w:noProof w:val="0"/>
          <w:rtl/>
          <w:lang w:eastAsia="en-US"/>
        </w:rPr>
        <w:t>إذا لم يكن للمرتهن بينة</w:t>
      </w:r>
      <w:r w:rsidRPr="00C85F0F">
        <w:rPr>
          <w:rFonts w:ascii="Traditional Arabic" w:hAnsi="Traditional Arabic" w:hint="cs"/>
          <w:noProof w:val="0"/>
          <w:rtl/>
          <w:lang w:eastAsia="en-US"/>
        </w:rPr>
        <w:t xml:space="preserve">، إلا </w:t>
      </w:r>
      <w:r w:rsidRPr="00C85F0F">
        <w:rPr>
          <w:rFonts w:ascii="Traditional Arabic" w:hAnsi="Traditional Arabic"/>
          <w:noProof w:val="0"/>
          <w:rtl/>
          <w:lang w:eastAsia="en-US"/>
        </w:rPr>
        <w:t xml:space="preserve">أن يكون الدين الذي ادعاه الراهن </w:t>
      </w:r>
      <w:r w:rsidRPr="00C85F0F">
        <w:rPr>
          <w:rFonts w:ascii="Traditional Arabic" w:hAnsi="Traditional Arabic" w:hint="cs"/>
          <w:noProof w:val="0"/>
          <w:rtl/>
          <w:lang w:eastAsia="en-US"/>
        </w:rPr>
        <w:t xml:space="preserve">بعيدا </w:t>
      </w:r>
      <w:r w:rsidRPr="00C85F0F">
        <w:rPr>
          <w:rFonts w:ascii="Traditional Arabic" w:hAnsi="Traditional Arabic"/>
          <w:noProof w:val="0"/>
          <w:rtl/>
          <w:lang w:eastAsia="en-US"/>
        </w:rPr>
        <w:t>من قيمة الرهن</w:t>
      </w:r>
      <w:r w:rsidRPr="00C85F0F">
        <w:rPr>
          <w:rStyle w:val="af1"/>
          <w:szCs w:val="32"/>
          <w:rtl/>
        </w:rPr>
        <w:t>(</w:t>
      </w:r>
      <w:r w:rsidRPr="00C85F0F">
        <w:rPr>
          <w:rStyle w:val="af1"/>
          <w:szCs w:val="32"/>
          <w:rtl/>
        </w:rPr>
        <w:footnoteReference w:id="399"/>
      </w:r>
      <w:r w:rsidRPr="00C85F0F">
        <w:rPr>
          <w:rStyle w:val="af1"/>
          <w:szCs w:val="32"/>
          <w:rtl/>
        </w:rPr>
        <w:t>)</w:t>
      </w:r>
      <w:r w:rsidRPr="00C85F0F">
        <w:rPr>
          <w:rFonts w:ascii="Traditional Arabic" w:hAnsi="Traditional Arabic" w:hint="cs"/>
          <w:noProof w:val="0"/>
          <w:rtl/>
          <w:lang w:eastAsia="en-US"/>
        </w:rPr>
        <w:t xml:space="preserve">، فالقول قول المرتهِن؛ لأن الظاهر يكذِّب </w:t>
      </w:r>
      <w:r w:rsidRPr="00C85F0F">
        <w:rPr>
          <w:rFonts w:ascii="Traditional Arabic" w:hAnsi="Traditional Arabic" w:hint="cs"/>
          <w:noProof w:val="0"/>
          <w:rtl/>
          <w:lang w:eastAsia="en-US"/>
        </w:rPr>
        <w:lastRenderedPageBreak/>
        <w:t>قولَ الراهن؛ إذ العرف يشهد للمرتهن حيث إن الراهن ادعى خلافَ ما جَرَتْ به العادة</w:t>
      </w:r>
      <w:r w:rsidRPr="00C85F0F">
        <w:rPr>
          <w:rStyle w:val="af1"/>
          <w:szCs w:val="32"/>
          <w:rtl/>
        </w:rPr>
        <w:t>(</w:t>
      </w:r>
      <w:r w:rsidRPr="00C85F0F">
        <w:rPr>
          <w:rStyle w:val="af1"/>
          <w:szCs w:val="32"/>
          <w:rtl/>
        </w:rPr>
        <w:footnoteReference w:id="400"/>
      </w:r>
      <w:r w:rsidRPr="00C85F0F">
        <w:rPr>
          <w:rStyle w:val="af1"/>
          <w:szCs w:val="32"/>
          <w:rtl/>
        </w:rPr>
        <w:t>)</w:t>
      </w:r>
      <w:r w:rsidRPr="00C85F0F">
        <w:rPr>
          <w:rFonts w:ascii="Traditional Arabic" w:hAnsi="Traditional Arabic"/>
          <w:noProof w:val="0"/>
          <w:rtl/>
          <w:lang w:eastAsia="en-US"/>
        </w:rPr>
        <w:t>.</w:t>
      </w:r>
    </w:p>
    <w:p w:rsidR="00A6645D" w:rsidRPr="00C85F0F" w:rsidRDefault="00A6645D" w:rsidP="00597C20">
      <w:pPr>
        <w:pStyle w:val="53"/>
        <w:rPr>
          <w:rtl/>
        </w:rPr>
      </w:pPr>
      <w:r w:rsidRPr="00C85F0F">
        <w:rPr>
          <w:rFonts w:hint="cs"/>
          <w:rtl/>
        </w:rPr>
        <w:t>وجه اندراج الفرع تحت القاعدة:</w:t>
      </w:r>
    </w:p>
    <w:p w:rsidR="00F228A9" w:rsidRPr="00C85F0F" w:rsidRDefault="00A6645D" w:rsidP="00597C20">
      <w:pPr>
        <w:widowControl/>
        <w:autoSpaceDE w:val="0"/>
        <w:autoSpaceDN w:val="0"/>
        <w:adjustRightInd w:val="0"/>
        <w:ind w:firstLine="720"/>
        <w:rPr>
          <w:rFonts w:ascii="Traditional Arabic" w:hAnsi="Traditional Arabic"/>
          <w:noProof w:val="0"/>
          <w:lang w:eastAsia="en-US"/>
        </w:rPr>
      </w:pPr>
      <w:r w:rsidRPr="00C85F0F">
        <w:rPr>
          <w:rFonts w:ascii="Traditional Arabic" w:hAnsi="Traditional Arabic" w:hint="cs"/>
          <w:noProof w:val="0"/>
          <w:rtl/>
          <w:lang w:eastAsia="en-US"/>
        </w:rPr>
        <w:t>الأصل قبول قول الراهن مع يمينه،</w:t>
      </w:r>
      <w:r w:rsidR="00154102" w:rsidRPr="00C85F0F">
        <w:rPr>
          <w:rFonts w:ascii="Traditional Arabic" w:hAnsi="Traditional Arabic" w:hint="cs"/>
          <w:noProof w:val="0"/>
          <w:rtl/>
          <w:lang w:eastAsia="en-US"/>
        </w:rPr>
        <w:t xml:space="preserve"> و</w:t>
      </w:r>
      <w:r w:rsidRPr="00C85F0F">
        <w:rPr>
          <w:rFonts w:ascii="Traditional Arabic" w:hAnsi="Traditional Arabic"/>
          <w:noProof w:val="0"/>
          <w:rtl/>
          <w:lang w:eastAsia="en-US"/>
        </w:rPr>
        <w:t>عدم ثبوت ما ادعاه المرتهن؛ لأن الراهن ي</w:t>
      </w:r>
      <w:r w:rsidR="00E35ED5">
        <w:rPr>
          <w:rFonts w:ascii="Traditional Arabic" w:hAnsi="Traditional Arabic" w:hint="cs"/>
          <w:noProof w:val="0"/>
          <w:rtl/>
          <w:lang w:eastAsia="en-US"/>
        </w:rPr>
        <w:t>ُ</w:t>
      </w:r>
      <w:r w:rsidRPr="00C85F0F">
        <w:rPr>
          <w:rFonts w:ascii="Traditional Arabic" w:hAnsi="Traditional Arabic"/>
          <w:noProof w:val="0"/>
          <w:rtl/>
          <w:lang w:eastAsia="en-US"/>
        </w:rPr>
        <w:t>ن</w:t>
      </w:r>
      <w:r w:rsidR="00E35ED5">
        <w:rPr>
          <w:rFonts w:ascii="Traditional Arabic" w:hAnsi="Traditional Arabic" w:hint="cs"/>
          <w:noProof w:val="0"/>
          <w:rtl/>
          <w:lang w:eastAsia="en-US"/>
        </w:rPr>
        <w:t>ْ</w:t>
      </w:r>
      <w:r w:rsidRPr="00C85F0F">
        <w:rPr>
          <w:rFonts w:ascii="Traditional Arabic" w:hAnsi="Traditional Arabic"/>
          <w:noProof w:val="0"/>
          <w:rtl/>
          <w:lang w:eastAsia="en-US"/>
        </w:rPr>
        <w:t>كره</w:t>
      </w:r>
      <w:r w:rsidRPr="00C85F0F">
        <w:rPr>
          <w:rFonts w:ascii="Traditional Arabic" w:hAnsi="Traditional Arabic" w:hint="cs"/>
          <w:noProof w:val="0"/>
          <w:rtl/>
          <w:lang w:eastAsia="en-US"/>
        </w:rPr>
        <w:t>،</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 xml:space="preserve">لا بينة مع المرتهن، </w:t>
      </w:r>
      <w:r w:rsidRPr="00C85F0F">
        <w:rPr>
          <w:rFonts w:ascii="Traditional Arabic" w:hAnsi="Traditional Arabic"/>
          <w:noProof w:val="0"/>
          <w:rtl/>
          <w:lang w:eastAsia="en-US"/>
        </w:rPr>
        <w:t>والظاهر ثبوت ما ادعاه المرتهن في هذه الصورة</w:t>
      </w:r>
      <w:r w:rsidRPr="00C85F0F">
        <w:rPr>
          <w:rFonts w:ascii="Traditional Arabic" w:hAnsi="Traditional Arabic" w:hint="cs"/>
          <w:noProof w:val="0"/>
          <w:rtl/>
          <w:lang w:eastAsia="en-US"/>
        </w:rPr>
        <w:t>؛ لأن الظاهر يكذِّب قولَ الراهن،</w:t>
      </w:r>
      <w:r w:rsidR="009B7DB3">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ولما كان هذا الظاهر أقوى من الأصل- لكون العُرف يشهد لقول المرتهن- قُدِّم الظاهر عليه</w:t>
      </w:r>
      <w:r w:rsidRPr="00C85F0F">
        <w:rPr>
          <w:rStyle w:val="af1"/>
          <w:szCs w:val="32"/>
          <w:rtl/>
        </w:rPr>
        <w:t>(</w:t>
      </w:r>
      <w:r w:rsidRPr="00C85F0F">
        <w:rPr>
          <w:rStyle w:val="af1"/>
          <w:szCs w:val="32"/>
          <w:rtl/>
        </w:rPr>
        <w:footnoteReference w:id="401"/>
      </w:r>
      <w:r w:rsidRPr="00C85F0F">
        <w:rPr>
          <w:rStyle w:val="af1"/>
          <w:szCs w:val="32"/>
          <w:rtl/>
        </w:rPr>
        <w:t>)</w:t>
      </w:r>
      <w:r w:rsidRPr="00C85F0F">
        <w:rPr>
          <w:rFonts w:ascii="Traditional Arabic" w:hAnsi="Traditional Arabic" w:hint="cs"/>
          <w:noProof w:val="0"/>
          <w:rtl/>
          <w:lang w:eastAsia="en-US"/>
        </w:rPr>
        <w:t>.</w:t>
      </w:r>
    </w:p>
    <w:p w:rsidR="00A6645D" w:rsidRPr="00C85F0F" w:rsidRDefault="00A6645D" w:rsidP="000A76C7">
      <w:pPr>
        <w:pStyle w:val="afc"/>
        <w:widowControl/>
        <w:numPr>
          <w:ilvl w:val="0"/>
          <w:numId w:val="69"/>
        </w:numPr>
        <w:autoSpaceDE w:val="0"/>
        <w:autoSpaceDN w:val="0"/>
        <w:adjustRightInd w:val="0"/>
        <w:rPr>
          <w:rFonts w:ascii="Traditional Arabic" w:hAnsi="Traditional Arabic"/>
          <w:noProof w:val="0"/>
          <w:lang w:eastAsia="en-US"/>
        </w:rPr>
      </w:pPr>
      <w:r w:rsidRPr="00C85F0F">
        <w:rPr>
          <w:rFonts w:ascii="Traditional Arabic" w:hAnsi="Traditional Arabic" w:hint="cs"/>
          <w:noProof w:val="0"/>
          <w:rtl/>
          <w:lang w:eastAsia="en-US"/>
        </w:rPr>
        <w:t xml:space="preserve">إذا تَلِفت العينُ المغصوبة وادعى الغاصب أنها حين غصبها كانت معيبة، وادعى مالكها </w:t>
      </w:r>
      <w:r w:rsidR="00E35ED5">
        <w:rPr>
          <w:rFonts w:ascii="Traditional Arabic" w:hAnsi="Traditional Arabic" w:hint="cs"/>
          <w:noProof w:val="0"/>
          <w:rtl/>
          <w:lang w:eastAsia="en-US"/>
        </w:rPr>
        <w:t xml:space="preserve">كانت </w:t>
      </w:r>
      <w:r w:rsidRPr="00C85F0F">
        <w:rPr>
          <w:rFonts w:ascii="Traditional Arabic" w:hAnsi="Traditional Arabic" w:hint="cs"/>
          <w:noProof w:val="0"/>
          <w:rtl/>
          <w:lang w:eastAsia="en-US"/>
        </w:rPr>
        <w:t>أنها سليمة، فالقول قول المالك؛ لأن الأصل السلامة</w:t>
      </w:r>
      <w:r w:rsidRPr="00C85F0F">
        <w:rPr>
          <w:rStyle w:val="af1"/>
          <w:szCs w:val="32"/>
          <w:rtl/>
        </w:rPr>
        <w:t>(</w:t>
      </w:r>
      <w:r w:rsidRPr="00C85F0F">
        <w:rPr>
          <w:rStyle w:val="af1"/>
          <w:szCs w:val="32"/>
          <w:rtl/>
        </w:rPr>
        <w:footnoteReference w:id="402"/>
      </w:r>
      <w:r w:rsidRPr="00C85F0F">
        <w:rPr>
          <w:rStyle w:val="af1"/>
          <w:szCs w:val="32"/>
          <w:rtl/>
        </w:rPr>
        <w:t>)</w:t>
      </w:r>
      <w:r w:rsidRPr="00C85F0F">
        <w:rPr>
          <w:rFonts w:ascii="Traditional Arabic" w:hAnsi="Traditional Arabic" w:hint="cs"/>
          <w:noProof w:val="0"/>
          <w:rtl/>
          <w:lang w:eastAsia="en-US"/>
        </w:rPr>
        <w:t>.</w:t>
      </w:r>
    </w:p>
    <w:p w:rsidR="00065E4B" w:rsidRPr="00C85F0F" w:rsidRDefault="00A6645D" w:rsidP="00597C20">
      <w:pPr>
        <w:pStyle w:val="53"/>
        <w:rPr>
          <w:rtl/>
        </w:rPr>
      </w:pPr>
      <w:r w:rsidRPr="00C85F0F">
        <w:rPr>
          <w:rFonts w:hint="cs"/>
          <w:rtl/>
        </w:rPr>
        <w:t xml:space="preserve">وجه اندراج </w:t>
      </w:r>
      <w:r w:rsidRPr="00531753">
        <w:rPr>
          <w:rFonts w:hint="cs"/>
          <w:rtl/>
        </w:rPr>
        <w:t>الفرع</w:t>
      </w:r>
      <w:r w:rsidRPr="00C85F0F">
        <w:rPr>
          <w:rFonts w:hint="cs"/>
          <w:rtl/>
        </w:rPr>
        <w:t xml:space="preserve"> تحت القاعدة:</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ت</w:t>
      </w:r>
      <w:r w:rsidR="00A6645D" w:rsidRPr="00C85F0F">
        <w:rPr>
          <w:rFonts w:ascii="Traditional Arabic" w:hAnsi="Traditional Arabic" w:hint="cs"/>
          <w:noProof w:val="0"/>
          <w:rtl/>
          <w:lang w:eastAsia="en-US"/>
        </w:rPr>
        <w:t>عارض في هذه المسألة أصلان: الأول: الأصل السلامة وعدم العيب،</w:t>
      </w:r>
      <w:r w:rsidR="00154102" w:rsidRPr="00C85F0F">
        <w:rPr>
          <w:rFonts w:ascii="Traditional Arabic" w:hAnsi="Traditional Arabic" w:hint="cs"/>
          <w:noProof w:val="0"/>
          <w:rtl/>
          <w:lang w:eastAsia="en-US"/>
        </w:rPr>
        <w:t xml:space="preserve"> و</w:t>
      </w:r>
      <w:r w:rsidR="00A6645D" w:rsidRPr="00C85F0F">
        <w:rPr>
          <w:rFonts w:ascii="Traditional Arabic" w:hAnsi="Traditional Arabic" w:hint="cs"/>
          <w:noProof w:val="0"/>
          <w:rtl/>
          <w:lang w:eastAsia="en-US"/>
        </w:rPr>
        <w:t>الثاني: الأصل أن الغارم يُقبَل قوله،</w:t>
      </w:r>
      <w:r w:rsidR="00E35ED5">
        <w:rPr>
          <w:rFonts w:ascii="Traditional Arabic" w:hAnsi="Traditional Arabic" w:hint="cs"/>
          <w:noProof w:val="0"/>
          <w:rtl/>
          <w:lang w:eastAsia="en-US"/>
        </w:rPr>
        <w:t xml:space="preserve"> </w:t>
      </w:r>
      <w:r w:rsidR="00A6645D" w:rsidRPr="00C85F0F">
        <w:rPr>
          <w:rFonts w:ascii="Traditional Arabic" w:hAnsi="Traditional Arabic"/>
          <w:noProof w:val="0"/>
          <w:rtl/>
          <w:lang w:eastAsia="en-US"/>
        </w:rPr>
        <w:t>وهذا الأصل م</w:t>
      </w:r>
      <w:r w:rsidR="00A6645D" w:rsidRPr="00C85F0F">
        <w:rPr>
          <w:rFonts w:ascii="Traditional Arabic" w:hAnsi="Traditional Arabic" w:hint="cs"/>
          <w:noProof w:val="0"/>
          <w:rtl/>
          <w:lang w:eastAsia="en-US"/>
        </w:rPr>
        <w:t>تأخِّر</w:t>
      </w:r>
      <w:r w:rsidR="00A6645D" w:rsidRPr="00C85F0F">
        <w:rPr>
          <w:rFonts w:ascii="Traditional Arabic" w:hAnsi="Traditional Arabic"/>
          <w:noProof w:val="0"/>
          <w:rtl/>
          <w:lang w:eastAsia="en-US"/>
        </w:rPr>
        <w:t xml:space="preserve"> ع</w:t>
      </w:r>
      <w:r w:rsidR="00A6645D" w:rsidRPr="00C85F0F">
        <w:rPr>
          <w:rFonts w:ascii="Traditional Arabic" w:hAnsi="Traditional Arabic" w:hint="cs"/>
          <w:noProof w:val="0"/>
          <w:rtl/>
          <w:lang w:eastAsia="en-US"/>
        </w:rPr>
        <w:t>ن</w:t>
      </w:r>
      <w:r w:rsidR="00A6645D" w:rsidRPr="00C85F0F">
        <w:rPr>
          <w:rFonts w:ascii="Traditional Arabic" w:hAnsi="Traditional Arabic"/>
          <w:noProof w:val="0"/>
          <w:rtl/>
          <w:lang w:eastAsia="en-US"/>
        </w:rPr>
        <w:t xml:space="preserve"> الأصل ا</w:t>
      </w:r>
      <w:r w:rsidR="00A6645D" w:rsidRPr="00C85F0F">
        <w:rPr>
          <w:rFonts w:ascii="Traditional Arabic" w:hAnsi="Traditional Arabic" w:hint="cs"/>
          <w:noProof w:val="0"/>
          <w:rtl/>
          <w:lang w:eastAsia="en-US"/>
        </w:rPr>
        <w:t>لأول</w:t>
      </w:r>
      <w:r w:rsidR="00A6645D" w:rsidRPr="00C85F0F">
        <w:rPr>
          <w:rFonts w:ascii="Traditional Arabic" w:hAnsi="Traditional Arabic"/>
          <w:noProof w:val="0"/>
          <w:rtl/>
          <w:lang w:eastAsia="en-US"/>
        </w:rPr>
        <w:t>؛ لأن العيب حادث</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 xml:space="preserve"> على السلامة</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 xml:space="preserve"> فقُد</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م هذا الأصل على أصل الغ</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ر</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م</w:t>
      </w:r>
      <w:r w:rsidR="00A6645D" w:rsidRPr="00C85F0F">
        <w:rPr>
          <w:rStyle w:val="af1"/>
          <w:szCs w:val="32"/>
          <w:rtl/>
        </w:rPr>
        <w:t>(</w:t>
      </w:r>
      <w:r w:rsidR="00A6645D" w:rsidRPr="00C85F0F">
        <w:rPr>
          <w:rStyle w:val="af1"/>
          <w:szCs w:val="32"/>
          <w:rtl/>
        </w:rPr>
        <w:footnoteReference w:id="403"/>
      </w:r>
      <w:r w:rsidR="00A6645D" w:rsidRPr="00C85F0F">
        <w:rPr>
          <w:rStyle w:val="af1"/>
          <w:szCs w:val="32"/>
          <w:rtl/>
        </w:rPr>
        <w:t>)</w:t>
      </w:r>
      <w:r w:rsidR="00A6645D" w:rsidRPr="00C85F0F">
        <w:rPr>
          <w:rFonts w:ascii="Traditional Arabic" w:hAnsi="Traditional Arabic"/>
          <w:noProof w:val="0"/>
          <w:rtl/>
          <w:lang w:eastAsia="en-US"/>
        </w:rPr>
        <w:t>.</w:t>
      </w:r>
    </w:p>
    <w:p w:rsidR="00A6645D" w:rsidRPr="00C85F0F" w:rsidRDefault="00065E4B" w:rsidP="000A76C7">
      <w:pPr>
        <w:pStyle w:val="afc"/>
        <w:widowControl/>
        <w:numPr>
          <w:ilvl w:val="0"/>
          <w:numId w:val="69"/>
        </w:numPr>
        <w:autoSpaceDE w:val="0"/>
        <w:autoSpaceDN w:val="0"/>
        <w:adjustRightInd w:val="0"/>
        <w:rPr>
          <w:rFonts w:ascii="Traditional Arabic" w:hAnsi="Traditional Arabic"/>
          <w:noProof w:val="0"/>
          <w:lang w:eastAsia="en-US"/>
        </w:rPr>
      </w:pPr>
      <w:r w:rsidRPr="00C85F0F">
        <w:rPr>
          <w:rFonts w:ascii="Traditional Arabic" w:hAnsi="Traditional Arabic"/>
          <w:noProof w:val="0"/>
          <w:rtl/>
          <w:lang w:eastAsia="en-US"/>
        </w:rPr>
        <w:t>إ</w:t>
      </w:r>
      <w:r w:rsidR="00A6645D" w:rsidRPr="00C85F0F">
        <w:rPr>
          <w:rFonts w:ascii="Traditional Arabic" w:hAnsi="Traditional Arabic"/>
          <w:noProof w:val="0"/>
          <w:rtl/>
          <w:lang w:eastAsia="en-US"/>
        </w:rPr>
        <w:t>ن المودَع إذا اد</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عى ر</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د</w:t>
      </w:r>
      <w:r w:rsidR="00A6645D" w:rsidRPr="00C85F0F">
        <w:rPr>
          <w:rFonts w:ascii="Traditional Arabic" w:hAnsi="Traditional Arabic" w:hint="cs"/>
          <w:noProof w:val="0"/>
          <w:rtl/>
          <w:lang w:eastAsia="en-US"/>
        </w:rPr>
        <w:t>َّ</w:t>
      </w:r>
      <w:r w:rsidR="00E35ED5">
        <w:rPr>
          <w:rFonts w:ascii="Traditional Arabic" w:hAnsi="Traditional Arabic" w:hint="cs"/>
          <w:noProof w:val="0"/>
          <w:rtl/>
          <w:lang w:eastAsia="en-US"/>
        </w:rPr>
        <w:t xml:space="preserve"> </w:t>
      </w:r>
      <w:r w:rsidR="00A6645D" w:rsidRPr="00C85F0F">
        <w:rPr>
          <w:rFonts w:ascii="Traditional Arabic" w:hAnsi="Traditional Arabic"/>
          <w:noProof w:val="0"/>
          <w:rtl/>
          <w:lang w:eastAsia="en-US"/>
        </w:rPr>
        <w:t>الوديعة</w:t>
      </w:r>
      <w:r w:rsidR="00E35ED5">
        <w:rPr>
          <w:rFonts w:ascii="Traditional Arabic" w:hAnsi="Traditional Arabic" w:hint="cs"/>
          <w:noProof w:val="0"/>
          <w:rtl/>
          <w:lang w:eastAsia="en-US"/>
        </w:rPr>
        <w:t xml:space="preserve"> </w:t>
      </w:r>
      <w:r w:rsidR="00A6645D" w:rsidRPr="00C85F0F">
        <w:rPr>
          <w:rFonts w:ascii="Traditional Arabic" w:hAnsi="Traditional Arabic"/>
          <w:noProof w:val="0"/>
          <w:rtl/>
          <w:lang w:eastAsia="en-US"/>
        </w:rPr>
        <w:t>إلى المودِع ق</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ب</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ل قول</w:t>
      </w:r>
      <w:r w:rsidR="00A6645D" w:rsidRPr="00C85F0F">
        <w:rPr>
          <w:rFonts w:ascii="Traditional Arabic" w:hAnsi="Traditional Arabic" w:hint="cs"/>
          <w:noProof w:val="0"/>
          <w:rtl/>
          <w:lang w:eastAsia="en-US"/>
        </w:rPr>
        <w:t>ُ</w:t>
      </w:r>
      <w:r w:rsidR="00A6645D" w:rsidRPr="00C85F0F">
        <w:rPr>
          <w:rFonts w:ascii="Traditional Arabic" w:hAnsi="Traditional Arabic"/>
          <w:noProof w:val="0"/>
          <w:rtl/>
          <w:lang w:eastAsia="en-US"/>
        </w:rPr>
        <w:t xml:space="preserve">ه، </w:t>
      </w:r>
      <w:r w:rsidR="00A6645D" w:rsidRPr="00C85F0F">
        <w:rPr>
          <w:rFonts w:ascii="Traditional Arabic" w:hAnsi="Traditional Arabic" w:hint="cs"/>
          <w:noProof w:val="0"/>
          <w:rtl/>
          <w:lang w:eastAsia="en-US"/>
        </w:rPr>
        <w:t>مع أن الوديعة كانت بيد المودَع،</w:t>
      </w:r>
      <w:r w:rsidR="00154102" w:rsidRPr="00C85F0F">
        <w:rPr>
          <w:rFonts w:ascii="Traditional Arabic" w:hAnsi="Traditional Arabic" w:hint="cs"/>
          <w:noProof w:val="0"/>
          <w:rtl/>
          <w:lang w:eastAsia="en-US"/>
        </w:rPr>
        <w:t xml:space="preserve"> و</w:t>
      </w:r>
      <w:r w:rsidR="00A6645D" w:rsidRPr="00C85F0F">
        <w:rPr>
          <w:rFonts w:ascii="Traditional Arabic" w:hAnsi="Traditional Arabic" w:hint="cs"/>
          <w:noProof w:val="0"/>
          <w:rtl/>
          <w:lang w:eastAsia="en-US"/>
        </w:rPr>
        <w:t>الأصل عدمُ الرد وبقاءُ ما كان على ما كان</w:t>
      </w:r>
      <w:r w:rsidR="00A6645D" w:rsidRPr="00C85F0F">
        <w:rPr>
          <w:rStyle w:val="af1"/>
          <w:szCs w:val="32"/>
          <w:rtl/>
        </w:rPr>
        <w:t>(</w:t>
      </w:r>
      <w:r w:rsidR="00A6645D" w:rsidRPr="00C85F0F">
        <w:rPr>
          <w:rStyle w:val="af1"/>
          <w:szCs w:val="32"/>
          <w:rtl/>
        </w:rPr>
        <w:footnoteReference w:id="404"/>
      </w:r>
      <w:r w:rsidR="00A6645D" w:rsidRPr="00C85F0F">
        <w:rPr>
          <w:rStyle w:val="af1"/>
          <w:szCs w:val="32"/>
          <w:rtl/>
        </w:rPr>
        <w:t>)</w:t>
      </w:r>
      <w:r w:rsidR="00A6645D" w:rsidRPr="00C85F0F">
        <w:rPr>
          <w:rFonts w:ascii="Traditional Arabic" w:hAnsi="Traditional Arabic" w:hint="cs"/>
          <w:noProof w:val="0"/>
          <w:rtl/>
          <w:lang w:eastAsia="en-US"/>
        </w:rPr>
        <w:t>.</w:t>
      </w:r>
    </w:p>
    <w:p w:rsidR="00A6645D" w:rsidRPr="00C85F0F" w:rsidRDefault="00A6645D" w:rsidP="00597C20">
      <w:pPr>
        <w:pStyle w:val="53"/>
      </w:pPr>
      <w:r w:rsidRPr="00C85F0F">
        <w:rPr>
          <w:rFonts w:hint="cs"/>
          <w:rtl/>
        </w:rPr>
        <w:lastRenderedPageBreak/>
        <w:t>وجه اندراج الفرع تحت القاعدة:</w:t>
      </w:r>
    </w:p>
    <w:p w:rsidR="00BE1CEF" w:rsidRDefault="00A6645D" w:rsidP="000F5C0F">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تعارض في هذه المسألة أصلان، فالأصل أن ذمة المودَع بريئة من الضمان، والأصل أنه لم يردَّ الوديعة إلى المودِع، لكن قُبل قول المودَع؛</w:t>
      </w:r>
      <w:r w:rsidR="002831CE">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لأنه</w:t>
      </w:r>
      <w:r w:rsidRPr="00C85F0F">
        <w:rPr>
          <w:rFonts w:ascii="Traditional Arabic" w:hAnsi="Traditional Arabic"/>
          <w:noProof w:val="0"/>
          <w:rtl/>
          <w:lang w:eastAsia="en-US"/>
        </w:rPr>
        <w:t xml:space="preserve">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س</w:t>
      </w:r>
      <w:r w:rsidRPr="00C85F0F">
        <w:rPr>
          <w:rFonts w:ascii="Traditional Arabic" w:hAnsi="Traditional Arabic" w:hint="cs"/>
          <w:noProof w:val="0"/>
          <w:rtl/>
          <w:lang w:eastAsia="en-US"/>
        </w:rPr>
        <w:t>ِ</w:t>
      </w:r>
      <w:r w:rsidR="002831CE">
        <w:rPr>
          <w:rFonts w:ascii="Traditional Arabic" w:hAnsi="Traditional Arabic"/>
          <w:noProof w:val="0"/>
          <w:rtl/>
          <w:lang w:eastAsia="en-US"/>
        </w:rPr>
        <w:t>ن،</w:t>
      </w:r>
      <w:r w:rsidR="002831CE">
        <w:rPr>
          <w:rFonts w:ascii="Traditional Arabic" w:hAnsi="Traditional Arabic" w:hint="cs"/>
          <w:noProof w:val="0"/>
          <w:rtl/>
          <w:lang w:eastAsia="en-US"/>
        </w:rPr>
        <w:t xml:space="preserve"> </w:t>
      </w:r>
      <w:r w:rsidRPr="00C85F0F">
        <w:rPr>
          <w:rFonts w:ascii="Traditional Arabic" w:hAnsi="Traditional Arabic"/>
          <w:noProof w:val="0"/>
          <w:rtl/>
          <w:lang w:eastAsia="en-US"/>
        </w:rPr>
        <w:t>والله تعالى يقول:</w:t>
      </w:r>
      <w:bookmarkStart w:id="81" w:name="سورة_التوبة_91"/>
      <w:r w:rsidR="009B7DB3">
        <w:rPr>
          <w:rFonts w:ascii="Traditional Arabic" w:hAnsi="Traditional Arabic" w:hint="cs"/>
          <w:noProof w:val="0"/>
          <w:rtl/>
          <w:lang w:eastAsia="en-US"/>
        </w:rPr>
        <w:t xml:space="preserve"> </w:t>
      </w:r>
      <w:r w:rsidR="00D17979" w:rsidRPr="0090198F">
        <w:rPr>
          <w:rFonts w:ascii="QCF_BSML" w:hAnsi="QCF_BSML" w:cs="QCF_BSML"/>
          <w:noProof w:val="0"/>
          <w:rtl/>
          <w:lang w:eastAsia="en-US"/>
        </w:rPr>
        <w:t>ﭽ</w:t>
      </w:r>
      <w:r w:rsidR="00D17979" w:rsidRPr="0090198F">
        <w:rPr>
          <w:rFonts w:ascii="QCF_P201" w:hAnsi="QCF_P201" w:cs="QCF_P201"/>
          <w:noProof w:val="0"/>
          <w:rtl/>
          <w:lang w:eastAsia="en-US"/>
        </w:rPr>
        <w:t>ﮣ</w:t>
      </w:r>
      <w:r w:rsidR="009B7DB3">
        <w:rPr>
          <w:rFonts w:ascii="QCF_P201" w:hAnsi="QCF_P201" w:cs="QCF_P201" w:hint="cs"/>
          <w:noProof w:val="0"/>
          <w:rtl/>
          <w:lang w:eastAsia="en-US"/>
        </w:rPr>
        <w:t xml:space="preserve"> </w:t>
      </w:r>
      <w:r w:rsidR="00D17979" w:rsidRPr="0090198F">
        <w:rPr>
          <w:rFonts w:ascii="QCF_P201" w:hAnsi="QCF_P201" w:cs="QCF_P201"/>
          <w:noProof w:val="0"/>
          <w:rtl/>
          <w:lang w:eastAsia="en-US"/>
        </w:rPr>
        <w:t>ﮤ</w:t>
      </w:r>
      <w:r w:rsidR="009B7DB3">
        <w:rPr>
          <w:rFonts w:ascii="QCF_P201" w:hAnsi="QCF_P201" w:cs="QCF_P201" w:hint="cs"/>
          <w:noProof w:val="0"/>
          <w:rtl/>
          <w:lang w:eastAsia="en-US"/>
        </w:rPr>
        <w:t xml:space="preserve"> </w:t>
      </w:r>
      <w:r w:rsidR="00D17979" w:rsidRPr="0090198F">
        <w:rPr>
          <w:rFonts w:ascii="QCF_P201" w:hAnsi="QCF_P201" w:cs="QCF_P201"/>
          <w:noProof w:val="0"/>
          <w:rtl/>
          <w:lang w:eastAsia="en-US"/>
        </w:rPr>
        <w:t>ﮥ</w:t>
      </w:r>
      <w:r w:rsidR="009B7DB3">
        <w:rPr>
          <w:rFonts w:ascii="QCF_P201" w:hAnsi="QCF_P201" w:cs="QCF_P201" w:hint="cs"/>
          <w:noProof w:val="0"/>
          <w:rtl/>
          <w:lang w:eastAsia="en-US"/>
        </w:rPr>
        <w:t xml:space="preserve"> </w:t>
      </w:r>
      <w:r w:rsidR="00D17979" w:rsidRPr="0090198F">
        <w:rPr>
          <w:rFonts w:ascii="QCF_P201" w:hAnsi="QCF_P201" w:cs="QCF_P201"/>
          <w:noProof w:val="0"/>
          <w:rtl/>
          <w:lang w:eastAsia="en-US"/>
        </w:rPr>
        <w:t>ﮦ</w:t>
      </w:r>
      <w:r w:rsidR="009B7DB3">
        <w:rPr>
          <w:rFonts w:ascii="QCF_P201" w:hAnsi="QCF_P201" w:cs="QCF_P201" w:hint="cs"/>
          <w:noProof w:val="0"/>
          <w:rtl/>
          <w:lang w:eastAsia="en-US"/>
        </w:rPr>
        <w:t xml:space="preserve"> </w:t>
      </w:r>
      <w:r w:rsidR="00D17979" w:rsidRPr="0090198F">
        <w:rPr>
          <w:rFonts w:ascii="QCF_P201" w:hAnsi="QCF_P201" w:cs="QCF_P201"/>
          <w:noProof w:val="0"/>
          <w:rtl/>
          <w:lang w:eastAsia="en-US"/>
        </w:rPr>
        <w:t>ﮧ</w:t>
      </w:r>
      <w:r w:rsidR="00D17979" w:rsidRPr="0090198F">
        <w:rPr>
          <w:rFonts w:ascii="QCF_BSML" w:hAnsi="QCF_BSML" w:cs="QCF_BSML"/>
          <w:noProof w:val="0"/>
          <w:rtl/>
          <w:lang w:eastAsia="en-US"/>
        </w:rPr>
        <w:t>ﭼ</w:t>
      </w:r>
      <w:bookmarkEnd w:id="81"/>
      <w:r w:rsidRPr="00C85F0F">
        <w:rPr>
          <w:rFonts w:ascii="Traditional Arabic" w:hAnsi="Traditional Arabic"/>
          <w:noProof w:val="0"/>
          <w:rtl/>
          <w:lang w:eastAsia="en-US"/>
        </w:rPr>
        <w:t>[التوبة: 91]</w:t>
      </w:r>
      <w:r w:rsidRPr="00C85F0F">
        <w:rPr>
          <w:rFonts w:ascii="Traditional Arabic" w:hAnsi="Traditional Arabic" w:hint="cs"/>
          <w:noProof w:val="0"/>
          <w:rtl/>
          <w:lang w:eastAsia="en-US"/>
        </w:rPr>
        <w:t>؛ ولأن القاعدة</w:t>
      </w:r>
      <w:r w:rsidR="009B7DB3">
        <w:rPr>
          <w:rFonts w:ascii="Traditional Arabic" w:hAnsi="Traditional Arabic" w:hint="cs"/>
          <w:noProof w:val="0"/>
          <w:rtl/>
          <w:lang w:eastAsia="en-US"/>
        </w:rPr>
        <w:t xml:space="preserve"> تقول:</w:t>
      </w:r>
      <w:r w:rsidRPr="00C85F0F">
        <w:rPr>
          <w:rFonts w:ascii="Traditional Arabic" w:hAnsi="Traditional Arabic" w:hint="cs"/>
          <w:noProof w:val="0"/>
          <w:rtl/>
          <w:lang w:eastAsia="en-US"/>
        </w:rPr>
        <w:t xml:space="preserve"> </w:t>
      </w:r>
      <w:r w:rsidR="009B7DB3">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بض العين لِحَظِّ مالكها قُبِلَ قولُه في الرد</w:t>
      </w:r>
      <w:r w:rsidRPr="00C85F0F">
        <w:rPr>
          <w:rFonts w:ascii="Traditional Arabic" w:hAnsi="Traditional Arabic" w:hint="cs"/>
          <w:noProof w:val="0"/>
          <w:rtl/>
          <w:lang w:eastAsia="en-US"/>
        </w:rPr>
        <w:t>،</w:t>
      </w:r>
      <w:r w:rsidR="009B7DB3">
        <w:rPr>
          <w:rFonts w:ascii="Traditional Arabic" w:hAnsi="Traditional Arabic" w:hint="cs"/>
          <w:noProof w:val="0"/>
          <w:rtl/>
          <w:lang w:eastAsia="en-US"/>
        </w:rPr>
        <w:t xml:space="preserve"> </w:t>
      </w:r>
      <w:r w:rsidR="009B7DB3">
        <w:rPr>
          <w:rFonts w:ascii="Traditional Arabic" w:hAnsi="Traditional Arabic"/>
          <w:noProof w:val="0"/>
          <w:rtl/>
          <w:lang w:eastAsia="en-US"/>
        </w:rPr>
        <w:t xml:space="preserve">ومن قبض العين لمصلحته </w:t>
      </w:r>
      <w:r w:rsidR="008B2568">
        <w:rPr>
          <w:rFonts w:ascii="Traditional Arabic" w:hAnsi="Traditional Arabic" w:hint="cs"/>
          <w:noProof w:val="0"/>
          <w:rtl/>
          <w:lang w:eastAsia="en-US"/>
        </w:rPr>
        <w:t>ل</w:t>
      </w:r>
      <w:r w:rsidRPr="00C85F0F">
        <w:rPr>
          <w:rFonts w:ascii="Traditional Arabic" w:hAnsi="Traditional Arabic"/>
          <w:noProof w:val="0"/>
          <w:rtl/>
          <w:lang w:eastAsia="en-US"/>
        </w:rPr>
        <w:t>م يُقبل قوله في الرد</w:t>
      </w:r>
      <w:r w:rsidRPr="00C85F0F">
        <w:rPr>
          <w:rFonts w:ascii="Traditional Arabic" w:hAnsi="Traditional Arabic" w:hint="cs"/>
          <w:noProof w:val="0"/>
          <w:rtl/>
          <w:lang w:eastAsia="en-US"/>
        </w:rPr>
        <w:t xml:space="preserve">، </w:t>
      </w:r>
      <w:r w:rsidRPr="00C85F0F">
        <w:rPr>
          <w:rFonts w:ascii="Traditional Arabic" w:hAnsi="Traditional Arabic"/>
          <w:noProof w:val="0"/>
          <w:rtl/>
          <w:lang w:eastAsia="en-US"/>
        </w:rPr>
        <w:t>ومن قبض العين لمصلحته ومصلحة مالكها لم يقبل</w:t>
      </w:r>
      <w:r w:rsidRPr="00C85F0F">
        <w:rPr>
          <w:rFonts w:ascii="Traditional Arabic" w:hAnsi="Traditional Arabic" w:hint="cs"/>
          <w:noProof w:val="0"/>
          <w:rtl/>
          <w:lang w:eastAsia="en-US"/>
        </w:rPr>
        <w:t xml:space="preserve"> قوله في الرد</w:t>
      </w:r>
      <w:r w:rsidR="009B7DB3">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405"/>
      </w:r>
      <w:r w:rsidRPr="00C85F0F">
        <w:rPr>
          <w:rStyle w:val="af1"/>
          <w:szCs w:val="32"/>
          <w:rtl/>
        </w:rPr>
        <w:t>)</w:t>
      </w:r>
      <w:r w:rsidRPr="00C85F0F">
        <w:rPr>
          <w:rFonts w:hint="cs"/>
          <w:rtl/>
        </w:rPr>
        <w:t xml:space="preserve">، </w:t>
      </w:r>
      <w:r w:rsidR="008B2568">
        <w:rPr>
          <w:rFonts w:ascii="Traditional Arabic" w:hAnsi="Traditional Arabic" w:hint="cs"/>
          <w:noProof w:val="0"/>
          <w:rtl/>
          <w:lang w:eastAsia="en-US"/>
        </w:rPr>
        <w:t>ولما كان المودَع</w:t>
      </w:r>
      <w:r w:rsidRPr="00C85F0F">
        <w:rPr>
          <w:rFonts w:ascii="Traditional Arabic" w:hAnsi="Traditional Arabic" w:hint="cs"/>
          <w:noProof w:val="0"/>
          <w:rtl/>
          <w:lang w:eastAsia="en-US"/>
        </w:rPr>
        <w:t xml:space="preserve"> </w:t>
      </w:r>
      <w:r w:rsidR="008B2568">
        <w:rPr>
          <w:rFonts w:ascii="Traditional Arabic" w:hAnsi="Traditional Arabic" w:hint="cs"/>
          <w:noProof w:val="0"/>
          <w:rtl/>
          <w:lang w:eastAsia="en-US"/>
        </w:rPr>
        <w:t>قد قبض الوديعة لحظ المودِع، قُب</w:t>
      </w:r>
      <w:r w:rsidRPr="00C85F0F">
        <w:rPr>
          <w:rFonts w:ascii="Traditional Arabic" w:hAnsi="Traditional Arabic" w:hint="cs"/>
          <w:noProof w:val="0"/>
          <w:rtl/>
          <w:lang w:eastAsia="en-US"/>
        </w:rPr>
        <w:t>ل قوله في الرد مع يمينه</w:t>
      </w:r>
      <w:r w:rsidRPr="00C85F0F">
        <w:rPr>
          <w:rStyle w:val="af1"/>
          <w:szCs w:val="32"/>
          <w:rtl/>
        </w:rPr>
        <w:t>(</w:t>
      </w:r>
      <w:r w:rsidRPr="00C85F0F">
        <w:rPr>
          <w:rStyle w:val="af1"/>
          <w:szCs w:val="32"/>
          <w:rtl/>
        </w:rPr>
        <w:footnoteReference w:id="406"/>
      </w:r>
      <w:r w:rsidRPr="00C85F0F">
        <w:rPr>
          <w:rStyle w:val="af1"/>
          <w:szCs w:val="32"/>
          <w:rtl/>
        </w:rPr>
        <w:t>)</w:t>
      </w:r>
      <w:r w:rsidRPr="00C85F0F">
        <w:rPr>
          <w:rStyle w:val="af1"/>
          <w:rFonts w:hint="cs"/>
          <w:vertAlign w:val="baseline"/>
          <w:rtl/>
        </w:rPr>
        <w:t>.</w:t>
      </w:r>
    </w:p>
    <w:p w:rsidR="003E0A64" w:rsidRDefault="003E0A64" w:rsidP="000F5C0F">
      <w:pPr>
        <w:widowControl/>
        <w:autoSpaceDE w:val="0"/>
        <w:autoSpaceDN w:val="0"/>
        <w:adjustRightInd w:val="0"/>
        <w:ind w:firstLine="720"/>
        <w:rPr>
          <w:rFonts w:ascii="Traditional Arabic" w:hAnsi="Traditional Arabic"/>
          <w:noProof w:val="0"/>
          <w:rtl/>
          <w:lang w:eastAsia="en-US"/>
        </w:rPr>
      </w:pPr>
    </w:p>
    <w:p w:rsidR="003E0A64" w:rsidRPr="00C85F0F" w:rsidRDefault="003E0A64" w:rsidP="000F5C0F">
      <w:pPr>
        <w:widowControl/>
        <w:autoSpaceDE w:val="0"/>
        <w:autoSpaceDN w:val="0"/>
        <w:adjustRightInd w:val="0"/>
        <w:ind w:firstLine="720"/>
        <w:rPr>
          <w:rFonts w:ascii="Traditional Arabic" w:hAnsi="Traditional Arabic"/>
          <w:noProof w:val="0"/>
          <w:rtl/>
          <w:lang w:eastAsia="en-US"/>
        </w:rPr>
      </w:pPr>
    </w:p>
    <w:p w:rsidR="001F7E56" w:rsidRPr="00531753" w:rsidRDefault="001F7E56" w:rsidP="00597C20">
      <w:pPr>
        <w:pStyle w:val="aff0"/>
        <w:rPr>
          <w:rtl/>
        </w:rPr>
      </w:pPr>
      <w:bookmarkStart w:id="82" w:name="_Toc334046334"/>
      <w:r w:rsidRPr="00531753">
        <w:rPr>
          <w:rFonts w:hint="cs"/>
          <w:rtl/>
        </w:rPr>
        <w:lastRenderedPageBreak/>
        <w:t>الفصل الثاني</w:t>
      </w:r>
      <w:r w:rsidRPr="00531753">
        <w:rPr>
          <w:rFonts w:hint="eastAsia"/>
          <w:rtl/>
        </w:rPr>
        <w:t> :</w:t>
      </w:r>
      <w:r w:rsidRPr="00531753">
        <w:rPr>
          <w:rFonts w:hint="cs"/>
          <w:rtl/>
        </w:rPr>
        <w:t>القواعد المتعلقة بالعرف والعادة</w:t>
      </w:r>
      <w:bookmarkEnd w:id="82"/>
    </w:p>
    <w:p w:rsidR="001F7E56" w:rsidRPr="00531753" w:rsidRDefault="00690470" w:rsidP="00597C20">
      <w:pPr>
        <w:spacing w:after="360" w:line="860" w:lineRule="exact"/>
        <w:ind w:right="851" w:firstLine="142"/>
        <w:rPr>
          <w:rFonts w:ascii="Traditional Arabic" w:hAnsi="Traditional Arabic"/>
          <w:b/>
          <w:bCs/>
          <w:u w:val="single"/>
          <w:rtl/>
        </w:rPr>
      </w:pPr>
      <w:r>
        <w:rPr>
          <w:rFonts w:ascii="Traditional Arabic" w:hAnsi="Traditional Arabic" w:hint="cs"/>
          <w:b/>
          <w:bCs/>
          <w:u w:val="single"/>
          <w:rtl/>
        </w:rPr>
        <w:t>وفيه خمس</w:t>
      </w:r>
      <w:r w:rsidR="001F7E56" w:rsidRPr="00531753">
        <w:rPr>
          <w:rFonts w:ascii="Traditional Arabic" w:hAnsi="Traditional Arabic" w:hint="cs"/>
          <w:b/>
          <w:bCs/>
          <w:u w:val="single"/>
          <w:rtl/>
        </w:rPr>
        <w:t>ة مباحث:</w:t>
      </w:r>
    </w:p>
    <w:p w:rsidR="001F7E56" w:rsidRPr="00C85F0F" w:rsidRDefault="001F7E56" w:rsidP="00597C20">
      <w:pPr>
        <w:tabs>
          <w:tab w:val="left" w:pos="2833"/>
        </w:tabs>
        <w:ind w:left="2833" w:hanging="2268"/>
        <w:jc w:val="left"/>
        <w:rPr>
          <w:rtl/>
        </w:rPr>
      </w:pPr>
      <w:r w:rsidRPr="000F5C0F">
        <w:rPr>
          <w:rFonts w:hint="cs"/>
          <w:b/>
          <w:bCs/>
          <w:rtl/>
        </w:rPr>
        <w:t>المبحث الأول:</w:t>
      </w:r>
      <w:r w:rsidR="00F42A8E" w:rsidRPr="00C85F0F">
        <w:rPr>
          <w:rFonts w:hint="cs"/>
          <w:rtl/>
        </w:rPr>
        <w:tab/>
      </w:r>
      <w:r w:rsidRPr="00C85F0F">
        <w:rPr>
          <w:rFonts w:hint="cs"/>
          <w:rtl/>
        </w:rPr>
        <w:t>قاعدة المرجع فيما يتداوله الناس من الكلام والأفعال إلى العرف.</w:t>
      </w:r>
    </w:p>
    <w:p w:rsidR="001F7E56" w:rsidRPr="00C85F0F" w:rsidRDefault="001F7E56" w:rsidP="00690470">
      <w:pPr>
        <w:tabs>
          <w:tab w:val="left" w:pos="2833"/>
        </w:tabs>
        <w:ind w:left="2833" w:hanging="2268"/>
        <w:jc w:val="left"/>
        <w:rPr>
          <w:rtl/>
        </w:rPr>
      </w:pPr>
      <w:r w:rsidRPr="000F5C0F">
        <w:rPr>
          <w:rFonts w:hint="cs"/>
          <w:b/>
          <w:bCs/>
          <w:rtl/>
        </w:rPr>
        <w:t>المبحث الثاني:</w:t>
      </w:r>
      <w:r w:rsidR="00F42A8E" w:rsidRPr="00C85F0F">
        <w:rPr>
          <w:rFonts w:hint="cs"/>
          <w:rtl/>
        </w:rPr>
        <w:tab/>
      </w:r>
      <w:r w:rsidR="00690470" w:rsidRPr="00C85F0F">
        <w:rPr>
          <w:rFonts w:hint="cs"/>
          <w:rtl/>
        </w:rPr>
        <w:t>قاعدة الشرط العرفي كالشرط اللفظي.</w:t>
      </w:r>
    </w:p>
    <w:p w:rsidR="001F7E56" w:rsidRPr="00C85F0F" w:rsidRDefault="001F7E56" w:rsidP="00690470">
      <w:pPr>
        <w:tabs>
          <w:tab w:val="left" w:pos="2833"/>
        </w:tabs>
        <w:ind w:left="2833" w:hanging="2268"/>
        <w:jc w:val="left"/>
        <w:rPr>
          <w:rtl/>
        </w:rPr>
      </w:pPr>
      <w:r w:rsidRPr="000F5C0F">
        <w:rPr>
          <w:rFonts w:hint="cs"/>
          <w:b/>
          <w:bCs/>
          <w:rtl/>
        </w:rPr>
        <w:t>المبحث الثالث:</w:t>
      </w:r>
      <w:r w:rsidR="00F42A8E" w:rsidRPr="00C85F0F">
        <w:rPr>
          <w:rFonts w:hint="cs"/>
          <w:rtl/>
        </w:rPr>
        <w:tab/>
      </w:r>
      <w:r w:rsidR="00690470" w:rsidRPr="00C85F0F">
        <w:rPr>
          <w:rFonts w:hint="cs"/>
          <w:rtl/>
        </w:rPr>
        <w:t>قاعدة الإذن العرفي كالإذن اللفظي.</w:t>
      </w:r>
    </w:p>
    <w:p w:rsidR="001F7E56" w:rsidRPr="00C85F0F" w:rsidRDefault="001F7E56" w:rsidP="00690470">
      <w:pPr>
        <w:tabs>
          <w:tab w:val="left" w:pos="2833"/>
        </w:tabs>
        <w:ind w:left="2833" w:hanging="2268"/>
        <w:jc w:val="left"/>
        <w:rPr>
          <w:rtl/>
        </w:rPr>
      </w:pPr>
      <w:r w:rsidRPr="000F5C0F">
        <w:rPr>
          <w:rFonts w:hint="cs"/>
          <w:b/>
          <w:bCs/>
          <w:rtl/>
        </w:rPr>
        <w:t>المبحث الرابع:</w:t>
      </w:r>
      <w:r w:rsidR="00F42A8E" w:rsidRPr="00C85F0F">
        <w:rPr>
          <w:rFonts w:hint="cs"/>
          <w:rtl/>
        </w:rPr>
        <w:tab/>
      </w:r>
      <w:r w:rsidR="00690470" w:rsidRPr="00C85F0F">
        <w:rPr>
          <w:rFonts w:hint="cs"/>
          <w:rtl/>
        </w:rPr>
        <w:t>قاعدة ما أتى ولم يحدد في الشرع فمرجعه إلى العرف.</w:t>
      </w:r>
    </w:p>
    <w:p w:rsidR="001F7E56" w:rsidRPr="00C85F0F" w:rsidRDefault="001F7E56" w:rsidP="00690470">
      <w:pPr>
        <w:tabs>
          <w:tab w:val="left" w:pos="2833"/>
        </w:tabs>
        <w:ind w:left="2833" w:hanging="2268"/>
        <w:jc w:val="left"/>
        <w:rPr>
          <w:rtl/>
        </w:rPr>
      </w:pPr>
      <w:r w:rsidRPr="000F5C0F">
        <w:rPr>
          <w:rFonts w:hint="cs"/>
          <w:b/>
          <w:bCs/>
          <w:rtl/>
        </w:rPr>
        <w:t>المبحث الخامس:</w:t>
      </w:r>
      <w:r w:rsidR="00F42A8E" w:rsidRPr="00C85F0F">
        <w:rPr>
          <w:rFonts w:hint="cs"/>
          <w:rtl/>
        </w:rPr>
        <w:tab/>
      </w:r>
      <w:r w:rsidR="00690470" w:rsidRPr="00C85F0F">
        <w:rPr>
          <w:rFonts w:hint="cs"/>
          <w:rtl/>
        </w:rPr>
        <w:t>قاعدة</w:t>
      </w:r>
      <w:r w:rsidR="00690470">
        <w:rPr>
          <w:rFonts w:hint="cs"/>
          <w:rtl/>
        </w:rPr>
        <w:t xml:space="preserve"> العقود تنعقد</w:t>
      </w:r>
      <w:r w:rsidR="00690470" w:rsidRPr="00C85F0F">
        <w:rPr>
          <w:rFonts w:hint="cs"/>
          <w:rtl/>
        </w:rPr>
        <w:t xml:space="preserve"> بما دل عليها عرفا</w:t>
      </w:r>
      <w:r w:rsidR="00690470">
        <w:rPr>
          <w:rFonts w:hint="cs"/>
          <w:rtl/>
        </w:rPr>
        <w:t>.</w:t>
      </w:r>
    </w:p>
    <w:p w:rsidR="001F7E56" w:rsidRPr="000F5C0F" w:rsidRDefault="001F7E56" w:rsidP="000F5C0F">
      <w:pPr>
        <w:pStyle w:val="aff2"/>
        <w:rPr>
          <w:rtl/>
        </w:rPr>
      </w:pPr>
      <w:bookmarkStart w:id="83" w:name="_Toc334046335"/>
      <w:r w:rsidRPr="000F5C0F">
        <w:rPr>
          <w:rFonts w:hint="cs"/>
          <w:rtl/>
        </w:rPr>
        <w:lastRenderedPageBreak/>
        <w:t>المبحث الأول</w:t>
      </w:r>
      <w:r w:rsidRPr="000F5C0F">
        <w:rPr>
          <w:rFonts w:hint="eastAsia"/>
          <w:rtl/>
        </w:rPr>
        <w:t> :</w:t>
      </w:r>
      <w:r w:rsidRPr="000F5C0F">
        <w:rPr>
          <w:rFonts w:hint="cs"/>
          <w:rtl/>
        </w:rPr>
        <w:br/>
        <w:t>قاعدة</w:t>
      </w:r>
      <w:r w:rsidRPr="000F5C0F">
        <w:rPr>
          <w:rtl/>
        </w:rPr>
        <w:br/>
      </w:r>
      <w:r w:rsidRPr="000F5C0F">
        <w:rPr>
          <w:rFonts w:hint="cs"/>
          <w:rtl/>
        </w:rPr>
        <w:t>"</w:t>
      </w:r>
      <w:r w:rsidRPr="000F5C0F">
        <w:rPr>
          <w:rtl/>
        </w:rPr>
        <w:t>المرجع فيما يتداوله الناس من الكلام والأفعال إلى العرف</w:t>
      </w:r>
      <w:r w:rsidR="00AB0B9E" w:rsidRPr="000F5C0F">
        <w:rPr>
          <w:rtl/>
        </w:rPr>
        <w:fldChar w:fldCharType="begin"/>
      </w:r>
      <w:r w:rsidR="003504FF" w:rsidRPr="000F5C0F">
        <w:instrText>XE</w:instrText>
      </w:r>
      <w:r w:rsidR="003504FF" w:rsidRPr="000F5C0F">
        <w:rPr>
          <w:rtl/>
        </w:rPr>
        <w:instrText xml:space="preserve"> "</w:instrText>
      </w:r>
      <w:r w:rsidR="003504FF" w:rsidRPr="000F5C0F">
        <w:rPr>
          <w:rFonts w:hint="cs"/>
          <w:rtl/>
        </w:rPr>
        <w:instrText>المرجعفيمايتداولهالناسمنالكلاموالأفعالإلىالعرف</w:instrText>
      </w:r>
      <w:r w:rsidR="003504FF" w:rsidRPr="000F5C0F">
        <w:rPr>
          <w:rtl/>
        </w:rPr>
        <w:instrText>"\</w:instrText>
      </w:r>
      <w:r w:rsidR="003504FF" w:rsidRPr="000F5C0F">
        <w:rPr>
          <w:rFonts w:cs="Arial"/>
        </w:rPr>
        <w:instrText>fq</w:instrText>
      </w:r>
      <w:r w:rsidR="003504FF" w:rsidRPr="000F5C0F">
        <w:rPr>
          <w:rtl/>
        </w:rPr>
        <w:instrText xml:space="preserve">" </w:instrText>
      </w:r>
      <w:r w:rsidR="00AB0B9E" w:rsidRPr="000F5C0F">
        <w:rPr>
          <w:rtl/>
        </w:rPr>
        <w:fldChar w:fldCharType="end"/>
      </w:r>
      <w:r w:rsidRPr="000F5C0F">
        <w:rPr>
          <w:rFonts w:hint="cs"/>
          <w:rtl/>
        </w:rPr>
        <w:t>"</w:t>
      </w:r>
      <w:r w:rsidRPr="000F5C0F">
        <w:rPr>
          <w:szCs w:val="32"/>
          <w:vertAlign w:val="superscript"/>
          <w:rtl/>
        </w:rPr>
        <w:t>(</w:t>
      </w:r>
      <w:r w:rsidRPr="000F5C0F">
        <w:rPr>
          <w:szCs w:val="32"/>
          <w:vertAlign w:val="superscript"/>
          <w:rtl/>
        </w:rPr>
        <w:footnoteReference w:id="407"/>
      </w:r>
      <w:r w:rsidRPr="000F5C0F">
        <w:rPr>
          <w:szCs w:val="32"/>
          <w:vertAlign w:val="superscript"/>
          <w:rtl/>
        </w:rPr>
        <w:t>)</w:t>
      </w:r>
      <w:bookmarkEnd w:id="83"/>
    </w:p>
    <w:p w:rsidR="001F7E56" w:rsidRPr="00C85F0F" w:rsidRDefault="008C10FE" w:rsidP="00A8347C">
      <w:pPr>
        <w:pStyle w:val="aff3"/>
        <w:rPr>
          <w:rtl/>
        </w:rPr>
      </w:pPr>
      <w:bookmarkStart w:id="84" w:name="_Toc334046336"/>
      <w:r>
        <w:rPr>
          <w:rFonts w:hint="cs"/>
          <w:rtl/>
        </w:rPr>
        <w:t xml:space="preserve">                                          </w:t>
      </w:r>
      <w:r w:rsidR="001F7E56" w:rsidRPr="00C85F0F">
        <w:rPr>
          <w:rFonts w:hint="cs"/>
          <w:rtl/>
        </w:rPr>
        <w:t>المطلب الأول</w:t>
      </w:r>
      <w:r w:rsidR="001F7E56" w:rsidRPr="00C85F0F">
        <w:rPr>
          <w:rFonts w:hint="eastAsia"/>
          <w:rtl/>
        </w:rPr>
        <w:t> :</w:t>
      </w:r>
      <w:r w:rsidR="001F7E56" w:rsidRPr="00C85F0F">
        <w:rPr>
          <w:rFonts w:hint="cs"/>
          <w:rtl/>
        </w:rPr>
        <w:br/>
      </w:r>
      <w:r>
        <w:rPr>
          <w:rFonts w:hint="cs"/>
          <w:rtl/>
        </w:rPr>
        <w:t xml:space="preserve">                        </w:t>
      </w:r>
      <w:r w:rsidR="001F7E56" w:rsidRPr="00C85F0F">
        <w:rPr>
          <w:rFonts w:hint="cs"/>
          <w:rtl/>
        </w:rPr>
        <w:t>صيغ القاعدة عند الشيخ وعند علماء القواعد</w:t>
      </w:r>
      <w:bookmarkEnd w:id="84"/>
    </w:p>
    <w:p w:rsidR="001F7E56" w:rsidRPr="007E3E41" w:rsidRDefault="008C10FE" w:rsidP="007E3E41">
      <w:pPr>
        <w:rPr>
          <w:rFonts w:ascii="Traditional Arabic" w:hAnsi="Traditional Arabic"/>
          <w:rtl/>
        </w:rPr>
      </w:pPr>
      <w:r>
        <w:rPr>
          <w:rFonts w:ascii="Traditional Arabic" w:hAnsi="Traditional Arabic" w:hint="cs"/>
          <w:rtl/>
        </w:rPr>
        <w:t>وردت</w:t>
      </w:r>
      <w:r w:rsidR="001F7E56" w:rsidRPr="00C85F0F">
        <w:rPr>
          <w:rFonts w:ascii="Traditional Arabic" w:hAnsi="Traditional Arabic" w:hint="cs"/>
          <w:rtl/>
        </w:rPr>
        <w:t xml:space="preserve"> هذه القاعدة عند الشيخ ابن عثيمين </w:t>
      </w:r>
      <w:r>
        <w:rPr>
          <w:rFonts w:ascii="Traditional Arabic" w:hAnsi="Traditional Arabic" w:hint="cs"/>
          <w:rtl/>
        </w:rPr>
        <w:t>_</w:t>
      </w:r>
      <w:r w:rsidR="009A0575" w:rsidRPr="005D5694">
        <w:rPr>
          <w:rFonts w:ascii="Traditional Arabic" w:hAnsi="Traditional Arabic" w:cs="CTraditional Arabic" w:hint="cs"/>
          <w:rtl/>
        </w:rPr>
        <w:t>/</w:t>
      </w:r>
      <w:r>
        <w:rPr>
          <w:rFonts w:ascii="Traditional Arabic" w:hAnsi="Traditional Arabic" w:hint="cs"/>
          <w:rtl/>
        </w:rPr>
        <w:t>_ ب</w:t>
      </w:r>
      <w:r w:rsidR="001F7E56" w:rsidRPr="00C85F0F">
        <w:rPr>
          <w:rFonts w:ascii="Traditional Arabic" w:hAnsi="Traditional Arabic" w:hint="cs"/>
          <w:rtl/>
        </w:rPr>
        <w:t>صيغ</w:t>
      </w:r>
      <w:r>
        <w:rPr>
          <w:rFonts w:ascii="Traditional Arabic" w:hAnsi="Traditional Arabic" w:hint="cs"/>
          <w:rtl/>
        </w:rPr>
        <w:t xml:space="preserve"> متعددة،</w:t>
      </w:r>
      <w:r w:rsidR="001F7E56" w:rsidRPr="00C85F0F">
        <w:rPr>
          <w:rFonts w:ascii="Traditional Arabic" w:hAnsi="Traditional Arabic" w:hint="cs"/>
          <w:rtl/>
        </w:rPr>
        <w:t xml:space="preserve"> </w:t>
      </w:r>
      <w:r>
        <w:rPr>
          <w:rFonts w:ascii="Traditional Arabic" w:hAnsi="Traditional Arabic" w:hint="cs"/>
          <w:rtl/>
        </w:rPr>
        <w:t>منها</w:t>
      </w:r>
      <w:r w:rsidR="001F7E56" w:rsidRPr="00C85F0F">
        <w:rPr>
          <w:rFonts w:ascii="Traditional Arabic" w:hAnsi="Traditional Arabic" w:hint="cs"/>
          <w:rtl/>
        </w:rPr>
        <w:t>:</w:t>
      </w:r>
    </w:p>
    <w:p w:rsidR="001F7E56" w:rsidRPr="00C85F0F" w:rsidRDefault="001F7E56" w:rsidP="000A76C7">
      <w:pPr>
        <w:numPr>
          <w:ilvl w:val="0"/>
          <w:numId w:val="70"/>
        </w:numPr>
        <w:rPr>
          <w:rFonts w:ascii="Traditional Arabic" w:hAnsi="Traditional Arabic"/>
          <w:color w:val="auto"/>
          <w:rtl/>
        </w:rPr>
      </w:pPr>
      <w:r w:rsidRPr="00C85F0F">
        <w:rPr>
          <w:rFonts w:ascii="Traditional Arabic" w:hAnsi="Traditional Arabic"/>
          <w:noProof w:val="0"/>
          <w:color w:val="auto"/>
          <w:rtl/>
          <w:lang w:eastAsia="en-US"/>
        </w:rPr>
        <w:t>المرج</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فيما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داو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الناس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من الكلام والأفعال إلى الع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رف</w:t>
      </w:r>
      <w:r w:rsidRPr="00C85F0F">
        <w:rPr>
          <w:rStyle w:val="af1"/>
          <w:szCs w:val="32"/>
          <w:rtl/>
        </w:rPr>
        <w:t>(</w:t>
      </w:r>
      <w:r w:rsidRPr="00C85F0F">
        <w:rPr>
          <w:rStyle w:val="af1"/>
          <w:szCs w:val="32"/>
          <w:rtl/>
        </w:rPr>
        <w:footnoteReference w:id="408"/>
      </w:r>
      <w:r w:rsidRPr="00C85F0F">
        <w:rPr>
          <w:rStyle w:val="af1"/>
          <w:szCs w:val="32"/>
          <w:rtl/>
        </w:rPr>
        <w:t>)</w:t>
      </w:r>
      <w:r w:rsidRPr="00C85F0F">
        <w:rPr>
          <w:rFonts w:ascii="Traditional Arabic" w:hAnsi="Traditional Arabic" w:hint="cs"/>
          <w:color w:val="auto"/>
          <w:rtl/>
        </w:rPr>
        <w:t>.</w:t>
      </w:r>
    </w:p>
    <w:p w:rsidR="001F7E56" w:rsidRPr="00C85F0F" w:rsidRDefault="001F7E56" w:rsidP="000A76C7">
      <w:pPr>
        <w:numPr>
          <w:ilvl w:val="0"/>
          <w:numId w:val="70"/>
        </w:numPr>
        <w:rPr>
          <w:rFonts w:ascii="Traditional Arabic" w:hAnsi="Traditional Arabic"/>
          <w:color w:val="auto"/>
        </w:rPr>
      </w:pPr>
      <w:r w:rsidRPr="00C85F0F">
        <w:rPr>
          <w:rFonts w:ascii="Traditional Arabic" w:hAnsi="Traditional Arabic"/>
          <w:noProof w:val="0"/>
          <w:color w:val="auto"/>
          <w:rtl/>
          <w:lang w:eastAsia="en-US"/>
        </w:rPr>
        <w:t>الواجب 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الألفاظ على لسان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أهل</w:t>
      </w:r>
      <w:r w:rsidRPr="00C85F0F">
        <w:rPr>
          <w:rFonts w:ascii="Traditional Arabic" w:hAnsi="Traditional Arabic" w:hint="cs"/>
          <w:noProof w:val="0"/>
          <w:color w:val="auto"/>
          <w:rtl/>
          <w:lang w:eastAsia="en-US"/>
        </w:rPr>
        <w:t>ِ</w:t>
      </w:r>
      <w:r w:rsidR="000C26E6">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الع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رف</w:t>
      </w:r>
      <w:r w:rsidRPr="00C85F0F">
        <w:rPr>
          <w:rStyle w:val="af1"/>
          <w:szCs w:val="32"/>
          <w:rtl/>
        </w:rPr>
        <w:t>(</w:t>
      </w:r>
      <w:r w:rsidRPr="00C85F0F">
        <w:rPr>
          <w:rStyle w:val="af1"/>
          <w:szCs w:val="32"/>
          <w:rtl/>
        </w:rPr>
        <w:footnoteReference w:id="409"/>
      </w:r>
      <w:r w:rsidRPr="00C85F0F">
        <w:rPr>
          <w:rStyle w:val="af1"/>
          <w:szCs w:val="32"/>
          <w:rtl/>
        </w:rPr>
        <w:t>)</w:t>
      </w:r>
      <w:r w:rsidRPr="00C85F0F">
        <w:rPr>
          <w:rFonts w:ascii="Traditional Arabic" w:hAnsi="Traditional Arabic" w:hint="cs"/>
          <w:color w:val="auto"/>
          <w:rtl/>
        </w:rPr>
        <w:t>.</w:t>
      </w:r>
    </w:p>
    <w:p w:rsidR="001F7E56" w:rsidRPr="00C85F0F" w:rsidRDefault="001F7E56" w:rsidP="00597C20">
      <w:pPr>
        <w:rPr>
          <w:rFonts w:ascii="Traditional Arabic" w:hAnsi="Traditional Arabic"/>
          <w:color w:val="auto"/>
          <w:rtl/>
        </w:rPr>
      </w:pPr>
      <w:r w:rsidRPr="00C85F0F">
        <w:rPr>
          <w:rFonts w:ascii="Traditional Arabic" w:hAnsi="Traditional Arabic" w:hint="cs"/>
          <w:color w:val="auto"/>
          <w:rtl/>
        </w:rPr>
        <w:t>و وردت هذه القاعدة عند علماء القواعد بعدة صيغ</w:t>
      </w:r>
      <w:r w:rsidRPr="00C85F0F">
        <w:rPr>
          <w:rStyle w:val="af1"/>
          <w:szCs w:val="32"/>
          <w:rtl/>
        </w:rPr>
        <w:t>(</w:t>
      </w:r>
      <w:r w:rsidRPr="00C85F0F">
        <w:rPr>
          <w:rStyle w:val="af1"/>
          <w:szCs w:val="32"/>
          <w:rtl/>
        </w:rPr>
        <w:footnoteReference w:id="410"/>
      </w:r>
      <w:r w:rsidRPr="00C85F0F">
        <w:rPr>
          <w:rStyle w:val="af1"/>
          <w:szCs w:val="32"/>
          <w:rtl/>
        </w:rPr>
        <w:t>)</w:t>
      </w:r>
      <w:r w:rsidRPr="00C85F0F">
        <w:rPr>
          <w:rFonts w:ascii="Traditional Arabic" w:hAnsi="Traditional Arabic" w:hint="cs"/>
          <w:color w:val="auto"/>
          <w:rtl/>
        </w:rPr>
        <w:t>، منها:</w:t>
      </w:r>
    </w:p>
    <w:p w:rsidR="001F7E56" w:rsidRPr="00C85F0F" w:rsidRDefault="001F7E56" w:rsidP="000A76C7">
      <w:pPr>
        <w:pStyle w:val="afc"/>
        <w:numPr>
          <w:ilvl w:val="0"/>
          <w:numId w:val="71"/>
        </w:numPr>
        <w:rPr>
          <w:rFonts w:ascii="Traditional Arabic" w:hAnsi="Traditional Arabic"/>
          <w:color w:val="auto"/>
        </w:rPr>
      </w:pPr>
      <w:r w:rsidRPr="00C85F0F">
        <w:rPr>
          <w:rFonts w:ascii="Traditional Arabic" w:hAnsi="Traditional Arabic" w:hint="cs"/>
          <w:color w:val="auto"/>
          <w:rtl/>
        </w:rPr>
        <w:t>يُحْمَل كلام الناس على ما جرَتْ به عادَتُهم في خِطابهم</w:t>
      </w:r>
      <w:r w:rsidRPr="00C85F0F">
        <w:rPr>
          <w:rStyle w:val="af1"/>
          <w:szCs w:val="32"/>
          <w:rtl/>
        </w:rPr>
        <w:t>(</w:t>
      </w:r>
      <w:r w:rsidRPr="00C85F0F">
        <w:rPr>
          <w:rStyle w:val="af1"/>
          <w:szCs w:val="32"/>
          <w:rtl/>
        </w:rPr>
        <w:footnoteReference w:id="411"/>
      </w:r>
      <w:r w:rsidRPr="00C85F0F">
        <w:rPr>
          <w:rStyle w:val="af1"/>
          <w:szCs w:val="32"/>
          <w:rtl/>
        </w:rPr>
        <w:t>)</w:t>
      </w:r>
      <w:r w:rsidRPr="00C85F0F">
        <w:rPr>
          <w:rFonts w:ascii="Traditional Arabic" w:hAnsi="Traditional Arabic" w:hint="cs"/>
          <w:color w:val="auto"/>
          <w:rtl/>
        </w:rPr>
        <w:t>.</w:t>
      </w:r>
    </w:p>
    <w:p w:rsidR="001F7E56" w:rsidRPr="00C85F0F" w:rsidRDefault="001F7E56" w:rsidP="000A76C7">
      <w:pPr>
        <w:pStyle w:val="afc"/>
        <w:numPr>
          <w:ilvl w:val="0"/>
          <w:numId w:val="71"/>
        </w:numPr>
        <w:rPr>
          <w:rFonts w:ascii="Traditional Arabic" w:hAnsi="Traditional Arabic"/>
          <w:color w:val="auto"/>
        </w:rPr>
      </w:pPr>
      <w:r w:rsidRPr="00C85F0F">
        <w:rPr>
          <w:rFonts w:ascii="Traditional Arabic" w:hAnsi="Traditional Arabic" w:hint="cs"/>
          <w:color w:val="auto"/>
          <w:rtl/>
        </w:rPr>
        <w:t>المسمَّى العُرفي يقدَّم على المسمَّى اللُّغَوي</w:t>
      </w:r>
      <w:r w:rsidRPr="00C85F0F">
        <w:rPr>
          <w:rStyle w:val="af1"/>
          <w:szCs w:val="32"/>
          <w:rtl/>
        </w:rPr>
        <w:t>(</w:t>
      </w:r>
      <w:r w:rsidRPr="00C85F0F">
        <w:rPr>
          <w:rStyle w:val="af1"/>
          <w:szCs w:val="32"/>
          <w:rtl/>
        </w:rPr>
        <w:footnoteReference w:id="412"/>
      </w:r>
      <w:r w:rsidRPr="00C85F0F">
        <w:rPr>
          <w:rStyle w:val="af1"/>
          <w:szCs w:val="32"/>
          <w:rtl/>
        </w:rPr>
        <w:t>)</w:t>
      </w:r>
      <w:r w:rsidRPr="00C85F0F">
        <w:rPr>
          <w:rFonts w:ascii="Traditional Arabic" w:hAnsi="Traditional Arabic" w:hint="cs"/>
          <w:color w:val="auto"/>
          <w:rtl/>
        </w:rPr>
        <w:t>.</w:t>
      </w:r>
    </w:p>
    <w:p w:rsidR="001F7E56" w:rsidRPr="00C85F0F" w:rsidRDefault="008C10FE" w:rsidP="00A8347C">
      <w:pPr>
        <w:pStyle w:val="aff3"/>
        <w:rPr>
          <w:rtl/>
        </w:rPr>
      </w:pPr>
      <w:bookmarkStart w:id="85" w:name="_Toc334046337"/>
      <w:r>
        <w:rPr>
          <w:rFonts w:hint="cs"/>
          <w:rtl/>
        </w:rPr>
        <w:lastRenderedPageBreak/>
        <w:t xml:space="preserve">                                           </w:t>
      </w:r>
      <w:r w:rsidR="001F7E56" w:rsidRPr="00C85F0F">
        <w:rPr>
          <w:rFonts w:hint="cs"/>
          <w:rtl/>
        </w:rPr>
        <w:t>المطلب الثاني</w:t>
      </w:r>
      <w:r w:rsidR="00813FCE" w:rsidRPr="00C85F0F">
        <w:rPr>
          <w:rFonts w:hint="eastAsia"/>
          <w:rtl/>
        </w:rPr>
        <w:t> :</w:t>
      </w:r>
      <w:r w:rsidR="00813FCE" w:rsidRPr="00C85F0F">
        <w:rPr>
          <w:rFonts w:hint="cs"/>
          <w:rtl/>
        </w:rPr>
        <w:br/>
      </w:r>
      <w:r>
        <w:rPr>
          <w:rFonts w:hint="cs"/>
          <w:rtl/>
        </w:rPr>
        <w:t xml:space="preserve">                                            </w:t>
      </w:r>
      <w:r w:rsidR="001F7E56" w:rsidRPr="00C85F0F">
        <w:rPr>
          <w:rFonts w:hint="cs"/>
          <w:rtl/>
        </w:rPr>
        <w:t>شرح القاعدة</w:t>
      </w:r>
      <w:bookmarkEnd w:id="85"/>
    </w:p>
    <w:p w:rsidR="00F228A9" w:rsidRDefault="001F7E56" w:rsidP="000F5C0F">
      <w:pPr>
        <w:pStyle w:val="53"/>
        <w:rPr>
          <w:rtl/>
        </w:rPr>
      </w:pPr>
      <w:r w:rsidRPr="00C85F0F">
        <w:rPr>
          <w:rFonts w:hint="cs"/>
          <w:rtl/>
        </w:rPr>
        <w:t xml:space="preserve">العرف </w:t>
      </w:r>
      <w:r w:rsidRPr="000F5C0F">
        <w:rPr>
          <w:rFonts w:hint="cs"/>
          <w:rtl/>
        </w:rPr>
        <w:t>لغة</w:t>
      </w:r>
      <w:r w:rsidRPr="00C85F0F">
        <w:rPr>
          <w:rFonts w:hint="cs"/>
          <w:rtl/>
        </w:rPr>
        <w:t>:</w:t>
      </w:r>
    </w:p>
    <w:p w:rsidR="00E63327" w:rsidRPr="009F7784" w:rsidRDefault="008C10FE" w:rsidP="008C10FE">
      <w:pPr>
        <w:widowControl/>
        <w:autoSpaceDE w:val="0"/>
        <w:autoSpaceDN w:val="0"/>
        <w:adjustRightInd w:val="0"/>
        <w:ind w:firstLine="0"/>
        <w:rPr>
          <w:rFonts w:ascii="Traditional Arabic" w:hAnsi="Traditional Arabic"/>
          <w:noProof w:val="0"/>
          <w:color w:val="auto"/>
          <w:rtl/>
          <w:lang w:eastAsia="en-US"/>
        </w:rPr>
      </w:pPr>
      <w:r>
        <w:rPr>
          <w:rFonts w:hint="cs"/>
          <w:rtl/>
        </w:rPr>
        <w:t xml:space="preserve">    </w:t>
      </w:r>
      <w:r w:rsidR="00E63327">
        <w:rPr>
          <w:rFonts w:hint="cs"/>
          <w:rtl/>
        </w:rPr>
        <w:t xml:space="preserve">قال  ابن فارس </w:t>
      </w:r>
      <w:r>
        <w:rPr>
          <w:rFonts w:hint="cs"/>
          <w:rtl/>
        </w:rPr>
        <w:t>_</w:t>
      </w:r>
      <w:r w:rsidR="00E63327" w:rsidRPr="005D5694">
        <w:rPr>
          <w:rFonts w:cs="CTraditional Arabic" w:hint="cs"/>
          <w:color w:val="auto"/>
          <w:rtl/>
        </w:rPr>
        <w:t>/</w:t>
      </w:r>
      <w:r>
        <w:rPr>
          <w:rFonts w:hint="cs"/>
          <w:rtl/>
        </w:rPr>
        <w:t>_</w:t>
      </w:r>
      <w:r w:rsidR="00E63327">
        <w:rPr>
          <w:rFonts w:hint="cs"/>
          <w:rtl/>
        </w:rPr>
        <w:t xml:space="preserve"> : (</w:t>
      </w:r>
      <w:r w:rsidR="00E63327" w:rsidRPr="009F7784">
        <w:rPr>
          <w:rFonts w:ascii="Traditional Arabic" w:hAnsi="Traditional Arabic"/>
          <w:noProof w:val="0"/>
          <w:color w:val="auto"/>
          <w:rtl/>
          <w:lang w:eastAsia="en-US"/>
        </w:rPr>
        <w:t>العين والراء والفاء أصلان صحيحان، يدل أحد</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هما على ت</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تاب</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ع الشيء 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ت</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صلا</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 xml:space="preserve"> بعض</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ه ببعض</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 والآخ</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 على الس</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كون والط</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أ</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ن</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ي</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نة.</w:t>
      </w:r>
    </w:p>
    <w:p w:rsidR="00E63327" w:rsidRDefault="008C10FE" w:rsidP="008C10FE">
      <w:pPr>
        <w:widowControl/>
        <w:autoSpaceDE w:val="0"/>
        <w:autoSpaceDN w:val="0"/>
        <w:adjustRightInd w:val="0"/>
        <w:ind w:firstLine="0"/>
        <w:rPr>
          <w:rFonts w:ascii="Traditional Arabic" w:hAnsi="Traditional Arabic"/>
          <w:b/>
          <w:bCs/>
          <w:noProof w:val="0"/>
          <w:sz w:val="44"/>
          <w:szCs w:val="44"/>
          <w:rtl/>
          <w:lang w:eastAsia="en-US"/>
        </w:rPr>
      </w:pPr>
      <w:r>
        <w:rPr>
          <w:rFonts w:ascii="Traditional Arabic" w:hAnsi="Traditional Arabic" w:hint="cs"/>
          <w:noProof w:val="0"/>
          <w:color w:val="auto"/>
          <w:rtl/>
          <w:lang w:eastAsia="en-US"/>
        </w:rPr>
        <w:t xml:space="preserve">    </w:t>
      </w:r>
      <w:r w:rsidR="00E63327" w:rsidRPr="009F7784">
        <w:rPr>
          <w:rFonts w:ascii="Traditional Arabic" w:hAnsi="Traditional Arabic"/>
          <w:noProof w:val="0"/>
          <w:color w:val="auto"/>
          <w:rtl/>
          <w:lang w:eastAsia="en-US"/>
        </w:rPr>
        <w:t>فالأول الع</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ف: ع</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ف</w:t>
      </w:r>
      <w:r w:rsidR="00E63327" w:rsidRPr="00C821A1">
        <w:rPr>
          <w:rStyle w:val="af1"/>
          <w:rFonts w:ascii="Tahoma" w:hAnsi="Tahoma"/>
          <w:szCs w:val="32"/>
          <w:rtl/>
        </w:rPr>
        <w:t>(</w:t>
      </w:r>
      <w:r w:rsidR="00E63327" w:rsidRPr="00C821A1">
        <w:rPr>
          <w:rStyle w:val="af1"/>
          <w:rFonts w:ascii="Tahoma" w:hAnsi="Tahoma"/>
          <w:szCs w:val="32"/>
          <w:rtl/>
        </w:rPr>
        <w:footnoteReference w:id="413"/>
      </w:r>
      <w:r w:rsidR="00E63327" w:rsidRPr="00C821A1">
        <w:rPr>
          <w:rStyle w:val="af1"/>
          <w:rFonts w:ascii="Tahoma" w:hAnsi="Tahoma"/>
          <w:szCs w:val="32"/>
          <w:rtl/>
        </w:rPr>
        <w:t>)</w:t>
      </w:r>
      <w:r w:rsidR="00E63327" w:rsidRPr="009F7784">
        <w:rPr>
          <w:rFonts w:ascii="Traditional Arabic" w:hAnsi="Traditional Arabic"/>
          <w:noProof w:val="0"/>
          <w:color w:val="auto"/>
          <w:rtl/>
          <w:lang w:eastAsia="en-US"/>
        </w:rPr>
        <w:t xml:space="preserve"> الف</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س. وس</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ي بذلك ل</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تتاب</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ع الش</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عر عليه.</w:t>
      </w:r>
      <w:r w:rsidR="00E63327">
        <w:rPr>
          <w:rFonts w:ascii="Traditional Arabic" w:hAnsi="Traditional Arabic" w:hint="cs"/>
          <w:noProof w:val="0"/>
          <w:color w:val="auto"/>
          <w:rtl/>
          <w:lang w:eastAsia="en-US"/>
        </w:rPr>
        <w:t>..</w:t>
      </w:r>
    </w:p>
    <w:p w:rsidR="00E63327" w:rsidRDefault="008C10FE" w:rsidP="008C10FE">
      <w:pPr>
        <w:widowControl/>
        <w:autoSpaceDE w:val="0"/>
        <w:autoSpaceDN w:val="0"/>
        <w:adjustRightInd w:val="0"/>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E63327" w:rsidRPr="009F7784">
        <w:rPr>
          <w:rFonts w:ascii="Traditional Arabic" w:hAnsi="Traditional Arabic"/>
          <w:noProof w:val="0"/>
          <w:color w:val="auto"/>
          <w:rtl/>
          <w:lang w:eastAsia="en-US"/>
        </w:rPr>
        <w:t>والأصل الآخر الم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ع</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رف</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ة والع</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فان. تقول: ع</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ف</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 xml:space="preserve"> ف</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لان</w:t>
      </w:r>
      <w:r w:rsidR="00E63327">
        <w:rPr>
          <w:rFonts w:ascii="Traditional Arabic" w:hAnsi="Traditional Arabic" w:hint="cs"/>
          <w:noProof w:val="0"/>
          <w:color w:val="auto"/>
          <w:rtl/>
          <w:lang w:eastAsia="en-US"/>
        </w:rPr>
        <w:t>ٌ</w:t>
      </w:r>
      <w:r w:rsidR="000C26E6">
        <w:rPr>
          <w:rFonts w:ascii="Traditional Arabic" w:hAnsi="Traditional Arabic" w:hint="cs"/>
          <w:noProof w:val="0"/>
          <w:color w:val="auto"/>
          <w:rtl/>
          <w:lang w:eastAsia="en-US"/>
        </w:rPr>
        <w:t xml:space="preserve"> </w:t>
      </w:r>
      <w:r w:rsidR="00E63327" w:rsidRPr="009F7784">
        <w:rPr>
          <w:rFonts w:ascii="Traditional Arabic" w:hAnsi="Traditional Arabic"/>
          <w:noProof w:val="0"/>
          <w:color w:val="auto"/>
          <w:rtl/>
          <w:lang w:eastAsia="en-US"/>
        </w:rPr>
        <w:t>فلانا</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 xml:space="preserve"> ع</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فانا</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 xml:space="preserve"> وم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عر</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فة</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 وهذا أ</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w:t>
      </w:r>
      <w:r w:rsidR="00E63327">
        <w:rPr>
          <w:rFonts w:ascii="Traditional Arabic" w:hAnsi="Traditional Arabic" w:hint="cs"/>
          <w:noProof w:val="0"/>
          <w:color w:val="auto"/>
          <w:rtl/>
          <w:lang w:eastAsia="en-US"/>
        </w:rPr>
        <w:t>ٌ</w:t>
      </w:r>
      <w:r w:rsidR="000C26E6">
        <w:rPr>
          <w:rFonts w:ascii="Traditional Arabic" w:hAnsi="Traditional Arabic" w:hint="cs"/>
          <w:noProof w:val="0"/>
          <w:color w:val="auto"/>
          <w:rtl/>
          <w:lang w:eastAsia="en-US"/>
        </w:rPr>
        <w:t xml:space="preserve"> </w:t>
      </w:r>
      <w:r w:rsidR="00E63327" w:rsidRPr="009F7784">
        <w:rPr>
          <w:rFonts w:ascii="Traditional Arabic" w:hAnsi="Traditional Arabic"/>
          <w:noProof w:val="0"/>
          <w:color w:val="auto"/>
          <w:rtl/>
          <w:lang w:eastAsia="en-US"/>
        </w:rPr>
        <w:t>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ع</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 xml:space="preserve">روف. </w:t>
      </w:r>
      <w:r>
        <w:rPr>
          <w:rFonts w:ascii="Traditional Arabic" w:hAnsi="Traditional Arabic" w:hint="cs"/>
          <w:noProof w:val="0"/>
          <w:color w:val="auto"/>
          <w:rtl/>
          <w:lang w:eastAsia="en-US"/>
        </w:rPr>
        <w:t xml:space="preserve">              </w:t>
      </w:r>
      <w:r w:rsidR="007E3E41">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 xml:space="preserve">وهذا </w:t>
      </w:r>
      <w:r w:rsidR="00E63327" w:rsidRPr="009F7784">
        <w:rPr>
          <w:rFonts w:ascii="Traditional Arabic" w:hAnsi="Traditional Arabic"/>
          <w:noProof w:val="0"/>
          <w:color w:val="auto"/>
          <w:rtl/>
          <w:lang w:eastAsia="en-US"/>
        </w:rPr>
        <w:t>يدل</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 xml:space="preserve"> على ما ق</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ل</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ناه 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ن س</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كونه إليه، لأن 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ن أ</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ن</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ك</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 شيئا توح</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ش منه ون</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با</w:t>
      </w:r>
      <w:r w:rsidR="00E63327" w:rsidRPr="00C821A1">
        <w:rPr>
          <w:rStyle w:val="af1"/>
          <w:rFonts w:ascii="Tahoma" w:hAnsi="Tahoma"/>
          <w:szCs w:val="32"/>
          <w:rtl/>
        </w:rPr>
        <w:t>(</w:t>
      </w:r>
      <w:r w:rsidR="00E63327" w:rsidRPr="00C821A1">
        <w:rPr>
          <w:rStyle w:val="af1"/>
          <w:rFonts w:ascii="Tahoma" w:hAnsi="Tahoma"/>
          <w:szCs w:val="32"/>
          <w:rtl/>
        </w:rPr>
        <w:footnoteReference w:id="414"/>
      </w:r>
      <w:r w:rsidR="00E63327" w:rsidRPr="00C821A1">
        <w:rPr>
          <w:rStyle w:val="af1"/>
          <w:rFonts w:ascii="Tahoma" w:hAnsi="Tahoma"/>
          <w:szCs w:val="32"/>
          <w:rtl/>
        </w:rPr>
        <w:t>)</w:t>
      </w:r>
      <w:r w:rsidR="00E63327" w:rsidRPr="009F7784">
        <w:rPr>
          <w:rFonts w:ascii="Traditional Arabic" w:hAnsi="Traditional Arabic"/>
          <w:noProof w:val="0"/>
          <w:color w:val="auto"/>
          <w:rtl/>
          <w:lang w:eastAsia="en-US"/>
        </w:rPr>
        <w:t>عنه.</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والع</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ف: الم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ع</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روف، وس</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م</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ي بذلك لأن الن</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فوس ت</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س</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ك</w:t>
      </w:r>
      <w:r w:rsidR="00E63327">
        <w:rPr>
          <w:rFonts w:ascii="Traditional Arabic" w:hAnsi="Traditional Arabic" w:hint="cs"/>
          <w:noProof w:val="0"/>
          <w:color w:val="auto"/>
          <w:rtl/>
          <w:lang w:eastAsia="en-US"/>
        </w:rPr>
        <w:t>ُ</w:t>
      </w:r>
      <w:r w:rsidR="00E63327" w:rsidRPr="009F7784">
        <w:rPr>
          <w:rFonts w:ascii="Traditional Arabic" w:hAnsi="Traditional Arabic"/>
          <w:noProof w:val="0"/>
          <w:color w:val="auto"/>
          <w:rtl/>
          <w:lang w:eastAsia="en-US"/>
        </w:rPr>
        <w:t>ن إليه</w:t>
      </w:r>
      <w:r w:rsidR="00E63327">
        <w:rPr>
          <w:rFonts w:ascii="Traditional Arabic" w:hAnsi="Traditional Arabic" w:hint="cs"/>
          <w:noProof w:val="0"/>
          <w:color w:val="auto"/>
          <w:rtl/>
          <w:lang w:eastAsia="en-US"/>
        </w:rPr>
        <w:t>...)</w:t>
      </w:r>
      <w:r w:rsidR="00E63327" w:rsidRPr="00C821A1">
        <w:rPr>
          <w:rStyle w:val="af1"/>
          <w:rFonts w:ascii="Tahoma" w:hAnsi="Tahoma"/>
          <w:szCs w:val="32"/>
          <w:rtl/>
        </w:rPr>
        <w:t>(</w:t>
      </w:r>
      <w:r w:rsidR="00E63327" w:rsidRPr="00C821A1">
        <w:rPr>
          <w:rStyle w:val="af1"/>
          <w:rFonts w:ascii="Tahoma" w:hAnsi="Tahoma"/>
          <w:szCs w:val="32"/>
          <w:rtl/>
        </w:rPr>
        <w:footnoteReference w:id="415"/>
      </w:r>
      <w:r w:rsidR="00E63327" w:rsidRPr="00C821A1">
        <w:rPr>
          <w:rStyle w:val="af1"/>
          <w:rFonts w:ascii="Tahoma" w:hAnsi="Tahoma"/>
          <w:szCs w:val="32"/>
          <w:rtl/>
        </w:rPr>
        <w:t>)</w:t>
      </w:r>
      <w:r w:rsidR="00E63327">
        <w:rPr>
          <w:rFonts w:ascii="Traditional Arabic" w:hAnsi="Traditional Arabic" w:hint="cs"/>
          <w:noProof w:val="0"/>
          <w:color w:val="auto"/>
          <w:rtl/>
          <w:lang w:eastAsia="en-US"/>
        </w:rPr>
        <w:t>.</w:t>
      </w:r>
    </w:p>
    <w:p w:rsidR="00E63327" w:rsidRDefault="007E3E41" w:rsidP="00E63327">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E63327">
        <w:rPr>
          <w:rFonts w:ascii="Traditional Arabic" w:hAnsi="Traditional Arabic" w:hint="cs"/>
          <w:noProof w:val="0"/>
          <w:color w:val="auto"/>
          <w:rtl/>
          <w:lang w:eastAsia="en-US"/>
        </w:rPr>
        <w:t>والمعروف ضِدُّ المُنْكَر، وهو اسمٌ لكلِّ فِعلٍ يُعْرَف بالعقل والشرع حُسْنُه</w:t>
      </w:r>
      <w:r w:rsidR="00E63327" w:rsidRPr="00C821A1">
        <w:rPr>
          <w:rStyle w:val="af1"/>
          <w:rFonts w:ascii="Tahoma" w:hAnsi="Tahoma"/>
          <w:szCs w:val="32"/>
          <w:rtl/>
        </w:rPr>
        <w:t>(</w:t>
      </w:r>
      <w:r w:rsidR="00E63327" w:rsidRPr="00C821A1">
        <w:rPr>
          <w:rStyle w:val="af1"/>
          <w:rFonts w:ascii="Tahoma" w:hAnsi="Tahoma"/>
          <w:szCs w:val="32"/>
          <w:rtl/>
        </w:rPr>
        <w:footnoteReference w:id="416"/>
      </w:r>
      <w:r w:rsidR="00E63327" w:rsidRPr="00C821A1">
        <w:rPr>
          <w:rStyle w:val="af1"/>
          <w:rFonts w:ascii="Tahoma" w:hAnsi="Tahoma"/>
          <w:szCs w:val="32"/>
          <w:rtl/>
        </w:rPr>
        <w:t>)</w:t>
      </w:r>
      <w:r w:rsidR="00E63327">
        <w:rPr>
          <w:rFonts w:ascii="Traditional Arabic" w:hAnsi="Traditional Arabic" w:hint="cs"/>
          <w:noProof w:val="0"/>
          <w:color w:val="auto"/>
          <w:rtl/>
          <w:lang w:eastAsia="en-US"/>
        </w:rPr>
        <w:t>.</w:t>
      </w:r>
    </w:p>
    <w:p w:rsidR="00E63327" w:rsidRDefault="00E63327" w:rsidP="00E63327">
      <w:pPr>
        <w:pStyle w:val="53"/>
        <w:rPr>
          <w:rtl/>
        </w:rPr>
      </w:pPr>
      <w:r w:rsidRPr="00EC33B2">
        <w:rPr>
          <w:rFonts w:hint="cs"/>
          <w:rtl/>
        </w:rPr>
        <w:t>الع</w:t>
      </w:r>
      <w:r>
        <w:rPr>
          <w:rFonts w:hint="cs"/>
          <w:rtl/>
        </w:rPr>
        <w:t>ُ</w:t>
      </w:r>
      <w:r w:rsidRPr="00EC33B2">
        <w:rPr>
          <w:rFonts w:hint="cs"/>
          <w:rtl/>
        </w:rPr>
        <w:t>ر</w:t>
      </w:r>
      <w:r>
        <w:rPr>
          <w:rFonts w:hint="cs"/>
          <w:rtl/>
        </w:rPr>
        <w:t>ْ</w:t>
      </w:r>
      <w:r w:rsidRPr="00EC33B2">
        <w:rPr>
          <w:rFonts w:hint="cs"/>
          <w:rtl/>
        </w:rPr>
        <w:t>ف اصطلاحا:</w:t>
      </w:r>
    </w:p>
    <w:p w:rsidR="00E63327" w:rsidRDefault="008C10FE" w:rsidP="008C10FE">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E63327">
        <w:rPr>
          <w:rFonts w:ascii="Traditional Arabic" w:hAnsi="Traditional Arabic" w:hint="cs"/>
          <w:noProof w:val="0"/>
          <w:color w:val="auto"/>
          <w:rtl/>
          <w:lang w:eastAsia="en-US"/>
        </w:rPr>
        <w:t>عادةُ</w:t>
      </w:r>
      <w:r w:rsidR="00E63327" w:rsidRPr="00C821A1">
        <w:rPr>
          <w:rStyle w:val="af1"/>
          <w:rFonts w:ascii="Tahoma" w:hAnsi="Tahoma"/>
          <w:szCs w:val="32"/>
          <w:rtl/>
        </w:rPr>
        <w:t>(</w:t>
      </w:r>
      <w:r w:rsidR="00E63327" w:rsidRPr="00C821A1">
        <w:rPr>
          <w:rStyle w:val="af1"/>
          <w:rFonts w:ascii="Tahoma" w:hAnsi="Tahoma"/>
          <w:szCs w:val="32"/>
          <w:rtl/>
        </w:rPr>
        <w:footnoteReference w:id="417"/>
      </w:r>
      <w:r w:rsidR="00E63327" w:rsidRPr="00C821A1">
        <w:rPr>
          <w:rStyle w:val="af1"/>
          <w:rFonts w:ascii="Tahoma" w:hAnsi="Tahoma"/>
          <w:szCs w:val="32"/>
          <w:rtl/>
        </w:rPr>
        <w:t>)</w:t>
      </w:r>
      <w:r w:rsidR="00E63327">
        <w:rPr>
          <w:rFonts w:ascii="Traditional Arabic" w:hAnsi="Traditional Arabic" w:hint="cs"/>
          <w:noProof w:val="0"/>
          <w:color w:val="auto"/>
          <w:rtl/>
          <w:lang w:eastAsia="en-US"/>
        </w:rPr>
        <w:t xml:space="preserve"> جُمهورِ قومٍ في قولٍ أو فِعلٍ</w:t>
      </w:r>
      <w:r w:rsidR="00E63327" w:rsidRPr="00C821A1">
        <w:rPr>
          <w:rStyle w:val="af1"/>
          <w:rFonts w:ascii="Tahoma" w:hAnsi="Tahoma"/>
          <w:szCs w:val="32"/>
          <w:rtl/>
        </w:rPr>
        <w:t>(</w:t>
      </w:r>
      <w:r w:rsidR="00E63327" w:rsidRPr="00C821A1">
        <w:rPr>
          <w:rStyle w:val="af1"/>
          <w:rFonts w:ascii="Tahoma" w:hAnsi="Tahoma"/>
          <w:szCs w:val="32"/>
          <w:rtl/>
        </w:rPr>
        <w:footnoteReference w:id="418"/>
      </w:r>
      <w:r w:rsidR="00E63327" w:rsidRPr="00C821A1">
        <w:rPr>
          <w:rStyle w:val="af1"/>
          <w:rFonts w:ascii="Tahoma" w:hAnsi="Tahoma"/>
          <w:szCs w:val="32"/>
          <w:rtl/>
        </w:rPr>
        <w:t>)</w:t>
      </w:r>
      <w:r w:rsidR="00E63327" w:rsidRPr="00262C45">
        <w:rPr>
          <w:rFonts w:ascii="Traditional Arabic" w:hAnsi="Traditional Arabic" w:hint="cs"/>
          <w:noProof w:val="0"/>
          <w:color w:val="auto"/>
          <w:rtl/>
          <w:lang w:eastAsia="en-US"/>
        </w:rPr>
        <w:t>.</w:t>
      </w:r>
    </w:p>
    <w:p w:rsidR="001F7E56" w:rsidRPr="00C85F0F" w:rsidRDefault="008C10FE" w:rsidP="008C10FE">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E63327">
        <w:rPr>
          <w:rFonts w:ascii="Traditional Arabic" w:hAnsi="Traditional Arabic" w:hint="cs"/>
          <w:noProof w:val="0"/>
          <w:color w:val="auto"/>
          <w:rtl/>
          <w:lang w:eastAsia="en-US"/>
        </w:rPr>
        <w:t xml:space="preserve">وعرفه الشيخ ابن عثيمين </w:t>
      </w:r>
      <w:r>
        <w:rPr>
          <w:rFonts w:ascii="Traditional Arabic" w:hAnsi="Traditional Arabic" w:hint="cs"/>
          <w:noProof w:val="0"/>
          <w:color w:val="auto"/>
          <w:rtl/>
          <w:lang w:eastAsia="en-US"/>
        </w:rPr>
        <w:t>_</w:t>
      </w:r>
      <w:r w:rsidR="00E63327">
        <w:rPr>
          <w:rFonts w:ascii="Traditional Arabic" w:hAnsi="Traditional Arabic" w:hint="cs"/>
          <w:noProof w:val="0"/>
          <w:color w:val="auto"/>
          <w:rtl/>
          <w:lang w:eastAsia="en-US"/>
        </w:rPr>
        <w:t xml:space="preserve">رحمه الله </w:t>
      </w:r>
      <w:r>
        <w:rPr>
          <w:rFonts w:ascii="Traditional Arabic" w:hAnsi="Traditional Arabic" w:hint="cs"/>
          <w:noProof w:val="0"/>
          <w:color w:val="auto"/>
          <w:rtl/>
          <w:lang w:eastAsia="en-US"/>
        </w:rPr>
        <w:t>_</w:t>
      </w:r>
      <w:r w:rsidR="00E63327">
        <w:rPr>
          <w:rFonts w:ascii="Traditional Arabic" w:hAnsi="Traditional Arabic" w:hint="cs"/>
          <w:noProof w:val="0"/>
          <w:color w:val="auto"/>
          <w:rtl/>
          <w:lang w:eastAsia="en-US"/>
        </w:rPr>
        <w:t xml:space="preserve">بأنه </w:t>
      </w:r>
      <w:r w:rsidR="00E63327" w:rsidRPr="00C85F0F">
        <w:rPr>
          <w:rFonts w:ascii="Traditional Arabic" w:hAnsi="Traditional Arabic" w:hint="cs"/>
          <w:rtl/>
        </w:rPr>
        <w:t>العادة المطَّرِدة بين الناس</w:t>
      </w:r>
      <w:r w:rsidR="00E63327" w:rsidRPr="00C85F0F">
        <w:rPr>
          <w:rStyle w:val="af1"/>
          <w:szCs w:val="32"/>
          <w:rtl/>
        </w:rPr>
        <w:t>(</w:t>
      </w:r>
      <w:r w:rsidR="00E63327" w:rsidRPr="00C85F0F">
        <w:rPr>
          <w:rStyle w:val="af1"/>
          <w:szCs w:val="32"/>
          <w:rtl/>
        </w:rPr>
        <w:footnoteReference w:id="419"/>
      </w:r>
      <w:r w:rsidR="00E63327" w:rsidRPr="00C85F0F">
        <w:rPr>
          <w:rStyle w:val="af1"/>
          <w:szCs w:val="32"/>
          <w:rtl/>
        </w:rPr>
        <w:t>)</w:t>
      </w:r>
      <w:r w:rsidR="00E63327" w:rsidRPr="00C85F0F">
        <w:rPr>
          <w:rFonts w:ascii="Traditional Arabic" w:hAnsi="Traditional Arabic" w:hint="cs"/>
          <w:rtl/>
        </w:rPr>
        <w:t>.</w:t>
      </w:r>
    </w:p>
    <w:p w:rsidR="00065E4B" w:rsidRPr="00C85F0F" w:rsidRDefault="001F7E56" w:rsidP="000F5C0F">
      <w:pPr>
        <w:pStyle w:val="53"/>
        <w:rPr>
          <w:rtl/>
        </w:rPr>
      </w:pPr>
      <w:r w:rsidRPr="00C85F0F">
        <w:rPr>
          <w:rFonts w:hint="cs"/>
          <w:rtl/>
        </w:rPr>
        <w:lastRenderedPageBreak/>
        <w:t xml:space="preserve">معنى </w:t>
      </w:r>
      <w:r w:rsidRPr="000F5C0F">
        <w:rPr>
          <w:rFonts w:hint="cs"/>
          <w:rtl/>
        </w:rPr>
        <w:t>القاعدة</w:t>
      </w:r>
      <w:r w:rsidRPr="00C85F0F">
        <w:rPr>
          <w:rFonts w:hint="cs"/>
          <w:rtl/>
        </w:rPr>
        <w:t xml:space="preserve"> إجمالا:</w:t>
      </w:r>
    </w:p>
    <w:p w:rsidR="001F7E56" w:rsidRPr="00C85F0F" w:rsidRDefault="008C10FE" w:rsidP="008C10FE">
      <w:pPr>
        <w:ind w:firstLine="0"/>
        <w:rPr>
          <w:rFonts w:ascii="Traditional Arabic" w:hAnsi="Traditional Arabic"/>
          <w:color w:val="auto"/>
          <w:rtl/>
        </w:rPr>
      </w:pPr>
      <w:r>
        <w:rPr>
          <w:rFonts w:ascii="Traditional Arabic" w:hAnsi="Traditional Arabic" w:hint="cs"/>
          <w:noProof w:val="0"/>
          <w:rtl/>
          <w:lang w:eastAsia="en-US"/>
        </w:rPr>
        <w:t xml:space="preserve">    إ</w:t>
      </w:r>
      <w:r w:rsidR="001F7E56" w:rsidRPr="00C85F0F">
        <w:rPr>
          <w:rFonts w:ascii="Traditional Arabic" w:hAnsi="Traditional Arabic"/>
          <w:noProof w:val="0"/>
          <w:rtl/>
          <w:lang w:eastAsia="en-US"/>
        </w:rPr>
        <w:t>ن المرجع فيما يتداو</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ل</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ه الناس من الكلام والأفعال إلى العرف</w:t>
      </w:r>
      <w:r w:rsidR="001F7E56" w:rsidRPr="00C85F0F">
        <w:rPr>
          <w:rFonts w:ascii="Traditional Arabic" w:hAnsi="Traditional Arabic" w:hint="cs"/>
          <w:noProof w:val="0"/>
          <w:rtl/>
          <w:lang w:eastAsia="en-US"/>
        </w:rPr>
        <w:t>، فإذا تَعارَف الناس على أمرٍ غيرِ مخالِفٍ للشرع، وكان ذلك العُرف مُطَّرِداً</w:t>
      </w:r>
      <w:r w:rsidR="001F7E56" w:rsidRPr="00C85F0F">
        <w:rPr>
          <w:rStyle w:val="af1"/>
          <w:szCs w:val="32"/>
          <w:rtl/>
        </w:rPr>
        <w:t>(</w:t>
      </w:r>
      <w:r w:rsidR="001F7E56" w:rsidRPr="00C85F0F">
        <w:rPr>
          <w:rStyle w:val="af1"/>
          <w:szCs w:val="32"/>
          <w:rtl/>
        </w:rPr>
        <w:footnoteReference w:id="420"/>
      </w:r>
      <w:r w:rsidR="001F7E56" w:rsidRPr="00C85F0F">
        <w:rPr>
          <w:rStyle w:val="af1"/>
          <w:szCs w:val="32"/>
          <w:rtl/>
        </w:rPr>
        <w:t>)</w:t>
      </w:r>
      <w:r w:rsidR="001F7E56" w:rsidRPr="00C85F0F">
        <w:rPr>
          <w:rFonts w:ascii="Traditional Arabic" w:hAnsi="Traditional Arabic" w:hint="cs"/>
          <w:noProof w:val="0"/>
          <w:rtl/>
          <w:lang w:eastAsia="en-US"/>
        </w:rPr>
        <w:t>، فإنه يكون مُعتبَراً ويُعمَل به.</w:t>
      </w:r>
      <w:r w:rsidR="001F7E56" w:rsidRPr="00C85F0F">
        <w:rPr>
          <w:rFonts w:ascii="Traditional Arabic" w:hAnsi="Traditional Arabic"/>
          <w:noProof w:val="0"/>
          <w:rtl/>
          <w:lang w:eastAsia="en-US"/>
        </w:rPr>
        <w:t>فإن لم يكن ع</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رف</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 xml:space="preserve"> أو كان الع</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رف م</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ضطر</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با</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 رجعنا إلى الل</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غة ما لم يكن للشيء حقيقة</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 xml:space="preserve"> شرعية، فإن كان للشيء حقيقة</w:t>
      </w:r>
      <w:r w:rsidR="001F7E56" w:rsidRPr="00C85F0F">
        <w:rPr>
          <w:rFonts w:ascii="Traditional Arabic" w:hAnsi="Traditional Arabic" w:hint="cs"/>
          <w:noProof w:val="0"/>
          <w:rtl/>
          <w:lang w:eastAsia="en-US"/>
        </w:rPr>
        <w:t>ٌ</w:t>
      </w:r>
      <w:r w:rsidR="00DD044B">
        <w:rPr>
          <w:rFonts w:ascii="Traditional Arabic" w:hAnsi="Traditional Arabic" w:hint="cs"/>
          <w:noProof w:val="0"/>
          <w:rtl/>
          <w:lang w:eastAsia="en-US"/>
        </w:rPr>
        <w:t xml:space="preserve"> </w:t>
      </w:r>
      <w:r w:rsidR="001F7E56" w:rsidRPr="00C85F0F">
        <w:rPr>
          <w:rFonts w:ascii="Traditional Arabic" w:hAnsi="Traditional Arabic"/>
          <w:noProof w:val="0"/>
          <w:rtl/>
          <w:lang w:eastAsia="en-US"/>
        </w:rPr>
        <w:t>شرعي</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ة</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 فهي مقد</w:t>
      </w:r>
      <w:r w:rsidR="001F7E56" w:rsidRPr="00C85F0F">
        <w:rPr>
          <w:rFonts w:ascii="Traditional Arabic" w:hAnsi="Traditional Arabic" w:hint="cs"/>
          <w:noProof w:val="0"/>
          <w:rtl/>
          <w:lang w:eastAsia="en-US"/>
        </w:rPr>
        <w:t>َّ</w:t>
      </w:r>
      <w:r w:rsidR="001F7E56" w:rsidRPr="00C85F0F">
        <w:rPr>
          <w:rFonts w:ascii="Traditional Arabic" w:hAnsi="Traditional Arabic"/>
          <w:noProof w:val="0"/>
          <w:rtl/>
          <w:lang w:eastAsia="en-US"/>
        </w:rPr>
        <w:t>مة على كل الحقائق</w:t>
      </w:r>
      <w:r w:rsidR="001F7E56" w:rsidRPr="00C85F0F">
        <w:rPr>
          <w:rStyle w:val="af1"/>
          <w:szCs w:val="32"/>
          <w:rtl/>
        </w:rPr>
        <w:t>(</w:t>
      </w:r>
      <w:r w:rsidR="001F7E56" w:rsidRPr="00C85F0F">
        <w:rPr>
          <w:rStyle w:val="af1"/>
          <w:szCs w:val="32"/>
          <w:rtl/>
        </w:rPr>
        <w:footnoteReference w:id="421"/>
      </w:r>
      <w:r w:rsidR="001F7E56" w:rsidRPr="00C85F0F">
        <w:rPr>
          <w:rStyle w:val="af1"/>
          <w:szCs w:val="32"/>
          <w:rtl/>
        </w:rPr>
        <w:t>)</w:t>
      </w:r>
      <w:r w:rsidR="001F7E56" w:rsidRPr="00C85F0F">
        <w:rPr>
          <w:rFonts w:ascii="Traditional Arabic" w:hAnsi="Traditional Arabic"/>
          <w:noProof w:val="0"/>
          <w:rtl/>
          <w:lang w:eastAsia="en-US"/>
        </w:rPr>
        <w:t>.</w:t>
      </w:r>
    </w:p>
    <w:p w:rsidR="001F7E56" w:rsidRPr="00872DD6" w:rsidRDefault="000C26E6" w:rsidP="00A8347C">
      <w:pPr>
        <w:pStyle w:val="aff3"/>
        <w:rPr>
          <w:rtl/>
        </w:rPr>
      </w:pPr>
      <w:bookmarkStart w:id="86" w:name="_Toc334046338"/>
      <w:r>
        <w:rPr>
          <w:rFonts w:hint="cs"/>
          <w:rtl/>
        </w:rPr>
        <w:t xml:space="preserve">                   </w:t>
      </w:r>
      <w:r w:rsidR="008C10FE">
        <w:rPr>
          <w:rFonts w:hint="cs"/>
          <w:rtl/>
        </w:rPr>
        <w:t xml:space="preserve">                   </w:t>
      </w:r>
      <w:r w:rsidR="001F7E56" w:rsidRPr="00872DD6">
        <w:rPr>
          <w:rFonts w:hint="cs"/>
          <w:rtl/>
        </w:rPr>
        <w:t>المطلب الثالث</w:t>
      </w:r>
      <w:r w:rsidR="00813FCE" w:rsidRPr="00872DD6">
        <w:rPr>
          <w:rFonts w:hint="eastAsia"/>
          <w:rtl/>
        </w:rPr>
        <w:t> :</w:t>
      </w:r>
      <w:r w:rsidR="00813FCE" w:rsidRPr="00872DD6">
        <w:rPr>
          <w:rFonts w:hint="cs"/>
          <w:rtl/>
        </w:rPr>
        <w:br/>
      </w:r>
      <w:r w:rsidRPr="00872DD6">
        <w:rPr>
          <w:rFonts w:hint="cs"/>
          <w:rtl/>
        </w:rPr>
        <w:t xml:space="preserve">                  </w:t>
      </w:r>
      <w:r w:rsidR="00872DD6" w:rsidRPr="00872DD6">
        <w:rPr>
          <w:rFonts w:hint="cs"/>
          <w:rtl/>
        </w:rPr>
        <w:t xml:space="preserve">                    </w:t>
      </w:r>
      <w:r w:rsidR="00872DD6">
        <w:rPr>
          <w:rFonts w:hint="cs"/>
          <w:rtl/>
        </w:rPr>
        <w:t xml:space="preserve"> </w:t>
      </w:r>
      <w:r w:rsidR="00872DD6" w:rsidRPr="00872DD6">
        <w:rPr>
          <w:rFonts w:hint="cs"/>
          <w:rtl/>
        </w:rPr>
        <w:t xml:space="preserve"> </w:t>
      </w:r>
      <w:r w:rsidR="001F7E56" w:rsidRPr="00872DD6">
        <w:rPr>
          <w:rFonts w:hint="cs"/>
          <w:rtl/>
        </w:rPr>
        <w:t>أدلة القاعدة</w:t>
      </w:r>
      <w:bookmarkEnd w:id="86"/>
    </w:p>
    <w:p w:rsidR="00D80F33" w:rsidRPr="00D80F33" w:rsidRDefault="00D80F33" w:rsidP="00D80F33">
      <w:pPr>
        <w:spacing w:line="640" w:lineRule="exact"/>
        <w:ind w:firstLine="0"/>
        <w:jc w:val="lowKashida"/>
        <w:rPr>
          <w:rFonts w:ascii="Lotus Linotype" w:hAnsi="Lotus Linotype" w:cs="Lotus Linotype"/>
          <w:b/>
          <w:bCs/>
          <w:rtl/>
        </w:rPr>
      </w:pPr>
      <w:r>
        <w:rPr>
          <w:rFonts w:ascii="Traditional Arabic" w:hAnsi="Traditional Arabic" w:hint="cs"/>
          <w:rtl/>
        </w:rPr>
        <w:t xml:space="preserve">(1)    </w:t>
      </w:r>
      <w:r w:rsidRPr="00D80F33">
        <w:rPr>
          <w:rFonts w:ascii="Traditional Arabic" w:hAnsi="Traditional Arabic" w:hint="cs"/>
          <w:rtl/>
        </w:rPr>
        <w:t>قوله تعالى</w:t>
      </w:r>
      <w:r w:rsidRPr="00D80F33">
        <w:rPr>
          <w:rFonts w:ascii="Traditional Arabic" w:hAnsi="Traditional Arabic"/>
          <w:rtl/>
        </w:rPr>
        <w:t>:</w:t>
      </w:r>
      <w:r>
        <w:rPr>
          <w:rFonts w:ascii="Traditional Arabic" w:hAnsi="Traditional Arabic" w:hint="cs"/>
          <w:rtl/>
        </w:rPr>
        <w:t xml:space="preserve"> </w:t>
      </w:r>
      <w:r w:rsidRPr="00D80F33">
        <w:rPr>
          <w:rFonts w:ascii="QCF_BSML" w:hAnsi="QCF_BSML" w:cs="QCF_BSML"/>
          <w:noProof w:val="0"/>
          <w:rtl/>
          <w:lang w:eastAsia="en-US"/>
        </w:rPr>
        <w:t xml:space="preserve">ﭽ </w:t>
      </w:r>
      <w:r w:rsidRPr="00D80F33">
        <w:rPr>
          <w:rFonts w:ascii="QCF_P036" w:hAnsi="QCF_P036" w:cs="QCF_P036"/>
          <w:noProof w:val="0"/>
          <w:rtl/>
          <w:lang w:eastAsia="en-US"/>
        </w:rPr>
        <w:t>ﮘﮙﮚﮛﮜ</w:t>
      </w:r>
      <w:r w:rsidRPr="00D80F33">
        <w:rPr>
          <w:rFonts w:ascii="QCF_BSML" w:hAnsi="QCF_BSML" w:cs="QCF_BSML"/>
          <w:noProof w:val="0"/>
          <w:rtl/>
          <w:lang w:eastAsia="en-US"/>
        </w:rPr>
        <w:t>ﭼ</w:t>
      </w:r>
      <w:r w:rsidRPr="00D80F33">
        <w:rPr>
          <w:rFonts w:ascii="Traditional Arabic" w:hAnsi="Traditional Arabic"/>
          <w:rtl/>
        </w:rPr>
        <w:t>[ البقرة : 228].</w:t>
      </w:r>
    </w:p>
    <w:p w:rsidR="00D80F33" w:rsidRPr="00D80F33" w:rsidRDefault="00D80F33" w:rsidP="00D80F33">
      <w:pPr>
        <w:spacing w:line="640" w:lineRule="exact"/>
        <w:ind w:firstLine="0"/>
        <w:jc w:val="lowKashida"/>
        <w:rPr>
          <w:rFonts w:ascii="Lotus Linotype" w:hAnsi="Lotus Linotype" w:cs="Lotus Linotype"/>
          <w:b/>
          <w:bCs/>
          <w:rtl/>
        </w:rPr>
      </w:pPr>
      <w:r>
        <w:rPr>
          <w:rFonts w:ascii="Traditional Arabic" w:hAnsi="Traditional Arabic" w:hint="cs"/>
          <w:rtl/>
        </w:rPr>
        <w:t>(2)    ق</w:t>
      </w:r>
      <w:r w:rsidRPr="00D80F33">
        <w:rPr>
          <w:rFonts w:ascii="Traditional Arabic" w:hAnsi="Traditional Arabic" w:hint="cs"/>
          <w:rtl/>
        </w:rPr>
        <w:t>وله تعالى:</w:t>
      </w:r>
      <w:r>
        <w:rPr>
          <w:rFonts w:ascii="QCF_BSML" w:hAnsi="QCF_BSML" w:cs="QCF_BSML" w:hint="cs"/>
          <w:noProof w:val="0"/>
          <w:rtl/>
          <w:lang w:eastAsia="en-US"/>
        </w:rPr>
        <w:t xml:space="preserve">     </w:t>
      </w:r>
      <w:r w:rsidRPr="00D80F33">
        <w:rPr>
          <w:rFonts w:ascii="QCF_BSML" w:hAnsi="QCF_BSML" w:cs="QCF_BSML"/>
          <w:noProof w:val="0"/>
          <w:rtl/>
          <w:lang w:eastAsia="en-US"/>
        </w:rPr>
        <w:t xml:space="preserve">ﭽ </w:t>
      </w:r>
      <w:r w:rsidRPr="00D80F33">
        <w:rPr>
          <w:rFonts w:ascii="QCF_P080" w:hAnsi="QCF_P080" w:cs="QCF_P080"/>
          <w:noProof w:val="0"/>
          <w:rtl/>
          <w:lang w:eastAsia="en-US"/>
        </w:rPr>
        <w:t>ﯢﯣ</w:t>
      </w:r>
      <w:r w:rsidRPr="00D80F33">
        <w:rPr>
          <w:rFonts w:ascii="QCF_BSML" w:hAnsi="QCF_BSML" w:cs="QCF_BSML"/>
          <w:noProof w:val="0"/>
          <w:rtl/>
          <w:lang w:eastAsia="en-US"/>
        </w:rPr>
        <w:t>ﭼ</w:t>
      </w:r>
      <w:r w:rsidRPr="00D80F33">
        <w:rPr>
          <w:rFonts w:ascii="Traditional Arabic" w:hAnsi="Traditional Arabic" w:hint="cs"/>
          <w:rtl/>
        </w:rPr>
        <w:t>[</w:t>
      </w:r>
      <w:r w:rsidRPr="00D80F33">
        <w:rPr>
          <w:rFonts w:ascii="Traditional Arabic" w:hAnsi="Traditional Arabic"/>
          <w:rtl/>
        </w:rPr>
        <w:t>النساء : 19</w:t>
      </w:r>
      <w:r w:rsidRPr="00D80F33">
        <w:rPr>
          <w:rFonts w:ascii="Traditional Arabic" w:hAnsi="Traditional Arabic" w:hint="cs"/>
          <w:rtl/>
        </w:rPr>
        <w:t>]</w:t>
      </w:r>
      <w:r w:rsidRPr="00D80F33">
        <w:rPr>
          <w:rFonts w:ascii="Traditional Arabic" w:hAnsi="Traditional Arabic"/>
          <w:rtl/>
        </w:rPr>
        <w:t>.</w:t>
      </w:r>
    </w:p>
    <w:p w:rsidR="00D80F33" w:rsidRDefault="00D80F33" w:rsidP="00D80F33">
      <w:pPr>
        <w:pStyle w:val="53"/>
        <w:rPr>
          <w:rtl/>
        </w:rPr>
      </w:pPr>
      <w:r w:rsidRPr="00A869AA">
        <w:rPr>
          <w:rtl/>
        </w:rPr>
        <w:lastRenderedPageBreak/>
        <w:t>وجه الدلالة:</w:t>
      </w:r>
    </w:p>
    <w:p w:rsidR="00D80F33" w:rsidRDefault="00D80F33" w:rsidP="00D80F33">
      <w:pPr>
        <w:spacing w:line="640" w:lineRule="exact"/>
        <w:jc w:val="lowKashida"/>
        <w:rPr>
          <w:rFonts w:ascii="Traditional Arabic" w:hAnsi="Traditional Arabic"/>
          <w:rtl/>
        </w:rPr>
      </w:pPr>
      <w:r>
        <w:rPr>
          <w:rFonts w:ascii="Traditional Arabic" w:hAnsi="Traditional Arabic" w:hint="cs"/>
          <w:rtl/>
        </w:rPr>
        <w:t>إ</w:t>
      </w:r>
      <w:r w:rsidRPr="00A869AA">
        <w:rPr>
          <w:rFonts w:ascii="Traditional Arabic" w:hAnsi="Traditional Arabic"/>
          <w:rtl/>
        </w:rPr>
        <w:t>ن الله سبحانه وتعالى أحال في حقوق الزوجة إلى العُرف والعادة فيما لم ي</w:t>
      </w:r>
      <w:r>
        <w:rPr>
          <w:rFonts w:ascii="Traditional Arabic" w:hAnsi="Traditional Arabic" w:hint="cs"/>
          <w:rtl/>
        </w:rPr>
        <w:t>َ</w:t>
      </w:r>
      <w:r w:rsidRPr="00A869AA">
        <w:rPr>
          <w:rFonts w:ascii="Traditional Arabic" w:hAnsi="Traditional Arabic"/>
          <w:rtl/>
        </w:rPr>
        <w:t>ر</w:t>
      </w:r>
      <w:r>
        <w:rPr>
          <w:rFonts w:ascii="Traditional Arabic" w:hAnsi="Traditional Arabic" w:hint="cs"/>
          <w:rtl/>
        </w:rPr>
        <w:t>ِ</w:t>
      </w:r>
      <w:r w:rsidRPr="00A869AA">
        <w:rPr>
          <w:rFonts w:ascii="Traditional Arabic" w:hAnsi="Traditional Arabic"/>
          <w:rtl/>
        </w:rPr>
        <w:t>د فيه تحديد</w:t>
      </w:r>
      <w:r>
        <w:rPr>
          <w:rFonts w:ascii="Traditional Arabic" w:hAnsi="Traditional Arabic" w:hint="cs"/>
          <w:rtl/>
        </w:rPr>
        <w:t>ٌ</w:t>
      </w:r>
      <w:r w:rsidRPr="00A869AA">
        <w:rPr>
          <w:rFonts w:ascii="Traditional Arabic" w:hAnsi="Traditional Arabic"/>
          <w:rtl/>
        </w:rPr>
        <w:t xml:space="preserve"> من الشرع أو اللغة</w:t>
      </w:r>
      <w:r>
        <w:rPr>
          <w:rFonts w:ascii="Traditional Arabic" w:hAnsi="Traditional Arabic"/>
          <w:rtl/>
        </w:rPr>
        <w:t>،</w:t>
      </w:r>
      <w:r w:rsidRPr="00A869AA">
        <w:rPr>
          <w:rFonts w:ascii="Traditional Arabic" w:hAnsi="Traditional Arabic"/>
          <w:rtl/>
        </w:rPr>
        <w:t xml:space="preserve"> وهذا يدلُّ على ح</w:t>
      </w:r>
      <w:r>
        <w:rPr>
          <w:rFonts w:ascii="Traditional Arabic" w:hAnsi="Traditional Arabic" w:hint="cs"/>
          <w:rtl/>
        </w:rPr>
        <w:t>ُ</w:t>
      </w:r>
      <w:r w:rsidRPr="00A869AA">
        <w:rPr>
          <w:rFonts w:ascii="Traditional Arabic" w:hAnsi="Traditional Arabic"/>
          <w:rtl/>
        </w:rPr>
        <w:t>جِّية العُرف</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422"/>
      </w:r>
      <w:r w:rsidRPr="00C821A1">
        <w:rPr>
          <w:rFonts w:ascii="Traditional Arabic" w:hAnsi="Traditional Arabic"/>
          <w:szCs w:val="32"/>
          <w:vertAlign w:val="superscript"/>
          <w:rtl/>
        </w:rPr>
        <w:t>)</w:t>
      </w:r>
      <w:r w:rsidRPr="00A869AA">
        <w:rPr>
          <w:rFonts w:ascii="Traditional Arabic" w:hAnsi="Traditional Arabic"/>
          <w:rtl/>
        </w:rPr>
        <w:t>.</w:t>
      </w:r>
    </w:p>
    <w:p w:rsidR="00D80F33" w:rsidRPr="00D80F33" w:rsidRDefault="00D80F33" w:rsidP="00D80F33">
      <w:pPr>
        <w:spacing w:line="640" w:lineRule="exact"/>
        <w:ind w:firstLine="0"/>
        <w:jc w:val="lowKashida"/>
        <w:rPr>
          <w:rFonts w:ascii="Traditional Arabic" w:hAnsi="Traditional Arabic"/>
        </w:rPr>
      </w:pPr>
      <w:r>
        <w:rPr>
          <w:rFonts w:ascii="Traditional Arabic" w:hAnsi="Traditional Arabic" w:hint="cs"/>
          <w:rtl/>
        </w:rPr>
        <w:t xml:space="preserve">(3)    </w:t>
      </w:r>
      <w:r w:rsidRPr="00D80F33">
        <w:rPr>
          <w:rFonts w:ascii="Traditional Arabic" w:hAnsi="Traditional Arabic" w:hint="cs"/>
          <w:rtl/>
        </w:rPr>
        <w:t>قوله تعالى:</w:t>
      </w:r>
      <w:r w:rsidRPr="00D80F33">
        <w:rPr>
          <w:rFonts w:ascii="QCF_BSML" w:hAnsi="QCF_BSML" w:cs="QCF_BSML"/>
          <w:noProof w:val="0"/>
          <w:rtl/>
          <w:lang w:eastAsia="en-US"/>
        </w:rPr>
        <w:t>ﭽ</w:t>
      </w:r>
      <w:r w:rsidRPr="00D80F33">
        <w:rPr>
          <w:rFonts w:ascii="QCF_P027" w:hAnsi="QCF_P027" w:cs="QCF_P027"/>
          <w:noProof w:val="0"/>
          <w:rtl/>
          <w:lang w:eastAsia="en-US"/>
        </w:rPr>
        <w:t>ﯝ</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ﯞ</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ﯟ</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ﯠ</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ﯡ</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ﯢ</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ﯣ</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ﯤ</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ﯥ</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ﯦ</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ﯧ</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ﯨ</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ﯩ</w:t>
      </w:r>
      <w:r w:rsidRPr="00D80F33">
        <w:rPr>
          <w:rFonts w:ascii="QCF_P027" w:hAnsi="QCF_P027" w:cs="QCF_P027" w:hint="cs"/>
          <w:noProof w:val="0"/>
          <w:rtl/>
          <w:lang w:eastAsia="en-US"/>
        </w:rPr>
        <w:t xml:space="preserve"> </w:t>
      </w:r>
      <w:r w:rsidRPr="00D80F33">
        <w:rPr>
          <w:rFonts w:ascii="QCF_P027" w:hAnsi="QCF_P027" w:cs="QCF_P027"/>
          <w:noProof w:val="0"/>
          <w:color w:val="0000A5"/>
          <w:rtl/>
          <w:lang w:eastAsia="en-US"/>
        </w:rPr>
        <w:t>ﯪ</w:t>
      </w:r>
      <w:r w:rsidRPr="00D80F33">
        <w:rPr>
          <w:rFonts w:ascii="QCF_P027" w:hAnsi="QCF_P027" w:cs="QCF_P027"/>
          <w:noProof w:val="0"/>
          <w:rtl/>
          <w:lang w:eastAsia="en-US"/>
        </w:rPr>
        <w:t>ﯫ</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ﯬ</w:t>
      </w:r>
      <w:r w:rsidRPr="00D80F33">
        <w:rPr>
          <w:rFonts w:ascii="QCF_P027" w:hAnsi="QCF_P027" w:cs="QCF_P027" w:hint="cs"/>
          <w:noProof w:val="0"/>
          <w:rtl/>
          <w:lang w:eastAsia="en-US"/>
        </w:rPr>
        <w:t xml:space="preserve"> </w:t>
      </w:r>
      <w:r w:rsidRPr="00D80F33">
        <w:rPr>
          <w:rFonts w:ascii="QCF_P027" w:hAnsi="QCF_P027" w:cs="QCF_P027"/>
          <w:noProof w:val="0"/>
          <w:rtl/>
          <w:lang w:eastAsia="en-US"/>
        </w:rPr>
        <w:t>ﯭ</w:t>
      </w:r>
      <w:r w:rsidRPr="00D80F33">
        <w:rPr>
          <w:rFonts w:ascii="QCF_BSML" w:hAnsi="QCF_BSML" w:cs="QCF_BSML"/>
          <w:noProof w:val="0"/>
          <w:rtl/>
          <w:lang w:eastAsia="en-US"/>
        </w:rPr>
        <w:t>ﭼ</w:t>
      </w:r>
      <w:r w:rsidRPr="00D80F33">
        <w:rPr>
          <w:rFonts w:ascii="Arial" w:hAnsi="Arial" w:cs="Arial" w:hint="cs"/>
          <w:noProof w:val="0"/>
          <w:rtl/>
          <w:lang w:eastAsia="en-US"/>
        </w:rPr>
        <w:t>[</w:t>
      </w:r>
      <w:r w:rsidRPr="00D80F33">
        <w:rPr>
          <w:rFonts w:ascii="Traditional Arabic" w:hAnsi="Traditional Arabic"/>
          <w:noProof w:val="0"/>
          <w:color w:val="auto"/>
          <w:rtl/>
          <w:lang w:eastAsia="en-US"/>
        </w:rPr>
        <w:t>البقرة: ١٨٠</w:t>
      </w:r>
      <w:r w:rsidRPr="00D80F33">
        <w:rPr>
          <w:rFonts w:ascii="Traditional Arabic" w:hAnsi="Traditional Arabic" w:hint="cs"/>
          <w:noProof w:val="0"/>
          <w:color w:val="auto"/>
          <w:rtl/>
          <w:lang w:eastAsia="en-US"/>
        </w:rPr>
        <w:t>].</w:t>
      </w:r>
    </w:p>
    <w:p w:rsidR="00D80F33" w:rsidRDefault="00D80F33" w:rsidP="00D80F33">
      <w:pPr>
        <w:pStyle w:val="53"/>
      </w:pPr>
      <w:r w:rsidRPr="00A869AA">
        <w:rPr>
          <w:rtl/>
        </w:rPr>
        <w:t>وجه الدلالة:</w:t>
      </w:r>
    </w:p>
    <w:p w:rsidR="00D80F33" w:rsidRDefault="00D80F33" w:rsidP="00D80F33">
      <w:pPr>
        <w:spacing w:line="640" w:lineRule="exact"/>
        <w:ind w:firstLine="720"/>
        <w:jc w:val="lowKashida"/>
        <w:rPr>
          <w:rFonts w:ascii="Traditional Arabic" w:hAnsi="Traditional Arabic"/>
          <w:rtl/>
        </w:rPr>
      </w:pPr>
      <w:r w:rsidRPr="00E51D72">
        <w:rPr>
          <w:rFonts w:ascii="Traditional Arabic" w:hAnsi="Traditional Arabic"/>
          <w:rtl/>
        </w:rPr>
        <w:t xml:space="preserve">ذكر الشيخ ابن عثيمين </w:t>
      </w:r>
      <w:r>
        <w:rPr>
          <w:rFonts w:ascii="Traditional Arabic" w:hAnsi="Traditional Arabic" w:hint="cs"/>
          <w:rtl/>
        </w:rPr>
        <w:t>_</w:t>
      </w:r>
      <w:r w:rsidRPr="005D5694">
        <w:rPr>
          <w:rFonts w:ascii="Traditional Arabic" w:hAnsi="Traditional Arabic" w:cs="CTraditional Arabic" w:hint="cs"/>
          <w:rtl/>
        </w:rPr>
        <w:t>/</w:t>
      </w:r>
      <w:r>
        <w:rPr>
          <w:rFonts w:ascii="Traditional Arabic" w:hAnsi="Traditional Arabic" w:hint="cs"/>
          <w:rtl/>
        </w:rPr>
        <w:t>_</w:t>
      </w:r>
      <w:r w:rsidR="00872DD6">
        <w:rPr>
          <w:rFonts w:ascii="Traditional Arabic" w:hAnsi="Traditional Arabic"/>
          <w:rtl/>
        </w:rPr>
        <w:t xml:space="preserve"> من فوائد هذه الآية</w:t>
      </w:r>
      <w:r w:rsidRPr="00E51D72">
        <w:rPr>
          <w:rFonts w:ascii="Traditional Arabic" w:hAnsi="Traditional Arabic"/>
          <w:rtl/>
        </w:rPr>
        <w:t>: (اعتبار</w:t>
      </w:r>
      <w:r w:rsidRPr="00E51D72">
        <w:rPr>
          <w:rFonts w:ascii="Traditional Arabic" w:hAnsi="Traditional Arabic" w:hint="cs"/>
          <w:rtl/>
        </w:rPr>
        <w:t>ُ</w:t>
      </w:r>
      <w:r w:rsidRPr="00E51D72">
        <w:rPr>
          <w:rFonts w:ascii="Traditional Arabic" w:hAnsi="Traditional Arabic"/>
          <w:rtl/>
        </w:rPr>
        <w:t xml:space="preserve"> العُرف</w:t>
      </w:r>
      <w:r>
        <w:rPr>
          <w:rFonts w:ascii="Traditional Arabic" w:hAnsi="Traditional Arabic" w:hint="cs"/>
          <w:rtl/>
        </w:rPr>
        <w:t>؛</w:t>
      </w:r>
      <w:r w:rsidRPr="00E51D72">
        <w:rPr>
          <w:rFonts w:ascii="Traditional Arabic" w:hAnsi="Traditional Arabic"/>
          <w:rtl/>
        </w:rPr>
        <w:t xml:space="preserve"> لقوله تعالى</w:t>
      </w:r>
      <w:r w:rsidRPr="00E51D72">
        <w:rPr>
          <w:rFonts w:ascii="Lotus Linotype" w:hAnsi="Lotus Linotype" w:cs="Lotus Linotype"/>
          <w:b/>
          <w:bCs/>
          <w:rtl/>
        </w:rPr>
        <w:t xml:space="preserve"> :</w:t>
      </w:r>
      <w:r>
        <w:rPr>
          <w:rFonts w:ascii="QCF_BSML" w:hAnsi="QCF_BSML" w:cs="QCF_BSML" w:hint="cs"/>
          <w:noProof w:val="0"/>
          <w:rtl/>
          <w:lang w:eastAsia="en-US"/>
        </w:rPr>
        <w:t xml:space="preserve"> </w:t>
      </w:r>
      <w:r w:rsidRPr="00E51D72">
        <w:rPr>
          <w:rFonts w:ascii="QCF_BSML" w:hAnsi="QCF_BSML" w:cs="QCF_BSML"/>
          <w:noProof w:val="0"/>
          <w:rtl/>
          <w:lang w:eastAsia="en-US"/>
        </w:rPr>
        <w:t xml:space="preserve">ﭽ </w:t>
      </w:r>
      <w:r w:rsidRPr="00E51D72">
        <w:rPr>
          <w:rFonts w:ascii="QCF_P027" w:hAnsi="QCF_P027" w:cs="QCF_P027"/>
          <w:noProof w:val="0"/>
          <w:rtl/>
          <w:lang w:eastAsia="en-US"/>
        </w:rPr>
        <w:t>ﯩ</w:t>
      </w:r>
      <w:r w:rsidRPr="00E51D72">
        <w:rPr>
          <w:rFonts w:ascii="QCF_BSML" w:hAnsi="QCF_BSML" w:cs="QCF_BSML"/>
          <w:noProof w:val="0"/>
          <w:rtl/>
          <w:lang w:eastAsia="en-US"/>
        </w:rPr>
        <w:t>ﭼ</w:t>
      </w:r>
      <w:r w:rsidRPr="00E51D72">
        <w:rPr>
          <w:rFonts w:ascii="Traditional Arabic" w:hAnsi="Traditional Arabic"/>
          <w:rtl/>
        </w:rPr>
        <w:t>وهذا في مواضع كثيرة... فالعُرف يكون مناطاً للأحكام في مواضع كثيرة</w:t>
      </w:r>
      <w:r>
        <w:rPr>
          <w:rFonts w:ascii="Traditional Arabic" w:hAnsi="Traditional Arabic" w:hint="cs"/>
          <w:rtl/>
        </w:rPr>
        <w:t>؛</w:t>
      </w:r>
      <w:r w:rsidRPr="00E51D72">
        <w:rPr>
          <w:rFonts w:ascii="Traditional Arabic" w:hAnsi="Traditional Arabic"/>
          <w:rtl/>
        </w:rPr>
        <w:t xml:space="preserve"> لقوله</w:t>
      </w:r>
      <w:r w:rsidRPr="00E51D72">
        <w:rPr>
          <w:rFonts w:ascii="Lotus Linotype" w:hAnsi="Lotus Linotype" w:cs="Lotus Linotype"/>
          <w:b/>
          <w:bCs/>
          <w:rtl/>
        </w:rPr>
        <w:t>:</w:t>
      </w:r>
      <w:r w:rsidRPr="00E51D72">
        <w:rPr>
          <w:rFonts w:ascii="QCF_BSML" w:hAnsi="QCF_BSML" w:cs="QCF_BSML"/>
          <w:noProof w:val="0"/>
          <w:rtl/>
          <w:lang w:eastAsia="en-US"/>
        </w:rPr>
        <w:t xml:space="preserve">ﭽ </w:t>
      </w:r>
      <w:r w:rsidRPr="00E51D72">
        <w:rPr>
          <w:rFonts w:ascii="QCF_P027" w:hAnsi="QCF_P027" w:cs="QCF_P027"/>
          <w:noProof w:val="0"/>
          <w:rtl/>
          <w:lang w:eastAsia="en-US"/>
        </w:rPr>
        <w:t>ﯩ</w:t>
      </w:r>
      <w:r w:rsidRPr="00E51D72">
        <w:rPr>
          <w:rFonts w:ascii="QCF_BSML" w:hAnsi="QCF_BSML" w:cs="QCF_BSML"/>
          <w:noProof w:val="0"/>
          <w:rtl/>
          <w:lang w:eastAsia="en-US"/>
        </w:rPr>
        <w:t>ﭼ</w:t>
      </w:r>
      <w:r w:rsidRPr="00E51D72">
        <w:rPr>
          <w:rFonts w:ascii="Lotus Linotype" w:hAnsi="Lotus Linotype" w:cs="Lotus Linotype"/>
          <w:b/>
          <w:bCs/>
          <w:rtl/>
        </w:rPr>
        <w:t>)</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423"/>
      </w:r>
      <w:r w:rsidRPr="00C821A1">
        <w:rPr>
          <w:rFonts w:ascii="Traditional Arabic" w:hAnsi="Traditional Arabic"/>
          <w:szCs w:val="32"/>
          <w:vertAlign w:val="superscript"/>
          <w:rtl/>
        </w:rPr>
        <w:t>)</w:t>
      </w:r>
      <w:r w:rsidRPr="00E51D72">
        <w:rPr>
          <w:rFonts w:ascii="Traditional Arabic" w:hAnsi="Traditional Arabic"/>
          <w:rtl/>
        </w:rPr>
        <w:t>.</w:t>
      </w:r>
    </w:p>
    <w:p w:rsidR="00D80F33" w:rsidRPr="00D80F33" w:rsidRDefault="00D80F33" w:rsidP="00D80F33">
      <w:pPr>
        <w:spacing w:line="640" w:lineRule="exact"/>
        <w:ind w:firstLine="0"/>
        <w:jc w:val="lowKashida"/>
        <w:rPr>
          <w:rFonts w:ascii="Traditional Arabic" w:hAnsi="Traditional Arabic"/>
          <w:rtl/>
        </w:rPr>
      </w:pPr>
      <w:r>
        <w:rPr>
          <w:rFonts w:ascii="Traditional Arabic" w:hAnsi="Traditional Arabic" w:hint="cs"/>
          <w:rtl/>
        </w:rPr>
        <w:t xml:space="preserve">(4)    </w:t>
      </w:r>
      <w:r w:rsidRPr="00D80F33">
        <w:rPr>
          <w:rFonts w:ascii="Traditional Arabic" w:hAnsi="Traditional Arabic" w:hint="cs"/>
          <w:rtl/>
        </w:rPr>
        <w:t>قوله تعالى:</w:t>
      </w:r>
      <w:r>
        <w:rPr>
          <w:rFonts w:ascii="Traditional Arabic" w:hAnsi="Traditional Arabic" w:hint="cs"/>
          <w:rtl/>
        </w:rPr>
        <w:t xml:space="preserve"> </w:t>
      </w:r>
      <w:r w:rsidRPr="00D80F33">
        <w:rPr>
          <w:rFonts w:ascii="QCF_BSML" w:hAnsi="QCF_BSML" w:cs="QCF_BSML"/>
          <w:noProof w:val="0"/>
          <w:rtl/>
          <w:lang w:eastAsia="en-US"/>
        </w:rPr>
        <w:t xml:space="preserve"> ﭽ</w:t>
      </w:r>
      <w:r w:rsidRPr="00D80F33">
        <w:rPr>
          <w:rFonts w:ascii="QCF_P037" w:hAnsi="QCF_P037" w:cs="QCF_P037"/>
          <w:noProof w:val="0"/>
          <w:rtl/>
          <w:lang w:eastAsia="en-US"/>
        </w:rPr>
        <w:t>ﮪ</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ﮫ</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ﮬ</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ﮭ</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ﮮ</w:t>
      </w:r>
      <w:r w:rsidRPr="00D80F33">
        <w:rPr>
          <w:rFonts w:ascii="QCF_P037" w:hAnsi="QCF_P037" w:cs="QCF_P037" w:hint="cs"/>
          <w:noProof w:val="0"/>
          <w:rtl/>
          <w:lang w:eastAsia="en-US"/>
        </w:rPr>
        <w:t xml:space="preserve"> </w:t>
      </w:r>
      <w:r w:rsidRPr="00D80F33">
        <w:rPr>
          <w:rFonts w:ascii="QCF_P037" w:hAnsi="QCF_P037" w:cs="QCF_P037"/>
          <w:noProof w:val="0"/>
          <w:color w:val="0000A5"/>
          <w:rtl/>
          <w:lang w:eastAsia="en-US"/>
        </w:rPr>
        <w:t>ﮯ</w:t>
      </w:r>
      <w:r w:rsidRPr="00D80F33">
        <w:rPr>
          <w:rFonts w:ascii="QCF_P037" w:hAnsi="QCF_P037" w:cs="QCF_P037"/>
          <w:noProof w:val="0"/>
          <w:rtl/>
          <w:lang w:eastAsia="en-US"/>
        </w:rPr>
        <w:t>ﮰ</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ﮱ</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ﯓ</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ﯔ</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ﯕ</w:t>
      </w:r>
      <w:r w:rsidRPr="00D80F33">
        <w:rPr>
          <w:rFonts w:ascii="QCF_P037" w:hAnsi="QCF_P037" w:cs="QCF_P037" w:hint="cs"/>
          <w:noProof w:val="0"/>
          <w:rtl/>
          <w:lang w:eastAsia="en-US"/>
        </w:rPr>
        <w:t xml:space="preserve"> </w:t>
      </w:r>
      <w:r w:rsidRPr="00D80F33">
        <w:rPr>
          <w:rFonts w:ascii="QCF_P037" w:hAnsi="QCF_P037" w:cs="QCF_P037"/>
          <w:noProof w:val="0"/>
          <w:color w:val="0000A5"/>
          <w:rtl/>
          <w:lang w:eastAsia="en-US"/>
        </w:rPr>
        <w:t>ﯖ</w:t>
      </w:r>
      <w:r w:rsidRPr="00D80F33">
        <w:rPr>
          <w:rFonts w:ascii="QCF_P037" w:hAnsi="QCF_P037" w:cs="QCF_P037"/>
          <w:noProof w:val="0"/>
          <w:rtl/>
          <w:lang w:eastAsia="en-US"/>
        </w:rPr>
        <w:t>ﯗ</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ﯘ</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ﯙ</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ﯚ</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ﯛ</w:t>
      </w:r>
      <w:r w:rsidRPr="00D80F33">
        <w:rPr>
          <w:rFonts w:ascii="QCF_P037" w:hAnsi="QCF_P037" w:cs="QCF_P037" w:hint="cs"/>
          <w:noProof w:val="0"/>
          <w:rtl/>
          <w:lang w:eastAsia="en-US"/>
        </w:rPr>
        <w:t xml:space="preserve"> </w:t>
      </w:r>
      <w:r w:rsidRPr="00D80F33">
        <w:rPr>
          <w:rFonts w:ascii="QCF_P037" w:hAnsi="QCF_P037" w:cs="QCF_P037"/>
          <w:noProof w:val="0"/>
          <w:rtl/>
          <w:lang w:eastAsia="en-US"/>
        </w:rPr>
        <w:t>ﯜ</w:t>
      </w:r>
      <w:r w:rsidRPr="00D80F33">
        <w:rPr>
          <w:rFonts w:ascii="QCF_BSML" w:hAnsi="QCF_BSML" w:cs="QCF_BSML"/>
          <w:noProof w:val="0"/>
          <w:rtl/>
          <w:lang w:eastAsia="en-US"/>
        </w:rPr>
        <w:t>ﭼ</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البقرة: ٢٣٣</w:t>
      </w:r>
      <w:r w:rsidRPr="00D80F33">
        <w:rPr>
          <w:rFonts w:ascii="Traditional Arabic" w:hAnsi="Traditional Arabic" w:hint="cs"/>
          <w:noProof w:val="0"/>
          <w:color w:val="auto"/>
          <w:rtl/>
          <w:lang w:eastAsia="en-US"/>
        </w:rPr>
        <w:t>].</w:t>
      </w:r>
    </w:p>
    <w:p w:rsidR="00D80F33" w:rsidRDefault="00D80F33" w:rsidP="00D80F33">
      <w:pPr>
        <w:pStyle w:val="53"/>
        <w:rPr>
          <w:rtl/>
        </w:rPr>
      </w:pPr>
      <w:r w:rsidRPr="00A869AA">
        <w:rPr>
          <w:rtl/>
        </w:rPr>
        <w:t>وجه الدلالة:</w:t>
      </w:r>
    </w:p>
    <w:p w:rsidR="00D80F33" w:rsidRPr="00E51D72" w:rsidRDefault="00D80F33" w:rsidP="00D80F33">
      <w:pPr>
        <w:spacing w:line="640" w:lineRule="exact"/>
        <w:ind w:firstLine="720"/>
        <w:jc w:val="lowKashida"/>
        <w:rPr>
          <w:rFonts w:ascii="Traditional Arabic" w:hAnsi="Traditional Arabic"/>
          <w:rtl/>
        </w:rPr>
      </w:pPr>
      <w:r w:rsidRPr="00E51D72">
        <w:rPr>
          <w:rFonts w:ascii="Traditional Arabic" w:hAnsi="Traditional Arabic"/>
          <w:rtl/>
        </w:rPr>
        <w:t>يقول الشيخ ابن عثمين</w:t>
      </w:r>
      <w:r>
        <w:rPr>
          <w:rFonts w:ascii="Traditional Arabic" w:hAnsi="Traditional Arabic" w:hint="cs"/>
          <w:rtl/>
        </w:rPr>
        <w:t>_</w:t>
      </w:r>
      <w:r w:rsidRPr="005D5694">
        <w:rPr>
          <w:rFonts w:ascii="Traditional Arabic" w:hAnsi="Traditional Arabic" w:cs="CTraditional Arabic" w:hint="cs"/>
          <w:rtl/>
        </w:rPr>
        <w:t>/</w:t>
      </w:r>
      <w:r>
        <w:rPr>
          <w:rFonts w:ascii="Traditional Arabic" w:hAnsi="Traditional Arabic" w:hint="cs"/>
          <w:rtl/>
        </w:rPr>
        <w:t>_</w:t>
      </w:r>
      <w:r w:rsidRPr="00E51D72">
        <w:rPr>
          <w:rFonts w:ascii="Traditional Arabic" w:hAnsi="Traditional Arabic"/>
          <w:rtl/>
        </w:rPr>
        <w:t>تعليقاً على هذه الآية : (</w:t>
      </w:r>
      <w:r w:rsidR="00872DD6">
        <w:rPr>
          <w:rFonts w:ascii="Traditional Arabic" w:hAnsi="Traditional Arabic" w:hint="cs"/>
          <w:rtl/>
        </w:rPr>
        <w:t>...</w:t>
      </w:r>
      <w:r w:rsidRPr="00E51D72">
        <w:rPr>
          <w:rFonts w:ascii="Traditional Arabic" w:hAnsi="Traditional Arabic"/>
          <w:rtl/>
        </w:rPr>
        <w:t>أن العُرف مرجعٌ يُرجع إليه في الأحكام لقوله تعالى:</w:t>
      </w:r>
      <w:r w:rsidRPr="00E51D72">
        <w:rPr>
          <w:rFonts w:ascii="QCF_BSML" w:hAnsi="QCF_BSML" w:cs="QCF_BSML"/>
          <w:noProof w:val="0"/>
          <w:rtl/>
          <w:lang w:eastAsia="en-US"/>
        </w:rPr>
        <w:t xml:space="preserve">ﭽ </w:t>
      </w:r>
      <w:r w:rsidRPr="00E51D72">
        <w:rPr>
          <w:rFonts w:ascii="QCF_P027" w:hAnsi="QCF_P027" w:cs="QCF_P027"/>
          <w:noProof w:val="0"/>
          <w:rtl/>
          <w:lang w:eastAsia="en-US"/>
        </w:rPr>
        <w:t>ﯩ</w:t>
      </w:r>
      <w:r w:rsidRPr="00E51D72">
        <w:rPr>
          <w:rFonts w:ascii="QCF_BSML" w:hAnsi="QCF_BSML" w:cs="QCF_BSML"/>
          <w:noProof w:val="0"/>
          <w:rtl/>
          <w:lang w:eastAsia="en-US"/>
        </w:rPr>
        <w:t>ﭼ</w:t>
      </w:r>
      <w:r w:rsidRPr="00E51D72">
        <w:rPr>
          <w:rFonts w:ascii="Traditional Arabic" w:hAnsi="Traditional Arabic"/>
          <w:rtl/>
        </w:rPr>
        <w:t>)</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424"/>
      </w:r>
      <w:r w:rsidRPr="00C821A1">
        <w:rPr>
          <w:rFonts w:ascii="Traditional Arabic" w:hAnsi="Traditional Arabic"/>
          <w:szCs w:val="32"/>
          <w:vertAlign w:val="superscript"/>
          <w:rtl/>
        </w:rPr>
        <w:t>)</w:t>
      </w:r>
      <w:r w:rsidRPr="00E51D72">
        <w:rPr>
          <w:rFonts w:ascii="Traditional Arabic" w:hAnsi="Traditional Arabic"/>
          <w:rtl/>
        </w:rPr>
        <w:t>.</w:t>
      </w:r>
    </w:p>
    <w:p w:rsidR="00D80F33" w:rsidRPr="00D80F33" w:rsidRDefault="00D80F33" w:rsidP="00D80F33">
      <w:pPr>
        <w:ind w:firstLine="0"/>
        <w:rPr>
          <w:rFonts w:ascii="Traditional Arabic" w:hAnsi="Traditional Arabic"/>
          <w:color w:val="auto"/>
        </w:rPr>
      </w:pPr>
      <w:r>
        <w:rPr>
          <w:rFonts w:ascii="Traditional Arabic" w:hAnsi="Traditional Arabic" w:hint="cs"/>
          <w:noProof w:val="0"/>
          <w:color w:val="auto"/>
          <w:rtl/>
          <w:lang w:eastAsia="en-US"/>
        </w:rPr>
        <w:t xml:space="preserve">(5)    </w:t>
      </w:r>
      <w:r w:rsidRPr="00D80F33">
        <w:rPr>
          <w:rFonts w:ascii="Traditional Arabic" w:hAnsi="Traditional Arabic" w:hint="cs"/>
          <w:noProof w:val="0"/>
          <w:color w:val="auto"/>
          <w:rtl/>
          <w:lang w:eastAsia="en-US"/>
        </w:rPr>
        <w:t>حديث</w:t>
      </w:r>
      <w:r w:rsidRPr="00D80F33">
        <w:rPr>
          <w:rFonts w:ascii="Traditional Arabic" w:hAnsi="Traditional Arabic"/>
          <w:noProof w:val="0"/>
          <w:color w:val="auto"/>
          <w:rtl/>
          <w:lang w:eastAsia="en-US"/>
        </w:rPr>
        <w:t xml:space="preserve"> عائشة </w:t>
      </w:r>
      <w:r w:rsidRPr="00D80F33">
        <w:rPr>
          <w:rFonts w:ascii="Traditional Arabic" w:hAnsi="Traditional Arabic" w:hint="cs"/>
          <w:noProof w:val="0"/>
          <w:color w:val="auto"/>
          <w:rtl/>
          <w:lang w:eastAsia="en-US"/>
        </w:rPr>
        <w:t>_</w:t>
      </w:r>
      <w:r w:rsidRPr="00D80F33">
        <w:rPr>
          <w:rFonts w:ascii="Traditional Arabic" w:hAnsi="Traditional Arabic" w:cs="CTraditional Arabic" w:hint="cs"/>
          <w:noProof w:val="0"/>
          <w:color w:val="auto"/>
          <w:rtl/>
          <w:lang w:eastAsia="en-US"/>
        </w:rPr>
        <w:t>ل</w:t>
      </w:r>
      <w:r w:rsidRPr="00D80F33">
        <w:rPr>
          <w:rFonts w:ascii="Traditional Arabic" w:hAnsi="Traditional Arabic" w:hint="cs"/>
          <w:noProof w:val="0"/>
          <w:color w:val="auto"/>
          <w:rtl/>
          <w:lang w:eastAsia="en-US"/>
        </w:rPr>
        <w:t>_</w:t>
      </w:r>
      <w:r w:rsidRPr="00D80F33">
        <w:rPr>
          <w:rFonts w:ascii="Traditional Arabic" w:hAnsi="Traditional Arabic"/>
          <w:noProof w:val="0"/>
          <w:color w:val="auto"/>
          <w:rtl/>
          <w:lang w:eastAsia="en-US"/>
        </w:rPr>
        <w:t xml:space="preserve"> قالت: دخلت</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ه</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د</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بنت</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ع</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ت</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ب</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ة</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-امرأة أبي سفيان- على رسول الله</w:t>
      </w:r>
      <w:r w:rsidRPr="00D80F33">
        <w:rPr>
          <w:rFonts w:ascii="Traditional Arabic" w:hAnsi="Traditional Arabic" w:hint="cs"/>
          <w:noProof w:val="0"/>
          <w:color w:val="auto"/>
          <w:rtl/>
          <w:lang w:eastAsia="en-US"/>
        </w:rPr>
        <w:t xml:space="preserve"> </w:t>
      </w:r>
      <w:r>
        <w:rPr>
          <w:rtl/>
          <w:lang w:eastAsia="en-US"/>
        </w:rPr>
        <w:sym w:font="AGA Arabesque" w:char="F072"/>
      </w:r>
      <w:r w:rsidR="00AB0B9E" w:rsidRPr="00D80F33">
        <w:rPr>
          <w:rFonts w:ascii="Traditional Arabic" w:hAnsi="Traditional Arabic"/>
          <w:noProof w:val="0"/>
          <w:color w:val="auto"/>
          <w:rtl/>
          <w:lang w:eastAsia="en-US"/>
        </w:rPr>
        <w:fldChar w:fldCharType="begin"/>
      </w:r>
      <w:r w:rsidRPr="00C85F0F">
        <w:instrText>XE</w:instrText>
      </w:r>
      <w:r w:rsidRPr="00C85F0F">
        <w:rPr>
          <w:rtl/>
        </w:rPr>
        <w:instrText xml:space="preserve"> "</w:instrText>
      </w:r>
      <w:r w:rsidRPr="00D80F33">
        <w:rPr>
          <w:rFonts w:ascii="Traditional Arabic" w:hAnsi="Traditional Arabic"/>
          <w:noProof w:val="0"/>
          <w:color w:val="auto"/>
          <w:rtl/>
          <w:lang w:eastAsia="en-US"/>
        </w:rPr>
        <w:instrText>خ</w:instrText>
      </w:r>
      <w:r w:rsidRPr="00D80F33">
        <w:rPr>
          <w:rFonts w:ascii="Traditional Arabic" w:hAnsi="Traditional Arabic" w:hint="cs"/>
          <w:noProof w:val="0"/>
          <w:color w:val="auto"/>
          <w:rtl/>
          <w:lang w:eastAsia="en-US"/>
        </w:rPr>
        <w:instrText>ُ</w:instrText>
      </w:r>
      <w:r w:rsidRPr="00D80F33">
        <w:rPr>
          <w:rFonts w:ascii="Traditional Arabic" w:hAnsi="Traditional Arabic"/>
          <w:noProof w:val="0"/>
          <w:color w:val="auto"/>
          <w:rtl/>
          <w:lang w:eastAsia="en-US"/>
        </w:rPr>
        <w:instrText>ذي م</w:instrText>
      </w:r>
      <w:r w:rsidRPr="00D80F33">
        <w:rPr>
          <w:rFonts w:ascii="Traditional Arabic" w:hAnsi="Traditional Arabic" w:hint="cs"/>
          <w:noProof w:val="0"/>
          <w:color w:val="auto"/>
          <w:rtl/>
          <w:lang w:eastAsia="en-US"/>
        </w:rPr>
        <w:instrText>ِ</w:instrText>
      </w:r>
      <w:r w:rsidRPr="00D80F33">
        <w:rPr>
          <w:rFonts w:ascii="Traditional Arabic" w:hAnsi="Traditional Arabic"/>
          <w:noProof w:val="0"/>
          <w:color w:val="auto"/>
          <w:rtl/>
          <w:lang w:eastAsia="en-US"/>
        </w:rPr>
        <w:instrText>ن مال</w:instrText>
      </w:r>
      <w:r w:rsidRPr="00D80F33">
        <w:rPr>
          <w:rFonts w:ascii="Traditional Arabic" w:hAnsi="Traditional Arabic" w:hint="cs"/>
          <w:noProof w:val="0"/>
          <w:color w:val="auto"/>
          <w:rtl/>
          <w:lang w:eastAsia="en-US"/>
        </w:rPr>
        <w:instrText>ِ</w:instrText>
      </w:r>
      <w:r w:rsidRPr="00D80F33">
        <w:rPr>
          <w:rFonts w:ascii="Traditional Arabic" w:hAnsi="Traditional Arabic"/>
          <w:noProof w:val="0"/>
          <w:color w:val="auto"/>
          <w:rtl/>
          <w:lang w:eastAsia="en-US"/>
        </w:rPr>
        <w:instrText>ه بالمعروف ما يكفيك، ويكفي ب</w:instrText>
      </w:r>
      <w:r w:rsidRPr="00D80F33">
        <w:rPr>
          <w:rFonts w:ascii="Traditional Arabic" w:hAnsi="Traditional Arabic" w:hint="cs"/>
          <w:noProof w:val="0"/>
          <w:color w:val="auto"/>
          <w:rtl/>
          <w:lang w:eastAsia="en-US"/>
        </w:rPr>
        <w:instrText>َ</w:instrText>
      </w:r>
      <w:r w:rsidRPr="00D80F33">
        <w:rPr>
          <w:rFonts w:ascii="Traditional Arabic" w:hAnsi="Traditional Arabic"/>
          <w:noProof w:val="0"/>
          <w:color w:val="auto"/>
          <w:rtl/>
          <w:lang w:eastAsia="en-US"/>
        </w:rPr>
        <w:instrText>نيك</w:instrText>
      </w:r>
      <w:r w:rsidRPr="00C85F0F">
        <w:rPr>
          <w:rtl/>
        </w:rPr>
        <w:instrText>" \</w:instrText>
      </w:r>
      <w:r w:rsidRPr="00C85F0F">
        <w:instrText>f</w:instrText>
      </w:r>
      <w:r>
        <w:instrText>h</w:instrText>
      </w:r>
      <w:r w:rsidR="00AB0B9E" w:rsidRPr="00D80F33">
        <w:rPr>
          <w:rFonts w:ascii="Traditional Arabic" w:hAnsi="Traditional Arabic"/>
          <w:noProof w:val="0"/>
          <w:color w:val="auto"/>
          <w:rtl/>
          <w:lang w:eastAsia="en-US"/>
        </w:rPr>
        <w:fldChar w:fldCharType="end"/>
      </w:r>
      <w:r w:rsidRPr="00D80F33">
        <w:rPr>
          <w:rFonts w:ascii="Traditional Arabic" w:hAnsi="Traditional Arabic"/>
          <w:noProof w:val="0"/>
          <w:color w:val="auto"/>
          <w:rtl/>
          <w:lang w:eastAsia="en-US"/>
        </w:rPr>
        <w:t xml:space="preserve"> فقالت: يا رسول الله</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إن أبا سفيان رجل</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ش</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حيح</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لا ي</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عطيني من النفقة ما ي</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ك</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فيني ويكفي ب</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ي</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إلا ما أخذت</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 من ماله بغير ع</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لمه، فهل علي في ذلك من ج</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ناح؟ فقال: "خ</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ذي م</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 مال</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 xml:space="preserve">ه </w:t>
      </w:r>
      <w:r w:rsidRPr="00D80F33">
        <w:rPr>
          <w:rFonts w:ascii="Traditional Arabic" w:hAnsi="Traditional Arabic"/>
          <w:noProof w:val="0"/>
          <w:color w:val="auto"/>
          <w:rtl/>
          <w:lang w:eastAsia="en-US"/>
        </w:rPr>
        <w:lastRenderedPageBreak/>
        <w:t>بالمعروف ما يكفيك، ويكفي ب</w:t>
      </w:r>
      <w:r w:rsidRPr="00D80F33">
        <w:rPr>
          <w:rFonts w:ascii="Traditional Arabic" w:hAnsi="Traditional Arabic" w:hint="cs"/>
          <w:noProof w:val="0"/>
          <w:color w:val="auto"/>
          <w:rtl/>
          <w:lang w:eastAsia="en-US"/>
        </w:rPr>
        <w:t>َ</w:t>
      </w:r>
      <w:r w:rsidRPr="00D80F33">
        <w:rPr>
          <w:rFonts w:ascii="Traditional Arabic" w:hAnsi="Traditional Arabic"/>
          <w:noProof w:val="0"/>
          <w:color w:val="auto"/>
          <w:rtl/>
          <w:lang w:eastAsia="en-US"/>
        </w:rPr>
        <w:t>نيك"</w:t>
      </w:r>
      <w:r w:rsidRPr="00D80F33">
        <w:rPr>
          <w:rStyle w:val="af1"/>
          <w:szCs w:val="32"/>
          <w:rtl/>
        </w:rPr>
        <w:t>(</w:t>
      </w:r>
      <w:r w:rsidRPr="00C821A1">
        <w:rPr>
          <w:rStyle w:val="af1"/>
          <w:szCs w:val="32"/>
          <w:rtl/>
        </w:rPr>
        <w:footnoteReference w:id="425"/>
      </w:r>
      <w:r w:rsidRPr="00D80F33">
        <w:rPr>
          <w:rStyle w:val="af1"/>
          <w:szCs w:val="32"/>
          <w:rtl/>
        </w:rPr>
        <w:t>)</w:t>
      </w:r>
      <w:r w:rsidRPr="00D80F33">
        <w:rPr>
          <w:rFonts w:ascii="Traditional Arabic" w:hAnsi="Traditional Arabic"/>
          <w:noProof w:val="0"/>
          <w:color w:val="auto"/>
          <w:rtl/>
          <w:lang w:eastAsia="en-US"/>
        </w:rPr>
        <w:t>.</w:t>
      </w:r>
    </w:p>
    <w:p w:rsidR="00D80F33" w:rsidRPr="00DD3AF7" w:rsidRDefault="00D80F33" w:rsidP="00D80F33">
      <w:pPr>
        <w:pStyle w:val="53"/>
        <w:rPr>
          <w:rtl/>
        </w:rPr>
      </w:pPr>
      <w:r w:rsidRPr="00DD3AF7">
        <w:rPr>
          <w:rFonts w:hint="cs"/>
          <w:rtl/>
        </w:rPr>
        <w:t>وجه الدلالة:</w:t>
      </w:r>
    </w:p>
    <w:p w:rsidR="00D80F33" w:rsidRPr="00872DD6" w:rsidRDefault="00D80F33" w:rsidP="00A8347C">
      <w:pPr>
        <w:pStyle w:val="aff3"/>
        <w:rPr>
          <w:rtl/>
        </w:rPr>
      </w:pPr>
      <w:r w:rsidRPr="00872DD6">
        <w:rPr>
          <w:rFonts w:hint="cs"/>
          <w:rtl/>
        </w:rPr>
        <w:t xml:space="preserve">    </w:t>
      </w:r>
      <w:r w:rsidR="00FE6214" w:rsidRPr="00872DD6">
        <w:rPr>
          <w:rFonts w:hint="cs"/>
          <w:rtl/>
        </w:rPr>
        <w:t>معنى قوله صلى الله عليه وسلم:</w:t>
      </w:r>
      <w:r w:rsidR="00DD044B" w:rsidRPr="00872DD6">
        <w:rPr>
          <w:rFonts w:hint="cs"/>
          <w:rtl/>
        </w:rPr>
        <w:t xml:space="preserve"> "خذي من ماله بالمعروف"، خذي ما </w:t>
      </w:r>
      <w:r w:rsidR="00FE6214" w:rsidRPr="00872DD6">
        <w:rPr>
          <w:rFonts w:hint="cs"/>
          <w:rtl/>
        </w:rPr>
        <w:t>يكفيك ويكفي بنيك أخذاً مصحوباً بما جرت به العادة، ويستفاد من ذلك الرجوع</w:t>
      </w:r>
      <w:r w:rsidR="00872DD6" w:rsidRPr="00872DD6">
        <w:rPr>
          <w:rFonts w:hint="cs"/>
          <w:rtl/>
        </w:rPr>
        <w:t>ُ</w:t>
      </w:r>
      <w:r w:rsidR="00FE6214" w:rsidRPr="00872DD6">
        <w:rPr>
          <w:rFonts w:hint="cs"/>
          <w:rtl/>
        </w:rPr>
        <w:t xml:space="preserve"> إلى العرف واعتبار</w:t>
      </w:r>
      <w:r w:rsidR="00872DD6" w:rsidRPr="00872DD6">
        <w:rPr>
          <w:rFonts w:hint="cs"/>
          <w:rtl/>
        </w:rPr>
        <w:t>ُ</w:t>
      </w:r>
      <w:r w:rsidR="00FE6214" w:rsidRPr="00872DD6">
        <w:rPr>
          <w:rFonts w:hint="cs"/>
          <w:rtl/>
        </w:rPr>
        <w:t>ه</w:t>
      </w:r>
      <w:r w:rsidRPr="00872DD6">
        <w:rPr>
          <w:rStyle w:val="af1"/>
          <w:b w:val="0"/>
          <w:bCs w:val="0"/>
          <w:rtl/>
        </w:rPr>
        <w:t>(</w:t>
      </w:r>
      <w:r w:rsidRPr="00872DD6">
        <w:rPr>
          <w:rStyle w:val="af1"/>
          <w:b w:val="0"/>
          <w:bCs w:val="0"/>
          <w:rtl/>
        </w:rPr>
        <w:footnoteReference w:id="426"/>
      </w:r>
      <w:r w:rsidRPr="00872DD6">
        <w:rPr>
          <w:rStyle w:val="af1"/>
          <w:b w:val="0"/>
          <w:bCs w:val="0"/>
          <w:rtl/>
        </w:rPr>
        <w:t>)</w:t>
      </w:r>
      <w:r w:rsidRPr="00872DD6">
        <w:rPr>
          <w:rFonts w:hint="cs"/>
          <w:rtl/>
        </w:rPr>
        <w:t>.</w:t>
      </w:r>
    </w:p>
    <w:p w:rsidR="001F7E56" w:rsidRPr="00D80F33" w:rsidRDefault="00D80F33" w:rsidP="00D80F33">
      <w:pPr>
        <w:ind w:firstLine="0"/>
        <w:rPr>
          <w:rFonts w:ascii="Traditional Arabic" w:hAnsi="Traditional Arabic"/>
          <w:color w:val="auto"/>
        </w:rPr>
      </w:pPr>
      <w:r>
        <w:rPr>
          <w:rFonts w:ascii="Traditional Arabic" w:hAnsi="Traditional Arabic" w:hint="cs"/>
          <w:color w:val="auto"/>
          <w:rtl/>
        </w:rPr>
        <w:t xml:space="preserve">(6)    </w:t>
      </w:r>
      <w:r w:rsidR="008C10FE" w:rsidRPr="00D80F33">
        <w:rPr>
          <w:rFonts w:ascii="Traditional Arabic" w:hAnsi="Traditional Arabic" w:hint="cs"/>
          <w:color w:val="auto"/>
          <w:rtl/>
        </w:rPr>
        <w:t>حديث</w:t>
      </w:r>
      <w:r w:rsidR="001F7E56" w:rsidRPr="00D80F33">
        <w:rPr>
          <w:rFonts w:ascii="Traditional Arabic" w:hAnsi="Traditional Arabic" w:hint="cs"/>
          <w:color w:val="auto"/>
          <w:rtl/>
        </w:rPr>
        <w:t xml:space="preserve"> البرَاءِ بن عاِزبٍ </w:t>
      </w:r>
      <w:r w:rsidR="008C10FE" w:rsidRPr="00D80F33">
        <w:rPr>
          <w:rFonts w:ascii="Traditional Arabic" w:hAnsi="Traditional Arabic" w:hint="cs"/>
          <w:color w:val="auto"/>
          <w:rtl/>
        </w:rPr>
        <w:t>_</w:t>
      </w:r>
      <w:r w:rsidR="000C26E6" w:rsidRPr="00D80F33">
        <w:rPr>
          <w:rFonts w:ascii="Traditional Arabic" w:hAnsi="Traditional Arabic" w:hint="cs"/>
          <w:rtl/>
        </w:rPr>
        <w:t>رضي الله عنه</w:t>
      </w:r>
      <w:r w:rsidR="008C10FE" w:rsidRPr="00D80F33">
        <w:rPr>
          <w:rFonts w:ascii="Traditional Arabic" w:hAnsi="Traditional Arabic" w:hint="cs"/>
          <w:color w:val="auto"/>
          <w:rtl/>
        </w:rPr>
        <w:t>_</w:t>
      </w:r>
      <w:r w:rsidR="001F7E56" w:rsidRPr="00D80F33">
        <w:rPr>
          <w:rFonts w:ascii="Traditional Arabic" w:hAnsi="Traditional Arabic" w:hint="cs"/>
          <w:color w:val="auto"/>
          <w:rtl/>
        </w:rPr>
        <w:t xml:space="preserve"> قال: </w:t>
      </w:r>
      <w:r w:rsidR="001F7E56" w:rsidRPr="00D80F33">
        <w:rPr>
          <w:rFonts w:ascii="Traditional Arabic" w:hAnsi="Traditional Arabic"/>
          <w:noProof w:val="0"/>
          <w:rtl/>
          <w:lang w:eastAsia="en-US"/>
        </w:rPr>
        <w:t xml:space="preserve">قضى رسول الله </w:t>
      </w:r>
      <w:r w:rsidR="00F350DE" w:rsidRPr="00C85F0F">
        <w:rPr>
          <w:color w:val="auto"/>
          <w:rtl/>
          <w:lang w:eastAsia="en-US"/>
        </w:rPr>
        <w:sym w:font="AGA Arabesque" w:char="F072"/>
      </w:r>
      <w:r w:rsidR="001F7E56" w:rsidRPr="00D80F33">
        <w:rPr>
          <w:rFonts w:ascii="Traditional Arabic" w:hAnsi="Traditional Arabic"/>
          <w:noProof w:val="0"/>
          <w:rtl/>
          <w:lang w:eastAsia="en-US"/>
        </w:rPr>
        <w:t xml:space="preserve"> أن</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 xml:space="preserve"> ح</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ف</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ظ</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 xml:space="preserve"> الح</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وائ</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 xml:space="preserve">ط </w:t>
      </w:r>
      <w:r w:rsidR="001F7E56" w:rsidRPr="00D80F33">
        <w:rPr>
          <w:rFonts w:ascii="Traditional Arabic" w:hAnsi="Traditional Arabic"/>
          <w:noProof w:val="0"/>
          <w:color w:val="auto"/>
          <w:rtl/>
          <w:lang w:eastAsia="en-US"/>
        </w:rPr>
        <w:t>بالنهار</w:t>
      </w:r>
      <w:r w:rsidR="001F7E56" w:rsidRPr="00D80F33">
        <w:rPr>
          <w:rFonts w:ascii="Traditional Arabic" w:hAnsi="Traditional Arabic"/>
          <w:noProof w:val="0"/>
          <w:rtl/>
          <w:lang w:eastAsia="en-US"/>
        </w:rPr>
        <w:t xml:space="preserve"> على أهلها</w:t>
      </w:r>
      <w:r w:rsidR="00B76414" w:rsidRPr="00D80F33">
        <w:rPr>
          <w:rFonts w:ascii="Traditional Arabic" w:hAnsi="Traditional Arabic"/>
          <w:noProof w:val="0"/>
          <w:rtl/>
          <w:lang w:eastAsia="en-US"/>
        </w:rPr>
        <w:t>،</w:t>
      </w:r>
      <w:r w:rsidR="00AB0B9E" w:rsidRPr="00D80F33">
        <w:rPr>
          <w:rFonts w:ascii="Traditional Arabic" w:hAnsi="Traditional Arabic"/>
          <w:noProof w:val="0"/>
          <w:lang w:eastAsia="en-US"/>
        </w:rPr>
        <w:fldChar w:fldCharType="begin"/>
      </w:r>
      <w:r w:rsidR="00F350DE" w:rsidRPr="00C85F0F">
        <w:instrText>XE</w:instrText>
      </w:r>
      <w:r w:rsidR="00F350DE" w:rsidRPr="00C85F0F">
        <w:rPr>
          <w:rtl/>
        </w:rPr>
        <w:instrText xml:space="preserve"> "</w:instrText>
      </w:r>
      <w:r w:rsidR="00F350DE" w:rsidRPr="00D80F33">
        <w:rPr>
          <w:rFonts w:ascii="Traditional Arabic" w:hAnsi="Traditional Arabic"/>
          <w:noProof w:val="0"/>
          <w:rtl/>
          <w:lang w:eastAsia="en-US"/>
        </w:rPr>
        <w:instrText xml:space="preserve">قضى رسول الله </w:instrText>
      </w:r>
      <w:r w:rsidR="00F350DE" w:rsidRPr="00C85F0F">
        <w:rPr>
          <w:color w:val="auto"/>
          <w:rtl/>
          <w:lang w:eastAsia="en-US"/>
        </w:rPr>
        <w:sym w:font="AGA Arabesque" w:char="F072"/>
      </w:r>
      <w:r w:rsidR="00F350DE" w:rsidRPr="00D80F33">
        <w:rPr>
          <w:rFonts w:ascii="Traditional Arabic" w:hAnsi="Traditional Arabic"/>
          <w:noProof w:val="0"/>
          <w:rtl/>
          <w:lang w:eastAsia="en-US"/>
        </w:rPr>
        <w:instrText xml:space="preserve"> أن</w:instrText>
      </w:r>
      <w:r w:rsidR="00F350DE" w:rsidRPr="00D80F33">
        <w:rPr>
          <w:rFonts w:ascii="Traditional Arabic" w:hAnsi="Traditional Arabic" w:hint="cs"/>
          <w:noProof w:val="0"/>
          <w:rtl/>
          <w:lang w:eastAsia="en-US"/>
        </w:rPr>
        <w:instrText>َّ</w:instrText>
      </w:r>
      <w:r w:rsidR="00F350DE" w:rsidRPr="00D80F33">
        <w:rPr>
          <w:rFonts w:ascii="Traditional Arabic" w:hAnsi="Traditional Arabic"/>
          <w:noProof w:val="0"/>
          <w:rtl/>
          <w:lang w:eastAsia="en-US"/>
        </w:rPr>
        <w:instrText xml:space="preserve"> ح</w:instrText>
      </w:r>
      <w:r w:rsidR="00F350DE" w:rsidRPr="00D80F33">
        <w:rPr>
          <w:rFonts w:ascii="Traditional Arabic" w:hAnsi="Traditional Arabic" w:hint="cs"/>
          <w:noProof w:val="0"/>
          <w:rtl/>
          <w:lang w:eastAsia="en-US"/>
        </w:rPr>
        <w:instrText>ِ</w:instrText>
      </w:r>
      <w:r w:rsidR="00F350DE" w:rsidRPr="00D80F33">
        <w:rPr>
          <w:rFonts w:ascii="Traditional Arabic" w:hAnsi="Traditional Arabic"/>
          <w:noProof w:val="0"/>
          <w:rtl/>
          <w:lang w:eastAsia="en-US"/>
        </w:rPr>
        <w:instrText>ف</w:instrText>
      </w:r>
      <w:r w:rsidR="00F350DE" w:rsidRPr="00D80F33">
        <w:rPr>
          <w:rFonts w:ascii="Traditional Arabic" w:hAnsi="Traditional Arabic" w:hint="cs"/>
          <w:noProof w:val="0"/>
          <w:rtl/>
          <w:lang w:eastAsia="en-US"/>
        </w:rPr>
        <w:instrText>ْ</w:instrText>
      </w:r>
      <w:r w:rsidR="00F350DE" w:rsidRPr="00D80F33">
        <w:rPr>
          <w:rFonts w:ascii="Traditional Arabic" w:hAnsi="Traditional Arabic"/>
          <w:noProof w:val="0"/>
          <w:rtl/>
          <w:lang w:eastAsia="en-US"/>
        </w:rPr>
        <w:instrText>ظ</w:instrText>
      </w:r>
      <w:r w:rsidR="00F350DE" w:rsidRPr="00D80F33">
        <w:rPr>
          <w:rFonts w:ascii="Traditional Arabic" w:hAnsi="Traditional Arabic" w:hint="cs"/>
          <w:noProof w:val="0"/>
          <w:rtl/>
          <w:lang w:eastAsia="en-US"/>
        </w:rPr>
        <w:instrText>َ</w:instrText>
      </w:r>
      <w:r w:rsidR="00F350DE" w:rsidRPr="00D80F33">
        <w:rPr>
          <w:rFonts w:ascii="Traditional Arabic" w:hAnsi="Traditional Arabic"/>
          <w:noProof w:val="0"/>
          <w:rtl/>
          <w:lang w:eastAsia="en-US"/>
        </w:rPr>
        <w:instrText xml:space="preserve"> الح</w:instrText>
      </w:r>
      <w:r w:rsidR="00F350DE" w:rsidRPr="00D80F33">
        <w:rPr>
          <w:rFonts w:ascii="Traditional Arabic" w:hAnsi="Traditional Arabic" w:hint="cs"/>
          <w:noProof w:val="0"/>
          <w:rtl/>
          <w:lang w:eastAsia="en-US"/>
        </w:rPr>
        <w:instrText>َ</w:instrText>
      </w:r>
      <w:r w:rsidR="00F350DE" w:rsidRPr="00D80F33">
        <w:rPr>
          <w:rFonts w:ascii="Traditional Arabic" w:hAnsi="Traditional Arabic"/>
          <w:noProof w:val="0"/>
          <w:rtl/>
          <w:lang w:eastAsia="en-US"/>
        </w:rPr>
        <w:instrText>وائ</w:instrText>
      </w:r>
      <w:r w:rsidR="00F350DE" w:rsidRPr="00D80F33">
        <w:rPr>
          <w:rFonts w:ascii="Traditional Arabic" w:hAnsi="Traditional Arabic" w:hint="cs"/>
          <w:noProof w:val="0"/>
          <w:rtl/>
          <w:lang w:eastAsia="en-US"/>
        </w:rPr>
        <w:instrText>ِ</w:instrText>
      </w:r>
      <w:r w:rsidR="00F350DE" w:rsidRPr="00D80F33">
        <w:rPr>
          <w:rFonts w:ascii="Traditional Arabic" w:hAnsi="Traditional Arabic"/>
          <w:noProof w:val="0"/>
          <w:rtl/>
          <w:lang w:eastAsia="en-US"/>
        </w:rPr>
        <w:instrText xml:space="preserve">ط </w:instrText>
      </w:r>
      <w:r w:rsidR="00F350DE" w:rsidRPr="00D80F33">
        <w:rPr>
          <w:rFonts w:ascii="Traditional Arabic" w:hAnsi="Traditional Arabic"/>
          <w:noProof w:val="0"/>
          <w:color w:val="auto"/>
          <w:rtl/>
          <w:lang w:eastAsia="en-US"/>
        </w:rPr>
        <w:instrText>بالنهار</w:instrText>
      </w:r>
      <w:r w:rsidR="00F350DE" w:rsidRPr="00D80F33">
        <w:rPr>
          <w:rFonts w:ascii="Traditional Arabic" w:hAnsi="Traditional Arabic"/>
          <w:noProof w:val="0"/>
          <w:rtl/>
          <w:lang w:eastAsia="en-US"/>
        </w:rPr>
        <w:instrText xml:space="preserve"> على أهلها،</w:instrText>
      </w:r>
      <w:r w:rsidR="00F350DE" w:rsidRPr="00C85F0F">
        <w:rPr>
          <w:rtl/>
        </w:rPr>
        <w:instrText>" \</w:instrText>
      </w:r>
      <w:r w:rsidR="00F350DE" w:rsidRPr="00C85F0F">
        <w:instrText>fh</w:instrText>
      </w:r>
      <w:r w:rsidR="00AB0B9E" w:rsidRPr="00D80F33">
        <w:rPr>
          <w:rFonts w:ascii="Traditional Arabic" w:hAnsi="Traditional Arabic"/>
          <w:noProof w:val="0"/>
          <w:lang w:eastAsia="en-US"/>
        </w:rPr>
        <w:fldChar w:fldCharType="end"/>
      </w:r>
      <w:r w:rsidR="001F7E56" w:rsidRPr="00D80F33">
        <w:rPr>
          <w:rFonts w:ascii="Traditional Arabic" w:hAnsi="Traditional Arabic"/>
          <w:noProof w:val="0"/>
          <w:rtl/>
          <w:lang w:eastAsia="en-US"/>
        </w:rPr>
        <w:t xml:space="preserve"> وأن</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 xml:space="preserve"> ح</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فظ الماش</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ية بالليل على أهلها</w:t>
      </w:r>
      <w:r w:rsidR="00B76414" w:rsidRPr="00D80F33">
        <w:rPr>
          <w:rFonts w:ascii="Traditional Arabic" w:hAnsi="Traditional Arabic"/>
          <w:noProof w:val="0"/>
          <w:rtl/>
          <w:lang w:eastAsia="en-US"/>
        </w:rPr>
        <w:t>،</w:t>
      </w:r>
      <w:r w:rsidR="001F7E56" w:rsidRPr="00D80F33">
        <w:rPr>
          <w:rFonts w:ascii="Traditional Arabic" w:hAnsi="Traditional Arabic"/>
          <w:noProof w:val="0"/>
          <w:rtl/>
          <w:lang w:eastAsia="en-US"/>
        </w:rPr>
        <w:t xml:space="preserve"> وأن</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 xml:space="preserve"> على أهل الماشية ما أصابت</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 xml:space="preserve"> ماشيت</w:t>
      </w:r>
      <w:r w:rsidR="001F7E56" w:rsidRPr="00D80F33">
        <w:rPr>
          <w:rFonts w:ascii="Traditional Arabic" w:hAnsi="Traditional Arabic" w:hint="cs"/>
          <w:noProof w:val="0"/>
          <w:rtl/>
          <w:lang w:eastAsia="en-US"/>
        </w:rPr>
        <w:t>ُ</w:t>
      </w:r>
      <w:r w:rsidR="001F7E56" w:rsidRPr="00D80F33">
        <w:rPr>
          <w:rFonts w:ascii="Traditional Arabic" w:hAnsi="Traditional Arabic"/>
          <w:noProof w:val="0"/>
          <w:rtl/>
          <w:lang w:eastAsia="en-US"/>
        </w:rPr>
        <w:t>هم بالليل</w:t>
      </w:r>
      <w:r w:rsidR="001F7E56" w:rsidRPr="00D80F33">
        <w:rPr>
          <w:rStyle w:val="af1"/>
          <w:szCs w:val="32"/>
          <w:rtl/>
        </w:rPr>
        <w:t>(</w:t>
      </w:r>
      <w:r w:rsidR="001F7E56" w:rsidRPr="00C821A1">
        <w:rPr>
          <w:rStyle w:val="af1"/>
          <w:szCs w:val="32"/>
          <w:rtl/>
        </w:rPr>
        <w:footnoteReference w:id="427"/>
      </w:r>
      <w:r w:rsidR="001F7E56" w:rsidRPr="00D80F33">
        <w:rPr>
          <w:rStyle w:val="af1"/>
          <w:szCs w:val="32"/>
          <w:rtl/>
        </w:rPr>
        <w:t>)</w:t>
      </w:r>
      <w:r w:rsidR="001F7E56" w:rsidRPr="00D80F33">
        <w:rPr>
          <w:rFonts w:ascii="Traditional Arabic" w:hAnsi="Traditional Arabic" w:hint="cs"/>
          <w:noProof w:val="0"/>
          <w:rtl/>
          <w:lang w:eastAsia="en-US"/>
        </w:rPr>
        <w:t>.</w:t>
      </w:r>
    </w:p>
    <w:p w:rsidR="001F7E56" w:rsidRDefault="001F7E56" w:rsidP="00597C20">
      <w:pPr>
        <w:pStyle w:val="53"/>
        <w:rPr>
          <w:rtl/>
        </w:rPr>
      </w:pPr>
      <w:r>
        <w:rPr>
          <w:rFonts w:hint="cs"/>
          <w:rtl/>
        </w:rPr>
        <w:t>وجه الدلالة:</w:t>
      </w:r>
    </w:p>
    <w:p w:rsidR="001F7E56" w:rsidRPr="00065E4B" w:rsidRDefault="001F7E56" w:rsidP="00597C20">
      <w:pPr>
        <w:ind w:firstLine="720"/>
        <w:rPr>
          <w:rFonts w:ascii="Traditional Arabic" w:hAnsi="Traditional Arabic"/>
          <w:color w:val="auto"/>
          <w:rtl/>
        </w:rPr>
      </w:pPr>
      <w:r w:rsidRPr="00065E4B">
        <w:rPr>
          <w:rFonts w:ascii="Traditional Arabic" w:hAnsi="Traditional Arabic" w:hint="cs"/>
          <w:color w:val="auto"/>
          <w:rtl/>
        </w:rPr>
        <w:t xml:space="preserve">قال الشيخ ابن عثيمين </w:t>
      </w:r>
      <w:r w:rsidR="008C10FE">
        <w:rPr>
          <w:rFonts w:ascii="Traditional Arabic" w:hAnsi="Traditional Arabic" w:hint="cs"/>
          <w:color w:val="auto"/>
          <w:rtl/>
        </w:rPr>
        <w:t>_</w:t>
      </w:r>
      <w:r w:rsidR="009A0575" w:rsidRPr="005D5694">
        <w:rPr>
          <w:rFonts w:ascii="Traditional Arabic" w:hAnsi="Traditional Arabic" w:cs="CTraditional Arabic" w:hint="cs"/>
          <w:rtl/>
        </w:rPr>
        <w:t>/</w:t>
      </w:r>
      <w:r w:rsidR="008C10FE">
        <w:rPr>
          <w:rFonts w:ascii="Traditional Arabic" w:hAnsi="Traditional Arabic" w:hint="cs"/>
          <w:color w:val="auto"/>
          <w:rtl/>
        </w:rPr>
        <w:t>_</w:t>
      </w:r>
      <w:r w:rsidRPr="00065E4B">
        <w:rPr>
          <w:rFonts w:ascii="Traditional Arabic" w:hAnsi="Traditional Arabic" w:hint="cs"/>
          <w:color w:val="auto"/>
          <w:rtl/>
        </w:rPr>
        <w:t xml:space="preserve"> في مَعْرِض ذِكره لِفوائدِ هذا الحديث: </w:t>
      </w:r>
      <w:r w:rsidR="00B76414" w:rsidRPr="00065E4B">
        <w:rPr>
          <w:rFonts w:ascii="Traditional Arabic" w:hAnsi="Traditional Arabic" w:hint="cs"/>
          <w:color w:val="auto"/>
          <w:rtl/>
        </w:rPr>
        <w:t>(</w:t>
      </w:r>
      <w:r w:rsidRPr="00065E4B">
        <w:rPr>
          <w:rFonts w:ascii="Traditional Arabic" w:hAnsi="Traditional Arabic" w:hint="cs"/>
          <w:color w:val="auto"/>
          <w:rtl/>
        </w:rPr>
        <w:t>ومن فوائد الحديث: اعتبارُ العُرف والعملُ به؛ لأننا لا نعلم أنَّ للتفريق بين إتْلاف البهائم في النهار وفي الليل إلا ما جرى به العُرفُ أن أهل الحَوائط يَحْفظونها في النهار</w:t>
      </w:r>
      <w:r w:rsidR="0058728B">
        <w:rPr>
          <w:rFonts w:ascii="Traditional Arabic" w:hAnsi="Traditional Arabic" w:hint="cs"/>
          <w:color w:val="auto"/>
          <w:rtl/>
        </w:rPr>
        <w:t>،</w:t>
      </w:r>
      <w:r w:rsidRPr="00065E4B">
        <w:rPr>
          <w:rFonts w:ascii="Traditional Arabic" w:hAnsi="Traditional Arabic" w:hint="cs"/>
          <w:color w:val="auto"/>
          <w:rtl/>
        </w:rPr>
        <w:t xml:space="preserve"> وأن أهل المواشي يحفظونها في الليل)</w:t>
      </w:r>
      <w:r w:rsidRPr="00C821A1">
        <w:rPr>
          <w:rStyle w:val="af1"/>
          <w:szCs w:val="32"/>
          <w:rtl/>
        </w:rPr>
        <w:t>(</w:t>
      </w:r>
      <w:r w:rsidRPr="00C821A1">
        <w:rPr>
          <w:rStyle w:val="af1"/>
          <w:szCs w:val="32"/>
          <w:rtl/>
        </w:rPr>
        <w:footnoteReference w:id="428"/>
      </w:r>
      <w:r w:rsidRPr="00C821A1">
        <w:rPr>
          <w:rStyle w:val="af1"/>
          <w:szCs w:val="32"/>
          <w:rtl/>
        </w:rPr>
        <w:t>)</w:t>
      </w:r>
      <w:r w:rsidRPr="00065E4B">
        <w:rPr>
          <w:rFonts w:ascii="Traditional Arabic" w:hAnsi="Traditional Arabic" w:hint="cs"/>
          <w:color w:val="auto"/>
          <w:rtl/>
        </w:rPr>
        <w:t>.</w:t>
      </w:r>
    </w:p>
    <w:p w:rsidR="001F7E56" w:rsidRPr="00D80F33" w:rsidRDefault="000C26E6" w:rsidP="00A8347C">
      <w:pPr>
        <w:pStyle w:val="aff3"/>
        <w:rPr>
          <w:rtl/>
        </w:rPr>
      </w:pPr>
      <w:bookmarkStart w:id="87" w:name="_Toc334046339"/>
      <w:r>
        <w:rPr>
          <w:rFonts w:hint="cs"/>
          <w:rtl/>
        </w:rPr>
        <w:lastRenderedPageBreak/>
        <w:t xml:space="preserve">                     </w:t>
      </w:r>
      <w:r w:rsidR="00D80F33">
        <w:rPr>
          <w:rFonts w:hint="cs"/>
          <w:rtl/>
        </w:rPr>
        <w:t xml:space="preserve">                       المطلب الرابع :</w:t>
      </w:r>
      <w:r w:rsidR="00813FCE" w:rsidRPr="00D80F33">
        <w:rPr>
          <w:rFonts w:hint="cs"/>
          <w:rtl/>
        </w:rPr>
        <w:br/>
      </w:r>
      <w:r w:rsidRPr="00D80F33">
        <w:rPr>
          <w:rFonts w:hint="cs"/>
          <w:rtl/>
        </w:rPr>
        <w:t xml:space="preserve">                   </w:t>
      </w:r>
      <w:r w:rsidR="00D80F33">
        <w:rPr>
          <w:rFonts w:hint="cs"/>
          <w:rtl/>
        </w:rPr>
        <w:t xml:space="preserve">                        تطبيقات القاعدة</w:t>
      </w:r>
      <w:bookmarkEnd w:id="87"/>
    </w:p>
    <w:p w:rsidR="000C26E6" w:rsidRDefault="001F7E56" w:rsidP="00230519">
      <w:pPr>
        <w:pStyle w:val="afc"/>
        <w:widowControl/>
        <w:numPr>
          <w:ilvl w:val="0"/>
          <w:numId w:val="72"/>
        </w:numPr>
        <w:autoSpaceDE w:val="0"/>
        <w:autoSpaceDN w:val="0"/>
        <w:adjustRightInd w:val="0"/>
        <w:rPr>
          <w:rFonts w:ascii="Traditional Arabic" w:hAnsi="Traditional Arabic"/>
          <w:noProof w:val="0"/>
          <w:lang w:eastAsia="en-US"/>
        </w:rPr>
      </w:pPr>
      <w:r w:rsidRPr="004C2F27">
        <w:rPr>
          <w:rFonts w:ascii="Traditional Arabic" w:hAnsi="Traditional Arabic"/>
          <w:noProof w:val="0"/>
          <w:rtl/>
          <w:lang w:eastAsia="en-US"/>
        </w:rPr>
        <w:t xml:space="preserve">إذا </w:t>
      </w:r>
      <w:r w:rsidRPr="004C2F27">
        <w:rPr>
          <w:rFonts w:ascii="Traditional Arabic" w:hAnsi="Traditional Arabic" w:hint="cs"/>
          <w:noProof w:val="0"/>
          <w:rtl/>
          <w:lang w:eastAsia="en-US"/>
        </w:rPr>
        <w:t>شرَط</w:t>
      </w:r>
      <w:r w:rsidR="000C26E6">
        <w:rPr>
          <w:rFonts w:ascii="Traditional Arabic" w:hAnsi="Traditional Arabic" w:hint="cs"/>
          <w:noProof w:val="0"/>
          <w:rtl/>
          <w:lang w:eastAsia="en-US"/>
        </w:rPr>
        <w:t xml:space="preserve"> </w:t>
      </w:r>
      <w:r w:rsidRPr="004C2F27">
        <w:rPr>
          <w:rFonts w:ascii="Traditional Arabic" w:hAnsi="Traditional Arabic" w:hint="cs"/>
          <w:noProof w:val="0"/>
          <w:rtl/>
          <w:lang w:eastAsia="en-US"/>
        </w:rPr>
        <w:t>أحدُ المتبايعين أن له</w:t>
      </w:r>
      <w:r w:rsidR="000C26E6">
        <w:rPr>
          <w:rFonts w:ascii="Traditional Arabic" w:hAnsi="Traditional Arabic" w:hint="cs"/>
          <w:noProof w:val="0"/>
          <w:rtl/>
          <w:lang w:eastAsia="en-US"/>
        </w:rPr>
        <w:t xml:space="preserve"> </w:t>
      </w:r>
      <w:r w:rsidRPr="004C2F27">
        <w:rPr>
          <w:rFonts w:ascii="Traditional Arabic" w:hAnsi="Traditional Arabic"/>
          <w:noProof w:val="0"/>
          <w:rtl/>
          <w:lang w:eastAsia="en-US"/>
        </w:rPr>
        <w:t>الخيار</w:t>
      </w:r>
      <w:r w:rsidR="001A5343" w:rsidRPr="001A5343">
        <w:rPr>
          <w:rFonts w:ascii="Traditional Arabic" w:hAnsi="Traditional Arabic" w:hint="cs"/>
          <w:noProof w:val="0"/>
          <w:vertAlign w:val="superscript"/>
          <w:rtl/>
          <w:lang w:eastAsia="en-US"/>
        </w:rPr>
        <w:t>(</w:t>
      </w:r>
      <w:r w:rsidR="00230519" w:rsidRPr="001A5343">
        <w:rPr>
          <w:rStyle w:val="af1"/>
          <w:rFonts w:ascii="Traditional Arabic" w:hAnsi="Traditional Arabic"/>
          <w:noProof w:val="0"/>
          <w:rtl/>
          <w:lang w:eastAsia="en-US"/>
        </w:rPr>
        <w:footnoteReference w:id="429"/>
      </w:r>
      <w:r w:rsidR="001A5343" w:rsidRPr="001A5343">
        <w:rPr>
          <w:rFonts w:ascii="Traditional Arabic" w:hAnsi="Traditional Arabic" w:hint="cs"/>
          <w:noProof w:val="0"/>
          <w:vertAlign w:val="superscript"/>
          <w:rtl/>
          <w:lang w:eastAsia="en-US"/>
        </w:rPr>
        <w:t>)</w:t>
      </w:r>
      <w:r w:rsidR="001A5343">
        <w:rPr>
          <w:rFonts w:ascii="Traditional Arabic" w:hAnsi="Traditional Arabic" w:hint="cs"/>
          <w:noProof w:val="0"/>
          <w:rtl/>
          <w:lang w:eastAsia="en-US"/>
        </w:rPr>
        <w:t xml:space="preserve"> </w:t>
      </w:r>
      <w:r w:rsidRPr="004C2F27">
        <w:rPr>
          <w:rFonts w:ascii="Traditional Arabic" w:hAnsi="Traditional Arabic"/>
          <w:noProof w:val="0"/>
          <w:rtl/>
          <w:lang w:eastAsia="en-US"/>
        </w:rPr>
        <w:t>إلى ال</w:t>
      </w:r>
      <w:r w:rsidRPr="004C2F27">
        <w:rPr>
          <w:rFonts w:ascii="Traditional Arabic" w:hAnsi="Traditional Arabic" w:hint="cs"/>
          <w:noProof w:val="0"/>
          <w:rtl/>
          <w:lang w:eastAsia="en-US"/>
        </w:rPr>
        <w:t>غد،</w:t>
      </w:r>
      <w:r w:rsidRPr="004C2F27">
        <w:rPr>
          <w:rFonts w:ascii="Traditional Arabic" w:hAnsi="Traditional Arabic"/>
          <w:noProof w:val="0"/>
          <w:rtl/>
          <w:lang w:eastAsia="en-US"/>
        </w:rPr>
        <w:t xml:space="preserve"> ف</w:t>
      </w:r>
      <w:r w:rsidRPr="004C2F27">
        <w:rPr>
          <w:rFonts w:ascii="Traditional Arabic" w:hAnsi="Traditional Arabic" w:hint="cs"/>
          <w:noProof w:val="0"/>
          <w:rtl/>
          <w:lang w:eastAsia="en-US"/>
        </w:rPr>
        <w:t>إن مدة الخيار تنتهي بطلوع الفجر</w:t>
      </w:r>
      <w:r w:rsidRPr="004C2F27">
        <w:rPr>
          <w:rFonts w:ascii="Traditional Arabic" w:hAnsi="Traditional Arabic"/>
          <w:noProof w:val="0"/>
          <w:rtl/>
          <w:lang w:eastAsia="en-US"/>
        </w:rPr>
        <w:t>؛</w:t>
      </w:r>
      <w:r w:rsidR="000C26E6">
        <w:rPr>
          <w:rFonts w:ascii="Traditional Arabic" w:hAnsi="Traditional Arabic" w:hint="cs"/>
          <w:noProof w:val="0"/>
          <w:rtl/>
          <w:lang w:eastAsia="en-US"/>
        </w:rPr>
        <w:t xml:space="preserve"> </w:t>
      </w:r>
      <w:r>
        <w:rPr>
          <w:rFonts w:ascii="Traditional Arabic" w:hAnsi="Traditional Arabic"/>
          <w:noProof w:val="0"/>
          <w:rtl/>
          <w:lang w:eastAsia="en-US"/>
        </w:rPr>
        <w:t>لأن</w:t>
      </w:r>
      <w:r w:rsidR="000C26E6">
        <w:rPr>
          <w:rFonts w:ascii="Traditional Arabic" w:hAnsi="Traditional Arabic" w:hint="cs"/>
          <w:noProof w:val="0"/>
          <w:rtl/>
          <w:lang w:eastAsia="en-US"/>
        </w:rPr>
        <w:t xml:space="preserve"> </w:t>
      </w:r>
      <w:r>
        <w:rPr>
          <w:rFonts w:ascii="Traditional Arabic" w:hAnsi="Traditional Arabic" w:hint="cs"/>
          <w:noProof w:val="0"/>
          <w:rtl/>
          <w:lang w:eastAsia="en-US"/>
        </w:rPr>
        <w:t>"</w:t>
      </w:r>
      <w:r>
        <w:rPr>
          <w:rFonts w:ascii="Traditional Arabic" w:hAnsi="Traditional Arabic"/>
          <w:noProof w:val="0"/>
          <w:rtl/>
          <w:lang w:eastAsia="en-US"/>
        </w:rPr>
        <w:t>إلى</w:t>
      </w:r>
      <w:r>
        <w:rPr>
          <w:rFonts w:ascii="Traditional Arabic" w:hAnsi="Traditional Arabic" w:hint="cs"/>
          <w:noProof w:val="0"/>
          <w:rtl/>
          <w:lang w:eastAsia="en-US"/>
        </w:rPr>
        <w:t>"</w:t>
      </w:r>
      <w:r w:rsidR="000C26E6">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تفيد </w:t>
      </w:r>
      <w:r w:rsidRPr="004C2F27">
        <w:rPr>
          <w:rFonts w:ascii="Traditional Arabic" w:hAnsi="Traditional Arabic"/>
          <w:noProof w:val="0"/>
          <w:rtl/>
          <w:lang w:eastAsia="en-US"/>
        </w:rPr>
        <w:t>انتهاء الغاية، فلا يدخل ما بعدها، فيما قبلها</w:t>
      </w:r>
      <w:r w:rsidRPr="00C821A1">
        <w:rPr>
          <w:rStyle w:val="af1"/>
          <w:szCs w:val="32"/>
          <w:rtl/>
        </w:rPr>
        <w:t>(</w:t>
      </w:r>
      <w:r w:rsidRPr="00C821A1">
        <w:rPr>
          <w:rStyle w:val="af1"/>
          <w:szCs w:val="32"/>
          <w:rtl/>
        </w:rPr>
        <w:footnoteReference w:id="430"/>
      </w:r>
      <w:r w:rsidRPr="00C821A1">
        <w:rPr>
          <w:rStyle w:val="af1"/>
          <w:szCs w:val="32"/>
          <w:rtl/>
        </w:rPr>
        <w:t>)</w:t>
      </w:r>
      <w:r w:rsidRPr="004C2F27">
        <w:rPr>
          <w:rFonts w:ascii="Traditional Arabic" w:hAnsi="Traditional Arabic" w:hint="cs"/>
          <w:noProof w:val="0"/>
          <w:rtl/>
          <w:lang w:eastAsia="en-US"/>
        </w:rPr>
        <w:t xml:space="preserve">. </w:t>
      </w:r>
    </w:p>
    <w:p w:rsidR="00065E4B" w:rsidRPr="004C2F27" w:rsidRDefault="001F7E56" w:rsidP="000C26E6">
      <w:pPr>
        <w:pStyle w:val="afc"/>
        <w:widowControl/>
        <w:autoSpaceDE w:val="0"/>
        <w:autoSpaceDN w:val="0"/>
        <w:adjustRightInd w:val="0"/>
        <w:ind w:left="1170" w:firstLine="0"/>
        <w:rPr>
          <w:rFonts w:ascii="Traditional Arabic" w:hAnsi="Traditional Arabic"/>
          <w:noProof w:val="0"/>
          <w:rtl/>
          <w:lang w:eastAsia="en-US"/>
        </w:rPr>
      </w:pPr>
      <w:r w:rsidRPr="004C2F27">
        <w:rPr>
          <w:rFonts w:ascii="Traditional Arabic" w:hAnsi="Traditional Arabic"/>
          <w:noProof w:val="0"/>
          <w:rtl/>
          <w:lang w:eastAsia="en-US"/>
        </w:rPr>
        <w:t>وقال بعض العلماء: ي</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رج</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ع في ذلك إلى الع</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 xml:space="preserve">رف، فإذا قال: </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إلى الغد</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 فيمكن أن ي</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حم</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ل على ابتداء</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 xml:space="preserve"> السوق، وابتداء</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 xml:space="preserve"> الأسواق في الغالب لا يكون من أذان الفجر؛ بل </w:t>
      </w:r>
      <w:r w:rsidRPr="004C2F27">
        <w:rPr>
          <w:rFonts w:ascii="Traditional Arabic" w:hAnsi="Traditional Arabic" w:hint="cs"/>
          <w:noProof w:val="0"/>
          <w:rtl/>
          <w:lang w:eastAsia="en-US"/>
        </w:rPr>
        <w:t xml:space="preserve">يكون </w:t>
      </w:r>
      <w:r w:rsidRPr="004C2F27">
        <w:rPr>
          <w:rFonts w:ascii="Traditional Arabic" w:hAnsi="Traditional Arabic"/>
          <w:noProof w:val="0"/>
          <w:rtl/>
          <w:lang w:eastAsia="en-US"/>
        </w:rPr>
        <w:t>م</w:t>
      </w:r>
      <w:r w:rsidRPr="004C2F27">
        <w:rPr>
          <w:rFonts w:ascii="Traditional Arabic" w:hAnsi="Traditional Arabic" w:hint="cs"/>
          <w:noProof w:val="0"/>
          <w:rtl/>
          <w:lang w:eastAsia="en-US"/>
        </w:rPr>
        <w:t>ِ</w:t>
      </w:r>
      <w:r w:rsidRPr="004C2F27">
        <w:rPr>
          <w:rFonts w:ascii="Traditional Arabic" w:hAnsi="Traditional Arabic"/>
          <w:noProof w:val="0"/>
          <w:rtl/>
          <w:lang w:eastAsia="en-US"/>
        </w:rPr>
        <w:t>ن ارتفاع الشمس، وخروج الناس إلى الأسواق.</w:t>
      </w:r>
    </w:p>
    <w:p w:rsidR="001F7E56" w:rsidRDefault="000C26E6"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Pr>
          <w:rFonts w:ascii="Traditional Arabic" w:hAnsi="Traditional Arabic"/>
          <w:noProof w:val="0"/>
          <w:rtl/>
          <w:lang w:eastAsia="en-US"/>
        </w:rPr>
        <w:t>و</w:t>
      </w:r>
      <w:r w:rsidR="001F7E56">
        <w:rPr>
          <w:rFonts w:ascii="Traditional Arabic" w:hAnsi="Traditional Arabic"/>
          <w:noProof w:val="0"/>
          <w:rtl/>
          <w:lang w:eastAsia="en-US"/>
        </w:rPr>
        <w:t xml:space="preserve">هذا هو الصحيح، </w:t>
      </w:r>
      <w:r w:rsidR="001F7E56">
        <w:rPr>
          <w:rFonts w:ascii="Traditional Arabic" w:hAnsi="Traditional Arabic" w:hint="cs"/>
          <w:noProof w:val="0"/>
          <w:rtl/>
          <w:lang w:eastAsia="en-US"/>
        </w:rPr>
        <w:t xml:space="preserve">أنه </w:t>
      </w:r>
      <w:r w:rsidR="001F7E56" w:rsidRPr="00C67A9E">
        <w:rPr>
          <w:rFonts w:ascii="Traditional Arabic" w:hAnsi="Traditional Arabic"/>
          <w:noProof w:val="0"/>
          <w:rtl/>
          <w:lang w:eastAsia="en-US"/>
        </w:rPr>
        <w:t>إذا كان ع</w:t>
      </w:r>
      <w:r w:rsidR="001F7E56">
        <w:rPr>
          <w:rFonts w:ascii="Traditional Arabic" w:hAnsi="Traditional Arabic" w:hint="cs"/>
          <w:noProof w:val="0"/>
          <w:rtl/>
          <w:lang w:eastAsia="en-US"/>
        </w:rPr>
        <w:t>ُرْ</w:t>
      </w:r>
      <w:r w:rsidR="001F7E56" w:rsidRPr="00C67A9E">
        <w:rPr>
          <w:rFonts w:ascii="Traditional Arabic" w:hAnsi="Traditional Arabic"/>
          <w:noProof w:val="0"/>
          <w:rtl/>
          <w:lang w:eastAsia="en-US"/>
        </w:rPr>
        <w:t>ف</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 xml:space="preserve"> الت</w:t>
      </w:r>
      <w:r w:rsidR="001F7E56">
        <w:rPr>
          <w:rFonts w:ascii="Traditional Arabic" w:hAnsi="Traditional Arabic" w:hint="cs"/>
          <w:noProof w:val="0"/>
          <w:rtl/>
          <w:lang w:eastAsia="en-US"/>
        </w:rPr>
        <w:t>ُّ</w:t>
      </w:r>
      <w:r w:rsidR="001F7E56">
        <w:rPr>
          <w:rFonts w:ascii="Traditional Arabic" w:hAnsi="Traditional Arabic"/>
          <w:noProof w:val="0"/>
          <w:rtl/>
          <w:lang w:eastAsia="en-US"/>
        </w:rPr>
        <w:t xml:space="preserve">جار إذا قالوا: </w:t>
      </w:r>
      <w:r w:rsidR="001F7E56">
        <w:rPr>
          <w:rFonts w:ascii="Traditional Arabic" w:hAnsi="Traditional Arabic" w:hint="cs"/>
          <w:noProof w:val="0"/>
          <w:rtl/>
          <w:lang w:eastAsia="en-US"/>
        </w:rPr>
        <w:t>"</w:t>
      </w:r>
      <w:r w:rsidR="001F7E56">
        <w:rPr>
          <w:rFonts w:ascii="Traditional Arabic" w:hAnsi="Traditional Arabic"/>
          <w:noProof w:val="0"/>
          <w:rtl/>
          <w:lang w:eastAsia="en-US"/>
        </w:rPr>
        <w:t>إلى الغد</w:t>
      </w:r>
      <w:r w:rsidR="001F7E56">
        <w:rPr>
          <w:rFonts w:ascii="Traditional Arabic" w:hAnsi="Traditional Arabic" w:hint="cs"/>
          <w:noProof w:val="0"/>
          <w:rtl/>
          <w:lang w:eastAsia="en-US"/>
        </w:rPr>
        <w:t>" أنهم يقصدون:"</w:t>
      </w:r>
      <w:r w:rsidR="001F7E56" w:rsidRPr="00C67A9E">
        <w:rPr>
          <w:rFonts w:ascii="Traditional Arabic" w:hAnsi="Traditional Arabic"/>
          <w:noProof w:val="0"/>
          <w:rtl/>
          <w:lang w:eastAsia="en-US"/>
        </w:rPr>
        <w:t>إلى افتتاح الس</w:t>
      </w:r>
      <w:r w:rsidR="001F7E56">
        <w:rPr>
          <w:rFonts w:ascii="Traditional Arabic" w:hAnsi="Traditional Arabic"/>
          <w:noProof w:val="0"/>
          <w:rtl/>
          <w:lang w:eastAsia="en-US"/>
        </w:rPr>
        <w:t>وق</w:t>
      </w:r>
      <w:r w:rsidR="001F7E56">
        <w:rPr>
          <w:rFonts w:ascii="Traditional Arabic" w:hAnsi="Traditional Arabic" w:hint="cs"/>
          <w:noProof w:val="0"/>
          <w:rtl/>
          <w:lang w:eastAsia="en-US"/>
        </w:rPr>
        <w:t>"</w:t>
      </w:r>
      <w:r w:rsidR="001F7E56">
        <w:rPr>
          <w:rFonts w:ascii="Traditional Arabic" w:hAnsi="Traditional Arabic"/>
          <w:noProof w:val="0"/>
          <w:rtl/>
          <w:lang w:eastAsia="en-US"/>
        </w:rPr>
        <w:t>، فالأم</w:t>
      </w:r>
      <w:r w:rsidR="001F7E56">
        <w:rPr>
          <w:rFonts w:ascii="Traditional Arabic" w:hAnsi="Traditional Arabic" w:hint="cs"/>
          <w:noProof w:val="0"/>
          <w:rtl/>
          <w:lang w:eastAsia="en-US"/>
        </w:rPr>
        <w:t>َ</w:t>
      </w:r>
      <w:r w:rsidR="001F7E56">
        <w:rPr>
          <w:rFonts w:ascii="Traditional Arabic" w:hAnsi="Traditional Arabic"/>
          <w:noProof w:val="0"/>
          <w:rtl/>
          <w:lang w:eastAsia="en-US"/>
        </w:rPr>
        <w:t>د إلى افتتاح السوق،</w:t>
      </w:r>
      <w:r w:rsidR="001F7E56">
        <w:rPr>
          <w:rFonts w:ascii="Traditional Arabic" w:hAnsi="Traditional Arabic" w:hint="cs"/>
          <w:noProof w:val="0"/>
          <w:rtl/>
          <w:lang w:eastAsia="en-US"/>
        </w:rPr>
        <w:t xml:space="preserve"> أما</w:t>
      </w:r>
      <w:r w:rsidR="001F7E56" w:rsidRPr="00C67A9E">
        <w:rPr>
          <w:rFonts w:ascii="Traditional Arabic" w:hAnsi="Traditional Arabic"/>
          <w:noProof w:val="0"/>
          <w:rtl/>
          <w:lang w:eastAsia="en-US"/>
        </w:rPr>
        <w:t xml:space="preserve"> إذا لم يكن هناك عرف</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 xml:space="preserve"> أو كان العرف غير</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 xml:space="preserve"> م</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ط</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ر</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د</w:t>
      </w:r>
      <w:r w:rsidR="001F7E56">
        <w:rPr>
          <w:rFonts w:ascii="Traditional Arabic" w:hAnsi="Traditional Arabic" w:hint="cs"/>
          <w:noProof w:val="0"/>
          <w:rtl/>
          <w:lang w:eastAsia="en-US"/>
        </w:rPr>
        <w:t>ٍ</w:t>
      </w:r>
      <w:r w:rsidR="001F7E56">
        <w:rPr>
          <w:rFonts w:ascii="Traditional Arabic" w:hAnsi="Traditional Arabic"/>
          <w:noProof w:val="0"/>
          <w:rtl/>
          <w:lang w:eastAsia="en-US"/>
        </w:rPr>
        <w:t xml:space="preserve"> ف</w:t>
      </w:r>
      <w:r w:rsidR="001F7E56">
        <w:rPr>
          <w:rFonts w:ascii="Traditional Arabic" w:hAnsi="Traditional Arabic" w:hint="cs"/>
          <w:noProof w:val="0"/>
          <w:rtl/>
          <w:lang w:eastAsia="en-US"/>
        </w:rPr>
        <w:t>ير</w:t>
      </w:r>
      <w:r w:rsidR="001F7E56" w:rsidRPr="00C67A9E">
        <w:rPr>
          <w:rFonts w:ascii="Traditional Arabic" w:hAnsi="Traditional Arabic"/>
          <w:noProof w:val="0"/>
          <w:rtl/>
          <w:lang w:eastAsia="en-US"/>
        </w:rPr>
        <w:t>ج</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ع إلى اللغة، و</w:t>
      </w:r>
      <w:r w:rsidR="001F7E56">
        <w:rPr>
          <w:rFonts w:ascii="Traditional Arabic" w:hAnsi="Traditional Arabic" w:hint="cs"/>
          <w:noProof w:val="0"/>
          <w:rtl/>
          <w:lang w:eastAsia="en-US"/>
        </w:rPr>
        <w:t xml:space="preserve">في </w:t>
      </w:r>
      <w:r w:rsidR="001F7E56">
        <w:rPr>
          <w:rFonts w:ascii="Traditional Arabic" w:hAnsi="Traditional Arabic"/>
          <w:noProof w:val="0"/>
          <w:rtl/>
          <w:lang w:eastAsia="en-US"/>
        </w:rPr>
        <w:t>اللغة</w:t>
      </w:r>
      <w:r>
        <w:rPr>
          <w:rFonts w:ascii="Traditional Arabic" w:hAnsi="Traditional Arabic" w:hint="cs"/>
          <w:noProof w:val="0"/>
          <w:rtl/>
          <w:lang w:eastAsia="en-US"/>
        </w:rPr>
        <w:t xml:space="preserve"> </w:t>
      </w:r>
      <w:r w:rsidR="001F7E56">
        <w:rPr>
          <w:rFonts w:ascii="Traditional Arabic" w:hAnsi="Traditional Arabic" w:hint="cs"/>
          <w:noProof w:val="0"/>
          <w:rtl/>
          <w:lang w:eastAsia="en-US"/>
        </w:rPr>
        <w:t xml:space="preserve">يبتدئ </w:t>
      </w:r>
      <w:r w:rsidR="001F7E56">
        <w:rPr>
          <w:rFonts w:ascii="Traditional Arabic" w:hAnsi="Traditional Arabic"/>
          <w:noProof w:val="0"/>
          <w:rtl/>
          <w:lang w:eastAsia="en-US"/>
        </w:rPr>
        <w:t xml:space="preserve">الغد </w:t>
      </w:r>
      <w:r w:rsidR="001F7E56" w:rsidRPr="00C67A9E">
        <w:rPr>
          <w:rFonts w:ascii="Traditional Arabic" w:hAnsi="Traditional Arabic"/>
          <w:noProof w:val="0"/>
          <w:rtl/>
          <w:lang w:eastAsia="en-US"/>
        </w:rPr>
        <w:t>من طلوع الفجر</w:t>
      </w:r>
      <w:r w:rsidR="001F7E56" w:rsidRPr="00C821A1">
        <w:rPr>
          <w:rStyle w:val="af1"/>
          <w:szCs w:val="32"/>
          <w:rtl/>
        </w:rPr>
        <w:t>(</w:t>
      </w:r>
      <w:r w:rsidR="001F7E56" w:rsidRPr="00C821A1">
        <w:rPr>
          <w:rStyle w:val="af1"/>
          <w:szCs w:val="32"/>
          <w:rtl/>
        </w:rPr>
        <w:footnoteReference w:id="431"/>
      </w:r>
      <w:r w:rsidR="001F7E56" w:rsidRPr="00C821A1">
        <w:rPr>
          <w:rStyle w:val="af1"/>
          <w:szCs w:val="32"/>
          <w:rtl/>
        </w:rPr>
        <w:t>)</w:t>
      </w:r>
      <w:r w:rsidR="001F7E56">
        <w:rPr>
          <w:rFonts w:ascii="Traditional Arabic" w:hAnsi="Traditional Arabic" w:hint="cs"/>
          <w:noProof w:val="0"/>
          <w:rtl/>
          <w:lang w:eastAsia="en-US"/>
        </w:rPr>
        <w:t>.</w:t>
      </w:r>
    </w:p>
    <w:p w:rsidR="00065E4B" w:rsidRDefault="001F7E56" w:rsidP="00597C20">
      <w:pPr>
        <w:pStyle w:val="53"/>
        <w:rPr>
          <w:rtl/>
        </w:rPr>
      </w:pPr>
      <w:r>
        <w:rPr>
          <w:rFonts w:hint="cs"/>
          <w:rtl/>
        </w:rPr>
        <w:t xml:space="preserve">وجه اندراج الفرع تحت </w:t>
      </w:r>
      <w:r w:rsidRPr="001F758B">
        <w:rPr>
          <w:rFonts w:hint="cs"/>
          <w:rtl/>
        </w:rPr>
        <w:t>القاعدة</w:t>
      </w:r>
      <w:r>
        <w:rPr>
          <w:rFonts w:hint="cs"/>
          <w:rtl/>
        </w:rPr>
        <w:t>:</w:t>
      </w:r>
    </w:p>
    <w:p w:rsidR="001F7E56"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ل</w:t>
      </w:r>
      <w:r w:rsidR="001F7E56">
        <w:rPr>
          <w:rFonts w:ascii="Traditional Arabic" w:hAnsi="Traditional Arabic" w:hint="cs"/>
          <w:noProof w:val="0"/>
          <w:rtl/>
          <w:lang w:eastAsia="en-US"/>
        </w:rPr>
        <w:t xml:space="preserve">ما كان عُرف التُّجار أنهم </w:t>
      </w:r>
      <w:r w:rsidR="001F7E56">
        <w:rPr>
          <w:rFonts w:ascii="Traditional Arabic" w:hAnsi="Traditional Arabic"/>
          <w:noProof w:val="0"/>
          <w:rtl/>
          <w:lang w:eastAsia="en-US"/>
        </w:rPr>
        <w:t xml:space="preserve">إذا قالوا: </w:t>
      </w:r>
      <w:r w:rsidR="001F7E56">
        <w:rPr>
          <w:rFonts w:ascii="Traditional Arabic" w:hAnsi="Traditional Arabic" w:hint="cs"/>
          <w:noProof w:val="0"/>
          <w:rtl/>
          <w:lang w:eastAsia="en-US"/>
        </w:rPr>
        <w:t>"</w:t>
      </w:r>
      <w:r w:rsidR="001F7E56">
        <w:rPr>
          <w:rFonts w:ascii="Traditional Arabic" w:hAnsi="Traditional Arabic"/>
          <w:noProof w:val="0"/>
          <w:rtl/>
          <w:lang w:eastAsia="en-US"/>
        </w:rPr>
        <w:t>إلى الغد</w:t>
      </w:r>
      <w:r w:rsidR="001F7E56">
        <w:rPr>
          <w:rFonts w:ascii="Traditional Arabic" w:hAnsi="Traditional Arabic" w:hint="cs"/>
          <w:noProof w:val="0"/>
          <w:rtl/>
          <w:lang w:eastAsia="en-US"/>
        </w:rPr>
        <w:t>" يقصدون:"</w:t>
      </w:r>
      <w:r w:rsidR="001F7E56" w:rsidRPr="00C67A9E">
        <w:rPr>
          <w:rFonts w:ascii="Traditional Arabic" w:hAnsi="Traditional Arabic"/>
          <w:noProof w:val="0"/>
          <w:rtl/>
          <w:lang w:eastAsia="en-US"/>
        </w:rPr>
        <w:t>إلى افتتاح الس</w:t>
      </w:r>
      <w:r w:rsidR="001F7E56">
        <w:rPr>
          <w:rFonts w:ascii="Traditional Arabic" w:hAnsi="Traditional Arabic"/>
          <w:noProof w:val="0"/>
          <w:rtl/>
          <w:lang w:eastAsia="en-US"/>
        </w:rPr>
        <w:t>وق</w:t>
      </w:r>
      <w:r w:rsidR="001F7E56">
        <w:rPr>
          <w:rFonts w:ascii="Traditional Arabic" w:hAnsi="Traditional Arabic" w:hint="cs"/>
          <w:noProof w:val="0"/>
          <w:rtl/>
          <w:lang w:eastAsia="en-US"/>
        </w:rPr>
        <w:t>"، فيُرجَع إلى عرفهم في ذلك؛ لأن القاعدة</w:t>
      </w:r>
      <w:r w:rsidR="000C26E6">
        <w:rPr>
          <w:rFonts w:ascii="Traditional Arabic" w:hAnsi="Traditional Arabic" w:hint="cs"/>
          <w:noProof w:val="0"/>
          <w:rtl/>
          <w:lang w:eastAsia="en-US"/>
        </w:rPr>
        <w:t xml:space="preserve"> تقول: "</w:t>
      </w:r>
      <w:r w:rsidR="001F7E56" w:rsidRPr="00C67A9E">
        <w:rPr>
          <w:rFonts w:ascii="Traditional Arabic" w:hAnsi="Traditional Arabic"/>
          <w:noProof w:val="0"/>
          <w:rtl/>
          <w:lang w:eastAsia="en-US"/>
        </w:rPr>
        <w:t>المرجع فيما ي</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تداو</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ل</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ه الناس من الكلام والأفعال إلى الع</w:t>
      </w:r>
      <w:r w:rsidR="001F7E56">
        <w:rPr>
          <w:rFonts w:ascii="Traditional Arabic" w:hAnsi="Traditional Arabic" w:hint="cs"/>
          <w:noProof w:val="0"/>
          <w:rtl/>
          <w:lang w:eastAsia="en-US"/>
        </w:rPr>
        <w:t>ُ</w:t>
      </w:r>
      <w:r w:rsidR="001F7E56" w:rsidRPr="00C67A9E">
        <w:rPr>
          <w:rFonts w:ascii="Traditional Arabic" w:hAnsi="Traditional Arabic"/>
          <w:noProof w:val="0"/>
          <w:rtl/>
          <w:lang w:eastAsia="en-US"/>
        </w:rPr>
        <w:t>رف</w:t>
      </w:r>
      <w:r w:rsidR="001F7E56">
        <w:rPr>
          <w:rFonts w:ascii="Traditional Arabic" w:hAnsi="Traditional Arabic" w:hint="cs"/>
          <w:noProof w:val="0"/>
          <w:rtl/>
          <w:lang w:eastAsia="en-US"/>
        </w:rPr>
        <w:t>"</w:t>
      </w:r>
      <w:r w:rsidR="001F7E56" w:rsidRPr="00C821A1">
        <w:rPr>
          <w:rStyle w:val="af1"/>
          <w:szCs w:val="32"/>
          <w:rtl/>
        </w:rPr>
        <w:t>(</w:t>
      </w:r>
      <w:r w:rsidR="001F7E56" w:rsidRPr="00C821A1">
        <w:rPr>
          <w:rStyle w:val="af1"/>
          <w:szCs w:val="32"/>
          <w:rtl/>
        </w:rPr>
        <w:footnoteReference w:id="432"/>
      </w:r>
      <w:r w:rsidR="001F7E56" w:rsidRPr="00C821A1">
        <w:rPr>
          <w:rStyle w:val="af1"/>
          <w:szCs w:val="32"/>
          <w:rtl/>
        </w:rPr>
        <w:t>)</w:t>
      </w:r>
      <w:r w:rsidR="001F7E56">
        <w:rPr>
          <w:rFonts w:ascii="Traditional Arabic" w:hAnsi="Traditional Arabic" w:hint="cs"/>
          <w:noProof w:val="0"/>
          <w:rtl/>
          <w:lang w:eastAsia="en-US"/>
        </w:rPr>
        <w:t>.</w:t>
      </w:r>
    </w:p>
    <w:p w:rsidR="001F7E56" w:rsidRPr="001F758B" w:rsidRDefault="001F7E56" w:rsidP="00BA47E6">
      <w:pPr>
        <w:pStyle w:val="afc"/>
        <w:widowControl/>
        <w:numPr>
          <w:ilvl w:val="0"/>
          <w:numId w:val="72"/>
        </w:numPr>
        <w:autoSpaceDE w:val="0"/>
        <w:autoSpaceDN w:val="0"/>
        <w:adjustRightInd w:val="0"/>
        <w:ind w:left="1132" w:hanging="709"/>
        <w:rPr>
          <w:rFonts w:ascii="Traditional Arabic" w:hAnsi="Traditional Arabic"/>
          <w:noProof w:val="0"/>
          <w:rtl/>
          <w:lang w:eastAsia="en-US"/>
        </w:rPr>
      </w:pPr>
      <w:r w:rsidRPr="001F758B">
        <w:rPr>
          <w:rFonts w:ascii="Traditional Arabic" w:hAnsi="Traditional Arabic" w:hint="cs"/>
          <w:noProof w:val="0"/>
          <w:rtl/>
          <w:lang w:eastAsia="en-US"/>
        </w:rPr>
        <w:t>إذا</w:t>
      </w:r>
      <w:r w:rsidRPr="001F758B">
        <w:rPr>
          <w:rFonts w:ascii="Traditional Arabic" w:hAnsi="Traditional Arabic"/>
          <w:noProof w:val="0"/>
          <w:rtl/>
          <w:lang w:eastAsia="en-US"/>
        </w:rPr>
        <w:t xml:space="preserve"> باع</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ن</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خ</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لا</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ف</w:t>
      </w:r>
      <w:r w:rsidRPr="001F758B">
        <w:rPr>
          <w:rFonts w:ascii="Traditional Arabic" w:hAnsi="Traditional Arabic" w:hint="cs"/>
          <w:noProof w:val="0"/>
          <w:rtl/>
          <w:lang w:eastAsia="en-US"/>
        </w:rPr>
        <w:t xml:space="preserve">لا </w:t>
      </w:r>
      <w:r w:rsidRPr="001F758B">
        <w:rPr>
          <w:rFonts w:ascii="Traditional Arabic" w:hAnsi="Traditional Arabic"/>
          <w:noProof w:val="0"/>
          <w:rtl/>
          <w:lang w:eastAsia="en-US"/>
        </w:rPr>
        <w:t>تدخ</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ل الأرض</w:t>
      </w:r>
      <w:r w:rsidRPr="001F758B">
        <w:rPr>
          <w:rFonts w:ascii="Traditional Arabic" w:hAnsi="Traditional Arabic" w:hint="cs"/>
          <w:noProof w:val="0"/>
          <w:rtl/>
          <w:lang w:eastAsia="en-US"/>
        </w:rPr>
        <w:t xml:space="preserve"> في البيع</w:t>
      </w:r>
      <w:r w:rsidRPr="001F758B">
        <w:rPr>
          <w:rFonts w:ascii="Traditional Arabic" w:hAnsi="Traditional Arabic"/>
          <w:noProof w:val="0"/>
          <w:rtl/>
          <w:lang w:eastAsia="en-US"/>
        </w:rPr>
        <w:t xml:space="preserve">؛ </w:t>
      </w:r>
      <w:r w:rsidRPr="001F758B">
        <w:rPr>
          <w:rFonts w:ascii="Traditional Arabic" w:hAnsi="Traditional Arabic" w:hint="cs"/>
          <w:noProof w:val="0"/>
          <w:rtl/>
          <w:lang w:eastAsia="en-US"/>
        </w:rPr>
        <w:t xml:space="preserve">لأن </w:t>
      </w:r>
      <w:r w:rsidRPr="001F758B">
        <w:rPr>
          <w:rFonts w:ascii="Traditional Arabic" w:hAnsi="Traditional Arabic"/>
          <w:noProof w:val="0"/>
          <w:rtl/>
          <w:lang w:eastAsia="en-US"/>
        </w:rPr>
        <w:t>الأرض أصل</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والنخل فرع</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ولا يمكن أن ي</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ت</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ب</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ع الأصل</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الفرع</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ولكن في ع</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ر</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ف</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نا نحن وإلى عهد</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قريب</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إذا باع عليه نخ</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ل</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ه،أو باع عليه أ</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ث</w:t>
      </w:r>
      <w:r w:rsidRPr="001F758B">
        <w:rPr>
          <w:rFonts w:ascii="Traditional Arabic" w:hAnsi="Traditional Arabic" w:hint="cs"/>
          <w:noProof w:val="0"/>
          <w:rtl/>
          <w:lang w:eastAsia="en-US"/>
        </w:rPr>
        <w:t>ْلَهُ</w:t>
      </w:r>
      <w:r w:rsidRPr="00C821A1">
        <w:rPr>
          <w:rStyle w:val="af1"/>
          <w:szCs w:val="32"/>
          <w:rtl/>
        </w:rPr>
        <w:t>(</w:t>
      </w:r>
      <w:r w:rsidRPr="00C821A1">
        <w:rPr>
          <w:rStyle w:val="af1"/>
          <w:szCs w:val="32"/>
          <w:rtl/>
        </w:rPr>
        <w:footnoteReference w:id="433"/>
      </w:r>
      <w:r w:rsidRPr="00C821A1">
        <w:rPr>
          <w:rStyle w:val="af1"/>
          <w:szCs w:val="32"/>
          <w:rtl/>
        </w:rPr>
        <w:t>)</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أو ما أ</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ش</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ب</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ه ذلك، فإنه يشمل الأرض</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ولا يعر</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ف الناس</w:t>
      </w:r>
      <w:r w:rsidRPr="001F758B">
        <w:rPr>
          <w:rFonts w:ascii="Traditional Arabic" w:hAnsi="Traditional Arabic" w:hint="cs"/>
          <w:noProof w:val="0"/>
          <w:rtl/>
          <w:lang w:eastAsia="en-US"/>
        </w:rPr>
        <w:t>ُ</w:t>
      </w:r>
      <w:r w:rsidR="000C26E6">
        <w:rPr>
          <w:rFonts w:ascii="Traditional Arabic" w:hAnsi="Traditional Arabic" w:hint="cs"/>
          <w:noProof w:val="0"/>
          <w:rtl/>
          <w:lang w:eastAsia="en-US"/>
        </w:rPr>
        <w:t xml:space="preserve"> </w:t>
      </w:r>
      <w:r w:rsidRPr="001F758B">
        <w:rPr>
          <w:rFonts w:ascii="Traditional Arabic" w:hAnsi="Traditional Arabic"/>
          <w:noProof w:val="0"/>
          <w:rtl/>
          <w:lang w:eastAsia="en-US"/>
        </w:rPr>
        <w:t>إلا هذا</w:t>
      </w:r>
      <w:r w:rsidRPr="001F758B">
        <w:rPr>
          <w:rFonts w:ascii="Traditional Arabic" w:hAnsi="Traditional Arabic" w:hint="cs"/>
          <w:noProof w:val="0"/>
          <w:rtl/>
          <w:lang w:eastAsia="en-US"/>
        </w:rPr>
        <w:t xml:space="preserve">، </w:t>
      </w:r>
      <w:r w:rsidRPr="001F758B">
        <w:rPr>
          <w:rFonts w:ascii="Traditional Arabic" w:hAnsi="Traditional Arabic"/>
          <w:noProof w:val="0"/>
          <w:rtl/>
          <w:lang w:eastAsia="en-US"/>
        </w:rPr>
        <w:t xml:space="preserve">وعليه </w:t>
      </w:r>
      <w:r w:rsidRPr="001F758B">
        <w:rPr>
          <w:rFonts w:ascii="Traditional Arabic" w:hAnsi="Traditional Arabic"/>
          <w:noProof w:val="0"/>
          <w:rtl/>
          <w:lang w:eastAsia="en-US"/>
        </w:rPr>
        <w:lastRenderedPageBreak/>
        <w:t>فيجب أن تنز</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ل الألفاظ على الحقائق الع</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رفية، ما لم ي</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نص</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على أن المراد بها الحقائق</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الل</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غ</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وية، في</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ت</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بع ما ن</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ص</w:t>
      </w:r>
      <w:r w:rsidRPr="001F758B">
        <w:rPr>
          <w:rFonts w:ascii="Traditional Arabic" w:hAnsi="Traditional Arabic" w:hint="cs"/>
          <w:noProof w:val="0"/>
          <w:rtl/>
          <w:lang w:eastAsia="en-US"/>
        </w:rPr>
        <w:t>َّ</w:t>
      </w:r>
      <w:r w:rsidRPr="001F758B">
        <w:rPr>
          <w:rFonts w:ascii="Traditional Arabic" w:hAnsi="Traditional Arabic"/>
          <w:noProof w:val="0"/>
          <w:rtl/>
          <w:lang w:eastAsia="en-US"/>
        </w:rPr>
        <w:t xml:space="preserve"> عليه</w:t>
      </w:r>
      <w:r w:rsidRPr="00C821A1">
        <w:rPr>
          <w:rStyle w:val="af1"/>
          <w:szCs w:val="32"/>
          <w:rtl/>
        </w:rPr>
        <w:t>(</w:t>
      </w:r>
      <w:r w:rsidRPr="00C821A1">
        <w:rPr>
          <w:rStyle w:val="af1"/>
          <w:szCs w:val="32"/>
          <w:rtl/>
        </w:rPr>
        <w:footnoteReference w:id="434"/>
      </w:r>
      <w:r w:rsidRPr="00C821A1">
        <w:rPr>
          <w:rStyle w:val="af1"/>
          <w:szCs w:val="32"/>
          <w:rtl/>
        </w:rPr>
        <w:t>)</w:t>
      </w:r>
      <w:r w:rsidRPr="001F758B">
        <w:rPr>
          <w:rFonts w:ascii="Traditional Arabic" w:hAnsi="Traditional Arabic" w:hint="cs"/>
          <w:noProof w:val="0"/>
          <w:rtl/>
          <w:lang w:eastAsia="en-US"/>
        </w:rPr>
        <w:t>.</w:t>
      </w:r>
    </w:p>
    <w:p w:rsidR="001F7E56" w:rsidRDefault="001F7E56" w:rsidP="00597C20">
      <w:pPr>
        <w:pStyle w:val="53"/>
        <w:rPr>
          <w:rtl/>
        </w:rPr>
      </w:pPr>
      <w:r>
        <w:rPr>
          <w:rFonts w:hint="cs"/>
          <w:rtl/>
        </w:rPr>
        <w:t>وجه اندراج الفرع تحت القاعدة:</w:t>
      </w:r>
    </w:p>
    <w:p w:rsidR="001F7E56" w:rsidRPr="00065E4B" w:rsidRDefault="001F7E56" w:rsidP="00597C20">
      <w:pPr>
        <w:widowControl/>
        <w:autoSpaceDE w:val="0"/>
        <w:autoSpaceDN w:val="0"/>
        <w:adjustRightInd w:val="0"/>
        <w:ind w:firstLine="720"/>
        <w:jc w:val="left"/>
        <w:rPr>
          <w:rFonts w:ascii="Traditional Arabic" w:hAnsi="Traditional Arabic"/>
          <w:noProof w:val="0"/>
          <w:rtl/>
          <w:lang w:eastAsia="en-US"/>
        </w:rPr>
      </w:pPr>
      <w:r w:rsidRPr="00065E4B">
        <w:rPr>
          <w:rFonts w:ascii="Traditional Arabic" w:hAnsi="Traditional Arabic" w:hint="cs"/>
          <w:noProof w:val="0"/>
          <w:rtl/>
          <w:lang w:eastAsia="en-US"/>
        </w:rPr>
        <w:t>لما كان العُرف دالاًّ على دخول الأرض في بيع النخل، وجب الرجوع إليه وتنزيل ألفاظ الناس في ذلك على ما يَتعارَفونه بينهم؛ لأن العُرف له أثرٌ كبيرٌ في معرفة مُراداتِ الناس ومَقاصِدهم مِن كلامهم؛ ولهذا كان المرجع في ما يتداوله الناس من الكلام والأفعال إلى العُرف.</w:t>
      </w:r>
    </w:p>
    <w:p w:rsidR="00065E4B" w:rsidRPr="00E7051E" w:rsidRDefault="001F7E56" w:rsidP="000A76C7">
      <w:pPr>
        <w:pStyle w:val="afc"/>
        <w:widowControl/>
        <w:numPr>
          <w:ilvl w:val="0"/>
          <w:numId w:val="72"/>
        </w:numPr>
        <w:autoSpaceDE w:val="0"/>
        <w:autoSpaceDN w:val="0"/>
        <w:adjustRightInd w:val="0"/>
        <w:rPr>
          <w:rFonts w:ascii="Traditional Arabic" w:hAnsi="Traditional Arabic"/>
          <w:noProof w:val="0"/>
          <w:color w:val="auto"/>
          <w:rtl/>
          <w:lang w:eastAsia="en-US"/>
        </w:rPr>
      </w:pPr>
      <w:r w:rsidRPr="00E7051E">
        <w:rPr>
          <w:rFonts w:ascii="Traditional Arabic" w:hAnsi="Traditional Arabic" w:hint="cs"/>
          <w:noProof w:val="0"/>
          <w:rtl/>
          <w:lang w:eastAsia="en-US"/>
        </w:rPr>
        <w:t>قال الفقهاء: "</w:t>
      </w:r>
      <w:r w:rsidRPr="00E7051E">
        <w:rPr>
          <w:rFonts w:ascii="Traditional Arabic" w:hAnsi="Traditional Arabic"/>
          <w:noProof w:val="0"/>
          <w:color w:val="auto"/>
          <w:rtl/>
          <w:lang w:eastAsia="en-US"/>
        </w:rPr>
        <w:t>على المؤج</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ر كل</w:t>
      </w:r>
      <w:r w:rsidR="00872DD6">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 xml:space="preserve"> ما يتمك</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ن به من الن</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ع كز</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مام الجم</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ل، ور</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ح</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له، وح</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زامه، والشد</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 xml:space="preserve"> عليه، وشد</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 xml:space="preserve"> الأحمال والمحام</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ل، والر</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ع والح</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ط</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 ول</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زوم البعير، ومفاتيح الدار وع</w:t>
      </w:r>
      <w:r>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مارتها</w:t>
      </w:r>
      <w:r w:rsidRPr="00E7051E">
        <w:rPr>
          <w:rFonts w:ascii="Traditional Arabic" w:hAnsi="Traditional Arabic" w:hint="cs"/>
          <w:noProof w:val="0"/>
          <w:color w:val="auto"/>
          <w:rtl/>
          <w:lang w:eastAsia="en-US"/>
        </w:rPr>
        <w:t>"</w:t>
      </w:r>
      <w:r w:rsidRPr="00E7051E">
        <w:rPr>
          <w:rFonts w:ascii="Traditional Arabic" w:hAnsi="Traditional Arabic"/>
          <w:noProof w:val="0"/>
          <w:color w:val="auto"/>
          <w:rtl/>
          <w:lang w:eastAsia="en-US"/>
        </w:rPr>
        <w:t>.</w:t>
      </w:r>
    </w:p>
    <w:p w:rsidR="001F7E56" w:rsidRDefault="00065E4B" w:rsidP="00597C20">
      <w:pPr>
        <w:widowControl/>
        <w:autoSpaceDE w:val="0"/>
        <w:autoSpaceDN w:val="0"/>
        <w:adjustRightInd w:val="0"/>
        <w:ind w:firstLine="720"/>
        <w:rPr>
          <w:rFonts w:ascii="Traditional Arabic" w:hAnsi="Traditional Arabic"/>
          <w:noProof w:val="0"/>
          <w:color w:val="auto"/>
          <w:rtl/>
          <w:lang w:eastAsia="en-US"/>
        </w:rPr>
      </w:pPr>
      <w:r w:rsidRPr="006C04D4">
        <w:rPr>
          <w:rFonts w:ascii="Traditional Arabic" w:hAnsi="Traditional Arabic"/>
          <w:noProof w:val="0"/>
          <w:rtl/>
          <w:lang w:eastAsia="en-US"/>
        </w:rPr>
        <w:t>و</w:t>
      </w:r>
      <w:r w:rsidR="001F7E56" w:rsidRPr="006C04D4">
        <w:rPr>
          <w:rFonts w:ascii="Traditional Arabic" w:hAnsi="Traditional Arabic"/>
          <w:noProof w:val="0"/>
          <w:rtl/>
          <w:lang w:eastAsia="en-US"/>
        </w:rPr>
        <w:t>كل هذا الذي قاله الفقهاء ـ رحمهم الله ـ يمكن أن يقال: إنه ي</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رج</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 xml:space="preserve">ع </w:t>
      </w:r>
      <w:r w:rsidR="001F7E56">
        <w:rPr>
          <w:rFonts w:ascii="Traditional Arabic" w:hAnsi="Traditional Arabic" w:hint="cs"/>
          <w:noProof w:val="0"/>
          <w:rtl/>
          <w:lang w:eastAsia="en-US"/>
        </w:rPr>
        <w:t xml:space="preserve">فيه </w:t>
      </w:r>
      <w:r w:rsidR="001F7E56" w:rsidRPr="006C04D4">
        <w:rPr>
          <w:rFonts w:ascii="Traditional Arabic" w:hAnsi="Traditional Arabic"/>
          <w:noProof w:val="0"/>
          <w:rtl/>
          <w:lang w:eastAsia="en-US"/>
        </w:rPr>
        <w:t>إلى الع</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 xml:space="preserve">رف فيما </w:t>
      </w:r>
      <w:r w:rsidR="001F7E56">
        <w:rPr>
          <w:rFonts w:ascii="Traditional Arabic" w:hAnsi="Traditional Arabic" w:hint="cs"/>
          <w:noProof w:val="0"/>
          <w:rtl/>
          <w:lang w:eastAsia="en-US"/>
        </w:rPr>
        <w:t xml:space="preserve"> </w:t>
      </w:r>
      <w:r w:rsidR="001F7E56" w:rsidRPr="006C04D4">
        <w:rPr>
          <w:rFonts w:ascii="Traditional Arabic" w:hAnsi="Traditional Arabic"/>
          <w:noProof w:val="0"/>
          <w:rtl/>
          <w:lang w:eastAsia="en-US"/>
        </w:rPr>
        <w:t>ج</w:t>
      </w:r>
      <w:r w:rsidR="001F7E56">
        <w:rPr>
          <w:rFonts w:ascii="Traditional Arabic" w:hAnsi="Traditional Arabic" w:hint="cs"/>
          <w:noProof w:val="0"/>
          <w:rtl/>
          <w:lang w:eastAsia="en-US"/>
        </w:rPr>
        <w:t>َرَ</w:t>
      </w:r>
      <w:r w:rsidR="001F7E56" w:rsidRPr="006C04D4">
        <w:rPr>
          <w:rFonts w:ascii="Traditional Arabic" w:hAnsi="Traditional Arabic"/>
          <w:noProof w:val="0"/>
          <w:rtl/>
          <w:lang w:eastAsia="en-US"/>
        </w:rPr>
        <w:t xml:space="preserve">ت </w:t>
      </w:r>
      <w:r w:rsidR="00872DD6">
        <w:rPr>
          <w:rFonts w:ascii="Traditional Arabic" w:hAnsi="Traditional Arabic" w:hint="cs"/>
          <w:noProof w:val="0"/>
          <w:rtl/>
          <w:lang w:eastAsia="en-US"/>
        </w:rPr>
        <w:t xml:space="preserve">به </w:t>
      </w:r>
      <w:r w:rsidR="001F7E56" w:rsidRPr="006C04D4">
        <w:rPr>
          <w:rFonts w:ascii="Traditional Arabic" w:hAnsi="Traditional Arabic"/>
          <w:noProof w:val="0"/>
          <w:rtl/>
          <w:lang w:eastAsia="en-US"/>
        </w:rPr>
        <w:t>العادة</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 xml:space="preserve"> أنه على المستأج</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ر أو على المؤج</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ر</w:t>
      </w:r>
      <w:r w:rsidR="001F7E56" w:rsidRPr="00C821A1">
        <w:rPr>
          <w:rStyle w:val="af1"/>
          <w:szCs w:val="32"/>
          <w:rtl/>
        </w:rPr>
        <w:t>(</w:t>
      </w:r>
      <w:r w:rsidR="001F7E56" w:rsidRPr="00C821A1">
        <w:rPr>
          <w:rStyle w:val="af1"/>
          <w:szCs w:val="32"/>
          <w:rtl/>
        </w:rPr>
        <w:footnoteReference w:id="435"/>
      </w:r>
      <w:r w:rsidR="001F7E56" w:rsidRPr="00C821A1">
        <w:rPr>
          <w:rStyle w:val="af1"/>
          <w:szCs w:val="32"/>
          <w:rtl/>
        </w:rPr>
        <w:t>)</w:t>
      </w:r>
      <w:r w:rsidR="001F7E56" w:rsidRPr="006C04D4">
        <w:rPr>
          <w:rFonts w:ascii="Traditional Arabic" w:hAnsi="Traditional Arabic"/>
          <w:noProof w:val="0"/>
          <w:rtl/>
          <w:lang w:eastAsia="en-US"/>
        </w:rPr>
        <w:t>.</w:t>
      </w:r>
    </w:p>
    <w:p w:rsidR="00065E4B" w:rsidRDefault="001F7E56" w:rsidP="00597C20">
      <w:pPr>
        <w:pStyle w:val="53"/>
        <w:rPr>
          <w:rtl/>
        </w:rPr>
      </w:pPr>
      <w:r w:rsidRPr="00E7051E">
        <w:rPr>
          <w:rFonts w:hint="cs"/>
          <w:rtl/>
        </w:rPr>
        <w:t>وجه اندراج الفرع تحت القاعدة:</w:t>
      </w:r>
    </w:p>
    <w:p w:rsidR="001F7E56"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إ</w:t>
      </w:r>
      <w:r w:rsidR="001F7E56">
        <w:rPr>
          <w:rFonts w:ascii="Traditional Arabic" w:hAnsi="Traditional Arabic" w:hint="cs"/>
          <w:noProof w:val="0"/>
          <w:rtl/>
          <w:lang w:eastAsia="en-US"/>
        </w:rPr>
        <w:t xml:space="preserve">ذا </w:t>
      </w:r>
      <w:r w:rsidR="001F7E56">
        <w:rPr>
          <w:rFonts w:ascii="Traditional Arabic" w:hAnsi="Traditional Arabic"/>
          <w:noProof w:val="0"/>
          <w:rtl/>
          <w:lang w:eastAsia="en-US"/>
        </w:rPr>
        <w:t>ك</w:t>
      </w:r>
      <w:r w:rsidR="001F7E56">
        <w:rPr>
          <w:rFonts w:ascii="Traditional Arabic" w:hAnsi="Traditional Arabic" w:hint="cs"/>
          <w:noProof w:val="0"/>
          <w:rtl/>
          <w:lang w:eastAsia="en-US"/>
        </w:rPr>
        <w:t>ا</w:t>
      </w:r>
      <w:r w:rsidR="001F7E56" w:rsidRPr="006C04D4">
        <w:rPr>
          <w:rFonts w:ascii="Traditional Arabic" w:hAnsi="Traditional Arabic"/>
          <w:noProof w:val="0"/>
          <w:rtl/>
          <w:lang w:eastAsia="en-US"/>
        </w:rPr>
        <w:t>ن الع</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رف م</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ط</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ردا</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 xml:space="preserve"> بأن هذا على المؤج</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ر وهذا على المستأج</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ر، فالواجب الرجوع إلى الع</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رف</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 xml:space="preserve"> لقول الله تعالى: </w:t>
      </w:r>
      <w:bookmarkStart w:id="88" w:name="سورة_المائدة_1"/>
      <w:r w:rsidR="001F7E56" w:rsidRPr="00E7051E">
        <w:rPr>
          <w:rFonts w:ascii="QCF_BSML" w:hAnsi="QCF_BSML" w:cs="QCF_BSML"/>
          <w:noProof w:val="0"/>
          <w:rtl/>
          <w:lang w:eastAsia="en-US"/>
        </w:rPr>
        <w:t xml:space="preserve">ﭽ </w:t>
      </w:r>
      <w:r w:rsidR="001F7E56" w:rsidRPr="00E7051E">
        <w:rPr>
          <w:rFonts w:ascii="QCF_P106" w:hAnsi="QCF_P106" w:cs="QCF_P106"/>
          <w:noProof w:val="0"/>
          <w:rtl/>
          <w:lang w:eastAsia="en-US"/>
        </w:rPr>
        <w:t>ﮊﮋﮌﮍﮎ</w:t>
      </w:r>
      <w:r w:rsidR="001F7E56" w:rsidRPr="00E7051E">
        <w:rPr>
          <w:rFonts w:ascii="QCF_BSML" w:hAnsi="QCF_BSML" w:cs="QCF_BSML"/>
          <w:noProof w:val="0"/>
          <w:rtl/>
          <w:lang w:eastAsia="en-US"/>
        </w:rPr>
        <w:t>ﭼ</w:t>
      </w:r>
      <w:bookmarkEnd w:id="88"/>
      <w:r w:rsidR="001F7E56" w:rsidRPr="006C04D4">
        <w:rPr>
          <w:rFonts w:ascii="Traditional Arabic" w:hAnsi="Traditional Arabic"/>
          <w:noProof w:val="0"/>
          <w:rtl/>
          <w:lang w:eastAsia="en-US"/>
        </w:rPr>
        <w:t>[المائدة: 1]</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 xml:space="preserve"> وهذا أمر</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 xml:space="preserve"> بالوفاء بالعقد ب</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أ</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ص</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له وصفاته وش</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ر</w:t>
      </w:r>
      <w:r w:rsidR="001F7E56">
        <w:rPr>
          <w:rFonts w:ascii="Traditional Arabic" w:hAnsi="Traditional Arabic" w:hint="cs"/>
          <w:noProof w:val="0"/>
          <w:rtl/>
          <w:lang w:eastAsia="en-US"/>
        </w:rPr>
        <w:t>ْ</w:t>
      </w:r>
      <w:r w:rsidR="001F7E56" w:rsidRPr="006C04D4">
        <w:rPr>
          <w:rFonts w:ascii="Traditional Arabic" w:hAnsi="Traditional Arabic"/>
          <w:noProof w:val="0"/>
          <w:rtl/>
          <w:lang w:eastAsia="en-US"/>
        </w:rPr>
        <w:t>طه</w:t>
      </w:r>
      <w:r w:rsidR="001F7E56">
        <w:rPr>
          <w:rFonts w:ascii="Traditional Arabic" w:hAnsi="Traditional Arabic" w:hint="cs"/>
          <w:noProof w:val="0"/>
          <w:rtl/>
          <w:lang w:eastAsia="en-US"/>
        </w:rPr>
        <w:t>، ولأن المرجع فيما يتداوَلُه الناس من الكلام والأفعال إلى العُرف</w:t>
      </w:r>
      <w:r w:rsidR="001F7E56" w:rsidRPr="00C821A1">
        <w:rPr>
          <w:rStyle w:val="af1"/>
          <w:szCs w:val="32"/>
          <w:rtl/>
        </w:rPr>
        <w:t>(</w:t>
      </w:r>
      <w:r w:rsidR="001F7E56" w:rsidRPr="00C821A1">
        <w:rPr>
          <w:rStyle w:val="af1"/>
          <w:szCs w:val="32"/>
          <w:rtl/>
        </w:rPr>
        <w:footnoteReference w:id="436"/>
      </w:r>
      <w:r w:rsidR="001F7E56" w:rsidRPr="00C821A1">
        <w:rPr>
          <w:rStyle w:val="af1"/>
          <w:szCs w:val="32"/>
          <w:rtl/>
        </w:rPr>
        <w:t>)</w:t>
      </w:r>
      <w:r w:rsidR="001F7E56">
        <w:rPr>
          <w:rFonts w:ascii="Traditional Arabic" w:hAnsi="Traditional Arabic" w:hint="cs"/>
          <w:noProof w:val="0"/>
          <w:rtl/>
          <w:lang w:eastAsia="en-US"/>
        </w:rPr>
        <w:t>.</w:t>
      </w:r>
    </w:p>
    <w:p w:rsidR="001F7E56" w:rsidRDefault="001F7E56" w:rsidP="000A76C7">
      <w:pPr>
        <w:pStyle w:val="afc"/>
        <w:numPr>
          <w:ilvl w:val="0"/>
          <w:numId w:val="72"/>
        </w:numPr>
        <w:rPr>
          <w:rFonts w:ascii="Traditional Arabic" w:hAnsi="Traditional Arabic"/>
        </w:rPr>
      </w:pPr>
      <w:r w:rsidRPr="005F7B6B">
        <w:rPr>
          <w:rFonts w:ascii="Traditional Arabic" w:hAnsi="Traditional Arabic" w:hint="cs"/>
          <w:rtl/>
        </w:rPr>
        <w:t>يجوز بيع</w:t>
      </w:r>
      <w:r>
        <w:rPr>
          <w:rFonts w:ascii="Traditional Arabic" w:hAnsi="Traditional Arabic" w:hint="cs"/>
          <w:rtl/>
        </w:rPr>
        <w:t>ُ</w:t>
      </w:r>
      <w:r w:rsidRPr="005F7B6B">
        <w:rPr>
          <w:rFonts w:ascii="Traditional Arabic" w:hAnsi="Traditional Arabic" w:hint="cs"/>
          <w:rtl/>
        </w:rPr>
        <w:t xml:space="preserve"> ما م</w:t>
      </w:r>
      <w:r>
        <w:rPr>
          <w:rFonts w:ascii="Traditional Arabic" w:hAnsi="Traditional Arabic" w:hint="cs"/>
          <w:rtl/>
        </w:rPr>
        <w:t>َ</w:t>
      </w:r>
      <w:r w:rsidRPr="005F7B6B">
        <w:rPr>
          <w:rFonts w:ascii="Traditional Arabic" w:hAnsi="Traditional Arabic" w:hint="cs"/>
          <w:rtl/>
        </w:rPr>
        <w:t>أ</w:t>
      </w:r>
      <w:r>
        <w:rPr>
          <w:rFonts w:ascii="Traditional Arabic" w:hAnsi="Traditional Arabic" w:hint="cs"/>
          <w:rtl/>
        </w:rPr>
        <w:t>ْ</w:t>
      </w:r>
      <w:r w:rsidRPr="005F7B6B">
        <w:rPr>
          <w:rFonts w:ascii="Traditional Arabic" w:hAnsi="Traditional Arabic" w:hint="cs"/>
          <w:rtl/>
        </w:rPr>
        <w:t>كول</w:t>
      </w:r>
      <w:r>
        <w:rPr>
          <w:rFonts w:ascii="Traditional Arabic" w:hAnsi="Traditional Arabic" w:hint="cs"/>
          <w:rtl/>
        </w:rPr>
        <w:t>ُ</w:t>
      </w:r>
      <w:r w:rsidRPr="005F7B6B">
        <w:rPr>
          <w:rFonts w:ascii="Traditional Arabic" w:hAnsi="Traditional Arabic" w:hint="cs"/>
          <w:rtl/>
        </w:rPr>
        <w:t>ه في ج</w:t>
      </w:r>
      <w:r>
        <w:rPr>
          <w:rFonts w:ascii="Traditional Arabic" w:hAnsi="Traditional Arabic" w:hint="cs"/>
          <w:rtl/>
        </w:rPr>
        <w:t>َ</w:t>
      </w:r>
      <w:r w:rsidRPr="005F7B6B">
        <w:rPr>
          <w:rFonts w:ascii="Traditional Arabic" w:hAnsi="Traditional Arabic" w:hint="cs"/>
          <w:rtl/>
        </w:rPr>
        <w:t>و</w:t>
      </w:r>
      <w:r>
        <w:rPr>
          <w:rFonts w:ascii="Traditional Arabic" w:hAnsi="Traditional Arabic" w:hint="cs"/>
          <w:rtl/>
        </w:rPr>
        <w:t>ْ</w:t>
      </w:r>
      <w:r w:rsidRPr="005F7B6B">
        <w:rPr>
          <w:rFonts w:ascii="Traditional Arabic" w:hAnsi="Traditional Arabic" w:hint="cs"/>
          <w:rtl/>
        </w:rPr>
        <w:t>ف</w:t>
      </w:r>
      <w:r>
        <w:rPr>
          <w:rFonts w:ascii="Traditional Arabic" w:hAnsi="Traditional Arabic" w:hint="cs"/>
          <w:rtl/>
        </w:rPr>
        <w:t>ِ</w:t>
      </w:r>
      <w:r w:rsidRPr="005F7B6B">
        <w:rPr>
          <w:rFonts w:ascii="Traditional Arabic" w:hAnsi="Traditional Arabic" w:hint="cs"/>
          <w:rtl/>
        </w:rPr>
        <w:t>ه كالر</w:t>
      </w:r>
      <w:r>
        <w:rPr>
          <w:rFonts w:ascii="Traditional Arabic" w:hAnsi="Traditional Arabic" w:hint="cs"/>
          <w:rtl/>
        </w:rPr>
        <w:t>ُّ</w:t>
      </w:r>
      <w:r w:rsidRPr="005F7B6B">
        <w:rPr>
          <w:rFonts w:ascii="Traditional Arabic" w:hAnsi="Traditional Arabic" w:hint="cs"/>
          <w:rtl/>
        </w:rPr>
        <w:t>م</w:t>
      </w:r>
      <w:r>
        <w:rPr>
          <w:rFonts w:ascii="Traditional Arabic" w:hAnsi="Traditional Arabic" w:hint="cs"/>
          <w:rtl/>
        </w:rPr>
        <w:t>َّ</w:t>
      </w:r>
      <w:r w:rsidRPr="005F7B6B">
        <w:rPr>
          <w:rFonts w:ascii="Traditional Arabic" w:hAnsi="Traditional Arabic" w:hint="cs"/>
          <w:rtl/>
        </w:rPr>
        <w:t>ان</w:t>
      </w:r>
      <w:r w:rsidR="00154102">
        <w:rPr>
          <w:rFonts w:ascii="Traditional Arabic" w:hAnsi="Traditional Arabic" w:hint="cs"/>
          <w:rtl/>
        </w:rPr>
        <w:t xml:space="preserve"> و</w:t>
      </w:r>
      <w:r w:rsidRPr="005F7B6B">
        <w:rPr>
          <w:rFonts w:ascii="Traditional Arabic" w:hAnsi="Traditional Arabic" w:hint="cs"/>
          <w:rtl/>
        </w:rPr>
        <w:t>البط</w:t>
      </w:r>
      <w:r>
        <w:rPr>
          <w:rFonts w:ascii="Traditional Arabic" w:hAnsi="Traditional Arabic" w:hint="cs"/>
          <w:rtl/>
        </w:rPr>
        <w:t>ِّ</w:t>
      </w:r>
      <w:r w:rsidRPr="005F7B6B">
        <w:rPr>
          <w:rFonts w:ascii="Traditional Arabic" w:hAnsi="Traditional Arabic" w:hint="cs"/>
          <w:rtl/>
        </w:rPr>
        <w:t>يخ،</w:t>
      </w:r>
      <w:r w:rsidR="00B4089C">
        <w:rPr>
          <w:rFonts w:ascii="Traditional Arabic" w:hAnsi="Traditional Arabic" w:hint="cs"/>
          <w:rtl/>
        </w:rPr>
        <w:t xml:space="preserve"> </w:t>
      </w:r>
      <w:r w:rsidRPr="005F7B6B">
        <w:rPr>
          <w:rFonts w:ascii="Traditional Arabic" w:hAnsi="Traditional Arabic" w:hint="cs"/>
          <w:rtl/>
        </w:rPr>
        <w:t>و</w:t>
      </w:r>
      <w:r>
        <w:rPr>
          <w:rFonts w:ascii="Traditional Arabic" w:hAnsi="Traditional Arabic" w:hint="cs"/>
          <w:rtl/>
        </w:rPr>
        <w:t xml:space="preserve">يجوز </w:t>
      </w:r>
      <w:r w:rsidRPr="005F7B6B">
        <w:rPr>
          <w:rFonts w:ascii="Traditional Arabic" w:hAnsi="Traditional Arabic" w:hint="cs"/>
          <w:rtl/>
        </w:rPr>
        <w:t>بيع الفول والحم</w:t>
      </w:r>
      <w:r>
        <w:rPr>
          <w:rFonts w:ascii="Traditional Arabic" w:hAnsi="Traditional Arabic" w:hint="cs"/>
          <w:rtl/>
        </w:rPr>
        <w:t>ُّ</w:t>
      </w:r>
      <w:r w:rsidRPr="005F7B6B">
        <w:rPr>
          <w:rFonts w:ascii="Traditional Arabic" w:hAnsi="Traditional Arabic" w:hint="cs"/>
          <w:rtl/>
        </w:rPr>
        <w:t>ص والج</w:t>
      </w:r>
      <w:r>
        <w:rPr>
          <w:rFonts w:ascii="Traditional Arabic" w:hAnsi="Traditional Arabic" w:hint="cs"/>
          <w:rtl/>
        </w:rPr>
        <w:t>َ</w:t>
      </w:r>
      <w:r w:rsidRPr="005F7B6B">
        <w:rPr>
          <w:rFonts w:ascii="Traditional Arabic" w:hAnsi="Traditional Arabic" w:hint="cs"/>
          <w:rtl/>
        </w:rPr>
        <w:t>و</w:t>
      </w:r>
      <w:r>
        <w:rPr>
          <w:rFonts w:ascii="Traditional Arabic" w:hAnsi="Traditional Arabic" w:hint="cs"/>
          <w:rtl/>
        </w:rPr>
        <w:t>ْ</w:t>
      </w:r>
      <w:r w:rsidRPr="005F7B6B">
        <w:rPr>
          <w:rFonts w:ascii="Traditional Arabic" w:hAnsi="Traditional Arabic" w:hint="cs"/>
          <w:rtl/>
        </w:rPr>
        <w:t>ز والل</w:t>
      </w:r>
      <w:r>
        <w:rPr>
          <w:rFonts w:ascii="Traditional Arabic" w:hAnsi="Traditional Arabic" w:hint="cs"/>
          <w:rtl/>
        </w:rPr>
        <w:t>َّ</w:t>
      </w:r>
      <w:r w:rsidRPr="005F7B6B">
        <w:rPr>
          <w:rFonts w:ascii="Traditional Arabic" w:hAnsi="Traditional Arabic" w:hint="cs"/>
          <w:rtl/>
        </w:rPr>
        <w:t>و</w:t>
      </w:r>
      <w:r>
        <w:rPr>
          <w:rFonts w:ascii="Traditional Arabic" w:hAnsi="Traditional Arabic" w:hint="cs"/>
          <w:rtl/>
        </w:rPr>
        <w:t>ْ</w:t>
      </w:r>
      <w:r w:rsidRPr="005F7B6B">
        <w:rPr>
          <w:rFonts w:ascii="Traditional Arabic" w:hAnsi="Traditional Arabic" w:hint="cs"/>
          <w:rtl/>
        </w:rPr>
        <w:t>ز ونحو</w:t>
      </w:r>
      <w:r>
        <w:rPr>
          <w:rFonts w:ascii="Traditional Arabic" w:hAnsi="Traditional Arabic" w:hint="cs"/>
          <w:rtl/>
        </w:rPr>
        <w:t>ِ</w:t>
      </w:r>
      <w:r w:rsidRPr="005F7B6B">
        <w:rPr>
          <w:rFonts w:ascii="Traditional Arabic" w:hAnsi="Traditional Arabic" w:hint="cs"/>
          <w:rtl/>
        </w:rPr>
        <w:t>ها في قِشْرِها؛ لاحتياج الن</w:t>
      </w:r>
      <w:r>
        <w:rPr>
          <w:rFonts w:ascii="Traditional Arabic" w:hAnsi="Traditional Arabic" w:hint="cs"/>
          <w:rtl/>
        </w:rPr>
        <w:t>اس إلى هذه البيوع؛</w:t>
      </w:r>
      <w:r w:rsidRPr="005F7B6B">
        <w:rPr>
          <w:rFonts w:ascii="Traditional Arabic" w:hAnsi="Traditional Arabic" w:hint="cs"/>
          <w:rtl/>
        </w:rPr>
        <w:t xml:space="preserve"> ولأن فتحها يكون سببا</w:t>
      </w:r>
      <w:r w:rsidR="00B4089C">
        <w:rPr>
          <w:rFonts w:ascii="Traditional Arabic" w:hAnsi="Traditional Arabic" w:hint="cs"/>
          <w:rtl/>
        </w:rPr>
        <w:t>ً</w:t>
      </w:r>
      <w:r w:rsidRPr="005F7B6B">
        <w:rPr>
          <w:rFonts w:ascii="Traditional Arabic" w:hAnsi="Traditional Arabic" w:hint="cs"/>
          <w:rtl/>
        </w:rPr>
        <w:t xml:space="preserve"> لفسادها؛ كما أن</w:t>
      </w:r>
      <w:r>
        <w:rPr>
          <w:rFonts w:ascii="Traditional Arabic" w:hAnsi="Traditional Arabic" w:hint="cs"/>
          <w:rtl/>
        </w:rPr>
        <w:t>ه مما جَرَتْ به</w:t>
      </w:r>
      <w:r w:rsidRPr="005F7B6B">
        <w:rPr>
          <w:rFonts w:ascii="Traditional Arabic" w:hAnsi="Traditional Arabic" w:hint="cs"/>
          <w:rtl/>
        </w:rPr>
        <w:t xml:space="preserve"> عادة</w:t>
      </w:r>
      <w:r>
        <w:rPr>
          <w:rFonts w:ascii="Traditional Arabic" w:hAnsi="Traditional Arabic" w:hint="cs"/>
          <w:rtl/>
        </w:rPr>
        <w:t>ُ</w:t>
      </w:r>
      <w:r w:rsidRPr="005F7B6B">
        <w:rPr>
          <w:rFonts w:ascii="Traditional Arabic" w:hAnsi="Traditional Arabic" w:hint="cs"/>
          <w:rtl/>
        </w:rPr>
        <w:t xml:space="preserve"> الناس</w:t>
      </w:r>
      <w:r w:rsidRPr="00C821A1">
        <w:rPr>
          <w:rFonts w:ascii="Traditional Arabic" w:hAnsi="Traditional Arabic"/>
          <w:b/>
          <w:szCs w:val="32"/>
          <w:vertAlign w:val="superscript"/>
          <w:rtl/>
        </w:rPr>
        <w:t>(</w:t>
      </w:r>
      <w:r w:rsidRPr="00C821A1">
        <w:rPr>
          <w:b/>
          <w:szCs w:val="32"/>
          <w:vertAlign w:val="superscript"/>
          <w:rtl/>
        </w:rPr>
        <w:footnoteReference w:id="437"/>
      </w:r>
      <w:r w:rsidRPr="00C821A1">
        <w:rPr>
          <w:rFonts w:ascii="Traditional Arabic" w:hAnsi="Traditional Arabic"/>
          <w:b/>
          <w:szCs w:val="32"/>
          <w:vertAlign w:val="superscript"/>
          <w:rtl/>
        </w:rPr>
        <w:t>)</w:t>
      </w:r>
      <w:r w:rsidRPr="005F7B6B">
        <w:rPr>
          <w:rFonts w:ascii="Traditional Arabic" w:hAnsi="Traditional Arabic" w:hint="cs"/>
          <w:rtl/>
        </w:rPr>
        <w:t>.</w:t>
      </w:r>
    </w:p>
    <w:p w:rsidR="001F7E56" w:rsidRDefault="001F7E56" w:rsidP="00597C20">
      <w:pPr>
        <w:pStyle w:val="53"/>
        <w:rPr>
          <w:rtl/>
        </w:rPr>
      </w:pPr>
      <w:r w:rsidRPr="00E7051E">
        <w:rPr>
          <w:rFonts w:hint="cs"/>
          <w:rtl/>
        </w:rPr>
        <w:lastRenderedPageBreak/>
        <w:t>وجه اندراج الفرع تحت القاعدة:</w:t>
      </w:r>
    </w:p>
    <w:p w:rsidR="00F228A9" w:rsidRDefault="001F7E56" w:rsidP="00597C20">
      <w:pPr>
        <w:ind w:firstLine="720"/>
        <w:rPr>
          <w:rFonts w:ascii="Traditional Arabic" w:hAnsi="Traditional Arabic"/>
          <w:rtl/>
        </w:rPr>
      </w:pPr>
      <w:r w:rsidRPr="00065E4B">
        <w:rPr>
          <w:rFonts w:ascii="Traditional Arabic" w:hAnsi="Traditional Arabic" w:hint="cs"/>
          <w:rtl/>
        </w:rPr>
        <w:t>هذه البيوع مما تعارَف عليه الناس وتعامَلوا به مِن غيرِ نَكيرٍ، فتكون جائزة إعمالاً للعُرف؛ لأن المرجع فيما يتداوله الناس من الأقوال والأفعال إلى العرف.</w:t>
      </w:r>
    </w:p>
    <w:p w:rsidR="003E0A64" w:rsidRPr="00065E4B" w:rsidRDefault="003E0A64" w:rsidP="00597C20">
      <w:pPr>
        <w:ind w:firstLine="720"/>
        <w:rPr>
          <w:rFonts w:ascii="Traditional Arabic" w:hAnsi="Traditional Arabic"/>
          <w:rtl/>
        </w:rPr>
      </w:pPr>
    </w:p>
    <w:p w:rsidR="00256371" w:rsidRPr="00C85F0F" w:rsidRDefault="00690470" w:rsidP="000F5C0F">
      <w:pPr>
        <w:pStyle w:val="aff2"/>
        <w:rPr>
          <w:rtl/>
        </w:rPr>
      </w:pPr>
      <w:bookmarkStart w:id="89" w:name="_Toc334046345"/>
      <w:r>
        <w:rPr>
          <w:rFonts w:hint="cs"/>
          <w:rtl/>
        </w:rPr>
        <w:lastRenderedPageBreak/>
        <w:t>المبحث الثاني</w:t>
      </w:r>
      <w:r w:rsidR="00256371">
        <w:rPr>
          <w:rFonts w:hint="eastAsia"/>
          <w:rtl/>
        </w:rPr>
        <w:t> </w:t>
      </w:r>
      <w:r w:rsidR="00256371">
        <w:rPr>
          <w:rFonts w:hint="cs"/>
          <w:rtl/>
        </w:rPr>
        <w:t>:</w:t>
      </w:r>
      <w:r w:rsidR="00256371">
        <w:rPr>
          <w:rFonts w:hint="cs"/>
          <w:rtl/>
        </w:rPr>
        <w:br/>
      </w:r>
      <w:r w:rsidR="00256371" w:rsidRPr="00411E67">
        <w:rPr>
          <w:rFonts w:hint="cs"/>
          <w:rtl/>
        </w:rPr>
        <w:t>قاعدة</w:t>
      </w:r>
      <w:r w:rsidR="00256371">
        <w:rPr>
          <w:rtl/>
        </w:rPr>
        <w:br/>
      </w:r>
      <w:r w:rsidR="00256371">
        <w:rPr>
          <w:rFonts w:hint="cs"/>
          <w:rtl/>
        </w:rPr>
        <w:t>"الشرط العرفي كالشرط اللفظي</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الشرطالعرفيكالشرطاللفظي</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256371" w:rsidRPr="00C85F0F">
        <w:rPr>
          <w:rFonts w:hint="cs"/>
          <w:rtl/>
        </w:rPr>
        <w:t>"</w:t>
      </w:r>
      <w:r w:rsidR="00256371" w:rsidRPr="00C85F0F">
        <w:rPr>
          <w:rStyle w:val="af1"/>
          <w:b w:val="0"/>
          <w:bCs w:val="0"/>
          <w:szCs w:val="32"/>
          <w:rtl/>
        </w:rPr>
        <w:t>(</w:t>
      </w:r>
      <w:r w:rsidR="00256371" w:rsidRPr="00C85F0F">
        <w:rPr>
          <w:rStyle w:val="af1"/>
          <w:b w:val="0"/>
          <w:bCs w:val="0"/>
          <w:szCs w:val="32"/>
          <w:rtl/>
        </w:rPr>
        <w:footnoteReference w:id="438"/>
      </w:r>
      <w:r w:rsidR="00256371" w:rsidRPr="00C85F0F">
        <w:rPr>
          <w:rStyle w:val="af1"/>
          <w:b w:val="0"/>
          <w:bCs w:val="0"/>
          <w:szCs w:val="32"/>
          <w:rtl/>
        </w:rPr>
        <w:t>)</w:t>
      </w:r>
      <w:bookmarkEnd w:id="89"/>
    </w:p>
    <w:p w:rsidR="00256371" w:rsidRPr="00872DD6" w:rsidRDefault="00B4089C" w:rsidP="00A8347C">
      <w:pPr>
        <w:pStyle w:val="aff3"/>
        <w:rPr>
          <w:rtl/>
        </w:rPr>
      </w:pPr>
      <w:bookmarkStart w:id="90" w:name="_Toc334046346"/>
      <w:r w:rsidRPr="00872DD6">
        <w:rPr>
          <w:rFonts w:hint="cs"/>
          <w:rtl/>
        </w:rPr>
        <w:t xml:space="preserve">                   </w:t>
      </w:r>
      <w:r w:rsidR="00CC16EF" w:rsidRPr="00872DD6">
        <w:rPr>
          <w:rFonts w:hint="cs"/>
          <w:rtl/>
        </w:rPr>
        <w:t xml:space="preserve">                      </w:t>
      </w:r>
      <w:r w:rsidR="00256371" w:rsidRPr="00872DD6">
        <w:rPr>
          <w:rFonts w:hint="cs"/>
          <w:rtl/>
        </w:rPr>
        <w:t>المطلب الأول</w:t>
      </w:r>
      <w:r w:rsidR="00256371" w:rsidRPr="00872DD6">
        <w:rPr>
          <w:rFonts w:hint="eastAsia"/>
          <w:rtl/>
        </w:rPr>
        <w:t> </w:t>
      </w:r>
      <w:r w:rsidR="00256371" w:rsidRPr="00872DD6">
        <w:rPr>
          <w:rFonts w:hint="cs"/>
          <w:rtl/>
        </w:rPr>
        <w:t>:</w:t>
      </w:r>
      <w:r w:rsidR="00256371" w:rsidRPr="00872DD6">
        <w:rPr>
          <w:rFonts w:hint="cs"/>
          <w:rtl/>
        </w:rPr>
        <w:br/>
      </w:r>
      <w:r w:rsidRPr="00872DD6">
        <w:rPr>
          <w:rFonts w:hint="cs"/>
          <w:rtl/>
        </w:rPr>
        <w:t xml:space="preserve">            </w:t>
      </w:r>
      <w:r w:rsidR="00CC16EF" w:rsidRPr="00872DD6">
        <w:rPr>
          <w:rFonts w:hint="cs"/>
          <w:rtl/>
        </w:rPr>
        <w:t xml:space="preserve">            </w:t>
      </w:r>
      <w:r w:rsidR="00256371" w:rsidRPr="00872DD6">
        <w:rPr>
          <w:rFonts w:hint="cs"/>
          <w:rtl/>
        </w:rPr>
        <w:t>صيغ القاعدة عند الشيخ وعند علماء القواعد</w:t>
      </w:r>
      <w:bookmarkEnd w:id="90"/>
    </w:p>
    <w:p w:rsidR="00256371" w:rsidRPr="00C85F0F" w:rsidRDefault="00256371" w:rsidP="00597C20">
      <w:pPr>
        <w:rPr>
          <w:rtl/>
        </w:rPr>
      </w:pPr>
      <w:r w:rsidRPr="00C85F0F">
        <w:rPr>
          <w:rFonts w:hint="cs"/>
          <w:rtl/>
        </w:rPr>
        <w:t xml:space="preserve">وردت هذه القاعدة عند الشيخ ابن عثيمين </w:t>
      </w:r>
      <w:r w:rsidR="00CC16EF">
        <w:rPr>
          <w:rFonts w:hint="cs"/>
          <w:rtl/>
        </w:rPr>
        <w:t>_</w:t>
      </w:r>
      <w:r w:rsidR="009A0575" w:rsidRPr="005D5694">
        <w:rPr>
          <w:rFonts w:ascii="Traditional Arabic" w:hAnsi="Traditional Arabic" w:cs="CTraditional Arabic" w:hint="cs"/>
          <w:rtl/>
        </w:rPr>
        <w:t>/</w:t>
      </w:r>
      <w:r w:rsidR="00CC16EF">
        <w:rPr>
          <w:rFonts w:hint="cs"/>
          <w:rtl/>
        </w:rPr>
        <w:t>_</w:t>
      </w:r>
      <w:r w:rsidRPr="00C85F0F">
        <w:rPr>
          <w:rFonts w:hint="cs"/>
          <w:rtl/>
        </w:rPr>
        <w:t xml:space="preserve"> بعدة صيغ، منها:</w:t>
      </w:r>
    </w:p>
    <w:p w:rsidR="00256371" w:rsidRPr="00C85F0F" w:rsidRDefault="00256371" w:rsidP="000A76C7">
      <w:pPr>
        <w:numPr>
          <w:ilvl w:val="0"/>
          <w:numId w:val="76"/>
        </w:numPr>
        <w:rPr>
          <w:rtl/>
        </w:rPr>
      </w:pPr>
      <w:r w:rsidRPr="00C85F0F">
        <w:rPr>
          <w:rFonts w:ascii="Traditional Arabic" w:hAnsi="Traditional Arabic"/>
          <w:noProof w:val="0"/>
          <w:rtl/>
          <w:lang w:eastAsia="en-US"/>
        </w:rPr>
        <w:t>الشر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 الع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رفي كالشر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 الل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ظي</w:t>
      </w:r>
      <w:r w:rsidRPr="00C85F0F">
        <w:rPr>
          <w:rStyle w:val="af1"/>
          <w:szCs w:val="32"/>
          <w:rtl/>
        </w:rPr>
        <w:t>(</w:t>
      </w:r>
      <w:r w:rsidRPr="00C85F0F">
        <w:rPr>
          <w:rStyle w:val="af1"/>
          <w:szCs w:val="32"/>
          <w:rtl/>
        </w:rPr>
        <w:footnoteReference w:id="439"/>
      </w:r>
      <w:r w:rsidRPr="00C85F0F">
        <w:rPr>
          <w:rStyle w:val="af1"/>
          <w:szCs w:val="32"/>
          <w:rtl/>
        </w:rPr>
        <w:t>)</w:t>
      </w:r>
      <w:r w:rsidRPr="00C85F0F">
        <w:rPr>
          <w:rFonts w:hint="cs"/>
          <w:rtl/>
        </w:rPr>
        <w:t>.</w:t>
      </w:r>
    </w:p>
    <w:p w:rsidR="00256371" w:rsidRPr="00C85F0F" w:rsidRDefault="00256371" w:rsidP="000A76C7">
      <w:pPr>
        <w:numPr>
          <w:ilvl w:val="0"/>
          <w:numId w:val="76"/>
        </w:numPr>
      </w:pPr>
      <w:r w:rsidRPr="00C85F0F">
        <w:rPr>
          <w:rFonts w:hint="cs"/>
          <w:rtl/>
        </w:rPr>
        <w:t>العُرف ال</w:t>
      </w:r>
      <w:r w:rsidR="00CC16EF">
        <w:rPr>
          <w:rFonts w:hint="cs"/>
          <w:rtl/>
        </w:rPr>
        <w:t>ْ</w:t>
      </w:r>
      <w:r w:rsidRPr="00C85F0F">
        <w:rPr>
          <w:rFonts w:hint="cs"/>
          <w:rtl/>
        </w:rPr>
        <w:t>م</w:t>
      </w:r>
      <w:r w:rsidR="00CC16EF">
        <w:rPr>
          <w:rFonts w:hint="cs"/>
          <w:rtl/>
        </w:rPr>
        <w:t>ُ</w:t>
      </w:r>
      <w:r w:rsidRPr="00C85F0F">
        <w:rPr>
          <w:rFonts w:hint="cs"/>
          <w:rtl/>
        </w:rPr>
        <w:t>طَّرِد كالشرط اللفظي</w:t>
      </w:r>
      <w:r w:rsidRPr="00C85F0F">
        <w:rPr>
          <w:rStyle w:val="af1"/>
          <w:szCs w:val="32"/>
          <w:rtl/>
        </w:rPr>
        <w:t>(</w:t>
      </w:r>
      <w:r w:rsidRPr="00C85F0F">
        <w:rPr>
          <w:rStyle w:val="af1"/>
          <w:szCs w:val="32"/>
          <w:rtl/>
        </w:rPr>
        <w:footnoteReference w:id="440"/>
      </w:r>
      <w:r w:rsidRPr="00C85F0F">
        <w:rPr>
          <w:rStyle w:val="af1"/>
          <w:szCs w:val="32"/>
          <w:rtl/>
        </w:rPr>
        <w:t>)</w:t>
      </w:r>
      <w:r w:rsidRPr="00C85F0F">
        <w:rPr>
          <w:rFonts w:hint="cs"/>
          <w:rtl/>
        </w:rPr>
        <w:t>.</w:t>
      </w:r>
    </w:p>
    <w:p w:rsidR="00256371" w:rsidRPr="00C85F0F" w:rsidRDefault="00256371" w:rsidP="000A76C7">
      <w:pPr>
        <w:numPr>
          <w:ilvl w:val="0"/>
          <w:numId w:val="76"/>
        </w:numPr>
      </w:pPr>
      <w:r w:rsidRPr="00C85F0F">
        <w:rPr>
          <w:rFonts w:hint="cs"/>
          <w:rtl/>
        </w:rPr>
        <w:t>الاطِّراد العُرفي كالشرط اللفظي</w:t>
      </w:r>
      <w:r w:rsidRPr="00C85F0F">
        <w:rPr>
          <w:rStyle w:val="af1"/>
          <w:szCs w:val="32"/>
          <w:rtl/>
        </w:rPr>
        <w:t>(</w:t>
      </w:r>
      <w:r w:rsidRPr="00C85F0F">
        <w:rPr>
          <w:rStyle w:val="af1"/>
          <w:szCs w:val="32"/>
          <w:rtl/>
        </w:rPr>
        <w:footnoteReference w:id="441"/>
      </w:r>
      <w:r w:rsidRPr="00C85F0F">
        <w:rPr>
          <w:rStyle w:val="af1"/>
          <w:szCs w:val="32"/>
          <w:rtl/>
        </w:rPr>
        <w:t>)</w:t>
      </w:r>
      <w:r w:rsidRPr="00C85F0F">
        <w:rPr>
          <w:rFonts w:hint="cs"/>
          <w:rtl/>
        </w:rPr>
        <w:t>.</w:t>
      </w:r>
    </w:p>
    <w:p w:rsidR="00256371" w:rsidRPr="00C85F0F" w:rsidRDefault="00256371" w:rsidP="000A76C7">
      <w:pPr>
        <w:numPr>
          <w:ilvl w:val="0"/>
          <w:numId w:val="76"/>
        </w:numPr>
      </w:pPr>
      <w:r w:rsidRPr="00C85F0F">
        <w:rPr>
          <w:rFonts w:ascii="Traditional Arabic" w:hAnsi="Traditional Arabic"/>
          <w:noProof w:val="0"/>
          <w:rtl/>
          <w:lang w:eastAsia="en-US"/>
        </w:rPr>
        <w:t>ما اط</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به الع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رف كالمشروط لفظا</w:t>
      </w:r>
      <w:r w:rsidRPr="00C85F0F">
        <w:rPr>
          <w:rFonts w:ascii="Traditional Arabic" w:hAnsi="Traditional Arabic" w:hint="cs"/>
          <w:noProof w:val="0"/>
          <w:rtl/>
          <w:lang w:eastAsia="en-US"/>
        </w:rPr>
        <w:t xml:space="preserve">ً </w:t>
      </w:r>
      <w:r w:rsidRPr="00C85F0F">
        <w:rPr>
          <w:rStyle w:val="af1"/>
          <w:szCs w:val="32"/>
          <w:rtl/>
        </w:rPr>
        <w:t>(</w:t>
      </w:r>
      <w:r w:rsidRPr="00C85F0F">
        <w:rPr>
          <w:rStyle w:val="af1"/>
          <w:szCs w:val="32"/>
          <w:rtl/>
        </w:rPr>
        <w:footnoteReference w:id="442"/>
      </w:r>
      <w:r w:rsidRPr="00C85F0F">
        <w:rPr>
          <w:rStyle w:val="af1"/>
          <w:szCs w:val="32"/>
          <w:rtl/>
        </w:rPr>
        <w:t>)</w:t>
      </w:r>
      <w:r w:rsidRPr="00C85F0F">
        <w:rPr>
          <w:rFonts w:hint="cs"/>
          <w:rtl/>
        </w:rPr>
        <w:t>.</w:t>
      </w:r>
    </w:p>
    <w:p w:rsidR="00256371" w:rsidRPr="00C85F0F" w:rsidRDefault="00256371" w:rsidP="000A76C7">
      <w:pPr>
        <w:numPr>
          <w:ilvl w:val="0"/>
          <w:numId w:val="76"/>
        </w:numPr>
      </w:pPr>
      <w:r w:rsidRPr="00C85F0F">
        <w:rPr>
          <w:rFonts w:hint="cs"/>
          <w:rtl/>
        </w:rPr>
        <w:t>الأعراف المطَّرِدَة كالألفاظ المنطوقة</w:t>
      </w:r>
      <w:r w:rsidRPr="00C85F0F">
        <w:rPr>
          <w:rStyle w:val="af1"/>
          <w:szCs w:val="32"/>
          <w:rtl/>
        </w:rPr>
        <w:t>(</w:t>
      </w:r>
      <w:r w:rsidRPr="00C85F0F">
        <w:rPr>
          <w:rStyle w:val="af1"/>
          <w:szCs w:val="32"/>
          <w:rtl/>
        </w:rPr>
        <w:footnoteReference w:id="443"/>
      </w:r>
      <w:r w:rsidRPr="00C85F0F">
        <w:rPr>
          <w:rStyle w:val="af1"/>
          <w:szCs w:val="32"/>
          <w:rtl/>
        </w:rPr>
        <w:t>)</w:t>
      </w:r>
      <w:r w:rsidRPr="00C85F0F">
        <w:rPr>
          <w:rFonts w:hint="cs"/>
          <w:rtl/>
        </w:rPr>
        <w:t>.</w:t>
      </w:r>
    </w:p>
    <w:p w:rsidR="00256371" w:rsidRPr="00C85F0F" w:rsidRDefault="00256371" w:rsidP="000A76C7">
      <w:pPr>
        <w:numPr>
          <w:ilvl w:val="0"/>
          <w:numId w:val="76"/>
        </w:numPr>
      </w:pPr>
      <w:r w:rsidRPr="00C85F0F">
        <w:rPr>
          <w:rFonts w:hint="cs"/>
          <w:rtl/>
        </w:rPr>
        <w:t>الشرط العُرفي المطَّرد كالشرط اللفظي</w:t>
      </w:r>
      <w:r w:rsidRPr="00C85F0F">
        <w:rPr>
          <w:rStyle w:val="af1"/>
          <w:szCs w:val="32"/>
          <w:rtl/>
        </w:rPr>
        <w:t>(</w:t>
      </w:r>
      <w:r w:rsidRPr="00C85F0F">
        <w:rPr>
          <w:rStyle w:val="af1"/>
          <w:szCs w:val="32"/>
          <w:rtl/>
        </w:rPr>
        <w:footnoteReference w:id="444"/>
      </w:r>
      <w:r w:rsidRPr="00C85F0F">
        <w:rPr>
          <w:rStyle w:val="af1"/>
          <w:szCs w:val="32"/>
          <w:rtl/>
        </w:rPr>
        <w:t>)</w:t>
      </w:r>
      <w:r w:rsidRPr="00C85F0F">
        <w:rPr>
          <w:rFonts w:hint="cs"/>
          <w:rtl/>
        </w:rPr>
        <w:t>.</w:t>
      </w:r>
    </w:p>
    <w:p w:rsidR="00256371" w:rsidRPr="00C85F0F" w:rsidRDefault="00256371" w:rsidP="000A76C7">
      <w:pPr>
        <w:numPr>
          <w:ilvl w:val="0"/>
          <w:numId w:val="76"/>
        </w:numPr>
      </w:pPr>
      <w:r w:rsidRPr="00C85F0F">
        <w:rPr>
          <w:rFonts w:hint="cs"/>
          <w:rtl/>
        </w:rPr>
        <w:t>واجعلْ كلفظٍ كلَّ عُرفٍ مُطَّرِدْ</w:t>
      </w:r>
      <w:r w:rsidR="00B4089C">
        <w:rPr>
          <w:rFonts w:hint="cs"/>
          <w:rtl/>
        </w:rPr>
        <w:t xml:space="preserve">      </w:t>
      </w:r>
      <w:r w:rsidRPr="00C85F0F">
        <w:rPr>
          <w:rFonts w:hint="cs"/>
          <w:rtl/>
        </w:rPr>
        <w:t>فشرْطُنا العُرْفيُّ</w:t>
      </w:r>
      <w:r w:rsidR="00B4089C">
        <w:rPr>
          <w:rFonts w:hint="cs"/>
          <w:rtl/>
        </w:rPr>
        <w:t xml:space="preserve"> </w:t>
      </w:r>
      <w:r w:rsidRPr="00C85F0F">
        <w:rPr>
          <w:rFonts w:hint="cs"/>
          <w:rtl/>
        </w:rPr>
        <w:t xml:space="preserve"> كاللَّفظِيْ يَرِدْ</w:t>
      </w:r>
      <w:r w:rsidRPr="00C85F0F">
        <w:rPr>
          <w:rStyle w:val="af1"/>
          <w:szCs w:val="32"/>
          <w:rtl/>
        </w:rPr>
        <w:t>(</w:t>
      </w:r>
      <w:r w:rsidRPr="00C85F0F">
        <w:rPr>
          <w:rStyle w:val="af1"/>
          <w:szCs w:val="32"/>
          <w:rtl/>
        </w:rPr>
        <w:footnoteReference w:id="445"/>
      </w:r>
      <w:r w:rsidRPr="00C85F0F">
        <w:rPr>
          <w:rStyle w:val="af1"/>
          <w:szCs w:val="32"/>
          <w:rtl/>
        </w:rPr>
        <w:t>)</w:t>
      </w:r>
      <w:r w:rsidRPr="00C85F0F">
        <w:rPr>
          <w:rFonts w:hint="cs"/>
          <w:rtl/>
        </w:rPr>
        <w:t>.</w:t>
      </w:r>
    </w:p>
    <w:p w:rsidR="00256371" w:rsidRPr="00C85F0F" w:rsidRDefault="00256371" w:rsidP="00597C20">
      <w:pPr>
        <w:rPr>
          <w:rtl/>
        </w:rPr>
      </w:pPr>
      <w:r w:rsidRPr="00C85F0F">
        <w:rPr>
          <w:rFonts w:hint="cs"/>
          <w:rtl/>
        </w:rPr>
        <w:lastRenderedPageBreak/>
        <w:t>و وردت هذه القاعدة عند علماء القواعد بعدة صيغ، منها:</w:t>
      </w:r>
    </w:p>
    <w:p w:rsidR="00256371" w:rsidRPr="00C85F0F" w:rsidRDefault="00256371" w:rsidP="000A76C7">
      <w:pPr>
        <w:pStyle w:val="afc"/>
        <w:numPr>
          <w:ilvl w:val="0"/>
          <w:numId w:val="79"/>
        </w:numPr>
      </w:pPr>
      <w:r w:rsidRPr="00C85F0F">
        <w:rPr>
          <w:rFonts w:hint="cs"/>
          <w:rtl/>
        </w:rPr>
        <w:t>الشرط العرفي كالشرط اللفظي</w:t>
      </w:r>
      <w:r w:rsidRPr="00C85F0F">
        <w:rPr>
          <w:rStyle w:val="af1"/>
          <w:szCs w:val="32"/>
          <w:rtl/>
        </w:rPr>
        <w:t>(</w:t>
      </w:r>
      <w:r w:rsidRPr="00C85F0F">
        <w:rPr>
          <w:rStyle w:val="af1"/>
          <w:szCs w:val="32"/>
          <w:rtl/>
        </w:rPr>
        <w:footnoteReference w:id="446"/>
      </w:r>
      <w:r w:rsidRPr="00C85F0F">
        <w:rPr>
          <w:rStyle w:val="af1"/>
          <w:szCs w:val="32"/>
          <w:rtl/>
        </w:rPr>
        <w:t>)</w:t>
      </w:r>
      <w:r w:rsidRPr="00C85F0F">
        <w:rPr>
          <w:rFonts w:hint="cs"/>
          <w:rtl/>
        </w:rPr>
        <w:t>.</w:t>
      </w:r>
    </w:p>
    <w:p w:rsidR="00256371" w:rsidRPr="00C85F0F" w:rsidRDefault="00256371" w:rsidP="000A76C7">
      <w:pPr>
        <w:pStyle w:val="afc"/>
        <w:numPr>
          <w:ilvl w:val="0"/>
          <w:numId w:val="79"/>
        </w:numPr>
        <w:rPr>
          <w:rtl/>
        </w:rPr>
      </w:pPr>
      <w:r w:rsidRPr="00C85F0F">
        <w:rPr>
          <w:rFonts w:hint="cs"/>
          <w:rtl/>
        </w:rPr>
        <w:t>العُرف المعروف كالشرط المشروط</w:t>
      </w:r>
      <w:r w:rsidRPr="00C85F0F">
        <w:rPr>
          <w:rStyle w:val="af1"/>
          <w:szCs w:val="32"/>
          <w:rtl/>
        </w:rPr>
        <w:t>(</w:t>
      </w:r>
      <w:r w:rsidRPr="00C85F0F">
        <w:rPr>
          <w:rStyle w:val="af1"/>
          <w:szCs w:val="32"/>
          <w:rtl/>
        </w:rPr>
        <w:footnoteReference w:id="447"/>
      </w:r>
      <w:r w:rsidRPr="00C85F0F">
        <w:rPr>
          <w:rStyle w:val="af1"/>
          <w:szCs w:val="32"/>
          <w:rtl/>
        </w:rPr>
        <w:t>)</w:t>
      </w:r>
      <w:r w:rsidRPr="00C85F0F">
        <w:rPr>
          <w:rFonts w:hint="cs"/>
          <w:rtl/>
        </w:rPr>
        <w:t>.</w:t>
      </w:r>
    </w:p>
    <w:p w:rsidR="00256371" w:rsidRPr="00C85F0F" w:rsidRDefault="00256371" w:rsidP="000A76C7">
      <w:pPr>
        <w:pStyle w:val="afc"/>
        <w:numPr>
          <w:ilvl w:val="0"/>
          <w:numId w:val="78"/>
        </w:numPr>
        <w:rPr>
          <w:rtl/>
        </w:rPr>
      </w:pPr>
      <w:r w:rsidRPr="00C85F0F">
        <w:rPr>
          <w:rFonts w:hint="cs"/>
          <w:rtl/>
        </w:rPr>
        <w:t>الشرْط العُرْفي كاللَّفْظي</w:t>
      </w:r>
      <w:r w:rsidRPr="00C85F0F">
        <w:rPr>
          <w:rStyle w:val="af1"/>
          <w:szCs w:val="32"/>
          <w:rtl/>
        </w:rPr>
        <w:t>(</w:t>
      </w:r>
      <w:r w:rsidRPr="00C85F0F">
        <w:rPr>
          <w:rStyle w:val="af1"/>
          <w:szCs w:val="32"/>
          <w:rtl/>
        </w:rPr>
        <w:footnoteReference w:id="448"/>
      </w:r>
      <w:r w:rsidRPr="00C85F0F">
        <w:rPr>
          <w:rStyle w:val="af1"/>
          <w:szCs w:val="32"/>
          <w:rtl/>
        </w:rPr>
        <w:t>)</w:t>
      </w:r>
      <w:r w:rsidRPr="00C85F0F">
        <w:rPr>
          <w:rFonts w:hint="cs"/>
          <w:rtl/>
        </w:rPr>
        <w:t>.</w:t>
      </w:r>
    </w:p>
    <w:p w:rsidR="00256371" w:rsidRPr="00C85F0F" w:rsidRDefault="00256371" w:rsidP="000A76C7">
      <w:pPr>
        <w:numPr>
          <w:ilvl w:val="0"/>
          <w:numId w:val="77"/>
        </w:numPr>
      </w:pPr>
      <w:r w:rsidRPr="00C85F0F">
        <w:rPr>
          <w:rFonts w:hint="cs"/>
          <w:rtl/>
        </w:rPr>
        <w:t>المشروط عُرفاً كالمشروط لَفْظا</w:t>
      </w:r>
      <w:r w:rsidRPr="00C85F0F">
        <w:rPr>
          <w:rStyle w:val="af1"/>
          <w:rFonts w:hint="cs"/>
          <w:vertAlign w:val="baseline"/>
          <w:rtl/>
        </w:rPr>
        <w:t>ً</w:t>
      </w:r>
      <w:r w:rsidRPr="00C85F0F">
        <w:rPr>
          <w:rStyle w:val="af1"/>
          <w:szCs w:val="32"/>
          <w:rtl/>
        </w:rPr>
        <w:t>(</w:t>
      </w:r>
      <w:r w:rsidRPr="00C85F0F">
        <w:rPr>
          <w:rStyle w:val="af1"/>
          <w:szCs w:val="32"/>
          <w:rtl/>
        </w:rPr>
        <w:footnoteReference w:id="449"/>
      </w:r>
      <w:r w:rsidRPr="00C85F0F">
        <w:rPr>
          <w:rStyle w:val="af1"/>
          <w:szCs w:val="32"/>
          <w:rtl/>
        </w:rPr>
        <w:t>)</w:t>
      </w:r>
      <w:r w:rsidRPr="00C85F0F">
        <w:rPr>
          <w:rFonts w:hint="cs"/>
          <w:rtl/>
        </w:rPr>
        <w:t>.</w:t>
      </w:r>
    </w:p>
    <w:p w:rsidR="00256371" w:rsidRPr="00C85F0F" w:rsidRDefault="00256371" w:rsidP="000A76C7">
      <w:pPr>
        <w:numPr>
          <w:ilvl w:val="0"/>
          <w:numId w:val="77"/>
        </w:numPr>
      </w:pPr>
      <w:r w:rsidRPr="00C85F0F">
        <w:rPr>
          <w:rFonts w:hint="cs"/>
          <w:rtl/>
        </w:rPr>
        <w:t>العادة المطَّرِدَة في ناحيةٍ هل تنزَّل عادتُهم منزلةَ الشرْط؟</w:t>
      </w:r>
      <w:r w:rsidRPr="00C85F0F">
        <w:rPr>
          <w:rStyle w:val="af1"/>
          <w:szCs w:val="32"/>
          <w:rtl/>
        </w:rPr>
        <w:t>(</w:t>
      </w:r>
      <w:r w:rsidRPr="00C85F0F">
        <w:rPr>
          <w:rStyle w:val="af1"/>
          <w:szCs w:val="32"/>
          <w:rtl/>
        </w:rPr>
        <w:footnoteReference w:id="450"/>
      </w:r>
      <w:r w:rsidRPr="00C85F0F">
        <w:rPr>
          <w:rStyle w:val="af1"/>
          <w:szCs w:val="32"/>
          <w:rtl/>
        </w:rPr>
        <w:t>)</w:t>
      </w:r>
      <w:r w:rsidRPr="00C85F0F">
        <w:rPr>
          <w:rFonts w:hint="cs"/>
          <w:rtl/>
        </w:rPr>
        <w:t>.</w:t>
      </w:r>
    </w:p>
    <w:p w:rsidR="00F228A9" w:rsidRPr="00C85F0F" w:rsidRDefault="00256371" w:rsidP="000A76C7">
      <w:pPr>
        <w:numPr>
          <w:ilvl w:val="0"/>
          <w:numId w:val="77"/>
        </w:numPr>
        <w:rPr>
          <w:rStyle w:val="af1"/>
          <w:vertAlign w:val="baseline"/>
        </w:rPr>
      </w:pPr>
      <w:r w:rsidRPr="00C85F0F">
        <w:rPr>
          <w:rFonts w:hint="cs"/>
          <w:rtl/>
        </w:rPr>
        <w:t>العادة المطَّرِدَة هل تنزَّل مَنزِلةَ الشرْط؟</w:t>
      </w:r>
      <w:r w:rsidRPr="00C85F0F">
        <w:rPr>
          <w:rStyle w:val="af1"/>
          <w:szCs w:val="32"/>
          <w:rtl/>
        </w:rPr>
        <w:t>(</w:t>
      </w:r>
      <w:r w:rsidRPr="00C85F0F">
        <w:rPr>
          <w:rStyle w:val="af1"/>
          <w:szCs w:val="32"/>
          <w:rtl/>
        </w:rPr>
        <w:footnoteReference w:id="451"/>
      </w:r>
      <w:r w:rsidRPr="00C85F0F">
        <w:rPr>
          <w:rStyle w:val="af1"/>
          <w:szCs w:val="32"/>
          <w:rtl/>
        </w:rPr>
        <w:t>)</w:t>
      </w:r>
    </w:p>
    <w:p w:rsidR="00256371" w:rsidRPr="00C85F0F" w:rsidRDefault="00256371" w:rsidP="000A76C7">
      <w:pPr>
        <w:numPr>
          <w:ilvl w:val="0"/>
          <w:numId w:val="77"/>
        </w:numPr>
      </w:pPr>
      <w:r w:rsidRPr="00C85F0F">
        <w:rPr>
          <w:rStyle w:val="af1"/>
          <w:rFonts w:hint="cs"/>
          <w:vertAlign w:val="baseline"/>
          <w:rtl/>
        </w:rPr>
        <w:t>المعروف ع</w:t>
      </w:r>
      <w:r w:rsidRPr="00C85F0F">
        <w:rPr>
          <w:rFonts w:hint="cs"/>
          <w:rtl/>
        </w:rPr>
        <w:t>ُ</w:t>
      </w:r>
      <w:r w:rsidRPr="00C85F0F">
        <w:rPr>
          <w:rStyle w:val="af1"/>
          <w:rFonts w:hint="cs"/>
          <w:vertAlign w:val="baseline"/>
          <w:rtl/>
        </w:rPr>
        <w:t>رْفاً كالمشروط</w:t>
      </w:r>
      <w:r w:rsidRPr="00C85F0F">
        <w:rPr>
          <w:rFonts w:hint="cs"/>
          <w:rtl/>
        </w:rPr>
        <w:t xml:space="preserve"> شرْعاً</w:t>
      </w:r>
      <w:r w:rsidRPr="00C85F0F">
        <w:rPr>
          <w:rStyle w:val="af1"/>
          <w:szCs w:val="32"/>
          <w:rtl/>
        </w:rPr>
        <w:t>(</w:t>
      </w:r>
      <w:r w:rsidRPr="00C85F0F">
        <w:rPr>
          <w:rStyle w:val="af1"/>
          <w:szCs w:val="32"/>
          <w:rtl/>
        </w:rPr>
        <w:footnoteReference w:id="452"/>
      </w:r>
      <w:r w:rsidRPr="00C85F0F">
        <w:rPr>
          <w:rStyle w:val="af1"/>
          <w:szCs w:val="32"/>
          <w:rtl/>
        </w:rPr>
        <w:t>)</w:t>
      </w:r>
      <w:r w:rsidRPr="00C85F0F">
        <w:rPr>
          <w:rFonts w:hint="cs"/>
          <w:rtl/>
        </w:rPr>
        <w:t>.</w:t>
      </w:r>
    </w:p>
    <w:p w:rsidR="00256371" w:rsidRPr="00C85F0F" w:rsidRDefault="00256371" w:rsidP="000A76C7">
      <w:pPr>
        <w:numPr>
          <w:ilvl w:val="0"/>
          <w:numId w:val="77"/>
        </w:numPr>
        <w:rPr>
          <w:rStyle w:val="af1"/>
          <w:vertAlign w:val="baseline"/>
        </w:rPr>
      </w:pPr>
      <w:r w:rsidRPr="00C85F0F">
        <w:rPr>
          <w:rFonts w:hint="cs"/>
          <w:rtl/>
        </w:rPr>
        <w:t>العادة عند مالِك كالشرْط تقيِّد المطلَق وتخصِّص العام</w:t>
      </w:r>
      <w:r w:rsidRPr="00C85F0F">
        <w:rPr>
          <w:rStyle w:val="af1"/>
          <w:szCs w:val="32"/>
          <w:rtl/>
        </w:rPr>
        <w:t>(</w:t>
      </w:r>
      <w:r w:rsidRPr="00C85F0F">
        <w:rPr>
          <w:rStyle w:val="af1"/>
          <w:szCs w:val="32"/>
          <w:rtl/>
        </w:rPr>
        <w:footnoteReference w:id="453"/>
      </w:r>
      <w:r w:rsidRPr="00C85F0F">
        <w:rPr>
          <w:rStyle w:val="af1"/>
          <w:szCs w:val="32"/>
          <w:rtl/>
        </w:rPr>
        <w:t>)</w:t>
      </w:r>
      <w:r w:rsidRPr="00C85F0F">
        <w:rPr>
          <w:rFonts w:hint="cs"/>
          <w:rtl/>
        </w:rPr>
        <w:t>.</w:t>
      </w:r>
    </w:p>
    <w:p w:rsidR="00256371" w:rsidRPr="00C85F0F" w:rsidRDefault="00256371" w:rsidP="000A76C7">
      <w:pPr>
        <w:numPr>
          <w:ilvl w:val="0"/>
          <w:numId w:val="77"/>
        </w:numPr>
      </w:pPr>
      <w:r w:rsidRPr="00C85F0F">
        <w:rPr>
          <w:rStyle w:val="af1"/>
          <w:rFonts w:hint="cs"/>
          <w:vertAlign w:val="baseline"/>
          <w:rtl/>
        </w:rPr>
        <w:t>المعروف عُرفاً كالمشروط</w:t>
      </w:r>
      <w:r w:rsidRPr="00C85F0F">
        <w:rPr>
          <w:rFonts w:hint="cs"/>
          <w:rtl/>
        </w:rPr>
        <w:t xml:space="preserve"> شرْطاً</w:t>
      </w:r>
      <w:r w:rsidRPr="00C85F0F">
        <w:rPr>
          <w:rStyle w:val="af1"/>
          <w:szCs w:val="32"/>
          <w:rtl/>
        </w:rPr>
        <w:t>(</w:t>
      </w:r>
      <w:r w:rsidRPr="00C85F0F">
        <w:rPr>
          <w:rStyle w:val="af1"/>
          <w:szCs w:val="32"/>
          <w:rtl/>
        </w:rPr>
        <w:footnoteReference w:id="454"/>
      </w:r>
      <w:r w:rsidRPr="00C85F0F">
        <w:rPr>
          <w:rStyle w:val="af1"/>
          <w:szCs w:val="32"/>
          <w:rtl/>
        </w:rPr>
        <w:t>)</w:t>
      </w:r>
      <w:r w:rsidRPr="00C85F0F">
        <w:rPr>
          <w:rFonts w:hint="cs"/>
          <w:rtl/>
        </w:rPr>
        <w:t>.</w:t>
      </w:r>
    </w:p>
    <w:p w:rsidR="00256371" w:rsidRPr="00C85F0F" w:rsidRDefault="00B4089C" w:rsidP="00A8347C">
      <w:pPr>
        <w:pStyle w:val="aff3"/>
        <w:rPr>
          <w:rtl/>
        </w:rPr>
      </w:pPr>
      <w:bookmarkStart w:id="91" w:name="_Toc334046347"/>
      <w:r>
        <w:rPr>
          <w:rFonts w:hint="cs"/>
          <w:rtl/>
        </w:rPr>
        <w:lastRenderedPageBreak/>
        <w:t xml:space="preserve">         </w:t>
      </w:r>
      <w:r w:rsidR="00CC16EF">
        <w:rPr>
          <w:rFonts w:hint="cs"/>
          <w:rtl/>
        </w:rPr>
        <w:t xml:space="preserve">                      </w:t>
      </w:r>
      <w:r>
        <w:rPr>
          <w:rFonts w:hint="cs"/>
          <w:rtl/>
        </w:rPr>
        <w:t xml:space="preserve">          </w:t>
      </w:r>
      <w:r w:rsidR="00256371" w:rsidRPr="00C85F0F">
        <w:rPr>
          <w:rFonts w:hint="cs"/>
          <w:rtl/>
        </w:rPr>
        <w:t>المطلب الثاني</w:t>
      </w:r>
      <w:r w:rsidR="00256371" w:rsidRPr="00C85F0F">
        <w:rPr>
          <w:rFonts w:hint="eastAsia"/>
          <w:rtl/>
        </w:rPr>
        <w:t> </w:t>
      </w:r>
      <w:r w:rsidR="00256371" w:rsidRPr="00C85F0F">
        <w:rPr>
          <w:rFonts w:hint="cs"/>
          <w:rtl/>
        </w:rPr>
        <w:t>:</w:t>
      </w:r>
      <w:r w:rsidR="00256371" w:rsidRPr="00C85F0F">
        <w:rPr>
          <w:rFonts w:hint="cs"/>
          <w:rtl/>
        </w:rPr>
        <w:br/>
      </w:r>
      <w:r>
        <w:rPr>
          <w:rFonts w:hint="cs"/>
          <w:rtl/>
        </w:rPr>
        <w:t xml:space="preserve">                  </w:t>
      </w:r>
      <w:r w:rsidR="00CC16EF">
        <w:rPr>
          <w:rFonts w:hint="cs"/>
          <w:rtl/>
        </w:rPr>
        <w:t xml:space="preserve">                        </w:t>
      </w:r>
      <w:r w:rsidR="00256371" w:rsidRPr="00C85F0F">
        <w:rPr>
          <w:rFonts w:hint="cs"/>
          <w:rtl/>
        </w:rPr>
        <w:t>شرح القاعدة</w:t>
      </w:r>
      <w:bookmarkEnd w:id="91"/>
    </w:p>
    <w:p w:rsidR="00256371" w:rsidRPr="00C85F0F" w:rsidRDefault="00256371" w:rsidP="000F5C0F">
      <w:pPr>
        <w:pStyle w:val="53"/>
        <w:rPr>
          <w:rtl/>
        </w:rPr>
      </w:pPr>
      <w:r w:rsidRPr="00C85F0F">
        <w:rPr>
          <w:rFonts w:hint="cs"/>
          <w:rtl/>
        </w:rPr>
        <w:t xml:space="preserve">معنى القاعدة </w:t>
      </w:r>
      <w:r w:rsidRPr="000F5C0F">
        <w:rPr>
          <w:rFonts w:hint="cs"/>
          <w:rtl/>
        </w:rPr>
        <w:t>إجمالا</w:t>
      </w:r>
      <w:r w:rsidRPr="00C85F0F">
        <w:rPr>
          <w:rFonts w:hint="cs"/>
          <w:rtl/>
        </w:rPr>
        <w:t>:</w:t>
      </w:r>
    </w:p>
    <w:p w:rsidR="00065E4B" w:rsidRPr="00C85F0F" w:rsidRDefault="00256371" w:rsidP="00597C20">
      <w:pPr>
        <w:ind w:firstLine="720"/>
        <w:rPr>
          <w:rtl/>
        </w:rPr>
      </w:pPr>
      <w:r w:rsidRPr="00C85F0F">
        <w:rPr>
          <w:rFonts w:hint="cs"/>
          <w:rtl/>
        </w:rPr>
        <w:t>معنى هذه القاعدة أن الأعراف المطَّرِدة كالألفاظِ المنطوقة، فإذا جَرَت العادةُ بشيءٍ معيَّنٍ بين الناس، فإنه يكون كالمشروط بينهم وإن لم يُذكَر ذلك صريحاً؛ لأنه بمنزلةِ التصريح به لِدَلالة العُرف عليه.</w:t>
      </w:r>
    </w:p>
    <w:p w:rsidR="00256371" w:rsidRPr="00C85F0F" w:rsidRDefault="00065E4B" w:rsidP="00597C20">
      <w:pPr>
        <w:ind w:left="720" w:firstLine="0"/>
        <w:rPr>
          <w:rtl/>
        </w:rPr>
      </w:pPr>
      <w:r w:rsidRPr="00C85F0F">
        <w:rPr>
          <w:rFonts w:hint="cs"/>
          <w:rtl/>
        </w:rPr>
        <w:t>ف</w:t>
      </w:r>
      <w:r w:rsidR="00256371" w:rsidRPr="00C85F0F">
        <w:rPr>
          <w:rFonts w:hint="cs"/>
          <w:rtl/>
        </w:rPr>
        <w:t>الشرْط العُرفي المطَّرد كالشرط اللَّفظي، له حُكْمُه، فيكون مُعتبَراً</w:t>
      </w:r>
      <w:r w:rsidR="00256371" w:rsidRPr="00C85F0F">
        <w:rPr>
          <w:rStyle w:val="af1"/>
          <w:szCs w:val="32"/>
          <w:rtl/>
        </w:rPr>
        <w:t>(</w:t>
      </w:r>
      <w:r w:rsidR="00256371" w:rsidRPr="00C85F0F">
        <w:rPr>
          <w:rStyle w:val="af1"/>
          <w:szCs w:val="32"/>
          <w:rtl/>
        </w:rPr>
        <w:footnoteReference w:id="455"/>
      </w:r>
      <w:r w:rsidR="00256371" w:rsidRPr="00C85F0F">
        <w:rPr>
          <w:rStyle w:val="af1"/>
          <w:szCs w:val="32"/>
          <w:rtl/>
        </w:rPr>
        <w:t>)</w:t>
      </w:r>
      <w:r w:rsidR="00256371" w:rsidRPr="00C85F0F">
        <w:rPr>
          <w:rFonts w:hint="cs"/>
          <w:rtl/>
        </w:rPr>
        <w:t>.</w:t>
      </w:r>
    </w:p>
    <w:p w:rsidR="00065E4B" w:rsidRPr="00C85F0F" w:rsidRDefault="00B4089C" w:rsidP="00A8347C">
      <w:pPr>
        <w:pStyle w:val="aff3"/>
        <w:rPr>
          <w:rtl/>
        </w:rPr>
      </w:pPr>
      <w:bookmarkStart w:id="92" w:name="_Toc334046348"/>
      <w:r>
        <w:rPr>
          <w:rFonts w:hint="cs"/>
          <w:rtl/>
        </w:rPr>
        <w:t xml:space="preserve">               </w:t>
      </w:r>
      <w:r w:rsidR="00CC16EF">
        <w:rPr>
          <w:rFonts w:hint="cs"/>
          <w:rtl/>
        </w:rPr>
        <w:t xml:space="preserve">                         </w:t>
      </w:r>
      <w:r w:rsidR="00256371" w:rsidRPr="00C85F0F">
        <w:rPr>
          <w:rFonts w:hint="cs"/>
          <w:rtl/>
        </w:rPr>
        <w:t>المطلب الثالث</w:t>
      </w:r>
      <w:r w:rsidR="00140497" w:rsidRPr="00C85F0F">
        <w:rPr>
          <w:rFonts w:hint="eastAsia"/>
          <w:rtl/>
        </w:rPr>
        <w:t> </w:t>
      </w:r>
      <w:r w:rsidR="00140497" w:rsidRPr="00C85F0F">
        <w:rPr>
          <w:rFonts w:hint="cs"/>
          <w:rtl/>
        </w:rPr>
        <w:t>:</w:t>
      </w:r>
      <w:r w:rsidR="00140497" w:rsidRPr="00C85F0F">
        <w:rPr>
          <w:rFonts w:hint="cs"/>
          <w:rtl/>
        </w:rPr>
        <w:br/>
      </w:r>
      <w:r>
        <w:rPr>
          <w:rFonts w:hint="cs"/>
          <w:rtl/>
        </w:rPr>
        <w:t xml:space="preserve">              </w:t>
      </w:r>
      <w:r w:rsidR="00A8347C">
        <w:rPr>
          <w:rFonts w:hint="cs"/>
          <w:rtl/>
        </w:rPr>
        <w:t xml:space="preserve">                            </w:t>
      </w:r>
      <w:r w:rsidR="00256371" w:rsidRPr="00C85F0F">
        <w:rPr>
          <w:rFonts w:hint="cs"/>
          <w:rtl/>
        </w:rPr>
        <w:t>أدلة القاعدة</w:t>
      </w:r>
      <w:bookmarkEnd w:id="92"/>
    </w:p>
    <w:p w:rsidR="00256371" w:rsidRPr="00C85F0F" w:rsidRDefault="00065E4B" w:rsidP="00CC16EF">
      <w:pPr>
        <w:ind w:firstLine="720"/>
        <w:rPr>
          <w:rtl/>
        </w:rPr>
      </w:pPr>
      <w:r w:rsidRPr="00C85F0F">
        <w:rPr>
          <w:rFonts w:hint="cs"/>
          <w:rtl/>
        </w:rPr>
        <w:t>ي</w:t>
      </w:r>
      <w:r w:rsidR="00256371" w:rsidRPr="00C85F0F">
        <w:rPr>
          <w:rFonts w:hint="cs"/>
          <w:rtl/>
        </w:rPr>
        <w:t>مكن أن يُستدلَّ لهذه القاعدة بعموم الأدلة الدالة على اعتبارِ العُرف؛ لأنها مندرِجة تحت قاعدة "العادة محكَّمة"، ك</w:t>
      </w:r>
      <w:r w:rsidR="00CC16EF">
        <w:rPr>
          <w:rFonts w:hint="cs"/>
          <w:rtl/>
        </w:rPr>
        <w:t>ما يمكن أن يُستدل لها بأدلة خاصة</w:t>
      </w:r>
      <w:r w:rsidR="00256371" w:rsidRPr="00C85F0F">
        <w:rPr>
          <w:rFonts w:hint="cs"/>
          <w:rtl/>
        </w:rPr>
        <w:t>، منها:</w:t>
      </w:r>
    </w:p>
    <w:p w:rsidR="00256371" w:rsidRDefault="00CC16EF" w:rsidP="000A76C7">
      <w:pPr>
        <w:pStyle w:val="afc"/>
        <w:numPr>
          <w:ilvl w:val="0"/>
          <w:numId w:val="80"/>
        </w:numPr>
        <w:rPr>
          <w:color w:val="auto"/>
        </w:rPr>
      </w:pPr>
      <w:r>
        <w:rPr>
          <w:rFonts w:ascii="Traditional Arabic" w:hAnsi="Traditional Arabic" w:hint="cs"/>
          <w:noProof w:val="0"/>
          <w:color w:val="auto"/>
          <w:rtl/>
          <w:lang w:eastAsia="en-US"/>
        </w:rPr>
        <w:t>حديث</w:t>
      </w:r>
      <w:r w:rsidR="00256371" w:rsidRPr="001861D5">
        <w:rPr>
          <w:rFonts w:ascii="Traditional Arabic" w:hAnsi="Traditional Arabic"/>
          <w:noProof w:val="0"/>
          <w:color w:val="auto"/>
          <w:rtl/>
          <w:lang w:eastAsia="en-US"/>
        </w:rPr>
        <w:t xml:space="preserve"> الم</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س</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و</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ر</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 xml:space="preserve"> بن</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 xml:space="preserve"> م</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خ</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ر</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م</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ة</w:t>
      </w:r>
      <w:r w:rsidR="00256371">
        <w:rPr>
          <w:rFonts w:ascii="Traditional Arabic" w:hAnsi="Traditional Arabic" w:hint="cs"/>
          <w:noProof w:val="0"/>
          <w:color w:val="auto"/>
          <w:rtl/>
          <w:lang w:eastAsia="en-US"/>
        </w:rPr>
        <w:t>َ</w:t>
      </w:r>
      <w:r w:rsidR="00AB0B9E" w:rsidRPr="00C85F0F">
        <w:rPr>
          <w:rFonts w:ascii="Traditional Arabic" w:hAnsi="Traditional Arabic"/>
          <w:noProof w:val="0"/>
          <w:color w:val="auto"/>
          <w:rtl/>
          <w:lang w:eastAsia="en-US"/>
        </w:rPr>
        <w:fldChar w:fldCharType="begin"/>
      </w:r>
      <w:r w:rsidR="004F50F0" w:rsidRPr="00C85F0F">
        <w:rPr>
          <w:rFonts w:ascii="Traditional Arabic" w:hAnsi="Traditional Arabic" w:hint="cs"/>
          <w:noProof w:val="0"/>
          <w:color w:val="auto"/>
          <w:lang w:eastAsia="en-US"/>
        </w:rPr>
        <w:instrText>XE</w:instrText>
      </w:r>
      <w:r w:rsidR="004F50F0" w:rsidRPr="00C85F0F">
        <w:rPr>
          <w:rFonts w:ascii="Traditional Arabic" w:hAnsi="Traditional Arabic"/>
          <w:noProof w:val="0"/>
          <w:color w:val="auto"/>
          <w:rtl/>
          <w:lang w:eastAsia="en-US"/>
        </w:rPr>
        <w:instrText xml:space="preserve"> "الم</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س</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و</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ر</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 xml:space="preserve"> بن</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 xml:space="preserve"> م</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خ</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ر</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م</w:instrText>
      </w:r>
      <w:r w:rsidR="004F50F0" w:rsidRPr="00C85F0F">
        <w:rPr>
          <w:rFonts w:ascii="Traditional Arabic" w:hAnsi="Traditional Arabic" w:hint="cs"/>
          <w:noProof w:val="0"/>
          <w:color w:val="auto"/>
          <w:rtl/>
          <w:lang w:eastAsia="en-US"/>
        </w:rPr>
        <w:instrText>َ</w:instrText>
      </w:r>
      <w:r w:rsidR="004F50F0" w:rsidRPr="00C85F0F">
        <w:rPr>
          <w:rFonts w:ascii="Traditional Arabic" w:hAnsi="Traditional Arabic"/>
          <w:noProof w:val="0"/>
          <w:color w:val="auto"/>
          <w:rtl/>
          <w:lang w:eastAsia="en-US"/>
        </w:rPr>
        <w:instrText>ة</w:instrText>
      </w:r>
      <w:r w:rsidR="004F50F0" w:rsidRPr="00C85F0F">
        <w:rPr>
          <w:rFonts w:ascii="Traditional Arabic" w:hAnsi="Traditional Arabic" w:hint="cs"/>
          <w:noProof w:val="0"/>
          <w:color w:val="auto"/>
          <w:rtl/>
          <w:lang w:eastAsia="en-US"/>
        </w:rPr>
        <w:instrText>َ</w:instrText>
      </w:r>
      <w:r w:rsidR="004F50F0" w:rsidRPr="00C85F0F">
        <w:rPr>
          <w:rtl/>
        </w:rPr>
        <w:instrText>"\</w:instrText>
      </w:r>
      <w:r w:rsidR="004F50F0" w:rsidRPr="00C85F0F">
        <w:instrText>fa</w:instrText>
      </w:r>
      <w:r w:rsidR="004F50F0" w:rsidRPr="00C85F0F">
        <w:rPr>
          <w:rtl/>
        </w:rPr>
        <w:instrText>"</w:instrText>
      </w:r>
      <w:r w:rsidR="00AB0B9E" w:rsidRPr="00C85F0F">
        <w:rPr>
          <w:rFonts w:ascii="Traditional Arabic" w:hAnsi="Traditional Arabic"/>
          <w:noProof w:val="0"/>
          <w:color w:val="auto"/>
          <w:rtl/>
          <w:lang w:eastAsia="en-US"/>
        </w:rPr>
        <w:fldChar w:fldCharType="end"/>
      </w:r>
      <w:r w:rsidR="00872DD6">
        <w:rPr>
          <w:rFonts w:ascii="Traditional Arabic" w:hAnsi="Traditional Arabic" w:hint="cs"/>
          <w:rtl/>
        </w:rPr>
        <w:t xml:space="preserve"> رضي الله عنه</w:t>
      </w:r>
      <w:r w:rsidR="00256371" w:rsidRPr="00C85F0F">
        <w:rPr>
          <w:rStyle w:val="af1"/>
          <w:szCs w:val="32"/>
          <w:rtl/>
        </w:rPr>
        <w:t>(</w:t>
      </w:r>
      <w:r w:rsidR="00256371" w:rsidRPr="00C85F0F">
        <w:rPr>
          <w:rStyle w:val="af1"/>
          <w:szCs w:val="32"/>
          <w:rtl/>
        </w:rPr>
        <w:footnoteReference w:id="456"/>
      </w:r>
      <w:r w:rsidR="00256371" w:rsidRPr="00C85F0F">
        <w:rPr>
          <w:rStyle w:val="af1"/>
          <w:szCs w:val="32"/>
          <w:rtl/>
        </w:rPr>
        <w:t>)</w:t>
      </w:r>
      <w:r w:rsidR="00872DD6">
        <w:rPr>
          <w:rStyle w:val="af1"/>
          <w:rFonts w:hint="cs"/>
          <w:szCs w:val="32"/>
          <w:rtl/>
        </w:rPr>
        <w:t xml:space="preserve"> </w:t>
      </w:r>
      <w:r w:rsidR="00256371" w:rsidRPr="00C85F0F">
        <w:rPr>
          <w:rFonts w:ascii="Traditional Arabic" w:hAnsi="Traditional Arabic"/>
          <w:noProof w:val="0"/>
          <w:color w:val="auto"/>
          <w:rtl/>
          <w:lang w:eastAsia="en-US"/>
        </w:rPr>
        <w:t xml:space="preserve">قال سمعت رسول الله </w:t>
      </w:r>
      <w:r w:rsidR="00F350DE" w:rsidRPr="00C85F0F">
        <w:rPr>
          <w:rFonts w:ascii="Traditional Arabic" w:hAnsi="Traditional Arabic"/>
          <w:noProof w:val="0"/>
          <w:color w:val="auto"/>
          <w:rtl/>
          <w:lang w:eastAsia="en-US"/>
        </w:rPr>
        <w:sym w:font="AGA Arabesque" w:char="F072"/>
      </w:r>
      <w:r w:rsidR="00256371" w:rsidRPr="00C85F0F">
        <w:rPr>
          <w:rFonts w:ascii="Traditional Arabic" w:hAnsi="Traditional Arabic"/>
          <w:noProof w:val="0"/>
          <w:color w:val="auto"/>
          <w:rtl/>
          <w:lang w:eastAsia="en-US"/>
        </w:rPr>
        <w:t xml:space="preserve"> يقول وهو على المنبر</w:t>
      </w:r>
      <w:r w:rsidR="00256371" w:rsidRPr="00C85F0F">
        <w:rPr>
          <w:rFonts w:ascii="Traditional Arabic" w:hAnsi="Traditional Arabic" w:hint="cs"/>
          <w:noProof w:val="0"/>
          <w:color w:val="auto"/>
          <w:rtl/>
          <w:lang w:eastAsia="en-US"/>
        </w:rPr>
        <w:t>:"</w:t>
      </w:r>
      <w:r w:rsidR="00256371" w:rsidRPr="00C85F0F">
        <w:rPr>
          <w:rFonts w:ascii="Traditional Arabic" w:hAnsi="Traditional Arabic"/>
          <w:noProof w:val="0"/>
          <w:color w:val="auto"/>
          <w:rtl/>
          <w:lang w:eastAsia="en-US"/>
        </w:rPr>
        <w:t>إن بني هشام بن المغيرة</w:t>
      </w:r>
      <w:r w:rsidR="001814AE">
        <w:rPr>
          <w:rFonts w:ascii="Traditional Arabic" w:hAnsi="Traditional Arabic" w:hint="cs"/>
          <w:noProof w:val="0"/>
          <w:color w:val="auto"/>
          <w:rtl/>
          <w:lang w:eastAsia="en-US"/>
        </w:rPr>
        <w:t xml:space="preserve"> </w:t>
      </w:r>
      <w:r w:rsidR="00256371" w:rsidRPr="00C85F0F">
        <w:rPr>
          <w:rFonts w:ascii="Traditional Arabic" w:hAnsi="Traditional Arabic"/>
          <w:noProof w:val="0"/>
          <w:color w:val="auto"/>
          <w:rtl/>
          <w:lang w:eastAsia="en-US"/>
        </w:rPr>
        <w:t>استأ</w:t>
      </w:r>
      <w:r w:rsidR="00256371" w:rsidRPr="00C85F0F">
        <w:rPr>
          <w:rFonts w:ascii="Traditional Arabic" w:hAnsi="Traditional Arabic" w:hint="cs"/>
          <w:noProof w:val="0"/>
          <w:color w:val="auto"/>
          <w:rtl/>
          <w:lang w:eastAsia="en-US"/>
        </w:rPr>
        <w:t>ْ</w:t>
      </w:r>
      <w:r w:rsidR="00256371" w:rsidRPr="00C85F0F">
        <w:rPr>
          <w:rFonts w:ascii="Traditional Arabic" w:hAnsi="Traditional Arabic"/>
          <w:noProof w:val="0"/>
          <w:color w:val="auto"/>
          <w:rtl/>
          <w:lang w:eastAsia="en-US"/>
        </w:rPr>
        <w:t>ذ</w:t>
      </w:r>
      <w:r w:rsidR="00256371" w:rsidRPr="00C85F0F">
        <w:rPr>
          <w:rFonts w:ascii="Traditional Arabic" w:hAnsi="Traditional Arabic" w:hint="cs"/>
          <w:noProof w:val="0"/>
          <w:color w:val="auto"/>
          <w:rtl/>
          <w:lang w:eastAsia="en-US"/>
        </w:rPr>
        <w:t>َ</w:t>
      </w:r>
      <w:r w:rsidR="00256371" w:rsidRPr="00C85F0F">
        <w:rPr>
          <w:rFonts w:ascii="Traditional Arabic" w:hAnsi="Traditional Arabic"/>
          <w:noProof w:val="0"/>
          <w:color w:val="auto"/>
          <w:rtl/>
          <w:lang w:eastAsia="en-US"/>
        </w:rPr>
        <w:t>نوني في أن ي</w:t>
      </w:r>
      <w:r w:rsidR="00256371" w:rsidRPr="00C85F0F">
        <w:rPr>
          <w:rFonts w:ascii="Traditional Arabic" w:hAnsi="Traditional Arabic" w:hint="cs"/>
          <w:noProof w:val="0"/>
          <w:color w:val="auto"/>
          <w:rtl/>
          <w:lang w:eastAsia="en-US"/>
        </w:rPr>
        <w:t>ُ</w:t>
      </w:r>
      <w:r w:rsidR="00256371" w:rsidRPr="00C85F0F">
        <w:rPr>
          <w:rFonts w:ascii="Traditional Arabic" w:hAnsi="Traditional Arabic"/>
          <w:noProof w:val="0"/>
          <w:color w:val="auto"/>
          <w:rtl/>
          <w:lang w:eastAsia="en-US"/>
        </w:rPr>
        <w:t>ن</w:t>
      </w:r>
      <w:r w:rsidR="00256371" w:rsidRPr="00C85F0F">
        <w:rPr>
          <w:rFonts w:ascii="Traditional Arabic" w:hAnsi="Traditional Arabic" w:hint="cs"/>
          <w:noProof w:val="0"/>
          <w:color w:val="auto"/>
          <w:rtl/>
          <w:lang w:eastAsia="en-US"/>
        </w:rPr>
        <w:t>ْ</w:t>
      </w:r>
      <w:r w:rsidR="00256371" w:rsidRPr="00C85F0F">
        <w:rPr>
          <w:rFonts w:ascii="Traditional Arabic" w:hAnsi="Traditional Arabic"/>
          <w:noProof w:val="0"/>
          <w:color w:val="auto"/>
          <w:rtl/>
          <w:lang w:eastAsia="en-US"/>
        </w:rPr>
        <w:t>ك</w:t>
      </w:r>
      <w:r w:rsidR="00256371" w:rsidRPr="00C85F0F">
        <w:rPr>
          <w:rFonts w:ascii="Traditional Arabic" w:hAnsi="Traditional Arabic" w:hint="cs"/>
          <w:noProof w:val="0"/>
          <w:color w:val="auto"/>
          <w:rtl/>
          <w:lang w:eastAsia="en-US"/>
        </w:rPr>
        <w:t>ِ</w:t>
      </w:r>
      <w:r w:rsidR="00256371" w:rsidRPr="00C85F0F">
        <w:rPr>
          <w:rFonts w:ascii="Traditional Arabic" w:hAnsi="Traditional Arabic"/>
          <w:noProof w:val="0"/>
          <w:color w:val="auto"/>
          <w:rtl/>
          <w:lang w:eastAsia="en-US"/>
        </w:rPr>
        <w:t>حوا ابن</w:t>
      </w:r>
      <w:r w:rsidR="00256371" w:rsidRPr="00C85F0F">
        <w:rPr>
          <w:rFonts w:ascii="Traditional Arabic" w:hAnsi="Traditional Arabic" w:hint="cs"/>
          <w:noProof w:val="0"/>
          <w:color w:val="auto"/>
          <w:rtl/>
          <w:lang w:eastAsia="en-US"/>
        </w:rPr>
        <w:t>َ</w:t>
      </w:r>
      <w:r w:rsidR="00256371" w:rsidRPr="00C85F0F">
        <w:rPr>
          <w:rFonts w:ascii="Traditional Arabic" w:hAnsi="Traditional Arabic"/>
          <w:noProof w:val="0"/>
          <w:color w:val="auto"/>
          <w:rtl/>
          <w:lang w:eastAsia="en-US"/>
        </w:rPr>
        <w:t>ت</w:t>
      </w:r>
      <w:r w:rsidR="00256371" w:rsidRPr="00C85F0F">
        <w:rPr>
          <w:rFonts w:ascii="Traditional Arabic" w:hAnsi="Traditional Arabic" w:hint="cs"/>
          <w:noProof w:val="0"/>
          <w:color w:val="auto"/>
          <w:rtl/>
          <w:lang w:eastAsia="en-US"/>
        </w:rPr>
        <w:t>َ</w:t>
      </w:r>
      <w:r w:rsidR="00256371" w:rsidRPr="00C85F0F">
        <w:rPr>
          <w:rFonts w:ascii="Traditional Arabic" w:hAnsi="Traditional Arabic"/>
          <w:noProof w:val="0"/>
          <w:color w:val="auto"/>
          <w:rtl/>
          <w:lang w:eastAsia="en-US"/>
        </w:rPr>
        <w:t>هم علي</w:t>
      </w:r>
      <w:r w:rsidR="00256371" w:rsidRPr="00C85F0F">
        <w:rPr>
          <w:rFonts w:ascii="Traditional Arabic" w:hAnsi="Traditional Arabic" w:hint="cs"/>
          <w:noProof w:val="0"/>
          <w:color w:val="auto"/>
          <w:rtl/>
          <w:lang w:eastAsia="en-US"/>
        </w:rPr>
        <w:t>َّ</w:t>
      </w:r>
      <w:r w:rsidR="00256371" w:rsidRPr="00C85F0F">
        <w:rPr>
          <w:rFonts w:ascii="Traditional Arabic" w:hAnsi="Traditional Arabic"/>
          <w:noProof w:val="0"/>
          <w:color w:val="auto"/>
          <w:rtl/>
          <w:lang w:eastAsia="en-US"/>
        </w:rPr>
        <w:t xml:space="preserve"> بن أبي طالب</w:t>
      </w:r>
      <w:r w:rsidR="00256371" w:rsidRPr="00C85F0F">
        <w:rPr>
          <w:rFonts w:ascii="Traditional Arabic" w:hAnsi="Traditional Arabic" w:hint="cs"/>
          <w:noProof w:val="0"/>
          <w:color w:val="auto"/>
          <w:rtl/>
          <w:lang w:eastAsia="en-US"/>
        </w:rPr>
        <w:t>،</w:t>
      </w:r>
      <w:r w:rsidR="00AB0B9E" w:rsidRPr="00C85F0F">
        <w:rPr>
          <w:rFonts w:ascii="Traditional Arabic" w:hAnsi="Traditional Arabic"/>
          <w:noProof w:val="0"/>
          <w:color w:val="auto"/>
          <w:lang w:eastAsia="en-US"/>
        </w:rPr>
        <w:fldChar w:fldCharType="begin"/>
      </w:r>
      <w:r w:rsidR="00F350DE" w:rsidRPr="00C85F0F">
        <w:instrText>XE</w:instrText>
      </w:r>
      <w:r w:rsidR="00F350DE" w:rsidRPr="00C85F0F">
        <w:rPr>
          <w:rtl/>
        </w:rPr>
        <w:instrText xml:space="preserve"> "</w:instrText>
      </w:r>
      <w:r w:rsidR="00F350DE" w:rsidRPr="00C85F0F">
        <w:rPr>
          <w:rFonts w:ascii="Traditional Arabic" w:hAnsi="Traditional Arabic"/>
          <w:noProof w:val="0"/>
          <w:color w:val="auto"/>
          <w:rtl/>
          <w:lang w:eastAsia="en-US"/>
        </w:rPr>
        <w:instrText>إن بني هشام بن المغيرةاستأ</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ذ</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نوني في أن ي</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ن</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ك</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حوا ابن</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ت</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هم علي</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 xml:space="preserve"> بن أبي طالب</w:instrText>
      </w:r>
      <w:r w:rsidR="00F350DE" w:rsidRPr="00C85F0F">
        <w:rPr>
          <w:rFonts w:ascii="Traditional Arabic" w:hAnsi="Traditional Arabic" w:hint="cs"/>
          <w:noProof w:val="0"/>
          <w:color w:val="auto"/>
          <w:rtl/>
          <w:lang w:eastAsia="en-US"/>
        </w:rPr>
        <w:instrText>،</w:instrText>
      </w:r>
      <w:r w:rsidR="00F350DE" w:rsidRPr="00C85F0F">
        <w:rPr>
          <w:rtl/>
        </w:rPr>
        <w:instrText>" \</w:instrText>
      </w:r>
      <w:r w:rsidR="00F350DE" w:rsidRPr="00C85F0F">
        <w:instrText>fh</w:instrText>
      </w:r>
      <w:r w:rsidR="00AB0B9E" w:rsidRPr="00C85F0F">
        <w:rPr>
          <w:rFonts w:ascii="Traditional Arabic" w:hAnsi="Traditional Arabic"/>
          <w:noProof w:val="0"/>
          <w:color w:val="auto"/>
          <w:lang w:eastAsia="en-US"/>
        </w:rPr>
        <w:fldChar w:fldCharType="end"/>
      </w:r>
      <w:r w:rsidR="00256371" w:rsidRPr="001861D5">
        <w:rPr>
          <w:rFonts w:ascii="Traditional Arabic" w:hAnsi="Traditional Arabic"/>
          <w:noProof w:val="0"/>
          <w:color w:val="auto"/>
          <w:rtl/>
          <w:lang w:eastAsia="en-US"/>
        </w:rPr>
        <w:t xml:space="preserve"> فلا آذ</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ن</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 xml:space="preserve"> ثم لا آذن ثم لا آذن</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 xml:space="preserve"> إلا أن يريد ابن أبي طالب أن يطل</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ق ابنتي وي</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 xml:space="preserve">نكح </w:t>
      </w:r>
      <w:r w:rsidR="00256371" w:rsidRPr="001861D5">
        <w:rPr>
          <w:rFonts w:ascii="Traditional Arabic" w:hAnsi="Traditional Arabic"/>
          <w:noProof w:val="0"/>
          <w:color w:val="auto"/>
          <w:rtl/>
          <w:lang w:eastAsia="en-US"/>
        </w:rPr>
        <w:lastRenderedPageBreak/>
        <w:t>ابنتهم</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 xml:space="preserve"> فإنما هي ب</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ض</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ع</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ة</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 xml:space="preserve"> مني</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 xml:space="preserve"> ي</w:t>
      </w:r>
      <w:r w:rsidR="00256371">
        <w:rPr>
          <w:rFonts w:ascii="Traditional Arabic" w:hAnsi="Traditional Arabic" w:hint="cs"/>
          <w:noProof w:val="0"/>
          <w:color w:val="auto"/>
          <w:rtl/>
          <w:lang w:eastAsia="en-US"/>
        </w:rPr>
        <w:t>ُ</w:t>
      </w:r>
      <w:r w:rsidR="00256371">
        <w:rPr>
          <w:rFonts w:ascii="Traditional Arabic" w:hAnsi="Traditional Arabic"/>
          <w:noProof w:val="0"/>
          <w:color w:val="auto"/>
          <w:rtl/>
          <w:lang w:eastAsia="en-US"/>
        </w:rPr>
        <w:t xml:space="preserve">ريبني ما </w:t>
      </w:r>
      <w:r w:rsidR="00256371" w:rsidRPr="001861D5">
        <w:rPr>
          <w:rFonts w:ascii="Traditional Arabic" w:hAnsi="Traditional Arabic"/>
          <w:noProof w:val="0"/>
          <w:color w:val="auto"/>
          <w:rtl/>
          <w:lang w:eastAsia="en-US"/>
        </w:rPr>
        <w:t>راب</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ها وي</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ؤ</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ذيني ما آذاها</w:t>
      </w:r>
      <w:r w:rsidR="00256371">
        <w:rPr>
          <w:rFonts w:ascii="Traditional Arabic" w:hAnsi="Traditional Arabic" w:hint="cs"/>
          <w:noProof w:val="0"/>
          <w:color w:val="auto"/>
          <w:rtl/>
          <w:lang w:eastAsia="en-US"/>
        </w:rPr>
        <w:t>".</w:t>
      </w:r>
      <w:r w:rsidR="00256371" w:rsidRPr="001861D5">
        <w:rPr>
          <w:rFonts w:ascii="Traditional Arabic" w:hAnsi="Traditional Arabic"/>
          <w:noProof w:val="0"/>
          <w:color w:val="auto"/>
          <w:rtl/>
          <w:lang w:eastAsia="en-US"/>
        </w:rPr>
        <w:t xml:space="preserve"> هكذا قال</w:t>
      </w:r>
      <w:r w:rsidR="00256371" w:rsidRPr="00C821A1">
        <w:rPr>
          <w:rStyle w:val="af1"/>
          <w:szCs w:val="32"/>
          <w:rtl/>
        </w:rPr>
        <w:t>(</w:t>
      </w:r>
      <w:r w:rsidR="00256371" w:rsidRPr="00C821A1">
        <w:rPr>
          <w:rStyle w:val="af1"/>
          <w:szCs w:val="32"/>
          <w:rtl/>
        </w:rPr>
        <w:footnoteReference w:id="457"/>
      </w:r>
      <w:r w:rsidR="00256371" w:rsidRPr="00C821A1">
        <w:rPr>
          <w:rStyle w:val="af1"/>
          <w:szCs w:val="32"/>
          <w:rtl/>
        </w:rPr>
        <w:t>)</w:t>
      </w:r>
      <w:r w:rsidR="00256371" w:rsidRPr="001861D5">
        <w:rPr>
          <w:rFonts w:hint="cs"/>
          <w:color w:val="auto"/>
          <w:rtl/>
        </w:rPr>
        <w:t>.</w:t>
      </w:r>
    </w:p>
    <w:p w:rsidR="00065E4B" w:rsidRPr="0032445F" w:rsidRDefault="00256371" w:rsidP="000F5C0F">
      <w:pPr>
        <w:pStyle w:val="53"/>
        <w:rPr>
          <w:rtl/>
        </w:rPr>
      </w:pPr>
      <w:r>
        <w:rPr>
          <w:rFonts w:hint="cs"/>
          <w:rtl/>
        </w:rPr>
        <w:t>وجه الدلالة:</w:t>
      </w:r>
    </w:p>
    <w:p w:rsidR="00256371" w:rsidRPr="00A13CA0" w:rsidRDefault="00065E4B" w:rsidP="00597C20">
      <w:pPr>
        <w:widowControl/>
        <w:autoSpaceDE w:val="0"/>
        <w:autoSpaceDN w:val="0"/>
        <w:adjustRightInd w:val="0"/>
        <w:ind w:firstLine="720"/>
        <w:rPr>
          <w:rFonts w:ascii="Traditional Arabic" w:hAnsi="Traditional Arabic"/>
          <w:noProof w:val="0"/>
          <w:rtl/>
          <w:lang w:eastAsia="en-US"/>
        </w:rPr>
      </w:pPr>
      <w:r w:rsidRPr="0032445F">
        <w:rPr>
          <w:rFonts w:ascii="Traditional Arabic" w:hAnsi="Traditional Arabic"/>
          <w:noProof w:val="0"/>
          <w:rtl/>
          <w:lang w:eastAsia="en-US"/>
        </w:rPr>
        <w:t>ي</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ؤخ</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 xml:space="preserve">ذ من هذا </w:t>
      </w:r>
      <w:r w:rsidR="00256371">
        <w:rPr>
          <w:rFonts w:ascii="Traditional Arabic" w:hAnsi="Traditional Arabic" w:hint="cs"/>
          <w:noProof w:val="0"/>
          <w:rtl/>
          <w:lang w:eastAsia="en-US"/>
        </w:rPr>
        <w:t xml:space="preserve">الحديث </w:t>
      </w:r>
      <w:r w:rsidR="00256371" w:rsidRPr="0032445F">
        <w:rPr>
          <w:rFonts w:ascii="Traditional Arabic" w:hAnsi="Traditional Arabic"/>
          <w:noProof w:val="0"/>
          <w:rtl/>
          <w:lang w:eastAsia="en-US"/>
        </w:rPr>
        <w:t>أن المشروط ع</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رفا</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 xml:space="preserve"> كالمشروط لفظا</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 xml:space="preserve"> وأن ع</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د</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م</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ه</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 xml:space="preserve"> ي</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م</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ل</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ك الف</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س</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خ</w:t>
      </w:r>
      <w:r w:rsidR="00256371">
        <w:rPr>
          <w:rFonts w:ascii="Traditional Arabic" w:hAnsi="Traditional Arabic" w:hint="cs"/>
          <w:noProof w:val="0"/>
          <w:rtl/>
          <w:lang w:eastAsia="en-US"/>
        </w:rPr>
        <w:t>َ</w:t>
      </w:r>
      <w:r w:rsidR="001814AE">
        <w:rPr>
          <w:rFonts w:ascii="Traditional Arabic" w:hAnsi="Traditional Arabic" w:hint="cs"/>
          <w:noProof w:val="0"/>
          <w:rtl/>
          <w:lang w:eastAsia="en-US"/>
        </w:rPr>
        <w:t xml:space="preserve"> </w:t>
      </w:r>
      <w:r w:rsidR="00256371" w:rsidRPr="0032445F">
        <w:rPr>
          <w:rFonts w:ascii="Traditional Arabic" w:hAnsi="Traditional Arabic"/>
          <w:noProof w:val="0"/>
          <w:rtl/>
          <w:lang w:eastAsia="en-US"/>
        </w:rPr>
        <w:t>ل</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م</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شتر</w:t>
      </w:r>
      <w:r w:rsidR="00256371">
        <w:rPr>
          <w:rFonts w:ascii="Traditional Arabic" w:hAnsi="Traditional Arabic" w:hint="cs"/>
          <w:noProof w:val="0"/>
          <w:rtl/>
          <w:lang w:eastAsia="en-US"/>
        </w:rPr>
        <w:t>ِ</w:t>
      </w:r>
      <w:r w:rsidR="00256371" w:rsidRPr="0032445F">
        <w:rPr>
          <w:rFonts w:ascii="Traditional Arabic" w:hAnsi="Traditional Arabic"/>
          <w:noProof w:val="0"/>
          <w:rtl/>
          <w:lang w:eastAsia="en-US"/>
        </w:rPr>
        <w:t>طه</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وعلى هذا</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فلو ف</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رض أن المرأة من بيت</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لا يتزوج الرجل على نسائهم ض</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ر</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ة</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ولا يمك</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نون</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ه من ذلك</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وعادت</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هم مستمر</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ة</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بذلك</w:t>
      </w:r>
      <w:r w:rsidR="00256371">
        <w:rPr>
          <w:rFonts w:ascii="Traditional Arabic" w:hAnsi="Traditional Arabic" w:hint="cs"/>
          <w:noProof w:val="0"/>
          <w:rtl/>
          <w:lang w:eastAsia="en-US"/>
        </w:rPr>
        <w:t>،</w:t>
      </w:r>
      <w:r w:rsidR="00256371">
        <w:rPr>
          <w:rFonts w:ascii="Traditional Arabic" w:hAnsi="Traditional Arabic"/>
          <w:noProof w:val="0"/>
          <w:rtl/>
          <w:lang w:eastAsia="en-US"/>
        </w:rPr>
        <w:t xml:space="preserve"> كان كالمشروط لفظا</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وكذلك لو كانت ممن ي</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ع</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ل</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م أنها لا تمك</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ن إدخال</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الضر</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ة عليها عادة</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ل</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ش</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ر</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فها وح</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س</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ب</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ها وجلال</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ت</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ها</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كان ترك التزو</w:t>
      </w:r>
      <w:r w:rsidR="00256371">
        <w:rPr>
          <w:rFonts w:ascii="Traditional Arabic" w:hAnsi="Traditional Arabic" w:hint="cs"/>
          <w:noProof w:val="0"/>
          <w:rtl/>
          <w:lang w:eastAsia="en-US"/>
        </w:rPr>
        <w:t>ُّ</w:t>
      </w:r>
      <w:r w:rsidR="00256371">
        <w:rPr>
          <w:rFonts w:ascii="Traditional Arabic" w:hAnsi="Traditional Arabic"/>
          <w:noProof w:val="0"/>
          <w:rtl/>
          <w:lang w:eastAsia="en-US"/>
        </w:rPr>
        <w:t>ج عليها كالمشروط لفظا سواء</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وعلى هذا فسي</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دة</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ن</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ساء العالمين</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وابنة سيد ولد آدم أجمعين أحق</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النساء بهذا</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فلو ش</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ر</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ط</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ه</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علي</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في ص</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ل</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ب</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العقد كان تأكيدا</w:t>
      </w:r>
      <w:r w:rsidR="00256371">
        <w:rPr>
          <w:rFonts w:ascii="Traditional Arabic" w:hAnsi="Traditional Arabic" w:hint="cs"/>
          <w:noProof w:val="0"/>
          <w:rtl/>
          <w:lang w:eastAsia="en-US"/>
        </w:rPr>
        <w:t>ً</w:t>
      </w:r>
      <w:r w:rsidR="00256371" w:rsidRPr="001213A9">
        <w:rPr>
          <w:rFonts w:ascii="Traditional Arabic" w:hAnsi="Traditional Arabic"/>
          <w:noProof w:val="0"/>
          <w:rtl/>
          <w:lang w:eastAsia="en-US"/>
        </w:rPr>
        <w:t xml:space="preserve"> لا تأسيسا</w:t>
      </w:r>
      <w:r w:rsidR="00256371">
        <w:rPr>
          <w:rFonts w:ascii="Traditional Arabic" w:hAnsi="Traditional Arabic" w:hint="cs"/>
          <w:noProof w:val="0"/>
          <w:rtl/>
          <w:lang w:eastAsia="en-US"/>
        </w:rPr>
        <w:t>ً</w:t>
      </w:r>
      <w:r w:rsidR="00256371" w:rsidRPr="00C821A1">
        <w:rPr>
          <w:rStyle w:val="af1"/>
          <w:szCs w:val="32"/>
          <w:rtl/>
        </w:rPr>
        <w:t>(</w:t>
      </w:r>
      <w:r w:rsidR="00256371" w:rsidRPr="00C821A1">
        <w:rPr>
          <w:rStyle w:val="af1"/>
          <w:szCs w:val="32"/>
          <w:rtl/>
        </w:rPr>
        <w:footnoteReference w:id="458"/>
      </w:r>
      <w:r w:rsidR="00256371" w:rsidRPr="00C821A1">
        <w:rPr>
          <w:rStyle w:val="af1"/>
          <w:szCs w:val="32"/>
          <w:rtl/>
        </w:rPr>
        <w:t>)</w:t>
      </w:r>
      <w:r w:rsidR="00256371" w:rsidRPr="001213A9">
        <w:rPr>
          <w:rFonts w:ascii="Traditional Arabic" w:hAnsi="Traditional Arabic"/>
          <w:noProof w:val="0"/>
          <w:rtl/>
          <w:lang w:eastAsia="en-US"/>
        </w:rPr>
        <w:t>.</w:t>
      </w:r>
    </w:p>
    <w:p w:rsidR="00256371" w:rsidRPr="00A13CA0" w:rsidRDefault="00256371" w:rsidP="000A76C7">
      <w:pPr>
        <w:pStyle w:val="afc"/>
        <w:numPr>
          <w:ilvl w:val="0"/>
          <w:numId w:val="80"/>
        </w:numPr>
        <w:rPr>
          <w:b/>
          <w:bCs/>
        </w:rPr>
      </w:pPr>
      <w:r>
        <w:rPr>
          <w:rFonts w:hint="cs"/>
          <w:rtl/>
        </w:rPr>
        <w:t>كل اسم ليس له حدٌّ في اللغة ولا في الشرع فالمرجع فيه إلى العرف</w:t>
      </w:r>
      <w:r w:rsidRPr="00C821A1">
        <w:rPr>
          <w:rStyle w:val="af1"/>
          <w:szCs w:val="32"/>
          <w:rtl/>
        </w:rPr>
        <w:t>(</w:t>
      </w:r>
      <w:r w:rsidRPr="00C821A1">
        <w:rPr>
          <w:rStyle w:val="af1"/>
          <w:szCs w:val="32"/>
          <w:rtl/>
        </w:rPr>
        <w:footnoteReference w:id="459"/>
      </w:r>
      <w:r w:rsidRPr="00C821A1">
        <w:rPr>
          <w:rStyle w:val="af1"/>
          <w:szCs w:val="32"/>
          <w:rtl/>
        </w:rPr>
        <w:t>)</w:t>
      </w:r>
      <w:r>
        <w:rPr>
          <w:rFonts w:hint="cs"/>
          <w:rtl/>
        </w:rPr>
        <w:t xml:space="preserve">، </w:t>
      </w:r>
      <w:r w:rsidRPr="00A13CA0">
        <w:rPr>
          <w:rFonts w:hint="cs"/>
          <w:rtl/>
        </w:rPr>
        <w:t>وتحديد ما يكون شرطاً وما لا يكون كذلك ليس له حدٌّ في اللغة ولا في الشرع، فيكون المرجع فيه إلى عُرف الناس وعادتهم</w:t>
      </w:r>
      <w:r>
        <w:rPr>
          <w:rFonts w:hint="cs"/>
          <w:rtl/>
        </w:rPr>
        <w:t>، فما عَدَّهُ الناس شرطاً فهو شرطٌ، وما لم يَعُدُّوه شرطاً فليس كذلك</w:t>
      </w:r>
      <w:r w:rsidRPr="00C821A1">
        <w:rPr>
          <w:rStyle w:val="af1"/>
          <w:szCs w:val="32"/>
          <w:rtl/>
        </w:rPr>
        <w:t>(</w:t>
      </w:r>
      <w:r w:rsidRPr="00C821A1">
        <w:rPr>
          <w:rStyle w:val="af1"/>
          <w:szCs w:val="32"/>
          <w:rtl/>
        </w:rPr>
        <w:footnoteReference w:id="460"/>
      </w:r>
      <w:r w:rsidRPr="00C821A1">
        <w:rPr>
          <w:rStyle w:val="af1"/>
          <w:szCs w:val="32"/>
          <w:rtl/>
        </w:rPr>
        <w:t>)</w:t>
      </w:r>
      <w:r>
        <w:rPr>
          <w:rFonts w:hint="cs"/>
          <w:rtl/>
        </w:rPr>
        <w:t>.</w:t>
      </w:r>
    </w:p>
    <w:p w:rsidR="00256371" w:rsidRPr="00140497" w:rsidRDefault="001814AE" w:rsidP="00A8347C">
      <w:pPr>
        <w:pStyle w:val="aff3"/>
        <w:rPr>
          <w:rtl/>
        </w:rPr>
      </w:pPr>
      <w:bookmarkStart w:id="93" w:name="_Toc334046349"/>
      <w:r>
        <w:rPr>
          <w:rFonts w:hint="cs"/>
          <w:rtl/>
        </w:rPr>
        <w:t xml:space="preserve">                  </w:t>
      </w:r>
      <w:r w:rsidR="003E582B">
        <w:rPr>
          <w:rFonts w:hint="cs"/>
          <w:rtl/>
        </w:rPr>
        <w:t xml:space="preserve">                       </w:t>
      </w:r>
      <w:r w:rsidR="00256371" w:rsidRPr="00140497">
        <w:rPr>
          <w:rFonts w:hint="cs"/>
          <w:rtl/>
        </w:rPr>
        <w:t>المطلب الرابع</w:t>
      </w:r>
      <w:r w:rsidR="00140497">
        <w:rPr>
          <w:rFonts w:hint="eastAsia"/>
          <w:rtl/>
        </w:rPr>
        <w:t> :</w:t>
      </w:r>
      <w:r w:rsidR="00140497">
        <w:rPr>
          <w:rFonts w:hint="cs"/>
          <w:rtl/>
        </w:rPr>
        <w:br/>
      </w:r>
      <w:r>
        <w:rPr>
          <w:rFonts w:hint="cs"/>
          <w:rtl/>
        </w:rPr>
        <w:t xml:space="preserve">               </w:t>
      </w:r>
      <w:r w:rsidR="003E582B">
        <w:rPr>
          <w:rFonts w:hint="cs"/>
          <w:rtl/>
        </w:rPr>
        <w:t xml:space="preserve">                        </w:t>
      </w:r>
      <w:r>
        <w:rPr>
          <w:rFonts w:hint="cs"/>
          <w:rtl/>
        </w:rPr>
        <w:t xml:space="preserve"> </w:t>
      </w:r>
      <w:r w:rsidR="00256371" w:rsidRPr="00140497">
        <w:rPr>
          <w:rFonts w:hint="cs"/>
          <w:rtl/>
        </w:rPr>
        <w:t>تطبيقات القاعدة</w:t>
      </w:r>
      <w:bookmarkEnd w:id="93"/>
    </w:p>
    <w:p w:rsidR="00256371" w:rsidRDefault="00256371" w:rsidP="000A76C7">
      <w:pPr>
        <w:pStyle w:val="afc"/>
        <w:numPr>
          <w:ilvl w:val="0"/>
          <w:numId w:val="81"/>
        </w:numPr>
        <w:rPr>
          <w:rStyle w:val="af1"/>
          <w:vertAlign w:val="baseline"/>
        </w:rPr>
      </w:pPr>
      <w:r>
        <w:rPr>
          <w:rFonts w:hint="cs"/>
          <w:rtl/>
        </w:rPr>
        <w:t xml:space="preserve">إذا سدَّد المقترِض القَرْض بأَجْودَ منه في الصِّفة أو العدد جاز ذلك إذا كان بغير شرط؛ </w:t>
      </w:r>
      <w:r>
        <w:rPr>
          <w:rFonts w:hint="cs"/>
          <w:rtl/>
        </w:rPr>
        <w:lastRenderedPageBreak/>
        <w:t xml:space="preserve">لأن النبي </w:t>
      </w:r>
      <w:r w:rsidR="00F350DE">
        <w:rPr>
          <w:rFonts w:ascii="Traditional Arabic" w:hAnsi="Traditional Arabic"/>
          <w:noProof w:val="0"/>
          <w:color w:val="auto"/>
          <w:rtl/>
          <w:lang w:eastAsia="en-US"/>
        </w:rPr>
        <w:sym w:font="AGA Arabesque" w:char="F072"/>
      </w:r>
      <w:r>
        <w:rPr>
          <w:rFonts w:hint="cs"/>
          <w:rtl/>
        </w:rPr>
        <w:t xml:space="preserve"> قال:"</w:t>
      </w:r>
      <w:r w:rsidRPr="008C712E">
        <w:rPr>
          <w:rFonts w:ascii="Traditional Arabic" w:hAnsi="Traditional Arabic"/>
          <w:noProof w:val="0"/>
          <w:rtl/>
          <w:lang w:eastAsia="en-US"/>
        </w:rPr>
        <w:t>إن خ</w:t>
      </w:r>
      <w:r>
        <w:rPr>
          <w:rFonts w:ascii="Traditional Arabic" w:hAnsi="Traditional Arabic" w:hint="cs"/>
          <w:noProof w:val="0"/>
          <w:rtl/>
          <w:lang w:eastAsia="en-US"/>
        </w:rPr>
        <w:t>ِ</w:t>
      </w:r>
      <w:r w:rsidRPr="008C712E">
        <w:rPr>
          <w:rFonts w:ascii="Traditional Arabic" w:hAnsi="Traditional Arabic"/>
          <w:noProof w:val="0"/>
          <w:rtl/>
          <w:lang w:eastAsia="en-US"/>
        </w:rPr>
        <w:t>يار الناس أحسن</w:t>
      </w:r>
      <w:r>
        <w:rPr>
          <w:rFonts w:ascii="Traditional Arabic" w:hAnsi="Traditional Arabic" w:hint="cs"/>
          <w:noProof w:val="0"/>
          <w:rtl/>
          <w:lang w:eastAsia="en-US"/>
        </w:rPr>
        <w:t>ُ</w:t>
      </w:r>
      <w:r w:rsidRPr="008C712E">
        <w:rPr>
          <w:rFonts w:ascii="Traditional Arabic" w:hAnsi="Traditional Arabic"/>
          <w:noProof w:val="0"/>
          <w:rtl/>
          <w:lang w:eastAsia="en-US"/>
        </w:rPr>
        <w:t>هم قضاء</w:t>
      </w:r>
      <w:r>
        <w:rPr>
          <w:rFonts w:ascii="Traditional Arabic" w:hAnsi="Traditional Arabic" w:hint="cs"/>
          <w:noProof w:val="0"/>
          <w:rtl/>
          <w:lang w:eastAsia="en-US"/>
        </w:rPr>
        <w:t>ً</w:t>
      </w:r>
      <w:r w:rsidR="00AB0B9E">
        <w:rPr>
          <w:rFonts w:ascii="Traditional Arabic" w:hAnsi="Traditional Arabic"/>
          <w:noProof w:val="0"/>
          <w:rtl/>
          <w:lang w:eastAsia="en-US"/>
        </w:rPr>
        <w:fldChar w:fldCharType="begin"/>
      </w:r>
      <w:r w:rsidR="00F350DE" w:rsidRPr="00C85F0F">
        <w:instrText>XE</w:instrText>
      </w:r>
      <w:r w:rsidR="00F350DE" w:rsidRPr="00C85F0F">
        <w:rPr>
          <w:rtl/>
        </w:rPr>
        <w:instrText xml:space="preserve"> "</w:instrText>
      </w:r>
      <w:r w:rsidR="00F350DE" w:rsidRPr="00C85F0F">
        <w:rPr>
          <w:rFonts w:ascii="Traditional Arabic" w:hAnsi="Traditional Arabic"/>
          <w:noProof w:val="0"/>
          <w:rtl/>
          <w:lang w:eastAsia="en-US"/>
        </w:rPr>
        <w:instrText>إن خ</w:instrText>
      </w:r>
      <w:r w:rsidR="00F350DE" w:rsidRPr="00C85F0F">
        <w:rPr>
          <w:rFonts w:ascii="Traditional Arabic" w:hAnsi="Traditional Arabic" w:hint="cs"/>
          <w:noProof w:val="0"/>
          <w:rtl/>
          <w:lang w:eastAsia="en-US"/>
        </w:rPr>
        <w:instrText>ِ</w:instrText>
      </w:r>
      <w:r w:rsidR="00F350DE" w:rsidRPr="00C85F0F">
        <w:rPr>
          <w:rFonts w:ascii="Traditional Arabic" w:hAnsi="Traditional Arabic"/>
          <w:noProof w:val="0"/>
          <w:rtl/>
          <w:lang w:eastAsia="en-US"/>
        </w:rPr>
        <w:instrText>يار الناس أحسن</w:instrText>
      </w:r>
      <w:r w:rsidR="00F350DE" w:rsidRPr="00C85F0F">
        <w:rPr>
          <w:rFonts w:ascii="Traditional Arabic" w:hAnsi="Traditional Arabic" w:hint="cs"/>
          <w:noProof w:val="0"/>
          <w:rtl/>
          <w:lang w:eastAsia="en-US"/>
        </w:rPr>
        <w:instrText>ُ</w:instrText>
      </w:r>
      <w:r w:rsidR="00F350DE" w:rsidRPr="00C85F0F">
        <w:rPr>
          <w:rFonts w:ascii="Traditional Arabic" w:hAnsi="Traditional Arabic"/>
          <w:noProof w:val="0"/>
          <w:rtl/>
          <w:lang w:eastAsia="en-US"/>
        </w:rPr>
        <w:instrText>هم قضاء</w:instrText>
      </w:r>
      <w:r w:rsidR="00F350DE" w:rsidRPr="00C85F0F">
        <w:rPr>
          <w:rFonts w:ascii="Traditional Arabic" w:hAnsi="Traditional Arabic" w:hint="cs"/>
          <w:noProof w:val="0"/>
          <w:rtl/>
          <w:lang w:eastAsia="en-US"/>
        </w:rPr>
        <w:instrText>ً</w:instrText>
      </w:r>
      <w:r w:rsidR="00F350DE" w:rsidRPr="00C85F0F">
        <w:rPr>
          <w:rtl/>
        </w:rPr>
        <w:instrText>" \</w:instrText>
      </w:r>
      <w:r w:rsidR="00F350DE" w:rsidRPr="00C85F0F">
        <w:instrText>f</w:instrText>
      </w:r>
      <w:r w:rsidR="00F350DE">
        <w:instrText>h</w:instrText>
      </w:r>
      <w:r w:rsidR="00AB0B9E">
        <w:rPr>
          <w:rFonts w:ascii="Traditional Arabic" w:hAnsi="Traditional Arabic"/>
          <w:noProof w:val="0"/>
          <w:rtl/>
          <w:lang w:eastAsia="en-US"/>
        </w:rPr>
        <w:fldChar w:fldCharType="end"/>
      </w:r>
      <w:r w:rsidRPr="008C712E">
        <w:rPr>
          <w:rFonts w:ascii="Traditional Arabic" w:hAnsi="Traditional Arabic"/>
          <w:noProof w:val="0"/>
          <w:rtl/>
          <w:lang w:eastAsia="en-US"/>
        </w:rPr>
        <w:t>"</w:t>
      </w:r>
      <w:r w:rsidRPr="00C821A1">
        <w:rPr>
          <w:rStyle w:val="af1"/>
          <w:szCs w:val="32"/>
          <w:rtl/>
        </w:rPr>
        <w:t>(</w:t>
      </w:r>
      <w:r w:rsidRPr="00C821A1">
        <w:rPr>
          <w:rStyle w:val="af1"/>
          <w:szCs w:val="32"/>
          <w:rtl/>
        </w:rPr>
        <w:footnoteReference w:id="461"/>
      </w:r>
      <w:r w:rsidRPr="00C821A1">
        <w:rPr>
          <w:rStyle w:val="af1"/>
          <w:szCs w:val="32"/>
          <w:rtl/>
        </w:rPr>
        <w:t>)</w:t>
      </w:r>
      <w:r>
        <w:rPr>
          <w:rStyle w:val="af1"/>
          <w:rFonts w:hint="cs"/>
          <w:vertAlign w:val="baseline"/>
          <w:rtl/>
        </w:rPr>
        <w:t>.</w:t>
      </w:r>
    </w:p>
    <w:p w:rsidR="00256371" w:rsidRPr="00E51D72" w:rsidRDefault="00256371" w:rsidP="00597C20">
      <w:pPr>
        <w:widowControl/>
        <w:autoSpaceDE w:val="0"/>
        <w:autoSpaceDN w:val="0"/>
        <w:adjustRightInd w:val="0"/>
        <w:ind w:firstLine="720"/>
        <w:rPr>
          <w:rFonts w:ascii="Traditional Arabic" w:hAnsi="Traditional Arabic"/>
          <w:noProof w:val="0"/>
          <w:rtl/>
          <w:lang w:eastAsia="en-US"/>
        </w:rPr>
      </w:pPr>
      <w:r w:rsidRPr="00E51D72">
        <w:rPr>
          <w:rFonts w:ascii="Traditional Arabic" w:hAnsi="Traditional Arabic" w:hint="cs"/>
          <w:noProof w:val="0"/>
          <w:rtl/>
          <w:lang w:eastAsia="en-US"/>
        </w:rPr>
        <w:t xml:space="preserve">لكن قد يقول قائل: </w:t>
      </w:r>
      <w:r w:rsidRPr="00E51D72">
        <w:rPr>
          <w:rFonts w:ascii="Traditional Arabic" w:hAnsi="Traditional Arabic"/>
          <w:noProof w:val="0"/>
          <w:rtl/>
          <w:lang w:eastAsia="en-US"/>
        </w:rPr>
        <w:t>إذا ج</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و</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ز</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نا هذا لز</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م أن نجو</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ز الفوائد الب</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ن</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ك</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ية، لأنك تعطي البنك مائة</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ألف</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ويعطيك بعد سنة مائة</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وعشرة.</w:t>
      </w:r>
    </w:p>
    <w:p w:rsidR="00256371" w:rsidRPr="00E51D72" w:rsidRDefault="00256371" w:rsidP="00597C20">
      <w:pPr>
        <w:widowControl/>
        <w:autoSpaceDE w:val="0"/>
        <w:autoSpaceDN w:val="0"/>
        <w:adjustRightInd w:val="0"/>
        <w:ind w:firstLine="720"/>
        <w:rPr>
          <w:rFonts w:ascii="Simplified Arabic" w:hAnsi="Simplified Arabic" w:cs="Simplified Arabic"/>
          <w:noProof w:val="0"/>
          <w:color w:val="auto"/>
          <w:rtl/>
          <w:lang w:eastAsia="en-US"/>
        </w:rPr>
      </w:pPr>
      <w:r w:rsidRPr="00E51D72">
        <w:rPr>
          <w:rFonts w:ascii="Traditional Arabic" w:hAnsi="Traditional Arabic"/>
          <w:noProof w:val="0"/>
          <w:rtl/>
          <w:lang w:eastAsia="en-US"/>
        </w:rPr>
        <w:t>فالجواب على هذا أن البنك زيادت</w:t>
      </w:r>
      <w:r w:rsidR="00872DD6">
        <w:rPr>
          <w:rFonts w:ascii="Traditional Arabic" w:hAnsi="Traditional Arabic" w:hint="cs"/>
          <w:noProof w:val="0"/>
          <w:rtl/>
          <w:lang w:eastAsia="en-US"/>
        </w:rPr>
        <w:t>ُ</w:t>
      </w:r>
      <w:r w:rsidRPr="00E51D72">
        <w:rPr>
          <w:rFonts w:ascii="Traditional Arabic" w:hAnsi="Traditional Arabic"/>
          <w:noProof w:val="0"/>
          <w:rtl/>
          <w:lang w:eastAsia="en-US"/>
        </w:rPr>
        <w:t>ه تعتب</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ر مشروطة شرطا عرفيا، ؛ لأن هذا معلوم</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من</w:t>
      </w:r>
      <w:r w:rsidRPr="00E51D72">
        <w:rPr>
          <w:rFonts w:ascii="Traditional Arabic" w:hAnsi="Traditional Arabic"/>
          <w:noProof w:val="0"/>
          <w:color w:val="auto"/>
          <w:rtl/>
          <w:lang w:eastAsia="en-US"/>
        </w:rPr>
        <w:t xml:space="preserve"> تعام</w:t>
      </w:r>
      <w:r w:rsidR="00872DD6">
        <w:rPr>
          <w:rFonts w:ascii="Traditional Arabic" w:hAnsi="Traditional Arabic" w:hint="cs"/>
          <w:noProof w:val="0"/>
          <w:color w:val="auto"/>
          <w:rtl/>
          <w:lang w:eastAsia="en-US"/>
        </w:rPr>
        <w:t>ُ</w:t>
      </w:r>
      <w:r w:rsidRPr="00E51D72">
        <w:rPr>
          <w:rFonts w:ascii="Traditional Arabic" w:hAnsi="Traditional Arabic"/>
          <w:noProof w:val="0"/>
          <w:color w:val="auto"/>
          <w:rtl/>
          <w:lang w:eastAsia="en-US"/>
        </w:rPr>
        <w:t>لهم</w:t>
      </w:r>
      <w:r w:rsidRPr="00C821A1">
        <w:rPr>
          <w:rStyle w:val="af1"/>
          <w:szCs w:val="32"/>
          <w:rtl/>
        </w:rPr>
        <w:t>(</w:t>
      </w:r>
      <w:r w:rsidRPr="00C821A1">
        <w:rPr>
          <w:rStyle w:val="af1"/>
          <w:szCs w:val="32"/>
          <w:rtl/>
        </w:rPr>
        <w:footnoteReference w:id="462"/>
      </w:r>
      <w:r w:rsidRPr="00C821A1">
        <w:rPr>
          <w:rStyle w:val="af1"/>
          <w:szCs w:val="32"/>
          <w:rtl/>
        </w:rPr>
        <w:t>)</w:t>
      </w:r>
      <w:r w:rsidRPr="00E51D72">
        <w:rPr>
          <w:rFonts w:ascii="Traditional Arabic" w:hAnsi="Traditional Arabic"/>
          <w:noProof w:val="0"/>
          <w:color w:val="auto"/>
          <w:rtl/>
          <w:lang w:eastAsia="en-US"/>
        </w:rPr>
        <w:t>.</w:t>
      </w:r>
    </w:p>
    <w:p w:rsidR="00065E4B" w:rsidRDefault="00256371" w:rsidP="00597C20">
      <w:pPr>
        <w:pStyle w:val="53"/>
        <w:rPr>
          <w:rtl/>
        </w:rPr>
      </w:pPr>
      <w:r w:rsidRPr="004D6E0C">
        <w:rPr>
          <w:rFonts w:hint="cs"/>
          <w:rtl/>
        </w:rPr>
        <w:t>وجه اندراج الفرع تحت القاعدة:</w:t>
      </w:r>
    </w:p>
    <w:p w:rsidR="00256371" w:rsidRDefault="00065E4B" w:rsidP="00597C20">
      <w:pPr>
        <w:widowControl/>
        <w:autoSpaceDE w:val="0"/>
        <w:autoSpaceDN w:val="0"/>
        <w:adjustRightInd w:val="0"/>
        <w:ind w:firstLine="720"/>
        <w:rPr>
          <w:rFonts w:ascii="Traditional Arabic" w:hAnsi="Traditional Arabic"/>
          <w:b/>
          <w:bCs/>
          <w:noProof w:val="0"/>
          <w:sz w:val="44"/>
          <w:szCs w:val="44"/>
          <w:rtl/>
          <w:lang w:eastAsia="en-US"/>
        </w:rPr>
      </w:pPr>
      <w:r>
        <w:rPr>
          <w:rFonts w:ascii="Traditional Arabic" w:hAnsi="Traditional Arabic" w:hint="cs"/>
          <w:noProof w:val="0"/>
          <w:color w:val="auto"/>
          <w:rtl/>
          <w:lang w:eastAsia="en-US"/>
        </w:rPr>
        <w:t>م</w:t>
      </w:r>
      <w:r w:rsidR="00256371">
        <w:rPr>
          <w:rFonts w:ascii="Traditional Arabic" w:hAnsi="Traditional Arabic" w:hint="cs"/>
          <w:noProof w:val="0"/>
          <w:color w:val="auto"/>
          <w:rtl/>
          <w:lang w:eastAsia="en-US"/>
        </w:rPr>
        <w:t xml:space="preserve">ن المعلوم من تعامُل البنوك، أن المتعاملين معهم وإن لم يصرِّحوا باشتراط الفائدة عند إيداع أموالهم لدى البنك، إلا أنهم </w:t>
      </w:r>
      <w:r w:rsidR="00256371">
        <w:rPr>
          <w:rFonts w:ascii="Traditional Arabic" w:hAnsi="Traditional Arabic" w:hint="cs"/>
          <w:noProof w:val="0"/>
          <w:rtl/>
          <w:lang w:eastAsia="en-US"/>
        </w:rPr>
        <w:t xml:space="preserve">يشترِطونها </w:t>
      </w:r>
      <w:r w:rsidR="00256371" w:rsidRPr="004D6E0C">
        <w:rPr>
          <w:rFonts w:ascii="Traditional Arabic" w:hAnsi="Traditional Arabic"/>
          <w:noProof w:val="0"/>
          <w:rtl/>
          <w:lang w:eastAsia="en-US"/>
        </w:rPr>
        <w:t>شرطا ع</w:t>
      </w:r>
      <w:r w:rsidR="00256371">
        <w:rPr>
          <w:rFonts w:ascii="Traditional Arabic" w:hAnsi="Traditional Arabic" w:hint="cs"/>
          <w:noProof w:val="0"/>
          <w:rtl/>
          <w:lang w:eastAsia="en-US"/>
        </w:rPr>
        <w:t>ُ</w:t>
      </w:r>
      <w:r w:rsidR="00256371" w:rsidRPr="004D6E0C">
        <w:rPr>
          <w:rFonts w:ascii="Traditional Arabic" w:hAnsi="Traditional Arabic"/>
          <w:noProof w:val="0"/>
          <w:rtl/>
          <w:lang w:eastAsia="en-US"/>
        </w:rPr>
        <w:t xml:space="preserve">رفيا، </w:t>
      </w:r>
      <w:r w:rsidR="00256371">
        <w:rPr>
          <w:rFonts w:ascii="Traditional Arabic" w:hAnsi="Traditional Arabic" w:hint="cs"/>
          <w:noProof w:val="0"/>
          <w:rtl/>
          <w:lang w:eastAsia="en-US"/>
        </w:rPr>
        <w:t xml:space="preserve">والشرط العرفي كالشرط اللفظي، </w:t>
      </w:r>
      <w:r w:rsidR="00256371" w:rsidRPr="004D6E0C">
        <w:rPr>
          <w:rFonts w:ascii="Traditional Arabic" w:hAnsi="Traditional Arabic"/>
          <w:noProof w:val="0"/>
          <w:rtl/>
          <w:lang w:eastAsia="en-US"/>
        </w:rPr>
        <w:t>فمو</w:t>
      </w:r>
      <w:r w:rsidR="00256371">
        <w:rPr>
          <w:rFonts w:ascii="Traditional Arabic" w:hAnsi="Traditional Arabic" w:hint="cs"/>
          <w:noProof w:val="0"/>
          <w:rtl/>
          <w:lang w:eastAsia="en-US"/>
        </w:rPr>
        <w:t>َ</w:t>
      </w:r>
      <w:r w:rsidR="00256371" w:rsidRPr="004D6E0C">
        <w:rPr>
          <w:rFonts w:ascii="Traditional Arabic" w:hAnsi="Traditional Arabic"/>
          <w:noProof w:val="0"/>
          <w:rtl/>
          <w:lang w:eastAsia="en-US"/>
        </w:rPr>
        <w:t>ظ</w:t>
      </w:r>
      <w:r w:rsidR="00256371">
        <w:rPr>
          <w:rFonts w:ascii="Traditional Arabic" w:hAnsi="Traditional Arabic" w:hint="cs"/>
          <w:noProof w:val="0"/>
          <w:rtl/>
          <w:lang w:eastAsia="en-US"/>
        </w:rPr>
        <w:t>َّ</w:t>
      </w:r>
      <w:r w:rsidR="00256371" w:rsidRPr="004D6E0C">
        <w:rPr>
          <w:rFonts w:ascii="Traditional Arabic" w:hAnsi="Traditional Arabic"/>
          <w:noProof w:val="0"/>
          <w:rtl/>
          <w:lang w:eastAsia="en-US"/>
        </w:rPr>
        <w:t>ف البنك إذا قال</w:t>
      </w:r>
      <w:r w:rsidR="00256371">
        <w:rPr>
          <w:rFonts w:ascii="Traditional Arabic" w:hAnsi="Traditional Arabic" w:hint="cs"/>
          <w:noProof w:val="0"/>
          <w:rtl/>
          <w:lang w:eastAsia="en-US"/>
        </w:rPr>
        <w:t xml:space="preserve"> للمودِع</w:t>
      </w:r>
      <w:r w:rsidR="00256371" w:rsidRPr="004D6E0C">
        <w:rPr>
          <w:rFonts w:ascii="Traditional Arabic" w:hAnsi="Traditional Arabic"/>
          <w:noProof w:val="0"/>
          <w:rtl/>
          <w:lang w:eastAsia="en-US"/>
        </w:rPr>
        <w:t xml:space="preserve">: ماذا تريد؟ </w:t>
      </w:r>
      <w:r w:rsidR="00256371">
        <w:rPr>
          <w:rFonts w:ascii="Traditional Arabic" w:hAnsi="Traditional Arabic" w:hint="cs"/>
          <w:noProof w:val="0"/>
          <w:rtl/>
          <w:lang w:eastAsia="en-US"/>
        </w:rPr>
        <w:t>و</w:t>
      </w:r>
      <w:r w:rsidR="00256371" w:rsidRPr="004D6E0C">
        <w:rPr>
          <w:rFonts w:ascii="Traditional Arabic" w:hAnsi="Traditional Arabic"/>
          <w:noProof w:val="0"/>
          <w:rtl/>
          <w:lang w:eastAsia="en-US"/>
        </w:rPr>
        <w:t>قال: أريد حسابا بنكي</w:t>
      </w:r>
      <w:r w:rsidR="00256371">
        <w:rPr>
          <w:rFonts w:ascii="Traditional Arabic" w:hAnsi="Traditional Arabic" w:hint="cs"/>
          <w:noProof w:val="0"/>
          <w:rtl/>
          <w:lang w:eastAsia="en-US"/>
        </w:rPr>
        <w:t>ّ</w:t>
      </w:r>
      <w:r w:rsidR="00256371" w:rsidRPr="004D6E0C">
        <w:rPr>
          <w:rFonts w:ascii="Traditional Arabic" w:hAnsi="Traditional Arabic"/>
          <w:noProof w:val="0"/>
          <w:rtl/>
          <w:lang w:eastAsia="en-US"/>
        </w:rPr>
        <w:t>ا</w:t>
      </w:r>
      <w:r w:rsidR="00256371">
        <w:rPr>
          <w:rFonts w:ascii="Traditional Arabic" w:hAnsi="Traditional Arabic" w:hint="cs"/>
          <w:noProof w:val="0"/>
          <w:rtl/>
          <w:lang w:eastAsia="en-US"/>
        </w:rPr>
        <w:t>ً</w:t>
      </w:r>
      <w:r w:rsidR="00256371" w:rsidRPr="004D6E0C">
        <w:rPr>
          <w:rFonts w:ascii="Traditional Arabic" w:hAnsi="Traditional Arabic"/>
          <w:noProof w:val="0"/>
          <w:rtl/>
          <w:lang w:eastAsia="en-US"/>
        </w:rPr>
        <w:t xml:space="preserve">، </w:t>
      </w:r>
      <w:r w:rsidR="00256371">
        <w:rPr>
          <w:rFonts w:ascii="Traditional Arabic" w:hAnsi="Traditional Arabic" w:hint="cs"/>
          <w:noProof w:val="0"/>
          <w:rtl/>
          <w:lang w:eastAsia="en-US"/>
        </w:rPr>
        <w:t>فإن مُقتضى ذلك</w:t>
      </w:r>
      <w:r w:rsidR="00256371" w:rsidRPr="004D6E0C">
        <w:rPr>
          <w:rFonts w:ascii="Traditional Arabic" w:hAnsi="Traditional Arabic"/>
          <w:noProof w:val="0"/>
          <w:rtl/>
          <w:lang w:eastAsia="en-US"/>
        </w:rPr>
        <w:t xml:space="preserve"> أنه يريد الفوائد</w:t>
      </w:r>
      <w:r w:rsidR="00256371">
        <w:rPr>
          <w:rFonts w:ascii="Traditional Arabic" w:hAnsi="Traditional Arabic" w:hint="cs"/>
          <w:noProof w:val="0"/>
          <w:rtl/>
          <w:lang w:eastAsia="en-US"/>
        </w:rPr>
        <w:t xml:space="preserve"> البنكيَّة</w:t>
      </w:r>
      <w:r w:rsidR="00256371" w:rsidRPr="00C821A1">
        <w:rPr>
          <w:rStyle w:val="af1"/>
          <w:szCs w:val="32"/>
          <w:rtl/>
        </w:rPr>
        <w:t>(</w:t>
      </w:r>
      <w:r w:rsidR="00256371" w:rsidRPr="00C821A1">
        <w:rPr>
          <w:rStyle w:val="af1"/>
          <w:szCs w:val="32"/>
          <w:rtl/>
        </w:rPr>
        <w:footnoteReference w:id="463"/>
      </w:r>
      <w:r w:rsidR="00256371" w:rsidRPr="00C821A1">
        <w:rPr>
          <w:rStyle w:val="af1"/>
          <w:szCs w:val="32"/>
          <w:rtl/>
        </w:rPr>
        <w:t>)</w:t>
      </w:r>
      <w:r w:rsidR="00256371" w:rsidRPr="004D6E0C">
        <w:rPr>
          <w:rFonts w:ascii="Traditional Arabic" w:hAnsi="Traditional Arabic"/>
          <w:noProof w:val="0"/>
          <w:rtl/>
          <w:lang w:eastAsia="en-US"/>
        </w:rPr>
        <w:t>.</w:t>
      </w:r>
    </w:p>
    <w:p w:rsidR="00256371" w:rsidRPr="00A13CA0" w:rsidRDefault="00256371" w:rsidP="000A76C7">
      <w:pPr>
        <w:pStyle w:val="afc"/>
        <w:widowControl/>
        <w:numPr>
          <w:ilvl w:val="0"/>
          <w:numId w:val="81"/>
        </w:numPr>
        <w:autoSpaceDE w:val="0"/>
        <w:autoSpaceDN w:val="0"/>
        <w:adjustRightInd w:val="0"/>
        <w:rPr>
          <w:rFonts w:ascii="Traditional Arabic" w:hAnsi="Traditional Arabic"/>
          <w:noProof w:val="0"/>
          <w:rtl/>
          <w:lang w:eastAsia="en-US"/>
        </w:rPr>
      </w:pPr>
      <w:r w:rsidRPr="00CC7C56">
        <w:rPr>
          <w:rFonts w:ascii="Traditional Arabic" w:hAnsi="Traditional Arabic"/>
          <w:noProof w:val="0"/>
          <w:rtl/>
          <w:lang w:eastAsia="en-US"/>
        </w:rPr>
        <w:t>على رب</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 xml:space="preserve"> المال ما يع</w:t>
      </w:r>
      <w:r>
        <w:rPr>
          <w:rFonts w:ascii="Traditional Arabic" w:hAnsi="Traditional Arabic" w:hint="cs"/>
          <w:noProof w:val="0"/>
          <w:rtl/>
          <w:lang w:eastAsia="en-US"/>
        </w:rPr>
        <w:t>ُ</w:t>
      </w:r>
      <w:r w:rsidRPr="00CC7C56">
        <w:rPr>
          <w:rFonts w:ascii="Traditional Arabic" w:hAnsi="Traditional Arabic"/>
          <w:noProof w:val="0"/>
          <w:rtl/>
          <w:lang w:eastAsia="en-US"/>
        </w:rPr>
        <w:t>ود بصلاح النخل،</w:t>
      </w:r>
      <w:r w:rsidRPr="00CC7C56">
        <w:rPr>
          <w:rFonts w:ascii="Traditional Arabic" w:hAnsi="Traditional Arabic" w:hint="cs"/>
          <w:noProof w:val="0"/>
          <w:rtl/>
          <w:lang w:eastAsia="en-US"/>
        </w:rPr>
        <w:t xml:space="preserve"> كإجراء الأنهار، لكن </w:t>
      </w:r>
      <w:r>
        <w:rPr>
          <w:rFonts w:ascii="Traditional Arabic" w:hAnsi="Traditional Arabic"/>
          <w:noProof w:val="0"/>
          <w:rtl/>
          <w:lang w:eastAsia="en-US"/>
        </w:rPr>
        <w:t>الآن</w:t>
      </w:r>
      <w:r w:rsidR="001814AE">
        <w:rPr>
          <w:rFonts w:ascii="Traditional Arabic" w:hAnsi="Traditional Arabic" w:hint="cs"/>
          <w:noProof w:val="0"/>
          <w:rtl/>
          <w:lang w:eastAsia="en-US"/>
        </w:rPr>
        <w:t xml:space="preserve"> </w:t>
      </w:r>
      <w:r w:rsidRPr="00CC7C56">
        <w:rPr>
          <w:rFonts w:ascii="Traditional Arabic" w:hAnsi="Traditional Arabic" w:hint="cs"/>
          <w:noProof w:val="0"/>
          <w:rtl/>
          <w:lang w:eastAsia="en-US"/>
        </w:rPr>
        <w:t>يُ</w:t>
      </w:r>
      <w:r w:rsidRPr="00CC7C56">
        <w:rPr>
          <w:rFonts w:ascii="Traditional Arabic" w:hAnsi="Traditional Arabic"/>
          <w:noProof w:val="0"/>
          <w:rtl/>
          <w:lang w:eastAsia="en-US"/>
        </w:rPr>
        <w:t>قاب</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ل إجراء</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 xml:space="preserve"> الأنهار إخراج</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 xml:space="preserve"> الماء، وإخراج الماء عندنا </w:t>
      </w:r>
      <w:r>
        <w:rPr>
          <w:rFonts w:ascii="Traditional Arabic" w:hAnsi="Traditional Arabic" w:hint="cs"/>
          <w:noProof w:val="0"/>
          <w:rtl/>
          <w:lang w:eastAsia="en-US"/>
        </w:rPr>
        <w:t xml:space="preserve">هو </w:t>
      </w:r>
      <w:r w:rsidRPr="00CC7C56">
        <w:rPr>
          <w:rFonts w:ascii="Traditional Arabic" w:hAnsi="Traditional Arabic"/>
          <w:noProof w:val="0"/>
          <w:rtl/>
          <w:lang w:eastAsia="en-US"/>
        </w:rPr>
        <w:t>استخراج</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ه با</w:t>
      </w:r>
      <w:r w:rsidRPr="00CC7C56">
        <w:rPr>
          <w:rFonts w:ascii="Traditional Arabic" w:hAnsi="Traditional Arabic" w:hint="cs"/>
          <w:noProof w:val="0"/>
          <w:rtl/>
          <w:lang w:eastAsia="en-US"/>
        </w:rPr>
        <w:t>لآلات</w:t>
      </w:r>
      <w:r>
        <w:rPr>
          <w:rFonts w:ascii="Traditional Arabic" w:hAnsi="Traditional Arabic"/>
          <w:noProof w:val="0"/>
          <w:rtl/>
          <w:lang w:eastAsia="en-US"/>
        </w:rPr>
        <w:t>، وهذا يكون على العامل،</w:t>
      </w:r>
      <w:r w:rsidR="003A639A">
        <w:rPr>
          <w:rFonts w:ascii="Traditional Arabic" w:hAnsi="Traditional Arabic" w:hint="cs"/>
          <w:noProof w:val="0"/>
          <w:rtl/>
          <w:lang w:eastAsia="en-US"/>
        </w:rPr>
        <w:t xml:space="preserve"> </w:t>
      </w:r>
      <w:r>
        <w:rPr>
          <w:rFonts w:ascii="Traditional Arabic" w:hAnsi="Traditional Arabic" w:hint="cs"/>
          <w:noProof w:val="0"/>
          <w:rtl/>
          <w:lang w:eastAsia="en-US"/>
        </w:rPr>
        <w:t>و</w:t>
      </w:r>
      <w:r w:rsidRPr="00CC7C56">
        <w:rPr>
          <w:rFonts w:ascii="Traditional Arabic" w:hAnsi="Traditional Arabic"/>
          <w:noProof w:val="0"/>
          <w:rtl/>
          <w:lang w:eastAsia="en-US"/>
        </w:rPr>
        <w:t>ح</w:t>
      </w:r>
      <w:r>
        <w:rPr>
          <w:rFonts w:ascii="Traditional Arabic" w:hAnsi="Traditional Arabic" w:hint="cs"/>
          <w:noProof w:val="0"/>
          <w:rtl/>
          <w:lang w:eastAsia="en-US"/>
        </w:rPr>
        <w:t>َ</w:t>
      </w:r>
      <w:r w:rsidRPr="00CC7C56">
        <w:rPr>
          <w:rFonts w:ascii="Traditional Arabic" w:hAnsi="Traditional Arabic"/>
          <w:noProof w:val="0"/>
          <w:rtl/>
          <w:lang w:eastAsia="en-US"/>
        </w:rPr>
        <w:t>ف</w:t>
      </w:r>
      <w:r>
        <w:rPr>
          <w:rFonts w:ascii="Traditional Arabic" w:hAnsi="Traditional Arabic" w:hint="cs"/>
          <w:noProof w:val="0"/>
          <w:rtl/>
          <w:lang w:eastAsia="en-US"/>
        </w:rPr>
        <w:t>ْ</w:t>
      </w:r>
      <w:r w:rsidRPr="00CC7C56">
        <w:rPr>
          <w:rFonts w:ascii="Traditional Arabic" w:hAnsi="Traditional Arabic"/>
          <w:noProof w:val="0"/>
          <w:rtl/>
          <w:lang w:eastAsia="en-US"/>
        </w:rPr>
        <w:t>ر البئر على رب</w:t>
      </w:r>
      <w:r>
        <w:rPr>
          <w:rFonts w:ascii="Traditional Arabic" w:hAnsi="Traditional Arabic" w:hint="cs"/>
          <w:noProof w:val="0"/>
          <w:rtl/>
          <w:lang w:eastAsia="en-US"/>
        </w:rPr>
        <w:t>ِّ</w:t>
      </w:r>
      <w:r w:rsidRPr="00CC7C56">
        <w:rPr>
          <w:rFonts w:ascii="Traditional Arabic" w:hAnsi="Traditional Arabic"/>
          <w:noProof w:val="0"/>
          <w:rtl/>
          <w:lang w:eastAsia="en-US"/>
        </w:rPr>
        <w:t xml:space="preserve"> المال، هذا هو العرف</w:t>
      </w:r>
      <w:r>
        <w:rPr>
          <w:rFonts w:ascii="Traditional Arabic" w:hAnsi="Traditional Arabic" w:hint="cs"/>
          <w:noProof w:val="0"/>
          <w:rtl/>
          <w:lang w:eastAsia="en-US"/>
        </w:rPr>
        <w:t xml:space="preserve"> عندنا</w:t>
      </w:r>
      <w:r w:rsidRPr="00CC7C56">
        <w:rPr>
          <w:rFonts w:ascii="Traditional Arabic" w:hAnsi="Traditional Arabic"/>
          <w:noProof w:val="0"/>
          <w:rtl/>
          <w:lang w:eastAsia="en-US"/>
        </w:rPr>
        <w:t xml:space="preserve">، </w:t>
      </w:r>
      <w:r w:rsidRPr="00CC7C56">
        <w:rPr>
          <w:rFonts w:ascii="Traditional Arabic" w:hAnsi="Traditional Arabic" w:hint="cs"/>
          <w:noProof w:val="0"/>
          <w:rtl/>
          <w:lang w:eastAsia="en-US"/>
        </w:rPr>
        <w:t>و</w:t>
      </w:r>
      <w:r w:rsidRPr="00CC7C56">
        <w:rPr>
          <w:rFonts w:ascii="Traditional Arabic" w:hAnsi="Traditional Arabic"/>
          <w:noProof w:val="0"/>
          <w:rtl/>
          <w:lang w:eastAsia="en-US"/>
        </w:rPr>
        <w:t>ما دام الناس اط</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رد عندهم أن ح</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ف</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ر الآبار على رب</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 xml:space="preserve"> المال، وأن استخراج الماء على الفلا</w:t>
      </w:r>
      <w:r w:rsidRPr="00CC7C56">
        <w:rPr>
          <w:rFonts w:ascii="Traditional Arabic" w:hAnsi="Traditional Arabic" w:hint="cs"/>
          <w:noProof w:val="0"/>
          <w:rtl/>
          <w:lang w:eastAsia="en-US"/>
        </w:rPr>
        <w:t>ّ</w:t>
      </w:r>
      <w:r w:rsidRPr="00CC7C56">
        <w:rPr>
          <w:rFonts w:ascii="Traditional Arabic" w:hAnsi="Traditional Arabic"/>
          <w:noProof w:val="0"/>
          <w:rtl/>
          <w:lang w:eastAsia="en-US"/>
        </w:rPr>
        <w:t>ح العامل، فإننا نمشي على ما كان الناس عليه</w:t>
      </w:r>
      <w:r w:rsidRPr="00C821A1">
        <w:rPr>
          <w:rStyle w:val="af1"/>
          <w:szCs w:val="32"/>
          <w:rtl/>
        </w:rPr>
        <w:t>(</w:t>
      </w:r>
      <w:r w:rsidRPr="00C821A1">
        <w:rPr>
          <w:rStyle w:val="af1"/>
          <w:szCs w:val="32"/>
          <w:rtl/>
        </w:rPr>
        <w:footnoteReference w:id="464"/>
      </w:r>
      <w:r w:rsidRPr="00C821A1">
        <w:rPr>
          <w:rStyle w:val="af1"/>
          <w:szCs w:val="32"/>
          <w:rtl/>
        </w:rPr>
        <w:t>)</w:t>
      </w:r>
      <w:r w:rsidRPr="00CC7C56">
        <w:rPr>
          <w:rFonts w:ascii="Traditional Arabic" w:hAnsi="Traditional Arabic"/>
          <w:noProof w:val="0"/>
          <w:rtl/>
          <w:lang w:eastAsia="en-US"/>
        </w:rPr>
        <w:t>.</w:t>
      </w:r>
    </w:p>
    <w:p w:rsidR="00256371" w:rsidRDefault="00256371" w:rsidP="00597C20">
      <w:pPr>
        <w:pStyle w:val="53"/>
        <w:rPr>
          <w:rtl/>
        </w:rPr>
      </w:pPr>
      <w:r w:rsidRPr="004D6E0C">
        <w:rPr>
          <w:rFonts w:hint="cs"/>
          <w:rtl/>
        </w:rPr>
        <w:lastRenderedPageBreak/>
        <w:t>وجه اندراج الفرع تحت القاعدة:</w:t>
      </w:r>
    </w:p>
    <w:p w:rsidR="00256371" w:rsidRDefault="00872DD6"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مادام أن الناس قد تعارَفوا </w:t>
      </w:r>
      <w:r w:rsidR="00256371" w:rsidRPr="00E51D72">
        <w:rPr>
          <w:rFonts w:ascii="Traditional Arabic" w:hAnsi="Traditional Arabic" w:hint="cs"/>
          <w:noProof w:val="0"/>
          <w:color w:val="auto"/>
          <w:rtl/>
          <w:lang w:eastAsia="en-US"/>
        </w:rPr>
        <w:t xml:space="preserve">على أن حَفْر الآبار </w:t>
      </w:r>
      <w:r w:rsidR="00256371" w:rsidRPr="00E51D72">
        <w:rPr>
          <w:rFonts w:ascii="Traditional Arabic" w:hAnsi="Traditional Arabic"/>
          <w:noProof w:val="0"/>
          <w:rtl/>
          <w:lang w:eastAsia="en-US"/>
        </w:rPr>
        <w:t>على رب</w:t>
      </w:r>
      <w:r w:rsidR="00256371" w:rsidRPr="00E51D72">
        <w:rPr>
          <w:rFonts w:ascii="Traditional Arabic" w:hAnsi="Traditional Arabic" w:hint="cs"/>
          <w:noProof w:val="0"/>
          <w:rtl/>
          <w:lang w:eastAsia="en-US"/>
        </w:rPr>
        <w:t>ِّ</w:t>
      </w:r>
      <w:r w:rsidR="00256371" w:rsidRPr="00E51D72">
        <w:rPr>
          <w:rFonts w:ascii="Traditional Arabic" w:hAnsi="Traditional Arabic"/>
          <w:noProof w:val="0"/>
          <w:rtl/>
          <w:lang w:eastAsia="en-US"/>
        </w:rPr>
        <w:t xml:space="preserve"> المال، وأن استخراج الماء على الفلا</w:t>
      </w:r>
      <w:r w:rsidR="00256371" w:rsidRPr="00E51D72">
        <w:rPr>
          <w:rFonts w:ascii="Traditional Arabic" w:hAnsi="Traditional Arabic" w:hint="cs"/>
          <w:noProof w:val="0"/>
          <w:rtl/>
          <w:lang w:eastAsia="en-US"/>
        </w:rPr>
        <w:t>ّ</w:t>
      </w:r>
      <w:r w:rsidR="00256371" w:rsidRPr="00E51D72">
        <w:rPr>
          <w:rFonts w:ascii="Traditional Arabic" w:hAnsi="Traditional Arabic"/>
          <w:noProof w:val="0"/>
          <w:rtl/>
          <w:lang w:eastAsia="en-US"/>
        </w:rPr>
        <w:t>ح العامل</w:t>
      </w:r>
      <w:r w:rsidR="00256371" w:rsidRPr="00E51D72">
        <w:rPr>
          <w:rFonts w:ascii="Traditional Arabic" w:hAnsi="Traditional Arabic" w:hint="cs"/>
          <w:noProof w:val="0"/>
          <w:rtl/>
          <w:lang w:eastAsia="en-US"/>
        </w:rPr>
        <w:t>، واطَّرد ذلك عندهم، فإن المرجِع في ذلك إلى ما تعارَفوا عليه وإن لم يصرِّحوا به ويشترِطوه لفظاً؛</w:t>
      </w:r>
      <w:r w:rsidR="001814AE">
        <w:rPr>
          <w:rFonts w:ascii="Traditional Arabic" w:hAnsi="Traditional Arabic" w:hint="cs"/>
          <w:noProof w:val="0"/>
          <w:rtl/>
          <w:lang w:eastAsia="en-US"/>
        </w:rPr>
        <w:t xml:space="preserve"> </w:t>
      </w:r>
      <w:r w:rsidR="00256371" w:rsidRPr="00E51D72">
        <w:rPr>
          <w:rFonts w:ascii="Traditional Arabic" w:hAnsi="Traditional Arabic" w:hint="cs"/>
          <w:noProof w:val="0"/>
          <w:rtl/>
          <w:lang w:eastAsia="en-US"/>
        </w:rPr>
        <w:t>لأن</w:t>
      </w:r>
      <w:r w:rsidR="001814AE">
        <w:rPr>
          <w:rFonts w:ascii="Traditional Arabic" w:hAnsi="Traditional Arabic" w:hint="cs"/>
          <w:noProof w:val="0"/>
          <w:rtl/>
          <w:lang w:eastAsia="en-US"/>
        </w:rPr>
        <w:t xml:space="preserve"> </w:t>
      </w:r>
      <w:r w:rsidR="00256371" w:rsidRPr="00E51D72">
        <w:rPr>
          <w:rFonts w:ascii="Traditional Arabic" w:hAnsi="Traditional Arabic"/>
          <w:noProof w:val="0"/>
          <w:rtl/>
          <w:lang w:eastAsia="en-US"/>
        </w:rPr>
        <w:t>الع</w:t>
      </w:r>
      <w:r w:rsidR="00256371" w:rsidRPr="00E51D72">
        <w:rPr>
          <w:rFonts w:ascii="Traditional Arabic" w:hAnsi="Traditional Arabic" w:hint="cs"/>
          <w:noProof w:val="0"/>
          <w:rtl/>
          <w:lang w:eastAsia="en-US"/>
        </w:rPr>
        <w:t>ُ</w:t>
      </w:r>
      <w:r w:rsidR="00256371" w:rsidRPr="00E51D72">
        <w:rPr>
          <w:rFonts w:ascii="Traditional Arabic" w:hAnsi="Traditional Arabic"/>
          <w:noProof w:val="0"/>
          <w:rtl/>
          <w:lang w:eastAsia="en-US"/>
        </w:rPr>
        <w:t>رف المط</w:t>
      </w:r>
      <w:r w:rsidR="00256371" w:rsidRPr="00E51D72">
        <w:rPr>
          <w:rFonts w:ascii="Traditional Arabic" w:hAnsi="Traditional Arabic" w:hint="cs"/>
          <w:noProof w:val="0"/>
          <w:rtl/>
          <w:lang w:eastAsia="en-US"/>
        </w:rPr>
        <w:t>َّ</w:t>
      </w:r>
      <w:r w:rsidR="00256371" w:rsidRPr="00E51D72">
        <w:rPr>
          <w:rFonts w:ascii="Traditional Arabic" w:hAnsi="Traditional Arabic"/>
          <w:noProof w:val="0"/>
          <w:rtl/>
          <w:lang w:eastAsia="en-US"/>
        </w:rPr>
        <w:t>رد كالشرط اللفظي</w:t>
      </w:r>
      <w:r w:rsidR="00256371" w:rsidRPr="00C821A1">
        <w:rPr>
          <w:rStyle w:val="af1"/>
          <w:szCs w:val="32"/>
          <w:rtl/>
        </w:rPr>
        <w:t>(</w:t>
      </w:r>
      <w:r w:rsidR="00256371" w:rsidRPr="00C821A1">
        <w:rPr>
          <w:rStyle w:val="af1"/>
          <w:szCs w:val="32"/>
          <w:rtl/>
        </w:rPr>
        <w:footnoteReference w:id="465"/>
      </w:r>
      <w:r w:rsidR="00256371" w:rsidRPr="00C821A1">
        <w:rPr>
          <w:rStyle w:val="af1"/>
          <w:szCs w:val="32"/>
          <w:rtl/>
        </w:rPr>
        <w:t>)</w:t>
      </w:r>
      <w:r w:rsidR="00256371" w:rsidRPr="00E51D72">
        <w:rPr>
          <w:rFonts w:ascii="Traditional Arabic" w:hAnsi="Traditional Arabic" w:hint="cs"/>
          <w:noProof w:val="0"/>
          <w:rtl/>
          <w:lang w:eastAsia="en-US"/>
        </w:rPr>
        <w:t>.</w:t>
      </w:r>
    </w:p>
    <w:p w:rsidR="003E0A64" w:rsidRDefault="003E0A64" w:rsidP="00597C20">
      <w:pPr>
        <w:widowControl/>
        <w:autoSpaceDE w:val="0"/>
        <w:autoSpaceDN w:val="0"/>
        <w:adjustRightInd w:val="0"/>
        <w:ind w:firstLine="720"/>
        <w:rPr>
          <w:rFonts w:ascii="Traditional Arabic" w:hAnsi="Traditional Arabic"/>
          <w:noProof w:val="0"/>
          <w:color w:val="auto"/>
          <w:rtl/>
          <w:lang w:eastAsia="en-US"/>
        </w:rPr>
      </w:pPr>
    </w:p>
    <w:p w:rsidR="003E0A64" w:rsidRPr="00E51D72" w:rsidRDefault="003E0A64" w:rsidP="00597C20">
      <w:pPr>
        <w:widowControl/>
        <w:autoSpaceDE w:val="0"/>
        <w:autoSpaceDN w:val="0"/>
        <w:adjustRightInd w:val="0"/>
        <w:ind w:firstLine="720"/>
        <w:rPr>
          <w:rFonts w:ascii="Traditional Arabic" w:hAnsi="Traditional Arabic"/>
          <w:noProof w:val="0"/>
          <w:color w:val="auto"/>
          <w:rtl/>
          <w:lang w:eastAsia="en-US"/>
        </w:rPr>
      </w:pPr>
    </w:p>
    <w:p w:rsidR="00220EF0" w:rsidRPr="00C85F0F" w:rsidRDefault="00690470" w:rsidP="000F5C0F">
      <w:pPr>
        <w:pStyle w:val="aff2"/>
        <w:rPr>
          <w:rtl/>
        </w:rPr>
      </w:pPr>
      <w:bookmarkStart w:id="94" w:name="_Toc334046350"/>
      <w:r>
        <w:rPr>
          <w:rFonts w:hint="cs"/>
          <w:rtl/>
        </w:rPr>
        <w:lastRenderedPageBreak/>
        <w:t>المبحث الثالث</w:t>
      </w:r>
      <w:r w:rsidR="00220EF0" w:rsidRPr="00220EF0">
        <w:rPr>
          <w:rFonts w:hint="eastAsia"/>
          <w:rtl/>
        </w:rPr>
        <w:t> :</w:t>
      </w:r>
      <w:r w:rsidR="00220EF0" w:rsidRPr="00220EF0">
        <w:rPr>
          <w:rFonts w:hint="cs"/>
          <w:rtl/>
        </w:rPr>
        <w:br/>
        <w:t>قاعدة</w:t>
      </w:r>
      <w:r w:rsidR="00220EF0" w:rsidRPr="00220EF0">
        <w:rPr>
          <w:rtl/>
        </w:rPr>
        <w:br/>
      </w:r>
      <w:r w:rsidR="00220EF0" w:rsidRPr="00220EF0">
        <w:rPr>
          <w:rFonts w:hint="cs"/>
          <w:rtl/>
        </w:rPr>
        <w:t>"الإذن العرفي كالإذن اللفظي</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الإذنالعرفيكالإذناللفظي</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220EF0" w:rsidRPr="00C85F0F">
        <w:rPr>
          <w:rFonts w:hint="cs"/>
          <w:rtl/>
        </w:rPr>
        <w:t>"</w:t>
      </w:r>
      <w:bookmarkEnd w:id="94"/>
    </w:p>
    <w:p w:rsidR="00220EF0" w:rsidRPr="00C85F0F" w:rsidRDefault="001814AE" w:rsidP="00A8347C">
      <w:pPr>
        <w:pStyle w:val="aff3"/>
        <w:rPr>
          <w:rtl/>
        </w:rPr>
      </w:pPr>
      <w:bookmarkStart w:id="95" w:name="_Toc334046351"/>
      <w:r>
        <w:rPr>
          <w:rFonts w:hint="cs"/>
          <w:rtl/>
        </w:rPr>
        <w:t xml:space="preserve">                     </w:t>
      </w:r>
      <w:r w:rsidR="003A639A">
        <w:rPr>
          <w:rFonts w:hint="cs"/>
          <w:rtl/>
        </w:rPr>
        <w:t xml:space="preserve">                    </w:t>
      </w:r>
      <w:r w:rsidR="00220EF0" w:rsidRPr="00C85F0F">
        <w:rPr>
          <w:rFonts w:hint="cs"/>
          <w:rtl/>
        </w:rPr>
        <w:t>المطلب الأول</w:t>
      </w:r>
      <w:r w:rsidR="00220EF0" w:rsidRPr="00C85F0F">
        <w:rPr>
          <w:rFonts w:hint="eastAsia"/>
          <w:rtl/>
        </w:rPr>
        <w:t> :</w:t>
      </w:r>
      <w:r w:rsidR="00220EF0" w:rsidRPr="00C85F0F">
        <w:rPr>
          <w:rFonts w:hint="cs"/>
          <w:rtl/>
        </w:rPr>
        <w:br/>
      </w:r>
      <w:r>
        <w:rPr>
          <w:rFonts w:hint="cs"/>
          <w:rtl/>
        </w:rPr>
        <w:t xml:space="preserve">             </w:t>
      </w:r>
      <w:r w:rsidR="003A639A">
        <w:rPr>
          <w:rFonts w:hint="cs"/>
          <w:rtl/>
        </w:rPr>
        <w:t xml:space="preserve">          </w:t>
      </w:r>
      <w:r w:rsidR="00220EF0" w:rsidRPr="00C85F0F">
        <w:rPr>
          <w:rFonts w:hint="cs"/>
          <w:rtl/>
        </w:rPr>
        <w:t>صيغة القاعدة عند الشيخ وعند علماء القواعد</w:t>
      </w:r>
      <w:bookmarkEnd w:id="95"/>
    </w:p>
    <w:p w:rsidR="00220EF0" w:rsidRPr="00C85F0F" w:rsidRDefault="00220EF0" w:rsidP="00597C20">
      <w:pPr>
        <w:ind w:firstLine="720"/>
        <w:rPr>
          <w:rtl/>
        </w:rPr>
      </w:pPr>
      <w:r w:rsidRPr="00C85F0F">
        <w:rPr>
          <w:rFonts w:hint="cs"/>
          <w:rtl/>
        </w:rPr>
        <w:t xml:space="preserve">ذكر الشيخ ابن عثيمين </w:t>
      </w:r>
      <w:r w:rsidR="003A639A">
        <w:rPr>
          <w:rFonts w:hint="cs"/>
          <w:rtl/>
        </w:rPr>
        <w:t>_</w:t>
      </w:r>
      <w:r w:rsidR="009A0575" w:rsidRPr="005D5694">
        <w:rPr>
          <w:rFonts w:ascii="Traditional Arabic" w:hAnsi="Traditional Arabic" w:cs="CTraditional Arabic" w:hint="cs"/>
          <w:rtl/>
        </w:rPr>
        <w:t>/</w:t>
      </w:r>
      <w:r w:rsidR="003A639A">
        <w:rPr>
          <w:rFonts w:hint="cs"/>
          <w:rtl/>
        </w:rPr>
        <w:t>_</w:t>
      </w:r>
      <w:r w:rsidRPr="00C85F0F">
        <w:rPr>
          <w:rFonts w:hint="cs"/>
          <w:rtl/>
        </w:rPr>
        <w:t xml:space="preserve"> هذه القاعدة بمعناها، وذلك عند تطرُّقه إلى الأحوال الثلاث التي يجوز فيها للوكيل أن يوكِّل غيرَه فيما وُكِّل هو فيه، فقال عند ذِكره للحالة الثانية والثالثة :(</w:t>
      </w:r>
      <w:r w:rsidRPr="00C85F0F">
        <w:rPr>
          <w:rFonts w:ascii="Traditional Arabic" w:hAnsi="Traditional Arabic"/>
          <w:noProof w:val="0"/>
          <w:rtl/>
          <w:lang w:eastAsia="en-US"/>
        </w:rPr>
        <w:t>فإذا قال قائل: كيف أ</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جز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 أن يوك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في الحال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الأ</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خري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نقول: لأن هذا وإن لم يأذ</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فيه الموك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لفظا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فهو كالمأذون فيه 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فا</w:t>
      </w:r>
      <w:r w:rsidRPr="00C85F0F">
        <w:rPr>
          <w:rFonts w:hint="cs"/>
          <w:rtl/>
        </w:rPr>
        <w:t>ً</w:t>
      </w:r>
      <w:r w:rsidR="00B76414" w:rsidRPr="00C85F0F">
        <w:rPr>
          <w:rFonts w:hint="cs"/>
          <w:rtl/>
        </w:rPr>
        <w:t>)</w:t>
      </w:r>
      <w:r w:rsidRPr="00C85F0F">
        <w:rPr>
          <w:rStyle w:val="af1"/>
          <w:szCs w:val="32"/>
          <w:rtl/>
        </w:rPr>
        <w:t>(</w:t>
      </w:r>
      <w:r w:rsidRPr="00C85F0F">
        <w:rPr>
          <w:rStyle w:val="af1"/>
          <w:szCs w:val="32"/>
          <w:rtl/>
        </w:rPr>
        <w:footnoteReference w:id="466"/>
      </w:r>
      <w:r w:rsidRPr="00C85F0F">
        <w:rPr>
          <w:rStyle w:val="af1"/>
          <w:szCs w:val="32"/>
          <w:rtl/>
        </w:rPr>
        <w:t>)</w:t>
      </w:r>
      <w:r w:rsidRPr="00C85F0F">
        <w:rPr>
          <w:rFonts w:hint="cs"/>
          <w:rtl/>
        </w:rPr>
        <w:t>.</w:t>
      </w:r>
    </w:p>
    <w:p w:rsidR="00220EF0" w:rsidRPr="00C85F0F" w:rsidRDefault="00220EF0" w:rsidP="00597C20">
      <w:pPr>
        <w:rPr>
          <w:rtl/>
        </w:rPr>
      </w:pPr>
      <w:r w:rsidRPr="00C85F0F">
        <w:rPr>
          <w:rFonts w:hint="cs"/>
          <w:rtl/>
        </w:rPr>
        <w:t>ووردت هذه القاعدة عند علماء القواعد بصيغ متقاربة، منها:</w:t>
      </w:r>
    </w:p>
    <w:p w:rsidR="00220EF0" w:rsidRPr="00C85F0F" w:rsidRDefault="00220EF0" w:rsidP="000A76C7">
      <w:pPr>
        <w:numPr>
          <w:ilvl w:val="0"/>
          <w:numId w:val="82"/>
        </w:numPr>
      </w:pPr>
      <w:r w:rsidRPr="00C85F0F">
        <w:rPr>
          <w:rFonts w:hint="cs"/>
          <w:rtl/>
        </w:rPr>
        <w:t>الإذْنُ العُرفي كالإذن اللَّفظي</w:t>
      </w:r>
      <w:r w:rsidRPr="00C85F0F">
        <w:rPr>
          <w:rStyle w:val="af1"/>
          <w:szCs w:val="32"/>
          <w:rtl/>
        </w:rPr>
        <w:t>(</w:t>
      </w:r>
      <w:r w:rsidRPr="00C85F0F">
        <w:rPr>
          <w:rStyle w:val="af1"/>
          <w:szCs w:val="32"/>
          <w:rtl/>
        </w:rPr>
        <w:footnoteReference w:id="467"/>
      </w:r>
      <w:r w:rsidRPr="00C85F0F">
        <w:rPr>
          <w:rStyle w:val="af1"/>
          <w:szCs w:val="32"/>
          <w:rtl/>
        </w:rPr>
        <w:t>)</w:t>
      </w:r>
      <w:r w:rsidRPr="00C85F0F">
        <w:rPr>
          <w:rFonts w:hint="cs"/>
          <w:rtl/>
        </w:rPr>
        <w:t>.</w:t>
      </w:r>
    </w:p>
    <w:p w:rsidR="00220EF0" w:rsidRPr="00C85F0F" w:rsidRDefault="00220EF0" w:rsidP="000A76C7">
      <w:pPr>
        <w:numPr>
          <w:ilvl w:val="0"/>
          <w:numId w:val="82"/>
        </w:numPr>
      </w:pPr>
      <w:r w:rsidRPr="00C85F0F">
        <w:rPr>
          <w:rFonts w:hint="cs"/>
          <w:rtl/>
        </w:rPr>
        <w:t>الإذْن العُرفي يَجري مَجْرى الإذْن اللَّفظي</w:t>
      </w:r>
      <w:r w:rsidRPr="00C85F0F">
        <w:rPr>
          <w:rStyle w:val="af1"/>
          <w:szCs w:val="32"/>
          <w:rtl/>
        </w:rPr>
        <w:t>(</w:t>
      </w:r>
      <w:r w:rsidRPr="00C85F0F">
        <w:rPr>
          <w:rStyle w:val="af1"/>
          <w:szCs w:val="32"/>
          <w:rtl/>
        </w:rPr>
        <w:footnoteReference w:id="468"/>
      </w:r>
      <w:r w:rsidRPr="00C85F0F">
        <w:rPr>
          <w:rStyle w:val="af1"/>
          <w:szCs w:val="32"/>
          <w:rtl/>
        </w:rPr>
        <w:t>)</w:t>
      </w:r>
      <w:r w:rsidRPr="00C85F0F">
        <w:rPr>
          <w:rFonts w:hint="cs"/>
          <w:rtl/>
        </w:rPr>
        <w:t>.</w:t>
      </w:r>
    </w:p>
    <w:p w:rsidR="00220EF0" w:rsidRPr="00C85F0F" w:rsidRDefault="00220EF0" w:rsidP="000A76C7">
      <w:pPr>
        <w:numPr>
          <w:ilvl w:val="0"/>
          <w:numId w:val="82"/>
        </w:numPr>
      </w:pPr>
      <w:r w:rsidRPr="00C85F0F">
        <w:rPr>
          <w:rFonts w:hint="cs"/>
          <w:rtl/>
        </w:rPr>
        <w:t>الإذن العادي أو الشرعي يُنزَّل عند المالكية مَنْزِلة القولي</w:t>
      </w:r>
      <w:r w:rsidRPr="00C85F0F">
        <w:rPr>
          <w:rStyle w:val="af1"/>
          <w:szCs w:val="32"/>
          <w:rtl/>
        </w:rPr>
        <w:t>(</w:t>
      </w:r>
      <w:r w:rsidRPr="00C85F0F">
        <w:rPr>
          <w:rStyle w:val="af1"/>
          <w:szCs w:val="32"/>
          <w:rtl/>
        </w:rPr>
        <w:footnoteReference w:id="469"/>
      </w:r>
      <w:r w:rsidRPr="00C85F0F">
        <w:rPr>
          <w:rStyle w:val="af1"/>
          <w:szCs w:val="32"/>
          <w:rtl/>
        </w:rPr>
        <w:t>)</w:t>
      </w:r>
      <w:r w:rsidRPr="00C85F0F">
        <w:rPr>
          <w:rFonts w:hint="cs"/>
          <w:rtl/>
        </w:rPr>
        <w:t>.</w:t>
      </w:r>
    </w:p>
    <w:p w:rsidR="00220EF0" w:rsidRPr="00C85F0F" w:rsidRDefault="00220EF0" w:rsidP="000A76C7">
      <w:pPr>
        <w:numPr>
          <w:ilvl w:val="0"/>
          <w:numId w:val="82"/>
        </w:numPr>
      </w:pPr>
      <w:r w:rsidRPr="00C85F0F">
        <w:rPr>
          <w:rFonts w:hint="cs"/>
          <w:rtl/>
        </w:rPr>
        <w:t>الإذن العرفية: كالإذن الحقيقية</w:t>
      </w:r>
      <w:r w:rsidRPr="00C85F0F">
        <w:rPr>
          <w:rStyle w:val="af1"/>
          <w:szCs w:val="32"/>
          <w:rtl/>
        </w:rPr>
        <w:t>(</w:t>
      </w:r>
      <w:r w:rsidRPr="00C85F0F">
        <w:rPr>
          <w:rStyle w:val="af1"/>
          <w:szCs w:val="32"/>
          <w:rtl/>
        </w:rPr>
        <w:footnoteReference w:id="470"/>
      </w:r>
      <w:r w:rsidRPr="00C85F0F">
        <w:rPr>
          <w:rStyle w:val="af1"/>
          <w:szCs w:val="32"/>
          <w:rtl/>
        </w:rPr>
        <w:t>)</w:t>
      </w:r>
      <w:r w:rsidRPr="00C85F0F">
        <w:rPr>
          <w:rFonts w:hint="cs"/>
          <w:rtl/>
        </w:rPr>
        <w:t>.</w:t>
      </w:r>
    </w:p>
    <w:p w:rsidR="00220EF0" w:rsidRPr="00C85F0F" w:rsidRDefault="00220EF0" w:rsidP="000A76C7">
      <w:pPr>
        <w:numPr>
          <w:ilvl w:val="0"/>
          <w:numId w:val="82"/>
        </w:numPr>
      </w:pPr>
      <w:r w:rsidRPr="00C85F0F">
        <w:rPr>
          <w:rFonts w:hint="cs"/>
          <w:rtl/>
        </w:rPr>
        <w:t>الإذن العرفي كالحقيقي</w:t>
      </w:r>
      <w:r w:rsidRPr="00C85F0F">
        <w:rPr>
          <w:rStyle w:val="af1"/>
          <w:szCs w:val="32"/>
          <w:rtl/>
        </w:rPr>
        <w:t>(</w:t>
      </w:r>
      <w:r w:rsidRPr="00C85F0F">
        <w:rPr>
          <w:rStyle w:val="af1"/>
          <w:szCs w:val="32"/>
          <w:rtl/>
        </w:rPr>
        <w:footnoteReference w:id="471"/>
      </w:r>
      <w:r w:rsidRPr="00C85F0F">
        <w:rPr>
          <w:rStyle w:val="af1"/>
          <w:szCs w:val="32"/>
          <w:rtl/>
        </w:rPr>
        <w:t>)</w:t>
      </w:r>
      <w:r w:rsidRPr="00C85F0F">
        <w:rPr>
          <w:rFonts w:hint="cs"/>
          <w:rtl/>
        </w:rPr>
        <w:t>.</w:t>
      </w:r>
    </w:p>
    <w:p w:rsidR="00220EF0" w:rsidRPr="00C85F0F" w:rsidRDefault="00220EF0" w:rsidP="000A76C7">
      <w:pPr>
        <w:numPr>
          <w:ilvl w:val="0"/>
          <w:numId w:val="82"/>
        </w:numPr>
      </w:pPr>
      <w:r w:rsidRPr="00C85F0F">
        <w:rPr>
          <w:rFonts w:hint="cs"/>
          <w:rtl/>
        </w:rPr>
        <w:lastRenderedPageBreak/>
        <w:t>دلالةُ الإذن من حيثُ العُرفُ كالتصريح بالإذن</w:t>
      </w:r>
      <w:r w:rsidRPr="00C85F0F">
        <w:rPr>
          <w:rStyle w:val="af1"/>
          <w:szCs w:val="32"/>
          <w:rtl/>
        </w:rPr>
        <w:t>(</w:t>
      </w:r>
      <w:r w:rsidRPr="00C85F0F">
        <w:rPr>
          <w:rStyle w:val="af1"/>
          <w:szCs w:val="32"/>
          <w:rtl/>
        </w:rPr>
        <w:footnoteReference w:id="472"/>
      </w:r>
      <w:r w:rsidRPr="00C85F0F">
        <w:rPr>
          <w:rStyle w:val="af1"/>
          <w:szCs w:val="32"/>
          <w:rtl/>
        </w:rPr>
        <w:t>)</w:t>
      </w:r>
      <w:r w:rsidRPr="00C85F0F">
        <w:rPr>
          <w:rFonts w:hint="cs"/>
          <w:rtl/>
        </w:rPr>
        <w:t>.</w:t>
      </w:r>
    </w:p>
    <w:p w:rsidR="00220EF0" w:rsidRPr="00C85F0F" w:rsidRDefault="001814AE" w:rsidP="00A8347C">
      <w:pPr>
        <w:pStyle w:val="aff3"/>
        <w:rPr>
          <w:rtl/>
        </w:rPr>
      </w:pPr>
      <w:bookmarkStart w:id="96" w:name="_Toc334046352"/>
      <w:r>
        <w:rPr>
          <w:rFonts w:hint="cs"/>
          <w:rtl/>
        </w:rPr>
        <w:t xml:space="preserve">                 </w:t>
      </w:r>
      <w:r w:rsidR="003E582B">
        <w:rPr>
          <w:rFonts w:hint="cs"/>
          <w:rtl/>
        </w:rPr>
        <w:t xml:space="preserve">                        </w:t>
      </w:r>
      <w:r w:rsidR="00220EF0" w:rsidRPr="00C85F0F">
        <w:rPr>
          <w:rFonts w:hint="cs"/>
          <w:rtl/>
        </w:rPr>
        <w:t>المطلب الثاني</w:t>
      </w:r>
      <w:r w:rsidR="00220EF0" w:rsidRPr="00C85F0F">
        <w:rPr>
          <w:rFonts w:hint="eastAsia"/>
          <w:rtl/>
        </w:rPr>
        <w:t> :</w:t>
      </w:r>
      <w:r w:rsidR="00220EF0" w:rsidRPr="00C85F0F">
        <w:rPr>
          <w:rFonts w:hint="cs"/>
          <w:rtl/>
        </w:rPr>
        <w:br/>
      </w:r>
      <w:r>
        <w:rPr>
          <w:rFonts w:hint="cs"/>
          <w:rtl/>
        </w:rPr>
        <w:t xml:space="preserve">                </w:t>
      </w:r>
      <w:r w:rsidR="003E582B">
        <w:rPr>
          <w:rFonts w:hint="cs"/>
          <w:rtl/>
        </w:rPr>
        <w:t xml:space="preserve">                          </w:t>
      </w:r>
      <w:r w:rsidR="00220EF0" w:rsidRPr="00C85F0F">
        <w:rPr>
          <w:rFonts w:hint="cs"/>
          <w:rtl/>
        </w:rPr>
        <w:t>شرح القاعدة</w:t>
      </w:r>
      <w:bookmarkEnd w:id="96"/>
    </w:p>
    <w:p w:rsidR="00220EF0" w:rsidRPr="00C85F0F" w:rsidRDefault="00220EF0" w:rsidP="000F5C0F">
      <w:pPr>
        <w:pStyle w:val="53"/>
        <w:rPr>
          <w:rtl/>
        </w:rPr>
      </w:pPr>
      <w:r w:rsidRPr="00C85F0F">
        <w:rPr>
          <w:rFonts w:hint="cs"/>
          <w:rtl/>
        </w:rPr>
        <w:t>معنى القاعدة إجمالا:</w:t>
      </w:r>
    </w:p>
    <w:p w:rsidR="00220EF0" w:rsidRPr="00C85F0F" w:rsidRDefault="003E582B" w:rsidP="00597C20">
      <w:pPr>
        <w:ind w:firstLine="720"/>
        <w:rPr>
          <w:rtl/>
        </w:rPr>
      </w:pPr>
      <w:r>
        <w:rPr>
          <w:rFonts w:hint="cs"/>
          <w:rtl/>
        </w:rPr>
        <w:t>إ</w:t>
      </w:r>
      <w:r w:rsidR="00220EF0" w:rsidRPr="00C85F0F">
        <w:rPr>
          <w:rFonts w:hint="cs"/>
          <w:rtl/>
        </w:rPr>
        <w:t>ن ما دلَّ على الإذن بفعلِ شيءٍ أو تملُّكه أو تَناوُله، وكان ذلك معروفاً بين الناس، فهو في قوةِ التصريح بالإذن</w:t>
      </w:r>
      <w:r w:rsidR="00220EF0" w:rsidRPr="00C85F0F">
        <w:rPr>
          <w:rStyle w:val="af1"/>
          <w:szCs w:val="32"/>
          <w:rtl/>
        </w:rPr>
        <w:t>(</w:t>
      </w:r>
      <w:r w:rsidR="00220EF0" w:rsidRPr="00C85F0F">
        <w:rPr>
          <w:rStyle w:val="af1"/>
          <w:szCs w:val="32"/>
          <w:rtl/>
        </w:rPr>
        <w:footnoteReference w:id="473"/>
      </w:r>
      <w:r w:rsidR="00220EF0" w:rsidRPr="00C85F0F">
        <w:rPr>
          <w:rStyle w:val="af1"/>
          <w:szCs w:val="32"/>
          <w:rtl/>
        </w:rPr>
        <w:t>)</w:t>
      </w:r>
      <w:r w:rsidR="00220EF0" w:rsidRPr="00C85F0F">
        <w:rPr>
          <w:rFonts w:hint="cs"/>
          <w:rtl/>
        </w:rPr>
        <w:t>.</w:t>
      </w:r>
    </w:p>
    <w:p w:rsidR="00220EF0" w:rsidRDefault="001814AE" w:rsidP="00A8347C">
      <w:pPr>
        <w:pStyle w:val="aff3"/>
        <w:rPr>
          <w:rtl/>
        </w:rPr>
      </w:pPr>
      <w:bookmarkStart w:id="97" w:name="_Toc334046353"/>
      <w:r>
        <w:rPr>
          <w:rFonts w:hint="cs"/>
          <w:rtl/>
        </w:rPr>
        <w:t xml:space="preserve">         </w:t>
      </w:r>
      <w:r w:rsidR="003E582B">
        <w:rPr>
          <w:rFonts w:hint="cs"/>
          <w:rtl/>
        </w:rPr>
        <w:t xml:space="preserve">                            </w:t>
      </w:r>
      <w:r>
        <w:rPr>
          <w:rFonts w:hint="cs"/>
          <w:rtl/>
        </w:rPr>
        <w:t xml:space="preserve">    </w:t>
      </w:r>
      <w:r w:rsidR="00220EF0" w:rsidRPr="00C85F0F">
        <w:rPr>
          <w:rFonts w:hint="cs"/>
          <w:rtl/>
        </w:rPr>
        <w:t>المطلب الثالث</w:t>
      </w:r>
      <w:r w:rsidR="00220EF0" w:rsidRPr="00C85F0F">
        <w:rPr>
          <w:rFonts w:hint="eastAsia"/>
          <w:rtl/>
        </w:rPr>
        <w:t> :</w:t>
      </w:r>
      <w:r w:rsidR="00220EF0" w:rsidRPr="00C85F0F">
        <w:rPr>
          <w:rFonts w:hint="cs"/>
          <w:rtl/>
        </w:rPr>
        <w:br/>
      </w:r>
      <w:r>
        <w:rPr>
          <w:rFonts w:hint="cs"/>
          <w:rtl/>
        </w:rPr>
        <w:t xml:space="preserve">             </w:t>
      </w:r>
      <w:r w:rsidR="003E582B">
        <w:rPr>
          <w:rFonts w:hint="cs"/>
          <w:rtl/>
        </w:rPr>
        <w:t xml:space="preserve">                               </w:t>
      </w:r>
      <w:r w:rsidR="00220EF0" w:rsidRPr="00C85F0F">
        <w:rPr>
          <w:rFonts w:hint="cs"/>
          <w:rtl/>
        </w:rPr>
        <w:t>أدلة القاعدة</w:t>
      </w:r>
      <w:bookmarkEnd w:id="97"/>
    </w:p>
    <w:p w:rsidR="00220EF0" w:rsidRDefault="00220EF0" w:rsidP="000A76C7">
      <w:pPr>
        <w:pStyle w:val="afc"/>
        <w:numPr>
          <w:ilvl w:val="0"/>
          <w:numId w:val="83"/>
        </w:numPr>
        <w:rPr>
          <w:color w:val="auto"/>
        </w:rPr>
      </w:pPr>
      <w:r w:rsidRPr="00C85F0F">
        <w:rPr>
          <w:rFonts w:hint="cs"/>
          <w:rtl/>
        </w:rPr>
        <w:t>عن عُرْوَةَ بنِ الجَعْدِ البارِقي</w:t>
      </w:r>
      <w:r w:rsidR="003E582B">
        <w:rPr>
          <w:rFonts w:hint="cs"/>
          <w:rtl/>
        </w:rPr>
        <w:t>_رضي الله عنه_</w:t>
      </w:r>
      <w:r w:rsidR="001814AE">
        <w:rPr>
          <w:rFonts w:hint="cs"/>
          <w:rtl/>
        </w:rPr>
        <w:t xml:space="preserve"> </w:t>
      </w:r>
      <w:r w:rsidR="00AB0B9E" w:rsidRPr="00C85F0F">
        <w:rPr>
          <w:rtl/>
        </w:rPr>
        <w:fldChar w:fldCharType="begin"/>
      </w:r>
      <w:r w:rsidR="004F50F0" w:rsidRPr="00C85F0F">
        <w:rPr>
          <w:rFonts w:hint="cs"/>
        </w:rPr>
        <w:instrText>XE</w:instrText>
      </w:r>
      <w:r w:rsidR="004F50F0" w:rsidRPr="00C85F0F">
        <w:rPr>
          <w:rtl/>
        </w:rPr>
        <w:instrText xml:space="preserve"> "</w:instrText>
      </w:r>
      <w:r w:rsidR="004F50F0" w:rsidRPr="00C85F0F">
        <w:rPr>
          <w:rFonts w:hint="cs"/>
          <w:rtl/>
        </w:rPr>
        <w:instrText>عُرْوَةَ بنِ الجَعْدِ البارِقي</w:instrText>
      </w:r>
      <w:r w:rsidR="004F50F0" w:rsidRPr="00C85F0F">
        <w:rPr>
          <w:rtl/>
        </w:rPr>
        <w:instrText>"\</w:instrText>
      </w:r>
      <w:r w:rsidR="004F50F0" w:rsidRPr="00C85F0F">
        <w:instrText>fa</w:instrText>
      </w:r>
      <w:r w:rsidR="004F50F0" w:rsidRPr="00C85F0F">
        <w:rPr>
          <w:rtl/>
        </w:rPr>
        <w:instrText xml:space="preserve">" </w:instrText>
      </w:r>
      <w:r w:rsidR="00AB0B9E" w:rsidRPr="00C85F0F">
        <w:rPr>
          <w:rtl/>
        </w:rPr>
        <w:fldChar w:fldCharType="end"/>
      </w:r>
      <w:r w:rsidRPr="00C85F0F">
        <w:rPr>
          <w:rStyle w:val="af1"/>
          <w:szCs w:val="32"/>
          <w:rtl/>
        </w:rPr>
        <w:t>(</w:t>
      </w:r>
      <w:r w:rsidRPr="00C85F0F">
        <w:rPr>
          <w:rStyle w:val="af1"/>
          <w:szCs w:val="32"/>
          <w:rtl/>
        </w:rPr>
        <w:footnoteReference w:id="474"/>
      </w:r>
      <w:r w:rsidRPr="00C85F0F">
        <w:rPr>
          <w:rStyle w:val="af1"/>
          <w:szCs w:val="32"/>
          <w:rtl/>
        </w:rPr>
        <w:t>)</w:t>
      </w:r>
      <w:r w:rsidR="003E582B">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 xml:space="preserve">أن النبي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noProof w:val="0"/>
          <w:color w:val="auto"/>
          <w:rtl/>
          <w:lang w:eastAsia="en-US"/>
        </w:rPr>
        <w:t xml:space="preserve"> أعطاه دينارا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يشتري له به شاة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فاشترى له به شات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w:t>
      </w:r>
      <w:r w:rsidR="00AB0B9E" w:rsidRPr="00C85F0F">
        <w:rPr>
          <w:rFonts w:ascii="Traditional Arabic" w:hAnsi="Traditional Arabic"/>
          <w:noProof w:val="0"/>
          <w:color w:val="auto"/>
          <w:lang w:eastAsia="en-US"/>
        </w:rPr>
        <w:fldChar w:fldCharType="begin"/>
      </w:r>
      <w:r w:rsidR="00F350DE" w:rsidRPr="00C85F0F">
        <w:instrText>XE</w:instrText>
      </w:r>
      <w:r w:rsidR="00F350DE" w:rsidRPr="00C85F0F">
        <w:rPr>
          <w:rtl/>
        </w:rPr>
        <w:instrText xml:space="preserve"> "</w:instrText>
      </w:r>
      <w:r w:rsidR="00F350DE" w:rsidRPr="00C85F0F">
        <w:rPr>
          <w:rFonts w:ascii="Traditional Arabic" w:hAnsi="Traditional Arabic"/>
          <w:noProof w:val="0"/>
          <w:color w:val="auto"/>
          <w:rtl/>
          <w:lang w:eastAsia="en-US"/>
        </w:rPr>
        <w:instrText xml:space="preserve">أعطاه النبي </w:instrText>
      </w:r>
      <w:r w:rsidR="00F350DE" w:rsidRPr="00C85F0F">
        <w:rPr>
          <w:rFonts w:ascii="Traditional Arabic" w:hAnsi="Traditional Arabic"/>
          <w:noProof w:val="0"/>
          <w:color w:val="auto"/>
          <w:rtl/>
          <w:lang w:eastAsia="en-US"/>
        </w:rPr>
        <w:sym w:font="AGA Arabesque" w:char="F072"/>
      </w:r>
      <w:r w:rsidR="00F350DE" w:rsidRPr="00C85F0F">
        <w:rPr>
          <w:rFonts w:ascii="Traditional Arabic" w:hAnsi="Traditional Arabic"/>
          <w:noProof w:val="0"/>
          <w:color w:val="auto"/>
          <w:rtl/>
          <w:lang w:eastAsia="en-US"/>
        </w:rPr>
        <w:instrText xml:space="preserve"> دينارا</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 xml:space="preserve"> يشتري له به شاة</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 xml:space="preserve"> فاشترى له به شات</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ي</w:instrText>
      </w:r>
      <w:r w:rsidR="00F350DE" w:rsidRPr="00C85F0F">
        <w:rPr>
          <w:rFonts w:ascii="Traditional Arabic" w:hAnsi="Traditional Arabic" w:hint="cs"/>
          <w:noProof w:val="0"/>
          <w:color w:val="auto"/>
          <w:rtl/>
          <w:lang w:eastAsia="en-US"/>
        </w:rPr>
        <w:instrText>ْ</w:instrText>
      </w:r>
      <w:r w:rsidR="00F350DE" w:rsidRPr="00C85F0F">
        <w:rPr>
          <w:rFonts w:ascii="Traditional Arabic" w:hAnsi="Traditional Arabic"/>
          <w:noProof w:val="0"/>
          <w:color w:val="auto"/>
          <w:rtl/>
          <w:lang w:eastAsia="en-US"/>
        </w:rPr>
        <w:instrText>ن</w:instrText>
      </w:r>
      <w:r w:rsidR="00F350DE" w:rsidRPr="00C85F0F">
        <w:rPr>
          <w:rtl/>
        </w:rPr>
        <w:instrText>" \</w:instrText>
      </w:r>
      <w:r w:rsidR="00F350DE" w:rsidRPr="00C85F0F">
        <w:instrText>fh</w:instrText>
      </w:r>
      <w:r w:rsidR="00AB0B9E" w:rsidRPr="00C85F0F">
        <w:rPr>
          <w:rFonts w:ascii="Traditional Arabic" w:hAnsi="Traditional Arabic"/>
          <w:noProof w:val="0"/>
          <w:color w:val="auto"/>
          <w:lang w:eastAsia="en-US"/>
        </w:rPr>
        <w:fldChar w:fldCharType="end"/>
      </w:r>
      <w:r w:rsidRPr="00996926">
        <w:rPr>
          <w:rFonts w:ascii="Traditional Arabic" w:hAnsi="Traditional Arabic"/>
          <w:noProof w:val="0"/>
          <w:color w:val="auto"/>
          <w:rtl/>
          <w:lang w:eastAsia="en-US"/>
        </w:rPr>
        <w:t xml:space="preserve"> فباع</w:t>
      </w:r>
      <w:r>
        <w:rPr>
          <w:rFonts w:ascii="Traditional Arabic" w:hAnsi="Traditional Arabic" w:hint="cs"/>
          <w:noProof w:val="0"/>
          <w:color w:val="auto"/>
          <w:rtl/>
          <w:lang w:eastAsia="en-US"/>
        </w:rPr>
        <w:t>َ</w:t>
      </w:r>
      <w:r w:rsidRPr="00996926">
        <w:rPr>
          <w:rFonts w:ascii="Traditional Arabic" w:hAnsi="Traditional Arabic"/>
          <w:noProof w:val="0"/>
          <w:color w:val="auto"/>
          <w:rtl/>
          <w:lang w:eastAsia="en-US"/>
        </w:rPr>
        <w:t xml:space="preserve"> إحداهما بدينار وجاءه بدينار وشاة</w:t>
      </w:r>
      <w:r>
        <w:rPr>
          <w:rFonts w:ascii="Traditional Arabic" w:hAnsi="Traditional Arabic" w:hint="cs"/>
          <w:noProof w:val="0"/>
          <w:color w:val="auto"/>
          <w:rtl/>
          <w:lang w:eastAsia="en-US"/>
        </w:rPr>
        <w:t>،</w:t>
      </w:r>
      <w:r w:rsidRPr="00996926">
        <w:rPr>
          <w:rFonts w:ascii="Traditional Arabic" w:hAnsi="Traditional Arabic"/>
          <w:noProof w:val="0"/>
          <w:color w:val="auto"/>
          <w:rtl/>
          <w:lang w:eastAsia="en-US"/>
        </w:rPr>
        <w:t xml:space="preserve"> فدعا له بالبر</w:t>
      </w:r>
      <w:r>
        <w:rPr>
          <w:rFonts w:ascii="Traditional Arabic" w:hAnsi="Traditional Arabic" w:hint="cs"/>
          <w:noProof w:val="0"/>
          <w:color w:val="auto"/>
          <w:rtl/>
          <w:lang w:eastAsia="en-US"/>
        </w:rPr>
        <w:t>َ</w:t>
      </w:r>
      <w:r w:rsidRPr="00996926">
        <w:rPr>
          <w:rFonts w:ascii="Traditional Arabic" w:hAnsi="Traditional Arabic"/>
          <w:noProof w:val="0"/>
          <w:color w:val="auto"/>
          <w:rtl/>
          <w:lang w:eastAsia="en-US"/>
        </w:rPr>
        <w:t>كة في بيعه</w:t>
      </w:r>
      <w:r>
        <w:rPr>
          <w:rFonts w:ascii="Traditional Arabic" w:hAnsi="Traditional Arabic" w:hint="cs"/>
          <w:noProof w:val="0"/>
          <w:color w:val="auto"/>
          <w:rtl/>
          <w:lang w:eastAsia="en-US"/>
        </w:rPr>
        <w:t>،</w:t>
      </w:r>
      <w:r w:rsidRPr="00996926">
        <w:rPr>
          <w:rFonts w:ascii="Traditional Arabic" w:hAnsi="Traditional Arabic"/>
          <w:noProof w:val="0"/>
          <w:color w:val="auto"/>
          <w:rtl/>
          <w:lang w:eastAsia="en-US"/>
        </w:rPr>
        <w:t xml:space="preserve"> وكان لو اشترى التراب ل</w:t>
      </w:r>
      <w:r>
        <w:rPr>
          <w:rFonts w:ascii="Traditional Arabic" w:hAnsi="Traditional Arabic" w:hint="cs"/>
          <w:noProof w:val="0"/>
          <w:color w:val="auto"/>
          <w:rtl/>
          <w:lang w:eastAsia="en-US"/>
        </w:rPr>
        <w:t>َ</w:t>
      </w:r>
      <w:r w:rsidRPr="00996926">
        <w:rPr>
          <w:rFonts w:ascii="Traditional Arabic" w:hAnsi="Traditional Arabic"/>
          <w:noProof w:val="0"/>
          <w:color w:val="auto"/>
          <w:rtl/>
          <w:lang w:eastAsia="en-US"/>
        </w:rPr>
        <w:t>رب</w:t>
      </w:r>
      <w:r>
        <w:rPr>
          <w:rFonts w:ascii="Traditional Arabic" w:hAnsi="Traditional Arabic" w:hint="cs"/>
          <w:noProof w:val="0"/>
          <w:color w:val="auto"/>
          <w:rtl/>
          <w:lang w:eastAsia="en-US"/>
        </w:rPr>
        <w:t>ِ</w:t>
      </w:r>
      <w:r w:rsidRPr="00996926">
        <w:rPr>
          <w:rFonts w:ascii="Traditional Arabic" w:hAnsi="Traditional Arabic"/>
          <w:noProof w:val="0"/>
          <w:color w:val="auto"/>
          <w:rtl/>
          <w:lang w:eastAsia="en-US"/>
        </w:rPr>
        <w:t>ح فيه</w:t>
      </w:r>
      <w:r w:rsidRPr="00C821A1">
        <w:rPr>
          <w:rStyle w:val="af1"/>
          <w:szCs w:val="32"/>
          <w:rtl/>
        </w:rPr>
        <w:t>(</w:t>
      </w:r>
      <w:r w:rsidRPr="00C821A1">
        <w:rPr>
          <w:rStyle w:val="af1"/>
          <w:szCs w:val="32"/>
          <w:rtl/>
        </w:rPr>
        <w:footnoteReference w:id="475"/>
      </w:r>
      <w:r w:rsidRPr="00C821A1">
        <w:rPr>
          <w:rStyle w:val="af1"/>
          <w:szCs w:val="32"/>
          <w:rtl/>
        </w:rPr>
        <w:t>)</w:t>
      </w:r>
      <w:r>
        <w:rPr>
          <w:rFonts w:hint="cs"/>
          <w:color w:val="auto"/>
          <w:rtl/>
        </w:rPr>
        <w:t>.</w:t>
      </w:r>
    </w:p>
    <w:p w:rsidR="00065E4B" w:rsidRDefault="00220EF0" w:rsidP="00597C20">
      <w:pPr>
        <w:pStyle w:val="53"/>
        <w:rPr>
          <w:rtl/>
        </w:rPr>
      </w:pPr>
      <w:r>
        <w:rPr>
          <w:rFonts w:hint="cs"/>
          <w:rtl/>
        </w:rPr>
        <w:t>وجه الدلالة:</w:t>
      </w:r>
    </w:p>
    <w:p w:rsidR="00220EF0" w:rsidRDefault="00065E4B" w:rsidP="00597C20">
      <w:pPr>
        <w:ind w:firstLine="720"/>
        <w:rPr>
          <w:color w:val="auto"/>
          <w:rtl/>
        </w:rPr>
      </w:pPr>
      <w:r w:rsidRPr="00613634">
        <w:rPr>
          <w:rFonts w:ascii="Traditional Arabic" w:hAnsi="Traditional Arabic"/>
          <w:noProof w:val="0"/>
          <w:color w:val="auto"/>
          <w:rtl/>
          <w:lang w:eastAsia="en-US"/>
        </w:rPr>
        <w:t>ب</w:t>
      </w:r>
      <w:r w:rsidR="00220EF0" w:rsidRPr="00613634">
        <w:rPr>
          <w:rFonts w:ascii="Traditional Arabic" w:hAnsi="Traditional Arabic"/>
          <w:noProof w:val="0"/>
          <w:color w:val="auto"/>
          <w:rtl/>
          <w:lang w:eastAsia="en-US"/>
        </w:rPr>
        <w:t>اع ع</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روة</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 بن</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 الجعد البارقي </w:t>
      </w:r>
      <w:r w:rsidR="009A0575">
        <w:rPr>
          <w:rFonts w:ascii="Traditional Arabic" w:hAnsi="Traditional Arabic" w:cs="CTraditional Arabic" w:hint="cs"/>
          <w:rtl/>
        </w:rPr>
        <w:t>ا</w:t>
      </w:r>
      <w:r w:rsidR="00220EF0">
        <w:rPr>
          <w:rFonts w:ascii="Traditional Arabic" w:hAnsi="Traditional Arabic" w:hint="cs"/>
          <w:noProof w:val="0"/>
          <w:color w:val="auto"/>
          <w:rtl/>
          <w:lang w:eastAsia="en-US"/>
        </w:rPr>
        <w:t xml:space="preserve">- </w:t>
      </w:r>
      <w:r w:rsidR="00220EF0" w:rsidRPr="00613634">
        <w:rPr>
          <w:rFonts w:ascii="Traditional Arabic" w:hAnsi="Traditional Arabic"/>
          <w:noProof w:val="0"/>
          <w:color w:val="auto"/>
          <w:rtl/>
          <w:lang w:eastAsia="en-US"/>
        </w:rPr>
        <w:t>وكيل</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 النبي</w:t>
      </w:r>
      <w:r w:rsidR="00F350DE">
        <w:rPr>
          <w:rFonts w:ascii="Traditional Arabic" w:hAnsi="Traditional Arabic"/>
          <w:noProof w:val="0"/>
          <w:color w:val="auto"/>
          <w:rtl/>
          <w:lang w:eastAsia="en-US"/>
        </w:rPr>
        <w:sym w:font="AGA Arabesque" w:char="F072"/>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 مل</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ك النبي </w:t>
      </w:r>
      <w:r w:rsidR="00F350DE">
        <w:rPr>
          <w:rFonts w:ascii="Traditional Arabic" w:hAnsi="Traditional Arabic"/>
          <w:noProof w:val="0"/>
          <w:color w:val="auto"/>
          <w:rtl/>
          <w:lang w:eastAsia="en-US"/>
        </w:rPr>
        <w:sym w:font="AGA Arabesque" w:char="F072"/>
      </w:r>
      <w:r w:rsidR="00220EF0" w:rsidRPr="00613634">
        <w:rPr>
          <w:rFonts w:ascii="Traditional Arabic" w:hAnsi="Traditional Arabic"/>
          <w:noProof w:val="0"/>
          <w:color w:val="auto"/>
          <w:rtl/>
          <w:lang w:eastAsia="en-US"/>
        </w:rPr>
        <w:t>بغير إذن</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ه لفظا</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 واشترى </w:t>
      </w:r>
      <w:r w:rsidR="00220EF0" w:rsidRPr="00613634">
        <w:rPr>
          <w:rFonts w:ascii="Traditional Arabic" w:hAnsi="Traditional Arabic"/>
          <w:noProof w:val="0"/>
          <w:color w:val="auto"/>
          <w:rtl/>
          <w:lang w:eastAsia="en-US"/>
        </w:rPr>
        <w:lastRenderedPageBreak/>
        <w:t>له ببعض ثمنه م</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ث</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ل</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 ما وك</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له في شرائه بذلك الثمن كل</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ه</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 ثم جاءه بالثمن وبال</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م</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شتر</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ى</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 فق</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ب</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له النبي</w:t>
      </w:r>
      <w:r w:rsidR="001814AE">
        <w:rPr>
          <w:rFonts w:ascii="Traditional Arabic" w:hAnsi="Traditional Arabic" w:hint="cs"/>
          <w:noProof w:val="0"/>
          <w:color w:val="auto"/>
          <w:rtl/>
          <w:lang w:eastAsia="en-US"/>
        </w:rPr>
        <w:t xml:space="preserve"> </w:t>
      </w:r>
      <w:r w:rsidR="00F350DE">
        <w:rPr>
          <w:rFonts w:ascii="Traditional Arabic" w:hAnsi="Traditional Arabic"/>
          <w:noProof w:val="0"/>
          <w:color w:val="auto"/>
          <w:rtl/>
          <w:lang w:eastAsia="en-US"/>
        </w:rPr>
        <w:sym w:font="AGA Arabesque" w:char="F072"/>
      </w:r>
      <w:r w:rsidR="00220EF0" w:rsidRPr="00613634">
        <w:rPr>
          <w:rFonts w:ascii="Traditional Arabic" w:hAnsi="Traditional Arabic"/>
          <w:noProof w:val="0"/>
          <w:color w:val="auto"/>
          <w:rtl/>
          <w:lang w:eastAsia="en-US"/>
        </w:rPr>
        <w:t xml:space="preserve"> ودعا له</w:t>
      </w:r>
      <w:r w:rsidR="00220EF0">
        <w:rPr>
          <w:rFonts w:ascii="Traditional Arabic" w:hAnsi="Traditional Arabic" w:hint="cs"/>
          <w:noProof w:val="0"/>
          <w:color w:val="auto"/>
          <w:rtl/>
          <w:lang w:eastAsia="en-US"/>
        </w:rPr>
        <w:t>،</w:t>
      </w:r>
      <w:r w:rsidR="00220EF0" w:rsidRPr="00506057">
        <w:rPr>
          <w:rFonts w:ascii="Traditional Arabic" w:hAnsi="Traditional Arabic"/>
          <w:noProof w:val="0"/>
          <w:rtl/>
          <w:lang w:eastAsia="en-US"/>
        </w:rPr>
        <w:t>وقد أ</w:t>
      </w:r>
      <w:r w:rsidR="00220EF0">
        <w:rPr>
          <w:rFonts w:ascii="Traditional Arabic" w:hAnsi="Traditional Arabic" w:hint="cs"/>
          <w:noProof w:val="0"/>
          <w:rtl/>
          <w:lang w:eastAsia="en-US"/>
        </w:rPr>
        <w:t>ُ</w:t>
      </w:r>
      <w:r w:rsidR="00220EF0" w:rsidRPr="00506057">
        <w:rPr>
          <w:rFonts w:ascii="Traditional Arabic" w:hAnsi="Traditional Arabic"/>
          <w:noProof w:val="0"/>
          <w:rtl/>
          <w:lang w:eastAsia="en-US"/>
        </w:rPr>
        <w:t>ج</w:t>
      </w:r>
      <w:r w:rsidR="00220EF0">
        <w:rPr>
          <w:rFonts w:ascii="Traditional Arabic" w:hAnsi="Traditional Arabic" w:hint="cs"/>
          <w:noProof w:val="0"/>
          <w:rtl/>
          <w:lang w:eastAsia="en-US"/>
        </w:rPr>
        <w:t>ْ</w:t>
      </w:r>
      <w:r w:rsidR="00220EF0">
        <w:rPr>
          <w:rFonts w:ascii="Traditional Arabic" w:hAnsi="Traditional Arabic"/>
          <w:noProof w:val="0"/>
          <w:rtl/>
          <w:lang w:eastAsia="en-US"/>
        </w:rPr>
        <w:t>ر</w:t>
      </w:r>
      <w:r w:rsidR="00220EF0">
        <w:rPr>
          <w:rFonts w:ascii="Traditional Arabic" w:hAnsi="Traditional Arabic" w:hint="cs"/>
          <w:noProof w:val="0"/>
          <w:rtl/>
          <w:lang w:eastAsia="en-US"/>
        </w:rPr>
        <w:t>يَ</w:t>
      </w:r>
      <w:r w:rsidR="00220EF0" w:rsidRPr="00506057">
        <w:rPr>
          <w:rFonts w:ascii="Traditional Arabic" w:hAnsi="Traditional Arabic"/>
          <w:noProof w:val="0"/>
          <w:rtl/>
          <w:lang w:eastAsia="en-US"/>
        </w:rPr>
        <w:t xml:space="preserve"> الع</w:t>
      </w:r>
      <w:r w:rsidR="00220EF0">
        <w:rPr>
          <w:rFonts w:ascii="Traditional Arabic" w:hAnsi="Traditional Arabic" w:hint="cs"/>
          <w:noProof w:val="0"/>
          <w:rtl/>
          <w:lang w:eastAsia="en-US"/>
        </w:rPr>
        <w:t>ُ</w:t>
      </w:r>
      <w:r w:rsidR="00220EF0" w:rsidRPr="00506057">
        <w:rPr>
          <w:rFonts w:ascii="Traditional Arabic" w:hAnsi="Traditional Arabic"/>
          <w:noProof w:val="0"/>
          <w:rtl/>
          <w:lang w:eastAsia="en-US"/>
        </w:rPr>
        <w:t>رف م</w:t>
      </w:r>
      <w:r w:rsidR="00220EF0">
        <w:rPr>
          <w:rFonts w:ascii="Traditional Arabic" w:hAnsi="Traditional Arabic" w:hint="cs"/>
          <w:noProof w:val="0"/>
          <w:rtl/>
          <w:lang w:eastAsia="en-US"/>
        </w:rPr>
        <w:t>َ</w:t>
      </w:r>
      <w:r w:rsidR="00220EF0" w:rsidRPr="00506057">
        <w:rPr>
          <w:rFonts w:ascii="Traditional Arabic" w:hAnsi="Traditional Arabic"/>
          <w:noProof w:val="0"/>
          <w:rtl/>
          <w:lang w:eastAsia="en-US"/>
        </w:rPr>
        <w:t>ج</w:t>
      </w:r>
      <w:r w:rsidR="00220EF0">
        <w:rPr>
          <w:rFonts w:ascii="Traditional Arabic" w:hAnsi="Traditional Arabic" w:hint="cs"/>
          <w:noProof w:val="0"/>
          <w:rtl/>
          <w:lang w:eastAsia="en-US"/>
        </w:rPr>
        <w:t>ْ</w:t>
      </w:r>
      <w:r w:rsidR="00220EF0" w:rsidRPr="00506057">
        <w:rPr>
          <w:rFonts w:ascii="Traditional Arabic" w:hAnsi="Traditional Arabic"/>
          <w:noProof w:val="0"/>
          <w:rtl/>
          <w:lang w:eastAsia="en-US"/>
        </w:rPr>
        <w:t>رى الن</w:t>
      </w:r>
      <w:r w:rsidR="00220EF0">
        <w:rPr>
          <w:rFonts w:ascii="Traditional Arabic" w:hAnsi="Traditional Arabic" w:hint="cs"/>
          <w:noProof w:val="0"/>
          <w:rtl/>
          <w:lang w:eastAsia="en-US"/>
        </w:rPr>
        <w:t>ُّ</w:t>
      </w:r>
      <w:r w:rsidR="00220EF0" w:rsidRPr="00506057">
        <w:rPr>
          <w:rFonts w:ascii="Traditional Arabic" w:hAnsi="Traditional Arabic"/>
          <w:noProof w:val="0"/>
          <w:rtl/>
          <w:lang w:eastAsia="en-US"/>
        </w:rPr>
        <w:t>ط</w:t>
      </w:r>
      <w:r w:rsidR="00220EF0">
        <w:rPr>
          <w:rFonts w:ascii="Traditional Arabic" w:hAnsi="Traditional Arabic" w:hint="cs"/>
          <w:noProof w:val="0"/>
          <w:rtl/>
          <w:lang w:eastAsia="en-US"/>
        </w:rPr>
        <w:t>ْ</w:t>
      </w:r>
      <w:r w:rsidR="00220EF0" w:rsidRPr="00506057">
        <w:rPr>
          <w:rFonts w:ascii="Traditional Arabic" w:hAnsi="Traditional Arabic"/>
          <w:noProof w:val="0"/>
          <w:rtl/>
          <w:lang w:eastAsia="en-US"/>
        </w:rPr>
        <w:t>ق في أكثر</w:t>
      </w:r>
      <w:r w:rsidR="00220EF0">
        <w:rPr>
          <w:rFonts w:ascii="Traditional Arabic" w:hAnsi="Traditional Arabic" w:hint="cs"/>
          <w:noProof w:val="0"/>
          <w:rtl/>
          <w:lang w:eastAsia="en-US"/>
        </w:rPr>
        <w:t>َ</w:t>
      </w:r>
      <w:r w:rsidR="00220EF0" w:rsidRPr="00506057">
        <w:rPr>
          <w:rFonts w:ascii="Traditional Arabic" w:hAnsi="Traditional Arabic"/>
          <w:noProof w:val="0"/>
          <w:rtl/>
          <w:lang w:eastAsia="en-US"/>
        </w:rPr>
        <w:t xml:space="preserve"> من مائة م</w:t>
      </w:r>
      <w:r w:rsidR="00220EF0">
        <w:rPr>
          <w:rFonts w:ascii="Traditional Arabic" w:hAnsi="Traditional Arabic" w:hint="cs"/>
          <w:noProof w:val="0"/>
          <w:rtl/>
          <w:lang w:eastAsia="en-US"/>
        </w:rPr>
        <w:t>َ</w:t>
      </w:r>
      <w:r w:rsidR="00220EF0" w:rsidRPr="00506057">
        <w:rPr>
          <w:rFonts w:ascii="Traditional Arabic" w:hAnsi="Traditional Arabic"/>
          <w:noProof w:val="0"/>
          <w:rtl/>
          <w:lang w:eastAsia="en-US"/>
        </w:rPr>
        <w:t>وضع</w:t>
      </w:r>
      <w:r w:rsidR="00220EF0">
        <w:rPr>
          <w:rFonts w:ascii="Traditional Arabic" w:hAnsi="Traditional Arabic" w:hint="cs"/>
          <w:noProof w:val="0"/>
          <w:rtl/>
          <w:lang w:eastAsia="en-US"/>
        </w:rPr>
        <w:t xml:space="preserve">ٍ، </w:t>
      </w:r>
      <w:r w:rsidR="00220EF0" w:rsidRPr="00613634">
        <w:rPr>
          <w:rFonts w:ascii="Traditional Arabic" w:hAnsi="Traditional Arabic"/>
          <w:noProof w:val="0"/>
          <w:rtl/>
          <w:lang w:eastAsia="en-US"/>
        </w:rPr>
        <w:t>وعليه يخر</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 xml:space="preserve">ج </w:t>
      </w:r>
      <w:r w:rsidR="00220EF0">
        <w:rPr>
          <w:rFonts w:ascii="Traditional Arabic" w:hAnsi="Traditional Arabic" w:hint="cs"/>
          <w:noProof w:val="0"/>
          <w:rtl/>
          <w:lang w:eastAsia="en-US"/>
        </w:rPr>
        <w:t>هذا ال</w:t>
      </w:r>
      <w:r w:rsidR="00220EF0" w:rsidRPr="00613634">
        <w:rPr>
          <w:rFonts w:ascii="Traditional Arabic" w:hAnsi="Traditional Arabic"/>
          <w:noProof w:val="0"/>
          <w:rtl/>
          <w:lang w:eastAsia="en-US"/>
        </w:rPr>
        <w:t>حديث</w:t>
      </w:r>
      <w:r w:rsidR="00220EF0">
        <w:rPr>
          <w:rFonts w:ascii="Traditional Arabic" w:hAnsi="Traditional Arabic" w:hint="cs"/>
          <w:noProof w:val="0"/>
          <w:rtl/>
          <w:lang w:eastAsia="en-US"/>
        </w:rPr>
        <w:t xml:space="preserve">،حيث باع عروة </w:t>
      </w:r>
      <w:r w:rsidR="003E582B">
        <w:rPr>
          <w:rFonts w:ascii="Traditional Arabic" w:hAnsi="Traditional Arabic" w:hint="cs"/>
          <w:noProof w:val="0"/>
          <w:rtl/>
          <w:lang w:eastAsia="en-US"/>
        </w:rPr>
        <w:t>_</w:t>
      </w:r>
      <w:r w:rsidR="009A0575">
        <w:rPr>
          <w:rFonts w:ascii="Traditional Arabic" w:hAnsi="Traditional Arabic" w:cs="CTraditional Arabic" w:hint="cs"/>
          <w:rtl/>
        </w:rPr>
        <w:t>ا</w:t>
      </w:r>
      <w:r w:rsidR="003E582B">
        <w:rPr>
          <w:rFonts w:ascii="Traditional Arabic" w:hAnsi="Traditional Arabic" w:hint="cs"/>
          <w:noProof w:val="0"/>
          <w:rtl/>
          <w:lang w:eastAsia="en-US"/>
        </w:rPr>
        <w:t>_</w:t>
      </w:r>
      <w:r w:rsidR="00220EF0" w:rsidRPr="00613634">
        <w:rPr>
          <w:rFonts w:ascii="Traditional Arabic" w:hAnsi="Traditional Arabic"/>
          <w:noProof w:val="0"/>
          <w:rtl/>
          <w:lang w:eastAsia="en-US"/>
        </w:rPr>
        <w:t xml:space="preserve"> وأ</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ق</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ب</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ض وق</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ب</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ض ب</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غير</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 xml:space="preserve"> إذن</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 xml:space="preserve"> ل</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فظي</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 xml:space="preserve"> اعتماد</w:t>
      </w:r>
      <w:r w:rsidR="00220EF0">
        <w:rPr>
          <w:rFonts w:ascii="Traditional Arabic" w:hAnsi="Traditional Arabic" w:hint="cs"/>
          <w:noProof w:val="0"/>
          <w:rtl/>
          <w:lang w:eastAsia="en-US"/>
        </w:rPr>
        <w:t>اً</w:t>
      </w:r>
      <w:r w:rsidR="00220EF0" w:rsidRPr="00613634">
        <w:rPr>
          <w:rFonts w:ascii="Traditional Arabic" w:hAnsi="Traditional Arabic"/>
          <w:noProof w:val="0"/>
          <w:rtl/>
          <w:lang w:eastAsia="en-US"/>
        </w:rPr>
        <w:t>منه على الإذن الع</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رفي الذي هو أقوى من اللفظي في أكثر</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 xml:space="preserve"> المواض</w:t>
      </w:r>
      <w:r w:rsidR="00220EF0">
        <w:rPr>
          <w:rFonts w:ascii="Traditional Arabic" w:hAnsi="Traditional Arabic" w:hint="cs"/>
          <w:noProof w:val="0"/>
          <w:rtl/>
          <w:lang w:eastAsia="en-US"/>
        </w:rPr>
        <w:t>ِ</w:t>
      </w:r>
      <w:r w:rsidR="00220EF0" w:rsidRPr="00613634">
        <w:rPr>
          <w:rFonts w:ascii="Traditional Arabic" w:hAnsi="Traditional Arabic"/>
          <w:noProof w:val="0"/>
          <w:rtl/>
          <w:lang w:eastAsia="en-US"/>
        </w:rPr>
        <w:t>ع</w:t>
      </w:r>
      <w:r w:rsidR="00220EF0">
        <w:rPr>
          <w:rFonts w:ascii="Traditional Arabic" w:hAnsi="Traditional Arabic" w:hint="cs"/>
          <w:noProof w:val="0"/>
          <w:rtl/>
          <w:lang w:eastAsia="en-US"/>
        </w:rPr>
        <w:t xml:space="preserve">، فتصرُّفه </w:t>
      </w:r>
      <w:r w:rsidR="00220EF0" w:rsidRPr="00613634">
        <w:rPr>
          <w:rFonts w:ascii="Traditional Arabic" w:hAnsi="Traditional Arabic"/>
          <w:noProof w:val="0"/>
          <w:color w:val="auto"/>
          <w:rtl/>
          <w:lang w:eastAsia="en-US"/>
        </w:rPr>
        <w:t>مبني</w:t>
      </w:r>
      <w:r w:rsidR="00220EF0">
        <w:rPr>
          <w:rFonts w:ascii="Traditional Arabic" w:hAnsi="Traditional Arabic" w:hint="cs"/>
          <w:noProof w:val="0"/>
          <w:color w:val="auto"/>
          <w:rtl/>
          <w:lang w:eastAsia="en-US"/>
        </w:rPr>
        <w:t>ٌّ</w:t>
      </w:r>
      <w:r w:rsidR="00220EF0" w:rsidRPr="00613634">
        <w:rPr>
          <w:rFonts w:ascii="Traditional Arabic" w:hAnsi="Traditional Arabic"/>
          <w:noProof w:val="0"/>
          <w:color w:val="auto"/>
          <w:rtl/>
          <w:lang w:eastAsia="en-US"/>
        </w:rPr>
        <w:t xml:space="preserve"> على هذه القاعدة أن الإذن العرفي كالإذن اللفظي</w:t>
      </w:r>
      <w:r w:rsidR="00220EF0" w:rsidRPr="00C821A1">
        <w:rPr>
          <w:rStyle w:val="af1"/>
          <w:szCs w:val="32"/>
          <w:rtl/>
        </w:rPr>
        <w:t>(</w:t>
      </w:r>
      <w:r w:rsidR="00220EF0" w:rsidRPr="00C821A1">
        <w:rPr>
          <w:rStyle w:val="af1"/>
          <w:szCs w:val="32"/>
          <w:rtl/>
        </w:rPr>
        <w:footnoteReference w:id="476"/>
      </w:r>
      <w:r w:rsidR="00220EF0" w:rsidRPr="00C821A1">
        <w:rPr>
          <w:rStyle w:val="af1"/>
          <w:szCs w:val="32"/>
          <w:rtl/>
        </w:rPr>
        <w:t>)</w:t>
      </w:r>
      <w:r w:rsidR="00220EF0">
        <w:rPr>
          <w:rFonts w:hint="cs"/>
          <w:color w:val="auto"/>
          <w:rtl/>
        </w:rPr>
        <w:t>.</w:t>
      </w:r>
    </w:p>
    <w:p w:rsidR="00220EF0" w:rsidRDefault="00220EF0" w:rsidP="000A76C7">
      <w:pPr>
        <w:pStyle w:val="afc"/>
        <w:numPr>
          <w:ilvl w:val="0"/>
          <w:numId w:val="83"/>
        </w:numPr>
        <w:rPr>
          <w:color w:val="auto"/>
        </w:rPr>
      </w:pPr>
      <w:r>
        <w:rPr>
          <w:rFonts w:hint="cs"/>
          <w:color w:val="auto"/>
          <w:rtl/>
        </w:rPr>
        <w:t xml:space="preserve">عن عبد الله بن عمر </w:t>
      </w:r>
      <w:r w:rsidR="003E582B">
        <w:rPr>
          <w:rFonts w:hint="cs"/>
          <w:color w:val="auto"/>
          <w:rtl/>
        </w:rPr>
        <w:t>_</w:t>
      </w:r>
      <w:r w:rsidR="00154102">
        <w:rPr>
          <w:rFonts w:ascii="Traditional Arabic" w:hAnsi="Traditional Arabic" w:cs="CTraditional Arabic" w:hint="cs"/>
          <w:noProof w:val="0"/>
          <w:color w:val="auto"/>
          <w:rtl/>
          <w:lang w:eastAsia="en-US"/>
        </w:rPr>
        <w:t>ب</w:t>
      </w:r>
      <w:r w:rsidR="003E582B">
        <w:rPr>
          <w:rFonts w:hint="cs"/>
          <w:color w:val="auto"/>
          <w:rtl/>
        </w:rPr>
        <w:t>_</w:t>
      </w:r>
      <w:r>
        <w:rPr>
          <w:rFonts w:hint="cs"/>
          <w:color w:val="auto"/>
          <w:rtl/>
        </w:rPr>
        <w:t xml:space="preserve"> قال: كانت بَيعة الرِّضوان بعدما ذهب عثمان إلى مكة، فقال رسول الله </w:t>
      </w:r>
      <w:r w:rsidR="00F350DE">
        <w:rPr>
          <w:rFonts w:ascii="Traditional Arabic" w:hAnsi="Traditional Arabic"/>
          <w:noProof w:val="0"/>
          <w:color w:val="auto"/>
          <w:rtl/>
          <w:lang w:eastAsia="en-US"/>
        </w:rPr>
        <w:sym w:font="AGA Arabesque" w:char="F072"/>
      </w:r>
      <w:r>
        <w:rPr>
          <w:rFonts w:hint="cs"/>
          <w:color w:val="auto"/>
          <w:rtl/>
        </w:rPr>
        <w:t xml:space="preserve"> بيده اليمنى:"هذه يد عثمان"،</w:t>
      </w:r>
      <w:r w:rsidR="00AB0B9E">
        <w:rPr>
          <w:color w:val="auto"/>
          <w:rtl/>
        </w:rPr>
        <w:fldChar w:fldCharType="begin"/>
      </w:r>
      <w:r w:rsidR="00F350DE" w:rsidRPr="00C85F0F">
        <w:instrText>XE</w:instrText>
      </w:r>
      <w:r w:rsidR="00F350DE" w:rsidRPr="00C85F0F">
        <w:rPr>
          <w:rtl/>
        </w:rPr>
        <w:instrText xml:space="preserve"> "</w:instrText>
      </w:r>
      <w:r w:rsidR="00F350DE" w:rsidRPr="00C85F0F">
        <w:rPr>
          <w:rFonts w:hint="cs"/>
          <w:color w:val="auto"/>
          <w:rtl/>
        </w:rPr>
        <w:instrText xml:space="preserve">فقال رسول الله </w:instrText>
      </w:r>
      <w:r w:rsidR="00F350DE" w:rsidRPr="00C85F0F">
        <w:rPr>
          <w:rFonts w:ascii="Traditional Arabic" w:hAnsi="Traditional Arabic"/>
          <w:noProof w:val="0"/>
          <w:color w:val="auto"/>
          <w:rtl/>
          <w:lang w:eastAsia="en-US"/>
        </w:rPr>
        <w:sym w:font="AGA Arabesque" w:char="F072"/>
      </w:r>
      <w:r w:rsidR="00F350DE" w:rsidRPr="00C85F0F">
        <w:rPr>
          <w:rFonts w:hint="cs"/>
          <w:color w:val="auto"/>
          <w:rtl/>
        </w:rPr>
        <w:instrText xml:space="preserve"> بيده اليمنى</w:instrText>
      </w:r>
      <w:r w:rsidR="00F350DE" w:rsidRPr="00C85F0F">
        <w:rPr>
          <w:rtl/>
        </w:rPr>
        <w:instrText>\</w:instrText>
      </w:r>
      <w:r w:rsidR="00F350DE" w:rsidRPr="00C85F0F">
        <w:rPr>
          <w:rFonts w:hint="cs"/>
          <w:color w:val="auto"/>
          <w:rtl/>
        </w:rPr>
        <w:instrText>:</w:instrText>
      </w:r>
      <w:r w:rsidR="00F350DE" w:rsidRPr="00C85F0F">
        <w:rPr>
          <w:sz w:val="20"/>
          <w:szCs w:val="20"/>
          <w:rtl/>
        </w:rPr>
        <w:instrText>\</w:instrText>
      </w:r>
      <w:r w:rsidR="00F350DE" w:rsidRPr="00C85F0F">
        <w:rPr>
          <w:rFonts w:hint="cs"/>
          <w:color w:val="auto"/>
          <w:rtl/>
        </w:rPr>
        <w:instrText>"هذه يد عثمان</w:instrText>
      </w:r>
      <w:r w:rsidR="00F350DE" w:rsidRPr="00C85F0F">
        <w:rPr>
          <w:sz w:val="20"/>
          <w:szCs w:val="20"/>
          <w:rtl/>
        </w:rPr>
        <w:instrText>\</w:instrText>
      </w:r>
      <w:r w:rsidR="00F350DE" w:rsidRPr="00C85F0F">
        <w:rPr>
          <w:rFonts w:hint="cs"/>
          <w:color w:val="auto"/>
          <w:rtl/>
        </w:rPr>
        <w:instrText>"،</w:instrText>
      </w:r>
      <w:r w:rsidR="00F350DE" w:rsidRPr="00C85F0F">
        <w:rPr>
          <w:rtl/>
        </w:rPr>
        <w:instrText>" \</w:instrText>
      </w:r>
      <w:r w:rsidR="00F350DE" w:rsidRPr="00C85F0F">
        <w:instrText>f</w:instrText>
      </w:r>
      <w:r w:rsidR="00F350DE">
        <w:instrText>h</w:instrText>
      </w:r>
      <w:r w:rsidR="00AB0B9E">
        <w:rPr>
          <w:color w:val="auto"/>
          <w:rtl/>
        </w:rPr>
        <w:fldChar w:fldCharType="end"/>
      </w:r>
      <w:r>
        <w:rPr>
          <w:rFonts w:hint="cs"/>
          <w:color w:val="auto"/>
          <w:rtl/>
        </w:rPr>
        <w:t xml:space="preserve"> فضرب بها على يده وقال:"هذه لعثمان"</w:t>
      </w:r>
      <w:r w:rsidRPr="00C821A1">
        <w:rPr>
          <w:rStyle w:val="af1"/>
          <w:szCs w:val="32"/>
          <w:rtl/>
        </w:rPr>
        <w:t>(</w:t>
      </w:r>
      <w:r w:rsidRPr="00C821A1">
        <w:rPr>
          <w:rStyle w:val="af1"/>
          <w:szCs w:val="32"/>
          <w:rtl/>
        </w:rPr>
        <w:footnoteReference w:id="477"/>
      </w:r>
      <w:r w:rsidRPr="00C821A1">
        <w:rPr>
          <w:rStyle w:val="af1"/>
          <w:szCs w:val="32"/>
          <w:rtl/>
        </w:rPr>
        <w:t>)</w:t>
      </w:r>
      <w:r>
        <w:rPr>
          <w:rFonts w:hint="cs"/>
          <w:color w:val="auto"/>
          <w:rtl/>
        </w:rPr>
        <w:t>.</w:t>
      </w:r>
    </w:p>
    <w:p w:rsidR="00220EF0" w:rsidRDefault="00220EF0" w:rsidP="00597C20">
      <w:pPr>
        <w:pStyle w:val="53"/>
        <w:rPr>
          <w:rtl/>
        </w:rPr>
      </w:pPr>
      <w:r>
        <w:rPr>
          <w:rFonts w:hint="cs"/>
          <w:rtl/>
        </w:rPr>
        <w:t>وجه الدلالة:</w:t>
      </w:r>
    </w:p>
    <w:p w:rsidR="00220EF0" w:rsidRPr="00E51D72" w:rsidRDefault="003E582B" w:rsidP="00597C20">
      <w:pPr>
        <w:ind w:firstLine="720"/>
        <w:rPr>
          <w:color w:val="auto"/>
          <w:rtl/>
        </w:rPr>
      </w:pPr>
      <w:r>
        <w:rPr>
          <w:rFonts w:hint="cs"/>
          <w:color w:val="auto"/>
          <w:rtl/>
        </w:rPr>
        <w:t>إ</w:t>
      </w:r>
      <w:r w:rsidR="00220EF0" w:rsidRPr="00E51D72">
        <w:rPr>
          <w:rFonts w:hint="cs"/>
          <w:color w:val="auto"/>
          <w:rtl/>
        </w:rPr>
        <w:t xml:space="preserve">ن النبي </w:t>
      </w:r>
      <w:r w:rsidR="00F350DE">
        <w:rPr>
          <w:rFonts w:ascii="Traditional Arabic" w:hAnsi="Traditional Arabic"/>
          <w:noProof w:val="0"/>
          <w:rtl/>
          <w:lang w:eastAsia="en-US"/>
        </w:rPr>
        <w:sym w:font="AGA Arabesque" w:char="F072"/>
      </w:r>
      <w:r w:rsidR="00220EF0" w:rsidRPr="00E51D72">
        <w:rPr>
          <w:rFonts w:hint="cs"/>
          <w:color w:val="auto"/>
          <w:rtl/>
        </w:rPr>
        <w:t xml:space="preserve"> بايَع عثمان </w:t>
      </w:r>
      <w:r>
        <w:rPr>
          <w:rFonts w:hint="cs"/>
          <w:color w:val="auto"/>
          <w:rtl/>
        </w:rPr>
        <w:t>_</w:t>
      </w:r>
      <w:r w:rsidR="009A0575" w:rsidRPr="00E51D72">
        <w:rPr>
          <w:rFonts w:ascii="Traditional Arabic" w:hAnsi="Traditional Arabic" w:cs="CTraditional Arabic" w:hint="cs"/>
          <w:rtl/>
        </w:rPr>
        <w:t>ا</w:t>
      </w:r>
      <w:r>
        <w:rPr>
          <w:rFonts w:hint="cs"/>
          <w:color w:val="auto"/>
          <w:rtl/>
        </w:rPr>
        <w:t>_</w:t>
      </w:r>
      <w:r w:rsidR="00220EF0" w:rsidRPr="00E51D72">
        <w:rPr>
          <w:rFonts w:hint="cs"/>
          <w:color w:val="auto"/>
          <w:rtl/>
        </w:rPr>
        <w:t xml:space="preserve"> في غَيبته دون استئذانه لفظاً؛ لِعِلمه بأنه لو ك</w:t>
      </w:r>
      <w:r w:rsidR="001814AE">
        <w:rPr>
          <w:rFonts w:hint="cs"/>
          <w:color w:val="auto"/>
          <w:rtl/>
        </w:rPr>
        <w:t>ان موجوداً لبايَع، والعلم بالرِّ</w:t>
      </w:r>
      <w:r w:rsidR="00220EF0" w:rsidRPr="00E51D72">
        <w:rPr>
          <w:rFonts w:hint="cs"/>
          <w:color w:val="auto"/>
          <w:rtl/>
        </w:rPr>
        <w:t>ضا يقوم مَقامَ إظهاره</w:t>
      </w:r>
      <w:r w:rsidR="00220EF0" w:rsidRPr="00C821A1">
        <w:rPr>
          <w:rStyle w:val="af1"/>
          <w:szCs w:val="32"/>
          <w:rtl/>
        </w:rPr>
        <w:t>(</w:t>
      </w:r>
      <w:r w:rsidR="00220EF0" w:rsidRPr="00C821A1">
        <w:rPr>
          <w:rStyle w:val="af1"/>
          <w:szCs w:val="32"/>
          <w:rtl/>
        </w:rPr>
        <w:footnoteReference w:id="478"/>
      </w:r>
      <w:r w:rsidR="00220EF0" w:rsidRPr="00C821A1">
        <w:rPr>
          <w:rStyle w:val="af1"/>
          <w:szCs w:val="32"/>
          <w:rtl/>
        </w:rPr>
        <w:t>)</w:t>
      </w:r>
      <w:r w:rsidR="00220EF0" w:rsidRPr="00E51D72">
        <w:rPr>
          <w:rFonts w:hint="cs"/>
          <w:color w:val="auto"/>
          <w:rtl/>
        </w:rPr>
        <w:t>.</w:t>
      </w:r>
    </w:p>
    <w:p w:rsidR="00220EF0" w:rsidRDefault="001814AE" w:rsidP="00A8347C">
      <w:pPr>
        <w:pStyle w:val="aff3"/>
        <w:rPr>
          <w:rtl/>
        </w:rPr>
      </w:pPr>
      <w:bookmarkStart w:id="98" w:name="_Toc334046354"/>
      <w:r>
        <w:rPr>
          <w:rFonts w:hint="cs"/>
          <w:rtl/>
        </w:rPr>
        <w:t xml:space="preserve">               </w:t>
      </w:r>
      <w:r w:rsidR="003E582B">
        <w:rPr>
          <w:rFonts w:hint="cs"/>
          <w:rtl/>
        </w:rPr>
        <w:t xml:space="preserve">                            </w:t>
      </w:r>
      <w:r w:rsidR="00220EF0" w:rsidRPr="00657189">
        <w:rPr>
          <w:rFonts w:hint="cs"/>
          <w:rtl/>
        </w:rPr>
        <w:t>المطلب</w:t>
      </w:r>
      <w:r w:rsidR="00220EF0">
        <w:rPr>
          <w:rFonts w:hint="cs"/>
          <w:rtl/>
        </w:rPr>
        <w:t xml:space="preserve"> الرابع</w:t>
      </w:r>
      <w:r w:rsidR="00220EF0">
        <w:rPr>
          <w:rFonts w:hint="eastAsia"/>
          <w:rtl/>
        </w:rPr>
        <w:t> :</w:t>
      </w:r>
      <w:r w:rsidR="00220EF0">
        <w:rPr>
          <w:rFonts w:hint="cs"/>
          <w:rtl/>
        </w:rPr>
        <w:br/>
      </w:r>
      <w:r>
        <w:rPr>
          <w:rFonts w:hint="cs"/>
          <w:rtl/>
        </w:rPr>
        <w:t xml:space="preserve">              </w:t>
      </w:r>
      <w:r w:rsidR="003E582B">
        <w:rPr>
          <w:rFonts w:hint="cs"/>
          <w:rtl/>
        </w:rPr>
        <w:t xml:space="preserve">                            </w:t>
      </w:r>
      <w:r w:rsidR="00220EF0">
        <w:rPr>
          <w:rFonts w:hint="cs"/>
          <w:rtl/>
        </w:rPr>
        <w:t>تطبيقات القاعدة</w:t>
      </w:r>
      <w:bookmarkEnd w:id="98"/>
    </w:p>
    <w:p w:rsidR="00065E4B" w:rsidRPr="007F2646" w:rsidRDefault="00220EF0" w:rsidP="000A76C7">
      <w:pPr>
        <w:pStyle w:val="afc"/>
        <w:widowControl/>
        <w:numPr>
          <w:ilvl w:val="0"/>
          <w:numId w:val="84"/>
        </w:numPr>
        <w:autoSpaceDE w:val="0"/>
        <w:autoSpaceDN w:val="0"/>
        <w:adjustRightInd w:val="0"/>
        <w:jc w:val="left"/>
        <w:rPr>
          <w:rFonts w:ascii="Traditional Arabic" w:hAnsi="Traditional Arabic"/>
          <w:noProof w:val="0"/>
          <w:rtl/>
          <w:lang w:eastAsia="en-US"/>
        </w:rPr>
      </w:pPr>
      <w:r w:rsidRPr="007F2646">
        <w:rPr>
          <w:rFonts w:ascii="Traditional Arabic" w:hAnsi="Traditional Arabic"/>
          <w:noProof w:val="0"/>
          <w:rtl/>
          <w:lang w:eastAsia="en-US"/>
        </w:rPr>
        <w:t xml:space="preserve">لا يجوز </w:t>
      </w:r>
      <w:r w:rsidRPr="007F2646">
        <w:rPr>
          <w:rFonts w:ascii="Traditional Arabic" w:hAnsi="Traditional Arabic" w:hint="cs"/>
          <w:noProof w:val="0"/>
          <w:rtl/>
          <w:lang w:eastAsia="en-US"/>
        </w:rPr>
        <w:t xml:space="preserve">للوكيل </w:t>
      </w:r>
      <w:r w:rsidRPr="007F2646">
        <w:rPr>
          <w:rFonts w:ascii="Traditional Arabic" w:hAnsi="Traditional Arabic"/>
          <w:noProof w:val="0"/>
          <w:rtl/>
          <w:lang w:eastAsia="en-US"/>
        </w:rPr>
        <w:t>أن يوك</w:t>
      </w:r>
      <w:r w:rsidRPr="007F2646">
        <w:rPr>
          <w:rFonts w:ascii="Traditional Arabic" w:hAnsi="Traditional Arabic" w:hint="cs"/>
          <w:noProof w:val="0"/>
          <w:rtl/>
          <w:lang w:eastAsia="en-US"/>
        </w:rPr>
        <w:t>ِّ</w:t>
      </w:r>
      <w:r w:rsidRPr="007F2646">
        <w:rPr>
          <w:rFonts w:ascii="Traditional Arabic" w:hAnsi="Traditional Arabic"/>
          <w:noProof w:val="0"/>
          <w:rtl/>
          <w:lang w:eastAsia="en-US"/>
        </w:rPr>
        <w:t>ل فيما و</w:t>
      </w:r>
      <w:r w:rsidRPr="007F2646">
        <w:rPr>
          <w:rFonts w:ascii="Traditional Arabic" w:hAnsi="Traditional Arabic" w:hint="cs"/>
          <w:noProof w:val="0"/>
          <w:rtl/>
          <w:lang w:eastAsia="en-US"/>
        </w:rPr>
        <w:t>ُ</w:t>
      </w:r>
      <w:r w:rsidRPr="007F2646">
        <w:rPr>
          <w:rFonts w:ascii="Traditional Arabic" w:hAnsi="Traditional Arabic"/>
          <w:noProof w:val="0"/>
          <w:rtl/>
          <w:lang w:eastAsia="en-US"/>
        </w:rPr>
        <w:t>ك</w:t>
      </w:r>
      <w:r w:rsidRPr="007F2646">
        <w:rPr>
          <w:rFonts w:ascii="Traditional Arabic" w:hAnsi="Traditional Arabic" w:hint="cs"/>
          <w:noProof w:val="0"/>
          <w:rtl/>
          <w:lang w:eastAsia="en-US"/>
        </w:rPr>
        <w:t>ِّ</w:t>
      </w:r>
      <w:r w:rsidRPr="007F2646">
        <w:rPr>
          <w:rFonts w:ascii="Traditional Arabic" w:hAnsi="Traditional Arabic"/>
          <w:noProof w:val="0"/>
          <w:rtl/>
          <w:lang w:eastAsia="en-US"/>
        </w:rPr>
        <w:t>ل فيه إلا في أحوال ثلاث:</w:t>
      </w:r>
    </w:p>
    <w:p w:rsidR="00065E4B" w:rsidRPr="007F2646" w:rsidRDefault="00065E4B" w:rsidP="00597C20">
      <w:pPr>
        <w:widowControl/>
        <w:autoSpaceDE w:val="0"/>
        <w:autoSpaceDN w:val="0"/>
        <w:adjustRightInd w:val="0"/>
        <w:ind w:firstLine="720"/>
        <w:rPr>
          <w:rFonts w:ascii="Traditional Arabic" w:hAnsi="Traditional Arabic"/>
          <w:noProof w:val="0"/>
          <w:rtl/>
          <w:lang w:eastAsia="en-US"/>
        </w:rPr>
      </w:pPr>
      <w:r w:rsidRPr="00E51D72">
        <w:rPr>
          <w:rFonts w:ascii="Traditional Arabic" w:hAnsi="Traditional Arabic" w:hint="cs"/>
          <w:b/>
          <w:bCs/>
          <w:noProof w:val="0"/>
          <w:rtl/>
          <w:lang w:eastAsia="en-US"/>
        </w:rPr>
        <w:t>ا</w:t>
      </w:r>
      <w:r w:rsidR="00220EF0" w:rsidRPr="00E51D72">
        <w:rPr>
          <w:rFonts w:ascii="Traditional Arabic" w:hAnsi="Traditional Arabic" w:hint="cs"/>
          <w:b/>
          <w:bCs/>
          <w:noProof w:val="0"/>
          <w:rtl/>
          <w:lang w:eastAsia="en-US"/>
        </w:rPr>
        <w:t>لأولى:</w:t>
      </w:r>
      <w:r w:rsidR="00220EF0" w:rsidRPr="0036249C">
        <w:rPr>
          <w:rFonts w:ascii="Traditional Arabic" w:hAnsi="Traditional Arabic"/>
          <w:noProof w:val="0"/>
          <w:rtl/>
          <w:lang w:eastAsia="en-US"/>
        </w:rPr>
        <w:t xml:space="preserve"> أن يجعل الموك</w:t>
      </w:r>
      <w:r w:rsidR="00220EF0">
        <w:rPr>
          <w:rFonts w:ascii="Traditional Arabic" w:hAnsi="Traditional Arabic" w:hint="cs"/>
          <w:noProof w:val="0"/>
          <w:rtl/>
          <w:lang w:eastAsia="en-US"/>
        </w:rPr>
        <w:t>ِّ</w:t>
      </w:r>
      <w:r w:rsidR="00220EF0">
        <w:rPr>
          <w:rFonts w:ascii="Traditional Arabic" w:hAnsi="Traditional Arabic"/>
          <w:noProof w:val="0"/>
          <w:rtl/>
          <w:lang w:eastAsia="en-US"/>
        </w:rPr>
        <w:t xml:space="preserve">ل ذلك </w:t>
      </w:r>
      <w:r w:rsidR="00220EF0">
        <w:rPr>
          <w:rFonts w:ascii="Traditional Arabic" w:hAnsi="Traditional Arabic" w:hint="cs"/>
          <w:noProof w:val="0"/>
          <w:rtl/>
          <w:lang w:eastAsia="en-US"/>
        </w:rPr>
        <w:t>إليه</w:t>
      </w:r>
      <w:r w:rsidR="00220EF0" w:rsidRPr="0036249C">
        <w:rPr>
          <w:rFonts w:ascii="Traditional Arabic" w:hAnsi="Traditional Arabic"/>
          <w:noProof w:val="0"/>
          <w:rtl/>
          <w:lang w:eastAsia="en-US"/>
        </w:rPr>
        <w:t>،فيقول: وكلت</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ك في كذا ولك أن توك</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ل م</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ن شئت</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 أو م</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ن تث</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ق به، أو أن توك</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ل فلانا</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 xml:space="preserve"> قريبك، أو ما أشبه ذلك.</w:t>
      </w:r>
    </w:p>
    <w:p w:rsidR="00065E4B" w:rsidRDefault="00065E4B" w:rsidP="00597C20">
      <w:pPr>
        <w:ind w:firstLine="720"/>
        <w:rPr>
          <w:rFonts w:ascii="Traditional Arabic" w:hAnsi="Traditional Arabic"/>
          <w:noProof w:val="0"/>
          <w:rtl/>
          <w:lang w:eastAsia="en-US"/>
        </w:rPr>
      </w:pPr>
      <w:r w:rsidRPr="00E51D72">
        <w:rPr>
          <w:rFonts w:ascii="Traditional Arabic" w:hAnsi="Traditional Arabic" w:hint="cs"/>
          <w:b/>
          <w:bCs/>
          <w:noProof w:val="0"/>
          <w:rtl/>
          <w:lang w:eastAsia="en-US"/>
        </w:rPr>
        <w:t>ا</w:t>
      </w:r>
      <w:r w:rsidR="00220EF0" w:rsidRPr="00E51D72">
        <w:rPr>
          <w:rFonts w:ascii="Traditional Arabic" w:hAnsi="Traditional Arabic" w:hint="cs"/>
          <w:b/>
          <w:bCs/>
          <w:noProof w:val="0"/>
          <w:rtl/>
          <w:lang w:eastAsia="en-US"/>
        </w:rPr>
        <w:t>لثانية:</w:t>
      </w:r>
      <w:r w:rsidR="00220EF0" w:rsidRPr="0036249C">
        <w:rPr>
          <w:rFonts w:ascii="Traditional Arabic" w:hAnsi="Traditional Arabic"/>
          <w:noProof w:val="0"/>
          <w:rtl/>
          <w:lang w:eastAsia="en-US"/>
        </w:rPr>
        <w:t>إذا كان م</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ثل</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ه لا يتولا</w:t>
      </w:r>
      <w:r w:rsidR="00220EF0">
        <w:rPr>
          <w:rFonts w:ascii="Traditional Arabic" w:hAnsi="Traditional Arabic" w:hint="cs"/>
          <w:noProof w:val="0"/>
          <w:rtl/>
          <w:lang w:eastAsia="en-US"/>
        </w:rPr>
        <w:t>ّ</w:t>
      </w:r>
      <w:r w:rsidR="00220EF0" w:rsidRPr="0036249C">
        <w:rPr>
          <w:rFonts w:ascii="Traditional Arabic" w:hAnsi="Traditional Arabic"/>
          <w:noProof w:val="0"/>
          <w:rtl/>
          <w:lang w:eastAsia="en-US"/>
        </w:rPr>
        <w:t>ه عادة</w:t>
      </w:r>
      <w:r w:rsidR="00220EF0">
        <w:rPr>
          <w:rFonts w:ascii="Traditional Arabic" w:hAnsi="Traditional Arabic" w:hint="cs"/>
          <w:noProof w:val="0"/>
          <w:rtl/>
          <w:lang w:eastAsia="en-US"/>
        </w:rPr>
        <w:t>ً، كما لو كان الوكيل رجلا شريفاً، ووُكِّل في شراء علفٍ للدوابِّ، فإن له أن يوكِّل غيرَه في ذلك؛ لأن هذا العمل مما جَرَت العادةُ ألا يتولاه بنفسه.</w:t>
      </w:r>
    </w:p>
    <w:p w:rsidR="00065E4B" w:rsidRDefault="00065E4B" w:rsidP="00597C20">
      <w:pPr>
        <w:ind w:left="720" w:firstLine="0"/>
        <w:rPr>
          <w:rFonts w:ascii="Traditional Arabic" w:hAnsi="Traditional Arabic"/>
          <w:noProof w:val="0"/>
          <w:rtl/>
          <w:lang w:eastAsia="en-US"/>
        </w:rPr>
      </w:pPr>
      <w:r w:rsidRPr="00E51D72">
        <w:rPr>
          <w:rFonts w:ascii="Traditional Arabic" w:hAnsi="Traditional Arabic" w:hint="cs"/>
          <w:b/>
          <w:bCs/>
          <w:noProof w:val="0"/>
          <w:rtl/>
          <w:lang w:eastAsia="en-US"/>
        </w:rPr>
        <w:t>ا</w:t>
      </w:r>
      <w:r w:rsidR="00220EF0" w:rsidRPr="00E51D72">
        <w:rPr>
          <w:rFonts w:ascii="Traditional Arabic" w:hAnsi="Traditional Arabic" w:hint="cs"/>
          <w:b/>
          <w:bCs/>
          <w:noProof w:val="0"/>
          <w:rtl/>
          <w:lang w:eastAsia="en-US"/>
        </w:rPr>
        <w:t>لثالثة:</w:t>
      </w:r>
      <w:r w:rsidR="00220EF0" w:rsidRPr="0036249C">
        <w:rPr>
          <w:rFonts w:ascii="Traditional Arabic" w:hAnsi="Traditional Arabic"/>
          <w:noProof w:val="0"/>
          <w:rtl/>
          <w:lang w:eastAsia="en-US"/>
        </w:rPr>
        <w:t>إذ</w:t>
      </w:r>
      <w:r w:rsidR="00220EF0">
        <w:rPr>
          <w:rFonts w:ascii="Traditional Arabic" w:hAnsi="Traditional Arabic"/>
          <w:noProof w:val="0"/>
          <w:rtl/>
          <w:lang w:eastAsia="en-US"/>
        </w:rPr>
        <w:t>ا كان ي</w:t>
      </w:r>
      <w:r w:rsidR="00220EF0">
        <w:rPr>
          <w:rFonts w:ascii="Traditional Arabic" w:hAnsi="Traditional Arabic" w:hint="cs"/>
          <w:noProof w:val="0"/>
          <w:rtl/>
          <w:lang w:eastAsia="en-US"/>
        </w:rPr>
        <w:t>َ</w:t>
      </w:r>
      <w:r w:rsidR="00220EF0">
        <w:rPr>
          <w:rFonts w:ascii="Traditional Arabic" w:hAnsi="Traditional Arabic"/>
          <w:noProof w:val="0"/>
          <w:rtl/>
          <w:lang w:eastAsia="en-US"/>
        </w:rPr>
        <w:t>ع</w:t>
      </w:r>
      <w:r w:rsidR="00220EF0">
        <w:rPr>
          <w:rFonts w:ascii="Traditional Arabic" w:hAnsi="Traditional Arabic" w:hint="cs"/>
          <w:noProof w:val="0"/>
          <w:rtl/>
          <w:lang w:eastAsia="en-US"/>
        </w:rPr>
        <w:t>ْ</w:t>
      </w:r>
      <w:r w:rsidR="00220EF0">
        <w:rPr>
          <w:rFonts w:ascii="Traditional Arabic" w:hAnsi="Traditional Arabic"/>
          <w:noProof w:val="0"/>
          <w:rtl/>
          <w:lang w:eastAsia="en-US"/>
        </w:rPr>
        <w:t>جز عن القيام ب</w:t>
      </w:r>
      <w:r w:rsidR="00220EF0">
        <w:rPr>
          <w:rFonts w:ascii="Traditional Arabic" w:hAnsi="Traditional Arabic" w:hint="cs"/>
          <w:noProof w:val="0"/>
          <w:rtl/>
          <w:lang w:eastAsia="en-US"/>
        </w:rPr>
        <w:t>ِ</w:t>
      </w:r>
      <w:r w:rsidR="00220EF0">
        <w:rPr>
          <w:rFonts w:ascii="Traditional Arabic" w:hAnsi="Traditional Arabic"/>
          <w:noProof w:val="0"/>
          <w:rtl/>
          <w:lang w:eastAsia="en-US"/>
        </w:rPr>
        <w:t>م</w:t>
      </w:r>
      <w:r w:rsidR="00220EF0">
        <w:rPr>
          <w:rFonts w:ascii="Traditional Arabic" w:hAnsi="Traditional Arabic" w:hint="cs"/>
          <w:noProof w:val="0"/>
          <w:rtl/>
          <w:lang w:eastAsia="en-US"/>
        </w:rPr>
        <w:t>ِ</w:t>
      </w:r>
      <w:r w:rsidR="00220EF0">
        <w:rPr>
          <w:rFonts w:ascii="Traditional Arabic" w:hAnsi="Traditional Arabic"/>
          <w:noProof w:val="0"/>
          <w:rtl/>
          <w:lang w:eastAsia="en-US"/>
        </w:rPr>
        <w:t>ث</w:t>
      </w:r>
      <w:r w:rsidR="00220EF0">
        <w:rPr>
          <w:rFonts w:ascii="Traditional Arabic" w:hAnsi="Traditional Arabic" w:hint="cs"/>
          <w:noProof w:val="0"/>
          <w:rtl/>
          <w:lang w:eastAsia="en-US"/>
        </w:rPr>
        <w:t>ْ</w:t>
      </w:r>
      <w:r w:rsidR="00220EF0">
        <w:rPr>
          <w:rFonts w:ascii="Traditional Arabic" w:hAnsi="Traditional Arabic"/>
          <w:noProof w:val="0"/>
          <w:rtl/>
          <w:lang w:eastAsia="en-US"/>
        </w:rPr>
        <w:t>ل</w:t>
      </w:r>
      <w:r w:rsidR="00220EF0">
        <w:rPr>
          <w:rFonts w:ascii="Traditional Arabic" w:hAnsi="Traditional Arabic" w:hint="cs"/>
          <w:noProof w:val="0"/>
          <w:rtl/>
          <w:lang w:eastAsia="en-US"/>
        </w:rPr>
        <w:t>ِ</w:t>
      </w:r>
      <w:r w:rsidR="00220EF0">
        <w:rPr>
          <w:rFonts w:ascii="Traditional Arabic" w:hAnsi="Traditional Arabic"/>
          <w:noProof w:val="0"/>
          <w:rtl/>
          <w:lang w:eastAsia="en-US"/>
        </w:rPr>
        <w:t>ه عادة</w:t>
      </w:r>
      <w:r w:rsidR="00220EF0">
        <w:rPr>
          <w:rFonts w:ascii="Traditional Arabic" w:hAnsi="Traditional Arabic" w:hint="cs"/>
          <w:noProof w:val="0"/>
          <w:rtl/>
          <w:lang w:eastAsia="en-US"/>
        </w:rPr>
        <w:t xml:space="preserve">ً، كما لو وكِّل بحَمْلِ ما لا يستطيع حَمْلَه، فإن له </w:t>
      </w:r>
      <w:r w:rsidR="00220EF0">
        <w:rPr>
          <w:rFonts w:ascii="Traditional Arabic" w:hAnsi="Traditional Arabic" w:hint="cs"/>
          <w:noProof w:val="0"/>
          <w:rtl/>
          <w:lang w:eastAsia="en-US"/>
        </w:rPr>
        <w:lastRenderedPageBreak/>
        <w:t>أن يوكِّل مَن يَقْدر على ذلك</w:t>
      </w:r>
      <w:r w:rsidR="00220EF0" w:rsidRPr="00C821A1">
        <w:rPr>
          <w:rStyle w:val="af1"/>
          <w:szCs w:val="32"/>
          <w:rtl/>
        </w:rPr>
        <w:t>(</w:t>
      </w:r>
      <w:r w:rsidR="00220EF0" w:rsidRPr="00C821A1">
        <w:rPr>
          <w:rStyle w:val="af1"/>
          <w:szCs w:val="32"/>
          <w:rtl/>
        </w:rPr>
        <w:footnoteReference w:id="479"/>
      </w:r>
      <w:r w:rsidR="00220EF0" w:rsidRPr="00C821A1">
        <w:rPr>
          <w:rStyle w:val="af1"/>
          <w:szCs w:val="32"/>
          <w:rtl/>
        </w:rPr>
        <w:t>)</w:t>
      </w:r>
      <w:r w:rsidR="00220EF0">
        <w:rPr>
          <w:rFonts w:ascii="Traditional Arabic" w:hAnsi="Traditional Arabic" w:hint="cs"/>
          <w:noProof w:val="0"/>
          <w:rtl/>
          <w:lang w:eastAsia="en-US"/>
        </w:rPr>
        <w:t>.</w:t>
      </w:r>
    </w:p>
    <w:p w:rsidR="00065E4B" w:rsidRDefault="00065E4B" w:rsidP="00597C20">
      <w:pPr>
        <w:pStyle w:val="53"/>
        <w:rPr>
          <w:rtl/>
        </w:rPr>
      </w:pPr>
      <w:r>
        <w:rPr>
          <w:rFonts w:hint="cs"/>
          <w:rtl/>
        </w:rPr>
        <w:t>و</w:t>
      </w:r>
      <w:r w:rsidR="00220EF0">
        <w:rPr>
          <w:rFonts w:hint="cs"/>
          <w:rtl/>
        </w:rPr>
        <w:t>جه اندراج الفرع تحت القاعدة:</w:t>
      </w:r>
    </w:p>
    <w:p w:rsidR="00F228A9" w:rsidRPr="007F2646" w:rsidRDefault="00065E4B" w:rsidP="00597C20">
      <w:pPr>
        <w:ind w:firstLine="720"/>
        <w:rPr>
          <w:rFonts w:ascii="Traditional Arabic" w:hAnsi="Traditional Arabic"/>
          <w:noProof w:val="0"/>
          <w:rtl/>
          <w:lang w:eastAsia="en-US"/>
        </w:rPr>
      </w:pPr>
      <w:r>
        <w:rPr>
          <w:rFonts w:ascii="Traditional Arabic" w:hAnsi="Traditional Arabic" w:hint="cs"/>
          <w:noProof w:val="0"/>
          <w:rtl/>
          <w:lang w:eastAsia="en-US"/>
        </w:rPr>
        <w:t>ي</w:t>
      </w:r>
      <w:r w:rsidR="00220EF0">
        <w:rPr>
          <w:rFonts w:ascii="Traditional Arabic" w:hAnsi="Traditional Arabic" w:hint="cs"/>
          <w:noProof w:val="0"/>
          <w:rtl/>
          <w:lang w:eastAsia="en-US"/>
        </w:rPr>
        <w:t>ندرج هذا الفرع تحت القاعدة فيما يتعلق بالحالتين الثانية والثالثة، وأن الوكيل وإن لم يُؤْذَن له بتوكيلِ غيرِه لفظاً إلا أنه تصرَّف في ذلك بمقتضى الإذن العُرفي؛ إذ من المعلوم عُرفاً أن مثله لا يتولى هذه الأعمال بنفسه، فكأن الموكِّل قد فوَّض إليه عُرفاً توكيل غيره، فقام الإذن العُرفي مقامَ الإذن اللفظي</w:t>
      </w:r>
      <w:r w:rsidR="00220EF0" w:rsidRPr="00C821A1">
        <w:rPr>
          <w:rStyle w:val="af1"/>
          <w:szCs w:val="32"/>
          <w:rtl/>
        </w:rPr>
        <w:t>(</w:t>
      </w:r>
      <w:r w:rsidR="00220EF0" w:rsidRPr="00C821A1">
        <w:rPr>
          <w:rStyle w:val="af1"/>
          <w:szCs w:val="32"/>
          <w:rtl/>
        </w:rPr>
        <w:footnoteReference w:id="480"/>
      </w:r>
      <w:r w:rsidR="00220EF0" w:rsidRPr="00C821A1">
        <w:rPr>
          <w:rStyle w:val="af1"/>
          <w:szCs w:val="32"/>
          <w:rtl/>
        </w:rPr>
        <w:t>)</w:t>
      </w:r>
      <w:r w:rsidR="00220EF0">
        <w:rPr>
          <w:rFonts w:ascii="Traditional Arabic" w:hAnsi="Traditional Arabic" w:hint="cs"/>
          <w:noProof w:val="0"/>
          <w:rtl/>
          <w:lang w:eastAsia="en-US"/>
        </w:rPr>
        <w:t>.</w:t>
      </w:r>
    </w:p>
    <w:p w:rsidR="00065E4B" w:rsidRPr="00E357CB" w:rsidRDefault="00F228A9" w:rsidP="000A76C7">
      <w:pPr>
        <w:pStyle w:val="afc"/>
        <w:widowControl/>
        <w:numPr>
          <w:ilvl w:val="0"/>
          <w:numId w:val="84"/>
        </w:numPr>
        <w:autoSpaceDE w:val="0"/>
        <w:autoSpaceDN w:val="0"/>
        <w:adjustRightInd w:val="0"/>
        <w:rPr>
          <w:rFonts w:ascii="Traditional Arabic" w:hAnsi="Traditional Arabic"/>
          <w:noProof w:val="0"/>
          <w:rtl/>
          <w:lang w:eastAsia="en-US"/>
        </w:rPr>
      </w:pPr>
      <w:r w:rsidRPr="00E357CB">
        <w:rPr>
          <w:rFonts w:ascii="Traditional Arabic" w:hAnsi="Traditional Arabic" w:hint="cs"/>
          <w:noProof w:val="0"/>
          <w:rtl/>
          <w:lang w:eastAsia="en-US"/>
        </w:rPr>
        <w:t>لا يجوز</w:t>
      </w:r>
      <w:r w:rsidR="001814AE">
        <w:rPr>
          <w:rFonts w:ascii="Traditional Arabic" w:hAnsi="Traditional Arabic" w:hint="cs"/>
          <w:noProof w:val="0"/>
          <w:rtl/>
          <w:lang w:eastAsia="en-US"/>
        </w:rPr>
        <w:t xml:space="preserve"> </w:t>
      </w:r>
      <w:r w:rsidRPr="00E357CB">
        <w:rPr>
          <w:rFonts w:ascii="Traditional Arabic" w:hAnsi="Traditional Arabic" w:hint="cs"/>
          <w:noProof w:val="0"/>
          <w:rtl/>
          <w:lang w:eastAsia="en-US"/>
        </w:rPr>
        <w:t>ل</w:t>
      </w:r>
      <w:r w:rsidRPr="00E357CB">
        <w:rPr>
          <w:rFonts w:ascii="Traditional Arabic" w:hAnsi="Traditional Arabic"/>
          <w:noProof w:val="0"/>
          <w:rtl/>
          <w:lang w:eastAsia="en-US"/>
        </w:rPr>
        <w:t>لم</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ستعير أن ي</w:t>
      </w:r>
      <w:r w:rsidR="001814AE">
        <w:rPr>
          <w:rFonts w:ascii="Traditional Arabic" w:hAnsi="Traditional Arabic" w:hint="cs"/>
          <w:noProof w:val="0"/>
          <w:rtl/>
          <w:lang w:eastAsia="en-US"/>
        </w:rPr>
        <w:t>ُ</w:t>
      </w:r>
      <w:r w:rsidRPr="00E357CB">
        <w:rPr>
          <w:rFonts w:ascii="Traditional Arabic" w:hAnsi="Traditional Arabic"/>
          <w:noProof w:val="0"/>
          <w:rtl/>
          <w:lang w:eastAsia="en-US"/>
        </w:rPr>
        <w:t>ع</w:t>
      </w:r>
      <w:r w:rsidR="001814AE">
        <w:rPr>
          <w:rFonts w:ascii="Traditional Arabic" w:hAnsi="Traditional Arabic" w:hint="cs"/>
          <w:noProof w:val="0"/>
          <w:rtl/>
          <w:lang w:eastAsia="en-US"/>
        </w:rPr>
        <w:t>ِ</w:t>
      </w:r>
      <w:r w:rsidRPr="00E357CB">
        <w:rPr>
          <w:rFonts w:ascii="Traditional Arabic" w:hAnsi="Traditional Arabic"/>
          <w:noProof w:val="0"/>
          <w:rtl/>
          <w:lang w:eastAsia="en-US"/>
        </w:rPr>
        <w:t>ير العين التي استعارها، ووجه ذلك أن المستعير يمل</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ك الانتفاع</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 xml:space="preserve"> بالإذ</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ن المجر</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د ولايملك الن</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ف</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ع، والمعير إنما أعار هذا الشخص ولم ي</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ع</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ر</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ها غير</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ه، فلا يح</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ل</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 xml:space="preserve"> له أن ي</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ع</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يرها؛ لأنه إن أعار</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ها فقد تصر</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ف في مال</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 xml:space="preserve"> غيره بغير</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 xml:space="preserve"> إذ</w:t>
      </w:r>
      <w:r w:rsidRPr="00E357CB">
        <w:rPr>
          <w:rFonts w:ascii="Traditional Arabic" w:hAnsi="Traditional Arabic" w:hint="cs"/>
          <w:noProof w:val="0"/>
          <w:rtl/>
          <w:lang w:eastAsia="en-US"/>
        </w:rPr>
        <w:t>ْ</w:t>
      </w:r>
      <w:r w:rsidRPr="00E357CB">
        <w:rPr>
          <w:rFonts w:ascii="Traditional Arabic" w:hAnsi="Traditional Arabic"/>
          <w:noProof w:val="0"/>
          <w:rtl/>
          <w:lang w:eastAsia="en-US"/>
        </w:rPr>
        <w:t>نه.</w:t>
      </w:r>
    </w:p>
    <w:p w:rsidR="00065E4B" w:rsidRDefault="001814AE" w:rsidP="00597C20">
      <w:pPr>
        <w:ind w:firstLine="0"/>
        <w:rPr>
          <w:color w:val="auto"/>
          <w:rtl/>
        </w:rPr>
      </w:pPr>
      <w:r>
        <w:rPr>
          <w:rFonts w:ascii="Traditional Arabic" w:hAnsi="Traditional Arabic" w:hint="cs"/>
          <w:noProof w:val="0"/>
          <w:rtl/>
          <w:lang w:eastAsia="en-US"/>
        </w:rPr>
        <w:t xml:space="preserve">     </w:t>
      </w:r>
      <w:r w:rsidR="00065E4B" w:rsidRPr="005140E4">
        <w:rPr>
          <w:rFonts w:ascii="Traditional Arabic" w:hAnsi="Traditional Arabic"/>
          <w:noProof w:val="0"/>
          <w:rtl/>
          <w:lang w:eastAsia="en-US"/>
        </w:rPr>
        <w:t>ل</w:t>
      </w:r>
      <w:r w:rsidR="00220EF0" w:rsidRPr="005140E4">
        <w:rPr>
          <w:rFonts w:ascii="Traditional Arabic" w:hAnsi="Traditional Arabic"/>
          <w:noProof w:val="0"/>
          <w:rtl/>
          <w:lang w:eastAsia="en-US"/>
        </w:rPr>
        <w:t>كن إذا علم المستعير</w:t>
      </w:r>
      <w:r w:rsidR="00220EF0">
        <w:rPr>
          <w:rFonts w:ascii="Traditional Arabic" w:hAnsi="Traditional Arabic" w:hint="cs"/>
          <w:noProof w:val="0"/>
          <w:rtl/>
          <w:lang w:eastAsia="en-US"/>
        </w:rPr>
        <w:t>ُ</w:t>
      </w:r>
      <w:r w:rsidR="00220EF0" w:rsidRPr="005140E4">
        <w:rPr>
          <w:rFonts w:ascii="Traditional Arabic" w:hAnsi="Traditional Arabic"/>
          <w:noProof w:val="0"/>
          <w:rtl/>
          <w:lang w:eastAsia="en-US"/>
        </w:rPr>
        <w:t xml:space="preserve"> أن الم</w:t>
      </w:r>
      <w:r w:rsidR="00220EF0">
        <w:rPr>
          <w:rFonts w:ascii="Traditional Arabic" w:hAnsi="Traditional Arabic" w:hint="cs"/>
          <w:noProof w:val="0"/>
          <w:rtl/>
          <w:lang w:eastAsia="en-US"/>
        </w:rPr>
        <w:t>ُ</w:t>
      </w:r>
      <w:r w:rsidR="00220EF0" w:rsidRPr="005140E4">
        <w:rPr>
          <w:rFonts w:ascii="Traditional Arabic" w:hAnsi="Traditional Arabic"/>
          <w:noProof w:val="0"/>
          <w:rtl/>
          <w:lang w:eastAsia="en-US"/>
        </w:rPr>
        <w:t>ع</w:t>
      </w:r>
      <w:r w:rsidR="00220EF0">
        <w:rPr>
          <w:rFonts w:ascii="Traditional Arabic" w:hAnsi="Traditional Arabic" w:hint="cs"/>
          <w:noProof w:val="0"/>
          <w:rtl/>
          <w:lang w:eastAsia="en-US"/>
        </w:rPr>
        <w:t>ِ</w:t>
      </w:r>
      <w:r w:rsidR="00220EF0" w:rsidRPr="005140E4">
        <w:rPr>
          <w:rFonts w:ascii="Traditional Arabic" w:hAnsi="Traditional Arabic"/>
          <w:noProof w:val="0"/>
          <w:rtl/>
          <w:lang w:eastAsia="en-US"/>
        </w:rPr>
        <w:t>ير ي</w:t>
      </w:r>
      <w:r w:rsidR="00220EF0">
        <w:rPr>
          <w:rFonts w:ascii="Traditional Arabic" w:hAnsi="Traditional Arabic" w:hint="cs"/>
          <w:noProof w:val="0"/>
          <w:rtl/>
          <w:lang w:eastAsia="en-US"/>
        </w:rPr>
        <w:t>َ</w:t>
      </w:r>
      <w:r w:rsidR="00220EF0" w:rsidRPr="005140E4">
        <w:rPr>
          <w:rFonts w:ascii="Traditional Arabic" w:hAnsi="Traditional Arabic"/>
          <w:noProof w:val="0"/>
          <w:rtl/>
          <w:lang w:eastAsia="en-US"/>
        </w:rPr>
        <w:t>أ</w:t>
      </w:r>
      <w:r w:rsidR="00220EF0">
        <w:rPr>
          <w:rFonts w:ascii="Traditional Arabic" w:hAnsi="Traditional Arabic" w:hint="cs"/>
          <w:noProof w:val="0"/>
          <w:rtl/>
          <w:lang w:eastAsia="en-US"/>
        </w:rPr>
        <w:t>ْ</w:t>
      </w:r>
      <w:r w:rsidR="00220EF0" w:rsidRPr="005140E4">
        <w:rPr>
          <w:rFonts w:ascii="Traditional Arabic" w:hAnsi="Traditional Arabic"/>
          <w:noProof w:val="0"/>
          <w:rtl/>
          <w:lang w:eastAsia="en-US"/>
        </w:rPr>
        <w:t>ذ</w:t>
      </w:r>
      <w:r w:rsidR="00220EF0">
        <w:rPr>
          <w:rFonts w:ascii="Traditional Arabic" w:hAnsi="Traditional Arabic" w:hint="cs"/>
          <w:noProof w:val="0"/>
          <w:rtl/>
          <w:lang w:eastAsia="en-US"/>
        </w:rPr>
        <w:t>َ</w:t>
      </w:r>
      <w:r w:rsidR="00220EF0" w:rsidRPr="005140E4">
        <w:rPr>
          <w:rFonts w:ascii="Traditional Arabic" w:hAnsi="Traditional Arabic"/>
          <w:noProof w:val="0"/>
          <w:rtl/>
          <w:lang w:eastAsia="en-US"/>
        </w:rPr>
        <w:t>ن في مثل ذلك عادة</w:t>
      </w:r>
      <w:r w:rsidR="00220EF0">
        <w:rPr>
          <w:rFonts w:ascii="Traditional Arabic" w:hAnsi="Traditional Arabic" w:hint="cs"/>
          <w:noProof w:val="0"/>
          <w:rtl/>
          <w:lang w:eastAsia="en-US"/>
        </w:rPr>
        <w:t>ً</w:t>
      </w:r>
      <w:r w:rsidR="00220EF0" w:rsidRPr="005140E4">
        <w:rPr>
          <w:rFonts w:ascii="Traditional Arabic" w:hAnsi="Traditional Arabic"/>
          <w:noProof w:val="0"/>
          <w:rtl/>
          <w:lang w:eastAsia="en-US"/>
        </w:rPr>
        <w:t>،</w:t>
      </w:r>
      <w:r w:rsidR="003E582B">
        <w:rPr>
          <w:rFonts w:ascii="Traditional Arabic" w:hAnsi="Traditional Arabic" w:hint="cs"/>
          <w:noProof w:val="0"/>
          <w:rtl/>
          <w:lang w:eastAsia="en-US"/>
        </w:rPr>
        <w:t xml:space="preserve"> </w:t>
      </w:r>
      <w:r w:rsidR="00220EF0">
        <w:rPr>
          <w:rFonts w:ascii="Traditional Arabic" w:hAnsi="Traditional Arabic" w:hint="cs"/>
          <w:noProof w:val="0"/>
          <w:rtl/>
          <w:lang w:eastAsia="en-US"/>
        </w:rPr>
        <w:t>ف</w:t>
      </w:r>
      <w:r w:rsidR="00220EF0">
        <w:rPr>
          <w:rFonts w:ascii="Traditional Arabic" w:hAnsi="Traditional Arabic"/>
          <w:noProof w:val="0"/>
          <w:rtl/>
          <w:lang w:eastAsia="en-US"/>
        </w:rPr>
        <w:t xml:space="preserve">له أن </w:t>
      </w:r>
      <w:r w:rsidR="00220EF0">
        <w:rPr>
          <w:rFonts w:ascii="Traditional Arabic" w:hAnsi="Traditional Arabic" w:hint="cs"/>
          <w:noProof w:val="0"/>
          <w:rtl/>
          <w:lang w:eastAsia="en-US"/>
        </w:rPr>
        <w:t>يُعِيرها لغيره</w:t>
      </w:r>
      <w:r w:rsidR="00220EF0" w:rsidRPr="00C821A1">
        <w:rPr>
          <w:rStyle w:val="af1"/>
          <w:szCs w:val="32"/>
          <w:rtl/>
        </w:rPr>
        <w:t>(</w:t>
      </w:r>
      <w:r w:rsidR="00220EF0" w:rsidRPr="00C821A1">
        <w:rPr>
          <w:rStyle w:val="af1"/>
          <w:szCs w:val="32"/>
          <w:rtl/>
        </w:rPr>
        <w:footnoteReference w:id="481"/>
      </w:r>
      <w:r w:rsidR="00220EF0" w:rsidRPr="00C821A1">
        <w:rPr>
          <w:rStyle w:val="af1"/>
          <w:szCs w:val="32"/>
          <w:rtl/>
        </w:rPr>
        <w:t>)</w:t>
      </w:r>
      <w:r w:rsidR="00220EF0">
        <w:rPr>
          <w:rFonts w:ascii="Traditional Arabic" w:hAnsi="Traditional Arabic" w:hint="cs"/>
          <w:noProof w:val="0"/>
          <w:rtl/>
          <w:lang w:eastAsia="en-US"/>
        </w:rPr>
        <w:t>.</w:t>
      </w:r>
    </w:p>
    <w:p w:rsidR="00065E4B" w:rsidRDefault="00065E4B" w:rsidP="00597C20">
      <w:pPr>
        <w:pStyle w:val="53"/>
        <w:rPr>
          <w:rtl/>
        </w:rPr>
      </w:pPr>
      <w:r>
        <w:rPr>
          <w:rFonts w:hint="cs"/>
          <w:rtl/>
        </w:rPr>
        <w:t>و</w:t>
      </w:r>
      <w:r w:rsidR="00220EF0">
        <w:rPr>
          <w:rFonts w:hint="cs"/>
          <w:rtl/>
        </w:rPr>
        <w:t>جه اندراج الفرع تحت القاعدة:</w:t>
      </w:r>
    </w:p>
    <w:p w:rsidR="00F228A9" w:rsidRDefault="00065E4B" w:rsidP="00597C20">
      <w:pPr>
        <w:ind w:firstLine="720"/>
        <w:rPr>
          <w:color w:val="auto"/>
          <w:rtl/>
        </w:rPr>
      </w:pPr>
      <w:r>
        <w:rPr>
          <w:rFonts w:hint="cs"/>
          <w:color w:val="auto"/>
          <w:rtl/>
        </w:rPr>
        <w:t>إ</w:t>
      </w:r>
      <w:r w:rsidR="00220EF0">
        <w:rPr>
          <w:rFonts w:hint="cs"/>
          <w:color w:val="auto"/>
          <w:rtl/>
        </w:rPr>
        <w:t>ذا عُلم إذْنُ المعير للمستعير بإعارةِ العين لغيره عادةً، فللمستعير أن يعيرها غيرَه؛ لأنه ذلك يكون في منزلة التصريح من المعير بالإذن؛ كما دلَّت على ذلك قاعدة الإذن العرفي كالإذن اللفظي.</w:t>
      </w:r>
    </w:p>
    <w:p w:rsidR="003E0A64" w:rsidRDefault="003E0A64" w:rsidP="003E0A64">
      <w:pPr>
        <w:widowControl/>
        <w:autoSpaceDE w:val="0"/>
        <w:autoSpaceDN w:val="0"/>
        <w:adjustRightInd w:val="0"/>
        <w:ind w:firstLine="720"/>
        <w:jc w:val="center"/>
        <w:rPr>
          <w:rFonts w:ascii="Traditional Arabic" w:hAnsi="Traditional Arabic"/>
          <w:b/>
          <w:bCs/>
          <w:noProof w:val="0"/>
          <w:sz w:val="44"/>
          <w:szCs w:val="44"/>
          <w:rtl/>
          <w:lang w:eastAsia="en-US"/>
        </w:rPr>
      </w:pPr>
    </w:p>
    <w:p w:rsidR="003E0A64" w:rsidRPr="00E357CB" w:rsidRDefault="00F11C35" w:rsidP="00F11C35">
      <w:pPr>
        <w:tabs>
          <w:tab w:val="left" w:pos="1955"/>
        </w:tabs>
        <w:ind w:firstLine="720"/>
        <w:rPr>
          <w:color w:val="auto"/>
          <w:rtl/>
        </w:rPr>
      </w:pPr>
      <w:r>
        <w:rPr>
          <w:color w:val="auto"/>
          <w:rtl/>
        </w:rPr>
        <w:tab/>
      </w:r>
    </w:p>
    <w:p w:rsidR="00657189" w:rsidRPr="00C85F0F" w:rsidRDefault="00690470" w:rsidP="000F5C0F">
      <w:pPr>
        <w:pStyle w:val="aff2"/>
        <w:rPr>
          <w:rtl/>
        </w:rPr>
      </w:pPr>
      <w:bookmarkStart w:id="99" w:name="_Toc334046355"/>
      <w:r>
        <w:rPr>
          <w:rFonts w:hint="cs"/>
          <w:rtl/>
        </w:rPr>
        <w:lastRenderedPageBreak/>
        <w:t>المبحث الرابع</w:t>
      </w:r>
      <w:r w:rsidR="00657189">
        <w:rPr>
          <w:rFonts w:hint="eastAsia"/>
          <w:rtl/>
        </w:rPr>
        <w:t> :</w:t>
      </w:r>
      <w:r w:rsidR="00657189">
        <w:rPr>
          <w:rFonts w:hint="cs"/>
          <w:rtl/>
        </w:rPr>
        <w:br/>
      </w:r>
      <w:r w:rsidR="00657189" w:rsidRPr="00657189">
        <w:rPr>
          <w:rFonts w:hint="cs"/>
          <w:rtl/>
        </w:rPr>
        <w:t>قاعدة</w:t>
      </w:r>
      <w:r w:rsidR="00657189">
        <w:rPr>
          <w:rtl/>
        </w:rPr>
        <w:br/>
      </w:r>
      <w:r w:rsidR="00657189">
        <w:rPr>
          <w:rFonts w:hint="cs"/>
          <w:rtl/>
        </w:rPr>
        <w:t>"</w:t>
      </w:r>
      <w:r w:rsidR="00B84700">
        <w:rPr>
          <w:rFonts w:hint="cs"/>
          <w:rtl/>
        </w:rPr>
        <w:t>ما أتى ولم يحدد</w:t>
      </w:r>
      <w:r w:rsidR="003E0A64">
        <w:rPr>
          <w:rFonts w:hint="cs"/>
          <w:rtl/>
        </w:rPr>
        <w:t xml:space="preserve"> </w:t>
      </w:r>
      <w:r w:rsidR="00B84700">
        <w:rPr>
          <w:rFonts w:hint="cs"/>
          <w:rtl/>
        </w:rPr>
        <w:t>ب</w:t>
      </w:r>
      <w:r w:rsidR="00657189" w:rsidRPr="00657189">
        <w:rPr>
          <w:rFonts w:hint="cs"/>
          <w:rtl/>
        </w:rPr>
        <w:t>الشرع فمرجعه إلى العرف</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ماأتىولميحددبالشرعفمرجعهإلىالعرف</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657189" w:rsidRPr="00C85F0F">
        <w:rPr>
          <w:rFonts w:hint="cs"/>
          <w:rtl/>
        </w:rPr>
        <w:t>"</w:t>
      </w:r>
      <w:r w:rsidR="00657189" w:rsidRPr="00C85F0F">
        <w:rPr>
          <w:szCs w:val="32"/>
          <w:vertAlign w:val="superscript"/>
          <w:rtl/>
        </w:rPr>
        <w:t>(</w:t>
      </w:r>
      <w:r w:rsidR="00657189" w:rsidRPr="00C85F0F">
        <w:rPr>
          <w:szCs w:val="32"/>
          <w:vertAlign w:val="superscript"/>
          <w:rtl/>
        </w:rPr>
        <w:footnoteReference w:id="482"/>
      </w:r>
      <w:r w:rsidR="00657189" w:rsidRPr="00C85F0F">
        <w:rPr>
          <w:szCs w:val="32"/>
          <w:vertAlign w:val="superscript"/>
          <w:rtl/>
        </w:rPr>
        <w:t>)</w:t>
      </w:r>
      <w:bookmarkEnd w:id="99"/>
    </w:p>
    <w:p w:rsidR="00065E4B" w:rsidRPr="00C85F0F" w:rsidRDefault="001814AE" w:rsidP="00A8347C">
      <w:pPr>
        <w:pStyle w:val="aff3"/>
        <w:rPr>
          <w:rtl/>
        </w:rPr>
      </w:pPr>
      <w:bookmarkStart w:id="100" w:name="_Toc334046356"/>
      <w:r>
        <w:rPr>
          <w:rFonts w:hint="cs"/>
          <w:rtl/>
        </w:rPr>
        <w:t xml:space="preserve">                   </w:t>
      </w:r>
      <w:r w:rsidR="003E582B">
        <w:rPr>
          <w:rFonts w:hint="cs"/>
          <w:rtl/>
        </w:rPr>
        <w:t xml:space="preserve">                      </w:t>
      </w:r>
      <w:r w:rsidR="00657189" w:rsidRPr="00C85F0F">
        <w:rPr>
          <w:rFonts w:hint="cs"/>
          <w:rtl/>
        </w:rPr>
        <w:t>المطلب الأول</w:t>
      </w:r>
      <w:r w:rsidR="00657189" w:rsidRPr="00C85F0F">
        <w:rPr>
          <w:rFonts w:hint="eastAsia"/>
          <w:rtl/>
        </w:rPr>
        <w:t> :</w:t>
      </w:r>
      <w:r w:rsidR="00657189" w:rsidRPr="00C85F0F">
        <w:rPr>
          <w:rFonts w:hint="cs"/>
          <w:rtl/>
        </w:rPr>
        <w:br/>
      </w:r>
      <w:r>
        <w:rPr>
          <w:rFonts w:hint="cs"/>
          <w:rtl/>
        </w:rPr>
        <w:t xml:space="preserve">                </w:t>
      </w:r>
      <w:r w:rsidR="003E582B">
        <w:rPr>
          <w:rFonts w:hint="cs"/>
          <w:rtl/>
        </w:rPr>
        <w:t xml:space="preserve">        </w:t>
      </w:r>
      <w:r w:rsidR="00657189" w:rsidRPr="00C85F0F">
        <w:rPr>
          <w:rFonts w:hint="cs"/>
          <w:rtl/>
        </w:rPr>
        <w:t>صيغ القاعدة عند الشيخ وعند علماء القواعد</w:t>
      </w:r>
      <w:bookmarkEnd w:id="100"/>
    </w:p>
    <w:p w:rsidR="00657189" w:rsidRPr="00C85F0F" w:rsidRDefault="00065E4B" w:rsidP="00597C20">
      <w:pPr>
        <w:ind w:firstLine="0"/>
        <w:rPr>
          <w:rtl/>
        </w:rPr>
      </w:pPr>
      <w:r w:rsidRPr="00C85F0F">
        <w:rPr>
          <w:rFonts w:hint="cs"/>
          <w:rtl/>
        </w:rPr>
        <w:t>و</w:t>
      </w:r>
      <w:r w:rsidR="00657189" w:rsidRPr="00C85F0F">
        <w:rPr>
          <w:rFonts w:hint="cs"/>
          <w:rtl/>
        </w:rPr>
        <w:t xml:space="preserve">ردت هذه القاعدة عند الشيخ ابن عثيمين </w:t>
      </w:r>
      <w:r w:rsidR="003E582B">
        <w:rPr>
          <w:rFonts w:hint="cs"/>
          <w:rtl/>
        </w:rPr>
        <w:t>_</w:t>
      </w:r>
      <w:r w:rsidR="009A0575" w:rsidRPr="005D5694">
        <w:rPr>
          <w:rFonts w:ascii="Traditional Arabic" w:hAnsi="Traditional Arabic" w:cs="CTraditional Arabic" w:hint="cs"/>
          <w:rtl/>
        </w:rPr>
        <w:t>/</w:t>
      </w:r>
      <w:r w:rsidR="003E582B">
        <w:rPr>
          <w:rFonts w:hint="cs"/>
          <w:rtl/>
        </w:rPr>
        <w:t>_</w:t>
      </w:r>
      <w:r w:rsidR="00657189" w:rsidRPr="00C85F0F">
        <w:rPr>
          <w:rFonts w:hint="cs"/>
          <w:rtl/>
        </w:rPr>
        <w:t xml:space="preserve"> بصيغ متعدِّدة، منها:</w:t>
      </w:r>
    </w:p>
    <w:p w:rsidR="00657189" w:rsidRPr="00C85F0F" w:rsidRDefault="00657189" w:rsidP="000A76C7">
      <w:pPr>
        <w:pStyle w:val="afc"/>
        <w:numPr>
          <w:ilvl w:val="0"/>
          <w:numId w:val="85"/>
        </w:numPr>
      </w:pPr>
      <w:r w:rsidRPr="00C85F0F">
        <w:rPr>
          <w:rFonts w:hint="cs"/>
          <w:rtl/>
        </w:rPr>
        <w:t>ما أتى ولم يُحَدَّد بالشَّرْع، فمَرْجِعُهُ إلى العُرْف</w:t>
      </w:r>
      <w:r w:rsidRPr="00C85F0F">
        <w:rPr>
          <w:rStyle w:val="af1"/>
          <w:szCs w:val="32"/>
          <w:rtl/>
        </w:rPr>
        <w:t>(</w:t>
      </w:r>
      <w:r w:rsidRPr="00C85F0F">
        <w:rPr>
          <w:rStyle w:val="af1"/>
          <w:szCs w:val="32"/>
          <w:rtl/>
        </w:rPr>
        <w:footnoteReference w:id="483"/>
      </w:r>
      <w:r w:rsidRPr="00C85F0F">
        <w:rPr>
          <w:rStyle w:val="af1"/>
          <w:szCs w:val="32"/>
          <w:rtl/>
        </w:rPr>
        <w:t>)</w:t>
      </w:r>
      <w:r w:rsidRPr="00C85F0F">
        <w:rPr>
          <w:rFonts w:hint="cs"/>
          <w:rtl/>
        </w:rPr>
        <w:t>.</w:t>
      </w:r>
    </w:p>
    <w:p w:rsidR="00657189" w:rsidRPr="00C85F0F" w:rsidRDefault="00657189" w:rsidP="000A76C7">
      <w:pPr>
        <w:pStyle w:val="afc"/>
        <w:numPr>
          <w:ilvl w:val="0"/>
          <w:numId w:val="85"/>
        </w:numPr>
      </w:pPr>
      <w:r w:rsidRPr="00C85F0F">
        <w:rPr>
          <w:rFonts w:hint="cs"/>
          <w:rtl/>
        </w:rPr>
        <w:t>الشيءُ إذا لم يُقيَّد بالشرع أُحِيلَ على العُرف</w:t>
      </w:r>
      <w:r w:rsidRPr="00C85F0F">
        <w:rPr>
          <w:rStyle w:val="af1"/>
          <w:szCs w:val="32"/>
          <w:rtl/>
        </w:rPr>
        <w:t>(</w:t>
      </w:r>
      <w:r w:rsidRPr="00C85F0F">
        <w:rPr>
          <w:rStyle w:val="af1"/>
          <w:szCs w:val="32"/>
          <w:rtl/>
        </w:rPr>
        <w:footnoteReference w:id="484"/>
      </w:r>
      <w:r w:rsidRPr="00C85F0F">
        <w:rPr>
          <w:rStyle w:val="af1"/>
          <w:szCs w:val="32"/>
          <w:rtl/>
        </w:rPr>
        <w:t>)</w:t>
      </w:r>
      <w:r w:rsidRPr="00C85F0F">
        <w:rPr>
          <w:rFonts w:hint="cs"/>
          <w:rtl/>
        </w:rPr>
        <w:t>.</w:t>
      </w:r>
    </w:p>
    <w:p w:rsidR="00657189" w:rsidRPr="00C85F0F" w:rsidRDefault="00657189" w:rsidP="000A76C7">
      <w:pPr>
        <w:pStyle w:val="afc"/>
        <w:numPr>
          <w:ilvl w:val="0"/>
          <w:numId w:val="85"/>
        </w:numPr>
      </w:pPr>
      <w:r w:rsidRPr="00C85F0F">
        <w:rPr>
          <w:rFonts w:hint="cs"/>
          <w:rtl/>
        </w:rPr>
        <w:t>الكتابُ والسُّنةُ إذا أُطْلِقَ الشيءُ فيهما، وليس له حَدٌّ شرعيٌّ، فإن مرجعَه إلى العُرف</w:t>
      </w:r>
      <w:r w:rsidRPr="00C85F0F">
        <w:rPr>
          <w:rStyle w:val="af1"/>
          <w:szCs w:val="32"/>
          <w:rtl/>
        </w:rPr>
        <w:t>(</w:t>
      </w:r>
      <w:r w:rsidRPr="00C85F0F">
        <w:rPr>
          <w:rStyle w:val="af1"/>
          <w:szCs w:val="32"/>
          <w:rtl/>
        </w:rPr>
        <w:footnoteReference w:id="485"/>
      </w:r>
      <w:r w:rsidRPr="00C85F0F">
        <w:rPr>
          <w:rStyle w:val="af1"/>
          <w:szCs w:val="32"/>
          <w:rtl/>
        </w:rPr>
        <w:t>)</w:t>
      </w:r>
      <w:r w:rsidRPr="00C85F0F">
        <w:rPr>
          <w:rFonts w:hint="cs"/>
          <w:rtl/>
        </w:rPr>
        <w:t>.</w:t>
      </w:r>
    </w:p>
    <w:p w:rsidR="00657189" w:rsidRPr="00C85F0F" w:rsidRDefault="00657189" w:rsidP="000A76C7">
      <w:pPr>
        <w:pStyle w:val="afc"/>
        <w:numPr>
          <w:ilvl w:val="0"/>
          <w:numId w:val="85"/>
        </w:numPr>
      </w:pPr>
      <w:r w:rsidRPr="00C85F0F">
        <w:rPr>
          <w:rFonts w:hint="cs"/>
          <w:rtl/>
        </w:rPr>
        <w:t>كلُّ شيءٍ أتى ولم يُحدَّد، يُرْجَع فيه إلى العُرف</w:t>
      </w:r>
      <w:r w:rsidRPr="00C85F0F">
        <w:rPr>
          <w:rStyle w:val="af1"/>
          <w:szCs w:val="32"/>
          <w:rtl/>
        </w:rPr>
        <w:t>(</w:t>
      </w:r>
      <w:r w:rsidRPr="00C85F0F">
        <w:rPr>
          <w:rStyle w:val="af1"/>
          <w:szCs w:val="32"/>
          <w:rtl/>
        </w:rPr>
        <w:footnoteReference w:id="486"/>
      </w:r>
      <w:r w:rsidRPr="00C85F0F">
        <w:rPr>
          <w:rStyle w:val="af1"/>
          <w:szCs w:val="32"/>
          <w:rtl/>
        </w:rPr>
        <w:t>)</w:t>
      </w:r>
      <w:r w:rsidRPr="00C85F0F">
        <w:rPr>
          <w:rFonts w:hint="cs"/>
          <w:rtl/>
        </w:rPr>
        <w:t>.</w:t>
      </w:r>
    </w:p>
    <w:p w:rsidR="00657189" w:rsidRPr="00C85F0F" w:rsidRDefault="00657189" w:rsidP="000A76C7">
      <w:pPr>
        <w:pStyle w:val="afc"/>
        <w:numPr>
          <w:ilvl w:val="0"/>
          <w:numId w:val="85"/>
        </w:numPr>
      </w:pPr>
      <w:r w:rsidRPr="00C85F0F">
        <w:rPr>
          <w:rFonts w:hint="cs"/>
          <w:rtl/>
        </w:rPr>
        <w:t>كل شيء يأتي به الشرع مِن غيرِ تحديدٍ، فإنه يُرجَع فيه إلى العُرف</w:t>
      </w:r>
      <w:r w:rsidRPr="00C85F0F">
        <w:rPr>
          <w:rStyle w:val="af1"/>
          <w:szCs w:val="32"/>
          <w:rtl/>
        </w:rPr>
        <w:t>(</w:t>
      </w:r>
      <w:r w:rsidRPr="00C85F0F">
        <w:rPr>
          <w:rStyle w:val="af1"/>
          <w:szCs w:val="32"/>
          <w:rtl/>
        </w:rPr>
        <w:footnoteReference w:id="487"/>
      </w:r>
      <w:r w:rsidRPr="00C85F0F">
        <w:rPr>
          <w:rStyle w:val="af1"/>
          <w:szCs w:val="32"/>
          <w:rtl/>
        </w:rPr>
        <w:t>)</w:t>
      </w:r>
      <w:r w:rsidRPr="00C85F0F">
        <w:rPr>
          <w:rFonts w:hint="cs"/>
          <w:rtl/>
        </w:rPr>
        <w:t>.</w:t>
      </w:r>
    </w:p>
    <w:p w:rsidR="00657189" w:rsidRPr="00C85F0F" w:rsidRDefault="00657189" w:rsidP="000A76C7">
      <w:pPr>
        <w:pStyle w:val="afc"/>
        <w:numPr>
          <w:ilvl w:val="0"/>
          <w:numId w:val="85"/>
        </w:numPr>
      </w:pPr>
      <w:r w:rsidRPr="00C85F0F">
        <w:rPr>
          <w:rFonts w:hint="cs"/>
          <w:rtl/>
        </w:rPr>
        <w:t>كلُّ ما أَطْلَقَهُ الشارعُ وليس له حَدٌّ في الشرع، فمرجعُه إلى العُرف</w:t>
      </w:r>
      <w:r w:rsidRPr="00C85F0F">
        <w:rPr>
          <w:rStyle w:val="af1"/>
          <w:szCs w:val="32"/>
          <w:rtl/>
        </w:rPr>
        <w:t>(</w:t>
      </w:r>
      <w:r w:rsidRPr="00C85F0F">
        <w:rPr>
          <w:rStyle w:val="af1"/>
          <w:szCs w:val="32"/>
          <w:rtl/>
        </w:rPr>
        <w:footnoteReference w:id="488"/>
      </w:r>
      <w:r w:rsidRPr="00C85F0F">
        <w:rPr>
          <w:rStyle w:val="af1"/>
          <w:szCs w:val="32"/>
          <w:rtl/>
        </w:rPr>
        <w:t>)</w:t>
      </w:r>
      <w:r w:rsidRPr="00C85F0F">
        <w:rPr>
          <w:rFonts w:hint="cs"/>
          <w:rtl/>
        </w:rPr>
        <w:t>.</w:t>
      </w:r>
    </w:p>
    <w:p w:rsidR="00657189" w:rsidRPr="00C85F0F" w:rsidRDefault="00657189" w:rsidP="000A76C7">
      <w:pPr>
        <w:pStyle w:val="afc"/>
        <w:numPr>
          <w:ilvl w:val="0"/>
          <w:numId w:val="85"/>
        </w:numPr>
      </w:pPr>
      <w:r w:rsidRPr="00C85F0F">
        <w:rPr>
          <w:rFonts w:hint="cs"/>
          <w:rtl/>
        </w:rPr>
        <w:lastRenderedPageBreak/>
        <w:t>الذي ما جاء فيه حَدٌّ في الشرع، فإنه يُرجَع فيه إلى العُرف</w:t>
      </w:r>
      <w:r w:rsidRPr="00C85F0F">
        <w:rPr>
          <w:rStyle w:val="af1"/>
          <w:szCs w:val="32"/>
          <w:rtl/>
        </w:rPr>
        <w:t>(</w:t>
      </w:r>
      <w:r w:rsidRPr="00C85F0F">
        <w:rPr>
          <w:rStyle w:val="af1"/>
          <w:szCs w:val="32"/>
          <w:rtl/>
        </w:rPr>
        <w:footnoteReference w:id="489"/>
      </w:r>
      <w:r w:rsidRPr="00C85F0F">
        <w:rPr>
          <w:rStyle w:val="af1"/>
          <w:szCs w:val="32"/>
          <w:rtl/>
        </w:rPr>
        <w:t>)</w:t>
      </w:r>
      <w:r w:rsidRPr="00C85F0F">
        <w:rPr>
          <w:rFonts w:hint="cs"/>
          <w:rtl/>
        </w:rPr>
        <w:t>.</w:t>
      </w:r>
    </w:p>
    <w:p w:rsidR="00657189" w:rsidRPr="00C85F0F" w:rsidRDefault="00657189" w:rsidP="000A76C7">
      <w:pPr>
        <w:pStyle w:val="afc"/>
        <w:widowControl/>
        <w:numPr>
          <w:ilvl w:val="0"/>
          <w:numId w:val="85"/>
        </w:numPr>
        <w:autoSpaceDE w:val="0"/>
        <w:autoSpaceDN w:val="0"/>
        <w:adjustRightInd w:val="0"/>
        <w:jc w:val="left"/>
        <w:rPr>
          <w:rFonts w:ascii="Traditional Arabic" w:hAnsi="Traditional Arabic"/>
          <w:noProof w:val="0"/>
          <w:lang w:eastAsia="en-US"/>
        </w:rPr>
      </w:pPr>
      <w:r w:rsidRPr="00C85F0F">
        <w:rPr>
          <w:rFonts w:ascii="Traditional Arabic" w:hAnsi="Traditional Arabic"/>
          <w:noProof w:val="0"/>
          <w:rtl/>
          <w:lang w:eastAsia="en-US"/>
        </w:rPr>
        <w:t>كل شيء يطلقه الشارع ولم يقيده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فإنه يرجع فيه إلى العرف، إذا لم يكن له حقيقة شرعية</w:t>
      </w:r>
      <w:r w:rsidRPr="00C85F0F">
        <w:rPr>
          <w:rStyle w:val="af1"/>
          <w:szCs w:val="32"/>
          <w:rtl/>
        </w:rPr>
        <w:t>(</w:t>
      </w:r>
      <w:r w:rsidRPr="00C85F0F">
        <w:rPr>
          <w:rStyle w:val="af1"/>
          <w:szCs w:val="32"/>
          <w:rtl/>
        </w:rPr>
        <w:footnoteReference w:id="490"/>
      </w:r>
      <w:r w:rsidRPr="00C85F0F">
        <w:rPr>
          <w:rStyle w:val="af1"/>
          <w:szCs w:val="32"/>
          <w:rtl/>
        </w:rPr>
        <w:t>)</w:t>
      </w:r>
      <w:r w:rsidRPr="00C85F0F">
        <w:rPr>
          <w:rFonts w:ascii="Traditional Arabic" w:hAnsi="Traditional Arabic"/>
          <w:noProof w:val="0"/>
          <w:rtl/>
          <w:lang w:eastAsia="en-US"/>
        </w:rPr>
        <w:t>.</w:t>
      </w:r>
    </w:p>
    <w:p w:rsidR="00657189" w:rsidRPr="00C85F0F" w:rsidRDefault="00657189" w:rsidP="000A76C7">
      <w:pPr>
        <w:pStyle w:val="afc"/>
        <w:numPr>
          <w:ilvl w:val="0"/>
          <w:numId w:val="85"/>
        </w:numPr>
      </w:pPr>
      <w:r w:rsidRPr="00C85F0F">
        <w:rPr>
          <w:rFonts w:hint="cs"/>
          <w:rtl/>
        </w:rPr>
        <w:t>ما لم يُحَدَّ شَرْعاً فمرجِعُه إلى العُرف</w:t>
      </w:r>
      <w:r w:rsidRPr="00C85F0F">
        <w:rPr>
          <w:rStyle w:val="af1"/>
          <w:szCs w:val="32"/>
          <w:rtl/>
        </w:rPr>
        <w:t>(</w:t>
      </w:r>
      <w:r w:rsidRPr="00C85F0F">
        <w:rPr>
          <w:rStyle w:val="af1"/>
          <w:szCs w:val="32"/>
          <w:rtl/>
        </w:rPr>
        <w:footnoteReference w:id="491"/>
      </w:r>
      <w:r w:rsidRPr="00C85F0F">
        <w:rPr>
          <w:rStyle w:val="af1"/>
          <w:szCs w:val="32"/>
          <w:rtl/>
        </w:rPr>
        <w:t>)</w:t>
      </w:r>
      <w:r w:rsidRPr="00C85F0F">
        <w:rPr>
          <w:rFonts w:hint="cs"/>
          <w:rtl/>
        </w:rPr>
        <w:t>.</w:t>
      </w:r>
    </w:p>
    <w:p w:rsidR="00657189" w:rsidRPr="00C85F0F" w:rsidRDefault="00657189" w:rsidP="000A76C7">
      <w:pPr>
        <w:pStyle w:val="afc"/>
        <w:numPr>
          <w:ilvl w:val="0"/>
          <w:numId w:val="85"/>
        </w:numPr>
      </w:pPr>
      <w:r w:rsidRPr="00C85F0F">
        <w:rPr>
          <w:rFonts w:hint="cs"/>
          <w:rtl/>
        </w:rPr>
        <w:t>كلُّ ما جاء في الكتاب والسنة غيرَ مقيَّد فإنه يُحْمل على العُرف</w:t>
      </w:r>
      <w:r w:rsidRPr="00C85F0F">
        <w:rPr>
          <w:rStyle w:val="af1"/>
          <w:szCs w:val="32"/>
          <w:rtl/>
        </w:rPr>
        <w:t>(</w:t>
      </w:r>
      <w:r w:rsidRPr="00C85F0F">
        <w:rPr>
          <w:rStyle w:val="af1"/>
          <w:szCs w:val="32"/>
          <w:rtl/>
        </w:rPr>
        <w:footnoteReference w:id="492"/>
      </w:r>
      <w:r w:rsidRPr="00C85F0F">
        <w:rPr>
          <w:rStyle w:val="af1"/>
          <w:szCs w:val="32"/>
          <w:rtl/>
        </w:rPr>
        <w:t>)</w:t>
      </w:r>
      <w:r w:rsidRPr="00C85F0F">
        <w:rPr>
          <w:rFonts w:hint="cs"/>
          <w:rtl/>
        </w:rPr>
        <w:t>.</w:t>
      </w:r>
    </w:p>
    <w:p w:rsidR="00657189" w:rsidRPr="00C85F0F" w:rsidRDefault="00657189" w:rsidP="000A76C7">
      <w:pPr>
        <w:pStyle w:val="afc"/>
        <w:numPr>
          <w:ilvl w:val="0"/>
          <w:numId w:val="85"/>
        </w:numPr>
        <w:rPr>
          <w:rFonts w:ascii="Traditional Arabic" w:hAnsi="Traditional Arabic"/>
        </w:rPr>
      </w:pPr>
      <w:r w:rsidRPr="00C85F0F">
        <w:rPr>
          <w:rFonts w:ascii="Traditional Arabic" w:hAnsi="Traditional Arabic"/>
          <w:rtl/>
        </w:rPr>
        <w:t xml:space="preserve">وكلُّ ما أَتَى ولم يُحدَّدِ </w:t>
      </w:r>
      <w:r w:rsidRPr="00C85F0F">
        <w:rPr>
          <w:rFonts w:ascii="Traditional Arabic" w:hAnsi="Traditional Arabic"/>
          <w:rtl/>
        </w:rPr>
        <w:tab/>
        <w:t>بالشرعِ كالح</w:t>
      </w:r>
      <w:r w:rsidRPr="00C85F0F">
        <w:rPr>
          <w:rFonts w:ascii="Traditional Arabic" w:hAnsi="Traditional Arabic" w:hint="cs"/>
          <w:rtl/>
        </w:rPr>
        <w:t>ِ</w:t>
      </w:r>
      <w:r w:rsidRPr="00C85F0F">
        <w:rPr>
          <w:rFonts w:ascii="Traditional Arabic" w:hAnsi="Traditional Arabic"/>
          <w:rtl/>
        </w:rPr>
        <w:t>ر</w:t>
      </w:r>
      <w:r w:rsidRPr="00C85F0F">
        <w:rPr>
          <w:rFonts w:ascii="Traditional Arabic" w:hAnsi="Traditional Arabic" w:hint="cs"/>
          <w:rtl/>
        </w:rPr>
        <w:t>ْ</w:t>
      </w:r>
      <w:r w:rsidRPr="00C85F0F">
        <w:rPr>
          <w:rFonts w:ascii="Traditional Arabic" w:hAnsi="Traditional Arabic"/>
          <w:rtl/>
        </w:rPr>
        <w:t>زِ ف</w:t>
      </w:r>
      <w:r w:rsidRPr="00C85F0F">
        <w:rPr>
          <w:rFonts w:ascii="Traditional Arabic" w:hAnsi="Traditional Arabic" w:hint="cs"/>
          <w:rtl/>
        </w:rPr>
        <w:t>َ</w:t>
      </w:r>
      <w:r w:rsidRPr="00C85F0F">
        <w:rPr>
          <w:rFonts w:ascii="Traditional Arabic" w:hAnsi="Traditional Arabic"/>
          <w:rtl/>
        </w:rPr>
        <w:t>ب</w:t>
      </w:r>
      <w:r w:rsidRPr="00C85F0F">
        <w:rPr>
          <w:rFonts w:ascii="Traditional Arabic" w:hAnsi="Traditional Arabic" w:hint="cs"/>
          <w:rtl/>
        </w:rPr>
        <w:t>ِ</w:t>
      </w:r>
      <w:r w:rsidRPr="00C85F0F">
        <w:rPr>
          <w:rFonts w:ascii="Traditional Arabic" w:hAnsi="Traditional Arabic"/>
          <w:rtl/>
        </w:rPr>
        <w:t>الع</w:t>
      </w:r>
      <w:r w:rsidRPr="00C85F0F">
        <w:rPr>
          <w:rFonts w:ascii="Traditional Arabic" w:hAnsi="Traditional Arabic" w:hint="cs"/>
          <w:rtl/>
        </w:rPr>
        <w:t>ُ</w:t>
      </w:r>
      <w:r w:rsidRPr="00C85F0F">
        <w:rPr>
          <w:rFonts w:ascii="Traditional Arabic" w:hAnsi="Traditional Arabic"/>
          <w:rtl/>
        </w:rPr>
        <w:t>رفِ احْدُدِ</w:t>
      </w:r>
      <w:r w:rsidRPr="00C85F0F">
        <w:rPr>
          <w:rStyle w:val="af1"/>
          <w:szCs w:val="32"/>
          <w:rtl/>
        </w:rPr>
        <w:t>(</w:t>
      </w:r>
      <w:r w:rsidRPr="00C85F0F">
        <w:rPr>
          <w:rStyle w:val="af1"/>
          <w:szCs w:val="32"/>
          <w:rtl/>
        </w:rPr>
        <w:footnoteReference w:id="493"/>
      </w:r>
      <w:r w:rsidRPr="00C85F0F">
        <w:rPr>
          <w:rStyle w:val="af1"/>
          <w:szCs w:val="32"/>
          <w:rtl/>
        </w:rPr>
        <w:t>)</w:t>
      </w:r>
      <w:r w:rsidRPr="00C85F0F">
        <w:rPr>
          <w:rFonts w:ascii="Traditional Arabic" w:hAnsi="Traditional Arabic" w:hint="cs"/>
          <w:rtl/>
        </w:rPr>
        <w:t>.</w:t>
      </w:r>
    </w:p>
    <w:p w:rsidR="00657189" w:rsidRPr="00C85F0F" w:rsidRDefault="00657189" w:rsidP="000A76C7">
      <w:pPr>
        <w:pStyle w:val="afc"/>
        <w:numPr>
          <w:ilvl w:val="0"/>
          <w:numId w:val="85"/>
        </w:numPr>
      </w:pPr>
      <w:r w:rsidRPr="00C85F0F">
        <w:rPr>
          <w:rFonts w:hint="cs"/>
          <w:rtl/>
        </w:rPr>
        <w:t>ما جاء في الكتاب والسنة مُطْلَقاً بِغيرِ تحديدٍ بِزَمَنٍ أو مكانٍ أو عَدَدٍ أو صِفَةٍ، فإنه يُرْجَع في تحديده إلى العُرف</w:t>
      </w:r>
      <w:r w:rsidRPr="00C85F0F">
        <w:rPr>
          <w:rStyle w:val="af1"/>
          <w:szCs w:val="32"/>
          <w:rtl/>
        </w:rPr>
        <w:t>(</w:t>
      </w:r>
      <w:r w:rsidRPr="00C85F0F">
        <w:rPr>
          <w:rStyle w:val="af1"/>
          <w:szCs w:val="32"/>
          <w:rtl/>
        </w:rPr>
        <w:footnoteReference w:id="494"/>
      </w:r>
      <w:r w:rsidRPr="00C85F0F">
        <w:rPr>
          <w:rStyle w:val="af1"/>
          <w:szCs w:val="32"/>
          <w:rtl/>
        </w:rPr>
        <w:t>)</w:t>
      </w:r>
      <w:r w:rsidRPr="00C85F0F">
        <w:rPr>
          <w:rFonts w:hint="cs"/>
          <w:rtl/>
        </w:rPr>
        <w:t>.</w:t>
      </w:r>
    </w:p>
    <w:p w:rsidR="00657189" w:rsidRPr="00C85F0F" w:rsidRDefault="00657189" w:rsidP="000A76C7">
      <w:pPr>
        <w:pStyle w:val="afc"/>
        <w:numPr>
          <w:ilvl w:val="0"/>
          <w:numId w:val="85"/>
        </w:numPr>
      </w:pPr>
      <w:r w:rsidRPr="00C85F0F">
        <w:rPr>
          <w:rFonts w:hint="cs"/>
          <w:rtl/>
        </w:rPr>
        <w:t xml:space="preserve">كلُّ شيءٍ أتى في النصِّ، من كتابِ الله وسنة رسوله </w:t>
      </w:r>
      <w:r w:rsidR="00F350DE" w:rsidRPr="00C85F0F">
        <w:rPr>
          <w:rFonts w:ascii="Traditional Arabic" w:hAnsi="Traditional Arabic"/>
          <w:noProof w:val="0"/>
          <w:color w:val="auto"/>
          <w:rtl/>
          <w:lang w:eastAsia="en-US"/>
        </w:rPr>
        <w:sym w:font="AGA Arabesque" w:char="F072"/>
      </w:r>
      <w:r w:rsidRPr="00C85F0F">
        <w:rPr>
          <w:rFonts w:hint="cs"/>
          <w:rtl/>
        </w:rPr>
        <w:t xml:space="preserve"> ولم يُحَدَّد، فإنه يُرْجَعُ فيه إلى العرف</w:t>
      </w:r>
      <w:r w:rsidRPr="00C85F0F">
        <w:rPr>
          <w:rStyle w:val="af1"/>
          <w:szCs w:val="32"/>
          <w:rtl/>
        </w:rPr>
        <w:t>(</w:t>
      </w:r>
      <w:r w:rsidRPr="00C85F0F">
        <w:rPr>
          <w:rStyle w:val="af1"/>
          <w:szCs w:val="32"/>
          <w:rtl/>
        </w:rPr>
        <w:footnoteReference w:id="495"/>
      </w:r>
      <w:r w:rsidRPr="00C85F0F">
        <w:rPr>
          <w:rStyle w:val="af1"/>
          <w:szCs w:val="32"/>
          <w:rtl/>
        </w:rPr>
        <w:t>)</w:t>
      </w:r>
      <w:r w:rsidRPr="00C85F0F">
        <w:rPr>
          <w:rFonts w:hint="cs"/>
          <w:rtl/>
        </w:rPr>
        <w:t>.</w:t>
      </w:r>
    </w:p>
    <w:p w:rsidR="00657189" w:rsidRPr="00C85F0F" w:rsidRDefault="00657189" w:rsidP="000A76C7">
      <w:pPr>
        <w:pStyle w:val="afc"/>
        <w:numPr>
          <w:ilvl w:val="0"/>
          <w:numId w:val="85"/>
        </w:numPr>
        <w:rPr>
          <w:rFonts w:ascii="Traditional Arabic" w:hAnsi="Traditional Arabic"/>
        </w:rPr>
      </w:pPr>
      <w:r w:rsidRPr="00C85F0F">
        <w:rPr>
          <w:rFonts w:ascii="Traditional Arabic" w:hAnsi="Traditional Arabic"/>
          <w:rtl/>
        </w:rPr>
        <w:t>كل ما أتى في الكتاب والسنة م</w:t>
      </w:r>
      <w:r w:rsidRPr="00C85F0F">
        <w:rPr>
          <w:rFonts w:ascii="Traditional Arabic" w:hAnsi="Traditional Arabic" w:hint="cs"/>
          <w:rtl/>
        </w:rPr>
        <w:t>ُ</w:t>
      </w:r>
      <w:r w:rsidRPr="00C85F0F">
        <w:rPr>
          <w:rFonts w:ascii="Traditional Arabic" w:hAnsi="Traditional Arabic"/>
          <w:rtl/>
        </w:rPr>
        <w:t>طلقاً بدون ق</w:t>
      </w:r>
      <w:r w:rsidRPr="00C85F0F">
        <w:rPr>
          <w:rFonts w:ascii="Traditional Arabic" w:hAnsi="Traditional Arabic" w:hint="cs"/>
          <w:rtl/>
        </w:rPr>
        <w:t>َ</w:t>
      </w:r>
      <w:r w:rsidRPr="00C85F0F">
        <w:rPr>
          <w:rFonts w:ascii="Traditional Arabic" w:hAnsi="Traditional Arabic"/>
          <w:rtl/>
        </w:rPr>
        <w:t>ي</w:t>
      </w:r>
      <w:r w:rsidRPr="00C85F0F">
        <w:rPr>
          <w:rFonts w:ascii="Traditional Arabic" w:hAnsi="Traditional Arabic" w:hint="cs"/>
          <w:rtl/>
        </w:rPr>
        <w:t>ْ</w:t>
      </w:r>
      <w:r w:rsidRPr="00C85F0F">
        <w:rPr>
          <w:rFonts w:ascii="Traditional Arabic" w:hAnsi="Traditional Arabic"/>
          <w:rtl/>
        </w:rPr>
        <w:t>د</w:t>
      </w:r>
      <w:r w:rsidRPr="00C85F0F">
        <w:rPr>
          <w:rFonts w:ascii="Traditional Arabic" w:hAnsi="Traditional Arabic" w:hint="cs"/>
          <w:rtl/>
        </w:rPr>
        <w:t>ٍ</w:t>
      </w:r>
      <w:r w:rsidRPr="00C85F0F">
        <w:rPr>
          <w:rFonts w:ascii="Traditional Arabic" w:hAnsi="Traditional Arabic"/>
          <w:rtl/>
        </w:rPr>
        <w:t xml:space="preserve"> شرعي</w:t>
      </w:r>
      <w:r w:rsidRPr="00C85F0F">
        <w:rPr>
          <w:rFonts w:ascii="Traditional Arabic" w:hAnsi="Traditional Arabic" w:hint="cs"/>
          <w:rtl/>
        </w:rPr>
        <w:t>ٍّ</w:t>
      </w:r>
      <w:r w:rsidRPr="00C85F0F">
        <w:rPr>
          <w:rFonts w:ascii="Traditional Arabic" w:hAnsi="Traditional Arabic"/>
          <w:rtl/>
        </w:rPr>
        <w:t>، فإنه يُرج</w:t>
      </w:r>
      <w:r w:rsidRPr="00C85F0F">
        <w:rPr>
          <w:rFonts w:ascii="Traditional Arabic" w:hAnsi="Traditional Arabic" w:hint="cs"/>
          <w:rtl/>
        </w:rPr>
        <w:t>َ</w:t>
      </w:r>
      <w:r w:rsidRPr="00C85F0F">
        <w:rPr>
          <w:rFonts w:ascii="Traditional Arabic" w:hAnsi="Traditional Arabic"/>
          <w:rtl/>
        </w:rPr>
        <w:t>ع فيه إلى العُرف</w:t>
      </w:r>
      <w:r w:rsidRPr="00C85F0F">
        <w:rPr>
          <w:rStyle w:val="af1"/>
          <w:szCs w:val="32"/>
          <w:rtl/>
        </w:rPr>
        <w:t>(</w:t>
      </w:r>
      <w:r w:rsidRPr="00C85F0F">
        <w:rPr>
          <w:rStyle w:val="af1"/>
          <w:szCs w:val="32"/>
          <w:rtl/>
        </w:rPr>
        <w:footnoteReference w:id="496"/>
      </w:r>
      <w:r w:rsidRPr="00C85F0F">
        <w:rPr>
          <w:rStyle w:val="af1"/>
          <w:szCs w:val="32"/>
          <w:rtl/>
        </w:rPr>
        <w:t>)</w:t>
      </w:r>
      <w:r w:rsidRPr="00C85F0F">
        <w:rPr>
          <w:rFonts w:ascii="Traditional Arabic" w:hAnsi="Traditional Arabic" w:hint="cs"/>
          <w:rtl/>
        </w:rPr>
        <w:t>.</w:t>
      </w:r>
    </w:p>
    <w:p w:rsidR="00657189" w:rsidRPr="00C85F0F" w:rsidRDefault="00657189" w:rsidP="000A76C7">
      <w:pPr>
        <w:pStyle w:val="afc"/>
        <w:numPr>
          <w:ilvl w:val="0"/>
          <w:numId w:val="85"/>
        </w:numPr>
        <w:rPr>
          <w:rFonts w:ascii="Traditional Arabic" w:hAnsi="Traditional Arabic"/>
        </w:rPr>
      </w:pPr>
      <w:r w:rsidRPr="00C85F0F">
        <w:rPr>
          <w:rFonts w:ascii="Traditional Arabic" w:hAnsi="Traditional Arabic" w:hint="cs"/>
          <w:rtl/>
        </w:rPr>
        <w:t>كل ما أطلقه الشرع وليس له ضابط شرعي، فإنه يُرجع في تحديده إلى العرف</w:t>
      </w:r>
      <w:r w:rsidRPr="00C85F0F">
        <w:rPr>
          <w:rStyle w:val="af1"/>
          <w:szCs w:val="32"/>
          <w:rtl/>
        </w:rPr>
        <w:t>(</w:t>
      </w:r>
      <w:r w:rsidRPr="00C85F0F">
        <w:rPr>
          <w:rStyle w:val="af1"/>
          <w:szCs w:val="32"/>
          <w:rtl/>
        </w:rPr>
        <w:footnoteReference w:id="497"/>
      </w:r>
      <w:r w:rsidRPr="00C85F0F">
        <w:rPr>
          <w:rStyle w:val="af1"/>
          <w:szCs w:val="32"/>
          <w:rtl/>
        </w:rPr>
        <w:t>)</w:t>
      </w:r>
      <w:r w:rsidRPr="00C85F0F">
        <w:rPr>
          <w:rFonts w:ascii="Traditional Arabic" w:hAnsi="Traditional Arabic" w:hint="cs"/>
          <w:rtl/>
        </w:rPr>
        <w:t>.</w:t>
      </w:r>
    </w:p>
    <w:p w:rsidR="00657189" w:rsidRPr="00C85F0F" w:rsidRDefault="00657189" w:rsidP="00597C20">
      <w:pPr>
        <w:rPr>
          <w:rFonts w:ascii="Traditional Arabic" w:hAnsi="Traditional Arabic"/>
          <w:rtl/>
        </w:rPr>
      </w:pPr>
      <w:r w:rsidRPr="00C85F0F">
        <w:rPr>
          <w:rFonts w:ascii="Traditional Arabic" w:hAnsi="Traditional Arabic" w:hint="cs"/>
          <w:rtl/>
        </w:rPr>
        <w:lastRenderedPageBreak/>
        <w:t>و وردت هذه القاعدة عند علماء القواعد بعدة صيغ، منها:</w:t>
      </w:r>
    </w:p>
    <w:p w:rsidR="00657189" w:rsidRPr="00C85F0F" w:rsidRDefault="00657189" w:rsidP="000A76C7">
      <w:pPr>
        <w:pStyle w:val="afc"/>
        <w:numPr>
          <w:ilvl w:val="0"/>
          <w:numId w:val="86"/>
        </w:numPr>
        <w:rPr>
          <w:rFonts w:ascii="Traditional Arabic" w:hAnsi="Traditional Arabic"/>
        </w:rPr>
      </w:pPr>
      <w:r w:rsidRPr="00C85F0F">
        <w:rPr>
          <w:rFonts w:ascii="Traditional Arabic" w:hAnsi="Traditional Arabic" w:hint="cs"/>
          <w:rtl/>
        </w:rPr>
        <w:t>كلُّ اسمٍ ليس له حَدٌّ في اللغة ولا في الشرع، فالمرجِعُ فيه إلى العُرف</w:t>
      </w:r>
      <w:r w:rsidRPr="00C85F0F">
        <w:rPr>
          <w:rStyle w:val="af1"/>
          <w:szCs w:val="32"/>
          <w:rtl/>
        </w:rPr>
        <w:t>(</w:t>
      </w:r>
      <w:r w:rsidRPr="00C85F0F">
        <w:rPr>
          <w:rStyle w:val="af1"/>
          <w:szCs w:val="32"/>
          <w:rtl/>
        </w:rPr>
        <w:footnoteReference w:id="498"/>
      </w:r>
      <w:r w:rsidRPr="00C85F0F">
        <w:rPr>
          <w:rStyle w:val="af1"/>
          <w:szCs w:val="32"/>
          <w:rtl/>
        </w:rPr>
        <w:t>)</w:t>
      </w:r>
      <w:r w:rsidRPr="00C85F0F">
        <w:rPr>
          <w:rFonts w:ascii="Traditional Arabic" w:hAnsi="Traditional Arabic" w:hint="cs"/>
          <w:rtl/>
        </w:rPr>
        <w:t>.</w:t>
      </w:r>
    </w:p>
    <w:p w:rsidR="00657189" w:rsidRPr="00C85F0F" w:rsidRDefault="00657189" w:rsidP="000A76C7">
      <w:pPr>
        <w:pStyle w:val="afc"/>
        <w:numPr>
          <w:ilvl w:val="0"/>
          <w:numId w:val="86"/>
        </w:numPr>
        <w:rPr>
          <w:rFonts w:ascii="Traditional Arabic" w:hAnsi="Traditional Arabic"/>
        </w:rPr>
      </w:pPr>
      <w:r w:rsidRPr="00C85F0F">
        <w:rPr>
          <w:rFonts w:ascii="Traditional Arabic" w:hAnsi="Traditional Arabic" w:hint="cs"/>
          <w:rtl/>
        </w:rPr>
        <w:t>ما لم يُقَدِّرْهُ الشارعُ فإنه يُرجع فيه إلى العُرف</w:t>
      </w:r>
      <w:r w:rsidRPr="00C85F0F">
        <w:rPr>
          <w:rStyle w:val="af1"/>
          <w:szCs w:val="32"/>
          <w:rtl/>
        </w:rPr>
        <w:t>(</w:t>
      </w:r>
      <w:r w:rsidRPr="00C85F0F">
        <w:rPr>
          <w:rStyle w:val="af1"/>
          <w:szCs w:val="32"/>
          <w:rtl/>
        </w:rPr>
        <w:footnoteReference w:id="499"/>
      </w:r>
      <w:r w:rsidRPr="00C85F0F">
        <w:rPr>
          <w:rStyle w:val="af1"/>
          <w:szCs w:val="32"/>
          <w:rtl/>
        </w:rPr>
        <w:t>)</w:t>
      </w:r>
      <w:r w:rsidRPr="00C85F0F">
        <w:rPr>
          <w:rFonts w:ascii="Traditional Arabic" w:hAnsi="Traditional Arabic" w:hint="cs"/>
          <w:rtl/>
        </w:rPr>
        <w:t>.</w:t>
      </w:r>
    </w:p>
    <w:p w:rsidR="00657189" w:rsidRPr="00C85F0F" w:rsidRDefault="00657189" w:rsidP="000A76C7">
      <w:pPr>
        <w:pStyle w:val="afc"/>
        <w:numPr>
          <w:ilvl w:val="0"/>
          <w:numId w:val="86"/>
        </w:numPr>
        <w:rPr>
          <w:rFonts w:ascii="Traditional Arabic" w:hAnsi="Traditional Arabic"/>
        </w:rPr>
      </w:pPr>
      <w:r w:rsidRPr="00C85F0F">
        <w:rPr>
          <w:rFonts w:ascii="Traditional Arabic" w:hAnsi="Traditional Arabic" w:hint="cs"/>
          <w:rtl/>
        </w:rPr>
        <w:t>ما لم يقدِّره الله ورسوله من الحقوق الواجبة فالمرجِع فيه إلى العُرف</w:t>
      </w:r>
      <w:r w:rsidRPr="00C85F0F">
        <w:rPr>
          <w:rStyle w:val="af1"/>
          <w:szCs w:val="32"/>
          <w:rtl/>
        </w:rPr>
        <w:t>(</w:t>
      </w:r>
      <w:r w:rsidRPr="00C85F0F">
        <w:rPr>
          <w:rStyle w:val="af1"/>
          <w:szCs w:val="32"/>
          <w:rtl/>
        </w:rPr>
        <w:footnoteReference w:id="500"/>
      </w:r>
      <w:r w:rsidRPr="00C85F0F">
        <w:rPr>
          <w:rStyle w:val="af1"/>
          <w:szCs w:val="32"/>
          <w:rtl/>
        </w:rPr>
        <w:t>)</w:t>
      </w:r>
      <w:r w:rsidRPr="00C85F0F">
        <w:rPr>
          <w:rFonts w:ascii="Traditional Arabic" w:hAnsi="Traditional Arabic" w:hint="cs"/>
          <w:rtl/>
        </w:rPr>
        <w:t>.</w:t>
      </w:r>
    </w:p>
    <w:p w:rsidR="00657189" w:rsidRPr="00C85F0F" w:rsidRDefault="00657189" w:rsidP="000A76C7">
      <w:pPr>
        <w:pStyle w:val="afc"/>
        <w:numPr>
          <w:ilvl w:val="0"/>
          <w:numId w:val="86"/>
        </w:numPr>
        <w:rPr>
          <w:rFonts w:ascii="Traditional Arabic" w:hAnsi="Traditional Arabic"/>
        </w:rPr>
      </w:pPr>
      <w:r w:rsidRPr="00C85F0F">
        <w:rPr>
          <w:rFonts w:ascii="Traditional Arabic" w:hAnsi="Traditional Arabic" w:hint="cs"/>
          <w:rtl/>
        </w:rPr>
        <w:t>ما ليس له ضابِطٌ في اللغة ولا في الشرع يُرجَع فيه إلى العرف</w:t>
      </w:r>
      <w:r w:rsidRPr="00C85F0F">
        <w:rPr>
          <w:rStyle w:val="af1"/>
          <w:szCs w:val="32"/>
          <w:rtl/>
        </w:rPr>
        <w:t>(</w:t>
      </w:r>
      <w:r w:rsidRPr="00C85F0F">
        <w:rPr>
          <w:rStyle w:val="af1"/>
          <w:szCs w:val="32"/>
          <w:rtl/>
        </w:rPr>
        <w:footnoteReference w:id="501"/>
      </w:r>
      <w:r w:rsidRPr="00C85F0F">
        <w:rPr>
          <w:rStyle w:val="af1"/>
          <w:szCs w:val="32"/>
          <w:rtl/>
        </w:rPr>
        <w:t>)</w:t>
      </w:r>
      <w:r w:rsidRPr="00C85F0F">
        <w:rPr>
          <w:rFonts w:ascii="Traditional Arabic" w:hAnsi="Traditional Arabic" w:hint="cs"/>
          <w:rtl/>
        </w:rPr>
        <w:t>.</w:t>
      </w:r>
    </w:p>
    <w:p w:rsidR="00657189" w:rsidRPr="00C85F0F" w:rsidRDefault="00657189" w:rsidP="000A76C7">
      <w:pPr>
        <w:pStyle w:val="afc"/>
        <w:numPr>
          <w:ilvl w:val="0"/>
          <w:numId w:val="86"/>
        </w:numPr>
        <w:rPr>
          <w:rFonts w:ascii="Traditional Arabic" w:hAnsi="Traditional Arabic"/>
          <w:color w:val="auto"/>
        </w:rPr>
      </w:pPr>
      <w:r w:rsidRPr="00C85F0F">
        <w:rPr>
          <w:rFonts w:ascii="Traditional Arabic" w:hAnsi="Traditional Arabic"/>
          <w:noProof w:val="0"/>
          <w:color w:val="auto"/>
          <w:rtl/>
          <w:lang w:eastAsia="en-US"/>
        </w:rPr>
        <w:t>كل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 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به الشرع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طلقا</w:t>
      </w:r>
      <w:r w:rsidRPr="00C85F0F">
        <w:rPr>
          <w:rFonts w:ascii="Traditional Arabic" w:hAnsi="Traditional Arabic" w:hint="cs"/>
          <w:noProof w:val="0"/>
          <w:color w:val="auto"/>
          <w:rtl/>
          <w:lang w:eastAsia="en-US"/>
        </w:rPr>
        <w:t>ً</w:t>
      </w:r>
      <w:r w:rsidR="00B76414" w:rsidRPr="00C85F0F">
        <w:rPr>
          <w:rFonts w:ascii="Traditional Arabic" w:hAnsi="Traditional Arabic"/>
          <w:noProof w:val="0"/>
          <w:color w:val="auto"/>
          <w:rtl/>
          <w:lang w:eastAsia="en-US"/>
        </w:rPr>
        <w:t>،</w:t>
      </w:r>
      <w:r w:rsidRPr="00C85F0F">
        <w:rPr>
          <w:rFonts w:ascii="Traditional Arabic" w:hAnsi="Traditional Arabic"/>
          <w:noProof w:val="0"/>
          <w:color w:val="auto"/>
          <w:rtl/>
          <w:lang w:eastAsia="en-US"/>
        </w:rPr>
        <w:t>ولا ضاب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له فيه</w:t>
      </w:r>
      <w:r w:rsidR="00B76414" w:rsidRPr="00C85F0F">
        <w:rPr>
          <w:rFonts w:ascii="Traditional Arabic" w:hAnsi="Traditional Arabic"/>
          <w:noProof w:val="0"/>
          <w:color w:val="auto"/>
          <w:rtl/>
          <w:lang w:eastAsia="en-US"/>
        </w:rPr>
        <w:t>،</w:t>
      </w:r>
      <w:r w:rsidRPr="00C85F0F">
        <w:rPr>
          <w:rFonts w:ascii="Traditional Arabic" w:hAnsi="Traditional Arabic"/>
          <w:noProof w:val="0"/>
          <w:color w:val="auto"/>
          <w:rtl/>
          <w:lang w:eastAsia="en-US"/>
        </w:rPr>
        <w:t xml:space="preserve"> ولا في اللغة</w:t>
      </w:r>
      <w:r w:rsidR="00B76414" w:rsidRPr="00C85F0F">
        <w:rPr>
          <w:rFonts w:ascii="Traditional Arabic" w:hAnsi="Traditional Arabic"/>
          <w:noProof w:val="0"/>
          <w:color w:val="auto"/>
          <w:rtl/>
          <w:lang w:eastAsia="en-US"/>
        </w:rPr>
        <w:t>،</w:t>
      </w:r>
      <w:r w:rsidRPr="00C85F0F">
        <w:rPr>
          <w:rFonts w:ascii="Traditional Arabic" w:hAnsi="Traditional Arabic"/>
          <w:noProof w:val="0"/>
          <w:color w:val="auto"/>
          <w:rtl/>
          <w:lang w:eastAsia="en-US"/>
        </w:rPr>
        <w:t xml:space="preserve">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رج</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فيه إلى الع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رف</w:t>
      </w:r>
      <w:r w:rsidRPr="00C85F0F">
        <w:rPr>
          <w:rStyle w:val="af1"/>
          <w:szCs w:val="32"/>
          <w:rtl/>
        </w:rPr>
        <w:t>(</w:t>
      </w:r>
      <w:r w:rsidRPr="00C85F0F">
        <w:rPr>
          <w:rStyle w:val="af1"/>
          <w:szCs w:val="32"/>
          <w:rtl/>
        </w:rPr>
        <w:footnoteReference w:id="502"/>
      </w:r>
      <w:r w:rsidRPr="00C85F0F">
        <w:rPr>
          <w:rStyle w:val="af1"/>
          <w:szCs w:val="32"/>
          <w:rtl/>
        </w:rPr>
        <w:t>)</w:t>
      </w:r>
      <w:r w:rsidRPr="00C85F0F">
        <w:rPr>
          <w:rFonts w:ascii="Traditional Arabic" w:hAnsi="Traditional Arabic"/>
          <w:noProof w:val="0"/>
          <w:color w:val="auto"/>
          <w:rtl/>
          <w:lang w:eastAsia="en-US"/>
        </w:rPr>
        <w:t>.</w:t>
      </w:r>
    </w:p>
    <w:p w:rsidR="00657189" w:rsidRPr="00C85F0F" w:rsidRDefault="00657189" w:rsidP="000A76C7">
      <w:pPr>
        <w:pStyle w:val="afc"/>
        <w:numPr>
          <w:ilvl w:val="0"/>
          <w:numId w:val="86"/>
        </w:numPr>
        <w:rPr>
          <w:rFonts w:ascii="Traditional Arabic" w:hAnsi="Traditional Arabic"/>
        </w:rPr>
      </w:pPr>
      <w:r w:rsidRPr="00C85F0F">
        <w:rPr>
          <w:rFonts w:ascii="Traditional Arabic" w:hAnsi="Traditional Arabic" w:hint="cs"/>
          <w:rtl/>
        </w:rPr>
        <w:t>العرُف والعادة يُرجع إليه في كلِّ حُكْمٍ حَكَم به الشارع، ولم يَحُدَّهُ بحدٍّ</w:t>
      </w:r>
      <w:r w:rsidRPr="00C85F0F">
        <w:rPr>
          <w:rStyle w:val="af1"/>
          <w:szCs w:val="32"/>
          <w:rtl/>
        </w:rPr>
        <w:t>(</w:t>
      </w:r>
      <w:r w:rsidRPr="00C85F0F">
        <w:rPr>
          <w:rStyle w:val="af1"/>
          <w:szCs w:val="32"/>
          <w:rtl/>
        </w:rPr>
        <w:footnoteReference w:id="503"/>
      </w:r>
      <w:r w:rsidRPr="00C85F0F">
        <w:rPr>
          <w:rStyle w:val="af1"/>
          <w:szCs w:val="32"/>
          <w:rtl/>
        </w:rPr>
        <w:t>)</w:t>
      </w:r>
      <w:r w:rsidRPr="00C85F0F">
        <w:rPr>
          <w:rFonts w:ascii="Traditional Arabic" w:hAnsi="Traditional Arabic" w:hint="cs"/>
          <w:rtl/>
        </w:rPr>
        <w:t>.</w:t>
      </w:r>
    </w:p>
    <w:p w:rsidR="00657189" w:rsidRPr="00C85F0F" w:rsidRDefault="00657189" w:rsidP="000A76C7">
      <w:pPr>
        <w:pStyle w:val="afc"/>
        <w:numPr>
          <w:ilvl w:val="0"/>
          <w:numId w:val="86"/>
        </w:numPr>
        <w:rPr>
          <w:rFonts w:ascii="Traditional Arabic" w:hAnsi="Traditional Arabic"/>
        </w:rPr>
      </w:pPr>
      <w:r w:rsidRPr="00C85F0F">
        <w:rPr>
          <w:rFonts w:ascii="Traditional Arabic" w:hAnsi="Traditional Arabic" w:hint="cs"/>
          <w:rtl/>
        </w:rPr>
        <w:t>والعُرف مَعمولٌ به إذا وَرَدْحُكمٌ من الشرع الشريف لم يُحَدَّ</w:t>
      </w:r>
      <w:r w:rsidRPr="00C85F0F">
        <w:rPr>
          <w:rStyle w:val="af1"/>
          <w:szCs w:val="32"/>
          <w:rtl/>
        </w:rPr>
        <w:t>(</w:t>
      </w:r>
      <w:r w:rsidRPr="00C85F0F">
        <w:rPr>
          <w:rStyle w:val="af1"/>
          <w:szCs w:val="32"/>
          <w:rtl/>
        </w:rPr>
        <w:footnoteReference w:id="504"/>
      </w:r>
      <w:r w:rsidRPr="00C85F0F">
        <w:rPr>
          <w:rStyle w:val="af1"/>
          <w:szCs w:val="32"/>
          <w:rtl/>
        </w:rPr>
        <w:t>)</w:t>
      </w:r>
      <w:r w:rsidRPr="00C85F0F">
        <w:rPr>
          <w:rFonts w:ascii="Traditional Arabic" w:hAnsi="Traditional Arabic" w:hint="cs"/>
          <w:rtl/>
        </w:rPr>
        <w:t>.</w:t>
      </w:r>
    </w:p>
    <w:p w:rsidR="00657189" w:rsidRPr="00E63327" w:rsidRDefault="00AA4B3A" w:rsidP="00A8347C">
      <w:pPr>
        <w:pStyle w:val="aff3"/>
        <w:rPr>
          <w:rtl/>
        </w:rPr>
      </w:pPr>
      <w:bookmarkStart w:id="101" w:name="_Toc334046357"/>
      <w:r>
        <w:rPr>
          <w:rFonts w:hint="cs"/>
          <w:rtl/>
        </w:rPr>
        <w:t xml:space="preserve">                 </w:t>
      </w:r>
      <w:r w:rsidR="009A3809">
        <w:rPr>
          <w:rFonts w:hint="cs"/>
          <w:rtl/>
        </w:rPr>
        <w:t xml:space="preserve">                        </w:t>
      </w:r>
      <w:r>
        <w:rPr>
          <w:rFonts w:hint="cs"/>
          <w:rtl/>
        </w:rPr>
        <w:t xml:space="preserve"> </w:t>
      </w:r>
      <w:r w:rsidR="00657189" w:rsidRPr="00C85F0F">
        <w:rPr>
          <w:rFonts w:hint="cs"/>
          <w:rtl/>
        </w:rPr>
        <w:t>المطلب الثاني</w:t>
      </w:r>
      <w:r w:rsidR="00657189" w:rsidRPr="00C85F0F">
        <w:rPr>
          <w:rFonts w:hint="eastAsia"/>
          <w:rtl/>
        </w:rPr>
        <w:t> :</w:t>
      </w:r>
      <w:r w:rsidR="00657189" w:rsidRPr="00C85F0F">
        <w:rPr>
          <w:rFonts w:hint="cs"/>
          <w:rtl/>
        </w:rPr>
        <w:br/>
      </w:r>
      <w:r>
        <w:rPr>
          <w:rFonts w:hint="cs"/>
          <w:rtl/>
        </w:rPr>
        <w:t xml:space="preserve">                  </w:t>
      </w:r>
      <w:r w:rsidR="009A3809">
        <w:rPr>
          <w:rFonts w:hint="cs"/>
          <w:rtl/>
        </w:rPr>
        <w:t xml:space="preserve">                         </w:t>
      </w:r>
      <w:r w:rsidR="00657189" w:rsidRPr="00C85F0F">
        <w:rPr>
          <w:rFonts w:hint="cs"/>
          <w:rtl/>
        </w:rPr>
        <w:t>شرح القاعدة</w:t>
      </w:r>
      <w:bookmarkEnd w:id="101"/>
    </w:p>
    <w:p w:rsidR="00E51D72" w:rsidRDefault="00657189" w:rsidP="000F5C0F">
      <w:pPr>
        <w:pStyle w:val="53"/>
        <w:rPr>
          <w:b w:val="0"/>
          <w:rtl/>
        </w:rPr>
      </w:pPr>
      <w:r w:rsidRPr="000F5C0F">
        <w:rPr>
          <w:rFonts w:hint="cs"/>
          <w:rtl/>
        </w:rPr>
        <w:t>الحَدّ</w:t>
      </w:r>
      <w:r w:rsidR="00AB0B9E" w:rsidRPr="000F5C0F">
        <w:fldChar w:fldCharType="begin"/>
      </w:r>
      <w:r w:rsidR="00566AF9" w:rsidRPr="000F5C0F">
        <w:instrText>XE</w:instrText>
      </w:r>
      <w:r w:rsidR="00566AF9" w:rsidRPr="000F5C0F">
        <w:rPr>
          <w:rtl/>
        </w:rPr>
        <w:instrText xml:space="preserve"> "</w:instrText>
      </w:r>
      <w:r w:rsidR="00566AF9" w:rsidRPr="000F5C0F">
        <w:rPr>
          <w:rFonts w:hint="cs"/>
          <w:rtl/>
        </w:rPr>
        <w:instrText>الحَدّ</w:instrText>
      </w:r>
      <w:r w:rsidR="00566AF9" w:rsidRPr="000F5C0F">
        <w:rPr>
          <w:rtl/>
        </w:rPr>
        <w:instrText>" \</w:instrText>
      </w:r>
      <w:r w:rsidR="00566AF9" w:rsidRPr="000F5C0F">
        <w:instrText>fm</w:instrText>
      </w:r>
      <w:r w:rsidR="00AB0B9E" w:rsidRPr="000F5C0F">
        <w:fldChar w:fldCharType="end"/>
      </w:r>
      <w:r>
        <w:rPr>
          <w:rFonts w:hint="cs"/>
          <w:b w:val="0"/>
          <w:rtl/>
        </w:rPr>
        <w:t xml:space="preserve"> لغة:</w:t>
      </w:r>
    </w:p>
    <w:p w:rsidR="00657189" w:rsidRDefault="00657189" w:rsidP="00597C20">
      <w:pPr>
        <w:ind w:firstLine="720"/>
        <w:rPr>
          <w:rFonts w:ascii="Traditional Arabic" w:hAnsi="Traditional Arabic"/>
          <w:rtl/>
        </w:rPr>
      </w:pPr>
      <w:r>
        <w:rPr>
          <w:rFonts w:ascii="Traditional Arabic" w:hAnsi="Traditional Arabic" w:hint="cs"/>
          <w:rtl/>
        </w:rPr>
        <w:t>التمييز والفَصْل والمَنْع.</w:t>
      </w:r>
    </w:p>
    <w:p w:rsidR="00657189" w:rsidRDefault="00657189" w:rsidP="00597C20">
      <w:pPr>
        <w:ind w:firstLine="720"/>
        <w:rPr>
          <w:rFonts w:ascii="Traditional Arabic" w:hAnsi="Traditional Arabic"/>
          <w:rtl/>
        </w:rPr>
      </w:pPr>
      <w:r w:rsidRPr="00C830F9">
        <w:rPr>
          <w:rFonts w:ascii="Traditional Arabic" w:hAnsi="Traditional Arabic" w:hint="cs"/>
          <w:b/>
          <w:bCs/>
          <w:rtl/>
        </w:rPr>
        <w:t>فمن الأول</w:t>
      </w:r>
      <w:r>
        <w:rPr>
          <w:rFonts w:ascii="Traditional Arabic" w:hAnsi="Traditional Arabic" w:hint="cs"/>
          <w:rtl/>
        </w:rPr>
        <w:t>: حَدَدْتُ الدار حدّاً، أي: ميَّزتُها عن مُجاوِراتها بِذِكْرِ نِهاياتها.</w:t>
      </w:r>
    </w:p>
    <w:p w:rsidR="00F228A9" w:rsidRDefault="00657189" w:rsidP="00597C20">
      <w:pPr>
        <w:ind w:firstLine="720"/>
        <w:rPr>
          <w:rFonts w:ascii="Traditional Arabic" w:hAnsi="Traditional Arabic"/>
          <w:rtl/>
        </w:rPr>
      </w:pPr>
      <w:r w:rsidRPr="00C830F9">
        <w:rPr>
          <w:rFonts w:ascii="Traditional Arabic" w:hAnsi="Traditional Arabic" w:hint="cs"/>
          <w:b/>
          <w:bCs/>
          <w:rtl/>
        </w:rPr>
        <w:t>ومن الثاني</w:t>
      </w:r>
      <w:r>
        <w:rPr>
          <w:rFonts w:ascii="Traditional Arabic" w:hAnsi="Traditional Arabic" w:hint="cs"/>
          <w:rtl/>
        </w:rPr>
        <w:t>: قول الشاعر:</w:t>
      </w:r>
    </w:p>
    <w:p w:rsidR="00F228A9" w:rsidRDefault="00657189" w:rsidP="00597C20">
      <w:pPr>
        <w:ind w:firstLine="720"/>
        <w:rPr>
          <w:rFonts w:ascii="Traditional Arabic" w:hAnsi="Traditional Arabic"/>
          <w:rtl/>
        </w:rPr>
      </w:pPr>
      <w:r>
        <w:rPr>
          <w:rFonts w:ascii="Traditional Arabic" w:hAnsi="Traditional Arabic" w:hint="cs"/>
          <w:rtl/>
        </w:rPr>
        <w:t>وجاعِلِ الشمس حدّاً لا خَفاءَ به</w:t>
      </w:r>
      <w:r w:rsidR="00AA4B3A">
        <w:rPr>
          <w:rFonts w:ascii="Traditional Arabic" w:hAnsi="Traditional Arabic" w:hint="cs"/>
          <w:rtl/>
        </w:rPr>
        <w:t xml:space="preserve">       </w:t>
      </w:r>
      <w:r w:rsidR="00F11C35">
        <w:rPr>
          <w:rFonts w:ascii="Traditional Arabic" w:hAnsi="Traditional Arabic" w:hint="cs"/>
          <w:rtl/>
        </w:rPr>
        <w:t>بين النهار والليل</w:t>
      </w:r>
      <w:r>
        <w:rPr>
          <w:rFonts w:ascii="Traditional Arabic" w:hAnsi="Traditional Arabic" w:hint="cs"/>
          <w:rtl/>
        </w:rPr>
        <w:t xml:space="preserve"> قد فَصَلا</w:t>
      </w:r>
      <w:r w:rsidRPr="00C821A1">
        <w:rPr>
          <w:rStyle w:val="af1"/>
          <w:szCs w:val="32"/>
          <w:rtl/>
        </w:rPr>
        <w:t>(</w:t>
      </w:r>
      <w:r w:rsidRPr="00C821A1">
        <w:rPr>
          <w:rStyle w:val="af1"/>
          <w:szCs w:val="32"/>
          <w:rtl/>
        </w:rPr>
        <w:footnoteReference w:id="505"/>
      </w:r>
      <w:r w:rsidRPr="00C821A1">
        <w:rPr>
          <w:rStyle w:val="af1"/>
          <w:szCs w:val="32"/>
          <w:rtl/>
        </w:rPr>
        <w:t>)</w:t>
      </w:r>
    </w:p>
    <w:p w:rsidR="00F228A9" w:rsidRDefault="00657189" w:rsidP="00597C20">
      <w:pPr>
        <w:ind w:firstLine="720"/>
        <w:rPr>
          <w:rFonts w:ascii="Traditional Arabic" w:hAnsi="Traditional Arabic"/>
          <w:rtl/>
        </w:rPr>
      </w:pPr>
      <w:r w:rsidRPr="00C830F9">
        <w:rPr>
          <w:rFonts w:ascii="Traditional Arabic" w:hAnsi="Traditional Arabic" w:hint="cs"/>
          <w:b/>
          <w:bCs/>
          <w:rtl/>
        </w:rPr>
        <w:lastRenderedPageBreak/>
        <w:t>ومن الثالث</w:t>
      </w:r>
      <w:r>
        <w:rPr>
          <w:rFonts w:ascii="Traditional Arabic" w:hAnsi="Traditional Arabic" w:hint="cs"/>
          <w:rtl/>
        </w:rPr>
        <w:t>: حَدَدْتُه عن أَمْره، أي: مَنَعْتُه</w:t>
      </w:r>
      <w:r w:rsidRPr="00C821A1">
        <w:rPr>
          <w:rStyle w:val="af1"/>
          <w:szCs w:val="32"/>
          <w:rtl/>
        </w:rPr>
        <w:t>(</w:t>
      </w:r>
      <w:r w:rsidRPr="00C821A1">
        <w:rPr>
          <w:rStyle w:val="af1"/>
          <w:szCs w:val="32"/>
          <w:rtl/>
        </w:rPr>
        <w:footnoteReference w:id="506"/>
      </w:r>
      <w:r w:rsidRPr="00C821A1">
        <w:rPr>
          <w:rStyle w:val="af1"/>
          <w:szCs w:val="32"/>
          <w:rtl/>
        </w:rPr>
        <w:t>)</w:t>
      </w:r>
      <w:r>
        <w:rPr>
          <w:rFonts w:ascii="Traditional Arabic" w:hAnsi="Traditional Arabic" w:hint="cs"/>
          <w:rtl/>
        </w:rPr>
        <w:t>.</w:t>
      </w:r>
    </w:p>
    <w:p w:rsidR="00065E4B" w:rsidRDefault="00657189" w:rsidP="00C50EB9">
      <w:pPr>
        <w:ind w:firstLine="720"/>
        <w:jc w:val="highKashida"/>
        <w:rPr>
          <w:rFonts w:ascii="Traditional Arabic" w:hAnsi="Traditional Arabic"/>
          <w:rtl/>
        </w:rPr>
      </w:pPr>
      <w:r w:rsidRPr="00C144AD">
        <w:rPr>
          <w:rFonts w:ascii="Traditional Arabic" w:hAnsi="Traditional Arabic"/>
          <w:noProof w:val="0"/>
          <w:rtl/>
          <w:lang w:eastAsia="en-US"/>
        </w:rPr>
        <w:t>وحدود الله تعالى: م</w:t>
      </w:r>
      <w:r>
        <w:rPr>
          <w:rFonts w:ascii="Traditional Arabic" w:hAnsi="Traditional Arabic" w:hint="cs"/>
          <w:noProof w:val="0"/>
          <w:rtl/>
          <w:lang w:eastAsia="en-US"/>
        </w:rPr>
        <w:t>َ</w:t>
      </w:r>
      <w:r w:rsidRPr="00C144AD">
        <w:rPr>
          <w:rFonts w:ascii="Traditional Arabic" w:hAnsi="Traditional Arabic"/>
          <w:noProof w:val="0"/>
          <w:rtl/>
          <w:lang w:eastAsia="en-US"/>
        </w:rPr>
        <w:t>حار</w:t>
      </w:r>
      <w:r>
        <w:rPr>
          <w:rFonts w:ascii="Traditional Arabic" w:hAnsi="Traditional Arabic" w:hint="cs"/>
          <w:noProof w:val="0"/>
          <w:rtl/>
          <w:lang w:eastAsia="en-US"/>
        </w:rPr>
        <w:t>ِ</w:t>
      </w:r>
      <w:r>
        <w:rPr>
          <w:rFonts w:ascii="Traditional Arabic" w:hAnsi="Traditional Arabic"/>
          <w:noProof w:val="0"/>
          <w:rtl/>
          <w:lang w:eastAsia="en-US"/>
        </w:rPr>
        <w:t xml:space="preserve">مه، كقوله تعالى: </w:t>
      </w:r>
      <w:bookmarkStart w:id="102" w:name="سورة_البقرة_181"/>
      <w:r w:rsidRPr="00D96272">
        <w:rPr>
          <w:rFonts w:ascii="QCF_BSML" w:hAnsi="QCF_BSML" w:cs="QCF_BSML"/>
          <w:noProof w:val="0"/>
          <w:rtl/>
          <w:lang w:eastAsia="en-US"/>
        </w:rPr>
        <w:t>ﭽ</w:t>
      </w:r>
      <w:r w:rsidRPr="00D96272">
        <w:rPr>
          <w:rFonts w:ascii="QCF_P029" w:hAnsi="QCF_P029" w:cs="QCF_P029"/>
          <w:noProof w:val="0"/>
          <w:rtl/>
          <w:lang w:eastAsia="en-US"/>
        </w:rPr>
        <w:t>ﮍ</w:t>
      </w:r>
      <w:r w:rsidR="00AA4B3A">
        <w:rPr>
          <w:rFonts w:ascii="QCF_P029" w:hAnsi="QCF_P029" w:cs="QCF_P029" w:hint="cs"/>
          <w:noProof w:val="0"/>
          <w:rtl/>
          <w:lang w:eastAsia="en-US"/>
        </w:rPr>
        <w:t xml:space="preserve"> </w:t>
      </w:r>
      <w:r w:rsidRPr="00D96272">
        <w:rPr>
          <w:rFonts w:ascii="QCF_P029" w:hAnsi="QCF_P029" w:cs="QCF_P029"/>
          <w:noProof w:val="0"/>
          <w:rtl/>
          <w:lang w:eastAsia="en-US"/>
        </w:rPr>
        <w:t>ﮎ</w:t>
      </w:r>
      <w:r w:rsidR="00AA4B3A">
        <w:rPr>
          <w:rFonts w:ascii="QCF_P029" w:hAnsi="QCF_P029" w:cs="QCF_P029" w:hint="cs"/>
          <w:noProof w:val="0"/>
          <w:rtl/>
          <w:lang w:eastAsia="en-US"/>
        </w:rPr>
        <w:t xml:space="preserve"> </w:t>
      </w:r>
      <w:r w:rsidRPr="00D96272">
        <w:rPr>
          <w:rFonts w:ascii="QCF_P029" w:hAnsi="QCF_P029" w:cs="QCF_P029"/>
          <w:noProof w:val="0"/>
          <w:rtl/>
          <w:lang w:eastAsia="en-US"/>
        </w:rPr>
        <w:t>ﮏ</w:t>
      </w:r>
      <w:r w:rsidR="00AA4B3A">
        <w:rPr>
          <w:rFonts w:ascii="QCF_P029" w:hAnsi="QCF_P029" w:cs="QCF_P029" w:hint="cs"/>
          <w:noProof w:val="0"/>
          <w:rtl/>
          <w:lang w:eastAsia="en-US"/>
        </w:rPr>
        <w:t xml:space="preserve"> </w:t>
      </w:r>
      <w:r w:rsidRPr="00D96272">
        <w:rPr>
          <w:rFonts w:ascii="QCF_P029" w:hAnsi="QCF_P029" w:cs="QCF_P029"/>
          <w:noProof w:val="0"/>
          <w:rtl/>
          <w:lang w:eastAsia="en-US"/>
        </w:rPr>
        <w:t>ﮐ</w:t>
      </w:r>
      <w:r w:rsidR="00AA4B3A">
        <w:rPr>
          <w:rFonts w:ascii="QCF_P029" w:hAnsi="QCF_P029" w:cs="QCF_P029" w:hint="cs"/>
          <w:noProof w:val="0"/>
          <w:rtl/>
          <w:lang w:eastAsia="en-US"/>
        </w:rPr>
        <w:t xml:space="preserve"> </w:t>
      </w:r>
      <w:r w:rsidRPr="00D96272">
        <w:rPr>
          <w:rFonts w:ascii="QCF_P029" w:hAnsi="QCF_P029" w:cs="QCF_P029"/>
          <w:noProof w:val="0"/>
          <w:rtl/>
          <w:lang w:eastAsia="en-US"/>
        </w:rPr>
        <w:t>ﮑ</w:t>
      </w:r>
      <w:r w:rsidRPr="00D96272">
        <w:rPr>
          <w:rFonts w:ascii="QCF_BSML" w:hAnsi="QCF_BSML" w:cs="QCF_BSML"/>
          <w:noProof w:val="0"/>
          <w:rtl/>
          <w:lang w:eastAsia="en-US"/>
        </w:rPr>
        <w:t>ﭼ</w:t>
      </w:r>
      <w:bookmarkEnd w:id="102"/>
      <w:r>
        <w:rPr>
          <w:rFonts w:ascii="Traditional Arabic" w:hAnsi="Traditional Arabic"/>
          <w:noProof w:val="0"/>
          <w:rtl/>
          <w:lang w:eastAsia="en-US"/>
        </w:rPr>
        <w:t>[البقرة:</w:t>
      </w:r>
      <w:r>
        <w:rPr>
          <w:rFonts w:ascii="Traditional Arabic" w:hAnsi="Traditional Arabic" w:hint="cs"/>
          <w:noProof w:val="0"/>
          <w:rtl/>
          <w:lang w:eastAsia="en-US"/>
        </w:rPr>
        <w:t>181</w:t>
      </w:r>
      <w:r>
        <w:rPr>
          <w:rFonts w:ascii="Traditional Arabic" w:hAnsi="Traditional Arabic"/>
          <w:noProof w:val="0"/>
          <w:rtl/>
          <w:lang w:eastAsia="en-US"/>
        </w:rPr>
        <w:t>]</w:t>
      </w:r>
      <w:r>
        <w:rPr>
          <w:rFonts w:ascii="Traditional Arabic" w:hAnsi="Traditional Arabic" w:hint="cs"/>
          <w:noProof w:val="0"/>
          <w:rtl/>
          <w:lang w:eastAsia="en-US"/>
        </w:rPr>
        <w:t xml:space="preserve">، </w:t>
      </w:r>
      <w:r w:rsidRPr="00C144AD">
        <w:rPr>
          <w:rFonts w:ascii="Traditional Arabic" w:hAnsi="Traditional Arabic"/>
          <w:noProof w:val="0"/>
          <w:rtl/>
          <w:lang w:eastAsia="en-US"/>
        </w:rPr>
        <w:t>وحدود الله تعالى أيضاً: ما حَدَّهُ وَقدَّره؛ فلا يجوز أن ي</w:t>
      </w:r>
      <w:r>
        <w:rPr>
          <w:rFonts w:ascii="Traditional Arabic" w:hAnsi="Traditional Arabic" w:hint="cs"/>
          <w:noProof w:val="0"/>
          <w:rtl/>
          <w:lang w:eastAsia="en-US"/>
        </w:rPr>
        <w:t>ُ</w:t>
      </w:r>
      <w:r w:rsidRPr="00C144AD">
        <w:rPr>
          <w:rFonts w:ascii="Traditional Arabic" w:hAnsi="Traditional Arabic"/>
          <w:noProof w:val="0"/>
          <w:rtl/>
          <w:lang w:eastAsia="en-US"/>
        </w:rPr>
        <w:t>ت</w:t>
      </w:r>
      <w:r>
        <w:rPr>
          <w:rFonts w:ascii="Traditional Arabic" w:hAnsi="Traditional Arabic" w:hint="cs"/>
          <w:noProof w:val="0"/>
          <w:rtl/>
          <w:lang w:eastAsia="en-US"/>
        </w:rPr>
        <w:t>َ</w:t>
      </w:r>
      <w:r w:rsidRPr="00C144AD">
        <w:rPr>
          <w:rFonts w:ascii="Traditional Arabic" w:hAnsi="Traditional Arabic"/>
          <w:noProof w:val="0"/>
          <w:rtl/>
          <w:lang w:eastAsia="en-US"/>
        </w:rPr>
        <w:t>ع</w:t>
      </w:r>
      <w:r>
        <w:rPr>
          <w:rFonts w:ascii="Traditional Arabic" w:hAnsi="Traditional Arabic" w:hint="cs"/>
          <w:noProof w:val="0"/>
          <w:rtl/>
          <w:lang w:eastAsia="en-US"/>
        </w:rPr>
        <w:t>َ</w:t>
      </w:r>
      <w:r w:rsidRPr="00C144AD">
        <w:rPr>
          <w:rFonts w:ascii="Traditional Arabic" w:hAnsi="Traditional Arabic"/>
          <w:noProof w:val="0"/>
          <w:rtl/>
          <w:lang w:eastAsia="en-US"/>
        </w:rPr>
        <w:t>د</w:t>
      </w:r>
      <w:r>
        <w:rPr>
          <w:rFonts w:ascii="Traditional Arabic" w:hAnsi="Traditional Arabic" w:hint="cs"/>
          <w:noProof w:val="0"/>
          <w:rtl/>
          <w:lang w:eastAsia="en-US"/>
        </w:rPr>
        <w:t>َّ</w:t>
      </w:r>
      <w:r w:rsidRPr="00C144AD">
        <w:rPr>
          <w:rFonts w:ascii="Traditional Arabic" w:hAnsi="Traditional Arabic"/>
          <w:noProof w:val="0"/>
          <w:rtl/>
          <w:lang w:eastAsia="en-US"/>
        </w:rPr>
        <w:t>ى</w:t>
      </w:r>
      <w:r>
        <w:rPr>
          <w:rFonts w:ascii="Traditional Arabic" w:hAnsi="Traditional Arabic" w:hint="cs"/>
          <w:rtl/>
        </w:rPr>
        <w:t>.</w:t>
      </w:r>
    </w:p>
    <w:p w:rsidR="00065E4B" w:rsidRDefault="00AA4B3A" w:rsidP="00597C20">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sidRPr="00C144AD">
        <w:rPr>
          <w:rFonts w:ascii="Traditional Arabic" w:hAnsi="Traditional Arabic"/>
          <w:noProof w:val="0"/>
          <w:rtl/>
          <w:lang w:eastAsia="en-US"/>
        </w:rPr>
        <w:t>و</w:t>
      </w:r>
      <w:r w:rsidR="00657189" w:rsidRPr="00C144AD">
        <w:rPr>
          <w:rFonts w:ascii="Traditional Arabic" w:hAnsi="Traditional Arabic"/>
          <w:noProof w:val="0"/>
          <w:rtl/>
          <w:lang w:eastAsia="en-US"/>
        </w:rPr>
        <w:t>الحدود: الع</w:t>
      </w:r>
      <w:r w:rsidR="00657189">
        <w:rPr>
          <w:rFonts w:ascii="Traditional Arabic" w:hAnsi="Traditional Arabic" w:hint="cs"/>
          <w:noProof w:val="0"/>
          <w:rtl/>
          <w:lang w:eastAsia="en-US"/>
        </w:rPr>
        <w:t>ُ</w:t>
      </w:r>
      <w:r w:rsidR="00657189" w:rsidRPr="00C144AD">
        <w:rPr>
          <w:rFonts w:ascii="Traditional Arabic" w:hAnsi="Traditional Arabic"/>
          <w:noProof w:val="0"/>
          <w:rtl/>
          <w:lang w:eastAsia="en-US"/>
        </w:rPr>
        <w:t>قوبات المقد</w:t>
      </w:r>
      <w:r w:rsidR="00657189">
        <w:rPr>
          <w:rFonts w:ascii="Traditional Arabic" w:hAnsi="Traditional Arabic" w:hint="cs"/>
          <w:noProof w:val="0"/>
          <w:rtl/>
          <w:lang w:eastAsia="en-US"/>
        </w:rPr>
        <w:t>َّ</w:t>
      </w:r>
      <w:r w:rsidR="00657189" w:rsidRPr="00C144AD">
        <w:rPr>
          <w:rFonts w:ascii="Traditional Arabic" w:hAnsi="Traditional Arabic"/>
          <w:noProof w:val="0"/>
          <w:rtl/>
          <w:lang w:eastAsia="en-US"/>
        </w:rPr>
        <w:t>رة، يجوز أن تكون س</w:t>
      </w:r>
      <w:r w:rsidR="00657189">
        <w:rPr>
          <w:rFonts w:ascii="Traditional Arabic" w:hAnsi="Traditional Arabic" w:hint="cs"/>
          <w:noProof w:val="0"/>
          <w:rtl/>
          <w:lang w:eastAsia="en-US"/>
        </w:rPr>
        <w:t>ُ</w:t>
      </w:r>
      <w:r w:rsidR="00657189" w:rsidRPr="00C144AD">
        <w:rPr>
          <w:rFonts w:ascii="Traditional Arabic" w:hAnsi="Traditional Arabic"/>
          <w:noProof w:val="0"/>
          <w:rtl/>
          <w:lang w:eastAsia="en-US"/>
        </w:rPr>
        <w:t>م</w:t>
      </w:r>
      <w:r w:rsidR="00657189">
        <w:rPr>
          <w:rFonts w:ascii="Traditional Arabic" w:hAnsi="Traditional Arabic" w:hint="cs"/>
          <w:noProof w:val="0"/>
          <w:rtl/>
          <w:lang w:eastAsia="en-US"/>
        </w:rPr>
        <w:t>ِّ</w:t>
      </w:r>
      <w:r w:rsidR="00657189" w:rsidRPr="00C144AD">
        <w:rPr>
          <w:rFonts w:ascii="Traditional Arabic" w:hAnsi="Traditional Arabic"/>
          <w:noProof w:val="0"/>
          <w:rtl/>
          <w:lang w:eastAsia="en-US"/>
        </w:rPr>
        <w:t>يت</w:t>
      </w:r>
      <w:r w:rsidR="00657189">
        <w:rPr>
          <w:rFonts w:ascii="Traditional Arabic" w:hAnsi="Traditional Arabic" w:hint="cs"/>
          <w:noProof w:val="0"/>
          <w:rtl/>
          <w:lang w:eastAsia="en-US"/>
        </w:rPr>
        <w:t>ْ</w:t>
      </w:r>
      <w:r w:rsidR="00F11C35">
        <w:rPr>
          <w:rFonts w:ascii="Traditional Arabic" w:hAnsi="Traditional Arabic" w:hint="cs"/>
          <w:noProof w:val="0"/>
          <w:rtl/>
          <w:lang w:eastAsia="en-US"/>
        </w:rPr>
        <w:t xml:space="preserve"> </w:t>
      </w:r>
      <w:r w:rsidR="00657189">
        <w:rPr>
          <w:rFonts w:ascii="Traditional Arabic" w:hAnsi="Traditional Arabic" w:hint="cs"/>
          <w:noProof w:val="0"/>
          <w:rtl/>
          <w:lang w:eastAsia="en-US"/>
        </w:rPr>
        <w:t>بذلك؛</w:t>
      </w:r>
      <w:r w:rsidR="00657189" w:rsidRPr="00C144AD">
        <w:rPr>
          <w:rFonts w:ascii="Traditional Arabic" w:hAnsi="Traditional Arabic"/>
          <w:noProof w:val="0"/>
          <w:rtl/>
          <w:lang w:eastAsia="en-US"/>
        </w:rPr>
        <w:t xml:space="preserve"> لكونها مقد</w:t>
      </w:r>
      <w:r w:rsidR="00657189">
        <w:rPr>
          <w:rFonts w:ascii="Traditional Arabic" w:hAnsi="Traditional Arabic" w:hint="cs"/>
          <w:noProof w:val="0"/>
          <w:rtl/>
          <w:lang w:eastAsia="en-US"/>
        </w:rPr>
        <w:t>َّ</w:t>
      </w:r>
      <w:r w:rsidR="00657189" w:rsidRPr="00C144AD">
        <w:rPr>
          <w:rFonts w:ascii="Traditional Arabic" w:hAnsi="Traditional Arabic"/>
          <w:noProof w:val="0"/>
          <w:rtl/>
          <w:lang w:eastAsia="en-US"/>
        </w:rPr>
        <w:t>ر</w:t>
      </w:r>
      <w:r w:rsidR="00657189">
        <w:rPr>
          <w:rFonts w:ascii="Traditional Arabic" w:hAnsi="Traditional Arabic" w:hint="cs"/>
          <w:noProof w:val="0"/>
          <w:rtl/>
          <w:lang w:eastAsia="en-US"/>
        </w:rPr>
        <w:t>َ</w:t>
      </w:r>
      <w:r w:rsidR="00657189" w:rsidRPr="00C144AD">
        <w:rPr>
          <w:rFonts w:ascii="Traditional Arabic" w:hAnsi="Traditional Arabic"/>
          <w:noProof w:val="0"/>
          <w:rtl/>
          <w:lang w:eastAsia="en-US"/>
        </w:rPr>
        <w:t>ة</w:t>
      </w:r>
      <w:r w:rsidR="00657189">
        <w:rPr>
          <w:rFonts w:ascii="Traditional Arabic" w:hAnsi="Traditional Arabic" w:hint="cs"/>
          <w:noProof w:val="0"/>
          <w:rtl/>
          <w:lang w:eastAsia="en-US"/>
        </w:rPr>
        <w:t>ً</w:t>
      </w:r>
      <w:r w:rsidR="00657189" w:rsidRPr="00C144AD">
        <w:rPr>
          <w:rFonts w:ascii="Traditional Arabic" w:hAnsi="Traditional Arabic"/>
          <w:noProof w:val="0"/>
          <w:rtl/>
          <w:lang w:eastAsia="en-US"/>
        </w:rPr>
        <w:t>، لا يجوز فيها الزيادة، ولا الن</w:t>
      </w:r>
      <w:r w:rsidR="00657189">
        <w:rPr>
          <w:rFonts w:ascii="Traditional Arabic" w:hAnsi="Traditional Arabic" w:hint="cs"/>
          <w:noProof w:val="0"/>
          <w:rtl/>
          <w:lang w:eastAsia="en-US"/>
        </w:rPr>
        <w:t>ُّ</w:t>
      </w:r>
      <w:r w:rsidR="00657189" w:rsidRPr="00C144AD">
        <w:rPr>
          <w:rFonts w:ascii="Traditional Arabic" w:hAnsi="Traditional Arabic"/>
          <w:noProof w:val="0"/>
          <w:rtl/>
          <w:lang w:eastAsia="en-US"/>
        </w:rPr>
        <w:t>ق</w:t>
      </w:r>
      <w:r w:rsidR="00657189">
        <w:rPr>
          <w:rFonts w:ascii="Traditional Arabic" w:hAnsi="Traditional Arabic" w:hint="cs"/>
          <w:noProof w:val="0"/>
          <w:rtl/>
          <w:lang w:eastAsia="en-US"/>
        </w:rPr>
        <w:t>ْ</w:t>
      </w:r>
      <w:r w:rsidR="00657189" w:rsidRPr="00C144AD">
        <w:rPr>
          <w:rFonts w:ascii="Traditional Arabic" w:hAnsi="Traditional Arabic"/>
          <w:noProof w:val="0"/>
          <w:rtl/>
          <w:lang w:eastAsia="en-US"/>
        </w:rPr>
        <w:t>صان</w:t>
      </w:r>
      <w:r w:rsidR="00657189" w:rsidRPr="00C821A1">
        <w:rPr>
          <w:rStyle w:val="af1"/>
          <w:szCs w:val="32"/>
          <w:rtl/>
        </w:rPr>
        <w:t>(</w:t>
      </w:r>
      <w:r w:rsidR="00657189" w:rsidRPr="00C821A1">
        <w:rPr>
          <w:rStyle w:val="af1"/>
          <w:szCs w:val="32"/>
          <w:rtl/>
        </w:rPr>
        <w:footnoteReference w:id="507"/>
      </w:r>
      <w:r w:rsidR="00657189" w:rsidRPr="00C821A1">
        <w:rPr>
          <w:rStyle w:val="af1"/>
          <w:szCs w:val="32"/>
          <w:rtl/>
        </w:rPr>
        <w:t>)</w:t>
      </w:r>
      <w:r w:rsidR="00657189" w:rsidRPr="00C144AD">
        <w:rPr>
          <w:rFonts w:ascii="Traditional Arabic" w:hAnsi="Traditional Arabic"/>
          <w:noProof w:val="0"/>
          <w:rtl/>
          <w:lang w:eastAsia="en-US"/>
        </w:rPr>
        <w:t>.</w:t>
      </w:r>
    </w:p>
    <w:p w:rsidR="00065E4B" w:rsidRDefault="00065E4B" w:rsidP="000F5C0F">
      <w:pPr>
        <w:pStyle w:val="53"/>
        <w:rPr>
          <w:rtl/>
        </w:rPr>
      </w:pPr>
      <w:r>
        <w:rPr>
          <w:rFonts w:hint="cs"/>
          <w:rtl/>
        </w:rPr>
        <w:t>م</w:t>
      </w:r>
      <w:r w:rsidR="00657189">
        <w:rPr>
          <w:rFonts w:hint="cs"/>
          <w:rtl/>
        </w:rPr>
        <w:t>عنى القاعدة إجمالا:</w:t>
      </w:r>
    </w:p>
    <w:p w:rsidR="00065E4B" w:rsidRDefault="009A3809" w:rsidP="00597C20">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Pr>
          <w:rFonts w:ascii="Traditional Arabic" w:hAnsi="Traditional Arabic" w:hint="cs"/>
          <w:noProof w:val="0"/>
          <w:rtl/>
          <w:lang w:eastAsia="en-US"/>
        </w:rPr>
        <w:t>ه</w:t>
      </w:r>
      <w:r w:rsidR="00657189">
        <w:rPr>
          <w:rFonts w:ascii="Traditional Arabic" w:hAnsi="Traditional Arabic" w:hint="cs"/>
          <w:noProof w:val="0"/>
          <w:rtl/>
          <w:lang w:eastAsia="en-US"/>
        </w:rPr>
        <w:t xml:space="preserve">ذه القاعدة من القواعد المهمة التي تنفع في أبواب كثيرة في الفقه، ومعناها أن كل </w:t>
      </w:r>
      <w:r w:rsidR="00657189">
        <w:rPr>
          <w:rFonts w:hint="cs"/>
          <w:rtl/>
        </w:rPr>
        <w:t>ما جاء في الكتاب والسنة مُطْلَقاً من غيرِ تحديدٍ بِزَمَنٍ أو مكانٍ أو عَدَدٍ أو صِفَةٍ، فإنه يُرْجَع في</w:t>
      </w:r>
      <w:r w:rsidR="00AA4B3A">
        <w:rPr>
          <w:rFonts w:hint="cs"/>
          <w:rtl/>
        </w:rPr>
        <w:t xml:space="preserve"> </w:t>
      </w:r>
      <w:r w:rsidR="00657189">
        <w:rPr>
          <w:rFonts w:hint="cs"/>
          <w:rtl/>
        </w:rPr>
        <w:t>تحديده إلى العُرف</w:t>
      </w:r>
      <w:r w:rsidR="00657189">
        <w:rPr>
          <w:rFonts w:ascii="Traditional Arabic" w:hAnsi="Traditional Arabic" w:hint="cs"/>
          <w:noProof w:val="0"/>
          <w:rtl/>
          <w:lang w:eastAsia="en-US"/>
        </w:rPr>
        <w:t>؛ لأن المطلَق يُحْمَل على ما يَتعارَفُه المخاطَبون بينهم.</w:t>
      </w:r>
    </w:p>
    <w:p w:rsidR="00657189" w:rsidRDefault="009A3809" w:rsidP="00597C20">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065E4B">
        <w:rPr>
          <w:rFonts w:ascii="Traditional Arabic" w:hAnsi="Traditional Arabic" w:hint="cs"/>
          <w:noProof w:val="0"/>
          <w:rtl/>
          <w:lang w:eastAsia="en-US"/>
        </w:rPr>
        <w:t>و</w:t>
      </w:r>
      <w:r w:rsidR="00657189">
        <w:rPr>
          <w:rFonts w:ascii="Traditional Arabic" w:hAnsi="Traditional Arabic" w:hint="cs"/>
          <w:noProof w:val="0"/>
          <w:rtl/>
          <w:lang w:eastAsia="en-US"/>
        </w:rPr>
        <w:t>ليُعْلَمْ أن الألفاظ إذا أُطْلقَتْ فلا تخْلو من إحدى حالات ثلاث:</w:t>
      </w:r>
    </w:p>
    <w:p w:rsidR="00657189" w:rsidRDefault="00657189" w:rsidP="000A76C7">
      <w:pPr>
        <w:pStyle w:val="afc"/>
        <w:widowControl/>
        <w:numPr>
          <w:ilvl w:val="0"/>
          <w:numId w:val="87"/>
        </w:numPr>
        <w:autoSpaceDE w:val="0"/>
        <w:autoSpaceDN w:val="0"/>
        <w:adjustRightInd w:val="0"/>
        <w:jc w:val="left"/>
        <w:rPr>
          <w:rFonts w:ascii="Traditional Arabic" w:hAnsi="Traditional Arabic"/>
          <w:noProof w:val="0"/>
          <w:lang w:eastAsia="en-US"/>
        </w:rPr>
      </w:pPr>
      <w:r>
        <w:rPr>
          <w:rFonts w:ascii="Traditional Arabic" w:hAnsi="Traditional Arabic" w:hint="cs"/>
          <w:noProof w:val="0"/>
          <w:rtl/>
          <w:lang w:eastAsia="en-US"/>
        </w:rPr>
        <w:t>إما أن يكون النص قد بيَّن أن المرجع في ذلك إلى العُرف،</w:t>
      </w:r>
      <w:r w:rsidR="009A3809">
        <w:rPr>
          <w:rFonts w:ascii="Traditional Arabic" w:hAnsi="Traditional Arabic" w:hint="cs"/>
          <w:noProof w:val="0"/>
          <w:rtl/>
          <w:lang w:eastAsia="en-US"/>
        </w:rPr>
        <w:t xml:space="preserve"> </w:t>
      </w:r>
      <w:r>
        <w:rPr>
          <w:rFonts w:ascii="Traditional Arabic" w:hAnsi="Traditional Arabic" w:hint="cs"/>
          <w:noProof w:val="0"/>
          <w:rtl/>
          <w:lang w:eastAsia="en-US"/>
        </w:rPr>
        <w:t>فهنا نرجِع للعرف.</w:t>
      </w:r>
    </w:p>
    <w:p w:rsidR="00657189" w:rsidRDefault="00657189" w:rsidP="000A76C7">
      <w:pPr>
        <w:pStyle w:val="afc"/>
        <w:widowControl/>
        <w:numPr>
          <w:ilvl w:val="0"/>
          <w:numId w:val="87"/>
        </w:numPr>
        <w:autoSpaceDE w:val="0"/>
        <w:autoSpaceDN w:val="0"/>
        <w:adjustRightInd w:val="0"/>
        <w:rPr>
          <w:rFonts w:ascii="Traditional Arabic" w:hAnsi="Traditional Arabic"/>
          <w:noProof w:val="0"/>
          <w:lang w:eastAsia="en-US"/>
        </w:rPr>
      </w:pPr>
      <w:r>
        <w:rPr>
          <w:rFonts w:ascii="Traditional Arabic" w:hAnsi="Traditional Arabic" w:hint="cs"/>
          <w:noProof w:val="0"/>
          <w:rtl/>
          <w:lang w:eastAsia="en-US"/>
        </w:rPr>
        <w:t>وإما أن يكون النص قد بيَّن أن المرجع في ذلك إلى الشرع، فهنا نرجِع إلى الشرع.</w:t>
      </w:r>
    </w:p>
    <w:p w:rsidR="00F228A9" w:rsidRDefault="00657189" w:rsidP="000A76C7">
      <w:pPr>
        <w:pStyle w:val="afc"/>
        <w:widowControl/>
        <w:numPr>
          <w:ilvl w:val="0"/>
          <w:numId w:val="87"/>
        </w:numPr>
        <w:autoSpaceDE w:val="0"/>
        <w:autoSpaceDN w:val="0"/>
        <w:adjustRightInd w:val="0"/>
        <w:jc w:val="left"/>
        <w:rPr>
          <w:rFonts w:ascii="Traditional Arabic" w:hAnsi="Traditional Arabic"/>
          <w:noProof w:val="0"/>
          <w:lang w:eastAsia="en-US"/>
        </w:rPr>
      </w:pPr>
      <w:r>
        <w:rPr>
          <w:rFonts w:ascii="Traditional Arabic" w:hAnsi="Traditional Arabic" w:hint="cs"/>
          <w:noProof w:val="0"/>
          <w:rtl/>
          <w:lang w:eastAsia="en-US"/>
        </w:rPr>
        <w:t>وإما أن لا نعلم هذا ولا هذا، فيُرجع إلى العُرف</w:t>
      </w:r>
      <w:r w:rsidRPr="00C821A1">
        <w:rPr>
          <w:rStyle w:val="af1"/>
          <w:szCs w:val="32"/>
          <w:rtl/>
        </w:rPr>
        <w:t>(</w:t>
      </w:r>
      <w:r w:rsidRPr="00C821A1">
        <w:rPr>
          <w:rStyle w:val="af1"/>
          <w:szCs w:val="32"/>
          <w:rtl/>
        </w:rPr>
        <w:footnoteReference w:id="508"/>
      </w:r>
      <w:r w:rsidRPr="00C821A1">
        <w:rPr>
          <w:rStyle w:val="af1"/>
          <w:szCs w:val="32"/>
          <w:rtl/>
        </w:rPr>
        <w:t>)</w:t>
      </w:r>
      <w:r>
        <w:rPr>
          <w:rFonts w:ascii="Traditional Arabic" w:hAnsi="Traditional Arabic" w:hint="cs"/>
          <w:noProof w:val="0"/>
          <w:rtl/>
          <w:lang w:eastAsia="en-US"/>
        </w:rPr>
        <w:t>.</w:t>
      </w:r>
    </w:p>
    <w:p w:rsidR="00657189" w:rsidRDefault="00657189" w:rsidP="00597C20">
      <w:pPr>
        <w:widowControl/>
        <w:autoSpaceDE w:val="0"/>
        <w:autoSpaceDN w:val="0"/>
        <w:adjustRightInd w:val="0"/>
        <w:ind w:left="360" w:firstLine="0"/>
        <w:rPr>
          <w:rFonts w:ascii="Traditional Arabic" w:hAnsi="Traditional Arabic"/>
          <w:noProof w:val="0"/>
          <w:rtl/>
          <w:lang w:eastAsia="en-US"/>
        </w:rPr>
      </w:pPr>
      <w:r>
        <w:rPr>
          <w:rFonts w:ascii="Traditional Arabic" w:hAnsi="Traditional Arabic" w:hint="cs"/>
          <w:noProof w:val="0"/>
          <w:rtl/>
          <w:lang w:eastAsia="en-US"/>
        </w:rPr>
        <w:t>والأسماء التي لها حدود في كلام الله ورسوله تنقسم إلى ثلاثة أنواع:</w:t>
      </w:r>
    </w:p>
    <w:p w:rsidR="00657189" w:rsidRPr="00317471" w:rsidRDefault="00657189" w:rsidP="000A76C7">
      <w:pPr>
        <w:pStyle w:val="afc"/>
        <w:widowControl/>
        <w:numPr>
          <w:ilvl w:val="0"/>
          <w:numId w:val="88"/>
        </w:numPr>
        <w:autoSpaceDE w:val="0"/>
        <w:autoSpaceDN w:val="0"/>
        <w:adjustRightInd w:val="0"/>
        <w:rPr>
          <w:rFonts w:ascii="Traditional Arabic" w:hAnsi="Traditional Arabic"/>
          <w:noProof w:val="0"/>
          <w:color w:val="auto"/>
          <w:rtl/>
          <w:lang w:eastAsia="en-US"/>
        </w:rPr>
      </w:pPr>
      <w:r w:rsidRPr="00326B7C">
        <w:rPr>
          <w:rFonts w:ascii="Traditional Arabic" w:hAnsi="Traditional Arabic"/>
          <w:b/>
          <w:bCs/>
          <w:noProof w:val="0"/>
          <w:color w:val="auto"/>
          <w:rtl/>
          <w:lang w:eastAsia="en-US"/>
        </w:rPr>
        <w:lastRenderedPageBreak/>
        <w:t>نوع</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 xml:space="preserve"> له حد</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 xml:space="preserve"> في اللغة</w:t>
      </w:r>
      <w:r w:rsidRPr="00317471">
        <w:rPr>
          <w:rFonts w:ascii="Traditional Arabic" w:hAnsi="Traditional Arabic"/>
          <w:noProof w:val="0"/>
          <w:color w:val="auto"/>
          <w:rtl/>
          <w:lang w:eastAsia="en-US"/>
        </w:rPr>
        <w:t xml:space="preserve"> كالشمس والقمر والب</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ر</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 xml:space="preserve"> والبحر والليل والنهار، فم</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ن ح</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ل هذه الأسماء على غير م</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سم</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اها أو خ</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ص</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 xml:space="preserve">ها </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ب</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بعضه أو أ</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خ</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ر</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ج منها بعض</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ه فقد تعد</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ى حدود</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ها.</w:t>
      </w:r>
    </w:p>
    <w:p w:rsidR="00657189" w:rsidRPr="00317471" w:rsidRDefault="00657189" w:rsidP="000A76C7">
      <w:pPr>
        <w:pStyle w:val="afc"/>
        <w:widowControl/>
        <w:numPr>
          <w:ilvl w:val="0"/>
          <w:numId w:val="88"/>
        </w:numPr>
        <w:autoSpaceDE w:val="0"/>
        <w:autoSpaceDN w:val="0"/>
        <w:adjustRightInd w:val="0"/>
        <w:rPr>
          <w:rFonts w:ascii="Traditional Arabic" w:hAnsi="Traditional Arabic"/>
          <w:noProof w:val="0"/>
          <w:color w:val="auto"/>
          <w:rtl/>
          <w:lang w:eastAsia="en-US"/>
        </w:rPr>
      </w:pPr>
      <w:r w:rsidRPr="00326B7C">
        <w:rPr>
          <w:rFonts w:ascii="Traditional Arabic" w:hAnsi="Traditional Arabic"/>
          <w:b/>
          <w:bCs/>
          <w:noProof w:val="0"/>
          <w:color w:val="auto"/>
          <w:rtl/>
          <w:lang w:eastAsia="en-US"/>
        </w:rPr>
        <w:t>ونوع</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 xml:space="preserve"> له حد</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 xml:space="preserve"> في الشرع</w:t>
      </w:r>
      <w:r w:rsidRPr="00317471">
        <w:rPr>
          <w:rFonts w:ascii="Traditional Arabic" w:hAnsi="Traditional Arabic"/>
          <w:noProof w:val="0"/>
          <w:color w:val="auto"/>
          <w:rtl/>
          <w:lang w:eastAsia="en-US"/>
        </w:rPr>
        <w:t xml:space="preserve"> كالصلاة والصيام والحج والزكاة ونظائر</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ها، فح</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كمها في ت</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ناو</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لها ل</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سم</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ياتها الشرعية كح</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كم النوع الأول في تناو</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له لمسم</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اه الل</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غ</w:t>
      </w:r>
      <w:r>
        <w:rPr>
          <w:rFonts w:ascii="Traditional Arabic" w:hAnsi="Traditional Arabic" w:hint="cs"/>
          <w:noProof w:val="0"/>
          <w:color w:val="auto"/>
          <w:rtl/>
          <w:lang w:eastAsia="en-US"/>
        </w:rPr>
        <w:t>َ</w:t>
      </w:r>
      <w:r w:rsidRPr="00317471">
        <w:rPr>
          <w:rFonts w:ascii="Traditional Arabic" w:hAnsi="Traditional Arabic"/>
          <w:noProof w:val="0"/>
          <w:color w:val="auto"/>
          <w:rtl/>
          <w:lang w:eastAsia="en-US"/>
        </w:rPr>
        <w:t>وي.</w:t>
      </w:r>
    </w:p>
    <w:p w:rsidR="00657189" w:rsidRPr="00317471" w:rsidRDefault="00657189" w:rsidP="000A76C7">
      <w:pPr>
        <w:pStyle w:val="afc"/>
        <w:widowControl/>
        <w:numPr>
          <w:ilvl w:val="0"/>
          <w:numId w:val="88"/>
        </w:numPr>
        <w:autoSpaceDE w:val="0"/>
        <w:autoSpaceDN w:val="0"/>
        <w:adjustRightInd w:val="0"/>
        <w:rPr>
          <w:rFonts w:ascii="Traditional Arabic" w:hAnsi="Traditional Arabic"/>
          <w:noProof w:val="0"/>
          <w:color w:val="auto"/>
          <w:rtl/>
          <w:lang w:eastAsia="en-US"/>
        </w:rPr>
      </w:pPr>
      <w:r w:rsidRPr="00326B7C">
        <w:rPr>
          <w:rFonts w:ascii="Traditional Arabic" w:hAnsi="Traditional Arabic"/>
          <w:b/>
          <w:bCs/>
          <w:noProof w:val="0"/>
          <w:color w:val="auto"/>
          <w:rtl/>
          <w:lang w:eastAsia="en-US"/>
        </w:rPr>
        <w:t>ونوع</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 xml:space="preserve"> له حد</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 xml:space="preserve"> في الع</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رف لم ي</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ح</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د</w:t>
      </w:r>
      <w:r w:rsidRPr="00326B7C">
        <w:rPr>
          <w:rFonts w:ascii="Traditional Arabic" w:hAnsi="Traditional Arabic" w:hint="cs"/>
          <w:b/>
          <w:bCs/>
          <w:noProof w:val="0"/>
          <w:color w:val="auto"/>
          <w:rtl/>
          <w:lang w:eastAsia="en-US"/>
        </w:rPr>
        <w:t>َّ</w:t>
      </w:r>
      <w:r w:rsidRPr="00326B7C">
        <w:rPr>
          <w:rFonts w:ascii="Traditional Arabic" w:hAnsi="Traditional Arabic"/>
          <w:b/>
          <w:bCs/>
          <w:noProof w:val="0"/>
          <w:color w:val="auto"/>
          <w:rtl/>
          <w:lang w:eastAsia="en-US"/>
        </w:rPr>
        <w:t>ه الله ورسوله</w:t>
      </w:r>
      <w:r w:rsidR="00F11C35">
        <w:rPr>
          <w:rFonts w:ascii="Traditional Arabic" w:hAnsi="Traditional Arabic" w:hint="cs"/>
          <w:b/>
          <w:bCs/>
          <w:noProof w:val="0"/>
          <w:rtl/>
          <w:lang w:eastAsia="en-US"/>
        </w:rPr>
        <w:t xml:space="preserve"> </w:t>
      </w:r>
      <w:r w:rsidRPr="00326B7C">
        <w:rPr>
          <w:rFonts w:ascii="Traditional Arabic" w:hAnsi="Traditional Arabic"/>
          <w:b/>
          <w:bCs/>
          <w:noProof w:val="0"/>
          <w:rtl/>
          <w:lang w:eastAsia="en-US"/>
        </w:rPr>
        <w:t>ب</w:t>
      </w:r>
      <w:r w:rsidRPr="00326B7C">
        <w:rPr>
          <w:rFonts w:ascii="Traditional Arabic" w:hAnsi="Traditional Arabic" w:hint="cs"/>
          <w:b/>
          <w:bCs/>
          <w:noProof w:val="0"/>
          <w:rtl/>
          <w:lang w:eastAsia="en-US"/>
        </w:rPr>
        <w:t>ِ</w:t>
      </w:r>
      <w:r w:rsidRPr="00326B7C">
        <w:rPr>
          <w:rFonts w:ascii="Traditional Arabic" w:hAnsi="Traditional Arabic"/>
          <w:b/>
          <w:bCs/>
          <w:noProof w:val="0"/>
          <w:rtl/>
          <w:lang w:eastAsia="en-US"/>
        </w:rPr>
        <w:t>حد</w:t>
      </w:r>
      <w:r w:rsidRPr="00326B7C">
        <w:rPr>
          <w:rFonts w:ascii="Traditional Arabic" w:hAnsi="Traditional Arabic" w:hint="cs"/>
          <w:b/>
          <w:bCs/>
          <w:noProof w:val="0"/>
          <w:rtl/>
          <w:lang w:eastAsia="en-US"/>
        </w:rPr>
        <w:t>ٍّ</w:t>
      </w:r>
      <w:r w:rsidRPr="00326B7C">
        <w:rPr>
          <w:rFonts w:ascii="Traditional Arabic" w:hAnsi="Traditional Arabic"/>
          <w:b/>
          <w:bCs/>
          <w:noProof w:val="0"/>
          <w:rtl/>
          <w:lang w:eastAsia="en-US"/>
        </w:rPr>
        <w:t xml:space="preserve"> غير</w:t>
      </w:r>
      <w:r w:rsidRPr="00326B7C">
        <w:rPr>
          <w:rFonts w:ascii="Traditional Arabic" w:hAnsi="Traditional Arabic" w:hint="cs"/>
          <w:b/>
          <w:bCs/>
          <w:noProof w:val="0"/>
          <w:rtl/>
          <w:lang w:eastAsia="en-US"/>
        </w:rPr>
        <w:t>ِ</w:t>
      </w:r>
      <w:r w:rsidRPr="00326B7C">
        <w:rPr>
          <w:rFonts w:ascii="Traditional Arabic" w:hAnsi="Traditional Arabic"/>
          <w:b/>
          <w:bCs/>
          <w:noProof w:val="0"/>
          <w:rtl/>
          <w:lang w:eastAsia="en-US"/>
        </w:rPr>
        <w:t xml:space="preserve"> ال</w:t>
      </w:r>
      <w:r w:rsidRPr="00326B7C">
        <w:rPr>
          <w:rFonts w:ascii="Traditional Arabic" w:hAnsi="Traditional Arabic" w:hint="cs"/>
          <w:b/>
          <w:bCs/>
          <w:noProof w:val="0"/>
          <w:rtl/>
          <w:lang w:eastAsia="en-US"/>
        </w:rPr>
        <w:t>ْ</w:t>
      </w:r>
      <w:r w:rsidRPr="00326B7C">
        <w:rPr>
          <w:rFonts w:ascii="Traditional Arabic" w:hAnsi="Traditional Arabic"/>
          <w:b/>
          <w:bCs/>
          <w:noProof w:val="0"/>
          <w:rtl/>
          <w:lang w:eastAsia="en-US"/>
        </w:rPr>
        <w:t>م</w:t>
      </w:r>
      <w:r w:rsidRPr="00326B7C">
        <w:rPr>
          <w:rFonts w:ascii="Traditional Arabic" w:hAnsi="Traditional Arabic" w:hint="cs"/>
          <w:b/>
          <w:bCs/>
          <w:noProof w:val="0"/>
          <w:rtl/>
          <w:lang w:eastAsia="en-US"/>
        </w:rPr>
        <w:t>ُ</w:t>
      </w:r>
      <w:r w:rsidRPr="00326B7C">
        <w:rPr>
          <w:rFonts w:ascii="Traditional Arabic" w:hAnsi="Traditional Arabic"/>
          <w:b/>
          <w:bCs/>
          <w:noProof w:val="0"/>
          <w:rtl/>
          <w:lang w:eastAsia="en-US"/>
        </w:rPr>
        <w:t>تعار</w:t>
      </w:r>
      <w:r w:rsidRPr="00326B7C">
        <w:rPr>
          <w:rFonts w:ascii="Traditional Arabic" w:hAnsi="Traditional Arabic" w:hint="cs"/>
          <w:b/>
          <w:bCs/>
          <w:noProof w:val="0"/>
          <w:rtl/>
          <w:lang w:eastAsia="en-US"/>
        </w:rPr>
        <w:t>َ</w:t>
      </w:r>
      <w:r w:rsidRPr="00326B7C">
        <w:rPr>
          <w:rFonts w:ascii="Traditional Arabic" w:hAnsi="Traditional Arabic"/>
          <w:b/>
          <w:bCs/>
          <w:noProof w:val="0"/>
          <w:rtl/>
          <w:lang w:eastAsia="en-US"/>
        </w:rPr>
        <w:t>ف</w:t>
      </w:r>
      <w:r w:rsidRPr="00317471">
        <w:rPr>
          <w:rFonts w:ascii="Traditional Arabic" w:hAnsi="Traditional Arabic"/>
          <w:noProof w:val="0"/>
          <w:rtl/>
          <w:lang w:eastAsia="en-US"/>
        </w:rPr>
        <w:t xml:space="preserve">، </w:t>
      </w:r>
      <w:r w:rsidRPr="002E41BB">
        <w:rPr>
          <w:rFonts w:ascii="Traditional Arabic" w:hAnsi="Traditional Arabic"/>
          <w:b/>
          <w:bCs/>
          <w:noProof w:val="0"/>
          <w:rtl/>
          <w:lang w:eastAsia="en-US"/>
        </w:rPr>
        <w:t>ولا حد</w:t>
      </w:r>
      <w:r w:rsidRPr="002E41BB">
        <w:rPr>
          <w:rFonts w:ascii="Traditional Arabic" w:hAnsi="Traditional Arabic" w:hint="cs"/>
          <w:b/>
          <w:bCs/>
          <w:noProof w:val="0"/>
          <w:rtl/>
          <w:lang w:eastAsia="en-US"/>
        </w:rPr>
        <w:t>َّ</w:t>
      </w:r>
      <w:r w:rsidRPr="002E41BB">
        <w:rPr>
          <w:rFonts w:ascii="Traditional Arabic" w:hAnsi="Traditional Arabic"/>
          <w:b/>
          <w:bCs/>
          <w:noProof w:val="0"/>
          <w:rtl/>
          <w:lang w:eastAsia="en-US"/>
        </w:rPr>
        <w:t xml:space="preserve"> له في اللغة</w:t>
      </w:r>
      <w:r w:rsidRPr="00317471">
        <w:rPr>
          <w:rFonts w:ascii="Traditional Arabic" w:hAnsi="Traditional Arabic"/>
          <w:noProof w:val="0"/>
          <w:rtl/>
          <w:lang w:eastAsia="en-US"/>
        </w:rPr>
        <w:t xml:space="preserve"> كالسفر والمرض المبيح للترخ</w:t>
      </w:r>
      <w:r>
        <w:rPr>
          <w:rFonts w:ascii="Traditional Arabic" w:hAnsi="Traditional Arabic" w:hint="cs"/>
          <w:noProof w:val="0"/>
          <w:rtl/>
          <w:lang w:eastAsia="en-US"/>
        </w:rPr>
        <w:t>ُّ</w:t>
      </w:r>
      <w:r w:rsidRPr="00317471">
        <w:rPr>
          <w:rFonts w:ascii="Traditional Arabic" w:hAnsi="Traditional Arabic"/>
          <w:noProof w:val="0"/>
          <w:rtl/>
          <w:lang w:eastAsia="en-US"/>
        </w:rPr>
        <w:t>ص والتراضي المسو</w:t>
      </w:r>
      <w:r>
        <w:rPr>
          <w:rFonts w:ascii="Traditional Arabic" w:hAnsi="Traditional Arabic" w:hint="cs"/>
          <w:noProof w:val="0"/>
          <w:rtl/>
          <w:lang w:eastAsia="en-US"/>
        </w:rPr>
        <w:t>ِّ</w:t>
      </w:r>
      <w:r w:rsidRPr="00317471">
        <w:rPr>
          <w:rFonts w:ascii="Traditional Arabic" w:hAnsi="Traditional Arabic"/>
          <w:noProof w:val="0"/>
          <w:rtl/>
          <w:lang w:eastAsia="en-US"/>
        </w:rPr>
        <w:t>غ ل</w:t>
      </w:r>
      <w:r>
        <w:rPr>
          <w:rFonts w:ascii="Traditional Arabic" w:hAnsi="Traditional Arabic" w:hint="cs"/>
          <w:noProof w:val="0"/>
          <w:rtl/>
          <w:lang w:eastAsia="en-US"/>
        </w:rPr>
        <w:t>ِ</w:t>
      </w:r>
      <w:r w:rsidRPr="00317471">
        <w:rPr>
          <w:rFonts w:ascii="Traditional Arabic" w:hAnsi="Traditional Arabic"/>
          <w:noProof w:val="0"/>
          <w:rtl/>
          <w:lang w:eastAsia="en-US"/>
        </w:rPr>
        <w:t>ح</w:t>
      </w:r>
      <w:r>
        <w:rPr>
          <w:rFonts w:ascii="Traditional Arabic" w:hAnsi="Traditional Arabic" w:hint="cs"/>
          <w:noProof w:val="0"/>
          <w:rtl/>
          <w:lang w:eastAsia="en-US"/>
        </w:rPr>
        <w:t>ِ</w:t>
      </w:r>
      <w:r w:rsidRPr="00317471">
        <w:rPr>
          <w:rFonts w:ascii="Traditional Arabic" w:hAnsi="Traditional Arabic"/>
          <w:noProof w:val="0"/>
          <w:rtl/>
          <w:lang w:eastAsia="en-US"/>
        </w:rPr>
        <w:t>ل</w:t>
      </w:r>
      <w:r>
        <w:rPr>
          <w:rFonts w:ascii="Traditional Arabic" w:hAnsi="Traditional Arabic" w:hint="cs"/>
          <w:noProof w:val="0"/>
          <w:rtl/>
          <w:lang w:eastAsia="en-US"/>
        </w:rPr>
        <w:t>ِّ</w:t>
      </w:r>
      <w:r w:rsidRPr="00317471">
        <w:rPr>
          <w:rFonts w:ascii="Traditional Arabic" w:hAnsi="Traditional Arabic"/>
          <w:noProof w:val="0"/>
          <w:rtl/>
          <w:lang w:eastAsia="en-US"/>
        </w:rPr>
        <w:t xml:space="preserve"> التجارة والض</w:t>
      </w:r>
      <w:r>
        <w:rPr>
          <w:rFonts w:ascii="Traditional Arabic" w:hAnsi="Traditional Arabic" w:hint="cs"/>
          <w:noProof w:val="0"/>
          <w:rtl/>
          <w:lang w:eastAsia="en-US"/>
        </w:rPr>
        <w:t>ِّ</w:t>
      </w:r>
      <w:r w:rsidRPr="00317471">
        <w:rPr>
          <w:rFonts w:ascii="Traditional Arabic" w:hAnsi="Traditional Arabic"/>
          <w:noProof w:val="0"/>
          <w:rtl/>
          <w:lang w:eastAsia="en-US"/>
        </w:rPr>
        <w:t>رار المحر</w:t>
      </w:r>
      <w:r>
        <w:rPr>
          <w:rFonts w:ascii="Traditional Arabic" w:hAnsi="Traditional Arabic" w:hint="cs"/>
          <w:noProof w:val="0"/>
          <w:rtl/>
          <w:lang w:eastAsia="en-US"/>
        </w:rPr>
        <w:t>َّ</w:t>
      </w:r>
      <w:r w:rsidRPr="00317471">
        <w:rPr>
          <w:rFonts w:ascii="Traditional Arabic" w:hAnsi="Traditional Arabic"/>
          <w:noProof w:val="0"/>
          <w:rtl/>
          <w:lang w:eastAsia="en-US"/>
        </w:rPr>
        <w:t>م بين المسلمين، وأمثال ذلك، وهذا النوع في تناو</w:t>
      </w:r>
      <w:r>
        <w:rPr>
          <w:rFonts w:ascii="Traditional Arabic" w:hAnsi="Traditional Arabic" w:hint="cs"/>
          <w:noProof w:val="0"/>
          <w:rtl/>
          <w:lang w:eastAsia="en-US"/>
        </w:rPr>
        <w:t>ُ</w:t>
      </w:r>
      <w:r w:rsidRPr="00317471">
        <w:rPr>
          <w:rFonts w:ascii="Traditional Arabic" w:hAnsi="Traditional Arabic"/>
          <w:noProof w:val="0"/>
          <w:rtl/>
          <w:lang w:eastAsia="en-US"/>
        </w:rPr>
        <w:t>له لمسم</w:t>
      </w:r>
      <w:r>
        <w:rPr>
          <w:rFonts w:ascii="Traditional Arabic" w:hAnsi="Traditional Arabic" w:hint="cs"/>
          <w:noProof w:val="0"/>
          <w:rtl/>
          <w:lang w:eastAsia="en-US"/>
        </w:rPr>
        <w:t>ّ</w:t>
      </w:r>
      <w:r w:rsidRPr="00317471">
        <w:rPr>
          <w:rFonts w:ascii="Traditional Arabic" w:hAnsi="Traditional Arabic"/>
          <w:noProof w:val="0"/>
          <w:rtl/>
          <w:lang w:eastAsia="en-US"/>
        </w:rPr>
        <w:t>اه الع</w:t>
      </w:r>
      <w:r>
        <w:rPr>
          <w:rFonts w:ascii="Traditional Arabic" w:hAnsi="Traditional Arabic" w:hint="cs"/>
          <w:noProof w:val="0"/>
          <w:rtl/>
          <w:lang w:eastAsia="en-US"/>
        </w:rPr>
        <w:t>ُ</w:t>
      </w:r>
      <w:r w:rsidRPr="00317471">
        <w:rPr>
          <w:rFonts w:ascii="Traditional Arabic" w:hAnsi="Traditional Arabic"/>
          <w:noProof w:val="0"/>
          <w:rtl/>
          <w:lang w:eastAsia="en-US"/>
        </w:rPr>
        <w:t>رفي كالنوعين الآخرين في تناو</w:t>
      </w:r>
      <w:r>
        <w:rPr>
          <w:rFonts w:ascii="Traditional Arabic" w:hAnsi="Traditional Arabic" w:hint="cs"/>
          <w:noProof w:val="0"/>
          <w:rtl/>
          <w:lang w:eastAsia="en-US"/>
        </w:rPr>
        <w:t>ُ</w:t>
      </w:r>
      <w:r w:rsidRPr="00317471">
        <w:rPr>
          <w:rFonts w:ascii="Traditional Arabic" w:hAnsi="Traditional Arabic"/>
          <w:noProof w:val="0"/>
          <w:rtl/>
          <w:lang w:eastAsia="en-US"/>
        </w:rPr>
        <w:t>لهما لمسم</w:t>
      </w:r>
      <w:r>
        <w:rPr>
          <w:rFonts w:ascii="Traditional Arabic" w:hAnsi="Traditional Arabic" w:hint="cs"/>
          <w:noProof w:val="0"/>
          <w:rtl/>
          <w:lang w:eastAsia="en-US"/>
        </w:rPr>
        <w:t>ّ</w:t>
      </w:r>
      <w:r w:rsidRPr="00317471">
        <w:rPr>
          <w:rFonts w:ascii="Traditional Arabic" w:hAnsi="Traditional Arabic"/>
          <w:noProof w:val="0"/>
          <w:rtl/>
          <w:lang w:eastAsia="en-US"/>
        </w:rPr>
        <w:t>اهما</w:t>
      </w:r>
      <w:r w:rsidRPr="00C821A1">
        <w:rPr>
          <w:rStyle w:val="af1"/>
          <w:szCs w:val="32"/>
          <w:rtl/>
        </w:rPr>
        <w:t>(</w:t>
      </w:r>
      <w:r w:rsidRPr="00C821A1">
        <w:rPr>
          <w:rStyle w:val="af1"/>
          <w:szCs w:val="32"/>
          <w:rtl/>
        </w:rPr>
        <w:footnoteReference w:id="509"/>
      </w:r>
      <w:r w:rsidRPr="00C821A1">
        <w:rPr>
          <w:rStyle w:val="af1"/>
          <w:szCs w:val="32"/>
          <w:rtl/>
        </w:rPr>
        <w:t>)</w:t>
      </w:r>
      <w:r w:rsidRPr="00317471">
        <w:rPr>
          <w:rFonts w:ascii="Traditional Arabic" w:hAnsi="Traditional Arabic"/>
          <w:noProof w:val="0"/>
          <w:rtl/>
          <w:lang w:eastAsia="en-US"/>
        </w:rPr>
        <w:t>.</w:t>
      </w:r>
    </w:p>
    <w:p w:rsidR="00657189" w:rsidRPr="00A8347C" w:rsidRDefault="00AA4B3A" w:rsidP="00A8347C">
      <w:pPr>
        <w:pStyle w:val="aff3"/>
        <w:rPr>
          <w:rtl/>
        </w:rPr>
      </w:pPr>
      <w:bookmarkStart w:id="103" w:name="_Toc334046358"/>
      <w:r>
        <w:rPr>
          <w:rFonts w:hint="cs"/>
          <w:rtl/>
        </w:rPr>
        <w:t xml:space="preserve">                    </w:t>
      </w:r>
      <w:r w:rsidR="009A3809">
        <w:rPr>
          <w:rFonts w:hint="cs"/>
          <w:rtl/>
        </w:rPr>
        <w:t xml:space="preserve">                   </w:t>
      </w:r>
      <w:r w:rsidR="00657189" w:rsidRPr="00A8347C">
        <w:rPr>
          <w:rFonts w:hint="cs"/>
          <w:rtl/>
        </w:rPr>
        <w:t>المطلب الثالث</w:t>
      </w:r>
      <w:r w:rsidR="00657189" w:rsidRPr="00A8347C">
        <w:rPr>
          <w:rFonts w:hint="eastAsia"/>
          <w:rtl/>
        </w:rPr>
        <w:t> :</w:t>
      </w:r>
      <w:r w:rsidR="00657189" w:rsidRPr="00A8347C">
        <w:rPr>
          <w:rFonts w:hint="cs"/>
          <w:rtl/>
        </w:rPr>
        <w:br/>
      </w:r>
      <w:r w:rsidRPr="00A8347C">
        <w:rPr>
          <w:rFonts w:hint="cs"/>
          <w:rtl/>
        </w:rPr>
        <w:t xml:space="preserve">                   </w:t>
      </w:r>
      <w:r w:rsidR="00B84700" w:rsidRPr="00A8347C">
        <w:rPr>
          <w:rFonts w:hint="cs"/>
          <w:rtl/>
        </w:rPr>
        <w:t xml:space="preserve">                      </w:t>
      </w:r>
      <w:r w:rsidR="00230519">
        <w:rPr>
          <w:rFonts w:hint="cs"/>
          <w:rtl/>
        </w:rPr>
        <w:t xml:space="preserve"> </w:t>
      </w:r>
      <w:r w:rsidR="00F11C35">
        <w:rPr>
          <w:rFonts w:hint="cs"/>
          <w:rtl/>
        </w:rPr>
        <w:t>أدلة</w:t>
      </w:r>
      <w:r w:rsidR="00657189" w:rsidRPr="00A8347C">
        <w:rPr>
          <w:rFonts w:hint="cs"/>
          <w:rtl/>
        </w:rPr>
        <w:t xml:space="preserve"> القاعدة</w:t>
      </w:r>
      <w:bookmarkEnd w:id="103"/>
    </w:p>
    <w:p w:rsidR="009A3809" w:rsidRPr="00A8347C" w:rsidRDefault="00B84700" w:rsidP="00A8347C">
      <w:pPr>
        <w:pStyle w:val="aff3"/>
        <w:rPr>
          <w:rtl/>
        </w:rPr>
      </w:pPr>
      <w:r>
        <w:rPr>
          <w:rFonts w:hint="cs"/>
          <w:rtl/>
        </w:rPr>
        <w:t xml:space="preserve">    </w:t>
      </w:r>
      <w:r w:rsidR="009A3809" w:rsidRPr="00A8347C">
        <w:rPr>
          <w:rFonts w:hint="cs"/>
          <w:rtl/>
        </w:rPr>
        <w:t>ي</w:t>
      </w:r>
      <w:r w:rsidRPr="00A8347C">
        <w:rPr>
          <w:rFonts w:hint="cs"/>
          <w:rtl/>
        </w:rPr>
        <w:t>ُ</w:t>
      </w:r>
      <w:r w:rsidR="009A3809" w:rsidRPr="00A8347C">
        <w:rPr>
          <w:rFonts w:hint="cs"/>
          <w:rtl/>
        </w:rPr>
        <w:t xml:space="preserve">ستدل لهذه القاعدة بالأدلة </w:t>
      </w:r>
      <w:r w:rsidR="00230519">
        <w:rPr>
          <w:rFonts w:hint="cs"/>
          <w:rtl/>
        </w:rPr>
        <w:t>الدالة على اعتبار العرف عموما</w:t>
      </w:r>
      <w:r w:rsidRPr="00A8347C">
        <w:rPr>
          <w:rFonts w:hint="cs"/>
          <w:rtl/>
        </w:rPr>
        <w:t xml:space="preserve">، ويستدل لها </w:t>
      </w:r>
      <w:r w:rsidR="009A3809" w:rsidRPr="00A8347C">
        <w:rPr>
          <w:rFonts w:hint="cs"/>
          <w:rtl/>
        </w:rPr>
        <w:t>أيضا</w:t>
      </w:r>
      <w:r w:rsidRPr="00A8347C">
        <w:rPr>
          <w:rFonts w:hint="cs"/>
          <w:rtl/>
        </w:rPr>
        <w:t xml:space="preserve"> بما يلي</w:t>
      </w:r>
      <w:r w:rsidR="009A3809" w:rsidRPr="00A8347C">
        <w:rPr>
          <w:rFonts w:hint="cs"/>
          <w:rtl/>
        </w:rPr>
        <w:t xml:space="preserve">:    </w:t>
      </w:r>
    </w:p>
    <w:p w:rsidR="00065E4B" w:rsidRPr="00A243A5" w:rsidRDefault="00AA4B3A" w:rsidP="000A76C7">
      <w:pPr>
        <w:pStyle w:val="afc"/>
        <w:numPr>
          <w:ilvl w:val="0"/>
          <w:numId w:val="90"/>
        </w:numPr>
        <w:spacing w:line="640" w:lineRule="exact"/>
        <w:jc w:val="lowKashida"/>
        <w:rPr>
          <w:rFonts w:ascii="Traditional Arabic" w:hAnsi="Traditional Arabic"/>
          <w:rtl/>
        </w:rPr>
      </w:pPr>
      <w:r>
        <w:rPr>
          <w:rFonts w:ascii="Traditional Arabic" w:hAnsi="Traditional Arabic" w:hint="cs"/>
          <w:rtl/>
        </w:rPr>
        <w:t xml:space="preserve">       </w:t>
      </w:r>
      <w:r w:rsidR="00065E4B">
        <w:rPr>
          <w:rFonts w:ascii="Traditional Arabic" w:hAnsi="Traditional Arabic" w:hint="cs"/>
          <w:rtl/>
        </w:rPr>
        <w:t>ق</w:t>
      </w:r>
      <w:r w:rsidR="00657189">
        <w:rPr>
          <w:rFonts w:ascii="Traditional Arabic" w:hAnsi="Traditional Arabic" w:hint="cs"/>
          <w:rtl/>
        </w:rPr>
        <w:t>وله تعالى:</w:t>
      </w:r>
      <w:r w:rsidR="00657189" w:rsidRPr="00866055">
        <w:rPr>
          <w:rFonts w:ascii="QCF_BSML" w:hAnsi="QCF_BSML" w:cs="QCF_BSML"/>
          <w:noProof w:val="0"/>
          <w:rtl/>
          <w:lang w:eastAsia="en-US"/>
        </w:rPr>
        <w:t xml:space="preserve"> ﭽ</w:t>
      </w:r>
      <w:r w:rsidR="00657189" w:rsidRPr="00866055">
        <w:rPr>
          <w:rFonts w:ascii="QCF_P037" w:hAnsi="QCF_P037" w:cs="QCF_P037"/>
          <w:noProof w:val="0"/>
          <w:rtl/>
          <w:lang w:eastAsia="en-US"/>
        </w:rPr>
        <w:t>ﮪ</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ﮫ</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ﮬ</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ﮭ</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ﮮ</w:t>
      </w:r>
      <w:r>
        <w:rPr>
          <w:rFonts w:ascii="QCF_P037" w:hAnsi="QCF_P037" w:cs="QCF_P037" w:hint="cs"/>
          <w:noProof w:val="0"/>
          <w:rtl/>
          <w:lang w:eastAsia="en-US"/>
        </w:rPr>
        <w:t xml:space="preserve"> </w:t>
      </w:r>
      <w:r w:rsidR="00657189" w:rsidRPr="00866055">
        <w:rPr>
          <w:rFonts w:ascii="QCF_P037" w:hAnsi="QCF_P037" w:cs="QCF_P037"/>
          <w:noProof w:val="0"/>
          <w:color w:val="0000A5"/>
          <w:rtl/>
          <w:lang w:eastAsia="en-US"/>
        </w:rPr>
        <w:t>ﮯ</w:t>
      </w:r>
      <w:r w:rsidR="00657189" w:rsidRPr="00866055">
        <w:rPr>
          <w:rFonts w:ascii="QCF_P037" w:hAnsi="QCF_P037" w:cs="QCF_P037"/>
          <w:noProof w:val="0"/>
          <w:rtl/>
          <w:lang w:eastAsia="en-US"/>
        </w:rPr>
        <w:t>ﮰ</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ﮱ</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ﯓ</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ﯔ</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ﯕ</w:t>
      </w:r>
      <w:r>
        <w:rPr>
          <w:rFonts w:ascii="QCF_P037" w:hAnsi="QCF_P037" w:cs="QCF_P037" w:hint="cs"/>
          <w:noProof w:val="0"/>
          <w:rtl/>
          <w:lang w:eastAsia="en-US"/>
        </w:rPr>
        <w:t xml:space="preserve"> </w:t>
      </w:r>
      <w:r w:rsidR="00657189" w:rsidRPr="00866055">
        <w:rPr>
          <w:rFonts w:ascii="QCF_P037" w:hAnsi="QCF_P037" w:cs="QCF_P037"/>
          <w:noProof w:val="0"/>
          <w:color w:val="0000A5"/>
          <w:rtl/>
          <w:lang w:eastAsia="en-US"/>
        </w:rPr>
        <w:t>ﯖ</w:t>
      </w:r>
      <w:r w:rsidR="00657189" w:rsidRPr="00866055">
        <w:rPr>
          <w:rFonts w:ascii="QCF_P037" w:hAnsi="QCF_P037" w:cs="QCF_P037"/>
          <w:noProof w:val="0"/>
          <w:rtl/>
          <w:lang w:eastAsia="en-US"/>
        </w:rPr>
        <w:t>ﯗ</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ﯘ</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ﯙ</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ﯚ</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ﯛ</w:t>
      </w:r>
      <w:r>
        <w:rPr>
          <w:rFonts w:ascii="QCF_P037" w:hAnsi="QCF_P037" w:cs="QCF_P037" w:hint="cs"/>
          <w:noProof w:val="0"/>
          <w:rtl/>
          <w:lang w:eastAsia="en-US"/>
        </w:rPr>
        <w:t xml:space="preserve"> </w:t>
      </w:r>
      <w:r w:rsidR="00657189" w:rsidRPr="00866055">
        <w:rPr>
          <w:rFonts w:ascii="QCF_P037" w:hAnsi="QCF_P037" w:cs="QCF_P037"/>
          <w:noProof w:val="0"/>
          <w:rtl/>
          <w:lang w:eastAsia="en-US"/>
        </w:rPr>
        <w:t>ﯜ</w:t>
      </w:r>
      <w:r w:rsidR="00657189" w:rsidRPr="00866055">
        <w:rPr>
          <w:rFonts w:ascii="QCF_BSML" w:hAnsi="QCF_BSML" w:cs="QCF_BSML"/>
          <w:noProof w:val="0"/>
          <w:rtl/>
          <w:lang w:eastAsia="en-US"/>
        </w:rPr>
        <w:t>ﭼ</w:t>
      </w:r>
      <w:r w:rsidR="00657189">
        <w:rPr>
          <w:rFonts w:ascii="Traditional Arabic" w:hAnsi="Traditional Arabic" w:hint="cs"/>
          <w:noProof w:val="0"/>
          <w:color w:val="auto"/>
          <w:rtl/>
          <w:lang w:eastAsia="en-US"/>
        </w:rPr>
        <w:t>[</w:t>
      </w:r>
      <w:r w:rsidR="00657189" w:rsidRPr="00866055">
        <w:rPr>
          <w:rFonts w:ascii="Traditional Arabic" w:hAnsi="Traditional Arabic"/>
          <w:noProof w:val="0"/>
          <w:color w:val="auto"/>
          <w:rtl/>
          <w:lang w:eastAsia="en-US"/>
        </w:rPr>
        <w:t>البقرة: ٢٣٣</w:t>
      </w:r>
      <w:r w:rsidR="00657189">
        <w:rPr>
          <w:rFonts w:ascii="Traditional Arabic" w:hAnsi="Traditional Arabic" w:hint="cs"/>
          <w:noProof w:val="0"/>
          <w:color w:val="auto"/>
          <w:rtl/>
          <w:lang w:eastAsia="en-US"/>
        </w:rPr>
        <w:t>].</w:t>
      </w:r>
    </w:p>
    <w:p w:rsidR="00065E4B" w:rsidRDefault="00065E4B" w:rsidP="00597C20">
      <w:pPr>
        <w:pStyle w:val="53"/>
        <w:rPr>
          <w:rtl/>
        </w:rPr>
      </w:pPr>
      <w:r w:rsidRPr="00A869AA">
        <w:rPr>
          <w:rtl/>
        </w:rPr>
        <w:t>و</w:t>
      </w:r>
      <w:r w:rsidR="00657189" w:rsidRPr="00A869AA">
        <w:rPr>
          <w:rtl/>
        </w:rPr>
        <w:t>جه الدلالة:</w:t>
      </w:r>
    </w:p>
    <w:p w:rsidR="00065E4B" w:rsidRPr="00E51D72" w:rsidRDefault="00065E4B" w:rsidP="00597C20">
      <w:pPr>
        <w:spacing w:line="640" w:lineRule="exact"/>
        <w:ind w:firstLine="720"/>
        <w:jc w:val="lowKashida"/>
        <w:rPr>
          <w:rFonts w:ascii="Traditional Arabic" w:hAnsi="Traditional Arabic"/>
          <w:rtl/>
        </w:rPr>
      </w:pPr>
      <w:r w:rsidRPr="00E51D72">
        <w:rPr>
          <w:rFonts w:ascii="Traditional Arabic" w:hAnsi="Traditional Arabic"/>
          <w:rtl/>
        </w:rPr>
        <w:t>ي</w:t>
      </w:r>
      <w:r w:rsidR="00657189" w:rsidRPr="00E51D72">
        <w:rPr>
          <w:rFonts w:ascii="Traditional Arabic" w:hAnsi="Traditional Arabic"/>
          <w:rtl/>
        </w:rPr>
        <w:t>قول الشيخ ابن عثمين</w:t>
      </w:r>
      <w:r w:rsidR="00AA4B3A">
        <w:rPr>
          <w:rFonts w:ascii="Traditional Arabic" w:hAnsi="Traditional Arabic" w:hint="cs"/>
          <w:rtl/>
        </w:rPr>
        <w:t>_</w:t>
      </w:r>
      <w:r w:rsidR="009A0575" w:rsidRPr="005D5694">
        <w:rPr>
          <w:rFonts w:ascii="Traditional Arabic" w:hAnsi="Traditional Arabic" w:cs="CTraditional Arabic" w:hint="cs"/>
          <w:rtl/>
        </w:rPr>
        <w:t>/</w:t>
      </w:r>
      <w:r w:rsidR="00AA4B3A">
        <w:rPr>
          <w:rFonts w:ascii="Traditional Arabic" w:hAnsi="Traditional Arabic" w:hint="cs"/>
          <w:rtl/>
        </w:rPr>
        <w:t>_</w:t>
      </w:r>
      <w:r w:rsidR="00657189" w:rsidRPr="00E51D72">
        <w:rPr>
          <w:rFonts w:ascii="Traditional Arabic" w:hAnsi="Traditional Arabic"/>
          <w:rtl/>
        </w:rPr>
        <w:t>تعليقاً على هذه الآية : (أن العُرف مرجعٌ يُرجع إليه في الأحكام لقوله تعالى:</w:t>
      </w:r>
      <w:r w:rsidR="00657189" w:rsidRPr="00E51D72">
        <w:rPr>
          <w:rFonts w:ascii="QCF_BSML" w:hAnsi="QCF_BSML" w:cs="QCF_BSML"/>
          <w:noProof w:val="0"/>
          <w:rtl/>
          <w:lang w:eastAsia="en-US"/>
        </w:rPr>
        <w:t xml:space="preserve">ﭽ </w:t>
      </w:r>
      <w:r w:rsidR="00657189" w:rsidRPr="00E51D72">
        <w:rPr>
          <w:rFonts w:ascii="QCF_P027" w:hAnsi="QCF_P027" w:cs="QCF_P027"/>
          <w:noProof w:val="0"/>
          <w:rtl/>
          <w:lang w:eastAsia="en-US"/>
        </w:rPr>
        <w:t>ﯩ</w:t>
      </w:r>
      <w:r w:rsidR="00657189" w:rsidRPr="00E51D72">
        <w:rPr>
          <w:rFonts w:ascii="QCF_BSML" w:hAnsi="QCF_BSML" w:cs="QCF_BSML"/>
          <w:noProof w:val="0"/>
          <w:rtl/>
          <w:lang w:eastAsia="en-US"/>
        </w:rPr>
        <w:t>ﭼ</w:t>
      </w:r>
      <w:r w:rsidR="00657189" w:rsidRPr="00E51D72">
        <w:rPr>
          <w:rFonts w:ascii="Traditional Arabic" w:hAnsi="Traditional Arabic"/>
          <w:rtl/>
        </w:rPr>
        <w:t>، واعلم أن كل ما أتى في الكتاب والسنة مطلقاً بدون ق</w:t>
      </w:r>
      <w:r w:rsidR="00657189" w:rsidRPr="00E51D72">
        <w:rPr>
          <w:rFonts w:ascii="Traditional Arabic" w:hAnsi="Traditional Arabic" w:hint="cs"/>
          <w:rtl/>
        </w:rPr>
        <w:t>َ</w:t>
      </w:r>
      <w:r w:rsidR="00657189" w:rsidRPr="00E51D72">
        <w:rPr>
          <w:rFonts w:ascii="Traditional Arabic" w:hAnsi="Traditional Arabic"/>
          <w:rtl/>
        </w:rPr>
        <w:t>ي</w:t>
      </w:r>
      <w:r w:rsidR="00657189" w:rsidRPr="00E51D72">
        <w:rPr>
          <w:rFonts w:ascii="Traditional Arabic" w:hAnsi="Traditional Arabic" w:hint="cs"/>
          <w:rtl/>
        </w:rPr>
        <w:t>ْ</w:t>
      </w:r>
      <w:r w:rsidR="00657189" w:rsidRPr="00E51D72">
        <w:rPr>
          <w:rFonts w:ascii="Traditional Arabic" w:hAnsi="Traditional Arabic"/>
          <w:rtl/>
        </w:rPr>
        <w:t>د</w:t>
      </w:r>
      <w:r w:rsidR="00657189" w:rsidRPr="00E51D72">
        <w:rPr>
          <w:rFonts w:ascii="Traditional Arabic" w:hAnsi="Traditional Arabic" w:hint="cs"/>
          <w:rtl/>
        </w:rPr>
        <w:t>ٍ</w:t>
      </w:r>
      <w:r w:rsidR="00657189" w:rsidRPr="00E51D72">
        <w:rPr>
          <w:rFonts w:ascii="Traditional Arabic" w:hAnsi="Traditional Arabic"/>
          <w:rtl/>
        </w:rPr>
        <w:t xml:space="preserve"> </w:t>
      </w:r>
      <w:r w:rsidR="00657189" w:rsidRPr="00E51D72">
        <w:rPr>
          <w:rFonts w:ascii="Traditional Arabic" w:hAnsi="Traditional Arabic"/>
          <w:rtl/>
        </w:rPr>
        <w:lastRenderedPageBreak/>
        <w:t>شرعي</w:t>
      </w:r>
      <w:r w:rsidR="00657189" w:rsidRPr="00E51D72">
        <w:rPr>
          <w:rFonts w:ascii="Traditional Arabic" w:hAnsi="Traditional Arabic" w:hint="cs"/>
          <w:rtl/>
        </w:rPr>
        <w:t>ّ</w:t>
      </w:r>
      <w:r w:rsidR="00657189" w:rsidRPr="00E51D72">
        <w:rPr>
          <w:rFonts w:ascii="Traditional Arabic" w:hAnsi="Traditional Arabic"/>
          <w:rtl/>
        </w:rPr>
        <w:t>، فإنه يُرج</w:t>
      </w:r>
      <w:r w:rsidR="00657189" w:rsidRPr="00E51D72">
        <w:rPr>
          <w:rFonts w:ascii="Traditional Arabic" w:hAnsi="Traditional Arabic" w:hint="cs"/>
          <w:rtl/>
        </w:rPr>
        <w:t>َ</w:t>
      </w:r>
      <w:r w:rsidR="00657189" w:rsidRPr="00E51D72">
        <w:rPr>
          <w:rFonts w:ascii="Traditional Arabic" w:hAnsi="Traditional Arabic"/>
          <w:rtl/>
        </w:rPr>
        <w:t>ع فيه إلى العُرف)</w:t>
      </w:r>
      <w:r w:rsidR="00657189" w:rsidRPr="00C821A1">
        <w:rPr>
          <w:rFonts w:ascii="Traditional Arabic" w:hAnsi="Traditional Arabic"/>
          <w:szCs w:val="32"/>
          <w:vertAlign w:val="superscript"/>
          <w:rtl/>
        </w:rPr>
        <w:t>(</w:t>
      </w:r>
      <w:r w:rsidR="00657189" w:rsidRPr="00C821A1">
        <w:rPr>
          <w:rStyle w:val="af1"/>
          <w:rFonts w:ascii="Traditional Arabic" w:hAnsi="Traditional Arabic"/>
          <w:szCs w:val="32"/>
          <w:rtl/>
        </w:rPr>
        <w:footnoteReference w:id="510"/>
      </w:r>
      <w:r w:rsidR="00657189" w:rsidRPr="00C821A1">
        <w:rPr>
          <w:rFonts w:ascii="Traditional Arabic" w:hAnsi="Traditional Arabic"/>
          <w:szCs w:val="32"/>
          <w:vertAlign w:val="superscript"/>
          <w:rtl/>
        </w:rPr>
        <w:t>)</w:t>
      </w:r>
      <w:r w:rsidR="00B76414" w:rsidRPr="00E51D72">
        <w:rPr>
          <w:rFonts w:ascii="Traditional Arabic" w:hAnsi="Traditional Arabic"/>
          <w:rtl/>
        </w:rPr>
        <w:t>.</w:t>
      </w:r>
    </w:p>
    <w:p w:rsidR="00784265" w:rsidRDefault="00AA4B3A" w:rsidP="00784265">
      <w:pPr>
        <w:ind w:firstLine="0"/>
        <w:rPr>
          <w:rtl/>
        </w:rPr>
      </w:pPr>
      <w:bookmarkStart w:id="104" w:name="_Toc334046359"/>
      <w:r>
        <w:rPr>
          <w:rFonts w:hint="cs"/>
          <w:rtl/>
        </w:rPr>
        <w:t xml:space="preserve">           </w:t>
      </w:r>
    </w:p>
    <w:p w:rsidR="00784265" w:rsidRDefault="00784265" w:rsidP="00784265">
      <w:pPr>
        <w:ind w:firstLine="0"/>
        <w:rPr>
          <w:rtl/>
        </w:rPr>
      </w:pPr>
    </w:p>
    <w:p w:rsidR="00657189" w:rsidRDefault="00AA4B3A" w:rsidP="00784265">
      <w:pPr>
        <w:ind w:firstLine="0"/>
        <w:jc w:val="left"/>
        <w:rPr>
          <w:b/>
          <w:bCs/>
          <w:rtl/>
        </w:rPr>
      </w:pPr>
      <w:r>
        <w:rPr>
          <w:rFonts w:hint="cs"/>
          <w:rtl/>
        </w:rPr>
        <w:t xml:space="preserve">  </w:t>
      </w:r>
      <w:r w:rsidR="00784265">
        <w:rPr>
          <w:rFonts w:hint="cs"/>
          <w:rtl/>
        </w:rPr>
        <w:t xml:space="preserve">                                      </w:t>
      </w:r>
      <w:bookmarkEnd w:id="104"/>
      <w:r w:rsidR="00784265">
        <w:rPr>
          <w:rFonts w:hint="cs"/>
          <w:b/>
          <w:bCs/>
          <w:rtl/>
        </w:rPr>
        <w:t>المطلب الرابع</w:t>
      </w:r>
    </w:p>
    <w:p w:rsidR="00784265" w:rsidRPr="00784265" w:rsidRDefault="00784265" w:rsidP="00784265">
      <w:pPr>
        <w:ind w:firstLine="0"/>
        <w:jc w:val="left"/>
        <w:rPr>
          <w:b/>
          <w:bCs/>
          <w:rtl/>
        </w:rPr>
      </w:pPr>
      <w:r>
        <w:rPr>
          <w:rFonts w:hint="cs"/>
          <w:b/>
          <w:bCs/>
          <w:rtl/>
        </w:rPr>
        <w:t xml:space="preserve">                                       تطبيقات القاعدة</w:t>
      </w:r>
    </w:p>
    <w:p w:rsidR="00657189" w:rsidRPr="00301E28" w:rsidRDefault="00657189" w:rsidP="00230519">
      <w:pPr>
        <w:pStyle w:val="afc"/>
        <w:numPr>
          <w:ilvl w:val="0"/>
          <w:numId w:val="89"/>
        </w:numPr>
        <w:rPr>
          <w:rFonts w:ascii="Traditional Arabic" w:hAnsi="Traditional Arabic"/>
          <w:color w:val="auto"/>
        </w:rPr>
      </w:pPr>
      <w:r w:rsidRPr="00301E28">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301E28">
        <w:rPr>
          <w:rFonts w:ascii="Traditional Arabic" w:hAnsi="Traditional Arabic"/>
          <w:noProof w:val="0"/>
          <w:color w:val="auto"/>
          <w:rtl/>
          <w:lang w:eastAsia="en-US"/>
        </w:rPr>
        <w:t>كل</w:t>
      </w:r>
      <w:r>
        <w:rPr>
          <w:rFonts w:ascii="Traditional Arabic" w:hAnsi="Traditional Arabic" w:hint="cs"/>
          <w:noProof w:val="0"/>
          <w:color w:val="auto"/>
          <w:rtl/>
          <w:lang w:eastAsia="en-US"/>
        </w:rPr>
        <w:t>ٍّ</w:t>
      </w:r>
      <w:r w:rsidRPr="00301E28">
        <w:rPr>
          <w:rFonts w:ascii="Traditional Arabic" w:hAnsi="Traditional Arabic"/>
          <w:noProof w:val="0"/>
          <w:color w:val="auto"/>
          <w:rtl/>
          <w:lang w:eastAsia="en-US"/>
        </w:rPr>
        <w:t xml:space="preserve"> من الم</w:t>
      </w:r>
      <w:r>
        <w:rPr>
          <w:rFonts w:ascii="Traditional Arabic" w:hAnsi="Traditional Arabic"/>
          <w:noProof w:val="0"/>
          <w:color w:val="auto"/>
          <w:rtl/>
          <w:lang w:eastAsia="en-US"/>
        </w:rPr>
        <w:t>تباي</w:t>
      </w:r>
      <w:r>
        <w:rPr>
          <w:rFonts w:ascii="Traditional Arabic" w:hAnsi="Traditional Arabic" w:hint="cs"/>
          <w:noProof w:val="0"/>
          <w:color w:val="auto"/>
          <w:rtl/>
          <w:lang w:eastAsia="en-US"/>
        </w:rPr>
        <w:t>ِ</w:t>
      </w:r>
      <w:r>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Pr>
          <w:rFonts w:ascii="Traditional Arabic" w:hAnsi="Traditional Arabic"/>
          <w:noProof w:val="0"/>
          <w:color w:val="auto"/>
          <w:rtl/>
          <w:lang w:eastAsia="en-US"/>
        </w:rPr>
        <w:t>ي</w:t>
      </w:r>
      <w:r>
        <w:rPr>
          <w:rFonts w:ascii="Traditional Arabic" w:hAnsi="Traditional Arabic" w:hint="cs"/>
          <w:noProof w:val="0"/>
          <w:color w:val="auto"/>
          <w:rtl/>
          <w:lang w:eastAsia="en-US"/>
        </w:rPr>
        <w:t>ْ</w:t>
      </w:r>
      <w:r>
        <w:rPr>
          <w:rFonts w:ascii="Traditional Arabic" w:hAnsi="Traditional Arabic"/>
          <w:noProof w:val="0"/>
          <w:color w:val="auto"/>
          <w:rtl/>
          <w:lang w:eastAsia="en-US"/>
        </w:rPr>
        <w:t>ن 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خيار</w:t>
      </w:r>
      <w:r w:rsidR="00230519">
        <w:rPr>
          <w:rFonts w:ascii="Traditional Arabic" w:hAnsi="Traditional Arabic" w:hint="cs"/>
          <w:noProof w:val="0"/>
          <w:color w:val="auto"/>
          <w:rtl/>
          <w:lang w:eastAsia="en-US"/>
        </w:rPr>
        <w:t xml:space="preserve"> </w:t>
      </w:r>
      <w:r>
        <w:rPr>
          <w:rFonts w:ascii="Traditional Arabic" w:hAnsi="Traditional Arabic"/>
          <w:noProof w:val="0"/>
          <w:color w:val="auto"/>
          <w:rtl/>
          <w:lang w:eastAsia="en-US"/>
        </w:rPr>
        <w:t>ما لم يتفر</w:t>
      </w:r>
      <w:r>
        <w:rPr>
          <w:rFonts w:ascii="Traditional Arabic" w:hAnsi="Traditional Arabic" w:hint="cs"/>
          <w:noProof w:val="0"/>
          <w:color w:val="auto"/>
          <w:rtl/>
          <w:lang w:eastAsia="en-US"/>
        </w:rPr>
        <w:t>َّ</w:t>
      </w:r>
      <w:r>
        <w:rPr>
          <w:rFonts w:ascii="Traditional Arabic" w:hAnsi="Traditional Arabic"/>
          <w:noProof w:val="0"/>
          <w:color w:val="auto"/>
          <w:rtl/>
          <w:lang w:eastAsia="en-US"/>
        </w:rPr>
        <w:t>قا</w:t>
      </w:r>
      <w:r w:rsidRPr="00301E28">
        <w:rPr>
          <w:rFonts w:ascii="Traditional Arabic" w:hAnsi="Traditional Arabic"/>
          <w:noProof w:val="0"/>
          <w:color w:val="auto"/>
          <w:rtl/>
          <w:lang w:eastAsia="en-US"/>
        </w:rPr>
        <w:t xml:space="preserve"> ب</w:t>
      </w:r>
      <w:r>
        <w:rPr>
          <w:rFonts w:ascii="Traditional Arabic" w:hAnsi="Traditional Arabic" w:hint="cs"/>
          <w:noProof w:val="0"/>
          <w:color w:val="auto"/>
          <w:rtl/>
          <w:lang w:eastAsia="en-US"/>
        </w:rPr>
        <w:t>ِ</w:t>
      </w:r>
      <w:r w:rsidRPr="00301E28">
        <w:rPr>
          <w:rFonts w:ascii="Traditional Arabic" w:hAnsi="Traditional Arabic"/>
          <w:noProof w:val="0"/>
          <w:color w:val="auto"/>
          <w:rtl/>
          <w:lang w:eastAsia="en-US"/>
        </w:rPr>
        <w:t>أ</w:t>
      </w:r>
      <w:r>
        <w:rPr>
          <w:rFonts w:ascii="Traditional Arabic" w:hAnsi="Traditional Arabic" w:hint="cs"/>
          <w:noProof w:val="0"/>
          <w:color w:val="auto"/>
          <w:rtl/>
          <w:lang w:eastAsia="en-US"/>
        </w:rPr>
        <w:t>َ</w:t>
      </w:r>
      <w:r w:rsidRPr="00301E28">
        <w:rPr>
          <w:rFonts w:ascii="Traditional Arabic" w:hAnsi="Traditional Arabic"/>
          <w:noProof w:val="0"/>
          <w:color w:val="auto"/>
          <w:rtl/>
          <w:lang w:eastAsia="en-US"/>
        </w:rPr>
        <w:t>ب</w:t>
      </w:r>
      <w:r>
        <w:rPr>
          <w:rFonts w:ascii="Traditional Arabic" w:hAnsi="Traditional Arabic" w:hint="cs"/>
          <w:noProof w:val="0"/>
          <w:color w:val="auto"/>
          <w:rtl/>
          <w:lang w:eastAsia="en-US"/>
        </w:rPr>
        <w:t>ْ</w:t>
      </w:r>
      <w:r w:rsidRPr="00301E28">
        <w:rPr>
          <w:rFonts w:ascii="Traditional Arabic" w:hAnsi="Traditional Arabic"/>
          <w:noProof w:val="0"/>
          <w:color w:val="auto"/>
          <w:rtl/>
          <w:lang w:eastAsia="en-US"/>
        </w:rPr>
        <w:t>دانهما</w:t>
      </w:r>
      <w:r>
        <w:rPr>
          <w:rFonts w:ascii="Traditional Arabic" w:hAnsi="Traditional Arabic" w:hint="cs"/>
          <w:noProof w:val="0"/>
          <w:color w:val="auto"/>
          <w:rtl/>
          <w:lang w:eastAsia="en-US"/>
        </w:rPr>
        <w:t xml:space="preserve">، </w:t>
      </w:r>
      <w:r w:rsidRPr="00301E28">
        <w:rPr>
          <w:rFonts w:ascii="Traditional Arabic" w:hAnsi="Traditional Arabic"/>
          <w:noProof w:val="0"/>
          <w:rtl/>
          <w:lang w:eastAsia="en-US"/>
        </w:rPr>
        <w:t>فإن تفر</w:t>
      </w:r>
      <w:r>
        <w:rPr>
          <w:rFonts w:ascii="Traditional Arabic" w:hAnsi="Traditional Arabic" w:hint="cs"/>
          <w:noProof w:val="0"/>
          <w:rtl/>
          <w:lang w:eastAsia="en-US"/>
        </w:rPr>
        <w:t>َّ</w:t>
      </w:r>
      <w:r w:rsidRPr="00301E28">
        <w:rPr>
          <w:rFonts w:ascii="Traditional Arabic" w:hAnsi="Traditional Arabic"/>
          <w:noProof w:val="0"/>
          <w:rtl/>
          <w:lang w:eastAsia="en-US"/>
        </w:rPr>
        <w:t>قا فلا خ</w:t>
      </w:r>
      <w:r>
        <w:rPr>
          <w:rFonts w:ascii="Traditional Arabic" w:hAnsi="Traditional Arabic" w:hint="cs"/>
          <w:noProof w:val="0"/>
          <w:rtl/>
          <w:lang w:eastAsia="en-US"/>
        </w:rPr>
        <w:t>ِ</w:t>
      </w:r>
      <w:r>
        <w:rPr>
          <w:rFonts w:ascii="Traditional Arabic" w:hAnsi="Traditional Arabic"/>
          <w:noProof w:val="0"/>
          <w:rtl/>
          <w:lang w:eastAsia="en-US"/>
        </w:rPr>
        <w:t xml:space="preserve">يار، </w:t>
      </w:r>
      <w:r>
        <w:rPr>
          <w:rFonts w:ascii="Traditional Arabic" w:hAnsi="Traditional Arabic" w:hint="cs"/>
          <w:noProof w:val="0"/>
          <w:rtl/>
          <w:lang w:eastAsia="en-US"/>
        </w:rPr>
        <w:t>والمرجِع في تحديد</w:t>
      </w:r>
      <w:r w:rsidR="005D4589">
        <w:rPr>
          <w:rFonts w:ascii="Traditional Arabic" w:hAnsi="Traditional Arabic" w:hint="cs"/>
          <w:noProof w:val="0"/>
          <w:rtl/>
          <w:lang w:eastAsia="en-US"/>
        </w:rPr>
        <w:t xml:space="preserve"> </w:t>
      </w:r>
      <w:r>
        <w:rPr>
          <w:rFonts w:ascii="Traditional Arabic" w:hAnsi="Traditional Arabic" w:hint="cs"/>
          <w:noProof w:val="0"/>
          <w:rtl/>
          <w:lang w:eastAsia="en-US"/>
        </w:rPr>
        <w:t>التفرُّق</w:t>
      </w:r>
      <w:r w:rsidR="00AA4B3A">
        <w:rPr>
          <w:rFonts w:ascii="Traditional Arabic" w:hAnsi="Traditional Arabic" w:hint="cs"/>
          <w:noProof w:val="0"/>
          <w:rtl/>
          <w:lang w:eastAsia="en-US"/>
        </w:rPr>
        <w:t xml:space="preserve"> </w:t>
      </w:r>
      <w:r>
        <w:rPr>
          <w:rFonts w:ascii="Traditional Arabic" w:hAnsi="Traditional Arabic" w:hint="cs"/>
          <w:noProof w:val="0"/>
          <w:rtl/>
          <w:lang w:eastAsia="en-US"/>
        </w:rPr>
        <w:t>إلى العُرف</w:t>
      </w:r>
      <w:r w:rsidRPr="00C821A1">
        <w:rPr>
          <w:rStyle w:val="af1"/>
          <w:szCs w:val="32"/>
          <w:rtl/>
        </w:rPr>
        <w:t>(</w:t>
      </w:r>
      <w:r w:rsidRPr="00C821A1">
        <w:rPr>
          <w:rStyle w:val="af1"/>
          <w:szCs w:val="32"/>
          <w:rtl/>
        </w:rPr>
        <w:footnoteReference w:id="511"/>
      </w:r>
      <w:r w:rsidRPr="00C821A1">
        <w:rPr>
          <w:rStyle w:val="af1"/>
          <w:szCs w:val="32"/>
          <w:rtl/>
        </w:rPr>
        <w:t>)</w:t>
      </w:r>
      <w:r>
        <w:rPr>
          <w:rFonts w:ascii="Traditional Arabic" w:hAnsi="Traditional Arabic" w:hint="cs"/>
          <w:noProof w:val="0"/>
          <w:rtl/>
          <w:lang w:eastAsia="en-US"/>
        </w:rPr>
        <w:t>.</w:t>
      </w:r>
    </w:p>
    <w:p w:rsidR="00065E4B" w:rsidRPr="00301E28" w:rsidRDefault="00657189" w:rsidP="00597C20">
      <w:pPr>
        <w:pStyle w:val="53"/>
        <w:rPr>
          <w:rtl/>
        </w:rPr>
      </w:pPr>
      <w:r>
        <w:rPr>
          <w:rFonts w:hint="cs"/>
          <w:rtl/>
        </w:rPr>
        <w:t>وجه اندراج الفرع تحت القاعدة:</w:t>
      </w:r>
    </w:p>
    <w:p w:rsidR="00657189" w:rsidRDefault="00065E4B" w:rsidP="00597C20">
      <w:pPr>
        <w:ind w:firstLine="720"/>
        <w:rPr>
          <w:rFonts w:ascii="Traditional Arabic" w:hAnsi="Traditional Arabic"/>
          <w:color w:val="auto"/>
          <w:rtl/>
        </w:rPr>
      </w:pPr>
      <w:r>
        <w:rPr>
          <w:rFonts w:ascii="Traditional Arabic" w:hAnsi="Traditional Arabic" w:hint="cs"/>
          <w:noProof w:val="0"/>
          <w:rtl/>
          <w:lang w:eastAsia="en-US"/>
        </w:rPr>
        <w:t>ل</w:t>
      </w:r>
      <w:r w:rsidR="00657189">
        <w:rPr>
          <w:rFonts w:ascii="Traditional Arabic" w:hAnsi="Traditional Arabic" w:hint="cs"/>
          <w:noProof w:val="0"/>
          <w:rtl/>
          <w:lang w:eastAsia="en-US"/>
        </w:rPr>
        <w:t>ما لم يَأْتِ</w:t>
      </w:r>
      <w:r w:rsidR="003E0A64">
        <w:rPr>
          <w:rFonts w:ascii="Traditional Arabic" w:hAnsi="Traditional Arabic" w:hint="cs"/>
          <w:noProof w:val="0"/>
          <w:rtl/>
          <w:lang w:eastAsia="en-US"/>
        </w:rPr>
        <w:t xml:space="preserve"> </w:t>
      </w:r>
      <w:r w:rsidR="00657189">
        <w:rPr>
          <w:rFonts w:ascii="Traditional Arabic" w:hAnsi="Traditional Arabic" w:hint="cs"/>
          <w:noProof w:val="0"/>
          <w:rtl/>
          <w:lang w:eastAsia="en-US"/>
        </w:rPr>
        <w:t xml:space="preserve">في </w:t>
      </w:r>
      <w:r w:rsidR="00657189" w:rsidRPr="00301E28">
        <w:rPr>
          <w:rFonts w:ascii="Traditional Arabic" w:hAnsi="Traditional Arabic"/>
          <w:noProof w:val="0"/>
          <w:rtl/>
          <w:lang w:eastAsia="en-US"/>
        </w:rPr>
        <w:t>الشرع</w:t>
      </w:r>
      <w:r w:rsidR="00657189">
        <w:rPr>
          <w:rFonts w:ascii="Traditional Arabic" w:hAnsi="Traditional Arabic" w:hint="cs"/>
          <w:noProof w:val="0"/>
          <w:rtl/>
          <w:lang w:eastAsia="en-US"/>
        </w:rPr>
        <w:t xml:space="preserve"> ضَبْطٌ</w:t>
      </w:r>
      <w:r w:rsidR="003E0A64">
        <w:rPr>
          <w:rFonts w:ascii="Traditional Arabic" w:hAnsi="Traditional Arabic" w:hint="cs"/>
          <w:noProof w:val="0"/>
          <w:rtl/>
          <w:lang w:eastAsia="en-US"/>
        </w:rPr>
        <w:t xml:space="preserve"> </w:t>
      </w:r>
      <w:r w:rsidR="00657189">
        <w:rPr>
          <w:rFonts w:ascii="Traditional Arabic" w:hAnsi="Traditional Arabic" w:hint="cs"/>
          <w:noProof w:val="0"/>
          <w:rtl/>
          <w:lang w:eastAsia="en-US"/>
        </w:rPr>
        <w:t xml:space="preserve">للتفرُّق الذي يَسقُط به الخِيار، كان المرجِع في تحديده إلى العرف؛ لأن </w:t>
      </w:r>
      <w:r w:rsidR="00657189" w:rsidRPr="00301E28">
        <w:rPr>
          <w:rFonts w:ascii="Traditional Arabic" w:hAnsi="Traditional Arabic"/>
          <w:noProof w:val="0"/>
          <w:rtl/>
          <w:lang w:eastAsia="en-US"/>
        </w:rPr>
        <w:t>كل</w:t>
      </w:r>
      <w:r w:rsidR="00657189">
        <w:rPr>
          <w:rFonts w:ascii="Traditional Arabic" w:hAnsi="Traditional Arabic" w:hint="cs"/>
          <w:noProof w:val="0"/>
          <w:rtl/>
          <w:lang w:eastAsia="en-US"/>
        </w:rPr>
        <w:t>َّ</w:t>
      </w:r>
      <w:r w:rsidR="00657189" w:rsidRPr="00301E28">
        <w:rPr>
          <w:rFonts w:ascii="Traditional Arabic" w:hAnsi="Traditional Arabic"/>
          <w:noProof w:val="0"/>
          <w:rtl/>
          <w:lang w:eastAsia="en-US"/>
        </w:rPr>
        <w:t xml:space="preserve"> شيء يأتي به الشرع</w:t>
      </w:r>
      <w:r w:rsidR="00657189">
        <w:rPr>
          <w:rFonts w:ascii="Traditional Arabic" w:hAnsi="Traditional Arabic" w:hint="cs"/>
          <w:noProof w:val="0"/>
          <w:rtl/>
          <w:lang w:eastAsia="en-US"/>
        </w:rPr>
        <w:t>ُ</w:t>
      </w:r>
      <w:r w:rsidR="00657189" w:rsidRPr="00301E28">
        <w:rPr>
          <w:rFonts w:ascii="Traditional Arabic" w:hAnsi="Traditional Arabic"/>
          <w:noProof w:val="0"/>
          <w:rtl/>
          <w:lang w:eastAsia="en-US"/>
        </w:rPr>
        <w:t xml:space="preserve"> من غير تحديد</w:t>
      </w:r>
      <w:r w:rsidR="00657189">
        <w:rPr>
          <w:rFonts w:ascii="Traditional Arabic" w:hAnsi="Traditional Arabic" w:hint="cs"/>
          <w:noProof w:val="0"/>
          <w:rtl/>
          <w:lang w:eastAsia="en-US"/>
        </w:rPr>
        <w:t>ٍ</w:t>
      </w:r>
      <w:r w:rsidR="00657189" w:rsidRPr="00301E28">
        <w:rPr>
          <w:rFonts w:ascii="Traditional Arabic" w:hAnsi="Traditional Arabic"/>
          <w:noProof w:val="0"/>
          <w:rtl/>
          <w:lang w:eastAsia="en-US"/>
        </w:rPr>
        <w:t>، فإنه ي</w:t>
      </w:r>
      <w:r w:rsidR="00657189">
        <w:rPr>
          <w:rFonts w:ascii="Traditional Arabic" w:hAnsi="Traditional Arabic" w:hint="cs"/>
          <w:noProof w:val="0"/>
          <w:rtl/>
          <w:lang w:eastAsia="en-US"/>
        </w:rPr>
        <w:t>ُ</w:t>
      </w:r>
      <w:r w:rsidR="00657189" w:rsidRPr="00301E28">
        <w:rPr>
          <w:rFonts w:ascii="Traditional Arabic" w:hAnsi="Traditional Arabic"/>
          <w:noProof w:val="0"/>
          <w:rtl/>
          <w:lang w:eastAsia="en-US"/>
        </w:rPr>
        <w:t>رج</w:t>
      </w:r>
      <w:r w:rsidR="00657189">
        <w:rPr>
          <w:rFonts w:ascii="Traditional Arabic" w:hAnsi="Traditional Arabic" w:hint="cs"/>
          <w:noProof w:val="0"/>
          <w:rtl/>
          <w:lang w:eastAsia="en-US"/>
        </w:rPr>
        <w:t>َ</w:t>
      </w:r>
      <w:r w:rsidR="00657189" w:rsidRPr="00301E28">
        <w:rPr>
          <w:rFonts w:ascii="Traditional Arabic" w:hAnsi="Traditional Arabic"/>
          <w:noProof w:val="0"/>
          <w:rtl/>
          <w:lang w:eastAsia="en-US"/>
        </w:rPr>
        <w:t>ع فيه إلى العرف</w:t>
      </w:r>
      <w:r w:rsidR="00657189" w:rsidRPr="00C821A1">
        <w:rPr>
          <w:rStyle w:val="af1"/>
          <w:szCs w:val="32"/>
          <w:rtl/>
        </w:rPr>
        <w:t>(</w:t>
      </w:r>
      <w:r w:rsidR="00657189" w:rsidRPr="00C821A1">
        <w:rPr>
          <w:rStyle w:val="af1"/>
          <w:szCs w:val="32"/>
          <w:rtl/>
        </w:rPr>
        <w:footnoteReference w:id="512"/>
      </w:r>
      <w:r w:rsidR="00657189" w:rsidRPr="00C821A1">
        <w:rPr>
          <w:rStyle w:val="af1"/>
          <w:szCs w:val="32"/>
          <w:rtl/>
        </w:rPr>
        <w:t>)</w:t>
      </w:r>
      <w:r w:rsidR="00657189" w:rsidRPr="00301E28">
        <w:rPr>
          <w:rFonts w:ascii="Traditional Arabic" w:hAnsi="Traditional Arabic" w:hint="cs"/>
          <w:color w:val="auto"/>
          <w:rtl/>
        </w:rPr>
        <w:t>.</w:t>
      </w:r>
    </w:p>
    <w:p w:rsidR="00657189" w:rsidRPr="00DD3AF7" w:rsidRDefault="00657189" w:rsidP="000A76C7">
      <w:pPr>
        <w:pStyle w:val="afc"/>
        <w:numPr>
          <w:ilvl w:val="0"/>
          <w:numId w:val="89"/>
        </w:numPr>
        <w:rPr>
          <w:rFonts w:ascii="Traditional Arabic" w:hAnsi="Traditional Arabic"/>
          <w:color w:val="auto"/>
          <w:rtl/>
        </w:rPr>
      </w:pPr>
      <w:r>
        <w:rPr>
          <w:rFonts w:ascii="Traditional Arabic" w:hAnsi="Traditional Arabic" w:hint="cs"/>
          <w:noProof w:val="0"/>
          <w:rtl/>
          <w:lang w:eastAsia="en-US"/>
        </w:rPr>
        <w:t xml:space="preserve">قال بعض العلماء في </w:t>
      </w:r>
      <w:r w:rsidRPr="00CA545E">
        <w:rPr>
          <w:rFonts w:ascii="Traditional Arabic" w:hAnsi="Traditional Arabic"/>
          <w:noProof w:val="0"/>
          <w:rtl/>
          <w:lang w:eastAsia="en-US"/>
        </w:rPr>
        <w:t>ب</w:t>
      </w:r>
      <w:r>
        <w:rPr>
          <w:rFonts w:ascii="Traditional Arabic" w:hAnsi="Traditional Arabic" w:hint="cs"/>
          <w:noProof w:val="0"/>
          <w:rtl/>
          <w:lang w:eastAsia="en-US"/>
        </w:rPr>
        <w:t>َ</w:t>
      </w:r>
      <w:r>
        <w:rPr>
          <w:rFonts w:ascii="Traditional Arabic" w:hAnsi="Traditional Arabic"/>
          <w:noProof w:val="0"/>
          <w:rtl/>
          <w:lang w:eastAsia="en-US"/>
        </w:rPr>
        <w:t xml:space="preserve">يان </w:t>
      </w:r>
      <w:r w:rsidRPr="00CA545E">
        <w:rPr>
          <w:rFonts w:ascii="Traditional Arabic" w:hAnsi="Traditional Arabic"/>
          <w:noProof w:val="0"/>
          <w:rtl/>
          <w:lang w:eastAsia="en-US"/>
        </w:rPr>
        <w:t>ما يحص</w:t>
      </w:r>
      <w:r>
        <w:rPr>
          <w:rFonts w:ascii="Traditional Arabic" w:hAnsi="Traditional Arabic" w:hint="cs"/>
          <w:noProof w:val="0"/>
          <w:rtl/>
          <w:lang w:eastAsia="en-US"/>
        </w:rPr>
        <w:t>ُ</w:t>
      </w:r>
      <w:r w:rsidRPr="00CA545E">
        <w:rPr>
          <w:rFonts w:ascii="Traditional Arabic" w:hAnsi="Traditional Arabic"/>
          <w:noProof w:val="0"/>
          <w:rtl/>
          <w:lang w:eastAsia="en-US"/>
        </w:rPr>
        <w:t>ل به الإحياء</w:t>
      </w:r>
      <w:r>
        <w:rPr>
          <w:rFonts w:ascii="Traditional Arabic" w:hAnsi="Traditional Arabic" w:hint="cs"/>
          <w:color w:val="auto"/>
          <w:rtl/>
        </w:rPr>
        <w:t xml:space="preserve">: </w:t>
      </w:r>
      <w:r w:rsidRPr="00CA545E">
        <w:rPr>
          <w:rFonts w:ascii="Traditional Arabic" w:hAnsi="Traditional Arabic"/>
          <w:noProof w:val="0"/>
          <w:rtl/>
          <w:lang w:eastAsia="en-US"/>
        </w:rPr>
        <w:t>ي</w:t>
      </w:r>
      <w:r>
        <w:rPr>
          <w:rFonts w:ascii="Traditional Arabic" w:hAnsi="Traditional Arabic" w:hint="cs"/>
          <w:noProof w:val="0"/>
          <w:rtl/>
          <w:lang w:eastAsia="en-US"/>
        </w:rPr>
        <w:t>ُ</w:t>
      </w:r>
      <w:r>
        <w:rPr>
          <w:rFonts w:ascii="Traditional Arabic" w:hAnsi="Traditional Arabic"/>
          <w:noProof w:val="0"/>
          <w:rtl/>
          <w:lang w:eastAsia="en-US"/>
        </w:rPr>
        <w:t>رج</w:t>
      </w:r>
      <w:r>
        <w:rPr>
          <w:rFonts w:ascii="Traditional Arabic" w:hAnsi="Traditional Arabic" w:hint="cs"/>
          <w:noProof w:val="0"/>
          <w:rtl/>
          <w:lang w:eastAsia="en-US"/>
        </w:rPr>
        <w:t>َ</w:t>
      </w:r>
      <w:r>
        <w:rPr>
          <w:rFonts w:ascii="Traditional Arabic" w:hAnsi="Traditional Arabic"/>
          <w:noProof w:val="0"/>
          <w:rtl/>
          <w:lang w:eastAsia="en-US"/>
        </w:rPr>
        <w:t>ع في</w:t>
      </w:r>
      <w:r>
        <w:rPr>
          <w:rFonts w:ascii="Traditional Arabic" w:hAnsi="Traditional Arabic" w:hint="cs"/>
          <w:noProof w:val="0"/>
          <w:rtl/>
          <w:lang w:eastAsia="en-US"/>
        </w:rPr>
        <w:t>ه</w:t>
      </w:r>
      <w:r w:rsidRPr="00CA545E">
        <w:rPr>
          <w:rFonts w:ascii="Traditional Arabic" w:hAnsi="Traditional Arabic"/>
          <w:noProof w:val="0"/>
          <w:rtl/>
          <w:lang w:eastAsia="en-US"/>
        </w:rPr>
        <w:t xml:space="preserve"> إلى الع</w:t>
      </w:r>
      <w:r>
        <w:rPr>
          <w:rFonts w:ascii="Traditional Arabic" w:hAnsi="Traditional Arabic" w:hint="cs"/>
          <w:noProof w:val="0"/>
          <w:rtl/>
          <w:lang w:eastAsia="en-US"/>
        </w:rPr>
        <w:t>ُ</w:t>
      </w:r>
      <w:r>
        <w:rPr>
          <w:rFonts w:ascii="Traditional Arabic" w:hAnsi="Traditional Arabic"/>
          <w:noProof w:val="0"/>
          <w:rtl/>
          <w:lang w:eastAsia="en-US"/>
        </w:rPr>
        <w:t>رف، فما</w:t>
      </w:r>
      <w:r w:rsidR="00AA4B3A">
        <w:rPr>
          <w:rFonts w:ascii="Traditional Arabic" w:hAnsi="Traditional Arabic" w:hint="cs"/>
          <w:noProof w:val="0"/>
          <w:rtl/>
          <w:lang w:eastAsia="en-US"/>
        </w:rPr>
        <w:t xml:space="preserve"> </w:t>
      </w:r>
      <w:r w:rsidRPr="00CA545E">
        <w:rPr>
          <w:rFonts w:ascii="Traditional Arabic" w:hAnsi="Traditional Arabic"/>
          <w:noProof w:val="0"/>
          <w:rtl/>
          <w:lang w:eastAsia="en-US"/>
        </w:rPr>
        <w:t>ع</w:t>
      </w:r>
      <w:r>
        <w:rPr>
          <w:rFonts w:ascii="Traditional Arabic" w:hAnsi="Traditional Arabic" w:hint="cs"/>
          <w:noProof w:val="0"/>
          <w:rtl/>
          <w:lang w:eastAsia="en-US"/>
        </w:rPr>
        <w:t>َ</w:t>
      </w:r>
      <w:r w:rsidRPr="00CA545E">
        <w:rPr>
          <w:rFonts w:ascii="Traditional Arabic" w:hAnsi="Traditional Arabic"/>
          <w:noProof w:val="0"/>
          <w:rtl/>
          <w:lang w:eastAsia="en-US"/>
        </w:rPr>
        <w:t>د</w:t>
      </w:r>
      <w:r>
        <w:rPr>
          <w:rFonts w:ascii="Traditional Arabic" w:hAnsi="Traditional Arabic" w:hint="cs"/>
          <w:noProof w:val="0"/>
          <w:rtl/>
          <w:lang w:eastAsia="en-US"/>
        </w:rPr>
        <w:t>َّ</w:t>
      </w:r>
      <w:r w:rsidRPr="00CA545E">
        <w:rPr>
          <w:rFonts w:ascii="Traditional Arabic" w:hAnsi="Traditional Arabic"/>
          <w:noProof w:val="0"/>
          <w:rtl/>
          <w:lang w:eastAsia="en-US"/>
        </w:rPr>
        <w:t>ه</w:t>
      </w:r>
      <w:r>
        <w:rPr>
          <w:rFonts w:ascii="Traditional Arabic" w:hAnsi="Traditional Arabic" w:hint="cs"/>
          <w:noProof w:val="0"/>
          <w:rtl/>
          <w:lang w:eastAsia="en-US"/>
        </w:rPr>
        <w:t>ُ</w:t>
      </w:r>
      <w:r w:rsidRPr="00CA545E">
        <w:rPr>
          <w:rFonts w:ascii="Traditional Arabic" w:hAnsi="Traditional Arabic"/>
          <w:noProof w:val="0"/>
          <w:rtl/>
          <w:lang w:eastAsia="en-US"/>
        </w:rPr>
        <w:t xml:space="preserve"> الناس</w:t>
      </w:r>
      <w:r>
        <w:rPr>
          <w:rFonts w:ascii="Traditional Arabic" w:hAnsi="Traditional Arabic" w:hint="cs"/>
          <w:noProof w:val="0"/>
          <w:rtl/>
          <w:lang w:eastAsia="en-US"/>
        </w:rPr>
        <w:t>ُ</w:t>
      </w:r>
      <w:r w:rsidRPr="00CA545E">
        <w:rPr>
          <w:rFonts w:ascii="Traditional Arabic" w:hAnsi="Traditional Arabic"/>
          <w:noProof w:val="0"/>
          <w:rtl/>
          <w:lang w:eastAsia="en-US"/>
        </w:rPr>
        <w:t xml:space="preserve"> إحياء</w:t>
      </w:r>
      <w:r>
        <w:rPr>
          <w:rFonts w:ascii="Traditional Arabic" w:hAnsi="Traditional Arabic" w:hint="cs"/>
          <w:noProof w:val="0"/>
          <w:rtl/>
          <w:lang w:eastAsia="en-US"/>
        </w:rPr>
        <w:t>ً</w:t>
      </w:r>
      <w:r w:rsidRPr="00CA545E">
        <w:rPr>
          <w:rFonts w:ascii="Traditional Arabic" w:hAnsi="Traditional Arabic"/>
          <w:noProof w:val="0"/>
          <w:rtl/>
          <w:lang w:eastAsia="en-US"/>
        </w:rPr>
        <w:t xml:space="preserve"> فهو إحياء</w:t>
      </w:r>
      <w:r>
        <w:rPr>
          <w:rFonts w:ascii="Traditional Arabic" w:hAnsi="Traditional Arabic" w:hint="cs"/>
          <w:noProof w:val="0"/>
          <w:rtl/>
          <w:lang w:eastAsia="en-US"/>
        </w:rPr>
        <w:t>ٌ</w:t>
      </w:r>
      <w:r>
        <w:rPr>
          <w:rFonts w:ascii="Traditional Arabic" w:hAnsi="Traditional Arabic"/>
          <w:noProof w:val="0"/>
          <w:rtl/>
          <w:lang w:eastAsia="en-US"/>
        </w:rPr>
        <w:t>، وما</w:t>
      </w:r>
      <w:r w:rsidRPr="00CA545E">
        <w:rPr>
          <w:rFonts w:ascii="Traditional Arabic" w:hAnsi="Traditional Arabic"/>
          <w:noProof w:val="0"/>
          <w:rtl/>
          <w:lang w:eastAsia="en-US"/>
        </w:rPr>
        <w:t>لم ي</w:t>
      </w:r>
      <w:r>
        <w:rPr>
          <w:rFonts w:ascii="Traditional Arabic" w:hAnsi="Traditional Arabic" w:hint="cs"/>
          <w:noProof w:val="0"/>
          <w:rtl/>
          <w:lang w:eastAsia="en-US"/>
        </w:rPr>
        <w:t>َ</w:t>
      </w:r>
      <w:r w:rsidRPr="00CA545E">
        <w:rPr>
          <w:rFonts w:ascii="Traditional Arabic" w:hAnsi="Traditional Arabic"/>
          <w:noProof w:val="0"/>
          <w:rtl/>
          <w:lang w:eastAsia="en-US"/>
        </w:rPr>
        <w:t>ع</w:t>
      </w:r>
      <w:r>
        <w:rPr>
          <w:rFonts w:ascii="Traditional Arabic" w:hAnsi="Traditional Arabic" w:hint="cs"/>
          <w:noProof w:val="0"/>
          <w:rtl/>
          <w:lang w:eastAsia="en-US"/>
        </w:rPr>
        <w:t>ُ</w:t>
      </w:r>
      <w:r w:rsidRPr="00CA545E">
        <w:rPr>
          <w:rFonts w:ascii="Traditional Arabic" w:hAnsi="Traditional Arabic"/>
          <w:noProof w:val="0"/>
          <w:rtl/>
          <w:lang w:eastAsia="en-US"/>
        </w:rPr>
        <w:t>د</w:t>
      </w:r>
      <w:r>
        <w:rPr>
          <w:rFonts w:ascii="Traditional Arabic" w:hAnsi="Traditional Arabic" w:hint="cs"/>
          <w:noProof w:val="0"/>
          <w:rtl/>
          <w:lang w:eastAsia="en-US"/>
        </w:rPr>
        <w:t>ُّ</w:t>
      </w:r>
      <w:r w:rsidRPr="00CA545E">
        <w:rPr>
          <w:rFonts w:ascii="Traditional Arabic" w:hAnsi="Traditional Arabic"/>
          <w:noProof w:val="0"/>
          <w:rtl/>
          <w:lang w:eastAsia="en-US"/>
        </w:rPr>
        <w:t>وه</w:t>
      </w:r>
      <w:r>
        <w:rPr>
          <w:rFonts w:ascii="Traditional Arabic" w:hAnsi="Traditional Arabic" w:hint="cs"/>
          <w:noProof w:val="0"/>
          <w:rtl/>
          <w:lang w:eastAsia="en-US"/>
        </w:rPr>
        <w:t>ُ</w:t>
      </w:r>
      <w:r w:rsidRPr="00CA545E">
        <w:rPr>
          <w:rFonts w:ascii="Traditional Arabic" w:hAnsi="Traditional Arabic"/>
          <w:noProof w:val="0"/>
          <w:rtl/>
          <w:lang w:eastAsia="en-US"/>
        </w:rPr>
        <w:t xml:space="preserve"> إحياء</w:t>
      </w:r>
      <w:r>
        <w:rPr>
          <w:rFonts w:ascii="Traditional Arabic" w:hAnsi="Traditional Arabic" w:hint="cs"/>
          <w:noProof w:val="0"/>
          <w:rtl/>
          <w:lang w:eastAsia="en-US"/>
        </w:rPr>
        <w:t>ً</w:t>
      </w:r>
      <w:r w:rsidRPr="00CA545E">
        <w:rPr>
          <w:rFonts w:ascii="Traditional Arabic" w:hAnsi="Traditional Arabic"/>
          <w:noProof w:val="0"/>
          <w:rtl/>
          <w:lang w:eastAsia="en-US"/>
        </w:rPr>
        <w:t xml:space="preserve"> فليس بإحياء</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513"/>
      </w:r>
      <w:r w:rsidRPr="00C821A1">
        <w:rPr>
          <w:rStyle w:val="af1"/>
          <w:szCs w:val="32"/>
          <w:rtl/>
        </w:rPr>
        <w:t>)</w:t>
      </w:r>
      <w:r>
        <w:rPr>
          <w:rFonts w:ascii="Traditional Arabic" w:hAnsi="Traditional Arabic" w:hint="cs"/>
          <w:noProof w:val="0"/>
          <w:rtl/>
          <w:lang w:eastAsia="en-US"/>
        </w:rPr>
        <w:t>.</w:t>
      </w:r>
    </w:p>
    <w:p w:rsidR="00657189" w:rsidRDefault="00657189" w:rsidP="00597C20">
      <w:pPr>
        <w:pStyle w:val="53"/>
        <w:rPr>
          <w:rtl/>
        </w:rPr>
      </w:pPr>
      <w:r w:rsidRPr="00CA545E">
        <w:rPr>
          <w:rFonts w:hint="cs"/>
          <w:rtl/>
        </w:rPr>
        <w:t>وجه اندراج الفرع تحت القاعدة:</w:t>
      </w:r>
    </w:p>
    <w:p w:rsidR="00657189" w:rsidRPr="00E51D72" w:rsidRDefault="00657189" w:rsidP="00597C20">
      <w:pPr>
        <w:ind w:firstLine="720"/>
        <w:rPr>
          <w:rFonts w:ascii="Traditional Arabic" w:hAnsi="Traditional Arabic"/>
          <w:noProof w:val="0"/>
          <w:rtl/>
          <w:lang w:eastAsia="en-US"/>
        </w:rPr>
      </w:pPr>
      <w:r w:rsidRPr="00E51D72">
        <w:rPr>
          <w:rFonts w:ascii="Traditional Arabic" w:hAnsi="Traditional Arabic" w:hint="cs"/>
          <w:noProof w:val="0"/>
          <w:rtl/>
          <w:lang w:eastAsia="en-US"/>
        </w:rPr>
        <w:t xml:space="preserve">لما </w:t>
      </w:r>
      <w:r w:rsidRPr="00E51D72">
        <w:rPr>
          <w:rFonts w:ascii="Traditional Arabic" w:hAnsi="Traditional Arabic"/>
          <w:noProof w:val="0"/>
          <w:rtl/>
          <w:lang w:eastAsia="en-US"/>
        </w:rPr>
        <w:t>ق</w:t>
      </w:r>
      <w:r w:rsidRPr="00E51D72">
        <w:rPr>
          <w:rFonts w:ascii="Traditional Arabic" w:hAnsi="Traditional Arabic" w:hint="cs"/>
          <w:noProof w:val="0"/>
          <w:rtl/>
          <w:lang w:eastAsia="en-US"/>
        </w:rPr>
        <w:t>ا</w:t>
      </w:r>
      <w:r w:rsidRPr="00E51D72">
        <w:rPr>
          <w:rFonts w:ascii="Traditional Arabic" w:hAnsi="Traditional Arabic"/>
          <w:noProof w:val="0"/>
          <w:rtl/>
          <w:lang w:eastAsia="en-US"/>
        </w:rPr>
        <w:t xml:space="preserve">ل النبي </w:t>
      </w:r>
      <w:r w:rsidR="00F350DE">
        <w:rPr>
          <w:color w:val="auto"/>
          <w:rtl/>
          <w:lang w:eastAsia="en-US"/>
        </w:rPr>
        <w:sym w:font="AGA Arabesque" w:char="F072"/>
      </w:r>
      <w:r w:rsidRPr="00E51D72">
        <w:rPr>
          <w:rFonts w:ascii="Traditional Arabic" w:hAnsi="Traditional Arabic"/>
          <w:noProof w:val="0"/>
          <w:rtl/>
          <w:lang w:eastAsia="en-US"/>
        </w:rPr>
        <w:t>:</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م</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ن أ</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ح</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يا أر</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ضا</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م</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ي</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ت</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ة</w:t>
      </w:r>
      <w:r w:rsidRPr="00E51D72">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514"/>
      </w:r>
      <w:r w:rsidRPr="00C821A1">
        <w:rPr>
          <w:rStyle w:val="af1"/>
          <w:szCs w:val="32"/>
          <w:rtl/>
        </w:rPr>
        <w:t>)</w:t>
      </w:r>
      <w:r w:rsidRPr="00E51D72">
        <w:rPr>
          <w:rFonts w:ascii="Traditional Arabic" w:hAnsi="Traditional Arabic"/>
          <w:noProof w:val="0"/>
          <w:rtl/>
          <w:lang w:eastAsia="en-US"/>
        </w:rPr>
        <w:t xml:space="preserve"> فهي ل</w:t>
      </w:r>
      <w:r w:rsidRPr="00E51D72">
        <w:rPr>
          <w:rFonts w:ascii="Traditional Arabic" w:hAnsi="Traditional Arabic" w:hint="cs"/>
          <w:noProof w:val="0"/>
          <w:rtl/>
          <w:lang w:eastAsia="en-US"/>
        </w:rPr>
        <w:t>ه"</w:t>
      </w:r>
      <w:r w:rsidRPr="00C821A1">
        <w:rPr>
          <w:rStyle w:val="af1"/>
          <w:szCs w:val="32"/>
          <w:rtl/>
        </w:rPr>
        <w:t>(</w:t>
      </w:r>
      <w:r w:rsidRPr="00C821A1">
        <w:rPr>
          <w:rStyle w:val="af1"/>
          <w:szCs w:val="32"/>
          <w:rtl/>
        </w:rPr>
        <w:footnoteReference w:id="515"/>
      </w:r>
      <w:r w:rsidRPr="00C821A1">
        <w:rPr>
          <w:rStyle w:val="af1"/>
          <w:szCs w:val="32"/>
          <w:rtl/>
        </w:rPr>
        <w:t>)</w:t>
      </w:r>
      <w:r w:rsidRPr="00E51D72">
        <w:rPr>
          <w:rFonts w:ascii="Traditional Arabic" w:hAnsi="Traditional Arabic" w:hint="cs"/>
          <w:noProof w:val="0"/>
          <w:rtl/>
          <w:lang w:eastAsia="en-US"/>
        </w:rPr>
        <w:t>،</w:t>
      </w:r>
      <w:r w:rsidR="00784265">
        <w:rPr>
          <w:rFonts w:ascii="Traditional Arabic" w:hAnsi="Traditional Arabic" w:hint="cs"/>
          <w:noProof w:val="0"/>
          <w:rtl/>
          <w:lang w:eastAsia="en-US"/>
        </w:rPr>
        <w:t xml:space="preserve"> </w:t>
      </w:r>
      <w:r w:rsidRPr="00E51D72">
        <w:rPr>
          <w:rFonts w:ascii="Traditional Arabic" w:hAnsi="Traditional Arabic" w:hint="cs"/>
          <w:noProof w:val="0"/>
          <w:rtl/>
          <w:lang w:eastAsia="en-US"/>
        </w:rPr>
        <w:t xml:space="preserve">ولم </w:t>
      </w:r>
      <w:r w:rsidRPr="00E51D72">
        <w:rPr>
          <w:rFonts w:ascii="Traditional Arabic" w:hAnsi="Traditional Arabic"/>
          <w:noProof w:val="0"/>
          <w:rtl/>
          <w:lang w:eastAsia="en-US"/>
        </w:rPr>
        <w:t>يبي</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ن ما يحص</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ل به الإحياء</w:t>
      </w:r>
      <w:r w:rsidRPr="00E51D72">
        <w:rPr>
          <w:rFonts w:ascii="Traditional Arabic" w:hAnsi="Traditional Arabic" w:hint="cs"/>
          <w:noProof w:val="0"/>
          <w:rtl/>
          <w:lang w:eastAsia="en-US"/>
        </w:rPr>
        <w:t xml:space="preserve">، كان </w:t>
      </w:r>
      <w:r w:rsidRPr="00E51D72">
        <w:rPr>
          <w:rFonts w:ascii="Traditional Arabic" w:hAnsi="Traditional Arabic" w:hint="cs"/>
          <w:noProof w:val="0"/>
          <w:rtl/>
          <w:lang w:eastAsia="en-US"/>
        </w:rPr>
        <w:lastRenderedPageBreak/>
        <w:t>المرجِع في ذلك إلى العُرف؛</w:t>
      </w:r>
      <w:r w:rsidR="00784265">
        <w:rPr>
          <w:rFonts w:ascii="Traditional Arabic" w:hAnsi="Traditional Arabic" w:hint="cs"/>
          <w:noProof w:val="0"/>
          <w:rtl/>
          <w:lang w:eastAsia="en-US"/>
        </w:rPr>
        <w:t xml:space="preserve"> </w:t>
      </w:r>
      <w:r w:rsidRPr="00E51D72">
        <w:rPr>
          <w:rFonts w:ascii="Traditional Arabic" w:hAnsi="Traditional Arabic" w:hint="cs"/>
          <w:noProof w:val="0"/>
          <w:rtl/>
          <w:lang w:eastAsia="en-US"/>
        </w:rPr>
        <w:t>لأ</w:t>
      </w:r>
      <w:r w:rsidRPr="00E51D72">
        <w:rPr>
          <w:rFonts w:ascii="Traditional Arabic" w:hAnsi="Traditional Arabic"/>
          <w:noProof w:val="0"/>
          <w:rtl/>
          <w:lang w:eastAsia="en-US"/>
        </w:rPr>
        <w:t>ن القاعدة أن كل</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ما أ</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ط</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ل</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ق</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ه</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الشارع وليس له ح</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د</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في الشرع فم</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ر</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ج</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ع</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ه إلى الع</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رف</w:t>
      </w:r>
      <w:r w:rsidRPr="00C821A1">
        <w:rPr>
          <w:rStyle w:val="af1"/>
          <w:szCs w:val="32"/>
          <w:rtl/>
        </w:rPr>
        <w:t>(</w:t>
      </w:r>
      <w:r w:rsidRPr="00C821A1">
        <w:rPr>
          <w:rStyle w:val="af1"/>
          <w:szCs w:val="32"/>
          <w:rtl/>
        </w:rPr>
        <w:footnoteReference w:id="516"/>
      </w:r>
      <w:r w:rsidRPr="00C821A1">
        <w:rPr>
          <w:rStyle w:val="af1"/>
          <w:szCs w:val="32"/>
          <w:rtl/>
        </w:rPr>
        <w:t>)</w:t>
      </w:r>
      <w:r w:rsidRPr="00E51D72">
        <w:rPr>
          <w:rFonts w:ascii="Traditional Arabic" w:hAnsi="Traditional Arabic" w:hint="cs"/>
          <w:noProof w:val="0"/>
          <w:rtl/>
          <w:lang w:eastAsia="en-US"/>
        </w:rPr>
        <w:t>.</w:t>
      </w:r>
    </w:p>
    <w:p w:rsidR="00657189" w:rsidRDefault="00657189" w:rsidP="000A76C7">
      <w:pPr>
        <w:pStyle w:val="afc"/>
        <w:numPr>
          <w:ilvl w:val="0"/>
          <w:numId w:val="89"/>
        </w:numPr>
        <w:rPr>
          <w:rFonts w:ascii="Traditional Arabic" w:hAnsi="Traditional Arabic"/>
          <w:color w:val="auto"/>
        </w:rPr>
      </w:pPr>
      <w:r w:rsidRPr="002A0913">
        <w:rPr>
          <w:rFonts w:ascii="Traditional Arabic" w:hAnsi="Traditional Arabic" w:hint="cs"/>
          <w:color w:val="auto"/>
          <w:rtl/>
        </w:rPr>
        <w:t>إذا أَذِنَ الموكِّل لِوَكيله بالبيع إِذْناً مُطْلَقاً، فإنه ينصرِف إلى ما تَعارَفَه الناس من البيع بثمنِ الِمثْل</w:t>
      </w:r>
      <w:r w:rsidRPr="00C821A1">
        <w:rPr>
          <w:rStyle w:val="af1"/>
          <w:szCs w:val="32"/>
          <w:rtl/>
        </w:rPr>
        <w:t>(</w:t>
      </w:r>
      <w:r w:rsidRPr="00C821A1">
        <w:rPr>
          <w:rStyle w:val="af1"/>
          <w:szCs w:val="32"/>
          <w:rtl/>
        </w:rPr>
        <w:footnoteReference w:id="517"/>
      </w:r>
      <w:r w:rsidRPr="00C821A1">
        <w:rPr>
          <w:rStyle w:val="af1"/>
          <w:szCs w:val="32"/>
          <w:rtl/>
        </w:rPr>
        <w:t>)</w:t>
      </w:r>
      <w:r w:rsidRPr="002A0913">
        <w:rPr>
          <w:rFonts w:ascii="Traditional Arabic" w:hAnsi="Traditional Arabic" w:hint="cs"/>
          <w:color w:val="auto"/>
          <w:rtl/>
        </w:rPr>
        <w:t>.</w:t>
      </w:r>
    </w:p>
    <w:p w:rsidR="00657189" w:rsidRDefault="00657189" w:rsidP="00597C20">
      <w:pPr>
        <w:pStyle w:val="53"/>
        <w:rPr>
          <w:rtl/>
        </w:rPr>
      </w:pPr>
      <w:r w:rsidRPr="00CA545E">
        <w:rPr>
          <w:rFonts w:hint="cs"/>
          <w:rtl/>
        </w:rPr>
        <w:t>وجه اندراج الفرع تحت القاعدة:</w:t>
      </w:r>
    </w:p>
    <w:p w:rsidR="00657189" w:rsidRDefault="00657189" w:rsidP="00597C20">
      <w:pPr>
        <w:pStyle w:val="afc"/>
        <w:ind w:left="0" w:firstLine="720"/>
        <w:rPr>
          <w:rFonts w:ascii="Traditional Arabic" w:hAnsi="Traditional Arabic"/>
          <w:noProof w:val="0"/>
          <w:rtl/>
          <w:lang w:eastAsia="en-US"/>
        </w:rPr>
      </w:pPr>
      <w:r>
        <w:rPr>
          <w:rFonts w:ascii="Traditional Arabic" w:hAnsi="Traditional Arabic" w:hint="cs"/>
          <w:noProof w:val="0"/>
          <w:rtl/>
          <w:lang w:eastAsia="en-US"/>
        </w:rPr>
        <w:t>إن الإذن لما ورد مُطلقاً ولم يُحَدَّ في اللغة ولا في الشرع، يرُجَع في تحديده إلى العُرف؛ لأن القاعدة أن ما أتى ولم يحدَّد بالشرع فالمرجِع فيه إلى العُرف.</w:t>
      </w:r>
    </w:p>
    <w:p w:rsidR="003E0A64" w:rsidRDefault="003E0A64" w:rsidP="00597C20">
      <w:pPr>
        <w:pStyle w:val="afc"/>
        <w:ind w:left="0" w:firstLine="720"/>
        <w:rPr>
          <w:rFonts w:ascii="Traditional Arabic" w:hAnsi="Traditional Arabic"/>
          <w:noProof w:val="0"/>
          <w:rtl/>
          <w:lang w:eastAsia="en-US"/>
        </w:rPr>
      </w:pPr>
    </w:p>
    <w:p w:rsidR="003E0A64" w:rsidRPr="00A243A5" w:rsidRDefault="003E0A64" w:rsidP="00597C20">
      <w:pPr>
        <w:pStyle w:val="afc"/>
        <w:ind w:left="0" w:firstLine="720"/>
        <w:rPr>
          <w:rFonts w:ascii="Traditional Arabic" w:hAnsi="Traditional Arabic"/>
          <w:noProof w:val="0"/>
          <w:lang w:eastAsia="en-US"/>
        </w:rPr>
      </w:pPr>
    </w:p>
    <w:p w:rsidR="00335A5B" w:rsidRPr="00C85F0F" w:rsidRDefault="00690470" w:rsidP="000F5C0F">
      <w:pPr>
        <w:pStyle w:val="aff2"/>
        <w:rPr>
          <w:rtl/>
        </w:rPr>
      </w:pPr>
      <w:bookmarkStart w:id="105" w:name="_Toc334046360"/>
      <w:r>
        <w:rPr>
          <w:rFonts w:hint="cs"/>
          <w:rtl/>
        </w:rPr>
        <w:lastRenderedPageBreak/>
        <w:t>المبحث الخام</w:t>
      </w:r>
      <w:r w:rsidR="00335A5B" w:rsidRPr="00335A5B">
        <w:rPr>
          <w:rFonts w:hint="cs"/>
          <w:rtl/>
        </w:rPr>
        <w:t>س</w:t>
      </w:r>
      <w:r w:rsidR="00335A5B" w:rsidRPr="00335A5B">
        <w:rPr>
          <w:rFonts w:hint="eastAsia"/>
          <w:rtl/>
        </w:rPr>
        <w:t> :</w:t>
      </w:r>
      <w:r w:rsidR="00335A5B" w:rsidRPr="00335A5B">
        <w:rPr>
          <w:rFonts w:hint="cs"/>
          <w:rtl/>
        </w:rPr>
        <w:br/>
        <w:t>قاعدة</w:t>
      </w:r>
      <w:r w:rsidR="00335A5B" w:rsidRPr="00335A5B">
        <w:rPr>
          <w:rtl/>
        </w:rPr>
        <w:br/>
      </w:r>
      <w:r>
        <w:rPr>
          <w:rFonts w:hint="cs"/>
          <w:rtl/>
        </w:rPr>
        <w:t>"العقود تنعقد</w:t>
      </w:r>
      <w:r w:rsidR="00335A5B" w:rsidRPr="00335A5B">
        <w:rPr>
          <w:rFonts w:hint="cs"/>
          <w:rtl/>
        </w:rPr>
        <w:t xml:space="preserve"> بما دل عليها عرفا</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العقودتنعقدبمادلعليهاعرفا</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335A5B" w:rsidRPr="00C85F0F">
        <w:rPr>
          <w:rFonts w:hint="cs"/>
          <w:rtl/>
        </w:rPr>
        <w:t>"</w:t>
      </w:r>
      <w:r w:rsidR="00335A5B" w:rsidRPr="00C85F0F">
        <w:rPr>
          <w:szCs w:val="32"/>
          <w:vertAlign w:val="superscript"/>
          <w:rtl/>
        </w:rPr>
        <w:t>(</w:t>
      </w:r>
      <w:r w:rsidR="00335A5B" w:rsidRPr="00C85F0F">
        <w:rPr>
          <w:szCs w:val="32"/>
          <w:vertAlign w:val="superscript"/>
          <w:rtl/>
        </w:rPr>
        <w:footnoteReference w:id="518"/>
      </w:r>
      <w:r w:rsidR="00335A5B" w:rsidRPr="00C85F0F">
        <w:rPr>
          <w:szCs w:val="32"/>
          <w:vertAlign w:val="superscript"/>
          <w:rtl/>
        </w:rPr>
        <w:t>)</w:t>
      </w:r>
      <w:bookmarkEnd w:id="105"/>
    </w:p>
    <w:p w:rsidR="00335A5B" w:rsidRPr="00C85F0F" w:rsidRDefault="00420F71" w:rsidP="00A8347C">
      <w:pPr>
        <w:pStyle w:val="aff3"/>
        <w:rPr>
          <w:rtl/>
        </w:rPr>
      </w:pPr>
      <w:bookmarkStart w:id="106" w:name="_Toc334046361"/>
      <w:r>
        <w:rPr>
          <w:rFonts w:hint="cs"/>
          <w:rtl/>
        </w:rPr>
        <w:t xml:space="preserve">                     </w:t>
      </w:r>
      <w:r w:rsidR="00784265">
        <w:rPr>
          <w:rFonts w:hint="cs"/>
          <w:rtl/>
        </w:rPr>
        <w:t xml:space="preserve">                    </w:t>
      </w:r>
      <w:r w:rsidR="00335A5B" w:rsidRPr="00C85F0F">
        <w:rPr>
          <w:rFonts w:hint="cs"/>
          <w:rtl/>
        </w:rPr>
        <w:t>المطلب الأول</w:t>
      </w:r>
      <w:r w:rsidR="00335A5B" w:rsidRPr="00C85F0F">
        <w:rPr>
          <w:rFonts w:hint="eastAsia"/>
          <w:rtl/>
        </w:rPr>
        <w:t> :</w:t>
      </w:r>
      <w:r w:rsidR="00335A5B" w:rsidRPr="00C85F0F">
        <w:rPr>
          <w:rFonts w:hint="cs"/>
          <w:rtl/>
        </w:rPr>
        <w:br/>
      </w:r>
      <w:r>
        <w:rPr>
          <w:rFonts w:hint="cs"/>
          <w:rtl/>
        </w:rPr>
        <w:t xml:space="preserve">                   </w:t>
      </w:r>
      <w:r w:rsidR="00784265">
        <w:rPr>
          <w:rFonts w:hint="cs"/>
          <w:rtl/>
        </w:rPr>
        <w:t xml:space="preserve">     </w:t>
      </w:r>
      <w:r w:rsidR="00335A5B" w:rsidRPr="00C85F0F">
        <w:rPr>
          <w:rFonts w:hint="cs"/>
          <w:rtl/>
        </w:rPr>
        <w:t>صيغ القاعدة عند الشيخ وعند علماء القواعد</w:t>
      </w:r>
      <w:bookmarkEnd w:id="106"/>
    </w:p>
    <w:p w:rsidR="00335A5B" w:rsidRPr="00C85F0F" w:rsidRDefault="00335A5B" w:rsidP="00597C20">
      <w:pPr>
        <w:rPr>
          <w:rtl/>
        </w:rPr>
      </w:pPr>
      <w:r w:rsidRPr="00C85F0F">
        <w:rPr>
          <w:rFonts w:hint="cs"/>
          <w:rtl/>
        </w:rPr>
        <w:t xml:space="preserve">وردت هذه القاعدة عند الشيخ ابن عثيمين </w:t>
      </w:r>
      <w:r w:rsidR="00784265">
        <w:rPr>
          <w:rFonts w:hint="cs"/>
          <w:rtl/>
        </w:rPr>
        <w:t>_</w:t>
      </w:r>
      <w:r w:rsidRPr="005D5694">
        <w:rPr>
          <w:rFonts w:cs="CTraditional Arabic" w:hint="cs"/>
          <w:color w:val="auto"/>
          <w:rtl/>
        </w:rPr>
        <w:t>/</w:t>
      </w:r>
      <w:r w:rsidR="00784265">
        <w:rPr>
          <w:rFonts w:hint="cs"/>
          <w:rtl/>
        </w:rPr>
        <w:t>_</w:t>
      </w:r>
      <w:r w:rsidRPr="00C85F0F">
        <w:rPr>
          <w:rFonts w:hint="cs"/>
          <w:rtl/>
        </w:rPr>
        <w:t>بعدة صيغ، منها:</w:t>
      </w:r>
    </w:p>
    <w:p w:rsidR="00335A5B" w:rsidRPr="00C85F0F" w:rsidRDefault="00335A5B" w:rsidP="000A76C7">
      <w:pPr>
        <w:numPr>
          <w:ilvl w:val="0"/>
          <w:numId w:val="91"/>
        </w:numPr>
      </w:pPr>
      <w:r w:rsidRPr="00C85F0F">
        <w:rPr>
          <w:rFonts w:hint="cs"/>
          <w:rtl/>
        </w:rPr>
        <w:t>العقود تَنعقِد بما دَلَّ عليها عُرْفاً</w:t>
      </w:r>
      <w:r w:rsidRPr="00C85F0F">
        <w:rPr>
          <w:rStyle w:val="af1"/>
          <w:rFonts w:ascii="Tahoma" w:hAnsi="Tahoma"/>
          <w:szCs w:val="32"/>
          <w:rtl/>
        </w:rPr>
        <w:t>(</w:t>
      </w:r>
      <w:r w:rsidRPr="00C85F0F">
        <w:rPr>
          <w:rStyle w:val="af1"/>
          <w:rFonts w:ascii="Tahoma" w:hAnsi="Tahoma"/>
          <w:szCs w:val="32"/>
          <w:rtl/>
        </w:rPr>
        <w:footnoteReference w:id="519"/>
      </w:r>
      <w:r w:rsidRPr="00C85F0F">
        <w:rPr>
          <w:rStyle w:val="af1"/>
          <w:rFonts w:ascii="Tahoma" w:hAnsi="Tahoma"/>
          <w:szCs w:val="32"/>
          <w:rtl/>
        </w:rPr>
        <w:t>)</w:t>
      </w:r>
      <w:r w:rsidRPr="00C85F0F">
        <w:rPr>
          <w:rFonts w:hint="cs"/>
          <w:rtl/>
        </w:rPr>
        <w:t>.</w:t>
      </w:r>
    </w:p>
    <w:p w:rsidR="00335A5B" w:rsidRPr="00C85F0F" w:rsidRDefault="00335A5B" w:rsidP="000A76C7">
      <w:pPr>
        <w:numPr>
          <w:ilvl w:val="0"/>
          <w:numId w:val="91"/>
        </w:numPr>
      </w:pPr>
      <w:r w:rsidRPr="00C85F0F">
        <w:rPr>
          <w:rFonts w:hint="cs"/>
          <w:rtl/>
        </w:rPr>
        <w:t>العقود تنعقد بما دلَّ عليها</w:t>
      </w:r>
      <w:r w:rsidRPr="00C85F0F">
        <w:rPr>
          <w:rStyle w:val="af1"/>
          <w:rFonts w:ascii="Tahoma" w:hAnsi="Tahoma"/>
          <w:szCs w:val="32"/>
          <w:rtl/>
        </w:rPr>
        <w:t>(</w:t>
      </w:r>
      <w:r w:rsidRPr="00C85F0F">
        <w:rPr>
          <w:rStyle w:val="af1"/>
          <w:rFonts w:ascii="Tahoma" w:hAnsi="Tahoma"/>
          <w:szCs w:val="32"/>
          <w:rtl/>
        </w:rPr>
        <w:footnoteReference w:id="520"/>
      </w:r>
      <w:r w:rsidRPr="00C85F0F">
        <w:rPr>
          <w:rStyle w:val="af1"/>
          <w:rFonts w:ascii="Tahoma" w:hAnsi="Tahoma"/>
          <w:szCs w:val="32"/>
          <w:rtl/>
        </w:rPr>
        <w:t>)</w:t>
      </w:r>
      <w:r w:rsidRPr="00C85F0F">
        <w:rPr>
          <w:rFonts w:hint="cs"/>
          <w:rtl/>
        </w:rPr>
        <w:t>.</w:t>
      </w:r>
    </w:p>
    <w:p w:rsidR="00335A5B" w:rsidRPr="00C85F0F" w:rsidRDefault="00335A5B" w:rsidP="000A76C7">
      <w:pPr>
        <w:numPr>
          <w:ilvl w:val="0"/>
          <w:numId w:val="91"/>
        </w:numPr>
      </w:pPr>
      <w:r w:rsidRPr="00C85F0F">
        <w:rPr>
          <w:rFonts w:ascii="Traditional Arabic" w:hAnsi="Traditional Arabic"/>
          <w:noProof w:val="0"/>
          <w:rtl/>
          <w:lang w:eastAsia="en-US"/>
        </w:rPr>
        <w:t>جميع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العقود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تنعق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بما دل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عليه اللفظ</w:t>
      </w:r>
      <w:r w:rsidRPr="00C85F0F">
        <w:rPr>
          <w:rFonts w:ascii="Traditional Arabic" w:hAnsi="Traditional Arabic" w:hint="cs"/>
          <w:noProof w:val="0"/>
          <w:rtl/>
          <w:lang w:eastAsia="en-US"/>
        </w:rPr>
        <w:t>ُ</w:t>
      </w:r>
      <w:r w:rsidR="00420F71">
        <w:rPr>
          <w:rFonts w:ascii="Traditional Arabic" w:hAnsi="Traditional Arabic" w:hint="cs"/>
          <w:noProof w:val="0"/>
          <w:rtl/>
          <w:lang w:eastAsia="en-US"/>
        </w:rPr>
        <w:t xml:space="preserve"> </w:t>
      </w:r>
      <w:r w:rsidRPr="00C85F0F">
        <w:rPr>
          <w:rFonts w:ascii="Traditional Arabic" w:hAnsi="Traditional Arabic"/>
          <w:noProof w:val="0"/>
          <w:rtl/>
          <w:lang w:eastAsia="en-US"/>
        </w:rPr>
        <w:t>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فا</w:t>
      </w:r>
      <w:r w:rsidRPr="00C85F0F">
        <w:rPr>
          <w:rFonts w:ascii="Traditional Arabic" w:hAnsi="Traditional Arabic" w:hint="cs"/>
          <w:noProof w:val="0"/>
          <w:rtl/>
          <w:lang w:eastAsia="en-US"/>
        </w:rPr>
        <w:t>ً</w:t>
      </w:r>
      <w:r w:rsidRPr="00C85F0F">
        <w:rPr>
          <w:rStyle w:val="af1"/>
          <w:rFonts w:ascii="Tahoma" w:hAnsi="Tahoma"/>
          <w:szCs w:val="32"/>
          <w:rtl/>
        </w:rPr>
        <w:t>(</w:t>
      </w:r>
      <w:r w:rsidRPr="00C85F0F">
        <w:rPr>
          <w:rStyle w:val="af1"/>
          <w:rFonts w:ascii="Tahoma" w:hAnsi="Tahoma"/>
          <w:szCs w:val="32"/>
          <w:rtl/>
        </w:rPr>
        <w:footnoteReference w:id="521"/>
      </w:r>
      <w:r w:rsidRPr="00C85F0F">
        <w:rPr>
          <w:rStyle w:val="af1"/>
          <w:rFonts w:ascii="Tahoma" w:hAnsi="Tahoma"/>
          <w:szCs w:val="32"/>
          <w:rtl/>
        </w:rPr>
        <w:t>)</w:t>
      </w:r>
      <w:r w:rsidRPr="00C85F0F">
        <w:rPr>
          <w:rFonts w:hint="cs"/>
          <w:rtl/>
        </w:rPr>
        <w:t>.</w:t>
      </w:r>
    </w:p>
    <w:p w:rsidR="00335A5B" w:rsidRPr="00C85F0F" w:rsidRDefault="00335A5B" w:rsidP="000A76C7">
      <w:pPr>
        <w:numPr>
          <w:ilvl w:val="0"/>
          <w:numId w:val="91"/>
        </w:numPr>
      </w:pPr>
      <w:r w:rsidRPr="00C85F0F">
        <w:rPr>
          <w:rFonts w:hint="cs"/>
          <w:rtl/>
        </w:rPr>
        <w:t>كلُّ ما دلَّ على المعنى فهو مما تنعقِد به العقود</w:t>
      </w:r>
      <w:r w:rsidRPr="00C85F0F">
        <w:rPr>
          <w:rStyle w:val="af1"/>
          <w:rFonts w:ascii="Tahoma" w:hAnsi="Tahoma"/>
          <w:szCs w:val="32"/>
          <w:rtl/>
        </w:rPr>
        <w:t>(</w:t>
      </w:r>
      <w:r w:rsidRPr="00C85F0F">
        <w:rPr>
          <w:rStyle w:val="af1"/>
          <w:rFonts w:ascii="Tahoma" w:hAnsi="Tahoma"/>
          <w:szCs w:val="32"/>
          <w:rtl/>
        </w:rPr>
        <w:footnoteReference w:id="522"/>
      </w:r>
      <w:r w:rsidRPr="00C85F0F">
        <w:rPr>
          <w:rStyle w:val="af1"/>
          <w:rFonts w:ascii="Tahoma" w:hAnsi="Tahoma"/>
          <w:szCs w:val="32"/>
          <w:rtl/>
        </w:rPr>
        <w:t>)</w:t>
      </w:r>
      <w:r w:rsidRPr="00C85F0F">
        <w:rPr>
          <w:rFonts w:hint="cs"/>
          <w:rtl/>
        </w:rPr>
        <w:t>.</w:t>
      </w:r>
    </w:p>
    <w:p w:rsidR="00335A5B" w:rsidRPr="00C85F0F" w:rsidRDefault="00335A5B" w:rsidP="000A76C7">
      <w:pPr>
        <w:numPr>
          <w:ilvl w:val="0"/>
          <w:numId w:val="91"/>
        </w:numPr>
      </w:pPr>
      <w:r w:rsidRPr="00C85F0F">
        <w:rPr>
          <w:rFonts w:ascii="Traditional Arabic" w:hAnsi="Traditional Arabic" w:hint="cs"/>
          <w:rtl/>
        </w:rPr>
        <w:t>كلُّ لَفْظٍ يدُلُّ على العقد فإن اللفظ ينعقِد به</w:t>
      </w:r>
      <w:r w:rsidRPr="00C85F0F">
        <w:rPr>
          <w:rStyle w:val="af1"/>
          <w:rFonts w:ascii="Tahoma" w:hAnsi="Tahoma"/>
          <w:szCs w:val="32"/>
          <w:rtl/>
        </w:rPr>
        <w:t>(</w:t>
      </w:r>
      <w:r w:rsidRPr="00C85F0F">
        <w:rPr>
          <w:rStyle w:val="af1"/>
          <w:rFonts w:ascii="Tahoma" w:hAnsi="Tahoma"/>
          <w:szCs w:val="32"/>
          <w:rtl/>
        </w:rPr>
        <w:footnoteReference w:id="523"/>
      </w:r>
      <w:r w:rsidRPr="00C85F0F">
        <w:rPr>
          <w:rStyle w:val="af1"/>
          <w:rFonts w:ascii="Tahoma" w:hAnsi="Tahoma"/>
          <w:szCs w:val="32"/>
          <w:rtl/>
        </w:rPr>
        <w:t>)</w:t>
      </w:r>
      <w:r w:rsidRPr="00C85F0F">
        <w:rPr>
          <w:rFonts w:ascii="Traditional Arabic" w:hAnsi="Traditional Arabic" w:hint="cs"/>
          <w:rtl/>
        </w:rPr>
        <w:t>.</w:t>
      </w:r>
    </w:p>
    <w:p w:rsidR="00335A5B" w:rsidRPr="00C85F0F" w:rsidRDefault="00335A5B" w:rsidP="000A76C7">
      <w:pPr>
        <w:numPr>
          <w:ilvl w:val="0"/>
          <w:numId w:val="91"/>
        </w:numPr>
      </w:pPr>
      <w:r w:rsidRPr="00C85F0F">
        <w:rPr>
          <w:rFonts w:hint="cs"/>
          <w:rtl/>
        </w:rPr>
        <w:t>جميع العقود تنعقِد بكلِّ ما دلَّ عليها مِن قولٍ أو فِعلٍ</w:t>
      </w:r>
      <w:r w:rsidRPr="00C85F0F">
        <w:rPr>
          <w:rStyle w:val="af1"/>
          <w:rFonts w:ascii="Tahoma" w:hAnsi="Tahoma"/>
          <w:szCs w:val="32"/>
          <w:rtl/>
        </w:rPr>
        <w:t>(</w:t>
      </w:r>
      <w:r w:rsidRPr="00C85F0F">
        <w:rPr>
          <w:rStyle w:val="af1"/>
          <w:rFonts w:ascii="Tahoma" w:hAnsi="Tahoma"/>
          <w:szCs w:val="32"/>
          <w:rtl/>
        </w:rPr>
        <w:footnoteReference w:id="524"/>
      </w:r>
      <w:r w:rsidRPr="00C85F0F">
        <w:rPr>
          <w:rStyle w:val="af1"/>
          <w:rFonts w:ascii="Tahoma" w:hAnsi="Tahoma"/>
          <w:szCs w:val="32"/>
          <w:rtl/>
        </w:rPr>
        <w:t>)</w:t>
      </w:r>
      <w:r w:rsidRPr="00C85F0F">
        <w:rPr>
          <w:rFonts w:hint="cs"/>
          <w:rtl/>
        </w:rPr>
        <w:t>.</w:t>
      </w:r>
    </w:p>
    <w:p w:rsidR="00335A5B" w:rsidRPr="00C85F0F" w:rsidRDefault="00335A5B" w:rsidP="000A76C7">
      <w:pPr>
        <w:numPr>
          <w:ilvl w:val="0"/>
          <w:numId w:val="91"/>
        </w:numPr>
      </w:pPr>
      <w:r w:rsidRPr="00C85F0F">
        <w:rPr>
          <w:rFonts w:hint="cs"/>
          <w:rtl/>
        </w:rPr>
        <w:t>جميع العقود تنعقِد بما تَعارَفَهُ الناس</w:t>
      </w:r>
      <w:r w:rsidRPr="00C85F0F">
        <w:rPr>
          <w:rStyle w:val="af1"/>
          <w:rFonts w:ascii="Tahoma" w:hAnsi="Tahoma"/>
          <w:szCs w:val="32"/>
          <w:rtl/>
        </w:rPr>
        <w:t>(</w:t>
      </w:r>
      <w:r w:rsidRPr="00C85F0F">
        <w:rPr>
          <w:rStyle w:val="af1"/>
          <w:rFonts w:ascii="Tahoma" w:hAnsi="Tahoma"/>
          <w:szCs w:val="32"/>
          <w:rtl/>
        </w:rPr>
        <w:footnoteReference w:id="525"/>
      </w:r>
      <w:r w:rsidRPr="00C85F0F">
        <w:rPr>
          <w:rStyle w:val="af1"/>
          <w:rFonts w:ascii="Tahoma" w:hAnsi="Tahoma"/>
          <w:szCs w:val="32"/>
          <w:rtl/>
        </w:rPr>
        <w:t>)</w:t>
      </w:r>
      <w:r w:rsidRPr="00C85F0F">
        <w:rPr>
          <w:rFonts w:hint="cs"/>
          <w:rtl/>
        </w:rPr>
        <w:t>.</w:t>
      </w:r>
    </w:p>
    <w:p w:rsidR="00335A5B" w:rsidRPr="00C85F0F" w:rsidRDefault="00335A5B" w:rsidP="00597C20">
      <w:pPr>
        <w:rPr>
          <w:rtl/>
        </w:rPr>
      </w:pPr>
      <w:r w:rsidRPr="00C85F0F">
        <w:rPr>
          <w:rFonts w:hint="cs"/>
          <w:rtl/>
        </w:rPr>
        <w:lastRenderedPageBreak/>
        <w:t>و وردت هذه القاعدة عند علماء القواعد بعدة صيغ، منها:</w:t>
      </w:r>
    </w:p>
    <w:p w:rsidR="00335A5B" w:rsidRPr="00C85F0F" w:rsidRDefault="00335A5B" w:rsidP="000A76C7">
      <w:pPr>
        <w:pStyle w:val="afc"/>
        <w:numPr>
          <w:ilvl w:val="0"/>
          <w:numId w:val="92"/>
        </w:numPr>
        <w:rPr>
          <w:color w:val="auto"/>
        </w:rPr>
      </w:pPr>
      <w:r w:rsidRPr="00C85F0F">
        <w:rPr>
          <w:rFonts w:hint="cs"/>
          <w:color w:val="auto"/>
          <w:rtl/>
        </w:rPr>
        <w:t>تنعقِد العقود بكلِّ ما دَلَّ على مَقْصودها مِن قولٍ أو فِعل</w:t>
      </w:r>
      <w:r w:rsidRPr="00C85F0F">
        <w:rPr>
          <w:rStyle w:val="af1"/>
          <w:rFonts w:ascii="Tahoma" w:hAnsi="Tahoma"/>
          <w:color w:val="auto"/>
          <w:szCs w:val="32"/>
          <w:rtl/>
        </w:rPr>
        <w:t>(</w:t>
      </w:r>
      <w:r w:rsidRPr="00C85F0F">
        <w:rPr>
          <w:rStyle w:val="af1"/>
          <w:rFonts w:ascii="Tahoma" w:hAnsi="Tahoma"/>
          <w:color w:val="auto"/>
          <w:szCs w:val="32"/>
          <w:rtl/>
        </w:rPr>
        <w:footnoteReference w:id="526"/>
      </w:r>
      <w:r w:rsidRPr="00C85F0F">
        <w:rPr>
          <w:rStyle w:val="af1"/>
          <w:rFonts w:ascii="Tahoma" w:hAnsi="Tahoma"/>
          <w:color w:val="auto"/>
          <w:szCs w:val="32"/>
          <w:rtl/>
        </w:rPr>
        <w:t>)</w:t>
      </w:r>
      <w:r w:rsidRPr="00C85F0F">
        <w:rPr>
          <w:rFonts w:hint="cs"/>
          <w:color w:val="auto"/>
          <w:rtl/>
        </w:rPr>
        <w:t>.</w:t>
      </w:r>
    </w:p>
    <w:p w:rsidR="00335A5B" w:rsidRPr="00C85F0F" w:rsidRDefault="00335A5B" w:rsidP="000A76C7">
      <w:pPr>
        <w:pStyle w:val="afc"/>
        <w:numPr>
          <w:ilvl w:val="0"/>
          <w:numId w:val="92"/>
        </w:numPr>
      </w:pPr>
      <w:r w:rsidRPr="00C85F0F">
        <w:rPr>
          <w:rFonts w:hint="cs"/>
          <w:rtl/>
        </w:rPr>
        <w:t>العقود تصح بكلِّ ما دَلَّ على مَقْصودها مِن قولٍ أو فِعل</w:t>
      </w:r>
      <w:r w:rsidRPr="00C85F0F">
        <w:rPr>
          <w:rStyle w:val="af1"/>
          <w:rFonts w:ascii="Tahoma" w:hAnsi="Tahoma"/>
          <w:szCs w:val="32"/>
          <w:rtl/>
        </w:rPr>
        <w:t>(</w:t>
      </w:r>
      <w:r w:rsidRPr="00C85F0F">
        <w:rPr>
          <w:rStyle w:val="af1"/>
          <w:rFonts w:ascii="Tahoma" w:hAnsi="Tahoma"/>
          <w:szCs w:val="32"/>
          <w:rtl/>
        </w:rPr>
        <w:footnoteReference w:id="527"/>
      </w:r>
      <w:r w:rsidRPr="00C85F0F">
        <w:rPr>
          <w:rStyle w:val="af1"/>
          <w:rFonts w:ascii="Tahoma" w:hAnsi="Tahoma"/>
          <w:szCs w:val="32"/>
          <w:rtl/>
        </w:rPr>
        <w:t>)</w:t>
      </w:r>
      <w:r w:rsidRPr="00C85F0F">
        <w:rPr>
          <w:rFonts w:hint="cs"/>
          <w:rtl/>
        </w:rPr>
        <w:t>.</w:t>
      </w:r>
    </w:p>
    <w:p w:rsidR="00335A5B" w:rsidRPr="00C85F0F" w:rsidRDefault="00335A5B" w:rsidP="000A76C7">
      <w:pPr>
        <w:pStyle w:val="afc"/>
        <w:numPr>
          <w:ilvl w:val="0"/>
          <w:numId w:val="92"/>
        </w:numPr>
      </w:pPr>
      <w:r w:rsidRPr="00C85F0F">
        <w:rPr>
          <w:rFonts w:ascii="Traditional Arabic" w:hAnsi="Traditional Arabic"/>
          <w:noProof w:val="0"/>
          <w:rtl/>
          <w:lang w:eastAsia="en-US"/>
        </w:rPr>
        <w:t>العقود تنعقد بما يدل على مقصودها من قول أو فعل</w:t>
      </w:r>
      <w:r w:rsidRPr="00C85F0F">
        <w:rPr>
          <w:rStyle w:val="af1"/>
          <w:szCs w:val="32"/>
          <w:rtl/>
        </w:rPr>
        <w:t>(</w:t>
      </w:r>
      <w:r w:rsidRPr="00C85F0F">
        <w:rPr>
          <w:rStyle w:val="af1"/>
          <w:szCs w:val="32"/>
          <w:rtl/>
        </w:rPr>
        <w:footnoteReference w:id="528"/>
      </w:r>
      <w:r w:rsidRPr="00C85F0F">
        <w:rPr>
          <w:rStyle w:val="af1"/>
          <w:szCs w:val="32"/>
          <w:rtl/>
        </w:rPr>
        <w:t>)</w:t>
      </w:r>
      <w:r w:rsidRPr="00C85F0F">
        <w:rPr>
          <w:rtl/>
        </w:rPr>
        <w:t>.</w:t>
      </w:r>
    </w:p>
    <w:p w:rsidR="00335A5B" w:rsidRPr="00C85F0F" w:rsidRDefault="00335A5B" w:rsidP="000A76C7">
      <w:pPr>
        <w:pStyle w:val="afc"/>
        <w:numPr>
          <w:ilvl w:val="0"/>
          <w:numId w:val="92"/>
        </w:numPr>
      </w:pPr>
      <w:r w:rsidRPr="00C85F0F">
        <w:rPr>
          <w:rFonts w:hint="cs"/>
          <w:rtl/>
        </w:rPr>
        <w:t>تنعقِد العقود بكلِّ ما دلَّ عليها من قولٍ أو فِعلٍ</w:t>
      </w:r>
      <w:r w:rsidRPr="00C85F0F">
        <w:rPr>
          <w:rStyle w:val="af1"/>
          <w:rFonts w:ascii="Tahoma" w:hAnsi="Tahoma"/>
          <w:szCs w:val="32"/>
          <w:rtl/>
        </w:rPr>
        <w:t>(</w:t>
      </w:r>
      <w:r w:rsidRPr="00C85F0F">
        <w:rPr>
          <w:rStyle w:val="af1"/>
          <w:rFonts w:ascii="Tahoma" w:hAnsi="Tahoma"/>
          <w:szCs w:val="32"/>
          <w:rtl/>
        </w:rPr>
        <w:footnoteReference w:id="529"/>
      </w:r>
      <w:r w:rsidRPr="00C85F0F">
        <w:rPr>
          <w:rStyle w:val="af1"/>
          <w:rFonts w:ascii="Tahoma" w:hAnsi="Tahoma"/>
          <w:szCs w:val="32"/>
          <w:rtl/>
        </w:rPr>
        <w:t>)</w:t>
      </w:r>
      <w:r w:rsidRPr="00C85F0F">
        <w:rPr>
          <w:rFonts w:hint="cs"/>
          <w:rtl/>
        </w:rPr>
        <w:t>.</w:t>
      </w:r>
    </w:p>
    <w:p w:rsidR="00E51D72" w:rsidRPr="00E63327" w:rsidRDefault="00420F71" w:rsidP="00A8347C">
      <w:pPr>
        <w:pStyle w:val="aff3"/>
        <w:rPr>
          <w:rtl/>
        </w:rPr>
      </w:pPr>
      <w:bookmarkStart w:id="107" w:name="_Toc334046362"/>
      <w:r>
        <w:rPr>
          <w:rFonts w:hint="cs"/>
          <w:rtl/>
        </w:rPr>
        <w:t xml:space="preserve">                 </w:t>
      </w:r>
      <w:r w:rsidR="001D2EC1">
        <w:rPr>
          <w:rFonts w:hint="cs"/>
          <w:rtl/>
        </w:rPr>
        <w:t xml:space="preserve">                         </w:t>
      </w:r>
      <w:r w:rsidR="00335A5B" w:rsidRPr="00C85F0F">
        <w:rPr>
          <w:rFonts w:hint="cs"/>
          <w:rtl/>
        </w:rPr>
        <w:t>المطلب الثاني</w:t>
      </w:r>
      <w:r w:rsidR="00335A5B" w:rsidRPr="00C85F0F">
        <w:rPr>
          <w:rFonts w:hint="eastAsia"/>
          <w:rtl/>
        </w:rPr>
        <w:t> :</w:t>
      </w:r>
      <w:r w:rsidR="00335A5B" w:rsidRPr="00C85F0F">
        <w:rPr>
          <w:rtl/>
        </w:rPr>
        <w:br/>
      </w:r>
      <w:r>
        <w:rPr>
          <w:rFonts w:hint="cs"/>
          <w:rtl/>
        </w:rPr>
        <w:t xml:space="preserve">                </w:t>
      </w:r>
      <w:r w:rsidR="001D2EC1">
        <w:rPr>
          <w:rFonts w:hint="cs"/>
          <w:rtl/>
        </w:rPr>
        <w:t xml:space="preserve">                           </w:t>
      </w:r>
      <w:r w:rsidR="00335A5B" w:rsidRPr="00C85F0F">
        <w:rPr>
          <w:rFonts w:hint="cs"/>
          <w:rtl/>
        </w:rPr>
        <w:t>شرح القاعدة</w:t>
      </w:r>
      <w:bookmarkEnd w:id="107"/>
    </w:p>
    <w:p w:rsidR="00065E4B" w:rsidRDefault="00065E4B" w:rsidP="00597C20">
      <w:pPr>
        <w:pStyle w:val="53"/>
        <w:rPr>
          <w:rtl/>
        </w:rPr>
      </w:pPr>
      <w:r>
        <w:rPr>
          <w:rFonts w:hint="cs"/>
          <w:rtl/>
        </w:rPr>
        <w:t>م</w:t>
      </w:r>
      <w:r w:rsidR="00335A5B">
        <w:rPr>
          <w:rFonts w:hint="cs"/>
          <w:rtl/>
        </w:rPr>
        <w:t>عنى القاعدة إجمالا:</w:t>
      </w:r>
    </w:p>
    <w:p w:rsidR="00335A5B" w:rsidRPr="009E6850" w:rsidRDefault="00784265" w:rsidP="00597C20">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color w:val="auto"/>
          <w:rtl/>
          <w:lang w:eastAsia="en-US"/>
        </w:rPr>
        <w:t xml:space="preserve">    </w:t>
      </w:r>
      <w:r w:rsidR="00065E4B">
        <w:rPr>
          <w:rFonts w:ascii="Traditional Arabic" w:hAnsi="Traditional Arabic" w:hint="cs"/>
          <w:noProof w:val="0"/>
          <w:color w:val="auto"/>
          <w:rtl/>
          <w:lang w:eastAsia="en-US"/>
        </w:rPr>
        <w:t>ا</w:t>
      </w:r>
      <w:r w:rsidR="00335A5B">
        <w:rPr>
          <w:rFonts w:ascii="Traditional Arabic" w:hAnsi="Traditional Arabic" w:hint="cs"/>
          <w:noProof w:val="0"/>
          <w:color w:val="auto"/>
          <w:rtl/>
          <w:lang w:eastAsia="en-US"/>
        </w:rPr>
        <w:t xml:space="preserve">شترَط الشارع الرِّضا بين الطرفين في جميع العقود، ولم يشترط لِلعقود ألفاظاً مُعيَّنةً، </w:t>
      </w:r>
      <w:r w:rsidR="00335A5B">
        <w:rPr>
          <w:rFonts w:ascii="Traditional Arabic" w:hAnsi="Traditional Arabic" w:hint="cs"/>
          <w:noProof w:val="0"/>
          <w:rtl/>
          <w:lang w:eastAsia="en-US"/>
        </w:rPr>
        <w:t>و</w:t>
      </w:r>
      <w:r w:rsidR="00335A5B" w:rsidRPr="00626256">
        <w:rPr>
          <w:rFonts w:ascii="Traditional Arabic" w:hAnsi="Traditional Arabic"/>
          <w:noProof w:val="0"/>
          <w:rtl/>
          <w:lang w:eastAsia="en-US"/>
        </w:rPr>
        <w:t>ل</w:t>
      </w:r>
      <w:r w:rsidR="00335A5B">
        <w:rPr>
          <w:rFonts w:ascii="Traditional Arabic" w:hAnsi="Traditional Arabic" w:hint="cs"/>
          <w:noProof w:val="0"/>
          <w:rtl/>
          <w:lang w:eastAsia="en-US"/>
        </w:rPr>
        <w:t>م</w:t>
      </w:r>
      <w:r w:rsidR="00335A5B" w:rsidRPr="00626256">
        <w:rPr>
          <w:rFonts w:ascii="Traditional Arabic" w:hAnsi="Traditional Arabic"/>
          <w:noProof w:val="0"/>
          <w:rtl/>
          <w:lang w:eastAsia="en-US"/>
        </w:rPr>
        <w:t xml:space="preserve"> ي</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ر</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 xml:space="preserve">د الشرع بتعيينها وتقييدها، </w:t>
      </w:r>
      <w:r w:rsidR="00335A5B">
        <w:rPr>
          <w:rFonts w:ascii="Traditional Arabic" w:hAnsi="Traditional Arabic" w:hint="cs"/>
          <w:noProof w:val="0"/>
          <w:color w:val="auto"/>
          <w:rtl/>
          <w:lang w:eastAsia="en-US"/>
        </w:rPr>
        <w:t>بل هي مما أَطْلَقه الشارع ولم يُحدِّدْه،ف</w:t>
      </w:r>
      <w:r w:rsidR="00335A5B" w:rsidRPr="00BE4BC8">
        <w:rPr>
          <w:rFonts w:ascii="Traditional Arabic" w:hAnsi="Traditional Arabic"/>
          <w:noProof w:val="0"/>
          <w:color w:val="auto"/>
          <w:rtl/>
          <w:lang w:eastAsia="en-US"/>
        </w:rPr>
        <w:t>كل</w:t>
      </w:r>
      <w:r w:rsidR="00335A5B">
        <w:rPr>
          <w:rFonts w:ascii="Traditional Arabic" w:hAnsi="Traditional Arabic" w:hint="cs"/>
          <w:noProof w:val="0"/>
          <w:color w:val="auto"/>
          <w:rtl/>
          <w:lang w:eastAsia="en-US"/>
        </w:rPr>
        <w:t>ُّ</w:t>
      </w:r>
      <w:r w:rsidR="00335A5B" w:rsidRPr="00BE4BC8">
        <w:rPr>
          <w:rFonts w:ascii="Traditional Arabic" w:hAnsi="Traditional Arabic"/>
          <w:noProof w:val="0"/>
          <w:color w:val="auto"/>
          <w:rtl/>
          <w:lang w:eastAsia="en-US"/>
        </w:rPr>
        <w:t xml:space="preserve"> ما دل</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 xml:space="preserve"> على</w:t>
      </w:r>
      <w:r w:rsidR="00335A5B">
        <w:rPr>
          <w:rFonts w:ascii="Traditional Arabic" w:hAnsi="Traditional Arabic" w:hint="cs"/>
          <w:noProof w:val="0"/>
          <w:color w:val="auto"/>
          <w:rtl/>
          <w:lang w:eastAsia="en-US"/>
        </w:rPr>
        <w:t xml:space="preserve"> العقد والتراضي</w:t>
      </w:r>
      <w:r w:rsidR="00F11C35">
        <w:rPr>
          <w:rFonts w:ascii="Traditional Arabic" w:hAnsi="Traditional Arabic" w:hint="cs"/>
          <w:noProof w:val="0"/>
          <w:color w:val="auto"/>
          <w:rtl/>
          <w:lang w:eastAsia="en-US"/>
        </w:rPr>
        <w:t xml:space="preserve"> </w:t>
      </w:r>
      <w:r w:rsidR="00335A5B">
        <w:rPr>
          <w:rFonts w:ascii="Traditional Arabic" w:hAnsi="Traditional Arabic" w:hint="cs"/>
          <w:noProof w:val="0"/>
          <w:color w:val="auto"/>
          <w:rtl/>
          <w:lang w:eastAsia="en-US"/>
        </w:rPr>
        <w:t xml:space="preserve">إيجابا أو قبولا مما تعارَفه الناس مِن قولٍ أو فِعلٍ </w:t>
      </w:r>
      <w:r w:rsidR="00335A5B" w:rsidRPr="00BE4BC8">
        <w:rPr>
          <w:rFonts w:ascii="Traditional Arabic" w:hAnsi="Traditional Arabic"/>
          <w:noProof w:val="0"/>
          <w:color w:val="auto"/>
          <w:rtl/>
          <w:lang w:eastAsia="en-US"/>
        </w:rPr>
        <w:t>فهو مما ت</w:t>
      </w:r>
      <w:r w:rsidR="00335A5B">
        <w:rPr>
          <w:rFonts w:ascii="Traditional Arabic" w:hAnsi="Traditional Arabic" w:hint="cs"/>
          <w:noProof w:val="0"/>
          <w:color w:val="auto"/>
          <w:rtl/>
          <w:lang w:eastAsia="en-US"/>
        </w:rPr>
        <w:t>َ</w:t>
      </w:r>
      <w:r w:rsidR="00335A5B" w:rsidRPr="00BE4BC8">
        <w:rPr>
          <w:rFonts w:ascii="Traditional Arabic" w:hAnsi="Traditional Arabic"/>
          <w:noProof w:val="0"/>
          <w:color w:val="auto"/>
          <w:rtl/>
          <w:lang w:eastAsia="en-US"/>
        </w:rPr>
        <w:t>ن</w:t>
      </w:r>
      <w:r w:rsidR="00335A5B">
        <w:rPr>
          <w:rFonts w:ascii="Traditional Arabic" w:hAnsi="Traditional Arabic" w:hint="cs"/>
          <w:noProof w:val="0"/>
          <w:color w:val="auto"/>
          <w:rtl/>
          <w:lang w:eastAsia="en-US"/>
        </w:rPr>
        <w:t>ْ</w:t>
      </w:r>
      <w:r w:rsidR="00335A5B" w:rsidRPr="00BE4BC8">
        <w:rPr>
          <w:rFonts w:ascii="Traditional Arabic" w:hAnsi="Traditional Arabic"/>
          <w:noProof w:val="0"/>
          <w:color w:val="auto"/>
          <w:rtl/>
          <w:lang w:eastAsia="en-US"/>
        </w:rPr>
        <w:t>ع</w:t>
      </w:r>
      <w:r w:rsidR="00335A5B">
        <w:rPr>
          <w:rFonts w:ascii="Traditional Arabic" w:hAnsi="Traditional Arabic" w:hint="cs"/>
          <w:noProof w:val="0"/>
          <w:color w:val="auto"/>
          <w:rtl/>
          <w:lang w:eastAsia="en-US"/>
        </w:rPr>
        <w:t>َ</w:t>
      </w:r>
      <w:r w:rsidR="00335A5B" w:rsidRPr="00BE4BC8">
        <w:rPr>
          <w:rFonts w:ascii="Traditional Arabic" w:hAnsi="Traditional Arabic"/>
          <w:noProof w:val="0"/>
          <w:color w:val="auto"/>
          <w:rtl/>
          <w:lang w:eastAsia="en-US"/>
        </w:rPr>
        <w:t>ق</w:t>
      </w:r>
      <w:r w:rsidR="00335A5B">
        <w:rPr>
          <w:rFonts w:ascii="Traditional Arabic" w:hAnsi="Traditional Arabic" w:hint="cs"/>
          <w:noProof w:val="0"/>
          <w:color w:val="auto"/>
          <w:rtl/>
          <w:lang w:eastAsia="en-US"/>
        </w:rPr>
        <w:t>ِ</w:t>
      </w:r>
      <w:r w:rsidR="00335A5B" w:rsidRPr="00BE4BC8">
        <w:rPr>
          <w:rFonts w:ascii="Traditional Arabic" w:hAnsi="Traditional Arabic"/>
          <w:noProof w:val="0"/>
          <w:color w:val="auto"/>
          <w:rtl/>
          <w:lang w:eastAsia="en-US"/>
        </w:rPr>
        <w:t>د</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 xml:space="preserve"> به العقود</w:t>
      </w:r>
      <w:r w:rsidR="00335A5B">
        <w:rPr>
          <w:rFonts w:ascii="Traditional Arabic" w:hAnsi="Traditional Arabic" w:hint="cs"/>
          <w:noProof w:val="0"/>
          <w:color w:val="auto"/>
          <w:rtl/>
          <w:lang w:eastAsia="en-US"/>
        </w:rPr>
        <w:t xml:space="preserve">؛ </w:t>
      </w:r>
      <w:r w:rsidR="00335A5B" w:rsidRPr="00BC4367">
        <w:rPr>
          <w:rFonts w:ascii="Traditional Arabic" w:hAnsi="Traditional Arabic"/>
          <w:noProof w:val="0"/>
          <w:rtl/>
          <w:lang w:eastAsia="en-US"/>
        </w:rPr>
        <w:t xml:space="preserve">لأن </w:t>
      </w:r>
      <w:r w:rsidR="00335A5B">
        <w:rPr>
          <w:rFonts w:ascii="Traditional Arabic" w:hAnsi="Traditional Arabic" w:hint="cs"/>
          <w:noProof w:val="0"/>
          <w:rtl/>
          <w:lang w:eastAsia="en-US"/>
        </w:rPr>
        <w:t xml:space="preserve">عقود </w:t>
      </w:r>
      <w:r w:rsidR="00335A5B">
        <w:rPr>
          <w:rFonts w:ascii="Traditional Arabic" w:hAnsi="Traditional Arabic"/>
          <w:noProof w:val="0"/>
          <w:rtl/>
          <w:lang w:eastAsia="en-US"/>
        </w:rPr>
        <w:t>المعاملات</w:t>
      </w:r>
      <w:r w:rsidR="00420F71">
        <w:rPr>
          <w:rFonts w:ascii="Traditional Arabic" w:hAnsi="Traditional Arabic" w:hint="cs"/>
          <w:noProof w:val="0"/>
          <w:rtl/>
          <w:lang w:eastAsia="en-US"/>
        </w:rPr>
        <w:t xml:space="preserve"> </w:t>
      </w:r>
      <w:r w:rsidR="00335A5B" w:rsidRPr="00626256">
        <w:rPr>
          <w:rFonts w:ascii="Traditional Arabic" w:hAnsi="Traditional Arabic"/>
          <w:noProof w:val="0"/>
          <w:rtl/>
          <w:lang w:eastAsia="en-US"/>
        </w:rPr>
        <w:t>ليست من أمور العبادة التي يتقي</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د الإنسان</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 xml:space="preserve"> فيها باللفظ</w:t>
      </w:r>
      <w:r w:rsidR="00335A5B" w:rsidRPr="00BC4367">
        <w:rPr>
          <w:rFonts w:ascii="Traditional Arabic" w:hAnsi="Traditional Arabic"/>
          <w:noProof w:val="0"/>
          <w:rtl/>
          <w:lang w:eastAsia="en-US"/>
        </w:rPr>
        <w:t>، بل هي معاملات بين الناس، فما ع</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د</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ه</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 xml:space="preserve"> الناس ب</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ي</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عا</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 xml:space="preserve"> فهو بيع</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 وما ع</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د</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وه</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 xml:space="preserve"> ر</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ه</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نا</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 xml:space="preserve"> فهو ر</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ه</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ن</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 وما عد</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وه و</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ق</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فا</w:t>
      </w:r>
      <w:r w:rsidR="00335A5B">
        <w:rPr>
          <w:rFonts w:ascii="Traditional Arabic" w:hAnsi="Traditional Arabic" w:hint="cs"/>
          <w:noProof w:val="0"/>
          <w:rtl/>
          <w:lang w:eastAsia="en-US"/>
        </w:rPr>
        <w:t>ً</w:t>
      </w:r>
      <w:r w:rsidR="00335A5B" w:rsidRPr="00C821A1">
        <w:rPr>
          <w:rStyle w:val="af1"/>
          <w:szCs w:val="32"/>
          <w:rtl/>
        </w:rPr>
        <w:t>(</w:t>
      </w:r>
      <w:r w:rsidR="00335A5B" w:rsidRPr="00C821A1">
        <w:rPr>
          <w:rStyle w:val="af1"/>
          <w:szCs w:val="32"/>
          <w:rtl/>
        </w:rPr>
        <w:footnoteReference w:id="530"/>
      </w:r>
      <w:r w:rsidR="00335A5B" w:rsidRPr="00C821A1">
        <w:rPr>
          <w:rStyle w:val="af1"/>
          <w:szCs w:val="32"/>
          <w:rtl/>
        </w:rPr>
        <w:t>)</w:t>
      </w:r>
      <w:r w:rsidR="00335A5B" w:rsidRPr="00BC4367">
        <w:rPr>
          <w:rFonts w:ascii="Traditional Arabic" w:hAnsi="Traditional Arabic"/>
          <w:noProof w:val="0"/>
          <w:rtl/>
          <w:lang w:eastAsia="en-US"/>
        </w:rPr>
        <w:t xml:space="preserve"> فهو و</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ق</w:t>
      </w:r>
      <w:r w:rsidR="00335A5B">
        <w:rPr>
          <w:rFonts w:ascii="Traditional Arabic" w:hAnsi="Traditional Arabic" w:hint="cs"/>
          <w:noProof w:val="0"/>
          <w:rtl/>
          <w:lang w:eastAsia="en-US"/>
        </w:rPr>
        <w:t>ْ</w:t>
      </w:r>
      <w:r w:rsidR="00335A5B" w:rsidRPr="00BC4367">
        <w:rPr>
          <w:rFonts w:ascii="Traditional Arabic" w:hAnsi="Traditional Arabic"/>
          <w:noProof w:val="0"/>
          <w:rtl/>
          <w:lang w:eastAsia="en-US"/>
        </w:rPr>
        <w:t>ف</w:t>
      </w:r>
      <w:r w:rsidR="00335A5B">
        <w:rPr>
          <w:rFonts w:ascii="Traditional Arabic" w:hAnsi="Traditional Arabic" w:hint="cs"/>
          <w:noProof w:val="0"/>
          <w:rtl/>
          <w:lang w:eastAsia="en-US"/>
        </w:rPr>
        <w:t xml:space="preserve">ٌ، </w:t>
      </w:r>
      <w:r w:rsidR="00335A5B" w:rsidRPr="009E6850">
        <w:rPr>
          <w:rFonts w:ascii="Traditional Arabic" w:hAnsi="Traditional Arabic"/>
          <w:noProof w:val="0"/>
          <w:rtl/>
          <w:lang w:eastAsia="en-US"/>
        </w:rPr>
        <w:t>فالأصل أن هذا يرجع إلى الع</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ر</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ف، فما ع</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ر</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ف</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ه</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 xml:space="preserve"> الناس عقدا</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 xml:space="preserve"> فهو عقد، ولو كان ب</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قول</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 xml:space="preserve"> أو ف</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عل</w:t>
      </w:r>
      <w:r w:rsidR="00335A5B">
        <w:rPr>
          <w:rFonts w:ascii="Traditional Arabic" w:hAnsi="Traditional Arabic" w:hint="cs"/>
          <w:noProof w:val="0"/>
          <w:rtl/>
          <w:lang w:eastAsia="en-US"/>
        </w:rPr>
        <w:t>ٍ</w:t>
      </w:r>
      <w:r w:rsidR="00335A5B" w:rsidRPr="00C821A1">
        <w:rPr>
          <w:rStyle w:val="af1"/>
          <w:rFonts w:ascii="Tahoma" w:hAnsi="Tahoma"/>
          <w:szCs w:val="32"/>
          <w:rtl/>
        </w:rPr>
        <w:t>(</w:t>
      </w:r>
      <w:r w:rsidR="00335A5B" w:rsidRPr="00C821A1">
        <w:rPr>
          <w:rStyle w:val="af1"/>
          <w:rFonts w:ascii="Tahoma" w:hAnsi="Tahoma"/>
          <w:szCs w:val="32"/>
          <w:rtl/>
        </w:rPr>
        <w:footnoteReference w:id="531"/>
      </w:r>
      <w:r w:rsidR="00335A5B" w:rsidRPr="00C821A1">
        <w:rPr>
          <w:rStyle w:val="af1"/>
          <w:rFonts w:ascii="Tahoma" w:hAnsi="Tahoma"/>
          <w:szCs w:val="32"/>
          <w:rtl/>
        </w:rPr>
        <w:t>)</w:t>
      </w:r>
      <w:r w:rsidR="00335A5B">
        <w:rPr>
          <w:rFonts w:ascii="Traditional Arabic" w:hAnsi="Traditional Arabic" w:hint="cs"/>
          <w:noProof w:val="0"/>
          <w:color w:val="auto"/>
          <w:rtl/>
          <w:lang w:eastAsia="en-US"/>
        </w:rPr>
        <w:t>.</w:t>
      </w:r>
    </w:p>
    <w:p w:rsidR="00335A5B" w:rsidRPr="00335A5B" w:rsidRDefault="00420F71" w:rsidP="00A8347C">
      <w:pPr>
        <w:pStyle w:val="aff3"/>
        <w:rPr>
          <w:rtl/>
        </w:rPr>
      </w:pPr>
      <w:bookmarkStart w:id="108" w:name="_Toc334046363"/>
      <w:r>
        <w:rPr>
          <w:rFonts w:hint="cs"/>
          <w:rtl/>
        </w:rPr>
        <w:lastRenderedPageBreak/>
        <w:t xml:space="preserve">            </w:t>
      </w:r>
      <w:r w:rsidR="00784265">
        <w:rPr>
          <w:rFonts w:hint="cs"/>
          <w:rtl/>
        </w:rPr>
        <w:t xml:space="preserve">                       </w:t>
      </w:r>
      <w:r>
        <w:rPr>
          <w:rFonts w:hint="cs"/>
          <w:rtl/>
        </w:rPr>
        <w:t xml:space="preserve">       </w:t>
      </w:r>
      <w:r w:rsidR="00335A5B" w:rsidRPr="00335A5B">
        <w:rPr>
          <w:rFonts w:hint="cs"/>
          <w:rtl/>
        </w:rPr>
        <w:t>المطلب الثالث</w:t>
      </w:r>
      <w:r w:rsidR="00335A5B">
        <w:rPr>
          <w:rFonts w:hint="eastAsia"/>
          <w:rtl/>
        </w:rPr>
        <w:t> :</w:t>
      </w:r>
      <w:r w:rsidR="00335A5B">
        <w:rPr>
          <w:rFonts w:hint="cs"/>
          <w:rtl/>
        </w:rPr>
        <w:br/>
      </w:r>
      <w:r>
        <w:rPr>
          <w:rFonts w:hint="cs"/>
          <w:rtl/>
        </w:rPr>
        <w:t xml:space="preserve">                   </w:t>
      </w:r>
      <w:r w:rsidR="00784265">
        <w:rPr>
          <w:rFonts w:hint="cs"/>
          <w:rtl/>
        </w:rPr>
        <w:t xml:space="preserve">                         </w:t>
      </w:r>
      <w:r w:rsidR="00335A5B" w:rsidRPr="00335A5B">
        <w:rPr>
          <w:rFonts w:hint="cs"/>
          <w:rtl/>
        </w:rPr>
        <w:t>أدلة القاعدة</w:t>
      </w:r>
      <w:bookmarkEnd w:id="108"/>
    </w:p>
    <w:p w:rsidR="00335A5B" w:rsidRPr="00420F71" w:rsidRDefault="00420F71" w:rsidP="000A76C7">
      <w:pPr>
        <w:pStyle w:val="afc"/>
        <w:widowControl/>
        <w:numPr>
          <w:ilvl w:val="0"/>
          <w:numId w:val="93"/>
        </w:numPr>
        <w:rPr>
          <w:rFonts w:cs="Times New Roman"/>
          <w:noProof w:val="0"/>
          <w:color w:val="auto"/>
          <w:sz w:val="24"/>
          <w:szCs w:val="24"/>
          <w:lang w:eastAsia="en-US"/>
        </w:rPr>
      </w:pPr>
      <w:r>
        <w:rPr>
          <w:rFonts w:ascii="Traditional Arabic" w:hAnsi="Traditional Arabic" w:hint="cs"/>
          <w:rtl/>
        </w:rPr>
        <w:t>حديث</w:t>
      </w:r>
      <w:r w:rsidR="00335A5B" w:rsidRPr="003F23F1">
        <w:rPr>
          <w:rFonts w:ascii="Traditional Arabic" w:hAnsi="Traditional Arabic"/>
          <w:rtl/>
        </w:rPr>
        <w:t xml:space="preserve"> عمر بن الخطاب </w:t>
      </w:r>
      <w:r w:rsidR="00784265">
        <w:rPr>
          <w:rFonts w:ascii="Traditional Arabic" w:hAnsi="Traditional Arabic" w:hint="cs"/>
          <w:rtl/>
        </w:rPr>
        <w:t>_</w:t>
      </w:r>
      <w:r w:rsidR="00335A5B" w:rsidRPr="001229C1">
        <w:rPr>
          <w:rFonts w:ascii="Traditional Arabic" w:hAnsi="Traditional Arabic" w:cs="CTraditional Arabic"/>
          <w:color w:val="auto"/>
          <w:rtl/>
        </w:rPr>
        <w:t>ط</w:t>
      </w:r>
      <w:r w:rsidR="00784265">
        <w:rPr>
          <w:rFonts w:ascii="Traditional Arabic" w:hAnsi="Traditional Arabic" w:hint="cs"/>
          <w:rtl/>
        </w:rPr>
        <w:t xml:space="preserve">_ </w:t>
      </w:r>
      <w:r w:rsidR="00335A5B" w:rsidRPr="003F23F1">
        <w:rPr>
          <w:rFonts w:ascii="Traditional Arabic" w:hAnsi="Traditional Arabic"/>
          <w:rtl/>
        </w:rPr>
        <w:t xml:space="preserve">قال:" سمعت رسول الله </w:t>
      </w:r>
      <w:r w:rsidR="00335A5B" w:rsidRPr="003F23F1">
        <w:rPr>
          <w:rFonts w:ascii="Traditional Arabic" w:hAnsi="Traditional Arabic" w:cs="CTraditional Arabic" w:hint="cs"/>
          <w:color w:val="auto"/>
          <w:rtl/>
        </w:rPr>
        <w:t>&gt;</w:t>
      </w:r>
      <w:r w:rsidR="00335A5B" w:rsidRPr="003F23F1">
        <w:rPr>
          <w:rFonts w:ascii="Traditional Arabic" w:hAnsi="Traditional Arabic"/>
          <w:rtl/>
        </w:rPr>
        <w:t xml:space="preserve"> يقول: إنما الأعمال بالنيَّات وإنما لِكُلِّ امرئٍ ما نوى،</w:t>
      </w:r>
      <w:r w:rsidR="00AB0B9E">
        <w:rPr>
          <w:rFonts w:ascii="Traditional Arabic" w:hAnsi="Traditional Arabic"/>
          <w:rtl/>
        </w:rPr>
        <w:fldChar w:fldCharType="begin"/>
      </w:r>
      <w:r w:rsidR="00FD1650" w:rsidRPr="00C85F0F">
        <w:instrText>XE</w:instrText>
      </w:r>
      <w:r w:rsidR="00FD1650" w:rsidRPr="00C85F0F">
        <w:rPr>
          <w:rtl/>
        </w:rPr>
        <w:instrText xml:space="preserve"> "</w:instrText>
      </w:r>
      <w:r w:rsidR="00FD1650" w:rsidRPr="00C85F0F">
        <w:rPr>
          <w:rFonts w:ascii="Traditional Arabic" w:hAnsi="Traditional Arabic"/>
          <w:rtl/>
        </w:rPr>
        <w:instrText>إنما الأعمال بالنيَّات وإنما لِكُلِّ امرئٍ ما نوى،</w:instrText>
      </w:r>
      <w:r w:rsidR="00FD1650" w:rsidRPr="00C85F0F">
        <w:rPr>
          <w:rtl/>
        </w:rPr>
        <w:instrText>" \</w:instrText>
      </w:r>
      <w:r w:rsidR="00FD1650" w:rsidRPr="00C85F0F">
        <w:instrText>f</w:instrText>
      </w:r>
      <w:r w:rsidR="00FD1650">
        <w:instrText>h</w:instrText>
      </w:r>
      <w:r w:rsidR="00AB0B9E">
        <w:rPr>
          <w:rFonts w:ascii="Traditional Arabic" w:hAnsi="Traditional Arabic"/>
          <w:rtl/>
        </w:rPr>
        <w:fldChar w:fldCharType="end"/>
      </w:r>
      <w:r w:rsidR="00335A5B" w:rsidRPr="003F23F1">
        <w:rPr>
          <w:rFonts w:ascii="Traditional Arabic" w:hAnsi="Traditional Arabic"/>
          <w:rtl/>
        </w:rPr>
        <w:t xml:space="preserve"> فم</w:t>
      </w:r>
      <w:r w:rsidR="00335A5B" w:rsidRPr="003F23F1">
        <w:rPr>
          <w:rFonts w:ascii="Traditional Arabic" w:hAnsi="Traditional Arabic" w:hint="cs"/>
          <w:rtl/>
        </w:rPr>
        <w:t>َ</w:t>
      </w:r>
      <w:r w:rsidR="00335A5B" w:rsidRPr="003F23F1">
        <w:rPr>
          <w:rFonts w:ascii="Traditional Arabic" w:hAnsi="Traditional Arabic"/>
          <w:rtl/>
        </w:rPr>
        <w:t>ن كانت ه</w:t>
      </w:r>
      <w:r w:rsidR="00335A5B" w:rsidRPr="003F23F1">
        <w:rPr>
          <w:rFonts w:ascii="Traditional Arabic" w:hAnsi="Traditional Arabic" w:hint="cs"/>
          <w:rtl/>
        </w:rPr>
        <w:t>ِ</w:t>
      </w:r>
      <w:r w:rsidR="00335A5B" w:rsidRPr="003F23F1">
        <w:rPr>
          <w:rFonts w:ascii="Traditional Arabic" w:hAnsi="Traditional Arabic"/>
          <w:rtl/>
        </w:rPr>
        <w:t>جرته إلى الله</w:t>
      </w:r>
      <w:r w:rsidR="00154102">
        <w:rPr>
          <w:rFonts w:ascii="Traditional Arabic" w:hAnsi="Traditional Arabic"/>
          <w:rtl/>
        </w:rPr>
        <w:t xml:space="preserve"> و</w:t>
      </w:r>
      <w:r w:rsidR="00335A5B" w:rsidRPr="003F23F1">
        <w:rPr>
          <w:rFonts w:ascii="Traditional Arabic" w:hAnsi="Traditional Arabic"/>
          <w:rtl/>
        </w:rPr>
        <w:t>رسوله فه</w:t>
      </w:r>
      <w:r w:rsidR="00335A5B" w:rsidRPr="003F23F1">
        <w:rPr>
          <w:rFonts w:ascii="Traditional Arabic" w:hAnsi="Traditional Arabic" w:hint="cs"/>
          <w:rtl/>
        </w:rPr>
        <w:t>ِ</w:t>
      </w:r>
      <w:r w:rsidR="00335A5B" w:rsidRPr="003F23F1">
        <w:rPr>
          <w:rFonts w:ascii="Traditional Arabic" w:hAnsi="Traditional Arabic"/>
          <w:rtl/>
        </w:rPr>
        <w:t>جرته ﺇلى الله</w:t>
      </w:r>
      <w:r>
        <w:rPr>
          <w:rFonts w:ascii="Traditional Arabic" w:hAnsi="Traditional Arabic" w:hint="cs"/>
          <w:rtl/>
        </w:rPr>
        <w:t xml:space="preserve"> </w:t>
      </w:r>
      <w:r w:rsidRPr="00420F71">
        <w:rPr>
          <w:rFonts w:ascii="Traditional Arabic" w:hAnsi="Traditional Arabic"/>
          <w:rtl/>
        </w:rPr>
        <w:t>و</w:t>
      </w:r>
      <w:r w:rsidR="00335A5B" w:rsidRPr="00420F71">
        <w:rPr>
          <w:rFonts w:ascii="Traditional Arabic" w:hAnsi="Traditional Arabic"/>
          <w:rtl/>
        </w:rPr>
        <w:t>رسوله، ومن كانت ه</w:t>
      </w:r>
      <w:r w:rsidR="00335A5B" w:rsidRPr="00420F71">
        <w:rPr>
          <w:rFonts w:ascii="Traditional Arabic" w:hAnsi="Traditional Arabic" w:hint="cs"/>
          <w:rtl/>
        </w:rPr>
        <w:t>ِ</w:t>
      </w:r>
      <w:r w:rsidR="00335A5B" w:rsidRPr="00420F71">
        <w:rPr>
          <w:rFonts w:ascii="Traditional Arabic" w:hAnsi="Traditional Arabic"/>
          <w:rtl/>
        </w:rPr>
        <w:t>جرته لِدُنْيا ي</w:t>
      </w:r>
      <w:r w:rsidR="00335A5B" w:rsidRPr="00420F71">
        <w:rPr>
          <w:rFonts w:ascii="Traditional Arabic" w:hAnsi="Traditional Arabic" w:hint="cs"/>
          <w:rtl/>
        </w:rPr>
        <w:t>ُ</w:t>
      </w:r>
      <w:r w:rsidR="00335A5B" w:rsidRPr="00420F71">
        <w:rPr>
          <w:rFonts w:ascii="Traditional Arabic" w:hAnsi="Traditional Arabic"/>
          <w:rtl/>
        </w:rPr>
        <w:t>صيبها، أو امرأة</w:t>
      </w:r>
      <w:r w:rsidR="00335A5B" w:rsidRPr="00420F71">
        <w:rPr>
          <w:rFonts w:ascii="Traditional Arabic" w:hAnsi="Traditional Arabic" w:hint="cs"/>
          <w:rtl/>
        </w:rPr>
        <w:t>ٍ</w:t>
      </w:r>
      <w:r w:rsidR="00335A5B" w:rsidRPr="00420F71">
        <w:rPr>
          <w:rFonts w:ascii="Traditional Arabic" w:hAnsi="Traditional Arabic"/>
          <w:rtl/>
        </w:rPr>
        <w:t xml:space="preserve"> يتزوّجها، فه</w:t>
      </w:r>
      <w:r w:rsidR="00335A5B" w:rsidRPr="00420F71">
        <w:rPr>
          <w:rFonts w:ascii="Traditional Arabic" w:hAnsi="Traditional Arabic" w:hint="cs"/>
          <w:rtl/>
        </w:rPr>
        <w:t>ِ</w:t>
      </w:r>
      <w:r w:rsidR="00335A5B" w:rsidRPr="00420F71">
        <w:rPr>
          <w:rFonts w:ascii="Traditional Arabic" w:hAnsi="Traditional Arabic"/>
          <w:rtl/>
        </w:rPr>
        <w:t>جرت</w:t>
      </w:r>
      <w:r w:rsidR="00335A5B" w:rsidRPr="00420F71">
        <w:rPr>
          <w:rFonts w:ascii="Traditional Arabic" w:hAnsi="Traditional Arabic" w:hint="cs"/>
          <w:rtl/>
        </w:rPr>
        <w:t>ُ</w:t>
      </w:r>
      <w:r w:rsidR="00335A5B" w:rsidRPr="00420F71">
        <w:rPr>
          <w:rFonts w:ascii="Traditional Arabic" w:hAnsi="Traditional Arabic"/>
          <w:rtl/>
        </w:rPr>
        <w:t>ه إلى ما هاج</w:t>
      </w:r>
      <w:r w:rsidR="00335A5B" w:rsidRPr="00420F71">
        <w:rPr>
          <w:rFonts w:ascii="Traditional Arabic" w:hAnsi="Traditional Arabic" w:hint="cs"/>
          <w:rtl/>
        </w:rPr>
        <w:t>َ</w:t>
      </w:r>
      <w:r w:rsidR="00335A5B" w:rsidRPr="00420F71">
        <w:rPr>
          <w:rFonts w:ascii="Traditional Arabic" w:hAnsi="Traditional Arabic"/>
          <w:rtl/>
        </w:rPr>
        <w:t>ر إليه"</w:t>
      </w:r>
      <w:r w:rsidR="00335A5B" w:rsidRPr="00420F71">
        <w:rPr>
          <w:rFonts w:ascii="Tahoma" w:hAnsi="Tahoma"/>
          <w:szCs w:val="32"/>
          <w:vertAlign w:val="superscript"/>
          <w:rtl/>
        </w:rPr>
        <w:t>(</w:t>
      </w:r>
      <w:r w:rsidR="00335A5B" w:rsidRPr="00C821A1">
        <w:rPr>
          <w:rStyle w:val="af1"/>
          <w:rFonts w:ascii="Tahoma" w:hAnsi="Tahoma"/>
          <w:szCs w:val="32"/>
          <w:rtl/>
        </w:rPr>
        <w:footnoteReference w:id="532"/>
      </w:r>
      <w:r w:rsidR="00335A5B" w:rsidRPr="00420F71">
        <w:rPr>
          <w:rFonts w:ascii="Tahoma" w:hAnsi="Tahoma"/>
          <w:szCs w:val="32"/>
          <w:vertAlign w:val="superscript"/>
          <w:rtl/>
        </w:rPr>
        <w:t>)</w:t>
      </w:r>
      <w:r w:rsidR="00335A5B" w:rsidRPr="00420F71">
        <w:rPr>
          <w:b/>
          <w:bCs/>
          <w:rtl/>
        </w:rPr>
        <w:t>.</w:t>
      </w:r>
    </w:p>
    <w:p w:rsidR="00335A5B" w:rsidRDefault="00335A5B" w:rsidP="00597C20">
      <w:pPr>
        <w:pStyle w:val="53"/>
        <w:rPr>
          <w:rtl/>
        </w:rPr>
      </w:pPr>
      <w:r w:rsidRPr="00895F96">
        <w:rPr>
          <w:rFonts w:hint="cs"/>
          <w:rtl/>
        </w:rPr>
        <w:t>وجه الدلالة</w:t>
      </w:r>
      <w:r>
        <w:rPr>
          <w:rFonts w:hint="cs"/>
          <w:rtl/>
        </w:rPr>
        <w:t>:</w:t>
      </w:r>
    </w:p>
    <w:p w:rsidR="00065E4B" w:rsidRPr="00DB7339" w:rsidRDefault="00420F71" w:rsidP="00F11C35">
      <w:pPr>
        <w:widowControl/>
        <w:autoSpaceDE w:val="0"/>
        <w:autoSpaceDN w:val="0"/>
        <w:adjustRightInd w:val="0"/>
        <w:ind w:firstLine="720"/>
        <w:rPr>
          <w:rFonts w:ascii="Traditional Arabic" w:hAnsi="Traditional Arabic"/>
          <w:noProof w:val="0"/>
          <w:color w:val="auto"/>
          <w:lang w:eastAsia="en-US"/>
        </w:rPr>
      </w:pPr>
      <w:r>
        <w:rPr>
          <w:rFonts w:ascii="Traditional Arabic" w:hAnsi="Traditional Arabic" w:hint="cs"/>
          <w:noProof w:val="0"/>
          <w:color w:val="auto"/>
          <w:rtl/>
          <w:lang w:eastAsia="en-US"/>
        </w:rPr>
        <w:t>إ</w:t>
      </w:r>
      <w:r w:rsidR="00335A5B">
        <w:rPr>
          <w:rFonts w:ascii="Traditional Arabic" w:hAnsi="Traditional Arabic" w:hint="cs"/>
          <w:noProof w:val="0"/>
          <w:color w:val="auto"/>
          <w:rtl/>
          <w:lang w:eastAsia="en-US"/>
        </w:rPr>
        <w:t xml:space="preserve">ن الأقوال داخلةٌ في الأعمال، فيجِب حَمْلُ كلامِ الناطِقين على مُرادهم مهما أَمْكَنَ في العقود وغيرها، ومما ينبغي أن يُحْمَل كلامُ الناطقين على عُرْفهم وعَوائدهم، فإن لها دَخْلاً </w:t>
      </w:r>
      <w:r>
        <w:rPr>
          <w:rFonts w:ascii="Traditional Arabic" w:hAnsi="Traditional Arabic" w:hint="cs"/>
          <w:noProof w:val="0"/>
          <w:color w:val="auto"/>
          <w:rtl/>
          <w:lang w:eastAsia="en-US"/>
        </w:rPr>
        <w:t xml:space="preserve"> </w:t>
      </w:r>
      <w:r w:rsidR="00335A5B">
        <w:rPr>
          <w:rFonts w:ascii="Traditional Arabic" w:hAnsi="Traditional Arabic" w:hint="cs"/>
          <w:noProof w:val="0"/>
          <w:color w:val="auto"/>
          <w:rtl/>
          <w:lang w:eastAsia="en-US"/>
        </w:rPr>
        <w:t xml:space="preserve">كبيراً في معرفة مُرادهم ومَقاصدهم. وبناءً على </w:t>
      </w:r>
      <w:r w:rsidR="00F11C35">
        <w:rPr>
          <w:rFonts w:ascii="Traditional Arabic" w:hAnsi="Traditional Arabic" w:hint="cs"/>
          <w:noProof w:val="0"/>
          <w:color w:val="auto"/>
          <w:rtl/>
          <w:lang w:eastAsia="en-US"/>
        </w:rPr>
        <w:t xml:space="preserve">ذلك، </w:t>
      </w:r>
      <w:r w:rsidR="00335A5B">
        <w:rPr>
          <w:rFonts w:ascii="Traditional Arabic" w:hAnsi="Traditional Arabic" w:hint="cs"/>
          <w:noProof w:val="0"/>
          <w:color w:val="auto"/>
          <w:rtl/>
          <w:lang w:eastAsia="en-US"/>
        </w:rPr>
        <w:t>فإن العقود تنعقِد بما دلَّ عليه اللفظُ عُرْفا</w:t>
      </w:r>
      <w:r w:rsidR="00335A5B">
        <w:rPr>
          <w:rStyle w:val="af1"/>
          <w:rFonts w:ascii="Tahoma" w:hAnsi="Tahoma" w:hint="cs"/>
          <w:vertAlign w:val="baseline"/>
          <w:rtl/>
        </w:rPr>
        <w:t>ً</w:t>
      </w:r>
      <w:r w:rsidR="00335A5B" w:rsidRPr="00C821A1">
        <w:rPr>
          <w:rStyle w:val="af1"/>
          <w:rFonts w:ascii="Tahoma" w:hAnsi="Tahoma"/>
          <w:szCs w:val="32"/>
          <w:rtl/>
        </w:rPr>
        <w:t>(</w:t>
      </w:r>
      <w:r w:rsidR="00335A5B" w:rsidRPr="00C821A1">
        <w:rPr>
          <w:rStyle w:val="af1"/>
          <w:rFonts w:ascii="Tahoma" w:hAnsi="Tahoma"/>
          <w:szCs w:val="32"/>
          <w:rtl/>
        </w:rPr>
        <w:footnoteReference w:id="533"/>
      </w:r>
      <w:r w:rsidR="00335A5B" w:rsidRPr="00C821A1">
        <w:rPr>
          <w:rStyle w:val="af1"/>
          <w:rFonts w:ascii="Tahoma" w:hAnsi="Tahoma"/>
          <w:szCs w:val="32"/>
          <w:rtl/>
        </w:rPr>
        <w:t>)</w:t>
      </w:r>
      <w:r w:rsidR="00335A5B">
        <w:rPr>
          <w:rFonts w:ascii="Traditional Arabic" w:hAnsi="Traditional Arabic" w:hint="cs"/>
          <w:noProof w:val="0"/>
          <w:color w:val="auto"/>
          <w:rtl/>
          <w:lang w:eastAsia="en-US"/>
        </w:rPr>
        <w:t>.</w:t>
      </w:r>
    </w:p>
    <w:p w:rsidR="00065E4B" w:rsidRDefault="00420F71" w:rsidP="000A76C7">
      <w:pPr>
        <w:pStyle w:val="afc"/>
        <w:widowControl/>
        <w:numPr>
          <w:ilvl w:val="0"/>
          <w:numId w:val="93"/>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   حديث</w:t>
      </w:r>
      <w:r w:rsidR="00335A5B">
        <w:rPr>
          <w:rFonts w:ascii="Traditional Arabic" w:hAnsi="Traditional Arabic"/>
          <w:noProof w:val="0"/>
          <w:color w:val="auto"/>
          <w:rtl/>
          <w:lang w:eastAsia="en-US"/>
        </w:rPr>
        <w:t xml:space="preserve"> جابر بن عبد الله </w:t>
      </w:r>
      <w:r w:rsidR="00784265">
        <w:rPr>
          <w:rFonts w:ascii="Traditional Arabic" w:hAnsi="Traditional Arabic" w:hint="cs"/>
          <w:noProof w:val="0"/>
          <w:color w:val="auto"/>
          <w:rtl/>
          <w:lang w:eastAsia="en-US"/>
        </w:rPr>
        <w:t>_</w:t>
      </w:r>
      <w:r w:rsidR="00335A5B" w:rsidRPr="001229C1">
        <w:rPr>
          <w:rFonts w:ascii="Traditional Arabic" w:hAnsi="Traditional Arabic" w:cs="CTraditional Arabic"/>
          <w:noProof w:val="0"/>
          <w:color w:val="auto"/>
          <w:rtl/>
          <w:lang w:eastAsia="en-US"/>
        </w:rPr>
        <w:t>ب</w:t>
      </w:r>
      <w:r w:rsidR="00784265">
        <w:rPr>
          <w:rFonts w:ascii="Traditional Arabic" w:hAnsi="Traditional Arabic" w:hint="cs"/>
          <w:noProof w:val="0"/>
          <w:color w:val="auto"/>
          <w:rtl/>
          <w:lang w:eastAsia="en-US"/>
        </w:rPr>
        <w:t>_</w:t>
      </w:r>
      <w:r w:rsidR="00335A5B">
        <w:rPr>
          <w:rFonts w:ascii="Traditional Arabic" w:hAnsi="Traditional Arabic"/>
          <w:noProof w:val="0"/>
          <w:color w:val="auto"/>
          <w:rtl/>
          <w:lang w:eastAsia="en-US"/>
        </w:rPr>
        <w:t xml:space="preserve"> أنه كان ي</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سير</w:t>
      </w:r>
      <w:r w:rsidR="00335A5B" w:rsidRPr="003F23F1">
        <w:rPr>
          <w:rFonts w:ascii="Traditional Arabic" w:hAnsi="Traditional Arabic"/>
          <w:noProof w:val="0"/>
          <w:color w:val="auto"/>
          <w:rtl/>
          <w:lang w:eastAsia="en-US"/>
        </w:rPr>
        <w:t xml:space="preserve"> على ج</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م</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ل</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له </w:t>
      </w:r>
      <w:r w:rsidR="00335A5B">
        <w:rPr>
          <w:rFonts w:ascii="Traditional Arabic" w:hAnsi="Traditional Arabic" w:hint="cs"/>
          <w:noProof w:val="0"/>
          <w:color w:val="auto"/>
          <w:rtl/>
          <w:lang w:eastAsia="en-US"/>
        </w:rPr>
        <w:t xml:space="preserve">قد </w:t>
      </w:r>
      <w:r w:rsidR="00335A5B" w:rsidRPr="003F23F1">
        <w:rPr>
          <w:rFonts w:ascii="Traditional Arabic" w:hAnsi="Traditional Arabic"/>
          <w:noProof w:val="0"/>
          <w:color w:val="auto"/>
          <w:rtl/>
          <w:lang w:eastAsia="en-US"/>
        </w:rPr>
        <w:t>أ</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ع</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يا</w:t>
      </w:r>
      <w:r w:rsidR="00335A5B" w:rsidRPr="00C821A1">
        <w:rPr>
          <w:rStyle w:val="af1"/>
          <w:rFonts w:ascii="Tahoma" w:hAnsi="Tahoma"/>
          <w:szCs w:val="32"/>
          <w:rtl/>
        </w:rPr>
        <w:t>(</w:t>
      </w:r>
      <w:r w:rsidR="00335A5B" w:rsidRPr="00C821A1">
        <w:rPr>
          <w:rStyle w:val="af1"/>
          <w:rFonts w:ascii="Tahoma" w:hAnsi="Tahoma"/>
          <w:szCs w:val="32"/>
          <w:rtl/>
        </w:rPr>
        <w:footnoteReference w:id="534"/>
      </w:r>
      <w:r w:rsidR="00335A5B" w:rsidRPr="00C821A1">
        <w:rPr>
          <w:rStyle w:val="af1"/>
          <w:rFonts w:ascii="Tahoma" w:hAnsi="Tahoma"/>
          <w:szCs w:val="32"/>
          <w:rtl/>
        </w:rPr>
        <w:t>)</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فأراد أن ي</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س</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ي</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به</w:t>
      </w:r>
      <w:r w:rsidR="00335A5B" w:rsidRPr="00C821A1">
        <w:rPr>
          <w:rStyle w:val="af1"/>
          <w:rFonts w:ascii="Tahoma" w:hAnsi="Tahoma"/>
          <w:szCs w:val="32"/>
          <w:rtl/>
        </w:rPr>
        <w:t>(</w:t>
      </w:r>
      <w:r w:rsidR="00335A5B" w:rsidRPr="00C821A1">
        <w:rPr>
          <w:rStyle w:val="af1"/>
          <w:rFonts w:ascii="Tahoma" w:hAnsi="Tahoma"/>
          <w:szCs w:val="32"/>
          <w:rtl/>
        </w:rPr>
        <w:footnoteReference w:id="535"/>
      </w:r>
      <w:r w:rsidR="00335A5B" w:rsidRPr="00C821A1">
        <w:rPr>
          <w:rStyle w:val="af1"/>
          <w:rFonts w:ascii="Tahoma" w:hAnsi="Tahoma"/>
          <w:szCs w:val="32"/>
          <w:rtl/>
        </w:rPr>
        <w:t>)</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قال: فل</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ح</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ق</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 xml:space="preserve">ني النبي </w:t>
      </w:r>
      <w:r w:rsidR="00335A5B" w:rsidRPr="001229C1">
        <w:rPr>
          <w:rFonts w:ascii="Traditional Arabic" w:hAnsi="Traditional Arabic" w:cs="CTraditional Arabic" w:hint="cs"/>
          <w:noProof w:val="0"/>
          <w:color w:val="auto"/>
          <w:rtl/>
          <w:lang w:eastAsia="en-US"/>
        </w:rPr>
        <w:t>&gt;</w:t>
      </w:r>
      <w:r w:rsidR="00335A5B" w:rsidRPr="003F23F1">
        <w:rPr>
          <w:rFonts w:ascii="Traditional Arabic" w:hAnsi="Traditional Arabic"/>
          <w:noProof w:val="0"/>
          <w:color w:val="auto"/>
          <w:rtl/>
          <w:lang w:eastAsia="en-US"/>
        </w:rPr>
        <w:t xml:space="preserve"> فد</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عا لي</w:t>
      </w:r>
      <w:r w:rsidR="00B76414">
        <w:rPr>
          <w:rFonts w:ascii="Traditional Arabic" w:hAnsi="Traditional Arabic"/>
          <w:noProof w:val="0"/>
          <w:color w:val="auto"/>
          <w:rtl/>
          <w:lang w:eastAsia="en-US"/>
        </w:rPr>
        <w:t>،</w:t>
      </w:r>
      <w:r w:rsidR="00335A5B" w:rsidRPr="003F23F1">
        <w:rPr>
          <w:rFonts w:ascii="Traditional Arabic" w:hAnsi="Traditional Arabic"/>
          <w:noProof w:val="0"/>
          <w:color w:val="auto"/>
          <w:rtl/>
          <w:lang w:eastAsia="en-US"/>
        </w:rPr>
        <w:t xml:space="preserve"> وضر</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به، فسار س</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ي</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را</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لم ي</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س</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ر</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م</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ث</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ل</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ه</w:t>
      </w:r>
      <w:r w:rsidR="00B76414">
        <w:rPr>
          <w:rFonts w:ascii="Traditional Arabic" w:hAnsi="Traditional Arabic"/>
          <w:noProof w:val="0"/>
          <w:color w:val="auto"/>
          <w:rtl/>
          <w:lang w:eastAsia="en-US"/>
        </w:rPr>
        <w:t>،</w:t>
      </w:r>
      <w:r w:rsidR="00335A5B">
        <w:rPr>
          <w:rFonts w:ascii="Traditional Arabic" w:hAnsi="Traditional Arabic"/>
          <w:noProof w:val="0"/>
          <w:color w:val="auto"/>
          <w:rtl/>
          <w:lang w:eastAsia="en-US"/>
        </w:rPr>
        <w:t xml:space="preserve"> قال:"</w:t>
      </w:r>
      <w:r w:rsidR="00335A5B">
        <w:rPr>
          <w:rFonts w:ascii="Traditional Arabic" w:hAnsi="Traditional Arabic" w:hint="cs"/>
          <w:noProof w:val="0"/>
          <w:color w:val="auto"/>
          <w:rtl/>
          <w:lang w:eastAsia="en-US"/>
        </w:rPr>
        <w:t>بِ</w:t>
      </w:r>
      <w:r w:rsidR="00335A5B" w:rsidRPr="003F23F1">
        <w:rPr>
          <w:rFonts w:ascii="Traditional Arabic" w:hAnsi="Traditional Arabic"/>
          <w:noProof w:val="0"/>
          <w:color w:val="auto"/>
          <w:rtl/>
          <w:lang w:eastAsia="en-US"/>
        </w:rPr>
        <w:t>ع</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ن</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يه</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w:t>
      </w:r>
      <w:r w:rsidR="00335A5B" w:rsidRPr="003F23F1">
        <w:rPr>
          <w:rFonts w:ascii="Traditional Arabic" w:hAnsi="Traditional Arabic"/>
          <w:noProof w:val="0"/>
          <w:color w:val="auto"/>
          <w:rtl/>
          <w:lang w:eastAsia="en-US"/>
        </w:rPr>
        <w:lastRenderedPageBreak/>
        <w:t>ب</w:t>
      </w:r>
      <w:r w:rsidR="00335A5B">
        <w:rPr>
          <w:rFonts w:ascii="Traditional Arabic" w:hAnsi="Traditional Arabic" w:hint="cs"/>
          <w:noProof w:val="0"/>
          <w:color w:val="auto"/>
          <w:rtl/>
          <w:lang w:eastAsia="en-US"/>
        </w:rPr>
        <w:t>ِأُ</w:t>
      </w:r>
      <w:r w:rsidR="00335A5B" w:rsidRPr="003F23F1">
        <w:rPr>
          <w:rFonts w:ascii="Traditional Arabic" w:hAnsi="Traditional Arabic"/>
          <w:noProof w:val="0"/>
          <w:color w:val="auto"/>
          <w:rtl/>
          <w:lang w:eastAsia="en-US"/>
        </w:rPr>
        <w:t>وق</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ي</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ة</w:t>
      </w:r>
      <w:r w:rsidR="00335A5B">
        <w:rPr>
          <w:rFonts w:ascii="Traditional Arabic" w:hAnsi="Traditional Arabic" w:hint="cs"/>
          <w:noProof w:val="0"/>
          <w:color w:val="auto"/>
          <w:rtl/>
          <w:lang w:eastAsia="en-US"/>
        </w:rPr>
        <w:t>ٍ</w:t>
      </w:r>
      <w:r w:rsidR="00335A5B" w:rsidRPr="00C821A1">
        <w:rPr>
          <w:rStyle w:val="af1"/>
          <w:rFonts w:ascii="Tahoma" w:hAnsi="Tahoma"/>
          <w:szCs w:val="32"/>
          <w:rtl/>
        </w:rPr>
        <w:t>(</w:t>
      </w:r>
      <w:r w:rsidR="00335A5B" w:rsidRPr="00C821A1">
        <w:rPr>
          <w:rStyle w:val="af1"/>
          <w:rFonts w:ascii="Tahoma" w:hAnsi="Tahoma"/>
          <w:szCs w:val="32"/>
          <w:rtl/>
        </w:rPr>
        <w:footnoteReference w:id="536"/>
      </w:r>
      <w:r w:rsidR="00335A5B" w:rsidRPr="00C821A1">
        <w:rPr>
          <w:rStyle w:val="af1"/>
          <w:rFonts w:ascii="Tahoma" w:hAnsi="Tahoma"/>
          <w:szCs w:val="32"/>
          <w:rtl/>
        </w:rPr>
        <w:t>)</w:t>
      </w:r>
      <w:r w:rsidR="00335A5B">
        <w:rPr>
          <w:rFonts w:ascii="Traditional Arabic" w:hAnsi="Traditional Arabic"/>
          <w:noProof w:val="0"/>
          <w:color w:val="auto"/>
          <w:rtl/>
          <w:lang w:eastAsia="en-US"/>
        </w:rPr>
        <w:t xml:space="preserve"> " قلت</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 لا</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ثم قال: " بعنيه " فب</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ع</w:t>
      </w:r>
      <w:r w:rsidR="00335A5B">
        <w:rPr>
          <w:rFonts w:ascii="Traditional Arabic" w:hAnsi="Traditional Arabic" w:hint="cs"/>
          <w:noProof w:val="0"/>
          <w:color w:val="auto"/>
          <w:rtl/>
          <w:lang w:eastAsia="en-US"/>
        </w:rPr>
        <w:t>ْتُ</w:t>
      </w:r>
      <w:r w:rsidR="00335A5B" w:rsidRPr="003F23F1">
        <w:rPr>
          <w:rFonts w:ascii="Traditional Arabic" w:hAnsi="Traditional Arabic"/>
          <w:noProof w:val="0"/>
          <w:color w:val="auto"/>
          <w:rtl/>
          <w:lang w:eastAsia="en-US"/>
        </w:rPr>
        <w:t>ه ب</w:t>
      </w:r>
      <w:r w:rsidR="00335A5B">
        <w:rPr>
          <w:rFonts w:ascii="Traditional Arabic" w:hAnsi="Traditional Arabic" w:hint="cs"/>
          <w:noProof w:val="0"/>
          <w:color w:val="auto"/>
          <w:rtl/>
          <w:lang w:eastAsia="en-US"/>
        </w:rPr>
        <w:t>أ</w:t>
      </w:r>
      <w:r w:rsidR="00335A5B" w:rsidRPr="003F23F1">
        <w:rPr>
          <w:rFonts w:ascii="Traditional Arabic" w:hAnsi="Traditional Arabic"/>
          <w:noProof w:val="0"/>
          <w:color w:val="auto"/>
          <w:rtl/>
          <w:lang w:eastAsia="en-US"/>
        </w:rPr>
        <w:t>وقية</w:t>
      </w:r>
      <w:r w:rsidR="00B76414">
        <w:rPr>
          <w:rFonts w:ascii="Traditional Arabic" w:hAnsi="Traditional Arabic"/>
          <w:noProof w:val="0"/>
          <w:color w:val="auto"/>
          <w:rtl/>
          <w:lang w:eastAsia="en-US"/>
        </w:rPr>
        <w:t>،</w:t>
      </w:r>
      <w:r w:rsidR="00335A5B" w:rsidRPr="003F23F1">
        <w:rPr>
          <w:rFonts w:ascii="Traditional Arabic" w:hAnsi="Traditional Arabic"/>
          <w:noProof w:val="0"/>
          <w:color w:val="auto"/>
          <w:rtl/>
          <w:lang w:eastAsia="en-US"/>
        </w:rPr>
        <w:t xml:space="preserve"> واشترطت</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ح</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م</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لان</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ه إلى أهلي</w:t>
      </w:r>
      <w:r w:rsidR="00B76414">
        <w:rPr>
          <w:rFonts w:ascii="Traditional Arabic" w:hAnsi="Traditional Arabic"/>
          <w:noProof w:val="0"/>
          <w:color w:val="auto"/>
          <w:rtl/>
          <w:lang w:eastAsia="en-US"/>
        </w:rPr>
        <w:t>،</w:t>
      </w:r>
      <w:r w:rsidR="00335A5B" w:rsidRPr="003F23F1">
        <w:rPr>
          <w:rFonts w:ascii="Traditional Arabic" w:hAnsi="Traditional Arabic"/>
          <w:noProof w:val="0"/>
          <w:color w:val="auto"/>
          <w:rtl/>
          <w:lang w:eastAsia="en-US"/>
        </w:rPr>
        <w:t xml:space="preserve"> فلم</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ا بلغت</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أتيت</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ه بالجمل</w:t>
      </w:r>
      <w:r w:rsidR="00B76414">
        <w:rPr>
          <w:rFonts w:ascii="Traditional Arabic" w:hAnsi="Traditional Arabic"/>
          <w:noProof w:val="0"/>
          <w:color w:val="auto"/>
          <w:rtl/>
          <w:lang w:eastAsia="en-US"/>
        </w:rPr>
        <w:t>،</w:t>
      </w:r>
      <w:r w:rsidR="00335A5B" w:rsidRPr="003F23F1">
        <w:rPr>
          <w:rFonts w:ascii="Traditional Arabic" w:hAnsi="Traditional Arabic"/>
          <w:noProof w:val="0"/>
          <w:color w:val="auto"/>
          <w:rtl/>
          <w:lang w:eastAsia="en-US"/>
        </w:rPr>
        <w:t xml:space="preserve"> فن</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ق</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د</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ن</w:t>
      </w:r>
      <w:r w:rsidR="00335A5B">
        <w:rPr>
          <w:rFonts w:ascii="Traditional Arabic" w:hAnsi="Traditional Arabic" w:hint="cs"/>
          <w:noProof w:val="0"/>
          <w:color w:val="auto"/>
          <w:rtl/>
          <w:lang w:eastAsia="en-US"/>
        </w:rPr>
        <w:t>ي</w:t>
      </w:r>
      <w:r w:rsidR="00335A5B" w:rsidRPr="003F23F1">
        <w:rPr>
          <w:rFonts w:ascii="Traditional Arabic" w:hAnsi="Traditional Arabic"/>
          <w:noProof w:val="0"/>
          <w:color w:val="auto"/>
          <w:rtl/>
          <w:lang w:eastAsia="en-US"/>
        </w:rPr>
        <w:t xml:space="preserve"> ث</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م</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ن</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ه</w:t>
      </w:r>
      <w:r w:rsidR="00335A5B">
        <w:rPr>
          <w:rFonts w:ascii="Traditional Arabic" w:hAnsi="Traditional Arabic" w:hint="cs"/>
          <w:noProof w:val="0"/>
          <w:color w:val="auto"/>
          <w:rtl/>
          <w:lang w:eastAsia="en-US"/>
        </w:rPr>
        <w:t>ُ</w:t>
      </w:r>
      <w:r w:rsidR="00B76414">
        <w:rPr>
          <w:rFonts w:ascii="Traditional Arabic" w:hAnsi="Traditional Arabic"/>
          <w:noProof w:val="0"/>
          <w:color w:val="auto"/>
          <w:rtl/>
          <w:lang w:eastAsia="en-US"/>
        </w:rPr>
        <w:t>،</w:t>
      </w:r>
      <w:r w:rsidR="00335A5B" w:rsidRPr="003F23F1">
        <w:rPr>
          <w:rFonts w:ascii="Traditional Arabic" w:hAnsi="Traditional Arabic"/>
          <w:noProof w:val="0"/>
          <w:color w:val="auto"/>
          <w:rtl/>
          <w:lang w:eastAsia="en-US"/>
        </w:rPr>
        <w:t xml:space="preserve"> ثم ر</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جعت</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 xml:space="preserve"> فأرس</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ل في أ</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ث</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ري. فقال: "أ</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ت</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راني ماك</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س</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ت</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ك</w:t>
      </w:r>
      <w:r w:rsidR="00335A5B">
        <w:rPr>
          <w:rFonts w:ascii="Traditional Arabic" w:hAnsi="Traditional Arabic" w:hint="cs"/>
          <w:noProof w:val="0"/>
          <w:color w:val="auto"/>
          <w:rtl/>
          <w:lang w:eastAsia="en-US"/>
        </w:rPr>
        <w:t>َ</w:t>
      </w:r>
      <w:r w:rsidR="00335A5B" w:rsidRPr="00C821A1">
        <w:rPr>
          <w:rStyle w:val="af1"/>
          <w:rFonts w:ascii="Tahoma" w:hAnsi="Tahoma"/>
          <w:szCs w:val="32"/>
          <w:rtl/>
        </w:rPr>
        <w:t>(</w:t>
      </w:r>
      <w:r w:rsidR="00335A5B" w:rsidRPr="00C821A1">
        <w:rPr>
          <w:rStyle w:val="af1"/>
          <w:rFonts w:ascii="Tahoma" w:hAnsi="Tahoma"/>
          <w:szCs w:val="32"/>
          <w:rtl/>
        </w:rPr>
        <w:footnoteReference w:id="537"/>
      </w:r>
      <w:r w:rsidR="00335A5B" w:rsidRPr="00C821A1">
        <w:rPr>
          <w:rStyle w:val="af1"/>
          <w:rFonts w:ascii="Tahoma" w:hAnsi="Tahoma"/>
          <w:szCs w:val="32"/>
          <w:rtl/>
        </w:rPr>
        <w:t>)</w:t>
      </w:r>
      <w:r w:rsidR="00335A5B" w:rsidRPr="003F23F1">
        <w:rPr>
          <w:rFonts w:ascii="Traditional Arabic" w:hAnsi="Traditional Arabic"/>
          <w:noProof w:val="0"/>
          <w:color w:val="auto"/>
          <w:rtl/>
          <w:lang w:eastAsia="en-US"/>
        </w:rPr>
        <w:t xml:space="preserve"> لآخ</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ذ جملك</w:t>
      </w:r>
      <w:r w:rsidR="00CA2D76">
        <w:rPr>
          <w:rFonts w:ascii="Traditional Arabic" w:hAnsi="Traditional Arabic" w:hint="cs"/>
          <w:noProof w:val="0"/>
          <w:color w:val="auto"/>
          <w:rtl/>
          <w:lang w:eastAsia="en-US" w:bidi="ar-DZ"/>
        </w:rPr>
        <w:t>؟</w:t>
      </w:r>
      <w:r w:rsidR="00335A5B" w:rsidRPr="003F23F1">
        <w:rPr>
          <w:rFonts w:ascii="Traditional Arabic" w:hAnsi="Traditional Arabic"/>
          <w:noProof w:val="0"/>
          <w:color w:val="auto"/>
          <w:rtl/>
          <w:lang w:eastAsia="en-US"/>
        </w:rPr>
        <w:t xml:space="preserve"> خ</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ذ</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جمل</w:t>
      </w:r>
      <w:r w:rsidR="00335A5B">
        <w:rPr>
          <w:rFonts w:ascii="Traditional Arabic" w:hAnsi="Traditional Arabic" w:hint="cs"/>
          <w:noProof w:val="0"/>
          <w:color w:val="auto"/>
          <w:rtl/>
          <w:lang w:eastAsia="en-US"/>
        </w:rPr>
        <w:t>َ</w:t>
      </w:r>
      <w:r w:rsidR="00335A5B" w:rsidRPr="003F23F1">
        <w:rPr>
          <w:rFonts w:ascii="Traditional Arabic" w:hAnsi="Traditional Arabic"/>
          <w:noProof w:val="0"/>
          <w:color w:val="auto"/>
          <w:rtl/>
          <w:lang w:eastAsia="en-US"/>
        </w:rPr>
        <w:t>ك ودراهم</w:t>
      </w:r>
      <w:r w:rsidR="00335A5B">
        <w:rPr>
          <w:rFonts w:ascii="Traditional Arabic" w:hAnsi="Traditional Arabic" w:hint="cs"/>
          <w:noProof w:val="0"/>
          <w:color w:val="auto"/>
          <w:rtl/>
          <w:lang w:eastAsia="en-US"/>
        </w:rPr>
        <w:t>َ</w:t>
      </w:r>
      <w:r w:rsidR="00335A5B">
        <w:rPr>
          <w:rFonts w:ascii="Traditional Arabic" w:hAnsi="Traditional Arabic"/>
          <w:noProof w:val="0"/>
          <w:color w:val="auto"/>
          <w:rtl/>
          <w:lang w:eastAsia="en-US"/>
        </w:rPr>
        <w:t>ك. فهو لك</w:t>
      </w:r>
      <w:r w:rsidR="00AB0B9E">
        <w:rPr>
          <w:rFonts w:ascii="Traditional Arabic" w:hAnsi="Traditional Arabic"/>
          <w:noProof w:val="0"/>
          <w:color w:val="auto"/>
          <w:rtl/>
          <w:lang w:eastAsia="en-US"/>
        </w:rPr>
        <w:fldChar w:fldCharType="begin"/>
      </w:r>
      <w:r w:rsidR="00CA2D76" w:rsidRPr="00C85F0F">
        <w:instrText>XE</w:instrText>
      </w:r>
      <w:r w:rsidR="00CA2D76" w:rsidRPr="00C85F0F">
        <w:rPr>
          <w:rtl/>
        </w:rPr>
        <w:instrText xml:space="preserve"> "</w:instrText>
      </w:r>
      <w:r w:rsidR="00CA2D76" w:rsidRPr="00C85F0F">
        <w:rPr>
          <w:rFonts w:ascii="Traditional Arabic" w:hAnsi="Traditional Arabic"/>
          <w:noProof w:val="0"/>
          <w:color w:val="auto"/>
          <w:rtl/>
          <w:lang w:eastAsia="en-US"/>
        </w:rPr>
        <w:instrText>أ</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ت</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راني ماك</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س</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ت</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ك</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 xml:space="preserve"> لآخ</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ذ جملك</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 xml:space="preserve"> خ</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ذ</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 xml:space="preserve"> جمل</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ك ودراهم</w:instrText>
      </w:r>
      <w:r w:rsidR="00CA2D76" w:rsidRPr="00C85F0F">
        <w:rPr>
          <w:rFonts w:ascii="Traditional Arabic" w:hAnsi="Traditional Arabic" w:hint="cs"/>
          <w:noProof w:val="0"/>
          <w:color w:val="auto"/>
          <w:rtl/>
          <w:lang w:eastAsia="en-US"/>
        </w:rPr>
        <w:instrText>َ</w:instrText>
      </w:r>
      <w:r w:rsidR="00CA2D76" w:rsidRPr="00C85F0F">
        <w:rPr>
          <w:rFonts w:ascii="Traditional Arabic" w:hAnsi="Traditional Arabic"/>
          <w:noProof w:val="0"/>
          <w:color w:val="auto"/>
          <w:rtl/>
          <w:lang w:eastAsia="en-US"/>
        </w:rPr>
        <w:instrText>ك. فهو لك</w:instrText>
      </w:r>
      <w:r w:rsidR="00CA2D76" w:rsidRPr="00C85F0F">
        <w:rPr>
          <w:rtl/>
        </w:rPr>
        <w:instrText>"</w:instrText>
      </w:r>
      <w:r w:rsidR="00CA2D76" w:rsidRPr="00C85F0F">
        <w:rPr>
          <w:rtl/>
          <w:lang w:val="fr-FR"/>
        </w:rPr>
        <w:instrText xml:space="preserve"> \</w:instrText>
      </w:r>
      <w:r w:rsidR="00CA2D76" w:rsidRPr="00C85F0F">
        <w:rPr>
          <w:lang w:val="fr-FR"/>
        </w:rPr>
        <w:instrText>f</w:instrText>
      </w:r>
      <w:r w:rsidR="00CA2D76">
        <w:rPr>
          <w:lang w:val="fr-FR"/>
        </w:rPr>
        <w:instrText>h</w:instrText>
      </w:r>
      <w:r w:rsidR="00AB0B9E">
        <w:rPr>
          <w:rFonts w:ascii="Traditional Arabic" w:hAnsi="Traditional Arabic"/>
          <w:noProof w:val="0"/>
          <w:color w:val="auto"/>
          <w:rtl/>
          <w:lang w:eastAsia="en-US"/>
        </w:rPr>
        <w:fldChar w:fldCharType="end"/>
      </w:r>
      <w:r w:rsidR="00335A5B">
        <w:rPr>
          <w:rFonts w:ascii="Traditional Arabic" w:hAnsi="Traditional Arabic" w:hint="cs"/>
          <w:noProof w:val="0"/>
          <w:color w:val="auto"/>
          <w:rtl/>
          <w:lang w:eastAsia="en-US"/>
        </w:rPr>
        <w:t>"</w:t>
      </w:r>
      <w:r w:rsidR="00335A5B" w:rsidRPr="00C821A1">
        <w:rPr>
          <w:rStyle w:val="af1"/>
          <w:rFonts w:ascii="Tahoma" w:hAnsi="Tahoma"/>
          <w:szCs w:val="32"/>
          <w:rtl/>
        </w:rPr>
        <w:t>(</w:t>
      </w:r>
      <w:r w:rsidR="00335A5B" w:rsidRPr="00C821A1">
        <w:rPr>
          <w:rStyle w:val="af1"/>
          <w:rFonts w:ascii="Tahoma" w:hAnsi="Tahoma"/>
          <w:szCs w:val="32"/>
          <w:rtl/>
        </w:rPr>
        <w:footnoteReference w:id="538"/>
      </w:r>
      <w:r w:rsidR="00335A5B" w:rsidRPr="00C821A1">
        <w:rPr>
          <w:rStyle w:val="af1"/>
          <w:rFonts w:ascii="Tahoma" w:hAnsi="Tahoma"/>
          <w:szCs w:val="32"/>
          <w:rtl/>
        </w:rPr>
        <w:t>)</w:t>
      </w:r>
      <w:r w:rsidR="00335A5B">
        <w:rPr>
          <w:rFonts w:ascii="Traditional Arabic" w:hAnsi="Traditional Arabic" w:hint="cs"/>
          <w:noProof w:val="0"/>
          <w:color w:val="auto"/>
          <w:rtl/>
          <w:lang w:eastAsia="en-US"/>
        </w:rPr>
        <w:t>.</w:t>
      </w:r>
    </w:p>
    <w:p w:rsidR="00065E4B" w:rsidRPr="00CA7F89" w:rsidRDefault="00065E4B" w:rsidP="00597C20">
      <w:pPr>
        <w:pStyle w:val="53"/>
        <w:rPr>
          <w:rtl/>
        </w:rPr>
      </w:pPr>
      <w:r w:rsidRPr="00CA7F89">
        <w:rPr>
          <w:rFonts w:hint="cs"/>
          <w:rtl/>
        </w:rPr>
        <w:t>و</w:t>
      </w:r>
      <w:r w:rsidR="00335A5B" w:rsidRPr="00CA7F89">
        <w:rPr>
          <w:rFonts w:hint="cs"/>
          <w:rtl/>
        </w:rPr>
        <w:t>جه الدلالة:</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sidRPr="000F67A6">
        <w:rPr>
          <w:rFonts w:ascii="Traditional Arabic" w:hAnsi="Traditional Arabic" w:hint="cs"/>
          <w:noProof w:val="0"/>
          <w:color w:val="auto"/>
          <w:rtl/>
          <w:lang w:eastAsia="en-US"/>
        </w:rPr>
        <w:t>ق</w:t>
      </w:r>
      <w:r w:rsidR="00335A5B" w:rsidRPr="000F67A6">
        <w:rPr>
          <w:rFonts w:ascii="Traditional Arabic" w:hAnsi="Traditional Arabic" w:hint="cs"/>
          <w:noProof w:val="0"/>
          <w:color w:val="auto"/>
          <w:rtl/>
          <w:lang w:eastAsia="en-US"/>
        </w:rPr>
        <w:t xml:space="preserve">وله </w:t>
      </w:r>
      <w:r w:rsidR="00335A5B" w:rsidRPr="001229C1">
        <w:rPr>
          <w:rFonts w:ascii="Traditional Arabic" w:hAnsi="Traditional Arabic" w:cs="CTraditional Arabic" w:hint="cs"/>
          <w:noProof w:val="0"/>
          <w:color w:val="auto"/>
          <w:rtl/>
          <w:lang w:eastAsia="en-US"/>
        </w:rPr>
        <w:t>&gt;</w:t>
      </w:r>
      <w:r w:rsidR="00335A5B">
        <w:rPr>
          <w:rFonts w:ascii="Traditional Arabic" w:hAnsi="Traditional Arabic" w:hint="cs"/>
          <w:noProof w:val="0"/>
          <w:color w:val="auto"/>
          <w:rtl/>
          <w:lang w:eastAsia="en-US"/>
        </w:rPr>
        <w:t xml:space="preserve"> لجابر </w:t>
      </w:r>
      <w:r w:rsidR="00784265">
        <w:rPr>
          <w:rFonts w:ascii="Traditional Arabic" w:hAnsi="Traditional Arabic" w:hint="cs"/>
          <w:noProof w:val="0"/>
          <w:color w:val="auto"/>
          <w:rtl/>
          <w:lang w:eastAsia="en-US"/>
        </w:rPr>
        <w:t>_</w:t>
      </w:r>
      <w:r w:rsidR="00335A5B" w:rsidRPr="001229C1">
        <w:rPr>
          <w:rFonts w:ascii="Traditional Arabic" w:hAnsi="Traditional Arabic" w:cs="CTraditional Arabic" w:hint="cs"/>
          <w:noProof w:val="0"/>
          <w:color w:val="auto"/>
          <w:rtl/>
          <w:lang w:eastAsia="en-US"/>
        </w:rPr>
        <w:t>ط</w:t>
      </w:r>
      <w:r w:rsidR="00784265">
        <w:rPr>
          <w:rFonts w:ascii="Traditional Arabic" w:hAnsi="Traditional Arabic" w:hint="cs"/>
          <w:noProof w:val="0"/>
          <w:color w:val="auto"/>
          <w:rtl/>
          <w:lang w:eastAsia="en-US"/>
        </w:rPr>
        <w:t>_</w:t>
      </w:r>
      <w:r w:rsidR="00335A5B" w:rsidRPr="000F67A6">
        <w:rPr>
          <w:rFonts w:ascii="Traditional Arabic" w:hAnsi="Traditional Arabic" w:hint="cs"/>
          <w:noProof w:val="0"/>
          <w:color w:val="auto"/>
          <w:rtl/>
          <w:lang w:eastAsia="en-US"/>
        </w:rPr>
        <w:t>:"</w:t>
      </w:r>
      <w:r w:rsidR="00335A5B" w:rsidRPr="000F67A6">
        <w:rPr>
          <w:rFonts w:ascii="Traditional Arabic" w:hAnsi="Traditional Arabic"/>
          <w:noProof w:val="0"/>
          <w:color w:val="auto"/>
          <w:rtl/>
          <w:lang w:eastAsia="en-US"/>
        </w:rPr>
        <w:t xml:space="preserve"> خ</w:t>
      </w:r>
      <w:r w:rsidR="00335A5B" w:rsidRPr="000F67A6">
        <w:rPr>
          <w:rFonts w:ascii="Traditional Arabic" w:hAnsi="Traditional Arabic" w:hint="cs"/>
          <w:noProof w:val="0"/>
          <w:color w:val="auto"/>
          <w:rtl/>
          <w:lang w:eastAsia="en-US"/>
        </w:rPr>
        <w:t>ُ</w:t>
      </w:r>
      <w:r w:rsidR="00335A5B" w:rsidRPr="000F67A6">
        <w:rPr>
          <w:rFonts w:ascii="Traditional Arabic" w:hAnsi="Traditional Arabic"/>
          <w:noProof w:val="0"/>
          <w:color w:val="auto"/>
          <w:rtl/>
          <w:lang w:eastAsia="en-US"/>
        </w:rPr>
        <w:t>ذ</w:t>
      </w:r>
      <w:r w:rsidR="00335A5B" w:rsidRPr="000F67A6">
        <w:rPr>
          <w:rFonts w:ascii="Traditional Arabic" w:hAnsi="Traditional Arabic" w:hint="cs"/>
          <w:noProof w:val="0"/>
          <w:color w:val="auto"/>
          <w:rtl/>
          <w:lang w:eastAsia="en-US"/>
        </w:rPr>
        <w:t>ْ</w:t>
      </w:r>
      <w:r w:rsidR="00335A5B" w:rsidRPr="000F67A6">
        <w:rPr>
          <w:rFonts w:ascii="Traditional Arabic" w:hAnsi="Traditional Arabic"/>
          <w:noProof w:val="0"/>
          <w:color w:val="auto"/>
          <w:rtl/>
          <w:lang w:eastAsia="en-US"/>
        </w:rPr>
        <w:t>جمل</w:t>
      </w:r>
      <w:r w:rsidR="00335A5B" w:rsidRPr="000F67A6">
        <w:rPr>
          <w:rFonts w:ascii="Traditional Arabic" w:hAnsi="Traditional Arabic" w:hint="cs"/>
          <w:noProof w:val="0"/>
          <w:color w:val="auto"/>
          <w:rtl/>
          <w:lang w:eastAsia="en-US"/>
        </w:rPr>
        <w:t>َ</w:t>
      </w:r>
      <w:r w:rsidR="00335A5B" w:rsidRPr="000F67A6">
        <w:rPr>
          <w:rFonts w:ascii="Traditional Arabic" w:hAnsi="Traditional Arabic"/>
          <w:noProof w:val="0"/>
          <w:color w:val="auto"/>
          <w:rtl/>
          <w:lang w:eastAsia="en-US"/>
        </w:rPr>
        <w:t>ك ودراهم</w:t>
      </w:r>
      <w:r w:rsidR="00335A5B" w:rsidRPr="000F67A6">
        <w:rPr>
          <w:rFonts w:ascii="Traditional Arabic" w:hAnsi="Traditional Arabic" w:hint="cs"/>
          <w:noProof w:val="0"/>
          <w:color w:val="auto"/>
          <w:rtl/>
          <w:lang w:eastAsia="en-US"/>
        </w:rPr>
        <w:t>َ</w:t>
      </w:r>
      <w:r w:rsidR="00335A5B" w:rsidRPr="000F67A6">
        <w:rPr>
          <w:rFonts w:ascii="Traditional Arabic" w:hAnsi="Traditional Arabic"/>
          <w:noProof w:val="0"/>
          <w:color w:val="auto"/>
          <w:rtl/>
          <w:lang w:eastAsia="en-US"/>
        </w:rPr>
        <w:t>ك. فهو لك</w:t>
      </w:r>
      <w:r w:rsidR="00335A5B" w:rsidRPr="000F67A6">
        <w:rPr>
          <w:rFonts w:ascii="Traditional Arabic" w:hAnsi="Traditional Arabic" w:hint="cs"/>
          <w:noProof w:val="0"/>
          <w:color w:val="auto"/>
          <w:rtl/>
          <w:lang w:eastAsia="en-US"/>
        </w:rPr>
        <w:t>"، لم يصرِّ</w:t>
      </w:r>
      <w:r w:rsidR="00335A5B">
        <w:rPr>
          <w:rFonts w:ascii="Traditional Arabic" w:hAnsi="Traditional Arabic" w:hint="cs"/>
          <w:noProof w:val="0"/>
          <w:color w:val="auto"/>
          <w:rtl/>
          <w:lang w:eastAsia="en-US"/>
        </w:rPr>
        <w:t>ح فيه ب</w:t>
      </w:r>
      <w:r w:rsidR="00335A5B" w:rsidRPr="000F67A6">
        <w:rPr>
          <w:rFonts w:ascii="Traditional Arabic" w:hAnsi="Traditional Arabic" w:hint="cs"/>
          <w:noProof w:val="0"/>
          <w:color w:val="auto"/>
          <w:rtl/>
          <w:lang w:eastAsia="en-US"/>
        </w:rPr>
        <w:t>ِلَفْظ ال</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هب</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ة، كما أن جابرا </w:t>
      </w:r>
      <w:r w:rsidR="00335A5B" w:rsidRPr="001229C1">
        <w:rPr>
          <w:rFonts w:ascii="Traditional Arabic" w:hAnsi="Traditional Arabic" w:cs="CTraditional Arabic" w:hint="cs"/>
          <w:noProof w:val="0"/>
          <w:color w:val="auto"/>
          <w:rtl/>
          <w:lang w:eastAsia="en-US"/>
        </w:rPr>
        <w:t>ط</w:t>
      </w:r>
      <w:r w:rsidR="00335A5B" w:rsidRPr="000F67A6">
        <w:rPr>
          <w:rFonts w:ascii="Traditional Arabic" w:hAnsi="Traditional Arabic" w:hint="cs"/>
          <w:noProof w:val="0"/>
          <w:color w:val="auto"/>
          <w:rtl/>
          <w:lang w:eastAsia="en-US"/>
        </w:rPr>
        <w:t>لم ي</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صرِّح ب</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ل</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ف</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ظ</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القَبول، </w:t>
      </w:r>
      <w:r w:rsidR="00335A5B">
        <w:rPr>
          <w:rFonts w:ascii="Traditional Arabic" w:hAnsi="Traditional Arabic" w:hint="cs"/>
          <w:noProof w:val="0"/>
          <w:color w:val="auto"/>
          <w:rtl/>
          <w:lang w:eastAsia="en-US"/>
        </w:rPr>
        <w:t>ف</w:t>
      </w:r>
      <w:r w:rsidR="00335A5B" w:rsidRPr="000F67A6">
        <w:rPr>
          <w:rFonts w:ascii="Traditional Arabic" w:hAnsi="Traditional Arabic" w:hint="cs"/>
          <w:noProof w:val="0"/>
          <w:color w:val="auto"/>
          <w:rtl/>
          <w:lang w:eastAsia="en-US"/>
        </w:rPr>
        <w:t>دل</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ذلك على أن العقود تنعقد بما دل</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عليها؛ لأن اللفظ يعبِّر</w:t>
      </w:r>
      <w:r w:rsidR="00335A5B">
        <w:rPr>
          <w:rFonts w:ascii="Traditional Arabic" w:hAnsi="Traditional Arabic" w:hint="cs"/>
          <w:noProof w:val="0"/>
          <w:color w:val="auto"/>
          <w:rtl/>
          <w:lang w:eastAsia="en-US"/>
        </w:rPr>
        <w:t>ع</w:t>
      </w:r>
      <w:r w:rsidR="00335A5B" w:rsidRPr="000F67A6">
        <w:rPr>
          <w:rFonts w:ascii="Traditional Arabic" w:hAnsi="Traditional Arabic" w:hint="cs"/>
          <w:noProof w:val="0"/>
          <w:color w:val="auto"/>
          <w:rtl/>
          <w:lang w:eastAsia="en-US"/>
        </w:rPr>
        <w:t>م</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ا في النفس، فإذا دل</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اللفظ</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على ما في النفس بأيِّ لغة</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كانوبأي</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لفظ</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كان وبأي</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أ</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سلوب</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كان</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فإنه يكون صالحا</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 xml:space="preserve"> أن ينعق</w:t>
      </w:r>
      <w:r w:rsidR="00335A5B">
        <w:rPr>
          <w:rFonts w:ascii="Traditional Arabic" w:hAnsi="Traditional Arabic" w:hint="cs"/>
          <w:noProof w:val="0"/>
          <w:color w:val="auto"/>
          <w:rtl/>
          <w:lang w:eastAsia="en-US"/>
        </w:rPr>
        <w:t>ِ</w:t>
      </w:r>
      <w:r w:rsidR="00335A5B" w:rsidRPr="000F67A6">
        <w:rPr>
          <w:rFonts w:ascii="Traditional Arabic" w:hAnsi="Traditional Arabic" w:hint="cs"/>
          <w:noProof w:val="0"/>
          <w:color w:val="auto"/>
          <w:rtl/>
          <w:lang w:eastAsia="en-US"/>
        </w:rPr>
        <w:t>د به العقد</w:t>
      </w:r>
      <w:r w:rsidR="00335A5B">
        <w:rPr>
          <w:rFonts w:ascii="Traditional Arabic" w:hAnsi="Traditional Arabic" w:hint="cs"/>
          <w:noProof w:val="0"/>
          <w:color w:val="auto"/>
          <w:rtl/>
          <w:lang w:eastAsia="en-US"/>
        </w:rPr>
        <w:t>ُ</w:t>
      </w:r>
      <w:r w:rsidR="00335A5B" w:rsidRPr="00C821A1">
        <w:rPr>
          <w:rStyle w:val="af1"/>
          <w:rFonts w:ascii="Tahoma" w:hAnsi="Tahoma"/>
          <w:szCs w:val="32"/>
          <w:rtl/>
        </w:rPr>
        <w:t>(</w:t>
      </w:r>
      <w:r w:rsidR="00335A5B" w:rsidRPr="00C821A1">
        <w:rPr>
          <w:rStyle w:val="af1"/>
          <w:rFonts w:ascii="Tahoma" w:hAnsi="Tahoma"/>
          <w:szCs w:val="32"/>
          <w:rtl/>
        </w:rPr>
        <w:footnoteReference w:id="539"/>
      </w:r>
      <w:r w:rsidR="00335A5B" w:rsidRPr="00C821A1">
        <w:rPr>
          <w:rStyle w:val="af1"/>
          <w:rFonts w:ascii="Tahoma" w:hAnsi="Tahoma"/>
          <w:szCs w:val="32"/>
          <w:rtl/>
        </w:rPr>
        <w:t>)</w:t>
      </w:r>
      <w:r w:rsidR="00335A5B" w:rsidRPr="000F67A6">
        <w:rPr>
          <w:rFonts w:ascii="Traditional Arabic" w:hAnsi="Traditional Arabic" w:hint="cs"/>
          <w:noProof w:val="0"/>
          <w:color w:val="auto"/>
          <w:rtl/>
          <w:lang w:eastAsia="en-US"/>
        </w:rPr>
        <w:t>.</w:t>
      </w:r>
    </w:p>
    <w:p w:rsidR="00065E4B" w:rsidRPr="00335A5B" w:rsidRDefault="00420F71" w:rsidP="00A8347C">
      <w:pPr>
        <w:pStyle w:val="aff3"/>
        <w:rPr>
          <w:rtl/>
        </w:rPr>
      </w:pPr>
      <w:bookmarkStart w:id="109" w:name="_Toc334046364"/>
      <w:r>
        <w:rPr>
          <w:rFonts w:hint="cs"/>
          <w:rtl/>
        </w:rPr>
        <w:t xml:space="preserve">                  </w:t>
      </w:r>
      <w:r w:rsidR="001D2EC1">
        <w:rPr>
          <w:rFonts w:hint="cs"/>
          <w:rtl/>
        </w:rPr>
        <w:t xml:space="preserve">                         </w:t>
      </w:r>
      <w:r w:rsidR="00335A5B" w:rsidRPr="00335A5B">
        <w:rPr>
          <w:rFonts w:hint="cs"/>
          <w:rtl/>
        </w:rPr>
        <w:t>المطلب الرابع</w:t>
      </w:r>
      <w:r w:rsidR="00335A5B">
        <w:rPr>
          <w:rFonts w:hint="eastAsia"/>
          <w:rtl/>
        </w:rPr>
        <w:t> :</w:t>
      </w:r>
      <w:r w:rsidR="00335A5B">
        <w:rPr>
          <w:rFonts w:hint="cs"/>
          <w:rtl/>
        </w:rPr>
        <w:br/>
      </w:r>
      <w:r>
        <w:rPr>
          <w:rFonts w:hint="cs"/>
          <w:rtl/>
        </w:rPr>
        <w:t xml:space="preserve">                </w:t>
      </w:r>
      <w:r w:rsidR="001D2EC1">
        <w:rPr>
          <w:rFonts w:hint="cs"/>
          <w:rtl/>
        </w:rPr>
        <w:t xml:space="preserve">                          </w:t>
      </w:r>
      <w:r w:rsidR="00335A5B" w:rsidRPr="00335A5B">
        <w:rPr>
          <w:rFonts w:hint="cs"/>
          <w:rtl/>
        </w:rPr>
        <w:t>تطبيقات القاعدة</w:t>
      </w:r>
      <w:bookmarkEnd w:id="109"/>
    </w:p>
    <w:p w:rsidR="00F228A9" w:rsidRDefault="00065E4B" w:rsidP="000A76C7">
      <w:pPr>
        <w:pStyle w:val="afc"/>
        <w:widowControl/>
        <w:numPr>
          <w:ilvl w:val="0"/>
          <w:numId w:val="94"/>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rtl/>
          <w:lang w:eastAsia="en-US"/>
        </w:rPr>
        <w:t>ل</w:t>
      </w:r>
      <w:r w:rsidR="00335A5B">
        <w:rPr>
          <w:rFonts w:ascii="Traditional Arabic" w:hAnsi="Traditional Arabic" w:hint="cs"/>
          <w:noProof w:val="0"/>
          <w:rtl/>
          <w:lang w:eastAsia="en-US"/>
        </w:rPr>
        <w:t>ا يُشترط</w:t>
      </w:r>
      <w:r w:rsidR="00420F71">
        <w:rPr>
          <w:rFonts w:ascii="Traditional Arabic" w:hAnsi="Traditional Arabic" w:hint="cs"/>
          <w:noProof w:val="0"/>
          <w:rtl/>
          <w:lang w:eastAsia="en-US"/>
        </w:rPr>
        <w:t xml:space="preserve"> </w:t>
      </w:r>
      <w:r w:rsidR="00335A5B" w:rsidRPr="008A0DAE">
        <w:rPr>
          <w:rFonts w:ascii="Traditional Arabic" w:hAnsi="Traditional Arabic"/>
          <w:noProof w:val="0"/>
          <w:rtl/>
          <w:lang w:eastAsia="en-US"/>
        </w:rPr>
        <w:t>للبيع</w:t>
      </w:r>
      <w:r w:rsidR="00420F71">
        <w:rPr>
          <w:rFonts w:ascii="Traditional Arabic" w:hAnsi="Traditional Arabic" w:hint="cs"/>
          <w:noProof w:val="0"/>
          <w:rtl/>
          <w:lang w:eastAsia="en-US"/>
        </w:rPr>
        <w:t xml:space="preserve"> </w:t>
      </w:r>
      <w:r w:rsidR="00335A5B" w:rsidRPr="008A0DAE">
        <w:rPr>
          <w:rFonts w:ascii="Traditional Arabic" w:hAnsi="Traditional Arabic"/>
          <w:noProof w:val="0"/>
          <w:rtl/>
          <w:lang w:eastAsia="en-US"/>
        </w:rPr>
        <w:t>صيغة</w:t>
      </w:r>
      <w:r w:rsidR="00335A5B">
        <w:rPr>
          <w:rFonts w:ascii="Traditional Arabic" w:hAnsi="Traditional Arabic" w:hint="cs"/>
          <w:noProof w:val="0"/>
          <w:rtl/>
          <w:lang w:eastAsia="en-US"/>
        </w:rPr>
        <w:t>ٌ</w:t>
      </w:r>
      <w:r w:rsidR="00335A5B" w:rsidRPr="008A0DAE">
        <w:rPr>
          <w:rFonts w:ascii="Traditional Arabic" w:hAnsi="Traditional Arabic"/>
          <w:noProof w:val="0"/>
          <w:rtl/>
          <w:lang w:eastAsia="en-US"/>
        </w:rPr>
        <w:t xml:space="preserve"> معي</w:t>
      </w:r>
      <w:r w:rsidR="00335A5B">
        <w:rPr>
          <w:rFonts w:ascii="Traditional Arabic" w:hAnsi="Traditional Arabic" w:hint="cs"/>
          <w:noProof w:val="0"/>
          <w:rtl/>
          <w:lang w:eastAsia="en-US"/>
        </w:rPr>
        <w:t>َّ</w:t>
      </w:r>
      <w:r w:rsidR="00335A5B" w:rsidRPr="008A0DAE">
        <w:rPr>
          <w:rFonts w:ascii="Traditional Arabic" w:hAnsi="Traditional Arabic"/>
          <w:noProof w:val="0"/>
          <w:rtl/>
          <w:lang w:eastAsia="en-US"/>
        </w:rPr>
        <w:t>نة</w:t>
      </w:r>
      <w:r w:rsidR="00335A5B">
        <w:rPr>
          <w:rFonts w:ascii="Traditional Arabic" w:hAnsi="Traditional Arabic" w:hint="cs"/>
          <w:noProof w:val="0"/>
          <w:rtl/>
          <w:lang w:eastAsia="en-US"/>
        </w:rPr>
        <w:t>ٌ،</w:t>
      </w:r>
      <w:r w:rsidR="00335A5B" w:rsidRPr="008A0DAE">
        <w:rPr>
          <w:rFonts w:ascii="Traditional Arabic" w:hAnsi="Traditional Arabic"/>
          <w:noProof w:val="0"/>
          <w:rtl/>
          <w:lang w:eastAsia="en-US"/>
        </w:rPr>
        <w:t xml:space="preserve"> فأي</w:t>
      </w:r>
      <w:r w:rsidR="00335A5B">
        <w:rPr>
          <w:rFonts w:ascii="Traditional Arabic" w:hAnsi="Traditional Arabic" w:hint="cs"/>
          <w:noProof w:val="0"/>
          <w:rtl/>
          <w:lang w:eastAsia="en-US"/>
        </w:rPr>
        <w:t>ُّ</w:t>
      </w:r>
      <w:r w:rsidR="00335A5B" w:rsidRPr="008A0DAE">
        <w:rPr>
          <w:rFonts w:ascii="Traditional Arabic" w:hAnsi="Traditional Arabic"/>
          <w:noProof w:val="0"/>
          <w:rtl/>
          <w:lang w:eastAsia="en-US"/>
        </w:rPr>
        <w:t xml:space="preserve"> لفظ</w:t>
      </w:r>
      <w:r w:rsidR="00335A5B">
        <w:rPr>
          <w:rFonts w:ascii="Traditional Arabic" w:hAnsi="Traditional Arabic" w:hint="cs"/>
          <w:noProof w:val="0"/>
          <w:rtl/>
          <w:lang w:eastAsia="en-US"/>
        </w:rPr>
        <w:t>ٍ</w:t>
      </w:r>
      <w:r w:rsidR="00335A5B" w:rsidRPr="008A0DAE">
        <w:rPr>
          <w:rFonts w:ascii="Traditional Arabic" w:hAnsi="Traditional Arabic"/>
          <w:noProof w:val="0"/>
          <w:rtl/>
          <w:lang w:eastAsia="en-US"/>
        </w:rPr>
        <w:t xml:space="preserve"> يدل</w:t>
      </w:r>
      <w:r w:rsidR="00335A5B">
        <w:rPr>
          <w:rFonts w:ascii="Traditional Arabic" w:hAnsi="Traditional Arabic" w:hint="cs"/>
          <w:noProof w:val="0"/>
          <w:rtl/>
          <w:lang w:eastAsia="en-US"/>
        </w:rPr>
        <w:t>ُّ</w:t>
      </w:r>
      <w:r w:rsidR="00335A5B" w:rsidRPr="008A0DAE">
        <w:rPr>
          <w:rFonts w:ascii="Traditional Arabic" w:hAnsi="Traditional Arabic"/>
          <w:noProof w:val="0"/>
          <w:rtl/>
          <w:lang w:eastAsia="en-US"/>
        </w:rPr>
        <w:t xml:space="preserve"> عليه فإنه ينعق</w:t>
      </w:r>
      <w:r w:rsidR="00335A5B">
        <w:rPr>
          <w:rFonts w:ascii="Traditional Arabic" w:hAnsi="Traditional Arabic" w:hint="cs"/>
          <w:noProof w:val="0"/>
          <w:rtl/>
          <w:lang w:eastAsia="en-US"/>
        </w:rPr>
        <w:t>ِ</w:t>
      </w:r>
      <w:r w:rsidR="00335A5B">
        <w:rPr>
          <w:rFonts w:ascii="Traditional Arabic" w:hAnsi="Traditional Arabic"/>
          <w:noProof w:val="0"/>
          <w:rtl/>
          <w:lang w:eastAsia="en-US"/>
        </w:rPr>
        <w:t>د به</w:t>
      </w:r>
      <w:r w:rsidR="00335A5B" w:rsidRPr="008A0DAE">
        <w:rPr>
          <w:rFonts w:ascii="Traditional Arabic" w:hAnsi="Traditional Arabic"/>
          <w:noProof w:val="0"/>
          <w:rtl/>
          <w:lang w:eastAsia="en-US"/>
        </w:rPr>
        <w:t>، مثل أن يقول: بعت</w:t>
      </w:r>
      <w:r w:rsidR="00335A5B" w:rsidRPr="008A0DAE">
        <w:rPr>
          <w:rFonts w:ascii="Traditional Arabic" w:hAnsi="Traditional Arabic" w:hint="cs"/>
          <w:noProof w:val="0"/>
          <w:rtl/>
          <w:lang w:eastAsia="en-US"/>
        </w:rPr>
        <w:t>ُ</w:t>
      </w:r>
      <w:r w:rsidR="00335A5B" w:rsidRPr="008A0DAE">
        <w:rPr>
          <w:rFonts w:ascii="Traditional Arabic" w:hAnsi="Traditional Arabic"/>
          <w:noProof w:val="0"/>
          <w:rtl/>
          <w:lang w:eastAsia="en-US"/>
        </w:rPr>
        <w:t>ك هذا الشيء، أعطيت</w:t>
      </w:r>
      <w:r w:rsidR="00335A5B" w:rsidRPr="008A0DAE">
        <w:rPr>
          <w:rFonts w:ascii="Traditional Arabic" w:hAnsi="Traditional Arabic" w:hint="cs"/>
          <w:noProof w:val="0"/>
          <w:rtl/>
          <w:lang w:eastAsia="en-US"/>
        </w:rPr>
        <w:t>ُ</w:t>
      </w:r>
      <w:r w:rsidR="00335A5B" w:rsidRPr="008A0DAE">
        <w:rPr>
          <w:rFonts w:ascii="Traditional Arabic" w:hAnsi="Traditional Arabic"/>
          <w:noProof w:val="0"/>
          <w:rtl/>
          <w:lang w:eastAsia="en-US"/>
        </w:rPr>
        <w:t>ك هذا الشيء، مل</w:t>
      </w:r>
      <w:r w:rsidR="00335A5B" w:rsidRPr="008A0DAE">
        <w:rPr>
          <w:rFonts w:ascii="Traditional Arabic" w:hAnsi="Traditional Arabic" w:hint="cs"/>
          <w:noProof w:val="0"/>
          <w:rtl/>
          <w:lang w:eastAsia="en-US"/>
        </w:rPr>
        <w:t>َّ</w:t>
      </w:r>
      <w:r w:rsidR="00335A5B" w:rsidRPr="008A0DAE">
        <w:rPr>
          <w:rFonts w:ascii="Traditional Arabic" w:hAnsi="Traditional Arabic"/>
          <w:noProof w:val="0"/>
          <w:rtl/>
          <w:lang w:eastAsia="en-US"/>
        </w:rPr>
        <w:t>كت</w:t>
      </w:r>
      <w:r w:rsidR="00335A5B" w:rsidRPr="008A0DAE">
        <w:rPr>
          <w:rFonts w:ascii="Traditional Arabic" w:hAnsi="Traditional Arabic" w:hint="cs"/>
          <w:noProof w:val="0"/>
          <w:rtl/>
          <w:lang w:eastAsia="en-US"/>
        </w:rPr>
        <w:t>ُ</w:t>
      </w:r>
      <w:r w:rsidR="00335A5B" w:rsidRPr="008A0DAE">
        <w:rPr>
          <w:rFonts w:ascii="Traditional Arabic" w:hAnsi="Traditional Arabic"/>
          <w:noProof w:val="0"/>
          <w:rtl/>
          <w:lang w:eastAsia="en-US"/>
        </w:rPr>
        <w:t>ك هذا الشيء</w:t>
      </w:r>
      <w:r w:rsidR="00335A5B" w:rsidRPr="00C821A1">
        <w:rPr>
          <w:rStyle w:val="af1"/>
          <w:szCs w:val="32"/>
          <w:rtl/>
        </w:rPr>
        <w:t>(</w:t>
      </w:r>
      <w:r w:rsidR="00335A5B" w:rsidRPr="00C821A1">
        <w:rPr>
          <w:rStyle w:val="af1"/>
          <w:szCs w:val="32"/>
          <w:rtl/>
        </w:rPr>
        <w:footnoteReference w:id="540"/>
      </w:r>
      <w:r w:rsidR="00335A5B" w:rsidRPr="00C821A1">
        <w:rPr>
          <w:rStyle w:val="af1"/>
          <w:szCs w:val="32"/>
          <w:rtl/>
        </w:rPr>
        <w:t>)</w:t>
      </w:r>
      <w:r w:rsidR="00335A5B" w:rsidRPr="008A0DAE">
        <w:rPr>
          <w:rFonts w:ascii="Traditional Arabic" w:hAnsi="Traditional Arabic" w:hint="cs"/>
          <w:noProof w:val="0"/>
          <w:rtl/>
          <w:lang w:eastAsia="en-US"/>
        </w:rPr>
        <w:t>.</w:t>
      </w:r>
    </w:p>
    <w:p w:rsidR="00335A5B" w:rsidRDefault="00335A5B" w:rsidP="00597C20">
      <w:pPr>
        <w:pStyle w:val="53"/>
        <w:rPr>
          <w:rtl/>
        </w:rPr>
      </w:pPr>
      <w:r>
        <w:rPr>
          <w:rFonts w:hint="cs"/>
          <w:rtl/>
        </w:rPr>
        <w:lastRenderedPageBreak/>
        <w:t>وجه اندراج الفرع تحت القاعدة:</w:t>
      </w:r>
    </w:p>
    <w:p w:rsidR="00065E4B" w:rsidRPr="00E51D72" w:rsidRDefault="00335A5B" w:rsidP="00597C20">
      <w:pPr>
        <w:widowControl/>
        <w:autoSpaceDE w:val="0"/>
        <w:autoSpaceDN w:val="0"/>
        <w:adjustRightInd w:val="0"/>
        <w:ind w:firstLine="720"/>
        <w:rPr>
          <w:rFonts w:ascii="Traditional Arabic" w:hAnsi="Traditional Arabic"/>
          <w:noProof w:val="0"/>
          <w:color w:val="auto"/>
          <w:rtl/>
          <w:lang w:eastAsia="en-US"/>
        </w:rPr>
      </w:pPr>
      <w:r w:rsidRPr="00E51D72">
        <w:rPr>
          <w:rFonts w:ascii="Traditional Arabic" w:hAnsi="Traditional Arabic" w:hint="cs"/>
          <w:noProof w:val="0"/>
          <w:color w:val="auto"/>
          <w:rtl/>
          <w:lang w:eastAsia="en-US"/>
        </w:rPr>
        <w:t>العقود تنعقد بما دلَّ عليها، ومن ذلك عقد البيع، فأيِّ لفظ دل عليه انعقد به البيع.</w:t>
      </w:r>
    </w:p>
    <w:p w:rsidR="00335A5B" w:rsidRPr="00626256" w:rsidRDefault="00065E4B" w:rsidP="000A76C7">
      <w:pPr>
        <w:pStyle w:val="afc"/>
        <w:widowControl/>
        <w:numPr>
          <w:ilvl w:val="0"/>
          <w:numId w:val="94"/>
        </w:numPr>
        <w:autoSpaceDE w:val="0"/>
        <w:autoSpaceDN w:val="0"/>
        <w:adjustRightInd w:val="0"/>
        <w:rPr>
          <w:rFonts w:ascii="Traditional Arabic" w:hAnsi="Traditional Arabic"/>
          <w:noProof w:val="0"/>
          <w:rtl/>
          <w:lang w:eastAsia="en-US"/>
        </w:rPr>
      </w:pPr>
      <w:r w:rsidRPr="00626256">
        <w:rPr>
          <w:rFonts w:ascii="Traditional Arabic" w:hAnsi="Traditional Arabic"/>
          <w:noProof w:val="0"/>
          <w:rtl/>
          <w:lang w:eastAsia="en-US"/>
        </w:rPr>
        <w:t>ي</w:t>
      </w:r>
      <w:r w:rsidR="00335A5B" w:rsidRPr="00626256">
        <w:rPr>
          <w:rFonts w:ascii="Traditional Arabic" w:hAnsi="Traditional Arabic"/>
          <w:noProof w:val="0"/>
          <w:rtl/>
          <w:lang w:eastAsia="en-US"/>
        </w:rPr>
        <w:t>صح</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 xml:space="preserve"> </w:t>
      </w:r>
      <w:r w:rsidR="00861540">
        <w:rPr>
          <w:rFonts w:ascii="Traditional Arabic" w:hAnsi="Traditional Arabic" w:hint="cs"/>
          <w:noProof w:val="0"/>
          <w:rtl/>
          <w:lang w:eastAsia="en-US"/>
        </w:rPr>
        <w:t xml:space="preserve">عقد </w:t>
      </w:r>
      <w:r w:rsidR="00335A5B" w:rsidRPr="00626256">
        <w:rPr>
          <w:rFonts w:ascii="Traditional Arabic" w:hAnsi="Traditional Arabic"/>
          <w:noProof w:val="0"/>
          <w:rtl/>
          <w:lang w:eastAsia="en-US"/>
        </w:rPr>
        <w:t>الس</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ل</w:t>
      </w:r>
      <w:r w:rsidR="00335A5B">
        <w:rPr>
          <w:rFonts w:ascii="Traditional Arabic" w:hAnsi="Traditional Arabic" w:hint="cs"/>
          <w:noProof w:val="0"/>
          <w:rtl/>
          <w:lang w:eastAsia="en-US"/>
        </w:rPr>
        <w:t>َ</w:t>
      </w:r>
      <w:r w:rsidR="00335A5B">
        <w:rPr>
          <w:rFonts w:ascii="Traditional Arabic" w:hAnsi="Traditional Arabic"/>
          <w:noProof w:val="0"/>
          <w:rtl/>
          <w:lang w:eastAsia="en-US"/>
        </w:rPr>
        <w:t>م</w:t>
      </w:r>
      <w:r w:rsidR="00861540" w:rsidRPr="00861540">
        <w:rPr>
          <w:rFonts w:ascii="Traditional Arabic" w:hAnsi="Traditional Arabic" w:hint="cs"/>
          <w:noProof w:val="0"/>
          <w:vertAlign w:val="superscript"/>
          <w:rtl/>
          <w:lang w:eastAsia="en-US"/>
        </w:rPr>
        <w:t>(</w:t>
      </w:r>
      <w:r w:rsidR="00861540" w:rsidRPr="00861540">
        <w:rPr>
          <w:rStyle w:val="af1"/>
          <w:rFonts w:ascii="Traditional Arabic" w:hAnsi="Traditional Arabic"/>
          <w:noProof w:val="0"/>
          <w:rtl/>
          <w:lang w:eastAsia="en-US"/>
        </w:rPr>
        <w:footnoteReference w:id="541"/>
      </w:r>
      <w:r w:rsidR="00861540" w:rsidRPr="00861540">
        <w:rPr>
          <w:rFonts w:ascii="Traditional Arabic" w:hAnsi="Traditional Arabic" w:hint="cs"/>
          <w:noProof w:val="0"/>
          <w:vertAlign w:val="superscript"/>
          <w:rtl/>
          <w:lang w:eastAsia="en-US"/>
        </w:rPr>
        <w:t>)</w:t>
      </w:r>
      <w:r w:rsidR="00335A5B">
        <w:rPr>
          <w:rFonts w:ascii="Traditional Arabic" w:hAnsi="Traditional Arabic"/>
          <w:noProof w:val="0"/>
          <w:rtl/>
          <w:lang w:eastAsia="en-US"/>
        </w:rPr>
        <w:t xml:space="preserve"> بلف</w:t>
      </w:r>
      <w:r w:rsidR="00335A5B" w:rsidRPr="00626256">
        <w:rPr>
          <w:rFonts w:ascii="Traditional Arabic" w:hAnsi="Traditional Arabic"/>
          <w:noProof w:val="0"/>
          <w:rtl/>
          <w:lang w:eastAsia="en-US"/>
        </w:rPr>
        <w:t>ظ البيع بأن يقول: اشتريت</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 xml:space="preserve"> منك مائة صاع</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 xml:space="preserve"> ب</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ر</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 xml:space="preserve"> بع</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د سنة بهذه الدراهم، وإذا أراد المسل</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م إليه أن يعق</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ده فقال: بعت</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ك مائة صاع</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 xml:space="preserve"> ب</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ر</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 xml:space="preserve"> ت</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ح</w:t>
      </w:r>
      <w:r w:rsidR="00335A5B">
        <w:rPr>
          <w:rFonts w:ascii="Traditional Arabic" w:hAnsi="Traditional Arabic" w:hint="cs"/>
          <w:noProof w:val="0"/>
          <w:rtl/>
          <w:lang w:eastAsia="en-US"/>
        </w:rPr>
        <w:t>ُ</w:t>
      </w:r>
      <w:r w:rsidR="00335A5B" w:rsidRPr="00626256">
        <w:rPr>
          <w:rFonts w:ascii="Traditional Arabic" w:hAnsi="Traditional Arabic"/>
          <w:noProof w:val="0"/>
          <w:rtl/>
          <w:lang w:eastAsia="en-US"/>
        </w:rPr>
        <w:t>ل</w:t>
      </w:r>
      <w:r w:rsidR="00335A5B">
        <w:rPr>
          <w:rFonts w:ascii="Traditional Arabic" w:hAnsi="Traditional Arabic" w:hint="cs"/>
          <w:noProof w:val="0"/>
          <w:rtl/>
          <w:lang w:eastAsia="en-US"/>
        </w:rPr>
        <w:t>ُّ</w:t>
      </w:r>
      <w:r w:rsidR="00F11C35">
        <w:rPr>
          <w:rFonts w:ascii="Traditional Arabic" w:hAnsi="Traditional Arabic"/>
          <w:noProof w:val="0"/>
          <w:rtl/>
          <w:lang w:eastAsia="en-US"/>
        </w:rPr>
        <w:t xml:space="preserve"> بعد سنة بمائة</w:t>
      </w:r>
      <w:r w:rsidR="00335A5B">
        <w:rPr>
          <w:rFonts w:ascii="Traditional Arabic" w:hAnsi="Traditional Arabic"/>
          <w:noProof w:val="0"/>
          <w:rtl/>
          <w:lang w:eastAsia="en-US"/>
        </w:rPr>
        <w:t xml:space="preserve"> </w:t>
      </w:r>
      <w:r w:rsidR="00F11C35">
        <w:rPr>
          <w:rFonts w:ascii="Traditional Arabic" w:hAnsi="Traditional Arabic" w:hint="cs"/>
          <w:noProof w:val="0"/>
          <w:rtl/>
          <w:lang w:eastAsia="en-US"/>
        </w:rPr>
        <w:t xml:space="preserve"> </w:t>
      </w:r>
      <w:r w:rsidR="00335A5B">
        <w:rPr>
          <w:rFonts w:ascii="Traditional Arabic" w:hAnsi="Traditional Arabic"/>
          <w:noProof w:val="0"/>
          <w:rtl/>
          <w:lang w:eastAsia="en-US"/>
        </w:rPr>
        <w:t xml:space="preserve">يصح </w:t>
      </w:r>
      <w:r w:rsidR="00335A5B">
        <w:rPr>
          <w:rFonts w:ascii="Traditional Arabic" w:hAnsi="Traditional Arabic" w:hint="cs"/>
          <w:noProof w:val="0"/>
          <w:rtl/>
          <w:lang w:eastAsia="en-US"/>
        </w:rPr>
        <w:t>ذلك؛</w:t>
      </w:r>
      <w:r w:rsidR="00420F71">
        <w:rPr>
          <w:rFonts w:ascii="Traditional Arabic" w:hAnsi="Traditional Arabic" w:hint="cs"/>
          <w:noProof w:val="0"/>
          <w:rtl/>
          <w:lang w:eastAsia="en-US"/>
        </w:rPr>
        <w:t xml:space="preserve"> </w:t>
      </w:r>
      <w:r w:rsidR="00335A5B">
        <w:rPr>
          <w:rFonts w:ascii="Traditional Arabic" w:hAnsi="Traditional Arabic"/>
          <w:noProof w:val="0"/>
          <w:rtl/>
          <w:lang w:eastAsia="en-US"/>
        </w:rPr>
        <w:t>لأن</w:t>
      </w:r>
      <w:r w:rsidR="00335A5B">
        <w:rPr>
          <w:rFonts w:ascii="Traditional Arabic" w:hAnsi="Traditional Arabic" w:hint="cs"/>
          <w:noProof w:val="0"/>
          <w:rtl/>
          <w:lang w:eastAsia="en-US"/>
        </w:rPr>
        <w:t xml:space="preserve"> السَّلَم</w:t>
      </w:r>
      <w:r w:rsidR="00335A5B" w:rsidRPr="00626256">
        <w:rPr>
          <w:rFonts w:ascii="Traditional Arabic" w:hAnsi="Traditional Arabic"/>
          <w:noProof w:val="0"/>
          <w:rtl/>
          <w:lang w:eastAsia="en-US"/>
        </w:rPr>
        <w:t xml:space="preserve"> نوع</w:t>
      </w:r>
      <w:r w:rsidR="00335A5B">
        <w:rPr>
          <w:rFonts w:ascii="Traditional Arabic" w:hAnsi="Traditional Arabic" w:hint="cs"/>
          <w:noProof w:val="0"/>
          <w:rtl/>
          <w:lang w:eastAsia="en-US"/>
        </w:rPr>
        <w:t>ٌ</w:t>
      </w:r>
      <w:r w:rsidR="00335A5B">
        <w:rPr>
          <w:rFonts w:ascii="Traditional Arabic" w:hAnsi="Traditional Arabic"/>
          <w:noProof w:val="0"/>
          <w:rtl/>
          <w:lang w:eastAsia="en-US"/>
        </w:rPr>
        <w:t xml:space="preserve"> من البيع</w:t>
      </w:r>
      <w:r w:rsidR="00335A5B">
        <w:rPr>
          <w:rFonts w:ascii="Traditional Arabic" w:hAnsi="Traditional Arabic" w:hint="cs"/>
          <w:noProof w:val="0"/>
          <w:rtl/>
          <w:lang w:eastAsia="en-US"/>
        </w:rPr>
        <w:t>.</w:t>
      </w:r>
    </w:p>
    <w:p w:rsidR="00F228A9" w:rsidRDefault="00335A5B" w:rsidP="00597C20">
      <w:pPr>
        <w:widowControl/>
        <w:autoSpaceDE w:val="0"/>
        <w:autoSpaceDN w:val="0"/>
        <w:adjustRightInd w:val="0"/>
        <w:ind w:left="720"/>
        <w:rPr>
          <w:rFonts w:ascii="Traditional Arabic" w:hAnsi="Traditional Arabic"/>
          <w:noProof w:val="0"/>
          <w:rtl/>
          <w:lang w:eastAsia="en-US"/>
        </w:rPr>
      </w:pPr>
      <w:r>
        <w:rPr>
          <w:rFonts w:ascii="Traditional Arabic" w:hAnsi="Traditional Arabic" w:hint="cs"/>
          <w:noProof w:val="0"/>
          <w:rtl/>
          <w:lang w:eastAsia="en-US"/>
        </w:rPr>
        <w:t xml:space="preserve">كما </w:t>
      </w:r>
      <w:r w:rsidRPr="00626256">
        <w:rPr>
          <w:rFonts w:ascii="Traditional Arabic" w:hAnsi="Traditional Arabic"/>
          <w:noProof w:val="0"/>
          <w:rtl/>
          <w:lang w:eastAsia="en-US"/>
        </w:rPr>
        <w:t>يصح</w:t>
      </w:r>
      <w:r>
        <w:rPr>
          <w:rFonts w:ascii="Traditional Arabic" w:hAnsi="Traditional Arabic" w:hint="cs"/>
          <w:noProof w:val="0"/>
          <w:rtl/>
          <w:lang w:eastAsia="en-US"/>
        </w:rPr>
        <w:t>ُّ</w:t>
      </w:r>
      <w:r w:rsidRPr="00626256">
        <w:rPr>
          <w:rFonts w:ascii="Traditional Arabic" w:hAnsi="Traditional Arabic"/>
          <w:noProof w:val="0"/>
          <w:rtl/>
          <w:lang w:eastAsia="en-US"/>
        </w:rPr>
        <w:t xml:space="preserve"> الس</w:t>
      </w:r>
      <w:r>
        <w:rPr>
          <w:rFonts w:ascii="Traditional Arabic" w:hAnsi="Traditional Arabic" w:hint="cs"/>
          <w:noProof w:val="0"/>
          <w:rtl/>
          <w:lang w:eastAsia="en-US"/>
        </w:rPr>
        <w:t>َّ</w:t>
      </w:r>
      <w:r w:rsidRPr="00626256">
        <w:rPr>
          <w:rFonts w:ascii="Traditional Arabic" w:hAnsi="Traditional Arabic"/>
          <w:noProof w:val="0"/>
          <w:rtl/>
          <w:lang w:eastAsia="en-US"/>
        </w:rPr>
        <w:t>ل</w:t>
      </w:r>
      <w:r>
        <w:rPr>
          <w:rFonts w:ascii="Traditional Arabic" w:hAnsi="Traditional Arabic" w:hint="cs"/>
          <w:noProof w:val="0"/>
          <w:rtl/>
          <w:lang w:eastAsia="en-US"/>
        </w:rPr>
        <w:t>َ</w:t>
      </w:r>
      <w:r>
        <w:rPr>
          <w:rFonts w:ascii="Traditional Arabic" w:hAnsi="Traditional Arabic"/>
          <w:noProof w:val="0"/>
          <w:rtl/>
          <w:lang w:eastAsia="en-US"/>
        </w:rPr>
        <w:t xml:space="preserve">م </w:t>
      </w:r>
      <w:r>
        <w:rPr>
          <w:rFonts w:ascii="Traditional Arabic" w:hAnsi="Traditional Arabic" w:hint="cs"/>
          <w:noProof w:val="0"/>
          <w:rtl/>
          <w:lang w:eastAsia="en-US"/>
        </w:rPr>
        <w:t xml:space="preserve">بلفظ </w:t>
      </w:r>
      <w:r w:rsidRPr="00626256">
        <w:rPr>
          <w:rFonts w:ascii="Traditional Arabic" w:hAnsi="Traditional Arabic"/>
          <w:noProof w:val="0"/>
          <w:rtl/>
          <w:lang w:eastAsia="en-US"/>
        </w:rPr>
        <w:t>الس</w:t>
      </w:r>
      <w:r>
        <w:rPr>
          <w:rFonts w:ascii="Traditional Arabic" w:hAnsi="Traditional Arabic" w:hint="cs"/>
          <w:noProof w:val="0"/>
          <w:rtl/>
          <w:lang w:eastAsia="en-US"/>
        </w:rPr>
        <w:t>َّ</w:t>
      </w:r>
      <w:r w:rsidRPr="00626256">
        <w:rPr>
          <w:rFonts w:ascii="Traditional Arabic" w:hAnsi="Traditional Arabic"/>
          <w:noProof w:val="0"/>
          <w:rtl/>
          <w:lang w:eastAsia="en-US"/>
        </w:rPr>
        <w:t>ل</w:t>
      </w:r>
      <w:r>
        <w:rPr>
          <w:rFonts w:ascii="Traditional Arabic" w:hAnsi="Traditional Arabic" w:hint="cs"/>
          <w:noProof w:val="0"/>
          <w:rtl/>
          <w:lang w:eastAsia="en-US"/>
        </w:rPr>
        <w:t>َ</w:t>
      </w:r>
      <w:r w:rsidRPr="00626256">
        <w:rPr>
          <w:rFonts w:ascii="Traditional Arabic" w:hAnsi="Traditional Arabic"/>
          <w:noProof w:val="0"/>
          <w:rtl/>
          <w:lang w:eastAsia="en-US"/>
        </w:rPr>
        <w:t>ف</w:t>
      </w:r>
      <w:r>
        <w:rPr>
          <w:rFonts w:ascii="Traditional Arabic" w:hAnsi="Traditional Arabic" w:hint="cs"/>
          <w:noProof w:val="0"/>
          <w:rtl/>
          <w:lang w:eastAsia="en-US"/>
        </w:rPr>
        <w:t>،</w:t>
      </w:r>
      <w:r w:rsidRPr="00626256">
        <w:rPr>
          <w:rFonts w:ascii="Traditional Arabic" w:hAnsi="Traditional Arabic"/>
          <w:noProof w:val="0"/>
          <w:rtl/>
          <w:lang w:eastAsia="en-US"/>
        </w:rPr>
        <w:t xml:space="preserve"> مع أن الس</w:t>
      </w:r>
      <w:r>
        <w:rPr>
          <w:rFonts w:ascii="Traditional Arabic" w:hAnsi="Traditional Arabic" w:hint="cs"/>
          <w:noProof w:val="0"/>
          <w:rtl/>
          <w:lang w:eastAsia="en-US"/>
        </w:rPr>
        <w:t>َّ</w:t>
      </w:r>
      <w:r w:rsidRPr="00626256">
        <w:rPr>
          <w:rFonts w:ascii="Traditional Arabic" w:hAnsi="Traditional Arabic"/>
          <w:noProof w:val="0"/>
          <w:rtl/>
          <w:lang w:eastAsia="en-US"/>
        </w:rPr>
        <w:t>ل</w:t>
      </w:r>
      <w:r>
        <w:rPr>
          <w:rFonts w:ascii="Traditional Arabic" w:hAnsi="Traditional Arabic" w:hint="cs"/>
          <w:noProof w:val="0"/>
          <w:rtl/>
          <w:lang w:eastAsia="en-US"/>
        </w:rPr>
        <w:t>َ</w:t>
      </w:r>
      <w:r w:rsidRPr="00626256">
        <w:rPr>
          <w:rFonts w:ascii="Traditional Arabic" w:hAnsi="Traditional Arabic"/>
          <w:noProof w:val="0"/>
          <w:rtl/>
          <w:lang w:eastAsia="en-US"/>
        </w:rPr>
        <w:t>ف ي</w:t>
      </w:r>
      <w:r>
        <w:rPr>
          <w:rFonts w:ascii="Traditional Arabic" w:hAnsi="Traditional Arabic" w:hint="cs"/>
          <w:noProof w:val="0"/>
          <w:rtl/>
          <w:lang w:eastAsia="en-US"/>
        </w:rPr>
        <w:t>ُ</w:t>
      </w:r>
      <w:r w:rsidRPr="00626256">
        <w:rPr>
          <w:rFonts w:ascii="Traditional Arabic" w:hAnsi="Traditional Arabic"/>
          <w:noProof w:val="0"/>
          <w:rtl/>
          <w:lang w:eastAsia="en-US"/>
        </w:rPr>
        <w:t>طل</w:t>
      </w:r>
      <w:r>
        <w:rPr>
          <w:rFonts w:ascii="Traditional Arabic" w:hAnsi="Traditional Arabic" w:hint="cs"/>
          <w:noProof w:val="0"/>
          <w:rtl/>
          <w:lang w:eastAsia="en-US"/>
        </w:rPr>
        <w:t>َ</w:t>
      </w:r>
      <w:r w:rsidRPr="00626256">
        <w:rPr>
          <w:rFonts w:ascii="Traditional Arabic" w:hAnsi="Traditional Arabic"/>
          <w:noProof w:val="0"/>
          <w:rtl/>
          <w:lang w:eastAsia="en-US"/>
        </w:rPr>
        <w:t>ق أحيانا على الق</w:t>
      </w:r>
      <w:r>
        <w:rPr>
          <w:rFonts w:ascii="Traditional Arabic" w:hAnsi="Traditional Arabic" w:hint="cs"/>
          <w:noProof w:val="0"/>
          <w:rtl/>
          <w:lang w:eastAsia="en-US"/>
        </w:rPr>
        <w:t>َ</w:t>
      </w:r>
      <w:r w:rsidRPr="00626256">
        <w:rPr>
          <w:rFonts w:ascii="Traditional Arabic" w:hAnsi="Traditional Arabic"/>
          <w:noProof w:val="0"/>
          <w:rtl/>
          <w:lang w:eastAsia="en-US"/>
        </w:rPr>
        <w:t>ر</w:t>
      </w:r>
      <w:r>
        <w:rPr>
          <w:rFonts w:ascii="Traditional Arabic" w:hAnsi="Traditional Arabic" w:hint="cs"/>
          <w:noProof w:val="0"/>
          <w:rtl/>
          <w:lang w:eastAsia="en-US"/>
        </w:rPr>
        <w:t>ْ</w:t>
      </w:r>
      <w:r w:rsidRPr="00626256">
        <w:rPr>
          <w:rFonts w:ascii="Traditional Arabic" w:hAnsi="Traditional Arabic"/>
          <w:noProof w:val="0"/>
          <w:rtl/>
          <w:lang w:eastAsia="en-US"/>
        </w:rPr>
        <w:t>ض</w:t>
      </w:r>
      <w:r>
        <w:rPr>
          <w:rFonts w:ascii="Traditional Arabic" w:hAnsi="Traditional Arabic" w:hint="cs"/>
          <w:noProof w:val="0"/>
          <w:rtl/>
          <w:lang w:eastAsia="en-US"/>
        </w:rPr>
        <w:t xml:space="preserve">، </w:t>
      </w:r>
      <w:r>
        <w:rPr>
          <w:rFonts w:ascii="Traditional Arabic" w:hAnsi="Traditional Arabic"/>
          <w:noProof w:val="0"/>
          <w:rtl/>
          <w:lang w:eastAsia="en-US"/>
        </w:rPr>
        <w:t xml:space="preserve">لكن لما كان العقد </w:t>
      </w:r>
      <w:r>
        <w:rPr>
          <w:rFonts w:ascii="Traditional Arabic" w:hAnsi="Traditional Arabic" w:hint="cs"/>
          <w:noProof w:val="0"/>
          <w:rtl/>
          <w:lang w:eastAsia="en-US"/>
        </w:rPr>
        <w:t>في</w:t>
      </w:r>
      <w:r w:rsidR="005D4589">
        <w:rPr>
          <w:rFonts w:ascii="Traditional Arabic" w:hAnsi="Traditional Arabic" w:hint="cs"/>
          <w:noProof w:val="0"/>
          <w:rtl/>
          <w:lang w:eastAsia="en-US"/>
        </w:rPr>
        <w:t xml:space="preserve"> </w:t>
      </w:r>
      <w:r>
        <w:rPr>
          <w:rFonts w:ascii="Traditional Arabic" w:hAnsi="Traditional Arabic" w:hint="cs"/>
          <w:noProof w:val="0"/>
          <w:rtl/>
          <w:lang w:eastAsia="en-US"/>
        </w:rPr>
        <w:t>صورة السَّلَم</w:t>
      </w:r>
      <w:r w:rsidR="005D4589">
        <w:rPr>
          <w:rFonts w:ascii="Traditional Arabic" w:hAnsi="Traditional Arabic" w:hint="cs"/>
          <w:noProof w:val="0"/>
          <w:rtl/>
          <w:lang w:eastAsia="en-US"/>
        </w:rPr>
        <w:t>،</w:t>
      </w:r>
      <w:r w:rsidRPr="00626256">
        <w:rPr>
          <w:rFonts w:ascii="Traditional Arabic" w:hAnsi="Traditional Arabic"/>
          <w:noProof w:val="0"/>
          <w:rtl/>
          <w:lang w:eastAsia="en-US"/>
        </w:rPr>
        <w:t xml:space="preserve"> تعي</w:t>
      </w:r>
      <w:r>
        <w:rPr>
          <w:rFonts w:ascii="Traditional Arabic" w:hAnsi="Traditional Arabic" w:hint="cs"/>
          <w:noProof w:val="0"/>
          <w:rtl/>
          <w:lang w:eastAsia="en-US"/>
        </w:rPr>
        <w:t>َّ</w:t>
      </w:r>
      <w:r w:rsidRPr="00626256">
        <w:rPr>
          <w:rFonts w:ascii="Traditional Arabic" w:hAnsi="Traditional Arabic"/>
          <w:noProof w:val="0"/>
          <w:rtl/>
          <w:lang w:eastAsia="en-US"/>
        </w:rPr>
        <w:t>ن أن يكون س</w:t>
      </w:r>
      <w:r>
        <w:rPr>
          <w:rFonts w:ascii="Traditional Arabic" w:hAnsi="Traditional Arabic" w:hint="cs"/>
          <w:noProof w:val="0"/>
          <w:rtl/>
          <w:lang w:eastAsia="en-US"/>
        </w:rPr>
        <w:t>َ</w:t>
      </w:r>
      <w:r w:rsidRPr="00626256">
        <w:rPr>
          <w:rFonts w:ascii="Traditional Arabic" w:hAnsi="Traditional Arabic"/>
          <w:noProof w:val="0"/>
          <w:rtl/>
          <w:lang w:eastAsia="en-US"/>
        </w:rPr>
        <w:t>ل</w:t>
      </w:r>
      <w:r>
        <w:rPr>
          <w:rFonts w:ascii="Traditional Arabic" w:hAnsi="Traditional Arabic" w:hint="cs"/>
          <w:noProof w:val="0"/>
          <w:rtl/>
          <w:lang w:eastAsia="en-US"/>
        </w:rPr>
        <w:t>َ</w:t>
      </w:r>
      <w:r w:rsidRPr="00626256">
        <w:rPr>
          <w:rFonts w:ascii="Traditional Arabic" w:hAnsi="Traditional Arabic"/>
          <w:noProof w:val="0"/>
          <w:rtl/>
          <w:lang w:eastAsia="en-US"/>
        </w:rPr>
        <w:t>ما</w:t>
      </w:r>
      <w:r>
        <w:rPr>
          <w:rFonts w:ascii="Traditional Arabic" w:hAnsi="Traditional Arabic" w:hint="cs"/>
          <w:noProof w:val="0"/>
          <w:rtl/>
          <w:lang w:eastAsia="en-US"/>
        </w:rPr>
        <w:t>ً</w:t>
      </w:r>
      <w:r w:rsidRPr="00626256">
        <w:rPr>
          <w:rFonts w:ascii="Traditional Arabic" w:hAnsi="Traditional Arabic"/>
          <w:noProof w:val="0"/>
          <w:rtl/>
          <w:lang w:eastAsia="en-US"/>
        </w:rPr>
        <w:t xml:space="preserve"> لا قرضا</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542"/>
      </w:r>
      <w:r w:rsidRPr="00C821A1">
        <w:rPr>
          <w:rStyle w:val="af1"/>
          <w:szCs w:val="32"/>
          <w:rtl/>
        </w:rPr>
        <w:t>)</w:t>
      </w:r>
      <w:r>
        <w:rPr>
          <w:rFonts w:ascii="Traditional Arabic" w:hAnsi="Traditional Arabic" w:hint="cs"/>
          <w:noProof w:val="0"/>
          <w:rtl/>
          <w:lang w:eastAsia="en-US"/>
        </w:rPr>
        <w:t>.</w:t>
      </w:r>
    </w:p>
    <w:p w:rsidR="00335A5B" w:rsidRDefault="00335A5B" w:rsidP="00597C20">
      <w:pPr>
        <w:pStyle w:val="53"/>
        <w:rPr>
          <w:rtl/>
        </w:rPr>
      </w:pPr>
      <w:r w:rsidRPr="00082E03">
        <w:rPr>
          <w:rFonts w:hint="cs"/>
          <w:rtl/>
        </w:rPr>
        <w:t>وجه اندراج الفرع تحت القاعدة:</w:t>
      </w:r>
    </w:p>
    <w:p w:rsidR="00335A5B" w:rsidRPr="00E51D72" w:rsidRDefault="00335A5B" w:rsidP="00597C20">
      <w:pPr>
        <w:widowControl/>
        <w:autoSpaceDE w:val="0"/>
        <w:autoSpaceDN w:val="0"/>
        <w:adjustRightInd w:val="0"/>
        <w:ind w:firstLine="720"/>
        <w:rPr>
          <w:rFonts w:ascii="Traditional Arabic" w:hAnsi="Traditional Arabic"/>
          <w:noProof w:val="0"/>
          <w:color w:val="auto"/>
          <w:rtl/>
          <w:lang w:eastAsia="en-US"/>
        </w:rPr>
      </w:pPr>
      <w:r w:rsidRPr="00E51D72">
        <w:rPr>
          <w:rFonts w:ascii="Traditional Arabic" w:hAnsi="Traditional Arabic"/>
          <w:noProof w:val="0"/>
          <w:rtl/>
          <w:lang w:eastAsia="en-US"/>
        </w:rPr>
        <w:t>الصواب أن جميع العقود تنعقد بما دل عليه اللفظ ع</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ر</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فا</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وأنها لا تتقي</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د </w:t>
      </w:r>
      <w:r w:rsidRPr="00E51D72">
        <w:rPr>
          <w:rFonts w:ascii="Traditional Arabic" w:hAnsi="Traditional Arabic" w:hint="cs"/>
          <w:noProof w:val="0"/>
          <w:rtl/>
          <w:lang w:eastAsia="en-US"/>
        </w:rPr>
        <w:t>بألفاظٍ معيَّنة</w:t>
      </w:r>
      <w:r w:rsidRPr="00E51D72">
        <w:rPr>
          <w:rFonts w:ascii="Traditional Arabic" w:hAnsi="Traditional Arabic"/>
          <w:noProof w:val="0"/>
          <w:rtl/>
          <w:lang w:eastAsia="en-US"/>
        </w:rPr>
        <w:t>؛ لأن هذه الأمور لم ي</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ر</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د الشرع</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 xml:space="preserve"> بتعيينها وتقييدها، وليست من أمور العبادة التي ي</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تقي</w:t>
      </w:r>
      <w:r w:rsidRPr="00E51D72">
        <w:rPr>
          <w:rFonts w:ascii="Traditional Arabic" w:hAnsi="Traditional Arabic" w:hint="cs"/>
          <w:noProof w:val="0"/>
          <w:rtl/>
          <w:lang w:eastAsia="en-US"/>
        </w:rPr>
        <w:t>َّ</w:t>
      </w:r>
      <w:r w:rsidRPr="00E51D72">
        <w:rPr>
          <w:rFonts w:ascii="Traditional Arabic" w:hAnsi="Traditional Arabic"/>
          <w:noProof w:val="0"/>
          <w:rtl/>
          <w:lang w:eastAsia="en-US"/>
        </w:rPr>
        <w:t>د الإنسان فيها باللفظ،</w:t>
      </w:r>
      <w:r w:rsidRPr="00E51D72">
        <w:rPr>
          <w:rFonts w:ascii="Traditional Arabic" w:hAnsi="Traditional Arabic" w:hint="cs"/>
          <w:noProof w:val="0"/>
          <w:rtl/>
          <w:lang w:eastAsia="en-US"/>
        </w:rPr>
        <w:t xml:space="preserve"> فسواء كان عقد السَّلَم بلفظِ البيع أو لفظ السَّلَف فإنه يصحُّ لدَلالة هذين اللفظَيْن على السَّلَم</w:t>
      </w:r>
      <w:r w:rsidRPr="00C821A1">
        <w:rPr>
          <w:rStyle w:val="af1"/>
          <w:szCs w:val="32"/>
          <w:rtl/>
        </w:rPr>
        <w:t>(</w:t>
      </w:r>
      <w:r w:rsidRPr="00C821A1">
        <w:rPr>
          <w:rStyle w:val="af1"/>
          <w:szCs w:val="32"/>
          <w:rtl/>
        </w:rPr>
        <w:footnoteReference w:id="543"/>
      </w:r>
      <w:r w:rsidRPr="00C821A1">
        <w:rPr>
          <w:rStyle w:val="af1"/>
          <w:szCs w:val="32"/>
          <w:rtl/>
        </w:rPr>
        <w:t>)</w:t>
      </w:r>
      <w:r w:rsidRPr="00E51D72">
        <w:rPr>
          <w:rFonts w:ascii="Traditional Arabic" w:hAnsi="Traditional Arabic" w:hint="cs"/>
          <w:noProof w:val="0"/>
          <w:rtl/>
          <w:lang w:eastAsia="en-US"/>
        </w:rPr>
        <w:t>.</w:t>
      </w:r>
    </w:p>
    <w:p w:rsidR="00335A5B" w:rsidRDefault="00335A5B" w:rsidP="000A76C7">
      <w:pPr>
        <w:pStyle w:val="afc"/>
        <w:widowControl/>
        <w:numPr>
          <w:ilvl w:val="0"/>
          <w:numId w:val="94"/>
        </w:numPr>
        <w:autoSpaceDE w:val="0"/>
        <w:autoSpaceDN w:val="0"/>
        <w:adjustRightInd w:val="0"/>
        <w:rPr>
          <w:rFonts w:ascii="Traditional Arabic" w:hAnsi="Traditional Arabic"/>
          <w:noProof w:val="0"/>
          <w:color w:val="auto"/>
          <w:lang w:eastAsia="en-US"/>
        </w:rPr>
      </w:pPr>
      <w:r w:rsidRPr="009E6850">
        <w:rPr>
          <w:rFonts w:ascii="Traditional Arabic" w:hAnsi="Traditional Arabic"/>
          <w:noProof w:val="0"/>
          <w:rtl/>
          <w:lang w:eastAsia="en-US"/>
        </w:rPr>
        <w:t>الوكالة ليس لها صيغة</w:t>
      </w:r>
      <w:r>
        <w:rPr>
          <w:rFonts w:ascii="Traditional Arabic" w:hAnsi="Traditional Arabic" w:hint="cs"/>
          <w:noProof w:val="0"/>
          <w:rtl/>
          <w:lang w:eastAsia="en-US"/>
        </w:rPr>
        <w:t>ٌ</w:t>
      </w:r>
      <w:r w:rsidRPr="009E6850">
        <w:rPr>
          <w:rFonts w:ascii="Traditional Arabic" w:hAnsi="Traditional Arabic"/>
          <w:noProof w:val="0"/>
          <w:rtl/>
          <w:lang w:eastAsia="en-US"/>
        </w:rPr>
        <w:t xml:space="preserve"> معي</w:t>
      </w:r>
      <w:r>
        <w:rPr>
          <w:rFonts w:ascii="Traditional Arabic" w:hAnsi="Traditional Arabic" w:hint="cs"/>
          <w:noProof w:val="0"/>
          <w:rtl/>
          <w:lang w:eastAsia="en-US"/>
        </w:rPr>
        <w:t>َّ</w:t>
      </w:r>
      <w:r w:rsidRPr="009E6850">
        <w:rPr>
          <w:rFonts w:ascii="Traditional Arabic" w:hAnsi="Traditional Arabic"/>
          <w:noProof w:val="0"/>
          <w:rtl/>
          <w:lang w:eastAsia="en-US"/>
        </w:rPr>
        <w:t>نة</w:t>
      </w:r>
      <w:r>
        <w:rPr>
          <w:rFonts w:ascii="Traditional Arabic" w:hAnsi="Traditional Arabic" w:hint="cs"/>
          <w:noProof w:val="0"/>
          <w:rtl/>
          <w:lang w:eastAsia="en-US"/>
        </w:rPr>
        <w:t>ٌ</w:t>
      </w:r>
      <w:r w:rsidRPr="009E6850">
        <w:rPr>
          <w:rFonts w:ascii="Traditional Arabic" w:hAnsi="Traditional Arabic"/>
          <w:noProof w:val="0"/>
          <w:rtl/>
          <w:lang w:eastAsia="en-US"/>
        </w:rPr>
        <w:t>، بل تنعق</w:t>
      </w:r>
      <w:r>
        <w:rPr>
          <w:rFonts w:ascii="Traditional Arabic" w:hAnsi="Traditional Arabic" w:hint="cs"/>
          <w:noProof w:val="0"/>
          <w:rtl/>
          <w:lang w:eastAsia="en-US"/>
        </w:rPr>
        <w:t>ِ</w:t>
      </w:r>
      <w:r w:rsidRPr="009E6850">
        <w:rPr>
          <w:rFonts w:ascii="Traditional Arabic" w:hAnsi="Traditional Arabic"/>
          <w:noProof w:val="0"/>
          <w:rtl/>
          <w:lang w:eastAsia="en-US"/>
        </w:rPr>
        <w:t>د بكل</w:t>
      </w:r>
      <w:r>
        <w:rPr>
          <w:rFonts w:ascii="Traditional Arabic" w:hAnsi="Traditional Arabic" w:hint="cs"/>
          <w:noProof w:val="0"/>
          <w:rtl/>
          <w:lang w:eastAsia="en-US"/>
        </w:rPr>
        <w:t>ِّ</w:t>
      </w:r>
      <w:r w:rsidRPr="009E6850">
        <w:rPr>
          <w:rFonts w:ascii="Traditional Arabic" w:hAnsi="Traditional Arabic"/>
          <w:noProof w:val="0"/>
          <w:rtl/>
          <w:lang w:eastAsia="en-US"/>
        </w:rPr>
        <w:t xml:space="preserve"> قول</w:t>
      </w:r>
      <w:r>
        <w:rPr>
          <w:rFonts w:ascii="Traditional Arabic" w:hAnsi="Traditional Arabic" w:hint="cs"/>
          <w:noProof w:val="0"/>
          <w:rtl/>
          <w:lang w:eastAsia="en-US"/>
        </w:rPr>
        <w:t>ٍ</w:t>
      </w:r>
      <w:r w:rsidRPr="009E6850">
        <w:rPr>
          <w:rFonts w:ascii="Traditional Arabic" w:hAnsi="Traditional Arabic"/>
          <w:noProof w:val="0"/>
          <w:rtl/>
          <w:lang w:eastAsia="en-US"/>
        </w:rPr>
        <w:t xml:space="preserve"> أو ف</w:t>
      </w:r>
      <w:r>
        <w:rPr>
          <w:rFonts w:ascii="Traditional Arabic" w:hAnsi="Traditional Arabic" w:hint="cs"/>
          <w:noProof w:val="0"/>
          <w:rtl/>
          <w:lang w:eastAsia="en-US"/>
        </w:rPr>
        <w:t>ِ</w:t>
      </w:r>
      <w:r w:rsidRPr="009E6850">
        <w:rPr>
          <w:rFonts w:ascii="Traditional Arabic" w:hAnsi="Traditional Arabic"/>
          <w:noProof w:val="0"/>
          <w:rtl/>
          <w:lang w:eastAsia="en-US"/>
        </w:rPr>
        <w:t>عل</w:t>
      </w:r>
      <w:r>
        <w:rPr>
          <w:rFonts w:ascii="Traditional Arabic" w:hAnsi="Traditional Arabic" w:hint="cs"/>
          <w:noProof w:val="0"/>
          <w:rtl/>
          <w:lang w:eastAsia="en-US"/>
        </w:rPr>
        <w:t>ٍ</w:t>
      </w:r>
      <w:r w:rsidRPr="009E6850">
        <w:rPr>
          <w:rFonts w:ascii="Traditional Arabic" w:hAnsi="Traditional Arabic"/>
          <w:noProof w:val="0"/>
          <w:rtl/>
          <w:lang w:eastAsia="en-US"/>
        </w:rPr>
        <w:t xml:space="preserve"> يدل</w:t>
      </w:r>
      <w:r>
        <w:rPr>
          <w:rFonts w:ascii="Traditional Arabic" w:hAnsi="Traditional Arabic" w:hint="cs"/>
          <w:noProof w:val="0"/>
          <w:rtl/>
          <w:lang w:eastAsia="en-US"/>
        </w:rPr>
        <w:t>ُّ</w:t>
      </w:r>
      <w:r w:rsidRPr="009E6850">
        <w:rPr>
          <w:rFonts w:ascii="Traditional Arabic" w:hAnsi="Traditional Arabic"/>
          <w:noProof w:val="0"/>
          <w:rtl/>
          <w:lang w:eastAsia="en-US"/>
        </w:rPr>
        <w:t xml:space="preserve"> عليها</w:t>
      </w:r>
      <w:r>
        <w:rPr>
          <w:rFonts w:ascii="Traditional Arabic" w:hAnsi="Traditional Arabic" w:hint="cs"/>
          <w:noProof w:val="0"/>
          <w:rtl/>
          <w:lang w:eastAsia="en-US"/>
        </w:rPr>
        <w:t>، فتنعقد بالقول والكتابة والفعل</w:t>
      </w:r>
      <w:r w:rsidRPr="00C821A1">
        <w:rPr>
          <w:rStyle w:val="af1"/>
          <w:szCs w:val="32"/>
          <w:rtl/>
        </w:rPr>
        <w:t>(</w:t>
      </w:r>
      <w:r w:rsidRPr="00C821A1">
        <w:rPr>
          <w:rStyle w:val="af1"/>
          <w:szCs w:val="32"/>
          <w:rtl/>
        </w:rPr>
        <w:footnoteReference w:id="544"/>
      </w:r>
      <w:r w:rsidRPr="00C821A1">
        <w:rPr>
          <w:rStyle w:val="af1"/>
          <w:szCs w:val="32"/>
          <w:rtl/>
        </w:rPr>
        <w:t>)</w:t>
      </w:r>
      <w:r>
        <w:rPr>
          <w:rFonts w:ascii="Traditional Arabic" w:hAnsi="Traditional Arabic" w:hint="cs"/>
          <w:noProof w:val="0"/>
          <w:rtl/>
          <w:lang w:eastAsia="en-US"/>
        </w:rPr>
        <w:t>.</w:t>
      </w:r>
    </w:p>
    <w:p w:rsidR="00065E4B" w:rsidRDefault="00335A5B" w:rsidP="00597C20">
      <w:pPr>
        <w:pStyle w:val="53"/>
        <w:rPr>
          <w:rtl/>
        </w:rPr>
      </w:pPr>
      <w:r>
        <w:rPr>
          <w:rFonts w:hint="cs"/>
          <w:rtl/>
        </w:rPr>
        <w:t>وجه اندراج الفرع تحت القاعدة:</w:t>
      </w:r>
    </w:p>
    <w:p w:rsidR="00335A5B" w:rsidRDefault="00065E4B" w:rsidP="00597C20">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ا</w:t>
      </w:r>
      <w:r w:rsidR="00335A5B">
        <w:rPr>
          <w:rFonts w:ascii="Traditional Arabic" w:hAnsi="Traditional Arabic" w:hint="cs"/>
          <w:noProof w:val="0"/>
          <w:rtl/>
          <w:lang w:eastAsia="en-US"/>
        </w:rPr>
        <w:t>لوكالة من عقود المعاملات، و</w:t>
      </w:r>
      <w:r w:rsidR="00335A5B" w:rsidRPr="009E6850">
        <w:rPr>
          <w:rFonts w:ascii="Traditional Arabic" w:hAnsi="Traditional Arabic"/>
          <w:noProof w:val="0"/>
          <w:rtl/>
          <w:lang w:eastAsia="en-US"/>
        </w:rPr>
        <w:t>العقود كل</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ها باب</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ها واحد</w:t>
      </w:r>
      <w:r w:rsidR="00335A5B">
        <w:rPr>
          <w:rFonts w:ascii="Traditional Arabic" w:hAnsi="Traditional Arabic" w:hint="cs"/>
          <w:noProof w:val="0"/>
          <w:rtl/>
          <w:lang w:eastAsia="en-US"/>
        </w:rPr>
        <w:t>ٌ</w:t>
      </w:r>
      <w:r w:rsidR="00335A5B">
        <w:rPr>
          <w:rFonts w:ascii="Traditional Arabic" w:hAnsi="Traditional Arabic"/>
          <w:noProof w:val="0"/>
          <w:rtl/>
          <w:lang w:eastAsia="en-US"/>
        </w:rPr>
        <w:t xml:space="preserve">، </w:t>
      </w:r>
      <w:r w:rsidR="00335A5B">
        <w:rPr>
          <w:rFonts w:ascii="Traditional Arabic" w:hAnsi="Traditional Arabic" w:hint="cs"/>
          <w:noProof w:val="0"/>
          <w:rtl/>
          <w:lang w:eastAsia="en-US"/>
        </w:rPr>
        <w:t>ت</w:t>
      </w:r>
      <w:r w:rsidR="00335A5B" w:rsidRPr="009E6850">
        <w:rPr>
          <w:rFonts w:ascii="Traditional Arabic" w:hAnsi="Traditional Arabic"/>
          <w:noProof w:val="0"/>
          <w:rtl/>
          <w:lang w:eastAsia="en-US"/>
        </w:rPr>
        <w:t>صح بكل قول أو فعل يدل</w:t>
      </w:r>
      <w:r w:rsidR="00335A5B">
        <w:rPr>
          <w:rFonts w:ascii="Traditional Arabic" w:hAnsi="Traditional Arabic" w:hint="cs"/>
          <w:noProof w:val="0"/>
          <w:rtl/>
          <w:lang w:eastAsia="en-US"/>
        </w:rPr>
        <w:t>ُّ</w:t>
      </w:r>
      <w:r w:rsidR="00335A5B" w:rsidRPr="009E6850">
        <w:rPr>
          <w:rFonts w:ascii="Traditional Arabic" w:hAnsi="Traditional Arabic"/>
          <w:noProof w:val="0"/>
          <w:rtl/>
          <w:lang w:eastAsia="en-US"/>
        </w:rPr>
        <w:t xml:space="preserve"> عليه</w:t>
      </w:r>
      <w:r w:rsidR="00335A5B">
        <w:rPr>
          <w:rFonts w:ascii="Traditional Arabic" w:hAnsi="Traditional Arabic" w:hint="cs"/>
          <w:noProof w:val="0"/>
          <w:rtl/>
          <w:lang w:eastAsia="en-US"/>
        </w:rPr>
        <w:t>ا</w:t>
      </w:r>
      <w:r w:rsidR="00335A5B" w:rsidRPr="009E6850">
        <w:rPr>
          <w:rFonts w:ascii="Traditional Arabic" w:hAnsi="Traditional Arabic"/>
          <w:noProof w:val="0"/>
          <w:rtl/>
          <w:lang w:eastAsia="en-US"/>
        </w:rPr>
        <w:t xml:space="preserve">، </w:t>
      </w:r>
      <w:r w:rsidR="00335A5B">
        <w:rPr>
          <w:rFonts w:ascii="Traditional Arabic" w:hAnsi="Traditional Arabic" w:hint="cs"/>
          <w:noProof w:val="0"/>
          <w:rtl/>
          <w:lang w:eastAsia="en-US"/>
        </w:rPr>
        <w:t>ومن ذلك الوكالة</w:t>
      </w:r>
      <w:r w:rsidR="00335A5B" w:rsidRPr="00C821A1">
        <w:rPr>
          <w:rStyle w:val="af1"/>
          <w:szCs w:val="32"/>
          <w:rtl/>
        </w:rPr>
        <w:t>(</w:t>
      </w:r>
      <w:r w:rsidR="00335A5B" w:rsidRPr="00C821A1">
        <w:rPr>
          <w:rStyle w:val="af1"/>
          <w:szCs w:val="32"/>
          <w:rtl/>
        </w:rPr>
        <w:footnoteReference w:id="545"/>
      </w:r>
      <w:r w:rsidR="00335A5B" w:rsidRPr="00C821A1">
        <w:rPr>
          <w:rStyle w:val="af1"/>
          <w:szCs w:val="32"/>
          <w:rtl/>
        </w:rPr>
        <w:t>)</w:t>
      </w:r>
      <w:r w:rsidR="00335A5B">
        <w:rPr>
          <w:rFonts w:ascii="Traditional Arabic" w:hAnsi="Traditional Arabic" w:hint="cs"/>
          <w:noProof w:val="0"/>
          <w:rtl/>
          <w:lang w:eastAsia="en-US"/>
        </w:rPr>
        <w:t>.</w:t>
      </w:r>
    </w:p>
    <w:p w:rsidR="00335A5B" w:rsidRDefault="00335A5B" w:rsidP="000A76C7">
      <w:pPr>
        <w:pStyle w:val="afc"/>
        <w:widowControl/>
        <w:numPr>
          <w:ilvl w:val="0"/>
          <w:numId w:val="94"/>
        </w:numPr>
        <w:autoSpaceDE w:val="0"/>
        <w:autoSpaceDN w:val="0"/>
        <w:adjustRightInd w:val="0"/>
        <w:jc w:val="left"/>
        <w:rPr>
          <w:rFonts w:ascii="Traditional Arabic" w:hAnsi="Traditional Arabic"/>
          <w:noProof w:val="0"/>
          <w:lang w:eastAsia="en-US"/>
        </w:rPr>
      </w:pPr>
      <w:r>
        <w:rPr>
          <w:rFonts w:ascii="Traditional Arabic" w:hAnsi="Traditional Arabic" w:hint="cs"/>
          <w:noProof w:val="0"/>
          <w:rtl/>
          <w:lang w:eastAsia="en-US"/>
        </w:rPr>
        <w:lastRenderedPageBreak/>
        <w:t>ينعقد البيع والإجارة بالْمُعاطاة</w:t>
      </w:r>
      <w:r w:rsidRPr="00C821A1">
        <w:rPr>
          <w:rStyle w:val="af1"/>
          <w:szCs w:val="32"/>
          <w:rtl/>
        </w:rPr>
        <w:t>(</w:t>
      </w:r>
      <w:r w:rsidRPr="00C821A1">
        <w:rPr>
          <w:rStyle w:val="af1"/>
          <w:szCs w:val="32"/>
          <w:rtl/>
        </w:rPr>
        <w:footnoteReference w:id="546"/>
      </w:r>
      <w:r w:rsidRPr="00C821A1">
        <w:rPr>
          <w:rStyle w:val="af1"/>
          <w:szCs w:val="32"/>
          <w:rtl/>
        </w:rPr>
        <w:t>)</w:t>
      </w:r>
      <w:r>
        <w:rPr>
          <w:rFonts w:ascii="Traditional Arabic" w:hAnsi="Traditional Arabic" w:hint="cs"/>
          <w:noProof w:val="0"/>
          <w:rtl/>
          <w:lang w:eastAsia="en-US"/>
        </w:rPr>
        <w:t>.</w:t>
      </w:r>
    </w:p>
    <w:p w:rsidR="00335A5B" w:rsidRDefault="00335A5B" w:rsidP="00597C20">
      <w:pPr>
        <w:pStyle w:val="53"/>
        <w:rPr>
          <w:rtl/>
        </w:rPr>
      </w:pPr>
      <w:r>
        <w:rPr>
          <w:rFonts w:hint="cs"/>
          <w:rtl/>
        </w:rPr>
        <w:t>وجه اندراج الفرع تحت القاعدة:</w:t>
      </w:r>
    </w:p>
    <w:p w:rsidR="00420F71" w:rsidRDefault="00420F71" w:rsidP="00420F71">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335A5B" w:rsidRPr="00E51D72">
        <w:rPr>
          <w:rFonts w:ascii="Traditional Arabic" w:hAnsi="Traditional Arabic" w:hint="cs"/>
          <w:noProof w:val="0"/>
          <w:color w:val="auto"/>
          <w:rtl/>
          <w:lang w:eastAsia="en-US"/>
        </w:rPr>
        <w:t>ن عقد البيع والإجارة بالمعاطاة عقدٌ بالفِعل، وما دام هذا الفعل يدلُّ على البيع والإجارة فإن العقد يصحُّ؛ لأن العقود تنعقِد بكل ما يدلُّ عليها من قول</w:t>
      </w:r>
      <w:r w:rsidR="00335A5B" w:rsidRPr="003E3DA6">
        <w:rPr>
          <w:rFonts w:ascii="Traditional Arabic" w:hAnsi="Traditional Arabic" w:hint="cs"/>
          <w:noProof w:val="0"/>
          <w:color w:val="auto"/>
          <w:rtl/>
          <w:lang w:eastAsia="en-US"/>
        </w:rPr>
        <w:t xml:space="preserve">أو </w:t>
      </w:r>
      <w:r w:rsidR="00335A5B" w:rsidRPr="00CA7F89">
        <w:rPr>
          <w:rFonts w:ascii="Traditional Arabic" w:hAnsi="Traditional Arabic" w:hint="cs"/>
          <w:noProof w:val="0"/>
          <w:color w:val="auto"/>
          <w:rtl/>
          <w:lang w:eastAsia="en-US"/>
        </w:rPr>
        <w:t>فعل</w:t>
      </w:r>
      <w:r w:rsidR="00335A5B" w:rsidRPr="00C821A1">
        <w:rPr>
          <w:rStyle w:val="af1"/>
          <w:szCs w:val="32"/>
          <w:rtl/>
        </w:rPr>
        <w:t>(</w:t>
      </w:r>
      <w:r w:rsidR="00335A5B" w:rsidRPr="00C821A1">
        <w:rPr>
          <w:rStyle w:val="af1"/>
          <w:szCs w:val="32"/>
          <w:rtl/>
        </w:rPr>
        <w:footnoteReference w:id="547"/>
      </w:r>
      <w:r w:rsidR="00335A5B" w:rsidRPr="00C821A1">
        <w:rPr>
          <w:rStyle w:val="af1"/>
          <w:szCs w:val="32"/>
          <w:rtl/>
        </w:rPr>
        <w:t>)</w:t>
      </w:r>
      <w:r w:rsidR="00335A5B" w:rsidRPr="003E3DA6">
        <w:rPr>
          <w:rFonts w:ascii="Traditional Arabic" w:hAnsi="Traditional Arabic" w:hint="cs"/>
          <w:noProof w:val="0"/>
          <w:color w:val="auto"/>
          <w:rtl/>
          <w:lang w:eastAsia="en-US"/>
        </w:rPr>
        <w:t>.</w:t>
      </w:r>
      <w:bookmarkStart w:id="110" w:name="_Toc334046365"/>
    </w:p>
    <w:p w:rsidR="00D54649" w:rsidRPr="00420F71" w:rsidRDefault="00420F71" w:rsidP="00D54649">
      <w:pPr>
        <w:ind w:firstLine="720"/>
        <w:jc w:val="center"/>
        <w:rPr>
          <w:rFonts w:ascii="Traditional Arabic" w:hAnsi="Traditional Arabic"/>
          <w:noProof w:val="0"/>
          <w:rtl/>
          <w:lang w:eastAsia="en-US"/>
        </w:rPr>
      </w:pPr>
      <w:r>
        <w:rPr>
          <w:rFonts w:ascii="Traditional Arabic" w:hAnsi="Traditional Arabic" w:hint="cs"/>
          <w:noProof w:val="0"/>
          <w:color w:val="auto"/>
          <w:rtl/>
          <w:lang w:eastAsia="en-US"/>
        </w:rPr>
        <w:t xml:space="preserve"> </w:t>
      </w:r>
      <w:r w:rsidR="00D54649" w:rsidRPr="00420F71">
        <w:rPr>
          <w:rFonts w:ascii="Traditional Arabic" w:hAnsi="Traditional Arabic" w:hint="cs"/>
          <w:b/>
          <w:bCs/>
          <w:noProof w:val="0"/>
          <w:rtl/>
          <w:lang w:eastAsia="en-US"/>
        </w:rPr>
        <w:t>المطلب الخامس</w:t>
      </w:r>
    </w:p>
    <w:p w:rsidR="00D54649" w:rsidRPr="00420F71" w:rsidRDefault="00784265" w:rsidP="00D54649">
      <w:pPr>
        <w:ind w:firstLine="720"/>
        <w:jc w:val="center"/>
        <w:rPr>
          <w:rFonts w:ascii="Traditional Arabic" w:hAnsi="Traditional Arabic"/>
          <w:b/>
          <w:bCs/>
          <w:noProof w:val="0"/>
          <w:rtl/>
          <w:lang w:eastAsia="en-US"/>
        </w:rPr>
      </w:pPr>
      <w:r>
        <w:rPr>
          <w:rFonts w:ascii="Traditional Arabic" w:hAnsi="Traditional Arabic" w:hint="cs"/>
          <w:b/>
          <w:bCs/>
          <w:noProof w:val="0"/>
          <w:rtl/>
          <w:lang w:eastAsia="en-US"/>
        </w:rPr>
        <w:t xml:space="preserve"> </w:t>
      </w:r>
      <w:r w:rsidR="00D54649" w:rsidRPr="00420F71">
        <w:rPr>
          <w:rFonts w:ascii="Traditional Arabic" w:hAnsi="Traditional Arabic" w:hint="cs"/>
          <w:b/>
          <w:bCs/>
          <w:noProof w:val="0"/>
          <w:rtl/>
          <w:lang w:eastAsia="en-US"/>
        </w:rPr>
        <w:t>مستثنيات القاعدة</w:t>
      </w:r>
    </w:p>
    <w:p w:rsidR="00D54649" w:rsidRDefault="00420F71" w:rsidP="00D54649">
      <w:pPr>
        <w:ind w:firstLine="720"/>
        <w:jc w:val="center"/>
        <w:rPr>
          <w:rFonts w:ascii="Traditional Arabic" w:hAnsi="Traditional Arabic"/>
          <w:b/>
          <w:bCs/>
          <w:noProof w:val="0"/>
          <w:rtl/>
          <w:lang w:eastAsia="en-US"/>
        </w:rPr>
      </w:pPr>
      <w:r>
        <w:rPr>
          <w:rFonts w:ascii="Traditional Arabic" w:hAnsi="Traditional Arabic" w:hint="cs"/>
          <w:noProof w:val="0"/>
          <w:color w:val="auto"/>
          <w:rtl/>
          <w:lang w:eastAsia="en-US"/>
        </w:rPr>
        <w:t xml:space="preserve">                                   </w:t>
      </w:r>
      <w:bookmarkEnd w:id="110"/>
    </w:p>
    <w:p w:rsidR="00335A5B" w:rsidRPr="00420F71" w:rsidRDefault="00335A5B" w:rsidP="00D54649">
      <w:pPr>
        <w:widowControl/>
        <w:autoSpaceDE w:val="0"/>
        <w:autoSpaceDN w:val="0"/>
        <w:adjustRightInd w:val="0"/>
        <w:ind w:firstLine="720"/>
        <w:rPr>
          <w:rFonts w:ascii="Traditional Arabic" w:hAnsi="Traditional Arabic"/>
          <w:b/>
          <w:bCs/>
          <w:noProof w:val="0"/>
          <w:color w:val="auto"/>
          <w:rtl/>
          <w:lang w:eastAsia="en-US"/>
        </w:rPr>
      </w:pPr>
    </w:p>
    <w:p w:rsidR="00F13303" w:rsidRDefault="00335A5B" w:rsidP="00597C20">
      <w:pPr>
        <w:widowControl/>
        <w:autoSpaceDE w:val="0"/>
        <w:autoSpaceDN w:val="0"/>
        <w:adjustRightInd w:val="0"/>
        <w:ind w:firstLine="720"/>
        <w:rPr>
          <w:rFonts w:ascii="Traditional Arabic" w:hAnsi="Traditional Arabic"/>
          <w:b/>
          <w:bCs/>
          <w:noProof w:val="0"/>
          <w:rtl/>
          <w:lang w:eastAsia="en-US"/>
        </w:rPr>
      </w:pPr>
      <w:r w:rsidRPr="009C3915">
        <w:rPr>
          <w:rFonts w:ascii="Traditional Arabic" w:hAnsi="Traditional Arabic"/>
          <w:noProof w:val="0"/>
          <w:rtl/>
          <w:lang w:eastAsia="en-US"/>
        </w:rPr>
        <w:t>ي</w:t>
      </w:r>
      <w:r>
        <w:rPr>
          <w:rFonts w:ascii="Traditional Arabic" w:hAnsi="Traditional Arabic" w:hint="cs"/>
          <w:noProof w:val="0"/>
          <w:rtl/>
          <w:lang w:eastAsia="en-US"/>
        </w:rPr>
        <w:t>ُ</w:t>
      </w:r>
      <w:r>
        <w:rPr>
          <w:rFonts w:ascii="Traditional Arabic" w:hAnsi="Traditional Arabic"/>
          <w:noProof w:val="0"/>
          <w:rtl/>
          <w:lang w:eastAsia="en-US"/>
        </w:rPr>
        <w:t>ستثنى من</w:t>
      </w:r>
      <w:r w:rsidR="00420F71">
        <w:rPr>
          <w:rFonts w:ascii="Traditional Arabic" w:hAnsi="Traditional Arabic" w:hint="cs"/>
          <w:noProof w:val="0"/>
          <w:rtl/>
          <w:lang w:eastAsia="en-US"/>
        </w:rPr>
        <w:t xml:space="preserve"> </w:t>
      </w:r>
      <w:r>
        <w:rPr>
          <w:rFonts w:ascii="Traditional Arabic" w:hAnsi="Traditional Arabic" w:hint="cs"/>
          <w:noProof w:val="0"/>
          <w:rtl/>
          <w:lang w:eastAsia="en-US"/>
        </w:rPr>
        <w:t>القاعدة</w:t>
      </w:r>
      <w:r w:rsidRPr="00C821A1">
        <w:rPr>
          <w:rStyle w:val="af1"/>
          <w:szCs w:val="32"/>
          <w:rtl/>
        </w:rPr>
        <w:t>(</w:t>
      </w:r>
      <w:r w:rsidRPr="00C821A1">
        <w:rPr>
          <w:rStyle w:val="af1"/>
          <w:szCs w:val="32"/>
          <w:rtl/>
        </w:rPr>
        <w:footnoteReference w:id="548"/>
      </w:r>
      <w:r w:rsidRPr="00C821A1">
        <w:rPr>
          <w:rStyle w:val="af1"/>
          <w:szCs w:val="32"/>
          <w:rtl/>
        </w:rPr>
        <w:t>)</w:t>
      </w:r>
      <w:r>
        <w:rPr>
          <w:rFonts w:ascii="Traditional Arabic" w:hAnsi="Traditional Arabic"/>
          <w:noProof w:val="0"/>
          <w:rtl/>
          <w:lang w:eastAsia="en-US"/>
        </w:rPr>
        <w:t>ما لا</w:t>
      </w:r>
      <w:r w:rsidRPr="009C3915">
        <w:rPr>
          <w:rFonts w:ascii="Traditional Arabic" w:hAnsi="Traditional Arabic"/>
          <w:noProof w:val="0"/>
          <w:rtl/>
          <w:lang w:eastAsia="en-US"/>
        </w:rPr>
        <w:t>بد</w:t>
      </w:r>
      <w:r>
        <w:rPr>
          <w:rFonts w:ascii="Traditional Arabic" w:hAnsi="Traditional Arabic" w:hint="cs"/>
          <w:noProof w:val="0"/>
          <w:rtl/>
          <w:lang w:eastAsia="en-US"/>
        </w:rPr>
        <w:t>َّ</w:t>
      </w:r>
      <w:r>
        <w:rPr>
          <w:rFonts w:ascii="Traditional Arabic" w:hAnsi="Traditional Arabic"/>
          <w:noProof w:val="0"/>
          <w:rtl/>
          <w:lang w:eastAsia="en-US"/>
        </w:rPr>
        <w:t xml:space="preserve"> م</w:t>
      </w:r>
      <w:r>
        <w:rPr>
          <w:rFonts w:ascii="Traditional Arabic" w:hAnsi="Traditional Arabic" w:hint="cs"/>
          <w:noProof w:val="0"/>
          <w:rtl/>
          <w:lang w:eastAsia="en-US"/>
        </w:rPr>
        <w:t>ِ</w:t>
      </w:r>
      <w:r>
        <w:rPr>
          <w:rFonts w:ascii="Traditional Arabic" w:hAnsi="Traditional Arabic"/>
          <w:noProof w:val="0"/>
          <w:rtl/>
          <w:lang w:eastAsia="en-US"/>
        </w:rPr>
        <w:t>ن الإش</w:t>
      </w:r>
      <w:r>
        <w:rPr>
          <w:rFonts w:ascii="Traditional Arabic" w:hAnsi="Traditional Arabic" w:hint="cs"/>
          <w:noProof w:val="0"/>
          <w:rtl/>
          <w:lang w:eastAsia="en-US"/>
        </w:rPr>
        <w:t>ْ</w:t>
      </w:r>
      <w:r>
        <w:rPr>
          <w:rFonts w:ascii="Traditional Arabic" w:hAnsi="Traditional Arabic"/>
          <w:noProof w:val="0"/>
          <w:rtl/>
          <w:lang w:eastAsia="en-US"/>
        </w:rPr>
        <w:t>هاد عليه، ف</w:t>
      </w:r>
      <w:r>
        <w:rPr>
          <w:rFonts w:ascii="Traditional Arabic" w:hAnsi="Traditional Arabic" w:hint="cs"/>
          <w:noProof w:val="0"/>
          <w:rtl/>
          <w:lang w:eastAsia="en-US"/>
        </w:rPr>
        <w:t>إنه يُشترَط فيه</w:t>
      </w:r>
      <w:r w:rsidRPr="009C3915">
        <w:rPr>
          <w:rFonts w:ascii="Traditional Arabic" w:hAnsi="Traditional Arabic"/>
          <w:noProof w:val="0"/>
          <w:rtl/>
          <w:lang w:eastAsia="en-US"/>
        </w:rPr>
        <w:t xml:space="preserve"> أن يكون بقول</w:t>
      </w:r>
      <w:r>
        <w:rPr>
          <w:rFonts w:ascii="Traditional Arabic" w:hAnsi="Traditional Arabic" w:hint="cs"/>
          <w:noProof w:val="0"/>
          <w:rtl/>
          <w:lang w:eastAsia="en-US"/>
        </w:rPr>
        <w:t>ٍ</w:t>
      </w:r>
      <w:r w:rsidRPr="009C3915">
        <w:rPr>
          <w:rFonts w:ascii="Traditional Arabic" w:hAnsi="Traditional Arabic"/>
          <w:noProof w:val="0"/>
          <w:rtl/>
          <w:lang w:eastAsia="en-US"/>
        </w:rPr>
        <w:t xml:space="preserve"> واض</w:t>
      </w:r>
      <w:r>
        <w:rPr>
          <w:rFonts w:ascii="Traditional Arabic" w:hAnsi="Traditional Arabic" w:hint="cs"/>
          <w:noProof w:val="0"/>
          <w:rtl/>
          <w:lang w:eastAsia="en-US"/>
        </w:rPr>
        <w:t>ِ</w:t>
      </w:r>
      <w:r w:rsidRPr="009C3915">
        <w:rPr>
          <w:rFonts w:ascii="Traditional Arabic" w:hAnsi="Traditional Arabic"/>
          <w:noProof w:val="0"/>
          <w:rtl/>
          <w:lang w:eastAsia="en-US"/>
        </w:rPr>
        <w:t>ح</w:t>
      </w:r>
      <w:r>
        <w:rPr>
          <w:rFonts w:ascii="Traditional Arabic" w:hAnsi="Traditional Arabic" w:hint="cs"/>
          <w:noProof w:val="0"/>
          <w:rtl/>
          <w:lang w:eastAsia="en-US"/>
        </w:rPr>
        <w:t>ٍ،</w:t>
      </w:r>
      <w:r w:rsidRPr="009C3915">
        <w:rPr>
          <w:rFonts w:ascii="Traditional Arabic" w:hAnsi="Traditional Arabic"/>
          <w:noProof w:val="0"/>
          <w:rtl/>
          <w:lang w:eastAsia="en-US"/>
        </w:rPr>
        <w:t xml:space="preserve"> مثل النكاح، فلو أن رجلا قال لشخص</w:t>
      </w:r>
      <w:r>
        <w:rPr>
          <w:rFonts w:ascii="Traditional Arabic" w:hAnsi="Traditional Arabic" w:hint="cs"/>
          <w:noProof w:val="0"/>
          <w:rtl/>
          <w:lang w:eastAsia="en-US"/>
        </w:rPr>
        <w:t>ٍ</w:t>
      </w:r>
      <w:r w:rsidRPr="009C3915">
        <w:rPr>
          <w:rFonts w:ascii="Traditional Arabic" w:hAnsi="Traditional Arabic"/>
          <w:noProof w:val="0"/>
          <w:rtl/>
          <w:lang w:eastAsia="en-US"/>
        </w:rPr>
        <w:t>: زوجت</w:t>
      </w:r>
      <w:r>
        <w:rPr>
          <w:rFonts w:ascii="Traditional Arabic" w:hAnsi="Traditional Arabic" w:hint="cs"/>
          <w:noProof w:val="0"/>
          <w:rtl/>
          <w:lang w:eastAsia="en-US"/>
        </w:rPr>
        <w:t>ُ</w:t>
      </w:r>
      <w:r w:rsidRPr="009C3915">
        <w:rPr>
          <w:rFonts w:ascii="Traditional Arabic" w:hAnsi="Traditional Arabic"/>
          <w:noProof w:val="0"/>
          <w:rtl/>
          <w:lang w:eastAsia="en-US"/>
        </w:rPr>
        <w:t>ك بنتي هذه، فأخ</w:t>
      </w:r>
      <w:r>
        <w:rPr>
          <w:rFonts w:ascii="Traditional Arabic" w:hAnsi="Traditional Arabic" w:hint="cs"/>
          <w:noProof w:val="0"/>
          <w:rtl/>
          <w:lang w:eastAsia="en-US"/>
        </w:rPr>
        <w:t>َ</w:t>
      </w:r>
      <w:r w:rsidRPr="009C3915">
        <w:rPr>
          <w:rFonts w:ascii="Traditional Arabic" w:hAnsi="Traditional Arabic"/>
          <w:noProof w:val="0"/>
          <w:rtl/>
          <w:lang w:eastAsia="en-US"/>
        </w:rPr>
        <w:t>ذ البنت ومشى، فإن النكاح لا ينعق</w:t>
      </w:r>
      <w:r>
        <w:rPr>
          <w:rFonts w:ascii="Traditional Arabic" w:hAnsi="Traditional Arabic" w:hint="cs"/>
          <w:noProof w:val="0"/>
          <w:rtl/>
          <w:lang w:eastAsia="en-US"/>
        </w:rPr>
        <w:t>ِ</w:t>
      </w:r>
      <w:r w:rsidRPr="009C3915">
        <w:rPr>
          <w:rFonts w:ascii="Traditional Arabic" w:hAnsi="Traditional Arabic"/>
          <w:noProof w:val="0"/>
          <w:rtl/>
          <w:lang w:eastAsia="en-US"/>
        </w:rPr>
        <w:t xml:space="preserve">د؛ لأن هذا </w:t>
      </w:r>
      <w:r>
        <w:rPr>
          <w:rFonts w:ascii="Traditional Arabic" w:hAnsi="Traditional Arabic" w:hint="cs"/>
          <w:noProof w:val="0"/>
          <w:rtl/>
          <w:lang w:eastAsia="en-US"/>
        </w:rPr>
        <w:t xml:space="preserve">مما </w:t>
      </w:r>
      <w:r w:rsidRPr="009C3915">
        <w:rPr>
          <w:rFonts w:ascii="Traditional Arabic" w:hAnsi="Traditional Arabic"/>
          <w:noProof w:val="0"/>
          <w:rtl/>
          <w:lang w:eastAsia="en-US"/>
        </w:rPr>
        <w:t>يحتاج إلى إشهاد</w:t>
      </w:r>
      <w:r>
        <w:rPr>
          <w:rFonts w:ascii="Traditional Arabic" w:hAnsi="Traditional Arabic" w:hint="cs"/>
          <w:noProof w:val="0"/>
          <w:rtl/>
          <w:lang w:eastAsia="en-US"/>
        </w:rPr>
        <w:t>ٍ</w:t>
      </w:r>
      <w:r w:rsidRPr="009C3915">
        <w:rPr>
          <w:rFonts w:ascii="Traditional Arabic" w:hAnsi="Traditional Arabic"/>
          <w:noProof w:val="0"/>
          <w:rtl/>
          <w:lang w:eastAsia="en-US"/>
        </w:rPr>
        <w:t>، ومجر</w:t>
      </w:r>
      <w:r>
        <w:rPr>
          <w:rFonts w:ascii="Traditional Arabic" w:hAnsi="Traditional Arabic" w:hint="cs"/>
          <w:noProof w:val="0"/>
          <w:rtl/>
          <w:lang w:eastAsia="en-US"/>
        </w:rPr>
        <w:t>َّ</w:t>
      </w:r>
      <w:r w:rsidRPr="009C3915">
        <w:rPr>
          <w:rFonts w:ascii="Traditional Arabic" w:hAnsi="Traditional Arabic"/>
          <w:noProof w:val="0"/>
          <w:rtl/>
          <w:lang w:eastAsia="en-US"/>
        </w:rPr>
        <w:t>د</w:t>
      </w:r>
      <w:r>
        <w:rPr>
          <w:rFonts w:ascii="Traditional Arabic" w:hAnsi="Traditional Arabic" w:hint="cs"/>
          <w:noProof w:val="0"/>
          <w:rtl/>
          <w:lang w:eastAsia="en-US"/>
        </w:rPr>
        <w:t>ُ</w:t>
      </w:r>
      <w:r w:rsidRPr="009C3915">
        <w:rPr>
          <w:rFonts w:ascii="Traditional Arabic" w:hAnsi="Traditional Arabic"/>
          <w:noProof w:val="0"/>
          <w:rtl/>
          <w:lang w:eastAsia="en-US"/>
        </w:rPr>
        <w:t xml:space="preserve"> الفعل لا يدل</w:t>
      </w:r>
      <w:r>
        <w:rPr>
          <w:rFonts w:ascii="Traditional Arabic" w:hAnsi="Traditional Arabic" w:hint="cs"/>
          <w:noProof w:val="0"/>
          <w:rtl/>
          <w:lang w:eastAsia="en-US"/>
        </w:rPr>
        <w:t>ُّ</w:t>
      </w:r>
      <w:r w:rsidRPr="009C3915">
        <w:rPr>
          <w:rFonts w:ascii="Traditional Arabic" w:hAnsi="Traditional Arabic"/>
          <w:noProof w:val="0"/>
          <w:rtl/>
          <w:lang w:eastAsia="en-US"/>
        </w:rPr>
        <w:t xml:space="preserve"> على الق</w:t>
      </w:r>
      <w:r>
        <w:rPr>
          <w:rFonts w:ascii="Traditional Arabic" w:hAnsi="Traditional Arabic" w:hint="cs"/>
          <w:noProof w:val="0"/>
          <w:rtl/>
          <w:lang w:eastAsia="en-US"/>
        </w:rPr>
        <w:t>َ</w:t>
      </w:r>
      <w:r w:rsidRPr="009C3915">
        <w:rPr>
          <w:rFonts w:ascii="Traditional Arabic" w:hAnsi="Traditional Arabic"/>
          <w:noProof w:val="0"/>
          <w:rtl/>
          <w:lang w:eastAsia="en-US"/>
        </w:rPr>
        <w:t>بول</w:t>
      </w:r>
      <w:r w:rsidRPr="00C821A1">
        <w:rPr>
          <w:rStyle w:val="af1"/>
          <w:szCs w:val="32"/>
          <w:rtl/>
        </w:rPr>
        <w:t>(</w:t>
      </w:r>
      <w:r w:rsidRPr="00C821A1">
        <w:rPr>
          <w:rStyle w:val="af1"/>
          <w:szCs w:val="32"/>
          <w:rtl/>
        </w:rPr>
        <w:footnoteReference w:id="549"/>
      </w:r>
      <w:r w:rsidRPr="00C821A1">
        <w:rPr>
          <w:rStyle w:val="af1"/>
          <w:szCs w:val="32"/>
          <w:rtl/>
        </w:rPr>
        <w:t>)</w:t>
      </w:r>
      <w:r w:rsidRPr="009C3915">
        <w:rPr>
          <w:rFonts w:ascii="Traditional Arabic" w:hAnsi="Traditional Arabic"/>
          <w:noProof w:val="0"/>
          <w:rtl/>
          <w:lang w:eastAsia="en-US"/>
        </w:rPr>
        <w:t>.</w:t>
      </w:r>
    </w:p>
    <w:p w:rsidR="00F13303" w:rsidRPr="005F53FF" w:rsidRDefault="00F13303" w:rsidP="00597C20">
      <w:pPr>
        <w:pStyle w:val="aff0"/>
        <w:rPr>
          <w:rtl/>
        </w:rPr>
      </w:pPr>
      <w:bookmarkStart w:id="111" w:name="_Toc334046366"/>
      <w:r w:rsidRPr="005F53FF">
        <w:rPr>
          <w:rFonts w:hint="cs"/>
          <w:rtl/>
        </w:rPr>
        <w:lastRenderedPageBreak/>
        <w:t>الفصل الثالث</w:t>
      </w:r>
      <w:r w:rsidRPr="005F53FF">
        <w:rPr>
          <w:rFonts w:hint="eastAsia"/>
          <w:rtl/>
        </w:rPr>
        <w:t> :</w:t>
      </w:r>
      <w:r w:rsidRPr="005F53FF">
        <w:rPr>
          <w:rFonts w:hint="cs"/>
          <w:rtl/>
        </w:rPr>
        <w:t>القواعد المتعلقة بالوسائل وال</w:t>
      </w:r>
      <w:bookmarkEnd w:id="111"/>
      <w:r w:rsidR="00690470">
        <w:rPr>
          <w:rFonts w:hint="cs"/>
          <w:rtl/>
        </w:rPr>
        <w:t>نيات</w:t>
      </w:r>
    </w:p>
    <w:p w:rsidR="00F13303" w:rsidRPr="002D7A92" w:rsidRDefault="00F13303"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ثمانية مباحث:</w:t>
      </w:r>
    </w:p>
    <w:p w:rsidR="00F13303" w:rsidRDefault="00F13303"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قاعدة الوسائل لها أحكام المقاصد.</w:t>
      </w:r>
    </w:p>
    <w:p w:rsidR="00F13303" w:rsidRPr="00031790" w:rsidRDefault="00F13303" w:rsidP="00597C20">
      <w:pPr>
        <w:tabs>
          <w:tab w:val="left" w:pos="2833"/>
        </w:tabs>
        <w:ind w:left="2833" w:hanging="2268"/>
        <w:jc w:val="left"/>
        <w:rPr>
          <w:rtl/>
        </w:rPr>
      </w:pPr>
      <w:r w:rsidRPr="00FD5687">
        <w:rPr>
          <w:rFonts w:hint="cs"/>
          <w:b/>
          <w:bCs/>
          <w:rtl/>
        </w:rPr>
        <w:t>المبحث الثاني:</w:t>
      </w:r>
      <w:r w:rsidR="002F34AD">
        <w:rPr>
          <w:rFonts w:hint="cs"/>
          <w:rtl/>
        </w:rPr>
        <w:tab/>
      </w:r>
      <w:r w:rsidRPr="00031790">
        <w:rPr>
          <w:rFonts w:hint="cs"/>
          <w:rtl/>
        </w:rPr>
        <w:t>قاعدة سد الذرائع.</w:t>
      </w:r>
    </w:p>
    <w:p w:rsidR="00F13303" w:rsidRPr="00031790" w:rsidRDefault="00F13303" w:rsidP="00597C20">
      <w:pPr>
        <w:tabs>
          <w:tab w:val="left" w:pos="2833"/>
        </w:tabs>
        <w:ind w:left="2833" w:hanging="2268"/>
        <w:jc w:val="left"/>
        <w:rPr>
          <w:rtl/>
        </w:rPr>
      </w:pPr>
      <w:r w:rsidRPr="00FD5687">
        <w:rPr>
          <w:rFonts w:hint="cs"/>
          <w:b/>
          <w:bCs/>
          <w:rtl/>
        </w:rPr>
        <w:t>المبحث الثالث:</w:t>
      </w:r>
      <w:r w:rsidR="002F34AD">
        <w:rPr>
          <w:rFonts w:hint="cs"/>
          <w:rtl/>
        </w:rPr>
        <w:tab/>
      </w:r>
      <w:r w:rsidR="00230519">
        <w:rPr>
          <w:rFonts w:hint="cs"/>
          <w:rtl/>
        </w:rPr>
        <w:t>قاعدة ما حرم تحريم الوسائل أباحته ا</w:t>
      </w:r>
      <w:r w:rsidRPr="00031790">
        <w:rPr>
          <w:rFonts w:hint="cs"/>
          <w:rtl/>
        </w:rPr>
        <w:t>لحاجة.</w:t>
      </w:r>
    </w:p>
    <w:p w:rsidR="00F13303" w:rsidRPr="00031790" w:rsidRDefault="00F13303" w:rsidP="00597C20">
      <w:pPr>
        <w:tabs>
          <w:tab w:val="left" w:pos="2833"/>
        </w:tabs>
        <w:ind w:left="2833" w:hanging="2268"/>
        <w:jc w:val="left"/>
        <w:rPr>
          <w:rtl/>
        </w:rPr>
      </w:pPr>
      <w:r w:rsidRPr="00FD5687">
        <w:rPr>
          <w:rFonts w:hint="cs"/>
          <w:b/>
          <w:bCs/>
          <w:rtl/>
        </w:rPr>
        <w:t>المبحث الرابع:</w:t>
      </w:r>
      <w:r w:rsidR="002F34AD">
        <w:rPr>
          <w:rFonts w:hint="cs"/>
          <w:rtl/>
        </w:rPr>
        <w:tab/>
      </w:r>
      <w:r w:rsidRPr="00031790">
        <w:rPr>
          <w:rFonts w:hint="cs"/>
          <w:rtl/>
        </w:rPr>
        <w:t>قاعدة إنما الأعمال بالنيات.</w:t>
      </w:r>
    </w:p>
    <w:p w:rsidR="00F13303" w:rsidRPr="00031790" w:rsidRDefault="00F13303" w:rsidP="00597C20">
      <w:pPr>
        <w:tabs>
          <w:tab w:val="left" w:pos="2833"/>
        </w:tabs>
        <w:ind w:left="2833" w:hanging="2268"/>
        <w:jc w:val="left"/>
        <w:rPr>
          <w:rtl/>
        </w:rPr>
      </w:pPr>
      <w:r w:rsidRPr="00FD5687">
        <w:rPr>
          <w:rFonts w:hint="cs"/>
          <w:b/>
          <w:bCs/>
          <w:rtl/>
        </w:rPr>
        <w:t>المبحث الخامس:</w:t>
      </w:r>
      <w:r w:rsidR="002F34AD">
        <w:rPr>
          <w:rFonts w:hint="cs"/>
          <w:rtl/>
        </w:rPr>
        <w:tab/>
      </w:r>
      <w:r w:rsidRPr="00031790">
        <w:rPr>
          <w:rFonts w:hint="cs"/>
          <w:rtl/>
        </w:rPr>
        <w:t>قاعدة العبرة في الألفاظ بمعانيها.</w:t>
      </w:r>
    </w:p>
    <w:p w:rsidR="00F13303" w:rsidRPr="00031790" w:rsidRDefault="00F13303" w:rsidP="00597C20">
      <w:pPr>
        <w:tabs>
          <w:tab w:val="left" w:pos="2833"/>
        </w:tabs>
        <w:ind w:left="2833" w:hanging="2268"/>
        <w:jc w:val="left"/>
        <w:rPr>
          <w:rtl/>
        </w:rPr>
      </w:pPr>
      <w:r w:rsidRPr="00FD5687">
        <w:rPr>
          <w:rFonts w:hint="cs"/>
          <w:b/>
          <w:bCs/>
          <w:rtl/>
        </w:rPr>
        <w:t>المبحث السادس:</w:t>
      </w:r>
      <w:r w:rsidR="002F34AD">
        <w:rPr>
          <w:rFonts w:hint="cs"/>
          <w:rtl/>
        </w:rPr>
        <w:tab/>
      </w:r>
      <w:r w:rsidRPr="00031790">
        <w:rPr>
          <w:rFonts w:hint="cs"/>
          <w:rtl/>
        </w:rPr>
        <w:t>قاعدة من أدى عن غيره واجبا يبرأ به بنية الرجوع عليه رجع وإلا فلا.</w:t>
      </w:r>
    </w:p>
    <w:p w:rsidR="00F13303" w:rsidRPr="00031790" w:rsidRDefault="00F13303" w:rsidP="00597C20">
      <w:pPr>
        <w:tabs>
          <w:tab w:val="left" w:pos="2833"/>
        </w:tabs>
        <w:ind w:left="2833" w:hanging="2268"/>
        <w:jc w:val="left"/>
        <w:rPr>
          <w:rtl/>
        </w:rPr>
      </w:pPr>
      <w:r w:rsidRPr="00FD5687">
        <w:rPr>
          <w:rFonts w:hint="cs"/>
          <w:b/>
          <w:bCs/>
          <w:rtl/>
        </w:rPr>
        <w:t>المبحث السابع:</w:t>
      </w:r>
      <w:r w:rsidR="002F34AD">
        <w:rPr>
          <w:rFonts w:hint="cs"/>
          <w:rtl/>
        </w:rPr>
        <w:tab/>
      </w:r>
      <w:r w:rsidRPr="00031790">
        <w:rPr>
          <w:rFonts w:hint="cs"/>
          <w:rtl/>
        </w:rPr>
        <w:t>قاعدة الحيل ممنوعة شرعا.</w:t>
      </w:r>
    </w:p>
    <w:p w:rsidR="00F13303" w:rsidRPr="00031790" w:rsidRDefault="00F13303" w:rsidP="00597C20">
      <w:pPr>
        <w:tabs>
          <w:tab w:val="left" w:pos="2833"/>
        </w:tabs>
        <w:ind w:left="2833" w:hanging="2268"/>
        <w:jc w:val="left"/>
        <w:rPr>
          <w:rtl/>
        </w:rPr>
      </w:pPr>
      <w:r w:rsidRPr="00FD5687">
        <w:rPr>
          <w:rFonts w:hint="cs"/>
          <w:b/>
          <w:bCs/>
          <w:rtl/>
        </w:rPr>
        <w:t>المبحث الثامن:</w:t>
      </w:r>
      <w:r w:rsidR="002F34AD">
        <w:rPr>
          <w:rFonts w:hint="cs"/>
          <w:rtl/>
        </w:rPr>
        <w:tab/>
      </w:r>
      <w:r w:rsidR="002F34AD" w:rsidRPr="00031790">
        <w:rPr>
          <w:rFonts w:hint="cs"/>
          <w:rtl/>
        </w:rPr>
        <w:t xml:space="preserve">قاعدة </w:t>
      </w:r>
      <w:r w:rsidRPr="00031790">
        <w:rPr>
          <w:rFonts w:hint="cs"/>
          <w:rtl/>
        </w:rPr>
        <w:t>المعاملة بنقيض القصد.</w:t>
      </w:r>
    </w:p>
    <w:p w:rsidR="00F13303" w:rsidRPr="00C85F0F" w:rsidRDefault="00F13303" w:rsidP="000F5C0F">
      <w:pPr>
        <w:pStyle w:val="aff2"/>
        <w:rPr>
          <w:rtl/>
        </w:rPr>
      </w:pPr>
      <w:bookmarkStart w:id="112" w:name="_Toc334046367"/>
      <w:r w:rsidRPr="00F13303">
        <w:rPr>
          <w:rFonts w:hint="cs"/>
          <w:rtl/>
        </w:rPr>
        <w:lastRenderedPageBreak/>
        <w:t>المبحث الأول</w:t>
      </w:r>
      <w:r>
        <w:rPr>
          <w:rFonts w:hint="eastAsia"/>
          <w:rtl/>
        </w:rPr>
        <w:t> :</w:t>
      </w:r>
      <w:r>
        <w:rPr>
          <w:rFonts w:hint="cs"/>
          <w:rtl/>
        </w:rPr>
        <w:br/>
      </w:r>
      <w:r w:rsidRPr="00F13303">
        <w:rPr>
          <w:rFonts w:hint="cs"/>
          <w:rtl/>
        </w:rPr>
        <w:t>قاعدة</w:t>
      </w:r>
      <w:r>
        <w:rPr>
          <w:rtl/>
        </w:rPr>
        <w:br/>
      </w:r>
      <w:r>
        <w:rPr>
          <w:rFonts w:hint="cs"/>
          <w:rtl/>
        </w:rPr>
        <w:t>"</w:t>
      </w:r>
      <w:r w:rsidRPr="00F13303">
        <w:rPr>
          <w:rFonts w:hint="cs"/>
          <w:rtl/>
        </w:rPr>
        <w:t>الوسائل لها أحكام المقاصد</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الوسائللهاأحكامالمقاصد</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Fonts w:hint="cs"/>
          <w:szCs w:val="32"/>
          <w:vertAlign w:val="superscript"/>
          <w:rtl/>
        </w:rPr>
        <w:t>(</w:t>
      </w:r>
      <w:r w:rsidRPr="00C85F0F">
        <w:rPr>
          <w:szCs w:val="32"/>
          <w:vertAlign w:val="superscript"/>
          <w:rtl/>
        </w:rPr>
        <w:footnoteReference w:id="550"/>
      </w:r>
      <w:r w:rsidRPr="00C85F0F">
        <w:rPr>
          <w:rFonts w:hint="cs"/>
          <w:szCs w:val="32"/>
          <w:vertAlign w:val="superscript"/>
          <w:rtl/>
        </w:rPr>
        <w:t>)</w:t>
      </w:r>
      <w:bookmarkEnd w:id="112"/>
    </w:p>
    <w:p w:rsidR="00F13303" w:rsidRPr="00C85F0F" w:rsidRDefault="00D54649" w:rsidP="00A8347C">
      <w:pPr>
        <w:pStyle w:val="aff3"/>
        <w:rPr>
          <w:rtl/>
        </w:rPr>
      </w:pPr>
      <w:bookmarkStart w:id="113" w:name="_Toc334046368"/>
      <w:r>
        <w:rPr>
          <w:rFonts w:hint="cs"/>
          <w:rtl/>
        </w:rPr>
        <w:t xml:space="preserve">                  </w:t>
      </w:r>
      <w:r w:rsidR="00784265">
        <w:rPr>
          <w:rFonts w:hint="cs"/>
          <w:rtl/>
        </w:rPr>
        <w:t xml:space="preserve">                       </w:t>
      </w:r>
      <w:r w:rsidR="00F13303" w:rsidRPr="00C85F0F">
        <w:rPr>
          <w:rFonts w:hint="cs"/>
          <w:rtl/>
        </w:rPr>
        <w:t>المطلب الأول</w:t>
      </w:r>
      <w:r w:rsidR="00F13303" w:rsidRPr="00C85F0F">
        <w:rPr>
          <w:rFonts w:hint="eastAsia"/>
          <w:rtl/>
        </w:rPr>
        <w:t> :</w:t>
      </w:r>
      <w:r w:rsidR="00F13303" w:rsidRPr="00C85F0F">
        <w:rPr>
          <w:rFonts w:hint="cs"/>
          <w:rtl/>
        </w:rPr>
        <w:br/>
      </w:r>
      <w:r>
        <w:rPr>
          <w:rFonts w:hint="cs"/>
          <w:rtl/>
        </w:rPr>
        <w:t xml:space="preserve">               </w:t>
      </w:r>
      <w:r w:rsidR="00784265">
        <w:rPr>
          <w:rFonts w:hint="cs"/>
          <w:rtl/>
        </w:rPr>
        <w:t xml:space="preserve">         </w:t>
      </w:r>
      <w:r w:rsidR="00F13303" w:rsidRPr="00C85F0F">
        <w:rPr>
          <w:rFonts w:hint="cs"/>
          <w:rtl/>
        </w:rPr>
        <w:t>صيغ القاعدة عند الشيخ</w:t>
      </w:r>
      <w:r w:rsidR="00154102" w:rsidRPr="00C85F0F">
        <w:rPr>
          <w:rFonts w:hint="cs"/>
          <w:rtl/>
        </w:rPr>
        <w:t xml:space="preserve"> و</w:t>
      </w:r>
      <w:r w:rsidR="00F13303" w:rsidRPr="00C85F0F">
        <w:rPr>
          <w:rFonts w:hint="cs"/>
          <w:rtl/>
        </w:rPr>
        <w:t>عند علماء القواعد</w:t>
      </w:r>
      <w:bookmarkEnd w:id="113"/>
    </w:p>
    <w:p w:rsidR="00F13303" w:rsidRPr="00C85F0F" w:rsidRDefault="00F13303" w:rsidP="00784265">
      <w:pPr>
        <w:jc w:val="left"/>
        <w:rPr>
          <w:rtl/>
        </w:rPr>
      </w:pPr>
      <w:r w:rsidRPr="00C85F0F">
        <w:rPr>
          <w:rFonts w:hint="cs"/>
          <w:rtl/>
        </w:rPr>
        <w:t xml:space="preserve">وردت هذه القاعدة عند الشيخ ابن عثيمين </w:t>
      </w:r>
      <w:r w:rsidR="00784265">
        <w:rPr>
          <w:rFonts w:hint="cs"/>
          <w:rtl/>
        </w:rPr>
        <w:t>_</w:t>
      </w:r>
      <w:r w:rsidR="009A0575" w:rsidRPr="005D5694">
        <w:rPr>
          <w:rFonts w:ascii="Traditional Arabic" w:hAnsi="Traditional Arabic" w:cs="CTraditional Arabic" w:hint="cs"/>
          <w:rtl/>
        </w:rPr>
        <w:t>/</w:t>
      </w:r>
      <w:r w:rsidR="00784265">
        <w:rPr>
          <w:rFonts w:hint="cs"/>
          <w:rtl/>
        </w:rPr>
        <w:t>_</w:t>
      </w:r>
      <w:r w:rsidRPr="00C85F0F">
        <w:rPr>
          <w:rFonts w:hint="cs"/>
          <w:rtl/>
        </w:rPr>
        <w:t xml:space="preserve"> بعدة صيغ، منها:</w:t>
      </w:r>
    </w:p>
    <w:p w:rsidR="00F13303" w:rsidRPr="00C85F0F" w:rsidRDefault="00F13303" w:rsidP="000A76C7">
      <w:pPr>
        <w:numPr>
          <w:ilvl w:val="0"/>
          <w:numId w:val="95"/>
        </w:numPr>
        <w:jc w:val="left"/>
      </w:pPr>
      <w:r w:rsidRPr="00C85F0F">
        <w:rPr>
          <w:rFonts w:hint="cs"/>
          <w:rtl/>
        </w:rPr>
        <w:t>الوسائل لها أحكام المقاصد</w:t>
      </w:r>
      <w:r w:rsidRPr="00C85F0F">
        <w:rPr>
          <w:rFonts w:hint="cs"/>
          <w:szCs w:val="32"/>
          <w:vertAlign w:val="superscript"/>
          <w:rtl/>
        </w:rPr>
        <w:t>(</w:t>
      </w:r>
      <w:r w:rsidRPr="00C85F0F">
        <w:rPr>
          <w:rStyle w:val="af1"/>
          <w:szCs w:val="32"/>
          <w:rtl/>
        </w:rPr>
        <w:footnoteReference w:id="551"/>
      </w:r>
      <w:r w:rsidRPr="00C85F0F">
        <w:rPr>
          <w:rFonts w:hint="cs"/>
          <w:szCs w:val="32"/>
          <w:vertAlign w:val="superscript"/>
          <w:rtl/>
        </w:rPr>
        <w:t>)</w:t>
      </w:r>
      <w:r w:rsidRPr="00C85F0F">
        <w:rPr>
          <w:rFonts w:hint="cs"/>
          <w:rtl/>
        </w:rPr>
        <w:t>.</w:t>
      </w:r>
    </w:p>
    <w:p w:rsidR="00F13303" w:rsidRPr="00C85F0F" w:rsidRDefault="00F13303" w:rsidP="000A76C7">
      <w:pPr>
        <w:numPr>
          <w:ilvl w:val="0"/>
          <w:numId w:val="95"/>
        </w:numPr>
        <w:jc w:val="left"/>
      </w:pPr>
      <w:r w:rsidRPr="00C85F0F">
        <w:rPr>
          <w:rFonts w:hint="cs"/>
          <w:rtl/>
        </w:rPr>
        <w:t>لِلوسائل أحكامُ المقاصد</w:t>
      </w:r>
      <w:r w:rsidRPr="00C85F0F">
        <w:rPr>
          <w:rFonts w:hint="cs"/>
          <w:szCs w:val="32"/>
          <w:vertAlign w:val="superscript"/>
          <w:rtl/>
        </w:rPr>
        <w:t>(</w:t>
      </w:r>
      <w:r w:rsidRPr="00C85F0F">
        <w:rPr>
          <w:rStyle w:val="af1"/>
          <w:szCs w:val="32"/>
          <w:rtl/>
        </w:rPr>
        <w:footnoteReference w:id="552"/>
      </w:r>
      <w:r w:rsidRPr="00C85F0F">
        <w:rPr>
          <w:rFonts w:hint="cs"/>
          <w:szCs w:val="32"/>
          <w:vertAlign w:val="superscript"/>
          <w:rtl/>
        </w:rPr>
        <w:t>)</w:t>
      </w:r>
      <w:r w:rsidRPr="00C85F0F">
        <w:rPr>
          <w:rFonts w:hint="cs"/>
          <w:rtl/>
        </w:rPr>
        <w:t>.</w:t>
      </w:r>
    </w:p>
    <w:p w:rsidR="00F13303" w:rsidRPr="00C85F0F" w:rsidRDefault="00F13303" w:rsidP="000A76C7">
      <w:pPr>
        <w:numPr>
          <w:ilvl w:val="0"/>
          <w:numId w:val="95"/>
        </w:numPr>
        <w:jc w:val="left"/>
      </w:pPr>
      <w:r w:rsidRPr="00C85F0F">
        <w:rPr>
          <w:rFonts w:hint="cs"/>
          <w:rtl/>
        </w:rPr>
        <w:t>إذا كان المباحُ وسيلةً لمأمور به أُمِر به،</w:t>
      </w:r>
      <w:r w:rsidR="00154102" w:rsidRPr="00C85F0F">
        <w:rPr>
          <w:rFonts w:hint="cs"/>
          <w:rtl/>
        </w:rPr>
        <w:t xml:space="preserve"> و</w:t>
      </w:r>
      <w:r w:rsidRPr="00C85F0F">
        <w:rPr>
          <w:rFonts w:hint="cs"/>
          <w:rtl/>
        </w:rPr>
        <w:t>إذا كان وسيلة لمنهيٍّ عنه نُهِي عنه</w:t>
      </w:r>
      <w:r w:rsidRPr="00C85F0F">
        <w:rPr>
          <w:rFonts w:hint="cs"/>
          <w:szCs w:val="32"/>
          <w:vertAlign w:val="superscript"/>
          <w:rtl/>
        </w:rPr>
        <w:t>(</w:t>
      </w:r>
      <w:r w:rsidRPr="00C85F0F">
        <w:rPr>
          <w:rStyle w:val="af1"/>
          <w:szCs w:val="32"/>
          <w:rtl/>
        </w:rPr>
        <w:footnoteReference w:id="553"/>
      </w:r>
      <w:r w:rsidRPr="00C85F0F">
        <w:rPr>
          <w:rFonts w:hint="cs"/>
          <w:szCs w:val="32"/>
          <w:vertAlign w:val="superscript"/>
          <w:rtl/>
        </w:rPr>
        <w:t>)</w:t>
      </w:r>
      <w:r w:rsidRPr="00C85F0F">
        <w:rPr>
          <w:rFonts w:hint="cs"/>
          <w:rtl/>
        </w:rPr>
        <w:t>.</w:t>
      </w:r>
    </w:p>
    <w:p w:rsidR="00F13303" w:rsidRPr="00C85F0F" w:rsidRDefault="00F13303" w:rsidP="000A76C7">
      <w:pPr>
        <w:pStyle w:val="afc"/>
        <w:numPr>
          <w:ilvl w:val="0"/>
          <w:numId w:val="95"/>
        </w:numPr>
        <w:jc w:val="left"/>
      </w:pPr>
      <w:r w:rsidRPr="00C85F0F">
        <w:rPr>
          <w:rFonts w:hint="cs"/>
          <w:rtl/>
        </w:rPr>
        <w:t>المباحُ إذا كان وسيلةً إلى شيء أُعطي حُكمَه</w:t>
      </w:r>
      <w:r w:rsidRPr="00C85F0F">
        <w:rPr>
          <w:rFonts w:hint="cs"/>
          <w:szCs w:val="32"/>
          <w:vertAlign w:val="superscript"/>
          <w:rtl/>
        </w:rPr>
        <w:t>(</w:t>
      </w:r>
      <w:r w:rsidRPr="00C85F0F">
        <w:rPr>
          <w:rStyle w:val="af1"/>
          <w:szCs w:val="32"/>
          <w:rtl/>
        </w:rPr>
        <w:footnoteReference w:id="554"/>
      </w:r>
      <w:r w:rsidRPr="00C85F0F">
        <w:rPr>
          <w:rFonts w:hint="cs"/>
          <w:szCs w:val="32"/>
          <w:vertAlign w:val="superscript"/>
          <w:rtl/>
        </w:rPr>
        <w:t>)</w:t>
      </w:r>
      <w:r w:rsidRPr="00C85F0F">
        <w:rPr>
          <w:rFonts w:hint="cs"/>
          <w:rtl/>
        </w:rPr>
        <w:t>.</w:t>
      </w:r>
    </w:p>
    <w:p w:rsidR="00F13303" w:rsidRPr="00C85F0F" w:rsidRDefault="00F13303" w:rsidP="000A76C7">
      <w:pPr>
        <w:pStyle w:val="afc"/>
        <w:numPr>
          <w:ilvl w:val="0"/>
          <w:numId w:val="95"/>
        </w:numPr>
        <w:jc w:val="left"/>
      </w:pPr>
      <w:r w:rsidRPr="00C85F0F">
        <w:rPr>
          <w:rFonts w:hint="cs"/>
          <w:rtl/>
        </w:rPr>
        <w:t>وسائلُ الحرامِ حرام</w:t>
      </w:r>
      <w:r w:rsidRPr="00C85F0F">
        <w:rPr>
          <w:rFonts w:hint="cs"/>
          <w:szCs w:val="32"/>
          <w:vertAlign w:val="superscript"/>
          <w:rtl/>
        </w:rPr>
        <w:t>(</w:t>
      </w:r>
      <w:r w:rsidRPr="00C85F0F">
        <w:rPr>
          <w:rStyle w:val="af1"/>
          <w:szCs w:val="32"/>
          <w:rtl/>
        </w:rPr>
        <w:footnoteReference w:id="555"/>
      </w:r>
      <w:r w:rsidRPr="00C85F0F">
        <w:rPr>
          <w:rFonts w:hint="cs"/>
          <w:szCs w:val="32"/>
          <w:vertAlign w:val="superscript"/>
          <w:rtl/>
        </w:rPr>
        <w:t>)</w:t>
      </w:r>
      <w:r w:rsidRPr="00C85F0F">
        <w:rPr>
          <w:rFonts w:hint="cs"/>
          <w:rtl/>
        </w:rPr>
        <w:t>.</w:t>
      </w:r>
    </w:p>
    <w:p w:rsidR="00855BA2" w:rsidRDefault="00F13303" w:rsidP="000A76C7">
      <w:pPr>
        <w:pStyle w:val="afc"/>
        <w:numPr>
          <w:ilvl w:val="0"/>
          <w:numId w:val="95"/>
        </w:numPr>
        <w:jc w:val="left"/>
        <w:rPr>
          <w:rtl/>
        </w:rPr>
      </w:pPr>
      <w:r w:rsidRPr="00C85F0F">
        <w:rPr>
          <w:rFonts w:hint="cs"/>
          <w:rtl/>
        </w:rPr>
        <w:lastRenderedPageBreak/>
        <w:t>ما لا يتم الواجب إلا به فهو واجب</w:t>
      </w:r>
      <w:r w:rsidRPr="00C85F0F">
        <w:rPr>
          <w:rStyle w:val="af1"/>
          <w:szCs w:val="32"/>
          <w:rtl/>
        </w:rPr>
        <w:t>(</w:t>
      </w:r>
      <w:r w:rsidRPr="00C85F0F">
        <w:rPr>
          <w:rStyle w:val="af1"/>
          <w:szCs w:val="32"/>
          <w:rtl/>
        </w:rPr>
        <w:footnoteReference w:id="556"/>
      </w:r>
      <w:r w:rsidRPr="00C85F0F">
        <w:rPr>
          <w:rStyle w:val="af1"/>
          <w:szCs w:val="32"/>
          <w:rtl/>
        </w:rPr>
        <w:t>)</w:t>
      </w:r>
      <w:r w:rsidRPr="00C85F0F">
        <w:rPr>
          <w:rFonts w:hint="cs"/>
          <w:rtl/>
        </w:rPr>
        <w:t>.</w:t>
      </w:r>
    </w:p>
    <w:p w:rsidR="00F13303" w:rsidRPr="00C85F0F" w:rsidRDefault="00065E4B" w:rsidP="00597C20">
      <w:pPr>
        <w:rPr>
          <w:rtl/>
        </w:rPr>
      </w:pPr>
      <w:r w:rsidRPr="00C85F0F">
        <w:rPr>
          <w:rFonts w:hint="cs"/>
          <w:rtl/>
        </w:rPr>
        <w:t>و</w:t>
      </w:r>
      <w:r w:rsidR="00F13303" w:rsidRPr="00C85F0F">
        <w:rPr>
          <w:rFonts w:hint="cs"/>
          <w:rtl/>
        </w:rPr>
        <w:t>من الصيغ التي وَردتْ بها القاعدة عند علماء القواعد</w:t>
      </w:r>
      <w:r w:rsidR="00F13303" w:rsidRPr="00C85F0F">
        <w:rPr>
          <w:rFonts w:hint="cs"/>
          <w:szCs w:val="32"/>
          <w:vertAlign w:val="superscript"/>
          <w:rtl/>
        </w:rPr>
        <w:t>(</w:t>
      </w:r>
      <w:r w:rsidR="00F13303" w:rsidRPr="00C85F0F">
        <w:rPr>
          <w:rStyle w:val="af1"/>
          <w:szCs w:val="32"/>
          <w:rtl/>
        </w:rPr>
        <w:footnoteReference w:id="557"/>
      </w:r>
      <w:r w:rsidR="00F13303" w:rsidRPr="00C85F0F">
        <w:rPr>
          <w:rFonts w:hint="cs"/>
          <w:szCs w:val="32"/>
          <w:vertAlign w:val="superscript"/>
          <w:rtl/>
        </w:rPr>
        <w:t>)</w:t>
      </w:r>
      <w:r w:rsidR="00F13303" w:rsidRPr="00C85F0F">
        <w:rPr>
          <w:rFonts w:hint="cs"/>
          <w:rtl/>
        </w:rPr>
        <w:t>:</w:t>
      </w:r>
    </w:p>
    <w:p w:rsidR="00F13303" w:rsidRPr="00C85F0F" w:rsidRDefault="00F13303" w:rsidP="000A76C7">
      <w:pPr>
        <w:pStyle w:val="afc"/>
        <w:numPr>
          <w:ilvl w:val="0"/>
          <w:numId w:val="96"/>
        </w:numPr>
        <w:rPr>
          <w:rFonts w:ascii="Traditional Arabic" w:hAnsi="Traditional Arabic"/>
          <w:noProof w:val="0"/>
          <w:color w:val="auto"/>
          <w:lang w:eastAsia="en-US"/>
        </w:rPr>
      </w:pPr>
      <w:r w:rsidRPr="00C85F0F">
        <w:rPr>
          <w:rFonts w:ascii="Traditional Arabic" w:hAnsi="Traditional Arabic" w:hint="cs"/>
          <w:noProof w:val="0"/>
          <w:color w:val="auto"/>
          <w:rtl/>
          <w:lang w:eastAsia="en-US"/>
        </w:rPr>
        <w:t>لِلْوَسائل أحكامُ المقاصد</w:t>
      </w:r>
      <w:r w:rsidRPr="00C85F0F">
        <w:rPr>
          <w:rFonts w:ascii="Traditional Arabic" w:hAnsi="Traditional Arabic" w:hint="cs"/>
          <w:noProof w:val="0"/>
          <w:color w:val="auto"/>
          <w:szCs w:val="32"/>
          <w:vertAlign w:val="superscript"/>
          <w:rtl/>
          <w:lang w:eastAsia="en-US"/>
        </w:rPr>
        <w:t>(</w:t>
      </w:r>
      <w:r w:rsidRPr="00C85F0F">
        <w:rPr>
          <w:rStyle w:val="af1"/>
          <w:rFonts w:ascii="Traditional Arabic" w:hAnsi="Traditional Arabic"/>
          <w:noProof w:val="0"/>
          <w:color w:val="auto"/>
          <w:szCs w:val="32"/>
          <w:rtl/>
          <w:lang w:eastAsia="en-US"/>
        </w:rPr>
        <w:footnoteReference w:id="558"/>
      </w:r>
      <w:r w:rsidRPr="00C85F0F">
        <w:rPr>
          <w:rFonts w:ascii="Traditional Arabic" w:hAnsi="Traditional Arabic" w:hint="cs"/>
          <w:noProof w:val="0"/>
          <w:color w:val="auto"/>
          <w:szCs w:val="32"/>
          <w:vertAlign w:val="superscript"/>
          <w:rtl/>
          <w:lang w:eastAsia="en-US"/>
        </w:rPr>
        <w:t>)</w:t>
      </w:r>
      <w:r w:rsidRPr="00C85F0F">
        <w:rPr>
          <w:rFonts w:ascii="Traditional Arabic" w:hAnsi="Traditional Arabic" w:hint="cs"/>
          <w:noProof w:val="0"/>
          <w:color w:val="auto"/>
          <w:rtl/>
          <w:lang w:eastAsia="en-US"/>
        </w:rPr>
        <w:t>.</w:t>
      </w:r>
    </w:p>
    <w:p w:rsidR="00F13303" w:rsidRPr="00C85F0F" w:rsidRDefault="00F13303" w:rsidP="000A76C7">
      <w:pPr>
        <w:pStyle w:val="afc"/>
        <w:numPr>
          <w:ilvl w:val="0"/>
          <w:numId w:val="96"/>
        </w:numPr>
        <w:rPr>
          <w:rFonts w:ascii="Traditional Arabic" w:hAnsi="Traditional Arabic"/>
          <w:noProof w:val="0"/>
          <w:color w:val="auto"/>
          <w:lang w:eastAsia="en-US"/>
        </w:rPr>
      </w:pPr>
      <w:r w:rsidRPr="00C85F0F">
        <w:rPr>
          <w:rFonts w:ascii="Traditional Arabic" w:hAnsi="Traditional Arabic" w:hint="cs"/>
          <w:noProof w:val="0"/>
          <w:color w:val="auto"/>
          <w:rtl/>
          <w:lang w:eastAsia="en-US"/>
        </w:rPr>
        <w:t>الوسائل لها أحكام المقاصد</w:t>
      </w:r>
      <w:r w:rsidRPr="00C85F0F">
        <w:rPr>
          <w:rFonts w:ascii="Traditional Arabic" w:hAnsi="Traditional Arabic" w:hint="cs"/>
          <w:noProof w:val="0"/>
          <w:color w:val="auto"/>
          <w:szCs w:val="32"/>
          <w:vertAlign w:val="superscript"/>
          <w:rtl/>
          <w:lang w:eastAsia="en-US"/>
        </w:rPr>
        <w:t>(</w:t>
      </w:r>
      <w:r w:rsidRPr="00C85F0F">
        <w:rPr>
          <w:rStyle w:val="af1"/>
          <w:rFonts w:ascii="Traditional Arabic" w:hAnsi="Traditional Arabic"/>
          <w:noProof w:val="0"/>
          <w:color w:val="auto"/>
          <w:szCs w:val="32"/>
          <w:rtl/>
          <w:lang w:eastAsia="en-US"/>
        </w:rPr>
        <w:footnoteReference w:id="559"/>
      </w:r>
      <w:r w:rsidRPr="00C85F0F">
        <w:rPr>
          <w:rFonts w:ascii="Traditional Arabic" w:hAnsi="Traditional Arabic" w:hint="cs"/>
          <w:noProof w:val="0"/>
          <w:color w:val="auto"/>
          <w:szCs w:val="32"/>
          <w:vertAlign w:val="superscript"/>
          <w:rtl/>
          <w:lang w:eastAsia="en-US"/>
        </w:rPr>
        <w:t>)</w:t>
      </w:r>
      <w:r w:rsidRPr="00C85F0F">
        <w:rPr>
          <w:rFonts w:ascii="Traditional Arabic" w:hAnsi="Traditional Arabic" w:hint="cs"/>
          <w:noProof w:val="0"/>
          <w:color w:val="auto"/>
          <w:rtl/>
          <w:lang w:eastAsia="en-US"/>
        </w:rPr>
        <w:t>.</w:t>
      </w:r>
    </w:p>
    <w:p w:rsidR="00F13303" w:rsidRPr="00C85F0F" w:rsidRDefault="00F13303" w:rsidP="000A76C7">
      <w:pPr>
        <w:pStyle w:val="afc"/>
        <w:numPr>
          <w:ilvl w:val="0"/>
          <w:numId w:val="96"/>
        </w:numPr>
        <w:rPr>
          <w:rFonts w:ascii="Traditional Arabic" w:hAnsi="Traditional Arabic"/>
          <w:noProof w:val="0"/>
          <w:color w:val="auto"/>
          <w:lang w:eastAsia="en-US"/>
        </w:rPr>
      </w:pPr>
      <w:r w:rsidRPr="00C85F0F">
        <w:rPr>
          <w:rFonts w:ascii="Traditional Arabic" w:hAnsi="Traditional Arabic"/>
          <w:noProof w:val="0"/>
          <w:color w:val="auto"/>
          <w:rtl/>
          <w:lang w:eastAsia="en-US"/>
        </w:rPr>
        <w:t>وُجوب ا</w:t>
      </w:r>
      <w:r w:rsidRPr="00C85F0F">
        <w:rPr>
          <w:rFonts w:ascii="Traditional Arabic" w:hAnsi="Traditional Arabic" w:hint="cs"/>
          <w:noProof w:val="0"/>
          <w:color w:val="auto"/>
          <w:rtl/>
          <w:lang w:eastAsia="en-US"/>
        </w:rPr>
        <w:t>ل</w:t>
      </w:r>
      <w:r w:rsidRPr="00C85F0F">
        <w:rPr>
          <w:rFonts w:ascii="Traditional Arabic" w:hAnsi="Traditional Arabic"/>
          <w:noProof w:val="0"/>
          <w:color w:val="auto"/>
          <w:rtl/>
          <w:lang w:eastAsia="en-US"/>
        </w:rPr>
        <w:t>وسائل تَبَعٌ لِوجوب المَقاصد</w:t>
      </w:r>
      <w:r w:rsidRPr="00C85F0F">
        <w:rPr>
          <w:rFonts w:ascii="Traditional Arabic" w:hAnsi="Traditional Arabic" w:hint="cs"/>
          <w:noProof w:val="0"/>
          <w:color w:val="auto"/>
          <w:szCs w:val="32"/>
          <w:vertAlign w:val="superscript"/>
          <w:rtl/>
          <w:lang w:eastAsia="en-US"/>
        </w:rPr>
        <w:t>(</w:t>
      </w:r>
      <w:r w:rsidRPr="00C85F0F">
        <w:rPr>
          <w:rStyle w:val="af1"/>
          <w:rFonts w:ascii="Traditional Arabic" w:hAnsi="Traditional Arabic"/>
          <w:noProof w:val="0"/>
          <w:color w:val="auto"/>
          <w:szCs w:val="32"/>
          <w:rtl/>
          <w:lang w:eastAsia="en-US"/>
        </w:rPr>
        <w:footnoteReference w:id="560"/>
      </w:r>
      <w:r w:rsidRPr="00C85F0F">
        <w:rPr>
          <w:rFonts w:ascii="Traditional Arabic" w:hAnsi="Traditional Arabic" w:hint="cs"/>
          <w:noProof w:val="0"/>
          <w:color w:val="auto"/>
          <w:szCs w:val="32"/>
          <w:vertAlign w:val="superscript"/>
          <w:rtl/>
          <w:lang w:eastAsia="en-US"/>
        </w:rPr>
        <w:t>)</w:t>
      </w:r>
      <w:r w:rsidRPr="00C85F0F">
        <w:rPr>
          <w:rFonts w:ascii="Traditional Arabic" w:hAnsi="Traditional Arabic" w:hint="cs"/>
          <w:noProof w:val="0"/>
          <w:color w:val="auto"/>
          <w:rtl/>
          <w:lang w:eastAsia="en-US"/>
        </w:rPr>
        <w:t>.</w:t>
      </w:r>
    </w:p>
    <w:p w:rsidR="00D372CE" w:rsidRPr="001A5343" w:rsidRDefault="00F13303" w:rsidP="001A5343">
      <w:pPr>
        <w:pStyle w:val="afc"/>
        <w:numPr>
          <w:ilvl w:val="0"/>
          <w:numId w:val="96"/>
        </w:numPr>
        <w:rPr>
          <w:rFonts w:ascii="Traditional Arabic" w:hAnsi="Traditional Arabic"/>
          <w:noProof w:val="0"/>
          <w:color w:val="auto"/>
          <w:lang w:eastAsia="en-US"/>
        </w:rPr>
      </w:pPr>
      <w:r w:rsidRPr="00C85F0F">
        <w:rPr>
          <w:rFonts w:ascii="Traditional Arabic" w:hAnsi="Traditional Arabic" w:hint="cs"/>
          <w:noProof w:val="0"/>
          <w:color w:val="auto"/>
          <w:rtl/>
          <w:lang w:eastAsia="en-US"/>
        </w:rPr>
        <w:t>الوسائلُ تَتبعُ المقاصدَ في أحكامها</w:t>
      </w:r>
      <w:r w:rsidR="001A5343">
        <w:rPr>
          <w:rFonts w:ascii="Traditional Arabic" w:hAnsi="Traditional Arabic" w:hint="cs"/>
          <w:noProof w:val="0"/>
          <w:color w:val="auto"/>
          <w:rtl/>
          <w:lang w:eastAsia="en-US"/>
        </w:rPr>
        <w:t xml:space="preserve"> </w:t>
      </w:r>
      <w:r w:rsidRPr="00C85F0F">
        <w:rPr>
          <w:rFonts w:ascii="Traditional Arabic" w:hAnsi="Traditional Arabic" w:hint="cs"/>
          <w:noProof w:val="0"/>
          <w:color w:val="auto"/>
          <w:szCs w:val="32"/>
          <w:vertAlign w:val="superscript"/>
          <w:rtl/>
          <w:lang w:eastAsia="en-US"/>
        </w:rPr>
        <w:t>(</w:t>
      </w:r>
      <w:r w:rsidRPr="00C85F0F">
        <w:rPr>
          <w:rStyle w:val="af1"/>
          <w:rFonts w:ascii="Traditional Arabic" w:hAnsi="Traditional Arabic"/>
          <w:noProof w:val="0"/>
          <w:color w:val="auto"/>
          <w:szCs w:val="32"/>
          <w:rtl/>
          <w:lang w:eastAsia="en-US"/>
        </w:rPr>
        <w:footnoteReference w:id="561"/>
      </w:r>
      <w:r w:rsidRPr="00C85F0F">
        <w:rPr>
          <w:rFonts w:ascii="Traditional Arabic" w:hAnsi="Traditional Arabic" w:hint="cs"/>
          <w:noProof w:val="0"/>
          <w:color w:val="auto"/>
          <w:szCs w:val="32"/>
          <w:vertAlign w:val="superscript"/>
          <w:rtl/>
          <w:lang w:eastAsia="en-US"/>
        </w:rPr>
        <w:t>)</w:t>
      </w:r>
      <w:r w:rsidRPr="00C85F0F">
        <w:rPr>
          <w:rFonts w:ascii="Traditional Arabic" w:hAnsi="Traditional Arabic" w:hint="cs"/>
          <w:noProof w:val="0"/>
          <w:color w:val="auto"/>
          <w:rtl/>
          <w:lang w:eastAsia="en-US"/>
        </w:rPr>
        <w:t>.</w:t>
      </w:r>
    </w:p>
    <w:p w:rsidR="00F13303" w:rsidRPr="00C85F0F" w:rsidRDefault="00F13303" w:rsidP="000A76C7">
      <w:pPr>
        <w:pStyle w:val="afc"/>
        <w:numPr>
          <w:ilvl w:val="0"/>
          <w:numId w:val="96"/>
        </w:numPr>
        <w:rPr>
          <w:rFonts w:ascii="Traditional Arabic" w:hAnsi="Traditional Arabic"/>
          <w:noProof w:val="0"/>
          <w:color w:val="auto"/>
          <w:lang w:eastAsia="en-US"/>
        </w:rPr>
      </w:pPr>
      <w:r w:rsidRPr="00C85F0F">
        <w:rPr>
          <w:rFonts w:ascii="Traditional Arabic" w:hAnsi="Traditional Arabic"/>
          <w:noProof w:val="0"/>
          <w:color w:val="auto"/>
          <w:rtl/>
          <w:lang w:eastAsia="en-US"/>
        </w:rPr>
        <w:t>ا</w:t>
      </w:r>
      <w:r w:rsidRPr="00C85F0F">
        <w:rPr>
          <w:rFonts w:ascii="Traditional Arabic" w:hAnsi="Traditional Arabic" w:hint="cs"/>
          <w:noProof w:val="0"/>
          <w:color w:val="auto"/>
          <w:rtl/>
          <w:lang w:eastAsia="en-US"/>
        </w:rPr>
        <w:t>ل</w:t>
      </w:r>
      <w:r w:rsidRPr="00C85F0F">
        <w:rPr>
          <w:rFonts w:ascii="Traditional Arabic" w:hAnsi="Traditional Arabic"/>
          <w:noProof w:val="0"/>
          <w:color w:val="auto"/>
          <w:rtl/>
          <w:lang w:eastAsia="en-US"/>
        </w:rPr>
        <w:t>وسائل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عطى حُكْم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الم</w:t>
      </w:r>
      <w:r w:rsidRPr="00C85F0F">
        <w:rPr>
          <w:rFonts w:ascii="Traditional Arabic" w:hAnsi="Traditional Arabic" w:hint="cs"/>
          <w:noProof w:val="0"/>
          <w:color w:val="auto"/>
          <w:rtl/>
          <w:lang w:eastAsia="en-US"/>
        </w:rPr>
        <w:t>ق</w:t>
      </w:r>
      <w:r w:rsidRPr="00C85F0F">
        <w:rPr>
          <w:rFonts w:ascii="Traditional Arabic" w:hAnsi="Traditional Arabic"/>
          <w:noProof w:val="0"/>
          <w:color w:val="auto"/>
          <w:rtl/>
          <w:lang w:eastAsia="en-US"/>
        </w:rPr>
        <w:t>اصد</w:t>
      </w:r>
      <w:r w:rsidRPr="00C85F0F">
        <w:rPr>
          <w:rFonts w:ascii="Traditional Arabic" w:hAnsi="Traditional Arabic" w:hint="cs"/>
          <w:noProof w:val="0"/>
          <w:color w:val="auto"/>
          <w:szCs w:val="32"/>
          <w:vertAlign w:val="superscript"/>
          <w:rtl/>
          <w:lang w:eastAsia="en-US"/>
        </w:rPr>
        <w:t>(</w:t>
      </w:r>
      <w:r w:rsidRPr="00C85F0F">
        <w:rPr>
          <w:rStyle w:val="af1"/>
          <w:rFonts w:ascii="Traditional Arabic" w:hAnsi="Traditional Arabic"/>
          <w:noProof w:val="0"/>
          <w:color w:val="auto"/>
          <w:szCs w:val="32"/>
          <w:rtl/>
          <w:lang w:eastAsia="en-US"/>
        </w:rPr>
        <w:footnoteReference w:id="562"/>
      </w:r>
      <w:r w:rsidRPr="00C85F0F">
        <w:rPr>
          <w:rFonts w:ascii="Traditional Arabic" w:hAnsi="Traditional Arabic" w:hint="cs"/>
          <w:noProof w:val="0"/>
          <w:color w:val="auto"/>
          <w:szCs w:val="32"/>
          <w:vertAlign w:val="superscript"/>
          <w:rtl/>
          <w:lang w:eastAsia="en-US"/>
        </w:rPr>
        <w:t>)</w:t>
      </w:r>
      <w:r w:rsidRPr="00C85F0F">
        <w:rPr>
          <w:rFonts w:ascii="Traditional Arabic" w:hAnsi="Traditional Arabic" w:hint="cs"/>
          <w:noProof w:val="0"/>
          <w:color w:val="auto"/>
          <w:rtl/>
          <w:lang w:eastAsia="en-US"/>
        </w:rPr>
        <w:t>.</w:t>
      </w:r>
    </w:p>
    <w:p w:rsidR="00001176" w:rsidRPr="00001176" w:rsidRDefault="00001176" w:rsidP="00001176">
      <w:pPr>
        <w:pStyle w:val="afc"/>
        <w:ind w:left="1894" w:firstLine="0"/>
        <w:rPr>
          <w:color w:val="auto"/>
        </w:rPr>
      </w:pPr>
    </w:p>
    <w:p w:rsidR="00F13303" w:rsidRPr="00C85F0F" w:rsidRDefault="00F13303" w:rsidP="000A76C7">
      <w:pPr>
        <w:pStyle w:val="afc"/>
        <w:numPr>
          <w:ilvl w:val="0"/>
          <w:numId w:val="96"/>
        </w:numPr>
        <w:rPr>
          <w:color w:val="auto"/>
        </w:rPr>
      </w:pPr>
      <w:r w:rsidRPr="00C85F0F">
        <w:rPr>
          <w:rFonts w:ascii="Traditional Arabic" w:hAnsi="Traditional Arabic" w:hint="cs"/>
          <w:noProof w:val="0"/>
          <w:color w:val="auto"/>
          <w:rtl/>
          <w:lang w:eastAsia="en-US"/>
        </w:rPr>
        <w:lastRenderedPageBreak/>
        <w:t>وسيلةُ المقصود تابعةٌ للمقصود</w:t>
      </w:r>
      <w:r w:rsidRPr="00C85F0F">
        <w:rPr>
          <w:rFonts w:ascii="Traditional Arabic" w:hAnsi="Traditional Arabic" w:hint="cs"/>
          <w:noProof w:val="0"/>
          <w:color w:val="auto"/>
          <w:szCs w:val="32"/>
          <w:vertAlign w:val="superscript"/>
          <w:rtl/>
          <w:lang w:eastAsia="en-US"/>
        </w:rPr>
        <w:t>(</w:t>
      </w:r>
      <w:r w:rsidRPr="00C85F0F">
        <w:rPr>
          <w:rStyle w:val="af1"/>
          <w:rFonts w:ascii="Traditional Arabic" w:hAnsi="Traditional Arabic"/>
          <w:noProof w:val="0"/>
          <w:color w:val="auto"/>
          <w:szCs w:val="32"/>
          <w:rtl/>
          <w:lang w:eastAsia="en-US"/>
        </w:rPr>
        <w:footnoteReference w:id="563"/>
      </w:r>
      <w:r w:rsidRPr="00C85F0F">
        <w:rPr>
          <w:rFonts w:hint="cs"/>
          <w:color w:val="auto"/>
          <w:szCs w:val="32"/>
          <w:vertAlign w:val="superscript"/>
          <w:rtl/>
        </w:rPr>
        <w:t>)</w:t>
      </w:r>
      <w:r w:rsidRPr="00C85F0F">
        <w:rPr>
          <w:rFonts w:hint="cs"/>
          <w:color w:val="auto"/>
          <w:rtl/>
        </w:rPr>
        <w:t>.</w:t>
      </w:r>
    </w:p>
    <w:p w:rsidR="00F13303" w:rsidRPr="00C85F0F" w:rsidRDefault="00F13303" w:rsidP="000A76C7">
      <w:pPr>
        <w:pStyle w:val="afc"/>
        <w:numPr>
          <w:ilvl w:val="0"/>
          <w:numId w:val="96"/>
        </w:numPr>
        <w:rPr>
          <w:color w:val="auto"/>
        </w:rPr>
      </w:pPr>
      <w:r w:rsidRPr="00C85F0F">
        <w:rPr>
          <w:rFonts w:hint="cs"/>
          <w:color w:val="auto"/>
          <w:rtl/>
        </w:rPr>
        <w:t>الوسيلة إلى الحرام حرام</w:t>
      </w:r>
      <w:r w:rsidRPr="00C85F0F">
        <w:rPr>
          <w:rFonts w:hint="cs"/>
          <w:color w:val="auto"/>
          <w:szCs w:val="32"/>
          <w:vertAlign w:val="superscript"/>
          <w:rtl/>
        </w:rPr>
        <w:t>(</w:t>
      </w:r>
      <w:r w:rsidRPr="00C85F0F">
        <w:rPr>
          <w:rStyle w:val="af1"/>
          <w:color w:val="auto"/>
          <w:szCs w:val="32"/>
          <w:rtl/>
        </w:rPr>
        <w:footnoteReference w:id="564"/>
      </w:r>
      <w:r w:rsidRPr="00C85F0F">
        <w:rPr>
          <w:rFonts w:hint="cs"/>
          <w:color w:val="auto"/>
          <w:szCs w:val="32"/>
          <w:vertAlign w:val="superscript"/>
          <w:rtl/>
        </w:rPr>
        <w:t>)</w:t>
      </w:r>
      <w:r w:rsidRPr="00C85F0F">
        <w:rPr>
          <w:rFonts w:hint="cs"/>
          <w:color w:val="auto"/>
          <w:rtl/>
        </w:rPr>
        <w:t>.</w:t>
      </w:r>
    </w:p>
    <w:p w:rsidR="00F13303" w:rsidRPr="00C85F0F" w:rsidRDefault="00F13303" w:rsidP="000A76C7">
      <w:pPr>
        <w:pStyle w:val="afc"/>
        <w:numPr>
          <w:ilvl w:val="0"/>
          <w:numId w:val="96"/>
        </w:numPr>
        <w:rPr>
          <w:color w:val="auto"/>
          <w:rtl/>
        </w:rPr>
      </w:pPr>
      <w:r w:rsidRPr="00C85F0F">
        <w:rPr>
          <w:rFonts w:hint="cs"/>
          <w:color w:val="auto"/>
          <w:rtl/>
        </w:rPr>
        <w:t>أحكام الوسائل كأحكام المقاصد</w:t>
      </w:r>
      <w:r w:rsidRPr="00C85F0F">
        <w:rPr>
          <w:rFonts w:hint="cs"/>
          <w:color w:val="auto"/>
          <w:szCs w:val="32"/>
          <w:vertAlign w:val="superscript"/>
          <w:rtl/>
        </w:rPr>
        <w:t>(</w:t>
      </w:r>
      <w:r w:rsidRPr="00C85F0F">
        <w:rPr>
          <w:rStyle w:val="af1"/>
          <w:color w:val="auto"/>
          <w:szCs w:val="32"/>
          <w:rtl/>
        </w:rPr>
        <w:footnoteReference w:id="565"/>
      </w:r>
      <w:r w:rsidRPr="00C85F0F">
        <w:rPr>
          <w:rFonts w:hint="cs"/>
          <w:color w:val="auto"/>
          <w:szCs w:val="32"/>
          <w:vertAlign w:val="superscript"/>
          <w:rtl/>
        </w:rPr>
        <w:t>)</w:t>
      </w:r>
      <w:r w:rsidRPr="00C85F0F">
        <w:rPr>
          <w:rFonts w:hint="cs"/>
          <w:color w:val="auto"/>
          <w:rtl/>
        </w:rPr>
        <w:t>.</w:t>
      </w:r>
    </w:p>
    <w:p w:rsidR="00F13303" w:rsidRPr="00C85F0F" w:rsidRDefault="00D54649" w:rsidP="00A8347C">
      <w:pPr>
        <w:pStyle w:val="aff3"/>
        <w:rPr>
          <w:rtl/>
        </w:rPr>
      </w:pPr>
      <w:bookmarkStart w:id="114" w:name="_Toc334046369"/>
      <w:r>
        <w:rPr>
          <w:rFonts w:hint="cs"/>
          <w:rtl/>
        </w:rPr>
        <w:t xml:space="preserve">                </w:t>
      </w:r>
      <w:r w:rsidR="004173D5">
        <w:rPr>
          <w:rFonts w:hint="cs"/>
          <w:rtl/>
        </w:rPr>
        <w:t xml:space="preserve">                       </w:t>
      </w:r>
      <w:r w:rsidR="00F13303" w:rsidRPr="00C85F0F">
        <w:rPr>
          <w:rFonts w:hint="cs"/>
          <w:rtl/>
        </w:rPr>
        <w:t>المطلب الثاني</w:t>
      </w:r>
      <w:r w:rsidR="0053096F" w:rsidRPr="00C85F0F">
        <w:rPr>
          <w:rFonts w:hint="eastAsia"/>
          <w:rtl/>
        </w:rPr>
        <w:t> :</w:t>
      </w:r>
      <w:r w:rsidR="0053096F" w:rsidRPr="00C85F0F">
        <w:rPr>
          <w:rFonts w:hint="cs"/>
          <w:rtl/>
        </w:rPr>
        <w:br/>
      </w:r>
      <w:r>
        <w:rPr>
          <w:rFonts w:hint="cs"/>
          <w:rtl/>
        </w:rPr>
        <w:t xml:space="preserve">               </w:t>
      </w:r>
      <w:r w:rsidR="004173D5">
        <w:rPr>
          <w:rFonts w:hint="cs"/>
          <w:rtl/>
        </w:rPr>
        <w:t xml:space="preserve">                         </w:t>
      </w:r>
      <w:r w:rsidR="00F13303" w:rsidRPr="00C85F0F">
        <w:rPr>
          <w:rFonts w:hint="cs"/>
          <w:rtl/>
        </w:rPr>
        <w:t>شرح القاعدة</w:t>
      </w:r>
      <w:bookmarkEnd w:id="114"/>
    </w:p>
    <w:p w:rsidR="00683508" w:rsidRDefault="00F13303" w:rsidP="000F5C0F">
      <w:pPr>
        <w:pStyle w:val="53"/>
        <w:rPr>
          <w:b w:val="0"/>
          <w:rtl/>
        </w:rPr>
      </w:pPr>
      <w:r w:rsidRPr="000F5C0F">
        <w:rPr>
          <w:rFonts w:hint="cs"/>
          <w:rtl/>
        </w:rPr>
        <w:t>الوسائل</w:t>
      </w:r>
      <w:r w:rsidR="00AB0B9E" w:rsidRPr="000F5C0F">
        <w:fldChar w:fldCharType="begin"/>
      </w:r>
      <w:r w:rsidR="002F2D6E" w:rsidRPr="000F5C0F">
        <w:instrText>XE</w:instrText>
      </w:r>
      <w:r w:rsidR="002F2D6E" w:rsidRPr="000F5C0F">
        <w:rPr>
          <w:rtl/>
        </w:rPr>
        <w:instrText xml:space="preserve"> "</w:instrText>
      </w:r>
      <w:r w:rsidR="002F2D6E" w:rsidRPr="000F5C0F">
        <w:rPr>
          <w:rFonts w:hint="cs"/>
          <w:rtl/>
        </w:rPr>
        <w:instrText>الوسائل</w:instrText>
      </w:r>
      <w:r w:rsidR="002F2D6E" w:rsidRPr="000F5C0F">
        <w:rPr>
          <w:rtl/>
        </w:rPr>
        <w:instrText>" \</w:instrText>
      </w:r>
      <w:r w:rsidR="002F2D6E" w:rsidRPr="000F5C0F">
        <w:instrText>fm</w:instrText>
      </w:r>
      <w:r w:rsidR="00AB0B9E" w:rsidRPr="000F5C0F">
        <w:fldChar w:fldCharType="end"/>
      </w:r>
      <w:r>
        <w:rPr>
          <w:rFonts w:hint="cs"/>
          <w:b w:val="0"/>
          <w:rtl/>
        </w:rPr>
        <w:t xml:space="preserve"> لغة:</w:t>
      </w:r>
    </w:p>
    <w:p w:rsidR="00F13303" w:rsidRPr="00683508" w:rsidRDefault="00F13303" w:rsidP="00597C20">
      <w:pPr>
        <w:ind w:firstLine="720"/>
        <w:rPr>
          <w:color w:val="auto"/>
          <w:rtl/>
        </w:rPr>
      </w:pPr>
      <w:r w:rsidRPr="00683508">
        <w:rPr>
          <w:rFonts w:hint="cs"/>
          <w:color w:val="auto"/>
          <w:rtl/>
        </w:rPr>
        <w:t>الوسائل جمع وَسيلة،</w:t>
      </w:r>
      <w:r w:rsidR="00154102" w:rsidRPr="00683508">
        <w:rPr>
          <w:rFonts w:hint="cs"/>
          <w:color w:val="auto"/>
          <w:rtl/>
        </w:rPr>
        <w:t xml:space="preserve"> و</w:t>
      </w:r>
      <w:r w:rsidRPr="00683508">
        <w:rPr>
          <w:rFonts w:hint="cs"/>
          <w:color w:val="auto"/>
          <w:rtl/>
        </w:rPr>
        <w:t>هي ما يُتَقَرَّبُ به إلى الغير.</w:t>
      </w:r>
      <w:r w:rsidR="001C664E">
        <w:rPr>
          <w:rFonts w:hint="cs"/>
          <w:color w:val="auto"/>
          <w:rtl/>
        </w:rPr>
        <w:t xml:space="preserve"> </w:t>
      </w:r>
      <w:r w:rsidRPr="00683508">
        <w:rPr>
          <w:rFonts w:hint="cs"/>
          <w:color w:val="auto"/>
          <w:rtl/>
        </w:rPr>
        <w:t>يقال: وَسّل فلان إلى رَبِّه وسيلةً،و تَوَسَّل إليه بوسيلةٍ،</w:t>
      </w:r>
      <w:r w:rsidR="00D54649">
        <w:rPr>
          <w:rFonts w:hint="cs"/>
          <w:color w:val="auto"/>
          <w:rtl/>
        </w:rPr>
        <w:t xml:space="preserve"> </w:t>
      </w:r>
      <w:r w:rsidRPr="00683508">
        <w:rPr>
          <w:rFonts w:hint="cs"/>
          <w:color w:val="auto"/>
          <w:rtl/>
        </w:rPr>
        <w:t>أي:</w:t>
      </w:r>
      <w:r w:rsidR="001C664E">
        <w:rPr>
          <w:rFonts w:hint="cs"/>
          <w:color w:val="auto"/>
          <w:rtl/>
        </w:rPr>
        <w:t xml:space="preserve"> </w:t>
      </w:r>
      <w:r w:rsidRPr="00683508">
        <w:rPr>
          <w:rFonts w:hint="cs"/>
          <w:color w:val="auto"/>
          <w:rtl/>
        </w:rPr>
        <w:t>تقرَّب إليه بعمل،</w:t>
      </w:r>
      <w:r w:rsidR="00154102" w:rsidRPr="00683508">
        <w:rPr>
          <w:rFonts w:hint="cs"/>
          <w:color w:val="auto"/>
          <w:rtl/>
        </w:rPr>
        <w:t xml:space="preserve"> و</w:t>
      </w:r>
      <w:r w:rsidRPr="00683508">
        <w:rPr>
          <w:rFonts w:hint="cs"/>
          <w:color w:val="auto"/>
          <w:rtl/>
        </w:rPr>
        <w:t>توسَّل فلان إلى فلان بوسيلة،</w:t>
      </w:r>
      <w:r w:rsidR="00D54649">
        <w:rPr>
          <w:rFonts w:hint="cs"/>
          <w:color w:val="auto"/>
          <w:rtl/>
        </w:rPr>
        <w:t xml:space="preserve"> </w:t>
      </w:r>
      <w:r w:rsidRPr="00683508">
        <w:rPr>
          <w:rFonts w:hint="cs"/>
          <w:color w:val="auto"/>
          <w:rtl/>
        </w:rPr>
        <w:t>أي: تَسَبَّبَ إليه بِسَبَب</w:t>
      </w:r>
      <w:r w:rsidRPr="00C821A1">
        <w:rPr>
          <w:rFonts w:hint="cs"/>
          <w:color w:val="auto"/>
          <w:szCs w:val="32"/>
          <w:vertAlign w:val="superscript"/>
          <w:rtl/>
        </w:rPr>
        <w:t>(</w:t>
      </w:r>
      <w:r w:rsidRPr="00C821A1">
        <w:rPr>
          <w:rStyle w:val="af1"/>
          <w:color w:val="auto"/>
          <w:szCs w:val="32"/>
          <w:rtl/>
        </w:rPr>
        <w:footnoteReference w:id="566"/>
      </w:r>
      <w:r w:rsidRPr="00C821A1">
        <w:rPr>
          <w:rFonts w:hint="cs"/>
          <w:color w:val="auto"/>
          <w:szCs w:val="32"/>
          <w:vertAlign w:val="superscript"/>
          <w:rtl/>
        </w:rPr>
        <w:t>)</w:t>
      </w:r>
      <w:r w:rsidRPr="00683508">
        <w:rPr>
          <w:rFonts w:hint="cs"/>
          <w:color w:val="auto"/>
          <w:rtl/>
        </w:rPr>
        <w:t>.</w:t>
      </w:r>
    </w:p>
    <w:p w:rsidR="00683508" w:rsidRDefault="00F13303" w:rsidP="00597C20">
      <w:pPr>
        <w:pStyle w:val="53"/>
        <w:rPr>
          <w:rtl/>
        </w:rPr>
      </w:pPr>
      <w:r>
        <w:rPr>
          <w:rFonts w:hint="cs"/>
          <w:rtl/>
        </w:rPr>
        <w:t>الوسائل اصطلاحا:</w:t>
      </w:r>
    </w:p>
    <w:p w:rsidR="00065E4B" w:rsidRPr="00683508" w:rsidRDefault="00F13303" w:rsidP="00597C20">
      <w:pPr>
        <w:ind w:firstLine="720"/>
        <w:rPr>
          <w:color w:val="auto"/>
        </w:rPr>
      </w:pPr>
      <w:r w:rsidRPr="00683508">
        <w:rPr>
          <w:rFonts w:hint="cs"/>
          <w:color w:val="auto"/>
          <w:rtl/>
        </w:rPr>
        <w:t>هي</w:t>
      </w:r>
      <w:r w:rsidR="00B76414" w:rsidRPr="00683508">
        <w:rPr>
          <w:rFonts w:hint="cs"/>
          <w:color w:val="auto"/>
          <w:rtl/>
        </w:rPr>
        <w:t>(</w:t>
      </w:r>
      <w:r w:rsidR="00AD1F57">
        <w:rPr>
          <w:rFonts w:hint="cs"/>
          <w:color w:val="auto"/>
          <w:rtl/>
        </w:rPr>
        <w:t>الأفعال التي لا تُقصَد لِذاتها؛</w:t>
      </w:r>
      <w:r w:rsidRPr="00683508">
        <w:rPr>
          <w:rFonts w:hint="cs"/>
          <w:color w:val="auto"/>
          <w:rtl/>
        </w:rPr>
        <w:t xml:space="preserve"> لِعدم تضمُّنها المصلحةَ</w:t>
      </w:r>
      <w:r w:rsidR="00D54649">
        <w:rPr>
          <w:rFonts w:hint="cs"/>
          <w:color w:val="auto"/>
          <w:rtl/>
        </w:rPr>
        <w:t xml:space="preserve"> </w:t>
      </w:r>
      <w:r w:rsidRPr="00683508">
        <w:rPr>
          <w:rFonts w:hint="cs"/>
          <w:color w:val="auto"/>
          <w:rtl/>
        </w:rPr>
        <w:t>أو المفسدة، وعدم أدائها إليها مباشرةً، ولكنها تُقصد للتوصُّل بها إلى أفعالٍ أخرى هي المتضمِّنة للمصلحة أو المفسدة، والمؤدِّية إليها)</w:t>
      </w:r>
      <w:r w:rsidRPr="00C821A1">
        <w:rPr>
          <w:rFonts w:hint="cs"/>
          <w:color w:val="auto"/>
          <w:szCs w:val="32"/>
          <w:vertAlign w:val="superscript"/>
          <w:rtl/>
        </w:rPr>
        <w:t>(</w:t>
      </w:r>
      <w:r w:rsidRPr="00C821A1">
        <w:rPr>
          <w:rStyle w:val="af1"/>
          <w:color w:val="auto"/>
          <w:szCs w:val="32"/>
          <w:rtl/>
        </w:rPr>
        <w:footnoteReference w:id="567"/>
      </w:r>
      <w:r w:rsidRPr="00C821A1">
        <w:rPr>
          <w:rFonts w:hint="cs"/>
          <w:color w:val="auto"/>
          <w:szCs w:val="32"/>
          <w:vertAlign w:val="superscript"/>
          <w:rtl/>
        </w:rPr>
        <w:t>)</w:t>
      </w:r>
      <w:r w:rsidRPr="00683508">
        <w:rPr>
          <w:rFonts w:hint="cs"/>
          <w:color w:val="auto"/>
          <w:rtl/>
        </w:rPr>
        <w:t>.</w:t>
      </w:r>
    </w:p>
    <w:p w:rsidR="00683508" w:rsidRDefault="00065E4B" w:rsidP="00597C20">
      <w:pPr>
        <w:pStyle w:val="53"/>
        <w:rPr>
          <w:rtl/>
        </w:rPr>
      </w:pPr>
      <w:r>
        <w:rPr>
          <w:rFonts w:hint="cs"/>
          <w:rtl/>
        </w:rPr>
        <w:t>ا</w:t>
      </w:r>
      <w:r w:rsidR="00F13303">
        <w:rPr>
          <w:rFonts w:hint="cs"/>
          <w:rtl/>
        </w:rPr>
        <w:t>لمقاصد لغة:</w:t>
      </w:r>
    </w:p>
    <w:p w:rsidR="00F13303" w:rsidRDefault="00F13303" w:rsidP="00597C20">
      <w:pPr>
        <w:ind w:firstLine="720"/>
        <w:rPr>
          <w:rtl/>
        </w:rPr>
      </w:pPr>
      <w:r>
        <w:rPr>
          <w:rFonts w:hint="cs"/>
          <w:rtl/>
        </w:rPr>
        <w:t>جمع مَقْصَد،</w:t>
      </w:r>
      <w:r w:rsidR="00154102">
        <w:rPr>
          <w:rFonts w:hint="cs"/>
          <w:rtl/>
        </w:rPr>
        <w:t xml:space="preserve"> و</w:t>
      </w:r>
      <w:r>
        <w:rPr>
          <w:rFonts w:hint="cs"/>
          <w:rtl/>
        </w:rPr>
        <w:t>المقصَد مصدر مأخوذ من الفعل (قَصَدَ)، يقال:قَصَدَ يَقْصِدُ قَصْدًا</w:t>
      </w:r>
      <w:r w:rsidR="00154102">
        <w:rPr>
          <w:rFonts w:hint="cs"/>
          <w:rtl/>
        </w:rPr>
        <w:t xml:space="preserve"> </w:t>
      </w:r>
      <w:r w:rsidR="00154102">
        <w:rPr>
          <w:rFonts w:hint="cs"/>
          <w:rtl/>
        </w:rPr>
        <w:lastRenderedPageBreak/>
        <w:t>و</w:t>
      </w:r>
      <w:r>
        <w:rPr>
          <w:rFonts w:hint="cs"/>
          <w:rtl/>
        </w:rPr>
        <w:t>مَقْصَداً</w:t>
      </w:r>
      <w:r w:rsidRPr="00C821A1">
        <w:rPr>
          <w:rFonts w:hint="cs"/>
          <w:szCs w:val="32"/>
          <w:vertAlign w:val="superscript"/>
          <w:rtl/>
        </w:rPr>
        <w:t>(</w:t>
      </w:r>
      <w:r w:rsidRPr="00C821A1">
        <w:rPr>
          <w:rStyle w:val="af1"/>
          <w:szCs w:val="32"/>
          <w:rtl/>
        </w:rPr>
        <w:footnoteReference w:id="568"/>
      </w:r>
      <w:r w:rsidRPr="00C821A1">
        <w:rPr>
          <w:rFonts w:hint="cs"/>
          <w:szCs w:val="32"/>
          <w:vertAlign w:val="superscript"/>
          <w:rtl/>
        </w:rPr>
        <w:t>)</w:t>
      </w:r>
      <w:r>
        <w:rPr>
          <w:rFonts w:hint="cs"/>
          <w:rtl/>
        </w:rPr>
        <w:t>.</w:t>
      </w:r>
    </w:p>
    <w:p w:rsidR="001C664E" w:rsidRDefault="001C664E" w:rsidP="001C664E">
      <w:pPr>
        <w:ind w:firstLine="0"/>
        <w:jc w:val="left"/>
        <w:rPr>
          <w:rtl/>
        </w:rPr>
      </w:pPr>
      <w:r>
        <w:rPr>
          <w:rFonts w:hint="cs"/>
          <w:rtl/>
        </w:rPr>
        <w:t xml:space="preserve">    </w:t>
      </w:r>
      <w:r w:rsidR="00F13303">
        <w:rPr>
          <w:rFonts w:hint="cs"/>
          <w:rtl/>
        </w:rPr>
        <w:t>فالقصد</w:t>
      </w:r>
      <w:r w:rsidR="00154102">
        <w:rPr>
          <w:rFonts w:hint="cs"/>
          <w:rtl/>
        </w:rPr>
        <w:t xml:space="preserve"> و</w:t>
      </w:r>
      <w:r w:rsidR="00F13303">
        <w:rPr>
          <w:rFonts w:hint="cs"/>
          <w:rtl/>
        </w:rPr>
        <w:t>المقصد بمعنى واحد،</w:t>
      </w:r>
      <w:r>
        <w:rPr>
          <w:rFonts w:hint="cs"/>
          <w:rtl/>
        </w:rPr>
        <w:t xml:space="preserve"> والقصد هو</w:t>
      </w:r>
      <w:r w:rsidRPr="001C664E">
        <w:rPr>
          <w:rFonts w:hint="cs"/>
          <w:rtl/>
        </w:rPr>
        <w:t xml:space="preserve"> </w:t>
      </w:r>
      <w:r>
        <w:rPr>
          <w:rFonts w:hint="cs"/>
          <w:rtl/>
        </w:rPr>
        <w:t>الاعْتِمادُ، والأَمُّ، وإتْيانُ الشيء، والتَّوَجُّه، تقول: قَصَدَه، يقْصِده قَصْدًا، وقصَد له، وقصَد إليه إذا أَمَّهُ</w:t>
      </w:r>
      <w:r w:rsidRPr="00C821A1">
        <w:rPr>
          <w:rFonts w:hint="cs"/>
          <w:szCs w:val="32"/>
          <w:vertAlign w:val="superscript"/>
          <w:rtl/>
        </w:rPr>
        <w:t>(</w:t>
      </w:r>
      <w:r w:rsidRPr="00C821A1">
        <w:rPr>
          <w:rStyle w:val="af1"/>
          <w:szCs w:val="32"/>
          <w:rtl/>
        </w:rPr>
        <w:footnoteReference w:id="569"/>
      </w:r>
      <w:r w:rsidRPr="00C821A1">
        <w:rPr>
          <w:rFonts w:hint="cs"/>
          <w:szCs w:val="32"/>
          <w:vertAlign w:val="superscript"/>
          <w:rtl/>
        </w:rPr>
        <w:t>)</w:t>
      </w:r>
      <w:r>
        <w:rPr>
          <w:rFonts w:hint="cs"/>
          <w:rtl/>
        </w:rPr>
        <w:t>.</w:t>
      </w:r>
    </w:p>
    <w:p w:rsidR="00F228A9" w:rsidRDefault="001C664E" w:rsidP="00D54649">
      <w:pPr>
        <w:ind w:firstLine="720"/>
        <w:rPr>
          <w:rtl/>
        </w:rPr>
      </w:pPr>
      <w:r>
        <w:rPr>
          <w:rFonts w:hint="cs"/>
          <w:rtl/>
        </w:rPr>
        <w:t xml:space="preserve"> </w:t>
      </w:r>
      <w:r w:rsidR="00F13303">
        <w:rPr>
          <w:rFonts w:hint="cs"/>
          <w:rtl/>
        </w:rPr>
        <w:t>.</w:t>
      </w:r>
    </w:p>
    <w:p w:rsidR="00683508" w:rsidRDefault="00F13303" w:rsidP="00597C20">
      <w:pPr>
        <w:pStyle w:val="53"/>
        <w:rPr>
          <w:rtl/>
        </w:rPr>
      </w:pPr>
      <w:r>
        <w:rPr>
          <w:rFonts w:hint="cs"/>
          <w:rtl/>
        </w:rPr>
        <w:t>المقاصد</w:t>
      </w:r>
      <w:r w:rsidR="00AB0B9E">
        <w:rPr>
          <w:rtl/>
        </w:rPr>
        <w:fldChar w:fldCharType="begin"/>
      </w:r>
      <w:r w:rsidR="002F2D6E" w:rsidRPr="00C85F0F">
        <w:rPr>
          <w:bCs w:val="0"/>
        </w:rPr>
        <w:instrText>XE</w:instrText>
      </w:r>
      <w:r w:rsidR="002F2D6E" w:rsidRPr="00C85F0F">
        <w:rPr>
          <w:bCs w:val="0"/>
          <w:rtl/>
        </w:rPr>
        <w:instrText xml:space="preserve"> "</w:instrText>
      </w:r>
      <w:r w:rsidR="002F2D6E" w:rsidRPr="00C85F0F">
        <w:rPr>
          <w:rFonts w:hint="cs"/>
          <w:bCs w:val="0"/>
          <w:rtl/>
        </w:rPr>
        <w:instrText>المقاصد</w:instrText>
      </w:r>
      <w:r w:rsidR="002F2D6E" w:rsidRPr="00C85F0F">
        <w:rPr>
          <w:bCs w:val="0"/>
          <w:rtl/>
        </w:rPr>
        <w:instrText>" \</w:instrText>
      </w:r>
      <w:r w:rsidR="002F2D6E" w:rsidRPr="00C85F0F">
        <w:rPr>
          <w:bCs w:val="0"/>
        </w:rPr>
        <w:instrText>f</w:instrText>
      </w:r>
      <w:r w:rsidR="002F2D6E" w:rsidRPr="002F2D6E">
        <w:instrText>m</w:instrText>
      </w:r>
      <w:r w:rsidR="00AB0B9E">
        <w:rPr>
          <w:rtl/>
        </w:rPr>
        <w:fldChar w:fldCharType="end"/>
      </w:r>
      <w:r>
        <w:rPr>
          <w:rFonts w:hint="cs"/>
          <w:rtl/>
        </w:rPr>
        <w:t xml:space="preserve"> اصطلاحا:</w:t>
      </w:r>
    </w:p>
    <w:p w:rsidR="00F13303" w:rsidRDefault="00F13303" w:rsidP="00597C20">
      <w:pPr>
        <w:ind w:firstLine="720"/>
        <w:rPr>
          <w:rtl/>
        </w:rPr>
      </w:pPr>
      <w:r>
        <w:rPr>
          <w:rFonts w:hint="cs"/>
          <w:rtl/>
        </w:rPr>
        <w:t>هي (الأفعال التي تعلَّق الحكمُ بها لِذاتها، إما لِتضمُّنها المصلحةَ</w:t>
      </w:r>
      <w:r w:rsidR="00D54649">
        <w:rPr>
          <w:rFonts w:hint="cs"/>
          <w:rtl/>
        </w:rPr>
        <w:t xml:space="preserve"> </w:t>
      </w:r>
      <w:r>
        <w:rPr>
          <w:rFonts w:hint="cs"/>
          <w:rtl/>
        </w:rPr>
        <w:t>أو المفسدة في ذاتها،</w:t>
      </w:r>
      <w:r w:rsidR="00154102">
        <w:rPr>
          <w:rFonts w:hint="cs"/>
          <w:rtl/>
        </w:rPr>
        <w:t xml:space="preserve"> و</w:t>
      </w:r>
      <w:r>
        <w:rPr>
          <w:rFonts w:hint="cs"/>
          <w:rtl/>
        </w:rPr>
        <w:t>إما لأنها تؤدّي إليها مباشرة دون واسطةِ فعلٍ آخر)</w:t>
      </w:r>
      <w:r w:rsidRPr="00C821A1">
        <w:rPr>
          <w:rFonts w:hint="cs"/>
          <w:szCs w:val="32"/>
          <w:vertAlign w:val="superscript"/>
          <w:rtl/>
        </w:rPr>
        <w:t>(</w:t>
      </w:r>
      <w:r w:rsidRPr="00C821A1">
        <w:rPr>
          <w:rStyle w:val="af1"/>
          <w:szCs w:val="32"/>
          <w:rtl/>
        </w:rPr>
        <w:footnoteReference w:id="570"/>
      </w:r>
      <w:r w:rsidRPr="00C821A1">
        <w:rPr>
          <w:rFonts w:hint="cs"/>
          <w:szCs w:val="32"/>
          <w:vertAlign w:val="superscript"/>
          <w:rtl/>
        </w:rPr>
        <w:t>)</w:t>
      </w:r>
      <w:r>
        <w:rPr>
          <w:rFonts w:hint="cs"/>
          <w:rtl/>
        </w:rPr>
        <w:t>.</w:t>
      </w:r>
    </w:p>
    <w:p w:rsidR="00F13303" w:rsidRDefault="00F13303" w:rsidP="00597C20">
      <w:pPr>
        <w:ind w:firstLine="720"/>
        <w:rPr>
          <w:rtl/>
        </w:rPr>
      </w:pPr>
      <w:r>
        <w:rPr>
          <w:rFonts w:hint="cs"/>
          <w:color w:val="auto"/>
          <w:rtl/>
        </w:rPr>
        <w:t xml:space="preserve">يقول الشيخ ابن عثيمين </w:t>
      </w:r>
      <w:r w:rsidR="004173D5">
        <w:rPr>
          <w:rFonts w:hint="cs"/>
          <w:color w:val="auto"/>
          <w:rtl/>
        </w:rPr>
        <w:t>_</w:t>
      </w:r>
      <w:r w:rsidR="009A0575" w:rsidRPr="005D5694">
        <w:rPr>
          <w:rFonts w:ascii="Traditional Arabic" w:hAnsi="Traditional Arabic" w:cs="CTraditional Arabic" w:hint="cs"/>
          <w:rtl/>
        </w:rPr>
        <w:t>/</w:t>
      </w:r>
      <w:r w:rsidR="004173D5">
        <w:rPr>
          <w:rFonts w:hint="cs"/>
          <w:rtl/>
        </w:rPr>
        <w:t>_</w:t>
      </w:r>
      <w:r>
        <w:rPr>
          <w:rFonts w:hint="cs"/>
          <w:rtl/>
        </w:rPr>
        <w:t>عن الوسائل</w:t>
      </w:r>
      <w:r w:rsidR="00154102">
        <w:rPr>
          <w:rFonts w:hint="cs"/>
          <w:rtl/>
        </w:rPr>
        <w:t xml:space="preserve"> و</w:t>
      </w:r>
      <w:r>
        <w:rPr>
          <w:rFonts w:hint="cs"/>
          <w:rtl/>
        </w:rPr>
        <w:t>المقاصد: (</w:t>
      </w:r>
      <w:r>
        <w:rPr>
          <w:rFonts w:hint="cs"/>
          <w:color w:val="auto"/>
          <w:rtl/>
        </w:rPr>
        <w:t xml:space="preserve">الأمور قسمان: أمورٌ غائية،وأمورٌ [هي] وسيلة، </w:t>
      </w:r>
      <w:r w:rsidRPr="008C02A3">
        <w:rPr>
          <w:rtl/>
        </w:rPr>
        <w:t>فأما الأمور الغائية فهي التي هي غاية</w:t>
      </w:r>
      <w:r>
        <w:rPr>
          <w:rFonts w:hint="cs"/>
          <w:rtl/>
        </w:rPr>
        <w:t>ٌ</w:t>
      </w:r>
      <w:r w:rsidRPr="008C02A3">
        <w:rPr>
          <w:rtl/>
        </w:rPr>
        <w:t xml:space="preserve"> ومقصودة ل</w:t>
      </w:r>
      <w:r>
        <w:rPr>
          <w:rFonts w:hint="cs"/>
          <w:rtl/>
        </w:rPr>
        <w:t>ِ</w:t>
      </w:r>
      <w:r w:rsidRPr="008C02A3">
        <w:rPr>
          <w:rtl/>
        </w:rPr>
        <w:t>ذاتها</w:t>
      </w:r>
      <w:r>
        <w:rPr>
          <w:rFonts w:hint="cs"/>
          <w:rtl/>
        </w:rPr>
        <w:t xml:space="preserve">، </w:t>
      </w:r>
      <w:r w:rsidRPr="008C02A3">
        <w:rPr>
          <w:rtl/>
        </w:rPr>
        <w:t xml:space="preserve">وأما الأمور التي </w:t>
      </w:r>
      <w:r>
        <w:rPr>
          <w:rFonts w:hint="cs"/>
          <w:rtl/>
        </w:rPr>
        <w:t>[</w:t>
      </w:r>
      <w:r w:rsidRPr="008C02A3">
        <w:rPr>
          <w:rtl/>
        </w:rPr>
        <w:t>هي</w:t>
      </w:r>
      <w:r>
        <w:rPr>
          <w:rFonts w:hint="cs"/>
          <w:rtl/>
        </w:rPr>
        <w:t>]</w:t>
      </w:r>
      <w:r w:rsidRPr="008C02A3">
        <w:rPr>
          <w:rtl/>
        </w:rPr>
        <w:t xml:space="preserve"> وسيلة في</w:t>
      </w:r>
      <w:r>
        <w:rPr>
          <w:rFonts w:hint="cs"/>
          <w:rtl/>
        </w:rPr>
        <w:t>ُ</w:t>
      </w:r>
      <w:r w:rsidRPr="008C02A3">
        <w:rPr>
          <w:rtl/>
        </w:rPr>
        <w:t>قص</w:t>
      </w:r>
      <w:r>
        <w:rPr>
          <w:rFonts w:hint="cs"/>
          <w:rtl/>
        </w:rPr>
        <w:t>َ</w:t>
      </w:r>
      <w:r>
        <w:rPr>
          <w:rtl/>
        </w:rPr>
        <w:t>د بها الوصول إلى</w:t>
      </w:r>
      <w:r w:rsidR="00D54649">
        <w:rPr>
          <w:rFonts w:hint="cs"/>
          <w:rtl/>
        </w:rPr>
        <w:t xml:space="preserve"> </w:t>
      </w:r>
      <w:r w:rsidRPr="008C02A3">
        <w:rPr>
          <w:rtl/>
        </w:rPr>
        <w:t>الغاية</w:t>
      </w:r>
      <w:r>
        <w:rPr>
          <w:rFonts w:hint="cs"/>
          <w:rtl/>
        </w:rPr>
        <w:t>)</w:t>
      </w:r>
      <w:r w:rsidRPr="00C821A1">
        <w:rPr>
          <w:rFonts w:hint="cs"/>
          <w:szCs w:val="32"/>
          <w:vertAlign w:val="superscript"/>
          <w:rtl/>
        </w:rPr>
        <w:t>(</w:t>
      </w:r>
      <w:r w:rsidRPr="00C821A1">
        <w:rPr>
          <w:rStyle w:val="af1"/>
          <w:szCs w:val="32"/>
          <w:rtl/>
        </w:rPr>
        <w:footnoteReference w:id="571"/>
      </w:r>
      <w:r w:rsidRPr="00C821A1">
        <w:rPr>
          <w:rFonts w:hint="cs"/>
          <w:szCs w:val="32"/>
          <w:vertAlign w:val="superscript"/>
          <w:rtl/>
        </w:rPr>
        <w:t>)</w:t>
      </w:r>
      <w:r>
        <w:rPr>
          <w:rFonts w:hint="cs"/>
          <w:rtl/>
        </w:rPr>
        <w:t>.</w:t>
      </w:r>
    </w:p>
    <w:p w:rsidR="00F13303" w:rsidRDefault="00F13303" w:rsidP="00597C20">
      <w:pPr>
        <w:pStyle w:val="53"/>
        <w:rPr>
          <w:rtl/>
        </w:rPr>
      </w:pPr>
      <w:r>
        <w:rPr>
          <w:rFonts w:hint="cs"/>
          <w:rtl/>
        </w:rPr>
        <w:t>معنى القاعدة إجمالا:</w:t>
      </w:r>
    </w:p>
    <w:p w:rsidR="00F13303" w:rsidRDefault="00F13303" w:rsidP="00597C20">
      <w:pPr>
        <w:ind w:firstLine="720"/>
        <w:rPr>
          <w:rtl/>
        </w:rPr>
      </w:pPr>
      <w:r>
        <w:rPr>
          <w:rFonts w:hint="cs"/>
          <w:rtl/>
        </w:rPr>
        <w:t>معنى القاعدة أن الأفعال التي تؤدي إلى المقاصد</w:t>
      </w:r>
      <w:r w:rsidRPr="00C821A1">
        <w:rPr>
          <w:rFonts w:hint="cs"/>
          <w:szCs w:val="32"/>
          <w:vertAlign w:val="superscript"/>
          <w:rtl/>
        </w:rPr>
        <w:t>(</w:t>
      </w:r>
      <w:r w:rsidRPr="00C821A1">
        <w:rPr>
          <w:rStyle w:val="af1"/>
          <w:szCs w:val="32"/>
          <w:rtl/>
        </w:rPr>
        <w:footnoteReference w:id="572"/>
      </w:r>
      <w:r w:rsidRPr="00C821A1">
        <w:rPr>
          <w:rFonts w:hint="cs"/>
          <w:szCs w:val="32"/>
          <w:vertAlign w:val="superscript"/>
          <w:rtl/>
        </w:rPr>
        <w:t>)</w:t>
      </w:r>
      <w:r>
        <w:rPr>
          <w:rFonts w:hint="cs"/>
          <w:rtl/>
        </w:rPr>
        <w:t>، يَختلف حُكمُها باختلاف حُكم تلك المقاصد، فما لا يتم الواجب إلا به</w:t>
      </w:r>
      <w:r w:rsidRPr="00C821A1">
        <w:rPr>
          <w:rFonts w:hint="cs"/>
          <w:szCs w:val="32"/>
          <w:vertAlign w:val="superscript"/>
          <w:rtl/>
        </w:rPr>
        <w:t>(</w:t>
      </w:r>
      <w:r w:rsidRPr="00C821A1">
        <w:rPr>
          <w:rStyle w:val="af1"/>
          <w:szCs w:val="32"/>
          <w:rtl/>
        </w:rPr>
        <w:footnoteReference w:id="573"/>
      </w:r>
      <w:r w:rsidRPr="00C821A1">
        <w:rPr>
          <w:rFonts w:hint="cs"/>
          <w:szCs w:val="32"/>
          <w:vertAlign w:val="superscript"/>
          <w:rtl/>
        </w:rPr>
        <w:t>)</w:t>
      </w:r>
      <w:r>
        <w:rPr>
          <w:rFonts w:hint="cs"/>
          <w:rtl/>
        </w:rPr>
        <w:t>فهو واجب</w:t>
      </w:r>
      <w:r w:rsidRPr="00C821A1">
        <w:rPr>
          <w:rFonts w:hint="cs"/>
          <w:szCs w:val="32"/>
          <w:vertAlign w:val="superscript"/>
          <w:rtl/>
        </w:rPr>
        <w:t>(</w:t>
      </w:r>
      <w:r w:rsidRPr="00C821A1">
        <w:rPr>
          <w:rStyle w:val="af1"/>
          <w:szCs w:val="32"/>
          <w:rtl/>
        </w:rPr>
        <w:footnoteReference w:id="574"/>
      </w:r>
      <w:r w:rsidRPr="00C821A1">
        <w:rPr>
          <w:rFonts w:hint="cs"/>
          <w:szCs w:val="32"/>
          <w:vertAlign w:val="superscript"/>
          <w:rtl/>
        </w:rPr>
        <w:t>)</w:t>
      </w:r>
      <w:r>
        <w:rPr>
          <w:rFonts w:hint="cs"/>
          <w:rtl/>
        </w:rPr>
        <w:t>،</w:t>
      </w:r>
      <w:r w:rsidR="00154102">
        <w:rPr>
          <w:rFonts w:hint="cs"/>
          <w:rtl/>
        </w:rPr>
        <w:t xml:space="preserve"> و</w:t>
      </w:r>
      <w:r>
        <w:rPr>
          <w:rFonts w:hint="cs"/>
          <w:rtl/>
        </w:rPr>
        <w:t>ما لا يتم المندوب إلا به فهو مندوب،</w:t>
      </w:r>
      <w:r w:rsidR="00154102">
        <w:rPr>
          <w:rFonts w:hint="cs"/>
          <w:rtl/>
        </w:rPr>
        <w:t xml:space="preserve"> و</w:t>
      </w:r>
      <w:r>
        <w:rPr>
          <w:rFonts w:hint="cs"/>
          <w:rtl/>
        </w:rPr>
        <w:t xml:space="preserve">ما </w:t>
      </w:r>
      <w:r>
        <w:rPr>
          <w:rFonts w:hint="cs"/>
          <w:rtl/>
        </w:rPr>
        <w:lastRenderedPageBreak/>
        <w:t xml:space="preserve">كان وسيلةً للمحرَّم فهو محرَّم،و ما كان وسيلةً للمكروه فهو مكروه،ما كان وسيلةً للمباح فهو مباح </w:t>
      </w:r>
      <w:r w:rsidRPr="00C821A1">
        <w:rPr>
          <w:rFonts w:hint="cs"/>
          <w:szCs w:val="32"/>
          <w:vertAlign w:val="superscript"/>
          <w:rtl/>
        </w:rPr>
        <w:t>(</w:t>
      </w:r>
      <w:r w:rsidRPr="00C821A1">
        <w:rPr>
          <w:rStyle w:val="af1"/>
          <w:szCs w:val="32"/>
          <w:rtl/>
        </w:rPr>
        <w:footnoteReference w:id="575"/>
      </w:r>
      <w:r w:rsidRPr="00C821A1">
        <w:rPr>
          <w:rFonts w:hint="cs"/>
          <w:szCs w:val="32"/>
          <w:vertAlign w:val="superscript"/>
          <w:rtl/>
        </w:rPr>
        <w:t>)</w:t>
      </w:r>
      <w:r>
        <w:rPr>
          <w:rFonts w:hint="cs"/>
          <w:rtl/>
        </w:rPr>
        <w:t>.</w:t>
      </w:r>
    </w:p>
    <w:p w:rsidR="00F13303" w:rsidRDefault="00F13303" w:rsidP="00597C20">
      <w:pPr>
        <w:ind w:firstLine="720"/>
        <w:rPr>
          <w:rtl/>
        </w:rPr>
      </w:pPr>
      <w:r>
        <w:rPr>
          <w:rFonts w:ascii="Traditional Arabic" w:hAnsi="Traditional Arabic" w:hint="cs"/>
          <w:color w:val="auto"/>
          <w:rtl/>
        </w:rPr>
        <w:t>وهذه القاعدة قاعدةٌ شرعية مُعتبَرةٌ عند أهل العلم</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576"/>
      </w:r>
      <w:r w:rsidRPr="00C821A1">
        <w:rPr>
          <w:rFonts w:ascii="Traditional Arabic" w:hAnsi="Traditional Arabic" w:hint="cs"/>
          <w:color w:val="auto"/>
          <w:szCs w:val="32"/>
          <w:vertAlign w:val="superscript"/>
          <w:rtl/>
        </w:rPr>
        <w:t>)</w:t>
      </w:r>
      <w:r>
        <w:rPr>
          <w:rFonts w:ascii="Traditional Arabic" w:hAnsi="Traditional Arabic" w:hint="cs"/>
          <w:color w:val="auto"/>
          <w:rtl/>
        </w:rPr>
        <w:t>،</w:t>
      </w:r>
      <w:r w:rsidR="001A5343">
        <w:rPr>
          <w:rFonts w:ascii="Traditional Arabic" w:hAnsi="Traditional Arabic" w:hint="cs"/>
          <w:color w:val="auto"/>
          <w:rtl/>
        </w:rPr>
        <w:t xml:space="preserve"> و</w:t>
      </w:r>
      <w:r>
        <w:rPr>
          <w:rFonts w:ascii="Traditional Arabic" w:hAnsi="Traditional Arabic" w:hint="cs"/>
          <w:color w:val="auto"/>
          <w:rtl/>
        </w:rPr>
        <w:t>متفَقٌ عليها في الجملة</w:t>
      </w:r>
      <w:r w:rsidRPr="00C821A1">
        <w:rPr>
          <w:rFonts w:ascii="Traditional Arabic" w:hAnsi="Traditional Arabic" w:hint="cs"/>
          <w:color w:val="auto"/>
          <w:szCs w:val="32"/>
          <w:vertAlign w:val="superscript"/>
          <w:rtl/>
        </w:rPr>
        <w:t>(</w:t>
      </w:r>
      <w:r w:rsidRPr="00C821A1">
        <w:rPr>
          <w:rStyle w:val="af1"/>
          <w:szCs w:val="32"/>
          <w:rtl/>
        </w:rPr>
        <w:footnoteReference w:id="577"/>
      </w:r>
      <w:r w:rsidRPr="00C821A1">
        <w:rPr>
          <w:rFonts w:hint="cs"/>
          <w:szCs w:val="32"/>
          <w:vertAlign w:val="superscript"/>
          <w:rtl/>
        </w:rPr>
        <w:t>)</w:t>
      </w:r>
      <w:r>
        <w:rPr>
          <w:rFonts w:hint="cs"/>
          <w:rtl/>
        </w:rPr>
        <w:t>،</w:t>
      </w:r>
      <w:r w:rsidR="001A5343">
        <w:rPr>
          <w:rFonts w:hint="cs"/>
          <w:rtl/>
        </w:rPr>
        <w:t xml:space="preserve"> و</w:t>
      </w:r>
      <w:r>
        <w:rPr>
          <w:rFonts w:hint="cs"/>
          <w:rtl/>
        </w:rPr>
        <w:t>هي قاعدة أصولية</w:t>
      </w:r>
      <w:r w:rsidR="00001176" w:rsidRPr="00001176">
        <w:rPr>
          <w:rFonts w:hint="cs"/>
          <w:vertAlign w:val="superscript"/>
          <w:rtl/>
        </w:rPr>
        <w:t>(</w:t>
      </w:r>
      <w:r w:rsidR="001A5343" w:rsidRPr="00001176">
        <w:rPr>
          <w:rStyle w:val="af1"/>
          <w:rtl/>
        </w:rPr>
        <w:footnoteReference w:id="578"/>
      </w:r>
      <w:r w:rsidR="00001176" w:rsidRPr="00001176">
        <w:rPr>
          <w:rFonts w:hint="cs"/>
          <w:vertAlign w:val="superscript"/>
          <w:rtl/>
        </w:rPr>
        <w:t>)</w:t>
      </w:r>
      <w:r>
        <w:rPr>
          <w:rFonts w:hint="cs"/>
          <w:rtl/>
        </w:rPr>
        <w:t xml:space="preserve"> فقهية</w:t>
      </w:r>
      <w:r w:rsidRPr="00C821A1">
        <w:rPr>
          <w:rFonts w:hint="cs"/>
          <w:szCs w:val="32"/>
          <w:vertAlign w:val="superscript"/>
          <w:rtl/>
        </w:rPr>
        <w:t>(</w:t>
      </w:r>
      <w:r w:rsidRPr="00C821A1">
        <w:rPr>
          <w:rStyle w:val="af1"/>
          <w:szCs w:val="32"/>
          <w:rtl/>
        </w:rPr>
        <w:footnoteReference w:id="579"/>
      </w:r>
      <w:r w:rsidRPr="00C821A1">
        <w:rPr>
          <w:rFonts w:hint="cs"/>
          <w:szCs w:val="32"/>
          <w:vertAlign w:val="superscript"/>
          <w:rtl/>
        </w:rPr>
        <w:t>)</w:t>
      </w:r>
      <w:r>
        <w:rPr>
          <w:rFonts w:hint="cs"/>
          <w:rtl/>
        </w:rPr>
        <w:t>.</w:t>
      </w:r>
    </w:p>
    <w:p w:rsidR="00F228A9" w:rsidRDefault="00F13303" w:rsidP="00597C20">
      <w:pPr>
        <w:ind w:firstLine="720"/>
        <w:rPr>
          <w:rtl/>
        </w:rPr>
      </w:pPr>
      <w:r>
        <w:rPr>
          <w:rFonts w:hint="cs"/>
          <w:rtl/>
        </w:rPr>
        <w:t>وَجه كون هذه القاعدة أصوليةً، تعلُّقُها بِمَباحِث الحكم التكليفي؛</w:t>
      </w:r>
      <w:r w:rsidR="00154102">
        <w:rPr>
          <w:rFonts w:hint="cs"/>
          <w:rtl/>
        </w:rPr>
        <w:t xml:space="preserve"> و</w:t>
      </w:r>
      <w:r>
        <w:rPr>
          <w:rFonts w:hint="cs"/>
          <w:rtl/>
        </w:rPr>
        <w:t>ذلك أن الوسائل يكون حُكمها من حيث التحريم</w:t>
      </w:r>
      <w:r w:rsidR="00154102">
        <w:rPr>
          <w:rFonts w:hint="cs"/>
          <w:rtl/>
        </w:rPr>
        <w:t xml:space="preserve"> و</w:t>
      </w:r>
      <w:r>
        <w:rPr>
          <w:rFonts w:hint="cs"/>
          <w:rtl/>
        </w:rPr>
        <w:t>الكراهة</w:t>
      </w:r>
      <w:r w:rsidR="00154102">
        <w:rPr>
          <w:rFonts w:hint="cs"/>
          <w:rtl/>
        </w:rPr>
        <w:t xml:space="preserve"> و</w:t>
      </w:r>
      <w:r>
        <w:rPr>
          <w:rFonts w:hint="cs"/>
          <w:rtl/>
        </w:rPr>
        <w:t>الإباحة</w:t>
      </w:r>
      <w:r w:rsidR="00154102">
        <w:rPr>
          <w:rFonts w:hint="cs"/>
          <w:rtl/>
        </w:rPr>
        <w:t xml:space="preserve"> و</w:t>
      </w:r>
      <w:r>
        <w:rPr>
          <w:rFonts w:hint="cs"/>
          <w:rtl/>
        </w:rPr>
        <w:t>الندب</w:t>
      </w:r>
      <w:r w:rsidR="00154102">
        <w:rPr>
          <w:rFonts w:hint="cs"/>
          <w:rtl/>
        </w:rPr>
        <w:t xml:space="preserve"> و</w:t>
      </w:r>
      <w:r>
        <w:rPr>
          <w:rFonts w:hint="cs"/>
          <w:rtl/>
        </w:rPr>
        <w:t>الوجوب تابعاً لِحُكم المقصد الذي تؤدي إليه.</w:t>
      </w:r>
    </w:p>
    <w:p w:rsidR="00F13303" w:rsidRDefault="00F13303" w:rsidP="00597C20">
      <w:pPr>
        <w:ind w:firstLine="720"/>
        <w:rPr>
          <w:rtl/>
        </w:rPr>
      </w:pPr>
      <w:r>
        <w:rPr>
          <w:rFonts w:hint="cs"/>
          <w:rtl/>
        </w:rPr>
        <w:t>ووَجه كونها فقهيةً، تعلُّقها بالوسائل</w:t>
      </w:r>
      <w:r w:rsidR="00154102">
        <w:rPr>
          <w:rFonts w:hint="cs"/>
          <w:rtl/>
        </w:rPr>
        <w:t xml:space="preserve"> و</w:t>
      </w:r>
      <w:r>
        <w:rPr>
          <w:rFonts w:hint="cs"/>
          <w:rtl/>
        </w:rPr>
        <w:t>الأفعال التي يتخذها المكلَّف للوصول إلى المقاصد، فهي من هذا الوجه متعلِّقة بأفعال المكلَّفين.</w:t>
      </w:r>
    </w:p>
    <w:p w:rsidR="00F13303" w:rsidRPr="0053096F" w:rsidRDefault="00D54649" w:rsidP="00A8347C">
      <w:pPr>
        <w:pStyle w:val="aff3"/>
        <w:rPr>
          <w:rtl/>
        </w:rPr>
      </w:pPr>
      <w:bookmarkStart w:id="115" w:name="_Toc334046370"/>
      <w:r>
        <w:rPr>
          <w:rFonts w:hint="cs"/>
          <w:rtl/>
        </w:rPr>
        <w:lastRenderedPageBreak/>
        <w:t xml:space="preserve">           </w:t>
      </w:r>
      <w:r w:rsidR="004173D5">
        <w:rPr>
          <w:rFonts w:hint="cs"/>
          <w:rtl/>
        </w:rPr>
        <w:t xml:space="preserve">                             </w:t>
      </w:r>
      <w:r w:rsidR="00F13303" w:rsidRPr="0053096F">
        <w:rPr>
          <w:rFonts w:hint="cs"/>
          <w:rtl/>
        </w:rPr>
        <w:t>المطلب الثالث</w:t>
      </w:r>
      <w:r w:rsidR="0053096F">
        <w:rPr>
          <w:rFonts w:hint="eastAsia"/>
          <w:rtl/>
        </w:rPr>
        <w:t> :</w:t>
      </w:r>
      <w:r w:rsidR="0053096F">
        <w:rPr>
          <w:rFonts w:hint="cs"/>
          <w:rtl/>
        </w:rPr>
        <w:br/>
      </w:r>
      <w:r>
        <w:rPr>
          <w:rFonts w:hint="cs"/>
          <w:rtl/>
        </w:rPr>
        <w:t xml:space="preserve">          </w:t>
      </w:r>
      <w:r w:rsidR="004173D5">
        <w:rPr>
          <w:rFonts w:hint="cs"/>
          <w:rtl/>
        </w:rPr>
        <w:t xml:space="preserve">                                </w:t>
      </w:r>
      <w:r w:rsidR="00F13303" w:rsidRPr="0053096F">
        <w:rPr>
          <w:rFonts w:hint="cs"/>
          <w:rtl/>
        </w:rPr>
        <w:t>أدلة القاعدة</w:t>
      </w:r>
      <w:bookmarkEnd w:id="115"/>
    </w:p>
    <w:p w:rsidR="00F13303" w:rsidRPr="00541E23" w:rsidRDefault="00F13303" w:rsidP="000A76C7">
      <w:pPr>
        <w:pStyle w:val="afc"/>
        <w:numPr>
          <w:ilvl w:val="0"/>
          <w:numId w:val="97"/>
        </w:numPr>
        <w:rPr>
          <w:rFonts w:ascii="Traditional Arabic" w:hAnsi="Traditional Arabic"/>
          <w:rtl/>
        </w:rPr>
      </w:pPr>
      <w:r>
        <w:rPr>
          <w:rFonts w:hint="cs"/>
          <w:rtl/>
        </w:rPr>
        <w:t>قوله تعالى:</w:t>
      </w:r>
      <w:bookmarkStart w:id="116" w:name="سورة_البقرة_187"/>
      <w:r w:rsidRPr="00541E23">
        <w:rPr>
          <w:rFonts w:ascii="QCF_BSML" w:hAnsi="QCF_BSML" w:cs="QCF_BSML"/>
          <w:noProof w:val="0"/>
          <w:rtl/>
          <w:lang w:eastAsia="en-US"/>
        </w:rPr>
        <w:t xml:space="preserve">ﭽ </w:t>
      </w:r>
      <w:r w:rsidRPr="00541E23">
        <w:rPr>
          <w:rFonts w:ascii="QCF_P029" w:hAnsi="QCF_P029" w:cs="QCF_P029"/>
          <w:noProof w:val="0"/>
          <w:rtl/>
          <w:lang w:eastAsia="en-US"/>
        </w:rPr>
        <w:t>ﮍﮎﮏﮐﮑ</w:t>
      </w:r>
      <w:r w:rsidRPr="00541E23">
        <w:rPr>
          <w:rFonts w:ascii="QCF_BSML" w:hAnsi="QCF_BSML" w:cs="QCF_BSML"/>
          <w:noProof w:val="0"/>
          <w:rtl/>
          <w:lang w:eastAsia="en-US"/>
        </w:rPr>
        <w:t>ﭼ</w:t>
      </w:r>
      <w:bookmarkEnd w:id="116"/>
      <w:r w:rsidRPr="00541E23">
        <w:rPr>
          <w:rFonts w:ascii="Arial" w:hAnsi="Arial" w:cs="Arial" w:hint="cs"/>
          <w:noProof w:val="0"/>
          <w:color w:val="auto"/>
          <w:rtl/>
          <w:lang w:eastAsia="en-US"/>
        </w:rPr>
        <w:t>[</w:t>
      </w:r>
      <w:r w:rsidRPr="00541E23">
        <w:rPr>
          <w:rFonts w:ascii="Arial" w:hAnsi="Arial" w:cs="Arial"/>
          <w:noProof w:val="0"/>
          <w:color w:val="auto"/>
          <w:sz w:val="27"/>
          <w:szCs w:val="27"/>
          <w:rtl/>
          <w:lang w:eastAsia="en-US"/>
        </w:rPr>
        <w:t>البقرة: ١٨٧</w:t>
      </w:r>
      <w:r w:rsidRPr="00541E23">
        <w:rPr>
          <w:rFonts w:ascii="Traditional Arabic" w:hAnsi="Traditional Arabic" w:hint="cs"/>
          <w:color w:val="auto"/>
          <w:rtl/>
        </w:rPr>
        <w:t>]</w:t>
      </w:r>
      <w:r w:rsidRPr="00541E23">
        <w:rPr>
          <w:rFonts w:ascii="Traditional Arabic" w:hAnsi="Traditional Arabic" w:hint="cs"/>
          <w:rtl/>
        </w:rPr>
        <w:t>.</w:t>
      </w:r>
    </w:p>
    <w:p w:rsidR="00F13303" w:rsidRDefault="00F13303" w:rsidP="00597C20">
      <w:pPr>
        <w:pStyle w:val="53"/>
        <w:rPr>
          <w:rtl/>
        </w:rPr>
      </w:pPr>
      <w:r>
        <w:rPr>
          <w:rFonts w:hint="cs"/>
          <w:rtl/>
        </w:rPr>
        <w:t>وجه الدلالة :</w:t>
      </w:r>
    </w:p>
    <w:p w:rsidR="00F13303" w:rsidRPr="00683508" w:rsidRDefault="00F13303" w:rsidP="00597C20">
      <w:pPr>
        <w:ind w:firstLine="720"/>
        <w:rPr>
          <w:rFonts w:ascii="Traditional Arabic" w:hAnsi="Traditional Arabic"/>
          <w:rtl/>
        </w:rPr>
      </w:pPr>
      <w:r w:rsidRPr="00683508">
        <w:rPr>
          <w:rFonts w:ascii="Traditional Arabic" w:hAnsi="Traditional Arabic" w:hint="cs"/>
          <w:rtl/>
        </w:rPr>
        <w:t>نهى الله عن قُرْبانِ حدوده حتى يبتعد عبادُه عن الحرام،</w:t>
      </w:r>
      <w:r w:rsidR="00154102" w:rsidRPr="00683508">
        <w:rPr>
          <w:rFonts w:ascii="Traditional Arabic" w:hAnsi="Traditional Arabic" w:hint="cs"/>
          <w:rtl/>
        </w:rPr>
        <w:t xml:space="preserve"> و</w:t>
      </w:r>
      <w:r w:rsidRPr="00683508">
        <w:rPr>
          <w:rFonts w:ascii="Traditional Arabic" w:hAnsi="Traditional Arabic" w:hint="cs"/>
          <w:rtl/>
        </w:rPr>
        <w:t>وسائلِه؛ لأن</w:t>
      </w:r>
      <w:r w:rsidR="00D54649">
        <w:rPr>
          <w:rFonts w:ascii="Traditional Arabic" w:hAnsi="Traditional Arabic" w:hint="cs"/>
          <w:rtl/>
        </w:rPr>
        <w:t xml:space="preserve"> </w:t>
      </w:r>
      <w:r w:rsidRPr="00683508">
        <w:rPr>
          <w:rFonts w:ascii="Traditional Arabic" w:hAnsi="Traditional Arabic" w:hint="cs"/>
          <w:rtl/>
        </w:rPr>
        <w:t>الوسائل لها أحكام المقاصد</w:t>
      </w:r>
      <w:r w:rsidRPr="00C821A1">
        <w:rPr>
          <w:rFonts w:ascii="Traditional Arabic" w:hAnsi="Traditional Arabic" w:hint="cs"/>
          <w:b/>
          <w:szCs w:val="32"/>
          <w:vertAlign w:val="superscript"/>
          <w:rtl/>
        </w:rPr>
        <w:t>(</w:t>
      </w:r>
      <w:r w:rsidRPr="00C821A1">
        <w:rPr>
          <w:rStyle w:val="af1"/>
          <w:rFonts w:ascii="Traditional Arabic" w:hAnsi="Traditional Arabic"/>
          <w:szCs w:val="32"/>
          <w:rtl/>
        </w:rPr>
        <w:footnoteReference w:id="580"/>
      </w:r>
      <w:r w:rsidRPr="00C821A1">
        <w:rPr>
          <w:rFonts w:ascii="Traditional Arabic" w:hAnsi="Traditional Arabic" w:hint="cs"/>
          <w:szCs w:val="32"/>
          <w:vertAlign w:val="superscript"/>
          <w:rtl/>
        </w:rPr>
        <w:t>)</w:t>
      </w:r>
      <w:r w:rsidRPr="00683508">
        <w:rPr>
          <w:rFonts w:ascii="Traditional Arabic" w:hAnsi="Traditional Arabic" w:hint="cs"/>
          <w:rtl/>
        </w:rPr>
        <w:t>.</w:t>
      </w:r>
    </w:p>
    <w:p w:rsidR="00F13303" w:rsidRPr="00541E23" w:rsidRDefault="00F13303" w:rsidP="000A76C7">
      <w:pPr>
        <w:pStyle w:val="afc"/>
        <w:numPr>
          <w:ilvl w:val="0"/>
          <w:numId w:val="97"/>
        </w:numPr>
        <w:rPr>
          <w:rFonts w:ascii="Traditional Arabic" w:hAnsi="Traditional Arabic"/>
          <w:rtl/>
        </w:rPr>
      </w:pPr>
      <w:r w:rsidRPr="00541E23">
        <w:rPr>
          <w:rFonts w:ascii="Traditional Arabic" w:hAnsi="Traditional Arabic" w:hint="cs"/>
          <w:rtl/>
        </w:rPr>
        <w:t>قوله تعالى :</w:t>
      </w:r>
      <w:bookmarkStart w:id="117" w:name="سورة_البقرة_229_2"/>
      <w:r w:rsidRPr="00541E23">
        <w:rPr>
          <w:rFonts w:ascii="QCF_BSML" w:hAnsi="QCF_BSML" w:cs="QCF_BSML"/>
          <w:noProof w:val="0"/>
          <w:rtl/>
          <w:lang w:eastAsia="en-US"/>
        </w:rPr>
        <w:t xml:space="preserve">ﭽ </w:t>
      </w:r>
      <w:r w:rsidRPr="00541E23">
        <w:rPr>
          <w:rFonts w:ascii="QCF_P036" w:hAnsi="QCF_P036" w:cs="QCF_P036"/>
          <w:noProof w:val="0"/>
          <w:rtl/>
          <w:lang w:eastAsia="en-US"/>
        </w:rPr>
        <w:t>ﯠﯡﯢﯣﯤﯥﯦﯧﯨﯩﯪﯫ</w:t>
      </w:r>
      <w:r w:rsidRPr="00541E23">
        <w:rPr>
          <w:rFonts w:ascii="QCF_BSML" w:hAnsi="QCF_BSML" w:cs="QCF_BSML"/>
          <w:noProof w:val="0"/>
          <w:rtl/>
          <w:lang w:eastAsia="en-US"/>
        </w:rPr>
        <w:t>ﭼ</w:t>
      </w:r>
      <w:bookmarkEnd w:id="117"/>
      <w:r w:rsidRPr="00541E23">
        <w:rPr>
          <w:rFonts w:ascii="Traditional Arabic" w:hAnsi="Traditional Arabic" w:hint="cs"/>
          <w:rtl/>
        </w:rPr>
        <w:t>[</w:t>
      </w:r>
      <w:r w:rsidRPr="00541E23">
        <w:rPr>
          <w:rFonts w:ascii="Traditional Arabic" w:hAnsi="Traditional Arabic"/>
          <w:rtl/>
        </w:rPr>
        <w:t>البقرة: ٢٢٩</w:t>
      </w:r>
      <w:r w:rsidRPr="00541E23">
        <w:rPr>
          <w:rFonts w:ascii="Traditional Arabic" w:hAnsi="Traditional Arabic" w:hint="cs"/>
          <w:rtl/>
        </w:rPr>
        <w:t>].</w:t>
      </w:r>
    </w:p>
    <w:p w:rsidR="00F13303" w:rsidRDefault="00F13303" w:rsidP="00597C20">
      <w:pPr>
        <w:pStyle w:val="53"/>
        <w:rPr>
          <w:rtl/>
        </w:rPr>
      </w:pPr>
      <w:r>
        <w:rPr>
          <w:rFonts w:hint="cs"/>
          <w:rtl/>
        </w:rPr>
        <w:t>وجه الدلالة :</w:t>
      </w:r>
    </w:p>
    <w:p w:rsidR="00F13303" w:rsidRPr="00683508" w:rsidRDefault="00F13303" w:rsidP="00597C20">
      <w:pPr>
        <w:ind w:firstLine="720"/>
        <w:rPr>
          <w:rFonts w:ascii="Traditional Arabic" w:hAnsi="Traditional Arabic"/>
          <w:rtl/>
        </w:rPr>
      </w:pPr>
      <w:r w:rsidRPr="00683508">
        <w:rPr>
          <w:rFonts w:ascii="Traditional Arabic" w:hAnsi="Traditional Arabic" w:hint="cs"/>
          <w:rtl/>
        </w:rPr>
        <w:t xml:space="preserve">ذكر الشيخ ابن عثيمين </w:t>
      </w:r>
      <w:r w:rsidR="004173D5">
        <w:rPr>
          <w:rFonts w:ascii="Traditional Arabic" w:hAnsi="Traditional Arabic" w:hint="cs"/>
          <w:rtl/>
        </w:rPr>
        <w:t>_</w:t>
      </w:r>
      <w:r w:rsidR="009A0575" w:rsidRPr="005D5694">
        <w:rPr>
          <w:rFonts w:ascii="Traditional Arabic" w:hAnsi="Traditional Arabic" w:cs="CTraditional Arabic" w:hint="cs"/>
          <w:rtl/>
        </w:rPr>
        <w:t>/</w:t>
      </w:r>
      <w:r w:rsidR="004173D5">
        <w:rPr>
          <w:rFonts w:ascii="Traditional Arabic" w:hAnsi="Traditional Arabic" w:hint="cs"/>
          <w:rtl/>
        </w:rPr>
        <w:t>_</w:t>
      </w:r>
      <w:r w:rsidR="001C664E">
        <w:rPr>
          <w:rFonts w:ascii="Traditional Arabic" w:hAnsi="Traditional Arabic" w:hint="cs"/>
          <w:rtl/>
        </w:rPr>
        <w:t xml:space="preserve"> </w:t>
      </w:r>
      <w:r w:rsidRPr="00683508">
        <w:rPr>
          <w:rFonts w:ascii="Traditional Arabic" w:hAnsi="Traditional Arabic" w:hint="cs"/>
          <w:rtl/>
        </w:rPr>
        <w:t>في فوائد الآية أن للوسائل أحكام المقاصد،</w:t>
      </w:r>
      <w:r w:rsidR="00154102" w:rsidRPr="00683508">
        <w:rPr>
          <w:rFonts w:ascii="Traditional Arabic" w:hAnsi="Traditional Arabic" w:hint="cs"/>
          <w:rtl/>
        </w:rPr>
        <w:t xml:space="preserve"> و</w:t>
      </w:r>
      <w:r w:rsidRPr="00683508">
        <w:rPr>
          <w:rFonts w:ascii="Traditional Arabic" w:hAnsi="Traditional Arabic" w:hint="cs"/>
          <w:rtl/>
        </w:rPr>
        <w:t>أن ذلك يُستفاد من جواز أَخْذِ الإنسانِ من امرأته ما آتاها، أو بعضَه</w:t>
      </w:r>
      <w:r w:rsidR="001C664E">
        <w:rPr>
          <w:rFonts w:ascii="Traditional Arabic" w:hAnsi="Traditional Arabic" w:hint="cs"/>
          <w:rtl/>
        </w:rPr>
        <w:t>،</w:t>
      </w:r>
      <w:r w:rsidRPr="00683508">
        <w:rPr>
          <w:rFonts w:ascii="Traditional Arabic" w:hAnsi="Traditional Arabic" w:hint="cs"/>
          <w:rtl/>
        </w:rPr>
        <w:t xml:space="preserve"> إذا خِيفَتْ المفسدة في البقاء على الزوجية</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581"/>
      </w:r>
      <w:r w:rsidRPr="00C821A1">
        <w:rPr>
          <w:rFonts w:ascii="Traditional Arabic" w:hAnsi="Traditional Arabic" w:hint="cs"/>
          <w:szCs w:val="32"/>
          <w:vertAlign w:val="superscript"/>
          <w:rtl/>
        </w:rPr>
        <w:t>)</w:t>
      </w:r>
      <w:r w:rsidRPr="00683508">
        <w:rPr>
          <w:rFonts w:ascii="Traditional Arabic" w:hAnsi="Traditional Arabic" w:hint="cs"/>
          <w:rtl/>
        </w:rPr>
        <w:t>.</w:t>
      </w:r>
    </w:p>
    <w:p w:rsidR="00F13303" w:rsidRPr="00541E23" w:rsidRDefault="00F13303" w:rsidP="000A76C7">
      <w:pPr>
        <w:pStyle w:val="afc"/>
        <w:numPr>
          <w:ilvl w:val="0"/>
          <w:numId w:val="97"/>
        </w:numPr>
        <w:rPr>
          <w:rFonts w:ascii="Traditional Arabic" w:hAnsi="Traditional Arabic"/>
          <w:color w:val="auto"/>
          <w:rtl/>
        </w:rPr>
      </w:pPr>
      <w:r w:rsidRPr="00541E23">
        <w:rPr>
          <w:rFonts w:ascii="Traditional Arabic" w:hAnsi="Traditional Arabic" w:hint="cs"/>
          <w:rtl/>
        </w:rPr>
        <w:t>قوله تعالى :</w:t>
      </w:r>
      <w:bookmarkStart w:id="118" w:name="سورة_النساء_3"/>
      <w:r w:rsidRPr="00541E23">
        <w:rPr>
          <w:rFonts w:ascii="QCF_BSML" w:hAnsi="QCF_BSML" w:cs="QCF_BSML"/>
          <w:noProof w:val="0"/>
          <w:rtl/>
          <w:lang w:eastAsia="en-US"/>
        </w:rPr>
        <w:t>ﭽ</w:t>
      </w:r>
      <w:r w:rsidRPr="00541E23">
        <w:rPr>
          <w:rFonts w:ascii="QCF_P077" w:hAnsi="QCF_P077" w:cs="QCF_P077"/>
          <w:noProof w:val="0"/>
          <w:rtl/>
          <w:lang w:eastAsia="en-US"/>
        </w:rPr>
        <w:t>ﮄ</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ﮅ</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ﮆ</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ﮇ</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ﮈ</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ﮉ</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ﮊ</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ﮋ</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ﮌ</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ﮍ</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ﮎ</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ﮏ</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ﮐ</w:t>
      </w:r>
      <w:r w:rsidR="00D54649">
        <w:rPr>
          <w:rFonts w:ascii="QCF_P077" w:hAnsi="QCF_P077" w:cs="QCF_P077" w:hint="cs"/>
          <w:noProof w:val="0"/>
          <w:rtl/>
          <w:lang w:eastAsia="en-US"/>
        </w:rPr>
        <w:t xml:space="preserve"> </w:t>
      </w:r>
      <w:r w:rsidRPr="00541E23">
        <w:rPr>
          <w:rFonts w:ascii="QCF_P077" w:hAnsi="QCF_P077" w:cs="QCF_P077"/>
          <w:noProof w:val="0"/>
          <w:rtl/>
          <w:lang w:eastAsia="en-US"/>
        </w:rPr>
        <w:t>ﮑﮒ</w:t>
      </w:r>
      <w:r w:rsidRPr="00541E23">
        <w:rPr>
          <w:rFonts w:ascii="QCF_P077" w:hAnsi="QCF_P077" w:cs="QCF_P077"/>
          <w:noProof w:val="0"/>
          <w:color w:val="0000A5"/>
          <w:rtl/>
          <w:lang w:eastAsia="en-US"/>
        </w:rPr>
        <w:t>ﮓ</w:t>
      </w:r>
      <w:r w:rsidRPr="00541E23">
        <w:rPr>
          <w:rFonts w:ascii="QCF_P077" w:hAnsi="QCF_P077" w:cs="QCF_P077"/>
          <w:noProof w:val="0"/>
          <w:rtl/>
          <w:lang w:eastAsia="en-US"/>
        </w:rPr>
        <w:t>ﮔﮕﮖﮗﮘﮙﮚﮛﮜ</w:t>
      </w:r>
      <w:r w:rsidRPr="00541E23">
        <w:rPr>
          <w:rFonts w:ascii="QCF_P077" w:hAnsi="QCF_P077" w:cs="QCF_P077"/>
          <w:noProof w:val="0"/>
          <w:color w:val="0000A5"/>
          <w:rtl/>
          <w:lang w:eastAsia="en-US"/>
        </w:rPr>
        <w:t>ﮝ</w:t>
      </w:r>
      <w:r w:rsidRPr="00541E23">
        <w:rPr>
          <w:rFonts w:ascii="QCF_P077" w:hAnsi="QCF_P077" w:cs="QCF_P077"/>
          <w:noProof w:val="0"/>
          <w:rtl/>
          <w:lang w:eastAsia="en-US"/>
        </w:rPr>
        <w:t>ﮞﮟﮠﮡ</w:t>
      </w:r>
      <w:r w:rsidRPr="00541E23">
        <w:rPr>
          <w:rFonts w:ascii="QCF_BSML" w:hAnsi="QCF_BSML" w:cs="QCF_BSML"/>
          <w:noProof w:val="0"/>
          <w:rtl/>
          <w:lang w:eastAsia="en-US"/>
        </w:rPr>
        <w:t>ﭼ</w:t>
      </w:r>
      <w:bookmarkEnd w:id="118"/>
      <w:r w:rsidRPr="00541E23">
        <w:rPr>
          <w:rFonts w:ascii="Traditional Arabic" w:hAnsi="Traditional Arabic" w:hint="cs"/>
          <w:noProof w:val="0"/>
          <w:color w:val="auto"/>
          <w:rtl/>
          <w:lang w:eastAsia="en-US"/>
        </w:rPr>
        <w:t>[</w:t>
      </w:r>
      <w:r w:rsidRPr="00541E23">
        <w:rPr>
          <w:rFonts w:ascii="Traditional Arabic" w:hAnsi="Traditional Arabic"/>
          <w:noProof w:val="0"/>
          <w:color w:val="auto"/>
          <w:rtl/>
          <w:lang w:eastAsia="en-US"/>
        </w:rPr>
        <w:t>النساء: ٣</w:t>
      </w:r>
      <w:r w:rsidRPr="00541E23">
        <w:rPr>
          <w:rFonts w:ascii="Traditional Arabic" w:hAnsi="Traditional Arabic" w:hint="cs"/>
          <w:color w:val="auto"/>
          <w:rtl/>
        </w:rPr>
        <w:t>].</w:t>
      </w:r>
    </w:p>
    <w:p w:rsidR="00F13303" w:rsidRDefault="00F13303" w:rsidP="00597C20">
      <w:pPr>
        <w:pStyle w:val="53"/>
        <w:rPr>
          <w:rtl/>
        </w:rPr>
      </w:pPr>
      <w:r>
        <w:rPr>
          <w:rFonts w:hint="cs"/>
          <w:rtl/>
        </w:rPr>
        <w:t>وجه الدلالة :</w:t>
      </w:r>
    </w:p>
    <w:p w:rsidR="00F13303" w:rsidRPr="00683508" w:rsidRDefault="00F13303" w:rsidP="00597C20">
      <w:pPr>
        <w:ind w:firstLine="720"/>
        <w:rPr>
          <w:rFonts w:ascii="Traditional Arabic" w:hAnsi="Traditional Arabic"/>
          <w:color w:val="auto"/>
          <w:rtl/>
        </w:rPr>
      </w:pPr>
      <w:r w:rsidRPr="00683508">
        <w:rPr>
          <w:rFonts w:ascii="Traditional Arabic" w:hAnsi="Traditional Arabic" w:hint="cs"/>
          <w:color w:val="auto"/>
          <w:rtl/>
        </w:rPr>
        <w:t>مما يُستفاد من الآية تحريم الوسائل المؤدِّية إلى المحرَّم؛</w:t>
      </w:r>
      <w:r w:rsidR="00D514D2">
        <w:rPr>
          <w:rFonts w:ascii="Traditional Arabic" w:hAnsi="Traditional Arabic" w:hint="cs"/>
          <w:color w:val="auto"/>
          <w:rtl/>
        </w:rPr>
        <w:t xml:space="preserve"> </w:t>
      </w:r>
      <w:r w:rsidRPr="00683508">
        <w:rPr>
          <w:rFonts w:ascii="Traditional Arabic" w:hAnsi="Traditional Arabic" w:hint="cs"/>
          <w:color w:val="auto"/>
          <w:rtl/>
        </w:rPr>
        <w:t>لقوله تعالى:</w:t>
      </w:r>
      <w:r w:rsidRPr="00683508">
        <w:rPr>
          <w:rFonts w:ascii="QCF_BSML" w:hAnsi="QCF_BSML" w:cs="QCF_BSML"/>
          <w:noProof w:val="0"/>
          <w:rtl/>
          <w:lang w:eastAsia="en-US"/>
        </w:rPr>
        <w:t>ﭽ</w:t>
      </w:r>
      <w:r w:rsidRPr="00683508">
        <w:rPr>
          <w:rFonts w:ascii="QCF_P077" w:hAnsi="QCF_P077" w:cs="QCF_P077"/>
          <w:noProof w:val="0"/>
          <w:rtl/>
          <w:lang w:eastAsia="en-US"/>
        </w:rPr>
        <w:t>ﮔ</w:t>
      </w:r>
      <w:r w:rsidR="00D54649">
        <w:rPr>
          <w:rFonts w:ascii="QCF_P077" w:hAnsi="QCF_P077" w:cs="QCF_P077" w:hint="cs"/>
          <w:noProof w:val="0"/>
          <w:rtl/>
          <w:lang w:eastAsia="en-US"/>
        </w:rPr>
        <w:t xml:space="preserve"> </w:t>
      </w:r>
      <w:r w:rsidRPr="00683508">
        <w:rPr>
          <w:rFonts w:ascii="QCF_P077" w:hAnsi="QCF_P077" w:cs="QCF_P077"/>
          <w:noProof w:val="0"/>
          <w:rtl/>
          <w:lang w:eastAsia="en-US"/>
        </w:rPr>
        <w:t>ﮕ</w:t>
      </w:r>
      <w:r w:rsidR="00D54649">
        <w:rPr>
          <w:rFonts w:ascii="QCF_P077" w:hAnsi="QCF_P077" w:cs="QCF_P077" w:hint="cs"/>
          <w:noProof w:val="0"/>
          <w:rtl/>
          <w:lang w:eastAsia="en-US"/>
        </w:rPr>
        <w:t xml:space="preserve"> </w:t>
      </w:r>
      <w:r w:rsidRPr="00683508">
        <w:rPr>
          <w:rFonts w:ascii="QCF_P077" w:hAnsi="QCF_P077" w:cs="QCF_P077"/>
          <w:noProof w:val="0"/>
          <w:rtl/>
          <w:lang w:eastAsia="en-US"/>
        </w:rPr>
        <w:t>ﮖ</w:t>
      </w:r>
      <w:r w:rsidR="00D54649">
        <w:rPr>
          <w:rFonts w:ascii="QCF_P077" w:hAnsi="QCF_P077" w:cs="QCF_P077" w:hint="cs"/>
          <w:noProof w:val="0"/>
          <w:rtl/>
          <w:lang w:eastAsia="en-US"/>
        </w:rPr>
        <w:t xml:space="preserve"> </w:t>
      </w:r>
      <w:r w:rsidRPr="00683508">
        <w:rPr>
          <w:rFonts w:ascii="QCF_P077" w:hAnsi="QCF_P077" w:cs="QCF_P077"/>
          <w:noProof w:val="0"/>
          <w:rtl/>
          <w:lang w:eastAsia="en-US"/>
        </w:rPr>
        <w:t>ﮗ</w:t>
      </w:r>
      <w:r w:rsidR="00D54649">
        <w:rPr>
          <w:rFonts w:ascii="QCF_P077" w:hAnsi="QCF_P077" w:cs="QCF_P077" w:hint="cs"/>
          <w:noProof w:val="0"/>
          <w:rtl/>
          <w:lang w:eastAsia="en-US"/>
        </w:rPr>
        <w:t xml:space="preserve"> </w:t>
      </w:r>
      <w:r w:rsidRPr="00683508">
        <w:rPr>
          <w:rFonts w:ascii="QCF_P077" w:hAnsi="QCF_P077" w:cs="QCF_P077"/>
          <w:noProof w:val="0"/>
          <w:rtl/>
          <w:lang w:eastAsia="en-US"/>
        </w:rPr>
        <w:t>ﮘ</w:t>
      </w:r>
      <w:r w:rsidR="00D54649">
        <w:rPr>
          <w:rFonts w:ascii="QCF_P077" w:hAnsi="QCF_P077" w:cs="QCF_P077" w:hint="cs"/>
          <w:noProof w:val="0"/>
          <w:rtl/>
          <w:lang w:eastAsia="en-US"/>
        </w:rPr>
        <w:t xml:space="preserve"> </w:t>
      </w:r>
      <w:r w:rsidRPr="00683508">
        <w:rPr>
          <w:rFonts w:ascii="QCF_BSML" w:hAnsi="QCF_BSML" w:cs="QCF_BSML"/>
          <w:noProof w:val="0"/>
          <w:rtl/>
          <w:lang w:eastAsia="en-US"/>
        </w:rPr>
        <w:t>ﭼ</w:t>
      </w:r>
      <w:r w:rsidR="00B76414" w:rsidRPr="00683508">
        <w:rPr>
          <w:rFonts w:ascii="Arial" w:hAnsi="Arial" w:cs="Arial"/>
          <w:noProof w:val="0"/>
          <w:rtl/>
          <w:lang w:eastAsia="en-US"/>
        </w:rPr>
        <w:t>،</w:t>
      </w:r>
      <w:r w:rsidR="00D514D2">
        <w:rPr>
          <w:rFonts w:ascii="Arial" w:hAnsi="Arial" w:cs="Arial" w:hint="cs"/>
          <w:noProof w:val="0"/>
          <w:rtl/>
          <w:lang w:eastAsia="en-US"/>
        </w:rPr>
        <w:t xml:space="preserve"> </w:t>
      </w:r>
      <w:r w:rsidRPr="00683508">
        <w:rPr>
          <w:rFonts w:ascii="Traditional Arabic" w:hAnsi="Traditional Arabic" w:hint="cs"/>
          <w:color w:val="auto"/>
          <w:rtl/>
        </w:rPr>
        <w:t xml:space="preserve">فالله تعالى أَوجب الاقتصار على الواحدة إذا خاف الإنسان عدم العدل، وهذه </w:t>
      </w:r>
      <w:r w:rsidRPr="00683508">
        <w:rPr>
          <w:rFonts w:ascii="Traditional Arabic" w:hAnsi="Traditional Arabic" w:hint="cs"/>
          <w:color w:val="auto"/>
          <w:rtl/>
        </w:rPr>
        <w:lastRenderedPageBreak/>
        <w:t>قاعدة عظيمة في أصول الفقه</w:t>
      </w:r>
      <w:r w:rsidR="004173D5">
        <w:rPr>
          <w:rFonts w:ascii="Traditional Arabic" w:hAnsi="Traditional Arabic" w:hint="cs"/>
          <w:color w:val="auto"/>
          <w:rtl/>
        </w:rPr>
        <w:t>:</w:t>
      </w:r>
      <w:r w:rsidRPr="00683508">
        <w:rPr>
          <w:rFonts w:ascii="Traditional Arabic" w:hAnsi="Traditional Arabic" w:hint="cs"/>
          <w:color w:val="auto"/>
          <w:rtl/>
        </w:rPr>
        <w:t xml:space="preserve"> </w:t>
      </w:r>
      <w:r w:rsidR="004173D5">
        <w:rPr>
          <w:rFonts w:ascii="Traditional Arabic" w:hAnsi="Traditional Arabic" w:hint="cs"/>
          <w:color w:val="auto"/>
          <w:rtl/>
        </w:rPr>
        <w:t>"</w:t>
      </w:r>
      <w:r w:rsidRPr="00683508">
        <w:rPr>
          <w:rFonts w:ascii="Traditional Arabic" w:hAnsi="Traditional Arabic" w:hint="cs"/>
          <w:color w:val="auto"/>
          <w:rtl/>
        </w:rPr>
        <w:t>أن للوسائل أحكام المقاصد</w:t>
      </w:r>
      <w:r w:rsidR="004173D5">
        <w:rPr>
          <w:rFonts w:ascii="Traditional Arabic" w:hAnsi="Traditional Arabic" w:hint="cs"/>
          <w:color w:val="auto"/>
          <w:rtl/>
        </w:rPr>
        <w:t>"</w:t>
      </w:r>
      <w:r w:rsidRPr="00C821A1">
        <w:rPr>
          <w:rFonts w:ascii="Traditional Arabic" w:hAnsi="Traditional Arabic" w:hint="cs"/>
          <w:b/>
          <w:color w:val="auto"/>
          <w:szCs w:val="32"/>
          <w:vertAlign w:val="superscript"/>
          <w:rtl/>
        </w:rPr>
        <w:t>(</w:t>
      </w:r>
      <w:r w:rsidRPr="00C821A1">
        <w:rPr>
          <w:rStyle w:val="af1"/>
          <w:rFonts w:ascii="Traditional Arabic" w:hAnsi="Traditional Arabic"/>
          <w:color w:val="auto"/>
          <w:szCs w:val="32"/>
          <w:rtl/>
        </w:rPr>
        <w:footnoteReference w:id="582"/>
      </w:r>
      <w:r w:rsidRPr="00C821A1">
        <w:rPr>
          <w:rFonts w:ascii="Traditional Arabic" w:hAnsi="Traditional Arabic" w:hint="cs"/>
          <w:color w:val="auto"/>
          <w:szCs w:val="32"/>
          <w:vertAlign w:val="superscript"/>
          <w:rtl/>
        </w:rPr>
        <w:t>)</w:t>
      </w:r>
      <w:r w:rsidRPr="00683508">
        <w:rPr>
          <w:rFonts w:ascii="Traditional Arabic" w:hAnsi="Traditional Arabic" w:hint="cs"/>
          <w:color w:val="auto"/>
          <w:rtl/>
        </w:rPr>
        <w:t>.</w:t>
      </w:r>
    </w:p>
    <w:p w:rsidR="00F13303" w:rsidRPr="00D54649" w:rsidRDefault="00D54649" w:rsidP="000A76C7">
      <w:pPr>
        <w:pStyle w:val="afc"/>
        <w:numPr>
          <w:ilvl w:val="0"/>
          <w:numId w:val="97"/>
        </w:numPr>
        <w:rPr>
          <w:rFonts w:ascii="Traditional Arabic" w:hAnsi="Traditional Arabic"/>
          <w:color w:val="auto"/>
          <w:rtl/>
        </w:rPr>
      </w:pPr>
      <w:r w:rsidRPr="00D54649">
        <w:rPr>
          <w:rFonts w:ascii="Traditional Arabic" w:hAnsi="Traditional Arabic" w:hint="cs"/>
          <w:color w:val="auto"/>
          <w:rtl/>
        </w:rPr>
        <w:t xml:space="preserve">قوله </w:t>
      </w:r>
      <w:r w:rsidR="00F13303" w:rsidRPr="00D54649">
        <w:rPr>
          <w:rFonts w:ascii="Traditional Arabic" w:hAnsi="Traditional Arabic" w:hint="cs"/>
          <w:color w:val="auto"/>
          <w:rtl/>
        </w:rPr>
        <w:t>تعالى:</w:t>
      </w:r>
      <w:bookmarkStart w:id="119" w:name="سورة_الأنعام_108_2"/>
      <w:r w:rsidR="00F13303" w:rsidRPr="00D54649">
        <w:rPr>
          <w:rFonts w:ascii="QCF_BSML" w:hAnsi="QCF_BSML" w:cs="QCF_BSML"/>
          <w:noProof w:val="0"/>
          <w:rtl/>
          <w:lang w:eastAsia="en-US"/>
        </w:rPr>
        <w:t>ﭽ</w:t>
      </w:r>
      <w:r w:rsidR="00F13303" w:rsidRPr="00D54649">
        <w:rPr>
          <w:rFonts w:ascii="QCF_P141" w:hAnsi="QCF_P141" w:cs="QCF_P141"/>
          <w:noProof w:val="0"/>
          <w:rtl/>
          <w:lang w:eastAsia="en-US"/>
        </w:rPr>
        <w:t>ﮬ</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ﮭ</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ﮮ</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ﮯ</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ﮰ</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ﮱ</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ﯓ</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ﯔ</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ﯕ</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ﯖ</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ﯗ</w:t>
      </w:r>
      <w:r>
        <w:rPr>
          <w:rFonts w:ascii="QCF_P141" w:hAnsi="QCF_P141" w:cs="QCF_P141" w:hint="cs"/>
          <w:noProof w:val="0"/>
          <w:rtl/>
          <w:lang w:eastAsia="en-US"/>
        </w:rPr>
        <w:t xml:space="preserve"> </w:t>
      </w:r>
      <w:r w:rsidR="00F13303" w:rsidRPr="00D54649">
        <w:rPr>
          <w:rFonts w:ascii="QCF_P141" w:hAnsi="QCF_P141" w:cs="QCF_P141"/>
          <w:noProof w:val="0"/>
          <w:rtl/>
          <w:lang w:eastAsia="en-US"/>
        </w:rPr>
        <w:t>ﯘ</w:t>
      </w:r>
      <w:r w:rsidR="00F13303" w:rsidRPr="00D54649">
        <w:rPr>
          <w:rFonts w:ascii="QCF_BSML" w:hAnsi="QCF_BSML" w:cs="QCF_BSML"/>
          <w:noProof w:val="0"/>
          <w:rtl/>
          <w:lang w:eastAsia="en-US"/>
        </w:rPr>
        <w:t>ﭼ</w:t>
      </w:r>
      <w:bookmarkEnd w:id="119"/>
      <w:r w:rsidR="00F13303" w:rsidRPr="00D54649">
        <w:rPr>
          <w:rFonts w:ascii="Traditional Arabic" w:hAnsi="Traditional Arabic" w:hint="cs"/>
          <w:noProof w:val="0"/>
          <w:rtl/>
          <w:lang w:eastAsia="en-US"/>
        </w:rPr>
        <w:t>[</w:t>
      </w:r>
      <w:r w:rsidR="00F13303" w:rsidRPr="00D54649">
        <w:rPr>
          <w:rFonts w:ascii="Traditional Arabic" w:hAnsi="Traditional Arabic"/>
          <w:noProof w:val="0"/>
          <w:color w:val="auto"/>
          <w:rtl/>
          <w:lang w:eastAsia="en-US"/>
        </w:rPr>
        <w:t>الأنعام: ١٠٨</w:t>
      </w:r>
      <w:r w:rsidR="00F13303" w:rsidRPr="00D54649">
        <w:rPr>
          <w:rFonts w:ascii="Traditional Arabic" w:hAnsi="Traditional Arabic" w:hint="cs"/>
          <w:color w:val="auto"/>
          <w:rtl/>
        </w:rPr>
        <w:t>].</w:t>
      </w:r>
    </w:p>
    <w:p w:rsidR="00F13303" w:rsidRDefault="00F13303" w:rsidP="00597C20">
      <w:pPr>
        <w:pStyle w:val="53"/>
        <w:rPr>
          <w:rtl/>
        </w:rPr>
      </w:pPr>
      <w:r>
        <w:rPr>
          <w:rFonts w:hint="cs"/>
          <w:rtl/>
        </w:rPr>
        <w:t>وجه الدلالة:</w:t>
      </w:r>
    </w:p>
    <w:p w:rsidR="00F13303" w:rsidRPr="00683508" w:rsidRDefault="00F13303" w:rsidP="001C664E">
      <w:pPr>
        <w:ind w:firstLine="720"/>
        <w:rPr>
          <w:rFonts w:ascii="Traditional Arabic" w:hAnsi="Traditional Arabic"/>
          <w:color w:val="auto"/>
        </w:rPr>
      </w:pPr>
      <w:r w:rsidRPr="00683508">
        <w:rPr>
          <w:rFonts w:ascii="Traditional Arabic" w:hAnsi="Traditional Arabic" w:hint="cs"/>
          <w:color w:val="auto"/>
          <w:rtl/>
        </w:rPr>
        <w:t>لما كان سَبُّ آلهة المشركين ذَريعةً</w:t>
      </w:r>
      <w:r w:rsidR="001C664E">
        <w:rPr>
          <w:rFonts w:ascii="Traditional Arabic" w:hAnsi="Traditional Arabic" w:hint="cs"/>
          <w:color w:val="auto"/>
          <w:szCs w:val="32"/>
          <w:vertAlign w:val="superscript"/>
          <w:rtl/>
        </w:rPr>
        <w:t xml:space="preserve"> </w:t>
      </w:r>
      <w:r w:rsidRPr="00683508">
        <w:rPr>
          <w:rFonts w:ascii="Traditional Arabic" w:hAnsi="Traditional Arabic" w:hint="cs"/>
          <w:color w:val="auto"/>
          <w:rtl/>
        </w:rPr>
        <w:t>إلى سبِّ الله، نهى الله عنه؛ لأن</w:t>
      </w:r>
      <w:r w:rsidR="004173D5">
        <w:rPr>
          <w:rFonts w:ascii="Traditional Arabic" w:hAnsi="Traditional Arabic" w:hint="cs"/>
          <w:color w:val="auto"/>
          <w:rtl/>
        </w:rPr>
        <w:t xml:space="preserve"> </w:t>
      </w:r>
      <w:r w:rsidRPr="00683508">
        <w:rPr>
          <w:rFonts w:ascii="Traditional Arabic" w:hAnsi="Traditional Arabic" w:hint="cs"/>
          <w:color w:val="auto"/>
          <w:rtl/>
        </w:rPr>
        <w:t>الوسائل لها أحكام المقاصد</w:t>
      </w:r>
      <w:r w:rsidRPr="00C821A1">
        <w:rPr>
          <w:rFonts w:ascii="Traditional Arabic" w:hAnsi="Traditional Arabic" w:hint="cs"/>
          <w:b/>
          <w:color w:val="auto"/>
          <w:szCs w:val="32"/>
          <w:vertAlign w:val="superscript"/>
          <w:rtl/>
        </w:rPr>
        <w:t>(</w:t>
      </w:r>
      <w:r w:rsidRPr="00C821A1">
        <w:rPr>
          <w:rStyle w:val="af1"/>
          <w:rFonts w:ascii="Traditional Arabic" w:hAnsi="Traditional Arabic"/>
          <w:color w:val="auto"/>
          <w:szCs w:val="32"/>
          <w:rtl/>
        </w:rPr>
        <w:footnoteReference w:id="583"/>
      </w:r>
      <w:r w:rsidRPr="00C821A1">
        <w:rPr>
          <w:rFonts w:ascii="Traditional Arabic" w:hAnsi="Traditional Arabic" w:hint="cs"/>
          <w:color w:val="auto"/>
          <w:szCs w:val="32"/>
          <w:vertAlign w:val="superscript"/>
          <w:rtl/>
        </w:rPr>
        <w:t>)</w:t>
      </w:r>
      <w:r w:rsidRPr="00683508">
        <w:rPr>
          <w:rFonts w:ascii="Traditional Arabic" w:hAnsi="Traditional Arabic" w:hint="cs"/>
          <w:color w:val="auto"/>
          <w:rtl/>
        </w:rPr>
        <w:t>.</w:t>
      </w:r>
    </w:p>
    <w:p w:rsidR="00F13303" w:rsidRPr="00541E23" w:rsidRDefault="00F13303" w:rsidP="000A76C7">
      <w:pPr>
        <w:pStyle w:val="afc"/>
        <w:numPr>
          <w:ilvl w:val="0"/>
          <w:numId w:val="97"/>
        </w:numPr>
        <w:rPr>
          <w:rFonts w:ascii="Traditional Arabic" w:hAnsi="Traditional Arabic"/>
          <w:color w:val="auto"/>
          <w:rtl/>
        </w:rPr>
      </w:pPr>
      <w:r w:rsidRPr="00541E23">
        <w:rPr>
          <w:rFonts w:ascii="Traditional Arabic" w:hAnsi="Traditional Arabic" w:hint="cs"/>
          <w:color w:val="auto"/>
          <w:rtl/>
        </w:rPr>
        <w:t xml:space="preserve">حديث جابر بن عبد الله </w:t>
      </w:r>
      <w:r w:rsidR="004173D5">
        <w:rPr>
          <w:rFonts w:ascii="Traditional Arabic" w:hAnsi="Traditional Arabic" w:hint="cs"/>
          <w:color w:val="auto"/>
          <w:rtl/>
        </w:rPr>
        <w:t>_</w:t>
      </w:r>
      <w:r w:rsidR="00154102">
        <w:rPr>
          <w:rFonts w:ascii="Traditional Arabic" w:hAnsi="Traditional Arabic" w:cs="CTraditional Arabic" w:hint="cs"/>
          <w:noProof w:val="0"/>
          <w:color w:val="auto"/>
          <w:rtl/>
          <w:lang w:eastAsia="en-US"/>
        </w:rPr>
        <w:t>ب</w:t>
      </w:r>
      <w:r w:rsidR="004173D5">
        <w:rPr>
          <w:rFonts w:ascii="Traditional Arabic" w:hAnsi="Traditional Arabic" w:hint="cs"/>
          <w:color w:val="auto"/>
          <w:rtl/>
        </w:rPr>
        <w:t>_</w:t>
      </w:r>
      <w:r w:rsidRPr="00541E23">
        <w:rPr>
          <w:rFonts w:ascii="Traditional Arabic" w:hAnsi="Traditional Arabic" w:hint="cs"/>
          <w:color w:val="auto"/>
          <w:rtl/>
        </w:rPr>
        <w:t xml:space="preserve"> قال:"نهى رسول الله </w:t>
      </w:r>
      <w:r w:rsidR="00F350DE">
        <w:rPr>
          <w:rFonts w:ascii="Traditional Arabic" w:hAnsi="Traditional Arabic"/>
          <w:noProof w:val="0"/>
          <w:color w:val="auto"/>
          <w:rtl/>
          <w:lang w:eastAsia="en-US"/>
        </w:rPr>
        <w:sym w:font="AGA Arabesque" w:char="F072"/>
      </w:r>
      <w:r w:rsidRPr="00541E23">
        <w:rPr>
          <w:rFonts w:ascii="Traditional Arabic" w:hAnsi="Traditional Arabic" w:hint="cs"/>
          <w:color w:val="auto"/>
          <w:rtl/>
        </w:rPr>
        <w:t xml:space="preserve"> أن يُجَصَّص</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584"/>
      </w:r>
      <w:r w:rsidRPr="00C821A1">
        <w:rPr>
          <w:rFonts w:ascii="Traditional Arabic" w:hAnsi="Traditional Arabic" w:hint="cs"/>
          <w:color w:val="auto"/>
          <w:szCs w:val="32"/>
          <w:vertAlign w:val="superscript"/>
          <w:rtl/>
        </w:rPr>
        <w:t>)</w:t>
      </w:r>
      <w:r w:rsidRPr="00541E23">
        <w:rPr>
          <w:rFonts w:ascii="Traditional Arabic" w:hAnsi="Traditional Arabic" w:hint="cs"/>
          <w:color w:val="auto"/>
          <w:rtl/>
        </w:rPr>
        <w:t>القبرُ،</w:t>
      </w:r>
      <w:r w:rsidR="00AB0B9E">
        <w:rPr>
          <w:rFonts w:ascii="Traditional Arabic" w:hAnsi="Traditional Arabic"/>
          <w:color w:val="auto"/>
          <w:rtl/>
        </w:rPr>
        <w:fldChar w:fldCharType="begin"/>
      </w:r>
      <w:r w:rsidR="00CA2D76" w:rsidRPr="00C85F0F">
        <w:instrText>XE</w:instrText>
      </w:r>
      <w:r w:rsidR="00CA2D76" w:rsidRPr="00C85F0F">
        <w:rPr>
          <w:rtl/>
        </w:rPr>
        <w:instrText xml:space="preserve"> "</w:instrText>
      </w:r>
      <w:r w:rsidR="00CA2D76" w:rsidRPr="00C85F0F">
        <w:rPr>
          <w:rFonts w:ascii="Traditional Arabic" w:hAnsi="Traditional Arabic" w:hint="cs"/>
          <w:color w:val="auto"/>
          <w:rtl/>
        </w:rPr>
        <w:instrText xml:space="preserve">نهى رسول الله </w:instrText>
      </w:r>
      <w:r w:rsidR="00CA2D76" w:rsidRPr="00C85F0F">
        <w:rPr>
          <w:rFonts w:ascii="Traditional Arabic" w:hAnsi="Traditional Arabic"/>
          <w:noProof w:val="0"/>
          <w:color w:val="auto"/>
          <w:rtl/>
          <w:lang w:eastAsia="en-US"/>
        </w:rPr>
        <w:sym w:font="AGA Arabesque" w:char="F072"/>
      </w:r>
      <w:r w:rsidR="00CA2D76" w:rsidRPr="00C85F0F">
        <w:rPr>
          <w:rFonts w:ascii="Traditional Arabic" w:hAnsi="Traditional Arabic" w:hint="cs"/>
          <w:color w:val="auto"/>
          <w:rtl/>
        </w:rPr>
        <w:instrText xml:space="preserve"> أن يُجَصَّصالقبرُ،</w:instrText>
      </w:r>
      <w:r w:rsidR="00CA2D76" w:rsidRPr="00C85F0F">
        <w:rPr>
          <w:rtl/>
        </w:rPr>
        <w:instrText>" \</w:instrText>
      </w:r>
      <w:r w:rsidR="00CA2D76" w:rsidRPr="00C85F0F">
        <w:instrText>f</w:instrText>
      </w:r>
      <w:r w:rsidR="00CA2D76">
        <w:instrText>h</w:instrText>
      </w:r>
      <w:r w:rsidR="00AB0B9E">
        <w:rPr>
          <w:rFonts w:ascii="Traditional Arabic" w:hAnsi="Traditional Arabic"/>
          <w:color w:val="auto"/>
          <w:rtl/>
        </w:rPr>
        <w:fldChar w:fldCharType="end"/>
      </w:r>
      <w:r w:rsidR="00154102">
        <w:rPr>
          <w:rFonts w:ascii="Traditional Arabic" w:hAnsi="Traditional Arabic" w:hint="cs"/>
          <w:color w:val="auto"/>
          <w:rtl/>
        </w:rPr>
        <w:t xml:space="preserve"> و</w:t>
      </w:r>
      <w:r w:rsidRPr="00541E23">
        <w:rPr>
          <w:rFonts w:ascii="Traditional Arabic" w:hAnsi="Traditional Arabic" w:hint="cs"/>
          <w:color w:val="auto"/>
          <w:rtl/>
        </w:rPr>
        <w:t>أن يُقْعَد عليه</w:t>
      </w:r>
      <w:r w:rsidR="00154102">
        <w:rPr>
          <w:rFonts w:ascii="Traditional Arabic" w:hAnsi="Traditional Arabic" w:hint="cs"/>
          <w:color w:val="auto"/>
          <w:rtl/>
        </w:rPr>
        <w:t xml:space="preserve"> و</w:t>
      </w:r>
      <w:r w:rsidRPr="00541E23">
        <w:rPr>
          <w:rFonts w:ascii="Traditional Arabic" w:hAnsi="Traditional Arabic" w:hint="cs"/>
          <w:color w:val="auto"/>
          <w:rtl/>
        </w:rPr>
        <w:t>أن يُبْنى عليه"</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585"/>
      </w:r>
      <w:r w:rsidRPr="00C821A1">
        <w:rPr>
          <w:rFonts w:ascii="Traditional Arabic" w:hAnsi="Traditional Arabic" w:hint="cs"/>
          <w:color w:val="auto"/>
          <w:szCs w:val="32"/>
          <w:vertAlign w:val="superscript"/>
          <w:rtl/>
        </w:rPr>
        <w:t>)</w:t>
      </w:r>
      <w:r w:rsidRPr="00541E23">
        <w:rPr>
          <w:rFonts w:ascii="Traditional Arabic" w:hAnsi="Traditional Arabic" w:hint="cs"/>
          <w:color w:val="auto"/>
          <w:rtl/>
        </w:rPr>
        <w:t>.</w:t>
      </w:r>
    </w:p>
    <w:p w:rsidR="00F13303" w:rsidRDefault="00F13303" w:rsidP="00597C20">
      <w:pPr>
        <w:pStyle w:val="53"/>
        <w:rPr>
          <w:rtl/>
        </w:rPr>
      </w:pPr>
      <w:r>
        <w:rPr>
          <w:rFonts w:hint="cs"/>
          <w:rtl/>
        </w:rPr>
        <w:t>وجه الدلالة :</w:t>
      </w:r>
    </w:p>
    <w:p w:rsidR="00F228A9" w:rsidRPr="00683508" w:rsidRDefault="00F13303" w:rsidP="00597C20">
      <w:pPr>
        <w:ind w:firstLine="720"/>
        <w:rPr>
          <w:rFonts w:ascii="Traditional Arabic" w:hAnsi="Traditional Arabic"/>
          <w:color w:val="auto"/>
          <w:rtl/>
        </w:rPr>
      </w:pPr>
      <w:r w:rsidRPr="00683508">
        <w:rPr>
          <w:rFonts w:ascii="Traditional Arabic" w:hAnsi="Traditional Arabic" w:hint="cs"/>
          <w:color w:val="auto"/>
          <w:rtl/>
        </w:rPr>
        <w:t xml:space="preserve">نهى رسول الله </w:t>
      </w:r>
      <w:r w:rsidR="00F350DE">
        <w:rPr>
          <w:noProof w:val="0"/>
          <w:rtl/>
          <w:lang w:eastAsia="en-US"/>
        </w:rPr>
        <w:sym w:font="AGA Arabesque" w:char="F072"/>
      </w:r>
      <w:r w:rsidRPr="00683508">
        <w:rPr>
          <w:rFonts w:ascii="Traditional Arabic" w:hAnsi="Traditional Arabic" w:hint="cs"/>
          <w:color w:val="auto"/>
          <w:rtl/>
        </w:rPr>
        <w:t xml:space="preserve"> أن يُجصَّص القبر؛ </w:t>
      </w:r>
      <w:r w:rsidRPr="00683508">
        <w:rPr>
          <w:rFonts w:ascii="Traditional Arabic" w:hAnsi="Traditional Arabic"/>
          <w:color w:val="auto"/>
          <w:rtl/>
        </w:rPr>
        <w:t>لأن</w:t>
      </w:r>
      <w:r w:rsidRPr="00683508">
        <w:rPr>
          <w:rFonts w:ascii="Traditional Arabic" w:hAnsi="Traditional Arabic" w:hint="cs"/>
          <w:color w:val="auto"/>
          <w:rtl/>
        </w:rPr>
        <w:t>ه يؤدي إلى تَباهي الناس في القبور</w:t>
      </w:r>
      <w:r w:rsidR="00154102" w:rsidRPr="00683508">
        <w:rPr>
          <w:rFonts w:ascii="Traditional Arabic" w:hAnsi="Traditional Arabic" w:hint="cs"/>
          <w:color w:val="auto"/>
          <w:rtl/>
        </w:rPr>
        <w:t xml:space="preserve"> و</w:t>
      </w:r>
      <w:r w:rsidRPr="00683508">
        <w:rPr>
          <w:rFonts w:ascii="Traditional Arabic" w:hAnsi="Traditional Arabic" w:hint="cs"/>
          <w:color w:val="auto"/>
          <w:rtl/>
        </w:rPr>
        <w:t>الغُلُوِّ في أصحابها الْمُفْضي إلى الشرك</w:t>
      </w:r>
      <w:r w:rsidRPr="00683508">
        <w:rPr>
          <w:rFonts w:ascii="Traditional Arabic" w:hAnsi="Traditional Arabic"/>
          <w:color w:val="auto"/>
          <w:rtl/>
        </w:rPr>
        <w:t>،</w:t>
      </w:r>
      <w:r w:rsidR="00154102" w:rsidRPr="00683508">
        <w:rPr>
          <w:rFonts w:ascii="Traditional Arabic" w:hAnsi="Traditional Arabic" w:hint="cs"/>
          <w:color w:val="auto"/>
          <w:rtl/>
        </w:rPr>
        <w:t xml:space="preserve"> و</w:t>
      </w:r>
      <w:r w:rsidRPr="00683508">
        <w:rPr>
          <w:rFonts w:ascii="Traditional Arabic" w:hAnsi="Traditional Arabic" w:hint="cs"/>
          <w:color w:val="auto"/>
          <w:rtl/>
        </w:rPr>
        <w:t>ما</w:t>
      </w:r>
      <w:r w:rsidR="00887C19">
        <w:rPr>
          <w:rFonts w:ascii="Traditional Arabic" w:hAnsi="Traditional Arabic" w:hint="cs"/>
          <w:color w:val="auto"/>
          <w:rtl/>
        </w:rPr>
        <w:t xml:space="preserve"> </w:t>
      </w:r>
      <w:r w:rsidRPr="00683508">
        <w:rPr>
          <w:rFonts w:ascii="Traditional Arabic" w:hAnsi="Traditional Arabic" w:hint="cs"/>
          <w:color w:val="auto"/>
          <w:rtl/>
        </w:rPr>
        <w:t>أفضى إلى المحرَّم أو كان ذريعةً إليه فهو محرَّم، وفي هذا دليل على اعتبار الوسائل،</w:t>
      </w:r>
      <w:r w:rsidR="00154102" w:rsidRPr="00683508">
        <w:rPr>
          <w:rFonts w:ascii="Traditional Arabic" w:hAnsi="Traditional Arabic" w:hint="cs"/>
          <w:color w:val="auto"/>
          <w:rtl/>
        </w:rPr>
        <w:t xml:space="preserve"> و</w:t>
      </w:r>
      <w:r w:rsidRPr="00683508">
        <w:rPr>
          <w:rFonts w:ascii="Traditional Arabic" w:hAnsi="Traditional Arabic" w:hint="cs"/>
          <w:color w:val="auto"/>
          <w:rtl/>
        </w:rPr>
        <w:t>أن الوسائل لها أحكام المقاصد</w:t>
      </w:r>
      <w:r w:rsidRPr="00C821A1">
        <w:rPr>
          <w:rFonts w:ascii="Traditional Arabic" w:hAnsi="Traditional Arabic" w:hint="cs"/>
          <w:b/>
          <w:color w:val="auto"/>
          <w:szCs w:val="32"/>
          <w:vertAlign w:val="superscript"/>
          <w:rtl/>
        </w:rPr>
        <w:t>(</w:t>
      </w:r>
      <w:r w:rsidRPr="00C821A1">
        <w:rPr>
          <w:rStyle w:val="af1"/>
          <w:rFonts w:ascii="Traditional Arabic" w:hAnsi="Traditional Arabic"/>
          <w:b/>
          <w:color w:val="auto"/>
          <w:szCs w:val="32"/>
          <w:rtl/>
        </w:rPr>
        <w:footnoteReference w:id="586"/>
      </w:r>
      <w:r w:rsidRPr="00C821A1">
        <w:rPr>
          <w:rFonts w:ascii="Traditional Arabic" w:hAnsi="Traditional Arabic" w:hint="cs"/>
          <w:color w:val="auto"/>
          <w:szCs w:val="32"/>
          <w:vertAlign w:val="superscript"/>
          <w:rtl/>
        </w:rPr>
        <w:t>)</w:t>
      </w:r>
      <w:r w:rsidRPr="00683508">
        <w:rPr>
          <w:rFonts w:ascii="Traditional Arabic" w:hAnsi="Traditional Arabic" w:hint="cs"/>
          <w:color w:val="auto"/>
          <w:rtl/>
        </w:rPr>
        <w:t>.</w:t>
      </w:r>
    </w:p>
    <w:p w:rsidR="00F13303" w:rsidRPr="0053096F" w:rsidRDefault="00D54649" w:rsidP="00A8347C">
      <w:pPr>
        <w:pStyle w:val="aff3"/>
        <w:rPr>
          <w:rtl/>
        </w:rPr>
      </w:pPr>
      <w:bookmarkStart w:id="120" w:name="_Toc334046371"/>
      <w:r>
        <w:rPr>
          <w:rFonts w:hint="cs"/>
          <w:rtl/>
        </w:rPr>
        <w:t xml:space="preserve">                    </w:t>
      </w:r>
      <w:r w:rsidR="00D87E43">
        <w:rPr>
          <w:rFonts w:hint="cs"/>
          <w:rtl/>
        </w:rPr>
        <w:t xml:space="preserve">                       </w:t>
      </w:r>
      <w:r w:rsidR="00F13303" w:rsidRPr="0053096F">
        <w:rPr>
          <w:rFonts w:hint="cs"/>
          <w:rtl/>
        </w:rPr>
        <w:t>ال</w:t>
      </w:r>
      <w:r w:rsidR="00A6797E">
        <w:rPr>
          <w:rFonts w:hint="cs"/>
          <w:rtl/>
        </w:rPr>
        <w:t>مطلب</w:t>
      </w:r>
      <w:r w:rsidR="00F13303" w:rsidRPr="0053096F">
        <w:rPr>
          <w:rFonts w:hint="cs"/>
          <w:rtl/>
        </w:rPr>
        <w:t xml:space="preserve"> الرابع</w:t>
      </w:r>
      <w:r w:rsidR="0053096F">
        <w:rPr>
          <w:rFonts w:hint="eastAsia"/>
          <w:rtl/>
        </w:rPr>
        <w:t> :</w:t>
      </w:r>
      <w:r w:rsidR="0053096F">
        <w:rPr>
          <w:rFonts w:hint="cs"/>
          <w:rtl/>
        </w:rPr>
        <w:br/>
      </w:r>
      <w:r>
        <w:rPr>
          <w:rFonts w:hint="cs"/>
          <w:rtl/>
        </w:rPr>
        <w:t xml:space="preserve">                  </w:t>
      </w:r>
      <w:r w:rsidR="00D87E43">
        <w:rPr>
          <w:rFonts w:hint="cs"/>
          <w:rtl/>
        </w:rPr>
        <w:t xml:space="preserve">                        </w:t>
      </w:r>
      <w:r w:rsidR="00F13303" w:rsidRPr="0053096F">
        <w:rPr>
          <w:rFonts w:hint="cs"/>
          <w:rtl/>
        </w:rPr>
        <w:t>تطبيقات القاعدة</w:t>
      </w:r>
      <w:bookmarkEnd w:id="120"/>
    </w:p>
    <w:p w:rsidR="0091310E" w:rsidRPr="0091310E" w:rsidRDefault="00F13303" w:rsidP="000A76C7">
      <w:pPr>
        <w:pStyle w:val="afc"/>
        <w:numPr>
          <w:ilvl w:val="0"/>
          <w:numId w:val="98"/>
        </w:numPr>
        <w:rPr>
          <w:rFonts w:ascii="Traditional Arabic" w:hAnsi="Traditional Arabic"/>
          <w:b/>
          <w:bCs/>
          <w:color w:val="auto"/>
        </w:rPr>
      </w:pPr>
      <w:r w:rsidRPr="00541E23">
        <w:rPr>
          <w:rFonts w:ascii="Traditional Arabic" w:hAnsi="Traditional Arabic" w:hint="cs"/>
          <w:color w:val="auto"/>
          <w:rtl/>
        </w:rPr>
        <w:t>بيع العِينة محرَّم،</w:t>
      </w:r>
      <w:r w:rsidR="00154102">
        <w:rPr>
          <w:rFonts w:ascii="Traditional Arabic" w:hAnsi="Traditional Arabic" w:hint="cs"/>
          <w:color w:val="auto"/>
          <w:rtl/>
        </w:rPr>
        <w:t xml:space="preserve"> و</w:t>
      </w:r>
      <w:r w:rsidRPr="00541E23">
        <w:rPr>
          <w:rFonts w:ascii="Traditional Arabic" w:hAnsi="Traditional Arabic" w:hint="cs"/>
          <w:color w:val="auto"/>
          <w:rtl/>
        </w:rPr>
        <w:t>هو أن يَبيع على شخص سلعةً بثمن مؤجَّل، ثم يشتريَها منه</w:t>
      </w:r>
      <w:r w:rsidR="00D54649">
        <w:rPr>
          <w:rFonts w:ascii="Traditional Arabic" w:hAnsi="Traditional Arabic" w:hint="cs"/>
          <w:color w:val="auto"/>
          <w:rtl/>
        </w:rPr>
        <w:t xml:space="preserve"> </w:t>
      </w:r>
      <w:r w:rsidRPr="00541E23">
        <w:rPr>
          <w:rFonts w:ascii="Traditional Arabic" w:hAnsi="Traditional Arabic" w:hint="cs"/>
          <w:color w:val="auto"/>
          <w:rtl/>
        </w:rPr>
        <w:t xml:space="preserve">نقداً </w:t>
      </w:r>
      <w:r w:rsidRPr="00541E23">
        <w:rPr>
          <w:rFonts w:ascii="Traditional Arabic" w:hAnsi="Traditional Arabic" w:hint="cs"/>
          <w:color w:val="auto"/>
          <w:rtl/>
        </w:rPr>
        <w:lastRenderedPageBreak/>
        <w:t>بثمن أقلَّ</w:t>
      </w:r>
      <w:r w:rsidRPr="00541E23">
        <w:rPr>
          <w:rFonts w:ascii="Traditional Arabic" w:hAnsi="Traditional Arabic" w:hint="cs"/>
          <w:b/>
          <w:bCs/>
          <w:color w:val="auto"/>
          <w:rtl/>
        </w:rPr>
        <w:t>.</w:t>
      </w:r>
    </w:p>
    <w:p w:rsidR="00F13303" w:rsidRPr="00541E23" w:rsidRDefault="00F13303" w:rsidP="0091310E">
      <w:pPr>
        <w:pStyle w:val="afc"/>
        <w:ind w:left="1080" w:firstLine="0"/>
        <w:rPr>
          <w:rFonts w:ascii="Traditional Arabic" w:hAnsi="Traditional Arabic"/>
          <w:b/>
          <w:bCs/>
          <w:color w:val="auto"/>
        </w:rPr>
      </w:pPr>
      <w:r w:rsidRPr="00541E23">
        <w:rPr>
          <w:rFonts w:ascii="Traditional Arabic" w:hAnsi="Traditional Arabic" w:hint="cs"/>
          <w:color w:val="auto"/>
          <w:rtl/>
        </w:rPr>
        <w:t>والمحرَّم في هذه الصورة هو الشراء،</w:t>
      </w:r>
      <w:r w:rsidR="00154102">
        <w:rPr>
          <w:rFonts w:ascii="Traditional Arabic" w:hAnsi="Traditional Arabic" w:hint="cs"/>
          <w:color w:val="auto"/>
          <w:rtl/>
        </w:rPr>
        <w:t xml:space="preserve"> و</w:t>
      </w:r>
      <w:r w:rsidRPr="00541E23">
        <w:rPr>
          <w:rFonts w:ascii="Traditional Arabic" w:hAnsi="Traditional Arabic" w:hint="cs"/>
          <w:color w:val="auto"/>
          <w:rtl/>
        </w:rPr>
        <w:t>أما البيع الأول فهو جائز،</w:t>
      </w:r>
      <w:r w:rsidR="006F1A84">
        <w:rPr>
          <w:rFonts w:ascii="Traditional Arabic" w:hAnsi="Traditional Arabic" w:hint="cs"/>
          <w:color w:val="auto"/>
          <w:rtl/>
        </w:rPr>
        <w:t xml:space="preserve"> </w:t>
      </w:r>
      <w:r w:rsidRPr="00541E23">
        <w:rPr>
          <w:rFonts w:ascii="Traditional Arabic" w:hAnsi="Traditional Arabic" w:hint="cs"/>
          <w:color w:val="auto"/>
          <w:rtl/>
        </w:rPr>
        <w:t>إلا إذا عُلِمَ أن البائع</w:t>
      </w:r>
      <w:r w:rsidR="00154102">
        <w:rPr>
          <w:rFonts w:ascii="Traditional Arabic" w:hAnsi="Traditional Arabic" w:hint="cs"/>
          <w:color w:val="auto"/>
          <w:rtl/>
        </w:rPr>
        <w:t xml:space="preserve"> و</w:t>
      </w:r>
      <w:r w:rsidRPr="00541E23">
        <w:rPr>
          <w:rFonts w:ascii="Traditional Arabic" w:hAnsi="Traditional Arabic" w:hint="cs"/>
          <w:color w:val="auto"/>
          <w:rtl/>
        </w:rPr>
        <w:t>المشتري اتخذا ذلك حيلةً على الربا،</w:t>
      </w:r>
      <w:r w:rsidR="006F1A84">
        <w:rPr>
          <w:rFonts w:ascii="Traditional Arabic" w:hAnsi="Traditional Arabic" w:hint="cs"/>
          <w:color w:val="auto"/>
          <w:rtl/>
        </w:rPr>
        <w:t xml:space="preserve"> </w:t>
      </w:r>
      <w:r w:rsidRPr="00541E23">
        <w:rPr>
          <w:rFonts w:ascii="Traditional Arabic" w:hAnsi="Traditional Arabic" w:hint="cs"/>
          <w:color w:val="auto"/>
          <w:rtl/>
        </w:rPr>
        <w:t>فإنه حينئذ يحرُم؛ لأنه صار وسيلةً إلى محرَّم</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587"/>
      </w:r>
      <w:r w:rsidRPr="00C821A1">
        <w:rPr>
          <w:rFonts w:ascii="Traditional Arabic" w:hAnsi="Traditional Arabic" w:hint="cs"/>
          <w:color w:val="auto"/>
          <w:szCs w:val="32"/>
          <w:vertAlign w:val="superscript"/>
          <w:rtl/>
        </w:rPr>
        <w:t>)</w:t>
      </w:r>
      <w:r w:rsidRPr="00541E23">
        <w:rPr>
          <w:rFonts w:ascii="Traditional Arabic" w:hAnsi="Traditional Arabic" w:hint="cs"/>
          <w:color w:val="auto"/>
          <w:rtl/>
        </w:rPr>
        <w:t>.</w:t>
      </w:r>
    </w:p>
    <w:p w:rsidR="00F13303" w:rsidRDefault="00F13303" w:rsidP="00597C20">
      <w:pPr>
        <w:pStyle w:val="53"/>
        <w:rPr>
          <w:rtl/>
        </w:rPr>
      </w:pPr>
      <w:r>
        <w:rPr>
          <w:rFonts w:hint="cs"/>
          <w:rtl/>
        </w:rPr>
        <w:t>وجه اندراج الفرع تحت القاعدة:</w:t>
      </w:r>
    </w:p>
    <w:p w:rsidR="00F13303" w:rsidRPr="00683508" w:rsidRDefault="00D87E43" w:rsidP="00597C20">
      <w:pPr>
        <w:ind w:firstLine="720"/>
        <w:rPr>
          <w:rFonts w:ascii="Traditional Arabic" w:hAnsi="Traditional Arabic"/>
          <w:color w:val="auto"/>
          <w:rtl/>
        </w:rPr>
      </w:pPr>
      <w:r>
        <w:rPr>
          <w:rFonts w:ascii="Traditional Arabic" w:hAnsi="Traditional Arabic" w:hint="cs"/>
          <w:color w:val="auto"/>
          <w:rtl/>
        </w:rPr>
        <w:t>لم</w:t>
      </w:r>
      <w:r w:rsidR="00F13303" w:rsidRPr="00683508">
        <w:rPr>
          <w:rFonts w:ascii="Traditional Arabic" w:hAnsi="Traditional Arabic" w:hint="cs"/>
          <w:color w:val="auto"/>
          <w:rtl/>
        </w:rPr>
        <w:t>ا اتُّخِذَ البيع الأول وسيلةً للوصول إلى المحرَّم، صار محرَّما؛ لأن</w:t>
      </w:r>
      <w:r w:rsidR="00D926C2">
        <w:rPr>
          <w:rFonts w:ascii="Traditional Arabic" w:hAnsi="Traditional Arabic" w:hint="cs"/>
          <w:color w:val="auto"/>
          <w:rtl/>
        </w:rPr>
        <w:t xml:space="preserve"> </w:t>
      </w:r>
      <w:r w:rsidR="00F13303" w:rsidRPr="00683508">
        <w:rPr>
          <w:rFonts w:ascii="Traditional Arabic" w:hAnsi="Traditional Arabic" w:hint="cs"/>
          <w:color w:val="auto"/>
          <w:rtl/>
        </w:rPr>
        <w:t>وسائل الحرام حرام، والوسائل لها أحكام المقاصد</w:t>
      </w:r>
      <w:r w:rsidR="00F13303" w:rsidRPr="00C821A1">
        <w:rPr>
          <w:rFonts w:ascii="Traditional Arabic" w:hAnsi="Traditional Arabic" w:hint="cs"/>
          <w:b/>
          <w:color w:val="auto"/>
          <w:szCs w:val="32"/>
          <w:vertAlign w:val="superscript"/>
          <w:rtl/>
        </w:rPr>
        <w:t>(</w:t>
      </w:r>
      <w:r w:rsidR="00F13303" w:rsidRPr="00C821A1">
        <w:rPr>
          <w:rStyle w:val="af1"/>
          <w:rFonts w:ascii="Traditional Arabic" w:hAnsi="Traditional Arabic"/>
          <w:color w:val="auto"/>
          <w:szCs w:val="32"/>
          <w:rtl/>
        </w:rPr>
        <w:footnoteReference w:id="588"/>
      </w:r>
      <w:r w:rsidR="00F13303" w:rsidRPr="00C821A1">
        <w:rPr>
          <w:rFonts w:ascii="Traditional Arabic" w:hAnsi="Traditional Arabic" w:hint="cs"/>
          <w:color w:val="auto"/>
          <w:szCs w:val="32"/>
          <w:vertAlign w:val="superscript"/>
          <w:rtl/>
        </w:rPr>
        <w:t>)</w:t>
      </w:r>
      <w:r w:rsidR="00F13303" w:rsidRPr="00683508">
        <w:rPr>
          <w:rFonts w:ascii="Traditional Arabic" w:hAnsi="Traditional Arabic" w:hint="cs"/>
          <w:color w:val="auto"/>
          <w:rtl/>
        </w:rPr>
        <w:t>.</w:t>
      </w:r>
    </w:p>
    <w:p w:rsidR="00065E4B" w:rsidRPr="00541E23" w:rsidRDefault="00F13303" w:rsidP="000A76C7">
      <w:pPr>
        <w:pStyle w:val="afc"/>
        <w:numPr>
          <w:ilvl w:val="0"/>
          <w:numId w:val="98"/>
        </w:numPr>
        <w:rPr>
          <w:rFonts w:ascii="Traditional Arabic" w:hAnsi="Traditional Arabic"/>
          <w:color w:val="auto"/>
        </w:rPr>
      </w:pPr>
      <w:r w:rsidRPr="00541E23">
        <w:rPr>
          <w:rFonts w:ascii="Traditional Arabic" w:hAnsi="Traditional Arabic" w:hint="cs"/>
          <w:color w:val="auto"/>
          <w:rtl/>
        </w:rPr>
        <w:t xml:space="preserve">إذا </w:t>
      </w:r>
      <w:r w:rsidRPr="00541E23">
        <w:rPr>
          <w:rFonts w:ascii="Traditional Arabic" w:hAnsi="Traditional Arabic"/>
          <w:color w:val="auto"/>
          <w:rtl/>
        </w:rPr>
        <w:t>اشترى ما ب</w:t>
      </w:r>
      <w:r w:rsidRPr="00541E23">
        <w:rPr>
          <w:rFonts w:ascii="Traditional Arabic" w:hAnsi="Traditional Arabic" w:hint="cs"/>
          <w:color w:val="auto"/>
          <w:rtl/>
        </w:rPr>
        <w:t>َ</w:t>
      </w:r>
      <w:r w:rsidRPr="00541E23">
        <w:rPr>
          <w:rFonts w:ascii="Traditional Arabic" w:hAnsi="Traditional Arabic"/>
          <w:color w:val="auto"/>
          <w:rtl/>
        </w:rPr>
        <w:t>دا ص</w:t>
      </w:r>
      <w:r w:rsidRPr="00541E23">
        <w:rPr>
          <w:rFonts w:ascii="Traditional Arabic" w:hAnsi="Traditional Arabic" w:hint="cs"/>
          <w:color w:val="auto"/>
          <w:rtl/>
        </w:rPr>
        <w:t>َ</w:t>
      </w:r>
      <w:r w:rsidRPr="00541E23">
        <w:rPr>
          <w:rFonts w:ascii="Traditional Arabic" w:hAnsi="Traditional Arabic"/>
          <w:color w:val="auto"/>
          <w:rtl/>
        </w:rPr>
        <w:t>لاح</w:t>
      </w:r>
      <w:r w:rsidRPr="00541E23">
        <w:rPr>
          <w:rFonts w:ascii="Traditional Arabic" w:hAnsi="Traditional Arabic" w:hint="cs"/>
          <w:color w:val="auto"/>
          <w:rtl/>
        </w:rPr>
        <w:t>ُ</w:t>
      </w:r>
      <w:r w:rsidRPr="00541E23">
        <w:rPr>
          <w:rFonts w:ascii="Traditional Arabic" w:hAnsi="Traditional Arabic"/>
          <w:color w:val="auto"/>
          <w:rtl/>
        </w:rPr>
        <w:t>ه</w:t>
      </w:r>
      <w:r w:rsidRPr="00541E23">
        <w:rPr>
          <w:rFonts w:ascii="Traditional Arabic" w:hAnsi="Traditional Arabic" w:hint="cs"/>
          <w:color w:val="auto"/>
          <w:rtl/>
        </w:rPr>
        <w:t xml:space="preserve"> من الثمر فَ</w:t>
      </w:r>
      <w:r w:rsidRPr="00541E23">
        <w:rPr>
          <w:rFonts w:ascii="Traditional Arabic" w:hAnsi="Traditional Arabic"/>
          <w:color w:val="auto"/>
          <w:rtl/>
        </w:rPr>
        <w:t>ح</w:t>
      </w:r>
      <w:r w:rsidRPr="00541E23">
        <w:rPr>
          <w:rFonts w:ascii="Traditional Arabic" w:hAnsi="Traditional Arabic" w:hint="cs"/>
          <w:color w:val="auto"/>
          <w:rtl/>
        </w:rPr>
        <w:t>َدَث</w:t>
      </w:r>
      <w:r w:rsidR="00D54649">
        <w:rPr>
          <w:rFonts w:ascii="Traditional Arabic" w:hAnsi="Traditional Arabic" w:hint="cs"/>
          <w:color w:val="auto"/>
          <w:rtl/>
        </w:rPr>
        <w:t xml:space="preserve"> </w:t>
      </w:r>
      <w:r w:rsidRPr="00541E23">
        <w:rPr>
          <w:rFonts w:ascii="Traditional Arabic" w:hAnsi="Traditional Arabic" w:hint="cs"/>
          <w:color w:val="auto"/>
          <w:rtl/>
        </w:rPr>
        <w:t xml:space="preserve">معه ثمرٌ </w:t>
      </w:r>
      <w:r w:rsidRPr="00541E23">
        <w:rPr>
          <w:rFonts w:ascii="Traditional Arabic" w:hAnsi="Traditional Arabic"/>
          <w:color w:val="auto"/>
          <w:rtl/>
        </w:rPr>
        <w:t>آخر واشتب</w:t>
      </w:r>
      <w:r w:rsidRPr="00541E23">
        <w:rPr>
          <w:rFonts w:ascii="Traditional Arabic" w:hAnsi="Traditional Arabic" w:hint="cs"/>
          <w:color w:val="auto"/>
          <w:rtl/>
        </w:rPr>
        <w:t>َ</w:t>
      </w:r>
      <w:r w:rsidRPr="00541E23">
        <w:rPr>
          <w:rFonts w:ascii="Traditional Arabic" w:hAnsi="Traditional Arabic"/>
          <w:color w:val="auto"/>
          <w:rtl/>
        </w:rPr>
        <w:t>ه</w:t>
      </w:r>
      <w:r w:rsidRPr="00541E23">
        <w:rPr>
          <w:rFonts w:ascii="Traditional Arabic" w:hAnsi="Traditional Arabic" w:hint="cs"/>
          <w:color w:val="auto"/>
          <w:rtl/>
        </w:rPr>
        <w:t xml:space="preserve"> بالأوّل،</w:t>
      </w:r>
      <w:r w:rsidRPr="00541E23">
        <w:rPr>
          <w:rFonts w:ascii="Traditional Arabic" w:hAnsi="Traditional Arabic"/>
          <w:color w:val="auto"/>
          <w:rtl/>
        </w:rPr>
        <w:t xml:space="preserve"> بطل</w:t>
      </w:r>
      <w:r w:rsidRPr="00541E23">
        <w:rPr>
          <w:rFonts w:ascii="Traditional Arabic" w:hAnsi="Traditional Arabic" w:hint="cs"/>
          <w:color w:val="auto"/>
          <w:rtl/>
        </w:rPr>
        <w:t xml:space="preserve"> البيع</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589"/>
      </w:r>
      <w:r w:rsidRPr="00C821A1">
        <w:rPr>
          <w:rFonts w:ascii="Traditional Arabic" w:hAnsi="Traditional Arabic" w:hint="cs"/>
          <w:color w:val="auto"/>
          <w:szCs w:val="32"/>
          <w:vertAlign w:val="superscript"/>
          <w:rtl/>
        </w:rPr>
        <w:t>)</w:t>
      </w:r>
      <w:r w:rsidRPr="00541E23">
        <w:rPr>
          <w:rFonts w:ascii="Traditional Arabic" w:hAnsi="Traditional Arabic" w:hint="cs"/>
          <w:color w:val="auto"/>
          <w:rtl/>
        </w:rPr>
        <w:t>.</w:t>
      </w:r>
    </w:p>
    <w:p w:rsidR="00065E4B" w:rsidRPr="00C37488" w:rsidRDefault="00065E4B" w:rsidP="00597C20">
      <w:pPr>
        <w:pStyle w:val="53"/>
        <w:rPr>
          <w:rtl/>
        </w:rPr>
      </w:pPr>
      <w:r w:rsidRPr="00C37488">
        <w:rPr>
          <w:rFonts w:hint="cs"/>
          <w:rtl/>
        </w:rPr>
        <w:t>و</w:t>
      </w:r>
      <w:r w:rsidR="00F13303" w:rsidRPr="00C37488">
        <w:rPr>
          <w:rFonts w:hint="cs"/>
          <w:rtl/>
        </w:rPr>
        <w:t>جه اندراج الفرع تحت القاعدة:</w:t>
      </w:r>
    </w:p>
    <w:p w:rsidR="00F13303" w:rsidRPr="00683508" w:rsidRDefault="00065E4B" w:rsidP="00597C20">
      <w:pPr>
        <w:ind w:firstLine="720"/>
        <w:rPr>
          <w:rFonts w:ascii="Traditional Arabic" w:hAnsi="Traditional Arabic"/>
          <w:color w:val="auto"/>
          <w:rtl/>
        </w:rPr>
      </w:pPr>
      <w:r w:rsidRPr="00683508">
        <w:rPr>
          <w:rFonts w:ascii="Traditional Arabic" w:hAnsi="Traditional Arabic" w:hint="cs"/>
          <w:color w:val="auto"/>
          <w:rtl/>
        </w:rPr>
        <w:t>ل</w:t>
      </w:r>
      <w:r w:rsidR="00F13303" w:rsidRPr="00683508">
        <w:rPr>
          <w:rFonts w:ascii="Traditional Arabic" w:hAnsi="Traditional Arabic" w:hint="cs"/>
          <w:color w:val="auto"/>
          <w:rtl/>
        </w:rPr>
        <w:t xml:space="preserve">مَّا </w:t>
      </w:r>
      <w:r w:rsidR="00F13303" w:rsidRPr="00683508">
        <w:rPr>
          <w:rFonts w:ascii="Traditional Arabic" w:hAnsi="Traditional Arabic"/>
          <w:color w:val="auto"/>
          <w:rtl/>
        </w:rPr>
        <w:t>اختل</w:t>
      </w:r>
      <w:r w:rsidR="00F13303" w:rsidRPr="00683508">
        <w:rPr>
          <w:rFonts w:ascii="Traditional Arabic" w:hAnsi="Traditional Arabic" w:hint="cs"/>
          <w:color w:val="auto"/>
          <w:rtl/>
        </w:rPr>
        <w:t>َ</w:t>
      </w:r>
      <w:r w:rsidR="00F13303" w:rsidRPr="00683508">
        <w:rPr>
          <w:rFonts w:ascii="Traditional Arabic" w:hAnsi="Traditional Arabic"/>
          <w:color w:val="auto"/>
          <w:rtl/>
        </w:rPr>
        <w:t>ط المباح</w:t>
      </w:r>
      <w:r w:rsidR="00F13303" w:rsidRPr="00C821A1">
        <w:rPr>
          <w:rFonts w:ascii="Traditional Arabic" w:hAnsi="Traditional Arabic" w:hint="cs"/>
          <w:color w:val="auto"/>
          <w:szCs w:val="32"/>
          <w:vertAlign w:val="superscript"/>
          <w:rtl/>
        </w:rPr>
        <w:t>(</w:t>
      </w:r>
      <w:r w:rsidR="00F13303" w:rsidRPr="00C821A1">
        <w:rPr>
          <w:rStyle w:val="af1"/>
          <w:rFonts w:ascii="Traditional Arabic" w:hAnsi="Traditional Arabic"/>
          <w:color w:val="auto"/>
          <w:szCs w:val="32"/>
          <w:rtl/>
        </w:rPr>
        <w:footnoteReference w:id="590"/>
      </w:r>
      <w:r w:rsidR="00F13303" w:rsidRPr="00C821A1">
        <w:rPr>
          <w:rFonts w:ascii="Traditional Arabic" w:hAnsi="Traditional Arabic" w:hint="cs"/>
          <w:color w:val="auto"/>
          <w:szCs w:val="32"/>
          <w:vertAlign w:val="superscript"/>
          <w:rtl/>
        </w:rPr>
        <w:t>)</w:t>
      </w:r>
      <w:r w:rsidR="00F13303" w:rsidRPr="00683508">
        <w:rPr>
          <w:rFonts w:ascii="Traditional Arabic" w:hAnsi="Traditional Arabic"/>
          <w:color w:val="auto"/>
          <w:rtl/>
        </w:rPr>
        <w:t>بالحرام</w:t>
      </w:r>
      <w:r w:rsidR="00F13303" w:rsidRPr="00C821A1">
        <w:rPr>
          <w:rFonts w:ascii="Traditional Arabic" w:hAnsi="Traditional Arabic" w:hint="cs"/>
          <w:color w:val="auto"/>
          <w:szCs w:val="32"/>
          <w:vertAlign w:val="superscript"/>
          <w:rtl/>
        </w:rPr>
        <w:t>(</w:t>
      </w:r>
      <w:r w:rsidR="00F13303" w:rsidRPr="00C821A1">
        <w:rPr>
          <w:rStyle w:val="af1"/>
          <w:rFonts w:ascii="Traditional Arabic" w:hAnsi="Traditional Arabic"/>
          <w:color w:val="auto"/>
          <w:szCs w:val="32"/>
          <w:rtl/>
        </w:rPr>
        <w:footnoteReference w:id="591"/>
      </w:r>
      <w:r w:rsidR="00F13303" w:rsidRPr="00C821A1">
        <w:rPr>
          <w:rFonts w:ascii="Traditional Arabic" w:hAnsi="Traditional Arabic" w:hint="cs"/>
          <w:color w:val="auto"/>
          <w:szCs w:val="32"/>
          <w:vertAlign w:val="superscript"/>
          <w:rtl/>
        </w:rPr>
        <w:t>)</w:t>
      </w:r>
      <w:r w:rsidR="00F13303" w:rsidRPr="00683508">
        <w:rPr>
          <w:rFonts w:ascii="Traditional Arabic" w:hAnsi="Traditional Arabic"/>
          <w:color w:val="auto"/>
          <w:rtl/>
        </w:rPr>
        <w:t>على وجه لا يمكن التمييز بينهما،</w:t>
      </w:r>
      <w:r w:rsidR="00154102" w:rsidRPr="00683508">
        <w:rPr>
          <w:rFonts w:ascii="Traditional Arabic" w:hAnsi="Traditional Arabic"/>
          <w:color w:val="auto"/>
          <w:rtl/>
        </w:rPr>
        <w:t xml:space="preserve"> و</w:t>
      </w:r>
      <w:r w:rsidR="00F13303" w:rsidRPr="00683508">
        <w:rPr>
          <w:rFonts w:ascii="Traditional Arabic" w:hAnsi="Traditional Arabic" w:hint="cs"/>
          <w:color w:val="auto"/>
          <w:rtl/>
        </w:rPr>
        <w:t xml:space="preserve">كان </w:t>
      </w:r>
      <w:r w:rsidR="00F13303" w:rsidRPr="00683508">
        <w:rPr>
          <w:rFonts w:ascii="Traditional Arabic" w:hAnsi="Traditional Arabic"/>
          <w:color w:val="auto"/>
          <w:rtl/>
        </w:rPr>
        <w:t>اجتناب الحرام واجب</w:t>
      </w:r>
      <w:r w:rsidR="00F13303" w:rsidRPr="00683508">
        <w:rPr>
          <w:rFonts w:ascii="Traditional Arabic" w:hAnsi="Traditional Arabic" w:hint="cs"/>
          <w:color w:val="auto"/>
          <w:rtl/>
        </w:rPr>
        <w:t>اً</w:t>
      </w:r>
      <w:r w:rsidR="00F13303" w:rsidRPr="00683508">
        <w:rPr>
          <w:rFonts w:ascii="Traditional Arabic" w:hAnsi="Traditional Arabic"/>
          <w:color w:val="auto"/>
          <w:rtl/>
        </w:rPr>
        <w:t>،</w:t>
      </w:r>
      <w:r w:rsidR="00F13303" w:rsidRPr="00683508">
        <w:rPr>
          <w:rFonts w:ascii="Traditional Arabic" w:hAnsi="Traditional Arabic" w:hint="cs"/>
          <w:color w:val="auto"/>
          <w:rtl/>
        </w:rPr>
        <w:t xml:space="preserve"> وجب</w:t>
      </w:r>
      <w:r w:rsidR="00F13303" w:rsidRPr="00683508">
        <w:rPr>
          <w:rFonts w:ascii="Traditional Arabic" w:hAnsi="Traditional Arabic"/>
          <w:color w:val="auto"/>
          <w:rtl/>
        </w:rPr>
        <w:t xml:space="preserve"> اجتناب الجميع</w:t>
      </w:r>
      <w:r w:rsidR="00F13303" w:rsidRPr="00683508">
        <w:rPr>
          <w:rFonts w:ascii="Traditional Arabic" w:hAnsi="Traditional Arabic" w:hint="cs"/>
          <w:color w:val="auto"/>
          <w:rtl/>
        </w:rPr>
        <w:t xml:space="preserve"> ؛لأن ما لا يتم الواجب إلا به فهو واجب</w:t>
      </w:r>
      <w:r w:rsidR="00F13303" w:rsidRPr="00683508">
        <w:rPr>
          <w:rFonts w:ascii="Traditional Arabic" w:hAnsi="Traditional Arabic"/>
          <w:b/>
          <w:bCs/>
          <w:color w:val="auto"/>
          <w:rtl/>
        </w:rPr>
        <w:t>،</w:t>
      </w:r>
      <w:r w:rsidR="00D87E43">
        <w:rPr>
          <w:rFonts w:ascii="Traditional Arabic" w:hAnsi="Traditional Arabic" w:hint="cs"/>
          <w:color w:val="auto"/>
          <w:rtl/>
        </w:rPr>
        <w:t xml:space="preserve"> </w:t>
      </w:r>
      <w:r w:rsidR="00F13303" w:rsidRPr="00683508">
        <w:rPr>
          <w:rFonts w:ascii="Traditional Arabic" w:hAnsi="Traditional Arabic" w:hint="cs"/>
          <w:color w:val="auto"/>
          <w:rtl/>
        </w:rPr>
        <w:t xml:space="preserve">والوسائل لها أحكام المقاصد، </w:t>
      </w:r>
      <w:r w:rsidR="00F13303" w:rsidRPr="00683508">
        <w:rPr>
          <w:rFonts w:ascii="Traditional Arabic" w:hAnsi="Traditional Arabic"/>
          <w:color w:val="auto"/>
          <w:rtl/>
        </w:rPr>
        <w:t>وعلى هذا ي</w:t>
      </w:r>
      <w:r w:rsidR="00F13303" w:rsidRPr="00683508">
        <w:rPr>
          <w:rFonts w:ascii="Traditional Arabic" w:hAnsi="Traditional Arabic" w:hint="cs"/>
          <w:color w:val="auto"/>
          <w:rtl/>
        </w:rPr>
        <w:t>َ</w:t>
      </w:r>
      <w:r w:rsidR="00F13303" w:rsidRPr="00683508">
        <w:rPr>
          <w:rFonts w:ascii="Traditional Arabic" w:hAnsi="Traditional Arabic"/>
          <w:color w:val="auto"/>
          <w:rtl/>
        </w:rPr>
        <w:t>ب</w:t>
      </w:r>
      <w:r w:rsidR="00F13303" w:rsidRPr="00683508">
        <w:rPr>
          <w:rFonts w:ascii="Traditional Arabic" w:hAnsi="Traditional Arabic" w:hint="cs"/>
          <w:color w:val="auto"/>
          <w:rtl/>
        </w:rPr>
        <w:t>ْ</w:t>
      </w:r>
      <w:r w:rsidR="00F13303" w:rsidRPr="00683508">
        <w:rPr>
          <w:rFonts w:ascii="Traditional Arabic" w:hAnsi="Traditional Arabic"/>
          <w:color w:val="auto"/>
          <w:rtl/>
        </w:rPr>
        <w:t>ط</w:t>
      </w:r>
      <w:r w:rsidR="00F13303" w:rsidRPr="00683508">
        <w:rPr>
          <w:rFonts w:ascii="Traditional Arabic" w:hAnsi="Traditional Arabic" w:hint="cs"/>
          <w:color w:val="auto"/>
          <w:rtl/>
        </w:rPr>
        <w:t>ُ</w:t>
      </w:r>
      <w:r w:rsidR="00F13303" w:rsidRPr="00683508">
        <w:rPr>
          <w:rFonts w:ascii="Traditional Arabic" w:hAnsi="Traditional Arabic"/>
          <w:color w:val="auto"/>
          <w:rtl/>
        </w:rPr>
        <w:t>ل البيع</w:t>
      </w:r>
      <w:r w:rsidR="00F13303" w:rsidRPr="00C821A1">
        <w:rPr>
          <w:rFonts w:ascii="Traditional Arabic" w:hAnsi="Traditional Arabic" w:hint="cs"/>
          <w:color w:val="auto"/>
          <w:szCs w:val="32"/>
          <w:vertAlign w:val="superscript"/>
          <w:rtl/>
        </w:rPr>
        <w:t>(</w:t>
      </w:r>
      <w:r w:rsidR="00F13303" w:rsidRPr="00C821A1">
        <w:rPr>
          <w:rStyle w:val="af1"/>
          <w:rFonts w:ascii="Traditional Arabic" w:hAnsi="Traditional Arabic"/>
          <w:color w:val="auto"/>
          <w:szCs w:val="32"/>
          <w:rtl/>
        </w:rPr>
        <w:footnoteReference w:id="592"/>
      </w:r>
      <w:r w:rsidR="00F13303" w:rsidRPr="00C821A1">
        <w:rPr>
          <w:rFonts w:ascii="Traditional Arabic" w:hAnsi="Traditional Arabic" w:hint="cs"/>
          <w:color w:val="auto"/>
          <w:szCs w:val="32"/>
          <w:vertAlign w:val="superscript"/>
          <w:rtl/>
        </w:rPr>
        <w:t>)</w:t>
      </w:r>
      <w:r w:rsidR="00F13303" w:rsidRPr="00683508">
        <w:rPr>
          <w:rFonts w:ascii="Traditional Arabic" w:hAnsi="Traditional Arabic"/>
          <w:color w:val="auto"/>
          <w:rtl/>
        </w:rPr>
        <w:t>.</w:t>
      </w:r>
    </w:p>
    <w:p w:rsidR="00F228A9" w:rsidRPr="00EB31DA" w:rsidRDefault="00F13303" w:rsidP="000A76C7">
      <w:pPr>
        <w:pStyle w:val="afc"/>
        <w:widowControl/>
        <w:numPr>
          <w:ilvl w:val="0"/>
          <w:numId w:val="98"/>
        </w:numPr>
        <w:autoSpaceDE w:val="0"/>
        <w:autoSpaceDN w:val="0"/>
        <w:adjustRightInd w:val="0"/>
        <w:jc w:val="left"/>
        <w:rPr>
          <w:rFonts w:ascii="Traditional Arabic" w:hAnsi="Traditional Arabic"/>
          <w:noProof w:val="0"/>
          <w:rtl/>
          <w:lang w:eastAsia="en-US"/>
        </w:rPr>
      </w:pPr>
      <w:r w:rsidRPr="00EB31DA">
        <w:rPr>
          <w:rFonts w:ascii="Traditional Arabic" w:hAnsi="Traditional Arabic" w:hint="cs"/>
          <w:noProof w:val="0"/>
          <w:rtl/>
          <w:lang w:eastAsia="en-US"/>
        </w:rPr>
        <w:lastRenderedPageBreak/>
        <w:t>إذا أراد المودَع السفر، وجب عليه ردُّ الوديعة</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593"/>
      </w:r>
      <w:r w:rsidRPr="00C821A1">
        <w:rPr>
          <w:rFonts w:ascii="Traditional Arabic" w:hAnsi="Traditional Arabic" w:hint="cs"/>
          <w:noProof w:val="0"/>
          <w:szCs w:val="32"/>
          <w:vertAlign w:val="superscript"/>
          <w:rtl/>
          <w:lang w:eastAsia="en-US"/>
        </w:rPr>
        <w:t>)</w:t>
      </w:r>
      <w:r w:rsidRPr="00EB31DA">
        <w:rPr>
          <w:rFonts w:ascii="Traditional Arabic" w:hAnsi="Traditional Arabic" w:hint="cs"/>
          <w:noProof w:val="0"/>
          <w:rtl/>
          <w:lang w:eastAsia="en-US"/>
        </w:rPr>
        <w:t xml:space="preserve"> إلى صاحبها، </w:t>
      </w:r>
      <w:r w:rsidRPr="00EB31DA">
        <w:rPr>
          <w:rFonts w:ascii="Traditional Arabic" w:hAnsi="Traditional Arabic"/>
          <w:noProof w:val="0"/>
          <w:rtl/>
          <w:lang w:eastAsia="en-US"/>
        </w:rPr>
        <w:t>فإذا لم يجده</w:t>
      </w:r>
      <w:r w:rsidRPr="00EB31DA">
        <w:rPr>
          <w:rFonts w:ascii="Traditional Arabic" w:hAnsi="Traditional Arabic" w:hint="cs"/>
          <w:noProof w:val="0"/>
          <w:rtl/>
          <w:lang w:eastAsia="en-US"/>
        </w:rPr>
        <w:t>،</w:t>
      </w:r>
      <w:r w:rsidRPr="00EB31DA">
        <w:rPr>
          <w:rFonts w:ascii="Traditional Arabic" w:hAnsi="Traditional Arabic"/>
          <w:noProof w:val="0"/>
          <w:rtl/>
          <w:lang w:eastAsia="en-US"/>
        </w:rPr>
        <w:t xml:space="preserve"> حملها معه إن كا</w:t>
      </w:r>
      <w:r w:rsidRPr="00EB31DA">
        <w:rPr>
          <w:rFonts w:ascii="Traditional Arabic" w:hAnsi="Traditional Arabic" w:hint="cs"/>
          <w:noProof w:val="0"/>
          <w:rtl/>
          <w:lang w:eastAsia="en-US"/>
        </w:rPr>
        <w:t>ن</w:t>
      </w:r>
      <w:r w:rsidRPr="00EB31DA">
        <w:rPr>
          <w:rFonts w:ascii="Traditional Arabic" w:hAnsi="Traditional Arabic"/>
          <w:noProof w:val="0"/>
          <w:rtl/>
          <w:lang w:eastAsia="en-US"/>
        </w:rPr>
        <w:t xml:space="preserve"> سفر</w:t>
      </w:r>
      <w:r>
        <w:rPr>
          <w:rFonts w:ascii="Traditional Arabic" w:hAnsi="Traditional Arabic" w:hint="cs"/>
          <w:noProof w:val="0"/>
          <w:rtl/>
          <w:lang w:eastAsia="en-US"/>
        </w:rPr>
        <w:t>ُ</w:t>
      </w:r>
      <w:r w:rsidRPr="00EB31DA">
        <w:rPr>
          <w:rFonts w:ascii="Traditional Arabic" w:hAnsi="Traditional Arabic"/>
          <w:noProof w:val="0"/>
          <w:rtl/>
          <w:lang w:eastAsia="en-US"/>
        </w:rPr>
        <w:t>ه بها أ</w:t>
      </w:r>
      <w:r w:rsidRPr="00EB31DA">
        <w:rPr>
          <w:rFonts w:ascii="Traditional Arabic" w:hAnsi="Traditional Arabic" w:hint="cs"/>
          <w:noProof w:val="0"/>
          <w:rtl/>
          <w:lang w:eastAsia="en-US"/>
        </w:rPr>
        <w:t>َ</w:t>
      </w:r>
      <w:r w:rsidRPr="00EB31DA">
        <w:rPr>
          <w:rFonts w:ascii="Traditional Arabic" w:hAnsi="Traditional Arabic"/>
          <w:noProof w:val="0"/>
          <w:rtl/>
          <w:lang w:eastAsia="en-US"/>
        </w:rPr>
        <w:t>ح</w:t>
      </w:r>
      <w:r w:rsidRPr="00EB31DA">
        <w:rPr>
          <w:rFonts w:ascii="Traditional Arabic" w:hAnsi="Traditional Arabic" w:hint="cs"/>
          <w:noProof w:val="0"/>
          <w:rtl/>
          <w:lang w:eastAsia="en-US"/>
        </w:rPr>
        <w:t>ْ</w:t>
      </w:r>
      <w:r w:rsidRPr="00EB31DA">
        <w:rPr>
          <w:rFonts w:ascii="Traditional Arabic" w:hAnsi="Traditional Arabic"/>
          <w:noProof w:val="0"/>
          <w:rtl/>
          <w:lang w:eastAsia="en-US"/>
        </w:rPr>
        <w:t>ر</w:t>
      </w:r>
      <w:r w:rsidRPr="00EB31DA">
        <w:rPr>
          <w:rFonts w:ascii="Traditional Arabic" w:hAnsi="Traditional Arabic" w:hint="cs"/>
          <w:noProof w:val="0"/>
          <w:rtl/>
          <w:lang w:eastAsia="en-US"/>
        </w:rPr>
        <w:t>َ</w:t>
      </w:r>
      <w:r w:rsidRPr="00EB31DA">
        <w:rPr>
          <w:rFonts w:ascii="Traditional Arabic" w:hAnsi="Traditional Arabic"/>
          <w:noProof w:val="0"/>
          <w:rtl/>
          <w:lang w:eastAsia="en-US"/>
        </w:rPr>
        <w:t>ز</w:t>
      </w:r>
      <w:r w:rsidRPr="00EB31DA">
        <w:rPr>
          <w:rFonts w:ascii="Traditional Arabic" w:hAnsi="Traditional Arabic" w:hint="cs"/>
          <w:noProof w:val="0"/>
          <w:rtl/>
          <w:lang w:eastAsia="en-US"/>
        </w:rPr>
        <w:t>َ لها</w:t>
      </w:r>
      <w:r w:rsidRPr="00EB31DA">
        <w:rPr>
          <w:rFonts w:ascii="Traditional Arabic" w:hAnsi="Traditional Arabic"/>
          <w:noProof w:val="0"/>
          <w:rtl/>
          <w:lang w:eastAsia="en-US"/>
        </w:rPr>
        <w:t xml:space="preserve"> من إبقائها،</w:t>
      </w:r>
      <w:r w:rsidR="00CA7937">
        <w:rPr>
          <w:rFonts w:ascii="Traditional Arabic" w:hAnsi="Traditional Arabic" w:hint="cs"/>
          <w:noProof w:val="0"/>
          <w:rtl/>
          <w:lang w:eastAsia="en-US"/>
        </w:rPr>
        <w:t xml:space="preserve"> </w:t>
      </w:r>
      <w:r w:rsidRPr="00EB31DA">
        <w:rPr>
          <w:rFonts w:ascii="Traditional Arabic" w:hAnsi="Traditional Arabic"/>
          <w:noProof w:val="0"/>
          <w:rtl/>
          <w:lang w:eastAsia="en-US"/>
        </w:rPr>
        <w:t>وإلا</w:t>
      </w:r>
      <w:r w:rsidRPr="00EB31DA">
        <w:rPr>
          <w:rFonts w:ascii="Traditional Arabic" w:hAnsi="Traditional Arabic" w:hint="cs"/>
          <w:noProof w:val="0"/>
          <w:rtl/>
          <w:lang w:eastAsia="en-US"/>
        </w:rPr>
        <w:t xml:space="preserve"> جعل</w:t>
      </w:r>
      <w:r w:rsidRPr="00EB31DA">
        <w:rPr>
          <w:rFonts w:ascii="Traditional Arabic" w:hAnsi="Traditional Arabic"/>
          <w:noProof w:val="0"/>
          <w:rtl/>
          <w:lang w:eastAsia="en-US"/>
        </w:rPr>
        <w:t>ها</w:t>
      </w:r>
      <w:r w:rsidRPr="00EB31DA">
        <w:rPr>
          <w:rFonts w:ascii="Traditional Arabic" w:hAnsi="Traditional Arabic" w:hint="cs"/>
          <w:noProof w:val="0"/>
          <w:rtl/>
          <w:lang w:eastAsia="en-US"/>
        </w:rPr>
        <w:t xml:space="preserve"> وديعةً عند</w:t>
      </w:r>
      <w:r w:rsidRPr="00EB31DA">
        <w:rPr>
          <w:rFonts w:ascii="Traditional Arabic" w:hAnsi="Traditional Arabic"/>
          <w:noProof w:val="0"/>
          <w:rtl/>
          <w:lang w:eastAsia="en-US"/>
        </w:rPr>
        <w:t xml:space="preserve"> ثقة</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594"/>
      </w:r>
      <w:r w:rsidRPr="00C821A1">
        <w:rPr>
          <w:rFonts w:ascii="Traditional Arabic" w:hAnsi="Traditional Arabic" w:hint="cs"/>
          <w:noProof w:val="0"/>
          <w:szCs w:val="32"/>
          <w:vertAlign w:val="superscript"/>
          <w:rtl/>
          <w:lang w:eastAsia="en-US"/>
        </w:rPr>
        <w:t>)</w:t>
      </w:r>
      <w:r w:rsidRPr="00EB31DA">
        <w:rPr>
          <w:rFonts w:ascii="Traditional Arabic" w:hAnsi="Traditional Arabic" w:hint="cs"/>
          <w:noProof w:val="0"/>
          <w:rtl/>
          <w:lang w:eastAsia="en-US"/>
        </w:rPr>
        <w:t>.</w:t>
      </w:r>
    </w:p>
    <w:p w:rsidR="00F13303" w:rsidRDefault="00F13303" w:rsidP="00597C20">
      <w:pPr>
        <w:pStyle w:val="53"/>
        <w:rPr>
          <w:rtl/>
        </w:rPr>
      </w:pPr>
      <w:r w:rsidRPr="00C37488">
        <w:rPr>
          <w:rFonts w:hint="cs"/>
          <w:rtl/>
        </w:rPr>
        <w:t>وجه اندراج الفرع تحت القاعدة:</w:t>
      </w:r>
    </w:p>
    <w:p w:rsidR="00C376A8" w:rsidRPr="0024767F" w:rsidRDefault="00F13303" w:rsidP="0024767F">
      <w:pPr>
        <w:ind w:firstLine="720"/>
        <w:rPr>
          <w:rFonts w:ascii="Traditional Arabic" w:hAnsi="Traditional Arabic"/>
          <w:noProof w:val="0"/>
          <w:rtl/>
          <w:lang w:eastAsia="en-US"/>
        </w:rPr>
      </w:pPr>
      <w:r w:rsidRPr="00683508">
        <w:rPr>
          <w:rFonts w:ascii="Traditional Arabic" w:hAnsi="Traditional Arabic" w:hint="cs"/>
          <w:noProof w:val="0"/>
          <w:rtl/>
          <w:lang w:eastAsia="en-US"/>
        </w:rPr>
        <w:t>الوديعة أمانة عند المودَع،</w:t>
      </w:r>
      <w:r w:rsidR="00154102" w:rsidRPr="00683508">
        <w:rPr>
          <w:rFonts w:ascii="Traditional Arabic" w:hAnsi="Traditional Arabic" w:hint="cs"/>
          <w:noProof w:val="0"/>
          <w:rtl/>
          <w:lang w:eastAsia="en-US"/>
        </w:rPr>
        <w:t xml:space="preserve"> و</w:t>
      </w:r>
      <w:r w:rsidRPr="00683508">
        <w:rPr>
          <w:rFonts w:ascii="Traditional Arabic" w:hAnsi="Traditional Arabic" w:hint="cs"/>
          <w:noProof w:val="0"/>
          <w:rtl/>
          <w:lang w:eastAsia="en-US"/>
        </w:rPr>
        <w:t>أداء الأمانة واجب ؛ل</w:t>
      </w:r>
      <w:r w:rsidRPr="00683508">
        <w:rPr>
          <w:rFonts w:ascii="Traditional Arabic" w:hAnsi="Traditional Arabic"/>
          <w:noProof w:val="0"/>
          <w:rtl/>
          <w:lang w:eastAsia="en-US"/>
        </w:rPr>
        <w:t>قوله تعالى:</w:t>
      </w:r>
      <w:bookmarkStart w:id="121" w:name="سورة_النساء_58"/>
      <w:r w:rsidRPr="00683508">
        <w:rPr>
          <w:rFonts w:ascii="QCF_BSML" w:hAnsi="QCF_BSML" w:cs="QCF_BSML"/>
          <w:noProof w:val="0"/>
          <w:rtl/>
          <w:lang w:eastAsia="en-US"/>
        </w:rPr>
        <w:t>ﭽ</w:t>
      </w:r>
      <w:r w:rsidRPr="00683508">
        <w:rPr>
          <w:rFonts w:ascii="QCF_P087" w:hAnsi="QCF_P087" w:cs="QCF_P087"/>
          <w:noProof w:val="0"/>
          <w:rtl/>
          <w:lang w:eastAsia="en-US"/>
        </w:rPr>
        <w:t>ﯙ</w:t>
      </w:r>
      <w:r w:rsidR="00D926C2">
        <w:rPr>
          <w:rFonts w:ascii="QCF_P087" w:hAnsi="QCF_P087" w:cs="QCF_P087" w:hint="cs"/>
          <w:noProof w:val="0"/>
          <w:rtl/>
          <w:lang w:eastAsia="en-US"/>
        </w:rPr>
        <w:t xml:space="preserve"> </w:t>
      </w:r>
      <w:r w:rsidRPr="00683508">
        <w:rPr>
          <w:rFonts w:ascii="QCF_P087" w:hAnsi="QCF_P087" w:cs="QCF_P087"/>
          <w:noProof w:val="0"/>
          <w:rtl/>
          <w:lang w:eastAsia="en-US"/>
        </w:rPr>
        <w:t>ﯚ</w:t>
      </w:r>
      <w:r w:rsidR="00D926C2">
        <w:rPr>
          <w:rFonts w:ascii="QCF_P087" w:hAnsi="QCF_P087" w:cs="QCF_P087" w:hint="cs"/>
          <w:noProof w:val="0"/>
          <w:rtl/>
          <w:lang w:eastAsia="en-US"/>
        </w:rPr>
        <w:t xml:space="preserve"> </w:t>
      </w:r>
      <w:r w:rsidRPr="00683508">
        <w:rPr>
          <w:rFonts w:ascii="QCF_P087" w:hAnsi="QCF_P087" w:cs="QCF_P087"/>
          <w:noProof w:val="0"/>
          <w:rtl/>
          <w:lang w:eastAsia="en-US"/>
        </w:rPr>
        <w:t>ﯛ</w:t>
      </w:r>
      <w:r w:rsidR="00D926C2">
        <w:rPr>
          <w:rFonts w:ascii="QCF_P087" w:hAnsi="QCF_P087" w:cs="QCF_P087" w:hint="cs"/>
          <w:noProof w:val="0"/>
          <w:rtl/>
          <w:lang w:eastAsia="en-US"/>
        </w:rPr>
        <w:t xml:space="preserve"> </w:t>
      </w:r>
      <w:r w:rsidRPr="00683508">
        <w:rPr>
          <w:rFonts w:ascii="QCF_P087" w:hAnsi="QCF_P087" w:cs="QCF_P087"/>
          <w:noProof w:val="0"/>
          <w:rtl/>
          <w:lang w:eastAsia="en-US"/>
        </w:rPr>
        <w:t>ﯜ</w:t>
      </w:r>
      <w:r w:rsidR="00D926C2">
        <w:rPr>
          <w:rFonts w:ascii="QCF_P087" w:hAnsi="QCF_P087" w:cs="QCF_P087" w:hint="cs"/>
          <w:noProof w:val="0"/>
          <w:rtl/>
          <w:lang w:eastAsia="en-US"/>
        </w:rPr>
        <w:t xml:space="preserve"> </w:t>
      </w:r>
      <w:r w:rsidRPr="00683508">
        <w:rPr>
          <w:rFonts w:ascii="QCF_P087" w:hAnsi="QCF_P087" w:cs="QCF_P087"/>
          <w:noProof w:val="0"/>
          <w:rtl/>
          <w:lang w:eastAsia="en-US"/>
        </w:rPr>
        <w:t>ﯝ</w:t>
      </w:r>
      <w:r w:rsidR="00D926C2">
        <w:rPr>
          <w:rFonts w:ascii="QCF_P087" w:hAnsi="QCF_P087" w:cs="QCF_P087" w:hint="cs"/>
          <w:noProof w:val="0"/>
          <w:rtl/>
          <w:lang w:eastAsia="en-US"/>
        </w:rPr>
        <w:t xml:space="preserve"> </w:t>
      </w:r>
      <w:r w:rsidRPr="00683508">
        <w:rPr>
          <w:rFonts w:ascii="QCF_P087" w:hAnsi="QCF_P087" w:cs="QCF_P087"/>
          <w:noProof w:val="0"/>
          <w:rtl/>
          <w:lang w:eastAsia="en-US"/>
        </w:rPr>
        <w:t>ﯞ</w:t>
      </w:r>
      <w:r w:rsidR="00D926C2">
        <w:rPr>
          <w:rFonts w:ascii="QCF_P087" w:hAnsi="QCF_P087" w:cs="QCF_P087" w:hint="cs"/>
          <w:noProof w:val="0"/>
          <w:rtl/>
          <w:lang w:eastAsia="en-US"/>
        </w:rPr>
        <w:t xml:space="preserve"> </w:t>
      </w:r>
      <w:r w:rsidRPr="00683508">
        <w:rPr>
          <w:rFonts w:ascii="QCF_P087" w:hAnsi="QCF_P087" w:cs="QCF_P087"/>
          <w:noProof w:val="0"/>
          <w:rtl/>
          <w:lang w:eastAsia="en-US"/>
        </w:rPr>
        <w:t>ﯟ</w:t>
      </w:r>
      <w:r w:rsidR="00D926C2">
        <w:rPr>
          <w:rFonts w:ascii="QCF_P087" w:hAnsi="QCF_P087" w:cs="QCF_P087" w:hint="cs"/>
          <w:noProof w:val="0"/>
          <w:rtl/>
          <w:lang w:eastAsia="en-US"/>
        </w:rPr>
        <w:t xml:space="preserve"> </w:t>
      </w:r>
      <w:r w:rsidRPr="00683508">
        <w:rPr>
          <w:rFonts w:ascii="QCF_P087" w:hAnsi="QCF_P087" w:cs="QCF_P087"/>
          <w:noProof w:val="0"/>
          <w:rtl/>
          <w:lang w:eastAsia="en-US"/>
        </w:rPr>
        <w:t>ﯠ</w:t>
      </w:r>
      <w:r w:rsidR="00D926C2">
        <w:rPr>
          <w:rFonts w:ascii="QCF_P087" w:hAnsi="QCF_P087" w:cs="QCF_P087" w:hint="cs"/>
          <w:noProof w:val="0"/>
          <w:rtl/>
          <w:lang w:eastAsia="en-US"/>
        </w:rPr>
        <w:t xml:space="preserve"> </w:t>
      </w:r>
      <w:r w:rsidRPr="00683508">
        <w:rPr>
          <w:rFonts w:ascii="QCF_BSML" w:hAnsi="QCF_BSML" w:cs="QCF_BSML"/>
          <w:noProof w:val="0"/>
          <w:rtl/>
          <w:lang w:eastAsia="en-US"/>
        </w:rPr>
        <w:t>ﭼ</w:t>
      </w:r>
      <w:bookmarkEnd w:id="121"/>
      <w:r w:rsidRPr="00683508">
        <w:rPr>
          <w:rFonts w:ascii="Traditional Arabic" w:hAnsi="Traditional Arabic"/>
          <w:noProof w:val="0"/>
          <w:rtl/>
          <w:lang w:eastAsia="en-US"/>
        </w:rPr>
        <w:t>[النساء: 58]</w:t>
      </w:r>
      <w:r w:rsidRPr="00683508">
        <w:rPr>
          <w:rFonts w:ascii="Traditional Arabic" w:hAnsi="Traditional Arabic" w:hint="cs"/>
          <w:noProof w:val="0"/>
          <w:rtl/>
          <w:lang w:eastAsia="en-US"/>
        </w:rPr>
        <w:t>،</w:t>
      </w:r>
      <w:r w:rsidR="0024767F">
        <w:rPr>
          <w:rFonts w:ascii="Traditional Arabic" w:hAnsi="Traditional Arabic"/>
          <w:noProof w:val="0"/>
          <w:rtl/>
          <w:lang w:eastAsia="en-US"/>
        </w:rPr>
        <w:t xml:space="preserve"> </w:t>
      </w:r>
      <w:r w:rsidR="0024767F">
        <w:rPr>
          <w:rFonts w:ascii="Traditional Arabic" w:hAnsi="Traditional Arabic" w:hint="cs"/>
          <w:noProof w:val="0"/>
          <w:rtl/>
          <w:lang w:eastAsia="en-US"/>
        </w:rPr>
        <w:t>فإذا لم يكن السفر بالوديعة أحرز لها</w:t>
      </w:r>
      <w:r w:rsidRPr="00683508">
        <w:rPr>
          <w:rFonts w:ascii="Traditional Arabic" w:hAnsi="Traditional Arabic" w:hint="cs"/>
          <w:noProof w:val="0"/>
          <w:rtl/>
          <w:lang w:eastAsia="en-US"/>
        </w:rPr>
        <w:t xml:space="preserve">، </w:t>
      </w:r>
      <w:r w:rsidR="0024767F">
        <w:rPr>
          <w:rFonts w:ascii="Traditional Arabic" w:hAnsi="Traditional Arabic" w:hint="cs"/>
          <w:noProof w:val="0"/>
          <w:rtl/>
          <w:lang w:eastAsia="en-US"/>
        </w:rPr>
        <w:t xml:space="preserve">وجب تركها عند ثقة؛ لأن الأداء حينئذ لا يتم إلا بذلك، </w:t>
      </w:r>
      <w:r w:rsidRPr="00683508">
        <w:rPr>
          <w:rFonts w:ascii="Traditional Arabic" w:hAnsi="Traditional Arabic" w:hint="cs"/>
          <w:noProof w:val="0"/>
          <w:rtl/>
          <w:lang w:eastAsia="en-US"/>
        </w:rPr>
        <w:t>وما لا يتم الواجب إلا به فهو واجب</w:t>
      </w:r>
      <w:r w:rsidRPr="00683508">
        <w:rPr>
          <w:rFonts w:ascii="Traditional Arabic" w:hAnsi="Traditional Arabic"/>
          <w:noProof w:val="0"/>
          <w:rtl/>
          <w:lang w:eastAsia="en-US"/>
        </w:rPr>
        <w:t>، ف</w:t>
      </w:r>
      <w:r w:rsidRPr="00683508">
        <w:rPr>
          <w:rFonts w:ascii="Traditional Arabic" w:hAnsi="Traditional Arabic" w:hint="cs"/>
          <w:noProof w:val="0"/>
          <w:rtl/>
          <w:lang w:eastAsia="en-US"/>
        </w:rPr>
        <w:t>يجب على المودَع أن يجعل الوديعة عند هذا الثقة،؛</w:t>
      </w:r>
      <w:r w:rsidR="00D87E43">
        <w:rPr>
          <w:rFonts w:ascii="Traditional Arabic" w:hAnsi="Traditional Arabic" w:hint="cs"/>
          <w:noProof w:val="0"/>
          <w:rtl/>
          <w:lang w:eastAsia="en-US"/>
        </w:rPr>
        <w:t xml:space="preserve"> </w:t>
      </w:r>
      <w:r w:rsidRPr="00683508">
        <w:rPr>
          <w:rFonts w:ascii="Traditional Arabic" w:hAnsi="Traditional Arabic" w:hint="cs"/>
          <w:noProof w:val="0"/>
          <w:rtl/>
          <w:lang w:eastAsia="en-US"/>
        </w:rPr>
        <w:t>لأن ذلك وسيلة إلى أدائها، والوسائل لها أحكام المقاصد</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595"/>
      </w:r>
      <w:r w:rsidRPr="00C821A1">
        <w:rPr>
          <w:rFonts w:ascii="Traditional Arabic" w:hAnsi="Traditional Arabic" w:hint="cs"/>
          <w:noProof w:val="0"/>
          <w:szCs w:val="32"/>
          <w:vertAlign w:val="superscript"/>
          <w:rtl/>
          <w:lang w:eastAsia="en-US"/>
        </w:rPr>
        <w:t>)</w:t>
      </w:r>
      <w:r w:rsidR="00C50EB9">
        <w:rPr>
          <w:rFonts w:ascii="Traditional Arabic" w:hAnsi="Traditional Arabic" w:hint="cs"/>
          <w:noProof w:val="0"/>
          <w:rtl/>
          <w:lang w:eastAsia="en-US"/>
        </w:rPr>
        <w:t>.</w:t>
      </w:r>
    </w:p>
    <w:p w:rsidR="00C50EB9" w:rsidRPr="00420F71" w:rsidRDefault="00CA7937" w:rsidP="00CA7937">
      <w:pPr>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r w:rsidR="00C50EB9" w:rsidRPr="00420F71">
        <w:rPr>
          <w:rFonts w:ascii="Traditional Arabic" w:hAnsi="Traditional Arabic" w:hint="cs"/>
          <w:b/>
          <w:bCs/>
          <w:noProof w:val="0"/>
          <w:rtl/>
          <w:lang w:eastAsia="en-US"/>
        </w:rPr>
        <w:t>المطلب الخامس</w:t>
      </w:r>
      <w:r w:rsidR="0024767F">
        <w:rPr>
          <w:rFonts w:ascii="Traditional Arabic" w:hAnsi="Traditional Arabic" w:hint="cs"/>
          <w:noProof w:val="0"/>
          <w:rtl/>
          <w:lang w:eastAsia="en-US"/>
        </w:rPr>
        <w:t xml:space="preserve"> :</w:t>
      </w:r>
    </w:p>
    <w:p w:rsidR="00C50EB9" w:rsidRDefault="00CA7937" w:rsidP="00CA7937">
      <w:pPr>
        <w:ind w:firstLine="720"/>
        <w:rPr>
          <w:rFonts w:ascii="Traditional Arabic" w:hAnsi="Traditional Arabic"/>
          <w:b/>
          <w:bCs/>
          <w:noProof w:val="0"/>
          <w:rtl/>
          <w:lang w:eastAsia="en-US"/>
        </w:rPr>
      </w:pPr>
      <w:r>
        <w:rPr>
          <w:rFonts w:ascii="Traditional Arabic" w:hAnsi="Traditional Arabic" w:hint="cs"/>
          <w:b/>
          <w:bCs/>
          <w:noProof w:val="0"/>
          <w:rtl/>
          <w:lang w:eastAsia="en-US"/>
        </w:rPr>
        <w:t xml:space="preserve">             </w:t>
      </w:r>
      <w:r w:rsidR="0024767F">
        <w:rPr>
          <w:rFonts w:ascii="Traditional Arabic" w:hAnsi="Traditional Arabic" w:hint="cs"/>
          <w:b/>
          <w:bCs/>
          <w:noProof w:val="0"/>
          <w:rtl/>
          <w:lang w:eastAsia="en-US"/>
        </w:rPr>
        <w:t xml:space="preserve">                  </w:t>
      </w:r>
      <w:r w:rsidR="00C50EB9" w:rsidRPr="00420F71">
        <w:rPr>
          <w:rFonts w:ascii="Traditional Arabic" w:hAnsi="Traditional Arabic" w:hint="cs"/>
          <w:b/>
          <w:bCs/>
          <w:noProof w:val="0"/>
          <w:rtl/>
          <w:lang w:eastAsia="en-US"/>
        </w:rPr>
        <w:t>مستثنيات القاعدة</w:t>
      </w:r>
    </w:p>
    <w:p w:rsidR="00C376A8" w:rsidRDefault="001F0BA3" w:rsidP="001F0BA3">
      <w:pPr>
        <w:widowControl/>
        <w:autoSpaceDE w:val="0"/>
        <w:autoSpaceDN w:val="0"/>
        <w:adjustRightInd w:val="0"/>
        <w:ind w:firstLine="0"/>
        <w:rPr>
          <w:rFonts w:ascii="Traditional Arabic" w:hAnsi="Traditional Arabic"/>
          <w:noProof w:val="0"/>
          <w:rtl/>
          <w:lang w:eastAsia="en-US"/>
        </w:rPr>
      </w:pPr>
      <w:r w:rsidRPr="00872848">
        <w:rPr>
          <w:rFonts w:ascii="Traditional Arabic" w:hAnsi="Traditional Arabic"/>
          <w:noProof w:val="0"/>
          <w:rtl/>
          <w:lang w:eastAsia="en-US"/>
        </w:rPr>
        <w:t>قد تكون وسيلة</w:t>
      </w:r>
      <w:r>
        <w:rPr>
          <w:rFonts w:ascii="Traditional Arabic" w:hAnsi="Traditional Arabic" w:hint="cs"/>
          <w:noProof w:val="0"/>
          <w:rtl/>
          <w:lang w:eastAsia="en-US"/>
        </w:rPr>
        <w:t>ُ</w:t>
      </w:r>
      <w:r w:rsidRPr="00872848">
        <w:rPr>
          <w:rFonts w:ascii="Traditional Arabic" w:hAnsi="Traditional Arabic"/>
          <w:noProof w:val="0"/>
          <w:rtl/>
          <w:lang w:eastAsia="en-US"/>
        </w:rPr>
        <w:t xml:space="preserve"> المحر</w:t>
      </w:r>
      <w:r>
        <w:rPr>
          <w:rFonts w:ascii="Traditional Arabic" w:hAnsi="Traditional Arabic" w:hint="cs"/>
          <w:noProof w:val="0"/>
          <w:rtl/>
          <w:lang w:eastAsia="en-US"/>
        </w:rPr>
        <w:t>َّ</w:t>
      </w:r>
      <w:r w:rsidRPr="00872848">
        <w:rPr>
          <w:rFonts w:ascii="Traditional Arabic" w:hAnsi="Traditional Arabic"/>
          <w:noProof w:val="0"/>
          <w:rtl/>
          <w:lang w:eastAsia="en-US"/>
        </w:rPr>
        <w:t>م غير محر</w:t>
      </w:r>
      <w:r>
        <w:rPr>
          <w:rFonts w:ascii="Traditional Arabic" w:hAnsi="Traditional Arabic" w:hint="cs"/>
          <w:noProof w:val="0"/>
          <w:rtl/>
          <w:lang w:eastAsia="en-US"/>
        </w:rPr>
        <w:t>َّ</w:t>
      </w:r>
      <w:r w:rsidRPr="00872848">
        <w:rPr>
          <w:rFonts w:ascii="Traditional Arabic" w:hAnsi="Traditional Arabic"/>
          <w:noProof w:val="0"/>
          <w:rtl/>
          <w:lang w:eastAsia="en-US"/>
        </w:rPr>
        <w:t>مة إذا أ</w:t>
      </w:r>
      <w:r>
        <w:rPr>
          <w:rFonts w:ascii="Traditional Arabic" w:hAnsi="Traditional Arabic" w:hint="cs"/>
          <w:noProof w:val="0"/>
          <w:rtl/>
          <w:lang w:eastAsia="en-US"/>
        </w:rPr>
        <w:t>َ</w:t>
      </w:r>
      <w:r w:rsidRPr="00872848">
        <w:rPr>
          <w:rFonts w:ascii="Traditional Arabic" w:hAnsi="Traditional Arabic"/>
          <w:noProof w:val="0"/>
          <w:rtl/>
          <w:lang w:eastAsia="en-US"/>
        </w:rPr>
        <w:t>ف</w:t>
      </w:r>
      <w:r>
        <w:rPr>
          <w:rFonts w:ascii="Traditional Arabic" w:hAnsi="Traditional Arabic" w:hint="cs"/>
          <w:noProof w:val="0"/>
          <w:rtl/>
          <w:lang w:eastAsia="en-US"/>
        </w:rPr>
        <w:t>ْ</w:t>
      </w:r>
      <w:r w:rsidRPr="00872848">
        <w:rPr>
          <w:rFonts w:ascii="Traditional Arabic" w:hAnsi="Traditional Arabic"/>
          <w:noProof w:val="0"/>
          <w:rtl/>
          <w:lang w:eastAsia="en-US"/>
        </w:rPr>
        <w:t>ض</w:t>
      </w:r>
      <w:r>
        <w:rPr>
          <w:rFonts w:ascii="Traditional Arabic" w:hAnsi="Traditional Arabic" w:hint="cs"/>
          <w:noProof w:val="0"/>
          <w:rtl/>
          <w:lang w:eastAsia="en-US"/>
        </w:rPr>
        <w:t>َ</w:t>
      </w:r>
      <w:r w:rsidRPr="00872848">
        <w:rPr>
          <w:rFonts w:ascii="Traditional Arabic" w:hAnsi="Traditional Arabic"/>
          <w:noProof w:val="0"/>
          <w:rtl/>
          <w:lang w:eastAsia="en-US"/>
        </w:rPr>
        <w:t>ت</w:t>
      </w:r>
      <w:r>
        <w:rPr>
          <w:rFonts w:ascii="Traditional Arabic" w:hAnsi="Traditional Arabic" w:hint="cs"/>
          <w:noProof w:val="0"/>
          <w:rtl/>
          <w:lang w:eastAsia="en-US"/>
        </w:rPr>
        <w:t>ْ</w:t>
      </w:r>
      <w:r w:rsidRPr="00872848">
        <w:rPr>
          <w:rFonts w:ascii="Traditional Arabic" w:hAnsi="Traditional Arabic"/>
          <w:noProof w:val="0"/>
          <w:rtl/>
          <w:lang w:eastAsia="en-US"/>
        </w:rPr>
        <w:t xml:space="preserve"> إلى مصلحة راج</w:t>
      </w:r>
      <w:r>
        <w:rPr>
          <w:rFonts w:ascii="Traditional Arabic" w:hAnsi="Traditional Arabic" w:hint="cs"/>
          <w:noProof w:val="0"/>
          <w:rtl/>
          <w:lang w:eastAsia="en-US"/>
        </w:rPr>
        <w:t>ِ</w:t>
      </w:r>
      <w:r w:rsidRPr="00872848">
        <w:rPr>
          <w:rFonts w:ascii="Traditional Arabic" w:hAnsi="Traditional Arabic"/>
          <w:noProof w:val="0"/>
          <w:rtl/>
          <w:lang w:eastAsia="en-US"/>
        </w:rPr>
        <w:t>حة</w:t>
      </w:r>
      <w:r>
        <w:rPr>
          <w:rFonts w:ascii="Traditional Arabic" w:hAnsi="Traditional Arabic" w:hint="cs"/>
          <w:noProof w:val="0"/>
          <w:rtl/>
          <w:lang w:eastAsia="en-US"/>
        </w:rPr>
        <w:t xml:space="preserve">، </w:t>
      </w:r>
      <w:r w:rsidR="00C376A8">
        <w:rPr>
          <w:rFonts w:ascii="Traditional Arabic" w:hAnsi="Traditional Arabic" w:hint="cs"/>
          <w:noProof w:val="0"/>
          <w:rtl/>
          <w:lang w:eastAsia="en-US"/>
        </w:rPr>
        <w:t>فيُستثنى من كون وسيلة المحرم محرمة، الوسيلةُ التي عارضتْها مصلحةٌ راجحة على مفسدةِ المحرم؛ لأن</w:t>
      </w:r>
      <w:r w:rsidR="00ED68B6">
        <w:rPr>
          <w:rFonts w:ascii="Traditional Arabic" w:hAnsi="Traditional Arabic" w:hint="cs"/>
          <w:noProof w:val="0"/>
          <w:rtl/>
          <w:lang w:eastAsia="en-US"/>
        </w:rPr>
        <w:t>ها إذا كانت راجحة وجب اعتبارُها؛</w:t>
      </w:r>
      <w:r w:rsidR="00C376A8">
        <w:rPr>
          <w:rFonts w:ascii="Traditional Arabic" w:hAnsi="Traditional Arabic" w:hint="cs"/>
          <w:noProof w:val="0"/>
          <w:rtl/>
          <w:lang w:eastAsia="en-US"/>
        </w:rPr>
        <w:t xml:space="preserve"> إذ العمل بالراجح متعيِّنٌ في جميع موارد الشريعة</w:t>
      </w:r>
      <w:r w:rsidR="00C376A8" w:rsidRPr="00C376A8">
        <w:rPr>
          <w:rFonts w:ascii="Traditional Arabic" w:hAnsi="Traditional Arabic" w:hint="cs"/>
          <w:noProof w:val="0"/>
          <w:vertAlign w:val="superscript"/>
          <w:rtl/>
          <w:lang w:eastAsia="en-US"/>
        </w:rPr>
        <w:t>(</w:t>
      </w:r>
      <w:r w:rsidR="00C376A8" w:rsidRPr="00C376A8">
        <w:rPr>
          <w:rStyle w:val="af1"/>
          <w:rFonts w:ascii="Traditional Arabic" w:hAnsi="Traditional Arabic"/>
          <w:noProof w:val="0"/>
          <w:rtl/>
          <w:lang w:eastAsia="en-US"/>
        </w:rPr>
        <w:footnoteReference w:id="596"/>
      </w:r>
      <w:r w:rsidR="00C376A8" w:rsidRPr="00C376A8">
        <w:rPr>
          <w:rFonts w:ascii="Traditional Arabic" w:hAnsi="Traditional Arabic" w:hint="cs"/>
          <w:noProof w:val="0"/>
          <w:vertAlign w:val="superscript"/>
          <w:rtl/>
          <w:lang w:eastAsia="en-US"/>
        </w:rPr>
        <w:t>)</w:t>
      </w:r>
      <w:r w:rsidR="00C376A8">
        <w:rPr>
          <w:rFonts w:ascii="Traditional Arabic" w:hAnsi="Traditional Arabic" w:hint="cs"/>
          <w:noProof w:val="0"/>
          <w:rtl/>
          <w:lang w:eastAsia="en-US"/>
        </w:rPr>
        <w:t>.</w:t>
      </w:r>
    </w:p>
    <w:p w:rsidR="001F0BA3" w:rsidRDefault="001F0BA3" w:rsidP="001F0BA3">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ومن الأمثلة على ذلك</w:t>
      </w:r>
      <w:r w:rsidRPr="00C821A1">
        <w:rPr>
          <w:rStyle w:val="af1"/>
          <w:szCs w:val="32"/>
          <w:rtl/>
        </w:rPr>
        <w:t>(</w:t>
      </w:r>
      <w:r w:rsidRPr="00C821A1">
        <w:rPr>
          <w:rStyle w:val="af1"/>
          <w:szCs w:val="32"/>
          <w:rtl/>
        </w:rPr>
        <w:footnoteReference w:id="597"/>
      </w:r>
      <w:r w:rsidRPr="00C821A1">
        <w:rPr>
          <w:rStyle w:val="af1"/>
          <w:szCs w:val="32"/>
          <w:rtl/>
        </w:rPr>
        <w:t>)</w:t>
      </w:r>
      <w:r>
        <w:rPr>
          <w:rFonts w:ascii="Traditional Arabic" w:hAnsi="Traditional Arabic" w:hint="cs"/>
          <w:noProof w:val="0"/>
          <w:rtl/>
          <w:lang w:eastAsia="en-US"/>
        </w:rPr>
        <w:t>:</w:t>
      </w:r>
    </w:p>
    <w:p w:rsidR="001F0BA3" w:rsidRPr="000832E7" w:rsidRDefault="001F0BA3" w:rsidP="000A76C7">
      <w:pPr>
        <w:pStyle w:val="afc"/>
        <w:widowControl/>
        <w:numPr>
          <w:ilvl w:val="0"/>
          <w:numId w:val="103"/>
        </w:numPr>
        <w:autoSpaceDE w:val="0"/>
        <w:autoSpaceDN w:val="0"/>
        <w:adjustRightInd w:val="0"/>
        <w:jc w:val="left"/>
        <w:rPr>
          <w:rFonts w:ascii="Traditional Arabic" w:hAnsi="Traditional Arabic"/>
          <w:noProof w:val="0"/>
          <w:rtl/>
          <w:lang w:eastAsia="en-US"/>
        </w:rPr>
      </w:pPr>
      <w:r w:rsidRPr="000832E7">
        <w:rPr>
          <w:rFonts w:ascii="Traditional Arabic" w:hAnsi="Traditional Arabic"/>
          <w:noProof w:val="0"/>
          <w:rtl/>
          <w:lang w:eastAsia="en-US"/>
        </w:rPr>
        <w:t>التوس</w:t>
      </w:r>
      <w:r>
        <w:rPr>
          <w:rFonts w:ascii="Traditional Arabic" w:hAnsi="Traditional Arabic" w:hint="cs"/>
          <w:noProof w:val="0"/>
          <w:rtl/>
          <w:lang w:eastAsia="en-US"/>
        </w:rPr>
        <w:t>ُّ</w:t>
      </w:r>
      <w:r w:rsidRPr="000832E7">
        <w:rPr>
          <w:rFonts w:ascii="Traditional Arabic" w:hAnsi="Traditional Arabic"/>
          <w:noProof w:val="0"/>
          <w:rtl/>
          <w:lang w:eastAsia="en-US"/>
        </w:rPr>
        <w:t>ل إلى ف</w:t>
      </w:r>
      <w:r>
        <w:rPr>
          <w:rFonts w:ascii="Traditional Arabic" w:hAnsi="Traditional Arabic" w:hint="cs"/>
          <w:noProof w:val="0"/>
          <w:rtl/>
          <w:lang w:eastAsia="en-US"/>
        </w:rPr>
        <w:t>ِ</w:t>
      </w:r>
      <w:r w:rsidRPr="000832E7">
        <w:rPr>
          <w:rFonts w:ascii="Traditional Arabic" w:hAnsi="Traditional Arabic"/>
          <w:noProof w:val="0"/>
          <w:rtl/>
          <w:lang w:eastAsia="en-US"/>
        </w:rPr>
        <w:t>داء الأ</w:t>
      </w:r>
      <w:r>
        <w:rPr>
          <w:rFonts w:ascii="Traditional Arabic" w:hAnsi="Traditional Arabic" w:hint="cs"/>
          <w:noProof w:val="0"/>
          <w:rtl/>
          <w:lang w:eastAsia="en-US"/>
        </w:rPr>
        <w:t>ُ</w:t>
      </w:r>
      <w:r w:rsidRPr="000832E7">
        <w:rPr>
          <w:rFonts w:ascii="Traditional Arabic" w:hAnsi="Traditional Arabic"/>
          <w:noProof w:val="0"/>
          <w:rtl/>
          <w:lang w:eastAsia="en-US"/>
        </w:rPr>
        <w:t>سارى ب</w:t>
      </w:r>
      <w:r>
        <w:rPr>
          <w:rFonts w:ascii="Traditional Arabic" w:hAnsi="Traditional Arabic" w:hint="cs"/>
          <w:noProof w:val="0"/>
          <w:rtl/>
          <w:lang w:eastAsia="en-US"/>
        </w:rPr>
        <w:t>ِ</w:t>
      </w:r>
      <w:r w:rsidRPr="000832E7">
        <w:rPr>
          <w:rFonts w:ascii="Traditional Arabic" w:hAnsi="Traditional Arabic"/>
          <w:noProof w:val="0"/>
          <w:rtl/>
          <w:lang w:eastAsia="en-US"/>
        </w:rPr>
        <w:t>د</w:t>
      </w:r>
      <w:r>
        <w:rPr>
          <w:rFonts w:ascii="Traditional Arabic" w:hAnsi="Traditional Arabic" w:hint="cs"/>
          <w:noProof w:val="0"/>
          <w:rtl/>
          <w:lang w:eastAsia="en-US"/>
        </w:rPr>
        <w:t>َ</w:t>
      </w:r>
      <w:r w:rsidRPr="000832E7">
        <w:rPr>
          <w:rFonts w:ascii="Traditional Arabic" w:hAnsi="Traditional Arabic"/>
          <w:noProof w:val="0"/>
          <w:rtl/>
          <w:lang w:eastAsia="en-US"/>
        </w:rPr>
        <w:t>ف</w:t>
      </w:r>
      <w:r>
        <w:rPr>
          <w:rFonts w:ascii="Traditional Arabic" w:hAnsi="Traditional Arabic" w:hint="cs"/>
          <w:noProof w:val="0"/>
          <w:rtl/>
          <w:lang w:eastAsia="en-US"/>
        </w:rPr>
        <w:t>ْ</w:t>
      </w:r>
      <w:r w:rsidRPr="000832E7">
        <w:rPr>
          <w:rFonts w:ascii="Traditional Arabic" w:hAnsi="Traditional Arabic"/>
          <w:noProof w:val="0"/>
          <w:rtl/>
          <w:lang w:eastAsia="en-US"/>
        </w:rPr>
        <w:t>ع المال للكفار الذي هو محر</w:t>
      </w:r>
      <w:r>
        <w:rPr>
          <w:rFonts w:ascii="Traditional Arabic" w:hAnsi="Traditional Arabic" w:hint="cs"/>
          <w:noProof w:val="0"/>
          <w:rtl/>
          <w:lang w:eastAsia="en-US"/>
        </w:rPr>
        <w:t>َّ</w:t>
      </w:r>
      <w:r w:rsidRPr="000832E7">
        <w:rPr>
          <w:rFonts w:ascii="Traditional Arabic" w:hAnsi="Traditional Arabic"/>
          <w:noProof w:val="0"/>
          <w:rtl/>
          <w:lang w:eastAsia="en-US"/>
        </w:rPr>
        <w:t>م عليهم الانتفاع</w:t>
      </w:r>
      <w:r>
        <w:rPr>
          <w:rFonts w:ascii="Traditional Arabic" w:hAnsi="Traditional Arabic" w:hint="cs"/>
          <w:noProof w:val="0"/>
          <w:rtl/>
          <w:lang w:eastAsia="en-US"/>
        </w:rPr>
        <w:t>ُ</w:t>
      </w:r>
      <w:r w:rsidRPr="000832E7">
        <w:rPr>
          <w:rFonts w:ascii="Traditional Arabic" w:hAnsi="Traditional Arabic"/>
          <w:noProof w:val="0"/>
          <w:rtl/>
          <w:lang w:eastAsia="en-US"/>
        </w:rPr>
        <w:t xml:space="preserve"> به</w:t>
      </w:r>
      <w:r w:rsidRPr="000832E7">
        <w:rPr>
          <w:rFonts w:ascii="Traditional Arabic" w:hAnsi="Traditional Arabic" w:hint="cs"/>
          <w:noProof w:val="0"/>
          <w:rtl/>
          <w:lang w:eastAsia="en-US"/>
        </w:rPr>
        <w:t>.</w:t>
      </w:r>
    </w:p>
    <w:p w:rsidR="001F0BA3" w:rsidRDefault="001F0BA3" w:rsidP="000A76C7">
      <w:pPr>
        <w:pStyle w:val="afc"/>
        <w:widowControl/>
        <w:numPr>
          <w:ilvl w:val="0"/>
          <w:numId w:val="103"/>
        </w:numPr>
        <w:autoSpaceDE w:val="0"/>
        <w:autoSpaceDN w:val="0"/>
        <w:adjustRightInd w:val="0"/>
        <w:jc w:val="left"/>
        <w:rPr>
          <w:rFonts w:ascii="Traditional Arabic" w:hAnsi="Traditional Arabic"/>
          <w:noProof w:val="0"/>
          <w:lang w:eastAsia="en-US"/>
        </w:rPr>
      </w:pPr>
      <w:r>
        <w:rPr>
          <w:rFonts w:ascii="Traditional Arabic" w:hAnsi="Traditional Arabic" w:hint="cs"/>
          <w:noProof w:val="0"/>
          <w:rtl/>
          <w:lang w:eastAsia="en-US"/>
        </w:rPr>
        <w:lastRenderedPageBreak/>
        <w:t xml:space="preserve">جواز </w:t>
      </w:r>
      <w:r w:rsidRPr="000832E7">
        <w:rPr>
          <w:rFonts w:ascii="Traditional Arabic" w:hAnsi="Traditional Arabic"/>
          <w:noProof w:val="0"/>
          <w:rtl/>
          <w:lang w:eastAsia="en-US"/>
        </w:rPr>
        <w:t>د</w:t>
      </w:r>
      <w:r>
        <w:rPr>
          <w:rFonts w:ascii="Traditional Arabic" w:hAnsi="Traditional Arabic" w:hint="cs"/>
          <w:noProof w:val="0"/>
          <w:rtl/>
          <w:lang w:eastAsia="en-US"/>
        </w:rPr>
        <w:t>َ</w:t>
      </w:r>
      <w:r w:rsidRPr="000832E7">
        <w:rPr>
          <w:rFonts w:ascii="Traditional Arabic" w:hAnsi="Traditional Arabic"/>
          <w:noProof w:val="0"/>
          <w:rtl/>
          <w:lang w:eastAsia="en-US"/>
        </w:rPr>
        <w:t>ف</w:t>
      </w:r>
      <w:r>
        <w:rPr>
          <w:rFonts w:ascii="Traditional Arabic" w:hAnsi="Traditional Arabic" w:hint="cs"/>
          <w:noProof w:val="0"/>
          <w:rtl/>
          <w:lang w:eastAsia="en-US"/>
        </w:rPr>
        <w:t>ْ</w:t>
      </w:r>
      <w:r w:rsidRPr="000832E7">
        <w:rPr>
          <w:rFonts w:ascii="Traditional Arabic" w:hAnsi="Traditional Arabic"/>
          <w:noProof w:val="0"/>
          <w:rtl/>
          <w:lang w:eastAsia="en-US"/>
        </w:rPr>
        <w:t xml:space="preserve">ع </w:t>
      </w:r>
      <w:r>
        <w:rPr>
          <w:rFonts w:ascii="Traditional Arabic" w:hAnsi="Traditional Arabic" w:hint="cs"/>
          <w:noProof w:val="0"/>
          <w:rtl/>
          <w:lang w:eastAsia="en-US"/>
        </w:rPr>
        <w:t>ال</w:t>
      </w:r>
      <w:r w:rsidRPr="000832E7">
        <w:rPr>
          <w:rFonts w:ascii="Traditional Arabic" w:hAnsi="Traditional Arabic"/>
          <w:noProof w:val="0"/>
          <w:rtl/>
          <w:lang w:eastAsia="en-US"/>
        </w:rPr>
        <w:t>مال ل</w:t>
      </w:r>
      <w:r>
        <w:rPr>
          <w:rFonts w:ascii="Traditional Arabic" w:hAnsi="Traditional Arabic" w:hint="cs"/>
          <w:noProof w:val="0"/>
          <w:rtl/>
          <w:lang w:eastAsia="en-US"/>
        </w:rPr>
        <w:t>ِ</w:t>
      </w:r>
      <w:r w:rsidRPr="000832E7">
        <w:rPr>
          <w:rFonts w:ascii="Traditional Arabic" w:hAnsi="Traditional Arabic"/>
          <w:noProof w:val="0"/>
          <w:rtl/>
          <w:lang w:eastAsia="en-US"/>
        </w:rPr>
        <w:t>رجل</w:t>
      </w:r>
      <w:r>
        <w:rPr>
          <w:rFonts w:ascii="Traditional Arabic" w:hAnsi="Traditional Arabic" w:hint="cs"/>
          <w:noProof w:val="0"/>
          <w:rtl/>
          <w:lang w:eastAsia="en-US"/>
        </w:rPr>
        <w:t>ٍ</w:t>
      </w:r>
      <w:r w:rsidRPr="000832E7">
        <w:rPr>
          <w:rFonts w:ascii="Traditional Arabic" w:hAnsi="Traditional Arabic"/>
          <w:noProof w:val="0"/>
          <w:rtl/>
          <w:lang w:eastAsia="en-US"/>
        </w:rPr>
        <w:t xml:space="preserve"> يأكله حراما</w:t>
      </w:r>
      <w:r>
        <w:rPr>
          <w:rFonts w:ascii="Traditional Arabic" w:hAnsi="Traditional Arabic" w:hint="cs"/>
          <w:noProof w:val="0"/>
          <w:rtl/>
          <w:lang w:eastAsia="en-US"/>
        </w:rPr>
        <w:t>ً</w:t>
      </w:r>
      <w:r w:rsidRPr="000832E7">
        <w:rPr>
          <w:rFonts w:ascii="Traditional Arabic" w:hAnsi="Traditional Arabic"/>
          <w:noProof w:val="0"/>
          <w:rtl/>
          <w:lang w:eastAsia="en-US"/>
        </w:rPr>
        <w:t xml:space="preserve"> حتى لا يزني بامرأة</w:t>
      </w:r>
      <w:r>
        <w:rPr>
          <w:rFonts w:ascii="Traditional Arabic" w:hAnsi="Traditional Arabic" w:hint="cs"/>
          <w:noProof w:val="0"/>
          <w:rtl/>
          <w:lang w:eastAsia="en-US"/>
        </w:rPr>
        <w:t xml:space="preserve">، </w:t>
      </w:r>
      <w:r>
        <w:rPr>
          <w:rFonts w:ascii="Traditional Arabic" w:hAnsi="Traditional Arabic"/>
          <w:noProof w:val="0"/>
          <w:rtl/>
          <w:lang w:eastAsia="en-US"/>
        </w:rPr>
        <w:t xml:space="preserve"> إذا عجز عن دفعه عنها إلا</w:t>
      </w:r>
      <w:r>
        <w:rPr>
          <w:rFonts w:ascii="Traditional Arabic" w:hAnsi="Traditional Arabic" w:hint="cs"/>
          <w:noProof w:val="0"/>
          <w:rtl/>
          <w:lang w:eastAsia="en-US"/>
        </w:rPr>
        <w:t xml:space="preserve"> </w:t>
      </w:r>
      <w:r>
        <w:rPr>
          <w:rFonts w:ascii="Traditional Arabic" w:hAnsi="Traditional Arabic"/>
          <w:noProof w:val="0"/>
          <w:rtl/>
          <w:lang w:eastAsia="en-US"/>
        </w:rPr>
        <w:t>بذل</w:t>
      </w:r>
      <w:r>
        <w:rPr>
          <w:rFonts w:ascii="Traditional Arabic" w:hAnsi="Traditional Arabic" w:hint="cs"/>
          <w:noProof w:val="0"/>
          <w:rtl/>
          <w:lang w:eastAsia="en-US"/>
        </w:rPr>
        <w:t>ك.</w:t>
      </w:r>
    </w:p>
    <w:p w:rsidR="001F0BA3" w:rsidRDefault="001F0BA3" w:rsidP="000A76C7">
      <w:pPr>
        <w:pStyle w:val="afc"/>
        <w:widowControl/>
        <w:numPr>
          <w:ilvl w:val="0"/>
          <w:numId w:val="103"/>
        </w:numPr>
        <w:autoSpaceDE w:val="0"/>
        <w:autoSpaceDN w:val="0"/>
        <w:adjustRightInd w:val="0"/>
        <w:jc w:val="left"/>
        <w:rPr>
          <w:rFonts w:ascii="Traditional Arabic" w:hAnsi="Traditional Arabic"/>
          <w:noProof w:val="0"/>
          <w:lang w:eastAsia="en-US"/>
        </w:rPr>
      </w:pPr>
      <w:r>
        <w:rPr>
          <w:rFonts w:ascii="Traditional Arabic" w:hAnsi="Traditional Arabic" w:hint="cs"/>
          <w:noProof w:val="0"/>
          <w:rtl/>
          <w:lang w:eastAsia="en-US"/>
        </w:rPr>
        <w:t xml:space="preserve">جواز </w:t>
      </w:r>
      <w:r w:rsidRPr="000832E7">
        <w:rPr>
          <w:rFonts w:ascii="Traditional Arabic" w:hAnsi="Traditional Arabic"/>
          <w:noProof w:val="0"/>
          <w:rtl/>
          <w:lang w:eastAsia="en-US"/>
        </w:rPr>
        <w:t>دفع المال للمحار</w:t>
      </w:r>
      <w:r>
        <w:rPr>
          <w:rFonts w:ascii="Traditional Arabic" w:hAnsi="Traditional Arabic" w:hint="cs"/>
          <w:noProof w:val="0"/>
          <w:rtl/>
          <w:lang w:eastAsia="en-US"/>
        </w:rPr>
        <w:t>ِ</w:t>
      </w:r>
      <w:r w:rsidRPr="000832E7">
        <w:rPr>
          <w:rFonts w:ascii="Traditional Arabic" w:hAnsi="Traditional Arabic"/>
          <w:noProof w:val="0"/>
          <w:rtl/>
          <w:lang w:eastAsia="en-US"/>
        </w:rPr>
        <w:t>ب حتى لا يقع القتل بينه وبين صاحب الم</w:t>
      </w:r>
      <w:r w:rsidRPr="000832E7">
        <w:rPr>
          <w:rFonts w:ascii="Traditional Arabic" w:hAnsi="Traditional Arabic" w:hint="cs"/>
          <w:noProof w:val="0"/>
          <w:rtl/>
          <w:lang w:eastAsia="en-US"/>
        </w:rPr>
        <w:t>ال</w:t>
      </w:r>
      <w:r w:rsidRPr="000832E7">
        <w:rPr>
          <w:rFonts w:ascii="Traditional Arabic" w:hAnsi="Traditional Arabic"/>
          <w:noProof w:val="0"/>
          <w:rtl/>
          <w:lang w:eastAsia="en-US"/>
        </w:rPr>
        <w:t>.</w:t>
      </w:r>
    </w:p>
    <w:p w:rsidR="001F0BA3" w:rsidRDefault="001F0BA3" w:rsidP="001F0BA3">
      <w:pPr>
        <w:pStyle w:val="afc"/>
        <w:widowControl/>
        <w:autoSpaceDE w:val="0"/>
        <w:autoSpaceDN w:val="0"/>
        <w:adjustRightInd w:val="0"/>
        <w:ind w:left="1080" w:firstLine="0"/>
        <w:jc w:val="left"/>
        <w:rPr>
          <w:rFonts w:ascii="Traditional Arabic" w:hAnsi="Traditional Arabic"/>
          <w:noProof w:val="0"/>
          <w:rtl/>
          <w:lang w:eastAsia="en-US"/>
        </w:rPr>
      </w:pPr>
      <w:r w:rsidRPr="00CD6B7B">
        <w:rPr>
          <w:rFonts w:ascii="Traditional Arabic" w:hAnsi="Traditional Arabic"/>
          <w:noProof w:val="0"/>
          <w:rtl/>
          <w:lang w:eastAsia="en-US"/>
        </w:rPr>
        <w:t>فهذه الص</w:t>
      </w:r>
      <w:r>
        <w:rPr>
          <w:rFonts w:ascii="Traditional Arabic" w:hAnsi="Traditional Arabic" w:hint="cs"/>
          <w:noProof w:val="0"/>
          <w:rtl/>
          <w:lang w:eastAsia="en-US"/>
        </w:rPr>
        <w:t>ُّ</w:t>
      </w:r>
      <w:r w:rsidRPr="00CD6B7B">
        <w:rPr>
          <w:rFonts w:ascii="Traditional Arabic" w:hAnsi="Traditional Arabic"/>
          <w:noProof w:val="0"/>
          <w:rtl/>
          <w:lang w:eastAsia="en-US"/>
        </w:rPr>
        <w:t>و</w:t>
      </w:r>
      <w:r>
        <w:rPr>
          <w:rFonts w:ascii="Traditional Arabic" w:hAnsi="Traditional Arabic" w:hint="cs"/>
          <w:noProof w:val="0"/>
          <w:rtl/>
          <w:lang w:eastAsia="en-US"/>
        </w:rPr>
        <w:t>َ</w:t>
      </w:r>
      <w:r w:rsidRPr="00CD6B7B">
        <w:rPr>
          <w:rFonts w:ascii="Traditional Arabic" w:hAnsi="Traditional Arabic"/>
          <w:noProof w:val="0"/>
          <w:rtl/>
          <w:lang w:eastAsia="en-US"/>
        </w:rPr>
        <w:t>ر كل</w:t>
      </w:r>
      <w:r>
        <w:rPr>
          <w:rFonts w:ascii="Traditional Arabic" w:hAnsi="Traditional Arabic" w:hint="cs"/>
          <w:noProof w:val="0"/>
          <w:rtl/>
          <w:lang w:eastAsia="en-US"/>
        </w:rPr>
        <w:t>ُّ</w:t>
      </w:r>
      <w:r w:rsidRPr="00CD6B7B">
        <w:rPr>
          <w:rFonts w:ascii="Traditional Arabic" w:hAnsi="Traditional Arabic"/>
          <w:noProof w:val="0"/>
          <w:rtl/>
          <w:lang w:eastAsia="en-US"/>
        </w:rPr>
        <w:t>ها الدفع</w:t>
      </w:r>
      <w:r>
        <w:rPr>
          <w:rFonts w:ascii="Traditional Arabic" w:hAnsi="Traditional Arabic" w:hint="cs"/>
          <w:noProof w:val="0"/>
          <w:rtl/>
          <w:lang w:eastAsia="en-US"/>
        </w:rPr>
        <w:t>ُ فيها</w:t>
      </w:r>
      <w:r w:rsidRPr="00CD6B7B">
        <w:rPr>
          <w:rFonts w:ascii="Traditional Arabic" w:hAnsi="Traditional Arabic"/>
          <w:noProof w:val="0"/>
          <w:rtl/>
          <w:lang w:eastAsia="en-US"/>
        </w:rPr>
        <w:t xml:space="preserve"> وسيلة</w:t>
      </w:r>
      <w:r>
        <w:rPr>
          <w:rFonts w:ascii="Traditional Arabic" w:hAnsi="Traditional Arabic" w:hint="cs"/>
          <w:noProof w:val="0"/>
          <w:rtl/>
          <w:lang w:eastAsia="en-US"/>
        </w:rPr>
        <w:t>ٌ</w:t>
      </w:r>
      <w:r w:rsidRPr="00CD6B7B">
        <w:rPr>
          <w:rFonts w:ascii="Traditional Arabic" w:hAnsi="Traditional Arabic"/>
          <w:noProof w:val="0"/>
          <w:rtl/>
          <w:lang w:eastAsia="en-US"/>
        </w:rPr>
        <w:t xml:space="preserve"> إلى المعصية بأكل المال</w:t>
      </w:r>
      <w:r>
        <w:rPr>
          <w:rFonts w:ascii="Traditional Arabic" w:hAnsi="Traditional Arabic" w:hint="cs"/>
          <w:noProof w:val="0"/>
          <w:rtl/>
          <w:lang w:eastAsia="en-US"/>
        </w:rPr>
        <w:t>،</w:t>
      </w:r>
      <w:r>
        <w:rPr>
          <w:rFonts w:ascii="Traditional Arabic" w:hAnsi="Traditional Arabic"/>
          <w:noProof w:val="0"/>
          <w:rtl/>
          <w:lang w:eastAsia="en-US"/>
        </w:rPr>
        <w:t xml:space="preserve"> ومع ذلك </w:t>
      </w:r>
      <w:r>
        <w:rPr>
          <w:rFonts w:ascii="Traditional Arabic" w:hAnsi="Traditional Arabic" w:hint="cs"/>
          <w:noProof w:val="0"/>
          <w:rtl/>
          <w:lang w:eastAsia="en-US"/>
        </w:rPr>
        <w:t>أُمِر</w:t>
      </w:r>
      <w:r w:rsidRPr="00CD6B7B">
        <w:rPr>
          <w:rFonts w:ascii="Traditional Arabic" w:hAnsi="Traditional Arabic"/>
          <w:noProof w:val="0"/>
          <w:rtl/>
          <w:lang w:eastAsia="en-US"/>
        </w:rPr>
        <w:t xml:space="preserve"> به ل</w:t>
      </w:r>
      <w:r>
        <w:rPr>
          <w:rFonts w:ascii="Traditional Arabic" w:hAnsi="Traditional Arabic" w:hint="cs"/>
          <w:noProof w:val="0"/>
          <w:rtl/>
          <w:lang w:eastAsia="en-US"/>
        </w:rPr>
        <w:t>ِ</w:t>
      </w:r>
      <w:r w:rsidRPr="00CD6B7B">
        <w:rPr>
          <w:rFonts w:ascii="Traditional Arabic" w:hAnsi="Traditional Arabic"/>
          <w:noProof w:val="0"/>
          <w:rtl/>
          <w:lang w:eastAsia="en-US"/>
        </w:rPr>
        <w:t>ر</w:t>
      </w:r>
      <w:r>
        <w:rPr>
          <w:rFonts w:ascii="Traditional Arabic" w:hAnsi="Traditional Arabic" w:hint="cs"/>
          <w:noProof w:val="0"/>
          <w:rtl/>
          <w:lang w:eastAsia="en-US"/>
        </w:rPr>
        <w:t>ُ</w:t>
      </w:r>
      <w:r w:rsidRPr="00CD6B7B">
        <w:rPr>
          <w:rFonts w:ascii="Traditional Arabic" w:hAnsi="Traditional Arabic"/>
          <w:noProof w:val="0"/>
          <w:rtl/>
          <w:lang w:eastAsia="en-US"/>
        </w:rPr>
        <w:t xml:space="preserve">جحان ما </w:t>
      </w:r>
      <w:r>
        <w:rPr>
          <w:rFonts w:ascii="Traditional Arabic" w:hAnsi="Traditional Arabic"/>
          <w:noProof w:val="0"/>
          <w:rtl/>
          <w:lang w:eastAsia="en-US"/>
        </w:rPr>
        <w:t>يحصل من المصلحة على هذه المفسدة</w:t>
      </w:r>
      <w:r w:rsidRPr="00C821A1">
        <w:rPr>
          <w:rStyle w:val="af1"/>
          <w:szCs w:val="32"/>
          <w:rtl/>
        </w:rPr>
        <w:t>(</w:t>
      </w:r>
      <w:r w:rsidRPr="00C821A1">
        <w:rPr>
          <w:rStyle w:val="af1"/>
          <w:szCs w:val="32"/>
          <w:rtl/>
        </w:rPr>
        <w:footnoteReference w:id="598"/>
      </w:r>
      <w:r w:rsidRPr="00C821A1">
        <w:rPr>
          <w:rStyle w:val="af1"/>
          <w:szCs w:val="32"/>
          <w:rtl/>
        </w:rPr>
        <w:t>)</w:t>
      </w:r>
      <w:r w:rsidRPr="00CD6B7B">
        <w:rPr>
          <w:rFonts w:ascii="Traditional Arabic" w:hAnsi="Traditional Arabic"/>
          <w:noProof w:val="0"/>
          <w:rtl/>
          <w:lang w:eastAsia="en-US"/>
        </w:rPr>
        <w:t>.</w:t>
      </w:r>
    </w:p>
    <w:p w:rsidR="001F0BA3" w:rsidRPr="001F0BA3" w:rsidRDefault="001F0BA3" w:rsidP="000A76C7">
      <w:pPr>
        <w:pStyle w:val="afc"/>
        <w:widowControl/>
        <w:numPr>
          <w:ilvl w:val="0"/>
          <w:numId w:val="103"/>
        </w:numPr>
        <w:autoSpaceDE w:val="0"/>
        <w:autoSpaceDN w:val="0"/>
        <w:adjustRightInd w:val="0"/>
        <w:jc w:val="left"/>
        <w:rPr>
          <w:rFonts w:ascii="Traditional Arabic" w:hAnsi="Traditional Arabic"/>
          <w:noProof w:val="0"/>
          <w:lang w:eastAsia="en-US"/>
        </w:rPr>
      </w:pPr>
      <w:r>
        <w:rPr>
          <w:rFonts w:ascii="Traditional Arabic" w:hAnsi="Traditional Arabic" w:hint="cs"/>
          <w:noProof w:val="0"/>
          <w:rtl/>
          <w:lang w:eastAsia="en-US"/>
        </w:rPr>
        <w:t>ومن هذا الباب: ما يعطيه الرجل لولاة الجور لرفع الأذى عن نفسه وماله</w:t>
      </w:r>
      <w:r w:rsidRPr="001F0BA3">
        <w:rPr>
          <w:rFonts w:ascii="Traditional Arabic" w:hAnsi="Traditional Arabic" w:hint="cs"/>
          <w:noProof w:val="0"/>
          <w:vertAlign w:val="superscript"/>
          <w:rtl/>
          <w:lang w:eastAsia="en-US"/>
        </w:rPr>
        <w:t>(</w:t>
      </w:r>
      <w:r w:rsidRPr="001F0BA3">
        <w:rPr>
          <w:rStyle w:val="af1"/>
          <w:rFonts w:ascii="Traditional Arabic" w:hAnsi="Traditional Arabic"/>
          <w:noProof w:val="0"/>
          <w:rtl/>
          <w:lang w:eastAsia="en-US"/>
        </w:rPr>
        <w:footnoteReference w:id="599"/>
      </w:r>
      <w:r w:rsidRPr="001F0BA3">
        <w:rPr>
          <w:rFonts w:ascii="Traditional Arabic" w:hAnsi="Traditional Arabic" w:hint="cs"/>
          <w:noProof w:val="0"/>
          <w:vertAlign w:val="superscript"/>
          <w:rtl/>
          <w:lang w:eastAsia="en-US"/>
        </w:rPr>
        <w:t>)</w:t>
      </w:r>
      <w:r>
        <w:rPr>
          <w:rFonts w:ascii="Traditional Arabic" w:hAnsi="Traditional Arabic" w:hint="cs"/>
          <w:noProof w:val="0"/>
          <w:rtl/>
          <w:lang w:eastAsia="en-US"/>
        </w:rPr>
        <w:t>.</w:t>
      </w:r>
    </w:p>
    <w:p w:rsidR="001F0BA3" w:rsidRPr="00420F71" w:rsidRDefault="001F0BA3" w:rsidP="001F0BA3">
      <w:pPr>
        <w:ind w:firstLine="0"/>
        <w:jc w:val="left"/>
        <w:rPr>
          <w:rFonts w:ascii="Traditional Arabic" w:hAnsi="Traditional Arabic"/>
          <w:b/>
          <w:bCs/>
          <w:noProof w:val="0"/>
          <w:rtl/>
          <w:lang w:eastAsia="en-US"/>
        </w:rPr>
      </w:pPr>
    </w:p>
    <w:p w:rsidR="00C50EB9" w:rsidRPr="00C50EB9" w:rsidRDefault="00C50EB9" w:rsidP="00855BA2">
      <w:pPr>
        <w:ind w:firstLine="0"/>
        <w:rPr>
          <w:rFonts w:ascii="Traditional Arabic" w:hAnsi="Traditional Arabic"/>
          <w:noProof w:val="0"/>
          <w:lang w:eastAsia="en-US"/>
        </w:rPr>
      </w:pPr>
    </w:p>
    <w:p w:rsidR="00236A41" w:rsidRPr="00C85F0F" w:rsidRDefault="00236A41" w:rsidP="000F5C0F">
      <w:pPr>
        <w:pStyle w:val="aff2"/>
        <w:rPr>
          <w:rtl/>
        </w:rPr>
      </w:pPr>
      <w:bookmarkStart w:id="122" w:name="_Toc334046372"/>
      <w:r w:rsidRPr="00236A41">
        <w:rPr>
          <w:rFonts w:hint="cs"/>
          <w:rtl/>
        </w:rPr>
        <w:lastRenderedPageBreak/>
        <w:t>المبحث الثاني</w:t>
      </w:r>
      <w:r>
        <w:rPr>
          <w:rFonts w:hint="eastAsia"/>
          <w:rtl/>
        </w:rPr>
        <w:t> </w:t>
      </w:r>
      <w:r>
        <w:rPr>
          <w:rFonts w:hint="cs"/>
          <w:rtl/>
        </w:rPr>
        <w:t>:</w:t>
      </w:r>
      <w:r>
        <w:rPr>
          <w:rFonts w:hint="cs"/>
          <w:rtl/>
        </w:rPr>
        <w:br/>
      </w:r>
      <w:r w:rsidRPr="00236A41">
        <w:rPr>
          <w:rFonts w:hint="cs"/>
          <w:rtl/>
        </w:rPr>
        <w:t>قاعدة</w:t>
      </w:r>
      <w:r>
        <w:rPr>
          <w:rtl/>
        </w:rPr>
        <w:br/>
      </w:r>
      <w:r>
        <w:rPr>
          <w:rFonts w:hint="cs"/>
          <w:rtl/>
        </w:rPr>
        <w:t>"</w:t>
      </w:r>
      <w:r w:rsidRPr="00236A41">
        <w:rPr>
          <w:rFonts w:hint="cs"/>
          <w:rtl/>
        </w:rPr>
        <w:t>سد الذرائع</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سدالذرائع</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szCs w:val="32"/>
          <w:vertAlign w:val="superscript"/>
          <w:rtl/>
        </w:rPr>
        <w:t>(</w:t>
      </w:r>
      <w:r w:rsidRPr="00C85F0F">
        <w:rPr>
          <w:szCs w:val="32"/>
          <w:vertAlign w:val="superscript"/>
          <w:rtl/>
        </w:rPr>
        <w:footnoteReference w:id="600"/>
      </w:r>
      <w:r w:rsidRPr="00C85F0F">
        <w:rPr>
          <w:szCs w:val="32"/>
          <w:vertAlign w:val="superscript"/>
          <w:rtl/>
        </w:rPr>
        <w:t>)</w:t>
      </w:r>
      <w:bookmarkEnd w:id="122"/>
    </w:p>
    <w:p w:rsidR="00236A41" w:rsidRPr="00C85F0F" w:rsidRDefault="00A41875" w:rsidP="00A8347C">
      <w:pPr>
        <w:pStyle w:val="aff3"/>
        <w:rPr>
          <w:rtl/>
        </w:rPr>
      </w:pPr>
      <w:bookmarkStart w:id="123" w:name="_Toc334046373"/>
      <w:r>
        <w:rPr>
          <w:rFonts w:hint="cs"/>
          <w:rtl/>
        </w:rPr>
        <w:t xml:space="preserve">                   </w:t>
      </w:r>
      <w:r w:rsidR="00D87E43">
        <w:rPr>
          <w:rFonts w:hint="cs"/>
          <w:rtl/>
        </w:rPr>
        <w:t xml:space="preserve">                     </w:t>
      </w:r>
      <w:r w:rsidR="00236A41" w:rsidRPr="00C85F0F">
        <w:rPr>
          <w:rFonts w:hint="cs"/>
          <w:rtl/>
        </w:rPr>
        <w:t>المطلب الأول</w:t>
      </w:r>
      <w:r w:rsidR="00236A41" w:rsidRPr="00C85F0F">
        <w:rPr>
          <w:rFonts w:hint="eastAsia"/>
          <w:rtl/>
        </w:rPr>
        <w:t> :</w:t>
      </w:r>
      <w:r w:rsidR="00236A41" w:rsidRPr="00C85F0F">
        <w:rPr>
          <w:rFonts w:hint="cs"/>
          <w:rtl/>
        </w:rPr>
        <w:br/>
      </w:r>
      <w:r>
        <w:rPr>
          <w:rFonts w:hint="cs"/>
          <w:rtl/>
        </w:rPr>
        <w:t xml:space="preserve">          </w:t>
      </w:r>
      <w:r w:rsidR="00D87E43">
        <w:rPr>
          <w:rFonts w:hint="cs"/>
          <w:rtl/>
        </w:rPr>
        <w:t xml:space="preserve">            </w:t>
      </w:r>
      <w:r w:rsidR="00236A41" w:rsidRPr="00C85F0F">
        <w:rPr>
          <w:rFonts w:hint="cs"/>
          <w:rtl/>
        </w:rPr>
        <w:t>صيغ القاعدة عند الشيخ وعند علماء القواعد</w:t>
      </w:r>
      <w:bookmarkEnd w:id="123"/>
    </w:p>
    <w:p w:rsidR="00236A41" w:rsidRPr="00C85F0F" w:rsidRDefault="00236A41" w:rsidP="00597C20">
      <w:pPr>
        <w:rPr>
          <w:rtl/>
        </w:rPr>
      </w:pPr>
      <w:r w:rsidRPr="00C85F0F">
        <w:rPr>
          <w:rFonts w:hint="cs"/>
          <w:rtl/>
        </w:rPr>
        <w:t>وردت هذه القاعدة عند الشيخ ابن عثيمين</w:t>
      </w:r>
      <w:r w:rsidR="00D87E43">
        <w:rPr>
          <w:rFonts w:hint="cs"/>
          <w:rtl/>
        </w:rPr>
        <w:t>_رحمه الله_</w:t>
      </w:r>
      <w:r w:rsidRPr="00C85F0F">
        <w:rPr>
          <w:rFonts w:hint="cs"/>
          <w:rtl/>
        </w:rPr>
        <w:t xml:space="preserve"> بعدة صيغ، منها:</w:t>
      </w:r>
    </w:p>
    <w:p w:rsidR="00236A41" w:rsidRPr="00C85F0F" w:rsidRDefault="00236A41" w:rsidP="000A76C7">
      <w:pPr>
        <w:numPr>
          <w:ilvl w:val="0"/>
          <w:numId w:val="99"/>
        </w:numPr>
        <w:rPr>
          <w:color w:val="auto"/>
          <w:rtl/>
        </w:rPr>
      </w:pPr>
      <w:r w:rsidRPr="00C85F0F">
        <w:rPr>
          <w:rFonts w:ascii="Traditional Arabic" w:hAnsi="Traditional Arabic"/>
          <w:noProof w:val="0"/>
          <w:color w:val="auto"/>
          <w:rtl/>
          <w:lang w:eastAsia="en-US"/>
        </w:rPr>
        <w:t>ما كان ذريعة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للحرام فهو حرام</w:t>
      </w:r>
      <w:r w:rsidRPr="00C85F0F">
        <w:rPr>
          <w:rStyle w:val="af1"/>
          <w:szCs w:val="32"/>
          <w:rtl/>
        </w:rPr>
        <w:t>(</w:t>
      </w:r>
      <w:r w:rsidRPr="00C85F0F">
        <w:rPr>
          <w:rStyle w:val="af1"/>
          <w:szCs w:val="32"/>
          <w:rtl/>
        </w:rPr>
        <w:footnoteReference w:id="601"/>
      </w:r>
      <w:r w:rsidRPr="00C85F0F">
        <w:rPr>
          <w:rStyle w:val="af1"/>
          <w:szCs w:val="32"/>
          <w:rtl/>
        </w:rPr>
        <w:t>)</w:t>
      </w:r>
      <w:r w:rsidRPr="00C85F0F">
        <w:rPr>
          <w:rFonts w:ascii="Traditional Arabic" w:hAnsi="Traditional Arabic"/>
          <w:noProof w:val="0"/>
          <w:color w:val="auto"/>
          <w:rtl/>
          <w:lang w:eastAsia="en-US"/>
        </w:rPr>
        <w:t>.</w:t>
      </w:r>
    </w:p>
    <w:p w:rsidR="00236A41" w:rsidRPr="00C85F0F" w:rsidRDefault="00236A41" w:rsidP="000A76C7">
      <w:pPr>
        <w:numPr>
          <w:ilvl w:val="0"/>
          <w:numId w:val="99"/>
        </w:numPr>
      </w:pPr>
      <w:r w:rsidRPr="00C85F0F">
        <w:rPr>
          <w:rFonts w:hint="cs"/>
          <w:rtl/>
        </w:rPr>
        <w:t>ما كان ذريعةً إلى الباطل فهو باطل</w:t>
      </w:r>
      <w:r w:rsidRPr="00C85F0F">
        <w:rPr>
          <w:rStyle w:val="af1"/>
          <w:szCs w:val="32"/>
          <w:rtl/>
        </w:rPr>
        <w:t>(</w:t>
      </w:r>
      <w:r w:rsidRPr="00C85F0F">
        <w:rPr>
          <w:rStyle w:val="af1"/>
          <w:szCs w:val="32"/>
          <w:rtl/>
        </w:rPr>
        <w:footnoteReference w:id="602"/>
      </w:r>
      <w:r w:rsidRPr="00C85F0F">
        <w:rPr>
          <w:rStyle w:val="af1"/>
          <w:szCs w:val="32"/>
          <w:rtl/>
        </w:rPr>
        <w:t>)</w:t>
      </w:r>
      <w:r w:rsidRPr="00C85F0F">
        <w:rPr>
          <w:rFonts w:hint="cs"/>
          <w:rtl/>
        </w:rPr>
        <w:t>.</w:t>
      </w:r>
    </w:p>
    <w:p w:rsidR="00236A41" w:rsidRPr="00C85F0F" w:rsidRDefault="00236A41" w:rsidP="000A76C7">
      <w:pPr>
        <w:numPr>
          <w:ilvl w:val="0"/>
          <w:numId w:val="99"/>
        </w:numPr>
        <w:rPr>
          <w:color w:val="auto"/>
        </w:rPr>
      </w:pPr>
      <w:r w:rsidRPr="00C85F0F">
        <w:rPr>
          <w:rFonts w:hint="cs"/>
          <w:color w:val="auto"/>
          <w:rtl/>
        </w:rPr>
        <w:t>ما أَفْضى إلى المحرم أو كان ذريعةً له كان محرما</w:t>
      </w:r>
      <w:r w:rsidRPr="00C85F0F">
        <w:rPr>
          <w:rStyle w:val="af1"/>
          <w:szCs w:val="32"/>
          <w:rtl/>
        </w:rPr>
        <w:t>(</w:t>
      </w:r>
      <w:r w:rsidRPr="00C85F0F">
        <w:rPr>
          <w:rStyle w:val="af1"/>
          <w:szCs w:val="32"/>
          <w:rtl/>
        </w:rPr>
        <w:footnoteReference w:id="603"/>
      </w:r>
      <w:r w:rsidRPr="00C85F0F">
        <w:rPr>
          <w:rStyle w:val="af1"/>
          <w:szCs w:val="32"/>
          <w:rtl/>
        </w:rPr>
        <w:t>)</w:t>
      </w:r>
      <w:r w:rsidRPr="00C85F0F">
        <w:rPr>
          <w:rFonts w:hint="cs"/>
          <w:color w:val="auto"/>
          <w:rtl/>
        </w:rPr>
        <w:t>.</w:t>
      </w:r>
    </w:p>
    <w:p w:rsidR="00236A41" w:rsidRPr="00C85F0F" w:rsidRDefault="00236A41" w:rsidP="000A76C7">
      <w:pPr>
        <w:numPr>
          <w:ilvl w:val="0"/>
          <w:numId w:val="99"/>
        </w:numPr>
      </w:pPr>
      <w:r w:rsidRPr="00C85F0F">
        <w:rPr>
          <w:rFonts w:hint="cs"/>
          <w:rtl/>
        </w:rPr>
        <w:t>إذا ترتَّب على المأذون مَحْذورٌ مُنِع</w:t>
      </w:r>
      <w:r w:rsidRPr="00C85F0F">
        <w:rPr>
          <w:rStyle w:val="af1"/>
          <w:szCs w:val="32"/>
          <w:rtl/>
        </w:rPr>
        <w:t>(</w:t>
      </w:r>
      <w:r w:rsidRPr="00C85F0F">
        <w:rPr>
          <w:rStyle w:val="af1"/>
          <w:szCs w:val="32"/>
          <w:rtl/>
        </w:rPr>
        <w:footnoteReference w:id="604"/>
      </w:r>
      <w:r w:rsidRPr="00C85F0F">
        <w:rPr>
          <w:rStyle w:val="af1"/>
          <w:szCs w:val="32"/>
          <w:rtl/>
        </w:rPr>
        <w:t>)</w:t>
      </w:r>
      <w:r w:rsidRPr="00C85F0F">
        <w:rPr>
          <w:rFonts w:hint="cs"/>
          <w:rtl/>
        </w:rPr>
        <w:t>.</w:t>
      </w:r>
    </w:p>
    <w:p w:rsidR="00236A41" w:rsidRPr="00C85F0F" w:rsidRDefault="00236A41" w:rsidP="000A76C7">
      <w:pPr>
        <w:numPr>
          <w:ilvl w:val="0"/>
          <w:numId w:val="99"/>
        </w:numPr>
      </w:pPr>
      <w:r w:rsidRPr="00C85F0F">
        <w:rPr>
          <w:rFonts w:hint="cs"/>
          <w:rtl/>
        </w:rPr>
        <w:t>سَدُّ الذرائع</w:t>
      </w:r>
      <w:r w:rsidRPr="00C85F0F">
        <w:rPr>
          <w:rStyle w:val="af1"/>
          <w:szCs w:val="32"/>
          <w:rtl/>
        </w:rPr>
        <w:t>(</w:t>
      </w:r>
      <w:r w:rsidRPr="00C85F0F">
        <w:rPr>
          <w:rStyle w:val="af1"/>
          <w:szCs w:val="32"/>
          <w:rtl/>
        </w:rPr>
        <w:footnoteReference w:id="605"/>
      </w:r>
      <w:r w:rsidRPr="00C85F0F">
        <w:rPr>
          <w:rStyle w:val="af1"/>
          <w:szCs w:val="32"/>
          <w:rtl/>
        </w:rPr>
        <w:t>)</w:t>
      </w:r>
      <w:r w:rsidRPr="00C85F0F">
        <w:rPr>
          <w:rFonts w:hint="cs"/>
          <w:rtl/>
        </w:rPr>
        <w:t>.</w:t>
      </w:r>
    </w:p>
    <w:p w:rsidR="00065E4B" w:rsidRPr="00C85F0F" w:rsidRDefault="00236A41" w:rsidP="000A76C7">
      <w:pPr>
        <w:numPr>
          <w:ilvl w:val="0"/>
          <w:numId w:val="99"/>
        </w:numPr>
        <w:rPr>
          <w:color w:val="auto"/>
        </w:rPr>
      </w:pPr>
      <w:r w:rsidRPr="00C85F0F">
        <w:rPr>
          <w:rFonts w:ascii="Traditional Arabic" w:hAnsi="Traditional Arabic"/>
          <w:noProof w:val="0"/>
          <w:color w:val="auto"/>
          <w:rtl/>
          <w:lang w:eastAsia="en-US"/>
        </w:rPr>
        <w:t>الذرائع يجب أن 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إذا كانت ذريعة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إلى محر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Style w:val="af1"/>
          <w:szCs w:val="32"/>
          <w:rtl/>
        </w:rPr>
        <w:t>(</w:t>
      </w:r>
      <w:r w:rsidRPr="00C85F0F">
        <w:rPr>
          <w:rStyle w:val="af1"/>
          <w:szCs w:val="32"/>
          <w:rtl/>
        </w:rPr>
        <w:footnoteReference w:id="606"/>
      </w:r>
      <w:r w:rsidRPr="00C85F0F">
        <w:rPr>
          <w:rStyle w:val="af1"/>
          <w:szCs w:val="32"/>
          <w:rtl/>
        </w:rPr>
        <w:t>)</w:t>
      </w:r>
      <w:r w:rsidRPr="00C85F0F">
        <w:rPr>
          <w:rFonts w:hint="cs"/>
          <w:color w:val="auto"/>
          <w:rtl/>
        </w:rPr>
        <w:t>.</w:t>
      </w:r>
    </w:p>
    <w:p w:rsidR="00236A41" w:rsidRPr="00C85F0F" w:rsidRDefault="00D87E43" w:rsidP="00597C20">
      <w:pPr>
        <w:ind w:firstLine="0"/>
        <w:rPr>
          <w:rtl/>
        </w:rPr>
      </w:pPr>
      <w:r>
        <w:rPr>
          <w:rFonts w:hint="cs"/>
          <w:rtl/>
        </w:rPr>
        <w:t xml:space="preserve">    </w:t>
      </w:r>
      <w:r w:rsidR="00065E4B" w:rsidRPr="00C85F0F">
        <w:rPr>
          <w:rFonts w:hint="cs"/>
          <w:rtl/>
        </w:rPr>
        <w:t>و</w:t>
      </w:r>
      <w:r w:rsidR="00236A41" w:rsidRPr="00C85F0F">
        <w:rPr>
          <w:rFonts w:hint="cs"/>
          <w:rtl/>
        </w:rPr>
        <w:t>ورد ذكر هذه القاعدة عند علماء القواعد بصيغ متنوعة، منها:</w:t>
      </w:r>
    </w:p>
    <w:p w:rsidR="00236A41" w:rsidRPr="00C85F0F" w:rsidRDefault="00236A41" w:rsidP="000A76C7">
      <w:pPr>
        <w:pStyle w:val="afc"/>
        <w:numPr>
          <w:ilvl w:val="0"/>
          <w:numId w:val="101"/>
        </w:numPr>
        <w:rPr>
          <w:rtl/>
        </w:rPr>
      </w:pPr>
      <w:r w:rsidRPr="00C85F0F">
        <w:rPr>
          <w:rFonts w:hint="cs"/>
          <w:rtl/>
        </w:rPr>
        <w:t>سد الذرائع</w:t>
      </w:r>
      <w:r w:rsidRPr="00C85F0F">
        <w:rPr>
          <w:rStyle w:val="af1"/>
          <w:szCs w:val="32"/>
          <w:rtl/>
        </w:rPr>
        <w:t>(</w:t>
      </w:r>
      <w:r w:rsidRPr="00C85F0F">
        <w:rPr>
          <w:rStyle w:val="af1"/>
          <w:szCs w:val="32"/>
          <w:rtl/>
        </w:rPr>
        <w:footnoteReference w:id="607"/>
      </w:r>
      <w:r w:rsidRPr="00C85F0F">
        <w:rPr>
          <w:rStyle w:val="af1"/>
          <w:szCs w:val="32"/>
          <w:rtl/>
        </w:rPr>
        <w:t>)</w:t>
      </w:r>
      <w:r w:rsidRPr="00C85F0F">
        <w:rPr>
          <w:rFonts w:hint="cs"/>
          <w:rtl/>
        </w:rPr>
        <w:t>.</w:t>
      </w:r>
    </w:p>
    <w:p w:rsidR="00236A41" w:rsidRPr="00C85F0F" w:rsidRDefault="00236A41" w:rsidP="000A76C7">
      <w:pPr>
        <w:numPr>
          <w:ilvl w:val="0"/>
          <w:numId w:val="100"/>
        </w:numPr>
      </w:pPr>
      <w:r w:rsidRPr="00C85F0F">
        <w:rPr>
          <w:rFonts w:hint="cs"/>
          <w:rtl/>
        </w:rPr>
        <w:lastRenderedPageBreak/>
        <w:t>كل أمرٍ يُتَذَرَّعُ به إلى محظورٍ فهو محظور</w:t>
      </w:r>
      <w:r w:rsidRPr="00C85F0F">
        <w:rPr>
          <w:rStyle w:val="af1"/>
          <w:szCs w:val="32"/>
          <w:rtl/>
        </w:rPr>
        <w:t>(</w:t>
      </w:r>
      <w:r w:rsidRPr="00C85F0F">
        <w:rPr>
          <w:rStyle w:val="af1"/>
          <w:szCs w:val="32"/>
          <w:rtl/>
        </w:rPr>
        <w:footnoteReference w:id="608"/>
      </w:r>
      <w:r w:rsidRPr="00C85F0F">
        <w:rPr>
          <w:rStyle w:val="af1"/>
          <w:szCs w:val="32"/>
          <w:rtl/>
        </w:rPr>
        <w:t>)</w:t>
      </w:r>
      <w:r w:rsidRPr="00C85F0F">
        <w:rPr>
          <w:rFonts w:hint="cs"/>
          <w:rtl/>
        </w:rPr>
        <w:t>.</w:t>
      </w:r>
    </w:p>
    <w:p w:rsidR="00236A41" w:rsidRPr="00C85F0F" w:rsidRDefault="00236A41" w:rsidP="000A76C7">
      <w:pPr>
        <w:numPr>
          <w:ilvl w:val="0"/>
          <w:numId w:val="100"/>
        </w:numPr>
      </w:pPr>
      <w:r w:rsidRPr="00C85F0F">
        <w:rPr>
          <w:rFonts w:hint="cs"/>
          <w:rtl/>
        </w:rPr>
        <w:t>كل حرامٍ فالوسيلةُ إليه مثلُه</w:t>
      </w:r>
      <w:r w:rsidRPr="00C85F0F">
        <w:rPr>
          <w:rStyle w:val="af1"/>
          <w:szCs w:val="32"/>
          <w:rtl/>
        </w:rPr>
        <w:t>(</w:t>
      </w:r>
      <w:r w:rsidRPr="00C85F0F">
        <w:rPr>
          <w:rStyle w:val="af1"/>
          <w:szCs w:val="32"/>
          <w:rtl/>
        </w:rPr>
        <w:footnoteReference w:id="609"/>
      </w:r>
      <w:r w:rsidRPr="00C85F0F">
        <w:rPr>
          <w:rStyle w:val="af1"/>
          <w:szCs w:val="32"/>
          <w:rtl/>
        </w:rPr>
        <w:t>)</w:t>
      </w:r>
      <w:r w:rsidRPr="00C85F0F">
        <w:rPr>
          <w:rFonts w:hint="cs"/>
          <w:rtl/>
        </w:rPr>
        <w:t>.</w:t>
      </w:r>
    </w:p>
    <w:p w:rsidR="00236A41" w:rsidRPr="00C85F0F" w:rsidRDefault="00236A41" w:rsidP="000A76C7">
      <w:pPr>
        <w:numPr>
          <w:ilvl w:val="0"/>
          <w:numId w:val="100"/>
        </w:numPr>
      </w:pPr>
      <w:r w:rsidRPr="00C85F0F">
        <w:rPr>
          <w:rFonts w:hint="cs"/>
          <w:rtl/>
        </w:rPr>
        <w:t>ما أَفْضى إلى الحرام حرامٌ</w:t>
      </w:r>
      <w:r w:rsidRPr="00C85F0F">
        <w:rPr>
          <w:rStyle w:val="af1"/>
          <w:szCs w:val="32"/>
          <w:rtl/>
        </w:rPr>
        <w:t>(</w:t>
      </w:r>
      <w:r w:rsidRPr="00C85F0F">
        <w:rPr>
          <w:rStyle w:val="af1"/>
          <w:szCs w:val="32"/>
          <w:rtl/>
        </w:rPr>
        <w:footnoteReference w:id="610"/>
      </w:r>
      <w:r w:rsidRPr="00C85F0F">
        <w:rPr>
          <w:rStyle w:val="af1"/>
          <w:szCs w:val="32"/>
          <w:rtl/>
        </w:rPr>
        <w:t>)</w:t>
      </w:r>
      <w:r w:rsidRPr="00C85F0F">
        <w:rPr>
          <w:rFonts w:hint="cs"/>
          <w:rtl/>
        </w:rPr>
        <w:t>.</w:t>
      </w:r>
    </w:p>
    <w:p w:rsidR="00236A41" w:rsidRPr="00C85F0F" w:rsidRDefault="00236A41" w:rsidP="000A76C7">
      <w:pPr>
        <w:numPr>
          <w:ilvl w:val="0"/>
          <w:numId w:val="100"/>
        </w:numPr>
      </w:pPr>
      <w:r w:rsidRPr="00C85F0F">
        <w:rPr>
          <w:rFonts w:hint="cs"/>
          <w:rtl/>
        </w:rPr>
        <w:t>ما كان سبباً لحرامٍ حرام</w:t>
      </w:r>
      <w:r w:rsidRPr="00C85F0F">
        <w:rPr>
          <w:rStyle w:val="af1"/>
          <w:szCs w:val="32"/>
          <w:rtl/>
        </w:rPr>
        <w:t>(</w:t>
      </w:r>
      <w:r w:rsidRPr="00C85F0F">
        <w:rPr>
          <w:rStyle w:val="af1"/>
          <w:szCs w:val="32"/>
          <w:rtl/>
        </w:rPr>
        <w:footnoteReference w:id="611"/>
      </w:r>
      <w:r w:rsidRPr="00C85F0F">
        <w:rPr>
          <w:rStyle w:val="af1"/>
          <w:szCs w:val="32"/>
          <w:rtl/>
        </w:rPr>
        <w:t>)</w:t>
      </w:r>
      <w:r w:rsidRPr="00C85F0F">
        <w:rPr>
          <w:rFonts w:hint="cs"/>
          <w:rtl/>
        </w:rPr>
        <w:t>.</w:t>
      </w:r>
    </w:p>
    <w:p w:rsidR="00236A41" w:rsidRPr="00C85F0F" w:rsidRDefault="00236A41" w:rsidP="000A76C7">
      <w:pPr>
        <w:numPr>
          <w:ilvl w:val="0"/>
          <w:numId w:val="100"/>
        </w:numPr>
      </w:pPr>
      <w:r w:rsidRPr="00C85F0F">
        <w:rPr>
          <w:rFonts w:hint="cs"/>
          <w:rtl/>
        </w:rPr>
        <w:t>وسائل الحرام حرام</w:t>
      </w:r>
      <w:r w:rsidRPr="00C85F0F">
        <w:rPr>
          <w:rStyle w:val="af1"/>
          <w:szCs w:val="32"/>
          <w:rtl/>
        </w:rPr>
        <w:t>(</w:t>
      </w:r>
      <w:r w:rsidRPr="00C85F0F">
        <w:rPr>
          <w:rStyle w:val="af1"/>
          <w:szCs w:val="32"/>
          <w:rtl/>
        </w:rPr>
        <w:footnoteReference w:id="612"/>
      </w:r>
      <w:r w:rsidRPr="00C85F0F">
        <w:rPr>
          <w:rStyle w:val="af1"/>
          <w:szCs w:val="32"/>
          <w:rtl/>
        </w:rPr>
        <w:t>)</w:t>
      </w:r>
      <w:r w:rsidRPr="00C85F0F">
        <w:rPr>
          <w:rFonts w:hint="cs"/>
          <w:rtl/>
        </w:rPr>
        <w:t>.</w:t>
      </w:r>
    </w:p>
    <w:p w:rsidR="00236A41" w:rsidRPr="00C85F0F" w:rsidRDefault="00236A41" w:rsidP="000A76C7">
      <w:pPr>
        <w:numPr>
          <w:ilvl w:val="0"/>
          <w:numId w:val="100"/>
        </w:numPr>
      </w:pPr>
      <w:r w:rsidRPr="00C85F0F">
        <w:rPr>
          <w:rFonts w:hint="cs"/>
          <w:rtl/>
        </w:rPr>
        <w:t>كل سببٍ يُفضي إلى الفساد نُهي عنه إذا لم يكن فيه مصلحة راجحة</w:t>
      </w:r>
      <w:r w:rsidRPr="00C85F0F">
        <w:rPr>
          <w:rStyle w:val="af1"/>
          <w:szCs w:val="32"/>
          <w:rtl/>
        </w:rPr>
        <w:t>(</w:t>
      </w:r>
      <w:r w:rsidRPr="00C85F0F">
        <w:rPr>
          <w:rStyle w:val="af1"/>
          <w:szCs w:val="32"/>
          <w:rtl/>
        </w:rPr>
        <w:footnoteReference w:id="613"/>
      </w:r>
      <w:r w:rsidRPr="00C85F0F">
        <w:rPr>
          <w:rStyle w:val="af1"/>
          <w:szCs w:val="32"/>
          <w:rtl/>
        </w:rPr>
        <w:t>)</w:t>
      </w:r>
      <w:r w:rsidRPr="00C85F0F">
        <w:rPr>
          <w:rFonts w:hint="cs"/>
          <w:rtl/>
        </w:rPr>
        <w:t>.</w:t>
      </w:r>
    </w:p>
    <w:p w:rsidR="00236A41" w:rsidRPr="00C85F0F" w:rsidRDefault="00236A41" w:rsidP="00597C20">
      <w:r w:rsidRPr="00C85F0F">
        <w:rPr>
          <w:rFonts w:hint="cs"/>
          <w:rtl/>
        </w:rPr>
        <w:t>كما توجد قواعد أخرى تُعتبَر قاعدة</w:t>
      </w:r>
      <w:r w:rsidR="00A41875">
        <w:rPr>
          <w:rFonts w:hint="cs"/>
          <w:rtl/>
        </w:rPr>
        <w:t>ُ</w:t>
      </w:r>
      <w:r w:rsidRPr="00C85F0F">
        <w:rPr>
          <w:rFonts w:hint="cs"/>
          <w:rtl/>
        </w:rPr>
        <w:t xml:space="preserve"> </w:t>
      </w:r>
      <w:r w:rsidR="00A41875">
        <w:rPr>
          <w:rFonts w:hint="cs"/>
          <w:rtl/>
        </w:rPr>
        <w:t>"</w:t>
      </w:r>
      <w:r w:rsidRPr="00C85F0F">
        <w:rPr>
          <w:rFonts w:hint="cs"/>
          <w:rtl/>
        </w:rPr>
        <w:t>سد الذرائع</w:t>
      </w:r>
      <w:r w:rsidR="00A41875">
        <w:rPr>
          <w:rFonts w:hint="cs"/>
          <w:rtl/>
        </w:rPr>
        <w:t>"</w:t>
      </w:r>
      <w:r w:rsidRPr="00C85F0F">
        <w:rPr>
          <w:rFonts w:hint="cs"/>
          <w:rtl/>
        </w:rPr>
        <w:t xml:space="preserve"> ش</w:t>
      </w:r>
      <w:r w:rsidR="00A41875">
        <w:rPr>
          <w:rFonts w:hint="cs"/>
          <w:rtl/>
        </w:rPr>
        <w:t>ِ</w:t>
      </w:r>
      <w:r w:rsidRPr="00C85F0F">
        <w:rPr>
          <w:rFonts w:hint="cs"/>
          <w:rtl/>
        </w:rPr>
        <w:t>قّاً منها وجزءا</w:t>
      </w:r>
      <w:r w:rsidR="00A41875">
        <w:rPr>
          <w:rFonts w:hint="cs"/>
          <w:rtl/>
        </w:rPr>
        <w:t>ً</w:t>
      </w:r>
      <w:r w:rsidRPr="00C85F0F">
        <w:rPr>
          <w:rFonts w:hint="cs"/>
          <w:rtl/>
        </w:rPr>
        <w:t xml:space="preserve"> من معناها، ومنها:</w:t>
      </w:r>
    </w:p>
    <w:p w:rsidR="00236A41" w:rsidRPr="00C85F0F" w:rsidRDefault="00236A41" w:rsidP="000A76C7">
      <w:pPr>
        <w:numPr>
          <w:ilvl w:val="0"/>
          <w:numId w:val="100"/>
        </w:numPr>
      </w:pPr>
      <w:r w:rsidRPr="00C85F0F">
        <w:rPr>
          <w:rFonts w:hint="cs"/>
          <w:rtl/>
        </w:rPr>
        <w:t>الذرائع إلى الحلال والحرام تُشْبه معاني الحلال والحرام</w:t>
      </w:r>
      <w:r w:rsidRPr="00C85F0F">
        <w:rPr>
          <w:rStyle w:val="af1"/>
          <w:szCs w:val="32"/>
          <w:rtl/>
        </w:rPr>
        <w:t>(</w:t>
      </w:r>
      <w:r w:rsidRPr="00C85F0F">
        <w:rPr>
          <w:rStyle w:val="af1"/>
          <w:szCs w:val="32"/>
          <w:rtl/>
        </w:rPr>
        <w:footnoteReference w:id="614"/>
      </w:r>
      <w:r w:rsidRPr="00C85F0F">
        <w:rPr>
          <w:rStyle w:val="af1"/>
          <w:szCs w:val="32"/>
          <w:rtl/>
        </w:rPr>
        <w:t>)</w:t>
      </w:r>
      <w:r w:rsidRPr="00C85F0F">
        <w:rPr>
          <w:rFonts w:hint="cs"/>
          <w:rtl/>
        </w:rPr>
        <w:t>.</w:t>
      </w:r>
    </w:p>
    <w:p w:rsidR="00236A41" w:rsidRPr="00C85F0F" w:rsidRDefault="00236A41" w:rsidP="00ED68B6">
      <w:pPr>
        <w:numPr>
          <w:ilvl w:val="0"/>
          <w:numId w:val="100"/>
        </w:numPr>
      </w:pPr>
      <w:r w:rsidRPr="00C85F0F">
        <w:rPr>
          <w:rFonts w:hint="cs"/>
          <w:rtl/>
        </w:rPr>
        <w:t>السبب المقرِّب من الشيء جاز مَجْراهُ في الحِلِّ والحُرْمة والوجوب</w:t>
      </w:r>
      <w:r w:rsidRPr="00C85F0F">
        <w:rPr>
          <w:rStyle w:val="af1"/>
          <w:szCs w:val="32"/>
          <w:rtl/>
        </w:rPr>
        <w:t>(</w:t>
      </w:r>
      <w:r w:rsidRPr="00C85F0F">
        <w:rPr>
          <w:rStyle w:val="af1"/>
          <w:szCs w:val="32"/>
          <w:rtl/>
        </w:rPr>
        <w:footnoteReference w:id="615"/>
      </w:r>
      <w:r w:rsidRPr="00C85F0F">
        <w:rPr>
          <w:rStyle w:val="af1"/>
          <w:szCs w:val="32"/>
          <w:rtl/>
        </w:rPr>
        <w:t>)</w:t>
      </w:r>
      <w:r w:rsidRPr="00C85F0F">
        <w:rPr>
          <w:rFonts w:hint="cs"/>
          <w:rtl/>
        </w:rPr>
        <w:t>.</w:t>
      </w:r>
    </w:p>
    <w:p w:rsidR="00236A41" w:rsidRPr="00C85F0F" w:rsidRDefault="00D87E43" w:rsidP="00A8347C">
      <w:pPr>
        <w:pStyle w:val="aff3"/>
        <w:rPr>
          <w:rtl/>
        </w:rPr>
      </w:pPr>
      <w:bookmarkStart w:id="124" w:name="_Toc334046374"/>
      <w:r>
        <w:rPr>
          <w:rFonts w:hint="cs"/>
          <w:rtl/>
        </w:rPr>
        <w:lastRenderedPageBreak/>
        <w:t xml:space="preserve">                                          </w:t>
      </w:r>
      <w:r w:rsidR="00236A41" w:rsidRPr="00C85F0F">
        <w:rPr>
          <w:rFonts w:hint="cs"/>
          <w:rtl/>
        </w:rPr>
        <w:t>المطلب الثاني</w:t>
      </w:r>
      <w:r w:rsidR="00236A41" w:rsidRPr="00C85F0F">
        <w:rPr>
          <w:rFonts w:hint="eastAsia"/>
          <w:rtl/>
        </w:rPr>
        <w:t> :</w:t>
      </w:r>
      <w:r w:rsidR="00236A41" w:rsidRPr="00C85F0F">
        <w:rPr>
          <w:rFonts w:hint="cs"/>
          <w:rtl/>
        </w:rPr>
        <w:br/>
      </w:r>
      <w:r>
        <w:rPr>
          <w:rFonts w:hint="cs"/>
          <w:rtl/>
        </w:rPr>
        <w:t xml:space="preserve">                                           </w:t>
      </w:r>
      <w:r w:rsidR="00236A41" w:rsidRPr="00C85F0F">
        <w:rPr>
          <w:rFonts w:hint="cs"/>
          <w:rtl/>
        </w:rPr>
        <w:t>شرح القاعدة</w:t>
      </w:r>
      <w:bookmarkEnd w:id="124"/>
    </w:p>
    <w:p w:rsidR="00890AE7" w:rsidRDefault="00236A41" w:rsidP="000F5C0F">
      <w:pPr>
        <w:pStyle w:val="53"/>
        <w:rPr>
          <w:b w:val="0"/>
          <w:rtl/>
        </w:rPr>
      </w:pPr>
      <w:r w:rsidRPr="000F5C0F">
        <w:rPr>
          <w:rFonts w:hint="cs"/>
          <w:rtl/>
        </w:rPr>
        <w:t>السَّدّ</w:t>
      </w:r>
      <w:r w:rsidR="00AB0B9E" w:rsidRPr="000F5C0F">
        <w:fldChar w:fldCharType="begin"/>
      </w:r>
      <w:r w:rsidR="00C07A7C" w:rsidRPr="000F5C0F">
        <w:instrText>XE</w:instrText>
      </w:r>
      <w:r w:rsidR="00C07A7C" w:rsidRPr="000F5C0F">
        <w:rPr>
          <w:rtl/>
        </w:rPr>
        <w:instrText xml:space="preserve"> "</w:instrText>
      </w:r>
      <w:r w:rsidR="00C07A7C" w:rsidRPr="000F5C0F">
        <w:rPr>
          <w:rFonts w:hint="cs"/>
          <w:rtl/>
        </w:rPr>
        <w:instrText>السَّدّ</w:instrText>
      </w:r>
      <w:r w:rsidR="00C07A7C" w:rsidRPr="000F5C0F">
        <w:rPr>
          <w:rtl/>
        </w:rPr>
        <w:instrText>" \</w:instrText>
      </w:r>
      <w:r w:rsidR="00C07A7C" w:rsidRPr="000F5C0F">
        <w:instrText>fm</w:instrText>
      </w:r>
      <w:r w:rsidR="00AB0B9E" w:rsidRPr="000F5C0F">
        <w:fldChar w:fldCharType="end"/>
      </w:r>
      <w:r>
        <w:rPr>
          <w:rFonts w:hint="cs"/>
          <w:b w:val="0"/>
          <w:rtl/>
        </w:rPr>
        <w:t xml:space="preserve"> لغة :</w:t>
      </w:r>
    </w:p>
    <w:p w:rsidR="00F228A9" w:rsidRDefault="00236A41" w:rsidP="00597C20">
      <w:pPr>
        <w:ind w:firstLine="720"/>
        <w:rPr>
          <w:b/>
          <w:bCs/>
          <w:rtl/>
        </w:rPr>
      </w:pPr>
      <w:r w:rsidRPr="006908B9">
        <w:rPr>
          <w:rFonts w:hint="cs"/>
          <w:rtl/>
        </w:rPr>
        <w:t>مصدر س</w:t>
      </w:r>
      <w:r>
        <w:rPr>
          <w:rFonts w:hint="cs"/>
          <w:rtl/>
        </w:rPr>
        <w:t>َ</w:t>
      </w:r>
      <w:r w:rsidRPr="006908B9">
        <w:rPr>
          <w:rFonts w:hint="cs"/>
          <w:rtl/>
        </w:rPr>
        <w:t>د</w:t>
      </w:r>
      <w:r>
        <w:rPr>
          <w:rFonts w:hint="cs"/>
          <w:rtl/>
        </w:rPr>
        <w:t>َّ</w:t>
      </w:r>
      <w:r w:rsidRPr="006908B9">
        <w:rPr>
          <w:rFonts w:hint="cs"/>
          <w:rtl/>
        </w:rPr>
        <w:t xml:space="preserve"> ي</w:t>
      </w:r>
      <w:r>
        <w:rPr>
          <w:rFonts w:hint="cs"/>
          <w:rtl/>
        </w:rPr>
        <w:t>َ</w:t>
      </w:r>
      <w:r w:rsidRPr="006908B9">
        <w:rPr>
          <w:rFonts w:hint="cs"/>
          <w:rtl/>
        </w:rPr>
        <w:t>س</w:t>
      </w:r>
      <w:r>
        <w:rPr>
          <w:rFonts w:hint="cs"/>
          <w:rtl/>
        </w:rPr>
        <w:t>ُ</w:t>
      </w:r>
      <w:r w:rsidRPr="006908B9">
        <w:rPr>
          <w:rFonts w:hint="cs"/>
          <w:rtl/>
        </w:rPr>
        <w:t>د</w:t>
      </w:r>
      <w:r>
        <w:rPr>
          <w:rFonts w:hint="cs"/>
          <w:rtl/>
        </w:rPr>
        <w:t>ُّ</w:t>
      </w:r>
      <w:r w:rsidRPr="006908B9">
        <w:rPr>
          <w:rFonts w:hint="cs"/>
          <w:rtl/>
        </w:rPr>
        <w:t xml:space="preserve"> س</w:t>
      </w:r>
      <w:r>
        <w:rPr>
          <w:rFonts w:hint="cs"/>
          <w:rtl/>
        </w:rPr>
        <w:t>َ</w:t>
      </w:r>
      <w:r w:rsidRPr="006908B9">
        <w:rPr>
          <w:rFonts w:hint="cs"/>
          <w:rtl/>
        </w:rPr>
        <w:t>د</w:t>
      </w:r>
      <w:r>
        <w:rPr>
          <w:rFonts w:hint="cs"/>
          <w:rtl/>
        </w:rPr>
        <w:t>ّ</w:t>
      </w:r>
      <w:r w:rsidRPr="006908B9">
        <w:rPr>
          <w:rFonts w:hint="cs"/>
          <w:rtl/>
        </w:rPr>
        <w:t>ا</w:t>
      </w:r>
      <w:r>
        <w:rPr>
          <w:rFonts w:hint="cs"/>
          <w:rtl/>
        </w:rPr>
        <w:t xml:space="preserve">ً. </w:t>
      </w:r>
      <w:r w:rsidRPr="006908B9">
        <w:rPr>
          <w:rFonts w:hint="cs"/>
          <w:rtl/>
        </w:rPr>
        <w:t>قال</w:t>
      </w:r>
      <w:r w:rsidRPr="000425F4">
        <w:rPr>
          <w:rFonts w:hint="cs"/>
          <w:rtl/>
        </w:rPr>
        <w:t xml:space="preserve"> </w:t>
      </w:r>
      <w:r w:rsidR="00D87E43">
        <w:rPr>
          <w:rFonts w:hint="cs"/>
          <w:rtl/>
        </w:rPr>
        <w:t xml:space="preserve"> </w:t>
      </w:r>
      <w:r w:rsidRPr="000425F4">
        <w:rPr>
          <w:rFonts w:hint="cs"/>
          <w:rtl/>
        </w:rPr>
        <w:t xml:space="preserve">ابن فارس </w:t>
      </w:r>
      <w:r w:rsidR="00D87E43">
        <w:rPr>
          <w:rFonts w:hint="cs"/>
          <w:rtl/>
        </w:rPr>
        <w:t>_</w:t>
      </w:r>
      <w:r w:rsidR="009A0575" w:rsidRPr="005D5694">
        <w:rPr>
          <w:rFonts w:ascii="Traditional Arabic" w:hAnsi="Traditional Arabic" w:cs="CTraditional Arabic" w:hint="cs"/>
          <w:rtl/>
        </w:rPr>
        <w:t>/</w:t>
      </w:r>
      <w:r w:rsidR="00D87E43">
        <w:rPr>
          <w:rFonts w:hint="cs"/>
          <w:rtl/>
        </w:rPr>
        <w:t>_</w:t>
      </w:r>
      <w:r w:rsidRPr="000425F4">
        <w:rPr>
          <w:rFonts w:hint="cs"/>
          <w:rtl/>
        </w:rPr>
        <w:t xml:space="preserve"> : </w:t>
      </w:r>
      <w:r>
        <w:rPr>
          <w:rFonts w:hint="cs"/>
          <w:rtl/>
        </w:rPr>
        <w:t>(</w:t>
      </w:r>
      <w:r w:rsidRPr="000425F4">
        <w:rPr>
          <w:rFonts w:hint="cs"/>
          <w:rtl/>
        </w:rPr>
        <w:t>السين والدال أصل واحد، وهو يدل على ر</w:t>
      </w:r>
      <w:r>
        <w:rPr>
          <w:rFonts w:hint="cs"/>
          <w:rtl/>
        </w:rPr>
        <w:t>َ</w:t>
      </w:r>
      <w:r w:rsidRPr="000425F4">
        <w:rPr>
          <w:rFonts w:hint="cs"/>
          <w:rtl/>
        </w:rPr>
        <w:t>د</w:t>
      </w:r>
      <w:r>
        <w:rPr>
          <w:rFonts w:hint="cs"/>
          <w:rtl/>
        </w:rPr>
        <w:t>ْ</w:t>
      </w:r>
      <w:r w:rsidRPr="000425F4">
        <w:rPr>
          <w:rFonts w:hint="cs"/>
          <w:rtl/>
        </w:rPr>
        <w:t>م</w:t>
      </w:r>
      <w:r>
        <w:rPr>
          <w:rFonts w:hint="cs"/>
          <w:rtl/>
        </w:rPr>
        <w:t>ِ</w:t>
      </w:r>
      <w:r w:rsidRPr="000425F4">
        <w:rPr>
          <w:rFonts w:hint="cs"/>
          <w:rtl/>
        </w:rPr>
        <w:t xml:space="preserve"> الشيء وم</w:t>
      </w:r>
      <w:r>
        <w:rPr>
          <w:rFonts w:hint="cs"/>
          <w:rtl/>
        </w:rPr>
        <w:t>ُ</w:t>
      </w:r>
      <w:r w:rsidRPr="000425F4">
        <w:rPr>
          <w:rFonts w:hint="cs"/>
          <w:rtl/>
        </w:rPr>
        <w:t>لاء</w:t>
      </w:r>
      <w:r>
        <w:rPr>
          <w:rFonts w:hint="cs"/>
          <w:rtl/>
        </w:rPr>
        <w:t>َ</w:t>
      </w:r>
      <w:r w:rsidRPr="000425F4">
        <w:rPr>
          <w:rFonts w:hint="cs"/>
          <w:rtl/>
        </w:rPr>
        <w:t>م</w:t>
      </w:r>
      <w:r>
        <w:rPr>
          <w:rFonts w:hint="cs"/>
          <w:rtl/>
        </w:rPr>
        <w:t>َ</w:t>
      </w:r>
      <w:r w:rsidRPr="000425F4">
        <w:rPr>
          <w:rFonts w:hint="cs"/>
          <w:rtl/>
        </w:rPr>
        <w:t>ت</w:t>
      </w:r>
      <w:r>
        <w:rPr>
          <w:rFonts w:hint="cs"/>
          <w:rtl/>
        </w:rPr>
        <w:t>ِه، من ذلك سددتُ الثُّ</w:t>
      </w:r>
      <w:r w:rsidRPr="000425F4">
        <w:rPr>
          <w:rFonts w:hint="cs"/>
          <w:rtl/>
        </w:rPr>
        <w:t>لْمة</w:t>
      </w:r>
      <w:r w:rsidRPr="00C821A1">
        <w:rPr>
          <w:rStyle w:val="af1"/>
          <w:szCs w:val="32"/>
          <w:rtl/>
        </w:rPr>
        <w:t>(</w:t>
      </w:r>
      <w:r w:rsidRPr="00C821A1">
        <w:rPr>
          <w:rStyle w:val="af1"/>
          <w:szCs w:val="32"/>
          <w:rtl/>
        </w:rPr>
        <w:footnoteReference w:id="616"/>
      </w:r>
      <w:r w:rsidRPr="00C821A1">
        <w:rPr>
          <w:rStyle w:val="af1"/>
          <w:szCs w:val="32"/>
          <w:rtl/>
        </w:rPr>
        <w:t>)</w:t>
      </w:r>
      <w:r w:rsidRPr="000425F4">
        <w:rPr>
          <w:rFonts w:hint="cs"/>
          <w:rtl/>
        </w:rPr>
        <w:t xml:space="preserve"> س</w:t>
      </w:r>
      <w:r>
        <w:rPr>
          <w:rFonts w:hint="cs"/>
          <w:rtl/>
        </w:rPr>
        <w:t>َ</w:t>
      </w:r>
      <w:r w:rsidRPr="000425F4">
        <w:rPr>
          <w:rFonts w:hint="cs"/>
          <w:rtl/>
        </w:rPr>
        <w:t>دا</w:t>
      </w:r>
      <w:r>
        <w:rPr>
          <w:rFonts w:hint="cs"/>
          <w:rtl/>
        </w:rPr>
        <w:t>ً</w:t>
      </w:r>
      <w:r w:rsidRPr="000425F4">
        <w:rPr>
          <w:rFonts w:hint="cs"/>
          <w:rtl/>
        </w:rPr>
        <w:t>، وكل</w:t>
      </w:r>
      <w:r>
        <w:rPr>
          <w:rFonts w:hint="cs"/>
          <w:rtl/>
        </w:rPr>
        <w:t>ُّ</w:t>
      </w:r>
      <w:r w:rsidRPr="000425F4">
        <w:rPr>
          <w:rFonts w:hint="cs"/>
          <w:rtl/>
        </w:rPr>
        <w:t xml:space="preserve"> حاج</w:t>
      </w:r>
      <w:r>
        <w:rPr>
          <w:rFonts w:hint="cs"/>
          <w:rtl/>
        </w:rPr>
        <w:t>ِ</w:t>
      </w:r>
      <w:r w:rsidRPr="000425F4">
        <w:rPr>
          <w:rFonts w:hint="cs"/>
          <w:rtl/>
        </w:rPr>
        <w:t>ز</w:t>
      </w:r>
      <w:r>
        <w:rPr>
          <w:rFonts w:hint="cs"/>
          <w:rtl/>
        </w:rPr>
        <w:t>ٍ</w:t>
      </w:r>
      <w:r w:rsidRPr="000425F4">
        <w:rPr>
          <w:rFonts w:hint="cs"/>
          <w:rtl/>
        </w:rPr>
        <w:t xml:space="preserve"> بين الشيئين سَدٌّ</w:t>
      </w:r>
      <w:r>
        <w:rPr>
          <w:rStyle w:val="af1"/>
          <w:rFonts w:hint="cs"/>
          <w:vertAlign w:val="baseline"/>
          <w:rtl/>
        </w:rPr>
        <w:t>)</w:t>
      </w:r>
      <w:r w:rsidRPr="00C821A1">
        <w:rPr>
          <w:rStyle w:val="af1"/>
          <w:szCs w:val="32"/>
          <w:rtl/>
        </w:rPr>
        <w:t>(</w:t>
      </w:r>
      <w:r w:rsidRPr="00C821A1">
        <w:rPr>
          <w:rStyle w:val="af1"/>
          <w:szCs w:val="32"/>
          <w:rtl/>
        </w:rPr>
        <w:footnoteReference w:id="617"/>
      </w:r>
      <w:r w:rsidRPr="00C821A1">
        <w:rPr>
          <w:rStyle w:val="af1"/>
          <w:szCs w:val="32"/>
          <w:rtl/>
        </w:rPr>
        <w:t>)</w:t>
      </w:r>
      <w:r>
        <w:rPr>
          <w:rFonts w:hint="cs"/>
          <w:b/>
          <w:bCs/>
          <w:rtl/>
        </w:rPr>
        <w:t>.</w:t>
      </w:r>
    </w:p>
    <w:p w:rsidR="00236A41" w:rsidRPr="007A3FE1" w:rsidRDefault="00236A41" w:rsidP="00597C20">
      <w:pPr>
        <w:ind w:firstLine="720"/>
        <w:rPr>
          <w:rtl/>
        </w:rPr>
      </w:pPr>
      <w:r>
        <w:rPr>
          <w:rFonts w:hint="cs"/>
          <w:rtl/>
        </w:rPr>
        <w:t>وتقو</w:t>
      </w:r>
      <w:r w:rsidRPr="00A37258">
        <w:rPr>
          <w:rFonts w:hint="cs"/>
          <w:rtl/>
        </w:rPr>
        <w:t>ل :</w:t>
      </w:r>
      <w:r>
        <w:rPr>
          <w:rFonts w:hint="cs"/>
          <w:rtl/>
        </w:rPr>
        <w:t xml:space="preserve"> سَدَدتُ عليه باب الكلام سَدّاً: إذا </w:t>
      </w:r>
      <w:r w:rsidRPr="0055630C">
        <w:rPr>
          <w:rFonts w:hint="cs"/>
          <w:rtl/>
        </w:rPr>
        <w:t xml:space="preserve">منعته </w:t>
      </w:r>
      <w:r>
        <w:rPr>
          <w:rFonts w:hint="cs"/>
          <w:rtl/>
        </w:rPr>
        <w:t>من الكلام</w:t>
      </w:r>
      <w:r w:rsidRPr="00C821A1">
        <w:rPr>
          <w:rStyle w:val="af1"/>
          <w:szCs w:val="32"/>
          <w:rtl/>
        </w:rPr>
        <w:t>(</w:t>
      </w:r>
      <w:r w:rsidRPr="00C821A1">
        <w:rPr>
          <w:rStyle w:val="af1"/>
          <w:szCs w:val="32"/>
          <w:rtl/>
        </w:rPr>
        <w:footnoteReference w:id="618"/>
      </w:r>
      <w:r w:rsidRPr="00C821A1">
        <w:rPr>
          <w:rStyle w:val="af1"/>
          <w:szCs w:val="32"/>
          <w:rtl/>
        </w:rPr>
        <w:t>)</w:t>
      </w:r>
      <w:r>
        <w:rPr>
          <w:rFonts w:hint="cs"/>
          <w:rtl/>
        </w:rPr>
        <w:t>.</w:t>
      </w:r>
    </w:p>
    <w:p w:rsidR="00890AE7" w:rsidRDefault="00236A41" w:rsidP="00597C20">
      <w:pPr>
        <w:pStyle w:val="53"/>
        <w:rPr>
          <w:b w:val="0"/>
          <w:rtl/>
        </w:rPr>
      </w:pPr>
      <w:r w:rsidRPr="003A53B0">
        <w:rPr>
          <w:rFonts w:hint="cs"/>
          <w:b w:val="0"/>
          <w:rtl/>
        </w:rPr>
        <w:t>الذرائع</w:t>
      </w:r>
      <w:r w:rsidR="00AB0B9E">
        <w:rPr>
          <w:b w:val="0"/>
          <w:rtl/>
        </w:rPr>
        <w:fldChar w:fldCharType="begin"/>
      </w:r>
      <w:r w:rsidR="00C07A7C" w:rsidRPr="00C85F0F">
        <w:rPr>
          <w:bCs w:val="0"/>
        </w:rPr>
        <w:instrText>XE</w:instrText>
      </w:r>
      <w:r w:rsidR="00C07A7C" w:rsidRPr="00C85F0F">
        <w:rPr>
          <w:bCs w:val="0"/>
          <w:rtl/>
        </w:rPr>
        <w:instrText xml:space="preserve"> "</w:instrText>
      </w:r>
      <w:r w:rsidR="00C07A7C" w:rsidRPr="00C85F0F">
        <w:rPr>
          <w:rFonts w:hint="cs"/>
          <w:bCs w:val="0"/>
          <w:rtl/>
        </w:rPr>
        <w:instrText>الذرائع</w:instrText>
      </w:r>
      <w:r w:rsidR="00C07A7C" w:rsidRPr="00C85F0F">
        <w:rPr>
          <w:bCs w:val="0"/>
          <w:rtl/>
        </w:rPr>
        <w:instrText>" \</w:instrText>
      </w:r>
      <w:r w:rsidR="00C07A7C" w:rsidRPr="00C85F0F">
        <w:rPr>
          <w:bCs w:val="0"/>
        </w:rPr>
        <w:instrText>f</w:instrText>
      </w:r>
      <w:r w:rsidR="00C07A7C" w:rsidRPr="00C07A7C">
        <w:instrText>m</w:instrText>
      </w:r>
      <w:r w:rsidR="00AB0B9E">
        <w:rPr>
          <w:b w:val="0"/>
          <w:rtl/>
        </w:rPr>
        <w:fldChar w:fldCharType="end"/>
      </w:r>
      <w:r>
        <w:rPr>
          <w:rFonts w:hint="cs"/>
          <w:b w:val="0"/>
          <w:rtl/>
        </w:rPr>
        <w:t xml:space="preserve"> لغة :</w:t>
      </w:r>
    </w:p>
    <w:p w:rsidR="00065E4B" w:rsidRDefault="00236A41" w:rsidP="00597C20">
      <w:pPr>
        <w:ind w:firstLine="720"/>
        <w:rPr>
          <w:rtl/>
        </w:rPr>
      </w:pPr>
      <w:r>
        <w:rPr>
          <w:rFonts w:hint="cs"/>
          <w:rtl/>
        </w:rPr>
        <w:t xml:space="preserve">جمع ذريعة، قال </w:t>
      </w:r>
      <w:r w:rsidR="00D87E43">
        <w:rPr>
          <w:rFonts w:hint="cs"/>
          <w:rtl/>
        </w:rPr>
        <w:t xml:space="preserve"> </w:t>
      </w:r>
      <w:r>
        <w:rPr>
          <w:rFonts w:hint="cs"/>
          <w:rtl/>
        </w:rPr>
        <w:t xml:space="preserve">ابن فارس </w:t>
      </w:r>
      <w:r w:rsidR="00D87E43">
        <w:rPr>
          <w:rFonts w:hint="cs"/>
          <w:rtl/>
        </w:rPr>
        <w:t>_</w:t>
      </w:r>
      <w:r w:rsidR="009A0575" w:rsidRPr="005D5694">
        <w:rPr>
          <w:rFonts w:ascii="Traditional Arabic" w:hAnsi="Traditional Arabic" w:cs="CTraditional Arabic" w:hint="cs"/>
          <w:rtl/>
        </w:rPr>
        <w:t>/</w:t>
      </w:r>
      <w:r w:rsidR="00D87E43">
        <w:rPr>
          <w:rFonts w:hint="cs"/>
          <w:rtl/>
        </w:rPr>
        <w:t>_</w:t>
      </w:r>
      <w:r>
        <w:rPr>
          <w:rFonts w:hint="cs"/>
          <w:rtl/>
        </w:rPr>
        <w:t xml:space="preserve"> : </w:t>
      </w:r>
      <w:r w:rsidR="00B76414">
        <w:rPr>
          <w:rFonts w:hint="cs"/>
          <w:rtl/>
        </w:rPr>
        <w:t>(</w:t>
      </w:r>
      <w:r>
        <w:rPr>
          <w:rFonts w:hint="cs"/>
          <w:rtl/>
        </w:rPr>
        <w:t>الذال والراء والعين أصل واحد يدل على امتدادٍ وتحرُّك إلى قُدُمٍ)</w:t>
      </w:r>
      <w:r w:rsidRPr="00C821A1">
        <w:rPr>
          <w:rStyle w:val="af1"/>
          <w:szCs w:val="32"/>
          <w:rtl/>
        </w:rPr>
        <w:t>(</w:t>
      </w:r>
      <w:r w:rsidRPr="00C821A1">
        <w:rPr>
          <w:rStyle w:val="af1"/>
          <w:szCs w:val="32"/>
          <w:rtl/>
        </w:rPr>
        <w:footnoteReference w:id="619"/>
      </w:r>
      <w:r w:rsidRPr="00C821A1">
        <w:rPr>
          <w:rStyle w:val="af1"/>
          <w:szCs w:val="32"/>
          <w:rtl/>
        </w:rPr>
        <w:t>)</w:t>
      </w:r>
      <w:r>
        <w:rPr>
          <w:rFonts w:hint="cs"/>
          <w:rtl/>
        </w:rPr>
        <w:t>.</w:t>
      </w:r>
    </w:p>
    <w:p w:rsidR="00065E4B" w:rsidRPr="00F31176" w:rsidRDefault="00065E4B" w:rsidP="00597C20">
      <w:pPr>
        <w:widowControl/>
        <w:autoSpaceDE w:val="0"/>
        <w:autoSpaceDN w:val="0"/>
        <w:adjustRightInd w:val="0"/>
        <w:ind w:firstLine="720"/>
        <w:jc w:val="left"/>
        <w:rPr>
          <w:rFonts w:ascii="Traditional Arabic" w:hAnsi="Traditional Arabic"/>
          <w:noProof w:val="0"/>
          <w:rtl/>
          <w:lang w:eastAsia="en-US"/>
        </w:rPr>
      </w:pPr>
      <w:r>
        <w:rPr>
          <w:rFonts w:hint="cs"/>
          <w:rtl/>
        </w:rPr>
        <w:t>و</w:t>
      </w:r>
      <w:r w:rsidR="00236A41">
        <w:rPr>
          <w:rFonts w:hint="cs"/>
          <w:rtl/>
        </w:rPr>
        <w:t>الذريعة هي الوسيلة والسبب إلى الشيء، يقال :تَذرَّع فلان بذريعةٍ، أي : توسَّل</w:t>
      </w:r>
      <w:r w:rsidR="00236A41">
        <w:rPr>
          <w:rStyle w:val="af1"/>
          <w:rFonts w:hint="cs"/>
          <w:vertAlign w:val="baseline"/>
          <w:rtl/>
        </w:rPr>
        <w:t>، ويقال</w:t>
      </w:r>
      <w:r w:rsidR="00236A41" w:rsidRPr="006908B9">
        <w:rPr>
          <w:rStyle w:val="af1"/>
          <w:rFonts w:hint="cs"/>
          <w:vertAlign w:val="baseline"/>
          <w:rtl/>
        </w:rPr>
        <w:t xml:space="preserve">: </w:t>
      </w:r>
      <w:r w:rsidR="00236A41" w:rsidRPr="006908B9">
        <w:rPr>
          <w:rFonts w:ascii="Traditional Arabic" w:hAnsi="Traditional Arabic"/>
          <w:noProof w:val="0"/>
          <w:rtl/>
          <w:lang w:eastAsia="en-US"/>
        </w:rPr>
        <w:t>فلان ذريعتي إليك</w:t>
      </w:r>
      <w:r w:rsidR="00236A41">
        <w:rPr>
          <w:rFonts w:ascii="Traditional Arabic" w:hAnsi="Traditional Arabic" w:hint="cs"/>
          <w:noProof w:val="0"/>
          <w:rtl/>
          <w:lang w:eastAsia="en-US"/>
        </w:rPr>
        <w:t>،</w:t>
      </w:r>
      <w:r w:rsidR="00236A41" w:rsidRPr="006908B9">
        <w:rPr>
          <w:rFonts w:ascii="Traditional Arabic" w:hAnsi="Traditional Arabic"/>
          <w:noProof w:val="0"/>
          <w:rtl/>
          <w:lang w:eastAsia="en-US"/>
        </w:rPr>
        <w:t xml:space="preserve"> أي</w:t>
      </w:r>
      <w:r w:rsidR="00236A41">
        <w:rPr>
          <w:rFonts w:ascii="Traditional Arabic" w:hAnsi="Traditional Arabic" w:hint="cs"/>
          <w:noProof w:val="0"/>
          <w:rtl/>
          <w:lang w:eastAsia="en-US"/>
        </w:rPr>
        <w:t>:</w:t>
      </w:r>
      <w:r w:rsidR="00236A41" w:rsidRPr="006908B9">
        <w:rPr>
          <w:rFonts w:ascii="Traditional Arabic" w:hAnsi="Traditional Arabic"/>
          <w:noProof w:val="0"/>
          <w:rtl/>
          <w:lang w:eastAsia="en-US"/>
        </w:rPr>
        <w:t xml:space="preserve"> سببي</w:t>
      </w:r>
      <w:r w:rsidR="00D87E43">
        <w:rPr>
          <w:rFonts w:ascii="Traditional Arabic" w:hAnsi="Traditional Arabic" w:hint="cs"/>
          <w:noProof w:val="0"/>
          <w:rtl/>
          <w:lang w:eastAsia="en-US"/>
        </w:rPr>
        <w:t xml:space="preserve"> </w:t>
      </w:r>
      <w:r w:rsidR="00236A41" w:rsidRPr="006908B9">
        <w:rPr>
          <w:rFonts w:ascii="Traditional Arabic" w:hAnsi="Traditional Arabic"/>
          <w:noProof w:val="0"/>
          <w:rtl/>
          <w:lang w:eastAsia="en-US"/>
        </w:rPr>
        <w:t>وو</w:t>
      </w:r>
      <w:r w:rsidR="00236A41">
        <w:rPr>
          <w:rFonts w:ascii="Traditional Arabic" w:hAnsi="Traditional Arabic" w:hint="cs"/>
          <w:noProof w:val="0"/>
          <w:rtl/>
          <w:lang w:eastAsia="en-US"/>
        </w:rPr>
        <w:t>َ</w:t>
      </w:r>
      <w:r w:rsidR="00236A41" w:rsidRPr="006908B9">
        <w:rPr>
          <w:rFonts w:ascii="Traditional Arabic" w:hAnsi="Traditional Arabic"/>
          <w:noProof w:val="0"/>
          <w:rtl/>
          <w:lang w:eastAsia="en-US"/>
        </w:rPr>
        <w:t>ص</w:t>
      </w:r>
      <w:r w:rsidR="00236A41">
        <w:rPr>
          <w:rFonts w:ascii="Traditional Arabic" w:hAnsi="Traditional Arabic" w:hint="cs"/>
          <w:noProof w:val="0"/>
          <w:rtl/>
          <w:lang w:eastAsia="en-US"/>
        </w:rPr>
        <w:t>ْ</w:t>
      </w:r>
      <w:r w:rsidR="00236A41" w:rsidRPr="006908B9">
        <w:rPr>
          <w:rFonts w:ascii="Traditional Arabic" w:hAnsi="Traditional Arabic"/>
          <w:noProof w:val="0"/>
          <w:rtl/>
          <w:lang w:eastAsia="en-US"/>
        </w:rPr>
        <w:t>ل</w:t>
      </w:r>
      <w:r w:rsidR="00236A41">
        <w:rPr>
          <w:rFonts w:ascii="Traditional Arabic" w:hAnsi="Traditional Arabic" w:hint="cs"/>
          <w:noProof w:val="0"/>
          <w:rtl/>
          <w:lang w:eastAsia="en-US"/>
        </w:rPr>
        <w:t>َ</w:t>
      </w:r>
      <w:r w:rsidR="00236A41" w:rsidRPr="006908B9">
        <w:rPr>
          <w:rFonts w:ascii="Traditional Arabic" w:hAnsi="Traditional Arabic"/>
          <w:noProof w:val="0"/>
          <w:rtl/>
          <w:lang w:eastAsia="en-US"/>
        </w:rPr>
        <w:t>تي الذي أتسب</w:t>
      </w:r>
      <w:r w:rsidR="00236A41">
        <w:rPr>
          <w:rFonts w:ascii="Traditional Arabic" w:hAnsi="Traditional Arabic" w:hint="cs"/>
          <w:noProof w:val="0"/>
          <w:rtl/>
          <w:lang w:eastAsia="en-US"/>
        </w:rPr>
        <w:t>َّ</w:t>
      </w:r>
      <w:r w:rsidR="00236A41" w:rsidRPr="006908B9">
        <w:rPr>
          <w:rFonts w:ascii="Traditional Arabic" w:hAnsi="Traditional Arabic"/>
          <w:noProof w:val="0"/>
          <w:rtl/>
          <w:lang w:eastAsia="en-US"/>
        </w:rPr>
        <w:t>ب به إليك</w:t>
      </w:r>
      <w:r w:rsidR="00236A41" w:rsidRPr="00C821A1">
        <w:rPr>
          <w:rStyle w:val="af1"/>
          <w:szCs w:val="32"/>
          <w:rtl/>
        </w:rPr>
        <w:t>(</w:t>
      </w:r>
      <w:r w:rsidR="00236A41" w:rsidRPr="00C821A1">
        <w:rPr>
          <w:rStyle w:val="af1"/>
          <w:szCs w:val="32"/>
          <w:rtl/>
        </w:rPr>
        <w:footnoteReference w:id="620"/>
      </w:r>
      <w:r w:rsidR="00236A41" w:rsidRPr="00C821A1">
        <w:rPr>
          <w:rStyle w:val="af1"/>
          <w:szCs w:val="32"/>
          <w:rtl/>
        </w:rPr>
        <w:t>)</w:t>
      </w:r>
      <w:r w:rsidR="00236A41">
        <w:rPr>
          <w:rFonts w:hint="cs"/>
          <w:rtl/>
        </w:rPr>
        <w:t>.</w:t>
      </w:r>
    </w:p>
    <w:p w:rsidR="00065E4B" w:rsidRDefault="00065E4B" w:rsidP="00597C20">
      <w:pPr>
        <w:pStyle w:val="53"/>
        <w:rPr>
          <w:rtl/>
        </w:rPr>
      </w:pPr>
      <w:r>
        <w:rPr>
          <w:rFonts w:hint="cs"/>
          <w:rtl/>
        </w:rPr>
        <w:t>ا</w:t>
      </w:r>
      <w:r w:rsidR="00236A41">
        <w:rPr>
          <w:rFonts w:hint="cs"/>
          <w:rtl/>
        </w:rPr>
        <w:t>لذرائع اصطلاحا</w:t>
      </w:r>
      <w:r w:rsidR="00236A41" w:rsidRPr="00F31176">
        <w:rPr>
          <w:rFonts w:hint="cs"/>
          <w:rtl/>
        </w:rPr>
        <w:t>:</w:t>
      </w:r>
    </w:p>
    <w:p w:rsidR="00065E4B" w:rsidRDefault="00065E4B" w:rsidP="00597C20">
      <w:pPr>
        <w:ind w:firstLine="720"/>
        <w:rPr>
          <w:rtl/>
        </w:rPr>
      </w:pPr>
      <w:r>
        <w:rPr>
          <w:rFonts w:hint="cs"/>
          <w:rtl/>
        </w:rPr>
        <w:t>ت</w:t>
      </w:r>
      <w:r w:rsidR="00236A41">
        <w:rPr>
          <w:rFonts w:hint="cs"/>
          <w:rtl/>
        </w:rPr>
        <w:t>طلق الذرائع عند العلماء ويراد بها معنيان: عام وخاص.</w:t>
      </w:r>
    </w:p>
    <w:p w:rsidR="00065E4B" w:rsidRDefault="00065E4B" w:rsidP="00597C20">
      <w:pPr>
        <w:ind w:firstLine="0"/>
        <w:rPr>
          <w:b/>
          <w:bCs/>
          <w:rtl/>
        </w:rPr>
      </w:pPr>
      <w:r w:rsidRPr="00BB385C">
        <w:rPr>
          <w:rFonts w:hint="cs"/>
          <w:b/>
          <w:bCs/>
          <w:rtl/>
        </w:rPr>
        <w:t>أ</w:t>
      </w:r>
      <w:r w:rsidR="00236A41" w:rsidRPr="00BB385C">
        <w:rPr>
          <w:rFonts w:hint="cs"/>
          <w:b/>
          <w:bCs/>
          <w:rtl/>
        </w:rPr>
        <w:t>ما الذرائع بالإطلاق العام</w:t>
      </w:r>
      <w:r w:rsidR="00236A41">
        <w:rPr>
          <w:rFonts w:hint="cs"/>
          <w:rtl/>
        </w:rPr>
        <w:t xml:space="preserve"> فيراد بها كل ما يُتخَذ وسيلةً لشيء آخر، بِصَرْف النظر عن كون الوسيلة أو المتوسَّل إليه مقيَّداً بوصفِ الجواز أو المنع</w:t>
      </w:r>
      <w:r w:rsidR="00236A41" w:rsidRPr="00C821A1">
        <w:rPr>
          <w:rStyle w:val="af1"/>
          <w:szCs w:val="32"/>
          <w:rtl/>
        </w:rPr>
        <w:t>(</w:t>
      </w:r>
      <w:r w:rsidR="00236A41" w:rsidRPr="00C821A1">
        <w:rPr>
          <w:rStyle w:val="af1"/>
          <w:szCs w:val="32"/>
          <w:rtl/>
        </w:rPr>
        <w:footnoteReference w:id="621"/>
      </w:r>
      <w:r w:rsidR="00236A41" w:rsidRPr="00C821A1">
        <w:rPr>
          <w:rStyle w:val="af1"/>
          <w:szCs w:val="32"/>
          <w:rtl/>
        </w:rPr>
        <w:t>)</w:t>
      </w:r>
      <w:r w:rsidR="00236A41">
        <w:rPr>
          <w:rFonts w:hint="cs"/>
          <w:rtl/>
        </w:rPr>
        <w:t>.</w:t>
      </w:r>
    </w:p>
    <w:p w:rsidR="00065E4B" w:rsidRDefault="00D87E43" w:rsidP="00D87E43">
      <w:pPr>
        <w:ind w:firstLine="0"/>
        <w:rPr>
          <w:b/>
          <w:bCs/>
          <w:rtl/>
        </w:rPr>
      </w:pPr>
      <w:r>
        <w:rPr>
          <w:rFonts w:hint="cs"/>
          <w:rtl/>
        </w:rPr>
        <w:lastRenderedPageBreak/>
        <w:t xml:space="preserve">    </w:t>
      </w:r>
      <w:r w:rsidR="00065E4B">
        <w:rPr>
          <w:rFonts w:hint="cs"/>
          <w:rtl/>
        </w:rPr>
        <w:t>و</w:t>
      </w:r>
      <w:r w:rsidR="00236A41">
        <w:rPr>
          <w:rFonts w:hint="cs"/>
          <w:rtl/>
        </w:rPr>
        <w:t xml:space="preserve">يدل على هذا المعنى قول </w:t>
      </w:r>
      <w:r>
        <w:rPr>
          <w:rFonts w:hint="cs"/>
          <w:rtl/>
        </w:rPr>
        <w:t xml:space="preserve"> </w:t>
      </w:r>
      <w:r w:rsidR="00236A41">
        <w:rPr>
          <w:rFonts w:hint="cs"/>
          <w:rtl/>
        </w:rPr>
        <w:t xml:space="preserve">القرافي </w:t>
      </w:r>
      <w:r>
        <w:rPr>
          <w:rFonts w:hint="cs"/>
          <w:rtl/>
        </w:rPr>
        <w:t>_</w:t>
      </w:r>
      <w:r w:rsidR="009A0575" w:rsidRPr="005D5694">
        <w:rPr>
          <w:rFonts w:ascii="Traditional Arabic" w:hAnsi="Traditional Arabic" w:cs="CTraditional Arabic" w:hint="cs"/>
          <w:rtl/>
        </w:rPr>
        <w:t>/</w:t>
      </w:r>
      <w:r>
        <w:rPr>
          <w:rFonts w:hint="cs"/>
          <w:rtl/>
        </w:rPr>
        <w:t>_</w:t>
      </w:r>
      <w:r w:rsidR="00236A41">
        <w:rPr>
          <w:rFonts w:hint="cs"/>
          <w:rtl/>
        </w:rPr>
        <w:t xml:space="preserve"> :(</w:t>
      </w:r>
      <w:r w:rsidR="00236A41" w:rsidRPr="000118FC">
        <w:rPr>
          <w:rFonts w:ascii="Traditional Arabic" w:hAnsi="Traditional Arabic"/>
          <w:noProof w:val="0"/>
          <w:color w:val="auto"/>
          <w:rtl/>
          <w:lang w:eastAsia="en-US"/>
        </w:rPr>
        <w:t>اعلم أن الذريعة</w:t>
      </w:r>
      <w:r w:rsidR="00236A41">
        <w:rPr>
          <w:rFonts w:ascii="Traditional Arabic" w:hAnsi="Traditional Arabic"/>
          <w:noProof w:val="0"/>
          <w:color w:val="auto"/>
          <w:rtl/>
          <w:lang w:eastAsia="en-US"/>
        </w:rPr>
        <w:t xml:space="preserve"> كما يجب</w:t>
      </w:r>
      <w:r w:rsidR="00ED68B6">
        <w:rPr>
          <w:rFonts w:ascii="Traditional Arabic" w:hAnsi="Traditional Arabic" w:hint="cs"/>
          <w:noProof w:val="0"/>
          <w:color w:val="auto"/>
          <w:rtl/>
          <w:lang w:eastAsia="en-US"/>
        </w:rPr>
        <w:t xml:space="preserve"> </w:t>
      </w:r>
      <w:r w:rsidR="00236A41" w:rsidRPr="000118FC">
        <w:rPr>
          <w:rFonts w:ascii="Traditional Arabic" w:hAnsi="Traditional Arabic"/>
          <w:noProof w:val="0"/>
          <w:color w:val="auto"/>
          <w:rtl/>
          <w:lang w:eastAsia="en-US"/>
        </w:rPr>
        <w:t>س</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د</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ها يجب ف</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ت</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ح</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ها وت</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كر</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ه وت</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ند</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ب وت</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باح</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 xml:space="preserve"> فإن الذريعة هي الوسيلة</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 xml:space="preserve"> فكما أن وسيلة</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 xml:space="preserve"> المحر</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م محرمة</w:t>
      </w:r>
      <w:r w:rsidR="00236A41">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 xml:space="preserve"> فوسيلة الواجب واجبة </w:t>
      </w:r>
      <w:r w:rsidR="00ED68B6">
        <w:rPr>
          <w:rFonts w:ascii="Traditional Arabic" w:hAnsi="Traditional Arabic" w:hint="cs"/>
          <w:noProof w:val="0"/>
          <w:color w:val="auto"/>
          <w:rtl/>
          <w:lang w:eastAsia="en-US"/>
        </w:rPr>
        <w:t>،</w:t>
      </w:r>
      <w:r w:rsidR="00236A41" w:rsidRPr="000118FC">
        <w:rPr>
          <w:rFonts w:ascii="Traditional Arabic" w:hAnsi="Traditional Arabic"/>
          <w:noProof w:val="0"/>
          <w:color w:val="auto"/>
          <w:rtl/>
          <w:lang w:eastAsia="en-US"/>
        </w:rPr>
        <w:t>كالسعي للجمعة والح</w:t>
      </w:r>
      <w:r w:rsidR="00236A41">
        <w:rPr>
          <w:rFonts w:ascii="Traditional Arabic" w:hAnsi="Traditional Arabic" w:hint="cs"/>
          <w:noProof w:val="0"/>
          <w:color w:val="auto"/>
          <w:rtl/>
          <w:lang w:eastAsia="en-US"/>
        </w:rPr>
        <w:t>ج</w:t>
      </w:r>
      <w:r w:rsidR="00B76414">
        <w:rPr>
          <w:rFonts w:hint="cs"/>
          <w:b/>
          <w:bCs/>
          <w:rtl/>
        </w:rPr>
        <w:t>)</w:t>
      </w:r>
      <w:r w:rsidR="00236A41" w:rsidRPr="00C821A1">
        <w:rPr>
          <w:rStyle w:val="af1"/>
          <w:szCs w:val="32"/>
          <w:rtl/>
        </w:rPr>
        <w:t>(</w:t>
      </w:r>
      <w:r w:rsidR="00236A41" w:rsidRPr="00C821A1">
        <w:rPr>
          <w:rStyle w:val="af1"/>
          <w:szCs w:val="32"/>
          <w:rtl/>
        </w:rPr>
        <w:footnoteReference w:id="622"/>
      </w:r>
      <w:r w:rsidR="00236A41" w:rsidRPr="00C821A1">
        <w:rPr>
          <w:rStyle w:val="af1"/>
          <w:szCs w:val="32"/>
          <w:rtl/>
        </w:rPr>
        <w:t>)</w:t>
      </w:r>
      <w:r w:rsidR="00236A41">
        <w:rPr>
          <w:rFonts w:hint="cs"/>
          <w:b/>
          <w:bCs/>
          <w:rtl/>
        </w:rPr>
        <w:t>.</w:t>
      </w:r>
    </w:p>
    <w:p w:rsidR="00065E4B" w:rsidRDefault="00D87E43" w:rsidP="00D87E43">
      <w:pPr>
        <w:widowControl/>
        <w:autoSpaceDE w:val="0"/>
        <w:autoSpaceDN w:val="0"/>
        <w:adjustRightInd w:val="0"/>
        <w:ind w:firstLine="0"/>
        <w:jc w:val="left"/>
        <w:rPr>
          <w:rFonts w:ascii="Traditional Arabic" w:hAnsi="Traditional Arabic"/>
          <w:noProof w:val="0"/>
          <w:color w:val="auto"/>
          <w:rtl/>
          <w:lang w:eastAsia="en-US"/>
        </w:rPr>
      </w:pPr>
      <w:r>
        <w:rPr>
          <w:rFonts w:hint="cs"/>
          <w:rtl/>
        </w:rPr>
        <w:t xml:space="preserve">    </w:t>
      </w:r>
      <w:r w:rsidR="00065E4B">
        <w:rPr>
          <w:rFonts w:hint="cs"/>
          <w:rtl/>
        </w:rPr>
        <w:t>و</w:t>
      </w:r>
      <w:r w:rsidR="00236A41">
        <w:rPr>
          <w:rFonts w:hint="cs"/>
          <w:rtl/>
        </w:rPr>
        <w:t xml:space="preserve">في هذا السِّياق يقول الشيخ ابن عثيمين </w:t>
      </w:r>
      <w:r>
        <w:rPr>
          <w:rFonts w:hint="cs"/>
          <w:rtl/>
        </w:rPr>
        <w:t>_</w:t>
      </w:r>
      <w:r w:rsidR="009A0575" w:rsidRPr="005D5694">
        <w:rPr>
          <w:rFonts w:ascii="Traditional Arabic" w:hAnsi="Traditional Arabic" w:cs="CTraditional Arabic" w:hint="cs"/>
          <w:rtl/>
        </w:rPr>
        <w:t>/</w:t>
      </w:r>
      <w:r>
        <w:rPr>
          <w:rFonts w:hint="cs"/>
          <w:rtl/>
        </w:rPr>
        <w:t>_</w:t>
      </w:r>
      <w:r w:rsidR="00236A41">
        <w:rPr>
          <w:rFonts w:hint="cs"/>
          <w:rtl/>
        </w:rPr>
        <w:t xml:space="preserve"> :</w:t>
      </w:r>
      <w:r w:rsidR="00B76414">
        <w:rPr>
          <w:rFonts w:hint="cs"/>
          <w:rtl/>
        </w:rPr>
        <w:t>(</w:t>
      </w:r>
      <w:r w:rsidR="00236A41" w:rsidRPr="00BB385C">
        <w:rPr>
          <w:rFonts w:ascii="Traditional Arabic" w:hAnsi="Traditional Arabic"/>
          <w:noProof w:val="0"/>
          <w:color w:val="auto"/>
          <w:rtl/>
          <w:lang w:eastAsia="en-US"/>
        </w:rPr>
        <w:t>الذرائع، أي: الط</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ر</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ق الموص</w:t>
      </w:r>
      <w:r w:rsidR="00236A41">
        <w:rPr>
          <w:rFonts w:ascii="Traditional Arabic" w:hAnsi="Traditional Arabic" w:hint="cs"/>
          <w:noProof w:val="0"/>
          <w:color w:val="auto"/>
          <w:rtl/>
          <w:lang w:eastAsia="en-US"/>
        </w:rPr>
        <w:t>ِ</w:t>
      </w:r>
      <w:r w:rsidR="00236A41">
        <w:rPr>
          <w:rFonts w:ascii="Traditional Arabic" w:hAnsi="Traditional Arabic"/>
          <w:noProof w:val="0"/>
          <w:color w:val="auto"/>
          <w:rtl/>
          <w:lang w:eastAsia="en-US"/>
        </w:rPr>
        <w:t>لة إلى الشيء، وذرائع</w:t>
      </w:r>
      <w:r w:rsidR="00236A41">
        <w:rPr>
          <w:rFonts w:ascii="Traditional Arabic" w:hAnsi="Traditional Arabic" w:hint="cs"/>
          <w:noProof w:val="0"/>
          <w:color w:val="auto"/>
          <w:rtl/>
          <w:lang w:eastAsia="en-US"/>
        </w:rPr>
        <w:t>ُ</w:t>
      </w:r>
      <w:r w:rsidR="00236A41">
        <w:rPr>
          <w:rFonts w:ascii="Traditional Arabic" w:hAnsi="Traditional Arabic"/>
          <w:noProof w:val="0"/>
          <w:color w:val="auto"/>
          <w:rtl/>
          <w:lang w:eastAsia="en-US"/>
        </w:rPr>
        <w:t xml:space="preserve"> الشيء</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 xml:space="preserve"> و</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سائل</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ه وط</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ر</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قه</w:t>
      </w:r>
      <w:r w:rsidR="00236A41">
        <w:rPr>
          <w:rFonts w:ascii="Traditional Arabic" w:hAnsi="Traditional Arabic" w:hint="cs"/>
          <w:noProof w:val="0"/>
          <w:color w:val="auto"/>
          <w:rtl/>
          <w:lang w:eastAsia="en-US"/>
        </w:rPr>
        <w:t>)</w:t>
      </w:r>
      <w:r w:rsidR="00236A41" w:rsidRPr="00C821A1">
        <w:rPr>
          <w:rStyle w:val="af1"/>
          <w:szCs w:val="32"/>
          <w:rtl/>
        </w:rPr>
        <w:t>(</w:t>
      </w:r>
      <w:r w:rsidR="00236A41" w:rsidRPr="00C821A1">
        <w:rPr>
          <w:rStyle w:val="af1"/>
          <w:szCs w:val="32"/>
          <w:rtl/>
        </w:rPr>
        <w:footnoteReference w:id="623"/>
      </w:r>
      <w:r w:rsidR="00236A41" w:rsidRPr="00C821A1">
        <w:rPr>
          <w:rStyle w:val="af1"/>
          <w:szCs w:val="32"/>
          <w:rtl/>
        </w:rPr>
        <w:t>)</w:t>
      </w:r>
      <w:r w:rsidR="00236A41" w:rsidRPr="00BB385C">
        <w:rPr>
          <w:rFonts w:ascii="Traditional Arabic" w:hAnsi="Traditional Arabic"/>
          <w:noProof w:val="0"/>
          <w:color w:val="auto"/>
          <w:rtl/>
          <w:lang w:eastAsia="en-US"/>
        </w:rPr>
        <w:t>.</w:t>
      </w:r>
    </w:p>
    <w:p w:rsidR="00065E4B" w:rsidRDefault="00D87E43" w:rsidP="00D87E43">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Pr>
          <w:rFonts w:ascii="Traditional Arabic" w:hAnsi="Traditional Arabic" w:hint="cs"/>
          <w:noProof w:val="0"/>
          <w:color w:val="auto"/>
          <w:rtl/>
          <w:lang w:eastAsia="en-US"/>
        </w:rPr>
        <w:t>و</w:t>
      </w:r>
      <w:r>
        <w:rPr>
          <w:rFonts w:ascii="Traditional Arabic" w:hAnsi="Traditional Arabic" w:hint="cs"/>
          <w:noProof w:val="0"/>
          <w:color w:val="auto"/>
          <w:rtl/>
          <w:lang w:eastAsia="en-US"/>
        </w:rPr>
        <w:t>يقول</w:t>
      </w:r>
      <w:r w:rsidR="00236A41">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w:t>
      </w:r>
      <w:r w:rsidR="00B76414">
        <w:rPr>
          <w:rFonts w:ascii="Traditional Arabic" w:hAnsi="Traditional Arabic" w:hint="cs"/>
          <w:noProof w:val="0"/>
          <w:color w:val="auto"/>
          <w:rtl/>
          <w:lang w:eastAsia="en-US"/>
        </w:rPr>
        <w:t>(</w:t>
      </w:r>
      <w:r w:rsidR="00236A41">
        <w:rPr>
          <w:rFonts w:ascii="Traditional Arabic" w:hAnsi="Traditional Arabic" w:hint="cs"/>
          <w:noProof w:val="0"/>
          <w:color w:val="auto"/>
          <w:rtl/>
          <w:lang w:eastAsia="en-US"/>
        </w:rPr>
        <w:t>وما كان ذريعةً إلى الشيء فإن له حُكمَ ذلك الشيء)</w:t>
      </w:r>
      <w:r w:rsidR="00236A41" w:rsidRPr="00C821A1">
        <w:rPr>
          <w:rStyle w:val="af1"/>
          <w:szCs w:val="32"/>
          <w:rtl/>
        </w:rPr>
        <w:t>(</w:t>
      </w:r>
      <w:r w:rsidR="00236A41" w:rsidRPr="00C821A1">
        <w:rPr>
          <w:rStyle w:val="af1"/>
          <w:szCs w:val="32"/>
          <w:rtl/>
        </w:rPr>
        <w:footnoteReference w:id="624"/>
      </w:r>
      <w:r w:rsidR="00236A41" w:rsidRPr="00C821A1">
        <w:rPr>
          <w:rStyle w:val="af1"/>
          <w:szCs w:val="32"/>
          <w:rtl/>
        </w:rPr>
        <w:t>)</w:t>
      </w:r>
      <w:r w:rsidR="00236A41">
        <w:rPr>
          <w:rFonts w:ascii="Traditional Arabic" w:hAnsi="Traditional Arabic" w:hint="cs"/>
          <w:noProof w:val="0"/>
          <w:color w:val="auto"/>
          <w:rtl/>
          <w:lang w:eastAsia="en-US"/>
        </w:rPr>
        <w:t>.</w:t>
      </w:r>
    </w:p>
    <w:p w:rsidR="00065E4B" w:rsidRPr="00BB385C" w:rsidRDefault="00D87E43" w:rsidP="00D87E43">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sidRPr="00BB385C">
        <w:rPr>
          <w:rFonts w:ascii="Traditional Arabic" w:hAnsi="Traditional Arabic"/>
          <w:noProof w:val="0"/>
          <w:color w:val="auto"/>
          <w:rtl/>
          <w:lang w:eastAsia="en-US"/>
        </w:rPr>
        <w:t>و</w:t>
      </w:r>
      <w:r w:rsidR="00236A41">
        <w:rPr>
          <w:rFonts w:ascii="Traditional Arabic" w:hAnsi="Traditional Arabic" w:hint="cs"/>
          <w:noProof w:val="0"/>
          <w:color w:val="auto"/>
          <w:rtl/>
          <w:lang w:eastAsia="en-US"/>
        </w:rPr>
        <w:t>يقول كذلك: (</w:t>
      </w:r>
      <w:r w:rsidR="00236A41" w:rsidRPr="00BB385C">
        <w:rPr>
          <w:rFonts w:ascii="Traditional Arabic" w:hAnsi="Traditional Arabic"/>
          <w:noProof w:val="0"/>
          <w:color w:val="auto"/>
          <w:rtl/>
          <w:lang w:eastAsia="en-US"/>
        </w:rPr>
        <w:t>الذرائع نوعان:</w:t>
      </w:r>
    </w:p>
    <w:p w:rsidR="00065E4B" w:rsidRPr="00BB385C" w:rsidRDefault="00065E4B" w:rsidP="00597C20">
      <w:pPr>
        <w:widowControl/>
        <w:autoSpaceDE w:val="0"/>
        <w:autoSpaceDN w:val="0"/>
        <w:adjustRightInd w:val="0"/>
        <w:ind w:firstLine="0"/>
        <w:jc w:val="left"/>
        <w:rPr>
          <w:rFonts w:ascii="Traditional Arabic" w:hAnsi="Traditional Arabic"/>
          <w:noProof w:val="0"/>
          <w:color w:val="auto"/>
          <w:rtl/>
          <w:lang w:eastAsia="en-US"/>
        </w:rPr>
      </w:pPr>
      <w:r w:rsidRPr="00BB385C">
        <w:rPr>
          <w:rFonts w:ascii="Traditional Arabic" w:hAnsi="Traditional Arabic"/>
          <w:b/>
          <w:bCs/>
          <w:noProof w:val="0"/>
          <w:color w:val="auto"/>
          <w:rtl/>
          <w:lang w:eastAsia="en-US"/>
        </w:rPr>
        <w:t>أ</w:t>
      </w:r>
      <w:r w:rsidR="00236A41" w:rsidRPr="00BB385C">
        <w:rPr>
          <w:rFonts w:ascii="Traditional Arabic" w:hAnsi="Traditional Arabic"/>
          <w:b/>
          <w:bCs/>
          <w:noProof w:val="0"/>
          <w:color w:val="auto"/>
          <w:rtl/>
          <w:lang w:eastAsia="en-US"/>
        </w:rPr>
        <w:t>- ذرائع إلى أمور مطلوبة</w:t>
      </w:r>
      <w:r w:rsidR="00236A41" w:rsidRPr="00BB385C">
        <w:rPr>
          <w:rFonts w:ascii="Traditional Arabic" w:hAnsi="Traditional Arabic"/>
          <w:noProof w:val="0"/>
          <w:color w:val="auto"/>
          <w:rtl/>
          <w:lang w:eastAsia="en-US"/>
        </w:rPr>
        <w:t>: فهذه لا ت</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س</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د</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 بل ت</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ف</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ت</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ح وت</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طل</w:t>
      </w:r>
      <w:r w:rsidR="00236A41">
        <w:rPr>
          <w:rFonts w:ascii="Traditional Arabic" w:hAnsi="Traditional Arabic" w:hint="cs"/>
          <w:noProof w:val="0"/>
          <w:color w:val="auto"/>
          <w:rtl/>
          <w:lang w:eastAsia="en-US"/>
        </w:rPr>
        <w:t>َ</w:t>
      </w:r>
      <w:r w:rsidR="00236A41" w:rsidRPr="00BB385C">
        <w:rPr>
          <w:rFonts w:ascii="Traditional Arabic" w:hAnsi="Traditional Arabic"/>
          <w:noProof w:val="0"/>
          <w:color w:val="auto"/>
          <w:rtl/>
          <w:lang w:eastAsia="en-US"/>
        </w:rPr>
        <w:t>ب.</w:t>
      </w:r>
    </w:p>
    <w:p w:rsidR="00065E4B" w:rsidRPr="00BB385C" w:rsidRDefault="00065E4B" w:rsidP="00597C20">
      <w:pPr>
        <w:ind w:firstLine="0"/>
        <w:rPr>
          <w:color w:val="auto"/>
          <w:rtl/>
        </w:rPr>
      </w:pPr>
      <w:r w:rsidRPr="00BB385C">
        <w:rPr>
          <w:rFonts w:ascii="Traditional Arabic" w:hAnsi="Traditional Arabic"/>
          <w:b/>
          <w:bCs/>
          <w:noProof w:val="0"/>
          <w:color w:val="auto"/>
          <w:rtl/>
          <w:lang w:eastAsia="en-US"/>
        </w:rPr>
        <w:t>ب</w:t>
      </w:r>
      <w:r w:rsidR="00236A41" w:rsidRPr="00BB385C">
        <w:rPr>
          <w:rFonts w:ascii="Traditional Arabic" w:hAnsi="Traditional Arabic"/>
          <w:b/>
          <w:bCs/>
          <w:noProof w:val="0"/>
          <w:color w:val="auto"/>
          <w:rtl/>
          <w:lang w:eastAsia="en-US"/>
        </w:rPr>
        <w:t>- ذرائع إلى أمور م</w:t>
      </w:r>
      <w:r w:rsidR="00236A41">
        <w:rPr>
          <w:rFonts w:ascii="Traditional Arabic" w:hAnsi="Traditional Arabic" w:hint="cs"/>
          <w:b/>
          <w:bCs/>
          <w:noProof w:val="0"/>
          <w:color w:val="auto"/>
          <w:rtl/>
          <w:lang w:eastAsia="en-US"/>
        </w:rPr>
        <w:t>َ</w:t>
      </w:r>
      <w:r w:rsidR="00236A41" w:rsidRPr="00BB385C">
        <w:rPr>
          <w:rFonts w:ascii="Traditional Arabic" w:hAnsi="Traditional Arabic"/>
          <w:b/>
          <w:bCs/>
          <w:noProof w:val="0"/>
          <w:color w:val="auto"/>
          <w:rtl/>
          <w:lang w:eastAsia="en-US"/>
        </w:rPr>
        <w:t>ذمومة</w:t>
      </w:r>
      <w:r w:rsidR="00236A41" w:rsidRPr="00BB385C">
        <w:rPr>
          <w:rFonts w:ascii="Traditional Arabic" w:hAnsi="Traditional Arabic"/>
          <w:noProof w:val="0"/>
          <w:color w:val="auto"/>
          <w:rtl/>
          <w:lang w:eastAsia="en-US"/>
        </w:rPr>
        <w:t>: فهذه تسد</w:t>
      </w:r>
      <w:r w:rsidR="00236A41">
        <w:rPr>
          <w:rFonts w:hint="cs"/>
          <w:color w:val="auto"/>
          <w:rtl/>
        </w:rPr>
        <w:t>ُّ)</w:t>
      </w:r>
      <w:r w:rsidR="00236A41" w:rsidRPr="00C821A1">
        <w:rPr>
          <w:rStyle w:val="af1"/>
          <w:szCs w:val="32"/>
          <w:rtl/>
        </w:rPr>
        <w:t>(</w:t>
      </w:r>
      <w:r w:rsidR="00236A41" w:rsidRPr="00C821A1">
        <w:rPr>
          <w:rStyle w:val="af1"/>
          <w:szCs w:val="32"/>
          <w:rtl/>
        </w:rPr>
        <w:footnoteReference w:id="625"/>
      </w:r>
      <w:r w:rsidR="00236A41" w:rsidRPr="00C821A1">
        <w:rPr>
          <w:rStyle w:val="af1"/>
          <w:szCs w:val="32"/>
          <w:rtl/>
        </w:rPr>
        <w:t>)</w:t>
      </w:r>
      <w:r w:rsidR="00236A41">
        <w:rPr>
          <w:rFonts w:hint="cs"/>
          <w:color w:val="auto"/>
          <w:rtl/>
        </w:rPr>
        <w:t>.</w:t>
      </w:r>
    </w:p>
    <w:p w:rsidR="00236A41" w:rsidRDefault="00D87E43" w:rsidP="00597C20">
      <w:pPr>
        <w:ind w:firstLine="0"/>
        <w:rPr>
          <w:rtl/>
        </w:rPr>
      </w:pPr>
      <w:r>
        <w:rPr>
          <w:rFonts w:hint="cs"/>
          <w:b/>
          <w:bCs/>
          <w:rtl/>
        </w:rPr>
        <w:t xml:space="preserve">    </w:t>
      </w:r>
      <w:r w:rsidR="00065E4B">
        <w:rPr>
          <w:rFonts w:hint="cs"/>
          <w:b/>
          <w:bCs/>
          <w:rtl/>
        </w:rPr>
        <w:t>أ</w:t>
      </w:r>
      <w:r w:rsidR="00236A41">
        <w:rPr>
          <w:rFonts w:hint="cs"/>
          <w:b/>
          <w:bCs/>
          <w:rtl/>
        </w:rPr>
        <w:t>ما الذرائع بالإطلاق الخاص،</w:t>
      </w:r>
      <w:r w:rsidR="00236A41">
        <w:rPr>
          <w:rFonts w:hint="cs"/>
          <w:rtl/>
        </w:rPr>
        <w:t xml:space="preserve"> فقد تنوعتْ تعريفات العلماء لها، إلا أنها ترجع في الجملة إلى معنى واحد، وهو (المنع من الفعل الجائز إذا كان مُفْضِياً إلى محظور)</w:t>
      </w:r>
      <w:r w:rsidR="00236A41" w:rsidRPr="00C821A1">
        <w:rPr>
          <w:rStyle w:val="af1"/>
          <w:szCs w:val="32"/>
          <w:rtl/>
        </w:rPr>
        <w:t>(</w:t>
      </w:r>
      <w:r w:rsidR="00236A41" w:rsidRPr="00C821A1">
        <w:rPr>
          <w:rStyle w:val="af1"/>
          <w:szCs w:val="32"/>
          <w:rtl/>
        </w:rPr>
        <w:footnoteReference w:id="626"/>
      </w:r>
      <w:r w:rsidR="00236A41" w:rsidRPr="00C821A1">
        <w:rPr>
          <w:rStyle w:val="af1"/>
          <w:szCs w:val="32"/>
          <w:rtl/>
        </w:rPr>
        <w:t>)</w:t>
      </w:r>
      <w:r w:rsidR="00236A41">
        <w:rPr>
          <w:rFonts w:hint="cs"/>
          <w:rtl/>
        </w:rPr>
        <w:t>.</w:t>
      </w:r>
    </w:p>
    <w:p w:rsidR="00F228A9" w:rsidRDefault="00D87E43" w:rsidP="00D87E43">
      <w:pPr>
        <w:ind w:firstLine="0"/>
        <w:rPr>
          <w:rtl/>
        </w:rPr>
      </w:pPr>
      <w:r>
        <w:rPr>
          <w:rFonts w:hint="cs"/>
          <w:rtl/>
        </w:rPr>
        <w:t xml:space="preserve">    </w:t>
      </w:r>
      <w:r w:rsidR="00236A41">
        <w:rPr>
          <w:rFonts w:hint="cs"/>
          <w:rtl/>
        </w:rPr>
        <w:t xml:space="preserve">يقول ابن تيمية </w:t>
      </w:r>
      <w:r>
        <w:rPr>
          <w:rFonts w:hint="cs"/>
          <w:rtl/>
        </w:rPr>
        <w:t>_</w:t>
      </w:r>
      <w:r w:rsidR="009A0575" w:rsidRPr="005D5694">
        <w:rPr>
          <w:rFonts w:ascii="Traditional Arabic" w:hAnsi="Traditional Arabic" w:cs="CTraditional Arabic" w:hint="cs"/>
          <w:rtl/>
        </w:rPr>
        <w:t>/</w:t>
      </w:r>
      <w:r>
        <w:rPr>
          <w:rFonts w:hint="cs"/>
          <w:rtl/>
        </w:rPr>
        <w:t>_</w:t>
      </w:r>
      <w:r w:rsidR="00236A41">
        <w:rPr>
          <w:rFonts w:hint="cs"/>
          <w:rtl/>
        </w:rPr>
        <w:t xml:space="preserve"> :</w:t>
      </w:r>
      <w:r w:rsidR="00B76414">
        <w:rPr>
          <w:rFonts w:hint="cs"/>
          <w:rtl/>
        </w:rPr>
        <w:t>(</w:t>
      </w:r>
      <w:r w:rsidR="00236A41" w:rsidRPr="00C35F9B">
        <w:rPr>
          <w:rFonts w:ascii="Traditional Arabic" w:hAnsi="Traditional Arabic"/>
          <w:noProof w:val="0"/>
          <w:rtl/>
          <w:lang w:eastAsia="en-US"/>
        </w:rPr>
        <w:t>والذريعة ما كان وسيلة</w:t>
      </w:r>
      <w:r w:rsidR="00236A41">
        <w:rPr>
          <w:rFonts w:ascii="Traditional Arabic" w:hAnsi="Traditional Arabic" w:hint="cs"/>
          <w:noProof w:val="0"/>
          <w:rtl/>
          <w:lang w:eastAsia="en-US"/>
        </w:rPr>
        <w:t>ً</w:t>
      </w:r>
      <w:r w:rsidR="00236A41" w:rsidRPr="00C35F9B">
        <w:rPr>
          <w:rFonts w:ascii="Traditional Arabic" w:hAnsi="Traditional Arabic"/>
          <w:noProof w:val="0"/>
          <w:rtl/>
          <w:lang w:eastAsia="en-US"/>
        </w:rPr>
        <w:t xml:space="preserve"> وطريقا إلى الشيء</w:t>
      </w:r>
      <w:r w:rsidR="00B76414">
        <w:rPr>
          <w:rFonts w:ascii="Traditional Arabic" w:hAnsi="Traditional Arabic"/>
          <w:noProof w:val="0"/>
          <w:rtl/>
          <w:lang w:eastAsia="en-US"/>
        </w:rPr>
        <w:t>،</w:t>
      </w:r>
      <w:r w:rsidR="00236A41" w:rsidRPr="00031B6A">
        <w:rPr>
          <w:rFonts w:ascii="Traditional Arabic" w:hAnsi="Traditional Arabic"/>
          <w:b/>
          <w:bCs/>
          <w:noProof w:val="0"/>
          <w:rtl/>
          <w:lang w:eastAsia="en-US"/>
        </w:rPr>
        <w:t>لكن صارت في عرف الفقهاء عبارة</w:t>
      </w:r>
      <w:r w:rsidR="00236A41">
        <w:rPr>
          <w:rFonts w:ascii="Traditional Arabic" w:hAnsi="Traditional Arabic" w:hint="cs"/>
          <w:b/>
          <w:bCs/>
          <w:noProof w:val="0"/>
          <w:rtl/>
          <w:lang w:eastAsia="en-US"/>
        </w:rPr>
        <w:t>ً</w:t>
      </w:r>
      <w:r w:rsidR="00236A41" w:rsidRPr="00031B6A">
        <w:rPr>
          <w:rFonts w:ascii="Traditional Arabic" w:hAnsi="Traditional Arabic"/>
          <w:b/>
          <w:bCs/>
          <w:noProof w:val="0"/>
          <w:rtl/>
          <w:lang w:eastAsia="en-US"/>
        </w:rPr>
        <w:t xml:space="preserve"> عما أ</w:t>
      </w:r>
      <w:r w:rsidR="00236A41">
        <w:rPr>
          <w:rFonts w:ascii="Traditional Arabic" w:hAnsi="Traditional Arabic" w:hint="cs"/>
          <w:b/>
          <w:bCs/>
          <w:noProof w:val="0"/>
          <w:rtl/>
          <w:lang w:eastAsia="en-US"/>
        </w:rPr>
        <w:t>َ</w:t>
      </w:r>
      <w:r w:rsidR="00236A41" w:rsidRPr="00031B6A">
        <w:rPr>
          <w:rFonts w:ascii="Traditional Arabic" w:hAnsi="Traditional Arabic"/>
          <w:b/>
          <w:bCs/>
          <w:noProof w:val="0"/>
          <w:rtl/>
          <w:lang w:eastAsia="en-US"/>
        </w:rPr>
        <w:t>ف</w:t>
      </w:r>
      <w:r w:rsidR="00236A41">
        <w:rPr>
          <w:rFonts w:ascii="Traditional Arabic" w:hAnsi="Traditional Arabic" w:hint="cs"/>
          <w:b/>
          <w:bCs/>
          <w:noProof w:val="0"/>
          <w:rtl/>
          <w:lang w:eastAsia="en-US"/>
        </w:rPr>
        <w:t>ْ</w:t>
      </w:r>
      <w:r w:rsidR="00236A41" w:rsidRPr="00031B6A">
        <w:rPr>
          <w:rFonts w:ascii="Traditional Arabic" w:hAnsi="Traditional Arabic"/>
          <w:b/>
          <w:bCs/>
          <w:noProof w:val="0"/>
          <w:rtl/>
          <w:lang w:eastAsia="en-US"/>
        </w:rPr>
        <w:t>ض</w:t>
      </w:r>
      <w:r w:rsidR="00236A41">
        <w:rPr>
          <w:rFonts w:ascii="Traditional Arabic" w:hAnsi="Traditional Arabic" w:hint="cs"/>
          <w:b/>
          <w:bCs/>
          <w:noProof w:val="0"/>
          <w:rtl/>
          <w:lang w:eastAsia="en-US"/>
        </w:rPr>
        <w:t>َ</w:t>
      </w:r>
      <w:r w:rsidR="00236A41" w:rsidRPr="00031B6A">
        <w:rPr>
          <w:rFonts w:ascii="Traditional Arabic" w:hAnsi="Traditional Arabic"/>
          <w:b/>
          <w:bCs/>
          <w:noProof w:val="0"/>
          <w:rtl/>
          <w:lang w:eastAsia="en-US"/>
        </w:rPr>
        <w:t>ت</w:t>
      </w:r>
      <w:r w:rsidR="00236A41">
        <w:rPr>
          <w:rFonts w:ascii="Traditional Arabic" w:hAnsi="Traditional Arabic" w:hint="cs"/>
          <w:b/>
          <w:bCs/>
          <w:noProof w:val="0"/>
          <w:rtl/>
          <w:lang w:eastAsia="en-US"/>
        </w:rPr>
        <w:t>ْ</w:t>
      </w:r>
      <w:r w:rsidR="00236A41" w:rsidRPr="00031B6A">
        <w:rPr>
          <w:rFonts w:ascii="Traditional Arabic" w:hAnsi="Traditional Arabic"/>
          <w:b/>
          <w:bCs/>
          <w:noProof w:val="0"/>
          <w:rtl/>
          <w:lang w:eastAsia="en-US"/>
        </w:rPr>
        <w:t xml:space="preserve"> إلى ف</w:t>
      </w:r>
      <w:r w:rsidR="00236A41">
        <w:rPr>
          <w:rFonts w:ascii="Traditional Arabic" w:hAnsi="Traditional Arabic" w:hint="cs"/>
          <w:b/>
          <w:bCs/>
          <w:noProof w:val="0"/>
          <w:rtl/>
          <w:lang w:eastAsia="en-US"/>
        </w:rPr>
        <w:t>ِ</w:t>
      </w:r>
      <w:r w:rsidR="00236A41" w:rsidRPr="00031B6A">
        <w:rPr>
          <w:rFonts w:ascii="Traditional Arabic" w:hAnsi="Traditional Arabic"/>
          <w:b/>
          <w:bCs/>
          <w:noProof w:val="0"/>
          <w:rtl/>
          <w:lang w:eastAsia="en-US"/>
        </w:rPr>
        <w:t>عل محرم</w:t>
      </w:r>
      <w:r w:rsidR="00B76414">
        <w:rPr>
          <w:rFonts w:ascii="Traditional Arabic" w:hAnsi="Traditional Arabic"/>
          <w:b/>
          <w:bCs/>
          <w:noProof w:val="0"/>
          <w:rtl/>
          <w:lang w:eastAsia="en-US"/>
        </w:rPr>
        <w:t>،</w:t>
      </w:r>
      <w:r w:rsidR="00236A41" w:rsidRPr="00C35F9B">
        <w:rPr>
          <w:rFonts w:ascii="Traditional Arabic" w:hAnsi="Traditional Arabic"/>
          <w:noProof w:val="0"/>
          <w:rtl/>
          <w:lang w:eastAsia="en-US"/>
        </w:rPr>
        <w:t xml:space="preserve"> ولو تجردت عن ذلك الإفضاء لم يكن </w:t>
      </w:r>
      <w:r w:rsidR="00236A41">
        <w:rPr>
          <w:rFonts w:ascii="Traditional Arabic" w:hAnsi="Traditional Arabic"/>
          <w:noProof w:val="0"/>
          <w:rtl/>
          <w:lang w:eastAsia="en-US"/>
        </w:rPr>
        <w:t>فيها مفسدة</w:t>
      </w:r>
      <w:r>
        <w:rPr>
          <w:rFonts w:ascii="Traditional Arabic" w:hAnsi="Traditional Arabic" w:hint="cs"/>
          <w:noProof w:val="0"/>
          <w:rtl/>
          <w:lang w:eastAsia="en-US"/>
        </w:rPr>
        <w:t xml:space="preserve">؛ </w:t>
      </w:r>
      <w:r w:rsidR="00236A41">
        <w:rPr>
          <w:rFonts w:ascii="Traditional Arabic" w:hAnsi="Traditional Arabic"/>
          <w:noProof w:val="0"/>
          <w:rtl/>
          <w:lang w:eastAsia="en-US"/>
        </w:rPr>
        <w:t>ولهذا</w:t>
      </w:r>
      <w:r>
        <w:rPr>
          <w:rFonts w:ascii="Traditional Arabic" w:hAnsi="Traditional Arabic" w:hint="cs"/>
          <w:noProof w:val="0"/>
          <w:rtl/>
          <w:lang w:eastAsia="en-US"/>
        </w:rPr>
        <w:t xml:space="preserve"> </w:t>
      </w:r>
      <w:r w:rsidR="00236A41" w:rsidRPr="00C35F9B">
        <w:rPr>
          <w:rFonts w:ascii="Traditional Arabic" w:hAnsi="Traditional Arabic"/>
          <w:noProof w:val="0"/>
          <w:rtl/>
          <w:lang w:eastAsia="en-US"/>
        </w:rPr>
        <w:t>قيل</w:t>
      </w:r>
      <w:r w:rsidR="00236A41">
        <w:rPr>
          <w:rFonts w:ascii="Traditional Arabic" w:hAnsi="Traditional Arabic" w:hint="cs"/>
          <w:noProof w:val="0"/>
          <w:rtl/>
          <w:lang w:eastAsia="en-US"/>
        </w:rPr>
        <w:t>:</w:t>
      </w:r>
      <w:r w:rsidR="00236A41" w:rsidRPr="00031B6A">
        <w:rPr>
          <w:rFonts w:ascii="Traditional Arabic" w:hAnsi="Traditional Arabic"/>
          <w:b/>
          <w:bCs/>
          <w:noProof w:val="0"/>
          <w:rtl/>
          <w:lang w:eastAsia="en-US"/>
        </w:rPr>
        <w:t>الذريعة</w:t>
      </w:r>
      <w:r w:rsidR="00236A41">
        <w:rPr>
          <w:rFonts w:ascii="Traditional Arabic" w:hAnsi="Traditional Arabic" w:hint="cs"/>
          <w:b/>
          <w:bCs/>
          <w:noProof w:val="0"/>
          <w:rtl/>
          <w:lang w:eastAsia="en-US"/>
        </w:rPr>
        <w:t>ُ:</w:t>
      </w:r>
      <w:r>
        <w:rPr>
          <w:rFonts w:ascii="Traditional Arabic" w:hAnsi="Traditional Arabic" w:hint="cs"/>
          <w:b/>
          <w:bCs/>
          <w:noProof w:val="0"/>
          <w:rtl/>
          <w:lang w:eastAsia="en-US"/>
        </w:rPr>
        <w:t xml:space="preserve"> </w:t>
      </w:r>
      <w:r w:rsidR="00236A41" w:rsidRPr="00031B6A">
        <w:rPr>
          <w:rFonts w:ascii="Traditional Arabic" w:hAnsi="Traditional Arabic"/>
          <w:b/>
          <w:bCs/>
          <w:noProof w:val="0"/>
          <w:rtl/>
          <w:lang w:eastAsia="en-US"/>
        </w:rPr>
        <w:t>الفعل</w:t>
      </w:r>
      <w:r w:rsidR="00236A41">
        <w:rPr>
          <w:rFonts w:ascii="Traditional Arabic" w:hAnsi="Traditional Arabic" w:hint="cs"/>
          <w:b/>
          <w:bCs/>
          <w:noProof w:val="0"/>
          <w:rtl/>
          <w:lang w:eastAsia="en-US"/>
        </w:rPr>
        <w:t>ُ</w:t>
      </w:r>
      <w:r w:rsidR="00236A41" w:rsidRPr="00031B6A">
        <w:rPr>
          <w:rFonts w:ascii="Traditional Arabic" w:hAnsi="Traditional Arabic"/>
          <w:b/>
          <w:bCs/>
          <w:noProof w:val="0"/>
          <w:rtl/>
          <w:lang w:eastAsia="en-US"/>
        </w:rPr>
        <w:t xml:space="preserve"> الذي ظاهر</w:t>
      </w:r>
      <w:r w:rsidR="00236A41">
        <w:rPr>
          <w:rFonts w:ascii="Traditional Arabic" w:hAnsi="Traditional Arabic" w:hint="cs"/>
          <w:b/>
          <w:bCs/>
          <w:noProof w:val="0"/>
          <w:rtl/>
          <w:lang w:eastAsia="en-US"/>
        </w:rPr>
        <w:t>ُ</w:t>
      </w:r>
      <w:r w:rsidR="00236A41" w:rsidRPr="00031B6A">
        <w:rPr>
          <w:rFonts w:ascii="Traditional Arabic" w:hAnsi="Traditional Arabic"/>
          <w:b/>
          <w:bCs/>
          <w:noProof w:val="0"/>
          <w:rtl/>
          <w:lang w:eastAsia="en-US"/>
        </w:rPr>
        <w:t>ه أنه مباح وهو وسيلة إلى فعل المحرم</w:t>
      </w:r>
      <w:r w:rsidR="00236A41">
        <w:rPr>
          <w:rFonts w:hint="cs"/>
          <w:rtl/>
        </w:rPr>
        <w:t>)</w:t>
      </w:r>
      <w:r w:rsidR="00236A41" w:rsidRPr="00C821A1">
        <w:rPr>
          <w:rStyle w:val="af1"/>
          <w:szCs w:val="32"/>
          <w:rtl/>
        </w:rPr>
        <w:t>(</w:t>
      </w:r>
      <w:r w:rsidR="00236A41" w:rsidRPr="00C821A1">
        <w:rPr>
          <w:rStyle w:val="af1"/>
          <w:szCs w:val="32"/>
          <w:rtl/>
        </w:rPr>
        <w:footnoteReference w:id="627"/>
      </w:r>
      <w:r w:rsidR="00236A41" w:rsidRPr="00C821A1">
        <w:rPr>
          <w:rStyle w:val="af1"/>
          <w:szCs w:val="32"/>
          <w:rtl/>
        </w:rPr>
        <w:t>)</w:t>
      </w:r>
      <w:r w:rsidR="00236A41">
        <w:rPr>
          <w:rFonts w:hint="cs"/>
          <w:rtl/>
        </w:rPr>
        <w:t>.</w:t>
      </w:r>
    </w:p>
    <w:p w:rsidR="00236A41" w:rsidRDefault="00236A41" w:rsidP="00597C20">
      <w:pPr>
        <w:ind w:firstLine="720"/>
        <w:rPr>
          <w:rtl/>
        </w:rPr>
      </w:pPr>
      <w:r>
        <w:rPr>
          <w:rFonts w:hint="cs"/>
          <w:rtl/>
        </w:rPr>
        <w:t>ومما سبق يتبيَّن أن هذا الإطلاق الثاني هو المراد عند الكلام عن قاعدة "سد الذرائع".</w:t>
      </w:r>
    </w:p>
    <w:p w:rsidR="00065E4B" w:rsidRDefault="00236A41" w:rsidP="00597C20">
      <w:pPr>
        <w:pStyle w:val="53"/>
        <w:rPr>
          <w:rtl/>
        </w:rPr>
      </w:pPr>
      <w:r>
        <w:rPr>
          <w:rFonts w:hint="cs"/>
          <w:rtl/>
        </w:rPr>
        <w:t>معنى القاعدة إجمالا :</w:t>
      </w:r>
    </w:p>
    <w:p w:rsidR="00065E4B" w:rsidRDefault="00065E4B" w:rsidP="00597C20">
      <w:pPr>
        <w:ind w:firstLine="720"/>
        <w:rPr>
          <w:rFonts w:ascii="Traditional Arabic" w:hAnsi="Traditional Arabic"/>
          <w:noProof w:val="0"/>
          <w:rtl/>
          <w:lang w:eastAsia="en-US"/>
        </w:rPr>
      </w:pPr>
      <w:r>
        <w:rPr>
          <w:rFonts w:ascii="Traditional Arabic" w:hAnsi="Traditional Arabic"/>
          <w:noProof w:val="0"/>
          <w:rtl/>
          <w:lang w:eastAsia="en-US"/>
        </w:rPr>
        <w:t>س</w:t>
      </w:r>
      <w:r w:rsidR="00236A41">
        <w:rPr>
          <w:rFonts w:ascii="Traditional Arabic" w:hAnsi="Traditional Arabic"/>
          <w:noProof w:val="0"/>
          <w:rtl/>
          <w:lang w:eastAsia="en-US"/>
        </w:rPr>
        <w:t xml:space="preserve">د الذرائع دليل شرعي، </w:t>
      </w:r>
      <w:r w:rsidR="00236A41" w:rsidRPr="00AE1B8F">
        <w:rPr>
          <w:rFonts w:ascii="Traditional Arabic" w:hAnsi="Traditional Arabic"/>
          <w:noProof w:val="0"/>
          <w:rtl/>
          <w:lang w:eastAsia="en-US"/>
        </w:rPr>
        <w:t>قد جاءت به الشريعة</w:t>
      </w:r>
      <w:r w:rsidR="00236A41" w:rsidRPr="00C821A1">
        <w:rPr>
          <w:rStyle w:val="af1"/>
          <w:szCs w:val="32"/>
          <w:rtl/>
        </w:rPr>
        <w:t>(</w:t>
      </w:r>
      <w:r w:rsidR="00236A41" w:rsidRPr="00C821A1">
        <w:rPr>
          <w:rStyle w:val="af1"/>
          <w:szCs w:val="32"/>
          <w:rtl/>
        </w:rPr>
        <w:footnoteReference w:id="628"/>
      </w:r>
      <w:r w:rsidR="00236A41" w:rsidRPr="00C821A1">
        <w:rPr>
          <w:rStyle w:val="af1"/>
          <w:szCs w:val="32"/>
          <w:rtl/>
        </w:rPr>
        <w:t>)</w:t>
      </w:r>
      <w:r w:rsidR="00236A41">
        <w:rPr>
          <w:rFonts w:ascii="Traditional Arabic" w:hAnsi="Traditional Arabic" w:hint="cs"/>
          <w:noProof w:val="0"/>
          <w:rtl/>
          <w:lang w:eastAsia="en-US"/>
        </w:rPr>
        <w:t>، ويمكن اعتبارُه قاعدةً أصولية فقهية.</w:t>
      </w:r>
    </w:p>
    <w:p w:rsidR="00065E4B" w:rsidRDefault="00065E4B" w:rsidP="00597C20">
      <w:pPr>
        <w:ind w:firstLine="720"/>
        <w:rPr>
          <w:rFonts w:ascii="Traditional Arabic" w:hAnsi="Traditional Arabic"/>
          <w:noProof w:val="0"/>
          <w:rtl/>
          <w:lang w:eastAsia="en-US"/>
        </w:rPr>
      </w:pPr>
      <w:r>
        <w:rPr>
          <w:rFonts w:ascii="Traditional Arabic" w:hAnsi="Traditional Arabic" w:hint="cs"/>
          <w:noProof w:val="0"/>
          <w:rtl/>
          <w:lang w:eastAsia="en-US"/>
        </w:rPr>
        <w:lastRenderedPageBreak/>
        <w:t>و</w:t>
      </w:r>
      <w:r w:rsidR="00236A41">
        <w:rPr>
          <w:rFonts w:ascii="Traditional Arabic" w:hAnsi="Traditional Arabic" w:hint="cs"/>
          <w:noProof w:val="0"/>
          <w:rtl/>
          <w:lang w:eastAsia="en-US"/>
        </w:rPr>
        <w:t>جه كون هذه القاعدة أصوليةً يظهر من جهة كون سد الذرائع من الأدلة الإجمالية المختلَف في الاحتجاج بها عند الأصوليين؛ لهذا أكثر ما يرِد ذِكرُ سد الذرائع في كتب الأصول</w:t>
      </w:r>
      <w:r w:rsidR="00236A41" w:rsidRPr="00C821A1">
        <w:rPr>
          <w:rStyle w:val="af1"/>
          <w:szCs w:val="32"/>
          <w:rtl/>
        </w:rPr>
        <w:t>(</w:t>
      </w:r>
      <w:r w:rsidR="00236A41" w:rsidRPr="00C821A1">
        <w:rPr>
          <w:rStyle w:val="af1"/>
          <w:szCs w:val="32"/>
          <w:rtl/>
        </w:rPr>
        <w:footnoteReference w:id="629"/>
      </w:r>
      <w:r w:rsidR="00236A41" w:rsidRPr="00C821A1">
        <w:rPr>
          <w:rStyle w:val="af1"/>
          <w:szCs w:val="32"/>
          <w:rtl/>
        </w:rPr>
        <w:t>)</w:t>
      </w:r>
      <w:r w:rsidR="00236A41">
        <w:rPr>
          <w:rFonts w:ascii="Traditional Arabic" w:hAnsi="Traditional Arabic" w:hint="cs"/>
          <w:noProof w:val="0"/>
          <w:rtl/>
          <w:lang w:eastAsia="en-US"/>
        </w:rPr>
        <w:t>.</w:t>
      </w:r>
    </w:p>
    <w:p w:rsidR="00065E4B" w:rsidRDefault="00065E4B" w:rsidP="00597C20">
      <w:pPr>
        <w:ind w:firstLine="720"/>
        <w:rPr>
          <w:rFonts w:ascii="Traditional Arabic" w:hAnsi="Traditional Arabic"/>
          <w:noProof w:val="0"/>
          <w:rtl/>
          <w:lang w:eastAsia="en-US"/>
        </w:rPr>
      </w:pPr>
      <w:r>
        <w:rPr>
          <w:rFonts w:ascii="Traditional Arabic" w:hAnsi="Traditional Arabic" w:hint="cs"/>
          <w:noProof w:val="0"/>
          <w:rtl/>
          <w:lang w:eastAsia="en-US"/>
        </w:rPr>
        <w:t>و</w:t>
      </w:r>
      <w:r w:rsidR="00236A41">
        <w:rPr>
          <w:rFonts w:ascii="Traditional Arabic" w:hAnsi="Traditional Arabic" w:hint="cs"/>
          <w:noProof w:val="0"/>
          <w:rtl/>
          <w:lang w:eastAsia="en-US"/>
        </w:rPr>
        <w:t>وجه كون هذا الدليل قاعدة فقهية أنه يتعلق بفعل المكلف من جهة المنع منه إذا كان يفضي إلى محرَّم.والله أعلم</w:t>
      </w:r>
      <w:r w:rsidR="00236A41" w:rsidRPr="00C821A1">
        <w:rPr>
          <w:rStyle w:val="af1"/>
          <w:szCs w:val="32"/>
          <w:rtl/>
        </w:rPr>
        <w:t>(</w:t>
      </w:r>
      <w:r w:rsidR="00236A41" w:rsidRPr="00C821A1">
        <w:rPr>
          <w:rStyle w:val="af1"/>
          <w:szCs w:val="32"/>
          <w:rtl/>
        </w:rPr>
        <w:footnoteReference w:id="630"/>
      </w:r>
      <w:r w:rsidR="00236A41" w:rsidRPr="00C821A1">
        <w:rPr>
          <w:rStyle w:val="af1"/>
          <w:szCs w:val="32"/>
          <w:rtl/>
        </w:rPr>
        <w:t>)</w:t>
      </w:r>
      <w:r w:rsidR="00236A41">
        <w:rPr>
          <w:rFonts w:ascii="Traditional Arabic" w:hAnsi="Traditional Arabic" w:hint="cs"/>
          <w:noProof w:val="0"/>
          <w:rtl/>
          <w:lang w:eastAsia="en-US"/>
        </w:rPr>
        <w:t>.</w:t>
      </w:r>
    </w:p>
    <w:p w:rsidR="00E716C1" w:rsidRDefault="00065E4B" w:rsidP="00597C20">
      <w:pPr>
        <w:ind w:firstLine="720"/>
        <w:rPr>
          <w:rFonts w:ascii="Traditional Arabic" w:hAnsi="Traditional Arabic"/>
          <w:noProof w:val="0"/>
          <w:rtl/>
          <w:lang w:eastAsia="en-US"/>
        </w:rPr>
      </w:pPr>
      <w:r>
        <w:rPr>
          <w:rFonts w:ascii="Traditional Arabic" w:hAnsi="Traditional Arabic" w:hint="cs"/>
          <w:noProof w:val="0"/>
          <w:rtl/>
          <w:lang w:eastAsia="en-US"/>
        </w:rPr>
        <w:t>ف</w:t>
      </w:r>
      <w:r w:rsidR="00236A41">
        <w:rPr>
          <w:rFonts w:ascii="Traditional Arabic" w:hAnsi="Traditional Arabic" w:hint="cs"/>
          <w:noProof w:val="0"/>
          <w:rtl/>
          <w:lang w:eastAsia="en-US"/>
        </w:rPr>
        <w:t>إ</w:t>
      </w:r>
      <w:r w:rsidR="000D2C32">
        <w:rPr>
          <w:rFonts w:ascii="Traditional Arabic" w:hAnsi="Traditional Arabic" w:hint="cs"/>
          <w:noProof w:val="0"/>
          <w:rtl/>
          <w:lang w:eastAsia="en-US"/>
        </w:rPr>
        <w:t>ن</w:t>
      </w:r>
      <w:r w:rsidR="00236A41">
        <w:rPr>
          <w:rFonts w:ascii="Traditional Arabic" w:hAnsi="Traditional Arabic" w:hint="cs"/>
          <w:noProof w:val="0"/>
          <w:rtl/>
          <w:lang w:eastAsia="en-US"/>
        </w:rPr>
        <w:t xml:space="preserve"> قيل: الدليل الْمُثْبِت للحرام مُثبتٌ لِتحريم ما أدَّى إليه، كانت القاعدة أصولية،</w:t>
      </w:r>
    </w:p>
    <w:p w:rsidR="00065E4B" w:rsidRDefault="000D2C32" w:rsidP="00597C20">
      <w:pPr>
        <w:ind w:firstLine="720"/>
        <w:rPr>
          <w:rFonts w:ascii="Traditional Arabic" w:hAnsi="Traditional Arabic"/>
          <w:noProof w:val="0"/>
          <w:rtl/>
          <w:lang w:eastAsia="en-US"/>
        </w:rPr>
      </w:pPr>
      <w:r>
        <w:rPr>
          <w:rFonts w:ascii="Traditional Arabic" w:hAnsi="Traditional Arabic" w:hint="cs"/>
          <w:noProof w:val="0"/>
          <w:rtl/>
          <w:lang w:eastAsia="en-US"/>
        </w:rPr>
        <w:t>وإن</w:t>
      </w:r>
      <w:r w:rsidR="00236A41">
        <w:rPr>
          <w:rFonts w:ascii="Traditional Arabic" w:hAnsi="Traditional Arabic" w:hint="cs"/>
          <w:noProof w:val="0"/>
          <w:rtl/>
          <w:lang w:eastAsia="en-US"/>
        </w:rPr>
        <w:t xml:space="preserve"> قيل: كل مباح أدَّى فِعله إلى حرام فهو حرام، سداً للذريعة، كانت القاعدة فقهية</w:t>
      </w:r>
      <w:r w:rsidR="00236A41" w:rsidRPr="00C821A1">
        <w:rPr>
          <w:rStyle w:val="af1"/>
          <w:szCs w:val="32"/>
          <w:rtl/>
        </w:rPr>
        <w:t>(</w:t>
      </w:r>
      <w:r w:rsidR="00236A41" w:rsidRPr="00C821A1">
        <w:rPr>
          <w:rStyle w:val="af1"/>
          <w:szCs w:val="32"/>
          <w:rtl/>
        </w:rPr>
        <w:footnoteReference w:id="631"/>
      </w:r>
      <w:r w:rsidR="00236A41" w:rsidRPr="00C821A1">
        <w:rPr>
          <w:rStyle w:val="af1"/>
          <w:szCs w:val="32"/>
          <w:rtl/>
        </w:rPr>
        <w:t>)</w:t>
      </w:r>
      <w:r w:rsidR="00236A41">
        <w:rPr>
          <w:rFonts w:ascii="Traditional Arabic" w:hAnsi="Traditional Arabic" w:hint="cs"/>
          <w:noProof w:val="0"/>
          <w:rtl/>
          <w:lang w:eastAsia="en-US"/>
        </w:rPr>
        <w:t>.</w:t>
      </w:r>
    </w:p>
    <w:p w:rsidR="00236A41" w:rsidRDefault="00065E4B" w:rsidP="00597C20">
      <w:pPr>
        <w:ind w:firstLine="720"/>
        <w:rPr>
          <w:color w:val="auto"/>
          <w:rtl/>
        </w:rPr>
      </w:pPr>
      <w:r>
        <w:rPr>
          <w:rFonts w:ascii="Traditional Arabic" w:hAnsi="Traditional Arabic" w:hint="cs"/>
          <w:b/>
          <w:bCs/>
          <w:noProof w:val="0"/>
          <w:rtl/>
          <w:lang w:eastAsia="en-US"/>
        </w:rPr>
        <w:t>و</w:t>
      </w:r>
      <w:r w:rsidR="00236A41">
        <w:rPr>
          <w:rFonts w:ascii="Traditional Arabic" w:hAnsi="Traditional Arabic" w:hint="cs"/>
          <w:b/>
          <w:bCs/>
          <w:noProof w:val="0"/>
          <w:rtl/>
          <w:lang w:eastAsia="en-US"/>
        </w:rPr>
        <w:t>معنى القاعدة</w:t>
      </w:r>
      <w:r w:rsidR="00D514D2">
        <w:rPr>
          <w:rFonts w:ascii="Traditional Arabic" w:hAnsi="Traditional Arabic" w:hint="cs"/>
          <w:b/>
          <w:bCs/>
          <w:noProof w:val="0"/>
          <w:rtl/>
          <w:lang w:eastAsia="en-US"/>
        </w:rPr>
        <w:t xml:space="preserve"> </w:t>
      </w:r>
      <w:r w:rsidR="00236A41" w:rsidRPr="00CD1F87">
        <w:rPr>
          <w:rFonts w:ascii="Traditional Arabic" w:hAnsi="Traditional Arabic"/>
          <w:b/>
          <w:bCs/>
          <w:noProof w:val="0"/>
          <w:color w:val="auto"/>
          <w:rtl/>
          <w:lang w:eastAsia="en-US"/>
        </w:rPr>
        <w:t xml:space="preserve">أن كل </w:t>
      </w:r>
      <w:r w:rsidR="00236A41" w:rsidRPr="00CD1F87">
        <w:rPr>
          <w:rFonts w:ascii="Traditional Arabic" w:hAnsi="Traditional Arabic" w:hint="cs"/>
          <w:b/>
          <w:bCs/>
          <w:noProof w:val="0"/>
          <w:color w:val="auto"/>
          <w:rtl/>
          <w:lang w:eastAsia="en-US"/>
        </w:rPr>
        <w:t>وسيل</w:t>
      </w:r>
      <w:r w:rsidR="00236A41" w:rsidRPr="00CD1F87">
        <w:rPr>
          <w:rFonts w:ascii="Traditional Arabic" w:hAnsi="Traditional Arabic"/>
          <w:b/>
          <w:bCs/>
          <w:noProof w:val="0"/>
          <w:color w:val="auto"/>
          <w:rtl/>
          <w:lang w:eastAsia="en-US"/>
        </w:rPr>
        <w:t>ة ت</w:t>
      </w:r>
      <w:r w:rsidR="00236A41" w:rsidRPr="00CD1F87">
        <w:rPr>
          <w:rFonts w:ascii="Traditional Arabic" w:hAnsi="Traditional Arabic" w:hint="cs"/>
          <w:b/>
          <w:bCs/>
          <w:noProof w:val="0"/>
          <w:color w:val="auto"/>
          <w:rtl/>
          <w:lang w:eastAsia="en-US"/>
        </w:rPr>
        <w:t>ُفْضي</w:t>
      </w:r>
      <w:r w:rsidR="00236A41" w:rsidRPr="00CD1F87">
        <w:rPr>
          <w:rFonts w:ascii="Traditional Arabic" w:hAnsi="Traditional Arabic"/>
          <w:b/>
          <w:bCs/>
          <w:noProof w:val="0"/>
          <w:color w:val="auto"/>
          <w:rtl/>
          <w:lang w:eastAsia="en-US"/>
        </w:rPr>
        <w:t xml:space="preserve"> إلى محر</w:t>
      </w:r>
      <w:r w:rsidR="00236A41" w:rsidRPr="00CD1F87">
        <w:rPr>
          <w:rFonts w:ascii="Traditional Arabic" w:hAnsi="Traditional Arabic" w:hint="cs"/>
          <w:b/>
          <w:bCs/>
          <w:noProof w:val="0"/>
          <w:color w:val="auto"/>
          <w:rtl/>
          <w:lang w:eastAsia="en-US"/>
        </w:rPr>
        <w:t>َّ</w:t>
      </w:r>
      <w:r w:rsidR="00236A41" w:rsidRPr="00CD1F87">
        <w:rPr>
          <w:rFonts w:ascii="Traditional Arabic" w:hAnsi="Traditional Arabic"/>
          <w:b/>
          <w:bCs/>
          <w:noProof w:val="0"/>
          <w:color w:val="auto"/>
          <w:rtl/>
          <w:lang w:eastAsia="en-US"/>
        </w:rPr>
        <w:t>م يجب أن ت</w:t>
      </w:r>
      <w:r w:rsidR="00236A41" w:rsidRPr="00CD1F87">
        <w:rPr>
          <w:rFonts w:ascii="Traditional Arabic" w:hAnsi="Traditional Arabic" w:hint="cs"/>
          <w:b/>
          <w:bCs/>
          <w:noProof w:val="0"/>
          <w:color w:val="auto"/>
          <w:rtl/>
          <w:lang w:eastAsia="en-US"/>
        </w:rPr>
        <w:t>ُمْنَع</w:t>
      </w:r>
      <w:r w:rsidR="00C04C42">
        <w:rPr>
          <w:rFonts w:ascii="Traditional Arabic" w:hAnsi="Traditional Arabic" w:hint="cs"/>
          <w:b/>
          <w:bCs/>
          <w:noProof w:val="0"/>
          <w:color w:val="auto"/>
          <w:rtl/>
          <w:lang w:eastAsia="en-US"/>
        </w:rPr>
        <w:t xml:space="preserve"> </w:t>
      </w:r>
      <w:r w:rsidR="00236A41" w:rsidRPr="00CD1F87">
        <w:rPr>
          <w:rFonts w:ascii="Traditional Arabic" w:hAnsi="Traditional Arabic" w:hint="cs"/>
          <w:b/>
          <w:bCs/>
          <w:noProof w:val="0"/>
          <w:color w:val="auto"/>
          <w:rtl/>
          <w:lang w:eastAsia="en-US"/>
        </w:rPr>
        <w:t>اجتناباً للوقوع</w:t>
      </w:r>
      <w:r w:rsidR="00236A41" w:rsidRPr="00CD1F87">
        <w:rPr>
          <w:rFonts w:ascii="Traditional Arabic" w:hAnsi="Traditional Arabic"/>
          <w:b/>
          <w:bCs/>
          <w:noProof w:val="0"/>
          <w:color w:val="auto"/>
          <w:rtl/>
          <w:lang w:eastAsia="en-US"/>
        </w:rPr>
        <w:t xml:space="preserve"> في المحرّم</w:t>
      </w:r>
      <w:r w:rsidR="00236A41" w:rsidRPr="00CD1F87">
        <w:rPr>
          <w:rFonts w:ascii="Traditional Arabic" w:hAnsi="Traditional Arabic" w:hint="cs"/>
          <w:b/>
          <w:bCs/>
          <w:noProof w:val="0"/>
          <w:color w:val="auto"/>
          <w:rtl/>
          <w:lang w:eastAsia="en-US"/>
        </w:rPr>
        <w:t>، وكلما كانت المعصية أكبر أو كان الداعي إليها في النفوس أشدَّ كانت وسائلُها أشدَّ مَنْعاً</w:t>
      </w:r>
      <w:r w:rsidR="00236A41">
        <w:rPr>
          <w:rFonts w:ascii="Traditional Arabic" w:hAnsi="Traditional Arabic" w:hint="cs"/>
          <w:noProof w:val="0"/>
          <w:color w:val="auto"/>
          <w:rtl/>
          <w:lang w:eastAsia="en-US"/>
        </w:rPr>
        <w:t xml:space="preserve">؛ </w:t>
      </w:r>
      <w:r w:rsidR="00236A41" w:rsidRPr="008B677B">
        <w:rPr>
          <w:rFonts w:ascii="Traditional Arabic" w:hAnsi="Traditional Arabic"/>
          <w:noProof w:val="0"/>
          <w:color w:val="auto"/>
          <w:rtl/>
          <w:lang w:eastAsia="en-US"/>
        </w:rPr>
        <w:t>ولهذا تجد أن باب الشرك ح</w:t>
      </w:r>
      <w:r w:rsidR="00236A41">
        <w:rPr>
          <w:rFonts w:ascii="Traditional Arabic" w:hAnsi="Traditional Arabic" w:hint="cs"/>
          <w:noProof w:val="0"/>
          <w:color w:val="auto"/>
          <w:rtl/>
          <w:lang w:eastAsia="en-US"/>
        </w:rPr>
        <w:t>ُمي في الشريعة الإسلامية</w:t>
      </w:r>
      <w:r w:rsidR="00236A41" w:rsidRPr="008B677B">
        <w:rPr>
          <w:rFonts w:ascii="Traditional Arabic" w:hAnsi="Traditional Arabic"/>
          <w:noProof w:val="0"/>
          <w:color w:val="auto"/>
          <w:rtl/>
          <w:lang w:eastAsia="en-US"/>
        </w:rPr>
        <w:t xml:space="preserve"> ح</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ماية</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 xml:space="preserve"> بالغة حتى س</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د</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 xml:space="preserve"> كل طريق يمكن أن يكون ذريعة</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 xml:space="preserve"> إليه; لأنه أعظم الذنوب، وأيضا باب الزنا ح</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مي حماية</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 xml:space="preserve"> عظيمة، حتى م</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نعت المرأة من التبر</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ج وك</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ش</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ف الوجه وخ</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ل</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و</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تها بالرجل بلا م</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ح</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ر</w:t>
      </w:r>
      <w:r w:rsidR="00236A41">
        <w:rPr>
          <w:rFonts w:ascii="Traditional Arabic" w:hAnsi="Traditional Arabic" w:hint="cs"/>
          <w:noProof w:val="0"/>
          <w:color w:val="auto"/>
          <w:rtl/>
          <w:lang w:eastAsia="en-US"/>
        </w:rPr>
        <w:t>َ</w:t>
      </w:r>
      <w:r w:rsidR="00236A41">
        <w:rPr>
          <w:rFonts w:ascii="Traditional Arabic" w:hAnsi="Traditional Arabic"/>
          <w:noProof w:val="0"/>
          <w:color w:val="auto"/>
          <w:rtl/>
          <w:lang w:eastAsia="en-US"/>
        </w:rPr>
        <w:t>م</w:t>
      </w:r>
      <w:r w:rsidR="00236A41" w:rsidRPr="008B677B">
        <w:rPr>
          <w:rFonts w:ascii="Traditional Arabic" w:hAnsi="Traditional Arabic"/>
          <w:noProof w:val="0"/>
          <w:color w:val="auto"/>
          <w:rtl/>
          <w:lang w:eastAsia="en-US"/>
        </w:rPr>
        <w:t>; لئلا يكون ذلك ذريعة</w:t>
      </w:r>
      <w:r w:rsidR="00236A41">
        <w:rPr>
          <w:rFonts w:ascii="Traditional Arabic" w:hAnsi="Traditional Arabic" w:hint="cs"/>
          <w:noProof w:val="0"/>
          <w:color w:val="auto"/>
          <w:rtl/>
          <w:lang w:eastAsia="en-US"/>
        </w:rPr>
        <w:t>ً</w:t>
      </w:r>
      <w:r w:rsidR="000D2C32">
        <w:rPr>
          <w:rFonts w:ascii="Traditional Arabic" w:hAnsi="Traditional Arabic"/>
          <w:noProof w:val="0"/>
          <w:color w:val="auto"/>
          <w:rtl/>
          <w:lang w:eastAsia="en-US"/>
        </w:rPr>
        <w:t xml:space="preserve"> إلى الزنا</w:t>
      </w:r>
      <w:r w:rsidR="00236A41" w:rsidRPr="008B677B">
        <w:rPr>
          <w:rFonts w:ascii="Traditional Arabic" w:hAnsi="Traditional Arabic"/>
          <w:noProof w:val="0"/>
          <w:color w:val="auto"/>
          <w:rtl/>
          <w:lang w:eastAsia="en-US"/>
        </w:rPr>
        <w:t xml:space="preserve">، وفي باب </w:t>
      </w:r>
      <w:r w:rsidR="00236A41">
        <w:rPr>
          <w:rFonts w:ascii="Traditional Arabic" w:hAnsi="Traditional Arabic"/>
          <w:noProof w:val="0"/>
          <w:color w:val="auto"/>
          <w:rtl/>
          <w:lang w:eastAsia="en-US"/>
        </w:rPr>
        <w:t>الربا أيضا ح</w:t>
      </w:r>
      <w:r w:rsidR="00236A41">
        <w:rPr>
          <w:rFonts w:ascii="Traditional Arabic" w:hAnsi="Traditional Arabic" w:hint="cs"/>
          <w:noProof w:val="0"/>
          <w:color w:val="auto"/>
          <w:rtl/>
          <w:lang w:eastAsia="en-US"/>
        </w:rPr>
        <w:t>ُ</w:t>
      </w:r>
      <w:r w:rsidR="00236A41">
        <w:rPr>
          <w:rFonts w:ascii="Traditional Arabic" w:hAnsi="Traditional Arabic"/>
          <w:noProof w:val="0"/>
          <w:color w:val="auto"/>
          <w:rtl/>
          <w:lang w:eastAsia="en-US"/>
        </w:rPr>
        <w:t xml:space="preserve">مي الربا </w:t>
      </w:r>
      <w:r w:rsidR="00236A41">
        <w:rPr>
          <w:rFonts w:ascii="Traditional Arabic" w:hAnsi="Traditional Arabic" w:hint="cs"/>
          <w:noProof w:val="0"/>
          <w:color w:val="auto"/>
          <w:rtl/>
          <w:lang w:eastAsia="en-US"/>
        </w:rPr>
        <w:t>حم</w:t>
      </w:r>
      <w:r w:rsidR="00236A41" w:rsidRPr="008B677B">
        <w:rPr>
          <w:rFonts w:ascii="Traditional Arabic" w:hAnsi="Traditional Arabic"/>
          <w:noProof w:val="0"/>
          <w:color w:val="auto"/>
          <w:rtl/>
          <w:lang w:eastAsia="en-US"/>
        </w:rPr>
        <w:t>اية</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 xml:space="preserve"> عظيمة، حتى إن الرجل ل</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ي</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عطي الرجل</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 xml:space="preserve"> صاعا</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 xml:space="preserve"> طي</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با</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 xml:space="preserve"> من الب</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ر بصاعين قيمت</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هما واحدة، ويكون ذلك ربا محر</w:t>
      </w:r>
      <w:r w:rsidR="00236A41">
        <w:rPr>
          <w:rFonts w:ascii="Traditional Arabic" w:hAnsi="Traditional Arabic" w:hint="cs"/>
          <w:noProof w:val="0"/>
          <w:color w:val="auto"/>
          <w:rtl/>
          <w:lang w:eastAsia="en-US"/>
        </w:rPr>
        <w:t>َّ</w:t>
      </w:r>
      <w:r w:rsidR="00236A41" w:rsidRPr="008B677B">
        <w:rPr>
          <w:rFonts w:ascii="Traditional Arabic" w:hAnsi="Traditional Arabic"/>
          <w:noProof w:val="0"/>
          <w:color w:val="auto"/>
          <w:rtl/>
          <w:lang w:eastAsia="en-US"/>
        </w:rPr>
        <w:t>ما، مع أنه ليس فيه ظلم</w:t>
      </w:r>
      <w:r w:rsidR="00236A41">
        <w:rPr>
          <w:rFonts w:ascii="Traditional Arabic" w:hAnsi="Traditional Arabic" w:hint="cs"/>
          <w:noProof w:val="0"/>
          <w:color w:val="auto"/>
          <w:rtl/>
          <w:lang w:eastAsia="en-US"/>
        </w:rPr>
        <w:t xml:space="preserve">؛ </w:t>
      </w:r>
      <w:r w:rsidR="00236A41">
        <w:rPr>
          <w:rFonts w:ascii="Traditional Arabic" w:hAnsi="Traditional Arabic" w:hint="cs"/>
          <w:noProof w:val="0"/>
          <w:rtl/>
          <w:lang w:eastAsia="en-US"/>
        </w:rPr>
        <w:t xml:space="preserve">وذلك </w:t>
      </w:r>
      <w:r w:rsidR="00236A41" w:rsidRPr="008B677B">
        <w:rPr>
          <w:rFonts w:ascii="Traditional Arabic" w:hAnsi="Traditional Arabic"/>
          <w:noProof w:val="0"/>
          <w:rtl/>
          <w:lang w:eastAsia="en-US"/>
        </w:rPr>
        <w:t>لأن النفوس م</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ج</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بولة</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 xml:space="preserve"> على ح</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ب</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 xml:space="preserve"> المال</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 xml:space="preserve"> فهي تتحي</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ل عليه بكل</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 xml:space="preserve"> وسيلة</w:t>
      </w:r>
      <w:r w:rsidR="00236A41">
        <w:rPr>
          <w:rFonts w:ascii="Traditional Arabic" w:hAnsi="Traditional Arabic" w:hint="cs"/>
          <w:noProof w:val="0"/>
          <w:rtl/>
          <w:lang w:eastAsia="en-US"/>
        </w:rPr>
        <w:t xml:space="preserve">؛ولهذا </w:t>
      </w:r>
      <w:r w:rsidR="00236A41" w:rsidRPr="008B677B">
        <w:rPr>
          <w:rFonts w:ascii="Traditional Arabic" w:hAnsi="Traditional Arabic"/>
          <w:noProof w:val="0"/>
          <w:rtl/>
          <w:lang w:eastAsia="en-US"/>
        </w:rPr>
        <w:t>سد</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ت الشريعة كل باب</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 xml:space="preserve"> يمكن أن يوص</w:t>
      </w:r>
      <w:r w:rsidR="00236A41">
        <w:rPr>
          <w:rFonts w:ascii="Traditional Arabic" w:hAnsi="Traditional Arabic" w:hint="cs"/>
          <w:noProof w:val="0"/>
          <w:rtl/>
          <w:lang w:eastAsia="en-US"/>
        </w:rPr>
        <w:t>ِ</w:t>
      </w:r>
      <w:r w:rsidR="00236A41" w:rsidRPr="008B677B">
        <w:rPr>
          <w:rFonts w:ascii="Traditional Arabic" w:hAnsi="Traditional Arabic"/>
          <w:noProof w:val="0"/>
          <w:rtl/>
          <w:lang w:eastAsia="en-US"/>
        </w:rPr>
        <w:t>ل إلى الربا</w:t>
      </w:r>
      <w:r w:rsidR="00236A41" w:rsidRPr="00C821A1">
        <w:rPr>
          <w:rStyle w:val="af1"/>
          <w:szCs w:val="32"/>
          <w:rtl/>
        </w:rPr>
        <w:t>(</w:t>
      </w:r>
      <w:r w:rsidR="00236A41" w:rsidRPr="00C821A1">
        <w:rPr>
          <w:rStyle w:val="af1"/>
          <w:szCs w:val="32"/>
          <w:rtl/>
        </w:rPr>
        <w:footnoteReference w:id="632"/>
      </w:r>
      <w:r w:rsidR="00236A41" w:rsidRPr="00C821A1">
        <w:rPr>
          <w:rStyle w:val="af1"/>
          <w:szCs w:val="32"/>
          <w:rtl/>
        </w:rPr>
        <w:t>)</w:t>
      </w:r>
      <w:r w:rsidR="00236A41" w:rsidRPr="008B677B">
        <w:rPr>
          <w:rFonts w:hint="cs"/>
          <w:color w:val="auto"/>
          <w:rtl/>
        </w:rPr>
        <w:t>.</w:t>
      </w:r>
    </w:p>
    <w:p w:rsidR="00236A41" w:rsidRPr="00236A41" w:rsidRDefault="007A5DE8" w:rsidP="00A8347C">
      <w:pPr>
        <w:pStyle w:val="aff3"/>
        <w:rPr>
          <w:rtl/>
        </w:rPr>
      </w:pPr>
      <w:bookmarkStart w:id="125" w:name="_Toc334046375"/>
      <w:r>
        <w:rPr>
          <w:rFonts w:hint="cs"/>
          <w:rtl/>
        </w:rPr>
        <w:lastRenderedPageBreak/>
        <w:t xml:space="preserve">                      </w:t>
      </w:r>
      <w:r w:rsidR="006F4B08">
        <w:rPr>
          <w:rFonts w:hint="cs"/>
          <w:rtl/>
        </w:rPr>
        <w:t xml:space="preserve">                  </w:t>
      </w:r>
      <w:r>
        <w:rPr>
          <w:rFonts w:hint="cs"/>
          <w:rtl/>
        </w:rPr>
        <w:t xml:space="preserve"> </w:t>
      </w:r>
      <w:r w:rsidR="00236A41" w:rsidRPr="00236A41">
        <w:rPr>
          <w:rtl/>
        </w:rPr>
        <w:t>المطلب الثالث</w:t>
      </w:r>
      <w:r w:rsidR="00236A41">
        <w:rPr>
          <w:rFonts w:hint="cs"/>
          <w:rtl/>
        </w:rPr>
        <w:t> :</w:t>
      </w:r>
      <w:r w:rsidR="00236A41">
        <w:rPr>
          <w:rFonts w:hint="cs"/>
          <w:rtl/>
        </w:rPr>
        <w:br/>
      </w:r>
      <w:r>
        <w:rPr>
          <w:rFonts w:hint="cs"/>
          <w:rtl/>
        </w:rPr>
        <w:t xml:space="preserve">                      </w:t>
      </w:r>
      <w:r w:rsidR="006F4B08">
        <w:rPr>
          <w:rFonts w:hint="cs"/>
          <w:rtl/>
        </w:rPr>
        <w:t xml:space="preserve">                     </w:t>
      </w:r>
      <w:r w:rsidR="00236A41" w:rsidRPr="00236A41">
        <w:rPr>
          <w:rFonts w:hint="cs"/>
          <w:rtl/>
        </w:rPr>
        <w:t>أدلة القاعدة</w:t>
      </w:r>
      <w:bookmarkEnd w:id="125"/>
    </w:p>
    <w:p w:rsidR="00236A41" w:rsidRPr="00CD1F87" w:rsidRDefault="00C50EB9" w:rsidP="000A76C7">
      <w:pPr>
        <w:pStyle w:val="afc"/>
        <w:numPr>
          <w:ilvl w:val="0"/>
          <w:numId w:val="102"/>
        </w:numPr>
        <w:rPr>
          <w:color w:val="auto"/>
        </w:rPr>
      </w:pPr>
      <w:r>
        <w:rPr>
          <w:rFonts w:hint="cs"/>
          <w:color w:val="auto"/>
          <w:rtl/>
        </w:rPr>
        <w:t xml:space="preserve">قوله </w:t>
      </w:r>
      <w:r w:rsidR="00236A41">
        <w:rPr>
          <w:rFonts w:hint="cs"/>
          <w:color w:val="auto"/>
          <w:rtl/>
        </w:rPr>
        <w:t>تعالى:</w:t>
      </w:r>
      <w:bookmarkStart w:id="126" w:name="سورة_الأنعام_108_3"/>
      <w:r w:rsidR="00236A41" w:rsidRPr="00CD1F87">
        <w:rPr>
          <w:rFonts w:ascii="QCF_BSML" w:hAnsi="QCF_BSML" w:cs="QCF_BSML"/>
          <w:noProof w:val="0"/>
          <w:rtl/>
          <w:lang w:eastAsia="en-US"/>
        </w:rPr>
        <w:t>ﭽ</w:t>
      </w:r>
      <w:r w:rsidR="00236A41" w:rsidRPr="00CD1F87">
        <w:rPr>
          <w:rFonts w:ascii="QCF_P141" w:hAnsi="QCF_P141" w:cs="QCF_P141"/>
          <w:noProof w:val="0"/>
          <w:rtl/>
          <w:lang w:eastAsia="en-US"/>
        </w:rPr>
        <w:t>ﮬ</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ﮭ</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ﮮ</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ﮯ</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ﮰ</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ﮱ</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ﯓ</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ﯔ</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ﯕ</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ﯖ</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ﯗ</w:t>
      </w:r>
      <w:r w:rsidR="007A5DE8">
        <w:rPr>
          <w:rFonts w:ascii="QCF_P141" w:hAnsi="QCF_P141" w:cs="QCF_P141" w:hint="cs"/>
          <w:noProof w:val="0"/>
          <w:rtl/>
          <w:lang w:eastAsia="en-US"/>
        </w:rPr>
        <w:t xml:space="preserve"> </w:t>
      </w:r>
      <w:r w:rsidR="00236A41" w:rsidRPr="00CD1F87">
        <w:rPr>
          <w:rFonts w:ascii="QCF_P141" w:hAnsi="QCF_P141" w:cs="QCF_P141"/>
          <w:noProof w:val="0"/>
          <w:rtl/>
          <w:lang w:eastAsia="en-US"/>
        </w:rPr>
        <w:t>ﯘ</w:t>
      </w:r>
      <w:r w:rsidR="00236A41" w:rsidRPr="00CD1F87">
        <w:rPr>
          <w:rFonts w:ascii="QCF_BSML" w:hAnsi="QCF_BSML" w:cs="QCF_BSML"/>
          <w:noProof w:val="0"/>
          <w:rtl/>
          <w:lang w:eastAsia="en-US"/>
        </w:rPr>
        <w:t>ﭼ</w:t>
      </w:r>
      <w:bookmarkEnd w:id="126"/>
      <w:r w:rsidR="00236A41">
        <w:rPr>
          <w:rFonts w:ascii="Traditional Arabic" w:hAnsi="Traditional Arabic" w:hint="cs"/>
          <w:noProof w:val="0"/>
          <w:color w:val="auto"/>
          <w:rtl/>
          <w:lang w:eastAsia="en-US"/>
        </w:rPr>
        <w:t>[</w:t>
      </w:r>
      <w:r w:rsidR="00236A41" w:rsidRPr="00CD1F87">
        <w:rPr>
          <w:rFonts w:ascii="Traditional Arabic" w:hAnsi="Traditional Arabic"/>
          <w:noProof w:val="0"/>
          <w:color w:val="auto"/>
          <w:rtl/>
          <w:lang w:eastAsia="en-US"/>
        </w:rPr>
        <w:t>الأنعام: ١٠٨</w:t>
      </w:r>
      <w:r w:rsidR="00236A41">
        <w:rPr>
          <w:rFonts w:ascii="Traditional Arabic" w:hAnsi="Traditional Arabic" w:hint="cs"/>
          <w:noProof w:val="0"/>
          <w:color w:val="auto"/>
          <w:rtl/>
          <w:lang w:eastAsia="en-US"/>
        </w:rPr>
        <w:t>].</w:t>
      </w:r>
    </w:p>
    <w:p w:rsidR="00236A41" w:rsidRDefault="00236A41" w:rsidP="00597C20">
      <w:pPr>
        <w:pStyle w:val="53"/>
        <w:rPr>
          <w:rtl/>
        </w:rPr>
      </w:pPr>
      <w:r>
        <w:rPr>
          <w:rFonts w:hint="cs"/>
          <w:rtl/>
        </w:rPr>
        <w:t>وجه الدلالة:</w:t>
      </w:r>
    </w:p>
    <w:p w:rsidR="00236A41" w:rsidRPr="00E716C1" w:rsidRDefault="00236A41" w:rsidP="00597C20">
      <w:pPr>
        <w:ind w:firstLine="630"/>
        <w:rPr>
          <w:rFonts w:ascii="Traditional Arabic" w:hAnsi="Traditional Arabic"/>
          <w:noProof w:val="0"/>
          <w:color w:val="auto"/>
          <w:rtl/>
          <w:lang w:eastAsia="en-US"/>
        </w:rPr>
      </w:pPr>
      <w:r w:rsidRPr="00E716C1">
        <w:rPr>
          <w:rFonts w:ascii="Traditional Arabic" w:hAnsi="Traditional Arabic" w:hint="cs"/>
          <w:noProof w:val="0"/>
          <w:color w:val="auto"/>
          <w:rtl/>
          <w:lang w:eastAsia="en-US"/>
        </w:rPr>
        <w:t xml:space="preserve">نهى الله تعالى عن سَبِّ آلهةِ المشركين -مع أنه سبٌّ بحقٍّ وسبُّ الله تعالى عَدْوٌ بغير علم-وذلك لأن </w:t>
      </w:r>
      <w:r w:rsidRPr="00E716C1">
        <w:rPr>
          <w:rFonts w:ascii="Traditional Arabic" w:hAnsi="Traditional Arabic" w:hint="cs"/>
          <w:b/>
          <w:bCs/>
          <w:noProof w:val="0"/>
          <w:color w:val="auto"/>
          <w:rtl/>
          <w:lang w:eastAsia="en-US"/>
        </w:rPr>
        <w:t>سب آلهة المشركين ذريعةٌ إلى سب الله تعالى، وهذا كالتنبيه بل كالتصريح على المنع من الجائز لئلا يكون سبباً في فعل ما لا يجوز،وهذا يدل على أن سد الذرائع مُعتبَرٌ شرعاً</w:t>
      </w:r>
      <w:r w:rsidRPr="00C821A1">
        <w:rPr>
          <w:rStyle w:val="af1"/>
          <w:szCs w:val="32"/>
          <w:rtl/>
        </w:rPr>
        <w:t>(</w:t>
      </w:r>
      <w:r w:rsidRPr="00C821A1">
        <w:rPr>
          <w:rStyle w:val="af1"/>
          <w:szCs w:val="32"/>
          <w:rtl/>
        </w:rPr>
        <w:footnoteReference w:id="633"/>
      </w:r>
      <w:r w:rsidRPr="00C821A1">
        <w:rPr>
          <w:rStyle w:val="af1"/>
          <w:szCs w:val="32"/>
          <w:rtl/>
        </w:rPr>
        <w:t>)</w:t>
      </w:r>
      <w:r w:rsidRPr="00E716C1">
        <w:rPr>
          <w:rFonts w:ascii="Traditional Arabic" w:hAnsi="Traditional Arabic" w:hint="cs"/>
          <w:noProof w:val="0"/>
          <w:color w:val="auto"/>
          <w:rtl/>
          <w:lang w:eastAsia="en-US"/>
        </w:rPr>
        <w:t>.</w:t>
      </w:r>
    </w:p>
    <w:p w:rsidR="00236A41" w:rsidRDefault="00236A41" w:rsidP="000A76C7">
      <w:pPr>
        <w:pStyle w:val="afc"/>
        <w:numPr>
          <w:ilvl w:val="0"/>
          <w:numId w:val="102"/>
        </w:numPr>
        <w:rPr>
          <w:rFonts w:ascii="Traditional Arabic" w:hAnsi="Traditional Arabic"/>
          <w:color w:val="auto"/>
        </w:rPr>
      </w:pPr>
      <w:r>
        <w:rPr>
          <w:rFonts w:ascii="Traditional Arabic" w:hAnsi="Traditional Arabic" w:hint="cs"/>
          <w:color w:val="auto"/>
          <w:rtl/>
        </w:rPr>
        <w:t>عن</w:t>
      </w:r>
      <w:r w:rsidRPr="00093827">
        <w:rPr>
          <w:rFonts w:ascii="Traditional Arabic" w:hAnsi="Traditional Arabic" w:hint="cs"/>
          <w:color w:val="auto"/>
          <w:rtl/>
        </w:rPr>
        <w:t xml:space="preserve"> جابر بن عبد الله </w:t>
      </w:r>
      <w:r w:rsidR="006F4B08">
        <w:rPr>
          <w:rFonts w:ascii="Traditional Arabic" w:hAnsi="Traditional Arabic" w:hint="cs"/>
          <w:color w:val="auto"/>
          <w:rtl/>
        </w:rPr>
        <w:t>_</w:t>
      </w:r>
      <w:r w:rsidR="00154102">
        <w:rPr>
          <w:rFonts w:ascii="Traditional Arabic" w:hAnsi="Traditional Arabic" w:cs="CTraditional Arabic" w:hint="cs"/>
          <w:noProof w:val="0"/>
          <w:color w:val="auto"/>
          <w:rtl/>
          <w:lang w:eastAsia="en-US"/>
        </w:rPr>
        <w:t>ب</w:t>
      </w:r>
      <w:r w:rsidR="006F4B08">
        <w:rPr>
          <w:rFonts w:ascii="Traditional Arabic" w:hAnsi="Traditional Arabic" w:hint="cs"/>
          <w:color w:val="auto"/>
          <w:rtl/>
        </w:rPr>
        <w:t>_</w:t>
      </w:r>
      <w:r w:rsidRPr="00093827">
        <w:rPr>
          <w:rFonts w:ascii="Traditional Arabic" w:hAnsi="Traditional Arabic" w:hint="cs"/>
          <w:color w:val="auto"/>
          <w:rtl/>
        </w:rPr>
        <w:t xml:space="preserve"> قال:"نهى رسول الله </w:t>
      </w:r>
      <w:r w:rsidR="00F350DE">
        <w:rPr>
          <w:rFonts w:ascii="Traditional Arabic" w:hAnsi="Traditional Arabic"/>
          <w:noProof w:val="0"/>
          <w:color w:val="auto"/>
          <w:rtl/>
          <w:lang w:eastAsia="en-US"/>
        </w:rPr>
        <w:sym w:font="AGA Arabesque" w:char="F072"/>
      </w:r>
      <w:r w:rsidRPr="00093827">
        <w:rPr>
          <w:rFonts w:ascii="Traditional Arabic" w:hAnsi="Traditional Arabic" w:hint="cs"/>
          <w:color w:val="auto"/>
          <w:rtl/>
        </w:rPr>
        <w:t xml:space="preserve"> أن يُجَصَّص</w:t>
      </w:r>
      <w:r w:rsidR="007A5DE8">
        <w:rPr>
          <w:rFonts w:ascii="Traditional Arabic" w:hAnsi="Traditional Arabic" w:hint="cs"/>
          <w:color w:val="auto"/>
          <w:rtl/>
        </w:rPr>
        <w:t xml:space="preserve"> </w:t>
      </w:r>
      <w:r>
        <w:rPr>
          <w:rFonts w:ascii="Traditional Arabic" w:hAnsi="Traditional Arabic" w:hint="cs"/>
          <w:color w:val="auto"/>
          <w:rtl/>
        </w:rPr>
        <w:t>القبرُ،</w:t>
      </w:r>
      <w:r w:rsidR="00AB0B9E">
        <w:rPr>
          <w:rFonts w:ascii="Traditional Arabic" w:hAnsi="Traditional Arabic"/>
          <w:color w:val="auto"/>
          <w:rtl/>
        </w:rPr>
        <w:fldChar w:fldCharType="begin"/>
      </w:r>
      <w:r w:rsidR="00CA2D76" w:rsidRPr="00C85F0F">
        <w:instrText>XE</w:instrText>
      </w:r>
      <w:r w:rsidR="00CA2D76" w:rsidRPr="00C85F0F">
        <w:rPr>
          <w:rtl/>
        </w:rPr>
        <w:instrText xml:space="preserve"> "</w:instrText>
      </w:r>
      <w:r w:rsidR="00CA2D76" w:rsidRPr="00C85F0F">
        <w:rPr>
          <w:rFonts w:ascii="Traditional Arabic" w:hAnsi="Traditional Arabic" w:hint="cs"/>
          <w:color w:val="auto"/>
          <w:rtl/>
        </w:rPr>
        <w:instrText xml:space="preserve">نهى رسول الله </w:instrText>
      </w:r>
      <w:r w:rsidR="00CA2D76" w:rsidRPr="00C85F0F">
        <w:rPr>
          <w:rFonts w:ascii="Traditional Arabic" w:hAnsi="Traditional Arabic"/>
          <w:noProof w:val="0"/>
          <w:color w:val="auto"/>
          <w:rtl/>
          <w:lang w:eastAsia="en-US"/>
        </w:rPr>
        <w:sym w:font="AGA Arabesque" w:char="F072"/>
      </w:r>
      <w:r w:rsidR="00CA2D76" w:rsidRPr="00C85F0F">
        <w:rPr>
          <w:rFonts w:ascii="Traditional Arabic" w:hAnsi="Traditional Arabic" w:hint="cs"/>
          <w:color w:val="auto"/>
          <w:rtl/>
        </w:rPr>
        <w:instrText xml:space="preserve"> أن يُجَصَّصالقبرُ،</w:instrText>
      </w:r>
      <w:r w:rsidR="00CA2D76" w:rsidRPr="00C85F0F">
        <w:rPr>
          <w:rtl/>
        </w:rPr>
        <w:instrText>" \</w:instrText>
      </w:r>
      <w:r w:rsidR="00CA2D76" w:rsidRPr="00C85F0F">
        <w:instrText>f</w:instrText>
      </w:r>
      <w:r w:rsidR="00CA2D76">
        <w:instrText>h</w:instrText>
      </w:r>
      <w:r w:rsidR="00AB0B9E">
        <w:rPr>
          <w:rFonts w:ascii="Traditional Arabic" w:hAnsi="Traditional Arabic"/>
          <w:color w:val="auto"/>
          <w:rtl/>
        </w:rPr>
        <w:fldChar w:fldCharType="end"/>
      </w:r>
      <w:r>
        <w:rPr>
          <w:rFonts w:ascii="Traditional Arabic" w:hAnsi="Traditional Arabic" w:hint="cs"/>
          <w:color w:val="auto"/>
          <w:rtl/>
        </w:rPr>
        <w:t xml:space="preserve"> و</w:t>
      </w:r>
      <w:r w:rsidRPr="00093827">
        <w:rPr>
          <w:rFonts w:ascii="Traditional Arabic" w:hAnsi="Traditional Arabic" w:hint="cs"/>
          <w:color w:val="auto"/>
          <w:rtl/>
        </w:rPr>
        <w:t>أن يُقْ</w:t>
      </w:r>
      <w:r>
        <w:rPr>
          <w:rFonts w:ascii="Traditional Arabic" w:hAnsi="Traditional Arabic" w:hint="cs"/>
          <w:color w:val="auto"/>
          <w:rtl/>
        </w:rPr>
        <w:t>عَد عليه و</w:t>
      </w:r>
      <w:r w:rsidRPr="00093827">
        <w:rPr>
          <w:rFonts w:ascii="Traditional Arabic" w:hAnsi="Traditional Arabic" w:hint="cs"/>
          <w:color w:val="auto"/>
          <w:rtl/>
        </w:rPr>
        <w:t>أن يُبْنى عليه"</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634"/>
      </w:r>
      <w:r w:rsidRPr="00C821A1">
        <w:rPr>
          <w:rFonts w:ascii="Traditional Arabic" w:hAnsi="Traditional Arabic" w:hint="cs"/>
          <w:color w:val="auto"/>
          <w:szCs w:val="32"/>
          <w:vertAlign w:val="superscript"/>
          <w:rtl/>
        </w:rPr>
        <w:t>)</w:t>
      </w:r>
      <w:r w:rsidRPr="00093827">
        <w:rPr>
          <w:rFonts w:ascii="Traditional Arabic" w:hAnsi="Traditional Arabic" w:hint="cs"/>
          <w:color w:val="auto"/>
          <w:rtl/>
        </w:rPr>
        <w:t>.</w:t>
      </w:r>
    </w:p>
    <w:p w:rsidR="00236A41" w:rsidRDefault="00236A41" w:rsidP="00597C20">
      <w:pPr>
        <w:pStyle w:val="53"/>
        <w:rPr>
          <w:rtl/>
        </w:rPr>
      </w:pPr>
      <w:r>
        <w:rPr>
          <w:rFonts w:hint="cs"/>
          <w:rtl/>
        </w:rPr>
        <w:t>وجه الدلالة:</w:t>
      </w:r>
    </w:p>
    <w:p w:rsidR="00236A41" w:rsidRPr="00E716C1" w:rsidRDefault="00236A41" w:rsidP="00597C20">
      <w:pPr>
        <w:ind w:firstLine="630"/>
        <w:rPr>
          <w:rFonts w:ascii="Traditional Arabic" w:hAnsi="Traditional Arabic"/>
          <w:noProof w:val="0"/>
          <w:color w:val="auto"/>
          <w:rtl/>
          <w:lang w:eastAsia="en-US"/>
        </w:rPr>
      </w:pPr>
      <w:r w:rsidRPr="00E716C1">
        <w:rPr>
          <w:rFonts w:ascii="Traditional Arabic" w:hAnsi="Traditional Arabic" w:hint="cs"/>
          <w:noProof w:val="0"/>
          <w:color w:val="auto"/>
          <w:rtl/>
          <w:lang w:eastAsia="en-US"/>
        </w:rPr>
        <w:t xml:space="preserve">نهى رسول الله </w:t>
      </w:r>
      <w:r w:rsidR="00F350DE">
        <w:rPr>
          <w:rtl/>
          <w:lang w:eastAsia="en-US"/>
        </w:rPr>
        <w:sym w:font="AGA Arabesque" w:char="F072"/>
      </w:r>
      <w:r w:rsidRPr="00E716C1">
        <w:rPr>
          <w:rFonts w:ascii="Traditional Arabic" w:hAnsi="Traditional Arabic" w:hint="cs"/>
          <w:noProof w:val="0"/>
          <w:color w:val="auto"/>
          <w:rtl/>
          <w:lang w:eastAsia="en-US"/>
        </w:rPr>
        <w:t xml:space="preserve"> عن تجصيص القبر؛ لأن ذلك ذريعة إلى الغلو فيه المفضي إلى عبادة مَن فيه، </w:t>
      </w:r>
      <w:r w:rsidRPr="00E716C1">
        <w:rPr>
          <w:rFonts w:ascii="Traditional Arabic" w:hAnsi="Traditional Arabic" w:hint="cs"/>
          <w:b/>
          <w:bCs/>
          <w:noProof w:val="0"/>
          <w:color w:val="auto"/>
          <w:rtl/>
          <w:lang w:eastAsia="en-US"/>
        </w:rPr>
        <w:t>وما كان ذريعة إلى المحرم فهو محرم، ويستفاد من هذا الحديث سدَّ الشارع كلَّ طريقٍ يوصِل إلى الشرك</w:t>
      </w:r>
      <w:r w:rsidRPr="00C821A1">
        <w:rPr>
          <w:rStyle w:val="af1"/>
          <w:szCs w:val="32"/>
          <w:rtl/>
        </w:rPr>
        <w:t>(</w:t>
      </w:r>
      <w:r w:rsidRPr="00C821A1">
        <w:rPr>
          <w:rStyle w:val="af1"/>
          <w:szCs w:val="32"/>
          <w:rtl/>
        </w:rPr>
        <w:footnoteReference w:id="635"/>
      </w:r>
      <w:r w:rsidRPr="00C821A1">
        <w:rPr>
          <w:rStyle w:val="af1"/>
          <w:szCs w:val="32"/>
          <w:rtl/>
        </w:rPr>
        <w:t>)</w:t>
      </w:r>
      <w:r w:rsidRPr="00E716C1">
        <w:rPr>
          <w:rFonts w:ascii="Traditional Arabic" w:hAnsi="Traditional Arabic" w:hint="cs"/>
          <w:noProof w:val="0"/>
          <w:color w:val="auto"/>
          <w:rtl/>
          <w:lang w:eastAsia="en-US"/>
        </w:rPr>
        <w:t>.</w:t>
      </w:r>
    </w:p>
    <w:p w:rsidR="00065E4B" w:rsidRPr="00324490" w:rsidRDefault="00236A41" w:rsidP="000A76C7">
      <w:pPr>
        <w:pStyle w:val="afc"/>
        <w:widowControl/>
        <w:numPr>
          <w:ilvl w:val="0"/>
          <w:numId w:val="102"/>
        </w:numPr>
        <w:autoSpaceDE w:val="0"/>
        <w:autoSpaceDN w:val="0"/>
        <w:adjustRightInd w:val="0"/>
        <w:rPr>
          <w:rFonts w:ascii="Traditional Arabic" w:hAnsi="Traditional Arabic"/>
          <w:noProof w:val="0"/>
          <w:lang w:eastAsia="en-US"/>
        </w:rPr>
      </w:pPr>
      <w:r w:rsidRPr="00324490">
        <w:rPr>
          <w:rFonts w:hint="cs"/>
          <w:color w:val="auto"/>
          <w:rtl/>
        </w:rPr>
        <w:t>عن</w:t>
      </w:r>
      <w:r w:rsidRPr="00324490">
        <w:rPr>
          <w:rFonts w:ascii="Traditional Arabic" w:hAnsi="Traditional Arabic"/>
          <w:rtl/>
        </w:rPr>
        <w:t xml:space="preserve"> الن</w:t>
      </w:r>
      <w:r w:rsidRPr="00324490">
        <w:rPr>
          <w:rFonts w:ascii="Traditional Arabic" w:hAnsi="Traditional Arabic" w:hint="cs"/>
          <w:rtl/>
        </w:rPr>
        <w:t>ُّ</w:t>
      </w:r>
      <w:r w:rsidRPr="00324490">
        <w:rPr>
          <w:rFonts w:ascii="Traditional Arabic" w:hAnsi="Traditional Arabic"/>
          <w:rtl/>
        </w:rPr>
        <w:t>ع</w:t>
      </w:r>
      <w:r w:rsidRPr="00324490">
        <w:rPr>
          <w:rFonts w:ascii="Traditional Arabic" w:hAnsi="Traditional Arabic" w:hint="cs"/>
          <w:rtl/>
        </w:rPr>
        <w:t>ْ</w:t>
      </w:r>
      <w:r w:rsidRPr="00324490">
        <w:rPr>
          <w:rFonts w:ascii="Traditional Arabic" w:hAnsi="Traditional Arabic"/>
          <w:rtl/>
        </w:rPr>
        <w:t xml:space="preserve">مان بن بشير </w:t>
      </w:r>
      <w:r w:rsidR="006F4B08">
        <w:rPr>
          <w:rFonts w:ascii="Traditional Arabic" w:hAnsi="Traditional Arabic" w:hint="cs"/>
          <w:rtl/>
        </w:rPr>
        <w:t>_</w:t>
      </w:r>
      <w:r w:rsidRPr="00067951">
        <w:sym w:font="AGA Arabesque" w:char="F074"/>
      </w:r>
      <w:r w:rsidR="006F4B08">
        <w:rPr>
          <w:rFonts w:ascii="Traditional Arabic" w:hAnsi="Traditional Arabic" w:hint="cs"/>
          <w:rtl/>
        </w:rPr>
        <w:t>_</w:t>
      </w:r>
      <w:r w:rsidRPr="00324490">
        <w:rPr>
          <w:rFonts w:ascii="Traditional Arabic" w:hAnsi="Traditional Arabic"/>
          <w:rtl/>
        </w:rPr>
        <w:t xml:space="preserve"> قال : سمعت رسول الله </w:t>
      </w:r>
      <w:r w:rsidRPr="00067951">
        <w:sym w:font="AGA Arabesque" w:char="F065"/>
      </w:r>
      <w:r w:rsidRPr="00324490">
        <w:rPr>
          <w:rFonts w:ascii="Traditional Arabic" w:hAnsi="Traditional Arabic"/>
          <w:rtl/>
        </w:rPr>
        <w:t xml:space="preserve"> يقول : "إن الحلال بيِّن وإن الحرام بيِّن</w:t>
      </w:r>
      <w:r w:rsidR="00B76414">
        <w:rPr>
          <w:rFonts w:ascii="Traditional Arabic" w:hAnsi="Traditional Arabic"/>
          <w:rtl/>
        </w:rPr>
        <w:t>،</w:t>
      </w:r>
      <w:r w:rsidR="00AB0B9E">
        <w:rPr>
          <w:rFonts w:ascii="Traditional Arabic" w:hAnsi="Traditional Arabic"/>
          <w:rtl/>
        </w:rPr>
        <w:fldChar w:fldCharType="begin"/>
      </w:r>
      <w:r w:rsidR="007A5A1C" w:rsidRPr="00C85F0F">
        <w:instrText>XE</w:instrText>
      </w:r>
      <w:r w:rsidR="007A5A1C" w:rsidRPr="00C85F0F">
        <w:rPr>
          <w:rtl/>
        </w:rPr>
        <w:instrText xml:space="preserve"> "</w:instrText>
      </w:r>
      <w:r w:rsidR="007A5A1C" w:rsidRPr="00C85F0F">
        <w:rPr>
          <w:rFonts w:ascii="Traditional Arabic" w:hAnsi="Traditional Arabic"/>
          <w:rtl/>
        </w:rPr>
        <w:instrText>إن الحلال بيِّن وإن الحرام بيِّن،</w:instrText>
      </w:r>
      <w:r w:rsidR="007A5A1C" w:rsidRPr="00C85F0F">
        <w:rPr>
          <w:rtl/>
        </w:rPr>
        <w:instrText>" \</w:instrText>
      </w:r>
      <w:r w:rsidR="007A5A1C" w:rsidRPr="00C85F0F">
        <w:instrText>f</w:instrText>
      </w:r>
      <w:r w:rsidR="007A5A1C">
        <w:instrText>h</w:instrText>
      </w:r>
      <w:r w:rsidR="00AB0B9E">
        <w:rPr>
          <w:rFonts w:ascii="Traditional Arabic" w:hAnsi="Traditional Arabic"/>
          <w:rtl/>
        </w:rPr>
        <w:fldChar w:fldCharType="end"/>
      </w:r>
      <w:r w:rsidRPr="00324490">
        <w:rPr>
          <w:rFonts w:ascii="Traditional Arabic" w:hAnsi="Traditional Arabic"/>
          <w:rtl/>
        </w:rPr>
        <w:t xml:space="preserve"> وبينهما م</w:t>
      </w:r>
      <w:r w:rsidRPr="00324490">
        <w:rPr>
          <w:rFonts w:ascii="Traditional Arabic" w:hAnsi="Traditional Arabic" w:hint="cs"/>
          <w:rtl/>
        </w:rPr>
        <w:t>ُ</w:t>
      </w:r>
      <w:r w:rsidRPr="00324490">
        <w:rPr>
          <w:rFonts w:ascii="Traditional Arabic" w:hAnsi="Traditional Arabic"/>
          <w:rtl/>
        </w:rPr>
        <w:t>ش</w:t>
      </w:r>
      <w:r w:rsidRPr="00324490">
        <w:rPr>
          <w:rFonts w:ascii="Traditional Arabic" w:hAnsi="Traditional Arabic" w:hint="cs"/>
          <w:rtl/>
        </w:rPr>
        <w:t>ْ</w:t>
      </w:r>
      <w:r w:rsidRPr="00324490">
        <w:rPr>
          <w:rFonts w:ascii="Traditional Arabic" w:hAnsi="Traditional Arabic"/>
          <w:rtl/>
        </w:rPr>
        <w:t>ت</w:t>
      </w:r>
      <w:r w:rsidRPr="00324490">
        <w:rPr>
          <w:rFonts w:ascii="Traditional Arabic" w:hAnsi="Traditional Arabic" w:hint="cs"/>
          <w:rtl/>
        </w:rPr>
        <w:t>َ</w:t>
      </w:r>
      <w:r w:rsidRPr="00324490">
        <w:rPr>
          <w:rFonts w:ascii="Traditional Arabic" w:hAnsi="Traditional Arabic"/>
          <w:rtl/>
        </w:rPr>
        <w:t>ب</w:t>
      </w:r>
      <w:r w:rsidRPr="00324490">
        <w:rPr>
          <w:rFonts w:ascii="Traditional Arabic" w:hAnsi="Traditional Arabic" w:hint="cs"/>
          <w:rtl/>
        </w:rPr>
        <w:t>ِ</w:t>
      </w:r>
      <w:r w:rsidRPr="00324490">
        <w:rPr>
          <w:rFonts w:ascii="Traditional Arabic" w:hAnsi="Traditional Arabic"/>
          <w:rtl/>
        </w:rPr>
        <w:t>هات</w:t>
      </w:r>
      <w:r w:rsidRPr="00324490">
        <w:rPr>
          <w:rFonts w:ascii="Traditional Arabic" w:hAnsi="Traditional Arabic" w:hint="cs"/>
          <w:rtl/>
        </w:rPr>
        <w:t>ٌ</w:t>
      </w:r>
      <w:r w:rsidRPr="00324490">
        <w:rPr>
          <w:rFonts w:ascii="Traditional Arabic" w:hAnsi="Traditional Arabic"/>
          <w:rtl/>
        </w:rPr>
        <w:t xml:space="preserve"> لا يعلمهن</w:t>
      </w:r>
      <w:r w:rsidRPr="00324490">
        <w:rPr>
          <w:rFonts w:ascii="Traditional Arabic" w:hAnsi="Traditional Arabic" w:hint="cs"/>
          <w:rtl/>
        </w:rPr>
        <w:t>َّ</w:t>
      </w:r>
      <w:r w:rsidRPr="00324490">
        <w:rPr>
          <w:rFonts w:ascii="Traditional Arabic" w:hAnsi="Traditional Arabic"/>
          <w:rtl/>
        </w:rPr>
        <w:t xml:space="preserve"> كثير من الناس</w:t>
      </w:r>
      <w:r w:rsidR="00B76414">
        <w:rPr>
          <w:rFonts w:ascii="Traditional Arabic" w:hAnsi="Traditional Arabic"/>
          <w:rtl/>
        </w:rPr>
        <w:t>،</w:t>
      </w:r>
      <w:r w:rsidRPr="00324490">
        <w:rPr>
          <w:rFonts w:ascii="Traditional Arabic" w:hAnsi="Traditional Arabic"/>
          <w:rtl/>
        </w:rPr>
        <w:t xml:space="preserve"> فمن اتقى الشبهات </w:t>
      </w:r>
      <w:r w:rsidRPr="00324490">
        <w:rPr>
          <w:rFonts w:ascii="Traditional Arabic" w:hAnsi="Traditional Arabic"/>
          <w:rtl/>
        </w:rPr>
        <w:lastRenderedPageBreak/>
        <w:t>استبرأ لدينه وع</w:t>
      </w:r>
      <w:r w:rsidRPr="00324490">
        <w:rPr>
          <w:rFonts w:ascii="Traditional Arabic" w:hAnsi="Traditional Arabic" w:hint="cs"/>
          <w:rtl/>
        </w:rPr>
        <w:t>ِ</w:t>
      </w:r>
      <w:r w:rsidRPr="00324490">
        <w:rPr>
          <w:rFonts w:ascii="Traditional Arabic" w:hAnsi="Traditional Arabic"/>
          <w:rtl/>
        </w:rPr>
        <w:t>ر</w:t>
      </w:r>
      <w:r w:rsidRPr="00324490">
        <w:rPr>
          <w:rFonts w:ascii="Traditional Arabic" w:hAnsi="Traditional Arabic" w:hint="cs"/>
          <w:rtl/>
        </w:rPr>
        <w:t>ْ</w:t>
      </w:r>
      <w:r w:rsidRPr="00324490">
        <w:rPr>
          <w:rFonts w:ascii="Traditional Arabic" w:hAnsi="Traditional Arabic"/>
          <w:rtl/>
        </w:rPr>
        <w:t>ضه</w:t>
      </w:r>
      <w:r w:rsidR="00B76414">
        <w:rPr>
          <w:rFonts w:ascii="Traditional Arabic" w:hAnsi="Traditional Arabic"/>
          <w:rtl/>
        </w:rPr>
        <w:t>،</w:t>
      </w:r>
      <w:r w:rsidRPr="00324490">
        <w:rPr>
          <w:rFonts w:ascii="Traditional Arabic" w:hAnsi="Traditional Arabic"/>
          <w:rtl/>
        </w:rPr>
        <w:t xml:space="preserve"> ومن وقع في الشبهات وقع في الحرام</w:t>
      </w:r>
      <w:r w:rsidR="00B76414">
        <w:rPr>
          <w:rFonts w:ascii="Traditional Arabic" w:hAnsi="Traditional Arabic"/>
          <w:rtl/>
        </w:rPr>
        <w:t>،</w:t>
      </w:r>
      <w:r w:rsidRPr="00324490">
        <w:rPr>
          <w:rFonts w:ascii="Traditional Arabic" w:hAnsi="Traditional Arabic"/>
          <w:rtl/>
        </w:rPr>
        <w:t xml:space="preserve"> كالراعي يرعى حول الحمى</w:t>
      </w:r>
      <w:r w:rsidR="00B76414">
        <w:rPr>
          <w:rFonts w:ascii="Traditional Arabic" w:hAnsi="Traditional Arabic"/>
          <w:rtl/>
        </w:rPr>
        <w:t>،</w:t>
      </w:r>
      <w:r w:rsidRPr="00324490">
        <w:rPr>
          <w:rFonts w:ascii="Traditional Arabic" w:hAnsi="Traditional Arabic"/>
          <w:rtl/>
        </w:rPr>
        <w:t xml:space="preserve"> يوشك أن ي</w:t>
      </w:r>
      <w:r w:rsidRPr="00324490">
        <w:rPr>
          <w:rFonts w:ascii="Traditional Arabic" w:hAnsi="Traditional Arabic" w:hint="cs"/>
          <w:rtl/>
        </w:rPr>
        <w:t>َ</w:t>
      </w:r>
      <w:r w:rsidRPr="00324490">
        <w:rPr>
          <w:rFonts w:ascii="Traditional Arabic" w:hAnsi="Traditional Arabic"/>
          <w:rtl/>
        </w:rPr>
        <w:t>ر</w:t>
      </w:r>
      <w:r w:rsidRPr="00324490">
        <w:rPr>
          <w:rFonts w:ascii="Traditional Arabic" w:hAnsi="Traditional Arabic" w:hint="cs"/>
          <w:rtl/>
        </w:rPr>
        <w:t>ْ</w:t>
      </w:r>
      <w:r w:rsidRPr="00324490">
        <w:rPr>
          <w:rFonts w:ascii="Traditional Arabic" w:hAnsi="Traditional Arabic"/>
          <w:rtl/>
        </w:rPr>
        <w:t>ت</w:t>
      </w:r>
      <w:r w:rsidRPr="00324490">
        <w:rPr>
          <w:rFonts w:ascii="Traditional Arabic" w:hAnsi="Traditional Arabic" w:hint="cs"/>
          <w:rtl/>
        </w:rPr>
        <w:t>َ</w:t>
      </w:r>
      <w:r w:rsidRPr="00324490">
        <w:rPr>
          <w:rFonts w:ascii="Traditional Arabic" w:hAnsi="Traditional Arabic"/>
          <w:rtl/>
        </w:rPr>
        <w:t>ع فيه"</w:t>
      </w:r>
      <w:r w:rsidRPr="00C821A1">
        <w:rPr>
          <w:rStyle w:val="af1"/>
          <w:szCs w:val="32"/>
          <w:rtl/>
        </w:rPr>
        <w:t>(</w:t>
      </w:r>
      <w:r w:rsidRPr="00C821A1">
        <w:rPr>
          <w:rStyle w:val="af1"/>
          <w:szCs w:val="32"/>
          <w:rtl/>
        </w:rPr>
        <w:footnoteReference w:id="636"/>
      </w:r>
      <w:r w:rsidRPr="00C821A1">
        <w:rPr>
          <w:rStyle w:val="af1"/>
          <w:szCs w:val="32"/>
          <w:rtl/>
        </w:rPr>
        <w:t>)</w:t>
      </w:r>
      <w:r w:rsidRPr="00324490">
        <w:rPr>
          <w:rFonts w:ascii="Traditional Arabic" w:hAnsi="Traditional Arabic" w:hint="cs"/>
          <w:noProof w:val="0"/>
          <w:rtl/>
          <w:lang w:eastAsia="en-US"/>
        </w:rPr>
        <w:t>.</w:t>
      </w:r>
    </w:p>
    <w:p w:rsidR="00065E4B" w:rsidRPr="0061170C" w:rsidRDefault="00065E4B" w:rsidP="00597C20">
      <w:pPr>
        <w:pStyle w:val="53"/>
        <w:rPr>
          <w:rtl/>
        </w:rPr>
      </w:pPr>
      <w:r w:rsidRPr="0061170C">
        <w:rPr>
          <w:rFonts w:hint="cs"/>
          <w:rtl/>
        </w:rPr>
        <w:t>و</w:t>
      </w:r>
      <w:r w:rsidR="00236A41" w:rsidRPr="0061170C">
        <w:rPr>
          <w:rFonts w:hint="cs"/>
          <w:rtl/>
        </w:rPr>
        <w:t>جه الدلالة :</w:t>
      </w:r>
    </w:p>
    <w:p w:rsidR="00236A41" w:rsidRPr="00E716C1" w:rsidRDefault="00065E4B" w:rsidP="00597C20">
      <w:pPr>
        <w:widowControl/>
        <w:autoSpaceDE w:val="0"/>
        <w:autoSpaceDN w:val="0"/>
        <w:adjustRightInd w:val="0"/>
        <w:ind w:firstLine="630"/>
        <w:rPr>
          <w:rFonts w:ascii="Traditional Arabic" w:hAnsi="Traditional Arabic"/>
          <w:noProof w:val="0"/>
          <w:rtl/>
          <w:lang w:eastAsia="en-US"/>
        </w:rPr>
      </w:pPr>
      <w:r w:rsidRPr="00E716C1">
        <w:rPr>
          <w:rFonts w:ascii="Traditional Arabic" w:hAnsi="Traditional Arabic" w:hint="cs"/>
          <w:noProof w:val="0"/>
          <w:rtl/>
          <w:lang w:eastAsia="en-US"/>
        </w:rPr>
        <w:t>و</w:t>
      </w:r>
      <w:r w:rsidR="00236A41" w:rsidRPr="00E716C1">
        <w:rPr>
          <w:rFonts w:ascii="Traditional Arabic" w:hAnsi="Traditional Arabic" w:hint="cs"/>
          <w:noProof w:val="0"/>
          <w:rtl/>
          <w:lang w:eastAsia="en-US"/>
        </w:rPr>
        <w:t xml:space="preserve">جه الشاهد من الحديث هو قوله </w:t>
      </w:r>
      <w:r w:rsidR="00F350DE">
        <w:rPr>
          <w:color w:val="auto"/>
          <w:rtl/>
          <w:lang w:eastAsia="en-US"/>
        </w:rPr>
        <w:sym w:font="AGA Arabesque" w:char="F072"/>
      </w:r>
      <w:r w:rsidR="00236A41" w:rsidRPr="00E716C1">
        <w:rPr>
          <w:rFonts w:ascii="Traditional Arabic" w:hAnsi="Traditional Arabic" w:hint="cs"/>
          <w:noProof w:val="0"/>
          <w:rtl/>
          <w:lang w:eastAsia="en-US"/>
        </w:rPr>
        <w:t xml:space="preserve">:" ومن وقع في الشبهات وقع في الحرام"، والمعنى أن </w:t>
      </w:r>
      <w:r w:rsidR="00236A41" w:rsidRPr="00E716C1">
        <w:rPr>
          <w:rFonts w:ascii="Traditional Arabic" w:hAnsi="Traditional Arabic" w:hint="cs"/>
          <w:b/>
          <w:bCs/>
          <w:noProof w:val="0"/>
          <w:rtl/>
          <w:lang w:eastAsia="en-US"/>
        </w:rPr>
        <w:t>فِعل الشبهات ذريعةٌ إلى الوقوع في المحرَّم، فدل ذلك على سد الذرائع</w:t>
      </w:r>
      <w:r w:rsidR="00236A41" w:rsidRPr="00E716C1">
        <w:rPr>
          <w:rFonts w:ascii="Traditional Arabic" w:hAnsi="Traditional Arabic" w:hint="cs"/>
          <w:noProof w:val="0"/>
          <w:rtl/>
          <w:lang w:eastAsia="en-US"/>
        </w:rPr>
        <w:t>، فكلُّ ذريعةٍ تُوصِل إلى محرمٍ يجب أن تُغْلَق لئلا يقع الناس في المحرَّم</w:t>
      </w:r>
      <w:r w:rsidR="00236A41" w:rsidRPr="00C821A1">
        <w:rPr>
          <w:rStyle w:val="af1"/>
          <w:szCs w:val="32"/>
          <w:rtl/>
        </w:rPr>
        <w:t>(</w:t>
      </w:r>
      <w:r w:rsidR="00236A41" w:rsidRPr="00C821A1">
        <w:rPr>
          <w:rStyle w:val="af1"/>
          <w:szCs w:val="32"/>
          <w:rtl/>
        </w:rPr>
        <w:footnoteReference w:id="637"/>
      </w:r>
      <w:r w:rsidR="00236A41" w:rsidRPr="00C821A1">
        <w:rPr>
          <w:rStyle w:val="af1"/>
          <w:szCs w:val="32"/>
          <w:rtl/>
        </w:rPr>
        <w:t>)</w:t>
      </w:r>
      <w:r w:rsidR="00236A41" w:rsidRPr="00E716C1">
        <w:rPr>
          <w:rFonts w:ascii="Traditional Arabic" w:hAnsi="Traditional Arabic" w:hint="cs"/>
          <w:noProof w:val="0"/>
          <w:rtl/>
          <w:lang w:eastAsia="en-US"/>
        </w:rPr>
        <w:t>.</w:t>
      </w:r>
    </w:p>
    <w:p w:rsidR="00236A41" w:rsidRPr="0061170C" w:rsidRDefault="00236A41" w:rsidP="000A76C7">
      <w:pPr>
        <w:pStyle w:val="afc"/>
        <w:widowControl/>
        <w:numPr>
          <w:ilvl w:val="0"/>
          <w:numId w:val="102"/>
        </w:numPr>
        <w:autoSpaceDE w:val="0"/>
        <w:autoSpaceDN w:val="0"/>
        <w:adjustRightInd w:val="0"/>
        <w:jc w:val="left"/>
        <w:rPr>
          <w:rFonts w:ascii="Traditional Arabic" w:hAnsi="Traditional Arabic"/>
          <w:noProof w:val="0"/>
          <w:color w:val="auto"/>
          <w:rtl/>
          <w:lang w:eastAsia="en-US"/>
        </w:rPr>
      </w:pPr>
      <w:r w:rsidRPr="0061170C">
        <w:rPr>
          <w:rFonts w:ascii="Traditional Arabic" w:hAnsi="Traditional Arabic" w:hint="cs"/>
          <w:noProof w:val="0"/>
          <w:rtl/>
          <w:lang w:eastAsia="en-US"/>
        </w:rPr>
        <w:t xml:space="preserve">عن </w:t>
      </w:r>
      <w:r w:rsidRPr="0061170C">
        <w:rPr>
          <w:rFonts w:ascii="Traditional Arabic" w:hAnsi="Traditional Arabic"/>
          <w:noProof w:val="0"/>
          <w:rtl/>
          <w:lang w:eastAsia="en-US"/>
        </w:rPr>
        <w:t xml:space="preserve">عبد الله </w:t>
      </w:r>
      <w:r>
        <w:rPr>
          <w:rFonts w:ascii="Traditional Arabic" w:hAnsi="Traditional Arabic" w:hint="cs"/>
          <w:noProof w:val="0"/>
          <w:rtl/>
          <w:lang w:eastAsia="en-US"/>
        </w:rPr>
        <w:t xml:space="preserve">بن عمر </w:t>
      </w:r>
      <w:r w:rsidR="006F4B08">
        <w:rPr>
          <w:rFonts w:ascii="Traditional Arabic" w:hAnsi="Traditional Arabic" w:hint="cs"/>
          <w:noProof w:val="0"/>
          <w:rtl/>
          <w:lang w:eastAsia="en-US"/>
        </w:rPr>
        <w:t>_</w:t>
      </w:r>
      <w:r w:rsidR="00154102">
        <w:rPr>
          <w:rFonts w:ascii="Traditional Arabic" w:hAnsi="Traditional Arabic" w:cs="CTraditional Arabic" w:hint="cs"/>
          <w:noProof w:val="0"/>
          <w:color w:val="auto"/>
          <w:rtl/>
          <w:lang w:eastAsia="en-US"/>
        </w:rPr>
        <w:t>ب</w:t>
      </w:r>
      <w:r w:rsidR="006F4B08">
        <w:rPr>
          <w:rFonts w:ascii="Traditional Arabic" w:hAnsi="Traditional Arabic" w:hint="cs"/>
          <w:noProof w:val="0"/>
          <w:rtl/>
          <w:lang w:eastAsia="en-US"/>
        </w:rPr>
        <w:t>_</w:t>
      </w:r>
      <w:r w:rsidRPr="0061170C">
        <w:rPr>
          <w:rFonts w:ascii="Traditional Arabic" w:hAnsi="Traditional Arabic"/>
          <w:noProof w:val="0"/>
          <w:rtl/>
          <w:lang w:eastAsia="en-US"/>
        </w:rPr>
        <w:t xml:space="preserve"> قال سمعت النبي </w:t>
      </w:r>
      <w:r w:rsidR="00F350DE">
        <w:rPr>
          <w:rFonts w:ascii="Traditional Arabic" w:hAnsi="Traditional Arabic"/>
          <w:noProof w:val="0"/>
          <w:color w:val="auto"/>
          <w:rtl/>
          <w:lang w:eastAsia="en-US"/>
        </w:rPr>
        <w:sym w:font="AGA Arabesque" w:char="F072"/>
      </w:r>
      <w:r w:rsidRPr="0061170C">
        <w:rPr>
          <w:rFonts w:ascii="Traditional Arabic" w:hAnsi="Traditional Arabic"/>
          <w:noProof w:val="0"/>
          <w:rtl/>
          <w:lang w:eastAsia="en-US"/>
        </w:rPr>
        <w:t xml:space="preserve"> ينهى عن الصلاة عند طلوع الشمس وعند غروبها</w:t>
      </w:r>
      <w:r w:rsidR="00AB0B9E">
        <w:rPr>
          <w:rFonts w:ascii="Traditional Arabic" w:hAnsi="Traditional Arabic"/>
          <w:noProof w:val="0"/>
          <w:rtl/>
          <w:lang w:eastAsia="en-US"/>
        </w:rPr>
        <w:fldChar w:fldCharType="begin"/>
      </w:r>
      <w:r w:rsidR="007A5A1C" w:rsidRPr="00C85F0F">
        <w:instrText>XE</w:instrText>
      </w:r>
      <w:r w:rsidR="007A5A1C" w:rsidRPr="00C85F0F">
        <w:rPr>
          <w:rtl/>
        </w:rPr>
        <w:instrText xml:space="preserve"> "</w:instrText>
      </w:r>
      <w:r w:rsidR="007A5A1C" w:rsidRPr="00C85F0F">
        <w:rPr>
          <w:rFonts w:ascii="Traditional Arabic" w:hAnsi="Traditional Arabic"/>
          <w:noProof w:val="0"/>
          <w:rtl/>
          <w:lang w:eastAsia="en-US"/>
        </w:rPr>
        <w:instrText xml:space="preserve">سمعت النبي </w:instrText>
      </w:r>
      <w:r w:rsidR="007A5A1C" w:rsidRPr="00C85F0F">
        <w:rPr>
          <w:rFonts w:ascii="Traditional Arabic" w:hAnsi="Traditional Arabic"/>
          <w:noProof w:val="0"/>
          <w:color w:val="auto"/>
          <w:rtl/>
          <w:lang w:eastAsia="en-US"/>
        </w:rPr>
        <w:sym w:font="AGA Arabesque" w:char="F072"/>
      </w:r>
      <w:r w:rsidR="007A5A1C" w:rsidRPr="00C85F0F">
        <w:rPr>
          <w:rFonts w:ascii="Traditional Arabic" w:hAnsi="Traditional Arabic"/>
          <w:noProof w:val="0"/>
          <w:rtl/>
          <w:lang w:eastAsia="en-US"/>
        </w:rPr>
        <w:instrText xml:space="preserve"> ينهى عن الصلاة عند طلوع الشمس وعند غروبها</w:instrText>
      </w:r>
      <w:r w:rsidR="007A5A1C" w:rsidRPr="00C85F0F">
        <w:rPr>
          <w:rtl/>
        </w:rPr>
        <w:instrText>" \</w:instrText>
      </w:r>
      <w:r w:rsidR="007A5A1C" w:rsidRPr="00C85F0F">
        <w:instrText>f</w:instrText>
      </w:r>
      <w:r w:rsidR="007A5A1C">
        <w:instrText>h</w:instrText>
      </w:r>
      <w:r w:rsidR="00AB0B9E">
        <w:rPr>
          <w:rFonts w:ascii="Traditional Arabic" w:hAnsi="Traditional Arabic"/>
          <w:noProof w:val="0"/>
          <w:rtl/>
          <w:lang w:eastAsia="en-US"/>
        </w:rPr>
        <w:fldChar w:fldCharType="end"/>
      </w:r>
      <w:r w:rsidRPr="00C821A1">
        <w:rPr>
          <w:rStyle w:val="af1"/>
          <w:szCs w:val="32"/>
          <w:rtl/>
        </w:rPr>
        <w:t>(</w:t>
      </w:r>
      <w:r w:rsidRPr="00C821A1">
        <w:rPr>
          <w:rStyle w:val="af1"/>
          <w:szCs w:val="32"/>
          <w:rtl/>
        </w:rPr>
        <w:footnoteReference w:id="638"/>
      </w:r>
      <w:r w:rsidRPr="00C821A1">
        <w:rPr>
          <w:rStyle w:val="af1"/>
          <w:szCs w:val="32"/>
          <w:rtl/>
        </w:rPr>
        <w:t>)</w:t>
      </w:r>
      <w:r>
        <w:rPr>
          <w:rFonts w:ascii="Traditional Arabic" w:hAnsi="Traditional Arabic" w:hint="cs"/>
          <w:noProof w:val="0"/>
          <w:rtl/>
          <w:lang w:eastAsia="en-US"/>
        </w:rPr>
        <w:t>.</w:t>
      </w:r>
    </w:p>
    <w:p w:rsidR="00065E4B" w:rsidRDefault="00236A41" w:rsidP="00597C20">
      <w:pPr>
        <w:pStyle w:val="53"/>
        <w:rPr>
          <w:rtl/>
        </w:rPr>
      </w:pPr>
      <w:r w:rsidRPr="0061170C">
        <w:rPr>
          <w:rFonts w:hint="cs"/>
          <w:rtl/>
        </w:rPr>
        <w:t>وجه الدلالة :</w:t>
      </w:r>
    </w:p>
    <w:p w:rsidR="00236A41" w:rsidRDefault="00065E4B" w:rsidP="00597C20">
      <w:pPr>
        <w:widowControl/>
        <w:autoSpaceDE w:val="0"/>
        <w:autoSpaceDN w:val="0"/>
        <w:adjustRightInd w:val="0"/>
        <w:ind w:firstLine="720"/>
        <w:rPr>
          <w:rFonts w:ascii="Traditional Arabic" w:hAnsi="Traditional Arabic"/>
          <w:noProof w:val="0"/>
          <w:rtl/>
          <w:lang w:eastAsia="en-US"/>
        </w:rPr>
      </w:pPr>
      <w:r w:rsidRPr="0061170C">
        <w:rPr>
          <w:rFonts w:ascii="Traditional Arabic" w:hAnsi="Traditional Arabic"/>
          <w:noProof w:val="0"/>
          <w:rtl/>
          <w:lang w:eastAsia="en-US"/>
        </w:rPr>
        <w:t>ل</w:t>
      </w:r>
      <w:r w:rsidR="00236A41" w:rsidRPr="0061170C">
        <w:rPr>
          <w:rFonts w:ascii="Traditional Arabic" w:hAnsi="Traditional Arabic"/>
          <w:noProof w:val="0"/>
          <w:rtl/>
          <w:lang w:eastAsia="en-US"/>
        </w:rPr>
        <w:t xml:space="preserve">ما كان الكفار يسجدون للشمس عند طلوعها وغروبها، نهى النبي </w:t>
      </w:r>
      <w:r w:rsidR="00F350DE">
        <w:rPr>
          <w:rFonts w:ascii="Traditional Arabic" w:hAnsi="Traditional Arabic"/>
          <w:noProof w:val="0"/>
          <w:color w:val="auto"/>
          <w:rtl/>
          <w:lang w:eastAsia="en-US"/>
        </w:rPr>
        <w:sym w:font="AGA Arabesque" w:char="F072"/>
      </w:r>
      <w:r w:rsidR="00236A41">
        <w:rPr>
          <w:rFonts w:ascii="Traditional Arabic" w:hAnsi="Traditional Arabic"/>
          <w:noProof w:val="0"/>
          <w:rtl/>
          <w:lang w:eastAsia="en-US"/>
        </w:rPr>
        <w:t>عن الصلاة عند طلوعها وغروبها</w:t>
      </w:r>
      <w:r w:rsidR="00236A41">
        <w:rPr>
          <w:rFonts w:ascii="Traditional Arabic" w:hAnsi="Traditional Arabic" w:hint="cs"/>
          <w:noProof w:val="0"/>
          <w:rtl/>
          <w:lang w:eastAsia="en-US"/>
        </w:rPr>
        <w:t>؛</w:t>
      </w:r>
      <w:r w:rsidR="006F4B08">
        <w:rPr>
          <w:rFonts w:ascii="Traditional Arabic" w:hAnsi="Traditional Arabic" w:hint="cs"/>
          <w:b/>
          <w:bCs/>
          <w:noProof w:val="0"/>
          <w:rtl/>
          <w:lang w:eastAsia="en-US"/>
        </w:rPr>
        <w:t xml:space="preserve"> </w:t>
      </w:r>
      <w:r w:rsidR="00236A41" w:rsidRPr="000C7208">
        <w:rPr>
          <w:rFonts w:ascii="Traditional Arabic" w:hAnsi="Traditional Arabic"/>
          <w:b/>
          <w:bCs/>
          <w:noProof w:val="0"/>
          <w:rtl/>
          <w:lang w:eastAsia="en-US"/>
        </w:rPr>
        <w:t>لئلا ي</w:t>
      </w:r>
      <w:r w:rsidR="00236A41" w:rsidRPr="000C7208">
        <w:rPr>
          <w:rFonts w:ascii="Traditional Arabic" w:hAnsi="Traditional Arabic" w:hint="cs"/>
          <w:b/>
          <w:bCs/>
          <w:noProof w:val="0"/>
          <w:rtl/>
          <w:lang w:eastAsia="en-US"/>
        </w:rPr>
        <w:t>ُ</w:t>
      </w:r>
      <w:r w:rsidR="00236A41" w:rsidRPr="000C7208">
        <w:rPr>
          <w:rFonts w:ascii="Traditional Arabic" w:hAnsi="Traditional Arabic"/>
          <w:b/>
          <w:bCs/>
          <w:noProof w:val="0"/>
          <w:rtl/>
          <w:lang w:eastAsia="en-US"/>
        </w:rPr>
        <w:t>ت</w:t>
      </w:r>
      <w:r w:rsidR="00236A41" w:rsidRPr="000C7208">
        <w:rPr>
          <w:rFonts w:ascii="Traditional Arabic" w:hAnsi="Traditional Arabic" w:hint="cs"/>
          <w:b/>
          <w:bCs/>
          <w:noProof w:val="0"/>
          <w:rtl/>
          <w:lang w:eastAsia="en-US"/>
        </w:rPr>
        <w:t>َّ</w:t>
      </w:r>
      <w:r w:rsidR="00236A41" w:rsidRPr="000C7208">
        <w:rPr>
          <w:rFonts w:ascii="Traditional Arabic" w:hAnsi="Traditional Arabic"/>
          <w:b/>
          <w:bCs/>
          <w:noProof w:val="0"/>
          <w:rtl/>
          <w:lang w:eastAsia="en-US"/>
        </w:rPr>
        <w:t>خ</w:t>
      </w:r>
      <w:r w:rsidR="00236A41" w:rsidRPr="000C7208">
        <w:rPr>
          <w:rFonts w:ascii="Traditional Arabic" w:hAnsi="Traditional Arabic" w:hint="cs"/>
          <w:b/>
          <w:bCs/>
          <w:noProof w:val="0"/>
          <w:rtl/>
          <w:lang w:eastAsia="en-US"/>
        </w:rPr>
        <w:t>َ</w:t>
      </w:r>
      <w:r w:rsidR="00236A41" w:rsidRPr="000C7208">
        <w:rPr>
          <w:rFonts w:ascii="Traditional Arabic" w:hAnsi="Traditional Arabic"/>
          <w:b/>
          <w:bCs/>
          <w:noProof w:val="0"/>
          <w:rtl/>
          <w:lang w:eastAsia="en-US"/>
        </w:rPr>
        <w:t>ذ</w:t>
      </w:r>
      <w:r w:rsidR="00236A41" w:rsidRPr="000C7208">
        <w:rPr>
          <w:rFonts w:ascii="Traditional Arabic" w:hAnsi="Traditional Arabic" w:hint="cs"/>
          <w:b/>
          <w:bCs/>
          <w:noProof w:val="0"/>
          <w:rtl/>
          <w:lang w:eastAsia="en-US"/>
        </w:rPr>
        <w:t>َ</w:t>
      </w:r>
      <w:r w:rsidR="00C60EF0">
        <w:rPr>
          <w:rFonts w:ascii="Traditional Arabic" w:hAnsi="Traditional Arabic" w:hint="cs"/>
          <w:b/>
          <w:bCs/>
          <w:noProof w:val="0"/>
          <w:rtl/>
          <w:lang w:eastAsia="en-US"/>
        </w:rPr>
        <w:t xml:space="preserve"> </w:t>
      </w:r>
      <w:r w:rsidR="00236A41" w:rsidRPr="000C7208">
        <w:rPr>
          <w:rFonts w:ascii="Traditional Arabic" w:hAnsi="Traditional Arabic" w:hint="cs"/>
          <w:b/>
          <w:bCs/>
          <w:noProof w:val="0"/>
          <w:rtl/>
          <w:lang w:eastAsia="en-US"/>
        </w:rPr>
        <w:t xml:space="preserve">ذلك </w:t>
      </w:r>
      <w:r w:rsidR="00236A41" w:rsidRPr="000C7208">
        <w:rPr>
          <w:rFonts w:ascii="Traditional Arabic" w:hAnsi="Traditional Arabic"/>
          <w:b/>
          <w:bCs/>
          <w:noProof w:val="0"/>
          <w:rtl/>
          <w:lang w:eastAsia="en-US"/>
        </w:rPr>
        <w:t>ذريعة</w:t>
      </w:r>
      <w:r w:rsidR="00236A41" w:rsidRPr="000C7208">
        <w:rPr>
          <w:rFonts w:ascii="Traditional Arabic" w:hAnsi="Traditional Arabic" w:hint="cs"/>
          <w:b/>
          <w:bCs/>
          <w:noProof w:val="0"/>
          <w:rtl/>
          <w:lang w:eastAsia="en-US"/>
        </w:rPr>
        <w:t>ً</w:t>
      </w:r>
      <w:r w:rsidR="00236A41" w:rsidRPr="000C7208">
        <w:rPr>
          <w:rFonts w:ascii="Traditional Arabic" w:hAnsi="Traditional Arabic"/>
          <w:b/>
          <w:bCs/>
          <w:noProof w:val="0"/>
          <w:rtl/>
          <w:lang w:eastAsia="en-US"/>
        </w:rPr>
        <w:t xml:space="preserve"> إلى أن ت</w:t>
      </w:r>
      <w:r w:rsidR="00236A41" w:rsidRPr="000C7208">
        <w:rPr>
          <w:rFonts w:ascii="Traditional Arabic" w:hAnsi="Traditional Arabic" w:hint="cs"/>
          <w:b/>
          <w:bCs/>
          <w:noProof w:val="0"/>
          <w:rtl/>
          <w:lang w:eastAsia="en-US"/>
        </w:rPr>
        <w:t>ُ</w:t>
      </w:r>
      <w:r w:rsidR="00236A41" w:rsidRPr="000C7208">
        <w:rPr>
          <w:rFonts w:ascii="Traditional Arabic" w:hAnsi="Traditional Arabic"/>
          <w:b/>
          <w:bCs/>
          <w:noProof w:val="0"/>
          <w:rtl/>
          <w:lang w:eastAsia="en-US"/>
        </w:rPr>
        <w:t>ع</w:t>
      </w:r>
      <w:r w:rsidR="00236A41" w:rsidRPr="000C7208">
        <w:rPr>
          <w:rFonts w:ascii="Traditional Arabic" w:hAnsi="Traditional Arabic" w:hint="cs"/>
          <w:b/>
          <w:bCs/>
          <w:noProof w:val="0"/>
          <w:rtl/>
          <w:lang w:eastAsia="en-US"/>
        </w:rPr>
        <w:t>ْ</w:t>
      </w:r>
      <w:r w:rsidR="00236A41" w:rsidRPr="000C7208">
        <w:rPr>
          <w:rFonts w:ascii="Traditional Arabic" w:hAnsi="Traditional Arabic"/>
          <w:b/>
          <w:bCs/>
          <w:noProof w:val="0"/>
          <w:rtl/>
          <w:lang w:eastAsia="en-US"/>
        </w:rPr>
        <w:t>ب</w:t>
      </w:r>
      <w:r w:rsidR="00236A41" w:rsidRPr="000C7208">
        <w:rPr>
          <w:rFonts w:ascii="Traditional Arabic" w:hAnsi="Traditional Arabic" w:hint="cs"/>
          <w:b/>
          <w:bCs/>
          <w:noProof w:val="0"/>
          <w:rtl/>
          <w:lang w:eastAsia="en-US"/>
        </w:rPr>
        <w:t>َ</w:t>
      </w:r>
      <w:r w:rsidR="00236A41" w:rsidRPr="000C7208">
        <w:rPr>
          <w:rFonts w:ascii="Traditional Arabic" w:hAnsi="Traditional Arabic"/>
          <w:b/>
          <w:bCs/>
          <w:noProof w:val="0"/>
          <w:rtl/>
          <w:lang w:eastAsia="en-US"/>
        </w:rPr>
        <w:t>د الشمس من دون الله، أو إلى أن ي</w:t>
      </w:r>
      <w:r w:rsidR="00236A41" w:rsidRPr="000C7208">
        <w:rPr>
          <w:rFonts w:ascii="Traditional Arabic" w:hAnsi="Traditional Arabic" w:hint="cs"/>
          <w:b/>
          <w:bCs/>
          <w:noProof w:val="0"/>
          <w:rtl/>
          <w:lang w:eastAsia="en-US"/>
        </w:rPr>
        <w:t>ُ</w:t>
      </w:r>
      <w:r w:rsidR="00236A41" w:rsidRPr="000C7208">
        <w:rPr>
          <w:rFonts w:ascii="Traditional Arabic" w:hAnsi="Traditional Arabic"/>
          <w:b/>
          <w:bCs/>
          <w:noProof w:val="0"/>
          <w:rtl/>
          <w:lang w:eastAsia="en-US"/>
        </w:rPr>
        <w:t>تشب</w:t>
      </w:r>
      <w:r w:rsidR="00236A41" w:rsidRPr="000C7208">
        <w:rPr>
          <w:rFonts w:ascii="Traditional Arabic" w:hAnsi="Traditional Arabic" w:hint="cs"/>
          <w:b/>
          <w:bCs/>
          <w:noProof w:val="0"/>
          <w:rtl/>
          <w:lang w:eastAsia="en-US"/>
        </w:rPr>
        <w:t>َّ</w:t>
      </w:r>
      <w:r w:rsidR="00236A41" w:rsidRPr="000C7208">
        <w:rPr>
          <w:rFonts w:ascii="Traditional Arabic" w:hAnsi="Traditional Arabic"/>
          <w:b/>
          <w:bCs/>
          <w:noProof w:val="0"/>
          <w:rtl/>
          <w:lang w:eastAsia="en-US"/>
        </w:rPr>
        <w:t>ه بالكفار</w:t>
      </w:r>
      <w:r w:rsidR="00236A41" w:rsidRPr="00C821A1">
        <w:rPr>
          <w:rStyle w:val="af1"/>
          <w:szCs w:val="32"/>
          <w:rtl/>
        </w:rPr>
        <w:t>(</w:t>
      </w:r>
      <w:r w:rsidR="00236A41" w:rsidRPr="00C821A1">
        <w:rPr>
          <w:rStyle w:val="af1"/>
          <w:szCs w:val="32"/>
          <w:rtl/>
        </w:rPr>
        <w:footnoteReference w:id="639"/>
      </w:r>
      <w:r w:rsidR="00236A41" w:rsidRPr="00C821A1">
        <w:rPr>
          <w:rStyle w:val="af1"/>
          <w:szCs w:val="32"/>
          <w:rtl/>
        </w:rPr>
        <w:t>)</w:t>
      </w:r>
      <w:r w:rsidR="00236A41" w:rsidRPr="0061170C">
        <w:rPr>
          <w:rFonts w:ascii="Traditional Arabic" w:hAnsi="Traditional Arabic"/>
          <w:noProof w:val="0"/>
          <w:rtl/>
          <w:lang w:eastAsia="en-US"/>
        </w:rPr>
        <w:t>.</w:t>
      </w:r>
    </w:p>
    <w:p w:rsidR="00236A41" w:rsidRDefault="00236A41" w:rsidP="000A76C7">
      <w:pPr>
        <w:pStyle w:val="afc"/>
        <w:widowControl/>
        <w:numPr>
          <w:ilvl w:val="0"/>
          <w:numId w:val="102"/>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حديث </w:t>
      </w:r>
      <w:r w:rsidRPr="004538A0">
        <w:rPr>
          <w:rFonts w:ascii="Traditional Arabic" w:hAnsi="Traditional Arabic"/>
          <w:noProof w:val="0"/>
          <w:color w:val="auto"/>
          <w:rtl/>
          <w:lang w:eastAsia="en-US"/>
        </w:rPr>
        <w:t>أنس بن مالك</w:t>
      </w:r>
      <w:r w:rsidR="006F4B08">
        <w:rPr>
          <w:rFonts w:ascii="Traditional Arabic" w:hAnsi="Traditional Arabic" w:hint="cs"/>
          <w:noProof w:val="0"/>
          <w:color w:val="auto"/>
          <w:rtl/>
          <w:lang w:eastAsia="en-US"/>
        </w:rPr>
        <w:t>_</w:t>
      </w:r>
      <w:r w:rsidR="009A0575">
        <w:rPr>
          <w:rFonts w:ascii="Traditional Arabic" w:hAnsi="Traditional Arabic" w:cs="CTraditional Arabic" w:hint="cs"/>
          <w:rtl/>
        </w:rPr>
        <w:t>ا</w:t>
      </w:r>
      <w:r w:rsidR="006F4B08">
        <w:rPr>
          <w:rFonts w:ascii="Traditional Arabic" w:hAnsi="Traditional Arabic" w:hint="cs"/>
          <w:noProof w:val="0"/>
          <w:color w:val="auto"/>
          <w:rtl/>
          <w:lang w:eastAsia="en-US"/>
        </w:rPr>
        <w:t>_</w:t>
      </w:r>
      <w:r>
        <w:rPr>
          <w:rFonts w:ascii="Traditional Arabic" w:hAnsi="Traditional Arabic" w:hint="cs"/>
          <w:noProof w:val="0"/>
          <w:color w:val="auto"/>
          <w:rtl/>
          <w:lang w:eastAsia="en-US"/>
        </w:rPr>
        <w:t>أن</w:t>
      </w:r>
      <w:r w:rsidR="006F4B08">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 xml:space="preserve">النبي </w:t>
      </w:r>
      <w:r w:rsidR="00F350DE">
        <w:rPr>
          <w:rFonts w:ascii="Traditional Arabic" w:hAnsi="Traditional Arabic"/>
          <w:noProof w:val="0"/>
          <w:color w:val="auto"/>
          <w:rtl/>
          <w:lang w:eastAsia="en-US"/>
        </w:rPr>
        <w:sym w:font="AGA Arabesque" w:char="F072"/>
      </w:r>
      <w:r>
        <w:rPr>
          <w:rFonts w:ascii="Traditional Arabic" w:hAnsi="Traditional Arabic" w:hint="cs"/>
          <w:noProof w:val="0"/>
          <w:color w:val="auto"/>
          <w:rtl/>
          <w:lang w:eastAsia="en-US"/>
        </w:rPr>
        <w:t xml:space="preserve"> سُئل </w:t>
      </w:r>
      <w:r w:rsidRPr="004538A0">
        <w:rPr>
          <w:rFonts w:ascii="Traditional Arabic" w:hAnsi="Traditional Arabic"/>
          <w:noProof w:val="0"/>
          <w:color w:val="auto"/>
          <w:rtl/>
          <w:lang w:eastAsia="en-US"/>
        </w:rPr>
        <w:t>عن الخمر تتخذ خ</w:t>
      </w:r>
      <w:r w:rsidR="000D2C32">
        <w:rPr>
          <w:rFonts w:ascii="Traditional Arabic" w:hAnsi="Traditional Arabic" w:hint="cs"/>
          <w:noProof w:val="0"/>
          <w:color w:val="auto"/>
          <w:rtl/>
          <w:lang w:eastAsia="en-US"/>
        </w:rPr>
        <w:t>َ</w:t>
      </w:r>
      <w:r w:rsidRPr="004538A0">
        <w:rPr>
          <w:rFonts w:ascii="Traditional Arabic" w:hAnsi="Traditional Arabic"/>
          <w:noProof w:val="0"/>
          <w:color w:val="auto"/>
          <w:rtl/>
          <w:lang w:eastAsia="en-US"/>
        </w:rPr>
        <w:t>لا</w:t>
      </w:r>
      <w:r w:rsidR="000D2C32">
        <w:rPr>
          <w:rFonts w:ascii="Traditional Arabic" w:hAnsi="Traditional Arabic" w:hint="cs"/>
          <w:noProof w:val="0"/>
          <w:color w:val="auto"/>
          <w:rtl/>
          <w:lang w:eastAsia="en-US"/>
        </w:rPr>
        <w:t>ًّ</w:t>
      </w:r>
      <w:r w:rsidR="007A5A1C">
        <w:rPr>
          <w:rFonts w:ascii="Traditional Arabic" w:hAnsi="Traditional Arabic"/>
          <w:noProof w:val="0"/>
          <w:color w:val="auto"/>
          <w:rtl/>
          <w:lang w:eastAsia="en-US"/>
        </w:rPr>
        <w:t>؟</w:t>
      </w:r>
      <w:r w:rsidRPr="004538A0">
        <w:rPr>
          <w:rFonts w:ascii="Traditional Arabic" w:hAnsi="Traditional Arabic"/>
          <w:noProof w:val="0"/>
          <w:color w:val="auto"/>
          <w:rtl/>
          <w:lang w:eastAsia="en-US"/>
        </w:rPr>
        <w:t xml:space="preserve"> قال: "لا"</w:t>
      </w:r>
      <w:r w:rsidR="00AB0B9E">
        <w:rPr>
          <w:rFonts w:ascii="Traditional Arabic" w:hAnsi="Traditional Arabic"/>
          <w:noProof w:val="0"/>
          <w:color w:val="auto"/>
          <w:rtl/>
          <w:lang w:eastAsia="en-US"/>
        </w:rPr>
        <w:fldChar w:fldCharType="begin"/>
      </w:r>
      <w:r w:rsidR="007A5A1C" w:rsidRPr="00C85F0F">
        <w:instrText>XE</w:instrText>
      </w:r>
      <w:r w:rsidR="007A5A1C" w:rsidRPr="00C85F0F">
        <w:rPr>
          <w:rtl/>
        </w:rPr>
        <w:instrText xml:space="preserve"> "</w:instrText>
      </w:r>
      <w:r w:rsidR="007A5A1C" w:rsidRPr="00C85F0F">
        <w:rPr>
          <w:rFonts w:ascii="Traditional Arabic" w:hAnsi="Traditional Arabic" w:hint="cs"/>
          <w:noProof w:val="0"/>
          <w:color w:val="auto"/>
          <w:rtl/>
          <w:lang w:eastAsia="en-US"/>
        </w:rPr>
        <w:instrText xml:space="preserve">سُئل النبي </w:instrText>
      </w:r>
      <w:r w:rsidR="007A5A1C" w:rsidRPr="00C85F0F">
        <w:rPr>
          <w:rFonts w:ascii="Traditional Arabic" w:hAnsi="Traditional Arabic"/>
          <w:noProof w:val="0"/>
          <w:color w:val="auto"/>
          <w:rtl/>
          <w:lang w:eastAsia="en-US"/>
        </w:rPr>
        <w:sym w:font="AGA Arabesque" w:char="F072"/>
      </w:r>
      <w:r w:rsidR="007A5A1C" w:rsidRPr="00C85F0F">
        <w:rPr>
          <w:rFonts w:ascii="Traditional Arabic" w:hAnsi="Traditional Arabic"/>
          <w:noProof w:val="0"/>
          <w:color w:val="auto"/>
          <w:rtl/>
          <w:lang w:eastAsia="en-US"/>
        </w:rPr>
        <w:instrText>عن الخمر تتخذ خلا؟ قال</w:instrText>
      </w:r>
      <w:r w:rsidR="007A5A1C" w:rsidRPr="00C85F0F">
        <w:rPr>
          <w:rtl/>
        </w:rPr>
        <w:instrText>\</w:instrText>
      </w:r>
      <w:r w:rsidR="007A5A1C" w:rsidRPr="00C85F0F">
        <w:rPr>
          <w:rFonts w:ascii="Traditional Arabic" w:hAnsi="Traditional Arabic"/>
          <w:noProof w:val="0"/>
          <w:color w:val="auto"/>
          <w:rtl/>
          <w:lang w:eastAsia="en-US"/>
        </w:rPr>
        <w:instrText xml:space="preserve">: </w:instrText>
      </w:r>
      <w:r w:rsidR="007A5A1C" w:rsidRPr="00C85F0F">
        <w:rPr>
          <w:sz w:val="20"/>
          <w:szCs w:val="20"/>
          <w:rtl/>
        </w:rPr>
        <w:instrText>\</w:instrText>
      </w:r>
      <w:r w:rsidR="007A5A1C" w:rsidRPr="00C85F0F">
        <w:rPr>
          <w:rFonts w:ascii="Traditional Arabic" w:hAnsi="Traditional Arabic"/>
          <w:noProof w:val="0"/>
          <w:color w:val="auto"/>
          <w:rtl/>
          <w:lang w:eastAsia="en-US"/>
        </w:rPr>
        <w:instrText>"لا</w:instrText>
      </w:r>
      <w:r w:rsidR="007A5A1C" w:rsidRPr="00C85F0F">
        <w:rPr>
          <w:sz w:val="20"/>
          <w:szCs w:val="20"/>
          <w:rtl/>
        </w:rPr>
        <w:instrText>\</w:instrText>
      </w:r>
      <w:r w:rsidR="007A5A1C" w:rsidRPr="00C85F0F">
        <w:rPr>
          <w:rFonts w:ascii="Traditional Arabic" w:hAnsi="Traditional Arabic"/>
          <w:noProof w:val="0"/>
          <w:color w:val="auto"/>
          <w:rtl/>
          <w:lang w:eastAsia="en-US"/>
        </w:rPr>
        <w:instrText>"</w:instrText>
      </w:r>
      <w:r w:rsidR="007A5A1C" w:rsidRPr="00C85F0F">
        <w:rPr>
          <w:rtl/>
        </w:rPr>
        <w:instrText xml:space="preserve">" </w:instrText>
      </w:r>
      <w:r w:rsidR="007A5A1C" w:rsidRPr="00C85F0F">
        <w:rPr>
          <w:rtl/>
          <w:lang w:val="fr-FR"/>
        </w:rPr>
        <w:instrText>\</w:instrText>
      </w:r>
      <w:r w:rsidR="007A5A1C" w:rsidRPr="00C85F0F">
        <w:rPr>
          <w:lang w:val="fr-FR"/>
        </w:rPr>
        <w:instrText>f</w:instrText>
      </w:r>
      <w:r w:rsidR="007A5A1C">
        <w:rPr>
          <w:lang w:val="fr-FR"/>
        </w:rPr>
        <w:instrText>h</w:instrText>
      </w:r>
      <w:r w:rsidR="00AB0B9E">
        <w:rPr>
          <w:rFonts w:ascii="Traditional Arabic" w:hAnsi="Traditional Arabic"/>
          <w:noProof w:val="0"/>
          <w:color w:val="auto"/>
          <w:rtl/>
          <w:lang w:eastAsia="en-US"/>
        </w:rPr>
        <w:fldChar w:fldCharType="end"/>
      </w:r>
      <w:r w:rsidRPr="00C821A1">
        <w:rPr>
          <w:rStyle w:val="af1"/>
          <w:szCs w:val="32"/>
          <w:rtl/>
        </w:rPr>
        <w:t>(</w:t>
      </w:r>
      <w:r w:rsidRPr="00C821A1">
        <w:rPr>
          <w:rStyle w:val="af1"/>
          <w:szCs w:val="32"/>
          <w:rtl/>
        </w:rPr>
        <w:footnoteReference w:id="640"/>
      </w:r>
      <w:r w:rsidRPr="00C821A1">
        <w:rPr>
          <w:rStyle w:val="af1"/>
          <w:szCs w:val="32"/>
          <w:rtl/>
        </w:rPr>
        <w:t>)</w:t>
      </w:r>
      <w:r w:rsidRPr="004538A0">
        <w:rPr>
          <w:rFonts w:ascii="Traditional Arabic" w:hAnsi="Traditional Arabic"/>
          <w:noProof w:val="0"/>
          <w:color w:val="auto"/>
          <w:rtl/>
          <w:lang w:eastAsia="en-US"/>
        </w:rPr>
        <w:t>.</w:t>
      </w:r>
    </w:p>
    <w:p w:rsidR="00F228A9" w:rsidRDefault="00236A41" w:rsidP="00597C20">
      <w:pPr>
        <w:pStyle w:val="53"/>
      </w:pPr>
      <w:r w:rsidRPr="0061170C">
        <w:rPr>
          <w:rFonts w:hint="cs"/>
          <w:rtl/>
        </w:rPr>
        <w:lastRenderedPageBreak/>
        <w:t xml:space="preserve">وجه </w:t>
      </w:r>
      <w:r w:rsidRPr="00C07A7C">
        <w:rPr>
          <w:rFonts w:hint="cs"/>
          <w:rtl/>
        </w:rPr>
        <w:t>الدلالة</w:t>
      </w:r>
      <w:r w:rsidRPr="0061170C">
        <w:rPr>
          <w:rFonts w:hint="cs"/>
          <w:rtl/>
        </w:rPr>
        <w:t xml:space="preserve"> :</w:t>
      </w:r>
    </w:p>
    <w:p w:rsidR="00236A41" w:rsidRPr="00E716C1" w:rsidRDefault="00236A41" w:rsidP="00597C20">
      <w:pPr>
        <w:widowControl/>
        <w:autoSpaceDE w:val="0"/>
        <w:autoSpaceDN w:val="0"/>
        <w:adjustRightInd w:val="0"/>
        <w:ind w:firstLine="720"/>
        <w:rPr>
          <w:rFonts w:ascii="Traditional Arabic" w:hAnsi="Traditional Arabic"/>
          <w:b/>
          <w:bCs/>
          <w:noProof w:val="0"/>
          <w:rtl/>
          <w:lang w:eastAsia="en-US"/>
        </w:rPr>
      </w:pPr>
      <w:r w:rsidRPr="00E716C1">
        <w:rPr>
          <w:rFonts w:ascii="Traditional Arabic" w:hAnsi="Traditional Arabic" w:hint="cs"/>
          <w:noProof w:val="0"/>
          <w:color w:val="auto"/>
          <w:rtl/>
          <w:lang w:eastAsia="en-US"/>
        </w:rPr>
        <w:t xml:space="preserve">ذكر الشيخ ابن عثيمين </w:t>
      </w:r>
      <w:r w:rsidR="006F4B08">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6F4B08">
        <w:rPr>
          <w:rFonts w:ascii="Traditional Arabic" w:hAnsi="Traditional Arabic" w:hint="cs"/>
          <w:noProof w:val="0"/>
          <w:color w:val="auto"/>
          <w:rtl/>
          <w:lang w:eastAsia="en-US"/>
        </w:rPr>
        <w:t>_</w:t>
      </w:r>
      <w:r w:rsidRPr="00E716C1">
        <w:rPr>
          <w:rFonts w:ascii="Traditional Arabic" w:hAnsi="Traditional Arabic" w:hint="cs"/>
          <w:noProof w:val="0"/>
          <w:color w:val="auto"/>
          <w:rtl/>
          <w:lang w:eastAsia="en-US"/>
        </w:rPr>
        <w:t xml:space="preserve"> أن من </w:t>
      </w:r>
      <w:r w:rsidRPr="00E716C1">
        <w:rPr>
          <w:rFonts w:ascii="Traditional Arabic" w:hAnsi="Traditional Arabic" w:hint="cs"/>
          <w:b/>
          <w:bCs/>
          <w:noProof w:val="0"/>
          <w:color w:val="auto"/>
          <w:rtl/>
          <w:lang w:eastAsia="en-US"/>
        </w:rPr>
        <w:t>فوائد الحديث سد الذرائع</w:t>
      </w:r>
      <w:r w:rsidRPr="00E716C1">
        <w:rPr>
          <w:rFonts w:ascii="Traditional Arabic" w:hAnsi="Traditional Arabic" w:hint="cs"/>
          <w:noProof w:val="0"/>
          <w:color w:val="auto"/>
          <w:rtl/>
          <w:lang w:eastAsia="en-US"/>
        </w:rPr>
        <w:t>، ثم قال:</w:t>
      </w:r>
      <w:r w:rsidR="00B76414" w:rsidRPr="00E716C1">
        <w:rPr>
          <w:rFonts w:ascii="Traditional Arabic" w:hAnsi="Traditional Arabic" w:hint="cs"/>
          <w:noProof w:val="0"/>
          <w:color w:val="auto"/>
          <w:rtl/>
          <w:lang w:eastAsia="en-US"/>
        </w:rPr>
        <w:t>(</w:t>
      </w:r>
      <w:r w:rsidRPr="00E716C1">
        <w:rPr>
          <w:rFonts w:ascii="Traditional Arabic" w:hAnsi="Traditional Arabic" w:hint="cs"/>
          <w:noProof w:val="0"/>
          <w:color w:val="auto"/>
          <w:rtl/>
          <w:lang w:eastAsia="en-US"/>
        </w:rPr>
        <w:t xml:space="preserve">وَجْهُهُ أن النبي </w:t>
      </w:r>
      <w:r w:rsidR="00F350DE">
        <w:rPr>
          <w:rtl/>
          <w:lang w:eastAsia="en-US"/>
        </w:rPr>
        <w:sym w:font="AGA Arabesque" w:char="F072"/>
      </w:r>
      <w:r w:rsidRPr="00E716C1">
        <w:rPr>
          <w:rFonts w:ascii="Traditional Arabic" w:hAnsi="Traditional Arabic" w:hint="cs"/>
          <w:noProof w:val="0"/>
          <w:color w:val="auto"/>
          <w:rtl/>
          <w:lang w:eastAsia="en-US"/>
        </w:rPr>
        <w:t xml:space="preserve"> مَنع مِن اتخاذ الخمر [خلاًّ] لئلا يستبقيَها، وربما سوَّلتْ له نفسه أن يشربها</w:t>
      </w:r>
      <w:r w:rsidRPr="00C821A1">
        <w:rPr>
          <w:rStyle w:val="af1"/>
          <w:szCs w:val="32"/>
          <w:rtl/>
        </w:rPr>
        <w:t>(</w:t>
      </w:r>
      <w:r w:rsidRPr="00C821A1">
        <w:rPr>
          <w:rStyle w:val="af1"/>
          <w:szCs w:val="32"/>
          <w:rtl/>
        </w:rPr>
        <w:footnoteReference w:id="641"/>
      </w:r>
      <w:r w:rsidRPr="00C821A1">
        <w:rPr>
          <w:rStyle w:val="af1"/>
          <w:szCs w:val="32"/>
          <w:rtl/>
        </w:rPr>
        <w:t>)</w:t>
      </w:r>
      <w:r w:rsidRPr="00E716C1">
        <w:rPr>
          <w:rFonts w:ascii="Traditional Arabic" w:hAnsi="Traditional Arabic" w:hint="cs"/>
          <w:noProof w:val="0"/>
          <w:color w:val="auto"/>
          <w:rtl/>
          <w:lang w:eastAsia="en-US"/>
        </w:rPr>
        <w:t>.</w:t>
      </w:r>
    </w:p>
    <w:p w:rsidR="00236A41" w:rsidRPr="00D627A8" w:rsidRDefault="007A5DE8" w:rsidP="00A8347C">
      <w:pPr>
        <w:pStyle w:val="aff3"/>
        <w:rPr>
          <w:rtl/>
        </w:rPr>
      </w:pPr>
      <w:bookmarkStart w:id="127" w:name="_Toc334046376"/>
      <w:r>
        <w:rPr>
          <w:rFonts w:hint="cs"/>
          <w:rtl/>
        </w:rPr>
        <w:t xml:space="preserve">                   </w:t>
      </w:r>
      <w:r w:rsidR="006F4B08">
        <w:rPr>
          <w:rFonts w:hint="cs"/>
          <w:rtl/>
        </w:rPr>
        <w:t xml:space="preserve">                       </w:t>
      </w:r>
      <w:r w:rsidR="00236A41">
        <w:rPr>
          <w:rFonts w:hint="cs"/>
          <w:rtl/>
        </w:rPr>
        <w:t>المطلب الرابع</w:t>
      </w:r>
      <w:r w:rsidR="00236A41">
        <w:rPr>
          <w:rFonts w:hint="eastAsia"/>
          <w:rtl/>
        </w:rPr>
        <w:t> :</w:t>
      </w:r>
      <w:r w:rsidR="00236A41">
        <w:rPr>
          <w:rFonts w:hint="cs"/>
          <w:rtl/>
        </w:rPr>
        <w:br/>
      </w:r>
      <w:r>
        <w:rPr>
          <w:rFonts w:hint="cs"/>
          <w:rtl/>
        </w:rPr>
        <w:t xml:space="preserve">                   </w:t>
      </w:r>
      <w:r w:rsidR="000D2C32">
        <w:rPr>
          <w:rFonts w:hint="cs"/>
          <w:rtl/>
        </w:rPr>
        <w:t xml:space="preserve">                      تطبيقات</w:t>
      </w:r>
      <w:r w:rsidR="00236A41">
        <w:rPr>
          <w:rFonts w:hint="cs"/>
          <w:rtl/>
        </w:rPr>
        <w:t xml:space="preserve"> القاعدة</w:t>
      </w:r>
      <w:bookmarkEnd w:id="127"/>
    </w:p>
    <w:p w:rsidR="00236A41" w:rsidRPr="00D627A8" w:rsidRDefault="00236A41" w:rsidP="000A76C7">
      <w:pPr>
        <w:pStyle w:val="afc"/>
        <w:widowControl/>
        <w:numPr>
          <w:ilvl w:val="0"/>
          <w:numId w:val="104"/>
        </w:numPr>
        <w:autoSpaceDE w:val="0"/>
        <w:autoSpaceDN w:val="0"/>
        <w:adjustRightInd w:val="0"/>
        <w:jc w:val="left"/>
        <w:rPr>
          <w:rFonts w:ascii="Traditional Arabic" w:hAnsi="Traditional Arabic"/>
          <w:noProof w:val="0"/>
          <w:lang w:eastAsia="en-US"/>
        </w:rPr>
      </w:pPr>
      <w:r w:rsidRPr="00D627A8">
        <w:rPr>
          <w:rFonts w:ascii="Traditional Arabic" w:hAnsi="Traditional Arabic"/>
          <w:noProof w:val="0"/>
          <w:rtl/>
          <w:lang w:eastAsia="en-US"/>
        </w:rPr>
        <w:t>لا ي</w:t>
      </w:r>
      <w:r w:rsidRPr="00D627A8">
        <w:rPr>
          <w:rFonts w:ascii="Traditional Arabic" w:hAnsi="Traditional Arabic" w:hint="cs"/>
          <w:noProof w:val="0"/>
          <w:rtl/>
          <w:lang w:eastAsia="en-US"/>
        </w:rPr>
        <w:t>جوز بَيع</w:t>
      </w:r>
      <w:r w:rsidRPr="00D627A8">
        <w:rPr>
          <w:rFonts w:ascii="Traditional Arabic" w:hAnsi="Traditional Arabic"/>
          <w:noProof w:val="0"/>
          <w:rtl/>
          <w:lang w:eastAsia="en-US"/>
        </w:rPr>
        <w:t xml:space="preserve"> ر</w:t>
      </w:r>
      <w:r w:rsidRPr="00D627A8">
        <w:rPr>
          <w:rFonts w:ascii="Traditional Arabic" w:hAnsi="Traditional Arabic" w:hint="cs"/>
          <w:noProof w:val="0"/>
          <w:rtl/>
          <w:lang w:eastAsia="en-US"/>
        </w:rPr>
        <w:t>ِ</w:t>
      </w:r>
      <w:r w:rsidRPr="00D627A8">
        <w:rPr>
          <w:rFonts w:ascii="Traditional Arabic" w:hAnsi="Traditional Arabic"/>
          <w:noProof w:val="0"/>
          <w:rtl/>
          <w:lang w:eastAsia="en-US"/>
        </w:rPr>
        <w:t>ب</w:t>
      </w:r>
      <w:r w:rsidRPr="00D627A8">
        <w:rPr>
          <w:rFonts w:ascii="Traditional Arabic" w:hAnsi="Traditional Arabic" w:hint="cs"/>
          <w:noProof w:val="0"/>
          <w:rtl/>
          <w:lang w:eastAsia="en-US"/>
        </w:rPr>
        <w:t>َ</w:t>
      </w:r>
      <w:r w:rsidRPr="00D627A8">
        <w:rPr>
          <w:rFonts w:ascii="Traditional Arabic" w:hAnsi="Traditional Arabic"/>
          <w:noProof w:val="0"/>
          <w:rtl/>
          <w:lang w:eastAsia="en-US"/>
        </w:rPr>
        <w:t>وي</w:t>
      </w:r>
      <w:r w:rsidRPr="00D627A8">
        <w:rPr>
          <w:rFonts w:ascii="Traditional Arabic" w:hAnsi="Traditional Arabic" w:hint="cs"/>
          <w:noProof w:val="0"/>
          <w:rtl/>
          <w:lang w:eastAsia="en-US"/>
        </w:rPr>
        <w:t>ّ</w:t>
      </w:r>
      <w:r w:rsidRPr="00D627A8">
        <w:rPr>
          <w:rFonts w:ascii="Traditional Arabic" w:hAnsi="Traditional Arabic"/>
          <w:noProof w:val="0"/>
          <w:rtl/>
          <w:lang w:eastAsia="en-US"/>
        </w:rPr>
        <w:t xml:space="preserve"> بجنسه</w:t>
      </w:r>
      <w:r w:rsidR="00A61A86" w:rsidRPr="00A61A86">
        <w:rPr>
          <w:rFonts w:ascii="Traditional Arabic" w:hAnsi="Traditional Arabic" w:hint="cs"/>
          <w:noProof w:val="0"/>
          <w:vertAlign w:val="superscript"/>
          <w:rtl/>
          <w:lang w:eastAsia="en-US"/>
        </w:rPr>
        <w:t>(</w:t>
      </w:r>
      <w:r w:rsidR="000D2C32" w:rsidRPr="00A61A86">
        <w:rPr>
          <w:rStyle w:val="af1"/>
          <w:rFonts w:ascii="Traditional Arabic" w:hAnsi="Traditional Arabic"/>
          <w:noProof w:val="0"/>
          <w:rtl/>
          <w:lang w:eastAsia="en-US"/>
        </w:rPr>
        <w:footnoteReference w:id="642"/>
      </w:r>
      <w:r w:rsidR="00A61A86" w:rsidRPr="00A61A86">
        <w:rPr>
          <w:rFonts w:ascii="Traditional Arabic" w:hAnsi="Traditional Arabic" w:hint="cs"/>
          <w:noProof w:val="0"/>
          <w:vertAlign w:val="superscript"/>
          <w:rtl/>
          <w:lang w:eastAsia="en-US"/>
        </w:rPr>
        <w:t>)</w:t>
      </w:r>
      <w:r w:rsidRPr="00D627A8">
        <w:rPr>
          <w:rFonts w:ascii="Traditional Arabic" w:hAnsi="Traditional Arabic"/>
          <w:noProof w:val="0"/>
          <w:rtl/>
          <w:lang w:eastAsia="en-US"/>
        </w:rPr>
        <w:t xml:space="preserve"> ومعه أو معهما من غير جنسهما</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643"/>
      </w:r>
      <w:r w:rsidRPr="00C821A1">
        <w:rPr>
          <w:rFonts w:ascii="Traditional Arabic" w:hAnsi="Traditional Arabic" w:hint="cs"/>
          <w:noProof w:val="0"/>
          <w:szCs w:val="32"/>
          <w:vertAlign w:val="superscript"/>
          <w:rtl/>
          <w:lang w:eastAsia="en-US"/>
        </w:rPr>
        <w:t>)</w:t>
      </w:r>
      <w:r w:rsidRPr="00D627A8">
        <w:rPr>
          <w:rFonts w:ascii="Traditional Arabic" w:hAnsi="Traditional Arabic" w:hint="cs"/>
          <w:noProof w:val="0"/>
          <w:rtl/>
          <w:lang w:eastAsia="en-US"/>
        </w:rPr>
        <w:t>.</w:t>
      </w:r>
    </w:p>
    <w:p w:rsidR="00F228A9" w:rsidRDefault="00236A41" w:rsidP="00597C20">
      <w:pPr>
        <w:pStyle w:val="53"/>
        <w:rPr>
          <w:rtl/>
        </w:rPr>
      </w:pPr>
      <w:r w:rsidRPr="006228CC">
        <w:rPr>
          <w:rFonts w:hint="cs"/>
          <w:rtl/>
        </w:rPr>
        <w:t>وجه اندراج الفرع تحت القاعدة:</w:t>
      </w:r>
    </w:p>
    <w:p w:rsidR="00F228A9" w:rsidRPr="00E716C1" w:rsidRDefault="00236A41" w:rsidP="00597C20">
      <w:pPr>
        <w:widowControl/>
        <w:autoSpaceDE w:val="0"/>
        <w:autoSpaceDN w:val="0"/>
        <w:adjustRightInd w:val="0"/>
        <w:ind w:firstLine="720"/>
        <w:rPr>
          <w:rFonts w:ascii="Traditional Arabic" w:hAnsi="Traditional Arabic"/>
          <w:noProof w:val="0"/>
          <w:rtl/>
          <w:lang w:eastAsia="en-US"/>
        </w:rPr>
      </w:pPr>
      <w:r w:rsidRPr="00E716C1">
        <w:rPr>
          <w:rFonts w:ascii="Traditional Arabic" w:hAnsi="Traditional Arabic" w:hint="cs"/>
          <w:b/>
          <w:bCs/>
          <w:noProof w:val="0"/>
          <w:rtl/>
          <w:lang w:eastAsia="en-US"/>
        </w:rPr>
        <w:t>إن ذلك وسيلة إلى بيع الرِّبَوي بجنسه متفاضلا</w:t>
      </w:r>
      <w:r w:rsidRPr="00E716C1">
        <w:rPr>
          <w:rFonts w:ascii="Traditional Arabic" w:hAnsi="Traditional Arabic" w:hint="cs"/>
          <w:noProof w:val="0"/>
          <w:rtl/>
          <w:lang w:eastAsia="en-US"/>
        </w:rPr>
        <w:t>، كأن يبيع ألف درهم في كيس بألفي درهم،</w:t>
      </w:r>
      <w:r w:rsidR="00154102" w:rsidRPr="00E716C1">
        <w:rPr>
          <w:rFonts w:ascii="Traditional Arabic" w:hAnsi="Traditional Arabic" w:hint="cs"/>
          <w:noProof w:val="0"/>
          <w:rtl/>
          <w:lang w:eastAsia="en-US"/>
        </w:rPr>
        <w:t xml:space="preserve"> و</w:t>
      </w:r>
      <w:r w:rsidRPr="00E716C1">
        <w:rPr>
          <w:rFonts w:ascii="Traditional Arabic" w:hAnsi="Traditional Arabic" w:hint="cs"/>
          <w:noProof w:val="0"/>
          <w:rtl/>
          <w:lang w:eastAsia="en-US"/>
        </w:rPr>
        <w:t>يجعل الألف الزائدة في مُقابَلة الكيس،</w:t>
      </w:r>
      <w:r w:rsidR="00154102" w:rsidRPr="00E716C1">
        <w:rPr>
          <w:rFonts w:ascii="Traditional Arabic" w:hAnsi="Traditional Arabic" w:hint="cs"/>
          <w:noProof w:val="0"/>
          <w:rtl/>
          <w:lang w:eastAsia="en-US"/>
        </w:rPr>
        <w:t xml:space="preserve"> و</w:t>
      </w:r>
      <w:r w:rsidRPr="00E716C1">
        <w:rPr>
          <w:rFonts w:ascii="Traditional Arabic" w:hAnsi="Traditional Arabic" w:hint="cs"/>
          <w:noProof w:val="0"/>
          <w:rtl/>
          <w:lang w:eastAsia="en-US"/>
        </w:rPr>
        <w:t xml:space="preserve">لما كان ذلك تحايُلا على الربا </w:t>
      </w:r>
      <w:r w:rsidRPr="00E716C1">
        <w:rPr>
          <w:rFonts w:ascii="Traditional Arabic" w:hAnsi="Traditional Arabic" w:hint="cs"/>
          <w:b/>
          <w:bCs/>
          <w:noProof w:val="0"/>
          <w:rtl/>
          <w:lang w:eastAsia="en-US"/>
        </w:rPr>
        <w:t>مُنِع سدّاً للذَّريعة</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644"/>
      </w:r>
      <w:r w:rsidRPr="00C821A1">
        <w:rPr>
          <w:rFonts w:ascii="Traditional Arabic" w:hAnsi="Traditional Arabic" w:hint="cs"/>
          <w:noProof w:val="0"/>
          <w:szCs w:val="32"/>
          <w:vertAlign w:val="superscript"/>
          <w:rtl/>
          <w:lang w:eastAsia="en-US"/>
        </w:rPr>
        <w:t>)</w:t>
      </w:r>
      <w:r w:rsidRPr="00E716C1">
        <w:rPr>
          <w:rFonts w:ascii="Traditional Arabic" w:hAnsi="Traditional Arabic" w:hint="cs"/>
          <w:noProof w:val="0"/>
          <w:rtl/>
          <w:lang w:eastAsia="en-US"/>
        </w:rPr>
        <w:t>.</w:t>
      </w:r>
    </w:p>
    <w:p w:rsidR="000D2C32" w:rsidRPr="000D2C32" w:rsidRDefault="00236A41" w:rsidP="000A76C7">
      <w:pPr>
        <w:pStyle w:val="afc"/>
        <w:numPr>
          <w:ilvl w:val="0"/>
          <w:numId w:val="104"/>
        </w:numPr>
        <w:rPr>
          <w:rFonts w:ascii="Traditional Arabic" w:hAnsi="Traditional Arabic"/>
          <w:b/>
          <w:bCs/>
          <w:color w:val="auto"/>
        </w:rPr>
      </w:pPr>
      <w:r w:rsidRPr="00D627A8">
        <w:rPr>
          <w:rFonts w:ascii="Traditional Arabic" w:hAnsi="Traditional Arabic" w:hint="cs"/>
          <w:color w:val="auto"/>
          <w:rtl/>
        </w:rPr>
        <w:lastRenderedPageBreak/>
        <w:t>يلزم الرهن</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645"/>
      </w:r>
      <w:r w:rsidRPr="00C821A1">
        <w:rPr>
          <w:rFonts w:ascii="Traditional Arabic" w:hAnsi="Traditional Arabic" w:hint="cs"/>
          <w:color w:val="auto"/>
          <w:szCs w:val="32"/>
          <w:vertAlign w:val="superscript"/>
          <w:rtl/>
        </w:rPr>
        <w:t>)</w:t>
      </w:r>
      <w:r w:rsidRPr="00D627A8">
        <w:rPr>
          <w:rFonts w:ascii="Traditional Arabic" w:hAnsi="Traditional Arabic" w:hint="cs"/>
          <w:color w:val="auto"/>
          <w:rtl/>
        </w:rPr>
        <w:t xml:space="preserve"> في حق الراهن بمجرد العقد،</w:t>
      </w:r>
      <w:r w:rsidR="00154102">
        <w:rPr>
          <w:rFonts w:ascii="Traditional Arabic" w:hAnsi="Traditional Arabic" w:hint="cs"/>
          <w:color w:val="auto"/>
          <w:rtl/>
        </w:rPr>
        <w:t xml:space="preserve"> و</w:t>
      </w:r>
      <w:r w:rsidRPr="00D627A8">
        <w:rPr>
          <w:rFonts w:ascii="Traditional Arabic" w:hAnsi="Traditional Arabic" w:hint="cs"/>
          <w:color w:val="auto"/>
          <w:rtl/>
        </w:rPr>
        <w:t>لا يُشترط القَبْض في لُزومه؛ لقوله تعالى:</w:t>
      </w:r>
      <w:bookmarkStart w:id="128" w:name="سورة_المائدة_1_2"/>
    </w:p>
    <w:p w:rsidR="00236A41" w:rsidRPr="000D2C32" w:rsidRDefault="00236A41" w:rsidP="000D2C32">
      <w:pPr>
        <w:ind w:left="360" w:firstLine="0"/>
        <w:rPr>
          <w:rFonts w:ascii="Traditional Arabic" w:hAnsi="Traditional Arabic"/>
          <w:b/>
          <w:bCs/>
          <w:color w:val="auto"/>
        </w:rPr>
      </w:pPr>
      <w:r w:rsidRPr="000D2C32">
        <w:rPr>
          <w:rFonts w:ascii="QCF_BSML" w:hAnsi="QCF_BSML" w:cs="QCF_BSML"/>
          <w:noProof w:val="0"/>
          <w:rtl/>
          <w:lang w:eastAsia="en-US"/>
        </w:rPr>
        <w:t xml:space="preserve">ﭽ </w:t>
      </w:r>
      <w:r w:rsidRPr="000D2C32">
        <w:rPr>
          <w:rFonts w:ascii="QCF_P106" w:hAnsi="QCF_P106" w:cs="QCF_P106"/>
          <w:noProof w:val="0"/>
          <w:rtl/>
          <w:lang w:eastAsia="en-US"/>
        </w:rPr>
        <w:t>ﮊﮋﮌﮍﮎ</w:t>
      </w:r>
      <w:r w:rsidRPr="000D2C32">
        <w:rPr>
          <w:rFonts w:ascii="QCF_BSML" w:hAnsi="QCF_BSML" w:cs="QCF_BSML"/>
          <w:noProof w:val="0"/>
          <w:rtl/>
          <w:lang w:eastAsia="en-US"/>
        </w:rPr>
        <w:t>ﭼ</w:t>
      </w:r>
      <w:bookmarkEnd w:id="128"/>
      <w:r w:rsidRPr="000D2C32">
        <w:rPr>
          <w:rFonts w:ascii="Arial" w:hAnsi="Arial" w:cs="Arial" w:hint="cs"/>
          <w:noProof w:val="0"/>
          <w:color w:val="auto"/>
          <w:sz w:val="27"/>
          <w:szCs w:val="27"/>
          <w:rtl/>
          <w:lang w:eastAsia="en-US"/>
        </w:rPr>
        <w:t>[</w:t>
      </w:r>
      <w:r w:rsidRPr="000D2C32">
        <w:rPr>
          <w:rFonts w:ascii="Arial" w:hAnsi="Arial" w:cs="Arial"/>
          <w:noProof w:val="0"/>
          <w:color w:val="auto"/>
          <w:sz w:val="27"/>
          <w:szCs w:val="27"/>
          <w:rtl/>
          <w:lang w:eastAsia="en-US"/>
        </w:rPr>
        <w:t>المائدة: ١</w:t>
      </w:r>
      <w:r w:rsidRPr="000D2C32">
        <w:rPr>
          <w:rFonts w:ascii="Traditional Arabic" w:hAnsi="Traditional Arabic" w:hint="cs"/>
          <w:color w:val="auto"/>
          <w:rtl/>
        </w:rPr>
        <w:t>]،</w:t>
      </w:r>
      <w:r w:rsidR="00154102" w:rsidRPr="000D2C32">
        <w:rPr>
          <w:rFonts w:ascii="Traditional Arabic" w:hAnsi="Traditional Arabic" w:hint="cs"/>
          <w:color w:val="auto"/>
          <w:rtl/>
        </w:rPr>
        <w:t xml:space="preserve"> و</w:t>
      </w:r>
      <w:r w:rsidRPr="000D2C32">
        <w:rPr>
          <w:rFonts w:ascii="Traditional Arabic" w:hAnsi="Traditional Arabic" w:hint="cs"/>
          <w:color w:val="auto"/>
          <w:rtl/>
        </w:rPr>
        <w:t>هذا يدخل فيه عقد الرهن سواء قُبض المرهون أم لم يُقبَض</w:t>
      </w:r>
      <w:r w:rsidRPr="000D2C32">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646"/>
      </w:r>
      <w:r w:rsidRPr="000D2C32">
        <w:rPr>
          <w:rFonts w:ascii="Traditional Arabic" w:hAnsi="Traditional Arabic" w:hint="cs"/>
          <w:color w:val="auto"/>
          <w:szCs w:val="32"/>
          <w:vertAlign w:val="superscript"/>
          <w:rtl/>
        </w:rPr>
        <w:t>)</w:t>
      </w:r>
      <w:r w:rsidRPr="000D2C32">
        <w:rPr>
          <w:rFonts w:ascii="Traditional Arabic" w:hAnsi="Traditional Arabic" w:hint="cs"/>
          <w:color w:val="auto"/>
          <w:rtl/>
        </w:rPr>
        <w:t>.</w:t>
      </w:r>
    </w:p>
    <w:p w:rsidR="00236A41" w:rsidRPr="00675A85" w:rsidRDefault="00236A41" w:rsidP="00597C20">
      <w:pPr>
        <w:pStyle w:val="53"/>
        <w:rPr>
          <w:rtl/>
        </w:rPr>
      </w:pPr>
      <w:r w:rsidRPr="00675A85">
        <w:rPr>
          <w:rFonts w:hint="cs"/>
          <w:rtl/>
        </w:rPr>
        <w:t>وجه اندراج الفرع تحت القاعدة:</w:t>
      </w:r>
    </w:p>
    <w:p w:rsidR="00236A41" w:rsidRDefault="00236A41" w:rsidP="00597C20">
      <w:pPr>
        <w:pStyle w:val="afc"/>
        <w:ind w:left="1174" w:firstLine="0"/>
        <w:rPr>
          <w:rFonts w:ascii="Traditional Arabic" w:hAnsi="Traditional Arabic"/>
          <w:color w:val="auto"/>
          <w:rtl/>
        </w:rPr>
      </w:pPr>
      <w:r>
        <w:rPr>
          <w:rFonts w:ascii="Traditional Arabic" w:hAnsi="Traditional Arabic" w:hint="cs"/>
          <w:color w:val="auto"/>
          <w:rtl/>
        </w:rPr>
        <w:t>لو قيل بعدم لزوم الرهن إلا بالقبض، لكان في ذلك فتحُ بابٍ لكلِّ مُتحيِّل، يتحيَّل على الْمُرْتهِن ببيع الرهن بعد العقد</w:t>
      </w:r>
      <w:r w:rsidR="00154102">
        <w:rPr>
          <w:rFonts w:ascii="Traditional Arabic" w:hAnsi="Traditional Arabic" w:hint="cs"/>
          <w:color w:val="auto"/>
          <w:rtl/>
        </w:rPr>
        <w:t xml:space="preserve"> و</w:t>
      </w:r>
      <w:r>
        <w:rPr>
          <w:rFonts w:ascii="Traditional Arabic" w:hAnsi="Traditional Arabic" w:hint="cs"/>
          <w:color w:val="auto"/>
          <w:rtl/>
        </w:rPr>
        <w:t>فَسْخ الرهن،</w:t>
      </w:r>
      <w:r w:rsidRPr="002B1C53">
        <w:rPr>
          <w:rFonts w:ascii="Traditional Arabic" w:hAnsi="Traditional Arabic" w:hint="cs"/>
          <w:b/>
          <w:bCs/>
          <w:color w:val="auto"/>
          <w:rtl/>
        </w:rPr>
        <w:t xml:space="preserve"> وما كان ذَريعة</w:t>
      </w:r>
      <w:r>
        <w:rPr>
          <w:rFonts w:ascii="Traditional Arabic" w:hAnsi="Traditional Arabic" w:hint="cs"/>
          <w:b/>
          <w:bCs/>
          <w:color w:val="auto"/>
          <w:rtl/>
        </w:rPr>
        <w:t>ً</w:t>
      </w:r>
      <w:r w:rsidRPr="002B1C53">
        <w:rPr>
          <w:rFonts w:ascii="Traditional Arabic" w:hAnsi="Traditional Arabic" w:hint="cs"/>
          <w:b/>
          <w:bCs/>
          <w:color w:val="auto"/>
          <w:rtl/>
        </w:rPr>
        <w:t xml:space="preserve"> إلى باطل فهو باط</w:t>
      </w:r>
      <w:r w:rsidR="000D2C32">
        <w:rPr>
          <w:rFonts w:ascii="Traditional Arabic" w:hAnsi="Traditional Arabic" w:hint="cs"/>
          <w:b/>
          <w:bCs/>
          <w:color w:val="auto"/>
          <w:rtl/>
        </w:rPr>
        <w:t xml:space="preserve">ل؛ لهذا </w:t>
      </w:r>
      <w:r w:rsidRPr="00AD6DDA">
        <w:rPr>
          <w:rFonts w:ascii="Traditional Arabic" w:hAnsi="Traditional Arabic" w:hint="cs"/>
          <w:b/>
          <w:bCs/>
          <w:color w:val="auto"/>
          <w:rtl/>
        </w:rPr>
        <w:t>يقال بلزوم الرهن بمجر</w:t>
      </w:r>
      <w:r>
        <w:rPr>
          <w:rFonts w:ascii="Traditional Arabic" w:hAnsi="Traditional Arabic" w:hint="cs"/>
          <w:b/>
          <w:bCs/>
          <w:color w:val="auto"/>
          <w:rtl/>
        </w:rPr>
        <w:t>َّ</w:t>
      </w:r>
      <w:r w:rsidRPr="00AD6DDA">
        <w:rPr>
          <w:rFonts w:ascii="Traditional Arabic" w:hAnsi="Traditional Arabic" w:hint="cs"/>
          <w:b/>
          <w:bCs/>
          <w:color w:val="auto"/>
          <w:rtl/>
        </w:rPr>
        <w:t>د العقد سد</w:t>
      </w:r>
      <w:r>
        <w:rPr>
          <w:rFonts w:ascii="Traditional Arabic" w:hAnsi="Traditional Arabic" w:hint="cs"/>
          <w:b/>
          <w:bCs/>
          <w:color w:val="auto"/>
          <w:rtl/>
        </w:rPr>
        <w:t>ّ</w:t>
      </w:r>
      <w:r w:rsidRPr="00AD6DDA">
        <w:rPr>
          <w:rFonts w:ascii="Traditional Arabic" w:hAnsi="Traditional Arabic" w:hint="cs"/>
          <w:b/>
          <w:bCs/>
          <w:color w:val="auto"/>
          <w:rtl/>
        </w:rPr>
        <w:t>ا</w:t>
      </w:r>
      <w:r>
        <w:rPr>
          <w:rFonts w:ascii="Traditional Arabic" w:hAnsi="Traditional Arabic" w:hint="cs"/>
          <w:b/>
          <w:bCs/>
          <w:color w:val="auto"/>
          <w:rtl/>
        </w:rPr>
        <w:t>ً</w:t>
      </w:r>
      <w:r w:rsidRPr="00AD6DDA">
        <w:rPr>
          <w:rFonts w:ascii="Traditional Arabic" w:hAnsi="Traditional Arabic" w:hint="cs"/>
          <w:b/>
          <w:bCs/>
          <w:color w:val="auto"/>
          <w:rtl/>
        </w:rPr>
        <w:t xml:space="preserve"> للذريعة</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647"/>
      </w:r>
      <w:r w:rsidRPr="00C821A1">
        <w:rPr>
          <w:rFonts w:ascii="Traditional Arabic" w:hAnsi="Traditional Arabic" w:hint="cs"/>
          <w:color w:val="auto"/>
          <w:szCs w:val="32"/>
          <w:vertAlign w:val="superscript"/>
          <w:rtl/>
        </w:rPr>
        <w:t>)</w:t>
      </w:r>
      <w:r>
        <w:rPr>
          <w:rFonts w:ascii="Traditional Arabic" w:hAnsi="Traditional Arabic" w:hint="cs"/>
          <w:color w:val="auto"/>
          <w:rtl/>
        </w:rPr>
        <w:t>.</w:t>
      </w:r>
    </w:p>
    <w:p w:rsidR="00236A41" w:rsidRPr="00DB41B8" w:rsidRDefault="00236A41" w:rsidP="000A76C7">
      <w:pPr>
        <w:pStyle w:val="afc"/>
        <w:widowControl/>
        <w:numPr>
          <w:ilvl w:val="0"/>
          <w:numId w:val="104"/>
        </w:numPr>
        <w:autoSpaceDE w:val="0"/>
        <w:autoSpaceDN w:val="0"/>
        <w:adjustRightInd w:val="0"/>
        <w:rPr>
          <w:rFonts w:ascii="Traditional Arabic" w:hAnsi="Traditional Arabic"/>
          <w:noProof w:val="0"/>
          <w:color w:val="auto"/>
          <w:rtl/>
          <w:lang w:eastAsia="en-US"/>
        </w:rPr>
      </w:pPr>
      <w:r>
        <w:rPr>
          <w:rFonts w:ascii="Traditional Arabic" w:hAnsi="Traditional Arabic"/>
          <w:noProof w:val="0"/>
          <w:color w:val="auto"/>
          <w:rtl/>
          <w:lang w:eastAsia="en-US"/>
        </w:rPr>
        <w:t>لا</w:t>
      </w:r>
      <w:r>
        <w:rPr>
          <w:rFonts w:ascii="Traditional Arabic" w:hAnsi="Traditional Arabic" w:hint="cs"/>
          <w:noProof w:val="0"/>
          <w:color w:val="auto"/>
          <w:rtl/>
          <w:lang w:eastAsia="en-US"/>
        </w:rPr>
        <w:t xml:space="preserve">يُقبَل إقرار المحجور عليه في عَيْنِ </w:t>
      </w:r>
      <w:r>
        <w:rPr>
          <w:rFonts w:ascii="Traditional Arabic" w:hAnsi="Traditional Arabic"/>
          <w:noProof w:val="0"/>
          <w:color w:val="auto"/>
          <w:rtl/>
          <w:lang w:eastAsia="en-US"/>
        </w:rPr>
        <w:t>م</w:t>
      </w:r>
      <w:r w:rsidRPr="00DB41B8">
        <w:rPr>
          <w:rFonts w:ascii="Traditional Arabic" w:hAnsi="Traditional Arabic"/>
          <w:noProof w:val="0"/>
          <w:color w:val="auto"/>
          <w:rtl/>
          <w:lang w:eastAsia="en-US"/>
        </w:rPr>
        <w:t>ا</w:t>
      </w:r>
      <w:r>
        <w:rPr>
          <w:rFonts w:ascii="Traditional Arabic" w:hAnsi="Traditional Arabic" w:hint="cs"/>
          <w:noProof w:val="0"/>
          <w:color w:val="auto"/>
          <w:rtl/>
          <w:lang w:eastAsia="en-US"/>
        </w:rPr>
        <w:t>ِ</w:t>
      </w:r>
      <w:r w:rsidRPr="00DB41B8">
        <w:rPr>
          <w:rFonts w:ascii="Traditional Arabic" w:hAnsi="Traditional Arabic"/>
          <w:noProof w:val="0"/>
          <w:color w:val="auto"/>
          <w:rtl/>
          <w:lang w:eastAsia="en-US"/>
        </w:rPr>
        <w:t>ل</w:t>
      </w:r>
      <w:r>
        <w:rPr>
          <w:rFonts w:ascii="Traditional Arabic" w:hAnsi="Traditional Arabic"/>
          <w:noProof w:val="0"/>
          <w:color w:val="auto"/>
          <w:rtl/>
          <w:lang w:eastAsia="en-US"/>
        </w:rPr>
        <w:t>ه</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noProof w:val="0"/>
          <w:color w:val="auto"/>
          <w:szCs w:val="32"/>
          <w:rtl/>
          <w:lang w:eastAsia="en-US"/>
        </w:rPr>
        <w:footnoteReference w:id="648"/>
      </w:r>
      <w:r w:rsidRPr="00C821A1">
        <w:rPr>
          <w:rFonts w:ascii="Traditional Arabic" w:hAnsi="Traditional Arabic" w:hint="cs"/>
          <w:noProof w:val="0"/>
          <w:color w:val="auto"/>
          <w:szCs w:val="32"/>
          <w:vertAlign w:val="superscript"/>
          <w:rtl/>
          <w:lang w:eastAsia="en-US"/>
        </w:rPr>
        <w:t>)</w:t>
      </w:r>
      <w:r>
        <w:rPr>
          <w:rFonts w:ascii="Traditional Arabic" w:hAnsi="Traditional Arabic"/>
          <w:noProof w:val="0"/>
          <w:color w:val="auto"/>
          <w:rtl/>
          <w:lang w:eastAsia="en-US"/>
        </w:rPr>
        <w:t>بعد الحجر</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noProof w:val="0"/>
          <w:color w:val="auto"/>
          <w:szCs w:val="32"/>
          <w:rtl/>
          <w:lang w:eastAsia="en-US"/>
        </w:rPr>
        <w:footnoteReference w:id="649"/>
      </w:r>
      <w:r w:rsidRPr="00C821A1">
        <w:rPr>
          <w:rFonts w:ascii="Traditional Arabic" w:hAnsi="Traditional Arabic" w:hint="cs"/>
          <w:noProof w:val="0"/>
          <w:color w:val="auto"/>
          <w:szCs w:val="32"/>
          <w:vertAlign w:val="superscript"/>
          <w:rtl/>
          <w:lang w:eastAsia="en-US"/>
        </w:rPr>
        <w:t>)</w:t>
      </w:r>
      <w:r>
        <w:rPr>
          <w:rFonts w:ascii="Traditional Arabic" w:hAnsi="Traditional Arabic" w:hint="cs"/>
          <w:noProof w:val="0"/>
          <w:color w:val="auto"/>
          <w:rtl/>
          <w:lang w:eastAsia="en-US"/>
        </w:rPr>
        <w:t xml:space="preserve"> عليه؛ لأنه ممنوعٌ من التصرّف في ماله لِتعلُّقِ حقِّ الغُرَماءِ به،</w:t>
      </w:r>
      <w:r w:rsidR="00154102">
        <w:rPr>
          <w:rFonts w:ascii="Traditional Arabic" w:hAnsi="Traditional Arabic" w:hint="cs"/>
          <w:noProof w:val="0"/>
          <w:color w:val="auto"/>
          <w:rtl/>
          <w:lang w:eastAsia="en-US"/>
        </w:rPr>
        <w:t xml:space="preserve"> و</w:t>
      </w:r>
      <w:r>
        <w:rPr>
          <w:rFonts w:ascii="Traditional Arabic" w:hAnsi="Traditional Arabic" w:hint="cs"/>
          <w:noProof w:val="0"/>
          <w:color w:val="auto"/>
          <w:rtl/>
          <w:lang w:eastAsia="en-US"/>
        </w:rPr>
        <w:t>لِتطرُّقِ التُّهْمَةِ إليه في هذا الإقرار</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noProof w:val="0"/>
          <w:color w:val="auto"/>
          <w:szCs w:val="32"/>
          <w:rtl/>
          <w:lang w:eastAsia="en-US"/>
        </w:rPr>
        <w:footnoteReference w:id="650"/>
      </w:r>
      <w:r w:rsidRPr="00C821A1">
        <w:rPr>
          <w:rFonts w:ascii="Traditional Arabic" w:hAnsi="Traditional Arabic" w:hint="cs"/>
          <w:noProof w:val="0"/>
          <w:color w:val="auto"/>
          <w:szCs w:val="32"/>
          <w:vertAlign w:val="superscript"/>
          <w:rtl/>
          <w:lang w:eastAsia="en-US"/>
        </w:rPr>
        <w:t>)</w:t>
      </w:r>
      <w:r>
        <w:rPr>
          <w:rFonts w:ascii="Traditional Arabic" w:hAnsi="Traditional Arabic" w:hint="cs"/>
          <w:noProof w:val="0"/>
          <w:color w:val="auto"/>
          <w:rtl/>
          <w:lang w:eastAsia="en-US"/>
        </w:rPr>
        <w:t>.</w:t>
      </w:r>
    </w:p>
    <w:p w:rsidR="00236A41" w:rsidRPr="00C07A7C" w:rsidRDefault="00236A41" w:rsidP="00597C20">
      <w:pPr>
        <w:pStyle w:val="53"/>
        <w:rPr>
          <w:rtl/>
        </w:rPr>
      </w:pPr>
      <w:r w:rsidRPr="00C07A7C">
        <w:rPr>
          <w:rFonts w:hint="cs"/>
          <w:rtl/>
        </w:rPr>
        <w:t>وجه اندراج الفرع تحت القاعدة:</w:t>
      </w:r>
    </w:p>
    <w:p w:rsidR="00236A41" w:rsidRPr="00822C6A" w:rsidRDefault="00236A41" w:rsidP="00597C20">
      <w:pPr>
        <w:ind w:firstLine="720"/>
        <w:rPr>
          <w:rFonts w:ascii="Traditional Arabic" w:hAnsi="Traditional Arabic"/>
          <w:noProof w:val="0"/>
          <w:rtl/>
          <w:lang w:eastAsia="en-US"/>
        </w:rPr>
      </w:pPr>
      <w:r w:rsidRPr="00822C6A">
        <w:rPr>
          <w:rFonts w:ascii="Traditional Arabic" w:hAnsi="Traditional Arabic" w:hint="cs"/>
          <w:noProof w:val="0"/>
          <w:rtl/>
          <w:lang w:eastAsia="en-US"/>
        </w:rPr>
        <w:t xml:space="preserve">المحجور عليه تتطرّق إليه التُّهْمَة في هذا الإقرار؛ لاحتمالِ تَواُطئِه مع الْمُقَرِّ له من أجل ألاّ </w:t>
      </w:r>
      <w:r w:rsidRPr="00822C6A">
        <w:rPr>
          <w:rFonts w:ascii="Traditional Arabic" w:hAnsi="Traditional Arabic" w:hint="cs"/>
          <w:noProof w:val="0"/>
          <w:rtl/>
          <w:lang w:eastAsia="en-US"/>
        </w:rPr>
        <w:lastRenderedPageBreak/>
        <w:t>يُباعَ ما أَقرّ به في دَينه، ومن أجل ذلك لم يُقبَل إقرارُه في عَينِ مال</w:t>
      </w:r>
      <w:r w:rsidR="007A5DE8">
        <w:rPr>
          <w:rFonts w:ascii="Traditional Arabic" w:hAnsi="Traditional Arabic" w:hint="cs"/>
          <w:noProof w:val="0"/>
          <w:rtl/>
          <w:lang w:eastAsia="en-US"/>
        </w:rPr>
        <w:t>ِ</w:t>
      </w:r>
      <w:r w:rsidRPr="00822C6A">
        <w:rPr>
          <w:rFonts w:ascii="Traditional Arabic" w:hAnsi="Traditional Arabic" w:hint="cs"/>
          <w:noProof w:val="0"/>
          <w:rtl/>
          <w:lang w:eastAsia="en-US"/>
        </w:rPr>
        <w:t xml:space="preserve">ه؛ </w:t>
      </w:r>
      <w:r w:rsidRPr="00822C6A">
        <w:rPr>
          <w:rFonts w:ascii="Traditional Arabic" w:hAnsi="Traditional Arabic" w:hint="cs"/>
          <w:b/>
          <w:bCs/>
          <w:noProof w:val="0"/>
          <w:rtl/>
          <w:lang w:eastAsia="en-US"/>
        </w:rPr>
        <w:t>سدّاً للذَّريعة</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651"/>
      </w:r>
      <w:r w:rsidRPr="00C821A1">
        <w:rPr>
          <w:rFonts w:ascii="Traditional Arabic" w:hAnsi="Traditional Arabic" w:hint="cs"/>
          <w:noProof w:val="0"/>
          <w:szCs w:val="32"/>
          <w:vertAlign w:val="superscript"/>
          <w:rtl/>
          <w:lang w:eastAsia="en-US"/>
        </w:rPr>
        <w:t>)</w:t>
      </w:r>
      <w:r w:rsidRPr="00822C6A">
        <w:rPr>
          <w:rFonts w:ascii="Traditional Arabic" w:hAnsi="Traditional Arabic" w:hint="cs"/>
          <w:noProof w:val="0"/>
          <w:rtl/>
          <w:lang w:eastAsia="en-US"/>
        </w:rPr>
        <w:t>.</w:t>
      </w:r>
    </w:p>
    <w:p w:rsidR="00065E4B" w:rsidRPr="00236A41" w:rsidRDefault="001F0BA3" w:rsidP="00A8347C">
      <w:pPr>
        <w:pStyle w:val="aff3"/>
        <w:rPr>
          <w:rtl/>
        </w:rPr>
      </w:pPr>
      <w:bookmarkStart w:id="129" w:name="_Toc334046377"/>
      <w:r>
        <w:rPr>
          <w:rFonts w:hint="cs"/>
          <w:rtl/>
        </w:rPr>
        <w:t xml:space="preserve">                </w:t>
      </w:r>
      <w:r w:rsidR="00005E96">
        <w:rPr>
          <w:rFonts w:hint="cs"/>
          <w:rtl/>
        </w:rPr>
        <w:t xml:space="preserve">                        </w:t>
      </w:r>
      <w:r w:rsidR="00236A41" w:rsidRPr="00236A41">
        <w:rPr>
          <w:rFonts w:hint="cs"/>
          <w:rtl/>
        </w:rPr>
        <w:t>المطلب الخامس</w:t>
      </w:r>
      <w:r w:rsidR="00236A41">
        <w:rPr>
          <w:rFonts w:hint="eastAsia"/>
          <w:rtl/>
        </w:rPr>
        <w:t> :</w:t>
      </w:r>
      <w:r w:rsidR="00236A41">
        <w:rPr>
          <w:rFonts w:hint="cs"/>
          <w:rtl/>
        </w:rPr>
        <w:br/>
      </w:r>
      <w:r>
        <w:rPr>
          <w:rFonts w:hint="cs"/>
          <w:rtl/>
        </w:rPr>
        <w:t xml:space="preserve">               </w:t>
      </w:r>
      <w:r w:rsidR="00005E96">
        <w:rPr>
          <w:rFonts w:hint="cs"/>
          <w:rtl/>
        </w:rPr>
        <w:t xml:space="preserve">                         </w:t>
      </w:r>
      <w:r w:rsidR="00236A41" w:rsidRPr="00236A41">
        <w:rPr>
          <w:rFonts w:hint="cs"/>
          <w:rtl/>
        </w:rPr>
        <w:t>مستثنيات القاعدة</w:t>
      </w:r>
      <w:bookmarkEnd w:id="129"/>
    </w:p>
    <w:p w:rsidR="00236A41" w:rsidRPr="003C076C" w:rsidRDefault="006F4B08" w:rsidP="00597C20">
      <w:pPr>
        <w:widowControl/>
        <w:autoSpaceDE w:val="0"/>
        <w:autoSpaceDN w:val="0"/>
        <w:adjustRightInd w:val="0"/>
        <w:ind w:left="-2" w:firstLine="0"/>
        <w:jc w:val="left"/>
        <w:rPr>
          <w:rFonts w:ascii="Traditional Arabic" w:hAnsi="Traditional Arabic"/>
          <w:noProof w:val="0"/>
          <w:lang w:eastAsia="en-US"/>
        </w:rPr>
      </w:pPr>
      <w:r>
        <w:rPr>
          <w:rFonts w:ascii="Traditional Arabic" w:hAnsi="Traditional Arabic" w:hint="cs"/>
          <w:noProof w:val="0"/>
          <w:rtl/>
          <w:lang w:eastAsia="en-US"/>
        </w:rPr>
        <w:t xml:space="preserve">    مما ي</w:t>
      </w:r>
      <w:r w:rsidR="007A5DE8">
        <w:rPr>
          <w:rFonts w:ascii="Traditional Arabic" w:hAnsi="Traditional Arabic" w:hint="cs"/>
          <w:noProof w:val="0"/>
          <w:rtl/>
          <w:lang w:eastAsia="en-US"/>
        </w:rPr>
        <w:t>م</w:t>
      </w:r>
      <w:r>
        <w:rPr>
          <w:rFonts w:ascii="Traditional Arabic" w:hAnsi="Traditional Arabic" w:hint="cs"/>
          <w:noProof w:val="0"/>
          <w:rtl/>
          <w:lang w:eastAsia="en-US"/>
        </w:rPr>
        <w:t>ك</w:t>
      </w:r>
      <w:r w:rsidR="007A5DE8">
        <w:rPr>
          <w:rFonts w:ascii="Traditional Arabic" w:hAnsi="Traditional Arabic" w:hint="cs"/>
          <w:noProof w:val="0"/>
          <w:rtl/>
          <w:lang w:eastAsia="en-US"/>
        </w:rPr>
        <w:t>ن أن يُ</w:t>
      </w:r>
      <w:r w:rsidR="00236A41">
        <w:rPr>
          <w:rFonts w:ascii="Traditional Arabic" w:hAnsi="Traditional Arabic" w:hint="cs"/>
          <w:noProof w:val="0"/>
          <w:rtl/>
          <w:lang w:eastAsia="en-US"/>
        </w:rPr>
        <w:t xml:space="preserve">ذكر </w:t>
      </w:r>
      <w:r w:rsidR="007A5DE8">
        <w:rPr>
          <w:rFonts w:ascii="Traditional Arabic" w:hAnsi="Traditional Arabic" w:hint="cs"/>
          <w:noProof w:val="0"/>
          <w:rtl/>
          <w:lang w:eastAsia="en-US"/>
        </w:rPr>
        <w:t>كمستثنيات للقاعدة الفروع المندرجة</w:t>
      </w:r>
      <w:r w:rsidR="0068195D">
        <w:rPr>
          <w:rFonts w:ascii="Traditional Arabic" w:hAnsi="Traditional Arabic" w:hint="cs"/>
          <w:noProof w:val="0"/>
          <w:rtl/>
          <w:lang w:eastAsia="en-US"/>
        </w:rPr>
        <w:t xml:space="preserve"> </w:t>
      </w:r>
      <w:r w:rsidR="000D2C32">
        <w:rPr>
          <w:rFonts w:ascii="Traditional Arabic" w:hAnsi="Traditional Arabic" w:hint="cs"/>
          <w:noProof w:val="0"/>
          <w:rtl/>
          <w:lang w:eastAsia="en-US"/>
        </w:rPr>
        <w:t xml:space="preserve">تحت </w:t>
      </w:r>
      <w:r w:rsidR="0068195D">
        <w:rPr>
          <w:rFonts w:ascii="Traditional Arabic" w:hAnsi="Traditional Arabic" w:hint="cs"/>
          <w:noProof w:val="0"/>
          <w:rtl/>
          <w:lang w:eastAsia="en-US"/>
        </w:rPr>
        <w:t>قاعدة:</w:t>
      </w:r>
      <w:r w:rsidR="00236A41">
        <w:rPr>
          <w:rFonts w:ascii="Traditional Arabic" w:hAnsi="Traditional Arabic" w:hint="cs"/>
          <w:noProof w:val="0"/>
          <w:rtl/>
          <w:lang w:eastAsia="en-US"/>
        </w:rPr>
        <w:t xml:space="preserve"> </w:t>
      </w:r>
      <w:r w:rsidR="0068195D">
        <w:rPr>
          <w:rFonts w:ascii="Traditional Arabic" w:hAnsi="Traditional Arabic" w:hint="cs"/>
          <w:noProof w:val="0"/>
          <w:rtl/>
          <w:lang w:eastAsia="en-US"/>
        </w:rPr>
        <w:t>"</w:t>
      </w:r>
      <w:r w:rsidR="00236A41">
        <w:rPr>
          <w:rFonts w:ascii="Traditional Arabic" w:hAnsi="Traditional Arabic" w:hint="cs"/>
          <w:noProof w:val="0"/>
          <w:rtl/>
          <w:lang w:eastAsia="en-US"/>
        </w:rPr>
        <w:t>ما حُرِّم سداً للذريعة يجوز عند الحاجة</w:t>
      </w:r>
      <w:r w:rsidR="0068195D">
        <w:rPr>
          <w:rFonts w:ascii="Traditional Arabic" w:hAnsi="Traditional Arabic" w:hint="cs"/>
          <w:noProof w:val="0"/>
          <w:rtl/>
          <w:lang w:eastAsia="en-US"/>
        </w:rPr>
        <w:t>"</w:t>
      </w:r>
      <w:r w:rsidR="00236A41" w:rsidRPr="00C821A1">
        <w:rPr>
          <w:rStyle w:val="af1"/>
          <w:szCs w:val="32"/>
          <w:rtl/>
        </w:rPr>
        <w:t>(</w:t>
      </w:r>
      <w:r w:rsidR="00236A41" w:rsidRPr="00C821A1">
        <w:rPr>
          <w:rStyle w:val="af1"/>
          <w:szCs w:val="32"/>
          <w:rtl/>
        </w:rPr>
        <w:footnoteReference w:id="652"/>
      </w:r>
      <w:r w:rsidR="00236A41" w:rsidRPr="00C821A1">
        <w:rPr>
          <w:rStyle w:val="af1"/>
          <w:szCs w:val="32"/>
          <w:rtl/>
        </w:rPr>
        <w:t>)</w:t>
      </w:r>
      <w:r w:rsidR="007A5DE8">
        <w:rPr>
          <w:rFonts w:ascii="Traditional Arabic" w:hAnsi="Traditional Arabic" w:hint="cs"/>
          <w:noProof w:val="0"/>
          <w:rtl/>
          <w:lang w:eastAsia="en-US"/>
        </w:rPr>
        <w:t>، ومن أمثلتها</w:t>
      </w:r>
      <w:r w:rsidR="00236A41">
        <w:rPr>
          <w:rFonts w:ascii="Traditional Arabic" w:hAnsi="Traditional Arabic" w:hint="cs"/>
          <w:noProof w:val="0"/>
          <w:rtl/>
          <w:lang w:eastAsia="en-US"/>
        </w:rPr>
        <w:t>:</w:t>
      </w:r>
    </w:p>
    <w:p w:rsidR="00236A41" w:rsidRDefault="00236A41" w:rsidP="000A76C7">
      <w:pPr>
        <w:pStyle w:val="afc"/>
        <w:numPr>
          <w:ilvl w:val="0"/>
          <w:numId w:val="103"/>
        </w:numPr>
        <w:rPr>
          <w:rFonts w:ascii="Traditional Arabic" w:hAnsi="Traditional Arabic"/>
          <w:sz w:val="32"/>
          <w:szCs w:val="32"/>
        </w:rPr>
      </w:pPr>
      <w:r>
        <w:rPr>
          <w:rFonts w:ascii="Traditional Arabic" w:hAnsi="Traditional Arabic" w:hint="cs"/>
          <w:rtl/>
        </w:rPr>
        <w:t>إباحة بيع العرايا: ف</w:t>
      </w:r>
      <w:r w:rsidRPr="000832E7">
        <w:rPr>
          <w:rFonts w:ascii="Traditional Arabic" w:hAnsi="Traditional Arabic" w:hint="cs"/>
          <w:rtl/>
        </w:rPr>
        <w:t>الأصل عدم جواز بيع الر</w:t>
      </w:r>
      <w:r>
        <w:rPr>
          <w:rFonts w:ascii="Traditional Arabic" w:hAnsi="Traditional Arabic" w:hint="cs"/>
          <w:rtl/>
        </w:rPr>
        <w:t>ُّ</w:t>
      </w:r>
      <w:r w:rsidRPr="000832E7">
        <w:rPr>
          <w:rFonts w:ascii="Traditional Arabic" w:hAnsi="Traditional Arabic" w:hint="cs"/>
          <w:rtl/>
        </w:rPr>
        <w:t>ط</w:t>
      </w:r>
      <w:r>
        <w:rPr>
          <w:rFonts w:ascii="Traditional Arabic" w:hAnsi="Traditional Arabic" w:hint="cs"/>
          <w:rtl/>
        </w:rPr>
        <w:t>َ</w:t>
      </w:r>
      <w:r w:rsidRPr="000832E7">
        <w:rPr>
          <w:rFonts w:ascii="Traditional Arabic" w:hAnsi="Traditional Arabic" w:hint="cs"/>
          <w:rtl/>
        </w:rPr>
        <w:t>ب بالتمر وإن تساويا وزناً؛ لأن الرطب ينقص وزنه إذا ج</w:t>
      </w:r>
      <w:r>
        <w:rPr>
          <w:rFonts w:ascii="Traditional Arabic" w:hAnsi="Traditional Arabic" w:hint="cs"/>
          <w:rtl/>
        </w:rPr>
        <w:t>َ</w:t>
      </w:r>
      <w:r w:rsidRPr="000832E7">
        <w:rPr>
          <w:rFonts w:ascii="Traditional Arabic" w:hAnsi="Traditional Arabic" w:hint="cs"/>
          <w:rtl/>
        </w:rPr>
        <w:t>ف</w:t>
      </w:r>
      <w:r>
        <w:rPr>
          <w:rFonts w:ascii="Traditional Arabic" w:hAnsi="Traditional Arabic" w:hint="cs"/>
          <w:rtl/>
        </w:rPr>
        <w:t>َّ</w:t>
      </w:r>
      <w:r w:rsidR="00B76414">
        <w:rPr>
          <w:rFonts w:ascii="Traditional Arabic" w:hAnsi="Traditional Arabic" w:hint="cs"/>
          <w:rtl/>
        </w:rPr>
        <w:t>،</w:t>
      </w:r>
      <w:r w:rsidRPr="000832E7">
        <w:rPr>
          <w:rFonts w:ascii="Traditional Arabic" w:hAnsi="Traditional Arabic" w:hint="cs"/>
          <w:rtl/>
        </w:rPr>
        <w:t xml:space="preserve"> لكن استثنى الشارع بيع العرايا فأباحه دفعا لحاجة الفقير الذي يريد أن ي</w:t>
      </w:r>
      <w:r>
        <w:rPr>
          <w:rFonts w:ascii="Traditional Arabic" w:hAnsi="Traditional Arabic" w:hint="cs"/>
          <w:rtl/>
        </w:rPr>
        <w:t>َ</w:t>
      </w:r>
      <w:r w:rsidRPr="000832E7">
        <w:rPr>
          <w:rFonts w:ascii="Traditional Arabic" w:hAnsi="Traditional Arabic" w:hint="cs"/>
          <w:rtl/>
        </w:rPr>
        <w:t>ت</w:t>
      </w:r>
      <w:r>
        <w:rPr>
          <w:rFonts w:ascii="Traditional Arabic" w:hAnsi="Traditional Arabic" w:hint="cs"/>
          <w:rtl/>
        </w:rPr>
        <w:t>َ</w:t>
      </w:r>
      <w:r w:rsidRPr="000832E7">
        <w:rPr>
          <w:rFonts w:ascii="Traditional Arabic" w:hAnsi="Traditional Arabic" w:hint="cs"/>
          <w:rtl/>
        </w:rPr>
        <w:t>ف</w:t>
      </w:r>
      <w:r>
        <w:rPr>
          <w:rFonts w:ascii="Traditional Arabic" w:hAnsi="Traditional Arabic" w:hint="cs"/>
          <w:rtl/>
        </w:rPr>
        <w:t>َ</w:t>
      </w:r>
      <w:r w:rsidRPr="000832E7">
        <w:rPr>
          <w:rFonts w:ascii="Traditional Arabic" w:hAnsi="Traditional Arabic" w:hint="cs"/>
          <w:rtl/>
        </w:rPr>
        <w:t>كَّه</w:t>
      </w:r>
      <w:r>
        <w:rPr>
          <w:rFonts w:ascii="Traditional Arabic" w:hAnsi="Traditional Arabic" w:hint="cs"/>
          <w:rtl/>
        </w:rPr>
        <w:t>َ</w:t>
      </w:r>
      <w:r w:rsidR="00C04C42">
        <w:rPr>
          <w:rFonts w:ascii="Traditional Arabic" w:hAnsi="Traditional Arabic" w:hint="cs"/>
          <w:szCs w:val="32"/>
          <w:vertAlign w:val="superscript"/>
          <w:rtl/>
        </w:rPr>
        <w:t xml:space="preserve"> </w:t>
      </w:r>
      <w:r w:rsidRPr="000832E7">
        <w:rPr>
          <w:rFonts w:ascii="Traditional Arabic" w:hAnsi="Traditional Arabic" w:hint="cs"/>
          <w:rtl/>
        </w:rPr>
        <w:t>بالرطب</w:t>
      </w:r>
      <w:r>
        <w:rPr>
          <w:rFonts w:ascii="Traditional Arabic" w:hAnsi="Traditional Arabic" w:hint="cs"/>
          <w:rtl/>
        </w:rPr>
        <w:t>؛ لأن الذي يمكن أن يقع في العرايا هو ربا الفضل الذي حُرِّم لكونه ذريعةً إلى ربا النسيئة، وما حرم سدا للذريعة يجوز للحاجة</w:t>
      </w:r>
      <w:r w:rsidRPr="00C821A1">
        <w:rPr>
          <w:rFonts w:ascii="Traditional Arabic" w:hAnsi="Traditional Arabic"/>
          <w:b/>
          <w:szCs w:val="32"/>
          <w:vertAlign w:val="superscript"/>
          <w:rtl/>
        </w:rPr>
        <w:t>(</w:t>
      </w:r>
      <w:r w:rsidRPr="00C821A1">
        <w:rPr>
          <w:rFonts w:ascii="Traditional Arabic" w:hAnsi="Traditional Arabic"/>
          <w:b/>
          <w:szCs w:val="32"/>
          <w:vertAlign w:val="superscript"/>
          <w:rtl/>
        </w:rPr>
        <w:footnoteReference w:id="653"/>
      </w:r>
      <w:r w:rsidRPr="00C821A1">
        <w:rPr>
          <w:rFonts w:ascii="Traditional Arabic" w:hAnsi="Traditional Arabic"/>
          <w:b/>
          <w:szCs w:val="32"/>
          <w:vertAlign w:val="superscript"/>
          <w:rtl/>
        </w:rPr>
        <w:t>)</w:t>
      </w:r>
      <w:r>
        <w:rPr>
          <w:rFonts w:ascii="Traditional Arabic" w:hAnsi="Traditional Arabic" w:hint="cs"/>
          <w:sz w:val="32"/>
          <w:szCs w:val="32"/>
          <w:rtl/>
        </w:rPr>
        <w:t>.</w:t>
      </w:r>
    </w:p>
    <w:p w:rsidR="001F0BA3" w:rsidRDefault="001F0BA3" w:rsidP="001F0BA3">
      <w:pPr>
        <w:pStyle w:val="afc"/>
        <w:ind w:left="1080" w:firstLine="0"/>
        <w:rPr>
          <w:rFonts w:ascii="Traditional Arabic" w:hAnsi="Traditional Arabic"/>
          <w:sz w:val="32"/>
          <w:szCs w:val="32"/>
          <w:rtl/>
        </w:rPr>
      </w:pPr>
    </w:p>
    <w:p w:rsidR="006F4B08" w:rsidRPr="005239F1" w:rsidRDefault="006F4B08" w:rsidP="001F0BA3">
      <w:pPr>
        <w:pStyle w:val="afc"/>
        <w:ind w:left="1080" w:firstLine="0"/>
        <w:rPr>
          <w:rFonts w:ascii="Traditional Arabic" w:hAnsi="Traditional Arabic"/>
          <w:sz w:val="32"/>
          <w:szCs w:val="32"/>
          <w:rtl/>
        </w:rPr>
      </w:pPr>
    </w:p>
    <w:p w:rsidR="00B64F4C" w:rsidRPr="00C85F0F" w:rsidRDefault="00B64F4C" w:rsidP="000F5C0F">
      <w:pPr>
        <w:pStyle w:val="aff2"/>
        <w:rPr>
          <w:rtl/>
        </w:rPr>
      </w:pPr>
      <w:bookmarkStart w:id="130" w:name="_Toc334046378"/>
      <w:r w:rsidRPr="00B64F4C">
        <w:rPr>
          <w:rFonts w:hint="cs"/>
          <w:rtl/>
        </w:rPr>
        <w:lastRenderedPageBreak/>
        <w:t>المبحث الثالث</w:t>
      </w:r>
      <w:r>
        <w:rPr>
          <w:rFonts w:hint="eastAsia"/>
          <w:rtl/>
        </w:rPr>
        <w:t> :</w:t>
      </w:r>
      <w:r>
        <w:rPr>
          <w:rFonts w:hint="cs"/>
          <w:rtl/>
        </w:rPr>
        <w:br/>
      </w:r>
      <w:r w:rsidRPr="00B64F4C">
        <w:rPr>
          <w:rFonts w:hint="cs"/>
          <w:rtl/>
        </w:rPr>
        <w:t>قاعدة</w:t>
      </w:r>
      <w:r>
        <w:rPr>
          <w:rtl/>
        </w:rPr>
        <w:br/>
      </w:r>
      <w:r>
        <w:rPr>
          <w:rFonts w:hint="cs"/>
          <w:rtl/>
        </w:rPr>
        <w:t>"</w:t>
      </w:r>
      <w:r w:rsidR="00B84700">
        <w:rPr>
          <w:rFonts w:hint="cs"/>
          <w:rtl/>
        </w:rPr>
        <w:t>ما حرم تحريم الوسائل أباحته ا</w:t>
      </w:r>
      <w:r w:rsidRPr="00B64F4C">
        <w:rPr>
          <w:rFonts w:hint="cs"/>
          <w:rtl/>
        </w:rPr>
        <w:t>لحاجة</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ماحرمتحريمالوسائلأباحتهالحاجة</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szCs w:val="32"/>
          <w:vertAlign w:val="superscript"/>
          <w:rtl/>
        </w:rPr>
        <w:t>(</w:t>
      </w:r>
      <w:r w:rsidRPr="00C85F0F">
        <w:rPr>
          <w:szCs w:val="32"/>
          <w:vertAlign w:val="superscript"/>
          <w:rtl/>
        </w:rPr>
        <w:footnoteReference w:id="654"/>
      </w:r>
      <w:r w:rsidRPr="00C85F0F">
        <w:rPr>
          <w:szCs w:val="32"/>
          <w:vertAlign w:val="superscript"/>
          <w:rtl/>
        </w:rPr>
        <w:t>)</w:t>
      </w:r>
      <w:bookmarkEnd w:id="130"/>
    </w:p>
    <w:p w:rsidR="00065E4B" w:rsidRPr="00C85F0F" w:rsidRDefault="00C04C42" w:rsidP="00A8347C">
      <w:pPr>
        <w:pStyle w:val="aff3"/>
        <w:rPr>
          <w:rtl/>
        </w:rPr>
      </w:pPr>
      <w:bookmarkStart w:id="131" w:name="_Toc334046379"/>
      <w:r>
        <w:rPr>
          <w:rFonts w:hint="cs"/>
          <w:rtl/>
        </w:rPr>
        <w:t xml:space="preserve">                      </w:t>
      </w:r>
      <w:r w:rsidR="006F4B08">
        <w:rPr>
          <w:rFonts w:hint="cs"/>
          <w:rtl/>
        </w:rPr>
        <w:t xml:space="preserve">               </w:t>
      </w:r>
      <w:r w:rsidR="00B64F4C" w:rsidRPr="00C85F0F">
        <w:rPr>
          <w:rFonts w:hint="cs"/>
          <w:rtl/>
        </w:rPr>
        <w:t>المطلب الأول</w:t>
      </w:r>
      <w:r w:rsidR="00B64F4C" w:rsidRPr="00C85F0F">
        <w:rPr>
          <w:rFonts w:hint="eastAsia"/>
          <w:rtl/>
        </w:rPr>
        <w:t> :</w:t>
      </w:r>
      <w:r w:rsidR="00B64F4C" w:rsidRPr="00C85F0F">
        <w:rPr>
          <w:rFonts w:hint="cs"/>
          <w:rtl/>
        </w:rPr>
        <w:br/>
      </w:r>
      <w:r>
        <w:rPr>
          <w:rFonts w:hint="cs"/>
          <w:rtl/>
        </w:rPr>
        <w:t xml:space="preserve">                  </w:t>
      </w:r>
      <w:r w:rsidR="00B64F4C" w:rsidRPr="00C85F0F">
        <w:rPr>
          <w:rFonts w:hint="cs"/>
          <w:rtl/>
        </w:rPr>
        <w:t>صيغ القاعدة عند الشيخ وعند علماء القواعد</w:t>
      </w:r>
      <w:bookmarkEnd w:id="131"/>
    </w:p>
    <w:p w:rsidR="00B64F4C" w:rsidRPr="00C85F0F" w:rsidRDefault="00065E4B" w:rsidP="00597C20">
      <w:pPr>
        <w:rPr>
          <w:rtl/>
        </w:rPr>
      </w:pPr>
      <w:r w:rsidRPr="00C85F0F">
        <w:rPr>
          <w:rFonts w:hint="cs"/>
          <w:rtl/>
        </w:rPr>
        <w:t>و</w:t>
      </w:r>
      <w:r w:rsidR="00B64F4C" w:rsidRPr="00C85F0F">
        <w:rPr>
          <w:rFonts w:hint="cs"/>
          <w:rtl/>
        </w:rPr>
        <w:t xml:space="preserve">ردت هذا القاعدة عند الشيخ ابن عثيمين </w:t>
      </w:r>
      <w:r w:rsidR="006F4B08">
        <w:rPr>
          <w:rFonts w:hint="cs"/>
          <w:rtl/>
        </w:rPr>
        <w:t>_</w:t>
      </w:r>
      <w:r w:rsidR="00B64F4C" w:rsidRPr="00C85F0F">
        <w:rPr>
          <w:rFonts w:hint="cs"/>
          <w:rtl/>
        </w:rPr>
        <w:t xml:space="preserve">رحمه </w:t>
      </w:r>
      <w:r w:rsidR="006F4B08">
        <w:rPr>
          <w:rFonts w:hint="cs"/>
          <w:rtl/>
        </w:rPr>
        <w:t>الله_</w:t>
      </w:r>
      <w:r w:rsidR="00B64F4C" w:rsidRPr="00C85F0F">
        <w:rPr>
          <w:rFonts w:hint="cs"/>
          <w:rtl/>
        </w:rPr>
        <w:t>بثلاثة صيغ، وهي:</w:t>
      </w:r>
    </w:p>
    <w:p w:rsidR="00B64F4C" w:rsidRPr="00C85F0F" w:rsidRDefault="00B64F4C" w:rsidP="000A76C7">
      <w:pPr>
        <w:numPr>
          <w:ilvl w:val="0"/>
          <w:numId w:val="105"/>
        </w:numPr>
      </w:pPr>
      <w:r w:rsidRPr="00C85F0F">
        <w:rPr>
          <w:rFonts w:hint="cs"/>
          <w:rtl/>
        </w:rPr>
        <w:t>ما حُرِّمَ تحريمَ الوسائل أباحته الحاجة</w:t>
      </w:r>
      <w:r w:rsidRPr="00C85F0F">
        <w:rPr>
          <w:rStyle w:val="af1"/>
          <w:szCs w:val="32"/>
          <w:rtl/>
        </w:rPr>
        <w:t>(</w:t>
      </w:r>
      <w:r w:rsidRPr="00C85F0F">
        <w:rPr>
          <w:rStyle w:val="af1"/>
          <w:szCs w:val="32"/>
          <w:rtl/>
        </w:rPr>
        <w:footnoteReference w:id="655"/>
      </w:r>
      <w:r w:rsidRPr="00C85F0F">
        <w:rPr>
          <w:rStyle w:val="af1"/>
          <w:szCs w:val="32"/>
          <w:rtl/>
        </w:rPr>
        <w:t>)</w:t>
      </w:r>
      <w:r w:rsidRPr="00C85F0F">
        <w:rPr>
          <w:rFonts w:hint="cs"/>
          <w:rtl/>
        </w:rPr>
        <w:t>.</w:t>
      </w:r>
    </w:p>
    <w:p w:rsidR="00B64F4C" w:rsidRPr="00C85F0F" w:rsidRDefault="00B64F4C" w:rsidP="000A76C7">
      <w:pPr>
        <w:numPr>
          <w:ilvl w:val="0"/>
          <w:numId w:val="105"/>
        </w:numPr>
      </w:pPr>
      <w:r w:rsidRPr="00C85F0F">
        <w:rPr>
          <w:rFonts w:hint="cs"/>
          <w:rtl/>
        </w:rPr>
        <w:t>ما حُرِّم تحريمَ الوسائلِ جازَ للحاجة</w:t>
      </w:r>
      <w:r w:rsidRPr="00C85F0F">
        <w:rPr>
          <w:rStyle w:val="af1"/>
          <w:szCs w:val="32"/>
          <w:rtl/>
        </w:rPr>
        <w:t>(</w:t>
      </w:r>
      <w:r w:rsidRPr="00C85F0F">
        <w:rPr>
          <w:rStyle w:val="af1"/>
          <w:szCs w:val="32"/>
          <w:rtl/>
        </w:rPr>
        <w:footnoteReference w:id="656"/>
      </w:r>
      <w:r w:rsidRPr="00C85F0F">
        <w:rPr>
          <w:rStyle w:val="af1"/>
          <w:szCs w:val="32"/>
          <w:rtl/>
        </w:rPr>
        <w:t>)</w:t>
      </w:r>
      <w:r w:rsidRPr="00C85F0F">
        <w:rPr>
          <w:rFonts w:hint="cs"/>
          <w:rtl/>
        </w:rPr>
        <w:t>.</w:t>
      </w:r>
    </w:p>
    <w:p w:rsidR="00065E4B" w:rsidRPr="00C85F0F" w:rsidRDefault="00B64F4C" w:rsidP="000A76C7">
      <w:pPr>
        <w:numPr>
          <w:ilvl w:val="0"/>
          <w:numId w:val="105"/>
        </w:numPr>
      </w:pPr>
      <w:r w:rsidRPr="00C85F0F">
        <w:rPr>
          <w:rFonts w:hint="cs"/>
          <w:rtl/>
        </w:rPr>
        <w:t>ما حُرِّم سدّاً للذريعة فإنه تُبيحُه الحاجة</w:t>
      </w:r>
      <w:r w:rsidRPr="00C85F0F">
        <w:rPr>
          <w:rStyle w:val="af1"/>
          <w:szCs w:val="32"/>
          <w:rtl/>
        </w:rPr>
        <w:t>(</w:t>
      </w:r>
      <w:r w:rsidRPr="00C85F0F">
        <w:rPr>
          <w:rStyle w:val="af1"/>
          <w:szCs w:val="32"/>
          <w:rtl/>
        </w:rPr>
        <w:footnoteReference w:id="657"/>
      </w:r>
      <w:r w:rsidRPr="00C85F0F">
        <w:rPr>
          <w:rStyle w:val="af1"/>
          <w:szCs w:val="32"/>
          <w:rtl/>
        </w:rPr>
        <w:t>)</w:t>
      </w:r>
      <w:r w:rsidRPr="00C85F0F">
        <w:rPr>
          <w:rFonts w:hint="cs"/>
          <w:rtl/>
        </w:rPr>
        <w:t>.</w:t>
      </w:r>
    </w:p>
    <w:p w:rsidR="00B64F4C" w:rsidRPr="00C85F0F" w:rsidRDefault="00065E4B" w:rsidP="00597C20">
      <w:pPr>
        <w:rPr>
          <w:rtl/>
        </w:rPr>
      </w:pPr>
      <w:r w:rsidRPr="00C85F0F">
        <w:rPr>
          <w:rFonts w:hint="cs"/>
          <w:rtl/>
        </w:rPr>
        <w:t>و</w:t>
      </w:r>
      <w:r w:rsidR="00B64F4C" w:rsidRPr="00C85F0F">
        <w:rPr>
          <w:rFonts w:hint="cs"/>
          <w:rtl/>
        </w:rPr>
        <w:t xml:space="preserve">قال الشيخ </w:t>
      </w:r>
      <w:r w:rsidR="006F4B08">
        <w:rPr>
          <w:rFonts w:hint="cs"/>
          <w:rtl/>
        </w:rPr>
        <w:t>_</w:t>
      </w:r>
      <w:r w:rsidR="009A0575" w:rsidRPr="005D5694">
        <w:rPr>
          <w:rFonts w:ascii="Traditional Arabic" w:hAnsi="Traditional Arabic" w:cs="CTraditional Arabic" w:hint="cs"/>
          <w:rtl/>
        </w:rPr>
        <w:t>/</w:t>
      </w:r>
      <w:r w:rsidR="006F4B08">
        <w:rPr>
          <w:rFonts w:hint="cs"/>
          <w:rtl/>
        </w:rPr>
        <w:t>_</w:t>
      </w:r>
      <w:r w:rsidR="00B64F4C" w:rsidRPr="00C85F0F">
        <w:rPr>
          <w:rFonts w:hint="cs"/>
          <w:rtl/>
        </w:rPr>
        <w:t xml:space="preserve"> في منظومة القواعد:</w:t>
      </w:r>
    </w:p>
    <w:p w:rsidR="00065E4B" w:rsidRPr="00C85F0F" w:rsidRDefault="00B64F4C" w:rsidP="000A76C7">
      <w:pPr>
        <w:pStyle w:val="afc"/>
        <w:numPr>
          <w:ilvl w:val="0"/>
          <w:numId w:val="107"/>
        </w:numPr>
        <w:rPr>
          <w:color w:val="auto"/>
        </w:rPr>
      </w:pP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لكن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 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للذ</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ريعة</w:t>
      </w:r>
      <w:r w:rsidR="00C04C42">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يجوز للحاجة كالع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ة</w:t>
      </w:r>
      <w:r w:rsidRPr="00C85F0F">
        <w:rPr>
          <w:rFonts w:ascii="Traditional Arabic" w:hAnsi="Traditional Arabic" w:hint="cs"/>
          <w:noProof w:val="0"/>
          <w:color w:val="auto"/>
          <w:rtl/>
          <w:lang w:eastAsia="en-US"/>
        </w:rPr>
        <w:t>"</w:t>
      </w:r>
      <w:r w:rsidRPr="00C85F0F">
        <w:rPr>
          <w:rStyle w:val="af1"/>
          <w:szCs w:val="32"/>
          <w:rtl/>
        </w:rPr>
        <w:t>(</w:t>
      </w:r>
      <w:r w:rsidRPr="00C85F0F">
        <w:rPr>
          <w:rStyle w:val="af1"/>
          <w:szCs w:val="32"/>
          <w:rtl/>
        </w:rPr>
        <w:footnoteReference w:id="658"/>
      </w:r>
      <w:r w:rsidRPr="00C85F0F">
        <w:rPr>
          <w:rStyle w:val="af1"/>
          <w:szCs w:val="32"/>
          <w:rtl/>
        </w:rPr>
        <w:t>)</w:t>
      </w:r>
    </w:p>
    <w:p w:rsidR="00B64F4C" w:rsidRPr="00C85F0F" w:rsidRDefault="00065E4B" w:rsidP="00597C20">
      <w:pPr>
        <w:rPr>
          <w:rtl/>
        </w:rPr>
      </w:pPr>
      <w:r w:rsidRPr="00C85F0F">
        <w:rPr>
          <w:rFonts w:hint="cs"/>
          <w:rtl/>
        </w:rPr>
        <w:t>و</w:t>
      </w:r>
      <w:r w:rsidR="00B64F4C" w:rsidRPr="00C85F0F">
        <w:rPr>
          <w:rFonts w:hint="cs"/>
          <w:rtl/>
        </w:rPr>
        <w:t>وردت هذه القاعدة عند بعض العلماء بصيغ متقاربة، منها:</w:t>
      </w:r>
    </w:p>
    <w:p w:rsidR="00B64F4C" w:rsidRPr="00C85F0F" w:rsidRDefault="00B64F4C" w:rsidP="000A76C7">
      <w:pPr>
        <w:numPr>
          <w:ilvl w:val="0"/>
          <w:numId w:val="106"/>
        </w:numPr>
      </w:pPr>
      <w:r w:rsidRPr="00C85F0F">
        <w:rPr>
          <w:rFonts w:hint="cs"/>
          <w:rtl/>
        </w:rPr>
        <w:t>النهي إذا كان لِسَدِّ الذريعة أُبيح للمصلحة الراجحة</w:t>
      </w:r>
      <w:r w:rsidRPr="00C85F0F">
        <w:rPr>
          <w:rStyle w:val="af1"/>
          <w:szCs w:val="32"/>
          <w:rtl/>
        </w:rPr>
        <w:t>(</w:t>
      </w:r>
      <w:r w:rsidRPr="00C85F0F">
        <w:rPr>
          <w:rStyle w:val="af1"/>
          <w:szCs w:val="32"/>
          <w:rtl/>
        </w:rPr>
        <w:footnoteReference w:id="659"/>
      </w:r>
      <w:r w:rsidRPr="00C85F0F">
        <w:rPr>
          <w:rStyle w:val="af1"/>
          <w:szCs w:val="32"/>
          <w:rtl/>
        </w:rPr>
        <w:t>)</w:t>
      </w:r>
      <w:r w:rsidRPr="00C85F0F">
        <w:rPr>
          <w:rFonts w:hint="cs"/>
          <w:rtl/>
        </w:rPr>
        <w:t>.</w:t>
      </w:r>
    </w:p>
    <w:p w:rsidR="00B64F4C" w:rsidRPr="00C85F0F" w:rsidRDefault="00B64F4C" w:rsidP="000A76C7">
      <w:pPr>
        <w:numPr>
          <w:ilvl w:val="0"/>
          <w:numId w:val="106"/>
        </w:numPr>
      </w:pPr>
      <w:r w:rsidRPr="00C85F0F">
        <w:rPr>
          <w:rFonts w:hint="cs"/>
          <w:rtl/>
        </w:rPr>
        <w:lastRenderedPageBreak/>
        <w:t>ما حَرُمَ تحريمَ الوسائل فإنه يُباح للحاجة والمصلحة الراجحة</w:t>
      </w:r>
      <w:r w:rsidRPr="00C85F0F">
        <w:rPr>
          <w:rStyle w:val="af1"/>
          <w:szCs w:val="32"/>
          <w:rtl/>
        </w:rPr>
        <w:t>(</w:t>
      </w:r>
      <w:r w:rsidRPr="00C85F0F">
        <w:rPr>
          <w:rStyle w:val="af1"/>
          <w:szCs w:val="32"/>
          <w:rtl/>
        </w:rPr>
        <w:footnoteReference w:id="660"/>
      </w:r>
      <w:r w:rsidRPr="00C85F0F">
        <w:rPr>
          <w:rStyle w:val="af1"/>
          <w:szCs w:val="32"/>
          <w:rtl/>
        </w:rPr>
        <w:t>)</w:t>
      </w:r>
      <w:r w:rsidRPr="00C85F0F">
        <w:rPr>
          <w:rFonts w:hint="cs"/>
          <w:rtl/>
        </w:rPr>
        <w:t>.</w:t>
      </w:r>
    </w:p>
    <w:p w:rsidR="00B64F4C" w:rsidRPr="00C85F0F" w:rsidRDefault="00B64F4C" w:rsidP="000A76C7">
      <w:pPr>
        <w:numPr>
          <w:ilvl w:val="0"/>
          <w:numId w:val="106"/>
        </w:numPr>
      </w:pPr>
      <w:r w:rsidRPr="00C85F0F">
        <w:rPr>
          <w:rFonts w:hint="cs"/>
          <w:rtl/>
        </w:rPr>
        <w:t>ما حُرِّمَ لِسَدِّ الذرائع فإنه يُباح للحاجة والمصلحة الراجحة</w:t>
      </w:r>
      <w:r w:rsidRPr="00C85F0F">
        <w:rPr>
          <w:rStyle w:val="af1"/>
          <w:szCs w:val="32"/>
          <w:rtl/>
        </w:rPr>
        <w:t>(</w:t>
      </w:r>
      <w:r w:rsidRPr="00C85F0F">
        <w:rPr>
          <w:rStyle w:val="af1"/>
          <w:szCs w:val="32"/>
          <w:rtl/>
        </w:rPr>
        <w:footnoteReference w:id="661"/>
      </w:r>
      <w:r w:rsidRPr="00C85F0F">
        <w:rPr>
          <w:rStyle w:val="af1"/>
          <w:szCs w:val="32"/>
          <w:rtl/>
        </w:rPr>
        <w:t>)</w:t>
      </w:r>
      <w:r w:rsidRPr="00C85F0F">
        <w:rPr>
          <w:rFonts w:hint="cs"/>
          <w:rtl/>
        </w:rPr>
        <w:t>.</w:t>
      </w:r>
    </w:p>
    <w:p w:rsidR="00B64F4C" w:rsidRPr="00C85F0F" w:rsidRDefault="00B64F4C" w:rsidP="000A76C7">
      <w:pPr>
        <w:numPr>
          <w:ilvl w:val="0"/>
          <w:numId w:val="106"/>
        </w:numPr>
        <w:rPr>
          <w:rtl/>
        </w:rPr>
      </w:pPr>
      <w:r w:rsidRPr="00C85F0F">
        <w:rPr>
          <w:rFonts w:hint="cs"/>
          <w:rtl/>
        </w:rPr>
        <w:t>قد تكون الحاجة سبباً لإباحة المحرَّم، إذا كان التحريم خفيفاً، كالذي يحرم تحريمَ الوسائل</w:t>
      </w:r>
      <w:r w:rsidRPr="00C85F0F">
        <w:rPr>
          <w:rStyle w:val="af1"/>
          <w:szCs w:val="32"/>
          <w:rtl/>
        </w:rPr>
        <w:t>(</w:t>
      </w:r>
      <w:r w:rsidRPr="00C85F0F">
        <w:rPr>
          <w:rStyle w:val="af1"/>
          <w:szCs w:val="32"/>
          <w:rtl/>
        </w:rPr>
        <w:footnoteReference w:id="662"/>
      </w:r>
      <w:r w:rsidRPr="00C85F0F">
        <w:rPr>
          <w:rStyle w:val="af1"/>
          <w:szCs w:val="32"/>
          <w:rtl/>
        </w:rPr>
        <w:t>)</w:t>
      </w:r>
      <w:r w:rsidRPr="00C85F0F">
        <w:rPr>
          <w:rFonts w:hint="cs"/>
          <w:rtl/>
        </w:rPr>
        <w:t>.</w:t>
      </w:r>
    </w:p>
    <w:p w:rsidR="00065E4B" w:rsidRPr="00C85F0F" w:rsidRDefault="00C04C42" w:rsidP="00A8347C">
      <w:pPr>
        <w:pStyle w:val="aff3"/>
        <w:rPr>
          <w:rtl/>
        </w:rPr>
      </w:pPr>
      <w:bookmarkStart w:id="132" w:name="_Toc334046380"/>
      <w:r>
        <w:rPr>
          <w:rFonts w:hint="cs"/>
          <w:rtl/>
        </w:rPr>
        <w:t xml:space="preserve">                    </w:t>
      </w:r>
      <w:r w:rsidR="006F4B08">
        <w:rPr>
          <w:rFonts w:hint="cs"/>
          <w:rtl/>
        </w:rPr>
        <w:t xml:space="preserve">                     </w:t>
      </w:r>
      <w:r>
        <w:rPr>
          <w:rFonts w:hint="cs"/>
          <w:rtl/>
        </w:rPr>
        <w:t xml:space="preserve">  </w:t>
      </w:r>
      <w:r w:rsidR="00B64F4C" w:rsidRPr="00C85F0F">
        <w:rPr>
          <w:rFonts w:hint="cs"/>
          <w:rtl/>
        </w:rPr>
        <w:t>المطلب الثاني</w:t>
      </w:r>
      <w:r w:rsidR="00B64F4C" w:rsidRPr="00C85F0F">
        <w:rPr>
          <w:rFonts w:hint="eastAsia"/>
          <w:rtl/>
        </w:rPr>
        <w:t> :</w:t>
      </w:r>
      <w:r w:rsidR="00B64F4C" w:rsidRPr="00C85F0F">
        <w:rPr>
          <w:rFonts w:hint="cs"/>
          <w:rtl/>
        </w:rPr>
        <w:br/>
      </w:r>
      <w:r>
        <w:rPr>
          <w:rFonts w:hint="cs"/>
          <w:rtl/>
        </w:rPr>
        <w:t xml:space="preserve">                      </w:t>
      </w:r>
      <w:r w:rsidR="006F4B08">
        <w:rPr>
          <w:rFonts w:hint="cs"/>
          <w:rtl/>
        </w:rPr>
        <w:t xml:space="preserve">                      </w:t>
      </w:r>
      <w:r w:rsidR="00B64F4C" w:rsidRPr="00C85F0F">
        <w:rPr>
          <w:rFonts w:hint="cs"/>
          <w:rtl/>
        </w:rPr>
        <w:t>شرح القاعدة</w:t>
      </w:r>
      <w:bookmarkEnd w:id="132"/>
    </w:p>
    <w:p w:rsidR="00822C6A" w:rsidRDefault="00065E4B" w:rsidP="000F5C0F">
      <w:pPr>
        <w:pStyle w:val="53"/>
        <w:rPr>
          <w:b w:val="0"/>
          <w:rtl/>
        </w:rPr>
      </w:pPr>
      <w:r w:rsidRPr="00C85F0F">
        <w:rPr>
          <w:rFonts w:hint="cs"/>
          <w:rtl/>
        </w:rPr>
        <w:t>ا</w:t>
      </w:r>
      <w:r w:rsidR="00B64F4C" w:rsidRPr="00C85F0F">
        <w:rPr>
          <w:rFonts w:hint="cs"/>
          <w:rtl/>
        </w:rPr>
        <w:t>لحاجة</w:t>
      </w:r>
      <w:r w:rsidR="00AB0B9E" w:rsidRPr="00C85F0F">
        <w:fldChar w:fldCharType="begin"/>
      </w:r>
      <w:r w:rsidR="002A5421" w:rsidRPr="00C85F0F">
        <w:instrText>XE</w:instrText>
      </w:r>
      <w:r w:rsidR="002A5421" w:rsidRPr="00C85F0F">
        <w:rPr>
          <w:rtl/>
        </w:rPr>
        <w:instrText xml:space="preserve"> "</w:instrText>
      </w:r>
      <w:r w:rsidR="002A5421" w:rsidRPr="00C85F0F">
        <w:rPr>
          <w:rFonts w:hint="cs"/>
          <w:rtl/>
        </w:rPr>
        <w:instrText>الحاجة</w:instrText>
      </w:r>
      <w:r w:rsidR="002A5421" w:rsidRPr="00C85F0F">
        <w:rPr>
          <w:rtl/>
        </w:rPr>
        <w:instrText>" \</w:instrText>
      </w:r>
      <w:r w:rsidR="002A5421" w:rsidRPr="00C85F0F">
        <w:instrText>fm</w:instrText>
      </w:r>
      <w:r w:rsidR="00AB0B9E" w:rsidRPr="00C85F0F">
        <w:fldChar w:fldCharType="end"/>
      </w:r>
      <w:r w:rsidR="00B64F4C">
        <w:rPr>
          <w:rFonts w:hint="cs"/>
          <w:b w:val="0"/>
          <w:rtl/>
        </w:rPr>
        <w:t xml:space="preserve"> لغة :</w:t>
      </w:r>
    </w:p>
    <w:p w:rsidR="00065E4B" w:rsidRDefault="00B64F4C" w:rsidP="00597C20">
      <w:pPr>
        <w:widowControl/>
        <w:autoSpaceDE w:val="0"/>
        <w:autoSpaceDN w:val="0"/>
        <w:adjustRightInd w:val="0"/>
        <w:ind w:firstLine="720"/>
        <w:rPr>
          <w:rFonts w:ascii="Traditional Arabic" w:hAnsi="Traditional Arabic"/>
          <w:noProof w:val="0"/>
          <w:rtl/>
          <w:lang w:eastAsia="en-US"/>
        </w:rPr>
      </w:pPr>
      <w:r>
        <w:rPr>
          <w:rFonts w:hint="cs"/>
          <w:rtl/>
        </w:rPr>
        <w:t xml:space="preserve">اسم مصدر للفعل احتاج، يقال: احتاج الرجل يحتاج احتياجا وحاجة، وأصل الكلمة: "حوج"، قال </w:t>
      </w:r>
      <w:r w:rsidR="006F4B08">
        <w:rPr>
          <w:rFonts w:hint="cs"/>
          <w:rtl/>
        </w:rPr>
        <w:t xml:space="preserve"> </w:t>
      </w:r>
      <w:r>
        <w:rPr>
          <w:rFonts w:hint="cs"/>
          <w:rtl/>
        </w:rPr>
        <w:t xml:space="preserve">ابن فارس </w:t>
      </w:r>
      <w:r w:rsidR="006F4B08">
        <w:rPr>
          <w:rFonts w:hint="cs"/>
          <w:rtl/>
        </w:rPr>
        <w:t>_</w:t>
      </w:r>
      <w:r w:rsidR="009A0575" w:rsidRPr="005D5694">
        <w:rPr>
          <w:rFonts w:ascii="Traditional Arabic" w:hAnsi="Traditional Arabic" w:cs="CTraditional Arabic" w:hint="cs"/>
          <w:rtl/>
        </w:rPr>
        <w:t>/</w:t>
      </w:r>
      <w:r w:rsidR="006F4B08">
        <w:rPr>
          <w:rFonts w:hint="cs"/>
          <w:rtl/>
        </w:rPr>
        <w:t>_</w:t>
      </w:r>
      <w:r>
        <w:rPr>
          <w:rFonts w:hint="cs"/>
          <w:rtl/>
        </w:rPr>
        <w:t xml:space="preserve"> :</w:t>
      </w:r>
      <w:r w:rsidR="00B76414">
        <w:rPr>
          <w:rFonts w:hint="cs"/>
          <w:rtl/>
        </w:rPr>
        <w:t>(</w:t>
      </w:r>
      <w:r w:rsidRPr="00F07905">
        <w:rPr>
          <w:rFonts w:ascii="Traditional Arabic" w:hAnsi="Traditional Arabic"/>
          <w:noProof w:val="0"/>
          <w:rtl/>
          <w:lang w:eastAsia="en-US"/>
        </w:rPr>
        <w:t xml:space="preserve">الحاء والواو والجيم أصل واحد، وهو </w:t>
      </w:r>
      <w:r w:rsidRPr="00A2663F">
        <w:rPr>
          <w:rFonts w:ascii="Traditional Arabic" w:hAnsi="Traditional Arabic"/>
          <w:b/>
          <w:bCs/>
          <w:noProof w:val="0"/>
          <w:rtl/>
          <w:lang w:eastAsia="en-US"/>
        </w:rPr>
        <w:t>الاضطرار إلى الشيء</w:t>
      </w:r>
      <w:r w:rsidRPr="00F07905">
        <w:rPr>
          <w:rFonts w:ascii="Traditional Arabic" w:hAnsi="Traditional Arabic"/>
          <w:noProof w:val="0"/>
          <w:rtl/>
          <w:lang w:eastAsia="en-US"/>
        </w:rPr>
        <w:t>، فالحاجة واحدة الحاجات. والح</w:t>
      </w:r>
      <w:r>
        <w:rPr>
          <w:rFonts w:ascii="Traditional Arabic" w:hAnsi="Traditional Arabic" w:hint="cs"/>
          <w:noProof w:val="0"/>
          <w:rtl/>
          <w:lang w:eastAsia="en-US"/>
        </w:rPr>
        <w:t>َ</w:t>
      </w:r>
      <w:r w:rsidRPr="00F07905">
        <w:rPr>
          <w:rFonts w:ascii="Traditional Arabic" w:hAnsi="Traditional Arabic"/>
          <w:noProof w:val="0"/>
          <w:rtl/>
          <w:lang w:eastAsia="en-US"/>
        </w:rPr>
        <w:t>و</w:t>
      </w:r>
      <w:r>
        <w:rPr>
          <w:rFonts w:ascii="Traditional Arabic" w:hAnsi="Traditional Arabic" w:hint="cs"/>
          <w:noProof w:val="0"/>
          <w:rtl/>
          <w:lang w:eastAsia="en-US"/>
        </w:rPr>
        <w:t>ْ</w:t>
      </w:r>
      <w:r w:rsidRPr="00F07905">
        <w:rPr>
          <w:rFonts w:ascii="Traditional Arabic" w:hAnsi="Traditional Arabic"/>
          <w:noProof w:val="0"/>
          <w:rtl/>
          <w:lang w:eastAsia="en-US"/>
        </w:rPr>
        <w:t>جاء: الحاجة. ويقال أح</w:t>
      </w:r>
      <w:r>
        <w:rPr>
          <w:rFonts w:ascii="Traditional Arabic" w:hAnsi="Traditional Arabic" w:hint="cs"/>
          <w:noProof w:val="0"/>
          <w:rtl/>
          <w:lang w:eastAsia="en-US"/>
        </w:rPr>
        <w:t>ْ</w:t>
      </w:r>
      <w:r w:rsidRPr="00F07905">
        <w:rPr>
          <w:rFonts w:ascii="Traditional Arabic" w:hAnsi="Traditional Arabic"/>
          <w:noProof w:val="0"/>
          <w:rtl/>
          <w:lang w:eastAsia="en-US"/>
        </w:rPr>
        <w:t>و</w:t>
      </w:r>
      <w:r>
        <w:rPr>
          <w:rFonts w:ascii="Traditional Arabic" w:hAnsi="Traditional Arabic" w:hint="cs"/>
          <w:noProof w:val="0"/>
          <w:rtl/>
          <w:lang w:eastAsia="en-US"/>
        </w:rPr>
        <w:t>َ</w:t>
      </w:r>
      <w:r w:rsidRPr="00F07905">
        <w:rPr>
          <w:rFonts w:ascii="Traditional Arabic" w:hAnsi="Traditional Arabic"/>
          <w:noProof w:val="0"/>
          <w:rtl/>
          <w:lang w:eastAsia="en-US"/>
        </w:rPr>
        <w:t>ج</w:t>
      </w:r>
      <w:r>
        <w:rPr>
          <w:rFonts w:ascii="Traditional Arabic" w:hAnsi="Traditional Arabic" w:hint="cs"/>
          <w:noProof w:val="0"/>
          <w:rtl/>
          <w:lang w:eastAsia="en-US"/>
        </w:rPr>
        <w:t>َ</w:t>
      </w:r>
      <w:r w:rsidRPr="00F07905">
        <w:rPr>
          <w:rFonts w:ascii="Traditional Arabic" w:hAnsi="Traditional Arabic"/>
          <w:noProof w:val="0"/>
          <w:rtl/>
          <w:lang w:eastAsia="en-US"/>
        </w:rPr>
        <w:t xml:space="preserve"> الرج</w:t>
      </w:r>
      <w:r>
        <w:rPr>
          <w:rFonts w:ascii="Traditional Arabic" w:hAnsi="Traditional Arabic" w:hint="cs"/>
          <w:noProof w:val="0"/>
          <w:rtl/>
          <w:lang w:eastAsia="en-US"/>
        </w:rPr>
        <w:t>ُ</w:t>
      </w:r>
      <w:r w:rsidRPr="00F07905">
        <w:rPr>
          <w:rFonts w:ascii="Traditional Arabic" w:hAnsi="Traditional Arabic"/>
          <w:noProof w:val="0"/>
          <w:rtl/>
          <w:lang w:eastAsia="en-US"/>
        </w:rPr>
        <w:t>ل</w:t>
      </w:r>
      <w:r>
        <w:rPr>
          <w:rFonts w:ascii="Traditional Arabic" w:hAnsi="Traditional Arabic" w:hint="cs"/>
          <w:noProof w:val="0"/>
          <w:rtl/>
          <w:lang w:eastAsia="en-US"/>
        </w:rPr>
        <w:t>ُ</w:t>
      </w:r>
      <w:r w:rsidRPr="00F07905">
        <w:rPr>
          <w:rFonts w:ascii="Traditional Arabic" w:hAnsi="Traditional Arabic"/>
          <w:noProof w:val="0"/>
          <w:rtl/>
          <w:lang w:eastAsia="en-US"/>
        </w:rPr>
        <w:t>: احتاج</w:t>
      </w:r>
      <w:r>
        <w:rPr>
          <w:rFonts w:ascii="Traditional Arabic" w:hAnsi="Traditional Arabic" w:hint="cs"/>
          <w:noProof w:val="0"/>
          <w:rtl/>
          <w:lang w:eastAsia="en-US"/>
        </w:rPr>
        <w:t>َ</w:t>
      </w:r>
      <w:r w:rsidRPr="00F07905">
        <w:rPr>
          <w:rFonts w:ascii="Traditional Arabic" w:hAnsi="Traditional Arabic"/>
          <w:noProof w:val="0"/>
          <w:rtl/>
          <w:lang w:eastAsia="en-US"/>
        </w:rPr>
        <w:t>. ويقال أيضا: حاج</w:t>
      </w:r>
      <w:r>
        <w:rPr>
          <w:rFonts w:ascii="Traditional Arabic" w:hAnsi="Traditional Arabic" w:hint="cs"/>
          <w:noProof w:val="0"/>
          <w:rtl/>
          <w:lang w:eastAsia="en-US"/>
        </w:rPr>
        <w:t>َ</w:t>
      </w:r>
      <w:r w:rsidRPr="00F07905">
        <w:rPr>
          <w:rFonts w:ascii="Traditional Arabic" w:hAnsi="Traditional Arabic"/>
          <w:noProof w:val="0"/>
          <w:rtl/>
          <w:lang w:eastAsia="en-US"/>
        </w:rPr>
        <w:t xml:space="preserve"> ي</w:t>
      </w:r>
      <w:r>
        <w:rPr>
          <w:rFonts w:ascii="Traditional Arabic" w:hAnsi="Traditional Arabic" w:hint="cs"/>
          <w:noProof w:val="0"/>
          <w:rtl/>
          <w:lang w:eastAsia="en-US"/>
        </w:rPr>
        <w:t>َ</w:t>
      </w:r>
      <w:r w:rsidRPr="00F07905">
        <w:rPr>
          <w:rFonts w:ascii="Traditional Arabic" w:hAnsi="Traditional Arabic"/>
          <w:noProof w:val="0"/>
          <w:rtl/>
          <w:lang w:eastAsia="en-US"/>
        </w:rPr>
        <w:t>ح</w:t>
      </w:r>
      <w:r>
        <w:rPr>
          <w:rFonts w:ascii="Traditional Arabic" w:hAnsi="Traditional Arabic" w:hint="cs"/>
          <w:noProof w:val="0"/>
          <w:rtl/>
          <w:lang w:eastAsia="en-US"/>
        </w:rPr>
        <w:t>ُ</w:t>
      </w:r>
      <w:r w:rsidRPr="00F07905">
        <w:rPr>
          <w:rFonts w:ascii="Traditional Arabic" w:hAnsi="Traditional Arabic"/>
          <w:noProof w:val="0"/>
          <w:rtl/>
          <w:lang w:eastAsia="en-US"/>
        </w:rPr>
        <w:t>وج</w:t>
      </w:r>
      <w:r>
        <w:rPr>
          <w:rFonts w:ascii="Traditional Arabic" w:hAnsi="Traditional Arabic" w:hint="cs"/>
          <w:noProof w:val="0"/>
          <w:rtl/>
          <w:lang w:eastAsia="en-US"/>
        </w:rPr>
        <w:t>ُ</w:t>
      </w:r>
      <w:r w:rsidRPr="00F07905">
        <w:rPr>
          <w:rFonts w:ascii="Traditional Arabic" w:hAnsi="Traditional Arabic"/>
          <w:noProof w:val="0"/>
          <w:rtl/>
          <w:lang w:eastAsia="en-US"/>
        </w:rPr>
        <w:t>، بمعنى</w:t>
      </w:r>
      <w:r>
        <w:rPr>
          <w:rFonts w:ascii="Traditional Arabic" w:hAnsi="Traditional Arabic" w:hint="cs"/>
          <w:noProof w:val="0"/>
          <w:rtl/>
          <w:lang w:eastAsia="en-US"/>
        </w:rPr>
        <w:t>:</w:t>
      </w:r>
      <w:r w:rsidRPr="00F07905">
        <w:rPr>
          <w:rFonts w:ascii="Traditional Arabic" w:hAnsi="Traditional Arabic"/>
          <w:noProof w:val="0"/>
          <w:rtl/>
          <w:lang w:eastAsia="en-US"/>
        </w:rPr>
        <w:t>احتاج</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663"/>
      </w:r>
      <w:r w:rsidRPr="00C821A1">
        <w:rPr>
          <w:rStyle w:val="af1"/>
          <w:szCs w:val="32"/>
          <w:rtl/>
        </w:rPr>
        <w:t>)</w:t>
      </w:r>
      <w:r w:rsidRPr="00F07905">
        <w:rPr>
          <w:rFonts w:ascii="Traditional Arabic" w:hAnsi="Traditional Arabic"/>
          <w:noProof w:val="0"/>
          <w:rtl/>
          <w:lang w:eastAsia="en-US"/>
        </w:rPr>
        <w:t>.</w:t>
      </w:r>
    </w:p>
    <w:p w:rsidR="00065E4B" w:rsidRDefault="00065E4B"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و</w:t>
      </w:r>
      <w:r w:rsidR="00B64F4C">
        <w:rPr>
          <w:rFonts w:ascii="Traditional Arabic" w:hAnsi="Traditional Arabic" w:hint="cs"/>
          <w:noProof w:val="0"/>
          <w:rtl/>
          <w:lang w:eastAsia="en-US"/>
        </w:rPr>
        <w:t>يقال: حاجَ الرجل واحتاج: إذا افتقر</w:t>
      </w:r>
      <w:r w:rsidR="00B64F4C" w:rsidRPr="00C821A1">
        <w:rPr>
          <w:rStyle w:val="af1"/>
          <w:szCs w:val="32"/>
          <w:rtl/>
        </w:rPr>
        <w:t>(</w:t>
      </w:r>
      <w:r w:rsidR="00B64F4C" w:rsidRPr="00C821A1">
        <w:rPr>
          <w:rStyle w:val="af1"/>
          <w:szCs w:val="32"/>
          <w:rtl/>
        </w:rPr>
        <w:footnoteReference w:id="664"/>
      </w:r>
      <w:r w:rsidR="00B64F4C" w:rsidRPr="00C821A1">
        <w:rPr>
          <w:rStyle w:val="af1"/>
          <w:szCs w:val="32"/>
          <w:rtl/>
        </w:rPr>
        <w:t>)</w:t>
      </w:r>
      <w:r w:rsidR="00B64F4C">
        <w:rPr>
          <w:rFonts w:ascii="Traditional Arabic" w:hAnsi="Traditional Arabic" w:hint="cs"/>
          <w:noProof w:val="0"/>
          <w:rtl/>
          <w:lang w:eastAsia="en-US"/>
        </w:rPr>
        <w:t>.</w:t>
      </w:r>
    </w:p>
    <w:p w:rsidR="00065E4B" w:rsidRDefault="00065E4B"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و</w:t>
      </w:r>
      <w:r w:rsidR="00B64F4C">
        <w:rPr>
          <w:rFonts w:ascii="Traditional Arabic" w:hAnsi="Traditional Arabic" w:hint="cs"/>
          <w:noProof w:val="0"/>
          <w:rtl/>
          <w:lang w:eastAsia="en-US"/>
        </w:rPr>
        <w:t>يمكن أن يُستخلص مما سبق أن الحاجة هي الاضطرار إلى الشيء والافتقار إليه.</w:t>
      </w:r>
    </w:p>
    <w:p w:rsidR="00065E4B" w:rsidRDefault="00065E4B" w:rsidP="00597C20">
      <w:pPr>
        <w:pStyle w:val="53"/>
        <w:rPr>
          <w:rtl/>
        </w:rPr>
      </w:pPr>
      <w:r>
        <w:rPr>
          <w:rFonts w:hint="cs"/>
          <w:rtl/>
        </w:rPr>
        <w:lastRenderedPageBreak/>
        <w:t>ا</w:t>
      </w:r>
      <w:r w:rsidR="00B64F4C">
        <w:rPr>
          <w:rFonts w:hint="cs"/>
          <w:rtl/>
        </w:rPr>
        <w:t>لحاجة اصطلاحا</w:t>
      </w:r>
      <w:r w:rsidR="00B64F4C" w:rsidRPr="00ED0418">
        <w:rPr>
          <w:rtl/>
        </w:rPr>
        <w:t>:</w:t>
      </w:r>
    </w:p>
    <w:p w:rsidR="00065E4B" w:rsidRDefault="00065E4B" w:rsidP="00597C20">
      <w:pPr>
        <w:spacing w:line="640" w:lineRule="exact"/>
        <w:ind w:firstLine="720"/>
        <w:jc w:val="lowKashida"/>
        <w:rPr>
          <w:rFonts w:ascii="Traditional Arabic" w:hAnsi="Traditional Arabic"/>
          <w:rtl/>
        </w:rPr>
      </w:pPr>
      <w:r w:rsidRPr="00ED0418">
        <w:rPr>
          <w:rFonts w:ascii="Traditional Arabic" w:hAnsi="Traditional Arabic"/>
          <w:rtl/>
        </w:rPr>
        <w:t>ع</w:t>
      </w:r>
      <w:r w:rsidR="00B64F4C" w:rsidRPr="00ED0418">
        <w:rPr>
          <w:rFonts w:ascii="Traditional Arabic" w:hAnsi="Traditional Arabic"/>
          <w:rtl/>
        </w:rPr>
        <w:t xml:space="preserve">رَّفها </w:t>
      </w:r>
      <w:r w:rsidR="006F4B08">
        <w:rPr>
          <w:rFonts w:ascii="Traditional Arabic" w:hAnsi="Traditional Arabic" w:hint="cs"/>
          <w:rtl/>
        </w:rPr>
        <w:t xml:space="preserve"> </w:t>
      </w:r>
      <w:r w:rsidR="00B64F4C" w:rsidRPr="00ED0418">
        <w:rPr>
          <w:rFonts w:ascii="Traditional Arabic" w:hAnsi="Traditional Arabic"/>
          <w:rtl/>
        </w:rPr>
        <w:t>الشاطبي</w:t>
      </w:r>
      <w:r w:rsidR="006F4B08">
        <w:rPr>
          <w:rFonts w:ascii="Traditional Arabic" w:hAnsi="Traditional Arabic" w:hint="cs"/>
          <w:rtl/>
        </w:rPr>
        <w:t>_</w:t>
      </w:r>
      <w:r w:rsidR="009A0575" w:rsidRPr="005D5694">
        <w:rPr>
          <w:rFonts w:ascii="Traditional Arabic" w:hAnsi="Traditional Arabic" w:cs="CTraditional Arabic" w:hint="cs"/>
          <w:rtl/>
        </w:rPr>
        <w:t>/</w:t>
      </w:r>
      <w:r w:rsidR="006F4B08">
        <w:rPr>
          <w:rFonts w:ascii="Traditional Arabic" w:hAnsi="Traditional Arabic" w:hint="cs"/>
          <w:rtl/>
        </w:rPr>
        <w:t>_</w:t>
      </w:r>
      <w:r w:rsidR="00B64F4C" w:rsidRPr="00ED0418">
        <w:rPr>
          <w:rFonts w:ascii="Traditional Arabic" w:hAnsi="Traditional Arabic"/>
          <w:rtl/>
        </w:rPr>
        <w:t xml:space="preserve"> بقوله : (ما يُفتق</w:t>
      </w:r>
      <w:r w:rsidR="00B64F4C">
        <w:rPr>
          <w:rFonts w:ascii="Traditional Arabic" w:hAnsi="Traditional Arabic" w:hint="cs"/>
          <w:rtl/>
        </w:rPr>
        <w:t>َ</w:t>
      </w:r>
      <w:r w:rsidR="00B64F4C" w:rsidRPr="00ED0418">
        <w:rPr>
          <w:rFonts w:ascii="Traditional Arabic" w:hAnsi="Traditional Arabic"/>
          <w:rtl/>
        </w:rPr>
        <w:t>ر إليه من حيث التوسعة</w:t>
      </w:r>
      <w:r w:rsidR="00B64F4C">
        <w:rPr>
          <w:rFonts w:ascii="Traditional Arabic" w:hAnsi="Traditional Arabic" w:hint="cs"/>
          <w:rtl/>
        </w:rPr>
        <w:t>ُ</w:t>
      </w:r>
      <w:r w:rsidR="00B64F4C" w:rsidRPr="00ED0418">
        <w:rPr>
          <w:rFonts w:ascii="Traditional Arabic" w:hAnsi="Traditional Arabic"/>
          <w:rtl/>
        </w:rPr>
        <w:t xml:space="preserve"> ور</w:t>
      </w:r>
      <w:r w:rsidR="00B64F4C">
        <w:rPr>
          <w:rFonts w:ascii="Traditional Arabic" w:hAnsi="Traditional Arabic" w:hint="cs"/>
          <w:rtl/>
        </w:rPr>
        <w:t>َ</w:t>
      </w:r>
      <w:r w:rsidR="00B64F4C" w:rsidRPr="00ED0418">
        <w:rPr>
          <w:rFonts w:ascii="Traditional Arabic" w:hAnsi="Traditional Arabic"/>
          <w:rtl/>
        </w:rPr>
        <w:t>ف</w:t>
      </w:r>
      <w:r w:rsidR="00B64F4C">
        <w:rPr>
          <w:rFonts w:ascii="Traditional Arabic" w:hAnsi="Traditional Arabic" w:hint="cs"/>
          <w:rtl/>
        </w:rPr>
        <w:t>ْ</w:t>
      </w:r>
      <w:r w:rsidR="00B64F4C" w:rsidRPr="00ED0418">
        <w:rPr>
          <w:rFonts w:ascii="Traditional Arabic" w:hAnsi="Traditional Arabic"/>
          <w:rtl/>
        </w:rPr>
        <w:t>ع الضيق المؤدِّي في الغالب إلى الح</w:t>
      </w:r>
      <w:r w:rsidR="00B64F4C">
        <w:rPr>
          <w:rFonts w:ascii="Traditional Arabic" w:hAnsi="Traditional Arabic" w:hint="cs"/>
          <w:rtl/>
        </w:rPr>
        <w:t>َ</w:t>
      </w:r>
      <w:r w:rsidR="00B64F4C" w:rsidRPr="00ED0418">
        <w:rPr>
          <w:rFonts w:ascii="Traditional Arabic" w:hAnsi="Traditional Arabic"/>
          <w:rtl/>
        </w:rPr>
        <w:t>ر</w:t>
      </w:r>
      <w:r w:rsidR="00B64F4C">
        <w:rPr>
          <w:rFonts w:ascii="Traditional Arabic" w:hAnsi="Traditional Arabic" w:hint="cs"/>
          <w:rtl/>
        </w:rPr>
        <w:t>َ</w:t>
      </w:r>
      <w:r w:rsidR="00B64F4C" w:rsidRPr="00ED0418">
        <w:rPr>
          <w:rFonts w:ascii="Traditional Arabic" w:hAnsi="Traditional Arabic"/>
          <w:rtl/>
        </w:rPr>
        <w:t>ج والمشقَّة اللاحقة ب</w:t>
      </w:r>
      <w:r w:rsidR="00B64F4C">
        <w:rPr>
          <w:rFonts w:ascii="Traditional Arabic" w:hAnsi="Traditional Arabic" w:hint="cs"/>
          <w:rtl/>
        </w:rPr>
        <w:t>ِ</w:t>
      </w:r>
      <w:r w:rsidR="00B64F4C" w:rsidRPr="00ED0418">
        <w:rPr>
          <w:rFonts w:ascii="Traditional Arabic" w:hAnsi="Traditional Arabic"/>
          <w:rtl/>
        </w:rPr>
        <w:t>ف</w:t>
      </w:r>
      <w:r w:rsidR="00B64F4C">
        <w:rPr>
          <w:rFonts w:ascii="Traditional Arabic" w:hAnsi="Traditional Arabic" w:hint="cs"/>
          <w:rtl/>
        </w:rPr>
        <w:t>َ</w:t>
      </w:r>
      <w:r w:rsidR="00B64F4C" w:rsidRPr="00ED0418">
        <w:rPr>
          <w:rFonts w:ascii="Traditional Arabic" w:hAnsi="Traditional Arabic"/>
          <w:rtl/>
        </w:rPr>
        <w:t>و</w:t>
      </w:r>
      <w:r w:rsidR="00B64F4C">
        <w:rPr>
          <w:rFonts w:ascii="Traditional Arabic" w:hAnsi="Traditional Arabic" w:hint="cs"/>
          <w:rtl/>
        </w:rPr>
        <w:t>ْ</w:t>
      </w:r>
      <w:r w:rsidR="00B64F4C" w:rsidRPr="00ED0418">
        <w:rPr>
          <w:rFonts w:ascii="Traditional Arabic" w:hAnsi="Traditional Arabic"/>
          <w:rtl/>
        </w:rPr>
        <w:t>ت</w:t>
      </w:r>
      <w:r w:rsidR="00B64F4C">
        <w:rPr>
          <w:rFonts w:ascii="Traditional Arabic" w:hAnsi="Traditional Arabic" w:hint="cs"/>
          <w:rtl/>
        </w:rPr>
        <w:t xml:space="preserve">ِ </w:t>
      </w:r>
      <w:r w:rsidR="00B64F4C" w:rsidRPr="00ED0418">
        <w:rPr>
          <w:rFonts w:ascii="Traditional Arabic" w:hAnsi="Traditional Arabic"/>
          <w:rtl/>
        </w:rPr>
        <w:t>المطلوب</w:t>
      </w:r>
      <w:r w:rsidR="00B76414">
        <w:rPr>
          <w:rFonts w:ascii="Traditional Arabic" w:hAnsi="Traditional Arabic"/>
          <w:rtl/>
        </w:rPr>
        <w:t>،</w:t>
      </w:r>
      <w:r w:rsidR="00B64F4C" w:rsidRPr="00ED0418">
        <w:rPr>
          <w:rFonts w:ascii="Traditional Arabic" w:hAnsi="Traditional Arabic"/>
          <w:rtl/>
        </w:rPr>
        <w:t xml:space="preserve"> فإذا لم تُراع</w:t>
      </w:r>
      <w:r w:rsidR="00B64F4C">
        <w:rPr>
          <w:rFonts w:ascii="Traditional Arabic" w:hAnsi="Traditional Arabic" w:hint="cs"/>
          <w:rtl/>
        </w:rPr>
        <w:t>َ</w:t>
      </w:r>
      <w:r w:rsidR="00B64F4C" w:rsidRPr="00ED0418">
        <w:rPr>
          <w:rFonts w:ascii="Traditional Arabic" w:hAnsi="Traditional Arabic"/>
          <w:rtl/>
        </w:rPr>
        <w:t xml:space="preserve"> ؛ دخل على المكل</w:t>
      </w:r>
      <w:r w:rsidR="00B64F4C">
        <w:rPr>
          <w:rFonts w:ascii="Traditional Arabic" w:hAnsi="Traditional Arabic" w:hint="cs"/>
          <w:rtl/>
        </w:rPr>
        <w:t>َّ</w:t>
      </w:r>
      <w:r w:rsidR="00B64F4C" w:rsidRPr="00ED0418">
        <w:rPr>
          <w:rFonts w:ascii="Traditional Arabic" w:hAnsi="Traditional Arabic"/>
          <w:rtl/>
        </w:rPr>
        <w:t xml:space="preserve">فين - على الجملة - </w:t>
      </w:r>
      <w:r w:rsidR="00B64F4C">
        <w:rPr>
          <w:rFonts w:ascii="Traditional Arabic" w:hAnsi="Traditional Arabic"/>
          <w:rtl/>
        </w:rPr>
        <w:t>الحرج</w:t>
      </w:r>
      <w:r w:rsidR="00B64F4C">
        <w:rPr>
          <w:rFonts w:ascii="Traditional Arabic" w:hAnsi="Traditional Arabic" w:hint="cs"/>
          <w:rtl/>
        </w:rPr>
        <w:t>ُ</w:t>
      </w:r>
      <w:r w:rsidR="00B64F4C">
        <w:rPr>
          <w:rFonts w:ascii="Traditional Arabic" w:hAnsi="Traditional Arabic"/>
          <w:rtl/>
        </w:rPr>
        <w:t xml:space="preserve"> والمشقَّة</w:t>
      </w:r>
      <w:r w:rsidR="00B76414">
        <w:rPr>
          <w:rFonts w:ascii="Traditional Arabic" w:hAnsi="Traditional Arabic"/>
          <w:rtl/>
        </w:rPr>
        <w:t>)</w:t>
      </w:r>
      <w:r w:rsidR="00B64F4C" w:rsidRPr="00C821A1">
        <w:rPr>
          <w:rFonts w:ascii="Traditional Arabic" w:hAnsi="Traditional Arabic"/>
          <w:szCs w:val="32"/>
          <w:vertAlign w:val="superscript"/>
          <w:rtl/>
        </w:rPr>
        <w:t>(</w:t>
      </w:r>
      <w:r w:rsidR="00B64F4C" w:rsidRPr="00C821A1">
        <w:rPr>
          <w:rStyle w:val="af1"/>
          <w:rFonts w:ascii="Traditional Arabic" w:hAnsi="Traditional Arabic"/>
          <w:szCs w:val="32"/>
          <w:rtl/>
        </w:rPr>
        <w:footnoteReference w:id="665"/>
      </w:r>
      <w:r w:rsidR="00B64F4C" w:rsidRPr="00C821A1">
        <w:rPr>
          <w:rFonts w:ascii="Traditional Arabic" w:hAnsi="Traditional Arabic"/>
          <w:szCs w:val="32"/>
          <w:vertAlign w:val="superscript"/>
          <w:rtl/>
        </w:rPr>
        <w:t>)</w:t>
      </w:r>
      <w:r w:rsidR="00B76414">
        <w:rPr>
          <w:rFonts w:ascii="Traditional Arabic" w:hAnsi="Traditional Arabic"/>
          <w:rtl/>
        </w:rPr>
        <w:t>.</w:t>
      </w:r>
    </w:p>
    <w:p w:rsidR="00B64F4C" w:rsidRPr="00C0560E" w:rsidRDefault="00065E4B" w:rsidP="00597C20">
      <w:pPr>
        <w:spacing w:line="640" w:lineRule="exact"/>
        <w:ind w:firstLine="720"/>
        <w:jc w:val="lowKashida"/>
        <w:rPr>
          <w:rFonts w:ascii="Lotus Linotype" w:hAnsi="Lotus Linotype" w:cs="Lotus Linotype"/>
          <w:rtl/>
        </w:rPr>
      </w:pPr>
      <w:r>
        <w:rPr>
          <w:rFonts w:ascii="Traditional Arabic" w:hAnsi="Traditional Arabic"/>
          <w:rtl/>
        </w:rPr>
        <w:t>و</w:t>
      </w:r>
      <w:r w:rsidR="00B64F4C">
        <w:rPr>
          <w:rFonts w:ascii="Traditional Arabic" w:hAnsi="Traditional Arabic" w:hint="cs"/>
          <w:rtl/>
        </w:rPr>
        <w:t>عرفها بعض الباحثين المعاصرين بقوله</w:t>
      </w:r>
      <w:r w:rsidR="00B64F4C" w:rsidRPr="00ED0418">
        <w:rPr>
          <w:rFonts w:ascii="Traditional Arabic" w:hAnsi="Traditional Arabic"/>
          <w:rtl/>
        </w:rPr>
        <w:t xml:space="preserve"> :</w:t>
      </w:r>
      <w:r w:rsidR="00B76414">
        <w:rPr>
          <w:rFonts w:ascii="Traditional Arabic" w:hAnsi="Traditional Arabic" w:hint="cs"/>
          <w:rtl/>
        </w:rPr>
        <w:t>(</w:t>
      </w:r>
      <w:r w:rsidR="00B64F4C">
        <w:rPr>
          <w:rFonts w:ascii="Traditional Arabic" w:hAnsi="Traditional Arabic" w:hint="cs"/>
          <w:rtl/>
        </w:rPr>
        <w:t>الافتقار إلى الشيء، لأجل التوسعة ورَفْعِ الضيق والمشقة، مما يخالِف الأدلة أو القواعد الشرعية)</w:t>
      </w:r>
      <w:r w:rsidR="00B64F4C" w:rsidRPr="00C821A1">
        <w:rPr>
          <w:rStyle w:val="af1"/>
          <w:szCs w:val="32"/>
          <w:rtl/>
        </w:rPr>
        <w:t>(</w:t>
      </w:r>
      <w:r w:rsidR="00B64F4C" w:rsidRPr="00C821A1">
        <w:rPr>
          <w:rStyle w:val="af1"/>
          <w:szCs w:val="32"/>
          <w:rtl/>
        </w:rPr>
        <w:footnoteReference w:id="666"/>
      </w:r>
      <w:r w:rsidR="00B64F4C" w:rsidRPr="00C821A1">
        <w:rPr>
          <w:rStyle w:val="af1"/>
          <w:szCs w:val="32"/>
          <w:rtl/>
        </w:rPr>
        <w:t>)</w:t>
      </w:r>
      <w:r w:rsidR="00B64F4C">
        <w:rPr>
          <w:rFonts w:ascii="Traditional Arabic" w:hAnsi="Traditional Arabic" w:hint="cs"/>
          <w:rtl/>
        </w:rPr>
        <w:t>.</w:t>
      </w:r>
    </w:p>
    <w:p w:rsidR="00F228A9" w:rsidRPr="006F4B08" w:rsidRDefault="00D22935" w:rsidP="006F4B08">
      <w:pPr>
        <w:pStyle w:val="53"/>
        <w:rPr>
          <w:rtl/>
        </w:rPr>
      </w:pPr>
      <w:r>
        <w:rPr>
          <w:rFonts w:hint="cs"/>
          <w:rtl/>
        </w:rPr>
        <w:t xml:space="preserve">    </w:t>
      </w:r>
      <w:r w:rsidR="00B64F4C" w:rsidRPr="00B90E38">
        <w:rPr>
          <w:rtl/>
        </w:rPr>
        <w:t>ومعنى القاعدة</w:t>
      </w:r>
      <w:r w:rsidR="00B64F4C" w:rsidRPr="00C821A1">
        <w:rPr>
          <w:rStyle w:val="af1"/>
          <w:bCs w:val="0"/>
          <w:szCs w:val="32"/>
          <w:rtl/>
        </w:rPr>
        <w:t>(</w:t>
      </w:r>
      <w:r w:rsidR="00B64F4C" w:rsidRPr="00C821A1">
        <w:rPr>
          <w:rStyle w:val="af1"/>
          <w:bCs w:val="0"/>
          <w:szCs w:val="32"/>
          <w:rtl/>
        </w:rPr>
        <w:footnoteReference w:id="667"/>
      </w:r>
      <w:r w:rsidR="00B64F4C" w:rsidRPr="00C821A1">
        <w:rPr>
          <w:rStyle w:val="af1"/>
          <w:bCs w:val="0"/>
          <w:szCs w:val="32"/>
          <w:rtl/>
        </w:rPr>
        <w:t>)</w:t>
      </w:r>
      <w:r w:rsidR="006F4B08">
        <w:rPr>
          <w:rFonts w:hint="cs"/>
          <w:rtl/>
        </w:rPr>
        <w:t xml:space="preserve"> </w:t>
      </w:r>
      <w:r w:rsidR="00B64F4C" w:rsidRPr="000B32C5">
        <w:rPr>
          <w:rFonts w:ascii="Traditional Arabic" w:hAnsi="Traditional Arabic" w:hint="cs"/>
          <w:rtl/>
        </w:rPr>
        <w:t>أن</w:t>
      </w:r>
      <w:r w:rsidR="006F4B08">
        <w:rPr>
          <w:rFonts w:ascii="Traditional Arabic" w:hAnsi="Traditional Arabic" w:hint="cs"/>
          <w:rtl/>
        </w:rPr>
        <w:t xml:space="preserve"> </w:t>
      </w:r>
      <w:r w:rsidR="00B64F4C" w:rsidRPr="00C83670">
        <w:rPr>
          <w:rFonts w:ascii="Traditional Arabic" w:hAnsi="Traditional Arabic" w:hint="cs"/>
          <w:rtl/>
        </w:rPr>
        <w:t>الأمور التي نهى الله عنها تنقسم إلى قسمين من حيث توج</w:t>
      </w:r>
      <w:r w:rsidR="00B64F4C">
        <w:rPr>
          <w:rFonts w:ascii="Traditional Arabic" w:hAnsi="Traditional Arabic" w:hint="cs"/>
          <w:rtl/>
        </w:rPr>
        <w:t>ُّ</w:t>
      </w:r>
      <w:r w:rsidR="00B64F4C" w:rsidRPr="00C83670">
        <w:rPr>
          <w:rFonts w:ascii="Traditional Arabic" w:hAnsi="Traditional Arabic" w:hint="cs"/>
          <w:rtl/>
        </w:rPr>
        <w:t>ه</w:t>
      </w:r>
      <w:r w:rsidR="00B64F4C">
        <w:rPr>
          <w:rFonts w:ascii="Traditional Arabic" w:hAnsi="Traditional Arabic" w:hint="cs"/>
          <w:rtl/>
        </w:rPr>
        <w:t>ُ</w:t>
      </w:r>
      <w:r w:rsidR="00B64F4C" w:rsidRPr="00C83670">
        <w:rPr>
          <w:rFonts w:ascii="Traditional Arabic" w:hAnsi="Traditional Arabic" w:hint="cs"/>
          <w:rtl/>
        </w:rPr>
        <w:t xml:space="preserve"> النهي عنها، وهما</w:t>
      </w:r>
      <w:r w:rsidR="00B64F4C" w:rsidRPr="00C821A1">
        <w:rPr>
          <w:rStyle w:val="af1"/>
          <w:szCs w:val="32"/>
          <w:rtl/>
        </w:rPr>
        <w:t>(</w:t>
      </w:r>
      <w:r w:rsidR="00B64F4C" w:rsidRPr="00C821A1">
        <w:rPr>
          <w:rStyle w:val="af1"/>
          <w:szCs w:val="32"/>
          <w:rtl/>
        </w:rPr>
        <w:footnoteReference w:id="668"/>
      </w:r>
      <w:r w:rsidR="00B64F4C" w:rsidRPr="00C821A1">
        <w:rPr>
          <w:rStyle w:val="af1"/>
          <w:szCs w:val="32"/>
          <w:rtl/>
        </w:rPr>
        <w:t>)</w:t>
      </w:r>
      <w:r w:rsidR="00B64F4C">
        <w:rPr>
          <w:rFonts w:ascii="Traditional Arabic" w:hAnsi="Traditional Arabic" w:hint="cs"/>
          <w:b w:val="0"/>
          <w:bCs w:val="0"/>
          <w:rtl/>
        </w:rPr>
        <w:t>:</w:t>
      </w:r>
    </w:p>
    <w:p w:rsidR="00B64F4C" w:rsidRDefault="00B64F4C" w:rsidP="00C04C42">
      <w:pPr>
        <w:spacing w:line="640" w:lineRule="exact"/>
        <w:ind w:firstLine="720"/>
        <w:jc w:val="lowKashida"/>
        <w:rPr>
          <w:rFonts w:ascii="Traditional Arabic" w:hAnsi="Traditional Arabic"/>
          <w:rtl/>
        </w:rPr>
      </w:pPr>
      <w:r>
        <w:rPr>
          <w:rFonts w:ascii="Traditional Arabic" w:hAnsi="Traditional Arabic" w:hint="cs"/>
          <w:b/>
          <w:bCs/>
          <w:rtl/>
        </w:rPr>
        <w:t xml:space="preserve">القسم الأول: </w:t>
      </w:r>
      <w:r>
        <w:rPr>
          <w:rFonts w:ascii="Traditional Arabic" w:hAnsi="Traditional Arabic" w:hint="cs"/>
          <w:rtl/>
        </w:rPr>
        <w:t xml:space="preserve">أمورٌ نهى الله عنها لِذاتها؛ ِلما تتصف به من صفات ذاتية فاسدة اقتضت ذلك النهي، </w:t>
      </w:r>
      <w:r w:rsidRPr="000B32C5">
        <w:rPr>
          <w:rFonts w:ascii="Traditional Arabic" w:hAnsi="Traditional Arabic" w:hint="cs"/>
          <w:b/>
          <w:bCs/>
          <w:rtl/>
        </w:rPr>
        <w:t>وهي الأمور التي اصطلح عليها أهل العلم على تسميتها بالمحر</w:t>
      </w:r>
      <w:r>
        <w:rPr>
          <w:rFonts w:ascii="Traditional Arabic" w:hAnsi="Traditional Arabic" w:hint="cs"/>
          <w:b/>
          <w:bCs/>
          <w:rtl/>
        </w:rPr>
        <w:t>َّ</w:t>
      </w:r>
      <w:r w:rsidRPr="000B32C5">
        <w:rPr>
          <w:rFonts w:ascii="Traditional Arabic" w:hAnsi="Traditional Arabic" w:hint="cs"/>
          <w:b/>
          <w:bCs/>
          <w:rtl/>
        </w:rPr>
        <w:t>مات</w:t>
      </w:r>
      <w:r>
        <w:rPr>
          <w:rFonts w:ascii="Traditional Arabic" w:hAnsi="Traditional Arabic" w:hint="cs"/>
          <w:b/>
          <w:bCs/>
          <w:rtl/>
        </w:rPr>
        <w:t>ِ</w:t>
      </w:r>
      <w:r w:rsidRPr="000B32C5">
        <w:rPr>
          <w:rFonts w:ascii="Traditional Arabic" w:hAnsi="Traditional Arabic" w:hint="cs"/>
          <w:b/>
          <w:bCs/>
          <w:rtl/>
        </w:rPr>
        <w:t xml:space="preserve"> تحريم</w:t>
      </w:r>
      <w:r>
        <w:rPr>
          <w:rFonts w:ascii="Traditional Arabic" w:hAnsi="Traditional Arabic" w:hint="cs"/>
          <w:b/>
          <w:bCs/>
          <w:rtl/>
        </w:rPr>
        <w:t>َ</w:t>
      </w:r>
      <w:r w:rsidR="00D514D2">
        <w:rPr>
          <w:rFonts w:ascii="Traditional Arabic" w:hAnsi="Traditional Arabic" w:hint="cs"/>
          <w:b/>
          <w:bCs/>
          <w:rtl/>
        </w:rPr>
        <w:t xml:space="preserve"> </w:t>
      </w:r>
      <w:r w:rsidRPr="000B32C5">
        <w:rPr>
          <w:rFonts w:ascii="Traditional Arabic" w:hAnsi="Traditional Arabic" w:hint="cs"/>
          <w:b/>
          <w:bCs/>
          <w:rtl/>
        </w:rPr>
        <w:t>المقاصد</w:t>
      </w:r>
      <w:r>
        <w:rPr>
          <w:rFonts w:ascii="Traditional Arabic" w:hAnsi="Traditional Arabic" w:hint="cs"/>
          <w:rtl/>
        </w:rPr>
        <w:t>، كالشرك والزنا والقتل والسرقة والغصب ونكاح المحارِم وربا النسيئة</w:t>
      </w:r>
      <w:r w:rsidR="009C1A6E">
        <w:rPr>
          <w:rStyle w:val="af1"/>
          <w:rFonts w:hint="cs"/>
          <w:szCs w:val="32"/>
          <w:vertAlign w:val="baseline"/>
          <w:rtl/>
        </w:rPr>
        <w:t>،</w:t>
      </w:r>
      <w:r w:rsidR="00C04C42">
        <w:rPr>
          <w:rStyle w:val="af1"/>
          <w:rFonts w:hint="cs"/>
          <w:szCs w:val="32"/>
          <w:rtl/>
        </w:rPr>
        <w:t xml:space="preserve"> </w:t>
      </w:r>
      <w:r>
        <w:rPr>
          <w:rFonts w:ascii="Traditional Arabic" w:hAnsi="Traditional Arabic" w:hint="cs"/>
          <w:rtl/>
        </w:rPr>
        <w:t>ونحو ذلك.</w:t>
      </w:r>
    </w:p>
    <w:p w:rsidR="00B64F4C" w:rsidRDefault="00B64F4C" w:rsidP="00597C20">
      <w:pPr>
        <w:spacing w:line="640" w:lineRule="exact"/>
        <w:ind w:firstLine="720"/>
        <w:jc w:val="lowKashida"/>
        <w:rPr>
          <w:rFonts w:ascii="Traditional Arabic" w:hAnsi="Traditional Arabic"/>
          <w:rtl/>
        </w:rPr>
      </w:pPr>
      <w:r w:rsidRPr="00DC47FB">
        <w:rPr>
          <w:rFonts w:ascii="Traditional Arabic" w:hAnsi="Traditional Arabic" w:hint="cs"/>
          <w:b/>
          <w:bCs/>
          <w:rtl/>
        </w:rPr>
        <w:t>القسم</w:t>
      </w:r>
      <w:r>
        <w:rPr>
          <w:rFonts w:ascii="Traditional Arabic" w:hAnsi="Traditional Arabic" w:hint="cs"/>
          <w:b/>
          <w:bCs/>
          <w:rtl/>
        </w:rPr>
        <w:t xml:space="preserve"> الثاني:</w:t>
      </w:r>
      <w:r>
        <w:rPr>
          <w:rFonts w:ascii="Traditional Arabic" w:hAnsi="Traditional Arabic" w:hint="cs"/>
          <w:rtl/>
        </w:rPr>
        <w:t xml:space="preserve">أمور نهى الله عنها لِغيرها، وهي الأمور التي لا تشتمل على ما يقتضي </w:t>
      </w:r>
      <w:r>
        <w:rPr>
          <w:rFonts w:ascii="Traditional Arabic" w:hAnsi="Traditional Arabic" w:hint="cs"/>
          <w:rtl/>
        </w:rPr>
        <w:lastRenderedPageBreak/>
        <w:t>تحريمها في نفسها، لكن نُهي عنها</w:t>
      </w:r>
      <w:r w:rsidR="006F4B08">
        <w:rPr>
          <w:rFonts w:ascii="Traditional Arabic" w:hAnsi="Traditional Arabic" w:hint="cs"/>
          <w:rtl/>
        </w:rPr>
        <w:t xml:space="preserve"> </w:t>
      </w:r>
      <w:r>
        <w:rPr>
          <w:rFonts w:ascii="Traditional Arabic" w:hAnsi="Traditional Arabic" w:hint="cs"/>
          <w:rtl/>
        </w:rPr>
        <w:t xml:space="preserve">بالنظر إلى ما تُفضي إليه، </w:t>
      </w:r>
      <w:r w:rsidRPr="000B32C5">
        <w:rPr>
          <w:rFonts w:ascii="Traditional Arabic" w:hAnsi="Traditional Arabic" w:hint="cs"/>
          <w:b/>
          <w:bCs/>
          <w:rtl/>
        </w:rPr>
        <w:t>وهي الأمور التي اصطلح أهل العلم على تسميتها بالمحر</w:t>
      </w:r>
      <w:r>
        <w:rPr>
          <w:rFonts w:ascii="Traditional Arabic" w:hAnsi="Traditional Arabic" w:hint="cs"/>
          <w:b/>
          <w:bCs/>
          <w:rtl/>
        </w:rPr>
        <w:t>َّ</w:t>
      </w:r>
      <w:r w:rsidRPr="000B32C5">
        <w:rPr>
          <w:rFonts w:ascii="Traditional Arabic" w:hAnsi="Traditional Arabic" w:hint="cs"/>
          <w:b/>
          <w:bCs/>
          <w:rtl/>
        </w:rPr>
        <w:t>مات</w:t>
      </w:r>
      <w:r>
        <w:rPr>
          <w:rFonts w:ascii="Traditional Arabic" w:hAnsi="Traditional Arabic" w:hint="cs"/>
          <w:b/>
          <w:bCs/>
          <w:rtl/>
        </w:rPr>
        <w:t>ِ</w:t>
      </w:r>
      <w:r w:rsidRPr="000B32C5">
        <w:rPr>
          <w:rFonts w:ascii="Traditional Arabic" w:hAnsi="Traditional Arabic" w:hint="cs"/>
          <w:b/>
          <w:bCs/>
          <w:rtl/>
        </w:rPr>
        <w:t xml:space="preserve"> تحريم</w:t>
      </w:r>
      <w:r>
        <w:rPr>
          <w:rFonts w:ascii="Traditional Arabic" w:hAnsi="Traditional Arabic" w:hint="cs"/>
          <w:b/>
          <w:bCs/>
          <w:rtl/>
        </w:rPr>
        <w:t>َ</w:t>
      </w:r>
      <w:r w:rsidRPr="000B32C5">
        <w:rPr>
          <w:rFonts w:ascii="Traditional Arabic" w:hAnsi="Traditional Arabic" w:hint="cs"/>
          <w:b/>
          <w:bCs/>
          <w:rtl/>
        </w:rPr>
        <w:t xml:space="preserve"> الوسائل أو المحر</w:t>
      </w:r>
      <w:r>
        <w:rPr>
          <w:rFonts w:ascii="Traditional Arabic" w:hAnsi="Traditional Arabic" w:hint="cs"/>
          <w:b/>
          <w:bCs/>
          <w:rtl/>
        </w:rPr>
        <w:t>َّ</w:t>
      </w:r>
      <w:r w:rsidRPr="000B32C5">
        <w:rPr>
          <w:rFonts w:ascii="Traditional Arabic" w:hAnsi="Traditional Arabic" w:hint="cs"/>
          <w:b/>
          <w:bCs/>
          <w:rtl/>
        </w:rPr>
        <w:t>مات سد</w:t>
      </w:r>
      <w:r>
        <w:rPr>
          <w:rFonts w:ascii="Traditional Arabic" w:hAnsi="Traditional Arabic" w:hint="cs"/>
          <w:b/>
          <w:bCs/>
          <w:rtl/>
        </w:rPr>
        <w:t>ّ</w:t>
      </w:r>
      <w:r w:rsidRPr="000B32C5">
        <w:rPr>
          <w:rFonts w:ascii="Traditional Arabic" w:hAnsi="Traditional Arabic" w:hint="cs"/>
          <w:b/>
          <w:bCs/>
          <w:rtl/>
        </w:rPr>
        <w:t>ا</w:t>
      </w:r>
      <w:r>
        <w:rPr>
          <w:rFonts w:ascii="Traditional Arabic" w:hAnsi="Traditional Arabic" w:hint="cs"/>
          <w:b/>
          <w:bCs/>
          <w:rtl/>
        </w:rPr>
        <w:t>ً</w:t>
      </w:r>
      <w:r w:rsidRPr="000B32C5">
        <w:rPr>
          <w:rFonts w:ascii="Traditional Arabic" w:hAnsi="Traditional Arabic" w:hint="cs"/>
          <w:b/>
          <w:bCs/>
          <w:rtl/>
        </w:rPr>
        <w:t xml:space="preserve"> للذريعة</w:t>
      </w:r>
      <w:r>
        <w:rPr>
          <w:rFonts w:ascii="Traditional Arabic" w:hAnsi="Traditional Arabic" w:hint="cs"/>
          <w:rtl/>
        </w:rPr>
        <w:t>، كالبيع بعد نداء الجمعة الثاني</w:t>
      </w:r>
      <w:r w:rsidR="00C04C42">
        <w:rPr>
          <w:rFonts w:ascii="Traditional Arabic" w:hAnsi="Traditional Arabic" w:hint="cs"/>
          <w:rtl/>
        </w:rPr>
        <w:t>،</w:t>
      </w:r>
      <w:r>
        <w:rPr>
          <w:rFonts w:ascii="Traditional Arabic" w:hAnsi="Traditional Arabic" w:hint="cs"/>
          <w:rtl/>
        </w:rPr>
        <w:t xml:space="preserve"> وربا الفضل</w:t>
      </w:r>
      <w:r w:rsidR="00C04C42">
        <w:rPr>
          <w:rFonts w:ascii="Traditional Arabic" w:hAnsi="Traditional Arabic" w:hint="cs"/>
          <w:rtl/>
        </w:rPr>
        <w:t>،</w:t>
      </w:r>
      <w:r>
        <w:rPr>
          <w:rFonts w:ascii="Traditional Arabic" w:hAnsi="Traditional Arabic" w:hint="cs"/>
          <w:rtl/>
        </w:rPr>
        <w:t xml:space="preserve"> والنظر إلى المرأة الأجنبية</w:t>
      </w:r>
      <w:r w:rsidR="00C04C42">
        <w:rPr>
          <w:rFonts w:ascii="Traditional Arabic" w:hAnsi="Traditional Arabic" w:hint="cs"/>
          <w:rtl/>
        </w:rPr>
        <w:t>،</w:t>
      </w:r>
      <w:r>
        <w:rPr>
          <w:rFonts w:ascii="Traditional Arabic" w:hAnsi="Traditional Arabic" w:hint="cs"/>
          <w:rtl/>
        </w:rPr>
        <w:t xml:space="preserve"> ولبس الحرير للرجال</w:t>
      </w:r>
      <w:r w:rsidR="00C04C42">
        <w:rPr>
          <w:rFonts w:ascii="Traditional Arabic" w:hAnsi="Traditional Arabic" w:hint="cs"/>
          <w:rtl/>
        </w:rPr>
        <w:t>،</w:t>
      </w:r>
      <w:r>
        <w:rPr>
          <w:rFonts w:ascii="Traditional Arabic" w:hAnsi="Traditional Arabic" w:hint="cs"/>
          <w:rtl/>
        </w:rPr>
        <w:t xml:space="preserve"> ونحو ذلك.</w:t>
      </w:r>
    </w:p>
    <w:p w:rsidR="00B64F4C" w:rsidRDefault="00B64F4C" w:rsidP="00597C20">
      <w:pPr>
        <w:spacing w:line="640" w:lineRule="exact"/>
        <w:ind w:firstLine="720"/>
        <w:jc w:val="lowKashida"/>
        <w:rPr>
          <w:rFonts w:ascii="Traditional Arabic" w:hAnsi="Traditional Arabic"/>
          <w:b/>
          <w:bCs/>
          <w:rtl/>
        </w:rPr>
      </w:pPr>
      <w:r>
        <w:rPr>
          <w:rFonts w:ascii="Traditional Arabic" w:hAnsi="Traditional Arabic" w:hint="cs"/>
          <w:b/>
          <w:bCs/>
          <w:rtl/>
        </w:rPr>
        <w:t xml:space="preserve">وهذه القاعدة تتعلق بالقسم الثاني من هذين القسمين، </w:t>
      </w:r>
      <w:r>
        <w:rPr>
          <w:rFonts w:ascii="Traditional Arabic" w:hAnsi="Traditional Arabic" w:hint="cs"/>
          <w:rtl/>
        </w:rPr>
        <w:t>فإذا كان الفعل المنهي عنه من محرَّمات الوسائل ولم يحرَّم لِعَينه، ودَعَت الحاجةُ إلى العمل به</w:t>
      </w:r>
      <w:r w:rsidRPr="00C821A1">
        <w:rPr>
          <w:rStyle w:val="af1"/>
          <w:szCs w:val="32"/>
          <w:rtl/>
        </w:rPr>
        <w:t>(</w:t>
      </w:r>
      <w:r w:rsidRPr="00C821A1">
        <w:rPr>
          <w:rStyle w:val="af1"/>
          <w:szCs w:val="32"/>
          <w:rtl/>
        </w:rPr>
        <w:footnoteReference w:id="669"/>
      </w:r>
      <w:r w:rsidRPr="00C821A1">
        <w:rPr>
          <w:rStyle w:val="af1"/>
          <w:szCs w:val="32"/>
          <w:rtl/>
        </w:rPr>
        <w:t>)</w:t>
      </w:r>
      <w:r>
        <w:rPr>
          <w:rFonts w:ascii="Traditional Arabic" w:hAnsi="Traditional Arabic" w:hint="cs"/>
          <w:rtl/>
        </w:rPr>
        <w:t xml:space="preserve"> فإنه يجوز الإقدام عليه وقتئذٍ، ولا يُعَدُّ محرَّما في هذه الحالة</w:t>
      </w:r>
      <w:r w:rsidRPr="00C821A1">
        <w:rPr>
          <w:rStyle w:val="af1"/>
          <w:szCs w:val="32"/>
          <w:rtl/>
        </w:rPr>
        <w:t>(</w:t>
      </w:r>
      <w:r w:rsidRPr="00C821A1">
        <w:rPr>
          <w:rStyle w:val="af1"/>
          <w:szCs w:val="32"/>
          <w:rtl/>
        </w:rPr>
        <w:footnoteReference w:id="670"/>
      </w:r>
      <w:r w:rsidRPr="00C821A1">
        <w:rPr>
          <w:rStyle w:val="af1"/>
          <w:szCs w:val="32"/>
          <w:rtl/>
        </w:rPr>
        <w:t>)</w:t>
      </w:r>
      <w:r>
        <w:rPr>
          <w:rFonts w:ascii="Traditional Arabic" w:hAnsi="Traditional Arabic" w:hint="cs"/>
          <w:rtl/>
        </w:rPr>
        <w:t>؛ لأن (</w:t>
      </w:r>
      <w:r w:rsidRPr="00C535A4">
        <w:rPr>
          <w:rFonts w:ascii="Traditional Arabic" w:hAnsi="Traditional Arabic"/>
          <w:noProof w:val="0"/>
          <w:color w:val="auto"/>
          <w:rtl/>
          <w:lang w:eastAsia="en-US"/>
        </w:rPr>
        <w:t>باب سد الذرائع متى فاتت به مصلحة</w:t>
      </w:r>
      <w:r w:rsidR="00C04C42">
        <w:rPr>
          <w:rFonts w:ascii="Traditional Arabic" w:hAnsi="Traditional Arabic" w:hint="cs"/>
          <w:noProof w:val="0"/>
          <w:color w:val="auto"/>
          <w:rtl/>
          <w:lang w:eastAsia="en-US"/>
        </w:rPr>
        <w:t>ٌ</w:t>
      </w:r>
      <w:r w:rsidRPr="00C535A4">
        <w:rPr>
          <w:rFonts w:ascii="Traditional Arabic" w:hAnsi="Traditional Arabic"/>
          <w:noProof w:val="0"/>
          <w:color w:val="auto"/>
          <w:rtl/>
          <w:lang w:eastAsia="en-US"/>
        </w:rPr>
        <w:t xml:space="preserve"> راجحة أو تضمن مفسدة</w:t>
      </w:r>
      <w:r w:rsidR="00C04C42">
        <w:rPr>
          <w:rFonts w:ascii="Traditional Arabic" w:hAnsi="Traditional Arabic" w:hint="cs"/>
          <w:noProof w:val="0"/>
          <w:color w:val="auto"/>
          <w:rtl/>
          <w:lang w:eastAsia="en-US"/>
        </w:rPr>
        <w:t>ً</w:t>
      </w:r>
      <w:r w:rsidRPr="00C535A4">
        <w:rPr>
          <w:rFonts w:ascii="Traditional Arabic" w:hAnsi="Traditional Arabic"/>
          <w:noProof w:val="0"/>
          <w:color w:val="auto"/>
          <w:rtl/>
          <w:lang w:eastAsia="en-US"/>
        </w:rPr>
        <w:t xml:space="preserve"> راجحة لم ي</w:t>
      </w:r>
      <w:r w:rsidR="00C04C42">
        <w:rPr>
          <w:rFonts w:ascii="Traditional Arabic" w:hAnsi="Traditional Arabic" w:hint="cs"/>
          <w:noProof w:val="0"/>
          <w:color w:val="auto"/>
          <w:rtl/>
          <w:lang w:eastAsia="en-US"/>
        </w:rPr>
        <w:t>ُ</w:t>
      </w:r>
      <w:r w:rsidRPr="00C535A4">
        <w:rPr>
          <w:rFonts w:ascii="Traditional Arabic" w:hAnsi="Traditional Arabic"/>
          <w:noProof w:val="0"/>
          <w:color w:val="auto"/>
          <w:rtl/>
          <w:lang w:eastAsia="en-US"/>
        </w:rPr>
        <w:t>لتفت إليه</w:t>
      </w:r>
      <w:r>
        <w:rPr>
          <w:rFonts w:ascii="Traditional Arabic" w:hAnsi="Traditional Arabic" w:hint="cs"/>
          <w:rtl/>
        </w:rPr>
        <w:t>)</w:t>
      </w:r>
      <w:r w:rsidRPr="00C821A1">
        <w:rPr>
          <w:rStyle w:val="af1"/>
          <w:szCs w:val="32"/>
          <w:rtl/>
        </w:rPr>
        <w:t>(</w:t>
      </w:r>
      <w:r w:rsidRPr="00C821A1">
        <w:rPr>
          <w:rStyle w:val="af1"/>
          <w:szCs w:val="32"/>
          <w:rtl/>
        </w:rPr>
        <w:footnoteReference w:id="671"/>
      </w:r>
      <w:r w:rsidRPr="00C821A1">
        <w:rPr>
          <w:rStyle w:val="af1"/>
          <w:szCs w:val="32"/>
          <w:rtl/>
        </w:rPr>
        <w:t>)</w:t>
      </w:r>
      <w:r>
        <w:rPr>
          <w:rFonts w:ascii="Traditional Arabic" w:hAnsi="Traditional Arabic" w:hint="cs"/>
          <w:rtl/>
        </w:rPr>
        <w:t>.</w:t>
      </w:r>
    </w:p>
    <w:p w:rsidR="00B64F4C" w:rsidRDefault="00C04C42" w:rsidP="00A8347C">
      <w:pPr>
        <w:pStyle w:val="aff3"/>
        <w:rPr>
          <w:rtl/>
        </w:rPr>
      </w:pPr>
      <w:bookmarkStart w:id="133" w:name="_Toc334046381"/>
      <w:r>
        <w:rPr>
          <w:rFonts w:hint="cs"/>
          <w:rtl/>
        </w:rPr>
        <w:lastRenderedPageBreak/>
        <w:t xml:space="preserve">     </w:t>
      </w:r>
      <w:r w:rsidR="00B22F18">
        <w:rPr>
          <w:rFonts w:hint="cs"/>
          <w:rtl/>
        </w:rPr>
        <w:t xml:space="preserve">                     </w:t>
      </w:r>
      <w:r>
        <w:rPr>
          <w:rFonts w:hint="cs"/>
          <w:rtl/>
        </w:rPr>
        <w:t xml:space="preserve">              </w:t>
      </w:r>
      <w:r w:rsidR="00B64F4C">
        <w:rPr>
          <w:rFonts w:hint="cs"/>
          <w:rtl/>
        </w:rPr>
        <w:t>المطلب الثالث</w:t>
      </w:r>
      <w:r w:rsidR="00B64F4C">
        <w:rPr>
          <w:rFonts w:hint="eastAsia"/>
          <w:rtl/>
        </w:rPr>
        <w:t> :</w:t>
      </w:r>
      <w:r w:rsidR="00B64F4C">
        <w:rPr>
          <w:rFonts w:hint="cs"/>
          <w:rtl/>
        </w:rPr>
        <w:br/>
      </w:r>
      <w:r>
        <w:rPr>
          <w:rFonts w:hint="cs"/>
          <w:rtl/>
        </w:rPr>
        <w:t xml:space="preserve">                    </w:t>
      </w:r>
      <w:r w:rsidR="00B22F18">
        <w:rPr>
          <w:rFonts w:hint="cs"/>
          <w:rtl/>
        </w:rPr>
        <w:t xml:space="preserve">                      </w:t>
      </w:r>
      <w:r w:rsidR="00B64F4C">
        <w:rPr>
          <w:rFonts w:hint="cs"/>
          <w:rtl/>
        </w:rPr>
        <w:t>أدلة القاعدة</w:t>
      </w:r>
      <w:bookmarkEnd w:id="133"/>
    </w:p>
    <w:p w:rsidR="00065E4B" w:rsidRPr="000F16BE" w:rsidRDefault="00B64F4C" w:rsidP="000A76C7">
      <w:pPr>
        <w:pStyle w:val="afc"/>
        <w:numPr>
          <w:ilvl w:val="0"/>
          <w:numId w:val="108"/>
        </w:numPr>
        <w:spacing w:line="640" w:lineRule="exact"/>
        <w:jc w:val="lowKashida"/>
        <w:rPr>
          <w:rFonts w:ascii="Traditional Arabic" w:hAnsi="Traditional Arabic"/>
          <w:rtl/>
        </w:rPr>
      </w:pPr>
      <w:r w:rsidRPr="000F16BE">
        <w:rPr>
          <w:rFonts w:ascii="Traditional Arabic" w:hAnsi="Traditional Arabic" w:hint="cs"/>
          <w:rtl/>
        </w:rPr>
        <w:t>قوله تعالى:</w:t>
      </w:r>
      <w:bookmarkStart w:id="134" w:name="سورة_النور_30إلى31"/>
      <w:r w:rsidRPr="00A41734">
        <w:rPr>
          <w:rFonts w:ascii="QCF_BSML" w:hAnsi="QCF_BSML" w:cs="QCF_BSML"/>
          <w:noProof w:val="0"/>
          <w:rtl/>
          <w:lang w:eastAsia="en-US"/>
        </w:rPr>
        <w:t>ﭽ</w:t>
      </w:r>
      <w:r w:rsidRPr="00A41734">
        <w:rPr>
          <w:rFonts w:ascii="QCF_P353" w:hAnsi="QCF_P353" w:cs="QCF_P353"/>
          <w:noProof w:val="0"/>
          <w:rtl/>
          <w:lang w:eastAsia="en-US"/>
        </w:rPr>
        <w:t>ﭾ</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ﭿ</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ﮀ</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ﮁ</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ﮂ</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ﮃ</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ﮄ</w:t>
      </w:r>
      <w:r w:rsidR="00C04C42">
        <w:rPr>
          <w:rFonts w:ascii="QCF_P353" w:hAnsi="QCF_P353" w:cs="QCF_P353" w:hint="cs"/>
          <w:noProof w:val="0"/>
          <w:rtl/>
          <w:lang w:eastAsia="en-US"/>
        </w:rPr>
        <w:t xml:space="preserve"> </w:t>
      </w:r>
      <w:r w:rsidRPr="00A41734">
        <w:rPr>
          <w:rFonts w:ascii="QCF_P353" w:hAnsi="QCF_P353" w:cs="QCF_P353"/>
          <w:noProof w:val="0"/>
          <w:color w:val="0000A5"/>
          <w:rtl/>
          <w:lang w:eastAsia="en-US"/>
        </w:rPr>
        <w:t>ﮅ</w:t>
      </w:r>
      <w:r w:rsidR="00C04C42">
        <w:rPr>
          <w:rFonts w:ascii="QCF_P353" w:hAnsi="QCF_P353" w:cs="QCF_P353" w:hint="cs"/>
          <w:noProof w:val="0"/>
          <w:color w:val="0000A5"/>
          <w:rtl/>
          <w:lang w:eastAsia="en-US"/>
        </w:rPr>
        <w:t xml:space="preserve"> </w:t>
      </w:r>
      <w:r w:rsidRPr="00A41734">
        <w:rPr>
          <w:rFonts w:ascii="QCF_P353" w:hAnsi="QCF_P353" w:cs="QCF_P353"/>
          <w:noProof w:val="0"/>
          <w:rtl/>
          <w:lang w:eastAsia="en-US"/>
        </w:rPr>
        <w:t>ﮆ</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ﮇ</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ﮈ</w:t>
      </w:r>
      <w:r w:rsidR="00C04C42">
        <w:rPr>
          <w:rFonts w:ascii="QCF_P353" w:hAnsi="QCF_P353" w:cs="QCF_P353" w:hint="cs"/>
          <w:noProof w:val="0"/>
          <w:rtl/>
          <w:lang w:eastAsia="en-US"/>
        </w:rPr>
        <w:t xml:space="preserve"> </w:t>
      </w:r>
      <w:r w:rsidRPr="00A41734">
        <w:rPr>
          <w:rFonts w:ascii="QCF_P353" w:hAnsi="QCF_P353" w:cs="QCF_P353"/>
          <w:noProof w:val="0"/>
          <w:color w:val="0000A5"/>
          <w:rtl/>
          <w:lang w:eastAsia="en-US"/>
        </w:rPr>
        <w:t>ﮉ</w:t>
      </w:r>
      <w:r w:rsidRPr="00A41734">
        <w:rPr>
          <w:rFonts w:ascii="QCF_P353" w:hAnsi="QCF_P353" w:cs="QCF_P353"/>
          <w:noProof w:val="0"/>
          <w:rtl/>
          <w:lang w:eastAsia="en-US"/>
        </w:rPr>
        <w:t>ﮊ</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ﮋ</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ﮌ</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ﮍ</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ﮎ</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ﮏ</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ﮐ</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ﮑ</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ﮒ</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ﮓ</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ﮔ</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ﮕ</w:t>
      </w:r>
      <w:r w:rsidR="00C04C42">
        <w:rPr>
          <w:rFonts w:ascii="QCF_P353" w:hAnsi="QCF_P353" w:cs="QCF_P353" w:hint="cs"/>
          <w:noProof w:val="0"/>
          <w:rtl/>
          <w:lang w:eastAsia="en-US"/>
        </w:rPr>
        <w:t xml:space="preserve"> </w:t>
      </w:r>
      <w:r w:rsidRPr="00A41734">
        <w:rPr>
          <w:rFonts w:ascii="QCF_P353" w:hAnsi="QCF_P353" w:cs="QCF_P353"/>
          <w:noProof w:val="0"/>
          <w:rtl/>
          <w:lang w:eastAsia="en-US"/>
        </w:rPr>
        <w:t>ﮖ</w:t>
      </w:r>
      <w:r w:rsidRPr="00A41734">
        <w:rPr>
          <w:rFonts w:ascii="QCF_BSML" w:hAnsi="QCF_BSML" w:cs="QCF_BSML"/>
          <w:noProof w:val="0"/>
          <w:rtl/>
          <w:lang w:eastAsia="en-US"/>
        </w:rPr>
        <w:t>ﭼ</w:t>
      </w:r>
      <w:bookmarkEnd w:id="134"/>
      <w:r>
        <w:rPr>
          <w:rFonts w:ascii="Traditional Arabic" w:hAnsi="Traditional Arabic" w:hint="cs"/>
          <w:noProof w:val="0"/>
          <w:color w:val="auto"/>
          <w:rtl/>
          <w:lang w:eastAsia="en-US"/>
        </w:rPr>
        <w:t>[</w:t>
      </w:r>
      <w:r w:rsidRPr="00A41734">
        <w:rPr>
          <w:rFonts w:ascii="Traditional Arabic" w:hAnsi="Traditional Arabic"/>
          <w:noProof w:val="0"/>
          <w:color w:val="auto"/>
          <w:rtl/>
          <w:lang w:eastAsia="en-US"/>
        </w:rPr>
        <w:t>النور: ٣٠ – ٣١</w:t>
      </w:r>
      <w:r>
        <w:rPr>
          <w:rFonts w:ascii="Traditional Arabic" w:hAnsi="Traditional Arabic" w:hint="cs"/>
          <w:color w:val="auto"/>
          <w:rtl/>
        </w:rPr>
        <w:t>]</w:t>
      </w:r>
      <w:r w:rsidRPr="00A41734">
        <w:rPr>
          <w:rFonts w:ascii="Traditional Arabic" w:hAnsi="Traditional Arabic"/>
          <w:color w:val="auto"/>
          <w:rtl/>
        </w:rPr>
        <w:t>.</w:t>
      </w:r>
    </w:p>
    <w:p w:rsidR="00065E4B" w:rsidRDefault="00065E4B" w:rsidP="00597C20">
      <w:pPr>
        <w:pStyle w:val="53"/>
        <w:rPr>
          <w:rtl/>
        </w:rPr>
      </w:pPr>
      <w:r>
        <w:rPr>
          <w:rFonts w:hint="cs"/>
          <w:rtl/>
        </w:rPr>
        <w:t>و</w:t>
      </w:r>
      <w:r w:rsidR="00B64F4C">
        <w:rPr>
          <w:rFonts w:hint="cs"/>
          <w:rtl/>
        </w:rPr>
        <w:t>جه الدلالة:</w:t>
      </w:r>
    </w:p>
    <w:p w:rsidR="00F228A9" w:rsidRDefault="00065E4B" w:rsidP="00597C20">
      <w:pPr>
        <w:widowControl/>
        <w:autoSpaceDE w:val="0"/>
        <w:autoSpaceDN w:val="0"/>
        <w:adjustRightInd w:val="0"/>
        <w:ind w:firstLine="720"/>
        <w:rPr>
          <w:rFonts w:ascii="Traditional Arabic" w:hAnsi="Traditional Arabic"/>
          <w:rtl/>
        </w:rPr>
      </w:pPr>
      <w:r w:rsidRPr="00022668">
        <w:rPr>
          <w:rFonts w:ascii="Traditional Arabic" w:hAnsi="Traditional Arabic"/>
          <w:noProof w:val="0"/>
          <w:color w:val="auto"/>
          <w:rtl/>
          <w:lang w:eastAsia="en-US"/>
        </w:rPr>
        <w:t>ل</w:t>
      </w:r>
      <w:r w:rsidR="00B64F4C" w:rsidRPr="00022668">
        <w:rPr>
          <w:rFonts w:ascii="Traditional Arabic" w:hAnsi="Traditional Arabic"/>
          <w:noProof w:val="0"/>
          <w:color w:val="auto"/>
          <w:rtl/>
          <w:lang w:eastAsia="en-US"/>
        </w:rPr>
        <w:t>ما كان غض</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البصر أصلا</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ل</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حفظ الفرج بدأ </w:t>
      </w:r>
      <w:r w:rsidR="00CA7937">
        <w:rPr>
          <w:rFonts w:ascii="Traditional Arabic" w:hAnsi="Traditional Arabic" w:hint="cs"/>
          <w:noProof w:val="0"/>
          <w:color w:val="auto"/>
          <w:rtl/>
          <w:lang w:eastAsia="en-US"/>
        </w:rPr>
        <w:t xml:space="preserve">الله_عز وجل_ </w:t>
      </w:r>
      <w:r w:rsidR="00B64F4C" w:rsidRPr="00022668">
        <w:rPr>
          <w:rFonts w:ascii="Traditional Arabic" w:hAnsi="Traditional Arabic"/>
          <w:noProof w:val="0"/>
          <w:color w:val="auto"/>
          <w:rtl/>
          <w:lang w:eastAsia="en-US"/>
        </w:rPr>
        <w:t>بذ</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كره</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ولما كان تحريمه تحريم الوسائل فيباح للمصلحة الراجحة</w:t>
      </w:r>
      <w:r w:rsidR="00B64F4C">
        <w:rPr>
          <w:rFonts w:ascii="Traditional Arabic" w:hAnsi="Traditional Arabic" w:hint="cs"/>
          <w:noProof w:val="0"/>
          <w:color w:val="auto"/>
          <w:rtl/>
          <w:lang w:eastAsia="en-US"/>
        </w:rPr>
        <w:t>،</w:t>
      </w:r>
      <w:r w:rsidR="00CA7937">
        <w:rPr>
          <w:rFonts w:ascii="Traditional Arabic" w:hAnsi="Traditional Arabic" w:hint="cs"/>
          <w:noProof w:val="0"/>
          <w:color w:val="auto"/>
          <w:rtl/>
          <w:lang w:eastAsia="en-US"/>
        </w:rPr>
        <w:t xml:space="preserve"> </w:t>
      </w:r>
      <w:r w:rsidR="00B64F4C" w:rsidRPr="00022668">
        <w:rPr>
          <w:rFonts w:ascii="Traditional Arabic" w:hAnsi="Traditional Arabic"/>
          <w:noProof w:val="0"/>
          <w:color w:val="auto"/>
          <w:rtl/>
          <w:lang w:eastAsia="en-US"/>
        </w:rPr>
        <w:t>ويحرم إذا خيف منه الفساد</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ولم ي</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عارضه مصلحة أرجح</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من تلك المفسدة</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لم يأمر سبحانه بغض</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ه مطلقا</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بل أمر بالغض</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منه</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وأما حفظ الفرج فواجب</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بكل حال لا يباح إلا بحقه</w:t>
      </w:r>
      <w:r w:rsidR="00CA7937">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فلذلك عم</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 xml:space="preserve"> الأمر ب</w:t>
      </w:r>
      <w:r w:rsidR="00B64F4C">
        <w:rPr>
          <w:rFonts w:ascii="Traditional Arabic" w:hAnsi="Traditional Arabic" w:hint="cs"/>
          <w:noProof w:val="0"/>
          <w:color w:val="auto"/>
          <w:rtl/>
          <w:lang w:eastAsia="en-US"/>
        </w:rPr>
        <w:t>ِ</w:t>
      </w:r>
      <w:r w:rsidR="00B64F4C" w:rsidRPr="00022668">
        <w:rPr>
          <w:rFonts w:ascii="Traditional Arabic" w:hAnsi="Traditional Arabic"/>
          <w:noProof w:val="0"/>
          <w:color w:val="auto"/>
          <w:rtl/>
          <w:lang w:eastAsia="en-US"/>
        </w:rPr>
        <w:t>حفظه</w:t>
      </w:r>
      <w:r w:rsidR="00B64F4C" w:rsidRPr="00C821A1">
        <w:rPr>
          <w:rStyle w:val="af1"/>
          <w:szCs w:val="32"/>
          <w:rtl/>
        </w:rPr>
        <w:t>(</w:t>
      </w:r>
      <w:r w:rsidR="00B64F4C" w:rsidRPr="00C821A1">
        <w:rPr>
          <w:rStyle w:val="af1"/>
          <w:szCs w:val="32"/>
          <w:rtl/>
        </w:rPr>
        <w:footnoteReference w:id="672"/>
      </w:r>
      <w:r w:rsidR="00B64F4C" w:rsidRPr="00C821A1">
        <w:rPr>
          <w:rStyle w:val="af1"/>
          <w:szCs w:val="32"/>
          <w:rtl/>
        </w:rPr>
        <w:t>)</w:t>
      </w:r>
      <w:r w:rsidR="00B64F4C">
        <w:rPr>
          <w:rFonts w:ascii="Traditional Arabic" w:hAnsi="Traditional Arabic" w:hint="cs"/>
          <w:rtl/>
        </w:rPr>
        <w:t>.</w:t>
      </w:r>
    </w:p>
    <w:p w:rsidR="00F228A9" w:rsidRPr="000B1840" w:rsidRDefault="00B64F4C" w:rsidP="000A76C7">
      <w:pPr>
        <w:pStyle w:val="afc"/>
        <w:numPr>
          <w:ilvl w:val="0"/>
          <w:numId w:val="108"/>
        </w:numPr>
        <w:spacing w:line="640" w:lineRule="exact"/>
        <w:jc w:val="lowKashida"/>
        <w:rPr>
          <w:rFonts w:ascii="Traditional Arabic" w:hAnsi="Traditional Arabic"/>
          <w:rtl/>
        </w:rPr>
      </w:pPr>
      <w:r w:rsidRPr="00BC0E38">
        <w:rPr>
          <w:rFonts w:ascii="Traditional Arabic" w:hAnsi="Traditional Arabic"/>
          <w:rtl/>
        </w:rPr>
        <w:t>عن أنس بن مالك</w:t>
      </w:r>
      <w:r w:rsidR="00C04C42">
        <w:rPr>
          <w:rFonts w:ascii="Traditional Arabic" w:hAnsi="Traditional Arabic" w:hint="cs"/>
          <w:rtl/>
        </w:rPr>
        <w:t xml:space="preserve"> </w:t>
      </w:r>
      <w:r w:rsidRPr="00BC0E38">
        <w:rPr>
          <w:rFonts w:ascii="Traditional Arabic" w:hAnsi="Traditional Arabic"/>
        </w:rPr>
        <w:sym w:font="AGA Arabesque" w:char="F074"/>
      </w:r>
      <w:r>
        <w:rPr>
          <w:rFonts w:ascii="Traditional Arabic" w:hAnsi="Traditional Arabic"/>
          <w:rtl/>
        </w:rPr>
        <w:t xml:space="preserve"> أن النبي</w:t>
      </w:r>
      <w:r w:rsidR="00C04C42">
        <w:rPr>
          <w:rFonts w:ascii="Traditional Arabic" w:hAnsi="Traditional Arabic" w:hint="cs"/>
          <w:rtl/>
        </w:rPr>
        <w:t xml:space="preserve"> </w:t>
      </w:r>
      <w:r w:rsidR="00F350DE">
        <w:rPr>
          <w:rFonts w:ascii="Traditional Arabic" w:hAnsi="Traditional Arabic"/>
          <w:noProof w:val="0"/>
          <w:color w:val="auto"/>
          <w:rtl/>
          <w:lang w:eastAsia="en-US"/>
        </w:rPr>
        <w:sym w:font="AGA Arabesque" w:char="F072"/>
      </w:r>
      <w:r w:rsidRPr="00BC0E38">
        <w:rPr>
          <w:rFonts w:ascii="Traditional Arabic" w:hAnsi="Traditional Arabic"/>
          <w:rtl/>
        </w:rPr>
        <w:t xml:space="preserve"> : "رخَّص لعبدالرحمن بن عوف </w:t>
      </w:r>
      <w:r w:rsidRPr="000B1840">
        <w:rPr>
          <w:rFonts w:ascii="Traditional Arabic" w:hAnsi="Traditional Arabic"/>
          <w:rtl/>
        </w:rPr>
        <w:t>والزبير، في قميص</w:t>
      </w:r>
      <w:r>
        <w:rPr>
          <w:rFonts w:ascii="Traditional Arabic" w:hAnsi="Traditional Arabic" w:hint="cs"/>
          <w:rtl/>
        </w:rPr>
        <w:t>ٍ</w:t>
      </w:r>
      <w:r w:rsidRPr="000B1840">
        <w:rPr>
          <w:rFonts w:ascii="Traditional Arabic" w:hAnsi="Traditional Arabic"/>
          <w:rtl/>
        </w:rPr>
        <w:t xml:space="preserve"> من حرير، من حِكَّة</w:t>
      </w:r>
      <w:r>
        <w:rPr>
          <w:rFonts w:ascii="Traditional Arabic" w:hAnsi="Traditional Arabic" w:hint="cs"/>
          <w:rtl/>
        </w:rPr>
        <w:t>ٍ</w:t>
      </w:r>
      <w:r w:rsidRPr="00C821A1">
        <w:rPr>
          <w:rStyle w:val="af1"/>
          <w:szCs w:val="32"/>
          <w:rtl/>
        </w:rPr>
        <w:t>(</w:t>
      </w:r>
      <w:r w:rsidRPr="00C821A1">
        <w:rPr>
          <w:rStyle w:val="af1"/>
          <w:szCs w:val="32"/>
          <w:rtl/>
        </w:rPr>
        <w:footnoteReference w:id="673"/>
      </w:r>
      <w:r w:rsidRPr="00C821A1">
        <w:rPr>
          <w:rStyle w:val="af1"/>
          <w:szCs w:val="32"/>
          <w:rtl/>
        </w:rPr>
        <w:t>)</w:t>
      </w:r>
      <w:r w:rsidRPr="000B1840">
        <w:rPr>
          <w:rFonts w:ascii="Traditional Arabic" w:hAnsi="Traditional Arabic"/>
          <w:rtl/>
        </w:rPr>
        <w:t xml:space="preserve"> كانت بهما</w:t>
      </w:r>
      <w:r w:rsidR="00AB0B9E">
        <w:rPr>
          <w:rFonts w:ascii="Traditional Arabic" w:hAnsi="Traditional Arabic"/>
          <w:rtl/>
        </w:rPr>
        <w:fldChar w:fldCharType="begin"/>
      </w:r>
      <w:r w:rsidR="007A5A1C" w:rsidRPr="00C85F0F">
        <w:instrText>XE</w:instrText>
      </w:r>
      <w:r w:rsidR="007A5A1C" w:rsidRPr="00C85F0F">
        <w:rPr>
          <w:rtl/>
        </w:rPr>
        <w:instrText xml:space="preserve"> "</w:instrText>
      </w:r>
      <w:r w:rsidR="007A5A1C" w:rsidRPr="00C85F0F">
        <w:rPr>
          <w:rFonts w:ascii="Traditional Arabic" w:hAnsi="Traditional Arabic"/>
          <w:rtl/>
        </w:rPr>
        <w:instrText>رخَّص لعبدالرحمن بن عوف والزبير، في قميص</w:instrText>
      </w:r>
      <w:r w:rsidR="007A5A1C" w:rsidRPr="00C85F0F">
        <w:rPr>
          <w:rFonts w:ascii="Traditional Arabic" w:hAnsi="Traditional Arabic" w:hint="cs"/>
          <w:rtl/>
        </w:rPr>
        <w:instrText>ٍ</w:instrText>
      </w:r>
      <w:r w:rsidR="007A5A1C" w:rsidRPr="00C85F0F">
        <w:rPr>
          <w:rFonts w:ascii="Traditional Arabic" w:hAnsi="Traditional Arabic"/>
          <w:rtl/>
        </w:rPr>
        <w:instrText xml:space="preserve"> من حرير، من حِكَّة</w:instrText>
      </w:r>
      <w:r w:rsidR="007A5A1C" w:rsidRPr="00C85F0F">
        <w:rPr>
          <w:rFonts w:ascii="Traditional Arabic" w:hAnsi="Traditional Arabic" w:hint="cs"/>
          <w:rtl/>
        </w:rPr>
        <w:instrText>ٍ</w:instrText>
      </w:r>
      <w:r w:rsidR="007A5A1C" w:rsidRPr="00C85F0F">
        <w:rPr>
          <w:rFonts w:ascii="Traditional Arabic" w:hAnsi="Traditional Arabic"/>
          <w:rtl/>
        </w:rPr>
        <w:instrText xml:space="preserve"> كانت بهما</w:instrText>
      </w:r>
      <w:r w:rsidR="007A5A1C" w:rsidRPr="00C85F0F">
        <w:rPr>
          <w:rtl/>
        </w:rPr>
        <w:instrText>" \</w:instrText>
      </w:r>
      <w:r w:rsidR="007A5A1C" w:rsidRPr="00C85F0F">
        <w:instrText>f</w:instrText>
      </w:r>
      <w:r w:rsidR="007A5A1C">
        <w:instrText>h</w:instrText>
      </w:r>
      <w:r w:rsidR="00AB0B9E">
        <w:rPr>
          <w:rFonts w:ascii="Traditional Arabic" w:hAnsi="Traditional Arabic"/>
          <w:rtl/>
        </w:rPr>
        <w:fldChar w:fldCharType="end"/>
      </w:r>
      <w:r w:rsidRPr="000B1840">
        <w:rPr>
          <w:rFonts w:ascii="Traditional Arabic" w:hAnsi="Traditional Arabic"/>
          <w:rtl/>
        </w:rPr>
        <w:t>"</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674"/>
      </w:r>
      <w:r w:rsidRPr="00C821A1">
        <w:rPr>
          <w:rFonts w:ascii="Traditional Arabic" w:hAnsi="Traditional Arabic"/>
          <w:szCs w:val="32"/>
          <w:vertAlign w:val="superscript"/>
          <w:rtl/>
        </w:rPr>
        <w:t>)</w:t>
      </w:r>
      <w:r w:rsidR="00B76414">
        <w:rPr>
          <w:rFonts w:ascii="Traditional Arabic" w:hAnsi="Traditional Arabic"/>
          <w:rtl/>
        </w:rPr>
        <w:t>.</w:t>
      </w:r>
    </w:p>
    <w:p w:rsidR="00822C6A" w:rsidRDefault="00B64F4C" w:rsidP="00597C20">
      <w:pPr>
        <w:pStyle w:val="53"/>
        <w:rPr>
          <w:rtl/>
        </w:rPr>
      </w:pPr>
      <w:r w:rsidRPr="00BC0E38">
        <w:rPr>
          <w:rtl/>
        </w:rPr>
        <w:t>وجه الدلالة :</w:t>
      </w:r>
    </w:p>
    <w:p w:rsidR="00B64F4C" w:rsidRPr="00822C6A" w:rsidRDefault="00B64F4C" w:rsidP="00597C20">
      <w:pPr>
        <w:spacing w:line="640" w:lineRule="exact"/>
        <w:ind w:firstLine="720"/>
        <w:jc w:val="lowKashida"/>
        <w:rPr>
          <w:rFonts w:ascii="Traditional Arabic" w:hAnsi="Traditional Arabic"/>
          <w:rtl/>
        </w:rPr>
      </w:pPr>
      <w:r w:rsidRPr="00822C6A">
        <w:rPr>
          <w:rFonts w:ascii="Traditional Arabic" w:hAnsi="Traditional Arabic"/>
          <w:rtl/>
        </w:rPr>
        <w:t>تحريم لبس الحرير من باب تحريم الوسائل ؛ ذلك لأن الحرير نفسه من اللباس الطي</w:t>
      </w:r>
      <w:r w:rsidRPr="00822C6A">
        <w:rPr>
          <w:rFonts w:ascii="Traditional Arabic" w:hAnsi="Traditional Arabic" w:hint="cs"/>
          <w:rtl/>
        </w:rPr>
        <w:t>ِّ</w:t>
      </w:r>
      <w:r w:rsidRPr="00822C6A">
        <w:rPr>
          <w:rFonts w:ascii="Traditional Arabic" w:hAnsi="Traditional Arabic"/>
          <w:rtl/>
        </w:rPr>
        <w:t>ب ولباس الزينة</w:t>
      </w:r>
      <w:r w:rsidR="00B76414" w:rsidRPr="00822C6A">
        <w:rPr>
          <w:rFonts w:ascii="Traditional Arabic" w:hAnsi="Traditional Arabic"/>
          <w:rtl/>
        </w:rPr>
        <w:t>،</w:t>
      </w:r>
      <w:r w:rsidRPr="00822C6A">
        <w:rPr>
          <w:rFonts w:ascii="Traditional Arabic" w:hAnsi="Traditional Arabic"/>
          <w:rtl/>
        </w:rPr>
        <w:t xml:space="preserve"> ولكنه لما كان </w:t>
      </w:r>
      <w:r w:rsidRPr="00822C6A">
        <w:rPr>
          <w:rFonts w:ascii="Traditional Arabic" w:hAnsi="Traditional Arabic" w:hint="cs"/>
          <w:rtl/>
        </w:rPr>
        <w:t>وسيلة إلى أن يتخلَّق الرجال بأخلاق النساء من الل</w:t>
      </w:r>
      <w:r w:rsidR="00B22F18">
        <w:rPr>
          <w:rFonts w:ascii="Traditional Arabic" w:hAnsi="Traditional Arabic" w:hint="cs"/>
          <w:rtl/>
        </w:rPr>
        <w:t>ُّ</w:t>
      </w:r>
      <w:r w:rsidRPr="00822C6A">
        <w:rPr>
          <w:rFonts w:ascii="Traditional Arabic" w:hAnsi="Traditional Arabic" w:hint="cs"/>
          <w:rtl/>
        </w:rPr>
        <w:t>يونة والرِّقة-والتشبُّه بالنساء حرام-</w:t>
      </w:r>
      <w:r w:rsidR="00B76414" w:rsidRPr="00822C6A">
        <w:rPr>
          <w:rFonts w:ascii="Traditional Arabic" w:hAnsi="Traditional Arabic"/>
          <w:rtl/>
        </w:rPr>
        <w:t>،</w:t>
      </w:r>
      <w:r w:rsidRPr="00822C6A">
        <w:rPr>
          <w:rFonts w:ascii="Traditional Arabic" w:hAnsi="Traditional Arabic"/>
          <w:rtl/>
        </w:rPr>
        <w:t xml:space="preserve"> صار ذلك حراماً </w:t>
      </w:r>
      <w:r w:rsidRPr="00822C6A">
        <w:rPr>
          <w:rFonts w:ascii="Traditional Arabic" w:hAnsi="Traditional Arabic" w:hint="cs"/>
          <w:rtl/>
        </w:rPr>
        <w:t>على الرجال</w:t>
      </w:r>
      <w:r w:rsidRPr="00822C6A">
        <w:rPr>
          <w:rFonts w:ascii="Traditional Arabic" w:hAnsi="Traditional Arabic"/>
          <w:rtl/>
        </w:rPr>
        <w:t xml:space="preserve"> من باب تحريم الوسائل</w:t>
      </w:r>
      <w:r w:rsidR="00B76414" w:rsidRPr="00822C6A">
        <w:rPr>
          <w:rFonts w:ascii="Traditional Arabic" w:hAnsi="Traditional Arabic"/>
          <w:rtl/>
        </w:rPr>
        <w:t>،</w:t>
      </w:r>
      <w:r w:rsidRPr="00822C6A">
        <w:rPr>
          <w:rFonts w:ascii="Traditional Arabic" w:hAnsi="Traditional Arabic"/>
          <w:rtl/>
        </w:rPr>
        <w:t xml:space="preserve"> وقد ذكر أهل العلم أن ما حُرِّم تحريم الوسائل أباحته الحاجة</w:t>
      </w:r>
      <w:r w:rsidRPr="00822C6A">
        <w:rPr>
          <w:rFonts w:ascii="Traditional Arabic" w:hAnsi="Traditional Arabic" w:hint="cs"/>
          <w:rtl/>
        </w:rPr>
        <w:t xml:space="preserve">؛ ولهذا </w:t>
      </w:r>
      <w:r w:rsidRPr="00822C6A">
        <w:rPr>
          <w:rFonts w:ascii="Traditional Arabic" w:hAnsi="Traditional Arabic"/>
          <w:noProof w:val="0"/>
          <w:rtl/>
          <w:lang w:eastAsia="en-US"/>
        </w:rPr>
        <w:t>استقرت سنت</w:t>
      </w:r>
      <w:r w:rsidR="00C04C42">
        <w:rPr>
          <w:rFonts w:ascii="Traditional Arabic" w:hAnsi="Traditional Arabic" w:hint="cs"/>
          <w:noProof w:val="0"/>
          <w:rtl/>
          <w:lang w:eastAsia="en-US"/>
        </w:rPr>
        <w:t>ُ</w:t>
      </w:r>
      <w:r w:rsidRPr="00822C6A">
        <w:rPr>
          <w:rFonts w:ascii="Traditional Arabic" w:hAnsi="Traditional Arabic"/>
          <w:noProof w:val="0"/>
          <w:rtl/>
          <w:lang w:eastAsia="en-US"/>
        </w:rPr>
        <w:t xml:space="preserve">ه </w:t>
      </w:r>
      <w:r w:rsidR="00F350DE">
        <w:rPr>
          <w:noProof w:val="0"/>
          <w:color w:val="auto"/>
          <w:rtl/>
          <w:lang w:eastAsia="en-US"/>
        </w:rPr>
        <w:sym w:font="AGA Arabesque" w:char="F072"/>
      </w:r>
      <w:r w:rsidR="00C04C42">
        <w:rPr>
          <w:rFonts w:ascii="Traditional Arabic" w:hAnsi="Traditional Arabic" w:hint="cs"/>
          <w:noProof w:val="0"/>
          <w:rtl/>
          <w:lang w:eastAsia="en-US"/>
        </w:rPr>
        <w:t xml:space="preserve"> </w:t>
      </w:r>
      <w:r w:rsidRPr="00822C6A">
        <w:rPr>
          <w:rFonts w:ascii="Traditional Arabic" w:hAnsi="Traditional Arabic" w:hint="cs"/>
          <w:noProof w:val="0"/>
          <w:rtl/>
          <w:lang w:eastAsia="en-US"/>
        </w:rPr>
        <w:t xml:space="preserve">على </w:t>
      </w:r>
      <w:r w:rsidRPr="00822C6A">
        <w:rPr>
          <w:rFonts w:ascii="Traditional Arabic" w:hAnsi="Traditional Arabic"/>
          <w:noProof w:val="0"/>
          <w:rtl/>
          <w:lang w:eastAsia="en-US"/>
        </w:rPr>
        <w:t xml:space="preserve">إباحة الحرير للنساء مطلقا وتحريمه </w:t>
      </w:r>
      <w:r w:rsidRPr="00822C6A">
        <w:rPr>
          <w:rFonts w:ascii="Traditional Arabic" w:hAnsi="Traditional Arabic"/>
          <w:noProof w:val="0"/>
          <w:rtl/>
          <w:lang w:eastAsia="en-US"/>
        </w:rPr>
        <w:lastRenderedPageBreak/>
        <w:t>على الرجال إلا لحاجة ومصلحة راجحة</w:t>
      </w:r>
      <w:r w:rsidRPr="00822C6A">
        <w:rPr>
          <w:rFonts w:ascii="Traditional Arabic" w:hAnsi="Traditional Arabic" w:hint="cs"/>
          <w:noProof w:val="0"/>
          <w:rtl/>
          <w:lang w:eastAsia="en-US"/>
        </w:rPr>
        <w:t>،</w:t>
      </w:r>
      <w:r w:rsidRPr="00822C6A">
        <w:rPr>
          <w:rFonts w:ascii="Traditional Arabic" w:hAnsi="Traditional Arabic"/>
          <w:noProof w:val="0"/>
          <w:rtl/>
          <w:lang w:eastAsia="en-US"/>
        </w:rPr>
        <w:t xml:space="preserve"> فالحاجة إما م</w:t>
      </w:r>
      <w:r w:rsidRPr="00822C6A">
        <w:rPr>
          <w:rFonts w:ascii="Traditional Arabic" w:hAnsi="Traditional Arabic" w:hint="cs"/>
          <w:noProof w:val="0"/>
          <w:rtl/>
          <w:lang w:eastAsia="en-US"/>
        </w:rPr>
        <w:t>ِ</w:t>
      </w:r>
      <w:r w:rsidRPr="00822C6A">
        <w:rPr>
          <w:rFonts w:ascii="Traditional Arabic" w:hAnsi="Traditional Arabic"/>
          <w:noProof w:val="0"/>
          <w:rtl/>
          <w:lang w:eastAsia="en-US"/>
        </w:rPr>
        <w:t>ن شدة البرد ولا يجد غيره أو لا يجد سترة</w:t>
      </w:r>
      <w:r w:rsidRPr="00822C6A">
        <w:rPr>
          <w:rFonts w:ascii="Traditional Arabic" w:hAnsi="Traditional Arabic" w:hint="cs"/>
          <w:noProof w:val="0"/>
          <w:rtl/>
          <w:lang w:eastAsia="en-US"/>
        </w:rPr>
        <w:t>ً</w:t>
      </w:r>
      <w:r w:rsidRPr="00822C6A">
        <w:rPr>
          <w:rFonts w:ascii="Traditional Arabic" w:hAnsi="Traditional Arabic"/>
          <w:noProof w:val="0"/>
          <w:rtl/>
          <w:lang w:eastAsia="en-US"/>
        </w:rPr>
        <w:t xml:space="preserve"> سواه</w:t>
      </w:r>
      <w:r w:rsidR="00B76414" w:rsidRPr="00822C6A">
        <w:rPr>
          <w:rFonts w:ascii="Traditional Arabic" w:hAnsi="Traditional Arabic"/>
          <w:noProof w:val="0"/>
          <w:rtl/>
          <w:lang w:eastAsia="en-US"/>
        </w:rPr>
        <w:t>.</w:t>
      </w:r>
      <w:r w:rsidRPr="00822C6A">
        <w:rPr>
          <w:rFonts w:ascii="Traditional Arabic" w:hAnsi="Traditional Arabic"/>
          <w:noProof w:val="0"/>
          <w:rtl/>
          <w:lang w:eastAsia="en-US"/>
        </w:rPr>
        <w:t xml:space="preserve"> ومنها : ل</w:t>
      </w:r>
      <w:r w:rsidRPr="00822C6A">
        <w:rPr>
          <w:rFonts w:ascii="Traditional Arabic" w:hAnsi="Traditional Arabic" w:hint="cs"/>
          <w:noProof w:val="0"/>
          <w:rtl/>
          <w:lang w:eastAsia="en-US"/>
        </w:rPr>
        <w:t>ِ</w:t>
      </w:r>
      <w:r w:rsidRPr="00822C6A">
        <w:rPr>
          <w:rFonts w:ascii="Traditional Arabic" w:hAnsi="Traditional Arabic"/>
          <w:noProof w:val="0"/>
          <w:rtl/>
          <w:lang w:eastAsia="en-US"/>
        </w:rPr>
        <w:t>باسه للج</w:t>
      </w:r>
      <w:r w:rsidRPr="00822C6A">
        <w:rPr>
          <w:rFonts w:ascii="Traditional Arabic" w:hAnsi="Traditional Arabic" w:hint="cs"/>
          <w:noProof w:val="0"/>
          <w:rtl/>
          <w:lang w:eastAsia="en-US"/>
        </w:rPr>
        <w:t>َ</w:t>
      </w:r>
      <w:r w:rsidRPr="00822C6A">
        <w:rPr>
          <w:rFonts w:ascii="Traditional Arabic" w:hAnsi="Traditional Arabic"/>
          <w:noProof w:val="0"/>
          <w:rtl/>
          <w:lang w:eastAsia="en-US"/>
        </w:rPr>
        <w:t>ر</w:t>
      </w:r>
      <w:r w:rsidRPr="00822C6A">
        <w:rPr>
          <w:rFonts w:ascii="Traditional Arabic" w:hAnsi="Traditional Arabic" w:hint="cs"/>
          <w:noProof w:val="0"/>
          <w:rtl/>
          <w:lang w:eastAsia="en-US"/>
        </w:rPr>
        <w:t>َ</w:t>
      </w:r>
      <w:r w:rsidRPr="00822C6A">
        <w:rPr>
          <w:rFonts w:ascii="Traditional Arabic" w:hAnsi="Traditional Arabic"/>
          <w:noProof w:val="0"/>
          <w:rtl/>
          <w:lang w:eastAsia="en-US"/>
        </w:rPr>
        <w:t>ب</w:t>
      </w:r>
      <w:r w:rsidRPr="00C821A1">
        <w:rPr>
          <w:rStyle w:val="af1"/>
          <w:szCs w:val="32"/>
          <w:rtl/>
        </w:rPr>
        <w:t>(</w:t>
      </w:r>
      <w:r w:rsidRPr="00C821A1">
        <w:rPr>
          <w:rStyle w:val="af1"/>
          <w:szCs w:val="32"/>
          <w:rtl/>
        </w:rPr>
        <w:footnoteReference w:id="675"/>
      </w:r>
      <w:r w:rsidRPr="00C821A1">
        <w:rPr>
          <w:rStyle w:val="af1"/>
          <w:szCs w:val="32"/>
          <w:rtl/>
        </w:rPr>
        <w:t>)</w:t>
      </w:r>
      <w:r w:rsidRPr="00822C6A">
        <w:rPr>
          <w:rFonts w:ascii="Traditional Arabic" w:hAnsi="Traditional Arabic"/>
          <w:noProof w:val="0"/>
          <w:rtl/>
          <w:lang w:eastAsia="en-US"/>
        </w:rPr>
        <w:t xml:space="preserve"> والمرض والح</w:t>
      </w:r>
      <w:r w:rsidRPr="00822C6A">
        <w:rPr>
          <w:rFonts w:ascii="Traditional Arabic" w:hAnsi="Traditional Arabic" w:hint="cs"/>
          <w:noProof w:val="0"/>
          <w:rtl/>
          <w:lang w:eastAsia="en-US"/>
        </w:rPr>
        <w:t>ِ</w:t>
      </w:r>
      <w:r w:rsidRPr="00822C6A">
        <w:rPr>
          <w:rFonts w:ascii="Traditional Arabic" w:hAnsi="Traditional Arabic"/>
          <w:noProof w:val="0"/>
          <w:rtl/>
          <w:lang w:eastAsia="en-US"/>
        </w:rPr>
        <w:t>ك</w:t>
      </w:r>
      <w:r w:rsidRPr="00822C6A">
        <w:rPr>
          <w:rFonts w:ascii="Traditional Arabic" w:hAnsi="Traditional Arabic" w:hint="cs"/>
          <w:noProof w:val="0"/>
          <w:rtl/>
          <w:lang w:eastAsia="en-US"/>
        </w:rPr>
        <w:t>َّ</w:t>
      </w:r>
      <w:r w:rsidRPr="00822C6A">
        <w:rPr>
          <w:rFonts w:ascii="Traditional Arabic" w:hAnsi="Traditional Arabic"/>
          <w:noProof w:val="0"/>
          <w:rtl/>
          <w:lang w:eastAsia="en-US"/>
        </w:rPr>
        <w:t>ة وكثرة القم</w:t>
      </w:r>
      <w:r w:rsidRPr="00822C6A">
        <w:rPr>
          <w:rFonts w:ascii="Traditional Arabic" w:hAnsi="Traditional Arabic" w:hint="cs"/>
          <w:noProof w:val="0"/>
          <w:rtl/>
          <w:lang w:eastAsia="en-US"/>
        </w:rPr>
        <w:t>ْ</w:t>
      </w:r>
      <w:r w:rsidRPr="00822C6A">
        <w:rPr>
          <w:rFonts w:ascii="Traditional Arabic" w:hAnsi="Traditional Arabic"/>
          <w:noProof w:val="0"/>
          <w:rtl/>
          <w:lang w:eastAsia="en-US"/>
        </w:rPr>
        <w:t>ل</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676"/>
      </w:r>
      <w:r w:rsidRPr="00C821A1">
        <w:rPr>
          <w:rFonts w:ascii="Traditional Arabic" w:hAnsi="Traditional Arabic"/>
          <w:szCs w:val="32"/>
          <w:vertAlign w:val="superscript"/>
          <w:rtl/>
        </w:rPr>
        <w:t>)</w:t>
      </w:r>
      <w:r w:rsidRPr="00822C6A">
        <w:rPr>
          <w:rFonts w:ascii="Traditional Arabic" w:hAnsi="Traditional Arabic"/>
          <w:rtl/>
        </w:rPr>
        <w:t>.</w:t>
      </w:r>
    </w:p>
    <w:p w:rsidR="00B64F4C" w:rsidRPr="00B372A8" w:rsidRDefault="00F34333" w:rsidP="000A76C7">
      <w:pPr>
        <w:pStyle w:val="afc"/>
        <w:numPr>
          <w:ilvl w:val="0"/>
          <w:numId w:val="108"/>
        </w:numPr>
        <w:spacing w:line="640" w:lineRule="exact"/>
        <w:jc w:val="lowKashida"/>
        <w:rPr>
          <w:rFonts w:ascii="Traditional Arabic" w:hAnsi="Traditional Arabic"/>
          <w:rtl/>
        </w:rPr>
      </w:pPr>
      <w:r>
        <w:rPr>
          <w:rFonts w:ascii="Traditional Arabic" w:hAnsi="Traditional Arabic" w:hint="cs"/>
          <w:rtl/>
        </w:rPr>
        <w:t>حديث</w:t>
      </w:r>
      <w:r w:rsidR="00B64F4C">
        <w:rPr>
          <w:rFonts w:ascii="Traditional Arabic" w:hAnsi="Traditional Arabic" w:hint="cs"/>
          <w:rtl/>
        </w:rPr>
        <w:t xml:space="preserve"> </w:t>
      </w:r>
      <w:r w:rsidR="00B64F4C" w:rsidRPr="00B372A8">
        <w:rPr>
          <w:rFonts w:ascii="Traditional Arabic" w:hAnsi="Traditional Arabic"/>
          <w:rtl/>
        </w:rPr>
        <w:t xml:space="preserve">أبي هريرة </w:t>
      </w:r>
      <w:r>
        <w:rPr>
          <w:rFonts w:ascii="Traditional Arabic" w:hAnsi="Traditional Arabic" w:hint="cs"/>
          <w:rtl/>
        </w:rPr>
        <w:t>_</w:t>
      </w:r>
      <w:r w:rsidR="00B64F4C" w:rsidRPr="00B372A8">
        <w:rPr>
          <w:rFonts w:ascii="Traditional Arabic" w:hAnsi="Traditional Arabic"/>
        </w:rPr>
        <w:sym w:font="AGA Arabesque" w:char="F074"/>
      </w:r>
      <w:r>
        <w:rPr>
          <w:rFonts w:ascii="Traditional Arabic" w:hAnsi="Traditional Arabic" w:hint="cs"/>
          <w:rtl/>
        </w:rPr>
        <w:t>_</w:t>
      </w:r>
      <w:r w:rsidR="00B64F4C" w:rsidRPr="00B372A8">
        <w:rPr>
          <w:rFonts w:ascii="Traditional Arabic" w:hAnsi="Traditional Arabic"/>
          <w:rtl/>
        </w:rPr>
        <w:t xml:space="preserve"> قال : "رخَّص النبي </w:t>
      </w:r>
      <w:r w:rsidR="00F350DE">
        <w:rPr>
          <w:rFonts w:ascii="Traditional Arabic" w:hAnsi="Traditional Arabic"/>
          <w:noProof w:val="0"/>
          <w:color w:val="auto"/>
          <w:rtl/>
          <w:lang w:eastAsia="en-US"/>
        </w:rPr>
        <w:sym w:font="AGA Arabesque" w:char="F072"/>
      </w:r>
      <w:r w:rsidR="00B22F18">
        <w:rPr>
          <w:rFonts w:ascii="Traditional Arabic" w:hAnsi="Traditional Arabic" w:hint="cs"/>
          <w:rtl/>
        </w:rPr>
        <w:t xml:space="preserve"> </w:t>
      </w:r>
      <w:r w:rsidR="00B64F4C" w:rsidRPr="00B372A8">
        <w:rPr>
          <w:rFonts w:ascii="Traditional Arabic" w:hAnsi="Traditional Arabic"/>
          <w:rtl/>
        </w:rPr>
        <w:t>في بيع العرايا</w:t>
      </w:r>
      <w:r w:rsidR="00AB0B9E">
        <w:rPr>
          <w:rFonts w:ascii="Traditional Arabic" w:hAnsi="Traditional Arabic"/>
          <w:rtl/>
        </w:rPr>
        <w:fldChar w:fldCharType="begin"/>
      </w:r>
      <w:r w:rsidR="007A5A1C" w:rsidRPr="00C85F0F">
        <w:instrText>XE</w:instrText>
      </w:r>
      <w:r w:rsidR="007A5A1C" w:rsidRPr="00C85F0F">
        <w:rPr>
          <w:rtl/>
        </w:rPr>
        <w:instrText xml:space="preserve"> "</w:instrText>
      </w:r>
      <w:r w:rsidR="007A5A1C" w:rsidRPr="00C85F0F">
        <w:rPr>
          <w:rFonts w:ascii="Traditional Arabic" w:hAnsi="Traditional Arabic"/>
          <w:rtl/>
        </w:rPr>
        <w:instrText xml:space="preserve">رخَّص النبي </w:instrText>
      </w:r>
      <w:r w:rsidR="007A5A1C" w:rsidRPr="00C85F0F">
        <w:rPr>
          <w:rFonts w:ascii="Traditional Arabic" w:hAnsi="Traditional Arabic"/>
          <w:noProof w:val="0"/>
          <w:color w:val="auto"/>
          <w:rtl/>
          <w:lang w:eastAsia="en-US"/>
        </w:rPr>
        <w:sym w:font="AGA Arabesque" w:char="F072"/>
      </w:r>
      <w:r w:rsidR="007A5A1C" w:rsidRPr="00C85F0F">
        <w:rPr>
          <w:rFonts w:ascii="Traditional Arabic" w:hAnsi="Traditional Arabic"/>
          <w:rtl/>
        </w:rPr>
        <w:instrText>في بيع العرايا</w:instrText>
      </w:r>
      <w:r w:rsidR="007A5A1C" w:rsidRPr="00C85F0F">
        <w:rPr>
          <w:rtl/>
        </w:rPr>
        <w:instrText>" \</w:instrText>
      </w:r>
      <w:r w:rsidR="007A5A1C" w:rsidRPr="00C85F0F">
        <w:instrText>f</w:instrText>
      </w:r>
      <w:r w:rsidR="007A5A1C">
        <w:instrText>h</w:instrText>
      </w:r>
      <w:r w:rsidR="00AB0B9E">
        <w:rPr>
          <w:rFonts w:ascii="Traditional Arabic" w:hAnsi="Traditional Arabic"/>
          <w:rtl/>
        </w:rPr>
        <w:fldChar w:fldCharType="end"/>
      </w:r>
      <w:r w:rsidR="00B64F4C" w:rsidRPr="00B372A8">
        <w:rPr>
          <w:rFonts w:ascii="Traditional Arabic" w:hAnsi="Traditional Arabic"/>
          <w:rtl/>
        </w:rPr>
        <w:t xml:space="preserve"> ب</w:t>
      </w:r>
      <w:r w:rsidR="00B64F4C">
        <w:rPr>
          <w:rFonts w:ascii="Traditional Arabic" w:hAnsi="Traditional Arabic" w:hint="cs"/>
          <w:rtl/>
        </w:rPr>
        <w:t>ِ</w:t>
      </w:r>
      <w:r w:rsidR="00B64F4C" w:rsidRPr="00B372A8">
        <w:rPr>
          <w:rFonts w:ascii="Traditional Arabic" w:hAnsi="Traditional Arabic"/>
          <w:rtl/>
        </w:rPr>
        <w:t>خ</w:t>
      </w:r>
      <w:r w:rsidR="00B64F4C">
        <w:rPr>
          <w:rFonts w:ascii="Traditional Arabic" w:hAnsi="Traditional Arabic" w:hint="cs"/>
          <w:rtl/>
        </w:rPr>
        <w:t>َ</w:t>
      </w:r>
      <w:r w:rsidR="00B64F4C" w:rsidRPr="00B372A8">
        <w:rPr>
          <w:rFonts w:ascii="Traditional Arabic" w:hAnsi="Traditional Arabic"/>
          <w:rtl/>
        </w:rPr>
        <w:t>ر</w:t>
      </w:r>
      <w:r w:rsidR="00B64F4C">
        <w:rPr>
          <w:rFonts w:ascii="Traditional Arabic" w:hAnsi="Traditional Arabic" w:hint="cs"/>
          <w:rtl/>
        </w:rPr>
        <w:t>ْ</w:t>
      </w:r>
      <w:r w:rsidR="00B64F4C" w:rsidRPr="00B372A8">
        <w:rPr>
          <w:rFonts w:ascii="Traditional Arabic" w:hAnsi="Traditional Arabic"/>
          <w:rtl/>
        </w:rPr>
        <w:t>ص</w:t>
      </w:r>
      <w:r w:rsidR="00B64F4C">
        <w:rPr>
          <w:rFonts w:ascii="Traditional Arabic" w:hAnsi="Traditional Arabic" w:hint="cs"/>
          <w:rtl/>
        </w:rPr>
        <w:t>ِ</w:t>
      </w:r>
      <w:r w:rsidR="00B64F4C" w:rsidRPr="00B372A8">
        <w:rPr>
          <w:rFonts w:ascii="Traditional Arabic" w:hAnsi="Traditional Arabic"/>
          <w:rtl/>
        </w:rPr>
        <w:t>ها من التمر فيما دون خمسة أوسقٍ</w:t>
      </w:r>
      <w:r w:rsidR="00B64F4C" w:rsidRPr="00C821A1">
        <w:rPr>
          <w:rFonts w:ascii="Traditional Arabic" w:hAnsi="Traditional Arabic"/>
          <w:szCs w:val="32"/>
          <w:vertAlign w:val="superscript"/>
          <w:rtl/>
        </w:rPr>
        <w:t>(</w:t>
      </w:r>
      <w:r w:rsidR="00B64F4C" w:rsidRPr="00C821A1">
        <w:rPr>
          <w:rStyle w:val="af1"/>
          <w:rFonts w:ascii="Traditional Arabic" w:hAnsi="Traditional Arabic"/>
          <w:szCs w:val="32"/>
          <w:rtl/>
        </w:rPr>
        <w:footnoteReference w:id="677"/>
      </w:r>
      <w:r w:rsidR="00B64F4C" w:rsidRPr="00C821A1">
        <w:rPr>
          <w:rFonts w:ascii="Traditional Arabic" w:hAnsi="Traditional Arabic"/>
          <w:szCs w:val="32"/>
          <w:vertAlign w:val="superscript"/>
          <w:rtl/>
        </w:rPr>
        <w:t>)</w:t>
      </w:r>
      <w:r w:rsidR="00B64F4C">
        <w:rPr>
          <w:rFonts w:ascii="Traditional Arabic" w:hAnsi="Traditional Arabic"/>
          <w:rtl/>
        </w:rPr>
        <w:t>،</w:t>
      </w:r>
      <w:r w:rsidR="00B64F4C" w:rsidRPr="00B372A8">
        <w:rPr>
          <w:rFonts w:ascii="Traditional Arabic" w:hAnsi="Traditional Arabic"/>
          <w:rtl/>
        </w:rPr>
        <w:t>أو في خمسة أوسقٍ"</w:t>
      </w:r>
      <w:r w:rsidR="00B64F4C" w:rsidRPr="00C821A1">
        <w:rPr>
          <w:rFonts w:ascii="Traditional Arabic" w:hAnsi="Traditional Arabic"/>
          <w:szCs w:val="32"/>
          <w:vertAlign w:val="superscript"/>
          <w:rtl/>
        </w:rPr>
        <w:t>(</w:t>
      </w:r>
      <w:r w:rsidR="00B64F4C" w:rsidRPr="00C821A1">
        <w:rPr>
          <w:rStyle w:val="af1"/>
          <w:rFonts w:ascii="Traditional Arabic" w:hAnsi="Traditional Arabic"/>
          <w:szCs w:val="32"/>
          <w:rtl/>
        </w:rPr>
        <w:footnoteReference w:id="678"/>
      </w:r>
      <w:r w:rsidR="00B64F4C" w:rsidRPr="00C821A1">
        <w:rPr>
          <w:rFonts w:ascii="Traditional Arabic" w:hAnsi="Traditional Arabic"/>
          <w:szCs w:val="32"/>
          <w:vertAlign w:val="superscript"/>
          <w:rtl/>
        </w:rPr>
        <w:t>)</w:t>
      </w:r>
      <w:r w:rsidR="00B76414">
        <w:rPr>
          <w:rFonts w:ascii="Traditional Arabic" w:hAnsi="Traditional Arabic"/>
          <w:rtl/>
        </w:rPr>
        <w:t>.</w:t>
      </w:r>
    </w:p>
    <w:p w:rsidR="00065E4B" w:rsidRDefault="00B64F4C" w:rsidP="00597C20">
      <w:pPr>
        <w:pStyle w:val="53"/>
        <w:rPr>
          <w:rtl/>
        </w:rPr>
      </w:pPr>
      <w:r w:rsidRPr="00B372A8">
        <w:rPr>
          <w:rtl/>
        </w:rPr>
        <w:t>وجه الدلالة:</w:t>
      </w:r>
    </w:p>
    <w:p w:rsidR="00B64F4C" w:rsidRPr="00822C6A" w:rsidRDefault="00065E4B" w:rsidP="00C04C42">
      <w:pPr>
        <w:spacing w:line="640" w:lineRule="exact"/>
        <w:ind w:firstLine="720"/>
        <w:jc w:val="lowKashida"/>
        <w:rPr>
          <w:rFonts w:ascii="Traditional Arabic" w:hAnsi="Traditional Arabic"/>
          <w:rtl/>
        </w:rPr>
      </w:pPr>
      <w:r w:rsidRPr="00822C6A">
        <w:rPr>
          <w:rFonts w:ascii="Traditional Arabic" w:hAnsi="Traditional Arabic" w:hint="cs"/>
          <w:rtl/>
        </w:rPr>
        <w:t>ف</w:t>
      </w:r>
      <w:r w:rsidR="00B64F4C" w:rsidRPr="00822C6A">
        <w:rPr>
          <w:rFonts w:ascii="Traditional Arabic" w:hAnsi="Traditional Arabic" w:hint="cs"/>
          <w:rtl/>
        </w:rPr>
        <w:t>الأصل عدم جواز بيع الرُّطَب بالتمر وإن تساويا وزناً؛ لأن الرطب ينقُص وَزْنُه إذا جَفَّ،</w:t>
      </w:r>
      <w:r w:rsidR="00B64F4C" w:rsidRPr="00822C6A">
        <w:rPr>
          <w:rFonts w:ascii="Traditional Arabic" w:hAnsi="Traditional Arabic"/>
          <w:rtl/>
        </w:rPr>
        <w:t xml:space="preserve"> فنُهى عن ذلك؛ لأنه ربا</w:t>
      </w:r>
      <w:r w:rsidR="00B64F4C" w:rsidRPr="00822C6A">
        <w:rPr>
          <w:rFonts w:ascii="Traditional Arabic" w:hAnsi="Traditional Arabic" w:hint="cs"/>
          <w:rtl/>
        </w:rPr>
        <w:t>،</w:t>
      </w:r>
      <w:r w:rsidR="00B64F4C" w:rsidRPr="00822C6A">
        <w:rPr>
          <w:rFonts w:ascii="Traditional Arabic" w:hAnsi="Traditional Arabic"/>
          <w:rtl/>
        </w:rPr>
        <w:t xml:space="preserve"> لكن العرايا أُبيحت للحاجة، والحاجة: هي أن الإنسان الفقير الذي ليس عنده نقود، إذا كان عنده تمر، واحتاج إلى التفكُّه</w:t>
      </w:r>
      <w:r w:rsidR="00C04C42">
        <w:rPr>
          <w:rStyle w:val="af1"/>
          <w:rFonts w:hint="cs"/>
          <w:szCs w:val="32"/>
          <w:rtl/>
        </w:rPr>
        <w:t xml:space="preserve"> </w:t>
      </w:r>
      <w:r w:rsidR="00B64F4C" w:rsidRPr="00822C6A">
        <w:rPr>
          <w:rFonts w:ascii="Traditional Arabic" w:hAnsi="Traditional Arabic"/>
          <w:rtl/>
        </w:rPr>
        <w:t>بالر</w:t>
      </w:r>
      <w:r w:rsidR="00B64F4C" w:rsidRPr="00822C6A">
        <w:rPr>
          <w:rFonts w:ascii="Traditional Arabic" w:hAnsi="Traditional Arabic" w:hint="cs"/>
          <w:rtl/>
        </w:rPr>
        <w:t>ُّ</w:t>
      </w:r>
      <w:r w:rsidR="00B64F4C" w:rsidRPr="00822C6A">
        <w:rPr>
          <w:rFonts w:ascii="Traditional Arabic" w:hAnsi="Traditional Arabic"/>
          <w:rtl/>
        </w:rPr>
        <w:t>ط</w:t>
      </w:r>
      <w:r w:rsidR="00B64F4C" w:rsidRPr="00822C6A">
        <w:rPr>
          <w:rFonts w:ascii="Traditional Arabic" w:hAnsi="Traditional Arabic" w:hint="cs"/>
          <w:rtl/>
        </w:rPr>
        <w:t>َ</w:t>
      </w:r>
      <w:r w:rsidR="00B64F4C" w:rsidRPr="00822C6A">
        <w:rPr>
          <w:rFonts w:ascii="Traditional Arabic" w:hAnsi="Traditional Arabic"/>
          <w:rtl/>
        </w:rPr>
        <w:t>ب؛ كما يتفكَّه الناس، أباح له الشارع أن يشتري بالتمر ر</w:t>
      </w:r>
      <w:r w:rsidR="00B64F4C" w:rsidRPr="00822C6A">
        <w:rPr>
          <w:rFonts w:ascii="Traditional Arabic" w:hAnsi="Traditional Arabic" w:hint="cs"/>
          <w:rtl/>
        </w:rPr>
        <w:t>ُ</w:t>
      </w:r>
      <w:r w:rsidR="00B64F4C" w:rsidRPr="00822C6A">
        <w:rPr>
          <w:rFonts w:ascii="Traditional Arabic" w:hAnsi="Traditional Arabic"/>
          <w:rtl/>
        </w:rPr>
        <w:t>ط</w:t>
      </w:r>
      <w:r w:rsidR="00B64F4C" w:rsidRPr="00822C6A">
        <w:rPr>
          <w:rFonts w:ascii="Traditional Arabic" w:hAnsi="Traditional Arabic" w:hint="cs"/>
          <w:rtl/>
        </w:rPr>
        <w:t>َ</w:t>
      </w:r>
      <w:r w:rsidR="00B64F4C" w:rsidRPr="00822C6A">
        <w:rPr>
          <w:rFonts w:ascii="Traditional Arabic" w:hAnsi="Traditional Arabic"/>
          <w:rtl/>
        </w:rPr>
        <w:t xml:space="preserve">باً على رؤوس النخل، بشرط ألا تزيد على خمسة أوسق، وأن يكون بالخرص، أي : </w:t>
      </w:r>
      <w:r w:rsidR="00B64F4C" w:rsidRPr="00822C6A">
        <w:rPr>
          <w:rFonts w:ascii="Traditional Arabic" w:hAnsi="Traditional Arabic" w:hint="cs"/>
          <w:rtl/>
        </w:rPr>
        <w:t>يُ</w:t>
      </w:r>
      <w:r w:rsidR="00B64F4C" w:rsidRPr="00822C6A">
        <w:rPr>
          <w:rFonts w:ascii="Traditional Arabic" w:hAnsi="Traditional Arabic"/>
          <w:rtl/>
        </w:rPr>
        <w:t>خ</w:t>
      </w:r>
      <w:r w:rsidR="00B64F4C" w:rsidRPr="00822C6A">
        <w:rPr>
          <w:rFonts w:ascii="Traditional Arabic" w:hAnsi="Traditional Arabic" w:hint="cs"/>
          <w:rtl/>
        </w:rPr>
        <w:t>ْ</w:t>
      </w:r>
      <w:r w:rsidR="00B64F4C" w:rsidRPr="00822C6A">
        <w:rPr>
          <w:rFonts w:ascii="Traditional Arabic" w:hAnsi="Traditional Arabic"/>
          <w:rtl/>
        </w:rPr>
        <w:t>ر</w:t>
      </w:r>
      <w:r w:rsidR="00B64F4C" w:rsidRPr="00822C6A">
        <w:rPr>
          <w:rFonts w:ascii="Traditional Arabic" w:hAnsi="Traditional Arabic" w:hint="cs"/>
          <w:rtl/>
        </w:rPr>
        <w:t>َ</w:t>
      </w:r>
      <w:r w:rsidR="00B64F4C" w:rsidRPr="00822C6A">
        <w:rPr>
          <w:rFonts w:ascii="Traditional Arabic" w:hAnsi="Traditional Arabic"/>
          <w:rtl/>
        </w:rPr>
        <w:t>ص الرطب لو كان تمراً، بحيث يساوي التمر الذي أ</w:t>
      </w:r>
      <w:r w:rsidR="00B64F4C" w:rsidRPr="00822C6A">
        <w:rPr>
          <w:rFonts w:ascii="Traditional Arabic" w:hAnsi="Traditional Arabic" w:hint="cs"/>
          <w:rtl/>
        </w:rPr>
        <w:t>ُ</w:t>
      </w:r>
      <w:r w:rsidR="00B64F4C" w:rsidRPr="00822C6A">
        <w:rPr>
          <w:rFonts w:ascii="Traditional Arabic" w:hAnsi="Traditional Arabic"/>
          <w:rtl/>
        </w:rPr>
        <w:t>بد</w:t>
      </w:r>
      <w:r w:rsidR="00B64F4C" w:rsidRPr="00822C6A">
        <w:rPr>
          <w:rFonts w:ascii="Traditional Arabic" w:hAnsi="Traditional Arabic" w:hint="cs"/>
          <w:rtl/>
        </w:rPr>
        <w:t>ِ</w:t>
      </w:r>
      <w:r w:rsidR="00B64F4C" w:rsidRPr="00822C6A">
        <w:rPr>
          <w:rFonts w:ascii="Traditional Arabic" w:hAnsi="Traditional Arabic"/>
          <w:rtl/>
        </w:rPr>
        <w:t>ل به، فهذا شيء من الربا ولكن أبيح للحاجة</w:t>
      </w:r>
      <w:r w:rsidR="00B76414" w:rsidRPr="00822C6A">
        <w:rPr>
          <w:rFonts w:ascii="Traditional Arabic" w:hAnsi="Traditional Arabic"/>
          <w:rtl/>
        </w:rPr>
        <w:t>.</w:t>
      </w:r>
      <w:r w:rsidR="00B64F4C" w:rsidRPr="00822C6A">
        <w:rPr>
          <w:rFonts w:ascii="Traditional Arabic" w:hAnsi="Traditional Arabic"/>
          <w:rtl/>
        </w:rPr>
        <w:t>.. لأن تحريم ربا الفضل</w:t>
      </w:r>
      <w:r w:rsidR="00C04C42">
        <w:rPr>
          <w:rStyle w:val="af1"/>
          <w:rFonts w:hint="cs"/>
          <w:szCs w:val="32"/>
          <w:rtl/>
        </w:rPr>
        <w:t xml:space="preserve"> </w:t>
      </w:r>
      <w:r w:rsidR="00B64F4C" w:rsidRPr="00822C6A">
        <w:rPr>
          <w:rFonts w:ascii="Traditional Arabic" w:hAnsi="Traditional Arabic"/>
          <w:rtl/>
        </w:rPr>
        <w:t xml:space="preserve">من </w:t>
      </w:r>
      <w:r w:rsidR="00C04C42">
        <w:rPr>
          <w:rFonts w:ascii="Traditional Arabic" w:hAnsi="Traditional Arabic" w:hint="cs"/>
          <w:rtl/>
        </w:rPr>
        <w:t xml:space="preserve">باب </w:t>
      </w:r>
      <w:r w:rsidR="00B64F4C" w:rsidRPr="00822C6A">
        <w:rPr>
          <w:rFonts w:ascii="Traditional Arabic" w:hAnsi="Traditional Arabic"/>
          <w:rtl/>
        </w:rPr>
        <w:t>تحريم الوسائل)</w:t>
      </w:r>
      <w:r w:rsidR="00B64F4C" w:rsidRPr="00C821A1">
        <w:rPr>
          <w:rFonts w:ascii="Traditional Arabic" w:hAnsi="Traditional Arabic"/>
          <w:szCs w:val="32"/>
          <w:vertAlign w:val="superscript"/>
          <w:rtl/>
        </w:rPr>
        <w:t>(</w:t>
      </w:r>
      <w:r w:rsidR="00B64F4C" w:rsidRPr="00C821A1">
        <w:rPr>
          <w:rStyle w:val="af1"/>
          <w:rFonts w:ascii="Traditional Arabic" w:hAnsi="Traditional Arabic"/>
          <w:szCs w:val="32"/>
          <w:rtl/>
        </w:rPr>
        <w:footnoteReference w:id="679"/>
      </w:r>
      <w:r w:rsidR="00B64F4C" w:rsidRPr="00C821A1">
        <w:rPr>
          <w:rFonts w:ascii="Traditional Arabic" w:hAnsi="Traditional Arabic"/>
          <w:szCs w:val="32"/>
          <w:vertAlign w:val="superscript"/>
          <w:rtl/>
        </w:rPr>
        <w:t>)</w:t>
      </w:r>
      <w:r w:rsidR="00B76414" w:rsidRPr="00822C6A">
        <w:rPr>
          <w:rFonts w:ascii="Traditional Arabic" w:hAnsi="Traditional Arabic"/>
          <w:rtl/>
        </w:rPr>
        <w:t>.</w:t>
      </w:r>
    </w:p>
    <w:p w:rsidR="00065E4B" w:rsidRDefault="00C04C42" w:rsidP="00A8347C">
      <w:pPr>
        <w:pStyle w:val="aff3"/>
        <w:rPr>
          <w:rtl/>
        </w:rPr>
      </w:pPr>
      <w:bookmarkStart w:id="135" w:name="_Toc334046382"/>
      <w:r>
        <w:rPr>
          <w:rFonts w:hint="cs"/>
          <w:rtl/>
        </w:rPr>
        <w:lastRenderedPageBreak/>
        <w:t xml:space="preserve">             </w:t>
      </w:r>
      <w:r w:rsidR="00B22F18">
        <w:rPr>
          <w:rFonts w:hint="cs"/>
          <w:rtl/>
        </w:rPr>
        <w:t xml:space="preserve">                           </w:t>
      </w:r>
      <w:r w:rsidR="00B64F4C">
        <w:rPr>
          <w:rFonts w:hint="cs"/>
          <w:rtl/>
        </w:rPr>
        <w:t>المطلب الرابع</w:t>
      </w:r>
      <w:r w:rsidR="00B64F4C">
        <w:rPr>
          <w:rFonts w:hint="eastAsia"/>
          <w:rtl/>
        </w:rPr>
        <w:t> :</w:t>
      </w:r>
      <w:r w:rsidR="00B64F4C">
        <w:rPr>
          <w:rFonts w:hint="cs"/>
          <w:rtl/>
        </w:rPr>
        <w:br/>
      </w:r>
      <w:r>
        <w:rPr>
          <w:rFonts w:hint="cs"/>
          <w:rtl/>
        </w:rPr>
        <w:t xml:space="preserve">            </w:t>
      </w:r>
      <w:r w:rsidR="009C1A6E">
        <w:rPr>
          <w:rFonts w:hint="cs"/>
          <w:rtl/>
        </w:rPr>
        <w:t xml:space="preserve">                         التطبيق</w:t>
      </w:r>
      <w:r w:rsidR="00B64F4C">
        <w:rPr>
          <w:rFonts w:hint="cs"/>
          <w:rtl/>
        </w:rPr>
        <w:t xml:space="preserve"> </w:t>
      </w:r>
      <w:r w:rsidR="009C1A6E">
        <w:rPr>
          <w:rFonts w:hint="cs"/>
          <w:rtl/>
        </w:rPr>
        <w:t xml:space="preserve">على </w:t>
      </w:r>
      <w:r w:rsidR="00B64F4C">
        <w:rPr>
          <w:rFonts w:hint="cs"/>
          <w:rtl/>
        </w:rPr>
        <w:t>القاعدة</w:t>
      </w:r>
      <w:bookmarkEnd w:id="135"/>
    </w:p>
    <w:p w:rsidR="00B64F4C" w:rsidRPr="009C1A6E" w:rsidRDefault="009C1A6E" w:rsidP="009C1A6E">
      <w:pPr>
        <w:rPr>
          <w:rFonts w:ascii="Traditional Arabic" w:hAnsi="Traditional Arabic"/>
          <w:sz w:val="32"/>
          <w:szCs w:val="32"/>
        </w:rPr>
      </w:pPr>
      <w:r>
        <w:rPr>
          <w:rFonts w:ascii="Traditional Arabic" w:hAnsi="Traditional Arabic" w:hint="cs"/>
          <w:rtl/>
        </w:rPr>
        <w:t xml:space="preserve">من تطبيقات هذه القاعدة </w:t>
      </w:r>
      <w:r w:rsidR="00065E4B" w:rsidRPr="009C1A6E">
        <w:rPr>
          <w:rFonts w:ascii="Traditional Arabic" w:hAnsi="Traditional Arabic" w:hint="cs"/>
          <w:rtl/>
        </w:rPr>
        <w:t>إ</w:t>
      </w:r>
      <w:r w:rsidR="00B64F4C" w:rsidRPr="009C1A6E">
        <w:rPr>
          <w:rFonts w:ascii="Traditional Arabic" w:hAnsi="Traditional Arabic" w:hint="cs"/>
          <w:rtl/>
        </w:rPr>
        <w:t>باحة بيع العرايا: فالأصل عدم جواز بيع الرُّطَب بالتمر وإن تساويا وزناً؛ لأن الرطب ينقص وزنُه إذا جَفَّ</w:t>
      </w:r>
      <w:r w:rsidR="00B76414" w:rsidRPr="009C1A6E">
        <w:rPr>
          <w:rFonts w:ascii="Traditional Arabic" w:hAnsi="Traditional Arabic" w:hint="cs"/>
          <w:rtl/>
        </w:rPr>
        <w:t>،</w:t>
      </w:r>
      <w:r w:rsidR="00B64F4C" w:rsidRPr="009C1A6E">
        <w:rPr>
          <w:rFonts w:ascii="Traditional Arabic" w:hAnsi="Traditional Arabic" w:hint="cs"/>
          <w:rtl/>
        </w:rPr>
        <w:t xml:space="preserve"> لكن استثنى الشارع بيع العرايا فأباحَه دَفْعاً لحاجة الفقير الذي يريد أن يَتَفَكَّهَ</w:t>
      </w:r>
      <w:r w:rsidR="00CA7937" w:rsidRPr="009C1A6E">
        <w:rPr>
          <w:rFonts w:ascii="Traditional Arabic" w:hAnsi="Traditional Arabic" w:hint="cs"/>
          <w:rtl/>
        </w:rPr>
        <w:t xml:space="preserve"> </w:t>
      </w:r>
      <w:r w:rsidR="00B64F4C" w:rsidRPr="009C1A6E">
        <w:rPr>
          <w:rFonts w:ascii="Traditional Arabic" w:hAnsi="Traditional Arabic" w:hint="cs"/>
          <w:rtl/>
        </w:rPr>
        <w:t>بالرطب</w:t>
      </w:r>
      <w:r w:rsidR="00B64F4C" w:rsidRPr="009C1A6E">
        <w:rPr>
          <w:rStyle w:val="af1"/>
          <w:szCs w:val="32"/>
          <w:rtl/>
        </w:rPr>
        <w:t>(</w:t>
      </w:r>
      <w:r w:rsidR="00B64F4C" w:rsidRPr="00C821A1">
        <w:rPr>
          <w:rStyle w:val="af1"/>
          <w:szCs w:val="32"/>
          <w:rtl/>
        </w:rPr>
        <w:footnoteReference w:id="680"/>
      </w:r>
      <w:r w:rsidR="00B64F4C" w:rsidRPr="009C1A6E">
        <w:rPr>
          <w:rStyle w:val="af1"/>
          <w:szCs w:val="32"/>
          <w:rtl/>
        </w:rPr>
        <w:t>)</w:t>
      </w:r>
      <w:r w:rsidR="00B64F4C" w:rsidRPr="009C1A6E">
        <w:rPr>
          <w:rFonts w:ascii="Traditional Arabic" w:hAnsi="Traditional Arabic" w:hint="cs"/>
          <w:rtl/>
        </w:rPr>
        <w:t>.</w:t>
      </w:r>
    </w:p>
    <w:p w:rsidR="00B64F4C" w:rsidRDefault="00B64F4C" w:rsidP="00597C20">
      <w:pPr>
        <w:pStyle w:val="53"/>
        <w:rPr>
          <w:rtl/>
        </w:rPr>
      </w:pPr>
      <w:r w:rsidRPr="00AC3EFE">
        <w:rPr>
          <w:rFonts w:hint="cs"/>
          <w:rtl/>
        </w:rPr>
        <w:t>وجه اندراج الفرع تحت القاعدة:</w:t>
      </w:r>
    </w:p>
    <w:p w:rsidR="00B64F4C" w:rsidRDefault="00B64F4C" w:rsidP="0057676A">
      <w:pPr>
        <w:ind w:firstLine="720"/>
        <w:rPr>
          <w:rFonts w:ascii="Traditional Arabic" w:hAnsi="Traditional Arabic"/>
          <w:sz w:val="32"/>
          <w:szCs w:val="32"/>
          <w:rtl/>
        </w:rPr>
      </w:pPr>
      <w:r w:rsidRPr="00822C6A">
        <w:rPr>
          <w:rFonts w:ascii="Traditional Arabic" w:hAnsi="Traditional Arabic" w:hint="cs"/>
          <w:rtl/>
        </w:rPr>
        <w:t xml:space="preserve">إن الذي يمكن أن يقع في العرايا هو ربا الفضل الذي حُرِّم لكونه ذريعةً إلى ربا النسيئة، وما حرم سدا للذريعة يجوز للحاجة </w:t>
      </w:r>
      <w:r w:rsidRPr="00C821A1">
        <w:rPr>
          <w:rFonts w:ascii="Traditional Arabic" w:hAnsi="Traditional Arabic"/>
          <w:b/>
          <w:szCs w:val="32"/>
          <w:vertAlign w:val="superscript"/>
          <w:rtl/>
        </w:rPr>
        <w:t>(</w:t>
      </w:r>
      <w:r w:rsidRPr="00C821A1">
        <w:rPr>
          <w:b/>
          <w:szCs w:val="32"/>
          <w:vertAlign w:val="superscript"/>
          <w:rtl/>
        </w:rPr>
        <w:footnoteReference w:id="681"/>
      </w:r>
      <w:r w:rsidRPr="00C821A1">
        <w:rPr>
          <w:rFonts w:ascii="Traditional Arabic" w:hAnsi="Traditional Arabic"/>
          <w:b/>
          <w:szCs w:val="32"/>
          <w:vertAlign w:val="superscript"/>
          <w:rtl/>
        </w:rPr>
        <w:t>)</w:t>
      </w:r>
      <w:r w:rsidRPr="00822C6A">
        <w:rPr>
          <w:rFonts w:ascii="Traditional Arabic" w:hAnsi="Traditional Arabic" w:hint="cs"/>
          <w:b/>
          <w:bCs/>
          <w:rtl/>
        </w:rPr>
        <w:t xml:space="preserve">؛ </w:t>
      </w:r>
      <w:r w:rsidRPr="00822C6A">
        <w:rPr>
          <w:rFonts w:ascii="Traditional Arabic" w:hAnsi="Traditional Arabic" w:hint="cs"/>
          <w:rtl/>
        </w:rPr>
        <w:t>ولهذا أباح الشارع العرايا</w:t>
      </w:r>
      <w:r w:rsidRPr="00822C6A">
        <w:rPr>
          <w:rFonts w:ascii="Traditional Arabic" w:hAnsi="Traditional Arabic" w:hint="cs"/>
          <w:sz w:val="32"/>
          <w:szCs w:val="32"/>
          <w:rtl/>
        </w:rPr>
        <w:t>.</w:t>
      </w:r>
    </w:p>
    <w:p w:rsidR="00D514D2" w:rsidRDefault="00D514D2" w:rsidP="00597C20">
      <w:pPr>
        <w:ind w:firstLine="720"/>
        <w:rPr>
          <w:rFonts w:ascii="Traditional Arabic" w:hAnsi="Traditional Arabic"/>
          <w:sz w:val="32"/>
          <w:szCs w:val="32"/>
          <w:rtl/>
        </w:rPr>
      </w:pPr>
    </w:p>
    <w:p w:rsidR="00D514D2" w:rsidRPr="002C1C02" w:rsidRDefault="00CA7937" w:rsidP="009C1A6E">
      <w:pPr>
        <w:widowControl/>
        <w:autoSpaceDE w:val="0"/>
        <w:autoSpaceDN w:val="0"/>
        <w:adjustRightInd w:val="0"/>
        <w:ind w:firstLine="720"/>
        <w:rPr>
          <w:rFonts w:ascii="Traditional Arabic" w:hAnsi="Traditional Arabic"/>
          <w:noProof w:val="0"/>
          <w:lang w:eastAsia="en-US"/>
        </w:rPr>
      </w:pPr>
      <w:r>
        <w:rPr>
          <w:rFonts w:ascii="Traditional Arabic" w:hAnsi="Traditional Arabic" w:hint="cs"/>
          <w:b/>
          <w:bCs/>
          <w:noProof w:val="0"/>
          <w:rtl/>
          <w:lang w:eastAsia="en-US"/>
        </w:rPr>
        <w:t xml:space="preserve">                             </w:t>
      </w:r>
    </w:p>
    <w:p w:rsidR="00D514D2" w:rsidRDefault="00D514D2" w:rsidP="00597C20">
      <w:pPr>
        <w:ind w:firstLine="720"/>
        <w:rPr>
          <w:rFonts w:ascii="Traditional Arabic" w:hAnsi="Traditional Arabic"/>
          <w:sz w:val="32"/>
          <w:szCs w:val="32"/>
          <w:rtl/>
        </w:rPr>
      </w:pPr>
    </w:p>
    <w:p w:rsidR="00B22F18" w:rsidRPr="00822C6A" w:rsidRDefault="00B22F18" w:rsidP="00597C20">
      <w:pPr>
        <w:ind w:firstLine="720"/>
        <w:rPr>
          <w:rFonts w:ascii="Traditional Arabic" w:hAnsi="Traditional Arabic"/>
          <w:sz w:val="32"/>
          <w:szCs w:val="32"/>
        </w:rPr>
      </w:pPr>
    </w:p>
    <w:p w:rsidR="00EA1AAD" w:rsidRPr="00C85F0F" w:rsidRDefault="00EA1AAD" w:rsidP="000F5C0F">
      <w:pPr>
        <w:pStyle w:val="aff2"/>
        <w:rPr>
          <w:rtl/>
        </w:rPr>
      </w:pPr>
      <w:bookmarkStart w:id="136" w:name="_Toc334046383"/>
      <w:r w:rsidRPr="00EA1AAD">
        <w:rPr>
          <w:rFonts w:hint="cs"/>
          <w:rtl/>
        </w:rPr>
        <w:lastRenderedPageBreak/>
        <w:t>المبحث الرابع</w:t>
      </w:r>
      <w:r>
        <w:rPr>
          <w:rFonts w:hint="eastAsia"/>
          <w:rtl/>
        </w:rPr>
        <w:t> :</w:t>
      </w:r>
      <w:r>
        <w:rPr>
          <w:rFonts w:hint="cs"/>
          <w:rtl/>
        </w:rPr>
        <w:br/>
        <w:t>قاعدة</w:t>
      </w:r>
      <w:r>
        <w:rPr>
          <w:rtl/>
        </w:rPr>
        <w:br/>
      </w:r>
      <w:r>
        <w:rPr>
          <w:rFonts w:hint="cs"/>
          <w:rtl/>
        </w:rPr>
        <w:t>"</w:t>
      </w:r>
      <w:r w:rsidRPr="00704CEF">
        <w:rPr>
          <w:rtl/>
        </w:rPr>
        <w:t>ﺇنما الأعمال بالني</w:t>
      </w:r>
      <w:r>
        <w:rPr>
          <w:rtl/>
        </w:rPr>
        <w:t>ّ</w:t>
      </w:r>
      <w:r w:rsidRPr="00704CEF">
        <w:rPr>
          <w:rtl/>
        </w:rPr>
        <w:t>ات</w:t>
      </w:r>
      <w:r w:rsidR="0057676A">
        <w:rPr>
          <w:rFonts w:hint="cs"/>
          <w:rtl/>
        </w:rPr>
        <w:t>"</w:t>
      </w:r>
      <w:r w:rsidR="004C0180" w:rsidRPr="004C0180">
        <w:rPr>
          <w:rFonts w:hint="cs"/>
          <w:b w:val="0"/>
          <w:bCs w:val="0"/>
          <w:vertAlign w:val="superscript"/>
          <w:rtl/>
        </w:rPr>
        <w:t>(</w:t>
      </w:r>
      <w:r w:rsidR="0057676A" w:rsidRPr="004C0180">
        <w:rPr>
          <w:rStyle w:val="af1"/>
          <w:b w:val="0"/>
          <w:bCs w:val="0"/>
          <w:rtl/>
        </w:rPr>
        <w:footnoteReference w:id="682"/>
      </w:r>
      <w:r w:rsidR="004C0180" w:rsidRPr="004C0180">
        <w:rPr>
          <w:rFonts w:hint="cs"/>
          <w:b w:val="0"/>
          <w:bCs w:val="0"/>
          <w:vertAlign w:val="superscript"/>
          <w:rtl/>
        </w:rPr>
        <w:t>)</w:t>
      </w:r>
      <w:r w:rsidR="00AB0B9E" w:rsidRPr="00C85F0F">
        <w:rPr>
          <w:rtl/>
        </w:rPr>
        <w:fldChar w:fldCharType="begin"/>
      </w:r>
      <w:r w:rsidR="003504FF" w:rsidRPr="00C85F0F">
        <w:instrText>XE</w:instrText>
      </w:r>
      <w:r w:rsidR="003504FF" w:rsidRPr="00C85F0F">
        <w:rPr>
          <w:rtl/>
        </w:rPr>
        <w:instrText xml:space="preserve"> "</w:instrText>
      </w:r>
      <w:r w:rsidR="003504FF" w:rsidRPr="00C85F0F">
        <w:rPr>
          <w:rFonts w:hint="cs"/>
          <w:rtl/>
        </w:rPr>
        <w:instrText>ﺇنماالأعمالبالنيّات</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bookmarkEnd w:id="136"/>
    </w:p>
    <w:p w:rsidR="00EA1AAD" w:rsidRPr="00C85F0F" w:rsidRDefault="0057676A" w:rsidP="00A8347C">
      <w:pPr>
        <w:pStyle w:val="aff3"/>
        <w:rPr>
          <w:rtl/>
        </w:rPr>
      </w:pPr>
      <w:bookmarkStart w:id="137" w:name="_Toc334046384"/>
      <w:r>
        <w:rPr>
          <w:rFonts w:hint="cs"/>
          <w:rtl/>
        </w:rPr>
        <w:t xml:space="preserve">                   </w:t>
      </w:r>
      <w:r w:rsidR="00F34333">
        <w:rPr>
          <w:rFonts w:hint="cs"/>
          <w:rtl/>
        </w:rPr>
        <w:t xml:space="preserve">                       </w:t>
      </w:r>
      <w:r w:rsidR="00EA1AAD" w:rsidRPr="00C85F0F">
        <w:rPr>
          <w:rFonts w:hint="cs"/>
          <w:rtl/>
        </w:rPr>
        <w:t>المطلب الأول</w:t>
      </w:r>
      <w:r w:rsidR="00EA1AAD" w:rsidRPr="00C85F0F">
        <w:rPr>
          <w:rFonts w:hint="eastAsia"/>
          <w:rtl/>
        </w:rPr>
        <w:t> :</w:t>
      </w:r>
      <w:r w:rsidR="00EA1AAD" w:rsidRPr="00C85F0F">
        <w:rPr>
          <w:rFonts w:hint="cs"/>
          <w:rtl/>
        </w:rPr>
        <w:br/>
      </w:r>
      <w:r>
        <w:rPr>
          <w:rFonts w:hint="cs"/>
          <w:rtl/>
        </w:rPr>
        <w:t xml:space="preserve">            </w:t>
      </w:r>
      <w:r w:rsidR="00F34333">
        <w:rPr>
          <w:rFonts w:hint="cs"/>
          <w:rtl/>
        </w:rPr>
        <w:t xml:space="preserve">           </w:t>
      </w:r>
      <w:r w:rsidR="00EA1AAD" w:rsidRPr="00C85F0F">
        <w:rPr>
          <w:rFonts w:hint="cs"/>
          <w:rtl/>
        </w:rPr>
        <w:t>صيغ القاعدة عند الشيخ وعند علماء القواعد</w:t>
      </w:r>
      <w:bookmarkEnd w:id="137"/>
    </w:p>
    <w:p w:rsidR="00EA1AAD" w:rsidRDefault="00B22F18" w:rsidP="0057676A">
      <w:pPr>
        <w:pStyle w:val="af5"/>
        <w:spacing w:before="0" w:after="0"/>
        <w:jc w:val="lowKashida"/>
        <w:rPr>
          <w:rtl/>
        </w:rPr>
      </w:pPr>
      <w:r>
        <w:rPr>
          <w:rFonts w:hint="cs"/>
          <w:rtl/>
        </w:rPr>
        <w:t xml:space="preserve">    </w:t>
      </w:r>
      <w:r w:rsidR="00EA1AAD" w:rsidRPr="00C85F0F">
        <w:rPr>
          <w:rFonts w:hint="cs"/>
          <w:rtl/>
        </w:rPr>
        <w:t>وردت هذه</w:t>
      </w:r>
      <w:r w:rsidR="0057676A">
        <w:rPr>
          <w:rFonts w:hint="cs"/>
          <w:rtl/>
        </w:rPr>
        <w:t xml:space="preserve"> القاعدة عند الشيخ ابن عثيمين _رح</w:t>
      </w:r>
      <w:r w:rsidR="00EA1AAD" w:rsidRPr="00C85F0F">
        <w:rPr>
          <w:rFonts w:hint="cs"/>
          <w:rtl/>
        </w:rPr>
        <w:t>مه الله</w:t>
      </w:r>
      <w:r w:rsidR="0057676A">
        <w:rPr>
          <w:rFonts w:hint="cs"/>
          <w:rtl/>
        </w:rPr>
        <w:t xml:space="preserve">_ </w:t>
      </w:r>
      <w:r w:rsidR="004C0180">
        <w:rPr>
          <w:rFonts w:hint="cs"/>
          <w:rtl/>
        </w:rPr>
        <w:t>بصيغ</w:t>
      </w:r>
      <w:r w:rsidR="00EA1AAD" w:rsidRPr="00C85F0F">
        <w:rPr>
          <w:rFonts w:hint="cs"/>
          <w:rtl/>
        </w:rPr>
        <w:t xml:space="preserve"> متعددة،</w:t>
      </w:r>
      <w:r w:rsidR="0057676A">
        <w:rPr>
          <w:rFonts w:hint="cs"/>
          <w:rtl/>
        </w:rPr>
        <w:t xml:space="preserve"> منها:</w:t>
      </w:r>
    </w:p>
    <w:p w:rsidR="00865918" w:rsidRDefault="00865918" w:rsidP="000A76C7">
      <w:pPr>
        <w:pStyle w:val="afc"/>
        <w:numPr>
          <w:ilvl w:val="0"/>
          <w:numId w:val="327"/>
        </w:numPr>
        <w:jc w:val="lowKashida"/>
        <w:rPr>
          <w:rFonts w:ascii="Traditional Arabic" w:hAnsi="Traditional Arabic"/>
        </w:rPr>
      </w:pPr>
      <w:r w:rsidRPr="00865918">
        <w:rPr>
          <w:rFonts w:ascii="Traditional Arabic" w:hAnsi="Traditional Arabic" w:hint="cs"/>
          <w:rtl/>
        </w:rPr>
        <w:t>العبرة في الأفعال بالمقاصد</w:t>
      </w:r>
      <w:r w:rsidRPr="00865918">
        <w:rPr>
          <w:rStyle w:val="af1"/>
          <w:rFonts w:ascii="Traditional Arabic" w:hAnsi="Traditional Arabic"/>
          <w:szCs w:val="32"/>
          <w:rtl/>
        </w:rPr>
        <w:t>(</w:t>
      </w:r>
      <w:r w:rsidRPr="00C85F0F">
        <w:rPr>
          <w:rStyle w:val="af1"/>
          <w:rFonts w:ascii="Traditional Arabic" w:hAnsi="Traditional Arabic"/>
          <w:szCs w:val="32"/>
          <w:rtl/>
        </w:rPr>
        <w:footnoteReference w:id="683"/>
      </w:r>
      <w:r w:rsidRPr="00865918">
        <w:rPr>
          <w:rStyle w:val="af1"/>
          <w:rFonts w:ascii="Traditional Arabic" w:hAnsi="Traditional Arabic"/>
          <w:szCs w:val="32"/>
          <w:rtl/>
        </w:rPr>
        <w:t>)</w:t>
      </w:r>
      <w:r w:rsidRPr="00865918">
        <w:rPr>
          <w:rFonts w:ascii="Traditional Arabic" w:hAnsi="Traditional Arabic" w:hint="cs"/>
          <w:rtl/>
        </w:rPr>
        <w:t>.</w:t>
      </w:r>
    </w:p>
    <w:p w:rsidR="00865918" w:rsidRDefault="00865918" w:rsidP="000A76C7">
      <w:pPr>
        <w:pStyle w:val="afc"/>
        <w:numPr>
          <w:ilvl w:val="0"/>
          <w:numId w:val="327"/>
        </w:numPr>
        <w:jc w:val="lowKashida"/>
        <w:rPr>
          <w:rFonts w:ascii="Traditional Arabic" w:hAnsi="Traditional Arabic"/>
        </w:rPr>
      </w:pPr>
      <w:r w:rsidRPr="00C85F0F">
        <w:rPr>
          <w:rFonts w:ascii="Traditional Arabic" w:hAnsi="Traditional Arabic" w:hint="cs"/>
          <w:rtl/>
        </w:rPr>
        <w:t>الأعمال بالنيات</w:t>
      </w:r>
      <w:r w:rsidRPr="00C85F0F">
        <w:rPr>
          <w:rStyle w:val="af1"/>
          <w:rFonts w:ascii="Traditional Arabic" w:hAnsi="Traditional Arabic"/>
          <w:szCs w:val="32"/>
          <w:rtl/>
        </w:rPr>
        <w:t>(</w:t>
      </w:r>
      <w:r w:rsidRPr="00C85F0F">
        <w:rPr>
          <w:rStyle w:val="af1"/>
          <w:rFonts w:ascii="Traditional Arabic" w:hAnsi="Traditional Arabic"/>
          <w:szCs w:val="32"/>
          <w:rtl/>
        </w:rPr>
        <w:footnoteReference w:id="684"/>
      </w:r>
      <w:r w:rsidRPr="00C85F0F">
        <w:rPr>
          <w:rStyle w:val="af1"/>
          <w:rFonts w:ascii="Traditional Arabic" w:hAnsi="Traditional Arabic"/>
          <w:szCs w:val="32"/>
          <w:rtl/>
        </w:rPr>
        <w:t>)</w:t>
      </w:r>
      <w:r w:rsidRPr="00C85F0F">
        <w:rPr>
          <w:rFonts w:ascii="Traditional Arabic" w:hAnsi="Traditional Arabic" w:hint="cs"/>
          <w:rtl/>
        </w:rPr>
        <w:t>.</w:t>
      </w:r>
    </w:p>
    <w:p w:rsidR="004C0180" w:rsidRPr="00865918" w:rsidRDefault="004C0180" w:rsidP="000A76C7">
      <w:pPr>
        <w:pStyle w:val="afc"/>
        <w:numPr>
          <w:ilvl w:val="0"/>
          <w:numId w:val="327"/>
        </w:numPr>
        <w:jc w:val="lowKashida"/>
        <w:rPr>
          <w:rFonts w:ascii="Traditional Arabic" w:hAnsi="Traditional Arabic"/>
          <w:vertAlign w:val="superscript"/>
          <w:rtl/>
        </w:rPr>
      </w:pPr>
      <w:r w:rsidRPr="00865918">
        <w:rPr>
          <w:rFonts w:ascii="Traditional Arabic" w:hAnsi="Traditional Arabic" w:hint="cs"/>
          <w:rtl/>
        </w:rPr>
        <w:t>الأمور بمقاصدها</w:t>
      </w:r>
      <w:r w:rsidRPr="00865918">
        <w:rPr>
          <w:rStyle w:val="af1"/>
          <w:rFonts w:ascii="Traditional Arabic" w:hAnsi="Traditional Arabic"/>
          <w:szCs w:val="32"/>
          <w:rtl/>
        </w:rPr>
        <w:t>(</w:t>
      </w:r>
      <w:r w:rsidRPr="00C85F0F">
        <w:rPr>
          <w:rStyle w:val="af1"/>
          <w:rFonts w:ascii="Traditional Arabic" w:hAnsi="Traditional Arabic"/>
          <w:szCs w:val="32"/>
          <w:rtl/>
        </w:rPr>
        <w:footnoteReference w:id="685"/>
      </w:r>
      <w:r w:rsidRPr="00865918">
        <w:rPr>
          <w:rStyle w:val="af1"/>
          <w:rFonts w:ascii="Traditional Arabic" w:hAnsi="Traditional Arabic"/>
          <w:szCs w:val="32"/>
          <w:rtl/>
        </w:rPr>
        <w:t>)</w:t>
      </w:r>
      <w:r>
        <w:rPr>
          <w:rFonts w:ascii="Traditional Arabic" w:hAnsi="Traditional Arabic" w:hint="cs"/>
          <w:rtl/>
        </w:rPr>
        <w:t>.</w:t>
      </w:r>
    </w:p>
    <w:p w:rsidR="004C0180" w:rsidRDefault="004C0180" w:rsidP="000A76C7">
      <w:pPr>
        <w:pStyle w:val="afc"/>
        <w:numPr>
          <w:ilvl w:val="0"/>
          <w:numId w:val="327"/>
        </w:numPr>
        <w:jc w:val="lowKashida"/>
        <w:rPr>
          <w:rFonts w:ascii="Traditional Arabic" w:hAnsi="Traditional Arabic"/>
        </w:rPr>
      </w:pPr>
      <w:r>
        <w:rPr>
          <w:rFonts w:ascii="Traditional Arabic" w:hAnsi="Traditional Arabic" w:hint="cs"/>
          <w:rtl/>
        </w:rPr>
        <w:t>إنما الأعمال بالنيات</w:t>
      </w:r>
      <w:r w:rsidRPr="004C0180">
        <w:rPr>
          <w:rFonts w:ascii="Traditional Arabic" w:hAnsi="Traditional Arabic" w:hint="cs"/>
          <w:vertAlign w:val="superscript"/>
          <w:rtl/>
        </w:rPr>
        <w:t>(</w:t>
      </w:r>
      <w:r w:rsidRPr="004C0180">
        <w:rPr>
          <w:rStyle w:val="af1"/>
          <w:rFonts w:ascii="Traditional Arabic" w:hAnsi="Traditional Arabic"/>
          <w:rtl/>
        </w:rPr>
        <w:footnoteReference w:id="686"/>
      </w:r>
      <w:r w:rsidRPr="004C0180">
        <w:rPr>
          <w:rFonts w:ascii="Traditional Arabic" w:hAnsi="Traditional Arabic" w:hint="cs"/>
          <w:vertAlign w:val="superscript"/>
          <w:rtl/>
        </w:rPr>
        <w:t>)</w:t>
      </w:r>
      <w:r>
        <w:rPr>
          <w:rFonts w:ascii="Traditional Arabic" w:hAnsi="Traditional Arabic" w:hint="cs"/>
          <w:rtl/>
        </w:rPr>
        <w:t>.</w:t>
      </w:r>
    </w:p>
    <w:p w:rsidR="00865918" w:rsidRDefault="00865918" w:rsidP="000A76C7">
      <w:pPr>
        <w:pStyle w:val="afc"/>
        <w:numPr>
          <w:ilvl w:val="0"/>
          <w:numId w:val="327"/>
        </w:numPr>
        <w:jc w:val="lowKashida"/>
        <w:rPr>
          <w:rFonts w:ascii="Traditional Arabic" w:hAnsi="Traditional Arabic"/>
        </w:rPr>
      </w:pPr>
      <w:r>
        <w:rPr>
          <w:rFonts w:ascii="Traditional Arabic" w:hAnsi="Traditional Arabic" w:hint="cs"/>
          <w:rtl/>
        </w:rPr>
        <w:lastRenderedPageBreak/>
        <w:t>العبرة بالمقاص</w:t>
      </w:r>
      <w:r>
        <w:rPr>
          <w:rFonts w:hint="cs"/>
          <w:rtl/>
        </w:rPr>
        <w:t>د</w:t>
      </w:r>
      <w:r>
        <w:rPr>
          <w:rStyle w:val="af1"/>
          <w:rtl/>
        </w:rPr>
        <w:t>(</w:t>
      </w:r>
      <w:r w:rsidRPr="00E35287">
        <w:rPr>
          <w:rStyle w:val="af1"/>
          <w:rtl/>
        </w:rPr>
        <w:footnoteReference w:id="687"/>
      </w:r>
      <w:r>
        <w:rPr>
          <w:rStyle w:val="af1"/>
          <w:rtl/>
        </w:rPr>
        <w:t>)</w:t>
      </w:r>
      <w:r>
        <w:rPr>
          <w:rFonts w:ascii="Traditional Arabic" w:hAnsi="Traditional Arabic" w:hint="cs"/>
          <w:rtl/>
        </w:rPr>
        <w:t>.</w:t>
      </w:r>
    </w:p>
    <w:p w:rsidR="00865918" w:rsidRPr="00865918" w:rsidRDefault="00865918" w:rsidP="000A76C7">
      <w:pPr>
        <w:pStyle w:val="afc"/>
        <w:numPr>
          <w:ilvl w:val="0"/>
          <w:numId w:val="327"/>
        </w:numPr>
        <w:jc w:val="lowKashida"/>
        <w:rPr>
          <w:rFonts w:ascii="Traditional Arabic" w:hAnsi="Traditional Arabic"/>
          <w:rtl/>
        </w:rPr>
      </w:pPr>
      <w:r w:rsidRPr="00865918">
        <w:rPr>
          <w:rFonts w:ascii="Traditional Arabic" w:hAnsi="Traditional Arabic" w:hint="cs"/>
          <w:rtl/>
        </w:rPr>
        <w:t>العبرة في الأمور بمقاصدها</w:t>
      </w:r>
      <w:r w:rsidRPr="00865918">
        <w:rPr>
          <w:rStyle w:val="af1"/>
          <w:rFonts w:ascii="Traditional Arabic" w:hAnsi="Traditional Arabic"/>
          <w:szCs w:val="32"/>
          <w:rtl/>
        </w:rPr>
        <w:t>(</w:t>
      </w:r>
      <w:r w:rsidRPr="00C85F0F">
        <w:rPr>
          <w:rStyle w:val="af1"/>
          <w:rFonts w:ascii="Traditional Arabic" w:hAnsi="Traditional Arabic"/>
          <w:szCs w:val="32"/>
          <w:rtl/>
        </w:rPr>
        <w:footnoteReference w:id="688"/>
      </w:r>
      <w:r w:rsidRPr="00865918">
        <w:rPr>
          <w:rStyle w:val="af1"/>
          <w:rFonts w:ascii="Traditional Arabic" w:hAnsi="Traditional Arabic"/>
          <w:szCs w:val="32"/>
          <w:rtl/>
        </w:rPr>
        <w:t>)</w:t>
      </w:r>
      <w:r w:rsidRPr="00865918">
        <w:rPr>
          <w:rFonts w:ascii="Traditional Arabic" w:hAnsi="Traditional Arabic" w:hint="cs"/>
          <w:rtl/>
        </w:rPr>
        <w:t>.</w:t>
      </w:r>
    </w:p>
    <w:p w:rsidR="00EA1AAD" w:rsidRPr="00865918" w:rsidRDefault="00865918" w:rsidP="000A76C7">
      <w:pPr>
        <w:pStyle w:val="afc"/>
        <w:numPr>
          <w:ilvl w:val="0"/>
          <w:numId w:val="327"/>
        </w:numPr>
        <w:jc w:val="lowKashida"/>
        <w:rPr>
          <w:rFonts w:ascii="Traditional Arabic" w:hAnsi="Traditional Arabic"/>
          <w:rtl/>
        </w:rPr>
      </w:pPr>
      <w:r w:rsidRPr="00865918">
        <w:rPr>
          <w:rFonts w:ascii="Traditional Arabic" w:hAnsi="Traditional Arabic" w:hint="cs"/>
          <w:rtl/>
        </w:rPr>
        <w:t>الحكم على ا</w:t>
      </w:r>
      <w:r w:rsidRPr="00865918">
        <w:rPr>
          <w:rFonts w:ascii="Traditional Arabic" w:hAnsi="Traditional Arabic"/>
          <w:rtl/>
        </w:rPr>
        <w:t>ﻹ</w:t>
      </w:r>
      <w:r w:rsidRPr="00865918">
        <w:rPr>
          <w:rFonts w:ascii="Traditional Arabic" w:hAnsi="Traditional Arabic" w:hint="cs"/>
          <w:rtl/>
        </w:rPr>
        <w:t>نسان بني</w:t>
      </w:r>
      <w:r w:rsidRPr="00865918">
        <w:rPr>
          <w:rFonts w:ascii="Traditional Arabic" w:hAnsi="Traditional Arabic"/>
          <w:rtl/>
        </w:rPr>
        <w:t>ّ</w:t>
      </w:r>
      <w:r w:rsidRPr="00865918">
        <w:rPr>
          <w:rFonts w:ascii="Traditional Arabic" w:hAnsi="Traditional Arabic" w:hint="cs"/>
          <w:rtl/>
        </w:rPr>
        <w:t>ته</w:t>
      </w:r>
      <w:r w:rsidRPr="00865918">
        <w:rPr>
          <w:rStyle w:val="af1"/>
          <w:rFonts w:ascii="Traditional Arabic" w:hAnsi="Traditional Arabic"/>
          <w:szCs w:val="32"/>
          <w:rtl/>
        </w:rPr>
        <w:t>(</w:t>
      </w:r>
      <w:r w:rsidRPr="00C85F0F">
        <w:rPr>
          <w:rStyle w:val="af1"/>
          <w:rFonts w:ascii="Traditional Arabic" w:hAnsi="Traditional Arabic"/>
          <w:szCs w:val="32"/>
          <w:rtl/>
        </w:rPr>
        <w:footnoteReference w:id="689"/>
      </w:r>
      <w:r w:rsidRPr="00865918">
        <w:rPr>
          <w:rStyle w:val="af1"/>
          <w:rFonts w:ascii="Traditional Arabic" w:hAnsi="Traditional Arabic"/>
          <w:szCs w:val="32"/>
          <w:rtl/>
        </w:rPr>
        <w:t>)</w:t>
      </w:r>
      <w:r w:rsidRPr="00865918">
        <w:rPr>
          <w:rFonts w:ascii="Traditional Arabic" w:hAnsi="Traditional Arabic" w:hint="cs"/>
          <w:rtl/>
        </w:rPr>
        <w:t>.</w:t>
      </w:r>
    </w:p>
    <w:p w:rsidR="00EA1AAD" w:rsidRDefault="00B22F18" w:rsidP="004C0180">
      <w:pPr>
        <w:ind w:firstLine="0"/>
        <w:jc w:val="lowKashida"/>
        <w:rPr>
          <w:rFonts w:ascii="Traditional Arabic" w:hAnsi="Traditional Arabic"/>
          <w:rtl/>
        </w:rPr>
      </w:pPr>
      <w:r>
        <w:rPr>
          <w:rFonts w:ascii="Traditional Arabic" w:hAnsi="Traditional Arabic" w:hint="cs"/>
          <w:rtl/>
        </w:rPr>
        <w:t xml:space="preserve">    </w:t>
      </w:r>
      <w:r w:rsidR="004C0180">
        <w:rPr>
          <w:rFonts w:ascii="Traditional Arabic" w:hAnsi="Traditional Arabic" w:hint="cs"/>
          <w:rtl/>
        </w:rPr>
        <w:t>و</w:t>
      </w:r>
      <w:r w:rsidR="00EA1AAD" w:rsidRPr="00C85F0F">
        <w:rPr>
          <w:rFonts w:ascii="Traditional Arabic" w:hAnsi="Traditional Arabic" w:hint="cs"/>
          <w:rtl/>
        </w:rPr>
        <w:t>من الصيغ التي وردت بها القاعدة عند علماء القواعد:</w:t>
      </w:r>
    </w:p>
    <w:p w:rsidR="004C0180" w:rsidRDefault="004C0180" w:rsidP="000A76C7">
      <w:pPr>
        <w:pStyle w:val="afc"/>
        <w:numPr>
          <w:ilvl w:val="0"/>
          <w:numId w:val="328"/>
        </w:numPr>
        <w:jc w:val="lowKashida"/>
        <w:rPr>
          <w:rFonts w:ascii="Traditional Arabic" w:hAnsi="Traditional Arabic"/>
        </w:rPr>
      </w:pPr>
      <w:r w:rsidRPr="00C85F0F">
        <w:rPr>
          <w:rFonts w:ascii="Traditional Arabic" w:hAnsi="Traditional Arabic" w:hint="cs"/>
          <w:rtl/>
        </w:rPr>
        <w:t>الأمور بمقاصدها</w:t>
      </w:r>
      <w:r w:rsidRPr="00C85F0F">
        <w:rPr>
          <w:rStyle w:val="af1"/>
          <w:rFonts w:ascii="Traditional Arabic" w:hAnsi="Traditional Arabic"/>
          <w:szCs w:val="32"/>
          <w:rtl/>
        </w:rPr>
        <w:t>(</w:t>
      </w:r>
      <w:r w:rsidRPr="00C85F0F">
        <w:rPr>
          <w:rStyle w:val="af1"/>
          <w:rFonts w:ascii="Traditional Arabic" w:hAnsi="Traditional Arabic"/>
          <w:szCs w:val="32"/>
          <w:rtl/>
        </w:rPr>
        <w:footnoteReference w:id="690"/>
      </w:r>
      <w:r w:rsidRPr="00C85F0F">
        <w:rPr>
          <w:rStyle w:val="af1"/>
          <w:rFonts w:ascii="Traditional Arabic" w:hAnsi="Traditional Arabic"/>
          <w:szCs w:val="32"/>
          <w:rtl/>
        </w:rPr>
        <w:t>)</w:t>
      </w:r>
      <w:r w:rsidRPr="00C85F0F">
        <w:rPr>
          <w:rFonts w:ascii="Traditional Arabic" w:hAnsi="Traditional Arabic" w:hint="cs"/>
          <w:rtl/>
        </w:rPr>
        <w:t>.</w:t>
      </w:r>
    </w:p>
    <w:p w:rsidR="004C0180" w:rsidRPr="004C0180" w:rsidRDefault="004C0180" w:rsidP="000A76C7">
      <w:pPr>
        <w:pStyle w:val="afc"/>
        <w:numPr>
          <w:ilvl w:val="0"/>
          <w:numId w:val="328"/>
        </w:numPr>
        <w:jc w:val="lowKashida"/>
        <w:rPr>
          <w:rFonts w:ascii="Traditional Arabic" w:hAnsi="Traditional Arabic"/>
          <w:rtl/>
        </w:rPr>
      </w:pPr>
      <w:r w:rsidRPr="004C0180">
        <w:rPr>
          <w:rFonts w:ascii="Traditional Arabic" w:hAnsi="Traditional Arabic"/>
          <w:rtl/>
        </w:rPr>
        <w:t>ﺇ</w:t>
      </w:r>
      <w:r w:rsidRPr="004C0180">
        <w:rPr>
          <w:rFonts w:ascii="Traditional Arabic" w:hAnsi="Traditional Arabic" w:hint="cs"/>
          <w:rtl/>
        </w:rPr>
        <w:t>نما الأعمال بالنيات</w:t>
      </w:r>
      <w:r w:rsidRPr="004C0180">
        <w:rPr>
          <w:rStyle w:val="af1"/>
          <w:rFonts w:ascii="Traditional Arabic" w:hAnsi="Traditional Arabic"/>
          <w:szCs w:val="32"/>
          <w:rtl/>
        </w:rPr>
        <w:t>(</w:t>
      </w:r>
      <w:r w:rsidRPr="00C85F0F">
        <w:rPr>
          <w:rStyle w:val="af1"/>
          <w:rFonts w:ascii="Traditional Arabic" w:hAnsi="Traditional Arabic"/>
          <w:szCs w:val="32"/>
          <w:rtl/>
        </w:rPr>
        <w:footnoteReference w:id="691"/>
      </w:r>
      <w:r w:rsidRPr="004C0180">
        <w:rPr>
          <w:rStyle w:val="af1"/>
          <w:rFonts w:ascii="Traditional Arabic" w:hAnsi="Traditional Arabic"/>
          <w:szCs w:val="32"/>
          <w:rtl/>
        </w:rPr>
        <w:t>)</w:t>
      </w:r>
      <w:r w:rsidRPr="004C0180">
        <w:rPr>
          <w:rFonts w:ascii="Traditional Arabic" w:hAnsi="Traditional Arabic" w:hint="cs"/>
          <w:rtl/>
        </w:rPr>
        <w:t>.</w:t>
      </w:r>
    </w:p>
    <w:p w:rsidR="00EA1AAD" w:rsidRPr="00C85F0F" w:rsidRDefault="004C0180" w:rsidP="00A8347C">
      <w:pPr>
        <w:pStyle w:val="aff3"/>
        <w:rPr>
          <w:rtl/>
        </w:rPr>
      </w:pPr>
      <w:bookmarkStart w:id="138" w:name="_Toc334046385"/>
      <w:r>
        <w:rPr>
          <w:rFonts w:hint="cs"/>
          <w:rtl/>
        </w:rPr>
        <w:t xml:space="preserve">                </w:t>
      </w:r>
      <w:r w:rsidR="00F34333">
        <w:rPr>
          <w:rFonts w:hint="cs"/>
          <w:rtl/>
        </w:rPr>
        <w:t xml:space="preserve">                         </w:t>
      </w:r>
      <w:r w:rsidR="00EA1AAD" w:rsidRPr="00C85F0F">
        <w:rPr>
          <w:rFonts w:hint="cs"/>
          <w:rtl/>
        </w:rPr>
        <w:t>المطلب الثاني</w:t>
      </w:r>
      <w:r w:rsidR="00EA1AAD" w:rsidRPr="00C85F0F">
        <w:rPr>
          <w:rFonts w:hint="eastAsia"/>
          <w:rtl/>
        </w:rPr>
        <w:t> :</w:t>
      </w:r>
      <w:r w:rsidR="00EA1AAD" w:rsidRPr="00C85F0F">
        <w:rPr>
          <w:rFonts w:hint="cs"/>
          <w:rtl/>
        </w:rPr>
        <w:br/>
      </w:r>
      <w:r>
        <w:rPr>
          <w:rFonts w:hint="cs"/>
          <w:rtl/>
        </w:rPr>
        <w:t xml:space="preserve">                </w:t>
      </w:r>
      <w:r w:rsidR="00F34333">
        <w:rPr>
          <w:rFonts w:hint="cs"/>
          <w:rtl/>
        </w:rPr>
        <w:t xml:space="preserve">                          </w:t>
      </w:r>
      <w:r w:rsidR="00EA1AAD" w:rsidRPr="00C85F0F">
        <w:rPr>
          <w:rFonts w:hint="cs"/>
          <w:rtl/>
        </w:rPr>
        <w:t>شرح القاعدة</w:t>
      </w:r>
      <w:bookmarkEnd w:id="138"/>
    </w:p>
    <w:p w:rsidR="00822C6A" w:rsidRDefault="00EA1AAD" w:rsidP="000F5C0F">
      <w:pPr>
        <w:pStyle w:val="53"/>
        <w:rPr>
          <w:b w:val="0"/>
          <w:rtl/>
        </w:rPr>
      </w:pPr>
      <w:r w:rsidRPr="000F5C0F">
        <w:rPr>
          <w:rFonts w:hint="cs"/>
          <w:rtl/>
        </w:rPr>
        <w:t>الأعمال</w:t>
      </w:r>
      <w:r w:rsidR="00D514D2">
        <w:t xml:space="preserve"> </w:t>
      </w:r>
      <w:r w:rsidR="00AB0B9E" w:rsidRPr="000F5C0F">
        <w:fldChar w:fldCharType="begin"/>
      </w:r>
      <w:r w:rsidR="00CC17B4" w:rsidRPr="000F5C0F">
        <w:instrText>XE</w:instrText>
      </w:r>
      <w:r w:rsidR="00CC17B4" w:rsidRPr="000F5C0F">
        <w:rPr>
          <w:rtl/>
        </w:rPr>
        <w:instrText xml:space="preserve"> "</w:instrText>
      </w:r>
      <w:r w:rsidR="00CC17B4" w:rsidRPr="000F5C0F">
        <w:rPr>
          <w:rFonts w:hint="cs"/>
          <w:rtl/>
        </w:rPr>
        <w:instrText>الأعمال</w:instrText>
      </w:r>
      <w:r w:rsidR="00CC17B4" w:rsidRPr="000F5C0F">
        <w:rPr>
          <w:rtl/>
        </w:rPr>
        <w:instrText>" \</w:instrText>
      </w:r>
      <w:r w:rsidR="00CC17B4" w:rsidRPr="000F5C0F">
        <w:instrText>fm</w:instrText>
      </w:r>
      <w:r w:rsidR="00AB0B9E" w:rsidRPr="000F5C0F">
        <w:fldChar w:fldCharType="end"/>
      </w:r>
      <w:r>
        <w:rPr>
          <w:rFonts w:hint="cs"/>
          <w:b w:val="0"/>
          <w:rtl/>
        </w:rPr>
        <w:t>لغة:</w:t>
      </w:r>
    </w:p>
    <w:p w:rsidR="00EA1AAD" w:rsidRDefault="00EA1AAD" w:rsidP="00597C20">
      <w:pPr>
        <w:ind w:firstLine="720"/>
        <w:jc w:val="lowKashida"/>
        <w:rPr>
          <w:rFonts w:ascii="Traditional Arabic" w:hAnsi="Traditional Arabic"/>
          <w:rtl/>
        </w:rPr>
      </w:pPr>
      <w:r>
        <w:rPr>
          <w:rFonts w:ascii="Traditional Arabic" w:hAnsi="Traditional Arabic" w:hint="cs"/>
          <w:rtl/>
        </w:rPr>
        <w:t>جمع عمل،</w:t>
      </w:r>
      <w:r w:rsidR="006D1EA8">
        <w:rPr>
          <w:rFonts w:ascii="Traditional Arabic" w:hAnsi="Traditional Arabic" w:hint="cs"/>
          <w:rtl/>
        </w:rPr>
        <w:t xml:space="preserve"> و</w:t>
      </w:r>
      <w:r>
        <w:rPr>
          <w:rFonts w:ascii="Traditional Arabic" w:hAnsi="Traditional Arabic" w:hint="cs"/>
          <w:rtl/>
        </w:rPr>
        <w:t>هو ال</w:t>
      </w:r>
      <w:r w:rsidR="006D1EA8">
        <w:rPr>
          <w:rFonts w:ascii="Traditional Arabic" w:hAnsi="Traditional Arabic" w:hint="cs"/>
          <w:rtl/>
        </w:rPr>
        <w:t>ْ</w:t>
      </w:r>
      <w:r>
        <w:rPr>
          <w:rFonts w:ascii="Traditional Arabic" w:hAnsi="Traditional Arabic" w:hint="cs"/>
          <w:rtl/>
        </w:rPr>
        <w:t>م</w:t>
      </w:r>
      <w:r w:rsidR="006D1EA8">
        <w:rPr>
          <w:rFonts w:ascii="Traditional Arabic" w:hAnsi="Traditional Arabic" w:hint="cs"/>
          <w:rtl/>
        </w:rPr>
        <w:t>ِ</w:t>
      </w:r>
      <w:r>
        <w:rPr>
          <w:rFonts w:ascii="Traditional Arabic" w:hAnsi="Traditional Arabic" w:hint="cs"/>
          <w:rtl/>
        </w:rPr>
        <w:t>ه</w:t>
      </w:r>
      <w:r w:rsidR="006D1EA8">
        <w:rPr>
          <w:rFonts w:ascii="Traditional Arabic" w:hAnsi="Traditional Arabic" w:hint="cs"/>
          <w:rtl/>
        </w:rPr>
        <w:t>ْ</w:t>
      </w:r>
      <w:r>
        <w:rPr>
          <w:rFonts w:ascii="Traditional Arabic" w:hAnsi="Traditional Arabic" w:hint="cs"/>
          <w:rtl/>
        </w:rPr>
        <w:t>ن</w:t>
      </w:r>
      <w:r w:rsidR="006D1EA8">
        <w:rPr>
          <w:rFonts w:ascii="Traditional Arabic" w:hAnsi="Traditional Arabic" w:hint="cs"/>
          <w:rtl/>
        </w:rPr>
        <w:t>َ</w:t>
      </w:r>
      <w:r>
        <w:rPr>
          <w:rFonts w:ascii="Traditional Arabic" w:hAnsi="Traditional Arabic" w:hint="cs"/>
          <w:rtl/>
        </w:rPr>
        <w:t>ة والف</w:t>
      </w:r>
      <w:r w:rsidR="006D1EA8">
        <w:rPr>
          <w:rFonts w:ascii="Traditional Arabic" w:hAnsi="Traditional Arabic" w:hint="cs"/>
          <w:rtl/>
        </w:rPr>
        <w:t>ِ</w:t>
      </w:r>
      <w:r>
        <w:rPr>
          <w:rFonts w:ascii="Traditional Arabic" w:hAnsi="Traditional Arabic" w:hint="cs"/>
          <w:rtl/>
        </w:rPr>
        <w:t>عل</w:t>
      </w:r>
      <w:r w:rsidRPr="00C821A1">
        <w:rPr>
          <w:rStyle w:val="af1"/>
          <w:rFonts w:ascii="Traditional Arabic" w:hAnsi="Traditional Arabic"/>
          <w:szCs w:val="32"/>
          <w:rtl/>
        </w:rPr>
        <w:t>(</w:t>
      </w:r>
      <w:r w:rsidRPr="00C821A1">
        <w:rPr>
          <w:rStyle w:val="af1"/>
          <w:rFonts w:ascii="Traditional Arabic" w:hAnsi="Traditional Arabic"/>
          <w:szCs w:val="32"/>
          <w:rtl/>
        </w:rPr>
        <w:footnoteReference w:id="692"/>
      </w:r>
      <w:r w:rsidRPr="00C821A1">
        <w:rPr>
          <w:rStyle w:val="af1"/>
          <w:rFonts w:ascii="Traditional Arabic" w:hAnsi="Traditional Arabic"/>
          <w:szCs w:val="32"/>
          <w:rtl/>
        </w:rPr>
        <w:t>)</w:t>
      </w:r>
      <w:r>
        <w:rPr>
          <w:rFonts w:ascii="Traditional Arabic" w:hAnsi="Traditional Arabic" w:hint="cs"/>
          <w:rtl/>
        </w:rPr>
        <w:t>،</w:t>
      </w:r>
      <w:r w:rsidR="006D1EA8">
        <w:rPr>
          <w:rFonts w:ascii="Traditional Arabic" w:hAnsi="Traditional Arabic" w:hint="cs"/>
          <w:rtl/>
        </w:rPr>
        <w:t xml:space="preserve"> و</w:t>
      </w:r>
      <w:r>
        <w:rPr>
          <w:rFonts w:ascii="Traditional Arabic" w:hAnsi="Traditional Arabic" w:hint="cs"/>
          <w:rtl/>
        </w:rPr>
        <w:t>ربَّما أُطلِق على حركة النفْس،</w:t>
      </w:r>
      <w:r w:rsidR="006D1EA8">
        <w:rPr>
          <w:rFonts w:ascii="Traditional Arabic" w:hAnsi="Traditional Arabic" w:hint="cs"/>
          <w:rtl/>
        </w:rPr>
        <w:t xml:space="preserve"> </w:t>
      </w:r>
      <w:r>
        <w:rPr>
          <w:rFonts w:ascii="Traditional Arabic" w:hAnsi="Traditional Arabic" w:hint="cs"/>
          <w:rtl/>
        </w:rPr>
        <w:t xml:space="preserve">فهو </w:t>
      </w:r>
      <w:r>
        <w:rPr>
          <w:rFonts w:ascii="Traditional Arabic" w:hAnsi="Traditional Arabic"/>
          <w:rtl/>
        </w:rPr>
        <w:t>ﺇ</w:t>
      </w:r>
      <w:r>
        <w:rPr>
          <w:rFonts w:ascii="Traditional Arabic" w:hAnsi="Traditional Arabic" w:hint="cs"/>
          <w:rtl/>
        </w:rPr>
        <w:t>حداث أمر،</w:t>
      </w:r>
      <w:r w:rsidR="006D1EA8">
        <w:rPr>
          <w:rFonts w:ascii="Traditional Arabic" w:hAnsi="Traditional Arabic" w:hint="cs"/>
          <w:rtl/>
        </w:rPr>
        <w:t xml:space="preserve"> </w:t>
      </w:r>
      <w:r>
        <w:rPr>
          <w:rFonts w:ascii="Traditional Arabic" w:hAnsi="Traditional Arabic" w:hint="cs"/>
          <w:rtl/>
        </w:rPr>
        <w:t>قولاً كان أو فعلاً،</w:t>
      </w:r>
      <w:r w:rsidR="006D1EA8">
        <w:rPr>
          <w:rFonts w:ascii="Traditional Arabic" w:hAnsi="Traditional Arabic" w:hint="cs"/>
          <w:rtl/>
        </w:rPr>
        <w:t xml:space="preserve"> </w:t>
      </w:r>
      <w:r>
        <w:rPr>
          <w:rFonts w:ascii="Traditional Arabic" w:hAnsi="Traditional Arabic" w:hint="cs"/>
          <w:rtl/>
        </w:rPr>
        <w:t>بالجارحة أو بالقلب،</w:t>
      </w:r>
      <w:r w:rsidR="006D1EA8">
        <w:rPr>
          <w:rFonts w:ascii="Traditional Arabic" w:hAnsi="Traditional Arabic" w:hint="cs"/>
          <w:rtl/>
        </w:rPr>
        <w:t xml:space="preserve"> </w:t>
      </w:r>
      <w:r>
        <w:rPr>
          <w:rFonts w:ascii="Traditional Arabic" w:hAnsi="Traditional Arabic" w:hint="cs"/>
          <w:rtl/>
        </w:rPr>
        <w:t xml:space="preserve">لكن الأقرب </w:t>
      </w:r>
      <w:r>
        <w:rPr>
          <w:rFonts w:ascii="Traditional Arabic" w:hAnsi="Traditional Arabic"/>
          <w:rtl/>
        </w:rPr>
        <w:t>ﺇ</w:t>
      </w:r>
      <w:r>
        <w:rPr>
          <w:rFonts w:ascii="Traditional Arabic" w:hAnsi="Traditional Arabic" w:hint="cs"/>
          <w:rtl/>
        </w:rPr>
        <w:t>لى الف</w:t>
      </w:r>
      <w:r w:rsidR="006D1EA8">
        <w:rPr>
          <w:rFonts w:ascii="Traditional Arabic" w:hAnsi="Traditional Arabic" w:hint="cs"/>
          <w:rtl/>
        </w:rPr>
        <w:t>َ</w:t>
      </w:r>
      <w:r>
        <w:rPr>
          <w:rFonts w:ascii="Traditional Arabic" w:hAnsi="Traditional Arabic" w:hint="cs"/>
          <w:rtl/>
        </w:rPr>
        <w:t>هْم اختصاص</w:t>
      </w:r>
      <w:r w:rsidR="006D1EA8">
        <w:rPr>
          <w:rFonts w:ascii="Traditional Arabic" w:hAnsi="Traditional Arabic" w:hint="cs"/>
          <w:rtl/>
        </w:rPr>
        <w:t>ُ</w:t>
      </w:r>
      <w:r>
        <w:rPr>
          <w:rFonts w:ascii="Traditional Arabic" w:hAnsi="Traditional Arabic" w:hint="cs"/>
          <w:rtl/>
        </w:rPr>
        <w:t>ه بالجارحة</w:t>
      </w:r>
      <w:r>
        <w:rPr>
          <w:rFonts w:ascii="Traditional Arabic" w:hAnsi="Traditional Arabic" w:hint="cs"/>
          <w:vertAlign w:val="superscript"/>
          <w:rtl/>
        </w:rPr>
        <w:t xml:space="preserve">. </w:t>
      </w:r>
      <w:r w:rsidRPr="00C821A1">
        <w:rPr>
          <w:rStyle w:val="af1"/>
          <w:rFonts w:ascii="Traditional Arabic" w:hAnsi="Traditional Arabic"/>
          <w:szCs w:val="32"/>
          <w:rtl/>
        </w:rPr>
        <w:t>(</w:t>
      </w:r>
      <w:r w:rsidRPr="00C821A1">
        <w:rPr>
          <w:rStyle w:val="af1"/>
          <w:rFonts w:ascii="Traditional Arabic" w:hAnsi="Traditional Arabic"/>
          <w:szCs w:val="32"/>
          <w:rtl/>
        </w:rPr>
        <w:footnoteReference w:id="693"/>
      </w:r>
      <w:r w:rsidRPr="00C821A1">
        <w:rPr>
          <w:rStyle w:val="af1"/>
          <w:rFonts w:ascii="Traditional Arabic" w:hAnsi="Traditional Arabic"/>
          <w:szCs w:val="32"/>
          <w:rtl/>
        </w:rPr>
        <w:t>)</w:t>
      </w:r>
      <w:r>
        <w:rPr>
          <w:rFonts w:ascii="Traditional Arabic" w:hAnsi="Traditional Arabic" w:hint="cs"/>
          <w:rtl/>
        </w:rPr>
        <w:t>.</w:t>
      </w:r>
    </w:p>
    <w:p w:rsidR="00EA1AAD" w:rsidRPr="00BB2EB5" w:rsidRDefault="00EA1AAD" w:rsidP="00597C20">
      <w:pPr>
        <w:jc w:val="lowKashida"/>
        <w:rPr>
          <w:rFonts w:ascii="Traditional Arabic" w:hAnsi="Traditional Arabic"/>
          <w:rtl/>
        </w:rPr>
      </w:pPr>
      <w:r>
        <w:rPr>
          <w:rFonts w:ascii="Traditional Arabic" w:hAnsi="Traditional Arabic" w:hint="cs"/>
          <w:rtl/>
        </w:rPr>
        <w:t>يقول الشيخ العثيمين:</w:t>
      </w:r>
      <w:r w:rsidR="006D1EA8">
        <w:rPr>
          <w:rFonts w:ascii="Traditional Arabic" w:hAnsi="Traditional Arabic" w:hint="cs"/>
          <w:rtl/>
        </w:rPr>
        <w:t xml:space="preserve"> </w:t>
      </w:r>
      <w:r>
        <w:rPr>
          <w:rFonts w:ascii="Traditional Arabic" w:hAnsi="Traditional Arabic" w:hint="cs"/>
          <w:rtl/>
        </w:rPr>
        <w:t>(و العمل يشمل القول والفعل،بل ويشمل عمل القلب،</w:t>
      </w:r>
      <w:r w:rsidR="006D1EA8">
        <w:rPr>
          <w:rFonts w:ascii="Traditional Arabic" w:hAnsi="Traditional Arabic" w:hint="cs"/>
          <w:rtl/>
        </w:rPr>
        <w:t xml:space="preserve"> </w:t>
      </w:r>
      <w:r>
        <w:rPr>
          <w:rFonts w:ascii="Traditional Arabic" w:hAnsi="Traditional Arabic" w:hint="cs"/>
          <w:rtl/>
        </w:rPr>
        <w:t xml:space="preserve">وهو </w:t>
      </w:r>
      <w:r>
        <w:rPr>
          <w:rFonts w:ascii="Traditional Arabic" w:hAnsi="Traditional Arabic"/>
          <w:rtl/>
        </w:rPr>
        <w:t>ﺇ</w:t>
      </w:r>
      <w:r>
        <w:rPr>
          <w:rFonts w:ascii="Traditional Arabic" w:hAnsi="Traditional Arabic" w:hint="cs"/>
          <w:rtl/>
        </w:rPr>
        <w:t>رادته)</w:t>
      </w:r>
      <w:r w:rsidRPr="00C821A1">
        <w:rPr>
          <w:rStyle w:val="af1"/>
          <w:rFonts w:ascii="Traditional Arabic" w:hAnsi="Traditional Arabic"/>
          <w:szCs w:val="32"/>
          <w:rtl/>
        </w:rPr>
        <w:t>(</w:t>
      </w:r>
      <w:r w:rsidRPr="00C821A1">
        <w:rPr>
          <w:rStyle w:val="af1"/>
          <w:rFonts w:ascii="Traditional Arabic" w:hAnsi="Traditional Arabic"/>
          <w:szCs w:val="32"/>
          <w:rtl/>
        </w:rPr>
        <w:footnoteReference w:id="694"/>
      </w:r>
      <w:r w:rsidRPr="00C821A1">
        <w:rPr>
          <w:rStyle w:val="af1"/>
          <w:rFonts w:ascii="Traditional Arabic" w:hAnsi="Traditional Arabic"/>
          <w:szCs w:val="32"/>
          <w:rtl/>
        </w:rPr>
        <w:t>)</w:t>
      </w:r>
      <w:r>
        <w:rPr>
          <w:rFonts w:ascii="Traditional Arabic" w:hAnsi="Traditional Arabic" w:hint="cs"/>
          <w:rtl/>
        </w:rPr>
        <w:t>.</w:t>
      </w:r>
    </w:p>
    <w:p w:rsidR="00822C6A" w:rsidRDefault="00EA1AAD" w:rsidP="00597C20">
      <w:pPr>
        <w:pStyle w:val="53"/>
        <w:rPr>
          <w:b w:val="0"/>
          <w:rtl/>
        </w:rPr>
      </w:pPr>
      <w:r>
        <w:rPr>
          <w:rFonts w:hint="cs"/>
          <w:b w:val="0"/>
          <w:rtl/>
        </w:rPr>
        <w:lastRenderedPageBreak/>
        <w:t>الني</w:t>
      </w:r>
      <w:r>
        <w:rPr>
          <w:b w:val="0"/>
          <w:rtl/>
        </w:rPr>
        <w:t>ّ</w:t>
      </w:r>
      <w:r>
        <w:rPr>
          <w:rFonts w:hint="cs"/>
          <w:b w:val="0"/>
          <w:rtl/>
        </w:rPr>
        <w:t>ات</w:t>
      </w:r>
      <w:r w:rsidR="00AB0B9E">
        <w:rPr>
          <w:b w:val="0"/>
          <w:rtl/>
        </w:rPr>
        <w:fldChar w:fldCharType="begin"/>
      </w:r>
      <w:r w:rsidR="00CC17B4" w:rsidRPr="00C85F0F">
        <w:rPr>
          <w:bCs w:val="0"/>
        </w:rPr>
        <w:instrText>XE</w:instrText>
      </w:r>
      <w:r w:rsidR="00CC17B4" w:rsidRPr="00C85F0F">
        <w:rPr>
          <w:bCs w:val="0"/>
          <w:rtl/>
        </w:rPr>
        <w:instrText xml:space="preserve"> "</w:instrText>
      </w:r>
      <w:r w:rsidR="00CC17B4" w:rsidRPr="00C85F0F">
        <w:rPr>
          <w:rFonts w:hint="cs"/>
          <w:bCs w:val="0"/>
          <w:rtl/>
        </w:rPr>
        <w:instrText>الني</w:instrText>
      </w:r>
      <w:r w:rsidR="00CC17B4" w:rsidRPr="00C85F0F">
        <w:rPr>
          <w:bCs w:val="0"/>
          <w:rtl/>
        </w:rPr>
        <w:instrText>ّ</w:instrText>
      </w:r>
      <w:r w:rsidR="00CC17B4" w:rsidRPr="00C85F0F">
        <w:rPr>
          <w:rFonts w:hint="cs"/>
          <w:bCs w:val="0"/>
          <w:rtl/>
        </w:rPr>
        <w:instrText>ات</w:instrText>
      </w:r>
      <w:r w:rsidR="00CC17B4" w:rsidRPr="00C85F0F">
        <w:rPr>
          <w:bCs w:val="0"/>
          <w:rtl/>
        </w:rPr>
        <w:instrText>" \</w:instrText>
      </w:r>
      <w:r w:rsidR="00CC17B4" w:rsidRPr="00C85F0F">
        <w:rPr>
          <w:bCs w:val="0"/>
        </w:rPr>
        <w:instrText>f</w:instrText>
      </w:r>
      <w:r w:rsidR="00CC17B4" w:rsidRPr="00CC17B4">
        <w:instrText>m</w:instrText>
      </w:r>
      <w:r w:rsidR="00AB0B9E">
        <w:rPr>
          <w:b w:val="0"/>
          <w:rtl/>
        </w:rPr>
        <w:fldChar w:fldCharType="end"/>
      </w:r>
      <w:r>
        <w:rPr>
          <w:rFonts w:hint="cs"/>
          <w:b w:val="0"/>
          <w:rtl/>
        </w:rPr>
        <w:t xml:space="preserve"> لغة:</w:t>
      </w:r>
    </w:p>
    <w:p w:rsidR="00EA1AAD" w:rsidRDefault="00EA1AAD" w:rsidP="00597C20">
      <w:pPr>
        <w:ind w:firstLine="720"/>
        <w:jc w:val="lowKashida"/>
        <w:rPr>
          <w:rFonts w:ascii="Traditional Arabic" w:hAnsi="Traditional Arabic"/>
          <w:rtl/>
        </w:rPr>
      </w:pPr>
      <w:r>
        <w:rPr>
          <w:rFonts w:ascii="Traditional Arabic" w:hAnsi="Traditional Arabic" w:hint="cs"/>
          <w:rtl/>
        </w:rPr>
        <w:t>جمع ن</w:t>
      </w:r>
      <w:r>
        <w:rPr>
          <w:rFonts w:ascii="Traditional Arabic" w:hAnsi="Traditional Arabic"/>
          <w:rtl/>
        </w:rPr>
        <w:t>ِ</w:t>
      </w:r>
      <w:r>
        <w:rPr>
          <w:rFonts w:ascii="Traditional Arabic" w:hAnsi="Traditional Arabic" w:hint="cs"/>
          <w:rtl/>
        </w:rPr>
        <w:t>ي</w:t>
      </w:r>
      <w:r>
        <w:rPr>
          <w:rFonts w:ascii="Traditional Arabic" w:hAnsi="Traditional Arabic"/>
          <w:rtl/>
        </w:rPr>
        <w:t>ّ</w:t>
      </w:r>
      <w:r>
        <w:rPr>
          <w:rFonts w:ascii="Traditional Arabic" w:hAnsi="Traditional Arabic" w:hint="cs"/>
          <w:rtl/>
        </w:rPr>
        <w:t xml:space="preserve">ة،و </w:t>
      </w:r>
      <w:r w:rsidRPr="003D7DE8">
        <w:rPr>
          <w:rFonts w:ascii="Traditional Arabic" w:hAnsi="Traditional Arabic" w:hint="cs"/>
          <w:b/>
          <w:bCs/>
          <w:rtl/>
        </w:rPr>
        <w:t>النية في اللغة</w:t>
      </w:r>
      <w:r>
        <w:rPr>
          <w:rFonts w:ascii="Traditional Arabic" w:hAnsi="Traditional Arabic" w:hint="cs"/>
          <w:rtl/>
        </w:rPr>
        <w:t xml:space="preserve"> الق</w:t>
      </w:r>
      <w:r>
        <w:rPr>
          <w:rFonts w:ascii="Traditional Arabic" w:hAnsi="Traditional Arabic"/>
          <w:rtl/>
        </w:rPr>
        <w:t>َ</w:t>
      </w:r>
      <w:r>
        <w:rPr>
          <w:rFonts w:ascii="Traditional Arabic" w:hAnsi="Traditional Arabic" w:hint="cs"/>
          <w:rtl/>
        </w:rPr>
        <w:t>ص</w:t>
      </w:r>
      <w:r>
        <w:rPr>
          <w:rFonts w:ascii="Traditional Arabic" w:hAnsi="Traditional Arabic"/>
          <w:rtl/>
        </w:rPr>
        <w:t>ْ</w:t>
      </w:r>
      <w:r>
        <w:rPr>
          <w:rFonts w:ascii="Traditional Arabic" w:hAnsi="Traditional Arabic" w:hint="cs"/>
          <w:rtl/>
        </w:rPr>
        <w:t>د والع</w:t>
      </w:r>
      <w:r>
        <w:rPr>
          <w:rFonts w:ascii="Traditional Arabic" w:hAnsi="Traditional Arabic"/>
          <w:rtl/>
        </w:rPr>
        <w:t>َ</w:t>
      </w:r>
      <w:r>
        <w:rPr>
          <w:rFonts w:ascii="Traditional Arabic" w:hAnsi="Traditional Arabic" w:hint="cs"/>
          <w:rtl/>
        </w:rPr>
        <w:t>ز</w:t>
      </w:r>
      <w:r>
        <w:rPr>
          <w:rFonts w:ascii="Traditional Arabic" w:hAnsi="Traditional Arabic"/>
          <w:rtl/>
        </w:rPr>
        <w:t>ْ</w:t>
      </w:r>
      <w:r>
        <w:rPr>
          <w:rFonts w:ascii="Traditional Arabic" w:hAnsi="Traditional Arabic" w:hint="cs"/>
          <w:rtl/>
        </w:rPr>
        <w:t>م،</w:t>
      </w:r>
      <w:r w:rsidR="009C1A6E">
        <w:rPr>
          <w:rFonts w:ascii="Traditional Arabic" w:hAnsi="Traditional Arabic" w:hint="cs"/>
          <w:rtl/>
        </w:rPr>
        <w:t xml:space="preserve"> </w:t>
      </w:r>
      <w:r>
        <w:rPr>
          <w:rFonts w:ascii="Traditional Arabic" w:hAnsi="Traditional Arabic" w:hint="cs"/>
          <w:rtl/>
        </w:rPr>
        <w:t>تقول نوى الأمر ينويه،</w:t>
      </w:r>
      <w:r w:rsidR="009C1A6E">
        <w:rPr>
          <w:rFonts w:ascii="Traditional Arabic" w:hAnsi="Traditional Arabic" w:hint="cs"/>
          <w:rtl/>
        </w:rPr>
        <w:t xml:space="preserve"> </w:t>
      </w:r>
      <w:r>
        <w:rPr>
          <w:rFonts w:ascii="Traditional Arabic" w:hAnsi="Traditional Arabic"/>
          <w:rtl/>
        </w:rPr>
        <w:t>ﺇ</w:t>
      </w:r>
      <w:r>
        <w:rPr>
          <w:rFonts w:ascii="Traditional Arabic" w:hAnsi="Traditional Arabic" w:hint="cs"/>
          <w:rtl/>
        </w:rPr>
        <w:t>ذا قصد له</w:t>
      </w:r>
      <w:r w:rsidRPr="00C821A1">
        <w:rPr>
          <w:rStyle w:val="af1"/>
          <w:rFonts w:ascii="Traditional Arabic" w:hAnsi="Traditional Arabic"/>
          <w:szCs w:val="32"/>
          <w:rtl/>
        </w:rPr>
        <w:t>(</w:t>
      </w:r>
      <w:r w:rsidRPr="00C821A1">
        <w:rPr>
          <w:rStyle w:val="af1"/>
          <w:rFonts w:ascii="Traditional Arabic" w:hAnsi="Traditional Arabic"/>
          <w:szCs w:val="32"/>
          <w:rtl/>
        </w:rPr>
        <w:footnoteReference w:id="695"/>
      </w:r>
      <w:r w:rsidRPr="00C821A1">
        <w:rPr>
          <w:rStyle w:val="af1"/>
          <w:rFonts w:ascii="Traditional Arabic" w:hAnsi="Traditional Arabic"/>
          <w:szCs w:val="32"/>
          <w:rtl/>
        </w:rPr>
        <w:t>)</w:t>
      </w:r>
      <w:r>
        <w:rPr>
          <w:rFonts w:ascii="Traditional Arabic" w:hAnsi="Traditional Arabic" w:hint="cs"/>
          <w:rtl/>
        </w:rPr>
        <w:t>،و نويت نية،</w:t>
      </w:r>
      <w:r w:rsidR="009C1A6E">
        <w:rPr>
          <w:rFonts w:ascii="Traditional Arabic" w:hAnsi="Traditional Arabic" w:hint="cs"/>
          <w:rtl/>
        </w:rPr>
        <w:t xml:space="preserve"> </w:t>
      </w:r>
      <w:r>
        <w:rPr>
          <w:rFonts w:ascii="Traditional Arabic" w:hAnsi="Traditional Arabic" w:hint="cs"/>
          <w:rtl/>
        </w:rPr>
        <w:t>أي</w:t>
      </w:r>
      <w:r w:rsidR="009C1A6E">
        <w:rPr>
          <w:rFonts w:ascii="Traditional Arabic" w:hAnsi="Traditional Arabic" w:hint="cs"/>
          <w:rtl/>
        </w:rPr>
        <w:t>:</w:t>
      </w:r>
      <w:r>
        <w:rPr>
          <w:rFonts w:ascii="Traditional Arabic" w:hAnsi="Traditional Arabic" w:hint="cs"/>
          <w:rtl/>
        </w:rPr>
        <w:t xml:space="preserve"> عزمت</w:t>
      </w:r>
      <w:r w:rsidRPr="00C821A1">
        <w:rPr>
          <w:rStyle w:val="af1"/>
          <w:rFonts w:ascii="Traditional Arabic" w:hAnsi="Traditional Arabic"/>
          <w:szCs w:val="32"/>
          <w:rtl/>
        </w:rPr>
        <w:t>(</w:t>
      </w:r>
      <w:r w:rsidRPr="00C821A1">
        <w:rPr>
          <w:rStyle w:val="af1"/>
          <w:rFonts w:ascii="Traditional Arabic" w:hAnsi="Traditional Arabic"/>
          <w:szCs w:val="32"/>
          <w:rtl/>
        </w:rPr>
        <w:footnoteReference w:id="696"/>
      </w:r>
      <w:r w:rsidRPr="00C821A1">
        <w:rPr>
          <w:rStyle w:val="af1"/>
          <w:rFonts w:ascii="Traditional Arabic" w:hAnsi="Traditional Arabic"/>
          <w:szCs w:val="32"/>
          <w:rtl/>
        </w:rPr>
        <w:t>)</w:t>
      </w:r>
      <w:r>
        <w:rPr>
          <w:rFonts w:ascii="Traditional Arabic" w:hAnsi="Traditional Arabic" w:hint="cs"/>
          <w:rtl/>
        </w:rPr>
        <w:t>.</w:t>
      </w:r>
    </w:p>
    <w:p w:rsidR="00F228A9" w:rsidRDefault="00EA1AAD" w:rsidP="00597C20">
      <w:pPr>
        <w:jc w:val="lowKashida"/>
        <w:rPr>
          <w:rFonts w:ascii="Traditional Arabic" w:hAnsi="Traditional Arabic"/>
          <w:rtl/>
        </w:rPr>
      </w:pPr>
      <w:r>
        <w:rPr>
          <w:rFonts w:ascii="Traditional Arabic" w:hAnsi="Traditional Arabic" w:hint="cs"/>
          <w:rtl/>
        </w:rPr>
        <w:t>وفس</w:t>
      </w:r>
      <w:r>
        <w:rPr>
          <w:rFonts w:ascii="Traditional Arabic" w:hAnsi="Traditional Arabic"/>
          <w:rtl/>
        </w:rPr>
        <w:t>ّ</w:t>
      </w:r>
      <w:r>
        <w:rPr>
          <w:rFonts w:ascii="Traditional Arabic" w:hAnsi="Traditional Arabic" w:hint="cs"/>
          <w:rtl/>
        </w:rPr>
        <w:t xml:space="preserve">رها الشيخ </w:t>
      </w:r>
      <w:r w:rsidR="00B22F18">
        <w:rPr>
          <w:rFonts w:ascii="Traditional Arabic" w:hAnsi="Traditional Arabic" w:hint="cs"/>
          <w:rtl/>
        </w:rPr>
        <w:t>_</w:t>
      </w:r>
      <w:r w:rsidR="009A0575" w:rsidRPr="005D5694">
        <w:rPr>
          <w:rFonts w:ascii="Traditional Arabic" w:hAnsi="Traditional Arabic" w:cs="CTraditional Arabic" w:hint="cs"/>
          <w:rtl/>
        </w:rPr>
        <w:t>/</w:t>
      </w:r>
      <w:r w:rsidR="00B22F18">
        <w:rPr>
          <w:rFonts w:ascii="Traditional Arabic" w:hAnsi="Traditional Arabic" w:hint="cs"/>
          <w:rtl/>
        </w:rPr>
        <w:t>_</w:t>
      </w:r>
      <w:r>
        <w:rPr>
          <w:rFonts w:ascii="Traditional Arabic" w:hAnsi="Traditional Arabic" w:hint="cs"/>
          <w:rtl/>
        </w:rPr>
        <w:t xml:space="preserve"> بالقصد وا</w:t>
      </w:r>
      <w:r>
        <w:rPr>
          <w:rFonts w:ascii="Traditional Arabic" w:hAnsi="Traditional Arabic"/>
          <w:rtl/>
        </w:rPr>
        <w:t>ﻹ</w:t>
      </w:r>
      <w:r>
        <w:rPr>
          <w:rFonts w:ascii="Traditional Arabic" w:hAnsi="Traditional Arabic" w:hint="cs"/>
          <w:rtl/>
        </w:rPr>
        <w:t>رادة،</w:t>
      </w:r>
      <w:r w:rsidR="009C1A6E">
        <w:rPr>
          <w:rFonts w:ascii="Traditional Arabic" w:hAnsi="Traditional Arabic" w:hint="cs"/>
          <w:rtl/>
        </w:rPr>
        <w:t xml:space="preserve"> </w:t>
      </w:r>
      <w:r>
        <w:rPr>
          <w:rFonts w:ascii="Traditional Arabic" w:hAnsi="Traditional Arabic" w:hint="cs"/>
          <w:rtl/>
        </w:rPr>
        <w:t>حيث قال:</w:t>
      </w:r>
      <w:r w:rsidR="009C1A6E">
        <w:rPr>
          <w:rFonts w:ascii="Traditional Arabic" w:hAnsi="Traditional Arabic" w:hint="cs"/>
          <w:rtl/>
        </w:rPr>
        <w:t xml:space="preserve"> </w:t>
      </w:r>
      <w:r>
        <w:rPr>
          <w:rFonts w:ascii="Traditional Arabic" w:hAnsi="Traditional Arabic" w:hint="cs"/>
          <w:rtl/>
        </w:rPr>
        <w:t>(النية</w:t>
      </w:r>
      <w:r w:rsidR="00154102">
        <w:rPr>
          <w:rFonts w:ascii="Traditional Arabic" w:hAnsi="Traditional Arabic" w:hint="cs"/>
          <w:rtl/>
        </w:rPr>
        <w:t xml:space="preserve"> و</w:t>
      </w:r>
      <w:r>
        <w:rPr>
          <w:rFonts w:ascii="Traditional Arabic" w:hAnsi="Traditional Arabic" w:hint="cs"/>
          <w:rtl/>
        </w:rPr>
        <w:t>ا</w:t>
      </w:r>
      <w:r>
        <w:rPr>
          <w:rFonts w:ascii="Traditional Arabic" w:hAnsi="Traditional Arabic"/>
          <w:rtl/>
        </w:rPr>
        <w:t>ﻹ</w:t>
      </w:r>
      <w:r>
        <w:rPr>
          <w:rFonts w:ascii="Traditional Arabic" w:hAnsi="Traditional Arabic" w:hint="cs"/>
          <w:rtl/>
        </w:rPr>
        <w:t>رادة</w:t>
      </w:r>
    </w:p>
    <w:p w:rsidR="00EA1AAD" w:rsidRDefault="00EA1AAD" w:rsidP="00597C20">
      <w:pPr>
        <w:jc w:val="lowKashida"/>
        <w:rPr>
          <w:rFonts w:ascii="Traditional Arabic" w:hAnsi="Traditional Arabic"/>
          <w:rtl/>
        </w:rPr>
      </w:pPr>
      <w:r>
        <w:rPr>
          <w:rFonts w:ascii="Traditional Arabic" w:hAnsi="Traditional Arabic" w:hint="cs"/>
          <w:rtl/>
        </w:rPr>
        <w:t>والقصد معناها واحد،</w:t>
      </w:r>
      <w:r w:rsidR="009C1A6E">
        <w:rPr>
          <w:rFonts w:ascii="Traditional Arabic" w:hAnsi="Traditional Arabic" w:hint="cs"/>
          <w:rtl/>
        </w:rPr>
        <w:t xml:space="preserve"> </w:t>
      </w:r>
      <w:r>
        <w:rPr>
          <w:rFonts w:ascii="Traditional Arabic" w:hAnsi="Traditional Arabic" w:hint="cs"/>
          <w:rtl/>
        </w:rPr>
        <w:t>فقص</w:t>
      </w:r>
      <w:r>
        <w:rPr>
          <w:rFonts w:ascii="Traditional Arabic" w:hAnsi="Traditional Arabic"/>
          <w:rtl/>
        </w:rPr>
        <w:t>ْ</w:t>
      </w:r>
      <w:r>
        <w:rPr>
          <w:rFonts w:ascii="Traditional Arabic" w:hAnsi="Traditional Arabic" w:hint="cs"/>
          <w:rtl/>
        </w:rPr>
        <w:t>د الشيء يعني نيته،</w:t>
      </w:r>
      <w:r w:rsidR="009C1A6E">
        <w:rPr>
          <w:rFonts w:ascii="Traditional Arabic" w:hAnsi="Traditional Arabic" w:hint="cs"/>
          <w:rtl/>
        </w:rPr>
        <w:t xml:space="preserve"> </w:t>
      </w:r>
      <w:r>
        <w:rPr>
          <w:rFonts w:ascii="Traditional Arabic" w:hAnsi="Traditional Arabic" w:hint="cs"/>
          <w:rtl/>
        </w:rPr>
        <w:t>و</w:t>
      </w:r>
      <w:r>
        <w:rPr>
          <w:rFonts w:ascii="Traditional Arabic" w:hAnsi="Traditional Arabic"/>
          <w:rtl/>
        </w:rPr>
        <w:t>ﺇ</w:t>
      </w:r>
      <w:r>
        <w:rPr>
          <w:rFonts w:ascii="Traditional Arabic" w:hAnsi="Traditional Arabic" w:hint="cs"/>
          <w:rtl/>
        </w:rPr>
        <w:t>رادة الشيء يعني نيته)</w:t>
      </w:r>
      <w:r w:rsidRPr="00C821A1">
        <w:rPr>
          <w:szCs w:val="32"/>
          <w:vertAlign w:val="superscript"/>
          <w:rtl/>
        </w:rPr>
        <w:t>(</w:t>
      </w:r>
      <w:r w:rsidRPr="00C821A1">
        <w:rPr>
          <w:szCs w:val="32"/>
          <w:vertAlign w:val="superscript"/>
          <w:rtl/>
        </w:rPr>
        <w:footnoteReference w:id="697"/>
      </w:r>
      <w:r w:rsidRPr="00C821A1">
        <w:rPr>
          <w:szCs w:val="32"/>
          <w:vertAlign w:val="superscript"/>
          <w:rtl/>
        </w:rPr>
        <w:t>)</w:t>
      </w:r>
      <w:r>
        <w:rPr>
          <w:rFonts w:ascii="Traditional Arabic" w:hAnsi="Traditional Arabic" w:hint="cs"/>
          <w:rtl/>
        </w:rPr>
        <w:t>.</w:t>
      </w:r>
    </w:p>
    <w:p w:rsidR="00822C6A" w:rsidRDefault="00EA1AAD" w:rsidP="00597C20">
      <w:pPr>
        <w:pStyle w:val="53"/>
        <w:rPr>
          <w:rtl/>
        </w:rPr>
      </w:pPr>
      <w:r w:rsidRPr="00E41141">
        <w:rPr>
          <w:rFonts w:hint="cs"/>
          <w:rtl/>
        </w:rPr>
        <w:t>النية اصطلاحا</w:t>
      </w:r>
      <w:r w:rsidRPr="00BA59E3">
        <w:rPr>
          <w:rFonts w:hint="cs"/>
          <w:rtl/>
        </w:rPr>
        <w:t>:</w:t>
      </w:r>
    </w:p>
    <w:p w:rsidR="00065E4B" w:rsidRDefault="00EA1AAD" w:rsidP="00597C20">
      <w:pPr>
        <w:ind w:firstLine="720"/>
        <w:jc w:val="lowKashida"/>
        <w:rPr>
          <w:rFonts w:ascii="Traditional Arabic" w:hAnsi="Traditional Arabic"/>
          <w:rtl/>
        </w:rPr>
      </w:pPr>
      <w:r>
        <w:rPr>
          <w:rFonts w:ascii="Traditional Arabic" w:hAnsi="Traditional Arabic" w:hint="cs"/>
          <w:rtl/>
        </w:rPr>
        <w:t>تُطْلَق النية في الاصطلاح على معنيين</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698"/>
      </w:r>
      <w:r w:rsidRPr="00C821A1">
        <w:rPr>
          <w:rFonts w:ascii="Traditional Arabic" w:hAnsi="Traditional Arabic" w:hint="cs"/>
          <w:szCs w:val="32"/>
          <w:vertAlign w:val="superscript"/>
          <w:rtl/>
        </w:rPr>
        <w:t>)</w:t>
      </w:r>
      <w:r>
        <w:rPr>
          <w:rFonts w:ascii="Traditional Arabic" w:hAnsi="Traditional Arabic" w:hint="cs"/>
          <w:rtl/>
        </w:rPr>
        <w:t>:</w:t>
      </w:r>
      <w:r w:rsidR="006D1EA8">
        <w:rPr>
          <w:rFonts w:ascii="Traditional Arabic" w:hAnsi="Traditional Arabic" w:hint="cs"/>
          <w:rtl/>
        </w:rPr>
        <w:t xml:space="preserve"> </w:t>
      </w:r>
      <w:r>
        <w:rPr>
          <w:rFonts w:ascii="Traditional Arabic" w:hAnsi="Traditional Arabic" w:hint="cs"/>
          <w:rtl/>
        </w:rPr>
        <w:t>عام</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699"/>
      </w:r>
      <w:r w:rsidRPr="00C821A1">
        <w:rPr>
          <w:rFonts w:ascii="Traditional Arabic" w:hAnsi="Traditional Arabic" w:hint="cs"/>
          <w:szCs w:val="32"/>
          <w:vertAlign w:val="superscript"/>
          <w:rtl/>
        </w:rPr>
        <w:t>)</w:t>
      </w:r>
      <w:r w:rsidR="00154102">
        <w:rPr>
          <w:rFonts w:ascii="Traditional Arabic" w:hAnsi="Traditional Arabic" w:hint="cs"/>
          <w:vertAlign w:val="superscript"/>
          <w:rtl/>
        </w:rPr>
        <w:t xml:space="preserve"> </w:t>
      </w:r>
      <w:r w:rsidR="006D1EA8">
        <w:rPr>
          <w:rFonts w:ascii="Traditional Arabic" w:hAnsi="Traditional Arabic" w:hint="cs"/>
          <w:rtl/>
        </w:rPr>
        <w:t>، و</w:t>
      </w:r>
      <w:r>
        <w:rPr>
          <w:rFonts w:ascii="Traditional Arabic" w:hAnsi="Traditional Arabic" w:hint="cs"/>
          <w:rtl/>
        </w:rPr>
        <w:t>خاص</w:t>
      </w:r>
      <w:r w:rsidRPr="00C821A1">
        <w:rPr>
          <w:rFonts w:ascii="Traditional Arabic" w:hAnsi="Traditional Arabic" w:hint="cs"/>
          <w:szCs w:val="32"/>
          <w:vertAlign w:val="superscript"/>
          <w:rtl/>
        </w:rPr>
        <w:t>(</w:t>
      </w:r>
      <w:r w:rsidRPr="00C821A1">
        <w:rPr>
          <w:szCs w:val="32"/>
          <w:vertAlign w:val="superscript"/>
          <w:rtl/>
        </w:rPr>
        <w:footnoteReference w:id="700"/>
      </w:r>
      <w:r w:rsidRPr="00C821A1">
        <w:rPr>
          <w:rFonts w:ascii="Traditional Arabic" w:hAnsi="Traditional Arabic" w:hint="cs"/>
          <w:szCs w:val="32"/>
          <w:vertAlign w:val="superscript"/>
          <w:rtl/>
        </w:rPr>
        <w:t>)</w:t>
      </w:r>
      <w:r>
        <w:rPr>
          <w:rFonts w:ascii="Traditional Arabic" w:hAnsi="Traditional Arabic" w:hint="cs"/>
          <w:rtl/>
        </w:rPr>
        <w:t>.</w:t>
      </w:r>
    </w:p>
    <w:p w:rsidR="00EA1AAD" w:rsidRDefault="00065E4B" w:rsidP="00597C20">
      <w:pPr>
        <w:jc w:val="lowKashida"/>
        <w:rPr>
          <w:rFonts w:ascii="Traditional Arabic" w:hAnsi="Traditional Arabic"/>
          <w:rtl/>
        </w:rPr>
      </w:pPr>
      <w:r>
        <w:rPr>
          <w:rFonts w:ascii="Traditional Arabic" w:hAnsi="Traditional Arabic" w:hint="cs"/>
          <w:rtl/>
        </w:rPr>
        <w:t>و</w:t>
      </w:r>
      <w:r w:rsidR="00EA1AAD">
        <w:rPr>
          <w:rFonts w:ascii="Traditional Arabic" w:hAnsi="Traditional Arabic" w:hint="cs"/>
          <w:rtl/>
        </w:rPr>
        <w:t>عر</w:t>
      </w:r>
      <w:r w:rsidR="00EA1AAD">
        <w:rPr>
          <w:rFonts w:ascii="Traditional Arabic" w:hAnsi="Traditional Arabic"/>
          <w:rtl/>
        </w:rPr>
        <w:t>ّ</w:t>
      </w:r>
      <w:r w:rsidR="00EA1AAD">
        <w:rPr>
          <w:rFonts w:ascii="Traditional Arabic" w:hAnsi="Traditional Arabic" w:hint="cs"/>
          <w:rtl/>
        </w:rPr>
        <w:t>ف الشيخ العثيمين النية بالمعنى الخاص بقوله:</w:t>
      </w:r>
      <w:r w:rsidR="009C1A6E">
        <w:rPr>
          <w:rFonts w:ascii="Traditional Arabic" w:hAnsi="Traditional Arabic" w:hint="cs"/>
          <w:rtl/>
        </w:rPr>
        <w:t xml:space="preserve"> (و</w:t>
      </w:r>
      <w:r w:rsidR="00EA1AAD">
        <w:rPr>
          <w:rFonts w:ascii="Traditional Arabic" w:hAnsi="Traditional Arabic" w:hint="cs"/>
          <w:rtl/>
        </w:rPr>
        <w:t>النية عَز</w:t>
      </w:r>
      <w:r w:rsidR="00EA1AAD">
        <w:rPr>
          <w:rFonts w:ascii="Traditional Arabic" w:hAnsi="Traditional Arabic"/>
          <w:rtl/>
        </w:rPr>
        <w:t>ْ</w:t>
      </w:r>
      <w:r w:rsidR="00EA1AAD">
        <w:rPr>
          <w:rFonts w:ascii="Traditional Arabic" w:hAnsi="Traditional Arabic" w:hint="cs"/>
          <w:rtl/>
        </w:rPr>
        <w:t>م القلب على فِعل الطاعة</w:t>
      </w:r>
    </w:p>
    <w:p w:rsidR="00EA1AAD" w:rsidRDefault="00EA1AAD" w:rsidP="00597C20">
      <w:pPr>
        <w:jc w:val="lowKashida"/>
        <w:rPr>
          <w:rFonts w:ascii="Traditional Arabic" w:hAnsi="Traditional Arabic"/>
          <w:rtl/>
        </w:rPr>
      </w:pPr>
      <w:r>
        <w:rPr>
          <w:rFonts w:ascii="Traditional Arabic" w:hAnsi="Traditional Arabic" w:hint="cs"/>
          <w:rtl/>
        </w:rPr>
        <w:t>تقر</w:t>
      </w:r>
      <w:r>
        <w:rPr>
          <w:rFonts w:ascii="Traditional Arabic" w:hAnsi="Traditional Arabic"/>
          <w:rtl/>
        </w:rPr>
        <w:t>ّ</w:t>
      </w:r>
      <w:r>
        <w:rPr>
          <w:rFonts w:ascii="Traditional Arabic" w:hAnsi="Traditional Arabic" w:hint="cs"/>
          <w:rtl/>
        </w:rPr>
        <w:t xml:space="preserve">با </w:t>
      </w:r>
      <w:r>
        <w:rPr>
          <w:rFonts w:ascii="Traditional Arabic" w:hAnsi="Traditional Arabic"/>
          <w:rtl/>
        </w:rPr>
        <w:t>ﺇ</w:t>
      </w:r>
      <w:r>
        <w:rPr>
          <w:rFonts w:ascii="Traditional Arabic" w:hAnsi="Traditional Arabic" w:hint="cs"/>
          <w:rtl/>
        </w:rPr>
        <w:t>لى الله تعالى)</w:t>
      </w:r>
      <w:r w:rsidRPr="00C821A1">
        <w:rPr>
          <w:szCs w:val="32"/>
          <w:vertAlign w:val="superscript"/>
          <w:rtl/>
        </w:rPr>
        <w:t>(</w:t>
      </w:r>
      <w:r w:rsidRPr="00C821A1">
        <w:rPr>
          <w:szCs w:val="32"/>
          <w:vertAlign w:val="superscript"/>
          <w:rtl/>
        </w:rPr>
        <w:footnoteReference w:id="701"/>
      </w:r>
      <w:r w:rsidRPr="00C821A1">
        <w:rPr>
          <w:szCs w:val="32"/>
          <w:vertAlign w:val="superscript"/>
          <w:rtl/>
        </w:rPr>
        <w:t>)</w:t>
      </w:r>
      <w:r>
        <w:rPr>
          <w:rFonts w:ascii="Traditional Arabic" w:hAnsi="Traditional Arabic" w:hint="cs"/>
          <w:rtl/>
        </w:rPr>
        <w:t>.</w:t>
      </w:r>
    </w:p>
    <w:p w:rsidR="00EA1AAD" w:rsidRDefault="00EA1AAD" w:rsidP="00597C20">
      <w:pPr>
        <w:jc w:val="lowKashida"/>
        <w:rPr>
          <w:rFonts w:ascii="Traditional Arabic" w:hAnsi="Traditional Arabic"/>
          <w:rtl/>
        </w:rPr>
      </w:pPr>
      <w:r>
        <w:rPr>
          <w:rFonts w:ascii="Traditional Arabic" w:hAnsi="Traditional Arabic" w:hint="cs"/>
          <w:rtl/>
        </w:rPr>
        <w:t>وعرّفها الشيخ بالمعنى العام بقوله:</w:t>
      </w:r>
      <w:r w:rsidR="009C1A6E">
        <w:rPr>
          <w:rFonts w:ascii="Traditional Arabic" w:hAnsi="Traditional Arabic" w:hint="cs"/>
          <w:rtl/>
        </w:rPr>
        <w:t xml:space="preserve"> </w:t>
      </w:r>
      <w:r>
        <w:rPr>
          <w:rFonts w:ascii="Traditional Arabic" w:hAnsi="Traditional Arabic" w:hint="cs"/>
          <w:rtl/>
        </w:rPr>
        <w:t>(عزم القلب على فعل الشيء ع</w:t>
      </w:r>
      <w:r>
        <w:rPr>
          <w:rFonts w:ascii="Traditional Arabic" w:hAnsi="Traditional Arabic"/>
          <w:rtl/>
        </w:rPr>
        <w:t>َ</w:t>
      </w:r>
      <w:r>
        <w:rPr>
          <w:rFonts w:ascii="Traditional Arabic" w:hAnsi="Traditional Arabic" w:hint="cs"/>
          <w:rtl/>
        </w:rPr>
        <w:t>ز</w:t>
      </w:r>
      <w:r>
        <w:rPr>
          <w:rFonts w:ascii="Traditional Arabic" w:hAnsi="Traditional Arabic"/>
          <w:rtl/>
        </w:rPr>
        <w:t>ْ</w:t>
      </w:r>
      <w:r>
        <w:rPr>
          <w:rFonts w:ascii="Traditional Arabic" w:hAnsi="Traditional Arabic" w:hint="cs"/>
          <w:rtl/>
        </w:rPr>
        <w:t>م</w:t>
      </w:r>
      <w:r>
        <w:rPr>
          <w:rFonts w:ascii="Traditional Arabic" w:hAnsi="Traditional Arabic"/>
          <w:rtl/>
        </w:rPr>
        <w:t>ً</w:t>
      </w:r>
      <w:r>
        <w:rPr>
          <w:rFonts w:ascii="Traditional Arabic" w:hAnsi="Traditional Arabic" w:hint="cs"/>
          <w:rtl/>
        </w:rPr>
        <w:t>ا جازما،</w:t>
      </w:r>
      <w:r w:rsidR="00B93718">
        <w:rPr>
          <w:rFonts w:ascii="Traditional Arabic" w:hAnsi="Traditional Arabic" w:hint="cs"/>
          <w:rtl/>
        </w:rPr>
        <w:t xml:space="preserve"> </w:t>
      </w:r>
      <w:r>
        <w:rPr>
          <w:rFonts w:ascii="Traditional Arabic" w:hAnsi="Traditional Arabic" w:hint="cs"/>
          <w:rtl/>
        </w:rPr>
        <w:t>سواء</w:t>
      </w:r>
      <w:r w:rsidR="00B93718">
        <w:rPr>
          <w:rFonts w:ascii="Traditional Arabic" w:hAnsi="Traditional Arabic" w:hint="cs"/>
          <w:rtl/>
        </w:rPr>
        <w:t xml:space="preserve"> </w:t>
      </w:r>
      <w:r>
        <w:rPr>
          <w:rFonts w:ascii="Traditional Arabic" w:hAnsi="Traditional Arabic" w:hint="cs"/>
          <w:rtl/>
        </w:rPr>
        <w:t xml:space="preserve"> </w:t>
      </w:r>
      <w:r w:rsidR="00B93718">
        <w:rPr>
          <w:rFonts w:ascii="Traditional Arabic" w:hAnsi="Traditional Arabic" w:hint="cs"/>
          <w:rtl/>
        </w:rPr>
        <w:t>أ</w:t>
      </w:r>
      <w:r>
        <w:rPr>
          <w:rFonts w:ascii="Traditional Arabic" w:hAnsi="Traditional Arabic" w:hint="cs"/>
          <w:rtl/>
        </w:rPr>
        <w:t>كان</w:t>
      </w:r>
    </w:p>
    <w:p w:rsidR="00F228A9" w:rsidRDefault="00EA1AAD" w:rsidP="00597C20">
      <w:pPr>
        <w:jc w:val="lowKashida"/>
        <w:rPr>
          <w:rFonts w:ascii="Traditional Arabic" w:hAnsi="Traditional Arabic"/>
          <w:rtl/>
        </w:rPr>
      </w:pPr>
      <w:r>
        <w:rPr>
          <w:rFonts w:ascii="Traditional Arabic" w:hAnsi="Traditional Arabic" w:hint="cs"/>
          <w:rtl/>
        </w:rPr>
        <w:t>عبادة</w:t>
      </w:r>
      <w:r w:rsidR="009C1A6E">
        <w:rPr>
          <w:rFonts w:ascii="Traditional Arabic" w:hAnsi="Traditional Arabic" w:hint="cs"/>
          <w:rtl/>
        </w:rPr>
        <w:t>ً</w:t>
      </w:r>
      <w:r>
        <w:rPr>
          <w:rFonts w:ascii="Traditional Arabic" w:hAnsi="Traditional Arabic" w:hint="cs"/>
          <w:rtl/>
        </w:rPr>
        <w:t xml:space="preserve"> أم مُعامَلة أم عادة)</w:t>
      </w:r>
      <w:r w:rsidRPr="00C821A1">
        <w:rPr>
          <w:szCs w:val="32"/>
          <w:vertAlign w:val="superscript"/>
          <w:rtl/>
        </w:rPr>
        <w:t>(</w:t>
      </w:r>
      <w:r w:rsidRPr="00C821A1">
        <w:rPr>
          <w:szCs w:val="32"/>
          <w:vertAlign w:val="superscript"/>
          <w:rtl/>
        </w:rPr>
        <w:footnoteReference w:id="702"/>
      </w:r>
      <w:r w:rsidRPr="00C821A1">
        <w:rPr>
          <w:szCs w:val="32"/>
          <w:vertAlign w:val="superscript"/>
          <w:rtl/>
        </w:rPr>
        <w:t>)</w:t>
      </w:r>
      <w:r>
        <w:rPr>
          <w:rFonts w:ascii="Traditional Arabic" w:hAnsi="Traditional Arabic" w:hint="cs"/>
          <w:rtl/>
        </w:rPr>
        <w:t>.</w:t>
      </w:r>
    </w:p>
    <w:p w:rsidR="00EA1AAD" w:rsidRDefault="00EA1AAD" w:rsidP="000F5C0F">
      <w:pPr>
        <w:pStyle w:val="53"/>
        <w:rPr>
          <w:rtl/>
        </w:rPr>
      </w:pPr>
      <w:r>
        <w:rPr>
          <w:rFonts w:hint="cs"/>
          <w:rtl/>
        </w:rPr>
        <w:t xml:space="preserve">معنى القاعدة </w:t>
      </w:r>
      <w:r>
        <w:rPr>
          <w:rtl/>
        </w:rPr>
        <w:t>ﺇ</w:t>
      </w:r>
      <w:r>
        <w:rPr>
          <w:rFonts w:hint="cs"/>
          <w:rtl/>
        </w:rPr>
        <w:t>جمالا:</w:t>
      </w:r>
    </w:p>
    <w:p w:rsidR="00065E4B" w:rsidRDefault="00EA1AAD" w:rsidP="00597C20">
      <w:pPr>
        <w:ind w:left="454"/>
        <w:jc w:val="lowKashida"/>
        <w:rPr>
          <w:rStyle w:val="af1"/>
          <w:rFonts w:ascii="Traditional Arabic" w:hAnsi="Traditional Arabic"/>
          <w:rtl/>
        </w:rPr>
      </w:pPr>
      <w:r>
        <w:rPr>
          <w:rFonts w:ascii="Traditional Arabic" w:hAnsi="Traditional Arabic" w:hint="cs"/>
          <w:rtl/>
        </w:rPr>
        <w:t xml:space="preserve">تعتبر هذه القاعدة </w:t>
      </w:r>
      <w:r>
        <w:rPr>
          <w:rFonts w:ascii="Traditional Arabic" w:hAnsi="Traditional Arabic"/>
          <w:rtl/>
        </w:rPr>
        <w:t>ﺇ</w:t>
      </w:r>
      <w:r>
        <w:rPr>
          <w:rFonts w:ascii="Traditional Arabic" w:hAnsi="Traditional Arabic" w:hint="cs"/>
          <w:rtl/>
        </w:rPr>
        <w:t>حدى القواعد الخمس ال</w:t>
      </w:r>
      <w:r>
        <w:rPr>
          <w:rFonts w:ascii="Traditional Arabic" w:hAnsi="Traditional Arabic"/>
          <w:rtl/>
        </w:rPr>
        <w:t>ْ</w:t>
      </w:r>
      <w:r>
        <w:rPr>
          <w:rFonts w:ascii="Traditional Arabic" w:hAnsi="Traditional Arabic" w:hint="cs"/>
          <w:rtl/>
        </w:rPr>
        <w:t>م</w:t>
      </w:r>
      <w:r>
        <w:rPr>
          <w:rFonts w:ascii="Traditional Arabic" w:hAnsi="Traditional Arabic"/>
          <w:rtl/>
        </w:rPr>
        <w:t>ُ</w:t>
      </w:r>
      <w:r>
        <w:rPr>
          <w:rFonts w:ascii="Traditional Arabic" w:hAnsi="Traditional Arabic" w:hint="cs"/>
          <w:rtl/>
        </w:rPr>
        <w:t>ح</w:t>
      </w:r>
      <w:r>
        <w:rPr>
          <w:rFonts w:ascii="Traditional Arabic" w:hAnsi="Traditional Arabic"/>
          <w:rtl/>
        </w:rPr>
        <w:t>ْ</w:t>
      </w:r>
      <w:r>
        <w:rPr>
          <w:rFonts w:ascii="Traditional Arabic" w:hAnsi="Traditional Arabic" w:hint="cs"/>
          <w:rtl/>
        </w:rPr>
        <w:t>ك</w:t>
      </w:r>
      <w:r>
        <w:rPr>
          <w:rFonts w:ascii="Traditional Arabic" w:hAnsi="Traditional Arabic"/>
          <w:rtl/>
        </w:rPr>
        <w:t>َ</w:t>
      </w:r>
      <w:r>
        <w:rPr>
          <w:rFonts w:ascii="Traditional Arabic" w:hAnsi="Traditional Arabic" w:hint="cs"/>
          <w:rtl/>
        </w:rPr>
        <w:t xml:space="preserve">مة الأساسية من قواعد الفقه </w:t>
      </w:r>
      <w:r>
        <w:rPr>
          <w:rFonts w:ascii="Traditional Arabic" w:hAnsi="Traditional Arabic" w:hint="cs"/>
          <w:rtl/>
        </w:rPr>
        <w:lastRenderedPageBreak/>
        <w:t>ا</w:t>
      </w:r>
      <w:r>
        <w:rPr>
          <w:rFonts w:ascii="Traditional Arabic" w:hAnsi="Traditional Arabic"/>
          <w:rtl/>
        </w:rPr>
        <w:t>ﻹ</w:t>
      </w:r>
      <w:r>
        <w:rPr>
          <w:rFonts w:ascii="Traditional Arabic" w:hAnsi="Traditional Arabic" w:hint="cs"/>
          <w:rtl/>
        </w:rPr>
        <w:t>سلامي،</w:t>
      </w:r>
      <w:r w:rsidR="009C1A6E">
        <w:rPr>
          <w:rFonts w:ascii="Traditional Arabic" w:hAnsi="Traditional Arabic" w:hint="cs"/>
          <w:rtl/>
        </w:rPr>
        <w:t xml:space="preserve"> </w:t>
      </w:r>
      <w:r>
        <w:rPr>
          <w:rFonts w:ascii="Traditional Arabic" w:hAnsi="Traditional Arabic" w:hint="cs"/>
          <w:rtl/>
        </w:rPr>
        <w:t>وهي جم</w:t>
      </w:r>
      <w:r>
        <w:rPr>
          <w:rFonts w:ascii="Traditional Arabic" w:hAnsi="Traditional Arabic"/>
          <w:rtl/>
        </w:rPr>
        <w:t>َّ</w:t>
      </w:r>
      <w:r>
        <w:rPr>
          <w:rFonts w:ascii="Traditional Arabic" w:hAnsi="Traditional Arabic" w:hint="cs"/>
          <w:rtl/>
        </w:rPr>
        <w:t>ة الفروع،</w:t>
      </w:r>
      <w:r w:rsidR="00154102">
        <w:rPr>
          <w:rFonts w:ascii="Traditional Arabic" w:hAnsi="Traditional Arabic" w:hint="cs"/>
          <w:rtl/>
        </w:rPr>
        <w:t xml:space="preserve"> و</w:t>
      </w:r>
      <w:r>
        <w:rPr>
          <w:rFonts w:ascii="Traditional Arabic" w:hAnsi="Traditional Arabic" w:hint="cs"/>
          <w:rtl/>
        </w:rPr>
        <w:t>تجري في كثير من الأبواب الفقهية</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03"/>
      </w:r>
      <w:r w:rsidRPr="00C821A1">
        <w:rPr>
          <w:rFonts w:ascii="Traditional Arabic" w:hAnsi="Traditional Arabic" w:hint="cs"/>
          <w:szCs w:val="32"/>
          <w:vertAlign w:val="superscript"/>
          <w:rtl/>
        </w:rPr>
        <w:t>)</w:t>
      </w:r>
      <w:r>
        <w:rPr>
          <w:rFonts w:ascii="Traditional Arabic" w:hAnsi="Traditional Arabic" w:hint="cs"/>
          <w:rtl/>
        </w:rPr>
        <w:t>.</w:t>
      </w:r>
    </w:p>
    <w:p w:rsidR="00065E4B" w:rsidRDefault="00065E4B" w:rsidP="00597C20">
      <w:pPr>
        <w:jc w:val="lowKashida"/>
        <w:rPr>
          <w:rFonts w:ascii="Traditional Arabic" w:hAnsi="Traditional Arabic"/>
        </w:rPr>
      </w:pPr>
      <w:r>
        <w:rPr>
          <w:rFonts w:ascii="Traditional Arabic" w:hAnsi="Traditional Arabic" w:hint="cs"/>
          <w:rtl/>
        </w:rPr>
        <w:t>ي</w:t>
      </w:r>
      <w:r w:rsidR="00EA1AAD">
        <w:rPr>
          <w:rFonts w:ascii="Traditional Arabic" w:hAnsi="Traditional Arabic" w:hint="cs"/>
          <w:rtl/>
        </w:rPr>
        <w:t xml:space="preserve">قول الشيخ ابن عثيمين </w:t>
      </w:r>
      <w:r w:rsidR="0062045B">
        <w:rPr>
          <w:rFonts w:ascii="Traditional Arabic" w:hAnsi="Traditional Arabic" w:hint="cs"/>
          <w:rtl/>
        </w:rPr>
        <w:t>_</w:t>
      </w:r>
      <w:r w:rsidR="009A0575" w:rsidRPr="005D5694">
        <w:rPr>
          <w:rFonts w:ascii="Traditional Arabic" w:hAnsi="Traditional Arabic" w:cs="CTraditional Arabic" w:hint="cs"/>
          <w:rtl/>
        </w:rPr>
        <w:t>/</w:t>
      </w:r>
      <w:r w:rsidR="0062045B">
        <w:rPr>
          <w:rFonts w:ascii="Traditional Arabic" w:hAnsi="Traditional Arabic" w:hint="cs"/>
          <w:rtl/>
        </w:rPr>
        <w:t>_</w:t>
      </w:r>
      <w:r w:rsidR="00EA1AAD">
        <w:rPr>
          <w:rFonts w:ascii="Traditional Arabic" w:hAnsi="Traditional Arabic" w:hint="cs"/>
          <w:rtl/>
        </w:rPr>
        <w:t>: (و ينبني على هذه القاعدة مسائل كثيرة)</w:t>
      </w:r>
      <w:r w:rsidR="00EA1AAD" w:rsidRPr="00C821A1">
        <w:rPr>
          <w:rStyle w:val="af1"/>
          <w:rFonts w:ascii="Traditional Arabic" w:hAnsi="Traditional Arabic"/>
          <w:szCs w:val="32"/>
          <w:rtl/>
        </w:rPr>
        <w:t>(</w:t>
      </w:r>
      <w:r w:rsidR="00EA1AAD" w:rsidRPr="00C821A1">
        <w:rPr>
          <w:rStyle w:val="af1"/>
          <w:rFonts w:ascii="Traditional Arabic" w:hAnsi="Traditional Arabic"/>
          <w:szCs w:val="32"/>
          <w:rtl/>
        </w:rPr>
        <w:footnoteReference w:id="704"/>
      </w:r>
      <w:r w:rsidR="00EA1AAD" w:rsidRPr="00C821A1">
        <w:rPr>
          <w:rStyle w:val="af1"/>
          <w:rFonts w:ascii="Traditional Arabic" w:hAnsi="Traditional Arabic"/>
          <w:szCs w:val="32"/>
          <w:rtl/>
        </w:rPr>
        <w:t>)</w:t>
      </w:r>
      <w:r w:rsidR="00EA1AAD">
        <w:rPr>
          <w:rFonts w:ascii="Traditional Arabic" w:hAnsi="Traditional Arabic" w:hint="cs"/>
          <w:rtl/>
        </w:rPr>
        <w:t>.</w:t>
      </w:r>
    </w:p>
    <w:p w:rsidR="00EA1AAD" w:rsidRDefault="00065E4B" w:rsidP="009C1A6E">
      <w:pPr>
        <w:jc w:val="lowKashida"/>
        <w:rPr>
          <w:rFonts w:ascii="Traditional Arabic" w:hAnsi="Traditional Arabic"/>
          <w:rtl/>
        </w:rPr>
      </w:pPr>
      <w:r>
        <w:rPr>
          <w:rFonts w:ascii="Traditional Arabic" w:hAnsi="Traditional Arabic" w:hint="cs"/>
          <w:rtl/>
        </w:rPr>
        <w:t>و</w:t>
      </w:r>
      <w:r w:rsidR="00EA1AAD">
        <w:rPr>
          <w:rFonts w:ascii="Traditional Arabic" w:hAnsi="Traditional Arabic" w:hint="cs"/>
          <w:rtl/>
        </w:rPr>
        <w:t>أصل هذه القاعدة نص</w:t>
      </w:r>
      <w:r w:rsidR="00EA1AAD">
        <w:rPr>
          <w:rFonts w:ascii="Traditional Arabic" w:hAnsi="Traditional Arabic"/>
          <w:rtl/>
        </w:rPr>
        <w:t>ُّ</w:t>
      </w:r>
      <w:r w:rsidR="00EA1AAD">
        <w:rPr>
          <w:rFonts w:ascii="Traditional Arabic" w:hAnsi="Traditional Arabic" w:hint="cs"/>
          <w:rtl/>
        </w:rPr>
        <w:t xml:space="preserve"> حديث نبوي،</w:t>
      </w:r>
      <w:r w:rsidR="0062045B">
        <w:rPr>
          <w:rFonts w:ascii="Traditional Arabic" w:hAnsi="Traditional Arabic" w:hint="cs"/>
          <w:rtl/>
        </w:rPr>
        <w:t xml:space="preserve"> </w:t>
      </w:r>
      <w:r w:rsidR="00EA1AAD">
        <w:rPr>
          <w:rFonts w:ascii="Traditional Arabic" w:hAnsi="Traditional Arabic" w:hint="cs"/>
          <w:rtl/>
        </w:rPr>
        <w:t xml:space="preserve">و هو قوله </w:t>
      </w:r>
      <w:r w:rsidR="00EA1AAD" w:rsidRPr="00196E1A">
        <w:rPr>
          <w:rFonts w:ascii="Traditional Arabic" w:hAnsi="Traditional Arabic" w:cs="CTraditional Arabic" w:hint="cs"/>
          <w:color w:val="auto"/>
          <w:rtl/>
        </w:rPr>
        <w:t>&gt;</w:t>
      </w:r>
      <w:r w:rsidR="00EA1AAD" w:rsidRPr="00BC1602">
        <w:rPr>
          <w:rFonts w:ascii="Traditional Arabic" w:hAnsi="Traditional Arabic" w:hint="cs"/>
          <w:b/>
          <w:bCs/>
          <w:rtl/>
        </w:rPr>
        <w:t>:"</w:t>
      </w:r>
      <w:r w:rsidR="00EA1AAD" w:rsidRPr="00BC1602">
        <w:rPr>
          <w:rFonts w:ascii="Traditional Arabic" w:hAnsi="Traditional Arabic"/>
          <w:b/>
          <w:bCs/>
          <w:rtl/>
        </w:rPr>
        <w:t>ﺇ</w:t>
      </w:r>
      <w:r w:rsidR="00EA1AAD" w:rsidRPr="00BC1602">
        <w:rPr>
          <w:rFonts w:ascii="Traditional Arabic" w:hAnsi="Traditional Arabic" w:hint="cs"/>
          <w:b/>
          <w:bCs/>
          <w:rtl/>
        </w:rPr>
        <w:t>نماالأعمال بالنيات"</w:t>
      </w:r>
      <w:r w:rsidR="00EA1AAD" w:rsidRPr="00C821A1">
        <w:rPr>
          <w:rFonts w:ascii="Traditional Arabic" w:hAnsi="Traditional Arabic" w:hint="cs"/>
          <w:b/>
          <w:szCs w:val="32"/>
          <w:vertAlign w:val="superscript"/>
          <w:rtl/>
        </w:rPr>
        <w:t>(</w:t>
      </w:r>
      <w:r w:rsidR="00EA1AAD" w:rsidRPr="00C821A1">
        <w:rPr>
          <w:rStyle w:val="af1"/>
          <w:rFonts w:ascii="Traditional Arabic" w:hAnsi="Traditional Arabic"/>
          <w:szCs w:val="32"/>
          <w:rtl/>
        </w:rPr>
        <w:footnoteReference w:id="705"/>
      </w:r>
      <w:r w:rsidR="00EA1AAD" w:rsidRPr="00C821A1">
        <w:rPr>
          <w:rFonts w:ascii="Traditional Arabic" w:hAnsi="Traditional Arabic" w:hint="cs"/>
          <w:b/>
          <w:szCs w:val="32"/>
          <w:vertAlign w:val="superscript"/>
          <w:rtl/>
        </w:rPr>
        <w:t>)</w:t>
      </w:r>
      <w:r w:rsidR="00EA1AAD">
        <w:rPr>
          <w:rFonts w:ascii="Traditional Arabic" w:hAnsi="Traditional Arabic" w:hint="cs"/>
          <w:b/>
          <w:bCs/>
          <w:rtl/>
        </w:rPr>
        <w:t>،</w:t>
      </w:r>
      <w:r w:rsidR="0062045B">
        <w:rPr>
          <w:rFonts w:ascii="Traditional Arabic" w:hAnsi="Traditional Arabic" w:hint="cs"/>
          <w:b/>
          <w:bCs/>
          <w:rtl/>
        </w:rPr>
        <w:t xml:space="preserve"> </w:t>
      </w:r>
      <w:r w:rsidR="00EA1AAD">
        <w:rPr>
          <w:rFonts w:ascii="Traditional Arabic" w:hAnsi="Traditional Arabic" w:hint="cs"/>
          <w:rtl/>
        </w:rPr>
        <w:t xml:space="preserve">وكان الشيخ </w:t>
      </w:r>
      <w:r w:rsidR="00E13EBE">
        <w:rPr>
          <w:rFonts w:ascii="Traditional Arabic" w:hAnsi="Traditional Arabic" w:hint="cs"/>
          <w:rtl/>
        </w:rPr>
        <w:t>_</w:t>
      </w:r>
      <w:r w:rsidR="00EA1AAD" w:rsidRPr="005D5694">
        <w:rPr>
          <w:rFonts w:ascii="Traditional Arabic" w:hAnsi="Traditional Arabic" w:cs="CTraditional Arabic" w:hint="cs"/>
          <w:color w:val="auto"/>
          <w:rtl/>
        </w:rPr>
        <w:t>/</w:t>
      </w:r>
      <w:r w:rsidR="00E13EBE">
        <w:rPr>
          <w:rFonts w:ascii="Traditional Arabic" w:hAnsi="Traditional Arabic" w:hint="cs"/>
          <w:rtl/>
        </w:rPr>
        <w:t>_</w:t>
      </w:r>
      <w:r w:rsidR="00EA1AAD">
        <w:rPr>
          <w:rFonts w:ascii="Traditional Arabic" w:hAnsi="Traditional Arabic" w:hint="cs"/>
          <w:rtl/>
        </w:rPr>
        <w:t xml:space="preserve"> كثيرا ما يستدل به على المسائل المتعلقة بالنية </w:t>
      </w:r>
      <w:r w:rsidR="00EA1AAD" w:rsidRPr="00C821A1">
        <w:rPr>
          <w:rFonts w:ascii="Traditional Arabic" w:hAnsi="Traditional Arabic" w:hint="cs"/>
          <w:szCs w:val="32"/>
          <w:vertAlign w:val="superscript"/>
          <w:rtl/>
        </w:rPr>
        <w:t>(</w:t>
      </w:r>
      <w:r w:rsidR="00EA1AAD" w:rsidRPr="00C821A1">
        <w:rPr>
          <w:rStyle w:val="af1"/>
          <w:rFonts w:ascii="Traditional Arabic" w:hAnsi="Traditional Arabic"/>
          <w:szCs w:val="32"/>
          <w:rtl/>
        </w:rPr>
        <w:footnoteReference w:id="706"/>
      </w:r>
      <w:r w:rsidR="00EA1AAD" w:rsidRPr="00C821A1">
        <w:rPr>
          <w:rFonts w:ascii="Traditional Arabic" w:hAnsi="Traditional Arabic" w:hint="cs"/>
          <w:szCs w:val="32"/>
          <w:vertAlign w:val="superscript"/>
          <w:rtl/>
        </w:rPr>
        <w:t>)</w:t>
      </w:r>
      <w:r w:rsidR="00EA1AAD">
        <w:rPr>
          <w:rFonts w:ascii="Traditional Arabic" w:hAnsi="Traditional Arabic" w:hint="cs"/>
          <w:rtl/>
        </w:rPr>
        <w:t>.</w:t>
      </w:r>
    </w:p>
    <w:p w:rsidR="00EA1AAD" w:rsidRPr="0062045B" w:rsidRDefault="00EA1AAD" w:rsidP="009C1A6E">
      <w:pPr>
        <w:jc w:val="lowKashida"/>
        <w:rPr>
          <w:rFonts w:ascii="Traditional Arabic" w:hAnsi="Traditional Arabic"/>
          <w:rtl/>
        </w:rPr>
      </w:pPr>
      <w:r w:rsidRPr="009C1A6E">
        <w:rPr>
          <w:rFonts w:ascii="Traditional Arabic" w:hAnsi="Traditional Arabic" w:hint="cs"/>
          <w:b/>
          <w:bCs/>
          <w:rtl/>
        </w:rPr>
        <w:t>ومعنى القاعدة</w:t>
      </w:r>
      <w:r w:rsidRPr="0062045B">
        <w:rPr>
          <w:rFonts w:ascii="Traditional Arabic" w:hAnsi="Traditional Arabic" w:hint="cs"/>
          <w:rtl/>
        </w:rPr>
        <w:t xml:space="preserve"> أن كل عمل يَعمله ا</w:t>
      </w:r>
      <w:r w:rsidRPr="0062045B">
        <w:rPr>
          <w:rFonts w:ascii="Traditional Arabic" w:hAnsi="Traditional Arabic"/>
          <w:rtl/>
        </w:rPr>
        <w:t>ﻹ</w:t>
      </w:r>
      <w:r w:rsidRPr="0062045B">
        <w:rPr>
          <w:rFonts w:ascii="Traditional Arabic" w:hAnsi="Traditional Arabic" w:hint="cs"/>
          <w:rtl/>
        </w:rPr>
        <w:t>نسان مُخْتارا</w:t>
      </w:r>
      <w:r w:rsidR="00E13EBE" w:rsidRPr="0062045B">
        <w:rPr>
          <w:rFonts w:ascii="Traditional Arabic" w:hAnsi="Traditional Arabic" w:hint="cs"/>
          <w:rtl/>
        </w:rPr>
        <w:t>ً،</w:t>
      </w:r>
      <w:r w:rsidRPr="0062045B">
        <w:rPr>
          <w:rFonts w:ascii="Traditional Arabic" w:hAnsi="Traditional Arabic" w:hint="cs"/>
          <w:rtl/>
        </w:rPr>
        <w:t xml:space="preserve"> </w:t>
      </w:r>
      <w:r w:rsidRPr="0062045B">
        <w:rPr>
          <w:rFonts w:ascii="Traditional Arabic" w:hAnsi="Traditional Arabic"/>
          <w:rtl/>
        </w:rPr>
        <w:t>ﻓﺈ</w:t>
      </w:r>
      <w:r w:rsidRPr="0062045B">
        <w:rPr>
          <w:rFonts w:ascii="Traditional Arabic" w:hAnsi="Traditional Arabic" w:hint="cs"/>
          <w:rtl/>
        </w:rPr>
        <w:t>نه لابدّ فيه من النية،</w:t>
      </w:r>
      <w:r w:rsidR="00E13EBE" w:rsidRPr="0062045B">
        <w:rPr>
          <w:rFonts w:ascii="Traditional Arabic" w:hAnsi="Traditional Arabic" w:hint="cs"/>
          <w:rtl/>
        </w:rPr>
        <w:t xml:space="preserve"> </w:t>
      </w:r>
      <w:r w:rsidRPr="0062045B">
        <w:rPr>
          <w:rFonts w:ascii="Traditional Arabic" w:hAnsi="Traditional Arabic" w:hint="cs"/>
          <w:rtl/>
        </w:rPr>
        <w:t>لكن النية تختلف وتتباين،</w:t>
      </w:r>
      <w:r w:rsidR="0062045B" w:rsidRPr="0062045B">
        <w:rPr>
          <w:rFonts w:ascii="Traditional Arabic" w:hAnsi="Traditional Arabic" w:hint="cs"/>
          <w:rtl/>
        </w:rPr>
        <w:t xml:space="preserve"> </w:t>
      </w:r>
      <w:r w:rsidRPr="0062045B">
        <w:rPr>
          <w:rFonts w:ascii="Traditional Arabic" w:hAnsi="Traditional Arabic" w:hint="cs"/>
          <w:rtl/>
        </w:rPr>
        <w:t>فكل عامل ي</w:t>
      </w:r>
      <w:r w:rsidRPr="0062045B">
        <w:rPr>
          <w:rFonts w:ascii="Traditional Arabic" w:hAnsi="Traditional Arabic"/>
          <w:rtl/>
        </w:rPr>
        <w:t>ُ</w:t>
      </w:r>
      <w:r w:rsidRPr="0062045B">
        <w:rPr>
          <w:rFonts w:ascii="Traditional Arabic" w:hAnsi="Traditional Arabic" w:hint="cs"/>
          <w:rtl/>
        </w:rPr>
        <w:t>ح</w:t>
      </w:r>
      <w:r w:rsidRPr="0062045B">
        <w:rPr>
          <w:rFonts w:ascii="Traditional Arabic" w:hAnsi="Traditional Arabic"/>
          <w:rtl/>
        </w:rPr>
        <w:t>ْ</w:t>
      </w:r>
      <w:r w:rsidRPr="0062045B">
        <w:rPr>
          <w:rFonts w:ascii="Traditional Arabic" w:hAnsi="Traditional Arabic" w:hint="cs"/>
          <w:rtl/>
        </w:rPr>
        <w:t>ك</w:t>
      </w:r>
      <w:r w:rsidRPr="0062045B">
        <w:rPr>
          <w:rFonts w:ascii="Traditional Arabic" w:hAnsi="Traditional Arabic"/>
          <w:rtl/>
        </w:rPr>
        <w:t>َ</w:t>
      </w:r>
      <w:r w:rsidRPr="0062045B">
        <w:rPr>
          <w:rFonts w:ascii="Traditional Arabic" w:hAnsi="Traditional Arabic" w:hint="cs"/>
          <w:rtl/>
        </w:rPr>
        <w:t>م له ما نواه بني</w:t>
      </w:r>
      <w:r w:rsidRPr="0062045B">
        <w:rPr>
          <w:rFonts w:ascii="Traditional Arabic" w:hAnsi="Traditional Arabic"/>
          <w:rtl/>
        </w:rPr>
        <w:t>ّ</w:t>
      </w:r>
      <w:r w:rsidRPr="0062045B">
        <w:rPr>
          <w:rFonts w:ascii="Traditional Arabic" w:hAnsi="Traditional Arabic" w:hint="cs"/>
          <w:rtl/>
        </w:rPr>
        <w:t>ته</w:t>
      </w:r>
      <w:r w:rsidR="00E13EBE" w:rsidRPr="0062045B">
        <w:rPr>
          <w:rFonts w:ascii="Traditional Arabic" w:hAnsi="Traditional Arabic" w:hint="cs"/>
          <w:rtl/>
        </w:rPr>
        <w:t xml:space="preserve">: </w:t>
      </w:r>
      <w:r w:rsidRPr="0062045B">
        <w:rPr>
          <w:rFonts w:ascii="Traditional Arabic" w:hAnsi="Traditional Arabic"/>
          <w:rtl/>
        </w:rPr>
        <w:t>ﺇ</w:t>
      </w:r>
      <w:r w:rsidRPr="0062045B">
        <w:rPr>
          <w:rFonts w:ascii="Traditional Arabic" w:hAnsi="Traditional Arabic" w:hint="cs"/>
          <w:rtl/>
        </w:rPr>
        <w:t>ن</w:t>
      </w:r>
      <w:r w:rsidR="00E13EBE" w:rsidRPr="0062045B">
        <w:rPr>
          <w:rFonts w:ascii="Traditional Arabic" w:hAnsi="Traditional Arabic" w:hint="cs"/>
          <w:rtl/>
        </w:rPr>
        <w:t>ْ</w:t>
      </w:r>
      <w:r w:rsidRPr="0062045B">
        <w:rPr>
          <w:rFonts w:ascii="Traditional Arabic" w:hAnsi="Traditional Arabic" w:hint="cs"/>
          <w:rtl/>
        </w:rPr>
        <w:t xml:space="preserve"> خيرا</w:t>
      </w:r>
      <w:r w:rsidR="00E13EBE" w:rsidRPr="0062045B">
        <w:rPr>
          <w:rFonts w:ascii="Traditional Arabic" w:hAnsi="Traditional Arabic" w:hint="cs"/>
          <w:rtl/>
        </w:rPr>
        <w:t>ً</w:t>
      </w:r>
      <w:r w:rsidRPr="0062045B">
        <w:rPr>
          <w:rFonts w:ascii="Traditional Arabic" w:hAnsi="Traditional Arabic" w:hint="cs"/>
          <w:rtl/>
        </w:rPr>
        <w:t xml:space="preserve"> فخير</w:t>
      </w:r>
      <w:r w:rsidR="00E13EBE" w:rsidRPr="0062045B">
        <w:rPr>
          <w:rFonts w:ascii="Traditional Arabic" w:hAnsi="Traditional Arabic" w:hint="cs"/>
          <w:rtl/>
        </w:rPr>
        <w:t>،</w:t>
      </w:r>
      <w:r w:rsidR="00154102" w:rsidRPr="0062045B">
        <w:rPr>
          <w:rFonts w:ascii="Traditional Arabic" w:hAnsi="Traditional Arabic" w:hint="cs"/>
          <w:rtl/>
        </w:rPr>
        <w:t xml:space="preserve"> و</w:t>
      </w:r>
      <w:r w:rsidRPr="0062045B">
        <w:rPr>
          <w:rFonts w:ascii="Traditional Arabic" w:hAnsi="Traditional Arabic"/>
          <w:rtl/>
        </w:rPr>
        <w:t>ﺇ</w:t>
      </w:r>
      <w:r w:rsidRPr="0062045B">
        <w:rPr>
          <w:rFonts w:ascii="Traditional Arabic" w:hAnsi="Traditional Arabic" w:hint="cs"/>
          <w:rtl/>
        </w:rPr>
        <w:t>ن شر</w:t>
      </w:r>
      <w:r w:rsidRPr="0062045B">
        <w:rPr>
          <w:rFonts w:ascii="Traditional Arabic" w:hAnsi="Traditional Arabic"/>
          <w:rtl/>
        </w:rPr>
        <w:t>ّ</w:t>
      </w:r>
      <w:r w:rsidRPr="0062045B">
        <w:rPr>
          <w:rFonts w:ascii="Traditional Arabic" w:hAnsi="Traditional Arabic" w:hint="cs"/>
          <w:rtl/>
        </w:rPr>
        <w:t>ا فشر</w:t>
      </w:r>
      <w:r w:rsidRPr="0062045B">
        <w:rPr>
          <w:rFonts w:ascii="Traditional Arabic" w:hAnsi="Traditional Arabic"/>
          <w:rtl/>
        </w:rPr>
        <w:t>ّ</w:t>
      </w:r>
      <w:r w:rsidRPr="0062045B">
        <w:rPr>
          <w:rFonts w:ascii="Traditional Arabic" w:hAnsi="Traditional Arabic" w:hint="cs"/>
          <w:rtl/>
        </w:rPr>
        <w:t>،</w:t>
      </w:r>
      <w:r w:rsidR="00E13EBE" w:rsidRPr="0062045B">
        <w:rPr>
          <w:rFonts w:ascii="Traditional Arabic" w:hAnsi="Traditional Arabic" w:hint="cs"/>
          <w:rtl/>
        </w:rPr>
        <w:t xml:space="preserve"> </w:t>
      </w:r>
      <w:r w:rsidRPr="0062045B">
        <w:rPr>
          <w:rFonts w:ascii="Traditional Arabic" w:hAnsi="Traditional Arabic" w:hint="cs"/>
          <w:rtl/>
        </w:rPr>
        <w:t>فالنية</w:t>
      </w:r>
      <w:r w:rsidR="00E13EBE" w:rsidRPr="0062045B">
        <w:rPr>
          <w:rFonts w:ascii="Traditional Arabic" w:hAnsi="Traditional Arabic" w:hint="cs"/>
          <w:rtl/>
        </w:rPr>
        <w:t xml:space="preserve"> </w:t>
      </w:r>
      <w:r w:rsidRPr="0062045B">
        <w:rPr>
          <w:rFonts w:ascii="Traditional Arabic" w:hAnsi="Traditional Arabic" w:hint="cs"/>
          <w:rtl/>
        </w:rPr>
        <w:t>معتبرة في الأعمال</w:t>
      </w:r>
      <w:r w:rsidR="00E13EBE" w:rsidRPr="0062045B">
        <w:rPr>
          <w:rFonts w:ascii="Traditional Arabic" w:hAnsi="Traditional Arabic" w:hint="cs"/>
          <w:rtl/>
        </w:rPr>
        <w:t>؛ و</w:t>
      </w:r>
      <w:r w:rsidRPr="0062045B">
        <w:rPr>
          <w:rFonts w:ascii="Traditional Arabic" w:hAnsi="Traditional Arabic" w:hint="cs"/>
          <w:rtl/>
        </w:rPr>
        <w:t>عليها مدار الجزاء من ثواب وعقاب،</w:t>
      </w:r>
      <w:r w:rsidR="00E13EBE" w:rsidRPr="0062045B">
        <w:rPr>
          <w:rFonts w:ascii="Traditional Arabic" w:hAnsi="Traditional Arabic" w:hint="cs"/>
          <w:rtl/>
        </w:rPr>
        <w:t xml:space="preserve"> </w:t>
      </w:r>
      <w:r w:rsidRPr="0062045B">
        <w:rPr>
          <w:rFonts w:ascii="Traditional Arabic" w:hAnsi="Traditional Arabic" w:hint="cs"/>
          <w:rtl/>
        </w:rPr>
        <w:t>ولها تأثير في ح</w:t>
      </w:r>
      <w:r w:rsidRPr="0062045B">
        <w:rPr>
          <w:rFonts w:ascii="Traditional Arabic" w:hAnsi="Traditional Arabic"/>
          <w:rtl/>
        </w:rPr>
        <w:t>ِ</w:t>
      </w:r>
      <w:r w:rsidRPr="0062045B">
        <w:rPr>
          <w:rFonts w:ascii="Traditional Arabic" w:hAnsi="Traditional Arabic" w:hint="cs"/>
          <w:rtl/>
        </w:rPr>
        <w:t>ل</w:t>
      </w:r>
      <w:r w:rsidRPr="0062045B">
        <w:rPr>
          <w:rFonts w:ascii="Traditional Arabic" w:hAnsi="Traditional Arabic"/>
          <w:rtl/>
        </w:rPr>
        <w:t>ّ</w:t>
      </w:r>
      <w:r w:rsidRPr="0062045B">
        <w:rPr>
          <w:rFonts w:ascii="Traditional Arabic" w:hAnsi="Traditional Arabic" w:hint="cs"/>
          <w:rtl/>
        </w:rPr>
        <w:t xml:space="preserve"> الشيء وتحريمه،</w:t>
      </w:r>
      <w:r w:rsidR="009C1A6E">
        <w:rPr>
          <w:rFonts w:ascii="Traditional Arabic" w:hAnsi="Traditional Arabic" w:hint="cs"/>
          <w:rtl/>
        </w:rPr>
        <w:t xml:space="preserve"> </w:t>
      </w:r>
      <w:r w:rsidRPr="0062045B">
        <w:rPr>
          <w:rFonts w:ascii="Traditional Arabic" w:hAnsi="Traditional Arabic" w:hint="cs"/>
          <w:rtl/>
        </w:rPr>
        <w:t xml:space="preserve">وتصحيح العمل وتكميله، أو </w:t>
      </w:r>
      <w:r w:rsidRPr="0062045B">
        <w:rPr>
          <w:rFonts w:ascii="Traditional Arabic" w:hAnsi="Traditional Arabic"/>
          <w:rtl/>
        </w:rPr>
        <w:t>ﺇ</w:t>
      </w:r>
      <w:r w:rsidRPr="0062045B">
        <w:rPr>
          <w:rFonts w:ascii="Traditional Arabic" w:hAnsi="Traditional Arabic" w:hint="cs"/>
          <w:rtl/>
        </w:rPr>
        <w:t>بطاله</w:t>
      </w:r>
      <w:r w:rsidR="00154102" w:rsidRPr="0062045B">
        <w:rPr>
          <w:rFonts w:ascii="Traditional Arabic" w:hAnsi="Traditional Arabic" w:hint="cs"/>
          <w:rtl/>
        </w:rPr>
        <w:t xml:space="preserve"> و</w:t>
      </w:r>
      <w:r w:rsidRPr="0062045B">
        <w:rPr>
          <w:rFonts w:ascii="Traditional Arabic" w:hAnsi="Traditional Arabic" w:hint="cs"/>
          <w:rtl/>
        </w:rPr>
        <w:t>ن</w:t>
      </w:r>
      <w:r w:rsidR="0062045B">
        <w:rPr>
          <w:rFonts w:ascii="Traditional Arabic" w:hAnsi="Traditional Arabic" w:hint="cs"/>
          <w:rtl/>
        </w:rPr>
        <w:t>ُ</w:t>
      </w:r>
      <w:r w:rsidRPr="0062045B">
        <w:rPr>
          <w:rFonts w:ascii="Traditional Arabic" w:hAnsi="Traditional Arabic" w:hint="cs"/>
          <w:rtl/>
        </w:rPr>
        <w:t>قصانه</w:t>
      </w:r>
      <w:r w:rsidRPr="0062045B">
        <w:rPr>
          <w:rFonts w:ascii="Traditional Arabic" w:hAnsi="Traditional Arabic" w:hint="cs"/>
          <w:szCs w:val="32"/>
          <w:vertAlign w:val="superscript"/>
          <w:rtl/>
        </w:rPr>
        <w:t>(</w:t>
      </w:r>
      <w:r w:rsidRPr="0062045B">
        <w:rPr>
          <w:rStyle w:val="af1"/>
          <w:rFonts w:ascii="Traditional Arabic" w:hAnsi="Traditional Arabic"/>
          <w:szCs w:val="32"/>
          <w:rtl/>
        </w:rPr>
        <w:footnoteReference w:id="707"/>
      </w:r>
      <w:r w:rsidRPr="0062045B">
        <w:rPr>
          <w:rFonts w:ascii="Traditional Arabic" w:hAnsi="Traditional Arabic" w:hint="cs"/>
          <w:szCs w:val="32"/>
          <w:vertAlign w:val="superscript"/>
          <w:rtl/>
        </w:rPr>
        <w:t>)</w:t>
      </w:r>
      <w:r w:rsidRPr="0062045B">
        <w:rPr>
          <w:rFonts w:ascii="Traditional Arabic" w:hAnsi="Traditional Arabic" w:hint="cs"/>
          <w:rtl/>
        </w:rPr>
        <w:t>.</w:t>
      </w:r>
    </w:p>
    <w:p w:rsidR="00EA1AAD" w:rsidRPr="002A6954" w:rsidRDefault="00E13EBE" w:rsidP="00A8347C">
      <w:pPr>
        <w:pStyle w:val="aff3"/>
        <w:rPr>
          <w:rtl/>
        </w:rPr>
      </w:pPr>
      <w:bookmarkStart w:id="139" w:name="_Toc334046386"/>
      <w:r>
        <w:rPr>
          <w:rFonts w:hint="cs"/>
          <w:rtl/>
        </w:rPr>
        <w:t xml:space="preserve"> </w:t>
      </w:r>
      <w:r w:rsidR="00B84700">
        <w:rPr>
          <w:rFonts w:hint="cs"/>
          <w:rtl/>
        </w:rPr>
        <w:t xml:space="preserve">                           </w:t>
      </w:r>
      <w:r>
        <w:rPr>
          <w:rFonts w:hint="cs"/>
          <w:rtl/>
        </w:rPr>
        <w:t xml:space="preserve">            </w:t>
      </w:r>
      <w:r w:rsidR="00EA1AAD" w:rsidRPr="006947B3">
        <w:rPr>
          <w:rFonts w:hint="cs"/>
          <w:rtl/>
        </w:rPr>
        <w:t>المطلب الثالث</w:t>
      </w:r>
      <w:r w:rsidR="00EA1AAD">
        <w:rPr>
          <w:rFonts w:hint="eastAsia"/>
          <w:rtl/>
        </w:rPr>
        <w:t> :</w:t>
      </w:r>
      <w:r w:rsidR="00EA1AAD">
        <w:rPr>
          <w:rFonts w:hint="cs"/>
          <w:rtl/>
        </w:rPr>
        <w:br/>
      </w:r>
      <w:r>
        <w:rPr>
          <w:rFonts w:hint="cs"/>
          <w:rtl/>
        </w:rPr>
        <w:t xml:space="preserve">            </w:t>
      </w:r>
      <w:r w:rsidR="00B84700">
        <w:rPr>
          <w:rFonts w:hint="cs"/>
          <w:rtl/>
        </w:rPr>
        <w:t xml:space="preserve">                              </w:t>
      </w:r>
      <w:r w:rsidR="00EA1AAD">
        <w:rPr>
          <w:rFonts w:hint="cs"/>
          <w:rtl/>
        </w:rPr>
        <w:t>أدلة القاعدة</w:t>
      </w:r>
      <w:bookmarkEnd w:id="139"/>
    </w:p>
    <w:p w:rsidR="00EA1AAD" w:rsidRPr="002A6954" w:rsidRDefault="00EA1AAD" w:rsidP="000A76C7">
      <w:pPr>
        <w:pStyle w:val="afc"/>
        <w:numPr>
          <w:ilvl w:val="0"/>
          <w:numId w:val="109"/>
        </w:numPr>
        <w:rPr>
          <w:rFonts w:ascii="Traditional Arabic" w:hAnsi="Traditional Arabic"/>
          <w:rtl/>
        </w:rPr>
      </w:pPr>
      <w:r w:rsidRPr="002A6954">
        <w:rPr>
          <w:rFonts w:ascii="Traditional Arabic" w:hAnsi="Traditional Arabic" w:hint="cs"/>
          <w:rtl/>
        </w:rPr>
        <w:t>قوله تعالى:</w:t>
      </w:r>
      <w:bookmarkStart w:id="140" w:name="سورة_الزمر_2"/>
      <w:r w:rsidRPr="002A6954">
        <w:rPr>
          <w:rFonts w:ascii="QCF_BSML" w:hAnsi="QCF_BSML" w:cs="QCF_BSML"/>
          <w:noProof w:val="0"/>
          <w:rtl/>
          <w:lang w:eastAsia="en-US"/>
        </w:rPr>
        <w:t xml:space="preserve">ﭽ </w:t>
      </w:r>
      <w:r w:rsidRPr="002A6954">
        <w:rPr>
          <w:rFonts w:ascii="QCF_P458" w:hAnsi="QCF_P458" w:cs="QCF_P458"/>
          <w:noProof w:val="0"/>
          <w:rtl/>
          <w:lang w:eastAsia="en-US"/>
        </w:rPr>
        <w:t>ﮀﮁﮂﮃﮄ</w:t>
      </w:r>
      <w:r w:rsidRPr="002A6954">
        <w:rPr>
          <w:rFonts w:ascii="QCF_BSML" w:hAnsi="QCF_BSML" w:cs="QCF_BSML"/>
          <w:noProof w:val="0"/>
          <w:rtl/>
          <w:lang w:eastAsia="en-US"/>
        </w:rPr>
        <w:t>ﭼ</w:t>
      </w:r>
      <w:bookmarkEnd w:id="140"/>
      <w:r w:rsidRPr="002A6954">
        <w:rPr>
          <w:rFonts w:ascii="Traditional Arabic" w:hAnsi="Traditional Arabic"/>
          <w:rtl/>
        </w:rPr>
        <w:t>[الزمر: ٢]</w:t>
      </w:r>
      <w:r w:rsidRPr="002A6954">
        <w:rPr>
          <w:rFonts w:ascii="Traditional Arabic" w:hAnsi="Traditional Arabic" w:hint="cs"/>
          <w:rtl/>
        </w:rPr>
        <w:t>.</w:t>
      </w:r>
    </w:p>
    <w:p w:rsidR="00822C6A" w:rsidRDefault="00EA1AAD" w:rsidP="00597C20">
      <w:pPr>
        <w:pStyle w:val="53"/>
        <w:rPr>
          <w:rtl/>
        </w:rPr>
      </w:pPr>
      <w:r>
        <w:rPr>
          <w:rFonts w:hint="cs"/>
          <w:rtl/>
        </w:rPr>
        <w:t>وجه الدلالة:</w:t>
      </w:r>
    </w:p>
    <w:p w:rsidR="00EA1AAD" w:rsidRDefault="00EA1AAD" w:rsidP="00597C20">
      <w:pPr>
        <w:ind w:firstLine="720"/>
        <w:rPr>
          <w:rFonts w:ascii="Traditional Arabic" w:hAnsi="Traditional Arabic"/>
          <w:rtl/>
        </w:rPr>
      </w:pPr>
      <w:r>
        <w:rPr>
          <w:rFonts w:ascii="Traditional Arabic" w:hAnsi="Traditional Arabic" w:hint="cs"/>
          <w:rtl/>
        </w:rPr>
        <w:t xml:space="preserve">قال الشيخ ابن عثيمين </w:t>
      </w:r>
      <w:r w:rsidR="0062045B">
        <w:rPr>
          <w:rFonts w:ascii="Traditional Arabic" w:hAnsi="Traditional Arabic" w:hint="cs"/>
          <w:rtl/>
        </w:rPr>
        <w:t>_</w:t>
      </w:r>
      <w:r w:rsidR="009A0575" w:rsidRPr="005D5694">
        <w:rPr>
          <w:rFonts w:ascii="Traditional Arabic" w:hAnsi="Traditional Arabic" w:cs="CTraditional Arabic" w:hint="cs"/>
          <w:rtl/>
        </w:rPr>
        <w:t>/</w:t>
      </w:r>
      <w:r w:rsidR="0062045B">
        <w:rPr>
          <w:rFonts w:ascii="Traditional Arabic" w:hAnsi="Traditional Arabic" w:hint="cs"/>
          <w:rtl/>
        </w:rPr>
        <w:t>_</w:t>
      </w:r>
      <w:r>
        <w:rPr>
          <w:rFonts w:ascii="Traditional Arabic" w:hAnsi="Traditional Arabic" w:hint="cs"/>
          <w:rtl/>
        </w:rPr>
        <w:t xml:space="preserve"> عند ذكره لفوائد الآية:</w:t>
      </w:r>
      <w:r w:rsidR="009C1A6E">
        <w:rPr>
          <w:rFonts w:ascii="Traditional Arabic" w:hAnsi="Traditional Arabic" w:hint="cs"/>
          <w:rtl/>
        </w:rPr>
        <w:t xml:space="preserve"> </w:t>
      </w:r>
      <w:r>
        <w:rPr>
          <w:rFonts w:ascii="Traditional Arabic" w:hAnsi="Traditional Arabic" w:hint="cs"/>
          <w:rtl/>
        </w:rPr>
        <w:t>(ا</w:t>
      </w:r>
      <w:r>
        <w:rPr>
          <w:rFonts w:ascii="Traditional Arabic" w:hAnsi="Traditional Arabic"/>
          <w:rtl/>
        </w:rPr>
        <w:t>ﻹ</w:t>
      </w:r>
      <w:r>
        <w:rPr>
          <w:rFonts w:ascii="Traditional Arabic" w:hAnsi="Traditional Arabic" w:hint="cs"/>
          <w:rtl/>
        </w:rPr>
        <w:t>شارة</w:t>
      </w:r>
      <w:r>
        <w:rPr>
          <w:rFonts w:ascii="Traditional Arabic" w:hAnsi="Traditional Arabic"/>
          <w:rtl/>
        </w:rPr>
        <w:t>ﺇ</w:t>
      </w:r>
      <w:r>
        <w:rPr>
          <w:rFonts w:ascii="Traditional Arabic" w:hAnsi="Traditional Arabic" w:hint="cs"/>
          <w:rtl/>
        </w:rPr>
        <w:t xml:space="preserve">لى </w:t>
      </w:r>
      <w:r w:rsidRPr="0062045B">
        <w:rPr>
          <w:rFonts w:ascii="Traditional Arabic" w:hAnsi="Traditional Arabic" w:hint="cs"/>
          <w:rtl/>
        </w:rPr>
        <w:t>نية المعمول له،</w:t>
      </w:r>
      <w:r w:rsidR="00E13EBE">
        <w:rPr>
          <w:rFonts w:ascii="Traditional Arabic" w:hAnsi="Traditional Arabic" w:hint="cs"/>
          <w:rtl/>
        </w:rPr>
        <w:t xml:space="preserve"> </w:t>
      </w:r>
      <w:r>
        <w:rPr>
          <w:rFonts w:ascii="Traditional Arabic" w:hAnsi="Traditional Arabic" w:hint="cs"/>
          <w:rtl/>
        </w:rPr>
        <w:t>حينما تعمل تريد التقر</w:t>
      </w:r>
      <w:r>
        <w:rPr>
          <w:rFonts w:ascii="Traditional Arabic" w:hAnsi="Traditional Arabic"/>
          <w:rtl/>
        </w:rPr>
        <w:t>ّ</w:t>
      </w:r>
      <w:r>
        <w:rPr>
          <w:rFonts w:ascii="Traditional Arabic" w:hAnsi="Traditional Arabic" w:hint="cs"/>
          <w:rtl/>
        </w:rPr>
        <w:t xml:space="preserve">ب </w:t>
      </w:r>
      <w:r>
        <w:rPr>
          <w:rFonts w:ascii="Traditional Arabic" w:hAnsi="Traditional Arabic"/>
          <w:rtl/>
        </w:rPr>
        <w:t>ﺇ</w:t>
      </w:r>
      <w:r>
        <w:rPr>
          <w:rFonts w:ascii="Traditional Arabic" w:hAnsi="Traditional Arabic" w:hint="cs"/>
          <w:rtl/>
        </w:rPr>
        <w:t>لى الله-</w:t>
      </w:r>
      <w:r w:rsidR="00866D6A" w:rsidRPr="00866D6A">
        <w:rPr>
          <w:rFonts w:ascii="Traditional Arabic" w:hAnsi="Traditional Arabic" w:hint="cs"/>
          <w:noProof w:val="0"/>
          <w:color w:val="auto"/>
          <w:rtl/>
          <w:lang w:eastAsia="en-US"/>
        </w:rPr>
        <w:sym w:font="AGA Arabesque" w:char="F055"/>
      </w:r>
      <w:r>
        <w:rPr>
          <w:rFonts w:ascii="Traditional Arabic" w:hAnsi="Traditional Arabic" w:hint="cs"/>
          <w:rtl/>
        </w:rPr>
        <w:t>-بامتثال أمره)</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08"/>
      </w:r>
      <w:r w:rsidRPr="00C821A1">
        <w:rPr>
          <w:rFonts w:ascii="Traditional Arabic" w:hAnsi="Traditional Arabic" w:hint="cs"/>
          <w:szCs w:val="32"/>
          <w:vertAlign w:val="superscript"/>
          <w:rtl/>
        </w:rPr>
        <w:t>)</w:t>
      </w:r>
      <w:r>
        <w:rPr>
          <w:rFonts w:ascii="Traditional Arabic" w:hAnsi="Traditional Arabic" w:hint="cs"/>
          <w:rtl/>
        </w:rPr>
        <w:t>.</w:t>
      </w:r>
    </w:p>
    <w:p w:rsidR="00065E4B" w:rsidRPr="002A6954" w:rsidRDefault="00EA1AAD" w:rsidP="000A76C7">
      <w:pPr>
        <w:pStyle w:val="afc"/>
        <w:numPr>
          <w:ilvl w:val="0"/>
          <w:numId w:val="109"/>
        </w:numPr>
        <w:rPr>
          <w:rFonts w:ascii="Traditional Arabic" w:hAnsi="Traditional Arabic"/>
          <w:rtl/>
        </w:rPr>
      </w:pPr>
      <w:r w:rsidRPr="002A6954">
        <w:rPr>
          <w:rFonts w:ascii="Traditional Arabic" w:hAnsi="Traditional Arabic" w:hint="cs"/>
          <w:rtl/>
        </w:rPr>
        <w:lastRenderedPageBreak/>
        <w:t>قوله تعالى:</w:t>
      </w:r>
      <w:bookmarkStart w:id="141" w:name="سورة_الشورى_20"/>
      <w:r w:rsidRPr="002A6954">
        <w:rPr>
          <w:rFonts w:ascii="QCF_BSML" w:hAnsi="QCF_BSML" w:cs="QCF_BSML"/>
          <w:noProof w:val="0"/>
          <w:rtl/>
          <w:lang w:eastAsia="en-US"/>
        </w:rPr>
        <w:t>ﭽ</w:t>
      </w:r>
      <w:r w:rsidRPr="002A6954">
        <w:rPr>
          <w:rFonts w:ascii="QCF_P485" w:hAnsi="QCF_P485" w:cs="QCF_P485"/>
          <w:noProof w:val="0"/>
          <w:rtl/>
          <w:lang w:eastAsia="en-US"/>
        </w:rPr>
        <w:t>ﮕﮖﮗﮘﮙﮚﮛ</w:t>
      </w:r>
      <w:r w:rsidR="00E13EBE">
        <w:rPr>
          <w:rFonts w:ascii="QCF_P485" w:hAnsi="QCF_P485" w:cs="QCF_P485" w:hint="cs"/>
          <w:noProof w:val="0"/>
          <w:rtl/>
          <w:lang w:eastAsia="en-US"/>
        </w:rPr>
        <w:t xml:space="preserve"> </w:t>
      </w:r>
      <w:r w:rsidRPr="002A6954">
        <w:rPr>
          <w:rFonts w:ascii="QCF_P485" w:hAnsi="QCF_P485" w:cs="QCF_P485"/>
          <w:noProof w:val="0"/>
          <w:rtl/>
          <w:lang w:eastAsia="en-US"/>
        </w:rPr>
        <w:t xml:space="preserve"> </w:t>
      </w:r>
      <w:r w:rsidR="00E13EBE">
        <w:rPr>
          <w:rFonts w:ascii="QCF_P485" w:hAnsi="QCF_P485" w:cs="QCF_P485" w:hint="cs"/>
          <w:noProof w:val="0"/>
          <w:rtl/>
          <w:lang w:eastAsia="en-US"/>
        </w:rPr>
        <w:t xml:space="preserve"> </w:t>
      </w:r>
      <w:r w:rsidRPr="002A6954">
        <w:rPr>
          <w:rFonts w:ascii="QCF_P485" w:hAnsi="QCF_P485" w:cs="QCF_P485"/>
          <w:noProof w:val="0"/>
          <w:rtl/>
          <w:lang w:eastAsia="en-US"/>
        </w:rPr>
        <w:t>ﮜﮝ</w:t>
      </w:r>
      <w:r w:rsidRPr="002A6954">
        <w:rPr>
          <w:rFonts w:ascii="QCF_P485" w:hAnsi="QCF_P485" w:cs="QCF_P485"/>
          <w:noProof w:val="0"/>
          <w:color w:val="0000A5"/>
          <w:rtl/>
          <w:lang w:eastAsia="en-US"/>
        </w:rPr>
        <w:t>ﮞ</w:t>
      </w:r>
      <w:r w:rsidRPr="002A6954">
        <w:rPr>
          <w:rFonts w:ascii="QCF_P485" w:hAnsi="QCF_P485" w:cs="QCF_P485"/>
          <w:noProof w:val="0"/>
          <w:rtl/>
          <w:lang w:eastAsia="en-US"/>
        </w:rPr>
        <w:t>ﮟﮠﮡ</w:t>
      </w:r>
      <w:r w:rsidR="007C4906">
        <w:rPr>
          <w:rFonts w:ascii="QCF_P485" w:hAnsi="QCF_P485" w:cs="QCF_P485"/>
          <w:noProof w:val="0"/>
          <w:rtl/>
          <w:lang w:eastAsia="en-US"/>
        </w:rPr>
        <w:t>ﮢ</w:t>
      </w:r>
      <w:r w:rsidR="00E13EBE">
        <w:rPr>
          <w:rFonts w:ascii="QCF_P485" w:hAnsi="QCF_P485" w:cs="QCF_P485" w:hint="cs"/>
          <w:noProof w:val="0"/>
          <w:rtl/>
          <w:lang w:eastAsia="en-US"/>
        </w:rPr>
        <w:t xml:space="preserve"> </w:t>
      </w:r>
      <w:r w:rsidR="007C4906">
        <w:rPr>
          <w:rFonts w:ascii="QCF_P485" w:hAnsi="QCF_P485" w:cs="QCF_P485"/>
          <w:noProof w:val="0"/>
          <w:rtl/>
          <w:lang w:eastAsia="en-US"/>
        </w:rPr>
        <w:t>ﮣ</w:t>
      </w:r>
      <w:r w:rsidR="00E13EBE">
        <w:rPr>
          <w:rFonts w:ascii="QCF_P485" w:hAnsi="QCF_P485" w:cs="QCF_P485" w:hint="cs"/>
          <w:noProof w:val="0"/>
          <w:rtl/>
          <w:lang w:eastAsia="en-US"/>
        </w:rPr>
        <w:t xml:space="preserve"> </w:t>
      </w:r>
      <w:r w:rsidR="007C4906">
        <w:rPr>
          <w:rFonts w:ascii="QCF_P485" w:hAnsi="QCF_P485" w:cs="QCF_P485"/>
          <w:noProof w:val="0"/>
          <w:rtl/>
          <w:lang w:eastAsia="en-US"/>
        </w:rPr>
        <w:t>ﮤ</w:t>
      </w:r>
      <w:r w:rsidR="00E13EBE">
        <w:rPr>
          <w:rFonts w:ascii="QCF_P485" w:hAnsi="QCF_P485" w:cs="QCF_P485" w:hint="cs"/>
          <w:noProof w:val="0"/>
          <w:rtl/>
          <w:lang w:eastAsia="en-US"/>
        </w:rPr>
        <w:t xml:space="preserve"> </w:t>
      </w:r>
      <w:r w:rsidR="007C4906">
        <w:rPr>
          <w:rFonts w:ascii="QCF_P485" w:hAnsi="QCF_P485" w:cs="QCF_P485"/>
          <w:noProof w:val="0"/>
          <w:rtl/>
          <w:lang w:eastAsia="en-US"/>
        </w:rPr>
        <w:t>ﮥ</w:t>
      </w:r>
      <w:r w:rsidR="00E13EBE">
        <w:rPr>
          <w:rFonts w:ascii="QCF_P485" w:hAnsi="QCF_P485" w:cs="QCF_P485" w:hint="cs"/>
          <w:noProof w:val="0"/>
          <w:rtl/>
          <w:lang w:eastAsia="en-US"/>
        </w:rPr>
        <w:t xml:space="preserve">  </w:t>
      </w:r>
      <w:r w:rsidR="007C4906">
        <w:rPr>
          <w:rFonts w:ascii="QCF_P485" w:hAnsi="QCF_P485" w:cs="QCF_P485"/>
          <w:noProof w:val="0"/>
          <w:rtl/>
          <w:lang w:eastAsia="en-US"/>
        </w:rPr>
        <w:t>ﮦﮧ</w:t>
      </w:r>
      <w:r w:rsidR="00E13EBE">
        <w:rPr>
          <w:rFonts w:ascii="QCF_P485" w:hAnsi="QCF_P485" w:cs="QCF_P485" w:hint="cs"/>
          <w:noProof w:val="0"/>
          <w:rtl/>
          <w:lang w:eastAsia="en-US"/>
        </w:rPr>
        <w:t xml:space="preserve"> </w:t>
      </w:r>
      <w:r w:rsidR="007C4906">
        <w:rPr>
          <w:rFonts w:ascii="QCF_P485" w:hAnsi="QCF_P485" w:cs="QCF_P485"/>
          <w:noProof w:val="0"/>
          <w:rtl/>
          <w:lang w:eastAsia="en-US"/>
        </w:rPr>
        <w:t>ﮨ</w:t>
      </w:r>
      <w:r w:rsidR="00E13EBE">
        <w:rPr>
          <w:rFonts w:ascii="QCF_P485" w:hAnsi="QCF_P485" w:cs="QCF_P485" w:hint="cs"/>
          <w:noProof w:val="0"/>
          <w:rtl/>
          <w:lang w:eastAsia="en-US"/>
        </w:rPr>
        <w:t xml:space="preserve"> </w:t>
      </w:r>
      <w:r w:rsidR="007C4906">
        <w:rPr>
          <w:rFonts w:ascii="QCF_P485" w:hAnsi="QCF_P485" w:cs="QCF_P485"/>
          <w:noProof w:val="0"/>
          <w:rtl/>
          <w:lang w:eastAsia="en-US"/>
        </w:rPr>
        <w:t>ﮩ</w:t>
      </w:r>
      <w:r w:rsidR="00E13EBE">
        <w:rPr>
          <w:rFonts w:ascii="QCF_P485" w:hAnsi="QCF_P485" w:cs="QCF_P485" w:hint="cs"/>
          <w:noProof w:val="0"/>
          <w:rtl/>
          <w:lang w:eastAsia="en-US"/>
        </w:rPr>
        <w:t xml:space="preserve"> </w:t>
      </w:r>
      <w:r w:rsidR="007C4906">
        <w:rPr>
          <w:rFonts w:ascii="QCF_P485" w:hAnsi="QCF_P485" w:cs="QCF_P485"/>
          <w:noProof w:val="0"/>
          <w:rtl/>
          <w:lang w:eastAsia="en-US"/>
        </w:rPr>
        <w:t>ﮪ</w:t>
      </w:r>
      <w:r w:rsidR="00E13EBE">
        <w:rPr>
          <w:rFonts w:ascii="QCF_P485" w:hAnsi="QCF_P485" w:cs="QCF_P485" w:hint="cs"/>
          <w:noProof w:val="0"/>
          <w:rtl/>
          <w:lang w:eastAsia="en-US"/>
        </w:rPr>
        <w:t xml:space="preserve"> </w:t>
      </w:r>
      <w:r w:rsidR="007C4906">
        <w:rPr>
          <w:rFonts w:ascii="QCF_P485" w:hAnsi="QCF_P485" w:cs="QCF_P485"/>
          <w:noProof w:val="0"/>
          <w:rtl/>
          <w:lang w:eastAsia="en-US"/>
        </w:rPr>
        <w:t>ﮫ</w:t>
      </w:r>
      <w:r w:rsidRPr="002A6954">
        <w:rPr>
          <w:rFonts w:ascii="QCF_BSML" w:hAnsi="QCF_BSML" w:cs="QCF_BSML"/>
          <w:noProof w:val="0"/>
          <w:rtl/>
          <w:lang w:eastAsia="en-US"/>
        </w:rPr>
        <w:t>ﭼ</w:t>
      </w:r>
      <w:bookmarkEnd w:id="141"/>
      <w:r w:rsidRPr="002A6954">
        <w:rPr>
          <w:rFonts w:ascii="Traditional Arabic" w:hAnsi="Traditional Arabic"/>
          <w:rtl/>
        </w:rPr>
        <w:t>[الشورى: ٢٠</w:t>
      </w:r>
      <w:r w:rsidRPr="002A6954">
        <w:rPr>
          <w:rFonts w:ascii="Traditional Arabic" w:hAnsi="Traditional Arabic"/>
        </w:rPr>
        <w:t>.[</w:t>
      </w:r>
    </w:p>
    <w:p w:rsidR="00822C6A" w:rsidRDefault="00065E4B" w:rsidP="00597C20">
      <w:pPr>
        <w:pStyle w:val="53"/>
        <w:rPr>
          <w:rtl/>
        </w:rPr>
      </w:pPr>
      <w:r>
        <w:rPr>
          <w:rFonts w:hint="cs"/>
          <w:rtl/>
        </w:rPr>
        <w:t>و</w:t>
      </w:r>
      <w:r w:rsidR="00EA1AAD">
        <w:rPr>
          <w:rFonts w:hint="cs"/>
          <w:rtl/>
        </w:rPr>
        <w:t>جه الدلالة:</w:t>
      </w:r>
    </w:p>
    <w:p w:rsidR="00EA1AAD" w:rsidRPr="002A6954" w:rsidRDefault="00EA1AAD" w:rsidP="00597C20">
      <w:pPr>
        <w:ind w:firstLine="720"/>
        <w:rPr>
          <w:rFonts w:ascii="Traditional Arabic" w:hAnsi="Traditional Arabic"/>
          <w:rtl/>
        </w:rPr>
      </w:pPr>
      <w:r>
        <w:rPr>
          <w:rFonts w:ascii="Traditional Arabic" w:hAnsi="Traditional Arabic" w:hint="cs"/>
          <w:rtl/>
        </w:rPr>
        <w:t xml:space="preserve">قال الشيخ ابن عثيمين </w:t>
      </w:r>
      <w:r w:rsidR="0062045B">
        <w:rPr>
          <w:rFonts w:ascii="Traditional Arabic" w:hAnsi="Traditional Arabic" w:hint="cs"/>
          <w:rtl/>
        </w:rPr>
        <w:t>_</w:t>
      </w:r>
      <w:r w:rsidR="009A0575" w:rsidRPr="005D5694">
        <w:rPr>
          <w:rFonts w:ascii="Traditional Arabic" w:hAnsi="Traditional Arabic" w:cs="CTraditional Arabic" w:hint="cs"/>
          <w:rtl/>
        </w:rPr>
        <w:t>/</w:t>
      </w:r>
      <w:r w:rsidR="0062045B">
        <w:rPr>
          <w:rFonts w:ascii="Traditional Arabic" w:hAnsi="Traditional Arabic" w:hint="cs"/>
          <w:rtl/>
        </w:rPr>
        <w:t>_</w:t>
      </w:r>
      <w:r>
        <w:rPr>
          <w:rFonts w:ascii="Traditional Arabic" w:hAnsi="Traditional Arabic" w:hint="cs"/>
          <w:rtl/>
        </w:rPr>
        <w:t xml:space="preserve"> في معر</w:t>
      </w:r>
      <w:r w:rsidR="0062045B">
        <w:rPr>
          <w:rFonts w:ascii="Traditional Arabic" w:hAnsi="Traditional Arabic" w:hint="cs"/>
          <w:rtl/>
        </w:rPr>
        <w:t>ِ</w:t>
      </w:r>
      <w:r>
        <w:rPr>
          <w:rFonts w:ascii="Traditional Arabic" w:hAnsi="Traditional Arabic" w:hint="cs"/>
          <w:rtl/>
        </w:rPr>
        <w:t>ض ذ</w:t>
      </w:r>
      <w:r>
        <w:rPr>
          <w:rFonts w:ascii="Traditional Arabic" w:hAnsi="Traditional Arabic"/>
          <w:rtl/>
        </w:rPr>
        <w:t>ِ</w:t>
      </w:r>
      <w:r>
        <w:rPr>
          <w:rFonts w:ascii="Traditional Arabic" w:hAnsi="Traditional Arabic" w:hint="cs"/>
          <w:rtl/>
        </w:rPr>
        <w:t>ك</w:t>
      </w:r>
      <w:r>
        <w:rPr>
          <w:rFonts w:ascii="Traditional Arabic" w:hAnsi="Traditional Arabic"/>
          <w:rtl/>
        </w:rPr>
        <w:t>ْ</w:t>
      </w:r>
      <w:r>
        <w:rPr>
          <w:rFonts w:ascii="Traditional Arabic" w:hAnsi="Traditional Arabic" w:hint="cs"/>
          <w:rtl/>
        </w:rPr>
        <w:t>ره لفوائد الآية:(ا</w:t>
      </w:r>
      <w:r>
        <w:rPr>
          <w:rFonts w:ascii="Traditional Arabic" w:hAnsi="Traditional Arabic"/>
          <w:rtl/>
        </w:rPr>
        <w:t>ﻹ</w:t>
      </w:r>
      <w:r>
        <w:rPr>
          <w:rFonts w:ascii="Traditional Arabic" w:hAnsi="Traditional Arabic" w:hint="cs"/>
          <w:rtl/>
        </w:rPr>
        <w:t>شارة</w:t>
      </w:r>
      <w:r w:rsidR="0062045B">
        <w:rPr>
          <w:rFonts w:ascii="Traditional Arabic" w:hAnsi="Traditional Arabic" w:hint="cs"/>
          <w:rtl/>
        </w:rPr>
        <w:t xml:space="preserve"> </w:t>
      </w:r>
      <w:r>
        <w:rPr>
          <w:rFonts w:ascii="Traditional Arabic" w:hAnsi="Traditional Arabic"/>
          <w:rtl/>
        </w:rPr>
        <w:t>ﺇ</w:t>
      </w:r>
      <w:r>
        <w:rPr>
          <w:rFonts w:ascii="Traditional Arabic" w:hAnsi="Traditional Arabic" w:hint="cs"/>
          <w:rtl/>
        </w:rPr>
        <w:t xml:space="preserve">لى أن </w:t>
      </w:r>
      <w:r w:rsidRPr="0062045B">
        <w:rPr>
          <w:rFonts w:ascii="Traditional Arabic" w:hAnsi="Traditional Arabic" w:hint="cs"/>
          <w:rtl/>
        </w:rPr>
        <w:t>الأعمال بالنيات</w:t>
      </w:r>
      <w:r>
        <w:rPr>
          <w:rFonts w:ascii="Traditional Arabic" w:hAnsi="Traditional Arabic" w:hint="cs"/>
          <w:b/>
          <w:bCs/>
          <w:rtl/>
        </w:rPr>
        <w:t xml:space="preserve">، </w:t>
      </w:r>
      <w:r>
        <w:rPr>
          <w:rFonts w:ascii="Traditional Arabic" w:hAnsi="Traditional Arabic" w:hint="cs"/>
          <w:rtl/>
        </w:rPr>
        <w:t>لقوله تعالى:"يريد"،</w:t>
      </w:r>
      <w:r w:rsidR="0062045B">
        <w:rPr>
          <w:rFonts w:ascii="Traditional Arabic" w:hAnsi="Traditional Arabic" w:hint="cs"/>
          <w:rtl/>
        </w:rPr>
        <w:t xml:space="preserve"> </w:t>
      </w:r>
      <w:r>
        <w:rPr>
          <w:rFonts w:ascii="Traditional Arabic" w:hAnsi="Traditional Arabic" w:hint="cs"/>
          <w:rtl/>
        </w:rPr>
        <w:t xml:space="preserve">ففيه </w:t>
      </w:r>
      <w:r>
        <w:rPr>
          <w:rFonts w:ascii="Traditional Arabic" w:hAnsi="Traditional Arabic"/>
          <w:rtl/>
        </w:rPr>
        <w:t>ﺇ</w:t>
      </w:r>
      <w:r>
        <w:rPr>
          <w:rFonts w:ascii="Traditional Arabic" w:hAnsi="Traditional Arabic" w:hint="cs"/>
          <w:rtl/>
        </w:rPr>
        <w:t xml:space="preserve">شارة </w:t>
      </w:r>
      <w:r>
        <w:rPr>
          <w:rFonts w:ascii="Traditional Arabic" w:hAnsi="Traditional Arabic"/>
          <w:rtl/>
        </w:rPr>
        <w:t>ﺇ</w:t>
      </w:r>
      <w:r>
        <w:rPr>
          <w:rFonts w:ascii="Traditional Arabic" w:hAnsi="Traditional Arabic" w:hint="cs"/>
          <w:rtl/>
        </w:rPr>
        <w:t>لى ح</w:t>
      </w:r>
      <w:r>
        <w:rPr>
          <w:rFonts w:ascii="Traditional Arabic" w:hAnsi="Traditional Arabic"/>
          <w:rtl/>
        </w:rPr>
        <w:t>ُ</w:t>
      </w:r>
      <w:r>
        <w:rPr>
          <w:rFonts w:ascii="Traditional Arabic" w:hAnsi="Traditional Arabic" w:hint="cs"/>
          <w:rtl/>
        </w:rPr>
        <w:t>س</w:t>
      </w:r>
      <w:r>
        <w:rPr>
          <w:rFonts w:ascii="Traditional Arabic" w:hAnsi="Traditional Arabic"/>
          <w:rtl/>
        </w:rPr>
        <w:t>ْ</w:t>
      </w:r>
      <w:r>
        <w:rPr>
          <w:rFonts w:ascii="Traditional Arabic" w:hAnsi="Traditional Arabic" w:hint="cs"/>
          <w:rtl/>
        </w:rPr>
        <w:t>ن النية،</w:t>
      </w:r>
      <w:r w:rsidR="00154102">
        <w:rPr>
          <w:rFonts w:ascii="Traditional Arabic" w:hAnsi="Traditional Arabic" w:hint="cs"/>
          <w:rtl/>
        </w:rPr>
        <w:t xml:space="preserve"> و</w:t>
      </w:r>
      <w:r>
        <w:rPr>
          <w:rFonts w:ascii="Traditional Arabic" w:hAnsi="Traditional Arabic" w:hint="cs"/>
          <w:rtl/>
        </w:rPr>
        <w:t>أن ا</w:t>
      </w:r>
      <w:r>
        <w:rPr>
          <w:rFonts w:ascii="Traditional Arabic" w:hAnsi="Traditional Arabic"/>
          <w:rtl/>
        </w:rPr>
        <w:t>ﻹ</w:t>
      </w:r>
      <w:r>
        <w:rPr>
          <w:rFonts w:ascii="Traditional Arabic" w:hAnsi="Traditional Arabic" w:hint="cs"/>
          <w:rtl/>
        </w:rPr>
        <w:t xml:space="preserve">نسان ينبغي له </w:t>
      </w:r>
      <w:r>
        <w:rPr>
          <w:rFonts w:ascii="Traditional Arabic" w:hAnsi="Traditional Arabic"/>
          <w:rtl/>
        </w:rPr>
        <w:t>ﺇ</w:t>
      </w:r>
      <w:r>
        <w:rPr>
          <w:rFonts w:ascii="Traditional Arabic" w:hAnsi="Traditional Arabic" w:hint="cs"/>
          <w:rtl/>
        </w:rPr>
        <w:t>حسان النية)</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09"/>
      </w:r>
      <w:r w:rsidRPr="00C821A1">
        <w:rPr>
          <w:rFonts w:ascii="Traditional Arabic" w:hAnsi="Traditional Arabic" w:hint="cs"/>
          <w:szCs w:val="32"/>
          <w:vertAlign w:val="superscript"/>
          <w:rtl/>
        </w:rPr>
        <w:t>)</w:t>
      </w:r>
      <w:r>
        <w:rPr>
          <w:rFonts w:ascii="Traditional Arabic" w:hAnsi="Traditional Arabic" w:hint="cs"/>
          <w:rtl/>
        </w:rPr>
        <w:t>.</w:t>
      </w:r>
    </w:p>
    <w:p w:rsidR="00EA1AAD" w:rsidRPr="002A6954" w:rsidRDefault="00EA1AAD" w:rsidP="000A76C7">
      <w:pPr>
        <w:pStyle w:val="afc"/>
        <w:widowControl/>
        <w:numPr>
          <w:ilvl w:val="0"/>
          <w:numId w:val="109"/>
        </w:numPr>
        <w:autoSpaceDE w:val="0"/>
        <w:autoSpaceDN w:val="0"/>
        <w:adjustRightInd w:val="0"/>
        <w:rPr>
          <w:rFonts w:ascii="Traditional Arabic" w:hAnsi="Traditional Arabic"/>
          <w:rtl/>
        </w:rPr>
      </w:pPr>
      <w:r w:rsidRPr="002A6954">
        <w:rPr>
          <w:rFonts w:ascii="Traditional Arabic" w:hAnsi="Traditional Arabic" w:hint="cs"/>
          <w:rtl/>
        </w:rPr>
        <w:t xml:space="preserve">حديث عمر بن الخطاب </w:t>
      </w:r>
      <w:r w:rsidR="0062045B">
        <w:rPr>
          <w:rFonts w:ascii="Traditional Arabic" w:hAnsi="Traditional Arabic" w:hint="cs"/>
          <w:rtl/>
        </w:rPr>
        <w:t>_</w:t>
      </w:r>
      <w:r w:rsidR="009A0575">
        <w:rPr>
          <w:rFonts w:ascii="Traditional Arabic" w:hAnsi="Traditional Arabic" w:cs="CTraditional Arabic" w:hint="cs"/>
          <w:rtl/>
        </w:rPr>
        <w:t>ا</w:t>
      </w:r>
      <w:r w:rsidR="0062045B">
        <w:rPr>
          <w:rFonts w:ascii="Traditional Arabic" w:hAnsi="Traditional Arabic" w:hint="cs"/>
          <w:rtl/>
        </w:rPr>
        <w:t>_</w:t>
      </w:r>
      <w:r w:rsidRPr="002A6954">
        <w:rPr>
          <w:rFonts w:ascii="Traditional Arabic" w:hAnsi="Traditional Arabic"/>
          <w:rtl/>
        </w:rPr>
        <w:t>قال</w:t>
      </w:r>
      <w:r w:rsidRPr="002A6954">
        <w:rPr>
          <w:rFonts w:ascii="Traditional Arabic" w:hAnsi="Traditional Arabic" w:hint="cs"/>
          <w:rtl/>
        </w:rPr>
        <w:t>:"</w:t>
      </w:r>
      <w:r w:rsidRPr="002A6954">
        <w:rPr>
          <w:rFonts w:ascii="Traditional Arabic" w:hAnsi="Traditional Arabic"/>
          <w:rtl/>
        </w:rPr>
        <w:t xml:space="preserve"> سمعت</w:t>
      </w:r>
      <w:r w:rsidR="00DF4499">
        <w:rPr>
          <w:rFonts w:ascii="Traditional Arabic" w:hAnsi="Traditional Arabic" w:hint="cs"/>
          <w:rtl/>
        </w:rPr>
        <w:t xml:space="preserve"> </w:t>
      </w:r>
      <w:r w:rsidRPr="002A6954">
        <w:rPr>
          <w:rFonts w:ascii="Traditional Arabic" w:hAnsi="Traditional Arabic"/>
          <w:rtl/>
        </w:rPr>
        <w:t xml:space="preserve">رسول الله </w:t>
      </w:r>
      <w:r w:rsidRPr="002A6954">
        <w:rPr>
          <w:rFonts w:ascii="Traditional Arabic" w:hAnsi="Traditional Arabic" w:cs="CTraditional Arabic"/>
          <w:color w:val="auto"/>
          <w:rtl/>
        </w:rPr>
        <w:t>&gt;</w:t>
      </w:r>
      <w:r w:rsidRPr="002A6954">
        <w:rPr>
          <w:rFonts w:ascii="Traditional Arabic" w:hAnsi="Traditional Arabic"/>
          <w:rtl/>
        </w:rPr>
        <w:t xml:space="preserve"> يقول</w:t>
      </w:r>
      <w:r w:rsidRPr="002A6954">
        <w:rPr>
          <w:rFonts w:ascii="Traditional Arabic" w:hAnsi="Traditional Arabic" w:hint="cs"/>
          <w:rtl/>
        </w:rPr>
        <w:t>:</w:t>
      </w:r>
      <w:r w:rsidRPr="002A6954">
        <w:rPr>
          <w:rFonts w:ascii="Traditional Arabic" w:hAnsi="Traditional Arabic"/>
          <w:rtl/>
        </w:rPr>
        <w:t xml:space="preserve"> إنما الأعمال بالنيات وإنما لكل امرئ ما نوى</w:t>
      </w:r>
      <w:r w:rsidRPr="002A6954">
        <w:rPr>
          <w:rFonts w:ascii="Traditional Arabic" w:hAnsi="Traditional Arabic" w:hint="cs"/>
          <w:rtl/>
        </w:rPr>
        <w:t>،</w:t>
      </w:r>
      <w:r w:rsidRPr="002A6954">
        <w:rPr>
          <w:rFonts w:ascii="Traditional Arabic" w:hAnsi="Traditional Arabic"/>
          <w:rtl/>
        </w:rPr>
        <w:t xml:space="preserve"> فمن كانت هجرته إلى</w:t>
      </w:r>
      <w:r w:rsidRPr="002A6954">
        <w:rPr>
          <w:rFonts w:ascii="Traditional Arabic" w:hAnsi="Traditional Arabic" w:hint="cs"/>
          <w:rtl/>
        </w:rPr>
        <w:t xml:space="preserve"> الله</w:t>
      </w:r>
      <w:r w:rsidR="00154102">
        <w:rPr>
          <w:rFonts w:ascii="Traditional Arabic" w:hAnsi="Traditional Arabic" w:hint="cs"/>
          <w:rtl/>
        </w:rPr>
        <w:t xml:space="preserve"> و</w:t>
      </w:r>
      <w:r w:rsidRPr="002A6954">
        <w:rPr>
          <w:rFonts w:ascii="Traditional Arabic" w:hAnsi="Traditional Arabic" w:hint="cs"/>
          <w:rtl/>
        </w:rPr>
        <w:t xml:space="preserve">رسوله فهجرته </w:t>
      </w:r>
      <w:r w:rsidRPr="002A6954">
        <w:rPr>
          <w:rFonts w:ascii="Traditional Arabic" w:hAnsi="Traditional Arabic"/>
          <w:rtl/>
        </w:rPr>
        <w:t>ﺇلى</w:t>
      </w:r>
      <w:r w:rsidRPr="002A6954">
        <w:rPr>
          <w:rFonts w:ascii="Traditional Arabic" w:hAnsi="Traditional Arabic" w:hint="cs"/>
          <w:rtl/>
        </w:rPr>
        <w:t xml:space="preserve"> الله</w:t>
      </w:r>
      <w:r w:rsidR="00154102">
        <w:rPr>
          <w:rFonts w:ascii="Traditional Arabic" w:hAnsi="Traditional Arabic" w:hint="cs"/>
          <w:rtl/>
        </w:rPr>
        <w:t xml:space="preserve"> و</w:t>
      </w:r>
      <w:r w:rsidRPr="002A6954">
        <w:rPr>
          <w:rFonts w:ascii="Traditional Arabic" w:hAnsi="Traditional Arabic" w:hint="cs"/>
          <w:rtl/>
        </w:rPr>
        <w:t>رسوله،</w:t>
      </w:r>
      <w:r w:rsidR="00154102">
        <w:rPr>
          <w:rFonts w:ascii="Traditional Arabic" w:hAnsi="Traditional Arabic" w:hint="cs"/>
          <w:rtl/>
        </w:rPr>
        <w:t xml:space="preserve"> و</w:t>
      </w:r>
      <w:r w:rsidRPr="002A6954">
        <w:rPr>
          <w:rFonts w:ascii="Traditional Arabic" w:hAnsi="Traditional Arabic" w:hint="cs"/>
          <w:rtl/>
        </w:rPr>
        <w:t>من كانت هجرته</w:t>
      </w:r>
      <w:r w:rsidR="00E13EBE">
        <w:rPr>
          <w:rFonts w:ascii="Traditional Arabic" w:hAnsi="Traditional Arabic" w:hint="cs"/>
          <w:rtl/>
        </w:rPr>
        <w:t xml:space="preserve"> </w:t>
      </w:r>
      <w:r w:rsidRPr="002A6954">
        <w:rPr>
          <w:rFonts w:ascii="Traditional Arabic" w:hAnsi="Traditional Arabic" w:hint="cs"/>
          <w:rtl/>
        </w:rPr>
        <w:t>ل</w:t>
      </w:r>
      <w:r w:rsidRPr="002A6954">
        <w:rPr>
          <w:rFonts w:ascii="Traditional Arabic" w:hAnsi="Traditional Arabic"/>
          <w:rtl/>
        </w:rPr>
        <w:t>دنيا يصيبها</w:t>
      </w:r>
      <w:r w:rsidRPr="002A6954">
        <w:rPr>
          <w:rFonts w:ascii="Traditional Arabic" w:hAnsi="Traditional Arabic" w:hint="cs"/>
          <w:rtl/>
        </w:rPr>
        <w:t>،</w:t>
      </w:r>
      <w:r w:rsidRPr="002A6954">
        <w:rPr>
          <w:rFonts w:ascii="Traditional Arabic" w:hAnsi="Traditional Arabic"/>
          <w:rtl/>
        </w:rPr>
        <w:t xml:space="preserve"> أو امرأة ي</w:t>
      </w:r>
      <w:r w:rsidRPr="002A6954">
        <w:rPr>
          <w:rFonts w:ascii="Traditional Arabic" w:hAnsi="Traditional Arabic" w:hint="cs"/>
          <w:rtl/>
        </w:rPr>
        <w:t>تزوجها،</w:t>
      </w:r>
      <w:r w:rsidRPr="002A6954">
        <w:rPr>
          <w:rFonts w:ascii="Traditional Arabic" w:hAnsi="Traditional Arabic"/>
          <w:rtl/>
        </w:rPr>
        <w:t xml:space="preserve"> فهجرته إلى ما هاجر إليه</w:t>
      </w:r>
      <w:r w:rsidRPr="002A6954">
        <w:rPr>
          <w:rFonts w:ascii="Traditional Arabic" w:hAnsi="Traditional Arabic" w:hint="cs"/>
          <w:rtl/>
        </w:rPr>
        <w:t>"</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0"/>
      </w:r>
      <w:r w:rsidRPr="00C821A1">
        <w:rPr>
          <w:rFonts w:ascii="Traditional Arabic" w:hAnsi="Traditional Arabic" w:hint="cs"/>
          <w:szCs w:val="32"/>
          <w:vertAlign w:val="superscript"/>
          <w:rtl/>
        </w:rPr>
        <w:t>)</w:t>
      </w:r>
      <w:r w:rsidRPr="002A6954">
        <w:rPr>
          <w:rFonts w:ascii="Traditional Arabic" w:hAnsi="Traditional Arabic" w:hint="cs"/>
          <w:rtl/>
        </w:rPr>
        <w:t>.</w:t>
      </w:r>
    </w:p>
    <w:p w:rsidR="00EA1AAD" w:rsidRPr="002A6954" w:rsidRDefault="00EA1AAD" w:rsidP="000A76C7">
      <w:pPr>
        <w:pStyle w:val="afc"/>
        <w:widowControl/>
        <w:numPr>
          <w:ilvl w:val="0"/>
          <w:numId w:val="109"/>
        </w:numPr>
        <w:autoSpaceDE w:val="0"/>
        <w:autoSpaceDN w:val="0"/>
        <w:adjustRightInd w:val="0"/>
        <w:rPr>
          <w:rFonts w:ascii="Traditional Arabic" w:hAnsi="Traditional Arabic"/>
          <w:rtl/>
        </w:rPr>
      </w:pPr>
      <w:r w:rsidRPr="002A6954">
        <w:rPr>
          <w:rFonts w:ascii="Traditional Arabic" w:hAnsi="Traditional Arabic" w:hint="cs"/>
          <w:rtl/>
        </w:rPr>
        <w:t>حديث</w:t>
      </w:r>
      <w:r w:rsidRPr="002A6954">
        <w:rPr>
          <w:rFonts w:ascii="Traditional Arabic" w:hAnsi="Traditional Arabic"/>
          <w:rtl/>
        </w:rPr>
        <w:t xml:space="preserve"> عائشة</w:t>
      </w:r>
      <w:r w:rsidR="0062045B">
        <w:rPr>
          <w:rFonts w:ascii="Traditional Arabic" w:hAnsi="Traditional Arabic" w:hint="cs"/>
          <w:rtl/>
        </w:rPr>
        <w:t>_</w:t>
      </w:r>
      <w:r w:rsidR="00154102">
        <w:rPr>
          <w:rFonts w:ascii="Traditional Arabic" w:hAnsi="Traditional Arabic" w:cs="CTraditional Arabic" w:hint="cs"/>
          <w:noProof w:val="0"/>
          <w:color w:val="auto"/>
          <w:rtl/>
          <w:lang w:eastAsia="en-US"/>
        </w:rPr>
        <w:t>ل</w:t>
      </w:r>
      <w:r w:rsidR="0062045B">
        <w:rPr>
          <w:rFonts w:ascii="Traditional Arabic" w:hAnsi="Traditional Arabic" w:hint="cs"/>
          <w:rtl/>
        </w:rPr>
        <w:t>_</w:t>
      </w:r>
      <w:r w:rsidRPr="002A6954">
        <w:rPr>
          <w:rFonts w:ascii="Traditional Arabic" w:hAnsi="Traditional Arabic"/>
          <w:rtl/>
        </w:rPr>
        <w:t xml:space="preserve">قالت: قال رسول الله </w:t>
      </w:r>
      <w:r w:rsidRPr="002A6954">
        <w:rPr>
          <w:rFonts w:ascii="Traditional Arabic" w:hAnsi="Traditional Arabic" w:cs="CTraditional Arabic"/>
          <w:color w:val="auto"/>
          <w:rtl/>
        </w:rPr>
        <w:t>&gt;</w:t>
      </w:r>
      <w:r w:rsidRPr="002A6954">
        <w:rPr>
          <w:rFonts w:ascii="Traditional Arabic" w:hAnsi="Traditional Arabic"/>
          <w:rtl/>
        </w:rPr>
        <w:t xml:space="preserve">: </w:t>
      </w:r>
      <w:r w:rsidRPr="002A6954">
        <w:rPr>
          <w:rFonts w:ascii="Traditional Arabic" w:hAnsi="Traditional Arabic" w:hint="cs"/>
          <w:rtl/>
        </w:rPr>
        <w:t>"</w:t>
      </w:r>
      <w:r w:rsidRPr="002A6954">
        <w:rPr>
          <w:rFonts w:ascii="Traditional Arabic" w:hAnsi="Traditional Arabic"/>
          <w:rtl/>
        </w:rPr>
        <w:t>يغزو جيش الكعبة فإذا كانوا بِبَيْداء</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1"/>
      </w:r>
      <w:r w:rsidRPr="00C821A1">
        <w:rPr>
          <w:rFonts w:ascii="Traditional Arabic" w:hAnsi="Traditional Arabic" w:hint="cs"/>
          <w:szCs w:val="32"/>
          <w:vertAlign w:val="superscript"/>
          <w:rtl/>
        </w:rPr>
        <w:t>)</w:t>
      </w:r>
      <w:r w:rsidRPr="002A6954">
        <w:rPr>
          <w:rFonts w:ascii="Traditional Arabic" w:hAnsi="Traditional Arabic"/>
          <w:rtl/>
        </w:rPr>
        <w:t xml:space="preserve"> من الأرض يُخْسَف بأوّلهم وآخرهم</w:t>
      </w:r>
      <w:r w:rsidRPr="002A6954">
        <w:rPr>
          <w:rFonts w:ascii="Traditional Arabic" w:hAnsi="Traditional Arabic" w:hint="cs"/>
          <w:rtl/>
        </w:rPr>
        <w:t>.</w:t>
      </w:r>
      <w:r w:rsidRPr="002A6954">
        <w:rPr>
          <w:rFonts w:ascii="Traditional Arabic" w:hAnsi="Traditional Arabic"/>
          <w:rtl/>
        </w:rPr>
        <w:t xml:space="preserve"> قالت: قلت يا رسول الله، كيف يخسف بأولهم وآخرهم وفيهم أسواقهم</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2"/>
      </w:r>
      <w:r w:rsidRPr="00C821A1">
        <w:rPr>
          <w:rFonts w:ascii="Traditional Arabic" w:hAnsi="Traditional Arabic" w:hint="cs"/>
          <w:szCs w:val="32"/>
          <w:vertAlign w:val="superscript"/>
          <w:rtl/>
        </w:rPr>
        <w:t>)</w:t>
      </w:r>
      <w:r w:rsidRPr="002A6954">
        <w:rPr>
          <w:rFonts w:ascii="Traditional Arabic" w:hAnsi="Traditional Arabic"/>
          <w:rtl/>
        </w:rPr>
        <w:t xml:space="preserve"> ومن ليس منهم ؟ قال</w:t>
      </w:r>
      <w:r w:rsidRPr="002A6954">
        <w:rPr>
          <w:rFonts w:ascii="Traditional Arabic" w:hAnsi="Traditional Arabic" w:hint="cs"/>
          <w:rtl/>
        </w:rPr>
        <w:t>:</w:t>
      </w:r>
      <w:r w:rsidRPr="002A6954">
        <w:rPr>
          <w:rFonts w:ascii="Traditional Arabic" w:hAnsi="Traditional Arabic"/>
          <w:rtl/>
        </w:rPr>
        <w:t xml:space="preserve"> يخسف بأولهم وآخرهم، ثم يُبْعَثون على نياتهم</w:t>
      </w:r>
      <w:r w:rsidRPr="002A6954">
        <w:rPr>
          <w:rFonts w:ascii="Traditional Arabic" w:hAnsi="Traditional Arabic" w:hint="cs"/>
          <w:rtl/>
        </w:rPr>
        <w:t>"</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3"/>
      </w:r>
      <w:r w:rsidRPr="00C821A1">
        <w:rPr>
          <w:rFonts w:ascii="Traditional Arabic" w:hAnsi="Traditional Arabic" w:hint="cs"/>
          <w:szCs w:val="32"/>
          <w:vertAlign w:val="superscript"/>
          <w:rtl/>
        </w:rPr>
        <w:t>)</w:t>
      </w:r>
      <w:r w:rsidRPr="002A6954">
        <w:rPr>
          <w:rFonts w:ascii="Traditional Arabic" w:hAnsi="Traditional Arabic" w:hint="cs"/>
          <w:rtl/>
        </w:rPr>
        <w:t>.</w:t>
      </w:r>
    </w:p>
    <w:p w:rsidR="00822C6A" w:rsidRDefault="00EA1AAD" w:rsidP="00597C20">
      <w:pPr>
        <w:pStyle w:val="53"/>
        <w:rPr>
          <w:rtl/>
        </w:rPr>
      </w:pPr>
      <w:r>
        <w:rPr>
          <w:rFonts w:hint="cs"/>
          <w:rtl/>
        </w:rPr>
        <w:lastRenderedPageBreak/>
        <w:t>وجه الدلالة:</w:t>
      </w:r>
    </w:p>
    <w:p w:rsidR="00EA1AAD" w:rsidRPr="00D1495B" w:rsidRDefault="00EA1AAD" w:rsidP="00597C20">
      <w:pPr>
        <w:widowControl/>
        <w:autoSpaceDE w:val="0"/>
        <w:autoSpaceDN w:val="0"/>
        <w:adjustRightInd w:val="0"/>
        <w:ind w:firstLine="720"/>
        <w:jc w:val="left"/>
        <w:rPr>
          <w:rFonts w:ascii="Traditional Arabic" w:hAnsi="Traditional Arabic"/>
          <w:rtl/>
        </w:rPr>
      </w:pPr>
      <w:r>
        <w:rPr>
          <w:rFonts w:ascii="Traditional Arabic" w:hAnsi="Traditional Arabic" w:hint="cs"/>
          <w:rtl/>
        </w:rPr>
        <w:t>قال الشيخ-</w:t>
      </w:r>
      <w:r w:rsidRPr="005D5694">
        <w:rPr>
          <w:rFonts w:ascii="Traditional Arabic" w:hAnsi="Traditional Arabic" w:cs="CTraditional Arabic" w:hint="cs"/>
          <w:color w:val="auto"/>
          <w:rtl/>
        </w:rPr>
        <w:t>/</w:t>
      </w:r>
      <w:r>
        <w:rPr>
          <w:rFonts w:ascii="Traditional Arabic" w:hAnsi="Traditional Arabic" w:hint="cs"/>
          <w:rtl/>
        </w:rPr>
        <w:t xml:space="preserve">-:(و الشاهد من هذا الحديث قول الرسول </w:t>
      </w:r>
      <w:r w:rsidRPr="002E76E3">
        <w:rPr>
          <w:rFonts w:ascii="Traditional Arabic" w:hAnsi="Traditional Arabic" w:cs="CTraditional Arabic" w:hint="cs"/>
          <w:color w:val="auto"/>
          <w:rtl/>
        </w:rPr>
        <w:t>&gt;</w:t>
      </w:r>
      <w:r>
        <w:rPr>
          <w:rFonts w:ascii="Traditional Arabic" w:hAnsi="Traditional Arabic" w:hint="cs"/>
          <w:rtl/>
        </w:rPr>
        <w:t>:"</w:t>
      </w:r>
      <w:r w:rsidRPr="0062045B">
        <w:rPr>
          <w:rFonts w:ascii="Traditional Arabic" w:hAnsi="Traditional Arabic" w:hint="cs"/>
          <w:rtl/>
        </w:rPr>
        <w:t>ثم يبعثون على نياتهم</w:t>
      </w:r>
      <w:r>
        <w:rPr>
          <w:rFonts w:ascii="Traditional Arabic" w:hAnsi="Traditional Arabic" w:hint="cs"/>
          <w:rtl/>
        </w:rPr>
        <w:t>"،</w:t>
      </w:r>
      <w:r w:rsidR="00AA2F0F">
        <w:rPr>
          <w:rFonts w:ascii="Traditional Arabic" w:hAnsi="Traditional Arabic" w:hint="cs"/>
          <w:rtl/>
        </w:rPr>
        <w:t xml:space="preserve"> </w:t>
      </w:r>
      <w:r>
        <w:rPr>
          <w:rFonts w:ascii="Traditional Arabic" w:hAnsi="Traditional Arabic" w:hint="cs"/>
          <w:rtl/>
        </w:rPr>
        <w:t>فهو كقوله:"</w:t>
      </w:r>
      <w:r>
        <w:rPr>
          <w:rFonts w:ascii="Traditional Arabic" w:hAnsi="Traditional Arabic"/>
          <w:rtl/>
        </w:rPr>
        <w:t>إنم</w:t>
      </w:r>
      <w:r w:rsidRPr="001C3B75">
        <w:rPr>
          <w:rFonts w:ascii="Traditional Arabic" w:hAnsi="Traditional Arabic"/>
          <w:rtl/>
        </w:rPr>
        <w:t xml:space="preserve">ا </w:t>
      </w:r>
      <w:r>
        <w:rPr>
          <w:rFonts w:ascii="Traditional Arabic" w:hAnsi="Traditional Arabic"/>
          <w:rtl/>
        </w:rPr>
        <w:t>الأعمال ب</w:t>
      </w:r>
      <w:r w:rsidRPr="001C3B75">
        <w:rPr>
          <w:rFonts w:ascii="Traditional Arabic" w:hAnsi="Traditional Arabic"/>
          <w:rtl/>
        </w:rPr>
        <w:t>الن</w:t>
      </w:r>
      <w:r>
        <w:rPr>
          <w:rFonts w:ascii="Traditional Arabic" w:hAnsi="Traditional Arabic"/>
          <w:rtl/>
        </w:rPr>
        <w:t>ي</w:t>
      </w:r>
      <w:r w:rsidRPr="001C3B75">
        <w:rPr>
          <w:rFonts w:ascii="Traditional Arabic" w:hAnsi="Traditional Arabic"/>
          <w:rtl/>
        </w:rPr>
        <w:t>ات</w:t>
      </w:r>
      <w:r>
        <w:rPr>
          <w:rFonts w:ascii="Traditional Arabic" w:hAnsi="Traditional Arabic"/>
          <w:rtl/>
        </w:rPr>
        <w:t xml:space="preserve"> وإنم</w:t>
      </w:r>
      <w:r w:rsidRPr="001C3B75">
        <w:rPr>
          <w:rFonts w:ascii="Traditional Arabic" w:hAnsi="Traditional Arabic"/>
          <w:rtl/>
        </w:rPr>
        <w:t>ا</w:t>
      </w:r>
      <w:r>
        <w:rPr>
          <w:rFonts w:ascii="Traditional Arabic" w:hAnsi="Traditional Arabic"/>
          <w:rtl/>
        </w:rPr>
        <w:t xml:space="preserve"> لكل امرئ ما نو</w:t>
      </w:r>
      <w:r w:rsidRPr="001C3B75">
        <w:rPr>
          <w:rFonts w:ascii="Traditional Arabic" w:hAnsi="Traditional Arabic"/>
          <w:rtl/>
        </w:rPr>
        <w:t>ى</w:t>
      </w:r>
      <w:r>
        <w:rPr>
          <w:rFonts w:ascii="Traditional Arabic" w:hAnsi="Traditional Arabic" w:hint="cs"/>
          <w:rtl/>
        </w:rPr>
        <w:t>")</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4"/>
      </w:r>
      <w:r w:rsidRPr="00C821A1">
        <w:rPr>
          <w:rFonts w:ascii="Traditional Arabic" w:hAnsi="Traditional Arabic" w:hint="cs"/>
          <w:szCs w:val="32"/>
          <w:vertAlign w:val="superscript"/>
          <w:rtl/>
        </w:rPr>
        <w:t>)</w:t>
      </w:r>
      <w:r>
        <w:rPr>
          <w:rFonts w:ascii="Traditional Arabic" w:hAnsi="Traditional Arabic" w:hint="cs"/>
          <w:rtl/>
        </w:rPr>
        <w:t>.</w:t>
      </w:r>
    </w:p>
    <w:p w:rsidR="00EA1AAD" w:rsidRPr="002A6954" w:rsidRDefault="00EA1AAD" w:rsidP="000A76C7">
      <w:pPr>
        <w:pStyle w:val="afc"/>
        <w:widowControl/>
        <w:numPr>
          <w:ilvl w:val="0"/>
          <w:numId w:val="109"/>
        </w:numPr>
        <w:autoSpaceDE w:val="0"/>
        <w:autoSpaceDN w:val="0"/>
        <w:adjustRightInd w:val="0"/>
        <w:rPr>
          <w:rFonts w:ascii="Traditional Arabic" w:hAnsi="Traditional Arabic"/>
        </w:rPr>
      </w:pPr>
      <w:r w:rsidRPr="002A6954">
        <w:rPr>
          <w:rFonts w:ascii="Traditional Arabic" w:hAnsi="Traditional Arabic" w:hint="cs"/>
          <w:rtl/>
        </w:rPr>
        <w:t>حديث</w:t>
      </w:r>
      <w:r w:rsidRPr="002A6954">
        <w:rPr>
          <w:rFonts w:ascii="Traditional Arabic" w:hAnsi="Traditional Arabic"/>
          <w:rtl/>
        </w:rPr>
        <w:t xml:space="preserve"> مَعْن بن يزيد</w:t>
      </w:r>
      <w:r w:rsidR="0062045B">
        <w:rPr>
          <w:rFonts w:ascii="Traditional Arabic" w:hAnsi="Traditional Arabic" w:hint="cs"/>
          <w:rtl/>
        </w:rPr>
        <w:t>_</w:t>
      </w:r>
      <w:r w:rsidR="0062045B">
        <w:rPr>
          <w:rFonts w:ascii="Traditional Arabic" w:hAnsi="Traditional Arabic" w:cs="CTraditional Arabic" w:hint="cs"/>
          <w:noProof w:val="0"/>
          <w:color w:val="auto"/>
          <w:rtl/>
          <w:lang w:eastAsia="en-US"/>
        </w:rPr>
        <w:t>ب</w:t>
      </w:r>
      <w:r w:rsidR="0062045B">
        <w:rPr>
          <w:rFonts w:ascii="Traditional Arabic" w:hAnsi="Traditional Arabic" w:hint="cs"/>
          <w:rtl/>
        </w:rPr>
        <w:t>_</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5"/>
      </w:r>
      <w:r w:rsidRPr="00C821A1">
        <w:rPr>
          <w:rFonts w:ascii="Traditional Arabic" w:hAnsi="Traditional Arabic" w:hint="cs"/>
          <w:szCs w:val="32"/>
          <w:vertAlign w:val="superscript"/>
          <w:rtl/>
        </w:rPr>
        <w:t>)</w:t>
      </w:r>
      <w:r w:rsidR="0062045B">
        <w:rPr>
          <w:rFonts w:ascii="Traditional Arabic" w:hAnsi="Traditional Arabic" w:hint="cs"/>
          <w:szCs w:val="32"/>
          <w:vertAlign w:val="superscript"/>
          <w:rtl/>
        </w:rPr>
        <w:t xml:space="preserve"> </w:t>
      </w:r>
      <w:r w:rsidRPr="002A6954">
        <w:rPr>
          <w:rFonts w:ascii="Traditional Arabic" w:hAnsi="Traditional Arabic"/>
          <w:rtl/>
        </w:rPr>
        <w:t>قال: كان أبي يزيد أخرج دنانير يتصدق بها فوضعها عند رجل في المسجد فجئت فأخذتها فأتيته بها، فقال: والله ما إياك أردتُ</w:t>
      </w:r>
      <w:r w:rsidRPr="002A6954">
        <w:rPr>
          <w:rFonts w:ascii="Traditional Arabic" w:hAnsi="Traditional Arabic" w:hint="cs"/>
          <w:rtl/>
        </w:rPr>
        <w:t>،</w:t>
      </w:r>
      <w:r w:rsidRPr="002A6954">
        <w:rPr>
          <w:rFonts w:ascii="Traditional Arabic" w:hAnsi="Traditional Arabic"/>
          <w:rtl/>
        </w:rPr>
        <w:t xml:space="preserve"> فخاصمتُه إلى رسول الله </w:t>
      </w:r>
      <w:r w:rsidRPr="002A6954">
        <w:rPr>
          <w:rFonts w:ascii="Traditional Arabic" w:hAnsi="Traditional Arabic" w:cs="CTraditional Arabic"/>
          <w:color w:val="auto"/>
          <w:rtl/>
        </w:rPr>
        <w:t>&gt;</w:t>
      </w:r>
      <w:r w:rsidR="0062045B">
        <w:rPr>
          <w:rFonts w:ascii="Traditional Arabic" w:hAnsi="Traditional Arabic" w:hint="cs"/>
          <w:rtl/>
        </w:rPr>
        <w:t xml:space="preserve"> </w:t>
      </w:r>
      <w:r w:rsidRPr="002A6954">
        <w:rPr>
          <w:rFonts w:ascii="Traditional Arabic" w:hAnsi="Traditional Arabic"/>
          <w:rtl/>
        </w:rPr>
        <w:t xml:space="preserve">فقال: </w:t>
      </w:r>
      <w:r w:rsidRPr="002A6954">
        <w:rPr>
          <w:rFonts w:ascii="Traditional Arabic" w:hAnsi="Traditional Arabic" w:hint="cs"/>
          <w:rtl/>
        </w:rPr>
        <w:t>"</w:t>
      </w:r>
      <w:r w:rsidRPr="002A6954">
        <w:rPr>
          <w:rFonts w:ascii="Traditional Arabic" w:hAnsi="Traditional Arabic"/>
          <w:rtl/>
        </w:rPr>
        <w:t>لك ما نَوَيْتَ يا يزيد، ولك ما أخذتَ يا معن</w:t>
      </w:r>
      <w:r w:rsidRPr="002A6954">
        <w:rPr>
          <w:rFonts w:ascii="Traditional Arabic" w:hAnsi="Traditional Arabic" w:hint="cs"/>
          <w:rtl/>
        </w:rPr>
        <w:t>"</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6"/>
      </w:r>
      <w:r w:rsidRPr="00C821A1">
        <w:rPr>
          <w:rFonts w:ascii="Traditional Arabic" w:hAnsi="Traditional Arabic" w:hint="cs"/>
          <w:szCs w:val="32"/>
          <w:vertAlign w:val="superscript"/>
          <w:rtl/>
        </w:rPr>
        <w:t>)</w:t>
      </w:r>
      <w:r w:rsidRPr="002A6954">
        <w:rPr>
          <w:rFonts w:ascii="Traditional Arabic" w:hAnsi="Traditional Arabic" w:hint="cs"/>
          <w:rtl/>
        </w:rPr>
        <w:t>.</w:t>
      </w:r>
    </w:p>
    <w:p w:rsidR="00822C6A" w:rsidRDefault="00EA1AAD" w:rsidP="00597C20">
      <w:pPr>
        <w:pStyle w:val="53"/>
        <w:rPr>
          <w:rtl/>
        </w:rPr>
      </w:pPr>
      <w:r>
        <w:rPr>
          <w:rFonts w:hint="cs"/>
          <w:rtl/>
        </w:rPr>
        <w:t>وجه الدلالة:</w:t>
      </w:r>
    </w:p>
    <w:p w:rsidR="00EA1AAD" w:rsidRPr="00880386" w:rsidRDefault="00EA1AAD" w:rsidP="00597C20">
      <w:pPr>
        <w:widowControl/>
        <w:autoSpaceDE w:val="0"/>
        <w:autoSpaceDN w:val="0"/>
        <w:adjustRightInd w:val="0"/>
        <w:ind w:firstLine="720"/>
        <w:rPr>
          <w:rFonts w:ascii="Traditional Arabic" w:hAnsi="Traditional Arabic"/>
          <w:rtl/>
        </w:rPr>
      </w:pPr>
      <w:r>
        <w:rPr>
          <w:rFonts w:ascii="Traditional Arabic" w:hAnsi="Traditional Arabic" w:hint="cs"/>
          <w:rtl/>
        </w:rPr>
        <w:t>قال الشيخ-</w:t>
      </w:r>
      <w:r w:rsidRPr="005D5694">
        <w:rPr>
          <w:rFonts w:ascii="Traditional Arabic" w:hAnsi="Traditional Arabic" w:cs="CTraditional Arabic" w:hint="cs"/>
          <w:color w:val="auto"/>
          <w:rtl/>
        </w:rPr>
        <w:t>/</w:t>
      </w:r>
      <w:r>
        <w:rPr>
          <w:rFonts w:ascii="Traditional Arabic" w:hAnsi="Traditional Arabic" w:hint="cs"/>
          <w:rtl/>
        </w:rPr>
        <w:t>-:(</w:t>
      </w:r>
      <w:r w:rsidRPr="00880386">
        <w:rPr>
          <w:rFonts w:ascii="Traditional Arabic" w:hAnsi="Traditional Arabic"/>
          <w:rtl/>
        </w:rPr>
        <w:t xml:space="preserve">فقوله عليه الصلاة والسلام: </w:t>
      </w:r>
      <w:r>
        <w:rPr>
          <w:rFonts w:ascii="Traditional Arabic" w:hAnsi="Traditional Arabic" w:hint="cs"/>
          <w:rtl/>
        </w:rPr>
        <w:t>"</w:t>
      </w:r>
      <w:r w:rsidRPr="00880386">
        <w:rPr>
          <w:rFonts w:ascii="Traditional Arabic" w:hAnsi="Traditional Arabic"/>
          <w:rtl/>
        </w:rPr>
        <w:t>لك يا يزيد ما نويت</w:t>
      </w:r>
      <w:r>
        <w:rPr>
          <w:rFonts w:ascii="Traditional Arabic" w:hAnsi="Traditional Arabic" w:hint="cs"/>
          <w:rtl/>
        </w:rPr>
        <w:t>"</w:t>
      </w:r>
      <w:r w:rsidRPr="00880386">
        <w:rPr>
          <w:rFonts w:ascii="Traditional Arabic" w:hAnsi="Traditional Arabic"/>
          <w:rtl/>
        </w:rPr>
        <w:t xml:space="preserve"> يدل على أن </w:t>
      </w:r>
      <w:r w:rsidRPr="0062045B">
        <w:rPr>
          <w:rFonts w:ascii="Traditional Arabic" w:hAnsi="Traditional Arabic"/>
          <w:rtl/>
        </w:rPr>
        <w:t>الأعمال بالنيات</w:t>
      </w:r>
      <w:r w:rsidRPr="00880386">
        <w:rPr>
          <w:rFonts w:ascii="Traditional Arabic" w:hAnsi="Traditional Arabic"/>
          <w:rtl/>
        </w:rPr>
        <w:t xml:space="preserve"> وأن الإنسان </w:t>
      </w:r>
      <w:r w:rsidRPr="0062045B">
        <w:rPr>
          <w:rFonts w:ascii="Traditional Arabic" w:hAnsi="Traditional Arabic"/>
          <w:rtl/>
        </w:rPr>
        <w:t>إذا نوى الخير حصل له</w:t>
      </w:r>
      <w:r>
        <w:rPr>
          <w:rFonts w:ascii="Traditional Arabic" w:hAnsi="Traditional Arabic" w:hint="cs"/>
          <w:rtl/>
        </w:rPr>
        <w:t>)</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7"/>
      </w:r>
      <w:r w:rsidRPr="00C821A1">
        <w:rPr>
          <w:rFonts w:ascii="Traditional Arabic" w:hAnsi="Traditional Arabic" w:hint="cs"/>
          <w:szCs w:val="32"/>
          <w:vertAlign w:val="superscript"/>
          <w:rtl/>
        </w:rPr>
        <w:t>)</w:t>
      </w:r>
      <w:r>
        <w:rPr>
          <w:rFonts w:ascii="Traditional Arabic" w:hAnsi="Traditional Arabic" w:hint="cs"/>
          <w:rtl/>
        </w:rPr>
        <w:t>.</w:t>
      </w:r>
    </w:p>
    <w:p w:rsidR="00EA1AAD" w:rsidRPr="002A6954" w:rsidRDefault="00EA1AAD" w:rsidP="00F636B6">
      <w:pPr>
        <w:pStyle w:val="afc"/>
        <w:widowControl/>
        <w:numPr>
          <w:ilvl w:val="0"/>
          <w:numId w:val="109"/>
        </w:numPr>
        <w:autoSpaceDE w:val="0"/>
        <w:autoSpaceDN w:val="0"/>
        <w:adjustRightInd w:val="0"/>
        <w:rPr>
          <w:rFonts w:ascii="Traditional Arabic" w:hAnsi="Traditional Arabic"/>
          <w:rtl/>
        </w:rPr>
      </w:pPr>
      <w:r w:rsidRPr="002A6954">
        <w:rPr>
          <w:rFonts w:ascii="Traditional Arabic" w:hAnsi="Traditional Arabic" w:hint="cs"/>
          <w:rtl/>
        </w:rPr>
        <w:t>حديث</w:t>
      </w:r>
      <w:r w:rsidRPr="002A6954">
        <w:rPr>
          <w:rFonts w:ascii="Traditional Arabic" w:hAnsi="Traditional Arabic"/>
          <w:rtl/>
        </w:rPr>
        <w:t xml:space="preserve"> أبي بَكْرَةَ نُفَيْع بن الحارث الثَّقَفي</w:t>
      </w:r>
      <w:r w:rsidR="0062045B" w:rsidRPr="002A6954">
        <w:rPr>
          <w:rFonts w:ascii="Traditional Arabic" w:hAnsi="Traditional Arabic" w:hint="cs"/>
          <w:rtl/>
        </w:rPr>
        <w:t>-</w:t>
      </w:r>
      <w:r w:rsidR="0062045B">
        <w:rPr>
          <w:rFonts w:ascii="Traditional Arabic" w:hAnsi="Traditional Arabic" w:cs="CTraditional Arabic" w:hint="cs"/>
          <w:rtl/>
        </w:rPr>
        <w:t>ا</w:t>
      </w:r>
      <w:r w:rsidR="0062045B" w:rsidRPr="002A6954">
        <w:rPr>
          <w:rFonts w:ascii="Traditional Arabic" w:hAnsi="Traditional Arabic" w:hint="cs"/>
          <w:rtl/>
        </w:rPr>
        <w:t>-</w:t>
      </w:r>
      <w:r w:rsidR="0062045B" w:rsidRPr="002A6954">
        <w:rPr>
          <w:rFonts w:ascii="Traditional Arabic" w:hAnsi="Traditional Arabic"/>
          <w:rtl/>
        </w:rPr>
        <w:t xml:space="preserve"> </w:t>
      </w:r>
      <w:r w:rsidRPr="002A6954">
        <w:rPr>
          <w:rFonts w:ascii="Traditional Arabic" w:hAnsi="Traditional Arabic"/>
          <w:rtl/>
        </w:rPr>
        <w:t>أن النبي</w:t>
      </w:r>
      <w:r w:rsidR="00DF4499">
        <w:rPr>
          <w:rFonts w:ascii="Traditional Arabic" w:hAnsi="Traditional Arabic" w:hint="cs"/>
          <w:rtl/>
        </w:rPr>
        <w:t xml:space="preserve"> </w:t>
      </w:r>
      <w:r w:rsidRPr="002A6954">
        <w:rPr>
          <w:rFonts w:ascii="Traditional Arabic" w:hAnsi="Traditional Arabic" w:cs="CTraditional Arabic"/>
          <w:color w:val="auto"/>
          <w:rtl/>
        </w:rPr>
        <w:t>&gt;</w:t>
      </w:r>
      <w:r w:rsidR="00DF4499">
        <w:rPr>
          <w:rFonts w:ascii="Traditional Arabic" w:hAnsi="Traditional Arabic" w:cs="CTraditional Arabic" w:hint="cs"/>
          <w:color w:val="auto"/>
          <w:rtl/>
        </w:rPr>
        <w:t xml:space="preserve"> </w:t>
      </w:r>
      <w:r w:rsidRPr="002A6954">
        <w:rPr>
          <w:rFonts w:ascii="Traditional Arabic" w:hAnsi="Traditional Arabic"/>
          <w:rtl/>
        </w:rPr>
        <w:t xml:space="preserve">قال: </w:t>
      </w:r>
      <w:r w:rsidRPr="002A6954">
        <w:rPr>
          <w:rFonts w:ascii="Traditional Arabic" w:hAnsi="Traditional Arabic" w:hint="cs"/>
          <w:rtl/>
        </w:rPr>
        <w:t>"</w:t>
      </w:r>
      <w:r w:rsidRPr="002A6954">
        <w:rPr>
          <w:rFonts w:ascii="Traditional Arabic" w:hAnsi="Traditional Arabic"/>
          <w:rtl/>
        </w:rPr>
        <w:t>إذا التقى المسلمان بس</w:t>
      </w:r>
      <w:r w:rsidR="00AA2F0F">
        <w:rPr>
          <w:rFonts w:ascii="Traditional Arabic" w:hAnsi="Traditional Arabic" w:hint="cs"/>
          <w:rtl/>
        </w:rPr>
        <w:t>َ</w:t>
      </w:r>
      <w:r w:rsidRPr="002A6954">
        <w:rPr>
          <w:rFonts w:ascii="Traditional Arabic" w:hAnsi="Traditional Arabic"/>
          <w:rtl/>
        </w:rPr>
        <w:t>يف</w:t>
      </w:r>
      <w:r w:rsidR="00AA2F0F">
        <w:rPr>
          <w:rFonts w:ascii="Traditional Arabic" w:hAnsi="Traditional Arabic" w:hint="cs"/>
          <w:rtl/>
        </w:rPr>
        <w:t>َ</w:t>
      </w:r>
      <w:r w:rsidRPr="002A6954">
        <w:rPr>
          <w:rFonts w:ascii="Traditional Arabic" w:hAnsi="Traditional Arabic"/>
          <w:rtl/>
        </w:rPr>
        <w:t>ي</w:t>
      </w:r>
      <w:r w:rsidR="00AA2F0F">
        <w:rPr>
          <w:rFonts w:ascii="Traditional Arabic" w:hAnsi="Traditional Arabic" w:hint="cs"/>
          <w:rtl/>
        </w:rPr>
        <w:t>ْ</w:t>
      </w:r>
      <w:r w:rsidRPr="002A6954">
        <w:rPr>
          <w:rFonts w:ascii="Traditional Arabic" w:hAnsi="Traditional Arabic"/>
          <w:rtl/>
        </w:rPr>
        <w:t>هما فالقاتل والمقتول في النار</w:t>
      </w:r>
      <w:r w:rsidRPr="002A6954">
        <w:rPr>
          <w:rFonts w:ascii="Traditional Arabic" w:hAnsi="Traditional Arabic" w:hint="cs"/>
          <w:rtl/>
        </w:rPr>
        <w:t>.</w:t>
      </w:r>
      <w:r w:rsidRPr="002A6954">
        <w:rPr>
          <w:rFonts w:ascii="Traditional Arabic" w:hAnsi="Traditional Arabic"/>
          <w:rtl/>
        </w:rPr>
        <w:t xml:space="preserve"> قلت: يا رسول الله، هذا القاتل</w:t>
      </w:r>
      <w:r w:rsidR="00DF4499">
        <w:rPr>
          <w:rFonts w:ascii="Traditional Arabic" w:hAnsi="Traditional Arabic" w:hint="cs"/>
          <w:rtl/>
        </w:rPr>
        <w:t xml:space="preserve"> </w:t>
      </w:r>
      <w:r w:rsidRPr="002A6954">
        <w:rPr>
          <w:rFonts w:ascii="Traditional Arabic" w:hAnsi="Traditional Arabic"/>
          <w:rtl/>
        </w:rPr>
        <w:t>فما بال المقتول ؟ قال: إنه كان حريصاً على قتْل صاح</w:t>
      </w:r>
      <w:r w:rsidRPr="002A6954">
        <w:rPr>
          <w:rFonts w:ascii="Traditional Arabic" w:hAnsi="Traditional Arabic" w:hint="cs"/>
          <w:rtl/>
        </w:rPr>
        <w:t>به"</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8"/>
      </w:r>
      <w:r w:rsidRPr="00C821A1">
        <w:rPr>
          <w:rFonts w:ascii="Traditional Arabic" w:hAnsi="Traditional Arabic" w:hint="cs"/>
          <w:szCs w:val="32"/>
          <w:vertAlign w:val="superscript"/>
          <w:rtl/>
        </w:rPr>
        <w:t>)</w:t>
      </w:r>
      <w:r w:rsidRPr="002A6954">
        <w:rPr>
          <w:rFonts w:ascii="Traditional Arabic" w:hAnsi="Traditional Arabic" w:hint="cs"/>
          <w:rtl/>
        </w:rPr>
        <w:t>.</w:t>
      </w:r>
    </w:p>
    <w:p w:rsidR="00822C6A" w:rsidRDefault="00EA1AAD" w:rsidP="00597C20">
      <w:pPr>
        <w:pStyle w:val="53"/>
        <w:rPr>
          <w:rtl/>
        </w:rPr>
      </w:pPr>
      <w:r>
        <w:rPr>
          <w:rFonts w:hint="cs"/>
          <w:rtl/>
        </w:rPr>
        <w:lastRenderedPageBreak/>
        <w:t>وجه الدلالة:</w:t>
      </w:r>
    </w:p>
    <w:p w:rsidR="00F228A9" w:rsidRDefault="00EA1AAD" w:rsidP="00597C20">
      <w:pPr>
        <w:widowControl/>
        <w:autoSpaceDE w:val="0"/>
        <w:autoSpaceDN w:val="0"/>
        <w:adjustRightInd w:val="0"/>
        <w:ind w:firstLine="720"/>
        <w:rPr>
          <w:rFonts w:ascii="Traditional Arabic" w:hAnsi="Traditional Arabic"/>
          <w:rtl/>
        </w:rPr>
      </w:pPr>
      <w:r>
        <w:rPr>
          <w:rFonts w:ascii="Traditional Arabic" w:hAnsi="Traditional Arabic" w:hint="cs"/>
          <w:rtl/>
        </w:rPr>
        <w:t>يقول الشيخ العثيمين-</w:t>
      </w:r>
      <w:r w:rsidRPr="005D5694">
        <w:rPr>
          <w:rFonts w:ascii="Traditional Arabic" w:hAnsi="Traditional Arabic" w:cs="CTraditional Arabic" w:hint="cs"/>
          <w:color w:val="auto"/>
          <w:rtl/>
        </w:rPr>
        <w:t>/</w:t>
      </w:r>
      <w:r>
        <w:rPr>
          <w:rFonts w:ascii="Traditional Arabic" w:hAnsi="Traditional Arabic" w:hint="cs"/>
          <w:rtl/>
        </w:rPr>
        <w:t xml:space="preserve">-:(ففي الحديث دليل على أن </w:t>
      </w:r>
      <w:r w:rsidRPr="00955AAF">
        <w:rPr>
          <w:rFonts w:ascii="Traditional Arabic" w:hAnsi="Traditional Arabic" w:hint="cs"/>
          <w:rtl/>
        </w:rPr>
        <w:t>الأعمال بالنيات</w:t>
      </w:r>
      <w:r w:rsidR="00DF4499">
        <w:rPr>
          <w:rFonts w:ascii="Traditional Arabic" w:hAnsi="Traditional Arabic" w:hint="cs"/>
          <w:rtl/>
        </w:rPr>
        <w:t xml:space="preserve">، </w:t>
      </w:r>
      <w:r w:rsidRPr="00543EAB">
        <w:rPr>
          <w:rFonts w:ascii="Traditional Arabic" w:hAnsi="Traditional Arabic"/>
          <w:rtl/>
        </w:rPr>
        <w:t>وأن هذا لما نوى قت</w:t>
      </w:r>
      <w:r>
        <w:rPr>
          <w:rFonts w:ascii="Traditional Arabic" w:hAnsi="Traditional Arabic"/>
          <w:rtl/>
        </w:rPr>
        <w:t>ْ</w:t>
      </w:r>
      <w:r w:rsidRPr="00543EAB">
        <w:rPr>
          <w:rFonts w:ascii="Traditional Arabic" w:hAnsi="Traditional Arabic"/>
          <w:rtl/>
        </w:rPr>
        <w:t>ل صاحب</w:t>
      </w:r>
      <w:r>
        <w:rPr>
          <w:rFonts w:ascii="Traditional Arabic" w:hAnsi="Traditional Arabic"/>
          <w:rtl/>
        </w:rPr>
        <w:t>ِ</w:t>
      </w:r>
      <w:r w:rsidRPr="00543EAB">
        <w:rPr>
          <w:rFonts w:ascii="Traditional Arabic" w:hAnsi="Traditional Arabic"/>
          <w:rtl/>
        </w:rPr>
        <w:t>ه صار كأنه فاعل</w:t>
      </w:r>
      <w:r w:rsidR="00955AAF">
        <w:rPr>
          <w:rFonts w:ascii="Traditional Arabic" w:hAnsi="Traditional Arabic" w:hint="cs"/>
          <w:rtl/>
        </w:rPr>
        <w:t>ٌ</w:t>
      </w:r>
      <w:r w:rsidRPr="00543EAB">
        <w:rPr>
          <w:rFonts w:ascii="Traditional Arabic" w:hAnsi="Traditional Arabic"/>
          <w:rtl/>
        </w:rPr>
        <w:t xml:space="preserve"> ذلك</w:t>
      </w:r>
      <w:r>
        <w:rPr>
          <w:rFonts w:ascii="Traditional Arabic" w:hAnsi="Traditional Arabic" w:hint="cs"/>
          <w:rtl/>
        </w:rPr>
        <w:t>)</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19"/>
      </w:r>
      <w:r w:rsidRPr="00C821A1">
        <w:rPr>
          <w:rFonts w:ascii="Traditional Arabic" w:hAnsi="Traditional Arabic" w:hint="cs"/>
          <w:szCs w:val="32"/>
          <w:vertAlign w:val="superscript"/>
          <w:rtl/>
        </w:rPr>
        <w:t>)</w:t>
      </w:r>
      <w:r>
        <w:rPr>
          <w:rFonts w:ascii="Traditional Arabic" w:hAnsi="Traditional Arabic" w:hint="cs"/>
          <w:rtl/>
        </w:rPr>
        <w:t>.</w:t>
      </w:r>
    </w:p>
    <w:p w:rsidR="00EA1AAD" w:rsidRDefault="00AA2F0F" w:rsidP="00A8347C">
      <w:pPr>
        <w:pStyle w:val="aff3"/>
        <w:rPr>
          <w:rtl/>
        </w:rPr>
      </w:pPr>
      <w:bookmarkStart w:id="143" w:name="_Toc334046387"/>
      <w:r>
        <w:rPr>
          <w:rFonts w:hint="cs"/>
          <w:rtl/>
        </w:rPr>
        <w:t xml:space="preserve">               </w:t>
      </w:r>
      <w:r w:rsidR="000960DB">
        <w:rPr>
          <w:rFonts w:hint="cs"/>
          <w:rtl/>
        </w:rPr>
        <w:t xml:space="preserve">                       </w:t>
      </w:r>
      <w:r w:rsidR="00EA1AAD">
        <w:rPr>
          <w:rFonts w:hint="cs"/>
          <w:rtl/>
        </w:rPr>
        <w:t>المطلب الرابع</w:t>
      </w:r>
      <w:r w:rsidR="00EA1AAD">
        <w:rPr>
          <w:rFonts w:hint="eastAsia"/>
          <w:rtl/>
        </w:rPr>
        <w:t> :</w:t>
      </w:r>
      <w:r w:rsidR="00EA1AAD">
        <w:rPr>
          <w:rFonts w:hint="cs"/>
          <w:rtl/>
        </w:rPr>
        <w:br/>
      </w:r>
      <w:r>
        <w:rPr>
          <w:rFonts w:hint="cs"/>
          <w:rtl/>
        </w:rPr>
        <w:t xml:space="preserve">              </w:t>
      </w:r>
      <w:r w:rsidR="000960DB">
        <w:rPr>
          <w:rFonts w:hint="cs"/>
          <w:rtl/>
        </w:rPr>
        <w:t xml:space="preserve">                       </w:t>
      </w:r>
      <w:r w:rsidR="00EA1AAD">
        <w:rPr>
          <w:rFonts w:hint="cs"/>
          <w:rtl/>
        </w:rPr>
        <w:t>تطبيقات القاعدة</w:t>
      </w:r>
      <w:bookmarkEnd w:id="143"/>
    </w:p>
    <w:p w:rsidR="00065E4B" w:rsidRPr="002A6954" w:rsidRDefault="00EA1AAD" w:rsidP="00A61A86">
      <w:pPr>
        <w:pStyle w:val="afc"/>
        <w:widowControl/>
        <w:numPr>
          <w:ilvl w:val="0"/>
          <w:numId w:val="110"/>
        </w:numPr>
        <w:autoSpaceDE w:val="0"/>
        <w:autoSpaceDN w:val="0"/>
        <w:adjustRightInd w:val="0"/>
        <w:rPr>
          <w:rFonts w:ascii="Traditional Arabic" w:hAnsi="Traditional Arabic"/>
          <w:rtl/>
        </w:rPr>
      </w:pPr>
      <w:r w:rsidRPr="002A6954">
        <w:rPr>
          <w:rFonts w:ascii="Traditional Arabic" w:hAnsi="Traditional Arabic" w:hint="cs"/>
          <w:rtl/>
        </w:rPr>
        <w:t>أجاز الشارع تأخير القبض في مبادلة الربوي</w:t>
      </w:r>
      <w:r w:rsidRPr="002A6954">
        <w:rPr>
          <w:rFonts w:ascii="Traditional Arabic" w:hAnsi="Traditional Arabic"/>
          <w:rtl/>
        </w:rPr>
        <w:t>ّ</w:t>
      </w:r>
      <w:r w:rsidR="00D514D2">
        <w:rPr>
          <w:rFonts w:ascii="Traditional Arabic" w:hAnsi="Traditional Arabic" w:hint="cs"/>
          <w:szCs w:val="32"/>
          <w:vertAlign w:val="superscript"/>
          <w:rtl/>
        </w:rPr>
        <w:t xml:space="preserve"> </w:t>
      </w:r>
      <w:r w:rsidR="00A61A86">
        <w:rPr>
          <w:rFonts w:ascii="Traditional Arabic" w:hAnsi="Traditional Arabic" w:hint="cs"/>
          <w:rtl/>
        </w:rPr>
        <w:t xml:space="preserve"> </w:t>
      </w:r>
      <w:r w:rsidRPr="002A6954">
        <w:rPr>
          <w:rFonts w:ascii="Traditional Arabic" w:hAnsi="Traditional Arabic" w:hint="cs"/>
          <w:rtl/>
        </w:rPr>
        <w:t>بجنسه</w:t>
      </w:r>
      <w:r w:rsidR="00A61A86">
        <w:rPr>
          <w:rFonts w:ascii="Traditional Arabic" w:hAnsi="Traditional Arabic" w:hint="cs"/>
          <w:szCs w:val="32"/>
          <w:vertAlign w:val="superscript"/>
          <w:rtl/>
        </w:rPr>
        <w:t xml:space="preserve"> </w:t>
      </w:r>
      <w:r w:rsidRPr="002A6954">
        <w:rPr>
          <w:rFonts w:ascii="Traditional Arabic" w:hAnsi="Traditional Arabic" w:hint="cs"/>
          <w:rtl/>
        </w:rPr>
        <w:t>في القرض</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20"/>
      </w:r>
      <w:r w:rsidRPr="00C821A1">
        <w:rPr>
          <w:rFonts w:ascii="Traditional Arabic" w:hAnsi="Traditional Arabic" w:hint="cs"/>
          <w:szCs w:val="32"/>
          <w:vertAlign w:val="superscript"/>
          <w:rtl/>
        </w:rPr>
        <w:t>)</w:t>
      </w:r>
      <w:r w:rsidRPr="002A6954">
        <w:rPr>
          <w:rFonts w:ascii="Traditional Arabic" w:hAnsi="Traditional Arabic" w:hint="cs"/>
          <w:rtl/>
        </w:rPr>
        <w:t>،</w:t>
      </w:r>
      <w:r w:rsidR="00154102">
        <w:rPr>
          <w:rFonts w:ascii="Traditional Arabic" w:hAnsi="Traditional Arabic" w:hint="cs"/>
          <w:rtl/>
        </w:rPr>
        <w:t xml:space="preserve"> و</w:t>
      </w:r>
      <w:r w:rsidRPr="002A6954">
        <w:rPr>
          <w:rFonts w:ascii="Traditional Arabic" w:hAnsi="Traditional Arabic" w:hint="cs"/>
          <w:rtl/>
        </w:rPr>
        <w:t>حر</w:t>
      </w:r>
      <w:r w:rsidRPr="002A6954">
        <w:rPr>
          <w:rFonts w:ascii="Traditional Arabic" w:hAnsi="Traditional Arabic"/>
          <w:rtl/>
        </w:rPr>
        <w:t>ّ</w:t>
      </w:r>
      <w:r w:rsidRPr="002A6954">
        <w:rPr>
          <w:rFonts w:ascii="Traditional Arabic" w:hAnsi="Traditional Arabic" w:hint="cs"/>
          <w:rtl/>
        </w:rPr>
        <w:t>م ذلك في البيع مع الاتفاق في الصورة</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21"/>
      </w:r>
      <w:r w:rsidRPr="00C821A1">
        <w:rPr>
          <w:rFonts w:ascii="Traditional Arabic" w:hAnsi="Traditional Arabic" w:hint="cs"/>
          <w:szCs w:val="32"/>
          <w:vertAlign w:val="superscript"/>
          <w:rtl/>
        </w:rPr>
        <w:t>)</w:t>
      </w:r>
      <w:r w:rsidRPr="002A6954">
        <w:rPr>
          <w:rFonts w:ascii="Traditional Arabic" w:hAnsi="Traditional Arabic" w:hint="cs"/>
          <w:rtl/>
        </w:rPr>
        <w:t>.</w:t>
      </w:r>
    </w:p>
    <w:p w:rsidR="00065E4B" w:rsidRPr="002A6954" w:rsidRDefault="00065E4B" w:rsidP="00597C20">
      <w:pPr>
        <w:pStyle w:val="53"/>
        <w:rPr>
          <w:rtl/>
        </w:rPr>
      </w:pPr>
      <w:r w:rsidRPr="002A6954">
        <w:rPr>
          <w:rFonts w:hint="cs"/>
          <w:rtl/>
        </w:rPr>
        <w:t>و</w:t>
      </w:r>
      <w:r w:rsidR="00EA1AAD" w:rsidRPr="002A6954">
        <w:rPr>
          <w:rFonts w:hint="cs"/>
          <w:rtl/>
        </w:rPr>
        <w:t>جه اندراج الفرع تحت القاعدة:</w:t>
      </w:r>
    </w:p>
    <w:p w:rsidR="00EA1AAD" w:rsidRDefault="00065E4B" w:rsidP="00597C20">
      <w:pPr>
        <w:widowControl/>
        <w:autoSpaceDE w:val="0"/>
        <w:autoSpaceDN w:val="0"/>
        <w:adjustRightInd w:val="0"/>
        <w:ind w:firstLine="720"/>
        <w:rPr>
          <w:rFonts w:ascii="Traditional Arabic" w:hAnsi="Traditional Arabic"/>
          <w:rtl/>
        </w:rPr>
      </w:pPr>
      <w:r>
        <w:rPr>
          <w:rFonts w:ascii="Traditional Arabic" w:hAnsi="Traditional Arabic"/>
          <w:rtl/>
        </w:rPr>
        <w:t>ﺇ</w:t>
      </w:r>
      <w:r w:rsidR="00EA1AAD">
        <w:rPr>
          <w:rFonts w:ascii="Traditional Arabic" w:hAnsi="Traditional Arabic" w:hint="cs"/>
          <w:rtl/>
        </w:rPr>
        <w:t xml:space="preserve">ن ذلك راجع </w:t>
      </w:r>
      <w:r w:rsidR="00EA1AAD">
        <w:rPr>
          <w:rFonts w:ascii="Traditional Arabic" w:hAnsi="Traditional Arabic"/>
          <w:rtl/>
        </w:rPr>
        <w:t>ﺇ</w:t>
      </w:r>
      <w:r w:rsidR="00F636B6">
        <w:rPr>
          <w:rFonts w:ascii="Traditional Arabic" w:hAnsi="Traditional Arabic" w:hint="cs"/>
          <w:rtl/>
        </w:rPr>
        <w:t>لى اختلاف النيات</w:t>
      </w:r>
      <w:r w:rsidR="00EA1AAD">
        <w:rPr>
          <w:rFonts w:ascii="Traditional Arabic" w:hAnsi="Traditional Arabic" w:hint="cs"/>
          <w:rtl/>
        </w:rPr>
        <w:t>؛</w:t>
      </w:r>
      <w:r w:rsidR="00AA2F0F">
        <w:rPr>
          <w:rFonts w:ascii="Traditional Arabic" w:hAnsi="Traditional Arabic" w:hint="cs"/>
          <w:rtl/>
        </w:rPr>
        <w:t xml:space="preserve"> </w:t>
      </w:r>
      <w:r w:rsidR="00EA1AAD">
        <w:rPr>
          <w:rFonts w:ascii="Traditional Arabic" w:hAnsi="Traditional Arabic" w:hint="cs"/>
          <w:rtl/>
        </w:rPr>
        <w:t>فمقصود المقر</w:t>
      </w:r>
      <w:r w:rsidR="00EA1AAD">
        <w:rPr>
          <w:rFonts w:ascii="Traditional Arabic" w:hAnsi="Traditional Arabic"/>
          <w:rtl/>
        </w:rPr>
        <w:t>ِ</w:t>
      </w:r>
      <w:r w:rsidR="00EA1AAD">
        <w:rPr>
          <w:rFonts w:ascii="Traditional Arabic" w:hAnsi="Traditional Arabic" w:hint="cs"/>
          <w:rtl/>
        </w:rPr>
        <w:t>ض</w:t>
      </w:r>
      <w:r w:rsidR="00AA2F0F">
        <w:rPr>
          <w:rFonts w:ascii="Traditional Arabic" w:hAnsi="Traditional Arabic" w:hint="cs"/>
          <w:rtl/>
        </w:rPr>
        <w:t xml:space="preserve"> </w:t>
      </w:r>
      <w:r w:rsidR="00EA1AAD">
        <w:rPr>
          <w:rFonts w:ascii="Traditional Arabic" w:hAnsi="Traditional Arabic" w:hint="cs"/>
          <w:rtl/>
        </w:rPr>
        <w:t>ا</w:t>
      </w:r>
      <w:r w:rsidR="00EA1AAD">
        <w:rPr>
          <w:rFonts w:ascii="Traditional Arabic" w:hAnsi="Traditional Arabic"/>
          <w:rtl/>
        </w:rPr>
        <w:t>ﻹ</w:t>
      </w:r>
      <w:r w:rsidR="00EA1AAD">
        <w:rPr>
          <w:rFonts w:ascii="Traditional Arabic" w:hAnsi="Traditional Arabic" w:hint="cs"/>
          <w:rtl/>
        </w:rPr>
        <w:t xml:space="preserve">حسان </w:t>
      </w:r>
      <w:r w:rsidR="00EA1AAD">
        <w:rPr>
          <w:rFonts w:ascii="Traditional Arabic" w:hAnsi="Traditional Arabic"/>
          <w:rtl/>
        </w:rPr>
        <w:t>ﺇ</w:t>
      </w:r>
      <w:r w:rsidR="00EA1AAD">
        <w:rPr>
          <w:rFonts w:ascii="Traditional Arabic" w:hAnsi="Traditional Arabic" w:hint="cs"/>
          <w:rtl/>
        </w:rPr>
        <w:t>لى المقتر</w:t>
      </w:r>
      <w:r w:rsidR="00EA1AAD">
        <w:rPr>
          <w:rFonts w:ascii="Traditional Arabic" w:hAnsi="Traditional Arabic"/>
          <w:rtl/>
        </w:rPr>
        <w:t>ِ</w:t>
      </w:r>
      <w:r w:rsidR="00EA1AAD">
        <w:rPr>
          <w:rFonts w:ascii="Traditional Arabic" w:hAnsi="Traditional Arabic" w:hint="cs"/>
          <w:rtl/>
        </w:rPr>
        <w:t>ض،</w:t>
      </w:r>
      <w:r w:rsidR="00154102">
        <w:rPr>
          <w:rFonts w:ascii="Traditional Arabic" w:hAnsi="Traditional Arabic" w:hint="cs"/>
          <w:rtl/>
        </w:rPr>
        <w:t xml:space="preserve"> و</w:t>
      </w:r>
      <w:r w:rsidR="00EA1AAD">
        <w:rPr>
          <w:rFonts w:ascii="Traditional Arabic" w:hAnsi="Traditional Arabic" w:hint="cs"/>
          <w:rtl/>
        </w:rPr>
        <w:t>مقصود البائع المعاو</w:t>
      </w:r>
      <w:r w:rsidR="00EA1AAD">
        <w:rPr>
          <w:rFonts w:ascii="Traditional Arabic" w:hAnsi="Traditional Arabic"/>
          <w:rtl/>
        </w:rPr>
        <w:t>َ</w:t>
      </w:r>
      <w:r w:rsidR="00EA1AAD">
        <w:rPr>
          <w:rFonts w:ascii="Traditional Arabic" w:hAnsi="Traditional Arabic" w:hint="cs"/>
          <w:rtl/>
        </w:rPr>
        <w:t>ضة؛</w:t>
      </w:r>
      <w:r w:rsidR="00AA2F0F">
        <w:rPr>
          <w:rFonts w:ascii="Traditional Arabic" w:hAnsi="Traditional Arabic" w:hint="cs"/>
          <w:b/>
          <w:bCs/>
          <w:rtl/>
        </w:rPr>
        <w:t xml:space="preserve"> </w:t>
      </w:r>
      <w:r w:rsidR="00EA1AAD" w:rsidRPr="00955AAF">
        <w:rPr>
          <w:rFonts w:ascii="Traditional Arabic" w:hAnsi="Traditional Arabic" w:hint="cs"/>
          <w:rtl/>
        </w:rPr>
        <w:t>ف</w:t>
      </w:r>
      <w:r w:rsidR="00AA2F0F" w:rsidRPr="00955AAF">
        <w:rPr>
          <w:rFonts w:ascii="Traditional Arabic" w:hAnsi="Traditional Arabic" w:hint="cs"/>
          <w:rtl/>
        </w:rPr>
        <w:t>الأعمال بالنيات، و</w:t>
      </w:r>
      <w:r w:rsidR="00EA1AAD" w:rsidRPr="00955AAF">
        <w:rPr>
          <w:rFonts w:ascii="Traditional Arabic" w:hAnsi="Traditional Arabic" w:hint="cs"/>
          <w:rtl/>
        </w:rPr>
        <w:t>النية لها أثر في ح</w:t>
      </w:r>
      <w:r w:rsidR="00EA1AAD" w:rsidRPr="00955AAF">
        <w:rPr>
          <w:rFonts w:ascii="Traditional Arabic" w:hAnsi="Traditional Arabic"/>
          <w:rtl/>
        </w:rPr>
        <w:t>ِ</w:t>
      </w:r>
      <w:r w:rsidR="00EA1AAD" w:rsidRPr="00955AAF">
        <w:rPr>
          <w:rFonts w:ascii="Traditional Arabic" w:hAnsi="Traditional Arabic" w:hint="cs"/>
          <w:rtl/>
        </w:rPr>
        <w:t>ل</w:t>
      </w:r>
      <w:r w:rsidR="00EA1AAD" w:rsidRPr="00955AAF">
        <w:rPr>
          <w:rFonts w:ascii="Traditional Arabic" w:hAnsi="Traditional Arabic"/>
          <w:rtl/>
        </w:rPr>
        <w:t>ّ</w:t>
      </w:r>
      <w:r w:rsidR="00EA1AAD" w:rsidRPr="00955AAF">
        <w:rPr>
          <w:rFonts w:ascii="Traditional Arabic" w:hAnsi="Traditional Arabic" w:hint="cs"/>
          <w:rtl/>
        </w:rPr>
        <w:t xml:space="preserve"> المعاملة أو تحريمها</w:t>
      </w:r>
      <w:r w:rsidR="00EA1AAD" w:rsidRPr="00C821A1">
        <w:rPr>
          <w:rFonts w:ascii="Traditional Arabic" w:hAnsi="Traditional Arabic" w:hint="cs"/>
          <w:szCs w:val="32"/>
          <w:vertAlign w:val="superscript"/>
          <w:rtl/>
        </w:rPr>
        <w:t>(</w:t>
      </w:r>
      <w:r w:rsidR="00EA1AAD" w:rsidRPr="00C821A1">
        <w:rPr>
          <w:rStyle w:val="af1"/>
          <w:rFonts w:ascii="Traditional Arabic" w:hAnsi="Traditional Arabic"/>
          <w:szCs w:val="32"/>
          <w:rtl/>
        </w:rPr>
        <w:footnoteReference w:id="722"/>
      </w:r>
      <w:r w:rsidR="00EA1AAD" w:rsidRPr="00C821A1">
        <w:rPr>
          <w:rFonts w:ascii="Traditional Arabic" w:hAnsi="Traditional Arabic" w:hint="cs"/>
          <w:szCs w:val="32"/>
          <w:vertAlign w:val="superscript"/>
          <w:rtl/>
        </w:rPr>
        <w:t>)</w:t>
      </w:r>
      <w:r w:rsidR="00EA1AAD">
        <w:rPr>
          <w:rFonts w:ascii="Traditional Arabic" w:hAnsi="Traditional Arabic" w:hint="cs"/>
          <w:rtl/>
        </w:rPr>
        <w:t>.</w:t>
      </w:r>
    </w:p>
    <w:p w:rsidR="00065E4B" w:rsidRPr="002A6954" w:rsidRDefault="00EA1AAD" w:rsidP="000A76C7">
      <w:pPr>
        <w:pStyle w:val="afc"/>
        <w:widowControl/>
        <w:numPr>
          <w:ilvl w:val="0"/>
          <w:numId w:val="110"/>
        </w:numPr>
        <w:autoSpaceDE w:val="0"/>
        <w:autoSpaceDN w:val="0"/>
        <w:adjustRightInd w:val="0"/>
        <w:rPr>
          <w:rFonts w:ascii="Traditional Arabic" w:hAnsi="Traditional Arabic"/>
        </w:rPr>
      </w:pPr>
      <w:r w:rsidRPr="002A6954">
        <w:rPr>
          <w:rFonts w:ascii="Traditional Arabic" w:hAnsi="Traditional Arabic" w:hint="cs"/>
          <w:rtl/>
        </w:rPr>
        <w:t>من باع عبدا من عبيده المتساوين في القيمة دون تعيين،</w:t>
      </w:r>
      <w:r w:rsidR="00AA2F0F">
        <w:rPr>
          <w:rFonts w:ascii="Traditional Arabic" w:hAnsi="Traditional Arabic" w:hint="cs"/>
          <w:rtl/>
        </w:rPr>
        <w:t xml:space="preserve"> </w:t>
      </w:r>
      <w:r w:rsidRPr="002A6954">
        <w:rPr>
          <w:rFonts w:ascii="Traditional Arabic" w:hAnsi="Traditional Arabic" w:hint="cs"/>
          <w:rtl/>
        </w:rPr>
        <w:t>صح</w:t>
      </w:r>
      <w:r w:rsidRPr="002A6954">
        <w:rPr>
          <w:rFonts w:ascii="Traditional Arabic" w:hAnsi="Traditional Arabic"/>
          <w:rtl/>
        </w:rPr>
        <w:t>ّ</w:t>
      </w:r>
      <w:r w:rsidRPr="002A6954">
        <w:rPr>
          <w:rFonts w:ascii="Traditional Arabic" w:hAnsi="Traditional Arabic" w:hint="cs"/>
          <w:rtl/>
        </w:rPr>
        <w:t xml:space="preserve"> بيع</w:t>
      </w:r>
      <w:r w:rsidR="00AA2F0F">
        <w:rPr>
          <w:rFonts w:ascii="Traditional Arabic" w:hAnsi="Traditional Arabic" w:hint="cs"/>
          <w:rtl/>
        </w:rPr>
        <w:t>ُ</w:t>
      </w:r>
      <w:r w:rsidRPr="002A6954">
        <w:rPr>
          <w:rFonts w:ascii="Traditional Arabic" w:hAnsi="Traditional Arabic" w:hint="cs"/>
          <w:rtl/>
        </w:rPr>
        <w:t xml:space="preserve">ه </w:t>
      </w:r>
      <w:r w:rsidRPr="002A6954">
        <w:rPr>
          <w:rFonts w:ascii="Traditional Arabic" w:hAnsi="Traditional Arabic"/>
          <w:rtl/>
        </w:rPr>
        <w:t>ﺇ</w:t>
      </w:r>
      <w:r w:rsidRPr="002A6954">
        <w:rPr>
          <w:rFonts w:ascii="Traditional Arabic" w:hAnsi="Traditional Arabic" w:hint="cs"/>
          <w:rtl/>
        </w:rPr>
        <w:t>ذا كان المقصود التجارة؛</w:t>
      </w:r>
      <w:r w:rsidR="00AA2F0F">
        <w:rPr>
          <w:rFonts w:ascii="Traditional Arabic" w:hAnsi="Traditional Arabic" w:hint="cs"/>
          <w:rtl/>
        </w:rPr>
        <w:t xml:space="preserve"> </w:t>
      </w:r>
      <w:r w:rsidRPr="002A6954">
        <w:rPr>
          <w:rFonts w:ascii="Traditional Arabic" w:hAnsi="Traditional Arabic" w:hint="cs"/>
          <w:rtl/>
        </w:rPr>
        <w:t>لأن التجارة ي</w:t>
      </w:r>
      <w:r w:rsidRPr="002A6954">
        <w:rPr>
          <w:rFonts w:ascii="Traditional Arabic" w:hAnsi="Traditional Arabic"/>
          <w:rtl/>
        </w:rPr>
        <w:t>ُ</w:t>
      </w:r>
      <w:r w:rsidRPr="002A6954">
        <w:rPr>
          <w:rFonts w:ascii="Traditional Arabic" w:hAnsi="Traditional Arabic" w:hint="cs"/>
          <w:rtl/>
        </w:rPr>
        <w:t>راد بها الثمن أو القيمة.</w:t>
      </w:r>
    </w:p>
    <w:p w:rsidR="00065E4B" w:rsidRPr="002A6954" w:rsidRDefault="00065E4B" w:rsidP="00597C20">
      <w:pPr>
        <w:widowControl/>
        <w:autoSpaceDE w:val="0"/>
        <w:autoSpaceDN w:val="0"/>
        <w:adjustRightInd w:val="0"/>
        <w:ind w:firstLine="720"/>
        <w:rPr>
          <w:rFonts w:ascii="Traditional Arabic" w:hAnsi="Traditional Arabic"/>
          <w:rtl/>
        </w:rPr>
      </w:pPr>
      <w:r w:rsidRPr="002A6954">
        <w:rPr>
          <w:rFonts w:ascii="Traditional Arabic" w:hAnsi="Traditional Arabic" w:hint="cs"/>
          <w:rtl/>
        </w:rPr>
        <w:t>أ</w:t>
      </w:r>
      <w:r w:rsidR="00EA1AAD" w:rsidRPr="002A6954">
        <w:rPr>
          <w:rFonts w:ascii="Traditional Arabic" w:hAnsi="Traditional Arabic" w:hint="cs"/>
          <w:rtl/>
        </w:rPr>
        <w:t xml:space="preserve">ما </w:t>
      </w:r>
      <w:r w:rsidR="00EA1AAD" w:rsidRPr="002A6954">
        <w:rPr>
          <w:rFonts w:ascii="Traditional Arabic" w:hAnsi="Traditional Arabic"/>
          <w:rtl/>
        </w:rPr>
        <w:t>ﺇ</w:t>
      </w:r>
      <w:r w:rsidR="00EA1AAD" w:rsidRPr="002A6954">
        <w:rPr>
          <w:rFonts w:ascii="Traditional Arabic" w:hAnsi="Traditional Arabic" w:hint="cs"/>
          <w:rtl/>
        </w:rPr>
        <w:t>ذا كان المقصود من البيع عبدا معي</w:t>
      </w:r>
      <w:r w:rsidR="00EA1AAD" w:rsidRPr="002A6954">
        <w:rPr>
          <w:rFonts w:ascii="Traditional Arabic" w:hAnsi="Traditional Arabic"/>
          <w:rtl/>
        </w:rPr>
        <w:t>َّ</w:t>
      </w:r>
      <w:r w:rsidR="00EA1AAD" w:rsidRPr="002A6954">
        <w:rPr>
          <w:rFonts w:ascii="Traditional Arabic" w:hAnsi="Traditional Arabic" w:hint="cs"/>
          <w:rtl/>
        </w:rPr>
        <w:t>نا،</w:t>
      </w:r>
      <w:r w:rsidR="00AA2F0F">
        <w:rPr>
          <w:rFonts w:ascii="Traditional Arabic" w:hAnsi="Traditional Arabic" w:hint="cs"/>
          <w:rtl/>
        </w:rPr>
        <w:t xml:space="preserve"> </w:t>
      </w:r>
      <w:r w:rsidR="00EA1AAD" w:rsidRPr="002A6954">
        <w:rPr>
          <w:rFonts w:ascii="Traditional Arabic" w:hAnsi="Traditional Arabic" w:hint="cs"/>
          <w:rtl/>
        </w:rPr>
        <w:t>فلابد</w:t>
      </w:r>
      <w:r w:rsidR="00EA1AAD" w:rsidRPr="002A6954">
        <w:rPr>
          <w:rFonts w:ascii="Traditional Arabic" w:hAnsi="Traditional Arabic"/>
          <w:rtl/>
        </w:rPr>
        <w:t>ّ</w:t>
      </w:r>
      <w:r w:rsidR="00EA1AAD" w:rsidRPr="002A6954">
        <w:rPr>
          <w:rFonts w:ascii="Traditional Arabic" w:hAnsi="Traditional Arabic" w:hint="cs"/>
          <w:rtl/>
        </w:rPr>
        <w:t xml:space="preserve"> من تعيينه</w:t>
      </w:r>
      <w:r w:rsidR="00154102">
        <w:rPr>
          <w:rFonts w:ascii="Traditional Arabic" w:hAnsi="Traditional Arabic" w:hint="cs"/>
          <w:rtl/>
        </w:rPr>
        <w:t xml:space="preserve"> و</w:t>
      </w:r>
      <w:r w:rsidR="00EA1AAD" w:rsidRPr="002A6954">
        <w:rPr>
          <w:rFonts w:ascii="Traditional Arabic" w:hAnsi="Traditional Arabic"/>
          <w:rtl/>
        </w:rPr>
        <w:t>ﺇ</w:t>
      </w:r>
      <w:r w:rsidR="00AA2F0F">
        <w:rPr>
          <w:rFonts w:ascii="Traditional Arabic" w:hAnsi="Traditional Arabic" w:hint="cs"/>
          <w:rtl/>
        </w:rPr>
        <w:t>لا فسد البيع؛</w:t>
      </w:r>
      <w:r w:rsidR="00EA1AAD" w:rsidRPr="002A6954">
        <w:rPr>
          <w:rFonts w:ascii="Traditional Arabic" w:hAnsi="Traditional Arabic" w:hint="cs"/>
          <w:rtl/>
        </w:rPr>
        <w:t xml:space="preserve"> لحصول الجهالة في المبيع</w:t>
      </w:r>
      <w:r w:rsidR="00EA1AAD" w:rsidRPr="00C821A1">
        <w:rPr>
          <w:rFonts w:ascii="Traditional Arabic" w:hAnsi="Traditional Arabic" w:hint="cs"/>
          <w:szCs w:val="32"/>
          <w:vertAlign w:val="superscript"/>
          <w:rtl/>
        </w:rPr>
        <w:t>(</w:t>
      </w:r>
      <w:r w:rsidR="00EA1AAD" w:rsidRPr="00C821A1">
        <w:rPr>
          <w:rStyle w:val="af1"/>
          <w:rFonts w:ascii="Traditional Arabic" w:hAnsi="Traditional Arabic"/>
          <w:szCs w:val="32"/>
          <w:rtl/>
        </w:rPr>
        <w:footnoteReference w:id="723"/>
      </w:r>
      <w:r w:rsidR="00EA1AAD" w:rsidRPr="00C821A1">
        <w:rPr>
          <w:rFonts w:ascii="Traditional Arabic" w:hAnsi="Traditional Arabic" w:hint="cs"/>
          <w:szCs w:val="32"/>
          <w:vertAlign w:val="superscript"/>
          <w:rtl/>
        </w:rPr>
        <w:t>)</w:t>
      </w:r>
      <w:r w:rsidR="00EA1AAD" w:rsidRPr="002A6954">
        <w:rPr>
          <w:rFonts w:ascii="Traditional Arabic" w:hAnsi="Traditional Arabic" w:hint="cs"/>
          <w:rtl/>
        </w:rPr>
        <w:t>.</w:t>
      </w:r>
    </w:p>
    <w:p w:rsidR="00065E4B" w:rsidRPr="002A6954" w:rsidRDefault="00065E4B" w:rsidP="00597C20">
      <w:pPr>
        <w:pStyle w:val="53"/>
        <w:rPr>
          <w:rtl/>
        </w:rPr>
      </w:pPr>
      <w:r w:rsidRPr="002A6954">
        <w:rPr>
          <w:rFonts w:hint="cs"/>
          <w:rtl/>
        </w:rPr>
        <w:t>و</w:t>
      </w:r>
      <w:r w:rsidR="00EA1AAD" w:rsidRPr="002A6954">
        <w:rPr>
          <w:rFonts w:hint="cs"/>
          <w:rtl/>
        </w:rPr>
        <w:t>جه اندراج الفرع تحت القاعدة:</w:t>
      </w:r>
    </w:p>
    <w:p w:rsidR="00EA1AAD" w:rsidRDefault="00065E4B" w:rsidP="00597C20">
      <w:pPr>
        <w:widowControl/>
        <w:autoSpaceDE w:val="0"/>
        <w:autoSpaceDN w:val="0"/>
        <w:adjustRightInd w:val="0"/>
        <w:ind w:firstLine="720"/>
        <w:jc w:val="left"/>
        <w:rPr>
          <w:rFonts w:ascii="Traditional Arabic" w:hAnsi="Traditional Arabic"/>
          <w:rtl/>
        </w:rPr>
      </w:pPr>
      <w:r w:rsidRPr="00C67BD6">
        <w:rPr>
          <w:rFonts w:ascii="Traditional Arabic" w:hAnsi="Traditional Arabic"/>
          <w:rtl/>
        </w:rPr>
        <w:t>ﺇ</w:t>
      </w:r>
      <w:r w:rsidR="00EA1AAD" w:rsidRPr="00C67BD6">
        <w:rPr>
          <w:rFonts w:ascii="Traditional Arabic" w:hAnsi="Traditional Arabic" w:hint="cs"/>
          <w:rtl/>
        </w:rPr>
        <w:t xml:space="preserve">ن صحة البيع </w:t>
      </w:r>
      <w:r w:rsidR="00BE42D4">
        <w:rPr>
          <w:rFonts w:ascii="Traditional Arabic" w:hAnsi="Traditional Arabic" w:hint="cs"/>
          <w:rtl/>
        </w:rPr>
        <w:t>وفساده م</w:t>
      </w:r>
      <w:r w:rsidR="00EA1AAD" w:rsidRPr="00C67BD6">
        <w:rPr>
          <w:rFonts w:ascii="Traditional Arabic" w:hAnsi="Traditional Arabic" w:hint="cs"/>
          <w:rtl/>
        </w:rPr>
        <w:t>توقف</w:t>
      </w:r>
      <w:r w:rsidR="00BE42D4">
        <w:rPr>
          <w:rFonts w:ascii="Traditional Arabic" w:hAnsi="Traditional Arabic" w:hint="cs"/>
          <w:rtl/>
        </w:rPr>
        <w:t>ان</w:t>
      </w:r>
      <w:r w:rsidR="00EA1AAD" w:rsidRPr="00C67BD6">
        <w:rPr>
          <w:rFonts w:ascii="Traditional Arabic" w:hAnsi="Traditional Arabic" w:hint="cs"/>
          <w:rtl/>
        </w:rPr>
        <w:t xml:space="preserve"> على نية البائع؛ </w:t>
      </w:r>
      <w:r w:rsidR="00EA1AAD" w:rsidRPr="00BA711A">
        <w:rPr>
          <w:rFonts w:ascii="Traditional Arabic" w:hAnsi="Traditional Arabic" w:hint="cs"/>
          <w:rtl/>
        </w:rPr>
        <w:t>ف</w:t>
      </w:r>
      <w:r w:rsidR="00AA2F0F" w:rsidRPr="00BA711A">
        <w:rPr>
          <w:rFonts w:ascii="Traditional Arabic" w:hAnsi="Traditional Arabic" w:hint="cs"/>
          <w:rtl/>
        </w:rPr>
        <w:t>الأعمال بالنيات</w:t>
      </w:r>
      <w:r w:rsidR="00CA7937">
        <w:rPr>
          <w:rFonts w:ascii="Traditional Arabic" w:hAnsi="Traditional Arabic" w:hint="cs"/>
          <w:rtl/>
        </w:rPr>
        <w:t>،</w:t>
      </w:r>
      <w:r w:rsidR="00AA2F0F" w:rsidRPr="00BA711A">
        <w:rPr>
          <w:rFonts w:ascii="Traditional Arabic" w:hAnsi="Traditional Arabic" w:hint="cs"/>
          <w:rtl/>
        </w:rPr>
        <w:t xml:space="preserve"> و</w:t>
      </w:r>
      <w:r w:rsidR="00EA1AAD" w:rsidRPr="00BA711A">
        <w:rPr>
          <w:rFonts w:ascii="Traditional Arabic" w:hAnsi="Traditional Arabic" w:hint="cs"/>
          <w:rtl/>
        </w:rPr>
        <w:t>النية لها أثر في صحة المعاملة أو فسادها.</w:t>
      </w:r>
    </w:p>
    <w:p w:rsidR="00065E4B" w:rsidRDefault="00EA1AAD" w:rsidP="000A76C7">
      <w:pPr>
        <w:pStyle w:val="afc"/>
        <w:widowControl/>
        <w:numPr>
          <w:ilvl w:val="0"/>
          <w:numId w:val="110"/>
        </w:numPr>
        <w:autoSpaceDE w:val="0"/>
        <w:autoSpaceDN w:val="0"/>
        <w:adjustRightInd w:val="0"/>
        <w:rPr>
          <w:rFonts w:ascii="Traditional Arabic" w:hAnsi="Traditional Arabic"/>
        </w:rPr>
      </w:pPr>
      <w:r>
        <w:rPr>
          <w:rFonts w:ascii="Traditional Arabic" w:hAnsi="Traditional Arabic" w:hint="cs"/>
          <w:rtl/>
        </w:rPr>
        <w:lastRenderedPageBreak/>
        <w:t>لو اشترط البائع على المشتري ألا ي</w:t>
      </w:r>
      <w:r>
        <w:rPr>
          <w:rFonts w:ascii="Traditional Arabic" w:hAnsi="Traditional Arabic"/>
          <w:rtl/>
        </w:rPr>
        <w:t>َ</w:t>
      </w:r>
      <w:r>
        <w:rPr>
          <w:rFonts w:ascii="Traditional Arabic" w:hAnsi="Traditional Arabic" w:hint="cs"/>
          <w:rtl/>
        </w:rPr>
        <w:t>ه</w:t>
      </w:r>
      <w:r>
        <w:rPr>
          <w:rFonts w:ascii="Traditional Arabic" w:hAnsi="Traditional Arabic"/>
          <w:rtl/>
        </w:rPr>
        <w:t>َ</w:t>
      </w:r>
      <w:r>
        <w:rPr>
          <w:rFonts w:ascii="Traditional Arabic" w:hAnsi="Traditional Arabic" w:hint="cs"/>
          <w:rtl/>
        </w:rPr>
        <w:t>ب المبيع،</w:t>
      </w:r>
      <w:r w:rsidR="00154102">
        <w:rPr>
          <w:rFonts w:ascii="Traditional Arabic" w:hAnsi="Traditional Arabic" w:hint="cs"/>
          <w:rtl/>
        </w:rPr>
        <w:t xml:space="preserve"> و</w:t>
      </w:r>
      <w:r>
        <w:rPr>
          <w:rFonts w:ascii="Traditional Arabic" w:hAnsi="Traditional Arabic" w:hint="cs"/>
          <w:rtl/>
        </w:rPr>
        <w:t>هو يقصد بذلك ألا ي</w:t>
      </w:r>
      <w:r>
        <w:rPr>
          <w:rFonts w:ascii="Traditional Arabic" w:hAnsi="Traditional Arabic"/>
          <w:rtl/>
        </w:rPr>
        <w:t>ُ</w:t>
      </w:r>
      <w:r>
        <w:rPr>
          <w:rFonts w:ascii="Traditional Arabic" w:hAnsi="Traditional Arabic" w:hint="cs"/>
          <w:rtl/>
        </w:rPr>
        <w:t>خر</w:t>
      </w:r>
      <w:r>
        <w:rPr>
          <w:rFonts w:ascii="Traditional Arabic" w:hAnsi="Traditional Arabic"/>
          <w:rtl/>
        </w:rPr>
        <w:t>ِ</w:t>
      </w:r>
      <w:r>
        <w:rPr>
          <w:rFonts w:ascii="Traditional Arabic" w:hAnsi="Traditional Arabic" w:hint="cs"/>
          <w:rtl/>
        </w:rPr>
        <w:t>جه المشتري م</w:t>
      </w:r>
      <w:r>
        <w:rPr>
          <w:rFonts w:ascii="Traditional Arabic" w:hAnsi="Traditional Arabic"/>
          <w:rtl/>
        </w:rPr>
        <w:t>ِ</w:t>
      </w:r>
      <w:r>
        <w:rPr>
          <w:rFonts w:ascii="Traditional Arabic" w:hAnsi="Traditional Arabic" w:hint="cs"/>
          <w:rtl/>
        </w:rPr>
        <w:t>ن مل</w:t>
      </w:r>
      <w:r>
        <w:rPr>
          <w:rFonts w:ascii="Traditional Arabic" w:hAnsi="Traditional Arabic"/>
          <w:rtl/>
        </w:rPr>
        <w:t>ْ</w:t>
      </w:r>
      <w:r>
        <w:rPr>
          <w:rFonts w:ascii="Traditional Arabic" w:hAnsi="Traditional Arabic" w:hint="cs"/>
          <w:rtl/>
        </w:rPr>
        <w:t xml:space="preserve">كه، </w:t>
      </w:r>
      <w:r>
        <w:rPr>
          <w:rFonts w:ascii="Traditional Arabic" w:hAnsi="Traditional Arabic"/>
          <w:rtl/>
        </w:rPr>
        <w:t>ﻓﺈ</w:t>
      </w:r>
      <w:r>
        <w:rPr>
          <w:rFonts w:ascii="Traditional Arabic" w:hAnsi="Traditional Arabic" w:hint="cs"/>
          <w:rtl/>
        </w:rPr>
        <w:t>نه يدخل ض</w:t>
      </w:r>
      <w:r>
        <w:rPr>
          <w:rFonts w:ascii="Traditional Arabic" w:hAnsi="Traditional Arabic"/>
          <w:rtl/>
        </w:rPr>
        <w:t>ِ</w:t>
      </w:r>
      <w:r>
        <w:rPr>
          <w:rFonts w:ascii="Traditional Arabic" w:hAnsi="Traditional Arabic" w:hint="cs"/>
          <w:rtl/>
        </w:rPr>
        <w:t>م</w:t>
      </w:r>
      <w:r>
        <w:rPr>
          <w:rFonts w:ascii="Traditional Arabic" w:hAnsi="Traditional Arabic"/>
          <w:rtl/>
        </w:rPr>
        <w:t>ْ</w:t>
      </w:r>
      <w:r>
        <w:rPr>
          <w:rFonts w:ascii="Traditional Arabic" w:hAnsi="Traditional Arabic" w:hint="cs"/>
          <w:rtl/>
        </w:rPr>
        <w:t>ن هذا الشرط</w:t>
      </w:r>
      <w:r w:rsidR="005E6020">
        <w:rPr>
          <w:rFonts w:ascii="Traditional Arabic" w:hAnsi="Traditional Arabic" w:hint="cs"/>
          <w:rtl/>
        </w:rPr>
        <w:t>:</w:t>
      </w:r>
      <w:r>
        <w:rPr>
          <w:rFonts w:ascii="Traditional Arabic" w:hAnsi="Traditional Arabic" w:hint="cs"/>
          <w:rtl/>
        </w:rPr>
        <w:t xml:space="preserve"> ألا يبيعه</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24"/>
      </w:r>
      <w:r w:rsidRPr="00C821A1">
        <w:rPr>
          <w:rFonts w:ascii="Traditional Arabic" w:hAnsi="Traditional Arabic" w:hint="cs"/>
          <w:szCs w:val="32"/>
          <w:vertAlign w:val="superscript"/>
          <w:rtl/>
        </w:rPr>
        <w:t>)</w:t>
      </w:r>
      <w:r>
        <w:rPr>
          <w:rFonts w:ascii="Traditional Arabic" w:hAnsi="Traditional Arabic" w:hint="cs"/>
          <w:rtl/>
        </w:rPr>
        <w:t>.</w:t>
      </w:r>
    </w:p>
    <w:p w:rsidR="00EA1AAD" w:rsidRDefault="00065E4B" w:rsidP="00597C20">
      <w:pPr>
        <w:pStyle w:val="53"/>
        <w:rPr>
          <w:rtl/>
        </w:rPr>
      </w:pPr>
      <w:r w:rsidRPr="00CC41A1">
        <w:rPr>
          <w:rFonts w:hint="cs"/>
          <w:rtl/>
        </w:rPr>
        <w:t>و</w:t>
      </w:r>
      <w:r w:rsidR="00EA1AAD" w:rsidRPr="00CC41A1">
        <w:rPr>
          <w:rFonts w:hint="cs"/>
          <w:rtl/>
        </w:rPr>
        <w:t>جه اندراج الفرع تحت القاعدة</w:t>
      </w:r>
      <w:r w:rsidR="00EA1AAD">
        <w:rPr>
          <w:rFonts w:hint="cs"/>
          <w:rtl/>
        </w:rPr>
        <w:t>:</w:t>
      </w:r>
    </w:p>
    <w:p w:rsidR="00EA1AAD" w:rsidRDefault="00EA1AAD" w:rsidP="00597C20">
      <w:pPr>
        <w:widowControl/>
        <w:autoSpaceDE w:val="0"/>
        <w:autoSpaceDN w:val="0"/>
        <w:adjustRightInd w:val="0"/>
        <w:ind w:left="720" w:firstLine="0"/>
        <w:rPr>
          <w:rFonts w:ascii="Traditional Arabic" w:hAnsi="Traditional Arabic"/>
          <w:b/>
          <w:bCs/>
          <w:rtl/>
        </w:rPr>
      </w:pPr>
      <w:r>
        <w:rPr>
          <w:rFonts w:ascii="Traditional Arabic" w:hAnsi="Traditional Arabic" w:hint="cs"/>
          <w:rtl/>
        </w:rPr>
        <w:t>ما دام مقصود البائع معروفا،</w:t>
      </w:r>
      <w:r w:rsidR="00154102">
        <w:rPr>
          <w:rFonts w:ascii="Traditional Arabic" w:hAnsi="Traditional Arabic" w:hint="cs"/>
          <w:rtl/>
        </w:rPr>
        <w:t xml:space="preserve"> و</w:t>
      </w:r>
      <w:r>
        <w:rPr>
          <w:rFonts w:ascii="Traditional Arabic" w:hAnsi="Traditional Arabic" w:hint="cs"/>
          <w:rtl/>
        </w:rPr>
        <w:t>هو ألا يخر</w:t>
      </w:r>
      <w:r>
        <w:rPr>
          <w:rFonts w:ascii="Traditional Arabic" w:hAnsi="Traditional Arabic"/>
          <w:rtl/>
        </w:rPr>
        <w:t>ِ</w:t>
      </w:r>
      <w:r>
        <w:rPr>
          <w:rFonts w:ascii="Traditional Arabic" w:hAnsi="Traditional Arabic" w:hint="cs"/>
          <w:rtl/>
        </w:rPr>
        <w:t>ج المشتري المبيع</w:t>
      </w:r>
      <w:r>
        <w:rPr>
          <w:rFonts w:ascii="Traditional Arabic" w:hAnsi="Traditional Arabic"/>
          <w:rtl/>
        </w:rPr>
        <w:t>َ</w:t>
      </w:r>
      <w:r>
        <w:rPr>
          <w:rFonts w:ascii="Traditional Arabic" w:hAnsi="Traditional Arabic" w:hint="cs"/>
          <w:rtl/>
        </w:rPr>
        <w:t xml:space="preserve"> عن ملكه، فسواء جاء البائع بلفظ الهبة</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25"/>
      </w:r>
      <w:r w:rsidRPr="00C821A1">
        <w:rPr>
          <w:rFonts w:ascii="Traditional Arabic" w:hAnsi="Traditional Arabic" w:hint="cs"/>
          <w:szCs w:val="32"/>
          <w:vertAlign w:val="superscript"/>
          <w:rtl/>
        </w:rPr>
        <w:t>)</w:t>
      </w:r>
      <w:r>
        <w:rPr>
          <w:rFonts w:ascii="Traditional Arabic" w:hAnsi="Traditional Arabic" w:hint="cs"/>
          <w:rtl/>
        </w:rPr>
        <w:t>أو بلفظ البيع أو بغير ذلك</w:t>
      </w:r>
      <w:r w:rsidRPr="00CC41A1">
        <w:rPr>
          <w:rFonts w:ascii="Traditional Arabic" w:hAnsi="Traditional Arabic" w:hint="cs"/>
          <w:b/>
          <w:bCs/>
          <w:rtl/>
        </w:rPr>
        <w:t xml:space="preserve">، </w:t>
      </w:r>
      <w:r w:rsidRPr="00BA711A">
        <w:rPr>
          <w:rFonts w:ascii="Traditional Arabic" w:hAnsi="Traditional Arabic" w:hint="cs"/>
          <w:rtl/>
        </w:rPr>
        <w:t>فالعبرة بما ق</w:t>
      </w:r>
      <w:r w:rsidRPr="00BA711A">
        <w:rPr>
          <w:rFonts w:ascii="Traditional Arabic" w:hAnsi="Traditional Arabic"/>
          <w:rtl/>
        </w:rPr>
        <w:t>َ</w:t>
      </w:r>
      <w:r w:rsidRPr="00BA711A">
        <w:rPr>
          <w:rFonts w:ascii="Traditional Arabic" w:hAnsi="Traditional Arabic" w:hint="cs"/>
          <w:rtl/>
        </w:rPr>
        <w:t>ص</w:t>
      </w:r>
      <w:r w:rsidRPr="00BA711A">
        <w:rPr>
          <w:rFonts w:ascii="Traditional Arabic" w:hAnsi="Traditional Arabic"/>
          <w:rtl/>
        </w:rPr>
        <w:t>َ</w:t>
      </w:r>
      <w:r w:rsidRPr="00BA711A">
        <w:rPr>
          <w:rFonts w:ascii="Traditional Arabic" w:hAnsi="Traditional Arabic" w:hint="cs"/>
          <w:rtl/>
        </w:rPr>
        <w:t>ده؛</w:t>
      </w:r>
      <w:r w:rsidR="00AA2F0F" w:rsidRPr="00BA711A">
        <w:rPr>
          <w:rFonts w:ascii="Traditional Arabic" w:hAnsi="Traditional Arabic" w:hint="cs"/>
          <w:rtl/>
        </w:rPr>
        <w:t xml:space="preserve"> </w:t>
      </w:r>
      <w:r w:rsidRPr="00BA711A">
        <w:rPr>
          <w:rFonts w:ascii="Traditional Arabic" w:hAnsi="Traditional Arabic" w:hint="cs"/>
          <w:rtl/>
        </w:rPr>
        <w:t>لأن الأمور بمقاصدها</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26"/>
      </w:r>
      <w:r w:rsidRPr="00C821A1">
        <w:rPr>
          <w:rFonts w:ascii="Traditional Arabic" w:hAnsi="Traditional Arabic" w:hint="cs"/>
          <w:szCs w:val="32"/>
          <w:vertAlign w:val="superscript"/>
          <w:rtl/>
        </w:rPr>
        <w:t>)</w:t>
      </w:r>
      <w:r>
        <w:rPr>
          <w:rFonts w:ascii="Traditional Arabic" w:hAnsi="Traditional Arabic" w:hint="cs"/>
          <w:b/>
          <w:bCs/>
          <w:rtl/>
        </w:rPr>
        <w:t>.</w:t>
      </w:r>
    </w:p>
    <w:p w:rsidR="00065E4B" w:rsidRPr="00832787" w:rsidRDefault="00EA1AAD" w:rsidP="000A76C7">
      <w:pPr>
        <w:pStyle w:val="afc"/>
        <w:widowControl/>
        <w:numPr>
          <w:ilvl w:val="0"/>
          <w:numId w:val="110"/>
        </w:numPr>
        <w:autoSpaceDE w:val="0"/>
        <w:autoSpaceDN w:val="0"/>
        <w:adjustRightInd w:val="0"/>
        <w:rPr>
          <w:rFonts w:ascii="Traditional Arabic" w:hAnsi="Traditional Arabic"/>
          <w:b/>
          <w:bCs/>
        </w:rPr>
      </w:pPr>
      <w:r>
        <w:rPr>
          <w:rFonts w:ascii="Traditional Arabic" w:hAnsi="Traditional Arabic" w:hint="cs"/>
          <w:rtl/>
        </w:rPr>
        <w:t>الخ</w:t>
      </w:r>
      <w:r>
        <w:rPr>
          <w:rFonts w:ascii="Traditional Arabic" w:hAnsi="Traditional Arabic"/>
          <w:rtl/>
        </w:rPr>
        <w:t>ِ</w:t>
      </w:r>
      <w:r>
        <w:rPr>
          <w:rFonts w:ascii="Traditional Arabic" w:hAnsi="Traditional Arabic" w:hint="cs"/>
          <w:rtl/>
        </w:rPr>
        <w:t>صاء</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27"/>
      </w:r>
      <w:r w:rsidRPr="00C821A1">
        <w:rPr>
          <w:rFonts w:ascii="Traditional Arabic" w:hAnsi="Traditional Arabic" w:hint="cs"/>
          <w:szCs w:val="32"/>
          <w:vertAlign w:val="superscript"/>
          <w:rtl/>
        </w:rPr>
        <w:t>)</w:t>
      </w:r>
      <w:r>
        <w:rPr>
          <w:rFonts w:ascii="Traditional Arabic" w:hAnsi="Traditional Arabic" w:hint="cs"/>
          <w:rtl/>
        </w:rPr>
        <w:t xml:space="preserve">في البهائم ليس بعيب مطلقا؛ بل </w:t>
      </w:r>
      <w:r>
        <w:rPr>
          <w:rFonts w:ascii="Traditional Arabic" w:hAnsi="Traditional Arabic"/>
          <w:rtl/>
        </w:rPr>
        <w:t>ﺇ</w:t>
      </w:r>
      <w:r>
        <w:rPr>
          <w:rFonts w:ascii="Traditional Arabic" w:hAnsi="Traditional Arabic" w:hint="cs"/>
          <w:rtl/>
        </w:rPr>
        <w:t>ذا قصد المشتري من شراء الفح</w:t>
      </w:r>
      <w:r>
        <w:rPr>
          <w:rFonts w:ascii="Traditional Arabic" w:hAnsi="Traditional Arabic"/>
          <w:rtl/>
        </w:rPr>
        <w:t>ْ</w:t>
      </w:r>
      <w:r>
        <w:rPr>
          <w:rFonts w:ascii="Traditional Arabic" w:hAnsi="Traditional Arabic" w:hint="cs"/>
          <w:rtl/>
        </w:rPr>
        <w:t>ل</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28"/>
      </w:r>
      <w:r w:rsidRPr="00C821A1">
        <w:rPr>
          <w:rFonts w:ascii="Traditional Arabic" w:hAnsi="Traditional Arabic" w:hint="cs"/>
          <w:szCs w:val="32"/>
          <w:vertAlign w:val="superscript"/>
          <w:rtl/>
        </w:rPr>
        <w:t>)</w:t>
      </w:r>
      <w:r>
        <w:rPr>
          <w:rFonts w:ascii="Traditional Arabic" w:hAnsi="Traditional Arabic" w:hint="cs"/>
          <w:rtl/>
        </w:rPr>
        <w:t xml:space="preserve"> أن ي</w:t>
      </w:r>
      <w:r>
        <w:rPr>
          <w:rFonts w:ascii="Traditional Arabic" w:hAnsi="Traditional Arabic"/>
          <w:rtl/>
        </w:rPr>
        <w:t>ُ</w:t>
      </w:r>
      <w:r>
        <w:rPr>
          <w:rFonts w:ascii="Traditional Arabic" w:hAnsi="Traditional Arabic" w:hint="cs"/>
          <w:rtl/>
        </w:rPr>
        <w:t>نزيه على الش</w:t>
      </w:r>
      <w:r>
        <w:rPr>
          <w:rFonts w:ascii="Traditional Arabic" w:hAnsi="Traditional Arabic"/>
          <w:rtl/>
        </w:rPr>
        <w:t>ِّ</w:t>
      </w:r>
      <w:r>
        <w:rPr>
          <w:rFonts w:ascii="Traditional Arabic" w:hAnsi="Traditional Arabic" w:hint="cs"/>
          <w:rtl/>
        </w:rPr>
        <w:t>ياه فتبي</w:t>
      </w:r>
      <w:r>
        <w:rPr>
          <w:rFonts w:ascii="Traditional Arabic" w:hAnsi="Traditional Arabic"/>
          <w:rtl/>
        </w:rPr>
        <w:t>ّ</w:t>
      </w:r>
      <w:r>
        <w:rPr>
          <w:rFonts w:ascii="Traditional Arabic" w:hAnsi="Traditional Arabic" w:hint="cs"/>
          <w:rtl/>
        </w:rPr>
        <w:t>ن أنه خ</w:t>
      </w:r>
      <w:r>
        <w:rPr>
          <w:rFonts w:ascii="Traditional Arabic" w:hAnsi="Traditional Arabic"/>
          <w:rtl/>
        </w:rPr>
        <w:t>َ</w:t>
      </w:r>
      <w:r>
        <w:rPr>
          <w:rFonts w:ascii="Traditional Arabic" w:hAnsi="Traditional Arabic" w:hint="cs"/>
          <w:rtl/>
        </w:rPr>
        <w:t>ص</w:t>
      </w:r>
      <w:r>
        <w:rPr>
          <w:rFonts w:ascii="Traditional Arabic" w:hAnsi="Traditional Arabic"/>
          <w:rtl/>
        </w:rPr>
        <w:t>ِ</w:t>
      </w:r>
      <w:r>
        <w:rPr>
          <w:rFonts w:ascii="Traditional Arabic" w:hAnsi="Traditional Arabic" w:hint="cs"/>
          <w:rtl/>
        </w:rPr>
        <w:t>ي</w:t>
      </w:r>
      <w:r>
        <w:rPr>
          <w:rFonts w:ascii="Traditional Arabic" w:hAnsi="Traditional Arabic"/>
          <w:rtl/>
        </w:rPr>
        <w:t>ّ</w:t>
      </w:r>
      <w:r w:rsidR="00AA2F0F">
        <w:rPr>
          <w:rFonts w:ascii="Traditional Arabic" w:hAnsi="Traditional Arabic" w:hint="cs"/>
          <w:rtl/>
        </w:rPr>
        <w:t xml:space="preserve"> كان ذلك عيبا، و</w:t>
      </w:r>
      <w:r>
        <w:rPr>
          <w:rFonts w:ascii="Traditional Arabic" w:hAnsi="Traditional Arabic" w:hint="cs"/>
          <w:rtl/>
        </w:rPr>
        <w:t xml:space="preserve">أما </w:t>
      </w:r>
      <w:r>
        <w:rPr>
          <w:rFonts w:ascii="Traditional Arabic" w:hAnsi="Traditional Arabic"/>
          <w:rtl/>
        </w:rPr>
        <w:t>ﺇ</w:t>
      </w:r>
      <w:r>
        <w:rPr>
          <w:rFonts w:ascii="Traditional Arabic" w:hAnsi="Traditional Arabic" w:hint="cs"/>
          <w:rtl/>
        </w:rPr>
        <w:t>ذا قصد شراءه للأكل، فتبين أنه خصي</w:t>
      </w:r>
      <w:r>
        <w:rPr>
          <w:rFonts w:ascii="Traditional Arabic" w:hAnsi="Traditional Arabic"/>
          <w:rtl/>
        </w:rPr>
        <w:t>ّ</w:t>
      </w:r>
      <w:r>
        <w:rPr>
          <w:rFonts w:ascii="Traditional Arabic" w:hAnsi="Traditional Arabic" w:hint="cs"/>
          <w:rtl/>
        </w:rPr>
        <w:t xml:space="preserve"> لم يكن ذلك عيبا؛</w:t>
      </w:r>
      <w:r w:rsidR="00AA2F0F">
        <w:rPr>
          <w:rFonts w:ascii="Traditional Arabic" w:hAnsi="Traditional Arabic" w:hint="cs"/>
          <w:rtl/>
        </w:rPr>
        <w:t xml:space="preserve"> </w:t>
      </w:r>
      <w:r>
        <w:rPr>
          <w:rFonts w:ascii="Traditional Arabic" w:hAnsi="Traditional Arabic" w:hint="cs"/>
          <w:rtl/>
        </w:rPr>
        <w:t>لأن الخ</w:t>
      </w:r>
      <w:r w:rsidR="00AA2F0F">
        <w:rPr>
          <w:rFonts w:ascii="Traditional Arabic" w:hAnsi="Traditional Arabic" w:hint="cs"/>
          <w:rtl/>
        </w:rPr>
        <w:t>َ</w:t>
      </w:r>
      <w:r>
        <w:rPr>
          <w:rFonts w:ascii="Traditional Arabic" w:hAnsi="Traditional Arabic" w:hint="cs"/>
          <w:rtl/>
        </w:rPr>
        <w:t>ص</w:t>
      </w:r>
      <w:r w:rsidR="00AA2F0F">
        <w:rPr>
          <w:rFonts w:ascii="Traditional Arabic" w:hAnsi="Traditional Arabic" w:hint="cs"/>
          <w:rtl/>
        </w:rPr>
        <w:t>ِ</w:t>
      </w:r>
      <w:r>
        <w:rPr>
          <w:rFonts w:ascii="Traditional Arabic" w:hAnsi="Traditional Arabic" w:hint="cs"/>
          <w:rtl/>
        </w:rPr>
        <w:t>ي</w:t>
      </w:r>
      <w:r w:rsidR="00AA2F0F">
        <w:rPr>
          <w:rFonts w:ascii="Traditional Arabic" w:hAnsi="Traditional Arabic" w:hint="cs"/>
          <w:rtl/>
        </w:rPr>
        <w:t>ّ</w:t>
      </w:r>
      <w:r>
        <w:rPr>
          <w:rFonts w:ascii="Traditional Arabic" w:hAnsi="Traditional Arabic" w:hint="cs"/>
          <w:rtl/>
        </w:rPr>
        <w:t xml:space="preserve"> عند الناس أ</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غ</w:t>
      </w:r>
      <w:r>
        <w:rPr>
          <w:rFonts w:ascii="Traditional Arabic" w:hAnsi="Traditional Arabic"/>
          <w:rtl/>
        </w:rPr>
        <w:t>َ</w:t>
      </w:r>
      <w:r>
        <w:rPr>
          <w:rFonts w:ascii="Traditional Arabic" w:hAnsi="Traditional Arabic" w:hint="cs"/>
          <w:rtl/>
        </w:rPr>
        <w:t>ب</w:t>
      </w:r>
      <w:r>
        <w:rPr>
          <w:rFonts w:ascii="Traditional Arabic" w:hAnsi="Traditional Arabic"/>
          <w:rtl/>
        </w:rPr>
        <w:t>ُ</w:t>
      </w:r>
      <w:r>
        <w:rPr>
          <w:rFonts w:ascii="Traditional Arabic" w:hAnsi="Traditional Arabic" w:hint="cs"/>
          <w:rtl/>
        </w:rPr>
        <w:t xml:space="preserve"> من الفحل،</w:t>
      </w:r>
      <w:r w:rsidR="00AA2F0F">
        <w:rPr>
          <w:rFonts w:ascii="Traditional Arabic" w:hAnsi="Traditional Arabic" w:hint="cs"/>
          <w:rtl/>
        </w:rPr>
        <w:t xml:space="preserve"> </w:t>
      </w:r>
      <w:r>
        <w:rPr>
          <w:rFonts w:ascii="Traditional Arabic" w:hAnsi="Traditional Arabic" w:hint="cs"/>
          <w:rtl/>
        </w:rPr>
        <w:t>لأنه أطي</w:t>
      </w:r>
      <w:r>
        <w:rPr>
          <w:rFonts w:ascii="Traditional Arabic" w:hAnsi="Traditional Arabic"/>
          <w:rtl/>
        </w:rPr>
        <w:t>َ</w:t>
      </w:r>
      <w:r>
        <w:rPr>
          <w:rFonts w:ascii="Traditional Arabic" w:hAnsi="Traditional Arabic" w:hint="cs"/>
          <w:rtl/>
        </w:rPr>
        <w:t>ب</w:t>
      </w:r>
      <w:r>
        <w:rPr>
          <w:rFonts w:ascii="Traditional Arabic" w:hAnsi="Traditional Arabic"/>
          <w:rtl/>
        </w:rPr>
        <w:t>ُ</w:t>
      </w:r>
      <w:r>
        <w:rPr>
          <w:rFonts w:ascii="Traditional Arabic" w:hAnsi="Traditional Arabic" w:hint="cs"/>
          <w:rtl/>
        </w:rPr>
        <w:t xml:space="preserve"> لحم</w:t>
      </w:r>
      <w:r>
        <w:rPr>
          <w:rFonts w:ascii="Traditional Arabic" w:hAnsi="Traditional Arabic"/>
          <w:rtl/>
        </w:rPr>
        <w:t>ً</w:t>
      </w:r>
      <w:r>
        <w:rPr>
          <w:rFonts w:ascii="Traditional Arabic" w:hAnsi="Traditional Arabic" w:hint="cs"/>
          <w:rtl/>
        </w:rPr>
        <w:t>ا</w:t>
      </w:r>
      <w:r w:rsidR="00154102">
        <w:rPr>
          <w:rFonts w:ascii="Traditional Arabic" w:hAnsi="Traditional Arabic" w:hint="cs"/>
          <w:rtl/>
        </w:rPr>
        <w:t xml:space="preserve"> و</w:t>
      </w:r>
      <w:r>
        <w:rPr>
          <w:rFonts w:ascii="Traditional Arabic" w:hAnsi="Traditional Arabic" w:hint="cs"/>
          <w:rtl/>
        </w:rPr>
        <w:t>أكثر</w:t>
      </w:r>
      <w:r>
        <w:rPr>
          <w:rFonts w:ascii="Traditional Arabic" w:hAnsi="Traditional Arabic"/>
          <w:rtl/>
        </w:rPr>
        <w:t>ُ</w:t>
      </w:r>
      <w:r>
        <w:rPr>
          <w:rFonts w:ascii="Traditional Arabic" w:hAnsi="Traditional Arabic" w:hint="cs"/>
          <w:rtl/>
        </w:rPr>
        <w:t xml:space="preserve"> قيمة</w:t>
      </w:r>
      <w:r>
        <w:rPr>
          <w:rFonts w:ascii="Traditional Arabic" w:hAnsi="Traditional Arabic"/>
          <w:rtl/>
        </w:rPr>
        <w:t>ً</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29"/>
      </w:r>
      <w:r w:rsidRPr="00C821A1">
        <w:rPr>
          <w:rFonts w:ascii="Traditional Arabic" w:hAnsi="Traditional Arabic" w:hint="cs"/>
          <w:szCs w:val="32"/>
          <w:vertAlign w:val="superscript"/>
          <w:rtl/>
        </w:rPr>
        <w:t>)</w:t>
      </w:r>
      <w:r>
        <w:rPr>
          <w:rFonts w:ascii="Traditional Arabic" w:hAnsi="Traditional Arabic" w:hint="cs"/>
          <w:rtl/>
        </w:rPr>
        <w:t>.</w:t>
      </w:r>
    </w:p>
    <w:p w:rsidR="00065E4B" w:rsidRPr="002A6954" w:rsidRDefault="00065E4B" w:rsidP="00597C20">
      <w:pPr>
        <w:pStyle w:val="53"/>
        <w:rPr>
          <w:rtl/>
        </w:rPr>
      </w:pPr>
      <w:r w:rsidRPr="002A6954">
        <w:rPr>
          <w:rFonts w:hint="cs"/>
          <w:rtl/>
        </w:rPr>
        <w:t>و</w:t>
      </w:r>
      <w:r w:rsidR="00EA1AAD" w:rsidRPr="002A6954">
        <w:rPr>
          <w:rFonts w:hint="cs"/>
          <w:rtl/>
        </w:rPr>
        <w:t>جه اندراج الفرع تحت القاعدة:</w:t>
      </w:r>
    </w:p>
    <w:p w:rsidR="00F228A9" w:rsidRPr="002A6954" w:rsidRDefault="00065E4B" w:rsidP="00597C20">
      <w:pPr>
        <w:widowControl/>
        <w:autoSpaceDE w:val="0"/>
        <w:autoSpaceDN w:val="0"/>
        <w:adjustRightInd w:val="0"/>
        <w:jc w:val="left"/>
        <w:rPr>
          <w:rFonts w:ascii="Traditional Arabic" w:hAnsi="Traditional Arabic"/>
          <w:b/>
          <w:bCs/>
          <w:rtl/>
        </w:rPr>
      </w:pPr>
      <w:r w:rsidRPr="002A6954">
        <w:rPr>
          <w:rFonts w:ascii="Traditional Arabic" w:hAnsi="Traditional Arabic" w:hint="cs"/>
          <w:rtl/>
        </w:rPr>
        <w:t>ك</w:t>
      </w:r>
      <w:r w:rsidR="00EA1AAD" w:rsidRPr="002A6954">
        <w:rPr>
          <w:rFonts w:ascii="Traditional Arabic" w:hAnsi="Traditional Arabic" w:hint="cs"/>
          <w:rtl/>
        </w:rPr>
        <w:t>ون الخ</w:t>
      </w:r>
      <w:r w:rsidR="00EA1AAD" w:rsidRPr="002A6954">
        <w:rPr>
          <w:rFonts w:ascii="Traditional Arabic" w:hAnsi="Traditional Arabic"/>
          <w:rtl/>
        </w:rPr>
        <w:t>ِ</w:t>
      </w:r>
      <w:r w:rsidR="00EA1AAD" w:rsidRPr="002A6954">
        <w:rPr>
          <w:rFonts w:ascii="Traditional Arabic" w:hAnsi="Traditional Arabic" w:hint="cs"/>
          <w:rtl/>
        </w:rPr>
        <w:t xml:space="preserve">صاء عيبا أو لا راجع </w:t>
      </w:r>
      <w:r w:rsidR="00EA1AAD" w:rsidRPr="002A6954">
        <w:rPr>
          <w:rFonts w:ascii="Traditional Arabic" w:hAnsi="Traditional Arabic"/>
          <w:rtl/>
        </w:rPr>
        <w:t>ﺇ</w:t>
      </w:r>
      <w:r w:rsidR="00EA1AAD" w:rsidRPr="002A6954">
        <w:rPr>
          <w:rFonts w:ascii="Traditional Arabic" w:hAnsi="Traditional Arabic" w:hint="cs"/>
          <w:rtl/>
        </w:rPr>
        <w:t xml:space="preserve">لى </w:t>
      </w:r>
      <w:r w:rsidR="00EA1AAD" w:rsidRPr="00BA711A">
        <w:rPr>
          <w:rFonts w:ascii="Traditional Arabic" w:hAnsi="Traditional Arabic" w:hint="cs"/>
          <w:rtl/>
        </w:rPr>
        <w:t>مقاصد المشترين،</w:t>
      </w:r>
      <w:r w:rsidR="00154102" w:rsidRPr="00BA711A">
        <w:rPr>
          <w:rFonts w:ascii="Traditional Arabic" w:hAnsi="Traditional Arabic" w:hint="cs"/>
          <w:rtl/>
        </w:rPr>
        <w:t xml:space="preserve"> و</w:t>
      </w:r>
      <w:r w:rsidR="00EA1AAD" w:rsidRPr="00BA711A">
        <w:rPr>
          <w:rFonts w:ascii="Traditional Arabic" w:hAnsi="Traditional Arabic" w:hint="cs"/>
          <w:rtl/>
        </w:rPr>
        <w:t>الأمور</w:t>
      </w:r>
      <w:r w:rsidR="00BA711A">
        <w:rPr>
          <w:rFonts w:ascii="Traditional Arabic" w:hAnsi="Traditional Arabic" w:hint="cs"/>
          <w:rtl/>
        </w:rPr>
        <w:t>ُ</w:t>
      </w:r>
      <w:r w:rsidR="00EA1AAD" w:rsidRPr="00BA711A">
        <w:rPr>
          <w:rFonts w:ascii="Traditional Arabic" w:hAnsi="Traditional Arabic" w:hint="cs"/>
          <w:rtl/>
        </w:rPr>
        <w:t xml:space="preserve"> بمقاصدها</w:t>
      </w:r>
      <w:r w:rsidR="00EA1AAD" w:rsidRPr="00C821A1">
        <w:rPr>
          <w:rFonts w:ascii="Traditional Arabic" w:hAnsi="Traditional Arabic" w:hint="cs"/>
          <w:szCs w:val="32"/>
          <w:vertAlign w:val="superscript"/>
          <w:rtl/>
        </w:rPr>
        <w:t>(</w:t>
      </w:r>
      <w:r w:rsidR="00EA1AAD" w:rsidRPr="00C821A1">
        <w:rPr>
          <w:rStyle w:val="af1"/>
          <w:rFonts w:ascii="Traditional Arabic" w:hAnsi="Traditional Arabic"/>
          <w:szCs w:val="32"/>
          <w:rtl/>
        </w:rPr>
        <w:footnoteReference w:id="730"/>
      </w:r>
      <w:r w:rsidR="00EA1AAD" w:rsidRPr="00C821A1">
        <w:rPr>
          <w:rFonts w:ascii="Traditional Arabic" w:hAnsi="Traditional Arabic" w:hint="cs"/>
          <w:szCs w:val="32"/>
          <w:vertAlign w:val="superscript"/>
          <w:rtl/>
        </w:rPr>
        <w:t>)</w:t>
      </w:r>
      <w:r w:rsidR="00EA1AAD" w:rsidRPr="002A6954">
        <w:rPr>
          <w:rFonts w:ascii="Traditional Arabic" w:hAnsi="Traditional Arabic" w:hint="cs"/>
          <w:rtl/>
        </w:rPr>
        <w:t>.</w:t>
      </w:r>
    </w:p>
    <w:p w:rsidR="00065E4B" w:rsidRPr="00F92E59" w:rsidRDefault="00EA1AAD" w:rsidP="000A76C7">
      <w:pPr>
        <w:pStyle w:val="afc"/>
        <w:widowControl/>
        <w:numPr>
          <w:ilvl w:val="0"/>
          <w:numId w:val="110"/>
        </w:numPr>
        <w:autoSpaceDE w:val="0"/>
        <w:autoSpaceDN w:val="0"/>
        <w:adjustRightInd w:val="0"/>
        <w:rPr>
          <w:rFonts w:ascii="Traditional Arabic" w:hAnsi="Traditional Arabic"/>
          <w:rtl/>
        </w:rPr>
      </w:pPr>
      <w:r w:rsidRPr="00F92E59">
        <w:rPr>
          <w:rFonts w:ascii="Traditional Arabic" w:hAnsi="Traditional Arabic" w:hint="cs"/>
          <w:rtl/>
        </w:rPr>
        <w:t>لو استأجر صاحب أرض عاملا ليحفر له بئرا في أرضه،</w:t>
      </w:r>
      <w:r w:rsidR="005E6020">
        <w:rPr>
          <w:rFonts w:ascii="Traditional Arabic" w:hAnsi="Traditional Arabic" w:hint="cs"/>
          <w:rtl/>
        </w:rPr>
        <w:t xml:space="preserve"> </w:t>
      </w:r>
      <w:r w:rsidRPr="00F92E59">
        <w:rPr>
          <w:rFonts w:ascii="Traditional Arabic" w:hAnsi="Traditional Arabic" w:hint="cs"/>
          <w:rtl/>
        </w:rPr>
        <w:t>ف</w:t>
      </w:r>
      <w:r>
        <w:rPr>
          <w:rFonts w:ascii="Traditional Arabic" w:hAnsi="Traditional Arabic" w:hint="cs"/>
          <w:rtl/>
        </w:rPr>
        <w:t>وجد</w:t>
      </w:r>
      <w:r w:rsidRPr="00F92E59">
        <w:rPr>
          <w:rFonts w:ascii="Traditional Arabic" w:hAnsi="Traditional Arabic" w:hint="cs"/>
          <w:rtl/>
        </w:rPr>
        <w:t xml:space="preserve"> هذا العامل </w:t>
      </w:r>
      <w:r>
        <w:rPr>
          <w:rFonts w:ascii="Traditional Arabic" w:hAnsi="Traditional Arabic" w:hint="cs"/>
          <w:rtl/>
        </w:rPr>
        <w:t>كنزا</w:t>
      </w:r>
      <w:r w:rsidRPr="00F92E59">
        <w:rPr>
          <w:rFonts w:ascii="Traditional Arabic" w:hAnsi="Traditional Arabic" w:hint="cs"/>
          <w:rtl/>
        </w:rPr>
        <w:t xml:space="preserve"> في داخل الأرض،</w:t>
      </w:r>
      <w:r w:rsidR="005E6020">
        <w:rPr>
          <w:rFonts w:ascii="Traditional Arabic" w:hAnsi="Traditional Arabic" w:hint="cs"/>
          <w:rtl/>
        </w:rPr>
        <w:t xml:space="preserve"> </w:t>
      </w:r>
      <w:r w:rsidRPr="00F92E59">
        <w:rPr>
          <w:rFonts w:ascii="Traditional Arabic" w:hAnsi="Traditional Arabic"/>
          <w:rtl/>
        </w:rPr>
        <w:t>ﻓﺈ</w:t>
      </w:r>
      <w:r w:rsidRPr="00F92E59">
        <w:rPr>
          <w:rFonts w:ascii="Traditional Arabic" w:hAnsi="Traditional Arabic" w:hint="cs"/>
          <w:rtl/>
        </w:rPr>
        <w:t xml:space="preserve">ن كان صاحب الأرض قد استأجر هذا العامل </w:t>
      </w:r>
      <w:r w:rsidRPr="00F92E59">
        <w:rPr>
          <w:rFonts w:ascii="Traditional Arabic" w:hAnsi="Traditional Arabic"/>
          <w:rtl/>
        </w:rPr>
        <w:t>ﻹ</w:t>
      </w:r>
      <w:r w:rsidRPr="00F92E59">
        <w:rPr>
          <w:rFonts w:ascii="Traditional Arabic" w:hAnsi="Traditional Arabic" w:hint="cs"/>
          <w:rtl/>
        </w:rPr>
        <w:t>خراج هذا ال</w:t>
      </w:r>
      <w:r>
        <w:rPr>
          <w:rFonts w:ascii="Traditional Arabic" w:hAnsi="Traditional Arabic" w:hint="cs"/>
          <w:rtl/>
        </w:rPr>
        <w:t>كن</w:t>
      </w:r>
      <w:r w:rsidRPr="00F92E59">
        <w:rPr>
          <w:rFonts w:ascii="Traditional Arabic" w:hAnsi="Traditional Arabic" w:hint="cs"/>
          <w:rtl/>
        </w:rPr>
        <w:t>ز فهو لصاحب الأرض، و</w:t>
      </w:r>
      <w:r w:rsidRPr="00F92E59">
        <w:rPr>
          <w:rFonts w:ascii="Traditional Arabic" w:hAnsi="Traditional Arabic"/>
          <w:rtl/>
        </w:rPr>
        <w:t>ﺇ</w:t>
      </w:r>
      <w:r w:rsidRPr="00F92E59">
        <w:rPr>
          <w:rFonts w:ascii="Traditional Arabic" w:hAnsi="Traditional Arabic" w:hint="cs"/>
          <w:rtl/>
        </w:rPr>
        <w:t>ن كان قد استأجره للحفر فقط فوجده هذا العامل فهو له</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31"/>
      </w:r>
      <w:r w:rsidRPr="00C821A1">
        <w:rPr>
          <w:rFonts w:ascii="Traditional Arabic" w:hAnsi="Traditional Arabic" w:hint="cs"/>
          <w:szCs w:val="32"/>
          <w:vertAlign w:val="superscript"/>
          <w:rtl/>
        </w:rPr>
        <w:t>)</w:t>
      </w:r>
      <w:r w:rsidRPr="00F92E59">
        <w:rPr>
          <w:rFonts w:ascii="Traditional Arabic" w:hAnsi="Traditional Arabic" w:hint="cs"/>
          <w:rtl/>
        </w:rPr>
        <w:t>.</w:t>
      </w:r>
    </w:p>
    <w:p w:rsidR="00EA1AAD" w:rsidRPr="00F92E59" w:rsidRDefault="00065E4B" w:rsidP="00597C20">
      <w:pPr>
        <w:pStyle w:val="53"/>
        <w:rPr>
          <w:rtl/>
        </w:rPr>
      </w:pPr>
      <w:r w:rsidRPr="00F92E59">
        <w:rPr>
          <w:rFonts w:hint="cs"/>
          <w:rtl/>
        </w:rPr>
        <w:lastRenderedPageBreak/>
        <w:t>و</w:t>
      </w:r>
      <w:r w:rsidR="00EA1AAD" w:rsidRPr="00F92E59">
        <w:rPr>
          <w:rFonts w:hint="cs"/>
          <w:rtl/>
        </w:rPr>
        <w:t>جه اندراج الفرع تحت القاعدة:</w:t>
      </w:r>
    </w:p>
    <w:p w:rsidR="00F228A9" w:rsidRPr="00822C6A" w:rsidRDefault="00EA1AAD" w:rsidP="00597C20">
      <w:pPr>
        <w:widowControl/>
        <w:autoSpaceDE w:val="0"/>
        <w:autoSpaceDN w:val="0"/>
        <w:adjustRightInd w:val="0"/>
        <w:ind w:firstLine="720"/>
        <w:jc w:val="left"/>
        <w:rPr>
          <w:rFonts w:ascii="Traditional Arabic" w:hAnsi="Traditional Arabic"/>
          <w:b/>
          <w:bCs/>
        </w:rPr>
      </w:pPr>
      <w:r w:rsidRPr="00BA711A">
        <w:rPr>
          <w:rFonts w:ascii="Traditional Arabic" w:hAnsi="Traditional Arabic" w:hint="cs"/>
          <w:rtl/>
        </w:rPr>
        <w:t>النية</w:t>
      </w:r>
      <w:r w:rsidRPr="00822C6A">
        <w:rPr>
          <w:rFonts w:ascii="Traditional Arabic" w:hAnsi="Traditional Arabic" w:hint="cs"/>
          <w:rtl/>
        </w:rPr>
        <w:t xml:space="preserve"> هي التي مي</w:t>
      </w:r>
      <w:r w:rsidRPr="00822C6A">
        <w:rPr>
          <w:rFonts w:ascii="Traditional Arabic" w:hAnsi="Traditional Arabic"/>
          <w:rtl/>
        </w:rPr>
        <w:t>ّ</w:t>
      </w:r>
      <w:r w:rsidRPr="00822C6A">
        <w:rPr>
          <w:rFonts w:ascii="Traditional Arabic" w:hAnsi="Traditional Arabic" w:hint="cs"/>
          <w:rtl/>
        </w:rPr>
        <w:t>زت</w:t>
      </w:r>
      <w:r w:rsidR="005E6020">
        <w:rPr>
          <w:rFonts w:ascii="Traditional Arabic" w:hAnsi="Traditional Arabic" w:hint="cs"/>
          <w:rtl/>
        </w:rPr>
        <w:t xml:space="preserve"> </w:t>
      </w:r>
      <w:r w:rsidRPr="00822C6A">
        <w:rPr>
          <w:rFonts w:ascii="Traditional Arabic" w:hAnsi="Traditional Arabic" w:hint="cs"/>
          <w:rtl/>
        </w:rPr>
        <w:t>بين كون الكنز لصاحب الأرض أو للعامل</w:t>
      </w:r>
      <w:r w:rsidR="005E6020">
        <w:rPr>
          <w:rFonts w:ascii="Traditional Arabic" w:hAnsi="Traditional Arabic" w:hint="cs"/>
          <w:rtl/>
        </w:rPr>
        <w:t>،</w:t>
      </w:r>
      <w:r w:rsidRPr="00822C6A">
        <w:rPr>
          <w:rFonts w:ascii="Traditional Arabic" w:hAnsi="Traditional Arabic" w:hint="cs"/>
          <w:rtl/>
        </w:rPr>
        <w:t xml:space="preserve"> مع كون صورة العمل واحدة</w:t>
      </w:r>
      <w:r w:rsidR="00BA711A">
        <w:rPr>
          <w:rFonts w:ascii="Traditional Arabic" w:hAnsi="Traditional Arabic" w:hint="cs"/>
          <w:rtl/>
        </w:rPr>
        <w:t>، و</w:t>
      </w:r>
      <w:r w:rsidR="00CA7937">
        <w:rPr>
          <w:rFonts w:ascii="Traditional Arabic" w:hAnsi="Traditional Arabic" w:hint="cs"/>
          <w:rtl/>
        </w:rPr>
        <w:t xml:space="preserve">إنما </w:t>
      </w:r>
      <w:r w:rsidR="00BA711A">
        <w:rPr>
          <w:rFonts w:ascii="Traditional Arabic" w:hAnsi="Traditional Arabic" w:hint="cs"/>
          <w:rtl/>
        </w:rPr>
        <w:t>الأعمال بالنيات، ولكل امرئ ما نوى</w:t>
      </w:r>
      <w:r w:rsidRPr="00822C6A">
        <w:rPr>
          <w:rFonts w:ascii="Traditional Arabic" w:hAnsi="Traditional Arabic" w:hint="cs"/>
          <w:rtl/>
        </w:rPr>
        <w:t>.</w:t>
      </w:r>
    </w:p>
    <w:p w:rsidR="00065E4B" w:rsidRDefault="00EA1AAD" w:rsidP="000A76C7">
      <w:pPr>
        <w:pStyle w:val="afc"/>
        <w:widowControl/>
        <w:numPr>
          <w:ilvl w:val="0"/>
          <w:numId w:val="110"/>
        </w:numPr>
        <w:autoSpaceDE w:val="0"/>
        <w:autoSpaceDN w:val="0"/>
        <w:adjustRightInd w:val="0"/>
        <w:rPr>
          <w:rFonts w:ascii="Traditional Arabic" w:hAnsi="Traditional Arabic"/>
          <w:rtl/>
        </w:rPr>
      </w:pPr>
      <w:r>
        <w:rPr>
          <w:rFonts w:ascii="Traditional Arabic" w:hAnsi="Traditional Arabic" w:hint="cs"/>
          <w:rtl/>
        </w:rPr>
        <w:t>يجوز للجار أن ي</w:t>
      </w:r>
      <w:r>
        <w:rPr>
          <w:rFonts w:ascii="Traditional Arabic" w:hAnsi="Traditional Arabic"/>
          <w:rtl/>
        </w:rPr>
        <w:t>ُ</w:t>
      </w:r>
      <w:r>
        <w:rPr>
          <w:rFonts w:ascii="Traditional Arabic" w:hAnsi="Traditional Arabic" w:hint="cs"/>
          <w:rtl/>
        </w:rPr>
        <w:t>ع</w:t>
      </w:r>
      <w:r>
        <w:rPr>
          <w:rFonts w:ascii="Traditional Arabic" w:hAnsi="Traditional Arabic"/>
          <w:rtl/>
        </w:rPr>
        <w:t>ْ</w:t>
      </w:r>
      <w:r>
        <w:rPr>
          <w:rFonts w:ascii="Traditional Arabic" w:hAnsi="Traditional Arabic" w:hint="cs"/>
          <w:rtl/>
        </w:rPr>
        <w:t>ل</w:t>
      </w:r>
      <w:r>
        <w:rPr>
          <w:rFonts w:ascii="Traditional Arabic" w:hAnsi="Traditional Arabic"/>
          <w:rtl/>
        </w:rPr>
        <w:t>ِ</w:t>
      </w:r>
      <w:r>
        <w:rPr>
          <w:rFonts w:ascii="Traditional Arabic" w:hAnsi="Traditional Arabic" w:hint="cs"/>
          <w:rtl/>
        </w:rPr>
        <w:t>ي</w:t>
      </w:r>
      <w:r>
        <w:rPr>
          <w:rFonts w:ascii="Traditional Arabic" w:hAnsi="Traditional Arabic"/>
          <w:rtl/>
        </w:rPr>
        <w:t>َ</w:t>
      </w:r>
      <w:r>
        <w:rPr>
          <w:rFonts w:ascii="Traditional Arabic" w:hAnsi="Traditional Arabic" w:hint="cs"/>
          <w:rtl/>
        </w:rPr>
        <w:t xml:space="preserve"> بناءه على جاره حتى لو حجب الشمس</w:t>
      </w:r>
      <w:r w:rsidR="00154102">
        <w:rPr>
          <w:rFonts w:ascii="Traditional Arabic" w:hAnsi="Traditional Arabic" w:hint="cs"/>
          <w:rtl/>
        </w:rPr>
        <w:t xml:space="preserve"> و</w:t>
      </w:r>
      <w:r w:rsidR="00BE42D4">
        <w:rPr>
          <w:rFonts w:ascii="Traditional Arabic" w:hAnsi="Traditional Arabic" w:hint="cs"/>
          <w:rtl/>
        </w:rPr>
        <w:t>الهواء عنه؛</w:t>
      </w:r>
      <w:r w:rsidR="005E6020">
        <w:rPr>
          <w:rFonts w:ascii="Traditional Arabic" w:hAnsi="Traditional Arabic" w:hint="cs"/>
          <w:rtl/>
        </w:rPr>
        <w:t xml:space="preserve"> </w:t>
      </w:r>
      <w:r>
        <w:rPr>
          <w:rFonts w:ascii="Traditional Arabic" w:hAnsi="Traditional Arabic" w:hint="cs"/>
          <w:rtl/>
        </w:rPr>
        <w:t>لأن هذا م</w:t>
      </w:r>
      <w:r>
        <w:rPr>
          <w:rFonts w:ascii="Traditional Arabic" w:hAnsi="Traditional Arabic"/>
          <w:rtl/>
        </w:rPr>
        <w:t>ُ</w:t>
      </w:r>
      <w:r>
        <w:rPr>
          <w:rFonts w:ascii="Traditional Arabic" w:hAnsi="Traditional Arabic" w:hint="cs"/>
          <w:rtl/>
        </w:rPr>
        <w:t>ل</w:t>
      </w:r>
      <w:r>
        <w:rPr>
          <w:rFonts w:ascii="Traditional Arabic" w:hAnsi="Traditional Arabic"/>
          <w:rtl/>
        </w:rPr>
        <w:t>ْ</w:t>
      </w:r>
      <w:r>
        <w:rPr>
          <w:rFonts w:ascii="Traditional Arabic" w:hAnsi="Traditional Arabic" w:hint="cs"/>
          <w:rtl/>
        </w:rPr>
        <w:t>ك</w:t>
      </w:r>
      <w:r>
        <w:rPr>
          <w:rFonts w:ascii="Traditional Arabic" w:hAnsi="Traditional Arabic"/>
          <w:rtl/>
        </w:rPr>
        <w:t>ُ</w:t>
      </w:r>
      <w:r w:rsidR="00BA711A">
        <w:rPr>
          <w:rFonts w:ascii="Traditional Arabic" w:hAnsi="Traditional Arabic" w:hint="cs"/>
          <w:rtl/>
        </w:rPr>
        <w:t>ه، و</w:t>
      </w:r>
      <w:r>
        <w:rPr>
          <w:rFonts w:ascii="Traditional Arabic" w:hAnsi="Traditional Arabic" w:hint="cs"/>
          <w:rtl/>
        </w:rPr>
        <w:t>الهواء</w:t>
      </w:r>
      <w:r>
        <w:rPr>
          <w:rFonts w:ascii="Traditional Arabic" w:hAnsi="Traditional Arabic"/>
          <w:rtl/>
        </w:rPr>
        <w:t>ُ</w:t>
      </w:r>
      <w:r>
        <w:rPr>
          <w:rFonts w:ascii="Traditional Arabic" w:hAnsi="Traditional Arabic" w:hint="cs"/>
          <w:rtl/>
        </w:rPr>
        <w:t xml:space="preserve"> تابع</w:t>
      </w:r>
      <w:r>
        <w:rPr>
          <w:rFonts w:ascii="Traditional Arabic" w:hAnsi="Traditional Arabic"/>
          <w:rtl/>
        </w:rPr>
        <w:t>ٌ</w:t>
      </w:r>
      <w:r>
        <w:rPr>
          <w:rFonts w:ascii="Traditional Arabic" w:hAnsi="Traditional Arabic" w:hint="cs"/>
          <w:rtl/>
        </w:rPr>
        <w:t xml:space="preserve"> للقرار</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32"/>
      </w:r>
      <w:r w:rsidRPr="00C821A1">
        <w:rPr>
          <w:rFonts w:ascii="Traditional Arabic" w:hAnsi="Traditional Arabic" w:hint="cs"/>
          <w:szCs w:val="32"/>
          <w:vertAlign w:val="superscript"/>
          <w:rtl/>
        </w:rPr>
        <w:t>)</w:t>
      </w:r>
      <w:r>
        <w:rPr>
          <w:rFonts w:ascii="Traditional Arabic" w:hAnsi="Traditional Arabic" w:hint="cs"/>
          <w:rtl/>
        </w:rPr>
        <w:t>،</w:t>
      </w:r>
      <w:r w:rsidR="00BA711A">
        <w:rPr>
          <w:rFonts w:ascii="Traditional Arabic" w:hAnsi="Traditional Arabic" w:hint="cs"/>
          <w:rtl/>
        </w:rPr>
        <w:t xml:space="preserve"> </w:t>
      </w:r>
      <w:r>
        <w:rPr>
          <w:rFonts w:ascii="Traditional Arabic" w:hAnsi="Traditional Arabic" w:hint="cs"/>
          <w:rtl/>
        </w:rPr>
        <w:t xml:space="preserve">لكن </w:t>
      </w:r>
      <w:r>
        <w:rPr>
          <w:rFonts w:ascii="Traditional Arabic" w:hAnsi="Traditional Arabic"/>
          <w:rtl/>
        </w:rPr>
        <w:t>ﺇ</w:t>
      </w:r>
      <w:r w:rsidR="00BA711A">
        <w:rPr>
          <w:rFonts w:ascii="Traditional Arabic" w:hAnsi="Traditional Arabic" w:hint="cs"/>
          <w:rtl/>
        </w:rPr>
        <w:t>ذا عُلم</w:t>
      </w:r>
      <w:r>
        <w:rPr>
          <w:rFonts w:ascii="Traditional Arabic" w:hAnsi="Traditional Arabic" w:hint="cs"/>
          <w:rtl/>
        </w:rPr>
        <w:t xml:space="preserve"> أنه قص</w:t>
      </w:r>
      <w:r>
        <w:rPr>
          <w:rFonts w:ascii="Traditional Arabic" w:hAnsi="Traditional Arabic"/>
          <w:rtl/>
        </w:rPr>
        <w:t>َ</w:t>
      </w:r>
      <w:r>
        <w:rPr>
          <w:rFonts w:ascii="Traditional Arabic" w:hAnsi="Traditional Arabic" w:hint="cs"/>
          <w:rtl/>
        </w:rPr>
        <w:t>د ا</w:t>
      </w:r>
      <w:r>
        <w:rPr>
          <w:rFonts w:ascii="Traditional Arabic" w:hAnsi="Traditional Arabic"/>
          <w:rtl/>
        </w:rPr>
        <w:t>ﻹ</w:t>
      </w:r>
      <w:r>
        <w:rPr>
          <w:rFonts w:ascii="Traditional Arabic" w:hAnsi="Traditional Arabic" w:hint="cs"/>
          <w:rtl/>
        </w:rPr>
        <w:t xml:space="preserve">ضرار بجاره </w:t>
      </w:r>
      <w:r>
        <w:rPr>
          <w:rFonts w:ascii="Traditional Arabic" w:hAnsi="Traditional Arabic"/>
          <w:rtl/>
        </w:rPr>
        <w:t>ﻓﺈ</w:t>
      </w:r>
      <w:r>
        <w:rPr>
          <w:rFonts w:ascii="Traditional Arabic" w:hAnsi="Traditional Arabic" w:hint="cs"/>
          <w:rtl/>
        </w:rPr>
        <w:t>نه ي</w:t>
      </w:r>
      <w:r>
        <w:rPr>
          <w:rFonts w:ascii="Traditional Arabic" w:hAnsi="Traditional Arabic"/>
          <w:rtl/>
        </w:rPr>
        <w:t>ُ</w:t>
      </w:r>
      <w:r>
        <w:rPr>
          <w:rFonts w:ascii="Traditional Arabic" w:hAnsi="Traditional Arabic" w:hint="cs"/>
          <w:rtl/>
        </w:rPr>
        <w:t>م</w:t>
      </w:r>
      <w:r>
        <w:rPr>
          <w:rFonts w:ascii="Traditional Arabic" w:hAnsi="Traditional Arabic"/>
          <w:rtl/>
        </w:rPr>
        <w:t>ْ</w:t>
      </w:r>
      <w:r>
        <w:rPr>
          <w:rFonts w:ascii="Traditional Arabic" w:hAnsi="Traditional Arabic" w:hint="cs"/>
          <w:rtl/>
        </w:rPr>
        <w:t>ن</w:t>
      </w:r>
      <w:r>
        <w:rPr>
          <w:rFonts w:ascii="Traditional Arabic" w:hAnsi="Traditional Arabic"/>
          <w:rtl/>
        </w:rPr>
        <w:t>َ</w:t>
      </w:r>
      <w:r>
        <w:rPr>
          <w:rFonts w:ascii="Traditional Arabic" w:hAnsi="Traditional Arabic" w:hint="cs"/>
          <w:rtl/>
        </w:rPr>
        <w:t>ع من ذلك؛</w:t>
      </w:r>
      <w:r w:rsidR="005E6020">
        <w:rPr>
          <w:rFonts w:ascii="Traditional Arabic" w:hAnsi="Traditional Arabic" w:hint="cs"/>
          <w:rtl/>
        </w:rPr>
        <w:t xml:space="preserve"> </w:t>
      </w:r>
      <w:r>
        <w:rPr>
          <w:rFonts w:ascii="Traditional Arabic" w:hAnsi="Traditional Arabic" w:hint="cs"/>
          <w:rtl/>
        </w:rPr>
        <w:t>لأن ا</w:t>
      </w:r>
      <w:r>
        <w:rPr>
          <w:rFonts w:ascii="Traditional Arabic" w:hAnsi="Traditional Arabic"/>
          <w:rtl/>
        </w:rPr>
        <w:t>ﻹ</w:t>
      </w:r>
      <w:r>
        <w:rPr>
          <w:rFonts w:ascii="Traditional Arabic" w:hAnsi="Traditional Arabic" w:hint="cs"/>
          <w:rtl/>
        </w:rPr>
        <w:t>نسان لا يجوز له</w:t>
      </w:r>
      <w:r w:rsidR="005E6020">
        <w:rPr>
          <w:rFonts w:ascii="Traditional Arabic" w:hAnsi="Traditional Arabic" w:hint="cs"/>
          <w:rtl/>
        </w:rPr>
        <w:t xml:space="preserve"> </w:t>
      </w:r>
      <w:r>
        <w:rPr>
          <w:rFonts w:ascii="Traditional Arabic" w:hAnsi="Traditional Arabic" w:hint="cs"/>
          <w:rtl/>
        </w:rPr>
        <w:t>أن ي</w:t>
      </w:r>
      <w:r>
        <w:rPr>
          <w:rFonts w:ascii="Traditional Arabic" w:hAnsi="Traditional Arabic"/>
          <w:rtl/>
        </w:rPr>
        <w:t>ُ</w:t>
      </w:r>
      <w:r>
        <w:rPr>
          <w:rFonts w:ascii="Traditional Arabic" w:hAnsi="Traditional Arabic" w:hint="cs"/>
          <w:rtl/>
        </w:rPr>
        <w:t>ضار</w:t>
      </w:r>
      <w:r>
        <w:rPr>
          <w:rFonts w:ascii="Traditional Arabic" w:hAnsi="Traditional Arabic"/>
          <w:rtl/>
        </w:rPr>
        <w:t>َّ</w:t>
      </w:r>
      <w:r>
        <w:rPr>
          <w:rFonts w:ascii="Traditional Arabic" w:hAnsi="Traditional Arabic" w:hint="cs"/>
          <w:rtl/>
        </w:rPr>
        <w:t xml:space="preserve"> جار</w:t>
      </w:r>
      <w:r>
        <w:rPr>
          <w:rFonts w:ascii="Traditional Arabic" w:hAnsi="Traditional Arabic"/>
          <w:rtl/>
        </w:rPr>
        <w:t>َ</w:t>
      </w:r>
      <w:r>
        <w:rPr>
          <w:rFonts w:ascii="Traditional Arabic" w:hAnsi="Traditional Arabic" w:hint="cs"/>
          <w:rtl/>
        </w:rPr>
        <w:t>ه</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33"/>
      </w:r>
      <w:r w:rsidRPr="00C821A1">
        <w:rPr>
          <w:rFonts w:ascii="Traditional Arabic" w:hAnsi="Traditional Arabic" w:hint="cs"/>
          <w:szCs w:val="32"/>
          <w:vertAlign w:val="superscript"/>
          <w:rtl/>
        </w:rPr>
        <w:t>)</w:t>
      </w:r>
      <w:r>
        <w:rPr>
          <w:rFonts w:ascii="Traditional Arabic" w:hAnsi="Traditional Arabic" w:hint="cs"/>
          <w:rtl/>
        </w:rPr>
        <w:t>.</w:t>
      </w:r>
    </w:p>
    <w:p w:rsidR="00EA1AAD" w:rsidRDefault="00065E4B" w:rsidP="00597C20">
      <w:pPr>
        <w:pStyle w:val="53"/>
        <w:rPr>
          <w:rtl/>
        </w:rPr>
      </w:pPr>
      <w:r>
        <w:rPr>
          <w:rFonts w:hint="cs"/>
          <w:rtl/>
        </w:rPr>
        <w:t>و</w:t>
      </w:r>
      <w:r w:rsidR="00EA1AAD">
        <w:rPr>
          <w:rFonts w:hint="cs"/>
          <w:rtl/>
        </w:rPr>
        <w:t>جه اندراج الفرع تحت القاعدة:</w:t>
      </w:r>
    </w:p>
    <w:p w:rsidR="00EA1AAD" w:rsidRPr="00CB5328" w:rsidRDefault="00EA1AAD" w:rsidP="00597C20">
      <w:pPr>
        <w:widowControl/>
        <w:autoSpaceDE w:val="0"/>
        <w:autoSpaceDN w:val="0"/>
        <w:adjustRightInd w:val="0"/>
        <w:ind w:firstLine="720"/>
        <w:jc w:val="left"/>
        <w:rPr>
          <w:rFonts w:ascii="Traditional Arabic" w:hAnsi="Traditional Arabic"/>
          <w:rtl/>
        </w:rPr>
      </w:pPr>
      <w:r w:rsidRPr="00CB5328">
        <w:rPr>
          <w:rFonts w:ascii="Traditional Arabic" w:hAnsi="Traditional Arabic" w:hint="cs"/>
          <w:rtl/>
        </w:rPr>
        <w:t>النية لها أثر في ح</w:t>
      </w:r>
      <w:r w:rsidRPr="00CB5328">
        <w:rPr>
          <w:rFonts w:ascii="Traditional Arabic" w:hAnsi="Traditional Arabic"/>
          <w:rtl/>
        </w:rPr>
        <w:t>ِ</w:t>
      </w:r>
      <w:r w:rsidRPr="00CB5328">
        <w:rPr>
          <w:rFonts w:ascii="Traditional Arabic" w:hAnsi="Traditional Arabic" w:hint="cs"/>
          <w:rtl/>
        </w:rPr>
        <w:t>ل</w:t>
      </w:r>
      <w:r w:rsidRPr="00CB5328">
        <w:rPr>
          <w:rFonts w:ascii="Traditional Arabic" w:hAnsi="Traditional Arabic"/>
          <w:rtl/>
        </w:rPr>
        <w:t>ّ</w:t>
      </w:r>
      <w:r w:rsidRPr="00CB5328">
        <w:rPr>
          <w:rFonts w:ascii="Traditional Arabic" w:hAnsi="Traditional Arabic" w:hint="cs"/>
          <w:rtl/>
        </w:rPr>
        <w:t xml:space="preserve"> الشيء أو ح</w:t>
      </w:r>
      <w:r w:rsidRPr="00CB5328">
        <w:rPr>
          <w:rFonts w:ascii="Traditional Arabic" w:hAnsi="Traditional Arabic"/>
          <w:rtl/>
        </w:rPr>
        <w:t>ُ</w:t>
      </w:r>
      <w:r w:rsidRPr="00CB5328">
        <w:rPr>
          <w:rFonts w:ascii="Traditional Arabic" w:hAnsi="Traditional Arabic" w:hint="cs"/>
          <w:rtl/>
        </w:rPr>
        <w:t>ر</w:t>
      </w:r>
      <w:r w:rsidRPr="00CB5328">
        <w:rPr>
          <w:rFonts w:ascii="Traditional Arabic" w:hAnsi="Traditional Arabic"/>
          <w:rtl/>
        </w:rPr>
        <w:t>ْ</w:t>
      </w:r>
      <w:r w:rsidRPr="00CB5328">
        <w:rPr>
          <w:rFonts w:ascii="Traditional Arabic" w:hAnsi="Traditional Arabic" w:hint="cs"/>
          <w:rtl/>
        </w:rPr>
        <w:t>مته؛</w:t>
      </w:r>
      <w:r w:rsidR="005E6020">
        <w:rPr>
          <w:rFonts w:ascii="Traditional Arabic" w:hAnsi="Traditional Arabic" w:hint="cs"/>
          <w:rtl/>
        </w:rPr>
        <w:t xml:space="preserve"> </w:t>
      </w:r>
      <w:r w:rsidRPr="00CB5328">
        <w:rPr>
          <w:rFonts w:ascii="Traditional Arabic" w:hAnsi="Traditional Arabic"/>
          <w:rtl/>
        </w:rPr>
        <w:t>ﺇ</w:t>
      </w:r>
      <w:r w:rsidRPr="00CB5328">
        <w:rPr>
          <w:rFonts w:ascii="Traditional Arabic" w:hAnsi="Traditional Arabic" w:hint="cs"/>
          <w:rtl/>
        </w:rPr>
        <w:t>ذ لما كان قص</w:t>
      </w:r>
      <w:r w:rsidRPr="00CB5328">
        <w:rPr>
          <w:rFonts w:ascii="Traditional Arabic" w:hAnsi="Traditional Arabic"/>
          <w:rtl/>
        </w:rPr>
        <w:t>ْ</w:t>
      </w:r>
      <w:r w:rsidRPr="00CB5328">
        <w:rPr>
          <w:rFonts w:ascii="Traditional Arabic" w:hAnsi="Traditional Arabic" w:hint="cs"/>
          <w:rtl/>
        </w:rPr>
        <w:t>د هذا الجار سي</w:t>
      </w:r>
      <w:r w:rsidRPr="00CB5328">
        <w:rPr>
          <w:rFonts w:ascii="Traditional Arabic" w:hAnsi="Traditional Arabic"/>
          <w:rtl/>
        </w:rPr>
        <w:t>ّ</w:t>
      </w:r>
      <w:r w:rsidRPr="00CB5328">
        <w:rPr>
          <w:rFonts w:ascii="Traditional Arabic" w:hAnsi="Traditional Arabic" w:hint="cs"/>
          <w:rtl/>
        </w:rPr>
        <w:t>ئا</w:t>
      </w:r>
      <w:r>
        <w:rPr>
          <w:rFonts w:ascii="Traditional Arabic" w:hAnsi="Traditional Arabic" w:hint="cs"/>
          <w:rtl/>
        </w:rPr>
        <w:t>ً</w:t>
      </w:r>
      <w:r w:rsidRPr="00CB5328">
        <w:rPr>
          <w:rFonts w:ascii="Traditional Arabic" w:hAnsi="Traditional Arabic" w:hint="cs"/>
          <w:rtl/>
        </w:rPr>
        <w:t>،و هو ا</w:t>
      </w:r>
      <w:r w:rsidRPr="00CB5328">
        <w:rPr>
          <w:rFonts w:ascii="Traditional Arabic" w:hAnsi="Traditional Arabic"/>
          <w:rtl/>
        </w:rPr>
        <w:t>ﻹ</w:t>
      </w:r>
      <w:r w:rsidRPr="00CB5328">
        <w:rPr>
          <w:rFonts w:ascii="Traditional Arabic" w:hAnsi="Traditional Arabic" w:hint="cs"/>
          <w:rtl/>
        </w:rPr>
        <w:t>ضرار بجاره، م</w:t>
      </w:r>
      <w:r w:rsidRPr="00CB5328">
        <w:rPr>
          <w:rFonts w:ascii="Traditional Arabic" w:hAnsi="Traditional Arabic"/>
          <w:rtl/>
        </w:rPr>
        <w:t>ُ</w:t>
      </w:r>
      <w:r w:rsidRPr="00CB5328">
        <w:rPr>
          <w:rFonts w:ascii="Traditional Arabic" w:hAnsi="Traditional Arabic" w:hint="cs"/>
          <w:rtl/>
        </w:rPr>
        <w:t>ن</w:t>
      </w:r>
      <w:r w:rsidRPr="00CB5328">
        <w:rPr>
          <w:rFonts w:ascii="Traditional Arabic" w:hAnsi="Traditional Arabic"/>
          <w:rtl/>
        </w:rPr>
        <w:t>ِ</w:t>
      </w:r>
      <w:r w:rsidRPr="00CB5328">
        <w:rPr>
          <w:rFonts w:ascii="Traditional Arabic" w:hAnsi="Traditional Arabic" w:hint="cs"/>
          <w:rtl/>
        </w:rPr>
        <w:t>ع من هذا الفعل</w:t>
      </w:r>
      <w:r w:rsidR="005E6020">
        <w:rPr>
          <w:rFonts w:ascii="Traditional Arabic" w:hAnsi="Traditional Arabic" w:hint="cs"/>
          <w:rtl/>
        </w:rPr>
        <w:t>، والأعمال بالنيات</w:t>
      </w:r>
      <w:r w:rsidRPr="00CB5328">
        <w:rPr>
          <w:rFonts w:ascii="Traditional Arabic" w:hAnsi="Traditional Arabic" w:hint="cs"/>
          <w:rtl/>
        </w:rPr>
        <w:t>.</w:t>
      </w:r>
    </w:p>
    <w:p w:rsidR="00065E4B" w:rsidRPr="002D15BC" w:rsidRDefault="00EA1AAD" w:rsidP="000A76C7">
      <w:pPr>
        <w:pStyle w:val="afc"/>
        <w:widowControl/>
        <w:numPr>
          <w:ilvl w:val="0"/>
          <w:numId w:val="110"/>
        </w:numPr>
        <w:autoSpaceDE w:val="0"/>
        <w:autoSpaceDN w:val="0"/>
        <w:adjustRightInd w:val="0"/>
        <w:rPr>
          <w:rFonts w:ascii="Traditional Arabic" w:hAnsi="Traditional Arabic"/>
          <w:rtl/>
        </w:rPr>
      </w:pPr>
      <w:r>
        <w:rPr>
          <w:rFonts w:ascii="Traditional Arabic" w:hAnsi="Traditional Arabic"/>
          <w:rtl/>
        </w:rPr>
        <w:t>ﺇ</w:t>
      </w:r>
      <w:r>
        <w:rPr>
          <w:rFonts w:ascii="Traditional Arabic" w:hAnsi="Traditional Arabic" w:hint="cs"/>
          <w:rtl/>
        </w:rPr>
        <w:t>ذا أنفق المر</w:t>
      </w:r>
      <w:r>
        <w:rPr>
          <w:rFonts w:ascii="Traditional Arabic" w:hAnsi="Traditional Arabic"/>
          <w:rtl/>
        </w:rPr>
        <w:t>ْ</w:t>
      </w:r>
      <w:r>
        <w:rPr>
          <w:rFonts w:ascii="Traditional Arabic" w:hAnsi="Traditional Arabic" w:hint="cs"/>
          <w:rtl/>
        </w:rPr>
        <w:t>ته</w:t>
      </w:r>
      <w:r>
        <w:rPr>
          <w:rFonts w:ascii="Traditional Arabic" w:hAnsi="Traditional Arabic"/>
          <w:rtl/>
        </w:rPr>
        <w:t>ِ</w:t>
      </w:r>
      <w:r>
        <w:rPr>
          <w:rFonts w:ascii="Traditional Arabic" w:hAnsi="Traditional Arabic" w:hint="cs"/>
          <w:rtl/>
        </w:rPr>
        <w:t>ن على الرهن</w:t>
      </w:r>
      <w:r w:rsidR="005E6020">
        <w:rPr>
          <w:rFonts w:ascii="Traditional Arabic" w:hAnsi="Traditional Arabic" w:hint="cs"/>
          <w:szCs w:val="32"/>
          <w:vertAlign w:val="superscript"/>
          <w:rtl/>
        </w:rPr>
        <w:t xml:space="preserve"> </w:t>
      </w:r>
      <w:r>
        <w:rPr>
          <w:rFonts w:ascii="Traditional Arabic" w:hAnsi="Traditional Arabic" w:hint="cs"/>
          <w:rtl/>
        </w:rPr>
        <w:t xml:space="preserve">بغير </w:t>
      </w:r>
      <w:r>
        <w:rPr>
          <w:rFonts w:ascii="Traditional Arabic" w:hAnsi="Traditional Arabic"/>
          <w:rtl/>
        </w:rPr>
        <w:t>ﺇ</w:t>
      </w:r>
      <w:r>
        <w:rPr>
          <w:rFonts w:ascii="Traditional Arabic" w:hAnsi="Traditional Arabic" w:hint="cs"/>
          <w:rtl/>
        </w:rPr>
        <w:t>ذن الراهن بسبب ت</w:t>
      </w:r>
      <w:r>
        <w:rPr>
          <w:rFonts w:ascii="Traditional Arabic" w:hAnsi="Traditional Arabic"/>
          <w:rtl/>
        </w:rPr>
        <w:t>َ</w:t>
      </w:r>
      <w:r>
        <w:rPr>
          <w:rFonts w:ascii="Traditional Arabic" w:hAnsi="Traditional Arabic" w:hint="cs"/>
          <w:rtl/>
        </w:rPr>
        <w:t>ع</w:t>
      </w:r>
      <w:r>
        <w:rPr>
          <w:rFonts w:ascii="Traditional Arabic" w:hAnsi="Traditional Arabic"/>
          <w:rtl/>
        </w:rPr>
        <w:t>َ</w:t>
      </w:r>
      <w:r>
        <w:rPr>
          <w:rFonts w:ascii="Traditional Arabic" w:hAnsi="Traditional Arabic" w:hint="cs"/>
          <w:rtl/>
        </w:rPr>
        <w:t>ذ</w:t>
      </w:r>
      <w:r>
        <w:rPr>
          <w:rFonts w:ascii="Traditional Arabic" w:hAnsi="Traditional Arabic"/>
          <w:rtl/>
        </w:rPr>
        <w:t>ُّ</w:t>
      </w:r>
      <w:r>
        <w:rPr>
          <w:rFonts w:ascii="Traditional Arabic" w:hAnsi="Traditional Arabic" w:hint="cs"/>
          <w:rtl/>
        </w:rPr>
        <w:t>ر استئذانه،</w:t>
      </w:r>
      <w:r w:rsidR="005E6020">
        <w:rPr>
          <w:rFonts w:ascii="Traditional Arabic" w:hAnsi="Traditional Arabic" w:hint="cs"/>
          <w:rtl/>
        </w:rPr>
        <w:t xml:space="preserve"> </w:t>
      </w:r>
      <w:r>
        <w:rPr>
          <w:rFonts w:ascii="Traditional Arabic" w:hAnsi="Traditional Arabic"/>
          <w:rtl/>
        </w:rPr>
        <w:t>ﻓﺈ</w:t>
      </w:r>
      <w:r>
        <w:rPr>
          <w:rFonts w:ascii="Traditional Arabic" w:hAnsi="Traditional Arabic" w:hint="cs"/>
          <w:rtl/>
        </w:rPr>
        <w:t>ن المرتهن يرجع على الراهن بما أنفق ما لم ي</w:t>
      </w:r>
      <w:r>
        <w:rPr>
          <w:rFonts w:ascii="Traditional Arabic" w:hAnsi="Traditional Arabic"/>
          <w:rtl/>
        </w:rPr>
        <w:t>َ</w:t>
      </w:r>
      <w:r>
        <w:rPr>
          <w:rFonts w:ascii="Traditional Arabic" w:hAnsi="Traditional Arabic" w:hint="cs"/>
          <w:rtl/>
        </w:rPr>
        <w:t>ن</w:t>
      </w:r>
      <w:r>
        <w:rPr>
          <w:rFonts w:ascii="Traditional Arabic" w:hAnsi="Traditional Arabic"/>
          <w:rtl/>
        </w:rPr>
        <w:t>ْ</w:t>
      </w:r>
      <w:r>
        <w:rPr>
          <w:rFonts w:ascii="Traditional Arabic" w:hAnsi="Traditional Arabic" w:hint="cs"/>
          <w:rtl/>
        </w:rPr>
        <w:t>و</w:t>
      </w:r>
      <w:r>
        <w:rPr>
          <w:rFonts w:ascii="Traditional Arabic" w:hAnsi="Traditional Arabic"/>
          <w:rtl/>
        </w:rPr>
        <w:t>ِ</w:t>
      </w:r>
      <w:r>
        <w:rPr>
          <w:rFonts w:ascii="Traditional Arabic" w:hAnsi="Traditional Arabic" w:hint="cs"/>
          <w:rtl/>
        </w:rPr>
        <w:t xml:space="preserve"> التبر</w:t>
      </w:r>
      <w:r>
        <w:rPr>
          <w:rFonts w:ascii="Traditional Arabic" w:hAnsi="Traditional Arabic"/>
          <w:rtl/>
        </w:rPr>
        <w:t>ُّ</w:t>
      </w:r>
      <w:r>
        <w:rPr>
          <w:rFonts w:ascii="Traditional Arabic" w:hAnsi="Traditional Arabic" w:hint="cs"/>
          <w:rtl/>
        </w:rPr>
        <w:t>ع</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34"/>
      </w:r>
      <w:r w:rsidRPr="00C821A1">
        <w:rPr>
          <w:rFonts w:ascii="Traditional Arabic" w:hAnsi="Traditional Arabic" w:hint="cs"/>
          <w:szCs w:val="32"/>
          <w:vertAlign w:val="superscript"/>
          <w:rtl/>
        </w:rPr>
        <w:t>)</w:t>
      </w:r>
      <w:r>
        <w:rPr>
          <w:rFonts w:ascii="Traditional Arabic" w:hAnsi="Traditional Arabic" w:hint="cs"/>
          <w:rtl/>
        </w:rPr>
        <w:t>.</w:t>
      </w:r>
    </w:p>
    <w:p w:rsidR="00065E4B" w:rsidRPr="00317F62" w:rsidRDefault="00065E4B" w:rsidP="00597C20">
      <w:pPr>
        <w:pStyle w:val="53"/>
        <w:rPr>
          <w:rtl/>
        </w:rPr>
      </w:pPr>
      <w:r>
        <w:rPr>
          <w:rFonts w:hint="cs"/>
          <w:rtl/>
        </w:rPr>
        <w:t>و</w:t>
      </w:r>
      <w:r w:rsidR="00EA1AAD">
        <w:rPr>
          <w:rFonts w:hint="cs"/>
          <w:rtl/>
        </w:rPr>
        <w:t>جه اندراج الفرع تحت القاعدة:</w:t>
      </w:r>
    </w:p>
    <w:p w:rsidR="00EA1AAD" w:rsidRDefault="00065E4B" w:rsidP="00597C20">
      <w:pPr>
        <w:widowControl/>
        <w:autoSpaceDE w:val="0"/>
        <w:autoSpaceDN w:val="0"/>
        <w:adjustRightInd w:val="0"/>
        <w:rPr>
          <w:rFonts w:ascii="Traditional Arabic" w:hAnsi="Traditional Arabic"/>
          <w:rtl/>
        </w:rPr>
      </w:pPr>
      <w:r w:rsidRPr="00BA711A">
        <w:rPr>
          <w:rFonts w:ascii="Traditional Arabic" w:hAnsi="Traditional Arabic"/>
          <w:rtl/>
        </w:rPr>
        <w:t>ﺇ</w:t>
      </w:r>
      <w:r w:rsidR="00EA1AAD" w:rsidRPr="00BA711A">
        <w:rPr>
          <w:rFonts w:ascii="Traditional Arabic" w:hAnsi="Traditional Arabic" w:hint="cs"/>
          <w:rtl/>
        </w:rPr>
        <w:t>نما الأعمال بالنيات</w:t>
      </w:r>
      <w:r w:rsidR="00EA1AAD">
        <w:rPr>
          <w:rFonts w:ascii="Traditional Arabic" w:hAnsi="Traditional Arabic" w:hint="cs"/>
          <w:b/>
          <w:bCs/>
          <w:rtl/>
        </w:rPr>
        <w:t>؛</w:t>
      </w:r>
      <w:r w:rsidR="005E6020">
        <w:rPr>
          <w:rFonts w:ascii="Traditional Arabic" w:hAnsi="Traditional Arabic" w:hint="cs"/>
          <w:rtl/>
        </w:rPr>
        <w:t xml:space="preserve"> </w:t>
      </w:r>
      <w:r w:rsidR="00EA1AAD">
        <w:rPr>
          <w:rFonts w:ascii="Traditional Arabic" w:hAnsi="Traditional Arabic" w:hint="cs"/>
          <w:rtl/>
        </w:rPr>
        <w:t xml:space="preserve">فلو نوى المرتهن الرجوع بما أنفق، </w:t>
      </w:r>
      <w:r w:rsidR="00EA1AAD">
        <w:rPr>
          <w:rFonts w:ascii="Traditional Arabic" w:hAnsi="Traditional Arabic"/>
          <w:rtl/>
        </w:rPr>
        <w:t>ﻓﺈ</w:t>
      </w:r>
      <w:r w:rsidR="00EA1AAD">
        <w:rPr>
          <w:rFonts w:ascii="Traditional Arabic" w:hAnsi="Traditional Arabic" w:hint="cs"/>
          <w:rtl/>
        </w:rPr>
        <w:t>نه يرجع على الراهن.</w:t>
      </w:r>
    </w:p>
    <w:p w:rsidR="00EA1AAD" w:rsidRDefault="00EA1AAD" w:rsidP="00597C20">
      <w:pPr>
        <w:widowControl/>
        <w:autoSpaceDE w:val="0"/>
        <w:autoSpaceDN w:val="0"/>
        <w:adjustRightInd w:val="0"/>
        <w:ind w:firstLine="720"/>
        <w:rPr>
          <w:rFonts w:ascii="Traditional Arabic" w:hAnsi="Traditional Arabic"/>
          <w:rtl/>
        </w:rPr>
      </w:pPr>
      <w:r>
        <w:rPr>
          <w:rFonts w:ascii="Traditional Arabic" w:hAnsi="Traditional Arabic" w:hint="cs"/>
          <w:rtl/>
        </w:rPr>
        <w:t xml:space="preserve">أما </w:t>
      </w:r>
      <w:r>
        <w:rPr>
          <w:rFonts w:ascii="Traditional Arabic" w:hAnsi="Traditional Arabic"/>
          <w:rtl/>
        </w:rPr>
        <w:t>ﺇ</w:t>
      </w:r>
      <w:r>
        <w:rPr>
          <w:rFonts w:ascii="Traditional Arabic" w:hAnsi="Traditional Arabic" w:hint="cs"/>
          <w:rtl/>
        </w:rPr>
        <w:t>ذا نوى المرتهن التبرع،</w:t>
      </w:r>
      <w:r w:rsidR="005E6020">
        <w:rPr>
          <w:rFonts w:ascii="Traditional Arabic" w:hAnsi="Traditional Arabic" w:hint="cs"/>
          <w:rtl/>
        </w:rPr>
        <w:t xml:space="preserve"> </w:t>
      </w:r>
      <w:r>
        <w:rPr>
          <w:rFonts w:ascii="Traditional Arabic" w:hAnsi="Traditional Arabic" w:hint="cs"/>
          <w:rtl/>
        </w:rPr>
        <w:t>فلا يرجع حينئذ بما أنفق؛</w:t>
      </w:r>
      <w:r w:rsidR="005E6020">
        <w:rPr>
          <w:rFonts w:ascii="Traditional Arabic" w:hAnsi="Traditional Arabic" w:hint="cs"/>
          <w:rtl/>
        </w:rPr>
        <w:t xml:space="preserve"> </w:t>
      </w:r>
      <w:r>
        <w:rPr>
          <w:rFonts w:ascii="Traditional Arabic" w:hAnsi="Traditional Arabic" w:hint="cs"/>
          <w:rtl/>
        </w:rPr>
        <w:t>لأن رجوعه مع نية التبرع رجوع</w:t>
      </w:r>
      <w:r w:rsidR="005E6020">
        <w:rPr>
          <w:rFonts w:ascii="Traditional Arabic" w:hAnsi="Traditional Arabic" w:hint="cs"/>
          <w:rtl/>
        </w:rPr>
        <w:t>ٌ</w:t>
      </w:r>
      <w:r>
        <w:rPr>
          <w:rFonts w:ascii="Traditional Arabic" w:hAnsi="Traditional Arabic" w:hint="cs"/>
          <w:rtl/>
        </w:rPr>
        <w:t xml:space="preserve"> في الهبة،</w:t>
      </w:r>
      <w:r w:rsidR="00154102">
        <w:rPr>
          <w:rFonts w:ascii="Traditional Arabic" w:hAnsi="Traditional Arabic" w:hint="cs"/>
          <w:rtl/>
        </w:rPr>
        <w:t xml:space="preserve"> و</w:t>
      </w:r>
      <w:r>
        <w:rPr>
          <w:rFonts w:ascii="Traditional Arabic" w:hAnsi="Traditional Arabic" w:hint="cs"/>
          <w:rtl/>
        </w:rPr>
        <w:t>هو حرام</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35"/>
      </w:r>
      <w:r w:rsidRPr="00C821A1">
        <w:rPr>
          <w:rFonts w:ascii="Traditional Arabic" w:hAnsi="Traditional Arabic" w:hint="cs"/>
          <w:szCs w:val="32"/>
          <w:vertAlign w:val="superscript"/>
          <w:rtl/>
        </w:rPr>
        <w:t>)</w:t>
      </w:r>
      <w:r>
        <w:rPr>
          <w:rFonts w:ascii="Traditional Arabic" w:hAnsi="Traditional Arabic" w:hint="cs"/>
          <w:rtl/>
        </w:rPr>
        <w:t>.</w:t>
      </w:r>
    </w:p>
    <w:p w:rsidR="00065E4B" w:rsidRDefault="00EA1AAD" w:rsidP="000A76C7">
      <w:pPr>
        <w:pStyle w:val="afc"/>
        <w:widowControl/>
        <w:numPr>
          <w:ilvl w:val="0"/>
          <w:numId w:val="110"/>
        </w:numPr>
        <w:autoSpaceDE w:val="0"/>
        <w:autoSpaceDN w:val="0"/>
        <w:adjustRightInd w:val="0"/>
        <w:rPr>
          <w:rFonts w:ascii="Traditional Arabic" w:hAnsi="Traditional Arabic"/>
        </w:rPr>
      </w:pPr>
      <w:r>
        <w:rPr>
          <w:rFonts w:ascii="Traditional Arabic" w:hAnsi="Traditional Arabic"/>
          <w:rtl/>
        </w:rPr>
        <w:lastRenderedPageBreak/>
        <w:t>ﺇ</w:t>
      </w:r>
      <w:r>
        <w:rPr>
          <w:rFonts w:ascii="Traditional Arabic" w:hAnsi="Traditional Arabic" w:hint="cs"/>
          <w:rtl/>
        </w:rPr>
        <w:t>ذا فار</w:t>
      </w:r>
      <w:r>
        <w:rPr>
          <w:rFonts w:ascii="Traditional Arabic" w:hAnsi="Traditional Arabic"/>
          <w:rtl/>
        </w:rPr>
        <w:t>َ</w:t>
      </w:r>
      <w:r>
        <w:rPr>
          <w:rFonts w:ascii="Traditional Arabic" w:hAnsi="Traditional Arabic" w:hint="cs"/>
          <w:rtl/>
        </w:rPr>
        <w:t>ق أحد المتبايعين مجلس العقد من أجل ألا</w:t>
      </w:r>
      <w:r>
        <w:rPr>
          <w:rFonts w:ascii="Traditional Arabic" w:hAnsi="Traditional Arabic"/>
          <w:rtl/>
        </w:rPr>
        <w:t>ّ</w:t>
      </w:r>
      <w:r>
        <w:rPr>
          <w:rFonts w:ascii="Traditional Arabic" w:hAnsi="Traditional Arabic" w:hint="cs"/>
          <w:rtl/>
        </w:rPr>
        <w:t xml:space="preserve"> يفسخ صاحب</w:t>
      </w:r>
      <w:r>
        <w:rPr>
          <w:rFonts w:ascii="Traditional Arabic" w:hAnsi="Traditional Arabic"/>
          <w:rtl/>
        </w:rPr>
        <w:t>ُ</w:t>
      </w:r>
      <w:r>
        <w:rPr>
          <w:rFonts w:ascii="Traditional Arabic" w:hAnsi="Traditional Arabic" w:hint="cs"/>
          <w:rtl/>
        </w:rPr>
        <w:t>ه العقد،</w:t>
      </w:r>
      <w:r w:rsidR="005E6020">
        <w:rPr>
          <w:rFonts w:ascii="Traditional Arabic" w:hAnsi="Traditional Arabic" w:hint="cs"/>
          <w:rtl/>
        </w:rPr>
        <w:t xml:space="preserve"> </w:t>
      </w:r>
      <w:r>
        <w:rPr>
          <w:rFonts w:ascii="Traditional Arabic" w:hAnsi="Traditional Arabic"/>
          <w:rtl/>
        </w:rPr>
        <w:t>ﻓﺈ</w:t>
      </w:r>
      <w:r>
        <w:rPr>
          <w:rFonts w:ascii="Traditional Arabic" w:hAnsi="Traditional Arabic" w:hint="cs"/>
          <w:rtl/>
        </w:rPr>
        <w:t>ن ال</w:t>
      </w:r>
      <w:r>
        <w:rPr>
          <w:rFonts w:ascii="Traditional Arabic" w:hAnsi="Traditional Arabic"/>
          <w:rtl/>
        </w:rPr>
        <w:t>ْ</w:t>
      </w:r>
      <w:r>
        <w:rPr>
          <w:rFonts w:ascii="Traditional Arabic" w:hAnsi="Traditional Arabic" w:hint="cs"/>
          <w:rtl/>
        </w:rPr>
        <w:t>م</w:t>
      </w:r>
      <w:r>
        <w:rPr>
          <w:rFonts w:ascii="Traditional Arabic" w:hAnsi="Traditional Arabic"/>
          <w:rtl/>
        </w:rPr>
        <w:t>ُ</w:t>
      </w:r>
      <w:r>
        <w:rPr>
          <w:rFonts w:ascii="Traditional Arabic" w:hAnsi="Traditional Arabic" w:hint="cs"/>
          <w:rtl/>
        </w:rPr>
        <w:t>فار</w:t>
      </w:r>
      <w:r>
        <w:rPr>
          <w:rFonts w:ascii="Traditional Arabic" w:hAnsi="Traditional Arabic"/>
          <w:rtl/>
        </w:rPr>
        <w:t>َ</w:t>
      </w:r>
      <w:r>
        <w:rPr>
          <w:rFonts w:ascii="Traditional Arabic" w:hAnsi="Traditional Arabic" w:hint="cs"/>
          <w:rtl/>
        </w:rPr>
        <w:t>قة هنا تكون محر</w:t>
      </w:r>
      <w:r>
        <w:rPr>
          <w:rFonts w:ascii="Traditional Arabic" w:hAnsi="Traditional Arabic"/>
          <w:rtl/>
        </w:rPr>
        <w:t>َّ</w:t>
      </w:r>
      <w:r>
        <w:rPr>
          <w:rFonts w:ascii="Traditional Arabic" w:hAnsi="Traditional Arabic" w:hint="cs"/>
          <w:rtl/>
        </w:rPr>
        <w:t>مة</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736"/>
      </w:r>
      <w:r w:rsidRPr="00C821A1">
        <w:rPr>
          <w:rFonts w:ascii="Traditional Arabic" w:hAnsi="Traditional Arabic" w:hint="cs"/>
          <w:szCs w:val="32"/>
          <w:vertAlign w:val="superscript"/>
          <w:rtl/>
        </w:rPr>
        <w:t>)</w:t>
      </w:r>
      <w:r>
        <w:rPr>
          <w:rFonts w:ascii="Traditional Arabic" w:hAnsi="Traditional Arabic" w:hint="cs"/>
          <w:rtl/>
        </w:rPr>
        <w:t>.</w:t>
      </w:r>
    </w:p>
    <w:p w:rsidR="00065E4B" w:rsidRPr="002A6954" w:rsidRDefault="00065E4B" w:rsidP="00597C20">
      <w:pPr>
        <w:pStyle w:val="53"/>
      </w:pPr>
      <w:r w:rsidRPr="002A6954">
        <w:rPr>
          <w:rFonts w:hint="cs"/>
          <w:rtl/>
        </w:rPr>
        <w:t>و</w:t>
      </w:r>
      <w:r w:rsidR="00EA1AAD" w:rsidRPr="002A6954">
        <w:rPr>
          <w:rFonts w:hint="cs"/>
          <w:rtl/>
        </w:rPr>
        <w:t>جه اندراج الفرع تحت القاعدة:</w:t>
      </w:r>
    </w:p>
    <w:p w:rsidR="00EA1AAD" w:rsidRDefault="00BE42D4" w:rsidP="00597C20">
      <w:pPr>
        <w:pStyle w:val="afc"/>
        <w:autoSpaceDE w:val="0"/>
        <w:autoSpaceDN w:val="0"/>
        <w:adjustRightInd w:val="0"/>
        <w:ind w:left="454" w:hanging="454"/>
        <w:rPr>
          <w:rFonts w:ascii="Traditional Arabic" w:hAnsi="Traditional Arabic"/>
          <w:b/>
          <w:bCs/>
          <w:rtl/>
        </w:rPr>
      </w:pPr>
      <w:r>
        <w:rPr>
          <w:rFonts w:ascii="Traditional Arabic" w:hAnsi="Traditional Arabic" w:hint="cs"/>
          <w:rtl/>
        </w:rPr>
        <w:t xml:space="preserve">    </w:t>
      </w:r>
      <w:r w:rsidR="00065E4B">
        <w:rPr>
          <w:rFonts w:ascii="Traditional Arabic" w:hAnsi="Traditional Arabic" w:hint="cs"/>
          <w:rtl/>
        </w:rPr>
        <w:t>ل</w:t>
      </w:r>
      <w:r w:rsidR="00EA1AAD">
        <w:rPr>
          <w:rFonts w:ascii="Traditional Arabic" w:hAnsi="Traditional Arabic" w:hint="cs"/>
          <w:rtl/>
        </w:rPr>
        <w:t xml:space="preserve">ما كان مقصود هذا البائع أو المشتري </w:t>
      </w:r>
      <w:r w:rsidR="00EA1AAD">
        <w:rPr>
          <w:rFonts w:ascii="Traditional Arabic" w:hAnsi="Traditional Arabic"/>
          <w:rtl/>
        </w:rPr>
        <w:t>ﺇ</w:t>
      </w:r>
      <w:r w:rsidR="00EA1AAD">
        <w:rPr>
          <w:rFonts w:ascii="Traditional Arabic" w:hAnsi="Traditional Arabic" w:hint="cs"/>
          <w:rtl/>
        </w:rPr>
        <w:t>سقاط</w:t>
      </w:r>
      <w:r w:rsidR="00EA1AAD">
        <w:rPr>
          <w:rFonts w:ascii="Traditional Arabic" w:hAnsi="Traditional Arabic"/>
          <w:rtl/>
        </w:rPr>
        <w:t>َ</w:t>
      </w:r>
      <w:r w:rsidR="00EA1AAD">
        <w:rPr>
          <w:rFonts w:ascii="Traditional Arabic" w:hAnsi="Traditional Arabic" w:hint="cs"/>
          <w:rtl/>
        </w:rPr>
        <w:t xml:space="preserve"> حق أخيه في الخيار،</w:t>
      </w:r>
      <w:r w:rsidR="005E6020">
        <w:rPr>
          <w:rFonts w:ascii="Traditional Arabic" w:hAnsi="Traditional Arabic" w:hint="cs"/>
          <w:rtl/>
        </w:rPr>
        <w:t xml:space="preserve"> </w:t>
      </w:r>
      <w:r w:rsidR="00EA1AAD">
        <w:rPr>
          <w:rFonts w:ascii="Traditional Arabic" w:hAnsi="Traditional Arabic" w:hint="cs"/>
          <w:rtl/>
        </w:rPr>
        <w:t>ح</w:t>
      </w:r>
      <w:r w:rsidR="00EA1AAD">
        <w:rPr>
          <w:rFonts w:ascii="Traditional Arabic" w:hAnsi="Traditional Arabic"/>
          <w:rtl/>
        </w:rPr>
        <w:t>َ</w:t>
      </w:r>
      <w:r w:rsidR="00EA1AAD">
        <w:rPr>
          <w:rFonts w:ascii="Traditional Arabic" w:hAnsi="Traditional Arabic" w:hint="cs"/>
          <w:rtl/>
        </w:rPr>
        <w:t>ر</w:t>
      </w:r>
      <w:r w:rsidR="00EA1AAD">
        <w:rPr>
          <w:rFonts w:ascii="Traditional Arabic" w:hAnsi="Traditional Arabic"/>
          <w:rtl/>
        </w:rPr>
        <w:t>ُ</w:t>
      </w:r>
      <w:r w:rsidR="00EA1AAD">
        <w:rPr>
          <w:rFonts w:ascii="Traditional Arabic" w:hAnsi="Traditional Arabic" w:hint="cs"/>
          <w:rtl/>
        </w:rPr>
        <w:t>م</w:t>
      </w:r>
      <w:r w:rsidR="00EA1AAD">
        <w:rPr>
          <w:rFonts w:ascii="Traditional Arabic" w:hAnsi="Traditional Arabic"/>
          <w:rtl/>
        </w:rPr>
        <w:t>َ</w:t>
      </w:r>
      <w:r w:rsidR="00EA1AAD">
        <w:rPr>
          <w:rFonts w:ascii="Traditional Arabic" w:hAnsi="Traditional Arabic" w:hint="cs"/>
          <w:rtl/>
        </w:rPr>
        <w:t xml:space="preserve"> عليه أن يفارق مجلس العقد،</w:t>
      </w:r>
      <w:r w:rsidR="005E6020">
        <w:rPr>
          <w:rFonts w:ascii="Traditional Arabic" w:hAnsi="Traditional Arabic" w:hint="cs"/>
          <w:rtl/>
        </w:rPr>
        <w:t xml:space="preserve"> </w:t>
      </w:r>
      <w:r w:rsidR="00EA1AAD">
        <w:rPr>
          <w:rFonts w:ascii="Traditional Arabic" w:hAnsi="Traditional Arabic" w:hint="cs"/>
          <w:rtl/>
        </w:rPr>
        <w:t>لأنه لا يجوز التحي</w:t>
      </w:r>
      <w:r w:rsidR="00EA1AAD">
        <w:rPr>
          <w:rFonts w:ascii="Traditional Arabic" w:hAnsi="Traditional Arabic"/>
          <w:rtl/>
        </w:rPr>
        <w:t>ُّ</w:t>
      </w:r>
      <w:r w:rsidR="00EA1AAD">
        <w:rPr>
          <w:rFonts w:ascii="Traditional Arabic" w:hAnsi="Traditional Arabic" w:hint="cs"/>
          <w:rtl/>
        </w:rPr>
        <w:t xml:space="preserve">ل على </w:t>
      </w:r>
      <w:r w:rsidR="00EA1AAD">
        <w:rPr>
          <w:rFonts w:ascii="Traditional Arabic" w:hAnsi="Traditional Arabic"/>
          <w:rtl/>
        </w:rPr>
        <w:t>ﺇ</w:t>
      </w:r>
      <w:r w:rsidR="00EA1AAD">
        <w:rPr>
          <w:rFonts w:ascii="Traditional Arabic" w:hAnsi="Traditional Arabic" w:hint="cs"/>
          <w:rtl/>
        </w:rPr>
        <w:t>سقاط حق الغير؛</w:t>
      </w:r>
      <w:r w:rsidR="005E6020">
        <w:rPr>
          <w:rFonts w:ascii="Traditional Arabic" w:hAnsi="Traditional Arabic" w:hint="cs"/>
          <w:b/>
          <w:bCs/>
          <w:rtl/>
        </w:rPr>
        <w:t xml:space="preserve"> </w:t>
      </w:r>
      <w:r w:rsidR="00BA711A">
        <w:rPr>
          <w:rFonts w:ascii="Traditional Arabic" w:hAnsi="Traditional Arabic" w:hint="cs"/>
          <w:rtl/>
        </w:rPr>
        <w:t>فالأعمال بالنيات، و</w:t>
      </w:r>
      <w:r w:rsidR="00EA1AAD" w:rsidRPr="00BA711A">
        <w:rPr>
          <w:rFonts w:ascii="Traditional Arabic" w:hAnsi="Traditional Arabic" w:hint="cs"/>
          <w:rtl/>
        </w:rPr>
        <w:t>النية لها أثر في ح</w:t>
      </w:r>
      <w:r w:rsidR="00EA1AAD" w:rsidRPr="00BA711A">
        <w:rPr>
          <w:rFonts w:ascii="Traditional Arabic" w:hAnsi="Traditional Arabic"/>
          <w:rtl/>
        </w:rPr>
        <w:t>ِ</w:t>
      </w:r>
      <w:r w:rsidR="00EA1AAD" w:rsidRPr="00BA711A">
        <w:rPr>
          <w:rFonts w:ascii="Traditional Arabic" w:hAnsi="Traditional Arabic" w:hint="cs"/>
          <w:rtl/>
        </w:rPr>
        <w:t>ل</w:t>
      </w:r>
      <w:r w:rsidR="00EA1AAD" w:rsidRPr="00BA711A">
        <w:rPr>
          <w:rFonts w:ascii="Traditional Arabic" w:hAnsi="Traditional Arabic"/>
          <w:rtl/>
        </w:rPr>
        <w:t>ّ</w:t>
      </w:r>
      <w:r w:rsidR="005E6020" w:rsidRPr="00BA711A">
        <w:rPr>
          <w:rFonts w:ascii="Traditional Arabic" w:hAnsi="Traditional Arabic" w:hint="cs"/>
          <w:rtl/>
        </w:rPr>
        <w:t xml:space="preserve"> </w:t>
      </w:r>
      <w:r w:rsidR="00EA1AAD" w:rsidRPr="00BA711A">
        <w:rPr>
          <w:rFonts w:ascii="Traditional Arabic" w:hAnsi="Traditional Arabic" w:hint="cs"/>
          <w:rtl/>
        </w:rPr>
        <w:t>المعاملة أو ح</w:t>
      </w:r>
      <w:r w:rsidR="00EA1AAD" w:rsidRPr="00BA711A">
        <w:rPr>
          <w:rFonts w:ascii="Traditional Arabic" w:hAnsi="Traditional Arabic"/>
          <w:rtl/>
        </w:rPr>
        <w:t>ُ</w:t>
      </w:r>
      <w:r w:rsidR="00EA1AAD" w:rsidRPr="00BA711A">
        <w:rPr>
          <w:rFonts w:ascii="Traditional Arabic" w:hAnsi="Traditional Arabic" w:hint="cs"/>
          <w:rtl/>
        </w:rPr>
        <w:t>ر</w:t>
      </w:r>
      <w:r w:rsidR="00EA1AAD" w:rsidRPr="00BA711A">
        <w:rPr>
          <w:rFonts w:ascii="Traditional Arabic" w:hAnsi="Traditional Arabic"/>
          <w:rtl/>
        </w:rPr>
        <w:t>ْ</w:t>
      </w:r>
      <w:r w:rsidR="00EA1AAD" w:rsidRPr="00BA711A">
        <w:rPr>
          <w:rFonts w:ascii="Traditional Arabic" w:hAnsi="Traditional Arabic" w:hint="cs"/>
          <w:rtl/>
        </w:rPr>
        <w:t>متها</w:t>
      </w:r>
      <w:r w:rsidR="00EA1AAD" w:rsidRPr="00C821A1">
        <w:rPr>
          <w:rFonts w:ascii="Traditional Arabic" w:hAnsi="Traditional Arabic" w:hint="cs"/>
          <w:b/>
          <w:szCs w:val="32"/>
          <w:vertAlign w:val="superscript"/>
          <w:rtl/>
        </w:rPr>
        <w:t>(</w:t>
      </w:r>
      <w:r w:rsidR="00EA1AAD" w:rsidRPr="00C821A1">
        <w:rPr>
          <w:rStyle w:val="af1"/>
          <w:rFonts w:ascii="Traditional Arabic" w:hAnsi="Traditional Arabic"/>
          <w:szCs w:val="32"/>
          <w:rtl/>
        </w:rPr>
        <w:footnoteReference w:id="737"/>
      </w:r>
      <w:r w:rsidR="00EA1AAD" w:rsidRPr="00C821A1">
        <w:rPr>
          <w:rFonts w:ascii="Traditional Arabic" w:hAnsi="Traditional Arabic" w:hint="cs"/>
          <w:b/>
          <w:szCs w:val="32"/>
          <w:vertAlign w:val="superscript"/>
          <w:rtl/>
        </w:rPr>
        <w:t>)</w:t>
      </w:r>
      <w:r w:rsidR="00EA1AAD">
        <w:rPr>
          <w:rFonts w:ascii="Traditional Arabic" w:hAnsi="Traditional Arabic" w:hint="cs"/>
          <w:b/>
          <w:bCs/>
          <w:rtl/>
        </w:rPr>
        <w:t>.</w:t>
      </w:r>
    </w:p>
    <w:p w:rsidR="00B119BE" w:rsidRDefault="00B119BE" w:rsidP="00B119BE">
      <w:pPr>
        <w:widowControl/>
        <w:autoSpaceDE w:val="0"/>
        <w:autoSpaceDN w:val="0"/>
        <w:adjustRightInd w:val="0"/>
        <w:ind w:firstLine="720"/>
        <w:jc w:val="center"/>
        <w:rPr>
          <w:rFonts w:ascii="Traditional Arabic" w:hAnsi="Traditional Arabic"/>
          <w:b/>
          <w:bCs/>
          <w:noProof w:val="0"/>
          <w:sz w:val="44"/>
          <w:szCs w:val="44"/>
          <w:rtl/>
          <w:lang w:eastAsia="en-US"/>
        </w:rPr>
      </w:pPr>
    </w:p>
    <w:p w:rsidR="00B119BE" w:rsidRDefault="00B119BE" w:rsidP="00B119BE">
      <w:pPr>
        <w:widowControl/>
        <w:autoSpaceDE w:val="0"/>
        <w:autoSpaceDN w:val="0"/>
        <w:adjustRightInd w:val="0"/>
        <w:ind w:firstLine="720"/>
        <w:jc w:val="center"/>
        <w:rPr>
          <w:rFonts w:ascii="Traditional Arabic" w:hAnsi="Traditional Arabic"/>
          <w:b/>
          <w:bCs/>
          <w:noProof w:val="0"/>
          <w:sz w:val="44"/>
          <w:szCs w:val="44"/>
          <w:rtl/>
          <w:lang w:eastAsia="en-US"/>
        </w:rPr>
      </w:pPr>
    </w:p>
    <w:p w:rsidR="00B119BE" w:rsidRDefault="00B119BE" w:rsidP="00597C20">
      <w:pPr>
        <w:pStyle w:val="afc"/>
        <w:autoSpaceDE w:val="0"/>
        <w:autoSpaceDN w:val="0"/>
        <w:adjustRightInd w:val="0"/>
        <w:ind w:left="454" w:hanging="454"/>
        <w:rPr>
          <w:rFonts w:ascii="Traditional Arabic" w:hAnsi="Traditional Arabic"/>
          <w:b/>
          <w:bCs/>
          <w:rtl/>
        </w:rPr>
      </w:pPr>
    </w:p>
    <w:p w:rsidR="00BA711A" w:rsidRPr="00F718DD" w:rsidRDefault="00BA711A" w:rsidP="00597C20">
      <w:pPr>
        <w:pStyle w:val="afc"/>
        <w:autoSpaceDE w:val="0"/>
        <w:autoSpaceDN w:val="0"/>
        <w:adjustRightInd w:val="0"/>
        <w:ind w:left="454" w:hanging="454"/>
        <w:rPr>
          <w:rFonts w:ascii="Traditional Arabic" w:hAnsi="Traditional Arabic"/>
          <w:b/>
          <w:bCs/>
        </w:rPr>
      </w:pPr>
    </w:p>
    <w:p w:rsidR="000F7DC7" w:rsidRPr="00C85F0F" w:rsidRDefault="000F7DC7" w:rsidP="000F5C0F">
      <w:pPr>
        <w:pStyle w:val="aff2"/>
        <w:rPr>
          <w:rStyle w:val="af1"/>
          <w:b w:val="0"/>
          <w:bCs w:val="0"/>
          <w:rtl/>
        </w:rPr>
      </w:pPr>
      <w:bookmarkStart w:id="144" w:name="_Toc334046388"/>
      <w:r w:rsidRPr="000F7DC7">
        <w:rPr>
          <w:rFonts w:ascii="Traditional Arabic" w:hAnsi="Traditional Arabic" w:hint="cs"/>
          <w:rtl/>
        </w:rPr>
        <w:lastRenderedPageBreak/>
        <w:t>المبحث الخامس</w:t>
      </w:r>
      <w:r>
        <w:rPr>
          <w:rFonts w:ascii="Traditional Arabic" w:hAnsi="Traditional Arabic" w:hint="eastAsia"/>
          <w:rtl/>
        </w:rPr>
        <w:t> :</w:t>
      </w:r>
      <w:r>
        <w:rPr>
          <w:rFonts w:ascii="Traditional Arabic" w:hAnsi="Traditional Arabic" w:hint="cs"/>
          <w:rtl/>
        </w:rPr>
        <w:br/>
      </w:r>
      <w:r>
        <w:rPr>
          <w:rFonts w:hint="cs"/>
          <w:rtl/>
        </w:rPr>
        <w:t>قاعدة</w:t>
      </w:r>
      <w:r>
        <w:rPr>
          <w:rtl/>
        </w:rPr>
        <w:br/>
      </w:r>
      <w:r>
        <w:rPr>
          <w:rFonts w:hint="cs"/>
          <w:rtl/>
        </w:rPr>
        <w:t>"العبرة في الألفاظ بمعانيها</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العبرةفيالألفاظبمعانيها</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Style w:val="af1"/>
          <w:b w:val="0"/>
          <w:bCs w:val="0"/>
          <w:szCs w:val="32"/>
          <w:rtl/>
        </w:rPr>
        <w:t>(</w:t>
      </w:r>
      <w:r w:rsidRPr="00C85F0F">
        <w:rPr>
          <w:rStyle w:val="af1"/>
          <w:b w:val="0"/>
          <w:bCs w:val="0"/>
          <w:szCs w:val="32"/>
          <w:rtl/>
        </w:rPr>
        <w:footnoteReference w:id="738"/>
      </w:r>
      <w:r w:rsidRPr="00C85F0F">
        <w:rPr>
          <w:rStyle w:val="af1"/>
          <w:b w:val="0"/>
          <w:bCs w:val="0"/>
          <w:szCs w:val="32"/>
          <w:rtl/>
        </w:rPr>
        <w:t>)</w:t>
      </w:r>
      <w:bookmarkEnd w:id="144"/>
    </w:p>
    <w:p w:rsidR="000F7DC7" w:rsidRPr="00C85F0F" w:rsidRDefault="005E6020" w:rsidP="00A8347C">
      <w:pPr>
        <w:pStyle w:val="aff3"/>
        <w:rPr>
          <w:rtl/>
        </w:rPr>
      </w:pPr>
      <w:bookmarkStart w:id="145" w:name="_Toc334046389"/>
      <w:r>
        <w:rPr>
          <w:rFonts w:hint="cs"/>
          <w:rtl/>
        </w:rPr>
        <w:t xml:space="preserve">                      </w:t>
      </w:r>
      <w:r w:rsidR="000960DB">
        <w:rPr>
          <w:rFonts w:hint="cs"/>
          <w:rtl/>
        </w:rPr>
        <w:t xml:space="preserve">                  </w:t>
      </w:r>
      <w:r w:rsidR="000F7DC7" w:rsidRPr="00C85F0F">
        <w:rPr>
          <w:rFonts w:hint="cs"/>
          <w:rtl/>
        </w:rPr>
        <w:t>المطلب الأول</w:t>
      </w:r>
      <w:r w:rsidR="000F7DC7" w:rsidRPr="00C85F0F">
        <w:rPr>
          <w:rFonts w:hint="eastAsia"/>
          <w:rtl/>
        </w:rPr>
        <w:t> </w:t>
      </w:r>
      <w:r w:rsidR="000F7DC7" w:rsidRPr="00C85F0F">
        <w:rPr>
          <w:rFonts w:hint="cs"/>
          <w:rtl/>
        </w:rPr>
        <w:t>:</w:t>
      </w:r>
      <w:r w:rsidR="000F7DC7" w:rsidRPr="00C85F0F">
        <w:rPr>
          <w:rFonts w:hint="cs"/>
          <w:rtl/>
        </w:rPr>
        <w:br/>
      </w:r>
      <w:r>
        <w:rPr>
          <w:rFonts w:hint="cs"/>
          <w:rtl/>
        </w:rPr>
        <w:t xml:space="preserve">                   </w:t>
      </w:r>
      <w:r w:rsidR="000F7DC7" w:rsidRPr="00C85F0F">
        <w:rPr>
          <w:rFonts w:hint="cs"/>
          <w:rtl/>
        </w:rPr>
        <w:t>صيغ القاعدة عند الشيخ وعند علماء القواعد</w:t>
      </w:r>
      <w:bookmarkEnd w:id="145"/>
    </w:p>
    <w:p w:rsidR="000F7DC7" w:rsidRPr="00BE42D4" w:rsidRDefault="000F7DC7" w:rsidP="00BE42D4">
      <w:r w:rsidRPr="00C85F0F">
        <w:rPr>
          <w:rStyle w:val="af1"/>
          <w:rFonts w:hint="cs"/>
          <w:vertAlign w:val="baseline"/>
          <w:rtl/>
        </w:rPr>
        <w:t xml:space="preserve">وردت هذه القاعدة عند الشيخ ابن عثيمين </w:t>
      </w:r>
      <w:r w:rsidR="00BA711A">
        <w:rPr>
          <w:rStyle w:val="af1"/>
          <w:rFonts w:hint="cs"/>
          <w:vertAlign w:val="baseline"/>
          <w:rtl/>
        </w:rPr>
        <w:t>_</w:t>
      </w:r>
      <w:r w:rsidR="009A0575" w:rsidRPr="005D5694">
        <w:rPr>
          <w:rFonts w:ascii="Traditional Arabic" w:hAnsi="Traditional Arabic" w:cs="CTraditional Arabic" w:hint="cs"/>
          <w:rtl/>
        </w:rPr>
        <w:t>/</w:t>
      </w:r>
      <w:r w:rsidR="00BA711A">
        <w:rPr>
          <w:rStyle w:val="af1"/>
          <w:rFonts w:hint="cs"/>
          <w:vertAlign w:val="baseline"/>
          <w:rtl/>
        </w:rPr>
        <w:t>_</w:t>
      </w:r>
      <w:r w:rsidRPr="00C85F0F">
        <w:rPr>
          <w:rStyle w:val="af1"/>
          <w:rFonts w:hint="cs"/>
          <w:vertAlign w:val="baseline"/>
          <w:rtl/>
        </w:rPr>
        <w:t>بعدة صيغٍ، منها:</w:t>
      </w:r>
    </w:p>
    <w:p w:rsidR="00065E4B" w:rsidRPr="00C85F0F" w:rsidRDefault="000F7DC7" w:rsidP="000A76C7">
      <w:pPr>
        <w:numPr>
          <w:ilvl w:val="0"/>
          <w:numId w:val="111"/>
        </w:numPr>
      </w:pPr>
      <w:r w:rsidRPr="00C85F0F">
        <w:rPr>
          <w:rFonts w:ascii="Traditional Arabic" w:hAnsi="Traditional Arabic"/>
          <w:noProof w:val="0"/>
          <w:rtl/>
          <w:lang w:eastAsia="en-US"/>
        </w:rPr>
        <w:t>المقصود من الألفاظ هو المعاني، فإذا ظهر المعنى اك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نا به بأي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صيغة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كانت</w:t>
      </w:r>
      <w:r w:rsidRPr="00C85F0F">
        <w:rPr>
          <w:rStyle w:val="af1"/>
          <w:szCs w:val="32"/>
          <w:rtl/>
        </w:rPr>
        <w:t>(</w:t>
      </w:r>
      <w:r w:rsidRPr="00C85F0F">
        <w:rPr>
          <w:rStyle w:val="af1"/>
          <w:szCs w:val="32"/>
          <w:rtl/>
        </w:rPr>
        <w:footnoteReference w:id="739"/>
      </w:r>
      <w:r w:rsidRPr="00C85F0F">
        <w:rPr>
          <w:rStyle w:val="af1"/>
          <w:szCs w:val="32"/>
          <w:rtl/>
        </w:rPr>
        <w:t>)</w:t>
      </w:r>
      <w:r w:rsidRPr="00C85F0F">
        <w:rPr>
          <w:rFonts w:hint="cs"/>
          <w:rtl/>
        </w:rPr>
        <w:t>.</w:t>
      </w:r>
    </w:p>
    <w:p w:rsidR="000F7DC7" w:rsidRPr="00C85F0F" w:rsidRDefault="00065E4B" w:rsidP="000A76C7">
      <w:pPr>
        <w:numPr>
          <w:ilvl w:val="0"/>
          <w:numId w:val="111"/>
        </w:numPr>
      </w:pPr>
      <w:r w:rsidRPr="00C85F0F">
        <w:rPr>
          <w:rFonts w:hint="cs"/>
          <w:rtl/>
        </w:rPr>
        <w:t>ا</w:t>
      </w:r>
      <w:r w:rsidR="000F7DC7" w:rsidRPr="00C85F0F">
        <w:rPr>
          <w:rFonts w:hint="cs"/>
          <w:rtl/>
        </w:rPr>
        <w:t>لعِبْرَة في الألفاظ بمعانيها</w:t>
      </w:r>
      <w:r w:rsidR="000F7DC7" w:rsidRPr="00C85F0F">
        <w:rPr>
          <w:rStyle w:val="af1"/>
          <w:szCs w:val="32"/>
          <w:rtl/>
        </w:rPr>
        <w:t>(</w:t>
      </w:r>
      <w:r w:rsidR="000F7DC7" w:rsidRPr="00C85F0F">
        <w:rPr>
          <w:rStyle w:val="af1"/>
          <w:szCs w:val="32"/>
          <w:rtl/>
        </w:rPr>
        <w:footnoteReference w:id="740"/>
      </w:r>
      <w:r w:rsidR="000F7DC7" w:rsidRPr="00C85F0F">
        <w:rPr>
          <w:rStyle w:val="af1"/>
          <w:szCs w:val="32"/>
          <w:rtl/>
        </w:rPr>
        <w:t>)</w:t>
      </w:r>
      <w:r w:rsidR="000F7DC7" w:rsidRPr="00C85F0F">
        <w:rPr>
          <w:rFonts w:hint="cs"/>
          <w:rtl/>
        </w:rPr>
        <w:t>.</w:t>
      </w:r>
    </w:p>
    <w:p w:rsidR="000F7DC7" w:rsidRPr="00C85F0F" w:rsidRDefault="000F7DC7" w:rsidP="000A76C7">
      <w:pPr>
        <w:numPr>
          <w:ilvl w:val="0"/>
          <w:numId w:val="111"/>
        </w:numPr>
        <w:rPr>
          <w:color w:val="auto"/>
        </w:rPr>
      </w:pPr>
      <w:r w:rsidRPr="00C85F0F">
        <w:rPr>
          <w:rFonts w:ascii="Traditional Arabic" w:hAnsi="Traditional Arabic"/>
          <w:noProof w:val="0"/>
          <w:color w:val="auto"/>
          <w:rtl/>
          <w:lang w:eastAsia="en-US"/>
        </w:rPr>
        <w:t>العبرة بالمعاني لا بالألفاظ</w:t>
      </w:r>
      <w:r w:rsidRPr="00C85F0F">
        <w:rPr>
          <w:rStyle w:val="af1"/>
          <w:szCs w:val="32"/>
          <w:rtl/>
        </w:rPr>
        <w:t>(</w:t>
      </w:r>
      <w:r w:rsidRPr="00C85F0F">
        <w:rPr>
          <w:rStyle w:val="af1"/>
          <w:szCs w:val="32"/>
          <w:rtl/>
        </w:rPr>
        <w:footnoteReference w:id="741"/>
      </w:r>
      <w:r w:rsidRPr="00C85F0F">
        <w:rPr>
          <w:rStyle w:val="af1"/>
          <w:szCs w:val="32"/>
          <w:rtl/>
        </w:rPr>
        <w:t>)</w:t>
      </w:r>
      <w:r w:rsidRPr="00C85F0F">
        <w:rPr>
          <w:rFonts w:hint="cs"/>
          <w:color w:val="auto"/>
          <w:rtl/>
        </w:rPr>
        <w:t>.</w:t>
      </w:r>
    </w:p>
    <w:p w:rsidR="000F7DC7" w:rsidRPr="00C85F0F" w:rsidRDefault="000F7DC7" w:rsidP="000A76C7">
      <w:pPr>
        <w:numPr>
          <w:ilvl w:val="0"/>
          <w:numId w:val="111"/>
        </w:numPr>
        <w:rPr>
          <w:color w:val="auto"/>
        </w:rPr>
      </w:pPr>
      <w:r w:rsidRPr="00C85F0F">
        <w:rPr>
          <w:rFonts w:hint="cs"/>
          <w:color w:val="auto"/>
          <w:rtl/>
        </w:rPr>
        <w:t>العبرة في العقود بمعانيها لا بِصوَرها</w:t>
      </w:r>
      <w:r w:rsidRPr="00C85F0F">
        <w:rPr>
          <w:rStyle w:val="af1"/>
          <w:szCs w:val="32"/>
          <w:rtl/>
        </w:rPr>
        <w:t>(</w:t>
      </w:r>
      <w:r w:rsidRPr="00C85F0F">
        <w:rPr>
          <w:rStyle w:val="af1"/>
          <w:szCs w:val="32"/>
          <w:rtl/>
        </w:rPr>
        <w:footnoteReference w:id="742"/>
      </w:r>
      <w:r w:rsidRPr="00C85F0F">
        <w:rPr>
          <w:rStyle w:val="af1"/>
          <w:szCs w:val="32"/>
          <w:rtl/>
        </w:rPr>
        <w:t>)</w:t>
      </w:r>
      <w:r w:rsidRPr="00C85F0F">
        <w:rPr>
          <w:rFonts w:hint="cs"/>
          <w:color w:val="auto"/>
          <w:rtl/>
        </w:rPr>
        <w:t>.</w:t>
      </w:r>
    </w:p>
    <w:p w:rsidR="000F7DC7" w:rsidRPr="00C85F0F" w:rsidRDefault="000F7DC7" w:rsidP="000A76C7">
      <w:pPr>
        <w:numPr>
          <w:ilvl w:val="0"/>
          <w:numId w:val="111"/>
        </w:numPr>
        <w:rPr>
          <w:color w:val="auto"/>
        </w:rPr>
      </w:pPr>
      <w:r w:rsidRPr="00C85F0F">
        <w:rPr>
          <w:rFonts w:hint="cs"/>
          <w:color w:val="auto"/>
          <w:rtl/>
        </w:rPr>
        <w:t>العبرة في الأمور بمعانيها لا بصورها</w:t>
      </w:r>
      <w:r w:rsidRPr="00C85F0F">
        <w:rPr>
          <w:rStyle w:val="af1"/>
          <w:szCs w:val="32"/>
          <w:rtl/>
        </w:rPr>
        <w:t>(</w:t>
      </w:r>
      <w:r w:rsidRPr="00C85F0F">
        <w:rPr>
          <w:rStyle w:val="af1"/>
          <w:szCs w:val="32"/>
          <w:rtl/>
        </w:rPr>
        <w:footnoteReference w:id="743"/>
      </w:r>
      <w:r w:rsidRPr="00C85F0F">
        <w:rPr>
          <w:rStyle w:val="af1"/>
          <w:szCs w:val="32"/>
          <w:rtl/>
        </w:rPr>
        <w:t>)</w:t>
      </w:r>
      <w:r w:rsidRPr="00C85F0F">
        <w:rPr>
          <w:rFonts w:hint="cs"/>
          <w:color w:val="auto"/>
          <w:rtl/>
        </w:rPr>
        <w:t>.</w:t>
      </w:r>
    </w:p>
    <w:p w:rsidR="000F7DC7" w:rsidRPr="00C85F0F" w:rsidRDefault="000F7DC7" w:rsidP="00597C20">
      <w:pPr>
        <w:rPr>
          <w:rtl/>
        </w:rPr>
      </w:pPr>
      <w:r w:rsidRPr="00C85F0F">
        <w:rPr>
          <w:rFonts w:hint="cs"/>
          <w:color w:val="auto"/>
          <w:rtl/>
        </w:rPr>
        <w:t>و وردت هذه القاعدة عند علماء القواعد بعدة صيغ</w:t>
      </w:r>
      <w:r w:rsidRPr="00C85F0F">
        <w:rPr>
          <w:rStyle w:val="af1"/>
          <w:szCs w:val="32"/>
          <w:rtl/>
        </w:rPr>
        <w:t>(</w:t>
      </w:r>
      <w:r w:rsidRPr="00C85F0F">
        <w:rPr>
          <w:rStyle w:val="af1"/>
          <w:szCs w:val="32"/>
          <w:rtl/>
        </w:rPr>
        <w:footnoteReference w:id="744"/>
      </w:r>
      <w:r w:rsidRPr="00C85F0F">
        <w:rPr>
          <w:rStyle w:val="af1"/>
          <w:szCs w:val="32"/>
          <w:rtl/>
        </w:rPr>
        <w:t>)</w:t>
      </w:r>
      <w:r w:rsidRPr="00C85F0F">
        <w:rPr>
          <w:rFonts w:hint="cs"/>
          <w:color w:val="auto"/>
          <w:rtl/>
        </w:rPr>
        <w:t>، منه</w:t>
      </w:r>
      <w:r w:rsidRPr="00C85F0F">
        <w:rPr>
          <w:rFonts w:hint="cs"/>
          <w:rtl/>
        </w:rPr>
        <w:t>ا:</w:t>
      </w:r>
    </w:p>
    <w:p w:rsidR="000F7DC7" w:rsidRPr="00C85F0F" w:rsidRDefault="000F7DC7" w:rsidP="000A76C7">
      <w:pPr>
        <w:numPr>
          <w:ilvl w:val="0"/>
          <w:numId w:val="112"/>
        </w:numPr>
        <w:rPr>
          <w:color w:val="auto"/>
        </w:rPr>
      </w:pPr>
      <w:r w:rsidRPr="00C85F0F">
        <w:rPr>
          <w:rFonts w:hint="cs"/>
          <w:color w:val="auto"/>
          <w:rtl/>
        </w:rPr>
        <w:lastRenderedPageBreak/>
        <w:t>الاعتِبار في العقود بالمعاني والمقاصد لا بمجرَّد اللفظ</w:t>
      </w:r>
      <w:r w:rsidRPr="00C85F0F">
        <w:rPr>
          <w:rStyle w:val="af1"/>
          <w:szCs w:val="32"/>
          <w:rtl/>
        </w:rPr>
        <w:t>(</w:t>
      </w:r>
      <w:r w:rsidRPr="00C85F0F">
        <w:rPr>
          <w:rStyle w:val="af1"/>
          <w:szCs w:val="32"/>
          <w:rtl/>
        </w:rPr>
        <w:footnoteReference w:id="745"/>
      </w:r>
      <w:r w:rsidRPr="00C85F0F">
        <w:rPr>
          <w:rStyle w:val="af1"/>
          <w:szCs w:val="32"/>
          <w:rtl/>
        </w:rPr>
        <w:t>)</w:t>
      </w:r>
      <w:r w:rsidRPr="00C85F0F">
        <w:rPr>
          <w:rFonts w:hint="cs"/>
          <w:color w:val="auto"/>
          <w:rtl/>
        </w:rPr>
        <w:t>.</w:t>
      </w:r>
    </w:p>
    <w:p w:rsidR="000F7DC7" w:rsidRPr="00C85F0F" w:rsidRDefault="000F7DC7" w:rsidP="000A76C7">
      <w:pPr>
        <w:numPr>
          <w:ilvl w:val="0"/>
          <w:numId w:val="112"/>
        </w:numPr>
        <w:rPr>
          <w:color w:val="auto"/>
        </w:rPr>
      </w:pPr>
      <w:r w:rsidRPr="00C85F0F">
        <w:rPr>
          <w:rFonts w:hint="cs"/>
          <w:color w:val="auto"/>
          <w:rtl/>
        </w:rPr>
        <w:t>الاعتبار في العقود والأفعال بحقائقها ومقاصدها، دون ظواهرِ ألفاظها وأفعالها</w:t>
      </w:r>
      <w:r w:rsidRPr="00C85F0F">
        <w:rPr>
          <w:rStyle w:val="af1"/>
          <w:szCs w:val="32"/>
          <w:rtl/>
        </w:rPr>
        <w:t>(</w:t>
      </w:r>
      <w:r w:rsidRPr="00C85F0F">
        <w:rPr>
          <w:rStyle w:val="af1"/>
          <w:szCs w:val="32"/>
          <w:rtl/>
        </w:rPr>
        <w:footnoteReference w:id="746"/>
      </w:r>
      <w:r w:rsidRPr="00C85F0F">
        <w:rPr>
          <w:rStyle w:val="af1"/>
          <w:szCs w:val="32"/>
          <w:rtl/>
        </w:rPr>
        <w:t>)</w:t>
      </w:r>
      <w:r w:rsidRPr="00C85F0F">
        <w:rPr>
          <w:rFonts w:hint="cs"/>
          <w:color w:val="auto"/>
          <w:rtl/>
        </w:rPr>
        <w:t>.</w:t>
      </w:r>
    </w:p>
    <w:p w:rsidR="000F7DC7" w:rsidRPr="00C85F0F" w:rsidRDefault="000F7DC7" w:rsidP="000A76C7">
      <w:pPr>
        <w:numPr>
          <w:ilvl w:val="0"/>
          <w:numId w:val="112"/>
        </w:numPr>
        <w:rPr>
          <w:color w:val="auto"/>
        </w:rPr>
      </w:pPr>
      <w:r w:rsidRPr="00C85F0F">
        <w:rPr>
          <w:rFonts w:ascii="Traditional Arabic" w:hAnsi="Traditional Arabic"/>
          <w:noProof w:val="0"/>
          <w:rtl/>
          <w:lang w:eastAsia="en-US"/>
        </w:rPr>
        <w:t>الاعتبار في العقود بحقائقها ومقاصدها لا بمجرد ألفاظها</w:t>
      </w:r>
      <w:r w:rsidRPr="00C85F0F">
        <w:rPr>
          <w:rStyle w:val="af1"/>
          <w:szCs w:val="32"/>
          <w:rtl/>
        </w:rPr>
        <w:t>(</w:t>
      </w:r>
      <w:r w:rsidRPr="00C85F0F">
        <w:rPr>
          <w:rStyle w:val="af1"/>
          <w:szCs w:val="32"/>
          <w:rtl/>
        </w:rPr>
        <w:footnoteReference w:id="747"/>
      </w:r>
      <w:r w:rsidRPr="00C85F0F">
        <w:rPr>
          <w:rStyle w:val="af1"/>
          <w:szCs w:val="32"/>
          <w:rtl/>
        </w:rPr>
        <w:t>)</w:t>
      </w:r>
      <w:r w:rsidRPr="00C85F0F">
        <w:rPr>
          <w:rFonts w:hint="cs"/>
          <w:color w:val="auto"/>
          <w:rtl/>
        </w:rPr>
        <w:t>.</w:t>
      </w:r>
    </w:p>
    <w:p w:rsidR="000F7DC7" w:rsidRPr="00C85F0F" w:rsidRDefault="000F7DC7" w:rsidP="000A76C7">
      <w:pPr>
        <w:numPr>
          <w:ilvl w:val="0"/>
          <w:numId w:val="112"/>
        </w:numPr>
        <w:rPr>
          <w:color w:val="auto"/>
        </w:rPr>
      </w:pPr>
      <w:r w:rsidRPr="00C85F0F">
        <w:rPr>
          <w:rFonts w:hint="cs"/>
          <w:color w:val="auto"/>
          <w:rtl/>
        </w:rPr>
        <w:t>هل العِبرة بصِيَغِ العقود أم بمعانيها ؟</w:t>
      </w:r>
      <w:r w:rsidRPr="00C85F0F">
        <w:rPr>
          <w:rStyle w:val="af1"/>
          <w:szCs w:val="32"/>
          <w:rtl/>
        </w:rPr>
        <w:t>(</w:t>
      </w:r>
      <w:r w:rsidRPr="00C85F0F">
        <w:rPr>
          <w:rStyle w:val="af1"/>
          <w:szCs w:val="32"/>
          <w:rtl/>
        </w:rPr>
        <w:footnoteReference w:id="748"/>
      </w:r>
      <w:r w:rsidRPr="00C85F0F">
        <w:rPr>
          <w:rStyle w:val="af1"/>
          <w:szCs w:val="32"/>
          <w:rtl/>
        </w:rPr>
        <w:t>)</w:t>
      </w:r>
    </w:p>
    <w:p w:rsidR="000F7DC7" w:rsidRPr="00C85F0F" w:rsidRDefault="000F7DC7" w:rsidP="000A76C7">
      <w:pPr>
        <w:pStyle w:val="afc"/>
        <w:numPr>
          <w:ilvl w:val="0"/>
          <w:numId w:val="114"/>
        </w:numPr>
        <w:rPr>
          <w:color w:val="auto"/>
          <w:rtl/>
        </w:rPr>
      </w:pPr>
      <w:r w:rsidRPr="00C85F0F">
        <w:rPr>
          <w:rFonts w:hint="cs"/>
          <w:color w:val="auto"/>
          <w:rtl/>
        </w:rPr>
        <w:t>الاعتبار في العقود بظواهرها أم بمعانيها؟</w:t>
      </w:r>
      <w:r w:rsidRPr="00C85F0F">
        <w:rPr>
          <w:rStyle w:val="af1"/>
          <w:szCs w:val="32"/>
          <w:rtl/>
        </w:rPr>
        <w:t>(</w:t>
      </w:r>
      <w:r w:rsidRPr="00C85F0F">
        <w:rPr>
          <w:rStyle w:val="af1"/>
          <w:szCs w:val="32"/>
          <w:rtl/>
        </w:rPr>
        <w:footnoteReference w:id="749"/>
      </w:r>
      <w:r w:rsidRPr="00C85F0F">
        <w:rPr>
          <w:rStyle w:val="af1"/>
          <w:szCs w:val="32"/>
          <w:rtl/>
        </w:rPr>
        <w:t>)</w:t>
      </w:r>
    </w:p>
    <w:p w:rsidR="000F7DC7" w:rsidRPr="00C85F0F" w:rsidRDefault="000F7DC7" w:rsidP="000A76C7">
      <w:pPr>
        <w:numPr>
          <w:ilvl w:val="0"/>
          <w:numId w:val="113"/>
        </w:numPr>
        <w:rPr>
          <w:color w:val="auto"/>
        </w:rPr>
      </w:pPr>
      <w:r w:rsidRPr="00C85F0F">
        <w:rPr>
          <w:rFonts w:hint="cs"/>
          <w:color w:val="auto"/>
          <w:rtl/>
        </w:rPr>
        <w:t>إذا تعارَض القصد واللفظ أيُّهما يُقدَّم ؟</w:t>
      </w:r>
      <w:r w:rsidRPr="00C85F0F">
        <w:rPr>
          <w:rStyle w:val="af1"/>
          <w:szCs w:val="32"/>
          <w:rtl/>
        </w:rPr>
        <w:t>(</w:t>
      </w:r>
      <w:r w:rsidRPr="00C85F0F">
        <w:rPr>
          <w:rStyle w:val="af1"/>
          <w:szCs w:val="32"/>
          <w:rtl/>
        </w:rPr>
        <w:footnoteReference w:id="750"/>
      </w:r>
      <w:r w:rsidRPr="00C85F0F">
        <w:rPr>
          <w:rStyle w:val="af1"/>
          <w:szCs w:val="32"/>
          <w:rtl/>
        </w:rPr>
        <w:t>)</w:t>
      </w:r>
    </w:p>
    <w:p w:rsidR="000F7DC7" w:rsidRPr="00C85F0F" w:rsidRDefault="000F7DC7" w:rsidP="000A76C7">
      <w:pPr>
        <w:numPr>
          <w:ilvl w:val="0"/>
          <w:numId w:val="113"/>
        </w:numPr>
        <w:rPr>
          <w:rStyle w:val="af1"/>
          <w:color w:val="auto"/>
          <w:vertAlign w:val="baseline"/>
        </w:rPr>
      </w:pPr>
      <w:r w:rsidRPr="00C85F0F">
        <w:rPr>
          <w:rFonts w:hint="cs"/>
          <w:color w:val="auto"/>
          <w:rtl/>
        </w:rPr>
        <w:t>الاعتبار للمعنى لا للألفاظ</w:t>
      </w:r>
      <w:r w:rsidRPr="00C85F0F">
        <w:rPr>
          <w:rStyle w:val="af1"/>
          <w:szCs w:val="32"/>
          <w:rtl/>
        </w:rPr>
        <w:t>(</w:t>
      </w:r>
      <w:r w:rsidRPr="00C85F0F">
        <w:rPr>
          <w:rStyle w:val="af1"/>
          <w:szCs w:val="32"/>
          <w:rtl/>
        </w:rPr>
        <w:footnoteReference w:id="751"/>
      </w:r>
      <w:r w:rsidRPr="00C85F0F">
        <w:rPr>
          <w:rStyle w:val="af1"/>
          <w:szCs w:val="32"/>
          <w:rtl/>
        </w:rPr>
        <w:t>)</w:t>
      </w:r>
      <w:r w:rsidRPr="00C85F0F">
        <w:rPr>
          <w:rFonts w:hint="cs"/>
          <w:color w:val="auto"/>
          <w:rtl/>
        </w:rPr>
        <w:t>.</w:t>
      </w:r>
    </w:p>
    <w:p w:rsidR="000F7DC7" w:rsidRPr="00C85F0F" w:rsidRDefault="000F7DC7" w:rsidP="000A76C7">
      <w:pPr>
        <w:numPr>
          <w:ilvl w:val="0"/>
          <w:numId w:val="113"/>
        </w:numPr>
        <w:rPr>
          <w:color w:val="auto"/>
        </w:rPr>
      </w:pPr>
      <w:r w:rsidRPr="00C85F0F">
        <w:rPr>
          <w:rFonts w:hint="cs"/>
          <w:color w:val="auto"/>
          <w:rtl/>
        </w:rPr>
        <w:t>العبرة في العقود للمقاصد والمعاني لا للألفاظ والمباني</w:t>
      </w:r>
      <w:r w:rsidRPr="00C85F0F">
        <w:rPr>
          <w:rStyle w:val="af1"/>
          <w:szCs w:val="32"/>
          <w:rtl/>
        </w:rPr>
        <w:t>(</w:t>
      </w:r>
      <w:r w:rsidRPr="00C85F0F">
        <w:rPr>
          <w:rStyle w:val="af1"/>
          <w:szCs w:val="32"/>
          <w:rtl/>
        </w:rPr>
        <w:footnoteReference w:id="752"/>
      </w:r>
      <w:r w:rsidRPr="00C85F0F">
        <w:rPr>
          <w:rStyle w:val="af1"/>
          <w:szCs w:val="32"/>
          <w:rtl/>
        </w:rPr>
        <w:t>)</w:t>
      </w:r>
      <w:r w:rsidRPr="00C85F0F">
        <w:rPr>
          <w:rFonts w:hint="cs"/>
          <w:color w:val="auto"/>
          <w:rtl/>
        </w:rPr>
        <w:t>.</w:t>
      </w:r>
    </w:p>
    <w:p w:rsidR="000F7DC7" w:rsidRPr="00C85F0F" w:rsidRDefault="000F7DC7" w:rsidP="000A76C7">
      <w:pPr>
        <w:numPr>
          <w:ilvl w:val="0"/>
          <w:numId w:val="113"/>
        </w:numPr>
        <w:rPr>
          <w:color w:val="auto"/>
        </w:rPr>
      </w:pPr>
      <w:r w:rsidRPr="00C85F0F">
        <w:rPr>
          <w:rFonts w:hint="cs"/>
          <w:color w:val="auto"/>
          <w:rtl/>
        </w:rPr>
        <w:t>الأمور الشرعية بمقاصدها ومعانيها، لابألفاظها ورُسومها</w:t>
      </w:r>
      <w:r w:rsidRPr="00C85F0F">
        <w:rPr>
          <w:rStyle w:val="af1"/>
          <w:szCs w:val="32"/>
          <w:rtl/>
        </w:rPr>
        <w:t>(</w:t>
      </w:r>
      <w:r w:rsidRPr="00C85F0F">
        <w:rPr>
          <w:rStyle w:val="af1"/>
          <w:szCs w:val="32"/>
          <w:rtl/>
        </w:rPr>
        <w:footnoteReference w:id="753"/>
      </w:r>
      <w:r w:rsidRPr="00C85F0F">
        <w:rPr>
          <w:rStyle w:val="af1"/>
          <w:szCs w:val="32"/>
          <w:rtl/>
        </w:rPr>
        <w:t>)</w:t>
      </w:r>
      <w:r w:rsidRPr="00C85F0F">
        <w:rPr>
          <w:rFonts w:hint="cs"/>
          <w:color w:val="auto"/>
          <w:rtl/>
        </w:rPr>
        <w:t>.</w:t>
      </w:r>
    </w:p>
    <w:p w:rsidR="000F7DC7" w:rsidRPr="00C85F0F" w:rsidRDefault="005C279A" w:rsidP="00A8347C">
      <w:pPr>
        <w:pStyle w:val="aff3"/>
        <w:rPr>
          <w:rtl/>
        </w:rPr>
      </w:pPr>
      <w:bookmarkStart w:id="146" w:name="_Toc334046390"/>
      <w:r>
        <w:rPr>
          <w:rFonts w:hint="cs"/>
          <w:rtl/>
        </w:rPr>
        <w:lastRenderedPageBreak/>
        <w:t xml:space="preserve">           </w:t>
      </w:r>
      <w:r w:rsidR="00B84700">
        <w:rPr>
          <w:rFonts w:hint="cs"/>
          <w:rtl/>
        </w:rPr>
        <w:t xml:space="preserve">                              </w:t>
      </w:r>
      <w:r w:rsidR="000F7DC7" w:rsidRPr="00C85F0F">
        <w:rPr>
          <w:rFonts w:hint="cs"/>
          <w:rtl/>
        </w:rPr>
        <w:t>المطلب الثاني</w:t>
      </w:r>
      <w:r w:rsidR="001646A1" w:rsidRPr="00C85F0F">
        <w:rPr>
          <w:rFonts w:hint="eastAsia"/>
          <w:rtl/>
        </w:rPr>
        <w:t> :</w:t>
      </w:r>
      <w:r w:rsidR="001646A1" w:rsidRPr="00C85F0F">
        <w:rPr>
          <w:rFonts w:hint="cs"/>
          <w:rtl/>
        </w:rPr>
        <w:br/>
      </w:r>
      <w:r>
        <w:rPr>
          <w:rFonts w:hint="cs"/>
          <w:rtl/>
        </w:rPr>
        <w:t xml:space="preserve">             </w:t>
      </w:r>
      <w:r w:rsidR="00B84700">
        <w:rPr>
          <w:rFonts w:hint="cs"/>
          <w:rtl/>
        </w:rPr>
        <w:t xml:space="preserve">                             </w:t>
      </w:r>
      <w:r w:rsidR="000F7DC7" w:rsidRPr="00C85F0F">
        <w:rPr>
          <w:rFonts w:hint="cs"/>
          <w:rtl/>
        </w:rPr>
        <w:t>شرح القاعدة</w:t>
      </w:r>
      <w:bookmarkEnd w:id="146"/>
    </w:p>
    <w:p w:rsidR="001A0BAA" w:rsidRDefault="000F7DC7" w:rsidP="000F5C0F">
      <w:pPr>
        <w:pStyle w:val="53"/>
        <w:rPr>
          <w:b w:val="0"/>
          <w:rtl/>
        </w:rPr>
      </w:pPr>
      <w:r w:rsidRPr="000F5C0F">
        <w:rPr>
          <w:rFonts w:hint="cs"/>
          <w:rtl/>
        </w:rPr>
        <w:t>العِبْرَة</w:t>
      </w:r>
      <w:r w:rsidR="00AB0B9E" w:rsidRPr="00C85F0F">
        <w:fldChar w:fldCharType="begin"/>
      </w:r>
      <w:r w:rsidR="004E0D61" w:rsidRPr="00C85F0F">
        <w:instrText>XE</w:instrText>
      </w:r>
      <w:r w:rsidR="004E0D61" w:rsidRPr="00C85F0F">
        <w:rPr>
          <w:rtl/>
        </w:rPr>
        <w:instrText xml:space="preserve"> "</w:instrText>
      </w:r>
      <w:r w:rsidR="004E0D61" w:rsidRPr="00C85F0F">
        <w:rPr>
          <w:rFonts w:hint="cs"/>
          <w:rtl/>
        </w:rPr>
        <w:instrText>العِبْرَة</w:instrText>
      </w:r>
      <w:r w:rsidR="004E0D61" w:rsidRPr="00C85F0F">
        <w:rPr>
          <w:rtl/>
        </w:rPr>
        <w:instrText>" \</w:instrText>
      </w:r>
      <w:r w:rsidR="004E0D61" w:rsidRPr="00C85F0F">
        <w:instrText>fm</w:instrText>
      </w:r>
      <w:r w:rsidR="00AB0B9E" w:rsidRPr="00C85F0F">
        <w:fldChar w:fldCharType="end"/>
      </w:r>
      <w:r>
        <w:rPr>
          <w:rFonts w:hint="cs"/>
          <w:b w:val="0"/>
          <w:rtl/>
        </w:rPr>
        <w:t>:</w:t>
      </w:r>
    </w:p>
    <w:p w:rsidR="00F228A9" w:rsidRDefault="000F7DC7" w:rsidP="00597C20">
      <w:pPr>
        <w:ind w:firstLine="720"/>
        <w:rPr>
          <w:b/>
          <w:bCs/>
          <w:color w:val="auto"/>
          <w:rtl/>
        </w:rPr>
      </w:pPr>
      <w:r>
        <w:rPr>
          <w:rFonts w:hint="cs"/>
          <w:color w:val="auto"/>
          <w:rtl/>
        </w:rPr>
        <w:t>اسم من الاعْتِبار، وهما بمعنى الاعْتِداد بالشيء في ترتُّب الحُكم، نحو: والعبرة بالعَقِب، أي: والاعتداد في التقدُّم بالعقب</w:t>
      </w:r>
      <w:r w:rsidRPr="00C821A1">
        <w:rPr>
          <w:rStyle w:val="af1"/>
          <w:szCs w:val="32"/>
          <w:rtl/>
        </w:rPr>
        <w:t>(</w:t>
      </w:r>
      <w:r w:rsidRPr="00C821A1">
        <w:rPr>
          <w:rStyle w:val="af1"/>
          <w:szCs w:val="32"/>
          <w:rtl/>
        </w:rPr>
        <w:footnoteReference w:id="754"/>
      </w:r>
      <w:r w:rsidRPr="00C821A1">
        <w:rPr>
          <w:rStyle w:val="af1"/>
          <w:szCs w:val="32"/>
          <w:rtl/>
        </w:rPr>
        <w:t>)</w:t>
      </w:r>
      <w:r>
        <w:rPr>
          <w:rFonts w:hint="cs"/>
          <w:color w:val="auto"/>
          <w:rtl/>
        </w:rPr>
        <w:t>.</w:t>
      </w:r>
    </w:p>
    <w:p w:rsidR="001A0BAA" w:rsidRDefault="000F7DC7" w:rsidP="00597C20">
      <w:pPr>
        <w:pStyle w:val="53"/>
        <w:rPr>
          <w:b w:val="0"/>
          <w:rtl/>
        </w:rPr>
      </w:pPr>
      <w:r>
        <w:rPr>
          <w:rFonts w:hint="cs"/>
          <w:b w:val="0"/>
          <w:rtl/>
        </w:rPr>
        <w:t>الألفاظ</w:t>
      </w:r>
      <w:r w:rsidR="00AB0B9E">
        <w:rPr>
          <w:b w:val="0"/>
          <w:rtl/>
        </w:rPr>
        <w:fldChar w:fldCharType="begin"/>
      </w:r>
      <w:r w:rsidR="004E0D61" w:rsidRPr="00C85F0F">
        <w:rPr>
          <w:bCs w:val="0"/>
        </w:rPr>
        <w:instrText>XE</w:instrText>
      </w:r>
      <w:r w:rsidR="004E0D61" w:rsidRPr="00C85F0F">
        <w:rPr>
          <w:bCs w:val="0"/>
          <w:rtl/>
        </w:rPr>
        <w:instrText xml:space="preserve"> "</w:instrText>
      </w:r>
      <w:r w:rsidR="004E0D61" w:rsidRPr="00C85F0F">
        <w:rPr>
          <w:rFonts w:hint="cs"/>
          <w:bCs w:val="0"/>
          <w:rtl/>
        </w:rPr>
        <w:instrText>الألفاظ</w:instrText>
      </w:r>
      <w:r w:rsidR="004E0D61" w:rsidRPr="00C85F0F">
        <w:rPr>
          <w:bCs w:val="0"/>
          <w:rtl/>
        </w:rPr>
        <w:instrText>" \</w:instrText>
      </w:r>
      <w:r w:rsidR="004E0D61" w:rsidRPr="00C85F0F">
        <w:rPr>
          <w:bCs w:val="0"/>
        </w:rPr>
        <w:instrText>f</w:instrText>
      </w:r>
      <w:r w:rsidR="004E0D61" w:rsidRPr="004E0D61">
        <w:instrText>m</w:instrText>
      </w:r>
      <w:r w:rsidR="00AB0B9E">
        <w:rPr>
          <w:b w:val="0"/>
          <w:rtl/>
        </w:rPr>
        <w:fldChar w:fldCharType="end"/>
      </w:r>
      <w:r>
        <w:rPr>
          <w:rFonts w:hint="cs"/>
          <w:b w:val="0"/>
          <w:rtl/>
        </w:rPr>
        <w:t>:</w:t>
      </w:r>
    </w:p>
    <w:p w:rsidR="000F7DC7" w:rsidRDefault="000F7DC7" w:rsidP="00597C20">
      <w:pPr>
        <w:rPr>
          <w:color w:val="auto"/>
          <w:rtl/>
        </w:rPr>
      </w:pPr>
      <w:r>
        <w:rPr>
          <w:rFonts w:hint="cs"/>
          <w:color w:val="auto"/>
          <w:rtl/>
        </w:rPr>
        <w:t>جمع لَفْظٍ، وهو مصدر لَفَظَ يَلْفِظُ لَفْظاً، واستُعمل المصدر اسماً وجُمع على ألفاظ</w:t>
      </w:r>
      <w:r w:rsidRPr="00C821A1">
        <w:rPr>
          <w:rStyle w:val="af1"/>
          <w:szCs w:val="32"/>
          <w:rtl/>
        </w:rPr>
        <w:t>(</w:t>
      </w:r>
      <w:r w:rsidRPr="00C821A1">
        <w:rPr>
          <w:rStyle w:val="af1"/>
          <w:szCs w:val="32"/>
          <w:rtl/>
        </w:rPr>
        <w:footnoteReference w:id="755"/>
      </w:r>
      <w:r w:rsidRPr="00C821A1">
        <w:rPr>
          <w:rStyle w:val="af1"/>
          <w:szCs w:val="32"/>
          <w:rtl/>
        </w:rPr>
        <w:t>)</w:t>
      </w:r>
      <w:r>
        <w:rPr>
          <w:rFonts w:hint="cs"/>
          <w:color w:val="auto"/>
          <w:rtl/>
        </w:rPr>
        <w:t>.</w:t>
      </w:r>
    </w:p>
    <w:p w:rsidR="000F7DC7" w:rsidRDefault="000F7DC7" w:rsidP="00597C20">
      <w:pPr>
        <w:ind w:firstLine="720"/>
        <w:rPr>
          <w:color w:val="auto"/>
          <w:rtl/>
        </w:rPr>
      </w:pPr>
      <w:r>
        <w:rPr>
          <w:rFonts w:hint="cs"/>
          <w:color w:val="auto"/>
          <w:rtl/>
        </w:rPr>
        <w:t xml:space="preserve">يقول  ابن فارس </w:t>
      </w:r>
      <w:r w:rsidR="00BA711A">
        <w:rPr>
          <w:rFonts w:hint="cs"/>
          <w:color w:val="auto"/>
          <w:rtl/>
        </w:rPr>
        <w:t>_</w:t>
      </w:r>
      <w:r w:rsidR="009A0575" w:rsidRPr="005D5694">
        <w:rPr>
          <w:rFonts w:ascii="Traditional Arabic" w:hAnsi="Traditional Arabic" w:cs="CTraditional Arabic" w:hint="cs"/>
          <w:rtl/>
        </w:rPr>
        <w:t>/</w:t>
      </w:r>
      <w:r w:rsidR="00BA711A">
        <w:rPr>
          <w:rFonts w:hint="cs"/>
          <w:color w:val="auto"/>
          <w:rtl/>
        </w:rPr>
        <w:t>_</w:t>
      </w:r>
      <w:r>
        <w:rPr>
          <w:rFonts w:hint="cs"/>
          <w:color w:val="auto"/>
          <w:rtl/>
        </w:rPr>
        <w:t>:</w:t>
      </w:r>
      <w:r w:rsidR="00BA711A">
        <w:rPr>
          <w:rFonts w:hint="cs"/>
          <w:color w:val="auto"/>
          <w:rtl/>
        </w:rPr>
        <w:t xml:space="preserve"> </w:t>
      </w:r>
      <w:r>
        <w:rPr>
          <w:rFonts w:hint="cs"/>
          <w:color w:val="auto"/>
          <w:rtl/>
        </w:rPr>
        <w:t>(</w:t>
      </w:r>
      <w:r w:rsidRPr="00A20E4C">
        <w:rPr>
          <w:rFonts w:ascii="Traditional Arabic" w:hAnsi="Traditional Arabic"/>
          <w:noProof w:val="0"/>
          <w:color w:val="auto"/>
          <w:rtl/>
          <w:lang w:eastAsia="en-US"/>
        </w:rPr>
        <w:t>اللام والفاء والظاء كلمة</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 xml:space="preserve"> صحيحة</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 xml:space="preserve"> تدل</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 xml:space="preserve"> على ط</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ر</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ح</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الشيء</w:t>
      </w:r>
      <w:r w:rsidRPr="00A20E4C">
        <w:rPr>
          <w:rFonts w:ascii="Traditional Arabic" w:hAnsi="Traditional Arabic"/>
          <w:noProof w:val="0"/>
          <w:color w:val="auto"/>
          <w:rtl/>
          <w:lang w:eastAsia="en-US"/>
        </w:rPr>
        <w:t>; وغال</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ب</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 xml:space="preserve"> ذلك أن يكون من الف</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 تقول: ل</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ظ</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 xml:space="preserve"> بالكلام ي</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ظ ل</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ظا</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 xml:space="preserve"> ول</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ظ</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ت</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 xml:space="preserve"> الشيء</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 xml:space="preserve"> م</w:t>
      </w:r>
      <w:r>
        <w:rPr>
          <w:rFonts w:ascii="Traditional Arabic" w:hAnsi="Traditional Arabic" w:hint="cs"/>
          <w:noProof w:val="0"/>
          <w:color w:val="auto"/>
          <w:rtl/>
          <w:lang w:eastAsia="en-US"/>
        </w:rPr>
        <w:t>ِ</w:t>
      </w:r>
      <w:r w:rsidRPr="00A20E4C">
        <w:rPr>
          <w:rFonts w:ascii="Traditional Arabic" w:hAnsi="Traditional Arabic"/>
          <w:noProof w:val="0"/>
          <w:color w:val="auto"/>
          <w:rtl/>
          <w:lang w:eastAsia="en-US"/>
        </w:rPr>
        <w:t>ن فمي</w:t>
      </w:r>
      <w:r w:rsidR="00B76414">
        <w:rPr>
          <w:rFonts w:hint="cs"/>
          <w:color w:val="auto"/>
          <w:rtl/>
        </w:rPr>
        <w:t>)</w:t>
      </w:r>
      <w:r w:rsidRPr="00C821A1">
        <w:rPr>
          <w:rStyle w:val="af1"/>
          <w:szCs w:val="32"/>
          <w:rtl/>
        </w:rPr>
        <w:t>(</w:t>
      </w:r>
      <w:r w:rsidRPr="00C821A1">
        <w:rPr>
          <w:rStyle w:val="af1"/>
          <w:szCs w:val="32"/>
          <w:rtl/>
        </w:rPr>
        <w:footnoteReference w:id="756"/>
      </w:r>
      <w:r w:rsidRPr="00C821A1">
        <w:rPr>
          <w:rStyle w:val="af1"/>
          <w:szCs w:val="32"/>
          <w:rtl/>
        </w:rPr>
        <w:t>)</w:t>
      </w:r>
      <w:r>
        <w:rPr>
          <w:rFonts w:hint="cs"/>
          <w:color w:val="auto"/>
          <w:rtl/>
        </w:rPr>
        <w:t>.</w:t>
      </w:r>
    </w:p>
    <w:p w:rsidR="000F7DC7" w:rsidRPr="00A20E4C" w:rsidRDefault="000F7DC7" w:rsidP="00597C20">
      <w:pPr>
        <w:rPr>
          <w:color w:val="auto"/>
          <w:rtl/>
        </w:rPr>
      </w:pPr>
      <w:r>
        <w:rPr>
          <w:rFonts w:hint="cs"/>
          <w:color w:val="auto"/>
          <w:rtl/>
        </w:rPr>
        <w:t>والمراد هنا الكلام الذي ينطق به الإنسان، بِقَصْدِ التعبير عن ضَميره</w:t>
      </w:r>
      <w:r w:rsidRPr="00C821A1">
        <w:rPr>
          <w:rStyle w:val="af1"/>
          <w:szCs w:val="32"/>
          <w:rtl/>
        </w:rPr>
        <w:t>(</w:t>
      </w:r>
      <w:r w:rsidRPr="00C821A1">
        <w:rPr>
          <w:rStyle w:val="af1"/>
          <w:szCs w:val="32"/>
          <w:rtl/>
        </w:rPr>
        <w:footnoteReference w:id="757"/>
      </w:r>
      <w:r w:rsidRPr="00C821A1">
        <w:rPr>
          <w:rStyle w:val="af1"/>
          <w:szCs w:val="32"/>
          <w:rtl/>
        </w:rPr>
        <w:t>)</w:t>
      </w:r>
      <w:r>
        <w:rPr>
          <w:rFonts w:hint="cs"/>
          <w:color w:val="auto"/>
          <w:rtl/>
        </w:rPr>
        <w:t>.</w:t>
      </w:r>
    </w:p>
    <w:p w:rsidR="000F7DC7" w:rsidRDefault="000F7DC7" w:rsidP="00597C20">
      <w:pPr>
        <w:rPr>
          <w:color w:val="auto"/>
          <w:rtl/>
        </w:rPr>
      </w:pPr>
      <w:r>
        <w:rPr>
          <w:rFonts w:hint="cs"/>
          <w:b/>
          <w:bCs/>
          <w:color w:val="auto"/>
          <w:rtl/>
        </w:rPr>
        <w:t>بمعانيها:</w:t>
      </w:r>
      <w:r>
        <w:rPr>
          <w:rFonts w:hint="cs"/>
          <w:color w:val="auto"/>
          <w:rtl/>
        </w:rPr>
        <w:t xml:space="preserve"> المعاني</w:t>
      </w:r>
      <w:r w:rsidR="00AB0B9E">
        <w:rPr>
          <w:color w:val="auto"/>
          <w:rtl/>
        </w:rPr>
        <w:fldChar w:fldCharType="begin"/>
      </w:r>
      <w:r w:rsidR="004E0D61" w:rsidRPr="00C85F0F">
        <w:instrText>XE</w:instrText>
      </w:r>
      <w:r w:rsidR="004E0D61" w:rsidRPr="00C85F0F">
        <w:rPr>
          <w:rtl/>
        </w:rPr>
        <w:instrText xml:space="preserve"> "</w:instrText>
      </w:r>
      <w:r w:rsidR="004E0D61" w:rsidRPr="00C85F0F">
        <w:rPr>
          <w:rFonts w:hint="cs"/>
          <w:color w:val="auto"/>
          <w:rtl/>
        </w:rPr>
        <w:instrText>المعاني</w:instrText>
      </w:r>
      <w:r w:rsidR="004E0D61" w:rsidRPr="00C85F0F">
        <w:rPr>
          <w:rtl/>
        </w:rPr>
        <w:instrText>" \</w:instrText>
      </w:r>
      <w:r w:rsidR="004E0D61" w:rsidRPr="00C85F0F">
        <w:instrText>f</w:instrText>
      </w:r>
      <w:r w:rsidR="004E0D61" w:rsidRPr="004E0D61">
        <w:instrText xml:space="preserve">m </w:instrText>
      </w:r>
      <w:r w:rsidR="00AB0B9E">
        <w:rPr>
          <w:color w:val="auto"/>
          <w:rtl/>
        </w:rPr>
        <w:fldChar w:fldCharType="end"/>
      </w:r>
      <w:r>
        <w:rPr>
          <w:rFonts w:hint="cs"/>
          <w:color w:val="auto"/>
          <w:rtl/>
        </w:rPr>
        <w:t xml:space="preserve"> جمع معنى، ومعنى الشيء وفَحْواه ومُقْتَضاه ومضمونُه، كلُّه: هو ما يدُلُّ عليه اللفظ</w:t>
      </w:r>
      <w:r w:rsidRPr="00C821A1">
        <w:rPr>
          <w:rStyle w:val="af1"/>
          <w:szCs w:val="32"/>
          <w:rtl/>
        </w:rPr>
        <w:t>(</w:t>
      </w:r>
      <w:r w:rsidRPr="00C821A1">
        <w:rPr>
          <w:rStyle w:val="af1"/>
          <w:szCs w:val="32"/>
          <w:rtl/>
        </w:rPr>
        <w:footnoteReference w:id="758"/>
      </w:r>
      <w:r w:rsidRPr="00C821A1">
        <w:rPr>
          <w:rStyle w:val="af1"/>
          <w:szCs w:val="32"/>
          <w:rtl/>
        </w:rPr>
        <w:t>)</w:t>
      </w:r>
      <w:r>
        <w:rPr>
          <w:rFonts w:hint="cs"/>
          <w:color w:val="auto"/>
          <w:rtl/>
        </w:rPr>
        <w:t>.</w:t>
      </w:r>
    </w:p>
    <w:p w:rsidR="00065E4B" w:rsidRDefault="000F7DC7" w:rsidP="00597C20">
      <w:pPr>
        <w:pStyle w:val="53"/>
        <w:rPr>
          <w:rtl/>
        </w:rPr>
      </w:pPr>
      <w:r>
        <w:rPr>
          <w:rFonts w:hint="cs"/>
          <w:rtl/>
        </w:rPr>
        <w:t>معنى القاعدة إجمالا:</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ه</w:t>
      </w:r>
      <w:r w:rsidR="000F7DC7">
        <w:rPr>
          <w:rFonts w:ascii="Traditional Arabic" w:hAnsi="Traditional Arabic" w:hint="cs"/>
          <w:noProof w:val="0"/>
          <w:color w:val="auto"/>
          <w:rtl/>
          <w:lang w:eastAsia="en-US"/>
        </w:rPr>
        <w:t>ذه قاعدة عظيمة رائعة من قواعد الفقه الإسلامي، ونابعة من القاعدة الفقهية الكبرى "الأمور بمقاصدها".</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lastRenderedPageBreak/>
        <w:t>و</w:t>
      </w:r>
      <w:r w:rsidR="000F7DC7">
        <w:rPr>
          <w:rFonts w:ascii="Traditional Arabic" w:hAnsi="Traditional Arabic" w:hint="cs"/>
          <w:noProof w:val="0"/>
          <w:color w:val="auto"/>
          <w:rtl/>
          <w:lang w:eastAsia="en-US"/>
        </w:rPr>
        <w:t>هي كثيرةُ الدوران في مصادر الفقه الإسلامي، مَصوغةٌ بصِياغاتٍ مُتقارِبة يتجلَّى من فَحْواها مدى اعتبارِ المعنى والمقصود وترجيحِهما على اللفظ والصورة</w:t>
      </w:r>
      <w:r w:rsidR="000F7DC7" w:rsidRPr="00C821A1">
        <w:rPr>
          <w:rStyle w:val="af1"/>
          <w:szCs w:val="32"/>
          <w:rtl/>
        </w:rPr>
        <w:t>(</w:t>
      </w:r>
      <w:r w:rsidR="000F7DC7" w:rsidRPr="00C821A1">
        <w:rPr>
          <w:rStyle w:val="af1"/>
          <w:szCs w:val="32"/>
          <w:rtl/>
        </w:rPr>
        <w:footnoteReference w:id="759"/>
      </w:r>
      <w:r w:rsidR="000F7DC7" w:rsidRPr="00C821A1">
        <w:rPr>
          <w:rStyle w:val="af1"/>
          <w:szCs w:val="32"/>
          <w:rtl/>
        </w:rPr>
        <w:t>)</w:t>
      </w:r>
      <w:r w:rsidR="000F7DC7">
        <w:rPr>
          <w:rFonts w:ascii="Traditional Arabic" w:hAnsi="Traditional Arabic" w:hint="cs"/>
          <w:noProof w:val="0"/>
          <w:color w:val="auto"/>
          <w:rtl/>
          <w:lang w:eastAsia="en-US"/>
        </w:rPr>
        <w:t>.</w:t>
      </w:r>
    </w:p>
    <w:p w:rsidR="000F7DC7"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و</w:t>
      </w:r>
      <w:r w:rsidR="000F7DC7">
        <w:rPr>
          <w:rFonts w:ascii="Traditional Arabic" w:hAnsi="Traditional Arabic" w:hint="cs"/>
          <w:noProof w:val="0"/>
          <w:color w:val="auto"/>
          <w:rtl/>
          <w:lang w:eastAsia="en-US"/>
        </w:rPr>
        <w:t xml:space="preserve">معنى القاعدة </w:t>
      </w:r>
      <w:r w:rsidR="000F7DC7" w:rsidRPr="00BE4BC8">
        <w:rPr>
          <w:rFonts w:ascii="Traditional Arabic" w:hAnsi="Traditional Arabic"/>
          <w:noProof w:val="0"/>
          <w:color w:val="auto"/>
          <w:rtl/>
          <w:lang w:eastAsia="en-US"/>
        </w:rPr>
        <w:t xml:space="preserve">أن العبرة </w:t>
      </w:r>
      <w:r w:rsidR="000F7DC7">
        <w:rPr>
          <w:rFonts w:ascii="Traditional Arabic" w:hAnsi="Traditional Arabic" w:hint="cs"/>
          <w:noProof w:val="0"/>
          <w:color w:val="auto"/>
          <w:rtl/>
          <w:lang w:eastAsia="en-US"/>
        </w:rPr>
        <w:t>والاعتداد في العقود</w:t>
      </w:r>
      <w:r w:rsidR="00BE42D4">
        <w:rPr>
          <w:rFonts w:ascii="Traditional Arabic" w:hAnsi="Traditional Arabic" w:hint="cs"/>
          <w:noProof w:val="0"/>
          <w:color w:val="auto"/>
          <w:rtl/>
          <w:lang w:eastAsia="en-US"/>
        </w:rPr>
        <w:t xml:space="preserve"> </w:t>
      </w:r>
      <w:r w:rsidR="000F7DC7" w:rsidRPr="00BE4BC8">
        <w:rPr>
          <w:rFonts w:ascii="Traditional Arabic" w:hAnsi="Traditional Arabic"/>
          <w:noProof w:val="0"/>
          <w:color w:val="auto"/>
          <w:rtl/>
          <w:lang w:eastAsia="en-US"/>
        </w:rPr>
        <w:t>بالمعاني لا بالألفاظ، فالألفاظ ج</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علت</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 xml:space="preserve"> ق</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وال</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ب</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 xml:space="preserve"> للمعاني، </w:t>
      </w:r>
      <w:r w:rsidR="000F7DC7">
        <w:rPr>
          <w:rFonts w:ascii="Traditional Arabic" w:hAnsi="Traditional Arabic" w:hint="cs"/>
          <w:noProof w:val="0"/>
          <w:color w:val="auto"/>
          <w:rtl/>
          <w:lang w:eastAsia="en-US"/>
        </w:rPr>
        <w:t>والمقصود المعنى، فإذا ظهر المعنى اكتُفي به بأيِّ صيغةٍ كانت، و</w:t>
      </w:r>
      <w:r w:rsidR="000F7DC7" w:rsidRPr="00BE4BC8">
        <w:rPr>
          <w:rFonts w:ascii="Traditional Arabic" w:hAnsi="Traditional Arabic"/>
          <w:noProof w:val="0"/>
          <w:color w:val="auto"/>
          <w:rtl/>
          <w:lang w:eastAsia="en-US"/>
        </w:rPr>
        <w:t>كل</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 xml:space="preserve"> ما دل</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 xml:space="preserve"> على المعنى فهو مما ت</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ن</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ع</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ق</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د</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 xml:space="preserve"> به العقود، وليس هناك لفظ</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 xml:space="preserve"> ي</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تعب</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د به، بحيث لا يجزئ الناس</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 xml:space="preserve"> إلا العقد</w:t>
      </w:r>
      <w:r w:rsidR="000F7DC7">
        <w:rPr>
          <w:rFonts w:ascii="Traditional Arabic" w:hAnsi="Traditional Arabic" w:hint="cs"/>
          <w:noProof w:val="0"/>
          <w:color w:val="auto"/>
          <w:rtl/>
          <w:lang w:eastAsia="en-US"/>
        </w:rPr>
        <w:t>ُ</w:t>
      </w:r>
      <w:r w:rsidR="000F7DC7" w:rsidRPr="00BE4BC8">
        <w:rPr>
          <w:rFonts w:ascii="Traditional Arabic" w:hAnsi="Traditional Arabic"/>
          <w:noProof w:val="0"/>
          <w:color w:val="auto"/>
          <w:rtl/>
          <w:lang w:eastAsia="en-US"/>
        </w:rPr>
        <w:t xml:space="preserve"> به</w:t>
      </w:r>
      <w:r w:rsidR="000F7DC7" w:rsidRPr="00C821A1">
        <w:rPr>
          <w:rStyle w:val="af1"/>
          <w:szCs w:val="32"/>
          <w:rtl/>
        </w:rPr>
        <w:t>(</w:t>
      </w:r>
      <w:r w:rsidR="000F7DC7" w:rsidRPr="00C821A1">
        <w:rPr>
          <w:rStyle w:val="af1"/>
          <w:szCs w:val="32"/>
          <w:rtl/>
        </w:rPr>
        <w:footnoteReference w:id="760"/>
      </w:r>
      <w:r w:rsidR="000F7DC7" w:rsidRPr="00C821A1">
        <w:rPr>
          <w:rStyle w:val="af1"/>
          <w:szCs w:val="32"/>
          <w:rtl/>
        </w:rPr>
        <w:t>)</w:t>
      </w:r>
      <w:r w:rsidR="000F7DC7" w:rsidRPr="00BE4BC8">
        <w:rPr>
          <w:rFonts w:ascii="Traditional Arabic" w:hAnsi="Traditional Arabic"/>
          <w:noProof w:val="0"/>
          <w:color w:val="auto"/>
          <w:rtl/>
          <w:lang w:eastAsia="en-US"/>
        </w:rPr>
        <w:t>.</w:t>
      </w:r>
    </w:p>
    <w:p w:rsidR="00065E4B" w:rsidRPr="001646A1" w:rsidRDefault="005C279A" w:rsidP="00A8347C">
      <w:pPr>
        <w:pStyle w:val="aff3"/>
        <w:rPr>
          <w:rtl/>
        </w:rPr>
      </w:pPr>
      <w:bookmarkStart w:id="147" w:name="_Toc334046391"/>
      <w:r>
        <w:rPr>
          <w:rFonts w:hint="cs"/>
          <w:rtl/>
        </w:rPr>
        <w:t xml:space="preserve">                                        </w:t>
      </w:r>
      <w:r w:rsidR="000F7DC7" w:rsidRPr="001646A1">
        <w:rPr>
          <w:rFonts w:hint="cs"/>
          <w:rtl/>
        </w:rPr>
        <w:t>المطلب الثالث</w:t>
      </w:r>
      <w:r w:rsidR="001646A1">
        <w:rPr>
          <w:rFonts w:hint="eastAsia"/>
          <w:rtl/>
        </w:rPr>
        <w:t> </w:t>
      </w:r>
      <w:r w:rsidR="001646A1">
        <w:rPr>
          <w:rFonts w:hint="cs"/>
          <w:rtl/>
        </w:rPr>
        <w:t>:</w:t>
      </w:r>
      <w:r w:rsidR="001646A1">
        <w:rPr>
          <w:rFonts w:hint="cs"/>
          <w:rtl/>
        </w:rPr>
        <w:br/>
      </w:r>
      <w:r>
        <w:rPr>
          <w:rFonts w:hint="cs"/>
          <w:rtl/>
        </w:rPr>
        <w:t xml:space="preserve">                                           </w:t>
      </w:r>
      <w:r w:rsidR="000F7DC7" w:rsidRPr="001646A1">
        <w:rPr>
          <w:rFonts w:hint="cs"/>
          <w:rtl/>
        </w:rPr>
        <w:t>أدلة القاعدة</w:t>
      </w:r>
      <w:bookmarkEnd w:id="147"/>
    </w:p>
    <w:p w:rsidR="000F7DC7" w:rsidRDefault="00065E4B" w:rsidP="00597C20">
      <w:pPr>
        <w:widowControl/>
        <w:autoSpaceDE w:val="0"/>
        <w:autoSpaceDN w:val="0"/>
        <w:adjustRightInd w:val="0"/>
        <w:ind w:firstLine="720"/>
        <w:rPr>
          <w:rFonts w:ascii="Traditional Arabic" w:hAnsi="Traditional Arabic"/>
          <w:noProof w:val="0"/>
          <w:color w:val="auto"/>
          <w:rtl/>
          <w:lang w:eastAsia="en-US"/>
        </w:rPr>
      </w:pPr>
      <w:r w:rsidRPr="00356060">
        <w:rPr>
          <w:rFonts w:ascii="Traditional Arabic" w:hAnsi="Traditional Arabic" w:hint="cs"/>
          <w:noProof w:val="0"/>
          <w:color w:val="auto"/>
          <w:rtl/>
          <w:lang w:eastAsia="en-US"/>
        </w:rPr>
        <w:t>ي</w:t>
      </w:r>
      <w:r w:rsidR="000F7DC7" w:rsidRPr="00356060">
        <w:rPr>
          <w:rFonts w:ascii="Traditional Arabic" w:hAnsi="Traditional Arabic" w:hint="cs"/>
          <w:noProof w:val="0"/>
          <w:color w:val="auto"/>
          <w:rtl/>
          <w:lang w:eastAsia="en-US"/>
        </w:rPr>
        <w:t>ُستدَل لهذه القاعدة بأدلة قاعدة "الأعمال بالنيات" ل</w:t>
      </w:r>
      <w:r w:rsidR="000F7DC7">
        <w:rPr>
          <w:rFonts w:ascii="Traditional Arabic" w:hAnsi="Traditional Arabic" w:hint="cs"/>
          <w:noProof w:val="0"/>
          <w:color w:val="auto"/>
          <w:rtl/>
          <w:lang w:eastAsia="en-US"/>
        </w:rPr>
        <w:t>ِ</w:t>
      </w:r>
      <w:r w:rsidR="000F7DC7" w:rsidRPr="00356060">
        <w:rPr>
          <w:rFonts w:ascii="Traditional Arabic" w:hAnsi="Traditional Arabic" w:hint="cs"/>
          <w:noProof w:val="0"/>
          <w:color w:val="auto"/>
          <w:rtl/>
          <w:lang w:eastAsia="en-US"/>
        </w:rPr>
        <w:t>ك</w:t>
      </w:r>
      <w:r w:rsidR="000F7DC7">
        <w:rPr>
          <w:rFonts w:ascii="Traditional Arabic" w:hAnsi="Traditional Arabic" w:hint="cs"/>
          <w:noProof w:val="0"/>
          <w:color w:val="auto"/>
          <w:rtl/>
          <w:lang w:eastAsia="en-US"/>
        </w:rPr>
        <w:t>َ</w:t>
      </w:r>
      <w:r w:rsidR="000F7DC7" w:rsidRPr="00356060">
        <w:rPr>
          <w:rFonts w:ascii="Traditional Arabic" w:hAnsi="Traditional Arabic" w:hint="cs"/>
          <w:noProof w:val="0"/>
          <w:color w:val="auto"/>
          <w:rtl/>
          <w:lang w:eastAsia="en-US"/>
        </w:rPr>
        <w:t>ونها مندرجة</w:t>
      </w:r>
      <w:r w:rsidR="000F7DC7">
        <w:rPr>
          <w:rFonts w:ascii="Traditional Arabic" w:hAnsi="Traditional Arabic" w:hint="cs"/>
          <w:noProof w:val="0"/>
          <w:color w:val="auto"/>
          <w:rtl/>
          <w:lang w:eastAsia="en-US"/>
        </w:rPr>
        <w:t>ً</w:t>
      </w:r>
      <w:r w:rsidR="000F7DC7" w:rsidRPr="00356060">
        <w:rPr>
          <w:rFonts w:ascii="Traditional Arabic" w:hAnsi="Traditional Arabic" w:hint="cs"/>
          <w:noProof w:val="0"/>
          <w:color w:val="auto"/>
          <w:rtl/>
          <w:lang w:eastAsia="en-US"/>
        </w:rPr>
        <w:t xml:space="preserve"> تحتها، كما يمكن أن يستدل لها بما يلي:</w:t>
      </w:r>
    </w:p>
    <w:p w:rsidR="000F7DC7" w:rsidRDefault="000F7DC7" w:rsidP="000A76C7">
      <w:pPr>
        <w:pStyle w:val="afc"/>
        <w:widowControl/>
        <w:numPr>
          <w:ilvl w:val="0"/>
          <w:numId w:val="115"/>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عن جابر بن عبد الله </w:t>
      </w:r>
      <w:r w:rsidR="00BA711A">
        <w:rPr>
          <w:rFonts w:ascii="Traditional Arabic" w:hAnsi="Traditional Arabic" w:hint="cs"/>
          <w:noProof w:val="0"/>
          <w:color w:val="auto"/>
          <w:rtl/>
          <w:lang w:eastAsia="en-US"/>
        </w:rPr>
        <w:t>_</w:t>
      </w:r>
      <w:r w:rsidR="00154102">
        <w:rPr>
          <w:rFonts w:ascii="Traditional Arabic" w:hAnsi="Traditional Arabic" w:cs="CTraditional Arabic" w:hint="cs"/>
          <w:noProof w:val="0"/>
          <w:color w:val="auto"/>
          <w:rtl/>
          <w:lang w:eastAsia="en-US"/>
        </w:rPr>
        <w:t>ب</w:t>
      </w:r>
      <w:r w:rsidR="00BA711A">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أنه سمع رسول الله </w:t>
      </w:r>
      <w:r w:rsidR="00F350DE">
        <w:rPr>
          <w:rFonts w:ascii="Traditional Arabic" w:hAnsi="Traditional Arabic"/>
          <w:noProof w:val="0"/>
          <w:color w:val="auto"/>
          <w:rtl/>
          <w:lang w:eastAsia="en-US"/>
        </w:rPr>
        <w:sym w:font="AGA Arabesque" w:char="F072"/>
      </w:r>
      <w:r>
        <w:rPr>
          <w:rFonts w:ascii="Traditional Arabic" w:hAnsi="Traditional Arabic" w:hint="cs"/>
          <w:noProof w:val="0"/>
          <w:color w:val="auto"/>
          <w:rtl/>
          <w:lang w:eastAsia="en-US"/>
        </w:rPr>
        <w:t xml:space="preserve"> يقول </w:t>
      </w:r>
      <w:r w:rsidRPr="00CA657F">
        <w:rPr>
          <w:rFonts w:ascii="Traditional Arabic" w:hAnsi="Traditional Arabic"/>
          <w:noProof w:val="0"/>
          <w:rtl/>
          <w:lang w:eastAsia="en-US"/>
        </w:rPr>
        <w:t>عام</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الفتح وهو بمكة</w:t>
      </w:r>
      <w:r>
        <w:rPr>
          <w:rFonts w:ascii="Traditional Arabic" w:hAnsi="Traditional Arabic" w:hint="cs"/>
          <w:noProof w:val="0"/>
          <w:rtl/>
          <w:lang w:eastAsia="en-US"/>
        </w:rPr>
        <w:t>َ:"</w:t>
      </w:r>
      <w:r w:rsidRPr="00CA657F">
        <w:rPr>
          <w:rFonts w:ascii="Traditional Arabic" w:hAnsi="Traditional Arabic"/>
          <w:noProof w:val="0"/>
          <w:rtl/>
          <w:lang w:eastAsia="en-US"/>
        </w:rPr>
        <w:t>إن الله ورسوله حر</w:t>
      </w:r>
      <w:r>
        <w:rPr>
          <w:rFonts w:ascii="Traditional Arabic" w:hAnsi="Traditional Arabic" w:hint="cs"/>
          <w:noProof w:val="0"/>
          <w:rtl/>
          <w:lang w:eastAsia="en-US"/>
        </w:rPr>
        <w:t>َّ</w:t>
      </w:r>
      <w:r w:rsidRPr="00CA657F">
        <w:rPr>
          <w:rFonts w:ascii="Traditional Arabic" w:hAnsi="Traditional Arabic"/>
          <w:noProof w:val="0"/>
          <w:rtl/>
          <w:lang w:eastAsia="en-US"/>
        </w:rPr>
        <w:t>م ب</w:t>
      </w:r>
      <w:r>
        <w:rPr>
          <w:rFonts w:ascii="Traditional Arabic" w:hAnsi="Traditional Arabic" w:hint="cs"/>
          <w:noProof w:val="0"/>
          <w:rtl/>
          <w:lang w:eastAsia="en-US"/>
        </w:rPr>
        <w:t>َ</w:t>
      </w:r>
      <w:r w:rsidRPr="00CA657F">
        <w:rPr>
          <w:rFonts w:ascii="Traditional Arabic" w:hAnsi="Traditional Arabic"/>
          <w:noProof w:val="0"/>
          <w:rtl/>
          <w:lang w:eastAsia="en-US"/>
        </w:rPr>
        <w:t>ي</w:t>
      </w:r>
      <w:r>
        <w:rPr>
          <w:rFonts w:ascii="Traditional Arabic" w:hAnsi="Traditional Arabic" w:hint="cs"/>
          <w:noProof w:val="0"/>
          <w:rtl/>
          <w:lang w:eastAsia="en-US"/>
        </w:rPr>
        <w:t>ْ</w:t>
      </w:r>
      <w:r w:rsidRPr="00CA657F">
        <w:rPr>
          <w:rFonts w:ascii="Traditional Arabic" w:hAnsi="Traditional Arabic"/>
          <w:noProof w:val="0"/>
          <w:rtl/>
          <w:lang w:eastAsia="en-US"/>
        </w:rPr>
        <w:t>ع</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الخمر والميتة والخنزير والأصنام</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فقيل يا رسول الله أرأيت ش</w:t>
      </w:r>
      <w:r>
        <w:rPr>
          <w:rFonts w:ascii="Traditional Arabic" w:hAnsi="Traditional Arabic" w:hint="cs"/>
          <w:noProof w:val="0"/>
          <w:rtl/>
          <w:lang w:eastAsia="en-US"/>
        </w:rPr>
        <w:t>ُ</w:t>
      </w:r>
      <w:r>
        <w:rPr>
          <w:rFonts w:ascii="Traditional Arabic" w:hAnsi="Traditional Arabic"/>
          <w:noProof w:val="0"/>
          <w:rtl/>
          <w:lang w:eastAsia="en-US"/>
        </w:rPr>
        <w:t>حوم الميتة فإنها</w:t>
      </w:r>
      <w:r w:rsidRPr="00CA657F">
        <w:rPr>
          <w:rFonts w:ascii="Traditional Arabic" w:hAnsi="Traditional Arabic"/>
          <w:noProof w:val="0"/>
          <w:rtl/>
          <w:lang w:eastAsia="en-US"/>
        </w:rPr>
        <w:t xml:space="preserve"> ي</w:t>
      </w:r>
      <w:r>
        <w:rPr>
          <w:rFonts w:ascii="Traditional Arabic" w:hAnsi="Traditional Arabic" w:hint="cs"/>
          <w:noProof w:val="0"/>
          <w:rtl/>
          <w:lang w:eastAsia="en-US"/>
        </w:rPr>
        <w:t>ُ</w:t>
      </w:r>
      <w:r w:rsidRPr="00CA657F">
        <w:rPr>
          <w:rFonts w:ascii="Traditional Arabic" w:hAnsi="Traditional Arabic"/>
          <w:noProof w:val="0"/>
          <w:rtl/>
          <w:lang w:eastAsia="en-US"/>
        </w:rPr>
        <w:t>ط</w:t>
      </w:r>
      <w:r>
        <w:rPr>
          <w:rFonts w:ascii="Traditional Arabic" w:hAnsi="Traditional Arabic" w:hint="cs"/>
          <w:noProof w:val="0"/>
          <w:rtl/>
          <w:lang w:eastAsia="en-US"/>
        </w:rPr>
        <w:t>ْ</w:t>
      </w:r>
      <w:r w:rsidRPr="00CA657F">
        <w:rPr>
          <w:rFonts w:ascii="Traditional Arabic" w:hAnsi="Traditional Arabic"/>
          <w:noProof w:val="0"/>
          <w:rtl/>
          <w:lang w:eastAsia="en-US"/>
        </w:rPr>
        <w:t>لى بها الس</w:t>
      </w:r>
      <w:r>
        <w:rPr>
          <w:rFonts w:ascii="Traditional Arabic" w:hAnsi="Traditional Arabic" w:hint="cs"/>
          <w:noProof w:val="0"/>
          <w:rtl/>
          <w:lang w:eastAsia="en-US"/>
        </w:rPr>
        <w:t>ُّ</w:t>
      </w:r>
      <w:r w:rsidRPr="00CA657F">
        <w:rPr>
          <w:rFonts w:ascii="Traditional Arabic" w:hAnsi="Traditional Arabic"/>
          <w:noProof w:val="0"/>
          <w:rtl/>
          <w:lang w:eastAsia="en-US"/>
        </w:rPr>
        <w:t>ف</w:t>
      </w:r>
      <w:r>
        <w:rPr>
          <w:rFonts w:ascii="Traditional Arabic" w:hAnsi="Traditional Arabic" w:hint="cs"/>
          <w:noProof w:val="0"/>
          <w:rtl/>
          <w:lang w:eastAsia="en-US"/>
        </w:rPr>
        <w:t>ُ</w:t>
      </w:r>
      <w:r w:rsidRPr="00CA657F">
        <w:rPr>
          <w:rFonts w:ascii="Traditional Arabic" w:hAnsi="Traditional Arabic"/>
          <w:noProof w:val="0"/>
          <w:rtl/>
          <w:lang w:eastAsia="en-US"/>
        </w:rPr>
        <w:t>ن</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وي</w:t>
      </w:r>
      <w:r>
        <w:rPr>
          <w:rFonts w:ascii="Traditional Arabic" w:hAnsi="Traditional Arabic" w:hint="cs"/>
          <w:noProof w:val="0"/>
          <w:rtl/>
          <w:lang w:eastAsia="en-US"/>
        </w:rPr>
        <w:t>ُ</w:t>
      </w:r>
      <w:r w:rsidRPr="00CA657F">
        <w:rPr>
          <w:rFonts w:ascii="Traditional Arabic" w:hAnsi="Traditional Arabic"/>
          <w:noProof w:val="0"/>
          <w:rtl/>
          <w:lang w:eastAsia="en-US"/>
        </w:rPr>
        <w:t>د</w:t>
      </w:r>
      <w:r>
        <w:rPr>
          <w:rFonts w:ascii="Traditional Arabic" w:hAnsi="Traditional Arabic" w:hint="cs"/>
          <w:noProof w:val="0"/>
          <w:rtl/>
          <w:lang w:eastAsia="en-US"/>
        </w:rPr>
        <w:t>ْ</w:t>
      </w:r>
      <w:r w:rsidRPr="00CA657F">
        <w:rPr>
          <w:rFonts w:ascii="Traditional Arabic" w:hAnsi="Traditional Arabic"/>
          <w:noProof w:val="0"/>
          <w:rtl/>
          <w:lang w:eastAsia="en-US"/>
        </w:rPr>
        <w:t>ه</w:t>
      </w:r>
      <w:r>
        <w:rPr>
          <w:rFonts w:ascii="Traditional Arabic" w:hAnsi="Traditional Arabic" w:hint="cs"/>
          <w:noProof w:val="0"/>
          <w:rtl/>
          <w:lang w:eastAsia="en-US"/>
        </w:rPr>
        <w:t>َ</w:t>
      </w:r>
      <w:r w:rsidRPr="00CA657F">
        <w:rPr>
          <w:rFonts w:ascii="Traditional Arabic" w:hAnsi="Traditional Arabic"/>
          <w:noProof w:val="0"/>
          <w:rtl/>
          <w:lang w:eastAsia="en-US"/>
        </w:rPr>
        <w:t>ن بها الجلود</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وي</w:t>
      </w:r>
      <w:r>
        <w:rPr>
          <w:rFonts w:ascii="Traditional Arabic" w:hAnsi="Traditional Arabic" w:hint="cs"/>
          <w:noProof w:val="0"/>
          <w:rtl/>
          <w:lang w:eastAsia="en-US"/>
        </w:rPr>
        <w:t>َ</w:t>
      </w:r>
      <w:r w:rsidRPr="00CA657F">
        <w:rPr>
          <w:rFonts w:ascii="Traditional Arabic" w:hAnsi="Traditional Arabic"/>
          <w:noProof w:val="0"/>
          <w:rtl/>
          <w:lang w:eastAsia="en-US"/>
        </w:rPr>
        <w:t>ستصب</w:t>
      </w:r>
      <w:r>
        <w:rPr>
          <w:rFonts w:ascii="Traditional Arabic" w:hAnsi="Traditional Arabic" w:hint="cs"/>
          <w:noProof w:val="0"/>
          <w:rtl/>
          <w:lang w:eastAsia="en-US"/>
        </w:rPr>
        <w:t>ِ</w:t>
      </w:r>
      <w:r w:rsidRPr="00CA657F">
        <w:rPr>
          <w:rFonts w:ascii="Traditional Arabic" w:hAnsi="Traditional Arabic"/>
          <w:noProof w:val="0"/>
          <w:rtl/>
          <w:lang w:eastAsia="en-US"/>
        </w:rPr>
        <w:t>ح بها الناس</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فقال</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لا هو حرام</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ثم قال رسول الله </w:t>
      </w:r>
      <w:r w:rsidR="00F350DE">
        <w:rPr>
          <w:rFonts w:ascii="Traditional Arabic" w:hAnsi="Traditional Arabic"/>
          <w:noProof w:val="0"/>
          <w:color w:val="auto"/>
          <w:rtl/>
          <w:lang w:eastAsia="en-US"/>
        </w:rPr>
        <w:sym w:font="AGA Arabesque" w:char="F072"/>
      </w:r>
      <w:r w:rsidRPr="00CA657F">
        <w:rPr>
          <w:rFonts w:ascii="Traditional Arabic" w:hAnsi="Traditional Arabic"/>
          <w:noProof w:val="0"/>
          <w:rtl/>
          <w:lang w:eastAsia="en-US"/>
        </w:rPr>
        <w:t xml:space="preserve"> عند ذلك</w:t>
      </w:r>
      <w:r>
        <w:rPr>
          <w:rFonts w:ascii="Traditional Arabic" w:hAnsi="Traditional Arabic" w:hint="cs"/>
          <w:noProof w:val="0"/>
          <w:rtl/>
          <w:lang w:eastAsia="en-US"/>
        </w:rPr>
        <w:t>:"</w:t>
      </w:r>
      <w:r w:rsidRPr="00CA657F">
        <w:rPr>
          <w:rFonts w:ascii="Traditional Arabic" w:hAnsi="Traditional Arabic"/>
          <w:noProof w:val="0"/>
          <w:rtl/>
          <w:lang w:eastAsia="en-US"/>
        </w:rPr>
        <w:t>قاتل الله اليهود إن الله لم</w:t>
      </w:r>
      <w:r>
        <w:rPr>
          <w:rFonts w:ascii="Traditional Arabic" w:hAnsi="Traditional Arabic" w:hint="cs"/>
          <w:noProof w:val="0"/>
          <w:rtl/>
          <w:lang w:eastAsia="en-US"/>
        </w:rPr>
        <w:t>َّ</w:t>
      </w:r>
      <w:r w:rsidRPr="00CA657F">
        <w:rPr>
          <w:rFonts w:ascii="Traditional Arabic" w:hAnsi="Traditional Arabic"/>
          <w:noProof w:val="0"/>
          <w:rtl/>
          <w:lang w:eastAsia="en-US"/>
        </w:rPr>
        <w:t>ا حر</w:t>
      </w:r>
      <w:r>
        <w:rPr>
          <w:rFonts w:ascii="Traditional Arabic" w:hAnsi="Traditional Arabic" w:hint="cs"/>
          <w:noProof w:val="0"/>
          <w:rtl/>
          <w:lang w:eastAsia="en-US"/>
        </w:rPr>
        <w:t>َّ</w:t>
      </w:r>
      <w:r w:rsidRPr="00CA657F">
        <w:rPr>
          <w:rFonts w:ascii="Traditional Arabic" w:hAnsi="Traditional Arabic"/>
          <w:noProof w:val="0"/>
          <w:rtl/>
          <w:lang w:eastAsia="en-US"/>
        </w:rPr>
        <w:t>م شحومها ج</w:t>
      </w:r>
      <w:r>
        <w:rPr>
          <w:rFonts w:ascii="Traditional Arabic" w:hAnsi="Traditional Arabic" w:hint="cs"/>
          <w:noProof w:val="0"/>
          <w:rtl/>
          <w:lang w:eastAsia="en-US"/>
        </w:rPr>
        <w:t>َ</w:t>
      </w:r>
      <w:r w:rsidRPr="00CA657F">
        <w:rPr>
          <w:rFonts w:ascii="Traditional Arabic" w:hAnsi="Traditional Arabic"/>
          <w:noProof w:val="0"/>
          <w:rtl/>
          <w:lang w:eastAsia="en-US"/>
        </w:rPr>
        <w:t>م</w:t>
      </w:r>
      <w:r>
        <w:rPr>
          <w:rFonts w:ascii="Traditional Arabic" w:hAnsi="Traditional Arabic" w:hint="cs"/>
          <w:noProof w:val="0"/>
          <w:rtl/>
          <w:lang w:eastAsia="en-US"/>
        </w:rPr>
        <w:t>َ</w:t>
      </w:r>
      <w:r>
        <w:rPr>
          <w:rFonts w:ascii="Traditional Arabic" w:hAnsi="Traditional Arabic"/>
          <w:noProof w:val="0"/>
          <w:rtl/>
          <w:lang w:eastAsia="en-US"/>
        </w:rPr>
        <w:t>ل</w:t>
      </w:r>
      <w:r>
        <w:rPr>
          <w:rFonts w:ascii="Traditional Arabic" w:hAnsi="Traditional Arabic" w:hint="cs"/>
          <w:noProof w:val="0"/>
          <w:rtl/>
          <w:lang w:eastAsia="en-US"/>
        </w:rPr>
        <w:t>ُ</w:t>
      </w:r>
      <w:r>
        <w:rPr>
          <w:rFonts w:ascii="Traditional Arabic" w:hAnsi="Traditional Arabic"/>
          <w:noProof w:val="0"/>
          <w:rtl/>
          <w:lang w:eastAsia="en-US"/>
        </w:rPr>
        <w:t>وه</w:t>
      </w:r>
      <w:r w:rsidRPr="00C821A1">
        <w:rPr>
          <w:rStyle w:val="af1"/>
          <w:szCs w:val="32"/>
          <w:rtl/>
        </w:rPr>
        <w:t>(</w:t>
      </w:r>
      <w:r w:rsidRPr="00C821A1">
        <w:rPr>
          <w:rStyle w:val="af1"/>
          <w:szCs w:val="32"/>
          <w:rtl/>
        </w:rPr>
        <w:footnoteReference w:id="761"/>
      </w:r>
      <w:r w:rsidRPr="00C821A1">
        <w:rPr>
          <w:rStyle w:val="af1"/>
          <w:szCs w:val="32"/>
          <w:rtl/>
        </w:rPr>
        <w:t>)</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ثم ب</w:t>
      </w:r>
      <w:r>
        <w:rPr>
          <w:rFonts w:ascii="Traditional Arabic" w:hAnsi="Traditional Arabic" w:hint="cs"/>
          <w:noProof w:val="0"/>
          <w:rtl/>
          <w:lang w:eastAsia="en-US"/>
        </w:rPr>
        <w:t>َ</w:t>
      </w:r>
      <w:r w:rsidRPr="00CA657F">
        <w:rPr>
          <w:rFonts w:ascii="Traditional Arabic" w:hAnsi="Traditional Arabic"/>
          <w:noProof w:val="0"/>
          <w:rtl/>
          <w:lang w:eastAsia="en-US"/>
        </w:rPr>
        <w:t>اع</w:t>
      </w:r>
      <w:r>
        <w:rPr>
          <w:rFonts w:ascii="Traditional Arabic" w:hAnsi="Traditional Arabic" w:hint="cs"/>
          <w:noProof w:val="0"/>
          <w:rtl/>
          <w:lang w:eastAsia="en-US"/>
        </w:rPr>
        <w:t>ُ</w:t>
      </w:r>
      <w:r w:rsidRPr="00CA657F">
        <w:rPr>
          <w:rFonts w:ascii="Traditional Arabic" w:hAnsi="Traditional Arabic"/>
          <w:noProof w:val="0"/>
          <w:rtl/>
          <w:lang w:eastAsia="en-US"/>
        </w:rPr>
        <w:t>وه</w:t>
      </w:r>
      <w:r>
        <w:rPr>
          <w:rFonts w:ascii="Traditional Arabic" w:hAnsi="Traditional Arabic" w:hint="cs"/>
          <w:noProof w:val="0"/>
          <w:rtl/>
          <w:lang w:eastAsia="en-US"/>
        </w:rPr>
        <w:t>ُ</w:t>
      </w:r>
      <w:r w:rsidRPr="00CA657F">
        <w:rPr>
          <w:rFonts w:ascii="Traditional Arabic" w:hAnsi="Traditional Arabic"/>
          <w:noProof w:val="0"/>
          <w:rtl/>
          <w:lang w:eastAsia="en-US"/>
        </w:rPr>
        <w:t xml:space="preserve"> فأ</w:t>
      </w:r>
      <w:r>
        <w:rPr>
          <w:rFonts w:ascii="Traditional Arabic" w:hAnsi="Traditional Arabic" w:hint="cs"/>
          <w:noProof w:val="0"/>
          <w:rtl/>
          <w:lang w:eastAsia="en-US"/>
        </w:rPr>
        <w:t>َ</w:t>
      </w:r>
      <w:r w:rsidRPr="00CA657F">
        <w:rPr>
          <w:rFonts w:ascii="Traditional Arabic" w:hAnsi="Traditional Arabic"/>
          <w:noProof w:val="0"/>
          <w:rtl/>
          <w:lang w:eastAsia="en-US"/>
        </w:rPr>
        <w:t>ك</w:t>
      </w:r>
      <w:r>
        <w:rPr>
          <w:rFonts w:ascii="Traditional Arabic" w:hAnsi="Traditional Arabic" w:hint="cs"/>
          <w:noProof w:val="0"/>
          <w:rtl/>
          <w:lang w:eastAsia="en-US"/>
        </w:rPr>
        <w:t>َ</w:t>
      </w:r>
      <w:r w:rsidRPr="00CA657F">
        <w:rPr>
          <w:rFonts w:ascii="Traditional Arabic" w:hAnsi="Traditional Arabic"/>
          <w:noProof w:val="0"/>
          <w:rtl/>
          <w:lang w:eastAsia="en-US"/>
        </w:rPr>
        <w:t>لوا ث</w:t>
      </w:r>
      <w:r>
        <w:rPr>
          <w:rFonts w:ascii="Traditional Arabic" w:hAnsi="Traditional Arabic" w:hint="cs"/>
          <w:noProof w:val="0"/>
          <w:rtl/>
          <w:lang w:eastAsia="en-US"/>
        </w:rPr>
        <w:t>َ</w:t>
      </w:r>
      <w:r w:rsidRPr="00CA657F">
        <w:rPr>
          <w:rFonts w:ascii="Traditional Arabic" w:hAnsi="Traditional Arabic"/>
          <w:noProof w:val="0"/>
          <w:rtl/>
          <w:lang w:eastAsia="en-US"/>
        </w:rPr>
        <w:t>م</w:t>
      </w:r>
      <w:r>
        <w:rPr>
          <w:rFonts w:ascii="Traditional Arabic" w:hAnsi="Traditional Arabic" w:hint="cs"/>
          <w:noProof w:val="0"/>
          <w:rtl/>
          <w:lang w:eastAsia="en-US"/>
        </w:rPr>
        <w:t>َ</w:t>
      </w:r>
      <w:r w:rsidRPr="00CA657F">
        <w:rPr>
          <w:rFonts w:ascii="Traditional Arabic" w:hAnsi="Traditional Arabic"/>
          <w:noProof w:val="0"/>
          <w:rtl/>
          <w:lang w:eastAsia="en-US"/>
        </w:rPr>
        <w:t>ن</w:t>
      </w:r>
      <w:r>
        <w:rPr>
          <w:rFonts w:ascii="Traditional Arabic" w:hAnsi="Traditional Arabic" w:hint="cs"/>
          <w:noProof w:val="0"/>
          <w:rtl/>
          <w:lang w:eastAsia="en-US"/>
        </w:rPr>
        <w:t>َ</w:t>
      </w:r>
      <w:r w:rsidRPr="00CA657F">
        <w:rPr>
          <w:rFonts w:ascii="Traditional Arabic" w:hAnsi="Traditional Arabic"/>
          <w:noProof w:val="0"/>
          <w:rtl/>
          <w:lang w:eastAsia="en-US"/>
        </w:rPr>
        <w:t>ه</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762"/>
      </w:r>
      <w:r w:rsidRPr="00C821A1">
        <w:rPr>
          <w:rStyle w:val="af1"/>
          <w:szCs w:val="32"/>
          <w:rtl/>
        </w:rPr>
        <w:t>)</w:t>
      </w:r>
      <w:r>
        <w:rPr>
          <w:rFonts w:ascii="Traditional Arabic" w:hAnsi="Traditional Arabic" w:hint="cs"/>
          <w:noProof w:val="0"/>
          <w:rtl/>
          <w:lang w:eastAsia="en-US"/>
        </w:rPr>
        <w:t>.</w:t>
      </w:r>
    </w:p>
    <w:p w:rsidR="00065E4B" w:rsidRPr="00C658F4" w:rsidRDefault="000F7DC7" w:rsidP="00597C20">
      <w:pPr>
        <w:pStyle w:val="53"/>
        <w:rPr>
          <w:rtl/>
        </w:rPr>
      </w:pPr>
      <w:r>
        <w:rPr>
          <w:rFonts w:hint="cs"/>
          <w:rtl/>
        </w:rPr>
        <w:lastRenderedPageBreak/>
        <w:t>وجه الدلالة:</w:t>
      </w:r>
    </w:p>
    <w:p w:rsidR="00065E4B" w:rsidRPr="00C658F4" w:rsidRDefault="00065E4B" w:rsidP="00597C20">
      <w:pPr>
        <w:widowControl/>
        <w:autoSpaceDE w:val="0"/>
        <w:autoSpaceDN w:val="0"/>
        <w:adjustRightInd w:val="0"/>
        <w:ind w:firstLine="720"/>
        <w:rPr>
          <w:rFonts w:ascii="Traditional Arabic" w:hAnsi="Traditional Arabic"/>
          <w:noProof w:val="0"/>
          <w:rtl/>
          <w:lang w:eastAsia="en-US"/>
        </w:rPr>
      </w:pPr>
      <w:r w:rsidRPr="00C658F4">
        <w:rPr>
          <w:rFonts w:ascii="Traditional Arabic" w:hAnsi="Traditional Arabic"/>
          <w:noProof w:val="0"/>
          <w:rtl/>
          <w:lang w:eastAsia="en-US"/>
        </w:rPr>
        <w:t>م</w:t>
      </w:r>
      <w:r w:rsidR="000F7DC7" w:rsidRPr="00C658F4">
        <w:rPr>
          <w:rFonts w:ascii="Traditional Arabic" w:hAnsi="Traditional Arabic"/>
          <w:noProof w:val="0"/>
          <w:rtl/>
          <w:lang w:eastAsia="en-US"/>
        </w:rPr>
        <w:t>علوم</w:t>
      </w:r>
      <w:r w:rsidR="000F7DC7">
        <w:rPr>
          <w:rFonts w:ascii="Traditional Arabic" w:hAnsi="Traditional Arabic" w:hint="cs"/>
          <w:noProof w:val="0"/>
          <w:rtl/>
          <w:lang w:eastAsia="en-US"/>
        </w:rPr>
        <w:t>ٌ</w:t>
      </w:r>
      <w:r w:rsidR="000F7DC7" w:rsidRPr="00C658F4">
        <w:rPr>
          <w:rFonts w:ascii="Traditional Arabic" w:hAnsi="Traditional Arabic"/>
          <w:noProof w:val="0"/>
          <w:rtl/>
          <w:lang w:eastAsia="en-US"/>
        </w:rPr>
        <w:t xml:space="preserve"> أنه</w:t>
      </w:r>
      <w:r w:rsidR="000F7DC7" w:rsidRPr="00493260">
        <w:rPr>
          <w:rFonts w:ascii="Traditional Arabic" w:hAnsi="Traditional Arabic"/>
          <w:noProof w:val="0"/>
          <w:rtl/>
          <w:lang w:eastAsia="en-US"/>
        </w:rPr>
        <w:t xml:space="preserve"> لو كان التحريم معل</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قا بمجر</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د اللفظ وبظاهر</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 xml:space="preserve"> من القول دون مراعاة المقصود للشيء المحر</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م ومعناه وكيفيته لم يستحق</w:t>
      </w:r>
      <w:r w:rsidR="000F7DC7" w:rsidRPr="00493260">
        <w:rPr>
          <w:rFonts w:ascii="Traditional Arabic" w:hAnsi="Traditional Arabic" w:hint="cs"/>
          <w:noProof w:val="0"/>
          <w:rtl/>
          <w:lang w:eastAsia="en-US"/>
        </w:rPr>
        <w:t>َّ اليهودُ</w:t>
      </w:r>
      <w:r w:rsidR="000F7DC7" w:rsidRPr="00493260">
        <w:rPr>
          <w:rFonts w:ascii="Traditional Arabic" w:hAnsi="Traditional Arabic"/>
          <w:noProof w:val="0"/>
          <w:rtl/>
          <w:lang w:eastAsia="en-US"/>
        </w:rPr>
        <w:t xml:space="preserve"> الل</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عنة</w:t>
      </w:r>
      <w:r w:rsidR="000F7DC7" w:rsidRPr="00493260">
        <w:rPr>
          <w:rFonts w:ascii="Traditional Arabic" w:hAnsi="Traditional Arabic" w:hint="cs"/>
          <w:noProof w:val="0"/>
          <w:rtl/>
          <w:lang w:eastAsia="en-US"/>
        </w:rPr>
        <w:t>َ</w:t>
      </w:r>
      <w:r w:rsidR="001A1608">
        <w:rPr>
          <w:rFonts w:ascii="Traditional Arabic" w:hAnsi="Traditional Arabic" w:hint="cs"/>
          <w:noProof w:val="0"/>
          <w:rtl/>
          <w:lang w:eastAsia="en-US"/>
        </w:rPr>
        <w:t xml:space="preserve"> </w:t>
      </w:r>
      <w:r w:rsidR="000F7DC7" w:rsidRPr="00C658F4">
        <w:rPr>
          <w:rFonts w:ascii="Traditional Arabic" w:hAnsi="Traditional Arabic"/>
          <w:noProof w:val="0"/>
          <w:rtl/>
          <w:lang w:eastAsia="en-US"/>
        </w:rPr>
        <w:t>لوجهين:</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sidRPr="00C658F4">
        <w:rPr>
          <w:rFonts w:ascii="Traditional Arabic" w:hAnsi="Traditional Arabic"/>
          <w:b/>
          <w:bCs/>
          <w:noProof w:val="0"/>
          <w:rtl/>
          <w:lang w:eastAsia="en-US"/>
        </w:rPr>
        <w:t>أ</w:t>
      </w:r>
      <w:r w:rsidR="000F7DC7" w:rsidRPr="00C658F4">
        <w:rPr>
          <w:rFonts w:ascii="Traditional Arabic" w:hAnsi="Traditional Arabic"/>
          <w:b/>
          <w:bCs/>
          <w:noProof w:val="0"/>
          <w:rtl/>
          <w:lang w:eastAsia="en-US"/>
        </w:rPr>
        <w:t>حدهما</w:t>
      </w:r>
      <w:r w:rsidR="000F7DC7">
        <w:rPr>
          <w:rFonts w:ascii="Traditional Arabic" w:hAnsi="Traditional Arabic" w:hint="cs"/>
          <w:noProof w:val="0"/>
          <w:rtl/>
          <w:lang w:eastAsia="en-US"/>
        </w:rPr>
        <w:t>:</w:t>
      </w:r>
      <w:r w:rsidR="000F7DC7" w:rsidRPr="00C658F4">
        <w:rPr>
          <w:rFonts w:ascii="Traditional Arabic" w:hAnsi="Traditional Arabic"/>
          <w:noProof w:val="0"/>
          <w:rtl/>
          <w:lang w:eastAsia="en-US"/>
        </w:rPr>
        <w:t xml:space="preserve"> أن الش</w:t>
      </w:r>
      <w:r w:rsidR="000F7DC7">
        <w:rPr>
          <w:rFonts w:ascii="Traditional Arabic" w:hAnsi="Traditional Arabic" w:hint="cs"/>
          <w:noProof w:val="0"/>
          <w:rtl/>
          <w:lang w:eastAsia="en-US"/>
        </w:rPr>
        <w:t>ًّ</w:t>
      </w:r>
      <w:r w:rsidR="000F7DC7" w:rsidRPr="00C658F4">
        <w:rPr>
          <w:rFonts w:ascii="Traditional Arabic" w:hAnsi="Traditional Arabic"/>
          <w:noProof w:val="0"/>
          <w:rtl/>
          <w:lang w:eastAsia="en-US"/>
        </w:rPr>
        <w:t>ح</w:t>
      </w:r>
      <w:r w:rsidR="000F7DC7">
        <w:rPr>
          <w:rFonts w:ascii="Traditional Arabic" w:hAnsi="Traditional Arabic" w:hint="cs"/>
          <w:noProof w:val="0"/>
          <w:rtl/>
          <w:lang w:eastAsia="en-US"/>
        </w:rPr>
        <w:t>ْ</w:t>
      </w:r>
      <w:r w:rsidR="000F7DC7" w:rsidRPr="00C658F4">
        <w:rPr>
          <w:rFonts w:ascii="Traditional Arabic" w:hAnsi="Traditional Arabic"/>
          <w:noProof w:val="0"/>
          <w:rtl/>
          <w:lang w:eastAsia="en-US"/>
        </w:rPr>
        <w:t>م خرج ب</w:t>
      </w:r>
      <w:r w:rsidR="000F7DC7">
        <w:rPr>
          <w:rFonts w:ascii="Traditional Arabic" w:hAnsi="Traditional Arabic" w:hint="cs"/>
          <w:noProof w:val="0"/>
          <w:rtl/>
          <w:lang w:eastAsia="en-US"/>
        </w:rPr>
        <w:t>ِ</w:t>
      </w:r>
      <w:r w:rsidR="000F7DC7">
        <w:rPr>
          <w:rFonts w:ascii="Traditional Arabic" w:hAnsi="Traditional Arabic"/>
          <w:noProof w:val="0"/>
          <w:rtl/>
          <w:lang w:eastAsia="en-US"/>
        </w:rPr>
        <w:t>ج</w:t>
      </w:r>
      <w:r w:rsidR="000F7DC7">
        <w:rPr>
          <w:rFonts w:ascii="Traditional Arabic" w:hAnsi="Traditional Arabic" w:hint="cs"/>
          <w:noProof w:val="0"/>
          <w:rtl/>
          <w:lang w:eastAsia="en-US"/>
        </w:rPr>
        <w:t>َ</w:t>
      </w:r>
      <w:r w:rsidR="000F7DC7">
        <w:rPr>
          <w:rFonts w:ascii="Traditional Arabic" w:hAnsi="Traditional Arabic"/>
          <w:noProof w:val="0"/>
          <w:rtl/>
          <w:lang w:eastAsia="en-US"/>
        </w:rPr>
        <w:t>م</w:t>
      </w:r>
      <w:r w:rsidR="000F7DC7">
        <w:rPr>
          <w:rFonts w:ascii="Traditional Arabic" w:hAnsi="Traditional Arabic" w:hint="cs"/>
          <w:noProof w:val="0"/>
          <w:rtl/>
          <w:lang w:eastAsia="en-US"/>
        </w:rPr>
        <w:t>ْ</w:t>
      </w:r>
      <w:r w:rsidR="000F7DC7">
        <w:rPr>
          <w:rFonts w:ascii="Traditional Arabic" w:hAnsi="Traditional Arabic"/>
          <w:noProof w:val="0"/>
          <w:rtl/>
          <w:lang w:eastAsia="en-US"/>
        </w:rPr>
        <w:t>ل</w:t>
      </w:r>
      <w:r w:rsidR="000F7DC7">
        <w:rPr>
          <w:rFonts w:ascii="Traditional Arabic" w:hAnsi="Traditional Arabic" w:hint="cs"/>
          <w:noProof w:val="0"/>
          <w:rtl/>
          <w:lang w:eastAsia="en-US"/>
        </w:rPr>
        <w:t>ِهِ</w:t>
      </w:r>
      <w:r w:rsidR="000F7DC7" w:rsidRPr="00C658F4">
        <w:rPr>
          <w:rFonts w:ascii="Traditional Arabic" w:hAnsi="Traditional Arabic"/>
          <w:noProof w:val="0"/>
          <w:rtl/>
          <w:lang w:eastAsia="en-US"/>
        </w:rPr>
        <w:t xml:space="preserve"> عن أن يكون شحما</w:t>
      </w:r>
      <w:r w:rsidR="000F7DC7">
        <w:rPr>
          <w:rFonts w:ascii="Traditional Arabic" w:hAnsi="Traditional Arabic" w:hint="cs"/>
          <w:noProof w:val="0"/>
          <w:rtl/>
          <w:lang w:eastAsia="en-US"/>
        </w:rPr>
        <w:t>ً،</w:t>
      </w:r>
      <w:r w:rsidR="000F7DC7" w:rsidRPr="00C658F4">
        <w:rPr>
          <w:rFonts w:ascii="Traditional Arabic" w:hAnsi="Traditional Arabic"/>
          <w:noProof w:val="0"/>
          <w:rtl/>
          <w:lang w:eastAsia="en-US"/>
        </w:rPr>
        <w:t xml:space="preserve"> وصار و</w:t>
      </w:r>
      <w:r w:rsidR="000F7DC7">
        <w:rPr>
          <w:rFonts w:ascii="Traditional Arabic" w:hAnsi="Traditional Arabic" w:hint="cs"/>
          <w:noProof w:val="0"/>
          <w:rtl/>
          <w:lang w:eastAsia="en-US"/>
        </w:rPr>
        <w:t>َ</w:t>
      </w:r>
      <w:r w:rsidR="000F7DC7" w:rsidRPr="00C658F4">
        <w:rPr>
          <w:rFonts w:ascii="Traditional Arabic" w:hAnsi="Traditional Arabic"/>
          <w:noProof w:val="0"/>
          <w:rtl/>
          <w:lang w:eastAsia="en-US"/>
        </w:rPr>
        <w:t>د</w:t>
      </w:r>
      <w:r w:rsidR="000F7DC7">
        <w:rPr>
          <w:rFonts w:ascii="Traditional Arabic" w:hAnsi="Traditional Arabic" w:hint="cs"/>
          <w:noProof w:val="0"/>
          <w:rtl/>
          <w:lang w:eastAsia="en-US"/>
        </w:rPr>
        <w:t>َ</w:t>
      </w:r>
      <w:r w:rsidR="000F7DC7" w:rsidRPr="00C658F4">
        <w:rPr>
          <w:rFonts w:ascii="Traditional Arabic" w:hAnsi="Traditional Arabic"/>
          <w:noProof w:val="0"/>
          <w:rtl/>
          <w:lang w:eastAsia="en-US"/>
        </w:rPr>
        <w:t>كا</w:t>
      </w:r>
      <w:r w:rsidR="000F7DC7">
        <w:rPr>
          <w:rFonts w:ascii="Traditional Arabic" w:hAnsi="Traditional Arabic" w:hint="cs"/>
          <w:noProof w:val="0"/>
          <w:rtl/>
          <w:lang w:eastAsia="en-US"/>
        </w:rPr>
        <w:t>ً،</w:t>
      </w:r>
      <w:r w:rsidR="000F7DC7" w:rsidRPr="00C658F4">
        <w:rPr>
          <w:rFonts w:ascii="Traditional Arabic" w:hAnsi="Traditional Arabic"/>
          <w:noProof w:val="0"/>
          <w:rtl/>
          <w:lang w:eastAsia="en-US"/>
        </w:rPr>
        <w:t xml:space="preserve"> كما يخرج الر</w:t>
      </w:r>
      <w:r w:rsidR="000F7DC7">
        <w:rPr>
          <w:rFonts w:ascii="Traditional Arabic" w:hAnsi="Traditional Arabic" w:hint="cs"/>
          <w:noProof w:val="0"/>
          <w:rtl/>
          <w:lang w:eastAsia="en-US"/>
        </w:rPr>
        <w:t>ِّ</w:t>
      </w:r>
      <w:r w:rsidR="000F7DC7" w:rsidRPr="00C658F4">
        <w:rPr>
          <w:rFonts w:ascii="Traditional Arabic" w:hAnsi="Traditional Arabic"/>
          <w:noProof w:val="0"/>
          <w:rtl/>
          <w:lang w:eastAsia="en-US"/>
        </w:rPr>
        <w:t>با بالاحتيال فيه عن لفظ الربا إلى أن يصير بيعا عند من يستحل ذلك</w:t>
      </w:r>
      <w:r w:rsidR="000F7DC7">
        <w:rPr>
          <w:rFonts w:ascii="Traditional Arabic" w:hAnsi="Traditional Arabic" w:hint="cs"/>
          <w:noProof w:val="0"/>
          <w:rtl/>
          <w:lang w:eastAsia="en-US"/>
        </w:rPr>
        <w:t>.</w:t>
      </w:r>
    </w:p>
    <w:p w:rsidR="00065E4B" w:rsidRDefault="00065E4B" w:rsidP="00597C20">
      <w:pPr>
        <w:widowControl/>
        <w:autoSpaceDE w:val="0"/>
        <w:autoSpaceDN w:val="0"/>
        <w:adjustRightInd w:val="0"/>
        <w:ind w:firstLine="720"/>
        <w:rPr>
          <w:rFonts w:ascii="Traditional Arabic" w:hAnsi="Traditional Arabic"/>
          <w:b/>
          <w:bCs/>
          <w:noProof w:val="0"/>
          <w:color w:val="auto"/>
          <w:rtl/>
          <w:lang w:eastAsia="en-US"/>
        </w:rPr>
      </w:pPr>
      <w:r>
        <w:rPr>
          <w:rFonts w:ascii="Traditional Arabic" w:hAnsi="Traditional Arabic" w:hint="cs"/>
          <w:b/>
          <w:bCs/>
          <w:noProof w:val="0"/>
          <w:color w:val="auto"/>
          <w:rtl/>
          <w:lang w:eastAsia="en-US"/>
        </w:rPr>
        <w:t>ا</w:t>
      </w:r>
      <w:r w:rsidR="000F7DC7">
        <w:rPr>
          <w:rFonts w:ascii="Traditional Arabic" w:hAnsi="Traditional Arabic" w:hint="cs"/>
          <w:b/>
          <w:bCs/>
          <w:noProof w:val="0"/>
          <w:color w:val="auto"/>
          <w:rtl/>
          <w:lang w:eastAsia="en-US"/>
        </w:rPr>
        <w:t>لوجه الثاني</w:t>
      </w:r>
      <w:r w:rsidR="000F7DC7" w:rsidRPr="00BC5555">
        <w:rPr>
          <w:rFonts w:ascii="Traditional Arabic" w:hAnsi="Traditional Arabic" w:hint="cs"/>
          <w:noProof w:val="0"/>
          <w:color w:val="auto"/>
          <w:rtl/>
          <w:lang w:eastAsia="en-US"/>
        </w:rPr>
        <w:t xml:space="preserve">: </w:t>
      </w:r>
      <w:r w:rsidR="000F7DC7" w:rsidRPr="00BC5555">
        <w:rPr>
          <w:rFonts w:ascii="Traditional Arabic" w:hAnsi="Traditional Arabic"/>
          <w:noProof w:val="0"/>
          <w:rtl/>
          <w:lang w:eastAsia="en-US"/>
        </w:rPr>
        <w:t>أن اليهود لم ينتفعوا ب</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ع</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ي</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ن</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الش</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ح</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م</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وإنما انتفعوا بثمنه</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ويلز</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م م</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ن راعى الص</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و</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ر</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والظواه</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ر والألفاظ دون الحقائق والمقاص</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د أن </w:t>
      </w:r>
      <w:r w:rsidR="000F7DC7">
        <w:rPr>
          <w:rFonts w:ascii="Traditional Arabic" w:hAnsi="Traditional Arabic" w:hint="cs"/>
          <w:noProof w:val="0"/>
          <w:rtl/>
          <w:lang w:eastAsia="en-US"/>
        </w:rPr>
        <w:t xml:space="preserve">لا </w:t>
      </w:r>
      <w:r w:rsidR="000F7DC7" w:rsidRPr="00BC5555">
        <w:rPr>
          <w:rFonts w:ascii="Traditional Arabic" w:hAnsi="Traditional Arabic"/>
          <w:noProof w:val="0"/>
          <w:rtl/>
          <w:lang w:eastAsia="en-US"/>
        </w:rPr>
        <w:t>يحر</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م ذلك</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فلما ل</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ع</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نوا على است</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حلال الثمن</w:t>
      </w:r>
      <w:r w:rsidR="000F7DC7">
        <w:rPr>
          <w:rFonts w:ascii="Traditional Arabic" w:hAnsi="Traditional Arabic" w:hint="cs"/>
          <w:noProof w:val="0"/>
          <w:rtl/>
          <w:lang w:eastAsia="en-US"/>
        </w:rPr>
        <w:t>_</w:t>
      </w:r>
      <w:r w:rsidR="000F7DC7" w:rsidRPr="00BC5555">
        <w:rPr>
          <w:rFonts w:ascii="Traditional Arabic" w:hAnsi="Traditional Arabic"/>
          <w:noProof w:val="0"/>
          <w:rtl/>
          <w:lang w:eastAsia="en-US"/>
        </w:rPr>
        <w:t xml:space="preserve"> وإن لم ينص</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لهم على تحريمه</w:t>
      </w:r>
      <w:r w:rsidR="000F7DC7">
        <w:rPr>
          <w:rFonts w:ascii="Traditional Arabic" w:hAnsi="Traditional Arabic" w:hint="cs"/>
          <w:noProof w:val="0"/>
          <w:rtl/>
          <w:lang w:eastAsia="en-US"/>
        </w:rPr>
        <w:t>_</w:t>
      </w:r>
      <w:r w:rsidR="000F7DC7" w:rsidRPr="00BC5555">
        <w:rPr>
          <w:rFonts w:ascii="Traditional Arabic" w:hAnsi="Traditional Arabic"/>
          <w:noProof w:val="0"/>
          <w:rtl/>
          <w:lang w:eastAsia="en-US"/>
        </w:rPr>
        <w:t xml:space="preserve"> ع</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لم أن </w:t>
      </w:r>
      <w:r w:rsidR="000F7DC7" w:rsidRPr="00493260">
        <w:rPr>
          <w:rFonts w:ascii="Traditional Arabic" w:hAnsi="Traditional Arabic"/>
          <w:noProof w:val="0"/>
          <w:rtl/>
          <w:lang w:eastAsia="en-US"/>
        </w:rPr>
        <w:t>الواجب النظ</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ر إلى الحقيقة والمقصود لا إلى مجر</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د</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 xml:space="preserve"> الصورة</w:t>
      </w:r>
      <w:r w:rsidR="000F7DC7" w:rsidRPr="00493260">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ونظير</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هذا أن يقال ل</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رجل</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لا ت</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ق</w:t>
      </w:r>
      <w:r w:rsidR="000F7DC7">
        <w:rPr>
          <w:rFonts w:ascii="Traditional Arabic" w:hAnsi="Traditional Arabic" w:hint="cs"/>
          <w:noProof w:val="0"/>
          <w:rtl/>
          <w:lang w:eastAsia="en-US"/>
        </w:rPr>
        <w:t>ْرَ</w:t>
      </w:r>
      <w:r w:rsidR="000F7DC7" w:rsidRPr="00BC5555">
        <w:rPr>
          <w:rFonts w:ascii="Traditional Arabic" w:hAnsi="Traditional Arabic"/>
          <w:noProof w:val="0"/>
          <w:rtl/>
          <w:lang w:eastAsia="en-US"/>
        </w:rPr>
        <w:t>ب</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مال</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اليتيم</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فيبيعه ويأخذ ع</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و</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ض</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ه</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ويقول</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 xml:space="preserve"> لم أ</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ق</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ر</w:t>
      </w:r>
      <w:r w:rsidR="000F7DC7">
        <w:rPr>
          <w:rFonts w:ascii="Traditional Arabic" w:hAnsi="Traditional Arabic" w:hint="cs"/>
          <w:noProof w:val="0"/>
          <w:rtl/>
          <w:lang w:eastAsia="en-US"/>
        </w:rPr>
        <w:t>َ</w:t>
      </w:r>
      <w:r w:rsidR="000F7DC7" w:rsidRPr="00BC5555">
        <w:rPr>
          <w:rFonts w:ascii="Traditional Arabic" w:hAnsi="Traditional Arabic"/>
          <w:noProof w:val="0"/>
          <w:rtl/>
          <w:lang w:eastAsia="en-US"/>
        </w:rPr>
        <w:t>ب ماله</w:t>
      </w:r>
      <w:r w:rsidR="000F7DC7" w:rsidRPr="00C821A1">
        <w:rPr>
          <w:rStyle w:val="af1"/>
          <w:szCs w:val="32"/>
          <w:rtl/>
        </w:rPr>
        <w:t>(</w:t>
      </w:r>
      <w:r w:rsidR="000F7DC7" w:rsidRPr="00C821A1">
        <w:rPr>
          <w:rStyle w:val="af1"/>
          <w:szCs w:val="32"/>
          <w:rtl/>
        </w:rPr>
        <w:footnoteReference w:id="763"/>
      </w:r>
      <w:r w:rsidR="000F7DC7" w:rsidRPr="00C821A1">
        <w:rPr>
          <w:rStyle w:val="af1"/>
          <w:szCs w:val="32"/>
          <w:rtl/>
        </w:rPr>
        <w:t>)</w:t>
      </w:r>
      <w:r w:rsidR="000F7DC7">
        <w:rPr>
          <w:rFonts w:ascii="Traditional Arabic" w:hAnsi="Traditional Arabic" w:hint="cs"/>
          <w:noProof w:val="0"/>
          <w:rtl/>
          <w:lang w:eastAsia="en-US"/>
        </w:rPr>
        <w:t>.</w:t>
      </w:r>
    </w:p>
    <w:p w:rsidR="00065E4B" w:rsidRDefault="00BA711A" w:rsidP="00597C20">
      <w:pPr>
        <w:widowControl/>
        <w:autoSpaceDE w:val="0"/>
        <w:autoSpaceDN w:val="0"/>
        <w:adjustRightInd w:val="0"/>
        <w:ind w:firstLine="0"/>
        <w:jc w:val="left"/>
        <w:rPr>
          <w:rFonts w:ascii="Traditional Arabic" w:hAnsi="Traditional Arabic"/>
          <w:b/>
          <w:bCs/>
          <w:noProof w:val="0"/>
          <w:color w:val="auto"/>
          <w:rtl/>
          <w:lang w:eastAsia="en-US"/>
        </w:rPr>
      </w:pPr>
      <w:r>
        <w:rPr>
          <w:rFonts w:ascii="Traditional Arabic" w:hAnsi="Traditional Arabic" w:hint="cs"/>
          <w:b/>
          <w:bCs/>
          <w:noProof w:val="0"/>
          <w:color w:val="auto"/>
          <w:rtl/>
          <w:lang w:eastAsia="en-US"/>
        </w:rPr>
        <w:t xml:space="preserve">    </w:t>
      </w:r>
      <w:r w:rsidR="00065E4B">
        <w:rPr>
          <w:rFonts w:ascii="Traditional Arabic" w:hAnsi="Traditional Arabic" w:hint="cs"/>
          <w:b/>
          <w:bCs/>
          <w:noProof w:val="0"/>
          <w:color w:val="auto"/>
          <w:rtl/>
          <w:lang w:eastAsia="en-US"/>
        </w:rPr>
        <w:t>أ</w:t>
      </w:r>
      <w:r w:rsidR="000F7DC7">
        <w:rPr>
          <w:rFonts w:ascii="Traditional Arabic" w:hAnsi="Traditional Arabic" w:hint="cs"/>
          <w:b/>
          <w:bCs/>
          <w:noProof w:val="0"/>
          <w:color w:val="auto"/>
          <w:rtl/>
          <w:lang w:eastAsia="en-US"/>
        </w:rPr>
        <w:t>ما من النظر والاعتبار فيمكن أن يُستدل للقاعدة بما يلي:</w:t>
      </w:r>
    </w:p>
    <w:p w:rsidR="000F7DC7" w:rsidRPr="00493260"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ق</w:t>
      </w:r>
      <w:r w:rsidR="000F7DC7">
        <w:rPr>
          <w:rFonts w:ascii="Traditional Arabic" w:hAnsi="Traditional Arabic" w:hint="cs"/>
          <w:noProof w:val="0"/>
          <w:color w:val="auto"/>
          <w:rtl/>
          <w:lang w:eastAsia="en-US"/>
        </w:rPr>
        <w:t xml:space="preserve">ال ابن القيم </w:t>
      </w:r>
      <w:r w:rsidR="00BA711A">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BA711A">
        <w:rPr>
          <w:rFonts w:ascii="Traditional Arabic" w:hAnsi="Traditional Arabic" w:hint="cs"/>
          <w:noProof w:val="0"/>
          <w:color w:val="auto"/>
          <w:rtl/>
          <w:lang w:eastAsia="en-US"/>
        </w:rPr>
        <w:t>_</w:t>
      </w:r>
      <w:r w:rsidR="000F7DC7">
        <w:rPr>
          <w:rFonts w:ascii="Traditional Arabic" w:hAnsi="Traditional Arabic" w:hint="cs"/>
          <w:noProof w:val="0"/>
          <w:color w:val="auto"/>
          <w:rtl/>
          <w:lang w:eastAsia="en-US"/>
        </w:rPr>
        <w:t xml:space="preserve">: </w:t>
      </w:r>
      <w:r w:rsidR="00B76414">
        <w:rPr>
          <w:rFonts w:ascii="Traditional Arabic" w:hAnsi="Traditional Arabic" w:hint="cs"/>
          <w:noProof w:val="0"/>
          <w:color w:val="auto"/>
          <w:rtl/>
          <w:lang w:eastAsia="en-US"/>
        </w:rPr>
        <w:t>(</w:t>
      </w:r>
      <w:r w:rsidR="000F7DC7" w:rsidRPr="00493260">
        <w:rPr>
          <w:rFonts w:ascii="Traditional Arabic" w:hAnsi="Traditional Arabic"/>
          <w:noProof w:val="0"/>
          <w:color w:val="auto"/>
          <w:rtl/>
          <w:lang w:eastAsia="en-US"/>
        </w:rPr>
        <w:t>فاعتبار</w:t>
      </w:r>
      <w:r w:rsidR="000F7DC7" w:rsidRPr="00493260">
        <w:rPr>
          <w:rFonts w:ascii="Traditional Arabic" w:hAnsi="Traditional Arabic" w:hint="cs"/>
          <w:noProof w:val="0"/>
          <w:color w:val="auto"/>
          <w:rtl/>
          <w:lang w:eastAsia="en-US"/>
        </w:rPr>
        <w:t>ُ</w:t>
      </w:r>
      <w:r w:rsidR="000F7DC7" w:rsidRPr="00493260">
        <w:rPr>
          <w:rFonts w:ascii="Traditional Arabic" w:hAnsi="Traditional Arabic"/>
          <w:noProof w:val="0"/>
          <w:color w:val="auto"/>
          <w:rtl/>
          <w:lang w:eastAsia="en-US"/>
        </w:rPr>
        <w:t xml:space="preserve"> الق</w:t>
      </w:r>
      <w:r w:rsidR="000F7DC7" w:rsidRPr="00493260">
        <w:rPr>
          <w:rFonts w:ascii="Traditional Arabic" w:hAnsi="Traditional Arabic" w:hint="cs"/>
          <w:noProof w:val="0"/>
          <w:color w:val="auto"/>
          <w:rtl/>
          <w:lang w:eastAsia="en-US"/>
        </w:rPr>
        <w:t>ُ</w:t>
      </w:r>
      <w:r w:rsidR="000F7DC7" w:rsidRPr="00493260">
        <w:rPr>
          <w:rFonts w:ascii="Traditional Arabic" w:hAnsi="Traditional Arabic"/>
          <w:noProof w:val="0"/>
          <w:color w:val="auto"/>
          <w:rtl/>
          <w:lang w:eastAsia="en-US"/>
        </w:rPr>
        <w:t>صود في العقود أولى من اعتبار الألفاظ</w:t>
      </w:r>
      <w:r w:rsidR="000F7DC7" w:rsidRPr="00493260">
        <w:rPr>
          <w:rFonts w:ascii="Traditional Arabic" w:hAnsi="Traditional Arabic" w:hint="cs"/>
          <w:noProof w:val="0"/>
          <w:color w:val="auto"/>
          <w:rtl/>
          <w:lang w:eastAsia="en-US"/>
        </w:rPr>
        <w:t>،</w:t>
      </w:r>
      <w:r w:rsidR="000F7DC7" w:rsidRPr="00493260">
        <w:rPr>
          <w:rFonts w:ascii="Traditional Arabic" w:hAnsi="Traditional Arabic"/>
          <w:noProof w:val="0"/>
          <w:color w:val="auto"/>
          <w:rtl/>
          <w:lang w:eastAsia="en-US"/>
        </w:rPr>
        <w:t xml:space="preserve"> فإن الألفاظ مقصودة لغيرها ومقاصد العقود هي التي ت</w:t>
      </w:r>
      <w:r w:rsidR="000F7DC7" w:rsidRPr="00493260">
        <w:rPr>
          <w:rFonts w:ascii="Traditional Arabic" w:hAnsi="Traditional Arabic" w:hint="cs"/>
          <w:noProof w:val="0"/>
          <w:color w:val="auto"/>
          <w:rtl/>
          <w:lang w:eastAsia="en-US"/>
        </w:rPr>
        <w:t>ُ</w:t>
      </w:r>
      <w:r w:rsidR="000F7DC7" w:rsidRPr="00493260">
        <w:rPr>
          <w:rFonts w:ascii="Traditional Arabic" w:hAnsi="Traditional Arabic"/>
          <w:noProof w:val="0"/>
          <w:color w:val="auto"/>
          <w:rtl/>
          <w:lang w:eastAsia="en-US"/>
        </w:rPr>
        <w:t>راد لأج</w:t>
      </w:r>
      <w:r w:rsidR="000F7DC7" w:rsidRPr="00493260">
        <w:rPr>
          <w:rFonts w:ascii="Traditional Arabic" w:hAnsi="Traditional Arabic" w:hint="cs"/>
          <w:noProof w:val="0"/>
          <w:color w:val="auto"/>
          <w:rtl/>
          <w:lang w:eastAsia="en-US"/>
        </w:rPr>
        <w:t>ْ</w:t>
      </w:r>
      <w:r w:rsidR="000F7DC7" w:rsidRPr="00493260">
        <w:rPr>
          <w:rFonts w:ascii="Traditional Arabic" w:hAnsi="Traditional Arabic"/>
          <w:noProof w:val="0"/>
          <w:color w:val="auto"/>
          <w:rtl/>
          <w:lang w:eastAsia="en-US"/>
        </w:rPr>
        <w:t>لها</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 xml:space="preserve"> فإذا أ</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ل</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غ</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ي</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ت</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 xml:space="preserve"> واعت</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ب</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ر</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ت الألفاظ التي لا ت</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راد لنفسها</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 xml:space="preserve"> كان هذا إلغاء</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 xml:space="preserve"> ل</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ما يجب اعتبار</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ه</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 xml:space="preserve"> واعتبارا</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 xml:space="preserve"> ل</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ما قد ي</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س</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وغ إلغاؤه</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 xml:space="preserve"> وكيف يقد</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م اعتبار</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 xml:space="preserve"> اللفظ الذي قد ظهر كل</w:t>
      </w:r>
      <w:r w:rsidR="000F7DC7">
        <w:rPr>
          <w:rFonts w:ascii="Traditional Arabic" w:hAnsi="Traditional Arabic" w:hint="cs"/>
          <w:noProof w:val="0"/>
          <w:color w:val="auto"/>
          <w:rtl/>
          <w:lang w:eastAsia="en-US"/>
        </w:rPr>
        <w:t>َّ</w:t>
      </w:r>
      <w:r w:rsidR="000F7DC7">
        <w:rPr>
          <w:rFonts w:ascii="Traditional Arabic" w:hAnsi="Traditional Arabic"/>
          <w:noProof w:val="0"/>
          <w:color w:val="auto"/>
          <w:rtl/>
          <w:lang w:eastAsia="en-US"/>
        </w:rPr>
        <w:t xml:space="preserve"> الظ</w:t>
      </w:r>
      <w:r w:rsidR="000F7DC7">
        <w:rPr>
          <w:rFonts w:ascii="Traditional Arabic" w:hAnsi="Traditional Arabic" w:hint="cs"/>
          <w:noProof w:val="0"/>
          <w:color w:val="auto"/>
          <w:rtl/>
          <w:lang w:eastAsia="en-US"/>
        </w:rPr>
        <w:t>ُّ</w:t>
      </w:r>
      <w:r w:rsidR="000F7DC7">
        <w:rPr>
          <w:rFonts w:ascii="Traditional Arabic" w:hAnsi="Traditional Arabic"/>
          <w:noProof w:val="0"/>
          <w:color w:val="auto"/>
          <w:rtl/>
          <w:lang w:eastAsia="en-US"/>
        </w:rPr>
        <w:t xml:space="preserve">هور </w:t>
      </w:r>
      <w:r w:rsidR="000F7DC7">
        <w:rPr>
          <w:rFonts w:ascii="Traditional Arabic" w:hAnsi="Traditional Arabic" w:hint="cs"/>
          <w:noProof w:val="0"/>
          <w:color w:val="auto"/>
          <w:rtl/>
          <w:lang w:eastAsia="en-US"/>
        </w:rPr>
        <w:t>أ</w:t>
      </w:r>
      <w:r w:rsidR="000F7DC7" w:rsidRPr="00DE6481">
        <w:rPr>
          <w:rFonts w:ascii="Traditional Arabic" w:hAnsi="Traditional Arabic"/>
          <w:noProof w:val="0"/>
          <w:color w:val="auto"/>
          <w:rtl/>
          <w:lang w:eastAsia="en-US"/>
        </w:rPr>
        <w:t>ن المراد خ</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لاف</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ه</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 xml:space="preserve"> بل قد ي</w:t>
      </w:r>
      <w:r w:rsidR="000F7DC7">
        <w:rPr>
          <w:rFonts w:ascii="Traditional Arabic" w:hAnsi="Traditional Arabic" w:hint="cs"/>
          <w:noProof w:val="0"/>
          <w:color w:val="auto"/>
          <w:rtl/>
          <w:lang w:eastAsia="en-US"/>
        </w:rPr>
        <w:t>ُ</w:t>
      </w:r>
      <w:r w:rsidR="000F7DC7" w:rsidRPr="00DE6481">
        <w:rPr>
          <w:rFonts w:ascii="Traditional Arabic" w:hAnsi="Traditional Arabic"/>
          <w:noProof w:val="0"/>
          <w:color w:val="auto"/>
          <w:rtl/>
          <w:lang w:eastAsia="en-US"/>
        </w:rPr>
        <w:t>قطع بذلك على المعنى الذي قد ظهر</w:t>
      </w:r>
      <w:r w:rsidR="000F7DC7">
        <w:rPr>
          <w:rFonts w:ascii="Traditional Arabic" w:hAnsi="Traditional Arabic" w:hint="cs"/>
          <w:noProof w:val="0"/>
          <w:color w:val="auto"/>
          <w:rtl/>
          <w:lang w:eastAsia="en-US"/>
        </w:rPr>
        <w:t>،</w:t>
      </w:r>
      <w:r w:rsidR="000F7DC7">
        <w:rPr>
          <w:rFonts w:ascii="Traditional Arabic" w:hAnsi="Traditional Arabic"/>
          <w:noProof w:val="0"/>
          <w:color w:val="auto"/>
          <w:rtl/>
          <w:lang w:eastAsia="en-US"/>
        </w:rPr>
        <w:t xml:space="preserve"> بل قد ي</w:t>
      </w:r>
      <w:r w:rsidR="000F7DC7">
        <w:rPr>
          <w:rFonts w:ascii="Traditional Arabic" w:hAnsi="Traditional Arabic" w:hint="cs"/>
          <w:noProof w:val="0"/>
          <w:color w:val="auto"/>
          <w:rtl/>
          <w:lang w:eastAsia="en-US"/>
        </w:rPr>
        <w:t>ُ</w:t>
      </w:r>
      <w:r w:rsidR="000F7DC7">
        <w:rPr>
          <w:rFonts w:ascii="Traditional Arabic" w:hAnsi="Traditional Arabic"/>
          <w:noProof w:val="0"/>
          <w:color w:val="auto"/>
          <w:rtl/>
          <w:lang w:eastAsia="en-US"/>
        </w:rPr>
        <w:t>تيق</w:t>
      </w:r>
      <w:r w:rsidR="000F7DC7">
        <w:rPr>
          <w:rFonts w:ascii="Traditional Arabic" w:hAnsi="Traditional Arabic" w:hint="cs"/>
          <w:noProof w:val="0"/>
          <w:color w:val="auto"/>
          <w:rtl/>
          <w:lang w:eastAsia="en-US"/>
        </w:rPr>
        <w:t>َّ</w:t>
      </w:r>
      <w:r w:rsidR="000F7DC7">
        <w:rPr>
          <w:rFonts w:ascii="Traditional Arabic" w:hAnsi="Traditional Arabic"/>
          <w:noProof w:val="0"/>
          <w:color w:val="auto"/>
          <w:rtl/>
          <w:lang w:eastAsia="en-US"/>
        </w:rPr>
        <w:t xml:space="preserve">ن </w:t>
      </w:r>
      <w:r w:rsidR="000F7DC7">
        <w:rPr>
          <w:rFonts w:ascii="Traditional Arabic" w:hAnsi="Traditional Arabic" w:hint="cs"/>
          <w:noProof w:val="0"/>
          <w:color w:val="auto"/>
          <w:rtl/>
          <w:lang w:eastAsia="en-US"/>
        </w:rPr>
        <w:t>أ</w:t>
      </w:r>
      <w:r w:rsidR="000F7DC7" w:rsidRPr="00DE6481">
        <w:rPr>
          <w:rFonts w:ascii="Traditional Arabic" w:hAnsi="Traditional Arabic"/>
          <w:noProof w:val="0"/>
          <w:color w:val="auto"/>
          <w:rtl/>
          <w:lang w:eastAsia="en-US"/>
        </w:rPr>
        <w:t>نه المراد</w:t>
      </w:r>
      <w:r w:rsidR="00B76414">
        <w:rPr>
          <w:rFonts w:ascii="Traditional Arabic" w:hAnsi="Traditional Arabic" w:hint="cs"/>
          <w:noProof w:val="0"/>
          <w:color w:val="auto"/>
          <w:rtl/>
          <w:lang w:eastAsia="en-US"/>
        </w:rPr>
        <w:t>)</w:t>
      </w:r>
      <w:r w:rsidR="000F7DC7" w:rsidRPr="00C821A1">
        <w:rPr>
          <w:rStyle w:val="af1"/>
          <w:szCs w:val="32"/>
          <w:rtl/>
        </w:rPr>
        <w:t>(</w:t>
      </w:r>
      <w:r w:rsidR="000F7DC7" w:rsidRPr="00C821A1">
        <w:rPr>
          <w:rStyle w:val="af1"/>
          <w:szCs w:val="32"/>
          <w:rtl/>
        </w:rPr>
        <w:footnoteReference w:id="764"/>
      </w:r>
      <w:r w:rsidR="000F7DC7" w:rsidRPr="00C821A1">
        <w:rPr>
          <w:rStyle w:val="af1"/>
          <w:szCs w:val="32"/>
          <w:rtl/>
        </w:rPr>
        <w:t>)</w:t>
      </w:r>
      <w:r w:rsidR="000F7DC7">
        <w:rPr>
          <w:rFonts w:ascii="Traditional Arabic" w:hAnsi="Traditional Arabic" w:hint="cs"/>
          <w:noProof w:val="0"/>
          <w:color w:val="auto"/>
          <w:rtl/>
          <w:lang w:eastAsia="en-US"/>
        </w:rPr>
        <w:t>.</w:t>
      </w:r>
    </w:p>
    <w:p w:rsidR="000F7DC7" w:rsidRPr="001646A1" w:rsidRDefault="000A01DD" w:rsidP="00A8347C">
      <w:pPr>
        <w:pStyle w:val="aff3"/>
        <w:rPr>
          <w:rtl/>
        </w:rPr>
      </w:pPr>
      <w:bookmarkStart w:id="148" w:name="_Toc334046392"/>
      <w:r>
        <w:rPr>
          <w:rFonts w:hint="cs"/>
          <w:rtl/>
        </w:rPr>
        <w:t xml:space="preserve">                                           </w:t>
      </w:r>
      <w:r w:rsidR="000F7DC7" w:rsidRPr="001646A1">
        <w:rPr>
          <w:rFonts w:hint="cs"/>
          <w:rtl/>
        </w:rPr>
        <w:t>المطلب الرابع</w:t>
      </w:r>
      <w:r w:rsidR="001646A1">
        <w:rPr>
          <w:rFonts w:hint="eastAsia"/>
          <w:rtl/>
        </w:rPr>
        <w:t> :</w:t>
      </w:r>
      <w:r w:rsidR="001646A1">
        <w:rPr>
          <w:rFonts w:hint="cs"/>
          <w:rtl/>
        </w:rPr>
        <w:br/>
      </w:r>
      <w:r>
        <w:rPr>
          <w:rFonts w:hint="cs"/>
          <w:rtl/>
        </w:rPr>
        <w:t xml:space="preserve">                                          </w:t>
      </w:r>
      <w:r w:rsidR="000F7DC7" w:rsidRPr="001646A1">
        <w:rPr>
          <w:rFonts w:hint="cs"/>
          <w:rtl/>
        </w:rPr>
        <w:t>تطبيقات القاعدة</w:t>
      </w:r>
      <w:bookmarkEnd w:id="148"/>
    </w:p>
    <w:p w:rsidR="000F7DC7" w:rsidRPr="00A96788" w:rsidRDefault="000F7DC7" w:rsidP="000A76C7">
      <w:pPr>
        <w:pStyle w:val="afc"/>
        <w:widowControl/>
        <w:numPr>
          <w:ilvl w:val="0"/>
          <w:numId w:val="116"/>
        </w:numPr>
        <w:autoSpaceDE w:val="0"/>
        <w:autoSpaceDN w:val="0"/>
        <w:adjustRightInd w:val="0"/>
        <w:rPr>
          <w:rFonts w:ascii="Traditional Arabic" w:hAnsi="Traditional Arabic"/>
          <w:noProof w:val="0"/>
          <w:color w:val="auto"/>
          <w:rtl/>
          <w:lang w:eastAsia="en-US"/>
        </w:rPr>
      </w:pPr>
      <w:r>
        <w:rPr>
          <w:rFonts w:ascii="Traditional Arabic" w:hAnsi="Traditional Arabic"/>
          <w:noProof w:val="0"/>
          <w:rtl/>
          <w:lang w:eastAsia="en-US"/>
        </w:rPr>
        <w:t>إذا اختلف</w:t>
      </w:r>
      <w:r>
        <w:rPr>
          <w:rFonts w:ascii="Traditional Arabic" w:hAnsi="Traditional Arabic" w:hint="cs"/>
          <w:noProof w:val="0"/>
          <w:rtl/>
          <w:lang w:eastAsia="en-US"/>
        </w:rPr>
        <w:t xml:space="preserve"> المتبايِعان</w:t>
      </w:r>
      <w:r>
        <w:rPr>
          <w:rFonts w:ascii="Traditional Arabic" w:hAnsi="Traditional Arabic"/>
          <w:noProof w:val="0"/>
          <w:rtl/>
          <w:lang w:eastAsia="en-US"/>
        </w:rPr>
        <w:t xml:space="preserve"> في ق</w:t>
      </w:r>
      <w:r>
        <w:rPr>
          <w:rFonts w:ascii="Traditional Arabic" w:hAnsi="Traditional Arabic" w:hint="cs"/>
          <w:noProof w:val="0"/>
          <w:rtl/>
          <w:lang w:eastAsia="en-US"/>
        </w:rPr>
        <w:t>َ</w:t>
      </w:r>
      <w:r>
        <w:rPr>
          <w:rFonts w:ascii="Traditional Arabic" w:hAnsi="Traditional Arabic"/>
          <w:noProof w:val="0"/>
          <w:rtl/>
          <w:lang w:eastAsia="en-US"/>
        </w:rPr>
        <w:t>د</w:t>
      </w:r>
      <w:r>
        <w:rPr>
          <w:rFonts w:ascii="Traditional Arabic" w:hAnsi="Traditional Arabic" w:hint="cs"/>
          <w:noProof w:val="0"/>
          <w:rtl/>
          <w:lang w:eastAsia="en-US"/>
        </w:rPr>
        <w:t>ْ</w:t>
      </w:r>
      <w:r>
        <w:rPr>
          <w:rFonts w:ascii="Traditional Arabic" w:hAnsi="Traditional Arabic"/>
          <w:noProof w:val="0"/>
          <w:rtl/>
          <w:lang w:eastAsia="en-US"/>
        </w:rPr>
        <w:t>ر</w:t>
      </w:r>
      <w:r>
        <w:rPr>
          <w:rFonts w:ascii="Traditional Arabic" w:hAnsi="Traditional Arabic" w:hint="cs"/>
          <w:noProof w:val="0"/>
          <w:rtl/>
          <w:lang w:eastAsia="en-US"/>
        </w:rPr>
        <w:t>ِ</w:t>
      </w:r>
      <w:r>
        <w:rPr>
          <w:rFonts w:ascii="Traditional Arabic" w:hAnsi="Traditional Arabic"/>
          <w:noProof w:val="0"/>
          <w:rtl/>
          <w:lang w:eastAsia="en-US"/>
        </w:rPr>
        <w:t xml:space="preserve"> الثمن</w:t>
      </w:r>
      <w:r>
        <w:rPr>
          <w:rFonts w:ascii="Traditional Arabic" w:hAnsi="Traditional Arabic" w:hint="cs"/>
          <w:noProof w:val="0"/>
          <w:rtl/>
          <w:lang w:eastAsia="en-US"/>
        </w:rPr>
        <w:t xml:space="preserve">، </w:t>
      </w:r>
      <w:r w:rsidRPr="00836E38">
        <w:rPr>
          <w:rFonts w:ascii="Traditional Arabic" w:hAnsi="Traditional Arabic"/>
          <w:noProof w:val="0"/>
          <w:rtl/>
          <w:lang w:eastAsia="en-US"/>
        </w:rPr>
        <w:t>بأن قال البائع: ب</w:t>
      </w:r>
      <w:r>
        <w:rPr>
          <w:rFonts w:ascii="Traditional Arabic" w:hAnsi="Traditional Arabic" w:hint="cs"/>
          <w:noProof w:val="0"/>
          <w:rtl/>
          <w:lang w:eastAsia="en-US"/>
        </w:rPr>
        <w:t>ِ</w:t>
      </w:r>
      <w:r w:rsidRPr="00836E38">
        <w:rPr>
          <w:rFonts w:ascii="Traditional Arabic" w:hAnsi="Traditional Arabic"/>
          <w:noProof w:val="0"/>
          <w:rtl/>
          <w:lang w:eastAsia="en-US"/>
        </w:rPr>
        <w:t>عت</w:t>
      </w:r>
      <w:r>
        <w:rPr>
          <w:rFonts w:ascii="Traditional Arabic" w:hAnsi="Traditional Arabic" w:hint="cs"/>
          <w:noProof w:val="0"/>
          <w:rtl/>
          <w:lang w:eastAsia="en-US"/>
        </w:rPr>
        <w:t>ُ</w:t>
      </w:r>
      <w:r w:rsidRPr="00836E38">
        <w:rPr>
          <w:rFonts w:ascii="Traditional Arabic" w:hAnsi="Traditional Arabic"/>
          <w:noProof w:val="0"/>
          <w:rtl/>
          <w:lang w:eastAsia="en-US"/>
        </w:rPr>
        <w:t>ه بعشرة، وقال المشتري: اشتريت</w:t>
      </w:r>
      <w:r>
        <w:rPr>
          <w:rFonts w:ascii="Traditional Arabic" w:hAnsi="Traditional Arabic" w:hint="cs"/>
          <w:noProof w:val="0"/>
          <w:rtl/>
          <w:lang w:eastAsia="en-US"/>
        </w:rPr>
        <w:t>ُ</w:t>
      </w:r>
      <w:r w:rsidRPr="00836E38">
        <w:rPr>
          <w:rFonts w:ascii="Traditional Arabic" w:hAnsi="Traditional Arabic"/>
          <w:noProof w:val="0"/>
          <w:rtl/>
          <w:lang w:eastAsia="en-US"/>
        </w:rPr>
        <w:t>ه بثمانية، ولم توجد بي</w:t>
      </w:r>
      <w:r>
        <w:rPr>
          <w:rFonts w:ascii="Traditional Arabic" w:hAnsi="Traditional Arabic" w:hint="cs"/>
          <w:noProof w:val="0"/>
          <w:rtl/>
          <w:lang w:eastAsia="en-US"/>
        </w:rPr>
        <w:t>ِّ</w:t>
      </w:r>
      <w:r w:rsidRPr="00836E38">
        <w:rPr>
          <w:rFonts w:ascii="Traditional Arabic" w:hAnsi="Traditional Arabic"/>
          <w:noProof w:val="0"/>
          <w:rtl/>
          <w:lang w:eastAsia="en-US"/>
        </w:rPr>
        <w:t>نة</w:t>
      </w:r>
      <w:r>
        <w:rPr>
          <w:rFonts w:ascii="Traditional Arabic" w:hAnsi="Traditional Arabic" w:hint="cs"/>
          <w:noProof w:val="0"/>
          <w:rtl/>
          <w:lang w:eastAsia="en-US"/>
        </w:rPr>
        <w:t>ٌ</w:t>
      </w:r>
      <w:r w:rsidR="00635805">
        <w:rPr>
          <w:rFonts w:ascii="Traditional Arabic" w:hAnsi="Traditional Arabic" w:hint="cs"/>
          <w:noProof w:val="0"/>
          <w:rtl/>
          <w:lang w:eastAsia="en-US"/>
        </w:rPr>
        <w:t xml:space="preserve"> </w:t>
      </w:r>
      <w:r w:rsidRPr="00836E38">
        <w:rPr>
          <w:rFonts w:ascii="Traditional Arabic" w:hAnsi="Traditional Arabic"/>
          <w:noProof w:val="0"/>
          <w:rtl/>
          <w:lang w:eastAsia="en-US"/>
        </w:rPr>
        <w:t>أو قرينة</w:t>
      </w:r>
      <w:r>
        <w:rPr>
          <w:rFonts w:ascii="Traditional Arabic" w:hAnsi="Traditional Arabic" w:hint="cs"/>
          <w:noProof w:val="0"/>
          <w:rtl/>
          <w:lang w:eastAsia="en-US"/>
        </w:rPr>
        <w:t>ٌ</w:t>
      </w:r>
      <w:r w:rsidRPr="00836E38">
        <w:rPr>
          <w:rFonts w:ascii="Traditional Arabic" w:hAnsi="Traditional Arabic"/>
          <w:noProof w:val="0"/>
          <w:rtl/>
          <w:lang w:eastAsia="en-US"/>
        </w:rPr>
        <w:t xml:space="preserve"> تكذ</w:t>
      </w:r>
      <w:r>
        <w:rPr>
          <w:rFonts w:ascii="Traditional Arabic" w:hAnsi="Traditional Arabic" w:hint="cs"/>
          <w:noProof w:val="0"/>
          <w:rtl/>
          <w:lang w:eastAsia="en-US"/>
        </w:rPr>
        <w:t>ِّ</w:t>
      </w:r>
      <w:r w:rsidRPr="00836E38">
        <w:rPr>
          <w:rFonts w:ascii="Traditional Arabic" w:hAnsi="Traditional Arabic"/>
          <w:noProof w:val="0"/>
          <w:rtl/>
          <w:lang w:eastAsia="en-US"/>
        </w:rPr>
        <w:t>ب قول</w:t>
      </w:r>
      <w:r>
        <w:rPr>
          <w:rFonts w:ascii="Traditional Arabic" w:hAnsi="Traditional Arabic" w:hint="cs"/>
          <w:noProof w:val="0"/>
          <w:rtl/>
          <w:lang w:eastAsia="en-US"/>
        </w:rPr>
        <w:t>َ</w:t>
      </w:r>
      <w:r w:rsidRPr="00836E38">
        <w:rPr>
          <w:rFonts w:ascii="Traditional Arabic" w:hAnsi="Traditional Arabic"/>
          <w:noProof w:val="0"/>
          <w:rtl/>
          <w:lang w:eastAsia="en-US"/>
        </w:rPr>
        <w:t xml:space="preserve"> أحدهما</w:t>
      </w:r>
      <w:r>
        <w:rPr>
          <w:rFonts w:ascii="Traditional Arabic" w:hAnsi="Traditional Arabic" w:hint="cs"/>
          <w:noProof w:val="0"/>
          <w:color w:val="auto"/>
          <w:rtl/>
          <w:lang w:eastAsia="en-US"/>
        </w:rPr>
        <w:t>،</w:t>
      </w:r>
      <w:r w:rsidR="00635805">
        <w:rPr>
          <w:rFonts w:ascii="Traditional Arabic" w:hAnsi="Traditional Arabic" w:hint="cs"/>
          <w:noProof w:val="0"/>
          <w:color w:val="auto"/>
          <w:rtl/>
          <w:lang w:eastAsia="en-US"/>
        </w:rPr>
        <w:t xml:space="preserve"> </w:t>
      </w:r>
      <w:r>
        <w:rPr>
          <w:rFonts w:ascii="Traditional Arabic" w:hAnsi="Traditional Arabic" w:hint="cs"/>
          <w:noProof w:val="0"/>
          <w:rtl/>
          <w:lang w:eastAsia="en-US"/>
        </w:rPr>
        <w:t>ف</w:t>
      </w:r>
      <w:r w:rsidRPr="00A96788">
        <w:rPr>
          <w:rFonts w:ascii="Traditional Arabic" w:hAnsi="Traditional Arabic" w:hint="cs"/>
          <w:noProof w:val="0"/>
          <w:rtl/>
          <w:lang w:eastAsia="en-US"/>
        </w:rPr>
        <w:t xml:space="preserve">على القول بأنهما </w:t>
      </w:r>
      <w:r w:rsidRPr="00A96788">
        <w:rPr>
          <w:rFonts w:ascii="Traditional Arabic" w:hAnsi="Traditional Arabic" w:hint="cs"/>
          <w:noProof w:val="0"/>
          <w:rtl/>
          <w:lang w:eastAsia="en-US"/>
        </w:rPr>
        <w:lastRenderedPageBreak/>
        <w:t>يَ</w:t>
      </w:r>
      <w:r w:rsidRPr="00A96788">
        <w:rPr>
          <w:rFonts w:ascii="Traditional Arabic" w:hAnsi="Traditional Arabic"/>
          <w:noProof w:val="0"/>
          <w:rtl/>
          <w:lang w:eastAsia="en-US"/>
        </w:rPr>
        <w:t>تحال</w:t>
      </w:r>
      <w:r w:rsidRPr="00A96788">
        <w:rPr>
          <w:rFonts w:ascii="Traditional Arabic" w:hAnsi="Traditional Arabic" w:hint="cs"/>
          <w:noProof w:val="0"/>
          <w:rtl/>
          <w:lang w:eastAsia="en-US"/>
        </w:rPr>
        <w:t>َ</w:t>
      </w:r>
      <w:r w:rsidRPr="00A96788">
        <w:rPr>
          <w:rFonts w:ascii="Traditional Arabic" w:hAnsi="Traditional Arabic"/>
          <w:noProof w:val="0"/>
          <w:rtl/>
          <w:lang w:eastAsia="en-US"/>
        </w:rPr>
        <w:t>فا</w:t>
      </w:r>
      <w:r w:rsidRPr="00A96788">
        <w:rPr>
          <w:rFonts w:ascii="Traditional Arabic" w:hAnsi="Traditional Arabic" w:hint="cs"/>
          <w:noProof w:val="0"/>
          <w:rtl/>
          <w:lang w:eastAsia="en-US"/>
        </w:rPr>
        <w:t>ن</w:t>
      </w:r>
      <w:r w:rsidRPr="00C821A1">
        <w:rPr>
          <w:rStyle w:val="af1"/>
          <w:szCs w:val="32"/>
          <w:rtl/>
        </w:rPr>
        <w:t>(</w:t>
      </w:r>
      <w:r w:rsidRPr="00C821A1">
        <w:rPr>
          <w:rStyle w:val="af1"/>
          <w:szCs w:val="32"/>
          <w:rtl/>
        </w:rPr>
        <w:footnoteReference w:id="765"/>
      </w:r>
      <w:r w:rsidRPr="00C821A1">
        <w:rPr>
          <w:rStyle w:val="af1"/>
          <w:szCs w:val="32"/>
          <w:rtl/>
        </w:rPr>
        <w:t>)</w:t>
      </w:r>
      <w:r w:rsidRPr="00A96788">
        <w:rPr>
          <w:rFonts w:ascii="Traditional Arabic" w:hAnsi="Traditional Arabic" w:hint="cs"/>
          <w:noProof w:val="0"/>
          <w:rtl/>
          <w:lang w:eastAsia="en-US"/>
        </w:rPr>
        <w:t xml:space="preserve">، فإنه </w:t>
      </w:r>
      <w:r w:rsidRPr="00A96788">
        <w:rPr>
          <w:rFonts w:ascii="Traditional Arabic" w:hAnsi="Traditional Arabic" w:hint="cs"/>
          <w:noProof w:val="0"/>
          <w:color w:val="auto"/>
          <w:rtl/>
          <w:lang w:eastAsia="en-US"/>
        </w:rPr>
        <w:t>لا يُشترَط تقدُّم الحَلِف من البائع،</w:t>
      </w:r>
      <w:r w:rsidR="00635805">
        <w:rPr>
          <w:rFonts w:ascii="Traditional Arabic" w:hAnsi="Traditional Arabic" w:hint="cs"/>
          <w:noProof w:val="0"/>
          <w:color w:val="auto"/>
          <w:rtl/>
          <w:lang w:eastAsia="en-US"/>
        </w:rPr>
        <w:t xml:space="preserve"> </w:t>
      </w:r>
      <w:r w:rsidRPr="00A96788">
        <w:rPr>
          <w:rFonts w:ascii="Traditional Arabic" w:hAnsi="Traditional Arabic" w:hint="cs"/>
          <w:noProof w:val="0"/>
          <w:color w:val="auto"/>
          <w:rtl/>
          <w:lang w:eastAsia="en-US"/>
        </w:rPr>
        <w:t>ولا أن يُجْمَع في الحلف بين النفي والإثبات، كما أنه لا يُشترَط تقدُّم النفي على الإثبات فيما لو قيل بوجوب الجمع بينهما</w:t>
      </w:r>
      <w:r w:rsidRPr="00C821A1">
        <w:rPr>
          <w:rStyle w:val="af1"/>
          <w:szCs w:val="32"/>
          <w:rtl/>
        </w:rPr>
        <w:t>(</w:t>
      </w:r>
      <w:r w:rsidRPr="00C821A1">
        <w:rPr>
          <w:rStyle w:val="af1"/>
          <w:szCs w:val="32"/>
          <w:rtl/>
        </w:rPr>
        <w:footnoteReference w:id="766"/>
      </w:r>
      <w:r w:rsidRPr="00C821A1">
        <w:rPr>
          <w:rStyle w:val="af1"/>
          <w:szCs w:val="32"/>
          <w:rtl/>
        </w:rPr>
        <w:t>)</w:t>
      </w:r>
      <w:r w:rsidRPr="00A96788">
        <w:rPr>
          <w:rFonts w:ascii="Traditional Arabic" w:hAnsi="Traditional Arabic" w:hint="cs"/>
          <w:noProof w:val="0"/>
          <w:color w:val="auto"/>
          <w:rtl/>
          <w:lang w:eastAsia="en-US"/>
        </w:rPr>
        <w:t>.</w:t>
      </w:r>
    </w:p>
    <w:p w:rsidR="00065E4B" w:rsidRDefault="000F7DC7" w:rsidP="00597C20">
      <w:pPr>
        <w:pStyle w:val="53"/>
        <w:rPr>
          <w:rtl/>
        </w:rPr>
      </w:pPr>
      <w:r>
        <w:rPr>
          <w:rFonts w:hint="cs"/>
          <w:rtl/>
        </w:rPr>
        <w:t>وجه اندراج الفرع تحت القاعدة:</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sidRPr="00956CAA">
        <w:rPr>
          <w:rFonts w:ascii="Traditional Arabic" w:hAnsi="Traditional Arabic"/>
          <w:noProof w:val="0"/>
          <w:rtl/>
          <w:lang w:eastAsia="en-US"/>
        </w:rPr>
        <w:t>ل</w:t>
      </w:r>
      <w:r w:rsidR="000F7DC7" w:rsidRPr="00956CAA">
        <w:rPr>
          <w:rFonts w:ascii="Traditional Arabic" w:hAnsi="Traditional Arabic"/>
          <w:noProof w:val="0"/>
          <w:rtl/>
          <w:lang w:eastAsia="en-US"/>
        </w:rPr>
        <w:t>ا ي</w:t>
      </w:r>
      <w:r w:rsidR="000F7DC7">
        <w:rPr>
          <w:rFonts w:ascii="Traditional Arabic" w:hAnsi="Traditional Arabic" w:hint="cs"/>
          <w:noProof w:val="0"/>
          <w:rtl/>
          <w:lang w:eastAsia="en-US"/>
        </w:rPr>
        <w:t>ُ</w:t>
      </w:r>
      <w:r w:rsidR="000F7DC7" w:rsidRPr="00956CAA">
        <w:rPr>
          <w:rFonts w:ascii="Traditional Arabic" w:hAnsi="Traditional Arabic"/>
          <w:noProof w:val="0"/>
          <w:rtl/>
          <w:lang w:eastAsia="en-US"/>
        </w:rPr>
        <w:t>حتاج</w:t>
      </w:r>
      <w:r w:rsidR="000F7DC7">
        <w:rPr>
          <w:rFonts w:ascii="Traditional Arabic" w:hAnsi="Traditional Arabic"/>
          <w:noProof w:val="0"/>
          <w:rtl/>
          <w:lang w:eastAsia="en-US"/>
        </w:rPr>
        <w:t xml:space="preserve"> إلى الجمع بين النفي والإثبات</w:t>
      </w:r>
      <w:r w:rsidR="000F7DC7">
        <w:rPr>
          <w:rFonts w:ascii="Traditional Arabic" w:hAnsi="Traditional Arabic" w:hint="cs"/>
          <w:noProof w:val="0"/>
          <w:rtl/>
          <w:lang w:eastAsia="en-US"/>
        </w:rPr>
        <w:t xml:space="preserve"> في الحَلِف؛ </w:t>
      </w:r>
      <w:r w:rsidR="000F7DC7" w:rsidRPr="006944BC">
        <w:rPr>
          <w:rFonts w:ascii="Traditional Arabic" w:hAnsi="Traditional Arabic" w:hint="cs"/>
          <w:noProof w:val="0"/>
          <w:rtl/>
          <w:lang w:eastAsia="en-US"/>
        </w:rPr>
        <w:t xml:space="preserve">لأن </w:t>
      </w:r>
      <w:r w:rsidR="000F7DC7" w:rsidRPr="006944BC">
        <w:rPr>
          <w:rFonts w:ascii="Traditional Arabic" w:hAnsi="Traditional Arabic"/>
          <w:noProof w:val="0"/>
          <w:rtl/>
          <w:lang w:eastAsia="en-US"/>
        </w:rPr>
        <w:t>مقصود</w:t>
      </w:r>
      <w:r w:rsidR="006944BC">
        <w:rPr>
          <w:rFonts w:ascii="Traditional Arabic" w:hAnsi="Traditional Arabic" w:hint="cs"/>
          <w:noProof w:val="0"/>
          <w:rtl/>
          <w:lang w:eastAsia="en-US"/>
        </w:rPr>
        <w:t xml:space="preserve"> المتحالِفَين</w:t>
      </w:r>
      <w:r w:rsidR="000F7DC7" w:rsidRPr="006944BC">
        <w:rPr>
          <w:rFonts w:ascii="Traditional Arabic" w:hAnsi="Traditional Arabic"/>
          <w:noProof w:val="0"/>
          <w:rtl/>
          <w:lang w:eastAsia="en-US"/>
        </w:rPr>
        <w:t xml:space="preserve"> نفي</w:t>
      </w:r>
      <w:r w:rsidR="000F7DC7" w:rsidRPr="006944BC">
        <w:rPr>
          <w:rFonts w:ascii="Traditional Arabic" w:hAnsi="Traditional Arabic" w:hint="cs"/>
          <w:noProof w:val="0"/>
          <w:rtl/>
          <w:lang w:eastAsia="en-US"/>
        </w:rPr>
        <w:t>ُ</w:t>
      </w:r>
      <w:r w:rsidR="000F7DC7" w:rsidRPr="006944BC">
        <w:rPr>
          <w:rFonts w:ascii="Traditional Arabic" w:hAnsi="Traditional Arabic"/>
          <w:noProof w:val="0"/>
          <w:rtl/>
          <w:lang w:eastAsia="en-US"/>
        </w:rPr>
        <w:t xml:space="preserve"> ما اد</w:t>
      </w:r>
      <w:r w:rsidR="000F7DC7" w:rsidRPr="006944BC">
        <w:rPr>
          <w:rFonts w:ascii="Traditional Arabic" w:hAnsi="Traditional Arabic" w:hint="cs"/>
          <w:noProof w:val="0"/>
          <w:rtl/>
          <w:lang w:eastAsia="en-US"/>
        </w:rPr>
        <w:t>َّ</w:t>
      </w:r>
      <w:r w:rsidR="000F7DC7" w:rsidRPr="006944BC">
        <w:rPr>
          <w:rFonts w:ascii="Traditional Arabic" w:hAnsi="Traditional Arabic"/>
          <w:noProof w:val="0"/>
          <w:rtl/>
          <w:lang w:eastAsia="en-US"/>
        </w:rPr>
        <w:t>عاه صاحب</w:t>
      </w:r>
      <w:r w:rsidR="000F7DC7" w:rsidRPr="006944BC">
        <w:rPr>
          <w:rFonts w:ascii="Traditional Arabic" w:hAnsi="Traditional Arabic" w:hint="cs"/>
          <w:noProof w:val="0"/>
          <w:rtl/>
          <w:lang w:eastAsia="en-US"/>
        </w:rPr>
        <w:t>ُ</w:t>
      </w:r>
      <w:r w:rsidR="000F7DC7" w:rsidRPr="006944BC">
        <w:rPr>
          <w:rFonts w:ascii="Traditional Arabic" w:hAnsi="Traditional Arabic"/>
          <w:noProof w:val="0"/>
          <w:rtl/>
          <w:lang w:eastAsia="en-US"/>
        </w:rPr>
        <w:t>ه فقط، أو إثبات ما اد</w:t>
      </w:r>
      <w:r w:rsidR="000F7DC7" w:rsidRPr="006944BC">
        <w:rPr>
          <w:rFonts w:ascii="Traditional Arabic" w:hAnsi="Traditional Arabic" w:hint="cs"/>
          <w:noProof w:val="0"/>
          <w:rtl/>
          <w:lang w:eastAsia="en-US"/>
        </w:rPr>
        <w:t>َّ</w:t>
      </w:r>
      <w:r w:rsidR="000F7DC7" w:rsidRPr="006944BC">
        <w:rPr>
          <w:rFonts w:ascii="Traditional Arabic" w:hAnsi="Traditional Arabic"/>
          <w:noProof w:val="0"/>
          <w:rtl/>
          <w:lang w:eastAsia="en-US"/>
        </w:rPr>
        <w:t>عاه هو، وهذا يحص</w:t>
      </w:r>
      <w:r w:rsidR="000F7DC7" w:rsidRPr="006944BC">
        <w:rPr>
          <w:rFonts w:ascii="Traditional Arabic" w:hAnsi="Traditional Arabic" w:hint="cs"/>
          <w:noProof w:val="0"/>
          <w:rtl/>
          <w:lang w:eastAsia="en-US"/>
        </w:rPr>
        <w:t>ُ</w:t>
      </w:r>
      <w:r w:rsidR="000F7DC7" w:rsidRPr="006944BC">
        <w:rPr>
          <w:rFonts w:ascii="Traditional Arabic" w:hAnsi="Traditional Arabic"/>
          <w:noProof w:val="0"/>
          <w:rtl/>
          <w:lang w:eastAsia="en-US"/>
        </w:rPr>
        <w:t>ل بإفراد النفي أو إفراد الإثبات</w:t>
      </w:r>
      <w:r w:rsidR="000F7DC7" w:rsidRPr="006944BC">
        <w:rPr>
          <w:rFonts w:ascii="Traditional Arabic" w:hAnsi="Traditional Arabic" w:hint="cs"/>
          <w:noProof w:val="0"/>
          <w:rtl/>
          <w:lang w:eastAsia="en-US"/>
        </w:rPr>
        <w:t>؛</w:t>
      </w:r>
      <w:r w:rsidR="006944BC">
        <w:rPr>
          <w:rFonts w:ascii="Traditional Arabic" w:hAnsi="Traditional Arabic" w:hint="cs"/>
          <w:noProof w:val="0"/>
          <w:rtl/>
          <w:lang w:eastAsia="en-US"/>
        </w:rPr>
        <w:t xml:space="preserve"> </w:t>
      </w:r>
      <w:r w:rsidR="000F7DC7" w:rsidRPr="006944BC">
        <w:rPr>
          <w:rFonts w:ascii="Traditional Arabic" w:hAnsi="Traditional Arabic" w:hint="cs"/>
          <w:noProof w:val="0"/>
          <w:rtl/>
          <w:lang w:eastAsia="en-US"/>
        </w:rPr>
        <w:t>و</w:t>
      </w:r>
      <w:r w:rsidR="000F7DC7" w:rsidRPr="006944BC">
        <w:rPr>
          <w:rFonts w:ascii="Traditional Arabic" w:hAnsi="Traditional Arabic"/>
          <w:noProof w:val="0"/>
          <w:rtl/>
          <w:lang w:eastAsia="en-US"/>
        </w:rPr>
        <w:t>لأن المقصود من الألفاظ هو المعاني،</w:t>
      </w:r>
      <w:r w:rsidR="000F7DC7" w:rsidRPr="00956CAA">
        <w:rPr>
          <w:rFonts w:ascii="Traditional Arabic" w:hAnsi="Traditional Arabic"/>
          <w:noProof w:val="0"/>
          <w:rtl/>
          <w:lang w:eastAsia="en-US"/>
        </w:rPr>
        <w:t xml:space="preserve"> فإذا ظهر المعنى اكتفينا به بأي</w:t>
      </w:r>
      <w:r w:rsidR="000F7DC7">
        <w:rPr>
          <w:rFonts w:ascii="Traditional Arabic" w:hAnsi="Traditional Arabic" w:hint="cs"/>
          <w:noProof w:val="0"/>
          <w:rtl/>
          <w:lang w:eastAsia="en-US"/>
        </w:rPr>
        <w:t>ِّ</w:t>
      </w:r>
      <w:r w:rsidR="000F7DC7" w:rsidRPr="00956CAA">
        <w:rPr>
          <w:rFonts w:ascii="Traditional Arabic" w:hAnsi="Traditional Arabic"/>
          <w:noProof w:val="0"/>
          <w:rtl/>
          <w:lang w:eastAsia="en-US"/>
        </w:rPr>
        <w:t xml:space="preserve"> صيغة</w:t>
      </w:r>
      <w:r w:rsidR="000F7DC7">
        <w:rPr>
          <w:rFonts w:ascii="Traditional Arabic" w:hAnsi="Traditional Arabic" w:hint="cs"/>
          <w:noProof w:val="0"/>
          <w:rtl/>
          <w:lang w:eastAsia="en-US"/>
        </w:rPr>
        <w:t>ٍ</w:t>
      </w:r>
      <w:r w:rsidR="00651435">
        <w:rPr>
          <w:rFonts w:ascii="Traditional Arabic" w:hAnsi="Traditional Arabic" w:hint="cs"/>
          <w:noProof w:val="0"/>
          <w:rtl/>
          <w:lang w:eastAsia="en-US"/>
        </w:rPr>
        <w:t xml:space="preserve"> </w:t>
      </w:r>
      <w:r w:rsidR="006944BC">
        <w:rPr>
          <w:rFonts w:ascii="Traditional Arabic" w:hAnsi="Traditional Arabic"/>
          <w:noProof w:val="0"/>
          <w:rtl/>
          <w:lang w:eastAsia="en-US"/>
        </w:rPr>
        <w:t>كان</w:t>
      </w:r>
      <w:r w:rsidR="000F7DC7">
        <w:rPr>
          <w:rFonts w:ascii="Traditional Arabic" w:hAnsi="Traditional Arabic" w:hint="cs"/>
          <w:noProof w:val="0"/>
          <w:rtl/>
          <w:lang w:eastAsia="en-US"/>
        </w:rPr>
        <w:t>.</w:t>
      </w:r>
    </w:p>
    <w:p w:rsidR="00065E4B" w:rsidRPr="00956CAA" w:rsidRDefault="00065E4B" w:rsidP="00597C20">
      <w:pPr>
        <w:widowControl/>
        <w:autoSpaceDE w:val="0"/>
        <w:autoSpaceDN w:val="0"/>
        <w:adjustRightInd w:val="0"/>
        <w:ind w:firstLine="720"/>
        <w:rPr>
          <w:rFonts w:ascii="Traditional Arabic" w:hAnsi="Traditional Arabic"/>
          <w:noProof w:val="0"/>
          <w:rtl/>
          <w:lang w:eastAsia="en-US"/>
        </w:rPr>
      </w:pPr>
      <w:r w:rsidRPr="00956CAA">
        <w:rPr>
          <w:rFonts w:ascii="Traditional Arabic" w:hAnsi="Traditional Arabic"/>
          <w:noProof w:val="0"/>
          <w:rtl/>
          <w:lang w:eastAsia="en-US"/>
        </w:rPr>
        <w:t>و</w:t>
      </w:r>
      <w:r w:rsidR="000F7DC7" w:rsidRPr="00956CAA">
        <w:rPr>
          <w:rFonts w:ascii="Traditional Arabic" w:hAnsi="Traditional Arabic"/>
          <w:noProof w:val="0"/>
          <w:rtl/>
          <w:lang w:eastAsia="en-US"/>
        </w:rPr>
        <w:t>إذا ق</w:t>
      </w:r>
      <w:r w:rsidR="000F7DC7">
        <w:rPr>
          <w:rFonts w:ascii="Traditional Arabic" w:hAnsi="Traditional Arabic" w:hint="cs"/>
          <w:noProof w:val="0"/>
          <w:rtl/>
          <w:lang w:eastAsia="en-US"/>
        </w:rPr>
        <w:t>يل</w:t>
      </w:r>
      <w:r w:rsidR="006944BC">
        <w:rPr>
          <w:rFonts w:ascii="Traditional Arabic" w:hAnsi="Traditional Arabic" w:hint="cs"/>
          <w:noProof w:val="0"/>
          <w:rtl/>
          <w:lang w:eastAsia="en-US"/>
        </w:rPr>
        <w:t xml:space="preserve"> </w:t>
      </w:r>
      <w:r w:rsidR="000F7DC7">
        <w:rPr>
          <w:rFonts w:ascii="Traditional Arabic" w:hAnsi="Traditional Arabic" w:hint="cs"/>
          <w:noProof w:val="0"/>
          <w:rtl/>
          <w:lang w:eastAsia="en-US"/>
        </w:rPr>
        <w:t xml:space="preserve">باشتراط </w:t>
      </w:r>
      <w:r w:rsidR="000F7DC7">
        <w:rPr>
          <w:rFonts w:ascii="Traditional Arabic" w:hAnsi="Traditional Arabic"/>
          <w:noProof w:val="0"/>
          <w:rtl/>
          <w:lang w:eastAsia="en-US"/>
        </w:rPr>
        <w:t>الجمع</w:t>
      </w:r>
      <w:r w:rsidR="000F7DC7">
        <w:rPr>
          <w:rFonts w:ascii="Traditional Arabic" w:hAnsi="Traditional Arabic" w:hint="cs"/>
          <w:noProof w:val="0"/>
          <w:rtl/>
          <w:lang w:eastAsia="en-US"/>
        </w:rPr>
        <w:t>،</w:t>
      </w:r>
      <w:r w:rsidR="000F7DC7">
        <w:rPr>
          <w:rFonts w:ascii="Traditional Arabic" w:hAnsi="Traditional Arabic"/>
          <w:noProof w:val="0"/>
          <w:rtl/>
          <w:lang w:eastAsia="en-US"/>
        </w:rPr>
        <w:t xml:space="preserve"> فالقول الراجح</w:t>
      </w:r>
      <w:r w:rsidR="000F7DC7" w:rsidRPr="00956CAA">
        <w:rPr>
          <w:rFonts w:ascii="Traditional Arabic" w:hAnsi="Traditional Arabic"/>
          <w:noProof w:val="0"/>
          <w:rtl/>
          <w:lang w:eastAsia="en-US"/>
        </w:rPr>
        <w:t xml:space="preserve"> أنه لا يشتر</w:t>
      </w:r>
      <w:r w:rsidR="000F7DC7">
        <w:rPr>
          <w:rFonts w:ascii="Traditional Arabic" w:hAnsi="Traditional Arabic" w:hint="cs"/>
          <w:noProof w:val="0"/>
          <w:rtl/>
          <w:lang w:eastAsia="en-US"/>
        </w:rPr>
        <w:t>َ</w:t>
      </w:r>
      <w:r w:rsidR="000F7DC7" w:rsidRPr="00956CAA">
        <w:rPr>
          <w:rFonts w:ascii="Traditional Arabic" w:hAnsi="Traditional Arabic"/>
          <w:noProof w:val="0"/>
          <w:rtl/>
          <w:lang w:eastAsia="en-US"/>
        </w:rPr>
        <w:t>ط تقديم النفي، وأنه لو قال</w:t>
      </w:r>
      <w:r w:rsidR="000F7DC7">
        <w:rPr>
          <w:rFonts w:ascii="Traditional Arabic" w:hAnsi="Traditional Arabic" w:hint="cs"/>
          <w:noProof w:val="0"/>
          <w:rtl/>
          <w:lang w:eastAsia="en-US"/>
        </w:rPr>
        <w:t xml:space="preserve"> الحالف</w:t>
      </w:r>
      <w:r w:rsidR="000F7DC7" w:rsidRPr="00956CAA">
        <w:rPr>
          <w:rFonts w:ascii="Traditional Arabic" w:hAnsi="Traditional Arabic"/>
          <w:noProof w:val="0"/>
          <w:rtl/>
          <w:lang w:eastAsia="en-US"/>
        </w:rPr>
        <w:t>: والله لقد بعته بمائة وما بعته بثمانين كفى؛ لأن المقصود حصل.</w:t>
      </w:r>
    </w:p>
    <w:p w:rsidR="00065E4B" w:rsidRPr="00956CAA"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rtl/>
          <w:lang w:eastAsia="en-US"/>
        </w:rPr>
        <w:t>ك</w:t>
      </w:r>
      <w:r w:rsidR="000F7DC7">
        <w:rPr>
          <w:rFonts w:ascii="Traditional Arabic" w:hAnsi="Traditional Arabic" w:hint="cs"/>
          <w:noProof w:val="0"/>
          <w:rtl/>
          <w:lang w:eastAsia="en-US"/>
        </w:rPr>
        <w:t>ما أ</w:t>
      </w:r>
      <w:r w:rsidR="000F7DC7" w:rsidRPr="00956CAA">
        <w:rPr>
          <w:rFonts w:ascii="Traditional Arabic" w:hAnsi="Traditional Arabic"/>
          <w:noProof w:val="0"/>
          <w:rtl/>
          <w:lang w:eastAsia="en-US"/>
        </w:rPr>
        <w:t>نه لا يشتر</w:t>
      </w:r>
      <w:r w:rsidR="000F7DC7">
        <w:rPr>
          <w:rFonts w:ascii="Traditional Arabic" w:hAnsi="Traditional Arabic" w:hint="cs"/>
          <w:noProof w:val="0"/>
          <w:rtl/>
          <w:lang w:eastAsia="en-US"/>
        </w:rPr>
        <w:t>َ</w:t>
      </w:r>
      <w:r w:rsidR="000F7DC7" w:rsidRPr="00956CAA">
        <w:rPr>
          <w:rFonts w:ascii="Traditional Arabic" w:hAnsi="Traditional Arabic"/>
          <w:noProof w:val="0"/>
          <w:rtl/>
          <w:lang w:eastAsia="en-US"/>
        </w:rPr>
        <w:t>ط الترتيب، وأن المشتري لو بدأ أولا</w:t>
      </w:r>
      <w:r w:rsidR="00635805">
        <w:rPr>
          <w:rFonts w:ascii="Traditional Arabic" w:hAnsi="Traditional Arabic" w:hint="cs"/>
          <w:noProof w:val="0"/>
          <w:rtl/>
          <w:lang w:eastAsia="en-US"/>
        </w:rPr>
        <w:t>ً</w:t>
      </w:r>
      <w:r w:rsidR="000F7DC7" w:rsidRPr="00956CAA">
        <w:rPr>
          <w:rFonts w:ascii="Traditional Arabic" w:hAnsi="Traditional Arabic"/>
          <w:noProof w:val="0"/>
          <w:rtl/>
          <w:lang w:eastAsia="en-US"/>
        </w:rPr>
        <w:t xml:space="preserve"> لاعت</w:t>
      </w:r>
      <w:r w:rsidR="000F7DC7">
        <w:rPr>
          <w:rFonts w:ascii="Traditional Arabic" w:hAnsi="Traditional Arabic" w:hint="cs"/>
          <w:noProof w:val="0"/>
          <w:rtl/>
          <w:lang w:eastAsia="en-US"/>
        </w:rPr>
        <w:t>ُ</w:t>
      </w:r>
      <w:r w:rsidR="000F7DC7" w:rsidRPr="00956CAA">
        <w:rPr>
          <w:rFonts w:ascii="Traditional Arabic" w:hAnsi="Traditional Arabic"/>
          <w:noProof w:val="0"/>
          <w:rtl/>
          <w:lang w:eastAsia="en-US"/>
        </w:rPr>
        <w:t xml:space="preserve">برت يمينه؛ </w:t>
      </w:r>
      <w:r w:rsidR="000F7DC7" w:rsidRPr="006944BC">
        <w:rPr>
          <w:rFonts w:ascii="Traditional Arabic" w:hAnsi="Traditional Arabic"/>
          <w:noProof w:val="0"/>
          <w:rtl/>
          <w:lang w:eastAsia="en-US"/>
        </w:rPr>
        <w:t>لأن المقصود حاص</w:t>
      </w:r>
      <w:r w:rsidR="000F7DC7" w:rsidRPr="006944BC">
        <w:rPr>
          <w:rFonts w:ascii="Traditional Arabic" w:hAnsi="Traditional Arabic" w:hint="cs"/>
          <w:noProof w:val="0"/>
          <w:rtl/>
          <w:lang w:eastAsia="en-US"/>
        </w:rPr>
        <w:t>ِ</w:t>
      </w:r>
      <w:r w:rsidR="000F7DC7" w:rsidRPr="006944BC">
        <w:rPr>
          <w:rFonts w:ascii="Traditional Arabic" w:hAnsi="Traditional Arabic"/>
          <w:noProof w:val="0"/>
          <w:rtl/>
          <w:lang w:eastAsia="en-US"/>
        </w:rPr>
        <w:t>ل</w:t>
      </w:r>
      <w:r w:rsidR="000F7DC7" w:rsidRPr="006944BC">
        <w:rPr>
          <w:rFonts w:ascii="Traditional Arabic" w:hAnsi="Traditional Arabic" w:hint="cs"/>
          <w:noProof w:val="0"/>
          <w:rtl/>
          <w:lang w:eastAsia="en-US"/>
        </w:rPr>
        <w:t>ٌ</w:t>
      </w:r>
      <w:r w:rsidR="000F7DC7" w:rsidRPr="006944BC">
        <w:rPr>
          <w:rFonts w:ascii="Traditional Arabic" w:hAnsi="Traditional Arabic"/>
          <w:noProof w:val="0"/>
          <w:rtl/>
          <w:lang w:eastAsia="en-US"/>
        </w:rPr>
        <w:t>.</w:t>
      </w:r>
    </w:p>
    <w:p w:rsidR="000F7DC7" w:rsidRDefault="00065E4B" w:rsidP="00597C20">
      <w:pPr>
        <w:widowControl/>
        <w:autoSpaceDE w:val="0"/>
        <w:autoSpaceDN w:val="0"/>
        <w:adjustRightInd w:val="0"/>
        <w:ind w:firstLine="720"/>
        <w:rPr>
          <w:rFonts w:ascii="Traditional Arabic" w:hAnsi="Traditional Arabic"/>
          <w:b/>
          <w:bCs/>
          <w:noProof w:val="0"/>
          <w:color w:val="auto"/>
          <w:rtl/>
          <w:lang w:eastAsia="en-US"/>
        </w:rPr>
      </w:pPr>
      <w:r>
        <w:rPr>
          <w:rFonts w:ascii="Traditional Arabic" w:hAnsi="Traditional Arabic" w:hint="cs"/>
          <w:noProof w:val="0"/>
          <w:rtl/>
          <w:lang w:eastAsia="en-US"/>
        </w:rPr>
        <w:t>و</w:t>
      </w:r>
      <w:r w:rsidR="000F7DC7" w:rsidRPr="00872359">
        <w:rPr>
          <w:rFonts w:ascii="Traditional Arabic" w:hAnsi="Traditional Arabic"/>
          <w:noProof w:val="0"/>
          <w:rtl/>
          <w:lang w:eastAsia="en-US"/>
        </w:rPr>
        <w:t xml:space="preserve">الظاهر </w:t>
      </w:r>
      <w:r w:rsidR="000F7DC7" w:rsidRPr="00493260">
        <w:rPr>
          <w:rFonts w:ascii="Traditional Arabic" w:hAnsi="Traditional Arabic"/>
          <w:noProof w:val="0"/>
          <w:rtl/>
          <w:lang w:eastAsia="en-US"/>
        </w:rPr>
        <w:t>بناء</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 xml:space="preserve"> على القاعدة العامة:</w:t>
      </w:r>
      <w:r w:rsidR="006944BC">
        <w:rPr>
          <w:rFonts w:ascii="Traditional Arabic" w:hAnsi="Traditional Arabic" w:hint="cs"/>
          <w:noProof w:val="0"/>
          <w:rtl/>
          <w:lang w:eastAsia="en-US"/>
        </w:rPr>
        <w:t xml:space="preserve"> </w:t>
      </w:r>
      <w:r w:rsidR="000F7DC7" w:rsidRPr="00493260">
        <w:rPr>
          <w:rFonts w:ascii="Traditional Arabic" w:hAnsi="Traditional Arabic" w:hint="cs"/>
          <w:noProof w:val="0"/>
          <w:rtl/>
          <w:lang w:eastAsia="en-US"/>
        </w:rPr>
        <w:t>"</w:t>
      </w:r>
      <w:r w:rsidR="000F7DC7" w:rsidRPr="00493260">
        <w:rPr>
          <w:rFonts w:ascii="Traditional Arabic" w:hAnsi="Traditional Arabic"/>
          <w:noProof w:val="0"/>
          <w:rtl/>
          <w:lang w:eastAsia="en-US"/>
        </w:rPr>
        <w:t>العبرة في الألفاظ</w:t>
      </w:r>
      <w:r w:rsidR="006944BC">
        <w:rPr>
          <w:rFonts w:ascii="Traditional Arabic" w:hAnsi="Traditional Arabic" w:hint="cs"/>
          <w:noProof w:val="0"/>
          <w:rtl/>
          <w:lang w:eastAsia="en-US"/>
        </w:rPr>
        <w:t xml:space="preserve"> </w:t>
      </w:r>
      <w:r w:rsidR="000F7DC7" w:rsidRPr="00493260">
        <w:rPr>
          <w:rFonts w:ascii="Traditional Arabic" w:hAnsi="Traditional Arabic"/>
          <w:noProof w:val="0"/>
          <w:rtl/>
          <w:lang w:eastAsia="en-US"/>
        </w:rPr>
        <w:t>بمعانيها</w:t>
      </w:r>
      <w:r w:rsidR="000F7DC7" w:rsidRPr="00493260">
        <w:rPr>
          <w:rFonts w:ascii="Traditional Arabic" w:hAnsi="Traditional Arabic" w:hint="cs"/>
          <w:noProof w:val="0"/>
          <w:rtl/>
          <w:lang w:eastAsia="en-US"/>
        </w:rPr>
        <w:t>"</w:t>
      </w:r>
      <w:r w:rsidR="006944BC">
        <w:rPr>
          <w:rFonts w:ascii="Traditional Arabic" w:hAnsi="Traditional Arabic" w:hint="cs"/>
          <w:noProof w:val="0"/>
          <w:rtl/>
          <w:lang w:eastAsia="en-US"/>
        </w:rPr>
        <w:t xml:space="preserve"> </w:t>
      </w:r>
      <w:r w:rsidR="000F7DC7">
        <w:rPr>
          <w:rFonts w:ascii="Traditional Arabic" w:hAnsi="Traditional Arabic" w:hint="cs"/>
          <w:noProof w:val="0"/>
          <w:rtl/>
          <w:lang w:eastAsia="en-US"/>
        </w:rPr>
        <w:t xml:space="preserve">أنه </w:t>
      </w:r>
      <w:r w:rsidR="006944BC">
        <w:rPr>
          <w:rFonts w:ascii="Traditional Arabic" w:hAnsi="Traditional Arabic"/>
          <w:noProof w:val="0"/>
          <w:rtl/>
          <w:lang w:eastAsia="en-US"/>
        </w:rPr>
        <w:t>إذا حصل المقصود فإن</w:t>
      </w:r>
      <w:r w:rsidR="000F7DC7" w:rsidRPr="00872359">
        <w:rPr>
          <w:rFonts w:ascii="Traditional Arabic" w:hAnsi="Traditional Arabic"/>
          <w:noProof w:val="0"/>
          <w:rtl/>
          <w:lang w:eastAsia="en-US"/>
        </w:rPr>
        <w:t xml:space="preserve"> </w:t>
      </w:r>
      <w:r w:rsidR="000F7DC7">
        <w:rPr>
          <w:rFonts w:ascii="Traditional Arabic" w:hAnsi="Traditional Arabic" w:hint="cs"/>
          <w:noProof w:val="0"/>
          <w:rtl/>
          <w:lang w:eastAsia="en-US"/>
        </w:rPr>
        <w:t xml:space="preserve">ذلك </w:t>
      </w:r>
      <w:r w:rsidR="000F7DC7" w:rsidRPr="00872359">
        <w:rPr>
          <w:rFonts w:ascii="Traditional Arabic" w:hAnsi="Traditional Arabic"/>
          <w:noProof w:val="0"/>
          <w:rtl/>
          <w:lang w:eastAsia="en-US"/>
        </w:rPr>
        <w:t>يصح</w:t>
      </w:r>
      <w:r w:rsidR="000F7DC7">
        <w:rPr>
          <w:rFonts w:ascii="Traditional Arabic" w:hAnsi="Traditional Arabic" w:hint="cs"/>
          <w:noProof w:val="0"/>
          <w:rtl/>
          <w:lang w:eastAsia="en-US"/>
        </w:rPr>
        <w:t>ُّ</w:t>
      </w:r>
      <w:r w:rsidR="000F7DC7" w:rsidRPr="00872359">
        <w:rPr>
          <w:rFonts w:ascii="Traditional Arabic" w:hAnsi="Traditional Arabic"/>
          <w:noProof w:val="0"/>
          <w:rtl/>
          <w:lang w:eastAsia="en-US"/>
        </w:rPr>
        <w:t xml:space="preserve"> وي</w:t>
      </w:r>
      <w:r w:rsidR="000F7DC7">
        <w:rPr>
          <w:rFonts w:ascii="Traditional Arabic" w:hAnsi="Traditional Arabic" w:hint="cs"/>
          <w:noProof w:val="0"/>
          <w:rtl/>
          <w:lang w:eastAsia="en-US"/>
        </w:rPr>
        <w:t>ُ</w:t>
      </w:r>
      <w:r w:rsidR="000F7DC7" w:rsidRPr="00872359">
        <w:rPr>
          <w:rFonts w:ascii="Traditional Arabic" w:hAnsi="Traditional Arabic"/>
          <w:noProof w:val="0"/>
          <w:rtl/>
          <w:lang w:eastAsia="en-US"/>
        </w:rPr>
        <w:t>ح</w:t>
      </w:r>
      <w:r w:rsidR="000F7DC7">
        <w:rPr>
          <w:rFonts w:ascii="Traditional Arabic" w:hAnsi="Traditional Arabic" w:hint="cs"/>
          <w:noProof w:val="0"/>
          <w:rtl/>
          <w:lang w:eastAsia="en-US"/>
        </w:rPr>
        <w:t>ْ</w:t>
      </w:r>
      <w:r w:rsidR="000F7DC7" w:rsidRPr="00872359">
        <w:rPr>
          <w:rFonts w:ascii="Traditional Arabic" w:hAnsi="Traditional Arabic"/>
          <w:noProof w:val="0"/>
          <w:rtl/>
          <w:lang w:eastAsia="en-US"/>
        </w:rPr>
        <w:t>ك</w:t>
      </w:r>
      <w:r w:rsidR="000F7DC7">
        <w:rPr>
          <w:rFonts w:ascii="Traditional Arabic" w:hAnsi="Traditional Arabic" w:hint="cs"/>
          <w:noProof w:val="0"/>
          <w:rtl/>
          <w:lang w:eastAsia="en-US"/>
        </w:rPr>
        <w:t>َ</w:t>
      </w:r>
      <w:r w:rsidR="000F7DC7" w:rsidRPr="00872359">
        <w:rPr>
          <w:rFonts w:ascii="Traditional Arabic" w:hAnsi="Traditional Arabic"/>
          <w:noProof w:val="0"/>
          <w:rtl/>
          <w:lang w:eastAsia="en-US"/>
        </w:rPr>
        <w:t>م</w:t>
      </w:r>
      <w:r w:rsidR="000F7DC7">
        <w:rPr>
          <w:rFonts w:ascii="Traditional Arabic" w:hAnsi="Traditional Arabic" w:hint="cs"/>
          <w:noProof w:val="0"/>
          <w:rtl/>
          <w:lang w:eastAsia="en-US"/>
        </w:rPr>
        <w:t>ُ</w:t>
      </w:r>
      <w:r w:rsidR="000F7DC7" w:rsidRPr="00872359">
        <w:rPr>
          <w:rFonts w:ascii="Traditional Arabic" w:hAnsi="Traditional Arabic"/>
          <w:noProof w:val="0"/>
          <w:rtl/>
          <w:lang w:eastAsia="en-US"/>
        </w:rPr>
        <w:t xml:space="preserve"> به</w:t>
      </w:r>
      <w:r w:rsidR="000F7DC7" w:rsidRPr="00C821A1">
        <w:rPr>
          <w:rStyle w:val="af1"/>
          <w:szCs w:val="32"/>
          <w:rtl/>
        </w:rPr>
        <w:t>(</w:t>
      </w:r>
      <w:r w:rsidR="000F7DC7" w:rsidRPr="00C821A1">
        <w:rPr>
          <w:rStyle w:val="af1"/>
          <w:szCs w:val="32"/>
          <w:rtl/>
        </w:rPr>
        <w:footnoteReference w:id="767"/>
      </w:r>
      <w:r w:rsidR="000F7DC7" w:rsidRPr="00C821A1">
        <w:rPr>
          <w:rStyle w:val="af1"/>
          <w:szCs w:val="32"/>
          <w:rtl/>
        </w:rPr>
        <w:t>)</w:t>
      </w:r>
      <w:r w:rsidR="000F7DC7">
        <w:rPr>
          <w:rFonts w:ascii="Traditional Arabic" w:hAnsi="Traditional Arabic" w:hint="cs"/>
          <w:noProof w:val="0"/>
          <w:rtl/>
          <w:lang w:eastAsia="en-US"/>
        </w:rPr>
        <w:t>.</w:t>
      </w:r>
    </w:p>
    <w:p w:rsidR="000F7DC7" w:rsidRPr="00651435" w:rsidRDefault="000F7DC7" w:rsidP="00651435">
      <w:pPr>
        <w:pStyle w:val="afc"/>
        <w:widowControl/>
        <w:numPr>
          <w:ilvl w:val="0"/>
          <w:numId w:val="116"/>
        </w:numPr>
        <w:autoSpaceDE w:val="0"/>
        <w:autoSpaceDN w:val="0"/>
        <w:adjustRightInd w:val="0"/>
        <w:rPr>
          <w:rFonts w:ascii="Traditional Arabic" w:hAnsi="Traditional Arabic"/>
          <w:noProof w:val="0"/>
          <w:color w:val="auto"/>
          <w:rtl/>
          <w:lang w:eastAsia="en-US"/>
        </w:rPr>
      </w:pPr>
      <w:r w:rsidRPr="00651435">
        <w:rPr>
          <w:rFonts w:ascii="Traditional Arabic" w:hAnsi="Traditional Arabic" w:hint="cs"/>
          <w:noProof w:val="0"/>
          <w:rtl/>
          <w:lang w:eastAsia="en-US"/>
        </w:rPr>
        <w:t>إذا أسقط صاحب الحق حقَّه أو وَهَب بعضَه لِمَن عليه الحق بلفظِ الصُّلْح،</w:t>
      </w:r>
      <w:r w:rsidR="000A01DD" w:rsidRPr="00651435">
        <w:rPr>
          <w:rFonts w:ascii="Traditional Arabic" w:hAnsi="Traditional Arabic" w:hint="cs"/>
          <w:noProof w:val="0"/>
          <w:rtl/>
          <w:lang w:eastAsia="en-US"/>
        </w:rPr>
        <w:t xml:space="preserve"> </w:t>
      </w:r>
      <w:r w:rsidRPr="00651435">
        <w:rPr>
          <w:rFonts w:ascii="Traditional Arabic" w:hAnsi="Traditional Arabic"/>
          <w:noProof w:val="0"/>
          <w:rtl/>
          <w:lang w:eastAsia="en-US"/>
        </w:rPr>
        <w:t>مثل</w:t>
      </w:r>
      <w:r w:rsidR="000A01DD" w:rsidRPr="00651435">
        <w:rPr>
          <w:rFonts w:ascii="Traditional Arabic" w:hAnsi="Traditional Arabic" w:hint="cs"/>
          <w:noProof w:val="0"/>
          <w:rtl/>
          <w:lang w:eastAsia="en-US"/>
        </w:rPr>
        <w:t xml:space="preserve"> </w:t>
      </w:r>
      <w:r w:rsidRPr="00651435">
        <w:rPr>
          <w:rFonts w:ascii="Traditional Arabic" w:hAnsi="Traditional Arabic"/>
          <w:noProof w:val="0"/>
          <w:rtl/>
          <w:lang w:eastAsia="en-US"/>
        </w:rPr>
        <w:t>أن يقول</w:t>
      </w:r>
      <w:r w:rsidRPr="00651435">
        <w:rPr>
          <w:rFonts w:ascii="Traditional Arabic" w:hAnsi="Traditional Arabic" w:hint="cs"/>
          <w:noProof w:val="0"/>
          <w:rtl/>
          <w:lang w:eastAsia="en-US"/>
        </w:rPr>
        <w:t xml:space="preserve"> الذي عليه الحق</w:t>
      </w:r>
      <w:r w:rsidRPr="00651435">
        <w:rPr>
          <w:rFonts w:ascii="Traditional Arabic" w:hAnsi="Traditional Arabic"/>
          <w:noProof w:val="0"/>
          <w:rtl/>
          <w:lang w:eastAsia="en-US"/>
        </w:rPr>
        <w:t>: أقرضت</w:t>
      </w:r>
      <w:r w:rsidRPr="00651435">
        <w:rPr>
          <w:rFonts w:ascii="Traditional Arabic" w:hAnsi="Traditional Arabic" w:hint="cs"/>
          <w:noProof w:val="0"/>
          <w:rtl/>
          <w:lang w:eastAsia="en-US"/>
        </w:rPr>
        <w:t>ُ</w:t>
      </w:r>
      <w:r w:rsidRPr="00651435">
        <w:rPr>
          <w:rFonts w:ascii="Traditional Arabic" w:hAnsi="Traditional Arabic"/>
          <w:noProof w:val="0"/>
          <w:rtl/>
          <w:lang w:eastAsia="en-US"/>
        </w:rPr>
        <w:t>ك مائة د</w:t>
      </w:r>
      <w:r w:rsidRPr="00651435">
        <w:rPr>
          <w:rFonts w:ascii="Traditional Arabic" w:hAnsi="Traditional Arabic" w:hint="cs"/>
          <w:noProof w:val="0"/>
          <w:rtl/>
          <w:lang w:eastAsia="en-US"/>
        </w:rPr>
        <w:t>ِ</w:t>
      </w:r>
      <w:r w:rsidRPr="00651435">
        <w:rPr>
          <w:rFonts w:ascii="Traditional Arabic" w:hAnsi="Traditional Arabic"/>
          <w:noProof w:val="0"/>
          <w:rtl/>
          <w:lang w:eastAsia="en-US"/>
        </w:rPr>
        <w:t>رهم</w:t>
      </w:r>
      <w:r w:rsidRPr="00651435">
        <w:rPr>
          <w:rFonts w:ascii="Traditional Arabic" w:hAnsi="Traditional Arabic" w:hint="cs"/>
          <w:noProof w:val="0"/>
          <w:rtl/>
          <w:lang w:eastAsia="en-US"/>
        </w:rPr>
        <w:t>ٍ</w:t>
      </w:r>
      <w:r w:rsidRPr="00651435">
        <w:rPr>
          <w:rFonts w:ascii="Traditional Arabic" w:hAnsi="Traditional Arabic"/>
          <w:noProof w:val="0"/>
          <w:rtl/>
          <w:lang w:eastAsia="en-US"/>
        </w:rPr>
        <w:t xml:space="preserve"> فصال</w:t>
      </w:r>
      <w:r w:rsidRPr="00651435">
        <w:rPr>
          <w:rFonts w:ascii="Traditional Arabic" w:hAnsi="Traditional Arabic" w:hint="cs"/>
          <w:noProof w:val="0"/>
          <w:rtl/>
          <w:lang w:eastAsia="en-US"/>
        </w:rPr>
        <w:t>ِ</w:t>
      </w:r>
      <w:r w:rsidRPr="00651435">
        <w:rPr>
          <w:rFonts w:ascii="Traditional Arabic" w:hAnsi="Traditional Arabic"/>
          <w:noProof w:val="0"/>
          <w:rtl/>
          <w:lang w:eastAsia="en-US"/>
        </w:rPr>
        <w:t>ح</w:t>
      </w:r>
      <w:r w:rsidRPr="00651435">
        <w:rPr>
          <w:rFonts w:ascii="Traditional Arabic" w:hAnsi="Traditional Arabic" w:hint="cs"/>
          <w:noProof w:val="0"/>
          <w:rtl/>
          <w:lang w:eastAsia="en-US"/>
        </w:rPr>
        <w:t>ْ</w:t>
      </w:r>
      <w:r w:rsidRPr="00651435">
        <w:rPr>
          <w:rFonts w:ascii="Traditional Arabic" w:hAnsi="Traditional Arabic"/>
          <w:noProof w:val="0"/>
          <w:rtl/>
          <w:lang w:eastAsia="en-US"/>
        </w:rPr>
        <w:t>ني على بعضها، فيقول: صالحت</w:t>
      </w:r>
      <w:r w:rsidRPr="00651435">
        <w:rPr>
          <w:rFonts w:ascii="Traditional Arabic" w:hAnsi="Traditional Arabic" w:hint="cs"/>
          <w:noProof w:val="0"/>
          <w:rtl/>
          <w:lang w:eastAsia="en-US"/>
        </w:rPr>
        <w:t>ُ</w:t>
      </w:r>
      <w:r w:rsidRPr="00651435">
        <w:rPr>
          <w:rFonts w:ascii="Traditional Arabic" w:hAnsi="Traditional Arabic"/>
          <w:noProof w:val="0"/>
          <w:rtl/>
          <w:lang w:eastAsia="en-US"/>
        </w:rPr>
        <w:t xml:space="preserve">ك، </w:t>
      </w:r>
      <w:r w:rsidRPr="00651435">
        <w:rPr>
          <w:rFonts w:ascii="Traditional Arabic" w:hAnsi="Traditional Arabic" w:hint="cs"/>
          <w:noProof w:val="0"/>
          <w:rtl/>
          <w:lang w:eastAsia="en-US"/>
        </w:rPr>
        <w:t xml:space="preserve">صحَّ ذلك؛ </w:t>
      </w:r>
      <w:r w:rsidRPr="00651435">
        <w:rPr>
          <w:rFonts w:ascii="Traditional Arabic" w:hAnsi="Traditional Arabic" w:hint="cs"/>
          <w:noProof w:val="0"/>
          <w:color w:val="auto"/>
          <w:rtl/>
          <w:lang w:eastAsia="en-US"/>
        </w:rPr>
        <w:t>لأنه</w:t>
      </w:r>
      <w:r w:rsidRPr="00651435">
        <w:rPr>
          <w:rFonts w:ascii="Traditional Arabic" w:hAnsi="Traditional Arabic"/>
          <w:noProof w:val="0"/>
          <w:color w:val="auto"/>
          <w:rtl/>
          <w:lang w:eastAsia="en-US"/>
        </w:rPr>
        <w:t xml:space="preserve"> إذا ف</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ه</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م من هذه ال</w:t>
      </w:r>
      <w:r w:rsidR="006944BC"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م</w:t>
      </w:r>
      <w:r w:rsidR="006944BC"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صالح</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ة أنها إسقاط</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 xml:space="preserve"> في د</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ي</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ن</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 أو ه</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بة</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 xml:space="preserve"> في ع</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ي</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ن</w:t>
      </w:r>
      <w:r w:rsidRPr="00651435">
        <w:rPr>
          <w:rFonts w:ascii="Traditional Arabic" w:hAnsi="Traditional Arabic" w:hint="cs"/>
          <w:noProof w:val="0"/>
          <w:color w:val="auto"/>
          <w:rtl/>
          <w:lang w:eastAsia="en-US"/>
        </w:rPr>
        <w:t>ٍ</w:t>
      </w:r>
      <w:r w:rsidRPr="00651435">
        <w:rPr>
          <w:rFonts w:ascii="Traditional Arabic" w:hAnsi="Traditional Arabic"/>
          <w:noProof w:val="0"/>
          <w:color w:val="auto"/>
          <w:rtl/>
          <w:lang w:eastAsia="en-US"/>
        </w:rPr>
        <w:t>، فينبغي قبول ذلك؛ لأن العبرة بالمعاني لا بالألفاظ</w:t>
      </w:r>
      <w:r w:rsidRPr="00651435">
        <w:rPr>
          <w:rStyle w:val="af1"/>
          <w:szCs w:val="32"/>
          <w:rtl/>
        </w:rPr>
        <w:t>(</w:t>
      </w:r>
      <w:r w:rsidRPr="00C821A1">
        <w:rPr>
          <w:rStyle w:val="af1"/>
          <w:szCs w:val="32"/>
          <w:rtl/>
        </w:rPr>
        <w:footnoteReference w:id="768"/>
      </w:r>
      <w:r w:rsidRPr="00651435">
        <w:rPr>
          <w:rStyle w:val="af1"/>
          <w:szCs w:val="32"/>
          <w:rtl/>
        </w:rPr>
        <w:t>)</w:t>
      </w:r>
      <w:r w:rsidRPr="00651435">
        <w:rPr>
          <w:rFonts w:ascii="Traditional Arabic" w:hAnsi="Traditional Arabic" w:hint="cs"/>
          <w:noProof w:val="0"/>
          <w:color w:val="auto"/>
          <w:rtl/>
          <w:lang w:eastAsia="en-US"/>
        </w:rPr>
        <w:t>.</w:t>
      </w:r>
    </w:p>
    <w:p w:rsidR="00065E4B" w:rsidRDefault="000F7DC7" w:rsidP="00597C20">
      <w:pPr>
        <w:pStyle w:val="53"/>
        <w:rPr>
          <w:rtl/>
        </w:rPr>
      </w:pPr>
      <w:r>
        <w:rPr>
          <w:rFonts w:hint="cs"/>
          <w:rtl/>
        </w:rPr>
        <w:lastRenderedPageBreak/>
        <w:t>وجه اندراج الفرع تحت القاعدة:</w:t>
      </w:r>
    </w:p>
    <w:p w:rsidR="000F7DC7" w:rsidRDefault="00065E4B" w:rsidP="00597C20">
      <w:pPr>
        <w:widowControl/>
        <w:autoSpaceDE w:val="0"/>
        <w:autoSpaceDN w:val="0"/>
        <w:adjustRightInd w:val="0"/>
        <w:ind w:firstLine="720"/>
        <w:rPr>
          <w:rFonts w:ascii="Traditional Arabic" w:hAnsi="Traditional Arabic"/>
          <w:noProof w:val="0"/>
          <w:rtl/>
          <w:lang w:eastAsia="en-US"/>
        </w:rPr>
      </w:pPr>
      <w:r w:rsidRPr="002C5386">
        <w:rPr>
          <w:rFonts w:ascii="Traditional Arabic" w:hAnsi="Traditional Arabic"/>
          <w:noProof w:val="0"/>
          <w:rtl/>
          <w:lang w:eastAsia="en-US"/>
        </w:rPr>
        <w:t>ا</w:t>
      </w:r>
      <w:r w:rsidR="000F7DC7" w:rsidRPr="002C5386">
        <w:rPr>
          <w:rFonts w:ascii="Traditional Arabic" w:hAnsi="Traditional Arabic"/>
          <w:noProof w:val="0"/>
          <w:rtl/>
          <w:lang w:eastAsia="en-US"/>
        </w:rPr>
        <w:t>لمصالحة لا تكون إلا بعد ن</w:t>
      </w:r>
      <w:r w:rsidR="000F7DC7">
        <w:rPr>
          <w:rFonts w:ascii="Traditional Arabic" w:hAnsi="Traditional Arabic" w:hint="cs"/>
          <w:noProof w:val="0"/>
          <w:rtl/>
          <w:lang w:eastAsia="en-US"/>
        </w:rPr>
        <w:t>ِ</w:t>
      </w:r>
      <w:r w:rsidR="000F7DC7" w:rsidRPr="002C5386">
        <w:rPr>
          <w:rFonts w:ascii="Traditional Arabic" w:hAnsi="Traditional Arabic"/>
          <w:noProof w:val="0"/>
          <w:rtl/>
          <w:lang w:eastAsia="en-US"/>
        </w:rPr>
        <w:t>زاع</w:t>
      </w:r>
      <w:r w:rsidR="000F7DC7">
        <w:rPr>
          <w:rFonts w:ascii="Traditional Arabic" w:hAnsi="Traditional Arabic" w:hint="cs"/>
          <w:noProof w:val="0"/>
          <w:rtl/>
          <w:lang w:eastAsia="en-US"/>
        </w:rPr>
        <w:t>ٍ</w:t>
      </w:r>
      <w:r w:rsidR="000F7DC7" w:rsidRPr="002C5386">
        <w:rPr>
          <w:rFonts w:ascii="Traditional Arabic" w:hAnsi="Traditional Arabic"/>
          <w:noProof w:val="0"/>
          <w:rtl/>
          <w:lang w:eastAsia="en-US"/>
        </w:rPr>
        <w:t>، ولا تكون إلا ل</w:t>
      </w:r>
      <w:r w:rsidR="000F7DC7">
        <w:rPr>
          <w:rFonts w:ascii="Traditional Arabic" w:hAnsi="Traditional Arabic" w:hint="cs"/>
          <w:noProof w:val="0"/>
          <w:rtl/>
          <w:lang w:eastAsia="en-US"/>
        </w:rPr>
        <w:t>ِ</w:t>
      </w:r>
      <w:r w:rsidR="000F7DC7" w:rsidRPr="002C5386">
        <w:rPr>
          <w:rFonts w:ascii="Traditional Arabic" w:hAnsi="Traditional Arabic"/>
          <w:noProof w:val="0"/>
          <w:rtl/>
          <w:lang w:eastAsia="en-US"/>
        </w:rPr>
        <w:t>ف</w:t>
      </w:r>
      <w:r w:rsidR="000F7DC7">
        <w:rPr>
          <w:rFonts w:ascii="Traditional Arabic" w:hAnsi="Traditional Arabic" w:hint="cs"/>
          <w:noProof w:val="0"/>
          <w:rtl/>
          <w:lang w:eastAsia="en-US"/>
        </w:rPr>
        <w:t>َ</w:t>
      </w:r>
      <w:r w:rsidR="000F7DC7" w:rsidRPr="002C5386">
        <w:rPr>
          <w:rFonts w:ascii="Traditional Arabic" w:hAnsi="Traditional Arabic"/>
          <w:noProof w:val="0"/>
          <w:rtl/>
          <w:lang w:eastAsia="en-US"/>
        </w:rPr>
        <w:t>ض</w:t>
      </w:r>
      <w:r w:rsidR="000F7DC7">
        <w:rPr>
          <w:rFonts w:ascii="Traditional Arabic" w:hAnsi="Traditional Arabic" w:hint="cs"/>
          <w:noProof w:val="0"/>
          <w:rtl/>
          <w:lang w:eastAsia="en-US"/>
        </w:rPr>
        <w:t>ِّ</w:t>
      </w:r>
      <w:r w:rsidR="000F7DC7" w:rsidRPr="002C5386">
        <w:rPr>
          <w:rFonts w:ascii="Traditional Arabic" w:hAnsi="Traditional Arabic"/>
          <w:noProof w:val="0"/>
          <w:rtl/>
          <w:lang w:eastAsia="en-US"/>
        </w:rPr>
        <w:t xml:space="preserve"> النزاع، وهنا لا نزاع</w:t>
      </w:r>
      <w:r w:rsidR="000F7DC7">
        <w:rPr>
          <w:rFonts w:ascii="Traditional Arabic" w:hAnsi="Traditional Arabic" w:hint="cs"/>
          <w:noProof w:val="0"/>
          <w:rtl/>
          <w:lang w:eastAsia="en-US"/>
        </w:rPr>
        <w:t>َ</w:t>
      </w:r>
      <w:r w:rsidR="000F7DC7" w:rsidRPr="002C5386">
        <w:rPr>
          <w:rFonts w:ascii="Traditional Arabic" w:hAnsi="Traditional Arabic"/>
          <w:noProof w:val="0"/>
          <w:rtl/>
          <w:lang w:eastAsia="en-US"/>
        </w:rPr>
        <w:t xml:space="preserve"> في المسألة؛ لأنه إقرار</w:t>
      </w:r>
      <w:r w:rsidR="000F7DC7">
        <w:rPr>
          <w:rFonts w:ascii="Traditional Arabic" w:hAnsi="Traditional Arabic" w:hint="cs"/>
          <w:noProof w:val="0"/>
          <w:rtl/>
          <w:lang w:eastAsia="en-US"/>
        </w:rPr>
        <w:t>ٌ</w:t>
      </w:r>
      <w:r w:rsidR="000F7DC7" w:rsidRPr="002C5386">
        <w:rPr>
          <w:rFonts w:ascii="Traditional Arabic" w:hAnsi="Traditional Arabic"/>
          <w:noProof w:val="0"/>
          <w:rtl/>
          <w:lang w:eastAsia="en-US"/>
        </w:rPr>
        <w:t xml:space="preserve"> وه</w:t>
      </w:r>
      <w:r w:rsidR="000F7DC7">
        <w:rPr>
          <w:rFonts w:ascii="Traditional Arabic" w:hAnsi="Traditional Arabic" w:hint="cs"/>
          <w:noProof w:val="0"/>
          <w:rtl/>
          <w:lang w:eastAsia="en-US"/>
        </w:rPr>
        <w:t>ِ</w:t>
      </w:r>
      <w:r w:rsidR="000F7DC7">
        <w:rPr>
          <w:rFonts w:ascii="Traditional Arabic" w:hAnsi="Traditional Arabic"/>
          <w:noProof w:val="0"/>
          <w:rtl/>
          <w:lang w:eastAsia="en-US"/>
        </w:rPr>
        <w:t xml:space="preserve">بة، لكن </w:t>
      </w:r>
      <w:r w:rsidR="000F7DC7">
        <w:rPr>
          <w:rFonts w:ascii="Traditional Arabic" w:hAnsi="Traditional Arabic" w:hint="cs"/>
          <w:noProof w:val="0"/>
          <w:rtl/>
          <w:lang w:eastAsia="en-US"/>
        </w:rPr>
        <w:t>ما دام</w:t>
      </w:r>
      <w:r w:rsidR="00A43818">
        <w:rPr>
          <w:rFonts w:ascii="Traditional Arabic" w:hAnsi="Traditional Arabic" w:hint="cs"/>
          <w:noProof w:val="0"/>
          <w:rtl/>
          <w:lang w:eastAsia="en-US"/>
        </w:rPr>
        <w:t xml:space="preserve"> </w:t>
      </w:r>
      <w:r w:rsidR="000F7DC7">
        <w:rPr>
          <w:rFonts w:ascii="Traditional Arabic" w:hAnsi="Traditional Arabic" w:hint="cs"/>
          <w:noProof w:val="0"/>
          <w:rtl/>
          <w:lang w:eastAsia="en-US"/>
        </w:rPr>
        <w:t>الأمر م</w:t>
      </w:r>
      <w:r w:rsidR="000F7DC7" w:rsidRPr="002C5386">
        <w:rPr>
          <w:rFonts w:ascii="Traditional Arabic" w:hAnsi="Traditional Arabic"/>
          <w:noProof w:val="0"/>
          <w:rtl/>
          <w:lang w:eastAsia="en-US"/>
        </w:rPr>
        <w:t>ع</w:t>
      </w:r>
      <w:r w:rsidR="000F7DC7">
        <w:rPr>
          <w:rFonts w:ascii="Traditional Arabic" w:hAnsi="Traditional Arabic" w:hint="cs"/>
          <w:noProof w:val="0"/>
          <w:rtl/>
          <w:lang w:eastAsia="en-US"/>
        </w:rPr>
        <w:t>لوم</w:t>
      </w:r>
      <w:r w:rsidR="000F7DC7">
        <w:rPr>
          <w:rFonts w:ascii="Traditional Arabic" w:hAnsi="Traditional Arabic"/>
          <w:noProof w:val="0"/>
          <w:rtl/>
          <w:lang w:eastAsia="en-US"/>
        </w:rPr>
        <w:t>ا أن المقصود بالمصالحة هنا</w:t>
      </w:r>
      <w:r w:rsidR="000F7DC7" w:rsidRPr="002C5386">
        <w:rPr>
          <w:rFonts w:ascii="Traditional Arabic" w:hAnsi="Traditional Arabic"/>
          <w:noProof w:val="0"/>
          <w:rtl/>
          <w:lang w:eastAsia="en-US"/>
        </w:rPr>
        <w:t xml:space="preserve"> الإسقاط في الدين، </w:t>
      </w:r>
      <w:r w:rsidR="000F7DC7">
        <w:rPr>
          <w:rFonts w:ascii="Traditional Arabic" w:hAnsi="Traditional Arabic" w:hint="cs"/>
          <w:noProof w:val="0"/>
          <w:rtl/>
          <w:lang w:eastAsia="en-US"/>
        </w:rPr>
        <w:t>أ</w:t>
      </w:r>
      <w:r w:rsidR="000F7DC7" w:rsidRPr="002C5386">
        <w:rPr>
          <w:rFonts w:ascii="Traditional Arabic" w:hAnsi="Traditional Arabic"/>
          <w:noProof w:val="0"/>
          <w:rtl/>
          <w:lang w:eastAsia="en-US"/>
        </w:rPr>
        <w:t xml:space="preserve">والهبة في العين، </w:t>
      </w:r>
      <w:r w:rsidR="000F7DC7" w:rsidRPr="00493260">
        <w:rPr>
          <w:rFonts w:ascii="Traditional Arabic" w:hAnsi="Traditional Arabic"/>
          <w:noProof w:val="0"/>
          <w:rtl/>
          <w:lang w:eastAsia="en-US"/>
        </w:rPr>
        <w:t>فإن الألفاظ قوالب في الواقع، والعبرة بالمعاني</w:t>
      </w:r>
      <w:r w:rsidR="000F7DC7" w:rsidRPr="00C821A1">
        <w:rPr>
          <w:rStyle w:val="af1"/>
          <w:szCs w:val="32"/>
          <w:rtl/>
        </w:rPr>
        <w:t>(</w:t>
      </w:r>
      <w:r w:rsidR="000F7DC7" w:rsidRPr="00C821A1">
        <w:rPr>
          <w:rStyle w:val="af1"/>
          <w:szCs w:val="32"/>
          <w:rtl/>
        </w:rPr>
        <w:footnoteReference w:id="769"/>
      </w:r>
      <w:r w:rsidR="000F7DC7" w:rsidRPr="00C821A1">
        <w:rPr>
          <w:rStyle w:val="af1"/>
          <w:szCs w:val="32"/>
          <w:rtl/>
        </w:rPr>
        <w:t>)</w:t>
      </w:r>
      <w:r w:rsidR="000F7DC7" w:rsidRPr="002C5386">
        <w:rPr>
          <w:rFonts w:ascii="Traditional Arabic" w:hAnsi="Traditional Arabic"/>
          <w:noProof w:val="0"/>
          <w:rtl/>
          <w:lang w:eastAsia="en-US"/>
        </w:rPr>
        <w:t>.</w:t>
      </w:r>
    </w:p>
    <w:p w:rsidR="00B119BE" w:rsidRDefault="00B119BE" w:rsidP="00597C20">
      <w:pPr>
        <w:widowControl/>
        <w:autoSpaceDE w:val="0"/>
        <w:autoSpaceDN w:val="0"/>
        <w:adjustRightInd w:val="0"/>
        <w:ind w:firstLine="720"/>
        <w:rPr>
          <w:rFonts w:ascii="Traditional Arabic" w:hAnsi="Traditional Arabic"/>
          <w:noProof w:val="0"/>
          <w:rtl/>
          <w:lang w:eastAsia="en-US"/>
        </w:rPr>
      </w:pPr>
    </w:p>
    <w:p w:rsidR="00B119BE" w:rsidRPr="002C5386" w:rsidRDefault="00B119BE" w:rsidP="00597C20">
      <w:pPr>
        <w:widowControl/>
        <w:autoSpaceDE w:val="0"/>
        <w:autoSpaceDN w:val="0"/>
        <w:adjustRightInd w:val="0"/>
        <w:ind w:firstLine="720"/>
        <w:rPr>
          <w:rFonts w:ascii="Traditional Arabic" w:hAnsi="Traditional Arabic"/>
          <w:noProof w:val="0"/>
          <w:rtl/>
          <w:lang w:eastAsia="en-US"/>
        </w:rPr>
      </w:pPr>
    </w:p>
    <w:p w:rsidR="001946A3" w:rsidRPr="00C85F0F" w:rsidRDefault="001946A3" w:rsidP="000F5C0F">
      <w:pPr>
        <w:pStyle w:val="aff2"/>
        <w:rPr>
          <w:rtl/>
        </w:rPr>
      </w:pPr>
      <w:bookmarkStart w:id="149" w:name="_Toc334046393"/>
      <w:r w:rsidRPr="001946A3">
        <w:rPr>
          <w:rFonts w:hint="cs"/>
          <w:rtl/>
        </w:rPr>
        <w:lastRenderedPageBreak/>
        <w:t>المبحث السادس</w:t>
      </w:r>
      <w:r>
        <w:rPr>
          <w:rFonts w:hint="eastAsia"/>
          <w:rtl/>
        </w:rPr>
        <w:t> :</w:t>
      </w:r>
      <w:r>
        <w:rPr>
          <w:rFonts w:hint="cs"/>
          <w:rtl/>
        </w:rPr>
        <w:br/>
      </w:r>
      <w:r w:rsidRPr="001946A3">
        <w:rPr>
          <w:rFonts w:hint="cs"/>
          <w:rtl/>
        </w:rPr>
        <w:t>قاعدة</w:t>
      </w:r>
      <w:r>
        <w:rPr>
          <w:rtl/>
        </w:rPr>
        <w:br/>
      </w:r>
      <w:r>
        <w:rPr>
          <w:rFonts w:hint="cs"/>
          <w:rtl/>
        </w:rPr>
        <w:t>"</w:t>
      </w:r>
      <w:r w:rsidRPr="001946A3">
        <w:rPr>
          <w:rFonts w:hint="cs"/>
          <w:rtl/>
        </w:rPr>
        <w:t>من أدى عن غيره واجبا يبرأ به بنية الرجوع عليه رجع، وإلا فلا</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منأدىعنغيرهواجبايبرأبهبنيةالرجوععليهرجع،وإلافلا</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szCs w:val="32"/>
          <w:vertAlign w:val="superscript"/>
          <w:rtl/>
        </w:rPr>
        <w:t>(</w:t>
      </w:r>
      <w:r w:rsidRPr="00C85F0F">
        <w:rPr>
          <w:szCs w:val="32"/>
          <w:vertAlign w:val="superscript"/>
          <w:rtl/>
        </w:rPr>
        <w:footnoteReference w:id="770"/>
      </w:r>
      <w:r w:rsidRPr="00C85F0F">
        <w:rPr>
          <w:szCs w:val="32"/>
          <w:vertAlign w:val="superscript"/>
          <w:rtl/>
        </w:rPr>
        <w:t>)</w:t>
      </w:r>
      <w:bookmarkEnd w:id="149"/>
    </w:p>
    <w:p w:rsidR="00065E4B" w:rsidRPr="00C85F0F" w:rsidRDefault="00AD7603" w:rsidP="00A8347C">
      <w:pPr>
        <w:pStyle w:val="aff3"/>
        <w:rPr>
          <w:rtl/>
        </w:rPr>
      </w:pPr>
      <w:bookmarkStart w:id="150" w:name="_Toc334046394"/>
      <w:r>
        <w:rPr>
          <w:rFonts w:hint="cs"/>
          <w:rtl/>
        </w:rPr>
        <w:t xml:space="preserve">                                         </w:t>
      </w:r>
      <w:r w:rsidR="001946A3" w:rsidRPr="00C85F0F">
        <w:rPr>
          <w:rFonts w:hint="cs"/>
          <w:rtl/>
        </w:rPr>
        <w:t>المطلب الأول</w:t>
      </w:r>
      <w:r w:rsidR="001946A3" w:rsidRPr="00C85F0F">
        <w:rPr>
          <w:rFonts w:hint="eastAsia"/>
          <w:rtl/>
        </w:rPr>
        <w:t> :</w:t>
      </w:r>
      <w:r w:rsidR="001946A3" w:rsidRPr="00C85F0F">
        <w:rPr>
          <w:rFonts w:hint="cs"/>
          <w:rtl/>
        </w:rPr>
        <w:br/>
      </w:r>
      <w:r>
        <w:rPr>
          <w:rFonts w:hint="cs"/>
          <w:rtl/>
        </w:rPr>
        <w:t xml:space="preserve">                        </w:t>
      </w:r>
      <w:r w:rsidR="001946A3" w:rsidRPr="00C85F0F">
        <w:rPr>
          <w:rFonts w:hint="cs"/>
          <w:rtl/>
        </w:rPr>
        <w:t>صيغ القاعدة عند الشيخ وعند علماء القواعد</w:t>
      </w:r>
      <w:bookmarkEnd w:id="150"/>
    </w:p>
    <w:p w:rsidR="001946A3" w:rsidRPr="00C85F0F" w:rsidRDefault="00065E4B" w:rsidP="00597C20">
      <w:pPr>
        <w:ind w:firstLine="0"/>
        <w:rPr>
          <w:rFonts w:ascii="Traditional Arabic" w:hAnsi="Traditional Arabic"/>
          <w:noProof w:val="0"/>
          <w:rtl/>
          <w:lang w:eastAsia="en-US"/>
        </w:rPr>
      </w:pPr>
      <w:r w:rsidRPr="00C85F0F">
        <w:rPr>
          <w:rFonts w:ascii="Traditional Arabic" w:hAnsi="Traditional Arabic" w:hint="cs"/>
          <w:noProof w:val="0"/>
          <w:rtl/>
          <w:lang w:eastAsia="en-US"/>
        </w:rPr>
        <w:t>م</w:t>
      </w:r>
      <w:r w:rsidR="001946A3" w:rsidRPr="00C85F0F">
        <w:rPr>
          <w:rFonts w:ascii="Traditional Arabic" w:hAnsi="Traditional Arabic" w:hint="cs"/>
          <w:noProof w:val="0"/>
          <w:rtl/>
          <w:lang w:eastAsia="en-US"/>
        </w:rPr>
        <w:t xml:space="preserve">ما وردت به القاعدة عند الشيخ ابن عثيمين </w:t>
      </w:r>
      <w:r w:rsidR="00AD7603">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AD7603">
        <w:rPr>
          <w:rFonts w:ascii="Traditional Arabic" w:hAnsi="Traditional Arabic" w:hint="cs"/>
          <w:noProof w:val="0"/>
          <w:rtl/>
          <w:lang w:eastAsia="en-US"/>
        </w:rPr>
        <w:t>_</w:t>
      </w:r>
      <w:r w:rsidR="001946A3" w:rsidRPr="00C85F0F">
        <w:rPr>
          <w:rFonts w:ascii="Traditional Arabic" w:hAnsi="Traditional Arabic" w:hint="cs"/>
          <w:noProof w:val="0"/>
          <w:rtl/>
          <w:lang w:eastAsia="en-US"/>
        </w:rPr>
        <w:t>:</w:t>
      </w:r>
    </w:p>
    <w:p w:rsidR="001946A3" w:rsidRPr="00C85F0F" w:rsidRDefault="001946A3" w:rsidP="000A76C7">
      <w:pPr>
        <w:numPr>
          <w:ilvl w:val="0"/>
          <w:numId w:val="117"/>
        </w:numPr>
      </w:pPr>
      <w:r w:rsidRPr="00C85F0F">
        <w:rPr>
          <w:rFonts w:ascii="Traditional Arabic" w:hAnsi="Traditional Arabic" w:hint="cs"/>
          <w:noProof w:val="0"/>
          <w:rtl/>
          <w:lang w:eastAsia="en-US"/>
        </w:rPr>
        <w:t xml:space="preserve">كلُّ </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أد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ى عن غير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ينا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واجبا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فإنه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 إن نوى الرجوع، ولو بغير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إذ</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إلا إذا كان الدين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مما 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شتر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 فيه ني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دين، فإنه لا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 إلا بإذن</w:t>
      </w:r>
      <w:r w:rsidRPr="00C85F0F">
        <w:rPr>
          <w:rFonts w:hint="cs"/>
          <w:rtl/>
        </w:rPr>
        <w:t>ٍ</w:t>
      </w:r>
      <w:r w:rsidRPr="00C85F0F">
        <w:rPr>
          <w:rStyle w:val="af1"/>
          <w:szCs w:val="32"/>
          <w:rtl/>
        </w:rPr>
        <w:t>(</w:t>
      </w:r>
      <w:r w:rsidRPr="00C85F0F">
        <w:rPr>
          <w:rStyle w:val="af1"/>
          <w:szCs w:val="32"/>
          <w:rtl/>
        </w:rPr>
        <w:footnoteReference w:id="771"/>
      </w:r>
      <w:r w:rsidRPr="00C85F0F">
        <w:rPr>
          <w:rStyle w:val="af1"/>
          <w:szCs w:val="32"/>
          <w:rtl/>
        </w:rPr>
        <w:t>)</w:t>
      </w:r>
      <w:r w:rsidRPr="00C85F0F">
        <w:rPr>
          <w:rFonts w:hint="cs"/>
          <w:rtl/>
        </w:rPr>
        <w:t>.</w:t>
      </w:r>
    </w:p>
    <w:p w:rsidR="001946A3" w:rsidRPr="00C85F0F" w:rsidRDefault="001946A3" w:rsidP="000A76C7">
      <w:pPr>
        <w:numPr>
          <w:ilvl w:val="0"/>
          <w:numId w:val="117"/>
        </w:numPr>
      </w:pPr>
      <w:r w:rsidRPr="00C85F0F">
        <w:rPr>
          <w:rFonts w:hint="cs"/>
          <w:rtl/>
        </w:rPr>
        <w:t>مَن أدَّى عن غيرِه واجباً يَبْرَأُ به بِنيَّةِ الرجوع عليه رَجع، وإلا فلا</w:t>
      </w:r>
      <w:r w:rsidRPr="00C85F0F">
        <w:rPr>
          <w:rStyle w:val="af1"/>
          <w:szCs w:val="32"/>
          <w:rtl/>
        </w:rPr>
        <w:t>(</w:t>
      </w:r>
      <w:r w:rsidRPr="00C85F0F">
        <w:rPr>
          <w:rStyle w:val="af1"/>
          <w:szCs w:val="32"/>
          <w:rtl/>
        </w:rPr>
        <w:footnoteReference w:id="772"/>
      </w:r>
      <w:r w:rsidRPr="00C85F0F">
        <w:rPr>
          <w:rStyle w:val="af1"/>
          <w:szCs w:val="32"/>
          <w:rtl/>
        </w:rPr>
        <w:t>)</w:t>
      </w:r>
      <w:r w:rsidRPr="00C85F0F">
        <w:rPr>
          <w:rFonts w:hint="cs"/>
          <w:rtl/>
        </w:rPr>
        <w:t>.</w:t>
      </w:r>
    </w:p>
    <w:p w:rsidR="001946A3" w:rsidRPr="00C85F0F" w:rsidRDefault="00AD7603" w:rsidP="00AD7603">
      <w:pPr>
        <w:ind w:firstLine="0"/>
        <w:rPr>
          <w:rtl/>
        </w:rPr>
      </w:pPr>
      <w:r>
        <w:rPr>
          <w:rFonts w:hint="cs"/>
          <w:rtl/>
        </w:rPr>
        <w:t>ووردت هذه</w:t>
      </w:r>
      <w:r w:rsidR="001946A3" w:rsidRPr="00C85F0F">
        <w:rPr>
          <w:rFonts w:hint="cs"/>
          <w:rtl/>
        </w:rPr>
        <w:t xml:space="preserve"> القاعدة عند علماء القواعد</w:t>
      </w:r>
      <w:r>
        <w:rPr>
          <w:rFonts w:hint="cs"/>
          <w:rtl/>
        </w:rPr>
        <w:t xml:space="preserve"> بصيغ عديدة، منها</w:t>
      </w:r>
      <w:r w:rsidR="001946A3" w:rsidRPr="00C85F0F">
        <w:rPr>
          <w:rFonts w:hint="cs"/>
          <w:rtl/>
        </w:rPr>
        <w:t>:</w:t>
      </w:r>
    </w:p>
    <w:p w:rsidR="001946A3" w:rsidRPr="00C85F0F" w:rsidRDefault="001946A3" w:rsidP="000A76C7">
      <w:pPr>
        <w:numPr>
          <w:ilvl w:val="0"/>
          <w:numId w:val="119"/>
        </w:numPr>
        <w:rPr>
          <w:rtl/>
        </w:rPr>
      </w:pPr>
      <w:r w:rsidRPr="00C85F0F">
        <w:rPr>
          <w:rFonts w:hint="cs"/>
          <w:rtl/>
        </w:rPr>
        <w:t>مَن أدَّى عن غيرِه واجباً رَجَع عليه وإنْ فَعَله بغيرِ إذْنِه</w:t>
      </w:r>
      <w:r w:rsidRPr="00C85F0F">
        <w:rPr>
          <w:rStyle w:val="af1"/>
          <w:szCs w:val="32"/>
          <w:rtl/>
        </w:rPr>
        <w:t>(</w:t>
      </w:r>
      <w:r w:rsidRPr="00C85F0F">
        <w:rPr>
          <w:rStyle w:val="af1"/>
          <w:szCs w:val="32"/>
          <w:rtl/>
        </w:rPr>
        <w:footnoteReference w:id="773"/>
      </w:r>
      <w:r w:rsidRPr="00C85F0F">
        <w:rPr>
          <w:rStyle w:val="af1"/>
          <w:szCs w:val="32"/>
          <w:rtl/>
        </w:rPr>
        <w:t>)</w:t>
      </w:r>
      <w:r w:rsidRPr="00C85F0F">
        <w:rPr>
          <w:rFonts w:hint="cs"/>
          <w:rtl/>
        </w:rPr>
        <w:t>.</w:t>
      </w:r>
    </w:p>
    <w:p w:rsidR="001946A3" w:rsidRPr="00C85F0F" w:rsidRDefault="001946A3" w:rsidP="000A76C7">
      <w:pPr>
        <w:numPr>
          <w:ilvl w:val="0"/>
          <w:numId w:val="118"/>
        </w:numPr>
      </w:pPr>
      <w:r w:rsidRPr="00C85F0F">
        <w:rPr>
          <w:rFonts w:hint="cs"/>
          <w:rtl/>
        </w:rPr>
        <w:t>قاعدة فِيمَن يَرْجِع بما أَنفق على مالِ غيرِه بغيرِ إذْنه</w:t>
      </w:r>
      <w:r w:rsidRPr="00C85F0F">
        <w:rPr>
          <w:rStyle w:val="af1"/>
          <w:szCs w:val="32"/>
          <w:rtl/>
        </w:rPr>
        <w:t>(</w:t>
      </w:r>
      <w:r w:rsidRPr="00C85F0F">
        <w:rPr>
          <w:rStyle w:val="af1"/>
          <w:szCs w:val="32"/>
          <w:rtl/>
        </w:rPr>
        <w:footnoteReference w:id="774"/>
      </w:r>
      <w:r w:rsidRPr="00C85F0F">
        <w:rPr>
          <w:rStyle w:val="af1"/>
          <w:szCs w:val="32"/>
          <w:rtl/>
        </w:rPr>
        <w:t>)</w:t>
      </w:r>
      <w:r w:rsidRPr="00C85F0F">
        <w:rPr>
          <w:rFonts w:hint="cs"/>
          <w:rtl/>
        </w:rPr>
        <w:t>.</w:t>
      </w:r>
    </w:p>
    <w:p w:rsidR="00AD7603" w:rsidRDefault="001946A3" w:rsidP="000A76C7">
      <w:pPr>
        <w:numPr>
          <w:ilvl w:val="0"/>
          <w:numId w:val="118"/>
        </w:numPr>
      </w:pPr>
      <w:r w:rsidRPr="00C85F0F">
        <w:rPr>
          <w:rFonts w:hint="cs"/>
          <w:rtl/>
        </w:rPr>
        <w:t>مَن أدَّى عن غيرِه واجباً بِنيَّةِ الرجوع عليه رَجَع، وإلا فلا</w:t>
      </w:r>
      <w:r w:rsidRPr="00C85F0F">
        <w:rPr>
          <w:rStyle w:val="af1"/>
          <w:szCs w:val="32"/>
          <w:rtl/>
        </w:rPr>
        <w:t>(</w:t>
      </w:r>
      <w:r w:rsidRPr="00C85F0F">
        <w:rPr>
          <w:rStyle w:val="af1"/>
          <w:szCs w:val="32"/>
          <w:rtl/>
        </w:rPr>
        <w:footnoteReference w:id="775"/>
      </w:r>
      <w:r w:rsidRPr="00C85F0F">
        <w:rPr>
          <w:rStyle w:val="af1"/>
          <w:szCs w:val="32"/>
          <w:rtl/>
        </w:rPr>
        <w:t>)</w:t>
      </w:r>
      <w:r w:rsidRPr="00C85F0F">
        <w:rPr>
          <w:rFonts w:hint="cs"/>
          <w:rtl/>
        </w:rPr>
        <w:t>.</w:t>
      </w:r>
    </w:p>
    <w:p w:rsidR="00AD7603" w:rsidRDefault="00AD7603" w:rsidP="00AD7603">
      <w:pPr>
        <w:ind w:left="1174" w:firstLine="0"/>
      </w:pPr>
    </w:p>
    <w:p w:rsidR="001946A3" w:rsidRPr="00C85F0F" w:rsidRDefault="001946A3" w:rsidP="000A76C7">
      <w:pPr>
        <w:numPr>
          <w:ilvl w:val="0"/>
          <w:numId w:val="118"/>
        </w:numPr>
      </w:pPr>
      <w:r w:rsidRPr="00C85F0F">
        <w:rPr>
          <w:rFonts w:hint="cs"/>
          <w:rtl/>
        </w:rPr>
        <w:lastRenderedPageBreak/>
        <w:t>ومَن يُؤَدِّ عن أخيه واجب</w:t>
      </w:r>
      <w:r w:rsidR="00AD7603">
        <w:rPr>
          <w:rFonts w:hint="cs"/>
          <w:rtl/>
        </w:rPr>
        <w:t xml:space="preserve">ا     </w:t>
      </w:r>
      <w:r w:rsidRPr="00C85F0F">
        <w:rPr>
          <w:rFonts w:hint="cs"/>
          <w:rtl/>
        </w:rPr>
        <w:t>له الرجوعُ إن نَوى يُطالبا</w:t>
      </w:r>
      <w:r w:rsidRPr="00C85F0F">
        <w:rPr>
          <w:rStyle w:val="af1"/>
          <w:szCs w:val="32"/>
          <w:rtl/>
        </w:rPr>
        <w:t>(</w:t>
      </w:r>
      <w:r w:rsidRPr="00C85F0F">
        <w:rPr>
          <w:rStyle w:val="af1"/>
          <w:szCs w:val="32"/>
          <w:rtl/>
        </w:rPr>
        <w:footnoteReference w:id="776"/>
      </w:r>
      <w:r w:rsidRPr="00C85F0F">
        <w:rPr>
          <w:rStyle w:val="af1"/>
          <w:szCs w:val="32"/>
          <w:rtl/>
        </w:rPr>
        <w:t>)</w:t>
      </w:r>
      <w:r w:rsidRPr="00C85F0F">
        <w:rPr>
          <w:rFonts w:hint="cs"/>
          <w:rtl/>
        </w:rPr>
        <w:t>.</w:t>
      </w:r>
    </w:p>
    <w:p w:rsidR="001946A3" w:rsidRPr="00C85F0F" w:rsidRDefault="00AD7603" w:rsidP="00A8347C">
      <w:pPr>
        <w:pStyle w:val="aff3"/>
        <w:rPr>
          <w:rtl/>
        </w:rPr>
      </w:pPr>
      <w:bookmarkStart w:id="151" w:name="_Toc334046395"/>
      <w:r>
        <w:rPr>
          <w:rFonts w:hint="cs"/>
          <w:rtl/>
        </w:rPr>
        <w:t xml:space="preserve">                                        </w:t>
      </w:r>
      <w:r w:rsidR="001946A3" w:rsidRPr="00C85F0F">
        <w:rPr>
          <w:rFonts w:hint="cs"/>
          <w:rtl/>
        </w:rPr>
        <w:t>المطلب الثاني</w:t>
      </w:r>
      <w:r w:rsidR="001946A3" w:rsidRPr="00C85F0F">
        <w:rPr>
          <w:rFonts w:hint="eastAsia"/>
          <w:rtl/>
        </w:rPr>
        <w:t> :</w:t>
      </w:r>
      <w:r w:rsidR="001946A3" w:rsidRPr="00C85F0F">
        <w:rPr>
          <w:rFonts w:hint="cs"/>
          <w:rtl/>
        </w:rPr>
        <w:br/>
      </w:r>
      <w:r>
        <w:rPr>
          <w:rFonts w:hint="cs"/>
          <w:rtl/>
        </w:rPr>
        <w:t xml:space="preserve">                                         </w:t>
      </w:r>
      <w:r w:rsidR="001946A3" w:rsidRPr="00C85F0F">
        <w:rPr>
          <w:rFonts w:hint="cs"/>
          <w:rtl/>
        </w:rPr>
        <w:t>شرح القاعدة</w:t>
      </w:r>
      <w:bookmarkEnd w:id="151"/>
    </w:p>
    <w:p w:rsidR="00F128C5" w:rsidRDefault="001946A3" w:rsidP="000F5C0F">
      <w:pPr>
        <w:pStyle w:val="53"/>
        <w:rPr>
          <w:b w:val="0"/>
          <w:rtl/>
        </w:rPr>
      </w:pPr>
      <w:r w:rsidRPr="000F5C0F">
        <w:rPr>
          <w:rFonts w:hint="cs"/>
          <w:rtl/>
        </w:rPr>
        <w:t>الواجب</w:t>
      </w:r>
      <w:r w:rsidR="00AB0B9E" w:rsidRPr="000F5C0F">
        <w:fldChar w:fldCharType="begin"/>
      </w:r>
      <w:r w:rsidR="00671D28" w:rsidRPr="000F5C0F">
        <w:instrText>XE</w:instrText>
      </w:r>
      <w:r w:rsidR="00671D28" w:rsidRPr="000F5C0F">
        <w:rPr>
          <w:rtl/>
        </w:rPr>
        <w:instrText xml:space="preserve"> "</w:instrText>
      </w:r>
      <w:r w:rsidR="00671D28" w:rsidRPr="000F5C0F">
        <w:rPr>
          <w:rFonts w:hint="cs"/>
          <w:rtl/>
        </w:rPr>
        <w:instrText>الواجب</w:instrText>
      </w:r>
      <w:r w:rsidR="00671D28" w:rsidRPr="000F5C0F">
        <w:rPr>
          <w:rtl/>
        </w:rPr>
        <w:instrText>" \</w:instrText>
      </w:r>
      <w:r w:rsidR="00671D28" w:rsidRPr="000F5C0F">
        <w:instrText>fm</w:instrText>
      </w:r>
      <w:r w:rsidR="00AB0B9E" w:rsidRPr="000F5C0F">
        <w:fldChar w:fldCharType="end"/>
      </w:r>
      <w:r>
        <w:rPr>
          <w:rFonts w:hint="cs"/>
          <w:b w:val="0"/>
          <w:rtl/>
        </w:rPr>
        <w:t xml:space="preserve"> لغة:</w:t>
      </w:r>
    </w:p>
    <w:p w:rsidR="001946A3" w:rsidRDefault="001946A3" w:rsidP="00597C20">
      <w:pPr>
        <w:ind w:firstLine="720"/>
        <w:rPr>
          <w:sz w:val="32"/>
          <w:szCs w:val="32"/>
          <w:rtl/>
        </w:rPr>
      </w:pPr>
      <w:r>
        <w:rPr>
          <w:rFonts w:hint="cs"/>
          <w:rtl/>
        </w:rPr>
        <w:t xml:space="preserve">قال </w:t>
      </w:r>
      <w:r w:rsidR="00AD7603">
        <w:rPr>
          <w:rFonts w:hint="cs"/>
          <w:rtl/>
        </w:rPr>
        <w:t xml:space="preserve"> </w:t>
      </w:r>
      <w:r>
        <w:rPr>
          <w:rFonts w:hint="cs"/>
          <w:rtl/>
        </w:rPr>
        <w:t xml:space="preserve">ابن فارس </w:t>
      </w:r>
      <w:r w:rsidR="00AD7603">
        <w:rPr>
          <w:rFonts w:hint="cs"/>
          <w:rtl/>
        </w:rPr>
        <w:t>_</w:t>
      </w:r>
      <w:r w:rsidR="009A0575" w:rsidRPr="005D5694">
        <w:rPr>
          <w:rFonts w:ascii="Traditional Arabic" w:hAnsi="Traditional Arabic" w:cs="CTraditional Arabic" w:hint="cs"/>
          <w:rtl/>
        </w:rPr>
        <w:t>/</w:t>
      </w:r>
      <w:r w:rsidR="00AD7603">
        <w:rPr>
          <w:rFonts w:hint="cs"/>
          <w:rtl/>
        </w:rPr>
        <w:t>_</w:t>
      </w:r>
      <w:r>
        <w:rPr>
          <w:rFonts w:hint="cs"/>
          <w:rtl/>
        </w:rPr>
        <w:t xml:space="preserve">: </w:t>
      </w:r>
      <w:r w:rsidRPr="006944BC">
        <w:rPr>
          <w:rFonts w:hint="cs"/>
          <w:rtl/>
        </w:rPr>
        <w:t>(</w:t>
      </w:r>
      <w:r w:rsidRPr="006944BC">
        <w:rPr>
          <w:rFonts w:ascii="Traditional Arabic" w:hAnsi="Traditional Arabic"/>
          <w:noProof w:val="0"/>
          <w:rtl/>
          <w:lang w:eastAsia="en-US"/>
        </w:rPr>
        <w:t>الواو والجيم والباء: أصل</w:t>
      </w:r>
      <w:r w:rsidRPr="006944BC">
        <w:rPr>
          <w:rFonts w:ascii="Traditional Arabic" w:hAnsi="Traditional Arabic" w:hint="cs"/>
          <w:noProof w:val="0"/>
          <w:rtl/>
          <w:lang w:eastAsia="en-US"/>
        </w:rPr>
        <w:t>ٌ</w:t>
      </w:r>
      <w:r w:rsidRPr="006944BC">
        <w:rPr>
          <w:rFonts w:ascii="Traditional Arabic" w:hAnsi="Traditional Arabic"/>
          <w:noProof w:val="0"/>
          <w:rtl/>
          <w:lang w:eastAsia="en-US"/>
        </w:rPr>
        <w:t xml:space="preserve"> واحد، يدل</w:t>
      </w:r>
      <w:r w:rsidRPr="006944BC">
        <w:rPr>
          <w:rFonts w:ascii="Traditional Arabic" w:hAnsi="Traditional Arabic" w:hint="cs"/>
          <w:noProof w:val="0"/>
          <w:rtl/>
          <w:lang w:eastAsia="en-US"/>
        </w:rPr>
        <w:t>ُّ</w:t>
      </w:r>
      <w:r w:rsidRPr="006944BC">
        <w:rPr>
          <w:rFonts w:ascii="Traditional Arabic" w:hAnsi="Traditional Arabic"/>
          <w:noProof w:val="0"/>
          <w:rtl/>
          <w:lang w:eastAsia="en-US"/>
        </w:rPr>
        <w:t xml:space="preserve"> على س</w:t>
      </w:r>
      <w:r w:rsidRPr="006944BC">
        <w:rPr>
          <w:rFonts w:ascii="Traditional Arabic" w:hAnsi="Traditional Arabic" w:hint="cs"/>
          <w:noProof w:val="0"/>
          <w:rtl/>
          <w:lang w:eastAsia="en-US"/>
        </w:rPr>
        <w:t>ُ</w:t>
      </w:r>
      <w:r w:rsidRPr="006944BC">
        <w:rPr>
          <w:rFonts w:ascii="Traditional Arabic" w:hAnsi="Traditional Arabic"/>
          <w:noProof w:val="0"/>
          <w:rtl/>
          <w:lang w:eastAsia="en-US"/>
        </w:rPr>
        <w:t>قوط الشيء وو</w:t>
      </w:r>
      <w:r w:rsidRPr="006944BC">
        <w:rPr>
          <w:rFonts w:ascii="Traditional Arabic" w:hAnsi="Traditional Arabic" w:hint="cs"/>
          <w:noProof w:val="0"/>
          <w:rtl/>
          <w:lang w:eastAsia="en-US"/>
        </w:rPr>
        <w:t>ُ</w:t>
      </w:r>
      <w:r w:rsidRPr="006944BC">
        <w:rPr>
          <w:rFonts w:ascii="Traditional Arabic" w:hAnsi="Traditional Arabic"/>
          <w:noProof w:val="0"/>
          <w:rtl/>
          <w:lang w:eastAsia="en-US"/>
        </w:rPr>
        <w:t>قوعه</w:t>
      </w:r>
      <w:r w:rsidRPr="006944BC">
        <w:rPr>
          <w:rFonts w:hint="cs"/>
          <w:rtl/>
        </w:rPr>
        <w:t>)</w:t>
      </w:r>
      <w:r w:rsidRPr="006944BC">
        <w:rPr>
          <w:rStyle w:val="af1"/>
          <w:rtl/>
        </w:rPr>
        <w:t>(</w:t>
      </w:r>
      <w:r w:rsidRPr="006944BC">
        <w:rPr>
          <w:rStyle w:val="af1"/>
          <w:rtl/>
        </w:rPr>
        <w:footnoteReference w:id="777"/>
      </w:r>
      <w:r w:rsidRPr="006944BC">
        <w:rPr>
          <w:rStyle w:val="af1"/>
          <w:rtl/>
        </w:rPr>
        <w:t>)</w:t>
      </w:r>
      <w:r w:rsidRPr="006944BC">
        <w:rPr>
          <w:rFonts w:hint="cs"/>
          <w:rtl/>
        </w:rPr>
        <w:t>.</w:t>
      </w:r>
    </w:p>
    <w:p w:rsidR="001946A3" w:rsidRPr="006944BC" w:rsidRDefault="001946A3" w:rsidP="00597C20">
      <w:pPr>
        <w:ind w:firstLine="720"/>
        <w:rPr>
          <w:rtl/>
        </w:rPr>
      </w:pPr>
      <w:r w:rsidRPr="006944BC">
        <w:rPr>
          <w:rFonts w:hint="cs"/>
          <w:rtl/>
        </w:rPr>
        <w:t>ويقال: وَجَبَ البيعُ والحقُّ يجِب وُجوباً ووَجْبَةً، أي</w:t>
      </w:r>
      <w:r w:rsidR="001A1608">
        <w:rPr>
          <w:rFonts w:hint="cs"/>
          <w:rtl/>
        </w:rPr>
        <w:t xml:space="preserve"> </w:t>
      </w:r>
      <w:r w:rsidRPr="006944BC">
        <w:rPr>
          <w:rFonts w:hint="cs"/>
          <w:rtl/>
        </w:rPr>
        <w:t>:لَزِمَ وثَبَتَ</w:t>
      </w:r>
      <w:r w:rsidRPr="006944BC">
        <w:rPr>
          <w:rStyle w:val="af1"/>
          <w:rtl/>
        </w:rPr>
        <w:t>(</w:t>
      </w:r>
      <w:r w:rsidRPr="006944BC">
        <w:rPr>
          <w:rStyle w:val="af1"/>
          <w:rtl/>
        </w:rPr>
        <w:footnoteReference w:id="778"/>
      </w:r>
      <w:r w:rsidRPr="006944BC">
        <w:rPr>
          <w:rStyle w:val="af1"/>
          <w:rtl/>
        </w:rPr>
        <w:t>)</w:t>
      </w:r>
      <w:r w:rsidRPr="006944BC">
        <w:rPr>
          <w:rFonts w:hint="cs"/>
          <w:rtl/>
        </w:rPr>
        <w:t>.</w:t>
      </w:r>
    </w:p>
    <w:p w:rsidR="00F128C5" w:rsidRDefault="001946A3" w:rsidP="00597C20">
      <w:pPr>
        <w:pStyle w:val="53"/>
        <w:rPr>
          <w:rtl/>
        </w:rPr>
      </w:pPr>
      <w:r>
        <w:rPr>
          <w:rFonts w:hint="cs"/>
          <w:rtl/>
        </w:rPr>
        <w:t>الواجب اصطلاحا:</w:t>
      </w:r>
    </w:p>
    <w:p w:rsidR="001946A3" w:rsidRPr="006944BC" w:rsidRDefault="001946A3" w:rsidP="00597C20">
      <w:pPr>
        <w:ind w:firstLine="720"/>
        <w:rPr>
          <w:rtl/>
        </w:rPr>
      </w:pPr>
      <w:r w:rsidRPr="006944BC">
        <w:rPr>
          <w:rFonts w:hint="cs"/>
          <w:rtl/>
        </w:rPr>
        <w:t>ما ذُمَّ شرعاً تارِكُه مُطلقاً</w:t>
      </w:r>
      <w:r w:rsidRPr="006944BC">
        <w:rPr>
          <w:rStyle w:val="af1"/>
          <w:rtl/>
        </w:rPr>
        <w:t>(</w:t>
      </w:r>
      <w:r w:rsidRPr="006944BC">
        <w:rPr>
          <w:rStyle w:val="af1"/>
          <w:rtl/>
        </w:rPr>
        <w:footnoteReference w:id="779"/>
      </w:r>
      <w:r w:rsidRPr="006944BC">
        <w:rPr>
          <w:rStyle w:val="af1"/>
          <w:rtl/>
        </w:rPr>
        <w:t>)</w:t>
      </w:r>
      <w:r w:rsidRPr="006944BC">
        <w:rPr>
          <w:rFonts w:hint="cs"/>
          <w:rtl/>
        </w:rPr>
        <w:t>.</w:t>
      </w:r>
    </w:p>
    <w:p w:rsidR="001946A3" w:rsidRPr="006944BC" w:rsidRDefault="001946A3" w:rsidP="00597C20">
      <w:pPr>
        <w:ind w:firstLine="720"/>
        <w:rPr>
          <w:rtl/>
        </w:rPr>
      </w:pPr>
      <w:r w:rsidRPr="006944BC">
        <w:rPr>
          <w:rFonts w:hint="cs"/>
          <w:rtl/>
        </w:rPr>
        <w:t xml:space="preserve">وعرفه الشيخ ابن عثيمين </w:t>
      </w:r>
      <w:r w:rsidR="006944BC">
        <w:rPr>
          <w:rFonts w:hint="cs"/>
          <w:rtl/>
        </w:rPr>
        <w:t>_</w:t>
      </w:r>
      <w:r w:rsidR="009A0575" w:rsidRPr="006944BC">
        <w:rPr>
          <w:rFonts w:ascii="Traditional Arabic" w:hAnsi="Traditional Arabic" w:cs="CTraditional Arabic" w:hint="cs"/>
          <w:rtl/>
        </w:rPr>
        <w:t>/</w:t>
      </w:r>
      <w:r w:rsidR="006944BC">
        <w:rPr>
          <w:rFonts w:hint="cs"/>
          <w:rtl/>
        </w:rPr>
        <w:t>_</w:t>
      </w:r>
      <w:r w:rsidRPr="006944BC">
        <w:rPr>
          <w:rFonts w:hint="cs"/>
          <w:rtl/>
        </w:rPr>
        <w:t xml:space="preserve"> بقوله: </w:t>
      </w:r>
      <w:r w:rsidR="00B76414" w:rsidRPr="006944BC">
        <w:rPr>
          <w:rFonts w:hint="cs"/>
          <w:rtl/>
        </w:rPr>
        <w:t>(</w:t>
      </w:r>
      <w:r w:rsidRPr="006944BC">
        <w:rPr>
          <w:rFonts w:hint="cs"/>
          <w:rtl/>
        </w:rPr>
        <w:t>ما أَمر به الشارعُ على وَجْهِ الإلزام)</w:t>
      </w:r>
      <w:r w:rsidRPr="006944BC">
        <w:rPr>
          <w:rStyle w:val="af1"/>
          <w:rtl/>
        </w:rPr>
        <w:t>(</w:t>
      </w:r>
      <w:r w:rsidRPr="006944BC">
        <w:rPr>
          <w:rStyle w:val="af1"/>
          <w:rtl/>
        </w:rPr>
        <w:footnoteReference w:id="780"/>
      </w:r>
      <w:r w:rsidRPr="006944BC">
        <w:rPr>
          <w:rStyle w:val="af1"/>
          <w:rtl/>
        </w:rPr>
        <w:t>)</w:t>
      </w:r>
      <w:r w:rsidRPr="006944BC">
        <w:rPr>
          <w:rFonts w:hint="cs"/>
          <w:rtl/>
        </w:rPr>
        <w:t>.</w:t>
      </w:r>
    </w:p>
    <w:p w:rsidR="00F228A9" w:rsidRDefault="001946A3" w:rsidP="00597C20">
      <w:pPr>
        <w:pStyle w:val="53"/>
        <w:rPr>
          <w:rtl/>
        </w:rPr>
      </w:pPr>
      <w:r>
        <w:rPr>
          <w:rFonts w:hint="cs"/>
          <w:rtl/>
        </w:rPr>
        <w:t>معنى القاعدة إجمالا:</w:t>
      </w:r>
    </w:p>
    <w:p w:rsidR="001946A3" w:rsidRPr="00F741E6" w:rsidRDefault="001946A3" w:rsidP="00597C20">
      <w:pPr>
        <w:rPr>
          <w:rtl/>
        </w:rPr>
      </w:pPr>
      <w:r w:rsidRPr="00F741E6">
        <w:rPr>
          <w:rFonts w:hint="cs"/>
          <w:rtl/>
        </w:rPr>
        <w:t>من أدى واجبا عن غيره له ثلاث حالات:</w:t>
      </w:r>
    </w:p>
    <w:p w:rsidR="001946A3" w:rsidRPr="00F741E6" w:rsidRDefault="001946A3" w:rsidP="00597C20">
      <w:pPr>
        <w:rPr>
          <w:rtl/>
        </w:rPr>
      </w:pPr>
      <w:r w:rsidRPr="000F5C0F">
        <w:rPr>
          <w:rFonts w:hint="cs"/>
          <w:b/>
          <w:bCs/>
          <w:rtl/>
        </w:rPr>
        <w:lastRenderedPageBreak/>
        <w:t>الأولى:</w:t>
      </w:r>
      <w:r w:rsidR="001A1608">
        <w:rPr>
          <w:rFonts w:hint="cs"/>
          <w:rtl/>
        </w:rPr>
        <w:t xml:space="preserve"> أن</w:t>
      </w:r>
      <w:r w:rsidRPr="00F741E6">
        <w:rPr>
          <w:rFonts w:hint="cs"/>
          <w:rtl/>
        </w:rPr>
        <w:t xml:space="preserve"> ينوي الرجوع.</w:t>
      </w:r>
    </w:p>
    <w:p w:rsidR="001946A3" w:rsidRPr="00F741E6" w:rsidRDefault="001946A3" w:rsidP="00597C20">
      <w:pPr>
        <w:rPr>
          <w:rtl/>
        </w:rPr>
      </w:pPr>
      <w:r w:rsidRPr="000F5C0F">
        <w:rPr>
          <w:rFonts w:hint="cs"/>
          <w:b/>
          <w:bCs/>
          <w:rtl/>
        </w:rPr>
        <w:t>الثانية:</w:t>
      </w:r>
      <w:r w:rsidRPr="00F741E6">
        <w:rPr>
          <w:rFonts w:hint="cs"/>
          <w:rtl/>
        </w:rPr>
        <w:t xml:space="preserve"> أن ينوي التبرُّع.</w:t>
      </w:r>
    </w:p>
    <w:p w:rsidR="00F228A9" w:rsidRDefault="001946A3" w:rsidP="00597C20">
      <w:pPr>
        <w:rPr>
          <w:rtl/>
        </w:rPr>
      </w:pPr>
      <w:r w:rsidRPr="000F5C0F">
        <w:rPr>
          <w:rFonts w:hint="cs"/>
          <w:b/>
          <w:bCs/>
          <w:rtl/>
        </w:rPr>
        <w:t>الثالثة:</w:t>
      </w:r>
      <w:r w:rsidRPr="00F741E6">
        <w:rPr>
          <w:rFonts w:hint="cs"/>
          <w:rtl/>
        </w:rPr>
        <w:t xml:space="preserve"> ألا ينوي شيئاً، بأن يؤد</w:t>
      </w:r>
      <w:r>
        <w:rPr>
          <w:rFonts w:hint="cs"/>
          <w:rtl/>
        </w:rPr>
        <w:t>ِّ</w:t>
      </w:r>
      <w:r w:rsidRPr="00F741E6">
        <w:rPr>
          <w:rFonts w:hint="cs"/>
          <w:rtl/>
        </w:rPr>
        <w:t>ي الواجب عن غير</w:t>
      </w:r>
      <w:r>
        <w:rPr>
          <w:rFonts w:hint="cs"/>
          <w:rtl/>
        </w:rPr>
        <w:t>ِ</w:t>
      </w:r>
      <w:r w:rsidRPr="00F741E6">
        <w:rPr>
          <w:rFonts w:hint="cs"/>
          <w:rtl/>
        </w:rPr>
        <w:t>ه بق</w:t>
      </w:r>
      <w:r>
        <w:rPr>
          <w:rFonts w:hint="cs"/>
          <w:rtl/>
        </w:rPr>
        <w:t>َ</w:t>
      </w:r>
      <w:r w:rsidRPr="00F741E6">
        <w:rPr>
          <w:rFonts w:hint="cs"/>
          <w:rtl/>
        </w:rPr>
        <w:t>ط</w:t>
      </w:r>
      <w:r>
        <w:rPr>
          <w:rFonts w:hint="cs"/>
          <w:rtl/>
        </w:rPr>
        <w:t>ْ</w:t>
      </w:r>
      <w:r w:rsidRPr="00F741E6">
        <w:rPr>
          <w:rFonts w:hint="cs"/>
          <w:rtl/>
        </w:rPr>
        <w:t>ع</w:t>
      </w:r>
      <w:r>
        <w:rPr>
          <w:rFonts w:hint="cs"/>
          <w:rtl/>
        </w:rPr>
        <w:t>ِ</w:t>
      </w:r>
      <w:r w:rsidRPr="00F741E6">
        <w:rPr>
          <w:rFonts w:hint="cs"/>
          <w:rtl/>
        </w:rPr>
        <w:t xml:space="preserve"> النظ</w:t>
      </w:r>
      <w:r>
        <w:rPr>
          <w:rFonts w:hint="cs"/>
          <w:rtl/>
        </w:rPr>
        <w:t>َ</w:t>
      </w:r>
      <w:r w:rsidRPr="00F741E6">
        <w:rPr>
          <w:rFonts w:hint="cs"/>
          <w:rtl/>
        </w:rPr>
        <w:t>ر عن ك</w:t>
      </w:r>
      <w:r>
        <w:rPr>
          <w:rFonts w:hint="cs"/>
          <w:rtl/>
        </w:rPr>
        <w:t>َ</w:t>
      </w:r>
      <w:r w:rsidRPr="00F741E6">
        <w:rPr>
          <w:rFonts w:hint="cs"/>
          <w:rtl/>
        </w:rPr>
        <w:t>ونه يريد الرجوع</w:t>
      </w:r>
    </w:p>
    <w:p w:rsidR="001946A3" w:rsidRPr="00F741E6" w:rsidRDefault="001946A3" w:rsidP="00597C20">
      <w:pPr>
        <w:ind w:firstLine="0"/>
        <w:rPr>
          <w:rtl/>
        </w:rPr>
      </w:pPr>
      <w:r w:rsidRPr="00F741E6">
        <w:rPr>
          <w:rFonts w:hint="cs"/>
          <w:rtl/>
        </w:rPr>
        <w:t>أو لا يريد.</w:t>
      </w:r>
    </w:p>
    <w:p w:rsidR="00F228A9" w:rsidRDefault="001946A3" w:rsidP="00597C20">
      <w:pPr>
        <w:ind w:firstLine="720"/>
        <w:rPr>
          <w:rtl/>
        </w:rPr>
      </w:pPr>
      <w:r w:rsidRPr="00F741E6">
        <w:rPr>
          <w:rFonts w:hint="cs"/>
          <w:rtl/>
        </w:rPr>
        <w:t>فإذا نوى الرجو</w:t>
      </w:r>
      <w:r>
        <w:rPr>
          <w:rFonts w:hint="cs"/>
          <w:rtl/>
        </w:rPr>
        <w:t>ع رجع، وأما إذا</w:t>
      </w:r>
      <w:r w:rsidR="00A43818">
        <w:rPr>
          <w:rFonts w:hint="cs"/>
          <w:rtl/>
        </w:rPr>
        <w:t xml:space="preserve"> </w:t>
      </w:r>
      <w:r>
        <w:rPr>
          <w:rFonts w:hint="cs"/>
          <w:rtl/>
        </w:rPr>
        <w:t>نوى التبرُّع فإنه لا يرجع؛</w:t>
      </w:r>
      <w:r w:rsidRPr="006B7CD8">
        <w:rPr>
          <w:rFonts w:ascii="Traditional Arabic" w:hAnsi="Traditional Arabic"/>
          <w:noProof w:val="0"/>
          <w:rtl/>
          <w:lang w:eastAsia="en-US"/>
        </w:rPr>
        <w:t xml:space="preserve"> لأن ر</w:t>
      </w:r>
      <w:r>
        <w:rPr>
          <w:rFonts w:ascii="Traditional Arabic" w:hAnsi="Traditional Arabic" w:hint="cs"/>
          <w:noProof w:val="0"/>
          <w:rtl/>
          <w:lang w:eastAsia="en-US"/>
        </w:rPr>
        <w:t>ُ</w:t>
      </w:r>
      <w:r w:rsidRPr="006B7CD8">
        <w:rPr>
          <w:rFonts w:ascii="Traditional Arabic" w:hAnsi="Traditional Arabic"/>
          <w:noProof w:val="0"/>
          <w:rtl/>
          <w:lang w:eastAsia="en-US"/>
        </w:rPr>
        <w:t>جوعه في تبر</w:t>
      </w:r>
      <w:r>
        <w:rPr>
          <w:rFonts w:ascii="Traditional Arabic" w:hAnsi="Traditional Arabic" w:hint="cs"/>
          <w:noProof w:val="0"/>
          <w:rtl/>
          <w:lang w:eastAsia="en-US"/>
        </w:rPr>
        <w:t>ُّ</w:t>
      </w:r>
      <w:r w:rsidRPr="006B7CD8">
        <w:rPr>
          <w:rFonts w:ascii="Traditional Arabic" w:hAnsi="Traditional Arabic"/>
          <w:noProof w:val="0"/>
          <w:rtl/>
          <w:lang w:eastAsia="en-US"/>
        </w:rPr>
        <w:t>عه رجوع</w:t>
      </w:r>
      <w:r>
        <w:rPr>
          <w:rFonts w:ascii="Traditional Arabic" w:hAnsi="Traditional Arabic" w:hint="cs"/>
          <w:noProof w:val="0"/>
          <w:rtl/>
          <w:lang w:eastAsia="en-US"/>
        </w:rPr>
        <w:t>ٌ</w:t>
      </w:r>
      <w:r w:rsidRPr="006B7CD8">
        <w:rPr>
          <w:rFonts w:ascii="Traditional Arabic" w:hAnsi="Traditional Arabic"/>
          <w:noProof w:val="0"/>
          <w:rtl/>
          <w:lang w:eastAsia="en-US"/>
        </w:rPr>
        <w:t xml:space="preserve"> في الهبة</w:t>
      </w:r>
      <w:r>
        <w:rPr>
          <w:rFonts w:ascii="Traditional Arabic" w:hAnsi="Traditional Arabic" w:hint="cs"/>
          <w:noProof w:val="0"/>
          <w:rtl/>
          <w:lang w:eastAsia="en-US"/>
        </w:rPr>
        <w:t>،</w:t>
      </w:r>
      <w:r w:rsidRPr="006B7CD8">
        <w:rPr>
          <w:rFonts w:ascii="Traditional Arabic" w:hAnsi="Traditional Arabic"/>
          <w:noProof w:val="0"/>
          <w:rtl/>
          <w:lang w:eastAsia="en-US"/>
        </w:rPr>
        <w:t xml:space="preserve"> وهو حرام</w:t>
      </w:r>
      <w:r>
        <w:rPr>
          <w:rFonts w:hint="cs"/>
          <w:rtl/>
        </w:rPr>
        <w:t>.</w:t>
      </w:r>
    </w:p>
    <w:p w:rsidR="00065E4B" w:rsidRPr="00F741E6" w:rsidRDefault="001946A3" w:rsidP="00597C20">
      <w:pPr>
        <w:ind w:firstLine="720"/>
        <w:rPr>
          <w:rtl/>
        </w:rPr>
      </w:pPr>
      <w:r>
        <w:rPr>
          <w:rFonts w:hint="cs"/>
          <w:rtl/>
        </w:rPr>
        <w:t>أما إذا</w:t>
      </w:r>
      <w:r w:rsidRPr="00F741E6">
        <w:rPr>
          <w:rFonts w:hint="cs"/>
          <w:rtl/>
        </w:rPr>
        <w:t xml:space="preserve"> لم يكن في قلبه نية</w:t>
      </w:r>
      <w:r>
        <w:rPr>
          <w:rFonts w:hint="cs"/>
          <w:rtl/>
        </w:rPr>
        <w:t>ُ</w:t>
      </w:r>
      <w:r w:rsidRPr="00F741E6">
        <w:rPr>
          <w:rFonts w:hint="cs"/>
          <w:rtl/>
        </w:rPr>
        <w:t xml:space="preserve"> الرجوع ولا</w:t>
      </w:r>
      <w:r w:rsidR="00A43818">
        <w:rPr>
          <w:rFonts w:hint="cs"/>
          <w:rtl/>
        </w:rPr>
        <w:t xml:space="preserve"> </w:t>
      </w:r>
      <w:r w:rsidRPr="00F741E6">
        <w:rPr>
          <w:rFonts w:hint="cs"/>
          <w:rtl/>
        </w:rPr>
        <w:t>عدم</w:t>
      </w:r>
      <w:r w:rsidR="006944BC">
        <w:rPr>
          <w:rFonts w:hint="cs"/>
          <w:rtl/>
        </w:rPr>
        <w:t>ِ</w:t>
      </w:r>
      <w:r w:rsidRPr="00F741E6">
        <w:rPr>
          <w:rFonts w:hint="cs"/>
          <w:rtl/>
        </w:rPr>
        <w:t>ه</w:t>
      </w:r>
      <w:r w:rsidR="006944BC">
        <w:rPr>
          <w:rFonts w:hint="cs"/>
          <w:rtl/>
        </w:rPr>
        <w:t>،</w:t>
      </w:r>
      <w:r w:rsidRPr="00F741E6">
        <w:rPr>
          <w:rFonts w:hint="cs"/>
          <w:rtl/>
        </w:rPr>
        <w:t xml:space="preserve"> فإنه لا ي</w:t>
      </w:r>
      <w:r>
        <w:rPr>
          <w:rFonts w:hint="cs"/>
          <w:rtl/>
        </w:rPr>
        <w:t>َ</w:t>
      </w:r>
      <w:r w:rsidRPr="00F741E6">
        <w:rPr>
          <w:rFonts w:hint="cs"/>
          <w:rtl/>
        </w:rPr>
        <w:t>رج</w:t>
      </w:r>
      <w:r>
        <w:rPr>
          <w:rFonts w:hint="cs"/>
          <w:rtl/>
        </w:rPr>
        <w:t>ِ</w:t>
      </w:r>
      <w:r w:rsidRPr="00F741E6">
        <w:rPr>
          <w:rFonts w:hint="cs"/>
          <w:rtl/>
        </w:rPr>
        <w:t>ع</w:t>
      </w:r>
      <w:r w:rsidRPr="00C821A1">
        <w:rPr>
          <w:rStyle w:val="af1"/>
          <w:szCs w:val="32"/>
          <w:rtl/>
        </w:rPr>
        <w:t>(</w:t>
      </w:r>
      <w:r w:rsidRPr="00C821A1">
        <w:rPr>
          <w:rStyle w:val="af1"/>
          <w:szCs w:val="32"/>
          <w:rtl/>
        </w:rPr>
        <w:footnoteReference w:id="781"/>
      </w:r>
      <w:r w:rsidRPr="00C821A1">
        <w:rPr>
          <w:rStyle w:val="af1"/>
          <w:szCs w:val="32"/>
          <w:rtl/>
        </w:rPr>
        <w:t>)</w:t>
      </w:r>
      <w:r>
        <w:rPr>
          <w:rFonts w:hint="cs"/>
          <w:rtl/>
        </w:rPr>
        <w:t>؛ لأن مَن أدّى عنه لم يوكِّله ولم يَأْذَن له</w:t>
      </w:r>
      <w:r w:rsidRPr="00F741E6">
        <w:rPr>
          <w:rFonts w:hint="cs"/>
          <w:rtl/>
        </w:rPr>
        <w:t>.</w:t>
      </w:r>
    </w:p>
    <w:p w:rsidR="00065E4B" w:rsidRDefault="00065E4B" w:rsidP="00597C20">
      <w:pPr>
        <w:ind w:firstLine="720"/>
        <w:rPr>
          <w:rStyle w:val="af1"/>
          <w:vertAlign w:val="baseline"/>
          <w:rtl/>
        </w:rPr>
      </w:pPr>
      <w:r w:rsidRPr="00F741E6">
        <w:rPr>
          <w:rFonts w:hint="cs"/>
          <w:rtl/>
        </w:rPr>
        <w:t>ف</w:t>
      </w:r>
      <w:r w:rsidR="00A43818">
        <w:rPr>
          <w:rFonts w:hint="cs"/>
          <w:rtl/>
        </w:rPr>
        <w:t xml:space="preserve">على هذا، </w:t>
      </w:r>
      <w:r w:rsidR="001946A3" w:rsidRPr="00F741E6">
        <w:rPr>
          <w:rFonts w:hint="cs"/>
          <w:rtl/>
        </w:rPr>
        <w:t>مَن أدَّى عن غيره ديناً واجبا عليه، ونوى الرجوع عليه، فإنه يرجع عليه، وي</w:t>
      </w:r>
      <w:r w:rsidR="001946A3">
        <w:rPr>
          <w:rFonts w:hint="cs"/>
          <w:rtl/>
        </w:rPr>
        <w:t>َ</w:t>
      </w:r>
      <w:r w:rsidR="001946A3" w:rsidRPr="00F741E6">
        <w:rPr>
          <w:rFonts w:hint="cs"/>
          <w:rtl/>
        </w:rPr>
        <w:t>لز</w:t>
      </w:r>
      <w:r w:rsidR="001946A3">
        <w:rPr>
          <w:rFonts w:hint="cs"/>
          <w:rtl/>
        </w:rPr>
        <w:t>َ</w:t>
      </w:r>
      <w:r w:rsidR="001946A3" w:rsidRPr="00F741E6">
        <w:rPr>
          <w:rFonts w:hint="cs"/>
          <w:rtl/>
        </w:rPr>
        <w:t>م المؤدَّى عنه ما أدَّاه</w:t>
      </w:r>
      <w:r w:rsidR="001946A3">
        <w:rPr>
          <w:rFonts w:hint="cs"/>
          <w:sz w:val="32"/>
          <w:szCs w:val="32"/>
          <w:rtl/>
        </w:rPr>
        <w:t xml:space="preserve"> عنه</w:t>
      </w:r>
      <w:r w:rsidR="001946A3">
        <w:rPr>
          <w:rStyle w:val="af1"/>
          <w:rFonts w:hint="cs"/>
          <w:vertAlign w:val="baseline"/>
          <w:rtl/>
        </w:rPr>
        <w:t>، ويدخل تحت هذا جميع ديون الآدميين، من القرض، والسلم، وأثمان السِّلَع، والنفقات الواجبة للزوجات، والمماليك، والأقارب، والبهائم، ويدخل في هذا قضاء الضامن والكفيل ما على المضمون عنه والمكفول له، ولم يأْذ</w:t>
      </w:r>
      <w:r w:rsidR="001946A3">
        <w:rPr>
          <w:rFonts w:hint="cs"/>
          <w:rtl/>
        </w:rPr>
        <w:t>َ</w:t>
      </w:r>
      <w:r w:rsidR="001946A3">
        <w:rPr>
          <w:rStyle w:val="af1"/>
          <w:rFonts w:hint="cs"/>
          <w:vertAlign w:val="baseline"/>
          <w:rtl/>
        </w:rPr>
        <w:t>ن في الضمان، ولا في الكفالة، ولا الأداء، وهذا كلُّه في الديون التي لا تحتاج إلى نية.</w:t>
      </w:r>
    </w:p>
    <w:p w:rsidR="00065E4B" w:rsidRDefault="00065E4B" w:rsidP="00597C20">
      <w:pPr>
        <w:ind w:firstLine="720"/>
        <w:rPr>
          <w:sz w:val="32"/>
          <w:szCs w:val="32"/>
          <w:rtl/>
        </w:rPr>
      </w:pPr>
      <w:r>
        <w:rPr>
          <w:rStyle w:val="af1"/>
          <w:rFonts w:hint="cs"/>
          <w:vertAlign w:val="baseline"/>
          <w:rtl/>
        </w:rPr>
        <w:t>ف</w:t>
      </w:r>
      <w:r w:rsidR="001946A3">
        <w:rPr>
          <w:rStyle w:val="af1"/>
          <w:rFonts w:hint="cs"/>
          <w:vertAlign w:val="baseline"/>
          <w:rtl/>
        </w:rPr>
        <w:t xml:space="preserve">أما </w:t>
      </w:r>
      <w:r w:rsidR="001946A3">
        <w:rPr>
          <w:rFonts w:hint="cs"/>
          <w:rtl/>
        </w:rPr>
        <w:t xml:space="preserve">ديون الله </w:t>
      </w:r>
      <w:r w:rsidR="006944BC">
        <w:rPr>
          <w:rFonts w:hint="cs"/>
          <w:rtl/>
        </w:rPr>
        <w:t>_</w:t>
      </w:r>
      <w:r w:rsidR="00866D6A" w:rsidRPr="00866D6A">
        <w:rPr>
          <w:rFonts w:ascii="Traditional Arabic" w:hAnsi="Traditional Arabic" w:hint="cs"/>
          <w:noProof w:val="0"/>
          <w:color w:val="auto"/>
          <w:rtl/>
          <w:lang w:eastAsia="en-US"/>
        </w:rPr>
        <w:sym w:font="AGA Arabesque" w:char="F055"/>
      </w:r>
      <w:r w:rsidR="001946A3">
        <w:rPr>
          <w:rStyle w:val="af1"/>
          <w:rFonts w:hint="cs"/>
          <w:vertAlign w:val="baseline"/>
          <w:rtl/>
        </w:rPr>
        <w:t xml:space="preserve"> </w:t>
      </w:r>
      <w:r w:rsidR="006944BC">
        <w:rPr>
          <w:rStyle w:val="af1"/>
          <w:rFonts w:hint="cs"/>
          <w:vertAlign w:val="baseline"/>
          <w:rtl/>
        </w:rPr>
        <w:t>_</w:t>
      </w:r>
      <w:r w:rsidR="001946A3">
        <w:rPr>
          <w:rStyle w:val="af1"/>
          <w:rFonts w:hint="cs"/>
          <w:vertAlign w:val="baseline"/>
          <w:rtl/>
        </w:rPr>
        <w:t>كالزكوات والكف</w:t>
      </w:r>
      <w:r w:rsidR="006944BC">
        <w:rPr>
          <w:rStyle w:val="af1"/>
          <w:rFonts w:hint="cs"/>
          <w:vertAlign w:val="baseline"/>
          <w:rtl/>
        </w:rPr>
        <w:t>َّ</w:t>
      </w:r>
      <w:r w:rsidR="001946A3">
        <w:rPr>
          <w:rStyle w:val="af1"/>
          <w:rFonts w:hint="cs"/>
          <w:vertAlign w:val="baseline"/>
          <w:rtl/>
        </w:rPr>
        <w:t>ارات ونحوها</w:t>
      </w:r>
      <w:r w:rsidR="00126537">
        <w:rPr>
          <w:rFonts w:hint="cs"/>
          <w:rtl/>
        </w:rPr>
        <w:t>،</w:t>
      </w:r>
      <w:r w:rsidR="001946A3">
        <w:rPr>
          <w:rStyle w:val="af1"/>
          <w:rFonts w:hint="cs"/>
          <w:vertAlign w:val="baseline"/>
          <w:rtl/>
        </w:rPr>
        <w:t xml:space="preserve"> فلا يؤدِّيها عن غيره إلا بإذنه؛ لأن هذا الأداء لا يبرئ من أُدِّي عنه، لاحتياجها لنيَّته </w:t>
      </w:r>
      <w:r w:rsidR="001946A3" w:rsidRPr="00C821A1">
        <w:rPr>
          <w:rStyle w:val="af1"/>
          <w:szCs w:val="32"/>
          <w:rtl/>
        </w:rPr>
        <w:t>(</w:t>
      </w:r>
      <w:r w:rsidR="001946A3" w:rsidRPr="00C821A1">
        <w:rPr>
          <w:rStyle w:val="af1"/>
          <w:szCs w:val="32"/>
          <w:rtl/>
        </w:rPr>
        <w:footnoteReference w:id="782"/>
      </w:r>
      <w:r w:rsidR="001946A3" w:rsidRPr="00C821A1">
        <w:rPr>
          <w:rStyle w:val="af1"/>
          <w:szCs w:val="32"/>
          <w:rtl/>
        </w:rPr>
        <w:t>)</w:t>
      </w:r>
      <w:r w:rsidR="001946A3">
        <w:rPr>
          <w:rFonts w:hint="cs"/>
          <w:sz w:val="32"/>
          <w:szCs w:val="32"/>
          <w:rtl/>
        </w:rPr>
        <w:t>.</w:t>
      </w:r>
    </w:p>
    <w:p w:rsidR="00065E4B" w:rsidRPr="00B126C6" w:rsidRDefault="00065E4B" w:rsidP="00597C20">
      <w:pPr>
        <w:ind w:firstLine="720"/>
        <w:rPr>
          <w:rtl/>
        </w:rPr>
      </w:pPr>
      <w:r>
        <w:rPr>
          <w:rFonts w:hint="cs"/>
          <w:rtl/>
        </w:rPr>
        <w:t>و</w:t>
      </w:r>
      <w:r w:rsidR="001946A3">
        <w:rPr>
          <w:rFonts w:hint="cs"/>
          <w:rtl/>
        </w:rPr>
        <w:t>لهذا أض</w:t>
      </w:r>
      <w:r w:rsidR="00A43818">
        <w:rPr>
          <w:rFonts w:hint="cs"/>
          <w:rtl/>
        </w:rPr>
        <w:t>اف</w:t>
      </w:r>
      <w:r w:rsidR="001946A3" w:rsidRPr="00B126C6">
        <w:rPr>
          <w:rFonts w:hint="cs"/>
          <w:rtl/>
        </w:rPr>
        <w:t xml:space="preserve"> </w:t>
      </w:r>
      <w:r w:rsidR="00A43818">
        <w:rPr>
          <w:rFonts w:hint="cs"/>
          <w:rtl/>
        </w:rPr>
        <w:t>الشيخ ابن عثيمين _رحمه الله_</w:t>
      </w:r>
      <w:r w:rsidR="001946A3" w:rsidRPr="00B126C6">
        <w:rPr>
          <w:rFonts w:hint="cs"/>
          <w:rtl/>
        </w:rPr>
        <w:t>في أصل هذه القاعدة قيداً، وهو:"إن بَرِئ الغيرُ به"؛ لأن مَن أدَّى الزكاة مثَلاً عن غيره بدون توكيل</w:t>
      </w:r>
      <w:r w:rsidR="001946A3">
        <w:rPr>
          <w:rFonts w:hint="cs"/>
          <w:rtl/>
        </w:rPr>
        <w:t>ٍ</w:t>
      </w:r>
      <w:r w:rsidR="001946A3" w:rsidRPr="00B126C6">
        <w:rPr>
          <w:rFonts w:hint="cs"/>
          <w:rtl/>
        </w:rPr>
        <w:t xml:space="preserve"> منه فإن هذا</w:t>
      </w:r>
      <w:r w:rsidR="001946A3">
        <w:rPr>
          <w:rFonts w:hint="cs"/>
          <w:rtl/>
        </w:rPr>
        <w:t xml:space="preserve"> القضاء لا يبرئ ذمة</w:t>
      </w:r>
      <w:r w:rsidR="001946A3" w:rsidRPr="00B126C6">
        <w:rPr>
          <w:rFonts w:hint="cs"/>
          <w:rtl/>
        </w:rPr>
        <w:t xml:space="preserve"> الغير؛ </w:t>
      </w:r>
      <w:r w:rsidR="001946A3" w:rsidRPr="00B126C6">
        <w:rPr>
          <w:rFonts w:hint="cs"/>
          <w:rtl/>
        </w:rPr>
        <w:lastRenderedPageBreak/>
        <w:t>لأن د</w:t>
      </w:r>
      <w:r w:rsidR="001946A3">
        <w:rPr>
          <w:rFonts w:hint="cs"/>
          <w:rtl/>
        </w:rPr>
        <w:t>َ</w:t>
      </w:r>
      <w:r w:rsidR="001946A3" w:rsidRPr="00B126C6">
        <w:rPr>
          <w:rFonts w:hint="cs"/>
          <w:rtl/>
        </w:rPr>
        <w:t>ف</w:t>
      </w:r>
      <w:r w:rsidR="001946A3">
        <w:rPr>
          <w:rFonts w:hint="cs"/>
          <w:rtl/>
        </w:rPr>
        <w:t>ْ</w:t>
      </w:r>
      <w:r w:rsidR="001946A3" w:rsidRPr="00B126C6">
        <w:rPr>
          <w:rFonts w:hint="cs"/>
          <w:rtl/>
        </w:rPr>
        <w:t>ع</w:t>
      </w:r>
      <w:r w:rsidR="001946A3">
        <w:rPr>
          <w:rFonts w:hint="cs"/>
          <w:rtl/>
        </w:rPr>
        <w:t>َ</w:t>
      </w:r>
      <w:r w:rsidR="001946A3" w:rsidRPr="00B126C6">
        <w:rPr>
          <w:rFonts w:hint="cs"/>
          <w:rtl/>
        </w:rPr>
        <w:t xml:space="preserve"> الزكاة يحتاج إلى ن</w:t>
      </w:r>
      <w:r w:rsidR="001946A3">
        <w:rPr>
          <w:rFonts w:hint="cs"/>
          <w:rtl/>
        </w:rPr>
        <w:t>ِ</w:t>
      </w:r>
      <w:r w:rsidR="001946A3" w:rsidRPr="00B126C6">
        <w:rPr>
          <w:rFonts w:hint="cs"/>
          <w:rtl/>
        </w:rPr>
        <w:t>ي</w:t>
      </w:r>
      <w:r w:rsidR="001946A3">
        <w:rPr>
          <w:rFonts w:hint="cs"/>
          <w:rtl/>
        </w:rPr>
        <w:t>َّ</w:t>
      </w:r>
      <w:r w:rsidR="001946A3" w:rsidRPr="00B126C6">
        <w:rPr>
          <w:rFonts w:hint="cs"/>
          <w:rtl/>
        </w:rPr>
        <w:t>ةٍ من المزكّي، فإذا كانت كذلك وأد</w:t>
      </w:r>
      <w:r w:rsidR="001946A3">
        <w:rPr>
          <w:rFonts w:hint="cs"/>
          <w:rtl/>
        </w:rPr>
        <w:t>َّ</w:t>
      </w:r>
      <w:r w:rsidR="001946A3" w:rsidRPr="00B126C6">
        <w:rPr>
          <w:rFonts w:hint="cs"/>
          <w:rtl/>
        </w:rPr>
        <w:t>اها عنه بدون توكيل</w:t>
      </w:r>
      <w:r w:rsidR="001946A3">
        <w:rPr>
          <w:rFonts w:hint="cs"/>
          <w:rtl/>
        </w:rPr>
        <w:t>ٍ</w:t>
      </w:r>
      <w:r w:rsidR="001946A3" w:rsidRPr="00B126C6">
        <w:rPr>
          <w:rFonts w:hint="cs"/>
          <w:rtl/>
        </w:rPr>
        <w:t xml:space="preserve"> منه فإنها لا تصحّ</w:t>
      </w:r>
      <w:r w:rsidR="001946A3">
        <w:rPr>
          <w:rFonts w:hint="cs"/>
          <w:rtl/>
        </w:rPr>
        <w:t>ُ</w:t>
      </w:r>
      <w:r w:rsidR="001946A3" w:rsidRPr="00B126C6">
        <w:rPr>
          <w:rFonts w:hint="cs"/>
          <w:rtl/>
        </w:rPr>
        <w:t>، وعليه فلا يرج</w:t>
      </w:r>
      <w:r w:rsidR="001946A3">
        <w:rPr>
          <w:rFonts w:hint="cs"/>
          <w:rtl/>
        </w:rPr>
        <w:t>ِ</w:t>
      </w:r>
      <w:r w:rsidR="001946A3" w:rsidRPr="00B126C6">
        <w:rPr>
          <w:rFonts w:hint="cs"/>
          <w:rtl/>
        </w:rPr>
        <w:t>ع على م</w:t>
      </w:r>
      <w:r w:rsidR="001946A3">
        <w:rPr>
          <w:rFonts w:hint="cs"/>
          <w:rtl/>
        </w:rPr>
        <w:t>َ</w:t>
      </w:r>
      <w:r w:rsidR="001946A3" w:rsidRPr="00B126C6">
        <w:rPr>
          <w:rFonts w:hint="cs"/>
          <w:rtl/>
        </w:rPr>
        <w:t xml:space="preserve">ن عليه </w:t>
      </w:r>
      <w:r w:rsidR="001946A3">
        <w:rPr>
          <w:rFonts w:hint="cs"/>
          <w:rtl/>
        </w:rPr>
        <w:t>الزكاة بما أنفق</w:t>
      </w:r>
      <w:r w:rsidR="001946A3" w:rsidRPr="00C821A1">
        <w:rPr>
          <w:rStyle w:val="af1"/>
          <w:szCs w:val="32"/>
          <w:rtl/>
        </w:rPr>
        <w:t>(</w:t>
      </w:r>
      <w:r w:rsidR="001946A3" w:rsidRPr="00C821A1">
        <w:rPr>
          <w:rStyle w:val="af1"/>
          <w:szCs w:val="32"/>
          <w:rtl/>
        </w:rPr>
        <w:footnoteReference w:id="783"/>
      </w:r>
      <w:r w:rsidR="001946A3" w:rsidRPr="00C821A1">
        <w:rPr>
          <w:rStyle w:val="af1"/>
          <w:szCs w:val="32"/>
          <w:rtl/>
        </w:rPr>
        <w:t>)</w:t>
      </w:r>
      <w:r w:rsidR="001946A3" w:rsidRPr="00B126C6">
        <w:rPr>
          <w:rFonts w:hint="cs"/>
          <w:rtl/>
        </w:rPr>
        <w:t>.</w:t>
      </w:r>
    </w:p>
    <w:p w:rsidR="001946A3" w:rsidRDefault="00065E4B" w:rsidP="00597C20">
      <w:pPr>
        <w:ind w:firstLine="720"/>
        <w:rPr>
          <w:rtl/>
        </w:rPr>
      </w:pPr>
      <w:r>
        <w:rPr>
          <w:rFonts w:hint="cs"/>
          <w:rtl/>
        </w:rPr>
        <w:t>و</w:t>
      </w:r>
      <w:r w:rsidR="001946A3">
        <w:rPr>
          <w:rFonts w:hint="cs"/>
          <w:rtl/>
        </w:rPr>
        <w:t>الوقت المعتبَر للنية هو وقتُ الأداء، فإن نوى التبرُّع عنده، ثم نوى المطالبة بعده، فلا يستحق شيئا؛ لأن الساقط لا يعُود</w:t>
      </w:r>
      <w:r w:rsidR="001946A3" w:rsidRPr="00C821A1">
        <w:rPr>
          <w:rStyle w:val="af1"/>
          <w:szCs w:val="32"/>
          <w:rtl/>
        </w:rPr>
        <w:t>(</w:t>
      </w:r>
      <w:r w:rsidR="001946A3" w:rsidRPr="00C821A1">
        <w:rPr>
          <w:rStyle w:val="af1"/>
          <w:szCs w:val="32"/>
          <w:rtl/>
        </w:rPr>
        <w:footnoteReference w:id="784"/>
      </w:r>
      <w:r w:rsidR="001946A3" w:rsidRPr="00C821A1">
        <w:rPr>
          <w:rStyle w:val="af1"/>
          <w:szCs w:val="32"/>
          <w:rtl/>
        </w:rPr>
        <w:t>)</w:t>
      </w:r>
      <w:r w:rsidR="001946A3">
        <w:rPr>
          <w:rFonts w:hint="cs"/>
          <w:rtl/>
        </w:rPr>
        <w:t>.</w:t>
      </w:r>
    </w:p>
    <w:p w:rsidR="001946A3" w:rsidRPr="001946A3" w:rsidRDefault="00790371" w:rsidP="00A8347C">
      <w:pPr>
        <w:pStyle w:val="aff3"/>
        <w:rPr>
          <w:rtl/>
        </w:rPr>
      </w:pPr>
      <w:bookmarkStart w:id="152" w:name="_Toc334046396"/>
      <w:r>
        <w:rPr>
          <w:rFonts w:hint="cs"/>
          <w:rtl/>
        </w:rPr>
        <w:t xml:space="preserve">                                     </w:t>
      </w:r>
      <w:r w:rsidR="001946A3" w:rsidRPr="001946A3">
        <w:rPr>
          <w:rFonts w:hint="cs"/>
          <w:rtl/>
        </w:rPr>
        <w:t>المطلب الثالث</w:t>
      </w:r>
      <w:r w:rsidR="001946A3">
        <w:rPr>
          <w:rFonts w:hint="eastAsia"/>
          <w:rtl/>
        </w:rPr>
        <w:t> :</w:t>
      </w:r>
      <w:r w:rsidR="001946A3">
        <w:rPr>
          <w:rFonts w:hint="cs"/>
          <w:rtl/>
        </w:rPr>
        <w:br/>
      </w:r>
      <w:r>
        <w:rPr>
          <w:rFonts w:hint="cs"/>
          <w:rtl/>
        </w:rPr>
        <w:t xml:space="preserve">                                        </w:t>
      </w:r>
      <w:r w:rsidR="001946A3" w:rsidRPr="001946A3">
        <w:rPr>
          <w:rFonts w:hint="cs"/>
          <w:rtl/>
        </w:rPr>
        <w:t>أدلة القاعدة</w:t>
      </w:r>
      <w:bookmarkEnd w:id="152"/>
    </w:p>
    <w:p w:rsidR="001946A3" w:rsidRDefault="001946A3" w:rsidP="000A76C7">
      <w:pPr>
        <w:pStyle w:val="afc"/>
        <w:numPr>
          <w:ilvl w:val="0"/>
          <w:numId w:val="120"/>
        </w:numPr>
      </w:pPr>
      <w:r>
        <w:rPr>
          <w:rFonts w:ascii="Traditional Arabic" w:hAnsi="Traditional Arabic" w:hint="cs"/>
          <w:noProof w:val="0"/>
          <w:rtl/>
          <w:lang w:eastAsia="en-US"/>
        </w:rPr>
        <w:t>قول الله تعالى:</w:t>
      </w:r>
      <w:r w:rsidRPr="0070304F">
        <w:rPr>
          <w:rFonts w:ascii="QCF_BSML" w:hAnsi="QCF_BSML" w:cs="QCF_BSML"/>
          <w:noProof w:val="0"/>
          <w:rtl/>
          <w:lang w:eastAsia="en-US"/>
        </w:rPr>
        <w:t>ﭽ</w:t>
      </w:r>
      <w:r w:rsidRPr="0070304F">
        <w:rPr>
          <w:rFonts w:ascii="QCF_P037" w:hAnsi="QCF_P037" w:cs="QCF_P037"/>
          <w:noProof w:val="0"/>
          <w:rtl/>
          <w:lang w:eastAsia="en-US"/>
        </w:rPr>
        <w:t>ﮪ</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ﮫ</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ﮬ</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ﮭ</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ﮮ</w:t>
      </w:r>
      <w:r w:rsidR="00790371">
        <w:rPr>
          <w:rFonts w:ascii="QCF_P037" w:hAnsi="QCF_P037" w:cs="QCF_P037" w:hint="cs"/>
          <w:noProof w:val="0"/>
          <w:rtl/>
          <w:lang w:eastAsia="en-US"/>
        </w:rPr>
        <w:t xml:space="preserve"> </w:t>
      </w:r>
      <w:r w:rsidRPr="0070304F">
        <w:rPr>
          <w:rFonts w:ascii="QCF_P037" w:hAnsi="QCF_P037" w:cs="QCF_P037"/>
          <w:noProof w:val="0"/>
          <w:color w:val="0000A5"/>
          <w:rtl/>
          <w:lang w:eastAsia="en-US"/>
        </w:rPr>
        <w:t>ﮯ</w:t>
      </w:r>
      <w:r w:rsidRPr="0070304F">
        <w:rPr>
          <w:rFonts w:ascii="QCF_P037" w:hAnsi="QCF_P037" w:cs="QCF_P037"/>
          <w:noProof w:val="0"/>
          <w:rtl/>
          <w:lang w:eastAsia="en-US"/>
        </w:rPr>
        <w:t>ﮰ</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ﮱ</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ﯓ</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ﯔ</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ﯕ</w:t>
      </w:r>
      <w:r w:rsidRPr="0070304F">
        <w:rPr>
          <w:rFonts w:ascii="QCF_P037" w:hAnsi="QCF_P037" w:cs="QCF_P037"/>
          <w:noProof w:val="0"/>
          <w:color w:val="0000A5"/>
          <w:rtl/>
          <w:lang w:eastAsia="en-US"/>
        </w:rPr>
        <w:t>ﯖ</w:t>
      </w:r>
      <w:r w:rsidRPr="0070304F">
        <w:rPr>
          <w:rFonts w:ascii="QCF_P037" w:hAnsi="QCF_P037" w:cs="QCF_P037"/>
          <w:noProof w:val="0"/>
          <w:rtl/>
          <w:lang w:eastAsia="en-US"/>
        </w:rPr>
        <w:t>ﯗ</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ﯘ</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ﯙ</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ﯚ</w:t>
      </w:r>
      <w:r w:rsidR="00790371">
        <w:rPr>
          <w:rFonts w:ascii="QCF_P037" w:hAnsi="QCF_P037" w:cs="QCF_P037" w:hint="cs"/>
          <w:noProof w:val="0"/>
          <w:rtl/>
          <w:lang w:eastAsia="en-US"/>
        </w:rPr>
        <w:t xml:space="preserve">  </w:t>
      </w:r>
      <w:r w:rsidRPr="0070304F">
        <w:rPr>
          <w:rFonts w:ascii="QCF_P037" w:hAnsi="QCF_P037" w:cs="QCF_P037"/>
          <w:noProof w:val="0"/>
          <w:rtl/>
          <w:lang w:eastAsia="en-US"/>
        </w:rPr>
        <w:t>ﯛﯜ</w:t>
      </w:r>
      <w:r w:rsidRPr="0070304F">
        <w:rPr>
          <w:rFonts w:ascii="QCF_BSML" w:hAnsi="QCF_BSML" w:cs="QCF_BSML"/>
          <w:noProof w:val="0"/>
          <w:rtl/>
          <w:lang w:eastAsia="en-US"/>
        </w:rPr>
        <w:t>ﭼ</w:t>
      </w:r>
      <w:r>
        <w:rPr>
          <w:rFonts w:ascii="Traditional Arabic" w:hAnsi="Traditional Arabic" w:hint="cs"/>
          <w:noProof w:val="0"/>
          <w:color w:val="auto"/>
          <w:rtl/>
          <w:lang w:eastAsia="en-US"/>
        </w:rPr>
        <w:t>[</w:t>
      </w:r>
      <w:r w:rsidRPr="0070304F">
        <w:rPr>
          <w:rFonts w:ascii="Traditional Arabic" w:hAnsi="Traditional Arabic"/>
          <w:noProof w:val="0"/>
          <w:color w:val="auto"/>
          <w:rtl/>
          <w:lang w:eastAsia="en-US"/>
        </w:rPr>
        <w:t>البقرة: ٢٣٣</w:t>
      </w:r>
      <w:r>
        <w:rPr>
          <w:rFonts w:hint="cs"/>
          <w:rtl/>
        </w:rPr>
        <w:t>].</w:t>
      </w:r>
    </w:p>
    <w:p w:rsidR="001946A3" w:rsidRDefault="001946A3" w:rsidP="000A76C7">
      <w:pPr>
        <w:pStyle w:val="afc"/>
        <w:numPr>
          <w:ilvl w:val="0"/>
          <w:numId w:val="120"/>
        </w:numPr>
      </w:pPr>
      <w:r>
        <w:rPr>
          <w:rFonts w:ascii="Traditional Arabic" w:hAnsi="Traditional Arabic" w:hint="cs"/>
          <w:noProof w:val="0"/>
          <w:rtl/>
          <w:lang w:eastAsia="en-US"/>
        </w:rPr>
        <w:t>قول الله تعالى:</w:t>
      </w:r>
      <w:bookmarkStart w:id="153" w:name="سورة_الطلاق_6"/>
      <w:r w:rsidRPr="0070304F">
        <w:rPr>
          <w:rFonts w:ascii="QCF_BSML" w:hAnsi="QCF_BSML" w:cs="QCF_BSML"/>
          <w:noProof w:val="0"/>
          <w:rtl/>
          <w:lang w:eastAsia="en-US"/>
        </w:rPr>
        <w:t xml:space="preserve">ﭽ </w:t>
      </w:r>
      <w:r w:rsidRPr="0070304F">
        <w:rPr>
          <w:rFonts w:ascii="QCF_P559" w:hAnsi="QCF_P559" w:cs="QCF_P559"/>
          <w:noProof w:val="0"/>
          <w:rtl/>
          <w:lang w:eastAsia="en-US"/>
        </w:rPr>
        <w:t>ﭦ</w:t>
      </w:r>
      <w:r w:rsidR="00790371">
        <w:rPr>
          <w:rFonts w:ascii="QCF_P559" w:hAnsi="QCF_P559" w:cs="QCF_P559" w:hint="cs"/>
          <w:noProof w:val="0"/>
          <w:rtl/>
          <w:lang w:eastAsia="en-US"/>
        </w:rPr>
        <w:t xml:space="preserve"> </w:t>
      </w:r>
      <w:r w:rsidRPr="0070304F">
        <w:rPr>
          <w:rFonts w:ascii="QCF_P559" w:hAnsi="QCF_P559" w:cs="QCF_P559"/>
          <w:noProof w:val="0"/>
          <w:rtl/>
          <w:lang w:eastAsia="en-US"/>
        </w:rPr>
        <w:t>ﭧ</w:t>
      </w:r>
      <w:r w:rsidR="00790371">
        <w:rPr>
          <w:rFonts w:ascii="QCF_P559" w:hAnsi="QCF_P559" w:cs="QCF_P559" w:hint="cs"/>
          <w:noProof w:val="0"/>
          <w:rtl/>
          <w:lang w:eastAsia="en-US"/>
        </w:rPr>
        <w:t xml:space="preserve"> </w:t>
      </w:r>
      <w:r w:rsidRPr="0070304F">
        <w:rPr>
          <w:rFonts w:ascii="QCF_P559" w:hAnsi="QCF_P559" w:cs="QCF_P559"/>
          <w:noProof w:val="0"/>
          <w:rtl/>
          <w:lang w:eastAsia="en-US"/>
        </w:rPr>
        <w:t>ﭨ</w:t>
      </w:r>
      <w:r w:rsidR="00790371">
        <w:rPr>
          <w:rFonts w:ascii="QCF_P559" w:hAnsi="QCF_P559" w:cs="QCF_P559" w:hint="cs"/>
          <w:noProof w:val="0"/>
          <w:rtl/>
          <w:lang w:eastAsia="en-US"/>
        </w:rPr>
        <w:t xml:space="preserve"> </w:t>
      </w:r>
      <w:r w:rsidRPr="0070304F">
        <w:rPr>
          <w:rFonts w:ascii="QCF_P559" w:hAnsi="QCF_P559" w:cs="QCF_P559"/>
          <w:noProof w:val="0"/>
          <w:rtl/>
          <w:lang w:eastAsia="en-US"/>
        </w:rPr>
        <w:t>ﭩ</w:t>
      </w:r>
      <w:r w:rsidR="00790371">
        <w:rPr>
          <w:rFonts w:ascii="QCF_P559" w:hAnsi="QCF_P559" w:cs="QCF_P559" w:hint="cs"/>
          <w:noProof w:val="0"/>
          <w:rtl/>
          <w:lang w:eastAsia="en-US"/>
        </w:rPr>
        <w:t xml:space="preserve"> </w:t>
      </w:r>
      <w:r w:rsidRPr="0070304F">
        <w:rPr>
          <w:rFonts w:ascii="QCF_P559" w:hAnsi="QCF_P559" w:cs="QCF_P559"/>
          <w:noProof w:val="0"/>
          <w:rtl/>
          <w:lang w:eastAsia="en-US"/>
        </w:rPr>
        <w:t>ﭪ</w:t>
      </w:r>
      <w:r w:rsidRPr="0070304F">
        <w:rPr>
          <w:rFonts w:ascii="QCF_BSML" w:hAnsi="QCF_BSML" w:cs="QCF_BSML"/>
          <w:noProof w:val="0"/>
          <w:rtl/>
          <w:lang w:eastAsia="en-US"/>
        </w:rPr>
        <w:t>ﭼ</w:t>
      </w:r>
      <w:bookmarkEnd w:id="153"/>
      <w:r>
        <w:rPr>
          <w:rFonts w:ascii="Traditional Arabic" w:hAnsi="Traditional Arabic" w:hint="cs"/>
          <w:noProof w:val="0"/>
          <w:color w:val="auto"/>
          <w:rtl/>
          <w:lang w:eastAsia="en-US"/>
        </w:rPr>
        <w:t>[</w:t>
      </w:r>
      <w:r w:rsidRPr="0070304F">
        <w:rPr>
          <w:rFonts w:ascii="Traditional Arabic" w:hAnsi="Traditional Arabic"/>
          <w:noProof w:val="0"/>
          <w:color w:val="auto"/>
          <w:rtl/>
          <w:lang w:eastAsia="en-US"/>
        </w:rPr>
        <w:t>الطلاق: ٦</w:t>
      </w:r>
      <w:r>
        <w:rPr>
          <w:rFonts w:hint="cs"/>
          <w:rtl/>
        </w:rPr>
        <w:t>].</w:t>
      </w:r>
    </w:p>
    <w:p w:rsidR="001946A3" w:rsidRDefault="001946A3" w:rsidP="00597C20">
      <w:pPr>
        <w:pStyle w:val="53"/>
        <w:rPr>
          <w:rtl/>
        </w:rPr>
      </w:pPr>
      <w:r>
        <w:rPr>
          <w:rFonts w:hint="cs"/>
          <w:rtl/>
        </w:rPr>
        <w:t>وجه الدلالة من الآيتين:</w:t>
      </w:r>
    </w:p>
    <w:p w:rsidR="00126537" w:rsidRPr="00126537" w:rsidRDefault="00126537" w:rsidP="00126537">
      <w:pPr>
        <w:widowControl/>
        <w:autoSpaceDE w:val="0"/>
        <w:autoSpaceDN w:val="0"/>
        <w:adjustRightInd w:val="0"/>
        <w:ind w:firstLine="0"/>
        <w:jc w:val="left"/>
        <w:rPr>
          <w:rFonts w:ascii="Traditional Arabic" w:hAnsi="Traditional Arabic"/>
          <w:noProof w:val="0"/>
          <w:rtl/>
          <w:lang w:eastAsia="en-US"/>
        </w:rPr>
      </w:pPr>
      <w:r>
        <w:rPr>
          <w:rFonts w:hint="cs"/>
          <w:rtl/>
        </w:rPr>
        <w:t>قال ابن القيم رحمه الله: (...</w:t>
      </w:r>
      <w:r w:rsidRPr="00126537">
        <w:rPr>
          <w:rFonts w:ascii="Traditional Arabic" w:hAnsi="Traditional Arabic"/>
          <w:noProof w:val="0"/>
          <w:rtl/>
          <w:lang w:eastAsia="en-US"/>
        </w:rPr>
        <w:t>فإن قيل: ففي هذا أن من أدى عن غيره واجبا فإنه يرجع ب</w:t>
      </w:r>
      <w:r>
        <w:rPr>
          <w:rFonts w:ascii="Traditional Arabic" w:hAnsi="Traditional Arabic" w:hint="cs"/>
          <w:noProof w:val="0"/>
          <w:rtl/>
          <w:lang w:eastAsia="en-US"/>
        </w:rPr>
        <w:t>ِ</w:t>
      </w:r>
      <w:r w:rsidRPr="00126537">
        <w:rPr>
          <w:rFonts w:ascii="Traditional Arabic" w:hAnsi="Traditional Arabic"/>
          <w:noProof w:val="0"/>
          <w:rtl/>
          <w:lang w:eastAsia="en-US"/>
        </w:rPr>
        <w:t>ب</w:t>
      </w:r>
      <w:r>
        <w:rPr>
          <w:rFonts w:ascii="Traditional Arabic" w:hAnsi="Traditional Arabic" w:hint="cs"/>
          <w:noProof w:val="0"/>
          <w:rtl/>
          <w:lang w:eastAsia="en-US"/>
        </w:rPr>
        <w:t>َ</w:t>
      </w:r>
      <w:r w:rsidRPr="00126537">
        <w:rPr>
          <w:rFonts w:ascii="Traditional Arabic" w:hAnsi="Traditional Arabic"/>
          <w:noProof w:val="0"/>
          <w:rtl/>
          <w:lang w:eastAsia="en-US"/>
        </w:rPr>
        <w:t>د</w:t>
      </w:r>
      <w:r>
        <w:rPr>
          <w:rFonts w:ascii="Traditional Arabic" w:hAnsi="Traditional Arabic" w:hint="cs"/>
          <w:noProof w:val="0"/>
          <w:rtl/>
          <w:lang w:eastAsia="en-US"/>
        </w:rPr>
        <w:t>َ</w:t>
      </w:r>
      <w:r w:rsidRPr="00126537">
        <w:rPr>
          <w:rFonts w:ascii="Traditional Arabic" w:hAnsi="Traditional Arabic"/>
          <w:noProof w:val="0"/>
          <w:rtl/>
          <w:lang w:eastAsia="en-US"/>
        </w:rPr>
        <w:t>له</w:t>
      </w:r>
      <w:r>
        <w:rPr>
          <w:rFonts w:ascii="Traditional Arabic" w:hAnsi="Traditional Arabic" w:hint="cs"/>
          <w:noProof w:val="0"/>
          <w:rtl/>
          <w:lang w:eastAsia="en-US"/>
        </w:rPr>
        <w:t>،</w:t>
      </w:r>
      <w:r w:rsidRPr="00126537">
        <w:rPr>
          <w:rFonts w:ascii="Traditional Arabic" w:hAnsi="Traditional Arabic"/>
          <w:noProof w:val="0"/>
          <w:rtl/>
          <w:lang w:eastAsia="en-US"/>
        </w:rPr>
        <w:t xml:space="preserve"> وهذا خلاف القياس</w:t>
      </w:r>
      <w:r>
        <w:rPr>
          <w:rFonts w:ascii="Traditional Arabic" w:hAnsi="Traditional Arabic" w:hint="cs"/>
          <w:noProof w:val="0"/>
          <w:rtl/>
          <w:lang w:eastAsia="en-US"/>
        </w:rPr>
        <w:t>،</w:t>
      </w:r>
      <w:r w:rsidRPr="00126537">
        <w:rPr>
          <w:rFonts w:ascii="Traditional Arabic" w:hAnsi="Traditional Arabic"/>
          <w:noProof w:val="0"/>
          <w:rtl/>
          <w:lang w:eastAsia="en-US"/>
        </w:rPr>
        <w:t xml:space="preserve"> فإنه إلزام</w:t>
      </w:r>
      <w:r>
        <w:rPr>
          <w:rFonts w:ascii="Traditional Arabic" w:hAnsi="Traditional Arabic" w:hint="cs"/>
          <w:noProof w:val="0"/>
          <w:rtl/>
          <w:lang w:eastAsia="en-US"/>
        </w:rPr>
        <w:t>ٌ</w:t>
      </w:r>
      <w:r w:rsidRPr="00126537">
        <w:rPr>
          <w:rFonts w:ascii="Traditional Arabic" w:hAnsi="Traditional Arabic"/>
          <w:noProof w:val="0"/>
          <w:rtl/>
          <w:lang w:eastAsia="en-US"/>
        </w:rPr>
        <w:t xml:space="preserve"> له بما لم يلتزمه</w:t>
      </w:r>
      <w:r>
        <w:rPr>
          <w:rFonts w:ascii="Traditional Arabic" w:hAnsi="Traditional Arabic" w:hint="cs"/>
          <w:noProof w:val="0"/>
          <w:rtl/>
          <w:lang w:eastAsia="en-US"/>
        </w:rPr>
        <w:t>،</w:t>
      </w:r>
      <w:r w:rsidRPr="00126537">
        <w:rPr>
          <w:rFonts w:ascii="Traditional Arabic" w:hAnsi="Traditional Arabic"/>
          <w:noProof w:val="0"/>
          <w:rtl/>
          <w:lang w:eastAsia="en-US"/>
        </w:rPr>
        <w:t xml:space="preserve"> ومعاوضة</w:t>
      </w:r>
      <w:r>
        <w:rPr>
          <w:rFonts w:ascii="Traditional Arabic" w:hAnsi="Traditional Arabic" w:hint="cs"/>
          <w:noProof w:val="0"/>
          <w:rtl/>
          <w:lang w:eastAsia="en-US"/>
        </w:rPr>
        <w:t>ٌ</w:t>
      </w:r>
      <w:r w:rsidRPr="00126537">
        <w:rPr>
          <w:rFonts w:ascii="Traditional Arabic" w:hAnsi="Traditional Arabic"/>
          <w:noProof w:val="0"/>
          <w:rtl/>
          <w:lang w:eastAsia="en-US"/>
        </w:rPr>
        <w:t xml:space="preserve"> لم يرض بها.</w:t>
      </w:r>
    </w:p>
    <w:p w:rsidR="001946A3" w:rsidRDefault="00126537" w:rsidP="00B60EE5">
      <w:pPr>
        <w:ind w:firstLine="720"/>
        <w:rPr>
          <w:rtl/>
        </w:rPr>
      </w:pPr>
      <w:r w:rsidRPr="00126537">
        <w:rPr>
          <w:rFonts w:ascii="Traditional Arabic" w:hAnsi="Traditional Arabic"/>
          <w:noProof w:val="0"/>
          <w:rtl/>
          <w:lang w:eastAsia="en-US"/>
        </w:rPr>
        <w:t>قيل: وهذا أيضا محض</w:t>
      </w:r>
      <w:r>
        <w:rPr>
          <w:rFonts w:ascii="Traditional Arabic" w:hAnsi="Traditional Arabic" w:hint="cs"/>
          <w:noProof w:val="0"/>
          <w:rtl/>
          <w:lang w:eastAsia="en-US"/>
        </w:rPr>
        <w:t>ُ</w:t>
      </w:r>
      <w:r w:rsidRPr="00126537">
        <w:rPr>
          <w:rFonts w:ascii="Traditional Arabic" w:hAnsi="Traditional Arabic"/>
          <w:noProof w:val="0"/>
          <w:rtl/>
          <w:lang w:eastAsia="en-US"/>
        </w:rPr>
        <w:t xml:space="preserve"> القياس والعدل والمصلحة</w:t>
      </w:r>
      <w:r>
        <w:rPr>
          <w:rFonts w:ascii="Traditional Arabic" w:hAnsi="Traditional Arabic" w:hint="cs"/>
          <w:noProof w:val="0"/>
          <w:rtl/>
          <w:lang w:eastAsia="en-US"/>
        </w:rPr>
        <w:t>،</w:t>
      </w:r>
      <w:r w:rsidRPr="00126537">
        <w:rPr>
          <w:rFonts w:ascii="Traditional Arabic" w:hAnsi="Traditional Arabic"/>
          <w:noProof w:val="0"/>
          <w:rtl/>
          <w:lang w:eastAsia="en-US"/>
        </w:rPr>
        <w:t xml:space="preserve"> وموج</w:t>
      </w:r>
      <w:r>
        <w:rPr>
          <w:rFonts w:ascii="Traditional Arabic" w:hAnsi="Traditional Arabic" w:hint="cs"/>
          <w:noProof w:val="0"/>
          <w:rtl/>
          <w:lang w:eastAsia="en-US"/>
        </w:rPr>
        <w:t>َ</w:t>
      </w:r>
      <w:r w:rsidRPr="00126537">
        <w:rPr>
          <w:rFonts w:ascii="Traditional Arabic" w:hAnsi="Traditional Arabic"/>
          <w:noProof w:val="0"/>
          <w:rtl/>
          <w:lang w:eastAsia="en-US"/>
        </w:rPr>
        <w:t>ب الكتاب</w:t>
      </w:r>
      <w:r>
        <w:rPr>
          <w:rFonts w:ascii="Traditional Arabic" w:hAnsi="Traditional Arabic" w:hint="cs"/>
          <w:noProof w:val="0"/>
          <w:rtl/>
          <w:lang w:eastAsia="en-US"/>
        </w:rPr>
        <w:t>...</w:t>
      </w:r>
      <w:r>
        <w:rPr>
          <w:rFonts w:hint="cs"/>
          <w:rtl/>
        </w:rPr>
        <w:t xml:space="preserve"> </w:t>
      </w:r>
      <w:r w:rsidR="00B60EE5" w:rsidRPr="00B60EE5">
        <w:rPr>
          <w:rFonts w:ascii="Traditional Arabic" w:hAnsi="Traditional Arabic"/>
          <w:noProof w:val="0"/>
          <w:rtl/>
          <w:lang w:eastAsia="en-US"/>
        </w:rPr>
        <w:t>فإن الله تعالى قال</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 xml:space="preserve"> </w:t>
      </w:r>
      <w:r w:rsidR="00B60EE5" w:rsidRPr="0070304F">
        <w:rPr>
          <w:rFonts w:ascii="QCF_BSML" w:hAnsi="QCF_BSML" w:cs="QCF_BSML"/>
          <w:noProof w:val="0"/>
          <w:rtl/>
          <w:lang w:eastAsia="en-US"/>
        </w:rPr>
        <w:t xml:space="preserve">ﭽ </w:t>
      </w:r>
      <w:r w:rsidR="00B60EE5" w:rsidRPr="0070304F">
        <w:rPr>
          <w:rFonts w:ascii="QCF_P559" w:hAnsi="QCF_P559" w:cs="QCF_P559"/>
          <w:noProof w:val="0"/>
          <w:rtl/>
          <w:lang w:eastAsia="en-US"/>
        </w:rPr>
        <w:t>ﭦ</w:t>
      </w:r>
      <w:r w:rsidR="00B60EE5">
        <w:rPr>
          <w:rFonts w:ascii="QCF_P559" w:hAnsi="QCF_P559" w:cs="QCF_P559" w:hint="cs"/>
          <w:noProof w:val="0"/>
          <w:rtl/>
          <w:lang w:eastAsia="en-US"/>
        </w:rPr>
        <w:t xml:space="preserve"> </w:t>
      </w:r>
      <w:r w:rsidR="00B60EE5" w:rsidRPr="0070304F">
        <w:rPr>
          <w:rFonts w:ascii="QCF_P559" w:hAnsi="QCF_P559" w:cs="QCF_P559"/>
          <w:noProof w:val="0"/>
          <w:rtl/>
          <w:lang w:eastAsia="en-US"/>
        </w:rPr>
        <w:t>ﭧ</w:t>
      </w:r>
      <w:r w:rsidR="00B60EE5">
        <w:rPr>
          <w:rFonts w:ascii="QCF_P559" w:hAnsi="QCF_P559" w:cs="QCF_P559" w:hint="cs"/>
          <w:noProof w:val="0"/>
          <w:rtl/>
          <w:lang w:eastAsia="en-US"/>
        </w:rPr>
        <w:t xml:space="preserve"> </w:t>
      </w:r>
      <w:r w:rsidR="00B60EE5" w:rsidRPr="0070304F">
        <w:rPr>
          <w:rFonts w:ascii="QCF_P559" w:hAnsi="QCF_P559" w:cs="QCF_P559"/>
          <w:noProof w:val="0"/>
          <w:rtl/>
          <w:lang w:eastAsia="en-US"/>
        </w:rPr>
        <w:t>ﭨ</w:t>
      </w:r>
      <w:r w:rsidR="00B60EE5">
        <w:rPr>
          <w:rFonts w:ascii="QCF_P559" w:hAnsi="QCF_P559" w:cs="QCF_P559" w:hint="cs"/>
          <w:noProof w:val="0"/>
          <w:rtl/>
          <w:lang w:eastAsia="en-US"/>
        </w:rPr>
        <w:t xml:space="preserve"> </w:t>
      </w:r>
      <w:r w:rsidR="00B60EE5" w:rsidRPr="0070304F">
        <w:rPr>
          <w:rFonts w:ascii="QCF_P559" w:hAnsi="QCF_P559" w:cs="QCF_P559"/>
          <w:noProof w:val="0"/>
          <w:rtl/>
          <w:lang w:eastAsia="en-US"/>
        </w:rPr>
        <w:t>ﭩ</w:t>
      </w:r>
      <w:r w:rsidR="00B60EE5">
        <w:rPr>
          <w:rFonts w:ascii="QCF_P559" w:hAnsi="QCF_P559" w:cs="QCF_P559" w:hint="cs"/>
          <w:noProof w:val="0"/>
          <w:rtl/>
          <w:lang w:eastAsia="en-US"/>
        </w:rPr>
        <w:t xml:space="preserve"> </w:t>
      </w:r>
      <w:r w:rsidR="00B60EE5" w:rsidRPr="0070304F">
        <w:rPr>
          <w:rFonts w:ascii="QCF_P559" w:hAnsi="QCF_P559" w:cs="QCF_P559"/>
          <w:noProof w:val="0"/>
          <w:rtl/>
          <w:lang w:eastAsia="en-US"/>
        </w:rPr>
        <w:t>ﭪ</w:t>
      </w:r>
      <w:r w:rsidR="00B60EE5" w:rsidRPr="0070304F">
        <w:rPr>
          <w:rFonts w:ascii="QCF_BSML" w:hAnsi="QCF_BSML" w:cs="QCF_BSML"/>
          <w:noProof w:val="0"/>
          <w:rtl/>
          <w:lang w:eastAsia="en-US"/>
        </w:rPr>
        <w:t>ﭼ</w:t>
      </w:r>
      <w:r w:rsidR="00B60EE5" w:rsidRPr="00B60EE5">
        <w:rPr>
          <w:rFonts w:ascii="Traditional Arabic" w:hAnsi="Traditional Arabic"/>
          <w:noProof w:val="0"/>
          <w:rtl/>
          <w:lang w:eastAsia="en-US"/>
        </w:rPr>
        <w:t xml:space="preserve"> فأمر بإيتاء</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 xml:space="preserve"> الأجر بمجر</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د</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 xml:space="preserve"> الإرضاع</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 xml:space="preserve"> ولم يشترط عقدا</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 xml:space="preserve"> ولا إذ</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ن</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 xml:space="preserve"> الأب</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 xml:space="preserve"> وكذلك قوله</w:t>
      </w:r>
      <w:r w:rsidR="00B60EE5">
        <w:rPr>
          <w:rFonts w:ascii="Traditional Arabic" w:hAnsi="Traditional Arabic" w:hint="cs"/>
          <w:noProof w:val="0"/>
          <w:rtl/>
          <w:lang w:eastAsia="en-US"/>
        </w:rPr>
        <w:t>:</w:t>
      </w:r>
      <w:r w:rsidR="00B60EE5" w:rsidRPr="00B60EE5">
        <w:rPr>
          <w:rFonts w:ascii="Traditional Arabic" w:hAnsi="Traditional Arabic"/>
          <w:noProof w:val="0"/>
          <w:rtl/>
          <w:lang w:eastAsia="en-US"/>
        </w:rPr>
        <w:t xml:space="preserve"> </w:t>
      </w:r>
      <w:r w:rsidR="00B60EE5" w:rsidRPr="0070304F">
        <w:rPr>
          <w:rFonts w:ascii="QCF_BSML" w:hAnsi="QCF_BSML" w:cs="QCF_BSML"/>
          <w:noProof w:val="0"/>
          <w:rtl/>
          <w:lang w:eastAsia="en-US"/>
        </w:rPr>
        <w:t>ﭽ</w:t>
      </w:r>
      <w:r w:rsidR="00B60EE5" w:rsidRPr="0070304F">
        <w:rPr>
          <w:rFonts w:ascii="QCF_P037" w:hAnsi="QCF_P037" w:cs="QCF_P037"/>
          <w:noProof w:val="0"/>
          <w:rtl/>
          <w:lang w:eastAsia="en-US"/>
        </w:rPr>
        <w:t>ﮪ</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ﮫ</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ﮬ</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ﮭ</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ﮮ</w:t>
      </w:r>
      <w:r w:rsidR="00B60EE5">
        <w:rPr>
          <w:rFonts w:ascii="QCF_P037" w:hAnsi="QCF_P037" w:cs="QCF_P037" w:hint="cs"/>
          <w:noProof w:val="0"/>
          <w:rtl/>
          <w:lang w:eastAsia="en-US"/>
        </w:rPr>
        <w:t xml:space="preserve"> </w:t>
      </w:r>
      <w:r w:rsidR="00B60EE5" w:rsidRPr="0070304F">
        <w:rPr>
          <w:rFonts w:ascii="QCF_P037" w:hAnsi="QCF_P037" w:cs="QCF_P037"/>
          <w:noProof w:val="0"/>
          <w:color w:val="0000A5"/>
          <w:rtl/>
          <w:lang w:eastAsia="en-US"/>
        </w:rPr>
        <w:t>ﮯ</w:t>
      </w:r>
      <w:r w:rsidR="00B60EE5" w:rsidRPr="0070304F">
        <w:rPr>
          <w:rFonts w:ascii="QCF_P037" w:hAnsi="QCF_P037" w:cs="QCF_P037"/>
          <w:noProof w:val="0"/>
          <w:rtl/>
          <w:lang w:eastAsia="en-US"/>
        </w:rPr>
        <w:t>ﮰ</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ﮱ</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ﯓ</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ﯔ</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lastRenderedPageBreak/>
        <w:t>ﯕ</w:t>
      </w:r>
      <w:r w:rsidR="00B60EE5" w:rsidRPr="0070304F">
        <w:rPr>
          <w:rFonts w:ascii="QCF_P037" w:hAnsi="QCF_P037" w:cs="QCF_P037"/>
          <w:noProof w:val="0"/>
          <w:color w:val="0000A5"/>
          <w:rtl/>
          <w:lang w:eastAsia="en-US"/>
        </w:rPr>
        <w:t>ﯖ</w:t>
      </w:r>
      <w:r w:rsidR="00B60EE5" w:rsidRPr="0070304F">
        <w:rPr>
          <w:rFonts w:ascii="QCF_P037" w:hAnsi="QCF_P037" w:cs="QCF_P037"/>
          <w:noProof w:val="0"/>
          <w:rtl/>
          <w:lang w:eastAsia="en-US"/>
        </w:rPr>
        <w:t>ﯗ</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ﯘ</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ﯙ</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ﯚ</w:t>
      </w:r>
      <w:r w:rsidR="00B60EE5">
        <w:rPr>
          <w:rFonts w:ascii="QCF_P037" w:hAnsi="QCF_P037" w:cs="QCF_P037" w:hint="cs"/>
          <w:noProof w:val="0"/>
          <w:rtl/>
          <w:lang w:eastAsia="en-US"/>
        </w:rPr>
        <w:t xml:space="preserve">  </w:t>
      </w:r>
      <w:r w:rsidR="00B60EE5" w:rsidRPr="0070304F">
        <w:rPr>
          <w:rFonts w:ascii="QCF_P037" w:hAnsi="QCF_P037" w:cs="QCF_P037"/>
          <w:noProof w:val="0"/>
          <w:rtl/>
          <w:lang w:eastAsia="en-US"/>
        </w:rPr>
        <w:t>ﯛﯜ</w:t>
      </w:r>
      <w:r w:rsidR="00B60EE5" w:rsidRPr="0070304F">
        <w:rPr>
          <w:rFonts w:ascii="QCF_BSML" w:hAnsi="QCF_BSML" w:cs="QCF_BSML"/>
          <w:noProof w:val="0"/>
          <w:rtl/>
          <w:lang w:eastAsia="en-US"/>
        </w:rPr>
        <w:t>ﭼ</w:t>
      </w:r>
      <w:r w:rsidR="00B60EE5">
        <w:rPr>
          <w:rFonts w:ascii="Traditional Arabic" w:hAnsi="Traditional Arabic" w:hint="cs"/>
          <w:noProof w:val="0"/>
          <w:rtl/>
          <w:lang w:eastAsia="en-US"/>
        </w:rPr>
        <w:t xml:space="preserve">، </w:t>
      </w:r>
      <w:r w:rsidR="00B60EE5" w:rsidRPr="00B60EE5">
        <w:rPr>
          <w:rFonts w:ascii="Traditional Arabic" w:hAnsi="Traditional Arabic"/>
          <w:noProof w:val="0"/>
          <w:rtl/>
          <w:lang w:eastAsia="en-US"/>
        </w:rPr>
        <w:t>فأوجب ذلك عليه ولم يشترط عقدا ولا إذنا</w:t>
      </w:r>
      <w:r w:rsidR="001946A3" w:rsidRPr="00C821A1">
        <w:rPr>
          <w:rStyle w:val="af1"/>
          <w:szCs w:val="32"/>
          <w:rtl/>
        </w:rPr>
        <w:t>(</w:t>
      </w:r>
      <w:r w:rsidR="001946A3" w:rsidRPr="00C821A1">
        <w:rPr>
          <w:rStyle w:val="af1"/>
          <w:szCs w:val="32"/>
          <w:rtl/>
        </w:rPr>
        <w:footnoteReference w:id="785"/>
      </w:r>
      <w:r w:rsidR="001946A3" w:rsidRPr="00C821A1">
        <w:rPr>
          <w:rStyle w:val="af1"/>
          <w:szCs w:val="32"/>
          <w:rtl/>
        </w:rPr>
        <w:t>)</w:t>
      </w:r>
      <w:r w:rsidR="001946A3">
        <w:rPr>
          <w:rFonts w:hint="cs"/>
          <w:rtl/>
        </w:rPr>
        <w:t>.</w:t>
      </w:r>
    </w:p>
    <w:p w:rsidR="001946A3" w:rsidRPr="00DD4E1A" w:rsidRDefault="001946A3" w:rsidP="000A76C7">
      <w:pPr>
        <w:pStyle w:val="afc"/>
        <w:numPr>
          <w:ilvl w:val="0"/>
          <w:numId w:val="120"/>
        </w:numPr>
      </w:pPr>
      <w:r>
        <w:rPr>
          <w:rFonts w:hint="cs"/>
          <w:rtl/>
        </w:rPr>
        <w:t>قول الله تعالى:</w:t>
      </w:r>
      <w:bookmarkStart w:id="154" w:name="سورة_الرحمان_60"/>
      <w:r w:rsidRPr="00DD4E1A">
        <w:rPr>
          <w:rFonts w:ascii="QCF_BSML" w:hAnsi="QCF_BSML" w:cs="QCF_BSML"/>
          <w:noProof w:val="0"/>
          <w:rtl/>
          <w:lang w:eastAsia="en-US"/>
        </w:rPr>
        <w:t>ﭽ</w:t>
      </w:r>
      <w:r w:rsidRPr="00DD4E1A">
        <w:rPr>
          <w:rFonts w:ascii="QCF_P533" w:hAnsi="QCF_P533" w:cs="QCF_P533"/>
          <w:noProof w:val="0"/>
          <w:rtl/>
          <w:lang w:eastAsia="en-US"/>
        </w:rPr>
        <w:t>ﯟ</w:t>
      </w:r>
      <w:r w:rsidR="00790371">
        <w:rPr>
          <w:rFonts w:ascii="QCF_P533" w:hAnsi="QCF_P533" w:cs="QCF_P533" w:hint="cs"/>
          <w:noProof w:val="0"/>
          <w:rtl/>
          <w:lang w:eastAsia="en-US"/>
        </w:rPr>
        <w:t xml:space="preserve"> </w:t>
      </w:r>
      <w:r w:rsidRPr="00DD4E1A">
        <w:rPr>
          <w:rFonts w:ascii="QCF_P533" w:hAnsi="QCF_P533" w:cs="QCF_P533"/>
          <w:noProof w:val="0"/>
          <w:rtl/>
          <w:lang w:eastAsia="en-US"/>
        </w:rPr>
        <w:t>ﯠ</w:t>
      </w:r>
      <w:r w:rsidR="00790371">
        <w:rPr>
          <w:rFonts w:ascii="QCF_P533" w:hAnsi="QCF_P533" w:cs="QCF_P533" w:hint="cs"/>
          <w:noProof w:val="0"/>
          <w:rtl/>
          <w:lang w:eastAsia="en-US"/>
        </w:rPr>
        <w:t xml:space="preserve"> </w:t>
      </w:r>
      <w:r w:rsidRPr="00DD4E1A">
        <w:rPr>
          <w:rFonts w:ascii="QCF_P533" w:hAnsi="QCF_P533" w:cs="QCF_P533"/>
          <w:noProof w:val="0"/>
          <w:rtl/>
          <w:lang w:eastAsia="en-US"/>
        </w:rPr>
        <w:t>ﯡ</w:t>
      </w:r>
      <w:r w:rsidR="00790371">
        <w:rPr>
          <w:rFonts w:ascii="QCF_P533" w:hAnsi="QCF_P533" w:cs="QCF_P533" w:hint="cs"/>
          <w:noProof w:val="0"/>
          <w:rtl/>
          <w:lang w:eastAsia="en-US"/>
        </w:rPr>
        <w:t xml:space="preserve"> </w:t>
      </w:r>
      <w:r w:rsidRPr="00DD4E1A">
        <w:rPr>
          <w:rFonts w:ascii="QCF_P533" w:hAnsi="QCF_P533" w:cs="QCF_P533"/>
          <w:noProof w:val="0"/>
          <w:rtl/>
          <w:lang w:eastAsia="en-US"/>
        </w:rPr>
        <w:t>ﯢ</w:t>
      </w:r>
      <w:r w:rsidR="00790371">
        <w:rPr>
          <w:rFonts w:ascii="QCF_P533" w:hAnsi="QCF_P533" w:cs="QCF_P533" w:hint="cs"/>
          <w:noProof w:val="0"/>
          <w:rtl/>
          <w:lang w:eastAsia="en-US"/>
        </w:rPr>
        <w:t xml:space="preserve"> </w:t>
      </w:r>
      <w:r w:rsidRPr="00DD4E1A">
        <w:rPr>
          <w:rFonts w:ascii="QCF_P533" w:hAnsi="QCF_P533" w:cs="QCF_P533"/>
          <w:noProof w:val="0"/>
          <w:rtl/>
          <w:lang w:eastAsia="en-US"/>
        </w:rPr>
        <w:t>ﯣ</w:t>
      </w:r>
      <w:r w:rsidRPr="00DD4E1A">
        <w:rPr>
          <w:rFonts w:ascii="QCF_BSML" w:hAnsi="QCF_BSML" w:cs="QCF_BSML"/>
          <w:noProof w:val="0"/>
          <w:rtl/>
          <w:lang w:eastAsia="en-US"/>
        </w:rPr>
        <w:t>ﭼ</w:t>
      </w:r>
      <w:bookmarkEnd w:id="154"/>
      <w:r>
        <w:rPr>
          <w:rFonts w:ascii="Traditional Arabic" w:hAnsi="Traditional Arabic" w:hint="cs"/>
          <w:noProof w:val="0"/>
          <w:color w:val="auto"/>
          <w:rtl/>
          <w:lang w:eastAsia="en-US"/>
        </w:rPr>
        <w:t>[</w:t>
      </w:r>
      <w:r w:rsidRPr="00DD4E1A">
        <w:rPr>
          <w:rFonts w:ascii="Traditional Arabic" w:hAnsi="Traditional Arabic"/>
          <w:noProof w:val="0"/>
          <w:color w:val="auto"/>
          <w:rtl/>
          <w:lang w:eastAsia="en-US"/>
        </w:rPr>
        <w:t>الرحمن: ٦٠</w:t>
      </w:r>
      <w:r>
        <w:rPr>
          <w:rFonts w:ascii="Traditional Arabic" w:hAnsi="Traditional Arabic" w:hint="cs"/>
          <w:noProof w:val="0"/>
          <w:color w:val="auto"/>
          <w:rtl/>
          <w:lang w:eastAsia="en-US"/>
        </w:rPr>
        <w:t>].</w:t>
      </w:r>
    </w:p>
    <w:p w:rsidR="001946A3" w:rsidRDefault="001946A3" w:rsidP="00597C20">
      <w:pPr>
        <w:pStyle w:val="53"/>
        <w:rPr>
          <w:rtl/>
        </w:rPr>
      </w:pPr>
      <w:r>
        <w:rPr>
          <w:rFonts w:hint="cs"/>
          <w:rtl/>
        </w:rPr>
        <w:t>وجه الدلالة:</w:t>
      </w:r>
    </w:p>
    <w:p w:rsidR="001946A3" w:rsidRPr="003C1718" w:rsidRDefault="001A1608" w:rsidP="003C1718">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color w:val="auto"/>
          <w:rtl/>
          <w:lang w:eastAsia="en-US"/>
        </w:rPr>
        <w:t>قال ابن القيم _رحمه الله_: (</w:t>
      </w:r>
      <w:r w:rsidRPr="001A1608">
        <w:rPr>
          <w:rFonts w:ascii="Traditional Arabic" w:hAnsi="Traditional Arabic"/>
          <w:noProof w:val="0"/>
          <w:rtl/>
          <w:lang w:eastAsia="en-US"/>
        </w:rPr>
        <w:t>ومما يدل على أن من أدى عن غيره واجبا أنه يرجع عليه به</w:t>
      </w:r>
      <w:r>
        <w:rPr>
          <w:rFonts w:ascii="Traditional Arabic" w:hAnsi="Traditional Arabic" w:hint="cs"/>
          <w:noProof w:val="0"/>
          <w:rtl/>
          <w:lang w:eastAsia="en-US"/>
        </w:rPr>
        <w:t>،</w:t>
      </w:r>
      <w:r>
        <w:rPr>
          <w:rFonts w:ascii="Traditional Arabic" w:hAnsi="Traditional Arabic"/>
          <w:noProof w:val="0"/>
          <w:rtl/>
          <w:lang w:eastAsia="en-US"/>
        </w:rPr>
        <w:t xml:space="preserve"> قوله تعالى</w:t>
      </w:r>
      <w:r>
        <w:rPr>
          <w:rFonts w:ascii="Traditional Arabic" w:hAnsi="Traditional Arabic" w:hint="cs"/>
          <w:noProof w:val="0"/>
          <w:rtl/>
          <w:lang w:eastAsia="en-US"/>
        </w:rPr>
        <w:t xml:space="preserve">: </w:t>
      </w:r>
      <w:r w:rsidRPr="001A1608">
        <w:rPr>
          <w:rFonts w:ascii="Traditional Arabic" w:hAnsi="Traditional Arabic"/>
          <w:noProof w:val="0"/>
          <w:rtl/>
          <w:lang w:eastAsia="en-US"/>
        </w:rPr>
        <w:t xml:space="preserve"> </w:t>
      </w:r>
      <w:r w:rsidRPr="00DD4E1A">
        <w:rPr>
          <w:rFonts w:ascii="QCF_BSML" w:hAnsi="QCF_BSML" w:cs="QCF_BSML"/>
          <w:noProof w:val="0"/>
          <w:rtl/>
          <w:lang w:eastAsia="en-US"/>
        </w:rPr>
        <w:t>ﭽ</w:t>
      </w:r>
      <w:r w:rsidRPr="00DD4E1A">
        <w:rPr>
          <w:rFonts w:ascii="QCF_P533" w:hAnsi="QCF_P533" w:cs="QCF_P533"/>
          <w:noProof w:val="0"/>
          <w:rtl/>
          <w:lang w:eastAsia="en-US"/>
        </w:rPr>
        <w:t>ﯟ</w:t>
      </w:r>
      <w:r>
        <w:rPr>
          <w:rFonts w:ascii="QCF_P533" w:hAnsi="QCF_P533" w:cs="QCF_P533" w:hint="cs"/>
          <w:noProof w:val="0"/>
          <w:rtl/>
          <w:lang w:eastAsia="en-US"/>
        </w:rPr>
        <w:t xml:space="preserve"> </w:t>
      </w:r>
      <w:r w:rsidRPr="00DD4E1A">
        <w:rPr>
          <w:rFonts w:ascii="QCF_P533" w:hAnsi="QCF_P533" w:cs="QCF_P533"/>
          <w:noProof w:val="0"/>
          <w:rtl/>
          <w:lang w:eastAsia="en-US"/>
        </w:rPr>
        <w:t>ﯠ</w:t>
      </w:r>
      <w:r>
        <w:rPr>
          <w:rFonts w:ascii="QCF_P533" w:hAnsi="QCF_P533" w:cs="QCF_P533" w:hint="cs"/>
          <w:noProof w:val="0"/>
          <w:rtl/>
          <w:lang w:eastAsia="en-US"/>
        </w:rPr>
        <w:t xml:space="preserve"> </w:t>
      </w:r>
      <w:r w:rsidRPr="00DD4E1A">
        <w:rPr>
          <w:rFonts w:ascii="QCF_P533" w:hAnsi="QCF_P533" w:cs="QCF_P533"/>
          <w:noProof w:val="0"/>
          <w:rtl/>
          <w:lang w:eastAsia="en-US"/>
        </w:rPr>
        <w:t>ﯡ</w:t>
      </w:r>
      <w:r>
        <w:rPr>
          <w:rFonts w:ascii="QCF_P533" w:hAnsi="QCF_P533" w:cs="QCF_P533" w:hint="cs"/>
          <w:noProof w:val="0"/>
          <w:rtl/>
          <w:lang w:eastAsia="en-US"/>
        </w:rPr>
        <w:t xml:space="preserve"> </w:t>
      </w:r>
      <w:r w:rsidRPr="00DD4E1A">
        <w:rPr>
          <w:rFonts w:ascii="QCF_P533" w:hAnsi="QCF_P533" w:cs="QCF_P533"/>
          <w:noProof w:val="0"/>
          <w:rtl/>
          <w:lang w:eastAsia="en-US"/>
        </w:rPr>
        <w:t>ﯢ</w:t>
      </w:r>
      <w:r>
        <w:rPr>
          <w:rFonts w:ascii="QCF_P533" w:hAnsi="QCF_P533" w:cs="QCF_P533" w:hint="cs"/>
          <w:noProof w:val="0"/>
          <w:rtl/>
          <w:lang w:eastAsia="en-US"/>
        </w:rPr>
        <w:t xml:space="preserve"> </w:t>
      </w:r>
      <w:r w:rsidRPr="00DD4E1A">
        <w:rPr>
          <w:rFonts w:ascii="QCF_P533" w:hAnsi="QCF_P533" w:cs="QCF_P533"/>
          <w:noProof w:val="0"/>
          <w:rtl/>
          <w:lang w:eastAsia="en-US"/>
        </w:rPr>
        <w:t>ﯣ</w:t>
      </w:r>
      <w:r w:rsidRPr="00DD4E1A">
        <w:rPr>
          <w:rFonts w:ascii="QCF_BSML" w:hAnsi="QCF_BSML" w:cs="QCF_BSML"/>
          <w:noProof w:val="0"/>
          <w:rtl/>
          <w:lang w:eastAsia="en-US"/>
        </w:rPr>
        <w:t>ﭼ</w:t>
      </w:r>
      <w:r>
        <w:rPr>
          <w:rFonts w:ascii="Traditional Arabic" w:hAnsi="Traditional Arabic" w:hint="cs"/>
          <w:noProof w:val="0"/>
          <w:rtl/>
          <w:lang w:eastAsia="en-US"/>
        </w:rPr>
        <w:t>،</w:t>
      </w:r>
      <w:r w:rsidRPr="001A1608">
        <w:rPr>
          <w:rFonts w:ascii="Traditional Arabic" w:hAnsi="Traditional Arabic"/>
          <w:noProof w:val="0"/>
          <w:rtl/>
          <w:lang w:eastAsia="en-US"/>
        </w:rPr>
        <w:t xml:space="preserve"> و</w:t>
      </w:r>
      <w:r w:rsidR="001946A3" w:rsidRPr="00F128C5">
        <w:rPr>
          <w:rFonts w:ascii="Traditional Arabic" w:hAnsi="Traditional Arabic" w:hint="cs"/>
          <w:noProof w:val="0"/>
          <w:color w:val="auto"/>
          <w:rtl/>
          <w:lang w:eastAsia="en-US"/>
        </w:rPr>
        <w:t xml:space="preserve">ليس مِن جَزاء </w:t>
      </w:r>
      <w:r>
        <w:rPr>
          <w:rFonts w:ascii="Traditional Arabic" w:hAnsi="Traditional Arabic" w:hint="cs"/>
          <w:noProof w:val="0"/>
          <w:color w:val="auto"/>
          <w:rtl/>
          <w:lang w:eastAsia="en-US"/>
        </w:rPr>
        <w:t xml:space="preserve">هذا </w:t>
      </w:r>
      <w:r w:rsidR="001946A3" w:rsidRPr="00F128C5">
        <w:rPr>
          <w:rFonts w:ascii="Traditional Arabic" w:hAnsi="Traditional Arabic" w:hint="cs"/>
          <w:noProof w:val="0"/>
          <w:color w:val="auto"/>
          <w:rtl/>
          <w:lang w:eastAsia="en-US"/>
        </w:rPr>
        <w:t>المُحْسِن بتخليص مَن أحسَن إليه، بأداءِ دَينه، وفَكِّ أَسْره منه، وحَلِّ وَثاقه أن يَضيع عليه معروفُه وإحسانُه، و</w:t>
      </w:r>
      <w:r w:rsidR="003C1718">
        <w:rPr>
          <w:rFonts w:ascii="Traditional Arabic" w:hAnsi="Traditional Arabic" w:hint="cs"/>
          <w:noProof w:val="0"/>
          <w:color w:val="auto"/>
          <w:rtl/>
          <w:lang w:eastAsia="en-US"/>
        </w:rPr>
        <w:t>أن يكون جزاؤه منه بإضاعةِ مالِه</w:t>
      </w:r>
      <w:r w:rsidR="001946A3" w:rsidRPr="00F128C5">
        <w:rPr>
          <w:rFonts w:ascii="Traditional Arabic" w:hAnsi="Traditional Arabic" w:hint="cs"/>
          <w:noProof w:val="0"/>
          <w:color w:val="auto"/>
          <w:rtl/>
          <w:lang w:eastAsia="en-US"/>
        </w:rPr>
        <w:t xml:space="preserve"> ومكافأتِه</w:t>
      </w:r>
      <w:r w:rsidR="003C1718">
        <w:rPr>
          <w:rFonts w:ascii="Traditional Arabic" w:hAnsi="Traditional Arabic" w:hint="cs"/>
          <w:noProof w:val="0"/>
          <w:color w:val="auto"/>
          <w:rtl/>
          <w:lang w:eastAsia="en-US"/>
        </w:rPr>
        <w:t xml:space="preserve"> عليه بالإساءة، و</w:t>
      </w:r>
      <w:r w:rsidR="003C1718" w:rsidRPr="003C1718">
        <w:rPr>
          <w:rFonts w:ascii="Traditional Arabic" w:hAnsi="Traditional Arabic"/>
          <w:noProof w:val="0"/>
          <w:rtl/>
          <w:lang w:eastAsia="en-US"/>
        </w:rPr>
        <w:t>قد قال النبي صلى الله عليه وسلم: "من أسدى إليكم معروفا فكافئوه"</w:t>
      </w:r>
      <w:r w:rsidR="002A0C79" w:rsidRPr="002A0C79">
        <w:rPr>
          <w:rFonts w:ascii="Traditional Arabic" w:hAnsi="Traditional Arabic" w:hint="cs"/>
          <w:noProof w:val="0"/>
          <w:vertAlign w:val="superscript"/>
          <w:rtl/>
          <w:lang w:eastAsia="en-US"/>
        </w:rPr>
        <w:t>(</w:t>
      </w:r>
      <w:r w:rsidR="003C1718" w:rsidRPr="002A0C79">
        <w:rPr>
          <w:rStyle w:val="af1"/>
          <w:rFonts w:ascii="Traditional Arabic" w:hAnsi="Traditional Arabic"/>
          <w:noProof w:val="0"/>
          <w:rtl/>
          <w:lang w:eastAsia="en-US"/>
        </w:rPr>
        <w:footnoteReference w:id="786"/>
      </w:r>
      <w:r w:rsidR="002A0C79" w:rsidRPr="002A0C79">
        <w:rPr>
          <w:rFonts w:ascii="Traditional Arabic" w:hAnsi="Traditional Arabic" w:hint="cs"/>
          <w:noProof w:val="0"/>
          <w:vertAlign w:val="superscript"/>
          <w:rtl/>
          <w:lang w:eastAsia="en-US"/>
        </w:rPr>
        <w:t>)</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وأي</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معروف</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فوق معروف</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هذا الذي افتك</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أخاه من أسر الدين</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وأي مكافأة</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أقبح</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من إضاعة مال</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ه عليه وذهاب</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ه</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وإذا كانت الهدية</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التي هي تبر</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ع</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محض</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قد ش</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رعت المكافأة عليها</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وهي من أخلاق المؤمنين</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فكيف ي</w:t>
      </w:r>
      <w:r w:rsidR="003C1718">
        <w:rPr>
          <w:rFonts w:ascii="Traditional Arabic" w:hAnsi="Traditional Arabic" w:hint="cs"/>
          <w:noProof w:val="0"/>
          <w:rtl/>
          <w:lang w:eastAsia="en-US"/>
        </w:rPr>
        <w:t>ُ</w:t>
      </w:r>
      <w:r w:rsidR="003C1718">
        <w:rPr>
          <w:rFonts w:ascii="Traditional Arabic" w:hAnsi="Traditional Arabic"/>
          <w:noProof w:val="0"/>
          <w:rtl/>
          <w:lang w:eastAsia="en-US"/>
        </w:rPr>
        <w:t>شرع جواز ترك المكاف</w:t>
      </w:r>
      <w:r w:rsidR="003C1718">
        <w:rPr>
          <w:rFonts w:ascii="Traditional Arabic" w:hAnsi="Traditional Arabic" w:hint="cs"/>
          <w:noProof w:val="0"/>
          <w:rtl/>
          <w:lang w:eastAsia="en-US"/>
        </w:rPr>
        <w:t>أة</w:t>
      </w:r>
      <w:r w:rsidR="003C1718" w:rsidRPr="003C1718">
        <w:rPr>
          <w:rFonts w:ascii="Traditional Arabic" w:hAnsi="Traditional Arabic"/>
          <w:noProof w:val="0"/>
          <w:rtl/>
          <w:lang w:eastAsia="en-US"/>
        </w:rPr>
        <w:t xml:space="preserve"> على ما هو م</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ن أعظم المعروف</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وقد عقد الله سبحانه وتعالى الموالاة بين المؤمنين</w:t>
      </w:r>
      <w:r w:rsidR="003C1718">
        <w:rPr>
          <w:rFonts w:ascii="Traditional Arabic" w:hAnsi="Traditional Arabic" w:hint="cs"/>
          <w:noProof w:val="0"/>
          <w:rtl/>
          <w:lang w:eastAsia="en-US"/>
        </w:rPr>
        <w:t>،</w:t>
      </w:r>
      <w:r w:rsidR="003C1718">
        <w:rPr>
          <w:rFonts w:ascii="Traditional Arabic" w:hAnsi="Traditional Arabic"/>
          <w:noProof w:val="0"/>
          <w:rtl/>
          <w:lang w:eastAsia="en-US"/>
        </w:rPr>
        <w:t xml:space="preserve"> وجعل بعض</w:t>
      </w:r>
      <w:r w:rsidR="003C1718">
        <w:rPr>
          <w:rFonts w:ascii="Traditional Arabic" w:hAnsi="Traditional Arabic" w:hint="cs"/>
          <w:noProof w:val="0"/>
          <w:rtl/>
          <w:lang w:eastAsia="en-US"/>
        </w:rPr>
        <w:t>َ</w:t>
      </w:r>
      <w:r w:rsidR="003C1718">
        <w:rPr>
          <w:rFonts w:ascii="Traditional Arabic" w:hAnsi="Traditional Arabic"/>
          <w:noProof w:val="0"/>
          <w:rtl/>
          <w:lang w:eastAsia="en-US"/>
        </w:rPr>
        <w:t xml:space="preserve">هم </w:t>
      </w:r>
      <w:r w:rsidR="003C1718">
        <w:rPr>
          <w:rFonts w:ascii="Traditional Arabic" w:hAnsi="Traditional Arabic" w:hint="cs"/>
          <w:noProof w:val="0"/>
          <w:rtl/>
          <w:lang w:eastAsia="en-US"/>
        </w:rPr>
        <w:t>أ</w:t>
      </w:r>
      <w:r w:rsidR="003C1718" w:rsidRPr="003C1718">
        <w:rPr>
          <w:rFonts w:ascii="Traditional Arabic" w:hAnsi="Traditional Arabic"/>
          <w:noProof w:val="0"/>
          <w:rtl/>
          <w:lang w:eastAsia="en-US"/>
        </w:rPr>
        <w:t>ولياء بعض</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فمن أدى عن ولي</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ه واجبا</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كان نائب</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ه فيه</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بمنزلة</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وكيله</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وولي</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م</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ن أقامه الشرع</w:t>
      </w:r>
      <w:r w:rsidR="003C1718">
        <w:rPr>
          <w:rFonts w:ascii="Traditional Arabic" w:hAnsi="Traditional Arabic" w:hint="cs"/>
          <w:noProof w:val="0"/>
          <w:rtl/>
          <w:lang w:eastAsia="en-US"/>
        </w:rPr>
        <w:t>ُ</w:t>
      </w:r>
      <w:r w:rsidR="003C1718" w:rsidRPr="003C1718">
        <w:rPr>
          <w:rFonts w:ascii="Traditional Arabic" w:hAnsi="Traditional Arabic"/>
          <w:noProof w:val="0"/>
          <w:rtl/>
          <w:lang w:eastAsia="en-US"/>
        </w:rPr>
        <w:t xml:space="preserve"> للنظر في مصالحه ل</w:t>
      </w:r>
      <w:r w:rsidR="003C1718">
        <w:rPr>
          <w:rFonts w:ascii="Traditional Arabic" w:hAnsi="Traditional Arabic" w:hint="cs"/>
          <w:noProof w:val="0"/>
          <w:rtl/>
          <w:lang w:eastAsia="en-US"/>
        </w:rPr>
        <w:t>ِ</w:t>
      </w:r>
      <w:r w:rsidR="003C1718">
        <w:rPr>
          <w:rFonts w:ascii="Traditional Arabic" w:hAnsi="Traditional Arabic"/>
          <w:noProof w:val="0"/>
          <w:rtl/>
          <w:lang w:eastAsia="en-US"/>
        </w:rPr>
        <w:t xml:space="preserve">ضعفه </w:t>
      </w:r>
      <w:r w:rsidR="003C1718">
        <w:rPr>
          <w:rFonts w:ascii="Traditional Arabic" w:hAnsi="Traditional Arabic" w:hint="cs"/>
          <w:noProof w:val="0"/>
          <w:rtl/>
          <w:lang w:eastAsia="en-US"/>
        </w:rPr>
        <w:t>أ</w:t>
      </w:r>
      <w:r w:rsidR="003C1718" w:rsidRPr="003C1718">
        <w:rPr>
          <w:rFonts w:ascii="Traditional Arabic" w:hAnsi="Traditional Arabic"/>
          <w:noProof w:val="0"/>
          <w:rtl/>
          <w:lang w:eastAsia="en-US"/>
        </w:rPr>
        <w:t>و عجزه</w:t>
      </w:r>
      <w:r w:rsidR="003C1718">
        <w:rPr>
          <w:rFonts w:ascii="Traditional Arabic" w:hAnsi="Traditional Arabic" w:hint="cs"/>
          <w:noProof w:val="0"/>
          <w:rtl/>
          <w:lang w:eastAsia="en-US"/>
        </w:rPr>
        <w:t>)</w:t>
      </w:r>
      <w:r w:rsidR="001946A3" w:rsidRPr="00F128C5">
        <w:rPr>
          <w:rFonts w:ascii="Traditional Arabic" w:hAnsi="Traditional Arabic" w:hint="cs"/>
          <w:noProof w:val="0"/>
          <w:color w:val="auto"/>
          <w:rtl/>
          <w:lang w:eastAsia="en-US"/>
        </w:rPr>
        <w:t xml:space="preserve"> </w:t>
      </w:r>
      <w:r w:rsidR="001946A3" w:rsidRPr="00C821A1">
        <w:rPr>
          <w:rStyle w:val="af1"/>
          <w:szCs w:val="32"/>
          <w:rtl/>
        </w:rPr>
        <w:t>(</w:t>
      </w:r>
      <w:r w:rsidR="001946A3" w:rsidRPr="00C821A1">
        <w:rPr>
          <w:rStyle w:val="af1"/>
          <w:szCs w:val="32"/>
          <w:rtl/>
        </w:rPr>
        <w:footnoteReference w:id="787"/>
      </w:r>
      <w:r w:rsidR="001946A3" w:rsidRPr="00C821A1">
        <w:rPr>
          <w:rStyle w:val="af1"/>
          <w:szCs w:val="32"/>
          <w:rtl/>
        </w:rPr>
        <w:t>)</w:t>
      </w:r>
      <w:r w:rsidR="001946A3" w:rsidRPr="00F128C5">
        <w:rPr>
          <w:rFonts w:ascii="Traditional Arabic" w:hAnsi="Traditional Arabic" w:hint="cs"/>
          <w:noProof w:val="0"/>
          <w:color w:val="auto"/>
          <w:rtl/>
          <w:lang w:eastAsia="en-US"/>
        </w:rPr>
        <w:t>.</w:t>
      </w:r>
    </w:p>
    <w:p w:rsidR="001946A3" w:rsidRPr="001946A3" w:rsidRDefault="00AD7603" w:rsidP="00A8347C">
      <w:pPr>
        <w:pStyle w:val="aff3"/>
        <w:rPr>
          <w:rtl/>
        </w:rPr>
      </w:pPr>
      <w:bookmarkStart w:id="155" w:name="_Toc334046397"/>
      <w:r>
        <w:rPr>
          <w:rFonts w:hint="cs"/>
          <w:rtl/>
        </w:rPr>
        <w:lastRenderedPageBreak/>
        <w:t xml:space="preserve">                                     </w:t>
      </w:r>
      <w:r w:rsidR="001946A3" w:rsidRPr="001946A3">
        <w:rPr>
          <w:rFonts w:hint="cs"/>
          <w:rtl/>
        </w:rPr>
        <w:t>المطلب الرابع</w:t>
      </w:r>
      <w:r w:rsidR="001946A3">
        <w:rPr>
          <w:rFonts w:hint="eastAsia"/>
          <w:rtl/>
        </w:rPr>
        <w:t> :</w:t>
      </w:r>
      <w:r w:rsidR="001946A3">
        <w:rPr>
          <w:rFonts w:hint="cs"/>
          <w:rtl/>
        </w:rPr>
        <w:br/>
      </w:r>
      <w:r>
        <w:rPr>
          <w:rFonts w:hint="cs"/>
          <w:rtl/>
        </w:rPr>
        <w:t xml:space="preserve">                                    </w:t>
      </w:r>
      <w:r w:rsidR="001946A3" w:rsidRPr="001946A3">
        <w:rPr>
          <w:rFonts w:hint="cs"/>
          <w:rtl/>
        </w:rPr>
        <w:t>تطبيقات القاعدة</w:t>
      </w:r>
      <w:bookmarkEnd w:id="155"/>
    </w:p>
    <w:p w:rsidR="00065E4B" w:rsidRDefault="001946A3" w:rsidP="000A76C7">
      <w:pPr>
        <w:pStyle w:val="afc"/>
        <w:widowControl/>
        <w:numPr>
          <w:ilvl w:val="0"/>
          <w:numId w:val="121"/>
        </w:numPr>
        <w:autoSpaceDE w:val="0"/>
        <w:autoSpaceDN w:val="0"/>
        <w:adjustRightInd w:val="0"/>
        <w:rPr>
          <w:rFonts w:ascii="Traditional Arabic" w:hAnsi="Traditional Arabic"/>
          <w:noProof w:val="0"/>
          <w:color w:val="auto"/>
          <w:lang w:eastAsia="en-US"/>
        </w:rPr>
      </w:pPr>
      <w:r>
        <w:rPr>
          <w:rFonts w:ascii="Traditional Arabic" w:hAnsi="Traditional Arabic"/>
          <w:noProof w:val="0"/>
          <w:color w:val="auto"/>
          <w:rtl/>
          <w:lang w:eastAsia="en-US"/>
        </w:rPr>
        <w:t>إ</w:t>
      </w:r>
      <w:r>
        <w:rPr>
          <w:rFonts w:ascii="Traditional Arabic" w:hAnsi="Traditional Arabic" w:hint="cs"/>
          <w:noProof w:val="0"/>
          <w:color w:val="auto"/>
          <w:rtl/>
          <w:lang w:eastAsia="en-US"/>
        </w:rPr>
        <w:t xml:space="preserve">ذا </w:t>
      </w:r>
      <w:r w:rsidRPr="006C51D4">
        <w:rPr>
          <w:rFonts w:ascii="Traditional Arabic" w:hAnsi="Traditional Arabic"/>
          <w:noProof w:val="0"/>
          <w:color w:val="auto"/>
          <w:rtl/>
          <w:lang w:eastAsia="en-US"/>
        </w:rPr>
        <w:t xml:space="preserve">أنفق </w:t>
      </w:r>
      <w:r>
        <w:rPr>
          <w:rFonts w:ascii="Traditional Arabic" w:hAnsi="Traditional Arabic" w:hint="cs"/>
          <w:noProof w:val="0"/>
          <w:color w:val="auto"/>
          <w:rtl/>
          <w:lang w:eastAsia="en-US"/>
        </w:rPr>
        <w:t xml:space="preserve">المرتهن </w:t>
      </w:r>
      <w:r w:rsidRPr="006C51D4">
        <w:rPr>
          <w:rFonts w:ascii="Traditional Arabic" w:hAnsi="Traditional Arabic"/>
          <w:noProof w:val="0"/>
          <w:color w:val="auto"/>
          <w:rtl/>
          <w:lang w:eastAsia="en-US"/>
        </w:rPr>
        <w:t>على</w:t>
      </w:r>
      <w:r>
        <w:rPr>
          <w:rFonts w:ascii="Traditional Arabic" w:hAnsi="Traditional Arabic"/>
          <w:noProof w:val="0"/>
          <w:color w:val="auto"/>
          <w:rtl/>
          <w:lang w:eastAsia="en-US"/>
        </w:rPr>
        <w:t xml:space="preserve"> الرهن بغير إذ</w:t>
      </w:r>
      <w:r>
        <w:rPr>
          <w:rFonts w:ascii="Traditional Arabic" w:hAnsi="Traditional Arabic" w:hint="cs"/>
          <w:noProof w:val="0"/>
          <w:color w:val="auto"/>
          <w:rtl/>
          <w:lang w:eastAsia="en-US"/>
        </w:rPr>
        <w:t>ْ</w:t>
      </w:r>
      <w:r>
        <w:rPr>
          <w:rFonts w:ascii="Traditional Arabic" w:hAnsi="Traditional Arabic"/>
          <w:noProof w:val="0"/>
          <w:color w:val="auto"/>
          <w:rtl/>
          <w:lang w:eastAsia="en-US"/>
        </w:rPr>
        <w:t>ن</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الراهن مع إم</w:t>
      </w:r>
      <w:r>
        <w:rPr>
          <w:rFonts w:ascii="Traditional Arabic" w:hAnsi="Traditional Arabic" w:hint="cs"/>
          <w:noProof w:val="0"/>
          <w:color w:val="auto"/>
          <w:rtl/>
          <w:lang w:eastAsia="en-US"/>
        </w:rPr>
        <w:t>ْ</w:t>
      </w:r>
      <w:r>
        <w:rPr>
          <w:rFonts w:ascii="Traditional Arabic" w:hAnsi="Traditional Arabic"/>
          <w:noProof w:val="0"/>
          <w:color w:val="auto"/>
          <w:rtl/>
          <w:lang w:eastAsia="en-US"/>
        </w:rPr>
        <w:t>كان</w:t>
      </w:r>
      <w:r>
        <w:rPr>
          <w:rFonts w:ascii="Traditional Arabic" w:hAnsi="Traditional Arabic" w:hint="cs"/>
          <w:noProof w:val="0"/>
          <w:color w:val="auto"/>
          <w:rtl/>
          <w:lang w:eastAsia="en-US"/>
        </w:rPr>
        <w:t>ِ استِئْذانه</w:t>
      </w:r>
      <w:r w:rsidRPr="006C51D4">
        <w:rPr>
          <w:rFonts w:ascii="Traditional Arabic" w:hAnsi="Traditional Arabic"/>
          <w:noProof w:val="0"/>
          <w:color w:val="auto"/>
          <w:rtl/>
          <w:lang w:eastAsia="en-US"/>
        </w:rPr>
        <w:t xml:space="preserve"> لم يرج</w:t>
      </w:r>
      <w:r>
        <w:rPr>
          <w:rFonts w:ascii="Traditional Arabic" w:hAnsi="Traditional Arabic" w:hint="cs"/>
          <w:noProof w:val="0"/>
          <w:color w:val="auto"/>
          <w:rtl/>
          <w:lang w:eastAsia="en-US"/>
        </w:rPr>
        <w:t>ِ</w:t>
      </w:r>
      <w:r w:rsidRPr="006C51D4">
        <w:rPr>
          <w:rFonts w:ascii="Traditional Arabic" w:hAnsi="Traditional Arabic"/>
          <w:noProof w:val="0"/>
          <w:color w:val="auto"/>
          <w:rtl/>
          <w:lang w:eastAsia="en-US"/>
        </w:rPr>
        <w:t>ع</w:t>
      </w:r>
      <w:r>
        <w:rPr>
          <w:rFonts w:ascii="Traditional Arabic" w:hAnsi="Traditional Arabic" w:hint="cs"/>
          <w:noProof w:val="0"/>
          <w:color w:val="auto"/>
          <w:rtl/>
          <w:lang w:eastAsia="en-US"/>
        </w:rPr>
        <w:t xml:space="preserve"> عليه؛ </w:t>
      </w:r>
      <w:r w:rsidRPr="00D92B0B">
        <w:rPr>
          <w:rFonts w:ascii="Traditional Arabic" w:hAnsi="Traditional Arabic"/>
          <w:noProof w:val="0"/>
          <w:rtl/>
          <w:lang w:eastAsia="en-US"/>
        </w:rPr>
        <w:t xml:space="preserve">لأنه إن </w:t>
      </w:r>
      <w:r>
        <w:rPr>
          <w:rFonts w:ascii="Traditional Arabic" w:hAnsi="Traditional Arabic" w:hint="cs"/>
          <w:noProof w:val="0"/>
          <w:rtl/>
          <w:lang w:eastAsia="en-US"/>
        </w:rPr>
        <w:t xml:space="preserve">كان </w:t>
      </w:r>
      <w:r w:rsidRPr="00D92B0B">
        <w:rPr>
          <w:rFonts w:ascii="Traditional Arabic" w:hAnsi="Traditional Arabic"/>
          <w:noProof w:val="0"/>
          <w:rtl/>
          <w:lang w:eastAsia="en-US"/>
        </w:rPr>
        <w:t>أنفق بغير</w:t>
      </w:r>
      <w:r>
        <w:rPr>
          <w:rFonts w:ascii="Traditional Arabic" w:hAnsi="Traditional Arabic" w:hint="cs"/>
          <w:noProof w:val="0"/>
          <w:rtl/>
          <w:lang w:eastAsia="en-US"/>
        </w:rPr>
        <w:t>ِ</w:t>
      </w:r>
      <w:r w:rsidRPr="00D92B0B">
        <w:rPr>
          <w:rFonts w:ascii="Traditional Arabic" w:hAnsi="Traditional Arabic"/>
          <w:noProof w:val="0"/>
          <w:rtl/>
          <w:lang w:eastAsia="en-US"/>
        </w:rPr>
        <w:t xml:space="preserve"> ني</w:t>
      </w:r>
      <w:r>
        <w:rPr>
          <w:rFonts w:ascii="Traditional Arabic" w:hAnsi="Traditional Arabic" w:hint="cs"/>
          <w:noProof w:val="0"/>
          <w:rtl/>
          <w:lang w:eastAsia="en-US"/>
        </w:rPr>
        <w:t>َّ</w:t>
      </w:r>
      <w:r w:rsidRPr="00D92B0B">
        <w:rPr>
          <w:rFonts w:ascii="Traditional Arabic" w:hAnsi="Traditional Arabic"/>
          <w:noProof w:val="0"/>
          <w:rtl/>
          <w:lang w:eastAsia="en-US"/>
        </w:rPr>
        <w:t>ة</w:t>
      </w:r>
      <w:r>
        <w:rPr>
          <w:rFonts w:ascii="Traditional Arabic" w:hAnsi="Traditional Arabic" w:hint="cs"/>
          <w:noProof w:val="0"/>
          <w:rtl/>
          <w:lang w:eastAsia="en-US"/>
        </w:rPr>
        <w:t>ِ</w:t>
      </w:r>
      <w:r w:rsidRPr="00D92B0B">
        <w:rPr>
          <w:rFonts w:ascii="Traditional Arabic" w:hAnsi="Traditional Arabic"/>
          <w:noProof w:val="0"/>
          <w:rtl/>
          <w:lang w:eastAsia="en-US"/>
        </w:rPr>
        <w:t xml:space="preserve"> الرجوع فهو متبر</w:t>
      </w:r>
      <w:r>
        <w:rPr>
          <w:rFonts w:ascii="Traditional Arabic" w:hAnsi="Traditional Arabic" w:hint="cs"/>
          <w:noProof w:val="0"/>
          <w:rtl/>
          <w:lang w:eastAsia="en-US"/>
        </w:rPr>
        <w:t>ِّ</w:t>
      </w:r>
      <w:r w:rsidRPr="00D92B0B">
        <w:rPr>
          <w:rFonts w:ascii="Traditional Arabic" w:hAnsi="Traditional Arabic"/>
          <w:noProof w:val="0"/>
          <w:rtl/>
          <w:lang w:eastAsia="en-US"/>
        </w:rPr>
        <w:t>ع، والمتبر</w:t>
      </w:r>
      <w:r>
        <w:rPr>
          <w:rFonts w:ascii="Traditional Arabic" w:hAnsi="Traditional Arabic" w:hint="cs"/>
          <w:noProof w:val="0"/>
          <w:rtl/>
          <w:lang w:eastAsia="en-US"/>
        </w:rPr>
        <w:t>ِّ</w:t>
      </w:r>
      <w:r w:rsidRPr="00D92B0B">
        <w:rPr>
          <w:rFonts w:ascii="Traditional Arabic" w:hAnsi="Traditional Arabic"/>
          <w:noProof w:val="0"/>
          <w:rtl/>
          <w:lang w:eastAsia="en-US"/>
        </w:rPr>
        <w:t>ع لا يرج</w:t>
      </w:r>
      <w:r>
        <w:rPr>
          <w:rFonts w:ascii="Traditional Arabic" w:hAnsi="Traditional Arabic" w:hint="cs"/>
          <w:noProof w:val="0"/>
          <w:rtl/>
          <w:lang w:eastAsia="en-US"/>
        </w:rPr>
        <w:t>ِ</w:t>
      </w:r>
      <w:r w:rsidRPr="00D92B0B">
        <w:rPr>
          <w:rFonts w:ascii="Traditional Arabic" w:hAnsi="Traditional Arabic"/>
          <w:noProof w:val="0"/>
          <w:rtl/>
          <w:lang w:eastAsia="en-US"/>
        </w:rPr>
        <w:t>ع في تبر</w:t>
      </w:r>
      <w:r>
        <w:rPr>
          <w:rFonts w:ascii="Traditional Arabic" w:hAnsi="Traditional Arabic" w:hint="cs"/>
          <w:noProof w:val="0"/>
          <w:rtl/>
          <w:lang w:eastAsia="en-US"/>
        </w:rPr>
        <w:t>ُّ</w:t>
      </w:r>
      <w:r w:rsidRPr="00D92B0B">
        <w:rPr>
          <w:rFonts w:ascii="Traditional Arabic" w:hAnsi="Traditional Arabic"/>
          <w:noProof w:val="0"/>
          <w:rtl/>
          <w:lang w:eastAsia="en-US"/>
        </w:rPr>
        <w:t>عه؛ لأن رجوعه في تبر</w:t>
      </w:r>
      <w:r>
        <w:rPr>
          <w:rFonts w:ascii="Traditional Arabic" w:hAnsi="Traditional Arabic" w:hint="cs"/>
          <w:noProof w:val="0"/>
          <w:rtl/>
          <w:lang w:eastAsia="en-US"/>
        </w:rPr>
        <w:t>ُّ</w:t>
      </w:r>
      <w:r w:rsidRPr="00D92B0B">
        <w:rPr>
          <w:rFonts w:ascii="Traditional Arabic" w:hAnsi="Traditional Arabic"/>
          <w:noProof w:val="0"/>
          <w:rtl/>
          <w:lang w:eastAsia="en-US"/>
        </w:rPr>
        <w:t>عه رجوع</w:t>
      </w:r>
      <w:r>
        <w:rPr>
          <w:rFonts w:ascii="Traditional Arabic" w:hAnsi="Traditional Arabic" w:hint="cs"/>
          <w:noProof w:val="0"/>
          <w:rtl/>
          <w:lang w:eastAsia="en-US"/>
        </w:rPr>
        <w:t>ٌ</w:t>
      </w:r>
      <w:r w:rsidRPr="00D92B0B">
        <w:rPr>
          <w:rFonts w:ascii="Traditional Arabic" w:hAnsi="Traditional Arabic"/>
          <w:noProof w:val="0"/>
          <w:rtl/>
          <w:lang w:eastAsia="en-US"/>
        </w:rPr>
        <w:t xml:space="preserve"> في الهبة وهو حرام، وإن كان قد نوى الرجوع فهو مفر</w:t>
      </w:r>
      <w:r>
        <w:rPr>
          <w:rFonts w:ascii="Traditional Arabic" w:hAnsi="Traditional Arabic" w:hint="cs"/>
          <w:noProof w:val="0"/>
          <w:rtl/>
          <w:lang w:eastAsia="en-US"/>
        </w:rPr>
        <w:t>ِّ</w:t>
      </w:r>
      <w:r w:rsidRPr="00D92B0B">
        <w:rPr>
          <w:rFonts w:ascii="Traditional Arabic" w:hAnsi="Traditional Arabic"/>
          <w:noProof w:val="0"/>
          <w:rtl/>
          <w:lang w:eastAsia="en-US"/>
        </w:rPr>
        <w:t>ط</w:t>
      </w:r>
      <w:r>
        <w:rPr>
          <w:rFonts w:ascii="Traditional Arabic" w:hAnsi="Traditional Arabic" w:hint="cs"/>
          <w:noProof w:val="0"/>
          <w:rtl/>
          <w:lang w:eastAsia="en-US"/>
        </w:rPr>
        <w:t>؛</w:t>
      </w:r>
      <w:r w:rsidRPr="00D92B0B">
        <w:rPr>
          <w:rFonts w:ascii="Traditional Arabic" w:hAnsi="Traditional Arabic"/>
          <w:noProof w:val="0"/>
          <w:rtl/>
          <w:lang w:eastAsia="en-US"/>
        </w:rPr>
        <w:t xml:space="preserve"> لأنه لم يستأذ</w:t>
      </w:r>
      <w:r>
        <w:rPr>
          <w:rFonts w:ascii="Traditional Arabic" w:hAnsi="Traditional Arabic" w:hint="cs"/>
          <w:noProof w:val="0"/>
          <w:rtl/>
          <w:lang w:eastAsia="en-US"/>
        </w:rPr>
        <w:t>ِ</w:t>
      </w:r>
      <w:r w:rsidRPr="00D92B0B">
        <w:rPr>
          <w:rFonts w:ascii="Traditional Arabic" w:hAnsi="Traditional Arabic"/>
          <w:noProof w:val="0"/>
          <w:rtl/>
          <w:lang w:eastAsia="en-US"/>
        </w:rPr>
        <w:t>ن ال</w:t>
      </w:r>
      <w:r>
        <w:rPr>
          <w:rFonts w:ascii="Traditional Arabic" w:hAnsi="Traditional Arabic" w:hint="cs"/>
          <w:noProof w:val="0"/>
          <w:rtl/>
          <w:lang w:eastAsia="en-US"/>
        </w:rPr>
        <w:t>راهن</w:t>
      </w:r>
      <w:r>
        <w:rPr>
          <w:rFonts w:ascii="Traditional Arabic" w:hAnsi="Traditional Arabic" w:hint="cs"/>
          <w:noProof w:val="0"/>
          <w:color w:val="auto"/>
          <w:rtl/>
          <w:lang w:eastAsia="en-US"/>
        </w:rPr>
        <w:t>.</w:t>
      </w:r>
    </w:p>
    <w:p w:rsidR="001946A3" w:rsidRPr="00D92B0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color w:val="auto"/>
          <w:rtl/>
          <w:lang w:eastAsia="en-US"/>
        </w:rPr>
        <w:t>أ</w:t>
      </w:r>
      <w:r w:rsidR="001946A3">
        <w:rPr>
          <w:rFonts w:ascii="Traditional Arabic" w:hAnsi="Traditional Arabic" w:hint="cs"/>
          <w:noProof w:val="0"/>
          <w:color w:val="auto"/>
          <w:rtl/>
          <w:lang w:eastAsia="en-US"/>
        </w:rPr>
        <w:t>ما إذا</w:t>
      </w:r>
      <w:r w:rsidR="001946A3" w:rsidRPr="006C51D4">
        <w:rPr>
          <w:rFonts w:ascii="Traditional Arabic" w:hAnsi="Traditional Arabic"/>
          <w:noProof w:val="0"/>
          <w:color w:val="auto"/>
          <w:rtl/>
          <w:lang w:eastAsia="en-US"/>
        </w:rPr>
        <w:t xml:space="preserve"> تعذ</w:t>
      </w:r>
      <w:r w:rsidR="001946A3">
        <w:rPr>
          <w:rFonts w:ascii="Traditional Arabic" w:hAnsi="Traditional Arabic" w:hint="cs"/>
          <w:noProof w:val="0"/>
          <w:color w:val="auto"/>
          <w:rtl/>
          <w:lang w:eastAsia="en-US"/>
        </w:rPr>
        <w:t>َّ</w:t>
      </w:r>
      <w:r w:rsidR="001946A3" w:rsidRPr="006C51D4">
        <w:rPr>
          <w:rFonts w:ascii="Traditional Arabic" w:hAnsi="Traditional Arabic"/>
          <w:noProof w:val="0"/>
          <w:color w:val="auto"/>
          <w:rtl/>
          <w:lang w:eastAsia="en-US"/>
        </w:rPr>
        <w:t xml:space="preserve">ر </w:t>
      </w:r>
      <w:r w:rsidR="001946A3">
        <w:rPr>
          <w:rFonts w:ascii="Traditional Arabic" w:hAnsi="Traditional Arabic" w:hint="cs"/>
          <w:noProof w:val="0"/>
          <w:color w:val="auto"/>
          <w:rtl/>
          <w:lang w:eastAsia="en-US"/>
        </w:rPr>
        <w:t>استئذانُ الراهنِ، فإن المرتهن يرجع بما أَنفق على الرهن ما لم ينوِ التبرُّع؛</w:t>
      </w:r>
      <w:r w:rsidR="001946A3" w:rsidRPr="00D92B0B">
        <w:rPr>
          <w:rFonts w:ascii="Traditional Arabic" w:hAnsi="Traditional Arabic"/>
          <w:noProof w:val="0"/>
          <w:rtl/>
          <w:lang w:eastAsia="en-US"/>
        </w:rPr>
        <w:t>لأن الأصل أن ما أ</w:t>
      </w:r>
      <w:r w:rsidR="001946A3">
        <w:rPr>
          <w:rFonts w:ascii="Traditional Arabic" w:hAnsi="Traditional Arabic" w:hint="cs"/>
          <w:noProof w:val="0"/>
          <w:rtl/>
          <w:lang w:eastAsia="en-US"/>
        </w:rPr>
        <w:t>َ</w:t>
      </w:r>
      <w:r w:rsidR="001946A3" w:rsidRPr="00D92B0B">
        <w:rPr>
          <w:rFonts w:ascii="Traditional Arabic" w:hAnsi="Traditional Arabic"/>
          <w:noProof w:val="0"/>
          <w:rtl/>
          <w:lang w:eastAsia="en-US"/>
        </w:rPr>
        <w:t>نفقه على مل</w:t>
      </w:r>
      <w:r w:rsidR="001946A3">
        <w:rPr>
          <w:rFonts w:ascii="Traditional Arabic" w:hAnsi="Traditional Arabic" w:hint="cs"/>
          <w:noProof w:val="0"/>
          <w:rtl/>
          <w:lang w:eastAsia="en-US"/>
        </w:rPr>
        <w:t>ْ</w:t>
      </w:r>
      <w:r w:rsidR="001946A3" w:rsidRPr="00D92B0B">
        <w:rPr>
          <w:rFonts w:ascii="Traditional Arabic" w:hAnsi="Traditional Arabic"/>
          <w:noProof w:val="0"/>
          <w:rtl/>
          <w:lang w:eastAsia="en-US"/>
        </w:rPr>
        <w:t>ك</w:t>
      </w:r>
      <w:r w:rsidR="001946A3">
        <w:rPr>
          <w:rFonts w:ascii="Traditional Arabic" w:hAnsi="Traditional Arabic" w:hint="cs"/>
          <w:noProof w:val="0"/>
          <w:rtl/>
          <w:lang w:eastAsia="en-US"/>
        </w:rPr>
        <w:t>ِ</w:t>
      </w:r>
      <w:r w:rsidR="001946A3" w:rsidRPr="00D92B0B">
        <w:rPr>
          <w:rFonts w:ascii="Traditional Arabic" w:hAnsi="Traditional Arabic"/>
          <w:noProof w:val="0"/>
          <w:rtl/>
          <w:lang w:eastAsia="en-US"/>
        </w:rPr>
        <w:t xml:space="preserve"> غير</w:t>
      </w:r>
      <w:r w:rsidR="001946A3">
        <w:rPr>
          <w:rFonts w:ascii="Traditional Arabic" w:hAnsi="Traditional Arabic" w:hint="cs"/>
          <w:noProof w:val="0"/>
          <w:rtl/>
          <w:lang w:eastAsia="en-US"/>
        </w:rPr>
        <w:t>ِ</w:t>
      </w:r>
      <w:r w:rsidR="001946A3" w:rsidRPr="00D92B0B">
        <w:rPr>
          <w:rFonts w:ascii="Traditional Arabic" w:hAnsi="Traditional Arabic"/>
          <w:noProof w:val="0"/>
          <w:rtl/>
          <w:lang w:eastAsia="en-US"/>
        </w:rPr>
        <w:t>ه فهو له</w:t>
      </w:r>
      <w:r w:rsidR="001946A3">
        <w:rPr>
          <w:rFonts w:ascii="Traditional Arabic" w:hAnsi="Traditional Arabic" w:hint="cs"/>
          <w:noProof w:val="0"/>
          <w:rtl/>
          <w:lang w:eastAsia="en-US"/>
        </w:rPr>
        <w:t>،ف</w:t>
      </w:r>
      <w:r w:rsidR="001946A3" w:rsidRPr="00D92B0B">
        <w:rPr>
          <w:rFonts w:ascii="Traditional Arabic" w:hAnsi="Traditional Arabic"/>
          <w:noProof w:val="0"/>
          <w:rtl/>
          <w:lang w:eastAsia="en-US"/>
        </w:rPr>
        <w:t>يرج</w:t>
      </w:r>
      <w:r w:rsidR="001946A3">
        <w:rPr>
          <w:rFonts w:ascii="Traditional Arabic" w:hAnsi="Traditional Arabic" w:hint="cs"/>
          <w:noProof w:val="0"/>
          <w:rtl/>
          <w:lang w:eastAsia="en-US"/>
        </w:rPr>
        <w:t>ِ</w:t>
      </w:r>
      <w:r w:rsidR="001946A3" w:rsidRPr="00D92B0B">
        <w:rPr>
          <w:rFonts w:ascii="Traditional Arabic" w:hAnsi="Traditional Arabic"/>
          <w:noProof w:val="0"/>
          <w:rtl/>
          <w:lang w:eastAsia="en-US"/>
        </w:rPr>
        <w:t>ع فيه، إلا إذا عار</w:t>
      </w:r>
      <w:r w:rsidR="001946A3">
        <w:rPr>
          <w:rFonts w:ascii="Traditional Arabic" w:hAnsi="Traditional Arabic" w:hint="cs"/>
          <w:noProof w:val="0"/>
          <w:rtl/>
          <w:lang w:eastAsia="en-US"/>
        </w:rPr>
        <w:t>َ</w:t>
      </w:r>
      <w:r w:rsidR="001946A3" w:rsidRPr="00D92B0B">
        <w:rPr>
          <w:rFonts w:ascii="Traditional Arabic" w:hAnsi="Traditional Arabic"/>
          <w:noProof w:val="0"/>
          <w:rtl/>
          <w:lang w:eastAsia="en-US"/>
        </w:rPr>
        <w:t>ض ذلك ني</w:t>
      </w:r>
      <w:r w:rsidR="001946A3">
        <w:rPr>
          <w:rFonts w:ascii="Traditional Arabic" w:hAnsi="Traditional Arabic" w:hint="cs"/>
          <w:noProof w:val="0"/>
          <w:rtl/>
          <w:lang w:eastAsia="en-US"/>
        </w:rPr>
        <w:t>َّ</w:t>
      </w:r>
      <w:r w:rsidR="001946A3" w:rsidRPr="00D92B0B">
        <w:rPr>
          <w:rFonts w:ascii="Traditional Arabic" w:hAnsi="Traditional Arabic"/>
          <w:noProof w:val="0"/>
          <w:rtl/>
          <w:lang w:eastAsia="en-US"/>
        </w:rPr>
        <w:t>ة</w:t>
      </w:r>
      <w:r w:rsidR="001946A3">
        <w:rPr>
          <w:rFonts w:ascii="Traditional Arabic" w:hAnsi="Traditional Arabic" w:hint="cs"/>
          <w:noProof w:val="0"/>
          <w:rtl/>
          <w:lang w:eastAsia="en-US"/>
        </w:rPr>
        <w:t>ُ</w:t>
      </w:r>
      <w:r w:rsidR="001946A3" w:rsidRPr="00D92B0B">
        <w:rPr>
          <w:rFonts w:ascii="Traditional Arabic" w:hAnsi="Traditional Arabic"/>
          <w:noProof w:val="0"/>
          <w:rtl/>
          <w:lang w:eastAsia="en-US"/>
        </w:rPr>
        <w:t xml:space="preserve"> التبر</w:t>
      </w:r>
      <w:r w:rsidR="001946A3">
        <w:rPr>
          <w:rFonts w:ascii="Traditional Arabic" w:hAnsi="Traditional Arabic" w:hint="cs"/>
          <w:noProof w:val="0"/>
          <w:rtl/>
          <w:lang w:eastAsia="en-US"/>
        </w:rPr>
        <w:t>ُّ</w:t>
      </w:r>
      <w:r w:rsidR="001946A3" w:rsidRPr="00D92B0B">
        <w:rPr>
          <w:rFonts w:ascii="Traditional Arabic" w:hAnsi="Traditional Arabic"/>
          <w:noProof w:val="0"/>
          <w:rtl/>
          <w:lang w:eastAsia="en-US"/>
        </w:rPr>
        <w:t>ع</w:t>
      </w:r>
      <w:r w:rsidR="001946A3" w:rsidRPr="00C821A1">
        <w:rPr>
          <w:rStyle w:val="af1"/>
          <w:szCs w:val="32"/>
          <w:rtl/>
        </w:rPr>
        <w:t>(</w:t>
      </w:r>
      <w:r w:rsidR="001946A3" w:rsidRPr="00C821A1">
        <w:rPr>
          <w:rStyle w:val="af1"/>
          <w:szCs w:val="32"/>
          <w:rtl/>
        </w:rPr>
        <w:footnoteReference w:id="788"/>
      </w:r>
      <w:r w:rsidR="001946A3" w:rsidRPr="00C821A1">
        <w:rPr>
          <w:rStyle w:val="af1"/>
          <w:szCs w:val="32"/>
          <w:rtl/>
        </w:rPr>
        <w:t>)</w:t>
      </w:r>
      <w:r w:rsidR="001946A3" w:rsidRPr="00D92B0B">
        <w:rPr>
          <w:rFonts w:ascii="Traditional Arabic" w:hAnsi="Traditional Arabic"/>
          <w:noProof w:val="0"/>
          <w:rtl/>
          <w:lang w:eastAsia="en-US"/>
        </w:rPr>
        <w:t>.</w:t>
      </w:r>
    </w:p>
    <w:p w:rsidR="00065E4B" w:rsidRDefault="001946A3" w:rsidP="00597C20">
      <w:pPr>
        <w:pStyle w:val="53"/>
        <w:rPr>
          <w:rtl/>
        </w:rPr>
      </w:pPr>
      <w:r>
        <w:rPr>
          <w:rFonts w:hint="cs"/>
          <w:rtl/>
        </w:rPr>
        <w:t>وجه اندراج الفرع تحت القاعدة:</w:t>
      </w:r>
    </w:p>
    <w:p w:rsidR="001946A3" w:rsidRPr="00D5156D" w:rsidRDefault="00065E4B" w:rsidP="00597C20">
      <w:pPr>
        <w:pStyle w:val="afc"/>
        <w:widowControl/>
        <w:autoSpaceDE w:val="0"/>
        <w:autoSpaceDN w:val="0"/>
        <w:adjustRightInd w:val="0"/>
        <w:ind w:left="0" w:firstLine="720"/>
        <w:rPr>
          <w:rFonts w:ascii="Traditional Arabic" w:hAnsi="Traditional Arabic"/>
          <w:b/>
          <w:bCs/>
          <w:noProof w:val="0"/>
          <w:color w:val="auto"/>
          <w:rtl/>
          <w:lang w:eastAsia="en-US"/>
        </w:rPr>
      </w:pPr>
      <w:r>
        <w:rPr>
          <w:rFonts w:ascii="Traditional Arabic" w:hAnsi="Traditional Arabic" w:hint="cs"/>
          <w:noProof w:val="0"/>
          <w:color w:val="auto"/>
          <w:rtl/>
          <w:lang w:eastAsia="en-US"/>
        </w:rPr>
        <w:t>ي</w:t>
      </w:r>
      <w:r w:rsidR="001946A3">
        <w:rPr>
          <w:rFonts w:ascii="Traditional Arabic" w:hAnsi="Traditional Arabic" w:hint="cs"/>
          <w:noProof w:val="0"/>
          <w:color w:val="auto"/>
          <w:rtl/>
          <w:lang w:eastAsia="en-US"/>
        </w:rPr>
        <w:t xml:space="preserve">ندرج </w:t>
      </w:r>
      <w:r w:rsidR="00A43818">
        <w:rPr>
          <w:rFonts w:ascii="Traditional Arabic" w:hAnsi="Traditional Arabic" w:hint="cs"/>
          <w:noProof w:val="0"/>
          <w:color w:val="auto"/>
          <w:rtl/>
          <w:lang w:eastAsia="en-US"/>
        </w:rPr>
        <w:t xml:space="preserve">اندراج </w:t>
      </w:r>
      <w:r w:rsidR="001946A3">
        <w:rPr>
          <w:rFonts w:ascii="Traditional Arabic" w:hAnsi="Traditional Arabic" w:hint="cs"/>
          <w:noProof w:val="0"/>
          <w:color w:val="auto"/>
          <w:rtl/>
          <w:lang w:eastAsia="en-US"/>
        </w:rPr>
        <w:t>هذا الفرع تحت القاعدة فيما إذا تعذَّر استئذان الراهن، ونوى المرتهن الرجوع بما أنفق على الراهن،</w:t>
      </w:r>
      <w:r w:rsidR="001946A3" w:rsidRPr="00D5156D">
        <w:rPr>
          <w:rFonts w:ascii="Traditional Arabic" w:hAnsi="Traditional Arabic" w:hint="cs"/>
          <w:noProof w:val="0"/>
          <w:color w:val="auto"/>
          <w:rtl/>
          <w:lang w:eastAsia="en-US"/>
        </w:rPr>
        <w:t xml:space="preserve"> فإنه في هذه الحالة يرجِع عليه؛ لأنه أدَّى عن غيره واجبا بنيَّة الرجوع، وإنفاق المرتهن على الرهن مما تَبْرَأُ به ذمةُ الراهن؛ لأنه لا تُشترَط فيه النية.</w:t>
      </w:r>
    </w:p>
    <w:p w:rsidR="00065E4B" w:rsidRPr="00884C73" w:rsidRDefault="001946A3" w:rsidP="000A76C7">
      <w:pPr>
        <w:pStyle w:val="afc"/>
        <w:widowControl/>
        <w:numPr>
          <w:ilvl w:val="0"/>
          <w:numId w:val="121"/>
        </w:numPr>
        <w:autoSpaceDE w:val="0"/>
        <w:autoSpaceDN w:val="0"/>
        <w:adjustRightInd w:val="0"/>
        <w:rPr>
          <w:rFonts w:ascii="Traditional Arabic" w:hAnsi="Traditional Arabic"/>
          <w:noProof w:val="0"/>
          <w:rtl/>
          <w:lang w:eastAsia="en-US"/>
        </w:rPr>
      </w:pPr>
      <w:r w:rsidRPr="00884C73">
        <w:rPr>
          <w:rFonts w:ascii="Traditional Arabic" w:hAnsi="Traditional Arabic" w:hint="cs"/>
          <w:noProof w:val="0"/>
          <w:rtl/>
          <w:lang w:eastAsia="en-US"/>
        </w:rPr>
        <w:t xml:space="preserve">إذا </w:t>
      </w:r>
      <w:r w:rsidRPr="00884C73">
        <w:rPr>
          <w:rFonts w:ascii="Traditional Arabic" w:hAnsi="Traditional Arabic"/>
          <w:noProof w:val="0"/>
          <w:rtl/>
          <w:lang w:eastAsia="en-US"/>
        </w:rPr>
        <w:t>قضى الضام</w:t>
      </w:r>
      <w:r>
        <w:rPr>
          <w:rFonts w:ascii="Traditional Arabic" w:hAnsi="Traditional Arabic" w:hint="cs"/>
          <w:noProof w:val="0"/>
          <w:rtl/>
          <w:lang w:eastAsia="en-US"/>
        </w:rPr>
        <w:t>ِ</w:t>
      </w:r>
      <w:r w:rsidRPr="00884C73">
        <w:rPr>
          <w:rFonts w:ascii="Traditional Arabic" w:hAnsi="Traditional Arabic"/>
          <w:noProof w:val="0"/>
          <w:rtl/>
          <w:lang w:eastAsia="en-US"/>
        </w:rPr>
        <w:t>ن</w:t>
      </w:r>
      <w:r>
        <w:rPr>
          <w:rFonts w:ascii="Traditional Arabic" w:hAnsi="Traditional Arabic" w:hint="cs"/>
          <w:noProof w:val="0"/>
          <w:rtl/>
          <w:lang w:eastAsia="en-US"/>
        </w:rPr>
        <w:t>ُ</w:t>
      </w:r>
      <w:r w:rsidRPr="00884C73">
        <w:rPr>
          <w:rFonts w:ascii="Traditional Arabic" w:hAnsi="Traditional Arabic"/>
          <w:noProof w:val="0"/>
          <w:rtl/>
          <w:lang w:eastAsia="en-US"/>
        </w:rPr>
        <w:t xml:space="preserve"> الد</w:t>
      </w:r>
      <w:r>
        <w:rPr>
          <w:rFonts w:ascii="Traditional Arabic" w:hAnsi="Traditional Arabic" w:hint="cs"/>
          <w:noProof w:val="0"/>
          <w:rtl/>
          <w:lang w:eastAsia="en-US"/>
        </w:rPr>
        <w:t>َّ</w:t>
      </w:r>
      <w:r w:rsidRPr="00884C73">
        <w:rPr>
          <w:rFonts w:ascii="Traditional Arabic" w:hAnsi="Traditional Arabic"/>
          <w:noProof w:val="0"/>
          <w:rtl/>
          <w:lang w:eastAsia="en-US"/>
        </w:rPr>
        <w:t>ين</w:t>
      </w:r>
      <w:r w:rsidRPr="00884C73">
        <w:rPr>
          <w:rFonts w:ascii="Traditional Arabic" w:hAnsi="Traditional Arabic" w:hint="cs"/>
          <w:noProof w:val="0"/>
          <w:rtl/>
          <w:lang w:eastAsia="en-US"/>
        </w:rPr>
        <w:t xml:space="preserve"> عن المضمون عنه،</w:t>
      </w:r>
      <w:r w:rsidRPr="00884C73">
        <w:rPr>
          <w:rFonts w:ascii="Traditional Arabic" w:hAnsi="Traditional Arabic"/>
          <w:noProof w:val="0"/>
          <w:rtl/>
          <w:lang w:eastAsia="en-US"/>
        </w:rPr>
        <w:t xml:space="preserve"> ف</w:t>
      </w:r>
      <w:r w:rsidRPr="00884C73">
        <w:rPr>
          <w:rFonts w:ascii="Traditional Arabic" w:hAnsi="Traditional Arabic" w:hint="cs"/>
          <w:noProof w:val="0"/>
          <w:rtl/>
          <w:lang w:eastAsia="en-US"/>
        </w:rPr>
        <w:t>لا يخلو الأمر من ثلاث حالات:</w:t>
      </w:r>
    </w:p>
    <w:p w:rsidR="00065E4B" w:rsidRPr="00884C73" w:rsidRDefault="00065E4B" w:rsidP="00597C20">
      <w:pPr>
        <w:widowControl/>
        <w:autoSpaceDE w:val="0"/>
        <w:autoSpaceDN w:val="0"/>
        <w:adjustRightInd w:val="0"/>
        <w:ind w:firstLine="360"/>
        <w:jc w:val="left"/>
        <w:rPr>
          <w:rFonts w:ascii="Traditional Arabic" w:hAnsi="Traditional Arabic"/>
          <w:noProof w:val="0"/>
          <w:rtl/>
          <w:lang w:eastAsia="en-US"/>
        </w:rPr>
      </w:pPr>
      <w:r w:rsidRPr="00884C73">
        <w:rPr>
          <w:rFonts w:ascii="Traditional Arabic" w:hAnsi="Traditional Arabic"/>
          <w:noProof w:val="0"/>
          <w:rtl/>
          <w:lang w:eastAsia="en-US"/>
        </w:rPr>
        <w:t>ا</w:t>
      </w:r>
      <w:r w:rsidR="001946A3" w:rsidRPr="00884C73">
        <w:rPr>
          <w:rFonts w:ascii="Traditional Arabic" w:hAnsi="Traditional Arabic"/>
          <w:noProof w:val="0"/>
          <w:rtl/>
          <w:lang w:eastAsia="en-US"/>
        </w:rPr>
        <w:t>لأولى: أن ينوي التبر</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ع</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 xml:space="preserve"> فهذا لا يرجع</w:t>
      </w:r>
      <w:r w:rsidR="001946A3">
        <w:rPr>
          <w:rFonts w:ascii="Traditional Arabic" w:hAnsi="Traditional Arabic" w:hint="cs"/>
          <w:noProof w:val="0"/>
          <w:rtl/>
          <w:lang w:eastAsia="en-US"/>
        </w:rPr>
        <w:t xml:space="preserve"> على المضمون عنه بما أَنفق</w:t>
      </w:r>
      <w:r w:rsidR="001946A3" w:rsidRPr="00884C73">
        <w:rPr>
          <w:rFonts w:ascii="Traditional Arabic" w:hAnsi="Traditional Arabic"/>
          <w:noProof w:val="0"/>
          <w:rtl/>
          <w:lang w:eastAsia="en-US"/>
        </w:rPr>
        <w:t>.</w:t>
      </w:r>
    </w:p>
    <w:p w:rsidR="00790371" w:rsidRDefault="00065E4B" w:rsidP="00DF7FDB">
      <w:pPr>
        <w:widowControl/>
        <w:autoSpaceDE w:val="0"/>
        <w:autoSpaceDN w:val="0"/>
        <w:adjustRightInd w:val="0"/>
        <w:ind w:firstLine="360"/>
        <w:jc w:val="left"/>
        <w:rPr>
          <w:rFonts w:ascii="Traditional Arabic" w:hAnsi="Traditional Arabic"/>
          <w:noProof w:val="0"/>
          <w:rtl/>
          <w:lang w:eastAsia="en-US"/>
        </w:rPr>
      </w:pPr>
      <w:r w:rsidRPr="00884C73">
        <w:rPr>
          <w:rFonts w:ascii="Traditional Arabic" w:hAnsi="Traditional Arabic"/>
          <w:noProof w:val="0"/>
          <w:rtl/>
          <w:lang w:eastAsia="en-US"/>
        </w:rPr>
        <w:t>ا</w:t>
      </w:r>
      <w:r w:rsidR="001946A3" w:rsidRPr="00884C73">
        <w:rPr>
          <w:rFonts w:ascii="Traditional Arabic" w:hAnsi="Traditional Arabic"/>
          <w:noProof w:val="0"/>
          <w:rtl/>
          <w:lang w:eastAsia="en-US"/>
        </w:rPr>
        <w:t>لثانية: أن ينوي الرجوع</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 xml:space="preserve"> فيرجع</w:t>
      </w:r>
      <w:r w:rsidR="001946A3">
        <w:rPr>
          <w:rFonts w:ascii="Traditional Arabic" w:hAnsi="Traditional Arabic" w:hint="cs"/>
          <w:noProof w:val="0"/>
          <w:rtl/>
          <w:lang w:eastAsia="en-US"/>
        </w:rPr>
        <w:t xml:space="preserve"> بما أنفق على المضمون عنه</w:t>
      </w:r>
      <w:r w:rsidR="001946A3" w:rsidRPr="00884C73">
        <w:rPr>
          <w:rFonts w:ascii="Traditional Arabic" w:hAnsi="Traditional Arabic"/>
          <w:noProof w:val="0"/>
          <w:rtl/>
          <w:lang w:eastAsia="en-US"/>
        </w:rPr>
        <w:t>.</w:t>
      </w:r>
    </w:p>
    <w:p w:rsidR="00065E4B" w:rsidRDefault="00065E4B" w:rsidP="00790371">
      <w:pPr>
        <w:widowControl/>
        <w:autoSpaceDE w:val="0"/>
        <w:autoSpaceDN w:val="0"/>
        <w:adjustRightInd w:val="0"/>
        <w:ind w:left="720" w:hanging="360"/>
        <w:jc w:val="left"/>
        <w:rPr>
          <w:rFonts w:ascii="Traditional Arabic" w:hAnsi="Traditional Arabic"/>
          <w:noProof w:val="0"/>
          <w:rtl/>
          <w:lang w:eastAsia="en-US"/>
        </w:rPr>
      </w:pPr>
      <w:r>
        <w:rPr>
          <w:rFonts w:ascii="Traditional Arabic" w:hAnsi="Traditional Arabic"/>
          <w:noProof w:val="0"/>
          <w:rtl/>
          <w:lang w:eastAsia="en-US"/>
        </w:rPr>
        <w:t>ا</w:t>
      </w:r>
      <w:r w:rsidR="001946A3">
        <w:rPr>
          <w:rFonts w:ascii="Traditional Arabic" w:hAnsi="Traditional Arabic"/>
          <w:noProof w:val="0"/>
          <w:rtl/>
          <w:lang w:eastAsia="en-US"/>
        </w:rPr>
        <w:t xml:space="preserve">لثالثة: </w:t>
      </w:r>
      <w:r w:rsidR="001946A3">
        <w:rPr>
          <w:rFonts w:ascii="Traditional Arabic" w:hAnsi="Traditional Arabic" w:hint="cs"/>
          <w:noProof w:val="0"/>
          <w:rtl/>
          <w:lang w:eastAsia="en-US"/>
        </w:rPr>
        <w:t>ألا</w:t>
      </w:r>
      <w:r w:rsidR="001946A3" w:rsidRPr="00884C73">
        <w:rPr>
          <w:rFonts w:ascii="Traditional Arabic" w:hAnsi="Traditional Arabic"/>
          <w:noProof w:val="0"/>
          <w:rtl/>
          <w:lang w:eastAsia="en-US"/>
        </w:rPr>
        <w:t xml:space="preserve"> يطرأ على بال</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ه ني</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ة</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 xml:space="preserve"> الرجوع أو عدم</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ه</w:t>
      </w:r>
      <w:r w:rsidR="001946A3">
        <w:rPr>
          <w:rFonts w:ascii="Traditional Arabic" w:hAnsi="Traditional Arabic"/>
          <w:noProof w:val="0"/>
          <w:rtl/>
          <w:lang w:eastAsia="en-US"/>
        </w:rPr>
        <w:t xml:space="preserve">ا، </w:t>
      </w:r>
      <w:r w:rsidR="001946A3">
        <w:rPr>
          <w:rFonts w:ascii="Traditional Arabic" w:hAnsi="Traditional Arabic" w:hint="cs"/>
          <w:noProof w:val="0"/>
          <w:rtl/>
          <w:lang w:eastAsia="en-US"/>
        </w:rPr>
        <w:t>فالمذهب أنه لايرجع</w:t>
      </w:r>
      <w:r w:rsidR="001946A3" w:rsidRPr="00C821A1">
        <w:rPr>
          <w:rStyle w:val="af1"/>
          <w:szCs w:val="32"/>
          <w:rtl/>
        </w:rPr>
        <w:t>(</w:t>
      </w:r>
      <w:r w:rsidR="001946A3" w:rsidRPr="00C821A1">
        <w:rPr>
          <w:rStyle w:val="af1"/>
          <w:szCs w:val="32"/>
          <w:rtl/>
        </w:rPr>
        <w:footnoteReference w:id="789"/>
      </w:r>
      <w:r w:rsidR="001946A3" w:rsidRPr="00C821A1">
        <w:rPr>
          <w:rStyle w:val="af1"/>
          <w:szCs w:val="32"/>
          <w:rtl/>
        </w:rPr>
        <w:t>)</w:t>
      </w:r>
      <w:r w:rsidR="001946A3">
        <w:rPr>
          <w:rFonts w:ascii="Traditional Arabic" w:hAnsi="Traditional Arabic" w:hint="cs"/>
          <w:noProof w:val="0"/>
          <w:rtl/>
          <w:lang w:eastAsia="en-US"/>
        </w:rPr>
        <w:t>،</w:t>
      </w:r>
      <w:r w:rsidR="00790371">
        <w:rPr>
          <w:rFonts w:ascii="Traditional Arabic" w:hAnsi="Traditional Arabic" w:hint="cs"/>
          <w:noProof w:val="0"/>
          <w:rtl/>
          <w:lang w:eastAsia="en-US"/>
        </w:rPr>
        <w:t xml:space="preserve"> </w:t>
      </w:r>
      <w:r w:rsidR="001946A3">
        <w:rPr>
          <w:rFonts w:ascii="Traditional Arabic" w:hAnsi="Traditional Arabic" w:hint="cs"/>
          <w:noProof w:val="0"/>
          <w:rtl/>
          <w:lang w:eastAsia="en-US"/>
        </w:rPr>
        <w:t>و</w:t>
      </w:r>
      <w:r w:rsidR="001946A3">
        <w:rPr>
          <w:rFonts w:ascii="Traditional Arabic" w:hAnsi="Traditional Arabic"/>
          <w:noProof w:val="0"/>
          <w:rtl/>
          <w:lang w:eastAsia="en-US"/>
        </w:rPr>
        <w:t xml:space="preserve">الصحيح </w:t>
      </w:r>
      <w:r w:rsidR="001946A3">
        <w:rPr>
          <w:rFonts w:ascii="Traditional Arabic" w:hAnsi="Traditional Arabic" w:hint="cs"/>
          <w:noProof w:val="0"/>
          <w:rtl/>
          <w:lang w:eastAsia="en-US"/>
        </w:rPr>
        <w:t>أ</w:t>
      </w:r>
      <w:r w:rsidR="001946A3" w:rsidRPr="00884C73">
        <w:rPr>
          <w:rFonts w:ascii="Traditional Arabic" w:hAnsi="Traditional Arabic"/>
          <w:noProof w:val="0"/>
          <w:rtl/>
          <w:lang w:eastAsia="en-US"/>
        </w:rPr>
        <w:t>نه يرجع</w:t>
      </w:r>
      <w:r w:rsidR="001946A3" w:rsidRPr="00C821A1">
        <w:rPr>
          <w:rStyle w:val="af1"/>
          <w:szCs w:val="32"/>
          <w:rtl/>
        </w:rPr>
        <w:t>(</w:t>
      </w:r>
      <w:r w:rsidR="001946A3" w:rsidRPr="00C821A1">
        <w:rPr>
          <w:rStyle w:val="af1"/>
          <w:szCs w:val="32"/>
          <w:rtl/>
        </w:rPr>
        <w:footnoteReference w:id="790"/>
      </w:r>
      <w:r w:rsidR="001946A3" w:rsidRPr="00C821A1">
        <w:rPr>
          <w:rStyle w:val="af1"/>
          <w:szCs w:val="32"/>
          <w:rtl/>
        </w:rPr>
        <w:t>)</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 xml:space="preserve"> لأنه إنما ال</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ت</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ز</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م</w:t>
      </w:r>
      <w:r w:rsidR="001946A3">
        <w:rPr>
          <w:rFonts w:ascii="Traditional Arabic" w:hAnsi="Traditional Arabic" w:hint="cs"/>
          <w:noProof w:val="0"/>
          <w:rtl/>
          <w:lang w:eastAsia="en-US"/>
        </w:rPr>
        <w:t xml:space="preserve">َه </w:t>
      </w:r>
      <w:r w:rsidR="001946A3" w:rsidRPr="00884C73">
        <w:rPr>
          <w:rFonts w:ascii="Traditional Arabic" w:hAnsi="Traditional Arabic"/>
          <w:noProof w:val="0"/>
          <w:rtl/>
          <w:lang w:eastAsia="en-US"/>
        </w:rPr>
        <w:t>فرعا</w:t>
      </w:r>
      <w:r w:rsidR="001946A3">
        <w:rPr>
          <w:rFonts w:ascii="Traditional Arabic" w:hAnsi="Traditional Arabic" w:hint="cs"/>
          <w:noProof w:val="0"/>
          <w:rtl/>
          <w:lang w:eastAsia="en-US"/>
        </w:rPr>
        <w:t>ً</w:t>
      </w:r>
      <w:r w:rsidR="001946A3" w:rsidRPr="00884C73">
        <w:rPr>
          <w:rFonts w:ascii="Traditional Arabic" w:hAnsi="Traditional Arabic"/>
          <w:noProof w:val="0"/>
          <w:rtl/>
          <w:lang w:eastAsia="en-US"/>
        </w:rPr>
        <w:t xml:space="preserve"> عن أصل</w:t>
      </w:r>
      <w:r w:rsidR="001946A3">
        <w:rPr>
          <w:rFonts w:ascii="Traditional Arabic" w:hAnsi="Traditional Arabic" w:hint="cs"/>
          <w:noProof w:val="0"/>
          <w:rtl/>
          <w:lang w:eastAsia="en-US"/>
        </w:rPr>
        <w:t>ٍ</w:t>
      </w:r>
      <w:r w:rsidR="001946A3" w:rsidRPr="00C821A1">
        <w:rPr>
          <w:rStyle w:val="af1"/>
          <w:szCs w:val="32"/>
          <w:rtl/>
        </w:rPr>
        <w:t>(</w:t>
      </w:r>
      <w:r w:rsidR="001946A3" w:rsidRPr="00C821A1">
        <w:rPr>
          <w:rStyle w:val="af1"/>
          <w:szCs w:val="32"/>
          <w:rtl/>
        </w:rPr>
        <w:footnoteReference w:id="791"/>
      </w:r>
      <w:r w:rsidR="001946A3" w:rsidRPr="00C821A1">
        <w:rPr>
          <w:rStyle w:val="af1"/>
          <w:szCs w:val="32"/>
          <w:rtl/>
        </w:rPr>
        <w:t>)</w:t>
      </w:r>
      <w:r w:rsidR="001946A3" w:rsidRPr="00884C73">
        <w:rPr>
          <w:rFonts w:ascii="Traditional Arabic" w:hAnsi="Traditional Arabic"/>
          <w:noProof w:val="0"/>
          <w:rtl/>
          <w:lang w:eastAsia="en-US"/>
        </w:rPr>
        <w:t>.</w:t>
      </w:r>
    </w:p>
    <w:p w:rsidR="00065E4B" w:rsidRDefault="00065E4B" w:rsidP="00597C20">
      <w:pPr>
        <w:pStyle w:val="53"/>
        <w:rPr>
          <w:rtl/>
        </w:rPr>
      </w:pPr>
      <w:r>
        <w:rPr>
          <w:rFonts w:hint="cs"/>
          <w:rtl/>
        </w:rPr>
        <w:lastRenderedPageBreak/>
        <w:t>و</w:t>
      </w:r>
      <w:r w:rsidR="001946A3">
        <w:rPr>
          <w:rFonts w:hint="cs"/>
          <w:rtl/>
        </w:rPr>
        <w:t>جه اندراج الفرع تحت القاعدة:</w:t>
      </w:r>
    </w:p>
    <w:p w:rsidR="001946A3" w:rsidRDefault="00790371" w:rsidP="00597C20">
      <w:pPr>
        <w:widowControl/>
        <w:autoSpaceDE w:val="0"/>
        <w:autoSpaceDN w:val="0"/>
        <w:adjustRightInd w:val="0"/>
        <w:ind w:firstLine="360"/>
        <w:rPr>
          <w:rFonts w:ascii="Traditional Arabic" w:hAnsi="Traditional Arabic"/>
          <w:noProof w:val="0"/>
          <w:rtl/>
          <w:lang w:eastAsia="en-US"/>
        </w:rPr>
      </w:pPr>
      <w:r>
        <w:rPr>
          <w:rFonts w:ascii="Traditional Arabic" w:hAnsi="Traditional Arabic" w:hint="cs"/>
          <w:noProof w:val="0"/>
          <w:rtl/>
          <w:lang w:eastAsia="en-US"/>
        </w:rPr>
        <w:t>إ</w:t>
      </w:r>
      <w:r w:rsidR="001946A3">
        <w:rPr>
          <w:rFonts w:ascii="Traditional Arabic" w:hAnsi="Traditional Arabic" w:hint="cs"/>
          <w:noProof w:val="0"/>
          <w:rtl/>
          <w:lang w:eastAsia="en-US"/>
        </w:rPr>
        <w:t>ن الضامن قد أدَّى واجباً عن المضمون عنه بنية الرجوع، وقضاء د</w:t>
      </w:r>
      <w:r w:rsidR="00A43818">
        <w:rPr>
          <w:rFonts w:ascii="Traditional Arabic" w:hAnsi="Traditional Arabic" w:hint="cs"/>
          <w:noProof w:val="0"/>
          <w:rtl/>
          <w:lang w:eastAsia="en-US"/>
        </w:rPr>
        <w:t>يون الآدميين لا تشترط فيه النية؛</w:t>
      </w:r>
      <w:r w:rsidR="001946A3">
        <w:rPr>
          <w:rFonts w:ascii="Traditional Arabic" w:hAnsi="Traditional Arabic" w:hint="cs"/>
          <w:noProof w:val="0"/>
          <w:rtl/>
          <w:lang w:eastAsia="en-US"/>
        </w:rPr>
        <w:t xml:space="preserve"> ولهذا تبرأ ذمة المضمون عنه تجاه الدائن بذلك، وما دام الضامن قد نوى الرجوع فإنه يرجع بما أَنفق على المضمون عنه</w:t>
      </w:r>
      <w:r w:rsidR="001946A3" w:rsidRPr="00C821A1">
        <w:rPr>
          <w:rStyle w:val="af1"/>
          <w:szCs w:val="32"/>
          <w:rtl/>
        </w:rPr>
        <w:t>(</w:t>
      </w:r>
      <w:r w:rsidR="001946A3" w:rsidRPr="00C821A1">
        <w:rPr>
          <w:rStyle w:val="af1"/>
          <w:szCs w:val="32"/>
          <w:rtl/>
        </w:rPr>
        <w:footnoteReference w:id="792"/>
      </w:r>
      <w:r w:rsidR="001946A3" w:rsidRPr="00C821A1">
        <w:rPr>
          <w:rStyle w:val="af1"/>
          <w:szCs w:val="32"/>
          <w:rtl/>
        </w:rPr>
        <w:t>)</w:t>
      </w:r>
      <w:r w:rsidR="001946A3">
        <w:rPr>
          <w:rFonts w:ascii="Traditional Arabic" w:hAnsi="Traditional Arabic" w:hint="cs"/>
          <w:noProof w:val="0"/>
          <w:rtl/>
          <w:lang w:eastAsia="en-US"/>
        </w:rPr>
        <w:t>.</w:t>
      </w:r>
    </w:p>
    <w:p w:rsidR="001946A3" w:rsidRDefault="001946A3" w:rsidP="000A76C7">
      <w:pPr>
        <w:pStyle w:val="afc"/>
        <w:widowControl/>
        <w:numPr>
          <w:ilvl w:val="0"/>
          <w:numId w:val="121"/>
        </w:numPr>
        <w:autoSpaceDE w:val="0"/>
        <w:autoSpaceDN w:val="0"/>
        <w:adjustRightInd w:val="0"/>
        <w:rPr>
          <w:rFonts w:ascii="Traditional Arabic" w:hAnsi="Traditional Arabic"/>
          <w:noProof w:val="0"/>
          <w:lang w:eastAsia="en-US"/>
        </w:rPr>
      </w:pPr>
      <w:r>
        <w:rPr>
          <w:rFonts w:ascii="Traditional Arabic" w:hAnsi="Traditional Arabic" w:hint="cs"/>
          <w:noProof w:val="0"/>
          <w:rtl/>
          <w:lang w:eastAsia="en-US"/>
        </w:rPr>
        <w:t>إذا وُجد مع اللَّقيط</w:t>
      </w:r>
      <w:r w:rsidRPr="00C821A1">
        <w:rPr>
          <w:rStyle w:val="af1"/>
          <w:szCs w:val="32"/>
          <w:rtl/>
        </w:rPr>
        <w:t>(</w:t>
      </w:r>
      <w:r w:rsidRPr="00C821A1">
        <w:rPr>
          <w:rStyle w:val="af1"/>
          <w:szCs w:val="32"/>
          <w:rtl/>
        </w:rPr>
        <w:footnoteReference w:id="793"/>
      </w:r>
      <w:r w:rsidRPr="00C821A1">
        <w:rPr>
          <w:rStyle w:val="af1"/>
          <w:szCs w:val="32"/>
          <w:rtl/>
        </w:rPr>
        <w:t>)</w:t>
      </w:r>
      <w:r>
        <w:rPr>
          <w:rFonts w:ascii="Traditional Arabic" w:hAnsi="Traditional Arabic" w:hint="cs"/>
          <w:noProof w:val="0"/>
          <w:rtl/>
          <w:lang w:eastAsia="en-US"/>
        </w:rPr>
        <w:t xml:space="preserve"> ما يُنفَق عليه منه أُنفِق عليه منه، فإن لم يوجد معه شيءٌ، أُنفِق عليه من بيت المال، فإن كان الوصول إلى بيت المال يحتاج إلى وقتٍ، فيُنفِق عليه واجِدُه، وله أن يرجِع بعد ذلك على بيت المال بما أَنفَق إن نوى الرجوع، وأما إن لم ينو</w:t>
      </w:r>
      <w:r w:rsidR="00790371">
        <w:rPr>
          <w:rFonts w:ascii="Traditional Arabic" w:hAnsi="Traditional Arabic" w:hint="cs"/>
          <w:noProof w:val="0"/>
          <w:rtl/>
          <w:lang w:eastAsia="en-US"/>
        </w:rPr>
        <w:t>ِ</w:t>
      </w:r>
      <w:r w:rsidR="00DF7FDB">
        <w:rPr>
          <w:rFonts w:ascii="Traditional Arabic" w:hAnsi="Traditional Arabic" w:hint="cs"/>
          <w:noProof w:val="0"/>
          <w:rtl/>
          <w:lang w:eastAsia="en-US"/>
        </w:rPr>
        <w:t xml:space="preserve"> الرجوع،</w:t>
      </w:r>
      <w:r>
        <w:rPr>
          <w:rFonts w:ascii="Traditional Arabic" w:hAnsi="Traditional Arabic" w:hint="cs"/>
          <w:noProof w:val="0"/>
          <w:rtl/>
          <w:lang w:eastAsia="en-US"/>
        </w:rPr>
        <w:t xml:space="preserve"> فلا يرجِع على أحد</w:t>
      </w:r>
      <w:r w:rsidRPr="00C821A1">
        <w:rPr>
          <w:rStyle w:val="af1"/>
          <w:szCs w:val="32"/>
          <w:rtl/>
        </w:rPr>
        <w:t>(</w:t>
      </w:r>
      <w:r w:rsidRPr="00C821A1">
        <w:rPr>
          <w:rStyle w:val="af1"/>
          <w:szCs w:val="32"/>
          <w:rtl/>
        </w:rPr>
        <w:footnoteReference w:id="794"/>
      </w:r>
      <w:r w:rsidRPr="00C821A1">
        <w:rPr>
          <w:rStyle w:val="af1"/>
          <w:szCs w:val="32"/>
          <w:rtl/>
        </w:rPr>
        <w:t>)</w:t>
      </w:r>
      <w:r>
        <w:rPr>
          <w:rFonts w:ascii="Traditional Arabic" w:hAnsi="Traditional Arabic" w:hint="cs"/>
          <w:noProof w:val="0"/>
          <w:rtl/>
          <w:lang w:eastAsia="en-US"/>
        </w:rPr>
        <w:t>.</w:t>
      </w:r>
    </w:p>
    <w:p w:rsidR="001946A3" w:rsidRDefault="001946A3" w:rsidP="00597C20">
      <w:pPr>
        <w:pStyle w:val="53"/>
        <w:rPr>
          <w:rtl/>
        </w:rPr>
      </w:pPr>
      <w:r>
        <w:rPr>
          <w:rFonts w:hint="cs"/>
          <w:rtl/>
        </w:rPr>
        <w:t>وجه اندراج الفرع تحت القاعدة:</w:t>
      </w:r>
    </w:p>
    <w:p w:rsidR="00F228A9" w:rsidRDefault="001946A3" w:rsidP="00597C20">
      <w:pPr>
        <w:widowControl/>
        <w:autoSpaceDE w:val="0"/>
        <w:autoSpaceDN w:val="0"/>
        <w:adjustRightInd w:val="0"/>
        <w:ind w:firstLine="720"/>
        <w:rPr>
          <w:rFonts w:ascii="Traditional Arabic" w:hAnsi="Traditional Arabic"/>
          <w:noProof w:val="0"/>
          <w:rtl/>
          <w:lang w:eastAsia="en-US"/>
        </w:rPr>
      </w:pPr>
      <w:r w:rsidRPr="00C85C55">
        <w:rPr>
          <w:rFonts w:ascii="Traditional Arabic" w:hAnsi="Traditional Arabic" w:hint="cs"/>
          <w:noProof w:val="0"/>
          <w:rtl/>
          <w:lang w:eastAsia="en-US"/>
        </w:rPr>
        <w:t>الإنفاق على اللقيط إذا لم يوجد معه ما يُنفَق عليه منه يكون من بيت المال، ولما تعذَّر ذلك مؤقَّتاً، وأنفق عليه الواجِد، فإن له أن يرجع بما أنفق على بيت المال إذا نوى الرجوع؛ لأن</w:t>
      </w:r>
      <w:r w:rsidR="00DF7FDB">
        <w:rPr>
          <w:rFonts w:ascii="Traditional Arabic" w:hAnsi="Traditional Arabic" w:hint="cs"/>
          <w:noProof w:val="0"/>
          <w:rtl/>
          <w:lang w:eastAsia="en-US"/>
        </w:rPr>
        <w:t xml:space="preserve"> الإنفاق على اللقيط لا تشترَط فيه ال</w:t>
      </w:r>
      <w:r w:rsidRPr="00C85C55">
        <w:rPr>
          <w:rFonts w:ascii="Traditional Arabic" w:hAnsi="Traditional Arabic" w:hint="cs"/>
          <w:noProof w:val="0"/>
          <w:rtl/>
          <w:lang w:eastAsia="en-US"/>
        </w:rPr>
        <w:t>نية</w:t>
      </w:r>
      <w:r w:rsidR="00D92D30" w:rsidRPr="00D92D30">
        <w:rPr>
          <w:rFonts w:ascii="Traditional Arabic" w:hAnsi="Traditional Arabic" w:hint="cs"/>
          <w:noProof w:val="0"/>
          <w:vertAlign w:val="superscript"/>
          <w:rtl/>
          <w:lang w:eastAsia="en-US"/>
        </w:rPr>
        <w:t>(</w:t>
      </w:r>
      <w:r w:rsidR="00DF7FDB" w:rsidRPr="00D92D30">
        <w:rPr>
          <w:rStyle w:val="af1"/>
          <w:rFonts w:ascii="Traditional Arabic" w:hAnsi="Traditional Arabic"/>
          <w:noProof w:val="0"/>
          <w:rtl/>
          <w:lang w:eastAsia="en-US"/>
        </w:rPr>
        <w:footnoteReference w:id="795"/>
      </w:r>
      <w:r w:rsidR="00D92D30" w:rsidRPr="00D92D30">
        <w:rPr>
          <w:rFonts w:ascii="Traditional Arabic" w:hAnsi="Traditional Arabic" w:hint="cs"/>
          <w:noProof w:val="0"/>
          <w:vertAlign w:val="superscript"/>
          <w:rtl/>
          <w:lang w:eastAsia="en-US"/>
        </w:rPr>
        <w:t>)</w:t>
      </w:r>
      <w:r w:rsidRPr="00C85C55">
        <w:rPr>
          <w:rFonts w:ascii="Traditional Arabic" w:hAnsi="Traditional Arabic" w:hint="cs"/>
          <w:noProof w:val="0"/>
          <w:rtl/>
          <w:lang w:eastAsia="en-US"/>
        </w:rPr>
        <w:t>، فيكون الواجد قد أدَّى واجبا عن بيت المال يَبْرَأُ به بنيَّة الرجوع</w:t>
      </w:r>
      <w:r w:rsidR="00A43818">
        <w:rPr>
          <w:rFonts w:ascii="Traditional Arabic" w:hAnsi="Traditional Arabic" w:hint="cs"/>
          <w:noProof w:val="0"/>
          <w:rtl/>
          <w:lang w:eastAsia="en-US"/>
        </w:rPr>
        <w:t>،</w:t>
      </w:r>
      <w:r w:rsidRPr="00C85C55">
        <w:rPr>
          <w:rFonts w:ascii="Traditional Arabic" w:hAnsi="Traditional Arabic" w:hint="cs"/>
          <w:noProof w:val="0"/>
          <w:rtl/>
          <w:lang w:eastAsia="en-US"/>
        </w:rPr>
        <w:t xml:space="preserve"> فيرجع بما أنفق.</w:t>
      </w:r>
    </w:p>
    <w:p w:rsidR="00B119BE" w:rsidRDefault="00B119BE" w:rsidP="00597C20">
      <w:pPr>
        <w:widowControl/>
        <w:autoSpaceDE w:val="0"/>
        <w:autoSpaceDN w:val="0"/>
        <w:adjustRightInd w:val="0"/>
        <w:ind w:firstLine="720"/>
        <w:rPr>
          <w:rFonts w:ascii="Traditional Arabic" w:hAnsi="Traditional Arabic"/>
          <w:noProof w:val="0"/>
          <w:rtl/>
          <w:lang w:eastAsia="en-US"/>
        </w:rPr>
      </w:pPr>
    </w:p>
    <w:p w:rsidR="00B119BE" w:rsidRPr="00C85C55" w:rsidRDefault="00B119BE" w:rsidP="00597C20">
      <w:pPr>
        <w:widowControl/>
        <w:autoSpaceDE w:val="0"/>
        <w:autoSpaceDN w:val="0"/>
        <w:adjustRightInd w:val="0"/>
        <w:ind w:firstLine="720"/>
        <w:rPr>
          <w:rFonts w:ascii="Traditional Arabic" w:hAnsi="Traditional Arabic"/>
          <w:noProof w:val="0"/>
          <w:lang w:eastAsia="en-US"/>
        </w:rPr>
      </w:pPr>
    </w:p>
    <w:p w:rsidR="005E65EA" w:rsidRPr="00C85F0F" w:rsidRDefault="005E65EA" w:rsidP="000F5C0F">
      <w:pPr>
        <w:pStyle w:val="aff2"/>
        <w:rPr>
          <w:rtl/>
        </w:rPr>
      </w:pPr>
      <w:bookmarkStart w:id="156" w:name="_Toc334046398"/>
      <w:r w:rsidRPr="005E65EA">
        <w:rPr>
          <w:rFonts w:hint="cs"/>
          <w:rtl/>
        </w:rPr>
        <w:lastRenderedPageBreak/>
        <w:t>المبحث السابع</w:t>
      </w:r>
      <w:r>
        <w:rPr>
          <w:rFonts w:hint="eastAsia"/>
          <w:rtl/>
        </w:rPr>
        <w:t> :</w:t>
      </w:r>
      <w:r>
        <w:rPr>
          <w:rFonts w:hint="cs"/>
          <w:rtl/>
        </w:rPr>
        <w:br/>
      </w:r>
      <w:r w:rsidRPr="005E65EA">
        <w:rPr>
          <w:rFonts w:hint="cs"/>
          <w:rtl/>
        </w:rPr>
        <w:t>قاعدة</w:t>
      </w:r>
      <w:r>
        <w:rPr>
          <w:rtl/>
        </w:rPr>
        <w:br/>
      </w:r>
      <w:r>
        <w:rPr>
          <w:rFonts w:hint="cs"/>
          <w:rtl/>
        </w:rPr>
        <w:t>"</w:t>
      </w:r>
      <w:r w:rsidRPr="005E65EA">
        <w:rPr>
          <w:rFonts w:hint="cs"/>
          <w:rtl/>
        </w:rPr>
        <w:t>الحيل ممنوعة شرعا</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الحيلممنوعةشرعا</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Fonts w:hint="cs"/>
          <w:szCs w:val="32"/>
          <w:vertAlign w:val="superscript"/>
          <w:rtl/>
        </w:rPr>
        <w:t>(</w:t>
      </w:r>
      <w:r w:rsidRPr="00C85F0F">
        <w:rPr>
          <w:szCs w:val="32"/>
          <w:vertAlign w:val="superscript"/>
          <w:rtl/>
        </w:rPr>
        <w:footnoteReference w:id="796"/>
      </w:r>
      <w:r w:rsidRPr="00C85F0F">
        <w:rPr>
          <w:rFonts w:hint="cs"/>
          <w:szCs w:val="32"/>
          <w:vertAlign w:val="superscript"/>
          <w:rtl/>
        </w:rPr>
        <w:t>)</w:t>
      </w:r>
      <w:bookmarkEnd w:id="156"/>
    </w:p>
    <w:p w:rsidR="00065E4B" w:rsidRPr="00C85F0F" w:rsidRDefault="00790371" w:rsidP="00A8347C">
      <w:pPr>
        <w:pStyle w:val="aff3"/>
        <w:rPr>
          <w:rtl/>
        </w:rPr>
      </w:pPr>
      <w:bookmarkStart w:id="157" w:name="_Toc334046399"/>
      <w:r>
        <w:rPr>
          <w:rFonts w:hint="cs"/>
          <w:rtl/>
        </w:rPr>
        <w:t xml:space="preserve">                                        </w:t>
      </w:r>
      <w:r w:rsidR="005E65EA" w:rsidRPr="00C85F0F">
        <w:rPr>
          <w:rFonts w:hint="cs"/>
          <w:rtl/>
        </w:rPr>
        <w:t>المطلب الأول:</w:t>
      </w:r>
      <w:r w:rsidR="005E65EA" w:rsidRPr="00C85F0F">
        <w:rPr>
          <w:rtl/>
        </w:rPr>
        <w:br/>
      </w:r>
      <w:r>
        <w:rPr>
          <w:rFonts w:hint="cs"/>
          <w:rtl/>
        </w:rPr>
        <w:t xml:space="preserve">                      </w:t>
      </w:r>
      <w:r w:rsidR="005E65EA" w:rsidRPr="00C85F0F">
        <w:rPr>
          <w:rFonts w:hint="cs"/>
          <w:rtl/>
        </w:rPr>
        <w:t>صيغ القاعدة عند الشيخ وعند علماء القواعد</w:t>
      </w:r>
      <w:bookmarkEnd w:id="157"/>
    </w:p>
    <w:p w:rsidR="005E65EA" w:rsidRPr="00C85F0F" w:rsidRDefault="00065E4B" w:rsidP="00597C20">
      <w:pPr>
        <w:ind w:firstLine="0"/>
        <w:jc w:val="left"/>
        <w:rPr>
          <w:rtl/>
        </w:rPr>
      </w:pPr>
      <w:r w:rsidRPr="00C85F0F">
        <w:rPr>
          <w:rFonts w:hint="cs"/>
          <w:rtl/>
        </w:rPr>
        <w:t>و</w:t>
      </w:r>
      <w:r w:rsidR="005E65EA" w:rsidRPr="00C85F0F">
        <w:rPr>
          <w:rFonts w:hint="cs"/>
          <w:rtl/>
        </w:rPr>
        <w:t xml:space="preserve">ردت هذه القاعدة عند الشيخ ابن عثيمين </w:t>
      </w:r>
      <w:r w:rsidR="00790371">
        <w:rPr>
          <w:rFonts w:hint="cs"/>
          <w:rtl/>
        </w:rPr>
        <w:t>_</w:t>
      </w:r>
      <w:r w:rsidR="005E65EA" w:rsidRPr="005D5694">
        <w:rPr>
          <w:rFonts w:cs="CTraditional Arabic" w:hint="cs"/>
          <w:color w:val="auto"/>
          <w:rtl/>
        </w:rPr>
        <w:t>/</w:t>
      </w:r>
      <w:r w:rsidR="00790371">
        <w:rPr>
          <w:rFonts w:hint="cs"/>
          <w:rtl/>
        </w:rPr>
        <w:t>_</w:t>
      </w:r>
      <w:r w:rsidR="005E65EA" w:rsidRPr="00C85F0F">
        <w:rPr>
          <w:rFonts w:hint="cs"/>
          <w:rtl/>
        </w:rPr>
        <w:t xml:space="preserve"> بعدة صيغ، منها:</w:t>
      </w:r>
    </w:p>
    <w:p w:rsidR="005E65EA" w:rsidRPr="00C85F0F" w:rsidRDefault="005E65EA" w:rsidP="000A76C7">
      <w:pPr>
        <w:pStyle w:val="afc"/>
        <w:numPr>
          <w:ilvl w:val="0"/>
          <w:numId w:val="329"/>
        </w:numPr>
        <w:jc w:val="left"/>
        <w:rPr>
          <w:rtl/>
        </w:rPr>
      </w:pPr>
      <w:r w:rsidRPr="00C85F0F">
        <w:rPr>
          <w:rFonts w:hint="cs"/>
          <w:rtl/>
        </w:rPr>
        <w:t>من أراد التَّحَيُّل على إسقاطِ الواجب أو فِعلِ المحرَّم عوقِب بِنَقيضِ قَصْدِه</w:t>
      </w:r>
      <w:r w:rsidRPr="00790371">
        <w:rPr>
          <w:rFonts w:hint="cs"/>
          <w:szCs w:val="32"/>
          <w:vertAlign w:val="superscript"/>
          <w:rtl/>
        </w:rPr>
        <w:t>(</w:t>
      </w:r>
      <w:r w:rsidRPr="00C85F0F">
        <w:rPr>
          <w:rStyle w:val="af1"/>
          <w:szCs w:val="32"/>
          <w:rtl/>
        </w:rPr>
        <w:footnoteReference w:id="797"/>
      </w:r>
      <w:r w:rsidRPr="00790371">
        <w:rPr>
          <w:rFonts w:hint="cs"/>
          <w:szCs w:val="32"/>
          <w:vertAlign w:val="superscript"/>
          <w:rtl/>
        </w:rPr>
        <w:t>)</w:t>
      </w:r>
      <w:r w:rsidRPr="00C85F0F">
        <w:rPr>
          <w:rFonts w:hint="cs"/>
          <w:rtl/>
        </w:rPr>
        <w:t>.</w:t>
      </w:r>
    </w:p>
    <w:p w:rsidR="005E65EA" w:rsidRPr="00C85F0F" w:rsidRDefault="005E65EA" w:rsidP="000A76C7">
      <w:pPr>
        <w:pStyle w:val="afc"/>
        <w:numPr>
          <w:ilvl w:val="0"/>
          <w:numId w:val="329"/>
        </w:numPr>
        <w:jc w:val="left"/>
      </w:pPr>
      <w:r w:rsidRPr="00C85F0F">
        <w:rPr>
          <w:rFonts w:hint="cs"/>
          <w:rtl/>
        </w:rPr>
        <w:t>التحيُّل على إسقاط الواجب لا يُسْقِطه، كما أن التحيّل على الحرام لا يُبيحه</w:t>
      </w:r>
      <w:r w:rsidRPr="00790371">
        <w:rPr>
          <w:rFonts w:hint="cs"/>
          <w:szCs w:val="32"/>
          <w:vertAlign w:val="superscript"/>
          <w:rtl/>
        </w:rPr>
        <w:t>(</w:t>
      </w:r>
      <w:r w:rsidRPr="00C85F0F">
        <w:rPr>
          <w:rStyle w:val="af1"/>
          <w:szCs w:val="32"/>
          <w:rtl/>
        </w:rPr>
        <w:footnoteReference w:id="798"/>
      </w:r>
      <w:r w:rsidRPr="00790371">
        <w:rPr>
          <w:rFonts w:hint="cs"/>
          <w:szCs w:val="32"/>
          <w:vertAlign w:val="superscript"/>
          <w:rtl/>
        </w:rPr>
        <w:t>)</w:t>
      </w:r>
      <w:r w:rsidRPr="00C85F0F">
        <w:rPr>
          <w:rFonts w:hint="cs"/>
          <w:rtl/>
        </w:rPr>
        <w:t>.</w:t>
      </w:r>
    </w:p>
    <w:p w:rsidR="005E65EA" w:rsidRPr="00C85F0F" w:rsidRDefault="005E65EA" w:rsidP="000A76C7">
      <w:pPr>
        <w:pStyle w:val="afc"/>
        <w:numPr>
          <w:ilvl w:val="0"/>
          <w:numId w:val="329"/>
        </w:numPr>
        <w:jc w:val="left"/>
      </w:pPr>
      <w:r w:rsidRPr="00C85F0F">
        <w:rPr>
          <w:rFonts w:hint="cs"/>
          <w:rtl/>
        </w:rPr>
        <w:t>الحِيَل ممنوعةٌ شرعًا</w:t>
      </w:r>
      <w:r w:rsidRPr="00790371">
        <w:rPr>
          <w:rFonts w:hint="cs"/>
          <w:szCs w:val="32"/>
          <w:vertAlign w:val="superscript"/>
          <w:rtl/>
        </w:rPr>
        <w:t>(</w:t>
      </w:r>
      <w:r w:rsidRPr="00C85F0F">
        <w:rPr>
          <w:rStyle w:val="af1"/>
          <w:szCs w:val="32"/>
          <w:rtl/>
        </w:rPr>
        <w:footnoteReference w:id="799"/>
      </w:r>
      <w:r w:rsidRPr="00790371">
        <w:rPr>
          <w:rFonts w:hint="cs"/>
          <w:szCs w:val="32"/>
          <w:vertAlign w:val="superscript"/>
          <w:rtl/>
        </w:rPr>
        <w:t>)</w:t>
      </w:r>
      <w:r w:rsidRPr="00C85F0F">
        <w:rPr>
          <w:rFonts w:hint="cs"/>
          <w:rtl/>
        </w:rPr>
        <w:t>.</w:t>
      </w:r>
    </w:p>
    <w:p w:rsidR="005E65EA" w:rsidRPr="00C85F0F" w:rsidRDefault="005E65EA" w:rsidP="000A76C7">
      <w:pPr>
        <w:pStyle w:val="afc"/>
        <w:numPr>
          <w:ilvl w:val="0"/>
          <w:numId w:val="329"/>
        </w:numPr>
        <w:tabs>
          <w:tab w:val="left" w:pos="6026"/>
        </w:tabs>
        <w:jc w:val="left"/>
      </w:pPr>
      <w:r w:rsidRPr="00C85F0F">
        <w:rPr>
          <w:rFonts w:hint="cs"/>
          <w:rtl/>
        </w:rPr>
        <w:t>مَفاسِدُ المحرَّمات لا تزول بالحِيَل</w:t>
      </w:r>
      <w:r w:rsidRPr="00790371">
        <w:rPr>
          <w:rFonts w:hint="cs"/>
          <w:szCs w:val="32"/>
          <w:vertAlign w:val="superscript"/>
          <w:rtl/>
        </w:rPr>
        <w:t>(</w:t>
      </w:r>
      <w:r w:rsidRPr="00C85F0F">
        <w:rPr>
          <w:rStyle w:val="af1"/>
          <w:szCs w:val="32"/>
          <w:rtl/>
        </w:rPr>
        <w:footnoteReference w:id="800"/>
      </w:r>
      <w:r w:rsidRPr="00790371">
        <w:rPr>
          <w:rFonts w:hint="cs"/>
          <w:szCs w:val="32"/>
          <w:vertAlign w:val="superscript"/>
          <w:rtl/>
        </w:rPr>
        <w:t>)</w:t>
      </w:r>
      <w:r w:rsidRPr="00C85F0F">
        <w:rPr>
          <w:rFonts w:hint="cs"/>
          <w:rtl/>
        </w:rPr>
        <w:t>.</w:t>
      </w:r>
    </w:p>
    <w:p w:rsidR="00790371" w:rsidRDefault="005E65EA" w:rsidP="00AD485A">
      <w:pPr>
        <w:pStyle w:val="afc"/>
        <w:numPr>
          <w:ilvl w:val="0"/>
          <w:numId w:val="329"/>
        </w:numPr>
        <w:tabs>
          <w:tab w:val="left" w:pos="6026"/>
        </w:tabs>
        <w:jc w:val="left"/>
      </w:pPr>
      <w:r w:rsidRPr="00C85F0F">
        <w:rPr>
          <w:rFonts w:hint="cs"/>
          <w:rtl/>
        </w:rPr>
        <w:t>كل حيلة على إسقاطِ واجب أو انْتِهاكِ محرَّم فهي حرام</w:t>
      </w:r>
      <w:r w:rsidRPr="00790371">
        <w:rPr>
          <w:rFonts w:hint="cs"/>
          <w:szCs w:val="32"/>
          <w:vertAlign w:val="superscript"/>
          <w:rtl/>
        </w:rPr>
        <w:t>(</w:t>
      </w:r>
      <w:r w:rsidRPr="00C85F0F">
        <w:rPr>
          <w:rStyle w:val="af1"/>
          <w:szCs w:val="32"/>
          <w:rtl/>
        </w:rPr>
        <w:footnoteReference w:id="801"/>
      </w:r>
      <w:r w:rsidRPr="00790371">
        <w:rPr>
          <w:rFonts w:hint="cs"/>
          <w:szCs w:val="32"/>
          <w:vertAlign w:val="superscript"/>
          <w:rtl/>
        </w:rPr>
        <w:t>)</w:t>
      </w:r>
      <w:r w:rsidRPr="00C85F0F">
        <w:rPr>
          <w:rFonts w:hint="cs"/>
          <w:rtl/>
        </w:rPr>
        <w:t>.</w:t>
      </w:r>
    </w:p>
    <w:p w:rsidR="005E65EA" w:rsidRPr="00C85F0F" w:rsidRDefault="005E65EA" w:rsidP="000A76C7">
      <w:pPr>
        <w:pStyle w:val="afc"/>
        <w:numPr>
          <w:ilvl w:val="0"/>
          <w:numId w:val="329"/>
        </w:numPr>
        <w:jc w:val="left"/>
      </w:pPr>
      <w:r w:rsidRPr="00C85F0F">
        <w:rPr>
          <w:rFonts w:hint="cs"/>
          <w:rtl/>
        </w:rPr>
        <w:lastRenderedPageBreak/>
        <w:t xml:space="preserve">جميع الحِيَل التي يَتوصَّل بها الإنسان إلى </w:t>
      </w:r>
      <w:r w:rsidR="00A43818">
        <w:rPr>
          <w:rFonts w:hint="cs"/>
          <w:rtl/>
        </w:rPr>
        <w:t>إسقاطِ واجب أو فِعْلِ محرَّم</w:t>
      </w:r>
      <w:r w:rsidRPr="00C85F0F">
        <w:rPr>
          <w:rFonts w:hint="cs"/>
          <w:rtl/>
        </w:rPr>
        <w:t xml:space="preserve"> باطلة</w:t>
      </w:r>
      <w:r w:rsidRPr="00790371">
        <w:rPr>
          <w:rFonts w:hint="cs"/>
          <w:szCs w:val="32"/>
          <w:vertAlign w:val="superscript"/>
          <w:rtl/>
        </w:rPr>
        <w:t>(</w:t>
      </w:r>
      <w:r w:rsidRPr="00C85F0F">
        <w:rPr>
          <w:rStyle w:val="af1"/>
          <w:szCs w:val="32"/>
          <w:rtl/>
        </w:rPr>
        <w:footnoteReference w:id="802"/>
      </w:r>
      <w:r w:rsidRPr="00790371">
        <w:rPr>
          <w:rFonts w:hint="cs"/>
          <w:szCs w:val="32"/>
          <w:vertAlign w:val="superscript"/>
          <w:rtl/>
        </w:rPr>
        <w:t>)</w:t>
      </w:r>
      <w:r w:rsidRPr="00C85F0F">
        <w:rPr>
          <w:rFonts w:hint="cs"/>
          <w:rtl/>
        </w:rPr>
        <w:t>.</w:t>
      </w:r>
    </w:p>
    <w:p w:rsidR="005E65EA" w:rsidRPr="00C85F0F" w:rsidRDefault="005E65EA" w:rsidP="000A76C7">
      <w:pPr>
        <w:pStyle w:val="afc"/>
        <w:numPr>
          <w:ilvl w:val="0"/>
          <w:numId w:val="329"/>
        </w:numPr>
        <w:jc w:val="left"/>
        <w:rPr>
          <w:rtl/>
        </w:rPr>
      </w:pPr>
      <w:r w:rsidRPr="00C85F0F">
        <w:rPr>
          <w:rFonts w:hint="cs"/>
          <w:rtl/>
        </w:rPr>
        <w:t>واحكُم لكل عامل بنِيَّتِه</w:t>
      </w:r>
      <w:r w:rsidR="00790371">
        <w:rPr>
          <w:rFonts w:hint="cs"/>
          <w:rtl/>
        </w:rPr>
        <w:t xml:space="preserve">     </w:t>
      </w:r>
      <w:r w:rsidRPr="00EF1161">
        <w:rPr>
          <w:rFonts w:hint="cs"/>
          <w:rtl/>
        </w:rPr>
        <w:t>واسدُدْ على المحتال باب حِيلَتِهْ</w:t>
      </w:r>
      <w:r w:rsidRPr="00790371">
        <w:rPr>
          <w:rStyle w:val="af1"/>
          <w:szCs w:val="32"/>
          <w:rtl/>
        </w:rPr>
        <w:t>(</w:t>
      </w:r>
      <w:r w:rsidRPr="00C85F0F">
        <w:rPr>
          <w:rStyle w:val="af1"/>
          <w:szCs w:val="32"/>
          <w:rtl/>
        </w:rPr>
        <w:footnoteReference w:id="803"/>
      </w:r>
      <w:r w:rsidRPr="00790371">
        <w:rPr>
          <w:rStyle w:val="af1"/>
          <w:szCs w:val="32"/>
          <w:rtl/>
        </w:rPr>
        <w:t>)</w:t>
      </w:r>
    </w:p>
    <w:p w:rsidR="005E65EA" w:rsidRPr="00C85F0F" w:rsidRDefault="00EF1161" w:rsidP="00790371">
      <w:pPr>
        <w:ind w:firstLine="0"/>
        <w:jc w:val="left"/>
        <w:rPr>
          <w:rtl/>
        </w:rPr>
      </w:pPr>
      <w:r>
        <w:rPr>
          <w:rFonts w:hint="cs"/>
          <w:rtl/>
        </w:rPr>
        <w:t xml:space="preserve">    </w:t>
      </w:r>
      <w:r w:rsidR="00790371">
        <w:rPr>
          <w:rFonts w:hint="cs"/>
          <w:rtl/>
        </w:rPr>
        <w:t>و</w:t>
      </w:r>
      <w:r w:rsidR="005E65EA" w:rsidRPr="00C85F0F">
        <w:rPr>
          <w:rFonts w:hint="cs"/>
          <w:rtl/>
        </w:rPr>
        <w:t>قد وردت هذه القاعدة عندالعلماء بصيغ متعدِّدة، منها</w:t>
      </w:r>
      <w:r w:rsidR="005E65EA" w:rsidRPr="00C85F0F">
        <w:rPr>
          <w:rFonts w:hint="cs"/>
          <w:szCs w:val="32"/>
          <w:vertAlign w:val="superscript"/>
          <w:rtl/>
        </w:rPr>
        <w:t>(</w:t>
      </w:r>
      <w:r w:rsidR="005E65EA" w:rsidRPr="00C85F0F">
        <w:rPr>
          <w:rStyle w:val="af1"/>
          <w:szCs w:val="32"/>
          <w:rtl/>
        </w:rPr>
        <w:footnoteReference w:id="804"/>
      </w:r>
      <w:r w:rsidR="005E65EA" w:rsidRPr="00C85F0F">
        <w:rPr>
          <w:rFonts w:hint="cs"/>
          <w:szCs w:val="32"/>
          <w:vertAlign w:val="superscript"/>
          <w:rtl/>
        </w:rPr>
        <w:t>)</w:t>
      </w:r>
      <w:r w:rsidR="005E65EA" w:rsidRPr="00C85F0F">
        <w:rPr>
          <w:rFonts w:hint="cs"/>
          <w:rtl/>
        </w:rPr>
        <w:t>:</w:t>
      </w:r>
    </w:p>
    <w:p w:rsidR="005E65EA" w:rsidRPr="00C85F0F" w:rsidRDefault="005E65EA" w:rsidP="000A76C7">
      <w:pPr>
        <w:pStyle w:val="afc"/>
        <w:numPr>
          <w:ilvl w:val="0"/>
          <w:numId w:val="330"/>
        </w:numPr>
        <w:jc w:val="left"/>
      </w:pPr>
      <w:r w:rsidRPr="00C85F0F">
        <w:rPr>
          <w:rFonts w:hint="cs"/>
          <w:rtl/>
        </w:rPr>
        <w:t>كل حيلة تضمَّنت إسقاطَ حقٍّ لله أو لآدَميّ فهي مُنْدَرِجة فيما يُستحَلّ به الْمَحارِم</w:t>
      </w:r>
      <w:r w:rsidRPr="00790371">
        <w:rPr>
          <w:rFonts w:hint="cs"/>
          <w:szCs w:val="32"/>
          <w:vertAlign w:val="superscript"/>
          <w:rtl/>
        </w:rPr>
        <w:t>(</w:t>
      </w:r>
      <w:r w:rsidRPr="00C85F0F">
        <w:rPr>
          <w:rStyle w:val="af1"/>
          <w:szCs w:val="32"/>
          <w:rtl/>
        </w:rPr>
        <w:footnoteReference w:id="805"/>
      </w:r>
      <w:r w:rsidRPr="00790371">
        <w:rPr>
          <w:rFonts w:hint="cs"/>
          <w:szCs w:val="32"/>
          <w:vertAlign w:val="superscript"/>
          <w:rtl/>
        </w:rPr>
        <w:t>)</w:t>
      </w:r>
      <w:r w:rsidRPr="00C85F0F">
        <w:rPr>
          <w:rFonts w:hint="cs"/>
          <w:rtl/>
        </w:rPr>
        <w:t>.</w:t>
      </w:r>
    </w:p>
    <w:p w:rsidR="005E65EA" w:rsidRPr="00C85F0F" w:rsidRDefault="005E65EA" w:rsidP="000A76C7">
      <w:pPr>
        <w:pStyle w:val="afc"/>
        <w:numPr>
          <w:ilvl w:val="0"/>
          <w:numId w:val="330"/>
        </w:numPr>
        <w:jc w:val="left"/>
      </w:pPr>
      <w:r w:rsidRPr="00C85F0F">
        <w:rPr>
          <w:rtl/>
        </w:rPr>
        <w:t>ما في ض</w:t>
      </w:r>
      <w:r w:rsidRPr="00C85F0F">
        <w:rPr>
          <w:rFonts w:hint="cs"/>
          <w:rtl/>
        </w:rPr>
        <w:t>ِ</w:t>
      </w:r>
      <w:r w:rsidRPr="00C85F0F">
        <w:rPr>
          <w:rtl/>
        </w:rPr>
        <w:t>م</w:t>
      </w:r>
      <w:r w:rsidRPr="00C85F0F">
        <w:rPr>
          <w:rFonts w:hint="cs"/>
          <w:rtl/>
        </w:rPr>
        <w:t>ْ</w:t>
      </w:r>
      <w:r w:rsidRPr="00C85F0F">
        <w:rPr>
          <w:rtl/>
        </w:rPr>
        <w:t>ن</w:t>
      </w:r>
      <w:r w:rsidRPr="00C85F0F">
        <w:rPr>
          <w:rFonts w:hint="cs"/>
          <w:rtl/>
        </w:rPr>
        <w:t>ِ</w:t>
      </w:r>
      <w:r w:rsidRPr="00C85F0F">
        <w:rPr>
          <w:rtl/>
        </w:rPr>
        <w:t xml:space="preserve"> المحر</w:t>
      </w:r>
      <w:r w:rsidRPr="00C85F0F">
        <w:rPr>
          <w:rFonts w:hint="cs"/>
          <w:rtl/>
        </w:rPr>
        <w:t>َّ</w:t>
      </w:r>
      <w:r w:rsidRPr="00C85F0F">
        <w:rPr>
          <w:rtl/>
        </w:rPr>
        <w:t>مات من المفاسد والمأمورات من المصالح ي</w:t>
      </w:r>
      <w:r w:rsidRPr="00C85F0F">
        <w:rPr>
          <w:rFonts w:hint="cs"/>
          <w:rtl/>
        </w:rPr>
        <w:t>ُ</w:t>
      </w:r>
      <w:r w:rsidRPr="00C85F0F">
        <w:rPr>
          <w:rtl/>
        </w:rPr>
        <w:t>م</w:t>
      </w:r>
      <w:r w:rsidRPr="00C85F0F">
        <w:rPr>
          <w:rFonts w:hint="cs"/>
          <w:rtl/>
        </w:rPr>
        <w:t>ْ</w:t>
      </w:r>
      <w:r w:rsidRPr="00C85F0F">
        <w:rPr>
          <w:rtl/>
        </w:rPr>
        <w:t>ن</w:t>
      </w:r>
      <w:r w:rsidRPr="00C85F0F">
        <w:rPr>
          <w:rFonts w:hint="cs"/>
          <w:rtl/>
        </w:rPr>
        <w:t>َ</w:t>
      </w:r>
      <w:r w:rsidRPr="00C85F0F">
        <w:rPr>
          <w:rtl/>
        </w:rPr>
        <w:t xml:space="preserve">ع </w:t>
      </w:r>
      <w:r w:rsidRPr="00C85F0F">
        <w:rPr>
          <w:rFonts w:hint="cs"/>
          <w:rtl/>
        </w:rPr>
        <w:t>أ</w:t>
      </w:r>
      <w:r w:rsidRPr="00C85F0F">
        <w:rPr>
          <w:rtl/>
        </w:rPr>
        <w:t>ن ي</w:t>
      </w:r>
      <w:r w:rsidRPr="00C85F0F">
        <w:rPr>
          <w:rFonts w:hint="cs"/>
          <w:rtl/>
        </w:rPr>
        <w:t>ُ</w:t>
      </w:r>
      <w:r w:rsidRPr="00C85F0F">
        <w:rPr>
          <w:rtl/>
        </w:rPr>
        <w:t>ش</w:t>
      </w:r>
      <w:r w:rsidRPr="00C85F0F">
        <w:rPr>
          <w:rFonts w:hint="cs"/>
          <w:rtl/>
        </w:rPr>
        <w:t>ْ</w:t>
      </w:r>
      <w:r w:rsidRPr="00C85F0F">
        <w:rPr>
          <w:rtl/>
        </w:rPr>
        <w:t>ر</w:t>
      </w:r>
      <w:r w:rsidRPr="00C85F0F">
        <w:rPr>
          <w:rFonts w:hint="cs"/>
          <w:rtl/>
        </w:rPr>
        <w:t>َ</w:t>
      </w:r>
      <w:r w:rsidRPr="00C85F0F">
        <w:rPr>
          <w:rtl/>
        </w:rPr>
        <w:t xml:space="preserve">ع </w:t>
      </w:r>
      <w:r w:rsidRPr="00C85F0F">
        <w:rPr>
          <w:rFonts w:hint="cs"/>
          <w:rtl/>
        </w:rPr>
        <w:t>إ</w:t>
      </w:r>
      <w:r w:rsidRPr="00C85F0F">
        <w:rPr>
          <w:rtl/>
        </w:rPr>
        <w:t>ليها التحي</w:t>
      </w:r>
      <w:r w:rsidRPr="00C85F0F">
        <w:rPr>
          <w:rFonts w:hint="cs"/>
          <w:rtl/>
        </w:rPr>
        <w:t>ُّ</w:t>
      </w:r>
      <w:r w:rsidRPr="00C85F0F">
        <w:rPr>
          <w:rtl/>
        </w:rPr>
        <w:t>ل بما ي</w:t>
      </w:r>
      <w:r w:rsidRPr="00C85F0F">
        <w:rPr>
          <w:rFonts w:hint="cs"/>
          <w:rtl/>
        </w:rPr>
        <w:t>ُ</w:t>
      </w:r>
      <w:r w:rsidRPr="00C85F0F">
        <w:rPr>
          <w:rtl/>
        </w:rPr>
        <w:t>بيحها وي</w:t>
      </w:r>
      <w:r w:rsidRPr="00C85F0F">
        <w:rPr>
          <w:rFonts w:hint="cs"/>
          <w:rtl/>
        </w:rPr>
        <w:t>ُ</w:t>
      </w:r>
      <w:r w:rsidRPr="00C85F0F">
        <w:rPr>
          <w:rtl/>
        </w:rPr>
        <w:t>س</w:t>
      </w:r>
      <w:r w:rsidRPr="00C85F0F">
        <w:rPr>
          <w:rFonts w:hint="cs"/>
          <w:rtl/>
        </w:rPr>
        <w:t>ْ</w:t>
      </w:r>
      <w:r w:rsidRPr="00C85F0F">
        <w:rPr>
          <w:rtl/>
        </w:rPr>
        <w:t>ق</w:t>
      </w:r>
      <w:r w:rsidRPr="00C85F0F">
        <w:rPr>
          <w:rFonts w:hint="cs"/>
          <w:rtl/>
        </w:rPr>
        <w:t>ِ</w:t>
      </w:r>
      <w:r w:rsidRPr="00C85F0F">
        <w:rPr>
          <w:rtl/>
        </w:rPr>
        <w:t>طها</w:t>
      </w:r>
      <w:r w:rsidRPr="00EF1161">
        <w:rPr>
          <w:rFonts w:hint="cs"/>
          <w:szCs w:val="32"/>
          <w:vertAlign w:val="superscript"/>
          <w:rtl/>
        </w:rPr>
        <w:t>(</w:t>
      </w:r>
      <w:r w:rsidRPr="00C85F0F">
        <w:rPr>
          <w:rStyle w:val="af1"/>
          <w:szCs w:val="32"/>
          <w:rtl/>
        </w:rPr>
        <w:footnoteReference w:id="806"/>
      </w:r>
      <w:r w:rsidRPr="00EF1161">
        <w:rPr>
          <w:rFonts w:hint="cs"/>
          <w:szCs w:val="32"/>
          <w:vertAlign w:val="superscript"/>
          <w:rtl/>
        </w:rPr>
        <w:t>)</w:t>
      </w:r>
      <w:r w:rsidRPr="00C85F0F">
        <w:rPr>
          <w:rFonts w:hint="cs"/>
          <w:rtl/>
        </w:rPr>
        <w:t>.</w:t>
      </w:r>
    </w:p>
    <w:p w:rsidR="005E65EA" w:rsidRPr="00C85F0F" w:rsidRDefault="005E65EA" w:rsidP="000A76C7">
      <w:pPr>
        <w:pStyle w:val="afc"/>
        <w:numPr>
          <w:ilvl w:val="0"/>
          <w:numId w:val="330"/>
        </w:numPr>
        <w:jc w:val="left"/>
      </w:pPr>
      <w:r w:rsidRPr="00C85F0F">
        <w:rPr>
          <w:rtl/>
        </w:rPr>
        <w:t>كل م</w:t>
      </w:r>
      <w:r w:rsidRPr="00C85F0F">
        <w:rPr>
          <w:rFonts w:hint="cs"/>
          <w:rtl/>
        </w:rPr>
        <w:t>َ</w:t>
      </w:r>
      <w:r w:rsidRPr="00C85F0F">
        <w:rPr>
          <w:rtl/>
        </w:rPr>
        <w:t>ن ابتغى في تكاليف الشريعة غير</w:t>
      </w:r>
      <w:r w:rsidRPr="00C85F0F">
        <w:rPr>
          <w:rFonts w:hint="cs"/>
          <w:rtl/>
        </w:rPr>
        <w:t>َ</w:t>
      </w:r>
      <w:r w:rsidRPr="00C85F0F">
        <w:rPr>
          <w:rtl/>
        </w:rPr>
        <w:t xml:space="preserve"> ما ش</w:t>
      </w:r>
      <w:r w:rsidRPr="00C85F0F">
        <w:rPr>
          <w:rFonts w:hint="cs"/>
          <w:rtl/>
        </w:rPr>
        <w:t>ُ</w:t>
      </w:r>
      <w:r w:rsidRPr="00C85F0F">
        <w:rPr>
          <w:rtl/>
        </w:rPr>
        <w:t>ر</w:t>
      </w:r>
      <w:r w:rsidRPr="00C85F0F">
        <w:rPr>
          <w:rFonts w:hint="cs"/>
          <w:rtl/>
        </w:rPr>
        <w:t>ِ</w:t>
      </w:r>
      <w:r w:rsidRPr="00C85F0F">
        <w:rPr>
          <w:rtl/>
        </w:rPr>
        <w:t>ع</w:t>
      </w:r>
      <w:r w:rsidRPr="00C85F0F">
        <w:rPr>
          <w:rFonts w:hint="cs"/>
          <w:rtl/>
        </w:rPr>
        <w:t>َ</w:t>
      </w:r>
      <w:r w:rsidRPr="00C85F0F">
        <w:rPr>
          <w:rtl/>
        </w:rPr>
        <w:t>ت</w:t>
      </w:r>
      <w:r w:rsidRPr="00C85F0F">
        <w:rPr>
          <w:rFonts w:hint="cs"/>
          <w:rtl/>
        </w:rPr>
        <w:t>ْ</w:t>
      </w:r>
      <w:r w:rsidRPr="00C85F0F">
        <w:rPr>
          <w:rtl/>
        </w:rPr>
        <w:t xml:space="preserve"> له فقد ناق</w:t>
      </w:r>
      <w:r w:rsidRPr="00C85F0F">
        <w:rPr>
          <w:rFonts w:hint="cs"/>
          <w:rtl/>
        </w:rPr>
        <w:t>َ</w:t>
      </w:r>
      <w:r w:rsidRPr="00C85F0F">
        <w:rPr>
          <w:rtl/>
        </w:rPr>
        <w:t>ض</w:t>
      </w:r>
      <w:r w:rsidR="00790371">
        <w:rPr>
          <w:rFonts w:hint="cs"/>
          <w:rtl/>
        </w:rPr>
        <w:t xml:space="preserve"> </w:t>
      </w:r>
      <w:r w:rsidRPr="00C85F0F">
        <w:rPr>
          <w:rtl/>
        </w:rPr>
        <w:t>الشريعة، وكلما ناق</w:t>
      </w:r>
      <w:r w:rsidRPr="00C85F0F">
        <w:rPr>
          <w:rFonts w:hint="cs"/>
          <w:rtl/>
        </w:rPr>
        <w:t>َضَ</w:t>
      </w:r>
      <w:r w:rsidRPr="00C85F0F">
        <w:rPr>
          <w:rtl/>
        </w:rPr>
        <w:t>ها فعم</w:t>
      </w:r>
      <w:r w:rsidRPr="00C85F0F">
        <w:rPr>
          <w:rFonts w:hint="cs"/>
          <w:rtl/>
        </w:rPr>
        <w:t>َ</w:t>
      </w:r>
      <w:r w:rsidRPr="00C85F0F">
        <w:rPr>
          <w:rtl/>
        </w:rPr>
        <w:t>ل</w:t>
      </w:r>
      <w:r w:rsidRPr="00C85F0F">
        <w:rPr>
          <w:rFonts w:hint="cs"/>
          <w:rtl/>
        </w:rPr>
        <w:t>ُ</w:t>
      </w:r>
      <w:r w:rsidRPr="00C85F0F">
        <w:rPr>
          <w:rtl/>
        </w:rPr>
        <w:t>ه في ال</w:t>
      </w:r>
      <w:r w:rsidRPr="00C85F0F">
        <w:rPr>
          <w:rFonts w:hint="cs"/>
          <w:rtl/>
        </w:rPr>
        <w:t>ْ</w:t>
      </w:r>
      <w:r w:rsidRPr="00C85F0F">
        <w:rPr>
          <w:rtl/>
        </w:rPr>
        <w:t>م</w:t>
      </w:r>
      <w:r w:rsidRPr="00C85F0F">
        <w:rPr>
          <w:rFonts w:hint="cs"/>
          <w:rtl/>
        </w:rPr>
        <w:t>ُ</w:t>
      </w:r>
      <w:r w:rsidRPr="00C85F0F">
        <w:rPr>
          <w:rtl/>
        </w:rPr>
        <w:t>ناق</w:t>
      </w:r>
      <w:r w:rsidRPr="00C85F0F">
        <w:rPr>
          <w:rFonts w:hint="cs"/>
          <w:rtl/>
        </w:rPr>
        <w:t>َ</w:t>
      </w:r>
      <w:r w:rsidRPr="00C85F0F">
        <w:rPr>
          <w:rtl/>
        </w:rPr>
        <w:t>ضة باطل</w:t>
      </w:r>
      <w:r w:rsidRPr="00790371">
        <w:rPr>
          <w:rFonts w:hint="cs"/>
          <w:szCs w:val="32"/>
          <w:vertAlign w:val="superscript"/>
          <w:rtl/>
        </w:rPr>
        <w:t>(</w:t>
      </w:r>
      <w:r w:rsidRPr="00C85F0F">
        <w:rPr>
          <w:rStyle w:val="af1"/>
          <w:szCs w:val="32"/>
          <w:rtl/>
        </w:rPr>
        <w:footnoteReference w:id="807"/>
      </w:r>
      <w:r w:rsidRPr="00790371">
        <w:rPr>
          <w:rFonts w:hint="cs"/>
          <w:szCs w:val="32"/>
          <w:vertAlign w:val="superscript"/>
          <w:rtl/>
        </w:rPr>
        <w:t>)</w:t>
      </w:r>
      <w:r w:rsidRPr="00C85F0F">
        <w:rPr>
          <w:rFonts w:hint="cs"/>
          <w:rtl/>
        </w:rPr>
        <w:t>.</w:t>
      </w:r>
    </w:p>
    <w:p w:rsidR="005E65EA" w:rsidRPr="00C85F0F" w:rsidRDefault="005E65EA" w:rsidP="000A76C7">
      <w:pPr>
        <w:pStyle w:val="afc"/>
        <w:numPr>
          <w:ilvl w:val="0"/>
          <w:numId w:val="330"/>
        </w:numPr>
        <w:jc w:val="left"/>
      </w:pPr>
      <w:r w:rsidRPr="00C85F0F">
        <w:rPr>
          <w:rFonts w:hint="cs"/>
          <w:rtl/>
        </w:rPr>
        <w:t>مَن أتى بِسَبَب يُفيد الملكَ أو الحِلَّ أو يُسقِط الواجبات على وَجْهٍ محرَّم، وكان مما تدعو النُّفوسُ إليه، أُلْغِيَ ذلك الشرط،</w:t>
      </w:r>
      <w:r w:rsidR="00154102" w:rsidRPr="00C85F0F">
        <w:rPr>
          <w:rFonts w:hint="cs"/>
          <w:rtl/>
        </w:rPr>
        <w:t xml:space="preserve"> و</w:t>
      </w:r>
      <w:r w:rsidRPr="00C85F0F">
        <w:rPr>
          <w:rFonts w:hint="cs"/>
          <w:rtl/>
        </w:rPr>
        <w:t>صار وجودُه كالعدَم،</w:t>
      </w:r>
      <w:r w:rsidR="00154102" w:rsidRPr="00C85F0F">
        <w:rPr>
          <w:rFonts w:hint="cs"/>
          <w:rtl/>
        </w:rPr>
        <w:t xml:space="preserve"> و</w:t>
      </w:r>
      <w:r w:rsidRPr="00C85F0F">
        <w:rPr>
          <w:rFonts w:hint="cs"/>
          <w:rtl/>
        </w:rPr>
        <w:t>لم يترتَّب عليه أحكامُه</w:t>
      </w:r>
      <w:r w:rsidRPr="00790371">
        <w:rPr>
          <w:rFonts w:hint="cs"/>
          <w:szCs w:val="32"/>
          <w:vertAlign w:val="superscript"/>
          <w:rtl/>
        </w:rPr>
        <w:t>(</w:t>
      </w:r>
      <w:r w:rsidRPr="00C85F0F">
        <w:rPr>
          <w:rStyle w:val="af1"/>
          <w:szCs w:val="32"/>
          <w:rtl/>
        </w:rPr>
        <w:footnoteReference w:id="808"/>
      </w:r>
      <w:r w:rsidRPr="00790371">
        <w:rPr>
          <w:rFonts w:hint="cs"/>
          <w:szCs w:val="32"/>
          <w:vertAlign w:val="superscript"/>
          <w:rtl/>
        </w:rPr>
        <w:t>)</w:t>
      </w:r>
      <w:r w:rsidRPr="00C85F0F">
        <w:rPr>
          <w:rFonts w:hint="cs"/>
          <w:rtl/>
        </w:rPr>
        <w:t>.</w:t>
      </w:r>
    </w:p>
    <w:p w:rsidR="00065E4B" w:rsidRPr="00C85F0F" w:rsidRDefault="00790371" w:rsidP="00A8347C">
      <w:pPr>
        <w:pStyle w:val="aff3"/>
        <w:rPr>
          <w:rtl/>
        </w:rPr>
      </w:pPr>
      <w:bookmarkStart w:id="158" w:name="_Toc334046400"/>
      <w:r>
        <w:rPr>
          <w:rFonts w:hint="cs"/>
          <w:rtl/>
        </w:rPr>
        <w:lastRenderedPageBreak/>
        <w:t xml:space="preserve">                                     </w:t>
      </w:r>
      <w:r w:rsidR="005E65EA" w:rsidRPr="00C85F0F">
        <w:rPr>
          <w:rFonts w:hint="cs"/>
          <w:rtl/>
        </w:rPr>
        <w:t>المطلب الثاني</w:t>
      </w:r>
      <w:r w:rsidR="005E65EA" w:rsidRPr="00C85F0F">
        <w:rPr>
          <w:rFonts w:hint="eastAsia"/>
          <w:rtl/>
        </w:rPr>
        <w:t> :</w:t>
      </w:r>
      <w:r w:rsidR="005E65EA" w:rsidRPr="00C85F0F">
        <w:rPr>
          <w:rFonts w:hint="cs"/>
          <w:rtl/>
        </w:rPr>
        <w:br/>
      </w:r>
      <w:r>
        <w:rPr>
          <w:rFonts w:hint="cs"/>
          <w:rtl/>
        </w:rPr>
        <w:t xml:space="preserve">                                      </w:t>
      </w:r>
      <w:r w:rsidR="005E65EA" w:rsidRPr="00C85F0F">
        <w:rPr>
          <w:rFonts w:hint="cs"/>
          <w:rtl/>
        </w:rPr>
        <w:t>شرح القاعدة</w:t>
      </w:r>
      <w:bookmarkEnd w:id="158"/>
    </w:p>
    <w:p w:rsidR="00C85C55" w:rsidRDefault="00065E4B" w:rsidP="000F5C0F">
      <w:pPr>
        <w:pStyle w:val="53"/>
        <w:rPr>
          <w:b w:val="0"/>
          <w:rtl/>
        </w:rPr>
      </w:pPr>
      <w:r w:rsidRPr="000F5C0F">
        <w:rPr>
          <w:rFonts w:hint="cs"/>
          <w:rtl/>
        </w:rPr>
        <w:t>ا</w:t>
      </w:r>
      <w:r w:rsidR="005E65EA" w:rsidRPr="000F5C0F">
        <w:rPr>
          <w:rFonts w:hint="cs"/>
          <w:rtl/>
        </w:rPr>
        <w:t>لحِيَل</w:t>
      </w:r>
      <w:r w:rsidR="00B119BE">
        <w:t xml:space="preserve"> </w:t>
      </w:r>
      <w:r w:rsidR="00AB0B9E" w:rsidRPr="000F5C0F">
        <w:fldChar w:fldCharType="begin"/>
      </w:r>
      <w:r w:rsidR="00671D28" w:rsidRPr="000F5C0F">
        <w:instrText>XE</w:instrText>
      </w:r>
      <w:r w:rsidR="00671D28" w:rsidRPr="000F5C0F">
        <w:rPr>
          <w:rtl/>
        </w:rPr>
        <w:instrText xml:space="preserve"> "</w:instrText>
      </w:r>
      <w:r w:rsidR="00671D28" w:rsidRPr="000F5C0F">
        <w:rPr>
          <w:rFonts w:hint="cs"/>
          <w:rtl/>
        </w:rPr>
        <w:instrText>الحِيَل</w:instrText>
      </w:r>
      <w:r w:rsidR="00671D28" w:rsidRPr="000F5C0F">
        <w:rPr>
          <w:rtl/>
        </w:rPr>
        <w:instrText>" \</w:instrText>
      </w:r>
      <w:r w:rsidR="00671D28" w:rsidRPr="000F5C0F">
        <w:instrText>fm</w:instrText>
      </w:r>
      <w:r w:rsidR="00AB0B9E" w:rsidRPr="000F5C0F">
        <w:fldChar w:fldCharType="end"/>
      </w:r>
      <w:r w:rsidR="005E65EA">
        <w:rPr>
          <w:rFonts w:hint="cs"/>
          <w:b w:val="0"/>
          <w:rtl/>
        </w:rPr>
        <w:t>لغة:</w:t>
      </w:r>
    </w:p>
    <w:p w:rsidR="00790371" w:rsidRDefault="005E65EA" w:rsidP="00597C20">
      <w:pPr>
        <w:ind w:firstLine="720"/>
        <w:rPr>
          <w:rtl/>
        </w:rPr>
      </w:pPr>
      <w:r>
        <w:rPr>
          <w:rFonts w:hint="cs"/>
          <w:rtl/>
        </w:rPr>
        <w:t>الحيل جمع حِيلة،</w:t>
      </w:r>
      <w:r w:rsidR="00790371">
        <w:rPr>
          <w:rFonts w:hint="cs"/>
          <w:rtl/>
        </w:rPr>
        <w:t xml:space="preserve"> </w:t>
      </w:r>
      <w:r>
        <w:rPr>
          <w:rFonts w:hint="cs"/>
          <w:rtl/>
        </w:rPr>
        <w:t>و أصل هذه الكلمة(حول).</w:t>
      </w:r>
    </w:p>
    <w:p w:rsidR="00065E4B" w:rsidRPr="006D57C8" w:rsidRDefault="005E65EA" w:rsidP="00597C20">
      <w:pPr>
        <w:ind w:firstLine="720"/>
        <w:rPr>
          <w:b/>
          <w:bCs/>
          <w:rtl/>
        </w:rPr>
      </w:pPr>
      <w:r>
        <w:rPr>
          <w:rFonts w:hint="cs"/>
          <w:rtl/>
        </w:rPr>
        <w:t xml:space="preserve">يقول  ابن فارس </w:t>
      </w:r>
      <w:r w:rsidR="00790371">
        <w:rPr>
          <w:rFonts w:hint="cs"/>
          <w:rtl/>
        </w:rPr>
        <w:t>_</w:t>
      </w:r>
      <w:r w:rsidR="009A0575" w:rsidRPr="005D5694">
        <w:rPr>
          <w:rFonts w:ascii="Traditional Arabic" w:hAnsi="Traditional Arabic" w:cs="CTraditional Arabic" w:hint="cs"/>
          <w:rtl/>
        </w:rPr>
        <w:t>/</w:t>
      </w:r>
      <w:r w:rsidR="00790371">
        <w:rPr>
          <w:rFonts w:hint="cs"/>
          <w:rtl/>
        </w:rPr>
        <w:t>_</w:t>
      </w:r>
      <w:r>
        <w:rPr>
          <w:rFonts w:hint="cs"/>
          <w:rtl/>
        </w:rPr>
        <w:t>:</w:t>
      </w:r>
      <w:r w:rsidR="00790371">
        <w:rPr>
          <w:rFonts w:hint="cs"/>
          <w:rtl/>
        </w:rPr>
        <w:t xml:space="preserve"> (</w:t>
      </w:r>
      <w:r>
        <w:rPr>
          <w:rFonts w:hint="cs"/>
          <w:rtl/>
        </w:rPr>
        <w:t>الحاء</w:t>
      </w:r>
      <w:r w:rsidR="00154102">
        <w:rPr>
          <w:rFonts w:hint="cs"/>
          <w:rtl/>
        </w:rPr>
        <w:t xml:space="preserve"> و</w:t>
      </w:r>
      <w:r>
        <w:rPr>
          <w:rFonts w:hint="cs"/>
          <w:rtl/>
        </w:rPr>
        <w:t>الواو</w:t>
      </w:r>
      <w:r w:rsidR="00154102">
        <w:rPr>
          <w:rFonts w:hint="cs"/>
          <w:rtl/>
        </w:rPr>
        <w:t xml:space="preserve"> و</w:t>
      </w:r>
      <w:r>
        <w:rPr>
          <w:rFonts w:hint="cs"/>
          <w:rtl/>
        </w:rPr>
        <w:t>اللام أصل واحد،</w:t>
      </w:r>
      <w:r w:rsidR="00154102">
        <w:rPr>
          <w:rFonts w:hint="cs"/>
          <w:rtl/>
        </w:rPr>
        <w:t xml:space="preserve"> و</w:t>
      </w:r>
      <w:r>
        <w:rPr>
          <w:rFonts w:hint="cs"/>
          <w:rtl/>
        </w:rPr>
        <w:t>هو تَحَرُّكٌ في دَوْر.فالحَوْل:العام؛و ذلك أنه يَحُول،أي يَدُور...و الحيلة</w:t>
      </w:r>
      <w:r w:rsidR="00154102">
        <w:rPr>
          <w:rFonts w:hint="cs"/>
          <w:rtl/>
        </w:rPr>
        <w:t xml:space="preserve"> و</w:t>
      </w:r>
      <w:r>
        <w:rPr>
          <w:rFonts w:hint="cs"/>
          <w:rtl/>
        </w:rPr>
        <w:t>الحَوِيل</w:t>
      </w:r>
      <w:r w:rsidR="00154102">
        <w:rPr>
          <w:rFonts w:hint="cs"/>
          <w:rtl/>
        </w:rPr>
        <w:t xml:space="preserve"> و</w:t>
      </w:r>
      <w:r>
        <w:rPr>
          <w:rFonts w:hint="cs"/>
          <w:rtl/>
        </w:rPr>
        <w:t>الْمُحاوَلة من طريق واحد،</w:t>
      </w:r>
      <w:r w:rsidR="00154102">
        <w:rPr>
          <w:rFonts w:hint="cs"/>
          <w:rtl/>
        </w:rPr>
        <w:t xml:space="preserve"> و</w:t>
      </w:r>
      <w:r>
        <w:rPr>
          <w:rFonts w:hint="cs"/>
          <w:rtl/>
        </w:rPr>
        <w:t>هو القياس الذي ذَكرناه؛لأنه يدور حوالي الشيء لِيُدْرِكَه</w:t>
      </w:r>
      <w:r w:rsidR="00790371">
        <w:rPr>
          <w:rFonts w:hint="cs"/>
          <w:rtl/>
        </w:rPr>
        <w:t>)</w:t>
      </w:r>
      <w:r w:rsidRPr="00C821A1">
        <w:rPr>
          <w:rFonts w:hint="cs"/>
          <w:szCs w:val="32"/>
          <w:vertAlign w:val="superscript"/>
          <w:rtl/>
        </w:rPr>
        <w:t>(</w:t>
      </w:r>
      <w:r w:rsidRPr="00C821A1">
        <w:rPr>
          <w:rStyle w:val="af1"/>
          <w:szCs w:val="32"/>
          <w:rtl/>
        </w:rPr>
        <w:footnoteReference w:id="809"/>
      </w:r>
      <w:r w:rsidRPr="00C821A1">
        <w:rPr>
          <w:rFonts w:hint="cs"/>
          <w:szCs w:val="32"/>
          <w:vertAlign w:val="superscript"/>
          <w:rtl/>
        </w:rPr>
        <w:t>)</w:t>
      </w:r>
      <w:r>
        <w:rPr>
          <w:rFonts w:hint="cs"/>
          <w:rtl/>
        </w:rPr>
        <w:t>.</w:t>
      </w:r>
    </w:p>
    <w:p w:rsidR="00065E4B" w:rsidRDefault="00790371" w:rsidP="00597C20">
      <w:pPr>
        <w:ind w:firstLine="0"/>
        <w:jc w:val="left"/>
        <w:rPr>
          <w:rtl/>
        </w:rPr>
      </w:pPr>
      <w:r>
        <w:rPr>
          <w:rFonts w:hint="cs"/>
          <w:rtl/>
        </w:rPr>
        <w:t xml:space="preserve">       </w:t>
      </w:r>
      <w:r w:rsidR="00065E4B">
        <w:rPr>
          <w:rFonts w:hint="cs"/>
          <w:rtl/>
        </w:rPr>
        <w:t>ف</w:t>
      </w:r>
      <w:r w:rsidR="005E65EA">
        <w:rPr>
          <w:rFonts w:hint="cs"/>
          <w:rtl/>
        </w:rPr>
        <w:t>الحيلة الِحذْق في تَدْبير الأمور،</w:t>
      </w:r>
      <w:r w:rsidR="00154102">
        <w:rPr>
          <w:rFonts w:hint="cs"/>
          <w:rtl/>
        </w:rPr>
        <w:t xml:space="preserve"> و</w:t>
      </w:r>
      <w:r w:rsidR="005E65EA">
        <w:rPr>
          <w:rFonts w:hint="cs"/>
          <w:rtl/>
        </w:rPr>
        <w:t>هو تَقْليب الفِكْر حتى يُهْدى إلى المقصود</w:t>
      </w:r>
      <w:r w:rsidR="005E65EA" w:rsidRPr="00C821A1">
        <w:rPr>
          <w:rFonts w:hint="cs"/>
          <w:szCs w:val="32"/>
          <w:vertAlign w:val="superscript"/>
          <w:rtl/>
        </w:rPr>
        <w:t>(</w:t>
      </w:r>
      <w:r w:rsidR="005E65EA" w:rsidRPr="00C821A1">
        <w:rPr>
          <w:rStyle w:val="af1"/>
          <w:szCs w:val="32"/>
          <w:rtl/>
        </w:rPr>
        <w:footnoteReference w:id="810"/>
      </w:r>
      <w:r w:rsidR="005E65EA" w:rsidRPr="00C821A1">
        <w:rPr>
          <w:rFonts w:hint="cs"/>
          <w:szCs w:val="32"/>
          <w:vertAlign w:val="superscript"/>
          <w:rtl/>
        </w:rPr>
        <w:t>)</w:t>
      </w:r>
      <w:r w:rsidR="005E65EA">
        <w:rPr>
          <w:rFonts w:hint="cs"/>
          <w:rtl/>
        </w:rPr>
        <w:t>.</w:t>
      </w:r>
    </w:p>
    <w:p w:rsidR="00C85C55" w:rsidRDefault="00065E4B" w:rsidP="00597C20">
      <w:pPr>
        <w:pStyle w:val="53"/>
        <w:rPr>
          <w:rtl/>
        </w:rPr>
      </w:pPr>
      <w:r>
        <w:rPr>
          <w:rFonts w:hint="cs"/>
          <w:rtl/>
        </w:rPr>
        <w:t>ا</w:t>
      </w:r>
      <w:r w:rsidR="005E65EA">
        <w:rPr>
          <w:rFonts w:hint="cs"/>
          <w:rtl/>
        </w:rPr>
        <w:t>لحيل اصطلاحا:</w:t>
      </w:r>
    </w:p>
    <w:p w:rsidR="00065E4B" w:rsidRDefault="005E65EA" w:rsidP="00597C20">
      <w:pPr>
        <w:ind w:firstLine="720"/>
        <w:rPr>
          <w:rtl/>
        </w:rPr>
      </w:pPr>
      <w:r>
        <w:rPr>
          <w:rFonts w:hint="cs"/>
          <w:rtl/>
        </w:rPr>
        <w:t>الحيل بالاعتبار العام: هي الطرُق الخَفِيّة التي تُوصِل إلى حُصول الغَرَض بحيث لا يُتَفَطَّن له إلا بنوعٍ من الذَّكاء</w:t>
      </w:r>
      <w:r w:rsidRPr="00C821A1">
        <w:rPr>
          <w:rFonts w:hint="cs"/>
          <w:szCs w:val="32"/>
          <w:vertAlign w:val="superscript"/>
          <w:rtl/>
        </w:rPr>
        <w:t>(</w:t>
      </w:r>
      <w:r w:rsidRPr="00C821A1">
        <w:rPr>
          <w:rStyle w:val="af1"/>
          <w:szCs w:val="32"/>
          <w:rtl/>
        </w:rPr>
        <w:footnoteReference w:id="811"/>
      </w:r>
      <w:r w:rsidRPr="00C821A1">
        <w:rPr>
          <w:rFonts w:hint="cs"/>
          <w:szCs w:val="32"/>
          <w:vertAlign w:val="superscript"/>
          <w:rtl/>
        </w:rPr>
        <w:t>)</w:t>
      </w:r>
      <w:r>
        <w:rPr>
          <w:rFonts w:hint="cs"/>
          <w:rtl/>
        </w:rPr>
        <w:t>.</w:t>
      </w:r>
    </w:p>
    <w:p w:rsidR="00065E4B" w:rsidRPr="00E8174E" w:rsidRDefault="00065E4B" w:rsidP="00597C20">
      <w:pPr>
        <w:ind w:firstLine="720"/>
        <w:rPr>
          <w:rtl/>
        </w:rPr>
      </w:pPr>
      <w:r>
        <w:rPr>
          <w:rFonts w:hint="cs"/>
          <w:rtl/>
        </w:rPr>
        <w:t>و</w:t>
      </w:r>
      <w:r w:rsidR="005E65EA">
        <w:rPr>
          <w:rFonts w:hint="cs"/>
          <w:rtl/>
        </w:rPr>
        <w:t xml:space="preserve">عرّفها الشيخ العثيمين </w:t>
      </w:r>
      <w:r w:rsidR="00790371">
        <w:rPr>
          <w:rFonts w:hint="cs"/>
          <w:rtl/>
        </w:rPr>
        <w:t>_</w:t>
      </w:r>
      <w:r w:rsidR="005E65EA" w:rsidRPr="005D5694">
        <w:rPr>
          <w:rFonts w:cs="CTraditional Arabic" w:hint="cs"/>
          <w:color w:val="auto"/>
          <w:rtl/>
        </w:rPr>
        <w:t>/</w:t>
      </w:r>
      <w:r w:rsidR="00790371">
        <w:rPr>
          <w:rFonts w:hint="cs"/>
          <w:rtl/>
        </w:rPr>
        <w:t>_</w:t>
      </w:r>
      <w:r w:rsidR="005E65EA">
        <w:rPr>
          <w:rFonts w:hint="cs"/>
          <w:rtl/>
        </w:rPr>
        <w:t>بهذا الاعتبار بقوله:(الحيلة هي التوصُّل إلى الشيء بما يُخالِف ظاهرَه)</w:t>
      </w:r>
      <w:r w:rsidR="005E65EA" w:rsidRPr="00C821A1">
        <w:rPr>
          <w:rFonts w:hint="cs"/>
          <w:szCs w:val="32"/>
          <w:vertAlign w:val="superscript"/>
          <w:rtl/>
        </w:rPr>
        <w:t>(</w:t>
      </w:r>
      <w:r w:rsidR="005E65EA" w:rsidRPr="00C821A1">
        <w:rPr>
          <w:rStyle w:val="af1"/>
          <w:szCs w:val="32"/>
          <w:rtl/>
        </w:rPr>
        <w:footnoteReference w:id="812"/>
      </w:r>
      <w:r w:rsidR="005E65EA" w:rsidRPr="00C821A1">
        <w:rPr>
          <w:rFonts w:hint="cs"/>
          <w:szCs w:val="32"/>
          <w:vertAlign w:val="superscript"/>
          <w:rtl/>
        </w:rPr>
        <w:t>)</w:t>
      </w:r>
      <w:r w:rsidR="005E65EA">
        <w:rPr>
          <w:rFonts w:hint="cs"/>
          <w:rtl/>
        </w:rPr>
        <w:t>.</w:t>
      </w:r>
    </w:p>
    <w:p w:rsidR="00065E4B" w:rsidRDefault="00065E4B" w:rsidP="00597C20">
      <w:pPr>
        <w:ind w:firstLine="0"/>
        <w:jc w:val="left"/>
        <w:rPr>
          <w:rtl/>
        </w:rPr>
      </w:pPr>
      <w:r>
        <w:rPr>
          <w:rFonts w:hint="cs"/>
          <w:rtl/>
        </w:rPr>
        <w:t>و</w:t>
      </w:r>
      <w:r w:rsidR="005E65EA">
        <w:rPr>
          <w:rFonts w:hint="cs"/>
          <w:rtl/>
        </w:rPr>
        <w:t>تحديد معنى الحيل في القاعدة يعود إلى معرفة أنواع الحيل من حيث حُكْمُها.</w:t>
      </w:r>
    </w:p>
    <w:p w:rsidR="00C85C55" w:rsidRDefault="00065E4B" w:rsidP="00597C20">
      <w:pPr>
        <w:pStyle w:val="53"/>
        <w:rPr>
          <w:rtl/>
        </w:rPr>
      </w:pPr>
      <w:r w:rsidRPr="00D56F30">
        <w:rPr>
          <w:rFonts w:hint="cs"/>
          <w:rtl/>
        </w:rPr>
        <w:t>أ</w:t>
      </w:r>
      <w:r w:rsidR="005E65EA" w:rsidRPr="00D56F30">
        <w:rPr>
          <w:rFonts w:hint="cs"/>
          <w:rtl/>
        </w:rPr>
        <w:t>نواع</w:t>
      </w:r>
      <w:r w:rsidR="00B119BE">
        <w:rPr>
          <w:rFonts w:hint="cs"/>
          <w:rtl/>
        </w:rPr>
        <w:t xml:space="preserve"> </w:t>
      </w:r>
      <w:r w:rsidR="005E65EA" w:rsidRPr="00D56F30">
        <w:rPr>
          <w:rFonts w:hint="cs"/>
          <w:rtl/>
        </w:rPr>
        <w:t>الحيل</w:t>
      </w:r>
      <w:r w:rsidR="005E65EA">
        <w:rPr>
          <w:rFonts w:hint="cs"/>
          <w:rtl/>
        </w:rPr>
        <w:t>:</w:t>
      </w:r>
    </w:p>
    <w:p w:rsidR="005E65EA" w:rsidRDefault="005E65EA" w:rsidP="00597C20">
      <w:pPr>
        <w:ind w:firstLine="720"/>
        <w:jc w:val="left"/>
        <w:rPr>
          <w:rtl/>
        </w:rPr>
      </w:pPr>
      <w:r>
        <w:rPr>
          <w:rFonts w:hint="cs"/>
          <w:rtl/>
        </w:rPr>
        <w:t>تنقسم الحيل في الجملة إلى قسمين:</w:t>
      </w:r>
    </w:p>
    <w:p w:rsidR="005E65EA" w:rsidRDefault="005E65EA" w:rsidP="000A76C7">
      <w:pPr>
        <w:numPr>
          <w:ilvl w:val="0"/>
          <w:numId w:val="122"/>
        </w:numPr>
      </w:pPr>
      <w:r>
        <w:rPr>
          <w:rFonts w:hint="cs"/>
          <w:b/>
          <w:bCs/>
          <w:rtl/>
        </w:rPr>
        <w:t>حيلة مأذونٌ فيها:</w:t>
      </w:r>
      <w:r w:rsidR="00154102">
        <w:rPr>
          <w:rFonts w:hint="cs"/>
          <w:rtl/>
        </w:rPr>
        <w:t xml:space="preserve"> و</w:t>
      </w:r>
      <w:r w:rsidRPr="0008166A">
        <w:rPr>
          <w:rFonts w:hint="cs"/>
          <w:rtl/>
        </w:rPr>
        <w:t>هي ما ي</w:t>
      </w:r>
      <w:r>
        <w:rPr>
          <w:rFonts w:hint="cs"/>
          <w:rtl/>
        </w:rPr>
        <w:t>ُ</w:t>
      </w:r>
      <w:r w:rsidRPr="0008166A">
        <w:rPr>
          <w:rFonts w:hint="cs"/>
          <w:rtl/>
        </w:rPr>
        <w:t>توص</w:t>
      </w:r>
      <w:r>
        <w:rPr>
          <w:rFonts w:hint="cs"/>
          <w:rtl/>
        </w:rPr>
        <w:t>ّ</w:t>
      </w:r>
      <w:r w:rsidRPr="0008166A">
        <w:rPr>
          <w:rFonts w:hint="cs"/>
          <w:rtl/>
        </w:rPr>
        <w:t xml:space="preserve">ل بها إلى </w:t>
      </w:r>
      <w:r>
        <w:rPr>
          <w:rFonts w:hint="cs"/>
          <w:rtl/>
        </w:rPr>
        <w:t>فِعل الواجب أو تَرْك المحرَّم أو دَفْع الظّلْم أو إحْقاق الحقّ أو السّلامة من المكروه،</w:t>
      </w:r>
      <w:r w:rsidR="00154102">
        <w:rPr>
          <w:rFonts w:hint="cs"/>
          <w:rtl/>
        </w:rPr>
        <w:t xml:space="preserve"> و</w:t>
      </w:r>
      <w:r>
        <w:rPr>
          <w:rFonts w:hint="cs"/>
          <w:rtl/>
        </w:rPr>
        <w:t>نحو ذلك مما يوافق مَقاصدَ الشرْع</w:t>
      </w:r>
      <w:r w:rsidR="00154102">
        <w:rPr>
          <w:rFonts w:hint="cs"/>
          <w:rtl/>
        </w:rPr>
        <w:t xml:space="preserve"> و</w:t>
      </w:r>
      <w:r>
        <w:rPr>
          <w:rFonts w:hint="cs"/>
          <w:rtl/>
        </w:rPr>
        <w:t>نُصوصَه</w:t>
      </w:r>
      <w:r w:rsidR="00154102">
        <w:rPr>
          <w:rFonts w:hint="cs"/>
          <w:rtl/>
        </w:rPr>
        <w:t xml:space="preserve"> </w:t>
      </w:r>
      <w:r w:rsidR="00154102">
        <w:rPr>
          <w:rFonts w:hint="cs"/>
          <w:rtl/>
        </w:rPr>
        <w:lastRenderedPageBreak/>
        <w:t>و</w:t>
      </w:r>
      <w:r>
        <w:rPr>
          <w:rFonts w:hint="cs"/>
          <w:rtl/>
        </w:rPr>
        <w:t>لا يُناقِضُها، فهذه مشروعةٌ بلا خلاف</w:t>
      </w:r>
      <w:r w:rsidR="00A43818">
        <w:rPr>
          <w:rFonts w:hint="cs"/>
          <w:rtl/>
        </w:rPr>
        <w:t xml:space="preserve"> </w:t>
      </w:r>
      <w:r>
        <w:rPr>
          <w:rFonts w:hint="cs"/>
          <w:rtl/>
        </w:rPr>
        <w:t>متى كانت الوسيلة صحيحةً،</w:t>
      </w:r>
      <w:r w:rsidR="00154102">
        <w:rPr>
          <w:rFonts w:hint="cs"/>
          <w:rtl/>
        </w:rPr>
        <w:t xml:space="preserve"> و</w:t>
      </w:r>
      <w:r>
        <w:rPr>
          <w:rFonts w:hint="cs"/>
          <w:rtl/>
        </w:rPr>
        <w:t>قد تكون واجبةً أو مستحبةً أو مباحةً،</w:t>
      </w:r>
      <w:r w:rsidR="00154102">
        <w:rPr>
          <w:rFonts w:hint="cs"/>
          <w:rtl/>
        </w:rPr>
        <w:t xml:space="preserve"> و</w:t>
      </w:r>
      <w:r>
        <w:rPr>
          <w:rFonts w:hint="cs"/>
          <w:rtl/>
        </w:rPr>
        <w:t>حقيقة هذا القسم أنه تَوَصُّلٌ بما هو مشروعٌ إلى ما هو مشروع</w:t>
      </w:r>
      <w:r w:rsidRPr="00C821A1">
        <w:rPr>
          <w:rFonts w:hint="cs"/>
          <w:szCs w:val="32"/>
          <w:vertAlign w:val="superscript"/>
          <w:rtl/>
        </w:rPr>
        <w:t>(</w:t>
      </w:r>
      <w:r w:rsidRPr="00C821A1">
        <w:rPr>
          <w:rStyle w:val="af1"/>
          <w:szCs w:val="32"/>
          <w:rtl/>
        </w:rPr>
        <w:footnoteReference w:id="813"/>
      </w:r>
      <w:r w:rsidRPr="00C821A1">
        <w:rPr>
          <w:rFonts w:hint="cs"/>
          <w:szCs w:val="32"/>
          <w:vertAlign w:val="superscript"/>
          <w:rtl/>
        </w:rPr>
        <w:t>)</w:t>
      </w:r>
      <w:r>
        <w:rPr>
          <w:rFonts w:hint="cs"/>
          <w:rtl/>
        </w:rPr>
        <w:t>.</w:t>
      </w:r>
    </w:p>
    <w:p w:rsidR="005E65EA" w:rsidRDefault="005E65EA" w:rsidP="00597C20">
      <w:pPr>
        <w:ind w:left="814" w:firstLine="0"/>
        <w:rPr>
          <w:rtl/>
        </w:rPr>
      </w:pPr>
      <w:r>
        <w:rPr>
          <w:rFonts w:hint="cs"/>
          <w:rtl/>
        </w:rPr>
        <w:t xml:space="preserve">يقول الشيخ العثيمين </w:t>
      </w:r>
      <w:r w:rsidR="00082C34">
        <w:rPr>
          <w:rFonts w:hint="cs"/>
          <w:rtl/>
        </w:rPr>
        <w:t>_</w:t>
      </w:r>
      <w:r w:rsidR="009A0575" w:rsidRPr="005D5694">
        <w:rPr>
          <w:rFonts w:ascii="Traditional Arabic" w:hAnsi="Traditional Arabic" w:cs="CTraditional Arabic" w:hint="cs"/>
          <w:rtl/>
        </w:rPr>
        <w:t>/</w:t>
      </w:r>
      <w:r w:rsidR="00082C34">
        <w:rPr>
          <w:rFonts w:hint="cs"/>
          <w:rtl/>
        </w:rPr>
        <w:t>_</w:t>
      </w:r>
      <w:r>
        <w:rPr>
          <w:rFonts w:hint="cs"/>
          <w:rtl/>
        </w:rPr>
        <w:t>:(ما كان تَحَيُّلاً على واجب فهو واجبٌ...</w:t>
      </w:r>
      <w:r w:rsidR="00154102">
        <w:rPr>
          <w:rFonts w:hint="cs"/>
          <w:rtl/>
        </w:rPr>
        <w:t xml:space="preserve"> و</w:t>
      </w:r>
      <w:r>
        <w:rPr>
          <w:rFonts w:hint="cs"/>
          <w:rtl/>
        </w:rPr>
        <w:t>ما كان تحيّلا على مباح فهو مباحٌ، بِشَرْطِ ألاّ يؤدّي ذلك إلى اتّهام الْمُحْتال</w:t>
      </w:r>
      <w:r w:rsidR="00154102">
        <w:rPr>
          <w:rFonts w:hint="cs"/>
          <w:rtl/>
        </w:rPr>
        <w:t xml:space="preserve"> و</w:t>
      </w:r>
      <w:r>
        <w:rPr>
          <w:rFonts w:hint="cs"/>
          <w:rtl/>
        </w:rPr>
        <w:t>عدم الثقة بقوله أو بفعله،</w:t>
      </w:r>
      <w:r w:rsidR="00154102">
        <w:rPr>
          <w:rFonts w:hint="cs"/>
          <w:rtl/>
        </w:rPr>
        <w:t xml:space="preserve"> و</w:t>
      </w:r>
      <w:r>
        <w:rPr>
          <w:rFonts w:hint="cs"/>
          <w:rtl/>
        </w:rPr>
        <w:t>الاحْتِيال على إظهار الحقِّ بإيهامِ خِلافِ المقصودِ واجبٌ</w:t>
      </w:r>
      <w:r w:rsidRPr="00C821A1">
        <w:rPr>
          <w:rFonts w:hint="cs"/>
          <w:szCs w:val="32"/>
          <w:vertAlign w:val="superscript"/>
          <w:rtl/>
        </w:rPr>
        <w:t>(</w:t>
      </w:r>
      <w:r w:rsidRPr="00C821A1">
        <w:rPr>
          <w:rStyle w:val="af1"/>
          <w:szCs w:val="32"/>
          <w:rtl/>
        </w:rPr>
        <w:footnoteReference w:id="814"/>
      </w:r>
      <w:r w:rsidRPr="00C821A1">
        <w:rPr>
          <w:rFonts w:hint="cs"/>
          <w:szCs w:val="32"/>
          <w:vertAlign w:val="superscript"/>
          <w:rtl/>
        </w:rPr>
        <w:t>)</w:t>
      </w:r>
      <w:r>
        <w:rPr>
          <w:rFonts w:hint="cs"/>
          <w:rtl/>
        </w:rPr>
        <w:t>،</w:t>
      </w:r>
      <w:r w:rsidR="00154102">
        <w:rPr>
          <w:rFonts w:hint="cs"/>
          <w:rtl/>
        </w:rPr>
        <w:t xml:space="preserve"> و</w:t>
      </w:r>
      <w:r>
        <w:rPr>
          <w:rFonts w:hint="cs"/>
          <w:rtl/>
        </w:rPr>
        <w:t>الحيلة التي يَسْلَم بها الإنسانُ من الحرام جائزةٌ؛ لأنها حيلة لِتَوَقّي الحرام</w:t>
      </w:r>
      <w:r w:rsidR="000960DB">
        <w:rPr>
          <w:rFonts w:hint="cs"/>
          <w:rtl/>
        </w:rPr>
        <w:t>،</w:t>
      </w:r>
      <w:r>
        <w:rPr>
          <w:rFonts w:hint="cs"/>
          <w:rtl/>
        </w:rPr>
        <w:t xml:space="preserve"> لا لِلْوُقوع في الحرام)</w:t>
      </w:r>
      <w:r w:rsidRPr="00C821A1">
        <w:rPr>
          <w:rFonts w:hint="cs"/>
          <w:szCs w:val="32"/>
          <w:vertAlign w:val="superscript"/>
          <w:rtl/>
        </w:rPr>
        <w:t>(</w:t>
      </w:r>
      <w:r w:rsidRPr="00C821A1">
        <w:rPr>
          <w:rStyle w:val="af1"/>
          <w:szCs w:val="32"/>
          <w:rtl/>
        </w:rPr>
        <w:footnoteReference w:id="815"/>
      </w:r>
      <w:r w:rsidRPr="00C821A1">
        <w:rPr>
          <w:rFonts w:hint="cs"/>
          <w:szCs w:val="32"/>
          <w:vertAlign w:val="superscript"/>
          <w:rtl/>
        </w:rPr>
        <w:t>)</w:t>
      </w:r>
      <w:r>
        <w:rPr>
          <w:rFonts w:hint="cs"/>
          <w:rtl/>
        </w:rPr>
        <w:t>.</w:t>
      </w:r>
    </w:p>
    <w:p w:rsidR="00065E4B" w:rsidRDefault="005E65EA" w:rsidP="000A76C7">
      <w:pPr>
        <w:numPr>
          <w:ilvl w:val="0"/>
          <w:numId w:val="122"/>
        </w:numPr>
        <w:rPr>
          <w:rtl/>
        </w:rPr>
      </w:pPr>
      <w:r>
        <w:rPr>
          <w:rFonts w:hint="cs"/>
          <w:b/>
          <w:bCs/>
          <w:rtl/>
        </w:rPr>
        <w:t>حيلة غيرُ مأذونٍ فيها:</w:t>
      </w:r>
      <w:r w:rsidR="00154102">
        <w:rPr>
          <w:rFonts w:hint="cs"/>
          <w:rtl/>
        </w:rPr>
        <w:t xml:space="preserve"> و</w:t>
      </w:r>
      <w:r>
        <w:rPr>
          <w:rFonts w:hint="cs"/>
          <w:rtl/>
        </w:rPr>
        <w:t>هي كلّ حيلة تتضمّن إسقاطَ الواجبات،</w:t>
      </w:r>
      <w:r w:rsidR="00154102">
        <w:rPr>
          <w:rFonts w:hint="cs"/>
          <w:rtl/>
        </w:rPr>
        <w:t xml:space="preserve"> و</w:t>
      </w:r>
      <w:r>
        <w:rPr>
          <w:rFonts w:hint="cs"/>
          <w:rtl/>
        </w:rPr>
        <w:t>تحليلَ المحرَّمات،</w:t>
      </w:r>
      <w:r w:rsidR="00154102">
        <w:rPr>
          <w:rFonts w:hint="cs"/>
          <w:rtl/>
        </w:rPr>
        <w:t xml:space="preserve"> و</w:t>
      </w:r>
      <w:r>
        <w:rPr>
          <w:rFonts w:hint="cs"/>
          <w:rtl/>
        </w:rPr>
        <w:t>قَلْبَ المظلوم ظالِمًا،</w:t>
      </w:r>
      <w:r w:rsidR="00154102">
        <w:rPr>
          <w:rFonts w:hint="cs"/>
          <w:rtl/>
        </w:rPr>
        <w:t xml:space="preserve"> و</w:t>
      </w:r>
      <w:r>
        <w:rPr>
          <w:rFonts w:hint="cs"/>
          <w:rtl/>
        </w:rPr>
        <w:t>الظالمِ مظلومًا،</w:t>
      </w:r>
      <w:r w:rsidR="00154102">
        <w:rPr>
          <w:rFonts w:hint="cs"/>
          <w:rtl/>
        </w:rPr>
        <w:t xml:space="preserve"> و</w:t>
      </w:r>
      <w:r>
        <w:rPr>
          <w:rFonts w:hint="cs"/>
          <w:rtl/>
        </w:rPr>
        <w:t>الحقِّ باطلاً، والباطلِ حقًّا</w:t>
      </w:r>
      <w:r w:rsidRPr="00C821A1">
        <w:rPr>
          <w:rFonts w:hint="cs"/>
          <w:szCs w:val="32"/>
          <w:vertAlign w:val="superscript"/>
          <w:rtl/>
        </w:rPr>
        <w:t>(</w:t>
      </w:r>
      <w:r w:rsidRPr="00C821A1">
        <w:rPr>
          <w:rStyle w:val="af1"/>
          <w:szCs w:val="32"/>
          <w:rtl/>
        </w:rPr>
        <w:footnoteReference w:id="816"/>
      </w:r>
      <w:r w:rsidRPr="00C821A1">
        <w:rPr>
          <w:rFonts w:hint="cs"/>
          <w:szCs w:val="32"/>
          <w:vertAlign w:val="superscript"/>
          <w:rtl/>
        </w:rPr>
        <w:t>)</w:t>
      </w:r>
      <w:r w:rsidR="00082C34">
        <w:rPr>
          <w:rFonts w:hint="cs"/>
          <w:rtl/>
        </w:rPr>
        <w:t>.</w:t>
      </w:r>
    </w:p>
    <w:p w:rsidR="005E65EA" w:rsidRDefault="00065E4B" w:rsidP="00597C20">
      <w:pPr>
        <w:ind w:firstLine="0"/>
        <w:jc w:val="left"/>
      </w:pPr>
      <w:r>
        <w:rPr>
          <w:rFonts w:hint="cs"/>
          <w:rtl/>
        </w:rPr>
        <w:t>و</w:t>
      </w:r>
      <w:r w:rsidR="005E65EA">
        <w:rPr>
          <w:rFonts w:hint="cs"/>
          <w:rtl/>
        </w:rPr>
        <w:t>عرَّفها الشيخ العثيمين</w:t>
      </w:r>
      <w:r w:rsidR="00EF1161">
        <w:rPr>
          <w:rFonts w:hint="cs"/>
          <w:rtl/>
        </w:rPr>
        <w:t>_</w:t>
      </w:r>
      <w:r w:rsidR="009A0575" w:rsidRPr="005D5694">
        <w:rPr>
          <w:rFonts w:ascii="Traditional Arabic" w:hAnsi="Traditional Arabic" w:cs="CTraditional Arabic" w:hint="cs"/>
          <w:rtl/>
        </w:rPr>
        <w:t>/</w:t>
      </w:r>
      <w:r w:rsidR="00EF1161">
        <w:rPr>
          <w:rFonts w:hint="cs"/>
          <w:rtl/>
        </w:rPr>
        <w:t>_</w:t>
      </w:r>
      <w:r w:rsidR="005E65EA">
        <w:rPr>
          <w:rFonts w:hint="cs"/>
          <w:rtl/>
        </w:rPr>
        <w:t xml:space="preserve"> بقوله: (هي التوصُّل إلى إسقاط الواجب أو فِعْل المحرَّم بطُرُقٍ خَفِيَّةٍ ظاهرُها الإباحة</w:t>
      </w:r>
      <w:r w:rsidR="00154102">
        <w:rPr>
          <w:rFonts w:hint="cs"/>
          <w:rtl/>
        </w:rPr>
        <w:t xml:space="preserve"> و</w:t>
      </w:r>
      <w:r w:rsidR="005E65EA">
        <w:rPr>
          <w:rFonts w:hint="cs"/>
          <w:rtl/>
        </w:rPr>
        <w:t>حقيقتُها التحريم)</w:t>
      </w:r>
      <w:r w:rsidR="005E65EA" w:rsidRPr="00C821A1">
        <w:rPr>
          <w:rFonts w:hint="cs"/>
          <w:szCs w:val="32"/>
          <w:vertAlign w:val="superscript"/>
          <w:rtl/>
        </w:rPr>
        <w:t>(</w:t>
      </w:r>
      <w:r w:rsidR="005E65EA" w:rsidRPr="00C821A1">
        <w:rPr>
          <w:rStyle w:val="af1"/>
          <w:szCs w:val="32"/>
          <w:rtl/>
        </w:rPr>
        <w:footnoteReference w:id="817"/>
      </w:r>
      <w:r w:rsidR="005E65EA" w:rsidRPr="00C821A1">
        <w:rPr>
          <w:rFonts w:hint="cs"/>
          <w:szCs w:val="32"/>
          <w:vertAlign w:val="superscript"/>
          <w:rtl/>
        </w:rPr>
        <w:t>)</w:t>
      </w:r>
      <w:r w:rsidR="005E65EA">
        <w:rPr>
          <w:rFonts w:hint="cs"/>
          <w:rtl/>
        </w:rPr>
        <w:t>.</w:t>
      </w:r>
    </w:p>
    <w:p w:rsidR="005E65EA" w:rsidRDefault="005E65EA" w:rsidP="00597C20">
      <w:pPr>
        <w:ind w:left="720" w:firstLine="0"/>
        <w:rPr>
          <w:rFonts w:ascii="Traditional Arabic" w:hAnsi="Traditional Arabic"/>
          <w:rtl/>
        </w:rPr>
      </w:pPr>
      <w:r>
        <w:rPr>
          <w:rFonts w:ascii="Traditional Arabic" w:hAnsi="Traditional Arabic" w:hint="cs"/>
          <w:rtl/>
        </w:rPr>
        <w:t>وهذا النوع من الحيل هو الذي ذَمَّهُ السَّلَف</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818"/>
      </w:r>
      <w:r w:rsidRPr="00C821A1">
        <w:rPr>
          <w:rFonts w:ascii="Traditional Arabic" w:hAnsi="Traditional Arabic" w:hint="cs"/>
          <w:szCs w:val="32"/>
          <w:vertAlign w:val="superscript"/>
          <w:rtl/>
        </w:rPr>
        <w:t>)</w:t>
      </w:r>
      <w:r>
        <w:rPr>
          <w:rFonts w:ascii="Traditional Arabic" w:hAnsi="Traditional Arabic" w:hint="cs"/>
          <w:rtl/>
        </w:rPr>
        <w:t>،</w:t>
      </w:r>
      <w:r w:rsidR="00154102">
        <w:rPr>
          <w:rFonts w:ascii="Traditional Arabic" w:hAnsi="Traditional Arabic" w:hint="cs"/>
          <w:rtl/>
        </w:rPr>
        <w:t xml:space="preserve"> و</w:t>
      </w:r>
      <w:r>
        <w:rPr>
          <w:rFonts w:ascii="Traditional Arabic" w:hAnsi="Traditional Arabic" w:hint="cs"/>
          <w:rtl/>
        </w:rPr>
        <w:t>هو المراد إذا أُطْلِق في عُرْف الفقهاء</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819"/>
      </w:r>
      <w:r w:rsidRPr="00C821A1">
        <w:rPr>
          <w:rFonts w:ascii="Traditional Arabic" w:hAnsi="Traditional Arabic" w:hint="cs"/>
          <w:szCs w:val="32"/>
          <w:vertAlign w:val="superscript"/>
          <w:rtl/>
        </w:rPr>
        <w:t>)</w:t>
      </w:r>
      <w:r>
        <w:rPr>
          <w:rFonts w:ascii="Traditional Arabic" w:hAnsi="Traditional Arabic" w:hint="cs"/>
          <w:rtl/>
        </w:rPr>
        <w:t>،</w:t>
      </w:r>
      <w:r w:rsidR="00154102">
        <w:rPr>
          <w:rFonts w:ascii="Traditional Arabic" w:hAnsi="Traditional Arabic" w:hint="cs"/>
          <w:rtl/>
        </w:rPr>
        <w:t xml:space="preserve"> و</w:t>
      </w:r>
      <w:r>
        <w:rPr>
          <w:rFonts w:ascii="Traditional Arabic" w:hAnsi="Traditional Arabic" w:hint="cs"/>
          <w:rtl/>
        </w:rPr>
        <w:t>هو المقصود في هذه القاعدة.</w:t>
      </w:r>
    </w:p>
    <w:p w:rsidR="00065E4B" w:rsidRDefault="005E65EA" w:rsidP="00597C20">
      <w:pPr>
        <w:ind w:left="720" w:firstLine="0"/>
        <w:rPr>
          <w:rFonts w:ascii="Traditional Arabic" w:hAnsi="Traditional Arabic"/>
          <w:rtl/>
        </w:rPr>
      </w:pPr>
      <w:r>
        <w:rPr>
          <w:rFonts w:ascii="Traditional Arabic" w:hAnsi="Traditional Arabic" w:hint="cs"/>
          <w:rtl/>
        </w:rPr>
        <w:t xml:space="preserve">يقول الشيخ ابن عثيمين </w:t>
      </w:r>
      <w:r w:rsidR="00EF1161">
        <w:rPr>
          <w:rFonts w:ascii="Traditional Arabic" w:hAnsi="Traditional Arabic" w:hint="cs"/>
          <w:rtl/>
        </w:rPr>
        <w:t>_</w:t>
      </w:r>
      <w:r w:rsidR="009A0575" w:rsidRPr="005D5694">
        <w:rPr>
          <w:rFonts w:ascii="Traditional Arabic" w:hAnsi="Traditional Arabic" w:cs="CTraditional Arabic" w:hint="cs"/>
          <w:rtl/>
        </w:rPr>
        <w:t>/</w:t>
      </w:r>
      <w:r w:rsidR="00EF1161">
        <w:rPr>
          <w:rFonts w:ascii="Traditional Arabic" w:hAnsi="Traditional Arabic" w:hint="cs"/>
          <w:color w:val="auto"/>
          <w:rtl/>
        </w:rPr>
        <w:t>_</w:t>
      </w:r>
      <w:r w:rsidRPr="00DE79EA">
        <w:rPr>
          <w:rFonts w:ascii="Traditional Arabic" w:hAnsi="Traditional Arabic" w:hint="cs"/>
          <w:color w:val="auto"/>
          <w:rtl/>
        </w:rPr>
        <w:t>:</w:t>
      </w:r>
      <w:r>
        <w:rPr>
          <w:rFonts w:ascii="Traditional Arabic" w:hAnsi="Traditional Arabic" w:hint="cs"/>
          <w:rtl/>
        </w:rPr>
        <w:t xml:space="preserve"> (ليست كُلّ حيلة ممنوعةً، بل الممنوع هو الحيلة على إسقاطِ واجبٍ أو انتهاكِ محرَّمٍ)</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820"/>
      </w:r>
      <w:r w:rsidRPr="00C821A1">
        <w:rPr>
          <w:rFonts w:ascii="Traditional Arabic" w:hAnsi="Traditional Arabic" w:hint="cs"/>
          <w:szCs w:val="32"/>
          <w:vertAlign w:val="superscript"/>
          <w:rtl/>
        </w:rPr>
        <w:t>)</w:t>
      </w:r>
      <w:r>
        <w:rPr>
          <w:rFonts w:ascii="Traditional Arabic" w:hAnsi="Traditional Arabic" w:hint="cs"/>
          <w:rtl/>
        </w:rPr>
        <w:t>.</w:t>
      </w:r>
    </w:p>
    <w:p w:rsidR="00065E4B" w:rsidRPr="008756A4" w:rsidRDefault="00065E4B" w:rsidP="00597C20">
      <w:pPr>
        <w:pStyle w:val="53"/>
        <w:rPr>
          <w:rtl/>
        </w:rPr>
      </w:pPr>
      <w:r>
        <w:rPr>
          <w:rFonts w:hint="cs"/>
          <w:rtl/>
        </w:rPr>
        <w:lastRenderedPageBreak/>
        <w:t>م</w:t>
      </w:r>
      <w:r w:rsidR="005E65EA">
        <w:rPr>
          <w:rFonts w:hint="cs"/>
          <w:rtl/>
        </w:rPr>
        <w:t>عنى القاعدة إجمالا:</w:t>
      </w:r>
    </w:p>
    <w:p w:rsidR="00F228A9" w:rsidRDefault="00EF1161" w:rsidP="00597C20">
      <w:pPr>
        <w:ind w:firstLine="0"/>
        <w:rPr>
          <w:rFonts w:ascii="Traditional Arabic" w:hAnsi="Traditional Arabic"/>
          <w:rtl/>
        </w:rPr>
      </w:pPr>
      <w:r>
        <w:rPr>
          <w:rFonts w:ascii="Traditional Arabic" w:hAnsi="Traditional Arabic" w:hint="cs"/>
          <w:rtl/>
        </w:rPr>
        <w:t xml:space="preserve">    </w:t>
      </w:r>
      <w:r w:rsidR="005E65EA" w:rsidRPr="00E81CF9">
        <w:rPr>
          <w:rFonts w:ascii="Traditional Arabic" w:hAnsi="Traditional Arabic"/>
          <w:rtl/>
        </w:rPr>
        <w:t xml:space="preserve"> يجب أن ي</w:t>
      </w:r>
      <w:r w:rsidR="005E65EA">
        <w:rPr>
          <w:rFonts w:ascii="Traditional Arabic" w:hAnsi="Traditional Arabic" w:hint="cs"/>
          <w:rtl/>
        </w:rPr>
        <w:t>ُ</w:t>
      </w:r>
      <w:r w:rsidR="005E65EA" w:rsidRPr="00E81CF9">
        <w:rPr>
          <w:rFonts w:ascii="Traditional Arabic" w:hAnsi="Traditional Arabic"/>
          <w:rtl/>
        </w:rPr>
        <w:t>س</w:t>
      </w:r>
      <w:r w:rsidR="005E65EA">
        <w:rPr>
          <w:rFonts w:ascii="Traditional Arabic" w:hAnsi="Traditional Arabic" w:hint="cs"/>
          <w:rtl/>
        </w:rPr>
        <w:t>َ</w:t>
      </w:r>
      <w:r w:rsidR="005E65EA" w:rsidRPr="00E81CF9">
        <w:rPr>
          <w:rFonts w:ascii="Traditional Arabic" w:hAnsi="Traditional Arabic"/>
          <w:rtl/>
        </w:rPr>
        <w:t>د</w:t>
      </w:r>
      <w:r w:rsidR="005E65EA">
        <w:rPr>
          <w:rFonts w:ascii="Traditional Arabic" w:hAnsi="Traditional Arabic" w:hint="cs"/>
          <w:rtl/>
        </w:rPr>
        <w:t>َّ</w:t>
      </w:r>
      <w:r w:rsidR="005E65EA" w:rsidRPr="00E81CF9">
        <w:rPr>
          <w:rFonts w:ascii="Traditional Arabic" w:hAnsi="Traditional Arabic"/>
          <w:rtl/>
        </w:rPr>
        <w:t xml:space="preserve"> على ال</w:t>
      </w:r>
      <w:r w:rsidR="005E65EA">
        <w:rPr>
          <w:rFonts w:ascii="Traditional Arabic" w:hAnsi="Traditional Arabic" w:hint="cs"/>
          <w:rtl/>
        </w:rPr>
        <w:t>ْ</w:t>
      </w:r>
      <w:r w:rsidR="005E65EA" w:rsidRPr="00E81CF9">
        <w:rPr>
          <w:rFonts w:ascii="Traditional Arabic" w:hAnsi="Traditional Arabic"/>
          <w:rtl/>
        </w:rPr>
        <w:t>م</w:t>
      </w:r>
      <w:r w:rsidR="005E65EA">
        <w:rPr>
          <w:rFonts w:ascii="Traditional Arabic" w:hAnsi="Traditional Arabic" w:hint="cs"/>
          <w:rtl/>
        </w:rPr>
        <w:t>ُ</w:t>
      </w:r>
      <w:r w:rsidR="005E65EA" w:rsidRPr="00E81CF9">
        <w:rPr>
          <w:rFonts w:ascii="Traditional Arabic" w:hAnsi="Traditional Arabic"/>
          <w:rtl/>
        </w:rPr>
        <w:t>ح</w:t>
      </w:r>
      <w:r w:rsidR="005E65EA">
        <w:rPr>
          <w:rFonts w:ascii="Traditional Arabic" w:hAnsi="Traditional Arabic" w:hint="cs"/>
          <w:rtl/>
        </w:rPr>
        <w:t>ْ</w:t>
      </w:r>
      <w:r w:rsidR="005E65EA" w:rsidRPr="00E81CF9">
        <w:rPr>
          <w:rFonts w:ascii="Traditional Arabic" w:hAnsi="Traditional Arabic"/>
          <w:rtl/>
        </w:rPr>
        <w:t>تال</w:t>
      </w:r>
      <w:r w:rsidR="005805E3">
        <w:rPr>
          <w:rFonts w:ascii="Traditional Arabic" w:hAnsi="Traditional Arabic" w:hint="cs"/>
          <w:rtl/>
        </w:rPr>
        <w:t xml:space="preserve"> </w:t>
      </w:r>
      <w:r w:rsidR="005E65EA">
        <w:rPr>
          <w:rFonts w:ascii="Traditional Arabic" w:hAnsi="Traditional Arabic" w:hint="cs"/>
          <w:rtl/>
        </w:rPr>
        <w:t xml:space="preserve">على محارِم الله </w:t>
      </w:r>
      <w:r w:rsidR="005E65EA" w:rsidRPr="00E81CF9">
        <w:rPr>
          <w:rFonts w:ascii="Traditional Arabic" w:hAnsi="Traditional Arabic"/>
          <w:rtl/>
        </w:rPr>
        <w:t>باب</w:t>
      </w:r>
      <w:r w:rsidR="005E65EA">
        <w:rPr>
          <w:rFonts w:ascii="Traditional Arabic" w:hAnsi="Traditional Arabic" w:hint="cs"/>
          <w:rtl/>
        </w:rPr>
        <w:t>ُ</w:t>
      </w:r>
      <w:r w:rsidR="005E65EA" w:rsidRPr="00E81CF9">
        <w:rPr>
          <w:rFonts w:ascii="Traditional Arabic" w:hAnsi="Traditional Arabic"/>
          <w:rtl/>
        </w:rPr>
        <w:t xml:space="preserve"> الحيلة،</w:t>
      </w:r>
      <w:r w:rsidR="00154102">
        <w:rPr>
          <w:rFonts w:ascii="Traditional Arabic" w:hAnsi="Traditional Arabic"/>
          <w:rtl/>
        </w:rPr>
        <w:t xml:space="preserve"> و</w:t>
      </w:r>
      <w:r w:rsidR="005E65EA">
        <w:rPr>
          <w:rFonts w:ascii="Traditional Arabic" w:hAnsi="Traditional Arabic" w:hint="cs"/>
          <w:rtl/>
        </w:rPr>
        <w:t xml:space="preserve">يجب أن </w:t>
      </w:r>
      <w:r w:rsidR="005E65EA" w:rsidRPr="00E81CF9">
        <w:rPr>
          <w:rFonts w:ascii="Traditional Arabic" w:hAnsi="Traditional Arabic"/>
          <w:rtl/>
        </w:rPr>
        <w:t>ت</w:t>
      </w:r>
      <w:r w:rsidR="005E65EA">
        <w:rPr>
          <w:rFonts w:ascii="Traditional Arabic" w:hAnsi="Traditional Arabic" w:hint="cs"/>
          <w:rtl/>
        </w:rPr>
        <w:t>ُ</w:t>
      </w:r>
      <w:r w:rsidR="005E65EA" w:rsidRPr="00E81CF9">
        <w:rPr>
          <w:rFonts w:ascii="Traditional Arabic" w:hAnsi="Traditional Arabic"/>
          <w:rtl/>
        </w:rPr>
        <w:t>ل</w:t>
      </w:r>
      <w:r w:rsidR="005E65EA">
        <w:rPr>
          <w:rFonts w:ascii="Traditional Arabic" w:hAnsi="Traditional Arabic" w:hint="cs"/>
          <w:rtl/>
        </w:rPr>
        <w:t>ْ</w:t>
      </w:r>
      <w:r w:rsidR="005E65EA" w:rsidRPr="00E81CF9">
        <w:rPr>
          <w:rFonts w:ascii="Traditional Arabic" w:hAnsi="Traditional Arabic"/>
          <w:rtl/>
        </w:rPr>
        <w:t>غى حيلت</w:t>
      </w:r>
      <w:r w:rsidR="005E65EA">
        <w:rPr>
          <w:rFonts w:ascii="Traditional Arabic" w:hAnsi="Traditional Arabic" w:hint="cs"/>
          <w:rtl/>
        </w:rPr>
        <w:t>ُ</w:t>
      </w:r>
      <w:r w:rsidR="005E65EA" w:rsidRPr="00E81CF9">
        <w:rPr>
          <w:rFonts w:ascii="Traditional Arabic" w:hAnsi="Traditional Arabic"/>
          <w:rtl/>
        </w:rPr>
        <w:t>ه</w:t>
      </w:r>
      <w:r w:rsidR="005E65EA">
        <w:rPr>
          <w:rFonts w:ascii="Traditional Arabic" w:hAnsi="Traditional Arabic" w:hint="cs"/>
          <w:rtl/>
        </w:rPr>
        <w:t>،</w:t>
      </w:r>
      <w:r w:rsidR="005E65EA" w:rsidRPr="00E81CF9">
        <w:rPr>
          <w:rFonts w:ascii="Traditional Arabic" w:hAnsi="Traditional Arabic"/>
          <w:rtl/>
        </w:rPr>
        <w:t xml:space="preserve"> سواء</w:t>
      </w:r>
      <w:r w:rsidR="005805E3">
        <w:rPr>
          <w:rFonts w:ascii="Traditional Arabic" w:hAnsi="Traditional Arabic" w:hint="cs"/>
          <w:rtl/>
        </w:rPr>
        <w:t>ٌ</w:t>
      </w:r>
      <w:r w:rsidR="005E65EA" w:rsidRPr="00E81CF9">
        <w:rPr>
          <w:rFonts w:ascii="Traditional Arabic" w:hAnsi="Traditional Arabic"/>
          <w:rtl/>
        </w:rPr>
        <w:t xml:space="preserve"> </w:t>
      </w:r>
      <w:r w:rsidR="005805E3">
        <w:rPr>
          <w:rFonts w:ascii="Traditional Arabic" w:hAnsi="Traditional Arabic" w:hint="cs"/>
          <w:rtl/>
        </w:rPr>
        <w:t>أ</w:t>
      </w:r>
      <w:r w:rsidR="005805E3">
        <w:rPr>
          <w:rFonts w:ascii="Traditional Arabic" w:hAnsi="Traditional Arabic"/>
          <w:rtl/>
        </w:rPr>
        <w:t>كان ذلك في حق الله أ</w:t>
      </w:r>
      <w:r w:rsidR="005805E3">
        <w:rPr>
          <w:rFonts w:ascii="Traditional Arabic" w:hAnsi="Traditional Arabic" w:hint="cs"/>
          <w:rtl/>
        </w:rPr>
        <w:t>م</w:t>
      </w:r>
      <w:r w:rsidR="005E65EA" w:rsidRPr="00E81CF9">
        <w:rPr>
          <w:rFonts w:ascii="Traditional Arabic" w:hAnsi="Traditional Arabic"/>
          <w:rtl/>
        </w:rPr>
        <w:t xml:space="preserve"> في حق العباد، وسواء</w:t>
      </w:r>
      <w:r w:rsidR="005805E3">
        <w:rPr>
          <w:rFonts w:ascii="Traditional Arabic" w:hAnsi="Traditional Arabic" w:hint="cs"/>
          <w:rtl/>
        </w:rPr>
        <w:t>ٌ</w:t>
      </w:r>
      <w:r w:rsidR="005E65EA" w:rsidRPr="00E81CF9">
        <w:rPr>
          <w:rFonts w:ascii="Traditional Arabic" w:hAnsi="Traditional Arabic"/>
          <w:rtl/>
        </w:rPr>
        <w:t xml:space="preserve"> </w:t>
      </w:r>
      <w:r w:rsidR="005805E3">
        <w:rPr>
          <w:rFonts w:ascii="Traditional Arabic" w:hAnsi="Traditional Arabic" w:hint="cs"/>
          <w:rtl/>
        </w:rPr>
        <w:t>أ</w:t>
      </w:r>
      <w:r w:rsidR="005E65EA">
        <w:rPr>
          <w:rFonts w:ascii="Traditional Arabic" w:hAnsi="Traditional Arabic"/>
          <w:rtl/>
        </w:rPr>
        <w:t>كان ذلك في التحيُّل على</w:t>
      </w:r>
      <w:r w:rsidR="005805E3">
        <w:rPr>
          <w:rFonts w:ascii="Traditional Arabic" w:hAnsi="Traditional Arabic" w:hint="cs"/>
          <w:rtl/>
        </w:rPr>
        <w:t xml:space="preserve"> </w:t>
      </w:r>
      <w:r w:rsidR="005E65EA">
        <w:rPr>
          <w:rFonts w:ascii="Traditional Arabic" w:hAnsi="Traditional Arabic"/>
          <w:rtl/>
        </w:rPr>
        <w:t>إسقاط</w:t>
      </w:r>
      <w:r w:rsidR="005E65EA">
        <w:rPr>
          <w:rFonts w:ascii="Traditional Arabic" w:hAnsi="Traditional Arabic" w:hint="cs"/>
          <w:rtl/>
        </w:rPr>
        <w:t>ِ</w:t>
      </w:r>
      <w:r w:rsidR="005805E3">
        <w:rPr>
          <w:rFonts w:ascii="Traditional Arabic" w:hAnsi="Traditional Arabic" w:hint="cs"/>
          <w:rtl/>
        </w:rPr>
        <w:t xml:space="preserve"> </w:t>
      </w:r>
      <w:r w:rsidR="005E65EA" w:rsidRPr="00E81CF9">
        <w:rPr>
          <w:rFonts w:ascii="Traditional Arabic" w:hAnsi="Traditional Arabic"/>
          <w:rtl/>
        </w:rPr>
        <w:t>واجب</w:t>
      </w:r>
      <w:r w:rsidR="005805E3">
        <w:rPr>
          <w:rFonts w:ascii="Traditional Arabic" w:hAnsi="Traditional Arabic" w:hint="cs"/>
          <w:rtl/>
        </w:rPr>
        <w:t xml:space="preserve"> </w:t>
      </w:r>
      <w:r w:rsidR="005805E3">
        <w:rPr>
          <w:rFonts w:ascii="Traditional Arabic" w:hAnsi="Traditional Arabic"/>
          <w:rtl/>
        </w:rPr>
        <w:t>أ</w:t>
      </w:r>
      <w:r w:rsidR="005805E3">
        <w:rPr>
          <w:rFonts w:ascii="Traditional Arabic" w:hAnsi="Traditional Arabic" w:hint="cs"/>
          <w:rtl/>
        </w:rPr>
        <w:t>م</w:t>
      </w:r>
      <w:r w:rsidR="005E65EA" w:rsidRPr="00E81CF9">
        <w:rPr>
          <w:rFonts w:ascii="Traditional Arabic" w:hAnsi="Traditional Arabic"/>
          <w:rtl/>
        </w:rPr>
        <w:t xml:space="preserve"> التحي</w:t>
      </w:r>
      <w:r w:rsidR="005E65EA">
        <w:rPr>
          <w:rFonts w:ascii="Traditional Arabic" w:hAnsi="Traditional Arabic" w:hint="cs"/>
          <w:rtl/>
        </w:rPr>
        <w:t>ّ</w:t>
      </w:r>
      <w:r w:rsidR="005E65EA" w:rsidRPr="00E81CF9">
        <w:rPr>
          <w:rFonts w:ascii="Traditional Arabic" w:hAnsi="Traditional Arabic"/>
          <w:rtl/>
        </w:rPr>
        <w:t>ل على ف</w:t>
      </w:r>
      <w:r w:rsidR="005E65EA">
        <w:rPr>
          <w:rFonts w:ascii="Traditional Arabic" w:hAnsi="Traditional Arabic" w:hint="cs"/>
          <w:rtl/>
        </w:rPr>
        <w:t>ِ</w:t>
      </w:r>
      <w:r w:rsidR="005E65EA" w:rsidRPr="00E81CF9">
        <w:rPr>
          <w:rFonts w:ascii="Traditional Arabic" w:hAnsi="Traditional Arabic"/>
          <w:rtl/>
        </w:rPr>
        <w:t>ع</w:t>
      </w:r>
      <w:r w:rsidR="005E65EA">
        <w:rPr>
          <w:rFonts w:ascii="Traditional Arabic" w:hAnsi="Traditional Arabic" w:hint="cs"/>
          <w:rtl/>
        </w:rPr>
        <w:t>ْ</w:t>
      </w:r>
      <w:r w:rsidR="005E65EA" w:rsidRPr="00E81CF9">
        <w:rPr>
          <w:rFonts w:ascii="Traditional Arabic" w:hAnsi="Traditional Arabic"/>
          <w:rtl/>
        </w:rPr>
        <w:t>ل</w:t>
      </w:r>
      <w:r w:rsidR="005E65EA">
        <w:rPr>
          <w:rFonts w:ascii="Traditional Arabic" w:hAnsi="Traditional Arabic" w:hint="cs"/>
          <w:rtl/>
        </w:rPr>
        <w:t>ِ</w:t>
      </w:r>
      <w:r w:rsidR="005E65EA" w:rsidRPr="00E81CF9">
        <w:rPr>
          <w:rFonts w:ascii="Traditional Arabic" w:hAnsi="Traditional Arabic"/>
          <w:rtl/>
        </w:rPr>
        <w:t xml:space="preserve"> مح</w:t>
      </w:r>
      <w:r w:rsidR="005E65EA">
        <w:rPr>
          <w:rFonts w:ascii="Traditional Arabic" w:hAnsi="Traditional Arabic" w:hint="cs"/>
          <w:rtl/>
        </w:rPr>
        <w:t>َّ</w:t>
      </w:r>
      <w:r w:rsidR="005E65EA" w:rsidRPr="00E81CF9">
        <w:rPr>
          <w:rFonts w:ascii="Traditional Arabic" w:hAnsi="Traditional Arabic"/>
          <w:rtl/>
        </w:rPr>
        <w:t>رم</w:t>
      </w:r>
      <w:r w:rsidR="005E65EA" w:rsidRPr="00C821A1">
        <w:rPr>
          <w:rFonts w:ascii="Traditional Arabic" w:hAnsi="Traditional Arabic" w:hint="cs"/>
          <w:szCs w:val="32"/>
          <w:vertAlign w:val="superscript"/>
          <w:rtl/>
        </w:rPr>
        <w:t>(</w:t>
      </w:r>
      <w:r w:rsidR="005E65EA" w:rsidRPr="00C821A1">
        <w:rPr>
          <w:rStyle w:val="af1"/>
          <w:rFonts w:ascii="Traditional Arabic" w:hAnsi="Traditional Arabic"/>
          <w:szCs w:val="32"/>
          <w:rtl/>
        </w:rPr>
        <w:footnoteReference w:id="821"/>
      </w:r>
      <w:r w:rsidR="005E65EA" w:rsidRPr="00C821A1">
        <w:rPr>
          <w:rFonts w:ascii="Traditional Arabic" w:hAnsi="Traditional Arabic" w:hint="cs"/>
          <w:szCs w:val="32"/>
          <w:vertAlign w:val="superscript"/>
          <w:rtl/>
        </w:rPr>
        <w:t>)</w:t>
      </w:r>
      <w:r w:rsidR="00B76414">
        <w:rPr>
          <w:rFonts w:ascii="Traditional Arabic" w:hAnsi="Traditional Arabic" w:hint="cs"/>
          <w:rtl/>
        </w:rPr>
        <w:t>.</w:t>
      </w:r>
    </w:p>
    <w:p w:rsidR="005805E3" w:rsidRDefault="00DD595C" w:rsidP="00A8347C">
      <w:pPr>
        <w:pStyle w:val="aff3"/>
        <w:rPr>
          <w:rtl/>
        </w:rPr>
      </w:pPr>
      <w:bookmarkStart w:id="159" w:name="_Toc334046401"/>
      <w:r>
        <w:rPr>
          <w:rFonts w:hint="cs"/>
          <w:rtl/>
        </w:rPr>
        <w:t xml:space="preserve">  </w:t>
      </w:r>
    </w:p>
    <w:p w:rsidR="005E65EA" w:rsidRPr="00003786" w:rsidRDefault="00DD595C" w:rsidP="00A8347C">
      <w:pPr>
        <w:pStyle w:val="aff3"/>
      </w:pPr>
      <w:r>
        <w:rPr>
          <w:rFonts w:hint="cs"/>
          <w:rtl/>
        </w:rPr>
        <w:t xml:space="preserve">                                 </w:t>
      </w:r>
      <w:r w:rsidR="005805E3">
        <w:rPr>
          <w:rFonts w:hint="cs"/>
          <w:rtl/>
        </w:rPr>
        <w:t xml:space="preserve">      </w:t>
      </w:r>
      <w:r w:rsidR="00F228A9" w:rsidRPr="005E65EA">
        <w:rPr>
          <w:rFonts w:hint="cs"/>
          <w:rtl/>
        </w:rPr>
        <w:t>المطلب الثالث</w:t>
      </w:r>
      <w:r w:rsidR="00F228A9">
        <w:rPr>
          <w:rFonts w:hint="eastAsia"/>
          <w:rtl/>
        </w:rPr>
        <w:t> :</w:t>
      </w:r>
      <w:r w:rsidR="00F228A9">
        <w:rPr>
          <w:rFonts w:hint="cs"/>
          <w:rtl/>
        </w:rPr>
        <w:br/>
      </w:r>
      <w:r>
        <w:rPr>
          <w:rFonts w:hint="cs"/>
          <w:rtl/>
        </w:rPr>
        <w:t xml:space="preserve">                                     </w:t>
      </w:r>
      <w:r w:rsidR="005805E3">
        <w:rPr>
          <w:rFonts w:hint="cs"/>
          <w:rtl/>
        </w:rPr>
        <w:t xml:space="preserve">    </w:t>
      </w:r>
      <w:r w:rsidR="00F228A9" w:rsidRPr="005E65EA">
        <w:rPr>
          <w:rFonts w:hint="cs"/>
          <w:rtl/>
        </w:rPr>
        <w:t>أدلة القاعدة</w:t>
      </w:r>
      <w:bookmarkEnd w:id="159"/>
    </w:p>
    <w:p w:rsidR="005E65EA" w:rsidRPr="005805E3" w:rsidRDefault="00DD595C" w:rsidP="000A76C7">
      <w:pPr>
        <w:pStyle w:val="afc"/>
        <w:numPr>
          <w:ilvl w:val="0"/>
          <w:numId w:val="331"/>
        </w:numPr>
        <w:rPr>
          <w:rFonts w:ascii="Traditional Arabic" w:hAnsi="Traditional Arabic"/>
          <w:b/>
          <w:bCs/>
        </w:rPr>
      </w:pPr>
      <w:r w:rsidRPr="005805E3">
        <w:rPr>
          <w:rFonts w:hint="cs"/>
          <w:rtl/>
        </w:rPr>
        <w:t>قول الله</w:t>
      </w:r>
      <w:r w:rsidR="005E65EA" w:rsidRPr="005805E3">
        <w:rPr>
          <w:rFonts w:hint="cs"/>
          <w:rtl/>
        </w:rPr>
        <w:t xml:space="preserve"> تعالى</w:t>
      </w:r>
      <w:r w:rsidR="005E65EA">
        <w:rPr>
          <w:rFonts w:hint="cs"/>
          <w:rtl/>
        </w:rPr>
        <w:t>:</w:t>
      </w:r>
      <w:bookmarkStart w:id="160" w:name="سورة_البقرة_65إلى66"/>
      <w:r w:rsidR="005E65EA" w:rsidRPr="005805E3">
        <w:rPr>
          <w:rFonts w:ascii="QCF_BSML" w:hAnsi="QCF_BSML" w:cs="QCF_BSML"/>
          <w:noProof w:val="0"/>
          <w:rtl/>
          <w:lang w:eastAsia="en-US"/>
        </w:rPr>
        <w:t>ﭽ</w:t>
      </w:r>
      <w:r w:rsidR="005E65EA" w:rsidRPr="005805E3">
        <w:rPr>
          <w:rFonts w:ascii="QCF_P010" w:hAnsi="QCF_P010" w:cs="QCF_P010"/>
          <w:noProof w:val="0"/>
          <w:rtl/>
          <w:lang w:eastAsia="en-US"/>
        </w:rPr>
        <w:t>ﮉ</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ﮊ</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ﮋ</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ﮌ</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ﮍ</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ﮎ</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ﮏ</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ﮐ</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ﮑ</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ﮒ</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ﮓ</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ﮔ</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ﮕ</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ﮖ</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ﮗ</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ﮘ</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ﮙ</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ﮚ</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ﮛ</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ﮜ</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ﮝ</w:t>
      </w:r>
      <w:r w:rsidRPr="005805E3">
        <w:rPr>
          <w:rFonts w:ascii="QCF_P010" w:hAnsi="QCF_P010" w:cs="QCF_P010" w:hint="cs"/>
          <w:noProof w:val="0"/>
          <w:rtl/>
          <w:lang w:eastAsia="en-US"/>
        </w:rPr>
        <w:t xml:space="preserve"> </w:t>
      </w:r>
      <w:r w:rsidR="005E65EA" w:rsidRPr="005805E3">
        <w:rPr>
          <w:rFonts w:ascii="QCF_P010" w:hAnsi="QCF_P010" w:cs="QCF_P010"/>
          <w:noProof w:val="0"/>
          <w:rtl/>
          <w:lang w:eastAsia="en-US"/>
        </w:rPr>
        <w:t>ﮞ</w:t>
      </w:r>
      <w:r w:rsidRPr="005805E3">
        <w:rPr>
          <w:rFonts w:ascii="QCF_P010" w:hAnsi="QCF_P010" w:cs="QCF_P010" w:hint="cs"/>
          <w:noProof w:val="0"/>
          <w:rtl/>
          <w:lang w:eastAsia="en-US"/>
        </w:rPr>
        <w:t xml:space="preserve"> </w:t>
      </w:r>
      <w:r w:rsidR="005E65EA" w:rsidRPr="005805E3">
        <w:rPr>
          <w:rFonts w:ascii="QCF_BSML" w:hAnsi="QCF_BSML" w:cs="QCF_BSML"/>
          <w:noProof w:val="0"/>
          <w:rtl/>
          <w:lang w:eastAsia="en-US"/>
        </w:rPr>
        <w:t>ﭼ</w:t>
      </w:r>
      <w:bookmarkEnd w:id="160"/>
      <w:r w:rsidR="005E65EA" w:rsidRPr="005805E3">
        <w:rPr>
          <w:rFonts w:ascii="Traditional Arabic" w:hAnsi="Traditional Arabic"/>
          <w:noProof w:val="0"/>
          <w:color w:val="auto"/>
          <w:rtl/>
          <w:lang w:eastAsia="en-US"/>
        </w:rPr>
        <w:t>[البقرة: ٦٥ – ٦٦</w:t>
      </w:r>
      <w:r w:rsidR="005E65EA" w:rsidRPr="005805E3">
        <w:rPr>
          <w:rFonts w:ascii="Traditional Arabic" w:hAnsi="Traditional Arabic"/>
          <w:rtl/>
        </w:rPr>
        <w:t>]</w:t>
      </w:r>
      <w:r w:rsidR="005E65EA" w:rsidRPr="005805E3">
        <w:rPr>
          <w:rFonts w:ascii="Traditional Arabic" w:hAnsi="Traditional Arabic"/>
          <w:b/>
          <w:bCs/>
          <w:rtl/>
        </w:rPr>
        <w:t>.</w:t>
      </w:r>
    </w:p>
    <w:p w:rsidR="005E65EA" w:rsidRDefault="005E65EA" w:rsidP="00597C20">
      <w:pPr>
        <w:pStyle w:val="53"/>
        <w:rPr>
          <w:rtl/>
        </w:rPr>
      </w:pPr>
      <w:r>
        <w:rPr>
          <w:rFonts w:hint="cs"/>
          <w:rtl/>
        </w:rPr>
        <w:t>وجه الدلالة:</w:t>
      </w:r>
    </w:p>
    <w:p w:rsidR="005E65EA" w:rsidRPr="00D65DBF" w:rsidRDefault="005E65EA" w:rsidP="00597C20">
      <w:pPr>
        <w:ind w:firstLine="720"/>
      </w:pPr>
      <w:r>
        <w:rPr>
          <w:rFonts w:hint="cs"/>
          <w:rtl/>
        </w:rPr>
        <w:t xml:space="preserve">أعظمُ فائدةٍ تُستنبَط من الآيتين:هي أن التحيُّل على محارم الله </w:t>
      </w:r>
      <w:r w:rsidR="00866D6A" w:rsidRPr="00866D6A">
        <w:rPr>
          <w:rFonts w:ascii="Traditional Arabic" w:hAnsi="Traditional Arabic" w:hint="cs"/>
          <w:noProof w:val="0"/>
          <w:color w:val="auto"/>
          <w:rtl/>
          <w:lang w:eastAsia="en-US"/>
        </w:rPr>
        <w:sym w:font="AGA Arabesque" w:char="F055"/>
      </w:r>
      <w:r>
        <w:rPr>
          <w:rFonts w:hint="cs"/>
          <w:rtl/>
        </w:rPr>
        <w:t xml:space="preserve"> لا يَقْلِبُها حَلالاً، بل التحيّل على المحارِم لا يزيدها إلا قُبْحًا</w:t>
      </w:r>
      <w:r w:rsidRPr="00C821A1">
        <w:rPr>
          <w:rFonts w:hint="cs"/>
          <w:szCs w:val="32"/>
          <w:vertAlign w:val="superscript"/>
          <w:rtl/>
        </w:rPr>
        <w:t>(</w:t>
      </w:r>
      <w:r w:rsidRPr="00C821A1">
        <w:rPr>
          <w:rStyle w:val="af1"/>
          <w:szCs w:val="32"/>
          <w:rtl/>
        </w:rPr>
        <w:footnoteReference w:id="822"/>
      </w:r>
      <w:r w:rsidRPr="00C821A1">
        <w:rPr>
          <w:rFonts w:hint="cs"/>
          <w:szCs w:val="32"/>
          <w:vertAlign w:val="superscript"/>
          <w:rtl/>
        </w:rPr>
        <w:t>)</w:t>
      </w:r>
      <w:r>
        <w:rPr>
          <w:rFonts w:hint="cs"/>
          <w:rtl/>
        </w:rPr>
        <w:t>.</w:t>
      </w:r>
    </w:p>
    <w:p w:rsidR="005E65EA" w:rsidRPr="005805E3" w:rsidRDefault="005E65EA" w:rsidP="000A76C7">
      <w:pPr>
        <w:pStyle w:val="afc"/>
        <w:numPr>
          <w:ilvl w:val="0"/>
          <w:numId w:val="331"/>
        </w:numPr>
        <w:jc w:val="left"/>
        <w:rPr>
          <w:b/>
          <w:bCs/>
          <w:color w:val="auto"/>
        </w:rPr>
      </w:pPr>
      <w:r>
        <w:rPr>
          <w:rFonts w:hint="cs"/>
          <w:rtl/>
        </w:rPr>
        <w:t>قوله تعالى:</w:t>
      </w:r>
      <w:bookmarkStart w:id="161" w:name="سورة_النساء_142"/>
      <w:r w:rsidRPr="005805E3">
        <w:rPr>
          <w:rFonts w:ascii="QCF_BSML" w:hAnsi="QCF_BSML" w:cs="QCF_BSML"/>
          <w:noProof w:val="0"/>
          <w:rtl/>
          <w:lang w:eastAsia="en-US"/>
        </w:rPr>
        <w:t xml:space="preserve">ﭽ </w:t>
      </w:r>
      <w:r w:rsidRPr="005805E3">
        <w:rPr>
          <w:rFonts w:ascii="QCF_P101" w:hAnsi="QCF_P101" w:cs="QCF_P101"/>
          <w:noProof w:val="0"/>
          <w:rtl/>
          <w:lang w:eastAsia="en-US"/>
        </w:rPr>
        <w:t>ﭸﭹﭺﭻﭼﭽ</w:t>
      </w:r>
      <w:r w:rsidRPr="005805E3">
        <w:rPr>
          <w:rFonts w:ascii="QCF_BSML" w:hAnsi="QCF_BSML" w:cs="QCF_BSML"/>
          <w:noProof w:val="0"/>
          <w:rtl/>
          <w:lang w:eastAsia="en-US"/>
        </w:rPr>
        <w:t>ﭼ</w:t>
      </w:r>
      <w:bookmarkEnd w:id="161"/>
      <w:r w:rsidRPr="005805E3">
        <w:rPr>
          <w:rFonts w:ascii="Traditional Arabic" w:hAnsi="Traditional Arabic"/>
          <w:noProof w:val="0"/>
          <w:color w:val="auto"/>
          <w:rtl/>
          <w:lang w:eastAsia="en-US"/>
        </w:rPr>
        <w:t>[النساء: ١٤٢</w:t>
      </w:r>
      <w:r w:rsidRPr="005805E3">
        <w:rPr>
          <w:rFonts w:ascii="Traditional Arabic" w:hAnsi="Traditional Arabic"/>
          <w:color w:val="auto"/>
          <w:rtl/>
        </w:rPr>
        <w:t>].</w:t>
      </w:r>
    </w:p>
    <w:p w:rsidR="00065E4B" w:rsidRDefault="005E65EA" w:rsidP="00597C20">
      <w:pPr>
        <w:pStyle w:val="53"/>
        <w:rPr>
          <w:rtl/>
        </w:rPr>
      </w:pPr>
      <w:r w:rsidRPr="008933A0">
        <w:rPr>
          <w:rFonts w:hint="cs"/>
          <w:rtl/>
        </w:rPr>
        <w:t>وجه الدلالة:</w:t>
      </w:r>
    </w:p>
    <w:p w:rsidR="005E65EA" w:rsidRPr="00DD595C" w:rsidRDefault="00065E4B" w:rsidP="00DD595C">
      <w:pPr>
        <w:ind w:firstLine="720"/>
        <w:rPr>
          <w:b/>
          <w:bCs/>
          <w:color w:val="auto"/>
          <w:rtl/>
        </w:rPr>
      </w:pPr>
      <w:r>
        <w:rPr>
          <w:rFonts w:hint="cs"/>
          <w:rtl/>
        </w:rPr>
        <w:t>إ</w:t>
      </w:r>
      <w:r w:rsidR="005E65EA">
        <w:rPr>
          <w:rFonts w:hint="cs"/>
          <w:rtl/>
        </w:rPr>
        <w:t>ن الله ذَمَّ المنافقين بقوله:</w:t>
      </w:r>
      <w:r w:rsidR="005E65EA" w:rsidRPr="00C85C55">
        <w:rPr>
          <w:rFonts w:ascii="QCF_BSML" w:hAnsi="QCF_BSML" w:cs="QCF_BSML"/>
          <w:noProof w:val="0"/>
          <w:rtl/>
          <w:lang w:eastAsia="en-US"/>
        </w:rPr>
        <w:t xml:space="preserve"> ﭽ </w:t>
      </w:r>
      <w:r w:rsidR="005E65EA" w:rsidRPr="00C85C55">
        <w:rPr>
          <w:rFonts w:ascii="QCF_P101" w:hAnsi="QCF_P101" w:cs="QCF_P101"/>
          <w:noProof w:val="0"/>
          <w:rtl/>
          <w:lang w:eastAsia="en-US"/>
        </w:rPr>
        <w:t>ﭸﭹﭺﭻﭼﭽ</w:t>
      </w:r>
      <w:r w:rsidR="005E65EA" w:rsidRPr="00C85C55">
        <w:rPr>
          <w:rFonts w:ascii="QCF_BSML" w:hAnsi="QCF_BSML" w:cs="QCF_BSML"/>
          <w:noProof w:val="0"/>
          <w:rtl/>
          <w:lang w:eastAsia="en-US"/>
        </w:rPr>
        <w:t>ﭼ</w:t>
      </w:r>
      <w:r w:rsidR="005E65EA" w:rsidRPr="00DD595C">
        <w:rPr>
          <w:rFonts w:ascii="Traditional Arabic" w:hAnsi="Traditional Arabic"/>
          <w:noProof w:val="0"/>
          <w:color w:val="auto"/>
          <w:rtl/>
          <w:lang w:eastAsia="en-US"/>
        </w:rPr>
        <w:t>[النساء: ١٤٢</w:t>
      </w:r>
      <w:r w:rsidR="005E65EA" w:rsidRPr="00DD595C">
        <w:rPr>
          <w:rFonts w:ascii="Traditional Arabic" w:hAnsi="Traditional Arabic"/>
          <w:color w:val="auto"/>
          <w:rtl/>
        </w:rPr>
        <w:t>]</w:t>
      </w:r>
      <w:r w:rsidR="00B76414" w:rsidRPr="00C85C55">
        <w:rPr>
          <w:rFonts w:hint="cs"/>
          <w:b/>
          <w:bCs/>
          <w:color w:val="auto"/>
          <w:rtl/>
        </w:rPr>
        <w:t>،</w:t>
      </w:r>
      <w:r w:rsidR="00154102">
        <w:rPr>
          <w:rFonts w:hint="cs"/>
          <w:rtl/>
        </w:rPr>
        <w:t xml:space="preserve"> و</w:t>
      </w:r>
      <w:r w:rsidR="005E65EA">
        <w:rPr>
          <w:rFonts w:hint="cs"/>
          <w:rtl/>
        </w:rPr>
        <w:t>لولا أن الْمُخادَعة حرام لم يكن المنافق مذمومًا بهذا الوصف،</w:t>
      </w:r>
      <w:r w:rsidR="00154102">
        <w:rPr>
          <w:rFonts w:hint="cs"/>
          <w:rtl/>
        </w:rPr>
        <w:t xml:space="preserve"> و</w:t>
      </w:r>
      <w:r w:rsidR="005E65EA">
        <w:rPr>
          <w:rFonts w:hint="cs"/>
          <w:rtl/>
        </w:rPr>
        <w:t xml:space="preserve">اتّخاذ الحيل مخُادَعةٌ لله </w:t>
      </w:r>
      <w:r w:rsidR="005E65EA">
        <w:rPr>
          <w:rFonts w:hint="cs"/>
          <w:rtl/>
        </w:rPr>
        <w:lastRenderedPageBreak/>
        <w:t>سبحانه، فكل حيلة على إسقاطِ واجب أو انْتِهاكِ محرَّم فهي حرام، بل هي أَبْلَغ من المخالَفة الصريحة؛ لأنها تتضمّن الوقوع في المحظور من وجه</w:t>
      </w:r>
      <w:r w:rsidR="00B76414">
        <w:rPr>
          <w:rFonts w:hint="cs"/>
          <w:rtl/>
        </w:rPr>
        <w:t>،</w:t>
      </w:r>
      <w:r w:rsidR="005E65EA">
        <w:rPr>
          <w:rFonts w:hint="cs"/>
          <w:rtl/>
        </w:rPr>
        <w:t xml:space="preserve"> كما تتضمّن الِخدَاع لله </w:t>
      </w:r>
      <w:r w:rsidR="00866D6A" w:rsidRPr="00866D6A">
        <w:rPr>
          <w:rFonts w:ascii="Traditional Arabic" w:hAnsi="Traditional Arabic" w:hint="cs"/>
          <w:noProof w:val="0"/>
          <w:color w:val="auto"/>
          <w:rtl/>
          <w:lang w:eastAsia="en-US"/>
        </w:rPr>
        <w:sym w:font="AGA Arabesque" w:char="F055"/>
      </w:r>
      <w:r w:rsidR="00154102">
        <w:rPr>
          <w:rFonts w:hint="cs"/>
          <w:rtl/>
        </w:rPr>
        <w:t xml:space="preserve"> و</w:t>
      </w:r>
      <w:r w:rsidR="005E65EA">
        <w:rPr>
          <w:rFonts w:hint="cs"/>
          <w:rtl/>
        </w:rPr>
        <w:t>التَّلاعُب بأحكامه من وجه آخر</w:t>
      </w:r>
      <w:r w:rsidR="005E65EA" w:rsidRPr="00C821A1">
        <w:rPr>
          <w:rFonts w:hint="cs"/>
          <w:szCs w:val="32"/>
          <w:vertAlign w:val="superscript"/>
          <w:rtl/>
        </w:rPr>
        <w:t>(</w:t>
      </w:r>
      <w:r w:rsidR="005E65EA" w:rsidRPr="00C821A1">
        <w:rPr>
          <w:rStyle w:val="af1"/>
          <w:szCs w:val="32"/>
          <w:rtl/>
        </w:rPr>
        <w:footnoteReference w:id="823"/>
      </w:r>
      <w:r w:rsidR="005E65EA" w:rsidRPr="00C821A1">
        <w:rPr>
          <w:rFonts w:hint="cs"/>
          <w:szCs w:val="32"/>
          <w:vertAlign w:val="superscript"/>
          <w:rtl/>
        </w:rPr>
        <w:t>)</w:t>
      </w:r>
      <w:r w:rsidR="005E65EA">
        <w:rPr>
          <w:rFonts w:hint="cs"/>
          <w:rtl/>
        </w:rPr>
        <w:t>.</w:t>
      </w:r>
    </w:p>
    <w:p w:rsidR="005E65EA" w:rsidRPr="00C85F0F" w:rsidRDefault="005E65EA" w:rsidP="000A76C7">
      <w:pPr>
        <w:pStyle w:val="afc"/>
        <w:numPr>
          <w:ilvl w:val="0"/>
          <w:numId w:val="331"/>
        </w:numPr>
        <w:rPr>
          <w:rtl/>
        </w:rPr>
      </w:pPr>
      <w:r w:rsidRPr="005805E3">
        <w:rPr>
          <w:rFonts w:ascii="Traditional Arabic" w:hAnsi="Traditional Arabic" w:hint="cs"/>
          <w:rtl/>
        </w:rPr>
        <w:t xml:space="preserve">عن عمر بن الخطاب </w:t>
      </w:r>
      <w:r w:rsidR="00EF1161">
        <w:rPr>
          <w:rFonts w:ascii="Traditional Arabic" w:hAnsi="Traditional Arabic" w:hint="cs"/>
          <w:rtl/>
        </w:rPr>
        <w:t>_</w:t>
      </w:r>
      <w:r w:rsidR="009A0575" w:rsidRPr="005805E3">
        <w:rPr>
          <w:rFonts w:ascii="Traditional Arabic" w:hAnsi="Traditional Arabic" w:cs="CTraditional Arabic" w:hint="cs"/>
          <w:rtl/>
        </w:rPr>
        <w:t>ا</w:t>
      </w:r>
      <w:r w:rsidR="00EF1161">
        <w:rPr>
          <w:rFonts w:ascii="Traditional Arabic" w:hAnsi="Traditional Arabic" w:hint="cs"/>
          <w:rtl/>
        </w:rPr>
        <w:t>_</w:t>
      </w:r>
      <w:r w:rsidRPr="005805E3">
        <w:rPr>
          <w:rFonts w:ascii="Traditional Arabic" w:hAnsi="Traditional Arabic"/>
          <w:rtl/>
        </w:rPr>
        <w:t>قال</w:t>
      </w:r>
      <w:r w:rsidRPr="005805E3">
        <w:rPr>
          <w:rFonts w:ascii="Traditional Arabic" w:hAnsi="Traditional Arabic" w:hint="cs"/>
          <w:rtl/>
        </w:rPr>
        <w:t>:"</w:t>
      </w:r>
      <w:r w:rsidRPr="005805E3">
        <w:rPr>
          <w:rFonts w:ascii="Traditional Arabic" w:hAnsi="Traditional Arabic"/>
          <w:rtl/>
        </w:rPr>
        <w:t xml:space="preserve"> سمعت</w:t>
      </w:r>
      <w:r w:rsidR="00DD595C" w:rsidRPr="005805E3">
        <w:rPr>
          <w:rFonts w:ascii="Traditional Arabic" w:hAnsi="Traditional Arabic" w:hint="cs"/>
          <w:rtl/>
        </w:rPr>
        <w:t xml:space="preserve"> </w:t>
      </w:r>
      <w:r w:rsidRPr="005805E3">
        <w:rPr>
          <w:rFonts w:ascii="Traditional Arabic" w:hAnsi="Traditional Arabic"/>
          <w:rtl/>
        </w:rPr>
        <w:t xml:space="preserve">رسول الله </w:t>
      </w:r>
      <w:r w:rsidRPr="005805E3">
        <w:rPr>
          <w:rFonts w:ascii="Traditional Arabic" w:hAnsi="Traditional Arabic" w:cs="CTraditional Arabic"/>
          <w:color w:val="auto"/>
          <w:rtl/>
        </w:rPr>
        <w:t>&gt;</w:t>
      </w:r>
      <w:r w:rsidRPr="005805E3">
        <w:rPr>
          <w:rFonts w:ascii="Traditional Arabic" w:hAnsi="Traditional Arabic"/>
          <w:rtl/>
        </w:rPr>
        <w:t xml:space="preserve"> يقول</w:t>
      </w:r>
      <w:r w:rsidRPr="005805E3">
        <w:rPr>
          <w:rFonts w:ascii="Traditional Arabic" w:hAnsi="Traditional Arabic" w:hint="cs"/>
          <w:rtl/>
        </w:rPr>
        <w:t>:</w:t>
      </w:r>
      <w:r w:rsidRPr="005805E3">
        <w:rPr>
          <w:rFonts w:ascii="Traditional Arabic" w:hAnsi="Traditional Arabic"/>
          <w:rtl/>
        </w:rPr>
        <w:t xml:space="preserve"> إنما الأعمال بالني</w:t>
      </w:r>
      <w:r w:rsidRPr="005805E3">
        <w:rPr>
          <w:rFonts w:ascii="Traditional Arabic" w:hAnsi="Traditional Arabic" w:hint="cs"/>
          <w:rtl/>
        </w:rPr>
        <w:t>َّ</w:t>
      </w:r>
      <w:r w:rsidRPr="005805E3">
        <w:rPr>
          <w:rFonts w:ascii="Traditional Arabic" w:hAnsi="Traditional Arabic"/>
          <w:rtl/>
        </w:rPr>
        <w:t>ات وإنما ل</w:t>
      </w:r>
      <w:r w:rsidRPr="005805E3">
        <w:rPr>
          <w:rFonts w:ascii="Traditional Arabic" w:hAnsi="Traditional Arabic" w:hint="cs"/>
          <w:rtl/>
        </w:rPr>
        <w:t>ِ</w:t>
      </w:r>
      <w:r w:rsidRPr="005805E3">
        <w:rPr>
          <w:rFonts w:ascii="Traditional Arabic" w:hAnsi="Traditional Arabic"/>
          <w:rtl/>
        </w:rPr>
        <w:t>ك</w:t>
      </w:r>
      <w:r w:rsidRPr="005805E3">
        <w:rPr>
          <w:rFonts w:ascii="Traditional Arabic" w:hAnsi="Traditional Arabic" w:hint="cs"/>
          <w:rtl/>
        </w:rPr>
        <w:t>ُ</w:t>
      </w:r>
      <w:r w:rsidRPr="005805E3">
        <w:rPr>
          <w:rFonts w:ascii="Traditional Arabic" w:hAnsi="Traditional Arabic"/>
          <w:rtl/>
        </w:rPr>
        <w:t>ل</w:t>
      </w:r>
      <w:r w:rsidRPr="005805E3">
        <w:rPr>
          <w:rFonts w:ascii="Traditional Arabic" w:hAnsi="Traditional Arabic" w:hint="cs"/>
          <w:rtl/>
        </w:rPr>
        <w:t>ِّ</w:t>
      </w:r>
      <w:r w:rsidRPr="005805E3">
        <w:rPr>
          <w:rFonts w:ascii="Traditional Arabic" w:hAnsi="Traditional Arabic"/>
          <w:rtl/>
        </w:rPr>
        <w:t xml:space="preserve"> امرئ</w:t>
      </w:r>
      <w:r w:rsidRPr="005805E3">
        <w:rPr>
          <w:rFonts w:ascii="Traditional Arabic" w:hAnsi="Traditional Arabic" w:hint="cs"/>
          <w:rtl/>
        </w:rPr>
        <w:t>ٍ</w:t>
      </w:r>
      <w:r w:rsidRPr="005805E3">
        <w:rPr>
          <w:rFonts w:ascii="Traditional Arabic" w:hAnsi="Traditional Arabic"/>
          <w:rtl/>
        </w:rPr>
        <w:t xml:space="preserve"> ما نوى</w:t>
      </w:r>
      <w:r w:rsidRPr="005805E3">
        <w:rPr>
          <w:rFonts w:ascii="Traditional Arabic" w:hAnsi="Traditional Arabic" w:hint="cs"/>
          <w:rtl/>
        </w:rPr>
        <w:t>،</w:t>
      </w:r>
      <w:r w:rsidR="00AB0B9E" w:rsidRPr="005805E3">
        <w:rPr>
          <w:rFonts w:ascii="Traditional Arabic" w:hAnsi="Traditional Arabic"/>
          <w:rtl/>
        </w:rPr>
        <w:fldChar w:fldCharType="begin"/>
      </w:r>
      <w:r w:rsidR="00FD1650" w:rsidRPr="00C85F0F">
        <w:instrText>XE</w:instrText>
      </w:r>
      <w:r w:rsidR="00FD1650" w:rsidRPr="00C85F0F">
        <w:rPr>
          <w:rtl/>
        </w:rPr>
        <w:instrText xml:space="preserve"> "</w:instrText>
      </w:r>
      <w:r w:rsidR="00FD1650" w:rsidRPr="005805E3">
        <w:rPr>
          <w:rFonts w:ascii="Traditional Arabic" w:hAnsi="Traditional Arabic"/>
          <w:rtl/>
        </w:rPr>
        <w:instrText>إنما الأعمال بالنيَّات وإنما لِكُلِّ امرئٍ ما نوى،</w:instrText>
      </w:r>
      <w:r w:rsidR="00FD1650" w:rsidRPr="00C85F0F">
        <w:rPr>
          <w:rtl/>
        </w:rPr>
        <w:instrText xml:space="preserve">" </w:instrText>
      </w:r>
      <w:r w:rsidR="00AB0B9E" w:rsidRPr="005805E3">
        <w:rPr>
          <w:rFonts w:ascii="Traditional Arabic" w:hAnsi="Traditional Arabic"/>
          <w:rtl/>
        </w:rPr>
        <w:fldChar w:fldCharType="end"/>
      </w:r>
      <w:r w:rsidRPr="005805E3">
        <w:rPr>
          <w:rFonts w:ascii="Traditional Arabic" w:hAnsi="Traditional Arabic"/>
          <w:rtl/>
        </w:rPr>
        <w:t xml:space="preserve"> فمن كانت هجرته إلى</w:t>
      </w:r>
      <w:r w:rsidRPr="005805E3">
        <w:rPr>
          <w:rFonts w:ascii="Traditional Arabic" w:hAnsi="Traditional Arabic" w:hint="cs"/>
          <w:rtl/>
        </w:rPr>
        <w:t xml:space="preserve"> الله</w:t>
      </w:r>
      <w:r w:rsidR="00154102" w:rsidRPr="005805E3">
        <w:rPr>
          <w:rFonts w:ascii="Traditional Arabic" w:hAnsi="Traditional Arabic" w:hint="cs"/>
          <w:rtl/>
        </w:rPr>
        <w:t xml:space="preserve"> و</w:t>
      </w:r>
      <w:r w:rsidRPr="005805E3">
        <w:rPr>
          <w:rFonts w:ascii="Traditional Arabic" w:hAnsi="Traditional Arabic" w:hint="cs"/>
          <w:rtl/>
        </w:rPr>
        <w:t xml:space="preserve">رسوله فهجرته </w:t>
      </w:r>
      <w:r w:rsidRPr="005805E3">
        <w:rPr>
          <w:rFonts w:ascii="Traditional Arabic" w:hAnsi="Traditional Arabic"/>
          <w:rtl/>
        </w:rPr>
        <w:t>ﺇلى</w:t>
      </w:r>
      <w:r w:rsidRPr="005805E3">
        <w:rPr>
          <w:rFonts w:ascii="Traditional Arabic" w:hAnsi="Traditional Arabic" w:hint="cs"/>
          <w:rtl/>
        </w:rPr>
        <w:t xml:space="preserve"> الله</w:t>
      </w:r>
      <w:r w:rsidR="00154102" w:rsidRPr="005805E3">
        <w:rPr>
          <w:rFonts w:ascii="Traditional Arabic" w:hAnsi="Traditional Arabic" w:hint="cs"/>
          <w:rtl/>
        </w:rPr>
        <w:t xml:space="preserve"> و</w:t>
      </w:r>
      <w:r w:rsidRPr="005805E3">
        <w:rPr>
          <w:rFonts w:ascii="Traditional Arabic" w:hAnsi="Traditional Arabic" w:hint="cs"/>
          <w:rtl/>
        </w:rPr>
        <w:t>رسوله،</w:t>
      </w:r>
      <w:r w:rsidR="00154102" w:rsidRPr="005805E3">
        <w:rPr>
          <w:rFonts w:ascii="Traditional Arabic" w:hAnsi="Traditional Arabic" w:hint="cs"/>
          <w:rtl/>
        </w:rPr>
        <w:t xml:space="preserve"> و</w:t>
      </w:r>
      <w:r w:rsidRPr="005805E3">
        <w:rPr>
          <w:rFonts w:ascii="Traditional Arabic" w:hAnsi="Traditional Arabic" w:hint="cs"/>
          <w:rtl/>
        </w:rPr>
        <w:t>من كانت هجرته</w:t>
      </w:r>
      <w:r w:rsidR="00DD595C" w:rsidRPr="005805E3">
        <w:rPr>
          <w:rFonts w:ascii="Traditional Arabic" w:hAnsi="Traditional Arabic" w:hint="cs"/>
          <w:rtl/>
        </w:rPr>
        <w:t xml:space="preserve"> </w:t>
      </w:r>
      <w:r w:rsidRPr="005805E3">
        <w:rPr>
          <w:rFonts w:ascii="Traditional Arabic" w:hAnsi="Traditional Arabic" w:hint="cs"/>
          <w:rtl/>
        </w:rPr>
        <w:t>لِ</w:t>
      </w:r>
      <w:r w:rsidRPr="005805E3">
        <w:rPr>
          <w:rFonts w:ascii="Traditional Arabic" w:hAnsi="Traditional Arabic"/>
          <w:rtl/>
        </w:rPr>
        <w:t>د</w:t>
      </w:r>
      <w:r w:rsidRPr="005805E3">
        <w:rPr>
          <w:rFonts w:ascii="Traditional Arabic" w:hAnsi="Traditional Arabic" w:hint="cs"/>
          <w:rtl/>
        </w:rPr>
        <w:t>ُ</w:t>
      </w:r>
      <w:r w:rsidRPr="005805E3">
        <w:rPr>
          <w:rFonts w:ascii="Traditional Arabic" w:hAnsi="Traditional Arabic"/>
          <w:rtl/>
        </w:rPr>
        <w:t>ن</w:t>
      </w:r>
      <w:r w:rsidRPr="005805E3">
        <w:rPr>
          <w:rFonts w:ascii="Traditional Arabic" w:hAnsi="Traditional Arabic" w:hint="cs"/>
          <w:rtl/>
        </w:rPr>
        <w:t>ْ</w:t>
      </w:r>
      <w:r w:rsidRPr="005805E3">
        <w:rPr>
          <w:rFonts w:ascii="Traditional Arabic" w:hAnsi="Traditional Arabic"/>
          <w:rtl/>
        </w:rPr>
        <w:t>يا يصيبها</w:t>
      </w:r>
      <w:r w:rsidRPr="005805E3">
        <w:rPr>
          <w:rFonts w:ascii="Traditional Arabic" w:hAnsi="Traditional Arabic" w:hint="cs"/>
          <w:rtl/>
        </w:rPr>
        <w:t>،</w:t>
      </w:r>
      <w:r w:rsidRPr="005805E3">
        <w:rPr>
          <w:rFonts w:ascii="Traditional Arabic" w:hAnsi="Traditional Arabic"/>
          <w:rtl/>
        </w:rPr>
        <w:t xml:space="preserve"> أو امرأة ي</w:t>
      </w:r>
      <w:r w:rsidRPr="005805E3">
        <w:rPr>
          <w:rFonts w:ascii="Traditional Arabic" w:hAnsi="Traditional Arabic" w:hint="cs"/>
          <w:rtl/>
        </w:rPr>
        <w:t>تزوّجها،</w:t>
      </w:r>
      <w:r w:rsidRPr="005805E3">
        <w:rPr>
          <w:rFonts w:ascii="Traditional Arabic" w:hAnsi="Traditional Arabic"/>
          <w:rtl/>
        </w:rPr>
        <w:t xml:space="preserve"> فهجرته إلى ما هاجر إليه</w:t>
      </w:r>
      <w:r w:rsidRPr="005805E3">
        <w:rPr>
          <w:rFonts w:ascii="Traditional Arabic" w:hAnsi="Traditional Arabic" w:hint="cs"/>
          <w:rtl/>
        </w:rPr>
        <w:t>"</w:t>
      </w:r>
      <w:r w:rsidRPr="005805E3">
        <w:rPr>
          <w:rFonts w:ascii="Traditional Arabic" w:hAnsi="Traditional Arabic" w:hint="cs"/>
          <w:szCs w:val="32"/>
          <w:vertAlign w:val="superscript"/>
          <w:rtl/>
        </w:rPr>
        <w:t>(</w:t>
      </w:r>
      <w:r w:rsidRPr="00C85F0F">
        <w:rPr>
          <w:rStyle w:val="af1"/>
          <w:szCs w:val="32"/>
          <w:rtl/>
        </w:rPr>
        <w:footnoteReference w:id="824"/>
      </w:r>
      <w:r w:rsidRPr="005805E3">
        <w:rPr>
          <w:rFonts w:ascii="Traditional Arabic" w:hAnsi="Traditional Arabic" w:hint="cs"/>
          <w:szCs w:val="32"/>
          <w:vertAlign w:val="superscript"/>
          <w:rtl/>
        </w:rPr>
        <w:t>)</w:t>
      </w:r>
      <w:r w:rsidRPr="00C85F0F">
        <w:rPr>
          <w:rFonts w:hint="cs"/>
          <w:rtl/>
        </w:rPr>
        <w:t>.</w:t>
      </w:r>
    </w:p>
    <w:p w:rsidR="00065E4B" w:rsidRPr="00C85F0F" w:rsidRDefault="005E65EA" w:rsidP="000F5C0F">
      <w:pPr>
        <w:pStyle w:val="53"/>
        <w:rPr>
          <w:rtl/>
        </w:rPr>
      </w:pPr>
      <w:r w:rsidRPr="00C85F0F">
        <w:rPr>
          <w:rFonts w:hint="cs"/>
          <w:rtl/>
        </w:rPr>
        <w:t xml:space="preserve">وجه </w:t>
      </w:r>
      <w:r w:rsidRPr="000F5C0F">
        <w:rPr>
          <w:rFonts w:hint="cs"/>
          <w:rtl/>
        </w:rPr>
        <w:t>الدلالة</w:t>
      </w:r>
      <w:r w:rsidRPr="00C85F0F">
        <w:rPr>
          <w:rFonts w:hint="cs"/>
          <w:rtl/>
        </w:rPr>
        <w:t>:</w:t>
      </w:r>
    </w:p>
    <w:p w:rsidR="005805E3" w:rsidRPr="00C85F0F" w:rsidRDefault="00065E4B" w:rsidP="00060462">
      <w:pPr>
        <w:rPr>
          <w:color w:val="auto"/>
          <w:rtl/>
        </w:rPr>
      </w:pPr>
      <w:r w:rsidRPr="00C85F0F">
        <w:rPr>
          <w:rFonts w:hint="cs"/>
          <w:color w:val="auto"/>
          <w:rtl/>
        </w:rPr>
        <w:t>ه</w:t>
      </w:r>
      <w:r w:rsidR="005E65EA" w:rsidRPr="00C85F0F">
        <w:rPr>
          <w:rFonts w:hint="cs"/>
          <w:color w:val="auto"/>
          <w:rtl/>
        </w:rPr>
        <w:t>ذا الحديث دليل على أن جميع الحيل التي يَتوصّل بها الإنسان إلى إسقاطِ واجب أو فعلِ محرَّم، فهي باطلة؛</w:t>
      </w:r>
      <w:r w:rsidR="005805E3">
        <w:rPr>
          <w:rFonts w:hint="cs"/>
          <w:color w:val="auto"/>
          <w:rtl/>
        </w:rPr>
        <w:t xml:space="preserve"> </w:t>
      </w:r>
      <w:r w:rsidR="005E65EA" w:rsidRPr="00C85F0F">
        <w:rPr>
          <w:rFonts w:hint="cs"/>
          <w:color w:val="auto"/>
          <w:rtl/>
        </w:rPr>
        <w:t>لأن العِبْرَة في الأفعال بالمقاصد</w:t>
      </w:r>
      <w:r w:rsidR="005E65EA" w:rsidRPr="00C85F0F">
        <w:rPr>
          <w:rFonts w:hint="cs"/>
          <w:color w:val="auto"/>
          <w:szCs w:val="32"/>
          <w:vertAlign w:val="superscript"/>
          <w:rtl/>
        </w:rPr>
        <w:t>(</w:t>
      </w:r>
      <w:r w:rsidR="005E65EA" w:rsidRPr="00C85F0F">
        <w:rPr>
          <w:rStyle w:val="af1"/>
          <w:color w:val="auto"/>
          <w:szCs w:val="32"/>
          <w:rtl/>
        </w:rPr>
        <w:footnoteReference w:id="825"/>
      </w:r>
      <w:r w:rsidR="005E65EA" w:rsidRPr="00C85F0F">
        <w:rPr>
          <w:rFonts w:hint="cs"/>
          <w:color w:val="auto"/>
          <w:szCs w:val="32"/>
          <w:vertAlign w:val="superscript"/>
          <w:rtl/>
        </w:rPr>
        <w:t>)</w:t>
      </w:r>
      <w:r w:rsidR="005E65EA" w:rsidRPr="00C85F0F">
        <w:rPr>
          <w:rFonts w:hint="cs"/>
          <w:color w:val="auto"/>
          <w:rtl/>
        </w:rPr>
        <w:t>.</w:t>
      </w:r>
    </w:p>
    <w:p w:rsidR="005E65EA" w:rsidRPr="005805E3" w:rsidRDefault="005E65EA" w:rsidP="000A76C7">
      <w:pPr>
        <w:pStyle w:val="afc"/>
        <w:widowControl/>
        <w:numPr>
          <w:ilvl w:val="0"/>
          <w:numId w:val="331"/>
        </w:numPr>
        <w:autoSpaceDE w:val="0"/>
        <w:autoSpaceDN w:val="0"/>
        <w:adjustRightInd w:val="0"/>
        <w:rPr>
          <w:color w:val="auto"/>
        </w:rPr>
      </w:pPr>
      <w:r w:rsidRPr="005805E3">
        <w:rPr>
          <w:rFonts w:hint="cs"/>
          <w:color w:val="auto"/>
          <w:rtl/>
        </w:rPr>
        <w:t xml:space="preserve">عن </w:t>
      </w:r>
      <w:r w:rsidRPr="005805E3">
        <w:rPr>
          <w:color w:val="auto"/>
          <w:rtl/>
        </w:rPr>
        <w:t>ابن ع</w:t>
      </w:r>
      <w:r w:rsidRPr="005805E3">
        <w:rPr>
          <w:rFonts w:hint="cs"/>
          <w:color w:val="auto"/>
          <w:rtl/>
        </w:rPr>
        <w:t>ب</w:t>
      </w:r>
      <w:r w:rsidRPr="005805E3">
        <w:rPr>
          <w:color w:val="auto"/>
          <w:rtl/>
        </w:rPr>
        <w:t xml:space="preserve">اس </w:t>
      </w:r>
      <w:r w:rsidR="00EF1161">
        <w:rPr>
          <w:rFonts w:hint="cs"/>
          <w:color w:val="auto"/>
          <w:rtl/>
        </w:rPr>
        <w:t>_</w:t>
      </w:r>
      <w:r w:rsidR="005805E3" w:rsidRPr="005805E3">
        <w:rPr>
          <w:rFonts w:hint="cs"/>
          <w:color w:val="auto"/>
          <w:rtl/>
        </w:rPr>
        <w:t>رضي الله عنهما</w:t>
      </w:r>
      <w:r w:rsidR="00EF1161">
        <w:rPr>
          <w:rFonts w:hint="cs"/>
          <w:color w:val="auto"/>
          <w:rtl/>
        </w:rPr>
        <w:t>_</w:t>
      </w:r>
      <w:r w:rsidR="005805E3" w:rsidRPr="005805E3">
        <w:rPr>
          <w:rFonts w:hint="cs"/>
          <w:color w:val="auto"/>
          <w:rtl/>
        </w:rPr>
        <w:t xml:space="preserve"> </w:t>
      </w:r>
      <w:r w:rsidRPr="005805E3">
        <w:rPr>
          <w:rFonts w:hint="cs"/>
          <w:color w:val="auto"/>
          <w:rtl/>
        </w:rPr>
        <w:t>قال:</w:t>
      </w:r>
      <w:r w:rsidRPr="005805E3">
        <w:rPr>
          <w:color w:val="auto"/>
          <w:rtl/>
        </w:rPr>
        <w:t xml:space="preserve"> بلغ</w:t>
      </w:r>
      <w:r w:rsidRPr="005805E3">
        <w:rPr>
          <w:rFonts w:hint="cs"/>
          <w:color w:val="auto"/>
          <w:rtl/>
        </w:rPr>
        <w:t>َ</w:t>
      </w:r>
      <w:r w:rsidRPr="005805E3">
        <w:rPr>
          <w:color w:val="auto"/>
          <w:rtl/>
        </w:rPr>
        <w:t xml:space="preserve"> ع</w:t>
      </w:r>
      <w:r w:rsidRPr="005805E3">
        <w:rPr>
          <w:rFonts w:hint="cs"/>
          <w:color w:val="auto"/>
          <w:rtl/>
        </w:rPr>
        <w:t>م</w:t>
      </w:r>
      <w:r w:rsidRPr="005805E3">
        <w:rPr>
          <w:color w:val="auto"/>
          <w:rtl/>
        </w:rPr>
        <w:t>رَ بن الْخط</w:t>
      </w:r>
      <w:r w:rsidRPr="005805E3">
        <w:rPr>
          <w:rFonts w:hint="cs"/>
          <w:color w:val="auto"/>
          <w:rtl/>
        </w:rPr>
        <w:t>ا</w:t>
      </w:r>
      <w:r w:rsidRPr="005805E3">
        <w:rPr>
          <w:color w:val="auto"/>
          <w:rtl/>
        </w:rPr>
        <w:t>ب أ</w:t>
      </w:r>
      <w:r w:rsidRPr="005805E3">
        <w:rPr>
          <w:rFonts w:hint="cs"/>
          <w:color w:val="auto"/>
          <w:rtl/>
        </w:rPr>
        <w:t>ن</w:t>
      </w:r>
      <w:r w:rsidRPr="005805E3">
        <w:rPr>
          <w:color w:val="auto"/>
          <w:rtl/>
        </w:rPr>
        <w:t xml:space="preserve"> فلان</w:t>
      </w:r>
      <w:r w:rsidRPr="005805E3">
        <w:rPr>
          <w:rFonts w:hint="cs"/>
          <w:color w:val="auto"/>
          <w:rtl/>
        </w:rPr>
        <w:t>ً</w:t>
      </w:r>
      <w:r w:rsidRPr="005805E3">
        <w:rPr>
          <w:color w:val="auto"/>
          <w:rtl/>
        </w:rPr>
        <w:t>ا باع خمر</w:t>
      </w:r>
      <w:r w:rsidRPr="005805E3">
        <w:rPr>
          <w:rFonts w:hint="cs"/>
          <w:color w:val="auto"/>
          <w:rtl/>
        </w:rPr>
        <w:t>ً</w:t>
      </w:r>
      <w:r w:rsidRPr="005805E3">
        <w:rPr>
          <w:color w:val="auto"/>
          <w:rtl/>
        </w:rPr>
        <w:t>ا</w:t>
      </w:r>
      <w:r w:rsidRPr="005805E3">
        <w:rPr>
          <w:rFonts w:hint="cs"/>
          <w:color w:val="auto"/>
          <w:rtl/>
        </w:rPr>
        <w:t>،</w:t>
      </w:r>
      <w:r w:rsidRPr="005805E3">
        <w:rPr>
          <w:color w:val="auto"/>
          <w:rtl/>
        </w:rPr>
        <w:t xml:space="preserve"> فقا</w:t>
      </w:r>
      <w:r w:rsidRPr="005805E3">
        <w:rPr>
          <w:rFonts w:hint="cs"/>
          <w:color w:val="auto"/>
          <w:rtl/>
        </w:rPr>
        <w:t>ل:</w:t>
      </w:r>
      <w:r w:rsidRPr="005805E3">
        <w:rPr>
          <w:color w:val="auto"/>
          <w:rtl/>
        </w:rPr>
        <w:t xml:space="preserve"> قات</w:t>
      </w:r>
      <w:r w:rsidRPr="005805E3">
        <w:rPr>
          <w:rFonts w:hint="cs"/>
          <w:color w:val="auto"/>
          <w:rtl/>
        </w:rPr>
        <w:t>َ</w:t>
      </w:r>
      <w:r w:rsidRPr="005805E3">
        <w:rPr>
          <w:color w:val="auto"/>
          <w:rtl/>
        </w:rPr>
        <w:t>ل اللهُ فلانًا</w:t>
      </w:r>
      <w:r w:rsidRPr="005805E3">
        <w:rPr>
          <w:rFonts w:hint="cs"/>
          <w:color w:val="auto"/>
          <w:rtl/>
        </w:rPr>
        <w:t>،</w:t>
      </w:r>
      <w:r w:rsidRPr="005805E3">
        <w:rPr>
          <w:color w:val="auto"/>
          <w:rtl/>
        </w:rPr>
        <w:t xml:space="preserve"> أ</w:t>
      </w:r>
      <w:r w:rsidRPr="005805E3">
        <w:rPr>
          <w:rFonts w:hint="cs"/>
          <w:color w:val="auto"/>
          <w:rtl/>
        </w:rPr>
        <w:t>َ</w:t>
      </w:r>
      <w:r w:rsidRPr="005805E3">
        <w:rPr>
          <w:color w:val="auto"/>
          <w:rtl/>
        </w:rPr>
        <w:t>ل</w:t>
      </w:r>
      <w:r w:rsidRPr="005805E3">
        <w:rPr>
          <w:rFonts w:hint="cs"/>
          <w:color w:val="auto"/>
          <w:rtl/>
        </w:rPr>
        <w:t>َ</w:t>
      </w:r>
      <w:r w:rsidRPr="005805E3">
        <w:rPr>
          <w:color w:val="auto"/>
          <w:rtl/>
        </w:rPr>
        <w:t>م</w:t>
      </w:r>
      <w:r w:rsidRPr="005805E3">
        <w:rPr>
          <w:rFonts w:hint="cs"/>
          <w:color w:val="auto"/>
          <w:rtl/>
        </w:rPr>
        <w:t>ْ</w:t>
      </w:r>
      <w:r w:rsidRPr="005805E3">
        <w:rPr>
          <w:color w:val="auto"/>
          <w:rtl/>
        </w:rPr>
        <w:t xml:space="preserve"> يعلم أ</w:t>
      </w:r>
      <w:r w:rsidRPr="005805E3">
        <w:rPr>
          <w:rFonts w:hint="cs"/>
          <w:color w:val="auto"/>
          <w:rtl/>
        </w:rPr>
        <w:t>ن</w:t>
      </w:r>
      <w:r w:rsidR="00DD595C" w:rsidRPr="005805E3">
        <w:rPr>
          <w:rFonts w:hint="cs"/>
          <w:color w:val="auto"/>
          <w:rtl/>
        </w:rPr>
        <w:t xml:space="preserve"> </w:t>
      </w:r>
      <w:r w:rsidRPr="005805E3">
        <w:rPr>
          <w:rFonts w:hint="cs"/>
          <w:color w:val="auto"/>
          <w:rtl/>
        </w:rPr>
        <w:t>ر</w:t>
      </w:r>
      <w:r w:rsidR="00DD595C" w:rsidRPr="005805E3">
        <w:rPr>
          <w:color w:val="auto"/>
          <w:rtl/>
        </w:rPr>
        <w:t xml:space="preserve">سول الله </w:t>
      </w:r>
      <w:r w:rsidR="00DD595C" w:rsidRPr="005805E3">
        <w:rPr>
          <w:rFonts w:hint="cs"/>
          <w:color w:val="auto"/>
          <w:rtl/>
        </w:rPr>
        <w:t>صلى الله عليه وسلم</w:t>
      </w:r>
      <w:r w:rsidRPr="005805E3">
        <w:rPr>
          <w:color w:val="auto"/>
          <w:rtl/>
        </w:rPr>
        <w:t xml:space="preserve"> قال</w:t>
      </w:r>
      <w:r w:rsidRPr="005805E3">
        <w:rPr>
          <w:rFonts w:hint="cs"/>
          <w:color w:val="auto"/>
          <w:rtl/>
        </w:rPr>
        <w:t>:"</w:t>
      </w:r>
      <w:r w:rsidRPr="005805E3">
        <w:rPr>
          <w:color w:val="auto"/>
          <w:rtl/>
        </w:rPr>
        <w:t xml:space="preserve"> قاتَل الله</w:t>
      </w:r>
      <w:r w:rsidRPr="005805E3">
        <w:rPr>
          <w:rFonts w:hint="cs"/>
          <w:color w:val="auto"/>
          <w:rtl/>
        </w:rPr>
        <w:t>ُ</w:t>
      </w:r>
      <w:r w:rsidRPr="005805E3">
        <w:rPr>
          <w:color w:val="auto"/>
          <w:rtl/>
        </w:rPr>
        <w:t xml:space="preserve"> اليهود</w:t>
      </w:r>
      <w:r w:rsidRPr="005805E3">
        <w:rPr>
          <w:rFonts w:hint="cs"/>
          <w:color w:val="auto"/>
          <w:rtl/>
        </w:rPr>
        <w:t>َ</w:t>
      </w:r>
      <w:r w:rsidRPr="005805E3">
        <w:rPr>
          <w:color w:val="auto"/>
          <w:rtl/>
        </w:rPr>
        <w:t xml:space="preserve"> حُرِّمَتْ ع</w:t>
      </w:r>
      <w:r w:rsidRPr="005805E3">
        <w:rPr>
          <w:rFonts w:hint="cs"/>
          <w:color w:val="auto"/>
          <w:rtl/>
        </w:rPr>
        <w:t>ل</w:t>
      </w:r>
      <w:r w:rsidRPr="005805E3">
        <w:rPr>
          <w:color w:val="auto"/>
          <w:rtl/>
        </w:rPr>
        <w:t>يهم الشحوم</w:t>
      </w:r>
      <w:r w:rsidRPr="005805E3">
        <w:rPr>
          <w:rFonts w:hint="cs"/>
          <w:color w:val="auto"/>
          <w:rtl/>
        </w:rPr>
        <w:t>،</w:t>
      </w:r>
      <w:r w:rsidRPr="005805E3">
        <w:rPr>
          <w:color w:val="auto"/>
          <w:rtl/>
        </w:rPr>
        <w:t xml:space="preserve"> ف</w:t>
      </w:r>
      <w:r w:rsidRPr="005805E3">
        <w:rPr>
          <w:rFonts w:hint="cs"/>
          <w:color w:val="auto"/>
          <w:rtl/>
        </w:rPr>
        <w:t>َ</w:t>
      </w:r>
      <w:r w:rsidRPr="005805E3">
        <w:rPr>
          <w:color w:val="auto"/>
          <w:rtl/>
        </w:rPr>
        <w:t>ج</w:t>
      </w:r>
      <w:r w:rsidRPr="005805E3">
        <w:rPr>
          <w:rFonts w:hint="cs"/>
          <w:color w:val="auto"/>
          <w:rtl/>
        </w:rPr>
        <w:t>َ</w:t>
      </w:r>
      <w:r w:rsidRPr="005805E3">
        <w:rPr>
          <w:color w:val="auto"/>
          <w:rtl/>
        </w:rPr>
        <w:t>م</w:t>
      </w:r>
      <w:r w:rsidRPr="005805E3">
        <w:rPr>
          <w:rFonts w:hint="cs"/>
          <w:color w:val="auto"/>
          <w:rtl/>
        </w:rPr>
        <w:t>َ</w:t>
      </w:r>
      <w:r w:rsidRPr="005805E3">
        <w:rPr>
          <w:color w:val="auto"/>
          <w:rtl/>
        </w:rPr>
        <w:t>لوها</w:t>
      </w:r>
      <w:r w:rsidR="00DD595C" w:rsidRPr="005805E3">
        <w:rPr>
          <w:rFonts w:hint="cs"/>
          <w:color w:val="auto"/>
          <w:szCs w:val="32"/>
          <w:vertAlign w:val="superscript"/>
          <w:rtl/>
        </w:rPr>
        <w:t xml:space="preserve"> </w:t>
      </w:r>
      <w:r w:rsidRPr="005805E3">
        <w:rPr>
          <w:color w:val="auto"/>
          <w:rtl/>
        </w:rPr>
        <w:t>فباعوها</w:t>
      </w:r>
      <w:r w:rsidRPr="005805E3">
        <w:rPr>
          <w:rFonts w:hint="cs"/>
          <w:color w:val="auto"/>
          <w:rtl/>
        </w:rPr>
        <w:t>"</w:t>
      </w:r>
      <w:r w:rsidRPr="005805E3">
        <w:rPr>
          <w:rFonts w:hint="cs"/>
          <w:color w:val="auto"/>
          <w:szCs w:val="32"/>
          <w:vertAlign w:val="superscript"/>
          <w:rtl/>
        </w:rPr>
        <w:t>(</w:t>
      </w:r>
      <w:r w:rsidRPr="00C85F0F">
        <w:rPr>
          <w:rStyle w:val="af1"/>
          <w:color w:val="auto"/>
          <w:szCs w:val="32"/>
          <w:rtl/>
        </w:rPr>
        <w:footnoteReference w:id="826"/>
      </w:r>
      <w:r w:rsidRPr="005805E3">
        <w:rPr>
          <w:rFonts w:hint="cs"/>
          <w:color w:val="auto"/>
          <w:szCs w:val="32"/>
          <w:vertAlign w:val="superscript"/>
          <w:rtl/>
        </w:rPr>
        <w:t>)</w:t>
      </w:r>
      <w:r w:rsidRPr="005805E3">
        <w:rPr>
          <w:rFonts w:hint="cs"/>
          <w:color w:val="auto"/>
          <w:rtl/>
        </w:rPr>
        <w:t>.</w:t>
      </w:r>
    </w:p>
    <w:p w:rsidR="005E65EA" w:rsidRPr="00C85F0F" w:rsidRDefault="005E65EA" w:rsidP="000F5C0F">
      <w:pPr>
        <w:pStyle w:val="53"/>
        <w:rPr>
          <w:rtl/>
        </w:rPr>
      </w:pPr>
      <w:r w:rsidRPr="00C85F0F">
        <w:rPr>
          <w:rFonts w:hint="cs"/>
          <w:rtl/>
        </w:rPr>
        <w:t xml:space="preserve">وجه </w:t>
      </w:r>
      <w:r w:rsidRPr="000F5C0F">
        <w:rPr>
          <w:rFonts w:hint="cs"/>
          <w:rtl/>
        </w:rPr>
        <w:t>الدلالة</w:t>
      </w:r>
      <w:r w:rsidRPr="00C85F0F">
        <w:rPr>
          <w:rFonts w:hint="cs"/>
          <w:rtl/>
        </w:rPr>
        <w:t>:</w:t>
      </w:r>
    </w:p>
    <w:p w:rsidR="00065E4B" w:rsidRPr="00C85F0F" w:rsidRDefault="005E65EA" w:rsidP="00597C20">
      <w:pPr>
        <w:widowControl/>
        <w:autoSpaceDE w:val="0"/>
        <w:autoSpaceDN w:val="0"/>
        <w:adjustRightInd w:val="0"/>
        <w:ind w:firstLine="720"/>
        <w:jc w:val="left"/>
        <w:rPr>
          <w:color w:val="auto"/>
        </w:rPr>
      </w:pPr>
      <w:r w:rsidRPr="00C85F0F">
        <w:rPr>
          <w:rFonts w:hint="cs"/>
          <w:color w:val="auto"/>
          <w:rtl/>
        </w:rPr>
        <w:t xml:space="preserve">ذكر الشيخ ابن عثيمين </w:t>
      </w:r>
      <w:r w:rsidR="00DD595C">
        <w:rPr>
          <w:rFonts w:hint="cs"/>
          <w:color w:val="auto"/>
          <w:rtl/>
        </w:rPr>
        <w:t>_</w:t>
      </w:r>
      <w:r w:rsidRPr="005D5694">
        <w:rPr>
          <w:rFonts w:cs="CTraditional Arabic" w:hint="cs"/>
          <w:color w:val="auto"/>
          <w:rtl/>
        </w:rPr>
        <w:t>/</w:t>
      </w:r>
      <w:r w:rsidR="00DD595C">
        <w:rPr>
          <w:rFonts w:hint="cs"/>
          <w:color w:val="auto"/>
          <w:rtl/>
        </w:rPr>
        <w:t>_</w:t>
      </w:r>
      <w:r w:rsidRPr="00C85F0F">
        <w:rPr>
          <w:rFonts w:hint="cs"/>
          <w:color w:val="auto"/>
          <w:rtl/>
        </w:rPr>
        <w:t xml:space="preserve"> من فوائد الحديث أنّ مَن تحيَّل على محارِم الله من هذه الأمة ففيه شَبَهٌ من اليهود، فيكون التحيّل حرامًا، لأنه تحيّلٌ على المعصية</w:t>
      </w:r>
      <w:r w:rsidRPr="00C85F0F">
        <w:rPr>
          <w:rFonts w:hint="cs"/>
          <w:color w:val="auto"/>
          <w:szCs w:val="32"/>
          <w:vertAlign w:val="superscript"/>
          <w:rtl/>
        </w:rPr>
        <w:t>(</w:t>
      </w:r>
      <w:r w:rsidRPr="00C85F0F">
        <w:rPr>
          <w:rStyle w:val="af1"/>
          <w:color w:val="auto"/>
          <w:szCs w:val="32"/>
          <w:rtl/>
        </w:rPr>
        <w:footnoteReference w:id="827"/>
      </w:r>
      <w:r w:rsidRPr="00C85F0F">
        <w:rPr>
          <w:rFonts w:hint="cs"/>
          <w:color w:val="auto"/>
          <w:szCs w:val="32"/>
          <w:vertAlign w:val="superscript"/>
          <w:rtl/>
        </w:rPr>
        <w:t>)</w:t>
      </w:r>
      <w:r w:rsidRPr="00C85F0F">
        <w:rPr>
          <w:rFonts w:hint="cs"/>
          <w:color w:val="auto"/>
          <w:rtl/>
        </w:rPr>
        <w:t>.</w:t>
      </w:r>
    </w:p>
    <w:p w:rsidR="005E65EA" w:rsidRPr="000F5C0F" w:rsidRDefault="00065E4B" w:rsidP="000A76C7">
      <w:pPr>
        <w:pStyle w:val="53"/>
        <w:numPr>
          <w:ilvl w:val="0"/>
          <w:numId w:val="331"/>
        </w:numPr>
        <w:rPr>
          <w:b w:val="0"/>
        </w:rPr>
      </w:pPr>
      <w:r w:rsidRPr="000F5C0F">
        <w:rPr>
          <w:rFonts w:hint="cs"/>
          <w:b w:val="0"/>
          <w:rtl/>
        </w:rPr>
        <w:lastRenderedPageBreak/>
        <w:t>ا</w:t>
      </w:r>
      <w:r w:rsidR="005E65EA" w:rsidRPr="000F5C0F">
        <w:rPr>
          <w:rFonts w:hint="cs"/>
          <w:b w:val="0"/>
          <w:rtl/>
        </w:rPr>
        <w:t>لإجماع:</w:t>
      </w:r>
    </w:p>
    <w:p w:rsidR="005E65EA" w:rsidRPr="00C85F0F" w:rsidRDefault="005E65EA" w:rsidP="00597C20">
      <w:pPr>
        <w:widowControl/>
        <w:autoSpaceDE w:val="0"/>
        <w:autoSpaceDN w:val="0"/>
        <w:adjustRightInd w:val="0"/>
        <w:ind w:firstLine="720"/>
        <w:jc w:val="left"/>
        <w:rPr>
          <w:color w:val="auto"/>
          <w:rtl/>
        </w:rPr>
      </w:pPr>
      <w:r w:rsidRPr="00C85F0F">
        <w:rPr>
          <w:rFonts w:hint="cs"/>
          <w:color w:val="auto"/>
          <w:rtl/>
        </w:rPr>
        <w:t xml:space="preserve">أجمع أصحاب رسول الله </w:t>
      </w:r>
      <w:r w:rsidR="00F350DE" w:rsidRPr="00C85F0F">
        <w:rPr>
          <w:rFonts w:ascii="Traditional Arabic" w:hAnsi="Traditional Arabic"/>
          <w:noProof w:val="0"/>
          <w:rtl/>
          <w:lang w:eastAsia="en-US"/>
        </w:rPr>
        <w:sym w:font="AGA Arabesque" w:char="F072"/>
      </w:r>
      <w:r w:rsidRPr="00C85F0F">
        <w:rPr>
          <w:rFonts w:hint="cs"/>
          <w:color w:val="auto"/>
          <w:rtl/>
        </w:rPr>
        <w:t xml:space="preserve"> على تحريم هذه الحيل</w:t>
      </w:r>
      <w:r w:rsidRPr="00C85F0F">
        <w:rPr>
          <w:rFonts w:hint="cs"/>
          <w:color w:val="auto"/>
          <w:szCs w:val="32"/>
          <w:vertAlign w:val="superscript"/>
          <w:rtl/>
        </w:rPr>
        <w:t>(</w:t>
      </w:r>
      <w:r w:rsidRPr="00C85F0F">
        <w:rPr>
          <w:rStyle w:val="af1"/>
          <w:color w:val="auto"/>
          <w:szCs w:val="32"/>
          <w:rtl/>
        </w:rPr>
        <w:footnoteReference w:id="828"/>
      </w:r>
      <w:r w:rsidRPr="00C85F0F">
        <w:rPr>
          <w:rFonts w:hint="cs"/>
          <w:color w:val="auto"/>
          <w:szCs w:val="32"/>
          <w:vertAlign w:val="superscript"/>
          <w:rtl/>
        </w:rPr>
        <w:t>)</w:t>
      </w:r>
      <w:r w:rsidRPr="00C85F0F">
        <w:rPr>
          <w:rFonts w:hint="cs"/>
          <w:color w:val="auto"/>
          <w:rtl/>
        </w:rPr>
        <w:t>،وإبطالها</w:t>
      </w:r>
      <w:r w:rsidRPr="00C85F0F">
        <w:rPr>
          <w:rFonts w:hint="cs"/>
          <w:color w:val="auto"/>
          <w:szCs w:val="32"/>
          <w:vertAlign w:val="superscript"/>
          <w:rtl/>
        </w:rPr>
        <w:t>(</w:t>
      </w:r>
      <w:r w:rsidRPr="00C85F0F">
        <w:rPr>
          <w:rStyle w:val="af1"/>
          <w:color w:val="auto"/>
          <w:szCs w:val="32"/>
          <w:rtl/>
        </w:rPr>
        <w:footnoteReference w:id="829"/>
      </w:r>
      <w:r w:rsidRPr="00C85F0F">
        <w:rPr>
          <w:rFonts w:hint="cs"/>
          <w:color w:val="auto"/>
          <w:szCs w:val="32"/>
          <w:vertAlign w:val="superscript"/>
          <w:rtl/>
        </w:rPr>
        <w:t>)</w:t>
      </w:r>
      <w:r w:rsidRPr="00C85F0F">
        <w:rPr>
          <w:rFonts w:hint="cs"/>
          <w:color w:val="auto"/>
          <w:rtl/>
        </w:rPr>
        <w:t>.</w:t>
      </w:r>
    </w:p>
    <w:p w:rsidR="005E65EA" w:rsidRPr="000F5C0F" w:rsidRDefault="005E65EA" w:rsidP="000A76C7">
      <w:pPr>
        <w:pStyle w:val="53"/>
        <w:numPr>
          <w:ilvl w:val="0"/>
          <w:numId w:val="331"/>
        </w:numPr>
        <w:rPr>
          <w:b w:val="0"/>
          <w:rtl/>
        </w:rPr>
      </w:pPr>
      <w:r w:rsidRPr="000F5C0F">
        <w:rPr>
          <w:rFonts w:hint="cs"/>
          <w:b w:val="0"/>
          <w:rtl/>
        </w:rPr>
        <w:t>من المعقول:</w:t>
      </w:r>
    </w:p>
    <w:p w:rsidR="00F228A9" w:rsidRPr="00C85F0F" w:rsidRDefault="005E65EA" w:rsidP="00597C20">
      <w:pPr>
        <w:widowControl/>
        <w:autoSpaceDE w:val="0"/>
        <w:autoSpaceDN w:val="0"/>
        <w:adjustRightInd w:val="0"/>
        <w:ind w:firstLine="720"/>
        <w:jc w:val="left"/>
        <w:rPr>
          <w:color w:val="auto"/>
          <w:rtl/>
        </w:rPr>
      </w:pPr>
      <w:r w:rsidRPr="00C85F0F">
        <w:rPr>
          <w:rFonts w:hint="cs"/>
          <w:color w:val="auto"/>
          <w:rtl/>
        </w:rPr>
        <w:t>إذا كانت</w:t>
      </w:r>
      <w:r w:rsidRPr="00C85F0F">
        <w:rPr>
          <w:color w:val="auto"/>
          <w:rtl/>
        </w:rPr>
        <w:t xml:space="preserve"> ال</w:t>
      </w:r>
      <w:r w:rsidRPr="00C85F0F">
        <w:rPr>
          <w:rFonts w:hint="cs"/>
          <w:color w:val="auto"/>
          <w:rtl/>
        </w:rPr>
        <w:t>ْ</w:t>
      </w:r>
      <w:r w:rsidRPr="00C85F0F">
        <w:rPr>
          <w:color w:val="auto"/>
          <w:rtl/>
        </w:rPr>
        <w:t>م</w:t>
      </w:r>
      <w:r w:rsidRPr="00C85F0F">
        <w:rPr>
          <w:rFonts w:hint="cs"/>
          <w:color w:val="auto"/>
          <w:rtl/>
        </w:rPr>
        <w:t>ُ</w:t>
      </w:r>
      <w:r w:rsidRPr="00C85F0F">
        <w:rPr>
          <w:color w:val="auto"/>
          <w:rtl/>
        </w:rPr>
        <w:t>خاد</w:t>
      </w:r>
      <w:r w:rsidRPr="00C85F0F">
        <w:rPr>
          <w:rFonts w:hint="cs"/>
          <w:color w:val="auto"/>
          <w:rtl/>
        </w:rPr>
        <w:t>َ</w:t>
      </w:r>
      <w:r w:rsidRPr="00C85F0F">
        <w:rPr>
          <w:color w:val="auto"/>
          <w:rtl/>
        </w:rPr>
        <w:t>عة لله أعظ</w:t>
      </w:r>
      <w:r w:rsidRPr="00C85F0F">
        <w:rPr>
          <w:rFonts w:hint="cs"/>
          <w:color w:val="auto"/>
          <w:rtl/>
        </w:rPr>
        <w:t>َ</w:t>
      </w:r>
      <w:r w:rsidRPr="00C85F0F">
        <w:rPr>
          <w:color w:val="auto"/>
          <w:rtl/>
        </w:rPr>
        <w:t>م</w:t>
      </w:r>
      <w:r w:rsidRPr="00C85F0F">
        <w:rPr>
          <w:rFonts w:hint="cs"/>
          <w:color w:val="auto"/>
          <w:rtl/>
        </w:rPr>
        <w:t>َ</w:t>
      </w:r>
      <w:r w:rsidRPr="00C85F0F">
        <w:rPr>
          <w:color w:val="auto"/>
          <w:rtl/>
        </w:rPr>
        <w:t xml:space="preserve"> من ال</w:t>
      </w:r>
      <w:r w:rsidRPr="00C85F0F">
        <w:rPr>
          <w:rFonts w:hint="cs"/>
          <w:color w:val="auto"/>
          <w:rtl/>
        </w:rPr>
        <w:t>ْ</w:t>
      </w:r>
      <w:r w:rsidRPr="00C85F0F">
        <w:rPr>
          <w:color w:val="auto"/>
          <w:rtl/>
        </w:rPr>
        <w:t>م</w:t>
      </w:r>
      <w:r w:rsidRPr="00C85F0F">
        <w:rPr>
          <w:rFonts w:hint="cs"/>
          <w:color w:val="auto"/>
          <w:rtl/>
        </w:rPr>
        <w:t>ُ</w:t>
      </w:r>
      <w:r w:rsidRPr="00C85F0F">
        <w:rPr>
          <w:color w:val="auto"/>
          <w:rtl/>
        </w:rPr>
        <w:t>خال</w:t>
      </w:r>
      <w:r w:rsidRPr="00C85F0F">
        <w:rPr>
          <w:rFonts w:hint="cs"/>
          <w:color w:val="auto"/>
          <w:rtl/>
        </w:rPr>
        <w:t>َ</w:t>
      </w:r>
      <w:r w:rsidRPr="00C85F0F">
        <w:rPr>
          <w:color w:val="auto"/>
          <w:rtl/>
        </w:rPr>
        <w:t>فة الصريحة؛ لأن المخاد</w:t>
      </w:r>
      <w:r w:rsidRPr="00C85F0F">
        <w:rPr>
          <w:rFonts w:hint="cs"/>
          <w:color w:val="auto"/>
          <w:rtl/>
        </w:rPr>
        <w:t>َ</w:t>
      </w:r>
      <w:r w:rsidRPr="00C85F0F">
        <w:rPr>
          <w:color w:val="auto"/>
          <w:rtl/>
        </w:rPr>
        <w:t>عة فيها</w:t>
      </w:r>
      <w:r w:rsidR="003D7ADB">
        <w:rPr>
          <w:rFonts w:hint="cs"/>
          <w:color w:val="auto"/>
          <w:rtl/>
        </w:rPr>
        <w:t xml:space="preserve"> </w:t>
      </w:r>
      <w:r w:rsidRPr="00C85F0F">
        <w:rPr>
          <w:color w:val="auto"/>
          <w:rtl/>
        </w:rPr>
        <w:t>نوع</w:t>
      </w:r>
      <w:r w:rsidRPr="00C85F0F">
        <w:rPr>
          <w:rFonts w:hint="cs"/>
          <w:color w:val="auto"/>
          <w:rtl/>
        </w:rPr>
        <w:t>ٌ</w:t>
      </w:r>
      <w:r w:rsidRPr="00C85F0F">
        <w:rPr>
          <w:color w:val="auto"/>
          <w:rtl/>
        </w:rPr>
        <w:t xml:space="preserve"> من التلاع</w:t>
      </w:r>
      <w:r w:rsidRPr="00C85F0F">
        <w:rPr>
          <w:rFonts w:hint="cs"/>
          <w:color w:val="auto"/>
          <w:rtl/>
        </w:rPr>
        <w:t>ُ</w:t>
      </w:r>
      <w:r w:rsidR="003D7ADB">
        <w:rPr>
          <w:color w:val="auto"/>
          <w:rtl/>
        </w:rPr>
        <w:t>ب بأحكام الله</w:t>
      </w:r>
      <w:r w:rsidR="003D7ADB">
        <w:rPr>
          <w:rFonts w:hint="cs"/>
          <w:color w:val="auto"/>
          <w:rtl/>
        </w:rPr>
        <w:t xml:space="preserve"> _</w:t>
      </w:r>
      <w:r w:rsidRPr="00C85F0F">
        <w:rPr>
          <w:color w:val="auto"/>
          <w:rtl/>
        </w:rPr>
        <w:t xml:space="preserve"> </w:t>
      </w:r>
      <w:r w:rsidR="00866D6A" w:rsidRPr="00C85F0F">
        <w:rPr>
          <w:rFonts w:ascii="Traditional Arabic" w:hAnsi="Traditional Arabic" w:hint="cs"/>
          <w:noProof w:val="0"/>
          <w:rtl/>
          <w:lang w:eastAsia="en-US"/>
        </w:rPr>
        <w:sym w:font="AGA Arabesque" w:char="F055"/>
      </w:r>
      <w:r w:rsidR="003D7ADB">
        <w:rPr>
          <w:rFonts w:hint="cs"/>
          <w:color w:val="auto"/>
          <w:rtl/>
        </w:rPr>
        <w:t>_</w:t>
      </w:r>
      <w:r w:rsidRPr="00C85F0F">
        <w:rPr>
          <w:rFonts w:hint="cs"/>
          <w:color w:val="auto"/>
          <w:rtl/>
        </w:rPr>
        <w:t>،</w:t>
      </w:r>
      <w:r w:rsidR="00154102" w:rsidRPr="00C85F0F">
        <w:rPr>
          <w:color w:val="auto"/>
          <w:rtl/>
        </w:rPr>
        <w:t xml:space="preserve"> و</w:t>
      </w:r>
      <w:r w:rsidRPr="00C85F0F">
        <w:rPr>
          <w:rFonts w:hint="cs"/>
          <w:color w:val="auto"/>
          <w:rtl/>
        </w:rPr>
        <w:t>كان اتخاذ ا</w:t>
      </w:r>
      <w:r w:rsidR="003106CB">
        <w:rPr>
          <w:rFonts w:hint="cs"/>
          <w:color w:val="auto"/>
          <w:rtl/>
        </w:rPr>
        <w:t>لحيل من المخادَعة لله تعالى، دل</w:t>
      </w:r>
      <w:r w:rsidRPr="00C85F0F">
        <w:rPr>
          <w:rFonts w:hint="cs"/>
          <w:color w:val="auto"/>
          <w:rtl/>
        </w:rPr>
        <w:t xml:space="preserve"> ذلك</w:t>
      </w:r>
      <w:r w:rsidR="00B43595">
        <w:rPr>
          <w:rFonts w:hint="cs"/>
          <w:color w:val="auto"/>
          <w:rtl/>
        </w:rPr>
        <w:t xml:space="preserve"> على تحريم </w:t>
      </w:r>
      <w:r w:rsidRPr="00C85F0F">
        <w:rPr>
          <w:rFonts w:hint="cs"/>
          <w:color w:val="auto"/>
          <w:rtl/>
        </w:rPr>
        <w:t>الحيل</w:t>
      </w:r>
      <w:r w:rsidRPr="00C85F0F">
        <w:rPr>
          <w:rFonts w:hint="cs"/>
          <w:color w:val="auto"/>
          <w:szCs w:val="32"/>
          <w:vertAlign w:val="superscript"/>
          <w:rtl/>
        </w:rPr>
        <w:t>(</w:t>
      </w:r>
      <w:r w:rsidRPr="00C85F0F">
        <w:rPr>
          <w:rStyle w:val="af1"/>
          <w:color w:val="auto"/>
          <w:szCs w:val="32"/>
          <w:rtl/>
        </w:rPr>
        <w:footnoteReference w:id="830"/>
      </w:r>
      <w:r w:rsidRPr="00C85F0F">
        <w:rPr>
          <w:rFonts w:hint="cs"/>
          <w:color w:val="auto"/>
          <w:szCs w:val="32"/>
          <w:vertAlign w:val="superscript"/>
          <w:rtl/>
        </w:rPr>
        <w:t>)</w:t>
      </w:r>
      <w:r w:rsidRPr="00C85F0F">
        <w:rPr>
          <w:rFonts w:hint="cs"/>
          <w:color w:val="auto"/>
          <w:rtl/>
        </w:rPr>
        <w:t>.</w:t>
      </w:r>
    </w:p>
    <w:p w:rsidR="00065E4B" w:rsidRPr="00C85F0F" w:rsidRDefault="005805E3" w:rsidP="00A8347C">
      <w:pPr>
        <w:pStyle w:val="aff3"/>
        <w:rPr>
          <w:rtl/>
        </w:rPr>
      </w:pPr>
      <w:bookmarkStart w:id="162" w:name="_Toc334046402"/>
      <w:r>
        <w:rPr>
          <w:rFonts w:hint="cs"/>
          <w:rtl/>
        </w:rPr>
        <w:t xml:space="preserve">                                      </w:t>
      </w:r>
      <w:r w:rsidR="005E65EA" w:rsidRPr="00C85F0F">
        <w:rPr>
          <w:rFonts w:hint="cs"/>
          <w:rtl/>
        </w:rPr>
        <w:t>المطلب الرابع</w:t>
      </w:r>
      <w:r w:rsidR="005E65EA" w:rsidRPr="00C85F0F">
        <w:rPr>
          <w:rFonts w:hint="eastAsia"/>
          <w:rtl/>
        </w:rPr>
        <w:t> :</w:t>
      </w:r>
      <w:r w:rsidR="005E65EA" w:rsidRPr="00C85F0F">
        <w:rPr>
          <w:rFonts w:hint="cs"/>
          <w:rtl/>
        </w:rPr>
        <w:br/>
      </w:r>
      <w:r>
        <w:rPr>
          <w:rFonts w:hint="cs"/>
          <w:rtl/>
        </w:rPr>
        <w:t xml:space="preserve">                                     </w:t>
      </w:r>
      <w:r w:rsidR="005E65EA" w:rsidRPr="00C85F0F">
        <w:rPr>
          <w:rFonts w:hint="cs"/>
          <w:rtl/>
        </w:rPr>
        <w:t>تطبيقات القاعدة</w:t>
      </w:r>
      <w:bookmarkEnd w:id="162"/>
    </w:p>
    <w:p w:rsidR="005E65EA" w:rsidRPr="003D7ADB" w:rsidRDefault="003D7ADB" w:rsidP="003D7ADB">
      <w:pPr>
        <w:widowControl/>
        <w:autoSpaceDE w:val="0"/>
        <w:autoSpaceDN w:val="0"/>
        <w:adjustRightInd w:val="0"/>
        <w:ind w:firstLine="0"/>
        <w:rPr>
          <w:color w:val="auto"/>
          <w:rtl/>
        </w:rPr>
      </w:pPr>
      <w:r>
        <w:rPr>
          <w:rFonts w:hint="cs"/>
          <w:color w:val="auto"/>
          <w:rtl/>
        </w:rPr>
        <w:t xml:space="preserve">(1)    </w:t>
      </w:r>
      <w:r w:rsidR="00065E4B" w:rsidRPr="003D7ADB">
        <w:rPr>
          <w:rFonts w:hint="cs"/>
          <w:color w:val="auto"/>
          <w:rtl/>
        </w:rPr>
        <w:t>ب</w:t>
      </w:r>
      <w:r w:rsidR="005E65EA" w:rsidRPr="003D7ADB">
        <w:rPr>
          <w:rFonts w:hint="cs"/>
          <w:color w:val="auto"/>
          <w:rtl/>
        </w:rPr>
        <w:t>َيْعُ العِينَة</w:t>
      </w:r>
      <w:r w:rsidR="005E65EA" w:rsidRPr="003D7ADB">
        <w:rPr>
          <w:rFonts w:hint="cs"/>
          <w:color w:val="auto"/>
          <w:szCs w:val="32"/>
          <w:vertAlign w:val="superscript"/>
          <w:rtl/>
        </w:rPr>
        <w:t>(</w:t>
      </w:r>
      <w:r w:rsidR="005E65EA" w:rsidRPr="00C85F0F">
        <w:rPr>
          <w:rStyle w:val="af1"/>
          <w:color w:val="auto"/>
          <w:szCs w:val="32"/>
          <w:rtl/>
        </w:rPr>
        <w:footnoteReference w:id="831"/>
      </w:r>
      <w:r w:rsidR="005E65EA" w:rsidRPr="003D7ADB">
        <w:rPr>
          <w:rFonts w:hint="cs"/>
          <w:color w:val="auto"/>
          <w:szCs w:val="32"/>
          <w:vertAlign w:val="superscript"/>
          <w:rtl/>
        </w:rPr>
        <w:t>)</w:t>
      </w:r>
      <w:r w:rsidR="005E65EA" w:rsidRPr="003D7ADB">
        <w:rPr>
          <w:rFonts w:hint="cs"/>
          <w:color w:val="auto"/>
          <w:rtl/>
        </w:rPr>
        <w:t xml:space="preserve"> محرَّم</w:t>
      </w:r>
      <w:r w:rsidR="005E65EA" w:rsidRPr="003D7ADB">
        <w:rPr>
          <w:rFonts w:hint="cs"/>
          <w:color w:val="auto"/>
          <w:szCs w:val="32"/>
          <w:vertAlign w:val="superscript"/>
          <w:rtl/>
        </w:rPr>
        <w:t>(</w:t>
      </w:r>
      <w:r w:rsidR="005E65EA" w:rsidRPr="00C85F0F">
        <w:rPr>
          <w:rStyle w:val="af1"/>
          <w:color w:val="auto"/>
          <w:szCs w:val="32"/>
          <w:rtl/>
        </w:rPr>
        <w:footnoteReference w:id="832"/>
      </w:r>
      <w:r w:rsidR="005E65EA" w:rsidRPr="003D7ADB">
        <w:rPr>
          <w:rFonts w:hint="cs"/>
          <w:color w:val="auto"/>
          <w:szCs w:val="32"/>
          <w:vertAlign w:val="superscript"/>
          <w:rtl/>
        </w:rPr>
        <w:t>)</w:t>
      </w:r>
      <w:r w:rsidR="005E65EA" w:rsidRPr="003D7ADB">
        <w:rPr>
          <w:rFonts w:hint="cs"/>
          <w:color w:val="auto"/>
          <w:rtl/>
        </w:rPr>
        <w:t>، و</w:t>
      </w:r>
      <w:r w:rsidR="005E65EA" w:rsidRPr="003D7ADB">
        <w:rPr>
          <w:color w:val="auto"/>
          <w:rtl/>
        </w:rPr>
        <w:t>من مسائل العينة ما يفعله بعض الناس اليوم</w:t>
      </w:r>
      <w:r w:rsidR="005E65EA" w:rsidRPr="003D7ADB">
        <w:rPr>
          <w:rFonts w:hint="cs"/>
          <w:color w:val="auto"/>
          <w:rtl/>
        </w:rPr>
        <w:t>:</w:t>
      </w:r>
      <w:r w:rsidR="005E65EA" w:rsidRPr="003D7ADB">
        <w:rPr>
          <w:color w:val="auto"/>
          <w:rtl/>
        </w:rPr>
        <w:t xml:space="preserve"> يحتاج إلى سيارة، فيذهب إلى تاجر، ويقول: أنا أحتاج السيارة الف</w:t>
      </w:r>
      <w:r w:rsidR="005E65EA" w:rsidRPr="003D7ADB">
        <w:rPr>
          <w:rFonts w:hint="cs"/>
          <w:color w:val="auto"/>
          <w:rtl/>
        </w:rPr>
        <w:t>ُ</w:t>
      </w:r>
      <w:r w:rsidR="005E65EA" w:rsidRPr="003D7ADB">
        <w:rPr>
          <w:color w:val="auto"/>
          <w:rtl/>
        </w:rPr>
        <w:t>لاني</w:t>
      </w:r>
      <w:r w:rsidR="005E65EA" w:rsidRPr="003D7ADB">
        <w:rPr>
          <w:rFonts w:hint="cs"/>
          <w:color w:val="auto"/>
          <w:rtl/>
        </w:rPr>
        <w:t>ّ</w:t>
      </w:r>
      <w:r w:rsidR="005E65EA" w:rsidRPr="003D7ADB">
        <w:rPr>
          <w:color w:val="auto"/>
          <w:rtl/>
        </w:rPr>
        <w:t>ة في المعرض الف</w:t>
      </w:r>
      <w:r w:rsidR="005E65EA" w:rsidRPr="003D7ADB">
        <w:rPr>
          <w:rFonts w:hint="cs"/>
          <w:color w:val="auto"/>
          <w:rtl/>
        </w:rPr>
        <w:t>ُ</w:t>
      </w:r>
      <w:r w:rsidR="005E65EA" w:rsidRPr="003D7ADB">
        <w:rPr>
          <w:color w:val="auto"/>
          <w:rtl/>
        </w:rPr>
        <w:t xml:space="preserve">لاني، فيذهب التاجر ويشتريها </w:t>
      </w:r>
      <w:r w:rsidR="005E65EA" w:rsidRPr="003D7ADB">
        <w:rPr>
          <w:color w:val="auto"/>
          <w:rtl/>
        </w:rPr>
        <w:lastRenderedPageBreak/>
        <w:t>من المعرض بثمن، ثم يبيعها ب</w:t>
      </w:r>
      <w:r w:rsidR="005E65EA" w:rsidRPr="003D7ADB">
        <w:rPr>
          <w:rFonts w:hint="cs"/>
          <w:color w:val="auto"/>
          <w:rtl/>
        </w:rPr>
        <w:t>ِ</w:t>
      </w:r>
      <w:r w:rsidR="005E65EA" w:rsidRPr="003D7ADB">
        <w:rPr>
          <w:color w:val="auto"/>
          <w:rtl/>
        </w:rPr>
        <w:t>أكثر</w:t>
      </w:r>
      <w:r w:rsidR="005E65EA" w:rsidRPr="003D7ADB">
        <w:rPr>
          <w:rFonts w:hint="cs"/>
          <w:color w:val="auto"/>
          <w:rtl/>
        </w:rPr>
        <w:t>َ</w:t>
      </w:r>
      <w:r w:rsidR="005E65EA" w:rsidRPr="003D7ADB">
        <w:rPr>
          <w:color w:val="auto"/>
          <w:rtl/>
        </w:rPr>
        <w:t xml:space="preserve"> من الثمن على هذا الذي احتاج السيارة إلى أجل، فهذ</w:t>
      </w:r>
      <w:r w:rsidR="005E65EA" w:rsidRPr="003D7ADB">
        <w:rPr>
          <w:rFonts w:hint="cs"/>
          <w:color w:val="auto"/>
          <w:rtl/>
        </w:rPr>
        <w:t>ه</w:t>
      </w:r>
      <w:r w:rsidR="005E65EA" w:rsidRPr="003D7ADB">
        <w:rPr>
          <w:color w:val="auto"/>
          <w:rtl/>
        </w:rPr>
        <w:t xml:space="preserve"> حيلة ظاهرة على الربا؛ لأن حقيقة الأمر أنه أ</w:t>
      </w:r>
      <w:r w:rsidR="005E65EA" w:rsidRPr="003D7ADB">
        <w:rPr>
          <w:rFonts w:hint="cs"/>
          <w:color w:val="auto"/>
          <w:rtl/>
        </w:rPr>
        <w:t>َ</w:t>
      </w:r>
      <w:r w:rsidR="005E65EA" w:rsidRPr="003D7ADB">
        <w:rPr>
          <w:color w:val="auto"/>
          <w:rtl/>
        </w:rPr>
        <w:t>ق</w:t>
      </w:r>
      <w:r w:rsidR="005E65EA" w:rsidRPr="003D7ADB">
        <w:rPr>
          <w:rFonts w:hint="cs"/>
          <w:color w:val="auto"/>
          <w:rtl/>
        </w:rPr>
        <w:t>ْ</w:t>
      </w:r>
      <w:r w:rsidR="005E65EA" w:rsidRPr="003D7ADB">
        <w:rPr>
          <w:color w:val="auto"/>
          <w:rtl/>
        </w:rPr>
        <w:t>ر</w:t>
      </w:r>
      <w:r w:rsidR="005E65EA" w:rsidRPr="003D7ADB">
        <w:rPr>
          <w:rFonts w:hint="cs"/>
          <w:color w:val="auto"/>
          <w:rtl/>
        </w:rPr>
        <w:t>َ</w:t>
      </w:r>
      <w:r w:rsidR="005E65EA" w:rsidRPr="003D7ADB">
        <w:rPr>
          <w:color w:val="auto"/>
          <w:rtl/>
        </w:rPr>
        <w:t>ض</w:t>
      </w:r>
      <w:r w:rsidR="005E65EA" w:rsidRPr="003D7ADB">
        <w:rPr>
          <w:rFonts w:hint="cs"/>
          <w:color w:val="auto"/>
          <w:rtl/>
        </w:rPr>
        <w:t>َ</w:t>
      </w:r>
      <w:r w:rsidR="005E65EA" w:rsidRPr="003D7ADB">
        <w:rPr>
          <w:color w:val="auto"/>
          <w:rtl/>
        </w:rPr>
        <w:t>ه ثمن السيارة الحاضرة بزيادة</w:t>
      </w:r>
      <w:r w:rsidR="005E65EA" w:rsidRPr="003D7ADB">
        <w:rPr>
          <w:rFonts w:hint="cs"/>
          <w:color w:val="auto"/>
          <w:rtl/>
        </w:rPr>
        <w:t>ٍ</w:t>
      </w:r>
      <w:r w:rsidR="005E65EA" w:rsidRPr="003D7ADB">
        <w:rPr>
          <w:color w:val="auto"/>
          <w:rtl/>
        </w:rPr>
        <w:t>؛ لأنه لولا طلب</w:t>
      </w:r>
      <w:r w:rsidR="005E65EA" w:rsidRPr="003D7ADB">
        <w:rPr>
          <w:rFonts w:hint="cs"/>
          <w:color w:val="auto"/>
          <w:rtl/>
        </w:rPr>
        <w:t>ُ</w:t>
      </w:r>
      <w:r w:rsidR="005E65EA" w:rsidRPr="003D7ADB">
        <w:rPr>
          <w:color w:val="auto"/>
          <w:rtl/>
        </w:rPr>
        <w:t xml:space="preserve"> هذا الرجل ما اشتراها</w:t>
      </w:r>
      <w:r w:rsidR="005E65EA" w:rsidRPr="003D7ADB">
        <w:rPr>
          <w:rFonts w:hint="cs"/>
          <w:color w:val="auto"/>
          <w:szCs w:val="32"/>
          <w:vertAlign w:val="superscript"/>
          <w:rtl/>
        </w:rPr>
        <w:t>(</w:t>
      </w:r>
      <w:r w:rsidR="005E65EA" w:rsidRPr="00C85F0F">
        <w:rPr>
          <w:rStyle w:val="af1"/>
          <w:color w:val="auto"/>
          <w:szCs w:val="32"/>
          <w:rtl/>
        </w:rPr>
        <w:footnoteReference w:id="833"/>
      </w:r>
      <w:r w:rsidR="005E65EA" w:rsidRPr="003D7ADB">
        <w:rPr>
          <w:rFonts w:hint="cs"/>
          <w:color w:val="auto"/>
          <w:szCs w:val="32"/>
          <w:vertAlign w:val="superscript"/>
          <w:rtl/>
        </w:rPr>
        <w:t>)</w:t>
      </w:r>
      <w:r w:rsidR="005E65EA" w:rsidRPr="003D7ADB">
        <w:rPr>
          <w:color w:val="auto"/>
          <w:rtl/>
        </w:rPr>
        <w:t>.</w:t>
      </w:r>
    </w:p>
    <w:p w:rsidR="00065E4B" w:rsidRPr="00C85F0F" w:rsidRDefault="005E65EA" w:rsidP="000F5C0F">
      <w:pPr>
        <w:pStyle w:val="53"/>
        <w:rPr>
          <w:rtl/>
        </w:rPr>
      </w:pPr>
      <w:r w:rsidRPr="00C85F0F">
        <w:rPr>
          <w:rFonts w:hint="cs"/>
          <w:rtl/>
        </w:rPr>
        <w:t>وجه اندراج الفرع</w:t>
      </w:r>
      <w:r w:rsidR="00105922">
        <w:rPr>
          <w:rFonts w:hint="cs"/>
          <w:rtl/>
        </w:rPr>
        <w:t xml:space="preserve"> </w:t>
      </w:r>
      <w:r w:rsidRPr="00C85F0F">
        <w:rPr>
          <w:rFonts w:hint="cs"/>
          <w:rtl/>
        </w:rPr>
        <w:t>تحت القاعدة:</w:t>
      </w:r>
    </w:p>
    <w:p w:rsidR="005E65EA" w:rsidRPr="00C85F0F" w:rsidRDefault="00065E4B" w:rsidP="00597C20">
      <w:pPr>
        <w:widowControl/>
        <w:autoSpaceDE w:val="0"/>
        <w:autoSpaceDN w:val="0"/>
        <w:adjustRightInd w:val="0"/>
        <w:ind w:firstLine="720"/>
        <w:jc w:val="left"/>
        <w:rPr>
          <w:color w:val="auto"/>
          <w:rtl/>
        </w:rPr>
      </w:pPr>
      <w:r w:rsidRPr="00C85F0F">
        <w:rPr>
          <w:rFonts w:hint="cs"/>
          <w:color w:val="auto"/>
          <w:rtl/>
        </w:rPr>
        <w:t>ح</w:t>
      </w:r>
      <w:r w:rsidR="005E65EA" w:rsidRPr="00C85F0F">
        <w:rPr>
          <w:rFonts w:hint="cs"/>
          <w:color w:val="auto"/>
          <w:rtl/>
        </w:rPr>
        <w:t>قيقةُ هذا البيع أنه بيعُ دراهم بِدراهم مُتفاضِلاً،</w:t>
      </w:r>
      <w:r w:rsidR="00154102" w:rsidRPr="00C85F0F">
        <w:rPr>
          <w:rFonts w:hint="cs"/>
          <w:color w:val="auto"/>
          <w:rtl/>
        </w:rPr>
        <w:t xml:space="preserve"> و</w:t>
      </w:r>
      <w:r w:rsidR="005E65EA" w:rsidRPr="00C85F0F">
        <w:rPr>
          <w:rFonts w:hint="cs"/>
          <w:color w:val="auto"/>
          <w:rtl/>
        </w:rPr>
        <w:t>دخولُ السلعة بينهما حيلةٌ للتوصُّل إلى الربا بِصورةِ البيع،</w:t>
      </w:r>
      <w:r w:rsidR="00154102" w:rsidRPr="00C85F0F">
        <w:rPr>
          <w:rFonts w:hint="cs"/>
          <w:color w:val="auto"/>
          <w:rtl/>
        </w:rPr>
        <w:t xml:space="preserve"> و</w:t>
      </w:r>
      <w:r w:rsidR="005E65EA" w:rsidRPr="00C85F0F">
        <w:rPr>
          <w:rFonts w:hint="cs"/>
          <w:color w:val="auto"/>
          <w:rtl/>
        </w:rPr>
        <w:t>مسائل الربا لا تَحِلُّ بالحيل، والحيل ممنوعة شرعاً</w:t>
      </w:r>
      <w:r w:rsidR="005E65EA" w:rsidRPr="00C85F0F">
        <w:rPr>
          <w:rFonts w:hint="cs"/>
          <w:color w:val="auto"/>
          <w:szCs w:val="32"/>
          <w:vertAlign w:val="superscript"/>
          <w:rtl/>
        </w:rPr>
        <w:t>(</w:t>
      </w:r>
      <w:r w:rsidR="005E65EA" w:rsidRPr="00C85F0F">
        <w:rPr>
          <w:rStyle w:val="af1"/>
          <w:color w:val="auto"/>
          <w:szCs w:val="32"/>
          <w:rtl/>
        </w:rPr>
        <w:footnoteReference w:id="834"/>
      </w:r>
      <w:r w:rsidR="005E65EA" w:rsidRPr="00C85F0F">
        <w:rPr>
          <w:rFonts w:hint="cs"/>
          <w:color w:val="auto"/>
          <w:szCs w:val="32"/>
          <w:vertAlign w:val="superscript"/>
          <w:rtl/>
        </w:rPr>
        <w:t>)</w:t>
      </w:r>
      <w:r w:rsidR="005E65EA" w:rsidRPr="00C85F0F">
        <w:rPr>
          <w:rFonts w:hint="cs"/>
          <w:color w:val="auto"/>
          <w:rtl/>
        </w:rPr>
        <w:t>.</w:t>
      </w:r>
    </w:p>
    <w:p w:rsidR="005E65EA" w:rsidRPr="003D7ADB" w:rsidRDefault="003D7ADB" w:rsidP="003D7ADB">
      <w:pPr>
        <w:widowControl/>
        <w:autoSpaceDE w:val="0"/>
        <w:autoSpaceDN w:val="0"/>
        <w:adjustRightInd w:val="0"/>
        <w:ind w:firstLine="0"/>
        <w:rPr>
          <w:color w:val="auto"/>
        </w:rPr>
      </w:pPr>
      <w:r>
        <w:rPr>
          <w:rFonts w:hint="cs"/>
          <w:color w:val="auto"/>
          <w:rtl/>
        </w:rPr>
        <w:t xml:space="preserve">(2)    </w:t>
      </w:r>
      <w:r w:rsidR="005E65EA" w:rsidRPr="003D7ADB">
        <w:rPr>
          <w:rFonts w:hint="cs"/>
          <w:color w:val="auto"/>
          <w:rtl/>
        </w:rPr>
        <w:t>يصحّ اشتراط عقدٍ في البيع، كما لو قال البائع للمشتري:</w:t>
      </w:r>
      <w:r w:rsidRPr="003D7ADB">
        <w:rPr>
          <w:rFonts w:hint="cs"/>
          <w:color w:val="auto"/>
          <w:rtl/>
        </w:rPr>
        <w:t xml:space="preserve"> </w:t>
      </w:r>
      <w:r w:rsidR="005E65EA" w:rsidRPr="003D7ADB">
        <w:rPr>
          <w:rFonts w:hint="cs"/>
          <w:color w:val="auto"/>
          <w:rtl/>
        </w:rPr>
        <w:t>أبيع عليك بيتي</w:t>
      </w:r>
      <w:r w:rsidRPr="003D7ADB">
        <w:rPr>
          <w:rFonts w:hint="cs"/>
          <w:color w:val="auto"/>
          <w:rtl/>
        </w:rPr>
        <w:t xml:space="preserve"> بِشَرْط أن تُقْرِضَني مائة ألف</w:t>
      </w:r>
      <w:r w:rsidR="005E65EA" w:rsidRPr="003D7ADB">
        <w:rPr>
          <w:rFonts w:hint="cs"/>
          <w:color w:val="auto"/>
          <w:rtl/>
        </w:rPr>
        <w:t>، لكن إذا كان ذلك حيلةً على الربا،</w:t>
      </w:r>
      <w:r w:rsidRPr="003D7ADB">
        <w:rPr>
          <w:rFonts w:hint="cs"/>
          <w:color w:val="auto"/>
          <w:rtl/>
        </w:rPr>
        <w:t xml:space="preserve"> </w:t>
      </w:r>
      <w:r w:rsidR="005E65EA" w:rsidRPr="003D7ADB">
        <w:rPr>
          <w:rFonts w:hint="cs"/>
          <w:color w:val="auto"/>
          <w:rtl/>
        </w:rPr>
        <w:t>فإنه لا يجوز</w:t>
      </w:r>
      <w:r w:rsidR="005E65EA" w:rsidRPr="003D7ADB">
        <w:rPr>
          <w:rFonts w:hint="cs"/>
          <w:color w:val="auto"/>
          <w:szCs w:val="32"/>
          <w:vertAlign w:val="superscript"/>
          <w:rtl/>
        </w:rPr>
        <w:t>(</w:t>
      </w:r>
      <w:r w:rsidR="005E65EA" w:rsidRPr="00C85F0F">
        <w:rPr>
          <w:rStyle w:val="af1"/>
          <w:color w:val="auto"/>
          <w:szCs w:val="32"/>
          <w:rtl/>
        </w:rPr>
        <w:footnoteReference w:id="835"/>
      </w:r>
      <w:r w:rsidR="005E65EA" w:rsidRPr="003D7ADB">
        <w:rPr>
          <w:rFonts w:hint="cs"/>
          <w:color w:val="auto"/>
          <w:szCs w:val="32"/>
          <w:vertAlign w:val="superscript"/>
          <w:rtl/>
        </w:rPr>
        <w:t>)</w:t>
      </w:r>
      <w:r w:rsidRPr="003D7ADB">
        <w:rPr>
          <w:rFonts w:hint="cs"/>
          <w:color w:val="auto"/>
          <w:rtl/>
        </w:rPr>
        <w:t>،</w:t>
      </w:r>
      <w:r w:rsidR="005E65EA" w:rsidRPr="003D7ADB">
        <w:rPr>
          <w:rFonts w:hint="cs"/>
          <w:color w:val="auto"/>
          <w:rtl/>
        </w:rPr>
        <w:t xml:space="preserve"> كما لو قال البائع:</w:t>
      </w:r>
      <w:r>
        <w:rPr>
          <w:rFonts w:hint="cs"/>
          <w:color w:val="auto"/>
          <w:rtl/>
        </w:rPr>
        <w:t xml:space="preserve"> </w:t>
      </w:r>
      <w:r w:rsidR="005E65EA" w:rsidRPr="003D7ADB">
        <w:rPr>
          <w:rFonts w:hint="cs"/>
          <w:color w:val="auto"/>
          <w:rtl/>
        </w:rPr>
        <w:t>أَبيع عليك مائة صاع من البُرّ الجيِّد بمائتي درهم، بشرْط أن تبيع عليَّ مائتي صاع من البُرّ الرَّديء بمائتي درهم، فهذا غير جائز؛ لأنه حيلة على أن يبيع مائة صاع من البُرّ الجيّد بمائتي صاع من البر الرديء،</w:t>
      </w:r>
      <w:r w:rsidR="00154102" w:rsidRPr="003D7ADB">
        <w:rPr>
          <w:rFonts w:hint="cs"/>
          <w:color w:val="auto"/>
          <w:rtl/>
        </w:rPr>
        <w:t xml:space="preserve"> و</w:t>
      </w:r>
      <w:r w:rsidR="005E65EA" w:rsidRPr="003D7ADB">
        <w:rPr>
          <w:rFonts w:hint="cs"/>
          <w:color w:val="auto"/>
          <w:rtl/>
        </w:rPr>
        <w:t>هذا ربا</w:t>
      </w:r>
      <w:r w:rsidR="005E65EA" w:rsidRPr="003D7ADB">
        <w:rPr>
          <w:rFonts w:hint="cs"/>
          <w:color w:val="auto"/>
          <w:szCs w:val="32"/>
          <w:vertAlign w:val="superscript"/>
          <w:rtl/>
        </w:rPr>
        <w:t>(</w:t>
      </w:r>
      <w:r w:rsidR="005E65EA" w:rsidRPr="00C85F0F">
        <w:rPr>
          <w:rStyle w:val="af1"/>
          <w:color w:val="auto"/>
          <w:szCs w:val="32"/>
          <w:rtl/>
        </w:rPr>
        <w:footnoteReference w:id="836"/>
      </w:r>
      <w:r w:rsidR="005E65EA" w:rsidRPr="003D7ADB">
        <w:rPr>
          <w:rFonts w:hint="cs"/>
          <w:color w:val="auto"/>
          <w:szCs w:val="32"/>
          <w:vertAlign w:val="superscript"/>
          <w:rtl/>
        </w:rPr>
        <w:t>)</w:t>
      </w:r>
      <w:r w:rsidR="005E65EA" w:rsidRPr="003D7ADB">
        <w:rPr>
          <w:rFonts w:hint="cs"/>
          <w:color w:val="auto"/>
          <w:rtl/>
        </w:rPr>
        <w:t>.</w:t>
      </w:r>
    </w:p>
    <w:p w:rsidR="005E65EA" w:rsidRPr="00C85F0F" w:rsidRDefault="005E65EA" w:rsidP="000F5C0F">
      <w:pPr>
        <w:pStyle w:val="53"/>
        <w:rPr>
          <w:rtl/>
        </w:rPr>
      </w:pPr>
      <w:r w:rsidRPr="00C85F0F">
        <w:rPr>
          <w:rFonts w:hint="cs"/>
          <w:rtl/>
        </w:rPr>
        <w:t xml:space="preserve">وجه اندراج </w:t>
      </w:r>
      <w:r w:rsidRPr="000F5C0F">
        <w:rPr>
          <w:rFonts w:hint="cs"/>
          <w:rtl/>
        </w:rPr>
        <w:t>الفرع</w:t>
      </w:r>
      <w:r w:rsidRPr="00C85F0F">
        <w:rPr>
          <w:rFonts w:hint="cs"/>
          <w:rtl/>
        </w:rPr>
        <w:t xml:space="preserve"> تحت القاعدة:</w:t>
      </w:r>
    </w:p>
    <w:p w:rsidR="005E65EA" w:rsidRPr="00C85F0F" w:rsidRDefault="005E65EA" w:rsidP="00597C20">
      <w:pPr>
        <w:widowControl/>
        <w:autoSpaceDE w:val="0"/>
        <w:autoSpaceDN w:val="0"/>
        <w:adjustRightInd w:val="0"/>
        <w:ind w:firstLine="720"/>
        <w:jc w:val="left"/>
        <w:rPr>
          <w:color w:val="auto"/>
        </w:rPr>
      </w:pPr>
      <w:r w:rsidRPr="00C85F0F">
        <w:rPr>
          <w:rFonts w:hint="cs"/>
          <w:color w:val="auto"/>
          <w:rtl/>
        </w:rPr>
        <w:t>هذه الصورة فيها تَحَايُلٌ على الربا،</w:t>
      </w:r>
      <w:r w:rsidR="00154102" w:rsidRPr="00C85F0F">
        <w:rPr>
          <w:rFonts w:hint="cs"/>
          <w:color w:val="auto"/>
          <w:rtl/>
        </w:rPr>
        <w:t xml:space="preserve"> و</w:t>
      </w:r>
      <w:r w:rsidRPr="00C85F0F">
        <w:rPr>
          <w:rFonts w:hint="cs"/>
          <w:color w:val="auto"/>
          <w:rtl/>
        </w:rPr>
        <w:t>الحيل ممنوعة شرعا.</w:t>
      </w:r>
    </w:p>
    <w:p w:rsidR="00065E4B" w:rsidRPr="003D7ADB" w:rsidRDefault="003D7ADB" w:rsidP="003D7ADB">
      <w:pPr>
        <w:widowControl/>
        <w:autoSpaceDE w:val="0"/>
        <w:autoSpaceDN w:val="0"/>
        <w:adjustRightInd w:val="0"/>
        <w:ind w:firstLine="0"/>
        <w:rPr>
          <w:color w:val="auto"/>
          <w:rtl/>
        </w:rPr>
      </w:pPr>
      <w:r>
        <w:rPr>
          <w:rFonts w:ascii="Traditional Arabic" w:hAnsi="Traditional Arabic" w:hint="cs"/>
          <w:rtl/>
        </w:rPr>
        <w:t xml:space="preserve">(3)    </w:t>
      </w:r>
      <w:r w:rsidR="005E65EA" w:rsidRPr="003D7ADB">
        <w:rPr>
          <w:rFonts w:ascii="Traditional Arabic" w:hAnsi="Traditional Arabic" w:hint="cs"/>
          <w:rtl/>
        </w:rPr>
        <w:t>لا يَحِلُّ لِأَحَدِ الْمُتَبايِعَيْن أن يُفارِق مجلس العقد بِقَصْدِ ألا</w:t>
      </w:r>
      <w:r w:rsidR="005E65EA" w:rsidRPr="003D7ADB">
        <w:rPr>
          <w:rFonts w:ascii="Traditional Arabic" w:hAnsi="Traditional Arabic"/>
          <w:rtl/>
        </w:rPr>
        <w:t>ّ</w:t>
      </w:r>
      <w:r w:rsidR="005E65EA" w:rsidRPr="003D7ADB">
        <w:rPr>
          <w:rFonts w:ascii="Traditional Arabic" w:hAnsi="Traditional Arabic" w:hint="cs"/>
          <w:rtl/>
        </w:rPr>
        <w:t xml:space="preserve"> يفسخَ صاحب</w:t>
      </w:r>
      <w:r w:rsidR="005E65EA" w:rsidRPr="003D7ADB">
        <w:rPr>
          <w:rFonts w:ascii="Traditional Arabic" w:hAnsi="Traditional Arabic"/>
          <w:rtl/>
        </w:rPr>
        <w:t>ُ</w:t>
      </w:r>
      <w:r w:rsidR="005E65EA" w:rsidRPr="003D7ADB">
        <w:rPr>
          <w:rFonts w:ascii="Traditional Arabic" w:hAnsi="Traditional Arabic" w:hint="cs"/>
          <w:rtl/>
        </w:rPr>
        <w:t>ه العقد</w:t>
      </w:r>
      <w:r w:rsidR="005E65EA" w:rsidRPr="003D7ADB">
        <w:rPr>
          <w:rFonts w:ascii="Traditional Arabic" w:hAnsi="Traditional Arabic" w:hint="cs"/>
          <w:szCs w:val="32"/>
          <w:vertAlign w:val="superscript"/>
          <w:rtl/>
        </w:rPr>
        <w:t>(</w:t>
      </w:r>
      <w:r w:rsidR="005E65EA" w:rsidRPr="00C85F0F">
        <w:rPr>
          <w:rStyle w:val="af1"/>
          <w:rFonts w:ascii="Traditional Arabic" w:hAnsi="Traditional Arabic"/>
          <w:szCs w:val="32"/>
          <w:rtl/>
        </w:rPr>
        <w:footnoteReference w:id="837"/>
      </w:r>
      <w:r w:rsidR="005E65EA" w:rsidRPr="003D7ADB">
        <w:rPr>
          <w:rFonts w:ascii="Traditional Arabic" w:hAnsi="Traditional Arabic" w:hint="cs"/>
          <w:szCs w:val="32"/>
          <w:vertAlign w:val="superscript"/>
          <w:rtl/>
        </w:rPr>
        <w:t>)</w:t>
      </w:r>
      <w:r w:rsidR="005E65EA" w:rsidRPr="003D7ADB">
        <w:rPr>
          <w:rFonts w:ascii="Traditional Arabic" w:hAnsi="Traditional Arabic" w:hint="cs"/>
          <w:rtl/>
        </w:rPr>
        <w:t>.</w:t>
      </w:r>
    </w:p>
    <w:p w:rsidR="00065E4B" w:rsidRPr="00C85F0F" w:rsidRDefault="00065E4B" w:rsidP="000F5C0F">
      <w:pPr>
        <w:pStyle w:val="53"/>
        <w:rPr>
          <w:rtl/>
        </w:rPr>
      </w:pPr>
      <w:r w:rsidRPr="00C85F0F">
        <w:rPr>
          <w:rFonts w:hint="cs"/>
          <w:rtl/>
        </w:rPr>
        <w:lastRenderedPageBreak/>
        <w:t>و</w:t>
      </w:r>
      <w:r w:rsidR="005E65EA" w:rsidRPr="00C85F0F">
        <w:rPr>
          <w:rFonts w:hint="cs"/>
          <w:rtl/>
        </w:rPr>
        <w:t>جه اندراج الفرع تحت القاعدة:</w:t>
      </w:r>
    </w:p>
    <w:p w:rsidR="005E65EA" w:rsidRPr="00C85F0F" w:rsidRDefault="00065E4B" w:rsidP="00597C20">
      <w:pPr>
        <w:widowControl/>
        <w:autoSpaceDE w:val="0"/>
        <w:autoSpaceDN w:val="0"/>
        <w:adjustRightInd w:val="0"/>
        <w:ind w:firstLine="720"/>
        <w:rPr>
          <w:color w:val="auto"/>
          <w:rtl/>
        </w:rPr>
      </w:pPr>
      <w:r w:rsidRPr="00C85F0F">
        <w:rPr>
          <w:rFonts w:ascii="Traditional Arabic" w:hAnsi="Traditional Arabic" w:hint="cs"/>
          <w:rtl/>
        </w:rPr>
        <w:t>ل</w:t>
      </w:r>
      <w:r w:rsidR="005E65EA" w:rsidRPr="00C85F0F">
        <w:rPr>
          <w:rFonts w:ascii="Traditional Arabic" w:hAnsi="Traditional Arabic" w:hint="cs"/>
          <w:rtl/>
        </w:rPr>
        <w:t xml:space="preserve">ما كان مقصود هذا البائع أو المشتري </w:t>
      </w:r>
      <w:r w:rsidR="005E65EA" w:rsidRPr="00C85F0F">
        <w:rPr>
          <w:rFonts w:ascii="Traditional Arabic" w:hAnsi="Traditional Arabic"/>
          <w:rtl/>
        </w:rPr>
        <w:t>ﺇ</w:t>
      </w:r>
      <w:r w:rsidR="005E65EA" w:rsidRPr="00C85F0F">
        <w:rPr>
          <w:rFonts w:ascii="Traditional Arabic" w:hAnsi="Traditional Arabic" w:hint="cs"/>
          <w:rtl/>
        </w:rPr>
        <w:t>سقاط</w:t>
      </w:r>
      <w:r w:rsidR="005E65EA" w:rsidRPr="00C85F0F">
        <w:rPr>
          <w:rFonts w:ascii="Traditional Arabic" w:hAnsi="Traditional Arabic"/>
          <w:rtl/>
        </w:rPr>
        <w:t>َ</w:t>
      </w:r>
      <w:r w:rsidR="005E65EA" w:rsidRPr="00C85F0F">
        <w:rPr>
          <w:rFonts w:ascii="Traditional Arabic" w:hAnsi="Traditional Arabic" w:hint="cs"/>
          <w:rtl/>
        </w:rPr>
        <w:t xml:space="preserve"> حقِّ أخيه في الخِيار،</w:t>
      </w:r>
      <w:r w:rsidR="003106CB">
        <w:rPr>
          <w:rFonts w:ascii="Traditional Arabic" w:hAnsi="Traditional Arabic" w:hint="cs"/>
          <w:rtl/>
        </w:rPr>
        <w:t xml:space="preserve"> </w:t>
      </w:r>
      <w:r w:rsidR="005E65EA" w:rsidRPr="00C85F0F">
        <w:rPr>
          <w:rFonts w:ascii="Traditional Arabic" w:hAnsi="Traditional Arabic" w:hint="cs"/>
          <w:rtl/>
        </w:rPr>
        <w:t>ح</w:t>
      </w:r>
      <w:r w:rsidR="005E65EA" w:rsidRPr="00C85F0F">
        <w:rPr>
          <w:rFonts w:ascii="Traditional Arabic" w:hAnsi="Traditional Arabic"/>
          <w:rtl/>
        </w:rPr>
        <w:t>َ</w:t>
      </w:r>
      <w:r w:rsidR="005E65EA" w:rsidRPr="00C85F0F">
        <w:rPr>
          <w:rFonts w:ascii="Traditional Arabic" w:hAnsi="Traditional Arabic" w:hint="cs"/>
          <w:rtl/>
        </w:rPr>
        <w:t>ر</w:t>
      </w:r>
      <w:r w:rsidR="005E65EA" w:rsidRPr="00C85F0F">
        <w:rPr>
          <w:rFonts w:ascii="Traditional Arabic" w:hAnsi="Traditional Arabic"/>
          <w:rtl/>
        </w:rPr>
        <w:t>ُ</w:t>
      </w:r>
      <w:r w:rsidR="005E65EA" w:rsidRPr="00C85F0F">
        <w:rPr>
          <w:rFonts w:ascii="Traditional Arabic" w:hAnsi="Traditional Arabic" w:hint="cs"/>
          <w:rtl/>
        </w:rPr>
        <w:t>م</w:t>
      </w:r>
      <w:r w:rsidR="005E65EA" w:rsidRPr="00C85F0F">
        <w:rPr>
          <w:rFonts w:ascii="Traditional Arabic" w:hAnsi="Traditional Arabic"/>
          <w:rtl/>
        </w:rPr>
        <w:t>َ</w:t>
      </w:r>
      <w:r w:rsidR="003D7ADB">
        <w:rPr>
          <w:rFonts w:ascii="Traditional Arabic" w:hAnsi="Traditional Arabic" w:hint="cs"/>
          <w:rtl/>
        </w:rPr>
        <w:t xml:space="preserve"> </w:t>
      </w:r>
      <w:r w:rsidR="005E65EA" w:rsidRPr="00C85F0F">
        <w:rPr>
          <w:rFonts w:ascii="Traditional Arabic" w:hAnsi="Traditional Arabic" w:hint="cs"/>
          <w:rtl/>
        </w:rPr>
        <w:t>عليه أن يفارِق مجلس العقد؛</w:t>
      </w:r>
      <w:r w:rsidR="003D7ADB">
        <w:rPr>
          <w:rFonts w:ascii="Traditional Arabic" w:hAnsi="Traditional Arabic" w:hint="cs"/>
          <w:rtl/>
        </w:rPr>
        <w:t xml:space="preserve"> </w:t>
      </w:r>
      <w:r w:rsidR="005E65EA" w:rsidRPr="00C85F0F">
        <w:rPr>
          <w:rFonts w:ascii="Traditional Arabic" w:hAnsi="Traditional Arabic" w:hint="cs"/>
          <w:rtl/>
        </w:rPr>
        <w:t>لأنه لا يجوز التحي</w:t>
      </w:r>
      <w:r w:rsidR="005E65EA" w:rsidRPr="00C85F0F">
        <w:rPr>
          <w:rFonts w:ascii="Traditional Arabic" w:hAnsi="Traditional Arabic"/>
          <w:rtl/>
        </w:rPr>
        <w:t>ُّ</w:t>
      </w:r>
      <w:r w:rsidR="005E65EA" w:rsidRPr="00C85F0F">
        <w:rPr>
          <w:rFonts w:ascii="Traditional Arabic" w:hAnsi="Traditional Arabic" w:hint="cs"/>
          <w:rtl/>
        </w:rPr>
        <w:t xml:space="preserve">ل على </w:t>
      </w:r>
      <w:r w:rsidR="005E65EA" w:rsidRPr="00C85F0F">
        <w:rPr>
          <w:rFonts w:ascii="Traditional Arabic" w:hAnsi="Traditional Arabic"/>
          <w:rtl/>
        </w:rPr>
        <w:t>ﺇ</w:t>
      </w:r>
      <w:r w:rsidR="005E65EA" w:rsidRPr="00C85F0F">
        <w:rPr>
          <w:rFonts w:ascii="Traditional Arabic" w:hAnsi="Traditional Arabic" w:hint="cs"/>
          <w:rtl/>
        </w:rPr>
        <w:t>سقاط حق الغير،</w:t>
      </w:r>
      <w:r w:rsidR="00154102" w:rsidRPr="00C85F0F">
        <w:rPr>
          <w:rFonts w:ascii="Traditional Arabic" w:hAnsi="Traditional Arabic" w:hint="cs"/>
          <w:rtl/>
        </w:rPr>
        <w:t xml:space="preserve"> و</w:t>
      </w:r>
      <w:r w:rsidR="005E65EA" w:rsidRPr="00C85F0F">
        <w:rPr>
          <w:rFonts w:ascii="Traditional Arabic" w:hAnsi="Traditional Arabic" w:hint="cs"/>
          <w:rtl/>
        </w:rPr>
        <w:t>الحيل ممنوعة شرعا</w:t>
      </w:r>
      <w:r w:rsidR="005E65EA" w:rsidRPr="00C85F0F">
        <w:rPr>
          <w:rFonts w:ascii="Traditional Arabic" w:hAnsi="Traditional Arabic" w:hint="cs"/>
          <w:szCs w:val="32"/>
          <w:vertAlign w:val="superscript"/>
          <w:rtl/>
        </w:rPr>
        <w:t>(</w:t>
      </w:r>
      <w:r w:rsidR="005E65EA" w:rsidRPr="00C85F0F">
        <w:rPr>
          <w:rStyle w:val="af1"/>
          <w:rFonts w:ascii="Traditional Arabic" w:hAnsi="Traditional Arabic"/>
          <w:szCs w:val="32"/>
          <w:rtl/>
        </w:rPr>
        <w:footnoteReference w:id="838"/>
      </w:r>
      <w:r w:rsidR="005E65EA" w:rsidRPr="00C85F0F">
        <w:rPr>
          <w:rFonts w:ascii="Traditional Arabic" w:hAnsi="Traditional Arabic" w:hint="cs"/>
          <w:szCs w:val="32"/>
          <w:vertAlign w:val="superscript"/>
          <w:rtl/>
        </w:rPr>
        <w:t>)</w:t>
      </w:r>
      <w:r w:rsidR="005E65EA" w:rsidRPr="00C85F0F">
        <w:rPr>
          <w:rFonts w:ascii="Traditional Arabic" w:hAnsi="Traditional Arabic" w:hint="cs"/>
          <w:rtl/>
        </w:rPr>
        <w:t>.</w:t>
      </w:r>
    </w:p>
    <w:p w:rsidR="00065E4B" w:rsidRPr="003106CB" w:rsidRDefault="005E65EA" w:rsidP="003106CB">
      <w:pPr>
        <w:pStyle w:val="afc"/>
        <w:widowControl/>
        <w:numPr>
          <w:ilvl w:val="0"/>
          <w:numId w:val="121"/>
        </w:numPr>
        <w:autoSpaceDE w:val="0"/>
        <w:autoSpaceDN w:val="0"/>
        <w:adjustRightInd w:val="0"/>
        <w:rPr>
          <w:color w:val="auto"/>
        </w:rPr>
      </w:pPr>
      <w:r w:rsidRPr="003106CB">
        <w:rPr>
          <w:rFonts w:hint="cs"/>
          <w:color w:val="auto"/>
          <w:rtl/>
        </w:rPr>
        <w:t>مَن وُكِّلَ في بَيْعِ سِلعةٍ، فلا يجوز له أن يبيع على نفسه؛ لأنه مُتَّهَمٌ في ذلك، كما أنه لا يجوز له أن يوكِّل شخصا يشتري له هذه السلعة</w:t>
      </w:r>
      <w:r w:rsidRPr="003106CB">
        <w:rPr>
          <w:rFonts w:hint="cs"/>
          <w:color w:val="auto"/>
          <w:szCs w:val="32"/>
          <w:vertAlign w:val="superscript"/>
          <w:rtl/>
        </w:rPr>
        <w:t>(</w:t>
      </w:r>
      <w:r w:rsidRPr="00C85F0F">
        <w:rPr>
          <w:rStyle w:val="af1"/>
          <w:color w:val="auto"/>
          <w:szCs w:val="32"/>
          <w:rtl/>
        </w:rPr>
        <w:footnoteReference w:id="839"/>
      </w:r>
      <w:r w:rsidRPr="003106CB">
        <w:rPr>
          <w:rFonts w:hint="cs"/>
          <w:color w:val="auto"/>
          <w:szCs w:val="32"/>
          <w:vertAlign w:val="superscript"/>
          <w:rtl/>
        </w:rPr>
        <w:t>)</w:t>
      </w:r>
      <w:r w:rsidRPr="003106CB">
        <w:rPr>
          <w:rFonts w:hint="cs"/>
          <w:color w:val="auto"/>
          <w:rtl/>
        </w:rPr>
        <w:t>.</w:t>
      </w:r>
    </w:p>
    <w:p w:rsidR="00065E4B" w:rsidRPr="00C85F0F" w:rsidRDefault="00065E4B" w:rsidP="000F5C0F">
      <w:pPr>
        <w:pStyle w:val="53"/>
        <w:rPr>
          <w:rtl/>
        </w:rPr>
      </w:pPr>
      <w:r w:rsidRPr="00C85F0F">
        <w:rPr>
          <w:rFonts w:hint="cs"/>
          <w:rtl/>
        </w:rPr>
        <w:t>و</w:t>
      </w:r>
      <w:r w:rsidR="005E65EA" w:rsidRPr="00C85F0F">
        <w:rPr>
          <w:rFonts w:hint="cs"/>
          <w:rtl/>
        </w:rPr>
        <w:t xml:space="preserve">جه اندراج </w:t>
      </w:r>
      <w:r w:rsidR="005E65EA" w:rsidRPr="000F5C0F">
        <w:rPr>
          <w:rFonts w:hint="cs"/>
          <w:rtl/>
        </w:rPr>
        <w:t>الفرع</w:t>
      </w:r>
      <w:r w:rsidR="005E65EA" w:rsidRPr="00C85F0F">
        <w:rPr>
          <w:rFonts w:hint="cs"/>
          <w:rtl/>
        </w:rPr>
        <w:t xml:space="preserve"> تحت القاعدة:</w:t>
      </w:r>
    </w:p>
    <w:p w:rsidR="00F228A9" w:rsidRPr="00C85F0F" w:rsidRDefault="00065E4B" w:rsidP="00597C20">
      <w:pPr>
        <w:widowControl/>
        <w:autoSpaceDE w:val="0"/>
        <w:autoSpaceDN w:val="0"/>
        <w:adjustRightInd w:val="0"/>
        <w:ind w:firstLine="720"/>
        <w:rPr>
          <w:color w:val="auto"/>
          <w:rtl/>
        </w:rPr>
      </w:pPr>
      <w:r w:rsidRPr="00C85F0F">
        <w:rPr>
          <w:rFonts w:hint="cs"/>
          <w:color w:val="auto"/>
          <w:rtl/>
        </w:rPr>
        <w:t>ل</w:t>
      </w:r>
      <w:r w:rsidR="005E65EA" w:rsidRPr="00C85F0F">
        <w:rPr>
          <w:rFonts w:hint="cs"/>
          <w:color w:val="auto"/>
          <w:rtl/>
        </w:rPr>
        <w:t>ماّ كان الوكيل الثاني قائمًا مَقامَ الوكيل الأول، فكأنّ الوكيل الأول اشترى لنفسه، وهذه حيلة على المحرَّم،</w:t>
      </w:r>
      <w:r w:rsidR="00154102" w:rsidRPr="00C85F0F">
        <w:rPr>
          <w:rFonts w:hint="cs"/>
          <w:color w:val="auto"/>
          <w:rtl/>
        </w:rPr>
        <w:t xml:space="preserve"> و</w:t>
      </w:r>
      <w:r w:rsidR="005E65EA" w:rsidRPr="00C85F0F">
        <w:rPr>
          <w:rFonts w:hint="cs"/>
          <w:color w:val="auto"/>
          <w:rtl/>
        </w:rPr>
        <w:t>الحيل ممنوعة شرعا</w:t>
      </w:r>
      <w:r w:rsidR="005E65EA" w:rsidRPr="00C85F0F">
        <w:rPr>
          <w:rFonts w:hint="cs"/>
          <w:color w:val="auto"/>
          <w:szCs w:val="32"/>
          <w:vertAlign w:val="superscript"/>
          <w:rtl/>
        </w:rPr>
        <w:t>(</w:t>
      </w:r>
      <w:r w:rsidR="005E65EA" w:rsidRPr="00C85F0F">
        <w:rPr>
          <w:rStyle w:val="af1"/>
          <w:color w:val="auto"/>
          <w:szCs w:val="32"/>
          <w:rtl/>
        </w:rPr>
        <w:footnoteReference w:id="840"/>
      </w:r>
      <w:r w:rsidR="005E65EA" w:rsidRPr="00C85F0F">
        <w:rPr>
          <w:rFonts w:hint="cs"/>
          <w:color w:val="auto"/>
          <w:szCs w:val="32"/>
          <w:vertAlign w:val="superscript"/>
          <w:rtl/>
        </w:rPr>
        <w:t>)</w:t>
      </w:r>
      <w:r w:rsidR="005E65EA" w:rsidRPr="00C85F0F">
        <w:rPr>
          <w:rFonts w:hint="cs"/>
          <w:color w:val="auto"/>
          <w:rtl/>
        </w:rPr>
        <w:t>.</w:t>
      </w:r>
    </w:p>
    <w:p w:rsidR="005E65EA" w:rsidRPr="003D7ADB" w:rsidRDefault="003106CB" w:rsidP="003D7ADB">
      <w:pPr>
        <w:widowControl/>
        <w:autoSpaceDE w:val="0"/>
        <w:autoSpaceDN w:val="0"/>
        <w:adjustRightInd w:val="0"/>
        <w:ind w:firstLine="0"/>
        <w:rPr>
          <w:color w:val="auto"/>
        </w:rPr>
      </w:pPr>
      <w:r>
        <w:rPr>
          <w:rFonts w:hint="cs"/>
          <w:color w:val="auto"/>
          <w:rtl/>
        </w:rPr>
        <w:t>(5</w:t>
      </w:r>
      <w:r w:rsidR="003D7ADB">
        <w:rPr>
          <w:rFonts w:hint="cs"/>
          <w:color w:val="auto"/>
          <w:rtl/>
        </w:rPr>
        <w:t xml:space="preserve">)    </w:t>
      </w:r>
      <w:r w:rsidR="005E65EA" w:rsidRPr="003D7ADB">
        <w:rPr>
          <w:rFonts w:hint="cs"/>
          <w:color w:val="auto"/>
          <w:rtl/>
        </w:rPr>
        <w:t>لا تصحّ المسابَقة بِعِوَضٍ إلا في الإبل والخيل والسِّهام،</w:t>
      </w:r>
      <w:r w:rsidR="00154102" w:rsidRPr="003D7ADB">
        <w:rPr>
          <w:rFonts w:hint="cs"/>
          <w:color w:val="auto"/>
          <w:rtl/>
        </w:rPr>
        <w:t xml:space="preserve"> و</w:t>
      </w:r>
      <w:r w:rsidR="005E65EA" w:rsidRPr="003D7ADB">
        <w:rPr>
          <w:rFonts w:hint="cs"/>
          <w:color w:val="auto"/>
          <w:rtl/>
        </w:rPr>
        <w:t>هذه المسألة مستثناة من صُوَر القِمار</w:t>
      </w:r>
      <w:r w:rsidR="005E65EA" w:rsidRPr="003D7ADB">
        <w:rPr>
          <w:rFonts w:hint="cs"/>
          <w:color w:val="auto"/>
          <w:szCs w:val="32"/>
          <w:vertAlign w:val="superscript"/>
          <w:rtl/>
        </w:rPr>
        <w:t>(</w:t>
      </w:r>
      <w:r w:rsidR="005E65EA" w:rsidRPr="00C85F0F">
        <w:rPr>
          <w:rStyle w:val="af1"/>
          <w:color w:val="auto"/>
          <w:szCs w:val="32"/>
          <w:rtl/>
        </w:rPr>
        <w:footnoteReference w:id="841"/>
      </w:r>
      <w:r w:rsidR="005E65EA" w:rsidRPr="003D7ADB">
        <w:rPr>
          <w:rFonts w:hint="cs"/>
          <w:color w:val="auto"/>
          <w:szCs w:val="32"/>
          <w:vertAlign w:val="superscript"/>
          <w:rtl/>
        </w:rPr>
        <w:t>)</w:t>
      </w:r>
      <w:r w:rsidR="005E65EA" w:rsidRPr="003D7ADB">
        <w:rPr>
          <w:rFonts w:hint="cs"/>
          <w:color w:val="auto"/>
          <w:rtl/>
        </w:rPr>
        <w:t>؛ لأن مَصلحتَها أعظمُ من مَفسدتها.</w:t>
      </w:r>
    </w:p>
    <w:p w:rsidR="00FB76CC" w:rsidRDefault="00FB76CC" w:rsidP="003D7ADB">
      <w:pPr>
        <w:widowControl/>
        <w:autoSpaceDE w:val="0"/>
        <w:autoSpaceDN w:val="0"/>
        <w:adjustRightInd w:val="0"/>
        <w:ind w:firstLine="0"/>
        <w:rPr>
          <w:color w:val="auto"/>
          <w:rtl/>
        </w:rPr>
      </w:pPr>
    </w:p>
    <w:p w:rsidR="005E65EA" w:rsidRPr="003D7ADB" w:rsidRDefault="003106CB" w:rsidP="003D7ADB">
      <w:pPr>
        <w:widowControl/>
        <w:autoSpaceDE w:val="0"/>
        <w:autoSpaceDN w:val="0"/>
        <w:adjustRightInd w:val="0"/>
        <w:ind w:firstLine="0"/>
        <w:rPr>
          <w:color w:val="auto"/>
        </w:rPr>
      </w:pPr>
      <w:r>
        <w:rPr>
          <w:rFonts w:hint="cs"/>
          <w:color w:val="auto"/>
          <w:rtl/>
        </w:rPr>
        <w:t xml:space="preserve">    </w:t>
      </w:r>
      <w:r w:rsidR="003D7ADB">
        <w:rPr>
          <w:rFonts w:hint="cs"/>
          <w:color w:val="auto"/>
          <w:rtl/>
        </w:rPr>
        <w:t>و</w:t>
      </w:r>
      <w:r w:rsidR="005E65EA" w:rsidRPr="003D7ADB">
        <w:rPr>
          <w:rFonts w:hint="cs"/>
          <w:color w:val="auto"/>
          <w:rtl/>
        </w:rPr>
        <w:t>لا يُشترَط أن يكون بين المتسابقَيْنِ محلِّلٌ بحيث إذا غَلَبَ أَخذ عِوَضَيْهِما،</w:t>
      </w:r>
      <w:r w:rsidR="00154102" w:rsidRPr="003D7ADB">
        <w:rPr>
          <w:rFonts w:hint="cs"/>
          <w:color w:val="auto"/>
          <w:rtl/>
        </w:rPr>
        <w:t xml:space="preserve"> و</w:t>
      </w:r>
      <w:r w:rsidR="005E65EA" w:rsidRPr="003D7ADB">
        <w:rPr>
          <w:rFonts w:hint="cs"/>
          <w:color w:val="auto"/>
          <w:rtl/>
        </w:rPr>
        <w:t>إنْ غَلَبَاهُ لم يُؤْخَذ منه شيء</w:t>
      </w:r>
      <w:r w:rsidR="005E65EA" w:rsidRPr="003D7ADB">
        <w:rPr>
          <w:rFonts w:hint="cs"/>
          <w:color w:val="auto"/>
          <w:szCs w:val="32"/>
          <w:vertAlign w:val="superscript"/>
          <w:rtl/>
        </w:rPr>
        <w:t>(</w:t>
      </w:r>
      <w:r w:rsidR="005E65EA" w:rsidRPr="00C85F0F">
        <w:rPr>
          <w:rStyle w:val="af1"/>
          <w:color w:val="auto"/>
          <w:szCs w:val="32"/>
          <w:rtl/>
        </w:rPr>
        <w:footnoteReference w:id="842"/>
      </w:r>
      <w:r w:rsidR="005E65EA" w:rsidRPr="003D7ADB">
        <w:rPr>
          <w:rFonts w:hint="cs"/>
          <w:color w:val="auto"/>
          <w:szCs w:val="32"/>
          <w:vertAlign w:val="superscript"/>
          <w:rtl/>
        </w:rPr>
        <w:t>)</w:t>
      </w:r>
      <w:r w:rsidR="005E65EA" w:rsidRPr="003D7ADB">
        <w:rPr>
          <w:rFonts w:hint="cs"/>
          <w:color w:val="auto"/>
          <w:rtl/>
        </w:rPr>
        <w:t>.</w:t>
      </w:r>
    </w:p>
    <w:p w:rsidR="005E65EA" w:rsidRPr="00C85F0F" w:rsidRDefault="005E65EA" w:rsidP="000F5C0F">
      <w:pPr>
        <w:pStyle w:val="53"/>
        <w:rPr>
          <w:rtl/>
        </w:rPr>
      </w:pPr>
      <w:r w:rsidRPr="00C85F0F">
        <w:rPr>
          <w:rFonts w:hint="cs"/>
          <w:rtl/>
        </w:rPr>
        <w:t xml:space="preserve">وجه اندراج </w:t>
      </w:r>
      <w:r w:rsidRPr="000F5C0F">
        <w:rPr>
          <w:rFonts w:hint="cs"/>
          <w:rtl/>
        </w:rPr>
        <w:t>الفرع</w:t>
      </w:r>
      <w:r w:rsidRPr="00C85F0F">
        <w:rPr>
          <w:rFonts w:hint="cs"/>
          <w:rtl/>
        </w:rPr>
        <w:t xml:space="preserve"> تحت القاعدة:</w:t>
      </w:r>
    </w:p>
    <w:p w:rsidR="005E65EA" w:rsidRPr="00C85F0F" w:rsidRDefault="005E65EA" w:rsidP="00597C20">
      <w:pPr>
        <w:widowControl/>
        <w:autoSpaceDE w:val="0"/>
        <w:autoSpaceDN w:val="0"/>
        <w:adjustRightInd w:val="0"/>
        <w:ind w:firstLine="720"/>
        <w:rPr>
          <w:color w:val="auto"/>
          <w:rtl/>
        </w:rPr>
      </w:pPr>
      <w:r w:rsidRPr="00C85F0F">
        <w:rPr>
          <w:rFonts w:ascii="Traditional Arabic" w:hAnsi="Traditional Arabic"/>
          <w:noProof w:val="0"/>
          <w:rtl/>
          <w:lang w:eastAsia="en-US"/>
        </w:rPr>
        <w:t>إن</w:t>
      </w:r>
      <w:r w:rsidR="00FB76CC">
        <w:rPr>
          <w:rFonts w:ascii="Traditional Arabic" w:hAnsi="Traditional Arabic" w:hint="cs"/>
          <w:noProof w:val="0"/>
          <w:rtl/>
          <w:lang w:eastAsia="en-US"/>
        </w:rPr>
        <w:t>ْ</w:t>
      </w:r>
      <w:r w:rsidRPr="00C85F0F">
        <w:rPr>
          <w:rFonts w:ascii="Traditional Arabic" w:hAnsi="Traditional Arabic"/>
          <w:noProof w:val="0"/>
          <w:rtl/>
          <w:lang w:eastAsia="en-US"/>
        </w:rPr>
        <w:t xml:space="preserve"> جاز أخذ العوض بلا</w:t>
      </w:r>
      <w:r w:rsidR="003106CB">
        <w:rPr>
          <w:rFonts w:ascii="Traditional Arabic" w:hAnsi="Traditional Arabic"/>
          <w:noProof w:val="0"/>
          <w:rtl/>
          <w:lang w:eastAsia="en-US"/>
        </w:rPr>
        <w:t xml:space="preserve"> محلل فلا حاجة </w:t>
      </w:r>
      <w:r w:rsidR="003106CB">
        <w:rPr>
          <w:rFonts w:ascii="Traditional Arabic" w:hAnsi="Traditional Arabic" w:hint="cs"/>
          <w:noProof w:val="0"/>
          <w:rtl/>
          <w:lang w:eastAsia="en-US"/>
        </w:rPr>
        <w:t xml:space="preserve">إلى </w:t>
      </w:r>
      <w:r w:rsidRPr="00C85F0F">
        <w:rPr>
          <w:rFonts w:ascii="Traditional Arabic" w:hAnsi="Traditional Arabic"/>
          <w:noProof w:val="0"/>
          <w:rtl/>
          <w:lang w:eastAsia="en-US"/>
        </w:rPr>
        <w:t>لمحلل</w:t>
      </w:r>
      <w:r w:rsidRPr="00C85F0F">
        <w:rPr>
          <w:rFonts w:ascii="Traditional Arabic" w:hAnsi="Traditional Arabic" w:hint="cs"/>
          <w:noProof w:val="0"/>
          <w:rtl/>
          <w:lang w:eastAsia="en-US"/>
        </w:rPr>
        <w:t>، و</w:t>
      </w:r>
      <w:r w:rsidRPr="00C85F0F">
        <w:rPr>
          <w:rFonts w:hint="cs"/>
          <w:color w:val="auto"/>
          <w:rtl/>
        </w:rPr>
        <w:t>إن كان العِوَضُ محرَّمًا، فإنّ إدخالَ المحلِّلِ يكون حيلة من أجل استحلال الحرام، والحيل ممنوعة شرعا</w:t>
      </w:r>
      <w:r w:rsidRPr="00C85F0F">
        <w:rPr>
          <w:rFonts w:hint="cs"/>
          <w:color w:val="auto"/>
          <w:szCs w:val="32"/>
          <w:vertAlign w:val="superscript"/>
          <w:rtl/>
        </w:rPr>
        <w:t>(</w:t>
      </w:r>
      <w:r w:rsidRPr="00C85F0F">
        <w:rPr>
          <w:rStyle w:val="af1"/>
          <w:color w:val="auto"/>
          <w:szCs w:val="32"/>
          <w:rtl/>
        </w:rPr>
        <w:footnoteReference w:id="843"/>
      </w:r>
      <w:r w:rsidRPr="00C85F0F">
        <w:rPr>
          <w:rFonts w:hint="cs"/>
          <w:color w:val="auto"/>
          <w:szCs w:val="32"/>
          <w:vertAlign w:val="superscript"/>
          <w:rtl/>
        </w:rPr>
        <w:t>)</w:t>
      </w:r>
      <w:r w:rsidRPr="00C85F0F">
        <w:rPr>
          <w:rFonts w:hint="cs"/>
          <w:color w:val="auto"/>
          <w:rtl/>
        </w:rPr>
        <w:t>.</w:t>
      </w:r>
    </w:p>
    <w:p w:rsidR="00065E4B" w:rsidRPr="003D7ADB" w:rsidRDefault="00FB76CC" w:rsidP="003D7ADB">
      <w:pPr>
        <w:widowControl/>
        <w:autoSpaceDE w:val="0"/>
        <w:autoSpaceDN w:val="0"/>
        <w:adjustRightInd w:val="0"/>
        <w:ind w:firstLine="0"/>
        <w:rPr>
          <w:color w:val="auto"/>
        </w:rPr>
      </w:pPr>
      <w:r>
        <w:rPr>
          <w:rFonts w:hint="cs"/>
          <w:color w:val="auto"/>
          <w:rtl/>
        </w:rPr>
        <w:lastRenderedPageBreak/>
        <w:t xml:space="preserve">(5)    </w:t>
      </w:r>
      <w:r w:rsidR="005E65EA" w:rsidRPr="003D7ADB">
        <w:rPr>
          <w:rFonts w:hint="cs"/>
          <w:color w:val="auto"/>
          <w:rtl/>
        </w:rPr>
        <w:t>تَحَيُّلُ المشتري على إسقاطِ حقِّ الشريكِ في الشُّفْعَة</w:t>
      </w:r>
      <w:r w:rsidR="003D7ADB">
        <w:rPr>
          <w:rFonts w:hint="cs"/>
          <w:color w:val="auto"/>
          <w:szCs w:val="32"/>
          <w:vertAlign w:val="superscript"/>
          <w:rtl/>
        </w:rPr>
        <w:t xml:space="preserve"> </w:t>
      </w:r>
      <w:r w:rsidR="005E65EA" w:rsidRPr="003D7ADB">
        <w:rPr>
          <w:rFonts w:hint="cs"/>
          <w:color w:val="auto"/>
          <w:rtl/>
        </w:rPr>
        <w:t>لا يجوز،</w:t>
      </w:r>
      <w:r w:rsidR="00154102" w:rsidRPr="003D7ADB">
        <w:rPr>
          <w:rFonts w:hint="cs"/>
          <w:color w:val="auto"/>
          <w:rtl/>
        </w:rPr>
        <w:t xml:space="preserve"> و</w:t>
      </w:r>
      <w:r w:rsidR="005E65EA" w:rsidRPr="003D7ADB">
        <w:rPr>
          <w:rFonts w:hint="cs"/>
          <w:color w:val="auto"/>
          <w:rtl/>
        </w:rPr>
        <w:t>لا يُسْقِطُ حقَّه في الشُّفعة.</w:t>
      </w:r>
      <w:r w:rsidR="00154102" w:rsidRPr="003D7ADB">
        <w:rPr>
          <w:rFonts w:hint="cs"/>
          <w:color w:val="auto"/>
          <w:rtl/>
        </w:rPr>
        <w:t xml:space="preserve"> و</w:t>
      </w:r>
      <w:r w:rsidR="005E65EA" w:rsidRPr="003D7ADB">
        <w:rPr>
          <w:rFonts w:hint="cs"/>
          <w:color w:val="auto"/>
          <w:rtl/>
        </w:rPr>
        <w:t>مِن صُوَر الاحْتِيال أن يُظْهِرَ المشتري أنّ ثَمَنَها أكثر مما هو عليه في الواقع حتى يَعْدِلَ الشريكُ عن الشِّراء</w:t>
      </w:r>
      <w:r w:rsidR="005E65EA" w:rsidRPr="003D7ADB">
        <w:rPr>
          <w:rFonts w:hint="cs"/>
          <w:color w:val="auto"/>
          <w:szCs w:val="32"/>
          <w:vertAlign w:val="superscript"/>
          <w:rtl/>
        </w:rPr>
        <w:t>(</w:t>
      </w:r>
      <w:r w:rsidR="005E65EA" w:rsidRPr="00C85F0F">
        <w:rPr>
          <w:rStyle w:val="af1"/>
          <w:color w:val="auto"/>
          <w:szCs w:val="32"/>
          <w:rtl/>
        </w:rPr>
        <w:footnoteReference w:id="844"/>
      </w:r>
      <w:r w:rsidR="005E65EA" w:rsidRPr="003D7ADB">
        <w:rPr>
          <w:rFonts w:hint="cs"/>
          <w:color w:val="auto"/>
          <w:szCs w:val="32"/>
          <w:vertAlign w:val="superscript"/>
          <w:rtl/>
        </w:rPr>
        <w:t>)</w:t>
      </w:r>
      <w:r w:rsidR="005E65EA" w:rsidRPr="003D7ADB">
        <w:rPr>
          <w:rFonts w:hint="cs"/>
          <w:color w:val="auto"/>
          <w:rtl/>
        </w:rPr>
        <w:t>.</w:t>
      </w:r>
    </w:p>
    <w:p w:rsidR="005E65EA" w:rsidRPr="00C85F0F" w:rsidRDefault="00065E4B" w:rsidP="000F5C0F">
      <w:pPr>
        <w:pStyle w:val="53"/>
        <w:rPr>
          <w:rtl/>
        </w:rPr>
      </w:pPr>
      <w:r w:rsidRPr="00C85F0F">
        <w:rPr>
          <w:rFonts w:hint="cs"/>
          <w:rtl/>
        </w:rPr>
        <w:t>و</w:t>
      </w:r>
      <w:r w:rsidR="005E65EA" w:rsidRPr="00C85F0F">
        <w:rPr>
          <w:rFonts w:hint="cs"/>
          <w:rtl/>
        </w:rPr>
        <w:t>جه اندراج الفرع تحت القاعدة:</w:t>
      </w:r>
    </w:p>
    <w:p w:rsidR="005E65EA" w:rsidRDefault="005E65EA" w:rsidP="00597C20">
      <w:pPr>
        <w:widowControl/>
        <w:autoSpaceDE w:val="0"/>
        <w:autoSpaceDN w:val="0"/>
        <w:adjustRightInd w:val="0"/>
        <w:ind w:firstLine="720"/>
        <w:jc w:val="left"/>
        <w:rPr>
          <w:color w:val="auto"/>
          <w:vertAlign w:val="superscript"/>
          <w:rtl/>
        </w:rPr>
      </w:pPr>
      <w:r w:rsidRPr="00C85F0F">
        <w:rPr>
          <w:rFonts w:hint="cs"/>
          <w:color w:val="auto"/>
          <w:rtl/>
        </w:rPr>
        <w:t>الشُّفعة حقٌّ للشريك لا يَسْقُط إلا بِرِضاه،</w:t>
      </w:r>
      <w:r w:rsidR="00154102" w:rsidRPr="00C85F0F">
        <w:rPr>
          <w:rFonts w:hint="cs"/>
          <w:color w:val="auto"/>
          <w:rtl/>
        </w:rPr>
        <w:t xml:space="preserve"> و</w:t>
      </w:r>
      <w:r w:rsidRPr="00C85F0F">
        <w:rPr>
          <w:rFonts w:hint="cs"/>
          <w:color w:val="auto"/>
          <w:rtl/>
        </w:rPr>
        <w:t>التحيُّل على إسقاطِ حقِّ المسلم تحيُّل على فعلِ محرَّمٍ،</w:t>
      </w:r>
      <w:r w:rsidR="00154102" w:rsidRPr="00C85F0F">
        <w:rPr>
          <w:rFonts w:hint="cs"/>
          <w:color w:val="auto"/>
          <w:rtl/>
        </w:rPr>
        <w:t xml:space="preserve"> و</w:t>
      </w:r>
      <w:r w:rsidRPr="00C85F0F">
        <w:rPr>
          <w:rFonts w:hint="cs"/>
          <w:color w:val="auto"/>
          <w:rtl/>
        </w:rPr>
        <w:t>الحيل ممنوعة شرعا</w:t>
      </w:r>
      <w:r w:rsidRPr="00C85F0F">
        <w:rPr>
          <w:rFonts w:hint="cs"/>
          <w:color w:val="auto"/>
          <w:szCs w:val="32"/>
          <w:vertAlign w:val="superscript"/>
          <w:rtl/>
        </w:rPr>
        <w:t>(</w:t>
      </w:r>
      <w:r w:rsidRPr="00C85F0F">
        <w:rPr>
          <w:rStyle w:val="af1"/>
          <w:color w:val="auto"/>
          <w:szCs w:val="32"/>
          <w:rtl/>
        </w:rPr>
        <w:footnoteReference w:id="845"/>
      </w:r>
      <w:r w:rsidRPr="00C85F0F">
        <w:rPr>
          <w:rFonts w:hint="cs"/>
          <w:color w:val="auto"/>
          <w:szCs w:val="32"/>
          <w:vertAlign w:val="superscript"/>
          <w:rtl/>
        </w:rPr>
        <w:t>)</w:t>
      </w:r>
      <w:r w:rsidRPr="00C85F0F">
        <w:rPr>
          <w:rFonts w:hint="cs"/>
          <w:color w:val="auto"/>
          <w:vertAlign w:val="superscript"/>
          <w:rtl/>
        </w:rPr>
        <w:t>.</w:t>
      </w:r>
    </w:p>
    <w:p w:rsidR="00B119BE" w:rsidRDefault="00B119BE" w:rsidP="00597C20">
      <w:pPr>
        <w:widowControl/>
        <w:autoSpaceDE w:val="0"/>
        <w:autoSpaceDN w:val="0"/>
        <w:adjustRightInd w:val="0"/>
        <w:ind w:firstLine="720"/>
        <w:jc w:val="left"/>
        <w:rPr>
          <w:color w:val="auto"/>
          <w:vertAlign w:val="superscript"/>
          <w:rtl/>
        </w:rPr>
      </w:pPr>
    </w:p>
    <w:p w:rsidR="00B119BE" w:rsidRPr="00C85F0F" w:rsidRDefault="00B119BE" w:rsidP="00597C20">
      <w:pPr>
        <w:widowControl/>
        <w:autoSpaceDE w:val="0"/>
        <w:autoSpaceDN w:val="0"/>
        <w:adjustRightInd w:val="0"/>
        <w:ind w:firstLine="720"/>
        <w:jc w:val="left"/>
        <w:rPr>
          <w:color w:val="auto"/>
          <w:vertAlign w:val="superscript"/>
          <w:rtl/>
        </w:rPr>
      </w:pPr>
    </w:p>
    <w:p w:rsidR="005E65EA" w:rsidRPr="00C85F0F" w:rsidRDefault="005E65EA" w:rsidP="000F5C0F">
      <w:pPr>
        <w:pStyle w:val="aff2"/>
        <w:rPr>
          <w:rtl/>
        </w:rPr>
      </w:pPr>
      <w:bookmarkStart w:id="163" w:name="_Toc334046403"/>
      <w:r w:rsidRPr="00C85F0F">
        <w:rPr>
          <w:rFonts w:hint="cs"/>
          <w:rtl/>
        </w:rPr>
        <w:lastRenderedPageBreak/>
        <w:t>المبحث الثامن</w:t>
      </w:r>
      <w:r w:rsidRPr="00C85F0F">
        <w:rPr>
          <w:rFonts w:hint="eastAsia"/>
          <w:rtl/>
        </w:rPr>
        <w:t> :</w:t>
      </w:r>
      <w:r w:rsidRPr="00C85F0F">
        <w:rPr>
          <w:rFonts w:hint="cs"/>
          <w:rtl/>
        </w:rPr>
        <w:br/>
        <w:t>قاعدة</w:t>
      </w:r>
      <w:r w:rsidRPr="00C85F0F">
        <w:rPr>
          <w:rtl/>
        </w:rPr>
        <w:br/>
      </w:r>
      <w:r w:rsidRPr="00C85F0F">
        <w:rPr>
          <w:rFonts w:hint="cs"/>
          <w:rtl/>
        </w:rPr>
        <w:t>"المُعامَلَة بِنَقِيضِ القَصْد</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المُعامَلَةبِنَقِيضِالقَصْد</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Fonts w:hint="cs"/>
          <w:szCs w:val="32"/>
          <w:vertAlign w:val="superscript"/>
          <w:rtl/>
        </w:rPr>
        <w:t>(</w:t>
      </w:r>
      <w:r w:rsidRPr="00C85F0F">
        <w:rPr>
          <w:szCs w:val="32"/>
          <w:vertAlign w:val="superscript"/>
          <w:rtl/>
        </w:rPr>
        <w:footnoteReference w:id="846"/>
      </w:r>
      <w:r w:rsidRPr="00C85F0F">
        <w:rPr>
          <w:rFonts w:hint="cs"/>
          <w:szCs w:val="32"/>
          <w:vertAlign w:val="superscript"/>
          <w:rtl/>
        </w:rPr>
        <w:t>)</w:t>
      </w:r>
      <w:bookmarkEnd w:id="163"/>
    </w:p>
    <w:p w:rsidR="00065E4B" w:rsidRPr="00C85F0F" w:rsidRDefault="00BE3E18" w:rsidP="00A8347C">
      <w:pPr>
        <w:pStyle w:val="aff3"/>
        <w:rPr>
          <w:rtl/>
        </w:rPr>
      </w:pPr>
      <w:bookmarkStart w:id="164" w:name="_Toc334046404"/>
      <w:r>
        <w:rPr>
          <w:rFonts w:hint="cs"/>
          <w:rtl/>
        </w:rPr>
        <w:t xml:space="preserve">                                         </w:t>
      </w:r>
      <w:r w:rsidR="005E65EA" w:rsidRPr="00C85F0F">
        <w:rPr>
          <w:rFonts w:hint="cs"/>
          <w:rtl/>
        </w:rPr>
        <w:t>المطلب الأول</w:t>
      </w:r>
      <w:r w:rsidR="005E65EA" w:rsidRPr="00C85F0F">
        <w:rPr>
          <w:rFonts w:hint="eastAsia"/>
          <w:rtl/>
        </w:rPr>
        <w:t> </w:t>
      </w:r>
      <w:r w:rsidR="005E65EA" w:rsidRPr="00C85F0F">
        <w:rPr>
          <w:rFonts w:hint="cs"/>
          <w:rtl/>
        </w:rPr>
        <w:t>:</w:t>
      </w:r>
      <w:r w:rsidR="005E65EA" w:rsidRPr="00C85F0F">
        <w:rPr>
          <w:rFonts w:hint="cs"/>
          <w:rtl/>
        </w:rPr>
        <w:br/>
      </w:r>
      <w:r>
        <w:rPr>
          <w:rFonts w:hint="cs"/>
          <w:rtl/>
        </w:rPr>
        <w:t xml:space="preserve">                     </w:t>
      </w:r>
      <w:r w:rsidR="00EF1161">
        <w:rPr>
          <w:rFonts w:hint="cs"/>
          <w:rtl/>
        </w:rPr>
        <w:t xml:space="preserve"> </w:t>
      </w:r>
      <w:r w:rsidR="005E65EA" w:rsidRPr="00C85F0F">
        <w:rPr>
          <w:rFonts w:hint="cs"/>
          <w:rtl/>
        </w:rPr>
        <w:t>صيغ القاعدة عند الشيخ وعند علماء القواعد</w:t>
      </w:r>
      <w:bookmarkEnd w:id="164"/>
    </w:p>
    <w:p w:rsidR="005E65EA" w:rsidRPr="00C85F0F" w:rsidRDefault="00045EC5" w:rsidP="00045EC5">
      <w:pPr>
        <w:ind w:firstLine="0"/>
        <w:jc w:val="left"/>
        <w:rPr>
          <w:rtl/>
        </w:rPr>
      </w:pPr>
      <w:r>
        <w:rPr>
          <w:rFonts w:hint="cs"/>
          <w:rtl/>
        </w:rPr>
        <w:t>وردت هذه القاعدة عند الشيخ ابن عثيمين _رحمه الله_ بعدة ص</w:t>
      </w:r>
      <w:r w:rsidR="005E65EA" w:rsidRPr="00C85F0F">
        <w:rPr>
          <w:rFonts w:hint="cs"/>
          <w:rtl/>
        </w:rPr>
        <w:t>يغ</w:t>
      </w:r>
      <w:r>
        <w:rPr>
          <w:rFonts w:hint="cs"/>
          <w:rtl/>
        </w:rPr>
        <w:t>، منها</w:t>
      </w:r>
      <w:r w:rsidR="005E65EA" w:rsidRPr="00C85F0F">
        <w:rPr>
          <w:rFonts w:hint="cs"/>
          <w:rtl/>
        </w:rPr>
        <w:t>:</w:t>
      </w:r>
    </w:p>
    <w:p w:rsidR="005E65EA" w:rsidRPr="00C85F0F" w:rsidRDefault="005E65EA" w:rsidP="000A76C7">
      <w:pPr>
        <w:pStyle w:val="afc"/>
        <w:numPr>
          <w:ilvl w:val="0"/>
          <w:numId w:val="123"/>
        </w:numPr>
        <w:jc w:val="left"/>
      </w:pPr>
      <w:r w:rsidRPr="00C85F0F">
        <w:rPr>
          <w:rFonts w:hint="cs"/>
          <w:rtl/>
        </w:rPr>
        <w:t>الْمُعَاقَبَة بِنَقيض القصْد</w:t>
      </w:r>
      <w:r w:rsidRPr="00C85F0F">
        <w:rPr>
          <w:rFonts w:hint="cs"/>
          <w:szCs w:val="32"/>
          <w:vertAlign w:val="superscript"/>
          <w:rtl/>
        </w:rPr>
        <w:t>(</w:t>
      </w:r>
      <w:r w:rsidRPr="00C85F0F">
        <w:rPr>
          <w:rStyle w:val="af1"/>
          <w:szCs w:val="32"/>
          <w:rtl/>
        </w:rPr>
        <w:footnoteReference w:id="847"/>
      </w:r>
      <w:r w:rsidRPr="00C85F0F">
        <w:rPr>
          <w:rFonts w:hint="cs"/>
          <w:szCs w:val="32"/>
          <w:vertAlign w:val="superscript"/>
          <w:rtl/>
        </w:rPr>
        <w:t>)</w:t>
      </w:r>
      <w:r w:rsidRPr="00C85F0F">
        <w:rPr>
          <w:rFonts w:hint="cs"/>
          <w:rtl/>
        </w:rPr>
        <w:t>.</w:t>
      </w:r>
    </w:p>
    <w:p w:rsidR="005E65EA" w:rsidRPr="00C85F0F" w:rsidRDefault="005E65EA" w:rsidP="000A76C7">
      <w:pPr>
        <w:pStyle w:val="afc"/>
        <w:numPr>
          <w:ilvl w:val="0"/>
          <w:numId w:val="123"/>
        </w:numPr>
        <w:jc w:val="left"/>
        <w:rPr>
          <w:rtl/>
        </w:rPr>
      </w:pPr>
      <w:r w:rsidRPr="00C85F0F">
        <w:rPr>
          <w:rFonts w:hint="cs"/>
          <w:rtl/>
        </w:rPr>
        <w:t>المعامَلة بنقيض القصد</w:t>
      </w:r>
      <w:r w:rsidRPr="00C85F0F">
        <w:rPr>
          <w:rFonts w:hint="cs"/>
          <w:szCs w:val="32"/>
          <w:vertAlign w:val="superscript"/>
          <w:rtl/>
        </w:rPr>
        <w:t>(</w:t>
      </w:r>
      <w:r w:rsidRPr="00C85F0F">
        <w:rPr>
          <w:rStyle w:val="af1"/>
          <w:szCs w:val="32"/>
          <w:rtl/>
        </w:rPr>
        <w:footnoteReference w:id="848"/>
      </w:r>
      <w:r w:rsidRPr="00C85F0F">
        <w:rPr>
          <w:rFonts w:hint="cs"/>
          <w:szCs w:val="32"/>
          <w:vertAlign w:val="superscript"/>
          <w:rtl/>
        </w:rPr>
        <w:t>)</w:t>
      </w:r>
      <w:r w:rsidRPr="00C85F0F">
        <w:rPr>
          <w:rFonts w:hint="cs"/>
          <w:rtl/>
        </w:rPr>
        <w:t>.</w:t>
      </w:r>
    </w:p>
    <w:p w:rsidR="005E65EA" w:rsidRPr="00C85F0F" w:rsidRDefault="005E65EA" w:rsidP="000A76C7">
      <w:pPr>
        <w:numPr>
          <w:ilvl w:val="0"/>
          <w:numId w:val="123"/>
        </w:numPr>
        <w:jc w:val="left"/>
      </w:pPr>
      <w:r w:rsidRPr="00C85F0F">
        <w:rPr>
          <w:rFonts w:hint="cs"/>
          <w:rtl/>
        </w:rPr>
        <w:t>مَن تَعَجَّل شيئًا قَبْل أَوانِه على وَجْهٍ محرَّم عوقِب بِحِرْمانِه</w:t>
      </w:r>
      <w:r w:rsidRPr="00C85F0F">
        <w:rPr>
          <w:rFonts w:hint="cs"/>
          <w:szCs w:val="32"/>
          <w:vertAlign w:val="superscript"/>
          <w:rtl/>
        </w:rPr>
        <w:t>(</w:t>
      </w:r>
      <w:r w:rsidRPr="00C85F0F">
        <w:rPr>
          <w:rStyle w:val="af1"/>
          <w:szCs w:val="32"/>
          <w:rtl/>
        </w:rPr>
        <w:footnoteReference w:id="849"/>
      </w:r>
      <w:r w:rsidRPr="00C85F0F">
        <w:rPr>
          <w:rFonts w:hint="cs"/>
          <w:szCs w:val="32"/>
          <w:vertAlign w:val="superscript"/>
          <w:rtl/>
        </w:rPr>
        <w:t>)</w:t>
      </w:r>
      <w:r w:rsidRPr="00C85F0F">
        <w:rPr>
          <w:rFonts w:hint="cs"/>
          <w:rtl/>
        </w:rPr>
        <w:t>.</w:t>
      </w:r>
    </w:p>
    <w:p w:rsidR="005E65EA" w:rsidRPr="00C85F0F" w:rsidRDefault="005E65EA" w:rsidP="000A76C7">
      <w:pPr>
        <w:numPr>
          <w:ilvl w:val="0"/>
          <w:numId w:val="123"/>
        </w:numPr>
        <w:jc w:val="left"/>
      </w:pPr>
      <w:r w:rsidRPr="00C85F0F">
        <w:rPr>
          <w:rFonts w:hint="cs"/>
          <w:rtl/>
        </w:rPr>
        <w:lastRenderedPageBreak/>
        <w:t>مَن تَعَجَّل شيئًا قَبْل أَوانِه عوقِب بِحِرْمانِه</w:t>
      </w:r>
      <w:r w:rsidRPr="00C85F0F">
        <w:rPr>
          <w:rFonts w:hint="cs"/>
          <w:szCs w:val="32"/>
          <w:vertAlign w:val="superscript"/>
          <w:rtl/>
        </w:rPr>
        <w:t>(</w:t>
      </w:r>
      <w:r w:rsidRPr="00C85F0F">
        <w:rPr>
          <w:rStyle w:val="af1"/>
          <w:szCs w:val="32"/>
          <w:rtl/>
        </w:rPr>
        <w:footnoteReference w:id="850"/>
      </w:r>
      <w:r w:rsidRPr="00C85F0F">
        <w:rPr>
          <w:rFonts w:hint="cs"/>
          <w:szCs w:val="32"/>
          <w:vertAlign w:val="superscript"/>
          <w:rtl/>
        </w:rPr>
        <w:t>)</w:t>
      </w:r>
      <w:r w:rsidRPr="00C85F0F">
        <w:rPr>
          <w:rFonts w:hint="cs"/>
          <w:rtl/>
        </w:rPr>
        <w:t>.</w:t>
      </w:r>
    </w:p>
    <w:p w:rsidR="005E65EA" w:rsidRPr="00C85F0F" w:rsidRDefault="00EF1161" w:rsidP="007C0153">
      <w:pPr>
        <w:ind w:firstLine="0"/>
        <w:jc w:val="left"/>
        <w:rPr>
          <w:rtl/>
        </w:rPr>
      </w:pPr>
      <w:r>
        <w:rPr>
          <w:rFonts w:hint="cs"/>
          <w:rtl/>
        </w:rPr>
        <w:t xml:space="preserve">    </w:t>
      </w:r>
      <w:r w:rsidR="005E65EA" w:rsidRPr="00C85F0F">
        <w:rPr>
          <w:rFonts w:hint="cs"/>
          <w:rtl/>
        </w:rPr>
        <w:t>و وَرَدَ ذِكْرُ هذه القاعدة عند علماء القواعد الفقهية بصيغ متنوعة،منها:</w:t>
      </w:r>
    </w:p>
    <w:p w:rsidR="005E65EA" w:rsidRPr="00C85F0F" w:rsidRDefault="005E65EA" w:rsidP="000A76C7">
      <w:pPr>
        <w:pStyle w:val="afc"/>
        <w:numPr>
          <w:ilvl w:val="0"/>
          <w:numId w:val="125"/>
        </w:numPr>
        <w:jc w:val="left"/>
        <w:rPr>
          <w:rtl/>
        </w:rPr>
      </w:pPr>
      <w:r w:rsidRPr="00C85F0F">
        <w:rPr>
          <w:rFonts w:hint="cs"/>
          <w:rtl/>
        </w:rPr>
        <w:t>الْمُعارَضَة بِنَقيض الْمَقْصود</w:t>
      </w:r>
      <w:r w:rsidRPr="00C85F0F">
        <w:rPr>
          <w:rFonts w:hint="cs"/>
          <w:szCs w:val="32"/>
          <w:vertAlign w:val="superscript"/>
          <w:rtl/>
        </w:rPr>
        <w:t>(</w:t>
      </w:r>
      <w:r w:rsidRPr="00C85F0F">
        <w:rPr>
          <w:rStyle w:val="af1"/>
          <w:szCs w:val="32"/>
          <w:rtl/>
        </w:rPr>
        <w:footnoteReference w:id="851"/>
      </w:r>
      <w:r w:rsidRPr="00C85F0F">
        <w:rPr>
          <w:rFonts w:hint="cs"/>
          <w:szCs w:val="32"/>
          <w:vertAlign w:val="superscript"/>
          <w:rtl/>
        </w:rPr>
        <w:t>)</w:t>
      </w:r>
      <w:r w:rsidRPr="00C85F0F">
        <w:rPr>
          <w:rFonts w:hint="cs"/>
          <w:rtl/>
        </w:rPr>
        <w:t>.</w:t>
      </w:r>
    </w:p>
    <w:p w:rsidR="005E65EA" w:rsidRPr="00C85F0F" w:rsidRDefault="005E65EA" w:rsidP="000A76C7">
      <w:pPr>
        <w:numPr>
          <w:ilvl w:val="0"/>
          <w:numId w:val="124"/>
        </w:numPr>
        <w:jc w:val="left"/>
      </w:pPr>
      <w:r w:rsidRPr="00C85F0F">
        <w:rPr>
          <w:rFonts w:hint="cs"/>
          <w:rtl/>
        </w:rPr>
        <w:t>الْمُقابَلَة بنقيض القصد</w:t>
      </w:r>
      <w:r w:rsidRPr="00C85F0F">
        <w:rPr>
          <w:rFonts w:hint="cs"/>
          <w:szCs w:val="32"/>
          <w:vertAlign w:val="superscript"/>
          <w:rtl/>
        </w:rPr>
        <w:t>(</w:t>
      </w:r>
      <w:r w:rsidRPr="00C85F0F">
        <w:rPr>
          <w:rStyle w:val="af1"/>
          <w:szCs w:val="32"/>
          <w:rtl/>
        </w:rPr>
        <w:footnoteReference w:id="852"/>
      </w:r>
      <w:r w:rsidRPr="00C85F0F">
        <w:rPr>
          <w:rFonts w:hint="cs"/>
          <w:szCs w:val="32"/>
          <w:vertAlign w:val="superscript"/>
          <w:rtl/>
        </w:rPr>
        <w:t>)</w:t>
      </w:r>
      <w:r w:rsidRPr="00C85F0F">
        <w:rPr>
          <w:rFonts w:hint="cs"/>
          <w:rtl/>
        </w:rPr>
        <w:t>.</w:t>
      </w:r>
    </w:p>
    <w:p w:rsidR="005E65EA" w:rsidRPr="00C85F0F" w:rsidRDefault="005E65EA" w:rsidP="000A76C7">
      <w:pPr>
        <w:numPr>
          <w:ilvl w:val="0"/>
          <w:numId w:val="124"/>
        </w:numPr>
        <w:jc w:val="left"/>
      </w:pPr>
      <w:r w:rsidRPr="00C85F0F">
        <w:rPr>
          <w:rFonts w:hint="cs"/>
          <w:rtl/>
        </w:rPr>
        <w:t>الْمُعَاقَبَة بنقيض القصد</w:t>
      </w:r>
      <w:r w:rsidRPr="00C85F0F">
        <w:rPr>
          <w:rFonts w:hint="cs"/>
          <w:szCs w:val="32"/>
          <w:vertAlign w:val="superscript"/>
          <w:rtl/>
        </w:rPr>
        <w:t>(</w:t>
      </w:r>
      <w:r w:rsidRPr="00C85F0F">
        <w:rPr>
          <w:rStyle w:val="af1"/>
          <w:szCs w:val="32"/>
          <w:rtl/>
        </w:rPr>
        <w:footnoteReference w:id="853"/>
      </w:r>
      <w:r w:rsidRPr="00C85F0F">
        <w:rPr>
          <w:rFonts w:hint="cs"/>
          <w:szCs w:val="32"/>
          <w:vertAlign w:val="superscript"/>
          <w:rtl/>
        </w:rPr>
        <w:t>)</w:t>
      </w:r>
      <w:r w:rsidRPr="00C85F0F">
        <w:rPr>
          <w:rFonts w:hint="cs"/>
          <w:rtl/>
        </w:rPr>
        <w:t>.</w:t>
      </w:r>
    </w:p>
    <w:p w:rsidR="005E65EA" w:rsidRPr="00C85F0F" w:rsidRDefault="005E65EA" w:rsidP="000A76C7">
      <w:pPr>
        <w:numPr>
          <w:ilvl w:val="0"/>
          <w:numId w:val="124"/>
        </w:numPr>
        <w:jc w:val="left"/>
        <w:rPr>
          <w:rtl/>
        </w:rPr>
      </w:pPr>
      <w:r w:rsidRPr="00C85F0F">
        <w:rPr>
          <w:rtl/>
        </w:rPr>
        <w:t>ما ر</w:t>
      </w:r>
      <w:r w:rsidRPr="00C85F0F">
        <w:rPr>
          <w:rFonts w:hint="cs"/>
          <w:rtl/>
        </w:rPr>
        <w:t>َ</w:t>
      </w:r>
      <w:r w:rsidRPr="00C85F0F">
        <w:rPr>
          <w:rtl/>
        </w:rPr>
        <w:t>بط به الشارع</w:t>
      </w:r>
      <w:r w:rsidRPr="00C85F0F">
        <w:rPr>
          <w:rFonts w:hint="cs"/>
          <w:rtl/>
        </w:rPr>
        <w:t>ُ</w:t>
      </w:r>
      <w:r w:rsidRPr="00C85F0F">
        <w:rPr>
          <w:rtl/>
        </w:rPr>
        <w:t xml:space="preserve"> ح</w:t>
      </w:r>
      <w:r w:rsidRPr="00C85F0F">
        <w:rPr>
          <w:rFonts w:hint="cs"/>
          <w:rtl/>
        </w:rPr>
        <w:t>ُ</w:t>
      </w:r>
      <w:r w:rsidRPr="00C85F0F">
        <w:rPr>
          <w:rtl/>
        </w:rPr>
        <w:t>كم</w:t>
      </w:r>
      <w:r w:rsidRPr="00C85F0F">
        <w:rPr>
          <w:rFonts w:hint="cs"/>
          <w:rtl/>
        </w:rPr>
        <w:t>ً</w:t>
      </w:r>
      <w:r w:rsidRPr="00C85F0F">
        <w:rPr>
          <w:rtl/>
        </w:rPr>
        <w:t>ا</w:t>
      </w:r>
      <w:r w:rsidRPr="00C85F0F">
        <w:rPr>
          <w:rFonts w:hint="cs"/>
          <w:rtl/>
        </w:rPr>
        <w:t>،</w:t>
      </w:r>
      <w:r w:rsidRPr="00C85F0F">
        <w:rPr>
          <w:rtl/>
        </w:rPr>
        <w:t xml:space="preserve"> فع</w:t>
      </w:r>
      <w:r w:rsidRPr="00C85F0F">
        <w:rPr>
          <w:rFonts w:hint="cs"/>
          <w:rtl/>
        </w:rPr>
        <w:t>َ</w:t>
      </w:r>
      <w:r w:rsidRPr="00C85F0F">
        <w:rPr>
          <w:rtl/>
        </w:rPr>
        <w:t>م</w:t>
      </w:r>
      <w:r w:rsidRPr="00C85F0F">
        <w:rPr>
          <w:rFonts w:hint="cs"/>
          <w:rtl/>
        </w:rPr>
        <w:t>َ</w:t>
      </w:r>
      <w:r w:rsidRPr="00C85F0F">
        <w:rPr>
          <w:rtl/>
        </w:rPr>
        <w:t>د الم</w:t>
      </w:r>
      <w:r w:rsidRPr="00C85F0F">
        <w:rPr>
          <w:rFonts w:hint="cs"/>
          <w:rtl/>
        </w:rPr>
        <w:t>َكلَّ</w:t>
      </w:r>
      <w:r w:rsidRPr="00C85F0F">
        <w:rPr>
          <w:rtl/>
        </w:rPr>
        <w:t>ف</w:t>
      </w:r>
      <w:r w:rsidRPr="00C85F0F">
        <w:rPr>
          <w:rFonts w:hint="cs"/>
          <w:rtl/>
        </w:rPr>
        <w:t>ُ</w:t>
      </w:r>
      <w:r w:rsidRPr="00C85F0F">
        <w:rPr>
          <w:rtl/>
        </w:rPr>
        <w:t xml:space="preserve"> إلى اس</w:t>
      </w:r>
      <w:r w:rsidRPr="00C85F0F">
        <w:rPr>
          <w:rFonts w:hint="cs"/>
          <w:rtl/>
        </w:rPr>
        <w:t>ْ</w:t>
      </w:r>
      <w:r w:rsidRPr="00C85F0F">
        <w:rPr>
          <w:rtl/>
        </w:rPr>
        <w:t>ت</w:t>
      </w:r>
      <w:r w:rsidRPr="00C85F0F">
        <w:rPr>
          <w:rFonts w:hint="cs"/>
          <w:rtl/>
        </w:rPr>
        <w:t>ِ</w:t>
      </w:r>
      <w:r w:rsidRPr="00C85F0F">
        <w:rPr>
          <w:rtl/>
        </w:rPr>
        <w:t>ع</w:t>
      </w:r>
      <w:r w:rsidRPr="00C85F0F">
        <w:rPr>
          <w:rFonts w:hint="cs"/>
          <w:rtl/>
        </w:rPr>
        <w:t>ْ</w:t>
      </w:r>
      <w:r w:rsidRPr="00C85F0F">
        <w:rPr>
          <w:rtl/>
        </w:rPr>
        <w:t>جاله ل</w:t>
      </w:r>
      <w:r w:rsidRPr="00C85F0F">
        <w:rPr>
          <w:rFonts w:hint="cs"/>
          <w:rtl/>
        </w:rPr>
        <w:t>ِ</w:t>
      </w:r>
      <w:r w:rsidRPr="00C85F0F">
        <w:rPr>
          <w:rtl/>
        </w:rPr>
        <w:t>ي</w:t>
      </w:r>
      <w:r w:rsidRPr="00C85F0F">
        <w:rPr>
          <w:rFonts w:hint="cs"/>
          <w:rtl/>
        </w:rPr>
        <w:t>َ</w:t>
      </w:r>
      <w:r w:rsidR="003F0E8F">
        <w:rPr>
          <w:rtl/>
        </w:rPr>
        <w:t>نال ذلك الحكم</w:t>
      </w:r>
      <w:r w:rsidRPr="00C85F0F">
        <w:rPr>
          <w:rtl/>
        </w:rPr>
        <w:t>؛</w:t>
      </w:r>
      <w:r w:rsidR="003F0E8F">
        <w:rPr>
          <w:rFonts w:hint="cs"/>
          <w:rtl/>
        </w:rPr>
        <w:t xml:space="preserve"> </w:t>
      </w:r>
      <w:r w:rsidRPr="00C85F0F">
        <w:rPr>
          <w:rtl/>
        </w:rPr>
        <w:t>فهل يفو</w:t>
      </w:r>
      <w:r w:rsidR="003F0E8F">
        <w:rPr>
          <w:rFonts w:hint="cs"/>
          <w:rtl/>
        </w:rPr>
        <w:t>َّ</w:t>
      </w:r>
      <w:r w:rsidRPr="00C85F0F">
        <w:rPr>
          <w:rtl/>
        </w:rPr>
        <w:t>ت عليه م</w:t>
      </w:r>
      <w:r w:rsidRPr="00C85F0F">
        <w:rPr>
          <w:rFonts w:hint="cs"/>
          <w:rtl/>
        </w:rPr>
        <w:t>ُ</w:t>
      </w:r>
      <w:r w:rsidRPr="00C85F0F">
        <w:rPr>
          <w:rtl/>
        </w:rPr>
        <w:t>عام</w:t>
      </w:r>
      <w:r w:rsidRPr="00C85F0F">
        <w:rPr>
          <w:rFonts w:hint="cs"/>
          <w:rtl/>
        </w:rPr>
        <w:t>َ</w:t>
      </w:r>
      <w:r w:rsidRPr="00C85F0F">
        <w:rPr>
          <w:rtl/>
        </w:rPr>
        <w:t>لة</w:t>
      </w:r>
      <w:r w:rsidR="003F0E8F">
        <w:rPr>
          <w:rFonts w:hint="cs"/>
          <w:rtl/>
        </w:rPr>
        <w:t>ً</w:t>
      </w:r>
      <w:r w:rsidRPr="00C85F0F">
        <w:rPr>
          <w:rtl/>
        </w:rPr>
        <w:t xml:space="preserve"> له ب</w:t>
      </w:r>
      <w:r w:rsidRPr="00C85F0F">
        <w:rPr>
          <w:rFonts w:hint="cs"/>
          <w:rtl/>
        </w:rPr>
        <w:t>ِ</w:t>
      </w:r>
      <w:r w:rsidRPr="00C85F0F">
        <w:rPr>
          <w:rtl/>
        </w:rPr>
        <w:t>نقيض</w:t>
      </w:r>
      <w:r w:rsidRPr="00C85F0F">
        <w:rPr>
          <w:rFonts w:hint="cs"/>
          <w:rtl/>
        </w:rPr>
        <w:t>ِ</w:t>
      </w:r>
      <w:r w:rsidRPr="00C85F0F">
        <w:rPr>
          <w:rtl/>
        </w:rPr>
        <w:t xml:space="preserve"> م</w:t>
      </w:r>
      <w:r w:rsidRPr="00C85F0F">
        <w:rPr>
          <w:rFonts w:hint="cs"/>
          <w:rtl/>
        </w:rPr>
        <w:t>َ</w:t>
      </w:r>
      <w:r w:rsidRPr="00C85F0F">
        <w:rPr>
          <w:rtl/>
        </w:rPr>
        <w:t>ق</w:t>
      </w:r>
      <w:r w:rsidRPr="00C85F0F">
        <w:rPr>
          <w:rFonts w:hint="cs"/>
          <w:rtl/>
        </w:rPr>
        <w:t>ْ</w:t>
      </w:r>
      <w:r w:rsidRPr="00C85F0F">
        <w:rPr>
          <w:rtl/>
        </w:rPr>
        <w:t>صوده</w:t>
      </w:r>
      <w:r w:rsidRPr="00C85F0F">
        <w:rPr>
          <w:rFonts w:hint="cs"/>
          <w:rtl/>
        </w:rPr>
        <w:t>،</w:t>
      </w:r>
      <w:r w:rsidRPr="00C85F0F">
        <w:rPr>
          <w:rtl/>
        </w:rPr>
        <w:t xml:space="preserve"> أو لا</w:t>
      </w:r>
      <w:r w:rsidRPr="00C85F0F">
        <w:rPr>
          <w:rFonts w:hint="cs"/>
          <w:rtl/>
        </w:rPr>
        <w:t>؛</w:t>
      </w:r>
      <w:r w:rsidRPr="00C85F0F">
        <w:rPr>
          <w:rtl/>
        </w:rPr>
        <w:t xml:space="preserve"> ل</w:t>
      </w:r>
      <w:r w:rsidRPr="00C85F0F">
        <w:rPr>
          <w:rFonts w:hint="cs"/>
          <w:rtl/>
        </w:rPr>
        <w:t>ِ</w:t>
      </w:r>
      <w:r w:rsidRPr="00C85F0F">
        <w:rPr>
          <w:rtl/>
        </w:rPr>
        <w:t>وجود الأمر الذي عل</w:t>
      </w:r>
      <w:r w:rsidRPr="00C85F0F">
        <w:rPr>
          <w:rFonts w:hint="cs"/>
          <w:rtl/>
        </w:rPr>
        <w:t>َّ</w:t>
      </w:r>
      <w:r w:rsidRPr="00C85F0F">
        <w:rPr>
          <w:rtl/>
        </w:rPr>
        <w:t>ق الشارع الحكم</w:t>
      </w:r>
      <w:r w:rsidRPr="00C85F0F">
        <w:rPr>
          <w:rFonts w:hint="cs"/>
          <w:rtl/>
        </w:rPr>
        <w:t>َ</w:t>
      </w:r>
      <w:r w:rsidRPr="00C85F0F">
        <w:rPr>
          <w:rtl/>
        </w:rPr>
        <w:t xml:space="preserve"> عليه ؟</w:t>
      </w:r>
      <w:r w:rsidRPr="00C85F0F">
        <w:rPr>
          <w:rFonts w:hint="cs"/>
          <w:szCs w:val="32"/>
          <w:vertAlign w:val="superscript"/>
          <w:rtl/>
        </w:rPr>
        <w:t>(</w:t>
      </w:r>
      <w:r w:rsidRPr="00C85F0F">
        <w:rPr>
          <w:rStyle w:val="af1"/>
          <w:szCs w:val="32"/>
          <w:rtl/>
        </w:rPr>
        <w:footnoteReference w:id="854"/>
      </w:r>
      <w:r w:rsidRPr="00C85F0F">
        <w:rPr>
          <w:rFonts w:hint="cs"/>
          <w:szCs w:val="32"/>
          <w:vertAlign w:val="superscript"/>
          <w:rtl/>
        </w:rPr>
        <w:t>)</w:t>
      </w:r>
    </w:p>
    <w:p w:rsidR="005E65EA" w:rsidRPr="00C85F0F" w:rsidRDefault="005E65EA" w:rsidP="000A76C7">
      <w:pPr>
        <w:numPr>
          <w:ilvl w:val="0"/>
          <w:numId w:val="124"/>
        </w:numPr>
        <w:jc w:val="left"/>
      </w:pPr>
      <w:r w:rsidRPr="00C85F0F">
        <w:rPr>
          <w:rFonts w:hint="cs"/>
          <w:rtl/>
        </w:rPr>
        <w:t>المعامَلة بنقيض المقْصود</w:t>
      </w:r>
      <w:r w:rsidRPr="00C85F0F">
        <w:rPr>
          <w:rFonts w:hint="cs"/>
          <w:szCs w:val="32"/>
          <w:vertAlign w:val="superscript"/>
          <w:rtl/>
        </w:rPr>
        <w:t>(</w:t>
      </w:r>
      <w:r w:rsidRPr="00C85F0F">
        <w:rPr>
          <w:rStyle w:val="af1"/>
          <w:szCs w:val="32"/>
          <w:rtl/>
        </w:rPr>
        <w:footnoteReference w:id="855"/>
      </w:r>
      <w:r w:rsidRPr="00C85F0F">
        <w:rPr>
          <w:rFonts w:hint="cs"/>
          <w:szCs w:val="32"/>
          <w:vertAlign w:val="superscript"/>
          <w:rtl/>
        </w:rPr>
        <w:t>)</w:t>
      </w:r>
      <w:r w:rsidRPr="00C85F0F">
        <w:rPr>
          <w:rFonts w:hint="cs"/>
          <w:rtl/>
        </w:rPr>
        <w:t>.</w:t>
      </w:r>
    </w:p>
    <w:p w:rsidR="005E65EA" w:rsidRPr="00C85F0F" w:rsidRDefault="005E65EA" w:rsidP="000A76C7">
      <w:pPr>
        <w:numPr>
          <w:ilvl w:val="0"/>
          <w:numId w:val="124"/>
        </w:numPr>
        <w:jc w:val="left"/>
      </w:pPr>
      <w:r w:rsidRPr="00C85F0F">
        <w:rPr>
          <w:rFonts w:hint="cs"/>
          <w:rtl/>
        </w:rPr>
        <w:t>من تعجَّل الشيءَ قبْل أَوانِه عوقِب بِحِرْمانه</w:t>
      </w:r>
      <w:r w:rsidRPr="00C85F0F">
        <w:rPr>
          <w:rFonts w:hint="cs"/>
          <w:szCs w:val="32"/>
          <w:vertAlign w:val="superscript"/>
          <w:rtl/>
        </w:rPr>
        <w:t>(</w:t>
      </w:r>
      <w:r w:rsidRPr="00C85F0F">
        <w:rPr>
          <w:rStyle w:val="af1"/>
          <w:szCs w:val="32"/>
          <w:rtl/>
        </w:rPr>
        <w:footnoteReference w:id="856"/>
      </w:r>
      <w:r w:rsidRPr="00C85F0F">
        <w:rPr>
          <w:rFonts w:hint="cs"/>
          <w:szCs w:val="32"/>
          <w:vertAlign w:val="superscript"/>
          <w:rtl/>
        </w:rPr>
        <w:t>)</w:t>
      </w:r>
      <w:r w:rsidRPr="00C85F0F">
        <w:rPr>
          <w:rFonts w:hint="cs"/>
          <w:rtl/>
        </w:rPr>
        <w:t>.</w:t>
      </w:r>
    </w:p>
    <w:p w:rsidR="005E65EA" w:rsidRPr="00C85F0F" w:rsidRDefault="005E65EA" w:rsidP="000A76C7">
      <w:pPr>
        <w:numPr>
          <w:ilvl w:val="0"/>
          <w:numId w:val="124"/>
        </w:numPr>
        <w:jc w:val="left"/>
      </w:pPr>
      <w:r w:rsidRPr="00C85F0F">
        <w:rPr>
          <w:rFonts w:hint="cs"/>
          <w:rtl/>
        </w:rPr>
        <w:t>م</w:t>
      </w:r>
      <w:r w:rsidRPr="00C85F0F">
        <w:rPr>
          <w:rtl/>
        </w:rPr>
        <w:t>ن أتى ب</w:t>
      </w:r>
      <w:r w:rsidRPr="00C85F0F">
        <w:rPr>
          <w:rFonts w:hint="cs"/>
          <w:rtl/>
        </w:rPr>
        <w:t>ِسَب</w:t>
      </w:r>
      <w:r w:rsidRPr="00C85F0F">
        <w:rPr>
          <w:rtl/>
        </w:rPr>
        <w:t>ب</w:t>
      </w:r>
      <w:r w:rsidRPr="00C85F0F">
        <w:rPr>
          <w:rFonts w:hint="cs"/>
          <w:rtl/>
        </w:rPr>
        <w:t>ٍ</w:t>
      </w:r>
      <w:r w:rsidRPr="00C85F0F">
        <w:rPr>
          <w:rtl/>
        </w:rPr>
        <w:t xml:space="preserve"> ي</w:t>
      </w:r>
      <w:r w:rsidRPr="00C85F0F">
        <w:rPr>
          <w:rFonts w:hint="cs"/>
          <w:rtl/>
        </w:rPr>
        <w:t>ف</w:t>
      </w:r>
      <w:r w:rsidRPr="00C85F0F">
        <w:rPr>
          <w:rtl/>
        </w:rPr>
        <w:t>ِيد ا</w:t>
      </w:r>
      <w:r w:rsidRPr="00C85F0F">
        <w:rPr>
          <w:rFonts w:hint="cs"/>
          <w:rtl/>
        </w:rPr>
        <w:t>ل</w:t>
      </w:r>
      <w:r w:rsidRPr="00C85F0F">
        <w:rPr>
          <w:rtl/>
        </w:rPr>
        <w:t>مل</w:t>
      </w:r>
      <w:r w:rsidRPr="00C85F0F">
        <w:rPr>
          <w:rFonts w:hint="cs"/>
          <w:rtl/>
        </w:rPr>
        <w:t>ْ</w:t>
      </w:r>
      <w:r w:rsidRPr="00C85F0F">
        <w:rPr>
          <w:rtl/>
        </w:rPr>
        <w:t>ك</w:t>
      </w:r>
      <w:r w:rsidRPr="00C85F0F">
        <w:rPr>
          <w:rFonts w:hint="cs"/>
          <w:rtl/>
        </w:rPr>
        <w:t>َ</w:t>
      </w:r>
      <w:r w:rsidRPr="00C85F0F">
        <w:rPr>
          <w:rtl/>
        </w:rPr>
        <w:t xml:space="preserve"> أو ال</w:t>
      </w:r>
      <w:r w:rsidRPr="00C85F0F">
        <w:rPr>
          <w:rFonts w:hint="cs"/>
          <w:rtl/>
        </w:rPr>
        <w:t>حِ</w:t>
      </w:r>
      <w:r w:rsidRPr="00C85F0F">
        <w:rPr>
          <w:rtl/>
        </w:rPr>
        <w:t>ل</w:t>
      </w:r>
      <w:r w:rsidRPr="00C85F0F">
        <w:rPr>
          <w:rFonts w:hint="cs"/>
          <w:rtl/>
        </w:rPr>
        <w:t>َّ</w:t>
      </w:r>
      <w:r w:rsidRPr="00C85F0F">
        <w:rPr>
          <w:rtl/>
        </w:rPr>
        <w:t xml:space="preserve"> أو ي</w:t>
      </w:r>
      <w:r w:rsidRPr="00C85F0F">
        <w:rPr>
          <w:rFonts w:hint="cs"/>
          <w:rtl/>
        </w:rPr>
        <w:t>ُ</w:t>
      </w:r>
      <w:r w:rsidRPr="00C85F0F">
        <w:rPr>
          <w:rtl/>
        </w:rPr>
        <w:t>س</w:t>
      </w:r>
      <w:r w:rsidRPr="00C85F0F">
        <w:rPr>
          <w:rFonts w:hint="cs"/>
          <w:rtl/>
        </w:rPr>
        <w:t>ْ</w:t>
      </w:r>
      <w:r w:rsidRPr="00C85F0F">
        <w:rPr>
          <w:rtl/>
        </w:rPr>
        <w:t>ق</w:t>
      </w:r>
      <w:r w:rsidRPr="00C85F0F">
        <w:rPr>
          <w:rFonts w:hint="cs"/>
          <w:rtl/>
        </w:rPr>
        <w:t>ِ</w:t>
      </w:r>
      <w:r w:rsidRPr="00C85F0F">
        <w:rPr>
          <w:rtl/>
        </w:rPr>
        <w:t>ط</w:t>
      </w:r>
      <w:r w:rsidRPr="00C85F0F">
        <w:rPr>
          <w:rFonts w:hint="cs"/>
          <w:rtl/>
        </w:rPr>
        <w:t>ُ</w:t>
      </w:r>
      <w:r w:rsidRPr="00C85F0F">
        <w:rPr>
          <w:rtl/>
        </w:rPr>
        <w:t xml:space="preserve"> الواجباتِ على وَجْه مُحَرَّمٍ</w:t>
      </w:r>
      <w:r w:rsidR="003F0E8F">
        <w:rPr>
          <w:rFonts w:hint="cs"/>
          <w:rtl/>
        </w:rPr>
        <w:t>،</w:t>
      </w:r>
      <w:r w:rsidRPr="00C85F0F">
        <w:rPr>
          <w:rtl/>
        </w:rPr>
        <w:t xml:space="preserve"> وكان مم</w:t>
      </w:r>
      <w:r w:rsidRPr="00C85F0F">
        <w:rPr>
          <w:rFonts w:hint="cs"/>
          <w:rtl/>
        </w:rPr>
        <w:t>َّ</w:t>
      </w:r>
      <w:r w:rsidRPr="00C85F0F">
        <w:rPr>
          <w:rtl/>
        </w:rPr>
        <w:t>ا تدعو النفوسُ إليه</w:t>
      </w:r>
      <w:r w:rsidR="003F0E8F">
        <w:rPr>
          <w:rFonts w:hint="cs"/>
          <w:rtl/>
        </w:rPr>
        <w:t>،</w:t>
      </w:r>
      <w:r w:rsidRPr="00C85F0F">
        <w:rPr>
          <w:rtl/>
        </w:rPr>
        <w:t xml:space="preserve"> أ</w:t>
      </w:r>
      <w:r w:rsidRPr="00C85F0F">
        <w:rPr>
          <w:rFonts w:hint="cs"/>
          <w:rtl/>
        </w:rPr>
        <w:t>ُ</w:t>
      </w:r>
      <w:r w:rsidRPr="00C85F0F">
        <w:rPr>
          <w:rtl/>
        </w:rPr>
        <w:t>ل</w:t>
      </w:r>
      <w:r w:rsidRPr="00C85F0F">
        <w:rPr>
          <w:rFonts w:hint="cs"/>
          <w:rtl/>
        </w:rPr>
        <w:t>ْ</w:t>
      </w:r>
      <w:r w:rsidRPr="00C85F0F">
        <w:rPr>
          <w:rtl/>
        </w:rPr>
        <w:t>غ</w:t>
      </w:r>
      <w:r w:rsidRPr="00C85F0F">
        <w:rPr>
          <w:rFonts w:hint="cs"/>
          <w:rtl/>
        </w:rPr>
        <w:t>ِيَ</w:t>
      </w:r>
      <w:r w:rsidRPr="00C85F0F">
        <w:rPr>
          <w:rtl/>
        </w:rPr>
        <w:t xml:space="preserve"> ذلك السبب</w:t>
      </w:r>
      <w:r w:rsidRPr="00C85F0F">
        <w:rPr>
          <w:rFonts w:hint="cs"/>
          <w:rtl/>
        </w:rPr>
        <w:t>ُ</w:t>
      </w:r>
      <w:r w:rsidRPr="00C85F0F">
        <w:rPr>
          <w:rtl/>
        </w:rPr>
        <w:t xml:space="preserve"> وص</w:t>
      </w:r>
      <w:r w:rsidRPr="00C85F0F">
        <w:rPr>
          <w:rFonts w:hint="cs"/>
          <w:rtl/>
        </w:rPr>
        <w:t>ار</w:t>
      </w:r>
      <w:r w:rsidRPr="00C85F0F">
        <w:rPr>
          <w:rtl/>
        </w:rPr>
        <w:t xml:space="preserve"> وُجود</w:t>
      </w:r>
      <w:r w:rsidRPr="00C85F0F">
        <w:rPr>
          <w:rFonts w:hint="cs"/>
          <w:rtl/>
        </w:rPr>
        <w:t>ُ</w:t>
      </w:r>
      <w:r w:rsidRPr="00C85F0F">
        <w:rPr>
          <w:rtl/>
        </w:rPr>
        <w:t>ه كالعدَم</w:t>
      </w:r>
      <w:r w:rsidR="003F0E8F">
        <w:rPr>
          <w:rFonts w:hint="cs"/>
          <w:rtl/>
        </w:rPr>
        <w:t>،</w:t>
      </w:r>
      <w:r w:rsidR="00154102" w:rsidRPr="00C85F0F">
        <w:rPr>
          <w:rtl/>
        </w:rPr>
        <w:t xml:space="preserve"> و</w:t>
      </w:r>
      <w:r w:rsidRPr="00C85F0F">
        <w:rPr>
          <w:rFonts w:hint="cs"/>
          <w:rtl/>
        </w:rPr>
        <w:t>لم</w:t>
      </w:r>
      <w:r w:rsidRPr="00C85F0F">
        <w:rPr>
          <w:rtl/>
        </w:rPr>
        <w:t xml:space="preserve"> يترتَّب عليه أحكامُه</w:t>
      </w:r>
      <w:r w:rsidRPr="00C85F0F">
        <w:rPr>
          <w:rFonts w:hint="cs"/>
          <w:szCs w:val="32"/>
          <w:vertAlign w:val="superscript"/>
          <w:rtl/>
        </w:rPr>
        <w:t>(</w:t>
      </w:r>
      <w:r w:rsidRPr="00C85F0F">
        <w:rPr>
          <w:rStyle w:val="af1"/>
          <w:szCs w:val="32"/>
          <w:rtl/>
        </w:rPr>
        <w:footnoteReference w:id="857"/>
      </w:r>
      <w:r w:rsidRPr="00C85F0F">
        <w:rPr>
          <w:rFonts w:hint="cs"/>
          <w:szCs w:val="32"/>
          <w:vertAlign w:val="superscript"/>
          <w:rtl/>
        </w:rPr>
        <w:t>)</w:t>
      </w:r>
      <w:r w:rsidRPr="00C85F0F">
        <w:rPr>
          <w:rFonts w:hint="cs"/>
          <w:rtl/>
        </w:rPr>
        <w:t>.</w:t>
      </w:r>
    </w:p>
    <w:p w:rsidR="005E65EA" w:rsidRPr="00C85F0F" w:rsidRDefault="005E65EA" w:rsidP="000A76C7">
      <w:pPr>
        <w:numPr>
          <w:ilvl w:val="0"/>
          <w:numId w:val="124"/>
        </w:numPr>
        <w:jc w:val="left"/>
      </w:pPr>
      <w:r w:rsidRPr="00C85F0F">
        <w:rPr>
          <w:rFonts w:hint="cs"/>
          <w:rtl/>
        </w:rPr>
        <w:lastRenderedPageBreak/>
        <w:t>من تعجَّل حَقَّه</w:t>
      </w:r>
      <w:r w:rsidR="00B76414" w:rsidRPr="00C85F0F">
        <w:rPr>
          <w:rFonts w:hint="cs"/>
          <w:rtl/>
        </w:rPr>
        <w:t>،</w:t>
      </w:r>
      <w:r w:rsidRPr="00C85F0F">
        <w:rPr>
          <w:rFonts w:hint="cs"/>
          <w:rtl/>
        </w:rPr>
        <w:t xml:space="preserve"> أو ما أُبيحَ له قبْل وقْته، على وجهٍ محرَّم، عوقِب بِحِرْمانه</w:t>
      </w:r>
      <w:r w:rsidRPr="00C85F0F">
        <w:rPr>
          <w:rFonts w:hint="cs"/>
          <w:szCs w:val="32"/>
          <w:vertAlign w:val="superscript"/>
          <w:rtl/>
        </w:rPr>
        <w:t>(</w:t>
      </w:r>
      <w:r w:rsidRPr="00C85F0F">
        <w:rPr>
          <w:rStyle w:val="af1"/>
          <w:szCs w:val="32"/>
          <w:rtl/>
        </w:rPr>
        <w:footnoteReference w:id="858"/>
      </w:r>
      <w:r w:rsidRPr="00C85F0F">
        <w:rPr>
          <w:rFonts w:hint="cs"/>
          <w:szCs w:val="32"/>
          <w:vertAlign w:val="superscript"/>
          <w:rtl/>
        </w:rPr>
        <w:t>)</w:t>
      </w:r>
      <w:r w:rsidRPr="00C85F0F">
        <w:rPr>
          <w:rFonts w:hint="cs"/>
          <w:rtl/>
        </w:rPr>
        <w:t>.</w:t>
      </w:r>
    </w:p>
    <w:p w:rsidR="005E65EA" w:rsidRPr="00C85F0F" w:rsidRDefault="005E65EA" w:rsidP="000A76C7">
      <w:pPr>
        <w:numPr>
          <w:ilvl w:val="0"/>
          <w:numId w:val="124"/>
        </w:numPr>
        <w:jc w:val="left"/>
      </w:pPr>
      <w:r w:rsidRPr="00C85F0F">
        <w:rPr>
          <w:rFonts w:hint="cs"/>
          <w:rtl/>
        </w:rPr>
        <w:t>من استعْجل شيئًا قبل أوانه،</w:t>
      </w:r>
      <w:r w:rsidR="00154102" w:rsidRPr="00C85F0F">
        <w:rPr>
          <w:rFonts w:hint="cs"/>
          <w:rtl/>
        </w:rPr>
        <w:t xml:space="preserve"> و</w:t>
      </w:r>
      <w:r w:rsidRPr="00C85F0F">
        <w:rPr>
          <w:rFonts w:hint="cs"/>
          <w:rtl/>
        </w:rPr>
        <w:t>لم تكن المصلحة في ثُبوته، عوقِب بحرمانه</w:t>
      </w:r>
      <w:r w:rsidRPr="00C85F0F">
        <w:rPr>
          <w:rFonts w:hint="cs"/>
          <w:szCs w:val="32"/>
          <w:vertAlign w:val="superscript"/>
          <w:rtl/>
        </w:rPr>
        <w:t>(</w:t>
      </w:r>
      <w:r w:rsidRPr="00C85F0F">
        <w:rPr>
          <w:rStyle w:val="af1"/>
          <w:szCs w:val="32"/>
          <w:rtl/>
        </w:rPr>
        <w:footnoteReference w:id="859"/>
      </w:r>
      <w:r w:rsidRPr="00C85F0F">
        <w:rPr>
          <w:rFonts w:hint="cs"/>
          <w:szCs w:val="32"/>
          <w:vertAlign w:val="superscript"/>
          <w:rtl/>
        </w:rPr>
        <w:t>)</w:t>
      </w:r>
      <w:r w:rsidRPr="00C85F0F">
        <w:rPr>
          <w:rFonts w:hint="cs"/>
          <w:rtl/>
        </w:rPr>
        <w:t>.</w:t>
      </w:r>
    </w:p>
    <w:p w:rsidR="005E65EA" w:rsidRPr="00C85F0F" w:rsidRDefault="005E65EA" w:rsidP="000A76C7">
      <w:pPr>
        <w:numPr>
          <w:ilvl w:val="0"/>
          <w:numId w:val="124"/>
        </w:numPr>
        <w:jc w:val="left"/>
      </w:pPr>
      <w:r w:rsidRPr="00C85F0F">
        <w:rPr>
          <w:rFonts w:hint="cs"/>
          <w:rtl/>
        </w:rPr>
        <w:t>مِن الأصول المعامَلةُ بنقيض المقصود الفاسِد</w:t>
      </w:r>
      <w:r w:rsidRPr="00C85F0F">
        <w:rPr>
          <w:rFonts w:hint="cs"/>
          <w:szCs w:val="32"/>
          <w:vertAlign w:val="superscript"/>
          <w:rtl/>
        </w:rPr>
        <w:t>(</w:t>
      </w:r>
      <w:r w:rsidRPr="00C85F0F">
        <w:rPr>
          <w:rStyle w:val="af1"/>
          <w:szCs w:val="32"/>
          <w:rtl/>
        </w:rPr>
        <w:footnoteReference w:id="860"/>
      </w:r>
      <w:r w:rsidRPr="00C85F0F">
        <w:rPr>
          <w:rFonts w:hint="cs"/>
          <w:szCs w:val="32"/>
          <w:vertAlign w:val="superscript"/>
          <w:rtl/>
        </w:rPr>
        <w:t>)</w:t>
      </w:r>
      <w:r w:rsidRPr="00C85F0F">
        <w:rPr>
          <w:rFonts w:hint="cs"/>
          <w:rtl/>
        </w:rPr>
        <w:t>.</w:t>
      </w:r>
    </w:p>
    <w:p w:rsidR="00F228A9" w:rsidRPr="00C85F0F" w:rsidRDefault="005E65EA" w:rsidP="000A76C7">
      <w:pPr>
        <w:numPr>
          <w:ilvl w:val="0"/>
          <w:numId w:val="124"/>
        </w:numPr>
        <w:jc w:val="left"/>
      </w:pPr>
      <w:r w:rsidRPr="00C85F0F">
        <w:rPr>
          <w:rFonts w:hint="cs"/>
          <w:rtl/>
        </w:rPr>
        <w:t>من استعجل ما أخَّره الشرعُ يُجازى بِرَدِّه</w:t>
      </w:r>
      <w:r w:rsidRPr="00C85F0F">
        <w:rPr>
          <w:rFonts w:hint="cs"/>
          <w:szCs w:val="32"/>
          <w:vertAlign w:val="superscript"/>
          <w:rtl/>
        </w:rPr>
        <w:t>(</w:t>
      </w:r>
      <w:r w:rsidRPr="00C85F0F">
        <w:rPr>
          <w:rStyle w:val="af1"/>
          <w:szCs w:val="32"/>
          <w:rtl/>
        </w:rPr>
        <w:footnoteReference w:id="861"/>
      </w:r>
      <w:r w:rsidRPr="00C85F0F">
        <w:rPr>
          <w:rFonts w:hint="cs"/>
          <w:szCs w:val="32"/>
          <w:vertAlign w:val="superscript"/>
          <w:rtl/>
        </w:rPr>
        <w:t>)</w:t>
      </w:r>
      <w:r w:rsidRPr="00C85F0F">
        <w:rPr>
          <w:rFonts w:hint="cs"/>
          <w:rtl/>
        </w:rPr>
        <w:t>.</w:t>
      </w:r>
    </w:p>
    <w:p w:rsidR="00F228A9" w:rsidRPr="00C85F0F" w:rsidRDefault="007C0153" w:rsidP="00A8347C">
      <w:pPr>
        <w:pStyle w:val="aff3"/>
        <w:rPr>
          <w:rtl/>
        </w:rPr>
      </w:pPr>
      <w:bookmarkStart w:id="165" w:name="_Toc334046405"/>
      <w:r>
        <w:rPr>
          <w:rFonts w:hint="cs"/>
          <w:rtl/>
        </w:rPr>
        <w:t xml:space="preserve">                                      </w:t>
      </w:r>
      <w:r w:rsidR="00F228A9" w:rsidRPr="00C85F0F">
        <w:rPr>
          <w:rFonts w:hint="cs"/>
          <w:rtl/>
        </w:rPr>
        <w:t>المطلب الثاني</w:t>
      </w:r>
      <w:r w:rsidR="00F228A9" w:rsidRPr="00C85F0F">
        <w:rPr>
          <w:rFonts w:hint="eastAsia"/>
          <w:rtl/>
        </w:rPr>
        <w:t> :</w:t>
      </w:r>
      <w:r w:rsidR="00F228A9" w:rsidRPr="00C85F0F">
        <w:rPr>
          <w:rFonts w:hint="cs"/>
          <w:rtl/>
        </w:rPr>
        <w:br/>
      </w:r>
      <w:r>
        <w:rPr>
          <w:rFonts w:hint="cs"/>
          <w:rtl/>
        </w:rPr>
        <w:t xml:space="preserve">        </w:t>
      </w:r>
      <w:r w:rsidR="001C03F0">
        <w:rPr>
          <w:rFonts w:hint="cs"/>
          <w:rtl/>
        </w:rPr>
        <w:t xml:space="preserve">                               </w:t>
      </w:r>
      <w:r w:rsidR="00F228A9" w:rsidRPr="00C85F0F">
        <w:rPr>
          <w:rFonts w:hint="cs"/>
          <w:rtl/>
        </w:rPr>
        <w:t>شرح القاعدة</w:t>
      </w:r>
      <w:bookmarkEnd w:id="165"/>
    </w:p>
    <w:p w:rsidR="005E65EA" w:rsidRPr="00C85F0F" w:rsidRDefault="005E65EA" w:rsidP="00597C20">
      <w:pPr>
        <w:ind w:firstLine="0"/>
        <w:jc w:val="center"/>
        <w:rPr>
          <w:rtl/>
        </w:rPr>
      </w:pPr>
    </w:p>
    <w:p w:rsidR="002D68BD" w:rsidRDefault="005E65EA" w:rsidP="000F5C0F">
      <w:pPr>
        <w:pStyle w:val="53"/>
        <w:rPr>
          <w:rtl/>
        </w:rPr>
      </w:pPr>
      <w:r w:rsidRPr="000F5C0F">
        <w:rPr>
          <w:rFonts w:hint="cs"/>
          <w:rtl/>
        </w:rPr>
        <w:t>المُعامَلة</w:t>
      </w:r>
      <w:r w:rsidR="00AB0B9E" w:rsidRPr="000F5C0F">
        <w:fldChar w:fldCharType="begin"/>
      </w:r>
      <w:r w:rsidR="000D16EE" w:rsidRPr="000F5C0F">
        <w:instrText>XE</w:instrText>
      </w:r>
      <w:r w:rsidR="000D16EE" w:rsidRPr="000F5C0F">
        <w:rPr>
          <w:rtl/>
        </w:rPr>
        <w:instrText xml:space="preserve"> "</w:instrText>
      </w:r>
      <w:r w:rsidR="000D16EE" w:rsidRPr="000F5C0F">
        <w:rPr>
          <w:rFonts w:hint="cs"/>
          <w:rtl/>
        </w:rPr>
        <w:instrText>المُعامَلة</w:instrText>
      </w:r>
      <w:r w:rsidR="000D16EE" w:rsidRPr="000F5C0F">
        <w:rPr>
          <w:rtl/>
        </w:rPr>
        <w:instrText>" \</w:instrText>
      </w:r>
      <w:r w:rsidR="000D16EE" w:rsidRPr="000F5C0F">
        <w:instrText>fm</w:instrText>
      </w:r>
      <w:r w:rsidR="00AB0B9E" w:rsidRPr="000F5C0F">
        <w:fldChar w:fldCharType="end"/>
      </w:r>
      <w:r w:rsidRPr="000960FC">
        <w:rPr>
          <w:rFonts w:hint="cs"/>
          <w:b w:val="0"/>
          <w:rtl/>
        </w:rPr>
        <w:t xml:space="preserve"> لغةً</w:t>
      </w:r>
      <w:r w:rsidRPr="000960FC">
        <w:rPr>
          <w:rFonts w:hint="cs"/>
          <w:rtl/>
        </w:rPr>
        <w:t>:</w:t>
      </w:r>
    </w:p>
    <w:p w:rsidR="007C0153" w:rsidRDefault="005E65EA" w:rsidP="007C0153">
      <w:pPr>
        <w:ind w:firstLine="720"/>
        <w:jc w:val="left"/>
        <w:rPr>
          <w:rtl/>
        </w:rPr>
      </w:pPr>
      <w:r w:rsidRPr="000960FC">
        <w:rPr>
          <w:rFonts w:hint="cs"/>
          <w:rtl/>
        </w:rPr>
        <w:t xml:space="preserve">يقول </w:t>
      </w:r>
      <w:r w:rsidR="007C0153">
        <w:rPr>
          <w:rFonts w:hint="cs"/>
          <w:rtl/>
        </w:rPr>
        <w:t xml:space="preserve"> </w:t>
      </w:r>
      <w:r w:rsidRPr="000960FC">
        <w:rPr>
          <w:rFonts w:hint="cs"/>
          <w:rtl/>
        </w:rPr>
        <w:t xml:space="preserve">ابن فارس </w:t>
      </w:r>
      <w:r w:rsidR="007C0153">
        <w:rPr>
          <w:rFonts w:hint="cs"/>
          <w:rtl/>
        </w:rPr>
        <w:t>_</w:t>
      </w:r>
      <w:r w:rsidR="009A0575" w:rsidRPr="005D5694">
        <w:rPr>
          <w:rFonts w:ascii="Traditional Arabic" w:hAnsi="Traditional Arabic" w:cs="CTraditional Arabic" w:hint="cs"/>
          <w:rtl/>
        </w:rPr>
        <w:t>/</w:t>
      </w:r>
      <w:r w:rsidR="007C0153">
        <w:rPr>
          <w:rFonts w:hint="cs"/>
          <w:rtl/>
        </w:rPr>
        <w:t>_</w:t>
      </w:r>
      <w:r w:rsidRPr="000960FC">
        <w:rPr>
          <w:rFonts w:hint="cs"/>
          <w:rtl/>
        </w:rPr>
        <w:t xml:space="preserve"> :</w:t>
      </w:r>
      <w:r w:rsidR="007C0153">
        <w:rPr>
          <w:rFonts w:hint="cs"/>
          <w:rtl/>
        </w:rPr>
        <w:t xml:space="preserve"> </w:t>
      </w:r>
      <w:r>
        <w:rPr>
          <w:rFonts w:hint="cs"/>
          <w:rtl/>
        </w:rPr>
        <w:t>(</w:t>
      </w:r>
      <w:r w:rsidRPr="000960FC">
        <w:rPr>
          <w:rFonts w:hint="cs"/>
          <w:rtl/>
        </w:rPr>
        <w:t>العين</w:t>
      </w:r>
      <w:r w:rsidR="00154102">
        <w:rPr>
          <w:rFonts w:hint="cs"/>
          <w:rtl/>
        </w:rPr>
        <w:t xml:space="preserve"> و</w:t>
      </w:r>
      <w:r w:rsidRPr="000960FC">
        <w:rPr>
          <w:rFonts w:hint="cs"/>
          <w:rtl/>
        </w:rPr>
        <w:t>الميم</w:t>
      </w:r>
      <w:r w:rsidR="00154102">
        <w:rPr>
          <w:rFonts w:hint="cs"/>
          <w:rtl/>
        </w:rPr>
        <w:t xml:space="preserve"> و</w:t>
      </w:r>
      <w:r w:rsidRPr="000960FC">
        <w:rPr>
          <w:rFonts w:hint="cs"/>
          <w:rtl/>
        </w:rPr>
        <w:t>اللام أصل واحد صحيح،</w:t>
      </w:r>
      <w:r w:rsidR="007C0153">
        <w:rPr>
          <w:rFonts w:hint="cs"/>
          <w:rtl/>
        </w:rPr>
        <w:t xml:space="preserve"> و</w:t>
      </w:r>
      <w:r>
        <w:rPr>
          <w:rFonts w:hint="cs"/>
          <w:rtl/>
        </w:rPr>
        <w:t>هو عام في كل فِعل يُفْعَل)</w:t>
      </w:r>
      <w:r w:rsidRPr="00C821A1">
        <w:rPr>
          <w:rFonts w:hint="cs"/>
          <w:szCs w:val="32"/>
          <w:vertAlign w:val="superscript"/>
          <w:rtl/>
        </w:rPr>
        <w:t>(</w:t>
      </w:r>
      <w:r w:rsidRPr="00C821A1">
        <w:rPr>
          <w:rStyle w:val="af1"/>
          <w:szCs w:val="32"/>
          <w:rtl/>
        </w:rPr>
        <w:footnoteReference w:id="862"/>
      </w:r>
      <w:r w:rsidRPr="00C821A1">
        <w:rPr>
          <w:rFonts w:hint="cs"/>
          <w:szCs w:val="32"/>
          <w:vertAlign w:val="superscript"/>
          <w:rtl/>
        </w:rPr>
        <w:t>)</w:t>
      </w:r>
      <w:r>
        <w:rPr>
          <w:rFonts w:hint="cs"/>
          <w:rtl/>
        </w:rPr>
        <w:t xml:space="preserve">. </w:t>
      </w:r>
    </w:p>
    <w:p w:rsidR="005E65EA" w:rsidRDefault="005E65EA" w:rsidP="007C0153">
      <w:pPr>
        <w:ind w:firstLine="720"/>
        <w:jc w:val="left"/>
        <w:rPr>
          <w:rtl/>
        </w:rPr>
      </w:pPr>
      <w:r>
        <w:rPr>
          <w:rFonts w:hint="cs"/>
          <w:rtl/>
        </w:rPr>
        <w:t>والمعامَلة مصدر عامَله يُعامِلُه مُعامَلةً،</w:t>
      </w:r>
      <w:r w:rsidR="001C664E">
        <w:rPr>
          <w:rFonts w:hint="cs"/>
          <w:rtl/>
        </w:rPr>
        <w:t xml:space="preserve"> </w:t>
      </w:r>
      <w:r>
        <w:rPr>
          <w:rFonts w:hint="cs"/>
          <w:rtl/>
        </w:rPr>
        <w:t>إذا سامَهُ بِعمَل</w:t>
      </w:r>
      <w:r w:rsidRPr="00C821A1">
        <w:rPr>
          <w:rFonts w:hint="cs"/>
          <w:szCs w:val="32"/>
          <w:vertAlign w:val="superscript"/>
          <w:rtl/>
        </w:rPr>
        <w:t>(</w:t>
      </w:r>
      <w:r w:rsidRPr="00C821A1">
        <w:rPr>
          <w:rStyle w:val="af1"/>
          <w:szCs w:val="32"/>
          <w:rtl/>
        </w:rPr>
        <w:footnoteReference w:id="863"/>
      </w:r>
      <w:r w:rsidRPr="00C821A1">
        <w:rPr>
          <w:rFonts w:hint="cs"/>
          <w:szCs w:val="32"/>
          <w:vertAlign w:val="superscript"/>
          <w:rtl/>
        </w:rPr>
        <w:t>)</w:t>
      </w:r>
      <w:r>
        <w:rPr>
          <w:rFonts w:hint="cs"/>
          <w:rtl/>
        </w:rPr>
        <w:t>، ويقال: عامل فلاناً، أي: تصرَّف معه في بيع ونحوه</w:t>
      </w:r>
      <w:r w:rsidRPr="00C821A1">
        <w:rPr>
          <w:rStyle w:val="af1"/>
          <w:szCs w:val="32"/>
          <w:rtl/>
        </w:rPr>
        <w:t>(</w:t>
      </w:r>
      <w:r w:rsidRPr="00C821A1">
        <w:rPr>
          <w:rStyle w:val="af1"/>
          <w:szCs w:val="32"/>
          <w:rtl/>
        </w:rPr>
        <w:footnoteReference w:id="864"/>
      </w:r>
      <w:r w:rsidRPr="00C821A1">
        <w:rPr>
          <w:rStyle w:val="af1"/>
          <w:szCs w:val="32"/>
          <w:rtl/>
        </w:rPr>
        <w:t>)</w:t>
      </w:r>
      <w:r>
        <w:rPr>
          <w:rFonts w:hint="cs"/>
          <w:rtl/>
        </w:rPr>
        <w:t>.</w:t>
      </w:r>
    </w:p>
    <w:p w:rsidR="002D68BD" w:rsidRDefault="005E65EA" w:rsidP="00597C20">
      <w:pPr>
        <w:pStyle w:val="53"/>
        <w:rPr>
          <w:b w:val="0"/>
          <w:rtl/>
        </w:rPr>
      </w:pPr>
      <w:r>
        <w:rPr>
          <w:rFonts w:hint="cs"/>
          <w:b w:val="0"/>
          <w:rtl/>
        </w:rPr>
        <w:t>ال</w:t>
      </w:r>
      <w:r w:rsidRPr="001642AD">
        <w:rPr>
          <w:rFonts w:hint="cs"/>
          <w:b w:val="0"/>
          <w:rtl/>
        </w:rPr>
        <w:t>ن</w:t>
      </w:r>
      <w:r>
        <w:rPr>
          <w:rFonts w:hint="cs"/>
          <w:b w:val="0"/>
          <w:rtl/>
        </w:rPr>
        <w:t>قيض</w:t>
      </w:r>
      <w:r w:rsidR="00AB0B9E">
        <w:rPr>
          <w:b w:val="0"/>
          <w:rtl/>
        </w:rPr>
        <w:fldChar w:fldCharType="begin"/>
      </w:r>
      <w:r w:rsidR="000D16EE" w:rsidRPr="00C85F0F">
        <w:rPr>
          <w:bCs w:val="0"/>
        </w:rPr>
        <w:instrText>XE</w:instrText>
      </w:r>
      <w:r w:rsidR="000D16EE" w:rsidRPr="00C85F0F">
        <w:rPr>
          <w:bCs w:val="0"/>
          <w:rtl/>
        </w:rPr>
        <w:instrText xml:space="preserve"> "</w:instrText>
      </w:r>
      <w:r w:rsidR="000D16EE" w:rsidRPr="00C85F0F">
        <w:rPr>
          <w:rFonts w:hint="cs"/>
          <w:bCs w:val="0"/>
          <w:rtl/>
        </w:rPr>
        <w:instrText>النقيض</w:instrText>
      </w:r>
      <w:r w:rsidR="000D16EE" w:rsidRPr="00C85F0F">
        <w:rPr>
          <w:bCs w:val="0"/>
          <w:rtl/>
        </w:rPr>
        <w:instrText>" \</w:instrText>
      </w:r>
      <w:r w:rsidR="000D16EE" w:rsidRPr="00C85F0F">
        <w:rPr>
          <w:bCs w:val="0"/>
        </w:rPr>
        <w:instrText>f</w:instrText>
      </w:r>
      <w:r w:rsidR="000D16EE" w:rsidRPr="000D16EE">
        <w:instrText>m</w:instrText>
      </w:r>
      <w:r w:rsidR="00AB0B9E">
        <w:rPr>
          <w:b w:val="0"/>
          <w:rtl/>
        </w:rPr>
        <w:fldChar w:fldCharType="end"/>
      </w:r>
      <w:r>
        <w:rPr>
          <w:rFonts w:hint="cs"/>
          <w:b w:val="0"/>
          <w:rtl/>
        </w:rPr>
        <w:t xml:space="preserve"> لغة:</w:t>
      </w:r>
    </w:p>
    <w:p w:rsidR="007C0153" w:rsidRDefault="005E65EA" w:rsidP="00597C20">
      <w:pPr>
        <w:ind w:firstLine="720"/>
        <w:rPr>
          <w:rtl/>
        </w:rPr>
      </w:pPr>
      <w:r>
        <w:rPr>
          <w:rFonts w:hint="cs"/>
          <w:rtl/>
        </w:rPr>
        <w:t xml:space="preserve">يقول </w:t>
      </w:r>
      <w:r w:rsidR="007C0153">
        <w:rPr>
          <w:rFonts w:hint="cs"/>
          <w:rtl/>
        </w:rPr>
        <w:t xml:space="preserve"> </w:t>
      </w:r>
      <w:r>
        <w:rPr>
          <w:rFonts w:hint="cs"/>
          <w:rtl/>
        </w:rPr>
        <w:t>ابن فارس</w:t>
      </w:r>
      <w:r w:rsidR="007C0153">
        <w:rPr>
          <w:rFonts w:hint="cs"/>
          <w:rtl/>
        </w:rPr>
        <w:t xml:space="preserve"> _رحمه الله_</w:t>
      </w:r>
      <w:r>
        <w:rPr>
          <w:rFonts w:hint="cs"/>
          <w:rtl/>
        </w:rPr>
        <w:t>:</w:t>
      </w:r>
      <w:r w:rsidR="007C0153">
        <w:rPr>
          <w:rFonts w:hint="cs"/>
          <w:rtl/>
        </w:rPr>
        <w:t xml:space="preserve"> (</w:t>
      </w:r>
      <w:r>
        <w:rPr>
          <w:rFonts w:hint="cs"/>
          <w:rtl/>
        </w:rPr>
        <w:t>النون</w:t>
      </w:r>
      <w:r w:rsidR="00154102">
        <w:rPr>
          <w:rFonts w:hint="cs"/>
          <w:rtl/>
        </w:rPr>
        <w:t xml:space="preserve"> و</w:t>
      </w:r>
      <w:r>
        <w:rPr>
          <w:rFonts w:hint="cs"/>
          <w:rtl/>
        </w:rPr>
        <w:t>القاف</w:t>
      </w:r>
      <w:r w:rsidR="00154102">
        <w:rPr>
          <w:rFonts w:hint="cs"/>
          <w:rtl/>
        </w:rPr>
        <w:t xml:space="preserve"> و</w:t>
      </w:r>
      <w:r>
        <w:rPr>
          <w:rFonts w:hint="cs"/>
          <w:rtl/>
        </w:rPr>
        <w:t xml:space="preserve">الضاد أصل صحيح يدل على نَكْث </w:t>
      </w:r>
      <w:r>
        <w:rPr>
          <w:rFonts w:hint="cs"/>
          <w:rtl/>
        </w:rPr>
        <w:lastRenderedPageBreak/>
        <w:t>شيء</w:t>
      </w:r>
      <w:r w:rsidR="007C0153">
        <w:rPr>
          <w:rFonts w:hint="cs"/>
          <w:rtl/>
        </w:rPr>
        <w:t>)</w:t>
      </w:r>
      <w:r w:rsidRPr="00C821A1">
        <w:rPr>
          <w:rFonts w:hint="cs"/>
          <w:szCs w:val="32"/>
          <w:vertAlign w:val="superscript"/>
          <w:rtl/>
        </w:rPr>
        <w:t>(</w:t>
      </w:r>
      <w:r w:rsidRPr="00C821A1">
        <w:rPr>
          <w:rStyle w:val="af1"/>
          <w:szCs w:val="32"/>
          <w:rtl/>
        </w:rPr>
        <w:footnoteReference w:id="865"/>
      </w:r>
      <w:r w:rsidRPr="00C821A1">
        <w:rPr>
          <w:rFonts w:hint="cs"/>
          <w:szCs w:val="32"/>
          <w:vertAlign w:val="superscript"/>
          <w:rtl/>
        </w:rPr>
        <w:t>)</w:t>
      </w:r>
      <w:r w:rsidR="007C0153">
        <w:rPr>
          <w:rFonts w:hint="cs"/>
          <w:rtl/>
        </w:rPr>
        <w:t>.</w:t>
      </w:r>
    </w:p>
    <w:p w:rsidR="005E65EA" w:rsidRDefault="007C0153" w:rsidP="00597C20">
      <w:pPr>
        <w:ind w:firstLine="720"/>
        <w:rPr>
          <w:rtl/>
        </w:rPr>
      </w:pPr>
      <w:r>
        <w:rPr>
          <w:rFonts w:hint="cs"/>
          <w:rtl/>
        </w:rPr>
        <w:t>و</w:t>
      </w:r>
      <w:r w:rsidR="005E65EA">
        <w:rPr>
          <w:rFonts w:hint="cs"/>
          <w:rtl/>
        </w:rPr>
        <w:t>النَّقْض إفسادُ ما أَبْرَمْتَ مِن عَقْد أو بِناء</w:t>
      </w:r>
      <w:r w:rsidR="00B76414">
        <w:rPr>
          <w:rFonts w:hint="cs"/>
          <w:rtl/>
        </w:rPr>
        <w:t>،</w:t>
      </w:r>
      <w:r w:rsidR="00154102">
        <w:rPr>
          <w:rFonts w:hint="cs"/>
          <w:rtl/>
        </w:rPr>
        <w:t xml:space="preserve"> و</w:t>
      </w:r>
      <w:r w:rsidR="005E65EA">
        <w:rPr>
          <w:rFonts w:hint="cs"/>
          <w:rtl/>
        </w:rPr>
        <w:t>يُقال:</w:t>
      </w:r>
      <w:r>
        <w:rPr>
          <w:rFonts w:hint="cs"/>
          <w:rtl/>
        </w:rPr>
        <w:t xml:space="preserve"> </w:t>
      </w:r>
      <w:r w:rsidR="005E65EA">
        <w:rPr>
          <w:rFonts w:hint="cs"/>
          <w:rtl/>
        </w:rPr>
        <w:t>فلانٌ نقيضُك،</w:t>
      </w:r>
      <w:r w:rsidR="00154102">
        <w:rPr>
          <w:rFonts w:hint="cs"/>
          <w:rtl/>
        </w:rPr>
        <w:t xml:space="preserve"> و</w:t>
      </w:r>
      <w:r>
        <w:rPr>
          <w:rFonts w:hint="cs"/>
          <w:rtl/>
        </w:rPr>
        <w:t>هذا القول نقيضُ ذاك ،</w:t>
      </w:r>
      <w:r w:rsidR="005E65EA">
        <w:rPr>
          <w:rFonts w:hint="cs"/>
          <w:rtl/>
        </w:rPr>
        <w:t>أي: مُناقِضُه،</w:t>
      </w:r>
      <w:r w:rsidR="00154102">
        <w:rPr>
          <w:rFonts w:hint="cs"/>
          <w:rtl/>
        </w:rPr>
        <w:t xml:space="preserve"> و</w:t>
      </w:r>
      <w:r w:rsidR="005E65EA">
        <w:rPr>
          <w:rFonts w:hint="cs"/>
          <w:rtl/>
        </w:rPr>
        <w:t>ناقَضَه في الشيء مُناقَضةً</w:t>
      </w:r>
      <w:r w:rsidR="00154102">
        <w:rPr>
          <w:rFonts w:hint="cs"/>
          <w:rtl/>
        </w:rPr>
        <w:t xml:space="preserve"> و</w:t>
      </w:r>
      <w:r w:rsidR="005E65EA">
        <w:rPr>
          <w:rFonts w:hint="cs"/>
          <w:rtl/>
        </w:rPr>
        <w:t>نِقاضًا:خالَفَه</w:t>
      </w:r>
      <w:r w:rsidR="00154102">
        <w:rPr>
          <w:rFonts w:hint="cs"/>
          <w:rtl/>
        </w:rPr>
        <w:t xml:space="preserve"> و</w:t>
      </w:r>
      <w:r w:rsidR="005E65EA">
        <w:rPr>
          <w:rFonts w:hint="cs"/>
          <w:rtl/>
        </w:rPr>
        <w:t>عارَضَه،</w:t>
      </w:r>
      <w:r w:rsidR="00154102">
        <w:rPr>
          <w:rFonts w:hint="cs"/>
          <w:rtl/>
        </w:rPr>
        <w:t xml:space="preserve"> و</w:t>
      </w:r>
      <w:r w:rsidR="005E65EA">
        <w:rPr>
          <w:rFonts w:hint="cs"/>
          <w:rtl/>
        </w:rPr>
        <w:t>نقيضُك: الذي يُخالِفُك</w:t>
      </w:r>
      <w:r w:rsidR="005E65EA" w:rsidRPr="00C821A1">
        <w:rPr>
          <w:rFonts w:hint="cs"/>
          <w:szCs w:val="32"/>
          <w:vertAlign w:val="superscript"/>
          <w:rtl/>
        </w:rPr>
        <w:t>(</w:t>
      </w:r>
      <w:r w:rsidR="005E65EA" w:rsidRPr="00C821A1">
        <w:rPr>
          <w:rStyle w:val="af1"/>
          <w:szCs w:val="32"/>
          <w:rtl/>
        </w:rPr>
        <w:footnoteReference w:id="866"/>
      </w:r>
      <w:r w:rsidR="005E65EA" w:rsidRPr="00C821A1">
        <w:rPr>
          <w:rFonts w:hint="cs"/>
          <w:szCs w:val="32"/>
          <w:vertAlign w:val="superscript"/>
          <w:rtl/>
        </w:rPr>
        <w:t>)</w:t>
      </w:r>
      <w:r w:rsidR="005E65EA">
        <w:rPr>
          <w:rFonts w:hint="cs"/>
          <w:rtl/>
        </w:rPr>
        <w:t>.</w:t>
      </w:r>
    </w:p>
    <w:p w:rsidR="002D68BD" w:rsidRPr="001C664E" w:rsidRDefault="005E65EA" w:rsidP="00597C20">
      <w:pPr>
        <w:pStyle w:val="53"/>
        <w:rPr>
          <w:b w:val="0"/>
          <w:bCs w:val="0"/>
          <w:rtl/>
        </w:rPr>
      </w:pPr>
      <w:r>
        <w:rPr>
          <w:rFonts w:hint="cs"/>
          <w:b w:val="0"/>
          <w:rtl/>
        </w:rPr>
        <w:t>القَصْد</w:t>
      </w:r>
      <w:r w:rsidR="00AB0B9E">
        <w:rPr>
          <w:b w:val="0"/>
          <w:rtl/>
        </w:rPr>
        <w:fldChar w:fldCharType="begin"/>
      </w:r>
      <w:r w:rsidR="00164159" w:rsidRPr="00C85F0F">
        <w:rPr>
          <w:bCs w:val="0"/>
        </w:rPr>
        <w:instrText>XE</w:instrText>
      </w:r>
      <w:r w:rsidR="00164159" w:rsidRPr="00C85F0F">
        <w:rPr>
          <w:bCs w:val="0"/>
          <w:rtl/>
        </w:rPr>
        <w:instrText xml:space="preserve"> "</w:instrText>
      </w:r>
      <w:r w:rsidR="00164159" w:rsidRPr="00C85F0F">
        <w:rPr>
          <w:rFonts w:hint="cs"/>
          <w:bCs w:val="0"/>
          <w:rtl/>
        </w:rPr>
        <w:instrText>القَصْد</w:instrText>
      </w:r>
      <w:r w:rsidR="00164159" w:rsidRPr="00C85F0F">
        <w:rPr>
          <w:bCs w:val="0"/>
          <w:rtl/>
        </w:rPr>
        <w:instrText>" \</w:instrText>
      </w:r>
      <w:r w:rsidR="00164159" w:rsidRPr="00C85F0F">
        <w:rPr>
          <w:bCs w:val="0"/>
        </w:rPr>
        <w:instrText>f</w:instrText>
      </w:r>
      <w:r w:rsidR="00164159" w:rsidRPr="00164159">
        <w:instrText>m</w:instrText>
      </w:r>
      <w:r w:rsidR="00AB0B9E">
        <w:rPr>
          <w:b w:val="0"/>
          <w:rtl/>
        </w:rPr>
        <w:fldChar w:fldCharType="end"/>
      </w:r>
      <w:r>
        <w:rPr>
          <w:rFonts w:hint="cs"/>
          <w:b w:val="0"/>
          <w:rtl/>
        </w:rPr>
        <w:t xml:space="preserve"> لغةً:</w:t>
      </w:r>
      <w:r w:rsidR="001C664E">
        <w:rPr>
          <w:rFonts w:hint="cs"/>
          <w:b w:val="0"/>
          <w:bCs w:val="0"/>
          <w:rtl/>
        </w:rPr>
        <w:t xml:space="preserve"> تقدم تعريفه.</w:t>
      </w:r>
    </w:p>
    <w:p w:rsidR="002D68BD" w:rsidRDefault="005E65EA" w:rsidP="00597C20">
      <w:pPr>
        <w:pStyle w:val="53"/>
        <w:rPr>
          <w:rtl/>
        </w:rPr>
      </w:pPr>
      <w:r>
        <w:rPr>
          <w:rFonts w:hint="cs"/>
          <w:rtl/>
        </w:rPr>
        <w:t>القصد اصطلاحا:</w:t>
      </w:r>
    </w:p>
    <w:p w:rsidR="00F228A9" w:rsidRPr="00E125EB" w:rsidRDefault="005E65EA" w:rsidP="00597C20">
      <w:pPr>
        <w:ind w:firstLine="720"/>
        <w:jc w:val="left"/>
        <w:rPr>
          <w:rtl/>
        </w:rPr>
      </w:pPr>
      <w:r>
        <w:rPr>
          <w:rFonts w:hint="cs"/>
          <w:rtl/>
        </w:rPr>
        <w:t>القصد يأتي بمعنى النية</w:t>
      </w:r>
      <w:r w:rsidRPr="00C821A1">
        <w:rPr>
          <w:rFonts w:hint="cs"/>
          <w:szCs w:val="32"/>
          <w:vertAlign w:val="superscript"/>
          <w:rtl/>
        </w:rPr>
        <w:t>(</w:t>
      </w:r>
      <w:r w:rsidRPr="00C821A1">
        <w:rPr>
          <w:rStyle w:val="af1"/>
          <w:szCs w:val="32"/>
          <w:rtl/>
        </w:rPr>
        <w:footnoteReference w:id="867"/>
      </w:r>
      <w:r w:rsidRPr="00C821A1">
        <w:rPr>
          <w:rFonts w:hint="cs"/>
          <w:szCs w:val="32"/>
          <w:vertAlign w:val="superscript"/>
          <w:rtl/>
        </w:rPr>
        <w:t>)</w:t>
      </w:r>
      <w:r>
        <w:rPr>
          <w:rFonts w:hint="cs"/>
          <w:rtl/>
        </w:rPr>
        <w:t>،</w:t>
      </w:r>
      <w:r w:rsidR="00154102">
        <w:rPr>
          <w:rFonts w:hint="cs"/>
          <w:rtl/>
        </w:rPr>
        <w:t xml:space="preserve"> و</w:t>
      </w:r>
      <w:r>
        <w:rPr>
          <w:rFonts w:hint="cs"/>
          <w:rtl/>
        </w:rPr>
        <w:t>هو المعنى المراد هنا</w:t>
      </w:r>
      <w:r w:rsidRPr="00C821A1">
        <w:rPr>
          <w:rFonts w:hint="cs"/>
          <w:szCs w:val="32"/>
          <w:vertAlign w:val="superscript"/>
          <w:rtl/>
        </w:rPr>
        <w:t>(</w:t>
      </w:r>
      <w:r w:rsidRPr="00C821A1">
        <w:rPr>
          <w:rStyle w:val="af1"/>
          <w:szCs w:val="32"/>
          <w:rtl/>
        </w:rPr>
        <w:footnoteReference w:id="868"/>
      </w:r>
      <w:r w:rsidRPr="00C821A1">
        <w:rPr>
          <w:rFonts w:hint="cs"/>
          <w:szCs w:val="32"/>
          <w:vertAlign w:val="superscript"/>
          <w:rtl/>
        </w:rPr>
        <w:t>)</w:t>
      </w:r>
      <w:r>
        <w:rPr>
          <w:rFonts w:hint="cs"/>
          <w:rtl/>
        </w:rPr>
        <w:t>.</w:t>
      </w:r>
    </w:p>
    <w:p w:rsidR="005E65EA" w:rsidRDefault="005E65EA" w:rsidP="00597C20">
      <w:pPr>
        <w:pStyle w:val="53"/>
        <w:rPr>
          <w:rtl/>
        </w:rPr>
      </w:pPr>
      <w:r>
        <w:rPr>
          <w:rFonts w:hint="cs"/>
          <w:rtl/>
        </w:rPr>
        <w:t>المعنى الإجمالي للقاعدة:</w:t>
      </w:r>
    </w:p>
    <w:p w:rsidR="00065E4B" w:rsidRDefault="005E65EA" w:rsidP="00597C20">
      <w:pPr>
        <w:ind w:firstLine="720"/>
        <w:rPr>
          <w:b/>
          <w:bCs/>
          <w:rtl/>
        </w:rPr>
      </w:pPr>
      <w:r>
        <w:rPr>
          <w:rFonts w:hint="cs"/>
          <w:rtl/>
        </w:rPr>
        <w:t>اتفق جمهور العلماء من المذاهب الأربعة على صحة هذه القاعدة،</w:t>
      </w:r>
      <w:r w:rsidR="00154102">
        <w:rPr>
          <w:rFonts w:hint="cs"/>
          <w:rtl/>
        </w:rPr>
        <w:t xml:space="preserve"> و</w:t>
      </w:r>
      <w:r>
        <w:rPr>
          <w:rFonts w:hint="cs"/>
          <w:rtl/>
        </w:rPr>
        <w:t>العمل بها في الجملة</w:t>
      </w:r>
      <w:r w:rsidRPr="00C821A1">
        <w:rPr>
          <w:rFonts w:hint="cs"/>
          <w:szCs w:val="32"/>
          <w:vertAlign w:val="superscript"/>
          <w:rtl/>
        </w:rPr>
        <w:t>(</w:t>
      </w:r>
      <w:r w:rsidRPr="00C821A1">
        <w:rPr>
          <w:rStyle w:val="af1"/>
          <w:szCs w:val="32"/>
          <w:rtl/>
        </w:rPr>
        <w:footnoteReference w:id="869"/>
      </w:r>
      <w:r w:rsidRPr="00C821A1">
        <w:rPr>
          <w:rFonts w:hint="cs"/>
          <w:b/>
          <w:szCs w:val="32"/>
          <w:vertAlign w:val="superscript"/>
          <w:rtl/>
        </w:rPr>
        <w:t>)</w:t>
      </w:r>
      <w:r>
        <w:rPr>
          <w:rFonts w:hint="cs"/>
          <w:b/>
          <w:bCs/>
          <w:rtl/>
        </w:rPr>
        <w:t>.</w:t>
      </w:r>
    </w:p>
    <w:p w:rsidR="005E65EA" w:rsidRDefault="00065E4B" w:rsidP="001C03F0">
      <w:pPr>
        <w:ind w:firstLine="720"/>
        <w:rPr>
          <w:rtl/>
        </w:rPr>
      </w:pPr>
      <w:r>
        <w:rPr>
          <w:rFonts w:hint="cs"/>
          <w:rtl/>
        </w:rPr>
        <w:t>و</w:t>
      </w:r>
      <w:r w:rsidR="005E65EA" w:rsidRPr="00F4201C">
        <w:rPr>
          <w:rFonts w:hint="cs"/>
          <w:b/>
          <w:bCs/>
          <w:rtl/>
        </w:rPr>
        <w:t>معنى القاعدة</w:t>
      </w:r>
      <w:r w:rsidR="005E65EA">
        <w:rPr>
          <w:rFonts w:hint="cs"/>
          <w:rtl/>
        </w:rPr>
        <w:t xml:space="preserve"> أن مَن قصَد بتصرُّفه غرَضًا غيرَ مشروع</w:t>
      </w:r>
      <w:r w:rsidR="005E65EA" w:rsidRPr="00C821A1">
        <w:rPr>
          <w:rFonts w:hint="cs"/>
          <w:szCs w:val="32"/>
          <w:vertAlign w:val="superscript"/>
          <w:rtl/>
        </w:rPr>
        <w:t>(</w:t>
      </w:r>
      <w:r w:rsidR="005E65EA" w:rsidRPr="00C821A1">
        <w:rPr>
          <w:rStyle w:val="af1"/>
          <w:szCs w:val="32"/>
          <w:rtl/>
        </w:rPr>
        <w:footnoteReference w:id="870"/>
      </w:r>
      <w:r w:rsidR="005E65EA" w:rsidRPr="00C821A1">
        <w:rPr>
          <w:rFonts w:hint="cs"/>
          <w:szCs w:val="32"/>
          <w:vertAlign w:val="superscript"/>
          <w:rtl/>
        </w:rPr>
        <w:t>)</w:t>
      </w:r>
      <w:r w:rsidR="005E65EA">
        <w:rPr>
          <w:rFonts w:hint="cs"/>
          <w:rtl/>
        </w:rPr>
        <w:t>،كأنْ توسَّل بِوَسيلةٍ</w:t>
      </w:r>
      <w:r w:rsidR="001C03F0">
        <w:rPr>
          <w:rFonts w:hint="cs"/>
          <w:szCs w:val="32"/>
          <w:vertAlign w:val="superscript"/>
          <w:rtl/>
        </w:rPr>
        <w:t xml:space="preserve"> </w:t>
      </w:r>
      <w:r w:rsidR="005E65EA">
        <w:rPr>
          <w:rFonts w:hint="cs"/>
          <w:rtl/>
        </w:rPr>
        <w:lastRenderedPageBreak/>
        <w:t>محرَّمة</w:t>
      </w:r>
      <w:r w:rsidR="005E65EA" w:rsidRPr="00C821A1">
        <w:rPr>
          <w:rFonts w:hint="cs"/>
          <w:szCs w:val="32"/>
          <w:vertAlign w:val="superscript"/>
          <w:rtl/>
        </w:rPr>
        <w:t>(</w:t>
      </w:r>
      <w:r w:rsidR="005E65EA" w:rsidRPr="00C821A1">
        <w:rPr>
          <w:rStyle w:val="af1"/>
          <w:szCs w:val="32"/>
          <w:rtl/>
        </w:rPr>
        <w:footnoteReference w:id="871"/>
      </w:r>
      <w:r w:rsidR="005E65EA" w:rsidRPr="00C821A1">
        <w:rPr>
          <w:rFonts w:hint="cs"/>
          <w:szCs w:val="32"/>
          <w:vertAlign w:val="superscript"/>
          <w:rtl/>
        </w:rPr>
        <w:t>)</w:t>
      </w:r>
      <w:r w:rsidR="005E65EA">
        <w:rPr>
          <w:rFonts w:hint="cs"/>
          <w:rtl/>
        </w:rPr>
        <w:t>لِيَتعجَّل حقًّا من حُقوقه، أو يتعجَّل أمرًا قَبْل وَقْته الطبيعي الذي رتَّب عليه الشارعُ حُصولَه، أو سعى إلى فعلٍ يريد به إبْطال شيءٍ يَقْصِده الشارعُ، فإنه يأثم لِسوءِ قَصْده،</w:t>
      </w:r>
      <w:r w:rsidR="00154102">
        <w:rPr>
          <w:rFonts w:hint="cs"/>
          <w:rtl/>
        </w:rPr>
        <w:t xml:space="preserve"> و</w:t>
      </w:r>
      <w:r w:rsidR="005E65EA">
        <w:rPr>
          <w:rFonts w:hint="cs"/>
          <w:rtl/>
        </w:rPr>
        <w:t>لِمُباشَرته الوسيلةَ المحرَّمة، ويُرَدُّ سَعْيُه،</w:t>
      </w:r>
      <w:r w:rsidR="00154102">
        <w:rPr>
          <w:rFonts w:hint="cs"/>
          <w:rtl/>
        </w:rPr>
        <w:t xml:space="preserve"> و</w:t>
      </w:r>
      <w:r w:rsidR="005E65EA">
        <w:rPr>
          <w:rFonts w:hint="cs"/>
          <w:rtl/>
        </w:rPr>
        <w:t>يُحْرَم من الحق تعزيرًا</w:t>
      </w:r>
      <w:r w:rsidR="00662E84" w:rsidRPr="00662E84">
        <w:rPr>
          <w:rFonts w:hint="cs"/>
          <w:vertAlign w:val="superscript"/>
          <w:rtl/>
        </w:rPr>
        <w:t>(</w:t>
      </w:r>
      <w:r w:rsidR="00662E84" w:rsidRPr="00662E84">
        <w:rPr>
          <w:rStyle w:val="af1"/>
          <w:rtl/>
        </w:rPr>
        <w:footnoteReference w:id="872"/>
      </w:r>
      <w:r w:rsidR="00662E84" w:rsidRPr="00662E84">
        <w:rPr>
          <w:rFonts w:hint="cs"/>
          <w:vertAlign w:val="superscript"/>
          <w:rtl/>
        </w:rPr>
        <w:t>)</w:t>
      </w:r>
      <w:r w:rsidR="005E65EA">
        <w:rPr>
          <w:rFonts w:hint="cs"/>
          <w:rtl/>
        </w:rPr>
        <w:t xml:space="preserve"> له؛</w:t>
      </w:r>
      <w:r w:rsidR="00154102">
        <w:rPr>
          <w:rFonts w:hint="cs"/>
          <w:rtl/>
        </w:rPr>
        <w:t xml:space="preserve"> و</w:t>
      </w:r>
      <w:r w:rsidR="005E65EA">
        <w:rPr>
          <w:rFonts w:hint="cs"/>
          <w:rtl/>
        </w:rPr>
        <w:t>مُعامَلةً له بخِلافِ مَقْصوده</w:t>
      </w:r>
      <w:r w:rsidR="005E65EA" w:rsidRPr="00C821A1">
        <w:rPr>
          <w:rFonts w:hint="cs"/>
          <w:szCs w:val="32"/>
          <w:vertAlign w:val="superscript"/>
          <w:rtl/>
        </w:rPr>
        <w:t>(</w:t>
      </w:r>
      <w:r w:rsidR="005E65EA" w:rsidRPr="00C821A1">
        <w:rPr>
          <w:rStyle w:val="af1"/>
          <w:szCs w:val="32"/>
          <w:rtl/>
        </w:rPr>
        <w:footnoteReference w:id="873"/>
      </w:r>
      <w:r w:rsidR="005E65EA" w:rsidRPr="00C821A1">
        <w:rPr>
          <w:rFonts w:hint="cs"/>
          <w:szCs w:val="32"/>
          <w:vertAlign w:val="superscript"/>
          <w:rtl/>
        </w:rPr>
        <w:t>)</w:t>
      </w:r>
      <w:r w:rsidR="005E65EA">
        <w:rPr>
          <w:rFonts w:hint="cs"/>
          <w:rtl/>
        </w:rPr>
        <w:t>.</w:t>
      </w:r>
    </w:p>
    <w:p w:rsidR="005E65EA" w:rsidRPr="001C03F0" w:rsidRDefault="001C03F0" w:rsidP="00A8347C">
      <w:pPr>
        <w:pStyle w:val="aff3"/>
      </w:pPr>
      <w:bookmarkStart w:id="166" w:name="_Toc334046406"/>
      <w:r>
        <w:rPr>
          <w:rFonts w:hint="cs"/>
          <w:rtl/>
        </w:rPr>
        <w:t xml:space="preserve">                                       </w:t>
      </w:r>
      <w:r w:rsidR="005E65EA" w:rsidRPr="005E65EA">
        <w:rPr>
          <w:rFonts w:hint="cs"/>
          <w:rtl/>
        </w:rPr>
        <w:t>المطلب الثالث</w:t>
      </w:r>
      <w:r w:rsidR="005E65EA">
        <w:rPr>
          <w:rFonts w:hint="eastAsia"/>
          <w:rtl/>
        </w:rPr>
        <w:t> :</w:t>
      </w:r>
      <w:r w:rsidR="005E65EA">
        <w:rPr>
          <w:rFonts w:hint="cs"/>
          <w:rtl/>
        </w:rPr>
        <w:br/>
      </w:r>
      <w:r>
        <w:rPr>
          <w:rFonts w:hint="cs"/>
          <w:rtl/>
        </w:rPr>
        <w:t xml:space="preserve">                                         </w:t>
      </w:r>
      <w:r w:rsidR="005E65EA" w:rsidRPr="005E65EA">
        <w:rPr>
          <w:rFonts w:hint="cs"/>
          <w:rtl/>
        </w:rPr>
        <w:t>أدلة القاعدة</w:t>
      </w:r>
      <w:bookmarkEnd w:id="166"/>
    </w:p>
    <w:p w:rsidR="005E65EA" w:rsidRPr="001C03F0" w:rsidRDefault="001C03F0" w:rsidP="001C03F0">
      <w:pPr>
        <w:ind w:firstLine="0"/>
        <w:jc w:val="left"/>
        <w:rPr>
          <w:b/>
          <w:bCs/>
        </w:rPr>
      </w:pPr>
      <w:r>
        <w:rPr>
          <w:rFonts w:hint="cs"/>
          <w:rtl/>
        </w:rPr>
        <w:t xml:space="preserve">(1)    </w:t>
      </w:r>
      <w:r w:rsidR="005E65EA">
        <w:rPr>
          <w:rFonts w:hint="cs"/>
          <w:rtl/>
        </w:rPr>
        <w:t>قوله تعالى:</w:t>
      </w:r>
      <w:bookmarkStart w:id="167" w:name="سورة_البقرة_65"/>
      <w:r w:rsidR="005E65EA" w:rsidRPr="001C03F0">
        <w:rPr>
          <w:rFonts w:ascii="QCF_BSML" w:hAnsi="QCF_BSML" w:cs="QCF_BSML"/>
          <w:noProof w:val="0"/>
          <w:rtl/>
          <w:lang w:eastAsia="en-US"/>
        </w:rPr>
        <w:t>ﭽ</w:t>
      </w:r>
      <w:r w:rsidR="005E65EA" w:rsidRPr="001C03F0">
        <w:rPr>
          <w:rFonts w:ascii="QCF_P010" w:hAnsi="QCF_P010" w:cs="QCF_P010"/>
          <w:noProof w:val="0"/>
          <w:rtl/>
          <w:lang w:eastAsia="en-US"/>
        </w:rPr>
        <w:t>ﮉ</w:t>
      </w:r>
      <w:r w:rsidRPr="001C03F0">
        <w:rPr>
          <w:rFonts w:ascii="QCF_P010" w:hAnsi="QCF_P010" w:cs="QCF_P010" w:hint="cs"/>
          <w:noProof w:val="0"/>
          <w:rtl/>
          <w:lang w:eastAsia="en-US"/>
        </w:rPr>
        <w:t xml:space="preserve"> </w:t>
      </w:r>
      <w:r w:rsidR="005E65EA" w:rsidRPr="001C03F0">
        <w:rPr>
          <w:rFonts w:ascii="QCF_P010" w:hAnsi="QCF_P010" w:cs="QCF_P010"/>
          <w:noProof w:val="0"/>
          <w:rtl/>
          <w:lang w:eastAsia="en-US"/>
        </w:rPr>
        <w:t>ﮊ</w:t>
      </w:r>
      <w:r w:rsidRPr="001C03F0">
        <w:rPr>
          <w:rFonts w:ascii="QCF_P010" w:hAnsi="QCF_P010" w:cs="QCF_P010" w:hint="cs"/>
          <w:noProof w:val="0"/>
          <w:rtl/>
          <w:lang w:eastAsia="en-US"/>
        </w:rPr>
        <w:t xml:space="preserve"> </w:t>
      </w:r>
      <w:r w:rsidR="005E65EA" w:rsidRPr="001C03F0">
        <w:rPr>
          <w:rFonts w:ascii="QCF_P010" w:hAnsi="QCF_P010" w:cs="QCF_P010"/>
          <w:noProof w:val="0"/>
          <w:rtl/>
          <w:lang w:eastAsia="en-US"/>
        </w:rPr>
        <w:t>ﮋ</w:t>
      </w:r>
      <w:r w:rsidRPr="001C03F0">
        <w:rPr>
          <w:rFonts w:ascii="QCF_P010" w:hAnsi="QCF_P010" w:cs="QCF_P010" w:hint="cs"/>
          <w:noProof w:val="0"/>
          <w:rtl/>
          <w:lang w:eastAsia="en-US"/>
        </w:rPr>
        <w:t xml:space="preserve"> </w:t>
      </w:r>
      <w:r w:rsidR="007C4906" w:rsidRPr="001C03F0">
        <w:rPr>
          <w:rFonts w:ascii="QCF_P010" w:hAnsi="QCF_P010" w:cs="QCF_P010"/>
          <w:noProof w:val="0"/>
          <w:rtl/>
          <w:lang w:eastAsia="en-US"/>
        </w:rPr>
        <w:t>ﮌ</w:t>
      </w:r>
      <w:r w:rsidRPr="001C03F0">
        <w:rPr>
          <w:rFonts w:ascii="QCF_P010" w:hAnsi="QCF_P010" w:cs="QCF_P010" w:hint="cs"/>
          <w:noProof w:val="0"/>
          <w:rtl/>
          <w:lang w:eastAsia="en-US"/>
        </w:rPr>
        <w:t xml:space="preserve"> </w:t>
      </w:r>
      <w:r w:rsidR="007C4906" w:rsidRPr="001C03F0">
        <w:rPr>
          <w:rFonts w:ascii="QCF_P010" w:hAnsi="QCF_P010" w:cs="QCF_P010"/>
          <w:noProof w:val="0"/>
          <w:rtl/>
          <w:lang w:eastAsia="en-US"/>
        </w:rPr>
        <w:t>ﮍ</w:t>
      </w:r>
      <w:r w:rsidRPr="001C03F0">
        <w:rPr>
          <w:rFonts w:ascii="QCF_P010" w:hAnsi="QCF_P010" w:cs="QCF_P010" w:hint="cs"/>
          <w:noProof w:val="0"/>
          <w:rtl/>
          <w:lang w:eastAsia="en-US"/>
        </w:rPr>
        <w:t xml:space="preserve"> </w:t>
      </w:r>
      <w:r w:rsidR="007C4906" w:rsidRPr="001C03F0">
        <w:rPr>
          <w:rFonts w:ascii="QCF_P010" w:hAnsi="QCF_P010" w:cs="QCF_P010"/>
          <w:noProof w:val="0"/>
          <w:rtl/>
          <w:lang w:eastAsia="en-US"/>
        </w:rPr>
        <w:t>ﮎ</w:t>
      </w:r>
      <w:r w:rsidRPr="001C03F0">
        <w:rPr>
          <w:rFonts w:ascii="QCF_P010" w:hAnsi="QCF_P010" w:cs="QCF_P010" w:hint="cs"/>
          <w:noProof w:val="0"/>
          <w:rtl/>
          <w:lang w:eastAsia="en-US"/>
        </w:rPr>
        <w:t xml:space="preserve"> </w:t>
      </w:r>
      <w:r w:rsidR="007C4906" w:rsidRPr="001C03F0">
        <w:rPr>
          <w:rFonts w:ascii="QCF_P010" w:hAnsi="QCF_P010" w:cs="QCF_P010"/>
          <w:noProof w:val="0"/>
          <w:rtl/>
          <w:lang w:eastAsia="en-US"/>
        </w:rPr>
        <w:t>ﮏ</w:t>
      </w:r>
      <w:r w:rsidRPr="001C03F0">
        <w:rPr>
          <w:rFonts w:ascii="QCF_P010" w:hAnsi="QCF_P010" w:cs="QCF_P010" w:hint="cs"/>
          <w:noProof w:val="0"/>
          <w:rtl/>
          <w:lang w:eastAsia="en-US"/>
        </w:rPr>
        <w:t xml:space="preserve"> </w:t>
      </w:r>
      <w:r w:rsidR="007C4906" w:rsidRPr="001C03F0">
        <w:rPr>
          <w:rFonts w:ascii="QCF_P010" w:hAnsi="QCF_P010" w:cs="QCF_P010"/>
          <w:noProof w:val="0"/>
          <w:rtl/>
          <w:lang w:eastAsia="en-US"/>
        </w:rPr>
        <w:t>ﮐ</w:t>
      </w:r>
      <w:r w:rsidRPr="001C03F0">
        <w:rPr>
          <w:rFonts w:ascii="QCF_P010" w:hAnsi="QCF_P010" w:cs="QCF_P010" w:hint="cs"/>
          <w:noProof w:val="0"/>
          <w:rtl/>
          <w:lang w:eastAsia="en-US"/>
        </w:rPr>
        <w:t xml:space="preserve"> </w:t>
      </w:r>
      <w:r w:rsidR="007C4906" w:rsidRPr="001C03F0">
        <w:rPr>
          <w:rFonts w:ascii="QCF_P010" w:hAnsi="QCF_P010" w:cs="QCF_P010"/>
          <w:noProof w:val="0"/>
          <w:rtl/>
          <w:lang w:eastAsia="en-US"/>
        </w:rPr>
        <w:t>ﮑ</w:t>
      </w:r>
      <w:r w:rsidRPr="001C03F0">
        <w:rPr>
          <w:rFonts w:ascii="QCF_P010" w:hAnsi="QCF_P010" w:cs="QCF_P010" w:hint="cs"/>
          <w:noProof w:val="0"/>
          <w:rtl/>
          <w:lang w:eastAsia="en-US"/>
        </w:rPr>
        <w:t xml:space="preserve"> </w:t>
      </w:r>
      <w:r w:rsidR="007C4906" w:rsidRPr="001C03F0">
        <w:rPr>
          <w:rFonts w:ascii="QCF_P010" w:hAnsi="QCF_P010" w:cs="QCF_P010"/>
          <w:noProof w:val="0"/>
          <w:rtl/>
          <w:lang w:eastAsia="en-US"/>
        </w:rPr>
        <w:t>ﮒ</w:t>
      </w:r>
      <w:r w:rsidRPr="001C03F0">
        <w:rPr>
          <w:rFonts w:ascii="QCF_P010" w:hAnsi="QCF_P010" w:cs="QCF_P010" w:hint="cs"/>
          <w:noProof w:val="0"/>
          <w:rtl/>
          <w:lang w:eastAsia="en-US"/>
        </w:rPr>
        <w:t xml:space="preserve"> </w:t>
      </w:r>
      <w:r w:rsidR="007C4906" w:rsidRPr="001C03F0">
        <w:rPr>
          <w:rFonts w:ascii="QCF_P010" w:hAnsi="QCF_P010" w:cs="QCF_P010"/>
          <w:noProof w:val="0"/>
          <w:rtl/>
          <w:lang w:eastAsia="en-US"/>
        </w:rPr>
        <w:t>ﮓ</w:t>
      </w:r>
      <w:r w:rsidRPr="001C03F0">
        <w:rPr>
          <w:rFonts w:ascii="QCF_P010" w:hAnsi="QCF_P010" w:cs="QCF_P010" w:hint="cs"/>
          <w:noProof w:val="0"/>
          <w:rtl/>
          <w:lang w:eastAsia="en-US"/>
        </w:rPr>
        <w:t xml:space="preserve"> </w:t>
      </w:r>
      <w:r w:rsidR="007C4906" w:rsidRPr="001C03F0">
        <w:rPr>
          <w:rFonts w:ascii="QCF_P010" w:hAnsi="QCF_P010" w:cs="QCF_P010"/>
          <w:noProof w:val="0"/>
          <w:rtl/>
          <w:lang w:eastAsia="en-US"/>
        </w:rPr>
        <w:t>ﮔ</w:t>
      </w:r>
      <w:r w:rsidR="005E65EA" w:rsidRPr="001C03F0">
        <w:rPr>
          <w:rFonts w:ascii="QCF_BSML" w:hAnsi="QCF_BSML" w:cs="QCF_BSML"/>
          <w:noProof w:val="0"/>
          <w:color w:val="auto"/>
          <w:rtl/>
          <w:lang w:eastAsia="en-US"/>
        </w:rPr>
        <w:t>ﭼ</w:t>
      </w:r>
      <w:bookmarkEnd w:id="167"/>
      <w:r w:rsidR="005E65EA" w:rsidRPr="001C03F0">
        <w:rPr>
          <w:rFonts w:ascii="Traditional Arabic" w:hAnsi="Traditional Arabic"/>
          <w:noProof w:val="0"/>
          <w:color w:val="auto"/>
          <w:rtl/>
          <w:lang w:eastAsia="en-US"/>
        </w:rPr>
        <w:t>[البقرة: ٦٥].</w:t>
      </w:r>
    </w:p>
    <w:p w:rsidR="005E65EA" w:rsidRPr="003E76F0" w:rsidRDefault="005E65EA" w:rsidP="00597C20">
      <w:pPr>
        <w:pStyle w:val="53"/>
        <w:rPr>
          <w:rtl/>
        </w:rPr>
      </w:pPr>
      <w:r w:rsidRPr="003E76F0">
        <w:rPr>
          <w:rtl/>
        </w:rPr>
        <w:lastRenderedPageBreak/>
        <w:t>وجه الدلالة:</w:t>
      </w:r>
    </w:p>
    <w:p w:rsidR="005E65EA" w:rsidRPr="002D68BD" w:rsidRDefault="005E65EA" w:rsidP="00597C20">
      <w:pPr>
        <w:ind w:firstLine="720"/>
        <w:rPr>
          <w:rFonts w:ascii="Traditional Arabic" w:hAnsi="Traditional Arabic"/>
          <w:noProof w:val="0"/>
          <w:rtl/>
          <w:lang w:eastAsia="en-US"/>
        </w:rPr>
      </w:pPr>
      <w:r w:rsidRPr="002D68BD">
        <w:rPr>
          <w:rFonts w:ascii="Traditional Arabic" w:hAnsi="Traditional Arabic"/>
          <w:noProof w:val="0"/>
          <w:rtl/>
          <w:lang w:eastAsia="en-US"/>
        </w:rPr>
        <w:t>ال</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م</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 xml:space="preserve">حتال </w:t>
      </w:r>
      <w:r w:rsidRPr="002D68BD">
        <w:rPr>
          <w:rFonts w:ascii="Traditional Arabic" w:hAnsi="Traditional Arabic" w:hint="cs"/>
          <w:noProof w:val="0"/>
          <w:rtl/>
          <w:lang w:eastAsia="en-US"/>
        </w:rPr>
        <w:t>ب</w:t>
      </w:r>
      <w:r w:rsidRPr="002D68BD">
        <w:rPr>
          <w:rFonts w:ascii="Traditional Arabic" w:hAnsi="Traditional Arabic"/>
          <w:noProof w:val="0"/>
          <w:rtl/>
          <w:lang w:eastAsia="en-US"/>
        </w:rPr>
        <w:t xml:space="preserve">الباطل </w:t>
      </w:r>
      <w:r w:rsidRPr="00BF7828">
        <w:rPr>
          <w:rFonts w:ascii="Traditional Arabic" w:hAnsi="Traditional Arabic"/>
          <w:noProof w:val="0"/>
          <w:rtl/>
          <w:lang w:eastAsia="en-US"/>
        </w:rPr>
        <w:t>م</w:t>
      </w:r>
      <w:r w:rsidRPr="00BF7828">
        <w:rPr>
          <w:rFonts w:ascii="Traditional Arabic" w:hAnsi="Traditional Arabic" w:hint="cs"/>
          <w:noProof w:val="0"/>
          <w:rtl/>
          <w:lang w:eastAsia="en-US"/>
        </w:rPr>
        <w:t>ُ</w:t>
      </w:r>
      <w:r w:rsidRPr="00BF7828">
        <w:rPr>
          <w:rFonts w:ascii="Traditional Arabic" w:hAnsi="Traditional Arabic"/>
          <w:noProof w:val="0"/>
          <w:rtl/>
          <w:lang w:eastAsia="en-US"/>
        </w:rPr>
        <w:t>عام</w:t>
      </w:r>
      <w:r w:rsidRPr="00BF7828">
        <w:rPr>
          <w:rFonts w:ascii="Traditional Arabic" w:hAnsi="Traditional Arabic" w:hint="cs"/>
          <w:noProof w:val="0"/>
          <w:rtl/>
          <w:lang w:eastAsia="en-US"/>
        </w:rPr>
        <w:t>َ</w:t>
      </w:r>
      <w:r w:rsidRPr="00BF7828">
        <w:rPr>
          <w:rFonts w:ascii="Traditional Arabic" w:hAnsi="Traditional Arabic"/>
          <w:noProof w:val="0"/>
          <w:rtl/>
          <w:lang w:eastAsia="en-US"/>
        </w:rPr>
        <w:t>ل</w:t>
      </w:r>
      <w:r w:rsidRPr="00BF7828">
        <w:rPr>
          <w:rFonts w:ascii="Traditional Arabic" w:hAnsi="Traditional Arabic" w:hint="cs"/>
          <w:noProof w:val="0"/>
          <w:rtl/>
          <w:lang w:eastAsia="en-US"/>
        </w:rPr>
        <w:t>ٌ</w:t>
      </w:r>
      <w:r w:rsidRPr="00BF7828">
        <w:rPr>
          <w:rFonts w:ascii="Traditional Arabic" w:hAnsi="Traditional Arabic"/>
          <w:noProof w:val="0"/>
          <w:rtl/>
          <w:lang w:eastAsia="en-US"/>
        </w:rPr>
        <w:t xml:space="preserve"> بنقيض قصده شرع</w:t>
      </w:r>
      <w:r w:rsidRPr="00BF7828">
        <w:rPr>
          <w:rFonts w:ascii="Traditional Arabic" w:hAnsi="Traditional Arabic" w:hint="cs"/>
          <w:noProof w:val="0"/>
          <w:rtl/>
          <w:lang w:eastAsia="en-US"/>
        </w:rPr>
        <w:t>ً</w:t>
      </w:r>
      <w:r w:rsidRPr="00BF7828">
        <w:rPr>
          <w:rFonts w:ascii="Traditional Arabic" w:hAnsi="Traditional Arabic"/>
          <w:noProof w:val="0"/>
          <w:rtl/>
          <w:lang w:eastAsia="en-US"/>
        </w:rPr>
        <w:t>ا وق</w:t>
      </w:r>
      <w:r w:rsidRPr="00BF7828">
        <w:rPr>
          <w:rFonts w:ascii="Traditional Arabic" w:hAnsi="Traditional Arabic" w:hint="cs"/>
          <w:noProof w:val="0"/>
          <w:rtl/>
          <w:lang w:eastAsia="en-US"/>
        </w:rPr>
        <w:t>َ</w:t>
      </w:r>
      <w:r w:rsidRPr="00BF7828">
        <w:rPr>
          <w:rFonts w:ascii="Traditional Arabic" w:hAnsi="Traditional Arabic"/>
          <w:noProof w:val="0"/>
          <w:rtl/>
          <w:lang w:eastAsia="en-US"/>
        </w:rPr>
        <w:t>د</w:t>
      </w:r>
      <w:r w:rsidRPr="00BF7828">
        <w:rPr>
          <w:rFonts w:ascii="Traditional Arabic" w:hAnsi="Traditional Arabic" w:hint="cs"/>
          <w:noProof w:val="0"/>
          <w:rtl/>
          <w:lang w:eastAsia="en-US"/>
        </w:rPr>
        <w:t>َ</w:t>
      </w:r>
      <w:r w:rsidRPr="00BF7828">
        <w:rPr>
          <w:rFonts w:ascii="Traditional Arabic" w:hAnsi="Traditional Arabic"/>
          <w:noProof w:val="0"/>
          <w:rtl/>
          <w:lang w:eastAsia="en-US"/>
        </w:rPr>
        <w:t>ر</w:t>
      </w:r>
      <w:r w:rsidRPr="00BF7828">
        <w:rPr>
          <w:rFonts w:ascii="Traditional Arabic" w:hAnsi="Traditional Arabic" w:hint="cs"/>
          <w:noProof w:val="0"/>
          <w:rtl/>
          <w:lang w:eastAsia="en-US"/>
        </w:rPr>
        <w:t>ً</w:t>
      </w:r>
      <w:r w:rsidRPr="00BF7828">
        <w:rPr>
          <w:rFonts w:ascii="Traditional Arabic" w:hAnsi="Traditional Arabic"/>
          <w:noProof w:val="0"/>
          <w:rtl/>
          <w:lang w:eastAsia="en-US"/>
        </w:rPr>
        <w:t>ا</w:t>
      </w:r>
      <w:r w:rsidR="003F0E8F">
        <w:rPr>
          <w:rFonts w:ascii="Traditional Arabic" w:hAnsi="Traditional Arabic" w:hint="cs"/>
          <w:noProof w:val="0"/>
          <w:rtl/>
          <w:lang w:eastAsia="en-US"/>
        </w:rPr>
        <w:t>؛</w:t>
      </w:r>
      <w:r w:rsidR="00154102" w:rsidRPr="002D68BD">
        <w:rPr>
          <w:rFonts w:ascii="Traditional Arabic" w:hAnsi="Traditional Arabic" w:hint="cs"/>
          <w:noProof w:val="0"/>
          <w:rtl/>
          <w:lang w:eastAsia="en-US"/>
        </w:rPr>
        <w:t xml:space="preserve"> و</w:t>
      </w:r>
      <w:r w:rsidRPr="002D68BD">
        <w:rPr>
          <w:rFonts w:ascii="Traditional Arabic" w:hAnsi="Traditional Arabic" w:hint="cs"/>
          <w:noProof w:val="0"/>
          <w:rtl/>
          <w:lang w:eastAsia="en-US"/>
        </w:rPr>
        <w:t xml:space="preserve">لهذا </w:t>
      </w:r>
      <w:r w:rsidRPr="002D68BD">
        <w:rPr>
          <w:rFonts w:ascii="Traditional Arabic" w:hAnsi="Traditional Arabic"/>
          <w:noProof w:val="0"/>
          <w:rtl/>
          <w:lang w:eastAsia="en-US"/>
        </w:rPr>
        <w:t>عاق</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ب</w:t>
      </w:r>
      <w:r w:rsidRPr="002D68BD">
        <w:rPr>
          <w:rFonts w:ascii="Traditional Arabic" w:hAnsi="Traditional Arabic" w:hint="cs"/>
          <w:noProof w:val="0"/>
          <w:rtl/>
          <w:lang w:eastAsia="en-US"/>
        </w:rPr>
        <w:t xml:space="preserve"> الله تعالى</w:t>
      </w:r>
      <w:r w:rsidRPr="002D68BD">
        <w:rPr>
          <w:rFonts w:ascii="Traditional Arabic" w:hAnsi="Traditional Arabic"/>
          <w:noProof w:val="0"/>
          <w:rtl/>
          <w:lang w:eastAsia="en-US"/>
        </w:rPr>
        <w:t xml:space="preserve"> م</w:t>
      </w:r>
      <w:r w:rsidR="003F0E8F">
        <w:rPr>
          <w:rFonts w:ascii="Traditional Arabic" w:hAnsi="Traditional Arabic" w:hint="cs"/>
          <w:noProof w:val="0"/>
          <w:rtl/>
          <w:lang w:eastAsia="en-US"/>
        </w:rPr>
        <w:t>َ</w:t>
      </w:r>
      <w:r w:rsidRPr="002D68BD">
        <w:rPr>
          <w:rFonts w:ascii="Traditional Arabic" w:hAnsi="Traditional Arabic"/>
          <w:noProof w:val="0"/>
          <w:rtl/>
          <w:lang w:eastAsia="en-US"/>
        </w:rPr>
        <w:t>ن احتال على الصيد المحر</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م بأن</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 xml:space="preserve"> م</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س</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خ</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هم قردة</w:t>
      </w:r>
      <w:r w:rsidR="003F0E8F">
        <w:rPr>
          <w:rFonts w:ascii="Traditional Arabic" w:hAnsi="Traditional Arabic" w:hint="cs"/>
          <w:noProof w:val="0"/>
          <w:rtl/>
          <w:lang w:eastAsia="en-US"/>
        </w:rPr>
        <w:t>ً</w:t>
      </w:r>
      <w:r w:rsidRPr="002D68BD">
        <w:rPr>
          <w:rFonts w:ascii="Traditional Arabic" w:hAnsi="Traditional Arabic" w:hint="cs"/>
          <w:noProof w:val="0"/>
          <w:rtl/>
          <w:lang w:eastAsia="en-US"/>
        </w:rPr>
        <w:t>؛</w:t>
      </w:r>
      <w:r w:rsidR="001C03F0">
        <w:rPr>
          <w:rFonts w:ascii="Traditional Arabic" w:hAnsi="Traditional Arabic" w:hint="cs"/>
          <w:noProof w:val="0"/>
          <w:rtl/>
          <w:lang w:eastAsia="en-US"/>
        </w:rPr>
        <w:t xml:space="preserve"> </w:t>
      </w:r>
      <w:r w:rsidRPr="002D68BD">
        <w:rPr>
          <w:rFonts w:ascii="Traditional Arabic" w:hAnsi="Traditional Arabic" w:hint="cs"/>
          <w:noProof w:val="0"/>
          <w:rtl/>
          <w:lang w:eastAsia="en-US"/>
        </w:rPr>
        <w:t>ف</w:t>
      </w:r>
      <w:r w:rsidRPr="002D68BD">
        <w:rPr>
          <w:rFonts w:ascii="Traditional Arabic" w:hAnsi="Traditional Arabic"/>
          <w:noProof w:val="0"/>
          <w:rtl/>
          <w:lang w:eastAsia="en-US"/>
        </w:rPr>
        <w:t>هؤلاء حر</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 xml:space="preserve">م </w:t>
      </w:r>
      <w:r w:rsidRPr="002D68BD">
        <w:rPr>
          <w:rFonts w:ascii="Traditional Arabic" w:hAnsi="Traditional Arabic" w:hint="cs"/>
          <w:noProof w:val="0"/>
          <w:rtl/>
          <w:lang w:eastAsia="en-US"/>
        </w:rPr>
        <w:t xml:space="preserve">الله </w:t>
      </w:r>
      <w:r w:rsidRPr="002D68BD">
        <w:rPr>
          <w:rFonts w:ascii="Traditional Arabic" w:hAnsi="Traditional Arabic"/>
          <w:noProof w:val="0"/>
          <w:rtl/>
          <w:lang w:eastAsia="en-US"/>
        </w:rPr>
        <w:t>عليهم الصيد يوم السبت، فصنعوا ش</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باك</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ا</w:t>
      </w:r>
      <w:r w:rsidR="002D68BD">
        <w:rPr>
          <w:rFonts w:ascii="Traditional Arabic" w:hAnsi="Traditional Arabic" w:hint="cs"/>
          <w:noProof w:val="0"/>
          <w:rtl/>
          <w:lang w:eastAsia="en-US"/>
        </w:rPr>
        <w:t>؛</w:t>
      </w:r>
      <w:r w:rsidR="001C03F0">
        <w:rPr>
          <w:rFonts w:ascii="Traditional Arabic" w:hAnsi="Traditional Arabic" w:hint="cs"/>
          <w:noProof w:val="0"/>
          <w:rtl/>
          <w:lang w:eastAsia="en-US"/>
        </w:rPr>
        <w:t xml:space="preserve"> </w:t>
      </w:r>
      <w:r w:rsidRPr="002D68BD">
        <w:rPr>
          <w:rFonts w:ascii="Traditional Arabic" w:hAnsi="Traditional Arabic"/>
          <w:noProof w:val="0"/>
          <w:rtl/>
          <w:lang w:eastAsia="en-US"/>
        </w:rPr>
        <w:t>فصاروا ي</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ن</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ص</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بونها في يوم الجمعة وي</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د</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عون ال</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حيتان تدخل فيها يوم السبت، فإذا أتى يوم الأحد أخذوها، وهذه حيلة</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 xml:space="preserve"> ظاهر</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ها الح</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ل</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 ولكن حقيقتها ومعناها الوقوع في الإثم، ولهذا م</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س</w:t>
      </w:r>
      <w:r w:rsidRPr="002D68BD">
        <w:rPr>
          <w:rFonts w:ascii="Traditional Arabic" w:hAnsi="Traditional Arabic" w:hint="cs"/>
          <w:noProof w:val="0"/>
          <w:rtl/>
          <w:lang w:eastAsia="en-US"/>
        </w:rPr>
        <w:t>ِ</w:t>
      </w:r>
      <w:r w:rsidRPr="002D68BD">
        <w:rPr>
          <w:rFonts w:ascii="Traditional Arabic" w:hAnsi="Traditional Arabic"/>
          <w:noProof w:val="0"/>
          <w:rtl/>
          <w:lang w:eastAsia="en-US"/>
        </w:rPr>
        <w:t>خوا إلى حيوان يشبه الإنسان، وهو القرد</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874"/>
      </w:r>
      <w:r w:rsidRPr="00C821A1">
        <w:rPr>
          <w:rFonts w:ascii="Traditional Arabic" w:hAnsi="Traditional Arabic" w:hint="cs"/>
          <w:noProof w:val="0"/>
          <w:szCs w:val="32"/>
          <w:vertAlign w:val="superscript"/>
          <w:rtl/>
          <w:lang w:eastAsia="en-US"/>
        </w:rPr>
        <w:t>)</w:t>
      </w:r>
      <w:r w:rsidRPr="002D68BD">
        <w:rPr>
          <w:rFonts w:ascii="Traditional Arabic" w:hAnsi="Traditional Arabic" w:hint="cs"/>
          <w:noProof w:val="0"/>
          <w:rtl/>
          <w:lang w:eastAsia="en-US"/>
        </w:rPr>
        <w:t>.</w:t>
      </w:r>
    </w:p>
    <w:p w:rsidR="005E65EA" w:rsidRPr="001C03F0" w:rsidRDefault="001C03F0" w:rsidP="001C03F0">
      <w:pPr>
        <w:ind w:firstLine="0"/>
        <w:rPr>
          <w:rFonts w:ascii="Traditional Arabic" w:hAnsi="Traditional Arabic"/>
          <w:b/>
          <w:bCs/>
          <w:noProof w:val="0"/>
          <w:lang w:eastAsia="en-US"/>
        </w:rPr>
      </w:pPr>
      <w:r>
        <w:rPr>
          <w:rFonts w:ascii="Traditional Arabic" w:hAnsi="Traditional Arabic" w:hint="cs"/>
          <w:noProof w:val="0"/>
          <w:rtl/>
          <w:lang w:eastAsia="en-US"/>
        </w:rPr>
        <w:t xml:space="preserve">(2)    </w:t>
      </w:r>
      <w:r w:rsidR="005E65EA" w:rsidRPr="001C03F0">
        <w:rPr>
          <w:rFonts w:ascii="Traditional Arabic" w:hAnsi="Traditional Arabic" w:hint="cs"/>
          <w:noProof w:val="0"/>
          <w:rtl/>
          <w:lang w:eastAsia="en-US"/>
        </w:rPr>
        <w:t xml:space="preserve">قوله تعالى: </w:t>
      </w:r>
      <w:bookmarkStart w:id="168" w:name="سورة_البقرة_276"/>
      <w:r w:rsidR="005E65EA" w:rsidRPr="001C03F0">
        <w:rPr>
          <w:rFonts w:ascii="QCF_BSML" w:hAnsi="QCF_BSML" w:cs="QCF_BSML"/>
          <w:noProof w:val="0"/>
          <w:rtl/>
          <w:lang w:eastAsia="en-US"/>
        </w:rPr>
        <w:t>ﭽ</w:t>
      </w:r>
      <w:r w:rsidR="005E65EA" w:rsidRPr="001C03F0">
        <w:rPr>
          <w:rFonts w:ascii="QCF_P047" w:hAnsi="QCF_P047" w:cs="QCF_P047"/>
          <w:noProof w:val="0"/>
          <w:rtl/>
          <w:lang w:eastAsia="en-US"/>
        </w:rPr>
        <w:t>ﮄ</w:t>
      </w:r>
      <w:r w:rsidRPr="001C03F0">
        <w:rPr>
          <w:rFonts w:ascii="QCF_P047" w:hAnsi="QCF_P047" w:cs="QCF_P047" w:hint="cs"/>
          <w:noProof w:val="0"/>
          <w:rtl/>
          <w:lang w:eastAsia="en-US"/>
        </w:rPr>
        <w:t xml:space="preserve"> </w:t>
      </w:r>
      <w:r w:rsidR="005E65EA" w:rsidRPr="001C03F0">
        <w:rPr>
          <w:rFonts w:ascii="QCF_P047" w:hAnsi="QCF_P047" w:cs="QCF_P047"/>
          <w:noProof w:val="0"/>
          <w:rtl/>
          <w:lang w:eastAsia="en-US"/>
        </w:rPr>
        <w:t>ﮅ</w:t>
      </w:r>
      <w:r w:rsidRPr="001C03F0">
        <w:rPr>
          <w:rFonts w:ascii="QCF_P047" w:hAnsi="QCF_P047" w:cs="QCF_P047" w:hint="cs"/>
          <w:noProof w:val="0"/>
          <w:rtl/>
          <w:lang w:eastAsia="en-US"/>
        </w:rPr>
        <w:t xml:space="preserve"> </w:t>
      </w:r>
      <w:r w:rsidR="005E65EA" w:rsidRPr="001C03F0">
        <w:rPr>
          <w:rFonts w:ascii="QCF_P047" w:hAnsi="QCF_P047" w:cs="QCF_P047"/>
          <w:noProof w:val="0"/>
          <w:rtl/>
          <w:lang w:eastAsia="en-US"/>
        </w:rPr>
        <w:t>ﮆ</w:t>
      </w:r>
      <w:r w:rsidRPr="001C03F0">
        <w:rPr>
          <w:rFonts w:ascii="QCF_P047" w:hAnsi="QCF_P047" w:cs="QCF_P047" w:hint="cs"/>
          <w:noProof w:val="0"/>
          <w:rtl/>
          <w:lang w:eastAsia="en-US"/>
        </w:rPr>
        <w:t xml:space="preserve"> </w:t>
      </w:r>
      <w:r w:rsidR="005E65EA" w:rsidRPr="001C03F0">
        <w:rPr>
          <w:rFonts w:ascii="QCF_P047" w:hAnsi="QCF_P047" w:cs="QCF_P047"/>
          <w:noProof w:val="0"/>
          <w:rtl/>
          <w:lang w:eastAsia="en-US"/>
        </w:rPr>
        <w:t>ﮇ</w:t>
      </w:r>
      <w:r w:rsidRPr="001C03F0">
        <w:rPr>
          <w:rFonts w:ascii="QCF_P047" w:hAnsi="QCF_P047" w:cs="QCF_P047" w:hint="cs"/>
          <w:noProof w:val="0"/>
          <w:rtl/>
          <w:lang w:eastAsia="en-US"/>
        </w:rPr>
        <w:t xml:space="preserve"> </w:t>
      </w:r>
      <w:r w:rsidR="005E65EA" w:rsidRPr="001C03F0">
        <w:rPr>
          <w:rFonts w:ascii="QCF_P047" w:hAnsi="QCF_P047" w:cs="QCF_P047"/>
          <w:noProof w:val="0"/>
          <w:rtl/>
          <w:lang w:eastAsia="en-US"/>
        </w:rPr>
        <w:t>ﮈ</w:t>
      </w:r>
      <w:r w:rsidRPr="001C03F0">
        <w:rPr>
          <w:rFonts w:ascii="QCF_P047" w:hAnsi="QCF_P047" w:cs="QCF_P047" w:hint="cs"/>
          <w:noProof w:val="0"/>
          <w:rtl/>
          <w:lang w:eastAsia="en-US"/>
        </w:rPr>
        <w:t xml:space="preserve"> </w:t>
      </w:r>
      <w:r w:rsidR="005E65EA" w:rsidRPr="001C03F0">
        <w:rPr>
          <w:rFonts w:ascii="QCF_P047" w:hAnsi="QCF_P047" w:cs="QCF_P047"/>
          <w:noProof w:val="0"/>
          <w:color w:val="0000A5"/>
          <w:rtl/>
          <w:lang w:eastAsia="en-US"/>
        </w:rPr>
        <w:t>ﮉ</w:t>
      </w:r>
      <w:r w:rsidRPr="001C03F0">
        <w:rPr>
          <w:rFonts w:ascii="QCF_P047" w:hAnsi="QCF_P047" w:cs="QCF_P047" w:hint="cs"/>
          <w:noProof w:val="0"/>
          <w:color w:val="0000A5"/>
          <w:rtl/>
          <w:lang w:eastAsia="en-US"/>
        </w:rPr>
        <w:t xml:space="preserve"> </w:t>
      </w:r>
      <w:r w:rsidR="005E65EA" w:rsidRPr="001C03F0">
        <w:rPr>
          <w:rFonts w:ascii="QCF_P047" w:hAnsi="QCF_P047" w:cs="QCF_P047"/>
          <w:noProof w:val="0"/>
          <w:rtl/>
          <w:lang w:eastAsia="en-US"/>
        </w:rPr>
        <w:t>ﮊ</w:t>
      </w:r>
      <w:r w:rsidRPr="001C03F0">
        <w:rPr>
          <w:rFonts w:ascii="QCF_P047" w:hAnsi="QCF_P047" w:cs="QCF_P047" w:hint="cs"/>
          <w:noProof w:val="0"/>
          <w:rtl/>
          <w:lang w:eastAsia="en-US"/>
        </w:rPr>
        <w:t xml:space="preserve"> </w:t>
      </w:r>
      <w:r w:rsidR="005E65EA" w:rsidRPr="001C03F0">
        <w:rPr>
          <w:rFonts w:ascii="QCF_P047" w:hAnsi="QCF_P047" w:cs="QCF_P047"/>
          <w:noProof w:val="0"/>
          <w:rtl/>
          <w:lang w:eastAsia="en-US"/>
        </w:rPr>
        <w:t>ﮋ</w:t>
      </w:r>
      <w:r w:rsidRPr="001C03F0">
        <w:rPr>
          <w:rFonts w:ascii="QCF_P047" w:hAnsi="QCF_P047" w:cs="QCF_P047" w:hint="cs"/>
          <w:noProof w:val="0"/>
          <w:rtl/>
          <w:lang w:eastAsia="en-US"/>
        </w:rPr>
        <w:t xml:space="preserve"> </w:t>
      </w:r>
      <w:r w:rsidR="005E65EA" w:rsidRPr="001C03F0">
        <w:rPr>
          <w:rFonts w:ascii="QCF_P047" w:hAnsi="QCF_P047" w:cs="QCF_P047"/>
          <w:noProof w:val="0"/>
          <w:rtl/>
          <w:lang w:eastAsia="en-US"/>
        </w:rPr>
        <w:t>ﮌ</w:t>
      </w:r>
      <w:r w:rsidRPr="001C03F0">
        <w:rPr>
          <w:rFonts w:ascii="QCF_P047" w:hAnsi="QCF_P047" w:cs="QCF_P047" w:hint="cs"/>
          <w:noProof w:val="0"/>
          <w:rtl/>
          <w:lang w:eastAsia="en-US"/>
        </w:rPr>
        <w:t xml:space="preserve"> </w:t>
      </w:r>
      <w:r w:rsidR="005E65EA" w:rsidRPr="001C03F0">
        <w:rPr>
          <w:rFonts w:ascii="QCF_P047" w:hAnsi="QCF_P047" w:cs="QCF_P047"/>
          <w:noProof w:val="0"/>
          <w:rtl/>
          <w:lang w:eastAsia="en-US"/>
        </w:rPr>
        <w:t>ﮍ</w:t>
      </w:r>
      <w:r w:rsidRPr="001C03F0">
        <w:rPr>
          <w:rFonts w:ascii="QCF_P047" w:hAnsi="QCF_P047" w:cs="QCF_P047" w:hint="cs"/>
          <w:noProof w:val="0"/>
          <w:rtl/>
          <w:lang w:eastAsia="en-US"/>
        </w:rPr>
        <w:t xml:space="preserve"> </w:t>
      </w:r>
      <w:r w:rsidR="005E65EA" w:rsidRPr="001C03F0">
        <w:rPr>
          <w:rFonts w:ascii="QCF_P047" w:hAnsi="QCF_P047" w:cs="QCF_P047"/>
          <w:noProof w:val="0"/>
          <w:rtl/>
          <w:lang w:eastAsia="en-US"/>
        </w:rPr>
        <w:t>ﮎ</w:t>
      </w:r>
      <w:r w:rsidRPr="001C03F0">
        <w:rPr>
          <w:rFonts w:ascii="QCF_P047" w:hAnsi="QCF_P047" w:cs="QCF_P047" w:hint="cs"/>
          <w:noProof w:val="0"/>
          <w:rtl/>
          <w:lang w:eastAsia="en-US"/>
        </w:rPr>
        <w:t xml:space="preserve"> </w:t>
      </w:r>
      <w:r w:rsidR="005E65EA" w:rsidRPr="001C03F0">
        <w:rPr>
          <w:rFonts w:ascii="QCF_P047" w:hAnsi="QCF_P047" w:cs="QCF_P047"/>
          <w:noProof w:val="0"/>
          <w:rtl/>
          <w:lang w:eastAsia="en-US"/>
        </w:rPr>
        <w:t>ﮏ</w:t>
      </w:r>
      <w:r w:rsidRPr="001C03F0">
        <w:rPr>
          <w:rFonts w:ascii="QCF_P047" w:hAnsi="QCF_P047" w:cs="QCF_P047" w:hint="cs"/>
          <w:noProof w:val="0"/>
          <w:rtl/>
          <w:lang w:eastAsia="en-US"/>
        </w:rPr>
        <w:t xml:space="preserve"> </w:t>
      </w:r>
      <w:r w:rsidR="005E65EA" w:rsidRPr="001C03F0">
        <w:rPr>
          <w:rFonts w:ascii="QCF_BSML" w:hAnsi="QCF_BSML" w:cs="QCF_BSML"/>
          <w:noProof w:val="0"/>
          <w:rtl/>
          <w:lang w:eastAsia="en-US"/>
        </w:rPr>
        <w:t>ﭼ</w:t>
      </w:r>
      <w:bookmarkEnd w:id="168"/>
      <w:r w:rsidR="005E65EA" w:rsidRPr="001C03F0">
        <w:rPr>
          <w:rFonts w:ascii="Traditional Arabic" w:hAnsi="Traditional Arabic" w:hint="cs"/>
          <w:noProof w:val="0"/>
          <w:color w:val="auto"/>
          <w:rtl/>
          <w:lang w:eastAsia="en-US"/>
        </w:rPr>
        <w:t>[</w:t>
      </w:r>
      <w:r w:rsidR="005E65EA" w:rsidRPr="001C03F0">
        <w:rPr>
          <w:rFonts w:ascii="Traditional Arabic" w:hAnsi="Traditional Arabic"/>
          <w:noProof w:val="0"/>
          <w:color w:val="auto"/>
          <w:rtl/>
          <w:lang w:eastAsia="en-US"/>
        </w:rPr>
        <w:t>البقرة: ٢٧٦</w:t>
      </w:r>
      <w:r w:rsidR="005E65EA" w:rsidRPr="001C03F0">
        <w:rPr>
          <w:rFonts w:ascii="Traditional Arabic" w:hAnsi="Traditional Arabic" w:hint="cs"/>
          <w:noProof w:val="0"/>
          <w:rtl/>
          <w:lang w:eastAsia="en-US"/>
        </w:rPr>
        <w:t>]</w:t>
      </w:r>
      <w:r w:rsidR="005E65EA" w:rsidRPr="001C03F0">
        <w:rPr>
          <w:rFonts w:ascii="Traditional Arabic" w:hAnsi="Traditional Arabic" w:hint="cs"/>
          <w:b/>
          <w:bCs/>
          <w:noProof w:val="0"/>
          <w:rtl/>
          <w:lang w:eastAsia="en-US"/>
        </w:rPr>
        <w:t>.</w:t>
      </w:r>
    </w:p>
    <w:p w:rsidR="005E65EA" w:rsidRDefault="005E65EA" w:rsidP="00597C20">
      <w:pPr>
        <w:pStyle w:val="53"/>
        <w:rPr>
          <w:rtl/>
        </w:rPr>
      </w:pPr>
      <w:r>
        <w:rPr>
          <w:rFonts w:hint="cs"/>
          <w:rtl/>
        </w:rPr>
        <w:t>وجه الدلالة:</w:t>
      </w:r>
    </w:p>
    <w:p w:rsidR="005E65EA" w:rsidRPr="00FB449C" w:rsidRDefault="005E65EA" w:rsidP="00597C20">
      <w:pPr>
        <w:ind w:firstLine="720"/>
        <w:rPr>
          <w:rFonts w:ascii="Traditional Arabic" w:hAnsi="Traditional Arabic"/>
          <w:noProof w:val="0"/>
          <w:lang w:eastAsia="en-US"/>
        </w:rPr>
      </w:pPr>
      <w:r w:rsidRPr="00FB449C">
        <w:rPr>
          <w:rFonts w:ascii="Traditional Arabic" w:hAnsi="Traditional Arabic" w:hint="cs"/>
          <w:noProof w:val="0"/>
          <w:rtl/>
          <w:lang w:eastAsia="en-US"/>
        </w:rPr>
        <w:t xml:space="preserve">في هذه الآية يحذِّر الله تعالى عباده من الربا، وأنه لا خير فيه، وأن الله يمحق به المال ويزيله بالكليَّة، ويستفاد من ذلك أن من ابتغى الشيء على وجه محرم فإنه يعاقَب بنقيض قَصْدِه، فهؤلاء المرابون أرادوا أن يصِلوا إلى الأموال الكثيرة، فعوقبوا بضد </w:t>
      </w:r>
      <w:r w:rsidR="003F0E8F">
        <w:rPr>
          <w:rFonts w:ascii="Traditional Arabic" w:hAnsi="Traditional Arabic" w:hint="cs"/>
          <w:noProof w:val="0"/>
          <w:rtl/>
          <w:lang w:eastAsia="en-US"/>
        </w:rPr>
        <w:t>ما</w:t>
      </w:r>
      <w:r w:rsidR="001C03F0">
        <w:rPr>
          <w:rFonts w:ascii="Traditional Arabic" w:hAnsi="Traditional Arabic" w:hint="cs"/>
          <w:noProof w:val="0"/>
          <w:rtl/>
          <w:lang w:eastAsia="en-US"/>
        </w:rPr>
        <w:t xml:space="preserve"> يريدون، وذلك بمحق الربا، ب</w:t>
      </w:r>
      <w:r w:rsidRPr="00FB449C">
        <w:rPr>
          <w:rFonts w:ascii="Traditional Arabic" w:hAnsi="Traditional Arabic" w:hint="cs"/>
          <w:noProof w:val="0"/>
          <w:rtl/>
          <w:lang w:eastAsia="en-US"/>
        </w:rPr>
        <w:t>أن يسلط الله على أموالهم ما يُتْلِفها، أو يمحق الله بركة هذه الأموال فلا يستفيدون منها</w:t>
      </w:r>
      <w:r w:rsidRPr="00C821A1">
        <w:rPr>
          <w:rStyle w:val="af1"/>
          <w:szCs w:val="32"/>
          <w:rtl/>
        </w:rPr>
        <w:t>(</w:t>
      </w:r>
      <w:r w:rsidRPr="00C821A1">
        <w:rPr>
          <w:rStyle w:val="af1"/>
          <w:szCs w:val="32"/>
          <w:rtl/>
        </w:rPr>
        <w:footnoteReference w:id="875"/>
      </w:r>
      <w:r w:rsidRPr="00C821A1">
        <w:rPr>
          <w:rStyle w:val="af1"/>
          <w:szCs w:val="32"/>
          <w:rtl/>
        </w:rPr>
        <w:t>)</w:t>
      </w:r>
      <w:r w:rsidRPr="00FB449C">
        <w:rPr>
          <w:rFonts w:ascii="Traditional Arabic" w:hAnsi="Traditional Arabic" w:hint="cs"/>
          <w:noProof w:val="0"/>
          <w:rtl/>
          <w:lang w:eastAsia="en-US"/>
        </w:rPr>
        <w:t>.</w:t>
      </w:r>
    </w:p>
    <w:p w:rsidR="005E65EA" w:rsidRPr="001C03F0" w:rsidRDefault="001C03F0" w:rsidP="001C03F0">
      <w:pPr>
        <w:ind w:firstLine="0"/>
        <w:rPr>
          <w:rFonts w:ascii="Traditional Arabic" w:hAnsi="Traditional Arabic"/>
          <w:b/>
          <w:bCs/>
          <w:noProof w:val="0"/>
          <w:lang w:eastAsia="en-US"/>
        </w:rPr>
      </w:pPr>
      <w:r>
        <w:rPr>
          <w:rFonts w:ascii="Traditional Arabic" w:hAnsi="Traditional Arabic" w:hint="cs"/>
          <w:noProof w:val="0"/>
          <w:rtl/>
          <w:lang w:eastAsia="en-US"/>
        </w:rPr>
        <w:t xml:space="preserve">(3)    </w:t>
      </w:r>
      <w:r w:rsidR="005E65EA" w:rsidRPr="001C03F0">
        <w:rPr>
          <w:rFonts w:ascii="Traditional Arabic" w:hAnsi="Traditional Arabic" w:hint="cs"/>
          <w:noProof w:val="0"/>
          <w:rtl/>
          <w:lang w:eastAsia="en-US"/>
        </w:rPr>
        <w:t>قوله تعالى:</w:t>
      </w:r>
      <w:bookmarkStart w:id="169" w:name="سورة_القلم_17إلى27"/>
      <w:r w:rsidRPr="001C03F0">
        <w:rPr>
          <w:rFonts w:ascii="Traditional Arabic" w:hAnsi="Traditional Arabic" w:hint="cs"/>
          <w:noProof w:val="0"/>
          <w:rtl/>
          <w:lang w:eastAsia="en-US"/>
        </w:rPr>
        <w:t xml:space="preserve"> </w:t>
      </w:r>
      <w:r w:rsidR="005E65EA" w:rsidRPr="001C03F0">
        <w:rPr>
          <w:rFonts w:ascii="QCF_BSML" w:hAnsi="QCF_BSML" w:cs="QCF_BSML"/>
          <w:noProof w:val="0"/>
          <w:rtl/>
          <w:lang w:eastAsia="en-US"/>
        </w:rPr>
        <w:t>ﭽ</w:t>
      </w:r>
      <w:r w:rsidR="005E65EA" w:rsidRPr="001C03F0">
        <w:rPr>
          <w:rFonts w:ascii="QCF_P565" w:hAnsi="QCF_P565" w:cs="QCF_P565"/>
          <w:noProof w:val="0"/>
          <w:rtl/>
          <w:lang w:eastAsia="en-US"/>
        </w:rPr>
        <w:t>ﭕ</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ﭖ</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ﭗ</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ﭘ</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ﭙ</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ﭚ</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ﭛ</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ﭜ</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ﭝ</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ﭞ</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ﭟ</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ﭠ</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ﭡ</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ﭢ</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ﭣ</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ﭤ</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ﭥ</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ﭦ</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ﭧ</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ﭨ</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ﭩ</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ﭪ</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ﭫ</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ﭬ</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ﭭ</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ﭮ</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ﭯ</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ﭰ</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ﭱ</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ﭲ</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ﭳ</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ﭴ</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ﭵ</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ﭶ</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ﭷ</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ﭸ</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ﭹ</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ﭺ</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ﭻ</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ﭼ</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ﭽ</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ﭾ</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ﭿ</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ﮀ</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ﮁ</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ﮂ</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ﮃ</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ﮄ</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ﮅ</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ﮆ</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ﮇ</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ﮈ</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ﮉ</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ﮊ</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ﮋ</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ﮌ</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ﮍ</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ﮎ</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ﮏ</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ﮐ</w:t>
      </w:r>
      <w:r w:rsidRPr="001C03F0">
        <w:rPr>
          <w:rFonts w:ascii="QCF_P565" w:hAnsi="QCF_P565" w:cs="QCF_P565" w:hint="cs"/>
          <w:noProof w:val="0"/>
          <w:rtl/>
          <w:lang w:eastAsia="en-US"/>
        </w:rPr>
        <w:t xml:space="preserve"> </w:t>
      </w:r>
      <w:r w:rsidR="005E65EA" w:rsidRPr="001C03F0">
        <w:rPr>
          <w:rFonts w:ascii="QCF_P565" w:hAnsi="QCF_P565" w:cs="QCF_P565"/>
          <w:noProof w:val="0"/>
          <w:rtl/>
          <w:lang w:eastAsia="en-US"/>
        </w:rPr>
        <w:t>ﮑ</w:t>
      </w:r>
      <w:r w:rsidRPr="001C03F0">
        <w:rPr>
          <w:rFonts w:ascii="QCF_P565" w:hAnsi="QCF_P565" w:cs="QCF_P565" w:hint="cs"/>
          <w:noProof w:val="0"/>
          <w:rtl/>
          <w:lang w:eastAsia="en-US"/>
        </w:rPr>
        <w:t xml:space="preserve"> </w:t>
      </w:r>
      <w:r w:rsidR="005E65EA" w:rsidRPr="001C03F0">
        <w:rPr>
          <w:rFonts w:ascii="QCF_BSML" w:hAnsi="QCF_BSML" w:cs="QCF_BSML"/>
          <w:noProof w:val="0"/>
          <w:rtl/>
          <w:lang w:eastAsia="en-US"/>
        </w:rPr>
        <w:t>ﭼ</w:t>
      </w:r>
      <w:bookmarkEnd w:id="169"/>
      <w:r w:rsidR="005E65EA" w:rsidRPr="001C03F0">
        <w:rPr>
          <w:rFonts w:ascii="Traditional Arabic" w:hAnsi="Traditional Arabic"/>
          <w:noProof w:val="0"/>
          <w:sz w:val="32"/>
          <w:szCs w:val="32"/>
          <w:rtl/>
          <w:lang w:eastAsia="en-US"/>
        </w:rPr>
        <w:t>[</w:t>
      </w:r>
      <w:r w:rsidR="005E65EA" w:rsidRPr="001C03F0">
        <w:rPr>
          <w:rFonts w:ascii="Traditional Arabic" w:hAnsi="Traditional Arabic"/>
          <w:noProof w:val="0"/>
          <w:color w:val="auto"/>
          <w:sz w:val="32"/>
          <w:szCs w:val="32"/>
          <w:rtl/>
          <w:lang w:eastAsia="en-US"/>
        </w:rPr>
        <w:t>القلم: ١٧ – ٢٧</w:t>
      </w:r>
      <w:r w:rsidR="005E65EA" w:rsidRPr="001C03F0">
        <w:rPr>
          <w:rFonts w:ascii="Traditional Arabic" w:hAnsi="Traditional Arabic"/>
          <w:noProof w:val="0"/>
          <w:sz w:val="32"/>
          <w:szCs w:val="32"/>
          <w:rtl/>
          <w:lang w:eastAsia="en-US"/>
        </w:rPr>
        <w:t>]</w:t>
      </w:r>
      <w:r w:rsidR="005E65EA" w:rsidRPr="001C03F0">
        <w:rPr>
          <w:rFonts w:ascii="Traditional Arabic" w:hAnsi="Traditional Arabic"/>
          <w:b/>
          <w:bCs/>
          <w:noProof w:val="0"/>
          <w:sz w:val="32"/>
          <w:szCs w:val="32"/>
          <w:rtl/>
          <w:lang w:eastAsia="en-US"/>
        </w:rPr>
        <w:t>.</w:t>
      </w:r>
    </w:p>
    <w:p w:rsidR="005E65EA" w:rsidRDefault="005E65EA" w:rsidP="00597C20">
      <w:pPr>
        <w:pStyle w:val="53"/>
        <w:rPr>
          <w:rtl/>
        </w:rPr>
      </w:pPr>
      <w:r>
        <w:rPr>
          <w:rFonts w:hint="cs"/>
          <w:rtl/>
        </w:rPr>
        <w:lastRenderedPageBreak/>
        <w:t>وجه الدلالة:</w:t>
      </w:r>
    </w:p>
    <w:p w:rsidR="005E65EA" w:rsidRPr="00FB449C" w:rsidRDefault="005E65EA" w:rsidP="00597C20">
      <w:pPr>
        <w:ind w:firstLine="720"/>
        <w:jc w:val="left"/>
        <w:rPr>
          <w:rFonts w:ascii="Traditional Arabic" w:hAnsi="Traditional Arabic"/>
          <w:b/>
          <w:bCs/>
          <w:noProof w:val="0"/>
          <w:rtl/>
          <w:lang w:eastAsia="en-US"/>
        </w:rPr>
      </w:pPr>
      <w:r w:rsidRPr="00FB449C">
        <w:rPr>
          <w:rFonts w:ascii="Traditional Arabic" w:hAnsi="Traditional Arabic" w:hint="cs"/>
          <w:noProof w:val="0"/>
          <w:rtl/>
          <w:lang w:eastAsia="en-US"/>
        </w:rPr>
        <w:t xml:space="preserve">إنّ أصحاب الجنة </w:t>
      </w:r>
      <w:r w:rsidRPr="00BF7828">
        <w:rPr>
          <w:rFonts w:ascii="Traditional Arabic" w:hAnsi="Traditional Arabic" w:hint="cs"/>
          <w:noProof w:val="0"/>
          <w:rtl/>
          <w:lang w:eastAsia="en-US"/>
        </w:rPr>
        <w:t>قَصدوا بِقَطْع الثِّمار إسقاطَ حقِّ المساكين، فعاقَبهم الله سبحانه</w:t>
      </w:r>
      <w:r w:rsidR="00154102" w:rsidRPr="00BF7828">
        <w:rPr>
          <w:rFonts w:ascii="Traditional Arabic" w:hAnsi="Traditional Arabic" w:hint="cs"/>
          <w:noProof w:val="0"/>
          <w:rtl/>
          <w:lang w:eastAsia="en-US"/>
        </w:rPr>
        <w:t xml:space="preserve"> و</w:t>
      </w:r>
      <w:r w:rsidRPr="00BF7828">
        <w:rPr>
          <w:rFonts w:ascii="Traditional Arabic" w:hAnsi="Traditional Arabic" w:hint="cs"/>
          <w:noProof w:val="0"/>
          <w:rtl/>
          <w:lang w:eastAsia="en-US"/>
        </w:rPr>
        <w:t>تعالى بإتلافِ ثمارهم</w:t>
      </w:r>
      <w:r w:rsidRPr="00C821A1">
        <w:rPr>
          <w:rFonts w:ascii="Traditional Arabic" w:hAnsi="Traditional Arabic" w:hint="cs"/>
          <w:b/>
          <w:noProof w:val="0"/>
          <w:szCs w:val="32"/>
          <w:vertAlign w:val="superscript"/>
          <w:rtl/>
          <w:lang w:eastAsia="en-US"/>
        </w:rPr>
        <w:t>(</w:t>
      </w:r>
      <w:r w:rsidRPr="00C821A1">
        <w:rPr>
          <w:rStyle w:val="af1"/>
          <w:rFonts w:ascii="Traditional Arabic" w:hAnsi="Traditional Arabic"/>
          <w:b/>
          <w:noProof w:val="0"/>
          <w:szCs w:val="32"/>
          <w:rtl/>
          <w:lang w:eastAsia="en-US"/>
        </w:rPr>
        <w:footnoteReference w:id="876"/>
      </w:r>
      <w:r w:rsidRPr="00C821A1">
        <w:rPr>
          <w:rFonts w:ascii="Traditional Arabic" w:hAnsi="Traditional Arabic" w:hint="cs"/>
          <w:b/>
          <w:noProof w:val="0"/>
          <w:szCs w:val="32"/>
          <w:vertAlign w:val="superscript"/>
          <w:rtl/>
          <w:lang w:eastAsia="en-US"/>
        </w:rPr>
        <w:t>)</w:t>
      </w:r>
      <w:r w:rsidRPr="00FB449C">
        <w:rPr>
          <w:rFonts w:ascii="Traditional Arabic" w:hAnsi="Traditional Arabic" w:hint="cs"/>
          <w:b/>
          <w:bCs/>
          <w:noProof w:val="0"/>
          <w:rtl/>
          <w:lang w:eastAsia="en-US"/>
        </w:rPr>
        <w:t>.</w:t>
      </w:r>
    </w:p>
    <w:p w:rsidR="00F228A9" w:rsidRPr="001C03F0" w:rsidRDefault="001C03F0" w:rsidP="001C03F0">
      <w:pPr>
        <w:ind w:firstLine="0"/>
        <w:rPr>
          <w:rFonts w:ascii="Traditional Arabic" w:hAnsi="Traditional Arabic"/>
          <w:b/>
          <w:bCs/>
          <w:noProof w:val="0"/>
          <w:lang w:eastAsia="en-US"/>
        </w:rPr>
      </w:pPr>
      <w:r>
        <w:rPr>
          <w:rFonts w:ascii="Traditional Arabic" w:hAnsi="Traditional Arabic" w:hint="cs"/>
          <w:noProof w:val="0"/>
          <w:rtl/>
          <w:lang w:eastAsia="en-US"/>
        </w:rPr>
        <w:t>(4)    حديث</w:t>
      </w:r>
      <w:r w:rsidR="005E65EA" w:rsidRPr="001C03F0">
        <w:rPr>
          <w:rFonts w:ascii="Traditional Arabic" w:hAnsi="Traditional Arabic" w:hint="cs"/>
          <w:noProof w:val="0"/>
          <w:rtl/>
          <w:lang w:eastAsia="en-US"/>
        </w:rPr>
        <w:t xml:space="preserve"> أبي هريرة</w:t>
      </w:r>
      <w:r w:rsidR="00BF7828">
        <w:rPr>
          <w:rFonts w:ascii="Traditional Arabic" w:hAnsi="Traditional Arabic" w:hint="cs"/>
          <w:noProof w:val="0"/>
          <w:rtl/>
          <w:lang w:eastAsia="en-US"/>
        </w:rPr>
        <w:t>_</w:t>
      </w:r>
      <w:r w:rsidR="005E65EA" w:rsidRPr="001C03F0">
        <w:rPr>
          <w:rFonts w:ascii="Traditional Arabic" w:hAnsi="Traditional Arabic" w:cs="CTraditional Arabic" w:hint="cs"/>
          <w:noProof w:val="0"/>
          <w:color w:val="auto"/>
          <w:rtl/>
          <w:lang w:eastAsia="en-US"/>
        </w:rPr>
        <w:t>ط</w:t>
      </w:r>
      <w:r w:rsidR="00BF7828">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w:t>
      </w:r>
      <w:r w:rsidR="005E65EA" w:rsidRPr="001C03F0">
        <w:rPr>
          <w:rFonts w:ascii="Traditional Arabic" w:hAnsi="Traditional Arabic" w:hint="cs"/>
          <w:noProof w:val="0"/>
          <w:color w:val="auto"/>
          <w:rtl/>
          <w:lang w:eastAsia="en-US"/>
        </w:rPr>
        <w:t>أنَّ</w:t>
      </w:r>
      <w:r w:rsidR="005E65EA" w:rsidRPr="001C03F0">
        <w:rPr>
          <w:rFonts w:ascii="Traditional Arabic" w:hAnsi="Traditional Arabic" w:hint="cs"/>
          <w:noProof w:val="0"/>
          <w:rtl/>
          <w:lang w:eastAsia="en-US"/>
        </w:rPr>
        <w:t xml:space="preserve"> رسول الله</w:t>
      </w:r>
      <w:r>
        <w:rPr>
          <w:rFonts w:ascii="Traditional Arabic" w:hAnsi="Traditional Arabic" w:hint="cs"/>
          <w:noProof w:val="0"/>
          <w:rtl/>
          <w:lang w:eastAsia="en-US"/>
        </w:rPr>
        <w:t xml:space="preserve"> </w:t>
      </w:r>
      <w:r w:rsidR="005E65EA" w:rsidRPr="001C03F0">
        <w:rPr>
          <w:rFonts w:ascii="Traditional Arabic" w:hAnsi="Traditional Arabic" w:cs="CTraditional Arabic" w:hint="cs"/>
          <w:noProof w:val="0"/>
          <w:color w:val="auto"/>
          <w:rtl/>
          <w:lang w:eastAsia="en-US"/>
        </w:rPr>
        <w:t>&gt;</w:t>
      </w:r>
      <w:r w:rsidR="005E65EA" w:rsidRPr="001C03F0">
        <w:rPr>
          <w:rFonts w:ascii="Traditional Arabic" w:hAnsi="Traditional Arabic" w:hint="cs"/>
          <w:noProof w:val="0"/>
          <w:rtl/>
          <w:lang w:eastAsia="en-US"/>
        </w:rPr>
        <w:t xml:space="preserve"> قال:"القاتِلُ لا يَرِث"</w:t>
      </w:r>
      <w:r w:rsidR="005E65EA" w:rsidRPr="001C03F0">
        <w:rPr>
          <w:rFonts w:ascii="Traditional Arabic" w:hAnsi="Traditional Arabic" w:hint="cs"/>
          <w:noProof w:val="0"/>
          <w:szCs w:val="32"/>
          <w:vertAlign w:val="superscript"/>
          <w:rtl/>
          <w:lang w:eastAsia="en-US"/>
        </w:rPr>
        <w:t>(</w:t>
      </w:r>
      <w:r w:rsidR="005E65EA" w:rsidRPr="00C821A1">
        <w:rPr>
          <w:rStyle w:val="af1"/>
          <w:rFonts w:ascii="Traditional Arabic" w:hAnsi="Traditional Arabic"/>
          <w:noProof w:val="0"/>
          <w:szCs w:val="32"/>
          <w:rtl/>
          <w:lang w:eastAsia="en-US"/>
        </w:rPr>
        <w:footnoteReference w:id="877"/>
      </w:r>
      <w:r w:rsidR="005E65EA" w:rsidRPr="001C03F0">
        <w:rPr>
          <w:rFonts w:ascii="Traditional Arabic" w:hAnsi="Traditional Arabic" w:hint="cs"/>
          <w:noProof w:val="0"/>
          <w:szCs w:val="32"/>
          <w:vertAlign w:val="superscript"/>
          <w:rtl/>
          <w:lang w:eastAsia="en-US"/>
        </w:rPr>
        <w:t>)</w:t>
      </w:r>
      <w:r w:rsidR="005E65EA" w:rsidRPr="001C03F0">
        <w:rPr>
          <w:rFonts w:ascii="Traditional Arabic" w:hAnsi="Traditional Arabic" w:hint="cs"/>
          <w:noProof w:val="0"/>
          <w:rtl/>
          <w:lang w:eastAsia="en-US"/>
        </w:rPr>
        <w:t>.</w:t>
      </w:r>
    </w:p>
    <w:p w:rsidR="00F228A9" w:rsidRDefault="00F228A9" w:rsidP="00597C20">
      <w:pPr>
        <w:pStyle w:val="53"/>
        <w:rPr>
          <w:rtl/>
        </w:rPr>
      </w:pPr>
      <w:r>
        <w:rPr>
          <w:rFonts w:hint="cs"/>
          <w:rtl/>
        </w:rPr>
        <w:t>وجه الدلالة:</w:t>
      </w:r>
    </w:p>
    <w:p w:rsidR="005E65EA" w:rsidRPr="00FB449C" w:rsidRDefault="005E65EA" w:rsidP="00597C20">
      <w:pPr>
        <w:ind w:firstLine="720"/>
        <w:rPr>
          <w:rFonts w:ascii="Traditional Arabic" w:hAnsi="Traditional Arabic"/>
          <w:noProof w:val="0"/>
          <w:rtl/>
          <w:lang w:eastAsia="en-US"/>
        </w:rPr>
      </w:pPr>
      <w:r w:rsidRPr="00FB449C">
        <w:rPr>
          <w:rFonts w:ascii="Traditional Arabic" w:hAnsi="Traditional Arabic" w:hint="cs"/>
          <w:noProof w:val="0"/>
          <w:rtl/>
          <w:lang w:eastAsia="en-US"/>
        </w:rPr>
        <w:t>القاتلُ لِمُوَرِّثه لا يرِثه؛</w:t>
      </w:r>
      <w:r w:rsidR="002B79D5">
        <w:rPr>
          <w:rFonts w:ascii="Traditional Arabic" w:hAnsi="Traditional Arabic" w:hint="cs"/>
          <w:noProof w:val="0"/>
          <w:rtl/>
          <w:lang w:eastAsia="en-US"/>
        </w:rPr>
        <w:t xml:space="preserve"> </w:t>
      </w:r>
      <w:r w:rsidRPr="00FB449C">
        <w:rPr>
          <w:rFonts w:ascii="Traditional Arabic" w:hAnsi="Traditional Arabic" w:hint="cs"/>
          <w:noProof w:val="0"/>
          <w:rtl/>
          <w:lang w:eastAsia="en-US"/>
        </w:rPr>
        <w:t xml:space="preserve">لأنه </w:t>
      </w:r>
      <w:r w:rsidRPr="00BF7828">
        <w:rPr>
          <w:rFonts w:ascii="Traditional Arabic" w:hAnsi="Traditional Arabic" w:hint="cs"/>
          <w:noProof w:val="0"/>
          <w:rtl/>
          <w:lang w:eastAsia="en-US"/>
        </w:rPr>
        <w:t>تعجّل شيئا قبل أوانه على وجه محرّم، فيُمْنَع منه،</w:t>
      </w:r>
      <w:r w:rsidR="00154102" w:rsidRPr="00BF7828">
        <w:rPr>
          <w:rFonts w:ascii="Traditional Arabic" w:hAnsi="Traditional Arabic" w:hint="cs"/>
          <w:noProof w:val="0"/>
          <w:rtl/>
          <w:lang w:eastAsia="en-US"/>
        </w:rPr>
        <w:t xml:space="preserve"> و</w:t>
      </w:r>
      <w:r w:rsidRPr="00BF7828">
        <w:rPr>
          <w:rFonts w:ascii="Traditional Arabic" w:hAnsi="Traditional Arabic" w:hint="cs"/>
          <w:noProof w:val="0"/>
          <w:rtl/>
          <w:lang w:eastAsia="en-US"/>
        </w:rPr>
        <w:t>يعاقَب بنقيضِ قصْده؛ لأنّ أَوَانَ</w:t>
      </w:r>
      <w:r w:rsidRPr="00BF7828">
        <w:rPr>
          <w:rFonts w:ascii="Traditional Arabic" w:hAnsi="Traditional Arabic" w:hint="cs"/>
          <w:noProof w:val="0"/>
          <w:vertAlign w:val="superscript"/>
          <w:rtl/>
          <w:lang w:eastAsia="en-US"/>
        </w:rPr>
        <w:t>(</w:t>
      </w:r>
      <w:r w:rsidRPr="00BF7828">
        <w:rPr>
          <w:rStyle w:val="af1"/>
          <w:rFonts w:ascii="Traditional Arabic" w:hAnsi="Traditional Arabic"/>
          <w:noProof w:val="0"/>
          <w:rtl/>
          <w:lang w:eastAsia="en-US"/>
        </w:rPr>
        <w:footnoteReference w:id="878"/>
      </w:r>
      <w:r w:rsidRPr="00BF7828">
        <w:rPr>
          <w:rFonts w:ascii="Traditional Arabic" w:hAnsi="Traditional Arabic" w:hint="cs"/>
          <w:noProof w:val="0"/>
          <w:vertAlign w:val="superscript"/>
          <w:rtl/>
          <w:lang w:eastAsia="en-US"/>
        </w:rPr>
        <w:t>)</w:t>
      </w:r>
      <w:r w:rsidRPr="00BF7828">
        <w:rPr>
          <w:rFonts w:ascii="Traditional Arabic" w:hAnsi="Traditional Arabic" w:hint="cs"/>
          <w:noProof w:val="0"/>
          <w:rtl/>
          <w:lang w:eastAsia="en-US"/>
        </w:rPr>
        <w:t xml:space="preserve"> إرْثه بَعْد وفاة مورّثه</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879"/>
      </w:r>
      <w:r w:rsidRPr="00C821A1">
        <w:rPr>
          <w:rFonts w:ascii="Traditional Arabic" w:hAnsi="Traditional Arabic" w:hint="cs"/>
          <w:noProof w:val="0"/>
          <w:szCs w:val="32"/>
          <w:vertAlign w:val="superscript"/>
          <w:rtl/>
          <w:lang w:eastAsia="en-US"/>
        </w:rPr>
        <w:t>)</w:t>
      </w:r>
      <w:r w:rsidRPr="00FB449C">
        <w:rPr>
          <w:rFonts w:ascii="Traditional Arabic" w:hAnsi="Traditional Arabic" w:hint="cs"/>
          <w:noProof w:val="0"/>
          <w:rtl/>
          <w:lang w:eastAsia="en-US"/>
        </w:rPr>
        <w:t>.</w:t>
      </w:r>
    </w:p>
    <w:p w:rsidR="005E65EA" w:rsidRPr="001C03F0" w:rsidRDefault="001C03F0" w:rsidP="001C03F0">
      <w:pPr>
        <w:ind w:firstLine="0"/>
        <w:rPr>
          <w:rFonts w:ascii="Traditional Arabic" w:hAnsi="Traditional Arabic"/>
          <w:b/>
          <w:bCs/>
          <w:noProof w:val="0"/>
          <w:rtl/>
          <w:lang w:eastAsia="en-US"/>
        </w:rPr>
      </w:pPr>
      <w:r>
        <w:rPr>
          <w:rFonts w:ascii="Traditional Arabic" w:hAnsi="Traditional Arabic" w:hint="cs"/>
          <w:noProof w:val="0"/>
          <w:rtl/>
          <w:lang w:eastAsia="en-US"/>
        </w:rPr>
        <w:t>(5)    حديث</w:t>
      </w:r>
      <w:r w:rsidR="005E65EA" w:rsidRPr="001C03F0">
        <w:rPr>
          <w:rFonts w:ascii="Traditional Arabic" w:hAnsi="Traditional Arabic" w:hint="cs"/>
          <w:noProof w:val="0"/>
          <w:rtl/>
          <w:lang w:eastAsia="en-US"/>
        </w:rPr>
        <w:t xml:space="preserve"> عبد الله بن عمر </w:t>
      </w:r>
      <w:r w:rsidR="00BF7828">
        <w:rPr>
          <w:rFonts w:ascii="Traditional Arabic" w:hAnsi="Traditional Arabic" w:hint="cs"/>
          <w:noProof w:val="0"/>
          <w:rtl/>
          <w:lang w:eastAsia="en-US"/>
        </w:rPr>
        <w:t>_</w:t>
      </w:r>
      <w:r w:rsidR="005E65EA" w:rsidRPr="001C03F0">
        <w:rPr>
          <w:rFonts w:ascii="Traditional Arabic" w:hAnsi="Traditional Arabic" w:cs="CTraditional Arabic" w:hint="cs"/>
          <w:noProof w:val="0"/>
          <w:color w:val="auto"/>
          <w:rtl/>
          <w:lang w:eastAsia="en-US"/>
        </w:rPr>
        <w:t>ب</w:t>
      </w:r>
      <w:r w:rsidR="00BF7828">
        <w:rPr>
          <w:rFonts w:ascii="Traditional Arabic" w:hAnsi="Traditional Arabic" w:hint="cs"/>
          <w:noProof w:val="0"/>
          <w:rtl/>
          <w:lang w:eastAsia="en-US"/>
        </w:rPr>
        <w:t>_</w:t>
      </w:r>
      <w:r w:rsidR="005E65EA" w:rsidRPr="001C03F0">
        <w:rPr>
          <w:rFonts w:ascii="Traditional Arabic" w:hAnsi="Traditional Arabic" w:hint="cs"/>
          <w:noProof w:val="0"/>
          <w:rtl/>
          <w:lang w:eastAsia="en-US"/>
        </w:rPr>
        <w:t xml:space="preserve"> أن رسول الله </w:t>
      </w:r>
      <w:r w:rsidR="005E65EA" w:rsidRPr="001C03F0">
        <w:rPr>
          <w:rFonts w:ascii="Traditional Arabic" w:hAnsi="Traditional Arabic" w:cs="CTraditional Arabic" w:hint="cs"/>
          <w:noProof w:val="0"/>
          <w:color w:val="auto"/>
          <w:rtl/>
          <w:lang w:eastAsia="en-US"/>
        </w:rPr>
        <w:t>&gt;</w:t>
      </w:r>
      <w:r w:rsidR="005E65EA" w:rsidRPr="001C03F0">
        <w:rPr>
          <w:rFonts w:ascii="Traditional Arabic" w:hAnsi="Traditional Arabic" w:hint="cs"/>
          <w:noProof w:val="0"/>
          <w:rtl/>
          <w:lang w:eastAsia="en-US"/>
        </w:rPr>
        <w:t xml:space="preserve"> قال:</w:t>
      </w:r>
      <w:r w:rsidR="00BF7828">
        <w:rPr>
          <w:rFonts w:ascii="Traditional Arabic" w:hAnsi="Traditional Arabic" w:hint="cs"/>
          <w:noProof w:val="0"/>
          <w:rtl/>
          <w:lang w:eastAsia="en-US"/>
        </w:rPr>
        <w:t xml:space="preserve"> </w:t>
      </w:r>
      <w:r w:rsidR="005E65EA" w:rsidRPr="001C03F0">
        <w:rPr>
          <w:rFonts w:ascii="Traditional Arabic" w:hAnsi="Traditional Arabic" w:hint="cs"/>
          <w:noProof w:val="0"/>
          <w:rtl/>
          <w:lang w:eastAsia="en-US"/>
        </w:rPr>
        <w:t>"مَن شَرِب الخَمْرَ في الدنيا، ثُمَّ لم يَتُبْ منها،</w:t>
      </w:r>
      <w:r w:rsidR="00BF7828">
        <w:rPr>
          <w:rFonts w:ascii="Traditional Arabic" w:hAnsi="Traditional Arabic" w:hint="cs"/>
          <w:noProof w:val="0"/>
          <w:rtl/>
          <w:lang w:eastAsia="en-US"/>
        </w:rPr>
        <w:t xml:space="preserve"> </w:t>
      </w:r>
      <w:r w:rsidR="005E65EA" w:rsidRPr="001C03F0">
        <w:rPr>
          <w:rFonts w:ascii="Traditional Arabic" w:hAnsi="Traditional Arabic" w:hint="cs"/>
          <w:noProof w:val="0"/>
          <w:rtl/>
          <w:lang w:eastAsia="en-US"/>
        </w:rPr>
        <w:t>حُرِمَها في الآخرة"</w:t>
      </w:r>
      <w:r w:rsidR="005E65EA" w:rsidRPr="001C03F0">
        <w:rPr>
          <w:rFonts w:ascii="Traditional Arabic" w:hAnsi="Traditional Arabic" w:hint="cs"/>
          <w:noProof w:val="0"/>
          <w:szCs w:val="32"/>
          <w:vertAlign w:val="superscript"/>
          <w:rtl/>
          <w:lang w:eastAsia="en-US"/>
        </w:rPr>
        <w:t>(</w:t>
      </w:r>
      <w:r w:rsidR="005E65EA" w:rsidRPr="00C821A1">
        <w:rPr>
          <w:rStyle w:val="af1"/>
          <w:rFonts w:ascii="Traditional Arabic" w:hAnsi="Traditional Arabic"/>
          <w:noProof w:val="0"/>
          <w:szCs w:val="32"/>
          <w:rtl/>
          <w:lang w:eastAsia="en-US"/>
        </w:rPr>
        <w:footnoteReference w:id="880"/>
      </w:r>
      <w:r w:rsidR="005E65EA" w:rsidRPr="001C03F0">
        <w:rPr>
          <w:rFonts w:ascii="Traditional Arabic" w:hAnsi="Traditional Arabic" w:hint="cs"/>
          <w:noProof w:val="0"/>
          <w:szCs w:val="32"/>
          <w:vertAlign w:val="superscript"/>
          <w:rtl/>
          <w:lang w:eastAsia="en-US"/>
        </w:rPr>
        <w:t>)</w:t>
      </w:r>
      <w:r w:rsidR="005E65EA" w:rsidRPr="001C03F0">
        <w:rPr>
          <w:rFonts w:ascii="Traditional Arabic" w:hAnsi="Traditional Arabic" w:hint="cs"/>
          <w:noProof w:val="0"/>
          <w:rtl/>
          <w:lang w:eastAsia="en-US"/>
        </w:rPr>
        <w:t>.</w:t>
      </w:r>
    </w:p>
    <w:p w:rsidR="005E65EA" w:rsidRPr="001C03F0" w:rsidRDefault="001C03F0" w:rsidP="001C03F0">
      <w:pPr>
        <w:ind w:firstLine="0"/>
        <w:rPr>
          <w:rFonts w:ascii="Traditional Arabic" w:hAnsi="Traditional Arabic"/>
          <w:b/>
          <w:bCs/>
          <w:noProof w:val="0"/>
          <w:lang w:eastAsia="en-US"/>
        </w:rPr>
      </w:pPr>
      <w:r>
        <w:rPr>
          <w:rFonts w:ascii="Traditional Arabic" w:hAnsi="Traditional Arabic" w:hint="cs"/>
          <w:noProof w:val="0"/>
          <w:rtl/>
          <w:lang w:eastAsia="en-US"/>
        </w:rPr>
        <w:lastRenderedPageBreak/>
        <w:t>(6)    حديث</w:t>
      </w:r>
      <w:r w:rsidR="005E65EA" w:rsidRPr="001C03F0">
        <w:rPr>
          <w:rFonts w:ascii="Traditional Arabic" w:hAnsi="Traditional Arabic" w:hint="cs"/>
          <w:noProof w:val="0"/>
          <w:rtl/>
          <w:lang w:eastAsia="en-US"/>
        </w:rPr>
        <w:t xml:space="preserve"> أنس بن مالك </w:t>
      </w:r>
      <w:r w:rsidR="00BF7828">
        <w:rPr>
          <w:rFonts w:ascii="Traditional Arabic" w:hAnsi="Traditional Arabic" w:hint="cs"/>
          <w:noProof w:val="0"/>
          <w:rtl/>
          <w:lang w:eastAsia="en-US"/>
        </w:rPr>
        <w:t>_</w:t>
      </w:r>
      <w:r w:rsidR="005E65EA" w:rsidRPr="001C03F0">
        <w:rPr>
          <w:rFonts w:ascii="Traditional Arabic" w:hAnsi="Traditional Arabic" w:cs="CTraditional Arabic" w:hint="cs"/>
          <w:noProof w:val="0"/>
          <w:color w:val="auto"/>
          <w:rtl/>
          <w:lang w:eastAsia="en-US"/>
        </w:rPr>
        <w:t>ط</w:t>
      </w:r>
      <w:r w:rsidR="00BF7828">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w:t>
      </w:r>
      <w:r w:rsidR="005E65EA" w:rsidRPr="001C03F0">
        <w:rPr>
          <w:rFonts w:ascii="Traditional Arabic" w:hAnsi="Traditional Arabic" w:hint="cs"/>
          <w:noProof w:val="0"/>
          <w:color w:val="auto"/>
          <w:rtl/>
          <w:lang w:eastAsia="en-US"/>
        </w:rPr>
        <w:t>ق</w:t>
      </w:r>
      <w:r w:rsidR="005E65EA" w:rsidRPr="001C03F0">
        <w:rPr>
          <w:rFonts w:ascii="Traditional Arabic" w:hAnsi="Traditional Arabic" w:hint="cs"/>
          <w:noProof w:val="0"/>
          <w:rtl/>
          <w:lang w:eastAsia="en-US"/>
        </w:rPr>
        <w:t>ال:</w:t>
      </w:r>
      <w:r>
        <w:rPr>
          <w:rFonts w:ascii="Traditional Arabic" w:hAnsi="Traditional Arabic" w:hint="cs"/>
          <w:noProof w:val="0"/>
          <w:rtl/>
          <w:lang w:eastAsia="en-US"/>
        </w:rPr>
        <w:t xml:space="preserve"> </w:t>
      </w:r>
      <w:r w:rsidR="005E65EA" w:rsidRPr="001C03F0">
        <w:rPr>
          <w:rFonts w:ascii="Traditional Arabic" w:hAnsi="Traditional Arabic" w:hint="cs"/>
          <w:noProof w:val="0"/>
          <w:rtl/>
          <w:lang w:eastAsia="en-US"/>
        </w:rPr>
        <w:t xml:space="preserve">قال النبي </w:t>
      </w:r>
      <w:r w:rsidR="005E65EA" w:rsidRPr="001C03F0">
        <w:rPr>
          <w:rFonts w:ascii="Traditional Arabic" w:hAnsi="Traditional Arabic" w:cs="CTraditional Arabic" w:hint="cs"/>
          <w:noProof w:val="0"/>
          <w:color w:val="auto"/>
          <w:rtl/>
          <w:lang w:eastAsia="en-US"/>
        </w:rPr>
        <w:t>&gt;</w:t>
      </w:r>
      <w:r w:rsidR="005E65EA" w:rsidRPr="001C03F0">
        <w:rPr>
          <w:rFonts w:ascii="Traditional Arabic" w:hAnsi="Traditional Arabic" w:hint="cs"/>
          <w:noProof w:val="0"/>
          <w:rtl/>
          <w:lang w:eastAsia="en-US"/>
        </w:rPr>
        <w:t>:</w:t>
      </w:r>
      <w:r>
        <w:rPr>
          <w:rFonts w:ascii="Traditional Arabic" w:hAnsi="Traditional Arabic" w:hint="cs"/>
          <w:noProof w:val="0"/>
          <w:rtl/>
          <w:lang w:eastAsia="en-US"/>
        </w:rPr>
        <w:t xml:space="preserve"> </w:t>
      </w:r>
      <w:r w:rsidR="005E65EA" w:rsidRPr="001C03F0">
        <w:rPr>
          <w:rFonts w:ascii="Traditional Arabic" w:hAnsi="Traditional Arabic" w:hint="cs"/>
          <w:noProof w:val="0"/>
          <w:rtl/>
          <w:lang w:eastAsia="en-US"/>
        </w:rPr>
        <w:t>"مَن لَبِس الحريرَ في الدنيا لم يَلْبَسْه في الآخرة"</w:t>
      </w:r>
      <w:r w:rsidR="005E65EA" w:rsidRPr="001C03F0">
        <w:rPr>
          <w:rFonts w:ascii="Traditional Arabic" w:hAnsi="Traditional Arabic" w:hint="cs"/>
          <w:noProof w:val="0"/>
          <w:szCs w:val="32"/>
          <w:vertAlign w:val="superscript"/>
          <w:rtl/>
          <w:lang w:eastAsia="en-US"/>
        </w:rPr>
        <w:t>(</w:t>
      </w:r>
      <w:r w:rsidR="005E65EA" w:rsidRPr="00C821A1">
        <w:rPr>
          <w:rStyle w:val="af1"/>
          <w:rFonts w:ascii="Traditional Arabic" w:hAnsi="Traditional Arabic"/>
          <w:noProof w:val="0"/>
          <w:szCs w:val="32"/>
          <w:rtl/>
          <w:lang w:eastAsia="en-US"/>
        </w:rPr>
        <w:footnoteReference w:id="881"/>
      </w:r>
      <w:r w:rsidR="005E65EA" w:rsidRPr="001C03F0">
        <w:rPr>
          <w:rFonts w:ascii="Traditional Arabic" w:hAnsi="Traditional Arabic" w:hint="cs"/>
          <w:noProof w:val="0"/>
          <w:szCs w:val="32"/>
          <w:vertAlign w:val="superscript"/>
          <w:rtl/>
          <w:lang w:eastAsia="en-US"/>
        </w:rPr>
        <w:t>)</w:t>
      </w:r>
      <w:r w:rsidR="005E65EA" w:rsidRPr="001C03F0">
        <w:rPr>
          <w:rFonts w:ascii="Traditional Arabic" w:hAnsi="Traditional Arabic" w:hint="cs"/>
          <w:noProof w:val="0"/>
          <w:rtl/>
          <w:lang w:eastAsia="en-US"/>
        </w:rPr>
        <w:t>.</w:t>
      </w:r>
    </w:p>
    <w:p w:rsidR="005E65EA" w:rsidRDefault="005E65EA" w:rsidP="00597C20">
      <w:pPr>
        <w:pStyle w:val="53"/>
        <w:rPr>
          <w:rtl/>
        </w:rPr>
      </w:pPr>
      <w:r>
        <w:rPr>
          <w:rFonts w:hint="cs"/>
          <w:rtl/>
        </w:rPr>
        <w:t>وجه الدلالة من الحديثين:</w:t>
      </w:r>
    </w:p>
    <w:p w:rsidR="005E65EA" w:rsidRPr="00FB449C" w:rsidRDefault="005E65EA" w:rsidP="00597C20">
      <w:pPr>
        <w:ind w:firstLine="720"/>
        <w:jc w:val="left"/>
        <w:rPr>
          <w:rFonts w:ascii="Traditional Arabic" w:hAnsi="Traditional Arabic"/>
          <w:b/>
          <w:bCs/>
          <w:noProof w:val="0"/>
          <w:rtl/>
          <w:lang w:eastAsia="en-US"/>
        </w:rPr>
      </w:pPr>
      <w:r w:rsidRPr="00FB449C">
        <w:rPr>
          <w:rFonts w:ascii="Traditional Arabic" w:hAnsi="Traditional Arabic" w:hint="cs"/>
          <w:noProof w:val="0"/>
          <w:rtl/>
          <w:lang w:eastAsia="en-US"/>
        </w:rPr>
        <w:t>ظاهرُ الحديثين أنه لا يَشرب الخمر في الجنة،</w:t>
      </w:r>
      <w:r w:rsidR="00154102" w:rsidRPr="00FB449C">
        <w:rPr>
          <w:rFonts w:ascii="Traditional Arabic" w:hAnsi="Traditional Arabic" w:hint="cs"/>
          <w:noProof w:val="0"/>
          <w:rtl/>
          <w:lang w:eastAsia="en-US"/>
        </w:rPr>
        <w:t xml:space="preserve"> و</w:t>
      </w:r>
      <w:r w:rsidRPr="00FB449C">
        <w:rPr>
          <w:rFonts w:ascii="Traditional Arabic" w:hAnsi="Traditional Arabic" w:hint="cs"/>
          <w:noProof w:val="0"/>
          <w:rtl/>
          <w:lang w:eastAsia="en-US"/>
        </w:rPr>
        <w:t>لا يلبس الحرير فيها؛</w:t>
      </w:r>
      <w:r w:rsidR="00154102" w:rsidRPr="00FB449C">
        <w:rPr>
          <w:rFonts w:ascii="Traditional Arabic" w:hAnsi="Traditional Arabic" w:hint="cs"/>
          <w:noProof w:val="0"/>
          <w:rtl/>
          <w:lang w:eastAsia="en-US"/>
        </w:rPr>
        <w:t xml:space="preserve"> و</w:t>
      </w:r>
      <w:r w:rsidRPr="00FB449C">
        <w:rPr>
          <w:rFonts w:ascii="Traditional Arabic" w:hAnsi="Traditional Arabic" w:hint="cs"/>
          <w:noProof w:val="0"/>
          <w:rtl/>
          <w:lang w:eastAsia="en-US"/>
        </w:rPr>
        <w:t xml:space="preserve">ذلك لأنه </w:t>
      </w:r>
      <w:r w:rsidRPr="007C2E49">
        <w:rPr>
          <w:rFonts w:ascii="Traditional Arabic" w:hAnsi="Traditional Arabic" w:hint="cs"/>
          <w:noProof w:val="0"/>
          <w:rtl/>
          <w:lang w:eastAsia="en-US"/>
        </w:rPr>
        <w:t>استعجل ما أُمِرَ بتأخيره</w:t>
      </w:r>
      <w:r w:rsidR="00154102" w:rsidRPr="007C2E49">
        <w:rPr>
          <w:rFonts w:ascii="Traditional Arabic" w:hAnsi="Traditional Arabic" w:hint="cs"/>
          <w:noProof w:val="0"/>
          <w:rtl/>
          <w:lang w:eastAsia="en-US"/>
        </w:rPr>
        <w:t xml:space="preserve"> و</w:t>
      </w:r>
      <w:r w:rsidRPr="007C2E49">
        <w:rPr>
          <w:rFonts w:ascii="Traditional Arabic" w:hAnsi="Traditional Arabic" w:hint="cs"/>
          <w:noProof w:val="0"/>
          <w:rtl/>
          <w:lang w:eastAsia="en-US"/>
        </w:rPr>
        <w:t>وُعِدَ به، فَحُرِمَهُ عند مِيقاته</w:t>
      </w:r>
      <w:r w:rsidRPr="00C821A1">
        <w:rPr>
          <w:rFonts w:ascii="Traditional Arabic" w:hAnsi="Traditional Arabic" w:hint="cs"/>
          <w:b/>
          <w:noProof w:val="0"/>
          <w:szCs w:val="32"/>
          <w:vertAlign w:val="superscript"/>
          <w:rtl/>
          <w:lang w:eastAsia="en-US"/>
        </w:rPr>
        <w:t>(</w:t>
      </w:r>
      <w:r w:rsidRPr="00C821A1">
        <w:rPr>
          <w:rStyle w:val="af1"/>
          <w:rFonts w:ascii="Traditional Arabic" w:hAnsi="Traditional Arabic"/>
          <w:b/>
          <w:noProof w:val="0"/>
          <w:szCs w:val="32"/>
          <w:rtl/>
          <w:lang w:eastAsia="en-US"/>
        </w:rPr>
        <w:footnoteReference w:id="882"/>
      </w:r>
      <w:r w:rsidRPr="00C821A1">
        <w:rPr>
          <w:rFonts w:ascii="Traditional Arabic" w:hAnsi="Traditional Arabic" w:hint="cs"/>
          <w:b/>
          <w:noProof w:val="0"/>
          <w:szCs w:val="32"/>
          <w:vertAlign w:val="superscript"/>
          <w:rtl/>
          <w:lang w:eastAsia="en-US"/>
        </w:rPr>
        <w:t>)</w:t>
      </w:r>
      <w:r w:rsidRPr="00FB449C">
        <w:rPr>
          <w:rFonts w:ascii="Traditional Arabic" w:hAnsi="Traditional Arabic" w:hint="cs"/>
          <w:noProof w:val="0"/>
          <w:rtl/>
          <w:lang w:eastAsia="en-US"/>
        </w:rPr>
        <w:t>.</w:t>
      </w:r>
    </w:p>
    <w:p w:rsidR="00065E4B" w:rsidRPr="001C03F0" w:rsidRDefault="002B79D5" w:rsidP="001C03F0">
      <w:pPr>
        <w:ind w:firstLine="0"/>
        <w:jc w:val="left"/>
        <w:rPr>
          <w:rFonts w:ascii="Traditional Arabic" w:hAnsi="Traditional Arabic"/>
          <w:b/>
          <w:bCs/>
          <w:noProof w:val="0"/>
          <w:lang w:eastAsia="en-US"/>
        </w:rPr>
      </w:pPr>
      <w:r>
        <w:rPr>
          <w:rFonts w:ascii="Traditional Arabic" w:hAnsi="Traditional Arabic" w:hint="cs"/>
          <w:b/>
          <w:bCs/>
          <w:noProof w:val="0"/>
          <w:rtl/>
          <w:lang w:eastAsia="en-US"/>
        </w:rPr>
        <w:t xml:space="preserve">(6)    </w:t>
      </w:r>
      <w:r w:rsidR="005E65EA" w:rsidRPr="001C03F0">
        <w:rPr>
          <w:rFonts w:ascii="Traditional Arabic" w:hAnsi="Traditional Arabic" w:hint="cs"/>
          <w:b/>
          <w:bCs/>
          <w:noProof w:val="0"/>
          <w:rtl/>
          <w:lang w:eastAsia="en-US"/>
        </w:rPr>
        <w:t>من المعقول</w:t>
      </w:r>
      <w:r>
        <w:rPr>
          <w:rFonts w:ascii="Traditional Arabic" w:hAnsi="Traditional Arabic" w:hint="cs"/>
          <w:b/>
          <w:bCs/>
          <w:noProof w:val="0"/>
          <w:rtl/>
          <w:lang w:eastAsia="en-US"/>
        </w:rPr>
        <w:t>:</w:t>
      </w:r>
    </w:p>
    <w:p w:rsidR="00F228A9" w:rsidRPr="008508EC" w:rsidRDefault="00065E4B" w:rsidP="00597C20">
      <w:pPr>
        <w:widowControl/>
        <w:autoSpaceDE w:val="0"/>
        <w:autoSpaceDN w:val="0"/>
        <w:adjustRightInd w:val="0"/>
        <w:ind w:firstLine="720"/>
        <w:rPr>
          <w:rFonts w:ascii="Traditional Arabic" w:hAnsi="Traditional Arabic"/>
          <w:noProof w:val="0"/>
          <w:color w:val="auto"/>
          <w:rtl/>
          <w:lang w:eastAsia="en-US"/>
        </w:rPr>
      </w:pPr>
      <w:r w:rsidRPr="00CA0170">
        <w:rPr>
          <w:rFonts w:ascii="Traditional Arabic" w:hAnsi="Traditional Arabic"/>
          <w:noProof w:val="0"/>
          <w:rtl/>
          <w:lang w:eastAsia="en-US"/>
        </w:rPr>
        <w:t>ل</w:t>
      </w:r>
      <w:r w:rsidR="005E65EA" w:rsidRPr="00CA0170">
        <w:rPr>
          <w:rFonts w:ascii="Traditional Arabic" w:hAnsi="Traditional Arabic"/>
          <w:noProof w:val="0"/>
          <w:rtl/>
          <w:lang w:eastAsia="en-US"/>
        </w:rPr>
        <w:t>و أ</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ب</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يح</w:t>
      </w:r>
      <w:r w:rsidR="005E65EA" w:rsidRPr="00CA0170">
        <w:rPr>
          <w:rFonts w:ascii="Traditional Arabic" w:hAnsi="Traditional Arabic" w:hint="cs"/>
          <w:noProof w:val="0"/>
          <w:rtl/>
          <w:lang w:eastAsia="en-US"/>
        </w:rPr>
        <w:t>َ</w:t>
      </w:r>
      <w:r w:rsidR="001C03F0">
        <w:rPr>
          <w:rFonts w:ascii="Traditional Arabic" w:hAnsi="Traditional Arabic" w:hint="cs"/>
          <w:noProof w:val="0"/>
          <w:rtl/>
          <w:lang w:eastAsia="en-US"/>
        </w:rPr>
        <w:t xml:space="preserve"> </w:t>
      </w:r>
      <w:r w:rsidR="005E65EA">
        <w:rPr>
          <w:rFonts w:ascii="Traditional Arabic" w:hAnsi="Traditional Arabic" w:hint="cs"/>
          <w:noProof w:val="0"/>
          <w:rtl/>
          <w:lang w:eastAsia="en-US"/>
        </w:rPr>
        <w:t>ل</w:t>
      </w:r>
      <w:r w:rsidR="005E65EA" w:rsidRPr="00CA0170">
        <w:rPr>
          <w:rFonts w:ascii="Traditional Arabic" w:hAnsi="Traditional Arabic"/>
          <w:noProof w:val="0"/>
          <w:rtl/>
          <w:lang w:eastAsia="en-US"/>
        </w:rPr>
        <w:t>لإنسان أن يتعج</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ل ح</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ق</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ه</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 xml:space="preserve"> على وجه محر</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م لان</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ت</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ه</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ك</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ت الح</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ر</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مات؛ لأن</w:t>
      </w:r>
      <w:r w:rsidR="001C03F0">
        <w:rPr>
          <w:rFonts w:ascii="Traditional Arabic" w:hAnsi="Traditional Arabic" w:hint="cs"/>
          <w:noProof w:val="0"/>
          <w:rtl/>
          <w:lang w:eastAsia="en-US"/>
        </w:rPr>
        <w:t xml:space="preserve"> </w:t>
      </w:r>
      <w:r w:rsidR="005E65EA" w:rsidRPr="00CA0170">
        <w:rPr>
          <w:rFonts w:ascii="Traditional Arabic" w:hAnsi="Traditional Arabic"/>
          <w:noProof w:val="0"/>
          <w:rtl/>
          <w:lang w:eastAsia="en-US"/>
        </w:rPr>
        <w:t>النفوس م</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ج</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بولة على الطم</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ع والجش</w:t>
      </w:r>
      <w:r w:rsidR="005E65EA" w:rsidRPr="00CA0170">
        <w:rPr>
          <w:rFonts w:ascii="Traditional Arabic" w:hAnsi="Traditional Arabic" w:hint="cs"/>
          <w:noProof w:val="0"/>
          <w:rtl/>
          <w:lang w:eastAsia="en-US"/>
        </w:rPr>
        <w:t>َ</w:t>
      </w:r>
      <w:r w:rsidR="001C03F0">
        <w:rPr>
          <w:rFonts w:ascii="Traditional Arabic" w:hAnsi="Traditional Arabic"/>
          <w:noProof w:val="0"/>
          <w:rtl/>
          <w:lang w:eastAsia="en-US"/>
        </w:rPr>
        <w:t>ع</w:t>
      </w:r>
      <w:r w:rsidR="001C03F0">
        <w:rPr>
          <w:rFonts w:ascii="Traditional Arabic" w:hAnsi="Traditional Arabic" w:hint="cs"/>
          <w:noProof w:val="0"/>
          <w:rtl/>
          <w:lang w:eastAsia="en-US"/>
        </w:rPr>
        <w:t>،</w:t>
      </w:r>
      <w:r w:rsidR="005E65EA" w:rsidRPr="00CA0170">
        <w:rPr>
          <w:rFonts w:ascii="Traditional Arabic" w:hAnsi="Traditional Arabic"/>
          <w:noProof w:val="0"/>
          <w:rtl/>
          <w:lang w:eastAsia="en-US"/>
        </w:rPr>
        <w:t xml:space="preserve"> فإذا م</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ن</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ع الإنسان من حق</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 xml:space="preserve"> ت</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عج</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له على وجه محر</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م، فإن</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 xml:space="preserve"> ذلك ي</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ر</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د</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ع</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ه عن ف</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ع</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ل المحر</w:t>
      </w:r>
      <w:r w:rsidR="005E65EA" w:rsidRPr="00CA0170">
        <w:rPr>
          <w:rFonts w:ascii="Traditional Arabic" w:hAnsi="Traditional Arabic" w:hint="cs"/>
          <w:noProof w:val="0"/>
          <w:rtl/>
          <w:lang w:eastAsia="en-US"/>
        </w:rPr>
        <w:t>َّ</w:t>
      </w:r>
      <w:r w:rsidR="005E65EA" w:rsidRPr="00CA0170">
        <w:rPr>
          <w:rFonts w:ascii="Traditional Arabic" w:hAnsi="Traditional Arabic"/>
          <w:noProof w:val="0"/>
          <w:rtl/>
          <w:lang w:eastAsia="en-US"/>
        </w:rPr>
        <w:t>م</w:t>
      </w:r>
      <w:r w:rsidR="005E65EA" w:rsidRPr="00C821A1">
        <w:rPr>
          <w:rFonts w:ascii="Traditional Arabic" w:hAnsi="Traditional Arabic" w:hint="cs"/>
          <w:noProof w:val="0"/>
          <w:szCs w:val="32"/>
          <w:vertAlign w:val="superscript"/>
          <w:rtl/>
          <w:lang w:eastAsia="en-US"/>
        </w:rPr>
        <w:t>(</w:t>
      </w:r>
      <w:r w:rsidR="005E65EA" w:rsidRPr="00C821A1">
        <w:rPr>
          <w:rStyle w:val="af1"/>
          <w:rFonts w:ascii="Traditional Arabic" w:hAnsi="Traditional Arabic"/>
          <w:noProof w:val="0"/>
          <w:color w:val="auto"/>
          <w:szCs w:val="32"/>
          <w:rtl/>
          <w:lang w:eastAsia="en-US"/>
        </w:rPr>
        <w:footnoteReference w:id="883"/>
      </w:r>
      <w:r w:rsidR="005E65EA" w:rsidRPr="00C821A1">
        <w:rPr>
          <w:rFonts w:ascii="Traditional Arabic" w:hAnsi="Traditional Arabic" w:hint="cs"/>
          <w:noProof w:val="0"/>
          <w:color w:val="auto"/>
          <w:szCs w:val="32"/>
          <w:vertAlign w:val="superscript"/>
          <w:rtl/>
          <w:lang w:eastAsia="en-US"/>
        </w:rPr>
        <w:t>)</w:t>
      </w:r>
      <w:r w:rsidR="005E65EA" w:rsidRPr="00CA0170">
        <w:rPr>
          <w:rFonts w:ascii="Traditional Arabic" w:hAnsi="Traditional Arabic" w:hint="cs"/>
          <w:noProof w:val="0"/>
          <w:color w:val="auto"/>
          <w:rtl/>
          <w:lang w:eastAsia="en-US"/>
        </w:rPr>
        <w:t>.</w:t>
      </w:r>
    </w:p>
    <w:p w:rsidR="005E65EA" w:rsidRPr="005E65EA" w:rsidRDefault="004B1690" w:rsidP="00A8347C">
      <w:pPr>
        <w:pStyle w:val="aff3"/>
        <w:rPr>
          <w:rtl/>
        </w:rPr>
      </w:pPr>
      <w:bookmarkStart w:id="170" w:name="_Toc334046407"/>
      <w:r>
        <w:rPr>
          <w:rFonts w:hint="cs"/>
          <w:rtl/>
        </w:rPr>
        <w:t xml:space="preserve">                                    </w:t>
      </w:r>
      <w:r w:rsidR="005E65EA" w:rsidRPr="005E65EA">
        <w:rPr>
          <w:rFonts w:hint="cs"/>
          <w:rtl/>
        </w:rPr>
        <w:t>المطلب الرابع</w:t>
      </w:r>
      <w:r w:rsidR="005E65EA">
        <w:rPr>
          <w:rFonts w:hint="eastAsia"/>
          <w:rtl/>
        </w:rPr>
        <w:t> :</w:t>
      </w:r>
      <w:r w:rsidR="005E65EA">
        <w:rPr>
          <w:rFonts w:hint="cs"/>
          <w:rtl/>
        </w:rPr>
        <w:br/>
      </w:r>
      <w:r>
        <w:rPr>
          <w:rFonts w:hint="cs"/>
          <w:rtl/>
        </w:rPr>
        <w:t xml:space="preserve">                                   </w:t>
      </w:r>
      <w:r w:rsidR="005E65EA" w:rsidRPr="005E65EA">
        <w:rPr>
          <w:rFonts w:hint="cs"/>
          <w:rtl/>
        </w:rPr>
        <w:t>تطبيقات القاعدة</w:t>
      </w:r>
      <w:bookmarkEnd w:id="170"/>
    </w:p>
    <w:p w:rsidR="005E65EA" w:rsidRPr="00F011E8" w:rsidRDefault="005E65EA" w:rsidP="000A76C7">
      <w:pPr>
        <w:pStyle w:val="afc"/>
        <w:widowControl/>
        <w:numPr>
          <w:ilvl w:val="0"/>
          <w:numId w:val="126"/>
        </w:numPr>
        <w:autoSpaceDE w:val="0"/>
        <w:autoSpaceDN w:val="0"/>
        <w:adjustRightInd w:val="0"/>
        <w:rPr>
          <w:rFonts w:ascii="Traditional Arabic" w:hAnsi="Traditional Arabic"/>
          <w:b/>
          <w:bCs/>
          <w:noProof w:val="0"/>
          <w:color w:val="auto"/>
          <w:rtl/>
          <w:lang w:eastAsia="en-US"/>
        </w:rPr>
      </w:pPr>
      <w:r w:rsidRPr="00F011E8">
        <w:rPr>
          <w:rFonts w:ascii="Traditional Arabic" w:hAnsi="Traditional Arabic" w:hint="cs"/>
          <w:noProof w:val="0"/>
          <w:color w:val="auto"/>
          <w:rtl/>
          <w:lang w:eastAsia="en-US"/>
        </w:rPr>
        <w:t>لو اشترط البائع أنه بريء مِنْ كلّ عَيْب يمكن أن يَظهر في الم</w:t>
      </w:r>
      <w:r>
        <w:rPr>
          <w:rFonts w:ascii="Traditional Arabic" w:hAnsi="Traditional Arabic" w:hint="cs"/>
          <w:noProof w:val="0"/>
          <w:color w:val="auto"/>
          <w:rtl/>
          <w:lang w:eastAsia="en-US"/>
        </w:rPr>
        <w:t>َ</w:t>
      </w:r>
      <w:r w:rsidRPr="00F011E8">
        <w:rPr>
          <w:rFonts w:ascii="Traditional Arabic" w:hAnsi="Traditional Arabic" w:hint="cs"/>
          <w:noProof w:val="0"/>
          <w:color w:val="auto"/>
          <w:rtl/>
          <w:lang w:eastAsia="en-US"/>
        </w:rPr>
        <w:t>بيع،</w:t>
      </w:r>
      <w:r w:rsidR="004B1690">
        <w:rPr>
          <w:rFonts w:ascii="Traditional Arabic" w:hAnsi="Traditional Arabic" w:hint="cs"/>
          <w:noProof w:val="0"/>
          <w:color w:val="auto"/>
          <w:rtl/>
          <w:lang w:eastAsia="en-US"/>
        </w:rPr>
        <w:t xml:space="preserve"> فإنه يَبْرَأ بذلك، </w:t>
      </w:r>
      <w:r w:rsidRPr="00F011E8">
        <w:rPr>
          <w:rFonts w:ascii="Traditional Arabic" w:hAnsi="Traditional Arabic" w:hint="cs"/>
          <w:noProof w:val="0"/>
          <w:color w:val="auto"/>
          <w:rtl/>
          <w:lang w:eastAsia="en-US"/>
        </w:rPr>
        <w:t>لكن لو كان عالِمًا بالعيب فَكَتَمَه، فإنه يُعامَلُ بنقيض قصده،</w:t>
      </w:r>
      <w:r w:rsidR="00154102">
        <w:rPr>
          <w:rFonts w:ascii="Traditional Arabic" w:hAnsi="Traditional Arabic" w:hint="cs"/>
          <w:noProof w:val="0"/>
          <w:color w:val="auto"/>
          <w:rtl/>
          <w:lang w:eastAsia="en-US"/>
        </w:rPr>
        <w:t xml:space="preserve"> و</w:t>
      </w:r>
      <w:r w:rsidRPr="00F011E8">
        <w:rPr>
          <w:rFonts w:ascii="Traditional Arabic" w:hAnsi="Traditional Arabic" w:hint="cs"/>
          <w:noProof w:val="0"/>
          <w:color w:val="auto"/>
          <w:rtl/>
          <w:lang w:eastAsia="en-US"/>
        </w:rPr>
        <w:t>يَثْبُت للمشتري حقّ الردِّ بالعيب</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noProof w:val="0"/>
          <w:color w:val="auto"/>
          <w:szCs w:val="32"/>
          <w:rtl/>
          <w:lang w:eastAsia="en-US"/>
        </w:rPr>
        <w:footnoteReference w:id="884"/>
      </w:r>
      <w:r w:rsidRPr="00C821A1">
        <w:rPr>
          <w:rFonts w:ascii="Traditional Arabic" w:hAnsi="Traditional Arabic" w:hint="cs"/>
          <w:noProof w:val="0"/>
          <w:color w:val="auto"/>
          <w:szCs w:val="32"/>
          <w:vertAlign w:val="superscript"/>
          <w:rtl/>
          <w:lang w:eastAsia="en-US"/>
        </w:rPr>
        <w:t>)</w:t>
      </w:r>
      <w:r w:rsidRPr="00F011E8">
        <w:rPr>
          <w:rFonts w:ascii="Traditional Arabic" w:hAnsi="Traditional Arabic" w:hint="cs"/>
          <w:noProof w:val="0"/>
          <w:color w:val="auto"/>
          <w:rtl/>
          <w:lang w:eastAsia="en-US"/>
        </w:rPr>
        <w:t>.</w:t>
      </w:r>
    </w:p>
    <w:p w:rsidR="005E65EA" w:rsidRDefault="005E65EA" w:rsidP="00597C20">
      <w:pPr>
        <w:pStyle w:val="53"/>
        <w:rPr>
          <w:rtl/>
        </w:rPr>
      </w:pPr>
      <w:r>
        <w:rPr>
          <w:rFonts w:hint="cs"/>
          <w:rtl/>
        </w:rPr>
        <w:t>وجه اندراج الفرع تحت القاعدة:</w:t>
      </w:r>
    </w:p>
    <w:p w:rsidR="00F228A9" w:rsidRPr="00FB449C" w:rsidRDefault="005E65EA" w:rsidP="00597C20">
      <w:pPr>
        <w:ind w:firstLine="720"/>
        <w:rPr>
          <w:rFonts w:ascii="Traditional Arabic" w:hAnsi="Traditional Arabic"/>
          <w:noProof w:val="0"/>
          <w:rtl/>
          <w:lang w:eastAsia="en-US"/>
        </w:rPr>
      </w:pPr>
      <w:r w:rsidRPr="00FB449C">
        <w:rPr>
          <w:rFonts w:ascii="Traditional Arabic" w:hAnsi="Traditional Arabic" w:hint="cs"/>
          <w:noProof w:val="0"/>
          <w:rtl/>
          <w:lang w:eastAsia="en-US"/>
        </w:rPr>
        <w:t>إذا كان البائع عالِمًا بالعيب فَكَتَمَه،</w:t>
      </w:r>
      <w:r w:rsidR="004B1690">
        <w:rPr>
          <w:rFonts w:ascii="Traditional Arabic" w:hAnsi="Traditional Arabic" w:hint="cs"/>
          <w:noProof w:val="0"/>
          <w:rtl/>
          <w:lang w:eastAsia="en-US"/>
        </w:rPr>
        <w:t xml:space="preserve"> </w:t>
      </w:r>
      <w:r w:rsidRPr="007C2E49">
        <w:rPr>
          <w:rFonts w:ascii="Traditional Arabic" w:hAnsi="Traditional Arabic" w:hint="cs"/>
          <w:noProof w:val="0"/>
          <w:rtl/>
          <w:lang w:eastAsia="en-US"/>
        </w:rPr>
        <w:t>فهو غاشٌّ مُخادِعٌ،</w:t>
      </w:r>
      <w:r w:rsidR="007C2E49">
        <w:rPr>
          <w:rFonts w:ascii="Traditional Arabic" w:hAnsi="Traditional Arabic" w:hint="cs"/>
          <w:noProof w:val="0"/>
          <w:rtl/>
          <w:lang w:eastAsia="en-US"/>
        </w:rPr>
        <w:t xml:space="preserve"> </w:t>
      </w:r>
      <w:r w:rsidRPr="007C2E49">
        <w:rPr>
          <w:rFonts w:ascii="Traditional Arabic" w:hAnsi="Traditional Arabic" w:hint="cs"/>
          <w:noProof w:val="0"/>
          <w:rtl/>
          <w:lang w:eastAsia="en-US"/>
        </w:rPr>
        <w:t>فيعامَل بنقيض قصده،</w:t>
      </w:r>
      <w:r w:rsidR="00154102" w:rsidRPr="007C2E49">
        <w:rPr>
          <w:rFonts w:ascii="Traditional Arabic" w:hAnsi="Traditional Arabic" w:hint="cs"/>
          <w:noProof w:val="0"/>
          <w:rtl/>
          <w:lang w:eastAsia="en-US"/>
        </w:rPr>
        <w:t xml:space="preserve"> و</w:t>
      </w:r>
      <w:r w:rsidRPr="007C2E49">
        <w:rPr>
          <w:rFonts w:ascii="Traditional Arabic" w:hAnsi="Traditional Arabic" w:hint="cs"/>
          <w:noProof w:val="0"/>
          <w:rtl/>
          <w:lang w:eastAsia="en-US"/>
        </w:rPr>
        <w:t xml:space="preserve">يثبُت </w:t>
      </w:r>
      <w:r w:rsidRPr="007C2E49">
        <w:rPr>
          <w:rFonts w:ascii="Traditional Arabic" w:hAnsi="Traditional Arabic" w:hint="cs"/>
          <w:noProof w:val="0"/>
          <w:rtl/>
          <w:lang w:eastAsia="en-US"/>
        </w:rPr>
        <w:lastRenderedPageBreak/>
        <w:t>خِيارُ العيب للمشتري،</w:t>
      </w:r>
      <w:r w:rsidR="00154102" w:rsidRPr="007C2E49">
        <w:rPr>
          <w:rFonts w:ascii="Traditional Arabic" w:hAnsi="Traditional Arabic" w:hint="cs"/>
          <w:noProof w:val="0"/>
          <w:rtl/>
          <w:lang w:eastAsia="en-US"/>
        </w:rPr>
        <w:t xml:space="preserve"> و</w:t>
      </w:r>
      <w:r w:rsidRPr="007C2E49">
        <w:rPr>
          <w:rFonts w:ascii="Traditional Arabic" w:hAnsi="Traditional Arabic" w:hint="cs"/>
          <w:noProof w:val="0"/>
          <w:rtl/>
          <w:lang w:eastAsia="en-US"/>
        </w:rPr>
        <w:t>يُرَدُّ على البائعِ السيِّءِ النيَّةِ قَصْدُهُ الماكِر</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885"/>
      </w:r>
      <w:r w:rsidRPr="00C821A1">
        <w:rPr>
          <w:rFonts w:ascii="Traditional Arabic" w:hAnsi="Traditional Arabic" w:hint="cs"/>
          <w:noProof w:val="0"/>
          <w:szCs w:val="32"/>
          <w:vertAlign w:val="superscript"/>
          <w:rtl/>
          <w:lang w:eastAsia="en-US"/>
        </w:rPr>
        <w:t>)</w:t>
      </w:r>
      <w:r w:rsidRPr="00FB449C">
        <w:rPr>
          <w:rFonts w:ascii="Traditional Arabic" w:hAnsi="Traditional Arabic" w:hint="cs"/>
          <w:noProof w:val="0"/>
          <w:rtl/>
          <w:lang w:eastAsia="en-US"/>
        </w:rPr>
        <w:t>.</w:t>
      </w:r>
    </w:p>
    <w:p w:rsidR="00065E4B" w:rsidRDefault="00F228A9" w:rsidP="000A76C7">
      <w:pPr>
        <w:pStyle w:val="afc"/>
        <w:numPr>
          <w:ilvl w:val="0"/>
          <w:numId w:val="126"/>
        </w:numPr>
        <w:rPr>
          <w:rFonts w:ascii="Traditional Arabic" w:hAnsi="Traditional Arabic"/>
          <w:noProof w:val="0"/>
          <w:lang w:eastAsia="en-US"/>
        </w:rPr>
      </w:pPr>
      <w:r>
        <w:rPr>
          <w:rFonts w:ascii="Traditional Arabic" w:hAnsi="Traditional Arabic" w:hint="cs"/>
          <w:noProof w:val="0"/>
          <w:rtl/>
          <w:lang w:eastAsia="en-US"/>
        </w:rPr>
        <w:t>إذا كان المشتري يَجْهَلُ قِيمةَ السِّلعة، فَغَرَّهُ البائع،</w:t>
      </w:r>
      <w:r w:rsidR="00154102">
        <w:rPr>
          <w:rFonts w:ascii="Traditional Arabic" w:hAnsi="Traditional Arabic" w:hint="cs"/>
          <w:noProof w:val="0"/>
          <w:rtl/>
          <w:lang w:eastAsia="en-US"/>
        </w:rPr>
        <w:t xml:space="preserve"> و</w:t>
      </w:r>
      <w:r>
        <w:rPr>
          <w:rFonts w:ascii="Traditional Arabic" w:hAnsi="Traditional Arabic" w:hint="cs"/>
          <w:noProof w:val="0"/>
          <w:rtl/>
          <w:lang w:eastAsia="en-US"/>
        </w:rPr>
        <w:t>باعَه بِثَمَنٍ أَغلى خارِجٍ عن العادة،</w:t>
      </w:r>
      <w:r w:rsidR="004B1690">
        <w:rPr>
          <w:rFonts w:ascii="Traditional Arabic" w:hAnsi="Traditional Arabic" w:hint="cs"/>
          <w:noProof w:val="0"/>
          <w:rtl/>
          <w:lang w:eastAsia="en-US"/>
        </w:rPr>
        <w:t xml:space="preserve"> </w:t>
      </w:r>
      <w:r>
        <w:rPr>
          <w:rFonts w:ascii="Traditional Arabic" w:hAnsi="Traditional Arabic" w:hint="cs"/>
          <w:noProof w:val="0"/>
          <w:rtl/>
          <w:lang w:eastAsia="en-US"/>
        </w:rPr>
        <w:t>فإنه يَثبت له حق الخيار</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886"/>
      </w:r>
      <w:r w:rsidRPr="00C821A1">
        <w:rPr>
          <w:rFonts w:ascii="Traditional Arabic" w:hAnsi="Traditional Arabic" w:hint="cs"/>
          <w:noProof w:val="0"/>
          <w:szCs w:val="32"/>
          <w:vertAlign w:val="superscript"/>
          <w:rtl/>
          <w:lang w:eastAsia="en-US"/>
        </w:rPr>
        <w:t>)</w:t>
      </w:r>
      <w:r>
        <w:rPr>
          <w:rFonts w:ascii="Traditional Arabic" w:hAnsi="Traditional Arabic" w:hint="cs"/>
          <w:noProof w:val="0"/>
          <w:rtl/>
          <w:lang w:eastAsia="en-US"/>
        </w:rPr>
        <w:t>.</w:t>
      </w:r>
    </w:p>
    <w:p w:rsidR="00065E4B" w:rsidRDefault="00065E4B" w:rsidP="00597C20">
      <w:pPr>
        <w:pStyle w:val="53"/>
        <w:rPr>
          <w:rtl/>
        </w:rPr>
      </w:pPr>
      <w:r>
        <w:rPr>
          <w:rFonts w:hint="cs"/>
          <w:rtl/>
        </w:rPr>
        <w:t>و</w:t>
      </w:r>
      <w:r w:rsidR="005E65EA">
        <w:rPr>
          <w:rFonts w:hint="cs"/>
          <w:rtl/>
        </w:rPr>
        <w:t>جه اندراج الفرع تحت القاعدة:</w:t>
      </w:r>
    </w:p>
    <w:p w:rsidR="005E65EA" w:rsidRPr="00FB449C" w:rsidRDefault="00065E4B" w:rsidP="00597C20">
      <w:pPr>
        <w:ind w:firstLine="720"/>
        <w:jc w:val="left"/>
        <w:rPr>
          <w:rFonts w:ascii="Traditional Arabic" w:hAnsi="Traditional Arabic"/>
          <w:noProof w:val="0"/>
          <w:rtl/>
          <w:lang w:eastAsia="en-US"/>
        </w:rPr>
      </w:pPr>
      <w:r w:rsidRPr="00FB449C">
        <w:rPr>
          <w:rFonts w:ascii="Traditional Arabic" w:hAnsi="Traditional Arabic" w:hint="cs"/>
          <w:noProof w:val="0"/>
          <w:rtl/>
          <w:lang w:eastAsia="en-US"/>
        </w:rPr>
        <w:t>ي</w:t>
      </w:r>
      <w:r w:rsidR="005E65EA" w:rsidRPr="00FB449C">
        <w:rPr>
          <w:rFonts w:ascii="Traditional Arabic" w:hAnsi="Traditional Arabic" w:hint="cs"/>
          <w:noProof w:val="0"/>
          <w:rtl/>
          <w:lang w:eastAsia="en-US"/>
        </w:rPr>
        <w:t xml:space="preserve">َثبت للمشتري حق الخِيار، </w:t>
      </w:r>
      <w:r w:rsidR="005E65EA" w:rsidRPr="007C2E49">
        <w:rPr>
          <w:rFonts w:ascii="Traditional Arabic" w:hAnsi="Traditional Arabic" w:hint="cs"/>
          <w:noProof w:val="0"/>
          <w:rtl/>
          <w:lang w:eastAsia="en-US"/>
        </w:rPr>
        <w:t>مُعاملةً للبائع بنقيض قصده السيّء؛</w:t>
      </w:r>
      <w:r w:rsidR="007C2E49">
        <w:rPr>
          <w:rFonts w:ascii="Traditional Arabic" w:hAnsi="Traditional Arabic" w:hint="cs"/>
          <w:noProof w:val="0"/>
          <w:rtl/>
          <w:lang w:eastAsia="en-US"/>
        </w:rPr>
        <w:t xml:space="preserve"> </w:t>
      </w:r>
      <w:r w:rsidR="005E65EA" w:rsidRPr="007C2E49">
        <w:rPr>
          <w:rFonts w:ascii="Traditional Arabic" w:hAnsi="Traditional Arabic" w:hint="cs"/>
          <w:noProof w:val="0"/>
          <w:rtl/>
          <w:lang w:eastAsia="en-US"/>
        </w:rPr>
        <w:t>لِتَغْريرِهِ بالمشتري</w:t>
      </w:r>
      <w:r w:rsidR="005E65EA" w:rsidRPr="00C821A1">
        <w:rPr>
          <w:rFonts w:ascii="Traditional Arabic" w:hAnsi="Traditional Arabic" w:hint="cs"/>
          <w:b/>
          <w:noProof w:val="0"/>
          <w:szCs w:val="32"/>
          <w:vertAlign w:val="superscript"/>
          <w:rtl/>
          <w:lang w:eastAsia="en-US"/>
        </w:rPr>
        <w:t>(</w:t>
      </w:r>
      <w:r w:rsidR="005E65EA" w:rsidRPr="00C821A1">
        <w:rPr>
          <w:rStyle w:val="af1"/>
          <w:rFonts w:ascii="Traditional Arabic" w:hAnsi="Traditional Arabic"/>
          <w:noProof w:val="0"/>
          <w:szCs w:val="32"/>
          <w:rtl/>
          <w:lang w:eastAsia="en-US"/>
        </w:rPr>
        <w:footnoteReference w:id="887"/>
      </w:r>
      <w:r w:rsidR="005E65EA" w:rsidRPr="00C821A1">
        <w:rPr>
          <w:rFonts w:ascii="Traditional Arabic" w:hAnsi="Traditional Arabic" w:hint="cs"/>
          <w:noProof w:val="0"/>
          <w:szCs w:val="32"/>
          <w:vertAlign w:val="superscript"/>
          <w:rtl/>
          <w:lang w:eastAsia="en-US"/>
        </w:rPr>
        <w:t>)</w:t>
      </w:r>
      <w:r w:rsidR="005E65EA" w:rsidRPr="00FB449C">
        <w:rPr>
          <w:rFonts w:ascii="Traditional Arabic" w:hAnsi="Traditional Arabic" w:hint="cs"/>
          <w:noProof w:val="0"/>
          <w:rtl/>
          <w:lang w:eastAsia="en-US"/>
        </w:rPr>
        <w:t>.</w:t>
      </w:r>
    </w:p>
    <w:p w:rsidR="00F228A9" w:rsidRPr="00AB0AD6" w:rsidRDefault="005E65EA" w:rsidP="000A76C7">
      <w:pPr>
        <w:pStyle w:val="afc"/>
        <w:numPr>
          <w:ilvl w:val="0"/>
          <w:numId w:val="126"/>
        </w:numPr>
        <w:rPr>
          <w:rFonts w:ascii="Traditional Arabic" w:hAnsi="Traditional Arabic"/>
          <w:b/>
          <w:bCs/>
          <w:noProof w:val="0"/>
          <w:rtl/>
          <w:lang w:eastAsia="en-US"/>
        </w:rPr>
      </w:pPr>
      <w:r w:rsidRPr="00AB0AD6">
        <w:rPr>
          <w:rFonts w:ascii="Traditional Arabic" w:hAnsi="Traditional Arabic" w:hint="cs"/>
          <w:noProof w:val="0"/>
          <w:rtl/>
          <w:lang w:eastAsia="en-US"/>
        </w:rPr>
        <w:t>مَن باعَ بثمن مُؤجَّل تَوْلِيَةً</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888"/>
      </w:r>
      <w:r w:rsidRPr="00C821A1">
        <w:rPr>
          <w:rFonts w:ascii="Traditional Arabic" w:hAnsi="Traditional Arabic" w:hint="cs"/>
          <w:noProof w:val="0"/>
          <w:szCs w:val="32"/>
          <w:vertAlign w:val="superscript"/>
          <w:rtl/>
          <w:lang w:eastAsia="en-US"/>
        </w:rPr>
        <w:t>)</w:t>
      </w:r>
      <w:r w:rsidRPr="00AB0AD6">
        <w:rPr>
          <w:rFonts w:ascii="Traditional Arabic" w:hAnsi="Traditional Arabic" w:hint="cs"/>
          <w:noProof w:val="0"/>
          <w:rtl/>
          <w:lang w:eastAsia="en-US"/>
        </w:rPr>
        <w:t>دون أن يُبَيِّن ذلك للمشتري</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889"/>
      </w:r>
      <w:r w:rsidRPr="00C821A1">
        <w:rPr>
          <w:rFonts w:ascii="Traditional Arabic" w:hAnsi="Traditional Arabic" w:hint="cs"/>
          <w:noProof w:val="0"/>
          <w:szCs w:val="32"/>
          <w:vertAlign w:val="superscript"/>
          <w:rtl/>
          <w:lang w:eastAsia="en-US"/>
        </w:rPr>
        <w:t>)</w:t>
      </w:r>
      <w:r w:rsidR="003F0E8F">
        <w:rPr>
          <w:rFonts w:ascii="Traditional Arabic" w:hAnsi="Traditional Arabic" w:hint="cs"/>
          <w:noProof w:val="0"/>
          <w:rtl/>
          <w:lang w:eastAsia="en-US"/>
        </w:rPr>
        <w:t xml:space="preserve">، فإن للمشتري الخِيار في </w:t>
      </w:r>
      <w:r w:rsidRPr="00AB0AD6">
        <w:rPr>
          <w:rFonts w:ascii="Traditional Arabic" w:hAnsi="Traditional Arabic" w:hint="cs"/>
          <w:noProof w:val="0"/>
          <w:rtl/>
          <w:lang w:eastAsia="en-US"/>
        </w:rPr>
        <w:t xml:space="preserve"> إمْساكِ المبيع</w:t>
      </w:r>
      <w:r w:rsidR="00154102">
        <w:rPr>
          <w:rFonts w:ascii="Traditional Arabic" w:hAnsi="Traditional Arabic" w:hint="cs"/>
          <w:noProof w:val="0"/>
          <w:rtl/>
          <w:lang w:eastAsia="en-US"/>
        </w:rPr>
        <w:t xml:space="preserve"> و</w:t>
      </w:r>
      <w:r w:rsidRPr="00AB0AD6">
        <w:rPr>
          <w:rFonts w:ascii="Traditional Arabic" w:hAnsi="Traditional Arabic" w:hint="cs"/>
          <w:noProof w:val="0"/>
          <w:rtl/>
          <w:lang w:eastAsia="en-US"/>
        </w:rPr>
        <w:t>رَدِّه</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890"/>
      </w:r>
      <w:r w:rsidRPr="00C821A1">
        <w:rPr>
          <w:rFonts w:ascii="Traditional Arabic" w:hAnsi="Traditional Arabic" w:hint="cs"/>
          <w:noProof w:val="0"/>
          <w:szCs w:val="32"/>
          <w:vertAlign w:val="superscript"/>
          <w:rtl/>
          <w:lang w:eastAsia="en-US"/>
        </w:rPr>
        <w:t>)</w:t>
      </w:r>
      <w:r w:rsidRPr="00AB0AD6">
        <w:rPr>
          <w:rFonts w:ascii="Traditional Arabic" w:hAnsi="Traditional Arabic" w:hint="cs"/>
          <w:noProof w:val="0"/>
          <w:rtl/>
          <w:lang w:eastAsia="en-US"/>
        </w:rPr>
        <w:t>.</w:t>
      </w:r>
    </w:p>
    <w:p w:rsidR="00065E4B" w:rsidRDefault="005E65EA" w:rsidP="00597C20">
      <w:pPr>
        <w:pStyle w:val="53"/>
        <w:rPr>
          <w:rtl/>
        </w:rPr>
      </w:pPr>
      <w:r>
        <w:rPr>
          <w:rFonts w:hint="cs"/>
          <w:rtl/>
        </w:rPr>
        <w:lastRenderedPageBreak/>
        <w:t>وجه اندراج الفرع تحت القاعدة:</w:t>
      </w:r>
    </w:p>
    <w:p w:rsidR="00B73D0B" w:rsidRDefault="00065E4B" w:rsidP="00597C20">
      <w:pPr>
        <w:widowControl/>
        <w:autoSpaceDE w:val="0"/>
        <w:autoSpaceDN w:val="0"/>
        <w:adjustRightInd w:val="0"/>
        <w:ind w:firstLine="720"/>
        <w:rPr>
          <w:color w:val="auto"/>
          <w:rtl/>
        </w:rPr>
      </w:pPr>
      <w:r>
        <w:rPr>
          <w:rFonts w:ascii="Traditional Arabic" w:hAnsi="Traditional Arabic"/>
          <w:noProof w:val="0"/>
          <w:rtl/>
          <w:lang w:eastAsia="en-US"/>
        </w:rPr>
        <w:t>إ</w:t>
      </w:r>
      <w:r w:rsidR="003F0E8F">
        <w:rPr>
          <w:rFonts w:ascii="Traditional Arabic" w:hAnsi="Traditional Arabic"/>
          <w:noProof w:val="0"/>
          <w:rtl/>
          <w:lang w:eastAsia="en-US"/>
        </w:rPr>
        <w:t>ذا ع</w:t>
      </w:r>
      <w:r w:rsidR="003F0E8F">
        <w:rPr>
          <w:rFonts w:ascii="Traditional Arabic" w:hAnsi="Traditional Arabic" w:hint="cs"/>
          <w:noProof w:val="0"/>
          <w:rtl/>
          <w:lang w:eastAsia="en-US"/>
        </w:rPr>
        <w:t>ُ</w:t>
      </w:r>
      <w:r w:rsidR="003F0E8F">
        <w:rPr>
          <w:rFonts w:ascii="Traditional Arabic" w:hAnsi="Traditional Arabic"/>
          <w:noProof w:val="0"/>
          <w:rtl/>
          <w:lang w:eastAsia="en-US"/>
        </w:rPr>
        <w:t>لم</w:t>
      </w:r>
      <w:r w:rsidR="005E65EA">
        <w:rPr>
          <w:rFonts w:ascii="Traditional Arabic" w:hAnsi="Traditional Arabic"/>
          <w:noProof w:val="0"/>
          <w:rtl/>
          <w:lang w:eastAsia="en-US"/>
        </w:rPr>
        <w:t xml:space="preserve"> </w:t>
      </w:r>
      <w:r w:rsidR="005E65EA" w:rsidRPr="00D9261F">
        <w:rPr>
          <w:rFonts w:ascii="Traditional Arabic" w:hAnsi="Traditional Arabic"/>
          <w:noProof w:val="0"/>
          <w:rtl/>
          <w:lang w:eastAsia="en-US"/>
        </w:rPr>
        <w:t>يقينا</w:t>
      </w:r>
      <w:r w:rsidR="004B1690">
        <w:rPr>
          <w:rFonts w:ascii="Traditional Arabic" w:hAnsi="Traditional Arabic" w:hint="cs"/>
          <w:noProof w:val="0"/>
          <w:rtl/>
          <w:lang w:eastAsia="en-US"/>
        </w:rPr>
        <w:t>ً</w:t>
      </w:r>
      <w:r w:rsidR="005E65EA" w:rsidRPr="00D9261F">
        <w:rPr>
          <w:rFonts w:ascii="Traditional Arabic" w:hAnsi="Traditional Arabic"/>
          <w:noProof w:val="0"/>
          <w:rtl/>
          <w:lang w:eastAsia="en-US"/>
        </w:rPr>
        <w:t xml:space="preserve"> </w:t>
      </w:r>
      <w:r w:rsidR="005E65EA">
        <w:rPr>
          <w:rFonts w:ascii="Traditional Arabic" w:hAnsi="Traditional Arabic"/>
          <w:noProof w:val="0"/>
          <w:rtl/>
          <w:lang w:eastAsia="en-US"/>
        </w:rPr>
        <w:t>أن البائع</w:t>
      </w:r>
      <w:r w:rsidR="005E65EA">
        <w:rPr>
          <w:rFonts w:ascii="Traditional Arabic" w:hAnsi="Traditional Arabic" w:hint="cs"/>
          <w:noProof w:val="0"/>
          <w:rtl/>
          <w:lang w:eastAsia="en-US"/>
        </w:rPr>
        <w:t xml:space="preserve"> قد</w:t>
      </w:r>
      <w:r w:rsidR="004B1690">
        <w:rPr>
          <w:rFonts w:ascii="Traditional Arabic" w:hAnsi="Traditional Arabic" w:hint="cs"/>
          <w:noProof w:val="0"/>
          <w:rtl/>
          <w:lang w:eastAsia="en-US"/>
        </w:rPr>
        <w:t xml:space="preserve"> </w:t>
      </w:r>
      <w:r w:rsidR="005E65EA" w:rsidRPr="007C2E49">
        <w:rPr>
          <w:rFonts w:ascii="Traditional Arabic" w:hAnsi="Traditional Arabic" w:hint="cs"/>
          <w:noProof w:val="0"/>
          <w:rtl/>
          <w:lang w:eastAsia="en-US"/>
        </w:rPr>
        <w:t>غَرَّ المشتري وخَدَعه، فجزاؤه أن يُفْسَد عليه أَمْرُه،</w:t>
      </w:r>
      <w:r w:rsidR="00154102" w:rsidRPr="007C2E49">
        <w:rPr>
          <w:rFonts w:ascii="Traditional Arabic" w:hAnsi="Traditional Arabic" w:hint="cs"/>
          <w:noProof w:val="0"/>
          <w:rtl/>
          <w:lang w:eastAsia="en-US"/>
        </w:rPr>
        <w:t xml:space="preserve"> و</w:t>
      </w:r>
      <w:r w:rsidR="005E65EA" w:rsidRPr="007C2E49">
        <w:rPr>
          <w:rFonts w:ascii="Traditional Arabic" w:hAnsi="Traditional Arabic" w:hint="cs"/>
          <w:noProof w:val="0"/>
          <w:rtl/>
          <w:lang w:eastAsia="en-US"/>
        </w:rPr>
        <w:t>يعامَل بنقيض قصده</w:t>
      </w:r>
      <w:r w:rsidR="004B1690" w:rsidRPr="007C2E49">
        <w:rPr>
          <w:rFonts w:ascii="Traditional Arabic" w:hAnsi="Traditional Arabic" w:hint="cs"/>
          <w:noProof w:val="0"/>
          <w:rtl/>
          <w:lang w:eastAsia="en-US"/>
        </w:rPr>
        <w:t xml:space="preserve"> </w:t>
      </w:r>
      <w:r w:rsidR="005E65EA" w:rsidRPr="007C2E49">
        <w:rPr>
          <w:rFonts w:ascii="Traditional Arabic" w:hAnsi="Traditional Arabic" w:hint="cs"/>
          <w:noProof w:val="0"/>
          <w:rtl/>
          <w:lang w:eastAsia="en-US"/>
        </w:rPr>
        <w:t>السيّء</w:t>
      </w:r>
      <w:r w:rsidR="005E65EA" w:rsidRPr="001814F6">
        <w:rPr>
          <w:rFonts w:ascii="Traditional Arabic" w:hAnsi="Traditional Arabic" w:hint="cs"/>
          <w:noProof w:val="0"/>
          <w:rtl/>
          <w:lang w:eastAsia="en-US"/>
        </w:rPr>
        <w:t>،</w:t>
      </w:r>
      <w:r w:rsidR="00154102">
        <w:rPr>
          <w:rFonts w:ascii="Traditional Arabic" w:hAnsi="Traditional Arabic" w:hint="cs"/>
          <w:noProof w:val="0"/>
          <w:rtl/>
          <w:lang w:eastAsia="en-US"/>
        </w:rPr>
        <w:t xml:space="preserve"> و</w:t>
      </w:r>
      <w:r w:rsidR="005E65EA" w:rsidRPr="001814F6">
        <w:rPr>
          <w:rFonts w:ascii="Traditional Arabic" w:hAnsi="Traditional Arabic" w:hint="cs"/>
          <w:noProof w:val="0"/>
          <w:rtl/>
          <w:lang w:eastAsia="en-US"/>
        </w:rPr>
        <w:t>يُثْبَت الِخيار للمشتري</w:t>
      </w:r>
      <w:r w:rsidR="005E65EA" w:rsidRPr="00C821A1">
        <w:rPr>
          <w:rFonts w:ascii="Traditional Arabic" w:hAnsi="Traditional Arabic" w:hint="cs"/>
          <w:noProof w:val="0"/>
          <w:szCs w:val="32"/>
          <w:vertAlign w:val="superscript"/>
          <w:rtl/>
          <w:lang w:eastAsia="en-US"/>
        </w:rPr>
        <w:t>(</w:t>
      </w:r>
      <w:r w:rsidR="005E65EA" w:rsidRPr="00C821A1">
        <w:rPr>
          <w:rStyle w:val="af1"/>
          <w:rFonts w:ascii="Traditional Arabic" w:hAnsi="Traditional Arabic"/>
          <w:noProof w:val="0"/>
          <w:szCs w:val="32"/>
          <w:rtl/>
          <w:lang w:eastAsia="en-US"/>
        </w:rPr>
        <w:footnoteReference w:id="891"/>
      </w:r>
      <w:r w:rsidR="005E65EA" w:rsidRPr="00C821A1">
        <w:rPr>
          <w:rFonts w:ascii="Traditional Arabic" w:hAnsi="Traditional Arabic" w:hint="cs"/>
          <w:noProof w:val="0"/>
          <w:szCs w:val="32"/>
          <w:vertAlign w:val="superscript"/>
          <w:rtl/>
          <w:lang w:eastAsia="en-US"/>
        </w:rPr>
        <w:t>)</w:t>
      </w:r>
      <w:r w:rsidR="005E65EA" w:rsidRPr="001814F6">
        <w:rPr>
          <w:rFonts w:ascii="Traditional Arabic" w:hAnsi="Traditional Arabic" w:hint="cs"/>
          <w:noProof w:val="0"/>
          <w:rtl/>
          <w:lang w:eastAsia="en-US"/>
        </w:rPr>
        <w:t>.</w:t>
      </w:r>
    </w:p>
    <w:p w:rsidR="00B119BE" w:rsidRDefault="00B119BE" w:rsidP="00597C20">
      <w:pPr>
        <w:widowControl/>
        <w:autoSpaceDE w:val="0"/>
        <w:autoSpaceDN w:val="0"/>
        <w:adjustRightInd w:val="0"/>
        <w:ind w:firstLine="720"/>
        <w:rPr>
          <w:color w:val="auto"/>
          <w:rtl/>
        </w:rPr>
      </w:pPr>
    </w:p>
    <w:p w:rsidR="00B119BE" w:rsidRPr="004B1690" w:rsidRDefault="004B1690" w:rsidP="004B1690">
      <w:pPr>
        <w:widowControl/>
        <w:autoSpaceDE w:val="0"/>
        <w:autoSpaceDN w:val="0"/>
        <w:adjustRightInd w:val="0"/>
        <w:ind w:firstLine="720"/>
        <w:rPr>
          <w:rFonts w:ascii="Traditional Arabic" w:hAnsi="Traditional Arabic"/>
          <w:b/>
          <w:bCs/>
          <w:noProof w:val="0"/>
          <w:rtl/>
          <w:lang w:eastAsia="en-US"/>
        </w:rPr>
      </w:pPr>
      <w:r>
        <w:rPr>
          <w:rFonts w:ascii="Traditional Arabic" w:hAnsi="Traditional Arabic" w:hint="cs"/>
          <w:b/>
          <w:bCs/>
          <w:noProof w:val="0"/>
          <w:rtl/>
          <w:lang w:eastAsia="en-US"/>
        </w:rPr>
        <w:t xml:space="preserve">                               </w:t>
      </w:r>
      <w:r w:rsidR="00B119BE" w:rsidRPr="004B1690">
        <w:rPr>
          <w:rFonts w:ascii="Traditional Arabic" w:hAnsi="Traditional Arabic" w:hint="cs"/>
          <w:b/>
          <w:bCs/>
          <w:noProof w:val="0"/>
          <w:rtl/>
          <w:lang w:eastAsia="en-US"/>
        </w:rPr>
        <w:t>المطلب الخامس:</w:t>
      </w:r>
      <w:r>
        <w:rPr>
          <w:rFonts w:ascii="Traditional Arabic" w:hAnsi="Traditional Arabic" w:hint="cs"/>
          <w:b/>
          <w:bCs/>
          <w:noProof w:val="0"/>
          <w:rtl/>
          <w:lang w:eastAsia="en-US"/>
        </w:rPr>
        <w:t xml:space="preserve">       </w:t>
      </w:r>
    </w:p>
    <w:p w:rsidR="00B119BE" w:rsidRPr="004B1690" w:rsidRDefault="004B1690" w:rsidP="004B1690">
      <w:pPr>
        <w:widowControl/>
        <w:autoSpaceDE w:val="0"/>
        <w:autoSpaceDN w:val="0"/>
        <w:adjustRightInd w:val="0"/>
        <w:ind w:firstLine="720"/>
        <w:rPr>
          <w:rFonts w:ascii="Traditional Arabic" w:hAnsi="Traditional Arabic"/>
          <w:b/>
          <w:bCs/>
          <w:noProof w:val="0"/>
          <w:rtl/>
          <w:lang w:eastAsia="en-US"/>
        </w:rPr>
      </w:pPr>
      <w:r>
        <w:rPr>
          <w:rFonts w:ascii="Traditional Arabic" w:hAnsi="Traditional Arabic" w:hint="cs"/>
          <w:b/>
          <w:bCs/>
          <w:noProof w:val="0"/>
          <w:rtl/>
          <w:lang w:eastAsia="en-US"/>
        </w:rPr>
        <w:t xml:space="preserve">                               </w:t>
      </w:r>
      <w:r w:rsidR="00B119BE" w:rsidRPr="004B1690">
        <w:rPr>
          <w:rFonts w:ascii="Traditional Arabic" w:hAnsi="Traditional Arabic" w:hint="cs"/>
          <w:b/>
          <w:bCs/>
          <w:noProof w:val="0"/>
          <w:rtl/>
          <w:lang w:eastAsia="en-US"/>
        </w:rPr>
        <w:t>مستثنيات القاعدة</w:t>
      </w:r>
    </w:p>
    <w:p w:rsidR="00B119BE" w:rsidRDefault="007C2E49" w:rsidP="001219F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ذكر العلامة ابن نجيم</w:t>
      </w:r>
      <w:r w:rsidR="001219FA">
        <w:rPr>
          <w:rFonts w:ascii="Traditional Arabic" w:hAnsi="Traditional Arabic" w:hint="cs"/>
          <w:noProof w:val="0"/>
          <w:rtl/>
          <w:lang w:eastAsia="en-US"/>
        </w:rPr>
        <w:t xml:space="preserve"> </w:t>
      </w:r>
      <w:r>
        <w:rPr>
          <w:rFonts w:ascii="Traditional Arabic" w:hAnsi="Traditional Arabic" w:hint="cs"/>
          <w:noProof w:val="0"/>
          <w:rtl/>
          <w:lang w:eastAsia="en-US"/>
        </w:rPr>
        <w:t>_</w:t>
      </w:r>
      <w:r w:rsidR="001219FA">
        <w:rPr>
          <w:rFonts w:ascii="Traditional Arabic" w:hAnsi="Traditional Arabic" w:hint="cs"/>
          <w:noProof w:val="0"/>
          <w:rtl/>
          <w:lang w:eastAsia="en-US"/>
        </w:rPr>
        <w:t>رحمه الله</w:t>
      </w:r>
      <w:r>
        <w:rPr>
          <w:rFonts w:ascii="Traditional Arabic" w:hAnsi="Traditional Arabic" w:hint="cs"/>
          <w:noProof w:val="0"/>
          <w:rtl/>
          <w:lang w:eastAsia="en-US"/>
        </w:rPr>
        <w:t>_</w:t>
      </w:r>
      <w:r w:rsidR="001219FA">
        <w:rPr>
          <w:rFonts w:ascii="Traditional Arabic" w:hAnsi="Traditional Arabic" w:hint="cs"/>
          <w:noProof w:val="0"/>
          <w:rtl/>
          <w:lang w:eastAsia="en-US"/>
        </w:rPr>
        <w:t xml:space="preserve"> أنه تخرُج عن هذه القاعدة جملة من المسائل، منها:</w:t>
      </w:r>
    </w:p>
    <w:p w:rsidR="001219FA" w:rsidRPr="001219FA" w:rsidRDefault="001219FA" w:rsidP="001219FA">
      <w:pPr>
        <w:widowControl/>
        <w:autoSpaceDE w:val="0"/>
        <w:autoSpaceDN w:val="0"/>
        <w:adjustRightInd w:val="0"/>
        <w:ind w:firstLine="0"/>
        <w:jc w:val="left"/>
        <w:rPr>
          <w:rFonts w:ascii="Traditional Arabic" w:hAnsi="Traditional Arabic"/>
          <w:noProof w:val="0"/>
          <w:rtl/>
          <w:lang w:eastAsia="en-US"/>
        </w:rPr>
      </w:pPr>
      <w:r w:rsidRPr="001219FA">
        <w:rPr>
          <w:rFonts w:ascii="Traditional Arabic" w:hAnsi="Traditional Arabic" w:hint="cs"/>
          <w:noProof w:val="0"/>
          <w:rtl/>
          <w:lang w:eastAsia="en-US"/>
        </w:rPr>
        <w:t xml:space="preserve">    </w:t>
      </w:r>
      <w:r w:rsidRPr="001219FA">
        <w:rPr>
          <w:rFonts w:ascii="Traditional Arabic" w:hAnsi="Traditional Arabic"/>
          <w:noProof w:val="0"/>
          <w:rtl/>
          <w:lang w:eastAsia="en-US"/>
        </w:rPr>
        <w:t>ال</w:t>
      </w:r>
      <w:r w:rsidRPr="001219FA">
        <w:rPr>
          <w:rFonts w:ascii="Traditional Arabic" w:hAnsi="Traditional Arabic" w:hint="cs"/>
          <w:noProof w:val="0"/>
          <w:rtl/>
          <w:lang w:eastAsia="en-US"/>
        </w:rPr>
        <w:t>أولى</w:t>
      </w:r>
      <w:r w:rsidRPr="001219FA">
        <w:rPr>
          <w:rFonts w:ascii="Traditional Arabic" w:hAnsi="Traditional Arabic"/>
          <w:noProof w:val="0"/>
          <w:rtl/>
          <w:lang w:eastAsia="en-US"/>
        </w:rPr>
        <w:t xml:space="preserve"> : لو قتل صاحب</w:t>
      </w:r>
      <w:r w:rsidR="003F0E8F">
        <w:rPr>
          <w:rFonts w:ascii="Traditional Arabic" w:hAnsi="Traditional Arabic" w:hint="cs"/>
          <w:noProof w:val="0"/>
          <w:rtl/>
          <w:lang w:eastAsia="en-US"/>
        </w:rPr>
        <w:t>ُ</w:t>
      </w:r>
      <w:r w:rsidRPr="001219FA">
        <w:rPr>
          <w:rFonts w:ascii="Traditional Arabic" w:hAnsi="Traditional Arabic"/>
          <w:noProof w:val="0"/>
          <w:rtl/>
          <w:lang w:eastAsia="en-US"/>
        </w:rPr>
        <w:t xml:space="preserve"> الدين المديون حل</w:t>
      </w:r>
      <w:r>
        <w:rPr>
          <w:rFonts w:ascii="Traditional Arabic" w:hAnsi="Traditional Arabic" w:hint="cs"/>
          <w:noProof w:val="0"/>
          <w:rtl/>
          <w:lang w:eastAsia="en-US"/>
        </w:rPr>
        <w:t>َّ</w:t>
      </w:r>
      <w:r w:rsidRPr="001219FA">
        <w:rPr>
          <w:rFonts w:ascii="Traditional Arabic" w:hAnsi="Traditional Arabic"/>
          <w:noProof w:val="0"/>
          <w:rtl/>
          <w:lang w:eastAsia="en-US"/>
        </w:rPr>
        <w:t xml:space="preserve"> دين</w:t>
      </w:r>
      <w:r>
        <w:rPr>
          <w:rFonts w:ascii="Traditional Arabic" w:hAnsi="Traditional Arabic" w:hint="cs"/>
          <w:noProof w:val="0"/>
          <w:rtl/>
          <w:lang w:eastAsia="en-US"/>
        </w:rPr>
        <w:t>ُ</w:t>
      </w:r>
      <w:r w:rsidRPr="001219FA">
        <w:rPr>
          <w:rFonts w:ascii="Traditional Arabic" w:hAnsi="Traditional Arabic"/>
          <w:noProof w:val="0"/>
          <w:rtl/>
          <w:lang w:eastAsia="en-US"/>
        </w:rPr>
        <w:t>ه</w:t>
      </w:r>
      <w:r>
        <w:rPr>
          <w:rFonts w:ascii="Traditional Arabic" w:hAnsi="Traditional Arabic" w:hint="cs"/>
          <w:noProof w:val="0"/>
          <w:rtl/>
          <w:lang w:eastAsia="en-US"/>
        </w:rPr>
        <w:t>.</w:t>
      </w:r>
    </w:p>
    <w:p w:rsidR="001219FA" w:rsidRPr="001219FA" w:rsidRDefault="001219FA" w:rsidP="001219F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1219FA">
        <w:rPr>
          <w:rFonts w:ascii="Traditional Arabic" w:hAnsi="Traditional Arabic"/>
          <w:noProof w:val="0"/>
          <w:rtl/>
          <w:lang w:eastAsia="en-US"/>
        </w:rPr>
        <w:t>ال</w:t>
      </w:r>
      <w:r w:rsidRPr="001219FA">
        <w:rPr>
          <w:rFonts w:ascii="Traditional Arabic" w:hAnsi="Traditional Arabic" w:hint="cs"/>
          <w:noProof w:val="0"/>
          <w:rtl/>
          <w:lang w:eastAsia="en-US"/>
        </w:rPr>
        <w:t>ثانية</w:t>
      </w:r>
      <w:r w:rsidRPr="001219FA">
        <w:rPr>
          <w:rFonts w:ascii="Traditional Arabic" w:hAnsi="Traditional Arabic"/>
          <w:noProof w:val="0"/>
          <w:rtl/>
          <w:lang w:eastAsia="en-US"/>
        </w:rPr>
        <w:t xml:space="preserve"> : </w:t>
      </w:r>
      <w:r>
        <w:rPr>
          <w:rFonts w:ascii="Traditional Arabic" w:hAnsi="Traditional Arabic" w:hint="cs"/>
          <w:noProof w:val="0"/>
          <w:rtl/>
          <w:lang w:eastAsia="en-US"/>
        </w:rPr>
        <w:t xml:space="preserve">لو </w:t>
      </w:r>
      <w:r w:rsidRPr="001219FA">
        <w:rPr>
          <w:rFonts w:ascii="Traditional Arabic" w:hAnsi="Traditional Arabic"/>
          <w:noProof w:val="0"/>
          <w:rtl/>
          <w:lang w:eastAsia="en-US"/>
        </w:rPr>
        <w:t xml:space="preserve">أمسك </w:t>
      </w:r>
      <w:r>
        <w:rPr>
          <w:rFonts w:ascii="Traditional Arabic" w:hAnsi="Traditional Arabic" w:hint="cs"/>
          <w:noProof w:val="0"/>
          <w:rtl/>
          <w:lang w:eastAsia="en-US"/>
        </w:rPr>
        <w:t xml:space="preserve">الرجل </w:t>
      </w:r>
      <w:r w:rsidRPr="001219FA">
        <w:rPr>
          <w:rFonts w:ascii="Traditional Arabic" w:hAnsi="Traditional Arabic"/>
          <w:noProof w:val="0"/>
          <w:rtl/>
          <w:lang w:eastAsia="en-US"/>
        </w:rPr>
        <w:t>زوجته م</w:t>
      </w:r>
      <w:r>
        <w:rPr>
          <w:rFonts w:ascii="Traditional Arabic" w:hAnsi="Traditional Arabic" w:hint="cs"/>
          <w:noProof w:val="0"/>
          <w:rtl/>
          <w:lang w:eastAsia="en-US"/>
        </w:rPr>
        <w:t>ُ</w:t>
      </w:r>
      <w:r w:rsidRPr="001219FA">
        <w:rPr>
          <w:rFonts w:ascii="Traditional Arabic" w:hAnsi="Traditional Arabic"/>
          <w:noProof w:val="0"/>
          <w:rtl/>
          <w:lang w:eastAsia="en-US"/>
        </w:rPr>
        <w:t>سيئا</w:t>
      </w:r>
      <w:r>
        <w:rPr>
          <w:rFonts w:ascii="Traditional Arabic" w:hAnsi="Traditional Arabic" w:hint="cs"/>
          <w:noProof w:val="0"/>
          <w:rtl/>
          <w:lang w:eastAsia="en-US"/>
        </w:rPr>
        <w:t>ً</w:t>
      </w:r>
      <w:r w:rsidRPr="001219FA">
        <w:rPr>
          <w:rFonts w:ascii="Traditional Arabic" w:hAnsi="Traditional Arabic"/>
          <w:noProof w:val="0"/>
          <w:rtl/>
          <w:lang w:eastAsia="en-US"/>
        </w:rPr>
        <w:t xml:space="preserve"> ع</w:t>
      </w:r>
      <w:r>
        <w:rPr>
          <w:rFonts w:ascii="Traditional Arabic" w:hAnsi="Traditional Arabic" w:hint="cs"/>
          <w:noProof w:val="0"/>
          <w:rtl/>
          <w:lang w:eastAsia="en-US"/>
        </w:rPr>
        <w:t>ِ</w:t>
      </w:r>
      <w:r w:rsidRPr="001219FA">
        <w:rPr>
          <w:rFonts w:ascii="Traditional Arabic" w:hAnsi="Traditional Arabic"/>
          <w:noProof w:val="0"/>
          <w:rtl/>
          <w:lang w:eastAsia="en-US"/>
        </w:rPr>
        <w:t>شرتها لأجل إرثها و</w:t>
      </w:r>
      <w:r>
        <w:rPr>
          <w:rFonts w:ascii="Traditional Arabic" w:hAnsi="Traditional Arabic" w:hint="cs"/>
          <w:noProof w:val="0"/>
          <w:rtl/>
          <w:lang w:eastAsia="en-US"/>
        </w:rPr>
        <w:t>َ</w:t>
      </w:r>
      <w:r w:rsidRPr="001219FA">
        <w:rPr>
          <w:rFonts w:ascii="Traditional Arabic" w:hAnsi="Traditional Arabic"/>
          <w:noProof w:val="0"/>
          <w:rtl/>
          <w:lang w:eastAsia="en-US"/>
        </w:rPr>
        <w:t>ر</w:t>
      </w:r>
      <w:r>
        <w:rPr>
          <w:rFonts w:ascii="Traditional Arabic" w:hAnsi="Traditional Arabic" w:hint="cs"/>
          <w:noProof w:val="0"/>
          <w:rtl/>
          <w:lang w:eastAsia="en-US"/>
        </w:rPr>
        <w:t>ِ</w:t>
      </w:r>
      <w:r>
        <w:rPr>
          <w:rFonts w:ascii="Traditional Arabic" w:hAnsi="Traditional Arabic"/>
          <w:noProof w:val="0"/>
          <w:rtl/>
          <w:lang w:eastAsia="en-US"/>
        </w:rPr>
        <w:t>ثها</w:t>
      </w:r>
      <w:r w:rsidRPr="001219FA">
        <w:rPr>
          <w:rFonts w:ascii="Traditional Arabic" w:hAnsi="Traditional Arabic"/>
          <w:noProof w:val="0"/>
          <w:rtl/>
          <w:lang w:eastAsia="en-US"/>
        </w:rPr>
        <w:t>.</w:t>
      </w:r>
    </w:p>
    <w:p w:rsidR="001219FA" w:rsidRPr="001219FA" w:rsidRDefault="001219FA" w:rsidP="001219FA">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Pr="001219FA">
        <w:rPr>
          <w:rFonts w:ascii="Traditional Arabic" w:hAnsi="Traditional Arabic"/>
          <w:noProof w:val="0"/>
          <w:rtl/>
          <w:lang w:eastAsia="en-US"/>
        </w:rPr>
        <w:t>ال</w:t>
      </w:r>
      <w:r w:rsidRPr="001219FA">
        <w:rPr>
          <w:rFonts w:ascii="Traditional Arabic" w:hAnsi="Traditional Arabic" w:hint="cs"/>
          <w:noProof w:val="0"/>
          <w:rtl/>
          <w:lang w:eastAsia="en-US"/>
        </w:rPr>
        <w:t>ثالثة</w:t>
      </w:r>
      <w:r w:rsidRPr="001219FA">
        <w:rPr>
          <w:rFonts w:ascii="Traditional Arabic" w:hAnsi="Traditional Arabic"/>
          <w:noProof w:val="0"/>
          <w:rtl/>
          <w:lang w:eastAsia="en-US"/>
        </w:rPr>
        <w:t xml:space="preserve"> : </w:t>
      </w:r>
      <w:r>
        <w:rPr>
          <w:rFonts w:ascii="Traditional Arabic" w:hAnsi="Traditional Arabic" w:hint="cs"/>
          <w:noProof w:val="0"/>
          <w:rtl/>
          <w:lang w:eastAsia="en-US"/>
        </w:rPr>
        <w:t xml:space="preserve">ولو </w:t>
      </w:r>
      <w:r>
        <w:rPr>
          <w:rFonts w:ascii="Traditional Arabic" w:hAnsi="Traditional Arabic"/>
          <w:noProof w:val="0"/>
          <w:rtl/>
          <w:lang w:eastAsia="en-US"/>
        </w:rPr>
        <w:t>أمسكها</w:t>
      </w:r>
      <w:r w:rsidRPr="001219FA">
        <w:rPr>
          <w:rFonts w:ascii="Traditional Arabic" w:hAnsi="Traditional Arabic"/>
          <w:noProof w:val="0"/>
          <w:rtl/>
          <w:lang w:eastAsia="en-US"/>
        </w:rPr>
        <w:t xml:space="preserve"> لأجل الخ</w:t>
      </w:r>
      <w:r>
        <w:rPr>
          <w:rFonts w:ascii="Traditional Arabic" w:hAnsi="Traditional Arabic" w:hint="cs"/>
          <w:noProof w:val="0"/>
          <w:rtl/>
          <w:lang w:eastAsia="en-US"/>
        </w:rPr>
        <w:t>ُ</w:t>
      </w:r>
      <w:r w:rsidRPr="001219FA">
        <w:rPr>
          <w:rFonts w:ascii="Traditional Arabic" w:hAnsi="Traditional Arabic"/>
          <w:noProof w:val="0"/>
          <w:rtl/>
          <w:lang w:eastAsia="en-US"/>
        </w:rPr>
        <w:t>لع نفذ</w:t>
      </w:r>
      <w:r>
        <w:rPr>
          <w:rFonts w:ascii="Traditional Arabic" w:hAnsi="Traditional Arabic" w:hint="cs"/>
          <w:noProof w:val="0"/>
          <w:rtl/>
          <w:lang w:eastAsia="en-US"/>
        </w:rPr>
        <w:t xml:space="preserve"> الخلع.</w:t>
      </w:r>
    </w:p>
    <w:p w:rsidR="001219FA" w:rsidRPr="001219FA" w:rsidRDefault="001219FA" w:rsidP="001219FA">
      <w:pPr>
        <w:widowControl/>
        <w:autoSpaceDE w:val="0"/>
        <w:autoSpaceDN w:val="0"/>
        <w:adjustRightInd w:val="0"/>
        <w:ind w:firstLine="0"/>
        <w:jc w:val="left"/>
        <w:rPr>
          <w:rFonts w:ascii="Traditional Arabic" w:hAnsi="Traditional Arabic"/>
          <w:noProof w:val="0"/>
          <w:lang w:eastAsia="en-US"/>
        </w:rPr>
      </w:pPr>
      <w:r>
        <w:rPr>
          <w:rFonts w:ascii="Traditional Arabic" w:hAnsi="Traditional Arabic" w:hint="cs"/>
          <w:noProof w:val="0"/>
          <w:rtl/>
          <w:lang w:eastAsia="en-US"/>
        </w:rPr>
        <w:t xml:space="preserve">    </w:t>
      </w:r>
      <w:r w:rsidRPr="001219FA">
        <w:rPr>
          <w:rFonts w:ascii="Traditional Arabic" w:hAnsi="Traditional Arabic"/>
          <w:noProof w:val="0"/>
          <w:rtl/>
          <w:lang w:eastAsia="en-US"/>
        </w:rPr>
        <w:t>ال</w:t>
      </w:r>
      <w:r w:rsidRPr="001219FA">
        <w:rPr>
          <w:rFonts w:ascii="Traditional Arabic" w:hAnsi="Traditional Arabic" w:hint="cs"/>
          <w:noProof w:val="0"/>
          <w:rtl/>
          <w:lang w:eastAsia="en-US"/>
        </w:rPr>
        <w:t>رابع</w:t>
      </w:r>
      <w:r w:rsidRPr="001219FA">
        <w:rPr>
          <w:rFonts w:ascii="Traditional Arabic" w:hAnsi="Traditional Arabic"/>
          <w:noProof w:val="0"/>
          <w:rtl/>
          <w:lang w:eastAsia="en-US"/>
        </w:rPr>
        <w:t xml:space="preserve">ة : </w:t>
      </w:r>
      <w:r>
        <w:rPr>
          <w:rFonts w:ascii="Traditional Arabic" w:hAnsi="Traditional Arabic" w:hint="cs"/>
          <w:noProof w:val="0"/>
          <w:rtl/>
          <w:lang w:eastAsia="en-US"/>
        </w:rPr>
        <w:t xml:space="preserve">إذا </w:t>
      </w:r>
      <w:r w:rsidRPr="001219FA">
        <w:rPr>
          <w:rFonts w:ascii="Traditional Arabic" w:hAnsi="Traditional Arabic"/>
          <w:noProof w:val="0"/>
          <w:rtl/>
          <w:lang w:eastAsia="en-US"/>
        </w:rPr>
        <w:t xml:space="preserve">شربت </w:t>
      </w:r>
      <w:r>
        <w:rPr>
          <w:rFonts w:ascii="Traditional Arabic" w:hAnsi="Traditional Arabic" w:hint="cs"/>
          <w:noProof w:val="0"/>
          <w:rtl/>
          <w:lang w:eastAsia="en-US"/>
        </w:rPr>
        <w:t xml:space="preserve">المرأة </w:t>
      </w:r>
      <w:r w:rsidRPr="001219FA">
        <w:rPr>
          <w:rFonts w:ascii="Traditional Arabic" w:hAnsi="Traditional Arabic"/>
          <w:noProof w:val="0"/>
          <w:rtl/>
          <w:lang w:eastAsia="en-US"/>
        </w:rPr>
        <w:t>دواء</w:t>
      </w:r>
      <w:r>
        <w:rPr>
          <w:rFonts w:ascii="Traditional Arabic" w:hAnsi="Traditional Arabic" w:hint="cs"/>
          <w:noProof w:val="0"/>
          <w:rtl/>
          <w:lang w:eastAsia="en-US"/>
        </w:rPr>
        <w:t>ً</w:t>
      </w:r>
      <w:r w:rsidRPr="001219FA">
        <w:rPr>
          <w:rFonts w:ascii="Traditional Arabic" w:hAnsi="Traditional Arabic"/>
          <w:noProof w:val="0"/>
          <w:rtl/>
          <w:lang w:eastAsia="en-US"/>
        </w:rPr>
        <w:t xml:space="preserve"> فحاضت</w:t>
      </w:r>
      <w:r>
        <w:rPr>
          <w:rFonts w:ascii="Traditional Arabic" w:hAnsi="Traditional Arabic" w:hint="cs"/>
          <w:noProof w:val="0"/>
          <w:rtl/>
          <w:lang w:eastAsia="en-US"/>
        </w:rPr>
        <w:t>،</w:t>
      </w:r>
      <w:r w:rsidRPr="001219FA">
        <w:rPr>
          <w:rFonts w:ascii="Traditional Arabic" w:hAnsi="Traditional Arabic"/>
          <w:noProof w:val="0"/>
          <w:rtl/>
          <w:lang w:eastAsia="en-US"/>
        </w:rPr>
        <w:t xml:space="preserve"> لم تقض</w:t>
      </w:r>
      <w:r>
        <w:rPr>
          <w:rFonts w:ascii="Traditional Arabic" w:hAnsi="Traditional Arabic" w:hint="cs"/>
          <w:noProof w:val="0"/>
          <w:rtl/>
          <w:lang w:eastAsia="en-US"/>
        </w:rPr>
        <w:t>ِ</w:t>
      </w:r>
      <w:r w:rsidRPr="001219FA">
        <w:rPr>
          <w:rFonts w:ascii="Traditional Arabic" w:hAnsi="Traditional Arabic"/>
          <w:noProof w:val="0"/>
          <w:rtl/>
          <w:lang w:eastAsia="en-US"/>
        </w:rPr>
        <w:t xml:space="preserve"> الصلوات</w:t>
      </w:r>
      <w:r>
        <w:rPr>
          <w:rFonts w:ascii="Traditional Arabic" w:hAnsi="Traditional Arabic" w:hint="cs"/>
          <w:noProof w:val="0"/>
          <w:rtl/>
          <w:lang w:eastAsia="en-US"/>
        </w:rPr>
        <w:t xml:space="preserve"> التي لم تصلِّها لمانع الحيض</w:t>
      </w:r>
      <w:r w:rsidRPr="001219FA">
        <w:rPr>
          <w:rFonts w:ascii="Traditional Arabic" w:hAnsi="Traditional Arabic" w:hint="cs"/>
          <w:noProof w:val="0"/>
          <w:vertAlign w:val="superscript"/>
          <w:rtl/>
          <w:lang w:eastAsia="en-US"/>
        </w:rPr>
        <w:t>(</w:t>
      </w:r>
      <w:r w:rsidRPr="001219FA">
        <w:rPr>
          <w:rStyle w:val="af1"/>
          <w:rFonts w:ascii="Traditional Arabic" w:hAnsi="Traditional Arabic"/>
          <w:noProof w:val="0"/>
          <w:rtl/>
          <w:lang w:eastAsia="en-US"/>
        </w:rPr>
        <w:footnoteReference w:id="892"/>
      </w:r>
      <w:r w:rsidRPr="001219FA">
        <w:rPr>
          <w:rFonts w:ascii="Traditional Arabic" w:hAnsi="Traditional Arabic" w:hint="cs"/>
          <w:noProof w:val="0"/>
          <w:vertAlign w:val="superscript"/>
          <w:rtl/>
          <w:lang w:eastAsia="en-US"/>
        </w:rPr>
        <w:t>)</w:t>
      </w:r>
      <w:r>
        <w:rPr>
          <w:rFonts w:ascii="Traditional Arabic" w:hAnsi="Traditional Arabic" w:hint="cs"/>
          <w:noProof w:val="0"/>
          <w:rtl/>
          <w:lang w:eastAsia="en-US"/>
        </w:rPr>
        <w:t>.</w:t>
      </w:r>
    </w:p>
    <w:p w:rsidR="00B119BE" w:rsidRDefault="00B119BE" w:rsidP="00597C20">
      <w:pPr>
        <w:widowControl/>
        <w:autoSpaceDE w:val="0"/>
        <w:autoSpaceDN w:val="0"/>
        <w:adjustRightInd w:val="0"/>
        <w:ind w:firstLine="720"/>
        <w:rPr>
          <w:color w:val="auto"/>
          <w:rtl/>
        </w:rPr>
      </w:pPr>
    </w:p>
    <w:p w:rsidR="00B73D0B" w:rsidRPr="005F53FF" w:rsidRDefault="00B73D0B" w:rsidP="00597C20">
      <w:pPr>
        <w:pStyle w:val="aff0"/>
        <w:rPr>
          <w:rtl/>
        </w:rPr>
      </w:pPr>
      <w:bookmarkStart w:id="171" w:name="_Toc334046408"/>
      <w:r w:rsidRPr="005F53FF">
        <w:rPr>
          <w:rFonts w:hint="cs"/>
          <w:rtl/>
        </w:rPr>
        <w:lastRenderedPageBreak/>
        <w:t>الفصل الرابع</w:t>
      </w:r>
      <w:r w:rsidRPr="005F53FF">
        <w:rPr>
          <w:rFonts w:hint="eastAsia"/>
          <w:rtl/>
        </w:rPr>
        <w:t> :</w:t>
      </w:r>
      <w:r w:rsidRPr="005F53FF">
        <w:rPr>
          <w:rFonts w:hint="cs"/>
          <w:rtl/>
        </w:rPr>
        <w:t>القواعد المتعلقة بالضرر</w:t>
      </w:r>
      <w:bookmarkEnd w:id="171"/>
    </w:p>
    <w:p w:rsidR="00B73D0B" w:rsidRPr="002D7A92" w:rsidRDefault="00B73D0B"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ثلاثة مباحث:</w:t>
      </w:r>
    </w:p>
    <w:p w:rsidR="00B73D0B" w:rsidRDefault="00B73D0B"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قاعدة لا ضرر ولا ضرار.</w:t>
      </w:r>
    </w:p>
    <w:p w:rsidR="00B73D0B" w:rsidRPr="00031790" w:rsidRDefault="00B73D0B" w:rsidP="00597C20">
      <w:pPr>
        <w:tabs>
          <w:tab w:val="left" w:pos="2833"/>
        </w:tabs>
        <w:ind w:left="2833" w:hanging="2268"/>
        <w:jc w:val="left"/>
        <w:rPr>
          <w:rtl/>
        </w:rPr>
      </w:pPr>
      <w:r w:rsidRPr="00FD5687">
        <w:rPr>
          <w:rFonts w:hint="cs"/>
          <w:b/>
          <w:bCs/>
          <w:rtl/>
        </w:rPr>
        <w:t>المبحث الثاني:</w:t>
      </w:r>
      <w:r w:rsidR="002F34AD">
        <w:rPr>
          <w:rFonts w:hint="cs"/>
          <w:rtl/>
        </w:rPr>
        <w:tab/>
      </w:r>
      <w:r w:rsidRPr="00031790">
        <w:rPr>
          <w:rFonts w:hint="cs"/>
          <w:rtl/>
        </w:rPr>
        <w:t>قاعدة كل مدفوع لأذاه فلا حرمة له</w:t>
      </w:r>
      <w:r w:rsidR="00B76414" w:rsidRPr="00031790">
        <w:rPr>
          <w:rFonts w:hint="cs"/>
          <w:rtl/>
        </w:rPr>
        <w:t>،</w:t>
      </w:r>
      <w:r w:rsidRPr="00031790">
        <w:rPr>
          <w:rFonts w:hint="cs"/>
          <w:rtl/>
        </w:rPr>
        <w:t xml:space="preserve"> وكل ما أبيح لصوله فإنه يدفع بالأسهل فالأسهل.</w:t>
      </w:r>
    </w:p>
    <w:p w:rsidR="00B73D0B" w:rsidRPr="00031790" w:rsidRDefault="00B73D0B" w:rsidP="00597C20">
      <w:pPr>
        <w:tabs>
          <w:tab w:val="left" w:pos="2833"/>
        </w:tabs>
        <w:ind w:left="2833" w:hanging="2268"/>
        <w:jc w:val="left"/>
        <w:rPr>
          <w:rtl/>
        </w:rPr>
      </w:pPr>
      <w:r w:rsidRPr="00FD5687">
        <w:rPr>
          <w:rFonts w:hint="cs"/>
          <w:b/>
          <w:bCs/>
          <w:rtl/>
        </w:rPr>
        <w:t>المبحث الثالث:</w:t>
      </w:r>
      <w:r w:rsidR="002F34AD">
        <w:rPr>
          <w:rFonts w:hint="cs"/>
          <w:rtl/>
        </w:rPr>
        <w:tab/>
      </w:r>
      <w:r w:rsidRPr="00031790">
        <w:rPr>
          <w:rFonts w:hint="cs"/>
          <w:rtl/>
        </w:rPr>
        <w:t xml:space="preserve">قاعدة </w:t>
      </w:r>
      <w:r w:rsidR="00C0438C">
        <w:rPr>
          <w:rFonts w:hint="cs"/>
          <w:rtl/>
        </w:rPr>
        <w:t>إذا تضمن العقد ضرراً على أحد الطرفين، فإن العقود الجائزة تنقلب لازمة، درءاً للضرر</w:t>
      </w:r>
      <w:r w:rsidRPr="00031790">
        <w:rPr>
          <w:rFonts w:hint="cs"/>
          <w:rtl/>
        </w:rPr>
        <w:t>.</w:t>
      </w:r>
    </w:p>
    <w:p w:rsidR="00F665A6" w:rsidRPr="00C85F0F" w:rsidRDefault="00F665A6" w:rsidP="000F5C0F">
      <w:pPr>
        <w:pStyle w:val="aff2"/>
        <w:rPr>
          <w:rtl/>
        </w:rPr>
      </w:pPr>
      <w:bookmarkStart w:id="172" w:name="_Toc334046409"/>
      <w:r w:rsidRPr="00F665A6">
        <w:rPr>
          <w:rFonts w:hint="cs"/>
          <w:rtl/>
        </w:rPr>
        <w:lastRenderedPageBreak/>
        <w:t>المبحث الأول</w:t>
      </w:r>
      <w:r>
        <w:rPr>
          <w:rFonts w:hint="eastAsia"/>
          <w:rtl/>
        </w:rPr>
        <w:t> :</w:t>
      </w:r>
      <w:r>
        <w:rPr>
          <w:rtl/>
        </w:rPr>
        <w:br/>
      </w:r>
      <w:r w:rsidRPr="00F665A6">
        <w:rPr>
          <w:rFonts w:hint="cs"/>
          <w:rtl/>
        </w:rPr>
        <w:t>قاعدة</w:t>
      </w:r>
      <w:r>
        <w:rPr>
          <w:rtl/>
        </w:rPr>
        <w:br/>
      </w:r>
      <w:r>
        <w:rPr>
          <w:rFonts w:hint="cs"/>
          <w:rtl/>
        </w:rPr>
        <w:t>"</w:t>
      </w:r>
      <w:r w:rsidRPr="00F665A6">
        <w:rPr>
          <w:rFonts w:hint="cs"/>
          <w:rtl/>
        </w:rPr>
        <w:t>لا ض</w:t>
      </w:r>
      <w:r w:rsidRPr="00F665A6">
        <w:rPr>
          <w:rtl/>
        </w:rPr>
        <w:t>َ</w:t>
      </w:r>
      <w:r w:rsidRPr="00F665A6">
        <w:rPr>
          <w:rFonts w:hint="cs"/>
          <w:rtl/>
        </w:rPr>
        <w:t>ر</w:t>
      </w:r>
      <w:r w:rsidRPr="00F665A6">
        <w:rPr>
          <w:rtl/>
        </w:rPr>
        <w:t>َ</w:t>
      </w:r>
      <w:r w:rsidRPr="00F665A6">
        <w:rPr>
          <w:rFonts w:hint="cs"/>
          <w:rtl/>
        </w:rPr>
        <w:t>ر</w:t>
      </w:r>
      <w:r w:rsidR="00154102">
        <w:rPr>
          <w:rFonts w:hint="cs"/>
          <w:rtl/>
        </w:rPr>
        <w:t xml:space="preserve"> و</w:t>
      </w:r>
      <w:r w:rsidRPr="00F665A6">
        <w:rPr>
          <w:rFonts w:hint="cs"/>
          <w:rtl/>
        </w:rPr>
        <w:t>لا ض</w:t>
      </w:r>
      <w:r w:rsidRPr="00F665A6">
        <w:rPr>
          <w:rtl/>
        </w:rPr>
        <w:t>ِ</w:t>
      </w:r>
      <w:r w:rsidRPr="00F665A6">
        <w:rPr>
          <w:rFonts w:hint="cs"/>
          <w:rtl/>
        </w:rPr>
        <w:t>ر</w:t>
      </w:r>
      <w:r w:rsidRPr="00F665A6">
        <w:rPr>
          <w:rtl/>
        </w:rPr>
        <w:t>َ</w:t>
      </w:r>
      <w:r w:rsidRPr="00F665A6">
        <w:rPr>
          <w:rFonts w:hint="cs"/>
          <w:rtl/>
        </w:rPr>
        <w:t>ار</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لاضَرَرولاضِرَار</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bookmarkEnd w:id="172"/>
      <w:r w:rsidR="000A7B75" w:rsidRPr="000A7B75">
        <w:rPr>
          <w:rFonts w:hint="cs"/>
          <w:vertAlign w:val="superscript"/>
          <w:rtl/>
        </w:rPr>
        <w:t>(</w:t>
      </w:r>
      <w:r w:rsidR="000A7B75" w:rsidRPr="000A7B75">
        <w:rPr>
          <w:rStyle w:val="af1"/>
          <w:rtl/>
        </w:rPr>
        <w:footnoteReference w:id="893"/>
      </w:r>
      <w:r w:rsidR="000A7B75" w:rsidRPr="000A7B75">
        <w:rPr>
          <w:rFonts w:hint="cs"/>
          <w:vertAlign w:val="superscript"/>
          <w:rtl/>
        </w:rPr>
        <w:t>)</w:t>
      </w:r>
    </w:p>
    <w:p w:rsidR="00F665A6" w:rsidRPr="00C85F0F" w:rsidRDefault="008F1B7F" w:rsidP="00A8347C">
      <w:pPr>
        <w:pStyle w:val="aff3"/>
        <w:rPr>
          <w:rtl/>
        </w:rPr>
      </w:pPr>
      <w:bookmarkStart w:id="173" w:name="_Toc334046410"/>
      <w:r>
        <w:rPr>
          <w:rFonts w:hint="cs"/>
          <w:rtl/>
        </w:rPr>
        <w:t xml:space="preserve">                                          </w:t>
      </w:r>
      <w:r w:rsidR="00F665A6" w:rsidRPr="00C85F0F">
        <w:rPr>
          <w:rFonts w:hint="cs"/>
          <w:rtl/>
        </w:rPr>
        <w:t>المطلب الأول:</w:t>
      </w:r>
      <w:r w:rsidR="00F665A6" w:rsidRPr="00C85F0F">
        <w:rPr>
          <w:rtl/>
        </w:rPr>
        <w:br/>
      </w:r>
      <w:r>
        <w:rPr>
          <w:rFonts w:hint="cs"/>
          <w:rtl/>
        </w:rPr>
        <w:t xml:space="preserve">                       </w:t>
      </w:r>
      <w:r w:rsidR="00F665A6" w:rsidRPr="00C85F0F">
        <w:rPr>
          <w:rFonts w:hint="cs"/>
          <w:rtl/>
        </w:rPr>
        <w:t>صيغ القاعدة عند الشيخ وعند علماء القواعد</w:t>
      </w:r>
      <w:bookmarkEnd w:id="173"/>
    </w:p>
    <w:p w:rsidR="000A7B75" w:rsidRDefault="00F665A6" w:rsidP="007C2E49">
      <w:pPr>
        <w:rPr>
          <w:rtl/>
        </w:rPr>
      </w:pPr>
      <w:r w:rsidRPr="00C85F0F">
        <w:rPr>
          <w:rFonts w:hint="cs"/>
          <w:rtl/>
        </w:rPr>
        <w:t xml:space="preserve">وردت هذه الصيغة عند الشيخ </w:t>
      </w:r>
      <w:r w:rsidR="00E129F3">
        <w:rPr>
          <w:rFonts w:hint="cs"/>
          <w:rtl/>
        </w:rPr>
        <w:t>ابن عثيمين _</w:t>
      </w:r>
      <w:r w:rsidRPr="005D5694">
        <w:rPr>
          <w:rFonts w:cs="CTraditional Arabic" w:hint="cs"/>
          <w:color w:val="auto"/>
          <w:rtl/>
        </w:rPr>
        <w:t>/</w:t>
      </w:r>
      <w:r w:rsidR="00E129F3">
        <w:rPr>
          <w:rFonts w:hint="cs"/>
          <w:rtl/>
        </w:rPr>
        <w:t>_</w:t>
      </w:r>
      <w:r w:rsidRPr="00C85F0F">
        <w:rPr>
          <w:rFonts w:hint="cs"/>
          <w:rtl/>
        </w:rPr>
        <w:t xml:space="preserve"> بعد</w:t>
      </w:r>
      <w:r w:rsidRPr="00C85F0F">
        <w:rPr>
          <w:rFonts w:ascii="Traditional Arabic" w:hAnsi="Traditional Arabic"/>
          <w:rtl/>
        </w:rPr>
        <w:t>ّ</w:t>
      </w:r>
      <w:r w:rsidRPr="00C85F0F">
        <w:rPr>
          <w:rFonts w:hint="cs"/>
          <w:rtl/>
        </w:rPr>
        <w:t xml:space="preserve">ة صيغ، </w:t>
      </w:r>
      <w:r w:rsidR="00E129F3">
        <w:rPr>
          <w:rFonts w:hint="cs"/>
          <w:rtl/>
        </w:rPr>
        <w:t>منها:</w:t>
      </w:r>
    </w:p>
    <w:p w:rsidR="00201568" w:rsidRDefault="00201568" w:rsidP="000A76C7">
      <w:pPr>
        <w:numPr>
          <w:ilvl w:val="0"/>
          <w:numId w:val="127"/>
        </w:numPr>
        <w:jc w:val="left"/>
        <w:rPr>
          <w:rFonts w:ascii="Traditional Arabic" w:hAnsi="Traditional Arabic"/>
        </w:rPr>
      </w:pPr>
      <w:r>
        <w:rPr>
          <w:rFonts w:ascii="Traditional Arabic" w:hAnsi="Traditional Arabic" w:hint="cs"/>
          <w:rtl/>
        </w:rPr>
        <w:t>المضار</w:t>
      </w:r>
      <w:r>
        <w:rPr>
          <w:rFonts w:ascii="Traditional Arabic" w:hAnsi="Traditional Arabic"/>
          <w:rtl/>
        </w:rPr>
        <w:t>ّ</w:t>
      </w:r>
      <w:r>
        <w:rPr>
          <w:rFonts w:ascii="Traditional Arabic" w:hAnsi="Traditional Arabic" w:hint="cs"/>
          <w:rtl/>
        </w:rPr>
        <w:t>ة ممنوعة شرع</w:t>
      </w:r>
      <w:r>
        <w:rPr>
          <w:rFonts w:ascii="Traditional Arabic" w:hAnsi="Traditional Arabic"/>
          <w:rtl/>
        </w:rPr>
        <w:t>ً</w:t>
      </w:r>
      <w:r>
        <w:rPr>
          <w:rFonts w:ascii="Traditional Arabic" w:hAnsi="Traditional Arabic" w:hint="cs"/>
          <w:rtl/>
        </w:rPr>
        <w:t>ا</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894"/>
      </w:r>
      <w:r w:rsidRPr="00C821A1">
        <w:rPr>
          <w:rFonts w:ascii="Traditional Arabic" w:hAnsi="Traditional Arabic" w:hint="cs"/>
          <w:szCs w:val="32"/>
          <w:vertAlign w:val="superscript"/>
          <w:rtl/>
        </w:rPr>
        <w:t>)</w:t>
      </w:r>
      <w:r>
        <w:rPr>
          <w:rFonts w:ascii="Traditional Arabic" w:hAnsi="Traditional Arabic" w:hint="cs"/>
          <w:rtl/>
        </w:rPr>
        <w:t>.</w:t>
      </w:r>
    </w:p>
    <w:p w:rsidR="00201568" w:rsidRPr="00201568" w:rsidRDefault="00201568" w:rsidP="000A76C7">
      <w:pPr>
        <w:pStyle w:val="afc"/>
        <w:numPr>
          <w:ilvl w:val="0"/>
          <w:numId w:val="127"/>
        </w:numPr>
        <w:jc w:val="left"/>
        <w:rPr>
          <w:rFonts w:ascii="Traditional Arabic" w:hAnsi="Traditional Arabic"/>
        </w:rPr>
      </w:pPr>
      <w:r w:rsidRPr="00C85F0F">
        <w:rPr>
          <w:rFonts w:hint="cs"/>
          <w:rtl/>
        </w:rPr>
        <w:t>لا ضرر و</w:t>
      </w:r>
      <w:r>
        <w:rPr>
          <w:rFonts w:hint="cs"/>
          <w:rtl/>
        </w:rPr>
        <w:t>لاضرار</w:t>
      </w:r>
      <w:r w:rsidRPr="00C85F0F">
        <w:rPr>
          <w:rFonts w:hint="cs"/>
          <w:szCs w:val="32"/>
          <w:vertAlign w:val="superscript"/>
          <w:rtl/>
        </w:rPr>
        <w:t>(</w:t>
      </w:r>
      <w:r w:rsidRPr="00C85F0F">
        <w:rPr>
          <w:rStyle w:val="af1"/>
          <w:szCs w:val="32"/>
          <w:rtl/>
        </w:rPr>
        <w:footnoteReference w:id="895"/>
      </w:r>
      <w:r w:rsidRPr="00C85F0F">
        <w:rPr>
          <w:rFonts w:hint="cs"/>
          <w:szCs w:val="32"/>
          <w:vertAlign w:val="superscript"/>
          <w:rtl/>
        </w:rPr>
        <w:t>)</w:t>
      </w:r>
      <w:r>
        <w:rPr>
          <w:rFonts w:ascii="Traditional Arabic" w:hAnsi="Traditional Arabic" w:hint="cs"/>
          <w:rtl/>
        </w:rPr>
        <w:t>.</w:t>
      </w:r>
    </w:p>
    <w:p w:rsidR="00031026" w:rsidRPr="00031026" w:rsidRDefault="00031026" w:rsidP="000A76C7">
      <w:pPr>
        <w:numPr>
          <w:ilvl w:val="0"/>
          <w:numId w:val="127"/>
        </w:numPr>
        <w:jc w:val="left"/>
        <w:rPr>
          <w:rFonts w:ascii="Traditional Arabic" w:hAnsi="Traditional Arabic"/>
        </w:rPr>
      </w:pPr>
      <w:r w:rsidRPr="0033140B">
        <w:rPr>
          <w:rFonts w:ascii="Traditional Arabic" w:hAnsi="Traditional Arabic"/>
          <w:rtl/>
        </w:rPr>
        <w:t>ما كان فيه ضرر ﻓﺈنه ممنوع شرعًا</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896"/>
      </w:r>
      <w:r w:rsidRPr="00C821A1">
        <w:rPr>
          <w:rFonts w:ascii="Traditional Arabic" w:hAnsi="Traditional Arabic" w:hint="cs"/>
          <w:szCs w:val="32"/>
          <w:vertAlign w:val="superscript"/>
          <w:rtl/>
        </w:rPr>
        <w:t>)</w:t>
      </w:r>
      <w:r w:rsidRPr="0033140B">
        <w:rPr>
          <w:rFonts w:ascii="Traditional Arabic" w:hAnsi="Traditional Arabic"/>
          <w:rtl/>
        </w:rPr>
        <w:t>.</w:t>
      </w:r>
    </w:p>
    <w:p w:rsidR="00F665A6" w:rsidRDefault="00F665A6" w:rsidP="000A76C7">
      <w:pPr>
        <w:pStyle w:val="afc"/>
        <w:numPr>
          <w:ilvl w:val="0"/>
          <w:numId w:val="127"/>
        </w:numPr>
        <w:jc w:val="left"/>
        <w:rPr>
          <w:rtl/>
        </w:rPr>
      </w:pPr>
      <w:r>
        <w:rPr>
          <w:rFonts w:hint="cs"/>
          <w:rtl/>
        </w:rPr>
        <w:lastRenderedPageBreak/>
        <w:t>جميع المباحات من عقود</w:t>
      </w:r>
      <w:r w:rsidR="00154102">
        <w:rPr>
          <w:rFonts w:hint="cs"/>
          <w:rtl/>
        </w:rPr>
        <w:t xml:space="preserve"> </w:t>
      </w:r>
      <w:r w:rsidR="00154102" w:rsidRPr="00E129F3">
        <w:rPr>
          <w:rFonts w:ascii="Traditional Arabic" w:hAnsi="Traditional Arabic"/>
          <w:rtl/>
        </w:rPr>
        <w:t>و</w:t>
      </w:r>
      <w:r w:rsidRPr="00E129F3">
        <w:rPr>
          <w:rFonts w:ascii="Traditional Arabic" w:hAnsi="Traditional Arabic"/>
          <w:rtl/>
        </w:rPr>
        <w:t>أفعال ﺇذا تضمّنت</w:t>
      </w:r>
      <w:r>
        <w:rPr>
          <w:rFonts w:hint="cs"/>
          <w:rtl/>
        </w:rPr>
        <w:t xml:space="preserve"> ضرر</w:t>
      </w:r>
      <w:r>
        <w:rPr>
          <w:rFonts w:ascii="Traditional Arabic" w:hAnsi="Traditional Arabic"/>
          <w:rtl/>
        </w:rPr>
        <w:t>ً</w:t>
      </w:r>
      <w:r>
        <w:rPr>
          <w:rFonts w:hint="cs"/>
          <w:rtl/>
        </w:rPr>
        <w:t>ا على الآخرين صارت ممنوعة</w:t>
      </w:r>
      <w:r>
        <w:rPr>
          <w:rFonts w:ascii="Traditional Arabic" w:hAnsi="Traditional Arabic"/>
          <w:rtl/>
        </w:rPr>
        <w:t>ً</w:t>
      </w:r>
      <w:r w:rsidRPr="00C821A1">
        <w:rPr>
          <w:rFonts w:hint="cs"/>
          <w:szCs w:val="32"/>
          <w:vertAlign w:val="superscript"/>
          <w:rtl/>
        </w:rPr>
        <w:t>(</w:t>
      </w:r>
      <w:r w:rsidRPr="00C821A1">
        <w:rPr>
          <w:rStyle w:val="af1"/>
          <w:szCs w:val="32"/>
          <w:rtl/>
        </w:rPr>
        <w:footnoteReference w:id="897"/>
      </w:r>
      <w:r w:rsidRPr="00C821A1">
        <w:rPr>
          <w:rFonts w:hint="cs"/>
          <w:szCs w:val="32"/>
          <w:vertAlign w:val="superscript"/>
          <w:rtl/>
        </w:rPr>
        <w:t>)</w:t>
      </w:r>
      <w:r>
        <w:rPr>
          <w:rFonts w:hint="cs"/>
          <w:rtl/>
        </w:rPr>
        <w:t>.</w:t>
      </w:r>
    </w:p>
    <w:p w:rsidR="00F665A6" w:rsidRDefault="00F665A6" w:rsidP="000A76C7">
      <w:pPr>
        <w:numPr>
          <w:ilvl w:val="0"/>
          <w:numId w:val="127"/>
        </w:numPr>
        <w:jc w:val="left"/>
      </w:pPr>
      <w:r>
        <w:rPr>
          <w:rFonts w:hint="cs"/>
          <w:rtl/>
        </w:rPr>
        <w:t>الضرر ممنوع شرع</w:t>
      </w:r>
      <w:r>
        <w:rPr>
          <w:rFonts w:ascii="Traditional Arabic" w:hAnsi="Traditional Arabic"/>
          <w:rtl/>
        </w:rPr>
        <w:t>ً</w:t>
      </w:r>
      <w:r>
        <w:rPr>
          <w:rFonts w:hint="cs"/>
          <w:rtl/>
        </w:rPr>
        <w:t>ا</w:t>
      </w:r>
      <w:r w:rsidRPr="00C821A1">
        <w:rPr>
          <w:rFonts w:hint="cs"/>
          <w:szCs w:val="32"/>
          <w:vertAlign w:val="superscript"/>
          <w:rtl/>
        </w:rPr>
        <w:t>(</w:t>
      </w:r>
      <w:r w:rsidRPr="00C821A1">
        <w:rPr>
          <w:rStyle w:val="af1"/>
          <w:szCs w:val="32"/>
          <w:rtl/>
        </w:rPr>
        <w:footnoteReference w:id="898"/>
      </w:r>
      <w:r w:rsidRPr="00C821A1">
        <w:rPr>
          <w:rFonts w:hint="cs"/>
          <w:szCs w:val="32"/>
          <w:vertAlign w:val="superscript"/>
          <w:rtl/>
        </w:rPr>
        <w:t>)</w:t>
      </w:r>
      <w:r>
        <w:rPr>
          <w:rFonts w:hint="cs"/>
          <w:rtl/>
        </w:rPr>
        <w:t>.</w:t>
      </w:r>
    </w:p>
    <w:p w:rsidR="00F665A6" w:rsidRDefault="00F665A6" w:rsidP="000A76C7">
      <w:pPr>
        <w:numPr>
          <w:ilvl w:val="0"/>
          <w:numId w:val="127"/>
        </w:numPr>
        <w:jc w:val="left"/>
      </w:pPr>
      <w:r>
        <w:rPr>
          <w:rFonts w:hint="cs"/>
          <w:rtl/>
        </w:rPr>
        <w:t>الضرر م</w:t>
      </w:r>
      <w:r>
        <w:rPr>
          <w:rFonts w:ascii="Traditional Arabic" w:hAnsi="Traditional Arabic"/>
          <w:rtl/>
        </w:rPr>
        <w:t>ُ</w:t>
      </w:r>
      <w:r>
        <w:rPr>
          <w:rFonts w:hint="cs"/>
          <w:rtl/>
        </w:rPr>
        <w:t>ن</w:t>
      </w:r>
      <w:r>
        <w:rPr>
          <w:rFonts w:ascii="Traditional Arabic" w:hAnsi="Traditional Arabic"/>
          <w:rtl/>
        </w:rPr>
        <w:t>ْ</w:t>
      </w:r>
      <w:r>
        <w:rPr>
          <w:rFonts w:hint="cs"/>
          <w:rtl/>
        </w:rPr>
        <w:t>ت</w:t>
      </w:r>
      <w:r>
        <w:rPr>
          <w:rFonts w:ascii="Traditional Arabic" w:hAnsi="Traditional Arabic"/>
          <w:rtl/>
        </w:rPr>
        <w:t>َ</w:t>
      </w:r>
      <w:r>
        <w:rPr>
          <w:rFonts w:hint="cs"/>
          <w:rtl/>
        </w:rPr>
        <w:t>ف</w:t>
      </w:r>
      <w:r>
        <w:rPr>
          <w:rFonts w:ascii="Traditional Arabic" w:hAnsi="Traditional Arabic"/>
          <w:rtl/>
        </w:rPr>
        <w:t>ٍ</w:t>
      </w:r>
      <w:r>
        <w:rPr>
          <w:rFonts w:hint="cs"/>
          <w:rtl/>
        </w:rPr>
        <w:t xml:space="preserve"> شرع</w:t>
      </w:r>
      <w:r>
        <w:rPr>
          <w:rFonts w:ascii="Traditional Arabic" w:hAnsi="Traditional Arabic"/>
          <w:rtl/>
        </w:rPr>
        <w:t>ً</w:t>
      </w:r>
      <w:r>
        <w:rPr>
          <w:rFonts w:hint="cs"/>
          <w:rtl/>
        </w:rPr>
        <w:t>ا</w:t>
      </w:r>
      <w:r w:rsidRPr="00C821A1">
        <w:rPr>
          <w:rFonts w:hint="cs"/>
          <w:szCs w:val="32"/>
          <w:vertAlign w:val="superscript"/>
          <w:rtl/>
        </w:rPr>
        <w:t>(</w:t>
      </w:r>
      <w:r w:rsidRPr="00C821A1">
        <w:rPr>
          <w:rStyle w:val="af1"/>
          <w:szCs w:val="32"/>
          <w:rtl/>
        </w:rPr>
        <w:footnoteReference w:id="899"/>
      </w:r>
      <w:r w:rsidRPr="00C821A1">
        <w:rPr>
          <w:rFonts w:hint="cs"/>
          <w:szCs w:val="32"/>
          <w:vertAlign w:val="superscript"/>
          <w:rtl/>
        </w:rPr>
        <w:t>)</w:t>
      </w:r>
      <w:r>
        <w:rPr>
          <w:rFonts w:hint="cs"/>
          <w:rtl/>
        </w:rPr>
        <w:t>.</w:t>
      </w:r>
    </w:p>
    <w:p w:rsidR="00F665A6" w:rsidRDefault="00F665A6" w:rsidP="000A76C7">
      <w:pPr>
        <w:numPr>
          <w:ilvl w:val="0"/>
          <w:numId w:val="127"/>
        </w:numPr>
        <w:jc w:val="left"/>
        <w:rPr>
          <w:rFonts w:ascii="Traditional Arabic" w:hAnsi="Traditional Arabic"/>
        </w:rPr>
      </w:pPr>
      <w:r w:rsidRPr="00386532">
        <w:rPr>
          <w:rFonts w:ascii="Traditional Arabic" w:hAnsi="Traditional Arabic"/>
          <w:rtl/>
        </w:rPr>
        <w:t>كل ضار</w:t>
      </w:r>
      <w:r>
        <w:rPr>
          <w:rFonts w:ascii="Traditional Arabic" w:hAnsi="Traditional Arabic"/>
          <w:rtl/>
        </w:rPr>
        <w:t>ّ</w:t>
      </w:r>
      <w:r w:rsidRPr="00386532">
        <w:rPr>
          <w:rFonts w:ascii="Traditional Arabic" w:hAnsi="Traditional Arabic"/>
          <w:rtl/>
        </w:rPr>
        <w:t xml:space="preserve"> ﻓﺈنه ممنوع شرع</w:t>
      </w:r>
      <w:r>
        <w:rPr>
          <w:rFonts w:ascii="Traditional Arabic" w:hAnsi="Traditional Arabic"/>
          <w:rtl/>
        </w:rPr>
        <w:t>ً</w:t>
      </w:r>
      <w:r>
        <w:rPr>
          <w:rFonts w:ascii="Traditional Arabic" w:hAnsi="Traditional Arabic" w:hint="cs"/>
          <w:rtl/>
        </w:rPr>
        <w:t>ا</w:t>
      </w:r>
      <w:r w:rsidRPr="00386532">
        <w:rPr>
          <w:rFonts w:ascii="Traditional Arabic" w:hAnsi="Traditional Arabic"/>
          <w:vertAlign w:val="superscript"/>
          <w:rtl/>
        </w:rPr>
        <w:t>ا</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00"/>
      </w:r>
      <w:r w:rsidRPr="00C821A1">
        <w:rPr>
          <w:rFonts w:ascii="Traditional Arabic" w:hAnsi="Traditional Arabic" w:hint="cs"/>
          <w:szCs w:val="32"/>
          <w:vertAlign w:val="superscript"/>
          <w:rtl/>
        </w:rPr>
        <w:t>)</w:t>
      </w:r>
      <w:r w:rsidRPr="00386532">
        <w:rPr>
          <w:rFonts w:ascii="Traditional Arabic" w:hAnsi="Traditional Arabic"/>
          <w:vertAlign w:val="superscript"/>
          <w:rtl/>
        </w:rPr>
        <w:t>.</w:t>
      </w:r>
    </w:p>
    <w:p w:rsidR="00031026" w:rsidRPr="00031026" w:rsidRDefault="00031026" w:rsidP="000A76C7">
      <w:pPr>
        <w:numPr>
          <w:ilvl w:val="0"/>
          <w:numId w:val="127"/>
        </w:numPr>
        <w:jc w:val="left"/>
        <w:rPr>
          <w:rFonts w:ascii="Traditional Arabic" w:hAnsi="Traditional Arabic"/>
        </w:rPr>
      </w:pPr>
      <w:r>
        <w:rPr>
          <w:rFonts w:ascii="Traditional Arabic" w:hAnsi="Traditional Arabic" w:hint="cs"/>
          <w:rtl/>
        </w:rPr>
        <w:t>الضرر في الشريعة ا</w:t>
      </w:r>
      <w:r>
        <w:rPr>
          <w:rFonts w:ascii="Traditional Arabic" w:hAnsi="Traditional Arabic"/>
          <w:rtl/>
        </w:rPr>
        <w:t>ﻹ</w:t>
      </w:r>
      <w:r>
        <w:rPr>
          <w:rFonts w:ascii="Traditional Arabic" w:hAnsi="Traditional Arabic" w:hint="cs"/>
          <w:rtl/>
        </w:rPr>
        <w:t>سلامية مدفوع ومرفوع</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01"/>
      </w:r>
      <w:r w:rsidRPr="00C821A1">
        <w:rPr>
          <w:rFonts w:ascii="Traditional Arabic" w:hAnsi="Traditional Arabic" w:hint="cs"/>
          <w:szCs w:val="32"/>
          <w:vertAlign w:val="superscript"/>
          <w:rtl/>
        </w:rPr>
        <w:t>)</w:t>
      </w:r>
      <w:r>
        <w:rPr>
          <w:rFonts w:ascii="Traditional Arabic" w:hAnsi="Traditional Arabic" w:hint="cs"/>
          <w:rtl/>
        </w:rPr>
        <w:t>.</w:t>
      </w:r>
    </w:p>
    <w:p w:rsidR="00F665A6" w:rsidRDefault="00F665A6" w:rsidP="000A76C7">
      <w:pPr>
        <w:numPr>
          <w:ilvl w:val="0"/>
          <w:numId w:val="127"/>
        </w:numPr>
        <w:jc w:val="left"/>
        <w:rPr>
          <w:rFonts w:ascii="Traditional Arabic" w:hAnsi="Traditional Arabic"/>
        </w:rPr>
      </w:pPr>
      <w:r>
        <w:rPr>
          <w:rFonts w:ascii="Traditional Arabic" w:hAnsi="Traditional Arabic" w:hint="cs"/>
          <w:rtl/>
        </w:rPr>
        <w:t>كل شيء م</w:t>
      </w:r>
      <w:r>
        <w:rPr>
          <w:rFonts w:ascii="Traditional Arabic" w:hAnsi="Traditional Arabic"/>
          <w:rtl/>
        </w:rPr>
        <w:t>ُ</w:t>
      </w:r>
      <w:r>
        <w:rPr>
          <w:rFonts w:ascii="Traditional Arabic" w:hAnsi="Traditional Arabic" w:hint="cs"/>
          <w:rtl/>
        </w:rPr>
        <w:t>ض</w:t>
      </w:r>
      <w:r>
        <w:rPr>
          <w:rFonts w:ascii="Traditional Arabic" w:hAnsi="Traditional Arabic"/>
          <w:rtl/>
        </w:rPr>
        <w:t>ِ</w:t>
      </w:r>
      <w:r>
        <w:rPr>
          <w:rFonts w:ascii="Traditional Arabic" w:hAnsi="Traditional Arabic" w:hint="cs"/>
          <w:rtl/>
        </w:rPr>
        <w:t>ر</w:t>
      </w:r>
      <w:r>
        <w:rPr>
          <w:rFonts w:ascii="Traditional Arabic" w:hAnsi="Traditional Arabic"/>
          <w:rtl/>
        </w:rPr>
        <w:t>ّ</w:t>
      </w:r>
      <w:r w:rsidR="00201568">
        <w:rPr>
          <w:rFonts w:ascii="Traditional Arabic" w:hAnsi="Traditional Arabic" w:hint="cs"/>
          <w:rtl/>
        </w:rPr>
        <w:t xml:space="preserve"> </w:t>
      </w:r>
      <w:r>
        <w:rPr>
          <w:rFonts w:ascii="Traditional Arabic" w:hAnsi="Traditional Arabic"/>
          <w:rtl/>
        </w:rPr>
        <w:t>ﻓﺈ</w:t>
      </w:r>
      <w:r>
        <w:rPr>
          <w:rFonts w:ascii="Traditional Arabic" w:hAnsi="Traditional Arabic" w:hint="cs"/>
          <w:rtl/>
        </w:rPr>
        <w:t>نه منهي</w:t>
      </w:r>
      <w:r>
        <w:rPr>
          <w:rFonts w:ascii="Traditional Arabic" w:hAnsi="Traditional Arabic"/>
          <w:rtl/>
        </w:rPr>
        <w:t>ٌّ</w:t>
      </w:r>
      <w:r>
        <w:rPr>
          <w:rFonts w:ascii="Traditional Arabic" w:hAnsi="Traditional Arabic" w:hint="cs"/>
          <w:rtl/>
        </w:rPr>
        <w:t xml:space="preserve"> عنه شرع</w:t>
      </w:r>
      <w:r>
        <w:rPr>
          <w:rFonts w:ascii="Traditional Arabic" w:hAnsi="Traditional Arabic"/>
          <w:rtl/>
        </w:rPr>
        <w:t>ً</w:t>
      </w:r>
      <w:r>
        <w:rPr>
          <w:rFonts w:ascii="Traditional Arabic" w:hAnsi="Traditional Arabic" w:hint="cs"/>
          <w:rtl/>
        </w:rPr>
        <w:t>ا</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02"/>
      </w:r>
      <w:r w:rsidRPr="00C821A1">
        <w:rPr>
          <w:rFonts w:ascii="Traditional Arabic" w:hAnsi="Traditional Arabic" w:hint="cs"/>
          <w:szCs w:val="32"/>
          <w:vertAlign w:val="superscript"/>
          <w:rtl/>
        </w:rPr>
        <w:t>)</w:t>
      </w:r>
      <w:r>
        <w:rPr>
          <w:rFonts w:ascii="Traditional Arabic" w:hAnsi="Traditional Arabic" w:hint="cs"/>
          <w:rtl/>
        </w:rPr>
        <w:t>.</w:t>
      </w:r>
    </w:p>
    <w:p w:rsidR="00F665A6" w:rsidRDefault="00F665A6" w:rsidP="000A76C7">
      <w:pPr>
        <w:numPr>
          <w:ilvl w:val="0"/>
          <w:numId w:val="127"/>
        </w:numPr>
        <w:jc w:val="left"/>
        <w:rPr>
          <w:rFonts w:ascii="Traditional Arabic" w:hAnsi="Traditional Arabic"/>
        </w:rPr>
      </w:pPr>
      <w:r>
        <w:rPr>
          <w:rFonts w:ascii="Traditional Arabic" w:hAnsi="Traditional Arabic" w:hint="cs"/>
          <w:rtl/>
        </w:rPr>
        <w:t>متى ثبت الضرر وجب ر</w:t>
      </w:r>
      <w:r>
        <w:rPr>
          <w:rFonts w:ascii="Traditional Arabic" w:hAnsi="Traditional Arabic"/>
          <w:rtl/>
        </w:rPr>
        <w:t>َ</w:t>
      </w:r>
      <w:r>
        <w:rPr>
          <w:rFonts w:ascii="Traditional Arabic" w:hAnsi="Traditional Arabic" w:hint="cs"/>
          <w:rtl/>
        </w:rPr>
        <w:t>ف</w:t>
      </w:r>
      <w:r>
        <w:rPr>
          <w:rFonts w:ascii="Traditional Arabic" w:hAnsi="Traditional Arabic"/>
          <w:rtl/>
        </w:rPr>
        <w:t>ْ</w:t>
      </w:r>
      <w:r>
        <w:rPr>
          <w:rFonts w:ascii="Traditional Arabic" w:hAnsi="Traditional Arabic" w:hint="cs"/>
          <w:rtl/>
        </w:rPr>
        <w:t>ع</w:t>
      </w:r>
      <w:r>
        <w:rPr>
          <w:rFonts w:ascii="Traditional Arabic" w:hAnsi="Traditional Arabic"/>
          <w:rtl/>
        </w:rPr>
        <w:t>ُ</w:t>
      </w:r>
      <w:r>
        <w:rPr>
          <w:rFonts w:ascii="Traditional Arabic" w:hAnsi="Traditional Arabic" w:hint="cs"/>
          <w:rtl/>
        </w:rPr>
        <w:t>ه،</w:t>
      </w:r>
      <w:r w:rsidR="00ED3461">
        <w:rPr>
          <w:rFonts w:ascii="Traditional Arabic" w:hAnsi="Traditional Arabic" w:hint="cs"/>
          <w:rtl/>
        </w:rPr>
        <w:t xml:space="preserve"> </w:t>
      </w:r>
      <w:r>
        <w:rPr>
          <w:rFonts w:ascii="Traditional Arabic" w:hAnsi="Traditional Arabic" w:hint="cs"/>
          <w:rtl/>
        </w:rPr>
        <w:t>و متى ثبت ا</w:t>
      </w:r>
      <w:r>
        <w:rPr>
          <w:rFonts w:ascii="Traditional Arabic" w:hAnsi="Traditional Arabic"/>
          <w:rtl/>
        </w:rPr>
        <w:t>ﻹ</w:t>
      </w:r>
      <w:r>
        <w:rPr>
          <w:rFonts w:ascii="Traditional Arabic" w:hAnsi="Traditional Arabic" w:hint="cs"/>
          <w:rtl/>
        </w:rPr>
        <w:t>ضرار وجب رفعه مع عقوبة قاصد ا</w:t>
      </w:r>
      <w:r>
        <w:rPr>
          <w:rFonts w:ascii="Traditional Arabic" w:hAnsi="Traditional Arabic"/>
          <w:rtl/>
        </w:rPr>
        <w:t>ﻹ</w:t>
      </w:r>
      <w:r>
        <w:rPr>
          <w:rFonts w:ascii="Traditional Arabic" w:hAnsi="Traditional Arabic" w:hint="cs"/>
          <w:rtl/>
        </w:rPr>
        <w:t>ضرار</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03"/>
      </w:r>
      <w:r w:rsidRPr="00C821A1">
        <w:rPr>
          <w:rFonts w:ascii="Traditional Arabic" w:hAnsi="Traditional Arabic" w:hint="cs"/>
          <w:szCs w:val="32"/>
          <w:vertAlign w:val="superscript"/>
          <w:rtl/>
        </w:rPr>
        <w:t>)</w:t>
      </w:r>
      <w:r>
        <w:rPr>
          <w:rFonts w:ascii="Traditional Arabic" w:hAnsi="Traditional Arabic" w:hint="cs"/>
          <w:rtl/>
        </w:rPr>
        <w:t>.</w:t>
      </w:r>
    </w:p>
    <w:p w:rsidR="00F665A6" w:rsidRDefault="00F665A6" w:rsidP="000A76C7">
      <w:pPr>
        <w:pStyle w:val="afc"/>
        <w:numPr>
          <w:ilvl w:val="0"/>
          <w:numId w:val="127"/>
        </w:numPr>
        <w:jc w:val="left"/>
        <w:rPr>
          <w:rFonts w:ascii="Traditional Arabic" w:hAnsi="Traditional Arabic"/>
        </w:rPr>
      </w:pPr>
      <w:r w:rsidRPr="00E041CD">
        <w:rPr>
          <w:rFonts w:ascii="Traditional Arabic" w:hAnsi="Traditional Arabic" w:hint="cs"/>
          <w:rtl/>
        </w:rPr>
        <w:t>متى و</w:t>
      </w:r>
      <w:r w:rsidRPr="00E041CD">
        <w:rPr>
          <w:rFonts w:ascii="Traditional Arabic" w:hAnsi="Traditional Arabic"/>
          <w:rtl/>
        </w:rPr>
        <w:t>ُ</w:t>
      </w:r>
      <w:r w:rsidRPr="00E041CD">
        <w:rPr>
          <w:rFonts w:ascii="Traditional Arabic" w:hAnsi="Traditional Arabic" w:hint="cs"/>
          <w:rtl/>
        </w:rPr>
        <w:t>ج</w:t>
      </w:r>
      <w:r w:rsidRPr="00E041CD">
        <w:rPr>
          <w:rFonts w:ascii="Traditional Arabic" w:hAnsi="Traditional Arabic"/>
          <w:rtl/>
        </w:rPr>
        <w:t>ِ</w:t>
      </w:r>
      <w:r w:rsidRPr="00E041CD">
        <w:rPr>
          <w:rFonts w:ascii="Traditional Arabic" w:hAnsi="Traditional Arabic" w:hint="cs"/>
          <w:rtl/>
        </w:rPr>
        <w:t>د</w:t>
      </w:r>
      <w:r w:rsidRPr="00E041CD">
        <w:rPr>
          <w:rFonts w:ascii="Traditional Arabic" w:hAnsi="Traditional Arabic"/>
          <w:rtl/>
        </w:rPr>
        <w:t>َ</w:t>
      </w:r>
      <w:r w:rsidRPr="00E041CD">
        <w:rPr>
          <w:rFonts w:ascii="Traditional Arabic" w:hAnsi="Traditional Arabic" w:hint="cs"/>
          <w:rtl/>
        </w:rPr>
        <w:t xml:space="preserve"> الضرر وجب ر</w:t>
      </w:r>
      <w:r>
        <w:rPr>
          <w:rFonts w:ascii="Traditional Arabic" w:hAnsi="Traditional Arabic"/>
          <w:rtl/>
        </w:rPr>
        <w:t>َ</w:t>
      </w:r>
      <w:r w:rsidRPr="00E041CD">
        <w:rPr>
          <w:rFonts w:ascii="Traditional Arabic" w:hAnsi="Traditional Arabic" w:hint="cs"/>
          <w:rtl/>
        </w:rPr>
        <w:t>ف</w:t>
      </w:r>
      <w:r>
        <w:rPr>
          <w:rFonts w:ascii="Traditional Arabic" w:hAnsi="Traditional Arabic"/>
          <w:rtl/>
        </w:rPr>
        <w:t>ْ</w:t>
      </w:r>
      <w:r w:rsidRPr="00E041CD">
        <w:rPr>
          <w:rFonts w:ascii="Traditional Arabic" w:hAnsi="Traditional Arabic" w:hint="cs"/>
          <w:rtl/>
        </w:rPr>
        <w:t>عه،</w:t>
      </w:r>
      <w:r w:rsidR="00154102">
        <w:rPr>
          <w:rFonts w:ascii="Traditional Arabic" w:hAnsi="Traditional Arabic" w:hint="cs"/>
          <w:rtl/>
        </w:rPr>
        <w:t xml:space="preserve"> و</w:t>
      </w:r>
      <w:r w:rsidRPr="00E041CD">
        <w:rPr>
          <w:rFonts w:ascii="Traditional Arabic" w:hAnsi="Traditional Arabic" w:hint="cs"/>
          <w:rtl/>
        </w:rPr>
        <w:t>متى ق</w:t>
      </w:r>
      <w:r w:rsidRPr="00E041CD">
        <w:rPr>
          <w:rFonts w:ascii="Traditional Arabic" w:hAnsi="Traditional Arabic"/>
          <w:rtl/>
        </w:rPr>
        <w:t>ُ</w:t>
      </w:r>
      <w:r w:rsidRPr="00E041CD">
        <w:rPr>
          <w:rFonts w:ascii="Traditional Arabic" w:hAnsi="Traditional Arabic" w:hint="cs"/>
          <w:rtl/>
        </w:rPr>
        <w:t>ص</w:t>
      </w:r>
      <w:r w:rsidRPr="00E041CD">
        <w:rPr>
          <w:rFonts w:ascii="Traditional Arabic" w:hAnsi="Traditional Arabic"/>
          <w:rtl/>
        </w:rPr>
        <w:t>ِ</w:t>
      </w:r>
      <w:r w:rsidRPr="00E041CD">
        <w:rPr>
          <w:rFonts w:ascii="Traditional Arabic" w:hAnsi="Traditional Arabic" w:hint="cs"/>
          <w:rtl/>
        </w:rPr>
        <w:t>د</w:t>
      </w:r>
      <w:r w:rsidRPr="00E041CD">
        <w:rPr>
          <w:rFonts w:ascii="Traditional Arabic" w:hAnsi="Traditional Arabic"/>
          <w:rtl/>
        </w:rPr>
        <w:t>َ</w:t>
      </w:r>
      <w:r w:rsidRPr="00E041CD">
        <w:rPr>
          <w:rFonts w:ascii="Traditional Arabic" w:hAnsi="Traditional Arabic" w:hint="cs"/>
          <w:rtl/>
        </w:rPr>
        <w:t>ت الم</w:t>
      </w:r>
      <w:r w:rsidRPr="00E041CD">
        <w:rPr>
          <w:rFonts w:ascii="Traditional Arabic" w:hAnsi="Traditional Arabic"/>
          <w:rtl/>
        </w:rPr>
        <w:t>ُ</w:t>
      </w:r>
      <w:r w:rsidRPr="00E041CD">
        <w:rPr>
          <w:rFonts w:ascii="Traditional Arabic" w:hAnsi="Traditional Arabic" w:hint="cs"/>
          <w:rtl/>
        </w:rPr>
        <w:t>ضار</w:t>
      </w:r>
      <w:r w:rsidRPr="00E041CD">
        <w:rPr>
          <w:rFonts w:ascii="Traditional Arabic" w:hAnsi="Traditional Arabic"/>
          <w:rtl/>
        </w:rPr>
        <w:t>ّ</w:t>
      </w:r>
      <w:r w:rsidRPr="00E041CD">
        <w:rPr>
          <w:rFonts w:ascii="Traditional Arabic" w:hAnsi="Traditional Arabic" w:hint="cs"/>
          <w:rtl/>
        </w:rPr>
        <w:t xml:space="preserve">ة </w:t>
      </w:r>
      <w:r w:rsidRPr="00E041CD">
        <w:rPr>
          <w:rFonts w:ascii="Traditional Arabic" w:hAnsi="Traditional Arabic"/>
          <w:rtl/>
        </w:rPr>
        <w:t>ﻓﺈ</w:t>
      </w:r>
      <w:r w:rsidRPr="00E041CD">
        <w:rPr>
          <w:rFonts w:ascii="Traditional Arabic" w:hAnsi="Traditional Arabic" w:hint="cs"/>
          <w:rtl/>
        </w:rPr>
        <w:t>نها حرام</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04"/>
      </w:r>
      <w:r w:rsidRPr="00C821A1">
        <w:rPr>
          <w:rFonts w:ascii="Traditional Arabic" w:hAnsi="Traditional Arabic" w:hint="cs"/>
          <w:szCs w:val="32"/>
          <w:vertAlign w:val="superscript"/>
          <w:rtl/>
        </w:rPr>
        <w:t>)</w:t>
      </w:r>
      <w:r w:rsidRPr="00E041CD">
        <w:rPr>
          <w:rFonts w:ascii="Traditional Arabic" w:hAnsi="Traditional Arabic" w:hint="cs"/>
          <w:rtl/>
        </w:rPr>
        <w:t>.</w:t>
      </w:r>
    </w:p>
    <w:p w:rsidR="00F665A6" w:rsidRPr="00FF071E" w:rsidRDefault="00031026" w:rsidP="00597C20">
      <w:pPr>
        <w:ind w:left="908" w:firstLine="0"/>
        <w:jc w:val="left"/>
        <w:rPr>
          <w:rFonts w:ascii="Traditional Arabic" w:hAnsi="Traditional Arabic"/>
          <w:rtl/>
        </w:rPr>
      </w:pPr>
      <w:r>
        <w:rPr>
          <w:rFonts w:ascii="Traditional Arabic" w:hAnsi="Traditional Arabic" w:hint="cs"/>
          <w:rtl/>
        </w:rPr>
        <w:t>ووردت هذه القاعدة</w:t>
      </w:r>
      <w:r w:rsidR="00F665A6" w:rsidRPr="00FF071E">
        <w:rPr>
          <w:rFonts w:ascii="Traditional Arabic" w:hAnsi="Traditional Arabic" w:hint="cs"/>
          <w:rtl/>
        </w:rPr>
        <w:t xml:space="preserve"> </w:t>
      </w:r>
      <w:r>
        <w:rPr>
          <w:rFonts w:ascii="Traditional Arabic" w:hAnsi="Traditional Arabic" w:hint="cs"/>
          <w:rtl/>
        </w:rPr>
        <w:t xml:space="preserve">عند </w:t>
      </w:r>
      <w:r w:rsidR="00F665A6" w:rsidRPr="00FF071E">
        <w:rPr>
          <w:rFonts w:ascii="Traditional Arabic" w:hAnsi="Traditional Arabic" w:hint="cs"/>
          <w:rtl/>
        </w:rPr>
        <w:t xml:space="preserve">علماء القواعد الفقهية </w:t>
      </w:r>
      <w:r>
        <w:rPr>
          <w:rFonts w:ascii="Traditional Arabic" w:hAnsi="Traditional Arabic" w:hint="cs"/>
          <w:rtl/>
        </w:rPr>
        <w:t>بصيغ متعددة، منها</w:t>
      </w:r>
      <w:r w:rsidR="00F665A6" w:rsidRPr="00FF071E">
        <w:rPr>
          <w:rFonts w:ascii="Traditional Arabic" w:hAnsi="Traditional Arabic" w:hint="cs"/>
          <w:rtl/>
        </w:rPr>
        <w:t>:</w:t>
      </w:r>
    </w:p>
    <w:p w:rsidR="00F665A6" w:rsidRPr="005603EF" w:rsidRDefault="00F665A6" w:rsidP="000A76C7">
      <w:pPr>
        <w:pStyle w:val="afc"/>
        <w:numPr>
          <w:ilvl w:val="0"/>
          <w:numId w:val="128"/>
        </w:numPr>
        <w:jc w:val="left"/>
        <w:rPr>
          <w:rFonts w:ascii="Traditional Arabic" w:hAnsi="Traditional Arabic"/>
        </w:rPr>
      </w:pPr>
      <w:r>
        <w:rPr>
          <w:rFonts w:ascii="Traditional Arabic" w:hAnsi="Traditional Arabic" w:hint="cs"/>
          <w:rtl/>
        </w:rPr>
        <w:t>الضرر ي</w:t>
      </w:r>
      <w:r>
        <w:rPr>
          <w:rFonts w:ascii="Traditional Arabic" w:hAnsi="Traditional Arabic"/>
          <w:rtl/>
        </w:rPr>
        <w:t>ُ</w:t>
      </w:r>
      <w:r>
        <w:rPr>
          <w:rFonts w:ascii="Traditional Arabic" w:hAnsi="Traditional Arabic" w:hint="cs"/>
          <w:rtl/>
        </w:rPr>
        <w:t>زال</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05"/>
      </w:r>
      <w:r w:rsidRPr="00C821A1">
        <w:rPr>
          <w:rFonts w:ascii="Traditional Arabic" w:hAnsi="Traditional Arabic" w:hint="cs"/>
          <w:szCs w:val="32"/>
          <w:vertAlign w:val="superscript"/>
          <w:rtl/>
        </w:rPr>
        <w:t>)</w:t>
      </w:r>
      <w:r>
        <w:rPr>
          <w:rFonts w:ascii="Traditional Arabic" w:hAnsi="Traditional Arabic" w:hint="cs"/>
          <w:rtl/>
        </w:rPr>
        <w:t>.</w:t>
      </w:r>
    </w:p>
    <w:p w:rsidR="00FD2A4D" w:rsidRPr="00F959B7" w:rsidRDefault="00F665A6" w:rsidP="00F959B7">
      <w:pPr>
        <w:pStyle w:val="afc"/>
        <w:numPr>
          <w:ilvl w:val="0"/>
          <w:numId w:val="128"/>
        </w:numPr>
        <w:jc w:val="left"/>
        <w:rPr>
          <w:rFonts w:ascii="Traditional Arabic" w:hAnsi="Traditional Arabic"/>
        </w:rPr>
      </w:pPr>
      <w:r>
        <w:rPr>
          <w:rFonts w:ascii="Traditional Arabic" w:hAnsi="Traditional Arabic" w:hint="cs"/>
          <w:rtl/>
        </w:rPr>
        <w:t>الضرر م</w:t>
      </w:r>
      <w:r>
        <w:rPr>
          <w:rFonts w:ascii="Traditional Arabic" w:hAnsi="Traditional Arabic"/>
          <w:rtl/>
        </w:rPr>
        <w:t>ُ</w:t>
      </w:r>
      <w:r>
        <w:rPr>
          <w:rFonts w:ascii="Traditional Arabic" w:hAnsi="Traditional Arabic" w:hint="cs"/>
          <w:rtl/>
        </w:rPr>
        <w:t>زال</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06"/>
      </w:r>
      <w:r w:rsidRPr="00C821A1">
        <w:rPr>
          <w:rFonts w:ascii="Traditional Arabic" w:hAnsi="Traditional Arabic" w:hint="cs"/>
          <w:szCs w:val="32"/>
          <w:vertAlign w:val="superscript"/>
          <w:rtl/>
        </w:rPr>
        <w:t>)</w:t>
      </w:r>
      <w:r>
        <w:rPr>
          <w:rFonts w:ascii="Traditional Arabic" w:hAnsi="Traditional Arabic" w:hint="cs"/>
          <w:rtl/>
        </w:rPr>
        <w:t>.</w:t>
      </w:r>
    </w:p>
    <w:p w:rsidR="00F665A6" w:rsidRDefault="00F665A6" w:rsidP="000A76C7">
      <w:pPr>
        <w:pStyle w:val="afc"/>
        <w:numPr>
          <w:ilvl w:val="0"/>
          <w:numId w:val="128"/>
        </w:numPr>
        <w:jc w:val="left"/>
        <w:rPr>
          <w:rFonts w:ascii="Traditional Arabic" w:hAnsi="Traditional Arabic"/>
        </w:rPr>
      </w:pPr>
      <w:r>
        <w:rPr>
          <w:rFonts w:ascii="Traditional Arabic" w:hAnsi="Traditional Arabic" w:hint="cs"/>
          <w:rtl/>
        </w:rPr>
        <w:t>لاضرر</w:t>
      </w:r>
      <w:r w:rsidR="00154102">
        <w:rPr>
          <w:rFonts w:ascii="Traditional Arabic" w:hAnsi="Traditional Arabic" w:hint="cs"/>
          <w:rtl/>
        </w:rPr>
        <w:t xml:space="preserve"> و</w:t>
      </w:r>
      <w:r>
        <w:rPr>
          <w:rFonts w:ascii="Traditional Arabic" w:hAnsi="Traditional Arabic" w:hint="cs"/>
          <w:rtl/>
        </w:rPr>
        <w:t>لا ضرار</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07"/>
      </w:r>
      <w:r w:rsidRPr="00C821A1">
        <w:rPr>
          <w:rFonts w:ascii="Traditional Arabic" w:hAnsi="Traditional Arabic" w:hint="cs"/>
          <w:szCs w:val="32"/>
          <w:vertAlign w:val="superscript"/>
          <w:rtl/>
        </w:rPr>
        <w:t>)</w:t>
      </w:r>
      <w:r>
        <w:rPr>
          <w:rFonts w:ascii="Traditional Arabic" w:hAnsi="Traditional Arabic" w:hint="cs"/>
          <w:rtl/>
        </w:rPr>
        <w:t>.</w:t>
      </w:r>
    </w:p>
    <w:p w:rsidR="00F665A6" w:rsidRPr="00F665A6" w:rsidRDefault="008B1FA5" w:rsidP="00A8347C">
      <w:pPr>
        <w:pStyle w:val="aff3"/>
        <w:rPr>
          <w:rtl/>
        </w:rPr>
      </w:pPr>
      <w:bookmarkStart w:id="174" w:name="_Toc334046411"/>
      <w:r>
        <w:rPr>
          <w:rFonts w:hint="cs"/>
          <w:rtl/>
        </w:rPr>
        <w:lastRenderedPageBreak/>
        <w:t xml:space="preserve">                                       </w:t>
      </w:r>
      <w:r w:rsidR="00F665A6">
        <w:rPr>
          <w:rFonts w:hint="cs"/>
          <w:rtl/>
        </w:rPr>
        <w:t>المطلب الثاني</w:t>
      </w:r>
      <w:r w:rsidR="00F665A6">
        <w:rPr>
          <w:rFonts w:hint="eastAsia"/>
          <w:rtl/>
        </w:rPr>
        <w:t> :</w:t>
      </w:r>
      <w:r w:rsidR="00F665A6">
        <w:rPr>
          <w:rFonts w:hint="cs"/>
          <w:rtl/>
        </w:rPr>
        <w:br/>
      </w:r>
      <w:r>
        <w:rPr>
          <w:rFonts w:hint="cs"/>
          <w:rtl/>
        </w:rPr>
        <w:t xml:space="preserve">        </w:t>
      </w:r>
      <w:r w:rsidR="00797F48">
        <w:rPr>
          <w:rFonts w:hint="cs"/>
          <w:rtl/>
        </w:rPr>
        <w:t xml:space="preserve">                                </w:t>
      </w:r>
      <w:r w:rsidR="00F665A6">
        <w:rPr>
          <w:rFonts w:hint="cs"/>
          <w:rtl/>
        </w:rPr>
        <w:t>شرح القاعدة</w:t>
      </w:r>
      <w:bookmarkEnd w:id="174"/>
    </w:p>
    <w:p w:rsidR="00FB449C" w:rsidRDefault="00F665A6" w:rsidP="00597C20">
      <w:pPr>
        <w:pStyle w:val="53"/>
        <w:rPr>
          <w:b w:val="0"/>
          <w:rtl/>
        </w:rPr>
      </w:pPr>
      <w:r w:rsidRPr="00AE7DE0">
        <w:rPr>
          <w:rFonts w:hint="cs"/>
          <w:b w:val="0"/>
          <w:rtl/>
        </w:rPr>
        <w:t>الض</w:t>
      </w:r>
      <w:r>
        <w:rPr>
          <w:b w:val="0"/>
          <w:rtl/>
        </w:rPr>
        <w:t>َّ</w:t>
      </w:r>
      <w:r w:rsidRPr="00AE7DE0">
        <w:rPr>
          <w:rFonts w:hint="cs"/>
          <w:b w:val="0"/>
          <w:rtl/>
        </w:rPr>
        <w:t>ر</w:t>
      </w:r>
      <w:r>
        <w:rPr>
          <w:b w:val="0"/>
          <w:rtl/>
        </w:rPr>
        <w:t>َ</w:t>
      </w:r>
      <w:r w:rsidRPr="00AE7DE0">
        <w:rPr>
          <w:rFonts w:hint="cs"/>
          <w:b w:val="0"/>
          <w:rtl/>
        </w:rPr>
        <w:t>ر</w:t>
      </w:r>
      <w:r w:rsidR="00797F48">
        <w:rPr>
          <w:rFonts w:hint="cs"/>
          <w:b w:val="0"/>
          <w:rtl/>
        </w:rPr>
        <w:t xml:space="preserve"> </w:t>
      </w:r>
      <w:r w:rsidR="00AB0B9E">
        <w:rPr>
          <w:b w:val="0"/>
          <w:rtl/>
        </w:rPr>
        <w:fldChar w:fldCharType="begin"/>
      </w:r>
      <w:r w:rsidR="00164159" w:rsidRPr="00C85F0F">
        <w:rPr>
          <w:bCs w:val="0"/>
        </w:rPr>
        <w:instrText>XE</w:instrText>
      </w:r>
      <w:r w:rsidR="00164159" w:rsidRPr="00C85F0F">
        <w:rPr>
          <w:bCs w:val="0"/>
          <w:rtl/>
        </w:rPr>
        <w:instrText xml:space="preserve"> "</w:instrText>
      </w:r>
      <w:r w:rsidR="00164159" w:rsidRPr="00C85F0F">
        <w:rPr>
          <w:rFonts w:hint="cs"/>
          <w:bCs w:val="0"/>
          <w:rtl/>
        </w:rPr>
        <w:instrText>الض</w:instrText>
      </w:r>
      <w:r w:rsidR="00164159" w:rsidRPr="00C85F0F">
        <w:rPr>
          <w:bCs w:val="0"/>
          <w:rtl/>
        </w:rPr>
        <w:instrText>َّ</w:instrText>
      </w:r>
      <w:r w:rsidR="00164159" w:rsidRPr="00C85F0F">
        <w:rPr>
          <w:rFonts w:hint="cs"/>
          <w:bCs w:val="0"/>
          <w:rtl/>
        </w:rPr>
        <w:instrText>ر</w:instrText>
      </w:r>
      <w:r w:rsidR="00164159" w:rsidRPr="00C85F0F">
        <w:rPr>
          <w:bCs w:val="0"/>
          <w:rtl/>
        </w:rPr>
        <w:instrText>َ</w:instrText>
      </w:r>
      <w:r w:rsidR="00164159" w:rsidRPr="00C85F0F">
        <w:rPr>
          <w:rFonts w:hint="cs"/>
          <w:bCs w:val="0"/>
          <w:rtl/>
        </w:rPr>
        <w:instrText>ر</w:instrText>
      </w:r>
      <w:r w:rsidR="00164159" w:rsidRPr="00C85F0F">
        <w:rPr>
          <w:bCs w:val="0"/>
          <w:rtl/>
        </w:rPr>
        <w:instrText>" \</w:instrText>
      </w:r>
      <w:r w:rsidR="00164159" w:rsidRPr="00C85F0F">
        <w:rPr>
          <w:bCs w:val="0"/>
        </w:rPr>
        <w:instrText>f</w:instrText>
      </w:r>
      <w:r w:rsidR="00164159" w:rsidRPr="00164159">
        <w:instrText>m</w:instrText>
      </w:r>
      <w:r w:rsidR="00AB0B9E">
        <w:rPr>
          <w:b w:val="0"/>
          <w:rtl/>
        </w:rPr>
        <w:fldChar w:fldCharType="end"/>
      </w:r>
      <w:r>
        <w:rPr>
          <w:rFonts w:hint="cs"/>
          <w:b w:val="0"/>
          <w:rtl/>
        </w:rPr>
        <w:t>والض</w:t>
      </w:r>
      <w:r>
        <w:rPr>
          <w:b w:val="0"/>
          <w:rtl/>
        </w:rPr>
        <w:t>ِّ</w:t>
      </w:r>
      <w:r>
        <w:rPr>
          <w:rFonts w:hint="cs"/>
          <w:b w:val="0"/>
          <w:rtl/>
        </w:rPr>
        <w:t>رار</w:t>
      </w:r>
      <w:r w:rsidR="00AB0B9E">
        <w:rPr>
          <w:b w:val="0"/>
          <w:rtl/>
        </w:rPr>
        <w:fldChar w:fldCharType="begin"/>
      </w:r>
      <w:r w:rsidR="00164159" w:rsidRPr="00C85F0F">
        <w:rPr>
          <w:bCs w:val="0"/>
        </w:rPr>
        <w:instrText>XE</w:instrText>
      </w:r>
      <w:r w:rsidR="00164159" w:rsidRPr="00C85F0F">
        <w:rPr>
          <w:bCs w:val="0"/>
          <w:rtl/>
        </w:rPr>
        <w:instrText xml:space="preserve"> "</w:instrText>
      </w:r>
      <w:r w:rsidR="00164159" w:rsidRPr="00C85F0F">
        <w:rPr>
          <w:rFonts w:hint="cs"/>
          <w:bCs w:val="0"/>
          <w:rtl/>
        </w:rPr>
        <w:instrText>الض</w:instrText>
      </w:r>
      <w:r w:rsidR="00164159" w:rsidRPr="00C85F0F">
        <w:rPr>
          <w:bCs w:val="0"/>
          <w:rtl/>
        </w:rPr>
        <w:instrText>ِّ</w:instrText>
      </w:r>
      <w:r w:rsidR="00164159" w:rsidRPr="00C85F0F">
        <w:rPr>
          <w:rFonts w:hint="cs"/>
          <w:bCs w:val="0"/>
          <w:rtl/>
        </w:rPr>
        <w:instrText>رار</w:instrText>
      </w:r>
      <w:r w:rsidR="00164159" w:rsidRPr="00C85F0F">
        <w:rPr>
          <w:bCs w:val="0"/>
          <w:rtl/>
        </w:rPr>
        <w:instrText>" \</w:instrText>
      </w:r>
      <w:r w:rsidR="00164159" w:rsidRPr="00C85F0F">
        <w:rPr>
          <w:bCs w:val="0"/>
        </w:rPr>
        <w:instrText>f</w:instrText>
      </w:r>
      <w:r w:rsidR="00164159" w:rsidRPr="00164159">
        <w:instrText>m</w:instrText>
      </w:r>
      <w:r w:rsidR="00AB0B9E">
        <w:rPr>
          <w:b w:val="0"/>
          <w:rtl/>
        </w:rPr>
        <w:fldChar w:fldCharType="end"/>
      </w:r>
      <w:r>
        <w:rPr>
          <w:rFonts w:hint="cs"/>
          <w:b w:val="0"/>
          <w:rtl/>
        </w:rPr>
        <w:t xml:space="preserve"> لغة</w:t>
      </w:r>
      <w:r>
        <w:rPr>
          <w:b w:val="0"/>
          <w:rtl/>
        </w:rPr>
        <w:t>ً</w:t>
      </w:r>
      <w:r>
        <w:rPr>
          <w:rFonts w:hint="cs"/>
          <w:b w:val="0"/>
          <w:rtl/>
        </w:rPr>
        <w:t>:</w:t>
      </w:r>
    </w:p>
    <w:p w:rsidR="00F665A6" w:rsidRDefault="00F665A6" w:rsidP="00B93718">
      <w:pPr>
        <w:ind w:firstLine="720"/>
        <w:rPr>
          <w:rFonts w:ascii="Traditional Arabic" w:hAnsi="Traditional Arabic"/>
          <w:rtl/>
        </w:rPr>
      </w:pPr>
      <w:r w:rsidRPr="00EB29FC">
        <w:rPr>
          <w:rFonts w:ascii="Traditional Arabic" w:hAnsi="Traditional Arabic" w:hint="cs"/>
          <w:rtl/>
        </w:rPr>
        <w:t xml:space="preserve">يقول </w:t>
      </w:r>
      <w:r w:rsidR="007C2E49">
        <w:rPr>
          <w:rFonts w:ascii="Traditional Arabic" w:hAnsi="Traditional Arabic" w:hint="cs"/>
          <w:rtl/>
        </w:rPr>
        <w:t xml:space="preserve"> </w:t>
      </w:r>
      <w:r w:rsidRPr="00EB29FC">
        <w:rPr>
          <w:rFonts w:ascii="Traditional Arabic" w:hAnsi="Traditional Arabic" w:hint="cs"/>
          <w:rtl/>
        </w:rPr>
        <w:t>ابن فارس</w:t>
      </w:r>
      <w:r w:rsidR="007C2E49">
        <w:rPr>
          <w:rFonts w:ascii="Traditional Arabic" w:hAnsi="Traditional Arabic" w:hint="cs"/>
          <w:rtl/>
        </w:rPr>
        <w:t>_</w:t>
      </w:r>
      <w:r w:rsidR="007C2E49" w:rsidRPr="005D5694">
        <w:rPr>
          <w:rFonts w:ascii="Traditional Arabic" w:hAnsi="Traditional Arabic" w:cs="CTraditional Arabic" w:hint="cs"/>
          <w:color w:val="auto"/>
          <w:rtl/>
        </w:rPr>
        <w:t>/</w:t>
      </w:r>
      <w:r w:rsidR="007C2E49">
        <w:rPr>
          <w:rFonts w:ascii="Traditional Arabic" w:hAnsi="Traditional Arabic" w:hint="cs"/>
          <w:szCs w:val="32"/>
          <w:rtl/>
        </w:rPr>
        <w:t>_</w:t>
      </w:r>
      <w:r w:rsidRPr="00EB29FC">
        <w:rPr>
          <w:rFonts w:ascii="Traditional Arabic" w:hAnsi="Traditional Arabic" w:hint="cs"/>
          <w:rtl/>
        </w:rPr>
        <w:t>:</w:t>
      </w:r>
      <w:r>
        <w:rPr>
          <w:rFonts w:ascii="Traditional Arabic" w:hAnsi="Traditional Arabic" w:hint="cs"/>
          <w:b/>
          <w:bCs/>
          <w:rtl/>
        </w:rPr>
        <w:t xml:space="preserve"> (</w:t>
      </w:r>
      <w:r w:rsidRPr="00EB29FC">
        <w:rPr>
          <w:rFonts w:ascii="Traditional Arabic" w:hAnsi="Traditional Arabic" w:hint="cs"/>
          <w:rtl/>
        </w:rPr>
        <w:t>الضاد</w:t>
      </w:r>
      <w:r w:rsidR="00154102">
        <w:rPr>
          <w:rFonts w:ascii="Traditional Arabic" w:hAnsi="Traditional Arabic" w:hint="cs"/>
          <w:rtl/>
        </w:rPr>
        <w:t xml:space="preserve"> و</w:t>
      </w:r>
      <w:r w:rsidRPr="00EB29FC">
        <w:rPr>
          <w:rFonts w:ascii="Traditional Arabic" w:hAnsi="Traditional Arabic" w:hint="cs"/>
          <w:rtl/>
        </w:rPr>
        <w:t>الراء</w:t>
      </w:r>
      <w:r>
        <w:rPr>
          <w:rFonts w:ascii="Traditional Arabic" w:hAnsi="Traditional Arabic" w:hint="cs"/>
          <w:rtl/>
        </w:rPr>
        <w:t xml:space="preserve"> ثلاثة أصول،الأول:</w:t>
      </w:r>
      <w:r w:rsidR="007C2E49">
        <w:rPr>
          <w:rFonts w:ascii="Traditional Arabic" w:hAnsi="Traditional Arabic" w:hint="cs"/>
          <w:b/>
          <w:bCs/>
          <w:rtl/>
        </w:rPr>
        <w:t xml:space="preserve"> </w:t>
      </w:r>
      <w:r w:rsidRPr="007C2E49">
        <w:rPr>
          <w:rFonts w:ascii="Traditional Arabic" w:hAnsi="Traditional Arabic" w:hint="cs"/>
          <w:rtl/>
        </w:rPr>
        <w:t>خ</w:t>
      </w:r>
      <w:r w:rsidRPr="007C2E49">
        <w:rPr>
          <w:rFonts w:ascii="Traditional Arabic" w:hAnsi="Traditional Arabic"/>
          <w:rtl/>
        </w:rPr>
        <w:t>ِ</w:t>
      </w:r>
      <w:r w:rsidRPr="007C2E49">
        <w:rPr>
          <w:rFonts w:ascii="Traditional Arabic" w:hAnsi="Traditional Arabic" w:hint="cs"/>
          <w:rtl/>
        </w:rPr>
        <w:t>لاف</w:t>
      </w:r>
      <w:r w:rsidR="00FD2A4D">
        <w:rPr>
          <w:rFonts w:ascii="Traditional Arabic" w:hAnsi="Traditional Arabic" w:hint="cs"/>
          <w:rtl/>
        </w:rPr>
        <w:t>ُ</w:t>
      </w:r>
      <w:r w:rsidRPr="007C2E49">
        <w:rPr>
          <w:rFonts w:ascii="Traditional Arabic" w:hAnsi="Traditional Arabic" w:hint="cs"/>
          <w:rtl/>
        </w:rPr>
        <w:t xml:space="preserve"> الن</w:t>
      </w:r>
      <w:r w:rsidRPr="007C2E49">
        <w:rPr>
          <w:rFonts w:ascii="Traditional Arabic" w:hAnsi="Traditional Arabic"/>
          <w:rtl/>
        </w:rPr>
        <w:t>َّ</w:t>
      </w:r>
      <w:r w:rsidRPr="007C2E49">
        <w:rPr>
          <w:rFonts w:ascii="Traditional Arabic" w:hAnsi="Traditional Arabic" w:hint="cs"/>
          <w:rtl/>
        </w:rPr>
        <w:t>ف</w:t>
      </w:r>
      <w:r w:rsidRPr="007C2E49">
        <w:rPr>
          <w:rFonts w:ascii="Traditional Arabic" w:hAnsi="Traditional Arabic"/>
          <w:rtl/>
        </w:rPr>
        <w:t>ْ</w:t>
      </w:r>
      <w:r w:rsidRPr="007C2E49">
        <w:rPr>
          <w:rFonts w:ascii="Traditional Arabic" w:hAnsi="Traditional Arabic" w:hint="cs"/>
          <w:rtl/>
        </w:rPr>
        <w:t>ع</w:t>
      </w:r>
      <w:r w:rsidRPr="008702BD">
        <w:rPr>
          <w:rFonts w:ascii="Traditional Arabic" w:hAnsi="Traditional Arabic" w:hint="cs"/>
          <w:rtl/>
        </w:rPr>
        <w:t>...</w:t>
      </w:r>
      <w:r>
        <w:rPr>
          <w:rFonts w:ascii="Traditional Arabic" w:hAnsi="Traditional Arabic" w:hint="cs"/>
          <w:rtl/>
        </w:rPr>
        <w:t>ويقال:ض</w:t>
      </w:r>
      <w:r>
        <w:rPr>
          <w:rFonts w:ascii="Traditional Arabic" w:hAnsi="Traditional Arabic"/>
          <w:rtl/>
        </w:rPr>
        <w:t>َ</w:t>
      </w:r>
      <w:r>
        <w:rPr>
          <w:rFonts w:ascii="Traditional Arabic" w:hAnsi="Traditional Arabic" w:hint="cs"/>
          <w:rtl/>
        </w:rPr>
        <w:t>ر</w:t>
      </w:r>
      <w:r>
        <w:rPr>
          <w:rFonts w:ascii="Traditional Arabic" w:hAnsi="Traditional Arabic"/>
          <w:rtl/>
        </w:rPr>
        <w:t>ّ</w:t>
      </w:r>
      <w:r w:rsidR="007C2E49">
        <w:rPr>
          <w:rFonts w:ascii="Traditional Arabic" w:hAnsi="Traditional Arabic" w:hint="cs"/>
          <w:rtl/>
        </w:rPr>
        <w:t>َ</w:t>
      </w:r>
      <w:r>
        <w:rPr>
          <w:rFonts w:ascii="Traditional Arabic" w:hAnsi="Traditional Arabic" w:hint="cs"/>
          <w:rtl/>
        </w:rPr>
        <w:t>ه يض</w:t>
      </w:r>
      <w:r w:rsidR="007C2E49">
        <w:rPr>
          <w:rFonts w:ascii="Traditional Arabic" w:hAnsi="Traditional Arabic" w:hint="cs"/>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ه ضر</w:t>
      </w:r>
      <w:r>
        <w:rPr>
          <w:rFonts w:ascii="Traditional Arabic" w:hAnsi="Traditional Arabic"/>
          <w:rtl/>
        </w:rPr>
        <w:t>ًّ</w:t>
      </w:r>
      <w:r>
        <w:rPr>
          <w:rFonts w:ascii="Traditional Arabic" w:hAnsi="Traditional Arabic" w:hint="cs"/>
          <w:rtl/>
        </w:rPr>
        <w:t>ا، ثم ي</w:t>
      </w:r>
      <w:r>
        <w:rPr>
          <w:rFonts w:ascii="Traditional Arabic" w:hAnsi="Traditional Arabic"/>
          <w:rtl/>
        </w:rPr>
        <w:t>ُ</w:t>
      </w:r>
      <w:r>
        <w:rPr>
          <w:rFonts w:ascii="Traditional Arabic" w:hAnsi="Traditional Arabic" w:hint="cs"/>
          <w:rtl/>
        </w:rPr>
        <w:t>ح</w:t>
      </w:r>
      <w:r>
        <w:rPr>
          <w:rFonts w:ascii="Traditional Arabic" w:hAnsi="Traditional Arabic"/>
          <w:rtl/>
        </w:rPr>
        <w:t>ْ</w:t>
      </w:r>
      <w:r>
        <w:rPr>
          <w:rFonts w:ascii="Traditional Arabic" w:hAnsi="Traditional Arabic" w:hint="cs"/>
          <w:rtl/>
        </w:rPr>
        <w:t>م</w:t>
      </w:r>
      <w:r>
        <w:rPr>
          <w:rFonts w:ascii="Traditional Arabic" w:hAnsi="Traditional Arabic"/>
          <w:rtl/>
        </w:rPr>
        <w:t>َ</w:t>
      </w:r>
      <w:r>
        <w:rPr>
          <w:rFonts w:ascii="Traditional Arabic" w:hAnsi="Traditional Arabic" w:hint="cs"/>
          <w:rtl/>
        </w:rPr>
        <w:t>ل على هذا المعنى كل ما جان</w:t>
      </w:r>
      <w:r>
        <w:rPr>
          <w:rFonts w:ascii="Traditional Arabic" w:hAnsi="Traditional Arabic"/>
          <w:rtl/>
        </w:rPr>
        <w:t>َ</w:t>
      </w:r>
      <w:r>
        <w:rPr>
          <w:rFonts w:ascii="Traditional Arabic" w:hAnsi="Traditional Arabic" w:hint="cs"/>
          <w:rtl/>
        </w:rPr>
        <w:t>سه أو قار</w:t>
      </w:r>
      <w:r>
        <w:rPr>
          <w:rFonts w:ascii="Traditional Arabic" w:hAnsi="Traditional Arabic"/>
          <w:rtl/>
        </w:rPr>
        <w:t>َ</w:t>
      </w:r>
      <w:r>
        <w:rPr>
          <w:rFonts w:ascii="Traditional Arabic" w:hAnsi="Traditional Arabic" w:hint="cs"/>
          <w:rtl/>
        </w:rPr>
        <w:t>به</w:t>
      </w:r>
      <w:r>
        <w:rPr>
          <w:rFonts w:ascii="Traditional Arabic" w:hAnsi="Traditional Arabic" w:hint="cs"/>
          <w:b/>
          <w:bCs/>
          <w:rtl/>
        </w:rPr>
        <w:t>)</w:t>
      </w:r>
      <w:r w:rsidRPr="00C821A1">
        <w:rPr>
          <w:rFonts w:ascii="Traditional Arabic" w:hAnsi="Traditional Arabic" w:hint="cs"/>
          <w:b/>
          <w:szCs w:val="32"/>
          <w:vertAlign w:val="superscript"/>
          <w:rtl/>
        </w:rPr>
        <w:t>(</w:t>
      </w:r>
      <w:r w:rsidRPr="00C821A1">
        <w:rPr>
          <w:rStyle w:val="af1"/>
          <w:rFonts w:ascii="Traditional Arabic" w:hAnsi="Traditional Arabic"/>
          <w:szCs w:val="32"/>
          <w:rtl/>
        </w:rPr>
        <w:footnoteReference w:id="908"/>
      </w:r>
      <w:r w:rsidRPr="00C821A1">
        <w:rPr>
          <w:rFonts w:ascii="Traditional Arabic" w:hAnsi="Traditional Arabic" w:hint="cs"/>
          <w:szCs w:val="32"/>
          <w:vertAlign w:val="superscript"/>
          <w:rtl/>
        </w:rPr>
        <w:t>)</w:t>
      </w:r>
      <w:r>
        <w:rPr>
          <w:rFonts w:ascii="Traditional Arabic" w:hAnsi="Traditional Arabic" w:hint="cs"/>
          <w:rtl/>
        </w:rPr>
        <w:t>.</w:t>
      </w:r>
    </w:p>
    <w:p w:rsidR="00F665A6" w:rsidRDefault="00F665A6" w:rsidP="00597C20">
      <w:pPr>
        <w:ind w:firstLine="720"/>
        <w:rPr>
          <w:rFonts w:ascii="Traditional Arabic" w:hAnsi="Traditional Arabic"/>
          <w:rtl/>
        </w:rPr>
      </w:pPr>
      <w:r>
        <w:rPr>
          <w:rFonts w:ascii="Traditional Arabic" w:hAnsi="Traditional Arabic" w:hint="cs"/>
          <w:rtl/>
        </w:rPr>
        <w:t>والض</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 xml:space="preserve"> المصدر،</w:t>
      </w:r>
      <w:r w:rsidR="00154102">
        <w:rPr>
          <w:rFonts w:ascii="Traditional Arabic" w:hAnsi="Traditional Arabic" w:hint="cs"/>
          <w:rtl/>
        </w:rPr>
        <w:t xml:space="preserve"> و</w:t>
      </w:r>
      <w:r>
        <w:rPr>
          <w:rFonts w:ascii="Traditional Arabic" w:hAnsi="Traditional Arabic" w:hint="cs"/>
          <w:rtl/>
        </w:rPr>
        <w:t>الض</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 xml:space="preserve"> الاسم،</w:t>
      </w:r>
      <w:r w:rsidR="00154102">
        <w:rPr>
          <w:rFonts w:ascii="Traditional Arabic" w:hAnsi="Traditional Arabic" w:hint="cs"/>
          <w:rtl/>
        </w:rPr>
        <w:t xml:space="preserve"> و</w:t>
      </w:r>
      <w:r>
        <w:rPr>
          <w:rFonts w:ascii="Traditional Arabic" w:hAnsi="Traditional Arabic" w:hint="cs"/>
          <w:rtl/>
        </w:rPr>
        <w:t>قيل:</w:t>
      </w:r>
      <w:r w:rsidR="00FD2A4D">
        <w:rPr>
          <w:rFonts w:ascii="Traditional Arabic" w:hAnsi="Traditional Arabic" w:hint="cs"/>
          <w:rtl/>
        </w:rPr>
        <w:t xml:space="preserve"> </w:t>
      </w:r>
      <w:r>
        <w:rPr>
          <w:rFonts w:ascii="Traditional Arabic" w:hAnsi="Traditional Arabic" w:hint="cs"/>
          <w:rtl/>
        </w:rPr>
        <w:t>هما لغتان.</w:t>
      </w:r>
      <w:r w:rsidR="00FD2A4D">
        <w:rPr>
          <w:rFonts w:ascii="Traditional Arabic" w:hAnsi="Traditional Arabic" w:hint="cs"/>
          <w:rtl/>
        </w:rPr>
        <w:t xml:space="preserve"> و</w:t>
      </w:r>
      <w:r>
        <w:rPr>
          <w:rFonts w:ascii="Traditional Arabic" w:hAnsi="Traditional Arabic" w:hint="cs"/>
          <w:rtl/>
        </w:rPr>
        <w:t>ال</w:t>
      </w:r>
      <w:r>
        <w:rPr>
          <w:rFonts w:ascii="Traditional Arabic" w:hAnsi="Traditional Arabic"/>
          <w:rtl/>
        </w:rPr>
        <w:t>ْ</w:t>
      </w:r>
      <w:r>
        <w:rPr>
          <w:rFonts w:ascii="Traditional Arabic" w:hAnsi="Traditional Arabic" w:hint="cs"/>
          <w:rtl/>
        </w:rPr>
        <w:t>م</w:t>
      </w:r>
      <w:r>
        <w:rPr>
          <w:rFonts w:ascii="Traditional Arabic" w:hAnsi="Traditional Arabic"/>
          <w:rtl/>
        </w:rPr>
        <w:t>َ</w:t>
      </w:r>
      <w:r>
        <w:rPr>
          <w:rFonts w:ascii="Traditional Arabic" w:hAnsi="Traditional Arabic" w:hint="cs"/>
          <w:rtl/>
        </w:rPr>
        <w:t>ض</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ة خلاف</w:t>
      </w:r>
      <w:r w:rsidR="00FD2A4D">
        <w:rPr>
          <w:rFonts w:ascii="Traditional Arabic" w:hAnsi="Traditional Arabic" w:hint="cs"/>
          <w:rtl/>
        </w:rPr>
        <w:t>ُ</w:t>
      </w:r>
      <w:r>
        <w:rPr>
          <w:rFonts w:ascii="Traditional Arabic" w:hAnsi="Traditional Arabic" w:hint="cs"/>
          <w:rtl/>
        </w:rPr>
        <w:t xml:space="preserve"> المنْفَعة.و ض</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ه ي</w:t>
      </w:r>
      <w:r>
        <w:rPr>
          <w:rFonts w:ascii="Traditional Arabic" w:hAnsi="Traditional Arabic"/>
          <w:rtl/>
        </w:rPr>
        <w:t>َ</w:t>
      </w:r>
      <w:r>
        <w:rPr>
          <w:rFonts w:ascii="Traditional Arabic" w:hAnsi="Traditional Arabic" w:hint="cs"/>
          <w:rtl/>
        </w:rPr>
        <w:t>ض</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ه ضر</w:t>
      </w:r>
      <w:r>
        <w:rPr>
          <w:rFonts w:ascii="Traditional Arabic" w:hAnsi="Traditional Arabic"/>
          <w:rtl/>
        </w:rPr>
        <w:t>ًّ</w:t>
      </w:r>
      <w:r>
        <w:rPr>
          <w:rFonts w:ascii="Traditional Arabic" w:hAnsi="Traditional Arabic" w:hint="cs"/>
          <w:rtl/>
        </w:rPr>
        <w:t>ا</w:t>
      </w:r>
      <w:r w:rsidR="00154102">
        <w:rPr>
          <w:rFonts w:ascii="Traditional Arabic" w:hAnsi="Traditional Arabic" w:hint="cs"/>
          <w:rtl/>
        </w:rPr>
        <w:t xml:space="preserve"> و</w:t>
      </w:r>
      <w:r>
        <w:rPr>
          <w:rFonts w:ascii="Traditional Arabic" w:hAnsi="Traditional Arabic" w:hint="cs"/>
          <w:rtl/>
        </w:rPr>
        <w:t>ض</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 xml:space="preserve"> به</w:t>
      </w:r>
      <w:r w:rsidR="00154102">
        <w:rPr>
          <w:rFonts w:ascii="Traditional Arabic" w:hAnsi="Traditional Arabic" w:hint="cs"/>
          <w:rtl/>
        </w:rPr>
        <w:t xml:space="preserve"> و</w:t>
      </w:r>
      <w:r>
        <w:rPr>
          <w:rFonts w:ascii="Traditional Arabic" w:hAnsi="Traditional Arabic" w:hint="cs"/>
          <w:rtl/>
        </w:rPr>
        <w:t>أ</w:t>
      </w:r>
      <w:r>
        <w:rPr>
          <w:rFonts w:ascii="Traditional Arabic" w:hAnsi="Traditional Arabic"/>
          <w:rtl/>
        </w:rPr>
        <w:t>َ</w:t>
      </w:r>
      <w:r>
        <w:rPr>
          <w:rFonts w:ascii="Traditional Arabic" w:hAnsi="Traditional Arabic" w:hint="cs"/>
          <w:rtl/>
        </w:rPr>
        <w:t>ض</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 xml:space="preserve"> به</w:t>
      </w:r>
      <w:r w:rsidR="00154102">
        <w:rPr>
          <w:rFonts w:ascii="Traditional Arabic" w:hAnsi="Traditional Arabic" w:hint="cs"/>
          <w:rtl/>
        </w:rPr>
        <w:t xml:space="preserve"> و</w:t>
      </w:r>
      <w:r>
        <w:rPr>
          <w:rFonts w:ascii="Traditional Arabic" w:hAnsi="Traditional Arabic" w:hint="cs"/>
          <w:rtl/>
        </w:rPr>
        <w:t>ضار</w:t>
      </w:r>
      <w:r>
        <w:rPr>
          <w:rFonts w:ascii="Traditional Arabic" w:hAnsi="Traditional Arabic"/>
          <w:rtl/>
        </w:rPr>
        <w:t>َّ</w:t>
      </w:r>
      <w:r>
        <w:rPr>
          <w:rFonts w:ascii="Traditional Arabic" w:hAnsi="Traditional Arabic" w:hint="cs"/>
          <w:rtl/>
        </w:rPr>
        <w:t>ه م</w:t>
      </w:r>
      <w:r>
        <w:rPr>
          <w:rFonts w:ascii="Traditional Arabic" w:hAnsi="Traditional Arabic"/>
          <w:rtl/>
        </w:rPr>
        <w:t>ُ</w:t>
      </w:r>
      <w:r>
        <w:rPr>
          <w:rFonts w:ascii="Traditional Arabic" w:hAnsi="Traditional Arabic" w:hint="cs"/>
          <w:rtl/>
        </w:rPr>
        <w:t>ضار</w:t>
      </w:r>
      <w:r>
        <w:rPr>
          <w:rFonts w:ascii="Traditional Arabic" w:hAnsi="Traditional Arabic"/>
          <w:rtl/>
        </w:rPr>
        <w:t>َّ</w:t>
      </w:r>
      <w:r>
        <w:rPr>
          <w:rFonts w:ascii="Traditional Arabic" w:hAnsi="Traditional Arabic" w:hint="cs"/>
          <w:rtl/>
        </w:rPr>
        <w:t>ة</w:t>
      </w:r>
      <w:r>
        <w:rPr>
          <w:rFonts w:ascii="Traditional Arabic" w:hAnsi="Traditional Arabic"/>
          <w:rtl/>
        </w:rPr>
        <w:t>ً</w:t>
      </w:r>
      <w:r w:rsidR="00154102">
        <w:rPr>
          <w:rFonts w:ascii="Traditional Arabic" w:hAnsi="Traditional Arabic" w:hint="cs"/>
          <w:rtl/>
        </w:rPr>
        <w:t xml:space="preserve"> و</w:t>
      </w:r>
      <w:r>
        <w:rPr>
          <w:rFonts w:ascii="Traditional Arabic" w:hAnsi="Traditional Arabic" w:hint="cs"/>
          <w:rtl/>
        </w:rPr>
        <w:t>ض</w:t>
      </w:r>
      <w:r>
        <w:rPr>
          <w:rFonts w:ascii="Traditional Arabic" w:hAnsi="Traditional Arabic"/>
          <w:rtl/>
        </w:rPr>
        <w:t>ِ</w:t>
      </w:r>
      <w:r>
        <w:rPr>
          <w:rFonts w:ascii="Traditional Arabic" w:hAnsi="Traditional Arabic" w:hint="cs"/>
          <w:rtl/>
        </w:rPr>
        <w:t>رار</w:t>
      </w:r>
      <w:r>
        <w:rPr>
          <w:rFonts w:ascii="Traditional Arabic" w:hAnsi="Traditional Arabic"/>
          <w:rtl/>
        </w:rPr>
        <w:t>ً</w:t>
      </w:r>
      <w:r>
        <w:rPr>
          <w:rFonts w:ascii="Traditional Arabic" w:hAnsi="Traditional Arabic" w:hint="cs"/>
          <w:rtl/>
        </w:rPr>
        <w:t>ا بمعنى،</w:t>
      </w:r>
      <w:r w:rsidR="00154102">
        <w:rPr>
          <w:rFonts w:ascii="Traditional Arabic" w:hAnsi="Traditional Arabic" w:hint="cs"/>
          <w:rtl/>
        </w:rPr>
        <w:t xml:space="preserve"> و</w:t>
      </w:r>
      <w:r>
        <w:rPr>
          <w:rFonts w:ascii="Traditional Arabic" w:hAnsi="Traditional Arabic" w:hint="cs"/>
          <w:rtl/>
        </w:rPr>
        <w:t>الاسم الضرر</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09"/>
      </w:r>
      <w:r w:rsidRPr="00C821A1">
        <w:rPr>
          <w:rFonts w:ascii="Traditional Arabic" w:hAnsi="Traditional Arabic" w:hint="cs"/>
          <w:szCs w:val="32"/>
          <w:vertAlign w:val="superscript"/>
          <w:rtl/>
        </w:rPr>
        <w:t>)</w:t>
      </w:r>
      <w:r>
        <w:rPr>
          <w:rFonts w:ascii="Traditional Arabic" w:hAnsi="Traditional Arabic" w:hint="cs"/>
          <w:rtl/>
        </w:rPr>
        <w:t>.</w:t>
      </w:r>
    </w:p>
    <w:p w:rsidR="00F665A6" w:rsidRPr="00017278" w:rsidRDefault="00F665A6" w:rsidP="00597C20">
      <w:pPr>
        <w:pStyle w:val="53"/>
        <w:rPr>
          <w:rtl/>
        </w:rPr>
      </w:pPr>
      <w:r w:rsidRPr="00017278">
        <w:rPr>
          <w:rFonts w:hint="cs"/>
          <w:rtl/>
        </w:rPr>
        <w:t>الضرر</w:t>
      </w:r>
      <w:r w:rsidR="00154102">
        <w:rPr>
          <w:rFonts w:hint="cs"/>
          <w:rtl/>
        </w:rPr>
        <w:t xml:space="preserve"> و</w:t>
      </w:r>
      <w:r w:rsidRPr="00017278">
        <w:rPr>
          <w:rFonts w:hint="cs"/>
          <w:rtl/>
        </w:rPr>
        <w:t>الضرار اصطلاحا</w:t>
      </w:r>
      <w:r>
        <w:rPr>
          <w:rFonts w:hint="cs"/>
          <w:rtl/>
        </w:rPr>
        <w:t>:</w:t>
      </w:r>
    </w:p>
    <w:p w:rsidR="00F665A6" w:rsidRDefault="00F665A6" w:rsidP="00597C20">
      <w:pPr>
        <w:ind w:firstLine="720"/>
        <w:rPr>
          <w:rFonts w:ascii="Traditional Arabic" w:hAnsi="Traditional Arabic"/>
          <w:rtl/>
        </w:rPr>
      </w:pPr>
      <w:r>
        <w:rPr>
          <w:rFonts w:ascii="Traditional Arabic" w:hAnsi="Traditional Arabic" w:hint="cs"/>
          <w:rtl/>
        </w:rPr>
        <w:t>يرجع تفسير الضرر</w:t>
      </w:r>
      <w:r w:rsidR="00154102">
        <w:rPr>
          <w:rFonts w:ascii="Traditional Arabic" w:hAnsi="Traditional Arabic" w:hint="cs"/>
          <w:rtl/>
        </w:rPr>
        <w:t xml:space="preserve"> و</w:t>
      </w:r>
      <w:r>
        <w:rPr>
          <w:rFonts w:ascii="Traditional Arabic" w:hAnsi="Traditional Arabic" w:hint="cs"/>
          <w:rtl/>
        </w:rPr>
        <w:t xml:space="preserve">الضرار في القاعدة </w:t>
      </w:r>
      <w:r>
        <w:rPr>
          <w:rFonts w:ascii="Traditional Arabic" w:hAnsi="Traditional Arabic"/>
          <w:rtl/>
        </w:rPr>
        <w:t>ﺇ</w:t>
      </w:r>
      <w:r>
        <w:rPr>
          <w:rFonts w:ascii="Traditional Arabic" w:hAnsi="Traditional Arabic" w:hint="cs"/>
          <w:rtl/>
        </w:rPr>
        <w:t>لى تحديد معناهما في الحديث،</w:t>
      </w:r>
      <w:r w:rsidR="00154102">
        <w:rPr>
          <w:rFonts w:ascii="Traditional Arabic" w:hAnsi="Traditional Arabic" w:hint="cs"/>
          <w:rtl/>
        </w:rPr>
        <w:t xml:space="preserve"> و</w:t>
      </w:r>
      <w:r>
        <w:rPr>
          <w:rFonts w:ascii="Traditional Arabic" w:hAnsi="Traditional Arabic" w:hint="cs"/>
          <w:rtl/>
        </w:rPr>
        <w:t>لقد اختلف العلماء في ذلك:</w:t>
      </w:r>
    </w:p>
    <w:p w:rsidR="00F665A6" w:rsidRDefault="00F665A6" w:rsidP="00597C20">
      <w:pPr>
        <w:ind w:firstLine="720"/>
        <w:jc w:val="left"/>
        <w:rPr>
          <w:rFonts w:ascii="Traditional Arabic" w:hAnsi="Traditional Arabic"/>
          <w:rtl/>
        </w:rPr>
      </w:pPr>
      <w:r>
        <w:rPr>
          <w:rFonts w:ascii="Traditional Arabic" w:hAnsi="Traditional Arabic" w:hint="cs"/>
          <w:rtl/>
        </w:rPr>
        <w:t>فمنهم من قال:</w:t>
      </w:r>
      <w:r w:rsidR="008B1FA5">
        <w:rPr>
          <w:rFonts w:ascii="Traditional Arabic" w:hAnsi="Traditional Arabic" w:hint="cs"/>
          <w:rtl/>
        </w:rPr>
        <w:t xml:space="preserve"> </w:t>
      </w:r>
      <w:r>
        <w:rPr>
          <w:rFonts w:ascii="Traditional Arabic" w:hAnsi="Traditional Arabic"/>
          <w:rtl/>
        </w:rPr>
        <w:t>ﺇ</w:t>
      </w:r>
      <w:r>
        <w:rPr>
          <w:rFonts w:ascii="Traditional Arabic" w:hAnsi="Traditional Arabic" w:hint="cs"/>
          <w:rtl/>
        </w:rPr>
        <w:t>ن معناهما واحد، فيكون الثاني مؤك</w:t>
      </w:r>
      <w:r>
        <w:rPr>
          <w:rFonts w:ascii="Traditional Arabic" w:hAnsi="Traditional Arabic"/>
          <w:rtl/>
        </w:rPr>
        <w:t>ِّ</w:t>
      </w:r>
      <w:r>
        <w:rPr>
          <w:rFonts w:ascii="Traditional Arabic" w:hAnsi="Traditional Arabic" w:hint="cs"/>
          <w:rtl/>
        </w:rPr>
        <w:t>دا للأول.</w:t>
      </w:r>
    </w:p>
    <w:p w:rsidR="00F665A6" w:rsidRDefault="00F665A6" w:rsidP="00597C20">
      <w:pPr>
        <w:ind w:firstLine="720"/>
        <w:rPr>
          <w:rFonts w:ascii="Traditional Arabic" w:hAnsi="Traditional Arabic"/>
          <w:rtl/>
        </w:rPr>
      </w:pPr>
      <w:r>
        <w:rPr>
          <w:rFonts w:ascii="Traditional Arabic" w:hAnsi="Traditional Arabic" w:hint="cs"/>
          <w:rtl/>
        </w:rPr>
        <w:t>ومنهم من قال:</w:t>
      </w:r>
      <w:r w:rsidR="008B1FA5">
        <w:rPr>
          <w:rFonts w:ascii="Traditional Arabic" w:hAnsi="Traditional Arabic" w:hint="cs"/>
          <w:rtl/>
        </w:rPr>
        <w:t xml:space="preserve"> </w:t>
      </w:r>
      <w:r>
        <w:rPr>
          <w:rFonts w:ascii="Traditional Arabic" w:hAnsi="Traditional Arabic"/>
          <w:rtl/>
        </w:rPr>
        <w:t>ﺇ</w:t>
      </w:r>
      <w:r>
        <w:rPr>
          <w:rFonts w:ascii="Traditional Arabic" w:hAnsi="Traditional Arabic" w:hint="cs"/>
          <w:rtl/>
        </w:rPr>
        <w:t>ن بينهما فرق</w:t>
      </w:r>
      <w:r>
        <w:rPr>
          <w:rFonts w:ascii="Traditional Arabic" w:hAnsi="Traditional Arabic"/>
          <w:rtl/>
        </w:rPr>
        <w:t>ً</w:t>
      </w:r>
      <w:r>
        <w:rPr>
          <w:rFonts w:ascii="Traditional Arabic" w:hAnsi="Traditional Arabic" w:hint="cs"/>
          <w:rtl/>
        </w:rPr>
        <w:t>ا؛</w:t>
      </w:r>
      <w:r w:rsidR="008B1FA5">
        <w:rPr>
          <w:rFonts w:ascii="Traditional Arabic" w:hAnsi="Traditional Arabic" w:hint="cs"/>
          <w:rtl/>
        </w:rPr>
        <w:t xml:space="preserve"> </w:t>
      </w:r>
      <w:r>
        <w:rPr>
          <w:rFonts w:ascii="Traditional Arabic" w:hAnsi="Traditional Arabic" w:hint="cs"/>
          <w:rtl/>
        </w:rPr>
        <w:t>لأن التأسيس أولى من التأكيد.</w:t>
      </w:r>
      <w:r w:rsidRPr="002C6A51">
        <w:rPr>
          <w:rFonts w:ascii="Traditional Arabic" w:hAnsi="Traditional Arabic" w:hint="cs"/>
          <w:rtl/>
        </w:rPr>
        <w:t>ثم اختلف</w:t>
      </w:r>
      <w:r w:rsidR="008B1FA5">
        <w:rPr>
          <w:rFonts w:ascii="Traditional Arabic" w:hAnsi="Traditional Arabic" w:hint="cs"/>
          <w:rtl/>
        </w:rPr>
        <w:t xml:space="preserve"> </w:t>
      </w:r>
      <w:r w:rsidRPr="002C6A51">
        <w:rPr>
          <w:rFonts w:ascii="Traditional Arabic" w:hAnsi="Traditional Arabic" w:hint="cs"/>
          <w:rtl/>
        </w:rPr>
        <w:t>هؤلاء في الفرق بينهما على أقوال</w:t>
      </w:r>
      <w:r>
        <w:rPr>
          <w:rFonts w:ascii="Traditional Arabic" w:hAnsi="Traditional Arabic" w:hint="cs"/>
          <w:rtl/>
        </w:rPr>
        <w:t xml:space="preserve">، منها </w:t>
      </w:r>
      <w:r w:rsidRPr="002C6A51">
        <w:rPr>
          <w:rFonts w:ascii="Traditional Arabic" w:hAnsi="Traditional Arabic" w:hint="cs"/>
          <w:rtl/>
        </w:rPr>
        <w:t>:</w:t>
      </w:r>
    </w:p>
    <w:p w:rsidR="00F665A6" w:rsidRDefault="00F665A6" w:rsidP="000A76C7">
      <w:pPr>
        <w:pStyle w:val="afc"/>
        <w:numPr>
          <w:ilvl w:val="0"/>
          <w:numId w:val="129"/>
        </w:numPr>
        <w:rPr>
          <w:rFonts w:ascii="Traditional Arabic" w:hAnsi="Traditional Arabic"/>
        </w:rPr>
      </w:pPr>
      <w:r>
        <w:rPr>
          <w:rFonts w:ascii="Traditional Arabic" w:hAnsi="Traditional Arabic" w:hint="cs"/>
          <w:rtl/>
        </w:rPr>
        <w:t>الضرر هو الاسم،</w:t>
      </w:r>
      <w:r w:rsidR="00154102">
        <w:rPr>
          <w:rFonts w:ascii="Traditional Arabic" w:hAnsi="Traditional Arabic" w:hint="cs"/>
          <w:rtl/>
        </w:rPr>
        <w:t xml:space="preserve"> و</w:t>
      </w:r>
      <w:r>
        <w:rPr>
          <w:rFonts w:ascii="Traditional Arabic" w:hAnsi="Traditional Arabic" w:hint="cs"/>
          <w:rtl/>
        </w:rPr>
        <w:t>الضرار هو الفعل؛</w:t>
      </w:r>
      <w:r w:rsidR="008B1FA5">
        <w:rPr>
          <w:rFonts w:ascii="Traditional Arabic" w:hAnsi="Traditional Arabic" w:hint="cs"/>
          <w:rtl/>
        </w:rPr>
        <w:t xml:space="preserve"> </w:t>
      </w:r>
      <w:r>
        <w:rPr>
          <w:rFonts w:ascii="Traditional Arabic" w:hAnsi="Traditional Arabic" w:hint="cs"/>
          <w:rtl/>
        </w:rPr>
        <w:t>فالمعنى أن الضرر نفس</w:t>
      </w:r>
      <w:r>
        <w:rPr>
          <w:rFonts w:ascii="Traditional Arabic" w:hAnsi="Traditional Arabic"/>
          <w:rtl/>
        </w:rPr>
        <w:t>َ</w:t>
      </w:r>
      <w:r>
        <w:rPr>
          <w:rFonts w:ascii="Traditional Arabic" w:hAnsi="Traditional Arabic" w:hint="cs"/>
          <w:rtl/>
        </w:rPr>
        <w:t>ه م</w:t>
      </w:r>
      <w:r>
        <w:rPr>
          <w:rFonts w:ascii="Traditional Arabic" w:hAnsi="Traditional Arabic"/>
          <w:rtl/>
        </w:rPr>
        <w:t>ُ</w:t>
      </w:r>
      <w:r>
        <w:rPr>
          <w:rFonts w:ascii="Traditional Arabic" w:hAnsi="Traditional Arabic" w:hint="cs"/>
          <w:rtl/>
        </w:rPr>
        <w:t>ن</w:t>
      </w:r>
      <w:r>
        <w:rPr>
          <w:rFonts w:ascii="Traditional Arabic" w:hAnsi="Traditional Arabic"/>
          <w:rtl/>
        </w:rPr>
        <w:t>ْ</w:t>
      </w:r>
      <w:r>
        <w:rPr>
          <w:rFonts w:ascii="Traditional Arabic" w:hAnsi="Traditional Arabic" w:hint="cs"/>
          <w:rtl/>
        </w:rPr>
        <w:t>ت</w:t>
      </w:r>
      <w:r>
        <w:rPr>
          <w:rFonts w:ascii="Traditional Arabic" w:hAnsi="Traditional Arabic"/>
          <w:rtl/>
        </w:rPr>
        <w:t>َ</w:t>
      </w:r>
      <w:r>
        <w:rPr>
          <w:rFonts w:ascii="Traditional Arabic" w:hAnsi="Traditional Arabic" w:hint="cs"/>
          <w:rtl/>
        </w:rPr>
        <w:t>ف</w:t>
      </w:r>
      <w:r>
        <w:rPr>
          <w:rFonts w:ascii="Traditional Arabic" w:hAnsi="Traditional Arabic"/>
          <w:rtl/>
        </w:rPr>
        <w:t>ٍ</w:t>
      </w:r>
      <w:r>
        <w:rPr>
          <w:rFonts w:ascii="Traditional Arabic" w:hAnsi="Traditional Arabic" w:hint="cs"/>
          <w:rtl/>
        </w:rPr>
        <w:t xml:space="preserve"> في الشرع،</w:t>
      </w:r>
      <w:r w:rsidR="00154102">
        <w:rPr>
          <w:rFonts w:ascii="Traditional Arabic" w:hAnsi="Traditional Arabic" w:hint="cs"/>
          <w:rtl/>
        </w:rPr>
        <w:t xml:space="preserve"> و</w:t>
      </w:r>
      <w:r>
        <w:rPr>
          <w:rFonts w:ascii="Traditional Arabic" w:hAnsi="Traditional Arabic"/>
          <w:rtl/>
        </w:rPr>
        <w:t>ﺇ</w:t>
      </w:r>
      <w:r>
        <w:rPr>
          <w:rFonts w:ascii="Traditional Arabic" w:hAnsi="Traditional Arabic" w:hint="cs"/>
          <w:rtl/>
        </w:rPr>
        <w:t>دخال الضرر بغير حق كذلك.</w:t>
      </w:r>
    </w:p>
    <w:p w:rsidR="00F665A6" w:rsidRDefault="00F665A6" w:rsidP="000A76C7">
      <w:pPr>
        <w:pStyle w:val="afc"/>
        <w:numPr>
          <w:ilvl w:val="0"/>
          <w:numId w:val="129"/>
        </w:numPr>
        <w:rPr>
          <w:rFonts w:ascii="Traditional Arabic" w:hAnsi="Traditional Arabic"/>
        </w:rPr>
      </w:pPr>
      <w:r>
        <w:rPr>
          <w:rFonts w:ascii="Traditional Arabic" w:hAnsi="Traditional Arabic" w:hint="cs"/>
          <w:rtl/>
        </w:rPr>
        <w:t>الضرر أن ي</w:t>
      </w:r>
      <w:r>
        <w:rPr>
          <w:rFonts w:ascii="Traditional Arabic" w:hAnsi="Traditional Arabic"/>
          <w:rtl/>
        </w:rPr>
        <w:t>ُ</w:t>
      </w:r>
      <w:r>
        <w:rPr>
          <w:rFonts w:ascii="Traditional Arabic" w:hAnsi="Traditional Arabic" w:hint="cs"/>
          <w:rtl/>
        </w:rPr>
        <w:t>د</w:t>
      </w:r>
      <w:r>
        <w:rPr>
          <w:rFonts w:ascii="Traditional Arabic" w:hAnsi="Traditional Arabic"/>
          <w:rtl/>
        </w:rPr>
        <w:t>ْ</w:t>
      </w:r>
      <w:r>
        <w:rPr>
          <w:rFonts w:ascii="Traditional Arabic" w:hAnsi="Traditional Arabic" w:hint="cs"/>
          <w:rtl/>
        </w:rPr>
        <w:t>خ</w:t>
      </w:r>
      <w:r>
        <w:rPr>
          <w:rFonts w:ascii="Traditional Arabic" w:hAnsi="Traditional Arabic"/>
          <w:rtl/>
        </w:rPr>
        <w:t>ِ</w:t>
      </w:r>
      <w:r>
        <w:rPr>
          <w:rFonts w:ascii="Traditional Arabic" w:hAnsi="Traditional Arabic" w:hint="cs"/>
          <w:rtl/>
        </w:rPr>
        <w:t>ل على غيره ضرر</w:t>
      </w:r>
      <w:r>
        <w:rPr>
          <w:rFonts w:ascii="Traditional Arabic" w:hAnsi="Traditional Arabic"/>
          <w:rtl/>
        </w:rPr>
        <w:t>ً</w:t>
      </w:r>
      <w:r>
        <w:rPr>
          <w:rFonts w:ascii="Traditional Arabic" w:hAnsi="Traditional Arabic" w:hint="cs"/>
          <w:rtl/>
        </w:rPr>
        <w:t>ا بما ينتفع به،</w:t>
      </w:r>
      <w:r w:rsidR="00154102">
        <w:rPr>
          <w:rFonts w:ascii="Traditional Arabic" w:hAnsi="Traditional Arabic" w:hint="cs"/>
          <w:rtl/>
        </w:rPr>
        <w:t xml:space="preserve"> و</w:t>
      </w:r>
      <w:r>
        <w:rPr>
          <w:rFonts w:ascii="Traditional Arabic" w:hAnsi="Traditional Arabic" w:hint="cs"/>
          <w:rtl/>
        </w:rPr>
        <w:t>الضرار أن يدخل على غيره ضرر</w:t>
      </w:r>
      <w:r>
        <w:rPr>
          <w:rFonts w:ascii="Traditional Arabic" w:hAnsi="Traditional Arabic"/>
          <w:rtl/>
        </w:rPr>
        <w:t>ً</w:t>
      </w:r>
      <w:r>
        <w:rPr>
          <w:rFonts w:ascii="Traditional Arabic" w:hAnsi="Traditional Arabic" w:hint="cs"/>
          <w:rtl/>
        </w:rPr>
        <w:t>ا بما لا منفعة له به، كمن منع ما لا يضر</w:t>
      </w:r>
      <w:r>
        <w:rPr>
          <w:rFonts w:ascii="Traditional Arabic" w:hAnsi="Traditional Arabic"/>
          <w:rtl/>
        </w:rPr>
        <w:t>ّ</w:t>
      </w:r>
      <w:r>
        <w:rPr>
          <w:rFonts w:ascii="Traditional Arabic" w:hAnsi="Traditional Arabic" w:hint="cs"/>
          <w:rtl/>
        </w:rPr>
        <w:t>ه</w:t>
      </w:r>
      <w:r w:rsidR="00154102">
        <w:rPr>
          <w:rFonts w:ascii="Traditional Arabic" w:hAnsi="Traditional Arabic" w:hint="cs"/>
          <w:rtl/>
        </w:rPr>
        <w:t xml:space="preserve"> و</w:t>
      </w:r>
      <w:r>
        <w:rPr>
          <w:rFonts w:ascii="Traditional Arabic" w:hAnsi="Traditional Arabic" w:hint="cs"/>
          <w:rtl/>
        </w:rPr>
        <w:t>يتضر</w:t>
      </w:r>
      <w:r>
        <w:rPr>
          <w:rFonts w:ascii="Traditional Arabic" w:hAnsi="Traditional Arabic"/>
          <w:rtl/>
        </w:rPr>
        <w:t>ّ</w:t>
      </w:r>
      <w:r>
        <w:rPr>
          <w:rFonts w:ascii="Traditional Arabic" w:hAnsi="Traditional Arabic" w:hint="cs"/>
          <w:rtl/>
        </w:rPr>
        <w:t>ر به الممنوع.</w:t>
      </w:r>
    </w:p>
    <w:p w:rsidR="00F665A6" w:rsidRDefault="00F665A6" w:rsidP="000A76C7">
      <w:pPr>
        <w:pStyle w:val="afc"/>
        <w:numPr>
          <w:ilvl w:val="0"/>
          <w:numId w:val="129"/>
        </w:numPr>
        <w:rPr>
          <w:rFonts w:ascii="Traditional Arabic" w:hAnsi="Traditional Arabic"/>
        </w:rPr>
      </w:pPr>
      <w:r w:rsidRPr="00A55758">
        <w:rPr>
          <w:rFonts w:ascii="Traditional Arabic" w:hAnsi="Traditional Arabic" w:hint="cs"/>
          <w:rtl/>
        </w:rPr>
        <w:t>الضرر أن يضر</w:t>
      </w:r>
      <w:r w:rsidRPr="00A55758">
        <w:rPr>
          <w:rFonts w:ascii="Traditional Arabic" w:hAnsi="Traditional Arabic"/>
          <w:rtl/>
        </w:rPr>
        <w:t>ّ</w:t>
      </w:r>
      <w:r w:rsidRPr="00A55758">
        <w:rPr>
          <w:rFonts w:ascii="Traditional Arabic" w:hAnsi="Traditional Arabic" w:hint="cs"/>
          <w:rtl/>
        </w:rPr>
        <w:t xml:space="preserve"> بمن لا يضر</w:t>
      </w:r>
      <w:r w:rsidRPr="00A55758">
        <w:rPr>
          <w:rFonts w:ascii="Traditional Arabic" w:hAnsi="Traditional Arabic"/>
          <w:rtl/>
        </w:rPr>
        <w:t>ّ</w:t>
      </w:r>
      <w:r w:rsidRPr="00A55758">
        <w:rPr>
          <w:rFonts w:ascii="Traditional Arabic" w:hAnsi="Traditional Arabic" w:hint="cs"/>
          <w:rtl/>
        </w:rPr>
        <w:t>ه</w:t>
      </w:r>
      <w:r w:rsidR="00B76414">
        <w:rPr>
          <w:rFonts w:ascii="Traditional Arabic" w:hAnsi="Traditional Arabic" w:hint="cs"/>
          <w:rtl/>
        </w:rPr>
        <w:t>،</w:t>
      </w:r>
      <w:r w:rsidR="00154102">
        <w:rPr>
          <w:rFonts w:ascii="Traditional Arabic" w:hAnsi="Traditional Arabic" w:hint="cs"/>
          <w:rtl/>
        </w:rPr>
        <w:t xml:space="preserve"> و</w:t>
      </w:r>
      <w:r w:rsidRPr="00A55758">
        <w:rPr>
          <w:rFonts w:ascii="Traditional Arabic" w:hAnsi="Traditional Arabic" w:hint="cs"/>
          <w:rtl/>
        </w:rPr>
        <w:t>الضرار أن يضر</w:t>
      </w:r>
      <w:r w:rsidRPr="00A55758">
        <w:rPr>
          <w:rFonts w:ascii="Traditional Arabic" w:hAnsi="Traditional Arabic"/>
          <w:rtl/>
        </w:rPr>
        <w:t>ّ</w:t>
      </w:r>
      <w:r w:rsidRPr="00A55758">
        <w:rPr>
          <w:rFonts w:ascii="Traditional Arabic" w:hAnsi="Traditional Arabic" w:hint="cs"/>
          <w:rtl/>
        </w:rPr>
        <w:t xml:space="preserve"> بمن قد أ</w:t>
      </w:r>
      <w:r w:rsidRPr="00A55758">
        <w:rPr>
          <w:rFonts w:ascii="Traditional Arabic" w:hAnsi="Traditional Arabic"/>
          <w:rtl/>
        </w:rPr>
        <w:t>َ</w:t>
      </w:r>
      <w:r w:rsidRPr="00A55758">
        <w:rPr>
          <w:rFonts w:ascii="Traditional Arabic" w:hAnsi="Traditional Arabic" w:hint="cs"/>
          <w:rtl/>
        </w:rPr>
        <w:t>ضر</w:t>
      </w:r>
      <w:r w:rsidRPr="00A55758">
        <w:rPr>
          <w:rFonts w:ascii="Traditional Arabic" w:hAnsi="Traditional Arabic"/>
          <w:rtl/>
        </w:rPr>
        <w:t>ّ</w:t>
      </w:r>
      <w:r w:rsidRPr="00A55758">
        <w:rPr>
          <w:rFonts w:ascii="Traditional Arabic" w:hAnsi="Traditional Arabic" w:hint="cs"/>
          <w:rtl/>
        </w:rPr>
        <w:t xml:space="preserve"> به على وجه غير جائز</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10"/>
      </w:r>
      <w:r w:rsidRPr="00C821A1">
        <w:rPr>
          <w:rFonts w:ascii="Traditional Arabic" w:hAnsi="Traditional Arabic" w:hint="cs"/>
          <w:szCs w:val="32"/>
          <w:vertAlign w:val="superscript"/>
          <w:rtl/>
        </w:rPr>
        <w:t>)</w:t>
      </w:r>
      <w:r w:rsidRPr="00A55758">
        <w:rPr>
          <w:rFonts w:ascii="Traditional Arabic" w:hAnsi="Traditional Arabic" w:hint="cs"/>
          <w:rtl/>
        </w:rPr>
        <w:t>.</w:t>
      </w:r>
    </w:p>
    <w:p w:rsidR="00F665A6" w:rsidRDefault="00F665A6" w:rsidP="00597C20">
      <w:pPr>
        <w:pStyle w:val="53"/>
        <w:rPr>
          <w:rtl/>
        </w:rPr>
      </w:pPr>
      <w:r>
        <w:rPr>
          <w:rFonts w:hint="cs"/>
          <w:rtl/>
        </w:rPr>
        <w:lastRenderedPageBreak/>
        <w:t>رأي الشيخ ابن عثيمين</w:t>
      </w:r>
      <w:r w:rsidR="008B1FA5">
        <w:rPr>
          <w:rFonts w:hint="cs"/>
          <w:rtl/>
        </w:rPr>
        <w:t xml:space="preserve"> _رحمه الله_</w:t>
      </w:r>
      <w:r>
        <w:rPr>
          <w:rFonts w:hint="cs"/>
          <w:rtl/>
        </w:rPr>
        <w:t>:</w:t>
      </w:r>
    </w:p>
    <w:p w:rsidR="00F665A6" w:rsidRDefault="00CA2A73" w:rsidP="00CA2A73">
      <w:pPr>
        <w:ind w:firstLine="0"/>
        <w:rPr>
          <w:rFonts w:ascii="Traditional Arabic" w:hAnsi="Traditional Arabic"/>
          <w:rtl/>
        </w:rPr>
      </w:pPr>
      <w:r>
        <w:rPr>
          <w:rFonts w:ascii="Traditional Arabic" w:hAnsi="Traditional Arabic" w:hint="cs"/>
          <w:rtl/>
        </w:rPr>
        <w:t xml:space="preserve">    </w:t>
      </w:r>
      <w:r w:rsidR="00F665A6">
        <w:rPr>
          <w:rFonts w:ascii="Traditional Arabic" w:hAnsi="Traditional Arabic" w:hint="cs"/>
          <w:rtl/>
        </w:rPr>
        <w:t xml:space="preserve">يرى الشيخ </w:t>
      </w:r>
      <w:r w:rsidR="008B1FA5">
        <w:rPr>
          <w:rFonts w:ascii="Traditional Arabic" w:hAnsi="Traditional Arabic" w:hint="cs"/>
          <w:rtl/>
        </w:rPr>
        <w:t>_</w:t>
      </w:r>
      <w:r w:rsidR="00F665A6" w:rsidRPr="005D5694">
        <w:rPr>
          <w:rFonts w:ascii="Traditional Arabic" w:hAnsi="Traditional Arabic" w:cs="CTraditional Arabic" w:hint="cs"/>
          <w:color w:val="auto"/>
          <w:rtl/>
        </w:rPr>
        <w:t>/</w:t>
      </w:r>
      <w:r w:rsidR="008B1FA5">
        <w:rPr>
          <w:rFonts w:ascii="Traditional Arabic" w:hAnsi="Traditional Arabic" w:hint="cs"/>
          <w:rtl/>
        </w:rPr>
        <w:t>_</w:t>
      </w:r>
      <w:r w:rsidR="00F665A6">
        <w:rPr>
          <w:rFonts w:ascii="Traditional Arabic" w:hAnsi="Traditional Arabic" w:hint="cs"/>
          <w:rtl/>
        </w:rPr>
        <w:t xml:space="preserve"> أن هناك فرق</w:t>
      </w:r>
      <w:r w:rsidR="00FD2A4D">
        <w:rPr>
          <w:rFonts w:ascii="Traditional Arabic" w:hAnsi="Traditional Arabic" w:hint="cs"/>
          <w:rtl/>
        </w:rPr>
        <w:t>ا</w:t>
      </w:r>
      <w:r w:rsidR="00F665A6">
        <w:rPr>
          <w:rFonts w:ascii="Traditional Arabic" w:hAnsi="Traditional Arabic" w:hint="cs"/>
          <w:rtl/>
        </w:rPr>
        <w:t xml:space="preserve"> بين الضرر</w:t>
      </w:r>
      <w:r w:rsidR="00154102">
        <w:rPr>
          <w:rFonts w:ascii="Traditional Arabic" w:hAnsi="Traditional Arabic" w:hint="cs"/>
          <w:rtl/>
        </w:rPr>
        <w:t xml:space="preserve"> و</w:t>
      </w:r>
      <w:r w:rsidR="00F665A6">
        <w:rPr>
          <w:rFonts w:ascii="Traditional Arabic" w:hAnsi="Traditional Arabic" w:hint="cs"/>
          <w:rtl/>
        </w:rPr>
        <w:t>الضرار،</w:t>
      </w:r>
      <w:r w:rsidR="00154102">
        <w:rPr>
          <w:rFonts w:ascii="Traditional Arabic" w:hAnsi="Traditional Arabic" w:hint="cs"/>
          <w:rtl/>
        </w:rPr>
        <w:t xml:space="preserve"> و</w:t>
      </w:r>
      <w:r w:rsidR="00F665A6">
        <w:rPr>
          <w:rFonts w:ascii="Traditional Arabic" w:hAnsi="Traditional Arabic" w:hint="cs"/>
          <w:rtl/>
        </w:rPr>
        <w:t>أنه لا يمكن أن ي</w:t>
      </w:r>
      <w:r w:rsidR="00F665A6">
        <w:rPr>
          <w:rFonts w:ascii="Traditional Arabic" w:hAnsi="Traditional Arabic"/>
          <w:rtl/>
        </w:rPr>
        <w:t>ُ</w:t>
      </w:r>
      <w:r w:rsidR="00F665A6">
        <w:rPr>
          <w:rFonts w:ascii="Traditional Arabic" w:hAnsi="Traditional Arabic" w:hint="cs"/>
          <w:rtl/>
        </w:rPr>
        <w:t>ح</w:t>
      </w:r>
      <w:r w:rsidR="00F665A6">
        <w:rPr>
          <w:rFonts w:ascii="Traditional Arabic" w:hAnsi="Traditional Arabic"/>
          <w:rtl/>
        </w:rPr>
        <w:t>ْ</w:t>
      </w:r>
      <w:r w:rsidR="00F665A6">
        <w:rPr>
          <w:rFonts w:ascii="Traditional Arabic" w:hAnsi="Traditional Arabic" w:hint="cs"/>
          <w:rtl/>
        </w:rPr>
        <w:t>م</w:t>
      </w:r>
      <w:r w:rsidR="00F665A6">
        <w:rPr>
          <w:rFonts w:ascii="Traditional Arabic" w:hAnsi="Traditional Arabic"/>
          <w:rtl/>
        </w:rPr>
        <w:t>َ</w:t>
      </w:r>
      <w:r w:rsidR="00F665A6">
        <w:rPr>
          <w:rFonts w:ascii="Traditional Arabic" w:hAnsi="Traditional Arabic" w:hint="cs"/>
          <w:rtl/>
        </w:rPr>
        <w:t>ل الكلام في الحديث على التأكيد؛</w:t>
      </w:r>
      <w:r w:rsidR="008B1FA5">
        <w:rPr>
          <w:rFonts w:ascii="Traditional Arabic" w:hAnsi="Traditional Arabic" w:hint="cs"/>
          <w:rtl/>
        </w:rPr>
        <w:t xml:space="preserve"> </w:t>
      </w:r>
      <w:r w:rsidR="00F665A6">
        <w:rPr>
          <w:rFonts w:ascii="Traditional Arabic" w:hAnsi="Traditional Arabic" w:hint="cs"/>
          <w:rtl/>
        </w:rPr>
        <w:t>لأن الضرار معطوف على الضرر</w:t>
      </w:r>
      <w:r w:rsidR="008B1FA5">
        <w:rPr>
          <w:rFonts w:ascii="Traditional Arabic" w:hAnsi="Traditional Arabic" w:hint="cs"/>
          <w:rtl/>
        </w:rPr>
        <w:t xml:space="preserve"> </w:t>
      </w:r>
      <w:r w:rsidR="00F665A6">
        <w:rPr>
          <w:rFonts w:ascii="Traditional Arabic" w:hAnsi="Traditional Arabic" w:hint="cs"/>
          <w:rtl/>
        </w:rPr>
        <w:t>بالواو،</w:t>
      </w:r>
      <w:r w:rsidR="00154102">
        <w:rPr>
          <w:rFonts w:ascii="Traditional Arabic" w:hAnsi="Traditional Arabic" w:hint="cs"/>
          <w:rtl/>
        </w:rPr>
        <w:t xml:space="preserve"> و</w:t>
      </w:r>
      <w:r w:rsidR="00F665A6">
        <w:rPr>
          <w:rFonts w:ascii="Traditional Arabic" w:hAnsi="Traditional Arabic" w:hint="cs"/>
          <w:rtl/>
        </w:rPr>
        <w:t>العطف يقتضي المغاي</w:t>
      </w:r>
      <w:r w:rsidR="00F665A6">
        <w:rPr>
          <w:rFonts w:ascii="Traditional Arabic" w:hAnsi="Traditional Arabic"/>
          <w:rtl/>
        </w:rPr>
        <w:t>َ</w:t>
      </w:r>
      <w:r w:rsidR="00F665A6">
        <w:rPr>
          <w:rFonts w:ascii="Traditional Arabic" w:hAnsi="Traditional Arabic" w:hint="cs"/>
          <w:rtl/>
        </w:rPr>
        <w:t>رة،</w:t>
      </w:r>
      <w:r w:rsidR="00154102">
        <w:rPr>
          <w:rFonts w:ascii="Traditional Arabic" w:hAnsi="Traditional Arabic" w:hint="cs"/>
          <w:rtl/>
        </w:rPr>
        <w:t xml:space="preserve"> و</w:t>
      </w:r>
      <w:r w:rsidR="00F665A6">
        <w:rPr>
          <w:rFonts w:ascii="Traditional Arabic" w:hAnsi="Traditional Arabic" w:hint="cs"/>
          <w:rtl/>
        </w:rPr>
        <w:t>ذكر</w:t>
      </w:r>
      <w:r w:rsidR="008B1FA5">
        <w:rPr>
          <w:rFonts w:ascii="Traditional Arabic" w:hAnsi="Traditional Arabic" w:hint="cs"/>
          <w:rtl/>
        </w:rPr>
        <w:t xml:space="preserve"> </w:t>
      </w:r>
      <w:r w:rsidR="00F665A6">
        <w:rPr>
          <w:rFonts w:ascii="Traditional Arabic" w:hAnsi="Traditional Arabic" w:hint="cs"/>
          <w:rtl/>
        </w:rPr>
        <w:t xml:space="preserve">أن الفرق بينهما أن </w:t>
      </w:r>
      <w:r w:rsidR="00F665A6" w:rsidRPr="007C2E49">
        <w:rPr>
          <w:rFonts w:ascii="Traditional Arabic" w:hAnsi="Traditional Arabic" w:hint="cs"/>
          <w:rtl/>
        </w:rPr>
        <w:t>الضرر ما حصل بدون قص</w:t>
      </w:r>
      <w:r w:rsidR="00F665A6" w:rsidRPr="007C2E49">
        <w:rPr>
          <w:rFonts w:ascii="Traditional Arabic" w:hAnsi="Traditional Arabic"/>
          <w:rtl/>
        </w:rPr>
        <w:t>ْ</w:t>
      </w:r>
      <w:r w:rsidR="00F665A6" w:rsidRPr="007C2E49">
        <w:rPr>
          <w:rFonts w:ascii="Traditional Arabic" w:hAnsi="Traditional Arabic" w:hint="cs"/>
          <w:rtl/>
        </w:rPr>
        <w:t>د،</w:t>
      </w:r>
      <w:r w:rsidR="00154102" w:rsidRPr="007C2E49">
        <w:rPr>
          <w:rFonts w:ascii="Traditional Arabic" w:hAnsi="Traditional Arabic" w:hint="cs"/>
          <w:rtl/>
        </w:rPr>
        <w:t xml:space="preserve"> و</w:t>
      </w:r>
      <w:r w:rsidR="00F665A6" w:rsidRPr="007C2E49">
        <w:rPr>
          <w:rFonts w:ascii="Traditional Arabic" w:hAnsi="Traditional Arabic" w:hint="cs"/>
          <w:rtl/>
        </w:rPr>
        <w:t>الضرار ما حصل بقصد</w:t>
      </w:r>
      <w:r w:rsidR="00F665A6" w:rsidRPr="00C821A1">
        <w:rPr>
          <w:rFonts w:ascii="Traditional Arabic" w:hAnsi="Traditional Arabic" w:hint="cs"/>
          <w:szCs w:val="32"/>
          <w:vertAlign w:val="superscript"/>
          <w:rtl/>
        </w:rPr>
        <w:t>(</w:t>
      </w:r>
      <w:r w:rsidR="00F665A6" w:rsidRPr="00C821A1">
        <w:rPr>
          <w:rStyle w:val="af1"/>
          <w:rFonts w:ascii="Traditional Arabic" w:hAnsi="Traditional Arabic"/>
          <w:szCs w:val="32"/>
          <w:rtl/>
        </w:rPr>
        <w:footnoteReference w:id="911"/>
      </w:r>
      <w:r w:rsidR="00F665A6" w:rsidRPr="00C821A1">
        <w:rPr>
          <w:rFonts w:ascii="Traditional Arabic" w:hAnsi="Traditional Arabic" w:hint="cs"/>
          <w:szCs w:val="32"/>
          <w:vertAlign w:val="superscript"/>
          <w:rtl/>
        </w:rPr>
        <w:t>)</w:t>
      </w:r>
      <w:r w:rsidR="00F665A6">
        <w:rPr>
          <w:rFonts w:ascii="Traditional Arabic" w:hAnsi="Traditional Arabic" w:hint="cs"/>
          <w:rtl/>
        </w:rPr>
        <w:t>.</w:t>
      </w:r>
    </w:p>
    <w:p w:rsidR="00F665A6" w:rsidRDefault="00CA2A73" w:rsidP="00CA2A73">
      <w:pPr>
        <w:ind w:firstLine="0"/>
        <w:rPr>
          <w:rFonts w:ascii="Traditional Arabic" w:hAnsi="Traditional Arabic"/>
          <w:rtl/>
        </w:rPr>
      </w:pPr>
      <w:r>
        <w:rPr>
          <w:rFonts w:ascii="Traditional Arabic" w:hAnsi="Traditional Arabic" w:hint="cs"/>
          <w:rtl/>
        </w:rPr>
        <w:t xml:space="preserve">    و</w:t>
      </w:r>
      <w:r w:rsidR="00F665A6">
        <w:rPr>
          <w:rFonts w:ascii="Traditional Arabic" w:hAnsi="Traditional Arabic" w:hint="cs"/>
          <w:rtl/>
        </w:rPr>
        <w:t xml:space="preserve">يقول الشيخ العثيمين </w:t>
      </w:r>
      <w:r w:rsidR="008B1FA5">
        <w:rPr>
          <w:rFonts w:ascii="Traditional Arabic" w:hAnsi="Traditional Arabic" w:hint="cs"/>
          <w:rtl/>
        </w:rPr>
        <w:t>_</w:t>
      </w:r>
      <w:r w:rsidR="00F665A6" w:rsidRPr="005D5694">
        <w:rPr>
          <w:rFonts w:ascii="Traditional Arabic" w:hAnsi="Traditional Arabic" w:cs="CTraditional Arabic" w:hint="cs"/>
          <w:color w:val="auto"/>
          <w:rtl/>
        </w:rPr>
        <w:t>/</w:t>
      </w:r>
      <w:r w:rsidR="008B1FA5">
        <w:rPr>
          <w:rFonts w:ascii="Traditional Arabic" w:hAnsi="Traditional Arabic" w:hint="cs"/>
          <w:rtl/>
        </w:rPr>
        <w:t>_</w:t>
      </w:r>
      <w:r w:rsidR="00F665A6">
        <w:rPr>
          <w:rFonts w:ascii="Traditional Arabic" w:hAnsi="Traditional Arabic" w:hint="cs"/>
          <w:rtl/>
        </w:rPr>
        <w:t xml:space="preserve"> مُمَثِّلاً للضرر</w:t>
      </w:r>
      <w:r w:rsidR="00154102">
        <w:rPr>
          <w:rFonts w:ascii="Traditional Arabic" w:hAnsi="Traditional Arabic" w:hint="cs"/>
          <w:rtl/>
        </w:rPr>
        <w:t xml:space="preserve"> و</w:t>
      </w:r>
      <w:r w:rsidR="00F665A6">
        <w:rPr>
          <w:rFonts w:ascii="Traditional Arabic" w:hAnsi="Traditional Arabic" w:hint="cs"/>
          <w:rtl/>
        </w:rPr>
        <w:t>الضرار:</w:t>
      </w:r>
      <w:r w:rsidR="00FD2A4D">
        <w:rPr>
          <w:rFonts w:ascii="Traditional Arabic" w:hAnsi="Traditional Arabic" w:hint="cs"/>
          <w:rtl/>
        </w:rPr>
        <w:t xml:space="preserve"> </w:t>
      </w:r>
      <w:r w:rsidR="00B76414">
        <w:rPr>
          <w:rFonts w:ascii="Traditional Arabic" w:hAnsi="Traditional Arabic" w:hint="cs"/>
          <w:rtl/>
        </w:rPr>
        <w:t>(</w:t>
      </w:r>
      <w:r w:rsidR="00F665A6" w:rsidRPr="007367D3">
        <w:rPr>
          <w:rFonts w:ascii="Traditional Arabic" w:hAnsi="Traditional Arabic"/>
          <w:rtl/>
        </w:rPr>
        <w:t>لو أن ر</w:t>
      </w:r>
      <w:r w:rsidR="00F665A6">
        <w:rPr>
          <w:rFonts w:ascii="Traditional Arabic" w:hAnsi="Traditional Arabic" w:hint="cs"/>
          <w:rtl/>
        </w:rPr>
        <w:t>َ</w:t>
      </w:r>
      <w:r w:rsidR="00F665A6" w:rsidRPr="007367D3">
        <w:rPr>
          <w:rFonts w:ascii="Traditional Arabic" w:hAnsi="Traditional Arabic"/>
          <w:rtl/>
        </w:rPr>
        <w:t>جلاً فتح نافذةً</w:t>
      </w:r>
      <w:r w:rsidR="008B1FA5">
        <w:rPr>
          <w:rFonts w:ascii="Traditional Arabic" w:hAnsi="Traditional Arabic" w:hint="cs"/>
          <w:rtl/>
        </w:rPr>
        <w:t xml:space="preserve"> </w:t>
      </w:r>
      <w:r w:rsidR="00F665A6" w:rsidRPr="007367D3">
        <w:rPr>
          <w:rFonts w:ascii="Traditional Arabic" w:hAnsi="Traditional Arabic"/>
          <w:rtl/>
        </w:rPr>
        <w:t xml:space="preserve">في جداره </w:t>
      </w:r>
      <w:r w:rsidR="00F665A6" w:rsidRPr="007C2E49">
        <w:rPr>
          <w:rFonts w:ascii="Traditional Arabic" w:hAnsi="Traditional Arabic"/>
          <w:rtl/>
        </w:rPr>
        <w:t>بقص</w:t>
      </w:r>
      <w:r w:rsidR="00F665A6" w:rsidRPr="007C2E49">
        <w:rPr>
          <w:rFonts w:ascii="Traditional Arabic" w:hAnsi="Traditional Arabic" w:hint="cs"/>
          <w:rtl/>
        </w:rPr>
        <w:t>ْ</w:t>
      </w:r>
      <w:r w:rsidR="00F665A6" w:rsidRPr="007C2E49">
        <w:rPr>
          <w:rFonts w:ascii="Traditional Arabic" w:hAnsi="Traditional Arabic"/>
          <w:rtl/>
        </w:rPr>
        <w:t>د إضاءة الم</w:t>
      </w:r>
      <w:r w:rsidR="00F665A6" w:rsidRPr="007C2E49">
        <w:rPr>
          <w:rFonts w:ascii="Traditional Arabic" w:hAnsi="Traditional Arabic" w:hint="cs"/>
          <w:rtl/>
        </w:rPr>
        <w:t>َ</w:t>
      </w:r>
      <w:r w:rsidR="00F665A6" w:rsidRPr="007C2E49">
        <w:rPr>
          <w:rFonts w:ascii="Traditional Arabic" w:hAnsi="Traditional Arabic"/>
          <w:rtl/>
        </w:rPr>
        <w:t>ح</w:t>
      </w:r>
      <w:r w:rsidR="00F665A6" w:rsidRPr="007C2E49">
        <w:rPr>
          <w:rFonts w:ascii="Traditional Arabic" w:hAnsi="Traditional Arabic" w:hint="cs"/>
          <w:rtl/>
        </w:rPr>
        <w:t>َ</w:t>
      </w:r>
      <w:r w:rsidR="00F665A6" w:rsidRPr="007C2E49">
        <w:rPr>
          <w:rFonts w:ascii="Traditional Arabic" w:hAnsi="Traditional Arabic"/>
          <w:rtl/>
        </w:rPr>
        <w:t>ل</w:t>
      </w:r>
      <w:r w:rsidR="00F665A6" w:rsidRPr="007C2E49">
        <w:rPr>
          <w:rFonts w:ascii="Traditional Arabic" w:hAnsi="Traditional Arabic" w:hint="cs"/>
          <w:rtl/>
        </w:rPr>
        <w:t>ّ</w:t>
      </w:r>
      <w:r w:rsidR="00F665A6" w:rsidRPr="007C2E49">
        <w:rPr>
          <w:rFonts w:ascii="Traditional Arabic" w:hAnsi="Traditional Arabic"/>
          <w:rtl/>
        </w:rPr>
        <w:t xml:space="preserve"> وإدخال الهواء عليه</w:t>
      </w:r>
      <w:r w:rsidR="00F665A6">
        <w:rPr>
          <w:rFonts w:ascii="Traditional Arabic" w:hAnsi="Traditional Arabic" w:hint="cs"/>
          <w:rtl/>
        </w:rPr>
        <w:t>،</w:t>
      </w:r>
      <w:r w:rsidR="00F665A6" w:rsidRPr="007367D3">
        <w:rPr>
          <w:rFonts w:ascii="Traditional Arabic" w:hAnsi="Traditional Arabic"/>
          <w:rtl/>
        </w:rPr>
        <w:t xml:space="preserve"> ثم تبي</w:t>
      </w:r>
      <w:r w:rsidR="00F665A6">
        <w:rPr>
          <w:rFonts w:ascii="Traditional Arabic" w:hAnsi="Traditional Arabic" w:hint="cs"/>
          <w:rtl/>
        </w:rPr>
        <w:t>ّ</w:t>
      </w:r>
      <w:r w:rsidR="00F665A6" w:rsidRPr="007367D3">
        <w:rPr>
          <w:rFonts w:ascii="Traditional Arabic" w:hAnsi="Traditional Arabic"/>
          <w:rtl/>
        </w:rPr>
        <w:t>ن أن هذه النافذة تضر</w:t>
      </w:r>
      <w:r w:rsidR="00F665A6">
        <w:rPr>
          <w:rFonts w:ascii="Traditional Arabic" w:hAnsi="Traditional Arabic" w:hint="cs"/>
          <w:rtl/>
        </w:rPr>
        <w:t>ّ</w:t>
      </w:r>
      <w:r w:rsidR="00F665A6" w:rsidRPr="007367D3">
        <w:rPr>
          <w:rFonts w:ascii="Traditional Arabic" w:hAnsi="Traditional Arabic"/>
          <w:rtl/>
        </w:rPr>
        <w:t xml:space="preserve"> الجار </w:t>
      </w:r>
      <w:r w:rsidR="00F665A6">
        <w:rPr>
          <w:rFonts w:ascii="Traditional Arabic" w:hAnsi="Traditional Arabic"/>
          <w:rtl/>
        </w:rPr>
        <w:t>ب</w:t>
      </w:r>
      <w:r w:rsidR="00F665A6">
        <w:rPr>
          <w:rFonts w:ascii="Traditional Arabic" w:hAnsi="Traditional Arabic" w:hint="cs"/>
          <w:rtl/>
        </w:rPr>
        <w:t>الا</w:t>
      </w:r>
      <w:r w:rsidR="00F665A6" w:rsidRPr="007367D3">
        <w:rPr>
          <w:rFonts w:ascii="Traditional Arabic" w:hAnsi="Traditional Arabic"/>
          <w:rtl/>
        </w:rPr>
        <w:t>ط</w:t>
      </w:r>
      <w:r w:rsidR="00F665A6">
        <w:rPr>
          <w:rFonts w:ascii="Traditional Arabic" w:hAnsi="Traditional Arabic" w:hint="cs"/>
          <w:rtl/>
        </w:rPr>
        <w:t>ّ</w:t>
      </w:r>
      <w:r w:rsidR="00F665A6" w:rsidRPr="007367D3">
        <w:rPr>
          <w:rFonts w:ascii="Traditional Arabic" w:hAnsi="Traditional Arabic"/>
          <w:rtl/>
        </w:rPr>
        <w:t>لاع عليه وعلى ما في بيته فإنه يجب رف</w:t>
      </w:r>
      <w:r w:rsidR="00F665A6">
        <w:rPr>
          <w:rFonts w:ascii="Traditional Arabic" w:hAnsi="Traditional Arabic" w:hint="cs"/>
          <w:rtl/>
        </w:rPr>
        <w:t>ْ</w:t>
      </w:r>
      <w:r w:rsidR="00F665A6" w:rsidRPr="007367D3">
        <w:rPr>
          <w:rFonts w:ascii="Traditional Arabic" w:hAnsi="Traditional Arabic"/>
          <w:rtl/>
        </w:rPr>
        <w:t>ع هذا الضرر بأن</w:t>
      </w:r>
      <w:r w:rsidR="00F665A6">
        <w:rPr>
          <w:rFonts w:ascii="Traditional Arabic" w:hAnsi="Traditional Arabic" w:hint="cs"/>
          <w:rtl/>
        </w:rPr>
        <w:t>ْ</w:t>
      </w:r>
      <w:r w:rsidR="00F665A6" w:rsidRPr="007367D3">
        <w:rPr>
          <w:rFonts w:ascii="Traditional Arabic" w:hAnsi="Traditional Arabic"/>
          <w:rtl/>
        </w:rPr>
        <w:t xml:space="preserve"> ت</w:t>
      </w:r>
      <w:r w:rsidR="00F665A6">
        <w:rPr>
          <w:rFonts w:ascii="Traditional Arabic" w:hAnsi="Traditional Arabic" w:hint="cs"/>
          <w:rtl/>
        </w:rPr>
        <w:t>ُ</w:t>
      </w:r>
      <w:r w:rsidR="00F665A6" w:rsidRPr="007367D3">
        <w:rPr>
          <w:rFonts w:ascii="Traditional Arabic" w:hAnsi="Traditional Arabic"/>
          <w:rtl/>
        </w:rPr>
        <w:t>زال النافذة أو ت</w:t>
      </w:r>
      <w:r w:rsidR="00F665A6">
        <w:rPr>
          <w:rFonts w:ascii="Traditional Arabic" w:hAnsi="Traditional Arabic" w:hint="cs"/>
          <w:rtl/>
        </w:rPr>
        <w:t>ُ</w:t>
      </w:r>
      <w:r w:rsidR="00F665A6" w:rsidRPr="007367D3">
        <w:rPr>
          <w:rFonts w:ascii="Traditional Arabic" w:hAnsi="Traditional Arabic"/>
          <w:rtl/>
        </w:rPr>
        <w:t>ر</w:t>
      </w:r>
      <w:r w:rsidR="00F665A6">
        <w:rPr>
          <w:rFonts w:ascii="Traditional Arabic" w:hAnsi="Traditional Arabic" w:hint="cs"/>
          <w:rtl/>
        </w:rPr>
        <w:t>ْ</w:t>
      </w:r>
      <w:r w:rsidR="00F665A6" w:rsidRPr="007367D3">
        <w:rPr>
          <w:rFonts w:ascii="Traditional Arabic" w:hAnsi="Traditional Arabic"/>
          <w:rtl/>
        </w:rPr>
        <w:t>ف</w:t>
      </w:r>
      <w:r w:rsidR="00F665A6">
        <w:rPr>
          <w:rFonts w:ascii="Traditional Arabic" w:hAnsi="Traditional Arabic" w:hint="cs"/>
          <w:rtl/>
        </w:rPr>
        <w:t>َ</w:t>
      </w:r>
      <w:r w:rsidR="00F665A6" w:rsidRPr="007367D3">
        <w:rPr>
          <w:rFonts w:ascii="Traditional Arabic" w:hAnsi="Traditional Arabic"/>
          <w:rtl/>
        </w:rPr>
        <w:t>ع حتى لا ينكشف الجار بها</w:t>
      </w:r>
      <w:r w:rsidR="00F665A6">
        <w:rPr>
          <w:rFonts w:ascii="Traditional Arabic" w:hAnsi="Traditional Arabic" w:hint="cs"/>
          <w:rtl/>
        </w:rPr>
        <w:t>،</w:t>
      </w:r>
      <w:r w:rsidR="00F665A6" w:rsidRPr="007367D3">
        <w:rPr>
          <w:rFonts w:ascii="Traditional Arabic" w:hAnsi="Traditional Arabic"/>
          <w:rtl/>
        </w:rPr>
        <w:t xml:space="preserve"> وهذا ضرر وليس بمضارة لأن الذي فتح النافذة لا يقصد ضرر جاره ولكن حصل الضرر بغير قصد</w:t>
      </w:r>
      <w:r w:rsidR="008B1FA5">
        <w:rPr>
          <w:rFonts w:ascii="Traditional Arabic" w:hAnsi="Traditional Arabic" w:hint="cs"/>
          <w:rtl/>
        </w:rPr>
        <w:t>،</w:t>
      </w:r>
      <w:r w:rsidR="00F665A6" w:rsidRPr="007367D3">
        <w:rPr>
          <w:rFonts w:ascii="Traditional Arabic" w:hAnsi="Traditional Arabic"/>
          <w:rtl/>
        </w:rPr>
        <w:t xml:space="preserve"> ومع ذلك يجب إزالة هذا الضرر</w:t>
      </w:r>
      <w:r w:rsidR="008B1FA5">
        <w:rPr>
          <w:rFonts w:ascii="Traditional Arabic" w:hAnsi="Traditional Arabic" w:hint="cs"/>
          <w:rtl/>
        </w:rPr>
        <w:t>،</w:t>
      </w:r>
      <w:r w:rsidR="00F665A6" w:rsidRPr="007367D3">
        <w:rPr>
          <w:rFonts w:ascii="Traditional Arabic" w:hAnsi="Traditional Arabic"/>
          <w:rtl/>
        </w:rPr>
        <w:t xml:space="preserve"> وأما المضارة فرجل صار يستعمل أشياء مزعجة في بيته </w:t>
      </w:r>
      <w:r w:rsidR="00F665A6" w:rsidRPr="007C2E49">
        <w:rPr>
          <w:rFonts w:ascii="Traditional Arabic" w:hAnsi="Traditional Arabic"/>
          <w:rtl/>
        </w:rPr>
        <w:t>بقص</w:t>
      </w:r>
      <w:r w:rsidR="00F665A6" w:rsidRPr="007C2E49">
        <w:rPr>
          <w:rFonts w:ascii="Traditional Arabic" w:hAnsi="Traditional Arabic" w:hint="cs"/>
          <w:rtl/>
        </w:rPr>
        <w:t>ْ</w:t>
      </w:r>
      <w:r w:rsidR="00F665A6" w:rsidRPr="007C2E49">
        <w:rPr>
          <w:rFonts w:ascii="Traditional Arabic" w:hAnsi="Traditional Arabic"/>
          <w:rtl/>
        </w:rPr>
        <w:t>د الإضرار على الجيران</w:t>
      </w:r>
      <w:r w:rsidR="00F665A6" w:rsidRPr="007C2E49">
        <w:rPr>
          <w:rFonts w:ascii="Traditional Arabic" w:hAnsi="Traditional Arabic" w:hint="cs"/>
          <w:rtl/>
        </w:rPr>
        <w:t>،</w:t>
      </w:r>
      <w:r w:rsidR="00F665A6" w:rsidRPr="007C2E49">
        <w:rPr>
          <w:rFonts w:ascii="Traditional Arabic" w:hAnsi="Traditional Arabic"/>
          <w:rtl/>
        </w:rPr>
        <w:t xml:space="preserve"> ليس له في ذلك منفعة</w:t>
      </w:r>
      <w:r w:rsidR="00F665A6">
        <w:rPr>
          <w:rFonts w:ascii="Traditional Arabic" w:hAnsi="Traditional Arabic" w:hint="cs"/>
          <w:b/>
          <w:bCs/>
          <w:rtl/>
        </w:rPr>
        <w:t>،</w:t>
      </w:r>
      <w:r w:rsidR="008B1FA5">
        <w:rPr>
          <w:rFonts w:ascii="Traditional Arabic" w:hAnsi="Traditional Arabic" w:hint="cs"/>
          <w:b/>
          <w:bCs/>
          <w:rtl/>
        </w:rPr>
        <w:t xml:space="preserve"> </w:t>
      </w:r>
      <w:r w:rsidR="008B1FA5">
        <w:rPr>
          <w:rFonts w:ascii="Traditional Arabic" w:hAnsi="Traditional Arabic"/>
          <w:rtl/>
        </w:rPr>
        <w:t xml:space="preserve">ولكنه يريد الإضرار </w:t>
      </w:r>
      <w:r w:rsidR="008B1FA5">
        <w:rPr>
          <w:rFonts w:ascii="Traditional Arabic" w:hAnsi="Traditional Arabic" w:hint="cs"/>
          <w:rtl/>
        </w:rPr>
        <w:t>ب</w:t>
      </w:r>
      <w:r w:rsidR="00F665A6" w:rsidRPr="007367D3">
        <w:rPr>
          <w:rFonts w:ascii="Traditional Arabic" w:hAnsi="Traditional Arabic"/>
          <w:rtl/>
        </w:rPr>
        <w:t>الجيران</w:t>
      </w:r>
      <w:r w:rsidR="00F665A6">
        <w:rPr>
          <w:rFonts w:ascii="Traditional Arabic" w:hAnsi="Traditional Arabic" w:hint="cs"/>
          <w:rtl/>
        </w:rPr>
        <w:t>،</w:t>
      </w:r>
      <w:r w:rsidR="00F665A6" w:rsidRPr="007367D3">
        <w:rPr>
          <w:rFonts w:ascii="Traditional Arabic" w:hAnsi="Traditional Arabic"/>
          <w:rtl/>
        </w:rPr>
        <w:t xml:space="preserve"> فيجب على هذا الإنسان أن ي</w:t>
      </w:r>
      <w:r w:rsidR="00F665A6">
        <w:rPr>
          <w:rFonts w:ascii="Traditional Arabic" w:hAnsi="Traditional Arabic" w:hint="cs"/>
          <w:rtl/>
        </w:rPr>
        <w:t>َ</w:t>
      </w:r>
      <w:r w:rsidR="00F665A6" w:rsidRPr="007367D3">
        <w:rPr>
          <w:rFonts w:ascii="Traditional Arabic" w:hAnsi="Traditional Arabic"/>
          <w:rtl/>
        </w:rPr>
        <w:t>د</w:t>
      </w:r>
      <w:r w:rsidR="00F665A6">
        <w:rPr>
          <w:rFonts w:ascii="Traditional Arabic" w:hAnsi="Traditional Arabic" w:hint="cs"/>
          <w:rtl/>
        </w:rPr>
        <w:t>َ</w:t>
      </w:r>
      <w:r w:rsidR="00F665A6" w:rsidRPr="007367D3">
        <w:rPr>
          <w:rFonts w:ascii="Traditional Arabic" w:hAnsi="Traditional Arabic"/>
          <w:rtl/>
        </w:rPr>
        <w:t>ع</w:t>
      </w:r>
      <w:r w:rsidR="00F665A6">
        <w:rPr>
          <w:rFonts w:ascii="Traditional Arabic" w:hAnsi="Traditional Arabic" w:hint="cs"/>
          <w:rtl/>
        </w:rPr>
        <w:t>َ</w:t>
      </w:r>
      <w:r w:rsidR="00F665A6" w:rsidRPr="007367D3">
        <w:rPr>
          <w:rFonts w:ascii="Traditional Arabic" w:hAnsi="Traditional Arabic"/>
          <w:rtl/>
        </w:rPr>
        <w:t xml:space="preserve"> ما فيه الضرر على جير</w:t>
      </w:r>
      <w:r w:rsidR="00F665A6">
        <w:rPr>
          <w:rFonts w:ascii="Traditional Arabic" w:hAnsi="Traditional Arabic"/>
          <w:rtl/>
        </w:rPr>
        <w:t>انه</w:t>
      </w:r>
      <w:r w:rsidR="008B1FA5">
        <w:rPr>
          <w:rFonts w:ascii="Traditional Arabic" w:hAnsi="Traditional Arabic" w:hint="cs"/>
          <w:rtl/>
        </w:rPr>
        <w:t>،</w:t>
      </w:r>
      <w:r w:rsidR="00F665A6">
        <w:rPr>
          <w:rFonts w:ascii="Traditional Arabic" w:hAnsi="Traditional Arabic"/>
          <w:rtl/>
        </w:rPr>
        <w:t xml:space="preserve"> ويكون آثماً بقصد الإضرار</w:t>
      </w:r>
      <w:r w:rsidR="00F665A6">
        <w:rPr>
          <w:rFonts w:ascii="Traditional Arabic" w:hAnsi="Traditional Arabic" w:hint="cs"/>
          <w:rtl/>
        </w:rPr>
        <w:t>)</w:t>
      </w:r>
      <w:r w:rsidR="00F665A6" w:rsidRPr="00C821A1">
        <w:rPr>
          <w:rFonts w:ascii="Traditional Arabic" w:hAnsi="Traditional Arabic" w:hint="cs"/>
          <w:szCs w:val="32"/>
          <w:vertAlign w:val="superscript"/>
          <w:rtl/>
        </w:rPr>
        <w:t>(</w:t>
      </w:r>
      <w:r w:rsidR="00F665A6" w:rsidRPr="00C821A1">
        <w:rPr>
          <w:rStyle w:val="af1"/>
          <w:rFonts w:ascii="Traditional Arabic" w:hAnsi="Traditional Arabic"/>
          <w:szCs w:val="32"/>
          <w:rtl/>
        </w:rPr>
        <w:footnoteReference w:id="912"/>
      </w:r>
      <w:r w:rsidR="00F665A6" w:rsidRPr="00C821A1">
        <w:rPr>
          <w:rFonts w:ascii="Traditional Arabic" w:hAnsi="Traditional Arabic" w:hint="cs"/>
          <w:szCs w:val="32"/>
          <w:vertAlign w:val="superscript"/>
          <w:rtl/>
        </w:rPr>
        <w:t>)</w:t>
      </w:r>
      <w:r w:rsidR="00F665A6" w:rsidRPr="007367D3">
        <w:rPr>
          <w:rFonts w:ascii="Traditional Arabic" w:hAnsi="Traditional Arabic"/>
          <w:rtl/>
        </w:rPr>
        <w:t>.</w:t>
      </w:r>
    </w:p>
    <w:p w:rsidR="00CA2A73" w:rsidRDefault="00CA2A73" w:rsidP="00CA2A73">
      <w:pPr>
        <w:ind w:firstLine="0"/>
        <w:rPr>
          <w:rFonts w:ascii="Traditional Arabic" w:hAnsi="Traditional Arabic"/>
          <w:rtl/>
        </w:rPr>
      </w:pPr>
      <w:r>
        <w:rPr>
          <w:rFonts w:ascii="Traditional Arabic" w:hAnsi="Traditional Arabic" w:hint="cs"/>
          <w:rtl/>
        </w:rPr>
        <w:t xml:space="preserve">    وهذا الذي ذهب إليه الشيخ قريب من رأي شيخ الإسلام ابن تيمية_ رحمه الله_.</w:t>
      </w:r>
    </w:p>
    <w:p w:rsidR="00F665A6" w:rsidRDefault="00FD2A4D" w:rsidP="00FD2A4D">
      <w:pPr>
        <w:ind w:firstLine="0"/>
        <w:rPr>
          <w:rFonts w:ascii="Traditional Arabic" w:hAnsi="Traditional Arabic"/>
          <w:rtl/>
        </w:rPr>
      </w:pPr>
      <w:r>
        <w:rPr>
          <w:rFonts w:ascii="Traditional Arabic" w:hAnsi="Traditional Arabic" w:hint="cs"/>
          <w:rtl/>
        </w:rPr>
        <w:t xml:space="preserve">    </w:t>
      </w:r>
      <w:r w:rsidR="00CA2A73">
        <w:rPr>
          <w:rFonts w:ascii="Traditional Arabic" w:hAnsi="Traditional Arabic" w:hint="cs"/>
          <w:rtl/>
        </w:rPr>
        <w:t>قا</w:t>
      </w:r>
      <w:r w:rsidR="00F665A6">
        <w:rPr>
          <w:rFonts w:ascii="Traditional Arabic" w:hAnsi="Traditional Arabic" w:hint="cs"/>
          <w:rtl/>
        </w:rPr>
        <w:t>ل شيخ ا</w:t>
      </w:r>
      <w:r w:rsidR="00F665A6">
        <w:rPr>
          <w:rFonts w:ascii="Traditional Arabic" w:hAnsi="Traditional Arabic"/>
          <w:rtl/>
        </w:rPr>
        <w:t>ﻹ</w:t>
      </w:r>
      <w:r w:rsidR="00F665A6">
        <w:rPr>
          <w:rFonts w:ascii="Traditional Arabic" w:hAnsi="Traditional Arabic" w:hint="cs"/>
          <w:rtl/>
        </w:rPr>
        <w:t xml:space="preserve">سلام ابن تيمية </w:t>
      </w:r>
      <w:r w:rsidR="008B1FA5">
        <w:rPr>
          <w:rFonts w:ascii="Traditional Arabic" w:hAnsi="Traditional Arabic" w:hint="cs"/>
          <w:rtl/>
        </w:rPr>
        <w:t>_</w:t>
      </w:r>
      <w:r w:rsidR="00F665A6" w:rsidRPr="005D5694">
        <w:rPr>
          <w:rFonts w:ascii="Traditional Arabic" w:hAnsi="Traditional Arabic" w:cs="CTraditional Arabic" w:hint="cs"/>
          <w:color w:val="auto"/>
          <w:rtl/>
        </w:rPr>
        <w:t>/</w:t>
      </w:r>
      <w:r w:rsidR="008B1FA5">
        <w:rPr>
          <w:rFonts w:ascii="Traditional Arabic" w:hAnsi="Traditional Arabic" w:hint="cs"/>
          <w:rtl/>
        </w:rPr>
        <w:t>_</w:t>
      </w:r>
      <w:r w:rsidR="00F665A6">
        <w:rPr>
          <w:rFonts w:ascii="Traditional Arabic" w:hAnsi="Traditional Arabic" w:hint="cs"/>
          <w:rtl/>
        </w:rPr>
        <w:t>:(المضار</w:t>
      </w:r>
      <w:r w:rsidR="00F665A6">
        <w:rPr>
          <w:rFonts w:ascii="Traditional Arabic" w:hAnsi="Traditional Arabic"/>
          <w:rtl/>
        </w:rPr>
        <w:t>ّ</w:t>
      </w:r>
      <w:r w:rsidR="00F665A6">
        <w:rPr>
          <w:rFonts w:ascii="Traditional Arabic" w:hAnsi="Traditional Arabic" w:hint="cs"/>
          <w:rtl/>
        </w:rPr>
        <w:t>ة م</w:t>
      </w:r>
      <w:r w:rsidR="00F665A6">
        <w:rPr>
          <w:rFonts w:ascii="Traditional Arabic" w:hAnsi="Traditional Arabic"/>
          <w:rtl/>
        </w:rPr>
        <w:t>َ</w:t>
      </w:r>
      <w:r w:rsidR="00F665A6">
        <w:rPr>
          <w:rFonts w:ascii="Traditional Arabic" w:hAnsi="Traditional Arabic" w:hint="cs"/>
          <w:rtl/>
        </w:rPr>
        <w:t>ب</w:t>
      </w:r>
      <w:r w:rsidR="00F665A6">
        <w:rPr>
          <w:rFonts w:ascii="Traditional Arabic" w:hAnsi="Traditional Arabic"/>
          <w:rtl/>
        </w:rPr>
        <w:t>ْ</w:t>
      </w:r>
      <w:r w:rsidR="00F665A6">
        <w:rPr>
          <w:rFonts w:ascii="Traditional Arabic" w:hAnsi="Traditional Arabic" w:hint="cs"/>
          <w:rtl/>
        </w:rPr>
        <w:t>ناها على القصْد</w:t>
      </w:r>
      <w:r w:rsidR="00154102">
        <w:rPr>
          <w:rFonts w:ascii="Traditional Arabic" w:hAnsi="Traditional Arabic" w:hint="cs"/>
          <w:rtl/>
        </w:rPr>
        <w:t xml:space="preserve"> و</w:t>
      </w:r>
      <w:r w:rsidR="00F665A6">
        <w:rPr>
          <w:rFonts w:ascii="Traditional Arabic" w:hAnsi="Traditional Arabic" w:hint="cs"/>
          <w:rtl/>
        </w:rPr>
        <w:t>ا</w:t>
      </w:r>
      <w:r w:rsidR="00F665A6">
        <w:rPr>
          <w:rFonts w:ascii="Traditional Arabic" w:hAnsi="Traditional Arabic"/>
          <w:rtl/>
        </w:rPr>
        <w:t>ﻹ</w:t>
      </w:r>
      <w:r w:rsidR="00F665A6">
        <w:rPr>
          <w:rFonts w:ascii="Traditional Arabic" w:hAnsi="Traditional Arabic" w:hint="cs"/>
          <w:rtl/>
        </w:rPr>
        <w:t>رادة،</w:t>
      </w:r>
      <w:r w:rsidR="008B1FA5">
        <w:rPr>
          <w:rFonts w:ascii="Traditional Arabic" w:hAnsi="Traditional Arabic" w:hint="cs"/>
          <w:rtl/>
        </w:rPr>
        <w:t xml:space="preserve"> </w:t>
      </w:r>
      <w:r w:rsidR="00F665A6">
        <w:rPr>
          <w:rFonts w:ascii="Traditional Arabic" w:hAnsi="Traditional Arabic" w:hint="cs"/>
          <w:rtl/>
        </w:rPr>
        <w:t>أو ف</w:t>
      </w:r>
      <w:r w:rsidR="00F665A6">
        <w:rPr>
          <w:rFonts w:ascii="Traditional Arabic" w:hAnsi="Traditional Arabic"/>
          <w:rtl/>
        </w:rPr>
        <w:t>ِ</w:t>
      </w:r>
      <w:r w:rsidR="00F665A6">
        <w:rPr>
          <w:rFonts w:ascii="Traditional Arabic" w:hAnsi="Traditional Arabic" w:hint="cs"/>
          <w:rtl/>
        </w:rPr>
        <w:t xml:space="preserve">عل ضرر غير محتاج </w:t>
      </w:r>
      <w:r w:rsidR="00F665A6">
        <w:rPr>
          <w:rFonts w:ascii="Traditional Arabic" w:hAnsi="Traditional Arabic"/>
          <w:rtl/>
        </w:rPr>
        <w:t>ﺇ</w:t>
      </w:r>
      <w:r w:rsidR="00F665A6">
        <w:rPr>
          <w:rFonts w:ascii="Traditional Arabic" w:hAnsi="Traditional Arabic" w:hint="cs"/>
          <w:rtl/>
        </w:rPr>
        <w:t>ليه،</w:t>
      </w:r>
      <w:r w:rsidR="008B1FA5">
        <w:rPr>
          <w:rFonts w:ascii="Traditional Arabic" w:hAnsi="Traditional Arabic" w:hint="cs"/>
          <w:rtl/>
        </w:rPr>
        <w:t xml:space="preserve"> </w:t>
      </w:r>
      <w:r w:rsidR="00F665A6">
        <w:rPr>
          <w:rFonts w:ascii="Traditional Arabic" w:hAnsi="Traditional Arabic" w:hint="cs"/>
          <w:rtl/>
        </w:rPr>
        <w:t>فمتى قصد ا</w:t>
      </w:r>
      <w:r w:rsidR="00F665A6">
        <w:rPr>
          <w:rFonts w:ascii="Traditional Arabic" w:hAnsi="Traditional Arabic"/>
          <w:rtl/>
        </w:rPr>
        <w:t>ﻹ</w:t>
      </w:r>
      <w:r w:rsidR="00F665A6">
        <w:rPr>
          <w:rFonts w:ascii="Traditional Arabic" w:hAnsi="Traditional Arabic" w:hint="cs"/>
          <w:rtl/>
        </w:rPr>
        <w:t>ضرار</w:t>
      </w:r>
      <w:r w:rsidR="00154102">
        <w:rPr>
          <w:rFonts w:ascii="Traditional Arabic" w:hAnsi="Traditional Arabic" w:hint="cs"/>
          <w:rtl/>
        </w:rPr>
        <w:t xml:space="preserve"> و</w:t>
      </w:r>
      <w:r w:rsidR="00F665A6">
        <w:rPr>
          <w:rFonts w:ascii="Traditional Arabic" w:hAnsi="Traditional Arabic" w:hint="cs"/>
          <w:rtl/>
        </w:rPr>
        <w:t>لو بالمباح، أو ف</w:t>
      </w:r>
      <w:r w:rsidR="00F665A6">
        <w:rPr>
          <w:rFonts w:ascii="Traditional Arabic" w:hAnsi="Traditional Arabic"/>
          <w:rtl/>
        </w:rPr>
        <w:t>َ</w:t>
      </w:r>
      <w:r w:rsidR="00F665A6">
        <w:rPr>
          <w:rFonts w:ascii="Traditional Arabic" w:hAnsi="Traditional Arabic" w:hint="cs"/>
          <w:rtl/>
        </w:rPr>
        <w:t>ع</w:t>
      </w:r>
      <w:r w:rsidR="00F665A6">
        <w:rPr>
          <w:rFonts w:ascii="Traditional Arabic" w:hAnsi="Traditional Arabic"/>
          <w:rtl/>
        </w:rPr>
        <w:t>َ</w:t>
      </w:r>
      <w:r w:rsidR="00F665A6">
        <w:rPr>
          <w:rFonts w:ascii="Traditional Arabic" w:hAnsi="Traditional Arabic" w:hint="cs"/>
          <w:rtl/>
        </w:rPr>
        <w:t>ل ا</w:t>
      </w:r>
      <w:r w:rsidR="00F665A6">
        <w:rPr>
          <w:rFonts w:ascii="Traditional Arabic" w:hAnsi="Traditional Arabic"/>
          <w:rtl/>
        </w:rPr>
        <w:t>ﻹ</w:t>
      </w:r>
      <w:r w:rsidR="00F665A6">
        <w:rPr>
          <w:rFonts w:ascii="Traditional Arabic" w:hAnsi="Traditional Arabic" w:hint="cs"/>
          <w:rtl/>
        </w:rPr>
        <w:t>ضرار</w:t>
      </w:r>
      <w:r w:rsidR="00F665A6">
        <w:rPr>
          <w:rFonts w:ascii="Traditional Arabic" w:hAnsi="Traditional Arabic"/>
          <w:rtl/>
        </w:rPr>
        <w:t>َ</w:t>
      </w:r>
      <w:r w:rsidR="00F665A6">
        <w:rPr>
          <w:rFonts w:ascii="Traditional Arabic" w:hAnsi="Traditional Arabic" w:hint="cs"/>
          <w:rtl/>
        </w:rPr>
        <w:t xml:space="preserve"> من غير استحقاق، فهو م</w:t>
      </w:r>
      <w:r w:rsidR="00F665A6">
        <w:rPr>
          <w:rFonts w:ascii="Traditional Arabic" w:hAnsi="Traditional Arabic"/>
          <w:rtl/>
        </w:rPr>
        <w:t>ُ</w:t>
      </w:r>
      <w:r w:rsidR="00F665A6">
        <w:rPr>
          <w:rFonts w:ascii="Traditional Arabic" w:hAnsi="Traditional Arabic" w:hint="cs"/>
          <w:rtl/>
        </w:rPr>
        <w:t>ض</w:t>
      </w:r>
      <w:r w:rsidR="00F665A6">
        <w:rPr>
          <w:rFonts w:ascii="Traditional Arabic" w:hAnsi="Traditional Arabic"/>
          <w:rtl/>
        </w:rPr>
        <w:t>َ</w:t>
      </w:r>
      <w:r w:rsidR="00F665A6">
        <w:rPr>
          <w:rFonts w:ascii="Traditional Arabic" w:hAnsi="Traditional Arabic" w:hint="cs"/>
          <w:rtl/>
        </w:rPr>
        <w:t>ار</w:t>
      </w:r>
      <w:r w:rsidR="00F665A6">
        <w:rPr>
          <w:rFonts w:ascii="Traditional Arabic" w:hAnsi="Traditional Arabic"/>
          <w:rtl/>
        </w:rPr>
        <w:t>ّ</w:t>
      </w:r>
      <w:r w:rsidR="00F665A6">
        <w:rPr>
          <w:rFonts w:ascii="Traditional Arabic" w:hAnsi="Traditional Arabic" w:hint="cs"/>
          <w:rtl/>
        </w:rPr>
        <w:t>،</w:t>
      </w:r>
      <w:r w:rsidR="00154102">
        <w:rPr>
          <w:rFonts w:ascii="Traditional Arabic" w:hAnsi="Traditional Arabic" w:hint="cs"/>
          <w:rtl/>
        </w:rPr>
        <w:t xml:space="preserve"> و</w:t>
      </w:r>
      <w:r w:rsidR="00F665A6">
        <w:rPr>
          <w:rFonts w:ascii="Traditional Arabic" w:hAnsi="Traditional Arabic" w:hint="cs"/>
          <w:rtl/>
        </w:rPr>
        <w:t xml:space="preserve">أما </w:t>
      </w:r>
      <w:r w:rsidR="00F665A6">
        <w:rPr>
          <w:rFonts w:ascii="Traditional Arabic" w:hAnsi="Traditional Arabic"/>
          <w:rtl/>
        </w:rPr>
        <w:t>ﺇ</w:t>
      </w:r>
      <w:r w:rsidR="00F665A6">
        <w:rPr>
          <w:rFonts w:ascii="Traditional Arabic" w:hAnsi="Traditional Arabic" w:hint="cs"/>
          <w:rtl/>
        </w:rPr>
        <w:t>ذا فعل الضرر المستح</w:t>
      </w:r>
      <w:r w:rsidR="00F665A6">
        <w:rPr>
          <w:rFonts w:ascii="Traditional Arabic" w:hAnsi="Traditional Arabic"/>
          <w:rtl/>
        </w:rPr>
        <w:t>َ</w:t>
      </w:r>
      <w:r w:rsidR="00F665A6">
        <w:rPr>
          <w:rFonts w:ascii="Traditional Arabic" w:hAnsi="Traditional Arabic" w:hint="cs"/>
          <w:rtl/>
        </w:rPr>
        <w:t>ق</w:t>
      </w:r>
      <w:r w:rsidR="00F665A6">
        <w:rPr>
          <w:rFonts w:ascii="Traditional Arabic" w:hAnsi="Traditional Arabic"/>
          <w:rtl/>
        </w:rPr>
        <w:t>ّ</w:t>
      </w:r>
      <w:r w:rsidR="00F665A6">
        <w:rPr>
          <w:rFonts w:ascii="Traditional Arabic" w:hAnsi="Traditional Arabic" w:hint="cs"/>
          <w:rtl/>
        </w:rPr>
        <w:t xml:space="preserve"> للحاجة </w:t>
      </w:r>
      <w:r w:rsidR="00F665A6">
        <w:rPr>
          <w:rFonts w:ascii="Traditional Arabic" w:hAnsi="Traditional Arabic"/>
          <w:rtl/>
        </w:rPr>
        <w:t>ﺇ</w:t>
      </w:r>
      <w:r w:rsidR="00F665A6">
        <w:rPr>
          <w:rFonts w:ascii="Traditional Arabic" w:hAnsi="Traditional Arabic" w:hint="cs"/>
          <w:rtl/>
        </w:rPr>
        <w:t>ليه،</w:t>
      </w:r>
      <w:r w:rsidR="00154102">
        <w:rPr>
          <w:rFonts w:ascii="Traditional Arabic" w:hAnsi="Traditional Arabic" w:hint="cs"/>
          <w:rtl/>
        </w:rPr>
        <w:t xml:space="preserve"> و</w:t>
      </w:r>
      <w:r w:rsidR="00F665A6">
        <w:rPr>
          <w:rFonts w:ascii="Traditional Arabic" w:hAnsi="Traditional Arabic" w:hint="cs"/>
          <w:rtl/>
        </w:rPr>
        <w:t>الانتفاع به،</w:t>
      </w:r>
      <w:r w:rsidR="008B1FA5">
        <w:rPr>
          <w:rFonts w:ascii="Traditional Arabic" w:hAnsi="Traditional Arabic" w:hint="cs"/>
          <w:rtl/>
        </w:rPr>
        <w:t xml:space="preserve"> </w:t>
      </w:r>
      <w:r w:rsidR="00F665A6">
        <w:rPr>
          <w:rFonts w:ascii="Traditional Arabic" w:hAnsi="Traditional Arabic" w:hint="cs"/>
          <w:rtl/>
        </w:rPr>
        <w:t>لا ل</w:t>
      </w:r>
      <w:r w:rsidR="00F665A6">
        <w:rPr>
          <w:rFonts w:ascii="Traditional Arabic" w:hAnsi="Traditional Arabic"/>
          <w:rtl/>
        </w:rPr>
        <w:t>ِ</w:t>
      </w:r>
      <w:r w:rsidR="00F665A6">
        <w:rPr>
          <w:rFonts w:ascii="Traditional Arabic" w:hAnsi="Traditional Arabic" w:hint="cs"/>
          <w:rtl/>
        </w:rPr>
        <w:t>ق</w:t>
      </w:r>
      <w:r w:rsidR="00F665A6">
        <w:rPr>
          <w:rFonts w:ascii="Traditional Arabic" w:hAnsi="Traditional Arabic"/>
          <w:rtl/>
        </w:rPr>
        <w:t>َ</w:t>
      </w:r>
      <w:r w:rsidR="00F665A6">
        <w:rPr>
          <w:rFonts w:ascii="Traditional Arabic" w:hAnsi="Traditional Arabic" w:hint="cs"/>
          <w:rtl/>
        </w:rPr>
        <w:t>ص</w:t>
      </w:r>
      <w:r w:rsidR="00F665A6">
        <w:rPr>
          <w:rFonts w:ascii="Traditional Arabic" w:hAnsi="Traditional Arabic"/>
          <w:rtl/>
        </w:rPr>
        <w:t>ْ</w:t>
      </w:r>
      <w:r w:rsidR="00F665A6">
        <w:rPr>
          <w:rFonts w:ascii="Traditional Arabic" w:hAnsi="Traditional Arabic" w:hint="cs"/>
          <w:rtl/>
        </w:rPr>
        <w:t>د ا</w:t>
      </w:r>
      <w:r w:rsidR="00F665A6">
        <w:rPr>
          <w:rFonts w:ascii="Traditional Arabic" w:hAnsi="Traditional Arabic"/>
          <w:rtl/>
        </w:rPr>
        <w:t>ﻹ</w:t>
      </w:r>
      <w:r w:rsidR="00F665A6">
        <w:rPr>
          <w:rFonts w:ascii="Traditional Arabic" w:hAnsi="Traditional Arabic" w:hint="cs"/>
          <w:rtl/>
        </w:rPr>
        <w:t>ضرار</w:t>
      </w:r>
      <w:r w:rsidR="008B1FA5">
        <w:rPr>
          <w:rFonts w:ascii="Traditional Arabic" w:hAnsi="Traditional Arabic" w:hint="cs"/>
          <w:rtl/>
        </w:rPr>
        <w:t>،</w:t>
      </w:r>
      <w:r w:rsidR="00F665A6">
        <w:rPr>
          <w:rFonts w:ascii="Traditional Arabic" w:hAnsi="Traditional Arabic" w:hint="cs"/>
          <w:rtl/>
        </w:rPr>
        <w:t xml:space="preserve"> فليس ب</w:t>
      </w:r>
      <w:r w:rsidR="00F665A6">
        <w:rPr>
          <w:rFonts w:ascii="Traditional Arabic" w:hAnsi="Traditional Arabic"/>
          <w:rtl/>
        </w:rPr>
        <w:t>ِ</w:t>
      </w:r>
      <w:r w:rsidR="00F665A6">
        <w:rPr>
          <w:rFonts w:ascii="Traditional Arabic" w:hAnsi="Traditional Arabic" w:hint="cs"/>
          <w:rtl/>
        </w:rPr>
        <w:t>م</w:t>
      </w:r>
      <w:r w:rsidR="00F665A6">
        <w:rPr>
          <w:rFonts w:ascii="Traditional Arabic" w:hAnsi="Traditional Arabic"/>
          <w:rtl/>
        </w:rPr>
        <w:t>ُ</w:t>
      </w:r>
      <w:r w:rsidR="00F665A6">
        <w:rPr>
          <w:rFonts w:ascii="Traditional Arabic" w:hAnsi="Traditional Arabic" w:hint="cs"/>
          <w:rtl/>
        </w:rPr>
        <w:t>ضار</w:t>
      </w:r>
      <w:r w:rsidR="00F665A6">
        <w:rPr>
          <w:rFonts w:ascii="Traditional Arabic" w:hAnsi="Traditional Arabic"/>
          <w:rtl/>
        </w:rPr>
        <w:t>ّ</w:t>
      </w:r>
      <w:r w:rsidR="00F665A6">
        <w:rPr>
          <w:rFonts w:ascii="Traditional Arabic" w:hAnsi="Traditional Arabic" w:hint="cs"/>
          <w:rtl/>
        </w:rPr>
        <w:t>)</w:t>
      </w:r>
      <w:r w:rsidR="00F665A6" w:rsidRPr="00C821A1">
        <w:rPr>
          <w:rFonts w:ascii="Traditional Arabic" w:hAnsi="Traditional Arabic" w:hint="cs"/>
          <w:szCs w:val="32"/>
          <w:vertAlign w:val="superscript"/>
          <w:rtl/>
        </w:rPr>
        <w:t>(</w:t>
      </w:r>
      <w:r w:rsidR="00F665A6" w:rsidRPr="00C821A1">
        <w:rPr>
          <w:rStyle w:val="af1"/>
          <w:rFonts w:ascii="Traditional Arabic" w:hAnsi="Traditional Arabic"/>
          <w:szCs w:val="32"/>
          <w:rtl/>
        </w:rPr>
        <w:footnoteReference w:id="913"/>
      </w:r>
      <w:r w:rsidR="00F665A6" w:rsidRPr="00C821A1">
        <w:rPr>
          <w:rFonts w:ascii="Traditional Arabic" w:hAnsi="Traditional Arabic" w:hint="cs"/>
          <w:szCs w:val="32"/>
          <w:vertAlign w:val="superscript"/>
          <w:rtl/>
        </w:rPr>
        <w:t>)</w:t>
      </w:r>
      <w:r w:rsidR="00F665A6">
        <w:rPr>
          <w:rFonts w:ascii="Traditional Arabic" w:hAnsi="Traditional Arabic" w:hint="cs"/>
          <w:rtl/>
        </w:rPr>
        <w:t>.</w:t>
      </w:r>
    </w:p>
    <w:p w:rsidR="00F665A6" w:rsidRDefault="00F665A6" w:rsidP="00597C20">
      <w:pPr>
        <w:ind w:firstLine="720"/>
        <w:rPr>
          <w:rFonts w:ascii="Traditional Arabic" w:hAnsi="Traditional Arabic"/>
          <w:rtl/>
        </w:rPr>
      </w:pPr>
      <w:r>
        <w:rPr>
          <w:rFonts w:ascii="Traditional Arabic" w:hAnsi="Traditional Arabic" w:hint="cs"/>
          <w:rtl/>
        </w:rPr>
        <w:t xml:space="preserve">وعلى كل حال </w:t>
      </w:r>
      <w:r>
        <w:rPr>
          <w:rFonts w:ascii="Traditional Arabic" w:hAnsi="Traditional Arabic"/>
          <w:rtl/>
        </w:rPr>
        <w:t>ﻓﺈ</w:t>
      </w:r>
      <w:r>
        <w:rPr>
          <w:rFonts w:ascii="Traditional Arabic" w:hAnsi="Traditional Arabic" w:hint="cs"/>
          <w:rtl/>
        </w:rPr>
        <w:t>ن الحديث يدل</w:t>
      </w:r>
      <w:r>
        <w:rPr>
          <w:rFonts w:ascii="Traditional Arabic" w:hAnsi="Traditional Arabic"/>
          <w:rtl/>
        </w:rPr>
        <w:t>ّ</w:t>
      </w:r>
      <w:r>
        <w:rPr>
          <w:rFonts w:ascii="Traditional Arabic" w:hAnsi="Traditional Arabic" w:hint="cs"/>
          <w:rtl/>
        </w:rPr>
        <w:t xml:space="preserve"> بعمومه على تحريم جميع أنواع الضرر </w:t>
      </w:r>
      <w:r>
        <w:rPr>
          <w:rFonts w:ascii="Traditional Arabic" w:hAnsi="Traditional Arabic"/>
          <w:rtl/>
        </w:rPr>
        <w:t>ﺇ</w:t>
      </w:r>
      <w:r w:rsidR="00CA2A73">
        <w:rPr>
          <w:rFonts w:ascii="Traditional Arabic" w:hAnsi="Traditional Arabic" w:hint="cs"/>
          <w:rtl/>
        </w:rPr>
        <w:t>لا بدليل</w:t>
      </w:r>
      <w:r>
        <w:rPr>
          <w:rFonts w:ascii="Traditional Arabic" w:hAnsi="Traditional Arabic" w:hint="cs"/>
          <w:rtl/>
        </w:rPr>
        <w:t xml:space="preserve">؛ لأن </w:t>
      </w:r>
      <w:r>
        <w:rPr>
          <w:rFonts w:ascii="Traditional Arabic" w:hAnsi="Traditional Arabic" w:hint="cs"/>
          <w:rtl/>
        </w:rPr>
        <w:lastRenderedPageBreak/>
        <w:t>النكرة في سياق النفي تفيد العموم</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14"/>
      </w:r>
      <w:r w:rsidRPr="00C821A1">
        <w:rPr>
          <w:rFonts w:ascii="Traditional Arabic" w:hAnsi="Traditional Arabic" w:hint="cs"/>
          <w:szCs w:val="32"/>
          <w:vertAlign w:val="superscript"/>
          <w:rtl/>
        </w:rPr>
        <w:t>)</w:t>
      </w:r>
      <w:r>
        <w:rPr>
          <w:rFonts w:ascii="Traditional Arabic" w:hAnsi="Traditional Arabic" w:hint="cs"/>
          <w:rtl/>
        </w:rPr>
        <w:t>.</w:t>
      </w:r>
    </w:p>
    <w:p w:rsidR="00F665A6" w:rsidRDefault="00F665A6" w:rsidP="00597C20">
      <w:pPr>
        <w:pStyle w:val="53"/>
        <w:rPr>
          <w:rtl/>
        </w:rPr>
      </w:pPr>
      <w:r w:rsidRPr="00A25020">
        <w:rPr>
          <w:rFonts w:hint="cs"/>
          <w:rtl/>
        </w:rPr>
        <w:t xml:space="preserve">معنى القاعدة </w:t>
      </w:r>
      <w:r w:rsidRPr="00A25020">
        <w:rPr>
          <w:rtl/>
        </w:rPr>
        <w:t>ﺇ</w:t>
      </w:r>
      <w:r w:rsidRPr="00A25020">
        <w:rPr>
          <w:rFonts w:hint="cs"/>
          <w:rtl/>
        </w:rPr>
        <w:t>جمالا</w:t>
      </w:r>
      <w:r>
        <w:rPr>
          <w:rFonts w:hint="cs"/>
          <w:rtl/>
        </w:rPr>
        <w:t>:</w:t>
      </w:r>
    </w:p>
    <w:p w:rsidR="00D1746D" w:rsidRPr="00D1746D" w:rsidRDefault="00D1746D" w:rsidP="00D1746D">
      <w:pPr>
        <w:ind w:firstLine="720"/>
        <w:rPr>
          <w:rFonts w:ascii="Traditional Arabic" w:hAnsi="Traditional Arabic"/>
          <w:rtl/>
        </w:rPr>
      </w:pPr>
      <w:r>
        <w:rPr>
          <w:rFonts w:hint="cs"/>
          <w:rtl/>
        </w:rPr>
        <w:t xml:space="preserve"> </w:t>
      </w:r>
      <w:r>
        <w:rPr>
          <w:rFonts w:ascii="Traditional Arabic" w:hAnsi="Traditional Arabic" w:hint="cs"/>
          <w:rtl/>
        </w:rPr>
        <w:t xml:space="preserve">هذه القاعدة هي </w:t>
      </w:r>
      <w:r>
        <w:rPr>
          <w:rFonts w:ascii="Traditional Arabic" w:hAnsi="Traditional Arabic"/>
          <w:rtl/>
        </w:rPr>
        <w:t>ﺇ</w:t>
      </w:r>
      <w:r>
        <w:rPr>
          <w:rFonts w:ascii="Traditional Arabic" w:hAnsi="Traditional Arabic" w:hint="cs"/>
          <w:rtl/>
        </w:rPr>
        <w:t>حدى القواعد الخمس الكبرى التي عليها مدار الفقه، وينبني عليها كثير من أبواب الفقه</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15"/>
      </w:r>
      <w:r w:rsidRPr="00C821A1">
        <w:rPr>
          <w:rFonts w:ascii="Traditional Arabic" w:hAnsi="Traditional Arabic" w:hint="cs"/>
          <w:szCs w:val="32"/>
          <w:vertAlign w:val="superscript"/>
          <w:rtl/>
        </w:rPr>
        <w:t>)</w:t>
      </w:r>
      <w:r>
        <w:rPr>
          <w:rFonts w:ascii="Traditional Arabic" w:hAnsi="Traditional Arabic" w:hint="cs"/>
          <w:rtl/>
        </w:rPr>
        <w:t>.</w:t>
      </w:r>
    </w:p>
    <w:p w:rsidR="00F665A6" w:rsidRPr="005708E1" w:rsidRDefault="00D1746D" w:rsidP="00D1746D">
      <w:pPr>
        <w:ind w:firstLine="720"/>
        <w:rPr>
          <w:rFonts w:ascii="Traditional Arabic" w:hAnsi="Traditional Arabic"/>
          <w:rtl/>
        </w:rPr>
      </w:pPr>
      <w:r>
        <w:rPr>
          <w:rFonts w:ascii="Traditional Arabic" w:hAnsi="Traditional Arabic" w:hint="cs"/>
          <w:rtl/>
        </w:rPr>
        <w:t xml:space="preserve">ومعناها أن </w:t>
      </w:r>
      <w:r w:rsidR="00F665A6" w:rsidRPr="00931A01">
        <w:rPr>
          <w:rFonts w:ascii="Traditional Arabic" w:hAnsi="Traditional Arabic" w:hint="cs"/>
          <w:rtl/>
        </w:rPr>
        <w:t>الضرر ممنوع شرع</w:t>
      </w:r>
      <w:r w:rsidR="00F665A6">
        <w:rPr>
          <w:rFonts w:ascii="Traditional Arabic" w:hAnsi="Traditional Arabic"/>
          <w:rtl/>
        </w:rPr>
        <w:t>ً</w:t>
      </w:r>
      <w:r w:rsidR="00F665A6" w:rsidRPr="00931A01">
        <w:rPr>
          <w:rFonts w:ascii="Traditional Arabic" w:hAnsi="Traditional Arabic" w:hint="cs"/>
          <w:rtl/>
        </w:rPr>
        <w:t>ا</w:t>
      </w:r>
      <w:r w:rsidR="00154102">
        <w:rPr>
          <w:rFonts w:ascii="Traditional Arabic" w:hAnsi="Traditional Arabic" w:hint="cs"/>
          <w:rtl/>
        </w:rPr>
        <w:t xml:space="preserve"> و</w:t>
      </w:r>
      <w:r w:rsidR="00F665A6">
        <w:rPr>
          <w:rFonts w:ascii="Traditional Arabic" w:hAnsi="Traditional Arabic" w:hint="cs"/>
          <w:rtl/>
        </w:rPr>
        <w:t>عقلا</w:t>
      </w:r>
      <w:r w:rsidR="00F665A6">
        <w:rPr>
          <w:rFonts w:ascii="Traditional Arabic" w:hAnsi="Traditional Arabic"/>
          <w:rtl/>
        </w:rPr>
        <w:t>ً</w:t>
      </w:r>
      <w:r w:rsidR="00F665A6" w:rsidRPr="00931A01">
        <w:rPr>
          <w:rFonts w:ascii="Traditional Arabic" w:hAnsi="Traditional Arabic" w:hint="cs"/>
          <w:rtl/>
        </w:rPr>
        <w:t xml:space="preserve"> بكل ص</w:t>
      </w:r>
      <w:r w:rsidR="00F665A6">
        <w:rPr>
          <w:rFonts w:ascii="Traditional Arabic" w:hAnsi="Traditional Arabic"/>
          <w:rtl/>
        </w:rPr>
        <w:t>ُ</w:t>
      </w:r>
      <w:r w:rsidR="00F665A6" w:rsidRPr="00931A01">
        <w:rPr>
          <w:rFonts w:ascii="Traditional Arabic" w:hAnsi="Traditional Arabic" w:hint="cs"/>
          <w:rtl/>
        </w:rPr>
        <w:t>و</w:t>
      </w:r>
      <w:r w:rsidR="00F665A6">
        <w:rPr>
          <w:rFonts w:ascii="Traditional Arabic" w:hAnsi="Traditional Arabic"/>
          <w:rtl/>
        </w:rPr>
        <w:t>َ</w:t>
      </w:r>
      <w:r w:rsidR="00F665A6" w:rsidRPr="00931A01">
        <w:rPr>
          <w:rFonts w:ascii="Traditional Arabic" w:hAnsi="Traditional Arabic" w:hint="cs"/>
          <w:rtl/>
        </w:rPr>
        <w:t>ره؛</w:t>
      </w:r>
      <w:r w:rsidR="00E57D51">
        <w:rPr>
          <w:rFonts w:ascii="Traditional Arabic" w:hAnsi="Traditional Arabic" w:hint="cs"/>
          <w:rtl/>
        </w:rPr>
        <w:t xml:space="preserve"> </w:t>
      </w:r>
      <w:r w:rsidR="00F665A6" w:rsidRPr="00931A01">
        <w:rPr>
          <w:rFonts w:ascii="Traditional Arabic" w:hAnsi="Traditional Arabic" w:hint="cs"/>
          <w:rtl/>
        </w:rPr>
        <w:t xml:space="preserve">سواء </w:t>
      </w:r>
      <w:r w:rsidR="00E57D51">
        <w:rPr>
          <w:rFonts w:ascii="Traditional Arabic" w:hAnsi="Traditional Arabic" w:hint="cs"/>
          <w:rtl/>
        </w:rPr>
        <w:t>أ</w:t>
      </w:r>
      <w:r w:rsidR="00F665A6" w:rsidRPr="00931A01">
        <w:rPr>
          <w:rFonts w:ascii="Traditional Arabic" w:hAnsi="Traditional Arabic" w:hint="cs"/>
          <w:rtl/>
        </w:rPr>
        <w:t>كان مقصود</w:t>
      </w:r>
      <w:r w:rsidR="00F665A6">
        <w:rPr>
          <w:rFonts w:ascii="Traditional Arabic" w:hAnsi="Traditional Arabic"/>
          <w:rtl/>
        </w:rPr>
        <w:t>ً</w:t>
      </w:r>
      <w:r w:rsidR="00E57D51">
        <w:rPr>
          <w:rFonts w:ascii="Traditional Arabic" w:hAnsi="Traditional Arabic" w:hint="cs"/>
          <w:rtl/>
        </w:rPr>
        <w:t>ا أم</w:t>
      </w:r>
      <w:r w:rsidR="00F665A6" w:rsidRPr="00931A01">
        <w:rPr>
          <w:rFonts w:ascii="Traditional Arabic" w:hAnsi="Traditional Arabic" w:hint="cs"/>
          <w:rtl/>
        </w:rPr>
        <w:t xml:space="preserve"> غير مقصود، واقع</w:t>
      </w:r>
      <w:r w:rsidR="00F665A6">
        <w:rPr>
          <w:rFonts w:ascii="Traditional Arabic" w:hAnsi="Traditional Arabic"/>
          <w:rtl/>
        </w:rPr>
        <w:t>ً</w:t>
      </w:r>
      <w:r w:rsidR="00F665A6" w:rsidRPr="00931A01">
        <w:rPr>
          <w:rFonts w:ascii="Traditional Arabic" w:hAnsi="Traditional Arabic" w:hint="cs"/>
          <w:rtl/>
        </w:rPr>
        <w:t>ا أو م</w:t>
      </w:r>
      <w:r w:rsidR="00F665A6">
        <w:rPr>
          <w:rFonts w:ascii="Traditional Arabic" w:hAnsi="Traditional Arabic"/>
          <w:rtl/>
        </w:rPr>
        <w:t>ُ</w:t>
      </w:r>
      <w:r w:rsidR="00F665A6" w:rsidRPr="00931A01">
        <w:rPr>
          <w:rFonts w:ascii="Traditional Arabic" w:hAnsi="Traditional Arabic" w:hint="cs"/>
          <w:rtl/>
        </w:rPr>
        <w:t>ت</w:t>
      </w:r>
      <w:r w:rsidR="00F665A6">
        <w:rPr>
          <w:rFonts w:ascii="Traditional Arabic" w:hAnsi="Traditional Arabic"/>
          <w:rtl/>
        </w:rPr>
        <w:t>َ</w:t>
      </w:r>
      <w:r w:rsidR="00F665A6" w:rsidRPr="00931A01">
        <w:rPr>
          <w:rFonts w:ascii="Traditional Arabic" w:hAnsi="Traditional Arabic" w:hint="cs"/>
          <w:rtl/>
        </w:rPr>
        <w:t>و</w:t>
      </w:r>
      <w:r w:rsidR="00F665A6">
        <w:rPr>
          <w:rFonts w:ascii="Traditional Arabic" w:hAnsi="Traditional Arabic"/>
          <w:rtl/>
        </w:rPr>
        <w:t>َ</w:t>
      </w:r>
      <w:r w:rsidR="00F665A6" w:rsidRPr="00931A01">
        <w:rPr>
          <w:rFonts w:ascii="Traditional Arabic" w:hAnsi="Traditional Arabic" w:hint="cs"/>
          <w:rtl/>
        </w:rPr>
        <w:t>ق</w:t>
      </w:r>
      <w:r w:rsidR="00F665A6">
        <w:rPr>
          <w:rFonts w:ascii="Traditional Arabic" w:hAnsi="Traditional Arabic"/>
          <w:rtl/>
        </w:rPr>
        <w:t>َّ</w:t>
      </w:r>
      <w:r w:rsidR="00F665A6" w:rsidRPr="00931A01">
        <w:rPr>
          <w:rFonts w:ascii="Traditional Arabic" w:hAnsi="Traditional Arabic" w:hint="cs"/>
          <w:rtl/>
        </w:rPr>
        <w:t>ع</w:t>
      </w:r>
      <w:r w:rsidR="00F665A6">
        <w:rPr>
          <w:rFonts w:ascii="Traditional Arabic" w:hAnsi="Traditional Arabic"/>
          <w:rtl/>
        </w:rPr>
        <w:t>ً</w:t>
      </w:r>
      <w:r w:rsidR="00F665A6" w:rsidRPr="00931A01">
        <w:rPr>
          <w:rFonts w:ascii="Traditional Arabic" w:hAnsi="Traditional Arabic" w:hint="cs"/>
          <w:rtl/>
        </w:rPr>
        <w:t>ا،</w:t>
      </w:r>
      <w:r w:rsidR="00E57D51">
        <w:rPr>
          <w:rFonts w:ascii="Traditional Arabic" w:hAnsi="Traditional Arabic" w:hint="cs"/>
          <w:rtl/>
        </w:rPr>
        <w:t xml:space="preserve"> </w:t>
      </w:r>
      <w:r w:rsidR="00F665A6" w:rsidRPr="00931A01">
        <w:rPr>
          <w:rFonts w:ascii="Traditional Arabic" w:hAnsi="Traditional Arabic" w:hint="cs"/>
          <w:rtl/>
        </w:rPr>
        <w:t>ن</w:t>
      </w:r>
      <w:r w:rsidR="00F665A6">
        <w:rPr>
          <w:rFonts w:ascii="Traditional Arabic" w:hAnsi="Traditional Arabic"/>
          <w:rtl/>
        </w:rPr>
        <w:t>ِ</w:t>
      </w:r>
      <w:r w:rsidR="00F665A6" w:rsidRPr="00931A01">
        <w:rPr>
          <w:rFonts w:ascii="Traditional Arabic" w:hAnsi="Traditional Arabic" w:hint="cs"/>
          <w:rtl/>
        </w:rPr>
        <w:t>س</w:t>
      </w:r>
      <w:r w:rsidR="00F665A6">
        <w:rPr>
          <w:rFonts w:ascii="Traditional Arabic" w:hAnsi="Traditional Arabic"/>
          <w:rtl/>
        </w:rPr>
        <w:t>ْ</w:t>
      </w:r>
      <w:r w:rsidR="00F665A6" w:rsidRPr="00931A01">
        <w:rPr>
          <w:rFonts w:ascii="Traditional Arabic" w:hAnsi="Traditional Arabic" w:hint="cs"/>
          <w:rtl/>
        </w:rPr>
        <w:t>ب</w:t>
      </w:r>
      <w:r w:rsidR="00F665A6">
        <w:rPr>
          <w:rFonts w:ascii="Traditional Arabic" w:hAnsi="Traditional Arabic"/>
          <w:rtl/>
        </w:rPr>
        <w:t>ِ</w:t>
      </w:r>
      <w:r w:rsidR="00F665A6" w:rsidRPr="00931A01">
        <w:rPr>
          <w:rFonts w:ascii="Traditional Arabic" w:hAnsi="Traditional Arabic" w:hint="cs"/>
          <w:rtl/>
        </w:rPr>
        <w:t>ي</w:t>
      </w:r>
      <w:r w:rsidR="00F665A6">
        <w:rPr>
          <w:rFonts w:ascii="Traditional Arabic" w:hAnsi="Traditional Arabic"/>
          <w:rtl/>
        </w:rPr>
        <w:t>ًّ</w:t>
      </w:r>
      <w:r w:rsidR="00F665A6" w:rsidRPr="00931A01">
        <w:rPr>
          <w:rFonts w:ascii="Traditional Arabic" w:hAnsi="Traditional Arabic" w:hint="cs"/>
          <w:rtl/>
        </w:rPr>
        <w:t>ا</w:t>
      </w:r>
      <w:r w:rsidR="00F665A6" w:rsidRPr="00C821A1">
        <w:rPr>
          <w:rFonts w:ascii="Traditional Arabic" w:hAnsi="Traditional Arabic" w:hint="cs"/>
          <w:szCs w:val="32"/>
          <w:vertAlign w:val="superscript"/>
          <w:rtl/>
        </w:rPr>
        <w:t>(</w:t>
      </w:r>
      <w:r w:rsidR="00F665A6" w:rsidRPr="00C821A1">
        <w:rPr>
          <w:rStyle w:val="af1"/>
          <w:rFonts w:ascii="Traditional Arabic" w:hAnsi="Traditional Arabic"/>
          <w:szCs w:val="32"/>
          <w:rtl/>
        </w:rPr>
        <w:footnoteReference w:id="916"/>
      </w:r>
      <w:r w:rsidR="00F665A6" w:rsidRPr="00C821A1">
        <w:rPr>
          <w:rFonts w:ascii="Traditional Arabic" w:hAnsi="Traditional Arabic" w:hint="cs"/>
          <w:szCs w:val="32"/>
          <w:vertAlign w:val="superscript"/>
          <w:rtl/>
        </w:rPr>
        <w:t>)</w:t>
      </w:r>
      <w:r w:rsidR="00F665A6" w:rsidRPr="00931A01">
        <w:rPr>
          <w:rFonts w:ascii="Traditional Arabic" w:hAnsi="Traditional Arabic" w:hint="cs"/>
          <w:rtl/>
        </w:rPr>
        <w:t xml:space="preserve"> أو كل</w:t>
      </w:r>
      <w:r w:rsidR="00F665A6">
        <w:rPr>
          <w:rFonts w:ascii="Traditional Arabic" w:hAnsi="Traditional Arabic"/>
          <w:rtl/>
        </w:rPr>
        <w:t>ّ</w:t>
      </w:r>
      <w:r w:rsidR="00F665A6" w:rsidRPr="00931A01">
        <w:rPr>
          <w:rFonts w:ascii="Traditional Arabic" w:hAnsi="Traditional Arabic" w:hint="cs"/>
          <w:rtl/>
        </w:rPr>
        <w:t>ي</w:t>
      </w:r>
      <w:r w:rsidR="00F665A6">
        <w:rPr>
          <w:rFonts w:ascii="Traditional Arabic" w:hAnsi="Traditional Arabic"/>
          <w:rtl/>
        </w:rPr>
        <w:t>ًّ</w:t>
      </w:r>
      <w:r w:rsidR="00F665A6" w:rsidRPr="00931A01">
        <w:rPr>
          <w:rFonts w:ascii="Traditional Arabic" w:hAnsi="Traditional Arabic" w:hint="cs"/>
          <w:rtl/>
        </w:rPr>
        <w:t>ا،</w:t>
      </w:r>
      <w:r w:rsidR="00154102">
        <w:rPr>
          <w:rFonts w:ascii="Traditional Arabic" w:hAnsi="Traditional Arabic" w:hint="cs"/>
          <w:rtl/>
        </w:rPr>
        <w:t xml:space="preserve"> و</w:t>
      </w:r>
      <w:r w:rsidR="00F665A6" w:rsidRPr="00931A01">
        <w:rPr>
          <w:rFonts w:ascii="Traditional Arabic" w:hAnsi="Traditional Arabic" w:hint="cs"/>
          <w:rtl/>
        </w:rPr>
        <w:t>سواء كان في الدين</w:t>
      </w:r>
      <w:r w:rsidR="00E57D51">
        <w:rPr>
          <w:rFonts w:ascii="Traditional Arabic" w:hAnsi="Traditional Arabic" w:hint="cs"/>
          <w:rtl/>
        </w:rPr>
        <w:t xml:space="preserve"> </w:t>
      </w:r>
      <w:r w:rsidR="00F665A6" w:rsidRPr="00931A01">
        <w:rPr>
          <w:rFonts w:ascii="Traditional Arabic" w:hAnsi="Traditional Arabic" w:hint="cs"/>
          <w:rtl/>
        </w:rPr>
        <w:t>أو النفس أو العقل أو الع</w:t>
      </w:r>
      <w:r w:rsidR="00F665A6">
        <w:rPr>
          <w:rFonts w:ascii="Traditional Arabic" w:hAnsi="Traditional Arabic"/>
          <w:rtl/>
        </w:rPr>
        <w:t>ِ</w:t>
      </w:r>
      <w:r w:rsidR="00F665A6" w:rsidRPr="00931A01">
        <w:rPr>
          <w:rFonts w:ascii="Traditional Arabic" w:hAnsi="Traditional Arabic" w:hint="cs"/>
          <w:rtl/>
        </w:rPr>
        <w:t>ر</w:t>
      </w:r>
      <w:r w:rsidR="00F665A6">
        <w:rPr>
          <w:rFonts w:ascii="Traditional Arabic" w:hAnsi="Traditional Arabic"/>
          <w:rtl/>
        </w:rPr>
        <w:t>ْ</w:t>
      </w:r>
      <w:r w:rsidR="00F665A6" w:rsidRPr="00931A01">
        <w:rPr>
          <w:rFonts w:ascii="Traditional Arabic" w:hAnsi="Traditional Arabic" w:hint="cs"/>
          <w:rtl/>
        </w:rPr>
        <w:t>ض أو المال،</w:t>
      </w:r>
      <w:r w:rsidR="00154102">
        <w:rPr>
          <w:rFonts w:ascii="Traditional Arabic" w:hAnsi="Traditional Arabic" w:hint="cs"/>
          <w:rtl/>
        </w:rPr>
        <w:t xml:space="preserve"> و</w:t>
      </w:r>
      <w:r w:rsidR="00F665A6">
        <w:rPr>
          <w:rFonts w:ascii="Traditional Arabic" w:hAnsi="Traditional Arabic" w:hint="cs"/>
          <w:rtl/>
        </w:rPr>
        <w:t xml:space="preserve">سواء </w:t>
      </w:r>
      <w:r w:rsidR="00E57D51">
        <w:rPr>
          <w:rFonts w:ascii="Traditional Arabic" w:hAnsi="Traditional Arabic" w:hint="cs"/>
          <w:rtl/>
        </w:rPr>
        <w:t>أكان الضرر على الأفراد أم</w:t>
      </w:r>
      <w:r w:rsidR="00F665A6">
        <w:rPr>
          <w:rFonts w:ascii="Traditional Arabic" w:hAnsi="Traditional Arabic" w:hint="cs"/>
          <w:rtl/>
        </w:rPr>
        <w:t xml:space="preserve"> على المجتمع،</w:t>
      </w:r>
      <w:r w:rsidR="00154102">
        <w:rPr>
          <w:rFonts w:ascii="Traditional Arabic" w:hAnsi="Traditional Arabic" w:hint="cs"/>
          <w:rtl/>
        </w:rPr>
        <w:t xml:space="preserve"> و</w:t>
      </w:r>
      <w:r w:rsidR="00F665A6">
        <w:rPr>
          <w:rFonts w:ascii="Traditional Arabic" w:hAnsi="Traditional Arabic" w:hint="cs"/>
          <w:rtl/>
        </w:rPr>
        <w:t>سواء كان فيما يتعلق بحقوق الله أو حقوق الناس،</w:t>
      </w:r>
      <w:r w:rsidR="00E57D51">
        <w:rPr>
          <w:rFonts w:ascii="Traditional Arabic" w:hAnsi="Traditional Arabic" w:hint="cs"/>
          <w:rtl/>
        </w:rPr>
        <w:t xml:space="preserve"> </w:t>
      </w:r>
      <w:r w:rsidR="00F665A6">
        <w:rPr>
          <w:rFonts w:ascii="Traditional Arabic" w:hAnsi="Traditional Arabic" w:hint="cs"/>
          <w:rtl/>
        </w:rPr>
        <w:t>ف</w:t>
      </w:r>
      <w:r w:rsidR="00F665A6" w:rsidRPr="00931A01">
        <w:rPr>
          <w:rFonts w:ascii="Traditional Arabic" w:hAnsi="Traditional Arabic" w:hint="cs"/>
          <w:rtl/>
        </w:rPr>
        <w:t>يجب د</w:t>
      </w:r>
      <w:r w:rsidR="00F665A6">
        <w:rPr>
          <w:rFonts w:ascii="Traditional Arabic" w:hAnsi="Traditional Arabic"/>
          <w:rtl/>
        </w:rPr>
        <w:t>َ</w:t>
      </w:r>
      <w:r w:rsidR="00F665A6" w:rsidRPr="00931A01">
        <w:rPr>
          <w:rFonts w:ascii="Traditional Arabic" w:hAnsi="Traditional Arabic" w:hint="cs"/>
          <w:rtl/>
        </w:rPr>
        <w:t>ف</w:t>
      </w:r>
      <w:r w:rsidR="00F665A6">
        <w:rPr>
          <w:rFonts w:ascii="Traditional Arabic" w:hAnsi="Traditional Arabic"/>
          <w:rtl/>
        </w:rPr>
        <w:t>ْ</w:t>
      </w:r>
      <w:r w:rsidR="00F665A6" w:rsidRPr="00931A01">
        <w:rPr>
          <w:rFonts w:ascii="Traditional Arabic" w:hAnsi="Traditional Arabic" w:hint="cs"/>
          <w:rtl/>
        </w:rPr>
        <w:t>ع</w:t>
      </w:r>
      <w:r w:rsidR="00F665A6">
        <w:rPr>
          <w:rFonts w:ascii="Traditional Arabic" w:hAnsi="Traditional Arabic"/>
          <w:rtl/>
        </w:rPr>
        <w:t>ُ</w:t>
      </w:r>
      <w:r w:rsidR="00F665A6" w:rsidRPr="00931A01">
        <w:rPr>
          <w:rFonts w:ascii="Traditional Arabic" w:hAnsi="Traditional Arabic" w:hint="cs"/>
          <w:rtl/>
        </w:rPr>
        <w:t>ه قبل ن</w:t>
      </w:r>
      <w:r w:rsidR="00F665A6">
        <w:rPr>
          <w:rFonts w:ascii="Traditional Arabic" w:hAnsi="Traditional Arabic"/>
          <w:rtl/>
        </w:rPr>
        <w:t>ُ</w:t>
      </w:r>
      <w:r w:rsidR="00F665A6" w:rsidRPr="00931A01">
        <w:rPr>
          <w:rFonts w:ascii="Traditional Arabic" w:hAnsi="Traditional Arabic" w:hint="cs"/>
          <w:rtl/>
        </w:rPr>
        <w:t>زوله</w:t>
      </w:r>
      <w:r w:rsidR="00154102">
        <w:rPr>
          <w:rFonts w:ascii="Traditional Arabic" w:hAnsi="Traditional Arabic" w:hint="cs"/>
          <w:rtl/>
        </w:rPr>
        <w:t xml:space="preserve"> و</w:t>
      </w:r>
      <w:r w:rsidR="00F665A6" w:rsidRPr="00931A01">
        <w:rPr>
          <w:rFonts w:ascii="Traditional Arabic" w:hAnsi="Traditional Arabic" w:hint="cs"/>
          <w:rtl/>
        </w:rPr>
        <w:t>ر</w:t>
      </w:r>
      <w:r w:rsidR="00F665A6">
        <w:rPr>
          <w:rFonts w:ascii="Traditional Arabic" w:hAnsi="Traditional Arabic"/>
          <w:rtl/>
        </w:rPr>
        <w:t>َ</w:t>
      </w:r>
      <w:r w:rsidR="00F665A6" w:rsidRPr="00931A01">
        <w:rPr>
          <w:rFonts w:ascii="Traditional Arabic" w:hAnsi="Traditional Arabic" w:hint="cs"/>
          <w:rtl/>
        </w:rPr>
        <w:t>ف</w:t>
      </w:r>
      <w:r w:rsidR="00F665A6">
        <w:rPr>
          <w:rFonts w:ascii="Traditional Arabic" w:hAnsi="Traditional Arabic"/>
          <w:rtl/>
        </w:rPr>
        <w:t>ْ</w:t>
      </w:r>
      <w:r w:rsidR="00F665A6" w:rsidRPr="00931A01">
        <w:rPr>
          <w:rFonts w:ascii="Traditional Arabic" w:hAnsi="Traditional Arabic" w:hint="cs"/>
          <w:rtl/>
        </w:rPr>
        <w:t>ع</w:t>
      </w:r>
      <w:r w:rsidR="00F665A6">
        <w:rPr>
          <w:rFonts w:ascii="Traditional Arabic" w:hAnsi="Traditional Arabic"/>
          <w:rtl/>
        </w:rPr>
        <w:t>ُ</w:t>
      </w:r>
      <w:r w:rsidR="00F665A6" w:rsidRPr="00931A01">
        <w:rPr>
          <w:rFonts w:ascii="Traditional Arabic" w:hAnsi="Traditional Arabic" w:hint="cs"/>
          <w:rtl/>
        </w:rPr>
        <w:t>ه بعد نزوله</w:t>
      </w:r>
      <w:r w:rsidR="00E57D51">
        <w:rPr>
          <w:rFonts w:ascii="Traditional Arabic" w:hAnsi="Traditional Arabic" w:hint="cs"/>
          <w:rtl/>
        </w:rPr>
        <w:t>،</w:t>
      </w:r>
      <w:r w:rsidR="00F665A6">
        <w:rPr>
          <w:rFonts w:ascii="Traditional Arabic" w:hAnsi="Traditional Arabic" w:hint="cs"/>
          <w:rtl/>
        </w:rPr>
        <w:t xml:space="preserve"> مع عقوبة فاعل الضرر </w:t>
      </w:r>
      <w:r w:rsidR="00F665A6">
        <w:rPr>
          <w:rFonts w:ascii="Traditional Arabic" w:hAnsi="Traditional Arabic"/>
          <w:rtl/>
        </w:rPr>
        <w:t>ﺇ</w:t>
      </w:r>
      <w:r w:rsidR="00F665A6">
        <w:rPr>
          <w:rFonts w:ascii="Traditional Arabic" w:hAnsi="Traditional Arabic" w:hint="cs"/>
          <w:rtl/>
        </w:rPr>
        <w:t>ذا قصد ا</w:t>
      </w:r>
      <w:r w:rsidR="00F665A6">
        <w:rPr>
          <w:rFonts w:ascii="Traditional Arabic" w:hAnsi="Traditional Arabic"/>
          <w:rtl/>
        </w:rPr>
        <w:t>ﻹ</w:t>
      </w:r>
      <w:r w:rsidR="00F665A6">
        <w:rPr>
          <w:rFonts w:ascii="Traditional Arabic" w:hAnsi="Traditional Arabic" w:hint="cs"/>
          <w:rtl/>
        </w:rPr>
        <w:t>ضرار</w:t>
      </w:r>
      <w:r w:rsidR="00F665A6" w:rsidRPr="00C821A1">
        <w:rPr>
          <w:rFonts w:ascii="Traditional Arabic" w:hAnsi="Traditional Arabic" w:hint="cs"/>
          <w:szCs w:val="32"/>
          <w:vertAlign w:val="superscript"/>
          <w:rtl/>
        </w:rPr>
        <w:t>(</w:t>
      </w:r>
      <w:r w:rsidR="00F665A6" w:rsidRPr="00C821A1">
        <w:rPr>
          <w:rStyle w:val="af1"/>
          <w:rFonts w:ascii="Traditional Arabic" w:hAnsi="Traditional Arabic"/>
          <w:szCs w:val="32"/>
          <w:rtl/>
        </w:rPr>
        <w:footnoteReference w:id="917"/>
      </w:r>
      <w:r w:rsidR="00F665A6" w:rsidRPr="00C821A1">
        <w:rPr>
          <w:rFonts w:ascii="Traditional Arabic" w:hAnsi="Traditional Arabic" w:hint="cs"/>
          <w:szCs w:val="32"/>
          <w:vertAlign w:val="superscript"/>
          <w:rtl/>
        </w:rPr>
        <w:t>)</w:t>
      </w:r>
      <w:r w:rsidR="00F665A6">
        <w:rPr>
          <w:rFonts w:ascii="Traditional Arabic" w:hAnsi="Traditional Arabic" w:hint="cs"/>
          <w:rtl/>
        </w:rPr>
        <w:t>.</w:t>
      </w:r>
    </w:p>
    <w:p w:rsidR="00F665A6" w:rsidRDefault="00F665A6" w:rsidP="00597C20">
      <w:pPr>
        <w:ind w:firstLine="720"/>
        <w:rPr>
          <w:rFonts w:ascii="Traditional Arabic" w:hAnsi="Traditional Arabic"/>
          <w:rtl/>
        </w:rPr>
      </w:pPr>
      <w:r>
        <w:rPr>
          <w:rFonts w:ascii="Traditional Arabic" w:hAnsi="Traditional Arabic" w:hint="cs"/>
          <w:rtl/>
        </w:rPr>
        <w:t>ويتجل</w:t>
      </w:r>
      <w:r>
        <w:rPr>
          <w:rFonts w:ascii="Traditional Arabic" w:hAnsi="Traditional Arabic"/>
          <w:rtl/>
        </w:rPr>
        <w:t>ّ</w:t>
      </w:r>
      <w:r>
        <w:rPr>
          <w:rFonts w:ascii="Traditional Arabic" w:hAnsi="Traditional Arabic" w:hint="cs"/>
          <w:rtl/>
        </w:rPr>
        <w:t>ى تطبيق هذه القاعدة في كل ح</w:t>
      </w:r>
      <w:r>
        <w:rPr>
          <w:rFonts w:ascii="Traditional Arabic" w:hAnsi="Traditional Arabic"/>
          <w:rtl/>
        </w:rPr>
        <w:t>ُ</w:t>
      </w:r>
      <w:r>
        <w:rPr>
          <w:rFonts w:ascii="Traditional Arabic" w:hAnsi="Traditional Arabic" w:hint="cs"/>
          <w:rtl/>
        </w:rPr>
        <w:t>ك</w:t>
      </w:r>
      <w:r>
        <w:rPr>
          <w:rFonts w:ascii="Traditional Arabic" w:hAnsi="Traditional Arabic"/>
          <w:rtl/>
        </w:rPr>
        <w:t>ْ</w:t>
      </w:r>
      <w:r>
        <w:rPr>
          <w:rFonts w:ascii="Traditional Arabic" w:hAnsi="Traditional Arabic" w:hint="cs"/>
          <w:rtl/>
        </w:rPr>
        <w:t>م كانت ح</w:t>
      </w:r>
      <w:r>
        <w:rPr>
          <w:rFonts w:ascii="Traditional Arabic" w:hAnsi="Traditional Arabic"/>
          <w:rtl/>
        </w:rPr>
        <w:t>ِ</w:t>
      </w:r>
      <w:r>
        <w:rPr>
          <w:rFonts w:ascii="Traditional Arabic" w:hAnsi="Traditional Arabic" w:hint="cs"/>
          <w:rtl/>
        </w:rPr>
        <w:t>ك</w:t>
      </w:r>
      <w:r>
        <w:rPr>
          <w:rFonts w:ascii="Traditional Arabic" w:hAnsi="Traditional Arabic"/>
          <w:rtl/>
        </w:rPr>
        <w:t>ْ</w:t>
      </w:r>
      <w:r>
        <w:rPr>
          <w:rFonts w:ascii="Traditional Arabic" w:hAnsi="Traditional Arabic" w:hint="cs"/>
          <w:rtl/>
        </w:rPr>
        <w:t>مة مشروعي</w:t>
      </w:r>
      <w:r>
        <w:rPr>
          <w:rFonts w:ascii="Traditional Arabic" w:hAnsi="Traditional Arabic"/>
          <w:rtl/>
        </w:rPr>
        <w:t>ّ</w:t>
      </w:r>
      <w:r>
        <w:rPr>
          <w:rFonts w:ascii="Traditional Arabic" w:hAnsi="Traditional Arabic" w:hint="cs"/>
          <w:rtl/>
        </w:rPr>
        <w:t>ته دف</w:t>
      </w:r>
      <w:r>
        <w:rPr>
          <w:rFonts w:ascii="Traditional Arabic" w:hAnsi="Traditional Arabic"/>
          <w:rtl/>
        </w:rPr>
        <w:t>ْ</w:t>
      </w:r>
      <w:r>
        <w:rPr>
          <w:rFonts w:ascii="Traditional Arabic" w:hAnsi="Traditional Arabic" w:hint="cs"/>
          <w:rtl/>
        </w:rPr>
        <w:t>ع الضرر،</w:t>
      </w:r>
      <w:r w:rsidR="00D1746D">
        <w:rPr>
          <w:rFonts w:ascii="Traditional Arabic" w:hAnsi="Traditional Arabic" w:hint="cs"/>
          <w:rtl/>
        </w:rPr>
        <w:t xml:space="preserve"> </w:t>
      </w:r>
      <w:r>
        <w:rPr>
          <w:rFonts w:ascii="Traditional Arabic" w:hAnsi="Traditional Arabic" w:hint="cs"/>
          <w:rtl/>
        </w:rPr>
        <w:t xml:space="preserve">ولعلَ </w:t>
      </w:r>
      <w:r w:rsidRPr="000D49DC">
        <w:rPr>
          <w:rFonts w:ascii="Traditional Arabic" w:hAnsi="Traditional Arabic" w:hint="cs"/>
          <w:rtl/>
        </w:rPr>
        <w:t>أكبر مجال لتطبيقها هو المعاملات،</w:t>
      </w:r>
      <w:r w:rsidR="00FD2A4D">
        <w:rPr>
          <w:rFonts w:ascii="Traditional Arabic" w:hAnsi="Traditional Arabic" w:hint="cs"/>
          <w:rtl/>
        </w:rPr>
        <w:t xml:space="preserve"> </w:t>
      </w:r>
      <w:r w:rsidRPr="000D49DC">
        <w:rPr>
          <w:rFonts w:ascii="Traditional Arabic" w:hAnsi="Traditional Arabic" w:hint="cs"/>
          <w:rtl/>
        </w:rPr>
        <w:t>حيث يكون الأمر متعل</w:t>
      </w:r>
      <w:r w:rsidRPr="000D49DC">
        <w:rPr>
          <w:rFonts w:ascii="Traditional Arabic" w:hAnsi="Traditional Arabic"/>
          <w:rtl/>
        </w:rPr>
        <w:t>ّ</w:t>
      </w:r>
      <w:r w:rsidRPr="000D49DC">
        <w:rPr>
          <w:rFonts w:ascii="Traditional Arabic" w:hAnsi="Traditional Arabic" w:hint="cs"/>
          <w:rtl/>
        </w:rPr>
        <w:t>قا بطرفين</w:t>
      </w:r>
      <w:r w:rsidR="00FD2A4D">
        <w:rPr>
          <w:rFonts w:ascii="Traditional Arabic" w:hAnsi="Traditional Arabic" w:hint="cs"/>
          <w:rtl/>
        </w:rPr>
        <w:t>؛</w:t>
      </w:r>
      <w:r w:rsidR="00154102">
        <w:rPr>
          <w:rFonts w:ascii="Traditional Arabic" w:hAnsi="Traditional Arabic" w:hint="cs"/>
          <w:rtl/>
        </w:rPr>
        <w:t xml:space="preserve"> و</w:t>
      </w:r>
      <w:r>
        <w:rPr>
          <w:rFonts w:ascii="Traditional Arabic" w:hAnsi="Traditional Arabic" w:hint="cs"/>
          <w:rtl/>
        </w:rPr>
        <w:t>لذلك فقد ذكر العلماء أنه ان</w:t>
      </w:r>
      <w:r>
        <w:rPr>
          <w:rFonts w:ascii="Traditional Arabic" w:hAnsi="Traditional Arabic"/>
          <w:rtl/>
        </w:rPr>
        <w:t>ْ</w:t>
      </w:r>
      <w:r>
        <w:rPr>
          <w:rFonts w:ascii="Traditional Arabic" w:hAnsi="Traditional Arabic" w:hint="cs"/>
          <w:rtl/>
        </w:rPr>
        <w:t>ب</w:t>
      </w:r>
      <w:r>
        <w:rPr>
          <w:rFonts w:ascii="Traditional Arabic" w:hAnsi="Traditional Arabic"/>
          <w:rtl/>
        </w:rPr>
        <w:t>َ</w:t>
      </w:r>
      <w:r>
        <w:rPr>
          <w:rFonts w:ascii="Traditional Arabic" w:hAnsi="Traditional Arabic" w:hint="cs"/>
          <w:rtl/>
        </w:rPr>
        <w:t>نى على هذه القاعدة أبواب: كر</w:t>
      </w:r>
      <w:r>
        <w:rPr>
          <w:rFonts w:ascii="Traditional Arabic" w:hAnsi="Traditional Arabic"/>
          <w:rtl/>
        </w:rPr>
        <w:t>َ</w:t>
      </w:r>
      <w:r>
        <w:rPr>
          <w:rFonts w:ascii="Traditional Arabic" w:hAnsi="Traditional Arabic" w:hint="cs"/>
          <w:rtl/>
        </w:rPr>
        <w:t>د</w:t>
      </w:r>
      <w:r>
        <w:rPr>
          <w:rFonts w:ascii="Traditional Arabic" w:hAnsi="Traditional Arabic"/>
          <w:rtl/>
        </w:rPr>
        <w:t>ِّ</w:t>
      </w:r>
      <w:r>
        <w:rPr>
          <w:rFonts w:ascii="Traditional Arabic" w:hAnsi="Traditional Arabic" w:hint="cs"/>
          <w:rtl/>
        </w:rPr>
        <w:t xml:space="preserve"> المعيب في البيوع،</w:t>
      </w:r>
      <w:r w:rsidR="00154102">
        <w:rPr>
          <w:rFonts w:ascii="Traditional Arabic" w:hAnsi="Traditional Arabic" w:hint="cs"/>
          <w:rtl/>
        </w:rPr>
        <w:t xml:space="preserve"> و</w:t>
      </w:r>
      <w:r>
        <w:rPr>
          <w:rFonts w:ascii="Traditional Arabic" w:hAnsi="Traditional Arabic"/>
          <w:rtl/>
        </w:rPr>
        <w:t>ﺇ</w:t>
      </w:r>
      <w:r>
        <w:rPr>
          <w:rFonts w:ascii="Traditional Arabic" w:hAnsi="Traditional Arabic" w:hint="cs"/>
          <w:rtl/>
        </w:rPr>
        <w:t>ثبات ال</w:t>
      </w:r>
      <w:r w:rsidR="000D49DC">
        <w:rPr>
          <w:rFonts w:ascii="Traditional Arabic" w:hAnsi="Traditional Arabic" w:hint="cs"/>
          <w:rtl/>
        </w:rPr>
        <w:t>خيار عند اختلاف الصفات المشروطة</w:t>
      </w:r>
      <w:r>
        <w:rPr>
          <w:rFonts w:ascii="Traditional Arabic" w:hAnsi="Traditional Arabic" w:hint="cs"/>
          <w:rtl/>
        </w:rPr>
        <w:t>،</w:t>
      </w:r>
      <w:r w:rsidR="00154102">
        <w:rPr>
          <w:rFonts w:ascii="Traditional Arabic" w:hAnsi="Traditional Arabic" w:hint="cs"/>
          <w:rtl/>
        </w:rPr>
        <w:t xml:space="preserve"> </w:t>
      </w:r>
      <w:r w:rsidR="00154102">
        <w:rPr>
          <w:rFonts w:ascii="Traditional Arabic" w:hAnsi="Traditional Arabic" w:hint="cs"/>
          <w:rtl/>
        </w:rPr>
        <w:lastRenderedPageBreak/>
        <w:t>و</w:t>
      </w:r>
      <w:r>
        <w:rPr>
          <w:rFonts w:ascii="Traditional Arabic" w:hAnsi="Traditional Arabic" w:hint="cs"/>
          <w:rtl/>
        </w:rPr>
        <w:t>غير ذلك</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18"/>
      </w:r>
      <w:r w:rsidRPr="00C821A1">
        <w:rPr>
          <w:rFonts w:ascii="Traditional Arabic" w:hAnsi="Traditional Arabic" w:hint="cs"/>
          <w:szCs w:val="32"/>
          <w:vertAlign w:val="superscript"/>
          <w:rtl/>
        </w:rPr>
        <w:t>)</w:t>
      </w:r>
      <w:r>
        <w:rPr>
          <w:rFonts w:ascii="Traditional Arabic" w:hAnsi="Traditional Arabic" w:hint="cs"/>
          <w:rtl/>
        </w:rPr>
        <w:t>.</w:t>
      </w:r>
    </w:p>
    <w:p w:rsidR="00F665A6" w:rsidRPr="000D49DC" w:rsidRDefault="000D49DC" w:rsidP="00A8347C">
      <w:pPr>
        <w:pStyle w:val="aff3"/>
      </w:pPr>
      <w:bookmarkStart w:id="175" w:name="_Toc334046412"/>
      <w:r>
        <w:rPr>
          <w:rFonts w:hint="cs"/>
          <w:rtl/>
        </w:rPr>
        <w:t xml:space="preserve">                                     </w:t>
      </w:r>
      <w:r w:rsidR="00F228A9" w:rsidRPr="00F665A6">
        <w:rPr>
          <w:rFonts w:hint="cs"/>
          <w:rtl/>
        </w:rPr>
        <w:t>المطلب الثالث</w:t>
      </w:r>
      <w:r w:rsidR="00F228A9">
        <w:rPr>
          <w:rFonts w:hint="eastAsia"/>
          <w:rtl/>
        </w:rPr>
        <w:t> :</w:t>
      </w:r>
      <w:r w:rsidR="00F228A9">
        <w:rPr>
          <w:rFonts w:hint="cs"/>
          <w:rtl/>
        </w:rPr>
        <w:br/>
      </w:r>
      <w:r>
        <w:rPr>
          <w:rFonts w:hint="cs"/>
          <w:rtl/>
        </w:rPr>
        <w:t xml:space="preserve">                                       </w:t>
      </w:r>
      <w:r w:rsidR="00F228A9" w:rsidRPr="00F665A6">
        <w:rPr>
          <w:rFonts w:hint="cs"/>
          <w:rtl/>
        </w:rPr>
        <w:t>أدلة القاعدة</w:t>
      </w:r>
      <w:bookmarkEnd w:id="175"/>
    </w:p>
    <w:p w:rsidR="00F665A6" w:rsidRPr="000D49DC" w:rsidRDefault="000D49DC" w:rsidP="000D49DC">
      <w:pPr>
        <w:ind w:firstLine="0"/>
        <w:jc w:val="left"/>
      </w:pPr>
      <w:r>
        <w:rPr>
          <w:rFonts w:hint="cs"/>
          <w:rtl/>
        </w:rPr>
        <w:t xml:space="preserve">(1)    </w:t>
      </w:r>
      <w:r w:rsidR="00F665A6">
        <w:rPr>
          <w:rFonts w:hint="cs"/>
          <w:rtl/>
        </w:rPr>
        <w:t>قوله تعالى:</w:t>
      </w:r>
      <w:bookmarkStart w:id="176" w:name="سورة_البقرة_231_2"/>
      <w:r w:rsidR="00022E98">
        <w:rPr>
          <w:rFonts w:ascii="QCF_BSML" w:hAnsi="QCF_BSML" w:cs="QCF_BSML" w:hint="cs"/>
          <w:noProof w:val="0"/>
          <w:rtl/>
          <w:lang w:eastAsia="en-US"/>
        </w:rPr>
        <w:t xml:space="preserve"> </w:t>
      </w:r>
      <w:r w:rsidR="00F665A6" w:rsidRPr="000D49DC">
        <w:rPr>
          <w:rFonts w:ascii="QCF_BSML" w:hAnsi="QCF_BSML" w:cs="QCF_BSML"/>
          <w:noProof w:val="0"/>
          <w:rtl/>
          <w:lang w:eastAsia="en-US"/>
        </w:rPr>
        <w:t xml:space="preserve">ﭽ </w:t>
      </w:r>
      <w:r w:rsidR="00F665A6" w:rsidRPr="000D49DC">
        <w:rPr>
          <w:rFonts w:ascii="QCF_P037" w:hAnsi="QCF_P037" w:cs="QCF_P037"/>
          <w:noProof w:val="0"/>
          <w:rtl/>
          <w:lang w:eastAsia="en-US"/>
        </w:rPr>
        <w:t>ﭜ</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ﭝ</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ﭞ</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ﭟ</w:t>
      </w:r>
      <w:r w:rsidR="00F665A6" w:rsidRPr="000D49DC">
        <w:rPr>
          <w:rFonts w:ascii="QCF_BSML" w:hAnsi="QCF_BSML" w:cs="QCF_BSML"/>
          <w:noProof w:val="0"/>
          <w:rtl/>
          <w:lang w:eastAsia="en-US"/>
        </w:rPr>
        <w:t>ﭼ</w:t>
      </w:r>
      <w:bookmarkEnd w:id="176"/>
      <w:r w:rsidR="00F665A6" w:rsidRPr="000D49DC">
        <w:rPr>
          <w:rFonts w:ascii="Traditional Arabic" w:hAnsi="Traditional Arabic"/>
          <w:noProof w:val="0"/>
          <w:rtl/>
          <w:lang w:eastAsia="en-US"/>
        </w:rPr>
        <w:t xml:space="preserve">[ </w:t>
      </w:r>
      <w:r w:rsidR="00F665A6" w:rsidRPr="000D49DC">
        <w:rPr>
          <w:rFonts w:ascii="Traditional Arabic" w:hAnsi="Traditional Arabic"/>
          <w:noProof w:val="0"/>
          <w:color w:val="auto"/>
          <w:rtl/>
          <w:lang w:eastAsia="en-US"/>
        </w:rPr>
        <w:t>البقرة: ٢٣١</w:t>
      </w:r>
      <w:r w:rsidR="00F665A6" w:rsidRPr="000D49DC">
        <w:rPr>
          <w:rFonts w:ascii="Traditional Arabic" w:hAnsi="Traditional Arabic"/>
        </w:rPr>
        <w:t>[</w:t>
      </w:r>
      <w:r w:rsidR="00F665A6" w:rsidRPr="000D49DC">
        <w:rPr>
          <w:rFonts w:ascii="Traditional Arabic" w:hAnsi="Traditional Arabic"/>
          <w:rtl/>
        </w:rPr>
        <w:t>.</w:t>
      </w:r>
    </w:p>
    <w:p w:rsidR="00F665A6" w:rsidRDefault="00F665A6" w:rsidP="00597C20">
      <w:pPr>
        <w:pStyle w:val="53"/>
        <w:rPr>
          <w:rtl/>
        </w:rPr>
      </w:pPr>
      <w:r>
        <w:rPr>
          <w:rFonts w:hint="cs"/>
          <w:rtl/>
        </w:rPr>
        <w:t>وجه الدلالة:</w:t>
      </w:r>
    </w:p>
    <w:p w:rsidR="00F228A9" w:rsidRPr="00341B63" w:rsidRDefault="00F665A6" w:rsidP="00597C20">
      <w:pPr>
        <w:ind w:firstLine="720"/>
        <w:jc w:val="left"/>
      </w:pPr>
      <w:r>
        <w:rPr>
          <w:rFonts w:hint="cs"/>
          <w:rtl/>
        </w:rPr>
        <w:t>ذكر</w:t>
      </w:r>
      <w:r w:rsidRPr="00341B63">
        <w:rPr>
          <w:rFonts w:hint="cs"/>
          <w:rtl/>
        </w:rPr>
        <w:t xml:space="preserve"> الشيخ</w:t>
      </w:r>
      <w:r w:rsidR="000D49DC">
        <w:rPr>
          <w:rFonts w:hint="cs"/>
          <w:rtl/>
        </w:rPr>
        <w:t xml:space="preserve"> ابن عثيمين _</w:t>
      </w:r>
      <w:r w:rsidRPr="005D5694">
        <w:rPr>
          <w:rFonts w:cs="CTraditional Arabic" w:hint="cs"/>
          <w:color w:val="auto"/>
          <w:rtl/>
        </w:rPr>
        <w:t>/</w:t>
      </w:r>
      <w:r w:rsidR="000D49DC">
        <w:rPr>
          <w:rFonts w:hint="cs"/>
          <w:rtl/>
        </w:rPr>
        <w:t>_</w:t>
      </w:r>
      <w:r>
        <w:rPr>
          <w:rFonts w:hint="cs"/>
          <w:rtl/>
        </w:rPr>
        <w:t xml:space="preserve"> من فوائد هذه الآية أن</w:t>
      </w:r>
      <w:r w:rsidR="00B76414">
        <w:rPr>
          <w:rFonts w:hint="cs"/>
          <w:rtl/>
        </w:rPr>
        <w:t>(</w:t>
      </w:r>
      <w:r>
        <w:rPr>
          <w:rFonts w:hint="cs"/>
          <w:rtl/>
        </w:rPr>
        <w:t>كل م</w:t>
      </w:r>
      <w:r w:rsidRPr="00FB449C">
        <w:rPr>
          <w:rFonts w:ascii="Traditional Arabic" w:hAnsi="Traditional Arabic"/>
          <w:rtl/>
        </w:rPr>
        <w:t>َ</w:t>
      </w:r>
      <w:r>
        <w:rPr>
          <w:rFonts w:hint="cs"/>
          <w:rtl/>
        </w:rPr>
        <w:t>ن عام</w:t>
      </w:r>
      <w:r w:rsidRPr="00FB449C">
        <w:rPr>
          <w:rFonts w:ascii="Traditional Arabic" w:hAnsi="Traditional Arabic"/>
          <w:rtl/>
        </w:rPr>
        <w:t>َ</w:t>
      </w:r>
      <w:r>
        <w:rPr>
          <w:rFonts w:hint="cs"/>
          <w:rtl/>
        </w:rPr>
        <w:t>ل أخاه ضرار</w:t>
      </w:r>
      <w:r w:rsidRPr="00FB449C">
        <w:rPr>
          <w:rFonts w:ascii="Traditional Arabic" w:hAnsi="Traditional Arabic"/>
          <w:rtl/>
        </w:rPr>
        <w:t>ً</w:t>
      </w:r>
      <w:r>
        <w:rPr>
          <w:rFonts w:hint="cs"/>
          <w:rtl/>
        </w:rPr>
        <w:t xml:space="preserve">ا فهو </w:t>
      </w:r>
      <w:r w:rsidRPr="0070749E">
        <w:rPr>
          <w:rFonts w:hint="cs"/>
          <w:rtl/>
        </w:rPr>
        <w:t>م</w:t>
      </w:r>
      <w:r w:rsidRPr="00FB449C">
        <w:rPr>
          <w:rFonts w:ascii="Traditional Arabic" w:hAnsi="Traditional Arabic"/>
          <w:rtl/>
        </w:rPr>
        <w:t>ُ</w:t>
      </w:r>
      <w:r w:rsidRPr="0070749E">
        <w:rPr>
          <w:rFonts w:hint="cs"/>
          <w:rtl/>
        </w:rPr>
        <w:t>ع</w:t>
      </w:r>
      <w:r w:rsidRPr="00FB449C">
        <w:rPr>
          <w:rFonts w:ascii="Traditional Arabic" w:hAnsi="Traditional Arabic"/>
          <w:rtl/>
        </w:rPr>
        <w:t>ْ</w:t>
      </w:r>
      <w:r w:rsidRPr="0070749E">
        <w:rPr>
          <w:rFonts w:hint="cs"/>
          <w:rtl/>
        </w:rPr>
        <w:t>تد</w:t>
      </w:r>
      <w:r w:rsidRPr="00FB449C">
        <w:rPr>
          <w:rFonts w:ascii="Traditional Arabic" w:hAnsi="Traditional Arabic"/>
          <w:rtl/>
        </w:rPr>
        <w:t>ٍ</w:t>
      </w:r>
      <w:r>
        <w:rPr>
          <w:rFonts w:hint="cs"/>
          <w:rtl/>
        </w:rPr>
        <w:t>،</w:t>
      </w:r>
      <w:r w:rsidR="000D49DC">
        <w:rPr>
          <w:rFonts w:hint="cs"/>
          <w:rtl/>
        </w:rPr>
        <w:t xml:space="preserve"> </w:t>
      </w:r>
      <w:r>
        <w:rPr>
          <w:rFonts w:hint="cs"/>
          <w:rtl/>
        </w:rPr>
        <w:t>فلا يح</w:t>
      </w:r>
      <w:r w:rsidRPr="00FB449C">
        <w:rPr>
          <w:rFonts w:ascii="Traditional Arabic" w:hAnsi="Traditional Arabic"/>
          <w:rtl/>
        </w:rPr>
        <w:t>ِ</w:t>
      </w:r>
      <w:r>
        <w:rPr>
          <w:rFonts w:hint="cs"/>
          <w:rtl/>
        </w:rPr>
        <w:t>ل</w:t>
      </w:r>
      <w:r w:rsidRPr="00FB449C">
        <w:rPr>
          <w:rFonts w:ascii="Traditional Arabic" w:hAnsi="Traditional Arabic"/>
          <w:rtl/>
        </w:rPr>
        <w:t>ّ</w:t>
      </w:r>
      <w:r>
        <w:rPr>
          <w:rFonts w:hint="cs"/>
          <w:rtl/>
        </w:rPr>
        <w:t xml:space="preserve"> لأحد أن يعامل أخاه المسلم على وجه المضار</w:t>
      </w:r>
      <w:r w:rsidRPr="00FB449C">
        <w:rPr>
          <w:rFonts w:ascii="Traditional Arabic" w:hAnsi="Traditional Arabic"/>
          <w:rtl/>
        </w:rPr>
        <w:t>ّ</w:t>
      </w:r>
      <w:r>
        <w:rPr>
          <w:rFonts w:hint="cs"/>
          <w:rtl/>
        </w:rPr>
        <w:t>ة،...</w:t>
      </w:r>
      <w:r w:rsidRPr="00022E98">
        <w:rPr>
          <w:rFonts w:hint="cs"/>
          <w:rtl/>
        </w:rPr>
        <w:t>فالمضارة بين المسلمين محر</w:t>
      </w:r>
      <w:r w:rsidRPr="00022E98">
        <w:rPr>
          <w:rFonts w:ascii="Traditional Arabic" w:hAnsi="Traditional Arabic"/>
          <w:rtl/>
        </w:rPr>
        <w:t>ّ</w:t>
      </w:r>
      <w:r w:rsidRPr="00022E98">
        <w:rPr>
          <w:rFonts w:hint="cs"/>
          <w:rtl/>
        </w:rPr>
        <w:t>مة</w:t>
      </w:r>
      <w:r>
        <w:rPr>
          <w:rFonts w:hint="cs"/>
          <w:rtl/>
        </w:rPr>
        <w:t>)</w:t>
      </w:r>
      <w:r w:rsidRPr="00C821A1">
        <w:rPr>
          <w:rFonts w:hint="cs"/>
          <w:szCs w:val="32"/>
          <w:vertAlign w:val="superscript"/>
          <w:rtl/>
        </w:rPr>
        <w:t>(</w:t>
      </w:r>
      <w:r w:rsidRPr="00C821A1">
        <w:rPr>
          <w:rStyle w:val="af1"/>
          <w:szCs w:val="32"/>
          <w:rtl/>
        </w:rPr>
        <w:footnoteReference w:id="919"/>
      </w:r>
      <w:r w:rsidRPr="00C821A1">
        <w:rPr>
          <w:rFonts w:hint="cs"/>
          <w:szCs w:val="32"/>
          <w:vertAlign w:val="superscript"/>
          <w:rtl/>
        </w:rPr>
        <w:t>)</w:t>
      </w:r>
      <w:r>
        <w:rPr>
          <w:rFonts w:hint="cs"/>
          <w:rtl/>
        </w:rPr>
        <w:t>.</w:t>
      </w:r>
    </w:p>
    <w:p w:rsidR="00F665A6" w:rsidRDefault="000D49DC" w:rsidP="000D49DC">
      <w:pPr>
        <w:ind w:firstLine="0"/>
        <w:jc w:val="left"/>
      </w:pPr>
      <w:r>
        <w:rPr>
          <w:rFonts w:hint="cs"/>
          <w:rtl/>
        </w:rPr>
        <w:t xml:space="preserve">(2)     </w:t>
      </w:r>
      <w:r w:rsidR="00F665A6" w:rsidRPr="009A27B8">
        <w:rPr>
          <w:rFonts w:hint="cs"/>
          <w:rtl/>
        </w:rPr>
        <w:t>قوله تعالى:</w:t>
      </w:r>
      <w:bookmarkStart w:id="177" w:name="سورة_البقرة_233"/>
      <w:r w:rsidR="00022E98">
        <w:rPr>
          <w:rFonts w:hint="cs"/>
          <w:rtl/>
        </w:rPr>
        <w:t xml:space="preserve"> </w:t>
      </w:r>
      <w:r w:rsidR="00F665A6" w:rsidRPr="000D49DC">
        <w:rPr>
          <w:rFonts w:ascii="QCF_BSML" w:hAnsi="QCF_BSML" w:cs="QCF_BSML"/>
          <w:noProof w:val="0"/>
          <w:rtl/>
          <w:lang w:eastAsia="en-US"/>
        </w:rPr>
        <w:t xml:space="preserve">ﭽ </w:t>
      </w:r>
      <w:r w:rsidR="00F665A6" w:rsidRPr="000D49DC">
        <w:rPr>
          <w:rFonts w:ascii="QCF_P037" w:hAnsi="QCF_P037" w:cs="QCF_P037"/>
          <w:noProof w:val="0"/>
          <w:rtl/>
          <w:lang w:eastAsia="en-US"/>
        </w:rPr>
        <w:t>ﯤ</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ﯥ</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ﯦ</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ﯧ</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ﯨ</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ﯩ</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ﯪ</w:t>
      </w:r>
      <w:r>
        <w:rPr>
          <w:rFonts w:ascii="QCF_P037" w:hAnsi="QCF_P037" w:cs="QCF_P037" w:hint="cs"/>
          <w:noProof w:val="0"/>
          <w:rtl/>
          <w:lang w:eastAsia="en-US"/>
        </w:rPr>
        <w:t xml:space="preserve"> </w:t>
      </w:r>
      <w:r w:rsidR="00F665A6" w:rsidRPr="000D49DC">
        <w:rPr>
          <w:rFonts w:ascii="QCF_P037" w:hAnsi="QCF_P037" w:cs="QCF_P037"/>
          <w:noProof w:val="0"/>
          <w:rtl/>
          <w:lang w:eastAsia="en-US"/>
        </w:rPr>
        <w:t>ﯫ</w:t>
      </w:r>
      <w:r w:rsidR="00F665A6" w:rsidRPr="000D49DC">
        <w:rPr>
          <w:rFonts w:ascii="QCF_BSML" w:hAnsi="QCF_BSML" w:cs="QCF_BSML"/>
          <w:noProof w:val="0"/>
          <w:rtl/>
          <w:lang w:eastAsia="en-US"/>
        </w:rPr>
        <w:t>ﭼ</w:t>
      </w:r>
      <w:bookmarkEnd w:id="177"/>
      <w:r w:rsidR="00F665A6" w:rsidRPr="000D49DC">
        <w:rPr>
          <w:rFonts w:ascii="Traditional Arabic" w:hAnsi="Traditional Arabic"/>
          <w:noProof w:val="0"/>
          <w:rtl/>
          <w:lang w:eastAsia="en-US"/>
        </w:rPr>
        <w:t>[</w:t>
      </w:r>
      <w:r w:rsidR="00F665A6" w:rsidRPr="000D49DC">
        <w:rPr>
          <w:rFonts w:ascii="Traditional Arabic" w:hAnsi="Traditional Arabic"/>
          <w:noProof w:val="0"/>
          <w:color w:val="auto"/>
          <w:rtl/>
          <w:lang w:eastAsia="en-US"/>
        </w:rPr>
        <w:t>البقرة:٢٣٣</w:t>
      </w:r>
      <w:r w:rsidR="00F665A6" w:rsidRPr="000D49DC">
        <w:rPr>
          <w:rFonts w:ascii="Traditional Arabic" w:hAnsi="Traditional Arabic"/>
        </w:rPr>
        <w:t>[</w:t>
      </w:r>
      <w:r w:rsidR="00F665A6" w:rsidRPr="000D49DC">
        <w:rPr>
          <w:rFonts w:ascii="Traditional Arabic" w:hAnsi="Traditional Arabic"/>
          <w:rtl/>
        </w:rPr>
        <w:t>.</w:t>
      </w:r>
    </w:p>
    <w:p w:rsidR="00F665A6" w:rsidRDefault="00F665A6" w:rsidP="00597C20">
      <w:pPr>
        <w:pStyle w:val="53"/>
        <w:rPr>
          <w:rtl/>
        </w:rPr>
      </w:pPr>
      <w:r w:rsidRPr="0070749E">
        <w:rPr>
          <w:rFonts w:hint="cs"/>
          <w:rtl/>
        </w:rPr>
        <w:t>وجه الدلالة:</w:t>
      </w:r>
    </w:p>
    <w:p w:rsidR="00F228A9" w:rsidRDefault="00F665A6" w:rsidP="000D49DC">
      <w:pPr>
        <w:ind w:firstLine="720"/>
      </w:pPr>
      <w:r>
        <w:rPr>
          <w:rFonts w:hint="cs"/>
          <w:rtl/>
        </w:rPr>
        <w:t>قال</w:t>
      </w:r>
      <w:r w:rsidRPr="00341B63">
        <w:rPr>
          <w:rFonts w:hint="cs"/>
          <w:rtl/>
        </w:rPr>
        <w:t xml:space="preserve"> الشيخ</w:t>
      </w:r>
      <w:r w:rsidR="00022E98">
        <w:rPr>
          <w:rFonts w:hint="cs"/>
          <w:rtl/>
        </w:rPr>
        <w:t>_</w:t>
      </w:r>
      <w:r w:rsidRPr="005D5694">
        <w:rPr>
          <w:rFonts w:cs="CTraditional Arabic" w:hint="cs"/>
          <w:color w:val="auto"/>
          <w:rtl/>
        </w:rPr>
        <w:t>/</w:t>
      </w:r>
      <w:r w:rsidR="00022E98">
        <w:rPr>
          <w:rFonts w:hint="cs"/>
          <w:rtl/>
        </w:rPr>
        <w:t>_</w:t>
      </w:r>
      <w:r>
        <w:rPr>
          <w:rFonts w:hint="cs"/>
          <w:rtl/>
        </w:rPr>
        <w:t xml:space="preserve"> في فوائد هذه الآية:</w:t>
      </w:r>
      <w:r w:rsidR="00022E98">
        <w:rPr>
          <w:rFonts w:hint="cs"/>
          <w:rtl/>
        </w:rPr>
        <w:t xml:space="preserve"> </w:t>
      </w:r>
      <w:r>
        <w:rPr>
          <w:rFonts w:hint="cs"/>
          <w:rtl/>
        </w:rPr>
        <w:t>(و منها:</w:t>
      </w:r>
      <w:r w:rsidR="000D49DC">
        <w:rPr>
          <w:rFonts w:hint="cs"/>
          <w:rtl/>
        </w:rPr>
        <w:t xml:space="preserve"> </w:t>
      </w:r>
      <w:r w:rsidR="000D49DC" w:rsidRPr="00022E98">
        <w:rPr>
          <w:rFonts w:hint="cs"/>
          <w:rtl/>
        </w:rPr>
        <w:t>تحري</w:t>
      </w:r>
      <w:r w:rsidRPr="00022E98">
        <w:rPr>
          <w:rFonts w:hint="cs"/>
          <w:rtl/>
        </w:rPr>
        <w:t>م المضار</w:t>
      </w:r>
      <w:r w:rsidRPr="00022E98">
        <w:rPr>
          <w:rFonts w:ascii="Traditional Arabic" w:hAnsi="Traditional Arabic"/>
          <w:rtl/>
        </w:rPr>
        <w:t>ّ</w:t>
      </w:r>
      <w:r w:rsidRPr="00022E98">
        <w:rPr>
          <w:rFonts w:hint="cs"/>
          <w:rtl/>
        </w:rPr>
        <w:t>ة</w:t>
      </w:r>
      <w:r>
        <w:rPr>
          <w:rFonts w:hint="cs"/>
          <w:rtl/>
        </w:rPr>
        <w:t>؛</w:t>
      </w:r>
      <w:r w:rsidR="000D49DC">
        <w:rPr>
          <w:rFonts w:hint="cs"/>
          <w:rtl/>
        </w:rPr>
        <w:t xml:space="preserve"> </w:t>
      </w:r>
      <w:r>
        <w:rPr>
          <w:rFonts w:hint="cs"/>
          <w:rtl/>
        </w:rPr>
        <w:t>لقوله تعالى:</w:t>
      </w:r>
      <w:r w:rsidRPr="000D49DC">
        <w:rPr>
          <w:rFonts w:ascii="QCF_BSML" w:hAnsi="QCF_BSML" w:cs="QCF_BSML"/>
          <w:noProof w:val="0"/>
          <w:rtl/>
          <w:lang w:eastAsia="en-US"/>
        </w:rPr>
        <w:t>ﭽ</w:t>
      </w:r>
      <w:r w:rsidRPr="000D49DC">
        <w:rPr>
          <w:rFonts w:ascii="QCF_P037" w:hAnsi="QCF_P037" w:cs="QCF_P037"/>
          <w:noProof w:val="0"/>
          <w:rtl/>
          <w:lang w:eastAsia="en-US"/>
        </w:rPr>
        <w:t>ﯤ</w:t>
      </w:r>
      <w:r w:rsidR="000D49DC">
        <w:rPr>
          <w:rFonts w:ascii="QCF_P037" w:hAnsi="QCF_P037" w:cs="QCF_P037" w:hint="cs"/>
          <w:noProof w:val="0"/>
          <w:rtl/>
          <w:lang w:eastAsia="en-US"/>
        </w:rPr>
        <w:t xml:space="preserve"> </w:t>
      </w:r>
      <w:r w:rsidRPr="000D49DC">
        <w:rPr>
          <w:rFonts w:ascii="QCF_P037" w:hAnsi="QCF_P037" w:cs="QCF_P037"/>
          <w:noProof w:val="0"/>
          <w:rtl/>
          <w:lang w:eastAsia="en-US"/>
        </w:rPr>
        <w:t>ﯥ</w:t>
      </w:r>
      <w:r w:rsidR="000D49DC">
        <w:rPr>
          <w:rFonts w:ascii="QCF_P037" w:hAnsi="QCF_P037" w:cs="QCF_P037" w:hint="cs"/>
          <w:noProof w:val="0"/>
          <w:rtl/>
          <w:lang w:eastAsia="en-US"/>
        </w:rPr>
        <w:t xml:space="preserve"> </w:t>
      </w:r>
      <w:r w:rsidRPr="000D49DC">
        <w:rPr>
          <w:rFonts w:ascii="QCF_P037" w:hAnsi="QCF_P037" w:cs="QCF_P037"/>
          <w:noProof w:val="0"/>
          <w:rtl/>
          <w:lang w:eastAsia="en-US"/>
        </w:rPr>
        <w:t>ﯦ</w:t>
      </w:r>
      <w:r w:rsidR="000D49DC">
        <w:rPr>
          <w:rFonts w:ascii="QCF_P037" w:hAnsi="QCF_P037" w:cs="QCF_P037" w:hint="cs"/>
          <w:noProof w:val="0"/>
          <w:rtl/>
          <w:lang w:eastAsia="en-US"/>
        </w:rPr>
        <w:t xml:space="preserve"> </w:t>
      </w:r>
      <w:r w:rsidRPr="000D49DC">
        <w:rPr>
          <w:rFonts w:ascii="QCF_P037" w:hAnsi="QCF_P037" w:cs="QCF_P037"/>
          <w:noProof w:val="0"/>
          <w:rtl/>
          <w:lang w:eastAsia="en-US"/>
        </w:rPr>
        <w:t>ﯧ</w:t>
      </w:r>
      <w:r w:rsidR="000D49DC">
        <w:rPr>
          <w:rFonts w:ascii="QCF_P037" w:hAnsi="QCF_P037" w:cs="QCF_P037" w:hint="cs"/>
          <w:noProof w:val="0"/>
          <w:rtl/>
          <w:lang w:eastAsia="en-US"/>
        </w:rPr>
        <w:t xml:space="preserve"> </w:t>
      </w:r>
      <w:r w:rsidRPr="000D49DC">
        <w:rPr>
          <w:rFonts w:ascii="QCF_P037" w:hAnsi="QCF_P037" w:cs="QCF_P037"/>
          <w:noProof w:val="0"/>
          <w:rtl/>
          <w:lang w:eastAsia="en-US"/>
        </w:rPr>
        <w:t>ﯨ</w:t>
      </w:r>
      <w:r w:rsidR="000D49DC">
        <w:rPr>
          <w:rFonts w:ascii="QCF_P037" w:hAnsi="QCF_P037" w:cs="QCF_P037" w:hint="cs"/>
          <w:noProof w:val="0"/>
          <w:rtl/>
          <w:lang w:eastAsia="en-US"/>
        </w:rPr>
        <w:t xml:space="preserve"> </w:t>
      </w:r>
      <w:r w:rsidRPr="000D49DC">
        <w:rPr>
          <w:rFonts w:ascii="QCF_P037" w:hAnsi="QCF_P037" w:cs="QCF_P037"/>
          <w:noProof w:val="0"/>
          <w:rtl/>
          <w:lang w:eastAsia="en-US"/>
        </w:rPr>
        <w:t>ﯩ</w:t>
      </w:r>
      <w:r w:rsidR="000D49DC">
        <w:rPr>
          <w:rFonts w:ascii="QCF_P037" w:hAnsi="QCF_P037" w:cs="QCF_P037" w:hint="cs"/>
          <w:noProof w:val="0"/>
          <w:rtl/>
          <w:lang w:eastAsia="en-US"/>
        </w:rPr>
        <w:t xml:space="preserve"> </w:t>
      </w:r>
      <w:r w:rsidRPr="000D49DC">
        <w:rPr>
          <w:rFonts w:ascii="QCF_P037" w:hAnsi="QCF_P037" w:cs="QCF_P037"/>
          <w:noProof w:val="0"/>
          <w:rtl/>
          <w:lang w:eastAsia="en-US"/>
        </w:rPr>
        <w:t>ﯪﯫ</w:t>
      </w:r>
      <w:r w:rsidRPr="000D49DC">
        <w:rPr>
          <w:rFonts w:ascii="QCF_BSML" w:hAnsi="QCF_BSML" w:cs="QCF_BSML"/>
          <w:noProof w:val="0"/>
          <w:rtl/>
          <w:lang w:eastAsia="en-US"/>
        </w:rPr>
        <w:t>ﭼ</w:t>
      </w:r>
      <w:r w:rsidRPr="00A11E56">
        <w:rPr>
          <w:rFonts w:hint="cs"/>
          <w:rtl/>
        </w:rPr>
        <w:t>،</w:t>
      </w:r>
      <w:r>
        <w:rPr>
          <w:rFonts w:hint="cs"/>
          <w:rtl/>
        </w:rPr>
        <w:t xml:space="preserve"> وقال النبي </w:t>
      </w:r>
      <w:r w:rsidRPr="000D49DC">
        <w:rPr>
          <w:rFonts w:cs="CTraditional Arabic" w:hint="cs"/>
          <w:color w:val="auto"/>
          <w:rtl/>
        </w:rPr>
        <w:t>&gt;</w:t>
      </w:r>
      <w:r>
        <w:rPr>
          <w:rFonts w:hint="cs"/>
          <w:rtl/>
        </w:rPr>
        <w:t>:"لا ضرر ولا ضرار</w:t>
      </w:r>
      <w:r w:rsidR="00AB0B9E">
        <w:rPr>
          <w:rtl/>
        </w:rPr>
        <w:fldChar w:fldCharType="begin"/>
      </w:r>
      <w:r w:rsidR="00FA3AB4" w:rsidRPr="00C85F0F">
        <w:instrText>XE</w:instrText>
      </w:r>
      <w:r w:rsidR="00FA3AB4" w:rsidRPr="00C85F0F">
        <w:rPr>
          <w:rtl/>
        </w:rPr>
        <w:instrText xml:space="preserve"> "</w:instrText>
      </w:r>
      <w:r w:rsidR="00FA3AB4" w:rsidRPr="00C85F0F">
        <w:rPr>
          <w:rFonts w:hint="cs"/>
          <w:rtl/>
        </w:rPr>
        <w:instrText>لا ضرر ولا ضرار</w:instrText>
      </w:r>
      <w:r w:rsidR="00FA3AB4" w:rsidRPr="00C85F0F">
        <w:rPr>
          <w:rtl/>
        </w:rPr>
        <w:instrText>" \</w:instrText>
      </w:r>
      <w:r w:rsidR="00FA3AB4" w:rsidRPr="00C85F0F">
        <w:instrText>f</w:instrText>
      </w:r>
      <w:r w:rsidR="00FA3AB4">
        <w:instrText>h</w:instrText>
      </w:r>
      <w:r w:rsidR="00AB0B9E">
        <w:rPr>
          <w:rtl/>
        </w:rPr>
        <w:fldChar w:fldCharType="end"/>
      </w:r>
      <w:r>
        <w:rPr>
          <w:rFonts w:hint="cs"/>
          <w:rtl/>
        </w:rPr>
        <w:t>"</w:t>
      </w:r>
      <w:r w:rsidRPr="000D49DC">
        <w:rPr>
          <w:rFonts w:hint="cs"/>
          <w:szCs w:val="32"/>
          <w:vertAlign w:val="superscript"/>
          <w:rtl/>
        </w:rPr>
        <w:t>(</w:t>
      </w:r>
      <w:r w:rsidRPr="00C821A1">
        <w:rPr>
          <w:rStyle w:val="af1"/>
          <w:szCs w:val="32"/>
          <w:rtl/>
        </w:rPr>
        <w:footnoteReference w:id="920"/>
      </w:r>
      <w:r w:rsidRPr="000D49DC">
        <w:rPr>
          <w:rFonts w:hint="cs"/>
          <w:szCs w:val="32"/>
          <w:vertAlign w:val="superscript"/>
          <w:rtl/>
        </w:rPr>
        <w:t>)</w:t>
      </w:r>
      <w:r w:rsidR="00B76414" w:rsidRPr="000D49DC">
        <w:rPr>
          <w:rFonts w:hint="cs"/>
          <w:vertAlign w:val="superscript"/>
          <w:rtl/>
        </w:rPr>
        <w:t>.</w:t>
      </w:r>
      <w:r>
        <w:rPr>
          <w:rFonts w:hint="cs"/>
          <w:rtl/>
        </w:rPr>
        <w:t>..)</w:t>
      </w:r>
      <w:r w:rsidRPr="000D49DC">
        <w:rPr>
          <w:rFonts w:hint="cs"/>
          <w:szCs w:val="32"/>
          <w:vertAlign w:val="superscript"/>
          <w:rtl/>
        </w:rPr>
        <w:t>(</w:t>
      </w:r>
      <w:r w:rsidRPr="00C821A1">
        <w:rPr>
          <w:rStyle w:val="af1"/>
          <w:szCs w:val="32"/>
          <w:rtl/>
        </w:rPr>
        <w:footnoteReference w:id="921"/>
      </w:r>
      <w:r w:rsidRPr="000D49DC">
        <w:rPr>
          <w:rFonts w:hint="cs"/>
          <w:szCs w:val="32"/>
          <w:vertAlign w:val="superscript"/>
          <w:rtl/>
        </w:rPr>
        <w:t>)</w:t>
      </w:r>
      <w:r>
        <w:rPr>
          <w:rFonts w:hint="cs"/>
          <w:rtl/>
        </w:rPr>
        <w:t>.</w:t>
      </w:r>
    </w:p>
    <w:p w:rsidR="00065E4B" w:rsidRDefault="000D49DC" w:rsidP="000D49DC">
      <w:pPr>
        <w:ind w:firstLine="0"/>
        <w:jc w:val="left"/>
      </w:pPr>
      <w:r>
        <w:rPr>
          <w:rFonts w:hint="cs"/>
          <w:rtl/>
        </w:rPr>
        <w:t xml:space="preserve">(3)    </w:t>
      </w:r>
      <w:r w:rsidR="00F665A6">
        <w:rPr>
          <w:rFonts w:hint="cs"/>
          <w:rtl/>
        </w:rPr>
        <w:t>قوله تعالى:</w:t>
      </w:r>
      <w:bookmarkStart w:id="178" w:name="سورة_البقرة_282_2"/>
      <w:r w:rsidR="00022E98">
        <w:rPr>
          <w:rFonts w:hint="cs"/>
          <w:rtl/>
        </w:rPr>
        <w:t xml:space="preserve"> </w:t>
      </w:r>
      <w:r w:rsidR="00F665A6" w:rsidRPr="000D49DC">
        <w:rPr>
          <w:rFonts w:ascii="QCF_BSML" w:hAnsi="QCF_BSML" w:cs="QCF_BSML"/>
          <w:noProof w:val="0"/>
          <w:rtl/>
          <w:lang w:eastAsia="en-US"/>
        </w:rPr>
        <w:t xml:space="preserve">ﭽ </w:t>
      </w:r>
      <w:r w:rsidR="00F665A6" w:rsidRPr="000D49DC">
        <w:rPr>
          <w:rFonts w:ascii="QCF_P048" w:hAnsi="QCF_P048" w:cs="QCF_P048"/>
          <w:noProof w:val="0"/>
          <w:rtl/>
          <w:lang w:eastAsia="en-US"/>
        </w:rPr>
        <w:t>ﯬﯭﯮ ﯯﯰ</w:t>
      </w:r>
      <w:r w:rsidR="00F665A6" w:rsidRPr="000D49DC">
        <w:rPr>
          <w:rFonts w:ascii="QCF_BSML" w:hAnsi="QCF_BSML" w:cs="QCF_BSML"/>
          <w:noProof w:val="0"/>
          <w:rtl/>
          <w:lang w:eastAsia="en-US"/>
        </w:rPr>
        <w:t>ﭼ</w:t>
      </w:r>
      <w:bookmarkEnd w:id="178"/>
      <w:r w:rsidR="00F665A6" w:rsidRPr="00022E98">
        <w:rPr>
          <w:rFonts w:ascii="Traditional Arabic" w:hAnsi="Traditional Arabic"/>
          <w:noProof w:val="0"/>
          <w:rtl/>
          <w:lang w:eastAsia="en-US"/>
        </w:rPr>
        <w:t>[</w:t>
      </w:r>
      <w:r w:rsidR="00F665A6" w:rsidRPr="00022E98">
        <w:rPr>
          <w:rFonts w:ascii="Traditional Arabic" w:hAnsi="Traditional Arabic"/>
          <w:noProof w:val="0"/>
          <w:color w:val="auto"/>
          <w:rtl/>
          <w:lang w:eastAsia="en-US"/>
        </w:rPr>
        <w:t>البقرة: ٢٨٢</w:t>
      </w:r>
      <w:r w:rsidR="00F665A6" w:rsidRPr="00022E98">
        <w:rPr>
          <w:rFonts w:ascii="Traditional Arabic" w:hAnsi="Traditional Arabic"/>
        </w:rPr>
        <w:t>[</w:t>
      </w:r>
      <w:r w:rsidR="00F665A6" w:rsidRPr="00022E98">
        <w:rPr>
          <w:rFonts w:ascii="Traditional Arabic" w:hAnsi="Traditional Arabic"/>
          <w:rtl/>
        </w:rPr>
        <w:t>.</w:t>
      </w:r>
    </w:p>
    <w:p w:rsidR="00065E4B" w:rsidRDefault="00065E4B" w:rsidP="00597C20">
      <w:pPr>
        <w:pStyle w:val="53"/>
        <w:rPr>
          <w:rtl/>
        </w:rPr>
      </w:pPr>
      <w:r w:rsidRPr="0001768A">
        <w:rPr>
          <w:rFonts w:hint="cs"/>
          <w:rtl/>
        </w:rPr>
        <w:t>و</w:t>
      </w:r>
      <w:r w:rsidR="00F665A6" w:rsidRPr="0001768A">
        <w:rPr>
          <w:rFonts w:hint="cs"/>
          <w:rtl/>
        </w:rPr>
        <w:t>جه الدلالة:</w:t>
      </w:r>
    </w:p>
    <w:p w:rsidR="00F665A6" w:rsidRDefault="00065E4B" w:rsidP="00597C20">
      <w:pPr>
        <w:ind w:firstLine="720"/>
      </w:pPr>
      <w:r>
        <w:rPr>
          <w:rFonts w:hint="cs"/>
          <w:rtl/>
        </w:rPr>
        <w:t>ق</w:t>
      </w:r>
      <w:r w:rsidR="00F665A6">
        <w:rPr>
          <w:rFonts w:hint="cs"/>
          <w:rtl/>
        </w:rPr>
        <w:t>ال</w:t>
      </w:r>
      <w:r w:rsidR="00F665A6" w:rsidRPr="00341B63">
        <w:rPr>
          <w:rFonts w:hint="cs"/>
          <w:rtl/>
        </w:rPr>
        <w:t xml:space="preserve"> الشيخ</w:t>
      </w:r>
      <w:r w:rsidR="00B77190">
        <w:rPr>
          <w:rFonts w:hint="cs"/>
          <w:rtl/>
        </w:rPr>
        <w:t>_</w:t>
      </w:r>
      <w:r w:rsidR="00F665A6" w:rsidRPr="005D5694">
        <w:rPr>
          <w:rFonts w:cs="CTraditional Arabic" w:hint="cs"/>
          <w:color w:val="auto"/>
          <w:rtl/>
        </w:rPr>
        <w:t>/</w:t>
      </w:r>
      <w:r w:rsidR="00B77190">
        <w:rPr>
          <w:rFonts w:hint="cs"/>
          <w:rtl/>
        </w:rPr>
        <w:t>_</w:t>
      </w:r>
      <w:r w:rsidR="00F665A6">
        <w:rPr>
          <w:rFonts w:hint="cs"/>
          <w:rtl/>
        </w:rPr>
        <w:t xml:space="preserve"> في فوائد هذه الآية:(و منها:</w:t>
      </w:r>
      <w:r w:rsidR="00022E98">
        <w:rPr>
          <w:rFonts w:hint="cs"/>
          <w:b/>
          <w:bCs/>
          <w:rtl/>
        </w:rPr>
        <w:t xml:space="preserve"> </w:t>
      </w:r>
      <w:r w:rsidR="00F665A6" w:rsidRPr="00022E98">
        <w:rPr>
          <w:rFonts w:hint="cs"/>
          <w:rtl/>
        </w:rPr>
        <w:t>تحريم مضار</w:t>
      </w:r>
      <w:r w:rsidR="00F665A6" w:rsidRPr="00022E98">
        <w:rPr>
          <w:rFonts w:ascii="Traditional Arabic" w:hAnsi="Traditional Arabic"/>
          <w:rtl/>
        </w:rPr>
        <w:t>ّ</w:t>
      </w:r>
      <w:r w:rsidR="00F665A6" w:rsidRPr="00022E98">
        <w:rPr>
          <w:rFonts w:hint="cs"/>
          <w:rtl/>
        </w:rPr>
        <w:t>ة</w:t>
      </w:r>
      <w:r w:rsidR="00F665A6">
        <w:rPr>
          <w:rFonts w:hint="cs"/>
          <w:rtl/>
        </w:rPr>
        <w:t xml:space="preserve"> الكاتب أو الشهيد، سواء وقع ا</w:t>
      </w:r>
      <w:r w:rsidR="00F665A6">
        <w:rPr>
          <w:rFonts w:cs="Times New Roman"/>
          <w:rtl/>
        </w:rPr>
        <w:t>ﻹ</w:t>
      </w:r>
      <w:r w:rsidR="00F665A6">
        <w:rPr>
          <w:rFonts w:hint="cs"/>
          <w:rtl/>
        </w:rPr>
        <w:t>ضرار منهما أو عليهما)</w:t>
      </w:r>
      <w:r w:rsidR="00F665A6" w:rsidRPr="00C821A1">
        <w:rPr>
          <w:rFonts w:hint="cs"/>
          <w:szCs w:val="32"/>
          <w:vertAlign w:val="superscript"/>
          <w:rtl/>
        </w:rPr>
        <w:t>(</w:t>
      </w:r>
      <w:r w:rsidR="00F665A6" w:rsidRPr="00C821A1">
        <w:rPr>
          <w:rStyle w:val="af1"/>
          <w:szCs w:val="32"/>
          <w:rtl/>
        </w:rPr>
        <w:footnoteReference w:id="922"/>
      </w:r>
      <w:r w:rsidR="00F665A6" w:rsidRPr="00C821A1">
        <w:rPr>
          <w:rFonts w:hint="cs"/>
          <w:szCs w:val="32"/>
          <w:vertAlign w:val="superscript"/>
          <w:rtl/>
        </w:rPr>
        <w:t>)</w:t>
      </w:r>
      <w:r w:rsidR="00F665A6">
        <w:rPr>
          <w:rFonts w:hint="cs"/>
          <w:rtl/>
        </w:rPr>
        <w:t>.</w:t>
      </w:r>
    </w:p>
    <w:p w:rsidR="00065E4B" w:rsidRPr="000D49DC" w:rsidRDefault="00022E98" w:rsidP="000D49DC">
      <w:pPr>
        <w:ind w:firstLine="0"/>
        <w:rPr>
          <w:color w:val="auto"/>
        </w:rPr>
      </w:pPr>
      <w:r>
        <w:rPr>
          <w:rFonts w:hint="cs"/>
          <w:rtl/>
        </w:rPr>
        <w:lastRenderedPageBreak/>
        <w:t xml:space="preserve">(4)    </w:t>
      </w:r>
      <w:r w:rsidR="00F665A6">
        <w:rPr>
          <w:rFonts w:hint="cs"/>
          <w:rtl/>
        </w:rPr>
        <w:t>قوله تعالى:</w:t>
      </w:r>
      <w:bookmarkStart w:id="179" w:name="سورة_النساء_12"/>
      <w:r>
        <w:rPr>
          <w:rFonts w:hint="cs"/>
          <w:rtl/>
        </w:rPr>
        <w:t xml:space="preserve"> </w:t>
      </w:r>
      <w:r w:rsidR="00F665A6" w:rsidRPr="000D49DC">
        <w:rPr>
          <w:rFonts w:ascii="QCF_BSML" w:hAnsi="QCF_BSML" w:cs="QCF_BSML"/>
          <w:noProof w:val="0"/>
          <w:rtl/>
          <w:lang w:eastAsia="en-US"/>
        </w:rPr>
        <w:t>ﭽ</w:t>
      </w:r>
      <w:r>
        <w:rPr>
          <w:rFonts w:ascii="QCF_BSML" w:hAnsi="QCF_BSML" w:cs="QCF_BSML" w:hint="cs"/>
          <w:noProof w:val="0"/>
          <w:rtl/>
          <w:lang w:eastAsia="en-US"/>
        </w:rPr>
        <w:t xml:space="preserve"> </w:t>
      </w:r>
      <w:r w:rsidR="00F665A6" w:rsidRPr="000D49DC">
        <w:rPr>
          <w:rFonts w:ascii="QCF_BSML" w:hAnsi="QCF_BSML" w:cs="QCF_BSML"/>
          <w:noProof w:val="0"/>
          <w:rtl/>
          <w:lang w:eastAsia="en-US"/>
        </w:rPr>
        <w:t xml:space="preserve"> </w:t>
      </w:r>
      <w:r w:rsidR="00F665A6" w:rsidRPr="000D49DC">
        <w:rPr>
          <w:rFonts w:ascii="QCF_P079" w:hAnsi="QCF_P079" w:cs="QCF_P079"/>
          <w:noProof w:val="0"/>
          <w:rtl/>
          <w:lang w:eastAsia="en-US"/>
        </w:rPr>
        <w:t>ﮣ</w:t>
      </w:r>
      <w:r>
        <w:rPr>
          <w:rFonts w:ascii="QCF_P079" w:hAnsi="QCF_P079" w:cs="QCF_P079" w:hint="cs"/>
          <w:noProof w:val="0"/>
          <w:rtl/>
          <w:lang w:eastAsia="en-US"/>
        </w:rPr>
        <w:t xml:space="preserve"> </w:t>
      </w:r>
      <w:r w:rsidR="00F665A6" w:rsidRPr="000D49DC">
        <w:rPr>
          <w:rFonts w:ascii="QCF_P079" w:hAnsi="QCF_P079" w:cs="QCF_P079"/>
          <w:noProof w:val="0"/>
          <w:rtl/>
          <w:lang w:eastAsia="en-US"/>
        </w:rPr>
        <w:t>ﮤ</w:t>
      </w:r>
      <w:r>
        <w:rPr>
          <w:rFonts w:ascii="QCF_P079" w:hAnsi="QCF_P079" w:cs="QCF_P079" w:hint="cs"/>
          <w:noProof w:val="0"/>
          <w:rtl/>
          <w:lang w:eastAsia="en-US"/>
        </w:rPr>
        <w:t xml:space="preserve"> </w:t>
      </w:r>
      <w:r w:rsidR="00F665A6" w:rsidRPr="000D49DC">
        <w:rPr>
          <w:rFonts w:ascii="QCF_P079" w:hAnsi="QCF_P079" w:cs="QCF_P079"/>
          <w:noProof w:val="0"/>
          <w:rtl/>
          <w:lang w:eastAsia="en-US"/>
        </w:rPr>
        <w:t>ﮥ</w:t>
      </w:r>
      <w:r>
        <w:rPr>
          <w:rFonts w:ascii="QCF_P079" w:hAnsi="QCF_P079" w:cs="QCF_P079" w:hint="cs"/>
          <w:noProof w:val="0"/>
          <w:rtl/>
          <w:lang w:eastAsia="en-US"/>
        </w:rPr>
        <w:t xml:space="preserve"> </w:t>
      </w:r>
      <w:r w:rsidR="00F665A6" w:rsidRPr="000D49DC">
        <w:rPr>
          <w:rFonts w:ascii="QCF_P079" w:hAnsi="QCF_P079" w:cs="QCF_P079"/>
          <w:noProof w:val="0"/>
          <w:rtl/>
          <w:lang w:eastAsia="en-US"/>
        </w:rPr>
        <w:t>ﮦ</w:t>
      </w:r>
      <w:r>
        <w:rPr>
          <w:rFonts w:ascii="QCF_P079" w:hAnsi="QCF_P079" w:cs="QCF_P079" w:hint="cs"/>
          <w:noProof w:val="0"/>
          <w:rtl/>
          <w:lang w:eastAsia="en-US"/>
        </w:rPr>
        <w:t xml:space="preserve"> </w:t>
      </w:r>
      <w:r w:rsidR="00F665A6" w:rsidRPr="000D49DC">
        <w:rPr>
          <w:rFonts w:ascii="QCF_P079" w:hAnsi="QCF_P079" w:cs="QCF_P079"/>
          <w:noProof w:val="0"/>
          <w:rtl/>
          <w:lang w:eastAsia="en-US"/>
        </w:rPr>
        <w:t>ﮧ</w:t>
      </w:r>
      <w:r>
        <w:rPr>
          <w:rFonts w:ascii="QCF_P079" w:hAnsi="QCF_P079" w:cs="QCF_P079" w:hint="cs"/>
          <w:noProof w:val="0"/>
          <w:rtl/>
          <w:lang w:eastAsia="en-US"/>
        </w:rPr>
        <w:t xml:space="preserve"> </w:t>
      </w:r>
      <w:r w:rsidR="00F665A6" w:rsidRPr="000D49DC">
        <w:rPr>
          <w:rFonts w:ascii="QCF_P079" w:hAnsi="QCF_P079" w:cs="QCF_P079"/>
          <w:noProof w:val="0"/>
          <w:rtl/>
          <w:lang w:eastAsia="en-US"/>
        </w:rPr>
        <w:t>ﮨ</w:t>
      </w:r>
      <w:r>
        <w:rPr>
          <w:rFonts w:ascii="QCF_P079" w:hAnsi="QCF_P079" w:cs="QCF_P079" w:hint="cs"/>
          <w:noProof w:val="0"/>
          <w:rtl/>
          <w:lang w:eastAsia="en-US"/>
        </w:rPr>
        <w:t xml:space="preserve"> </w:t>
      </w:r>
      <w:r w:rsidR="00F665A6" w:rsidRPr="000D49DC">
        <w:rPr>
          <w:rFonts w:ascii="QCF_P079" w:hAnsi="QCF_P079" w:cs="QCF_P079"/>
          <w:noProof w:val="0"/>
          <w:rtl/>
          <w:lang w:eastAsia="en-US"/>
        </w:rPr>
        <w:t>ﮩ</w:t>
      </w:r>
      <w:r>
        <w:rPr>
          <w:rFonts w:ascii="QCF_P079" w:hAnsi="QCF_P079" w:cs="QCF_P079" w:hint="cs"/>
          <w:noProof w:val="0"/>
          <w:rtl/>
          <w:lang w:eastAsia="en-US"/>
        </w:rPr>
        <w:t xml:space="preserve"> </w:t>
      </w:r>
      <w:r w:rsidR="00F665A6" w:rsidRPr="000D49DC">
        <w:rPr>
          <w:rFonts w:ascii="QCF_P079" w:hAnsi="QCF_P079" w:cs="QCF_P079"/>
          <w:noProof w:val="0"/>
          <w:rtl/>
          <w:lang w:eastAsia="en-US"/>
        </w:rPr>
        <w:t>ﮪ</w:t>
      </w:r>
      <w:r>
        <w:rPr>
          <w:rFonts w:ascii="QCF_P079" w:hAnsi="QCF_P079" w:cs="QCF_P079" w:hint="cs"/>
          <w:noProof w:val="0"/>
          <w:rtl/>
          <w:lang w:eastAsia="en-US"/>
        </w:rPr>
        <w:t xml:space="preserve"> </w:t>
      </w:r>
      <w:r w:rsidR="00F665A6" w:rsidRPr="000D49DC">
        <w:rPr>
          <w:rFonts w:ascii="QCF_P079" w:hAnsi="QCF_P079" w:cs="QCF_P079"/>
          <w:noProof w:val="0"/>
          <w:rtl/>
          <w:lang w:eastAsia="en-US"/>
        </w:rPr>
        <w:t>ﮫ</w:t>
      </w:r>
      <w:r w:rsidR="00F665A6" w:rsidRPr="000D49DC">
        <w:rPr>
          <w:rFonts w:ascii="QCF_BSML" w:hAnsi="QCF_BSML" w:cs="QCF_BSML"/>
          <w:noProof w:val="0"/>
          <w:color w:val="auto"/>
          <w:rtl/>
          <w:lang w:eastAsia="en-US"/>
        </w:rPr>
        <w:t>ﭼ</w:t>
      </w:r>
      <w:bookmarkEnd w:id="179"/>
      <w:r w:rsidR="00F665A6" w:rsidRPr="00022E98">
        <w:rPr>
          <w:rFonts w:ascii="Traditional Arabic" w:hAnsi="Traditional Arabic"/>
          <w:noProof w:val="0"/>
          <w:color w:val="auto"/>
          <w:rtl/>
          <w:lang w:eastAsia="en-US"/>
        </w:rPr>
        <w:t>[النساء:١٢]</w:t>
      </w:r>
      <w:r w:rsidR="00F665A6" w:rsidRPr="00022E98">
        <w:rPr>
          <w:rFonts w:ascii="Traditional Arabic" w:hAnsi="Traditional Arabic"/>
          <w:color w:val="auto"/>
          <w:rtl/>
        </w:rPr>
        <w:t>.</w:t>
      </w:r>
    </w:p>
    <w:p w:rsidR="00F665A6" w:rsidRPr="00201FBA" w:rsidRDefault="00065E4B" w:rsidP="00597C20">
      <w:pPr>
        <w:pStyle w:val="53"/>
        <w:rPr>
          <w:rtl/>
        </w:rPr>
      </w:pPr>
      <w:r w:rsidRPr="00201FBA">
        <w:rPr>
          <w:rFonts w:hint="cs"/>
          <w:rtl/>
        </w:rPr>
        <w:t>و</w:t>
      </w:r>
      <w:r w:rsidR="00F665A6" w:rsidRPr="00201FBA">
        <w:rPr>
          <w:rFonts w:hint="cs"/>
          <w:rtl/>
        </w:rPr>
        <w:t>جه الدلالة:</w:t>
      </w:r>
    </w:p>
    <w:p w:rsidR="00F665A6" w:rsidRPr="00FB449C" w:rsidRDefault="00F665A6" w:rsidP="00597C20">
      <w:pPr>
        <w:ind w:firstLine="720"/>
        <w:rPr>
          <w:color w:val="auto"/>
        </w:rPr>
      </w:pPr>
      <w:r w:rsidRPr="00FB449C">
        <w:rPr>
          <w:rFonts w:hint="cs"/>
          <w:color w:val="auto"/>
          <w:rtl/>
        </w:rPr>
        <w:t>قال الشيخ</w:t>
      </w:r>
      <w:r w:rsidR="00022E98">
        <w:rPr>
          <w:rFonts w:hint="cs"/>
          <w:color w:val="auto"/>
          <w:rtl/>
        </w:rPr>
        <w:t>_</w:t>
      </w:r>
      <w:r w:rsidRPr="00FB449C">
        <w:rPr>
          <w:rFonts w:hint="cs"/>
          <w:color w:val="auto"/>
          <w:rtl/>
        </w:rPr>
        <w:t xml:space="preserve"> </w:t>
      </w:r>
      <w:r w:rsidRPr="005D5694">
        <w:rPr>
          <w:rFonts w:cs="CTraditional Arabic" w:hint="cs"/>
          <w:color w:val="auto"/>
          <w:rtl/>
        </w:rPr>
        <w:t>/</w:t>
      </w:r>
      <w:r w:rsidR="00022E98">
        <w:rPr>
          <w:rFonts w:hint="cs"/>
          <w:color w:val="auto"/>
          <w:rtl/>
        </w:rPr>
        <w:t>_</w:t>
      </w:r>
      <w:r w:rsidRPr="00FB449C">
        <w:rPr>
          <w:rFonts w:hint="cs"/>
          <w:color w:val="auto"/>
          <w:rtl/>
        </w:rPr>
        <w:t xml:space="preserve"> عند تفسير الآية:</w:t>
      </w:r>
      <w:r w:rsidR="00022E98">
        <w:rPr>
          <w:rFonts w:hint="cs"/>
          <w:color w:val="auto"/>
          <w:rtl/>
        </w:rPr>
        <w:t xml:space="preserve"> </w:t>
      </w:r>
      <w:r w:rsidRPr="00FB449C">
        <w:rPr>
          <w:rFonts w:hint="cs"/>
          <w:color w:val="auto"/>
          <w:rtl/>
        </w:rPr>
        <w:t>(</w:t>
      </w:r>
      <w:r w:rsidRPr="00FB449C">
        <w:rPr>
          <w:rFonts w:ascii="QCF_BSML" w:hAnsi="QCF_BSML" w:cs="QCF_BSML"/>
          <w:noProof w:val="0"/>
          <w:rtl/>
          <w:lang w:eastAsia="en-US"/>
        </w:rPr>
        <w:t xml:space="preserve">ﭽ </w:t>
      </w:r>
      <w:r w:rsidRPr="00FB449C">
        <w:rPr>
          <w:rFonts w:ascii="QCF_P079" w:hAnsi="QCF_P079" w:cs="QCF_P079"/>
          <w:noProof w:val="0"/>
          <w:rtl/>
          <w:lang w:eastAsia="en-US"/>
        </w:rPr>
        <w:t>ﮪﮫ</w:t>
      </w:r>
      <w:r w:rsidRPr="00FB449C">
        <w:rPr>
          <w:rFonts w:ascii="QCF_BSML" w:hAnsi="QCF_BSML" w:cs="QCF_BSML"/>
          <w:noProof w:val="0"/>
          <w:rtl/>
          <w:lang w:eastAsia="en-US"/>
        </w:rPr>
        <w:t>ﭼ</w:t>
      </w:r>
      <w:r w:rsidRPr="00FB449C">
        <w:rPr>
          <w:rFonts w:ascii="Traditional Arabic" w:hAnsi="Traditional Arabic" w:hint="cs"/>
          <w:noProof w:val="0"/>
          <w:rtl/>
          <w:lang w:eastAsia="en-US"/>
        </w:rPr>
        <w:t>أي:</w:t>
      </w:r>
      <w:r w:rsidR="00022E98">
        <w:rPr>
          <w:rFonts w:ascii="Traditional Arabic" w:hAnsi="Traditional Arabic" w:hint="cs"/>
          <w:noProof w:val="0"/>
          <w:rtl/>
          <w:lang w:eastAsia="en-US"/>
        </w:rPr>
        <w:t xml:space="preserve"> </w:t>
      </w:r>
      <w:r w:rsidRPr="00FB449C">
        <w:rPr>
          <w:rFonts w:ascii="Traditional Arabic" w:hAnsi="Traditional Arabic" w:hint="cs"/>
          <w:noProof w:val="0"/>
          <w:rtl/>
          <w:lang w:eastAsia="en-US"/>
        </w:rPr>
        <w:t>بشرط ألا يكون المقصود بالوصية المضار</w:t>
      </w:r>
      <w:r w:rsidR="00022E98">
        <w:rPr>
          <w:rFonts w:ascii="Traditional Arabic" w:hAnsi="Traditional Arabic" w:hint="cs"/>
          <w:noProof w:val="0"/>
          <w:rtl/>
          <w:lang w:eastAsia="en-US"/>
        </w:rPr>
        <w:t>َّ</w:t>
      </w:r>
      <w:r w:rsidRPr="00FB449C">
        <w:rPr>
          <w:rFonts w:ascii="Traditional Arabic" w:hAnsi="Traditional Arabic" w:hint="cs"/>
          <w:noProof w:val="0"/>
          <w:rtl/>
          <w:lang w:eastAsia="en-US"/>
        </w:rPr>
        <w:t>ة،</w:t>
      </w:r>
      <w:r w:rsidR="00022E98">
        <w:rPr>
          <w:rFonts w:ascii="Traditional Arabic" w:hAnsi="Traditional Arabic" w:hint="cs"/>
          <w:noProof w:val="0"/>
          <w:rtl/>
          <w:lang w:eastAsia="en-US"/>
        </w:rPr>
        <w:t xml:space="preserve"> </w:t>
      </w:r>
      <w:r w:rsidRPr="00022E98">
        <w:rPr>
          <w:rFonts w:ascii="Traditional Arabic" w:hAnsi="Traditional Arabic"/>
          <w:color w:val="auto"/>
          <w:rtl/>
        </w:rPr>
        <w:t>ﻓﺈن ثبت أن المقصود بها المضارة فهي لاغ</w:t>
      </w:r>
      <w:r w:rsidR="00022E98">
        <w:rPr>
          <w:rFonts w:ascii="Traditional Arabic" w:hAnsi="Traditional Arabic" w:hint="cs"/>
          <w:color w:val="auto"/>
          <w:rtl/>
        </w:rPr>
        <w:t>ِ</w:t>
      </w:r>
      <w:r w:rsidRPr="00022E98">
        <w:rPr>
          <w:rFonts w:ascii="Traditional Arabic" w:hAnsi="Traditional Arabic"/>
          <w:color w:val="auto"/>
          <w:rtl/>
        </w:rPr>
        <w:t>ي</w:t>
      </w:r>
      <w:r w:rsidR="00022E98">
        <w:rPr>
          <w:rFonts w:ascii="Traditional Arabic" w:hAnsi="Traditional Arabic" w:hint="cs"/>
          <w:color w:val="auto"/>
          <w:rtl/>
        </w:rPr>
        <w:t>َ</w:t>
      </w:r>
      <w:r w:rsidRPr="00022E98">
        <w:rPr>
          <w:rFonts w:ascii="Traditional Arabic" w:hAnsi="Traditional Arabic"/>
          <w:color w:val="auto"/>
          <w:rtl/>
        </w:rPr>
        <w:t>ة</w:t>
      </w:r>
      <w:r w:rsidR="00022E98">
        <w:rPr>
          <w:rFonts w:ascii="Traditional Arabic" w:hAnsi="Traditional Arabic" w:hint="cs"/>
          <w:color w:val="auto"/>
          <w:rtl/>
        </w:rPr>
        <w:t>ٌ</w:t>
      </w:r>
      <w:r w:rsidRPr="00022E98">
        <w:rPr>
          <w:rFonts w:ascii="Traditional Arabic" w:hAnsi="Traditional Arabic"/>
          <w:color w:val="auto"/>
          <w:rtl/>
        </w:rPr>
        <w:t>...ﻓﺈن الضرر ممنوع شرعًا</w:t>
      </w:r>
      <w:r w:rsidRPr="00FB449C">
        <w:rPr>
          <w:rFonts w:hint="cs"/>
          <w:color w:val="auto"/>
          <w:rtl/>
        </w:rPr>
        <w:t>)</w:t>
      </w:r>
      <w:r w:rsidRPr="00C821A1">
        <w:rPr>
          <w:rFonts w:hint="cs"/>
          <w:color w:val="auto"/>
          <w:szCs w:val="32"/>
          <w:vertAlign w:val="superscript"/>
          <w:rtl/>
        </w:rPr>
        <w:t>(</w:t>
      </w:r>
      <w:r w:rsidRPr="00C821A1">
        <w:rPr>
          <w:rStyle w:val="af1"/>
          <w:color w:val="auto"/>
          <w:szCs w:val="32"/>
          <w:rtl/>
        </w:rPr>
        <w:footnoteReference w:id="923"/>
      </w:r>
      <w:r w:rsidRPr="00C821A1">
        <w:rPr>
          <w:rFonts w:hint="cs"/>
          <w:color w:val="auto"/>
          <w:szCs w:val="32"/>
          <w:vertAlign w:val="superscript"/>
          <w:rtl/>
        </w:rPr>
        <w:t>)</w:t>
      </w:r>
      <w:r w:rsidRPr="00FB449C">
        <w:rPr>
          <w:rFonts w:hint="cs"/>
          <w:color w:val="auto"/>
          <w:rtl/>
        </w:rPr>
        <w:t>.</w:t>
      </w:r>
    </w:p>
    <w:p w:rsidR="00F665A6" w:rsidRPr="000D49DC" w:rsidRDefault="007E7548" w:rsidP="000D49DC">
      <w:pPr>
        <w:ind w:firstLine="0"/>
        <w:jc w:val="left"/>
        <w:rPr>
          <w:b/>
          <w:bCs/>
          <w:color w:val="auto"/>
          <w:rtl/>
        </w:rPr>
      </w:pPr>
      <w:r>
        <w:rPr>
          <w:rFonts w:hint="cs"/>
          <w:color w:val="auto"/>
          <w:rtl/>
        </w:rPr>
        <w:t xml:space="preserve"> </w:t>
      </w:r>
      <w:r w:rsidR="00022E98">
        <w:rPr>
          <w:rFonts w:hint="cs"/>
          <w:color w:val="auto"/>
          <w:rtl/>
        </w:rPr>
        <w:t xml:space="preserve">(5)    </w:t>
      </w:r>
      <w:r w:rsidR="000D49DC">
        <w:rPr>
          <w:rFonts w:hint="cs"/>
          <w:color w:val="auto"/>
          <w:rtl/>
        </w:rPr>
        <w:t xml:space="preserve">حديث </w:t>
      </w:r>
      <w:r w:rsidR="00F665A6" w:rsidRPr="000D49DC">
        <w:rPr>
          <w:rFonts w:hint="cs"/>
          <w:color w:val="auto"/>
          <w:rtl/>
        </w:rPr>
        <w:t xml:space="preserve">ابن عباس </w:t>
      </w:r>
      <w:r w:rsidR="00B77190">
        <w:rPr>
          <w:rFonts w:hint="cs"/>
          <w:color w:val="auto"/>
          <w:rtl/>
        </w:rPr>
        <w:t>_</w:t>
      </w:r>
      <w:r w:rsidR="00154102" w:rsidRPr="000D49DC">
        <w:rPr>
          <w:rFonts w:ascii="Traditional Arabic" w:hAnsi="Traditional Arabic" w:cs="CTraditional Arabic" w:hint="cs"/>
          <w:noProof w:val="0"/>
          <w:color w:val="auto"/>
          <w:rtl/>
          <w:lang w:eastAsia="en-US"/>
        </w:rPr>
        <w:t>ب</w:t>
      </w:r>
      <w:r w:rsidR="00B77190">
        <w:rPr>
          <w:rFonts w:hint="cs"/>
          <w:color w:val="auto"/>
          <w:rtl/>
        </w:rPr>
        <w:t>_</w:t>
      </w:r>
      <w:r w:rsidR="00F665A6" w:rsidRPr="000D49DC">
        <w:rPr>
          <w:rFonts w:hint="cs"/>
          <w:color w:val="auto"/>
          <w:rtl/>
        </w:rPr>
        <w:t xml:space="preserve"> قال</w:t>
      </w:r>
      <w:r w:rsidR="000D49DC">
        <w:rPr>
          <w:rFonts w:hint="cs"/>
          <w:color w:val="auto"/>
          <w:rtl/>
        </w:rPr>
        <w:t xml:space="preserve"> </w:t>
      </w:r>
      <w:r w:rsidR="00F665A6" w:rsidRPr="000D49DC">
        <w:rPr>
          <w:rFonts w:hint="cs"/>
          <w:color w:val="auto"/>
          <w:rtl/>
        </w:rPr>
        <w:t xml:space="preserve">:قال رسول الله </w:t>
      </w:r>
      <w:r w:rsidR="00F665A6" w:rsidRPr="000D49DC">
        <w:rPr>
          <w:rFonts w:cs="CTraditional Arabic" w:hint="cs"/>
          <w:color w:val="auto"/>
          <w:rtl/>
        </w:rPr>
        <w:t>&gt;</w:t>
      </w:r>
      <w:r w:rsidR="00F665A6" w:rsidRPr="000D49DC">
        <w:rPr>
          <w:rFonts w:hint="cs"/>
          <w:color w:val="auto"/>
          <w:rtl/>
        </w:rPr>
        <w:t>:</w:t>
      </w:r>
      <w:r w:rsidR="000D49DC">
        <w:rPr>
          <w:rFonts w:hint="cs"/>
          <w:b/>
          <w:bCs/>
          <w:color w:val="auto"/>
          <w:rtl/>
        </w:rPr>
        <w:t xml:space="preserve"> </w:t>
      </w:r>
      <w:r w:rsidR="00F665A6" w:rsidRPr="000C7FEB">
        <w:rPr>
          <w:rFonts w:hint="cs"/>
          <w:color w:val="auto"/>
          <w:rtl/>
        </w:rPr>
        <w:t>"لا ضرر</w:t>
      </w:r>
      <w:r w:rsidR="00154102">
        <w:rPr>
          <w:rFonts w:hint="cs"/>
          <w:color w:val="auto"/>
          <w:rtl/>
        </w:rPr>
        <w:t xml:space="preserve"> و</w:t>
      </w:r>
      <w:r w:rsidR="00F665A6" w:rsidRPr="000C7FEB">
        <w:rPr>
          <w:rFonts w:hint="cs"/>
          <w:color w:val="auto"/>
          <w:rtl/>
        </w:rPr>
        <w:t>لا ضرار"</w:t>
      </w:r>
      <w:r w:rsidR="00F665A6" w:rsidRPr="00C821A1">
        <w:rPr>
          <w:rFonts w:hint="cs"/>
          <w:color w:val="auto"/>
          <w:szCs w:val="32"/>
          <w:vertAlign w:val="superscript"/>
          <w:rtl/>
        </w:rPr>
        <w:t>(</w:t>
      </w:r>
      <w:r w:rsidR="00F665A6" w:rsidRPr="00C821A1">
        <w:rPr>
          <w:rStyle w:val="af1"/>
          <w:color w:val="auto"/>
          <w:szCs w:val="32"/>
          <w:rtl/>
        </w:rPr>
        <w:footnoteReference w:id="924"/>
      </w:r>
      <w:r w:rsidR="00F665A6" w:rsidRPr="00C821A1">
        <w:rPr>
          <w:rFonts w:hint="cs"/>
          <w:color w:val="auto"/>
          <w:szCs w:val="32"/>
          <w:vertAlign w:val="superscript"/>
          <w:rtl/>
        </w:rPr>
        <w:t>)</w:t>
      </w:r>
      <w:r w:rsidR="00F665A6" w:rsidRPr="000C7FEB">
        <w:rPr>
          <w:rFonts w:hint="cs"/>
          <w:color w:val="auto"/>
          <w:rtl/>
        </w:rPr>
        <w:t>.</w:t>
      </w:r>
    </w:p>
    <w:p w:rsidR="00D1746D" w:rsidRDefault="00D1746D" w:rsidP="00D1746D">
      <w:pPr>
        <w:ind w:firstLine="720"/>
        <w:rPr>
          <w:rFonts w:ascii="Traditional Arabic" w:hAnsi="Traditional Arabic"/>
          <w:rtl/>
        </w:rPr>
      </w:pPr>
      <w:r>
        <w:rPr>
          <w:rFonts w:ascii="Traditional Arabic" w:hAnsi="Traditional Arabic" w:hint="cs"/>
          <w:rtl/>
        </w:rPr>
        <w:t xml:space="preserve">يقول الشيخ ابن عثيمين _رحمه الله_: (وهذا الحديث </w:t>
      </w:r>
      <w:r w:rsidRPr="008D6278">
        <w:rPr>
          <w:rFonts w:ascii="Traditional Arabic" w:hAnsi="Traditional Arabic" w:hint="cs"/>
          <w:b/>
          <w:bCs/>
          <w:rtl/>
        </w:rPr>
        <w:t>ي</w:t>
      </w:r>
      <w:r>
        <w:rPr>
          <w:rFonts w:ascii="Traditional Arabic" w:hAnsi="Traditional Arabic"/>
          <w:b/>
          <w:bCs/>
          <w:rtl/>
        </w:rPr>
        <w:t>ُ</w:t>
      </w:r>
      <w:r w:rsidRPr="008D6278">
        <w:rPr>
          <w:rFonts w:ascii="Traditional Arabic" w:hAnsi="Traditional Arabic" w:hint="cs"/>
          <w:b/>
          <w:bCs/>
          <w:rtl/>
        </w:rPr>
        <w:t>عتب</w:t>
      </w:r>
      <w:r>
        <w:rPr>
          <w:rFonts w:ascii="Traditional Arabic" w:hAnsi="Traditional Arabic"/>
          <w:b/>
          <w:bCs/>
          <w:rtl/>
        </w:rPr>
        <w:t>َ</w:t>
      </w:r>
      <w:r w:rsidRPr="008D6278">
        <w:rPr>
          <w:rFonts w:ascii="Traditional Arabic" w:hAnsi="Traditional Arabic" w:hint="cs"/>
          <w:b/>
          <w:bCs/>
          <w:rtl/>
        </w:rPr>
        <w:t>ر قاعدة</w:t>
      </w:r>
      <w:r>
        <w:rPr>
          <w:rFonts w:ascii="Traditional Arabic" w:hAnsi="Traditional Arabic"/>
          <w:b/>
          <w:bCs/>
          <w:rtl/>
        </w:rPr>
        <w:t>ً</w:t>
      </w:r>
      <w:r w:rsidRPr="008D6278">
        <w:rPr>
          <w:rFonts w:ascii="Traditional Arabic" w:hAnsi="Traditional Arabic" w:hint="cs"/>
          <w:b/>
          <w:bCs/>
          <w:rtl/>
        </w:rPr>
        <w:t xml:space="preserve"> من قواعد الشريعة</w:t>
      </w:r>
      <w:r>
        <w:rPr>
          <w:rFonts w:ascii="Traditional Arabic" w:hAnsi="Traditional Arabic" w:hint="cs"/>
          <w:rtl/>
        </w:rPr>
        <w:t>، وهي أن الشريعة لا ت</w:t>
      </w:r>
      <w:r>
        <w:rPr>
          <w:rFonts w:ascii="Traditional Arabic" w:hAnsi="Traditional Arabic"/>
          <w:rtl/>
        </w:rPr>
        <w:t>ُ</w:t>
      </w:r>
      <w:r>
        <w:rPr>
          <w:rFonts w:ascii="Traditional Arabic" w:hAnsi="Traditional Arabic" w:hint="cs"/>
          <w:rtl/>
        </w:rPr>
        <w:t>ق</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 xml:space="preserve"> الضرر، وت</w:t>
      </w:r>
      <w:r>
        <w:rPr>
          <w:rFonts w:ascii="Traditional Arabic" w:hAnsi="Traditional Arabic"/>
          <w:rtl/>
        </w:rPr>
        <w:t>ُ</w:t>
      </w:r>
      <w:r>
        <w:rPr>
          <w:rFonts w:ascii="Traditional Arabic" w:hAnsi="Traditional Arabic" w:hint="cs"/>
          <w:rtl/>
        </w:rPr>
        <w:t>ن</w:t>
      </w:r>
      <w:r>
        <w:rPr>
          <w:rFonts w:ascii="Traditional Arabic" w:hAnsi="Traditional Arabic"/>
          <w:rtl/>
        </w:rPr>
        <w:t>ْ</w:t>
      </w:r>
      <w:r>
        <w:rPr>
          <w:rFonts w:ascii="Traditional Arabic" w:hAnsi="Traditional Arabic" w:hint="cs"/>
          <w:rtl/>
        </w:rPr>
        <w:t>كر ا</w:t>
      </w:r>
      <w:r>
        <w:rPr>
          <w:rFonts w:ascii="Traditional Arabic" w:hAnsi="Traditional Arabic"/>
          <w:rtl/>
        </w:rPr>
        <w:t>ﻹ</w:t>
      </w:r>
      <w:r>
        <w:rPr>
          <w:rFonts w:ascii="Traditional Arabic" w:hAnsi="Traditional Arabic" w:hint="cs"/>
          <w:rtl/>
        </w:rPr>
        <w:t>ضرار أشد</w:t>
      </w:r>
      <w:r>
        <w:rPr>
          <w:rFonts w:ascii="Traditional Arabic" w:hAnsi="Traditional Arabic"/>
          <w:rtl/>
        </w:rPr>
        <w:t>ّ</w:t>
      </w:r>
      <w:r>
        <w:rPr>
          <w:rFonts w:ascii="Traditional Arabic" w:hAnsi="Traditional Arabic" w:hint="cs"/>
          <w:rtl/>
        </w:rPr>
        <w:t>َ وأشد</w:t>
      </w:r>
      <w:r>
        <w:rPr>
          <w:rFonts w:ascii="Traditional Arabic" w:hAnsi="Traditional Arabic"/>
          <w:rtl/>
        </w:rPr>
        <w:t>ّ</w:t>
      </w:r>
      <w:r>
        <w:rPr>
          <w:rFonts w:ascii="Traditional Arabic" w:hAnsi="Traditional Arabic" w:hint="cs"/>
          <w:rtl/>
        </w:rPr>
        <w:t>َ)</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25"/>
      </w:r>
      <w:r w:rsidRPr="00C821A1">
        <w:rPr>
          <w:rFonts w:ascii="Traditional Arabic" w:hAnsi="Traditional Arabic" w:hint="cs"/>
          <w:szCs w:val="32"/>
          <w:vertAlign w:val="superscript"/>
          <w:rtl/>
        </w:rPr>
        <w:t>)</w:t>
      </w:r>
      <w:r>
        <w:rPr>
          <w:rFonts w:ascii="Traditional Arabic" w:hAnsi="Traditional Arabic" w:hint="cs"/>
          <w:rtl/>
        </w:rPr>
        <w:t>.</w:t>
      </w:r>
    </w:p>
    <w:p w:rsidR="00D1746D" w:rsidRPr="002C3257" w:rsidRDefault="00D1746D" w:rsidP="002C3257">
      <w:pPr>
        <w:ind w:firstLine="720"/>
        <w:rPr>
          <w:rFonts w:ascii="Traditional Arabic" w:hAnsi="Traditional Arabic"/>
          <w:rtl/>
        </w:rPr>
      </w:pPr>
      <w:r>
        <w:rPr>
          <w:rFonts w:ascii="Traditional Arabic" w:hAnsi="Traditional Arabic" w:hint="cs"/>
          <w:rtl/>
        </w:rPr>
        <w:t>ويقول في موطن آخر: (وهذا الحديث يعتبر قاعدة</w:t>
      </w:r>
      <w:r w:rsidR="00ED3461">
        <w:rPr>
          <w:rFonts w:ascii="Traditional Arabic" w:hAnsi="Traditional Arabic" w:hint="cs"/>
          <w:rtl/>
        </w:rPr>
        <w:t>؛</w:t>
      </w:r>
      <w:r>
        <w:rPr>
          <w:rFonts w:ascii="Traditional Arabic" w:hAnsi="Traditional Arabic" w:hint="cs"/>
          <w:rtl/>
        </w:rPr>
        <w:t xml:space="preserve"> لأنه </w:t>
      </w:r>
      <w:r w:rsidRPr="000D49DC">
        <w:rPr>
          <w:rFonts w:ascii="Traditional Arabic" w:hAnsi="Traditional Arabic" w:hint="cs"/>
          <w:rtl/>
        </w:rPr>
        <w:t>يمكن أن يدخل في جميع أبواب الفقه</w:t>
      </w:r>
      <w:r>
        <w:rPr>
          <w:rFonts w:ascii="Traditional Arabic" w:hAnsi="Traditional Arabic" w:hint="cs"/>
          <w:rtl/>
        </w:rPr>
        <w:t>)</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26"/>
      </w:r>
      <w:r w:rsidRPr="00C821A1">
        <w:rPr>
          <w:rFonts w:ascii="Traditional Arabic" w:hAnsi="Traditional Arabic" w:hint="cs"/>
          <w:szCs w:val="32"/>
          <w:vertAlign w:val="superscript"/>
          <w:rtl/>
        </w:rPr>
        <w:t>)</w:t>
      </w:r>
      <w:r>
        <w:rPr>
          <w:rFonts w:ascii="Traditional Arabic" w:hAnsi="Traditional Arabic" w:hint="cs"/>
          <w:rtl/>
        </w:rPr>
        <w:t>.</w:t>
      </w:r>
    </w:p>
    <w:p w:rsidR="00F665A6" w:rsidRPr="000D49DC" w:rsidRDefault="007E7548" w:rsidP="00B77190">
      <w:pPr>
        <w:widowControl/>
        <w:autoSpaceDE w:val="0"/>
        <w:autoSpaceDN w:val="0"/>
        <w:adjustRightInd w:val="0"/>
        <w:ind w:firstLine="0"/>
        <w:rPr>
          <w:rFonts w:ascii="Traditional Arabic" w:hAnsi="Traditional Arabic"/>
          <w:noProof w:val="0"/>
          <w:color w:val="auto"/>
          <w:lang w:eastAsia="en-US"/>
        </w:rPr>
      </w:pPr>
      <w:r>
        <w:rPr>
          <w:rFonts w:hint="cs"/>
          <w:color w:val="auto"/>
          <w:rtl/>
        </w:rPr>
        <w:t xml:space="preserve">(6)     </w:t>
      </w:r>
      <w:r w:rsidR="000D49DC">
        <w:rPr>
          <w:rFonts w:hint="cs"/>
          <w:color w:val="auto"/>
          <w:rtl/>
        </w:rPr>
        <w:t xml:space="preserve">حديث </w:t>
      </w:r>
      <w:r w:rsidR="00F665A6" w:rsidRPr="000D49DC">
        <w:rPr>
          <w:rFonts w:hint="cs"/>
          <w:color w:val="auto"/>
          <w:rtl/>
        </w:rPr>
        <w:t>أبي</w:t>
      </w:r>
      <w:r w:rsidR="002C3257" w:rsidRPr="000D49DC">
        <w:rPr>
          <w:rFonts w:hint="cs"/>
          <w:color w:val="auto"/>
          <w:rtl/>
        </w:rPr>
        <w:t xml:space="preserve"> </w:t>
      </w:r>
      <w:r w:rsidR="00F665A6" w:rsidRPr="000D49DC">
        <w:rPr>
          <w:rFonts w:hint="cs"/>
          <w:color w:val="auto"/>
          <w:rtl/>
        </w:rPr>
        <w:t>ص</w:t>
      </w:r>
      <w:r w:rsidR="00F665A6" w:rsidRPr="000D49DC">
        <w:rPr>
          <w:rFonts w:ascii="Traditional Arabic" w:hAnsi="Traditional Arabic"/>
          <w:color w:val="auto"/>
          <w:rtl/>
        </w:rPr>
        <w:t>ِ</w:t>
      </w:r>
      <w:r w:rsidR="00F665A6" w:rsidRPr="000D49DC">
        <w:rPr>
          <w:rFonts w:hint="cs"/>
          <w:color w:val="auto"/>
          <w:rtl/>
        </w:rPr>
        <w:t>ر</w:t>
      </w:r>
      <w:r w:rsidR="00F665A6" w:rsidRPr="000D49DC">
        <w:rPr>
          <w:rFonts w:ascii="Traditional Arabic" w:hAnsi="Traditional Arabic"/>
          <w:color w:val="auto"/>
          <w:rtl/>
        </w:rPr>
        <w:t>ْ</w:t>
      </w:r>
      <w:r w:rsidR="00F665A6" w:rsidRPr="000D49DC">
        <w:rPr>
          <w:rFonts w:hint="cs"/>
          <w:color w:val="auto"/>
          <w:rtl/>
        </w:rPr>
        <w:t>مة</w:t>
      </w:r>
      <w:r w:rsidR="00B77190">
        <w:rPr>
          <w:rFonts w:hint="cs"/>
          <w:color w:val="auto"/>
          <w:rtl/>
        </w:rPr>
        <w:t>_</w:t>
      </w:r>
      <w:r w:rsidR="00B77190" w:rsidRPr="000D49DC">
        <w:rPr>
          <w:rFonts w:ascii="Traditional Arabic" w:hAnsi="Traditional Arabic" w:cs="CTraditional Arabic" w:hint="cs"/>
          <w:rtl/>
        </w:rPr>
        <w:t>ا</w:t>
      </w:r>
      <w:r w:rsidR="00B77190">
        <w:rPr>
          <w:rFonts w:hint="cs"/>
          <w:color w:val="auto"/>
          <w:szCs w:val="32"/>
          <w:vertAlign w:val="superscript"/>
          <w:rtl/>
        </w:rPr>
        <w:t>_</w:t>
      </w:r>
      <w:r w:rsidR="00B77190" w:rsidRPr="000D49DC">
        <w:rPr>
          <w:rFonts w:hint="cs"/>
          <w:color w:val="auto"/>
          <w:szCs w:val="32"/>
          <w:vertAlign w:val="superscript"/>
          <w:rtl/>
        </w:rPr>
        <w:t xml:space="preserve"> </w:t>
      </w:r>
      <w:r w:rsidR="00F665A6" w:rsidRPr="000D49DC">
        <w:rPr>
          <w:rFonts w:hint="cs"/>
          <w:color w:val="auto"/>
          <w:szCs w:val="32"/>
          <w:vertAlign w:val="superscript"/>
          <w:rtl/>
        </w:rPr>
        <w:t>(</w:t>
      </w:r>
      <w:r w:rsidR="00F665A6" w:rsidRPr="00C821A1">
        <w:rPr>
          <w:rStyle w:val="af1"/>
          <w:color w:val="auto"/>
          <w:szCs w:val="32"/>
          <w:rtl/>
        </w:rPr>
        <w:footnoteReference w:id="927"/>
      </w:r>
      <w:r w:rsidR="00F665A6" w:rsidRPr="000D49DC">
        <w:rPr>
          <w:rFonts w:hint="cs"/>
          <w:color w:val="auto"/>
          <w:szCs w:val="32"/>
          <w:vertAlign w:val="superscript"/>
          <w:rtl/>
        </w:rPr>
        <w:t>)</w:t>
      </w:r>
      <w:r w:rsidR="00F665A6" w:rsidRPr="000D49DC">
        <w:rPr>
          <w:rFonts w:ascii="Traditional Arabic" w:hAnsi="Traditional Arabic"/>
          <w:noProof w:val="0"/>
          <w:color w:val="auto"/>
          <w:rtl/>
          <w:lang w:eastAsia="en-US"/>
        </w:rPr>
        <w:t>عن</w:t>
      </w:r>
      <w:r w:rsidR="00F665A6" w:rsidRPr="000D49DC">
        <w:rPr>
          <w:rFonts w:ascii="Traditional Arabic" w:hAnsi="Traditional Arabic" w:hint="cs"/>
          <w:noProof w:val="0"/>
          <w:color w:val="auto"/>
          <w:rtl/>
          <w:lang w:eastAsia="en-US"/>
        </w:rPr>
        <w:t xml:space="preserve"> النبي</w:t>
      </w:r>
      <w:r w:rsidR="002C3257" w:rsidRPr="000D49DC">
        <w:rPr>
          <w:rFonts w:ascii="Traditional Arabic" w:hAnsi="Traditional Arabic" w:hint="cs"/>
          <w:noProof w:val="0"/>
          <w:color w:val="auto"/>
          <w:rtl/>
          <w:lang w:eastAsia="en-US"/>
        </w:rPr>
        <w:t xml:space="preserve"> </w:t>
      </w:r>
      <w:r w:rsidR="00F665A6" w:rsidRPr="000D49DC">
        <w:rPr>
          <w:rFonts w:ascii="Traditional Arabic" w:hAnsi="Traditional Arabic" w:cs="CTraditional Arabic"/>
          <w:noProof w:val="0"/>
          <w:color w:val="auto"/>
          <w:rtl/>
          <w:lang w:eastAsia="en-US"/>
        </w:rPr>
        <w:t>&gt;</w:t>
      </w:r>
      <w:r w:rsidR="002C3257" w:rsidRPr="000D49DC">
        <w:rPr>
          <w:rFonts w:ascii="Traditional Arabic" w:hAnsi="Traditional Arabic" w:hint="cs"/>
          <w:noProof w:val="0"/>
          <w:color w:val="auto"/>
          <w:rtl/>
          <w:lang w:eastAsia="en-US"/>
        </w:rPr>
        <w:t xml:space="preserve"> </w:t>
      </w:r>
      <w:r w:rsidR="00F665A6" w:rsidRPr="000D49DC">
        <w:rPr>
          <w:rFonts w:ascii="Traditional Arabic" w:hAnsi="Traditional Arabic" w:hint="cs"/>
          <w:noProof w:val="0"/>
          <w:color w:val="auto"/>
          <w:rtl/>
          <w:lang w:eastAsia="en-US"/>
        </w:rPr>
        <w:t>أ</w:t>
      </w:r>
      <w:r w:rsidR="00F665A6" w:rsidRPr="000D49DC">
        <w:rPr>
          <w:rFonts w:ascii="Traditional Arabic" w:hAnsi="Traditional Arabic"/>
          <w:noProof w:val="0"/>
          <w:color w:val="auto"/>
          <w:rtl/>
          <w:lang w:eastAsia="en-US"/>
        </w:rPr>
        <w:t xml:space="preserve">نه </w:t>
      </w:r>
      <w:r w:rsidR="00F665A6" w:rsidRPr="000D49DC">
        <w:rPr>
          <w:rFonts w:ascii="Traditional Arabic" w:hAnsi="Traditional Arabic" w:hint="cs"/>
          <w:noProof w:val="0"/>
          <w:color w:val="auto"/>
          <w:rtl/>
          <w:lang w:eastAsia="en-US"/>
        </w:rPr>
        <w:t>ق</w:t>
      </w:r>
      <w:r w:rsidR="00F665A6" w:rsidRPr="000D49DC">
        <w:rPr>
          <w:rFonts w:ascii="Traditional Arabic" w:hAnsi="Traditional Arabic"/>
          <w:noProof w:val="0"/>
          <w:color w:val="auto"/>
          <w:rtl/>
          <w:lang w:eastAsia="en-US"/>
        </w:rPr>
        <w:t>ال</w:t>
      </w:r>
      <w:r w:rsidR="00F665A6" w:rsidRPr="000D49DC">
        <w:rPr>
          <w:rFonts w:ascii="Traditional Arabic" w:hAnsi="Traditional Arabic" w:hint="cs"/>
          <w:noProof w:val="0"/>
          <w:color w:val="auto"/>
          <w:rtl/>
          <w:lang w:eastAsia="en-US"/>
        </w:rPr>
        <w:t>:"</w:t>
      </w:r>
      <w:r w:rsidR="00F665A6" w:rsidRPr="000D49DC">
        <w:rPr>
          <w:rFonts w:ascii="Traditional Arabic" w:hAnsi="Traditional Arabic"/>
          <w:noProof w:val="0"/>
          <w:color w:val="auto"/>
          <w:rtl/>
          <w:lang w:eastAsia="en-US"/>
        </w:rPr>
        <w:t xml:space="preserve"> م</w:t>
      </w:r>
      <w:r w:rsidR="00F665A6" w:rsidRPr="000D49DC">
        <w:rPr>
          <w:rFonts w:ascii="Traditional Arabic" w:hAnsi="Traditional Arabic" w:hint="cs"/>
          <w:noProof w:val="0"/>
          <w:color w:val="auto"/>
          <w:rtl/>
          <w:lang w:eastAsia="en-US"/>
        </w:rPr>
        <w:t>َ</w:t>
      </w:r>
      <w:r w:rsidR="00F665A6" w:rsidRPr="000D49DC">
        <w:rPr>
          <w:rFonts w:ascii="Traditional Arabic" w:hAnsi="Traditional Arabic"/>
          <w:noProof w:val="0"/>
          <w:color w:val="auto"/>
          <w:rtl/>
          <w:lang w:eastAsia="en-US"/>
        </w:rPr>
        <w:t>ن ضَارَّ أَضَرَّ اللَّهُ به</w:t>
      </w:r>
      <w:r w:rsidR="00F665A6" w:rsidRPr="000D49DC">
        <w:rPr>
          <w:rFonts w:ascii="Traditional Arabic" w:hAnsi="Traditional Arabic" w:hint="cs"/>
          <w:noProof w:val="0"/>
          <w:color w:val="auto"/>
          <w:rtl/>
          <w:lang w:eastAsia="en-US"/>
        </w:rPr>
        <w:t>، و</w:t>
      </w:r>
      <w:r w:rsidR="00F665A6" w:rsidRPr="000D49DC">
        <w:rPr>
          <w:rFonts w:ascii="Traditional Arabic" w:hAnsi="Traditional Arabic"/>
          <w:noProof w:val="0"/>
          <w:color w:val="auto"/>
          <w:rtl/>
          <w:lang w:eastAsia="en-US"/>
        </w:rPr>
        <w:t>من شاقَّ شاقَّ الله عليه</w:t>
      </w:r>
      <w:r w:rsidR="00AB0B9E" w:rsidRPr="000D49DC">
        <w:rPr>
          <w:rFonts w:ascii="Traditional Arabic" w:hAnsi="Traditional Arabic"/>
          <w:noProof w:val="0"/>
          <w:color w:val="auto"/>
          <w:rtl/>
          <w:lang w:eastAsia="en-US"/>
        </w:rPr>
        <w:fldChar w:fldCharType="begin"/>
      </w:r>
      <w:r w:rsidR="00FA3AB4" w:rsidRPr="00C85F0F">
        <w:instrText>XE</w:instrText>
      </w:r>
      <w:r w:rsidR="00FA3AB4" w:rsidRPr="00C85F0F">
        <w:rPr>
          <w:rtl/>
        </w:rPr>
        <w:instrText xml:space="preserve"> "</w:instrText>
      </w:r>
      <w:r w:rsidR="00FA3AB4" w:rsidRPr="000D49DC">
        <w:rPr>
          <w:rFonts w:ascii="Traditional Arabic" w:hAnsi="Traditional Arabic"/>
          <w:noProof w:val="0"/>
          <w:color w:val="auto"/>
          <w:rtl/>
          <w:lang w:eastAsia="en-US"/>
        </w:rPr>
        <w:instrText>م</w:instrText>
      </w:r>
      <w:r w:rsidR="00FA3AB4" w:rsidRPr="000D49DC">
        <w:rPr>
          <w:rFonts w:ascii="Traditional Arabic" w:hAnsi="Traditional Arabic" w:hint="cs"/>
          <w:noProof w:val="0"/>
          <w:color w:val="auto"/>
          <w:rtl/>
          <w:lang w:eastAsia="en-US"/>
        </w:rPr>
        <w:instrText>َ</w:instrText>
      </w:r>
      <w:r w:rsidR="00FA3AB4" w:rsidRPr="000D49DC">
        <w:rPr>
          <w:rFonts w:ascii="Traditional Arabic" w:hAnsi="Traditional Arabic"/>
          <w:noProof w:val="0"/>
          <w:color w:val="auto"/>
          <w:rtl/>
          <w:lang w:eastAsia="en-US"/>
        </w:rPr>
        <w:instrText>ن ضَارَّ أَضَرَّ اللَّهُ به</w:instrText>
      </w:r>
      <w:r w:rsidR="00FA3AB4" w:rsidRPr="000D49DC">
        <w:rPr>
          <w:rFonts w:ascii="Traditional Arabic" w:hAnsi="Traditional Arabic" w:hint="cs"/>
          <w:noProof w:val="0"/>
          <w:color w:val="auto"/>
          <w:rtl/>
          <w:lang w:eastAsia="en-US"/>
        </w:rPr>
        <w:instrText>، و</w:instrText>
      </w:r>
      <w:r w:rsidR="00FA3AB4" w:rsidRPr="000D49DC">
        <w:rPr>
          <w:rFonts w:ascii="Traditional Arabic" w:hAnsi="Traditional Arabic"/>
          <w:noProof w:val="0"/>
          <w:color w:val="auto"/>
          <w:rtl/>
          <w:lang w:eastAsia="en-US"/>
        </w:rPr>
        <w:instrText>من شاقَّ شاقَّ الله عليه</w:instrText>
      </w:r>
      <w:r w:rsidR="00FA3AB4" w:rsidRPr="00C85F0F">
        <w:rPr>
          <w:rtl/>
        </w:rPr>
        <w:instrText>" \</w:instrText>
      </w:r>
      <w:r w:rsidR="00FA3AB4" w:rsidRPr="00C85F0F">
        <w:instrText>f</w:instrText>
      </w:r>
      <w:r w:rsidR="00FA3AB4">
        <w:instrText>h</w:instrText>
      </w:r>
      <w:r w:rsidR="00AB0B9E" w:rsidRPr="000D49DC">
        <w:rPr>
          <w:rFonts w:ascii="Traditional Arabic" w:hAnsi="Traditional Arabic"/>
          <w:noProof w:val="0"/>
          <w:color w:val="auto"/>
          <w:rtl/>
          <w:lang w:eastAsia="en-US"/>
        </w:rPr>
        <w:fldChar w:fldCharType="end"/>
      </w:r>
      <w:r w:rsidR="00F665A6" w:rsidRPr="000D49DC">
        <w:rPr>
          <w:rFonts w:ascii="Traditional Arabic" w:hAnsi="Traditional Arabic" w:hint="cs"/>
          <w:noProof w:val="0"/>
          <w:color w:val="auto"/>
          <w:rtl/>
          <w:lang w:eastAsia="en-US"/>
        </w:rPr>
        <w:t>"</w:t>
      </w:r>
      <w:r w:rsidR="00F665A6" w:rsidRPr="000D49DC">
        <w:rPr>
          <w:rFonts w:ascii="Traditional Arabic" w:hAnsi="Traditional Arabic" w:hint="cs"/>
          <w:noProof w:val="0"/>
          <w:color w:val="auto"/>
          <w:szCs w:val="32"/>
          <w:vertAlign w:val="superscript"/>
          <w:rtl/>
          <w:lang w:eastAsia="en-US"/>
        </w:rPr>
        <w:t>(</w:t>
      </w:r>
      <w:r w:rsidR="00F665A6" w:rsidRPr="00C821A1">
        <w:rPr>
          <w:rStyle w:val="af1"/>
          <w:rFonts w:ascii="Traditional Arabic" w:hAnsi="Traditional Arabic"/>
          <w:noProof w:val="0"/>
          <w:color w:val="auto"/>
          <w:szCs w:val="32"/>
          <w:rtl/>
          <w:lang w:eastAsia="en-US"/>
        </w:rPr>
        <w:footnoteReference w:id="928"/>
      </w:r>
      <w:r w:rsidR="00F665A6" w:rsidRPr="000D49DC">
        <w:rPr>
          <w:rFonts w:ascii="Traditional Arabic" w:hAnsi="Traditional Arabic" w:hint="cs"/>
          <w:noProof w:val="0"/>
          <w:color w:val="auto"/>
          <w:szCs w:val="32"/>
          <w:vertAlign w:val="superscript"/>
          <w:rtl/>
          <w:lang w:eastAsia="en-US"/>
        </w:rPr>
        <w:t>)</w:t>
      </w:r>
      <w:r w:rsidR="00F665A6" w:rsidRPr="000D49DC">
        <w:rPr>
          <w:rFonts w:ascii="Traditional Arabic" w:hAnsi="Traditional Arabic"/>
          <w:noProof w:val="0"/>
          <w:color w:val="auto"/>
          <w:rtl/>
          <w:lang w:eastAsia="en-US"/>
        </w:rPr>
        <w:t>.</w:t>
      </w:r>
    </w:p>
    <w:p w:rsidR="00F665A6" w:rsidRDefault="00F665A6" w:rsidP="000F5C0F">
      <w:pPr>
        <w:pStyle w:val="53"/>
        <w:rPr>
          <w:rtl/>
        </w:rPr>
      </w:pPr>
      <w:r>
        <w:rPr>
          <w:rFonts w:hint="cs"/>
          <w:rtl/>
        </w:rPr>
        <w:lastRenderedPageBreak/>
        <w:t>وجه الدلالة:</w:t>
      </w:r>
    </w:p>
    <w:p w:rsidR="00F665A6" w:rsidRPr="007E7548" w:rsidRDefault="00F665A6" w:rsidP="007E7548">
      <w:pPr>
        <w:widowControl/>
        <w:autoSpaceDE w:val="0"/>
        <w:autoSpaceDN w:val="0"/>
        <w:adjustRightInd w:val="0"/>
        <w:jc w:val="left"/>
        <w:rPr>
          <w:rFonts w:ascii="Traditional Arabic" w:hAnsi="Traditional Arabic"/>
          <w:noProof w:val="0"/>
          <w:color w:val="auto"/>
          <w:rtl/>
          <w:lang w:eastAsia="en-US"/>
        </w:rPr>
      </w:pPr>
      <w:r w:rsidRPr="007E7548">
        <w:rPr>
          <w:rFonts w:ascii="Traditional Arabic" w:hAnsi="Traditional Arabic" w:hint="cs"/>
          <w:noProof w:val="0"/>
          <w:color w:val="auto"/>
          <w:rtl/>
          <w:lang w:eastAsia="en-US"/>
        </w:rPr>
        <w:t>معنى الحديث أن مَن فعل ما يضرّ أخاه المسلم عَمْدا</w:t>
      </w:r>
      <w:r w:rsidR="007E7548">
        <w:rPr>
          <w:rFonts w:ascii="Traditional Arabic" w:hAnsi="Traditional Arabic" w:hint="cs"/>
          <w:noProof w:val="0"/>
          <w:color w:val="auto"/>
          <w:rtl/>
          <w:lang w:eastAsia="en-US"/>
        </w:rPr>
        <w:t>ً</w:t>
      </w:r>
      <w:r w:rsidRPr="007E7548">
        <w:rPr>
          <w:rFonts w:ascii="Traditional Arabic" w:hAnsi="Traditional Arabic" w:hint="cs"/>
          <w:noProof w:val="0"/>
          <w:color w:val="auto"/>
          <w:rtl/>
          <w:lang w:eastAsia="en-US"/>
        </w:rPr>
        <w:t xml:space="preserve"> </w:t>
      </w:r>
      <w:r w:rsidR="00C169BE">
        <w:rPr>
          <w:rFonts w:ascii="Traditional Arabic" w:hAnsi="Traditional Arabic" w:hint="cs"/>
          <w:noProof w:val="0"/>
          <w:color w:val="auto"/>
          <w:rtl/>
          <w:lang w:eastAsia="en-US"/>
        </w:rPr>
        <w:t xml:space="preserve"> </w:t>
      </w:r>
      <w:r w:rsidRPr="007E7548">
        <w:rPr>
          <w:rFonts w:ascii="Traditional Arabic" w:hAnsi="Traditional Arabic" w:hint="cs"/>
          <w:noProof w:val="0"/>
          <w:color w:val="auto"/>
          <w:rtl/>
          <w:lang w:eastAsia="en-US"/>
        </w:rPr>
        <w:t>ألحق الله به الضرر.</w:t>
      </w:r>
    </w:p>
    <w:p w:rsidR="00065E4B" w:rsidRPr="007E7548" w:rsidRDefault="007E7548" w:rsidP="007E7548">
      <w:pPr>
        <w:widowControl/>
        <w:autoSpaceDE w:val="0"/>
        <w:autoSpaceDN w:val="0"/>
        <w:adjustRightInd w:val="0"/>
        <w:ind w:firstLine="0"/>
        <w:jc w:val="left"/>
        <w:rPr>
          <w:rFonts w:ascii="Traditional Arabic" w:hAnsi="Traditional Arabic"/>
          <w:noProof w:val="0"/>
          <w:color w:val="auto"/>
          <w:lang w:eastAsia="en-US"/>
        </w:rPr>
      </w:pPr>
      <w:r>
        <w:rPr>
          <w:rFonts w:ascii="Traditional Arabic" w:hAnsi="Traditional Arabic" w:hint="cs"/>
          <w:noProof w:val="0"/>
          <w:color w:val="auto"/>
          <w:rtl/>
          <w:lang w:eastAsia="en-US"/>
        </w:rPr>
        <w:t xml:space="preserve">     </w:t>
      </w:r>
      <w:r w:rsidR="00F665A6" w:rsidRPr="007E7548">
        <w:rPr>
          <w:rFonts w:ascii="Traditional Arabic" w:hAnsi="Traditional Arabic" w:hint="cs"/>
          <w:noProof w:val="0"/>
          <w:color w:val="auto"/>
          <w:rtl/>
          <w:lang w:eastAsia="en-US"/>
        </w:rPr>
        <w:t>فالحديث يدل على منْع الضرر</w:t>
      </w:r>
      <w:r w:rsidR="00154102" w:rsidRPr="007E7548">
        <w:rPr>
          <w:rFonts w:ascii="Traditional Arabic" w:hAnsi="Traditional Arabic" w:hint="cs"/>
          <w:noProof w:val="0"/>
          <w:color w:val="auto"/>
          <w:rtl/>
          <w:lang w:eastAsia="en-US"/>
        </w:rPr>
        <w:t xml:space="preserve"> و</w:t>
      </w:r>
      <w:r w:rsidR="00F665A6" w:rsidRPr="007E7548">
        <w:rPr>
          <w:rFonts w:ascii="Traditional Arabic" w:hAnsi="Traditional Arabic" w:hint="cs"/>
          <w:noProof w:val="0"/>
          <w:color w:val="auto"/>
          <w:rtl/>
          <w:lang w:eastAsia="en-US"/>
        </w:rPr>
        <w:t>المضارّة،</w:t>
      </w:r>
      <w:r w:rsidR="00154102" w:rsidRPr="007E7548">
        <w:rPr>
          <w:rFonts w:ascii="Traditional Arabic" w:hAnsi="Traditional Arabic" w:hint="cs"/>
          <w:noProof w:val="0"/>
          <w:color w:val="auto"/>
          <w:rtl/>
          <w:lang w:eastAsia="en-US"/>
        </w:rPr>
        <w:t xml:space="preserve"> و</w:t>
      </w:r>
      <w:r w:rsidR="00F665A6" w:rsidRPr="007E7548">
        <w:rPr>
          <w:rFonts w:ascii="Traditional Arabic" w:hAnsi="Traditional Arabic" w:hint="cs"/>
          <w:noProof w:val="0"/>
          <w:color w:val="auto"/>
          <w:rtl/>
          <w:lang w:eastAsia="en-US"/>
        </w:rPr>
        <w:t>أنه لا ضرر</w:t>
      </w:r>
      <w:r w:rsidR="00154102" w:rsidRPr="007E7548">
        <w:rPr>
          <w:rFonts w:ascii="Traditional Arabic" w:hAnsi="Traditional Arabic" w:hint="cs"/>
          <w:noProof w:val="0"/>
          <w:color w:val="auto"/>
          <w:rtl/>
          <w:lang w:eastAsia="en-US"/>
        </w:rPr>
        <w:t xml:space="preserve"> و</w:t>
      </w:r>
      <w:r w:rsidR="00F665A6" w:rsidRPr="007E7548">
        <w:rPr>
          <w:rFonts w:ascii="Traditional Arabic" w:hAnsi="Traditional Arabic" w:hint="cs"/>
          <w:noProof w:val="0"/>
          <w:color w:val="auto"/>
          <w:rtl/>
          <w:lang w:eastAsia="en-US"/>
        </w:rPr>
        <w:t>لا ضرار</w:t>
      </w:r>
      <w:r w:rsidR="00F665A6" w:rsidRPr="007E7548">
        <w:rPr>
          <w:rFonts w:ascii="Traditional Arabic" w:hAnsi="Traditional Arabic" w:hint="cs"/>
          <w:noProof w:val="0"/>
          <w:color w:val="auto"/>
          <w:szCs w:val="32"/>
          <w:vertAlign w:val="superscript"/>
          <w:rtl/>
          <w:lang w:eastAsia="en-US"/>
        </w:rPr>
        <w:t>(</w:t>
      </w:r>
      <w:r w:rsidR="00F665A6" w:rsidRPr="00C821A1">
        <w:rPr>
          <w:rStyle w:val="af1"/>
          <w:rFonts w:ascii="Traditional Arabic" w:hAnsi="Traditional Arabic"/>
          <w:noProof w:val="0"/>
          <w:color w:val="auto"/>
          <w:szCs w:val="32"/>
          <w:rtl/>
          <w:lang w:eastAsia="en-US"/>
        </w:rPr>
        <w:footnoteReference w:id="929"/>
      </w:r>
      <w:r w:rsidR="00F665A6" w:rsidRPr="007E7548">
        <w:rPr>
          <w:rFonts w:ascii="Traditional Arabic" w:hAnsi="Traditional Arabic" w:hint="cs"/>
          <w:noProof w:val="0"/>
          <w:color w:val="auto"/>
          <w:szCs w:val="32"/>
          <w:vertAlign w:val="superscript"/>
          <w:rtl/>
          <w:lang w:eastAsia="en-US"/>
        </w:rPr>
        <w:t>)</w:t>
      </w:r>
      <w:r w:rsidR="00F665A6" w:rsidRPr="007E7548">
        <w:rPr>
          <w:rFonts w:ascii="Traditional Arabic" w:hAnsi="Traditional Arabic" w:hint="cs"/>
          <w:noProof w:val="0"/>
          <w:color w:val="auto"/>
          <w:rtl/>
          <w:lang w:eastAsia="en-US"/>
        </w:rPr>
        <w:t>.</w:t>
      </w:r>
    </w:p>
    <w:p w:rsidR="00065E4B" w:rsidRPr="000D49DC" w:rsidRDefault="007E7548" w:rsidP="000D49DC">
      <w:pPr>
        <w:widowControl/>
        <w:autoSpaceDE w:val="0"/>
        <w:autoSpaceDN w:val="0"/>
        <w:adjustRightInd w:val="0"/>
        <w:ind w:firstLine="0"/>
        <w:jc w:val="left"/>
        <w:rPr>
          <w:rFonts w:ascii="Traditional Arabic" w:hAnsi="Traditional Arabic"/>
          <w:b/>
          <w:bCs/>
          <w:noProof w:val="0"/>
          <w:color w:val="auto"/>
          <w:lang w:eastAsia="en-US"/>
        </w:rPr>
      </w:pPr>
      <w:r>
        <w:rPr>
          <w:rFonts w:ascii="Traditional Arabic" w:hAnsi="Traditional Arabic" w:hint="cs"/>
          <w:noProof w:val="0"/>
          <w:color w:val="auto"/>
          <w:rtl/>
          <w:lang w:eastAsia="en-US"/>
        </w:rPr>
        <w:t>(7)</w:t>
      </w:r>
      <w:r>
        <w:rPr>
          <w:rFonts w:ascii="Traditional Arabic" w:hAnsi="Traditional Arabic" w:hint="cs"/>
          <w:b/>
          <w:bCs/>
          <w:noProof w:val="0"/>
          <w:color w:val="auto"/>
          <w:rtl/>
          <w:lang w:eastAsia="en-US"/>
        </w:rPr>
        <w:t xml:space="preserve">    </w:t>
      </w:r>
      <w:r w:rsidR="00065E4B" w:rsidRPr="000D49DC">
        <w:rPr>
          <w:rFonts w:ascii="Traditional Arabic" w:hAnsi="Traditional Arabic" w:hint="cs"/>
          <w:b/>
          <w:bCs/>
          <w:noProof w:val="0"/>
          <w:color w:val="auto"/>
          <w:rtl/>
          <w:lang w:eastAsia="en-US"/>
        </w:rPr>
        <w:t>م</w:t>
      </w:r>
      <w:r w:rsidR="00F665A6" w:rsidRPr="000D49DC">
        <w:rPr>
          <w:rFonts w:ascii="Traditional Arabic" w:hAnsi="Traditional Arabic" w:hint="cs"/>
          <w:b/>
          <w:bCs/>
          <w:noProof w:val="0"/>
          <w:color w:val="auto"/>
          <w:rtl/>
          <w:lang w:eastAsia="en-US"/>
        </w:rPr>
        <w:t>ن المعقول:</w:t>
      </w:r>
    </w:p>
    <w:p w:rsidR="00F665A6" w:rsidRPr="00FB449C" w:rsidRDefault="00065E4B" w:rsidP="00597C20">
      <w:pPr>
        <w:widowControl/>
        <w:autoSpaceDE w:val="0"/>
        <w:autoSpaceDN w:val="0"/>
        <w:adjustRightInd w:val="0"/>
        <w:ind w:firstLine="720"/>
        <w:rPr>
          <w:rFonts w:ascii="Traditional Arabic" w:hAnsi="Traditional Arabic"/>
          <w:noProof w:val="0"/>
          <w:color w:val="auto"/>
          <w:rtl/>
          <w:lang w:eastAsia="en-US"/>
        </w:rPr>
      </w:pPr>
      <w:r w:rsidRPr="00FB449C">
        <w:rPr>
          <w:rFonts w:ascii="Traditional Arabic" w:hAnsi="Traditional Arabic" w:hint="cs"/>
          <w:noProof w:val="0"/>
          <w:color w:val="auto"/>
          <w:rtl/>
          <w:lang w:eastAsia="en-US"/>
        </w:rPr>
        <w:t>إ</w:t>
      </w:r>
      <w:r w:rsidR="00F665A6" w:rsidRPr="00FB449C">
        <w:rPr>
          <w:rFonts w:ascii="Traditional Arabic" w:hAnsi="Traditional Arabic" w:hint="cs"/>
          <w:noProof w:val="0"/>
          <w:color w:val="auto"/>
          <w:rtl/>
          <w:lang w:eastAsia="en-US"/>
        </w:rPr>
        <w:t>نما كان الضرر مَنْفِيًّا فيما عدا ما استُثْني</w:t>
      </w:r>
      <w:r w:rsidR="00ED3461">
        <w:rPr>
          <w:rFonts w:ascii="Traditional Arabic" w:hAnsi="Traditional Arabic" w:hint="cs"/>
          <w:noProof w:val="0"/>
          <w:color w:val="auto"/>
          <w:rtl/>
          <w:lang w:eastAsia="en-US"/>
        </w:rPr>
        <w:t>؛</w:t>
      </w:r>
      <w:r w:rsidR="00F665A6" w:rsidRPr="00FB449C">
        <w:rPr>
          <w:rFonts w:ascii="Traditional Arabic" w:hAnsi="Traditional Arabic" w:hint="cs"/>
          <w:noProof w:val="0"/>
          <w:color w:val="auto"/>
          <w:rtl/>
          <w:lang w:eastAsia="en-US"/>
        </w:rPr>
        <w:t xml:space="preserve"> لأن الله </w:t>
      </w:r>
      <w:r w:rsidR="007E7548">
        <w:rPr>
          <w:rFonts w:ascii="Traditional Arabic" w:hAnsi="Traditional Arabic" w:hint="cs"/>
          <w:noProof w:val="0"/>
          <w:color w:val="auto"/>
          <w:rtl/>
          <w:lang w:eastAsia="en-US"/>
        </w:rPr>
        <w:t>_</w:t>
      </w:r>
      <w:r w:rsidR="00866D6A" w:rsidRPr="00866D6A">
        <w:rPr>
          <w:rFonts w:hint="cs"/>
          <w:rtl/>
          <w:lang w:eastAsia="en-US"/>
        </w:rPr>
        <w:sym w:font="AGA Arabesque" w:char="F055"/>
      </w:r>
      <w:r w:rsidR="007E7548">
        <w:rPr>
          <w:rFonts w:ascii="Traditional Arabic" w:hAnsi="Traditional Arabic" w:hint="cs"/>
          <w:noProof w:val="0"/>
          <w:color w:val="auto"/>
          <w:rtl/>
          <w:lang w:eastAsia="en-US"/>
        </w:rPr>
        <w:t>_</w:t>
      </w:r>
      <w:r w:rsidR="00F665A6" w:rsidRPr="00FB449C">
        <w:rPr>
          <w:rFonts w:ascii="Traditional Arabic" w:hAnsi="Traditional Arabic" w:hint="cs"/>
          <w:noProof w:val="0"/>
          <w:color w:val="auto"/>
          <w:rtl/>
          <w:lang w:eastAsia="en-US"/>
        </w:rPr>
        <w:t xml:space="preserve"> يقول:</w:t>
      </w:r>
      <w:r w:rsidR="00F665A6" w:rsidRPr="00FB449C">
        <w:rPr>
          <w:rFonts w:ascii="QCF_BSML" w:hAnsi="QCF_BSML" w:cs="QCF_BSML"/>
          <w:noProof w:val="0"/>
          <w:rtl/>
          <w:lang w:eastAsia="en-US"/>
        </w:rPr>
        <w:t>ﭽ</w:t>
      </w:r>
      <w:r w:rsidR="00F665A6" w:rsidRPr="00FB449C">
        <w:rPr>
          <w:rFonts w:ascii="QCF_P028" w:hAnsi="QCF_P028" w:cs="QCF_P028"/>
          <w:noProof w:val="0"/>
          <w:rtl/>
          <w:lang w:eastAsia="en-US"/>
        </w:rPr>
        <w:t>ﯗ</w:t>
      </w:r>
      <w:r w:rsidR="007E7548">
        <w:rPr>
          <w:rFonts w:ascii="QCF_P028" w:hAnsi="QCF_P028" w:cs="QCF_P028" w:hint="cs"/>
          <w:noProof w:val="0"/>
          <w:rtl/>
          <w:lang w:eastAsia="en-US"/>
        </w:rPr>
        <w:t xml:space="preserve"> </w:t>
      </w:r>
      <w:r w:rsidR="00F665A6" w:rsidRPr="00FB449C">
        <w:rPr>
          <w:rFonts w:ascii="QCF_P028" w:hAnsi="QCF_P028" w:cs="QCF_P028"/>
          <w:noProof w:val="0"/>
          <w:rtl/>
          <w:lang w:eastAsia="en-US"/>
        </w:rPr>
        <w:t>ﯘ</w:t>
      </w:r>
      <w:r w:rsidR="007E7548">
        <w:rPr>
          <w:rFonts w:ascii="QCF_P028" w:hAnsi="QCF_P028" w:cs="QCF_P028" w:hint="cs"/>
          <w:noProof w:val="0"/>
          <w:rtl/>
          <w:lang w:eastAsia="en-US"/>
        </w:rPr>
        <w:t xml:space="preserve"> </w:t>
      </w:r>
      <w:r w:rsidR="00F665A6" w:rsidRPr="00FB449C">
        <w:rPr>
          <w:rFonts w:ascii="QCF_P028" w:hAnsi="QCF_P028" w:cs="QCF_P028"/>
          <w:noProof w:val="0"/>
          <w:rtl/>
          <w:lang w:eastAsia="en-US"/>
        </w:rPr>
        <w:t>ﯙ</w:t>
      </w:r>
      <w:r w:rsidR="007E7548">
        <w:rPr>
          <w:rFonts w:ascii="QCF_P028" w:hAnsi="QCF_P028" w:cs="QCF_P028" w:hint="cs"/>
          <w:noProof w:val="0"/>
          <w:rtl/>
          <w:lang w:eastAsia="en-US"/>
        </w:rPr>
        <w:t xml:space="preserve"> </w:t>
      </w:r>
      <w:r w:rsidR="00F665A6" w:rsidRPr="00FB449C">
        <w:rPr>
          <w:rFonts w:ascii="QCF_P028" w:hAnsi="QCF_P028" w:cs="QCF_P028"/>
          <w:noProof w:val="0"/>
          <w:rtl/>
          <w:lang w:eastAsia="en-US"/>
        </w:rPr>
        <w:t>ﯚ</w:t>
      </w:r>
      <w:r w:rsidR="007E7548">
        <w:rPr>
          <w:rFonts w:ascii="QCF_P028" w:hAnsi="QCF_P028" w:cs="QCF_P028" w:hint="cs"/>
          <w:noProof w:val="0"/>
          <w:rtl/>
          <w:lang w:eastAsia="en-US"/>
        </w:rPr>
        <w:t xml:space="preserve"> </w:t>
      </w:r>
      <w:r w:rsidR="00F665A6" w:rsidRPr="00FB449C">
        <w:rPr>
          <w:rFonts w:ascii="QCF_P028" w:hAnsi="QCF_P028" w:cs="QCF_P028"/>
          <w:noProof w:val="0"/>
          <w:rtl/>
          <w:lang w:eastAsia="en-US"/>
        </w:rPr>
        <w:t>ﯛ</w:t>
      </w:r>
      <w:r w:rsidR="007E7548">
        <w:rPr>
          <w:rFonts w:ascii="QCF_P028" w:hAnsi="QCF_P028" w:cs="QCF_P028" w:hint="cs"/>
          <w:noProof w:val="0"/>
          <w:rtl/>
          <w:lang w:eastAsia="en-US"/>
        </w:rPr>
        <w:t xml:space="preserve"> </w:t>
      </w:r>
      <w:r w:rsidR="00F665A6" w:rsidRPr="00FB449C">
        <w:rPr>
          <w:rFonts w:ascii="QCF_P028" w:hAnsi="QCF_P028" w:cs="QCF_P028"/>
          <w:noProof w:val="0"/>
          <w:rtl/>
          <w:lang w:eastAsia="en-US"/>
        </w:rPr>
        <w:t>ﯜ</w:t>
      </w:r>
      <w:r w:rsidR="007E7548">
        <w:rPr>
          <w:rFonts w:ascii="QCF_P028" w:hAnsi="QCF_P028" w:cs="QCF_P028" w:hint="cs"/>
          <w:noProof w:val="0"/>
          <w:rtl/>
          <w:lang w:eastAsia="en-US"/>
        </w:rPr>
        <w:t xml:space="preserve"> </w:t>
      </w:r>
      <w:r w:rsidR="00F665A6" w:rsidRPr="00FB449C">
        <w:rPr>
          <w:rFonts w:ascii="QCF_P028" w:hAnsi="QCF_P028" w:cs="QCF_P028"/>
          <w:noProof w:val="0"/>
          <w:rtl/>
          <w:lang w:eastAsia="en-US"/>
        </w:rPr>
        <w:t>ﯝ</w:t>
      </w:r>
      <w:r w:rsidR="007E7548">
        <w:rPr>
          <w:rFonts w:ascii="QCF_P028" w:hAnsi="QCF_P028" w:cs="QCF_P028" w:hint="cs"/>
          <w:noProof w:val="0"/>
          <w:rtl/>
          <w:lang w:eastAsia="en-US"/>
        </w:rPr>
        <w:t xml:space="preserve"> </w:t>
      </w:r>
      <w:r w:rsidR="00F665A6" w:rsidRPr="00FB449C">
        <w:rPr>
          <w:rFonts w:ascii="QCF_P028" w:hAnsi="QCF_P028" w:cs="QCF_P028"/>
          <w:noProof w:val="0"/>
          <w:rtl/>
          <w:lang w:eastAsia="en-US"/>
        </w:rPr>
        <w:t>ﯞ</w:t>
      </w:r>
      <w:r w:rsidR="00F665A6" w:rsidRPr="00FB449C">
        <w:rPr>
          <w:rFonts w:ascii="QCF_BSML" w:hAnsi="QCF_BSML" w:cs="QCF_BSML"/>
          <w:noProof w:val="0"/>
          <w:rtl/>
          <w:lang w:eastAsia="en-US"/>
        </w:rPr>
        <w:t>ﭼ</w:t>
      </w:r>
      <w:r w:rsidR="00F665A6" w:rsidRPr="007E7548">
        <w:rPr>
          <w:rFonts w:ascii="Traditional Arabic" w:hAnsi="Traditional Arabic"/>
          <w:noProof w:val="0"/>
          <w:color w:val="auto"/>
          <w:rtl/>
          <w:lang w:eastAsia="en-US"/>
        </w:rPr>
        <w:t>[البقرة: ١٨٥]،</w:t>
      </w:r>
      <w:r w:rsidR="00F665A6" w:rsidRPr="00FB449C">
        <w:rPr>
          <w:rFonts w:ascii="Traditional Arabic" w:hAnsi="Traditional Arabic" w:hint="cs"/>
          <w:noProof w:val="0"/>
          <w:color w:val="auto"/>
          <w:rtl/>
          <w:lang w:eastAsia="en-US"/>
        </w:rPr>
        <w:t xml:space="preserve"> </w:t>
      </w:r>
      <w:bookmarkStart w:id="180" w:name="سورة_النساء_28"/>
      <w:r w:rsidR="00F665A6" w:rsidRPr="00FB449C">
        <w:rPr>
          <w:rFonts w:ascii="QCF_BSML" w:hAnsi="QCF_BSML" w:cs="QCF_BSML"/>
          <w:noProof w:val="0"/>
          <w:rtl/>
          <w:lang w:eastAsia="en-US"/>
        </w:rPr>
        <w:t>ﭽ</w:t>
      </w:r>
      <w:r w:rsidR="00F665A6" w:rsidRPr="00FB449C">
        <w:rPr>
          <w:rFonts w:ascii="QCF_P083" w:hAnsi="QCF_P083" w:cs="QCF_P083"/>
          <w:noProof w:val="0"/>
          <w:rtl/>
          <w:lang w:eastAsia="en-US"/>
        </w:rPr>
        <w:t>ﭟ</w:t>
      </w:r>
      <w:r w:rsidR="007E7548">
        <w:rPr>
          <w:rFonts w:ascii="QCF_P083" w:hAnsi="QCF_P083" w:cs="QCF_P083" w:hint="cs"/>
          <w:noProof w:val="0"/>
          <w:rtl/>
          <w:lang w:eastAsia="en-US"/>
        </w:rPr>
        <w:t xml:space="preserve"> </w:t>
      </w:r>
      <w:r w:rsidR="00F665A6" w:rsidRPr="00FB449C">
        <w:rPr>
          <w:rFonts w:ascii="QCF_P083" w:hAnsi="QCF_P083" w:cs="QCF_P083"/>
          <w:noProof w:val="0"/>
          <w:rtl/>
          <w:lang w:eastAsia="en-US"/>
        </w:rPr>
        <w:t>ﭠ</w:t>
      </w:r>
      <w:r w:rsidR="007E7548">
        <w:rPr>
          <w:rFonts w:ascii="QCF_P083" w:hAnsi="QCF_P083" w:cs="QCF_P083" w:hint="cs"/>
          <w:noProof w:val="0"/>
          <w:rtl/>
          <w:lang w:eastAsia="en-US"/>
        </w:rPr>
        <w:t xml:space="preserve"> </w:t>
      </w:r>
      <w:r w:rsidR="00F665A6" w:rsidRPr="00FB449C">
        <w:rPr>
          <w:rFonts w:ascii="QCF_P083" w:hAnsi="QCF_P083" w:cs="QCF_P083"/>
          <w:noProof w:val="0"/>
          <w:rtl/>
          <w:lang w:eastAsia="en-US"/>
        </w:rPr>
        <w:t>ﭡ</w:t>
      </w:r>
      <w:r w:rsidR="007E7548">
        <w:rPr>
          <w:rFonts w:ascii="QCF_P083" w:hAnsi="QCF_P083" w:cs="QCF_P083" w:hint="cs"/>
          <w:noProof w:val="0"/>
          <w:rtl/>
          <w:lang w:eastAsia="en-US"/>
        </w:rPr>
        <w:t xml:space="preserve"> </w:t>
      </w:r>
      <w:r w:rsidR="00F665A6" w:rsidRPr="00FB449C">
        <w:rPr>
          <w:rFonts w:ascii="QCF_P083" w:hAnsi="QCF_P083" w:cs="QCF_P083"/>
          <w:noProof w:val="0"/>
          <w:rtl/>
          <w:lang w:eastAsia="en-US"/>
        </w:rPr>
        <w:t>ﭢ</w:t>
      </w:r>
      <w:r w:rsidR="007E7548">
        <w:rPr>
          <w:rFonts w:ascii="QCF_P083" w:hAnsi="QCF_P083" w:cs="QCF_P083" w:hint="cs"/>
          <w:noProof w:val="0"/>
          <w:rtl/>
          <w:lang w:eastAsia="en-US"/>
        </w:rPr>
        <w:t xml:space="preserve"> </w:t>
      </w:r>
      <w:r w:rsidR="00F665A6" w:rsidRPr="00FB449C">
        <w:rPr>
          <w:rFonts w:ascii="QCF_P083" w:hAnsi="QCF_P083" w:cs="QCF_P083"/>
          <w:noProof w:val="0"/>
          <w:rtl/>
          <w:lang w:eastAsia="en-US"/>
        </w:rPr>
        <w:t>ﭣ</w:t>
      </w:r>
      <w:r w:rsidR="00F665A6" w:rsidRPr="00FB449C">
        <w:rPr>
          <w:rFonts w:ascii="QCF_BSML" w:hAnsi="QCF_BSML" w:cs="QCF_BSML"/>
          <w:noProof w:val="0"/>
          <w:rtl/>
          <w:lang w:eastAsia="en-US"/>
        </w:rPr>
        <w:t>ﭼ</w:t>
      </w:r>
      <w:bookmarkEnd w:id="180"/>
      <w:r w:rsidR="00F665A6" w:rsidRPr="007E7548">
        <w:rPr>
          <w:rFonts w:ascii="Traditional Arabic" w:hAnsi="Traditional Arabic"/>
          <w:noProof w:val="0"/>
          <w:color w:val="auto"/>
          <w:rtl/>
          <w:lang w:eastAsia="en-US"/>
        </w:rPr>
        <w:t>[النساء: ٢٨]</w:t>
      </w:r>
      <w:r w:rsidR="00F665A6" w:rsidRPr="00FB449C">
        <w:rPr>
          <w:rFonts w:ascii="Traditional Arabic" w:hAnsi="Traditional Arabic" w:hint="cs"/>
          <w:noProof w:val="0"/>
          <w:color w:val="auto"/>
          <w:rtl/>
          <w:lang w:eastAsia="en-US"/>
        </w:rPr>
        <w:t>،</w:t>
      </w:r>
      <w:bookmarkStart w:id="181" w:name="سورة_المائدة_6"/>
      <w:r w:rsidR="00F665A6" w:rsidRPr="00FB449C">
        <w:rPr>
          <w:rFonts w:ascii="QCF_BSML" w:hAnsi="QCF_BSML" w:cs="QCF_BSML"/>
          <w:noProof w:val="0"/>
          <w:rtl/>
          <w:lang w:eastAsia="en-US"/>
        </w:rPr>
        <w:t>ﭽ</w:t>
      </w:r>
      <w:r w:rsidR="00F665A6" w:rsidRPr="00FB449C">
        <w:rPr>
          <w:rFonts w:ascii="QCF_P108" w:hAnsi="QCF_P108" w:cs="QCF_P108"/>
          <w:noProof w:val="0"/>
          <w:rtl/>
          <w:lang w:eastAsia="en-US"/>
        </w:rPr>
        <w:t>ﮂ</w:t>
      </w:r>
      <w:r w:rsidR="007E7548">
        <w:rPr>
          <w:rFonts w:ascii="QCF_P108" w:hAnsi="QCF_P108" w:cs="QCF_P108" w:hint="cs"/>
          <w:noProof w:val="0"/>
          <w:rtl/>
          <w:lang w:eastAsia="en-US"/>
        </w:rPr>
        <w:t xml:space="preserve"> </w:t>
      </w:r>
      <w:r w:rsidR="00F665A6" w:rsidRPr="00FB449C">
        <w:rPr>
          <w:rFonts w:ascii="QCF_P108" w:hAnsi="QCF_P108" w:cs="QCF_P108"/>
          <w:noProof w:val="0"/>
          <w:rtl/>
          <w:lang w:eastAsia="en-US"/>
        </w:rPr>
        <w:t>ﮃ</w:t>
      </w:r>
      <w:r w:rsidR="007E7548">
        <w:rPr>
          <w:rFonts w:ascii="QCF_P108" w:hAnsi="QCF_P108" w:cs="QCF_P108" w:hint="cs"/>
          <w:noProof w:val="0"/>
          <w:rtl/>
          <w:lang w:eastAsia="en-US"/>
        </w:rPr>
        <w:t xml:space="preserve"> </w:t>
      </w:r>
      <w:r w:rsidR="00F665A6" w:rsidRPr="00FB449C">
        <w:rPr>
          <w:rFonts w:ascii="QCF_P108" w:hAnsi="QCF_P108" w:cs="QCF_P108"/>
          <w:noProof w:val="0"/>
          <w:rtl/>
          <w:lang w:eastAsia="en-US"/>
        </w:rPr>
        <w:t>ﮄ</w:t>
      </w:r>
      <w:r w:rsidR="007E7548">
        <w:rPr>
          <w:rFonts w:ascii="QCF_P108" w:hAnsi="QCF_P108" w:cs="QCF_P108" w:hint="cs"/>
          <w:noProof w:val="0"/>
          <w:rtl/>
          <w:lang w:eastAsia="en-US"/>
        </w:rPr>
        <w:t xml:space="preserve"> </w:t>
      </w:r>
      <w:r w:rsidR="00F665A6" w:rsidRPr="00FB449C">
        <w:rPr>
          <w:rFonts w:ascii="QCF_P108" w:hAnsi="QCF_P108" w:cs="QCF_P108"/>
          <w:noProof w:val="0"/>
          <w:rtl/>
          <w:lang w:eastAsia="en-US"/>
        </w:rPr>
        <w:t>ﮅ</w:t>
      </w:r>
      <w:r w:rsidR="007E7548">
        <w:rPr>
          <w:rFonts w:ascii="QCF_P108" w:hAnsi="QCF_P108" w:cs="QCF_P108" w:hint="cs"/>
          <w:noProof w:val="0"/>
          <w:rtl/>
          <w:lang w:eastAsia="en-US"/>
        </w:rPr>
        <w:t xml:space="preserve"> </w:t>
      </w:r>
      <w:r w:rsidR="00F665A6" w:rsidRPr="00FB449C">
        <w:rPr>
          <w:rFonts w:ascii="QCF_P108" w:hAnsi="QCF_P108" w:cs="QCF_P108"/>
          <w:noProof w:val="0"/>
          <w:rtl/>
          <w:lang w:eastAsia="en-US"/>
        </w:rPr>
        <w:t>ﮆ</w:t>
      </w:r>
      <w:r w:rsidR="007E7548">
        <w:rPr>
          <w:rFonts w:ascii="QCF_P108" w:hAnsi="QCF_P108" w:cs="QCF_P108" w:hint="cs"/>
          <w:noProof w:val="0"/>
          <w:rtl/>
          <w:lang w:eastAsia="en-US"/>
        </w:rPr>
        <w:t xml:space="preserve"> </w:t>
      </w:r>
      <w:r w:rsidR="00F665A6" w:rsidRPr="00FB449C">
        <w:rPr>
          <w:rFonts w:ascii="QCF_P108" w:hAnsi="QCF_P108" w:cs="QCF_P108"/>
          <w:noProof w:val="0"/>
          <w:rtl/>
          <w:lang w:eastAsia="en-US"/>
        </w:rPr>
        <w:t>ﮇ</w:t>
      </w:r>
      <w:r w:rsidR="007E7548">
        <w:rPr>
          <w:rFonts w:ascii="QCF_P108" w:hAnsi="QCF_P108" w:cs="QCF_P108" w:hint="cs"/>
          <w:noProof w:val="0"/>
          <w:rtl/>
          <w:lang w:eastAsia="en-US"/>
        </w:rPr>
        <w:t xml:space="preserve"> </w:t>
      </w:r>
      <w:r w:rsidR="00F665A6" w:rsidRPr="00FB449C">
        <w:rPr>
          <w:rFonts w:ascii="QCF_P108" w:hAnsi="QCF_P108" w:cs="QCF_P108"/>
          <w:noProof w:val="0"/>
          <w:rtl/>
          <w:lang w:eastAsia="en-US"/>
        </w:rPr>
        <w:t>ﮈ</w:t>
      </w:r>
      <w:r w:rsidR="00F665A6" w:rsidRPr="00FB449C">
        <w:rPr>
          <w:rFonts w:ascii="QCF_BSML" w:hAnsi="QCF_BSML" w:cs="QCF_BSML"/>
          <w:noProof w:val="0"/>
          <w:rtl/>
          <w:lang w:eastAsia="en-US"/>
        </w:rPr>
        <w:t>ﭼ</w:t>
      </w:r>
      <w:bookmarkEnd w:id="181"/>
      <w:r w:rsidR="00F665A6" w:rsidRPr="007E7548">
        <w:rPr>
          <w:rFonts w:ascii="Traditional Arabic" w:hAnsi="Traditional Arabic"/>
          <w:noProof w:val="0"/>
          <w:rtl/>
          <w:lang w:eastAsia="en-US"/>
        </w:rPr>
        <w:t>[</w:t>
      </w:r>
      <w:r w:rsidR="00F665A6" w:rsidRPr="007E7548">
        <w:rPr>
          <w:rFonts w:ascii="Traditional Arabic" w:hAnsi="Traditional Arabic"/>
          <w:noProof w:val="0"/>
          <w:color w:val="auto"/>
          <w:rtl/>
          <w:lang w:eastAsia="en-US"/>
        </w:rPr>
        <w:t>المائدة: ٦]...</w:t>
      </w:r>
      <w:r w:rsidR="00F665A6" w:rsidRPr="00FB449C">
        <w:rPr>
          <w:rFonts w:ascii="Traditional Arabic" w:hAnsi="Traditional Arabic" w:hint="cs"/>
          <w:noProof w:val="0"/>
          <w:color w:val="auto"/>
          <w:rtl/>
          <w:lang w:eastAsia="en-US"/>
        </w:rPr>
        <w:t>و نحو ذلك من النصوص المصرِّحة بِوَضْع الدِّين على تحصيل النفْع</w:t>
      </w:r>
      <w:r w:rsidR="00154102" w:rsidRPr="00FB449C">
        <w:rPr>
          <w:rFonts w:ascii="Traditional Arabic" w:hAnsi="Traditional Arabic" w:hint="cs"/>
          <w:noProof w:val="0"/>
          <w:color w:val="auto"/>
          <w:rtl/>
          <w:lang w:eastAsia="en-US"/>
        </w:rPr>
        <w:t xml:space="preserve"> و</w:t>
      </w:r>
      <w:r w:rsidR="00F665A6" w:rsidRPr="00FB449C">
        <w:rPr>
          <w:rFonts w:ascii="Traditional Arabic" w:hAnsi="Traditional Arabic" w:hint="cs"/>
          <w:noProof w:val="0"/>
          <w:color w:val="auto"/>
          <w:rtl/>
          <w:lang w:eastAsia="en-US"/>
        </w:rPr>
        <w:t>المصلحة.</w:t>
      </w:r>
    </w:p>
    <w:p w:rsidR="00F228A9" w:rsidRPr="00FB61AE" w:rsidRDefault="00F665A6" w:rsidP="00597C20">
      <w:pPr>
        <w:widowControl/>
        <w:autoSpaceDE w:val="0"/>
        <w:autoSpaceDN w:val="0"/>
        <w:adjustRightInd w:val="0"/>
        <w:ind w:firstLine="720"/>
        <w:rPr>
          <w:rFonts w:ascii="Traditional Arabic" w:hAnsi="Traditional Arabic"/>
          <w:noProof w:val="0"/>
          <w:color w:val="auto"/>
          <w:lang w:eastAsia="en-US"/>
        </w:rPr>
      </w:pPr>
      <w:r w:rsidRPr="00FB61AE">
        <w:rPr>
          <w:rFonts w:ascii="Traditional Arabic" w:hAnsi="Traditional Arabic" w:hint="cs"/>
          <w:noProof w:val="0"/>
          <w:color w:val="auto"/>
          <w:rtl/>
          <w:lang w:eastAsia="en-US"/>
        </w:rPr>
        <w:t>فلو لم يكن الضرر</w:t>
      </w:r>
      <w:r w:rsidR="00154102" w:rsidRPr="00FB61AE">
        <w:rPr>
          <w:rFonts w:ascii="Traditional Arabic" w:hAnsi="Traditional Arabic" w:hint="cs"/>
          <w:noProof w:val="0"/>
          <w:color w:val="auto"/>
          <w:rtl/>
          <w:lang w:eastAsia="en-US"/>
        </w:rPr>
        <w:t xml:space="preserve"> و</w:t>
      </w:r>
      <w:r w:rsidRPr="00FB61AE">
        <w:rPr>
          <w:rFonts w:ascii="Traditional Arabic" w:hAnsi="Traditional Arabic" w:hint="cs"/>
          <w:noProof w:val="0"/>
          <w:color w:val="auto"/>
          <w:rtl/>
          <w:lang w:eastAsia="en-US"/>
        </w:rPr>
        <w:t>الضرار منفي</w:t>
      </w:r>
      <w:r w:rsidR="00B77190">
        <w:rPr>
          <w:rFonts w:ascii="Traditional Arabic" w:hAnsi="Traditional Arabic" w:hint="cs"/>
          <w:noProof w:val="0"/>
          <w:color w:val="auto"/>
          <w:rtl/>
          <w:lang w:eastAsia="en-US"/>
        </w:rPr>
        <w:t>ّ</w:t>
      </w:r>
      <w:r w:rsidRPr="00FB61AE">
        <w:rPr>
          <w:rFonts w:ascii="Traditional Arabic" w:hAnsi="Traditional Arabic" w:hint="cs"/>
          <w:noProof w:val="0"/>
          <w:color w:val="auto"/>
          <w:rtl/>
          <w:lang w:eastAsia="en-US"/>
        </w:rPr>
        <w:t>ا</w:t>
      </w:r>
      <w:r w:rsidR="00B77190">
        <w:rPr>
          <w:rFonts w:ascii="Traditional Arabic" w:hAnsi="Traditional Arabic" w:hint="cs"/>
          <w:noProof w:val="0"/>
          <w:color w:val="auto"/>
          <w:rtl/>
          <w:lang w:eastAsia="en-US"/>
        </w:rPr>
        <w:t>ً</w:t>
      </w:r>
      <w:r w:rsidRPr="00FB61AE">
        <w:rPr>
          <w:rFonts w:ascii="Traditional Arabic" w:hAnsi="Traditional Arabic" w:hint="cs"/>
          <w:noProof w:val="0"/>
          <w:color w:val="auto"/>
          <w:rtl/>
          <w:lang w:eastAsia="en-US"/>
        </w:rPr>
        <w:t xml:space="preserve"> شرعًا لَزِمَ وقوعُ الخُلْف</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noProof w:val="0"/>
          <w:color w:val="auto"/>
          <w:szCs w:val="32"/>
          <w:rtl/>
          <w:lang w:eastAsia="en-US"/>
        </w:rPr>
        <w:footnoteReference w:id="930"/>
      </w:r>
      <w:r w:rsidRPr="00C821A1">
        <w:rPr>
          <w:rFonts w:ascii="Traditional Arabic" w:hAnsi="Traditional Arabic" w:hint="cs"/>
          <w:noProof w:val="0"/>
          <w:color w:val="auto"/>
          <w:szCs w:val="32"/>
          <w:vertAlign w:val="superscript"/>
          <w:rtl/>
          <w:lang w:eastAsia="en-US"/>
        </w:rPr>
        <w:t>)</w:t>
      </w:r>
      <w:r w:rsidRPr="00FB61AE">
        <w:rPr>
          <w:rFonts w:ascii="Traditional Arabic" w:hAnsi="Traditional Arabic" w:hint="cs"/>
          <w:noProof w:val="0"/>
          <w:color w:val="auto"/>
          <w:rtl/>
          <w:lang w:eastAsia="en-US"/>
        </w:rPr>
        <w:t xml:space="preserve"> في الأخبار الشرعية المتقدِّمِ ذِكْرُها،</w:t>
      </w:r>
      <w:r w:rsidR="00154102" w:rsidRPr="00FB61AE">
        <w:rPr>
          <w:rFonts w:ascii="Traditional Arabic" w:hAnsi="Traditional Arabic" w:hint="cs"/>
          <w:noProof w:val="0"/>
          <w:color w:val="auto"/>
          <w:rtl/>
          <w:lang w:eastAsia="en-US"/>
        </w:rPr>
        <w:t xml:space="preserve"> و</w:t>
      </w:r>
      <w:r w:rsidRPr="00FB61AE">
        <w:rPr>
          <w:rFonts w:ascii="Traditional Arabic" w:hAnsi="Traditional Arabic" w:hint="cs"/>
          <w:noProof w:val="0"/>
          <w:color w:val="auto"/>
          <w:rtl/>
          <w:lang w:eastAsia="en-US"/>
        </w:rPr>
        <w:t>هو مُحال</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noProof w:val="0"/>
          <w:color w:val="auto"/>
          <w:szCs w:val="32"/>
          <w:rtl/>
          <w:lang w:eastAsia="en-US"/>
        </w:rPr>
        <w:footnoteReference w:id="931"/>
      </w:r>
      <w:r w:rsidRPr="00C821A1">
        <w:rPr>
          <w:rFonts w:ascii="Traditional Arabic" w:hAnsi="Traditional Arabic" w:hint="cs"/>
          <w:noProof w:val="0"/>
          <w:color w:val="auto"/>
          <w:szCs w:val="32"/>
          <w:vertAlign w:val="superscript"/>
          <w:rtl/>
          <w:lang w:eastAsia="en-US"/>
        </w:rPr>
        <w:t>)</w:t>
      </w:r>
      <w:r w:rsidRPr="00FB61AE">
        <w:rPr>
          <w:rFonts w:ascii="Traditional Arabic" w:hAnsi="Traditional Arabic" w:hint="cs"/>
          <w:noProof w:val="0"/>
          <w:color w:val="auto"/>
          <w:rtl/>
          <w:lang w:eastAsia="en-US"/>
        </w:rPr>
        <w:t>.</w:t>
      </w:r>
    </w:p>
    <w:p w:rsidR="00F665A6" w:rsidRPr="00F665A6" w:rsidRDefault="007E7548" w:rsidP="00A8347C">
      <w:pPr>
        <w:pStyle w:val="aff3"/>
        <w:rPr>
          <w:rtl/>
        </w:rPr>
      </w:pPr>
      <w:bookmarkStart w:id="182" w:name="_Toc334046413"/>
      <w:r>
        <w:rPr>
          <w:rFonts w:hint="cs"/>
          <w:rtl/>
        </w:rPr>
        <w:t xml:space="preserve">                                         </w:t>
      </w:r>
      <w:r w:rsidR="00F665A6" w:rsidRPr="00F665A6">
        <w:rPr>
          <w:rFonts w:hint="cs"/>
          <w:rtl/>
        </w:rPr>
        <w:t>المطلب الرابع</w:t>
      </w:r>
      <w:r w:rsidR="00F665A6">
        <w:rPr>
          <w:rFonts w:hint="eastAsia"/>
          <w:rtl/>
        </w:rPr>
        <w:t> :</w:t>
      </w:r>
      <w:r w:rsidR="00F665A6">
        <w:rPr>
          <w:rFonts w:hint="cs"/>
          <w:rtl/>
        </w:rPr>
        <w:br/>
      </w:r>
      <w:r>
        <w:rPr>
          <w:rFonts w:hint="cs"/>
          <w:rtl/>
        </w:rPr>
        <w:t xml:space="preserve">                                        </w:t>
      </w:r>
      <w:r w:rsidR="00F665A6" w:rsidRPr="00F665A6">
        <w:rPr>
          <w:rFonts w:hint="cs"/>
          <w:rtl/>
        </w:rPr>
        <w:t>تطبيقات القاعدة</w:t>
      </w:r>
      <w:bookmarkEnd w:id="182"/>
    </w:p>
    <w:p w:rsidR="00F665A6" w:rsidRPr="006C5100" w:rsidRDefault="00F665A6" w:rsidP="000A76C7">
      <w:pPr>
        <w:pStyle w:val="afc"/>
        <w:widowControl/>
        <w:numPr>
          <w:ilvl w:val="0"/>
          <w:numId w:val="130"/>
        </w:numPr>
        <w:autoSpaceDE w:val="0"/>
        <w:autoSpaceDN w:val="0"/>
        <w:adjustRightInd w:val="0"/>
        <w:rPr>
          <w:rFonts w:ascii="Traditional Arabic" w:hAnsi="Traditional Arabic"/>
          <w:b/>
          <w:bCs/>
          <w:noProof w:val="0"/>
          <w:color w:val="auto"/>
          <w:lang w:eastAsia="en-US"/>
        </w:rPr>
      </w:pPr>
      <w:r>
        <w:rPr>
          <w:rFonts w:ascii="Traditional Arabic" w:hAnsi="Traditional Arabic" w:hint="cs"/>
          <w:noProof w:val="0"/>
          <w:color w:val="auto"/>
          <w:rtl/>
          <w:lang w:eastAsia="en-US"/>
        </w:rPr>
        <w:t>الأرض المشتر</w:t>
      </w:r>
      <w:r>
        <w:rPr>
          <w:rFonts w:ascii="Traditional Arabic" w:hAnsi="Traditional Arabic"/>
          <w:noProof w:val="0"/>
          <w:color w:val="auto"/>
          <w:rtl/>
          <w:lang w:eastAsia="en-US"/>
        </w:rPr>
        <w:t>َ</w:t>
      </w:r>
      <w:r>
        <w:rPr>
          <w:rFonts w:ascii="Traditional Arabic" w:hAnsi="Traditional Arabic" w:hint="cs"/>
          <w:noProof w:val="0"/>
          <w:color w:val="auto"/>
          <w:rtl/>
          <w:lang w:eastAsia="en-US"/>
        </w:rPr>
        <w:t>كة التي لا يمكن ق</w:t>
      </w:r>
      <w:r>
        <w:rPr>
          <w:rFonts w:ascii="Traditional Arabic" w:hAnsi="Traditional Arabic"/>
          <w:noProof w:val="0"/>
          <w:color w:val="auto"/>
          <w:rtl/>
          <w:lang w:eastAsia="en-US"/>
        </w:rPr>
        <w:t>ِ</w:t>
      </w:r>
      <w:r>
        <w:rPr>
          <w:rFonts w:ascii="Traditional Arabic" w:hAnsi="Traditional Arabic" w:hint="cs"/>
          <w:noProof w:val="0"/>
          <w:color w:val="auto"/>
          <w:rtl/>
          <w:lang w:eastAsia="en-US"/>
        </w:rPr>
        <w:t>س</w:t>
      </w:r>
      <w:r>
        <w:rPr>
          <w:rFonts w:ascii="Traditional Arabic" w:hAnsi="Traditional Arabic"/>
          <w:noProof w:val="0"/>
          <w:color w:val="auto"/>
          <w:rtl/>
          <w:lang w:eastAsia="en-US"/>
        </w:rPr>
        <w:t>ْ</w:t>
      </w:r>
      <w:r>
        <w:rPr>
          <w:rFonts w:ascii="Traditional Arabic" w:hAnsi="Traditional Arabic" w:hint="cs"/>
          <w:noProof w:val="0"/>
          <w:color w:val="auto"/>
          <w:rtl/>
          <w:lang w:eastAsia="en-US"/>
        </w:rPr>
        <w:t>متها ل</w:t>
      </w:r>
      <w:r>
        <w:rPr>
          <w:rFonts w:ascii="Traditional Arabic" w:hAnsi="Traditional Arabic"/>
          <w:noProof w:val="0"/>
          <w:color w:val="auto"/>
          <w:rtl/>
          <w:lang w:eastAsia="en-US"/>
        </w:rPr>
        <w:t>ِ</w:t>
      </w:r>
      <w:r>
        <w:rPr>
          <w:rFonts w:ascii="Traditional Arabic" w:hAnsi="Traditional Arabic" w:hint="cs"/>
          <w:noProof w:val="0"/>
          <w:color w:val="auto"/>
          <w:rtl/>
          <w:lang w:eastAsia="en-US"/>
        </w:rPr>
        <w:t>ص</w:t>
      </w:r>
      <w:r>
        <w:rPr>
          <w:rFonts w:ascii="Traditional Arabic" w:hAnsi="Traditional Arabic"/>
          <w:noProof w:val="0"/>
          <w:color w:val="auto"/>
          <w:rtl/>
          <w:lang w:eastAsia="en-US"/>
        </w:rPr>
        <w:t>ِ</w:t>
      </w:r>
      <w:r>
        <w:rPr>
          <w:rFonts w:ascii="Traditional Arabic" w:hAnsi="Traditional Arabic" w:hint="cs"/>
          <w:noProof w:val="0"/>
          <w:color w:val="auto"/>
          <w:rtl/>
          <w:lang w:eastAsia="en-US"/>
        </w:rPr>
        <w:t>غ</w:t>
      </w:r>
      <w:r>
        <w:rPr>
          <w:rFonts w:ascii="Traditional Arabic" w:hAnsi="Traditional Arabic"/>
          <w:noProof w:val="0"/>
          <w:color w:val="auto"/>
          <w:rtl/>
          <w:lang w:eastAsia="en-US"/>
        </w:rPr>
        <w:t>َ</w:t>
      </w:r>
      <w:r>
        <w:rPr>
          <w:rFonts w:ascii="Traditional Arabic" w:hAnsi="Traditional Arabic" w:hint="cs"/>
          <w:noProof w:val="0"/>
          <w:color w:val="auto"/>
          <w:rtl/>
          <w:lang w:eastAsia="en-US"/>
        </w:rPr>
        <w:t xml:space="preserve">رها، </w:t>
      </w:r>
      <w:r w:rsidR="00BF5886">
        <w:rPr>
          <w:rFonts w:ascii="Traditional Arabic" w:hAnsi="Traditional Arabic" w:hint="cs"/>
          <w:noProof w:val="0"/>
          <w:color w:val="auto"/>
          <w:rtl/>
          <w:lang w:eastAsia="en-US"/>
        </w:rPr>
        <w:t>فإ</w:t>
      </w:r>
      <w:r>
        <w:rPr>
          <w:rFonts w:ascii="Traditional Arabic" w:hAnsi="Traditional Arabic" w:hint="cs"/>
          <w:noProof w:val="0"/>
          <w:color w:val="auto"/>
          <w:rtl/>
          <w:lang w:eastAsia="en-US"/>
        </w:rPr>
        <w:t>ذا طلب</w:t>
      </w:r>
      <w:r w:rsidR="00ED3461">
        <w:rPr>
          <w:rFonts w:ascii="Traditional Arabic" w:hAnsi="Traditional Arabic" w:hint="cs"/>
          <w:noProof w:val="0"/>
          <w:color w:val="auto"/>
          <w:rtl/>
          <w:lang w:eastAsia="en-US"/>
        </w:rPr>
        <w:t xml:space="preserve"> أحد الشريكين من الآخر أن تباع و</w:t>
      </w:r>
      <w:r>
        <w:rPr>
          <w:rFonts w:ascii="Traditional Arabic" w:hAnsi="Traditional Arabic" w:hint="cs"/>
          <w:noProof w:val="0"/>
          <w:color w:val="auto"/>
          <w:rtl/>
          <w:lang w:eastAsia="en-US"/>
        </w:rPr>
        <w:t xml:space="preserve">أبى، </w:t>
      </w:r>
      <w:r>
        <w:rPr>
          <w:rFonts w:ascii="Traditional Arabic" w:hAnsi="Traditional Arabic"/>
          <w:noProof w:val="0"/>
          <w:color w:val="auto"/>
          <w:rtl/>
          <w:lang w:eastAsia="en-US"/>
        </w:rPr>
        <w:t>ﻓﺈ</w:t>
      </w:r>
      <w:r>
        <w:rPr>
          <w:rFonts w:ascii="Traditional Arabic" w:hAnsi="Traditional Arabic" w:hint="cs"/>
          <w:noProof w:val="0"/>
          <w:color w:val="auto"/>
          <w:rtl/>
          <w:lang w:eastAsia="en-US"/>
        </w:rPr>
        <w:t>نها تباع قهر</w:t>
      </w:r>
      <w:r>
        <w:rPr>
          <w:rFonts w:ascii="Traditional Arabic" w:hAnsi="Traditional Arabic"/>
          <w:noProof w:val="0"/>
          <w:color w:val="auto"/>
          <w:rtl/>
          <w:lang w:eastAsia="en-US"/>
        </w:rPr>
        <w:t>ً</w:t>
      </w:r>
      <w:r>
        <w:rPr>
          <w:rFonts w:ascii="Traditional Arabic" w:hAnsi="Traditional Arabic" w:hint="cs"/>
          <w:noProof w:val="0"/>
          <w:color w:val="auto"/>
          <w:rtl/>
          <w:lang w:eastAsia="en-US"/>
        </w:rPr>
        <w:t>ا على مَن امتنع</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noProof w:val="0"/>
          <w:color w:val="auto"/>
          <w:szCs w:val="32"/>
          <w:rtl/>
          <w:lang w:eastAsia="en-US"/>
        </w:rPr>
        <w:footnoteReference w:id="932"/>
      </w:r>
      <w:r w:rsidRPr="00C821A1">
        <w:rPr>
          <w:rFonts w:ascii="Traditional Arabic" w:hAnsi="Traditional Arabic" w:hint="cs"/>
          <w:noProof w:val="0"/>
          <w:color w:val="auto"/>
          <w:szCs w:val="32"/>
          <w:vertAlign w:val="superscript"/>
          <w:rtl/>
          <w:lang w:eastAsia="en-US"/>
        </w:rPr>
        <w:t>)</w:t>
      </w:r>
      <w:r>
        <w:rPr>
          <w:rFonts w:ascii="Traditional Arabic" w:hAnsi="Traditional Arabic" w:hint="cs"/>
          <w:noProof w:val="0"/>
          <w:color w:val="auto"/>
          <w:rtl/>
          <w:lang w:eastAsia="en-US"/>
        </w:rPr>
        <w:t>.</w:t>
      </w:r>
    </w:p>
    <w:p w:rsidR="00F665A6" w:rsidRDefault="00F665A6" w:rsidP="00597C20">
      <w:pPr>
        <w:pStyle w:val="53"/>
        <w:rPr>
          <w:rtl/>
        </w:rPr>
      </w:pPr>
      <w:r>
        <w:rPr>
          <w:rFonts w:hint="cs"/>
          <w:rtl/>
        </w:rPr>
        <w:lastRenderedPageBreak/>
        <w:t>وجه اندراج الفرع تحت القاعدة:</w:t>
      </w:r>
    </w:p>
    <w:p w:rsidR="00F665A6" w:rsidRPr="00FB61AE" w:rsidRDefault="00F665A6" w:rsidP="00597C20">
      <w:pPr>
        <w:widowControl/>
        <w:autoSpaceDE w:val="0"/>
        <w:autoSpaceDN w:val="0"/>
        <w:adjustRightInd w:val="0"/>
        <w:ind w:firstLine="720"/>
        <w:jc w:val="left"/>
        <w:rPr>
          <w:rFonts w:ascii="Traditional Arabic" w:hAnsi="Traditional Arabic"/>
          <w:b/>
          <w:bCs/>
          <w:noProof w:val="0"/>
          <w:color w:val="auto"/>
          <w:lang w:eastAsia="en-US"/>
        </w:rPr>
      </w:pPr>
      <w:r w:rsidRPr="00FB61AE">
        <w:rPr>
          <w:rFonts w:ascii="Traditional Arabic" w:hAnsi="Traditional Arabic"/>
          <w:noProof w:val="0"/>
          <w:color w:val="auto"/>
          <w:rtl/>
          <w:lang w:eastAsia="en-US"/>
        </w:rPr>
        <w:t>ﺇ</w:t>
      </w:r>
      <w:r w:rsidR="00ED3461">
        <w:rPr>
          <w:rFonts w:ascii="Traditional Arabic" w:hAnsi="Traditional Arabic" w:hint="cs"/>
          <w:noProof w:val="0"/>
          <w:color w:val="auto"/>
          <w:rtl/>
          <w:lang w:eastAsia="en-US"/>
        </w:rPr>
        <w:t>ن بيع الأرض قهراً على من امتنع</w:t>
      </w:r>
      <w:r w:rsidRPr="00FB61AE">
        <w:rPr>
          <w:rFonts w:ascii="Traditional Arabic" w:hAnsi="Traditional Arabic" w:hint="cs"/>
          <w:noProof w:val="0"/>
          <w:color w:val="auto"/>
          <w:rtl/>
          <w:lang w:eastAsia="en-US"/>
        </w:rPr>
        <w:t xml:space="preserve"> </w:t>
      </w:r>
      <w:r w:rsidRPr="00FB61AE">
        <w:rPr>
          <w:rFonts w:ascii="Traditional Arabic" w:hAnsi="Traditional Arabic"/>
          <w:noProof w:val="0"/>
          <w:color w:val="auto"/>
          <w:rtl/>
          <w:lang w:eastAsia="en-US"/>
        </w:rPr>
        <w:t>ﺇ</w:t>
      </w:r>
      <w:r w:rsidRPr="00FB61AE">
        <w:rPr>
          <w:rFonts w:ascii="Traditional Arabic" w:hAnsi="Traditional Arabic" w:hint="cs"/>
          <w:noProof w:val="0"/>
          <w:color w:val="auto"/>
          <w:rtl/>
          <w:lang w:eastAsia="en-US"/>
        </w:rPr>
        <w:t>كراه</w:t>
      </w:r>
      <w:r w:rsidR="00ED3461">
        <w:rPr>
          <w:rFonts w:ascii="Traditional Arabic" w:hAnsi="Traditional Arabic" w:hint="cs"/>
          <w:noProof w:val="0"/>
          <w:color w:val="auto"/>
          <w:rtl/>
          <w:lang w:eastAsia="en-US"/>
        </w:rPr>
        <w:t>ٌ</w:t>
      </w:r>
      <w:r w:rsidRPr="00FB61AE">
        <w:rPr>
          <w:rFonts w:ascii="Traditional Arabic" w:hAnsi="Traditional Arabic" w:hint="cs"/>
          <w:noProof w:val="0"/>
          <w:color w:val="auto"/>
          <w:rtl/>
          <w:lang w:eastAsia="en-US"/>
        </w:rPr>
        <w:t xml:space="preserve"> بحق </w:t>
      </w:r>
      <w:r w:rsidRPr="00BF5886">
        <w:rPr>
          <w:rFonts w:ascii="Traditional Arabic" w:hAnsi="Traditional Arabic" w:hint="cs"/>
          <w:noProof w:val="0"/>
          <w:color w:val="auto"/>
          <w:rtl/>
          <w:lang w:eastAsia="en-US"/>
        </w:rPr>
        <w:t>من أجل دفع الضرر عن شريكه</w:t>
      </w:r>
      <w:r w:rsidRPr="00FB61AE">
        <w:rPr>
          <w:rFonts w:ascii="Traditional Arabic" w:hAnsi="Traditional Arabic" w:hint="cs"/>
          <w:b/>
          <w:bCs/>
          <w:noProof w:val="0"/>
          <w:color w:val="auto"/>
          <w:rtl/>
          <w:lang w:eastAsia="en-US"/>
        </w:rPr>
        <w:t>؛</w:t>
      </w:r>
      <w:r w:rsidR="00BF5886">
        <w:rPr>
          <w:rFonts w:ascii="Traditional Arabic" w:hAnsi="Traditional Arabic" w:hint="cs"/>
          <w:noProof w:val="0"/>
          <w:color w:val="auto"/>
          <w:rtl/>
          <w:lang w:eastAsia="en-US"/>
        </w:rPr>
        <w:t xml:space="preserve"> </w:t>
      </w:r>
      <w:r w:rsidRPr="00FB61AE">
        <w:rPr>
          <w:rFonts w:ascii="Traditional Arabic" w:hAnsi="Traditional Arabic" w:hint="cs"/>
          <w:noProof w:val="0"/>
          <w:color w:val="auto"/>
          <w:rtl/>
          <w:lang w:eastAsia="en-US"/>
        </w:rPr>
        <w:t>فلا ضرر</w:t>
      </w:r>
      <w:r w:rsidR="00154102" w:rsidRPr="00FB61AE">
        <w:rPr>
          <w:rFonts w:ascii="Traditional Arabic" w:hAnsi="Traditional Arabic" w:hint="cs"/>
          <w:noProof w:val="0"/>
          <w:color w:val="auto"/>
          <w:rtl/>
          <w:lang w:eastAsia="en-US"/>
        </w:rPr>
        <w:t xml:space="preserve"> و</w:t>
      </w:r>
      <w:r w:rsidRPr="00FB61AE">
        <w:rPr>
          <w:rFonts w:ascii="Traditional Arabic" w:hAnsi="Traditional Arabic" w:hint="cs"/>
          <w:noProof w:val="0"/>
          <w:color w:val="auto"/>
          <w:rtl/>
          <w:lang w:eastAsia="en-US"/>
        </w:rPr>
        <w:t>ضرار</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b/>
          <w:noProof w:val="0"/>
          <w:color w:val="auto"/>
          <w:szCs w:val="32"/>
          <w:rtl/>
          <w:lang w:eastAsia="en-US"/>
        </w:rPr>
        <w:footnoteReference w:id="933"/>
      </w:r>
      <w:r w:rsidRPr="00C821A1">
        <w:rPr>
          <w:rFonts w:ascii="Traditional Arabic" w:hAnsi="Traditional Arabic" w:hint="cs"/>
          <w:noProof w:val="0"/>
          <w:color w:val="auto"/>
          <w:szCs w:val="32"/>
          <w:vertAlign w:val="superscript"/>
          <w:rtl/>
          <w:lang w:eastAsia="en-US"/>
        </w:rPr>
        <w:t>)</w:t>
      </w:r>
      <w:r w:rsidRPr="00FB61AE">
        <w:rPr>
          <w:rFonts w:ascii="Traditional Arabic" w:hAnsi="Traditional Arabic" w:hint="cs"/>
          <w:b/>
          <w:bCs/>
          <w:noProof w:val="0"/>
          <w:color w:val="auto"/>
          <w:rtl/>
          <w:lang w:eastAsia="en-US"/>
        </w:rPr>
        <w:t>.</w:t>
      </w:r>
    </w:p>
    <w:p w:rsidR="00F665A6" w:rsidRPr="00173F8B" w:rsidRDefault="00F665A6" w:rsidP="000A76C7">
      <w:pPr>
        <w:pStyle w:val="afc"/>
        <w:widowControl/>
        <w:numPr>
          <w:ilvl w:val="0"/>
          <w:numId w:val="130"/>
        </w:numPr>
        <w:autoSpaceDE w:val="0"/>
        <w:autoSpaceDN w:val="0"/>
        <w:adjustRightInd w:val="0"/>
        <w:jc w:val="left"/>
        <w:rPr>
          <w:rFonts w:ascii="Traditional Arabic" w:hAnsi="Traditional Arabic"/>
          <w:b/>
          <w:bCs/>
          <w:noProof w:val="0"/>
          <w:color w:val="auto"/>
          <w:rtl/>
          <w:lang w:eastAsia="en-US"/>
        </w:rPr>
      </w:pPr>
      <w:r>
        <w:rPr>
          <w:rFonts w:ascii="Traditional Arabic" w:hAnsi="Traditional Arabic" w:hint="cs"/>
          <w:noProof w:val="0"/>
          <w:color w:val="auto"/>
          <w:rtl/>
          <w:lang w:eastAsia="en-US"/>
        </w:rPr>
        <w:t>من باع سلعة على شخص يظن أنه غني</w:t>
      </w:r>
      <w:r>
        <w:rPr>
          <w:rFonts w:ascii="Traditional Arabic" w:hAnsi="Traditional Arabic" w:hint="cs"/>
          <w:b/>
          <w:bCs/>
          <w:noProof w:val="0"/>
          <w:color w:val="auto"/>
          <w:rtl/>
          <w:lang w:eastAsia="en-US"/>
        </w:rPr>
        <w:t xml:space="preserve">، </w:t>
      </w:r>
      <w:r>
        <w:rPr>
          <w:rFonts w:ascii="Traditional Arabic" w:hAnsi="Traditional Arabic" w:hint="cs"/>
          <w:noProof w:val="0"/>
          <w:color w:val="auto"/>
          <w:rtl/>
          <w:lang w:eastAsia="en-US"/>
        </w:rPr>
        <w:t>ثم تبي</w:t>
      </w:r>
      <w:r>
        <w:rPr>
          <w:rFonts w:ascii="Traditional Arabic" w:hAnsi="Traditional Arabic"/>
          <w:noProof w:val="0"/>
          <w:color w:val="auto"/>
          <w:rtl/>
          <w:lang w:eastAsia="en-US"/>
        </w:rPr>
        <w:t>َّ</w:t>
      </w:r>
      <w:r>
        <w:rPr>
          <w:rFonts w:ascii="Traditional Arabic" w:hAnsi="Traditional Arabic" w:hint="cs"/>
          <w:noProof w:val="0"/>
          <w:color w:val="auto"/>
          <w:rtl/>
          <w:lang w:eastAsia="en-US"/>
        </w:rPr>
        <w:t>ن أ</w:t>
      </w:r>
      <w:r w:rsidRPr="00E51F3D">
        <w:rPr>
          <w:rFonts w:ascii="Traditional Arabic" w:hAnsi="Traditional Arabic" w:hint="cs"/>
          <w:noProof w:val="0"/>
          <w:color w:val="auto"/>
          <w:rtl/>
          <w:lang w:eastAsia="en-US"/>
        </w:rPr>
        <w:t>نه م</w:t>
      </w:r>
      <w:r>
        <w:rPr>
          <w:rFonts w:ascii="Traditional Arabic" w:hAnsi="Traditional Arabic"/>
          <w:noProof w:val="0"/>
          <w:color w:val="auto"/>
          <w:rtl/>
          <w:lang w:eastAsia="en-US"/>
        </w:rPr>
        <w:t>ُ</w:t>
      </w:r>
      <w:r w:rsidRPr="00E51F3D">
        <w:rPr>
          <w:rFonts w:ascii="Traditional Arabic" w:hAnsi="Traditional Arabic" w:hint="cs"/>
          <w:noProof w:val="0"/>
          <w:color w:val="auto"/>
          <w:rtl/>
          <w:lang w:eastAsia="en-US"/>
        </w:rPr>
        <w:t>ع</w:t>
      </w:r>
      <w:r>
        <w:rPr>
          <w:rFonts w:ascii="Traditional Arabic" w:hAnsi="Traditional Arabic"/>
          <w:noProof w:val="0"/>
          <w:color w:val="auto"/>
          <w:rtl/>
          <w:lang w:eastAsia="en-US"/>
        </w:rPr>
        <w:t>ْ</w:t>
      </w:r>
      <w:r w:rsidRPr="00E51F3D">
        <w:rPr>
          <w:rFonts w:ascii="Traditional Arabic" w:hAnsi="Traditional Arabic" w:hint="cs"/>
          <w:noProof w:val="0"/>
          <w:color w:val="auto"/>
          <w:rtl/>
          <w:lang w:eastAsia="en-US"/>
        </w:rPr>
        <w:t>س</w:t>
      </w:r>
      <w:r>
        <w:rPr>
          <w:rFonts w:ascii="Traditional Arabic" w:hAnsi="Traditional Arabic"/>
          <w:noProof w:val="0"/>
          <w:color w:val="auto"/>
          <w:rtl/>
          <w:lang w:eastAsia="en-US"/>
        </w:rPr>
        <w:t>ِ</w:t>
      </w:r>
      <w:r w:rsidRPr="00E51F3D">
        <w:rPr>
          <w:rFonts w:ascii="Traditional Arabic" w:hAnsi="Traditional Arabic" w:hint="cs"/>
          <w:noProof w:val="0"/>
          <w:color w:val="auto"/>
          <w:rtl/>
          <w:lang w:eastAsia="en-US"/>
        </w:rPr>
        <w:t>ر</w:t>
      </w:r>
      <w:r>
        <w:rPr>
          <w:rFonts w:ascii="Traditional Arabic" w:hAnsi="Traditional Arabic" w:hint="cs"/>
          <w:noProof w:val="0"/>
          <w:color w:val="auto"/>
          <w:rtl/>
          <w:lang w:eastAsia="en-US"/>
        </w:rPr>
        <w:t>،</w:t>
      </w:r>
      <w:r w:rsidR="00BF5886">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فله فس</w:t>
      </w:r>
      <w:r>
        <w:rPr>
          <w:rFonts w:ascii="Traditional Arabic" w:hAnsi="Traditional Arabic"/>
          <w:noProof w:val="0"/>
          <w:color w:val="auto"/>
          <w:rtl/>
          <w:lang w:eastAsia="en-US"/>
        </w:rPr>
        <w:t>ْ</w:t>
      </w:r>
      <w:r>
        <w:rPr>
          <w:rFonts w:ascii="Traditional Arabic" w:hAnsi="Traditional Arabic" w:hint="cs"/>
          <w:noProof w:val="0"/>
          <w:color w:val="auto"/>
          <w:rtl/>
          <w:lang w:eastAsia="en-US"/>
        </w:rPr>
        <w:t>خ</w:t>
      </w:r>
      <w:r w:rsidR="00173F8B">
        <w:rPr>
          <w:rFonts w:ascii="Traditional Arabic" w:hAnsi="Traditional Arabic" w:hint="cs"/>
          <w:noProof w:val="0"/>
          <w:color w:val="auto"/>
          <w:rtl/>
          <w:lang w:eastAsia="en-US"/>
        </w:rPr>
        <w:t xml:space="preserve"> </w:t>
      </w:r>
      <w:r w:rsidR="00065E4B" w:rsidRPr="00173F8B">
        <w:rPr>
          <w:rFonts w:ascii="Traditional Arabic" w:hAnsi="Traditional Arabic" w:hint="cs"/>
          <w:noProof w:val="0"/>
          <w:color w:val="auto"/>
          <w:rtl/>
          <w:lang w:eastAsia="en-US"/>
        </w:rPr>
        <w:t>ا</w:t>
      </w:r>
      <w:r w:rsidRPr="00173F8B">
        <w:rPr>
          <w:rFonts w:ascii="Traditional Arabic" w:hAnsi="Traditional Arabic" w:hint="cs"/>
          <w:noProof w:val="0"/>
          <w:color w:val="auto"/>
          <w:rtl/>
          <w:lang w:eastAsia="en-US"/>
        </w:rPr>
        <w:t>لبيع</w:t>
      </w:r>
      <w:r w:rsidRPr="00173F8B">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noProof w:val="0"/>
          <w:color w:val="auto"/>
          <w:szCs w:val="32"/>
          <w:rtl/>
          <w:lang w:eastAsia="en-US"/>
        </w:rPr>
        <w:footnoteReference w:id="934"/>
      </w:r>
      <w:r w:rsidRPr="00173F8B">
        <w:rPr>
          <w:rFonts w:ascii="Traditional Arabic" w:hAnsi="Traditional Arabic" w:hint="cs"/>
          <w:noProof w:val="0"/>
          <w:color w:val="auto"/>
          <w:szCs w:val="32"/>
          <w:vertAlign w:val="superscript"/>
          <w:rtl/>
          <w:lang w:eastAsia="en-US"/>
        </w:rPr>
        <w:t>)</w:t>
      </w:r>
      <w:r w:rsidRPr="00173F8B">
        <w:rPr>
          <w:rFonts w:ascii="Traditional Arabic" w:hAnsi="Traditional Arabic" w:hint="cs"/>
          <w:b/>
          <w:bCs/>
          <w:noProof w:val="0"/>
          <w:color w:val="auto"/>
          <w:rtl/>
          <w:lang w:eastAsia="en-US"/>
        </w:rPr>
        <w:t>.</w:t>
      </w:r>
    </w:p>
    <w:p w:rsidR="00F665A6" w:rsidRDefault="00F665A6" w:rsidP="00597C20">
      <w:pPr>
        <w:pStyle w:val="53"/>
        <w:rPr>
          <w:rtl/>
        </w:rPr>
      </w:pPr>
      <w:r>
        <w:rPr>
          <w:rFonts w:hint="cs"/>
          <w:rtl/>
        </w:rPr>
        <w:t>وجه اندراج الفرع تحت القاعدة:</w:t>
      </w:r>
    </w:p>
    <w:p w:rsidR="00F228A9" w:rsidRPr="00FB61AE" w:rsidRDefault="00F665A6" w:rsidP="00597C20">
      <w:pPr>
        <w:widowControl/>
        <w:autoSpaceDE w:val="0"/>
        <w:autoSpaceDN w:val="0"/>
        <w:adjustRightInd w:val="0"/>
        <w:ind w:firstLine="720"/>
        <w:rPr>
          <w:rFonts w:ascii="Traditional Arabic" w:hAnsi="Traditional Arabic"/>
          <w:noProof w:val="0"/>
          <w:color w:val="auto"/>
          <w:lang w:eastAsia="en-US"/>
        </w:rPr>
      </w:pPr>
      <w:r w:rsidRPr="00FB61AE">
        <w:rPr>
          <w:rFonts w:ascii="Traditional Arabic" w:hAnsi="Traditional Arabic" w:hint="cs"/>
          <w:noProof w:val="0"/>
          <w:color w:val="auto"/>
          <w:rtl/>
          <w:lang w:eastAsia="en-US"/>
        </w:rPr>
        <w:t>للبائع أن يفسخ البيع دفعا</w:t>
      </w:r>
      <w:r w:rsidR="00ED3461">
        <w:rPr>
          <w:rFonts w:ascii="Traditional Arabic" w:hAnsi="Traditional Arabic" w:hint="cs"/>
          <w:noProof w:val="0"/>
          <w:color w:val="auto"/>
          <w:rtl/>
          <w:lang w:eastAsia="en-US"/>
        </w:rPr>
        <w:t>ً</w:t>
      </w:r>
      <w:r w:rsidRPr="00FB61AE">
        <w:rPr>
          <w:rFonts w:ascii="Traditional Arabic" w:hAnsi="Traditional Arabic" w:hint="cs"/>
          <w:noProof w:val="0"/>
          <w:color w:val="auto"/>
          <w:rtl/>
          <w:lang w:eastAsia="en-US"/>
        </w:rPr>
        <w:t xml:space="preserve"> للضرر المتوق</w:t>
      </w:r>
      <w:r w:rsidR="00ED3461">
        <w:rPr>
          <w:rFonts w:ascii="Traditional Arabic" w:hAnsi="Traditional Arabic" w:hint="cs"/>
          <w:noProof w:val="0"/>
          <w:color w:val="auto"/>
          <w:rtl/>
          <w:lang w:eastAsia="en-US"/>
        </w:rPr>
        <w:t>َّ</w:t>
      </w:r>
      <w:r w:rsidRPr="00FB61AE">
        <w:rPr>
          <w:rFonts w:ascii="Traditional Arabic" w:hAnsi="Traditional Arabic" w:hint="cs"/>
          <w:noProof w:val="0"/>
          <w:color w:val="auto"/>
          <w:rtl/>
          <w:lang w:eastAsia="en-US"/>
        </w:rPr>
        <w:t>ع؛</w:t>
      </w:r>
      <w:r w:rsidR="00BF5886">
        <w:rPr>
          <w:rFonts w:ascii="Traditional Arabic" w:hAnsi="Traditional Arabic" w:hint="cs"/>
          <w:noProof w:val="0"/>
          <w:color w:val="auto"/>
          <w:rtl/>
          <w:lang w:eastAsia="en-US"/>
        </w:rPr>
        <w:t xml:space="preserve"> ل</w:t>
      </w:r>
      <w:r w:rsidRPr="00FB61AE">
        <w:rPr>
          <w:rFonts w:ascii="Traditional Arabic" w:hAnsi="Traditional Arabic" w:hint="cs"/>
          <w:noProof w:val="0"/>
          <w:color w:val="auto"/>
          <w:rtl/>
          <w:lang w:eastAsia="en-US"/>
        </w:rPr>
        <w:t xml:space="preserve">أن في </w:t>
      </w:r>
      <w:r w:rsidRPr="00FB61AE">
        <w:rPr>
          <w:rFonts w:ascii="Traditional Arabic" w:hAnsi="Traditional Arabic"/>
          <w:noProof w:val="0"/>
          <w:color w:val="auto"/>
          <w:rtl/>
          <w:lang w:eastAsia="en-US"/>
        </w:rPr>
        <w:t>ﺇ</w:t>
      </w:r>
      <w:r w:rsidRPr="00FB61AE">
        <w:rPr>
          <w:rFonts w:ascii="Traditional Arabic" w:hAnsi="Traditional Arabic" w:hint="cs"/>
          <w:noProof w:val="0"/>
          <w:color w:val="auto"/>
          <w:rtl/>
          <w:lang w:eastAsia="en-US"/>
        </w:rPr>
        <w:t>نْظاره للمشتري ضررًا عليه، والضرر منتف</w:t>
      </w:r>
      <w:r w:rsidR="00BF5886">
        <w:rPr>
          <w:rFonts w:ascii="Traditional Arabic" w:hAnsi="Traditional Arabic" w:hint="cs"/>
          <w:noProof w:val="0"/>
          <w:color w:val="auto"/>
          <w:rtl/>
          <w:lang w:eastAsia="en-US"/>
        </w:rPr>
        <w:t>ٍ</w:t>
      </w:r>
      <w:r w:rsidRPr="00FB61AE">
        <w:rPr>
          <w:rFonts w:ascii="Traditional Arabic" w:hAnsi="Traditional Arabic" w:hint="cs"/>
          <w:noProof w:val="0"/>
          <w:color w:val="auto"/>
          <w:rtl/>
          <w:lang w:eastAsia="en-US"/>
        </w:rPr>
        <w:t xml:space="preserve"> شرعا</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noProof w:val="0"/>
          <w:color w:val="auto"/>
          <w:szCs w:val="32"/>
          <w:rtl/>
          <w:lang w:eastAsia="en-US"/>
        </w:rPr>
        <w:footnoteReference w:id="935"/>
      </w:r>
      <w:r w:rsidRPr="00C821A1">
        <w:rPr>
          <w:rFonts w:ascii="Traditional Arabic" w:hAnsi="Traditional Arabic" w:hint="cs"/>
          <w:noProof w:val="0"/>
          <w:color w:val="auto"/>
          <w:szCs w:val="32"/>
          <w:vertAlign w:val="superscript"/>
          <w:rtl/>
          <w:lang w:eastAsia="en-US"/>
        </w:rPr>
        <w:t>)</w:t>
      </w:r>
      <w:r w:rsidRPr="00FB61AE">
        <w:rPr>
          <w:rFonts w:ascii="Traditional Arabic" w:hAnsi="Traditional Arabic" w:hint="cs"/>
          <w:noProof w:val="0"/>
          <w:color w:val="auto"/>
          <w:rtl/>
          <w:lang w:eastAsia="en-US"/>
        </w:rPr>
        <w:t>.</w:t>
      </w:r>
    </w:p>
    <w:p w:rsidR="00F665A6" w:rsidRDefault="00F665A6" w:rsidP="000A76C7">
      <w:pPr>
        <w:pStyle w:val="afc"/>
        <w:numPr>
          <w:ilvl w:val="0"/>
          <w:numId w:val="130"/>
        </w:numPr>
        <w:jc w:val="left"/>
        <w:rPr>
          <w:color w:val="auto"/>
        </w:rPr>
      </w:pPr>
      <w:r>
        <w:rPr>
          <w:rFonts w:hint="cs"/>
          <w:color w:val="auto"/>
          <w:rtl/>
        </w:rPr>
        <w:t>ي</w:t>
      </w:r>
      <w:r>
        <w:rPr>
          <w:rFonts w:ascii="Traditional Arabic" w:hAnsi="Traditional Arabic"/>
          <w:color w:val="auto"/>
          <w:rtl/>
        </w:rPr>
        <w:t>َ</w:t>
      </w:r>
      <w:r>
        <w:rPr>
          <w:rFonts w:hint="cs"/>
          <w:color w:val="auto"/>
          <w:rtl/>
        </w:rPr>
        <w:t>ح</w:t>
      </w:r>
      <w:r>
        <w:rPr>
          <w:rFonts w:ascii="Traditional Arabic" w:hAnsi="Traditional Arabic"/>
          <w:color w:val="auto"/>
          <w:rtl/>
        </w:rPr>
        <w:t>ْ</w:t>
      </w:r>
      <w:r>
        <w:rPr>
          <w:rFonts w:hint="cs"/>
          <w:color w:val="auto"/>
          <w:rtl/>
        </w:rPr>
        <w:t>ر</w:t>
      </w:r>
      <w:r>
        <w:rPr>
          <w:rFonts w:ascii="Traditional Arabic" w:hAnsi="Traditional Arabic"/>
          <w:color w:val="auto"/>
          <w:rtl/>
        </w:rPr>
        <w:t>ُ</w:t>
      </w:r>
      <w:r>
        <w:rPr>
          <w:rFonts w:hint="cs"/>
          <w:color w:val="auto"/>
          <w:rtl/>
        </w:rPr>
        <w:t>م على السلطان أن ي</w:t>
      </w:r>
      <w:r>
        <w:rPr>
          <w:rFonts w:ascii="Traditional Arabic" w:hAnsi="Traditional Arabic"/>
          <w:color w:val="auto"/>
          <w:rtl/>
        </w:rPr>
        <w:t>ُ</w:t>
      </w:r>
      <w:r>
        <w:rPr>
          <w:rFonts w:hint="cs"/>
          <w:color w:val="auto"/>
          <w:rtl/>
        </w:rPr>
        <w:t>ح</w:t>
      </w:r>
      <w:r>
        <w:rPr>
          <w:rFonts w:ascii="Traditional Arabic" w:hAnsi="Traditional Arabic"/>
          <w:color w:val="auto"/>
          <w:rtl/>
        </w:rPr>
        <w:t>َ</w:t>
      </w:r>
      <w:r>
        <w:rPr>
          <w:rFonts w:hint="cs"/>
          <w:color w:val="auto"/>
          <w:rtl/>
        </w:rPr>
        <w:t>ر</w:t>
      </w:r>
      <w:r>
        <w:rPr>
          <w:rFonts w:ascii="Traditional Arabic" w:hAnsi="Traditional Arabic"/>
          <w:color w:val="auto"/>
          <w:rtl/>
        </w:rPr>
        <w:t>ِّ</w:t>
      </w:r>
      <w:r>
        <w:rPr>
          <w:rFonts w:hint="cs"/>
          <w:color w:val="auto"/>
          <w:rtl/>
        </w:rPr>
        <w:t>م الس</w:t>
      </w:r>
      <w:r>
        <w:rPr>
          <w:rFonts w:ascii="Traditional Arabic" w:hAnsi="Traditional Arabic"/>
          <w:color w:val="auto"/>
          <w:rtl/>
        </w:rPr>
        <w:t>ِّ</w:t>
      </w:r>
      <w:r>
        <w:rPr>
          <w:rFonts w:hint="cs"/>
          <w:color w:val="auto"/>
          <w:rtl/>
        </w:rPr>
        <w:t>ك</w:t>
      </w:r>
      <w:r>
        <w:rPr>
          <w:rFonts w:ascii="Traditional Arabic" w:hAnsi="Traditional Arabic"/>
          <w:color w:val="auto"/>
          <w:rtl/>
        </w:rPr>
        <w:t>َّ</w:t>
      </w:r>
      <w:r>
        <w:rPr>
          <w:rFonts w:hint="cs"/>
          <w:color w:val="auto"/>
          <w:rtl/>
        </w:rPr>
        <w:t>ة</w:t>
      </w:r>
      <w:r w:rsidRPr="00C821A1">
        <w:rPr>
          <w:rFonts w:hint="cs"/>
          <w:color w:val="auto"/>
          <w:szCs w:val="32"/>
          <w:vertAlign w:val="superscript"/>
          <w:rtl/>
        </w:rPr>
        <w:t>(</w:t>
      </w:r>
      <w:r w:rsidRPr="00C821A1">
        <w:rPr>
          <w:rStyle w:val="af1"/>
          <w:color w:val="auto"/>
          <w:szCs w:val="32"/>
          <w:rtl/>
        </w:rPr>
        <w:footnoteReference w:id="936"/>
      </w:r>
      <w:r w:rsidRPr="00C821A1">
        <w:rPr>
          <w:rFonts w:hint="cs"/>
          <w:color w:val="auto"/>
          <w:szCs w:val="32"/>
          <w:vertAlign w:val="superscript"/>
          <w:rtl/>
        </w:rPr>
        <w:t>)</w:t>
      </w:r>
      <w:r>
        <w:rPr>
          <w:rFonts w:hint="cs"/>
          <w:color w:val="auto"/>
          <w:rtl/>
        </w:rPr>
        <w:t xml:space="preserve"> الجارية بين الناس</w:t>
      </w:r>
      <w:r w:rsidRPr="00C821A1">
        <w:rPr>
          <w:rFonts w:hint="cs"/>
          <w:color w:val="auto"/>
          <w:szCs w:val="32"/>
          <w:vertAlign w:val="superscript"/>
          <w:rtl/>
        </w:rPr>
        <w:t>(</w:t>
      </w:r>
      <w:r w:rsidRPr="00C821A1">
        <w:rPr>
          <w:rStyle w:val="af1"/>
          <w:color w:val="auto"/>
          <w:szCs w:val="32"/>
          <w:rtl/>
        </w:rPr>
        <w:footnoteReference w:id="937"/>
      </w:r>
      <w:r w:rsidRPr="00C821A1">
        <w:rPr>
          <w:rFonts w:hint="cs"/>
          <w:color w:val="auto"/>
          <w:szCs w:val="32"/>
          <w:vertAlign w:val="superscript"/>
          <w:rtl/>
        </w:rPr>
        <w:t>)</w:t>
      </w:r>
      <w:r>
        <w:rPr>
          <w:rFonts w:hint="cs"/>
          <w:color w:val="auto"/>
          <w:rtl/>
        </w:rPr>
        <w:t>.</w:t>
      </w:r>
    </w:p>
    <w:p w:rsidR="00F665A6" w:rsidRDefault="00F665A6" w:rsidP="00597C20">
      <w:pPr>
        <w:pStyle w:val="53"/>
        <w:rPr>
          <w:rtl/>
        </w:rPr>
      </w:pPr>
      <w:r>
        <w:rPr>
          <w:rFonts w:hint="cs"/>
          <w:rtl/>
        </w:rPr>
        <w:t>وجه اندراج الفرع تحت القاعدة:</w:t>
      </w:r>
    </w:p>
    <w:p w:rsidR="00F228A9" w:rsidRPr="00FB61AE" w:rsidRDefault="00173F8B" w:rsidP="00597C20">
      <w:pPr>
        <w:ind w:firstLine="720"/>
        <w:rPr>
          <w:color w:val="auto"/>
        </w:rPr>
      </w:pPr>
      <w:r>
        <w:rPr>
          <w:rFonts w:hint="cs"/>
          <w:color w:val="auto"/>
          <w:rtl/>
        </w:rPr>
        <w:t>إ</w:t>
      </w:r>
      <w:r w:rsidR="00F665A6" w:rsidRPr="00FB61AE">
        <w:rPr>
          <w:rFonts w:hint="cs"/>
          <w:color w:val="auto"/>
          <w:rtl/>
        </w:rPr>
        <w:t>ذا حر</w:t>
      </w:r>
      <w:r w:rsidR="00BF5886">
        <w:rPr>
          <w:rFonts w:hint="cs"/>
          <w:color w:val="auto"/>
          <w:rtl/>
        </w:rPr>
        <w:t>َّ</w:t>
      </w:r>
      <w:r w:rsidR="00F665A6" w:rsidRPr="00FB61AE">
        <w:rPr>
          <w:rFonts w:hint="cs"/>
          <w:color w:val="auto"/>
          <w:rtl/>
        </w:rPr>
        <w:t>م السلطان هذه السِّكّة صارت سلعة</w:t>
      </w:r>
      <w:r w:rsidR="00BF5886">
        <w:rPr>
          <w:rFonts w:hint="cs"/>
          <w:color w:val="auto"/>
          <w:rtl/>
        </w:rPr>
        <w:t>ً</w:t>
      </w:r>
      <w:r w:rsidR="00F665A6" w:rsidRPr="00FB61AE">
        <w:rPr>
          <w:rFonts w:hint="cs"/>
          <w:color w:val="auto"/>
          <w:rtl/>
        </w:rPr>
        <w:t xml:space="preserve"> من السلع،</w:t>
      </w:r>
      <w:r w:rsidR="00154102" w:rsidRPr="00FB61AE">
        <w:rPr>
          <w:rFonts w:hint="cs"/>
          <w:color w:val="auto"/>
          <w:rtl/>
        </w:rPr>
        <w:t xml:space="preserve"> و</w:t>
      </w:r>
      <w:r w:rsidR="00F665A6" w:rsidRPr="00FB61AE">
        <w:rPr>
          <w:rFonts w:hint="cs"/>
          <w:color w:val="auto"/>
          <w:rtl/>
        </w:rPr>
        <w:t>لم تكن نقْدا</w:t>
      </w:r>
      <w:r w:rsidR="00BF5886">
        <w:rPr>
          <w:rFonts w:hint="cs"/>
          <w:color w:val="auto"/>
          <w:rtl/>
        </w:rPr>
        <w:t xml:space="preserve">ً، </w:t>
      </w:r>
      <w:r w:rsidR="00F665A6" w:rsidRPr="00BF5886">
        <w:rPr>
          <w:rFonts w:hint="cs"/>
          <w:color w:val="auto"/>
          <w:rtl/>
        </w:rPr>
        <w:t>وهذا قد يضر</w:t>
      </w:r>
      <w:r w:rsidR="00F665A6" w:rsidRPr="00BF5886">
        <w:rPr>
          <w:rFonts w:ascii="Traditional Arabic" w:hAnsi="Traditional Arabic"/>
          <w:color w:val="auto"/>
          <w:rtl/>
        </w:rPr>
        <w:t>ّ</w:t>
      </w:r>
      <w:r w:rsidR="00BF5886" w:rsidRPr="00BF5886">
        <w:rPr>
          <w:rFonts w:hint="cs"/>
          <w:color w:val="auto"/>
          <w:rtl/>
        </w:rPr>
        <w:t xml:space="preserve"> </w:t>
      </w:r>
      <w:r w:rsidR="00ED3461">
        <w:rPr>
          <w:rFonts w:hint="cs"/>
          <w:color w:val="auto"/>
          <w:rtl/>
        </w:rPr>
        <w:t>ب</w:t>
      </w:r>
      <w:r w:rsidR="00F665A6" w:rsidRPr="00BF5886">
        <w:rPr>
          <w:rFonts w:hint="cs"/>
          <w:color w:val="auto"/>
          <w:rtl/>
        </w:rPr>
        <w:t>المسلمين</w:t>
      </w:r>
      <w:r w:rsidR="00ED3461">
        <w:rPr>
          <w:rFonts w:hint="cs"/>
          <w:color w:val="auto"/>
          <w:rtl/>
        </w:rPr>
        <w:t xml:space="preserve">؛ ولهذا لم يجُز للسلطان تحريمها؛ </w:t>
      </w:r>
      <w:r w:rsidR="00F665A6" w:rsidRPr="00FB61AE">
        <w:rPr>
          <w:rFonts w:hint="cs"/>
          <w:color w:val="auto"/>
          <w:rtl/>
        </w:rPr>
        <w:t xml:space="preserve"> </w:t>
      </w:r>
      <w:r w:rsidR="00ED3461">
        <w:rPr>
          <w:rFonts w:hint="cs"/>
          <w:color w:val="auto"/>
          <w:rtl/>
        </w:rPr>
        <w:t xml:space="preserve">لأنه </w:t>
      </w:r>
      <w:r w:rsidR="00F665A6" w:rsidRPr="00FB61AE">
        <w:rPr>
          <w:rFonts w:hint="cs"/>
          <w:color w:val="auto"/>
          <w:rtl/>
        </w:rPr>
        <w:t>ضرر</w:t>
      </w:r>
      <w:r w:rsidR="00154102" w:rsidRPr="00FB61AE">
        <w:rPr>
          <w:rFonts w:hint="cs"/>
          <w:color w:val="auto"/>
          <w:rtl/>
        </w:rPr>
        <w:t xml:space="preserve"> و</w:t>
      </w:r>
      <w:r w:rsidR="00F665A6" w:rsidRPr="00FB61AE">
        <w:rPr>
          <w:rFonts w:hint="cs"/>
          <w:color w:val="auto"/>
          <w:rtl/>
        </w:rPr>
        <w:t>ضرار</w:t>
      </w:r>
      <w:r w:rsidR="00F665A6" w:rsidRPr="00C821A1">
        <w:rPr>
          <w:rFonts w:hint="cs"/>
          <w:color w:val="auto"/>
          <w:szCs w:val="32"/>
          <w:vertAlign w:val="superscript"/>
          <w:rtl/>
        </w:rPr>
        <w:t>(</w:t>
      </w:r>
      <w:r w:rsidR="00F665A6" w:rsidRPr="00C821A1">
        <w:rPr>
          <w:rStyle w:val="af1"/>
          <w:color w:val="auto"/>
          <w:szCs w:val="32"/>
          <w:rtl/>
        </w:rPr>
        <w:footnoteReference w:id="938"/>
      </w:r>
      <w:r w:rsidR="00F665A6" w:rsidRPr="00C821A1">
        <w:rPr>
          <w:rFonts w:hint="cs"/>
          <w:color w:val="auto"/>
          <w:szCs w:val="32"/>
          <w:vertAlign w:val="superscript"/>
          <w:rtl/>
        </w:rPr>
        <w:t>)</w:t>
      </w:r>
      <w:r w:rsidR="00F665A6" w:rsidRPr="00FB61AE">
        <w:rPr>
          <w:rFonts w:hint="cs"/>
          <w:color w:val="auto"/>
          <w:rtl/>
        </w:rPr>
        <w:t>.</w:t>
      </w:r>
    </w:p>
    <w:p w:rsidR="00F665A6" w:rsidRDefault="00F665A6" w:rsidP="000A76C7">
      <w:pPr>
        <w:pStyle w:val="afc"/>
        <w:numPr>
          <w:ilvl w:val="0"/>
          <w:numId w:val="130"/>
        </w:numPr>
        <w:rPr>
          <w:color w:val="auto"/>
        </w:rPr>
      </w:pPr>
      <w:r w:rsidRPr="00BF5886">
        <w:rPr>
          <w:rFonts w:ascii="Traditional Arabic" w:hAnsi="Traditional Arabic"/>
          <w:color w:val="auto"/>
          <w:rtl/>
        </w:rPr>
        <w:t>ﺇذا أراد المستقرِض وفاء دَيْنه،</w:t>
      </w:r>
      <w:r w:rsidR="00BF5886" w:rsidRPr="00BF5886">
        <w:rPr>
          <w:rFonts w:ascii="Traditional Arabic" w:hAnsi="Traditional Arabic"/>
          <w:color w:val="auto"/>
          <w:rtl/>
        </w:rPr>
        <w:t xml:space="preserve"> </w:t>
      </w:r>
      <w:r w:rsidRPr="00BF5886">
        <w:rPr>
          <w:rFonts w:ascii="Traditional Arabic" w:hAnsi="Traditional Arabic"/>
          <w:color w:val="auto"/>
          <w:rtl/>
        </w:rPr>
        <w:t>فالواجب أن يَرُدّ الِمثْل في الِمثليات، فإذا كان المثل موجودًا في بلاد بعيدة،</w:t>
      </w:r>
      <w:r w:rsidR="00BF5886" w:rsidRPr="00BF5886">
        <w:rPr>
          <w:rFonts w:ascii="Traditional Arabic" w:hAnsi="Traditional Arabic"/>
          <w:color w:val="auto"/>
          <w:rtl/>
        </w:rPr>
        <w:t xml:space="preserve"> </w:t>
      </w:r>
      <w:r w:rsidRPr="00BF5886">
        <w:rPr>
          <w:rFonts w:ascii="Traditional Arabic" w:hAnsi="Traditional Arabic"/>
          <w:color w:val="auto"/>
          <w:rtl/>
        </w:rPr>
        <w:t>فلا يَلزَمه ردُّ المثل،</w:t>
      </w:r>
      <w:r w:rsidR="00BF5886" w:rsidRPr="00BF5886">
        <w:rPr>
          <w:rFonts w:ascii="Traditional Arabic" w:hAnsi="Traditional Arabic"/>
          <w:color w:val="auto"/>
          <w:rtl/>
        </w:rPr>
        <w:t xml:space="preserve"> </w:t>
      </w:r>
      <w:r w:rsidRPr="00BF5886">
        <w:rPr>
          <w:rFonts w:ascii="Traditional Arabic" w:hAnsi="Traditional Arabic"/>
          <w:color w:val="auto"/>
          <w:rtl/>
        </w:rPr>
        <w:t>وﺇنما</w:t>
      </w:r>
      <w:r>
        <w:rPr>
          <w:rFonts w:ascii="Traditional Arabic" w:hAnsi="Traditional Arabic" w:hint="cs"/>
          <w:color w:val="auto"/>
          <w:rtl/>
        </w:rPr>
        <w:t xml:space="preserve"> يرد</w:t>
      </w:r>
      <w:r>
        <w:rPr>
          <w:rFonts w:ascii="Traditional Arabic" w:hAnsi="Traditional Arabic"/>
          <w:color w:val="auto"/>
          <w:rtl/>
        </w:rPr>
        <w:t>ّ</w:t>
      </w:r>
      <w:r>
        <w:rPr>
          <w:rFonts w:ascii="Traditional Arabic" w:hAnsi="Traditional Arabic" w:hint="cs"/>
          <w:color w:val="auto"/>
          <w:rtl/>
        </w:rPr>
        <w:t xml:space="preserve"> القيمة</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39"/>
      </w:r>
      <w:r w:rsidRPr="00C821A1">
        <w:rPr>
          <w:rFonts w:ascii="Traditional Arabic" w:hAnsi="Traditional Arabic" w:hint="cs"/>
          <w:color w:val="auto"/>
          <w:szCs w:val="32"/>
          <w:vertAlign w:val="superscript"/>
          <w:rtl/>
        </w:rPr>
        <w:t>)</w:t>
      </w:r>
      <w:r>
        <w:rPr>
          <w:rFonts w:ascii="Traditional Arabic" w:hAnsi="Traditional Arabic" w:hint="cs"/>
          <w:color w:val="auto"/>
          <w:rtl/>
        </w:rPr>
        <w:t>.</w:t>
      </w:r>
    </w:p>
    <w:p w:rsidR="00F665A6" w:rsidRDefault="00F665A6" w:rsidP="00597C20">
      <w:pPr>
        <w:pStyle w:val="53"/>
        <w:rPr>
          <w:rtl/>
        </w:rPr>
      </w:pPr>
      <w:r>
        <w:rPr>
          <w:rFonts w:hint="cs"/>
          <w:rtl/>
        </w:rPr>
        <w:t>وجه اندراج الفرع تحت القاعدة:</w:t>
      </w:r>
    </w:p>
    <w:p w:rsidR="00F665A6" w:rsidRPr="00FB61AE" w:rsidRDefault="00173F8B" w:rsidP="00597C20">
      <w:pPr>
        <w:ind w:firstLine="720"/>
        <w:rPr>
          <w:color w:val="auto"/>
          <w:rtl/>
        </w:rPr>
      </w:pPr>
      <w:r>
        <w:rPr>
          <w:rFonts w:hint="cs"/>
          <w:color w:val="auto"/>
          <w:rtl/>
        </w:rPr>
        <w:t>إ</w:t>
      </w:r>
      <w:r w:rsidR="00F665A6" w:rsidRPr="00FB61AE">
        <w:rPr>
          <w:rFonts w:hint="cs"/>
          <w:color w:val="auto"/>
          <w:rtl/>
        </w:rPr>
        <w:t xml:space="preserve">ن المستقرض </w:t>
      </w:r>
      <w:r>
        <w:rPr>
          <w:rFonts w:hint="cs"/>
          <w:color w:val="auto"/>
          <w:rtl/>
        </w:rPr>
        <w:t>إ</w:t>
      </w:r>
      <w:r w:rsidR="00F665A6" w:rsidRPr="00FB61AE">
        <w:rPr>
          <w:rFonts w:hint="cs"/>
          <w:color w:val="auto"/>
          <w:rtl/>
        </w:rPr>
        <w:t>ذا رد المثل في هذه الحال</w:t>
      </w:r>
      <w:r w:rsidR="00F665A6" w:rsidRPr="00BF5886">
        <w:rPr>
          <w:rFonts w:ascii="Traditional Arabic" w:hAnsi="Traditional Arabic"/>
          <w:color w:val="auto"/>
          <w:rtl/>
        </w:rPr>
        <w:t xml:space="preserve"> ﻓﺈنه</w:t>
      </w:r>
      <w:r w:rsidR="00F665A6" w:rsidRPr="00FB61AE">
        <w:rPr>
          <w:rFonts w:hint="cs"/>
          <w:color w:val="auto"/>
          <w:rtl/>
        </w:rPr>
        <w:t xml:space="preserve"> سيشتريه بأضعاف</w:t>
      </w:r>
      <w:r w:rsidR="00F665A6" w:rsidRPr="00FB61AE">
        <w:rPr>
          <w:rFonts w:ascii="Traditional Arabic" w:hAnsi="Traditional Arabic"/>
          <w:color w:val="auto"/>
          <w:rtl/>
        </w:rPr>
        <w:t>ِ</w:t>
      </w:r>
      <w:r w:rsidR="00F665A6" w:rsidRPr="00FB61AE">
        <w:rPr>
          <w:rFonts w:hint="cs"/>
          <w:color w:val="auto"/>
          <w:rtl/>
        </w:rPr>
        <w:t xml:space="preserve"> أضعاف</w:t>
      </w:r>
      <w:r w:rsidR="00F665A6" w:rsidRPr="00FB61AE">
        <w:rPr>
          <w:rFonts w:ascii="Traditional Arabic" w:hAnsi="Traditional Arabic"/>
          <w:color w:val="auto"/>
          <w:rtl/>
        </w:rPr>
        <w:t>ِ</w:t>
      </w:r>
      <w:r w:rsidR="00F665A6" w:rsidRPr="00FB61AE">
        <w:rPr>
          <w:rFonts w:hint="cs"/>
          <w:color w:val="auto"/>
          <w:rtl/>
        </w:rPr>
        <w:t xml:space="preserve"> قيمته</w:t>
      </w:r>
      <w:r w:rsidR="00F665A6" w:rsidRPr="00FB61AE">
        <w:rPr>
          <w:rFonts w:ascii="Traditional Arabic" w:hAnsi="Traditional Arabic"/>
          <w:color w:val="auto"/>
          <w:rtl/>
        </w:rPr>
        <w:t>ِ</w:t>
      </w:r>
      <w:r w:rsidR="00F665A6" w:rsidRPr="00FB61AE">
        <w:rPr>
          <w:rFonts w:hint="cs"/>
          <w:color w:val="auto"/>
          <w:rtl/>
        </w:rPr>
        <w:t>،</w:t>
      </w:r>
      <w:r w:rsidR="00154102" w:rsidRPr="00FB61AE">
        <w:rPr>
          <w:rFonts w:hint="cs"/>
          <w:color w:val="auto"/>
          <w:rtl/>
        </w:rPr>
        <w:t xml:space="preserve"> </w:t>
      </w:r>
      <w:r w:rsidR="00154102" w:rsidRPr="00BF5886">
        <w:rPr>
          <w:rFonts w:ascii="Traditional Arabic" w:hAnsi="Traditional Arabic"/>
          <w:color w:val="auto"/>
          <w:rtl/>
        </w:rPr>
        <w:t>و</w:t>
      </w:r>
      <w:r w:rsidR="00F665A6" w:rsidRPr="00BF5886">
        <w:rPr>
          <w:rFonts w:ascii="Traditional Arabic" w:hAnsi="Traditional Arabic"/>
          <w:color w:val="auto"/>
          <w:rtl/>
        </w:rPr>
        <w:t>هذا</w:t>
      </w:r>
      <w:r w:rsidR="00BF5886">
        <w:rPr>
          <w:rFonts w:ascii="Traditional Arabic" w:hAnsi="Traditional Arabic" w:hint="cs"/>
          <w:color w:val="auto"/>
          <w:rtl/>
        </w:rPr>
        <w:t xml:space="preserve"> </w:t>
      </w:r>
      <w:r w:rsidR="00F665A6" w:rsidRPr="00BF5886">
        <w:rPr>
          <w:rFonts w:ascii="Traditional Arabic" w:hAnsi="Traditional Arabic"/>
          <w:color w:val="auto"/>
          <w:rtl/>
        </w:rPr>
        <w:lastRenderedPageBreak/>
        <w:t>ﺇضرر</w:t>
      </w:r>
      <w:r w:rsidR="00F665A6" w:rsidRPr="00FB61AE">
        <w:rPr>
          <w:rFonts w:hint="cs"/>
          <w:color w:val="auto"/>
          <w:rtl/>
        </w:rPr>
        <w:t>،</w:t>
      </w:r>
      <w:r w:rsidR="00154102" w:rsidRPr="00FB61AE">
        <w:rPr>
          <w:rFonts w:hint="cs"/>
          <w:color w:val="auto"/>
          <w:rtl/>
        </w:rPr>
        <w:t xml:space="preserve"> و</w:t>
      </w:r>
      <w:r w:rsidR="00F665A6" w:rsidRPr="00FB61AE">
        <w:rPr>
          <w:rFonts w:hint="cs"/>
          <w:color w:val="auto"/>
          <w:rtl/>
        </w:rPr>
        <w:t xml:space="preserve">قد قال النبي </w:t>
      </w:r>
      <w:r w:rsidR="00F665A6" w:rsidRPr="00FB61AE">
        <w:rPr>
          <w:rFonts w:cs="CTraditional Arabic" w:hint="cs"/>
          <w:color w:val="auto"/>
          <w:rtl/>
        </w:rPr>
        <w:t>&gt;</w:t>
      </w:r>
      <w:r w:rsidR="00F665A6" w:rsidRPr="00FB61AE">
        <w:rPr>
          <w:rFonts w:hint="cs"/>
          <w:color w:val="auto"/>
          <w:rtl/>
        </w:rPr>
        <w:t xml:space="preserve">:" </w:t>
      </w:r>
      <w:r w:rsidR="00F665A6" w:rsidRPr="00BF5886">
        <w:rPr>
          <w:rFonts w:hint="cs"/>
          <w:color w:val="auto"/>
          <w:rtl/>
        </w:rPr>
        <w:t>لا ضرر</w:t>
      </w:r>
      <w:r w:rsidR="00154102" w:rsidRPr="00BF5886">
        <w:rPr>
          <w:rFonts w:hint="cs"/>
          <w:color w:val="auto"/>
          <w:rtl/>
        </w:rPr>
        <w:t xml:space="preserve"> و</w:t>
      </w:r>
      <w:r w:rsidR="00F665A6" w:rsidRPr="00BF5886">
        <w:rPr>
          <w:rFonts w:hint="cs"/>
          <w:color w:val="auto"/>
          <w:rtl/>
        </w:rPr>
        <w:t>لا ضرار</w:t>
      </w:r>
      <w:r w:rsidR="00AB0B9E" w:rsidRPr="00FB61AE">
        <w:rPr>
          <w:rFonts w:ascii="Traditional Arabic" w:hAnsi="Traditional Arabic"/>
          <w:noProof w:val="0"/>
          <w:color w:val="auto"/>
          <w:rtl/>
          <w:lang w:eastAsia="en-US"/>
        </w:rPr>
        <w:fldChar w:fldCharType="begin"/>
      </w:r>
      <w:r w:rsidR="009A0575" w:rsidRPr="00C85F0F">
        <w:instrText>XE</w:instrText>
      </w:r>
      <w:r w:rsidR="009A0575" w:rsidRPr="00C85F0F">
        <w:rPr>
          <w:rtl/>
        </w:rPr>
        <w:instrText xml:space="preserve"> "</w:instrText>
      </w:r>
      <w:r w:rsidR="009A0575" w:rsidRPr="00C85F0F">
        <w:rPr>
          <w:rFonts w:ascii="Traditional Arabic" w:hAnsi="Traditional Arabic" w:hint="cs"/>
          <w:noProof w:val="0"/>
          <w:color w:val="auto"/>
          <w:rtl/>
          <w:lang w:eastAsia="en-US"/>
        </w:rPr>
        <w:instrText>لا ضرر ولا ضرار</w:instrText>
      </w:r>
      <w:r w:rsidR="009A0575" w:rsidRPr="00C85F0F">
        <w:rPr>
          <w:rtl/>
        </w:rPr>
        <w:instrText>" \</w:instrText>
      </w:r>
      <w:r w:rsidR="009A0575" w:rsidRPr="00C85F0F">
        <w:instrText>f</w:instrText>
      </w:r>
      <w:r w:rsidR="009A0575">
        <w:instrText>h</w:instrText>
      </w:r>
      <w:r w:rsidR="00AB0B9E" w:rsidRPr="00FB61AE">
        <w:rPr>
          <w:rFonts w:ascii="Traditional Arabic" w:hAnsi="Traditional Arabic"/>
          <w:noProof w:val="0"/>
          <w:color w:val="auto"/>
          <w:rtl/>
          <w:lang w:eastAsia="en-US"/>
        </w:rPr>
        <w:fldChar w:fldCharType="end"/>
      </w:r>
      <w:r w:rsidR="00F665A6" w:rsidRPr="00FB61AE">
        <w:rPr>
          <w:rFonts w:hint="cs"/>
          <w:color w:val="auto"/>
          <w:rtl/>
        </w:rPr>
        <w:t>"</w:t>
      </w:r>
      <w:r w:rsidR="00F665A6" w:rsidRPr="00C821A1">
        <w:rPr>
          <w:rFonts w:hint="cs"/>
          <w:color w:val="auto"/>
          <w:szCs w:val="32"/>
          <w:vertAlign w:val="superscript"/>
          <w:rtl/>
        </w:rPr>
        <w:t>(</w:t>
      </w:r>
      <w:r w:rsidR="00F665A6" w:rsidRPr="00C821A1">
        <w:rPr>
          <w:rStyle w:val="af1"/>
          <w:color w:val="auto"/>
          <w:szCs w:val="32"/>
          <w:rtl/>
        </w:rPr>
        <w:footnoteReference w:id="940"/>
      </w:r>
      <w:r w:rsidR="00F665A6" w:rsidRPr="00C821A1">
        <w:rPr>
          <w:rFonts w:hint="cs"/>
          <w:color w:val="auto"/>
          <w:szCs w:val="32"/>
          <w:vertAlign w:val="superscript"/>
          <w:rtl/>
        </w:rPr>
        <w:t>)</w:t>
      </w:r>
      <w:r w:rsidR="00F665A6" w:rsidRPr="00FB61AE">
        <w:rPr>
          <w:rFonts w:hint="cs"/>
          <w:color w:val="auto"/>
          <w:rtl/>
        </w:rPr>
        <w:t>؛</w:t>
      </w:r>
      <w:r w:rsidR="00BF5886">
        <w:rPr>
          <w:rFonts w:hint="cs"/>
          <w:color w:val="auto"/>
          <w:rtl/>
        </w:rPr>
        <w:t xml:space="preserve"> </w:t>
      </w:r>
      <w:r w:rsidR="00F665A6" w:rsidRPr="00FB61AE">
        <w:rPr>
          <w:rFonts w:hint="cs"/>
          <w:color w:val="auto"/>
          <w:rtl/>
        </w:rPr>
        <w:t>فلا ي</w:t>
      </w:r>
      <w:r w:rsidR="00F665A6" w:rsidRPr="00FB61AE">
        <w:rPr>
          <w:rFonts w:ascii="Traditional Arabic" w:hAnsi="Traditional Arabic"/>
          <w:color w:val="auto"/>
          <w:rtl/>
        </w:rPr>
        <w:t>ُ</w:t>
      </w:r>
      <w:r w:rsidR="00F665A6" w:rsidRPr="00FB61AE">
        <w:rPr>
          <w:rFonts w:hint="cs"/>
          <w:color w:val="auto"/>
          <w:rtl/>
        </w:rPr>
        <w:t>لز</w:t>
      </w:r>
      <w:r w:rsidR="00F665A6" w:rsidRPr="00FB61AE">
        <w:rPr>
          <w:rFonts w:ascii="Traditional Arabic" w:hAnsi="Traditional Arabic"/>
          <w:color w:val="auto"/>
          <w:rtl/>
        </w:rPr>
        <w:t>َ</w:t>
      </w:r>
      <w:r w:rsidR="00F665A6" w:rsidRPr="00FB61AE">
        <w:rPr>
          <w:rFonts w:hint="cs"/>
          <w:color w:val="auto"/>
          <w:rtl/>
        </w:rPr>
        <w:t>م برد</w:t>
      </w:r>
      <w:r w:rsidR="00F665A6" w:rsidRPr="00FB61AE">
        <w:rPr>
          <w:rFonts w:ascii="Traditional Arabic" w:hAnsi="Traditional Arabic"/>
          <w:color w:val="auto"/>
          <w:rtl/>
        </w:rPr>
        <w:t>ّ</w:t>
      </w:r>
      <w:r w:rsidR="00F665A6" w:rsidRPr="00FB61AE">
        <w:rPr>
          <w:rFonts w:hint="cs"/>
          <w:color w:val="auto"/>
          <w:rtl/>
        </w:rPr>
        <w:t xml:space="preserve"> المثل</w:t>
      </w:r>
      <w:r w:rsidR="00F665A6" w:rsidRPr="00C821A1">
        <w:rPr>
          <w:rFonts w:hint="cs"/>
          <w:color w:val="auto"/>
          <w:szCs w:val="32"/>
          <w:vertAlign w:val="superscript"/>
          <w:rtl/>
        </w:rPr>
        <w:t>(</w:t>
      </w:r>
      <w:r w:rsidR="00F665A6" w:rsidRPr="00C821A1">
        <w:rPr>
          <w:rStyle w:val="af1"/>
          <w:color w:val="auto"/>
          <w:szCs w:val="32"/>
          <w:rtl/>
        </w:rPr>
        <w:footnoteReference w:id="941"/>
      </w:r>
      <w:r w:rsidR="00F665A6" w:rsidRPr="00C821A1">
        <w:rPr>
          <w:rFonts w:hint="cs"/>
          <w:color w:val="auto"/>
          <w:szCs w:val="32"/>
          <w:vertAlign w:val="superscript"/>
          <w:rtl/>
        </w:rPr>
        <w:t>)</w:t>
      </w:r>
      <w:r w:rsidR="00F665A6" w:rsidRPr="00FB61AE">
        <w:rPr>
          <w:rFonts w:hint="cs"/>
          <w:color w:val="auto"/>
          <w:rtl/>
        </w:rPr>
        <w:t>.</w:t>
      </w:r>
    </w:p>
    <w:p w:rsidR="00065E4B" w:rsidRPr="00B44E89" w:rsidRDefault="00F665A6" w:rsidP="000A76C7">
      <w:pPr>
        <w:pStyle w:val="afc"/>
        <w:numPr>
          <w:ilvl w:val="0"/>
          <w:numId w:val="130"/>
        </w:numPr>
        <w:rPr>
          <w:color w:val="auto"/>
        </w:rPr>
      </w:pPr>
      <w:r w:rsidRPr="00BF5886">
        <w:rPr>
          <w:rFonts w:ascii="Traditional Arabic" w:hAnsi="Traditional Arabic"/>
          <w:color w:val="auto"/>
          <w:rtl/>
        </w:rPr>
        <w:t>ﺇذا أراد الراهِن</w:t>
      </w:r>
      <w:r>
        <w:rPr>
          <w:rFonts w:hint="cs"/>
          <w:color w:val="auto"/>
          <w:rtl/>
        </w:rPr>
        <w:t xml:space="preserve"> تأجير الر</w:t>
      </w:r>
      <w:r>
        <w:rPr>
          <w:rFonts w:ascii="Traditional Arabic" w:hAnsi="Traditional Arabic"/>
          <w:color w:val="auto"/>
          <w:rtl/>
        </w:rPr>
        <w:t>ّ</w:t>
      </w:r>
      <w:r>
        <w:rPr>
          <w:rFonts w:hint="cs"/>
          <w:color w:val="auto"/>
          <w:rtl/>
        </w:rPr>
        <w:t>ه</w:t>
      </w:r>
      <w:r>
        <w:rPr>
          <w:rFonts w:ascii="Traditional Arabic" w:hAnsi="Traditional Arabic"/>
          <w:color w:val="auto"/>
          <w:rtl/>
        </w:rPr>
        <w:t>ْ</w:t>
      </w:r>
      <w:r>
        <w:rPr>
          <w:rFonts w:hint="cs"/>
          <w:color w:val="auto"/>
          <w:rtl/>
        </w:rPr>
        <w:t>ن</w:t>
      </w:r>
      <w:r w:rsidR="00154102">
        <w:rPr>
          <w:rFonts w:hint="cs"/>
          <w:color w:val="auto"/>
          <w:rtl/>
        </w:rPr>
        <w:t xml:space="preserve"> و</w:t>
      </w:r>
      <w:r>
        <w:rPr>
          <w:rFonts w:hint="cs"/>
          <w:color w:val="auto"/>
          <w:rtl/>
        </w:rPr>
        <w:t>الانتفاع بأ</w:t>
      </w:r>
      <w:r>
        <w:rPr>
          <w:rFonts w:ascii="Traditional Arabic" w:hAnsi="Traditional Arabic"/>
          <w:color w:val="auto"/>
          <w:rtl/>
        </w:rPr>
        <w:t>ُ</w:t>
      </w:r>
      <w:r>
        <w:rPr>
          <w:rFonts w:hint="cs"/>
          <w:color w:val="auto"/>
          <w:rtl/>
        </w:rPr>
        <w:t>ج</w:t>
      </w:r>
      <w:r>
        <w:rPr>
          <w:rFonts w:ascii="Traditional Arabic" w:hAnsi="Traditional Arabic"/>
          <w:color w:val="auto"/>
          <w:rtl/>
        </w:rPr>
        <w:t>ْ</w:t>
      </w:r>
      <w:r>
        <w:rPr>
          <w:rFonts w:hint="cs"/>
          <w:color w:val="auto"/>
          <w:rtl/>
        </w:rPr>
        <w:t>رته على وجه لا يضيع به حق المرته</w:t>
      </w:r>
      <w:r>
        <w:rPr>
          <w:rFonts w:ascii="Traditional Arabic" w:hAnsi="Traditional Arabic"/>
          <w:color w:val="auto"/>
          <w:rtl/>
        </w:rPr>
        <w:t>ِ</w:t>
      </w:r>
      <w:r>
        <w:rPr>
          <w:rFonts w:hint="cs"/>
          <w:color w:val="auto"/>
          <w:rtl/>
        </w:rPr>
        <w:t>ن</w:t>
      </w:r>
      <w:r w:rsidR="00154102">
        <w:rPr>
          <w:rFonts w:hint="cs"/>
          <w:color w:val="auto"/>
          <w:rtl/>
        </w:rPr>
        <w:t xml:space="preserve"> </w:t>
      </w:r>
      <w:r w:rsidR="00BF5886">
        <w:rPr>
          <w:rFonts w:hint="cs"/>
          <w:color w:val="auto"/>
          <w:rtl/>
        </w:rPr>
        <w:t xml:space="preserve"> </w:t>
      </w:r>
      <w:r w:rsidR="00154102" w:rsidRPr="00BF5886">
        <w:rPr>
          <w:rFonts w:hint="cs"/>
          <w:color w:val="auto"/>
          <w:rtl/>
        </w:rPr>
        <w:t>و</w:t>
      </w:r>
      <w:r w:rsidRPr="00BF5886">
        <w:rPr>
          <w:rFonts w:hint="cs"/>
          <w:color w:val="auto"/>
          <w:rtl/>
        </w:rPr>
        <w:t>لا يضر</w:t>
      </w:r>
      <w:r w:rsidR="00BF5886">
        <w:rPr>
          <w:rFonts w:hint="cs"/>
          <w:color w:val="auto"/>
          <w:rtl/>
        </w:rPr>
        <w:t>ُّ</w:t>
      </w:r>
      <w:r w:rsidRPr="00BF5886">
        <w:rPr>
          <w:rFonts w:hint="cs"/>
          <w:color w:val="auto"/>
          <w:rtl/>
        </w:rPr>
        <w:t xml:space="preserve"> به</w:t>
      </w:r>
      <w:r>
        <w:rPr>
          <w:rFonts w:hint="cs"/>
          <w:color w:val="auto"/>
          <w:rtl/>
        </w:rPr>
        <w:t>، فإنه ي</w:t>
      </w:r>
      <w:r>
        <w:rPr>
          <w:rFonts w:ascii="Traditional Arabic" w:hAnsi="Traditional Arabic"/>
          <w:color w:val="auto"/>
          <w:rtl/>
        </w:rPr>
        <w:t>ُ</w:t>
      </w:r>
      <w:r>
        <w:rPr>
          <w:rFonts w:hint="cs"/>
          <w:color w:val="auto"/>
          <w:rtl/>
        </w:rPr>
        <w:t>ج</w:t>
      </w:r>
      <w:r>
        <w:rPr>
          <w:rFonts w:ascii="Traditional Arabic" w:hAnsi="Traditional Arabic"/>
          <w:color w:val="auto"/>
          <w:rtl/>
        </w:rPr>
        <w:t>ْ</w:t>
      </w:r>
      <w:r>
        <w:rPr>
          <w:rFonts w:hint="cs"/>
          <w:color w:val="auto"/>
          <w:rtl/>
        </w:rPr>
        <w:t>ب</w:t>
      </w:r>
      <w:r>
        <w:rPr>
          <w:rFonts w:ascii="Traditional Arabic" w:hAnsi="Traditional Arabic"/>
          <w:color w:val="auto"/>
          <w:rtl/>
        </w:rPr>
        <w:t>َ</w:t>
      </w:r>
      <w:r>
        <w:rPr>
          <w:rFonts w:hint="cs"/>
          <w:color w:val="auto"/>
          <w:rtl/>
        </w:rPr>
        <w:t>ر المرتِهن على استغلال هذا النف</w:t>
      </w:r>
      <w:r>
        <w:rPr>
          <w:rFonts w:ascii="Traditional Arabic" w:hAnsi="Traditional Arabic"/>
          <w:color w:val="auto"/>
          <w:rtl/>
        </w:rPr>
        <w:t>ْ</w:t>
      </w:r>
      <w:r>
        <w:rPr>
          <w:rFonts w:hint="cs"/>
          <w:color w:val="auto"/>
          <w:rtl/>
        </w:rPr>
        <w:t>ع</w:t>
      </w:r>
      <w:r w:rsidRPr="00C821A1">
        <w:rPr>
          <w:rFonts w:hint="cs"/>
          <w:color w:val="auto"/>
          <w:szCs w:val="32"/>
          <w:vertAlign w:val="superscript"/>
          <w:rtl/>
        </w:rPr>
        <w:t>(</w:t>
      </w:r>
      <w:r w:rsidRPr="00C821A1">
        <w:rPr>
          <w:rStyle w:val="af1"/>
          <w:color w:val="auto"/>
          <w:szCs w:val="32"/>
          <w:rtl/>
        </w:rPr>
        <w:footnoteReference w:id="942"/>
      </w:r>
      <w:r w:rsidRPr="00C821A1">
        <w:rPr>
          <w:rFonts w:hint="cs"/>
          <w:color w:val="auto"/>
          <w:szCs w:val="32"/>
          <w:vertAlign w:val="superscript"/>
          <w:rtl/>
        </w:rPr>
        <w:t>)</w:t>
      </w:r>
      <w:r w:rsidRPr="00B44E89">
        <w:rPr>
          <w:rFonts w:hint="cs"/>
          <w:color w:val="auto"/>
          <w:vertAlign w:val="superscript"/>
          <w:rtl/>
        </w:rPr>
        <w:t>.</w:t>
      </w:r>
    </w:p>
    <w:p w:rsidR="00065E4B" w:rsidRPr="00B44E89" w:rsidRDefault="00065E4B" w:rsidP="00597C20">
      <w:pPr>
        <w:pStyle w:val="53"/>
        <w:rPr>
          <w:rtl/>
        </w:rPr>
      </w:pPr>
      <w:r w:rsidRPr="00B44E89">
        <w:rPr>
          <w:rFonts w:hint="cs"/>
          <w:rtl/>
        </w:rPr>
        <w:t>و</w:t>
      </w:r>
      <w:r w:rsidR="00F228A9" w:rsidRPr="00B44E89">
        <w:rPr>
          <w:rFonts w:hint="cs"/>
          <w:rtl/>
        </w:rPr>
        <w:t>جه اندراج الفرع تحت القاعدة:</w:t>
      </w:r>
    </w:p>
    <w:p w:rsidR="00F665A6" w:rsidRDefault="00065E4B" w:rsidP="00597C20">
      <w:pPr>
        <w:ind w:firstLine="720"/>
        <w:rPr>
          <w:color w:val="auto"/>
          <w:rtl/>
        </w:rPr>
      </w:pPr>
      <w:r w:rsidRPr="004E1AE6">
        <w:rPr>
          <w:rFonts w:hint="cs"/>
          <w:color w:val="auto"/>
          <w:rtl/>
        </w:rPr>
        <w:t>ي</w:t>
      </w:r>
      <w:r w:rsidR="00F665A6" w:rsidRPr="004E1AE6">
        <w:rPr>
          <w:rFonts w:ascii="Traditional Arabic" w:hAnsi="Traditional Arabic"/>
          <w:color w:val="auto"/>
          <w:rtl/>
        </w:rPr>
        <w:t>ُ</w:t>
      </w:r>
      <w:r w:rsidR="00F665A6" w:rsidRPr="004E1AE6">
        <w:rPr>
          <w:rFonts w:hint="cs"/>
          <w:color w:val="auto"/>
          <w:rtl/>
        </w:rPr>
        <w:t>جب</w:t>
      </w:r>
      <w:r w:rsidR="00F665A6" w:rsidRPr="004E1AE6">
        <w:rPr>
          <w:rFonts w:ascii="Traditional Arabic" w:hAnsi="Traditional Arabic"/>
          <w:color w:val="auto"/>
          <w:rtl/>
        </w:rPr>
        <w:t>َ</w:t>
      </w:r>
      <w:r w:rsidR="00F665A6" w:rsidRPr="004E1AE6">
        <w:rPr>
          <w:rFonts w:hint="cs"/>
          <w:color w:val="auto"/>
          <w:rtl/>
        </w:rPr>
        <w:t>ر المرتهن على أن يوافق على التأجير؛</w:t>
      </w:r>
      <w:r w:rsidR="00ED3461">
        <w:rPr>
          <w:rFonts w:hint="cs"/>
          <w:color w:val="auto"/>
          <w:rtl/>
        </w:rPr>
        <w:t xml:space="preserve"> </w:t>
      </w:r>
      <w:r w:rsidR="00F665A6" w:rsidRPr="004E1AE6">
        <w:rPr>
          <w:rFonts w:hint="cs"/>
          <w:color w:val="auto"/>
          <w:rtl/>
        </w:rPr>
        <w:t>لأن في ت</w:t>
      </w:r>
      <w:r w:rsidR="00F665A6" w:rsidRPr="004E1AE6">
        <w:rPr>
          <w:rFonts w:ascii="Traditional Arabic" w:hAnsi="Traditional Arabic"/>
          <w:color w:val="auto"/>
          <w:rtl/>
        </w:rPr>
        <w:t>َ</w:t>
      </w:r>
      <w:r w:rsidR="00F665A6" w:rsidRPr="004E1AE6">
        <w:rPr>
          <w:rFonts w:hint="cs"/>
          <w:color w:val="auto"/>
          <w:rtl/>
        </w:rPr>
        <w:t>ر</w:t>
      </w:r>
      <w:r w:rsidR="00F665A6" w:rsidRPr="004E1AE6">
        <w:rPr>
          <w:rFonts w:ascii="Traditional Arabic" w:hAnsi="Traditional Arabic"/>
          <w:color w:val="auto"/>
          <w:rtl/>
        </w:rPr>
        <w:t>ْ</w:t>
      </w:r>
      <w:r w:rsidR="00F665A6" w:rsidRPr="004E1AE6">
        <w:rPr>
          <w:rFonts w:hint="cs"/>
          <w:color w:val="auto"/>
          <w:rtl/>
        </w:rPr>
        <w:t>ك الرهن</w:t>
      </w:r>
      <w:r w:rsidR="00154102">
        <w:rPr>
          <w:rFonts w:hint="cs"/>
          <w:color w:val="auto"/>
          <w:rtl/>
        </w:rPr>
        <w:t xml:space="preserve"> </w:t>
      </w:r>
      <w:r w:rsidR="00154102" w:rsidRPr="00BF5886">
        <w:rPr>
          <w:rFonts w:ascii="Traditional Arabic" w:hAnsi="Traditional Arabic"/>
          <w:color w:val="auto"/>
          <w:rtl/>
        </w:rPr>
        <w:t>و</w:t>
      </w:r>
      <w:r w:rsidR="00F665A6" w:rsidRPr="00BF5886">
        <w:rPr>
          <w:rFonts w:ascii="Traditional Arabic" w:hAnsi="Traditional Arabic"/>
          <w:color w:val="auto"/>
          <w:rtl/>
        </w:rPr>
        <w:t>ﺇهماله ﺇضاعةً للمال</w:t>
      </w:r>
      <w:r w:rsidR="00F665A6" w:rsidRPr="004E1AE6">
        <w:rPr>
          <w:rFonts w:hint="cs"/>
          <w:color w:val="auto"/>
          <w:rtl/>
        </w:rPr>
        <w:t>،</w:t>
      </w:r>
      <w:r w:rsidR="00154102">
        <w:rPr>
          <w:rFonts w:hint="cs"/>
          <w:color w:val="auto"/>
          <w:rtl/>
        </w:rPr>
        <w:t xml:space="preserve"> </w:t>
      </w:r>
      <w:r w:rsidR="00154102" w:rsidRPr="00BF5886">
        <w:rPr>
          <w:rFonts w:hint="cs"/>
          <w:color w:val="auto"/>
          <w:rtl/>
        </w:rPr>
        <w:t>و</w:t>
      </w:r>
      <w:r w:rsidR="00F665A6" w:rsidRPr="00BF5886">
        <w:rPr>
          <w:rFonts w:hint="cs"/>
          <w:color w:val="auto"/>
          <w:rtl/>
        </w:rPr>
        <w:t>ضرر</w:t>
      </w:r>
      <w:r w:rsidR="00F665A6" w:rsidRPr="00BF5886">
        <w:rPr>
          <w:rFonts w:ascii="Traditional Arabic" w:hAnsi="Traditional Arabic"/>
          <w:color w:val="auto"/>
          <w:rtl/>
        </w:rPr>
        <w:t>ً</w:t>
      </w:r>
      <w:r w:rsidR="00F665A6" w:rsidRPr="00BF5886">
        <w:rPr>
          <w:rFonts w:hint="cs"/>
          <w:color w:val="auto"/>
          <w:rtl/>
        </w:rPr>
        <w:t>ا على الراهن</w:t>
      </w:r>
      <w:r w:rsidR="00F665A6">
        <w:rPr>
          <w:rFonts w:hint="cs"/>
          <w:color w:val="auto"/>
          <w:rtl/>
        </w:rPr>
        <w:t>،</w:t>
      </w:r>
      <w:r w:rsidR="00154102">
        <w:rPr>
          <w:rFonts w:hint="cs"/>
          <w:color w:val="auto"/>
          <w:rtl/>
        </w:rPr>
        <w:t xml:space="preserve"> و</w:t>
      </w:r>
      <w:r w:rsidR="00F665A6">
        <w:rPr>
          <w:rFonts w:hint="cs"/>
          <w:color w:val="auto"/>
          <w:rtl/>
        </w:rPr>
        <w:t xml:space="preserve">الضرر منتف </w:t>
      </w:r>
      <w:r w:rsidR="00F665A6" w:rsidRPr="00BF5886">
        <w:rPr>
          <w:rFonts w:hint="cs"/>
          <w:color w:val="auto"/>
          <w:rtl/>
        </w:rPr>
        <w:t>شرعا</w:t>
      </w:r>
      <w:r w:rsidR="00F665A6" w:rsidRPr="00C821A1">
        <w:rPr>
          <w:rFonts w:hint="cs"/>
          <w:color w:val="auto"/>
          <w:szCs w:val="32"/>
          <w:vertAlign w:val="superscript"/>
          <w:rtl/>
        </w:rPr>
        <w:t>(</w:t>
      </w:r>
      <w:r w:rsidR="00F665A6" w:rsidRPr="00C821A1">
        <w:rPr>
          <w:rStyle w:val="af1"/>
          <w:color w:val="auto"/>
          <w:szCs w:val="32"/>
          <w:rtl/>
        </w:rPr>
        <w:footnoteReference w:id="943"/>
      </w:r>
      <w:r w:rsidR="00F665A6" w:rsidRPr="00C821A1">
        <w:rPr>
          <w:rFonts w:hint="cs"/>
          <w:color w:val="auto"/>
          <w:szCs w:val="32"/>
          <w:vertAlign w:val="superscript"/>
          <w:rtl/>
        </w:rPr>
        <w:t>)</w:t>
      </w:r>
      <w:r w:rsidR="00F665A6" w:rsidRPr="004E1AE6">
        <w:rPr>
          <w:rFonts w:hint="cs"/>
          <w:color w:val="auto"/>
          <w:rtl/>
        </w:rPr>
        <w:t>.</w:t>
      </w:r>
    </w:p>
    <w:p w:rsidR="00F665A6" w:rsidRPr="004E1AE6" w:rsidRDefault="00F665A6" w:rsidP="000A76C7">
      <w:pPr>
        <w:pStyle w:val="afc"/>
        <w:numPr>
          <w:ilvl w:val="0"/>
          <w:numId w:val="130"/>
        </w:numPr>
        <w:jc w:val="left"/>
        <w:rPr>
          <w:color w:val="auto"/>
          <w:rtl/>
        </w:rPr>
      </w:pPr>
      <w:r>
        <w:rPr>
          <w:rFonts w:hint="cs"/>
          <w:color w:val="auto"/>
          <w:rtl/>
        </w:rPr>
        <w:t>لا ي</w:t>
      </w:r>
      <w:r>
        <w:rPr>
          <w:rFonts w:ascii="Traditional Arabic" w:hAnsi="Traditional Arabic"/>
          <w:color w:val="auto"/>
          <w:rtl/>
        </w:rPr>
        <w:t>ُ</w:t>
      </w:r>
      <w:r>
        <w:rPr>
          <w:rFonts w:hint="cs"/>
          <w:color w:val="auto"/>
          <w:rtl/>
        </w:rPr>
        <w:t>عتب</w:t>
      </w:r>
      <w:r>
        <w:rPr>
          <w:rFonts w:ascii="Traditional Arabic" w:hAnsi="Traditional Arabic"/>
          <w:color w:val="auto"/>
          <w:rtl/>
        </w:rPr>
        <w:t>َ</w:t>
      </w:r>
      <w:r>
        <w:rPr>
          <w:rFonts w:hint="cs"/>
          <w:color w:val="auto"/>
          <w:rtl/>
        </w:rPr>
        <w:t>ر ر</w:t>
      </w:r>
      <w:r>
        <w:rPr>
          <w:rFonts w:ascii="Traditional Arabic" w:hAnsi="Traditional Arabic"/>
          <w:color w:val="auto"/>
          <w:rtl/>
        </w:rPr>
        <w:t>ِ</w:t>
      </w:r>
      <w:r>
        <w:rPr>
          <w:rFonts w:hint="cs"/>
          <w:color w:val="auto"/>
          <w:rtl/>
        </w:rPr>
        <w:t>ضا المكفول في الكفالة</w:t>
      </w:r>
      <w:r w:rsidRPr="00BF5886">
        <w:rPr>
          <w:rFonts w:ascii="Traditional Arabic" w:hAnsi="Traditional Arabic"/>
          <w:color w:val="auto"/>
          <w:rtl/>
        </w:rPr>
        <w:t xml:space="preserve"> ﺇلا</w:t>
      </w:r>
      <w:r>
        <w:rPr>
          <w:rFonts w:ascii="Traditional Arabic" w:hAnsi="Traditional Arabic" w:hint="cs"/>
          <w:color w:val="auto"/>
          <w:rtl/>
        </w:rPr>
        <w:t xml:space="preserve"> </w:t>
      </w:r>
      <w:r>
        <w:rPr>
          <w:rFonts w:ascii="Traditional Arabic" w:hAnsi="Traditional Arabic"/>
          <w:color w:val="auto"/>
          <w:rtl/>
        </w:rPr>
        <w:t>ﺇ</w:t>
      </w:r>
      <w:r>
        <w:rPr>
          <w:rFonts w:ascii="Traditional Arabic" w:hAnsi="Traditional Arabic" w:hint="cs"/>
          <w:color w:val="auto"/>
          <w:rtl/>
        </w:rPr>
        <w:t>ذا</w:t>
      </w:r>
      <w:r w:rsidR="00ED3461">
        <w:rPr>
          <w:rFonts w:ascii="Traditional Arabic" w:hAnsi="Traditional Arabic" w:hint="cs"/>
          <w:color w:val="auto"/>
          <w:rtl/>
        </w:rPr>
        <w:t xml:space="preserve"> </w:t>
      </w:r>
      <w:r>
        <w:rPr>
          <w:rFonts w:ascii="Traditional Arabic" w:hAnsi="Traditional Arabic" w:hint="cs"/>
          <w:color w:val="auto"/>
          <w:rtl/>
        </w:rPr>
        <w:t>كان ذلك يضر</w:t>
      </w:r>
      <w:r>
        <w:rPr>
          <w:rFonts w:ascii="Traditional Arabic" w:hAnsi="Traditional Arabic"/>
          <w:color w:val="auto"/>
          <w:rtl/>
        </w:rPr>
        <w:t>ّ</w:t>
      </w:r>
      <w:r>
        <w:rPr>
          <w:rFonts w:ascii="Traditional Arabic" w:hAnsi="Traditional Arabic" w:hint="cs"/>
          <w:color w:val="auto"/>
          <w:rtl/>
        </w:rPr>
        <w:t xml:space="preserve"> ب</w:t>
      </w:r>
      <w:r>
        <w:rPr>
          <w:rFonts w:ascii="Traditional Arabic" w:hAnsi="Traditional Arabic"/>
          <w:color w:val="auto"/>
          <w:rtl/>
        </w:rPr>
        <w:t>ِ</w:t>
      </w:r>
      <w:r>
        <w:rPr>
          <w:rFonts w:ascii="Traditional Arabic" w:hAnsi="Traditional Arabic" w:hint="cs"/>
          <w:color w:val="auto"/>
          <w:rtl/>
        </w:rPr>
        <w:t>س</w:t>
      </w:r>
      <w:r>
        <w:rPr>
          <w:rFonts w:ascii="Traditional Arabic" w:hAnsi="Traditional Arabic"/>
          <w:color w:val="auto"/>
          <w:rtl/>
        </w:rPr>
        <w:t>ُ</w:t>
      </w:r>
      <w:r>
        <w:rPr>
          <w:rFonts w:ascii="Traditional Arabic" w:hAnsi="Traditional Arabic" w:hint="cs"/>
          <w:color w:val="auto"/>
          <w:rtl/>
        </w:rPr>
        <w:t>م</w:t>
      </w:r>
      <w:r>
        <w:rPr>
          <w:rFonts w:ascii="Traditional Arabic" w:hAnsi="Traditional Arabic"/>
          <w:color w:val="auto"/>
          <w:rtl/>
        </w:rPr>
        <w:t>ْ</w:t>
      </w:r>
      <w:r>
        <w:rPr>
          <w:rFonts w:ascii="Traditional Arabic" w:hAnsi="Traditional Arabic" w:hint="cs"/>
          <w:color w:val="auto"/>
          <w:rtl/>
        </w:rPr>
        <w:t>ع</w:t>
      </w:r>
      <w:r>
        <w:rPr>
          <w:rFonts w:ascii="Traditional Arabic" w:hAnsi="Traditional Arabic"/>
          <w:color w:val="auto"/>
          <w:rtl/>
        </w:rPr>
        <w:t>َ</w:t>
      </w:r>
      <w:r>
        <w:rPr>
          <w:rFonts w:ascii="Traditional Arabic" w:hAnsi="Traditional Arabic" w:hint="cs"/>
          <w:color w:val="auto"/>
          <w:rtl/>
        </w:rPr>
        <w:t>ته،</w:t>
      </w:r>
      <w:r w:rsidR="00BF5886">
        <w:rPr>
          <w:rFonts w:ascii="Traditional Arabic" w:hAnsi="Traditional Arabic" w:hint="cs"/>
          <w:color w:val="auto"/>
          <w:rtl/>
        </w:rPr>
        <w:t xml:space="preserve"> </w:t>
      </w:r>
      <w:r>
        <w:rPr>
          <w:rFonts w:ascii="Traditional Arabic" w:hAnsi="Traditional Arabic"/>
          <w:color w:val="auto"/>
          <w:rtl/>
        </w:rPr>
        <w:t>ﻓﺈ</w:t>
      </w:r>
      <w:r>
        <w:rPr>
          <w:rFonts w:ascii="Traditional Arabic" w:hAnsi="Traditional Arabic" w:hint="cs"/>
          <w:color w:val="auto"/>
          <w:rtl/>
        </w:rPr>
        <w:t>نه لا يجوز أن يتقد</w:t>
      </w:r>
      <w:r>
        <w:rPr>
          <w:rFonts w:ascii="Traditional Arabic" w:hAnsi="Traditional Arabic"/>
          <w:color w:val="auto"/>
          <w:rtl/>
        </w:rPr>
        <w:t>ّ</w:t>
      </w:r>
      <w:r>
        <w:rPr>
          <w:rFonts w:ascii="Traditional Arabic" w:hAnsi="Traditional Arabic" w:hint="cs"/>
          <w:color w:val="auto"/>
          <w:rtl/>
        </w:rPr>
        <w:t>م أحد في كفالته</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44"/>
      </w:r>
      <w:r w:rsidRPr="00C821A1">
        <w:rPr>
          <w:rFonts w:ascii="Traditional Arabic" w:hAnsi="Traditional Arabic" w:hint="cs"/>
          <w:color w:val="auto"/>
          <w:szCs w:val="32"/>
          <w:vertAlign w:val="superscript"/>
          <w:rtl/>
        </w:rPr>
        <w:t>)</w:t>
      </w:r>
      <w:r>
        <w:rPr>
          <w:rFonts w:ascii="Traditional Arabic" w:hAnsi="Traditional Arabic" w:hint="cs"/>
          <w:color w:val="auto"/>
          <w:rtl/>
        </w:rPr>
        <w:t>.</w:t>
      </w:r>
    </w:p>
    <w:p w:rsidR="00F665A6" w:rsidRDefault="00F665A6" w:rsidP="00597C20">
      <w:pPr>
        <w:pStyle w:val="53"/>
        <w:rPr>
          <w:rtl/>
        </w:rPr>
      </w:pPr>
      <w:r w:rsidRPr="00B44E89">
        <w:rPr>
          <w:rFonts w:hint="cs"/>
          <w:rtl/>
        </w:rPr>
        <w:t>وجه اندراج الفرع تحت القاعدة:</w:t>
      </w:r>
    </w:p>
    <w:p w:rsidR="00F665A6" w:rsidRPr="00BF5886" w:rsidRDefault="00F665A6" w:rsidP="00597C20">
      <w:pPr>
        <w:ind w:firstLine="720"/>
        <w:jc w:val="left"/>
        <w:rPr>
          <w:color w:val="auto"/>
        </w:rPr>
      </w:pPr>
      <w:r w:rsidRPr="00FB61AE">
        <w:rPr>
          <w:rFonts w:hint="cs"/>
          <w:color w:val="auto"/>
          <w:rtl/>
        </w:rPr>
        <w:t xml:space="preserve">لما كانت هذه الكفالة </w:t>
      </w:r>
      <w:r w:rsidRPr="00BF5886">
        <w:rPr>
          <w:rFonts w:hint="cs"/>
          <w:color w:val="auto"/>
          <w:rtl/>
        </w:rPr>
        <w:t>تضر</w:t>
      </w:r>
      <w:r w:rsidRPr="00BF5886">
        <w:rPr>
          <w:rFonts w:ascii="Traditional Arabic" w:hAnsi="Traditional Arabic"/>
          <w:color w:val="auto"/>
          <w:rtl/>
        </w:rPr>
        <w:t>ّ</w:t>
      </w:r>
      <w:r w:rsidRPr="00BF5886">
        <w:rPr>
          <w:rFonts w:hint="cs"/>
          <w:color w:val="auto"/>
          <w:rtl/>
        </w:rPr>
        <w:t xml:space="preserve"> بسُمعة</w:t>
      </w:r>
      <w:r w:rsidRPr="00FB61AE">
        <w:rPr>
          <w:rFonts w:hint="cs"/>
          <w:color w:val="auto"/>
          <w:rtl/>
        </w:rPr>
        <w:t xml:space="preserve"> المكفول </w:t>
      </w:r>
      <w:r w:rsidRPr="00BF5886">
        <w:rPr>
          <w:rFonts w:hint="cs"/>
          <w:color w:val="auto"/>
          <w:rtl/>
        </w:rPr>
        <w:t>م</w:t>
      </w:r>
      <w:r w:rsidRPr="00BF5886">
        <w:rPr>
          <w:rFonts w:ascii="Traditional Arabic" w:hAnsi="Traditional Arabic"/>
          <w:color w:val="auto"/>
          <w:rtl/>
        </w:rPr>
        <w:t>ُ</w:t>
      </w:r>
      <w:r w:rsidRPr="00BF5886">
        <w:rPr>
          <w:rFonts w:hint="cs"/>
          <w:color w:val="auto"/>
          <w:rtl/>
        </w:rPr>
        <w:t>ن</w:t>
      </w:r>
      <w:r w:rsidRPr="00BF5886">
        <w:rPr>
          <w:rFonts w:ascii="Traditional Arabic" w:hAnsi="Traditional Arabic"/>
          <w:color w:val="auto"/>
          <w:rtl/>
        </w:rPr>
        <w:t>ِ</w:t>
      </w:r>
      <w:r w:rsidRPr="00BF5886">
        <w:rPr>
          <w:rFonts w:hint="cs"/>
          <w:color w:val="auto"/>
          <w:rtl/>
        </w:rPr>
        <w:t>ع</w:t>
      </w:r>
      <w:r w:rsidRPr="00BF5886">
        <w:rPr>
          <w:rFonts w:ascii="Traditional Arabic" w:hAnsi="Traditional Arabic"/>
          <w:color w:val="auto"/>
          <w:rtl/>
        </w:rPr>
        <w:t>َ</w:t>
      </w:r>
      <w:r w:rsidRPr="00BF5886">
        <w:rPr>
          <w:rFonts w:hint="cs"/>
          <w:color w:val="auto"/>
          <w:rtl/>
        </w:rPr>
        <w:t>ت</w:t>
      </w:r>
      <w:r w:rsidRPr="00BF5886">
        <w:rPr>
          <w:rFonts w:ascii="Traditional Arabic" w:hAnsi="Traditional Arabic"/>
          <w:color w:val="auto"/>
          <w:rtl/>
        </w:rPr>
        <w:t>ْ</w:t>
      </w:r>
      <w:r w:rsidRPr="00BF5886">
        <w:rPr>
          <w:rFonts w:hint="cs"/>
          <w:color w:val="auto"/>
          <w:rtl/>
        </w:rPr>
        <w:t xml:space="preserve"> دف</w:t>
      </w:r>
      <w:r w:rsidRPr="00BF5886">
        <w:rPr>
          <w:rFonts w:ascii="Traditional Arabic" w:hAnsi="Traditional Arabic"/>
          <w:color w:val="auto"/>
          <w:rtl/>
        </w:rPr>
        <w:t>ْ</w:t>
      </w:r>
      <w:r w:rsidRPr="00BF5886">
        <w:rPr>
          <w:rFonts w:hint="cs"/>
          <w:color w:val="auto"/>
          <w:rtl/>
        </w:rPr>
        <w:t>ع</w:t>
      </w:r>
      <w:r w:rsidRPr="00BF5886">
        <w:rPr>
          <w:rFonts w:ascii="Traditional Arabic" w:hAnsi="Traditional Arabic"/>
          <w:color w:val="auto"/>
          <w:rtl/>
        </w:rPr>
        <w:t>ً</w:t>
      </w:r>
      <w:r w:rsidRPr="00BF5886">
        <w:rPr>
          <w:rFonts w:hint="cs"/>
          <w:color w:val="auto"/>
          <w:rtl/>
        </w:rPr>
        <w:t>ا للضرر عنه</w:t>
      </w:r>
      <w:r w:rsidRPr="00FB61AE">
        <w:rPr>
          <w:rFonts w:hint="cs"/>
          <w:color w:val="auto"/>
          <w:rtl/>
        </w:rPr>
        <w:t>؛</w:t>
      </w:r>
      <w:r w:rsidR="00BF5886">
        <w:rPr>
          <w:rFonts w:hint="cs"/>
          <w:color w:val="auto"/>
          <w:rtl/>
        </w:rPr>
        <w:t xml:space="preserve"> </w:t>
      </w:r>
      <w:r w:rsidRPr="00FB61AE">
        <w:rPr>
          <w:rFonts w:hint="cs"/>
          <w:color w:val="auto"/>
          <w:rtl/>
        </w:rPr>
        <w:t xml:space="preserve">لأن </w:t>
      </w:r>
      <w:r w:rsidRPr="00BF5886">
        <w:rPr>
          <w:rFonts w:hint="cs"/>
          <w:color w:val="auto"/>
          <w:rtl/>
        </w:rPr>
        <w:t>الضرر مدفوع</w:t>
      </w:r>
      <w:r w:rsidR="00BF5886">
        <w:rPr>
          <w:rFonts w:hint="cs"/>
          <w:color w:val="auto"/>
          <w:rtl/>
        </w:rPr>
        <w:t xml:space="preserve"> </w:t>
      </w:r>
      <w:r w:rsidR="00154102" w:rsidRPr="00BF5886">
        <w:rPr>
          <w:rFonts w:hint="cs"/>
          <w:color w:val="auto"/>
          <w:rtl/>
        </w:rPr>
        <w:t>و</w:t>
      </w:r>
      <w:r w:rsidRPr="00BF5886">
        <w:rPr>
          <w:rFonts w:hint="cs"/>
          <w:color w:val="auto"/>
          <w:rtl/>
        </w:rPr>
        <w:t>مرفوع شرعا.</w:t>
      </w:r>
    </w:p>
    <w:p w:rsidR="00065E4B" w:rsidRDefault="00F665A6" w:rsidP="000A76C7">
      <w:pPr>
        <w:pStyle w:val="afc"/>
        <w:widowControl/>
        <w:numPr>
          <w:ilvl w:val="0"/>
          <w:numId w:val="130"/>
        </w:numPr>
        <w:autoSpaceDE w:val="0"/>
        <w:autoSpaceDN w:val="0"/>
        <w:adjustRightInd w:val="0"/>
        <w:rPr>
          <w:rFonts w:ascii="Traditional Arabic" w:hAnsi="Traditional Arabic"/>
          <w:rtl/>
        </w:rPr>
      </w:pPr>
      <w:r>
        <w:rPr>
          <w:rFonts w:ascii="Traditional Arabic" w:hAnsi="Traditional Arabic" w:hint="cs"/>
          <w:rtl/>
        </w:rPr>
        <w:t>يجوز للجار أن ي</w:t>
      </w:r>
      <w:r>
        <w:rPr>
          <w:rFonts w:ascii="Traditional Arabic" w:hAnsi="Traditional Arabic"/>
          <w:rtl/>
        </w:rPr>
        <w:t>ُ</w:t>
      </w:r>
      <w:r>
        <w:rPr>
          <w:rFonts w:ascii="Traditional Arabic" w:hAnsi="Traditional Arabic" w:hint="cs"/>
          <w:rtl/>
        </w:rPr>
        <w:t>ع</w:t>
      </w:r>
      <w:r>
        <w:rPr>
          <w:rFonts w:ascii="Traditional Arabic" w:hAnsi="Traditional Arabic"/>
          <w:rtl/>
        </w:rPr>
        <w:t>ْ</w:t>
      </w:r>
      <w:r>
        <w:rPr>
          <w:rFonts w:ascii="Traditional Arabic" w:hAnsi="Traditional Arabic" w:hint="cs"/>
          <w:rtl/>
        </w:rPr>
        <w:t>ل</w:t>
      </w:r>
      <w:r>
        <w:rPr>
          <w:rFonts w:ascii="Traditional Arabic" w:hAnsi="Traditional Arabic"/>
          <w:rtl/>
        </w:rPr>
        <w:t>ِ</w:t>
      </w:r>
      <w:r>
        <w:rPr>
          <w:rFonts w:ascii="Traditional Arabic" w:hAnsi="Traditional Arabic" w:hint="cs"/>
          <w:rtl/>
        </w:rPr>
        <w:t>ي</w:t>
      </w:r>
      <w:r>
        <w:rPr>
          <w:rFonts w:ascii="Traditional Arabic" w:hAnsi="Traditional Arabic"/>
          <w:rtl/>
        </w:rPr>
        <w:t>َ</w:t>
      </w:r>
      <w:r>
        <w:rPr>
          <w:rFonts w:ascii="Traditional Arabic" w:hAnsi="Traditional Arabic" w:hint="cs"/>
          <w:rtl/>
        </w:rPr>
        <w:t xml:space="preserve"> بناءَه على جاره حتى لو حجب الشمس</w:t>
      </w:r>
      <w:r w:rsidR="00154102">
        <w:rPr>
          <w:rFonts w:ascii="Traditional Arabic" w:hAnsi="Traditional Arabic" w:hint="cs"/>
          <w:rtl/>
        </w:rPr>
        <w:t xml:space="preserve"> و</w:t>
      </w:r>
      <w:r w:rsidR="00ED3461">
        <w:rPr>
          <w:rFonts w:ascii="Traditional Arabic" w:hAnsi="Traditional Arabic" w:hint="cs"/>
          <w:rtl/>
        </w:rPr>
        <w:t>الهواء عنه؛</w:t>
      </w:r>
      <w:r w:rsidR="000D19D9">
        <w:rPr>
          <w:rFonts w:ascii="Traditional Arabic" w:hAnsi="Traditional Arabic" w:hint="cs"/>
          <w:rtl/>
        </w:rPr>
        <w:t xml:space="preserve"> </w:t>
      </w:r>
      <w:r>
        <w:rPr>
          <w:rFonts w:ascii="Traditional Arabic" w:hAnsi="Traditional Arabic" w:hint="cs"/>
          <w:rtl/>
        </w:rPr>
        <w:t>لأن هذا م</w:t>
      </w:r>
      <w:r w:rsidR="000D19D9">
        <w:rPr>
          <w:rFonts w:ascii="Traditional Arabic" w:hAnsi="Traditional Arabic" w:hint="cs"/>
          <w:rtl/>
        </w:rPr>
        <w:t>ِ</w:t>
      </w:r>
      <w:r>
        <w:rPr>
          <w:rFonts w:ascii="Traditional Arabic" w:hAnsi="Traditional Arabic" w:hint="cs"/>
          <w:rtl/>
        </w:rPr>
        <w:t>ل</w:t>
      </w:r>
      <w:r>
        <w:rPr>
          <w:rFonts w:ascii="Traditional Arabic" w:hAnsi="Traditional Arabic"/>
          <w:rtl/>
        </w:rPr>
        <w:t>ْ</w:t>
      </w:r>
      <w:r>
        <w:rPr>
          <w:rFonts w:ascii="Traditional Arabic" w:hAnsi="Traditional Arabic" w:hint="cs"/>
          <w:rtl/>
        </w:rPr>
        <w:t>كه،</w:t>
      </w:r>
      <w:r w:rsidR="000D19D9">
        <w:rPr>
          <w:rFonts w:ascii="Traditional Arabic" w:hAnsi="Traditional Arabic" w:hint="cs"/>
          <w:rtl/>
        </w:rPr>
        <w:t xml:space="preserve"> </w:t>
      </w:r>
      <w:r w:rsidR="00ED3461">
        <w:rPr>
          <w:rFonts w:ascii="Traditional Arabic" w:hAnsi="Traditional Arabic" w:hint="cs"/>
          <w:rtl/>
        </w:rPr>
        <w:t>و</w:t>
      </w:r>
      <w:r>
        <w:rPr>
          <w:rFonts w:ascii="Traditional Arabic" w:hAnsi="Traditional Arabic" w:hint="cs"/>
          <w:rtl/>
        </w:rPr>
        <w:t>الهواء تابع للقَرار،</w:t>
      </w:r>
      <w:r w:rsidR="00BF5886">
        <w:rPr>
          <w:rFonts w:ascii="Traditional Arabic" w:hAnsi="Traditional Arabic" w:hint="cs"/>
          <w:rtl/>
        </w:rPr>
        <w:t xml:space="preserve"> </w:t>
      </w:r>
      <w:r>
        <w:rPr>
          <w:rFonts w:ascii="Traditional Arabic" w:hAnsi="Traditional Arabic" w:hint="cs"/>
          <w:rtl/>
        </w:rPr>
        <w:t xml:space="preserve">لكن </w:t>
      </w:r>
      <w:r>
        <w:rPr>
          <w:rFonts w:ascii="Traditional Arabic" w:hAnsi="Traditional Arabic"/>
          <w:rtl/>
        </w:rPr>
        <w:t>ﺇ</w:t>
      </w:r>
      <w:r>
        <w:rPr>
          <w:rFonts w:ascii="Traditional Arabic" w:hAnsi="Traditional Arabic" w:hint="cs"/>
          <w:rtl/>
        </w:rPr>
        <w:t xml:space="preserve">ذا علمنا أنه </w:t>
      </w:r>
      <w:r w:rsidRPr="00BF5886">
        <w:rPr>
          <w:rFonts w:ascii="Traditional Arabic" w:hAnsi="Traditional Arabic" w:hint="cs"/>
          <w:rtl/>
        </w:rPr>
        <w:t>قص</w:t>
      </w:r>
      <w:r w:rsidRPr="00BF5886">
        <w:rPr>
          <w:rFonts w:ascii="Traditional Arabic" w:hAnsi="Traditional Arabic"/>
          <w:rtl/>
        </w:rPr>
        <w:t>َ</w:t>
      </w:r>
      <w:r w:rsidRPr="00BF5886">
        <w:rPr>
          <w:rFonts w:ascii="Traditional Arabic" w:hAnsi="Traditional Arabic" w:hint="cs"/>
          <w:rtl/>
        </w:rPr>
        <w:t>د ا</w:t>
      </w:r>
      <w:r w:rsidRPr="00BF5886">
        <w:rPr>
          <w:rFonts w:ascii="Traditional Arabic" w:hAnsi="Traditional Arabic"/>
          <w:rtl/>
        </w:rPr>
        <w:t>ﻹ</w:t>
      </w:r>
      <w:r w:rsidRPr="00BF5886">
        <w:rPr>
          <w:rFonts w:ascii="Traditional Arabic" w:hAnsi="Traditional Arabic" w:hint="cs"/>
          <w:rtl/>
        </w:rPr>
        <w:t>ضرار</w:t>
      </w:r>
      <w:r>
        <w:rPr>
          <w:rFonts w:ascii="Traditional Arabic" w:hAnsi="Traditional Arabic" w:hint="cs"/>
          <w:rtl/>
        </w:rPr>
        <w:t xml:space="preserve"> بجاره</w:t>
      </w:r>
      <w:r w:rsidR="00BF5886">
        <w:rPr>
          <w:rFonts w:ascii="Traditional Arabic" w:hAnsi="Traditional Arabic" w:hint="cs"/>
          <w:rtl/>
        </w:rPr>
        <w:t>،</w:t>
      </w:r>
      <w:r>
        <w:rPr>
          <w:rFonts w:ascii="Traditional Arabic" w:hAnsi="Traditional Arabic" w:hint="cs"/>
          <w:rtl/>
        </w:rPr>
        <w:t xml:space="preserve"> </w:t>
      </w:r>
      <w:r>
        <w:rPr>
          <w:rFonts w:ascii="Traditional Arabic" w:hAnsi="Traditional Arabic"/>
          <w:rtl/>
        </w:rPr>
        <w:t>ﻓﺈ</w:t>
      </w:r>
      <w:r>
        <w:rPr>
          <w:rFonts w:ascii="Traditional Arabic" w:hAnsi="Traditional Arabic" w:hint="cs"/>
          <w:rtl/>
        </w:rPr>
        <w:t>نه ي</w:t>
      </w:r>
      <w:r>
        <w:rPr>
          <w:rFonts w:ascii="Traditional Arabic" w:hAnsi="Traditional Arabic"/>
          <w:rtl/>
        </w:rPr>
        <w:t>ُ</w:t>
      </w:r>
      <w:r>
        <w:rPr>
          <w:rFonts w:ascii="Traditional Arabic" w:hAnsi="Traditional Arabic" w:hint="cs"/>
          <w:rtl/>
        </w:rPr>
        <w:t>م</w:t>
      </w:r>
      <w:r>
        <w:rPr>
          <w:rFonts w:ascii="Traditional Arabic" w:hAnsi="Traditional Arabic"/>
          <w:rtl/>
        </w:rPr>
        <w:t>ْ</w:t>
      </w:r>
      <w:r>
        <w:rPr>
          <w:rFonts w:ascii="Traditional Arabic" w:hAnsi="Traditional Arabic" w:hint="cs"/>
          <w:rtl/>
        </w:rPr>
        <w:t>ن</w:t>
      </w:r>
      <w:r>
        <w:rPr>
          <w:rFonts w:ascii="Traditional Arabic" w:hAnsi="Traditional Arabic"/>
          <w:rtl/>
        </w:rPr>
        <w:t>َ</w:t>
      </w:r>
      <w:r>
        <w:rPr>
          <w:rFonts w:ascii="Traditional Arabic" w:hAnsi="Traditional Arabic" w:hint="cs"/>
          <w:rtl/>
        </w:rPr>
        <w:t>ع من ذلك</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945"/>
      </w:r>
      <w:r w:rsidRPr="00C821A1">
        <w:rPr>
          <w:rFonts w:ascii="Traditional Arabic" w:hAnsi="Traditional Arabic" w:hint="cs"/>
          <w:szCs w:val="32"/>
          <w:vertAlign w:val="superscript"/>
          <w:rtl/>
        </w:rPr>
        <w:t>)</w:t>
      </w:r>
      <w:r>
        <w:rPr>
          <w:rFonts w:ascii="Traditional Arabic" w:hAnsi="Traditional Arabic" w:hint="cs"/>
          <w:rtl/>
        </w:rPr>
        <w:t>.</w:t>
      </w:r>
    </w:p>
    <w:p w:rsidR="00065E4B" w:rsidRDefault="00065E4B" w:rsidP="00597C20">
      <w:pPr>
        <w:pStyle w:val="53"/>
        <w:rPr>
          <w:rtl/>
        </w:rPr>
      </w:pPr>
      <w:r w:rsidRPr="001D661F">
        <w:rPr>
          <w:rFonts w:hint="cs"/>
          <w:rtl/>
        </w:rPr>
        <w:t>و</w:t>
      </w:r>
      <w:r w:rsidR="00F665A6" w:rsidRPr="001D661F">
        <w:rPr>
          <w:rFonts w:hint="cs"/>
          <w:rtl/>
        </w:rPr>
        <w:t>جه اندراج الفرع تحت القاعدة:</w:t>
      </w:r>
    </w:p>
    <w:p w:rsidR="00F665A6" w:rsidRDefault="00065E4B" w:rsidP="00597C20">
      <w:pPr>
        <w:ind w:firstLine="720"/>
        <w:rPr>
          <w:color w:val="auto"/>
          <w:rtl/>
        </w:rPr>
      </w:pPr>
      <w:r w:rsidRPr="00406889">
        <w:rPr>
          <w:rFonts w:ascii="Traditional Arabic" w:hAnsi="Traditional Arabic"/>
          <w:color w:val="auto"/>
          <w:rtl/>
        </w:rPr>
        <w:t>ﺇ</w:t>
      </w:r>
      <w:r w:rsidR="00F665A6" w:rsidRPr="00406889">
        <w:rPr>
          <w:rFonts w:ascii="Traditional Arabic" w:hAnsi="Traditional Arabic"/>
          <w:color w:val="auto"/>
          <w:rtl/>
        </w:rPr>
        <w:t xml:space="preserve">ذا </w:t>
      </w:r>
      <w:r w:rsidR="00F665A6">
        <w:rPr>
          <w:rFonts w:hint="cs"/>
          <w:color w:val="auto"/>
          <w:rtl/>
        </w:rPr>
        <w:t>كان قص</w:t>
      </w:r>
      <w:r w:rsidR="00406889">
        <w:rPr>
          <w:rFonts w:hint="cs"/>
          <w:color w:val="auto"/>
          <w:rtl/>
        </w:rPr>
        <w:t>ْ</w:t>
      </w:r>
      <w:r w:rsidR="00F665A6">
        <w:rPr>
          <w:rFonts w:hint="cs"/>
          <w:color w:val="auto"/>
          <w:rtl/>
        </w:rPr>
        <w:t>د</w:t>
      </w:r>
      <w:r w:rsidR="00406889">
        <w:rPr>
          <w:rFonts w:hint="cs"/>
          <w:color w:val="auto"/>
          <w:rtl/>
        </w:rPr>
        <w:t>ُ</w:t>
      </w:r>
      <w:r w:rsidR="00F665A6">
        <w:rPr>
          <w:rFonts w:hint="cs"/>
          <w:color w:val="auto"/>
          <w:rtl/>
        </w:rPr>
        <w:t xml:space="preserve"> هذا الجار </w:t>
      </w:r>
      <w:r w:rsidR="00406889">
        <w:rPr>
          <w:rFonts w:hint="cs"/>
          <w:color w:val="auto"/>
          <w:rtl/>
        </w:rPr>
        <w:t>الإ</w:t>
      </w:r>
      <w:r w:rsidR="00F665A6">
        <w:rPr>
          <w:rFonts w:hint="cs"/>
          <w:color w:val="auto"/>
          <w:rtl/>
        </w:rPr>
        <w:t>ضرار بجاره،</w:t>
      </w:r>
      <w:r w:rsidR="00406889">
        <w:rPr>
          <w:rFonts w:hint="cs"/>
          <w:color w:val="auto"/>
          <w:rtl/>
        </w:rPr>
        <w:t xml:space="preserve"> </w:t>
      </w:r>
      <w:r w:rsidR="00F665A6">
        <w:rPr>
          <w:rFonts w:hint="cs"/>
          <w:color w:val="auto"/>
          <w:rtl/>
        </w:rPr>
        <w:t>فإنه يحر</w:t>
      </w:r>
      <w:r w:rsidR="00F665A6">
        <w:rPr>
          <w:rFonts w:ascii="Traditional Arabic" w:hAnsi="Traditional Arabic"/>
          <w:color w:val="auto"/>
          <w:rtl/>
        </w:rPr>
        <w:t>ُ</w:t>
      </w:r>
      <w:r w:rsidR="00F665A6">
        <w:rPr>
          <w:rFonts w:hint="cs"/>
          <w:color w:val="auto"/>
          <w:rtl/>
        </w:rPr>
        <w:t>م عليه ذلك</w:t>
      </w:r>
      <w:r w:rsidR="00ED3461">
        <w:rPr>
          <w:rFonts w:hint="cs"/>
          <w:color w:val="auto"/>
          <w:rtl/>
        </w:rPr>
        <w:t>،</w:t>
      </w:r>
      <w:r w:rsidR="00154102">
        <w:rPr>
          <w:rFonts w:hint="cs"/>
          <w:color w:val="auto"/>
          <w:rtl/>
        </w:rPr>
        <w:t xml:space="preserve"> و</w:t>
      </w:r>
      <w:r w:rsidR="00F665A6">
        <w:rPr>
          <w:rFonts w:hint="cs"/>
          <w:color w:val="auto"/>
          <w:rtl/>
        </w:rPr>
        <w:t>ي</w:t>
      </w:r>
      <w:r w:rsidR="00F665A6">
        <w:rPr>
          <w:rFonts w:ascii="Traditional Arabic" w:hAnsi="Traditional Arabic"/>
          <w:color w:val="auto"/>
          <w:rtl/>
        </w:rPr>
        <w:t>ُ</w:t>
      </w:r>
      <w:r w:rsidR="00F665A6">
        <w:rPr>
          <w:rFonts w:hint="cs"/>
          <w:color w:val="auto"/>
          <w:rtl/>
        </w:rPr>
        <w:t>من</w:t>
      </w:r>
      <w:r w:rsidR="00F665A6">
        <w:rPr>
          <w:rFonts w:ascii="Traditional Arabic" w:hAnsi="Traditional Arabic"/>
          <w:color w:val="auto"/>
          <w:rtl/>
        </w:rPr>
        <w:t>َ</w:t>
      </w:r>
      <w:r w:rsidR="00F665A6">
        <w:rPr>
          <w:rFonts w:hint="cs"/>
          <w:color w:val="auto"/>
          <w:rtl/>
        </w:rPr>
        <w:t>ع من إعلاء بنائه،</w:t>
      </w:r>
      <w:r w:rsidR="00154102">
        <w:rPr>
          <w:rFonts w:hint="cs"/>
          <w:color w:val="auto"/>
          <w:rtl/>
        </w:rPr>
        <w:t xml:space="preserve"> و</w:t>
      </w:r>
      <w:r w:rsidR="00F665A6">
        <w:rPr>
          <w:rFonts w:hint="cs"/>
          <w:color w:val="auto"/>
          <w:rtl/>
        </w:rPr>
        <w:t>هذا هو مقتضى القاعدة</w:t>
      </w:r>
      <w:r w:rsidR="00406889">
        <w:rPr>
          <w:rFonts w:hint="cs"/>
          <w:color w:val="auto"/>
          <w:rtl/>
        </w:rPr>
        <w:t>،</w:t>
      </w:r>
      <w:r w:rsidR="00F665A6">
        <w:rPr>
          <w:rFonts w:hint="cs"/>
          <w:color w:val="auto"/>
          <w:rtl/>
        </w:rPr>
        <w:t xml:space="preserve"> أن ي</w:t>
      </w:r>
      <w:r w:rsidR="00F665A6">
        <w:rPr>
          <w:rFonts w:ascii="Traditional Arabic" w:hAnsi="Traditional Arabic"/>
          <w:color w:val="auto"/>
          <w:rtl/>
        </w:rPr>
        <w:t>ُ</w:t>
      </w:r>
      <w:r w:rsidR="00F665A6">
        <w:rPr>
          <w:rFonts w:hint="cs"/>
          <w:color w:val="auto"/>
          <w:rtl/>
        </w:rPr>
        <w:t>من</w:t>
      </w:r>
      <w:r w:rsidR="00F665A6">
        <w:rPr>
          <w:rFonts w:ascii="Traditional Arabic" w:hAnsi="Traditional Arabic"/>
          <w:color w:val="auto"/>
          <w:rtl/>
        </w:rPr>
        <w:t>َ</w:t>
      </w:r>
      <w:r w:rsidR="00F665A6">
        <w:rPr>
          <w:rFonts w:hint="cs"/>
          <w:color w:val="auto"/>
          <w:rtl/>
        </w:rPr>
        <w:t>ع قاص</w:t>
      </w:r>
      <w:r w:rsidR="00F665A6">
        <w:rPr>
          <w:rFonts w:ascii="Traditional Arabic" w:hAnsi="Traditional Arabic"/>
          <w:color w:val="auto"/>
          <w:rtl/>
        </w:rPr>
        <w:t>ِ</w:t>
      </w:r>
      <w:r w:rsidR="00F665A6">
        <w:rPr>
          <w:rFonts w:hint="cs"/>
          <w:color w:val="auto"/>
          <w:rtl/>
        </w:rPr>
        <w:t>د</w:t>
      </w:r>
      <w:r w:rsidR="00F665A6">
        <w:rPr>
          <w:rFonts w:ascii="Traditional Arabic" w:hAnsi="Traditional Arabic"/>
          <w:color w:val="auto"/>
          <w:rtl/>
        </w:rPr>
        <w:t>ُ</w:t>
      </w:r>
      <w:r w:rsidR="00F665A6">
        <w:rPr>
          <w:rFonts w:hint="cs"/>
          <w:color w:val="auto"/>
          <w:rtl/>
        </w:rPr>
        <w:t xml:space="preserve"> الإضرار</w:t>
      </w:r>
      <w:r w:rsidR="00F665A6">
        <w:rPr>
          <w:rFonts w:ascii="Traditional Arabic" w:hAnsi="Traditional Arabic"/>
          <w:color w:val="auto"/>
          <w:rtl/>
        </w:rPr>
        <w:t>ِ</w:t>
      </w:r>
      <w:r w:rsidR="00F665A6">
        <w:rPr>
          <w:rFonts w:hint="cs"/>
          <w:color w:val="auto"/>
          <w:rtl/>
        </w:rPr>
        <w:t xml:space="preserve"> من فعل الض</w:t>
      </w:r>
      <w:r w:rsidR="00F665A6">
        <w:rPr>
          <w:rFonts w:ascii="Traditional Arabic" w:hAnsi="Traditional Arabic"/>
          <w:color w:val="auto"/>
          <w:rtl/>
        </w:rPr>
        <w:t>ِّ</w:t>
      </w:r>
      <w:r w:rsidR="00F665A6">
        <w:rPr>
          <w:rFonts w:hint="cs"/>
          <w:color w:val="auto"/>
          <w:rtl/>
        </w:rPr>
        <w:t>رار،</w:t>
      </w:r>
      <w:r w:rsidR="00154102">
        <w:rPr>
          <w:rFonts w:hint="cs"/>
          <w:color w:val="auto"/>
          <w:rtl/>
        </w:rPr>
        <w:t xml:space="preserve"> و</w:t>
      </w:r>
      <w:r w:rsidR="00F665A6">
        <w:rPr>
          <w:rFonts w:hint="cs"/>
          <w:color w:val="auto"/>
          <w:rtl/>
        </w:rPr>
        <w:t>إن كان أص</w:t>
      </w:r>
      <w:r w:rsidR="00F665A6">
        <w:rPr>
          <w:rFonts w:ascii="Traditional Arabic" w:hAnsi="Traditional Arabic"/>
          <w:color w:val="auto"/>
          <w:rtl/>
        </w:rPr>
        <w:t>ْ</w:t>
      </w:r>
      <w:r w:rsidR="00F665A6">
        <w:rPr>
          <w:rFonts w:hint="cs"/>
          <w:color w:val="auto"/>
          <w:rtl/>
        </w:rPr>
        <w:t>ل الفعل</w:t>
      </w:r>
      <w:r w:rsidR="00F665A6">
        <w:rPr>
          <w:rFonts w:ascii="Traditional Arabic" w:hAnsi="Traditional Arabic"/>
          <w:color w:val="auto"/>
          <w:rtl/>
        </w:rPr>
        <w:t>ِ</w:t>
      </w:r>
      <w:r w:rsidR="00F665A6">
        <w:rPr>
          <w:rFonts w:hint="cs"/>
          <w:color w:val="auto"/>
          <w:rtl/>
        </w:rPr>
        <w:t xml:space="preserve"> م</w:t>
      </w:r>
      <w:r w:rsidR="00F665A6">
        <w:rPr>
          <w:rFonts w:ascii="Traditional Arabic" w:hAnsi="Traditional Arabic"/>
          <w:color w:val="auto"/>
          <w:rtl/>
        </w:rPr>
        <w:t>ُ</w:t>
      </w:r>
      <w:r w:rsidR="00F665A6">
        <w:rPr>
          <w:rFonts w:hint="cs"/>
          <w:color w:val="auto"/>
          <w:rtl/>
        </w:rPr>
        <w:t>باحا</w:t>
      </w:r>
      <w:r w:rsidR="00F665A6">
        <w:rPr>
          <w:rFonts w:ascii="Traditional Arabic" w:hAnsi="Traditional Arabic"/>
          <w:color w:val="auto"/>
          <w:rtl/>
        </w:rPr>
        <w:t>ً</w:t>
      </w:r>
      <w:r w:rsidR="00F665A6">
        <w:rPr>
          <w:rFonts w:hint="cs"/>
          <w:color w:val="auto"/>
          <w:rtl/>
        </w:rPr>
        <w:t>.</w:t>
      </w:r>
    </w:p>
    <w:p w:rsidR="00F665A6" w:rsidRDefault="00406889" w:rsidP="000A76C7">
      <w:pPr>
        <w:pStyle w:val="afc"/>
        <w:numPr>
          <w:ilvl w:val="0"/>
          <w:numId w:val="130"/>
        </w:numPr>
        <w:rPr>
          <w:color w:val="auto"/>
        </w:rPr>
      </w:pPr>
      <w:r>
        <w:rPr>
          <w:rFonts w:hint="cs"/>
          <w:color w:val="auto"/>
          <w:rtl/>
        </w:rPr>
        <w:lastRenderedPageBreak/>
        <w:t>إ</w:t>
      </w:r>
      <w:r w:rsidR="00F665A6">
        <w:rPr>
          <w:rFonts w:hint="cs"/>
          <w:color w:val="auto"/>
          <w:rtl/>
        </w:rPr>
        <w:t>ذا كان مال المح</w:t>
      </w:r>
      <w:r w:rsidR="00F665A6">
        <w:rPr>
          <w:rFonts w:ascii="Traditional Arabic" w:hAnsi="Traditional Arabic"/>
          <w:color w:val="auto"/>
          <w:rtl/>
        </w:rPr>
        <w:t>ْ</w:t>
      </w:r>
      <w:r w:rsidR="00F665A6">
        <w:rPr>
          <w:rFonts w:hint="cs"/>
          <w:color w:val="auto"/>
          <w:rtl/>
        </w:rPr>
        <w:t>جور عليه من جنس الدي</w:t>
      </w:r>
      <w:r w:rsidR="00F665A6">
        <w:rPr>
          <w:rFonts w:ascii="Traditional Arabic" w:hAnsi="Traditional Arabic"/>
          <w:color w:val="auto"/>
          <w:rtl/>
        </w:rPr>
        <w:t>ْ</w:t>
      </w:r>
      <w:r w:rsidR="00F665A6">
        <w:rPr>
          <w:rFonts w:hint="cs"/>
          <w:color w:val="auto"/>
          <w:rtl/>
        </w:rPr>
        <w:t>ن الذي عليه،</w:t>
      </w:r>
      <w:r>
        <w:rPr>
          <w:rFonts w:hint="cs"/>
          <w:color w:val="auto"/>
          <w:rtl/>
        </w:rPr>
        <w:t xml:space="preserve"> </w:t>
      </w:r>
      <w:r w:rsidR="00F665A6">
        <w:rPr>
          <w:rFonts w:hint="cs"/>
          <w:color w:val="auto"/>
          <w:rtl/>
        </w:rPr>
        <w:t>فلا يبيع الحاكم ماله؛</w:t>
      </w:r>
      <w:r>
        <w:rPr>
          <w:rFonts w:hint="cs"/>
          <w:color w:val="auto"/>
          <w:rtl/>
        </w:rPr>
        <w:t xml:space="preserve"> </w:t>
      </w:r>
      <w:r w:rsidR="00F665A6">
        <w:rPr>
          <w:rFonts w:hint="cs"/>
          <w:color w:val="auto"/>
          <w:rtl/>
        </w:rPr>
        <w:t>لعدم الحاجة إلى ذلك؛</w:t>
      </w:r>
      <w:r w:rsidR="00154102">
        <w:rPr>
          <w:rFonts w:hint="cs"/>
          <w:color w:val="auto"/>
          <w:rtl/>
        </w:rPr>
        <w:t xml:space="preserve"> </w:t>
      </w:r>
      <w:r w:rsidR="00154102" w:rsidRPr="00406889">
        <w:rPr>
          <w:rFonts w:hint="cs"/>
          <w:color w:val="auto"/>
          <w:rtl/>
        </w:rPr>
        <w:t>و</w:t>
      </w:r>
      <w:r w:rsidR="00F665A6" w:rsidRPr="00406889">
        <w:rPr>
          <w:rFonts w:hint="cs"/>
          <w:color w:val="auto"/>
          <w:rtl/>
        </w:rPr>
        <w:t>لأن البيع قد يضر</w:t>
      </w:r>
      <w:r w:rsidR="00F665A6" w:rsidRPr="00406889">
        <w:rPr>
          <w:rFonts w:ascii="Traditional Arabic" w:hAnsi="Traditional Arabic"/>
          <w:color w:val="auto"/>
          <w:rtl/>
        </w:rPr>
        <w:t>ّ</w:t>
      </w:r>
      <w:r w:rsidR="00F665A6" w:rsidRPr="00406889">
        <w:rPr>
          <w:rFonts w:hint="cs"/>
          <w:color w:val="auto"/>
          <w:rtl/>
        </w:rPr>
        <w:t xml:space="preserve"> المحجور عليه</w:t>
      </w:r>
      <w:r w:rsidR="00F665A6" w:rsidRPr="00C821A1">
        <w:rPr>
          <w:rFonts w:hint="cs"/>
          <w:color w:val="auto"/>
          <w:szCs w:val="32"/>
          <w:vertAlign w:val="superscript"/>
          <w:rtl/>
        </w:rPr>
        <w:t>(</w:t>
      </w:r>
      <w:r w:rsidR="00F665A6" w:rsidRPr="00C821A1">
        <w:rPr>
          <w:rStyle w:val="af1"/>
          <w:color w:val="auto"/>
          <w:szCs w:val="32"/>
          <w:rtl/>
        </w:rPr>
        <w:footnoteReference w:id="946"/>
      </w:r>
      <w:r w:rsidR="00F665A6" w:rsidRPr="00C821A1">
        <w:rPr>
          <w:rFonts w:hint="cs"/>
          <w:color w:val="auto"/>
          <w:szCs w:val="32"/>
          <w:vertAlign w:val="superscript"/>
          <w:rtl/>
        </w:rPr>
        <w:t>)</w:t>
      </w:r>
      <w:r w:rsidR="00F665A6">
        <w:rPr>
          <w:rFonts w:hint="cs"/>
          <w:color w:val="auto"/>
          <w:rtl/>
        </w:rPr>
        <w:t>.</w:t>
      </w:r>
    </w:p>
    <w:p w:rsidR="00F665A6" w:rsidRDefault="00F665A6" w:rsidP="00597C20">
      <w:pPr>
        <w:pStyle w:val="53"/>
        <w:rPr>
          <w:rtl/>
        </w:rPr>
      </w:pPr>
      <w:r w:rsidRPr="001D661F">
        <w:rPr>
          <w:rFonts w:hint="cs"/>
          <w:rtl/>
        </w:rPr>
        <w:t>وجه اندراج الفرع تحت القاعدة:</w:t>
      </w:r>
    </w:p>
    <w:p w:rsidR="00F665A6" w:rsidRDefault="00B40B33" w:rsidP="00597C20">
      <w:pPr>
        <w:ind w:firstLine="720"/>
        <w:rPr>
          <w:b/>
          <w:bCs/>
          <w:color w:val="auto"/>
          <w:rtl/>
        </w:rPr>
      </w:pPr>
      <w:r>
        <w:rPr>
          <w:rFonts w:hint="cs"/>
          <w:color w:val="auto"/>
          <w:rtl/>
        </w:rPr>
        <w:t>إ</w:t>
      </w:r>
      <w:r w:rsidR="00F665A6" w:rsidRPr="00FB61AE">
        <w:rPr>
          <w:rFonts w:hint="cs"/>
          <w:color w:val="auto"/>
          <w:rtl/>
        </w:rPr>
        <w:t>ن</w:t>
      </w:r>
      <w:r w:rsidR="00F665A6" w:rsidRPr="00FB61AE">
        <w:rPr>
          <w:rFonts w:ascii="Traditional Arabic" w:hAnsi="Traditional Arabic"/>
          <w:color w:val="auto"/>
          <w:rtl/>
        </w:rPr>
        <w:t>ّ</w:t>
      </w:r>
      <w:r w:rsidR="00F665A6" w:rsidRPr="00FB61AE">
        <w:rPr>
          <w:rFonts w:hint="cs"/>
          <w:color w:val="auto"/>
          <w:rtl/>
        </w:rPr>
        <w:t xml:space="preserve"> ب</w:t>
      </w:r>
      <w:r w:rsidR="00F665A6" w:rsidRPr="00FB61AE">
        <w:rPr>
          <w:rFonts w:ascii="Traditional Arabic" w:hAnsi="Traditional Arabic"/>
          <w:color w:val="auto"/>
          <w:rtl/>
        </w:rPr>
        <w:t>َ</w:t>
      </w:r>
      <w:r w:rsidR="00F665A6" w:rsidRPr="00FB61AE">
        <w:rPr>
          <w:rFonts w:hint="cs"/>
          <w:color w:val="auto"/>
          <w:rtl/>
        </w:rPr>
        <w:t>يع مال المحجور عليه قد يضر</w:t>
      </w:r>
      <w:r w:rsidR="00F665A6" w:rsidRPr="00FB61AE">
        <w:rPr>
          <w:rFonts w:ascii="Traditional Arabic" w:hAnsi="Traditional Arabic"/>
          <w:color w:val="auto"/>
          <w:rtl/>
        </w:rPr>
        <w:t>ّ</w:t>
      </w:r>
      <w:r w:rsidR="00F665A6" w:rsidRPr="00FB61AE">
        <w:rPr>
          <w:rFonts w:hint="cs"/>
          <w:color w:val="auto"/>
          <w:rtl/>
        </w:rPr>
        <w:t xml:space="preserve"> به؛</w:t>
      </w:r>
      <w:r w:rsidR="00406889">
        <w:rPr>
          <w:rFonts w:hint="cs"/>
          <w:color w:val="auto"/>
          <w:rtl/>
        </w:rPr>
        <w:t xml:space="preserve"> </w:t>
      </w:r>
      <w:r w:rsidR="00F665A6" w:rsidRPr="00FB61AE">
        <w:rPr>
          <w:rFonts w:hint="cs"/>
          <w:color w:val="auto"/>
          <w:rtl/>
        </w:rPr>
        <w:t>لأنه قد يباع مال</w:t>
      </w:r>
      <w:r w:rsidR="00406889">
        <w:rPr>
          <w:rFonts w:hint="cs"/>
          <w:color w:val="auto"/>
          <w:rtl/>
        </w:rPr>
        <w:t>ُ</w:t>
      </w:r>
      <w:r w:rsidR="00F665A6" w:rsidRPr="00FB61AE">
        <w:rPr>
          <w:rFonts w:hint="cs"/>
          <w:color w:val="auto"/>
          <w:rtl/>
        </w:rPr>
        <w:t>ه بأقل</w:t>
      </w:r>
      <w:r w:rsidR="00406889">
        <w:rPr>
          <w:rFonts w:hint="cs"/>
          <w:color w:val="auto"/>
          <w:rtl/>
        </w:rPr>
        <w:t>َّ</w:t>
      </w:r>
      <w:r w:rsidR="00F665A6" w:rsidRPr="00FB61AE">
        <w:rPr>
          <w:rFonts w:hint="cs"/>
          <w:color w:val="auto"/>
          <w:rtl/>
        </w:rPr>
        <w:t xml:space="preserve"> من قيمته،</w:t>
      </w:r>
      <w:r w:rsidR="00406889">
        <w:rPr>
          <w:rFonts w:hint="cs"/>
          <w:color w:val="auto"/>
          <w:rtl/>
        </w:rPr>
        <w:t xml:space="preserve"> </w:t>
      </w:r>
      <w:r w:rsidR="00F665A6" w:rsidRPr="00FB61AE">
        <w:rPr>
          <w:rFonts w:hint="cs"/>
          <w:color w:val="auto"/>
          <w:rtl/>
        </w:rPr>
        <w:t>والبيع يحتاج إلى نقل</w:t>
      </w:r>
      <w:r w:rsidR="00154102" w:rsidRPr="00FB61AE">
        <w:rPr>
          <w:rFonts w:hint="cs"/>
          <w:color w:val="auto"/>
          <w:rtl/>
        </w:rPr>
        <w:t xml:space="preserve"> و</w:t>
      </w:r>
      <w:r w:rsidR="00F665A6" w:rsidRPr="00FB61AE">
        <w:rPr>
          <w:rFonts w:hint="cs"/>
          <w:color w:val="auto"/>
          <w:rtl/>
        </w:rPr>
        <w:t>تفريغ</w:t>
      </w:r>
      <w:r w:rsidR="00154102" w:rsidRPr="00FB61AE">
        <w:rPr>
          <w:rFonts w:hint="cs"/>
          <w:color w:val="auto"/>
          <w:rtl/>
        </w:rPr>
        <w:t xml:space="preserve"> و</w:t>
      </w:r>
      <w:r w:rsidR="00F665A6" w:rsidRPr="00FB61AE">
        <w:rPr>
          <w:rFonts w:hint="cs"/>
          <w:color w:val="auto"/>
          <w:rtl/>
        </w:rPr>
        <w:t>أجرة د</w:t>
      </w:r>
      <w:r w:rsidR="00F665A6" w:rsidRPr="00FB61AE">
        <w:rPr>
          <w:rFonts w:ascii="Traditional Arabic" w:hAnsi="Traditional Arabic"/>
          <w:color w:val="auto"/>
          <w:rtl/>
        </w:rPr>
        <w:t>َ</w:t>
      </w:r>
      <w:r w:rsidR="00F665A6" w:rsidRPr="00FB61AE">
        <w:rPr>
          <w:rFonts w:hint="cs"/>
          <w:color w:val="auto"/>
          <w:rtl/>
        </w:rPr>
        <w:t>لا</w:t>
      </w:r>
      <w:r w:rsidR="00F665A6" w:rsidRPr="00FB61AE">
        <w:rPr>
          <w:rFonts w:ascii="Traditional Arabic" w:hAnsi="Traditional Arabic"/>
          <w:color w:val="auto"/>
          <w:rtl/>
        </w:rPr>
        <w:t>ّ</w:t>
      </w:r>
      <w:r w:rsidR="00F665A6" w:rsidRPr="00FB61AE">
        <w:rPr>
          <w:rFonts w:hint="cs"/>
          <w:color w:val="auto"/>
          <w:rtl/>
        </w:rPr>
        <w:t>ل</w:t>
      </w:r>
      <w:r w:rsidR="00406889" w:rsidRPr="00406889">
        <w:rPr>
          <w:rFonts w:hint="cs"/>
          <w:color w:val="auto"/>
          <w:vertAlign w:val="superscript"/>
          <w:rtl/>
        </w:rPr>
        <w:t>(</w:t>
      </w:r>
      <w:r w:rsidR="00406889" w:rsidRPr="00406889">
        <w:rPr>
          <w:rStyle w:val="af1"/>
          <w:color w:val="auto"/>
          <w:rtl/>
        </w:rPr>
        <w:footnoteReference w:id="947"/>
      </w:r>
      <w:r w:rsidR="00406889" w:rsidRPr="00406889">
        <w:rPr>
          <w:rFonts w:hint="cs"/>
          <w:color w:val="auto"/>
          <w:vertAlign w:val="superscript"/>
          <w:rtl/>
        </w:rPr>
        <w:t>)</w:t>
      </w:r>
      <w:r w:rsidR="00F665A6" w:rsidRPr="00FB61AE">
        <w:rPr>
          <w:rFonts w:hint="cs"/>
          <w:color w:val="auto"/>
          <w:rtl/>
        </w:rPr>
        <w:t>،</w:t>
      </w:r>
      <w:r w:rsidR="00154102" w:rsidRPr="00FB61AE">
        <w:rPr>
          <w:rFonts w:hint="cs"/>
          <w:color w:val="auto"/>
          <w:rtl/>
        </w:rPr>
        <w:t xml:space="preserve"> و</w:t>
      </w:r>
      <w:r w:rsidR="00ED3461">
        <w:rPr>
          <w:rFonts w:hint="cs"/>
          <w:color w:val="auto"/>
          <w:rtl/>
        </w:rPr>
        <w:t>هذا فيه ضرر عليه، و</w:t>
      </w:r>
      <w:r w:rsidR="00F665A6" w:rsidRPr="00406889">
        <w:rPr>
          <w:rFonts w:hint="cs"/>
          <w:color w:val="auto"/>
          <w:rtl/>
        </w:rPr>
        <w:t>الضرر ي</w:t>
      </w:r>
      <w:r w:rsidR="00F665A6" w:rsidRPr="00406889">
        <w:rPr>
          <w:rFonts w:ascii="Traditional Arabic" w:hAnsi="Traditional Arabic"/>
          <w:color w:val="auto"/>
          <w:rtl/>
        </w:rPr>
        <w:t>ُ</w:t>
      </w:r>
      <w:r w:rsidR="00F665A6" w:rsidRPr="00406889">
        <w:rPr>
          <w:rFonts w:hint="cs"/>
          <w:color w:val="auto"/>
          <w:rtl/>
        </w:rPr>
        <w:t>زال</w:t>
      </w:r>
      <w:r w:rsidR="00F665A6" w:rsidRPr="00C821A1">
        <w:rPr>
          <w:rFonts w:hint="cs"/>
          <w:b/>
          <w:color w:val="auto"/>
          <w:szCs w:val="32"/>
          <w:vertAlign w:val="superscript"/>
          <w:rtl/>
        </w:rPr>
        <w:t>(</w:t>
      </w:r>
      <w:r w:rsidR="00F665A6" w:rsidRPr="00C821A1">
        <w:rPr>
          <w:rStyle w:val="af1"/>
          <w:b/>
          <w:color w:val="auto"/>
          <w:szCs w:val="32"/>
          <w:rtl/>
        </w:rPr>
        <w:footnoteReference w:id="948"/>
      </w:r>
      <w:r w:rsidR="00F665A6" w:rsidRPr="00C821A1">
        <w:rPr>
          <w:rFonts w:hint="cs"/>
          <w:b/>
          <w:color w:val="auto"/>
          <w:szCs w:val="32"/>
          <w:vertAlign w:val="superscript"/>
          <w:rtl/>
        </w:rPr>
        <w:t>)</w:t>
      </w:r>
      <w:r w:rsidR="00F665A6" w:rsidRPr="00180C93">
        <w:rPr>
          <w:rFonts w:hint="cs"/>
          <w:b/>
          <w:bCs/>
          <w:color w:val="auto"/>
          <w:rtl/>
        </w:rPr>
        <w:t>.</w:t>
      </w:r>
    </w:p>
    <w:p w:rsidR="00065E4B" w:rsidRDefault="00F665A6" w:rsidP="000A76C7">
      <w:pPr>
        <w:pStyle w:val="afc"/>
        <w:numPr>
          <w:ilvl w:val="0"/>
          <w:numId w:val="130"/>
        </w:numPr>
        <w:rPr>
          <w:rFonts w:ascii="Traditional Arabic" w:hAnsi="Traditional Arabic"/>
          <w:color w:val="auto"/>
        </w:rPr>
      </w:pPr>
      <w:r w:rsidRPr="00180C93">
        <w:rPr>
          <w:rFonts w:ascii="Traditional Arabic" w:hAnsi="Traditional Arabic"/>
          <w:color w:val="auto"/>
          <w:rtl/>
        </w:rPr>
        <w:t xml:space="preserve">ﺇذا </w:t>
      </w:r>
      <w:r>
        <w:rPr>
          <w:rFonts w:ascii="Traditional Arabic" w:hAnsi="Traditional Arabic" w:hint="cs"/>
          <w:color w:val="auto"/>
          <w:rtl/>
        </w:rPr>
        <w:t>ق</w:t>
      </w:r>
      <w:r>
        <w:rPr>
          <w:rFonts w:ascii="Traditional Arabic" w:hAnsi="Traditional Arabic"/>
          <w:color w:val="auto"/>
          <w:rtl/>
        </w:rPr>
        <w:t>ُ</w:t>
      </w:r>
      <w:r>
        <w:rPr>
          <w:rFonts w:ascii="Traditional Arabic" w:hAnsi="Traditional Arabic" w:hint="cs"/>
          <w:color w:val="auto"/>
          <w:rtl/>
        </w:rPr>
        <w:t>سم مال الْمَحْجور عليه بين الغ</w:t>
      </w:r>
      <w:r>
        <w:rPr>
          <w:rFonts w:ascii="Traditional Arabic" w:hAnsi="Traditional Arabic"/>
          <w:color w:val="auto"/>
          <w:rtl/>
        </w:rPr>
        <w:t>ُ</w:t>
      </w:r>
      <w:r>
        <w:rPr>
          <w:rFonts w:ascii="Traditional Arabic" w:hAnsi="Traditional Arabic" w:hint="cs"/>
          <w:color w:val="auto"/>
          <w:rtl/>
        </w:rPr>
        <w:t>ر</w:t>
      </w:r>
      <w:r>
        <w:rPr>
          <w:rFonts w:ascii="Traditional Arabic" w:hAnsi="Traditional Arabic"/>
          <w:color w:val="auto"/>
          <w:rtl/>
        </w:rPr>
        <w:t>َ</w:t>
      </w:r>
      <w:r w:rsidR="00ED3461">
        <w:rPr>
          <w:rFonts w:ascii="Traditional Arabic" w:hAnsi="Traditional Arabic" w:hint="cs"/>
          <w:color w:val="auto"/>
          <w:rtl/>
        </w:rPr>
        <w:t>ماء، فيجب على</w:t>
      </w:r>
      <w:r>
        <w:rPr>
          <w:rFonts w:ascii="Traditional Arabic" w:hAnsi="Traditional Arabic" w:hint="cs"/>
          <w:color w:val="auto"/>
          <w:rtl/>
        </w:rPr>
        <w:t xml:space="preserve"> الحاكم أن ي</w:t>
      </w:r>
      <w:r>
        <w:rPr>
          <w:rFonts w:ascii="Traditional Arabic" w:hAnsi="Traditional Arabic"/>
          <w:color w:val="auto"/>
          <w:rtl/>
        </w:rPr>
        <w:t>ُ</w:t>
      </w:r>
      <w:r>
        <w:rPr>
          <w:rFonts w:ascii="Traditional Arabic" w:hAnsi="Traditional Arabic" w:hint="cs"/>
          <w:color w:val="auto"/>
          <w:rtl/>
        </w:rPr>
        <w:t>باد</w:t>
      </w:r>
      <w:r>
        <w:rPr>
          <w:rFonts w:ascii="Traditional Arabic" w:hAnsi="Traditional Arabic"/>
          <w:color w:val="auto"/>
          <w:rtl/>
        </w:rPr>
        <w:t>ِ</w:t>
      </w:r>
      <w:r>
        <w:rPr>
          <w:rFonts w:ascii="Traditional Arabic" w:hAnsi="Traditional Arabic" w:hint="cs"/>
          <w:color w:val="auto"/>
          <w:rtl/>
        </w:rPr>
        <w:t>ر ب</w:t>
      </w:r>
      <w:r>
        <w:rPr>
          <w:rFonts w:ascii="Traditional Arabic" w:hAnsi="Traditional Arabic"/>
          <w:color w:val="auto"/>
          <w:rtl/>
        </w:rPr>
        <w:t>ِ</w:t>
      </w:r>
      <w:r>
        <w:rPr>
          <w:rFonts w:ascii="Traditional Arabic" w:hAnsi="Traditional Arabic" w:hint="cs"/>
          <w:color w:val="auto"/>
          <w:rtl/>
        </w:rPr>
        <w:t>ف</w:t>
      </w:r>
      <w:r>
        <w:rPr>
          <w:rFonts w:ascii="Traditional Arabic" w:hAnsi="Traditional Arabic"/>
          <w:color w:val="auto"/>
          <w:rtl/>
        </w:rPr>
        <w:t>َ</w:t>
      </w:r>
      <w:r>
        <w:rPr>
          <w:rFonts w:ascii="Traditional Arabic" w:hAnsi="Traditional Arabic" w:hint="cs"/>
          <w:color w:val="auto"/>
          <w:rtl/>
        </w:rPr>
        <w:t>ك</w:t>
      </w:r>
      <w:r>
        <w:rPr>
          <w:rFonts w:ascii="Traditional Arabic" w:hAnsi="Traditional Arabic"/>
          <w:color w:val="auto"/>
          <w:rtl/>
        </w:rPr>
        <w:t>ّ</w:t>
      </w:r>
      <w:r>
        <w:rPr>
          <w:rFonts w:ascii="Traditional Arabic" w:hAnsi="Traditional Arabic" w:hint="cs"/>
          <w:color w:val="auto"/>
          <w:rtl/>
        </w:rPr>
        <w:t xml:space="preserve"> الحَج</w:t>
      </w:r>
      <w:r>
        <w:rPr>
          <w:rFonts w:ascii="Traditional Arabic" w:hAnsi="Traditional Arabic"/>
          <w:color w:val="auto"/>
          <w:rtl/>
        </w:rPr>
        <w:t>ْ</w:t>
      </w:r>
      <w:r>
        <w:rPr>
          <w:rFonts w:ascii="Traditional Arabic" w:hAnsi="Traditional Arabic" w:hint="cs"/>
          <w:color w:val="auto"/>
          <w:rtl/>
        </w:rPr>
        <w:t>ر عنه</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49"/>
      </w:r>
      <w:r w:rsidRPr="00C821A1">
        <w:rPr>
          <w:rFonts w:ascii="Traditional Arabic" w:hAnsi="Traditional Arabic" w:hint="cs"/>
          <w:color w:val="auto"/>
          <w:szCs w:val="32"/>
          <w:vertAlign w:val="superscript"/>
          <w:rtl/>
        </w:rPr>
        <w:t>)</w:t>
      </w:r>
      <w:r>
        <w:rPr>
          <w:rFonts w:ascii="Traditional Arabic" w:hAnsi="Traditional Arabic" w:hint="cs"/>
          <w:color w:val="auto"/>
          <w:rtl/>
        </w:rPr>
        <w:t>.</w:t>
      </w:r>
    </w:p>
    <w:p w:rsidR="00F665A6" w:rsidRPr="00922864" w:rsidRDefault="00065E4B" w:rsidP="00597C20">
      <w:pPr>
        <w:pStyle w:val="53"/>
        <w:rPr>
          <w:rtl/>
        </w:rPr>
      </w:pPr>
      <w:r w:rsidRPr="00922864">
        <w:rPr>
          <w:rFonts w:hint="cs"/>
          <w:rtl/>
        </w:rPr>
        <w:t>و</w:t>
      </w:r>
      <w:r w:rsidR="00F665A6" w:rsidRPr="00922864">
        <w:rPr>
          <w:rFonts w:hint="cs"/>
          <w:rtl/>
        </w:rPr>
        <w:t>جه اندراج الفرع تحت القاعدة:</w:t>
      </w:r>
    </w:p>
    <w:p w:rsidR="00F665A6" w:rsidRPr="00FB61AE" w:rsidRDefault="00F665A6" w:rsidP="00597C20">
      <w:pPr>
        <w:ind w:firstLine="720"/>
        <w:rPr>
          <w:rFonts w:ascii="Traditional Arabic" w:hAnsi="Traditional Arabic"/>
          <w:b/>
          <w:bCs/>
          <w:color w:val="auto"/>
          <w:rtl/>
        </w:rPr>
      </w:pPr>
      <w:r w:rsidRPr="00FB61AE">
        <w:rPr>
          <w:rFonts w:ascii="Traditional Arabic" w:hAnsi="Traditional Arabic" w:hint="cs"/>
          <w:color w:val="auto"/>
          <w:rtl/>
        </w:rPr>
        <w:t>لما كان في تأخير فكّ الحَجْر ضرر على المحجور عليه</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50"/>
      </w:r>
      <w:r w:rsidRPr="00C821A1">
        <w:rPr>
          <w:rFonts w:ascii="Traditional Arabic" w:hAnsi="Traditional Arabic" w:hint="cs"/>
          <w:color w:val="auto"/>
          <w:szCs w:val="32"/>
          <w:vertAlign w:val="superscript"/>
          <w:rtl/>
        </w:rPr>
        <w:t>)</w:t>
      </w:r>
      <w:r w:rsidRPr="00FB61AE">
        <w:rPr>
          <w:rFonts w:ascii="Traditional Arabic" w:hAnsi="Traditional Arabic" w:hint="cs"/>
          <w:color w:val="auto"/>
          <w:rtl/>
        </w:rPr>
        <w:t xml:space="preserve">، </w:t>
      </w:r>
      <w:r w:rsidRPr="00FB0CD8">
        <w:rPr>
          <w:rFonts w:ascii="Traditional Arabic" w:hAnsi="Traditional Arabic" w:hint="cs"/>
          <w:color w:val="auto"/>
          <w:rtl/>
        </w:rPr>
        <w:t>و</w:t>
      </w:r>
      <w:r w:rsidRPr="00FB0CD8">
        <w:rPr>
          <w:rFonts w:ascii="Traditional Arabic" w:hAnsi="Traditional Arabic"/>
          <w:color w:val="auto"/>
          <w:rtl/>
        </w:rPr>
        <w:t>َ</w:t>
      </w:r>
      <w:r w:rsidRPr="00FB0CD8">
        <w:rPr>
          <w:rFonts w:ascii="Traditional Arabic" w:hAnsi="Traditional Arabic" w:hint="cs"/>
          <w:color w:val="auto"/>
          <w:rtl/>
        </w:rPr>
        <w:t>ج</w:t>
      </w:r>
      <w:r w:rsidRPr="00FB0CD8">
        <w:rPr>
          <w:rFonts w:ascii="Traditional Arabic" w:hAnsi="Traditional Arabic"/>
          <w:color w:val="auto"/>
          <w:rtl/>
        </w:rPr>
        <w:t>َ</w:t>
      </w:r>
      <w:r w:rsidRPr="00FB0CD8">
        <w:rPr>
          <w:rFonts w:ascii="Traditional Arabic" w:hAnsi="Traditional Arabic" w:hint="cs"/>
          <w:color w:val="auto"/>
          <w:rtl/>
        </w:rPr>
        <w:t>ب د</w:t>
      </w:r>
      <w:r w:rsidRPr="00FB0CD8">
        <w:rPr>
          <w:rFonts w:ascii="Traditional Arabic" w:hAnsi="Traditional Arabic"/>
          <w:color w:val="auto"/>
          <w:rtl/>
        </w:rPr>
        <w:t>َ</w:t>
      </w:r>
      <w:r w:rsidRPr="00FB0CD8">
        <w:rPr>
          <w:rFonts w:ascii="Traditional Arabic" w:hAnsi="Traditional Arabic" w:hint="cs"/>
          <w:color w:val="auto"/>
          <w:rtl/>
        </w:rPr>
        <w:t>ف</w:t>
      </w:r>
      <w:r w:rsidRPr="00FB0CD8">
        <w:rPr>
          <w:rFonts w:ascii="Traditional Arabic" w:hAnsi="Traditional Arabic"/>
          <w:color w:val="auto"/>
          <w:rtl/>
        </w:rPr>
        <w:t>ْ</w:t>
      </w:r>
      <w:r w:rsidRPr="00FB0CD8">
        <w:rPr>
          <w:rFonts w:ascii="Traditional Arabic" w:hAnsi="Traditional Arabic" w:hint="cs"/>
          <w:color w:val="auto"/>
          <w:rtl/>
        </w:rPr>
        <w:t>ع هذا الضرر عنه</w:t>
      </w:r>
      <w:r w:rsidR="00FB0CD8">
        <w:rPr>
          <w:rFonts w:ascii="Traditional Arabic" w:hAnsi="Traditional Arabic" w:hint="cs"/>
          <w:color w:val="auto"/>
          <w:rtl/>
        </w:rPr>
        <w:t>،     و</w:t>
      </w:r>
      <w:r w:rsidRPr="00FB61AE">
        <w:rPr>
          <w:rFonts w:ascii="Traditional Arabic" w:hAnsi="Traditional Arabic" w:hint="cs"/>
          <w:color w:val="auto"/>
          <w:rtl/>
        </w:rPr>
        <w:t>ذلك بأن ي</w:t>
      </w:r>
      <w:r w:rsidR="00FB0CD8">
        <w:rPr>
          <w:rFonts w:ascii="Traditional Arabic" w:hAnsi="Traditional Arabic" w:hint="cs"/>
          <w:color w:val="auto"/>
          <w:rtl/>
        </w:rPr>
        <w:t>ُ</w:t>
      </w:r>
      <w:r w:rsidRPr="00FB61AE">
        <w:rPr>
          <w:rFonts w:ascii="Traditional Arabic" w:hAnsi="Traditional Arabic" w:hint="cs"/>
          <w:color w:val="auto"/>
          <w:rtl/>
        </w:rPr>
        <w:t>لزم الحاكم ب</w:t>
      </w:r>
      <w:r w:rsidRPr="00FB61AE">
        <w:rPr>
          <w:rFonts w:ascii="Traditional Arabic" w:hAnsi="Traditional Arabic"/>
          <w:color w:val="auto"/>
          <w:rtl/>
        </w:rPr>
        <w:t>ِ</w:t>
      </w:r>
      <w:r w:rsidRPr="00FB61AE">
        <w:rPr>
          <w:rFonts w:ascii="Traditional Arabic" w:hAnsi="Traditional Arabic" w:hint="cs"/>
          <w:color w:val="auto"/>
          <w:rtl/>
        </w:rPr>
        <w:t>س</w:t>
      </w:r>
      <w:r w:rsidRPr="00FB61AE">
        <w:rPr>
          <w:rFonts w:ascii="Traditional Arabic" w:hAnsi="Traditional Arabic"/>
          <w:color w:val="auto"/>
          <w:rtl/>
        </w:rPr>
        <w:t>ُ</w:t>
      </w:r>
      <w:r w:rsidRPr="00FB61AE">
        <w:rPr>
          <w:rFonts w:ascii="Traditional Arabic" w:hAnsi="Traditional Arabic" w:hint="cs"/>
          <w:color w:val="auto"/>
          <w:rtl/>
        </w:rPr>
        <w:t>ر</w:t>
      </w:r>
      <w:r w:rsidRPr="00FB61AE">
        <w:rPr>
          <w:rFonts w:ascii="Traditional Arabic" w:hAnsi="Traditional Arabic"/>
          <w:color w:val="auto"/>
          <w:rtl/>
        </w:rPr>
        <w:t>ْ</w:t>
      </w:r>
      <w:r w:rsidRPr="00FB61AE">
        <w:rPr>
          <w:rFonts w:ascii="Traditional Arabic" w:hAnsi="Traditional Arabic" w:hint="cs"/>
          <w:color w:val="auto"/>
          <w:rtl/>
        </w:rPr>
        <w:t>عة الفك</w:t>
      </w:r>
      <w:r w:rsidRPr="00FB61AE">
        <w:rPr>
          <w:rFonts w:ascii="Traditional Arabic" w:hAnsi="Traditional Arabic"/>
          <w:color w:val="auto"/>
          <w:rtl/>
        </w:rPr>
        <w:t>ّ</w:t>
      </w:r>
      <w:r w:rsidRPr="00FB61AE">
        <w:rPr>
          <w:rFonts w:ascii="Traditional Arabic" w:hAnsi="Traditional Arabic" w:hint="cs"/>
          <w:color w:val="auto"/>
          <w:rtl/>
        </w:rPr>
        <w:t xml:space="preserve"> عنه؛</w:t>
      </w:r>
      <w:r w:rsidR="00FB0CD8">
        <w:rPr>
          <w:rFonts w:ascii="Traditional Arabic" w:hAnsi="Traditional Arabic" w:hint="cs"/>
          <w:b/>
          <w:bCs/>
          <w:color w:val="auto"/>
          <w:rtl/>
        </w:rPr>
        <w:t xml:space="preserve"> </w:t>
      </w:r>
      <w:r w:rsidRPr="00FB0CD8">
        <w:rPr>
          <w:rFonts w:ascii="Traditional Arabic" w:hAnsi="Traditional Arabic" w:hint="cs"/>
          <w:color w:val="auto"/>
          <w:rtl/>
        </w:rPr>
        <w:t>لأن الضرر ممنوع شرعا.</w:t>
      </w:r>
    </w:p>
    <w:p w:rsidR="00F665A6" w:rsidRDefault="00F665A6" w:rsidP="000A76C7">
      <w:pPr>
        <w:pStyle w:val="afc"/>
        <w:numPr>
          <w:ilvl w:val="0"/>
          <w:numId w:val="130"/>
        </w:numPr>
        <w:rPr>
          <w:rFonts w:ascii="Traditional Arabic" w:hAnsi="Traditional Arabic"/>
          <w:color w:val="auto"/>
        </w:rPr>
      </w:pPr>
      <w:r>
        <w:rPr>
          <w:rFonts w:ascii="Traditional Arabic" w:hAnsi="Traditional Arabic" w:hint="cs"/>
          <w:color w:val="auto"/>
          <w:rtl/>
        </w:rPr>
        <w:t>لا يجوز للوكيل أن يبيع بغير ن</w:t>
      </w:r>
      <w:r>
        <w:rPr>
          <w:rFonts w:ascii="Traditional Arabic" w:hAnsi="Traditional Arabic"/>
          <w:color w:val="auto"/>
          <w:rtl/>
        </w:rPr>
        <w:t>َ</w:t>
      </w:r>
      <w:r>
        <w:rPr>
          <w:rFonts w:ascii="Traditional Arabic" w:hAnsi="Traditional Arabic" w:hint="cs"/>
          <w:color w:val="auto"/>
          <w:rtl/>
        </w:rPr>
        <w:t>ق</w:t>
      </w:r>
      <w:r>
        <w:rPr>
          <w:rFonts w:ascii="Traditional Arabic" w:hAnsi="Traditional Arabic"/>
          <w:color w:val="auto"/>
          <w:rtl/>
        </w:rPr>
        <w:t>ْ</w:t>
      </w:r>
      <w:r>
        <w:rPr>
          <w:rFonts w:ascii="Traditional Arabic" w:hAnsi="Traditional Arabic" w:hint="cs"/>
          <w:color w:val="auto"/>
          <w:rtl/>
        </w:rPr>
        <w:t xml:space="preserve">د البلد </w:t>
      </w:r>
      <w:r>
        <w:rPr>
          <w:rFonts w:ascii="Traditional Arabic" w:hAnsi="Traditional Arabic"/>
          <w:color w:val="auto"/>
          <w:rtl/>
        </w:rPr>
        <w:t>ﺇ</w:t>
      </w:r>
      <w:r>
        <w:rPr>
          <w:rFonts w:ascii="Traditional Arabic" w:hAnsi="Traditional Arabic" w:hint="cs"/>
          <w:color w:val="auto"/>
          <w:rtl/>
        </w:rPr>
        <w:t xml:space="preserve">لا </w:t>
      </w:r>
      <w:r>
        <w:rPr>
          <w:rFonts w:ascii="Traditional Arabic" w:hAnsi="Traditional Arabic"/>
          <w:color w:val="auto"/>
          <w:rtl/>
        </w:rPr>
        <w:t>ﺇ</w:t>
      </w:r>
      <w:r>
        <w:rPr>
          <w:rFonts w:ascii="Traditional Arabic" w:hAnsi="Traditional Arabic" w:hint="cs"/>
          <w:color w:val="auto"/>
          <w:rtl/>
        </w:rPr>
        <w:t>ذا كان هذا النقد أغلى من نقد البلد</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51"/>
      </w:r>
      <w:r w:rsidRPr="00C821A1">
        <w:rPr>
          <w:rFonts w:ascii="Traditional Arabic" w:hAnsi="Traditional Arabic" w:hint="cs"/>
          <w:color w:val="auto"/>
          <w:szCs w:val="32"/>
          <w:vertAlign w:val="superscript"/>
          <w:rtl/>
        </w:rPr>
        <w:t>)</w:t>
      </w:r>
      <w:r>
        <w:rPr>
          <w:rFonts w:ascii="Traditional Arabic" w:hAnsi="Traditional Arabic" w:hint="cs"/>
          <w:color w:val="auto"/>
          <w:rtl/>
        </w:rPr>
        <w:t>.</w:t>
      </w:r>
    </w:p>
    <w:p w:rsidR="00F665A6" w:rsidRDefault="00F665A6" w:rsidP="00597C20">
      <w:pPr>
        <w:pStyle w:val="53"/>
        <w:rPr>
          <w:rFonts w:ascii="Traditional Arabic" w:hAnsi="Traditional Arabic"/>
          <w:rtl/>
        </w:rPr>
      </w:pPr>
      <w:r w:rsidRPr="00922864">
        <w:rPr>
          <w:rFonts w:hint="cs"/>
          <w:rtl/>
        </w:rPr>
        <w:t>وجه اندراج الفرع تحت القاعدة:</w:t>
      </w:r>
    </w:p>
    <w:p w:rsidR="00F665A6" w:rsidRPr="00FB61AE" w:rsidRDefault="00F665A6" w:rsidP="00597C20">
      <w:pPr>
        <w:ind w:firstLine="720"/>
        <w:rPr>
          <w:rFonts w:ascii="Traditional Arabic" w:hAnsi="Traditional Arabic"/>
          <w:color w:val="auto"/>
          <w:rtl/>
        </w:rPr>
      </w:pPr>
      <w:r w:rsidRPr="00FB61AE">
        <w:rPr>
          <w:rFonts w:ascii="Traditional Arabic" w:hAnsi="Traditional Arabic"/>
          <w:color w:val="auto"/>
          <w:rtl/>
        </w:rPr>
        <w:t>ﺇ</w:t>
      </w:r>
      <w:r w:rsidRPr="00FB61AE">
        <w:rPr>
          <w:rFonts w:ascii="Traditional Arabic" w:hAnsi="Traditional Arabic" w:hint="cs"/>
          <w:color w:val="auto"/>
          <w:rtl/>
        </w:rPr>
        <w:t xml:space="preserve">ن مطالبة الوكيل بنقد البلد مع أن ما باع به أغلى، </w:t>
      </w:r>
      <w:r w:rsidRPr="00FB0CD8">
        <w:rPr>
          <w:rFonts w:ascii="Traditional Arabic" w:hAnsi="Traditional Arabic" w:hint="cs"/>
          <w:color w:val="auto"/>
          <w:rtl/>
        </w:rPr>
        <w:t xml:space="preserve">ما هو </w:t>
      </w:r>
      <w:r w:rsidRPr="00FB0CD8">
        <w:rPr>
          <w:rFonts w:ascii="Traditional Arabic" w:hAnsi="Traditional Arabic"/>
          <w:color w:val="auto"/>
          <w:rtl/>
        </w:rPr>
        <w:t>ﺇ</w:t>
      </w:r>
      <w:r w:rsidRPr="00FB0CD8">
        <w:rPr>
          <w:rFonts w:ascii="Traditional Arabic" w:hAnsi="Traditional Arabic" w:hint="cs"/>
          <w:color w:val="auto"/>
          <w:rtl/>
        </w:rPr>
        <w:t xml:space="preserve">لا </w:t>
      </w:r>
      <w:r w:rsidRPr="00FB0CD8">
        <w:rPr>
          <w:rFonts w:ascii="Traditional Arabic" w:hAnsi="Traditional Arabic"/>
          <w:color w:val="auto"/>
          <w:rtl/>
        </w:rPr>
        <w:t>ﺇ</w:t>
      </w:r>
      <w:r w:rsidRPr="00FB0CD8">
        <w:rPr>
          <w:rFonts w:ascii="Traditional Arabic" w:hAnsi="Traditional Arabic" w:hint="cs"/>
          <w:color w:val="auto"/>
          <w:rtl/>
        </w:rPr>
        <w:t>ضرار</w:t>
      </w:r>
      <w:r w:rsidRPr="00FB61AE">
        <w:rPr>
          <w:rFonts w:ascii="Traditional Arabic" w:hAnsi="Traditional Arabic" w:hint="cs"/>
          <w:color w:val="auto"/>
          <w:rtl/>
        </w:rPr>
        <w:t>،</w:t>
      </w:r>
      <w:r w:rsidR="00154102" w:rsidRPr="00FB61AE">
        <w:rPr>
          <w:rFonts w:ascii="Traditional Arabic" w:hAnsi="Traditional Arabic" w:hint="cs"/>
          <w:color w:val="auto"/>
          <w:rtl/>
        </w:rPr>
        <w:t xml:space="preserve"> و</w:t>
      </w:r>
      <w:r w:rsidRPr="00FB61AE">
        <w:rPr>
          <w:rFonts w:ascii="Traditional Arabic" w:hAnsi="Traditional Arabic" w:hint="cs"/>
          <w:color w:val="auto"/>
          <w:rtl/>
        </w:rPr>
        <w:t xml:space="preserve">قد قال النبي </w:t>
      </w:r>
      <w:r w:rsidRPr="00FB61AE">
        <w:rPr>
          <w:rFonts w:ascii="Traditional Arabic" w:hAnsi="Traditional Arabic" w:cs="CTraditional Arabic" w:hint="cs"/>
          <w:color w:val="auto"/>
          <w:rtl/>
        </w:rPr>
        <w:t>&gt;</w:t>
      </w:r>
      <w:r w:rsidRPr="00FB61AE">
        <w:rPr>
          <w:rFonts w:ascii="Traditional Arabic" w:hAnsi="Traditional Arabic" w:hint="cs"/>
          <w:color w:val="auto"/>
          <w:rtl/>
        </w:rPr>
        <w:t>:"</w:t>
      </w:r>
      <w:r w:rsidRPr="00FB0CD8">
        <w:rPr>
          <w:rFonts w:ascii="Traditional Arabic" w:hAnsi="Traditional Arabic" w:hint="cs"/>
          <w:color w:val="auto"/>
          <w:rtl/>
        </w:rPr>
        <w:t>لا ضرر</w:t>
      </w:r>
      <w:r w:rsidR="00154102" w:rsidRPr="00FB0CD8">
        <w:rPr>
          <w:rFonts w:ascii="Traditional Arabic" w:hAnsi="Traditional Arabic" w:hint="cs"/>
          <w:color w:val="auto"/>
          <w:rtl/>
        </w:rPr>
        <w:t xml:space="preserve"> و</w:t>
      </w:r>
      <w:r w:rsidRPr="00FB0CD8">
        <w:rPr>
          <w:rFonts w:ascii="Traditional Arabic" w:hAnsi="Traditional Arabic" w:hint="cs"/>
          <w:color w:val="auto"/>
          <w:rtl/>
        </w:rPr>
        <w:t>ضرار</w:t>
      </w:r>
      <w:r w:rsidRPr="00FB61AE">
        <w:rPr>
          <w:rFonts w:ascii="Traditional Arabic" w:hAnsi="Traditional Arabic" w:hint="cs"/>
          <w:color w:val="auto"/>
          <w:rtl/>
        </w:rPr>
        <w:t>"</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52"/>
      </w:r>
      <w:r w:rsidRPr="00C821A1">
        <w:rPr>
          <w:rFonts w:ascii="Traditional Arabic" w:hAnsi="Traditional Arabic" w:hint="cs"/>
          <w:color w:val="auto"/>
          <w:szCs w:val="32"/>
          <w:vertAlign w:val="superscript"/>
          <w:rtl/>
        </w:rPr>
        <w:t>)</w:t>
      </w:r>
      <w:r w:rsidRPr="00FB61AE">
        <w:rPr>
          <w:rFonts w:ascii="Traditional Arabic" w:hAnsi="Traditional Arabic" w:hint="cs"/>
          <w:color w:val="auto"/>
          <w:rtl/>
        </w:rPr>
        <w:t>.</w:t>
      </w:r>
    </w:p>
    <w:p w:rsidR="00F665A6" w:rsidRDefault="00F665A6" w:rsidP="000A76C7">
      <w:pPr>
        <w:pStyle w:val="afc"/>
        <w:numPr>
          <w:ilvl w:val="0"/>
          <w:numId w:val="130"/>
        </w:numPr>
        <w:rPr>
          <w:rFonts w:ascii="Traditional Arabic" w:hAnsi="Traditional Arabic"/>
          <w:color w:val="auto"/>
        </w:rPr>
      </w:pPr>
      <w:r>
        <w:rPr>
          <w:rFonts w:ascii="Traditional Arabic" w:hAnsi="Traditional Arabic"/>
          <w:color w:val="auto"/>
          <w:rtl/>
        </w:rPr>
        <w:lastRenderedPageBreak/>
        <w:t>ﺇ</w:t>
      </w:r>
      <w:r>
        <w:rPr>
          <w:rFonts w:ascii="Traditional Arabic" w:hAnsi="Traditional Arabic" w:hint="cs"/>
          <w:color w:val="auto"/>
          <w:rtl/>
        </w:rPr>
        <w:t>ذا أ</w:t>
      </w:r>
      <w:r>
        <w:rPr>
          <w:rFonts w:ascii="Traditional Arabic" w:hAnsi="Traditional Arabic"/>
          <w:color w:val="auto"/>
          <w:rtl/>
        </w:rPr>
        <w:t>َ</w:t>
      </w:r>
      <w:r>
        <w:rPr>
          <w:rFonts w:ascii="Traditional Arabic" w:hAnsi="Traditional Arabic" w:hint="cs"/>
          <w:color w:val="auto"/>
          <w:rtl/>
        </w:rPr>
        <w:t>د</w:t>
      </w:r>
      <w:r>
        <w:rPr>
          <w:rFonts w:ascii="Traditional Arabic" w:hAnsi="Traditional Arabic"/>
          <w:color w:val="auto"/>
          <w:rtl/>
        </w:rPr>
        <w:t>ْ</w:t>
      </w:r>
      <w:r>
        <w:rPr>
          <w:rFonts w:ascii="Traditional Arabic" w:hAnsi="Traditional Arabic" w:hint="cs"/>
          <w:color w:val="auto"/>
          <w:rtl/>
        </w:rPr>
        <w:t>خ</w:t>
      </w:r>
      <w:r>
        <w:rPr>
          <w:rFonts w:ascii="Traditional Arabic" w:hAnsi="Traditional Arabic"/>
          <w:color w:val="auto"/>
          <w:rtl/>
        </w:rPr>
        <w:t>َ</w:t>
      </w:r>
      <w:r>
        <w:rPr>
          <w:rFonts w:ascii="Traditional Arabic" w:hAnsi="Traditional Arabic" w:hint="cs"/>
          <w:color w:val="auto"/>
          <w:rtl/>
        </w:rPr>
        <w:t>ل الشريكان في ش</w:t>
      </w:r>
      <w:r>
        <w:rPr>
          <w:rFonts w:ascii="Traditional Arabic" w:hAnsi="Traditional Arabic"/>
          <w:color w:val="auto"/>
          <w:rtl/>
        </w:rPr>
        <w:t>َ</w:t>
      </w:r>
      <w:r>
        <w:rPr>
          <w:rFonts w:ascii="Traditional Arabic" w:hAnsi="Traditional Arabic" w:hint="cs"/>
          <w:color w:val="auto"/>
          <w:rtl/>
        </w:rPr>
        <w:t>ر</w:t>
      </w:r>
      <w:r>
        <w:rPr>
          <w:rFonts w:ascii="Traditional Arabic" w:hAnsi="Traditional Arabic"/>
          <w:color w:val="auto"/>
          <w:rtl/>
        </w:rPr>
        <w:t>ِ</w:t>
      </w:r>
      <w:r>
        <w:rPr>
          <w:rFonts w:ascii="Traditional Arabic" w:hAnsi="Traditional Arabic" w:hint="cs"/>
          <w:color w:val="auto"/>
          <w:rtl/>
        </w:rPr>
        <w:t>كة ال</w:t>
      </w:r>
      <w:r>
        <w:rPr>
          <w:rFonts w:ascii="Traditional Arabic" w:hAnsi="Traditional Arabic"/>
          <w:color w:val="auto"/>
          <w:rtl/>
        </w:rPr>
        <w:t>ْ</w:t>
      </w:r>
      <w:r>
        <w:rPr>
          <w:rFonts w:ascii="Traditional Arabic" w:hAnsi="Traditional Arabic" w:hint="cs"/>
          <w:color w:val="auto"/>
          <w:rtl/>
        </w:rPr>
        <w:t>م</w:t>
      </w:r>
      <w:r>
        <w:rPr>
          <w:rFonts w:ascii="Traditional Arabic" w:hAnsi="Traditional Arabic"/>
          <w:color w:val="auto"/>
          <w:rtl/>
        </w:rPr>
        <w:t>ُ</w:t>
      </w:r>
      <w:r>
        <w:rPr>
          <w:rFonts w:ascii="Traditional Arabic" w:hAnsi="Traditional Arabic" w:hint="cs"/>
          <w:color w:val="auto"/>
          <w:rtl/>
        </w:rPr>
        <w:t>فاو</w:t>
      </w:r>
      <w:r>
        <w:rPr>
          <w:rFonts w:ascii="Traditional Arabic" w:hAnsi="Traditional Arabic"/>
          <w:color w:val="auto"/>
          <w:rtl/>
        </w:rPr>
        <w:t>َ</w:t>
      </w:r>
      <w:r>
        <w:rPr>
          <w:rFonts w:ascii="Traditional Arabic" w:hAnsi="Traditional Arabic" w:hint="cs"/>
          <w:color w:val="auto"/>
          <w:rtl/>
        </w:rPr>
        <w:t>ضة</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53"/>
      </w:r>
      <w:r w:rsidRPr="00C821A1">
        <w:rPr>
          <w:rFonts w:ascii="Traditional Arabic" w:hAnsi="Traditional Arabic" w:hint="cs"/>
          <w:color w:val="auto"/>
          <w:szCs w:val="32"/>
          <w:vertAlign w:val="superscript"/>
          <w:rtl/>
        </w:rPr>
        <w:t>)</w:t>
      </w:r>
      <w:r>
        <w:rPr>
          <w:rFonts w:ascii="Traditional Arabic" w:hAnsi="Traditional Arabic" w:hint="cs"/>
          <w:color w:val="auto"/>
          <w:rtl/>
        </w:rPr>
        <w:t xml:space="preserve"> ما ي</w:t>
      </w:r>
      <w:r>
        <w:rPr>
          <w:rFonts w:ascii="Traditional Arabic" w:hAnsi="Traditional Arabic"/>
          <w:color w:val="auto"/>
          <w:rtl/>
        </w:rPr>
        <w:t>َ</w:t>
      </w:r>
      <w:r>
        <w:rPr>
          <w:rFonts w:ascii="Traditional Arabic" w:hAnsi="Traditional Arabic" w:hint="cs"/>
          <w:color w:val="auto"/>
          <w:rtl/>
        </w:rPr>
        <w:t>لز</w:t>
      </w:r>
      <w:r>
        <w:rPr>
          <w:rFonts w:ascii="Traditional Arabic" w:hAnsi="Traditional Arabic"/>
          <w:color w:val="auto"/>
          <w:rtl/>
        </w:rPr>
        <w:t>َ</w:t>
      </w:r>
      <w:r>
        <w:rPr>
          <w:rFonts w:ascii="Traditional Arabic" w:hAnsi="Traditional Arabic" w:hint="cs"/>
          <w:color w:val="auto"/>
          <w:rtl/>
        </w:rPr>
        <w:t>م أحد</w:t>
      </w:r>
      <w:r>
        <w:rPr>
          <w:rFonts w:ascii="Traditional Arabic" w:hAnsi="Traditional Arabic"/>
          <w:color w:val="auto"/>
          <w:rtl/>
        </w:rPr>
        <w:t>َ</w:t>
      </w:r>
      <w:r>
        <w:rPr>
          <w:rFonts w:ascii="Traditional Arabic" w:hAnsi="Traditional Arabic" w:hint="cs"/>
          <w:color w:val="auto"/>
          <w:rtl/>
        </w:rPr>
        <w:t>هما من ضمان</w:t>
      </w:r>
      <w:r>
        <w:rPr>
          <w:rFonts w:ascii="Traditional Arabic" w:hAnsi="Traditional Arabic"/>
          <w:color w:val="auto"/>
          <w:rtl/>
        </w:rPr>
        <w:t>ِ</w:t>
      </w:r>
      <w:r>
        <w:rPr>
          <w:rFonts w:ascii="Traditional Arabic" w:hAnsi="Traditional Arabic" w:hint="cs"/>
          <w:color w:val="auto"/>
          <w:rtl/>
        </w:rPr>
        <w:t xml:space="preserve"> الغ</w:t>
      </w:r>
      <w:r>
        <w:rPr>
          <w:rFonts w:ascii="Traditional Arabic" w:hAnsi="Traditional Arabic"/>
          <w:color w:val="auto"/>
          <w:rtl/>
        </w:rPr>
        <w:t>َ</w:t>
      </w:r>
      <w:r>
        <w:rPr>
          <w:rFonts w:ascii="Traditional Arabic" w:hAnsi="Traditional Arabic" w:hint="cs"/>
          <w:color w:val="auto"/>
          <w:rtl/>
        </w:rPr>
        <w:t>ص</w:t>
      </w:r>
      <w:r>
        <w:rPr>
          <w:rFonts w:ascii="Traditional Arabic" w:hAnsi="Traditional Arabic"/>
          <w:color w:val="auto"/>
          <w:rtl/>
        </w:rPr>
        <w:t>ْ</w:t>
      </w:r>
      <w:r>
        <w:rPr>
          <w:rFonts w:ascii="Traditional Arabic" w:hAnsi="Traditional Arabic" w:hint="cs"/>
          <w:color w:val="auto"/>
          <w:rtl/>
        </w:rPr>
        <w:t>ب</w:t>
      </w:r>
      <w:r>
        <w:rPr>
          <w:rFonts w:ascii="Traditional Arabic" w:hAnsi="Traditional Arabic"/>
          <w:color w:val="auto"/>
          <w:rtl/>
        </w:rPr>
        <w:t>ِ</w:t>
      </w:r>
      <w:r w:rsidR="00406889">
        <w:rPr>
          <w:rFonts w:ascii="Traditional Arabic" w:hAnsi="Traditional Arabic" w:hint="cs"/>
          <w:color w:val="auto"/>
          <w:rtl/>
        </w:rPr>
        <w:t xml:space="preserve"> </w:t>
      </w:r>
      <w:r w:rsidR="00154102">
        <w:rPr>
          <w:rFonts w:ascii="Traditional Arabic" w:hAnsi="Traditional Arabic" w:hint="cs"/>
          <w:color w:val="auto"/>
          <w:rtl/>
        </w:rPr>
        <w:t>و</w:t>
      </w:r>
      <w:r>
        <w:rPr>
          <w:rFonts w:ascii="Traditional Arabic" w:hAnsi="Traditional Arabic" w:hint="cs"/>
          <w:color w:val="auto"/>
          <w:rtl/>
        </w:rPr>
        <w:t>ا</w:t>
      </w:r>
      <w:r>
        <w:rPr>
          <w:rFonts w:ascii="Traditional Arabic" w:hAnsi="Traditional Arabic"/>
          <w:color w:val="auto"/>
          <w:rtl/>
        </w:rPr>
        <w:t>ﻹ</w:t>
      </w:r>
      <w:r>
        <w:rPr>
          <w:rFonts w:ascii="Traditional Arabic" w:hAnsi="Traditional Arabic" w:hint="cs"/>
          <w:color w:val="auto"/>
          <w:rtl/>
        </w:rPr>
        <w:t>تلافات</w:t>
      </w:r>
      <w:r>
        <w:rPr>
          <w:rFonts w:ascii="Traditional Arabic" w:hAnsi="Traditional Arabic"/>
          <w:color w:val="auto"/>
          <w:rtl/>
        </w:rPr>
        <w:t>ِ</w:t>
      </w:r>
      <w:r w:rsidR="00154102">
        <w:rPr>
          <w:rFonts w:ascii="Traditional Arabic" w:hAnsi="Traditional Arabic" w:hint="cs"/>
          <w:color w:val="auto"/>
          <w:rtl/>
        </w:rPr>
        <w:t xml:space="preserve"> و</w:t>
      </w:r>
      <w:r>
        <w:rPr>
          <w:rFonts w:ascii="Traditional Arabic" w:hAnsi="Traditional Arabic" w:hint="cs"/>
          <w:color w:val="auto"/>
          <w:rtl/>
        </w:rPr>
        <w:t>ما أ</w:t>
      </w:r>
      <w:r>
        <w:rPr>
          <w:rFonts w:ascii="Traditional Arabic" w:hAnsi="Traditional Arabic"/>
          <w:color w:val="auto"/>
          <w:rtl/>
        </w:rPr>
        <w:t>َ</w:t>
      </w:r>
      <w:r>
        <w:rPr>
          <w:rFonts w:ascii="Traditional Arabic" w:hAnsi="Traditional Arabic" w:hint="cs"/>
          <w:color w:val="auto"/>
          <w:rtl/>
        </w:rPr>
        <w:t>ش</w:t>
      </w:r>
      <w:r>
        <w:rPr>
          <w:rFonts w:ascii="Traditional Arabic" w:hAnsi="Traditional Arabic"/>
          <w:color w:val="auto"/>
          <w:rtl/>
        </w:rPr>
        <w:t>ْ</w:t>
      </w:r>
      <w:r>
        <w:rPr>
          <w:rFonts w:ascii="Traditional Arabic" w:hAnsi="Traditional Arabic" w:hint="cs"/>
          <w:color w:val="auto"/>
          <w:rtl/>
        </w:rPr>
        <w:t>ب</w:t>
      </w:r>
      <w:r>
        <w:rPr>
          <w:rFonts w:ascii="Traditional Arabic" w:hAnsi="Traditional Arabic"/>
          <w:color w:val="auto"/>
          <w:rtl/>
        </w:rPr>
        <w:t>َ</w:t>
      </w:r>
      <w:r>
        <w:rPr>
          <w:rFonts w:ascii="Traditional Arabic" w:hAnsi="Traditional Arabic" w:hint="cs"/>
          <w:color w:val="auto"/>
          <w:rtl/>
        </w:rPr>
        <w:t>ه</w:t>
      </w:r>
      <w:r>
        <w:rPr>
          <w:rFonts w:ascii="Traditional Arabic" w:hAnsi="Traditional Arabic"/>
          <w:color w:val="auto"/>
          <w:rtl/>
        </w:rPr>
        <w:t>َ</w:t>
      </w:r>
      <w:r>
        <w:rPr>
          <w:rFonts w:ascii="Traditional Arabic" w:hAnsi="Traditional Arabic" w:hint="cs"/>
          <w:color w:val="auto"/>
          <w:rtl/>
        </w:rPr>
        <w:t xml:space="preserve"> ذلك، </w:t>
      </w:r>
      <w:r>
        <w:rPr>
          <w:rFonts w:ascii="Traditional Arabic" w:hAnsi="Traditional Arabic"/>
          <w:color w:val="auto"/>
          <w:rtl/>
        </w:rPr>
        <w:t>ﻓﺈ</w:t>
      </w:r>
      <w:r>
        <w:rPr>
          <w:rFonts w:ascii="Traditional Arabic" w:hAnsi="Traditional Arabic" w:hint="cs"/>
          <w:color w:val="auto"/>
          <w:rtl/>
        </w:rPr>
        <w:t>ن</w:t>
      </w:r>
      <w:r>
        <w:rPr>
          <w:rFonts w:ascii="Traditional Arabic" w:hAnsi="Traditional Arabic"/>
          <w:color w:val="auto"/>
          <w:rtl/>
        </w:rPr>
        <w:t>ّ</w:t>
      </w:r>
      <w:r>
        <w:rPr>
          <w:rFonts w:ascii="Traditional Arabic" w:hAnsi="Traditional Arabic" w:hint="cs"/>
          <w:color w:val="auto"/>
          <w:rtl/>
        </w:rPr>
        <w:t xml:space="preserve"> عقد الشركة يكون فاسد</w:t>
      </w:r>
      <w:r>
        <w:rPr>
          <w:rFonts w:ascii="Traditional Arabic" w:hAnsi="Traditional Arabic"/>
          <w:color w:val="auto"/>
          <w:rtl/>
        </w:rPr>
        <w:t>ً</w:t>
      </w:r>
      <w:r>
        <w:rPr>
          <w:rFonts w:ascii="Traditional Arabic" w:hAnsi="Traditional Arabic" w:hint="cs"/>
          <w:color w:val="auto"/>
          <w:rtl/>
        </w:rPr>
        <w:t>ا</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54"/>
      </w:r>
      <w:r w:rsidRPr="00C821A1">
        <w:rPr>
          <w:rFonts w:ascii="Traditional Arabic" w:hAnsi="Traditional Arabic" w:hint="cs"/>
          <w:color w:val="auto"/>
          <w:szCs w:val="32"/>
          <w:vertAlign w:val="superscript"/>
          <w:rtl/>
        </w:rPr>
        <w:t>)</w:t>
      </w:r>
      <w:r>
        <w:rPr>
          <w:rFonts w:ascii="Traditional Arabic" w:hAnsi="Traditional Arabic" w:hint="cs"/>
          <w:color w:val="auto"/>
          <w:rtl/>
        </w:rPr>
        <w:t>.</w:t>
      </w:r>
    </w:p>
    <w:p w:rsidR="00065E4B" w:rsidRPr="002D0396" w:rsidRDefault="00F665A6" w:rsidP="00597C20">
      <w:pPr>
        <w:pStyle w:val="53"/>
        <w:rPr>
          <w:rtl/>
        </w:rPr>
      </w:pPr>
      <w:r w:rsidRPr="002D0396">
        <w:rPr>
          <w:rFonts w:hint="cs"/>
          <w:rtl/>
        </w:rPr>
        <w:t>وجه اندراج الفرع تحت القاعدة:</w:t>
      </w:r>
    </w:p>
    <w:p w:rsidR="00F665A6" w:rsidRPr="002D0396" w:rsidRDefault="00065E4B" w:rsidP="00597C20">
      <w:pPr>
        <w:ind w:firstLine="720"/>
        <w:rPr>
          <w:rFonts w:ascii="Traditional Arabic" w:hAnsi="Traditional Arabic"/>
          <w:color w:val="auto"/>
          <w:rtl/>
        </w:rPr>
      </w:pPr>
      <w:r w:rsidRPr="002D0396">
        <w:rPr>
          <w:rFonts w:cs="Times New Roman"/>
          <w:color w:val="auto"/>
          <w:rtl/>
        </w:rPr>
        <w:t>ﺇ</w:t>
      </w:r>
      <w:r w:rsidR="00F665A6" w:rsidRPr="002D0396">
        <w:rPr>
          <w:rFonts w:hint="cs"/>
          <w:color w:val="auto"/>
          <w:rtl/>
        </w:rPr>
        <w:t>ن</w:t>
      </w:r>
      <w:r w:rsidR="00F665A6" w:rsidRPr="002D0396">
        <w:rPr>
          <w:rFonts w:ascii="Traditional Arabic" w:hAnsi="Traditional Arabic"/>
          <w:color w:val="auto"/>
          <w:rtl/>
        </w:rPr>
        <w:t>ّ</w:t>
      </w:r>
      <w:r w:rsidR="00F665A6" w:rsidRPr="002D0396">
        <w:rPr>
          <w:rFonts w:hint="cs"/>
          <w:color w:val="auto"/>
          <w:rtl/>
        </w:rPr>
        <w:t xml:space="preserve"> الحكم بفساد هذا العقد في هذه الحالة </w:t>
      </w:r>
      <w:r w:rsidR="00F665A6" w:rsidRPr="00FB0CD8">
        <w:rPr>
          <w:rFonts w:ascii="Traditional Arabic" w:hAnsi="Traditional Arabic"/>
          <w:color w:val="auto"/>
          <w:rtl/>
        </w:rPr>
        <w:t>راجع</w:t>
      </w:r>
      <w:r w:rsidR="00FB0CD8">
        <w:rPr>
          <w:rFonts w:ascii="Traditional Arabic" w:hAnsi="Traditional Arabic" w:hint="cs"/>
          <w:color w:val="auto"/>
          <w:rtl/>
        </w:rPr>
        <w:t>ٌ</w:t>
      </w:r>
      <w:r w:rsidR="00F665A6" w:rsidRPr="00FB0CD8">
        <w:rPr>
          <w:rFonts w:ascii="Traditional Arabic" w:hAnsi="Traditional Arabic"/>
          <w:color w:val="auto"/>
          <w:rtl/>
        </w:rPr>
        <w:t xml:space="preserve"> ﺇلى ما يترتّب عليه من</w:t>
      </w:r>
      <w:r w:rsidR="00FB0CD8">
        <w:rPr>
          <w:rFonts w:ascii="Traditional Arabic" w:hAnsi="Traditional Arabic" w:hint="cs"/>
          <w:color w:val="auto"/>
          <w:rtl/>
        </w:rPr>
        <w:t xml:space="preserve"> </w:t>
      </w:r>
      <w:r w:rsidR="00F665A6" w:rsidRPr="00FB0CD8">
        <w:rPr>
          <w:rFonts w:ascii="Traditional Arabic" w:hAnsi="Traditional Arabic"/>
          <w:color w:val="auto"/>
          <w:rtl/>
        </w:rPr>
        <w:t>ضررٍ عظيم</w:t>
      </w:r>
      <w:r w:rsidR="00F665A6" w:rsidRPr="002D0396">
        <w:rPr>
          <w:rFonts w:ascii="Traditional Arabic" w:hAnsi="Traditional Arabic" w:hint="cs"/>
          <w:color w:val="auto"/>
          <w:rtl/>
        </w:rPr>
        <w:t>؛</w:t>
      </w:r>
      <w:r w:rsidR="00FB0CD8">
        <w:rPr>
          <w:rFonts w:ascii="Traditional Arabic" w:hAnsi="Traditional Arabic" w:hint="cs"/>
          <w:color w:val="auto"/>
          <w:rtl/>
        </w:rPr>
        <w:t xml:space="preserve"> </w:t>
      </w:r>
      <w:r w:rsidR="00F665A6" w:rsidRPr="002D0396">
        <w:rPr>
          <w:rFonts w:ascii="Traditional Arabic" w:hAnsi="Traditional Arabic"/>
          <w:color w:val="auto"/>
          <w:rtl/>
        </w:rPr>
        <w:t>ﺇ</w:t>
      </w:r>
      <w:r w:rsidR="00F665A6" w:rsidRPr="002D0396">
        <w:rPr>
          <w:rFonts w:ascii="Traditional Arabic" w:hAnsi="Traditional Arabic" w:hint="cs"/>
          <w:color w:val="auto"/>
          <w:rtl/>
        </w:rPr>
        <w:t>ذ يترت</w:t>
      </w:r>
      <w:r w:rsidR="00F665A6" w:rsidRPr="002D0396">
        <w:rPr>
          <w:rFonts w:ascii="Traditional Arabic" w:hAnsi="Traditional Arabic"/>
          <w:color w:val="auto"/>
          <w:rtl/>
        </w:rPr>
        <w:t>ّ</w:t>
      </w:r>
      <w:r w:rsidR="00F665A6" w:rsidRPr="002D0396">
        <w:rPr>
          <w:rFonts w:ascii="Traditional Arabic" w:hAnsi="Traditional Arabic" w:hint="cs"/>
          <w:color w:val="auto"/>
          <w:rtl/>
        </w:rPr>
        <w:t>ب على ذلك أن يتعد</w:t>
      </w:r>
      <w:r w:rsidR="00F665A6" w:rsidRPr="002D0396">
        <w:rPr>
          <w:rFonts w:ascii="Traditional Arabic" w:hAnsi="Traditional Arabic"/>
          <w:color w:val="auto"/>
          <w:rtl/>
        </w:rPr>
        <w:t>ّ</w:t>
      </w:r>
      <w:r w:rsidR="00F665A6" w:rsidRPr="002D0396">
        <w:rPr>
          <w:rFonts w:ascii="Traditional Arabic" w:hAnsi="Traditional Arabic" w:hint="cs"/>
          <w:color w:val="auto"/>
          <w:rtl/>
        </w:rPr>
        <w:t>ى أ</w:t>
      </w:r>
      <w:r w:rsidR="00F665A6" w:rsidRPr="002D0396">
        <w:rPr>
          <w:rFonts w:ascii="Traditional Arabic" w:hAnsi="Traditional Arabic"/>
          <w:color w:val="auto"/>
          <w:rtl/>
        </w:rPr>
        <w:t>َ</w:t>
      </w:r>
      <w:r w:rsidR="00F665A6" w:rsidRPr="002D0396">
        <w:rPr>
          <w:rFonts w:ascii="Traditional Arabic" w:hAnsi="Traditional Arabic" w:hint="cs"/>
          <w:color w:val="auto"/>
          <w:rtl/>
        </w:rPr>
        <w:t>ح</w:t>
      </w:r>
      <w:r w:rsidR="00F665A6" w:rsidRPr="002D0396">
        <w:rPr>
          <w:rFonts w:ascii="Traditional Arabic" w:hAnsi="Traditional Arabic"/>
          <w:color w:val="auto"/>
          <w:rtl/>
        </w:rPr>
        <w:t>َ</w:t>
      </w:r>
      <w:r w:rsidR="00F665A6" w:rsidRPr="002D0396">
        <w:rPr>
          <w:rFonts w:ascii="Traditional Arabic" w:hAnsi="Traditional Arabic" w:hint="cs"/>
          <w:color w:val="auto"/>
          <w:rtl/>
        </w:rPr>
        <w:t>د الشريكين على حقوق الناس</w:t>
      </w:r>
      <w:r w:rsidR="00FB0CD8">
        <w:rPr>
          <w:rFonts w:ascii="Traditional Arabic" w:hAnsi="Traditional Arabic" w:hint="cs"/>
          <w:color w:val="auto"/>
          <w:rtl/>
        </w:rPr>
        <w:t xml:space="preserve"> </w:t>
      </w:r>
      <w:r w:rsidR="00F665A6" w:rsidRPr="002D0396">
        <w:rPr>
          <w:rFonts w:ascii="Traditional Arabic" w:hAnsi="Traditional Arabic" w:hint="cs"/>
          <w:color w:val="auto"/>
          <w:rtl/>
        </w:rPr>
        <w:t>بالغصب،</w:t>
      </w:r>
      <w:r w:rsidR="00154102">
        <w:rPr>
          <w:rFonts w:ascii="Traditional Arabic" w:hAnsi="Traditional Arabic" w:hint="cs"/>
          <w:color w:val="auto"/>
          <w:rtl/>
        </w:rPr>
        <w:t xml:space="preserve"> و</w:t>
      </w:r>
      <w:r w:rsidR="00F665A6" w:rsidRPr="002D0396">
        <w:rPr>
          <w:rFonts w:ascii="Traditional Arabic" w:hAnsi="Traditional Arabic" w:hint="cs"/>
          <w:color w:val="auto"/>
          <w:rtl/>
        </w:rPr>
        <w:t>السر</w:t>
      </w:r>
      <w:r w:rsidR="00F665A6">
        <w:rPr>
          <w:rFonts w:ascii="Traditional Arabic" w:hAnsi="Traditional Arabic"/>
          <w:color w:val="auto"/>
          <w:rtl/>
        </w:rPr>
        <w:t>ِ</w:t>
      </w:r>
      <w:r w:rsidR="00F665A6" w:rsidRPr="002D0396">
        <w:rPr>
          <w:rFonts w:ascii="Traditional Arabic" w:hAnsi="Traditional Arabic" w:hint="cs"/>
          <w:color w:val="auto"/>
          <w:rtl/>
        </w:rPr>
        <w:t>قة،</w:t>
      </w:r>
      <w:r w:rsidR="00154102">
        <w:rPr>
          <w:rFonts w:ascii="Traditional Arabic" w:hAnsi="Traditional Arabic" w:hint="cs"/>
          <w:color w:val="auto"/>
          <w:rtl/>
        </w:rPr>
        <w:t xml:space="preserve"> و</w:t>
      </w:r>
      <w:r w:rsidR="00F665A6" w:rsidRPr="002D0396">
        <w:rPr>
          <w:rFonts w:ascii="Traditional Arabic" w:hAnsi="Traditional Arabic" w:hint="cs"/>
          <w:color w:val="auto"/>
          <w:rtl/>
        </w:rPr>
        <w:t>التك</w:t>
      </w:r>
      <w:r w:rsidR="00F665A6">
        <w:rPr>
          <w:rFonts w:ascii="Traditional Arabic" w:hAnsi="Traditional Arabic"/>
          <w:color w:val="auto"/>
          <w:rtl/>
        </w:rPr>
        <w:t>ْ</w:t>
      </w:r>
      <w:r w:rsidR="00F665A6" w:rsidRPr="002D0396">
        <w:rPr>
          <w:rFonts w:ascii="Traditional Arabic" w:hAnsi="Traditional Arabic" w:hint="cs"/>
          <w:color w:val="auto"/>
          <w:rtl/>
        </w:rPr>
        <w:t>سير،</w:t>
      </w:r>
      <w:r w:rsidR="00154102">
        <w:rPr>
          <w:rFonts w:ascii="Traditional Arabic" w:hAnsi="Traditional Arabic" w:hint="cs"/>
          <w:color w:val="auto"/>
          <w:rtl/>
        </w:rPr>
        <w:t xml:space="preserve"> و</w:t>
      </w:r>
      <w:r w:rsidR="00F665A6" w:rsidRPr="002D0396">
        <w:rPr>
          <w:rFonts w:ascii="Traditional Arabic" w:hAnsi="Traditional Arabic" w:hint="cs"/>
          <w:color w:val="auto"/>
          <w:rtl/>
        </w:rPr>
        <w:t>ا</w:t>
      </w:r>
      <w:r w:rsidR="00F665A6" w:rsidRPr="002D0396">
        <w:rPr>
          <w:rFonts w:ascii="Traditional Arabic" w:hAnsi="Traditional Arabic"/>
          <w:color w:val="auto"/>
          <w:rtl/>
        </w:rPr>
        <w:t>ﻹ</w:t>
      </w:r>
      <w:r w:rsidR="00F665A6" w:rsidRPr="002D0396">
        <w:rPr>
          <w:rFonts w:ascii="Traditional Arabic" w:hAnsi="Traditional Arabic" w:hint="cs"/>
          <w:color w:val="auto"/>
          <w:rtl/>
        </w:rPr>
        <w:t>حراق،</w:t>
      </w:r>
      <w:r w:rsidR="00154102">
        <w:rPr>
          <w:rFonts w:ascii="Traditional Arabic" w:hAnsi="Traditional Arabic" w:hint="cs"/>
          <w:color w:val="auto"/>
          <w:rtl/>
        </w:rPr>
        <w:t xml:space="preserve"> و</w:t>
      </w:r>
      <w:r w:rsidR="00F665A6" w:rsidRPr="002D0396">
        <w:rPr>
          <w:rFonts w:ascii="Traditional Arabic" w:hAnsi="Traditional Arabic" w:hint="cs"/>
          <w:color w:val="auto"/>
          <w:rtl/>
        </w:rPr>
        <w:t>غير ذلك،</w:t>
      </w:r>
      <w:r w:rsidR="00154102">
        <w:rPr>
          <w:rFonts w:ascii="Traditional Arabic" w:hAnsi="Traditional Arabic" w:hint="cs"/>
          <w:color w:val="auto"/>
          <w:rtl/>
        </w:rPr>
        <w:t xml:space="preserve"> و</w:t>
      </w:r>
      <w:r w:rsidR="00F665A6" w:rsidRPr="002D0396">
        <w:rPr>
          <w:rFonts w:ascii="Traditional Arabic" w:hAnsi="Traditional Arabic" w:hint="cs"/>
          <w:color w:val="auto"/>
          <w:rtl/>
        </w:rPr>
        <w:t>يقول: هذا على</w:t>
      </w:r>
      <w:r w:rsidR="00FB0CD8">
        <w:rPr>
          <w:rFonts w:ascii="Traditional Arabic" w:hAnsi="Traditional Arabic" w:hint="cs"/>
          <w:color w:val="auto"/>
          <w:rtl/>
        </w:rPr>
        <w:t xml:space="preserve"> </w:t>
      </w:r>
      <w:r w:rsidR="00F665A6" w:rsidRPr="002D0396">
        <w:rPr>
          <w:rFonts w:ascii="Traditional Arabic" w:hAnsi="Traditional Arabic" w:hint="cs"/>
          <w:color w:val="auto"/>
          <w:rtl/>
        </w:rPr>
        <w:t>الشركة</w:t>
      </w:r>
      <w:r w:rsidR="00B40B33">
        <w:rPr>
          <w:rFonts w:ascii="Traditional Arabic" w:hAnsi="Traditional Arabic" w:hint="cs"/>
          <w:color w:val="auto"/>
          <w:rtl/>
        </w:rPr>
        <w:t xml:space="preserve">!! </w:t>
      </w:r>
      <w:r w:rsidR="00F665A6" w:rsidRPr="00C821A1">
        <w:rPr>
          <w:rFonts w:ascii="Traditional Arabic" w:hAnsi="Traditional Arabic" w:hint="cs"/>
          <w:color w:val="auto"/>
          <w:szCs w:val="32"/>
          <w:vertAlign w:val="superscript"/>
          <w:rtl/>
        </w:rPr>
        <w:t>(</w:t>
      </w:r>
      <w:r w:rsidR="00F665A6" w:rsidRPr="00C821A1">
        <w:rPr>
          <w:rStyle w:val="af1"/>
          <w:rFonts w:ascii="Traditional Arabic" w:hAnsi="Traditional Arabic"/>
          <w:color w:val="auto"/>
          <w:szCs w:val="32"/>
          <w:rtl/>
        </w:rPr>
        <w:footnoteReference w:id="955"/>
      </w:r>
      <w:r w:rsidR="00F665A6" w:rsidRPr="00C821A1">
        <w:rPr>
          <w:rFonts w:ascii="Traditional Arabic" w:hAnsi="Traditional Arabic" w:hint="cs"/>
          <w:color w:val="auto"/>
          <w:szCs w:val="32"/>
          <w:vertAlign w:val="superscript"/>
          <w:rtl/>
        </w:rPr>
        <w:t>)</w:t>
      </w:r>
    </w:p>
    <w:p w:rsidR="00FB0CD8" w:rsidRDefault="00F665A6" w:rsidP="000A76C7">
      <w:pPr>
        <w:pStyle w:val="afc"/>
        <w:numPr>
          <w:ilvl w:val="0"/>
          <w:numId w:val="130"/>
        </w:numPr>
        <w:rPr>
          <w:rFonts w:ascii="Traditional Arabic" w:hAnsi="Traditional Arabic"/>
          <w:color w:val="auto"/>
        </w:rPr>
      </w:pPr>
      <w:r>
        <w:rPr>
          <w:rFonts w:ascii="Traditional Arabic" w:hAnsi="Traditional Arabic"/>
          <w:color w:val="auto"/>
          <w:rtl/>
        </w:rPr>
        <w:t>ﺇ</w:t>
      </w:r>
      <w:r>
        <w:rPr>
          <w:rFonts w:ascii="Traditional Arabic" w:hAnsi="Traditional Arabic" w:hint="cs"/>
          <w:color w:val="auto"/>
          <w:rtl/>
        </w:rPr>
        <w:t>ذا بنى الغاصب في الأرض التي غ</w:t>
      </w:r>
      <w:r>
        <w:rPr>
          <w:rFonts w:ascii="Traditional Arabic" w:hAnsi="Traditional Arabic"/>
          <w:color w:val="auto"/>
          <w:rtl/>
        </w:rPr>
        <w:t>َ</w:t>
      </w:r>
      <w:r>
        <w:rPr>
          <w:rFonts w:ascii="Traditional Arabic" w:hAnsi="Traditional Arabic" w:hint="cs"/>
          <w:color w:val="auto"/>
          <w:rtl/>
        </w:rPr>
        <w:t>ص</w:t>
      </w:r>
      <w:r>
        <w:rPr>
          <w:rFonts w:ascii="Traditional Arabic" w:hAnsi="Traditional Arabic"/>
          <w:color w:val="auto"/>
          <w:rtl/>
        </w:rPr>
        <w:t>َ</w:t>
      </w:r>
      <w:r>
        <w:rPr>
          <w:rFonts w:ascii="Traditional Arabic" w:hAnsi="Traditional Arabic" w:hint="cs"/>
          <w:color w:val="auto"/>
          <w:rtl/>
        </w:rPr>
        <w:t>بها أو غ</w:t>
      </w:r>
      <w:r>
        <w:rPr>
          <w:rFonts w:ascii="Traditional Arabic" w:hAnsi="Traditional Arabic"/>
          <w:color w:val="auto"/>
          <w:rtl/>
        </w:rPr>
        <w:t>َ</w:t>
      </w:r>
      <w:r>
        <w:rPr>
          <w:rFonts w:ascii="Traditional Arabic" w:hAnsi="Traditional Arabic" w:hint="cs"/>
          <w:color w:val="auto"/>
          <w:rtl/>
        </w:rPr>
        <w:t>ر</w:t>
      </w:r>
      <w:r>
        <w:rPr>
          <w:rFonts w:ascii="Traditional Arabic" w:hAnsi="Traditional Arabic"/>
          <w:color w:val="auto"/>
          <w:rtl/>
        </w:rPr>
        <w:t>َ</w:t>
      </w:r>
      <w:r>
        <w:rPr>
          <w:rFonts w:ascii="Traditional Arabic" w:hAnsi="Traditional Arabic" w:hint="cs"/>
          <w:color w:val="auto"/>
          <w:rtl/>
        </w:rPr>
        <w:t>س فيها، ل</w:t>
      </w:r>
      <w:r>
        <w:rPr>
          <w:rFonts w:ascii="Traditional Arabic" w:hAnsi="Traditional Arabic"/>
          <w:color w:val="auto"/>
          <w:rtl/>
        </w:rPr>
        <w:t>َ</w:t>
      </w:r>
      <w:r>
        <w:rPr>
          <w:rFonts w:ascii="Traditional Arabic" w:hAnsi="Traditional Arabic" w:hint="cs"/>
          <w:color w:val="auto"/>
          <w:rtl/>
        </w:rPr>
        <w:t>ز</w:t>
      </w:r>
      <w:r>
        <w:rPr>
          <w:rFonts w:ascii="Traditional Arabic" w:hAnsi="Traditional Arabic"/>
          <w:color w:val="auto"/>
          <w:rtl/>
        </w:rPr>
        <w:t>ِ</w:t>
      </w:r>
      <w:r>
        <w:rPr>
          <w:rFonts w:ascii="Traditional Arabic" w:hAnsi="Traditional Arabic" w:hint="cs"/>
          <w:color w:val="auto"/>
          <w:rtl/>
        </w:rPr>
        <w:t>م</w:t>
      </w:r>
      <w:r>
        <w:rPr>
          <w:rFonts w:ascii="Traditional Arabic" w:hAnsi="Traditional Arabic"/>
          <w:color w:val="auto"/>
          <w:rtl/>
        </w:rPr>
        <w:t>َ</w:t>
      </w:r>
      <w:r>
        <w:rPr>
          <w:rFonts w:ascii="Traditional Arabic" w:hAnsi="Traditional Arabic" w:hint="cs"/>
          <w:color w:val="auto"/>
          <w:rtl/>
        </w:rPr>
        <w:t>ه ه</w:t>
      </w:r>
      <w:r>
        <w:rPr>
          <w:rFonts w:ascii="Traditional Arabic" w:hAnsi="Traditional Arabic"/>
          <w:color w:val="auto"/>
          <w:rtl/>
        </w:rPr>
        <w:t>َ</w:t>
      </w:r>
      <w:r>
        <w:rPr>
          <w:rFonts w:ascii="Traditional Arabic" w:hAnsi="Traditional Arabic" w:hint="cs"/>
          <w:color w:val="auto"/>
          <w:rtl/>
        </w:rPr>
        <w:t>د</w:t>
      </w:r>
      <w:r>
        <w:rPr>
          <w:rFonts w:ascii="Traditional Arabic" w:hAnsi="Traditional Arabic"/>
          <w:color w:val="auto"/>
          <w:rtl/>
        </w:rPr>
        <w:t>ْ</w:t>
      </w:r>
      <w:r>
        <w:rPr>
          <w:rFonts w:ascii="Traditional Arabic" w:hAnsi="Traditional Arabic" w:hint="cs"/>
          <w:color w:val="auto"/>
          <w:rtl/>
        </w:rPr>
        <w:t>م</w:t>
      </w:r>
      <w:r>
        <w:rPr>
          <w:rFonts w:ascii="Traditional Arabic" w:hAnsi="Traditional Arabic"/>
          <w:color w:val="auto"/>
          <w:rtl/>
        </w:rPr>
        <w:t>ُ</w:t>
      </w:r>
      <w:r>
        <w:rPr>
          <w:rFonts w:ascii="Traditional Arabic" w:hAnsi="Traditional Arabic" w:hint="cs"/>
          <w:color w:val="auto"/>
          <w:rtl/>
        </w:rPr>
        <w:t xml:space="preserve"> البناء</w:t>
      </w:r>
      <w:r w:rsidR="00154102">
        <w:rPr>
          <w:rFonts w:ascii="Traditional Arabic" w:hAnsi="Traditional Arabic" w:hint="cs"/>
          <w:color w:val="auto"/>
          <w:rtl/>
        </w:rPr>
        <w:t xml:space="preserve"> و</w:t>
      </w:r>
      <w:r>
        <w:rPr>
          <w:rFonts w:ascii="Traditional Arabic" w:hAnsi="Traditional Arabic" w:hint="cs"/>
          <w:color w:val="auto"/>
          <w:rtl/>
        </w:rPr>
        <w:t>ق</w:t>
      </w:r>
      <w:r>
        <w:rPr>
          <w:rFonts w:ascii="Traditional Arabic" w:hAnsi="Traditional Arabic"/>
          <w:color w:val="auto"/>
          <w:rtl/>
        </w:rPr>
        <w:t>َ</w:t>
      </w:r>
      <w:r>
        <w:rPr>
          <w:rFonts w:ascii="Traditional Arabic" w:hAnsi="Traditional Arabic" w:hint="cs"/>
          <w:color w:val="auto"/>
          <w:rtl/>
        </w:rPr>
        <w:t>ل</w:t>
      </w:r>
      <w:r>
        <w:rPr>
          <w:rFonts w:ascii="Traditional Arabic" w:hAnsi="Traditional Arabic"/>
          <w:color w:val="auto"/>
          <w:rtl/>
        </w:rPr>
        <w:t>ْ</w:t>
      </w:r>
      <w:r>
        <w:rPr>
          <w:rFonts w:ascii="Traditional Arabic" w:hAnsi="Traditional Arabic" w:hint="cs"/>
          <w:color w:val="auto"/>
          <w:rtl/>
        </w:rPr>
        <w:t>ع</w:t>
      </w:r>
      <w:r>
        <w:rPr>
          <w:rFonts w:ascii="Traditional Arabic" w:hAnsi="Traditional Arabic"/>
          <w:color w:val="auto"/>
          <w:rtl/>
        </w:rPr>
        <w:t>ُ</w:t>
      </w:r>
      <w:r>
        <w:rPr>
          <w:rFonts w:ascii="Traditional Arabic" w:hAnsi="Traditional Arabic" w:hint="cs"/>
          <w:color w:val="auto"/>
          <w:rtl/>
        </w:rPr>
        <w:t xml:space="preserve"> الغ</w:t>
      </w:r>
      <w:r>
        <w:rPr>
          <w:rFonts w:ascii="Traditional Arabic" w:hAnsi="Traditional Arabic"/>
          <w:color w:val="auto"/>
          <w:rtl/>
        </w:rPr>
        <w:t>َ</w:t>
      </w:r>
      <w:r>
        <w:rPr>
          <w:rFonts w:ascii="Traditional Arabic" w:hAnsi="Traditional Arabic" w:hint="cs"/>
          <w:color w:val="auto"/>
          <w:rtl/>
        </w:rPr>
        <w:t>ر</w:t>
      </w:r>
      <w:r>
        <w:rPr>
          <w:rFonts w:ascii="Traditional Arabic" w:hAnsi="Traditional Arabic"/>
          <w:color w:val="auto"/>
          <w:rtl/>
        </w:rPr>
        <w:t>ْ</w:t>
      </w:r>
      <w:r>
        <w:rPr>
          <w:rFonts w:ascii="Traditional Arabic" w:hAnsi="Traditional Arabic" w:hint="cs"/>
          <w:color w:val="auto"/>
          <w:rtl/>
        </w:rPr>
        <w:t xml:space="preserve">س </w:t>
      </w:r>
      <w:r>
        <w:rPr>
          <w:rFonts w:ascii="Traditional Arabic" w:hAnsi="Traditional Arabic"/>
          <w:color w:val="auto"/>
          <w:rtl/>
        </w:rPr>
        <w:t>ﺇ</w:t>
      </w:r>
      <w:r>
        <w:rPr>
          <w:rFonts w:ascii="Traditional Arabic" w:hAnsi="Traditional Arabic" w:hint="cs"/>
          <w:color w:val="auto"/>
          <w:rtl/>
        </w:rPr>
        <w:t>ذا ط</w:t>
      </w:r>
      <w:r>
        <w:rPr>
          <w:rFonts w:ascii="Traditional Arabic" w:hAnsi="Traditional Arabic"/>
          <w:color w:val="auto"/>
          <w:rtl/>
        </w:rPr>
        <w:t>َ</w:t>
      </w:r>
      <w:r>
        <w:rPr>
          <w:rFonts w:ascii="Traditional Arabic" w:hAnsi="Traditional Arabic" w:hint="cs"/>
          <w:color w:val="auto"/>
          <w:rtl/>
        </w:rPr>
        <w:t>ال</w:t>
      </w:r>
      <w:r>
        <w:rPr>
          <w:rFonts w:ascii="Traditional Arabic" w:hAnsi="Traditional Arabic"/>
          <w:color w:val="auto"/>
          <w:rtl/>
        </w:rPr>
        <w:t>َ</w:t>
      </w:r>
      <w:r>
        <w:rPr>
          <w:rFonts w:ascii="Traditional Arabic" w:hAnsi="Traditional Arabic" w:hint="cs"/>
          <w:color w:val="auto"/>
          <w:rtl/>
        </w:rPr>
        <w:t>به صاحب</w:t>
      </w:r>
      <w:r>
        <w:rPr>
          <w:rFonts w:ascii="Traditional Arabic" w:hAnsi="Traditional Arabic"/>
          <w:color w:val="auto"/>
          <w:rtl/>
        </w:rPr>
        <w:t>ُ</w:t>
      </w:r>
      <w:r>
        <w:rPr>
          <w:rFonts w:ascii="Traditional Arabic" w:hAnsi="Traditional Arabic" w:hint="cs"/>
          <w:color w:val="auto"/>
          <w:rtl/>
        </w:rPr>
        <w:t xml:space="preserve"> الأرض بذلك،</w:t>
      </w:r>
      <w:r w:rsidR="00154102">
        <w:rPr>
          <w:rFonts w:ascii="Traditional Arabic" w:hAnsi="Traditional Arabic" w:hint="cs"/>
          <w:color w:val="auto"/>
          <w:rtl/>
        </w:rPr>
        <w:t xml:space="preserve"> و</w:t>
      </w:r>
      <w:r>
        <w:rPr>
          <w:rFonts w:ascii="Traditional Arabic" w:hAnsi="Traditional Arabic" w:hint="cs"/>
          <w:color w:val="auto"/>
          <w:rtl/>
        </w:rPr>
        <w:t>كان ل</w:t>
      </w:r>
      <w:r>
        <w:rPr>
          <w:rFonts w:ascii="Traditional Arabic" w:hAnsi="Traditional Arabic"/>
          <w:color w:val="auto"/>
          <w:rtl/>
        </w:rPr>
        <w:t>ِ</w:t>
      </w:r>
      <w:r>
        <w:rPr>
          <w:rFonts w:ascii="Traditional Arabic" w:hAnsi="Traditional Arabic" w:hint="cs"/>
          <w:color w:val="auto"/>
          <w:rtl/>
        </w:rPr>
        <w:t>صاحب الأرض غ</w:t>
      </w:r>
      <w:r>
        <w:rPr>
          <w:rFonts w:ascii="Traditional Arabic" w:hAnsi="Traditional Arabic"/>
          <w:color w:val="auto"/>
          <w:rtl/>
        </w:rPr>
        <w:t>َ</w:t>
      </w:r>
      <w:r>
        <w:rPr>
          <w:rFonts w:ascii="Traditional Arabic" w:hAnsi="Traditional Arabic" w:hint="cs"/>
          <w:color w:val="auto"/>
          <w:rtl/>
        </w:rPr>
        <w:t>ر</w:t>
      </w:r>
      <w:r>
        <w:rPr>
          <w:rFonts w:ascii="Traditional Arabic" w:hAnsi="Traditional Arabic"/>
          <w:color w:val="auto"/>
          <w:rtl/>
        </w:rPr>
        <w:t>َ</w:t>
      </w:r>
      <w:r>
        <w:rPr>
          <w:rFonts w:ascii="Traditional Arabic" w:hAnsi="Traditional Arabic" w:hint="cs"/>
          <w:color w:val="auto"/>
          <w:rtl/>
        </w:rPr>
        <w:t>ض</w:t>
      </w:r>
      <w:r>
        <w:rPr>
          <w:rFonts w:ascii="Traditional Arabic" w:hAnsi="Traditional Arabic"/>
          <w:color w:val="auto"/>
          <w:rtl/>
        </w:rPr>
        <w:t>ٌ</w:t>
      </w:r>
      <w:r>
        <w:rPr>
          <w:rFonts w:ascii="Traditional Arabic" w:hAnsi="Traditional Arabic" w:hint="cs"/>
          <w:color w:val="auto"/>
          <w:rtl/>
        </w:rPr>
        <w:t xml:space="preserve"> صحيح في ت</w:t>
      </w:r>
      <w:r>
        <w:rPr>
          <w:rFonts w:ascii="Traditional Arabic" w:hAnsi="Traditional Arabic"/>
          <w:color w:val="auto"/>
          <w:rtl/>
        </w:rPr>
        <w:t>َ</w:t>
      </w:r>
      <w:r>
        <w:rPr>
          <w:rFonts w:ascii="Traditional Arabic" w:hAnsi="Traditional Arabic" w:hint="cs"/>
          <w:color w:val="auto"/>
          <w:rtl/>
        </w:rPr>
        <w:t>خ</w:t>
      </w:r>
      <w:r>
        <w:rPr>
          <w:rFonts w:ascii="Traditional Arabic" w:hAnsi="Traditional Arabic"/>
          <w:color w:val="auto"/>
          <w:rtl/>
        </w:rPr>
        <w:t>ْ</w:t>
      </w:r>
      <w:r>
        <w:rPr>
          <w:rFonts w:ascii="Traditional Arabic" w:hAnsi="Traditional Arabic" w:hint="cs"/>
          <w:color w:val="auto"/>
          <w:rtl/>
        </w:rPr>
        <w:t>ل</w:t>
      </w:r>
      <w:r>
        <w:rPr>
          <w:rFonts w:ascii="Traditional Arabic" w:hAnsi="Traditional Arabic"/>
          <w:color w:val="auto"/>
          <w:rtl/>
        </w:rPr>
        <w:t>ِ</w:t>
      </w:r>
      <w:r>
        <w:rPr>
          <w:rFonts w:ascii="Traditional Arabic" w:hAnsi="Traditional Arabic" w:hint="cs"/>
          <w:color w:val="auto"/>
          <w:rtl/>
        </w:rPr>
        <w:t>ي</w:t>
      </w:r>
      <w:r>
        <w:rPr>
          <w:rFonts w:ascii="Traditional Arabic" w:hAnsi="Traditional Arabic"/>
          <w:color w:val="auto"/>
          <w:rtl/>
        </w:rPr>
        <w:t>َ</w:t>
      </w:r>
      <w:r>
        <w:rPr>
          <w:rFonts w:ascii="Traditional Arabic" w:hAnsi="Traditional Arabic" w:hint="cs"/>
          <w:color w:val="auto"/>
          <w:rtl/>
        </w:rPr>
        <w:t>ة الأرض من البناء</w:t>
      </w:r>
      <w:r w:rsidR="00154102">
        <w:rPr>
          <w:rFonts w:ascii="Traditional Arabic" w:hAnsi="Traditional Arabic" w:hint="cs"/>
          <w:color w:val="auto"/>
          <w:rtl/>
        </w:rPr>
        <w:t xml:space="preserve"> و</w:t>
      </w:r>
      <w:r>
        <w:rPr>
          <w:rFonts w:ascii="Traditional Arabic" w:hAnsi="Traditional Arabic" w:hint="cs"/>
          <w:color w:val="auto"/>
          <w:rtl/>
        </w:rPr>
        <w:t>الغ</w:t>
      </w:r>
      <w:r>
        <w:rPr>
          <w:rFonts w:ascii="Traditional Arabic" w:hAnsi="Traditional Arabic"/>
          <w:color w:val="auto"/>
          <w:rtl/>
        </w:rPr>
        <w:t>ِ</w:t>
      </w:r>
      <w:r>
        <w:rPr>
          <w:rFonts w:ascii="Traditional Arabic" w:hAnsi="Traditional Arabic" w:hint="cs"/>
          <w:color w:val="auto"/>
          <w:rtl/>
        </w:rPr>
        <w:t>راس</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56"/>
      </w:r>
      <w:r w:rsidRPr="00C821A1">
        <w:rPr>
          <w:rFonts w:ascii="Traditional Arabic" w:hAnsi="Traditional Arabic" w:hint="cs"/>
          <w:color w:val="auto"/>
          <w:szCs w:val="32"/>
          <w:vertAlign w:val="superscript"/>
          <w:rtl/>
        </w:rPr>
        <w:t>)</w:t>
      </w:r>
      <w:r>
        <w:rPr>
          <w:rFonts w:ascii="Traditional Arabic" w:hAnsi="Traditional Arabic" w:hint="cs"/>
          <w:color w:val="auto"/>
          <w:rtl/>
        </w:rPr>
        <w:t>.</w:t>
      </w:r>
    </w:p>
    <w:p w:rsidR="00F665A6" w:rsidRDefault="00F665A6" w:rsidP="00FB0CD8">
      <w:pPr>
        <w:pStyle w:val="afc"/>
        <w:ind w:left="1549" w:firstLine="0"/>
        <w:rPr>
          <w:rFonts w:ascii="Traditional Arabic" w:hAnsi="Traditional Arabic"/>
          <w:color w:val="auto"/>
        </w:rPr>
      </w:pPr>
      <w:r>
        <w:rPr>
          <w:rFonts w:ascii="Traditional Arabic" w:hAnsi="Traditional Arabic" w:hint="cs"/>
          <w:color w:val="auto"/>
          <w:rtl/>
        </w:rPr>
        <w:t xml:space="preserve">لكن </w:t>
      </w:r>
      <w:r>
        <w:rPr>
          <w:rFonts w:ascii="Traditional Arabic" w:hAnsi="Traditional Arabic"/>
          <w:color w:val="auto"/>
          <w:rtl/>
        </w:rPr>
        <w:t>ﺇ</w:t>
      </w:r>
      <w:r>
        <w:rPr>
          <w:rFonts w:ascii="Traditional Arabic" w:hAnsi="Traditional Arabic" w:hint="cs"/>
          <w:color w:val="auto"/>
          <w:rtl/>
        </w:rPr>
        <w:t>ذا ع</w:t>
      </w:r>
      <w:r>
        <w:rPr>
          <w:rFonts w:ascii="Traditional Arabic" w:hAnsi="Traditional Arabic"/>
          <w:color w:val="auto"/>
          <w:rtl/>
        </w:rPr>
        <w:t>ُ</w:t>
      </w:r>
      <w:r>
        <w:rPr>
          <w:rFonts w:ascii="Traditional Arabic" w:hAnsi="Traditional Arabic" w:hint="cs"/>
          <w:color w:val="auto"/>
          <w:rtl/>
        </w:rPr>
        <w:t>ل</w:t>
      </w:r>
      <w:r>
        <w:rPr>
          <w:rFonts w:ascii="Traditional Arabic" w:hAnsi="Traditional Arabic"/>
          <w:color w:val="auto"/>
          <w:rtl/>
        </w:rPr>
        <w:t>ِ</w:t>
      </w:r>
      <w:r>
        <w:rPr>
          <w:rFonts w:ascii="Traditional Arabic" w:hAnsi="Traditional Arabic" w:hint="cs"/>
          <w:color w:val="auto"/>
          <w:rtl/>
        </w:rPr>
        <w:t xml:space="preserve">م أنه ليس له غرض </w:t>
      </w:r>
      <w:r>
        <w:rPr>
          <w:rFonts w:ascii="Traditional Arabic" w:hAnsi="Traditional Arabic"/>
          <w:color w:val="auto"/>
          <w:rtl/>
        </w:rPr>
        <w:t>ﺇ</w:t>
      </w:r>
      <w:r>
        <w:rPr>
          <w:rFonts w:ascii="Traditional Arabic" w:hAnsi="Traditional Arabic" w:hint="cs"/>
          <w:color w:val="auto"/>
          <w:rtl/>
        </w:rPr>
        <w:t>لا ال</w:t>
      </w:r>
      <w:r>
        <w:rPr>
          <w:rFonts w:ascii="Traditional Arabic" w:hAnsi="Traditional Arabic"/>
          <w:color w:val="auto"/>
          <w:rtl/>
        </w:rPr>
        <w:t>ْ</w:t>
      </w:r>
      <w:r>
        <w:rPr>
          <w:rFonts w:ascii="Traditional Arabic" w:hAnsi="Traditional Arabic" w:hint="cs"/>
          <w:color w:val="auto"/>
          <w:rtl/>
        </w:rPr>
        <w:t>م</w:t>
      </w:r>
      <w:r>
        <w:rPr>
          <w:rFonts w:ascii="Traditional Arabic" w:hAnsi="Traditional Arabic"/>
          <w:color w:val="auto"/>
          <w:rtl/>
        </w:rPr>
        <w:t>ُ</w:t>
      </w:r>
      <w:r>
        <w:rPr>
          <w:rFonts w:ascii="Traditional Arabic" w:hAnsi="Traditional Arabic" w:hint="cs"/>
          <w:color w:val="auto"/>
          <w:rtl/>
        </w:rPr>
        <w:t>ضار</w:t>
      </w:r>
      <w:r>
        <w:rPr>
          <w:rFonts w:ascii="Traditional Arabic" w:hAnsi="Traditional Arabic"/>
          <w:color w:val="auto"/>
          <w:rtl/>
        </w:rPr>
        <w:t>ّ</w:t>
      </w:r>
      <w:r w:rsidR="00FB0CD8">
        <w:rPr>
          <w:rFonts w:ascii="Traditional Arabic" w:hAnsi="Traditional Arabic" w:hint="cs"/>
          <w:color w:val="auto"/>
          <w:rtl/>
        </w:rPr>
        <w:t>ة بالغاصب، ففي هذه الحالة لا يُ</w:t>
      </w:r>
      <w:r>
        <w:rPr>
          <w:rFonts w:ascii="Traditional Arabic" w:hAnsi="Traditional Arabic" w:hint="cs"/>
          <w:color w:val="auto"/>
          <w:rtl/>
        </w:rPr>
        <w:t>ج</w:t>
      </w:r>
      <w:r>
        <w:rPr>
          <w:rFonts w:ascii="Traditional Arabic" w:hAnsi="Traditional Arabic"/>
          <w:color w:val="auto"/>
          <w:rtl/>
        </w:rPr>
        <w:t>ْ</w:t>
      </w:r>
      <w:r>
        <w:rPr>
          <w:rFonts w:ascii="Traditional Arabic" w:hAnsi="Traditional Arabic" w:hint="cs"/>
          <w:color w:val="auto"/>
          <w:rtl/>
        </w:rPr>
        <w:t>ب</w:t>
      </w:r>
      <w:r w:rsidR="00FB0CD8">
        <w:rPr>
          <w:rFonts w:ascii="Traditional Arabic" w:hAnsi="Traditional Arabic" w:hint="cs"/>
          <w:color w:val="auto"/>
          <w:rtl/>
        </w:rPr>
        <w:t>َ</w:t>
      </w:r>
      <w:r>
        <w:rPr>
          <w:rFonts w:ascii="Traditional Arabic" w:hAnsi="Traditional Arabic" w:hint="cs"/>
          <w:color w:val="auto"/>
          <w:rtl/>
        </w:rPr>
        <w:t>ر الغاصب</w:t>
      </w:r>
      <w:r w:rsidR="00ED3461">
        <w:rPr>
          <w:rFonts w:ascii="Traditional Arabic" w:hAnsi="Traditional Arabic" w:hint="cs"/>
          <w:color w:val="auto"/>
          <w:rtl/>
        </w:rPr>
        <w:t>ُ</w:t>
      </w:r>
      <w:r>
        <w:rPr>
          <w:rFonts w:ascii="Traditional Arabic" w:hAnsi="Traditional Arabic" w:hint="cs"/>
          <w:color w:val="auto"/>
          <w:rtl/>
        </w:rPr>
        <w:t xml:space="preserve"> على </w:t>
      </w:r>
      <w:r>
        <w:rPr>
          <w:rFonts w:ascii="Traditional Arabic" w:hAnsi="Traditional Arabic"/>
          <w:color w:val="auto"/>
          <w:rtl/>
        </w:rPr>
        <w:t>ﺇ</w:t>
      </w:r>
      <w:r>
        <w:rPr>
          <w:rFonts w:ascii="Traditional Arabic" w:hAnsi="Traditional Arabic" w:hint="cs"/>
          <w:color w:val="auto"/>
          <w:rtl/>
        </w:rPr>
        <w:t>زالة البناء</w:t>
      </w:r>
      <w:r w:rsidR="00FB0CD8">
        <w:rPr>
          <w:rFonts w:ascii="Traditional Arabic" w:hAnsi="Traditional Arabic" w:hint="cs"/>
          <w:color w:val="auto"/>
          <w:rtl/>
        </w:rPr>
        <w:t xml:space="preserve"> </w:t>
      </w:r>
      <w:r w:rsidR="00154102">
        <w:rPr>
          <w:rFonts w:ascii="Traditional Arabic" w:hAnsi="Traditional Arabic" w:hint="cs"/>
          <w:color w:val="auto"/>
          <w:rtl/>
        </w:rPr>
        <w:t>و</w:t>
      </w:r>
      <w:r>
        <w:rPr>
          <w:rFonts w:ascii="Traditional Arabic" w:hAnsi="Traditional Arabic" w:hint="cs"/>
          <w:color w:val="auto"/>
          <w:rtl/>
        </w:rPr>
        <w:t>الغِراس</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57"/>
      </w:r>
      <w:r w:rsidRPr="00C821A1">
        <w:rPr>
          <w:rFonts w:ascii="Traditional Arabic" w:hAnsi="Traditional Arabic" w:hint="cs"/>
          <w:color w:val="auto"/>
          <w:szCs w:val="32"/>
          <w:vertAlign w:val="superscript"/>
          <w:rtl/>
        </w:rPr>
        <w:t>)</w:t>
      </w:r>
      <w:r>
        <w:rPr>
          <w:rFonts w:ascii="Traditional Arabic" w:hAnsi="Traditional Arabic" w:hint="cs"/>
          <w:color w:val="auto"/>
          <w:rtl/>
        </w:rPr>
        <w:t>.</w:t>
      </w:r>
    </w:p>
    <w:p w:rsidR="00F665A6" w:rsidRDefault="00F665A6" w:rsidP="00597C20">
      <w:pPr>
        <w:pStyle w:val="53"/>
        <w:rPr>
          <w:rtl/>
        </w:rPr>
      </w:pPr>
      <w:r w:rsidRPr="009C563F">
        <w:rPr>
          <w:rFonts w:hint="cs"/>
          <w:rtl/>
        </w:rPr>
        <w:t>وجه اندراج الفرع تحت القاعدة:</w:t>
      </w:r>
    </w:p>
    <w:p w:rsidR="00065E4B" w:rsidRPr="00FB61AE" w:rsidRDefault="00F665A6" w:rsidP="00597C20">
      <w:pPr>
        <w:ind w:firstLine="720"/>
        <w:rPr>
          <w:rFonts w:ascii="Traditional Arabic" w:hAnsi="Traditional Arabic"/>
          <w:color w:val="auto"/>
        </w:rPr>
      </w:pPr>
      <w:r w:rsidRPr="00FB61AE">
        <w:rPr>
          <w:rFonts w:ascii="Traditional Arabic" w:hAnsi="Traditional Arabic" w:hint="cs"/>
          <w:color w:val="auto"/>
          <w:rtl/>
        </w:rPr>
        <w:t>لما تبي</w:t>
      </w:r>
      <w:r w:rsidRPr="00FB61AE">
        <w:rPr>
          <w:rFonts w:ascii="Traditional Arabic" w:hAnsi="Traditional Arabic"/>
          <w:color w:val="auto"/>
          <w:rtl/>
        </w:rPr>
        <w:t>ّ</w:t>
      </w:r>
      <w:r w:rsidRPr="00FB61AE">
        <w:rPr>
          <w:rFonts w:ascii="Traditional Arabic" w:hAnsi="Traditional Arabic" w:hint="cs"/>
          <w:color w:val="auto"/>
          <w:rtl/>
        </w:rPr>
        <w:t>ن أن</w:t>
      </w:r>
      <w:r w:rsidRPr="00FB61AE">
        <w:rPr>
          <w:rFonts w:ascii="Traditional Arabic" w:hAnsi="Traditional Arabic"/>
          <w:color w:val="auto"/>
          <w:rtl/>
        </w:rPr>
        <w:t>ّ</w:t>
      </w:r>
      <w:r w:rsidRPr="00FB61AE">
        <w:rPr>
          <w:rFonts w:ascii="Traditional Arabic" w:hAnsi="Traditional Arabic" w:hint="cs"/>
          <w:color w:val="auto"/>
          <w:rtl/>
        </w:rPr>
        <w:t xml:space="preserve"> م</w:t>
      </w:r>
      <w:r w:rsidRPr="00FB61AE">
        <w:rPr>
          <w:rFonts w:ascii="Traditional Arabic" w:hAnsi="Traditional Arabic"/>
          <w:color w:val="auto"/>
          <w:rtl/>
        </w:rPr>
        <w:t>َ</w:t>
      </w:r>
      <w:r w:rsidRPr="00FB61AE">
        <w:rPr>
          <w:rFonts w:ascii="Traditional Arabic" w:hAnsi="Traditional Arabic" w:hint="cs"/>
          <w:color w:val="auto"/>
          <w:rtl/>
        </w:rPr>
        <w:t>ق</w:t>
      </w:r>
      <w:r w:rsidRPr="00FB61AE">
        <w:rPr>
          <w:rFonts w:ascii="Traditional Arabic" w:hAnsi="Traditional Arabic"/>
          <w:color w:val="auto"/>
          <w:rtl/>
        </w:rPr>
        <w:t>ْ</w:t>
      </w:r>
      <w:r w:rsidRPr="00FB61AE">
        <w:rPr>
          <w:rFonts w:ascii="Traditional Arabic" w:hAnsi="Traditional Arabic" w:hint="cs"/>
          <w:color w:val="auto"/>
          <w:rtl/>
        </w:rPr>
        <w:t>صود</w:t>
      </w:r>
      <w:r w:rsidRPr="00FB61AE">
        <w:rPr>
          <w:rFonts w:ascii="Traditional Arabic" w:hAnsi="Traditional Arabic"/>
          <w:color w:val="auto"/>
          <w:rtl/>
        </w:rPr>
        <w:t>َ</w:t>
      </w:r>
      <w:r w:rsidRPr="00FB61AE">
        <w:rPr>
          <w:rFonts w:ascii="Traditional Arabic" w:hAnsi="Traditional Arabic" w:hint="cs"/>
          <w:color w:val="auto"/>
          <w:rtl/>
        </w:rPr>
        <w:t xml:space="preserve"> صاح</w:t>
      </w:r>
      <w:r w:rsidRPr="00FB61AE">
        <w:rPr>
          <w:rFonts w:ascii="Traditional Arabic" w:hAnsi="Traditional Arabic"/>
          <w:color w:val="auto"/>
          <w:rtl/>
        </w:rPr>
        <w:t>ِ</w:t>
      </w:r>
      <w:r w:rsidRPr="00FB61AE">
        <w:rPr>
          <w:rFonts w:ascii="Traditional Arabic" w:hAnsi="Traditional Arabic" w:hint="cs"/>
          <w:color w:val="auto"/>
          <w:rtl/>
        </w:rPr>
        <w:t xml:space="preserve">ب الأرض </w:t>
      </w:r>
      <w:r w:rsidRPr="00FB0CD8">
        <w:rPr>
          <w:rFonts w:ascii="Traditional Arabic" w:hAnsi="Traditional Arabic" w:hint="cs"/>
          <w:color w:val="auto"/>
          <w:rtl/>
        </w:rPr>
        <w:t>المضار</w:t>
      </w:r>
      <w:r w:rsidRPr="00FB0CD8">
        <w:rPr>
          <w:rFonts w:ascii="Traditional Arabic" w:hAnsi="Traditional Arabic"/>
          <w:color w:val="auto"/>
          <w:rtl/>
        </w:rPr>
        <w:t>ّ</w:t>
      </w:r>
      <w:r w:rsidRPr="00FB0CD8">
        <w:rPr>
          <w:rFonts w:ascii="Traditional Arabic" w:hAnsi="Traditional Arabic" w:hint="cs"/>
          <w:color w:val="auto"/>
          <w:rtl/>
        </w:rPr>
        <w:t>ة</w:t>
      </w:r>
      <w:r w:rsidRPr="00FB0CD8">
        <w:rPr>
          <w:rFonts w:ascii="Traditional Arabic" w:hAnsi="Traditional Arabic"/>
          <w:color w:val="auto"/>
          <w:rtl/>
        </w:rPr>
        <w:t>ُ</w:t>
      </w:r>
      <w:r w:rsidR="00FB0CD8">
        <w:rPr>
          <w:rFonts w:ascii="Traditional Arabic" w:hAnsi="Traditional Arabic" w:hint="cs"/>
          <w:color w:val="auto"/>
          <w:rtl/>
        </w:rPr>
        <w:t xml:space="preserve">؛ </w:t>
      </w:r>
      <w:r w:rsidRPr="00FB0CD8">
        <w:rPr>
          <w:rFonts w:ascii="Traditional Arabic" w:hAnsi="Traditional Arabic" w:hint="cs"/>
          <w:color w:val="auto"/>
          <w:rtl/>
        </w:rPr>
        <w:t>م</w:t>
      </w:r>
      <w:r w:rsidRPr="00FB0CD8">
        <w:rPr>
          <w:rFonts w:ascii="Traditional Arabic" w:hAnsi="Traditional Arabic"/>
          <w:color w:val="auto"/>
          <w:rtl/>
        </w:rPr>
        <w:t>ُ</w:t>
      </w:r>
      <w:r w:rsidRPr="00FB0CD8">
        <w:rPr>
          <w:rFonts w:ascii="Traditional Arabic" w:hAnsi="Traditional Arabic" w:hint="cs"/>
          <w:color w:val="auto"/>
          <w:rtl/>
        </w:rPr>
        <w:t>ن</w:t>
      </w:r>
      <w:r w:rsidRPr="00FB0CD8">
        <w:rPr>
          <w:rFonts w:ascii="Traditional Arabic" w:hAnsi="Traditional Arabic"/>
          <w:color w:val="auto"/>
          <w:rtl/>
        </w:rPr>
        <w:t>ِ</w:t>
      </w:r>
      <w:r w:rsidRPr="00FB0CD8">
        <w:rPr>
          <w:rFonts w:ascii="Traditional Arabic" w:hAnsi="Traditional Arabic" w:hint="cs"/>
          <w:color w:val="auto"/>
          <w:rtl/>
        </w:rPr>
        <w:t>ع</w:t>
      </w:r>
      <w:r w:rsidRPr="00FB0CD8">
        <w:rPr>
          <w:rFonts w:ascii="Traditional Arabic" w:hAnsi="Traditional Arabic"/>
          <w:color w:val="auto"/>
          <w:rtl/>
        </w:rPr>
        <w:t>َ</w:t>
      </w:r>
      <w:r w:rsidRPr="00FB61AE">
        <w:rPr>
          <w:rFonts w:ascii="Traditional Arabic" w:hAnsi="Traditional Arabic" w:hint="cs"/>
          <w:color w:val="auto"/>
          <w:rtl/>
        </w:rPr>
        <w:t xml:space="preserve"> من الوصول </w:t>
      </w:r>
      <w:r w:rsidRPr="00FB61AE">
        <w:rPr>
          <w:rFonts w:ascii="Traditional Arabic" w:hAnsi="Traditional Arabic"/>
          <w:color w:val="auto"/>
          <w:rtl/>
        </w:rPr>
        <w:t>ﺇ</w:t>
      </w:r>
      <w:r w:rsidRPr="00FB61AE">
        <w:rPr>
          <w:rFonts w:ascii="Traditional Arabic" w:hAnsi="Traditional Arabic" w:hint="cs"/>
          <w:color w:val="auto"/>
          <w:rtl/>
        </w:rPr>
        <w:t>لى غرضه السي</w:t>
      </w:r>
      <w:r w:rsidRPr="00FB61AE">
        <w:rPr>
          <w:rFonts w:ascii="Traditional Arabic" w:hAnsi="Traditional Arabic"/>
          <w:color w:val="auto"/>
          <w:rtl/>
        </w:rPr>
        <w:t>ِّ</w:t>
      </w:r>
      <w:r w:rsidRPr="00FB61AE">
        <w:rPr>
          <w:rFonts w:ascii="Traditional Arabic" w:hAnsi="Traditional Arabic" w:hint="cs"/>
          <w:color w:val="auto"/>
          <w:rtl/>
        </w:rPr>
        <w:t>ء،</w:t>
      </w:r>
      <w:r w:rsidR="00FB0CD8">
        <w:rPr>
          <w:rFonts w:ascii="Traditional Arabic" w:hAnsi="Traditional Arabic" w:hint="cs"/>
          <w:color w:val="auto"/>
          <w:rtl/>
        </w:rPr>
        <w:t xml:space="preserve"> </w:t>
      </w:r>
      <w:r w:rsidR="00ED3461">
        <w:rPr>
          <w:rFonts w:ascii="Traditional Arabic" w:hAnsi="Traditional Arabic" w:hint="cs"/>
          <w:color w:val="auto"/>
          <w:rtl/>
        </w:rPr>
        <w:t>و</w:t>
      </w:r>
      <w:r w:rsidRPr="00FB0CD8">
        <w:rPr>
          <w:rFonts w:ascii="Traditional Arabic" w:hAnsi="Traditional Arabic" w:hint="cs"/>
          <w:color w:val="auto"/>
          <w:rtl/>
        </w:rPr>
        <w:t>م</w:t>
      </w:r>
      <w:r w:rsidRPr="00FB0CD8">
        <w:rPr>
          <w:rFonts w:ascii="Traditional Arabic" w:hAnsi="Traditional Arabic"/>
          <w:color w:val="auto"/>
          <w:rtl/>
        </w:rPr>
        <w:t>ُ</w:t>
      </w:r>
      <w:r w:rsidRPr="00FB0CD8">
        <w:rPr>
          <w:rFonts w:ascii="Traditional Arabic" w:hAnsi="Traditional Arabic" w:hint="cs"/>
          <w:color w:val="auto"/>
          <w:rtl/>
        </w:rPr>
        <w:t>ن</w:t>
      </w:r>
      <w:r w:rsidRPr="00FB0CD8">
        <w:rPr>
          <w:rFonts w:ascii="Traditional Arabic" w:hAnsi="Traditional Arabic"/>
          <w:color w:val="auto"/>
          <w:rtl/>
        </w:rPr>
        <w:t>ِ</w:t>
      </w:r>
      <w:r w:rsidRPr="00FB0CD8">
        <w:rPr>
          <w:rFonts w:ascii="Traditional Arabic" w:hAnsi="Traditional Arabic" w:hint="cs"/>
          <w:color w:val="auto"/>
          <w:rtl/>
        </w:rPr>
        <w:t>ع من ا</w:t>
      </w:r>
      <w:r w:rsidRPr="00FB0CD8">
        <w:rPr>
          <w:rFonts w:ascii="Traditional Arabic" w:hAnsi="Traditional Arabic"/>
          <w:color w:val="auto"/>
          <w:rtl/>
        </w:rPr>
        <w:t>ﻹ</w:t>
      </w:r>
      <w:r w:rsidRPr="00FB0CD8">
        <w:rPr>
          <w:rFonts w:ascii="Traditional Arabic" w:hAnsi="Traditional Arabic" w:hint="cs"/>
          <w:color w:val="auto"/>
          <w:rtl/>
        </w:rPr>
        <w:t>ض</w:t>
      </w:r>
      <w:r w:rsidRPr="00FB0CD8">
        <w:rPr>
          <w:rFonts w:ascii="Traditional Arabic" w:hAnsi="Traditional Arabic"/>
          <w:color w:val="auto"/>
          <w:rtl/>
        </w:rPr>
        <w:t>ْ</w:t>
      </w:r>
      <w:r w:rsidRPr="00FB0CD8">
        <w:rPr>
          <w:rFonts w:ascii="Traditional Arabic" w:hAnsi="Traditional Arabic" w:hint="cs"/>
          <w:color w:val="auto"/>
          <w:rtl/>
        </w:rPr>
        <w:t>رار</w:t>
      </w:r>
      <w:r w:rsidRPr="00FB61AE">
        <w:rPr>
          <w:rFonts w:ascii="Traditional Arabic" w:hAnsi="Traditional Arabic" w:hint="cs"/>
          <w:color w:val="auto"/>
          <w:rtl/>
        </w:rPr>
        <w:t xml:space="preserve"> بالغاصب؛ لأن </w:t>
      </w:r>
      <w:r w:rsidRPr="00FB0CD8">
        <w:rPr>
          <w:rFonts w:ascii="Traditional Arabic" w:hAnsi="Traditional Arabic" w:hint="cs"/>
          <w:color w:val="auto"/>
          <w:rtl/>
        </w:rPr>
        <w:t>المضارة ممنوعة شرع</w:t>
      </w:r>
      <w:r w:rsidRPr="00FB0CD8">
        <w:rPr>
          <w:rFonts w:ascii="Traditional Arabic" w:hAnsi="Traditional Arabic"/>
          <w:color w:val="auto"/>
          <w:rtl/>
        </w:rPr>
        <w:t>ً</w:t>
      </w:r>
      <w:r w:rsidRPr="00FB0CD8">
        <w:rPr>
          <w:rFonts w:ascii="Traditional Arabic" w:hAnsi="Traditional Arabic" w:hint="cs"/>
          <w:color w:val="auto"/>
          <w:rtl/>
        </w:rPr>
        <w:t>ا</w:t>
      </w:r>
      <w:r w:rsidRPr="00FB61AE">
        <w:rPr>
          <w:rFonts w:ascii="Traditional Arabic" w:hAnsi="Traditional Arabic" w:hint="cs"/>
          <w:color w:val="auto"/>
          <w:rtl/>
        </w:rPr>
        <w:t>، فلا ضرر</w:t>
      </w:r>
      <w:r w:rsidR="00154102" w:rsidRPr="00FB61AE">
        <w:rPr>
          <w:rFonts w:ascii="Traditional Arabic" w:hAnsi="Traditional Arabic" w:hint="cs"/>
          <w:color w:val="auto"/>
          <w:rtl/>
        </w:rPr>
        <w:t xml:space="preserve"> و</w:t>
      </w:r>
      <w:r w:rsidRPr="00FB61AE">
        <w:rPr>
          <w:rFonts w:ascii="Traditional Arabic" w:hAnsi="Traditional Arabic" w:hint="cs"/>
          <w:color w:val="auto"/>
          <w:rtl/>
        </w:rPr>
        <w:t>لا ضرار</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58"/>
      </w:r>
      <w:r w:rsidRPr="00C821A1">
        <w:rPr>
          <w:rFonts w:ascii="Traditional Arabic" w:hAnsi="Traditional Arabic" w:hint="cs"/>
          <w:color w:val="auto"/>
          <w:szCs w:val="32"/>
          <w:vertAlign w:val="superscript"/>
          <w:rtl/>
        </w:rPr>
        <w:t>)</w:t>
      </w:r>
      <w:r w:rsidRPr="00FB61AE">
        <w:rPr>
          <w:rFonts w:ascii="Traditional Arabic" w:hAnsi="Traditional Arabic" w:hint="cs"/>
          <w:color w:val="auto"/>
          <w:rtl/>
        </w:rPr>
        <w:t>.</w:t>
      </w:r>
    </w:p>
    <w:p w:rsidR="00F665A6" w:rsidRDefault="00065E4B" w:rsidP="000A76C7">
      <w:pPr>
        <w:pStyle w:val="afc"/>
        <w:numPr>
          <w:ilvl w:val="0"/>
          <w:numId w:val="130"/>
        </w:numPr>
        <w:rPr>
          <w:rFonts w:ascii="Traditional Arabic" w:hAnsi="Traditional Arabic"/>
          <w:color w:val="auto"/>
          <w:rtl/>
        </w:rPr>
      </w:pPr>
      <w:r>
        <w:rPr>
          <w:rFonts w:ascii="Traditional Arabic" w:hAnsi="Traditional Arabic"/>
          <w:color w:val="auto"/>
          <w:rtl/>
        </w:rPr>
        <w:t>ﻟ</w:t>
      </w:r>
      <w:r w:rsidR="00F665A6">
        <w:rPr>
          <w:rFonts w:ascii="Traditional Arabic" w:hAnsi="Traditional Arabic"/>
          <w:color w:val="auto"/>
          <w:rtl/>
        </w:rPr>
        <w:t>ِﻺ</w:t>
      </w:r>
      <w:r w:rsidR="00F665A6">
        <w:rPr>
          <w:rFonts w:ascii="Traditional Arabic" w:hAnsi="Traditional Arabic" w:hint="cs"/>
          <w:color w:val="auto"/>
          <w:rtl/>
        </w:rPr>
        <w:t xml:space="preserve">مام </w:t>
      </w:r>
      <w:r w:rsidR="00F665A6">
        <w:rPr>
          <w:rFonts w:ascii="Traditional Arabic" w:hAnsi="Traditional Arabic"/>
          <w:color w:val="auto"/>
          <w:rtl/>
        </w:rPr>
        <w:t>ﺇ</w:t>
      </w:r>
      <w:r w:rsidR="00F665A6">
        <w:rPr>
          <w:rFonts w:ascii="Traditional Arabic" w:hAnsi="Traditional Arabic" w:hint="cs"/>
          <w:color w:val="auto"/>
          <w:rtl/>
        </w:rPr>
        <w:t>ق</w:t>
      </w:r>
      <w:r w:rsidR="00F665A6">
        <w:rPr>
          <w:rFonts w:ascii="Traditional Arabic" w:hAnsi="Traditional Arabic"/>
          <w:color w:val="auto"/>
          <w:rtl/>
        </w:rPr>
        <w:t>ْ</w:t>
      </w:r>
      <w:r w:rsidR="00F665A6">
        <w:rPr>
          <w:rFonts w:ascii="Traditional Arabic" w:hAnsi="Traditional Arabic" w:hint="cs"/>
          <w:color w:val="auto"/>
          <w:rtl/>
        </w:rPr>
        <w:t>طاع</w:t>
      </w:r>
      <w:r w:rsidR="00F665A6">
        <w:rPr>
          <w:rFonts w:ascii="Traditional Arabic" w:hAnsi="Traditional Arabic"/>
          <w:color w:val="auto"/>
          <w:rtl/>
        </w:rPr>
        <w:t>ُ</w:t>
      </w:r>
      <w:r w:rsidR="00572C32">
        <w:rPr>
          <w:rFonts w:ascii="Traditional Arabic" w:hAnsi="Traditional Arabic" w:hint="cs"/>
          <w:color w:val="auto"/>
          <w:szCs w:val="32"/>
          <w:vertAlign w:val="superscript"/>
          <w:rtl/>
        </w:rPr>
        <w:t xml:space="preserve"> </w:t>
      </w:r>
      <w:r w:rsidR="00F665A6">
        <w:rPr>
          <w:rFonts w:ascii="Traditional Arabic" w:hAnsi="Traditional Arabic" w:hint="cs"/>
          <w:color w:val="auto"/>
          <w:rtl/>
        </w:rPr>
        <w:t>الجلوس</w:t>
      </w:r>
      <w:r w:rsidR="00F665A6">
        <w:rPr>
          <w:rFonts w:ascii="Traditional Arabic" w:hAnsi="Traditional Arabic"/>
          <w:color w:val="auto"/>
          <w:rtl/>
        </w:rPr>
        <w:t>ِ</w:t>
      </w:r>
      <w:r w:rsidR="00F665A6">
        <w:rPr>
          <w:rFonts w:ascii="Traditional Arabic" w:hAnsi="Traditional Arabic" w:hint="cs"/>
          <w:color w:val="auto"/>
          <w:rtl/>
        </w:rPr>
        <w:t xml:space="preserve"> في الط</w:t>
      </w:r>
      <w:r w:rsidR="00F665A6">
        <w:rPr>
          <w:rFonts w:ascii="Traditional Arabic" w:hAnsi="Traditional Arabic"/>
          <w:color w:val="auto"/>
          <w:rtl/>
        </w:rPr>
        <w:t>ُ</w:t>
      </w:r>
      <w:r w:rsidR="00F665A6">
        <w:rPr>
          <w:rFonts w:ascii="Traditional Arabic" w:hAnsi="Traditional Arabic" w:hint="cs"/>
          <w:color w:val="auto"/>
          <w:rtl/>
        </w:rPr>
        <w:t>ر</w:t>
      </w:r>
      <w:r w:rsidR="00F665A6">
        <w:rPr>
          <w:rFonts w:ascii="Traditional Arabic" w:hAnsi="Traditional Arabic"/>
          <w:color w:val="auto"/>
          <w:rtl/>
        </w:rPr>
        <w:t>ُ</w:t>
      </w:r>
      <w:r w:rsidR="00F665A6">
        <w:rPr>
          <w:rFonts w:ascii="Traditional Arabic" w:hAnsi="Traditional Arabic" w:hint="cs"/>
          <w:color w:val="auto"/>
          <w:rtl/>
        </w:rPr>
        <w:t>ق الواسعة ب</w:t>
      </w:r>
      <w:r w:rsidR="00F665A6">
        <w:rPr>
          <w:rFonts w:ascii="Traditional Arabic" w:hAnsi="Traditional Arabic"/>
          <w:color w:val="auto"/>
          <w:rtl/>
        </w:rPr>
        <w:t>ِ</w:t>
      </w:r>
      <w:r w:rsidR="00F665A6">
        <w:rPr>
          <w:rFonts w:ascii="Traditional Arabic" w:hAnsi="Traditional Arabic" w:hint="cs"/>
          <w:color w:val="auto"/>
          <w:rtl/>
        </w:rPr>
        <w:t>شر</w:t>
      </w:r>
      <w:r w:rsidR="00F665A6">
        <w:rPr>
          <w:rFonts w:ascii="Traditional Arabic" w:hAnsi="Traditional Arabic"/>
          <w:color w:val="auto"/>
          <w:rtl/>
        </w:rPr>
        <w:t>ْ</w:t>
      </w:r>
      <w:r w:rsidR="00F665A6">
        <w:rPr>
          <w:rFonts w:ascii="Traditional Arabic" w:hAnsi="Traditional Arabic" w:hint="cs"/>
          <w:color w:val="auto"/>
          <w:rtl/>
        </w:rPr>
        <w:t>ط ألا</w:t>
      </w:r>
      <w:r w:rsidR="00F665A6">
        <w:rPr>
          <w:rFonts w:ascii="Traditional Arabic" w:hAnsi="Traditional Arabic"/>
          <w:color w:val="auto"/>
          <w:rtl/>
        </w:rPr>
        <w:t>ّ</w:t>
      </w:r>
      <w:r w:rsidR="00F665A6">
        <w:rPr>
          <w:rFonts w:ascii="Traditional Arabic" w:hAnsi="Traditional Arabic" w:hint="cs"/>
          <w:color w:val="auto"/>
          <w:rtl/>
        </w:rPr>
        <w:t xml:space="preserve"> يضر</w:t>
      </w:r>
      <w:r w:rsidR="00F665A6">
        <w:rPr>
          <w:rFonts w:ascii="Traditional Arabic" w:hAnsi="Traditional Arabic"/>
          <w:color w:val="auto"/>
          <w:rtl/>
        </w:rPr>
        <w:t>ّ</w:t>
      </w:r>
      <w:r w:rsidR="00F665A6">
        <w:rPr>
          <w:rFonts w:ascii="Traditional Arabic" w:hAnsi="Traditional Arabic" w:hint="cs"/>
          <w:color w:val="auto"/>
          <w:rtl/>
        </w:rPr>
        <w:t xml:space="preserve"> ذلك بالناس؛</w:t>
      </w:r>
      <w:r w:rsidR="00572C32">
        <w:rPr>
          <w:rFonts w:ascii="Traditional Arabic" w:hAnsi="Traditional Arabic" w:hint="cs"/>
          <w:color w:val="auto"/>
          <w:rtl/>
        </w:rPr>
        <w:t xml:space="preserve"> </w:t>
      </w:r>
      <w:r w:rsidR="00F665A6">
        <w:rPr>
          <w:rFonts w:ascii="Traditional Arabic" w:hAnsi="Traditional Arabic" w:hint="cs"/>
          <w:color w:val="auto"/>
          <w:rtl/>
        </w:rPr>
        <w:t>فلو أ</w:t>
      </w:r>
      <w:r w:rsidR="00F665A6">
        <w:rPr>
          <w:rFonts w:ascii="Traditional Arabic" w:hAnsi="Traditional Arabic"/>
          <w:color w:val="auto"/>
          <w:rtl/>
        </w:rPr>
        <w:t>َ</w:t>
      </w:r>
      <w:r w:rsidR="00F665A6">
        <w:rPr>
          <w:rFonts w:ascii="Traditional Arabic" w:hAnsi="Traditional Arabic" w:hint="cs"/>
          <w:color w:val="auto"/>
          <w:rtl/>
        </w:rPr>
        <w:t>ق</w:t>
      </w:r>
      <w:r w:rsidR="00F665A6">
        <w:rPr>
          <w:rFonts w:ascii="Traditional Arabic" w:hAnsi="Traditional Arabic"/>
          <w:color w:val="auto"/>
          <w:rtl/>
        </w:rPr>
        <w:t>ْ</w:t>
      </w:r>
      <w:r w:rsidR="00F665A6">
        <w:rPr>
          <w:rFonts w:ascii="Traditional Arabic" w:hAnsi="Traditional Arabic" w:hint="cs"/>
          <w:color w:val="auto"/>
          <w:rtl/>
        </w:rPr>
        <w:t>ط</w:t>
      </w:r>
      <w:r w:rsidR="00F665A6">
        <w:rPr>
          <w:rFonts w:ascii="Traditional Arabic" w:hAnsi="Traditional Arabic"/>
          <w:color w:val="auto"/>
          <w:rtl/>
        </w:rPr>
        <w:t>َ</w:t>
      </w:r>
      <w:r w:rsidR="00F665A6">
        <w:rPr>
          <w:rFonts w:ascii="Traditional Arabic" w:hAnsi="Traditional Arabic" w:hint="cs"/>
          <w:color w:val="auto"/>
          <w:rtl/>
        </w:rPr>
        <w:t xml:space="preserve">ع </w:t>
      </w:r>
      <w:r w:rsidR="00F665A6">
        <w:rPr>
          <w:rFonts w:ascii="Traditional Arabic" w:hAnsi="Traditional Arabic" w:hint="cs"/>
          <w:color w:val="auto"/>
          <w:rtl/>
        </w:rPr>
        <w:lastRenderedPageBreak/>
        <w:t>ا</w:t>
      </w:r>
      <w:r w:rsidR="00F665A6">
        <w:rPr>
          <w:rFonts w:ascii="Traditional Arabic" w:hAnsi="Traditional Arabic"/>
          <w:color w:val="auto"/>
          <w:rtl/>
        </w:rPr>
        <w:t>ﻹ</w:t>
      </w:r>
      <w:r w:rsidR="00F665A6">
        <w:rPr>
          <w:rFonts w:ascii="Traditional Arabic" w:hAnsi="Traditional Arabic" w:hint="cs"/>
          <w:color w:val="auto"/>
          <w:rtl/>
        </w:rPr>
        <w:t>مام</w:t>
      </w:r>
      <w:r w:rsidR="00F665A6">
        <w:rPr>
          <w:rFonts w:ascii="Traditional Arabic" w:hAnsi="Traditional Arabic"/>
          <w:color w:val="auto"/>
          <w:rtl/>
        </w:rPr>
        <w:t>ُ</w:t>
      </w:r>
      <w:r w:rsidR="00F665A6">
        <w:rPr>
          <w:rFonts w:ascii="Traditional Arabic" w:hAnsi="Traditional Arabic" w:hint="cs"/>
          <w:color w:val="auto"/>
          <w:rtl/>
        </w:rPr>
        <w:t xml:space="preserve"> شخص</w:t>
      </w:r>
      <w:r w:rsidR="00F665A6">
        <w:rPr>
          <w:rFonts w:ascii="Traditional Arabic" w:hAnsi="Traditional Arabic"/>
          <w:color w:val="auto"/>
          <w:rtl/>
        </w:rPr>
        <w:t>ً</w:t>
      </w:r>
      <w:r w:rsidR="00F665A6">
        <w:rPr>
          <w:rFonts w:ascii="Traditional Arabic" w:hAnsi="Traditional Arabic" w:hint="cs"/>
          <w:color w:val="auto"/>
          <w:rtl/>
        </w:rPr>
        <w:t>ا مكان</w:t>
      </w:r>
      <w:r w:rsidR="00F665A6">
        <w:rPr>
          <w:rFonts w:ascii="Traditional Arabic" w:hAnsi="Traditional Arabic"/>
          <w:color w:val="auto"/>
          <w:rtl/>
        </w:rPr>
        <w:t>ً</w:t>
      </w:r>
      <w:r w:rsidR="00F665A6">
        <w:rPr>
          <w:rFonts w:ascii="Traditional Arabic" w:hAnsi="Traditional Arabic" w:hint="cs"/>
          <w:color w:val="auto"/>
          <w:rtl/>
        </w:rPr>
        <w:t>ا كبير</w:t>
      </w:r>
      <w:r w:rsidR="00F665A6">
        <w:rPr>
          <w:rFonts w:ascii="Traditional Arabic" w:hAnsi="Traditional Arabic"/>
          <w:color w:val="auto"/>
          <w:rtl/>
        </w:rPr>
        <w:t>ً</w:t>
      </w:r>
      <w:r w:rsidR="00F665A6">
        <w:rPr>
          <w:rFonts w:ascii="Traditional Arabic" w:hAnsi="Traditional Arabic" w:hint="cs"/>
          <w:color w:val="auto"/>
          <w:rtl/>
        </w:rPr>
        <w:t>ا،</w:t>
      </w:r>
      <w:r w:rsidR="00154102">
        <w:rPr>
          <w:rFonts w:ascii="Traditional Arabic" w:hAnsi="Traditional Arabic" w:hint="cs"/>
          <w:color w:val="auto"/>
          <w:rtl/>
        </w:rPr>
        <w:t xml:space="preserve"> و</w:t>
      </w:r>
      <w:r w:rsidR="00F665A6">
        <w:rPr>
          <w:rFonts w:ascii="Traditional Arabic" w:hAnsi="Traditional Arabic" w:hint="cs"/>
          <w:color w:val="auto"/>
          <w:rtl/>
        </w:rPr>
        <w:t>هذا المكان</w:t>
      </w:r>
      <w:r w:rsidR="00F665A6">
        <w:rPr>
          <w:rFonts w:ascii="Traditional Arabic" w:hAnsi="Traditional Arabic"/>
          <w:color w:val="auto"/>
          <w:rtl/>
        </w:rPr>
        <w:t>ُ</w:t>
      </w:r>
      <w:r w:rsidR="00F665A6">
        <w:rPr>
          <w:rFonts w:ascii="Traditional Arabic" w:hAnsi="Traditional Arabic" w:hint="cs"/>
          <w:color w:val="auto"/>
          <w:rtl/>
        </w:rPr>
        <w:t xml:space="preserve"> م</w:t>
      </w:r>
      <w:r w:rsidR="00F665A6">
        <w:rPr>
          <w:rFonts w:ascii="Traditional Arabic" w:hAnsi="Traditional Arabic"/>
          <w:color w:val="auto"/>
          <w:rtl/>
        </w:rPr>
        <w:t>ُ</w:t>
      </w:r>
      <w:r w:rsidR="00F665A6">
        <w:rPr>
          <w:rFonts w:ascii="Traditional Arabic" w:hAnsi="Traditional Arabic" w:hint="cs"/>
          <w:color w:val="auto"/>
          <w:rtl/>
        </w:rPr>
        <w:t>ز</w:t>
      </w:r>
      <w:r w:rsidR="00F665A6">
        <w:rPr>
          <w:rFonts w:ascii="Traditional Arabic" w:hAnsi="Traditional Arabic"/>
          <w:color w:val="auto"/>
          <w:rtl/>
        </w:rPr>
        <w:t>ْ</w:t>
      </w:r>
      <w:r w:rsidR="00F665A6">
        <w:rPr>
          <w:rFonts w:ascii="Traditional Arabic" w:hAnsi="Traditional Arabic" w:hint="cs"/>
          <w:color w:val="auto"/>
          <w:rtl/>
        </w:rPr>
        <w:t>د</w:t>
      </w:r>
      <w:r w:rsidR="00F665A6">
        <w:rPr>
          <w:rFonts w:ascii="Traditional Arabic" w:hAnsi="Traditional Arabic"/>
          <w:color w:val="auto"/>
          <w:rtl/>
        </w:rPr>
        <w:t>َ</w:t>
      </w:r>
      <w:r w:rsidR="00F665A6">
        <w:rPr>
          <w:rFonts w:ascii="Traditional Arabic" w:hAnsi="Traditional Arabic" w:hint="cs"/>
          <w:color w:val="auto"/>
          <w:rtl/>
        </w:rPr>
        <w:t>ح</w:t>
      </w:r>
      <w:r w:rsidR="00F665A6">
        <w:rPr>
          <w:rFonts w:ascii="Traditional Arabic" w:hAnsi="Traditional Arabic"/>
          <w:color w:val="auto"/>
          <w:rtl/>
        </w:rPr>
        <w:t>ِ</w:t>
      </w:r>
      <w:r w:rsidR="00F665A6">
        <w:rPr>
          <w:rFonts w:ascii="Traditional Arabic" w:hAnsi="Traditional Arabic" w:hint="cs"/>
          <w:color w:val="auto"/>
          <w:rtl/>
        </w:rPr>
        <w:t>م بالناس،</w:t>
      </w:r>
      <w:r w:rsidR="00154102">
        <w:rPr>
          <w:rFonts w:ascii="Traditional Arabic" w:hAnsi="Traditional Arabic" w:hint="cs"/>
          <w:color w:val="auto"/>
          <w:rtl/>
        </w:rPr>
        <w:t xml:space="preserve"> و</w:t>
      </w:r>
      <w:r w:rsidR="00F665A6">
        <w:rPr>
          <w:rFonts w:ascii="Traditional Arabic" w:hAnsi="Traditional Arabic" w:hint="cs"/>
          <w:color w:val="auto"/>
          <w:rtl/>
        </w:rPr>
        <w:t>لو لم ي</w:t>
      </w:r>
      <w:r w:rsidR="00F665A6">
        <w:rPr>
          <w:rFonts w:ascii="Traditional Arabic" w:hAnsi="Traditional Arabic"/>
          <w:color w:val="auto"/>
          <w:rtl/>
        </w:rPr>
        <w:t>ُ</w:t>
      </w:r>
      <w:r w:rsidR="00F665A6">
        <w:rPr>
          <w:rFonts w:ascii="Traditional Arabic" w:hAnsi="Traditional Arabic" w:hint="cs"/>
          <w:color w:val="auto"/>
          <w:rtl/>
        </w:rPr>
        <w:t>ق</w:t>
      </w:r>
      <w:r w:rsidR="00F665A6">
        <w:rPr>
          <w:rFonts w:ascii="Traditional Arabic" w:hAnsi="Traditional Arabic"/>
          <w:color w:val="auto"/>
          <w:rtl/>
        </w:rPr>
        <w:t>ْ</w:t>
      </w:r>
      <w:r w:rsidR="00F665A6">
        <w:rPr>
          <w:rFonts w:ascii="Traditional Arabic" w:hAnsi="Traditional Arabic" w:hint="cs"/>
          <w:color w:val="auto"/>
          <w:rtl/>
        </w:rPr>
        <w:t>ط</w:t>
      </w:r>
      <w:r w:rsidR="00F665A6">
        <w:rPr>
          <w:rFonts w:ascii="Traditional Arabic" w:hAnsi="Traditional Arabic"/>
          <w:color w:val="auto"/>
          <w:rtl/>
        </w:rPr>
        <w:t>ِ</w:t>
      </w:r>
      <w:r w:rsidR="00F665A6">
        <w:rPr>
          <w:rFonts w:ascii="Traditional Arabic" w:hAnsi="Traditional Arabic" w:hint="cs"/>
          <w:color w:val="auto"/>
          <w:rtl/>
        </w:rPr>
        <w:t>ع</w:t>
      </w:r>
      <w:r w:rsidR="00F665A6">
        <w:rPr>
          <w:rFonts w:ascii="Traditional Arabic" w:hAnsi="Traditional Arabic"/>
          <w:color w:val="auto"/>
          <w:rtl/>
        </w:rPr>
        <w:t>ْ</w:t>
      </w:r>
      <w:r w:rsidR="00F665A6">
        <w:rPr>
          <w:rFonts w:ascii="Traditional Arabic" w:hAnsi="Traditional Arabic" w:hint="cs"/>
          <w:color w:val="auto"/>
          <w:rtl/>
        </w:rPr>
        <w:t>ه ل</w:t>
      </w:r>
      <w:r w:rsidR="00F665A6">
        <w:rPr>
          <w:rFonts w:ascii="Traditional Arabic" w:hAnsi="Traditional Arabic"/>
          <w:color w:val="auto"/>
          <w:rtl/>
        </w:rPr>
        <w:t>َ</w:t>
      </w:r>
      <w:r w:rsidR="00F665A6">
        <w:rPr>
          <w:rFonts w:ascii="Traditional Arabic" w:hAnsi="Traditional Arabic" w:hint="cs"/>
          <w:color w:val="auto"/>
          <w:rtl/>
        </w:rPr>
        <w:t>و</w:t>
      </w:r>
      <w:r w:rsidR="00F665A6">
        <w:rPr>
          <w:rFonts w:ascii="Traditional Arabic" w:hAnsi="Traditional Arabic"/>
          <w:color w:val="auto"/>
          <w:rtl/>
        </w:rPr>
        <w:t>َ</w:t>
      </w:r>
      <w:r w:rsidR="00F665A6">
        <w:rPr>
          <w:rFonts w:ascii="Traditional Arabic" w:hAnsi="Traditional Arabic" w:hint="cs"/>
          <w:color w:val="auto"/>
          <w:rtl/>
        </w:rPr>
        <w:t>س</w:t>
      </w:r>
      <w:r w:rsidR="00F665A6">
        <w:rPr>
          <w:rFonts w:ascii="Traditional Arabic" w:hAnsi="Traditional Arabic"/>
          <w:color w:val="auto"/>
          <w:rtl/>
        </w:rPr>
        <w:t>ِ</w:t>
      </w:r>
      <w:r w:rsidR="00F665A6">
        <w:rPr>
          <w:rFonts w:ascii="Traditional Arabic" w:hAnsi="Traditional Arabic" w:hint="cs"/>
          <w:color w:val="auto"/>
          <w:rtl/>
        </w:rPr>
        <w:t>ع المكان</w:t>
      </w:r>
      <w:r w:rsidR="00F665A6">
        <w:rPr>
          <w:rFonts w:ascii="Traditional Arabic" w:hAnsi="Traditional Arabic"/>
          <w:color w:val="auto"/>
          <w:rtl/>
        </w:rPr>
        <w:t>ُ</w:t>
      </w:r>
      <w:r w:rsidR="00F665A6">
        <w:rPr>
          <w:rFonts w:ascii="Traditional Arabic" w:hAnsi="Traditional Arabic" w:hint="cs"/>
          <w:color w:val="auto"/>
          <w:rtl/>
        </w:rPr>
        <w:t xml:space="preserve"> أربعة</w:t>
      </w:r>
      <w:r w:rsidR="00F665A6">
        <w:rPr>
          <w:rFonts w:ascii="Traditional Arabic" w:hAnsi="Traditional Arabic"/>
          <w:color w:val="auto"/>
          <w:rtl/>
        </w:rPr>
        <w:t>َ</w:t>
      </w:r>
      <w:r w:rsidR="00F665A6">
        <w:rPr>
          <w:rFonts w:ascii="Traditional Arabic" w:hAnsi="Traditional Arabic" w:hint="cs"/>
          <w:color w:val="auto"/>
          <w:rtl/>
        </w:rPr>
        <w:t xml:space="preserve"> أو خمسة</w:t>
      </w:r>
      <w:r w:rsidR="00F665A6">
        <w:rPr>
          <w:rFonts w:ascii="Traditional Arabic" w:hAnsi="Traditional Arabic"/>
          <w:color w:val="auto"/>
          <w:rtl/>
        </w:rPr>
        <w:t>َ</w:t>
      </w:r>
      <w:r w:rsidR="00F665A6">
        <w:rPr>
          <w:rFonts w:ascii="Traditional Arabic" w:hAnsi="Traditional Arabic" w:hint="cs"/>
          <w:color w:val="auto"/>
          <w:rtl/>
        </w:rPr>
        <w:t xml:space="preserve"> أشخاص، فهنا يقال: لا يجوز له ذلك</w:t>
      </w:r>
      <w:r w:rsidR="00F665A6" w:rsidRPr="00C821A1">
        <w:rPr>
          <w:rFonts w:ascii="Traditional Arabic" w:hAnsi="Traditional Arabic" w:hint="cs"/>
          <w:color w:val="auto"/>
          <w:szCs w:val="32"/>
          <w:vertAlign w:val="superscript"/>
          <w:rtl/>
        </w:rPr>
        <w:t>(</w:t>
      </w:r>
      <w:r w:rsidR="00F665A6" w:rsidRPr="00C821A1">
        <w:rPr>
          <w:rStyle w:val="af1"/>
          <w:rFonts w:ascii="Traditional Arabic" w:hAnsi="Traditional Arabic"/>
          <w:color w:val="auto"/>
          <w:szCs w:val="32"/>
          <w:rtl/>
        </w:rPr>
        <w:footnoteReference w:id="959"/>
      </w:r>
      <w:r w:rsidR="00F665A6" w:rsidRPr="00C821A1">
        <w:rPr>
          <w:rFonts w:ascii="Traditional Arabic" w:hAnsi="Traditional Arabic" w:hint="cs"/>
          <w:color w:val="auto"/>
          <w:szCs w:val="32"/>
          <w:vertAlign w:val="superscript"/>
          <w:rtl/>
        </w:rPr>
        <w:t>)</w:t>
      </w:r>
      <w:r w:rsidR="00F665A6">
        <w:rPr>
          <w:rFonts w:ascii="Traditional Arabic" w:hAnsi="Traditional Arabic" w:hint="cs"/>
          <w:color w:val="auto"/>
          <w:rtl/>
        </w:rPr>
        <w:t>.</w:t>
      </w:r>
    </w:p>
    <w:p w:rsidR="00F665A6" w:rsidRDefault="00F665A6" w:rsidP="00597C20">
      <w:pPr>
        <w:pStyle w:val="53"/>
        <w:rPr>
          <w:rtl/>
        </w:rPr>
      </w:pPr>
      <w:r>
        <w:rPr>
          <w:rFonts w:hint="cs"/>
          <w:rtl/>
        </w:rPr>
        <w:t>وجه اندراج الفرع تحت القاعدة:</w:t>
      </w:r>
    </w:p>
    <w:p w:rsidR="00F665A6" w:rsidRPr="00FB61AE" w:rsidRDefault="00F665A6" w:rsidP="00597C20">
      <w:pPr>
        <w:ind w:firstLine="720"/>
        <w:jc w:val="left"/>
        <w:rPr>
          <w:rFonts w:ascii="Traditional Arabic" w:hAnsi="Traditional Arabic"/>
          <w:color w:val="auto"/>
          <w:rtl/>
        </w:rPr>
      </w:pPr>
      <w:r w:rsidRPr="00FB61AE">
        <w:rPr>
          <w:rFonts w:ascii="Traditional Arabic" w:hAnsi="Traditional Arabic" w:hint="cs"/>
          <w:color w:val="auto"/>
          <w:rtl/>
        </w:rPr>
        <w:t>في م</w:t>
      </w:r>
      <w:r w:rsidRPr="00FB61AE">
        <w:rPr>
          <w:rFonts w:ascii="Traditional Arabic" w:hAnsi="Traditional Arabic"/>
          <w:color w:val="auto"/>
          <w:rtl/>
        </w:rPr>
        <w:t>ِ</w:t>
      </w:r>
      <w:r w:rsidRPr="00FB61AE">
        <w:rPr>
          <w:rFonts w:ascii="Traditional Arabic" w:hAnsi="Traditional Arabic" w:hint="cs"/>
          <w:color w:val="auto"/>
          <w:rtl/>
        </w:rPr>
        <w:t>ث</w:t>
      </w:r>
      <w:r w:rsidRPr="00FB61AE">
        <w:rPr>
          <w:rFonts w:ascii="Traditional Arabic" w:hAnsi="Traditional Arabic"/>
          <w:color w:val="auto"/>
          <w:rtl/>
        </w:rPr>
        <w:t>ْ</w:t>
      </w:r>
      <w:r w:rsidRPr="00FB61AE">
        <w:rPr>
          <w:rFonts w:ascii="Traditional Arabic" w:hAnsi="Traditional Arabic" w:hint="cs"/>
          <w:color w:val="auto"/>
          <w:rtl/>
        </w:rPr>
        <w:t xml:space="preserve">ل هذه الحالة </w:t>
      </w:r>
      <w:r w:rsidRPr="00572C32">
        <w:rPr>
          <w:rFonts w:ascii="Traditional Arabic" w:hAnsi="Traditional Arabic" w:hint="cs"/>
          <w:color w:val="auto"/>
          <w:rtl/>
        </w:rPr>
        <w:t>يكون ا</w:t>
      </w:r>
      <w:r w:rsidRPr="00572C32">
        <w:rPr>
          <w:rFonts w:ascii="Traditional Arabic" w:hAnsi="Traditional Arabic"/>
          <w:color w:val="auto"/>
          <w:rtl/>
        </w:rPr>
        <w:t>ﻹ</w:t>
      </w:r>
      <w:r w:rsidRPr="00572C32">
        <w:rPr>
          <w:rFonts w:ascii="Traditional Arabic" w:hAnsi="Traditional Arabic" w:hint="cs"/>
          <w:color w:val="auto"/>
          <w:rtl/>
        </w:rPr>
        <w:t>قطاع م</w:t>
      </w:r>
      <w:r w:rsidRPr="00572C32">
        <w:rPr>
          <w:rFonts w:ascii="Traditional Arabic" w:hAnsi="Traditional Arabic"/>
          <w:color w:val="auto"/>
          <w:rtl/>
        </w:rPr>
        <w:t>ُ</w:t>
      </w:r>
      <w:r w:rsidRPr="00572C32">
        <w:rPr>
          <w:rFonts w:ascii="Traditional Arabic" w:hAnsi="Traditional Arabic" w:hint="cs"/>
          <w:color w:val="auto"/>
          <w:rtl/>
        </w:rPr>
        <w:t>ض</w:t>
      </w:r>
      <w:r w:rsidRPr="00572C32">
        <w:rPr>
          <w:rFonts w:ascii="Traditional Arabic" w:hAnsi="Traditional Arabic"/>
          <w:color w:val="auto"/>
          <w:rtl/>
        </w:rPr>
        <w:t>ِ</w:t>
      </w:r>
      <w:r w:rsidRPr="00572C32">
        <w:rPr>
          <w:rFonts w:ascii="Traditional Arabic" w:hAnsi="Traditional Arabic" w:hint="cs"/>
          <w:color w:val="auto"/>
          <w:rtl/>
        </w:rPr>
        <w:t>ر</w:t>
      </w:r>
      <w:r w:rsidRPr="00572C32">
        <w:rPr>
          <w:rFonts w:ascii="Traditional Arabic" w:hAnsi="Traditional Arabic"/>
          <w:color w:val="auto"/>
          <w:rtl/>
        </w:rPr>
        <w:t>ًّ</w:t>
      </w:r>
      <w:r w:rsidRPr="00572C32">
        <w:rPr>
          <w:rFonts w:ascii="Traditional Arabic" w:hAnsi="Traditional Arabic" w:hint="cs"/>
          <w:color w:val="auto"/>
          <w:rtl/>
        </w:rPr>
        <w:t>ا بالناس ف</w:t>
      </w:r>
      <w:r w:rsidRPr="00572C32">
        <w:rPr>
          <w:rFonts w:ascii="Traditional Arabic" w:hAnsi="Traditional Arabic"/>
          <w:color w:val="auto"/>
          <w:rtl/>
        </w:rPr>
        <w:t>َ</w:t>
      </w:r>
      <w:r w:rsidRPr="00572C32">
        <w:rPr>
          <w:rFonts w:ascii="Traditional Arabic" w:hAnsi="Traditional Arabic" w:hint="cs"/>
          <w:color w:val="auto"/>
          <w:rtl/>
        </w:rPr>
        <w:t>ي</w:t>
      </w:r>
      <w:r w:rsidRPr="00572C32">
        <w:rPr>
          <w:rFonts w:ascii="Traditional Arabic" w:hAnsi="Traditional Arabic"/>
          <w:color w:val="auto"/>
          <w:rtl/>
        </w:rPr>
        <w:t>ُ</w:t>
      </w:r>
      <w:r w:rsidRPr="00572C32">
        <w:rPr>
          <w:rFonts w:ascii="Traditional Arabic" w:hAnsi="Traditional Arabic" w:hint="cs"/>
          <w:color w:val="auto"/>
          <w:rtl/>
        </w:rPr>
        <w:t>منَع</w:t>
      </w:r>
      <w:r w:rsidRPr="00FB61AE">
        <w:rPr>
          <w:rFonts w:ascii="Traditional Arabic" w:hAnsi="Traditional Arabic" w:hint="cs"/>
          <w:b/>
          <w:bCs/>
          <w:color w:val="auto"/>
          <w:rtl/>
        </w:rPr>
        <w:t>؛</w:t>
      </w:r>
      <w:r w:rsidRPr="00FB61AE">
        <w:rPr>
          <w:rFonts w:ascii="Traditional Arabic" w:hAnsi="Traditional Arabic" w:hint="cs"/>
          <w:color w:val="auto"/>
          <w:rtl/>
        </w:rPr>
        <w:t xml:space="preserve"> لأن الضرر ممنوع شرعا</w:t>
      </w:r>
      <w:r w:rsidRPr="00C821A1">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60"/>
      </w:r>
      <w:r w:rsidRPr="00C821A1">
        <w:rPr>
          <w:rFonts w:ascii="Traditional Arabic" w:hAnsi="Traditional Arabic" w:hint="cs"/>
          <w:color w:val="auto"/>
          <w:szCs w:val="32"/>
          <w:vertAlign w:val="superscript"/>
          <w:rtl/>
        </w:rPr>
        <w:t>)</w:t>
      </w:r>
      <w:r w:rsidRPr="00FB61AE">
        <w:rPr>
          <w:rFonts w:ascii="Traditional Arabic" w:hAnsi="Traditional Arabic" w:hint="cs"/>
          <w:color w:val="auto"/>
          <w:rtl/>
        </w:rPr>
        <w:t>.</w:t>
      </w:r>
    </w:p>
    <w:p w:rsidR="00797F48" w:rsidRPr="00797F48" w:rsidRDefault="00572C32" w:rsidP="00A8347C">
      <w:pPr>
        <w:pStyle w:val="aff3"/>
        <w:rPr>
          <w:rtl/>
        </w:rPr>
      </w:pPr>
      <w:bookmarkStart w:id="183" w:name="_Toc334046414"/>
      <w:r>
        <w:rPr>
          <w:rFonts w:hint="cs"/>
          <w:rtl/>
        </w:rPr>
        <w:t xml:space="preserve">                                         </w:t>
      </w:r>
      <w:r w:rsidR="00797F48">
        <w:rPr>
          <w:rFonts w:hint="cs"/>
          <w:rtl/>
        </w:rPr>
        <w:t xml:space="preserve">  </w:t>
      </w:r>
      <w:r w:rsidR="00F665A6" w:rsidRPr="00797F48">
        <w:rPr>
          <w:rFonts w:hint="cs"/>
          <w:rtl/>
        </w:rPr>
        <w:t>المطلب الخامس</w:t>
      </w:r>
      <w:r w:rsidR="00F665A6" w:rsidRPr="00797F48">
        <w:rPr>
          <w:rFonts w:hint="eastAsia"/>
          <w:rtl/>
        </w:rPr>
        <w:t> :</w:t>
      </w:r>
      <w:r w:rsidR="00F665A6" w:rsidRPr="00797F48">
        <w:rPr>
          <w:rFonts w:hint="cs"/>
          <w:rtl/>
        </w:rPr>
        <w:br/>
      </w:r>
      <w:r w:rsidRPr="00797F48">
        <w:rPr>
          <w:rFonts w:hint="cs"/>
          <w:rtl/>
        </w:rPr>
        <w:t xml:space="preserve">         </w:t>
      </w:r>
      <w:r w:rsidR="00FD2A4D">
        <w:rPr>
          <w:rFonts w:hint="cs"/>
          <w:rtl/>
        </w:rPr>
        <w:t xml:space="preserve">                               </w:t>
      </w:r>
      <w:r w:rsidR="00F665A6" w:rsidRPr="00797F48">
        <w:rPr>
          <w:rFonts w:hint="cs"/>
          <w:rtl/>
        </w:rPr>
        <w:t>م</w:t>
      </w:r>
      <w:r w:rsidR="00FD2A4D">
        <w:rPr>
          <w:rFonts w:hint="cs"/>
          <w:rtl/>
        </w:rPr>
        <w:t>ا يستثنى</w:t>
      </w:r>
      <w:r w:rsidR="00F665A6" w:rsidRPr="00797F48">
        <w:rPr>
          <w:rFonts w:hint="cs"/>
          <w:rtl/>
        </w:rPr>
        <w:t xml:space="preserve"> </w:t>
      </w:r>
      <w:r w:rsidR="00FD2A4D">
        <w:rPr>
          <w:rFonts w:hint="cs"/>
          <w:rtl/>
        </w:rPr>
        <w:t xml:space="preserve">من </w:t>
      </w:r>
      <w:r w:rsidR="00F665A6" w:rsidRPr="00797F48">
        <w:rPr>
          <w:rFonts w:hint="cs"/>
          <w:rtl/>
        </w:rPr>
        <w:t>القاعدة</w:t>
      </w:r>
      <w:bookmarkEnd w:id="183"/>
    </w:p>
    <w:p w:rsidR="00F665A6" w:rsidRPr="00FD2A4D" w:rsidRDefault="00F665A6" w:rsidP="00ED3461">
      <w:pPr>
        <w:rPr>
          <w:rFonts w:ascii="Traditional Arabic" w:hAnsi="Traditional Arabic"/>
          <w:b/>
          <w:bCs/>
          <w:color w:val="auto"/>
        </w:rPr>
      </w:pPr>
      <w:r w:rsidRPr="00FD2A4D">
        <w:rPr>
          <w:rFonts w:ascii="Traditional Arabic" w:hAnsi="Traditional Arabic" w:hint="cs"/>
          <w:color w:val="auto"/>
          <w:rtl/>
        </w:rPr>
        <w:t>إذا بدا صلاحٌ في الثمرة</w:t>
      </w:r>
      <w:r w:rsidR="00154102" w:rsidRPr="00FD2A4D">
        <w:rPr>
          <w:rFonts w:ascii="Traditional Arabic" w:hAnsi="Traditional Arabic" w:hint="cs"/>
          <w:color w:val="auto"/>
          <w:rtl/>
        </w:rPr>
        <w:t xml:space="preserve"> و</w:t>
      </w:r>
      <w:r w:rsidRPr="00FD2A4D">
        <w:rPr>
          <w:rFonts w:ascii="Traditional Arabic" w:hAnsi="Traditional Arabic" w:hint="cs"/>
          <w:color w:val="auto"/>
          <w:rtl/>
        </w:rPr>
        <w:t>اشتدّ الحَبّ جاز بيع</w:t>
      </w:r>
      <w:r w:rsidR="00572C32" w:rsidRPr="00FD2A4D">
        <w:rPr>
          <w:rFonts w:ascii="Traditional Arabic" w:hAnsi="Traditional Arabic" w:hint="cs"/>
          <w:color w:val="auto"/>
          <w:rtl/>
        </w:rPr>
        <w:t>ُ</w:t>
      </w:r>
      <w:r w:rsidRPr="00FD2A4D">
        <w:rPr>
          <w:rFonts w:ascii="Traditional Arabic" w:hAnsi="Traditional Arabic" w:hint="cs"/>
          <w:color w:val="auto"/>
          <w:rtl/>
        </w:rPr>
        <w:t>ه</w:t>
      </w:r>
      <w:r w:rsidR="00ED3461">
        <w:rPr>
          <w:rFonts w:ascii="Traditional Arabic" w:hAnsi="Traditional Arabic" w:hint="cs"/>
          <w:color w:val="auto"/>
          <w:rtl/>
        </w:rPr>
        <w:t>ما</w:t>
      </w:r>
      <w:r w:rsidRPr="00FD2A4D">
        <w:rPr>
          <w:rFonts w:ascii="Traditional Arabic" w:hAnsi="Traditional Arabic" w:hint="cs"/>
          <w:color w:val="auto"/>
          <w:rtl/>
        </w:rPr>
        <w:t>،</w:t>
      </w:r>
      <w:r w:rsidR="00154102" w:rsidRPr="00FD2A4D">
        <w:rPr>
          <w:rFonts w:ascii="Traditional Arabic" w:hAnsi="Traditional Arabic" w:hint="cs"/>
          <w:color w:val="auto"/>
          <w:rtl/>
        </w:rPr>
        <w:t xml:space="preserve"> و</w:t>
      </w:r>
      <w:r w:rsidRPr="00FD2A4D">
        <w:rPr>
          <w:rFonts w:ascii="Traditional Arabic" w:hAnsi="Traditional Arabic" w:hint="cs"/>
          <w:color w:val="auto"/>
          <w:rtl/>
        </w:rPr>
        <w:t>للمشتري ت</w:t>
      </w:r>
      <w:r w:rsidR="00572C32" w:rsidRPr="00FD2A4D">
        <w:rPr>
          <w:rFonts w:ascii="Traditional Arabic" w:hAnsi="Traditional Arabic" w:hint="cs"/>
          <w:color w:val="auto"/>
          <w:rtl/>
        </w:rPr>
        <w:t>َ</w:t>
      </w:r>
      <w:r w:rsidRPr="00FD2A4D">
        <w:rPr>
          <w:rFonts w:ascii="Traditional Arabic" w:hAnsi="Traditional Arabic" w:hint="cs"/>
          <w:color w:val="auto"/>
          <w:rtl/>
        </w:rPr>
        <w:t>ب</w:t>
      </w:r>
      <w:r w:rsidR="00572C32" w:rsidRPr="00FD2A4D">
        <w:rPr>
          <w:rFonts w:ascii="Traditional Arabic" w:hAnsi="Traditional Arabic" w:hint="cs"/>
          <w:color w:val="auto"/>
          <w:rtl/>
        </w:rPr>
        <w:t>ْ</w:t>
      </w:r>
      <w:r w:rsidRPr="00FD2A4D">
        <w:rPr>
          <w:rFonts w:ascii="Traditional Arabic" w:hAnsi="Traditional Arabic" w:hint="cs"/>
          <w:color w:val="auto"/>
          <w:rtl/>
        </w:rPr>
        <w:t>ق</w:t>
      </w:r>
      <w:r w:rsidR="00572C32" w:rsidRPr="00FD2A4D">
        <w:rPr>
          <w:rFonts w:ascii="Traditional Arabic" w:hAnsi="Traditional Arabic" w:hint="cs"/>
          <w:color w:val="auto"/>
          <w:rtl/>
        </w:rPr>
        <w:t>ِ</w:t>
      </w:r>
      <w:r w:rsidRPr="00FD2A4D">
        <w:rPr>
          <w:rFonts w:ascii="Traditional Arabic" w:hAnsi="Traditional Arabic" w:hint="cs"/>
          <w:color w:val="auto"/>
          <w:rtl/>
        </w:rPr>
        <w:t>ي</w:t>
      </w:r>
      <w:r w:rsidR="00572C32" w:rsidRPr="00FD2A4D">
        <w:rPr>
          <w:rFonts w:ascii="Traditional Arabic" w:hAnsi="Traditional Arabic" w:hint="cs"/>
          <w:color w:val="auto"/>
          <w:rtl/>
        </w:rPr>
        <w:t>َ</w:t>
      </w:r>
      <w:r w:rsidRPr="00FD2A4D">
        <w:rPr>
          <w:rFonts w:ascii="Traditional Arabic" w:hAnsi="Traditional Arabic" w:hint="cs"/>
          <w:color w:val="auto"/>
          <w:rtl/>
        </w:rPr>
        <w:t>ت</w:t>
      </w:r>
      <w:r w:rsidR="00572C32" w:rsidRPr="00FD2A4D">
        <w:rPr>
          <w:rFonts w:ascii="Traditional Arabic" w:hAnsi="Traditional Arabic" w:hint="cs"/>
          <w:color w:val="auto"/>
          <w:rtl/>
        </w:rPr>
        <w:t>ُ</w:t>
      </w:r>
      <w:r w:rsidRPr="00FD2A4D">
        <w:rPr>
          <w:rFonts w:ascii="Traditional Arabic" w:hAnsi="Traditional Arabic" w:hint="cs"/>
          <w:color w:val="auto"/>
          <w:rtl/>
        </w:rPr>
        <w:t>ه إلى الحصاد</w:t>
      </w:r>
      <w:r w:rsidR="00154102" w:rsidRPr="00FD2A4D">
        <w:rPr>
          <w:rFonts w:ascii="Traditional Arabic" w:hAnsi="Traditional Arabic" w:hint="cs"/>
          <w:color w:val="auto"/>
          <w:rtl/>
        </w:rPr>
        <w:t xml:space="preserve"> و</w:t>
      </w:r>
      <w:r w:rsidRPr="00FD2A4D">
        <w:rPr>
          <w:rFonts w:ascii="Traditional Arabic" w:hAnsi="Traditional Arabic" w:hint="cs"/>
          <w:color w:val="auto"/>
          <w:rtl/>
        </w:rPr>
        <w:t>الجَذاذ،</w:t>
      </w:r>
      <w:r w:rsidR="00154102" w:rsidRPr="00FD2A4D">
        <w:rPr>
          <w:rFonts w:ascii="Traditional Arabic" w:hAnsi="Traditional Arabic" w:hint="cs"/>
          <w:color w:val="auto"/>
          <w:rtl/>
        </w:rPr>
        <w:t xml:space="preserve"> و</w:t>
      </w:r>
      <w:r w:rsidRPr="00FD2A4D">
        <w:rPr>
          <w:rFonts w:ascii="Traditional Arabic" w:hAnsi="Traditional Arabic" w:hint="cs"/>
          <w:color w:val="auto"/>
          <w:rtl/>
        </w:rPr>
        <w:t>يلزم البائع</w:t>
      </w:r>
      <w:r w:rsidR="00572C32" w:rsidRPr="00FD2A4D">
        <w:rPr>
          <w:rFonts w:ascii="Traditional Arabic" w:hAnsi="Traditional Arabic" w:hint="cs"/>
          <w:color w:val="auto"/>
          <w:rtl/>
        </w:rPr>
        <w:t>َ</w:t>
      </w:r>
      <w:r w:rsidRPr="00FD2A4D">
        <w:rPr>
          <w:rFonts w:ascii="Traditional Arabic" w:hAnsi="Traditional Arabic" w:hint="cs"/>
          <w:color w:val="auto"/>
          <w:rtl/>
        </w:rPr>
        <w:t xml:space="preserve"> سَقْي</w:t>
      </w:r>
      <w:r w:rsidR="00572C32" w:rsidRPr="00FD2A4D">
        <w:rPr>
          <w:rFonts w:ascii="Traditional Arabic" w:hAnsi="Traditional Arabic" w:hint="cs"/>
          <w:color w:val="auto"/>
          <w:rtl/>
        </w:rPr>
        <w:t>ُ</w:t>
      </w:r>
      <w:r w:rsidRPr="00FD2A4D">
        <w:rPr>
          <w:rFonts w:ascii="Traditional Arabic" w:hAnsi="Traditional Arabic" w:hint="cs"/>
          <w:color w:val="auto"/>
          <w:rtl/>
        </w:rPr>
        <w:t>ه- إن احتاج إلى ذلك-</w:t>
      </w:r>
      <w:r w:rsidR="00154102" w:rsidRPr="00FD2A4D">
        <w:rPr>
          <w:rFonts w:ascii="Traditional Arabic" w:hAnsi="Traditional Arabic" w:hint="cs"/>
          <w:color w:val="auto"/>
          <w:rtl/>
        </w:rPr>
        <w:t xml:space="preserve"> و</w:t>
      </w:r>
      <w:r w:rsidRPr="00FD2A4D">
        <w:rPr>
          <w:rFonts w:ascii="Traditional Arabic" w:hAnsi="Traditional Arabic" w:hint="cs"/>
          <w:color w:val="auto"/>
          <w:rtl/>
        </w:rPr>
        <w:t xml:space="preserve">إن تضرر </w:t>
      </w:r>
      <w:r w:rsidR="00D276F8">
        <w:rPr>
          <w:rFonts w:ascii="Traditional Arabic" w:hAnsi="Traditional Arabic" w:hint="cs"/>
          <w:color w:val="auto"/>
          <w:rtl/>
        </w:rPr>
        <w:t>الشجر</w:t>
      </w:r>
      <w:r w:rsidR="00ED3461">
        <w:rPr>
          <w:rFonts w:ascii="Traditional Arabic" w:hAnsi="Traditional Arabic" w:hint="cs"/>
          <w:color w:val="auto"/>
          <w:rtl/>
        </w:rPr>
        <w:t xml:space="preserve"> والزرع بالسقي</w:t>
      </w:r>
      <w:r w:rsidRPr="00FD2A4D">
        <w:rPr>
          <w:rFonts w:ascii="Traditional Arabic" w:hAnsi="Traditional Arabic" w:hint="cs"/>
          <w:color w:val="auto"/>
          <w:rtl/>
        </w:rPr>
        <w:t>؛</w:t>
      </w:r>
      <w:r w:rsidR="00572C32" w:rsidRPr="00FD2A4D">
        <w:rPr>
          <w:rFonts w:ascii="Traditional Arabic" w:hAnsi="Traditional Arabic" w:hint="cs"/>
          <w:color w:val="auto"/>
          <w:rtl/>
        </w:rPr>
        <w:t xml:space="preserve"> </w:t>
      </w:r>
      <w:r w:rsidRPr="00FD2A4D">
        <w:rPr>
          <w:rFonts w:ascii="Traditional Arabic" w:hAnsi="Traditional Arabic" w:hint="cs"/>
          <w:color w:val="auto"/>
          <w:rtl/>
        </w:rPr>
        <w:t>ل</w:t>
      </w:r>
      <w:r w:rsidR="00572C32" w:rsidRPr="00FD2A4D">
        <w:rPr>
          <w:rFonts w:ascii="Traditional Arabic" w:hAnsi="Traditional Arabic" w:hint="cs"/>
          <w:color w:val="auto"/>
          <w:rtl/>
        </w:rPr>
        <w:t>ِ</w:t>
      </w:r>
      <w:r w:rsidRPr="00FD2A4D">
        <w:rPr>
          <w:rFonts w:ascii="Traditional Arabic" w:hAnsi="Traditional Arabic" w:hint="cs"/>
          <w:color w:val="auto"/>
          <w:rtl/>
        </w:rPr>
        <w:t>ما جَرَتْ به العادة بأن البائع هو الذي يجب عليه الحِفْظ</w:t>
      </w:r>
      <w:r w:rsidR="00154102" w:rsidRPr="00FD2A4D">
        <w:rPr>
          <w:rFonts w:ascii="Traditional Arabic" w:hAnsi="Traditional Arabic" w:hint="cs"/>
          <w:color w:val="auto"/>
          <w:rtl/>
        </w:rPr>
        <w:t xml:space="preserve"> و</w:t>
      </w:r>
      <w:r w:rsidRPr="00FD2A4D">
        <w:rPr>
          <w:rFonts w:ascii="Traditional Arabic" w:hAnsi="Traditional Arabic" w:hint="cs"/>
          <w:color w:val="auto"/>
          <w:rtl/>
        </w:rPr>
        <w:t>القيام على الشجر</w:t>
      </w:r>
      <w:r w:rsidR="00154102" w:rsidRPr="00FD2A4D">
        <w:rPr>
          <w:rFonts w:ascii="Traditional Arabic" w:hAnsi="Traditional Arabic" w:hint="cs"/>
          <w:color w:val="auto"/>
          <w:rtl/>
        </w:rPr>
        <w:t xml:space="preserve"> و</w:t>
      </w:r>
      <w:r w:rsidRPr="00FD2A4D">
        <w:rPr>
          <w:rFonts w:ascii="Traditional Arabic" w:hAnsi="Traditional Arabic" w:hint="cs"/>
          <w:color w:val="auto"/>
          <w:rtl/>
        </w:rPr>
        <w:t>الزرع إلى الجذاذ،</w:t>
      </w:r>
      <w:r w:rsidR="00572C32" w:rsidRPr="00FD2A4D">
        <w:rPr>
          <w:rFonts w:ascii="Traditional Arabic" w:hAnsi="Traditional Arabic" w:hint="cs"/>
          <w:color w:val="auto"/>
          <w:rtl/>
        </w:rPr>
        <w:t xml:space="preserve"> </w:t>
      </w:r>
      <w:r w:rsidRPr="00FD2A4D">
        <w:rPr>
          <w:rFonts w:ascii="Traditional Arabic" w:hAnsi="Traditional Arabic" w:hint="cs"/>
          <w:color w:val="auto"/>
          <w:rtl/>
        </w:rPr>
        <w:t>فهو الذي ألزم نفسه بذلك،</w:t>
      </w:r>
      <w:r w:rsidR="00154102" w:rsidRPr="00FD2A4D">
        <w:rPr>
          <w:rFonts w:ascii="Traditional Arabic" w:hAnsi="Traditional Arabic" w:hint="cs"/>
          <w:color w:val="auto"/>
          <w:rtl/>
        </w:rPr>
        <w:t xml:space="preserve"> و</w:t>
      </w:r>
      <w:r w:rsidRPr="00FD2A4D">
        <w:rPr>
          <w:rFonts w:ascii="Traditional Arabic" w:hAnsi="Traditional Arabic" w:hint="cs"/>
          <w:color w:val="auto"/>
          <w:rtl/>
        </w:rPr>
        <w:t>هو الذي رضي لنفسه بالضرر في</w:t>
      </w:r>
      <w:r w:rsidR="00B40B33" w:rsidRPr="00FD2A4D">
        <w:rPr>
          <w:rFonts w:ascii="Traditional Arabic" w:hAnsi="Traditional Arabic" w:hint="cs"/>
          <w:color w:val="auto"/>
          <w:rtl/>
        </w:rPr>
        <w:t>َ</w:t>
      </w:r>
      <w:r w:rsidRPr="00FD2A4D">
        <w:rPr>
          <w:rFonts w:ascii="Traditional Arabic" w:hAnsi="Traditional Arabic" w:hint="cs"/>
          <w:color w:val="auto"/>
          <w:rtl/>
        </w:rPr>
        <w:t>لزمُه</w:t>
      </w:r>
      <w:r w:rsidRPr="00FD2A4D">
        <w:rPr>
          <w:rFonts w:ascii="Traditional Arabic" w:hAnsi="Traditional Arabic" w:hint="cs"/>
          <w:color w:val="auto"/>
          <w:szCs w:val="32"/>
          <w:vertAlign w:val="superscript"/>
          <w:rtl/>
        </w:rPr>
        <w:t>(</w:t>
      </w:r>
      <w:r w:rsidRPr="00C821A1">
        <w:rPr>
          <w:rStyle w:val="af1"/>
          <w:rFonts w:ascii="Traditional Arabic" w:hAnsi="Traditional Arabic"/>
          <w:color w:val="auto"/>
          <w:szCs w:val="32"/>
          <w:rtl/>
        </w:rPr>
        <w:footnoteReference w:id="961"/>
      </w:r>
      <w:r w:rsidRPr="00FD2A4D">
        <w:rPr>
          <w:rFonts w:ascii="Traditional Arabic" w:hAnsi="Traditional Arabic" w:hint="cs"/>
          <w:color w:val="auto"/>
          <w:szCs w:val="32"/>
          <w:vertAlign w:val="superscript"/>
          <w:rtl/>
        </w:rPr>
        <w:t>)</w:t>
      </w:r>
      <w:r w:rsidRPr="00FD2A4D">
        <w:rPr>
          <w:rFonts w:ascii="Traditional Arabic" w:hAnsi="Traditional Arabic" w:hint="cs"/>
          <w:color w:val="auto"/>
          <w:rtl/>
        </w:rPr>
        <w:t>.</w:t>
      </w:r>
    </w:p>
    <w:p w:rsidR="00234C6A" w:rsidRDefault="00234C6A" w:rsidP="00234C6A">
      <w:pPr>
        <w:rPr>
          <w:rFonts w:ascii="Traditional Arabic" w:hAnsi="Traditional Arabic"/>
          <w:b/>
          <w:bCs/>
          <w:color w:val="auto"/>
          <w:rtl/>
        </w:rPr>
      </w:pPr>
    </w:p>
    <w:p w:rsidR="00A76AFC" w:rsidRPr="00C85F0F" w:rsidRDefault="00A76AFC" w:rsidP="000F5C0F">
      <w:pPr>
        <w:pStyle w:val="aff2"/>
        <w:rPr>
          <w:rtl/>
        </w:rPr>
      </w:pPr>
      <w:bookmarkStart w:id="184" w:name="_Toc334046415"/>
      <w:r w:rsidRPr="00A76AFC">
        <w:rPr>
          <w:rFonts w:hint="cs"/>
          <w:rtl/>
        </w:rPr>
        <w:lastRenderedPageBreak/>
        <w:t>المبحث ال</w:t>
      </w:r>
      <w:r w:rsidR="00203C72">
        <w:rPr>
          <w:rFonts w:hint="cs"/>
          <w:rtl/>
        </w:rPr>
        <w:t>ثاني</w:t>
      </w:r>
      <w:r w:rsidRPr="00A76AFC">
        <w:rPr>
          <w:rFonts w:hint="eastAsia"/>
          <w:rtl/>
        </w:rPr>
        <w:t> :</w:t>
      </w:r>
      <w:r w:rsidRPr="00A76AFC">
        <w:rPr>
          <w:rtl/>
        </w:rPr>
        <w:br/>
      </w:r>
      <w:r w:rsidRPr="00A76AFC">
        <w:rPr>
          <w:rFonts w:hint="cs"/>
          <w:rtl/>
        </w:rPr>
        <w:t>قاعدة</w:t>
      </w:r>
      <w:r w:rsidRPr="00A76AFC">
        <w:rPr>
          <w:rtl/>
        </w:rPr>
        <w:br/>
      </w:r>
      <w:r>
        <w:rPr>
          <w:rFonts w:hint="cs"/>
          <w:rtl/>
        </w:rPr>
        <w:t>"</w:t>
      </w:r>
      <w:r w:rsidRPr="00A76AFC">
        <w:rPr>
          <w:rtl/>
        </w:rPr>
        <w:t>كل مدفوع لأذاه فلا حرمة له، وكل ما أبيح إتلافه لصوله</w:t>
      </w:r>
      <w:r w:rsidR="00EB00A3">
        <w:rPr>
          <w:rFonts w:hint="cs"/>
          <w:rtl/>
        </w:rPr>
        <w:t xml:space="preserve"> </w:t>
      </w:r>
      <w:r w:rsidRPr="00A76AFC">
        <w:rPr>
          <w:rtl/>
        </w:rPr>
        <w:t>فإن</w:t>
      </w:r>
      <w:r w:rsidRPr="00A76AFC">
        <w:rPr>
          <w:rFonts w:hint="cs"/>
          <w:rtl/>
        </w:rPr>
        <w:t xml:space="preserve">ه </w:t>
      </w:r>
      <w:r w:rsidRPr="00A76AFC">
        <w:rPr>
          <w:rtl/>
        </w:rPr>
        <w:t>يدافع بالأسهل فالأسهل</w:t>
      </w:r>
      <w:r w:rsidR="00AB0B9E" w:rsidRPr="00C85F0F">
        <w:rPr>
          <w:rtl/>
        </w:rPr>
        <w:fldChar w:fldCharType="begin"/>
      </w:r>
      <w:r w:rsidR="003504FF" w:rsidRPr="00C85F0F">
        <w:instrText>XE</w:instrText>
      </w:r>
      <w:r w:rsidR="003504FF" w:rsidRPr="00C85F0F">
        <w:rPr>
          <w:rtl/>
        </w:rPr>
        <w:instrText xml:space="preserve"> "</w:instrText>
      </w:r>
      <w:r w:rsidR="003504FF" w:rsidRPr="00C85F0F">
        <w:rPr>
          <w:rFonts w:hint="cs"/>
          <w:rtl/>
        </w:rPr>
        <w:instrText>كلمدفوعلأذاهفلاحرمةله،وكلماأبيحإتلافهلصولهفإنهيدافعبالأسهلفالأسهل</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bookmarkEnd w:id="184"/>
    </w:p>
    <w:p w:rsidR="00065E4B" w:rsidRPr="00797F48" w:rsidRDefault="00630D1C" w:rsidP="00A8347C">
      <w:pPr>
        <w:pStyle w:val="aff3"/>
        <w:rPr>
          <w:rtl/>
        </w:rPr>
      </w:pPr>
      <w:bookmarkStart w:id="185" w:name="_Toc334046416"/>
      <w:r w:rsidRPr="00797F48">
        <w:rPr>
          <w:rFonts w:hint="cs"/>
          <w:rtl/>
        </w:rPr>
        <w:t xml:space="preserve">                                         </w:t>
      </w:r>
      <w:r w:rsidR="00A76AFC" w:rsidRPr="00797F48">
        <w:rPr>
          <w:rFonts w:hint="cs"/>
          <w:rtl/>
        </w:rPr>
        <w:t>المطلب الأول</w:t>
      </w:r>
      <w:r w:rsidR="00A76AFC" w:rsidRPr="00797F48">
        <w:rPr>
          <w:rFonts w:hint="eastAsia"/>
          <w:rtl/>
        </w:rPr>
        <w:t> :</w:t>
      </w:r>
      <w:r w:rsidR="00A76AFC" w:rsidRPr="00797F48">
        <w:rPr>
          <w:rFonts w:hint="cs"/>
          <w:rtl/>
        </w:rPr>
        <w:br/>
      </w:r>
      <w:r w:rsidRPr="00797F48">
        <w:rPr>
          <w:rFonts w:hint="cs"/>
          <w:rtl/>
        </w:rPr>
        <w:t xml:space="preserve">                       </w:t>
      </w:r>
      <w:r w:rsidR="00A76AFC" w:rsidRPr="00797F48">
        <w:rPr>
          <w:rFonts w:hint="cs"/>
          <w:rtl/>
        </w:rPr>
        <w:t>صيغ القاعدة عند الشيخ وعند علماء القواعد</w:t>
      </w:r>
      <w:bookmarkEnd w:id="185"/>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noProof w:val="0"/>
          <w:color w:val="auto"/>
          <w:rtl/>
          <w:lang w:eastAsia="en-US"/>
        </w:rPr>
        <w:t>ذ</w:t>
      </w:r>
      <w:r w:rsidR="00A76AFC" w:rsidRPr="00C85F0F">
        <w:rPr>
          <w:rFonts w:ascii="Traditional Arabic" w:hAnsi="Traditional Arabic"/>
          <w:noProof w:val="0"/>
          <w:color w:val="auto"/>
          <w:rtl/>
          <w:lang w:eastAsia="en-US"/>
        </w:rPr>
        <w:t xml:space="preserve">كر الشيخ ابن عثيمين </w:t>
      </w:r>
      <w:r w:rsidR="00630D1C">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630D1C">
        <w:rPr>
          <w:rFonts w:ascii="Traditional Arabic" w:hAnsi="Traditional Arabic" w:hint="cs"/>
          <w:noProof w:val="0"/>
          <w:color w:val="auto"/>
          <w:rtl/>
          <w:lang w:eastAsia="en-US"/>
        </w:rPr>
        <w:t>_</w:t>
      </w:r>
      <w:r w:rsidR="00A76AFC" w:rsidRPr="00C85F0F">
        <w:rPr>
          <w:rFonts w:ascii="Traditional Arabic" w:hAnsi="Traditional Arabic"/>
          <w:noProof w:val="0"/>
          <w:color w:val="auto"/>
          <w:rtl/>
          <w:lang w:eastAsia="en-US"/>
        </w:rPr>
        <w:t xml:space="preserve"> هذه القاعدة بمعناها، وذلك عند كلامه عن</w:t>
      </w:r>
      <w:r w:rsidR="00630D1C">
        <w:rPr>
          <w:rFonts w:ascii="Traditional Arabic" w:hAnsi="Traditional Arabic" w:hint="cs"/>
          <w:noProof w:val="0"/>
          <w:color w:val="auto"/>
          <w:rtl/>
          <w:lang w:eastAsia="en-US"/>
        </w:rPr>
        <w:t xml:space="preserve"> </w:t>
      </w:r>
      <w:r w:rsidR="00A76AFC" w:rsidRPr="00C85F0F">
        <w:rPr>
          <w:rFonts w:ascii="Traditional Arabic" w:hAnsi="Traditional Arabic"/>
          <w:noProof w:val="0"/>
          <w:color w:val="auto"/>
          <w:rtl/>
          <w:lang w:eastAsia="en-US"/>
        </w:rPr>
        <w:t>قتل الصائل</w:t>
      </w:r>
      <w:r w:rsidR="00B76414" w:rsidRPr="00C85F0F">
        <w:rPr>
          <w:rFonts w:ascii="Traditional Arabic" w:hAnsi="Traditional Arabic"/>
          <w:noProof w:val="0"/>
          <w:color w:val="auto"/>
          <w:rtl/>
          <w:lang w:eastAsia="en-US"/>
        </w:rPr>
        <w:t>،</w:t>
      </w:r>
      <w:r w:rsidR="00A76AFC" w:rsidRPr="00C85F0F">
        <w:rPr>
          <w:rFonts w:ascii="Traditional Arabic" w:hAnsi="Traditional Arabic"/>
          <w:noProof w:val="0"/>
          <w:color w:val="auto"/>
          <w:rtl/>
          <w:lang w:eastAsia="en-US"/>
        </w:rPr>
        <w:t xml:space="preserve"> حيث قال: (ق</w:t>
      </w:r>
      <w:r w:rsidR="00A76AFC" w:rsidRPr="00C85F0F">
        <w:rPr>
          <w:rFonts w:ascii="Traditional Arabic" w:hAnsi="Traditional Arabic" w:hint="cs"/>
          <w:noProof w:val="0"/>
          <w:color w:val="auto"/>
          <w:rtl/>
          <w:lang w:eastAsia="en-US"/>
        </w:rPr>
        <w:t>َ</w:t>
      </w:r>
      <w:r w:rsidR="00A76AFC" w:rsidRPr="00C85F0F">
        <w:rPr>
          <w:rFonts w:ascii="Traditional Arabic" w:hAnsi="Traditional Arabic"/>
          <w:noProof w:val="0"/>
          <w:color w:val="auto"/>
          <w:rtl/>
          <w:lang w:eastAsia="en-US"/>
        </w:rPr>
        <w:t>ت</w:t>
      </w:r>
      <w:r w:rsidR="00A76AFC" w:rsidRPr="00C85F0F">
        <w:rPr>
          <w:rFonts w:ascii="Traditional Arabic" w:hAnsi="Traditional Arabic" w:hint="cs"/>
          <w:noProof w:val="0"/>
          <w:color w:val="auto"/>
          <w:rtl/>
          <w:lang w:eastAsia="en-US"/>
        </w:rPr>
        <w:t>ْ</w:t>
      </w:r>
      <w:r w:rsidR="00A76AFC" w:rsidRPr="00C85F0F">
        <w:rPr>
          <w:rFonts w:ascii="Traditional Arabic" w:hAnsi="Traditional Arabic"/>
          <w:noProof w:val="0"/>
          <w:color w:val="auto"/>
          <w:rtl/>
          <w:lang w:eastAsia="en-US"/>
        </w:rPr>
        <w:t>ل الصائل</w:t>
      </w:r>
      <w:r w:rsidR="00A76AFC" w:rsidRPr="00C85F0F">
        <w:rPr>
          <w:rStyle w:val="af1"/>
          <w:szCs w:val="32"/>
          <w:rtl/>
        </w:rPr>
        <w:t>(</w:t>
      </w:r>
      <w:r w:rsidR="00A76AFC" w:rsidRPr="00C85F0F">
        <w:rPr>
          <w:rStyle w:val="af1"/>
          <w:szCs w:val="32"/>
          <w:rtl/>
        </w:rPr>
        <w:footnoteReference w:id="962"/>
      </w:r>
      <w:r w:rsidR="00A76AFC" w:rsidRPr="00C85F0F">
        <w:rPr>
          <w:rStyle w:val="af1"/>
          <w:szCs w:val="32"/>
          <w:rtl/>
        </w:rPr>
        <w:t>)</w:t>
      </w:r>
      <w:r w:rsidR="00A76AFC" w:rsidRPr="00C85F0F">
        <w:rPr>
          <w:rFonts w:ascii="Traditional Arabic" w:hAnsi="Traditional Arabic"/>
          <w:noProof w:val="0"/>
          <w:color w:val="auto"/>
          <w:rtl/>
          <w:lang w:eastAsia="en-US"/>
        </w:rPr>
        <w:t xml:space="preserve"> لا ضمان فيه، وهو يشمل الصائل على النفس، والصائل على العِرض، والصائل على المال، فهذا يُدافَع بالأسهل فالأسهل، فإن لم يندفع إلا بالقتل فقتَله</w:t>
      </w:r>
      <w:r w:rsidR="00630D1C">
        <w:rPr>
          <w:rFonts w:ascii="Traditional Arabic" w:hAnsi="Traditional Arabic" w:hint="cs"/>
          <w:noProof w:val="0"/>
          <w:color w:val="auto"/>
          <w:rtl/>
          <w:lang w:eastAsia="en-US"/>
        </w:rPr>
        <w:t>،</w:t>
      </w:r>
      <w:r w:rsidR="00A76AFC" w:rsidRPr="00C85F0F">
        <w:rPr>
          <w:rFonts w:ascii="Traditional Arabic" w:hAnsi="Traditional Arabic"/>
          <w:noProof w:val="0"/>
          <w:color w:val="auto"/>
          <w:rtl/>
          <w:lang w:eastAsia="en-US"/>
        </w:rPr>
        <w:t xml:space="preserve"> فلا ضمان)</w:t>
      </w:r>
      <w:r w:rsidR="00A76AFC" w:rsidRPr="00C85F0F">
        <w:rPr>
          <w:rStyle w:val="af1"/>
          <w:szCs w:val="32"/>
          <w:rtl/>
        </w:rPr>
        <w:t>(</w:t>
      </w:r>
      <w:r w:rsidR="00A76AFC" w:rsidRPr="00C85F0F">
        <w:rPr>
          <w:rStyle w:val="af1"/>
          <w:szCs w:val="32"/>
          <w:rtl/>
        </w:rPr>
        <w:footnoteReference w:id="963"/>
      </w:r>
      <w:r w:rsidR="00A76AFC" w:rsidRPr="00C85F0F">
        <w:rPr>
          <w:rStyle w:val="af1"/>
          <w:szCs w:val="32"/>
          <w:rtl/>
        </w:rPr>
        <w:t>)</w:t>
      </w:r>
      <w:r w:rsidR="00A76AFC" w:rsidRPr="00C85F0F">
        <w:rPr>
          <w:rFonts w:ascii="Traditional Arabic" w:hAnsi="Traditional Arabic"/>
          <w:noProof w:val="0"/>
          <w:color w:val="auto"/>
          <w:rtl/>
          <w:lang w:eastAsia="en-US"/>
        </w:rPr>
        <w:t>.</w:t>
      </w:r>
    </w:p>
    <w:p w:rsidR="00F228A9"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A76AFC" w:rsidRPr="00C85F0F">
        <w:rPr>
          <w:rFonts w:ascii="Traditional Arabic" w:hAnsi="Traditional Arabic" w:hint="cs"/>
          <w:noProof w:val="0"/>
          <w:color w:val="auto"/>
          <w:rtl/>
          <w:lang w:eastAsia="en-US"/>
        </w:rPr>
        <w:t>وردت هذه القاعدة في كتاب الحج من الشرح الممتع، بصيغة:</w:t>
      </w:r>
    </w:p>
    <w:p w:rsidR="00065E4B" w:rsidRPr="00C85F0F" w:rsidRDefault="00A76AFC" w:rsidP="000A76C7">
      <w:pPr>
        <w:pStyle w:val="afc"/>
        <w:numPr>
          <w:ilvl w:val="0"/>
          <w:numId w:val="132"/>
        </w:numPr>
        <w:rPr>
          <w:rFonts w:ascii="Traditional Arabic" w:hAnsi="Traditional Arabic"/>
          <w:noProof w:val="0"/>
          <w:color w:val="auto"/>
          <w:lang w:eastAsia="en-US"/>
        </w:rPr>
      </w:pPr>
      <w:r w:rsidRPr="00C85F0F">
        <w:rPr>
          <w:rFonts w:ascii="Traditional Arabic" w:hAnsi="Traditional Arabic"/>
          <w:noProof w:val="0"/>
          <w:color w:val="auto"/>
          <w:rtl/>
          <w:lang w:eastAsia="en-US"/>
        </w:rPr>
        <w:t>كل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مدفوع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أ</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ذاه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فلا 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رمة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له، وكل ما أ</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بيح إتلاف</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ص</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و</w:t>
      </w:r>
      <w:r w:rsidRPr="00C85F0F">
        <w:rPr>
          <w:rFonts w:ascii="Traditional Arabic" w:hAnsi="Traditional Arabic" w:hint="cs"/>
          <w:noProof w:val="0"/>
          <w:color w:val="auto"/>
          <w:rtl/>
          <w:lang w:eastAsia="en-US"/>
        </w:rPr>
        <w:t xml:space="preserve">ْلِه </w:t>
      </w:r>
      <w:r w:rsidRPr="00C85F0F">
        <w:rPr>
          <w:rFonts w:ascii="Traditional Arabic" w:hAnsi="Traditional Arabic"/>
          <w:noProof w:val="0"/>
          <w:color w:val="auto"/>
          <w:rtl/>
          <w:lang w:eastAsia="en-US"/>
        </w:rPr>
        <w:t>فإن</w:t>
      </w:r>
      <w:r w:rsidRPr="00C85F0F">
        <w:rPr>
          <w:rFonts w:ascii="Traditional Arabic" w:hAnsi="Traditional Arabic" w:hint="cs"/>
          <w:noProof w:val="0"/>
          <w:color w:val="auto"/>
          <w:rtl/>
          <w:lang w:eastAsia="en-US"/>
        </w:rPr>
        <w:t xml:space="preserve">ه </w:t>
      </w:r>
      <w:r w:rsidRPr="00C85F0F">
        <w:rPr>
          <w:rFonts w:ascii="Traditional Arabic" w:hAnsi="Traditional Arabic"/>
          <w:noProof w:val="0"/>
          <w:color w:val="auto"/>
          <w:rtl/>
          <w:lang w:eastAsia="en-US"/>
        </w:rPr>
        <w:t>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داف</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بالأسهل فالأسهل</w:t>
      </w:r>
      <w:r w:rsidRPr="00C85F0F">
        <w:rPr>
          <w:rStyle w:val="af1"/>
          <w:szCs w:val="32"/>
          <w:rtl/>
        </w:rPr>
        <w:t>(</w:t>
      </w:r>
      <w:r w:rsidRPr="00C85F0F">
        <w:rPr>
          <w:rStyle w:val="af1"/>
          <w:szCs w:val="32"/>
          <w:rtl/>
        </w:rPr>
        <w:footnoteReference w:id="964"/>
      </w:r>
      <w:r w:rsidRPr="00C85F0F">
        <w:rPr>
          <w:rStyle w:val="af1"/>
          <w:szCs w:val="32"/>
          <w:rtl/>
        </w:rPr>
        <w:t>)</w:t>
      </w:r>
      <w:r w:rsidRPr="00C85F0F">
        <w:rPr>
          <w:rFonts w:ascii="Traditional Arabic" w:hAnsi="Traditional Arabic" w:hint="cs"/>
          <w:noProof w:val="0"/>
          <w:color w:val="auto"/>
          <w:rtl/>
          <w:lang w:eastAsia="en-US"/>
        </w:rPr>
        <w:t>.</w:t>
      </w:r>
    </w:p>
    <w:p w:rsidR="00065E4B"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A76AFC" w:rsidRPr="00C85F0F">
        <w:rPr>
          <w:rFonts w:ascii="Traditional Arabic" w:hAnsi="Traditional Arabic" w:hint="cs"/>
          <w:noProof w:val="0"/>
          <w:color w:val="auto"/>
          <w:rtl/>
          <w:lang w:eastAsia="en-US"/>
        </w:rPr>
        <w:t xml:space="preserve">قد ذكر الشيخ </w:t>
      </w:r>
      <w:r w:rsidR="00630D1C">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630D1C">
        <w:rPr>
          <w:rFonts w:ascii="Traditional Arabic" w:hAnsi="Traditional Arabic" w:hint="cs"/>
          <w:noProof w:val="0"/>
          <w:color w:val="auto"/>
          <w:rtl/>
          <w:lang w:eastAsia="en-US"/>
        </w:rPr>
        <w:t>_</w:t>
      </w:r>
      <w:r w:rsidR="00A76AFC" w:rsidRPr="00C85F0F">
        <w:rPr>
          <w:rFonts w:ascii="Traditional Arabic" w:hAnsi="Traditional Arabic" w:hint="cs"/>
          <w:noProof w:val="0"/>
          <w:color w:val="auto"/>
          <w:rtl/>
          <w:lang w:eastAsia="en-US"/>
        </w:rPr>
        <w:t xml:space="preserve"> مضمون هذه القاعدة في منظومة أصول الفقه وقواعده، فقال:</w:t>
      </w:r>
    </w:p>
    <w:p w:rsidR="00065E4B" w:rsidRPr="00C85F0F" w:rsidRDefault="00065E4B" w:rsidP="00597C20">
      <w:pPr>
        <w:ind w:firstLine="720"/>
        <w:rPr>
          <w:rFonts w:ascii="Traditional Arabic" w:hAnsi="Traditional Arabic"/>
          <w:noProof w:val="0"/>
          <w:color w:val="auto"/>
          <w:lang w:eastAsia="en-US"/>
        </w:rPr>
      </w:pPr>
      <w:r w:rsidRPr="00C85F0F">
        <w:rPr>
          <w:rFonts w:ascii="Traditional Arabic" w:hAnsi="Traditional Arabic" w:hint="cs"/>
          <w:noProof w:val="0"/>
          <w:color w:val="auto"/>
          <w:rtl/>
          <w:lang w:eastAsia="en-US"/>
        </w:rPr>
        <w:t>و</w:t>
      </w:r>
      <w:r w:rsidR="00AB5D31">
        <w:rPr>
          <w:rFonts w:ascii="Traditional Arabic" w:hAnsi="Traditional Arabic" w:hint="cs"/>
          <w:noProof w:val="0"/>
          <w:color w:val="auto"/>
          <w:rtl/>
          <w:lang w:eastAsia="en-US"/>
        </w:rPr>
        <w:t>كل مُتْلَ</w:t>
      </w:r>
      <w:r w:rsidR="00A76AFC" w:rsidRPr="00C85F0F">
        <w:rPr>
          <w:rFonts w:ascii="Traditional Arabic" w:hAnsi="Traditional Arabic" w:hint="cs"/>
          <w:noProof w:val="0"/>
          <w:color w:val="auto"/>
          <w:rtl/>
          <w:lang w:eastAsia="en-US"/>
        </w:rPr>
        <w:t>فٍ فمضمونٌ إذا</w:t>
      </w:r>
      <w:r w:rsidR="00AB5D31">
        <w:rPr>
          <w:rFonts w:ascii="Traditional Arabic" w:hAnsi="Traditional Arabic" w:hint="cs"/>
          <w:noProof w:val="0"/>
          <w:color w:val="auto"/>
          <w:rtl/>
          <w:lang w:eastAsia="en-US"/>
        </w:rPr>
        <w:t xml:space="preserve">      </w:t>
      </w:r>
      <w:r w:rsidR="00A76AFC" w:rsidRPr="00C85F0F">
        <w:rPr>
          <w:rFonts w:ascii="Traditional Arabic" w:hAnsi="Traditional Arabic" w:hint="cs"/>
          <w:noProof w:val="0"/>
          <w:color w:val="auto"/>
          <w:rtl/>
          <w:lang w:eastAsia="en-US"/>
        </w:rPr>
        <w:t>لم يكن الإتلافُ من دَفْعِ الأذى</w:t>
      </w:r>
      <w:r w:rsidR="00A76AFC" w:rsidRPr="00C85F0F">
        <w:rPr>
          <w:rStyle w:val="af1"/>
          <w:szCs w:val="32"/>
          <w:rtl/>
        </w:rPr>
        <w:t>(</w:t>
      </w:r>
      <w:r w:rsidR="00A76AFC" w:rsidRPr="00C85F0F">
        <w:rPr>
          <w:rStyle w:val="af1"/>
          <w:szCs w:val="32"/>
          <w:rtl/>
        </w:rPr>
        <w:footnoteReference w:id="965"/>
      </w:r>
      <w:r w:rsidR="00A76AFC" w:rsidRPr="00C85F0F">
        <w:rPr>
          <w:rStyle w:val="af1"/>
          <w:szCs w:val="32"/>
          <w:rtl/>
        </w:rPr>
        <w:t>)</w:t>
      </w:r>
      <w:r w:rsidR="00A76AFC" w:rsidRPr="00C85F0F">
        <w:rPr>
          <w:rFonts w:ascii="Traditional Arabic" w:hAnsi="Traditional Arabic" w:hint="cs"/>
          <w:noProof w:val="0"/>
          <w:color w:val="auto"/>
          <w:rtl/>
          <w:lang w:eastAsia="en-US"/>
        </w:rPr>
        <w:t>.</w:t>
      </w:r>
    </w:p>
    <w:p w:rsidR="00065E4B"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ف</w:t>
      </w:r>
      <w:r w:rsidR="00A76AFC" w:rsidRPr="00C85F0F">
        <w:rPr>
          <w:rFonts w:ascii="Traditional Arabic" w:hAnsi="Traditional Arabic" w:hint="cs"/>
          <w:noProof w:val="0"/>
          <w:color w:val="auto"/>
          <w:rtl/>
          <w:lang w:eastAsia="en-US"/>
        </w:rPr>
        <w:t>الشطر الأول من البيت م</w:t>
      </w:r>
      <w:r w:rsidR="00AB5D31">
        <w:rPr>
          <w:rFonts w:ascii="Traditional Arabic" w:hAnsi="Traditional Arabic" w:hint="cs"/>
          <w:noProof w:val="0"/>
          <w:color w:val="auto"/>
          <w:rtl/>
          <w:lang w:eastAsia="en-US"/>
        </w:rPr>
        <w:t>تعلق بقاعدة: من أتلف شيئا</w:t>
      </w:r>
      <w:r w:rsidR="00A76AFC" w:rsidRPr="00C85F0F">
        <w:rPr>
          <w:rFonts w:ascii="Traditional Arabic" w:hAnsi="Traditional Arabic" w:hint="cs"/>
          <w:noProof w:val="0"/>
          <w:color w:val="auto"/>
          <w:rtl/>
          <w:lang w:eastAsia="en-US"/>
        </w:rPr>
        <w:t xml:space="preserve"> فعليه الضمان، وسيأتي بحثها </w:t>
      </w:r>
      <w:r w:rsidR="00AB5D31">
        <w:rPr>
          <w:rFonts w:ascii="Traditional Arabic" w:hAnsi="Traditional Arabic" w:hint="cs"/>
          <w:noProof w:val="0"/>
          <w:color w:val="auto"/>
          <w:rtl/>
          <w:lang w:eastAsia="en-US"/>
        </w:rPr>
        <w:t xml:space="preserve">في </w:t>
      </w:r>
      <w:r w:rsidR="00AB5D31">
        <w:rPr>
          <w:rFonts w:ascii="Traditional Arabic" w:hAnsi="Traditional Arabic" w:hint="cs"/>
          <w:noProof w:val="0"/>
          <w:color w:val="auto"/>
          <w:rtl/>
          <w:lang w:eastAsia="en-US"/>
        </w:rPr>
        <w:lastRenderedPageBreak/>
        <w:t>الفصل السابع المتعلق بقواعد الضمان</w:t>
      </w:r>
      <w:r w:rsidR="00A76AFC" w:rsidRPr="00C85F0F">
        <w:rPr>
          <w:rStyle w:val="af1"/>
          <w:szCs w:val="32"/>
          <w:rtl/>
        </w:rPr>
        <w:t>(</w:t>
      </w:r>
      <w:r w:rsidR="00A76AFC" w:rsidRPr="00C85F0F">
        <w:rPr>
          <w:rStyle w:val="af1"/>
          <w:szCs w:val="32"/>
          <w:rtl/>
        </w:rPr>
        <w:footnoteReference w:id="966"/>
      </w:r>
      <w:r w:rsidR="00A76AFC" w:rsidRPr="00C85F0F">
        <w:rPr>
          <w:rStyle w:val="af1"/>
          <w:szCs w:val="32"/>
          <w:rtl/>
        </w:rPr>
        <w:t>)</w:t>
      </w:r>
      <w:r w:rsidR="00A76AFC" w:rsidRPr="00C85F0F">
        <w:rPr>
          <w:rFonts w:ascii="Traditional Arabic" w:hAnsi="Traditional Arabic" w:hint="cs"/>
          <w:noProof w:val="0"/>
          <w:color w:val="auto"/>
          <w:rtl/>
          <w:lang w:eastAsia="en-US"/>
        </w:rPr>
        <w:t>.</w:t>
      </w:r>
    </w:p>
    <w:p w:rsidR="00065E4B"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AB5D31">
        <w:rPr>
          <w:rFonts w:ascii="Traditional Arabic" w:hAnsi="Traditional Arabic" w:hint="cs"/>
          <w:noProof w:val="0"/>
          <w:color w:val="auto"/>
          <w:rtl/>
          <w:lang w:eastAsia="en-US"/>
        </w:rPr>
        <w:t>أما الشطر الثاني من البيت</w:t>
      </w:r>
      <w:r w:rsidR="00A76AFC" w:rsidRPr="00C85F0F">
        <w:rPr>
          <w:rFonts w:ascii="Traditional Arabic" w:hAnsi="Traditional Arabic" w:hint="cs"/>
          <w:noProof w:val="0"/>
          <w:color w:val="auto"/>
          <w:rtl/>
          <w:lang w:eastAsia="en-US"/>
        </w:rPr>
        <w:t xml:space="preserve"> </w:t>
      </w:r>
      <w:r w:rsidR="00AB5D31">
        <w:rPr>
          <w:rFonts w:ascii="Traditional Arabic" w:hAnsi="Traditional Arabic" w:hint="cs"/>
          <w:noProof w:val="0"/>
          <w:color w:val="auto"/>
          <w:rtl/>
          <w:lang w:eastAsia="en-US"/>
        </w:rPr>
        <w:t xml:space="preserve">فهو </w:t>
      </w:r>
      <w:r w:rsidR="00A76AFC" w:rsidRPr="00C85F0F">
        <w:rPr>
          <w:rFonts w:ascii="Traditional Arabic" w:hAnsi="Traditional Arabic" w:hint="cs"/>
          <w:noProof w:val="0"/>
          <w:color w:val="auto"/>
          <w:rtl/>
          <w:lang w:eastAsia="en-US"/>
        </w:rPr>
        <w:t>متعلق بهذه القاعدة، وهو كالاستثناء للقاعدة السابقة.</w:t>
      </w:r>
    </w:p>
    <w:p w:rsidR="00065E4B"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A76AFC" w:rsidRPr="00C85F0F">
        <w:rPr>
          <w:rFonts w:ascii="Traditional Arabic" w:hAnsi="Traditional Arabic" w:hint="cs"/>
          <w:noProof w:val="0"/>
          <w:color w:val="auto"/>
          <w:rtl/>
          <w:lang w:eastAsia="en-US"/>
        </w:rPr>
        <w:t>ال</w:t>
      </w:r>
      <w:r w:rsidR="00AB5D31">
        <w:rPr>
          <w:rFonts w:ascii="Traditional Arabic" w:hAnsi="Traditional Arabic" w:hint="cs"/>
          <w:noProof w:val="0"/>
          <w:color w:val="auto"/>
          <w:rtl/>
          <w:lang w:eastAsia="en-US"/>
        </w:rPr>
        <w:t>ذي يظهر-والله أعلم-أن الشيخ</w:t>
      </w:r>
      <w:r w:rsidR="00A76AFC" w:rsidRPr="00C85F0F">
        <w:rPr>
          <w:rFonts w:ascii="Traditional Arabic" w:hAnsi="Traditional Arabic" w:hint="cs"/>
          <w:noProof w:val="0"/>
          <w:color w:val="auto"/>
          <w:rtl/>
          <w:lang w:eastAsia="en-US"/>
        </w:rPr>
        <w:t xml:space="preserve"> استمد صيغة هذه القاعدة من شيخه عبد الرحمن بن ناصر السعدي </w:t>
      </w:r>
      <w:r w:rsidR="00AB5D31">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AB5D31">
        <w:rPr>
          <w:rFonts w:ascii="Traditional Arabic" w:hAnsi="Traditional Arabic" w:hint="cs"/>
          <w:noProof w:val="0"/>
          <w:color w:val="auto"/>
          <w:rtl/>
          <w:lang w:eastAsia="en-US"/>
        </w:rPr>
        <w:t>_</w:t>
      </w:r>
      <w:r w:rsidR="00A76AFC" w:rsidRPr="00C85F0F">
        <w:rPr>
          <w:rFonts w:ascii="Traditional Arabic" w:hAnsi="Traditional Arabic" w:hint="cs"/>
          <w:noProof w:val="0"/>
          <w:color w:val="auto"/>
          <w:rtl/>
          <w:lang w:eastAsia="en-US"/>
        </w:rPr>
        <w:t xml:space="preserve"> في منظومته في القواعد الفقهية، كما أن هذه الصيغة تعبِّر عن مضمونِ قاعدةٍ أعمَّ منها، وهي قاعدة: "من أتلف شيئا لِدفع أذاه له لم يضمنه، وإن أتلفه لدفع أذاه به ضمنه".</w:t>
      </w:r>
    </w:p>
    <w:p w:rsidR="00065E4B"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ي</w:t>
      </w:r>
      <w:r w:rsidR="00A76AFC" w:rsidRPr="00C85F0F">
        <w:rPr>
          <w:rFonts w:ascii="Traditional Arabic" w:hAnsi="Traditional Arabic" w:hint="cs"/>
          <w:noProof w:val="0"/>
          <w:color w:val="auto"/>
          <w:rtl/>
          <w:lang w:eastAsia="en-US"/>
        </w:rPr>
        <w:t>قول الشيخ السعدي:</w:t>
      </w:r>
    </w:p>
    <w:p w:rsidR="00065E4B" w:rsidRPr="00C85F0F" w:rsidRDefault="00AB5D31" w:rsidP="00597C20">
      <w:pPr>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sidRPr="00C85F0F">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ومُتْلِفُ مُؤذيهِ ليس يَضمَنُ</w:t>
      </w:r>
      <w:r w:rsidR="00EB00A3">
        <w:rPr>
          <w:rFonts w:ascii="Traditional Arabic" w:hAnsi="Traditional Arabic" w:hint="cs"/>
          <w:noProof w:val="0"/>
          <w:color w:val="auto"/>
          <w:rtl/>
          <w:lang w:eastAsia="en-US"/>
        </w:rPr>
        <w:t xml:space="preserve">         </w:t>
      </w:r>
      <w:r w:rsidR="00A76AFC" w:rsidRPr="00C85F0F">
        <w:rPr>
          <w:rFonts w:ascii="Traditional Arabic" w:hAnsi="Traditional Arabic" w:hint="cs"/>
          <w:noProof w:val="0"/>
          <w:color w:val="auto"/>
          <w:rtl/>
          <w:lang w:eastAsia="en-US"/>
        </w:rPr>
        <w:t>بعد الدفاع بالتي هي أحسنُ.</w:t>
      </w:r>
    </w:p>
    <w:p w:rsidR="00065E4B" w:rsidRPr="00C85F0F" w:rsidRDefault="00AB5D31" w:rsidP="00597C20">
      <w:pPr>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sidRPr="00C85F0F">
        <w:rPr>
          <w:rFonts w:ascii="Traditional Arabic" w:hAnsi="Traditional Arabic" w:hint="cs"/>
          <w:noProof w:val="0"/>
          <w:color w:val="auto"/>
          <w:rtl/>
          <w:lang w:eastAsia="en-US"/>
        </w:rPr>
        <w:t>إ</w:t>
      </w:r>
      <w:r w:rsidR="00A76AFC" w:rsidRPr="00C85F0F">
        <w:rPr>
          <w:rFonts w:ascii="Traditional Arabic" w:hAnsi="Traditional Arabic" w:hint="cs"/>
          <w:noProof w:val="0"/>
          <w:color w:val="auto"/>
          <w:rtl/>
          <w:lang w:eastAsia="en-US"/>
        </w:rPr>
        <w:t>ذا صال آدميٌّ، أو حيوان، أو صيدٌ في الإحرام، فأتلفه دفعاً عن نفسه لا ضمان عليه، ولكن يُدافعه بالأسهل فالأسهل.</w:t>
      </w:r>
    </w:p>
    <w:p w:rsidR="00065E4B" w:rsidRPr="00C85F0F" w:rsidRDefault="00AB5D31" w:rsidP="00597C20">
      <w:pPr>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sidRPr="00C85F0F">
        <w:rPr>
          <w:rFonts w:ascii="Traditional Arabic" w:hAnsi="Traditional Arabic" w:hint="cs"/>
          <w:noProof w:val="0"/>
          <w:color w:val="auto"/>
          <w:rtl/>
          <w:lang w:eastAsia="en-US"/>
        </w:rPr>
        <w:t>و</w:t>
      </w:r>
      <w:r w:rsidR="00A76AFC" w:rsidRPr="00C85F0F">
        <w:rPr>
          <w:rFonts w:ascii="Traditional Arabic" w:hAnsi="Traditional Arabic" w:hint="cs"/>
          <w:noProof w:val="0"/>
          <w:color w:val="auto"/>
          <w:rtl/>
          <w:lang w:eastAsia="en-US"/>
        </w:rPr>
        <w:t>أما إذا اضطر إلى صيد وهو محرِم فأتلفه لضرورته، فإنه يضمن، ولكن لا إثم عليه.</w:t>
      </w:r>
    </w:p>
    <w:p w:rsidR="00065E4B" w:rsidRPr="00C85F0F" w:rsidRDefault="00AB5D31" w:rsidP="00597C20">
      <w:pPr>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sidRPr="00C85F0F">
        <w:rPr>
          <w:rFonts w:ascii="Traditional Arabic" w:hAnsi="Traditional Arabic" w:hint="cs"/>
          <w:noProof w:val="0"/>
          <w:color w:val="auto"/>
          <w:rtl/>
          <w:lang w:eastAsia="en-US"/>
        </w:rPr>
        <w:t>ق</w:t>
      </w:r>
      <w:r w:rsidR="00A76AFC" w:rsidRPr="00C85F0F">
        <w:rPr>
          <w:rFonts w:ascii="Traditional Arabic" w:hAnsi="Traditional Arabic" w:hint="cs"/>
          <w:noProof w:val="0"/>
          <w:color w:val="auto"/>
          <w:rtl/>
          <w:lang w:eastAsia="en-US"/>
        </w:rPr>
        <w:t>ال ابن رجب في قواعده: "من أتلف شيئاً لدفع أذاه له لم يضمنه، وإن أتلفه لدفع أذاه به ضمنه، ويتخرَّج عليه مسائل"</w:t>
      </w:r>
      <w:r w:rsidR="00A76AFC" w:rsidRPr="00C85F0F">
        <w:rPr>
          <w:rStyle w:val="af1"/>
          <w:szCs w:val="32"/>
          <w:rtl/>
        </w:rPr>
        <w:t>(</w:t>
      </w:r>
      <w:r w:rsidR="00A76AFC" w:rsidRPr="00C85F0F">
        <w:rPr>
          <w:rStyle w:val="af1"/>
          <w:szCs w:val="32"/>
          <w:rtl/>
        </w:rPr>
        <w:footnoteReference w:id="967"/>
      </w:r>
      <w:r w:rsidR="00A76AFC" w:rsidRPr="00C85F0F">
        <w:rPr>
          <w:rStyle w:val="af1"/>
          <w:szCs w:val="32"/>
          <w:rtl/>
        </w:rPr>
        <w:t>)</w:t>
      </w:r>
      <w:r w:rsidR="00A76AFC" w:rsidRPr="00C85F0F">
        <w:rPr>
          <w:rFonts w:ascii="Traditional Arabic" w:hAnsi="Traditional Arabic" w:hint="cs"/>
          <w:noProof w:val="0"/>
          <w:color w:val="auto"/>
          <w:rtl/>
          <w:lang w:eastAsia="en-US"/>
        </w:rPr>
        <w:t>)</w:t>
      </w:r>
      <w:r w:rsidR="00A76AFC" w:rsidRPr="00C85F0F">
        <w:rPr>
          <w:rStyle w:val="af1"/>
          <w:szCs w:val="32"/>
          <w:rtl/>
        </w:rPr>
        <w:t>(</w:t>
      </w:r>
      <w:r w:rsidR="00A76AFC" w:rsidRPr="00C85F0F">
        <w:rPr>
          <w:rStyle w:val="af1"/>
          <w:szCs w:val="32"/>
          <w:rtl/>
        </w:rPr>
        <w:footnoteReference w:id="968"/>
      </w:r>
      <w:r w:rsidR="00A76AFC" w:rsidRPr="00C85F0F">
        <w:rPr>
          <w:rStyle w:val="af1"/>
          <w:szCs w:val="32"/>
          <w:rtl/>
        </w:rPr>
        <w:t>)</w:t>
      </w:r>
      <w:r w:rsidR="00A76AFC" w:rsidRPr="00C85F0F">
        <w:rPr>
          <w:rFonts w:ascii="Traditional Arabic" w:hAnsi="Traditional Arabic" w:hint="cs"/>
          <w:noProof w:val="0"/>
          <w:color w:val="auto"/>
          <w:rtl/>
          <w:lang w:eastAsia="en-US"/>
        </w:rPr>
        <w:t>.</w:t>
      </w:r>
    </w:p>
    <w:p w:rsidR="00F228A9"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A76AFC" w:rsidRPr="00C85F0F">
        <w:rPr>
          <w:rFonts w:ascii="Traditional Arabic" w:hAnsi="Traditional Arabic" w:hint="cs"/>
          <w:noProof w:val="0"/>
          <w:color w:val="auto"/>
          <w:rtl/>
          <w:lang w:eastAsia="en-US"/>
        </w:rPr>
        <w:t xml:space="preserve">يقول الشيخ ابن عثيمين </w:t>
      </w:r>
      <w:r w:rsidR="00AB5D31">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AB5D31">
        <w:rPr>
          <w:rFonts w:ascii="Traditional Arabic" w:hAnsi="Traditional Arabic" w:hint="cs"/>
          <w:noProof w:val="0"/>
          <w:color w:val="auto"/>
          <w:rtl/>
          <w:lang w:eastAsia="en-US"/>
        </w:rPr>
        <w:t>_</w:t>
      </w:r>
      <w:r w:rsidR="00A76AFC" w:rsidRPr="00C85F0F">
        <w:rPr>
          <w:rFonts w:ascii="Traditional Arabic" w:hAnsi="Traditional Arabic" w:hint="cs"/>
          <w:noProof w:val="0"/>
          <w:color w:val="auto"/>
          <w:rtl/>
          <w:lang w:eastAsia="en-US"/>
        </w:rPr>
        <w:t xml:space="preserve"> عند تعليقه على هذه القاعدة التي ذكرها الحافظ ابن رجب </w:t>
      </w:r>
      <w:r w:rsidR="00AB5D31">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AB5D31">
        <w:rPr>
          <w:rFonts w:ascii="Traditional Arabic" w:hAnsi="Traditional Arabic" w:hint="cs"/>
          <w:noProof w:val="0"/>
          <w:color w:val="auto"/>
          <w:rtl/>
          <w:lang w:eastAsia="en-US"/>
        </w:rPr>
        <w:t>_</w:t>
      </w:r>
      <w:r w:rsidR="00A76AFC" w:rsidRPr="00C85F0F">
        <w:rPr>
          <w:rFonts w:ascii="Traditional Arabic" w:hAnsi="Traditional Arabic" w:hint="cs"/>
          <w:noProof w:val="0"/>
          <w:color w:val="auto"/>
          <w:rtl/>
          <w:lang w:eastAsia="en-US"/>
        </w:rPr>
        <w:t>: (يعني: إذا أتلفت</w:t>
      </w:r>
      <w:r w:rsidR="00AB5D31">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 xml:space="preserve"> شيئا لدفع أذيَّته عنك، فإنك لا تضمنه؛ لأنه صائل، والصائل يُدفع بالتي هي أحسن،...مثاله: بعير</w:t>
      </w:r>
      <w:r w:rsidR="00AB5D31">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 xml:space="preserve"> فلان صالَ عليك، فواقفته قَدْرَ الإمكان، فلم يمكن دَفْعُه، فقتلته، فلا تضمنه؛ لأنك دفعت أذيته عنك، وهو في هذه الحال ليس له حُرمة، فلا تضمن، لكن لو جُعْتَ فوجدت شاة</w:t>
      </w:r>
      <w:r w:rsidR="00AB5D31">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 xml:space="preserve"> في الب</w:t>
      </w:r>
      <w:r w:rsidR="00F959B7">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ر</w:t>
      </w:r>
      <w:r w:rsidR="00F959B7">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 فذبحتها وأكلتها وأنت في م</w:t>
      </w:r>
      <w:r w:rsidR="00F959B7">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خ</w:t>
      </w:r>
      <w:r w:rsidR="00F959B7">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م</w:t>
      </w:r>
      <w:r w:rsidR="00F959B7">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ص</w:t>
      </w:r>
      <w:r w:rsidR="00F959B7">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ة</w:t>
      </w:r>
      <w:r w:rsidR="00F959B7">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 xml:space="preserve"> ومضطر</w:t>
      </w:r>
      <w:r w:rsidR="00F959B7">
        <w:rPr>
          <w:rFonts w:ascii="Traditional Arabic" w:hAnsi="Traditional Arabic" w:hint="cs"/>
          <w:noProof w:val="0"/>
          <w:color w:val="auto"/>
          <w:rtl/>
          <w:lang w:eastAsia="en-US"/>
        </w:rPr>
        <w:t>ٌّ</w:t>
      </w:r>
      <w:r w:rsidR="00A76AFC" w:rsidRPr="00C85F0F">
        <w:rPr>
          <w:rFonts w:ascii="Traditional Arabic" w:hAnsi="Traditional Arabic" w:hint="cs"/>
          <w:noProof w:val="0"/>
          <w:color w:val="auto"/>
          <w:rtl/>
          <w:lang w:eastAsia="en-US"/>
        </w:rPr>
        <w:t xml:space="preserve"> إليها، فأنت ضامن، فإنك دفعت أذيتها بها، أي: بسببها...)</w:t>
      </w:r>
      <w:r w:rsidR="00A76AFC" w:rsidRPr="00C85F0F">
        <w:rPr>
          <w:rStyle w:val="af1"/>
          <w:szCs w:val="32"/>
          <w:rtl/>
        </w:rPr>
        <w:t>(</w:t>
      </w:r>
      <w:r w:rsidR="00A76AFC" w:rsidRPr="00C85F0F">
        <w:rPr>
          <w:rStyle w:val="af1"/>
          <w:szCs w:val="32"/>
          <w:rtl/>
        </w:rPr>
        <w:footnoteReference w:id="969"/>
      </w:r>
      <w:r w:rsidR="00A76AFC" w:rsidRPr="00C85F0F">
        <w:rPr>
          <w:rStyle w:val="af1"/>
          <w:szCs w:val="32"/>
          <w:rtl/>
        </w:rPr>
        <w:t>)</w:t>
      </w:r>
      <w:r w:rsidR="00A76AFC" w:rsidRPr="00C85F0F">
        <w:rPr>
          <w:rFonts w:ascii="Traditional Arabic" w:hAnsi="Traditional Arabic" w:hint="cs"/>
          <w:noProof w:val="0"/>
          <w:color w:val="auto"/>
          <w:rtl/>
          <w:lang w:eastAsia="en-US"/>
        </w:rPr>
        <w:t>.</w:t>
      </w:r>
    </w:p>
    <w:p w:rsidR="00065E4B" w:rsidRPr="00C85F0F" w:rsidRDefault="00AB5D31" w:rsidP="00A8347C">
      <w:pPr>
        <w:pStyle w:val="aff3"/>
        <w:rPr>
          <w:rtl/>
        </w:rPr>
      </w:pPr>
      <w:bookmarkStart w:id="186" w:name="_Toc334046417"/>
      <w:r>
        <w:rPr>
          <w:rFonts w:hint="cs"/>
          <w:rtl/>
        </w:rPr>
        <w:lastRenderedPageBreak/>
        <w:t xml:space="preserve">                                      </w:t>
      </w:r>
      <w:r w:rsidR="00A76AFC" w:rsidRPr="00C85F0F">
        <w:rPr>
          <w:rFonts w:hint="cs"/>
          <w:rtl/>
        </w:rPr>
        <w:t>المطلب الثاني</w:t>
      </w:r>
      <w:r w:rsidR="005C5751" w:rsidRPr="00C85F0F">
        <w:rPr>
          <w:rFonts w:hint="eastAsia"/>
          <w:rtl/>
        </w:rPr>
        <w:t> :</w:t>
      </w:r>
      <w:r w:rsidR="005C5751" w:rsidRPr="00C85F0F">
        <w:rPr>
          <w:rFonts w:hint="cs"/>
          <w:rtl/>
        </w:rPr>
        <w:br/>
      </w:r>
      <w:r>
        <w:rPr>
          <w:rFonts w:hint="cs"/>
          <w:rtl/>
        </w:rPr>
        <w:t xml:space="preserve">                                       </w:t>
      </w:r>
      <w:r w:rsidR="00A76AFC" w:rsidRPr="00C85F0F">
        <w:rPr>
          <w:rFonts w:hint="cs"/>
          <w:rtl/>
        </w:rPr>
        <w:t>شرح القاعدة</w:t>
      </w:r>
      <w:bookmarkEnd w:id="186"/>
    </w:p>
    <w:p w:rsidR="00FB61AE" w:rsidRDefault="00065E4B" w:rsidP="0033041B">
      <w:pPr>
        <w:pStyle w:val="53"/>
        <w:rPr>
          <w:b w:val="0"/>
          <w:rtl/>
        </w:rPr>
      </w:pPr>
      <w:r w:rsidRPr="0033041B">
        <w:rPr>
          <w:rFonts w:hint="cs"/>
          <w:rtl/>
        </w:rPr>
        <w:t>ا</w:t>
      </w:r>
      <w:r w:rsidR="00A76AFC" w:rsidRPr="0033041B">
        <w:rPr>
          <w:rFonts w:hint="cs"/>
          <w:rtl/>
        </w:rPr>
        <w:t>لصَّوْل</w:t>
      </w:r>
      <w:r w:rsidR="0033041B">
        <w:rPr>
          <w:rFonts w:hint="cs"/>
          <w:rtl/>
          <w:lang w:bidi="ar-DZ"/>
        </w:rPr>
        <w:t xml:space="preserve"> لغة </w:t>
      </w:r>
      <w:r w:rsidR="00AB0B9E" w:rsidRPr="00C85F0F">
        <w:fldChar w:fldCharType="begin"/>
      </w:r>
      <w:r w:rsidR="00435B0D" w:rsidRPr="00C85F0F">
        <w:instrText>XE</w:instrText>
      </w:r>
      <w:r w:rsidR="00435B0D" w:rsidRPr="00C85F0F">
        <w:rPr>
          <w:rtl/>
        </w:rPr>
        <w:instrText xml:space="preserve"> "</w:instrText>
      </w:r>
      <w:r w:rsidR="00435B0D" w:rsidRPr="00C85F0F">
        <w:rPr>
          <w:rFonts w:hint="cs"/>
          <w:rtl/>
        </w:rPr>
        <w:instrText>الصَّوْل</w:instrText>
      </w:r>
      <w:r w:rsidR="00435B0D" w:rsidRPr="00C85F0F">
        <w:rPr>
          <w:rtl/>
        </w:rPr>
        <w:instrText>" \</w:instrText>
      </w:r>
      <w:r w:rsidR="00435B0D" w:rsidRPr="00C85F0F">
        <w:instrText>fm</w:instrText>
      </w:r>
      <w:r w:rsidR="00AB0B9E" w:rsidRPr="00C85F0F">
        <w:fldChar w:fldCharType="end"/>
      </w:r>
      <w:r w:rsidR="00A76AFC">
        <w:rPr>
          <w:rFonts w:hint="cs"/>
          <w:b w:val="0"/>
          <w:rtl/>
        </w:rPr>
        <w:t>:</w:t>
      </w:r>
    </w:p>
    <w:p w:rsidR="00065E4B" w:rsidRDefault="00A76AFC" w:rsidP="00597C20">
      <w:pPr>
        <w:ind w:firstLine="720"/>
        <w:rPr>
          <w:rFonts w:ascii="Traditional Arabic" w:hAnsi="Traditional Arabic"/>
          <w:b/>
          <w:bCs/>
          <w:noProof w:val="0"/>
          <w:color w:val="auto"/>
          <w:rtl/>
          <w:lang w:eastAsia="en-US"/>
        </w:rPr>
      </w:pPr>
      <w:r w:rsidRPr="00F424AE">
        <w:rPr>
          <w:rFonts w:ascii="Traditional Arabic" w:hAnsi="Traditional Arabic" w:hint="cs"/>
          <w:noProof w:val="0"/>
          <w:color w:val="auto"/>
          <w:rtl/>
          <w:lang w:eastAsia="en-US"/>
        </w:rPr>
        <w:t xml:space="preserve">يقول ابن </w:t>
      </w:r>
      <w:r w:rsidR="00AB5D31">
        <w:rPr>
          <w:rFonts w:ascii="Traditional Arabic" w:hAnsi="Traditional Arabic" w:hint="cs"/>
          <w:noProof w:val="0"/>
          <w:color w:val="auto"/>
          <w:rtl/>
          <w:lang w:eastAsia="en-US"/>
        </w:rPr>
        <w:t xml:space="preserve"> </w:t>
      </w:r>
      <w:r w:rsidRPr="00F424AE">
        <w:rPr>
          <w:rFonts w:ascii="Traditional Arabic" w:hAnsi="Traditional Arabic" w:hint="cs"/>
          <w:noProof w:val="0"/>
          <w:color w:val="auto"/>
          <w:rtl/>
          <w:lang w:eastAsia="en-US"/>
        </w:rPr>
        <w:t xml:space="preserve">فارس </w:t>
      </w:r>
      <w:r w:rsidR="00AB5D31">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AB5D31">
        <w:rPr>
          <w:rFonts w:ascii="Traditional Arabic" w:hAnsi="Traditional Arabic" w:hint="cs"/>
          <w:noProof w:val="0"/>
          <w:color w:val="auto"/>
          <w:rtl/>
          <w:lang w:eastAsia="en-US"/>
        </w:rPr>
        <w:t>_</w:t>
      </w:r>
      <w:r w:rsidRPr="00F424AE">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w:t>
      </w:r>
      <w:r w:rsidRPr="00F424AE">
        <w:rPr>
          <w:rFonts w:ascii="Traditional Arabic" w:hAnsi="Traditional Arabic"/>
          <w:noProof w:val="0"/>
          <w:rtl/>
          <w:lang w:eastAsia="en-US"/>
        </w:rPr>
        <w:t>الصاد والواو واللام أصل صحيح، يدل على قهر</w:t>
      </w:r>
      <w:r>
        <w:rPr>
          <w:rFonts w:ascii="Traditional Arabic" w:hAnsi="Traditional Arabic" w:hint="cs"/>
          <w:noProof w:val="0"/>
          <w:rtl/>
          <w:lang w:eastAsia="en-US"/>
        </w:rPr>
        <w:t>ٍ</w:t>
      </w:r>
      <w:r w:rsidRPr="00F424AE">
        <w:rPr>
          <w:rFonts w:ascii="Traditional Arabic" w:hAnsi="Traditional Arabic"/>
          <w:noProof w:val="0"/>
          <w:rtl/>
          <w:lang w:eastAsia="en-US"/>
        </w:rPr>
        <w:t xml:space="preserve"> وع</w:t>
      </w:r>
      <w:r>
        <w:rPr>
          <w:rFonts w:ascii="Traditional Arabic" w:hAnsi="Traditional Arabic" w:hint="cs"/>
          <w:noProof w:val="0"/>
          <w:rtl/>
          <w:lang w:eastAsia="en-US"/>
        </w:rPr>
        <w:t>ُ</w:t>
      </w:r>
      <w:r w:rsidRPr="00F424AE">
        <w:rPr>
          <w:rFonts w:ascii="Traditional Arabic" w:hAnsi="Traditional Arabic"/>
          <w:noProof w:val="0"/>
          <w:rtl/>
          <w:lang w:eastAsia="en-US"/>
        </w:rPr>
        <w:t>لو</w:t>
      </w:r>
      <w:r>
        <w:rPr>
          <w:rFonts w:ascii="Traditional Arabic" w:hAnsi="Traditional Arabic" w:hint="cs"/>
          <w:noProof w:val="0"/>
          <w:rtl/>
          <w:lang w:eastAsia="en-US"/>
        </w:rPr>
        <w:t>ٍّ</w:t>
      </w:r>
      <w:r w:rsidRPr="00F424AE">
        <w:rPr>
          <w:rFonts w:ascii="Traditional Arabic" w:hAnsi="Traditional Arabic"/>
          <w:noProof w:val="0"/>
          <w:rtl/>
          <w:lang w:eastAsia="en-US"/>
        </w:rPr>
        <w:t>. يقال: صال عليه يصول صولة</w:t>
      </w:r>
      <w:r>
        <w:rPr>
          <w:rFonts w:ascii="Traditional Arabic" w:hAnsi="Traditional Arabic" w:hint="cs"/>
          <w:noProof w:val="0"/>
          <w:rtl/>
          <w:lang w:eastAsia="en-US"/>
        </w:rPr>
        <w:t>ً</w:t>
      </w:r>
      <w:r w:rsidRPr="00F424AE">
        <w:rPr>
          <w:rFonts w:ascii="Traditional Arabic" w:hAnsi="Traditional Arabic"/>
          <w:noProof w:val="0"/>
          <w:rtl/>
          <w:lang w:eastAsia="en-US"/>
        </w:rPr>
        <w:t>، إذا استطال</w:t>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970"/>
      </w:r>
      <w:r w:rsidRPr="00C821A1">
        <w:rPr>
          <w:rStyle w:val="af1"/>
          <w:szCs w:val="32"/>
          <w:rtl/>
        </w:rPr>
        <w:t>)</w:t>
      </w:r>
      <w:r>
        <w:rPr>
          <w:rFonts w:ascii="Traditional Arabic" w:hAnsi="Traditional Arabic" w:hint="cs"/>
          <w:noProof w:val="0"/>
          <w:color w:val="auto"/>
          <w:rtl/>
          <w:lang w:eastAsia="en-US"/>
        </w:rPr>
        <w:t>.</w:t>
      </w:r>
    </w:p>
    <w:p w:rsidR="00065E4B" w:rsidRDefault="00065E4B" w:rsidP="00597C20">
      <w:pPr>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و</w:t>
      </w:r>
      <w:r w:rsidR="00A76AFC">
        <w:rPr>
          <w:rFonts w:ascii="Traditional Arabic" w:hAnsi="Traditional Arabic" w:hint="cs"/>
          <w:noProof w:val="0"/>
          <w:color w:val="auto"/>
          <w:rtl/>
          <w:lang w:eastAsia="en-US"/>
        </w:rPr>
        <w:t>يقال: صالَ الفَحْل يَصُول صَوْلاً، إذا وثب</w:t>
      </w:r>
      <w:r w:rsidR="00A76AFC" w:rsidRPr="00C821A1">
        <w:rPr>
          <w:rStyle w:val="af1"/>
          <w:szCs w:val="32"/>
          <w:rtl/>
        </w:rPr>
        <w:t>(</w:t>
      </w:r>
      <w:r w:rsidR="00A76AFC" w:rsidRPr="00C821A1">
        <w:rPr>
          <w:rStyle w:val="af1"/>
          <w:szCs w:val="32"/>
          <w:rtl/>
        </w:rPr>
        <w:footnoteReference w:id="971"/>
      </w:r>
      <w:r w:rsidR="00A76AFC" w:rsidRPr="00C821A1">
        <w:rPr>
          <w:rStyle w:val="af1"/>
          <w:szCs w:val="32"/>
          <w:rtl/>
        </w:rPr>
        <w:t>)</w:t>
      </w:r>
      <w:r w:rsidR="00A76AFC">
        <w:rPr>
          <w:rFonts w:ascii="Traditional Arabic" w:hAnsi="Traditional Arabic" w:hint="cs"/>
          <w:noProof w:val="0"/>
          <w:color w:val="auto"/>
          <w:rtl/>
          <w:lang w:eastAsia="en-US"/>
        </w:rPr>
        <w:t>.</w:t>
      </w:r>
    </w:p>
    <w:p w:rsidR="00065E4B" w:rsidRDefault="00065E4B" w:rsidP="00597C20">
      <w:pPr>
        <w:pStyle w:val="53"/>
        <w:rPr>
          <w:rtl/>
        </w:rPr>
      </w:pPr>
      <w:r>
        <w:rPr>
          <w:rFonts w:hint="cs"/>
          <w:rtl/>
        </w:rPr>
        <w:t>م</w:t>
      </w:r>
      <w:r w:rsidR="00A76AFC">
        <w:rPr>
          <w:rFonts w:hint="cs"/>
          <w:rtl/>
        </w:rPr>
        <w:t>عنى القاعدة إجمالا:</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color w:val="auto"/>
          <w:rtl/>
          <w:lang w:eastAsia="en-US"/>
        </w:rPr>
        <w:t>م</w:t>
      </w:r>
      <w:r w:rsidR="00A76AFC">
        <w:rPr>
          <w:rFonts w:ascii="Traditional Arabic" w:hAnsi="Traditional Arabic" w:hint="cs"/>
          <w:noProof w:val="0"/>
          <w:color w:val="auto"/>
          <w:rtl/>
          <w:lang w:eastAsia="en-US"/>
        </w:rPr>
        <w:t xml:space="preserve">ن أتلف شيئا لدفع أذيَّته عنه، فإنه لا يضمنه؛ لأن المؤذي صائل، والصائل يُدفع بالتي هي أحسن، وبالأسهل فالأسهل، </w:t>
      </w:r>
      <w:r w:rsidR="00A76AFC" w:rsidRPr="000A4672">
        <w:rPr>
          <w:rFonts w:ascii="Traditional Arabic" w:hAnsi="Traditional Arabic"/>
          <w:noProof w:val="0"/>
          <w:rtl/>
          <w:lang w:eastAsia="en-US"/>
        </w:rPr>
        <w:t>فإذا اندفع بالتهديد فلا يضربه، وإذا اندفع بالضرب الخفيف فلا يضربه ضربا شديدا، وإذا اندفع بالضرب الشديد فلا يقتله، وإذا لم يندفع إلا بالقتل فله قتله</w:t>
      </w:r>
      <w:r w:rsidR="00A76AFC">
        <w:rPr>
          <w:rFonts w:ascii="Traditional Arabic" w:hAnsi="Traditional Arabic" w:hint="cs"/>
          <w:noProof w:val="0"/>
          <w:rtl/>
          <w:lang w:eastAsia="en-US"/>
        </w:rPr>
        <w:t>،</w:t>
      </w:r>
      <w:r w:rsidR="00A5641A">
        <w:rPr>
          <w:rFonts w:ascii="Traditional Arabic" w:hAnsi="Traditional Arabic" w:hint="cs"/>
          <w:noProof w:val="0"/>
          <w:color w:val="auto"/>
          <w:rtl/>
          <w:lang w:eastAsia="en-US"/>
        </w:rPr>
        <w:t xml:space="preserve">وهو في هذه الحال ليس له حُرمة، ولا </w:t>
      </w:r>
      <w:r w:rsidR="00A76AFC">
        <w:rPr>
          <w:rFonts w:ascii="Traditional Arabic" w:hAnsi="Traditional Arabic" w:hint="cs"/>
          <w:noProof w:val="0"/>
          <w:color w:val="auto"/>
          <w:rtl/>
          <w:lang w:eastAsia="en-US"/>
        </w:rPr>
        <w:t>ضم</w:t>
      </w:r>
      <w:r w:rsidR="00A5641A">
        <w:rPr>
          <w:rFonts w:ascii="Traditional Arabic" w:hAnsi="Traditional Arabic" w:hint="cs"/>
          <w:noProof w:val="0"/>
          <w:color w:val="auto"/>
          <w:rtl/>
          <w:lang w:eastAsia="en-US"/>
        </w:rPr>
        <w:t>ا</w:t>
      </w:r>
      <w:r w:rsidR="00A76AFC">
        <w:rPr>
          <w:rFonts w:ascii="Traditional Arabic" w:hAnsi="Traditional Arabic" w:hint="cs"/>
          <w:noProof w:val="0"/>
          <w:color w:val="auto"/>
          <w:rtl/>
          <w:lang w:eastAsia="en-US"/>
        </w:rPr>
        <w:t>ن</w:t>
      </w:r>
      <w:r w:rsidR="00A5641A">
        <w:rPr>
          <w:rFonts w:ascii="Traditional Arabic" w:hAnsi="Traditional Arabic" w:hint="cs"/>
          <w:noProof w:val="0"/>
          <w:color w:val="auto"/>
          <w:rtl/>
          <w:lang w:eastAsia="en-US"/>
        </w:rPr>
        <w:t xml:space="preserve"> على القاتل حينئذ</w:t>
      </w:r>
      <w:r w:rsidR="00A76AFC" w:rsidRPr="00C821A1">
        <w:rPr>
          <w:rStyle w:val="af1"/>
          <w:szCs w:val="32"/>
          <w:rtl/>
        </w:rPr>
        <w:t>(</w:t>
      </w:r>
      <w:r w:rsidR="00A76AFC" w:rsidRPr="00C821A1">
        <w:rPr>
          <w:rStyle w:val="af1"/>
          <w:szCs w:val="32"/>
          <w:rtl/>
        </w:rPr>
        <w:footnoteReference w:id="972"/>
      </w:r>
      <w:r w:rsidR="00A76AFC" w:rsidRPr="00C821A1">
        <w:rPr>
          <w:rStyle w:val="af1"/>
          <w:szCs w:val="32"/>
          <w:rtl/>
        </w:rPr>
        <w:t>)</w:t>
      </w:r>
      <w:r w:rsidR="00A76AFC" w:rsidRPr="000A4672">
        <w:rPr>
          <w:rFonts w:ascii="Traditional Arabic" w:hAnsi="Traditional Arabic"/>
          <w:noProof w:val="0"/>
          <w:rtl/>
          <w:lang w:eastAsia="en-US"/>
        </w:rPr>
        <w:t>.</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ل</w:t>
      </w:r>
      <w:r w:rsidR="00A76AFC">
        <w:rPr>
          <w:rFonts w:ascii="Traditional Arabic" w:hAnsi="Traditional Arabic" w:hint="cs"/>
          <w:noProof w:val="0"/>
          <w:rtl/>
          <w:lang w:eastAsia="en-US"/>
        </w:rPr>
        <w:t>كن من أتلف شيئا لكونه يؤذيه، مع إمكان</w:t>
      </w:r>
      <w:r w:rsidR="007079D2">
        <w:rPr>
          <w:rFonts w:ascii="Traditional Arabic" w:hAnsi="Traditional Arabic" w:hint="cs"/>
          <w:noProof w:val="0"/>
          <w:rtl/>
          <w:lang w:eastAsia="en-US"/>
        </w:rPr>
        <w:t>ِ</w:t>
      </w:r>
      <w:r w:rsidR="00A76AFC">
        <w:rPr>
          <w:rFonts w:ascii="Traditional Arabic" w:hAnsi="Traditional Arabic" w:hint="cs"/>
          <w:noProof w:val="0"/>
          <w:rtl/>
          <w:lang w:eastAsia="en-US"/>
        </w:rPr>
        <w:t xml:space="preserve"> د</w:t>
      </w:r>
      <w:r w:rsidR="007079D2">
        <w:rPr>
          <w:rFonts w:ascii="Traditional Arabic" w:hAnsi="Traditional Arabic" w:hint="cs"/>
          <w:noProof w:val="0"/>
          <w:rtl/>
          <w:lang w:eastAsia="en-US"/>
        </w:rPr>
        <w:t>َ</w:t>
      </w:r>
      <w:r w:rsidR="00A76AFC">
        <w:rPr>
          <w:rFonts w:ascii="Traditional Arabic" w:hAnsi="Traditional Arabic" w:hint="cs"/>
          <w:noProof w:val="0"/>
          <w:rtl/>
          <w:lang w:eastAsia="en-US"/>
        </w:rPr>
        <w:t>ف</w:t>
      </w:r>
      <w:r w:rsidR="007079D2">
        <w:rPr>
          <w:rFonts w:ascii="Traditional Arabic" w:hAnsi="Traditional Arabic" w:hint="cs"/>
          <w:noProof w:val="0"/>
          <w:rtl/>
          <w:lang w:eastAsia="en-US"/>
        </w:rPr>
        <w:t>ْ</w:t>
      </w:r>
      <w:r w:rsidR="00A76AFC">
        <w:rPr>
          <w:rFonts w:ascii="Traditional Arabic" w:hAnsi="Traditional Arabic" w:hint="cs"/>
          <w:noProof w:val="0"/>
          <w:rtl/>
          <w:lang w:eastAsia="en-US"/>
        </w:rPr>
        <w:t>ع</w:t>
      </w:r>
      <w:r w:rsidR="007079D2">
        <w:rPr>
          <w:rFonts w:ascii="Traditional Arabic" w:hAnsi="Traditional Arabic" w:hint="cs"/>
          <w:noProof w:val="0"/>
          <w:rtl/>
          <w:lang w:eastAsia="en-US"/>
        </w:rPr>
        <w:t>ِ</w:t>
      </w:r>
      <w:r w:rsidR="00A76AFC">
        <w:rPr>
          <w:rFonts w:ascii="Traditional Arabic" w:hAnsi="Traditional Arabic" w:hint="cs"/>
          <w:noProof w:val="0"/>
          <w:rtl/>
          <w:lang w:eastAsia="en-US"/>
        </w:rPr>
        <w:t>ه بأقلَّ من إتلافه، فعليه الضمان.</w:t>
      </w:r>
    </w:p>
    <w:p w:rsidR="00A76AFC" w:rsidRPr="000A4672"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و</w:t>
      </w:r>
      <w:r w:rsidR="00A76AFC">
        <w:rPr>
          <w:rFonts w:ascii="Traditional Arabic" w:hAnsi="Traditional Arabic" w:hint="cs"/>
          <w:noProof w:val="0"/>
          <w:rtl/>
          <w:lang w:eastAsia="en-US"/>
        </w:rPr>
        <w:t xml:space="preserve">كذلك من أتلف شيئا لدفع </w:t>
      </w:r>
      <w:r w:rsidR="00AB5D31">
        <w:rPr>
          <w:rFonts w:ascii="Traditional Arabic" w:hAnsi="Traditional Arabic" w:hint="cs"/>
          <w:noProof w:val="0"/>
          <w:rtl/>
          <w:lang w:eastAsia="en-US"/>
        </w:rPr>
        <w:t>أذاه بإتلافه، وكان الأذى من غير</w:t>
      </w:r>
      <w:r w:rsidR="00A76AFC">
        <w:rPr>
          <w:rFonts w:ascii="Traditional Arabic" w:hAnsi="Traditional Arabic" w:hint="cs"/>
          <w:noProof w:val="0"/>
          <w:rtl/>
          <w:lang w:eastAsia="en-US"/>
        </w:rPr>
        <w:t xml:space="preserve"> هذا الشيء</w:t>
      </w:r>
      <w:r w:rsidR="008F2337" w:rsidRPr="008F2337">
        <w:rPr>
          <w:rFonts w:ascii="Traditional Arabic" w:hAnsi="Traditional Arabic" w:hint="cs"/>
          <w:noProof w:val="0"/>
          <w:vertAlign w:val="superscript"/>
          <w:rtl/>
          <w:lang w:eastAsia="en-US"/>
        </w:rPr>
        <w:t>(</w:t>
      </w:r>
      <w:r w:rsidR="00C0438C" w:rsidRPr="008F2337">
        <w:rPr>
          <w:rStyle w:val="af1"/>
          <w:rFonts w:ascii="Traditional Arabic" w:hAnsi="Traditional Arabic"/>
          <w:noProof w:val="0"/>
          <w:rtl/>
          <w:lang w:eastAsia="en-US"/>
        </w:rPr>
        <w:footnoteReference w:id="973"/>
      </w:r>
      <w:r w:rsidR="008F2337" w:rsidRPr="008F2337">
        <w:rPr>
          <w:rFonts w:ascii="Traditional Arabic" w:hAnsi="Traditional Arabic" w:hint="cs"/>
          <w:noProof w:val="0"/>
          <w:vertAlign w:val="superscript"/>
          <w:rtl/>
          <w:lang w:eastAsia="en-US"/>
        </w:rPr>
        <w:t>)</w:t>
      </w:r>
      <w:r w:rsidR="00A76AFC">
        <w:rPr>
          <w:rFonts w:ascii="Traditional Arabic" w:hAnsi="Traditional Arabic" w:hint="cs"/>
          <w:noProof w:val="0"/>
          <w:rtl/>
          <w:lang w:eastAsia="en-US"/>
        </w:rPr>
        <w:t>، فعليه الضمان</w:t>
      </w:r>
      <w:r w:rsidR="00A76AFC" w:rsidRPr="00C821A1">
        <w:rPr>
          <w:rStyle w:val="af1"/>
          <w:szCs w:val="32"/>
          <w:rtl/>
        </w:rPr>
        <w:t>(</w:t>
      </w:r>
      <w:r w:rsidR="00A76AFC" w:rsidRPr="00C821A1">
        <w:rPr>
          <w:rStyle w:val="af1"/>
          <w:szCs w:val="32"/>
          <w:rtl/>
        </w:rPr>
        <w:footnoteReference w:id="974"/>
      </w:r>
      <w:r w:rsidR="00A76AFC" w:rsidRPr="00C821A1">
        <w:rPr>
          <w:rStyle w:val="af1"/>
          <w:szCs w:val="32"/>
          <w:rtl/>
        </w:rPr>
        <w:t>)</w:t>
      </w:r>
      <w:r w:rsidR="00A76AFC">
        <w:rPr>
          <w:rFonts w:ascii="Traditional Arabic" w:hAnsi="Traditional Arabic" w:hint="cs"/>
          <w:noProof w:val="0"/>
          <w:rtl/>
          <w:lang w:eastAsia="en-US"/>
        </w:rPr>
        <w:t>.</w:t>
      </w:r>
    </w:p>
    <w:p w:rsidR="00A76AFC" w:rsidRPr="005C5751" w:rsidRDefault="00A5641A" w:rsidP="00A8347C">
      <w:pPr>
        <w:pStyle w:val="aff3"/>
        <w:rPr>
          <w:rtl/>
        </w:rPr>
      </w:pPr>
      <w:bookmarkStart w:id="187" w:name="_Toc334046418"/>
      <w:r>
        <w:rPr>
          <w:rFonts w:hint="cs"/>
          <w:rtl/>
        </w:rPr>
        <w:lastRenderedPageBreak/>
        <w:t xml:space="preserve">                                        </w:t>
      </w:r>
      <w:r w:rsidR="00A76AFC" w:rsidRPr="005C5751">
        <w:rPr>
          <w:rFonts w:hint="cs"/>
          <w:rtl/>
        </w:rPr>
        <w:t>المطلب الثالث</w:t>
      </w:r>
      <w:r w:rsidR="005C5751">
        <w:rPr>
          <w:rFonts w:hint="eastAsia"/>
          <w:rtl/>
        </w:rPr>
        <w:t> :</w:t>
      </w:r>
      <w:r w:rsidR="005C5751">
        <w:rPr>
          <w:rFonts w:hint="cs"/>
          <w:rtl/>
        </w:rPr>
        <w:br/>
      </w:r>
      <w:r>
        <w:rPr>
          <w:rFonts w:hint="cs"/>
          <w:rtl/>
        </w:rPr>
        <w:t xml:space="preserve">                                          </w:t>
      </w:r>
      <w:r w:rsidR="00A76AFC" w:rsidRPr="005C5751">
        <w:rPr>
          <w:rFonts w:hint="cs"/>
          <w:rtl/>
        </w:rPr>
        <w:t>أدلة القاعدة</w:t>
      </w:r>
      <w:bookmarkEnd w:id="187"/>
    </w:p>
    <w:p w:rsidR="00A76AFC" w:rsidRPr="004353FB" w:rsidRDefault="00A76AFC" w:rsidP="000A76C7">
      <w:pPr>
        <w:pStyle w:val="afc"/>
        <w:widowControl/>
        <w:numPr>
          <w:ilvl w:val="0"/>
          <w:numId w:val="133"/>
        </w:numPr>
        <w:autoSpaceDE w:val="0"/>
        <w:autoSpaceDN w:val="0"/>
        <w:adjustRightInd w:val="0"/>
        <w:rPr>
          <w:rFonts w:ascii="Traditional Arabic" w:hAnsi="Traditional Arabic"/>
          <w:noProof w:val="0"/>
          <w:color w:val="auto"/>
          <w:sz w:val="44"/>
          <w:szCs w:val="44"/>
          <w:rtl/>
          <w:lang w:eastAsia="en-US"/>
        </w:rPr>
      </w:pPr>
      <w:r w:rsidRPr="004353FB">
        <w:rPr>
          <w:rFonts w:ascii="Traditional Arabic" w:hAnsi="Traditional Arabic" w:hint="cs"/>
          <w:noProof w:val="0"/>
          <w:color w:val="auto"/>
          <w:rtl/>
          <w:lang w:eastAsia="en-US"/>
        </w:rPr>
        <w:t xml:space="preserve">حديث </w:t>
      </w:r>
      <w:r w:rsidRPr="004353FB">
        <w:rPr>
          <w:rFonts w:ascii="Traditional Arabic" w:hAnsi="Traditional Arabic"/>
          <w:noProof w:val="0"/>
          <w:color w:val="auto"/>
          <w:rtl/>
          <w:lang w:eastAsia="en-US"/>
        </w:rPr>
        <w:t>أب</w:t>
      </w:r>
      <w:r w:rsidRPr="004353FB">
        <w:rPr>
          <w:rFonts w:ascii="Traditional Arabic" w:hAnsi="Traditional Arabic" w:hint="cs"/>
          <w:noProof w:val="0"/>
          <w:color w:val="auto"/>
          <w:rtl/>
          <w:lang w:eastAsia="en-US"/>
        </w:rPr>
        <w:t>ي</w:t>
      </w:r>
      <w:r w:rsidRPr="004353FB">
        <w:rPr>
          <w:rFonts w:ascii="Traditional Arabic" w:hAnsi="Traditional Arabic"/>
          <w:noProof w:val="0"/>
          <w:color w:val="auto"/>
          <w:rtl/>
          <w:lang w:eastAsia="en-US"/>
        </w:rPr>
        <w:t xml:space="preserve"> هريرة </w:t>
      </w:r>
      <w:r w:rsidR="009A0575">
        <w:rPr>
          <w:rFonts w:ascii="Traditional Arabic" w:hAnsi="Traditional Arabic" w:cs="CTraditional Arabic" w:hint="cs"/>
          <w:rtl/>
        </w:rPr>
        <w:t>ا</w:t>
      </w:r>
      <w:r w:rsidR="00A5641A">
        <w:rPr>
          <w:rFonts w:ascii="Traditional Arabic" w:hAnsi="Traditional Arabic" w:hint="cs"/>
          <w:noProof w:val="0"/>
          <w:color w:val="auto"/>
          <w:rtl/>
          <w:lang w:eastAsia="en-US"/>
        </w:rPr>
        <w:t xml:space="preserve"> </w:t>
      </w:r>
      <w:r w:rsidRPr="004353FB">
        <w:rPr>
          <w:rFonts w:ascii="Traditional Arabic" w:hAnsi="Traditional Arabic"/>
          <w:noProof w:val="0"/>
          <w:color w:val="auto"/>
          <w:rtl/>
          <w:lang w:eastAsia="en-US"/>
        </w:rPr>
        <w:t>قال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جاء رجل إلى رسول الله </w:t>
      </w:r>
      <w:r w:rsidR="00F350DE">
        <w:rPr>
          <w:rFonts w:ascii="Traditional Arabic" w:hAnsi="Traditional Arabic"/>
          <w:noProof w:val="0"/>
          <w:color w:val="auto"/>
          <w:rtl/>
          <w:lang w:eastAsia="en-US"/>
        </w:rPr>
        <w:sym w:font="AGA Arabesque" w:char="F072"/>
      </w:r>
      <w:r w:rsidR="00A5641A">
        <w:rPr>
          <w:rFonts w:ascii="Traditional Arabic" w:hAnsi="Traditional Arabic" w:hint="cs"/>
          <w:noProof w:val="0"/>
          <w:color w:val="auto"/>
          <w:rtl/>
          <w:lang w:eastAsia="en-US"/>
        </w:rPr>
        <w:t xml:space="preserve"> </w:t>
      </w:r>
      <w:r w:rsidRPr="004353FB">
        <w:rPr>
          <w:rFonts w:ascii="Traditional Arabic" w:hAnsi="Traditional Arabic"/>
          <w:noProof w:val="0"/>
          <w:color w:val="auto"/>
          <w:rtl/>
          <w:lang w:eastAsia="en-US"/>
        </w:rPr>
        <w:t>فقال</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 xml:space="preserve"> يا رسول الله أرأيت</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 xml:space="preserve"> إن جاء رجل يريد أ</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خ</w:t>
      </w:r>
      <w:r>
        <w:rPr>
          <w:rFonts w:ascii="Traditional Arabic" w:hAnsi="Traditional Arabic" w:hint="cs"/>
          <w:noProof w:val="0"/>
          <w:color w:val="auto"/>
          <w:rtl/>
          <w:lang w:eastAsia="en-US"/>
        </w:rPr>
        <w:t>ْ</w:t>
      </w:r>
      <w:r>
        <w:rPr>
          <w:rFonts w:ascii="Traditional Arabic" w:hAnsi="Traditional Arabic"/>
          <w:noProof w:val="0"/>
          <w:color w:val="auto"/>
          <w:rtl/>
          <w:lang w:eastAsia="en-US"/>
        </w:rPr>
        <w:t>ذ مال</w:t>
      </w:r>
      <w:r>
        <w:rPr>
          <w:rFonts w:ascii="Traditional Arabic" w:hAnsi="Traditional Arabic" w:hint="cs"/>
          <w:noProof w:val="0"/>
          <w:color w:val="auto"/>
          <w:rtl/>
          <w:lang w:eastAsia="en-US"/>
        </w:rPr>
        <w:t>ي؟</w:t>
      </w:r>
      <w:r w:rsidR="00AB0B9E">
        <w:rPr>
          <w:rFonts w:ascii="Traditional Arabic" w:hAnsi="Traditional Arabic"/>
          <w:noProof w:val="0"/>
          <w:color w:val="auto"/>
          <w:rtl/>
          <w:lang w:eastAsia="en-US"/>
        </w:rPr>
        <w:fldChar w:fldCharType="begin"/>
      </w:r>
      <w:r w:rsidR="005E60EA" w:rsidRPr="00C85F0F">
        <w:instrText>XE</w:instrText>
      </w:r>
      <w:r w:rsidR="005E60EA" w:rsidRPr="00C85F0F">
        <w:rPr>
          <w:rtl/>
        </w:rPr>
        <w:instrText xml:space="preserve"> "</w:instrText>
      </w:r>
      <w:r w:rsidR="005E60EA" w:rsidRPr="00C85F0F">
        <w:rPr>
          <w:rFonts w:ascii="Traditional Arabic" w:hAnsi="Traditional Arabic"/>
          <w:noProof w:val="0"/>
          <w:color w:val="auto"/>
          <w:rtl/>
          <w:lang w:eastAsia="en-US"/>
        </w:rPr>
        <w:instrText xml:space="preserve">جاء رجل إلى رسول الله </w:instrText>
      </w:r>
      <w:r w:rsidR="005E60EA" w:rsidRPr="00C85F0F">
        <w:rPr>
          <w:rFonts w:ascii="Traditional Arabic" w:hAnsi="Traditional Arabic"/>
          <w:noProof w:val="0"/>
          <w:color w:val="auto"/>
          <w:rtl/>
          <w:lang w:eastAsia="en-US"/>
        </w:rPr>
        <w:sym w:font="AGA Arabesque" w:char="F072"/>
      </w:r>
      <w:r w:rsidR="005E60EA" w:rsidRPr="00C85F0F">
        <w:rPr>
          <w:rFonts w:ascii="Traditional Arabic" w:hAnsi="Traditional Arabic"/>
          <w:noProof w:val="0"/>
          <w:color w:val="auto"/>
          <w:rtl/>
          <w:lang w:eastAsia="en-US"/>
        </w:rPr>
        <w:instrText>فقال</w:instrText>
      </w:r>
      <w:r w:rsidR="005E60EA" w:rsidRPr="00C85F0F">
        <w:rPr>
          <w:rtl/>
        </w:rPr>
        <w:instrText>\</w:instrText>
      </w:r>
      <w:r w:rsidR="005E60EA" w:rsidRPr="00C85F0F">
        <w:rPr>
          <w:rFonts w:ascii="Traditional Arabic" w:hAnsi="Traditional Arabic" w:hint="cs"/>
          <w:noProof w:val="0"/>
          <w:color w:val="auto"/>
          <w:rtl/>
          <w:lang w:eastAsia="en-US"/>
        </w:rPr>
        <w:instrText>:</w:instrText>
      </w:r>
      <w:r w:rsidR="005E60EA" w:rsidRPr="00C85F0F">
        <w:rPr>
          <w:rFonts w:ascii="Traditional Arabic" w:hAnsi="Traditional Arabic"/>
          <w:noProof w:val="0"/>
          <w:color w:val="auto"/>
          <w:rtl/>
          <w:lang w:eastAsia="en-US"/>
        </w:rPr>
        <w:instrText xml:space="preserve"> يا رسول الله أرأيت</w:instrText>
      </w:r>
      <w:r w:rsidR="005E60EA" w:rsidRPr="00C85F0F">
        <w:rPr>
          <w:rFonts w:ascii="Traditional Arabic" w:hAnsi="Traditional Arabic" w:hint="cs"/>
          <w:noProof w:val="0"/>
          <w:color w:val="auto"/>
          <w:rtl/>
          <w:lang w:eastAsia="en-US"/>
        </w:rPr>
        <w:instrText>َ</w:instrText>
      </w:r>
      <w:r w:rsidR="005E60EA" w:rsidRPr="00C85F0F">
        <w:rPr>
          <w:rFonts w:ascii="Traditional Arabic" w:hAnsi="Traditional Arabic"/>
          <w:noProof w:val="0"/>
          <w:color w:val="auto"/>
          <w:rtl/>
          <w:lang w:eastAsia="en-US"/>
        </w:rPr>
        <w:instrText xml:space="preserve"> إن جاء رجل يريد أ</w:instrText>
      </w:r>
      <w:r w:rsidR="005E60EA" w:rsidRPr="00C85F0F">
        <w:rPr>
          <w:rFonts w:ascii="Traditional Arabic" w:hAnsi="Traditional Arabic" w:hint="cs"/>
          <w:noProof w:val="0"/>
          <w:color w:val="auto"/>
          <w:rtl/>
          <w:lang w:eastAsia="en-US"/>
        </w:rPr>
        <w:instrText>َ</w:instrText>
      </w:r>
      <w:r w:rsidR="005E60EA" w:rsidRPr="00C85F0F">
        <w:rPr>
          <w:rFonts w:ascii="Traditional Arabic" w:hAnsi="Traditional Arabic"/>
          <w:noProof w:val="0"/>
          <w:color w:val="auto"/>
          <w:rtl/>
          <w:lang w:eastAsia="en-US"/>
        </w:rPr>
        <w:instrText>خ</w:instrText>
      </w:r>
      <w:r w:rsidR="005E60EA" w:rsidRPr="00C85F0F">
        <w:rPr>
          <w:rFonts w:ascii="Traditional Arabic" w:hAnsi="Traditional Arabic" w:hint="cs"/>
          <w:noProof w:val="0"/>
          <w:color w:val="auto"/>
          <w:rtl/>
          <w:lang w:eastAsia="en-US"/>
        </w:rPr>
        <w:instrText>ْ</w:instrText>
      </w:r>
      <w:r w:rsidR="005E60EA" w:rsidRPr="00C85F0F">
        <w:rPr>
          <w:rFonts w:ascii="Traditional Arabic" w:hAnsi="Traditional Arabic"/>
          <w:noProof w:val="0"/>
          <w:color w:val="auto"/>
          <w:rtl/>
          <w:lang w:eastAsia="en-US"/>
        </w:rPr>
        <w:instrText>ذ مال</w:instrText>
      </w:r>
      <w:r w:rsidR="005E60EA" w:rsidRPr="00C85F0F">
        <w:rPr>
          <w:rFonts w:ascii="Traditional Arabic" w:hAnsi="Traditional Arabic" w:hint="cs"/>
          <w:noProof w:val="0"/>
          <w:color w:val="auto"/>
          <w:rtl/>
          <w:lang w:eastAsia="en-US"/>
        </w:rPr>
        <w:instrText>ي؟</w:instrText>
      </w:r>
      <w:r w:rsidR="005E60EA" w:rsidRPr="00C85F0F">
        <w:rPr>
          <w:rtl/>
        </w:rPr>
        <w:instrText>" \</w:instrText>
      </w:r>
      <w:r w:rsidR="005E60EA" w:rsidRPr="00C85F0F">
        <w:instrText>f</w:instrText>
      </w:r>
      <w:r w:rsidR="005E60EA">
        <w:instrText>h</w:instrText>
      </w:r>
      <w:r w:rsidR="00AB0B9E">
        <w:rPr>
          <w:rFonts w:ascii="Traditional Arabic" w:hAnsi="Traditional Arabic"/>
          <w:noProof w:val="0"/>
          <w:color w:val="auto"/>
          <w:rtl/>
          <w:lang w:eastAsia="en-US"/>
        </w:rPr>
        <w:fldChar w:fldCharType="end"/>
      </w:r>
      <w:r w:rsidRPr="004353FB">
        <w:rPr>
          <w:rFonts w:ascii="Traditional Arabic" w:hAnsi="Traditional Arabic"/>
          <w:noProof w:val="0"/>
          <w:color w:val="auto"/>
          <w:rtl/>
          <w:lang w:eastAsia="en-US"/>
        </w:rPr>
        <w:t xml:space="preserve"> قال</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فلا ت</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ط</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ه</w:t>
      </w:r>
      <w:r>
        <w:rPr>
          <w:rFonts w:ascii="Traditional Arabic" w:hAnsi="Traditional Arabic" w:hint="cs"/>
          <w:noProof w:val="0"/>
          <w:color w:val="auto"/>
          <w:rtl/>
          <w:lang w:eastAsia="en-US"/>
        </w:rPr>
        <w:t>ِ</w:t>
      </w:r>
      <w:r w:rsidR="006C16E6">
        <w:rPr>
          <w:rFonts w:ascii="Traditional Arabic" w:hAnsi="Traditional Arabic" w:hint="cs"/>
          <w:noProof w:val="0"/>
          <w:color w:val="auto"/>
          <w:rtl/>
          <w:lang w:eastAsia="en-US"/>
        </w:rPr>
        <w:t xml:space="preserve"> </w:t>
      </w:r>
      <w:r w:rsidRPr="004353FB">
        <w:rPr>
          <w:rFonts w:ascii="Traditional Arabic" w:hAnsi="Traditional Arabic"/>
          <w:noProof w:val="0"/>
          <w:color w:val="auto"/>
          <w:rtl/>
          <w:lang w:eastAsia="en-US"/>
        </w:rPr>
        <w:t>مال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ك</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 قال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أرأيت إن قاتلن</w:t>
      </w:r>
      <w:r>
        <w:rPr>
          <w:rFonts w:ascii="Traditional Arabic" w:hAnsi="Traditional Arabic" w:hint="cs"/>
          <w:noProof w:val="0"/>
          <w:color w:val="auto"/>
          <w:rtl/>
          <w:lang w:eastAsia="en-US"/>
        </w:rPr>
        <w:t>ي؟</w:t>
      </w:r>
      <w:r w:rsidRPr="004353FB">
        <w:rPr>
          <w:rFonts w:ascii="Traditional Arabic" w:hAnsi="Traditional Arabic"/>
          <w:noProof w:val="0"/>
          <w:color w:val="auto"/>
          <w:rtl/>
          <w:lang w:eastAsia="en-US"/>
        </w:rPr>
        <w:t xml:space="preserve"> قال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قاتله</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 قال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أرأيت إن قتلن</w:t>
      </w:r>
      <w:r>
        <w:rPr>
          <w:rFonts w:ascii="Traditional Arabic" w:hAnsi="Traditional Arabic" w:hint="cs"/>
          <w:noProof w:val="0"/>
          <w:color w:val="auto"/>
          <w:rtl/>
          <w:lang w:eastAsia="en-US"/>
        </w:rPr>
        <w:t>ي؟</w:t>
      </w:r>
      <w:r w:rsidRPr="004353FB">
        <w:rPr>
          <w:rFonts w:ascii="Traditional Arabic" w:hAnsi="Traditional Arabic"/>
          <w:noProof w:val="0"/>
          <w:color w:val="auto"/>
          <w:rtl/>
          <w:lang w:eastAsia="en-US"/>
        </w:rPr>
        <w:t xml:space="preserve"> قال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فأنت شهيد</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 قال</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أرأيت إن قتلت</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ه</w:t>
      </w:r>
      <w:r>
        <w:rPr>
          <w:rFonts w:ascii="Traditional Arabic" w:hAnsi="Traditional Arabic" w:hint="cs"/>
          <w:noProof w:val="0"/>
          <w:color w:val="auto"/>
          <w:rtl/>
          <w:lang w:eastAsia="en-US"/>
        </w:rPr>
        <w:t>؟</w:t>
      </w:r>
      <w:r w:rsidRPr="004353FB">
        <w:rPr>
          <w:rFonts w:ascii="Traditional Arabic" w:hAnsi="Traditional Arabic"/>
          <w:noProof w:val="0"/>
          <w:color w:val="auto"/>
          <w:rtl/>
          <w:lang w:eastAsia="en-US"/>
        </w:rPr>
        <w:t xml:space="preserve"> قال</w:t>
      </w:r>
      <w:r>
        <w:rPr>
          <w:rFonts w:ascii="Traditional Arabic" w:hAnsi="Traditional Arabic" w:hint="cs"/>
          <w:noProof w:val="0"/>
          <w:color w:val="auto"/>
          <w:rtl/>
          <w:lang w:eastAsia="en-US"/>
        </w:rPr>
        <w:t>: "</w:t>
      </w:r>
      <w:r>
        <w:rPr>
          <w:rFonts w:ascii="Traditional Arabic" w:hAnsi="Traditional Arabic"/>
          <w:noProof w:val="0"/>
          <w:color w:val="auto"/>
          <w:rtl/>
          <w:lang w:eastAsia="en-US"/>
        </w:rPr>
        <w:t>هو ف</w:t>
      </w:r>
      <w:r>
        <w:rPr>
          <w:rFonts w:ascii="Traditional Arabic" w:hAnsi="Traditional Arabic" w:hint="cs"/>
          <w:noProof w:val="0"/>
          <w:color w:val="auto"/>
          <w:rtl/>
          <w:lang w:eastAsia="en-US"/>
        </w:rPr>
        <w:t>ي</w:t>
      </w:r>
      <w:r w:rsidRPr="004353FB">
        <w:rPr>
          <w:rFonts w:ascii="Traditional Arabic" w:hAnsi="Traditional Arabic"/>
          <w:noProof w:val="0"/>
          <w:color w:val="auto"/>
          <w:rtl/>
          <w:lang w:eastAsia="en-US"/>
        </w:rPr>
        <w:t xml:space="preserve"> النار</w:t>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975"/>
      </w:r>
      <w:r w:rsidRPr="00C821A1">
        <w:rPr>
          <w:rStyle w:val="af1"/>
          <w:szCs w:val="32"/>
          <w:rtl/>
        </w:rPr>
        <w:t>)</w:t>
      </w:r>
      <w:r w:rsidRPr="004353FB">
        <w:rPr>
          <w:rFonts w:ascii="Traditional Arabic" w:hAnsi="Traditional Arabic"/>
          <w:noProof w:val="0"/>
          <w:color w:val="auto"/>
          <w:rtl/>
          <w:lang w:eastAsia="en-US"/>
        </w:rPr>
        <w:t>.</w:t>
      </w:r>
    </w:p>
    <w:p w:rsidR="00065E4B" w:rsidRDefault="00A76AFC" w:rsidP="00597C20">
      <w:pPr>
        <w:pStyle w:val="53"/>
        <w:rPr>
          <w:rtl/>
        </w:rPr>
      </w:pPr>
      <w:r>
        <w:rPr>
          <w:rFonts w:hint="cs"/>
          <w:rtl/>
        </w:rPr>
        <w:t>وجه الدلالة:</w:t>
      </w:r>
    </w:p>
    <w:p w:rsidR="00A76AFC"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color w:val="auto"/>
          <w:rtl/>
          <w:lang w:eastAsia="en-US"/>
        </w:rPr>
        <w:t>ق</w:t>
      </w:r>
      <w:r w:rsidR="00A76AFC">
        <w:rPr>
          <w:rFonts w:ascii="Traditional Arabic" w:hAnsi="Traditional Arabic" w:hint="cs"/>
          <w:noProof w:val="0"/>
          <w:color w:val="auto"/>
          <w:rtl/>
          <w:lang w:eastAsia="en-US"/>
        </w:rPr>
        <w:t xml:space="preserve">ال الشيخ ابن عثيمين </w:t>
      </w:r>
      <w:r w:rsidR="00A5641A">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A5641A">
        <w:rPr>
          <w:rFonts w:ascii="Traditional Arabic" w:hAnsi="Traditional Arabic" w:hint="cs"/>
          <w:noProof w:val="0"/>
          <w:color w:val="auto"/>
          <w:rtl/>
          <w:lang w:eastAsia="en-US"/>
        </w:rPr>
        <w:t>_</w:t>
      </w:r>
      <w:r w:rsidR="00A76AFC">
        <w:rPr>
          <w:rFonts w:ascii="Traditional Arabic" w:hAnsi="Traditional Arabic" w:hint="cs"/>
          <w:noProof w:val="0"/>
          <w:color w:val="auto"/>
          <w:rtl/>
          <w:lang w:eastAsia="en-US"/>
        </w:rPr>
        <w:t>: (</w:t>
      </w:r>
      <w:r w:rsidR="00A76AFC">
        <w:rPr>
          <w:rFonts w:ascii="Traditional Arabic" w:hAnsi="Traditional Arabic"/>
          <w:noProof w:val="0"/>
          <w:color w:val="auto"/>
          <w:rtl/>
          <w:lang w:eastAsia="en-US"/>
        </w:rPr>
        <w:t>فقوله:</w:t>
      </w:r>
      <w:r w:rsidR="00A76AFC">
        <w:rPr>
          <w:rFonts w:ascii="Traditional Arabic" w:hAnsi="Traditional Arabic" w:hint="cs"/>
          <w:noProof w:val="0"/>
          <w:color w:val="auto"/>
          <w:rtl/>
          <w:lang w:eastAsia="en-US"/>
        </w:rPr>
        <w:t xml:space="preserve"> "</w:t>
      </w:r>
      <w:r w:rsidR="00A76AFC" w:rsidRPr="00FE2B16">
        <w:rPr>
          <w:rFonts w:ascii="Traditional Arabic" w:hAnsi="Traditional Arabic"/>
          <w:noProof w:val="0"/>
          <w:color w:val="auto"/>
          <w:rtl/>
          <w:lang w:eastAsia="en-US"/>
        </w:rPr>
        <w:t>هو في النار</w:t>
      </w:r>
      <w:r w:rsidR="00A76AFC">
        <w:rPr>
          <w:rFonts w:ascii="Traditional Arabic" w:hAnsi="Traditional Arabic" w:hint="cs"/>
          <w:noProof w:val="0"/>
          <w:color w:val="auto"/>
          <w:rtl/>
          <w:lang w:eastAsia="en-US"/>
        </w:rPr>
        <w:t>"</w:t>
      </w:r>
      <w:r w:rsidR="00A76AFC" w:rsidRPr="00FE2B16">
        <w:rPr>
          <w:rFonts w:ascii="Traditional Arabic" w:hAnsi="Traditional Arabic"/>
          <w:noProof w:val="0"/>
          <w:color w:val="auto"/>
          <w:rtl/>
          <w:lang w:eastAsia="en-US"/>
        </w:rPr>
        <w:t xml:space="preserve"> يدل على أنه م</w:t>
      </w:r>
      <w:r w:rsidR="00A76AFC">
        <w:rPr>
          <w:rFonts w:ascii="Traditional Arabic" w:hAnsi="Traditional Arabic" w:hint="cs"/>
          <w:noProof w:val="0"/>
          <w:color w:val="auto"/>
          <w:rtl/>
          <w:lang w:eastAsia="en-US"/>
        </w:rPr>
        <w:t>ُ</w:t>
      </w:r>
      <w:r w:rsidR="00A76AFC" w:rsidRPr="00FE2B16">
        <w:rPr>
          <w:rFonts w:ascii="Traditional Arabic" w:hAnsi="Traditional Arabic"/>
          <w:noProof w:val="0"/>
          <w:color w:val="auto"/>
          <w:rtl/>
          <w:lang w:eastAsia="en-US"/>
        </w:rPr>
        <w:t>عتد</w:t>
      </w:r>
      <w:r w:rsidR="00A76AFC">
        <w:rPr>
          <w:rFonts w:ascii="Traditional Arabic" w:hAnsi="Traditional Arabic" w:hint="cs"/>
          <w:noProof w:val="0"/>
          <w:color w:val="auto"/>
          <w:rtl/>
          <w:lang w:eastAsia="en-US"/>
        </w:rPr>
        <w:t>ٍ</w:t>
      </w:r>
      <w:r w:rsidR="00A76AFC" w:rsidRPr="00FE2B16">
        <w:rPr>
          <w:rFonts w:ascii="Traditional Arabic" w:hAnsi="Traditional Arabic"/>
          <w:noProof w:val="0"/>
          <w:color w:val="auto"/>
          <w:rtl/>
          <w:lang w:eastAsia="en-US"/>
        </w:rPr>
        <w:t xml:space="preserve"> ظالم</w:t>
      </w:r>
      <w:r w:rsidR="00A76AFC">
        <w:rPr>
          <w:rFonts w:ascii="Traditional Arabic" w:hAnsi="Traditional Arabic" w:hint="cs"/>
          <w:noProof w:val="0"/>
          <w:color w:val="auto"/>
          <w:rtl/>
          <w:lang w:eastAsia="en-US"/>
        </w:rPr>
        <w:t>،</w:t>
      </w:r>
      <w:r w:rsidR="007079D2">
        <w:rPr>
          <w:rFonts w:ascii="Traditional Arabic" w:hAnsi="Traditional Arabic"/>
          <w:noProof w:val="0"/>
          <w:color w:val="auto"/>
          <w:rtl/>
          <w:lang w:eastAsia="en-US"/>
        </w:rPr>
        <w:t xml:space="preserve"> والمعتدي الظالم لا ضمان في</w:t>
      </w:r>
      <w:r w:rsidR="007079D2">
        <w:rPr>
          <w:rFonts w:ascii="Traditional Arabic" w:hAnsi="Traditional Arabic" w:hint="cs"/>
          <w:noProof w:val="0"/>
          <w:color w:val="auto"/>
          <w:rtl/>
          <w:lang w:eastAsia="en-US"/>
        </w:rPr>
        <w:t xml:space="preserve"> قتله</w:t>
      </w:r>
      <w:r w:rsidR="00A76AFC" w:rsidRPr="00FE2B16">
        <w:rPr>
          <w:rFonts w:ascii="Traditional Arabic" w:hAnsi="Traditional Arabic"/>
          <w:noProof w:val="0"/>
          <w:color w:val="auto"/>
          <w:rtl/>
          <w:lang w:eastAsia="en-US"/>
        </w:rPr>
        <w:t>؛ ولأن العدوان حصل من الصائل</w:t>
      </w:r>
      <w:r w:rsidR="007079D2">
        <w:rPr>
          <w:rFonts w:ascii="Traditional Arabic" w:hAnsi="Traditional Arabic" w:hint="cs"/>
          <w:noProof w:val="0"/>
          <w:color w:val="auto"/>
          <w:rtl/>
          <w:lang w:eastAsia="en-US"/>
        </w:rPr>
        <w:t xml:space="preserve">، </w:t>
      </w:r>
      <w:r w:rsidR="00A76AFC" w:rsidRPr="00440B6C">
        <w:rPr>
          <w:rFonts w:ascii="Traditional Arabic" w:hAnsi="Traditional Arabic"/>
          <w:noProof w:val="0"/>
          <w:rtl/>
          <w:lang w:eastAsia="en-US"/>
        </w:rPr>
        <w:t>فهو الذي قتل نفسه في الحقيقة</w:t>
      </w:r>
      <w:r w:rsidR="007079D2">
        <w:rPr>
          <w:rFonts w:ascii="Traditional Arabic" w:hAnsi="Traditional Arabic" w:hint="cs"/>
          <w:noProof w:val="0"/>
          <w:rtl/>
          <w:lang w:eastAsia="en-US"/>
        </w:rPr>
        <w:t>،</w:t>
      </w:r>
      <w:r w:rsidR="00A76AFC" w:rsidRPr="00440B6C">
        <w:rPr>
          <w:rFonts w:ascii="Traditional Arabic" w:hAnsi="Traditional Arabic"/>
          <w:noProof w:val="0"/>
          <w:rtl/>
          <w:lang w:eastAsia="en-US"/>
        </w:rPr>
        <w:t xml:space="preserve"> فلا </w:t>
      </w:r>
      <w:r w:rsidR="00A76AFC">
        <w:rPr>
          <w:rFonts w:ascii="Traditional Arabic" w:hAnsi="Traditional Arabic"/>
          <w:noProof w:val="0"/>
          <w:rtl/>
          <w:lang w:eastAsia="en-US"/>
        </w:rPr>
        <w:t>ضمان على القاتل، ولكن يجب أن يد</w:t>
      </w:r>
      <w:r w:rsidR="00A76AFC" w:rsidRPr="00440B6C">
        <w:rPr>
          <w:rFonts w:ascii="Traditional Arabic" w:hAnsi="Traditional Arabic"/>
          <w:noProof w:val="0"/>
          <w:rtl/>
          <w:lang w:eastAsia="en-US"/>
        </w:rPr>
        <w:t>فعه بالأسهل فالأسهل، فإذا اندفع بالتهديد فلا يضربه، وإذا اندفع بالضرب الخفيف فلا يضربه ضربا شديدا، وإذا اندفع بالضرب الشديد فلا يقتله، وإذا لم يندفع إلا بالقتل فله قتل</w:t>
      </w:r>
      <w:r w:rsidR="00A5641A">
        <w:rPr>
          <w:rFonts w:ascii="Traditional Arabic" w:hAnsi="Traditional Arabic" w:hint="cs"/>
          <w:noProof w:val="0"/>
          <w:rtl/>
          <w:lang w:eastAsia="en-US"/>
        </w:rPr>
        <w:t>ُ</w:t>
      </w:r>
      <w:r w:rsidR="00A76AFC" w:rsidRPr="00440B6C">
        <w:rPr>
          <w:rFonts w:ascii="Traditional Arabic" w:hAnsi="Traditional Arabic"/>
          <w:noProof w:val="0"/>
          <w:rtl/>
          <w:lang w:eastAsia="en-US"/>
        </w:rPr>
        <w:t>ه</w:t>
      </w:r>
      <w:r w:rsidR="00A76AFC">
        <w:rPr>
          <w:rFonts w:ascii="Traditional Arabic" w:hAnsi="Traditional Arabic" w:hint="cs"/>
          <w:noProof w:val="0"/>
          <w:rtl/>
          <w:lang w:eastAsia="en-US"/>
        </w:rPr>
        <w:t>)</w:t>
      </w:r>
      <w:r w:rsidR="00A76AFC" w:rsidRPr="00C821A1">
        <w:rPr>
          <w:rStyle w:val="af1"/>
          <w:szCs w:val="32"/>
          <w:rtl/>
        </w:rPr>
        <w:t>(</w:t>
      </w:r>
      <w:r w:rsidR="00A76AFC" w:rsidRPr="00C821A1">
        <w:rPr>
          <w:rStyle w:val="af1"/>
          <w:szCs w:val="32"/>
          <w:rtl/>
        </w:rPr>
        <w:footnoteReference w:id="976"/>
      </w:r>
      <w:r w:rsidR="00A76AFC" w:rsidRPr="00C821A1">
        <w:rPr>
          <w:rStyle w:val="af1"/>
          <w:szCs w:val="32"/>
          <w:rtl/>
        </w:rPr>
        <w:t>)</w:t>
      </w:r>
      <w:r w:rsidR="00A76AFC">
        <w:rPr>
          <w:rFonts w:ascii="Traditional Arabic" w:hAnsi="Traditional Arabic" w:hint="cs"/>
          <w:noProof w:val="0"/>
          <w:rtl/>
          <w:lang w:eastAsia="en-US"/>
        </w:rPr>
        <w:t>.</w:t>
      </w:r>
    </w:p>
    <w:p w:rsidR="00F228A9" w:rsidRPr="006C16E6" w:rsidRDefault="00A5641A" w:rsidP="006C16E6">
      <w:pPr>
        <w:pStyle w:val="aff3"/>
        <w:rPr>
          <w:rtl/>
        </w:rPr>
      </w:pPr>
      <w:bookmarkStart w:id="188" w:name="_Toc334046419"/>
      <w:r>
        <w:rPr>
          <w:rFonts w:hint="cs"/>
          <w:rtl/>
        </w:rPr>
        <w:t xml:space="preserve">                                      </w:t>
      </w:r>
      <w:r w:rsidR="00A76AFC">
        <w:rPr>
          <w:rFonts w:hint="cs"/>
          <w:rtl/>
        </w:rPr>
        <w:t>المطلب الرابع</w:t>
      </w:r>
      <w:r w:rsidR="005C5751">
        <w:rPr>
          <w:rFonts w:hint="eastAsia"/>
          <w:rtl/>
        </w:rPr>
        <w:t> :</w:t>
      </w:r>
      <w:r w:rsidR="005C5751">
        <w:rPr>
          <w:rFonts w:hint="cs"/>
          <w:rtl/>
        </w:rPr>
        <w:br/>
      </w:r>
      <w:r>
        <w:rPr>
          <w:rFonts w:hint="cs"/>
          <w:rtl/>
        </w:rPr>
        <w:t xml:space="preserve">     </w:t>
      </w:r>
      <w:r w:rsidR="006C16E6">
        <w:rPr>
          <w:rFonts w:hint="cs"/>
          <w:rtl/>
        </w:rPr>
        <w:t xml:space="preserve">                             التطبيق</w:t>
      </w:r>
      <w:r w:rsidR="00A76AFC">
        <w:rPr>
          <w:rFonts w:hint="cs"/>
          <w:rtl/>
        </w:rPr>
        <w:t xml:space="preserve"> </w:t>
      </w:r>
      <w:r w:rsidR="006C16E6">
        <w:rPr>
          <w:rFonts w:hint="cs"/>
          <w:rtl/>
        </w:rPr>
        <w:t xml:space="preserve">على </w:t>
      </w:r>
      <w:r w:rsidR="00A76AFC">
        <w:rPr>
          <w:rFonts w:hint="cs"/>
          <w:rtl/>
        </w:rPr>
        <w:t>القاعدة</w:t>
      </w:r>
      <w:bookmarkEnd w:id="188"/>
    </w:p>
    <w:p w:rsidR="00065E4B" w:rsidRPr="006C16E6" w:rsidRDefault="00A76AFC" w:rsidP="006C16E6">
      <w:pPr>
        <w:widowControl/>
        <w:autoSpaceDE w:val="0"/>
        <w:autoSpaceDN w:val="0"/>
        <w:adjustRightInd w:val="0"/>
        <w:ind w:left="360" w:firstLine="0"/>
        <w:rPr>
          <w:rFonts w:ascii="Simplified Arabic" w:hAnsi="Simplified Arabic" w:cs="Simplified Arabic"/>
          <w:noProof w:val="0"/>
          <w:color w:val="auto"/>
          <w:lang w:eastAsia="en-US"/>
        </w:rPr>
      </w:pPr>
      <w:r w:rsidRPr="006C16E6">
        <w:rPr>
          <w:rFonts w:ascii="Traditional Arabic" w:hAnsi="Traditional Arabic"/>
          <w:noProof w:val="0"/>
          <w:color w:val="auto"/>
          <w:rtl/>
          <w:lang w:eastAsia="en-US"/>
        </w:rPr>
        <w:t>قتل الصائل لا ضمان فيه، وهو يشمل الصائل على النفس، والصائل على الع</w:t>
      </w:r>
      <w:r w:rsidRPr="006C16E6">
        <w:rPr>
          <w:rFonts w:ascii="Traditional Arabic" w:hAnsi="Traditional Arabic" w:hint="cs"/>
          <w:noProof w:val="0"/>
          <w:color w:val="auto"/>
          <w:rtl/>
          <w:lang w:eastAsia="en-US"/>
        </w:rPr>
        <w:t>ِ</w:t>
      </w:r>
      <w:r w:rsidRPr="006C16E6">
        <w:rPr>
          <w:rFonts w:ascii="Traditional Arabic" w:hAnsi="Traditional Arabic"/>
          <w:noProof w:val="0"/>
          <w:color w:val="auto"/>
          <w:rtl/>
          <w:lang w:eastAsia="en-US"/>
        </w:rPr>
        <w:t>ر</w:t>
      </w:r>
      <w:r w:rsidRPr="006C16E6">
        <w:rPr>
          <w:rFonts w:ascii="Traditional Arabic" w:hAnsi="Traditional Arabic" w:hint="cs"/>
          <w:noProof w:val="0"/>
          <w:color w:val="auto"/>
          <w:rtl/>
          <w:lang w:eastAsia="en-US"/>
        </w:rPr>
        <w:t>ْ</w:t>
      </w:r>
      <w:r w:rsidRPr="006C16E6">
        <w:rPr>
          <w:rFonts w:ascii="Traditional Arabic" w:hAnsi="Traditional Arabic"/>
          <w:noProof w:val="0"/>
          <w:color w:val="auto"/>
          <w:rtl/>
          <w:lang w:eastAsia="en-US"/>
        </w:rPr>
        <w:t>ض، والصائل على المال، فهذا ي</w:t>
      </w:r>
      <w:r w:rsidRPr="006C16E6">
        <w:rPr>
          <w:rFonts w:ascii="Traditional Arabic" w:hAnsi="Traditional Arabic" w:hint="cs"/>
          <w:noProof w:val="0"/>
          <w:color w:val="auto"/>
          <w:rtl/>
          <w:lang w:eastAsia="en-US"/>
        </w:rPr>
        <w:t>ُ</w:t>
      </w:r>
      <w:r w:rsidRPr="006C16E6">
        <w:rPr>
          <w:rFonts w:ascii="Traditional Arabic" w:hAnsi="Traditional Arabic"/>
          <w:noProof w:val="0"/>
          <w:color w:val="auto"/>
          <w:rtl/>
          <w:lang w:eastAsia="en-US"/>
        </w:rPr>
        <w:t>داف</w:t>
      </w:r>
      <w:r w:rsidRPr="006C16E6">
        <w:rPr>
          <w:rFonts w:ascii="Traditional Arabic" w:hAnsi="Traditional Arabic" w:hint="cs"/>
          <w:noProof w:val="0"/>
          <w:color w:val="auto"/>
          <w:rtl/>
          <w:lang w:eastAsia="en-US"/>
        </w:rPr>
        <w:t>َ</w:t>
      </w:r>
      <w:r w:rsidRPr="006C16E6">
        <w:rPr>
          <w:rFonts w:ascii="Traditional Arabic" w:hAnsi="Traditional Arabic"/>
          <w:noProof w:val="0"/>
          <w:color w:val="auto"/>
          <w:rtl/>
          <w:lang w:eastAsia="en-US"/>
        </w:rPr>
        <w:t>ع بالأسهل فالأسهل، فإن لم يندفع إلا بالقتل فقتل</w:t>
      </w:r>
      <w:r w:rsidR="00A5641A" w:rsidRPr="006C16E6">
        <w:rPr>
          <w:rFonts w:ascii="Traditional Arabic" w:hAnsi="Traditional Arabic" w:hint="cs"/>
          <w:noProof w:val="0"/>
          <w:color w:val="auto"/>
          <w:rtl/>
          <w:lang w:eastAsia="en-US"/>
        </w:rPr>
        <w:t>َ</w:t>
      </w:r>
      <w:r w:rsidRPr="006C16E6">
        <w:rPr>
          <w:rFonts w:ascii="Traditional Arabic" w:hAnsi="Traditional Arabic"/>
          <w:noProof w:val="0"/>
          <w:color w:val="auto"/>
          <w:rtl/>
          <w:lang w:eastAsia="en-US"/>
        </w:rPr>
        <w:t>ه</w:t>
      </w:r>
      <w:r w:rsidR="007079D2">
        <w:rPr>
          <w:rFonts w:ascii="Traditional Arabic" w:hAnsi="Traditional Arabic" w:hint="cs"/>
          <w:noProof w:val="0"/>
          <w:color w:val="auto"/>
          <w:rtl/>
          <w:lang w:eastAsia="en-US"/>
        </w:rPr>
        <w:t xml:space="preserve"> المصول عليه</w:t>
      </w:r>
      <w:r w:rsidR="00A5641A" w:rsidRPr="006C16E6">
        <w:rPr>
          <w:rFonts w:ascii="Traditional Arabic" w:hAnsi="Traditional Arabic" w:hint="cs"/>
          <w:noProof w:val="0"/>
          <w:color w:val="auto"/>
          <w:rtl/>
          <w:lang w:eastAsia="en-US"/>
        </w:rPr>
        <w:t>،</w:t>
      </w:r>
      <w:r w:rsidRPr="006C16E6">
        <w:rPr>
          <w:rFonts w:ascii="Traditional Arabic" w:hAnsi="Traditional Arabic"/>
          <w:noProof w:val="0"/>
          <w:color w:val="auto"/>
          <w:rtl/>
          <w:lang w:eastAsia="en-US"/>
        </w:rPr>
        <w:t xml:space="preserve"> فلا ضمان</w:t>
      </w:r>
      <w:r w:rsidR="00EB00A3" w:rsidRPr="006C16E6">
        <w:rPr>
          <w:rFonts w:ascii="Traditional Arabic" w:hAnsi="Traditional Arabic" w:hint="cs"/>
          <w:noProof w:val="0"/>
          <w:color w:val="auto"/>
          <w:rtl/>
          <w:lang w:eastAsia="en-US"/>
        </w:rPr>
        <w:t xml:space="preserve"> </w:t>
      </w:r>
      <w:r w:rsidRPr="006C16E6">
        <w:rPr>
          <w:rFonts w:ascii="Traditional Arabic" w:hAnsi="Traditional Arabic"/>
          <w:noProof w:val="0"/>
          <w:color w:val="auto"/>
          <w:rtl/>
          <w:lang w:eastAsia="en-US"/>
        </w:rPr>
        <w:t>عليه</w:t>
      </w:r>
      <w:r w:rsidRPr="006C16E6">
        <w:rPr>
          <w:rStyle w:val="af1"/>
          <w:szCs w:val="32"/>
          <w:rtl/>
        </w:rPr>
        <w:t>(</w:t>
      </w:r>
      <w:r w:rsidRPr="00C821A1">
        <w:rPr>
          <w:rStyle w:val="af1"/>
          <w:szCs w:val="32"/>
          <w:rtl/>
        </w:rPr>
        <w:footnoteReference w:id="977"/>
      </w:r>
      <w:r w:rsidRPr="006C16E6">
        <w:rPr>
          <w:rStyle w:val="af1"/>
          <w:szCs w:val="32"/>
          <w:rtl/>
        </w:rPr>
        <w:t>)</w:t>
      </w:r>
      <w:r w:rsidRPr="006C16E6">
        <w:rPr>
          <w:rFonts w:ascii="Traditional Arabic" w:hAnsi="Traditional Arabic"/>
          <w:noProof w:val="0"/>
          <w:color w:val="auto"/>
          <w:rtl/>
          <w:lang w:eastAsia="en-US"/>
        </w:rPr>
        <w:t>.</w:t>
      </w:r>
    </w:p>
    <w:p w:rsidR="00A76AFC" w:rsidRPr="00B25FFD" w:rsidRDefault="00065E4B" w:rsidP="00597C20">
      <w:pPr>
        <w:widowControl/>
        <w:autoSpaceDE w:val="0"/>
        <w:autoSpaceDN w:val="0"/>
        <w:adjustRightInd w:val="0"/>
        <w:ind w:left="720" w:firstLine="360"/>
        <w:rPr>
          <w:rFonts w:ascii="Traditional Arabic" w:hAnsi="Traditional Arabic"/>
          <w:noProof w:val="0"/>
          <w:color w:val="auto"/>
          <w:lang w:eastAsia="en-US"/>
        </w:rPr>
      </w:pPr>
      <w:r w:rsidRPr="00B25FFD">
        <w:rPr>
          <w:rFonts w:ascii="Traditional Arabic" w:hAnsi="Traditional Arabic" w:hint="cs"/>
          <w:noProof w:val="0"/>
          <w:rtl/>
          <w:lang w:eastAsia="en-US"/>
        </w:rPr>
        <w:lastRenderedPageBreak/>
        <w:t>و</w:t>
      </w:r>
      <w:r w:rsidR="00A76AFC" w:rsidRPr="00B25FFD">
        <w:rPr>
          <w:rFonts w:ascii="Traditional Arabic" w:hAnsi="Traditional Arabic" w:hint="cs"/>
          <w:noProof w:val="0"/>
          <w:rtl/>
          <w:lang w:eastAsia="en-US"/>
        </w:rPr>
        <w:t xml:space="preserve">هذا يشمل </w:t>
      </w:r>
      <w:r w:rsidR="00A76AFC" w:rsidRPr="00B25FFD">
        <w:rPr>
          <w:rFonts w:ascii="Traditional Arabic" w:hAnsi="Traditional Arabic"/>
          <w:noProof w:val="0"/>
          <w:rtl/>
          <w:lang w:eastAsia="en-US"/>
        </w:rPr>
        <w:t>الصائل من بني آدم ومن غير بني آدم، فلو صال عليه جمل</w:t>
      </w:r>
      <w:r w:rsidR="00A76AFC">
        <w:rPr>
          <w:rFonts w:ascii="Traditional Arabic" w:hAnsi="Traditional Arabic" w:hint="cs"/>
          <w:noProof w:val="0"/>
          <w:rtl/>
          <w:lang w:eastAsia="en-US"/>
        </w:rPr>
        <w:t>ٌ</w:t>
      </w:r>
      <w:r w:rsidR="00A76AFC" w:rsidRPr="00B25FFD">
        <w:rPr>
          <w:rFonts w:ascii="Traditional Arabic" w:hAnsi="Traditional Arabic"/>
          <w:noProof w:val="0"/>
          <w:rtl/>
          <w:lang w:eastAsia="en-US"/>
        </w:rPr>
        <w:t xml:space="preserve"> فقتله دفعا</w:t>
      </w:r>
      <w:r w:rsidR="00A76AFC">
        <w:rPr>
          <w:rFonts w:ascii="Traditional Arabic" w:hAnsi="Traditional Arabic" w:hint="cs"/>
          <w:noProof w:val="0"/>
          <w:rtl/>
          <w:lang w:eastAsia="en-US"/>
        </w:rPr>
        <w:t>ً</w:t>
      </w:r>
      <w:r w:rsidR="00A76AFC" w:rsidRPr="00B25FFD">
        <w:rPr>
          <w:rFonts w:ascii="Traditional Arabic" w:hAnsi="Traditional Arabic"/>
          <w:noProof w:val="0"/>
          <w:rtl/>
          <w:lang w:eastAsia="en-US"/>
        </w:rPr>
        <w:t xml:space="preserve"> للص</w:t>
      </w:r>
      <w:r w:rsidR="00A76AFC">
        <w:rPr>
          <w:rFonts w:ascii="Traditional Arabic" w:hAnsi="Traditional Arabic" w:hint="cs"/>
          <w:noProof w:val="0"/>
          <w:rtl/>
          <w:lang w:eastAsia="en-US"/>
        </w:rPr>
        <w:t>َّ</w:t>
      </w:r>
      <w:r w:rsidR="00A76AFC" w:rsidRPr="00B25FFD">
        <w:rPr>
          <w:rFonts w:ascii="Traditional Arabic" w:hAnsi="Traditional Arabic"/>
          <w:noProof w:val="0"/>
          <w:rtl/>
          <w:lang w:eastAsia="en-US"/>
        </w:rPr>
        <w:t>و</w:t>
      </w:r>
      <w:r w:rsidR="00A76AFC">
        <w:rPr>
          <w:rFonts w:ascii="Traditional Arabic" w:hAnsi="Traditional Arabic" w:hint="cs"/>
          <w:noProof w:val="0"/>
          <w:rtl/>
          <w:lang w:eastAsia="en-US"/>
        </w:rPr>
        <w:t>ْ</w:t>
      </w:r>
      <w:r w:rsidR="00A76AFC">
        <w:rPr>
          <w:rFonts w:ascii="Traditional Arabic" w:hAnsi="Traditional Arabic"/>
          <w:noProof w:val="0"/>
          <w:rtl/>
          <w:lang w:eastAsia="en-US"/>
        </w:rPr>
        <w:t>ل، ف</w:t>
      </w:r>
      <w:r w:rsidR="00A76AFC">
        <w:rPr>
          <w:rFonts w:ascii="Traditional Arabic" w:hAnsi="Traditional Arabic" w:hint="cs"/>
          <w:noProof w:val="0"/>
          <w:rtl/>
          <w:lang w:eastAsia="en-US"/>
        </w:rPr>
        <w:t>لا</w:t>
      </w:r>
      <w:r w:rsidR="00A76AFC">
        <w:rPr>
          <w:rFonts w:ascii="Traditional Arabic" w:hAnsi="Traditional Arabic"/>
          <w:noProof w:val="0"/>
          <w:rtl/>
          <w:lang w:eastAsia="en-US"/>
        </w:rPr>
        <w:t xml:space="preserve"> يضمن لصاحب الجمل </w:t>
      </w:r>
      <w:r w:rsidR="00A76AFC">
        <w:rPr>
          <w:rFonts w:ascii="Traditional Arabic" w:hAnsi="Traditional Arabic" w:hint="cs"/>
          <w:noProof w:val="0"/>
          <w:rtl/>
          <w:lang w:eastAsia="en-US"/>
        </w:rPr>
        <w:t>شيئاً</w:t>
      </w:r>
      <w:r w:rsidR="00A5641A">
        <w:rPr>
          <w:rFonts w:ascii="Traditional Arabic" w:hAnsi="Traditional Arabic"/>
          <w:noProof w:val="0"/>
          <w:rtl/>
          <w:lang w:eastAsia="en-US"/>
        </w:rPr>
        <w:t xml:space="preserve">؛ لأن الجمل </w:t>
      </w:r>
      <w:r w:rsidR="00A5641A">
        <w:rPr>
          <w:rFonts w:ascii="Traditional Arabic" w:hAnsi="Traditional Arabic" w:hint="cs"/>
          <w:noProof w:val="0"/>
          <w:rtl/>
          <w:lang w:eastAsia="en-US"/>
        </w:rPr>
        <w:t>ههنا</w:t>
      </w:r>
      <w:r w:rsidR="00A76AFC" w:rsidRPr="00B25FFD">
        <w:rPr>
          <w:rFonts w:ascii="Traditional Arabic" w:hAnsi="Traditional Arabic"/>
          <w:noProof w:val="0"/>
          <w:rtl/>
          <w:lang w:eastAsia="en-US"/>
        </w:rPr>
        <w:t xml:space="preserve"> لا قيمة</w:t>
      </w:r>
      <w:r w:rsidR="00A5641A">
        <w:rPr>
          <w:rFonts w:ascii="Traditional Arabic" w:hAnsi="Traditional Arabic" w:hint="cs"/>
          <w:noProof w:val="0"/>
          <w:rtl/>
          <w:lang w:eastAsia="en-US"/>
        </w:rPr>
        <w:t>َ</w:t>
      </w:r>
      <w:r w:rsidR="00A76AFC" w:rsidRPr="00B25FFD">
        <w:rPr>
          <w:rFonts w:ascii="Traditional Arabic" w:hAnsi="Traditional Arabic"/>
          <w:noProof w:val="0"/>
          <w:rtl/>
          <w:lang w:eastAsia="en-US"/>
        </w:rPr>
        <w:t xml:space="preserve"> له، ولو قتل صيدا</w:t>
      </w:r>
      <w:r w:rsidR="00A76AFC">
        <w:rPr>
          <w:rFonts w:ascii="Traditional Arabic" w:hAnsi="Traditional Arabic" w:hint="cs"/>
          <w:noProof w:val="0"/>
          <w:rtl/>
          <w:lang w:eastAsia="en-US"/>
        </w:rPr>
        <w:t>ً</w:t>
      </w:r>
      <w:r w:rsidR="00A76AFC" w:rsidRPr="00B25FFD">
        <w:rPr>
          <w:rFonts w:ascii="Traditional Arabic" w:hAnsi="Traditional Arabic"/>
          <w:noProof w:val="0"/>
          <w:rtl/>
          <w:lang w:eastAsia="en-US"/>
        </w:rPr>
        <w:t xml:space="preserve"> صال</w:t>
      </w:r>
      <w:r w:rsidR="00A76AFC">
        <w:rPr>
          <w:rFonts w:ascii="Traditional Arabic" w:hAnsi="Traditional Arabic" w:hint="cs"/>
          <w:noProof w:val="0"/>
          <w:rtl/>
          <w:lang w:eastAsia="en-US"/>
        </w:rPr>
        <w:t>َ</w:t>
      </w:r>
      <w:r w:rsidR="00A5641A">
        <w:rPr>
          <w:rFonts w:ascii="Traditional Arabic" w:hAnsi="Traditional Arabic" w:hint="cs"/>
          <w:noProof w:val="0"/>
          <w:rtl/>
          <w:lang w:eastAsia="en-US"/>
        </w:rPr>
        <w:t xml:space="preserve"> </w:t>
      </w:r>
      <w:r w:rsidR="00A76AFC" w:rsidRPr="00B25FFD">
        <w:rPr>
          <w:rFonts w:ascii="Traditional Arabic" w:hAnsi="Traditional Arabic"/>
          <w:noProof w:val="0"/>
          <w:rtl/>
          <w:lang w:eastAsia="en-US"/>
        </w:rPr>
        <w:t>عليه وهو م</w:t>
      </w:r>
      <w:r w:rsidR="00A76AFC">
        <w:rPr>
          <w:rFonts w:ascii="Traditional Arabic" w:hAnsi="Traditional Arabic" w:hint="cs"/>
          <w:noProof w:val="0"/>
          <w:rtl/>
          <w:lang w:eastAsia="en-US"/>
        </w:rPr>
        <w:t>ُ</w:t>
      </w:r>
      <w:r w:rsidR="00A76AFC" w:rsidRPr="00B25FFD">
        <w:rPr>
          <w:rFonts w:ascii="Traditional Arabic" w:hAnsi="Traditional Arabic"/>
          <w:noProof w:val="0"/>
          <w:rtl/>
          <w:lang w:eastAsia="en-US"/>
        </w:rPr>
        <w:t>حر</w:t>
      </w:r>
      <w:r w:rsidR="00A76AFC">
        <w:rPr>
          <w:rFonts w:ascii="Traditional Arabic" w:hAnsi="Traditional Arabic" w:hint="cs"/>
          <w:noProof w:val="0"/>
          <w:rtl/>
          <w:lang w:eastAsia="en-US"/>
        </w:rPr>
        <w:t>ِ</w:t>
      </w:r>
      <w:r w:rsidR="00A76AFC" w:rsidRPr="00B25FFD">
        <w:rPr>
          <w:rFonts w:ascii="Traditional Arabic" w:hAnsi="Traditional Arabic"/>
          <w:noProof w:val="0"/>
          <w:rtl/>
          <w:lang w:eastAsia="en-US"/>
        </w:rPr>
        <w:t>م فليس عليه الجزاء؛ لأنه صال عليه فهو معذور</w:t>
      </w:r>
      <w:r w:rsidR="00A76AFC" w:rsidRPr="00C821A1">
        <w:rPr>
          <w:rStyle w:val="af1"/>
          <w:szCs w:val="32"/>
          <w:rtl/>
        </w:rPr>
        <w:t>(</w:t>
      </w:r>
      <w:r w:rsidR="00A76AFC" w:rsidRPr="00C821A1">
        <w:rPr>
          <w:rStyle w:val="af1"/>
          <w:szCs w:val="32"/>
          <w:rtl/>
        </w:rPr>
        <w:footnoteReference w:id="978"/>
      </w:r>
      <w:r w:rsidR="00A76AFC" w:rsidRPr="00C821A1">
        <w:rPr>
          <w:rStyle w:val="af1"/>
          <w:szCs w:val="32"/>
          <w:rtl/>
        </w:rPr>
        <w:t>)</w:t>
      </w:r>
      <w:r w:rsidR="00A76AFC" w:rsidRPr="00B25FFD">
        <w:rPr>
          <w:rFonts w:ascii="Traditional Arabic" w:hAnsi="Traditional Arabic"/>
          <w:noProof w:val="0"/>
          <w:rtl/>
          <w:lang w:eastAsia="en-US"/>
        </w:rPr>
        <w:t>.</w:t>
      </w:r>
    </w:p>
    <w:p w:rsidR="00A76AFC" w:rsidRDefault="00A76AFC" w:rsidP="00597C20">
      <w:pPr>
        <w:pStyle w:val="53"/>
        <w:rPr>
          <w:rtl/>
        </w:rPr>
      </w:pPr>
      <w:r>
        <w:rPr>
          <w:rFonts w:hint="cs"/>
          <w:rtl/>
        </w:rPr>
        <w:t>وجه اندراج الفرع تحت القاعدة:</w:t>
      </w:r>
    </w:p>
    <w:p w:rsidR="00A76AFC" w:rsidRDefault="00A76AFC" w:rsidP="00597C20">
      <w:pPr>
        <w:widowControl/>
        <w:autoSpaceDE w:val="0"/>
        <w:autoSpaceDN w:val="0"/>
        <w:adjustRightInd w:val="0"/>
        <w:ind w:firstLine="720"/>
        <w:rPr>
          <w:rFonts w:ascii="Traditional Arabic" w:hAnsi="Traditional Arabic"/>
          <w:noProof w:val="0"/>
          <w:color w:val="auto"/>
          <w:rtl/>
          <w:lang w:eastAsia="en-US"/>
        </w:rPr>
      </w:pPr>
      <w:r w:rsidRPr="00AB1A60">
        <w:rPr>
          <w:rFonts w:ascii="Traditional Arabic" w:hAnsi="Traditional Arabic" w:hint="cs"/>
          <w:noProof w:val="0"/>
          <w:color w:val="auto"/>
          <w:rtl/>
          <w:lang w:eastAsia="en-US"/>
        </w:rPr>
        <w:t>أن المصول عليه قد دفع الصائل لأن</w:t>
      </w:r>
      <w:r w:rsidR="007079D2">
        <w:rPr>
          <w:rFonts w:ascii="Traditional Arabic" w:hAnsi="Traditional Arabic" w:hint="cs"/>
          <w:noProof w:val="0"/>
          <w:color w:val="auto"/>
          <w:rtl/>
          <w:lang w:eastAsia="en-US"/>
        </w:rPr>
        <w:t>ه آذاه؛ ولهذا لا ضمان</w:t>
      </w:r>
      <w:r w:rsidRPr="00AB1A60">
        <w:rPr>
          <w:rFonts w:ascii="Traditional Arabic" w:hAnsi="Traditional Arabic" w:hint="cs"/>
          <w:noProof w:val="0"/>
          <w:color w:val="auto"/>
          <w:rtl/>
          <w:lang w:eastAsia="en-US"/>
        </w:rPr>
        <w:t xml:space="preserve"> عليه، لكن ي</w:t>
      </w:r>
      <w:r w:rsidR="00A5641A">
        <w:rPr>
          <w:rFonts w:ascii="Traditional Arabic" w:hAnsi="Traditional Arabic" w:hint="cs"/>
          <w:noProof w:val="0"/>
          <w:color w:val="auto"/>
          <w:rtl/>
          <w:lang w:eastAsia="en-US"/>
        </w:rPr>
        <w:t>ُ</w:t>
      </w:r>
      <w:r w:rsidRPr="00AB1A60">
        <w:rPr>
          <w:rFonts w:ascii="Traditional Arabic" w:hAnsi="Traditional Arabic" w:hint="cs"/>
          <w:noProof w:val="0"/>
          <w:color w:val="auto"/>
          <w:rtl/>
          <w:lang w:eastAsia="en-US"/>
        </w:rPr>
        <w:t>شترط أن يدافع الصائل بالأسهل فالأسهل.</w:t>
      </w:r>
    </w:p>
    <w:p w:rsidR="00EB00A3" w:rsidRDefault="00EB00A3" w:rsidP="00597C20">
      <w:pPr>
        <w:widowControl/>
        <w:autoSpaceDE w:val="0"/>
        <w:autoSpaceDN w:val="0"/>
        <w:adjustRightInd w:val="0"/>
        <w:ind w:firstLine="720"/>
        <w:rPr>
          <w:rFonts w:ascii="Traditional Arabic" w:hAnsi="Traditional Arabic"/>
          <w:noProof w:val="0"/>
          <w:color w:val="auto"/>
          <w:rtl/>
          <w:lang w:eastAsia="en-US"/>
        </w:rPr>
      </w:pPr>
    </w:p>
    <w:p w:rsidR="00EB00A3" w:rsidRDefault="00EB00A3" w:rsidP="00597C20">
      <w:pPr>
        <w:widowControl/>
        <w:autoSpaceDE w:val="0"/>
        <w:autoSpaceDN w:val="0"/>
        <w:adjustRightInd w:val="0"/>
        <w:ind w:firstLine="720"/>
        <w:rPr>
          <w:rFonts w:ascii="Traditional Arabic" w:hAnsi="Traditional Arabic"/>
          <w:noProof w:val="0"/>
          <w:color w:val="auto"/>
          <w:rtl/>
          <w:lang w:eastAsia="en-US"/>
        </w:rPr>
      </w:pPr>
    </w:p>
    <w:p w:rsidR="00EB00A3" w:rsidRDefault="00EB00A3" w:rsidP="00597C20">
      <w:pPr>
        <w:widowControl/>
        <w:autoSpaceDE w:val="0"/>
        <w:autoSpaceDN w:val="0"/>
        <w:adjustRightInd w:val="0"/>
        <w:ind w:firstLine="720"/>
        <w:rPr>
          <w:rFonts w:ascii="Traditional Arabic" w:hAnsi="Traditional Arabic"/>
          <w:noProof w:val="0"/>
          <w:color w:val="auto"/>
          <w:rtl/>
          <w:lang w:eastAsia="en-US"/>
        </w:rPr>
      </w:pPr>
    </w:p>
    <w:p w:rsidR="00EB00A3" w:rsidRPr="00EB00A3" w:rsidRDefault="00EB00A3" w:rsidP="00EB00A3">
      <w:pPr>
        <w:widowControl/>
        <w:autoSpaceDE w:val="0"/>
        <w:autoSpaceDN w:val="0"/>
        <w:adjustRightInd w:val="0"/>
        <w:ind w:firstLine="720"/>
        <w:jc w:val="left"/>
        <w:rPr>
          <w:rFonts w:ascii="Traditional Arabic" w:hAnsi="Traditional Arabic"/>
          <w:b/>
          <w:bCs/>
          <w:noProof w:val="0"/>
          <w:color w:val="auto"/>
          <w:lang w:eastAsia="en-US"/>
        </w:rPr>
      </w:pPr>
    </w:p>
    <w:p w:rsidR="00203C72" w:rsidRPr="00C85F0F" w:rsidRDefault="00203C72" w:rsidP="000F5C0F">
      <w:pPr>
        <w:pStyle w:val="aff2"/>
        <w:rPr>
          <w:rtl/>
        </w:rPr>
      </w:pPr>
      <w:bookmarkStart w:id="189" w:name="_Toc334046420"/>
      <w:r w:rsidRPr="00A76AFC">
        <w:rPr>
          <w:rFonts w:hint="cs"/>
          <w:rtl/>
        </w:rPr>
        <w:lastRenderedPageBreak/>
        <w:t>المبحث ال</w:t>
      </w:r>
      <w:r>
        <w:rPr>
          <w:rFonts w:hint="cs"/>
          <w:rtl/>
        </w:rPr>
        <w:t>ثالث</w:t>
      </w:r>
      <w:r w:rsidRPr="00A76AFC">
        <w:rPr>
          <w:rFonts w:hint="eastAsia"/>
          <w:rtl/>
        </w:rPr>
        <w:t> :</w:t>
      </w:r>
      <w:r w:rsidRPr="00A76AFC">
        <w:rPr>
          <w:rtl/>
        </w:rPr>
        <w:br/>
      </w:r>
      <w:r w:rsidRPr="00A76AFC">
        <w:rPr>
          <w:rFonts w:hint="cs"/>
          <w:rtl/>
        </w:rPr>
        <w:t>قاعدة</w:t>
      </w:r>
      <w:r w:rsidRPr="00A76AFC">
        <w:rPr>
          <w:rtl/>
        </w:rPr>
        <w:br/>
      </w:r>
      <w:r>
        <w:rPr>
          <w:rFonts w:hint="cs"/>
          <w:rtl/>
        </w:rPr>
        <w:t>"</w:t>
      </w:r>
      <w:r w:rsidR="00EB00A3">
        <w:rPr>
          <w:rFonts w:hint="cs"/>
          <w:rtl/>
        </w:rPr>
        <w:t xml:space="preserve"> إذا تضمن </w:t>
      </w:r>
      <w:r w:rsidR="00797F48">
        <w:rPr>
          <w:rFonts w:hint="cs"/>
          <w:rtl/>
        </w:rPr>
        <w:t xml:space="preserve">الفسخ </w:t>
      </w:r>
      <w:r w:rsidR="00EB00A3">
        <w:rPr>
          <w:rtl/>
        </w:rPr>
        <w:t xml:space="preserve">ضررا على </w:t>
      </w:r>
      <w:r w:rsidR="00797F48">
        <w:rPr>
          <w:rFonts w:hint="cs"/>
          <w:rtl/>
        </w:rPr>
        <w:t>أحد الطرفين،</w:t>
      </w:r>
      <w:r w:rsidR="00EB00A3">
        <w:rPr>
          <w:rFonts w:hint="cs"/>
          <w:rtl/>
        </w:rPr>
        <w:t xml:space="preserve"> </w:t>
      </w:r>
      <w:r w:rsidR="00EB00A3">
        <w:rPr>
          <w:rtl/>
        </w:rPr>
        <w:t>ف</w:t>
      </w:r>
      <w:r w:rsidR="00797F48">
        <w:rPr>
          <w:rFonts w:hint="cs"/>
          <w:rtl/>
        </w:rPr>
        <w:t>إن العقود الجائزة تنقلب لازمة، درءاً للضرر</w:t>
      </w:r>
      <w:r w:rsidR="00AB0B9E" w:rsidRPr="00C85F0F">
        <w:rPr>
          <w:rtl/>
        </w:rPr>
        <w:fldChar w:fldCharType="begin"/>
      </w:r>
      <w:r w:rsidR="003504FF" w:rsidRPr="00C85F0F">
        <w:instrText>XE</w:instrText>
      </w:r>
      <w:r w:rsidR="003504FF" w:rsidRPr="00C85F0F">
        <w:rPr>
          <w:rtl/>
        </w:rPr>
        <w:instrText xml:space="preserve"> "</w:instrText>
      </w:r>
      <w:r w:rsidR="003504FF" w:rsidRPr="00C85F0F">
        <w:rPr>
          <w:rFonts w:hint="cs"/>
          <w:rtl/>
        </w:rPr>
        <w:instrText>إذاتضمنالفسخضرراعلىأحدالطرفينفإنالعقودالجائزةتنقلبلازمةدرءاللضرر</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Style w:val="af1"/>
          <w:b w:val="0"/>
          <w:bCs w:val="0"/>
          <w:szCs w:val="32"/>
          <w:rtl/>
        </w:rPr>
        <w:t>(</w:t>
      </w:r>
      <w:r w:rsidRPr="00C85F0F">
        <w:rPr>
          <w:rStyle w:val="af1"/>
          <w:b w:val="0"/>
          <w:bCs w:val="0"/>
          <w:szCs w:val="32"/>
          <w:rtl/>
        </w:rPr>
        <w:footnoteReference w:id="979"/>
      </w:r>
      <w:r w:rsidRPr="00C85F0F">
        <w:rPr>
          <w:rStyle w:val="af1"/>
          <w:b w:val="0"/>
          <w:bCs w:val="0"/>
          <w:szCs w:val="32"/>
          <w:rtl/>
        </w:rPr>
        <w:t>)</w:t>
      </w:r>
      <w:bookmarkEnd w:id="189"/>
    </w:p>
    <w:p w:rsidR="00203C72" w:rsidRPr="00C85F0F" w:rsidRDefault="00A5641A" w:rsidP="00A8347C">
      <w:pPr>
        <w:pStyle w:val="aff3"/>
        <w:rPr>
          <w:rtl/>
        </w:rPr>
      </w:pPr>
      <w:bookmarkStart w:id="190" w:name="_Toc334046421"/>
      <w:r>
        <w:rPr>
          <w:rFonts w:hint="cs"/>
          <w:rtl/>
        </w:rPr>
        <w:t xml:space="preserve">                                          </w:t>
      </w:r>
      <w:r w:rsidR="00203C72" w:rsidRPr="00C85F0F">
        <w:rPr>
          <w:rFonts w:hint="cs"/>
          <w:rtl/>
        </w:rPr>
        <w:t>المطلب الأول</w:t>
      </w:r>
      <w:r w:rsidR="00203C72" w:rsidRPr="00C85F0F">
        <w:rPr>
          <w:rFonts w:hint="eastAsia"/>
          <w:rtl/>
        </w:rPr>
        <w:t> </w:t>
      </w:r>
      <w:r w:rsidR="00203C72" w:rsidRPr="00C85F0F">
        <w:rPr>
          <w:rFonts w:hint="cs"/>
          <w:rtl/>
        </w:rPr>
        <w:t>:</w:t>
      </w:r>
      <w:r w:rsidR="00203C72" w:rsidRPr="00C85F0F">
        <w:rPr>
          <w:rFonts w:hint="cs"/>
          <w:rtl/>
        </w:rPr>
        <w:br/>
      </w:r>
      <w:r>
        <w:rPr>
          <w:rFonts w:hint="cs"/>
          <w:rtl/>
        </w:rPr>
        <w:t xml:space="preserve">                      </w:t>
      </w:r>
      <w:r w:rsidR="009A3062">
        <w:rPr>
          <w:rFonts w:hint="cs"/>
          <w:rtl/>
        </w:rPr>
        <w:t xml:space="preserve"> </w:t>
      </w:r>
      <w:r w:rsidR="00BF452F">
        <w:rPr>
          <w:rFonts w:hint="cs"/>
          <w:rtl/>
        </w:rPr>
        <w:t xml:space="preserve"> </w:t>
      </w:r>
      <w:r w:rsidR="00203C72" w:rsidRPr="00C85F0F">
        <w:rPr>
          <w:rFonts w:hint="cs"/>
          <w:rtl/>
        </w:rPr>
        <w:t>صيغ القاعدة عند الشيخ وعند علماء القواعد</w:t>
      </w:r>
      <w:bookmarkEnd w:id="190"/>
    </w:p>
    <w:p w:rsidR="00203C72" w:rsidRPr="00C85F0F" w:rsidRDefault="00203C72" w:rsidP="00597C20">
      <w:pPr>
        <w:rPr>
          <w:rtl/>
        </w:rPr>
      </w:pPr>
      <w:r w:rsidRPr="00C85F0F">
        <w:rPr>
          <w:rFonts w:hint="cs"/>
          <w:rtl/>
        </w:rPr>
        <w:t xml:space="preserve">مما وردت به القاعدة من الصيغ عند الشيخ ابن عثيمين </w:t>
      </w:r>
      <w:r w:rsidR="00A5641A">
        <w:rPr>
          <w:rFonts w:hint="cs"/>
          <w:rtl/>
        </w:rPr>
        <w:t>_</w:t>
      </w:r>
      <w:r w:rsidR="009A0575" w:rsidRPr="005D5694">
        <w:rPr>
          <w:rFonts w:ascii="Traditional Arabic" w:hAnsi="Traditional Arabic" w:cs="CTraditional Arabic" w:hint="cs"/>
          <w:rtl/>
        </w:rPr>
        <w:t>/</w:t>
      </w:r>
      <w:r w:rsidR="00A5641A">
        <w:rPr>
          <w:rFonts w:hint="cs"/>
          <w:rtl/>
        </w:rPr>
        <w:t>_</w:t>
      </w:r>
      <w:r w:rsidRPr="00C85F0F">
        <w:rPr>
          <w:rFonts w:hint="cs"/>
          <w:rtl/>
        </w:rPr>
        <w:t>، ما يلي:</w:t>
      </w:r>
    </w:p>
    <w:p w:rsidR="00203C72" w:rsidRPr="00C85F0F" w:rsidRDefault="00203C72" w:rsidP="000A76C7">
      <w:pPr>
        <w:widowControl/>
        <w:numPr>
          <w:ilvl w:val="0"/>
          <w:numId w:val="135"/>
        </w:numPr>
        <w:autoSpaceDE w:val="0"/>
        <w:autoSpaceDN w:val="0"/>
        <w:adjustRightInd w:val="0"/>
        <w:rPr>
          <w:rFonts w:ascii="Traditional Arabic" w:hAnsi="Traditional Arabic"/>
          <w:noProof w:val="0"/>
          <w:lang w:eastAsia="en-US"/>
        </w:rPr>
      </w:pPr>
      <w:r w:rsidRPr="00C85F0F">
        <w:rPr>
          <w:rFonts w:ascii="Traditional Arabic" w:hAnsi="Traditional Arabic"/>
          <w:noProof w:val="0"/>
          <w:rtl/>
          <w:lang w:eastAsia="en-US"/>
        </w:rPr>
        <w:t>إذا تضم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الف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ضر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أح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الطر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 العقود الجائزة 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لاز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ءا</w:t>
      </w:r>
      <w:r w:rsidRPr="00C85F0F">
        <w:rPr>
          <w:rFonts w:ascii="Traditional Arabic" w:hAnsi="Traditional Arabic" w:hint="cs"/>
          <w:noProof w:val="0"/>
          <w:rtl/>
          <w:lang w:eastAsia="en-US"/>
        </w:rPr>
        <w:t>ً</w:t>
      </w:r>
      <w:r w:rsidR="00A5641A">
        <w:rPr>
          <w:rFonts w:ascii="Traditional Arabic" w:hAnsi="Traditional Arabic" w:hint="cs"/>
          <w:noProof w:val="0"/>
          <w:rtl/>
          <w:lang w:eastAsia="en-US"/>
        </w:rPr>
        <w:t xml:space="preserve"> </w:t>
      </w:r>
      <w:r w:rsidRPr="00C85F0F">
        <w:rPr>
          <w:rFonts w:ascii="Traditional Arabic" w:hAnsi="Traditional Arabic"/>
          <w:noProof w:val="0"/>
          <w:rtl/>
          <w:lang w:eastAsia="en-US"/>
        </w:rPr>
        <w:t>للض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Style w:val="af1"/>
          <w:szCs w:val="32"/>
          <w:rtl/>
        </w:rPr>
        <w:t>(</w:t>
      </w:r>
      <w:r w:rsidRPr="00C85F0F">
        <w:rPr>
          <w:rStyle w:val="af1"/>
          <w:szCs w:val="32"/>
          <w:rtl/>
        </w:rPr>
        <w:footnoteReference w:id="980"/>
      </w:r>
      <w:r w:rsidRPr="00C85F0F">
        <w:rPr>
          <w:rStyle w:val="af1"/>
          <w:szCs w:val="32"/>
          <w:rtl/>
        </w:rPr>
        <w:t>)</w:t>
      </w:r>
      <w:r w:rsidRPr="00C85F0F">
        <w:rPr>
          <w:rFonts w:ascii="Traditional Arabic" w:hAnsi="Traditional Arabic"/>
          <w:noProof w:val="0"/>
          <w:rtl/>
          <w:lang w:eastAsia="en-US"/>
        </w:rPr>
        <w:t>.</w:t>
      </w:r>
    </w:p>
    <w:p w:rsidR="00203C72" w:rsidRPr="00C85F0F" w:rsidRDefault="00203C72" w:rsidP="000A76C7">
      <w:pPr>
        <w:numPr>
          <w:ilvl w:val="0"/>
          <w:numId w:val="135"/>
        </w:numPr>
      </w:pPr>
      <w:r w:rsidRPr="00C85F0F">
        <w:rPr>
          <w:rFonts w:ascii="Traditional Arabic" w:hAnsi="Traditional Arabic"/>
          <w:noProof w:val="0"/>
          <w:rtl/>
          <w:lang w:eastAsia="en-US"/>
        </w:rPr>
        <w:t>كل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عقد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جائز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من الطرفين فإن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لكل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منهما 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إلا إذا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الإض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رار</w:t>
      </w:r>
      <w:r w:rsidRPr="00C85F0F">
        <w:rPr>
          <w:rFonts w:ascii="Traditional Arabic" w:hAnsi="Traditional Arabic" w:hint="cs"/>
          <w:noProof w:val="0"/>
          <w:rtl/>
          <w:lang w:eastAsia="en-US"/>
        </w:rPr>
        <w:t>َ</w:t>
      </w:r>
      <w:r w:rsidR="00A5641A">
        <w:rPr>
          <w:rFonts w:ascii="Traditional Arabic" w:hAnsi="Traditional Arabic" w:hint="cs"/>
          <w:noProof w:val="0"/>
          <w:rtl/>
          <w:lang w:eastAsia="en-US"/>
        </w:rPr>
        <w:t xml:space="preserve"> </w:t>
      </w:r>
      <w:r w:rsidRPr="00C85F0F">
        <w:rPr>
          <w:rFonts w:ascii="Traditional Arabic" w:hAnsi="Traditional Arabic"/>
          <w:noProof w:val="0"/>
          <w:rtl/>
          <w:lang w:eastAsia="en-US"/>
        </w:rPr>
        <w:t>بالآخ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Style w:val="af1"/>
          <w:szCs w:val="32"/>
          <w:rtl/>
        </w:rPr>
        <w:t>(</w:t>
      </w:r>
      <w:r w:rsidRPr="00C85F0F">
        <w:rPr>
          <w:rStyle w:val="af1"/>
          <w:szCs w:val="32"/>
          <w:rtl/>
        </w:rPr>
        <w:footnoteReference w:id="981"/>
      </w:r>
      <w:r w:rsidRPr="00C85F0F">
        <w:rPr>
          <w:rStyle w:val="af1"/>
          <w:szCs w:val="32"/>
          <w:rtl/>
        </w:rPr>
        <w:t>)</w:t>
      </w:r>
      <w:r w:rsidRPr="00C85F0F">
        <w:rPr>
          <w:rFonts w:hint="cs"/>
          <w:rtl/>
        </w:rPr>
        <w:t>.</w:t>
      </w:r>
    </w:p>
    <w:p w:rsidR="00203C72" w:rsidRPr="00C85F0F" w:rsidRDefault="00203C72" w:rsidP="00597C20">
      <w:pPr>
        <w:rPr>
          <w:rtl/>
        </w:rPr>
      </w:pPr>
      <w:r w:rsidRPr="00C85F0F">
        <w:rPr>
          <w:rFonts w:hint="cs"/>
          <w:rtl/>
        </w:rPr>
        <w:t>ومما وردت هذه القاعدة عند علماء القواعد:</w:t>
      </w:r>
    </w:p>
    <w:p w:rsidR="00203C72" w:rsidRPr="00C85F0F" w:rsidRDefault="00203C72" w:rsidP="000A76C7">
      <w:pPr>
        <w:pStyle w:val="afc"/>
        <w:numPr>
          <w:ilvl w:val="0"/>
          <w:numId w:val="136"/>
        </w:numPr>
      </w:pPr>
      <w:r w:rsidRPr="00C85F0F">
        <w:rPr>
          <w:rFonts w:hint="cs"/>
          <w:rtl/>
        </w:rPr>
        <w:t>العقود الجائزة إذا اقتضى فَسْخُها ضرَراً على الآخَر امْتَنَع وصارَتْ لازِمةً</w:t>
      </w:r>
      <w:r w:rsidRPr="00C85F0F">
        <w:rPr>
          <w:rStyle w:val="af1"/>
          <w:szCs w:val="32"/>
          <w:rtl/>
        </w:rPr>
        <w:t>(</w:t>
      </w:r>
      <w:r w:rsidRPr="00C85F0F">
        <w:rPr>
          <w:rStyle w:val="af1"/>
          <w:szCs w:val="32"/>
          <w:rtl/>
        </w:rPr>
        <w:footnoteReference w:id="982"/>
      </w:r>
      <w:r w:rsidRPr="00C85F0F">
        <w:rPr>
          <w:rStyle w:val="af1"/>
          <w:szCs w:val="32"/>
          <w:rtl/>
        </w:rPr>
        <w:t>)</w:t>
      </w:r>
      <w:r w:rsidRPr="00C85F0F">
        <w:rPr>
          <w:rFonts w:hint="cs"/>
          <w:rtl/>
        </w:rPr>
        <w:t>.</w:t>
      </w:r>
    </w:p>
    <w:p w:rsidR="00203C72" w:rsidRPr="00C85F0F" w:rsidRDefault="00203C72" w:rsidP="000A76C7">
      <w:pPr>
        <w:pStyle w:val="afc"/>
        <w:numPr>
          <w:ilvl w:val="0"/>
          <w:numId w:val="136"/>
        </w:numPr>
      </w:pPr>
      <w:r w:rsidRPr="00C85F0F">
        <w:rPr>
          <w:rFonts w:ascii="Traditional Arabic" w:hAnsi="Traditional Arabic"/>
          <w:noProof w:val="0"/>
          <w:rtl/>
          <w:lang w:eastAsia="en-US"/>
        </w:rPr>
        <w:t>الت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فاس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 في العقود الجائزة متى تضم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ضررا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أحد المتعاق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دين أو غير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هما مم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له تعل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بالعقد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لم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ولم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ذ</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إلا أن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استدراك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الضر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بضمان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أو نحو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w:t>
      </w:r>
      <w:r w:rsidR="00A5641A">
        <w:rPr>
          <w:rFonts w:ascii="Traditional Arabic" w:hAnsi="Traditional Arabic" w:hint="cs"/>
          <w:noProof w:val="0"/>
          <w:rtl/>
          <w:lang w:eastAsia="en-US"/>
        </w:rPr>
        <w:t xml:space="preserve">، </w:t>
      </w:r>
      <w:r w:rsidRPr="00C85F0F">
        <w:rPr>
          <w:rFonts w:ascii="Traditional Arabic" w:hAnsi="Traditional Arabic"/>
          <w:noProof w:val="0"/>
          <w:rtl/>
          <w:lang w:eastAsia="en-US"/>
        </w:rPr>
        <w:t>في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جوز</w:t>
      </w:r>
      <w:r w:rsidRPr="00C85F0F">
        <w:rPr>
          <w:rFonts w:ascii="Traditional Arabic" w:hAnsi="Traditional Arabic" w:hint="cs"/>
          <w:noProof w:val="0"/>
          <w:rtl/>
          <w:lang w:eastAsia="en-US"/>
        </w:rPr>
        <w:t>ُ</w:t>
      </w:r>
      <w:r w:rsidR="00A5641A">
        <w:rPr>
          <w:rFonts w:ascii="Traditional Arabic" w:hAnsi="Traditional Arabic" w:hint="cs"/>
          <w:noProof w:val="0"/>
          <w:rtl/>
          <w:lang w:eastAsia="en-US"/>
        </w:rPr>
        <w:t xml:space="preserve"> </w:t>
      </w:r>
      <w:r w:rsidRPr="00C85F0F">
        <w:rPr>
          <w:rFonts w:ascii="Traditional Arabic" w:hAnsi="Traditional Arabic"/>
          <w:noProof w:val="0"/>
          <w:rtl/>
          <w:lang w:eastAsia="en-US"/>
        </w:rPr>
        <w:t>على ذلك الوجه</w:t>
      </w:r>
      <w:r w:rsidRPr="00C85F0F">
        <w:rPr>
          <w:rStyle w:val="af1"/>
          <w:szCs w:val="32"/>
          <w:rtl/>
        </w:rPr>
        <w:t>(</w:t>
      </w:r>
      <w:r w:rsidRPr="00C85F0F">
        <w:rPr>
          <w:rStyle w:val="af1"/>
          <w:szCs w:val="32"/>
          <w:rtl/>
        </w:rPr>
        <w:footnoteReference w:id="983"/>
      </w:r>
      <w:r w:rsidRPr="00C85F0F">
        <w:rPr>
          <w:rStyle w:val="af1"/>
          <w:szCs w:val="32"/>
          <w:rtl/>
        </w:rPr>
        <w:t>)</w:t>
      </w:r>
      <w:r w:rsidRPr="00C85F0F">
        <w:rPr>
          <w:rFonts w:hint="cs"/>
          <w:rtl/>
        </w:rPr>
        <w:t>.</w:t>
      </w:r>
    </w:p>
    <w:p w:rsidR="00065E4B" w:rsidRPr="00C85F0F" w:rsidRDefault="00A5641A" w:rsidP="00A8347C">
      <w:pPr>
        <w:pStyle w:val="aff3"/>
        <w:rPr>
          <w:rtl/>
        </w:rPr>
      </w:pPr>
      <w:bookmarkStart w:id="191" w:name="_Toc334046422"/>
      <w:r>
        <w:rPr>
          <w:rFonts w:hint="cs"/>
          <w:rtl/>
        </w:rPr>
        <w:lastRenderedPageBreak/>
        <w:t xml:space="preserve">                                         </w:t>
      </w:r>
      <w:r w:rsidR="00203C72" w:rsidRPr="00C85F0F">
        <w:rPr>
          <w:rFonts w:hint="cs"/>
          <w:rtl/>
        </w:rPr>
        <w:t>المطلب الثاني</w:t>
      </w:r>
      <w:r w:rsidR="00203C72" w:rsidRPr="00C85F0F">
        <w:rPr>
          <w:rFonts w:hint="eastAsia"/>
          <w:rtl/>
        </w:rPr>
        <w:t> </w:t>
      </w:r>
      <w:r w:rsidR="00203C72" w:rsidRPr="00C85F0F">
        <w:rPr>
          <w:rFonts w:hint="cs"/>
          <w:rtl/>
        </w:rPr>
        <w:t>:</w:t>
      </w:r>
      <w:r w:rsidR="00203C72" w:rsidRPr="00C85F0F">
        <w:rPr>
          <w:rFonts w:hint="cs"/>
          <w:rtl/>
        </w:rPr>
        <w:br/>
      </w:r>
      <w:r>
        <w:rPr>
          <w:rFonts w:hint="cs"/>
          <w:rtl/>
        </w:rPr>
        <w:t xml:space="preserve">           </w:t>
      </w:r>
      <w:r w:rsidR="00041CA2">
        <w:rPr>
          <w:rFonts w:hint="cs"/>
          <w:rtl/>
        </w:rPr>
        <w:t xml:space="preserve">                               </w:t>
      </w:r>
      <w:r w:rsidR="00203C72" w:rsidRPr="00C85F0F">
        <w:rPr>
          <w:rFonts w:hint="cs"/>
          <w:rtl/>
        </w:rPr>
        <w:t>شرح القاعدة</w:t>
      </w:r>
      <w:bookmarkEnd w:id="191"/>
    </w:p>
    <w:p w:rsidR="00203C72" w:rsidRPr="00C85F0F" w:rsidRDefault="00065E4B" w:rsidP="0033041B">
      <w:pPr>
        <w:pStyle w:val="53"/>
        <w:rPr>
          <w:rtl/>
        </w:rPr>
      </w:pPr>
      <w:r w:rsidRPr="00C85F0F">
        <w:rPr>
          <w:rFonts w:hint="cs"/>
          <w:rtl/>
        </w:rPr>
        <w:t>أ</w:t>
      </w:r>
      <w:r w:rsidR="00203C72" w:rsidRPr="00C85F0F">
        <w:rPr>
          <w:rFonts w:hint="cs"/>
          <w:rtl/>
        </w:rPr>
        <w:t>قسام العقود من حيث اللُّزومُ وعَدَمُه:</w:t>
      </w:r>
    </w:p>
    <w:p w:rsidR="00AB1A60" w:rsidRDefault="00203C72" w:rsidP="0033041B">
      <w:pPr>
        <w:pStyle w:val="61"/>
        <w:rPr>
          <w:rtl/>
        </w:rPr>
      </w:pPr>
      <w:r w:rsidRPr="00C85F0F">
        <w:rPr>
          <w:rFonts w:hint="cs"/>
          <w:rtl/>
        </w:rPr>
        <w:t>العقود اللازمة</w:t>
      </w:r>
      <w:r w:rsidR="00AB0B9E" w:rsidRPr="00C85F0F">
        <w:fldChar w:fldCharType="begin"/>
      </w:r>
      <w:r w:rsidR="00435B0D" w:rsidRPr="00C85F0F">
        <w:instrText>XE</w:instrText>
      </w:r>
      <w:r w:rsidR="00435B0D" w:rsidRPr="00C85F0F">
        <w:rPr>
          <w:rtl/>
        </w:rPr>
        <w:instrText xml:space="preserve"> "</w:instrText>
      </w:r>
      <w:r w:rsidR="00435B0D" w:rsidRPr="00C85F0F">
        <w:rPr>
          <w:rFonts w:hint="cs"/>
          <w:rtl/>
        </w:rPr>
        <w:instrText>العقود اللازمة</w:instrText>
      </w:r>
      <w:r w:rsidR="00435B0D" w:rsidRPr="00C85F0F">
        <w:rPr>
          <w:rtl/>
        </w:rPr>
        <w:instrText>" \</w:instrText>
      </w:r>
      <w:r w:rsidR="00435B0D" w:rsidRPr="00C85F0F">
        <w:instrText>fm</w:instrText>
      </w:r>
      <w:r w:rsidR="00AB0B9E" w:rsidRPr="00C85F0F">
        <w:fldChar w:fldCharType="end"/>
      </w:r>
      <w:r>
        <w:rPr>
          <w:rFonts w:hint="cs"/>
          <w:rtl/>
        </w:rPr>
        <w:t>:</w:t>
      </w:r>
    </w:p>
    <w:p w:rsidR="00065E4B" w:rsidRDefault="00203C72" w:rsidP="00597C20">
      <w:pPr>
        <w:rPr>
          <w:rtl/>
        </w:rPr>
      </w:pPr>
      <w:r>
        <w:rPr>
          <w:rFonts w:hint="cs"/>
          <w:rtl/>
        </w:rPr>
        <w:t>وهي العقود التي لا يملك أحدُ العاقِدَين فَسْخَها دون رِضا العاقد الآخَر كالبيع والإجارة.</w:t>
      </w:r>
    </w:p>
    <w:p w:rsidR="00AB1A60" w:rsidRDefault="00065E4B" w:rsidP="00597C20">
      <w:pPr>
        <w:pStyle w:val="61"/>
        <w:rPr>
          <w:rtl/>
        </w:rPr>
      </w:pPr>
      <w:r w:rsidRPr="00112293">
        <w:rPr>
          <w:rFonts w:hint="cs"/>
          <w:rtl/>
        </w:rPr>
        <w:t>ا</w:t>
      </w:r>
      <w:r w:rsidR="00203C72" w:rsidRPr="00112293">
        <w:rPr>
          <w:rFonts w:hint="cs"/>
          <w:rtl/>
        </w:rPr>
        <w:t>لعق</w:t>
      </w:r>
      <w:r w:rsidR="00203C72">
        <w:rPr>
          <w:rFonts w:hint="cs"/>
          <w:rtl/>
        </w:rPr>
        <w:t>و</w:t>
      </w:r>
      <w:r w:rsidR="00203C72" w:rsidRPr="00112293">
        <w:rPr>
          <w:rFonts w:hint="cs"/>
          <w:rtl/>
        </w:rPr>
        <w:t>د الجائز</w:t>
      </w:r>
      <w:r w:rsidR="00203C72">
        <w:rPr>
          <w:rFonts w:hint="cs"/>
          <w:rtl/>
        </w:rPr>
        <w:t>ة</w:t>
      </w:r>
      <w:r w:rsidR="00AB0B9E">
        <w:rPr>
          <w:rtl/>
        </w:rPr>
        <w:fldChar w:fldCharType="begin"/>
      </w:r>
      <w:r w:rsidR="00435B0D" w:rsidRPr="00C85F0F">
        <w:rPr>
          <w:bCs w:val="0"/>
        </w:rPr>
        <w:instrText>XE</w:instrText>
      </w:r>
      <w:r w:rsidR="00435B0D" w:rsidRPr="00C85F0F">
        <w:rPr>
          <w:bCs w:val="0"/>
          <w:rtl/>
        </w:rPr>
        <w:instrText xml:space="preserve"> "</w:instrText>
      </w:r>
      <w:r w:rsidR="00435B0D" w:rsidRPr="00C85F0F">
        <w:rPr>
          <w:rFonts w:hint="cs"/>
          <w:bCs w:val="0"/>
          <w:rtl/>
        </w:rPr>
        <w:instrText>العقود الجائزة</w:instrText>
      </w:r>
      <w:r w:rsidR="00435B0D" w:rsidRPr="00C85F0F">
        <w:rPr>
          <w:bCs w:val="0"/>
          <w:rtl/>
        </w:rPr>
        <w:instrText>" \</w:instrText>
      </w:r>
      <w:r w:rsidR="00435B0D" w:rsidRPr="00C85F0F">
        <w:rPr>
          <w:bCs w:val="0"/>
        </w:rPr>
        <w:instrText>f</w:instrText>
      </w:r>
      <w:r w:rsidR="00435B0D" w:rsidRPr="00435B0D">
        <w:instrText>m</w:instrText>
      </w:r>
      <w:r w:rsidR="00AB0B9E">
        <w:rPr>
          <w:rtl/>
        </w:rPr>
        <w:fldChar w:fldCharType="end"/>
      </w:r>
      <w:r w:rsidR="00203C72">
        <w:rPr>
          <w:rFonts w:hint="cs"/>
          <w:rtl/>
        </w:rPr>
        <w:t>:</w:t>
      </w:r>
    </w:p>
    <w:p w:rsidR="00203C72" w:rsidRDefault="00203C72" w:rsidP="00597C20">
      <w:pPr>
        <w:ind w:firstLine="0"/>
        <w:rPr>
          <w:rtl/>
        </w:rPr>
      </w:pPr>
      <w:r>
        <w:rPr>
          <w:rFonts w:hint="cs"/>
          <w:rtl/>
        </w:rPr>
        <w:t>وهي العقود التي بطبيعتها يُمْكِن فسخ</w:t>
      </w:r>
      <w:r w:rsidR="005E1944">
        <w:rPr>
          <w:rFonts w:hint="cs"/>
          <w:rtl/>
        </w:rPr>
        <w:t>ُ</w:t>
      </w:r>
      <w:r>
        <w:rPr>
          <w:rFonts w:hint="cs"/>
          <w:rtl/>
        </w:rPr>
        <w:t>ها من قِبَل أحد المتعاقدَين، فهي غير لازمة في حقِّهما، فلكلٍّ منهما فسخها على وَجْهِ الانفِراد والاستِقلال متى شاء.</w:t>
      </w:r>
    </w:p>
    <w:p w:rsidR="00065E4B" w:rsidRDefault="00203C72" w:rsidP="00597C20">
      <w:pPr>
        <w:ind w:firstLine="720"/>
        <w:rPr>
          <w:rtl/>
        </w:rPr>
      </w:pPr>
      <w:r w:rsidRPr="00112293">
        <w:rPr>
          <w:rFonts w:hint="cs"/>
          <w:b/>
          <w:bCs/>
          <w:rtl/>
        </w:rPr>
        <w:t>وقد يكون العقد لازما</w:t>
      </w:r>
      <w:r>
        <w:rPr>
          <w:rFonts w:hint="cs"/>
          <w:b/>
          <w:bCs/>
          <w:rtl/>
        </w:rPr>
        <w:t>ً</w:t>
      </w:r>
      <w:r w:rsidRPr="00112293">
        <w:rPr>
          <w:rFonts w:hint="cs"/>
          <w:b/>
          <w:bCs/>
          <w:rtl/>
        </w:rPr>
        <w:t xml:space="preserve"> ل</w:t>
      </w:r>
      <w:r>
        <w:rPr>
          <w:rFonts w:hint="cs"/>
          <w:b/>
          <w:bCs/>
          <w:rtl/>
        </w:rPr>
        <w:t>ِ</w:t>
      </w:r>
      <w:r w:rsidRPr="00112293">
        <w:rPr>
          <w:rFonts w:hint="cs"/>
          <w:b/>
          <w:bCs/>
          <w:rtl/>
        </w:rPr>
        <w:t>أ</w:t>
      </w:r>
      <w:r>
        <w:rPr>
          <w:rFonts w:hint="cs"/>
          <w:b/>
          <w:bCs/>
          <w:rtl/>
        </w:rPr>
        <w:t>َ</w:t>
      </w:r>
      <w:r w:rsidRPr="00112293">
        <w:rPr>
          <w:rFonts w:hint="cs"/>
          <w:b/>
          <w:bCs/>
          <w:rtl/>
        </w:rPr>
        <w:t>حد العاقد</w:t>
      </w:r>
      <w:r>
        <w:rPr>
          <w:rFonts w:hint="cs"/>
          <w:b/>
          <w:bCs/>
          <w:rtl/>
        </w:rPr>
        <w:t>َ</w:t>
      </w:r>
      <w:r w:rsidRPr="00112293">
        <w:rPr>
          <w:rFonts w:hint="cs"/>
          <w:b/>
          <w:bCs/>
          <w:rtl/>
        </w:rPr>
        <w:t>ين غير</w:t>
      </w:r>
      <w:r>
        <w:rPr>
          <w:rFonts w:hint="cs"/>
          <w:b/>
          <w:bCs/>
          <w:rtl/>
        </w:rPr>
        <w:t>َ</w:t>
      </w:r>
      <w:r w:rsidRPr="00112293">
        <w:rPr>
          <w:rFonts w:hint="cs"/>
          <w:b/>
          <w:bCs/>
          <w:rtl/>
        </w:rPr>
        <w:t xml:space="preserve"> لازم</w:t>
      </w:r>
      <w:r>
        <w:rPr>
          <w:rFonts w:hint="cs"/>
          <w:b/>
          <w:bCs/>
          <w:rtl/>
        </w:rPr>
        <w:t>ٍ</w:t>
      </w:r>
      <w:r w:rsidRPr="00112293">
        <w:rPr>
          <w:rFonts w:hint="cs"/>
          <w:b/>
          <w:bCs/>
          <w:rtl/>
        </w:rPr>
        <w:t xml:space="preserve"> للعاقد الآخر</w:t>
      </w:r>
      <w:r>
        <w:rPr>
          <w:rFonts w:hint="cs"/>
          <w:rtl/>
        </w:rPr>
        <w:t>، فيستطيع هذا فسخه بينما لا يستطيع الأول ذلك، مثل عقد الرهن والكفالة، فالرهن بعد تمامه لازِمٌ بالنسبة للمَدِين لا يجوز فَسْخه، بينما هو غير لازم بالنسبة للمُرْتهِن فله أن يفسخه متى شاء. والكفالة عقد لازم بالنسبة للكفيل، غيرُ لازمٍ بالنسبة للمكفول له، فله فسخ عقد الكفالة بدون رِضا الكفيل</w:t>
      </w:r>
      <w:r w:rsidRPr="00C821A1">
        <w:rPr>
          <w:rStyle w:val="af1"/>
          <w:szCs w:val="32"/>
          <w:rtl/>
        </w:rPr>
        <w:t>(</w:t>
      </w:r>
      <w:r w:rsidRPr="00C821A1">
        <w:rPr>
          <w:rStyle w:val="af1"/>
          <w:szCs w:val="32"/>
          <w:rtl/>
        </w:rPr>
        <w:footnoteReference w:id="984"/>
      </w:r>
      <w:r w:rsidRPr="00C821A1">
        <w:rPr>
          <w:rStyle w:val="af1"/>
          <w:szCs w:val="32"/>
          <w:rtl/>
        </w:rPr>
        <w:t>)</w:t>
      </w:r>
      <w:r>
        <w:rPr>
          <w:rFonts w:hint="cs"/>
          <w:rtl/>
        </w:rPr>
        <w:t>.</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hint="cs"/>
          <w:rtl/>
        </w:rPr>
        <w:t>ي</w:t>
      </w:r>
      <w:r w:rsidR="00203C72">
        <w:rPr>
          <w:rFonts w:hint="cs"/>
          <w:rtl/>
        </w:rPr>
        <w:t xml:space="preserve">قول الشيخ ابن عثيمين </w:t>
      </w:r>
      <w:r w:rsidR="00A5641A">
        <w:rPr>
          <w:rFonts w:hint="cs"/>
          <w:rtl/>
        </w:rPr>
        <w:t>_</w:t>
      </w:r>
      <w:r w:rsidR="009A0575" w:rsidRPr="005D5694">
        <w:rPr>
          <w:rFonts w:ascii="Traditional Arabic" w:hAnsi="Traditional Arabic" w:cs="CTraditional Arabic" w:hint="cs"/>
          <w:rtl/>
        </w:rPr>
        <w:t>/</w:t>
      </w:r>
      <w:r w:rsidR="00A5641A">
        <w:rPr>
          <w:rFonts w:hint="cs"/>
          <w:rtl/>
        </w:rPr>
        <w:t>_</w:t>
      </w:r>
      <w:r w:rsidR="00203C72">
        <w:rPr>
          <w:rFonts w:hint="cs"/>
          <w:rtl/>
        </w:rPr>
        <w:t>: (</w:t>
      </w:r>
      <w:r w:rsidR="00203C72" w:rsidRPr="000774F8">
        <w:rPr>
          <w:rFonts w:ascii="Traditional Arabic" w:hAnsi="Traditional Arabic"/>
          <w:noProof w:val="0"/>
          <w:rtl/>
          <w:lang w:eastAsia="en-US"/>
        </w:rPr>
        <w:t>العقود تنقسم إلى ثلاثة أقسام:</w:t>
      </w:r>
      <w:r w:rsidR="00203C72">
        <w:rPr>
          <w:rFonts w:ascii="Traditional Arabic" w:hAnsi="Traditional Arabic" w:hint="cs"/>
          <w:noProof w:val="0"/>
          <w:rtl/>
          <w:lang w:eastAsia="en-US"/>
        </w:rPr>
        <w:t xml:space="preserve"> عقودٌ </w:t>
      </w:r>
      <w:r w:rsidR="00203C72" w:rsidRPr="000774F8">
        <w:rPr>
          <w:rFonts w:ascii="Traditional Arabic" w:hAnsi="Traditional Arabic"/>
          <w:noProof w:val="0"/>
          <w:rtl/>
          <w:lang w:eastAsia="en-US"/>
        </w:rPr>
        <w:t>لاز</w:t>
      </w:r>
      <w:r w:rsidR="00203C72">
        <w:rPr>
          <w:rFonts w:ascii="Traditional Arabic" w:hAnsi="Traditional Arabic" w:hint="cs"/>
          <w:noProof w:val="0"/>
          <w:rtl/>
          <w:lang w:eastAsia="en-US"/>
        </w:rPr>
        <w:t>ِ</w:t>
      </w:r>
      <w:r w:rsidR="00203C72" w:rsidRPr="000774F8">
        <w:rPr>
          <w:rFonts w:ascii="Traditional Arabic" w:hAnsi="Traditional Arabic"/>
          <w:noProof w:val="0"/>
          <w:rtl/>
          <w:lang w:eastAsia="en-US"/>
        </w:rPr>
        <w:t>م</w:t>
      </w:r>
      <w:r w:rsidR="00203C72">
        <w:rPr>
          <w:rFonts w:ascii="Traditional Arabic" w:hAnsi="Traditional Arabic" w:hint="cs"/>
          <w:noProof w:val="0"/>
          <w:rtl/>
          <w:lang w:eastAsia="en-US"/>
        </w:rPr>
        <w:t>ة</w:t>
      </w:r>
      <w:r w:rsidR="00203C72" w:rsidRPr="000774F8">
        <w:rPr>
          <w:rFonts w:ascii="Traditional Arabic" w:hAnsi="Traditional Arabic"/>
          <w:noProof w:val="0"/>
          <w:rtl/>
          <w:lang w:eastAsia="en-US"/>
        </w:rPr>
        <w:t xml:space="preserve"> من الطر</w:t>
      </w:r>
      <w:r w:rsidR="00203C72">
        <w:rPr>
          <w:rFonts w:ascii="Traditional Arabic" w:hAnsi="Traditional Arabic" w:hint="cs"/>
          <w:noProof w:val="0"/>
          <w:rtl/>
          <w:lang w:eastAsia="en-US"/>
        </w:rPr>
        <w:t>َ</w:t>
      </w:r>
      <w:r w:rsidR="00203C72" w:rsidRPr="000774F8">
        <w:rPr>
          <w:rFonts w:ascii="Traditional Arabic" w:hAnsi="Traditional Arabic"/>
          <w:noProof w:val="0"/>
          <w:rtl/>
          <w:lang w:eastAsia="en-US"/>
        </w:rPr>
        <w:t xml:space="preserve">فين، </w:t>
      </w:r>
      <w:r w:rsidR="00203C72">
        <w:rPr>
          <w:rFonts w:ascii="Traditional Arabic" w:hAnsi="Traditional Arabic" w:hint="cs"/>
          <w:noProof w:val="0"/>
          <w:rtl/>
          <w:lang w:eastAsia="en-US"/>
        </w:rPr>
        <w:t xml:space="preserve">وعقود </w:t>
      </w:r>
      <w:r w:rsidR="00203C72" w:rsidRPr="000774F8">
        <w:rPr>
          <w:rFonts w:ascii="Traditional Arabic" w:hAnsi="Traditional Arabic"/>
          <w:noProof w:val="0"/>
          <w:rtl/>
          <w:lang w:eastAsia="en-US"/>
        </w:rPr>
        <w:t>جائز</w:t>
      </w:r>
      <w:r w:rsidR="00203C72">
        <w:rPr>
          <w:rFonts w:ascii="Traditional Arabic" w:hAnsi="Traditional Arabic" w:hint="cs"/>
          <w:noProof w:val="0"/>
          <w:rtl/>
          <w:lang w:eastAsia="en-US"/>
        </w:rPr>
        <w:t>ة</w:t>
      </w:r>
      <w:r w:rsidR="00203C72" w:rsidRPr="000774F8">
        <w:rPr>
          <w:rFonts w:ascii="Traditional Arabic" w:hAnsi="Traditional Arabic"/>
          <w:noProof w:val="0"/>
          <w:rtl/>
          <w:lang w:eastAsia="en-US"/>
        </w:rPr>
        <w:t xml:space="preserve"> من الطر</w:t>
      </w:r>
      <w:r w:rsidR="00203C72">
        <w:rPr>
          <w:rFonts w:ascii="Traditional Arabic" w:hAnsi="Traditional Arabic" w:hint="cs"/>
          <w:noProof w:val="0"/>
          <w:rtl/>
          <w:lang w:eastAsia="en-US"/>
        </w:rPr>
        <w:t>َ</w:t>
      </w:r>
      <w:r w:rsidR="00203C72" w:rsidRPr="000774F8">
        <w:rPr>
          <w:rFonts w:ascii="Traditional Arabic" w:hAnsi="Traditional Arabic"/>
          <w:noProof w:val="0"/>
          <w:rtl/>
          <w:lang w:eastAsia="en-US"/>
        </w:rPr>
        <w:t xml:space="preserve">فين، </w:t>
      </w:r>
      <w:r w:rsidR="00203C72">
        <w:rPr>
          <w:rFonts w:ascii="Traditional Arabic" w:hAnsi="Traditional Arabic" w:hint="cs"/>
          <w:noProof w:val="0"/>
          <w:rtl/>
          <w:lang w:eastAsia="en-US"/>
        </w:rPr>
        <w:t xml:space="preserve">وعقود </w:t>
      </w:r>
      <w:r w:rsidR="00203C72" w:rsidRPr="000774F8">
        <w:rPr>
          <w:rFonts w:ascii="Traditional Arabic" w:hAnsi="Traditional Arabic"/>
          <w:noProof w:val="0"/>
          <w:rtl/>
          <w:lang w:eastAsia="en-US"/>
        </w:rPr>
        <w:t>لازم</w:t>
      </w:r>
      <w:r w:rsidR="00203C72">
        <w:rPr>
          <w:rFonts w:ascii="Traditional Arabic" w:hAnsi="Traditional Arabic" w:hint="cs"/>
          <w:noProof w:val="0"/>
          <w:rtl/>
          <w:lang w:eastAsia="en-US"/>
        </w:rPr>
        <w:t>ة</w:t>
      </w:r>
      <w:r w:rsidR="00203C72" w:rsidRPr="000774F8">
        <w:rPr>
          <w:rFonts w:ascii="Traditional Arabic" w:hAnsi="Traditional Arabic"/>
          <w:noProof w:val="0"/>
          <w:rtl/>
          <w:lang w:eastAsia="en-US"/>
        </w:rPr>
        <w:t xml:space="preserve"> من طر</w:t>
      </w:r>
      <w:r w:rsidR="00203C72">
        <w:rPr>
          <w:rFonts w:ascii="Traditional Arabic" w:hAnsi="Traditional Arabic" w:hint="cs"/>
          <w:noProof w:val="0"/>
          <w:rtl/>
          <w:lang w:eastAsia="en-US"/>
        </w:rPr>
        <w:t>َ</w:t>
      </w:r>
      <w:r w:rsidR="00203C72" w:rsidRPr="000774F8">
        <w:rPr>
          <w:rFonts w:ascii="Traditional Arabic" w:hAnsi="Traditional Arabic"/>
          <w:noProof w:val="0"/>
          <w:rtl/>
          <w:lang w:eastAsia="en-US"/>
        </w:rPr>
        <w:t>ف</w:t>
      </w:r>
      <w:r w:rsidR="00203C72">
        <w:rPr>
          <w:rFonts w:ascii="Traditional Arabic" w:hAnsi="Traditional Arabic" w:hint="cs"/>
          <w:noProof w:val="0"/>
          <w:rtl/>
          <w:lang w:eastAsia="en-US"/>
        </w:rPr>
        <w:t>ٍ</w:t>
      </w:r>
      <w:r w:rsidR="00203C72" w:rsidRPr="000774F8">
        <w:rPr>
          <w:rFonts w:ascii="Traditional Arabic" w:hAnsi="Traditional Arabic"/>
          <w:noProof w:val="0"/>
          <w:rtl/>
          <w:lang w:eastAsia="en-US"/>
        </w:rPr>
        <w:t xml:space="preserve"> دون آخر، وذلك حس</w:t>
      </w:r>
      <w:r w:rsidR="00203C72">
        <w:rPr>
          <w:rFonts w:ascii="Traditional Arabic" w:hAnsi="Traditional Arabic" w:hint="cs"/>
          <w:noProof w:val="0"/>
          <w:rtl/>
          <w:lang w:eastAsia="en-US"/>
        </w:rPr>
        <w:t>َ</w:t>
      </w:r>
      <w:r w:rsidR="00203C72" w:rsidRPr="000774F8">
        <w:rPr>
          <w:rFonts w:ascii="Traditional Arabic" w:hAnsi="Traditional Arabic"/>
          <w:noProof w:val="0"/>
          <w:rtl/>
          <w:lang w:eastAsia="en-US"/>
        </w:rPr>
        <w:t>ب ما تقتضيه الأدلة الشرعية</w:t>
      </w:r>
      <w:r w:rsidR="00203C72">
        <w:rPr>
          <w:rFonts w:ascii="Traditional Arabic" w:hAnsi="Traditional Arabic" w:hint="cs"/>
          <w:noProof w:val="0"/>
          <w:rtl/>
          <w:lang w:eastAsia="en-US"/>
        </w:rPr>
        <w:t>)</w:t>
      </w:r>
      <w:r w:rsidR="00203C72" w:rsidRPr="00C821A1">
        <w:rPr>
          <w:rStyle w:val="af1"/>
          <w:szCs w:val="32"/>
          <w:rtl/>
        </w:rPr>
        <w:t>(</w:t>
      </w:r>
      <w:r w:rsidR="00203C72" w:rsidRPr="00C821A1">
        <w:rPr>
          <w:rStyle w:val="af1"/>
          <w:szCs w:val="32"/>
          <w:rtl/>
        </w:rPr>
        <w:footnoteReference w:id="985"/>
      </w:r>
      <w:r w:rsidR="00203C72" w:rsidRPr="00C821A1">
        <w:rPr>
          <w:rStyle w:val="af1"/>
          <w:szCs w:val="32"/>
          <w:rtl/>
        </w:rPr>
        <w:t>)</w:t>
      </w:r>
      <w:r w:rsidR="00203C72" w:rsidRPr="000774F8">
        <w:rPr>
          <w:rFonts w:ascii="Traditional Arabic" w:hAnsi="Traditional Arabic"/>
          <w:noProof w:val="0"/>
          <w:rtl/>
          <w:lang w:eastAsia="en-US"/>
        </w:rPr>
        <w:t>.</w:t>
      </w:r>
    </w:p>
    <w:p w:rsidR="00065E4B" w:rsidRPr="000A4B68" w:rsidRDefault="00065E4B" w:rsidP="00597C20">
      <w:pPr>
        <w:widowControl/>
        <w:autoSpaceDE w:val="0"/>
        <w:autoSpaceDN w:val="0"/>
        <w:adjustRightInd w:val="0"/>
        <w:ind w:firstLine="720"/>
        <w:rPr>
          <w:rFonts w:ascii="Traditional Arabic" w:hAnsi="Traditional Arabic"/>
          <w:b/>
          <w:bCs/>
          <w:noProof w:val="0"/>
          <w:sz w:val="44"/>
          <w:szCs w:val="44"/>
          <w:rtl/>
          <w:lang w:eastAsia="en-US"/>
        </w:rPr>
      </w:pPr>
      <w:r>
        <w:rPr>
          <w:rFonts w:ascii="Traditional Arabic" w:hAnsi="Traditional Arabic" w:hint="cs"/>
          <w:noProof w:val="0"/>
          <w:rtl/>
          <w:lang w:eastAsia="en-US"/>
        </w:rPr>
        <w:t>و</w:t>
      </w:r>
      <w:r w:rsidR="00203C72">
        <w:rPr>
          <w:rFonts w:ascii="Traditional Arabic" w:hAnsi="Traditional Arabic" w:hint="cs"/>
          <w:noProof w:val="0"/>
          <w:rtl/>
          <w:lang w:eastAsia="en-US"/>
        </w:rPr>
        <w:t xml:space="preserve">عرّف </w:t>
      </w:r>
      <w:r w:rsidR="00203C72" w:rsidRPr="00082F4B">
        <w:rPr>
          <w:rFonts w:ascii="Traditional Arabic" w:hAnsi="Traditional Arabic" w:hint="cs"/>
          <w:noProof w:val="0"/>
          <w:rtl/>
          <w:lang w:eastAsia="en-US"/>
        </w:rPr>
        <w:t>العقود الجائزة</w:t>
      </w:r>
      <w:r w:rsidR="00203C72">
        <w:rPr>
          <w:rFonts w:ascii="Traditional Arabic" w:hAnsi="Traditional Arabic" w:hint="cs"/>
          <w:noProof w:val="0"/>
          <w:rtl/>
          <w:lang w:eastAsia="en-US"/>
        </w:rPr>
        <w:t xml:space="preserve"> بأنها</w:t>
      </w:r>
      <w:r w:rsidR="00203C72">
        <w:rPr>
          <w:rFonts w:ascii="Traditional Arabic" w:hAnsi="Traditional Arabic"/>
          <w:noProof w:val="0"/>
          <w:rtl/>
          <w:lang w:eastAsia="en-US"/>
        </w:rPr>
        <w:t xml:space="preserve"> ال</w:t>
      </w:r>
      <w:r w:rsidR="00203C72">
        <w:rPr>
          <w:rFonts w:ascii="Traditional Arabic" w:hAnsi="Traditional Arabic" w:hint="cs"/>
          <w:noProof w:val="0"/>
          <w:rtl/>
          <w:lang w:eastAsia="en-US"/>
        </w:rPr>
        <w:t>تي</w:t>
      </w:r>
      <w:r w:rsidR="00203C72" w:rsidRPr="000A4B68">
        <w:rPr>
          <w:rFonts w:ascii="Traditional Arabic" w:hAnsi="Traditional Arabic"/>
          <w:noProof w:val="0"/>
          <w:rtl/>
          <w:lang w:eastAsia="en-US"/>
        </w:rPr>
        <w:t xml:space="preserve"> يملك كل</w:t>
      </w:r>
      <w:r w:rsidR="00203C72">
        <w:rPr>
          <w:rFonts w:ascii="Traditional Arabic" w:hAnsi="Traditional Arabic" w:hint="cs"/>
          <w:noProof w:val="0"/>
          <w:rtl/>
          <w:lang w:eastAsia="en-US"/>
        </w:rPr>
        <w:t>ُّ</w:t>
      </w:r>
      <w:r w:rsidR="00203C72" w:rsidRPr="000A4B68">
        <w:rPr>
          <w:rFonts w:ascii="Traditional Arabic" w:hAnsi="Traditional Arabic"/>
          <w:noProof w:val="0"/>
          <w:rtl/>
          <w:lang w:eastAsia="en-US"/>
        </w:rPr>
        <w:t xml:space="preserve"> واحد</w:t>
      </w:r>
      <w:r w:rsidR="00203C72">
        <w:rPr>
          <w:rFonts w:ascii="Traditional Arabic" w:hAnsi="Traditional Arabic" w:hint="cs"/>
          <w:noProof w:val="0"/>
          <w:rtl/>
          <w:lang w:eastAsia="en-US"/>
        </w:rPr>
        <w:t>ٍ</w:t>
      </w:r>
      <w:r w:rsidR="00203C72" w:rsidRPr="000A4B68">
        <w:rPr>
          <w:rFonts w:ascii="Traditional Arabic" w:hAnsi="Traditional Arabic"/>
          <w:noProof w:val="0"/>
          <w:rtl/>
          <w:lang w:eastAsia="en-US"/>
        </w:rPr>
        <w:t xml:space="preserve"> من المتعاقد</w:t>
      </w:r>
      <w:r w:rsidR="00203C72">
        <w:rPr>
          <w:rFonts w:ascii="Traditional Arabic" w:hAnsi="Traditional Arabic" w:hint="cs"/>
          <w:noProof w:val="0"/>
          <w:rtl/>
          <w:lang w:eastAsia="en-US"/>
        </w:rPr>
        <w:t>َ</w:t>
      </w:r>
      <w:r w:rsidR="00203C72" w:rsidRPr="000A4B68">
        <w:rPr>
          <w:rFonts w:ascii="Traditional Arabic" w:hAnsi="Traditional Arabic"/>
          <w:noProof w:val="0"/>
          <w:rtl/>
          <w:lang w:eastAsia="en-US"/>
        </w:rPr>
        <w:t>ين ف</w:t>
      </w:r>
      <w:r w:rsidR="00203C72">
        <w:rPr>
          <w:rFonts w:ascii="Traditional Arabic" w:hAnsi="Traditional Arabic" w:hint="cs"/>
          <w:noProof w:val="0"/>
          <w:rtl/>
          <w:lang w:eastAsia="en-US"/>
        </w:rPr>
        <w:t>َ</w:t>
      </w:r>
      <w:r w:rsidR="00203C72" w:rsidRPr="000A4B68">
        <w:rPr>
          <w:rFonts w:ascii="Traditional Arabic" w:hAnsi="Traditional Arabic"/>
          <w:noProof w:val="0"/>
          <w:rtl/>
          <w:lang w:eastAsia="en-US"/>
        </w:rPr>
        <w:t>س</w:t>
      </w:r>
      <w:r w:rsidR="00203C72">
        <w:rPr>
          <w:rFonts w:ascii="Traditional Arabic" w:hAnsi="Traditional Arabic" w:hint="cs"/>
          <w:noProof w:val="0"/>
          <w:rtl/>
          <w:lang w:eastAsia="en-US"/>
        </w:rPr>
        <w:t>ْ</w:t>
      </w:r>
      <w:r w:rsidR="00203C72" w:rsidRPr="000A4B68">
        <w:rPr>
          <w:rFonts w:ascii="Traditional Arabic" w:hAnsi="Traditional Arabic"/>
          <w:noProof w:val="0"/>
          <w:rtl/>
          <w:lang w:eastAsia="en-US"/>
        </w:rPr>
        <w:t>خ</w:t>
      </w:r>
      <w:r w:rsidR="00203C72">
        <w:rPr>
          <w:rFonts w:ascii="Traditional Arabic" w:hAnsi="Traditional Arabic" w:hint="cs"/>
          <w:noProof w:val="0"/>
          <w:rtl/>
          <w:lang w:eastAsia="en-US"/>
        </w:rPr>
        <w:t>َ</w:t>
      </w:r>
      <w:r w:rsidR="00203C72" w:rsidRPr="000A4B68">
        <w:rPr>
          <w:rFonts w:ascii="Traditional Arabic" w:hAnsi="Traditional Arabic"/>
          <w:noProof w:val="0"/>
          <w:rtl/>
          <w:lang w:eastAsia="en-US"/>
        </w:rPr>
        <w:t>ه</w:t>
      </w:r>
      <w:r w:rsidR="00203C72">
        <w:rPr>
          <w:rFonts w:ascii="Traditional Arabic" w:hAnsi="Traditional Arabic" w:hint="cs"/>
          <w:noProof w:val="0"/>
          <w:rtl/>
          <w:lang w:eastAsia="en-US"/>
        </w:rPr>
        <w:t>ا</w:t>
      </w:r>
      <w:r w:rsidR="00203C72" w:rsidRPr="000A4B68">
        <w:rPr>
          <w:rFonts w:ascii="Traditional Arabic" w:hAnsi="Traditional Arabic"/>
          <w:noProof w:val="0"/>
          <w:rtl/>
          <w:lang w:eastAsia="en-US"/>
        </w:rPr>
        <w:t xml:space="preserve"> بدون ر</w:t>
      </w:r>
      <w:r w:rsidR="00203C72">
        <w:rPr>
          <w:rFonts w:ascii="Traditional Arabic" w:hAnsi="Traditional Arabic" w:hint="cs"/>
          <w:noProof w:val="0"/>
          <w:rtl/>
          <w:lang w:eastAsia="en-US"/>
        </w:rPr>
        <w:t>ِ</w:t>
      </w:r>
      <w:r w:rsidR="00203C72">
        <w:rPr>
          <w:rFonts w:ascii="Traditional Arabic" w:hAnsi="Traditional Arabic"/>
          <w:noProof w:val="0"/>
          <w:rtl/>
          <w:lang w:eastAsia="en-US"/>
        </w:rPr>
        <w:t>ضا الآخر، ولا إذنه</w:t>
      </w:r>
      <w:r w:rsidR="00203C72" w:rsidRPr="00C821A1">
        <w:rPr>
          <w:rStyle w:val="af1"/>
          <w:szCs w:val="32"/>
          <w:rtl/>
        </w:rPr>
        <w:t>(</w:t>
      </w:r>
      <w:r w:rsidR="00203C72" w:rsidRPr="00C821A1">
        <w:rPr>
          <w:rStyle w:val="af1"/>
          <w:szCs w:val="32"/>
          <w:rtl/>
        </w:rPr>
        <w:footnoteReference w:id="986"/>
      </w:r>
      <w:r w:rsidR="00203C72" w:rsidRPr="00C821A1">
        <w:rPr>
          <w:rStyle w:val="af1"/>
          <w:szCs w:val="32"/>
          <w:rtl/>
        </w:rPr>
        <w:t>)</w:t>
      </w:r>
      <w:r w:rsidR="00203C72">
        <w:rPr>
          <w:rFonts w:ascii="Traditional Arabic" w:hAnsi="Traditional Arabic" w:hint="cs"/>
          <w:noProof w:val="0"/>
          <w:rtl/>
          <w:lang w:eastAsia="en-US"/>
        </w:rPr>
        <w:t>.</w:t>
      </w:r>
    </w:p>
    <w:p w:rsidR="00065E4B" w:rsidRDefault="00065E4B" w:rsidP="00597C20">
      <w:pPr>
        <w:pStyle w:val="53"/>
        <w:rPr>
          <w:rtl/>
        </w:rPr>
      </w:pPr>
      <w:r>
        <w:rPr>
          <w:rFonts w:hint="cs"/>
          <w:rtl/>
        </w:rPr>
        <w:lastRenderedPageBreak/>
        <w:t>م</w:t>
      </w:r>
      <w:r w:rsidR="00203C72">
        <w:rPr>
          <w:rFonts w:hint="cs"/>
          <w:rtl/>
        </w:rPr>
        <w:t>عنى القاعدة إجمالا:</w:t>
      </w:r>
    </w:p>
    <w:p w:rsidR="00203C72" w:rsidRPr="00AB1A60" w:rsidRDefault="00065E4B" w:rsidP="00597C20">
      <w:pPr>
        <w:widowControl/>
        <w:autoSpaceDE w:val="0"/>
        <w:autoSpaceDN w:val="0"/>
        <w:adjustRightInd w:val="0"/>
        <w:ind w:firstLine="720"/>
        <w:rPr>
          <w:rFonts w:ascii="Simplified Arabic" w:hAnsi="Simplified Arabic" w:cs="Simplified Arabic"/>
          <w:noProof w:val="0"/>
          <w:color w:val="auto"/>
          <w:rtl/>
          <w:lang w:eastAsia="en-US"/>
        </w:rPr>
      </w:pPr>
      <w:r>
        <w:rPr>
          <w:rFonts w:ascii="Traditional Arabic" w:hAnsi="Traditional Arabic" w:hint="cs"/>
          <w:noProof w:val="0"/>
          <w:rtl/>
          <w:lang w:eastAsia="en-US"/>
        </w:rPr>
        <w:t>ه</w:t>
      </w:r>
      <w:r w:rsidR="00203C72">
        <w:rPr>
          <w:rFonts w:ascii="Traditional Arabic" w:hAnsi="Traditional Arabic" w:hint="cs"/>
          <w:noProof w:val="0"/>
          <w:rtl/>
          <w:lang w:eastAsia="en-US"/>
        </w:rPr>
        <w:t xml:space="preserve">ذه </w:t>
      </w:r>
      <w:r w:rsidR="00203C72">
        <w:rPr>
          <w:rFonts w:ascii="Traditional Arabic" w:hAnsi="Traditional Arabic"/>
          <w:noProof w:val="0"/>
          <w:rtl/>
          <w:lang w:eastAsia="en-US"/>
        </w:rPr>
        <w:t xml:space="preserve">القاعدة </w:t>
      </w:r>
      <w:r w:rsidR="00203C72">
        <w:rPr>
          <w:rFonts w:ascii="Traditional Arabic" w:hAnsi="Traditional Arabic" w:hint="cs"/>
          <w:noProof w:val="0"/>
          <w:rtl/>
          <w:lang w:eastAsia="en-US"/>
        </w:rPr>
        <w:t>تُعَدُّ ك</w:t>
      </w:r>
      <w:r w:rsidR="00203C72">
        <w:rPr>
          <w:rFonts w:ascii="Traditional Arabic" w:hAnsi="Traditional Arabic"/>
          <w:noProof w:val="0"/>
          <w:rtl/>
          <w:lang w:eastAsia="en-US"/>
        </w:rPr>
        <w:t>ق</w:t>
      </w:r>
      <w:r w:rsidR="00203C72">
        <w:rPr>
          <w:rFonts w:ascii="Traditional Arabic" w:hAnsi="Traditional Arabic" w:hint="cs"/>
          <w:noProof w:val="0"/>
          <w:rtl/>
          <w:lang w:eastAsia="en-US"/>
        </w:rPr>
        <w:t>َ</w:t>
      </w:r>
      <w:r w:rsidR="00203C72">
        <w:rPr>
          <w:rFonts w:ascii="Traditional Arabic" w:hAnsi="Traditional Arabic"/>
          <w:noProof w:val="0"/>
          <w:rtl/>
          <w:lang w:eastAsia="en-US"/>
        </w:rPr>
        <w:t>ي</w:t>
      </w:r>
      <w:r w:rsidR="00203C72" w:rsidRPr="00727F1B">
        <w:rPr>
          <w:rFonts w:ascii="Traditional Arabic" w:hAnsi="Traditional Arabic"/>
          <w:noProof w:val="0"/>
          <w:rtl/>
          <w:lang w:eastAsia="en-US"/>
        </w:rPr>
        <w:t>د</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 xml:space="preserve"> ل</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ج</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واز فسخ</w:t>
      </w:r>
      <w:r w:rsidR="00D56CA7">
        <w:rPr>
          <w:rFonts w:ascii="Traditional Arabic" w:hAnsi="Traditional Arabic" w:hint="cs"/>
          <w:noProof w:val="0"/>
          <w:rtl/>
          <w:lang w:eastAsia="en-US"/>
        </w:rPr>
        <w:t xml:space="preserve"> </w:t>
      </w:r>
      <w:r w:rsidR="00203C72" w:rsidRPr="00727F1B">
        <w:rPr>
          <w:rFonts w:ascii="Traditional Arabic" w:hAnsi="Traditional Arabic"/>
          <w:noProof w:val="0"/>
          <w:rtl/>
          <w:lang w:eastAsia="en-US"/>
        </w:rPr>
        <w:t>العقود الجائزة</w:t>
      </w:r>
      <w:r w:rsidR="00203C72">
        <w:rPr>
          <w:rFonts w:ascii="Traditional Arabic" w:hAnsi="Traditional Arabic" w:hint="cs"/>
          <w:noProof w:val="0"/>
          <w:rtl/>
          <w:lang w:eastAsia="en-US"/>
        </w:rPr>
        <w:t>، وذلك</w:t>
      </w:r>
      <w:r w:rsidR="00203C72" w:rsidRPr="00727F1B">
        <w:rPr>
          <w:rFonts w:ascii="Traditional Arabic" w:hAnsi="Traditional Arabic"/>
          <w:noProof w:val="0"/>
          <w:rtl/>
          <w:lang w:eastAsia="en-US"/>
        </w:rPr>
        <w:t xml:space="preserve"> بألا يتضم</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ن الفسخ إضرارا</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 xml:space="preserve"> بأحد المتعاقدين، أو بم</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ن له تعل</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ق</w:t>
      </w:r>
      <w:r w:rsidR="00203C72">
        <w:rPr>
          <w:rFonts w:ascii="Traditional Arabic" w:hAnsi="Traditional Arabic" w:hint="cs"/>
          <w:noProof w:val="0"/>
          <w:rtl/>
          <w:lang w:eastAsia="en-US"/>
        </w:rPr>
        <w:t>ٌ</w:t>
      </w:r>
      <w:r w:rsidR="00203C72">
        <w:rPr>
          <w:rFonts w:ascii="Traditional Arabic" w:hAnsi="Traditional Arabic"/>
          <w:noProof w:val="0"/>
          <w:rtl/>
          <w:lang w:eastAsia="en-US"/>
        </w:rPr>
        <w:t xml:space="preserve"> بالعقد</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 xml:space="preserve"> بحيث إذا و</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جد الضرر لم يصح</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 xml:space="preserve"> الف</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س</w:t>
      </w:r>
      <w:r w:rsidR="00203C72">
        <w:rPr>
          <w:rFonts w:ascii="Traditional Arabic" w:hAnsi="Traditional Arabic" w:hint="cs"/>
          <w:noProof w:val="0"/>
          <w:rtl/>
          <w:lang w:eastAsia="en-US"/>
        </w:rPr>
        <w:t>ْ</w:t>
      </w:r>
      <w:r w:rsidR="00203C72" w:rsidRPr="00727F1B">
        <w:rPr>
          <w:rFonts w:ascii="Traditional Arabic" w:hAnsi="Traditional Arabic"/>
          <w:noProof w:val="0"/>
          <w:rtl/>
          <w:lang w:eastAsia="en-US"/>
        </w:rPr>
        <w:t>خ</w:t>
      </w:r>
      <w:r w:rsidR="00203C72">
        <w:rPr>
          <w:rFonts w:ascii="Traditional Arabic" w:hAnsi="Traditional Arabic" w:hint="cs"/>
          <w:noProof w:val="0"/>
          <w:rtl/>
          <w:lang w:eastAsia="en-US"/>
        </w:rPr>
        <w:t xml:space="preserve"> وصار العقد لازماً في حقِّ المُضِرِّ؛ </w:t>
      </w:r>
      <w:r w:rsidR="00203C72" w:rsidRPr="008D19CB">
        <w:rPr>
          <w:rFonts w:ascii="Traditional Arabic" w:hAnsi="Traditional Arabic"/>
          <w:noProof w:val="0"/>
          <w:rtl/>
          <w:lang w:eastAsia="en-US"/>
        </w:rPr>
        <w:t>لأن جميع المباحات من عقود وأفعال إذا تضم</w:t>
      </w:r>
      <w:r w:rsidR="00203C72">
        <w:rPr>
          <w:rFonts w:ascii="Traditional Arabic" w:hAnsi="Traditional Arabic" w:hint="cs"/>
          <w:noProof w:val="0"/>
          <w:rtl/>
          <w:lang w:eastAsia="en-US"/>
        </w:rPr>
        <w:t>َّ</w:t>
      </w:r>
      <w:r w:rsidR="00203C72" w:rsidRPr="008D19CB">
        <w:rPr>
          <w:rFonts w:ascii="Traditional Arabic" w:hAnsi="Traditional Arabic"/>
          <w:noProof w:val="0"/>
          <w:rtl/>
          <w:lang w:eastAsia="en-US"/>
        </w:rPr>
        <w:t>نت</w:t>
      </w:r>
      <w:r w:rsidR="00203C72">
        <w:rPr>
          <w:rFonts w:ascii="Traditional Arabic" w:hAnsi="Traditional Arabic" w:hint="cs"/>
          <w:noProof w:val="0"/>
          <w:rtl/>
          <w:lang w:eastAsia="en-US"/>
        </w:rPr>
        <w:t>ْ</w:t>
      </w:r>
      <w:r w:rsidR="00203C72" w:rsidRPr="008D19CB">
        <w:rPr>
          <w:rFonts w:ascii="Traditional Arabic" w:hAnsi="Traditional Arabic"/>
          <w:noProof w:val="0"/>
          <w:rtl/>
          <w:lang w:eastAsia="en-US"/>
        </w:rPr>
        <w:t xml:space="preserve"> ضررا</w:t>
      </w:r>
      <w:r w:rsidR="00203C72">
        <w:rPr>
          <w:rFonts w:ascii="Traditional Arabic" w:hAnsi="Traditional Arabic" w:hint="cs"/>
          <w:noProof w:val="0"/>
          <w:rtl/>
          <w:lang w:eastAsia="en-US"/>
        </w:rPr>
        <w:t>ً</w:t>
      </w:r>
      <w:r w:rsidR="00203C72" w:rsidRPr="008D19CB">
        <w:rPr>
          <w:rFonts w:ascii="Traditional Arabic" w:hAnsi="Traditional Arabic"/>
          <w:noProof w:val="0"/>
          <w:rtl/>
          <w:lang w:eastAsia="en-US"/>
        </w:rPr>
        <w:t xml:space="preserve"> على الآخرين صارت</w:t>
      </w:r>
      <w:r w:rsidR="00203C72">
        <w:rPr>
          <w:rFonts w:ascii="Traditional Arabic" w:hAnsi="Traditional Arabic" w:hint="cs"/>
          <w:noProof w:val="0"/>
          <w:rtl/>
          <w:lang w:eastAsia="en-US"/>
        </w:rPr>
        <w:t>ْ</w:t>
      </w:r>
      <w:r w:rsidR="00203C72" w:rsidRPr="008D19CB">
        <w:rPr>
          <w:rFonts w:ascii="Traditional Arabic" w:hAnsi="Traditional Arabic"/>
          <w:noProof w:val="0"/>
          <w:rtl/>
          <w:lang w:eastAsia="en-US"/>
        </w:rPr>
        <w:t xml:space="preserve"> ممنوعة</w:t>
      </w:r>
      <w:r w:rsidR="00203C72">
        <w:rPr>
          <w:rFonts w:ascii="Traditional Arabic" w:hAnsi="Traditional Arabic" w:hint="cs"/>
          <w:noProof w:val="0"/>
          <w:rtl/>
          <w:lang w:eastAsia="en-US"/>
        </w:rPr>
        <w:t>ً</w:t>
      </w:r>
      <w:r w:rsidR="00203C72" w:rsidRPr="00C821A1">
        <w:rPr>
          <w:rStyle w:val="af1"/>
          <w:color w:val="auto"/>
          <w:szCs w:val="32"/>
          <w:rtl/>
        </w:rPr>
        <w:t>(</w:t>
      </w:r>
      <w:r w:rsidR="00203C72" w:rsidRPr="00C821A1">
        <w:rPr>
          <w:rStyle w:val="af1"/>
          <w:color w:val="auto"/>
          <w:szCs w:val="32"/>
          <w:rtl/>
        </w:rPr>
        <w:footnoteReference w:id="987"/>
      </w:r>
      <w:r w:rsidR="00203C72" w:rsidRPr="00C821A1">
        <w:rPr>
          <w:rStyle w:val="af1"/>
          <w:color w:val="auto"/>
          <w:szCs w:val="32"/>
          <w:rtl/>
        </w:rPr>
        <w:t>)</w:t>
      </w:r>
      <w:r w:rsidR="00203C72" w:rsidRPr="00AB1A60">
        <w:rPr>
          <w:rFonts w:ascii="Traditional Arabic" w:hAnsi="Traditional Arabic"/>
          <w:noProof w:val="0"/>
          <w:color w:val="auto"/>
          <w:rtl/>
          <w:lang w:eastAsia="en-US"/>
        </w:rPr>
        <w:t>.</w:t>
      </w:r>
    </w:p>
    <w:p w:rsidR="00065E4B" w:rsidRPr="00203C72" w:rsidRDefault="00D56CA7" w:rsidP="00A8347C">
      <w:pPr>
        <w:pStyle w:val="aff3"/>
        <w:rPr>
          <w:rtl/>
        </w:rPr>
      </w:pPr>
      <w:bookmarkStart w:id="192" w:name="_Toc334046423"/>
      <w:r>
        <w:rPr>
          <w:rFonts w:hint="cs"/>
          <w:rtl/>
        </w:rPr>
        <w:t xml:space="preserve">           </w:t>
      </w:r>
      <w:r w:rsidR="00005E96">
        <w:rPr>
          <w:rFonts w:hint="cs"/>
          <w:rtl/>
        </w:rPr>
        <w:t xml:space="preserve">                              </w:t>
      </w:r>
      <w:r w:rsidR="00203C72" w:rsidRPr="00203C72">
        <w:rPr>
          <w:rFonts w:hint="cs"/>
          <w:rtl/>
        </w:rPr>
        <w:t>المطلب الثالث</w:t>
      </w:r>
      <w:r w:rsidR="00203C72">
        <w:rPr>
          <w:rFonts w:hint="eastAsia"/>
          <w:rtl/>
        </w:rPr>
        <w:t> :</w:t>
      </w:r>
      <w:r w:rsidR="00203C72">
        <w:rPr>
          <w:rFonts w:hint="cs"/>
          <w:rtl/>
        </w:rPr>
        <w:br/>
      </w:r>
      <w:r>
        <w:rPr>
          <w:rFonts w:hint="cs"/>
          <w:rtl/>
        </w:rPr>
        <w:t xml:space="preserve">               </w:t>
      </w:r>
      <w:r w:rsidR="00005E96">
        <w:rPr>
          <w:rFonts w:hint="cs"/>
          <w:rtl/>
        </w:rPr>
        <w:t xml:space="preserve">                            </w:t>
      </w:r>
      <w:r w:rsidR="00203C72" w:rsidRPr="00203C72">
        <w:rPr>
          <w:rFonts w:hint="cs"/>
          <w:rtl/>
        </w:rPr>
        <w:t>أدلة القاعدة</w:t>
      </w:r>
      <w:bookmarkEnd w:id="192"/>
    </w:p>
    <w:p w:rsidR="00203C72" w:rsidRDefault="00065E4B" w:rsidP="00597C20">
      <w:pPr>
        <w:widowControl/>
        <w:autoSpaceDE w:val="0"/>
        <w:autoSpaceDN w:val="0"/>
        <w:adjustRightInd w:val="0"/>
        <w:ind w:firstLine="720"/>
        <w:rPr>
          <w:rFonts w:ascii="Traditional Arabic" w:hAnsi="Traditional Arabic"/>
          <w:noProof w:val="0"/>
          <w:rtl/>
          <w:lang w:eastAsia="en-US"/>
        </w:rPr>
      </w:pPr>
      <w:r w:rsidRPr="006C477C">
        <w:rPr>
          <w:rFonts w:ascii="Traditional Arabic" w:hAnsi="Traditional Arabic" w:hint="cs"/>
          <w:noProof w:val="0"/>
          <w:rtl/>
          <w:lang w:eastAsia="en-US"/>
        </w:rPr>
        <w:t>ه</w:t>
      </w:r>
      <w:r w:rsidR="00203C72" w:rsidRPr="006C477C">
        <w:rPr>
          <w:rFonts w:ascii="Traditional Arabic" w:hAnsi="Traditional Arabic" w:hint="cs"/>
          <w:noProof w:val="0"/>
          <w:rtl/>
          <w:lang w:eastAsia="en-US"/>
        </w:rPr>
        <w:t>ذه القاعدة ي</w:t>
      </w:r>
      <w:r w:rsidR="00203C72" w:rsidRPr="006C477C">
        <w:rPr>
          <w:rFonts w:ascii="Traditional Arabic" w:hAnsi="Traditional Arabic"/>
          <w:noProof w:val="0"/>
          <w:rtl/>
          <w:lang w:eastAsia="en-US"/>
        </w:rPr>
        <w:t>مكن اعتبار</w:t>
      </w:r>
      <w:r w:rsidR="00203C72">
        <w:rPr>
          <w:rFonts w:ascii="Traditional Arabic" w:hAnsi="Traditional Arabic" w:hint="cs"/>
          <w:noProof w:val="0"/>
          <w:rtl/>
          <w:lang w:eastAsia="en-US"/>
        </w:rPr>
        <w:t>ُ</w:t>
      </w:r>
      <w:r w:rsidR="00203C72" w:rsidRPr="006C477C">
        <w:rPr>
          <w:rFonts w:ascii="Traditional Arabic" w:hAnsi="Traditional Arabic"/>
          <w:noProof w:val="0"/>
          <w:rtl/>
          <w:lang w:eastAsia="en-US"/>
        </w:rPr>
        <w:t>ها مندرجة</w:t>
      </w:r>
      <w:r w:rsidR="00203C72">
        <w:rPr>
          <w:rFonts w:ascii="Traditional Arabic" w:hAnsi="Traditional Arabic" w:hint="cs"/>
          <w:noProof w:val="0"/>
          <w:rtl/>
          <w:lang w:eastAsia="en-US"/>
        </w:rPr>
        <w:t>ً</w:t>
      </w:r>
      <w:r w:rsidR="00203C72" w:rsidRPr="006C477C">
        <w:rPr>
          <w:rFonts w:ascii="Traditional Arabic" w:hAnsi="Traditional Arabic"/>
          <w:noProof w:val="0"/>
          <w:rtl/>
          <w:lang w:eastAsia="en-US"/>
        </w:rPr>
        <w:t xml:space="preserve"> في قاعدة </w:t>
      </w:r>
      <w:r w:rsidR="00203C72" w:rsidRPr="006C477C">
        <w:rPr>
          <w:rFonts w:ascii="Traditional Arabic" w:hAnsi="Traditional Arabic" w:hint="cs"/>
          <w:noProof w:val="0"/>
          <w:rtl/>
          <w:lang w:eastAsia="en-US"/>
        </w:rPr>
        <w:t xml:space="preserve">"لا </w:t>
      </w:r>
      <w:r w:rsidR="00203C72" w:rsidRPr="006C477C">
        <w:rPr>
          <w:rFonts w:ascii="Traditional Arabic" w:hAnsi="Traditional Arabic"/>
          <w:noProof w:val="0"/>
          <w:rtl/>
          <w:lang w:eastAsia="en-US"/>
        </w:rPr>
        <w:t>ضرر</w:t>
      </w:r>
      <w:r w:rsidR="00154102">
        <w:rPr>
          <w:rFonts w:ascii="Traditional Arabic" w:hAnsi="Traditional Arabic" w:hint="cs"/>
          <w:noProof w:val="0"/>
          <w:rtl/>
          <w:lang w:eastAsia="en-US"/>
        </w:rPr>
        <w:t xml:space="preserve"> و</w:t>
      </w:r>
      <w:r w:rsidR="00203C72" w:rsidRPr="006C477C">
        <w:rPr>
          <w:rFonts w:ascii="Traditional Arabic" w:hAnsi="Traditional Arabic" w:hint="cs"/>
          <w:noProof w:val="0"/>
          <w:rtl/>
          <w:lang w:eastAsia="en-US"/>
        </w:rPr>
        <w:t>لا ضرار"</w:t>
      </w:r>
      <w:r w:rsidR="00203C72">
        <w:rPr>
          <w:rFonts w:ascii="Traditional Arabic" w:hAnsi="Traditional Arabic"/>
          <w:b/>
          <w:bCs/>
          <w:noProof w:val="0"/>
          <w:sz w:val="44"/>
          <w:szCs w:val="44"/>
          <w:rtl/>
          <w:lang w:eastAsia="en-US"/>
        </w:rPr>
        <w:t>،</w:t>
      </w:r>
      <w:r w:rsidR="00D56CA7">
        <w:rPr>
          <w:rFonts w:ascii="Traditional Arabic" w:hAnsi="Traditional Arabic" w:hint="cs"/>
          <w:b/>
          <w:bCs/>
          <w:noProof w:val="0"/>
          <w:sz w:val="44"/>
          <w:szCs w:val="44"/>
          <w:rtl/>
          <w:lang w:eastAsia="en-US"/>
        </w:rPr>
        <w:t xml:space="preserve"> </w:t>
      </w:r>
      <w:r w:rsidR="00203C72" w:rsidRPr="006C477C">
        <w:rPr>
          <w:rFonts w:ascii="Traditional Arabic" w:hAnsi="Traditional Arabic"/>
          <w:noProof w:val="0"/>
          <w:rtl/>
          <w:lang w:eastAsia="en-US"/>
        </w:rPr>
        <w:t>فالأدلة عليها إذ</w:t>
      </w:r>
      <w:r w:rsidR="00203C72">
        <w:rPr>
          <w:rFonts w:ascii="Traditional Arabic" w:hAnsi="Traditional Arabic" w:hint="cs"/>
          <w:noProof w:val="0"/>
          <w:rtl/>
          <w:lang w:eastAsia="en-US"/>
        </w:rPr>
        <w:t>َ</w:t>
      </w:r>
      <w:r w:rsidR="00203C72" w:rsidRPr="006C477C">
        <w:rPr>
          <w:rFonts w:ascii="Traditional Arabic" w:hAnsi="Traditional Arabic"/>
          <w:noProof w:val="0"/>
          <w:rtl/>
          <w:lang w:eastAsia="en-US"/>
        </w:rPr>
        <w:t>ن هي الأدلة على تلك القاعدة</w:t>
      </w:r>
      <w:r w:rsidR="00203C72" w:rsidRPr="00C821A1">
        <w:rPr>
          <w:rStyle w:val="af1"/>
          <w:szCs w:val="32"/>
          <w:rtl/>
        </w:rPr>
        <w:t>(</w:t>
      </w:r>
      <w:r w:rsidR="00203C72" w:rsidRPr="00C821A1">
        <w:rPr>
          <w:rStyle w:val="af1"/>
          <w:szCs w:val="32"/>
          <w:rtl/>
        </w:rPr>
        <w:footnoteReference w:id="988"/>
      </w:r>
      <w:r w:rsidR="00203C72" w:rsidRPr="00C821A1">
        <w:rPr>
          <w:rStyle w:val="af1"/>
          <w:szCs w:val="32"/>
          <w:rtl/>
        </w:rPr>
        <w:t>)</w:t>
      </w:r>
      <w:r w:rsidR="00203C72" w:rsidRPr="006C477C">
        <w:rPr>
          <w:rFonts w:ascii="Traditional Arabic" w:hAnsi="Traditional Arabic"/>
          <w:noProof w:val="0"/>
          <w:rtl/>
          <w:lang w:eastAsia="en-US"/>
        </w:rPr>
        <w:t>.</w:t>
      </w:r>
    </w:p>
    <w:p w:rsidR="00203C72" w:rsidRDefault="00D56CA7" w:rsidP="00A8347C">
      <w:pPr>
        <w:pStyle w:val="aff3"/>
        <w:rPr>
          <w:rtl/>
        </w:rPr>
      </w:pPr>
      <w:bookmarkStart w:id="193" w:name="_Toc334046424"/>
      <w:r>
        <w:rPr>
          <w:rFonts w:hint="cs"/>
          <w:rtl/>
        </w:rPr>
        <w:t xml:space="preserve">                 </w:t>
      </w:r>
      <w:r w:rsidR="00005E96">
        <w:rPr>
          <w:rFonts w:hint="cs"/>
          <w:rtl/>
        </w:rPr>
        <w:t xml:space="preserve">                         </w:t>
      </w:r>
      <w:r w:rsidR="00203C72">
        <w:rPr>
          <w:rFonts w:hint="cs"/>
          <w:rtl/>
        </w:rPr>
        <w:t>المطلب الرابع</w:t>
      </w:r>
      <w:r w:rsidR="00203C72">
        <w:rPr>
          <w:rFonts w:hint="eastAsia"/>
          <w:rtl/>
        </w:rPr>
        <w:t> :</w:t>
      </w:r>
      <w:r w:rsidR="00203C72">
        <w:rPr>
          <w:rFonts w:hint="cs"/>
          <w:rtl/>
        </w:rPr>
        <w:br/>
      </w:r>
      <w:r>
        <w:rPr>
          <w:rFonts w:hint="cs"/>
          <w:rtl/>
        </w:rPr>
        <w:t xml:space="preserve">               </w:t>
      </w:r>
      <w:r w:rsidR="00005E96">
        <w:rPr>
          <w:rFonts w:hint="cs"/>
          <w:rtl/>
        </w:rPr>
        <w:t xml:space="preserve">                          </w:t>
      </w:r>
      <w:r w:rsidR="00203C72">
        <w:rPr>
          <w:rFonts w:hint="cs"/>
          <w:rtl/>
        </w:rPr>
        <w:t>تطبيقات القاعدة</w:t>
      </w:r>
      <w:bookmarkEnd w:id="193"/>
    </w:p>
    <w:p w:rsidR="00203C72" w:rsidRDefault="00203C72" w:rsidP="000A76C7">
      <w:pPr>
        <w:pStyle w:val="afc"/>
        <w:widowControl/>
        <w:numPr>
          <w:ilvl w:val="0"/>
          <w:numId w:val="137"/>
        </w:numPr>
        <w:autoSpaceDE w:val="0"/>
        <w:autoSpaceDN w:val="0"/>
        <w:adjustRightInd w:val="0"/>
        <w:rPr>
          <w:rFonts w:ascii="Simplified Arabic" w:hAnsi="Simplified Arabic" w:cs="Simplified Arabic"/>
          <w:noProof w:val="0"/>
          <w:sz w:val="28"/>
          <w:szCs w:val="28"/>
          <w:lang w:eastAsia="en-US"/>
        </w:rPr>
      </w:pPr>
      <w:r w:rsidRPr="00B67B44">
        <w:rPr>
          <w:rFonts w:ascii="Traditional Arabic" w:hAnsi="Traditional Arabic" w:hint="cs"/>
          <w:noProof w:val="0"/>
          <w:rtl/>
          <w:lang w:eastAsia="en-US"/>
        </w:rPr>
        <w:t>عقد الو</w:t>
      </w:r>
      <w:r>
        <w:rPr>
          <w:rFonts w:ascii="Traditional Arabic" w:hAnsi="Traditional Arabic" w:hint="cs"/>
          <w:noProof w:val="0"/>
          <w:rtl/>
          <w:lang w:eastAsia="en-US"/>
        </w:rPr>
        <w:t>َ</w:t>
      </w:r>
      <w:r w:rsidRPr="00B67B44">
        <w:rPr>
          <w:rFonts w:ascii="Traditional Arabic" w:hAnsi="Traditional Arabic" w:hint="cs"/>
          <w:noProof w:val="0"/>
          <w:rtl/>
          <w:lang w:eastAsia="en-US"/>
        </w:rPr>
        <w:t xml:space="preserve">كالة من العقود الجائزة من الطرَفين؛ </w:t>
      </w:r>
      <w:r w:rsidRPr="00B67B44">
        <w:rPr>
          <w:rFonts w:ascii="Traditional Arabic" w:hAnsi="Traditional Arabic"/>
          <w:noProof w:val="0"/>
          <w:rtl/>
          <w:lang w:eastAsia="en-US"/>
        </w:rPr>
        <w:t>فلكل</w:t>
      </w:r>
      <w:r w:rsidRPr="00B67B44">
        <w:rPr>
          <w:rFonts w:ascii="Traditional Arabic" w:hAnsi="Traditional Arabic" w:hint="cs"/>
          <w:noProof w:val="0"/>
          <w:rtl/>
          <w:lang w:eastAsia="en-US"/>
        </w:rPr>
        <w:t>ٍّ</w:t>
      </w:r>
      <w:r w:rsidRPr="00B67B44">
        <w:rPr>
          <w:rFonts w:ascii="Traditional Arabic" w:hAnsi="Traditional Arabic"/>
          <w:noProof w:val="0"/>
          <w:rtl/>
          <w:lang w:eastAsia="en-US"/>
        </w:rPr>
        <w:t xml:space="preserve"> من الوكيل أو الموك</w:t>
      </w:r>
      <w:r w:rsidRPr="00B67B44">
        <w:rPr>
          <w:rFonts w:ascii="Traditional Arabic" w:hAnsi="Traditional Arabic" w:hint="cs"/>
          <w:noProof w:val="0"/>
          <w:rtl/>
          <w:lang w:eastAsia="en-US"/>
        </w:rPr>
        <w:t>ِّ</w:t>
      </w:r>
      <w:r w:rsidRPr="00B67B44">
        <w:rPr>
          <w:rFonts w:ascii="Traditional Arabic" w:hAnsi="Traditional Arabic"/>
          <w:noProof w:val="0"/>
          <w:rtl/>
          <w:lang w:eastAsia="en-US"/>
        </w:rPr>
        <w:t>ل أن يفسخ الوكالة</w:t>
      </w:r>
      <w:r w:rsidRPr="00B67B44">
        <w:rPr>
          <w:rFonts w:ascii="Traditional Arabic" w:hAnsi="Traditional Arabic" w:hint="cs"/>
          <w:noProof w:val="0"/>
          <w:rtl/>
          <w:lang w:eastAsia="en-US"/>
        </w:rPr>
        <w:t xml:space="preserve">، </w:t>
      </w:r>
      <w:r w:rsidRPr="00B67B44">
        <w:rPr>
          <w:rFonts w:ascii="Traditional Arabic" w:hAnsi="Traditional Arabic"/>
          <w:noProof w:val="0"/>
          <w:rtl/>
          <w:lang w:eastAsia="en-US"/>
        </w:rPr>
        <w:t>لكن لو ف</w:t>
      </w:r>
      <w:r w:rsidRPr="00B67B44">
        <w:rPr>
          <w:rFonts w:ascii="Traditional Arabic" w:hAnsi="Traditional Arabic" w:hint="cs"/>
          <w:noProof w:val="0"/>
          <w:rtl/>
          <w:lang w:eastAsia="en-US"/>
        </w:rPr>
        <w:t>ُ</w:t>
      </w:r>
      <w:r w:rsidRPr="00B67B44">
        <w:rPr>
          <w:rFonts w:ascii="Traditional Arabic" w:hAnsi="Traditional Arabic"/>
          <w:noProof w:val="0"/>
          <w:rtl/>
          <w:lang w:eastAsia="en-US"/>
        </w:rPr>
        <w:t>ر</w:t>
      </w:r>
      <w:r w:rsidRPr="00B67B44">
        <w:rPr>
          <w:rFonts w:ascii="Traditional Arabic" w:hAnsi="Traditional Arabic" w:hint="cs"/>
          <w:noProof w:val="0"/>
          <w:rtl/>
          <w:lang w:eastAsia="en-US"/>
        </w:rPr>
        <w:t>ِ</w:t>
      </w:r>
      <w:r w:rsidRPr="00B67B44">
        <w:rPr>
          <w:rFonts w:ascii="Traditional Arabic" w:hAnsi="Traditional Arabic"/>
          <w:noProof w:val="0"/>
          <w:rtl/>
          <w:lang w:eastAsia="en-US"/>
        </w:rPr>
        <w:t>ض أن ذلك يتضم</w:t>
      </w:r>
      <w:r w:rsidRPr="00B67B44">
        <w:rPr>
          <w:rFonts w:ascii="Traditional Arabic" w:hAnsi="Traditional Arabic" w:hint="cs"/>
          <w:noProof w:val="0"/>
          <w:rtl/>
          <w:lang w:eastAsia="en-US"/>
        </w:rPr>
        <w:t>َّ</w:t>
      </w:r>
      <w:r w:rsidRPr="00B67B44">
        <w:rPr>
          <w:rFonts w:ascii="Traditional Arabic" w:hAnsi="Traditional Arabic"/>
          <w:noProof w:val="0"/>
          <w:rtl/>
          <w:lang w:eastAsia="en-US"/>
        </w:rPr>
        <w:t>ن</w:t>
      </w:r>
      <w:r w:rsidR="00D56CA7">
        <w:rPr>
          <w:rFonts w:ascii="Traditional Arabic" w:hAnsi="Traditional Arabic" w:hint="cs"/>
          <w:noProof w:val="0"/>
          <w:rtl/>
          <w:lang w:eastAsia="en-US"/>
        </w:rPr>
        <w:t xml:space="preserve"> </w:t>
      </w:r>
      <w:r w:rsidRPr="00B67B44">
        <w:rPr>
          <w:rFonts w:ascii="Traditional Arabic" w:hAnsi="Traditional Arabic"/>
          <w:noProof w:val="0"/>
          <w:rtl/>
          <w:lang w:eastAsia="en-US"/>
        </w:rPr>
        <w:t>ضررا</w:t>
      </w:r>
      <w:r w:rsidRPr="00B67B44">
        <w:rPr>
          <w:rFonts w:ascii="Traditional Arabic" w:hAnsi="Traditional Arabic" w:hint="cs"/>
          <w:noProof w:val="0"/>
          <w:rtl/>
          <w:lang w:eastAsia="en-US"/>
        </w:rPr>
        <w:t>ً</w:t>
      </w:r>
      <w:r w:rsidRPr="00B67B44">
        <w:rPr>
          <w:rFonts w:ascii="Traditional Arabic" w:hAnsi="Traditional Arabic"/>
          <w:noProof w:val="0"/>
          <w:rtl/>
          <w:lang w:eastAsia="en-US"/>
        </w:rPr>
        <w:t xml:space="preserve"> على أحدهما</w:t>
      </w:r>
      <w:r w:rsidRPr="00B67B44">
        <w:rPr>
          <w:rFonts w:ascii="Traditional Arabic" w:hAnsi="Traditional Arabic" w:hint="cs"/>
          <w:noProof w:val="0"/>
          <w:rtl/>
          <w:lang w:eastAsia="en-US"/>
        </w:rPr>
        <w:t xml:space="preserve"> فإنه لا يجوز الفسخ</w:t>
      </w:r>
      <w:r>
        <w:rPr>
          <w:rFonts w:hint="cs"/>
          <w:rtl/>
        </w:rPr>
        <w:t>، أو يقال:</w:t>
      </w:r>
      <w:r w:rsidR="00D56CA7">
        <w:rPr>
          <w:rFonts w:ascii="Traditional Arabic" w:hAnsi="Traditional Arabic" w:hint="cs"/>
          <w:noProof w:val="0"/>
          <w:rtl/>
          <w:lang w:eastAsia="en-US"/>
        </w:rPr>
        <w:t xml:space="preserve"> </w:t>
      </w:r>
      <w:r w:rsidRPr="00B67B44">
        <w:rPr>
          <w:rFonts w:ascii="Traditional Arabic" w:hAnsi="Traditional Arabic"/>
          <w:noProof w:val="0"/>
          <w:rtl/>
          <w:lang w:eastAsia="en-US"/>
        </w:rPr>
        <w:t>يجوز الفسخ مع ضمان الضرر</w:t>
      </w:r>
      <w:r w:rsidRPr="00C821A1">
        <w:rPr>
          <w:rStyle w:val="af1"/>
          <w:szCs w:val="32"/>
          <w:rtl/>
        </w:rPr>
        <w:t>(</w:t>
      </w:r>
      <w:r w:rsidRPr="00C821A1">
        <w:rPr>
          <w:rStyle w:val="af1"/>
          <w:szCs w:val="32"/>
          <w:rtl/>
        </w:rPr>
        <w:footnoteReference w:id="989"/>
      </w:r>
      <w:r w:rsidRPr="00C821A1">
        <w:rPr>
          <w:rStyle w:val="af1"/>
          <w:szCs w:val="32"/>
          <w:rtl/>
        </w:rPr>
        <w:t>)</w:t>
      </w:r>
      <w:r w:rsidRPr="00B67B44">
        <w:rPr>
          <w:rFonts w:ascii="Traditional Arabic" w:hAnsi="Traditional Arabic" w:hint="cs"/>
          <w:noProof w:val="0"/>
          <w:rtl/>
          <w:lang w:eastAsia="en-US"/>
        </w:rPr>
        <w:t>.</w:t>
      </w:r>
    </w:p>
    <w:p w:rsidR="00203C72" w:rsidRDefault="00203C72" w:rsidP="00597C20">
      <w:pPr>
        <w:pStyle w:val="53"/>
        <w:rPr>
          <w:rtl/>
        </w:rPr>
      </w:pPr>
      <w:r w:rsidRPr="00B67B44">
        <w:rPr>
          <w:rtl/>
        </w:rPr>
        <w:lastRenderedPageBreak/>
        <w:t>وجه اندراج الفرع تحت القاعدة:</w:t>
      </w:r>
    </w:p>
    <w:p w:rsidR="00203C72" w:rsidRPr="00AB1A60" w:rsidRDefault="00203C72" w:rsidP="00597C20">
      <w:pPr>
        <w:widowControl/>
        <w:autoSpaceDE w:val="0"/>
        <w:autoSpaceDN w:val="0"/>
        <w:adjustRightInd w:val="0"/>
        <w:ind w:firstLine="720"/>
        <w:rPr>
          <w:rFonts w:ascii="Traditional Arabic" w:hAnsi="Traditional Arabic"/>
          <w:noProof w:val="0"/>
          <w:rtl/>
          <w:lang w:eastAsia="en-US"/>
        </w:rPr>
      </w:pPr>
      <w:r w:rsidRPr="00AB1A60">
        <w:rPr>
          <w:rFonts w:ascii="Traditional Arabic" w:hAnsi="Traditional Arabic" w:hint="cs"/>
          <w:noProof w:val="0"/>
          <w:rtl/>
          <w:lang w:eastAsia="en-US"/>
        </w:rPr>
        <w:t xml:space="preserve">لما تضمن الفسخ ضررا على أحد العاقدين مُنِع منه؛ لعموم قوله </w:t>
      </w:r>
      <w:r w:rsidR="00F350DE">
        <w:rPr>
          <w:color w:val="auto"/>
          <w:rtl/>
          <w:lang w:eastAsia="en-US"/>
        </w:rPr>
        <w:sym w:font="AGA Arabesque" w:char="F072"/>
      </w:r>
      <w:r w:rsidRPr="00AB1A60">
        <w:rPr>
          <w:rFonts w:ascii="Traditional Arabic" w:hAnsi="Traditional Arabic" w:hint="cs"/>
          <w:noProof w:val="0"/>
          <w:rtl/>
          <w:lang w:eastAsia="en-US"/>
        </w:rPr>
        <w:t>: " لا ضرر ولا ضرار</w:t>
      </w:r>
      <w:r w:rsidR="00AB0B9E" w:rsidRPr="00AB1A60">
        <w:rPr>
          <w:rFonts w:ascii="Traditional Arabic" w:hAnsi="Traditional Arabic"/>
          <w:noProof w:val="0"/>
          <w:rtl/>
          <w:lang w:eastAsia="en-US"/>
        </w:rPr>
        <w:fldChar w:fldCharType="begin"/>
      </w:r>
      <w:r w:rsidR="009A0575" w:rsidRPr="00C85F0F">
        <w:rPr>
          <w:rFonts w:ascii="Traditional Arabic" w:hAnsi="Traditional Arabic"/>
          <w:noProof w:val="0"/>
          <w:lang w:eastAsia="en-US"/>
        </w:rPr>
        <w:instrText>XE</w:instrText>
      </w:r>
      <w:r w:rsidR="009A0575" w:rsidRPr="00C85F0F">
        <w:rPr>
          <w:rFonts w:ascii="Traditional Arabic" w:hAnsi="Traditional Arabic"/>
          <w:noProof w:val="0"/>
          <w:rtl/>
          <w:lang w:eastAsia="en-US"/>
        </w:rPr>
        <w:instrText xml:space="preserve"> "</w:instrText>
      </w:r>
      <w:r w:rsidR="009A0575" w:rsidRPr="00C85F0F">
        <w:rPr>
          <w:rFonts w:ascii="Traditional Arabic" w:hAnsi="Traditional Arabic" w:hint="cs"/>
          <w:noProof w:val="0"/>
          <w:rtl/>
          <w:lang w:eastAsia="en-US"/>
        </w:rPr>
        <w:instrText>لا ضرر ولا ضرار</w:instrText>
      </w:r>
      <w:r w:rsidR="009A0575" w:rsidRPr="00C85F0F">
        <w:rPr>
          <w:rFonts w:ascii="Traditional Arabic" w:hAnsi="Traditional Arabic"/>
          <w:noProof w:val="0"/>
          <w:rtl/>
          <w:lang w:eastAsia="en-US"/>
        </w:rPr>
        <w:instrText>" \</w:instrText>
      </w:r>
      <w:r w:rsidR="009A0575" w:rsidRPr="00C85F0F">
        <w:rPr>
          <w:rFonts w:ascii="Traditional Arabic" w:hAnsi="Traditional Arabic"/>
          <w:noProof w:val="0"/>
          <w:lang w:eastAsia="en-US"/>
        </w:rPr>
        <w:instrText>f</w:instrText>
      </w:r>
      <w:r w:rsidR="009A0575" w:rsidRPr="00AB1A60">
        <w:rPr>
          <w:rFonts w:ascii="Traditional Arabic" w:hAnsi="Traditional Arabic"/>
          <w:noProof w:val="0"/>
          <w:lang w:eastAsia="en-US"/>
        </w:rPr>
        <w:instrText>h</w:instrText>
      </w:r>
      <w:r w:rsidR="00AB0B9E" w:rsidRPr="00AB1A60">
        <w:rPr>
          <w:rFonts w:ascii="Traditional Arabic" w:hAnsi="Traditional Arabic"/>
          <w:noProof w:val="0"/>
          <w:rtl/>
          <w:lang w:eastAsia="en-US"/>
        </w:rPr>
        <w:fldChar w:fldCharType="end"/>
      </w:r>
      <w:r w:rsidRPr="00AB1A60">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990"/>
      </w:r>
      <w:r w:rsidRPr="00C821A1">
        <w:rPr>
          <w:rStyle w:val="af1"/>
          <w:szCs w:val="32"/>
          <w:rtl/>
        </w:rPr>
        <w:t>)</w:t>
      </w:r>
      <w:r w:rsidRPr="00AB1A60">
        <w:rPr>
          <w:rFonts w:ascii="Traditional Arabic" w:hAnsi="Traditional Arabic" w:hint="cs"/>
          <w:noProof w:val="0"/>
          <w:rtl/>
          <w:lang w:eastAsia="en-US"/>
        </w:rPr>
        <w:t xml:space="preserve">؛ ولأن القاعدة أنه </w:t>
      </w:r>
      <w:r w:rsidRPr="00AB1A60">
        <w:rPr>
          <w:rFonts w:ascii="Traditional Arabic" w:hAnsi="Traditional Arabic"/>
          <w:noProof w:val="0"/>
          <w:rtl/>
          <w:lang w:eastAsia="en-US"/>
        </w:rPr>
        <w:t>إذا تضم</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ن الف</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س</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خ</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 xml:space="preserve"> ضر</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را</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 xml:space="preserve"> على أح</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د الطر</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ف</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ين</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 xml:space="preserve"> فإن العقود الجائزة ت</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ن</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ق</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ل</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ب</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 xml:space="preserve"> لاز</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مة</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 xml:space="preserve"> د</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ر</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ءا</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 xml:space="preserve"> للض</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ر</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ر</w:t>
      </w:r>
      <w:r w:rsidRPr="00C821A1">
        <w:rPr>
          <w:rStyle w:val="af1"/>
          <w:szCs w:val="32"/>
          <w:rtl/>
        </w:rPr>
        <w:t>(</w:t>
      </w:r>
      <w:r w:rsidRPr="00C821A1">
        <w:rPr>
          <w:rStyle w:val="af1"/>
          <w:szCs w:val="32"/>
          <w:rtl/>
        </w:rPr>
        <w:footnoteReference w:id="991"/>
      </w:r>
      <w:r w:rsidRPr="00C821A1">
        <w:rPr>
          <w:rStyle w:val="af1"/>
          <w:szCs w:val="32"/>
          <w:rtl/>
        </w:rPr>
        <w:t>)</w:t>
      </w:r>
      <w:r w:rsidRPr="00AB1A60">
        <w:rPr>
          <w:rFonts w:ascii="Traditional Arabic" w:hAnsi="Traditional Arabic" w:hint="cs"/>
          <w:noProof w:val="0"/>
          <w:rtl/>
          <w:lang w:eastAsia="en-US"/>
        </w:rPr>
        <w:t>.</w:t>
      </w:r>
    </w:p>
    <w:p w:rsidR="00065E4B" w:rsidRDefault="00203C72"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وإن قيل بجواز الفسخ فلابدّ مِن ضمانِ الضرر؛ لأنه</w:t>
      </w:r>
      <w:r w:rsidR="00B43595">
        <w:rPr>
          <w:rFonts w:ascii="Traditional Arabic" w:hAnsi="Traditional Arabic" w:hint="cs"/>
          <w:noProof w:val="0"/>
          <w:rtl/>
          <w:lang w:eastAsia="en-US"/>
        </w:rPr>
        <w:t xml:space="preserve"> </w:t>
      </w:r>
      <w:r>
        <w:rPr>
          <w:rFonts w:ascii="Traditional Arabic" w:hAnsi="Traditional Arabic" w:hint="cs"/>
          <w:noProof w:val="0"/>
          <w:rtl/>
          <w:lang w:eastAsia="en-US"/>
        </w:rPr>
        <w:t>إن أَ</w:t>
      </w:r>
      <w:r w:rsidRPr="00045F70">
        <w:rPr>
          <w:rFonts w:ascii="Traditional Arabic" w:hAnsi="Traditional Arabic"/>
          <w:noProof w:val="0"/>
          <w:rtl/>
          <w:lang w:eastAsia="en-US"/>
        </w:rPr>
        <w:t>م</w:t>
      </w:r>
      <w:r>
        <w:rPr>
          <w:rFonts w:ascii="Traditional Arabic" w:hAnsi="Traditional Arabic" w:hint="cs"/>
          <w:noProof w:val="0"/>
          <w:rtl/>
          <w:lang w:eastAsia="en-US"/>
        </w:rPr>
        <w:t>ْ</w:t>
      </w:r>
      <w:r w:rsidRPr="00045F70">
        <w:rPr>
          <w:rFonts w:ascii="Traditional Arabic" w:hAnsi="Traditional Arabic"/>
          <w:noProof w:val="0"/>
          <w:rtl/>
          <w:lang w:eastAsia="en-US"/>
        </w:rPr>
        <w:t>ك</w:t>
      </w:r>
      <w:r>
        <w:rPr>
          <w:rFonts w:ascii="Traditional Arabic" w:hAnsi="Traditional Arabic" w:hint="cs"/>
          <w:noProof w:val="0"/>
          <w:rtl/>
          <w:lang w:eastAsia="en-US"/>
        </w:rPr>
        <w:t>َ</w:t>
      </w:r>
      <w:r w:rsidRPr="00045F70">
        <w:rPr>
          <w:rFonts w:ascii="Traditional Arabic" w:hAnsi="Traditional Arabic"/>
          <w:noProof w:val="0"/>
          <w:rtl/>
          <w:lang w:eastAsia="en-US"/>
        </w:rPr>
        <w:t>ن استدراك</w:t>
      </w:r>
      <w:r>
        <w:rPr>
          <w:rFonts w:ascii="Traditional Arabic" w:hAnsi="Traditional Arabic" w:hint="cs"/>
          <w:noProof w:val="0"/>
          <w:rtl/>
          <w:lang w:eastAsia="en-US"/>
        </w:rPr>
        <w:t>ُ</w:t>
      </w:r>
      <w:r w:rsidRPr="00045F70">
        <w:rPr>
          <w:rFonts w:ascii="Traditional Arabic" w:hAnsi="Traditional Arabic"/>
          <w:noProof w:val="0"/>
          <w:rtl/>
          <w:lang w:eastAsia="en-US"/>
        </w:rPr>
        <w:t xml:space="preserve"> الضر</w:t>
      </w:r>
      <w:r>
        <w:rPr>
          <w:rFonts w:ascii="Traditional Arabic" w:hAnsi="Traditional Arabic" w:hint="cs"/>
          <w:noProof w:val="0"/>
          <w:rtl/>
          <w:lang w:eastAsia="en-US"/>
        </w:rPr>
        <w:t>َ</w:t>
      </w:r>
      <w:r w:rsidRPr="00045F70">
        <w:rPr>
          <w:rFonts w:ascii="Traditional Arabic" w:hAnsi="Traditional Arabic"/>
          <w:noProof w:val="0"/>
          <w:rtl/>
          <w:lang w:eastAsia="en-US"/>
        </w:rPr>
        <w:t>ر بضمان</w:t>
      </w:r>
      <w:r>
        <w:rPr>
          <w:rFonts w:ascii="Traditional Arabic" w:hAnsi="Traditional Arabic" w:hint="cs"/>
          <w:noProof w:val="0"/>
          <w:rtl/>
          <w:lang w:eastAsia="en-US"/>
        </w:rPr>
        <w:t>ٍ</w:t>
      </w:r>
      <w:r w:rsidR="00D56CA7">
        <w:rPr>
          <w:rFonts w:ascii="Traditional Arabic" w:hAnsi="Traditional Arabic" w:hint="cs"/>
          <w:noProof w:val="0"/>
          <w:rtl/>
          <w:lang w:eastAsia="en-US"/>
        </w:rPr>
        <w:t xml:space="preserve"> </w:t>
      </w:r>
      <w:r w:rsidRPr="00045F70">
        <w:rPr>
          <w:rFonts w:ascii="Traditional Arabic" w:hAnsi="Traditional Arabic"/>
          <w:noProof w:val="0"/>
          <w:rtl/>
          <w:lang w:eastAsia="en-US"/>
        </w:rPr>
        <w:t>أو نحو</w:t>
      </w:r>
      <w:r>
        <w:rPr>
          <w:rFonts w:ascii="Traditional Arabic" w:hAnsi="Traditional Arabic" w:hint="cs"/>
          <w:noProof w:val="0"/>
          <w:rtl/>
          <w:lang w:eastAsia="en-US"/>
        </w:rPr>
        <w:t>ِ</w:t>
      </w:r>
      <w:r w:rsidRPr="00045F70">
        <w:rPr>
          <w:rFonts w:ascii="Traditional Arabic" w:hAnsi="Traditional Arabic"/>
          <w:noProof w:val="0"/>
          <w:rtl/>
          <w:lang w:eastAsia="en-US"/>
        </w:rPr>
        <w:t>ه</w:t>
      </w:r>
      <w:r>
        <w:rPr>
          <w:rFonts w:ascii="Traditional Arabic" w:hAnsi="Traditional Arabic" w:hint="cs"/>
          <w:noProof w:val="0"/>
          <w:rtl/>
          <w:lang w:eastAsia="en-US"/>
        </w:rPr>
        <w:t>؛</w:t>
      </w:r>
      <w:r>
        <w:rPr>
          <w:rFonts w:ascii="Traditional Arabic" w:hAnsi="Traditional Arabic"/>
          <w:noProof w:val="0"/>
          <w:rtl/>
          <w:lang w:eastAsia="en-US"/>
        </w:rPr>
        <w:t xml:space="preserve"> ج</w:t>
      </w:r>
      <w:r>
        <w:rPr>
          <w:rFonts w:ascii="Traditional Arabic" w:hAnsi="Traditional Arabic" w:hint="cs"/>
          <w:noProof w:val="0"/>
          <w:rtl/>
          <w:lang w:eastAsia="en-US"/>
        </w:rPr>
        <w:t>ا</w:t>
      </w:r>
      <w:r w:rsidRPr="00045F70">
        <w:rPr>
          <w:rFonts w:ascii="Traditional Arabic" w:hAnsi="Traditional Arabic"/>
          <w:noProof w:val="0"/>
          <w:rtl/>
          <w:lang w:eastAsia="en-US"/>
        </w:rPr>
        <w:t>ز</w:t>
      </w:r>
      <w:r>
        <w:rPr>
          <w:rFonts w:ascii="Traditional Arabic" w:hAnsi="Traditional Arabic" w:hint="cs"/>
          <w:noProof w:val="0"/>
          <w:rtl/>
          <w:lang w:eastAsia="en-US"/>
        </w:rPr>
        <w:t>َ</w:t>
      </w:r>
      <w:r w:rsidR="00041CA2">
        <w:rPr>
          <w:rFonts w:ascii="Traditional Arabic" w:hAnsi="Traditional Arabic" w:hint="cs"/>
          <w:noProof w:val="0"/>
          <w:rtl/>
          <w:lang w:eastAsia="en-US"/>
        </w:rPr>
        <w:t xml:space="preserve"> </w:t>
      </w:r>
      <w:r>
        <w:rPr>
          <w:rFonts w:ascii="Traditional Arabic" w:hAnsi="Traditional Arabic" w:hint="cs"/>
          <w:noProof w:val="0"/>
          <w:rtl/>
          <w:lang w:eastAsia="en-US"/>
        </w:rPr>
        <w:t>الفسخ</w:t>
      </w:r>
      <w:r w:rsidRPr="00C821A1">
        <w:rPr>
          <w:rStyle w:val="af1"/>
          <w:szCs w:val="32"/>
          <w:rtl/>
        </w:rPr>
        <w:t>(</w:t>
      </w:r>
      <w:r w:rsidRPr="00C821A1">
        <w:rPr>
          <w:rStyle w:val="af1"/>
          <w:szCs w:val="32"/>
          <w:rtl/>
        </w:rPr>
        <w:footnoteReference w:id="992"/>
      </w:r>
      <w:r w:rsidRPr="00C821A1">
        <w:rPr>
          <w:rStyle w:val="af1"/>
          <w:szCs w:val="32"/>
          <w:rtl/>
        </w:rPr>
        <w:t>)</w:t>
      </w:r>
      <w:r>
        <w:rPr>
          <w:rFonts w:ascii="Traditional Arabic" w:hAnsi="Traditional Arabic" w:hint="cs"/>
          <w:noProof w:val="0"/>
          <w:rtl/>
          <w:lang w:eastAsia="en-US"/>
        </w:rPr>
        <w:t>.</w:t>
      </w:r>
    </w:p>
    <w:p w:rsidR="00F228A9" w:rsidRPr="00F546E7" w:rsidRDefault="00041CA2" w:rsidP="000A76C7">
      <w:pPr>
        <w:pStyle w:val="afc"/>
        <w:widowControl/>
        <w:numPr>
          <w:ilvl w:val="0"/>
          <w:numId w:val="137"/>
        </w:numPr>
        <w:autoSpaceDE w:val="0"/>
        <w:autoSpaceDN w:val="0"/>
        <w:adjustRightInd w:val="0"/>
        <w:rPr>
          <w:rFonts w:ascii="Traditional Arabic" w:hAnsi="Traditional Arabic"/>
          <w:noProof w:val="0"/>
          <w:lang w:eastAsia="en-US"/>
        </w:rPr>
      </w:pPr>
      <w:r>
        <w:rPr>
          <w:rFonts w:ascii="Traditional Arabic" w:hAnsi="Traditional Arabic" w:hint="cs"/>
          <w:noProof w:val="0"/>
          <w:rtl/>
          <w:lang w:eastAsia="en-US"/>
        </w:rPr>
        <w:t xml:space="preserve"> </w:t>
      </w:r>
      <w:r w:rsidR="00065E4B" w:rsidRPr="00F546E7">
        <w:rPr>
          <w:rFonts w:ascii="Traditional Arabic" w:hAnsi="Traditional Arabic"/>
          <w:noProof w:val="0"/>
          <w:rtl/>
          <w:lang w:eastAsia="en-US"/>
        </w:rPr>
        <w:t>ا</w:t>
      </w:r>
      <w:r w:rsidR="00203C72" w:rsidRPr="00F546E7">
        <w:rPr>
          <w:rFonts w:ascii="Traditional Arabic" w:hAnsi="Traditional Arabic"/>
          <w:noProof w:val="0"/>
          <w:rtl/>
          <w:lang w:eastAsia="en-US"/>
        </w:rPr>
        <w:t>لج</w:t>
      </w:r>
      <w:r w:rsidR="00203C72" w:rsidRPr="00F546E7">
        <w:rPr>
          <w:rFonts w:ascii="Traditional Arabic" w:hAnsi="Traditional Arabic" w:hint="cs"/>
          <w:noProof w:val="0"/>
          <w:rtl/>
          <w:lang w:eastAsia="en-US"/>
        </w:rPr>
        <w:t>َ</w:t>
      </w:r>
      <w:r w:rsidR="00203C72" w:rsidRPr="00F546E7">
        <w:rPr>
          <w:rFonts w:ascii="Traditional Arabic" w:hAnsi="Traditional Arabic"/>
          <w:noProof w:val="0"/>
          <w:rtl/>
          <w:lang w:eastAsia="en-US"/>
        </w:rPr>
        <w:t>عالة</w:t>
      </w:r>
      <w:r w:rsidR="00203C72" w:rsidRPr="00C821A1">
        <w:rPr>
          <w:rStyle w:val="af1"/>
          <w:szCs w:val="32"/>
          <w:rtl/>
        </w:rPr>
        <w:t>(</w:t>
      </w:r>
      <w:r w:rsidR="00203C72" w:rsidRPr="00C821A1">
        <w:rPr>
          <w:rStyle w:val="af1"/>
          <w:szCs w:val="32"/>
          <w:rtl/>
        </w:rPr>
        <w:footnoteReference w:id="993"/>
      </w:r>
      <w:r w:rsidR="00203C72" w:rsidRPr="00C821A1">
        <w:rPr>
          <w:rStyle w:val="af1"/>
          <w:szCs w:val="32"/>
          <w:rtl/>
        </w:rPr>
        <w:t>)</w:t>
      </w:r>
      <w:r w:rsidR="00203C72" w:rsidRPr="00F546E7">
        <w:rPr>
          <w:rFonts w:ascii="Traditional Arabic" w:hAnsi="Traditional Arabic" w:hint="cs"/>
          <w:noProof w:val="0"/>
          <w:rtl/>
          <w:lang w:eastAsia="en-US"/>
        </w:rPr>
        <w:t>من ال</w:t>
      </w:r>
      <w:r w:rsidR="00203C72" w:rsidRPr="00F546E7">
        <w:rPr>
          <w:rFonts w:ascii="Traditional Arabic" w:hAnsi="Traditional Arabic"/>
          <w:noProof w:val="0"/>
          <w:rtl/>
          <w:lang w:eastAsia="en-US"/>
        </w:rPr>
        <w:t>عق</w:t>
      </w:r>
      <w:r w:rsidR="00203C72" w:rsidRPr="00F546E7">
        <w:rPr>
          <w:rFonts w:ascii="Traditional Arabic" w:hAnsi="Traditional Arabic" w:hint="cs"/>
          <w:noProof w:val="0"/>
          <w:rtl/>
          <w:lang w:eastAsia="en-US"/>
        </w:rPr>
        <w:t>و</w:t>
      </w:r>
      <w:r w:rsidR="00203C72" w:rsidRPr="00F546E7">
        <w:rPr>
          <w:rFonts w:ascii="Traditional Arabic" w:hAnsi="Traditional Arabic"/>
          <w:noProof w:val="0"/>
          <w:rtl/>
          <w:lang w:eastAsia="en-US"/>
        </w:rPr>
        <w:t xml:space="preserve">د </w:t>
      </w:r>
      <w:r w:rsidR="00203C72" w:rsidRPr="00F546E7">
        <w:rPr>
          <w:rFonts w:ascii="Traditional Arabic" w:hAnsi="Traditional Arabic" w:hint="cs"/>
          <w:noProof w:val="0"/>
          <w:rtl/>
          <w:lang w:eastAsia="en-US"/>
        </w:rPr>
        <w:t>ال</w:t>
      </w:r>
      <w:r w:rsidR="00203C72" w:rsidRPr="00F546E7">
        <w:rPr>
          <w:rFonts w:ascii="Traditional Arabic" w:hAnsi="Traditional Arabic"/>
          <w:noProof w:val="0"/>
          <w:rtl/>
          <w:lang w:eastAsia="en-US"/>
        </w:rPr>
        <w:t>جائز</w:t>
      </w:r>
      <w:r w:rsidR="00203C72" w:rsidRPr="00F546E7">
        <w:rPr>
          <w:rFonts w:ascii="Traditional Arabic" w:hAnsi="Traditional Arabic" w:hint="cs"/>
          <w:noProof w:val="0"/>
          <w:rtl/>
          <w:lang w:eastAsia="en-US"/>
        </w:rPr>
        <w:t>ة،</w:t>
      </w:r>
      <w:r w:rsidR="00D56CA7">
        <w:rPr>
          <w:rFonts w:ascii="Traditional Arabic" w:hAnsi="Traditional Arabic" w:hint="cs"/>
          <w:noProof w:val="0"/>
          <w:rtl/>
          <w:lang w:eastAsia="en-US"/>
        </w:rPr>
        <w:t xml:space="preserve"> </w:t>
      </w:r>
      <w:r w:rsidR="00203C72" w:rsidRPr="00F546E7">
        <w:rPr>
          <w:rFonts w:ascii="Traditional Arabic" w:hAnsi="Traditional Arabic" w:hint="cs"/>
          <w:noProof w:val="0"/>
          <w:rtl/>
          <w:lang w:eastAsia="en-US"/>
        </w:rPr>
        <w:t>فيجوز لكلٍّ من الطرَفين فَسْخُها،لكن إذا تضمَّن ذلك</w:t>
      </w:r>
      <w:r w:rsidR="00203C72" w:rsidRPr="00F546E7">
        <w:rPr>
          <w:rFonts w:ascii="Traditional Arabic" w:hAnsi="Traditional Arabic"/>
          <w:noProof w:val="0"/>
          <w:rtl/>
          <w:lang w:eastAsia="en-US"/>
        </w:rPr>
        <w:t xml:space="preserve"> ضررا</w:t>
      </w:r>
      <w:r w:rsidR="00203C72" w:rsidRPr="00F546E7">
        <w:rPr>
          <w:rFonts w:ascii="Traditional Arabic" w:hAnsi="Traditional Arabic" w:hint="cs"/>
          <w:noProof w:val="0"/>
          <w:rtl/>
          <w:lang w:eastAsia="en-US"/>
        </w:rPr>
        <w:t>ً</w:t>
      </w:r>
      <w:r w:rsidR="00203C72" w:rsidRPr="00F546E7">
        <w:rPr>
          <w:rFonts w:ascii="Traditional Arabic" w:hAnsi="Traditional Arabic"/>
          <w:noProof w:val="0"/>
          <w:rtl/>
          <w:lang w:eastAsia="en-US"/>
        </w:rPr>
        <w:t xml:space="preserve"> على </w:t>
      </w:r>
      <w:r w:rsidR="00203C72" w:rsidRPr="00F546E7">
        <w:rPr>
          <w:rFonts w:ascii="Traditional Arabic" w:hAnsi="Traditional Arabic" w:hint="cs"/>
          <w:noProof w:val="0"/>
          <w:rtl/>
          <w:lang w:eastAsia="en-US"/>
        </w:rPr>
        <w:t xml:space="preserve">أحد العاقدين، </w:t>
      </w:r>
      <w:r w:rsidR="00203C72" w:rsidRPr="00F546E7">
        <w:rPr>
          <w:rFonts w:ascii="Traditional Arabic" w:hAnsi="Traditional Arabic"/>
          <w:noProof w:val="0"/>
          <w:rtl/>
          <w:lang w:eastAsia="en-US"/>
        </w:rPr>
        <w:t>فإنه لا يجوز</w:t>
      </w:r>
      <w:r w:rsidR="00203C72" w:rsidRPr="00F546E7">
        <w:rPr>
          <w:rFonts w:ascii="Traditional Arabic" w:hAnsi="Traditional Arabic" w:hint="cs"/>
          <w:noProof w:val="0"/>
          <w:rtl/>
          <w:lang w:eastAsia="en-US"/>
        </w:rPr>
        <w:t xml:space="preserve"> ال</w:t>
      </w:r>
      <w:r w:rsidR="00203C72" w:rsidRPr="00F546E7">
        <w:rPr>
          <w:rFonts w:ascii="Traditional Arabic" w:hAnsi="Traditional Arabic"/>
          <w:noProof w:val="0"/>
          <w:rtl/>
          <w:lang w:eastAsia="en-US"/>
        </w:rPr>
        <w:t xml:space="preserve">فسخ، </w:t>
      </w:r>
      <w:r w:rsidR="00203C72" w:rsidRPr="00F546E7">
        <w:rPr>
          <w:rFonts w:ascii="Traditional Arabic" w:hAnsi="Traditional Arabic" w:hint="cs"/>
          <w:noProof w:val="0"/>
          <w:rtl/>
          <w:lang w:eastAsia="en-US"/>
        </w:rPr>
        <w:t>ولو</w:t>
      </w:r>
      <w:r w:rsidR="00203C72" w:rsidRPr="00F546E7">
        <w:rPr>
          <w:rFonts w:ascii="Traditional Arabic" w:hAnsi="Traditional Arabic"/>
          <w:noProof w:val="0"/>
          <w:rtl/>
          <w:lang w:eastAsia="en-US"/>
        </w:rPr>
        <w:t xml:space="preserve"> فسخ الجاع</w:t>
      </w:r>
      <w:r w:rsidR="00203C72" w:rsidRPr="00F546E7">
        <w:rPr>
          <w:rFonts w:ascii="Traditional Arabic" w:hAnsi="Traditional Arabic" w:hint="cs"/>
          <w:noProof w:val="0"/>
          <w:rtl/>
          <w:lang w:eastAsia="en-US"/>
        </w:rPr>
        <w:t>ِ</w:t>
      </w:r>
      <w:r w:rsidR="00203C72" w:rsidRPr="00F546E7">
        <w:rPr>
          <w:rFonts w:ascii="Traditional Arabic" w:hAnsi="Traditional Arabic"/>
          <w:noProof w:val="0"/>
          <w:rtl/>
          <w:lang w:eastAsia="en-US"/>
        </w:rPr>
        <w:t>ل للإضرار</w:t>
      </w:r>
      <w:r w:rsidR="00203C72" w:rsidRPr="00F546E7">
        <w:rPr>
          <w:rFonts w:ascii="Traditional Arabic" w:hAnsi="Traditional Arabic" w:hint="cs"/>
          <w:noProof w:val="0"/>
          <w:rtl/>
          <w:lang w:eastAsia="en-US"/>
        </w:rPr>
        <w:t xml:space="preserve"> بالعامِل انفسخ العقد، لكن يجب </w:t>
      </w:r>
      <w:r w:rsidR="00203C72" w:rsidRPr="00F546E7">
        <w:rPr>
          <w:rFonts w:ascii="Traditional Arabic" w:hAnsi="Traditional Arabic"/>
          <w:noProof w:val="0"/>
          <w:rtl/>
          <w:lang w:eastAsia="en-US"/>
        </w:rPr>
        <w:t>ل</w:t>
      </w:r>
      <w:r w:rsidR="00203C72" w:rsidRPr="00F546E7">
        <w:rPr>
          <w:rFonts w:ascii="Traditional Arabic" w:hAnsi="Traditional Arabic" w:hint="cs"/>
          <w:noProof w:val="0"/>
          <w:rtl/>
          <w:lang w:eastAsia="en-US"/>
        </w:rPr>
        <w:t>ِ</w:t>
      </w:r>
      <w:r w:rsidR="00203C72" w:rsidRPr="00F546E7">
        <w:rPr>
          <w:rFonts w:ascii="Traditional Arabic" w:hAnsi="Traditional Arabic"/>
          <w:noProof w:val="0"/>
          <w:rtl/>
          <w:lang w:eastAsia="en-US"/>
        </w:rPr>
        <w:t>ل</w:t>
      </w:r>
      <w:r w:rsidR="00203C72" w:rsidRPr="00F546E7">
        <w:rPr>
          <w:rFonts w:ascii="Traditional Arabic" w:hAnsi="Traditional Arabic" w:hint="cs"/>
          <w:noProof w:val="0"/>
          <w:rtl/>
          <w:lang w:eastAsia="en-US"/>
        </w:rPr>
        <w:t>ْمجعول له</w:t>
      </w:r>
      <w:r w:rsidR="00203C72" w:rsidRPr="00F546E7">
        <w:rPr>
          <w:rFonts w:ascii="Traditional Arabic" w:hAnsi="Traditional Arabic"/>
          <w:noProof w:val="0"/>
          <w:rtl/>
          <w:lang w:eastAsia="en-US"/>
        </w:rPr>
        <w:t xml:space="preserve"> أ</w:t>
      </w:r>
      <w:r w:rsidR="00203C72" w:rsidRPr="00F546E7">
        <w:rPr>
          <w:rFonts w:ascii="Traditional Arabic" w:hAnsi="Traditional Arabic" w:hint="cs"/>
          <w:noProof w:val="0"/>
          <w:rtl/>
          <w:lang w:eastAsia="en-US"/>
        </w:rPr>
        <w:t>ُ</w:t>
      </w:r>
      <w:r w:rsidR="00203C72" w:rsidRPr="00F546E7">
        <w:rPr>
          <w:rFonts w:ascii="Traditional Arabic" w:hAnsi="Traditional Arabic"/>
          <w:noProof w:val="0"/>
          <w:rtl/>
          <w:lang w:eastAsia="en-US"/>
        </w:rPr>
        <w:t>جرة</w:t>
      </w:r>
      <w:r w:rsidR="00203C72" w:rsidRPr="00F546E7">
        <w:rPr>
          <w:rFonts w:ascii="Traditional Arabic" w:hAnsi="Traditional Arabic" w:hint="cs"/>
          <w:noProof w:val="0"/>
          <w:rtl/>
          <w:lang w:eastAsia="en-US"/>
        </w:rPr>
        <w:t>ُ</w:t>
      </w:r>
      <w:r w:rsidR="00203C72" w:rsidRPr="00F546E7">
        <w:rPr>
          <w:rFonts w:ascii="Traditional Arabic" w:hAnsi="Traditional Arabic"/>
          <w:noProof w:val="0"/>
          <w:rtl/>
          <w:lang w:eastAsia="en-US"/>
        </w:rPr>
        <w:t xml:space="preserve"> ما ع</w:t>
      </w:r>
      <w:r w:rsidR="00203C72" w:rsidRPr="00F546E7">
        <w:rPr>
          <w:rFonts w:ascii="Traditional Arabic" w:hAnsi="Traditional Arabic" w:hint="cs"/>
          <w:noProof w:val="0"/>
          <w:rtl/>
          <w:lang w:eastAsia="en-US"/>
        </w:rPr>
        <w:t>َ</w:t>
      </w:r>
      <w:r w:rsidR="00203C72" w:rsidRPr="00F546E7">
        <w:rPr>
          <w:rFonts w:ascii="Traditional Arabic" w:hAnsi="Traditional Arabic"/>
          <w:noProof w:val="0"/>
          <w:rtl/>
          <w:lang w:eastAsia="en-US"/>
        </w:rPr>
        <w:t>م</w:t>
      </w:r>
      <w:r w:rsidR="00203C72" w:rsidRPr="00F546E7">
        <w:rPr>
          <w:rFonts w:ascii="Traditional Arabic" w:hAnsi="Traditional Arabic" w:hint="cs"/>
          <w:noProof w:val="0"/>
          <w:rtl/>
          <w:lang w:eastAsia="en-US"/>
        </w:rPr>
        <w:t>ِ</w:t>
      </w:r>
      <w:r w:rsidR="00203C72" w:rsidRPr="00F546E7">
        <w:rPr>
          <w:rFonts w:ascii="Traditional Arabic" w:hAnsi="Traditional Arabic"/>
          <w:noProof w:val="0"/>
          <w:rtl/>
          <w:lang w:eastAsia="en-US"/>
        </w:rPr>
        <w:t>ل</w:t>
      </w:r>
      <w:r w:rsidR="00203C72" w:rsidRPr="00C821A1">
        <w:rPr>
          <w:rStyle w:val="af1"/>
          <w:szCs w:val="32"/>
          <w:rtl/>
        </w:rPr>
        <w:t>(</w:t>
      </w:r>
      <w:r w:rsidR="00203C72" w:rsidRPr="00C821A1">
        <w:rPr>
          <w:rStyle w:val="af1"/>
          <w:szCs w:val="32"/>
          <w:rtl/>
        </w:rPr>
        <w:footnoteReference w:id="994"/>
      </w:r>
      <w:r w:rsidR="00203C72" w:rsidRPr="00C821A1">
        <w:rPr>
          <w:rStyle w:val="af1"/>
          <w:szCs w:val="32"/>
          <w:rtl/>
        </w:rPr>
        <w:t>)</w:t>
      </w:r>
      <w:r w:rsidR="00203C72" w:rsidRPr="00F546E7">
        <w:rPr>
          <w:rFonts w:ascii="Traditional Arabic" w:hAnsi="Traditional Arabic"/>
          <w:noProof w:val="0"/>
          <w:rtl/>
          <w:lang w:eastAsia="en-US"/>
        </w:rPr>
        <w:t>.</w:t>
      </w:r>
    </w:p>
    <w:p w:rsidR="00203C72" w:rsidRDefault="00203C72" w:rsidP="00597C20">
      <w:pPr>
        <w:pStyle w:val="53"/>
        <w:rPr>
          <w:rtl/>
        </w:rPr>
      </w:pPr>
      <w:r w:rsidRPr="000841BD">
        <w:rPr>
          <w:rtl/>
        </w:rPr>
        <w:t>وجه اندراج الفرع تحت القاعدة:</w:t>
      </w:r>
    </w:p>
    <w:p w:rsidR="00BF3D60" w:rsidRDefault="00203C72" w:rsidP="00597C20">
      <w:pPr>
        <w:pStyle w:val="afc"/>
        <w:widowControl/>
        <w:autoSpaceDE w:val="0"/>
        <w:autoSpaceDN w:val="0"/>
        <w:adjustRightInd w:val="0"/>
        <w:ind w:left="735" w:firstLine="0"/>
        <w:rPr>
          <w:rFonts w:ascii="Traditional Arabic" w:hAnsi="Traditional Arabic"/>
          <w:noProof w:val="0"/>
          <w:rtl/>
          <w:lang w:eastAsia="en-US"/>
        </w:rPr>
      </w:pPr>
      <w:r>
        <w:rPr>
          <w:rFonts w:ascii="Traditional Arabic" w:hAnsi="Traditional Arabic" w:hint="cs"/>
          <w:noProof w:val="0"/>
          <w:rtl/>
          <w:lang w:eastAsia="en-US"/>
        </w:rPr>
        <w:t>أن الجعالة عقد جائز، ولما تضمَّن فَسْخها ضرراً على العامل حرُم الفسخ؛ لأن العقود الجائزة إذا تضمَّن فَسْخُها ضرراًعلى أحد المتعاقدين تنقلب لازمةً.</w:t>
      </w:r>
    </w:p>
    <w:p w:rsidR="00EB00A3" w:rsidRPr="00D56CA7" w:rsidRDefault="00D56CA7" w:rsidP="00D56CA7">
      <w:pPr>
        <w:pStyle w:val="afc"/>
        <w:widowControl/>
        <w:autoSpaceDE w:val="0"/>
        <w:autoSpaceDN w:val="0"/>
        <w:adjustRightInd w:val="0"/>
        <w:ind w:left="735" w:firstLine="0"/>
        <w:rPr>
          <w:rFonts w:ascii="Traditional Arabic" w:hAnsi="Traditional Arabic"/>
          <w:b/>
          <w:bCs/>
          <w:noProof w:val="0"/>
          <w:rtl/>
          <w:lang w:eastAsia="en-US"/>
        </w:rPr>
      </w:pPr>
      <w:r>
        <w:rPr>
          <w:rFonts w:ascii="Traditional Arabic" w:hAnsi="Traditional Arabic" w:hint="cs"/>
          <w:b/>
          <w:bCs/>
          <w:noProof w:val="0"/>
          <w:rtl/>
          <w:lang w:eastAsia="en-US"/>
        </w:rPr>
        <w:t xml:space="preserve">   </w:t>
      </w:r>
      <w:r w:rsidR="00005E96">
        <w:rPr>
          <w:rFonts w:ascii="Traditional Arabic" w:hAnsi="Traditional Arabic" w:hint="cs"/>
          <w:b/>
          <w:bCs/>
          <w:noProof w:val="0"/>
          <w:rtl/>
          <w:lang w:eastAsia="en-US"/>
        </w:rPr>
        <w:t xml:space="preserve">                             </w:t>
      </w:r>
      <w:r w:rsidR="00EB00A3" w:rsidRPr="00D56CA7">
        <w:rPr>
          <w:rFonts w:ascii="Traditional Arabic" w:hAnsi="Traditional Arabic" w:hint="cs"/>
          <w:b/>
          <w:bCs/>
          <w:noProof w:val="0"/>
          <w:rtl/>
          <w:lang w:eastAsia="en-US"/>
        </w:rPr>
        <w:t>المطلب الخامس</w:t>
      </w:r>
    </w:p>
    <w:p w:rsidR="00EB00A3" w:rsidRPr="00D56CA7" w:rsidRDefault="00D56CA7" w:rsidP="00D56CA7">
      <w:pPr>
        <w:pStyle w:val="afc"/>
        <w:widowControl/>
        <w:autoSpaceDE w:val="0"/>
        <w:autoSpaceDN w:val="0"/>
        <w:adjustRightInd w:val="0"/>
        <w:ind w:left="735" w:firstLine="0"/>
        <w:rPr>
          <w:rFonts w:ascii="Traditional Arabic" w:hAnsi="Traditional Arabic"/>
          <w:b/>
          <w:bCs/>
          <w:noProof w:val="0"/>
          <w:rtl/>
          <w:lang w:eastAsia="en-US"/>
        </w:rPr>
      </w:pPr>
      <w:r>
        <w:rPr>
          <w:rFonts w:ascii="Traditional Arabic" w:hAnsi="Traditional Arabic" w:hint="cs"/>
          <w:b/>
          <w:bCs/>
          <w:noProof w:val="0"/>
          <w:rtl/>
          <w:lang w:eastAsia="en-US"/>
        </w:rPr>
        <w:t xml:space="preserve">   </w:t>
      </w:r>
      <w:r w:rsidR="00005E96">
        <w:rPr>
          <w:rFonts w:ascii="Traditional Arabic" w:hAnsi="Traditional Arabic" w:hint="cs"/>
          <w:b/>
          <w:bCs/>
          <w:noProof w:val="0"/>
          <w:rtl/>
          <w:lang w:eastAsia="en-US"/>
        </w:rPr>
        <w:t xml:space="preserve">                             </w:t>
      </w:r>
      <w:r w:rsidR="00EB00A3" w:rsidRPr="00D56CA7">
        <w:rPr>
          <w:rFonts w:ascii="Traditional Arabic" w:hAnsi="Traditional Arabic" w:hint="cs"/>
          <w:b/>
          <w:bCs/>
          <w:noProof w:val="0"/>
          <w:rtl/>
          <w:lang w:eastAsia="en-US"/>
        </w:rPr>
        <w:t>مستثنيات القاعدة</w:t>
      </w:r>
    </w:p>
    <w:p w:rsidR="00EB00A3" w:rsidRPr="005F532E" w:rsidRDefault="00EB00A3" w:rsidP="005F532E">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5F532E" w:rsidRPr="005F532E">
        <w:rPr>
          <w:rFonts w:ascii="Traditional Arabic" w:hAnsi="Traditional Arabic"/>
          <w:noProof w:val="0"/>
          <w:rtl/>
          <w:lang w:eastAsia="en-US"/>
        </w:rPr>
        <w:t xml:space="preserve">يستثنى من </w:t>
      </w:r>
      <w:r w:rsidR="005F532E" w:rsidRPr="005F532E">
        <w:rPr>
          <w:rFonts w:ascii="Traditional Arabic" w:hAnsi="Traditional Arabic" w:hint="cs"/>
          <w:noProof w:val="0"/>
          <w:rtl/>
          <w:lang w:eastAsia="en-US"/>
        </w:rPr>
        <w:t>القاعدة</w:t>
      </w:r>
      <w:r w:rsidR="005F532E" w:rsidRPr="005F532E">
        <w:rPr>
          <w:rFonts w:ascii="Traditional Arabic" w:hAnsi="Traditional Arabic"/>
          <w:noProof w:val="0"/>
          <w:rtl/>
          <w:lang w:eastAsia="en-US"/>
        </w:rPr>
        <w:t xml:space="preserve"> ما لو أمكن تدار</w:t>
      </w:r>
      <w:r w:rsidR="005F532E">
        <w:rPr>
          <w:rFonts w:ascii="Traditional Arabic" w:hAnsi="Traditional Arabic" w:hint="cs"/>
          <w:noProof w:val="0"/>
          <w:rtl/>
          <w:lang w:eastAsia="en-US"/>
        </w:rPr>
        <w:t>ُ</w:t>
      </w:r>
      <w:r w:rsidR="005F532E" w:rsidRPr="005F532E">
        <w:rPr>
          <w:rFonts w:ascii="Traditional Arabic" w:hAnsi="Traditional Arabic"/>
          <w:noProof w:val="0"/>
          <w:rtl/>
          <w:lang w:eastAsia="en-US"/>
        </w:rPr>
        <w:t>ك الضرر بضمان</w:t>
      </w:r>
      <w:r w:rsidR="005F532E">
        <w:rPr>
          <w:rFonts w:ascii="Traditional Arabic" w:hAnsi="Traditional Arabic" w:hint="cs"/>
          <w:noProof w:val="0"/>
          <w:rtl/>
          <w:lang w:eastAsia="en-US"/>
        </w:rPr>
        <w:t>ٍ</w:t>
      </w:r>
      <w:r w:rsidR="005F532E" w:rsidRPr="005F532E">
        <w:rPr>
          <w:rFonts w:ascii="Traditional Arabic" w:hAnsi="Traditional Arabic"/>
          <w:noProof w:val="0"/>
          <w:rtl/>
          <w:lang w:eastAsia="en-US"/>
        </w:rPr>
        <w:t xml:space="preserve"> أو نحوه</w:t>
      </w:r>
      <w:r w:rsidR="005F532E">
        <w:rPr>
          <w:rFonts w:ascii="Traditional Arabic" w:hAnsi="Traditional Arabic" w:hint="cs"/>
          <w:noProof w:val="0"/>
          <w:rtl/>
          <w:lang w:eastAsia="en-US"/>
        </w:rPr>
        <w:t>،</w:t>
      </w:r>
      <w:r w:rsidR="005F532E" w:rsidRPr="005F532E">
        <w:rPr>
          <w:rFonts w:ascii="Traditional Arabic" w:hAnsi="Traditional Arabic"/>
          <w:noProof w:val="0"/>
          <w:rtl/>
          <w:lang w:eastAsia="en-US"/>
        </w:rPr>
        <w:t xml:space="preserve"> فإنه يجوز الفسخ حينئذ</w:t>
      </w:r>
      <w:r w:rsidR="005F532E">
        <w:rPr>
          <w:rFonts w:ascii="Traditional Arabic" w:hAnsi="Traditional Arabic" w:hint="cs"/>
          <w:noProof w:val="0"/>
          <w:rtl/>
          <w:lang w:eastAsia="en-US"/>
        </w:rPr>
        <w:t>ٍ</w:t>
      </w:r>
      <w:r w:rsidR="005F532E" w:rsidRPr="005F532E">
        <w:rPr>
          <w:rFonts w:ascii="Traditional Arabic" w:hAnsi="Traditional Arabic"/>
          <w:noProof w:val="0"/>
          <w:rtl/>
          <w:lang w:eastAsia="en-US"/>
        </w:rPr>
        <w:t xml:space="preserve"> مع حصول الضرر</w:t>
      </w:r>
      <w:r w:rsidR="002671B7" w:rsidRPr="002671B7">
        <w:rPr>
          <w:rFonts w:ascii="Traditional Arabic" w:hAnsi="Traditional Arabic" w:hint="cs"/>
          <w:noProof w:val="0"/>
          <w:vertAlign w:val="superscript"/>
          <w:rtl/>
          <w:lang w:eastAsia="en-US"/>
        </w:rPr>
        <w:t>(</w:t>
      </w:r>
      <w:r w:rsidR="005F532E" w:rsidRPr="002671B7">
        <w:rPr>
          <w:rStyle w:val="af1"/>
          <w:rFonts w:ascii="Traditional Arabic" w:hAnsi="Traditional Arabic"/>
          <w:noProof w:val="0"/>
          <w:rtl/>
          <w:lang w:eastAsia="en-US"/>
        </w:rPr>
        <w:footnoteReference w:id="995"/>
      </w:r>
      <w:r w:rsidR="002671B7" w:rsidRPr="002671B7">
        <w:rPr>
          <w:rFonts w:ascii="Traditional Arabic" w:hAnsi="Traditional Arabic" w:hint="cs"/>
          <w:noProof w:val="0"/>
          <w:vertAlign w:val="superscript"/>
          <w:rtl/>
          <w:lang w:eastAsia="en-US"/>
        </w:rPr>
        <w:t>)</w:t>
      </w:r>
      <w:r w:rsidR="005F532E" w:rsidRPr="005F532E">
        <w:rPr>
          <w:rFonts w:ascii="Traditional Arabic" w:hAnsi="Traditional Arabic"/>
          <w:noProof w:val="0"/>
          <w:rtl/>
          <w:lang w:eastAsia="en-US"/>
        </w:rPr>
        <w:t>.</w:t>
      </w:r>
      <w:r w:rsidRPr="005F532E">
        <w:rPr>
          <w:rFonts w:ascii="Traditional Arabic" w:hAnsi="Traditional Arabic" w:hint="cs"/>
          <w:noProof w:val="0"/>
          <w:rtl/>
          <w:lang w:eastAsia="en-US"/>
        </w:rPr>
        <w:t xml:space="preserve"> </w:t>
      </w:r>
    </w:p>
    <w:p w:rsidR="00BF3D60" w:rsidRPr="005F53FF" w:rsidRDefault="00BF3D60" w:rsidP="00597C20">
      <w:pPr>
        <w:pStyle w:val="aff0"/>
        <w:rPr>
          <w:rtl/>
        </w:rPr>
      </w:pPr>
      <w:bookmarkStart w:id="194" w:name="_Toc334046425"/>
      <w:r w:rsidRPr="005F53FF">
        <w:rPr>
          <w:rFonts w:hint="cs"/>
          <w:rtl/>
        </w:rPr>
        <w:lastRenderedPageBreak/>
        <w:t>الفصل الخامس</w:t>
      </w:r>
      <w:r w:rsidRPr="005F53FF">
        <w:rPr>
          <w:rFonts w:hint="eastAsia"/>
          <w:rtl/>
        </w:rPr>
        <w:t> :</w:t>
      </w:r>
      <w:r w:rsidRPr="005F53FF">
        <w:rPr>
          <w:rFonts w:hint="cs"/>
          <w:rtl/>
        </w:rPr>
        <w:t>القواعد المتعلقة بالتوابع</w:t>
      </w:r>
      <w:bookmarkEnd w:id="194"/>
    </w:p>
    <w:p w:rsidR="00BF3D60" w:rsidRPr="002D7A92" w:rsidRDefault="00BF3D60"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مبحثان:</w:t>
      </w:r>
    </w:p>
    <w:p w:rsidR="00BF3D60" w:rsidRDefault="00BF3D60"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قاعدة يثبت تبعا ما لا يثبت استقلالا.</w:t>
      </w:r>
    </w:p>
    <w:p w:rsidR="00BF3D60" w:rsidRPr="00031790" w:rsidRDefault="00BF3D60" w:rsidP="00597C20">
      <w:pPr>
        <w:tabs>
          <w:tab w:val="left" w:pos="2833"/>
        </w:tabs>
        <w:ind w:left="2833" w:hanging="2268"/>
        <w:jc w:val="left"/>
        <w:rPr>
          <w:rtl/>
        </w:rPr>
      </w:pPr>
      <w:r w:rsidRPr="00FD5687">
        <w:rPr>
          <w:rFonts w:hint="cs"/>
          <w:b/>
          <w:bCs/>
          <w:rtl/>
        </w:rPr>
        <w:t>المبحث الثاني:</w:t>
      </w:r>
      <w:r w:rsidR="002F34AD">
        <w:rPr>
          <w:rFonts w:hint="cs"/>
          <w:rtl/>
        </w:rPr>
        <w:tab/>
      </w:r>
      <w:r w:rsidRPr="00031790">
        <w:rPr>
          <w:rFonts w:hint="cs"/>
          <w:rtl/>
        </w:rPr>
        <w:t>قاعدة إذا برئ الأصل برئ الفرع.</w:t>
      </w:r>
    </w:p>
    <w:p w:rsidR="00DC59C4" w:rsidRPr="00C85F0F" w:rsidRDefault="00DC59C4" w:rsidP="000F5C0F">
      <w:pPr>
        <w:pStyle w:val="aff2"/>
        <w:rPr>
          <w:rFonts w:ascii="Traditional Arabic" w:hAnsi="Traditional Arabic"/>
          <w:rtl/>
        </w:rPr>
      </w:pPr>
      <w:bookmarkStart w:id="195" w:name="_Toc334046426"/>
      <w:r w:rsidRPr="00F665A6">
        <w:rPr>
          <w:rFonts w:ascii="Traditional Arabic" w:hAnsi="Traditional Arabic" w:hint="cs"/>
          <w:rtl/>
        </w:rPr>
        <w:lastRenderedPageBreak/>
        <w:t>المبحث الأول</w:t>
      </w:r>
      <w:r>
        <w:rPr>
          <w:rFonts w:ascii="Traditional Arabic" w:hAnsi="Traditional Arabic" w:hint="eastAsia"/>
          <w:rtl/>
        </w:rPr>
        <w:t> :</w:t>
      </w:r>
      <w:r>
        <w:rPr>
          <w:rFonts w:ascii="Traditional Arabic" w:hAnsi="Traditional Arabic"/>
          <w:rtl/>
        </w:rPr>
        <w:br/>
      </w:r>
      <w:r w:rsidRPr="00F665A6">
        <w:rPr>
          <w:rFonts w:ascii="Traditional Arabic" w:hAnsi="Traditional Arabic" w:hint="cs"/>
          <w:rtl/>
        </w:rPr>
        <w:t>قاعدة</w:t>
      </w:r>
      <w:r>
        <w:rPr>
          <w:rFonts w:ascii="Traditional Arabic" w:hAnsi="Traditional Arabic"/>
          <w:rtl/>
        </w:rPr>
        <w:br/>
      </w:r>
      <w:r>
        <w:rPr>
          <w:rFonts w:ascii="Traditional Arabic" w:hAnsi="Traditional Arabic" w:hint="cs"/>
          <w:rtl/>
        </w:rPr>
        <w:t>"</w:t>
      </w:r>
      <w:r>
        <w:rPr>
          <w:rFonts w:hint="cs"/>
          <w:rtl/>
        </w:rPr>
        <w:t>يثبت تبعا ما لا يثبت استقلالا</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يثبتتبعامالايثبتاستقلالا</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Style w:val="af1"/>
          <w:b w:val="0"/>
          <w:bCs w:val="0"/>
          <w:szCs w:val="32"/>
          <w:rtl/>
        </w:rPr>
        <w:t>(</w:t>
      </w:r>
      <w:r w:rsidRPr="00C85F0F">
        <w:rPr>
          <w:rStyle w:val="af1"/>
          <w:b w:val="0"/>
          <w:bCs w:val="0"/>
          <w:szCs w:val="32"/>
          <w:rtl/>
        </w:rPr>
        <w:footnoteReference w:id="996"/>
      </w:r>
      <w:r w:rsidRPr="00C85F0F">
        <w:rPr>
          <w:rStyle w:val="af1"/>
          <w:b w:val="0"/>
          <w:bCs w:val="0"/>
          <w:szCs w:val="32"/>
          <w:rtl/>
        </w:rPr>
        <w:t>)</w:t>
      </w:r>
      <w:bookmarkEnd w:id="195"/>
    </w:p>
    <w:p w:rsidR="00065E4B" w:rsidRPr="00C85F0F" w:rsidRDefault="00D56CA7" w:rsidP="00A8347C">
      <w:pPr>
        <w:pStyle w:val="aff3"/>
        <w:rPr>
          <w:rtl/>
        </w:rPr>
      </w:pPr>
      <w:bookmarkStart w:id="196" w:name="_Toc334046427"/>
      <w:r>
        <w:rPr>
          <w:rFonts w:hint="cs"/>
          <w:rtl/>
        </w:rPr>
        <w:t xml:space="preserve">                                          </w:t>
      </w:r>
      <w:r w:rsidR="00DC59C4" w:rsidRPr="00C85F0F">
        <w:rPr>
          <w:rFonts w:hint="cs"/>
          <w:rtl/>
        </w:rPr>
        <w:t>المطلب الأول</w:t>
      </w:r>
      <w:r w:rsidR="00DC59C4" w:rsidRPr="00C85F0F">
        <w:rPr>
          <w:rFonts w:hint="eastAsia"/>
          <w:rtl/>
        </w:rPr>
        <w:t> :</w:t>
      </w:r>
      <w:r w:rsidR="00DC59C4" w:rsidRPr="00C85F0F">
        <w:rPr>
          <w:rFonts w:hint="cs"/>
          <w:rtl/>
        </w:rPr>
        <w:br/>
      </w:r>
      <w:r w:rsidR="00C169BE">
        <w:rPr>
          <w:rFonts w:hint="cs"/>
          <w:rtl/>
        </w:rPr>
        <w:t xml:space="preserve">                        </w:t>
      </w:r>
      <w:r w:rsidR="00DC59C4" w:rsidRPr="00C85F0F">
        <w:rPr>
          <w:rFonts w:hint="cs"/>
          <w:rtl/>
        </w:rPr>
        <w:t>صيغ القاعدة عند الشيخ وعند علماء القواعد</w:t>
      </w:r>
      <w:bookmarkEnd w:id="196"/>
    </w:p>
    <w:p w:rsidR="00DC59C4" w:rsidRPr="00C85F0F" w:rsidRDefault="00065E4B" w:rsidP="00597C20">
      <w:pPr>
        <w:ind w:firstLine="0"/>
        <w:rPr>
          <w:rtl/>
        </w:rPr>
      </w:pPr>
      <w:r w:rsidRPr="00C85F0F">
        <w:rPr>
          <w:rFonts w:hint="cs"/>
          <w:rtl/>
        </w:rPr>
        <w:t>و</w:t>
      </w:r>
      <w:r w:rsidR="00DC59C4" w:rsidRPr="00C85F0F">
        <w:rPr>
          <w:rFonts w:hint="cs"/>
          <w:rtl/>
        </w:rPr>
        <w:t xml:space="preserve">ردت هذه القاعدة عند الشيخ ابن عثيمين </w:t>
      </w:r>
      <w:r w:rsidR="00C169BE">
        <w:rPr>
          <w:rFonts w:hint="cs"/>
          <w:rtl/>
        </w:rPr>
        <w:t>_</w:t>
      </w:r>
      <w:r w:rsidR="009A0575" w:rsidRPr="005D5694">
        <w:rPr>
          <w:rFonts w:ascii="Traditional Arabic" w:hAnsi="Traditional Arabic" w:cs="CTraditional Arabic" w:hint="cs"/>
          <w:rtl/>
        </w:rPr>
        <w:t>/</w:t>
      </w:r>
      <w:r w:rsidR="00C169BE">
        <w:rPr>
          <w:rFonts w:hint="cs"/>
          <w:rtl/>
        </w:rPr>
        <w:t>_</w:t>
      </w:r>
      <w:r w:rsidR="00DC59C4" w:rsidRPr="00C85F0F">
        <w:rPr>
          <w:rFonts w:hint="cs"/>
          <w:rtl/>
        </w:rPr>
        <w:t xml:space="preserve"> بعدة صيغ، منها:</w:t>
      </w:r>
    </w:p>
    <w:p w:rsidR="00DC59C4" w:rsidRPr="00C85F0F" w:rsidRDefault="00DC59C4" w:rsidP="000A76C7">
      <w:pPr>
        <w:numPr>
          <w:ilvl w:val="0"/>
          <w:numId w:val="138"/>
        </w:numPr>
      </w:pPr>
      <w:r w:rsidRPr="00C85F0F">
        <w:rPr>
          <w:rFonts w:hint="cs"/>
          <w:rtl/>
        </w:rPr>
        <w:t>يثبُت تَبَعاً ما لا يثبت استقلالاً</w:t>
      </w:r>
      <w:r w:rsidRPr="00C85F0F">
        <w:rPr>
          <w:rStyle w:val="af1"/>
          <w:szCs w:val="32"/>
          <w:rtl/>
        </w:rPr>
        <w:t>(</w:t>
      </w:r>
      <w:r w:rsidRPr="00C85F0F">
        <w:rPr>
          <w:rStyle w:val="af1"/>
          <w:szCs w:val="32"/>
          <w:rtl/>
        </w:rPr>
        <w:footnoteReference w:id="997"/>
      </w:r>
      <w:r w:rsidRPr="00C85F0F">
        <w:rPr>
          <w:rStyle w:val="af1"/>
          <w:szCs w:val="32"/>
          <w:rtl/>
        </w:rPr>
        <w:t>)</w:t>
      </w:r>
      <w:r w:rsidRPr="00C85F0F">
        <w:rPr>
          <w:rFonts w:hint="cs"/>
          <w:rtl/>
        </w:rPr>
        <w:t>.</w:t>
      </w:r>
    </w:p>
    <w:p w:rsidR="00DC59C4" w:rsidRPr="00C85F0F" w:rsidRDefault="00DC59C4" w:rsidP="000A76C7">
      <w:pPr>
        <w:numPr>
          <w:ilvl w:val="0"/>
          <w:numId w:val="138"/>
        </w:numPr>
      </w:pPr>
      <w:r w:rsidRPr="00C85F0F">
        <w:rPr>
          <w:rFonts w:hint="cs"/>
          <w:rtl/>
        </w:rPr>
        <w:t>يثبت في التابع ما لا يثبت في المستقِل</w:t>
      </w:r>
      <w:r w:rsidRPr="00C85F0F">
        <w:rPr>
          <w:rStyle w:val="af1"/>
          <w:szCs w:val="32"/>
          <w:rtl/>
        </w:rPr>
        <w:t>(</w:t>
      </w:r>
      <w:r w:rsidRPr="00C85F0F">
        <w:rPr>
          <w:rStyle w:val="af1"/>
          <w:szCs w:val="32"/>
          <w:rtl/>
        </w:rPr>
        <w:footnoteReference w:id="998"/>
      </w:r>
      <w:r w:rsidRPr="00C85F0F">
        <w:rPr>
          <w:rStyle w:val="af1"/>
          <w:szCs w:val="32"/>
          <w:rtl/>
        </w:rPr>
        <w:t>)</w:t>
      </w:r>
      <w:r w:rsidRPr="00C85F0F">
        <w:rPr>
          <w:rFonts w:hint="cs"/>
          <w:rtl/>
        </w:rPr>
        <w:t>.</w:t>
      </w:r>
    </w:p>
    <w:p w:rsidR="00065E4B" w:rsidRPr="00C85F0F" w:rsidRDefault="00DC59C4" w:rsidP="000A76C7">
      <w:pPr>
        <w:numPr>
          <w:ilvl w:val="0"/>
          <w:numId w:val="138"/>
        </w:numPr>
      </w:pPr>
      <w:r w:rsidRPr="00C85F0F">
        <w:rPr>
          <w:rFonts w:hint="cs"/>
          <w:rtl/>
        </w:rPr>
        <w:t>قد يثبت الشيءُ لِغيرهِ تَبَعْ</w:t>
      </w:r>
      <w:r w:rsidR="00C169BE">
        <w:rPr>
          <w:rFonts w:hint="cs"/>
          <w:rtl/>
        </w:rPr>
        <w:t xml:space="preserve">       </w:t>
      </w:r>
      <w:r w:rsidRPr="00C85F0F">
        <w:rPr>
          <w:rFonts w:hint="cs"/>
          <w:rtl/>
        </w:rPr>
        <w:t>وإنْ يكُنْ لو استقلَّ لامْتَنَعْ</w:t>
      </w:r>
      <w:r w:rsidRPr="00C85F0F">
        <w:rPr>
          <w:rStyle w:val="af1"/>
          <w:szCs w:val="32"/>
          <w:rtl/>
        </w:rPr>
        <w:t>(</w:t>
      </w:r>
      <w:r w:rsidRPr="00C85F0F">
        <w:rPr>
          <w:rStyle w:val="af1"/>
          <w:szCs w:val="32"/>
          <w:rtl/>
        </w:rPr>
        <w:footnoteReference w:id="999"/>
      </w:r>
      <w:r w:rsidRPr="00C85F0F">
        <w:rPr>
          <w:rStyle w:val="af1"/>
          <w:szCs w:val="32"/>
          <w:rtl/>
        </w:rPr>
        <w:t>)</w:t>
      </w:r>
      <w:r w:rsidRPr="00C85F0F">
        <w:rPr>
          <w:rFonts w:hint="cs"/>
          <w:rtl/>
        </w:rPr>
        <w:t>.</w:t>
      </w:r>
    </w:p>
    <w:p w:rsidR="00DC59C4" w:rsidRPr="00C85F0F" w:rsidRDefault="00065E4B" w:rsidP="00597C20">
      <w:pPr>
        <w:ind w:firstLine="0"/>
        <w:rPr>
          <w:rtl/>
        </w:rPr>
      </w:pPr>
      <w:r w:rsidRPr="00C85F0F">
        <w:rPr>
          <w:rFonts w:hint="cs"/>
          <w:rtl/>
        </w:rPr>
        <w:t>و</w:t>
      </w:r>
      <w:r w:rsidR="00DC59C4" w:rsidRPr="00C85F0F">
        <w:rPr>
          <w:rFonts w:hint="cs"/>
          <w:rtl/>
        </w:rPr>
        <w:t>وردت هذه القاعدة عند علماء القواعد بعدة صيغ، منها:</w:t>
      </w:r>
    </w:p>
    <w:p w:rsidR="00DC59C4" w:rsidRPr="00C85F0F" w:rsidRDefault="00DC59C4" w:rsidP="000A76C7">
      <w:pPr>
        <w:numPr>
          <w:ilvl w:val="0"/>
          <w:numId w:val="141"/>
        </w:numPr>
        <w:rPr>
          <w:rFonts w:ascii="Traditional Arabic" w:hAnsi="Traditional Arabic"/>
        </w:rPr>
      </w:pPr>
      <w:r w:rsidRPr="00C85F0F">
        <w:rPr>
          <w:rFonts w:ascii="Traditional Arabic" w:hAnsi="Traditional Arabic"/>
          <w:rtl/>
        </w:rPr>
        <w:t>ي</w:t>
      </w:r>
      <w:r w:rsidRPr="00C85F0F">
        <w:rPr>
          <w:rFonts w:ascii="Traditional Arabic" w:hAnsi="Traditional Arabic" w:hint="cs"/>
          <w:rtl/>
        </w:rPr>
        <w:t>َ</w:t>
      </w:r>
      <w:r w:rsidRPr="00C85F0F">
        <w:rPr>
          <w:rFonts w:ascii="Traditional Arabic" w:hAnsi="Traditional Arabic"/>
          <w:rtl/>
        </w:rPr>
        <w:t xml:space="preserve">دخل </w:t>
      </w:r>
      <w:r w:rsidRPr="00C85F0F">
        <w:rPr>
          <w:rFonts w:ascii="Traditional Arabic" w:hAnsi="Traditional Arabic" w:hint="cs"/>
          <w:rtl/>
        </w:rPr>
        <w:t xml:space="preserve">في الفَرْد والعقود </w:t>
      </w:r>
      <w:r w:rsidRPr="00C85F0F">
        <w:rPr>
          <w:rFonts w:ascii="Traditional Arabic" w:hAnsi="Traditional Arabic"/>
          <w:rtl/>
        </w:rPr>
        <w:t>تبعاً ما لا يدخل استقلالاً</w:t>
      </w:r>
      <w:r w:rsidRPr="00C85F0F">
        <w:rPr>
          <w:rStyle w:val="af1"/>
          <w:szCs w:val="32"/>
          <w:rtl/>
        </w:rPr>
        <w:t>(</w:t>
      </w:r>
      <w:r w:rsidRPr="00C85F0F">
        <w:rPr>
          <w:rStyle w:val="af1"/>
          <w:szCs w:val="32"/>
          <w:rtl/>
        </w:rPr>
        <w:footnoteReference w:id="1000"/>
      </w:r>
      <w:r w:rsidRPr="00C85F0F">
        <w:rPr>
          <w:rStyle w:val="af1"/>
          <w:szCs w:val="32"/>
          <w:rtl/>
        </w:rPr>
        <w:t>)</w:t>
      </w:r>
      <w:r w:rsidRPr="00C85F0F">
        <w:rPr>
          <w:rFonts w:ascii="Traditional Arabic" w:hAnsi="Traditional Arabic" w:hint="cs"/>
          <w:rtl/>
        </w:rPr>
        <w:t>.</w:t>
      </w:r>
    </w:p>
    <w:p w:rsidR="00DC59C4" w:rsidRPr="00C85F0F" w:rsidRDefault="00DC59C4" w:rsidP="000A76C7">
      <w:pPr>
        <w:numPr>
          <w:ilvl w:val="0"/>
          <w:numId w:val="141"/>
        </w:numPr>
        <w:rPr>
          <w:rFonts w:ascii="Traditional Arabic" w:hAnsi="Traditional Arabic"/>
          <w:rtl/>
        </w:rPr>
      </w:pPr>
      <w:r w:rsidRPr="00C85F0F">
        <w:rPr>
          <w:rFonts w:ascii="Traditional Arabic" w:hAnsi="Traditional Arabic"/>
          <w:rtl/>
        </w:rPr>
        <w:t>أحكام الت</w:t>
      </w:r>
      <w:r w:rsidRPr="00C85F0F">
        <w:rPr>
          <w:rFonts w:ascii="Traditional Arabic" w:hAnsi="Traditional Arabic" w:hint="cs"/>
          <w:rtl/>
        </w:rPr>
        <w:t>َّ</w:t>
      </w:r>
      <w:r w:rsidRPr="00C85F0F">
        <w:rPr>
          <w:rFonts w:ascii="Traditional Arabic" w:hAnsi="Traditional Arabic"/>
          <w:rtl/>
        </w:rPr>
        <w:t>ب</w:t>
      </w:r>
      <w:r w:rsidRPr="00C85F0F">
        <w:rPr>
          <w:rFonts w:ascii="Traditional Arabic" w:hAnsi="Traditional Arabic" w:hint="cs"/>
          <w:rtl/>
        </w:rPr>
        <w:t>َ</w:t>
      </w:r>
      <w:r w:rsidRPr="00C85F0F">
        <w:rPr>
          <w:rFonts w:ascii="Traditional Arabic" w:hAnsi="Traditional Arabic"/>
          <w:rtl/>
        </w:rPr>
        <w:t>ع يثبت فيها ما لا يثبت في المتبوعات</w:t>
      </w:r>
      <w:r w:rsidRPr="00C85F0F">
        <w:rPr>
          <w:rStyle w:val="af1"/>
          <w:szCs w:val="32"/>
          <w:rtl/>
        </w:rPr>
        <w:t>(</w:t>
      </w:r>
      <w:r w:rsidRPr="00C85F0F">
        <w:rPr>
          <w:rStyle w:val="af1"/>
          <w:szCs w:val="32"/>
          <w:rtl/>
        </w:rPr>
        <w:footnoteReference w:id="1001"/>
      </w:r>
      <w:r w:rsidRPr="00C85F0F">
        <w:rPr>
          <w:rStyle w:val="af1"/>
          <w:szCs w:val="32"/>
          <w:rtl/>
        </w:rPr>
        <w:t>)</w:t>
      </w:r>
      <w:r w:rsidRPr="00C85F0F">
        <w:rPr>
          <w:rFonts w:ascii="Traditional Arabic" w:hAnsi="Traditional Arabic" w:hint="cs"/>
          <w:rtl/>
        </w:rPr>
        <w:t>.</w:t>
      </w:r>
    </w:p>
    <w:p w:rsidR="00DC59C4" w:rsidRPr="00C85F0F" w:rsidRDefault="00DC59C4" w:rsidP="000A76C7">
      <w:pPr>
        <w:numPr>
          <w:ilvl w:val="0"/>
          <w:numId w:val="140"/>
        </w:numPr>
        <w:rPr>
          <w:rtl/>
        </w:rPr>
      </w:pPr>
      <w:r w:rsidRPr="00C85F0F">
        <w:rPr>
          <w:rFonts w:hint="cs"/>
          <w:rtl/>
        </w:rPr>
        <w:t>قد يَسوغ في الشيء تابِعاً ما يمتنِع فيه مستقلاًّ تغليباً للمتبوع</w:t>
      </w:r>
      <w:r w:rsidRPr="00C85F0F">
        <w:rPr>
          <w:rStyle w:val="af1"/>
          <w:szCs w:val="32"/>
          <w:rtl/>
        </w:rPr>
        <w:t>(</w:t>
      </w:r>
      <w:r w:rsidRPr="00C85F0F">
        <w:rPr>
          <w:rStyle w:val="af1"/>
          <w:szCs w:val="32"/>
          <w:rtl/>
        </w:rPr>
        <w:footnoteReference w:id="1002"/>
      </w:r>
      <w:r w:rsidRPr="00C85F0F">
        <w:rPr>
          <w:rStyle w:val="af1"/>
          <w:szCs w:val="32"/>
          <w:rtl/>
        </w:rPr>
        <w:t>)</w:t>
      </w:r>
      <w:r w:rsidRPr="00C85F0F">
        <w:rPr>
          <w:rFonts w:hint="cs"/>
          <w:rtl/>
        </w:rPr>
        <w:t>.</w:t>
      </w:r>
    </w:p>
    <w:p w:rsidR="00F228A9" w:rsidRPr="00C85F0F" w:rsidRDefault="00F228A9" w:rsidP="000A76C7">
      <w:pPr>
        <w:numPr>
          <w:ilvl w:val="0"/>
          <w:numId w:val="139"/>
        </w:numPr>
      </w:pPr>
      <w:r w:rsidRPr="00C85F0F">
        <w:rPr>
          <w:rFonts w:hint="cs"/>
          <w:rtl/>
        </w:rPr>
        <w:lastRenderedPageBreak/>
        <w:t>يثبت تبعا ما لا يثبت استقلالا</w:t>
      </w:r>
      <w:r w:rsidRPr="00C85F0F">
        <w:rPr>
          <w:rStyle w:val="af1"/>
          <w:szCs w:val="32"/>
          <w:rtl/>
        </w:rPr>
        <w:t>(</w:t>
      </w:r>
      <w:r w:rsidRPr="00C85F0F">
        <w:rPr>
          <w:rStyle w:val="af1"/>
          <w:szCs w:val="32"/>
          <w:rtl/>
        </w:rPr>
        <w:footnoteReference w:id="1003"/>
      </w:r>
      <w:r w:rsidRPr="00C85F0F">
        <w:rPr>
          <w:rStyle w:val="af1"/>
          <w:szCs w:val="32"/>
          <w:rtl/>
        </w:rPr>
        <w:t>)</w:t>
      </w:r>
      <w:r w:rsidRPr="00C85F0F">
        <w:rPr>
          <w:rFonts w:hint="cs"/>
          <w:rtl/>
        </w:rPr>
        <w:t>.</w:t>
      </w:r>
    </w:p>
    <w:p w:rsidR="00DC59C4" w:rsidRPr="00C85F0F" w:rsidRDefault="00DC59C4" w:rsidP="000A76C7">
      <w:pPr>
        <w:numPr>
          <w:ilvl w:val="0"/>
          <w:numId w:val="139"/>
        </w:numPr>
        <w:rPr>
          <w:rFonts w:ascii="Traditional Arabic" w:hAnsi="Traditional Arabic"/>
        </w:rPr>
      </w:pPr>
      <w:r w:rsidRPr="00C85F0F">
        <w:rPr>
          <w:rFonts w:ascii="Traditional Arabic" w:hAnsi="Traditional Arabic" w:hint="cs"/>
          <w:rtl/>
        </w:rPr>
        <w:t>ومن مسائل الأحكام في التبَعْ</w:t>
      </w:r>
      <w:r w:rsidR="008E2E6E">
        <w:rPr>
          <w:rFonts w:ascii="Traditional Arabic" w:hAnsi="Traditional Arabic" w:hint="cs"/>
          <w:rtl/>
        </w:rPr>
        <w:t xml:space="preserve">      </w:t>
      </w:r>
      <w:r w:rsidRPr="00C85F0F">
        <w:rPr>
          <w:rFonts w:ascii="Traditional Arabic" w:hAnsi="Traditional Arabic" w:hint="cs"/>
          <w:rtl/>
        </w:rPr>
        <w:t>يثب</w:t>
      </w:r>
      <w:r w:rsidR="008E2E6E">
        <w:rPr>
          <w:rFonts w:ascii="Traditional Arabic" w:hAnsi="Traditional Arabic" w:hint="cs"/>
          <w:rtl/>
        </w:rPr>
        <w:t>ُ</w:t>
      </w:r>
      <w:r w:rsidRPr="00C85F0F">
        <w:rPr>
          <w:rFonts w:ascii="Traditional Arabic" w:hAnsi="Traditional Arabic" w:hint="cs"/>
          <w:rtl/>
        </w:rPr>
        <w:t>ت لا إذا استقلَّ فَوَقَعْ</w:t>
      </w:r>
      <w:r w:rsidRPr="00C85F0F">
        <w:rPr>
          <w:rStyle w:val="af1"/>
          <w:szCs w:val="32"/>
          <w:rtl/>
        </w:rPr>
        <w:t>(</w:t>
      </w:r>
      <w:r w:rsidRPr="00C85F0F">
        <w:rPr>
          <w:rStyle w:val="af1"/>
          <w:szCs w:val="32"/>
          <w:rtl/>
        </w:rPr>
        <w:footnoteReference w:id="1004"/>
      </w:r>
      <w:r w:rsidRPr="00C85F0F">
        <w:rPr>
          <w:rStyle w:val="af1"/>
          <w:szCs w:val="32"/>
          <w:rtl/>
        </w:rPr>
        <w:t>)</w:t>
      </w:r>
      <w:r w:rsidRPr="00C85F0F">
        <w:rPr>
          <w:rFonts w:ascii="Traditional Arabic" w:hAnsi="Traditional Arabic" w:hint="cs"/>
          <w:rtl/>
        </w:rPr>
        <w:t>.</w:t>
      </w:r>
    </w:p>
    <w:p w:rsidR="00065E4B" w:rsidRPr="00C85F0F" w:rsidRDefault="008E2E6E" w:rsidP="00A8347C">
      <w:pPr>
        <w:pStyle w:val="aff3"/>
        <w:rPr>
          <w:rtl/>
        </w:rPr>
      </w:pPr>
      <w:bookmarkStart w:id="197" w:name="_Toc334046428"/>
      <w:r>
        <w:rPr>
          <w:rFonts w:hint="cs"/>
          <w:rtl/>
        </w:rPr>
        <w:t xml:space="preserve">                                     </w:t>
      </w:r>
      <w:r w:rsidR="00DC59C4" w:rsidRPr="00C85F0F">
        <w:rPr>
          <w:rFonts w:hint="cs"/>
          <w:rtl/>
        </w:rPr>
        <w:t>المطلب الثاني</w:t>
      </w:r>
      <w:r w:rsidR="00DC59C4" w:rsidRPr="00C85F0F">
        <w:rPr>
          <w:rFonts w:hint="eastAsia"/>
          <w:rtl/>
        </w:rPr>
        <w:t> :</w:t>
      </w:r>
      <w:r w:rsidR="00DC59C4" w:rsidRPr="00C85F0F">
        <w:rPr>
          <w:rFonts w:hint="cs"/>
          <w:rtl/>
        </w:rPr>
        <w:br/>
      </w:r>
      <w:r>
        <w:rPr>
          <w:rFonts w:hint="cs"/>
          <w:rtl/>
        </w:rPr>
        <w:t xml:space="preserve">                                       </w:t>
      </w:r>
      <w:r w:rsidR="00DC59C4" w:rsidRPr="00C85F0F">
        <w:rPr>
          <w:rFonts w:hint="cs"/>
          <w:rtl/>
        </w:rPr>
        <w:t>شرح القاعدة</w:t>
      </w:r>
      <w:bookmarkEnd w:id="197"/>
    </w:p>
    <w:p w:rsidR="00DC59C4" w:rsidRPr="00C85F0F" w:rsidRDefault="00065E4B" w:rsidP="00597C20">
      <w:pPr>
        <w:ind w:firstLine="720"/>
        <w:rPr>
          <w:rFonts w:ascii="Traditional Arabic" w:hAnsi="Traditional Arabic"/>
          <w:rtl/>
        </w:rPr>
      </w:pPr>
      <w:r w:rsidRPr="00C85F0F">
        <w:rPr>
          <w:rFonts w:ascii="Traditional Arabic" w:hAnsi="Traditional Arabic" w:hint="cs"/>
          <w:rtl/>
        </w:rPr>
        <w:t>ه</w:t>
      </w:r>
      <w:r w:rsidR="00DC59C4" w:rsidRPr="00C85F0F">
        <w:rPr>
          <w:rFonts w:ascii="Traditional Arabic" w:hAnsi="Traditional Arabic" w:hint="cs"/>
          <w:rtl/>
        </w:rPr>
        <w:t>ذه القاعدة من القواعد المندرجة تحت قاعدة "التابع تابع"</w:t>
      </w:r>
      <w:r w:rsidR="00DC59C4" w:rsidRPr="00C85F0F">
        <w:rPr>
          <w:rStyle w:val="af1"/>
          <w:szCs w:val="32"/>
          <w:rtl/>
        </w:rPr>
        <w:t>(</w:t>
      </w:r>
      <w:r w:rsidR="00DC59C4" w:rsidRPr="00C85F0F">
        <w:rPr>
          <w:rStyle w:val="af1"/>
          <w:szCs w:val="32"/>
          <w:rtl/>
        </w:rPr>
        <w:footnoteReference w:id="1005"/>
      </w:r>
      <w:r w:rsidR="00DC59C4" w:rsidRPr="00C85F0F">
        <w:rPr>
          <w:rStyle w:val="af1"/>
          <w:szCs w:val="32"/>
          <w:rtl/>
        </w:rPr>
        <w:t>)</w:t>
      </w:r>
      <w:r w:rsidR="00DC59C4" w:rsidRPr="00C85F0F">
        <w:rPr>
          <w:rFonts w:ascii="Traditional Arabic" w:hAnsi="Traditional Arabic" w:hint="cs"/>
          <w:rtl/>
        </w:rPr>
        <w:t>، ومعناها أن الشيء قد يثبت تبعاً لغيره مع أنه لو استقل عنه لكان ممنوعا</w:t>
      </w:r>
      <w:r w:rsidR="00DC59C4" w:rsidRPr="00C85F0F">
        <w:rPr>
          <w:rStyle w:val="af1"/>
          <w:szCs w:val="32"/>
          <w:rtl/>
        </w:rPr>
        <w:t>(</w:t>
      </w:r>
      <w:r w:rsidR="00DC59C4" w:rsidRPr="00C85F0F">
        <w:rPr>
          <w:rStyle w:val="af1"/>
          <w:szCs w:val="32"/>
          <w:rtl/>
        </w:rPr>
        <w:footnoteReference w:id="1006"/>
      </w:r>
      <w:r w:rsidR="00DC59C4" w:rsidRPr="00C85F0F">
        <w:rPr>
          <w:rStyle w:val="af1"/>
          <w:szCs w:val="32"/>
          <w:rtl/>
        </w:rPr>
        <w:t>)</w:t>
      </w:r>
      <w:r w:rsidR="00DC59C4" w:rsidRPr="00C85F0F">
        <w:rPr>
          <w:rFonts w:ascii="Traditional Arabic" w:hAnsi="Traditional Arabic" w:hint="cs"/>
          <w:rtl/>
        </w:rPr>
        <w:t>، فالأحكام منها أشياء يختلف حُكمُها في حال الانفراد، وفي حال التَّبع لغيرها، فلها حُكمٌ إذا انفردتْ، ولها حكم إذا تَبِعت غيرَها</w:t>
      </w:r>
      <w:r w:rsidR="00DC59C4" w:rsidRPr="00C85F0F">
        <w:rPr>
          <w:rStyle w:val="af1"/>
          <w:szCs w:val="32"/>
          <w:rtl/>
        </w:rPr>
        <w:t>(</w:t>
      </w:r>
      <w:r w:rsidR="00DC59C4" w:rsidRPr="00C85F0F">
        <w:rPr>
          <w:rStyle w:val="af1"/>
          <w:szCs w:val="32"/>
          <w:rtl/>
        </w:rPr>
        <w:footnoteReference w:id="1007"/>
      </w:r>
      <w:r w:rsidR="00DC59C4" w:rsidRPr="00C85F0F">
        <w:rPr>
          <w:rStyle w:val="af1"/>
          <w:szCs w:val="32"/>
          <w:rtl/>
        </w:rPr>
        <w:t>)</w:t>
      </w:r>
      <w:r w:rsidR="00DC59C4" w:rsidRPr="00C85F0F">
        <w:rPr>
          <w:rFonts w:ascii="Traditional Arabic" w:hAnsi="Traditional Arabic" w:hint="cs"/>
          <w:rtl/>
        </w:rPr>
        <w:t>؛ وذلك أن المسائل والصوَر التابعة لغيرها، يشملها حكمُ متبوعِها، فلا تُفْرَد بحكم، فلو أُفردت بحكم لَثبت لها حكم</w:t>
      </w:r>
      <w:r w:rsidR="008E2E6E">
        <w:rPr>
          <w:rFonts w:ascii="Traditional Arabic" w:hAnsi="Traditional Arabic" w:hint="cs"/>
          <w:rtl/>
        </w:rPr>
        <w:t>ٌ</w:t>
      </w:r>
      <w:r w:rsidR="00DC59C4" w:rsidRPr="00C85F0F">
        <w:rPr>
          <w:rFonts w:ascii="Traditional Arabic" w:hAnsi="Traditional Arabic" w:hint="cs"/>
          <w:rtl/>
        </w:rPr>
        <w:t xml:space="preserve"> آخر، وهذا هو الموجِب لكَوْن كثير من التوابع ت</w:t>
      </w:r>
      <w:r w:rsidR="008E2E6E">
        <w:rPr>
          <w:rFonts w:ascii="Traditional Arabic" w:hAnsi="Traditional Arabic" w:hint="cs"/>
          <w:rtl/>
        </w:rPr>
        <w:t>ُ</w:t>
      </w:r>
      <w:r w:rsidR="00DC59C4" w:rsidRPr="00C85F0F">
        <w:rPr>
          <w:rFonts w:ascii="Traditional Arabic" w:hAnsi="Traditional Arabic" w:hint="cs"/>
          <w:rtl/>
        </w:rPr>
        <w:t>خالِف غيرَها، فيقال فيها: إنها ثابتة على وجه التب</w:t>
      </w:r>
      <w:r w:rsidR="008E2E6E">
        <w:rPr>
          <w:rFonts w:ascii="Traditional Arabic" w:hAnsi="Traditional Arabic" w:hint="cs"/>
          <w:rtl/>
        </w:rPr>
        <w:t>َ</w:t>
      </w:r>
      <w:r w:rsidR="00DC59C4" w:rsidRPr="00C85F0F">
        <w:rPr>
          <w:rFonts w:ascii="Traditional Arabic" w:hAnsi="Traditional Arabic" w:hint="cs"/>
          <w:rtl/>
        </w:rPr>
        <w:t>ع</w:t>
      </w:r>
      <w:r w:rsidR="00DC59C4" w:rsidRPr="00C85F0F">
        <w:rPr>
          <w:rStyle w:val="af1"/>
          <w:szCs w:val="32"/>
          <w:rtl/>
        </w:rPr>
        <w:t>(</w:t>
      </w:r>
      <w:r w:rsidR="00DC59C4" w:rsidRPr="00C85F0F">
        <w:rPr>
          <w:rStyle w:val="af1"/>
          <w:szCs w:val="32"/>
          <w:rtl/>
        </w:rPr>
        <w:footnoteReference w:id="1008"/>
      </w:r>
      <w:r w:rsidR="00DC59C4" w:rsidRPr="00C85F0F">
        <w:rPr>
          <w:rStyle w:val="af1"/>
          <w:szCs w:val="32"/>
          <w:rtl/>
        </w:rPr>
        <w:t>)</w:t>
      </w:r>
      <w:r w:rsidR="00DC59C4" w:rsidRPr="00C85F0F">
        <w:rPr>
          <w:rFonts w:ascii="Traditional Arabic" w:hAnsi="Traditional Arabic" w:hint="cs"/>
          <w:rtl/>
        </w:rPr>
        <w:t>.</w:t>
      </w:r>
    </w:p>
    <w:p w:rsidR="00DC59C4" w:rsidRPr="00C85F0F" w:rsidRDefault="008E2E6E" w:rsidP="00A8347C">
      <w:pPr>
        <w:pStyle w:val="aff3"/>
        <w:rPr>
          <w:rtl/>
        </w:rPr>
      </w:pPr>
      <w:bookmarkStart w:id="198" w:name="_Toc334046429"/>
      <w:r>
        <w:rPr>
          <w:rFonts w:hint="cs"/>
          <w:rtl/>
        </w:rPr>
        <w:t xml:space="preserve">                                        </w:t>
      </w:r>
      <w:r w:rsidR="00DC59C4" w:rsidRPr="00C85F0F">
        <w:rPr>
          <w:rFonts w:hint="cs"/>
          <w:rtl/>
        </w:rPr>
        <w:t>المطلب الثالث</w:t>
      </w:r>
      <w:r w:rsidR="00DC59C4" w:rsidRPr="00C85F0F">
        <w:rPr>
          <w:rFonts w:hint="eastAsia"/>
          <w:rtl/>
        </w:rPr>
        <w:t> :</w:t>
      </w:r>
      <w:r w:rsidR="00DC59C4" w:rsidRPr="00C85F0F">
        <w:rPr>
          <w:rFonts w:hint="cs"/>
          <w:rtl/>
        </w:rPr>
        <w:br/>
      </w:r>
      <w:r>
        <w:rPr>
          <w:rFonts w:hint="cs"/>
          <w:rtl/>
        </w:rPr>
        <w:t xml:space="preserve">                                          </w:t>
      </w:r>
      <w:r w:rsidR="00DC59C4" w:rsidRPr="00C85F0F">
        <w:rPr>
          <w:rFonts w:hint="cs"/>
          <w:rtl/>
        </w:rPr>
        <w:t>أدلة القاعدة</w:t>
      </w:r>
      <w:bookmarkEnd w:id="198"/>
    </w:p>
    <w:p w:rsidR="00DC59C4" w:rsidRDefault="00DC59C4" w:rsidP="000A76C7">
      <w:pPr>
        <w:pStyle w:val="afc"/>
        <w:numPr>
          <w:ilvl w:val="0"/>
          <w:numId w:val="142"/>
        </w:numPr>
        <w:rPr>
          <w:rFonts w:ascii="Traditional Arabic" w:hAnsi="Traditional Arabic"/>
          <w:color w:val="auto"/>
        </w:rPr>
      </w:pPr>
      <w:r w:rsidRPr="00C85F0F">
        <w:rPr>
          <w:rFonts w:ascii="Traditional Arabic" w:hAnsi="Traditional Arabic" w:hint="cs"/>
          <w:rtl/>
        </w:rPr>
        <w:t xml:space="preserve">حديث </w:t>
      </w:r>
      <w:r w:rsidRPr="00C85F0F">
        <w:rPr>
          <w:rFonts w:ascii="Traditional Arabic" w:hAnsi="Traditional Arabic"/>
          <w:noProof w:val="0"/>
          <w:color w:val="auto"/>
          <w:rtl/>
          <w:lang w:eastAsia="en-US"/>
        </w:rPr>
        <w:t xml:space="preserve">عبد الله بن عمر </w:t>
      </w:r>
      <w:r w:rsidR="00FF3117">
        <w:rPr>
          <w:rFonts w:ascii="Traditional Arabic" w:hAnsi="Traditional Arabic" w:hint="cs"/>
          <w:noProof w:val="0"/>
          <w:color w:val="auto"/>
          <w:rtl/>
          <w:lang w:eastAsia="en-US"/>
        </w:rPr>
        <w:t>رضي الله عنه</w:t>
      </w:r>
      <w:r w:rsidRPr="00C85F0F">
        <w:rPr>
          <w:rFonts w:ascii="Traditional Arabic" w:hAnsi="Traditional Arabic"/>
          <w:noProof w:val="0"/>
          <w:color w:val="auto"/>
          <w:rtl/>
          <w:lang w:eastAsia="en-US"/>
        </w:rPr>
        <w:t xml:space="preserve"> أن رسول الله </w:t>
      </w:r>
      <w:r w:rsidR="00FF3117">
        <w:rPr>
          <w:rFonts w:ascii="Traditional Arabic" w:hAnsi="Traditional Arabic" w:hint="cs"/>
          <w:noProof w:val="0"/>
          <w:color w:val="auto"/>
          <w:rtl/>
          <w:lang w:eastAsia="en-US"/>
        </w:rPr>
        <w:t>صلى الله عليه وسلم</w:t>
      </w:r>
      <w:r w:rsidRPr="00C85F0F">
        <w:rPr>
          <w:rFonts w:ascii="Traditional Arabic" w:hAnsi="Traditional Arabic"/>
          <w:noProof w:val="0"/>
          <w:color w:val="auto"/>
          <w:rtl/>
          <w:lang w:eastAsia="en-US"/>
        </w:rPr>
        <w:t xml:space="preserve"> قال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من </w:t>
      </w:r>
      <w:r w:rsidRPr="00C85F0F">
        <w:rPr>
          <w:rFonts w:ascii="Traditional Arabic" w:hAnsi="Traditional Arabic"/>
          <w:noProof w:val="0"/>
          <w:color w:val="auto"/>
          <w:rtl/>
          <w:lang w:eastAsia="en-US"/>
        </w:rPr>
        <w:lastRenderedPageBreak/>
        <w:t>باع نخلا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قد أ</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رت فثمر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 للبائع إلا أن يشتر</w:t>
      </w:r>
      <w:r w:rsidR="008E2E6E">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 المبتاع</w:t>
      </w:r>
      <w:r w:rsidR="00AB0B9E" w:rsidRPr="00C85F0F">
        <w:rPr>
          <w:rFonts w:ascii="Traditional Arabic" w:hAnsi="Traditional Arabic"/>
          <w:noProof w:val="0"/>
          <w:color w:val="auto"/>
          <w:lang w:eastAsia="en-US"/>
        </w:rPr>
        <w:fldChar w:fldCharType="begin"/>
      </w:r>
      <w:r w:rsidR="005E60EA" w:rsidRPr="00C85F0F">
        <w:instrText>XE</w:instrText>
      </w:r>
      <w:r w:rsidR="005E60EA" w:rsidRPr="00C85F0F">
        <w:rPr>
          <w:rtl/>
        </w:rPr>
        <w:instrText xml:space="preserve"> "</w:instrText>
      </w:r>
      <w:r w:rsidR="005E60EA" w:rsidRPr="00C85F0F">
        <w:rPr>
          <w:rFonts w:ascii="Traditional Arabic" w:hAnsi="Traditional Arabic"/>
          <w:noProof w:val="0"/>
          <w:color w:val="auto"/>
          <w:rtl/>
          <w:lang w:eastAsia="en-US"/>
        </w:rPr>
        <w:instrText>من باع نخلا</w:instrText>
      </w:r>
      <w:r w:rsidR="005E60EA" w:rsidRPr="00C85F0F">
        <w:rPr>
          <w:rFonts w:ascii="Traditional Arabic" w:hAnsi="Traditional Arabic" w:hint="cs"/>
          <w:noProof w:val="0"/>
          <w:color w:val="auto"/>
          <w:rtl/>
          <w:lang w:eastAsia="en-US"/>
        </w:rPr>
        <w:instrText>ً</w:instrText>
      </w:r>
      <w:r w:rsidR="005E60EA" w:rsidRPr="00C85F0F">
        <w:rPr>
          <w:rFonts w:ascii="Traditional Arabic" w:hAnsi="Traditional Arabic"/>
          <w:noProof w:val="0"/>
          <w:color w:val="auto"/>
          <w:rtl/>
          <w:lang w:eastAsia="en-US"/>
        </w:rPr>
        <w:instrText xml:space="preserve"> قد أ</w:instrText>
      </w:r>
      <w:r w:rsidR="005E60EA" w:rsidRPr="00C85F0F">
        <w:rPr>
          <w:rFonts w:ascii="Traditional Arabic" w:hAnsi="Traditional Arabic" w:hint="cs"/>
          <w:noProof w:val="0"/>
          <w:color w:val="auto"/>
          <w:rtl/>
          <w:lang w:eastAsia="en-US"/>
        </w:rPr>
        <w:instrText>ُ</w:instrText>
      </w:r>
      <w:r w:rsidR="005E60EA" w:rsidRPr="00C85F0F">
        <w:rPr>
          <w:rFonts w:ascii="Traditional Arabic" w:hAnsi="Traditional Arabic"/>
          <w:noProof w:val="0"/>
          <w:color w:val="auto"/>
          <w:rtl/>
          <w:lang w:eastAsia="en-US"/>
        </w:rPr>
        <w:instrText>ب</w:instrText>
      </w:r>
      <w:r w:rsidR="005E60EA" w:rsidRPr="00C85F0F">
        <w:rPr>
          <w:rFonts w:ascii="Traditional Arabic" w:hAnsi="Traditional Arabic" w:hint="cs"/>
          <w:noProof w:val="0"/>
          <w:color w:val="auto"/>
          <w:rtl/>
          <w:lang w:eastAsia="en-US"/>
        </w:rPr>
        <w:instrText>ِّ</w:instrText>
      </w:r>
      <w:r w:rsidR="005E60EA" w:rsidRPr="00C85F0F">
        <w:rPr>
          <w:rFonts w:ascii="Traditional Arabic" w:hAnsi="Traditional Arabic"/>
          <w:noProof w:val="0"/>
          <w:color w:val="auto"/>
          <w:rtl/>
          <w:lang w:eastAsia="en-US"/>
        </w:rPr>
        <w:instrText>رت فثمر</w:instrText>
      </w:r>
      <w:r w:rsidR="005E60EA" w:rsidRPr="00C85F0F">
        <w:rPr>
          <w:rFonts w:ascii="Traditional Arabic" w:hAnsi="Traditional Arabic" w:hint="cs"/>
          <w:noProof w:val="0"/>
          <w:color w:val="auto"/>
          <w:rtl/>
          <w:lang w:eastAsia="en-US"/>
        </w:rPr>
        <w:instrText>ُ</w:instrText>
      </w:r>
      <w:r w:rsidR="005E60EA" w:rsidRPr="00C85F0F">
        <w:rPr>
          <w:rFonts w:ascii="Traditional Arabic" w:hAnsi="Traditional Arabic"/>
          <w:noProof w:val="0"/>
          <w:color w:val="auto"/>
          <w:rtl/>
          <w:lang w:eastAsia="en-US"/>
        </w:rPr>
        <w:instrText>ها للبائع إلا أن يشترط المبتاع</w:instrText>
      </w:r>
      <w:r w:rsidR="005E60EA" w:rsidRPr="00C85F0F">
        <w:rPr>
          <w:rtl/>
        </w:rPr>
        <w:instrText>" \</w:instrText>
      </w:r>
      <w:r w:rsidR="005E60EA" w:rsidRPr="00C85F0F">
        <w:instrText>fh</w:instrText>
      </w:r>
      <w:r w:rsidR="00AB0B9E" w:rsidRPr="00C85F0F">
        <w:rPr>
          <w:rFonts w:ascii="Traditional Arabic" w:hAnsi="Traditional Arabic"/>
          <w:noProof w:val="0"/>
          <w:color w:val="auto"/>
          <w:lang w:eastAsia="en-US"/>
        </w:rPr>
        <w:fldChar w:fldCharType="end"/>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009"/>
      </w:r>
      <w:r w:rsidRPr="00C821A1">
        <w:rPr>
          <w:rStyle w:val="af1"/>
          <w:szCs w:val="32"/>
          <w:rtl/>
        </w:rPr>
        <w:t>)</w:t>
      </w:r>
      <w:r>
        <w:rPr>
          <w:rFonts w:ascii="Traditional Arabic" w:hAnsi="Traditional Arabic" w:hint="cs"/>
          <w:noProof w:val="0"/>
          <w:color w:val="auto"/>
          <w:rtl/>
          <w:lang w:eastAsia="en-US"/>
        </w:rPr>
        <w:t>.</w:t>
      </w:r>
    </w:p>
    <w:p w:rsidR="00DC59C4" w:rsidRDefault="00DC59C4" w:rsidP="00597C20">
      <w:pPr>
        <w:pStyle w:val="53"/>
        <w:rPr>
          <w:rtl/>
        </w:rPr>
      </w:pPr>
      <w:r>
        <w:rPr>
          <w:rFonts w:hint="cs"/>
          <w:rtl/>
        </w:rPr>
        <w:t>وجه الدلالة:</w:t>
      </w:r>
    </w:p>
    <w:p w:rsidR="00DC59C4" w:rsidRPr="00AB1A60" w:rsidRDefault="00DC59C4" w:rsidP="00597C20">
      <w:pPr>
        <w:ind w:firstLine="720"/>
        <w:rPr>
          <w:rFonts w:ascii="Traditional Arabic" w:hAnsi="Traditional Arabic"/>
          <w:color w:val="auto"/>
          <w:rtl/>
        </w:rPr>
      </w:pPr>
      <w:r w:rsidRPr="00AB1A60">
        <w:rPr>
          <w:rFonts w:ascii="Traditional Arabic" w:hAnsi="Traditional Arabic" w:hint="cs"/>
          <w:color w:val="auto"/>
          <w:rtl/>
        </w:rPr>
        <w:t>مفهوم الحديث أن ال</w:t>
      </w:r>
      <w:r w:rsidR="006D41CE">
        <w:rPr>
          <w:rFonts w:ascii="Traditional Arabic" w:hAnsi="Traditional Arabic" w:hint="cs"/>
          <w:color w:val="auto"/>
          <w:rtl/>
        </w:rPr>
        <w:t>ثمرة قبل أن تؤبَّر تكون للمشتري</w:t>
      </w:r>
      <w:r w:rsidRPr="00AB1A60">
        <w:rPr>
          <w:rFonts w:ascii="Traditional Arabic" w:hAnsi="Traditional Arabic" w:hint="cs"/>
          <w:color w:val="auto"/>
          <w:rtl/>
        </w:rPr>
        <w:t xml:space="preserve"> تبعاً لِب</w:t>
      </w:r>
      <w:r w:rsidR="006D41CE">
        <w:rPr>
          <w:rFonts w:ascii="Traditional Arabic" w:hAnsi="Traditional Arabic" w:hint="cs"/>
          <w:color w:val="auto"/>
          <w:rtl/>
        </w:rPr>
        <w:t>َ</w:t>
      </w:r>
      <w:r w:rsidRPr="00AB1A60">
        <w:rPr>
          <w:rFonts w:ascii="Traditional Arabic" w:hAnsi="Traditional Arabic" w:hint="cs"/>
          <w:color w:val="auto"/>
          <w:rtl/>
        </w:rPr>
        <w:t xml:space="preserve">يع أصلها، مع أنها لم يَبْدُ صلاحُها بعدُ؛ </w:t>
      </w:r>
      <w:r w:rsidR="006D41CE">
        <w:rPr>
          <w:rFonts w:ascii="Traditional Arabic" w:hAnsi="Traditional Arabic" w:hint="cs"/>
          <w:color w:val="auto"/>
          <w:rtl/>
        </w:rPr>
        <w:t xml:space="preserve">وذلك </w:t>
      </w:r>
      <w:r w:rsidRPr="00AB1A60">
        <w:rPr>
          <w:rFonts w:ascii="Traditional Arabic" w:hAnsi="Traditional Arabic" w:hint="cs"/>
          <w:color w:val="auto"/>
          <w:rtl/>
        </w:rPr>
        <w:t>لأن الثمر صار تابعاً للنخل، ويثبت تبعا ما لا يثبت استقلالا</w:t>
      </w:r>
      <w:r w:rsidRPr="00C821A1">
        <w:rPr>
          <w:rStyle w:val="af1"/>
          <w:szCs w:val="32"/>
          <w:rtl/>
        </w:rPr>
        <w:t>(</w:t>
      </w:r>
      <w:r w:rsidRPr="00C821A1">
        <w:rPr>
          <w:rStyle w:val="af1"/>
          <w:szCs w:val="32"/>
          <w:rtl/>
        </w:rPr>
        <w:footnoteReference w:id="1010"/>
      </w:r>
      <w:r w:rsidRPr="00C821A1">
        <w:rPr>
          <w:rStyle w:val="af1"/>
          <w:szCs w:val="32"/>
          <w:rtl/>
        </w:rPr>
        <w:t>)</w:t>
      </w:r>
      <w:r w:rsidRPr="00AB1A60">
        <w:rPr>
          <w:rFonts w:ascii="Traditional Arabic" w:hAnsi="Traditional Arabic" w:hint="cs"/>
          <w:color w:val="auto"/>
          <w:rtl/>
        </w:rPr>
        <w:t>.</w:t>
      </w:r>
    </w:p>
    <w:p w:rsidR="00F228A9" w:rsidRPr="0050738C" w:rsidRDefault="00DC59C4" w:rsidP="000A76C7">
      <w:pPr>
        <w:pStyle w:val="afc"/>
        <w:numPr>
          <w:ilvl w:val="0"/>
          <w:numId w:val="142"/>
        </w:numPr>
        <w:rPr>
          <w:rFonts w:ascii="Traditional Arabic" w:hAnsi="Traditional Arabic"/>
          <w:color w:val="auto"/>
        </w:rPr>
      </w:pPr>
      <w:r>
        <w:rPr>
          <w:rFonts w:ascii="Traditional Arabic" w:hAnsi="Traditional Arabic" w:hint="cs"/>
          <w:rtl/>
        </w:rPr>
        <w:t xml:space="preserve">حديث جابر بن عبد الله </w:t>
      </w:r>
      <w:r w:rsidR="008E2E6E">
        <w:rPr>
          <w:rFonts w:ascii="Traditional Arabic" w:hAnsi="Traditional Arabic" w:hint="cs"/>
          <w:rtl/>
        </w:rPr>
        <w:t>_</w:t>
      </w:r>
      <w:r w:rsidR="00154102">
        <w:rPr>
          <w:rFonts w:ascii="Traditional Arabic" w:hAnsi="Traditional Arabic" w:cs="CTraditional Arabic" w:hint="cs"/>
          <w:noProof w:val="0"/>
          <w:color w:val="auto"/>
          <w:rtl/>
          <w:lang w:eastAsia="en-US"/>
        </w:rPr>
        <w:t>ب</w:t>
      </w:r>
      <w:r w:rsidR="008E2E6E">
        <w:rPr>
          <w:rFonts w:ascii="Traditional Arabic" w:hAnsi="Traditional Arabic" w:hint="cs"/>
          <w:rtl/>
        </w:rPr>
        <w:t>_</w:t>
      </w:r>
      <w:r>
        <w:rPr>
          <w:rFonts w:ascii="Traditional Arabic" w:hAnsi="Traditional Arabic" w:hint="cs"/>
          <w:rtl/>
        </w:rPr>
        <w:t xml:space="preserve"> عن النبي </w:t>
      </w:r>
      <w:r w:rsidR="00FF3117">
        <w:rPr>
          <w:rFonts w:ascii="Traditional Arabic" w:hAnsi="Traditional Arabic" w:hint="cs"/>
          <w:noProof w:val="0"/>
          <w:color w:val="auto"/>
          <w:rtl/>
          <w:lang w:eastAsia="en-US"/>
        </w:rPr>
        <w:t>صلى الله عليه وسلم</w:t>
      </w:r>
      <w:r>
        <w:rPr>
          <w:rFonts w:ascii="Traditional Arabic" w:hAnsi="Traditional Arabic" w:hint="cs"/>
          <w:rtl/>
        </w:rPr>
        <w:t xml:space="preserve"> أنه قال:"ص</w:t>
      </w:r>
      <w:r w:rsidR="008E2E6E">
        <w:rPr>
          <w:rFonts w:ascii="Traditional Arabic" w:hAnsi="Traditional Arabic" w:hint="cs"/>
          <w:rtl/>
        </w:rPr>
        <w:t>َ</w:t>
      </w:r>
      <w:r>
        <w:rPr>
          <w:rFonts w:ascii="Traditional Arabic" w:hAnsi="Traditional Arabic" w:hint="cs"/>
          <w:rtl/>
        </w:rPr>
        <w:t>يد البَّر لكم حلال وأنتم حُرُمٌ ما لم تَصيدوه، أو يُصَدْ لكم</w:t>
      </w:r>
      <w:r w:rsidR="00AB0B9E">
        <w:rPr>
          <w:rFonts w:ascii="Traditional Arabic" w:hAnsi="Traditional Arabic"/>
          <w:rtl/>
        </w:rPr>
        <w:fldChar w:fldCharType="begin"/>
      </w:r>
      <w:r w:rsidR="005E60EA" w:rsidRPr="00C85F0F">
        <w:instrText>XE</w:instrText>
      </w:r>
      <w:r w:rsidR="005E60EA" w:rsidRPr="00C85F0F">
        <w:rPr>
          <w:rtl/>
        </w:rPr>
        <w:instrText xml:space="preserve"> "</w:instrText>
      </w:r>
      <w:r w:rsidR="005E60EA" w:rsidRPr="00C85F0F">
        <w:rPr>
          <w:rFonts w:ascii="Traditional Arabic" w:hAnsi="Traditional Arabic" w:hint="cs"/>
          <w:rtl/>
        </w:rPr>
        <w:instrText>صيد البَّر لكم حلال وأنتم حُرُمٌ ما لم تَصيدوه، أو يُصَدْ لكم</w:instrText>
      </w:r>
      <w:r w:rsidR="005E60EA" w:rsidRPr="00C85F0F">
        <w:rPr>
          <w:rtl/>
        </w:rPr>
        <w:instrText>" \</w:instrText>
      </w:r>
      <w:r w:rsidR="005E60EA" w:rsidRPr="00C85F0F">
        <w:instrText>f</w:instrText>
      </w:r>
      <w:r w:rsidR="005E60EA">
        <w:instrText>h</w:instrText>
      </w:r>
      <w:r w:rsidR="00AB0B9E">
        <w:rPr>
          <w:rFonts w:ascii="Traditional Arabic" w:hAnsi="Traditional Arabic"/>
          <w:rtl/>
        </w:rPr>
        <w:fldChar w:fldCharType="end"/>
      </w:r>
      <w:r>
        <w:rPr>
          <w:rFonts w:ascii="Traditional Arabic" w:hAnsi="Traditional Arabic" w:hint="cs"/>
          <w:rtl/>
        </w:rPr>
        <w:t>"</w:t>
      </w:r>
      <w:r w:rsidRPr="00C821A1">
        <w:rPr>
          <w:rStyle w:val="af1"/>
          <w:szCs w:val="32"/>
          <w:rtl/>
        </w:rPr>
        <w:t>(</w:t>
      </w:r>
      <w:r w:rsidRPr="00C821A1">
        <w:rPr>
          <w:rStyle w:val="af1"/>
          <w:szCs w:val="32"/>
          <w:rtl/>
        </w:rPr>
        <w:footnoteReference w:id="1011"/>
      </w:r>
      <w:r w:rsidRPr="00C821A1">
        <w:rPr>
          <w:rStyle w:val="af1"/>
          <w:szCs w:val="32"/>
          <w:rtl/>
        </w:rPr>
        <w:t>)</w:t>
      </w:r>
      <w:r>
        <w:rPr>
          <w:rFonts w:ascii="Traditional Arabic" w:hAnsi="Traditional Arabic" w:hint="cs"/>
          <w:rtl/>
        </w:rPr>
        <w:t>.</w:t>
      </w:r>
    </w:p>
    <w:p w:rsidR="00DC59C4" w:rsidRPr="0050738C" w:rsidRDefault="00FF3117" w:rsidP="000A76C7">
      <w:pPr>
        <w:pStyle w:val="afc"/>
        <w:numPr>
          <w:ilvl w:val="0"/>
          <w:numId w:val="142"/>
        </w:numPr>
        <w:rPr>
          <w:rFonts w:ascii="Traditional Arabic" w:hAnsi="Traditional Arabic"/>
          <w:color w:val="auto"/>
        </w:rPr>
      </w:pPr>
      <w:r>
        <w:rPr>
          <w:rFonts w:ascii="Traditional Arabic" w:hAnsi="Traditional Arabic"/>
          <w:rtl/>
        </w:rPr>
        <w:t>حديث أبي قتاد</w:t>
      </w:r>
      <w:r>
        <w:rPr>
          <w:rFonts w:ascii="Traditional Arabic" w:hAnsi="Traditional Arabic" w:hint="cs"/>
          <w:rtl/>
        </w:rPr>
        <w:t>ة</w:t>
      </w:r>
      <w:r>
        <w:rPr>
          <w:rFonts w:ascii="Traditional Arabic" w:hAnsi="Traditional Arabic"/>
        </w:rPr>
        <w:t xml:space="preserve"> </w:t>
      </w:r>
      <w:r w:rsidR="008E2E6E">
        <w:rPr>
          <w:rFonts w:ascii="Traditional Arabic" w:hAnsi="Traditional Arabic" w:hint="cs"/>
          <w:rtl/>
        </w:rPr>
        <w:t>_</w:t>
      </w:r>
      <w:r>
        <w:rPr>
          <w:rFonts w:ascii="Traditional Arabic" w:hAnsi="Traditional Arabic" w:hint="cs"/>
          <w:rtl/>
        </w:rPr>
        <w:t>رضي الله عنه</w:t>
      </w:r>
      <w:r w:rsidR="008E2E6E">
        <w:rPr>
          <w:rFonts w:ascii="Traditional Arabic" w:hAnsi="Traditional Arabic" w:hint="cs"/>
          <w:rtl/>
        </w:rPr>
        <w:t>_</w:t>
      </w:r>
      <w:r>
        <w:rPr>
          <w:rFonts w:ascii="Traditional Arabic" w:hAnsi="Traditional Arabic" w:hint="cs"/>
          <w:rtl/>
        </w:rPr>
        <w:t xml:space="preserve"> </w:t>
      </w:r>
      <w:r w:rsidR="00DC59C4" w:rsidRPr="00C821A1">
        <w:rPr>
          <w:rStyle w:val="af1"/>
          <w:szCs w:val="32"/>
          <w:rtl/>
        </w:rPr>
        <w:t>(</w:t>
      </w:r>
      <w:r w:rsidR="00DC59C4" w:rsidRPr="00C821A1">
        <w:rPr>
          <w:rStyle w:val="af1"/>
          <w:szCs w:val="32"/>
          <w:rtl/>
        </w:rPr>
        <w:footnoteReference w:id="1012"/>
      </w:r>
      <w:r w:rsidR="00DC59C4" w:rsidRPr="00C821A1">
        <w:rPr>
          <w:rStyle w:val="af1"/>
          <w:szCs w:val="32"/>
          <w:rtl/>
        </w:rPr>
        <w:t>)</w:t>
      </w:r>
      <w:r w:rsidR="00DC59C4" w:rsidRPr="00B914DF">
        <w:rPr>
          <w:rFonts w:ascii="Traditional Arabic" w:hAnsi="Traditional Arabic"/>
          <w:rtl/>
        </w:rPr>
        <w:t xml:space="preserve"> : "أنه كان مع رسول الله </w:t>
      </w:r>
      <w:r>
        <w:rPr>
          <w:rFonts w:ascii="Traditional Arabic" w:hAnsi="Traditional Arabic" w:hint="cs"/>
          <w:rtl/>
        </w:rPr>
        <w:t>صلى الله عليه وسلم</w:t>
      </w:r>
      <w:r w:rsidR="00DC59C4" w:rsidRPr="00B914DF">
        <w:rPr>
          <w:rFonts w:ascii="Traditional Arabic" w:hAnsi="Traditional Arabic"/>
          <w:rtl/>
        </w:rPr>
        <w:t xml:space="preserve"> حتى إذا كان ببعض</w:t>
      </w:r>
      <w:r w:rsidR="00DC59C4">
        <w:rPr>
          <w:rFonts w:ascii="Traditional Arabic" w:hAnsi="Traditional Arabic" w:hint="cs"/>
          <w:rtl/>
        </w:rPr>
        <w:t>ِ</w:t>
      </w:r>
      <w:r w:rsidR="00DC59C4" w:rsidRPr="00B914DF">
        <w:rPr>
          <w:rFonts w:ascii="Traditional Arabic" w:hAnsi="Traditional Arabic"/>
          <w:rtl/>
        </w:rPr>
        <w:t xml:space="preserve"> طريق</w:t>
      </w:r>
      <w:r w:rsidR="00DC59C4">
        <w:rPr>
          <w:rFonts w:ascii="Traditional Arabic" w:hAnsi="Traditional Arabic" w:hint="cs"/>
          <w:rtl/>
        </w:rPr>
        <w:t>ِ</w:t>
      </w:r>
      <w:r w:rsidR="00DC59C4" w:rsidRPr="00B914DF">
        <w:rPr>
          <w:rFonts w:ascii="Traditional Arabic" w:hAnsi="Traditional Arabic"/>
          <w:rtl/>
        </w:rPr>
        <w:t xml:space="preserve"> مكة</w:t>
      </w:r>
      <w:r w:rsidR="00DC59C4">
        <w:rPr>
          <w:rFonts w:ascii="Traditional Arabic" w:hAnsi="Traditional Arabic" w:hint="cs"/>
          <w:rtl/>
        </w:rPr>
        <w:t>َ</w:t>
      </w:r>
      <w:r w:rsidR="00DC59C4" w:rsidRPr="00B914DF">
        <w:rPr>
          <w:rFonts w:ascii="Traditional Arabic" w:hAnsi="Traditional Arabic"/>
          <w:rtl/>
        </w:rPr>
        <w:t xml:space="preserve"> تخلَّف مع أصحاب</w:t>
      </w:r>
      <w:r w:rsidR="00DC59C4">
        <w:rPr>
          <w:rFonts w:ascii="Traditional Arabic" w:hAnsi="Traditional Arabic" w:hint="cs"/>
          <w:rtl/>
        </w:rPr>
        <w:t>ٍ</w:t>
      </w:r>
      <w:r w:rsidR="00DC59C4" w:rsidRPr="00B914DF">
        <w:rPr>
          <w:rFonts w:ascii="Traditional Arabic" w:hAnsi="Traditional Arabic"/>
          <w:rtl/>
        </w:rPr>
        <w:t xml:space="preserve"> له م</w:t>
      </w:r>
      <w:r w:rsidR="00DC59C4">
        <w:rPr>
          <w:rFonts w:ascii="Traditional Arabic" w:hAnsi="Traditional Arabic" w:hint="cs"/>
          <w:rtl/>
        </w:rPr>
        <w:t>ُ</w:t>
      </w:r>
      <w:r w:rsidR="00DC59C4" w:rsidRPr="00B914DF">
        <w:rPr>
          <w:rFonts w:ascii="Traditional Arabic" w:hAnsi="Traditional Arabic"/>
          <w:rtl/>
        </w:rPr>
        <w:t>ح</w:t>
      </w:r>
      <w:r w:rsidR="00DC59C4">
        <w:rPr>
          <w:rFonts w:ascii="Traditional Arabic" w:hAnsi="Traditional Arabic" w:hint="cs"/>
          <w:rtl/>
        </w:rPr>
        <w:t>ْ</w:t>
      </w:r>
      <w:r w:rsidR="00DC59C4" w:rsidRPr="00B914DF">
        <w:rPr>
          <w:rFonts w:ascii="Traditional Arabic" w:hAnsi="Traditional Arabic"/>
          <w:rtl/>
        </w:rPr>
        <w:t>ر</w:t>
      </w:r>
      <w:r w:rsidR="00DC59C4">
        <w:rPr>
          <w:rFonts w:ascii="Traditional Arabic" w:hAnsi="Traditional Arabic" w:hint="cs"/>
          <w:rtl/>
        </w:rPr>
        <w:t>ِ</w:t>
      </w:r>
      <w:r w:rsidR="00DC59C4" w:rsidRPr="00B914DF">
        <w:rPr>
          <w:rFonts w:ascii="Traditional Arabic" w:hAnsi="Traditional Arabic"/>
          <w:rtl/>
        </w:rPr>
        <w:t>مين وهو غير م</w:t>
      </w:r>
      <w:r w:rsidR="00DC59C4">
        <w:rPr>
          <w:rFonts w:ascii="Traditional Arabic" w:hAnsi="Traditional Arabic" w:hint="cs"/>
          <w:rtl/>
        </w:rPr>
        <w:t>ُ</w:t>
      </w:r>
      <w:r w:rsidR="00DC59C4" w:rsidRPr="00B914DF">
        <w:rPr>
          <w:rFonts w:ascii="Traditional Arabic" w:hAnsi="Traditional Arabic"/>
          <w:rtl/>
        </w:rPr>
        <w:t>ح</w:t>
      </w:r>
      <w:r w:rsidR="00DC59C4">
        <w:rPr>
          <w:rFonts w:ascii="Traditional Arabic" w:hAnsi="Traditional Arabic" w:hint="cs"/>
          <w:rtl/>
        </w:rPr>
        <w:t>ْ</w:t>
      </w:r>
      <w:r w:rsidR="00DC59C4" w:rsidRPr="00B914DF">
        <w:rPr>
          <w:rFonts w:ascii="Traditional Arabic" w:hAnsi="Traditional Arabic"/>
          <w:rtl/>
        </w:rPr>
        <w:t>ر</w:t>
      </w:r>
      <w:r w:rsidR="00DC59C4">
        <w:rPr>
          <w:rFonts w:ascii="Traditional Arabic" w:hAnsi="Traditional Arabic" w:hint="cs"/>
          <w:rtl/>
        </w:rPr>
        <w:t>ِ</w:t>
      </w:r>
      <w:r w:rsidR="00DC59C4">
        <w:rPr>
          <w:rFonts w:ascii="Traditional Arabic" w:hAnsi="Traditional Arabic"/>
          <w:rtl/>
        </w:rPr>
        <w:t>م</w:t>
      </w:r>
      <w:r w:rsidR="00DC59C4" w:rsidRPr="00B914DF">
        <w:rPr>
          <w:rFonts w:ascii="Traditional Arabic" w:hAnsi="Traditional Arabic"/>
          <w:rtl/>
        </w:rPr>
        <w:t>، فرأ</w:t>
      </w:r>
      <w:r w:rsidR="00DC59C4">
        <w:rPr>
          <w:rFonts w:ascii="Traditional Arabic" w:hAnsi="Traditional Arabic"/>
          <w:rtl/>
        </w:rPr>
        <w:t>ى حماراً وحشي</w:t>
      </w:r>
      <w:r w:rsidR="006D41CE">
        <w:rPr>
          <w:rFonts w:ascii="Traditional Arabic" w:hAnsi="Traditional Arabic" w:hint="cs"/>
          <w:rtl/>
        </w:rPr>
        <w:t>ّ</w:t>
      </w:r>
      <w:r w:rsidR="00DC59C4">
        <w:rPr>
          <w:rFonts w:ascii="Traditional Arabic" w:hAnsi="Traditional Arabic"/>
          <w:rtl/>
        </w:rPr>
        <w:t>اً فاستوى على فرسه</w:t>
      </w:r>
      <w:r w:rsidR="00DC59C4" w:rsidRPr="00B914DF">
        <w:rPr>
          <w:rFonts w:ascii="Traditional Arabic" w:hAnsi="Traditional Arabic"/>
          <w:rtl/>
        </w:rPr>
        <w:t>، فسأل أصحابه أن ي</w:t>
      </w:r>
      <w:r w:rsidR="00DC59C4">
        <w:rPr>
          <w:rFonts w:ascii="Traditional Arabic" w:hAnsi="Traditional Arabic" w:hint="cs"/>
          <w:rtl/>
        </w:rPr>
        <w:t>ُ</w:t>
      </w:r>
      <w:r w:rsidR="00DC59C4" w:rsidRPr="00B914DF">
        <w:rPr>
          <w:rFonts w:ascii="Traditional Arabic" w:hAnsi="Traditional Arabic"/>
          <w:rtl/>
        </w:rPr>
        <w:t>ناو</w:t>
      </w:r>
      <w:r w:rsidR="00DC59C4">
        <w:rPr>
          <w:rFonts w:ascii="Traditional Arabic" w:hAnsi="Traditional Arabic" w:hint="cs"/>
          <w:rtl/>
        </w:rPr>
        <w:t>ِ</w:t>
      </w:r>
      <w:r w:rsidR="00DC59C4" w:rsidRPr="00B914DF">
        <w:rPr>
          <w:rFonts w:ascii="Traditional Arabic" w:hAnsi="Traditional Arabic"/>
          <w:rtl/>
        </w:rPr>
        <w:t>لوه س</w:t>
      </w:r>
      <w:r w:rsidR="00DC59C4">
        <w:rPr>
          <w:rFonts w:ascii="Traditional Arabic" w:hAnsi="Traditional Arabic" w:hint="cs"/>
          <w:rtl/>
        </w:rPr>
        <w:t>َ</w:t>
      </w:r>
      <w:r w:rsidR="00DC59C4" w:rsidRPr="00B914DF">
        <w:rPr>
          <w:rFonts w:ascii="Traditional Arabic" w:hAnsi="Traditional Arabic"/>
          <w:rtl/>
        </w:rPr>
        <w:t>وطه فأب</w:t>
      </w:r>
      <w:r w:rsidR="00DC59C4">
        <w:rPr>
          <w:rFonts w:ascii="Traditional Arabic" w:hAnsi="Traditional Arabic" w:hint="cs"/>
          <w:rtl/>
        </w:rPr>
        <w:t>َ</w:t>
      </w:r>
      <w:r w:rsidR="00DC59C4">
        <w:rPr>
          <w:rFonts w:ascii="Traditional Arabic" w:hAnsi="Traditional Arabic"/>
          <w:rtl/>
        </w:rPr>
        <w:t>وا عليه</w:t>
      </w:r>
      <w:r w:rsidR="00DC59C4" w:rsidRPr="00B914DF">
        <w:rPr>
          <w:rFonts w:ascii="Traditional Arabic" w:hAnsi="Traditional Arabic"/>
          <w:rtl/>
        </w:rPr>
        <w:t xml:space="preserve">، فسألهم </w:t>
      </w:r>
      <w:r w:rsidR="00DC59C4" w:rsidRPr="00B914DF">
        <w:rPr>
          <w:rFonts w:ascii="Traditional Arabic" w:hAnsi="Traditional Arabic"/>
          <w:rtl/>
        </w:rPr>
        <w:lastRenderedPageBreak/>
        <w:t>ر</w:t>
      </w:r>
      <w:r w:rsidR="00DC59C4">
        <w:rPr>
          <w:rFonts w:ascii="Traditional Arabic" w:hAnsi="Traditional Arabic" w:hint="cs"/>
          <w:rtl/>
        </w:rPr>
        <w:t>ُ</w:t>
      </w:r>
      <w:r w:rsidR="00DC59C4" w:rsidRPr="00B914DF">
        <w:rPr>
          <w:rFonts w:ascii="Traditional Arabic" w:hAnsi="Traditional Arabic"/>
          <w:rtl/>
        </w:rPr>
        <w:t>م</w:t>
      </w:r>
      <w:r w:rsidR="00DC59C4">
        <w:rPr>
          <w:rFonts w:ascii="Traditional Arabic" w:hAnsi="Traditional Arabic" w:hint="cs"/>
          <w:rtl/>
        </w:rPr>
        <w:t>ْ</w:t>
      </w:r>
      <w:r w:rsidR="00DC59C4" w:rsidRPr="00B914DF">
        <w:rPr>
          <w:rFonts w:ascii="Traditional Arabic" w:hAnsi="Traditional Arabic"/>
          <w:rtl/>
        </w:rPr>
        <w:t>ح</w:t>
      </w:r>
      <w:r w:rsidR="00DC59C4">
        <w:rPr>
          <w:rFonts w:ascii="Traditional Arabic" w:hAnsi="Traditional Arabic" w:hint="cs"/>
          <w:rtl/>
        </w:rPr>
        <w:t>َ</w:t>
      </w:r>
      <w:r w:rsidR="00DC59C4">
        <w:rPr>
          <w:rFonts w:ascii="Traditional Arabic" w:hAnsi="Traditional Arabic"/>
          <w:rtl/>
        </w:rPr>
        <w:t>ه فأبوا عليه</w:t>
      </w:r>
      <w:r w:rsidR="00DC59C4" w:rsidRPr="00B914DF">
        <w:rPr>
          <w:rFonts w:ascii="Traditional Arabic" w:hAnsi="Traditional Arabic"/>
          <w:rtl/>
        </w:rPr>
        <w:t>،</w:t>
      </w:r>
      <w:r w:rsidR="00DC59C4">
        <w:rPr>
          <w:rFonts w:ascii="Traditional Arabic" w:hAnsi="Traditional Arabic"/>
          <w:rtl/>
        </w:rPr>
        <w:t xml:space="preserve"> فأخذه ثم شدَّ على الحمار فقتله</w:t>
      </w:r>
      <w:r w:rsidR="00DC59C4" w:rsidRPr="00B914DF">
        <w:rPr>
          <w:rFonts w:ascii="Traditional Arabic" w:hAnsi="Traditional Arabic"/>
          <w:rtl/>
        </w:rPr>
        <w:t>، فأكل منه بعض</w:t>
      </w:r>
      <w:r w:rsidR="00DC59C4">
        <w:rPr>
          <w:rFonts w:ascii="Traditional Arabic" w:hAnsi="Traditional Arabic" w:hint="cs"/>
          <w:rtl/>
        </w:rPr>
        <w:t>ُ</w:t>
      </w:r>
      <w:r w:rsidR="00DC59C4" w:rsidRPr="00B914DF">
        <w:rPr>
          <w:rFonts w:ascii="Traditional Arabic" w:hAnsi="Traditional Arabic"/>
          <w:rtl/>
        </w:rPr>
        <w:t xml:space="preserve"> أصحاب النبي </w:t>
      </w:r>
      <w:r>
        <w:rPr>
          <w:rFonts w:ascii="Traditional Arabic" w:hAnsi="Traditional Arabic" w:hint="cs"/>
          <w:rtl/>
        </w:rPr>
        <w:t>صلى الله عليه وسلم</w:t>
      </w:r>
      <w:r w:rsidR="00DC59C4">
        <w:rPr>
          <w:rFonts w:ascii="Traditional Arabic" w:hAnsi="Traditional Arabic"/>
          <w:rtl/>
        </w:rPr>
        <w:t xml:space="preserve"> وأبى بعضهم</w:t>
      </w:r>
      <w:r w:rsidR="00DC59C4" w:rsidRPr="00B914DF">
        <w:rPr>
          <w:rFonts w:ascii="Traditional Arabic" w:hAnsi="Traditional Arabic"/>
          <w:rtl/>
        </w:rPr>
        <w:t>، فأدركوا رسول</w:t>
      </w:r>
      <w:r w:rsidR="00DC59C4">
        <w:rPr>
          <w:rFonts w:ascii="Traditional Arabic" w:hAnsi="Traditional Arabic" w:hint="cs"/>
          <w:rtl/>
        </w:rPr>
        <w:t>َ</w:t>
      </w:r>
      <w:r w:rsidR="00DC59C4" w:rsidRPr="00B914DF">
        <w:rPr>
          <w:rFonts w:ascii="Traditional Arabic" w:hAnsi="Traditional Arabic"/>
          <w:rtl/>
        </w:rPr>
        <w:t xml:space="preserve"> الله </w:t>
      </w:r>
      <w:r>
        <w:rPr>
          <w:rFonts w:ascii="Traditional Arabic" w:hAnsi="Traditional Arabic" w:hint="cs"/>
          <w:rtl/>
        </w:rPr>
        <w:t>صلى الله عليه وسلم</w:t>
      </w:r>
      <w:r w:rsidR="00DC59C4">
        <w:rPr>
          <w:rFonts w:ascii="Traditional Arabic" w:hAnsi="Traditional Arabic"/>
          <w:rtl/>
        </w:rPr>
        <w:t xml:space="preserve"> فسألوه عن ذلك فقال</w:t>
      </w:r>
      <w:r w:rsidR="00DC59C4" w:rsidRPr="00B914DF">
        <w:rPr>
          <w:rFonts w:ascii="Traditional Arabic" w:hAnsi="Traditional Arabic"/>
          <w:rtl/>
        </w:rPr>
        <w:t>: إنما هي ط</w:t>
      </w:r>
      <w:r w:rsidR="00DC59C4">
        <w:rPr>
          <w:rFonts w:ascii="Traditional Arabic" w:hAnsi="Traditional Arabic" w:hint="cs"/>
          <w:rtl/>
        </w:rPr>
        <w:t>ُ</w:t>
      </w:r>
      <w:r w:rsidR="00DC59C4" w:rsidRPr="00B914DF">
        <w:rPr>
          <w:rFonts w:ascii="Traditional Arabic" w:hAnsi="Traditional Arabic"/>
          <w:rtl/>
        </w:rPr>
        <w:t>ع</w:t>
      </w:r>
      <w:r w:rsidR="00DC59C4">
        <w:rPr>
          <w:rFonts w:ascii="Traditional Arabic" w:hAnsi="Traditional Arabic" w:hint="cs"/>
          <w:rtl/>
        </w:rPr>
        <w:t>ْ</w:t>
      </w:r>
      <w:r w:rsidR="00DC59C4" w:rsidRPr="00B914DF">
        <w:rPr>
          <w:rFonts w:ascii="Traditional Arabic" w:hAnsi="Traditional Arabic"/>
          <w:rtl/>
        </w:rPr>
        <w:t>م</w:t>
      </w:r>
      <w:r w:rsidR="00DC59C4">
        <w:rPr>
          <w:rFonts w:ascii="Traditional Arabic" w:hAnsi="Traditional Arabic" w:hint="cs"/>
          <w:rtl/>
        </w:rPr>
        <w:t>َ</w:t>
      </w:r>
      <w:r w:rsidR="00DC59C4" w:rsidRPr="00B914DF">
        <w:rPr>
          <w:rFonts w:ascii="Traditional Arabic" w:hAnsi="Traditional Arabic"/>
          <w:rtl/>
        </w:rPr>
        <w:t>ة</w:t>
      </w:r>
      <w:r w:rsidR="00DC59C4">
        <w:rPr>
          <w:rFonts w:ascii="Traditional Arabic" w:hAnsi="Traditional Arabic" w:hint="cs"/>
          <w:rtl/>
        </w:rPr>
        <w:t>ٌ</w:t>
      </w:r>
      <w:r w:rsidR="00DC59C4" w:rsidRPr="00B914DF">
        <w:rPr>
          <w:rFonts w:ascii="Traditional Arabic" w:hAnsi="Traditional Arabic"/>
          <w:rtl/>
        </w:rPr>
        <w:t xml:space="preserve"> أ</w:t>
      </w:r>
      <w:r w:rsidR="00DC59C4">
        <w:rPr>
          <w:rFonts w:ascii="Traditional Arabic" w:hAnsi="Traditional Arabic" w:hint="cs"/>
          <w:rtl/>
        </w:rPr>
        <w:t>َ</w:t>
      </w:r>
      <w:r w:rsidR="00DC59C4" w:rsidRPr="00B914DF">
        <w:rPr>
          <w:rFonts w:ascii="Traditional Arabic" w:hAnsi="Traditional Arabic"/>
          <w:rtl/>
        </w:rPr>
        <w:t>ط</w:t>
      </w:r>
      <w:r w:rsidR="00DC59C4">
        <w:rPr>
          <w:rFonts w:ascii="Traditional Arabic" w:hAnsi="Traditional Arabic" w:hint="cs"/>
          <w:rtl/>
        </w:rPr>
        <w:t>ْ</w:t>
      </w:r>
      <w:r w:rsidR="00DC59C4" w:rsidRPr="00B914DF">
        <w:rPr>
          <w:rFonts w:ascii="Traditional Arabic" w:hAnsi="Traditional Arabic"/>
          <w:rtl/>
        </w:rPr>
        <w:t>ع</w:t>
      </w:r>
      <w:r w:rsidR="00DC59C4">
        <w:rPr>
          <w:rFonts w:ascii="Traditional Arabic" w:hAnsi="Traditional Arabic" w:hint="cs"/>
          <w:rtl/>
        </w:rPr>
        <w:t>َ</w:t>
      </w:r>
      <w:r w:rsidR="00DC59C4" w:rsidRPr="00B914DF">
        <w:rPr>
          <w:rFonts w:ascii="Traditional Arabic" w:hAnsi="Traditional Arabic"/>
          <w:rtl/>
        </w:rPr>
        <w:t>م</w:t>
      </w:r>
      <w:r w:rsidR="00DC59C4">
        <w:rPr>
          <w:rFonts w:ascii="Traditional Arabic" w:hAnsi="Traditional Arabic" w:hint="cs"/>
          <w:rtl/>
        </w:rPr>
        <w:t>َ</w:t>
      </w:r>
      <w:r w:rsidR="00DC59C4" w:rsidRPr="00B914DF">
        <w:rPr>
          <w:rFonts w:ascii="Traditional Arabic" w:hAnsi="Traditional Arabic"/>
          <w:rtl/>
        </w:rPr>
        <w:t>ك</w:t>
      </w:r>
      <w:r w:rsidR="00DC59C4">
        <w:rPr>
          <w:rFonts w:ascii="Traditional Arabic" w:hAnsi="Traditional Arabic" w:hint="cs"/>
          <w:rtl/>
        </w:rPr>
        <w:t>ُ</w:t>
      </w:r>
      <w:r w:rsidR="00DC59C4" w:rsidRPr="00B914DF">
        <w:rPr>
          <w:rFonts w:ascii="Traditional Arabic" w:hAnsi="Traditional Arabic"/>
          <w:rtl/>
        </w:rPr>
        <w:t>موها الله</w:t>
      </w:r>
      <w:r w:rsidR="00AB0B9E">
        <w:rPr>
          <w:rFonts w:ascii="Traditional Arabic" w:hAnsi="Traditional Arabic"/>
          <w:rtl/>
        </w:rPr>
        <w:fldChar w:fldCharType="begin"/>
      </w:r>
      <w:r w:rsidR="005E60EA" w:rsidRPr="00C85F0F">
        <w:instrText>XE</w:instrText>
      </w:r>
      <w:r w:rsidR="005E60EA" w:rsidRPr="00C85F0F">
        <w:rPr>
          <w:rtl/>
        </w:rPr>
        <w:instrText xml:space="preserve"> "</w:instrText>
      </w:r>
      <w:r w:rsidR="005E60EA" w:rsidRPr="00C85F0F">
        <w:rPr>
          <w:rFonts w:ascii="Traditional Arabic" w:hAnsi="Traditional Arabic"/>
          <w:rtl/>
        </w:rPr>
        <w:instrText>إنما هي ط</w:instrText>
      </w:r>
      <w:r w:rsidR="005E60EA" w:rsidRPr="00C85F0F">
        <w:rPr>
          <w:rFonts w:ascii="Traditional Arabic" w:hAnsi="Traditional Arabic" w:hint="cs"/>
          <w:rtl/>
        </w:rPr>
        <w:instrText>ُ</w:instrText>
      </w:r>
      <w:r w:rsidR="005E60EA" w:rsidRPr="00C85F0F">
        <w:rPr>
          <w:rFonts w:ascii="Traditional Arabic" w:hAnsi="Traditional Arabic"/>
          <w:rtl/>
        </w:rPr>
        <w:instrText>ع</w:instrText>
      </w:r>
      <w:r w:rsidR="005E60EA" w:rsidRPr="00C85F0F">
        <w:rPr>
          <w:rFonts w:ascii="Traditional Arabic" w:hAnsi="Traditional Arabic" w:hint="cs"/>
          <w:rtl/>
        </w:rPr>
        <w:instrText>ْ</w:instrText>
      </w:r>
      <w:r w:rsidR="005E60EA" w:rsidRPr="00C85F0F">
        <w:rPr>
          <w:rFonts w:ascii="Traditional Arabic" w:hAnsi="Traditional Arabic"/>
          <w:rtl/>
        </w:rPr>
        <w:instrText>م</w:instrText>
      </w:r>
      <w:r w:rsidR="005E60EA" w:rsidRPr="00C85F0F">
        <w:rPr>
          <w:rFonts w:ascii="Traditional Arabic" w:hAnsi="Traditional Arabic" w:hint="cs"/>
          <w:rtl/>
        </w:rPr>
        <w:instrText>َ</w:instrText>
      </w:r>
      <w:r w:rsidR="005E60EA" w:rsidRPr="00C85F0F">
        <w:rPr>
          <w:rFonts w:ascii="Traditional Arabic" w:hAnsi="Traditional Arabic"/>
          <w:rtl/>
        </w:rPr>
        <w:instrText>ة</w:instrText>
      </w:r>
      <w:r w:rsidR="005E60EA" w:rsidRPr="00C85F0F">
        <w:rPr>
          <w:rFonts w:ascii="Traditional Arabic" w:hAnsi="Traditional Arabic" w:hint="cs"/>
          <w:rtl/>
        </w:rPr>
        <w:instrText>ٌ</w:instrText>
      </w:r>
      <w:r w:rsidR="005E60EA" w:rsidRPr="00C85F0F">
        <w:rPr>
          <w:rFonts w:ascii="Traditional Arabic" w:hAnsi="Traditional Arabic"/>
          <w:rtl/>
        </w:rPr>
        <w:instrText xml:space="preserve"> أ</w:instrText>
      </w:r>
      <w:r w:rsidR="005E60EA" w:rsidRPr="00C85F0F">
        <w:rPr>
          <w:rFonts w:ascii="Traditional Arabic" w:hAnsi="Traditional Arabic" w:hint="cs"/>
          <w:rtl/>
        </w:rPr>
        <w:instrText>َ</w:instrText>
      </w:r>
      <w:r w:rsidR="005E60EA" w:rsidRPr="00C85F0F">
        <w:rPr>
          <w:rFonts w:ascii="Traditional Arabic" w:hAnsi="Traditional Arabic"/>
          <w:rtl/>
        </w:rPr>
        <w:instrText>ط</w:instrText>
      </w:r>
      <w:r w:rsidR="005E60EA" w:rsidRPr="00C85F0F">
        <w:rPr>
          <w:rFonts w:ascii="Traditional Arabic" w:hAnsi="Traditional Arabic" w:hint="cs"/>
          <w:rtl/>
        </w:rPr>
        <w:instrText>ْ</w:instrText>
      </w:r>
      <w:r w:rsidR="005E60EA" w:rsidRPr="00C85F0F">
        <w:rPr>
          <w:rFonts w:ascii="Traditional Arabic" w:hAnsi="Traditional Arabic"/>
          <w:rtl/>
        </w:rPr>
        <w:instrText>ع</w:instrText>
      </w:r>
      <w:r w:rsidR="005E60EA" w:rsidRPr="00C85F0F">
        <w:rPr>
          <w:rFonts w:ascii="Traditional Arabic" w:hAnsi="Traditional Arabic" w:hint="cs"/>
          <w:rtl/>
        </w:rPr>
        <w:instrText>َ</w:instrText>
      </w:r>
      <w:r w:rsidR="005E60EA" w:rsidRPr="00C85F0F">
        <w:rPr>
          <w:rFonts w:ascii="Traditional Arabic" w:hAnsi="Traditional Arabic"/>
          <w:rtl/>
        </w:rPr>
        <w:instrText>م</w:instrText>
      </w:r>
      <w:r w:rsidR="005E60EA" w:rsidRPr="00C85F0F">
        <w:rPr>
          <w:rFonts w:ascii="Traditional Arabic" w:hAnsi="Traditional Arabic" w:hint="cs"/>
          <w:rtl/>
        </w:rPr>
        <w:instrText>َ</w:instrText>
      </w:r>
      <w:r w:rsidR="005E60EA" w:rsidRPr="00C85F0F">
        <w:rPr>
          <w:rFonts w:ascii="Traditional Arabic" w:hAnsi="Traditional Arabic"/>
          <w:rtl/>
        </w:rPr>
        <w:instrText>ك</w:instrText>
      </w:r>
      <w:r w:rsidR="005E60EA" w:rsidRPr="00C85F0F">
        <w:rPr>
          <w:rFonts w:ascii="Traditional Arabic" w:hAnsi="Traditional Arabic" w:hint="cs"/>
          <w:rtl/>
        </w:rPr>
        <w:instrText>ُ</w:instrText>
      </w:r>
      <w:r w:rsidR="005E60EA" w:rsidRPr="00C85F0F">
        <w:rPr>
          <w:rFonts w:ascii="Traditional Arabic" w:hAnsi="Traditional Arabic"/>
          <w:rtl/>
        </w:rPr>
        <w:instrText>موها الله</w:instrText>
      </w:r>
      <w:r w:rsidR="005E60EA" w:rsidRPr="00C85F0F">
        <w:rPr>
          <w:rtl/>
        </w:rPr>
        <w:instrText>" \</w:instrText>
      </w:r>
      <w:r w:rsidR="005E60EA" w:rsidRPr="00C85F0F">
        <w:instrText>f</w:instrText>
      </w:r>
      <w:r w:rsidR="005E60EA">
        <w:instrText>h</w:instrText>
      </w:r>
      <w:r w:rsidR="00AB0B9E">
        <w:rPr>
          <w:rFonts w:ascii="Traditional Arabic" w:hAnsi="Traditional Arabic"/>
          <w:rtl/>
        </w:rPr>
        <w:fldChar w:fldCharType="end"/>
      </w:r>
      <w:r w:rsidR="00DC59C4" w:rsidRPr="00B914DF">
        <w:rPr>
          <w:rFonts w:ascii="Traditional Arabic" w:hAnsi="Traditional Arabic"/>
          <w:rtl/>
        </w:rPr>
        <w:t>"</w:t>
      </w:r>
      <w:r w:rsidR="00DC59C4" w:rsidRPr="00C821A1">
        <w:rPr>
          <w:rFonts w:ascii="Traditional Arabic" w:hAnsi="Traditional Arabic"/>
          <w:szCs w:val="32"/>
          <w:vertAlign w:val="superscript"/>
          <w:rtl/>
        </w:rPr>
        <w:t>(</w:t>
      </w:r>
      <w:r w:rsidR="00DC59C4" w:rsidRPr="00C821A1">
        <w:rPr>
          <w:rStyle w:val="af1"/>
          <w:rFonts w:ascii="Traditional Arabic" w:hAnsi="Traditional Arabic"/>
          <w:szCs w:val="32"/>
          <w:rtl/>
        </w:rPr>
        <w:footnoteReference w:id="1013"/>
      </w:r>
      <w:r w:rsidR="00DC59C4" w:rsidRPr="00C821A1">
        <w:rPr>
          <w:rFonts w:ascii="Traditional Arabic" w:hAnsi="Traditional Arabic"/>
          <w:szCs w:val="32"/>
          <w:vertAlign w:val="superscript"/>
          <w:rtl/>
        </w:rPr>
        <w:t>)</w:t>
      </w:r>
      <w:r w:rsidR="00DC59C4" w:rsidRPr="00B914DF">
        <w:rPr>
          <w:rFonts w:ascii="Traditional Arabic" w:hAnsi="Traditional Arabic"/>
          <w:rtl/>
        </w:rPr>
        <w:t>.</w:t>
      </w:r>
    </w:p>
    <w:p w:rsidR="00DC59C4" w:rsidRDefault="00DC59C4" w:rsidP="00597C20">
      <w:pPr>
        <w:pStyle w:val="53"/>
        <w:rPr>
          <w:rtl/>
        </w:rPr>
      </w:pPr>
      <w:r>
        <w:rPr>
          <w:rFonts w:hint="cs"/>
          <w:rtl/>
        </w:rPr>
        <w:t>وجه الدلالة من الحديثين:</w:t>
      </w:r>
    </w:p>
    <w:p w:rsidR="00065E4B" w:rsidRPr="00AB1A60" w:rsidRDefault="008E2E6E" w:rsidP="00597C20">
      <w:pPr>
        <w:ind w:firstLine="720"/>
        <w:rPr>
          <w:rFonts w:ascii="Traditional Arabic" w:hAnsi="Traditional Arabic"/>
          <w:color w:val="auto"/>
          <w:rtl/>
        </w:rPr>
      </w:pPr>
      <w:r>
        <w:rPr>
          <w:rFonts w:ascii="Traditional Arabic" w:hAnsi="Traditional Arabic" w:hint="cs"/>
          <w:color w:val="auto"/>
          <w:rtl/>
        </w:rPr>
        <w:t>إ</w:t>
      </w:r>
      <w:r w:rsidR="00DC59C4" w:rsidRPr="00AB1A60">
        <w:rPr>
          <w:rFonts w:ascii="Traditional Arabic" w:hAnsi="Traditional Arabic" w:hint="cs"/>
          <w:color w:val="auto"/>
          <w:rtl/>
        </w:rPr>
        <w:t xml:space="preserve">ن النبي  </w:t>
      </w:r>
      <w:r w:rsidR="00FF3117">
        <w:rPr>
          <w:rFonts w:ascii="Traditional Arabic" w:hAnsi="Traditional Arabic" w:hint="cs"/>
          <w:rtl/>
        </w:rPr>
        <w:t>صلى الله عليه وسلم</w:t>
      </w:r>
      <w:r w:rsidR="00FF3117" w:rsidRPr="00B914DF">
        <w:rPr>
          <w:rFonts w:ascii="Traditional Arabic" w:hAnsi="Traditional Arabic"/>
          <w:rtl/>
        </w:rPr>
        <w:t xml:space="preserve"> </w:t>
      </w:r>
      <w:r w:rsidR="00DC59C4" w:rsidRPr="00AB1A60">
        <w:rPr>
          <w:rFonts w:ascii="Traditional Arabic" w:hAnsi="Traditional Arabic" w:hint="cs"/>
          <w:color w:val="auto"/>
          <w:rtl/>
        </w:rPr>
        <w:t>حرَّم أكل الصيد على المحرِم إذا صاده أو صِيدَ له، وأباحه له إذا لم يُصَدْ له؛ لأنه حينئذ لا يكون مقصودا بالصيد، فيجوز أن يأكل منه ضِمْناً وتبعا لا أصلاً وقصداً</w:t>
      </w:r>
      <w:r w:rsidR="00DC59C4" w:rsidRPr="00C821A1">
        <w:rPr>
          <w:rStyle w:val="af1"/>
          <w:szCs w:val="32"/>
          <w:rtl/>
        </w:rPr>
        <w:t>(</w:t>
      </w:r>
      <w:r w:rsidR="00DC59C4" w:rsidRPr="00C821A1">
        <w:rPr>
          <w:rStyle w:val="af1"/>
          <w:szCs w:val="32"/>
          <w:rtl/>
        </w:rPr>
        <w:footnoteReference w:id="1014"/>
      </w:r>
      <w:r w:rsidR="00DC59C4" w:rsidRPr="00C821A1">
        <w:rPr>
          <w:rStyle w:val="af1"/>
          <w:szCs w:val="32"/>
          <w:rtl/>
        </w:rPr>
        <w:t>)</w:t>
      </w:r>
      <w:r w:rsidR="00DC59C4" w:rsidRPr="00AB1A60">
        <w:rPr>
          <w:rFonts w:ascii="Traditional Arabic" w:hAnsi="Traditional Arabic" w:hint="cs"/>
          <w:color w:val="auto"/>
          <w:rtl/>
        </w:rPr>
        <w:t>.</w:t>
      </w:r>
    </w:p>
    <w:p w:rsidR="00DC59C4" w:rsidRPr="00D47AC6" w:rsidRDefault="00065E4B" w:rsidP="00597C20">
      <w:pPr>
        <w:ind w:firstLine="720"/>
        <w:rPr>
          <w:rFonts w:ascii="Traditional Arabic" w:hAnsi="Traditional Arabic"/>
          <w:color w:val="auto"/>
          <w:rtl/>
        </w:rPr>
      </w:pPr>
      <w:r>
        <w:rPr>
          <w:rFonts w:ascii="Traditional Arabic" w:hAnsi="Traditional Arabic"/>
          <w:noProof w:val="0"/>
          <w:rtl/>
          <w:lang w:eastAsia="en-US"/>
        </w:rPr>
        <w:t>ف</w:t>
      </w:r>
      <w:r w:rsidR="00DC59C4">
        <w:rPr>
          <w:rFonts w:ascii="Traditional Arabic" w:hAnsi="Traditional Arabic"/>
          <w:noProof w:val="0"/>
          <w:rtl/>
          <w:lang w:eastAsia="en-US"/>
        </w:rPr>
        <w:t xml:space="preserve">إذا قال قائل: أبو قتادة </w:t>
      </w:r>
      <w:r w:rsidR="009A0575">
        <w:rPr>
          <w:rFonts w:ascii="Traditional Arabic" w:hAnsi="Traditional Arabic" w:cs="CTraditional Arabic" w:hint="cs"/>
          <w:rtl/>
        </w:rPr>
        <w:t>ا</w:t>
      </w:r>
      <w:r w:rsidR="00DC59C4" w:rsidRPr="00D47AC6">
        <w:rPr>
          <w:rFonts w:ascii="Traditional Arabic" w:hAnsi="Traditional Arabic"/>
          <w:noProof w:val="0"/>
          <w:rtl/>
          <w:lang w:eastAsia="en-US"/>
        </w:rPr>
        <w:t>معه قوم</w:t>
      </w:r>
      <w:r w:rsidR="00DC59C4">
        <w:rPr>
          <w:rFonts w:ascii="Traditional Arabic" w:hAnsi="Traditional Arabic" w:hint="cs"/>
          <w:noProof w:val="0"/>
          <w:rtl/>
          <w:lang w:eastAsia="en-US"/>
        </w:rPr>
        <w:t>ُ</w:t>
      </w:r>
      <w:r w:rsidR="00DC59C4" w:rsidRPr="00D47AC6">
        <w:rPr>
          <w:rFonts w:ascii="Traditional Arabic" w:hAnsi="Traditional Arabic"/>
          <w:noProof w:val="0"/>
          <w:rtl/>
          <w:lang w:eastAsia="en-US"/>
        </w:rPr>
        <w:t>ه وصاد</w:t>
      </w:r>
      <w:r w:rsidR="00DC59C4">
        <w:rPr>
          <w:rFonts w:ascii="Traditional Arabic" w:hAnsi="Traditional Arabic" w:hint="cs"/>
          <w:noProof w:val="0"/>
          <w:rtl/>
          <w:lang w:eastAsia="en-US"/>
        </w:rPr>
        <w:t>َ</w:t>
      </w:r>
      <w:r w:rsidR="00DC59C4" w:rsidRPr="00D47AC6">
        <w:rPr>
          <w:rFonts w:ascii="Traditional Arabic" w:hAnsi="Traditional Arabic"/>
          <w:noProof w:val="0"/>
          <w:rtl/>
          <w:lang w:eastAsia="en-US"/>
        </w:rPr>
        <w:t xml:space="preserve"> الحمار، فكيف يريده لنفسه ولم ي</w:t>
      </w:r>
      <w:r w:rsidR="00DC59C4">
        <w:rPr>
          <w:rFonts w:ascii="Traditional Arabic" w:hAnsi="Traditional Arabic" w:hint="cs"/>
          <w:noProof w:val="0"/>
          <w:rtl/>
          <w:lang w:eastAsia="en-US"/>
        </w:rPr>
        <w:t>َ</w:t>
      </w:r>
      <w:r w:rsidR="00DC59C4" w:rsidRPr="00D47AC6">
        <w:rPr>
          <w:rFonts w:ascii="Traditional Arabic" w:hAnsi="Traditional Arabic"/>
          <w:noProof w:val="0"/>
          <w:rtl/>
          <w:lang w:eastAsia="en-US"/>
        </w:rPr>
        <w:t>ص</w:t>
      </w:r>
      <w:r w:rsidR="00DC59C4">
        <w:rPr>
          <w:rFonts w:ascii="Traditional Arabic" w:hAnsi="Traditional Arabic" w:hint="cs"/>
          <w:noProof w:val="0"/>
          <w:rtl/>
          <w:lang w:eastAsia="en-US"/>
        </w:rPr>
        <w:t>ِ</w:t>
      </w:r>
      <w:r w:rsidR="00DC59C4" w:rsidRPr="00D47AC6">
        <w:rPr>
          <w:rFonts w:ascii="Traditional Arabic" w:hAnsi="Traditional Arabic"/>
          <w:noProof w:val="0"/>
          <w:rtl/>
          <w:lang w:eastAsia="en-US"/>
        </w:rPr>
        <w:t>د</w:t>
      </w:r>
      <w:r w:rsidR="00DC59C4">
        <w:rPr>
          <w:rFonts w:ascii="Traditional Arabic" w:hAnsi="Traditional Arabic" w:hint="cs"/>
          <w:noProof w:val="0"/>
          <w:rtl/>
          <w:lang w:eastAsia="en-US"/>
        </w:rPr>
        <w:t>ْ</w:t>
      </w:r>
      <w:r w:rsidR="00DC59C4" w:rsidRPr="00D47AC6">
        <w:rPr>
          <w:rFonts w:ascii="Traditional Arabic" w:hAnsi="Traditional Arabic"/>
          <w:noProof w:val="0"/>
          <w:rtl/>
          <w:lang w:eastAsia="en-US"/>
        </w:rPr>
        <w:t>ه لقومه؟!</w:t>
      </w:r>
    </w:p>
    <w:p w:rsidR="00DC59C4" w:rsidRPr="00AB1A60" w:rsidRDefault="00DC59C4" w:rsidP="00597C20">
      <w:pPr>
        <w:ind w:firstLine="720"/>
        <w:rPr>
          <w:rFonts w:ascii="Traditional Arabic" w:hAnsi="Traditional Arabic"/>
          <w:color w:val="auto"/>
          <w:rtl/>
        </w:rPr>
      </w:pPr>
      <w:r w:rsidRPr="00AB1A60">
        <w:rPr>
          <w:rFonts w:ascii="Traditional Arabic" w:hAnsi="Traditional Arabic"/>
          <w:noProof w:val="0"/>
          <w:rtl/>
          <w:lang w:eastAsia="en-US"/>
        </w:rPr>
        <w:t>فالجواب: أن أبا قتادة</w:t>
      </w:r>
      <w:r w:rsidR="001D1AFA">
        <w:rPr>
          <w:rFonts w:ascii="Traditional Arabic" w:hAnsi="Traditional Arabic" w:hint="cs"/>
          <w:noProof w:val="0"/>
          <w:rtl/>
          <w:lang w:eastAsia="en-US"/>
        </w:rPr>
        <w:t>_</w:t>
      </w:r>
      <w:r w:rsidR="009A0575" w:rsidRPr="00AB1A60">
        <w:rPr>
          <w:rFonts w:ascii="Traditional Arabic" w:hAnsi="Traditional Arabic" w:cs="CTraditional Arabic" w:hint="cs"/>
          <w:rtl/>
        </w:rPr>
        <w:t>ا</w:t>
      </w:r>
      <w:r w:rsidR="001D1AFA">
        <w:rPr>
          <w:rFonts w:ascii="Traditional Arabic" w:hAnsi="Traditional Arabic" w:hint="cs"/>
          <w:noProof w:val="0"/>
          <w:rtl/>
          <w:lang w:eastAsia="en-US"/>
        </w:rPr>
        <w:t>_</w:t>
      </w:r>
      <w:r w:rsidRPr="00AB1A60">
        <w:rPr>
          <w:rFonts w:ascii="Traditional Arabic" w:hAnsi="Traditional Arabic"/>
          <w:noProof w:val="0"/>
          <w:rtl/>
          <w:lang w:eastAsia="en-US"/>
        </w:rPr>
        <w:t xml:space="preserve"> صاد</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ه</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 xml:space="preserve"> لنفسه أصلا</w:t>
      </w:r>
      <w:r w:rsidRPr="00AB1A60">
        <w:rPr>
          <w:rFonts w:ascii="Traditional Arabic" w:hAnsi="Traditional Arabic" w:hint="cs"/>
          <w:noProof w:val="0"/>
          <w:rtl/>
          <w:lang w:eastAsia="en-US"/>
        </w:rPr>
        <w:t>ً</w:t>
      </w:r>
      <w:r w:rsidRPr="00AB1A60">
        <w:rPr>
          <w:rFonts w:ascii="Traditional Arabic" w:hAnsi="Traditional Arabic"/>
          <w:noProof w:val="0"/>
          <w:rtl/>
          <w:lang w:eastAsia="en-US"/>
        </w:rPr>
        <w:t>، ولقومه تبعا</w:t>
      </w:r>
      <w:r w:rsidRPr="00C821A1">
        <w:rPr>
          <w:rStyle w:val="af1"/>
          <w:szCs w:val="32"/>
          <w:rtl/>
        </w:rPr>
        <w:t>(</w:t>
      </w:r>
      <w:r w:rsidRPr="00C821A1">
        <w:rPr>
          <w:rStyle w:val="af1"/>
          <w:szCs w:val="32"/>
          <w:rtl/>
        </w:rPr>
        <w:footnoteReference w:id="1015"/>
      </w:r>
      <w:r w:rsidRPr="00C821A1">
        <w:rPr>
          <w:rStyle w:val="af1"/>
          <w:szCs w:val="32"/>
          <w:rtl/>
        </w:rPr>
        <w:t>)</w:t>
      </w:r>
      <w:r w:rsidRPr="00AB1A60">
        <w:rPr>
          <w:rFonts w:ascii="Traditional Arabic" w:hAnsi="Traditional Arabic" w:hint="cs"/>
          <w:noProof w:val="0"/>
          <w:rtl/>
          <w:lang w:eastAsia="en-US"/>
        </w:rPr>
        <w:t>، ويثبت تبعا ما لا يثبت استقلالا.</w:t>
      </w:r>
    </w:p>
    <w:p w:rsidR="00DC59C4" w:rsidRPr="0062541F" w:rsidRDefault="00DC59C4" w:rsidP="000A76C7">
      <w:pPr>
        <w:pStyle w:val="afc"/>
        <w:widowControl/>
        <w:numPr>
          <w:ilvl w:val="0"/>
          <w:numId w:val="142"/>
        </w:numPr>
        <w:autoSpaceDE w:val="0"/>
        <w:autoSpaceDN w:val="0"/>
        <w:adjustRightInd w:val="0"/>
        <w:rPr>
          <w:rFonts w:ascii="Traditional Arabic" w:hAnsi="Traditional Arabic"/>
          <w:noProof w:val="0"/>
          <w:color w:val="auto"/>
          <w:rtl/>
          <w:lang w:eastAsia="en-US"/>
        </w:rPr>
      </w:pPr>
      <w:r>
        <w:rPr>
          <w:rFonts w:ascii="Traditional Arabic" w:hAnsi="Traditional Arabic"/>
          <w:noProof w:val="0"/>
          <w:rtl/>
          <w:lang w:eastAsia="en-US"/>
        </w:rPr>
        <w:t>عن</w:t>
      </w:r>
      <w:r w:rsidR="00DD19C7">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ابن عمر </w:t>
      </w:r>
      <w:r w:rsidR="001D1AFA">
        <w:rPr>
          <w:rFonts w:ascii="Traditional Arabic" w:hAnsi="Traditional Arabic" w:hint="cs"/>
          <w:noProof w:val="0"/>
          <w:rtl/>
          <w:lang w:eastAsia="en-US"/>
        </w:rPr>
        <w:t>_</w:t>
      </w:r>
      <w:r w:rsidR="00154102">
        <w:rPr>
          <w:rFonts w:ascii="Traditional Arabic" w:hAnsi="Traditional Arabic" w:cs="CTraditional Arabic" w:hint="cs"/>
          <w:noProof w:val="0"/>
          <w:color w:val="auto"/>
          <w:rtl/>
          <w:lang w:eastAsia="en-US"/>
        </w:rPr>
        <w:t>ب</w:t>
      </w:r>
      <w:r w:rsidR="001D1AFA">
        <w:rPr>
          <w:rFonts w:ascii="Traditional Arabic" w:hAnsi="Traditional Arabic" w:hint="cs"/>
          <w:noProof w:val="0"/>
          <w:rtl/>
          <w:lang w:eastAsia="en-US"/>
        </w:rPr>
        <w:t>_</w:t>
      </w:r>
      <w:r>
        <w:rPr>
          <w:rFonts w:ascii="Traditional Arabic" w:hAnsi="Traditional Arabic" w:hint="cs"/>
          <w:noProof w:val="0"/>
          <w:rtl/>
          <w:lang w:eastAsia="en-US"/>
        </w:rPr>
        <w:t xml:space="preserve"> قال:</w:t>
      </w:r>
      <w:r w:rsidR="006D41CE">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وجد عمر </w:t>
      </w:r>
      <w:r w:rsidRPr="0062541F">
        <w:rPr>
          <w:rFonts w:ascii="Traditional Arabic" w:hAnsi="Traditional Arabic"/>
          <w:noProof w:val="0"/>
          <w:rtl/>
          <w:lang w:eastAsia="en-US"/>
        </w:rPr>
        <w:t>في بيت رجل من ثقيف</w:t>
      </w:r>
      <w:r w:rsidRPr="00C821A1">
        <w:rPr>
          <w:rStyle w:val="af1"/>
          <w:szCs w:val="32"/>
          <w:rtl/>
        </w:rPr>
        <w:t>(</w:t>
      </w:r>
      <w:r w:rsidRPr="00C821A1">
        <w:rPr>
          <w:rStyle w:val="af1"/>
          <w:szCs w:val="32"/>
          <w:rtl/>
        </w:rPr>
        <w:footnoteReference w:id="1016"/>
      </w:r>
      <w:r w:rsidRPr="00C821A1">
        <w:rPr>
          <w:rStyle w:val="af1"/>
          <w:szCs w:val="32"/>
          <w:rtl/>
        </w:rPr>
        <w:t>)</w:t>
      </w:r>
      <w:r w:rsidRPr="0062541F">
        <w:rPr>
          <w:rFonts w:ascii="Traditional Arabic" w:hAnsi="Traditional Arabic"/>
          <w:noProof w:val="0"/>
          <w:rtl/>
          <w:lang w:eastAsia="en-US"/>
        </w:rPr>
        <w:t xml:space="preserve"> شرابا</w:t>
      </w:r>
      <w:r>
        <w:rPr>
          <w:rFonts w:ascii="Traditional Arabic" w:hAnsi="Traditional Arabic" w:hint="cs"/>
          <w:noProof w:val="0"/>
          <w:rtl/>
          <w:lang w:eastAsia="en-US"/>
        </w:rPr>
        <w:t>ً</w:t>
      </w:r>
      <w:r w:rsidRPr="0062541F">
        <w:rPr>
          <w:rFonts w:ascii="Traditional Arabic" w:hAnsi="Traditional Arabic" w:hint="cs"/>
          <w:noProof w:val="0"/>
          <w:rtl/>
          <w:lang w:eastAsia="en-US"/>
        </w:rPr>
        <w:t>،</w:t>
      </w:r>
      <w:r w:rsidRPr="0062541F">
        <w:rPr>
          <w:rFonts w:ascii="Traditional Arabic" w:hAnsi="Traditional Arabic"/>
          <w:noProof w:val="0"/>
          <w:rtl/>
          <w:lang w:eastAsia="en-US"/>
        </w:rPr>
        <w:t xml:space="preserve"> فأمر به فأ</w:t>
      </w:r>
      <w:r w:rsidRPr="0062541F">
        <w:rPr>
          <w:rFonts w:ascii="Traditional Arabic" w:hAnsi="Traditional Arabic" w:hint="cs"/>
          <w:noProof w:val="0"/>
          <w:rtl/>
          <w:lang w:eastAsia="en-US"/>
        </w:rPr>
        <w:t>ُ</w:t>
      </w:r>
      <w:r w:rsidRPr="0062541F">
        <w:rPr>
          <w:rFonts w:ascii="Traditional Arabic" w:hAnsi="Traditional Arabic"/>
          <w:noProof w:val="0"/>
          <w:rtl/>
          <w:lang w:eastAsia="en-US"/>
        </w:rPr>
        <w:t>ح</w:t>
      </w:r>
      <w:r>
        <w:rPr>
          <w:rFonts w:ascii="Traditional Arabic" w:hAnsi="Traditional Arabic" w:hint="cs"/>
          <w:noProof w:val="0"/>
          <w:rtl/>
          <w:lang w:eastAsia="en-US"/>
        </w:rPr>
        <w:t>ْ</w:t>
      </w:r>
      <w:r w:rsidRPr="0062541F">
        <w:rPr>
          <w:rFonts w:ascii="Traditional Arabic" w:hAnsi="Traditional Arabic"/>
          <w:noProof w:val="0"/>
          <w:rtl/>
          <w:lang w:eastAsia="en-US"/>
        </w:rPr>
        <w:t>رق،</w:t>
      </w:r>
      <w:r w:rsidR="00AB0B9E">
        <w:rPr>
          <w:rFonts w:ascii="Traditional Arabic" w:hAnsi="Traditional Arabic"/>
          <w:noProof w:val="0"/>
          <w:rtl/>
          <w:lang w:eastAsia="en-US"/>
        </w:rPr>
        <w:fldChar w:fldCharType="begin"/>
      </w:r>
      <w:r w:rsidR="002C1436" w:rsidRPr="00C85F0F">
        <w:instrText>XE</w:instrText>
      </w:r>
      <w:r w:rsidR="002C1436" w:rsidRPr="00C85F0F">
        <w:rPr>
          <w:rtl/>
        </w:rPr>
        <w:instrText xml:space="preserve"> "</w:instrText>
      </w:r>
      <w:r w:rsidR="002C1436" w:rsidRPr="00C85F0F">
        <w:rPr>
          <w:rFonts w:ascii="Traditional Arabic" w:hAnsi="Traditional Arabic" w:hint="cs"/>
          <w:noProof w:val="0"/>
          <w:rtl/>
          <w:lang w:eastAsia="en-US"/>
        </w:rPr>
        <w:instrText xml:space="preserve">وجد عمر </w:instrText>
      </w:r>
      <w:r w:rsidR="002C1436" w:rsidRPr="00C85F0F">
        <w:rPr>
          <w:rFonts w:ascii="Traditional Arabic" w:hAnsi="Traditional Arabic"/>
          <w:noProof w:val="0"/>
          <w:rtl/>
          <w:lang w:eastAsia="en-US"/>
        </w:rPr>
        <w:instrText>في بيت رجل من ثقيف شرابا</w:instrText>
      </w:r>
      <w:r w:rsidR="002C1436" w:rsidRPr="00C85F0F">
        <w:rPr>
          <w:rFonts w:ascii="Traditional Arabic" w:hAnsi="Traditional Arabic" w:hint="cs"/>
          <w:noProof w:val="0"/>
          <w:rtl/>
          <w:lang w:eastAsia="en-US"/>
        </w:rPr>
        <w:instrText>ً،</w:instrText>
      </w:r>
      <w:r w:rsidR="002C1436" w:rsidRPr="00C85F0F">
        <w:rPr>
          <w:rFonts w:ascii="Traditional Arabic" w:hAnsi="Traditional Arabic"/>
          <w:noProof w:val="0"/>
          <w:rtl/>
          <w:lang w:eastAsia="en-US"/>
        </w:rPr>
        <w:instrText xml:space="preserve"> فأمر به فأ</w:instrText>
      </w:r>
      <w:r w:rsidR="002C1436" w:rsidRPr="00C85F0F">
        <w:rPr>
          <w:rFonts w:ascii="Traditional Arabic" w:hAnsi="Traditional Arabic" w:hint="cs"/>
          <w:noProof w:val="0"/>
          <w:rtl/>
          <w:lang w:eastAsia="en-US"/>
        </w:rPr>
        <w:instrText>ُ</w:instrText>
      </w:r>
      <w:r w:rsidR="002C1436" w:rsidRPr="00C85F0F">
        <w:rPr>
          <w:rFonts w:ascii="Traditional Arabic" w:hAnsi="Traditional Arabic"/>
          <w:noProof w:val="0"/>
          <w:rtl/>
          <w:lang w:eastAsia="en-US"/>
        </w:rPr>
        <w:instrText>ح</w:instrText>
      </w:r>
      <w:r w:rsidR="002C1436" w:rsidRPr="00C85F0F">
        <w:rPr>
          <w:rFonts w:ascii="Traditional Arabic" w:hAnsi="Traditional Arabic" w:hint="cs"/>
          <w:noProof w:val="0"/>
          <w:rtl/>
          <w:lang w:eastAsia="en-US"/>
        </w:rPr>
        <w:instrText>ْ</w:instrText>
      </w:r>
      <w:r w:rsidR="002C1436" w:rsidRPr="00C85F0F">
        <w:rPr>
          <w:rFonts w:ascii="Traditional Arabic" w:hAnsi="Traditional Arabic"/>
          <w:noProof w:val="0"/>
          <w:rtl/>
          <w:lang w:eastAsia="en-US"/>
        </w:rPr>
        <w:instrText>رق،</w:instrText>
      </w:r>
      <w:r w:rsidR="002C1436" w:rsidRPr="00C85F0F">
        <w:rPr>
          <w:rtl/>
        </w:rPr>
        <w:instrText>" \</w:instrText>
      </w:r>
      <w:r w:rsidR="002C1436" w:rsidRPr="00C85F0F">
        <w:instrText>f</w:instrText>
      </w:r>
      <w:r w:rsidR="002C1436">
        <w:instrText>t</w:instrText>
      </w:r>
      <w:r w:rsidR="00AB0B9E">
        <w:rPr>
          <w:rFonts w:ascii="Traditional Arabic" w:hAnsi="Traditional Arabic"/>
          <w:noProof w:val="0"/>
          <w:rtl/>
          <w:lang w:eastAsia="en-US"/>
        </w:rPr>
        <w:fldChar w:fldCharType="end"/>
      </w:r>
      <w:r w:rsidRPr="0062541F">
        <w:rPr>
          <w:rFonts w:ascii="Traditional Arabic" w:hAnsi="Traditional Arabic"/>
          <w:noProof w:val="0"/>
          <w:rtl/>
          <w:lang w:eastAsia="en-US"/>
        </w:rPr>
        <w:t xml:space="preserve"> وكان يقال له: ر</w:t>
      </w:r>
      <w:r w:rsidRPr="0062541F">
        <w:rPr>
          <w:rFonts w:ascii="Traditional Arabic" w:hAnsi="Traditional Arabic" w:hint="cs"/>
          <w:noProof w:val="0"/>
          <w:rtl/>
          <w:lang w:eastAsia="en-US"/>
        </w:rPr>
        <w:t>ُ</w:t>
      </w:r>
      <w:r w:rsidRPr="0062541F">
        <w:rPr>
          <w:rFonts w:ascii="Traditional Arabic" w:hAnsi="Traditional Arabic"/>
          <w:noProof w:val="0"/>
          <w:rtl/>
          <w:lang w:eastAsia="en-US"/>
        </w:rPr>
        <w:t>و</w:t>
      </w:r>
      <w:r w:rsidRPr="0062541F">
        <w:rPr>
          <w:rFonts w:ascii="Traditional Arabic" w:hAnsi="Traditional Arabic" w:hint="cs"/>
          <w:noProof w:val="0"/>
          <w:rtl/>
          <w:lang w:eastAsia="en-US"/>
        </w:rPr>
        <w:t>َ</w:t>
      </w:r>
      <w:r w:rsidRPr="0062541F">
        <w:rPr>
          <w:rFonts w:ascii="Traditional Arabic" w:hAnsi="Traditional Arabic"/>
          <w:noProof w:val="0"/>
          <w:rtl/>
          <w:lang w:eastAsia="en-US"/>
        </w:rPr>
        <w:t>يش</w:t>
      </w:r>
      <w:r w:rsidRPr="0062541F">
        <w:rPr>
          <w:rFonts w:ascii="Traditional Arabic" w:hAnsi="Traditional Arabic" w:hint="cs"/>
          <w:noProof w:val="0"/>
          <w:rtl/>
          <w:lang w:eastAsia="en-US"/>
        </w:rPr>
        <w:t>ِ</w:t>
      </w:r>
      <w:r w:rsidRPr="0062541F">
        <w:rPr>
          <w:rFonts w:ascii="Traditional Arabic" w:hAnsi="Traditional Arabic"/>
          <w:noProof w:val="0"/>
          <w:rtl/>
          <w:lang w:eastAsia="en-US"/>
        </w:rPr>
        <w:t>د، فقال: أنت ف</w:t>
      </w:r>
      <w:r w:rsidRPr="0062541F">
        <w:rPr>
          <w:rFonts w:ascii="Traditional Arabic" w:hAnsi="Traditional Arabic" w:hint="cs"/>
          <w:noProof w:val="0"/>
          <w:rtl/>
          <w:lang w:eastAsia="en-US"/>
        </w:rPr>
        <w:t>ُ</w:t>
      </w:r>
      <w:r w:rsidRPr="0062541F">
        <w:rPr>
          <w:rFonts w:ascii="Traditional Arabic" w:hAnsi="Traditional Arabic"/>
          <w:noProof w:val="0"/>
          <w:rtl/>
          <w:lang w:eastAsia="en-US"/>
        </w:rPr>
        <w:t>و</w:t>
      </w:r>
      <w:r w:rsidRPr="0062541F">
        <w:rPr>
          <w:rFonts w:ascii="Traditional Arabic" w:hAnsi="Traditional Arabic" w:hint="cs"/>
          <w:noProof w:val="0"/>
          <w:rtl/>
          <w:lang w:eastAsia="en-US"/>
        </w:rPr>
        <w:t>َ</w:t>
      </w:r>
      <w:r w:rsidRPr="0062541F">
        <w:rPr>
          <w:rFonts w:ascii="Traditional Arabic" w:hAnsi="Traditional Arabic"/>
          <w:noProof w:val="0"/>
          <w:rtl/>
          <w:lang w:eastAsia="en-US"/>
        </w:rPr>
        <w:t>يس</w:t>
      </w:r>
      <w:r w:rsidRPr="0062541F">
        <w:rPr>
          <w:rFonts w:ascii="Traditional Arabic" w:hAnsi="Traditional Arabic" w:hint="cs"/>
          <w:noProof w:val="0"/>
          <w:rtl/>
          <w:lang w:eastAsia="en-US"/>
        </w:rPr>
        <w:t>ِ</w:t>
      </w:r>
      <w:r w:rsidRPr="0062541F">
        <w:rPr>
          <w:rFonts w:ascii="Traditional Arabic" w:hAnsi="Traditional Arabic"/>
          <w:noProof w:val="0"/>
          <w:rtl/>
          <w:lang w:eastAsia="en-US"/>
        </w:rPr>
        <w:t>ق</w:t>
      </w:r>
      <w:r w:rsidRPr="00C821A1">
        <w:rPr>
          <w:rStyle w:val="af1"/>
          <w:szCs w:val="32"/>
          <w:rtl/>
        </w:rPr>
        <w:t>(</w:t>
      </w:r>
      <w:r w:rsidRPr="00C821A1">
        <w:rPr>
          <w:rStyle w:val="af1"/>
          <w:szCs w:val="32"/>
          <w:rtl/>
        </w:rPr>
        <w:footnoteReference w:id="1017"/>
      </w:r>
      <w:r w:rsidRPr="00C821A1">
        <w:rPr>
          <w:rStyle w:val="af1"/>
          <w:szCs w:val="32"/>
          <w:rtl/>
        </w:rPr>
        <w:t>)</w:t>
      </w:r>
      <w:r w:rsidRPr="0062541F">
        <w:rPr>
          <w:rFonts w:ascii="Traditional Arabic" w:hAnsi="Traditional Arabic"/>
          <w:noProof w:val="0"/>
          <w:rtl/>
          <w:lang w:eastAsia="en-US"/>
        </w:rPr>
        <w:t>.</w:t>
      </w:r>
    </w:p>
    <w:p w:rsidR="00DC59C4" w:rsidRDefault="00DC59C4" w:rsidP="00A323FE">
      <w:pPr>
        <w:pStyle w:val="53"/>
        <w:rPr>
          <w:rtl/>
        </w:rPr>
      </w:pPr>
      <w:r>
        <w:rPr>
          <w:rFonts w:hint="cs"/>
          <w:rtl/>
        </w:rPr>
        <w:t>وجه الدلالة:</w:t>
      </w:r>
    </w:p>
    <w:p w:rsidR="00DC59C4" w:rsidRPr="00A323FE" w:rsidRDefault="00DC59C4" w:rsidP="00A323FE">
      <w:pPr>
        <w:ind w:firstLine="720"/>
        <w:rPr>
          <w:rFonts w:ascii="Traditional Arabic" w:hAnsi="Traditional Arabic"/>
          <w:color w:val="auto"/>
          <w:rtl/>
        </w:rPr>
      </w:pPr>
      <w:r w:rsidRPr="00A323FE">
        <w:rPr>
          <w:rFonts w:ascii="Traditional Arabic" w:hAnsi="Traditional Arabic" w:hint="cs"/>
          <w:color w:val="auto"/>
          <w:rtl/>
        </w:rPr>
        <w:t xml:space="preserve">يقول الشيخ ابن عثيمين </w:t>
      </w:r>
      <w:r w:rsidR="001D1AFA">
        <w:rPr>
          <w:rFonts w:ascii="Traditional Arabic" w:hAnsi="Traditional Arabic" w:hint="cs"/>
          <w:color w:val="auto"/>
          <w:rtl/>
        </w:rPr>
        <w:t>_</w:t>
      </w:r>
      <w:r w:rsidR="009A0575" w:rsidRPr="00A323FE">
        <w:rPr>
          <w:rFonts w:ascii="Traditional Arabic" w:hAnsi="Traditional Arabic" w:cs="CTraditional Arabic" w:hint="cs"/>
          <w:rtl/>
        </w:rPr>
        <w:t>/</w:t>
      </w:r>
      <w:r w:rsidR="001D1AFA">
        <w:rPr>
          <w:rFonts w:ascii="Traditional Arabic" w:hAnsi="Traditional Arabic" w:hint="cs"/>
          <w:color w:val="auto"/>
          <w:rtl/>
        </w:rPr>
        <w:t>_</w:t>
      </w:r>
      <w:r w:rsidRPr="00A323FE">
        <w:rPr>
          <w:rFonts w:ascii="Traditional Arabic" w:hAnsi="Traditional Arabic" w:hint="cs"/>
          <w:color w:val="auto"/>
          <w:rtl/>
        </w:rPr>
        <w:t xml:space="preserve"> تعليلا لعدم </w:t>
      </w:r>
      <w:r w:rsidR="006D41CE">
        <w:rPr>
          <w:rFonts w:ascii="Traditional Arabic" w:hAnsi="Traditional Arabic" w:hint="cs"/>
          <w:color w:val="auto"/>
          <w:rtl/>
        </w:rPr>
        <w:t>تضمي</w:t>
      </w:r>
      <w:r w:rsidRPr="00A323FE">
        <w:rPr>
          <w:rFonts w:ascii="Traditional Arabic" w:hAnsi="Traditional Arabic" w:hint="cs"/>
          <w:color w:val="auto"/>
          <w:rtl/>
        </w:rPr>
        <w:t>ن م</w:t>
      </w:r>
      <w:r w:rsidR="001D1AFA">
        <w:rPr>
          <w:rFonts w:ascii="Traditional Arabic" w:hAnsi="Traditional Arabic" w:hint="cs"/>
          <w:color w:val="auto"/>
          <w:rtl/>
        </w:rPr>
        <w:t>ُ</w:t>
      </w:r>
      <w:r w:rsidRPr="00A323FE">
        <w:rPr>
          <w:rFonts w:ascii="Traditional Arabic" w:hAnsi="Traditional Arabic" w:hint="cs"/>
          <w:color w:val="auto"/>
          <w:rtl/>
        </w:rPr>
        <w:t>تلِف آنية الخمر: (</w:t>
      </w:r>
      <w:r w:rsidRPr="00A323FE">
        <w:rPr>
          <w:rFonts w:ascii="Traditional Arabic" w:hAnsi="Traditional Arabic"/>
          <w:noProof w:val="0"/>
          <w:color w:val="auto"/>
          <w:rtl/>
          <w:lang w:eastAsia="en-US"/>
        </w:rPr>
        <w:t xml:space="preserve">ولو قال قائل: </w:t>
      </w:r>
      <w:r w:rsidRPr="00A323FE">
        <w:rPr>
          <w:rFonts w:ascii="Traditional Arabic" w:hAnsi="Traditional Arabic"/>
          <w:noProof w:val="0"/>
          <w:color w:val="auto"/>
          <w:rtl/>
          <w:lang w:eastAsia="en-US"/>
        </w:rPr>
        <w:lastRenderedPageBreak/>
        <w:t>ما شأن الآنية، الآنية تحفظ الخمر وغير</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ه</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 xml:space="preserve"> فهي تستعمل في الخمر وغيره؟ نقول: لأنه لما كان الخمر فيها ذهبت ح</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رمتها لذهاب حرمة ما فيها فلا ت</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 xml:space="preserve">ضمن، ويثبت تبعا ما لا يثبت استقلالا، ويدل لذلك أن عمر بن الخطاب </w:t>
      </w:r>
      <w:r w:rsidR="009A0575" w:rsidRPr="00A323FE">
        <w:rPr>
          <w:rFonts w:ascii="Traditional Arabic" w:hAnsi="Traditional Arabic" w:cs="CTraditional Arabic" w:hint="cs"/>
          <w:rtl/>
        </w:rPr>
        <w:t>ا</w:t>
      </w:r>
      <w:r w:rsidRPr="00A323FE">
        <w:rPr>
          <w:rFonts w:ascii="Traditional Arabic" w:hAnsi="Traditional Arabic"/>
          <w:noProof w:val="0"/>
          <w:color w:val="auto"/>
          <w:rtl/>
          <w:lang w:eastAsia="en-US"/>
        </w:rPr>
        <w:t xml:space="preserve"> ـ حر</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ق حان</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وت الخم</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ار، وهذا أب</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ع</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د</w:t>
      </w:r>
      <w:r w:rsidRPr="00A323FE">
        <w:rPr>
          <w:rFonts w:ascii="Traditional Arabic" w:hAnsi="Traditional Arabic" w:hint="cs"/>
          <w:noProof w:val="0"/>
          <w:color w:val="auto"/>
          <w:rtl/>
          <w:lang w:eastAsia="en-US"/>
        </w:rPr>
        <w:t>ُ</w:t>
      </w:r>
      <w:r w:rsidRPr="00A323FE">
        <w:rPr>
          <w:rFonts w:ascii="Traditional Arabic" w:hAnsi="Traditional Arabic"/>
          <w:noProof w:val="0"/>
          <w:color w:val="auto"/>
          <w:rtl/>
          <w:lang w:eastAsia="en-US"/>
        </w:rPr>
        <w:t xml:space="preserve"> من آنية الخمر</w:t>
      </w:r>
      <w:r>
        <w:rPr>
          <w:rFonts w:hint="cs"/>
          <w:rtl/>
        </w:rPr>
        <w:t>)</w:t>
      </w:r>
      <w:r w:rsidRPr="00A323FE">
        <w:rPr>
          <w:rStyle w:val="af1"/>
          <w:szCs w:val="32"/>
          <w:rtl/>
        </w:rPr>
        <w:t>(</w:t>
      </w:r>
      <w:r w:rsidRPr="00C821A1">
        <w:rPr>
          <w:rStyle w:val="af1"/>
          <w:szCs w:val="32"/>
          <w:rtl/>
        </w:rPr>
        <w:footnoteReference w:id="1018"/>
      </w:r>
      <w:r w:rsidRPr="00A323FE">
        <w:rPr>
          <w:rStyle w:val="af1"/>
          <w:szCs w:val="32"/>
          <w:rtl/>
        </w:rPr>
        <w:t>)</w:t>
      </w:r>
      <w:r w:rsidRPr="00A323FE">
        <w:rPr>
          <w:rFonts w:ascii="Traditional Arabic" w:hAnsi="Traditional Arabic" w:hint="cs"/>
          <w:color w:val="auto"/>
          <w:rtl/>
        </w:rPr>
        <w:t>.</w:t>
      </w:r>
    </w:p>
    <w:p w:rsidR="00DC59C4" w:rsidRPr="00DC59C4" w:rsidRDefault="001D1AFA" w:rsidP="00A8347C">
      <w:pPr>
        <w:pStyle w:val="aff3"/>
        <w:rPr>
          <w:rtl/>
        </w:rPr>
      </w:pPr>
      <w:bookmarkStart w:id="199" w:name="_Toc334046430"/>
      <w:r>
        <w:rPr>
          <w:rFonts w:hint="cs"/>
          <w:rtl/>
        </w:rPr>
        <w:t xml:space="preserve">                                         </w:t>
      </w:r>
      <w:r w:rsidR="00DC59C4" w:rsidRPr="00DC59C4">
        <w:rPr>
          <w:rFonts w:hint="cs"/>
          <w:rtl/>
        </w:rPr>
        <w:t>المطلب الرابع</w:t>
      </w:r>
      <w:r w:rsidR="00DC59C4">
        <w:rPr>
          <w:rFonts w:hint="eastAsia"/>
          <w:rtl/>
        </w:rPr>
        <w:t> </w:t>
      </w:r>
      <w:r w:rsidR="00DC59C4">
        <w:rPr>
          <w:rtl/>
        </w:rPr>
        <w:br/>
      </w:r>
      <w:r>
        <w:rPr>
          <w:rFonts w:hint="cs"/>
          <w:rtl/>
        </w:rPr>
        <w:t xml:space="preserve">                                        </w:t>
      </w:r>
      <w:r w:rsidR="00DC59C4" w:rsidRPr="00DC59C4">
        <w:rPr>
          <w:rFonts w:hint="cs"/>
          <w:rtl/>
        </w:rPr>
        <w:t>تطبيقات القاعدة</w:t>
      </w:r>
      <w:bookmarkEnd w:id="199"/>
    </w:p>
    <w:p w:rsidR="00F228A9" w:rsidRDefault="00DC59C4" w:rsidP="000A76C7">
      <w:pPr>
        <w:pStyle w:val="afc"/>
        <w:numPr>
          <w:ilvl w:val="0"/>
          <w:numId w:val="143"/>
        </w:numPr>
        <w:rPr>
          <w:rFonts w:ascii="Traditional Arabic" w:hAnsi="Traditional Arabic"/>
          <w:color w:val="auto"/>
        </w:rPr>
      </w:pPr>
      <w:r>
        <w:rPr>
          <w:rFonts w:ascii="Traditional Arabic" w:hAnsi="Traditional Arabic" w:hint="cs"/>
          <w:color w:val="auto"/>
          <w:rtl/>
        </w:rPr>
        <w:t>يجوز بَيع الحمل مع أمه بشرطِ ألا يُفْرَدا بعقدٍ؛ لأن الحمل صار تبعاً لأمه وجزءاً من أجزائها</w:t>
      </w:r>
      <w:r w:rsidRPr="00C821A1">
        <w:rPr>
          <w:rStyle w:val="af1"/>
          <w:szCs w:val="32"/>
          <w:rtl/>
        </w:rPr>
        <w:t>(</w:t>
      </w:r>
      <w:r w:rsidRPr="00C821A1">
        <w:rPr>
          <w:rStyle w:val="af1"/>
          <w:szCs w:val="32"/>
          <w:rtl/>
        </w:rPr>
        <w:footnoteReference w:id="1019"/>
      </w:r>
      <w:r w:rsidRPr="00C821A1">
        <w:rPr>
          <w:rStyle w:val="af1"/>
          <w:szCs w:val="32"/>
          <w:rtl/>
        </w:rPr>
        <w:t>)</w:t>
      </w:r>
      <w:r>
        <w:rPr>
          <w:rFonts w:ascii="Traditional Arabic" w:hAnsi="Traditional Arabic" w:hint="cs"/>
          <w:color w:val="auto"/>
          <w:rtl/>
        </w:rPr>
        <w:t>.</w:t>
      </w:r>
    </w:p>
    <w:p w:rsidR="00065E4B" w:rsidRDefault="00DC59C4" w:rsidP="00597C20">
      <w:pPr>
        <w:pStyle w:val="53"/>
        <w:rPr>
          <w:rtl/>
        </w:rPr>
      </w:pPr>
      <w:r>
        <w:rPr>
          <w:rFonts w:hint="cs"/>
          <w:rtl/>
        </w:rPr>
        <w:t>وجه اندراج الفرع تحت القاعدة:</w:t>
      </w:r>
    </w:p>
    <w:p w:rsidR="00DC59C4" w:rsidRDefault="00065E4B" w:rsidP="00597C20">
      <w:pPr>
        <w:ind w:firstLine="720"/>
        <w:rPr>
          <w:rFonts w:ascii="Traditional Arabic" w:hAnsi="Traditional Arabic"/>
          <w:color w:val="auto"/>
          <w:rtl/>
        </w:rPr>
      </w:pPr>
      <w:r w:rsidRPr="00BC6221">
        <w:rPr>
          <w:rFonts w:ascii="Traditional Arabic" w:hAnsi="Traditional Arabic"/>
          <w:noProof w:val="0"/>
          <w:rtl/>
          <w:lang w:eastAsia="en-US"/>
        </w:rPr>
        <w:t>ل</w:t>
      </w:r>
      <w:r w:rsidR="00DC59C4" w:rsidRPr="00BC6221">
        <w:rPr>
          <w:rFonts w:ascii="Traditional Arabic" w:hAnsi="Traditional Arabic"/>
          <w:noProof w:val="0"/>
          <w:rtl/>
          <w:lang w:eastAsia="en-US"/>
        </w:rPr>
        <w:t>ا يصح بيع</w:t>
      </w:r>
      <w:r w:rsidR="00DC59C4" w:rsidRPr="00BC6221">
        <w:rPr>
          <w:rFonts w:ascii="Traditional Arabic" w:hAnsi="Traditional Arabic" w:hint="cs"/>
          <w:noProof w:val="0"/>
          <w:rtl/>
          <w:lang w:eastAsia="en-US"/>
        </w:rPr>
        <w:t xml:space="preserve"> الحمل في البطن</w:t>
      </w:r>
      <w:r w:rsidR="00DC59C4" w:rsidRPr="00BC6221">
        <w:rPr>
          <w:rFonts w:ascii="Traditional Arabic" w:hAnsi="Traditional Arabic"/>
          <w:noProof w:val="0"/>
          <w:rtl/>
          <w:lang w:eastAsia="en-US"/>
        </w:rPr>
        <w:t xml:space="preserve"> إذا ب</w:t>
      </w:r>
      <w:r w:rsidR="00DC59C4">
        <w:rPr>
          <w:rFonts w:ascii="Traditional Arabic" w:hAnsi="Traditional Arabic" w:hint="cs"/>
          <w:noProof w:val="0"/>
          <w:rtl/>
          <w:lang w:eastAsia="en-US"/>
        </w:rPr>
        <w:t>ِ</w:t>
      </w:r>
      <w:r w:rsidR="00DC59C4" w:rsidRPr="00BC6221">
        <w:rPr>
          <w:rFonts w:ascii="Traditional Arabic" w:hAnsi="Traditional Arabic"/>
          <w:noProof w:val="0"/>
          <w:rtl/>
          <w:lang w:eastAsia="en-US"/>
        </w:rPr>
        <w:t xml:space="preserve">يع منفردا؛ لأن النبي </w:t>
      </w:r>
      <w:r w:rsidR="00FF3117">
        <w:rPr>
          <w:rFonts w:ascii="Traditional Arabic" w:hAnsi="Traditional Arabic" w:hint="cs"/>
          <w:rtl/>
        </w:rPr>
        <w:t>صلى الله عليه وسلم</w:t>
      </w:r>
      <w:r w:rsidR="00DC59C4">
        <w:rPr>
          <w:rFonts w:ascii="Traditional Arabic" w:hAnsi="Traditional Arabic"/>
          <w:noProof w:val="0"/>
          <w:rtl/>
          <w:lang w:eastAsia="en-US"/>
        </w:rPr>
        <w:t xml:space="preserve"> نهى عن بيع الغرر</w:t>
      </w:r>
      <w:r w:rsidR="00DC59C4" w:rsidRPr="00C821A1">
        <w:rPr>
          <w:rStyle w:val="af1"/>
          <w:szCs w:val="32"/>
          <w:rtl/>
        </w:rPr>
        <w:t>(</w:t>
      </w:r>
      <w:r w:rsidR="00DC59C4" w:rsidRPr="00C821A1">
        <w:rPr>
          <w:rStyle w:val="af1"/>
          <w:szCs w:val="32"/>
          <w:rtl/>
        </w:rPr>
        <w:footnoteReference w:id="1020"/>
      </w:r>
      <w:r w:rsidR="00DC59C4" w:rsidRPr="00C821A1">
        <w:rPr>
          <w:rStyle w:val="af1"/>
          <w:szCs w:val="32"/>
          <w:rtl/>
        </w:rPr>
        <w:t>)</w:t>
      </w:r>
      <w:r w:rsidR="00DC59C4" w:rsidRPr="00BC6221">
        <w:rPr>
          <w:rFonts w:ascii="Traditional Arabic" w:hAnsi="Traditional Arabic"/>
          <w:noProof w:val="0"/>
          <w:rtl/>
          <w:lang w:eastAsia="en-US"/>
        </w:rPr>
        <w:t>، وهذا غرر</w:t>
      </w:r>
      <w:r w:rsidR="00DC59C4">
        <w:rPr>
          <w:rFonts w:ascii="Traditional Arabic" w:hAnsi="Traditional Arabic" w:hint="cs"/>
          <w:noProof w:val="0"/>
          <w:rtl/>
          <w:lang w:eastAsia="en-US"/>
        </w:rPr>
        <w:t>،</w:t>
      </w:r>
      <w:r w:rsidR="00DC59C4" w:rsidRPr="00BC6221">
        <w:rPr>
          <w:rFonts w:ascii="Traditional Arabic" w:hAnsi="Traditional Arabic"/>
          <w:noProof w:val="0"/>
          <w:rtl/>
          <w:lang w:eastAsia="en-US"/>
        </w:rPr>
        <w:t xml:space="preserve"> فإن الحمل قد يكون واحدا أو أكثر، وقد يكون ذكرا أو أنثى، وقد يخرج حيا وقد يخرج ميتا، فالجهالة فيه كبيرة</w:t>
      </w:r>
      <w:r w:rsidR="00DC59C4">
        <w:rPr>
          <w:rFonts w:ascii="Traditional Arabic" w:hAnsi="Traditional Arabic" w:hint="cs"/>
          <w:noProof w:val="0"/>
          <w:rtl/>
          <w:lang w:eastAsia="en-US"/>
        </w:rPr>
        <w:t>، ولكن إذا ب</w:t>
      </w:r>
      <w:r w:rsidR="003E7B4D">
        <w:rPr>
          <w:rFonts w:ascii="Traditional Arabic" w:hAnsi="Traditional Arabic" w:hint="cs"/>
          <w:noProof w:val="0"/>
          <w:rtl/>
          <w:lang w:eastAsia="en-US"/>
        </w:rPr>
        <w:t>ِ</w:t>
      </w:r>
      <w:r w:rsidR="00DC59C4">
        <w:rPr>
          <w:rFonts w:ascii="Traditional Arabic" w:hAnsi="Traditional Arabic" w:hint="cs"/>
          <w:noProof w:val="0"/>
          <w:rtl/>
          <w:lang w:eastAsia="en-US"/>
        </w:rPr>
        <w:t>يع الحمل مع أمه جاز ذلك؛ لأنه تابعٌ لأمه، ويجوز تبعا ما لا يجوز استقلالا</w:t>
      </w:r>
      <w:r w:rsidR="00DC59C4" w:rsidRPr="00C821A1">
        <w:rPr>
          <w:rStyle w:val="af1"/>
          <w:szCs w:val="32"/>
          <w:rtl/>
        </w:rPr>
        <w:t>(</w:t>
      </w:r>
      <w:r w:rsidR="00DC59C4" w:rsidRPr="00C821A1">
        <w:rPr>
          <w:rStyle w:val="af1"/>
          <w:szCs w:val="32"/>
          <w:rtl/>
        </w:rPr>
        <w:footnoteReference w:id="1021"/>
      </w:r>
      <w:r w:rsidR="00DC59C4" w:rsidRPr="00C821A1">
        <w:rPr>
          <w:rStyle w:val="af1"/>
          <w:szCs w:val="32"/>
          <w:rtl/>
        </w:rPr>
        <w:t>)</w:t>
      </w:r>
      <w:r w:rsidR="00DC59C4">
        <w:rPr>
          <w:rFonts w:ascii="Traditional Arabic" w:hAnsi="Traditional Arabic" w:hint="cs"/>
          <w:noProof w:val="0"/>
          <w:rtl/>
          <w:lang w:eastAsia="en-US"/>
        </w:rPr>
        <w:t>.</w:t>
      </w:r>
    </w:p>
    <w:p w:rsidR="00F228A9" w:rsidRDefault="00DC59C4" w:rsidP="000A76C7">
      <w:pPr>
        <w:pStyle w:val="afc"/>
        <w:numPr>
          <w:ilvl w:val="0"/>
          <w:numId w:val="143"/>
        </w:numPr>
        <w:rPr>
          <w:rFonts w:ascii="Traditional Arabic" w:hAnsi="Traditional Arabic"/>
          <w:color w:val="auto"/>
        </w:rPr>
      </w:pPr>
      <w:r>
        <w:rPr>
          <w:rFonts w:ascii="Traditional Arabic" w:hAnsi="Traditional Arabic" w:hint="cs"/>
          <w:color w:val="auto"/>
          <w:rtl/>
        </w:rPr>
        <w:t>إذا باع الرجل شاة فيها لبن، بإناء كبير مملوء لبناً، جاز ذلك، مع أن اللبن الذي في الضرع أقلُّ من اللبن الذي في هذا الإناء الكبير، وبيع اللبن باللب</w:t>
      </w:r>
      <w:r w:rsidR="004A4BF0">
        <w:rPr>
          <w:rFonts w:ascii="Traditional Arabic" w:hAnsi="Traditional Arabic" w:hint="cs"/>
          <w:color w:val="auto"/>
          <w:rtl/>
        </w:rPr>
        <w:t>ن متفاضلا لا يجوز، لكنه جاز في هذه الحالة</w:t>
      </w:r>
      <w:r>
        <w:rPr>
          <w:rFonts w:ascii="Traditional Arabic" w:hAnsi="Traditional Arabic" w:hint="cs"/>
          <w:color w:val="auto"/>
          <w:rtl/>
        </w:rPr>
        <w:t>؛ لأن اللبن بيع تبعاً للشاة، ولم ي</w:t>
      </w:r>
      <w:r w:rsidR="006D41CE">
        <w:rPr>
          <w:rFonts w:ascii="Traditional Arabic" w:hAnsi="Traditional Arabic" w:hint="cs"/>
          <w:color w:val="auto"/>
          <w:rtl/>
        </w:rPr>
        <w:t>ُ</w:t>
      </w:r>
      <w:r>
        <w:rPr>
          <w:rFonts w:ascii="Traditional Arabic" w:hAnsi="Traditional Arabic" w:hint="cs"/>
          <w:color w:val="auto"/>
          <w:rtl/>
        </w:rPr>
        <w:t>ف</w:t>
      </w:r>
      <w:r w:rsidR="006D41CE">
        <w:rPr>
          <w:rFonts w:ascii="Traditional Arabic" w:hAnsi="Traditional Arabic" w:hint="cs"/>
          <w:color w:val="auto"/>
          <w:rtl/>
        </w:rPr>
        <w:t>ْ</w:t>
      </w:r>
      <w:r>
        <w:rPr>
          <w:rFonts w:ascii="Traditional Arabic" w:hAnsi="Traditional Arabic" w:hint="cs"/>
          <w:color w:val="auto"/>
          <w:rtl/>
        </w:rPr>
        <w:t>ر</w:t>
      </w:r>
      <w:r w:rsidR="006D41CE">
        <w:rPr>
          <w:rFonts w:ascii="Traditional Arabic" w:hAnsi="Traditional Arabic" w:hint="cs"/>
          <w:color w:val="auto"/>
          <w:rtl/>
        </w:rPr>
        <w:t>َ</w:t>
      </w:r>
      <w:r>
        <w:rPr>
          <w:rFonts w:ascii="Traditional Arabic" w:hAnsi="Traditional Arabic" w:hint="cs"/>
          <w:color w:val="auto"/>
          <w:rtl/>
        </w:rPr>
        <w:t>د بالبيع</w:t>
      </w:r>
      <w:r w:rsidRPr="00C821A1">
        <w:rPr>
          <w:rStyle w:val="af1"/>
          <w:szCs w:val="32"/>
          <w:rtl/>
        </w:rPr>
        <w:t>(</w:t>
      </w:r>
      <w:r w:rsidRPr="00C821A1">
        <w:rPr>
          <w:rStyle w:val="af1"/>
          <w:szCs w:val="32"/>
          <w:rtl/>
        </w:rPr>
        <w:footnoteReference w:id="1022"/>
      </w:r>
      <w:r w:rsidRPr="00C821A1">
        <w:rPr>
          <w:rStyle w:val="af1"/>
          <w:szCs w:val="32"/>
          <w:rtl/>
        </w:rPr>
        <w:t>)</w:t>
      </w:r>
      <w:r>
        <w:rPr>
          <w:rFonts w:ascii="Traditional Arabic" w:hAnsi="Traditional Arabic" w:hint="cs"/>
          <w:color w:val="auto"/>
          <w:rtl/>
        </w:rPr>
        <w:t>.</w:t>
      </w:r>
    </w:p>
    <w:p w:rsidR="00DC59C4" w:rsidRDefault="00DC59C4" w:rsidP="00597C20">
      <w:pPr>
        <w:pStyle w:val="53"/>
        <w:rPr>
          <w:rtl/>
        </w:rPr>
      </w:pPr>
      <w:r>
        <w:rPr>
          <w:rFonts w:hint="cs"/>
          <w:rtl/>
        </w:rPr>
        <w:lastRenderedPageBreak/>
        <w:t>وجه اندراج الفرع تحت القاعدة:</w:t>
      </w:r>
    </w:p>
    <w:p w:rsidR="00DC59C4" w:rsidRPr="00AB1A60" w:rsidRDefault="00DC59C4" w:rsidP="00597C20">
      <w:pPr>
        <w:ind w:firstLine="720"/>
        <w:rPr>
          <w:rFonts w:ascii="Traditional Arabic" w:hAnsi="Traditional Arabic"/>
          <w:color w:val="auto"/>
          <w:rtl/>
        </w:rPr>
      </w:pPr>
      <w:r w:rsidRPr="00AB1A60">
        <w:rPr>
          <w:rFonts w:ascii="Traditional Arabic" w:hAnsi="Traditional Arabic" w:hint="cs"/>
          <w:color w:val="auto"/>
          <w:rtl/>
        </w:rPr>
        <w:t>لايجوز بيع اللبن باللبن متفاضلاً؛ لأن علة الربا في غير الذهب والفضة من الأصناف الستة المذكورة في الحديث هي الكيل، واللبن مَكيل.</w:t>
      </w:r>
    </w:p>
    <w:p w:rsidR="00DC59C4" w:rsidRPr="00AB1A60" w:rsidRDefault="00DC59C4" w:rsidP="00597C20">
      <w:pPr>
        <w:ind w:firstLine="720"/>
        <w:rPr>
          <w:rFonts w:ascii="Traditional Arabic" w:hAnsi="Traditional Arabic"/>
          <w:color w:val="auto"/>
          <w:rtl/>
        </w:rPr>
      </w:pPr>
      <w:r w:rsidRPr="00AB1A60">
        <w:rPr>
          <w:rFonts w:ascii="Traditional Arabic" w:hAnsi="Traditional Arabic" w:hint="cs"/>
          <w:color w:val="auto"/>
          <w:rtl/>
        </w:rPr>
        <w:t xml:space="preserve">وإنما جاز البيع في المسألة التي ذكرها الشيخ ابن عثيمين </w:t>
      </w:r>
      <w:r w:rsidR="004A4BF0">
        <w:rPr>
          <w:rFonts w:ascii="Traditional Arabic" w:hAnsi="Traditional Arabic" w:hint="cs"/>
          <w:color w:val="auto"/>
          <w:rtl/>
        </w:rPr>
        <w:t>_</w:t>
      </w:r>
      <w:r w:rsidR="009A0575" w:rsidRPr="005D5694">
        <w:rPr>
          <w:rFonts w:ascii="Traditional Arabic" w:hAnsi="Traditional Arabic" w:cs="CTraditional Arabic" w:hint="cs"/>
          <w:rtl/>
        </w:rPr>
        <w:t>/</w:t>
      </w:r>
      <w:r w:rsidR="004A4BF0">
        <w:rPr>
          <w:rFonts w:ascii="Traditional Arabic" w:hAnsi="Traditional Arabic" w:hint="cs"/>
          <w:color w:val="auto"/>
          <w:rtl/>
        </w:rPr>
        <w:t>_</w:t>
      </w:r>
      <w:r w:rsidRPr="00AB1A60">
        <w:rPr>
          <w:rFonts w:ascii="Traditional Arabic" w:hAnsi="Traditional Arabic" w:hint="cs"/>
          <w:color w:val="auto"/>
          <w:rtl/>
        </w:rPr>
        <w:t>؛ لأن اللبن الذي في ضَرْع الشاة بِيع تبعا</w:t>
      </w:r>
      <w:r w:rsidR="006D41CE">
        <w:rPr>
          <w:rFonts w:ascii="Traditional Arabic" w:hAnsi="Traditional Arabic" w:hint="cs"/>
          <w:color w:val="auto"/>
          <w:rtl/>
        </w:rPr>
        <w:t>ً</w:t>
      </w:r>
      <w:r w:rsidRPr="00AB1A60">
        <w:rPr>
          <w:rFonts w:ascii="Traditional Arabic" w:hAnsi="Traditional Arabic" w:hint="cs"/>
          <w:color w:val="auto"/>
          <w:rtl/>
        </w:rPr>
        <w:t xml:space="preserve"> لها ولم يُبع استقلالا، ويجوز في التابع ما لا يجوز في المستقل.</w:t>
      </w:r>
    </w:p>
    <w:p w:rsidR="00065E4B" w:rsidRPr="00C91C33" w:rsidRDefault="00DC59C4" w:rsidP="000A76C7">
      <w:pPr>
        <w:pStyle w:val="afc"/>
        <w:numPr>
          <w:ilvl w:val="0"/>
          <w:numId w:val="143"/>
        </w:numPr>
        <w:rPr>
          <w:rFonts w:ascii="Traditional Arabic" w:hAnsi="Traditional Arabic"/>
          <w:color w:val="auto"/>
          <w:rtl/>
        </w:rPr>
      </w:pPr>
      <w:r w:rsidRPr="00C91C33">
        <w:rPr>
          <w:rFonts w:ascii="Traditional Arabic" w:hAnsi="Traditional Arabic"/>
          <w:noProof w:val="0"/>
          <w:rtl/>
          <w:lang w:eastAsia="en-US"/>
        </w:rPr>
        <w:t>بيع ثمر الن</w:t>
      </w:r>
      <w:r>
        <w:rPr>
          <w:rFonts w:ascii="Traditional Arabic" w:hAnsi="Traditional Arabic"/>
          <w:noProof w:val="0"/>
          <w:rtl/>
          <w:lang w:eastAsia="en-US"/>
        </w:rPr>
        <w:t>خل وحده لا يجوز</w:t>
      </w:r>
      <w:r w:rsidRPr="00C91C33">
        <w:rPr>
          <w:rFonts w:ascii="Traditional Arabic" w:hAnsi="Traditional Arabic"/>
          <w:noProof w:val="0"/>
          <w:rtl/>
          <w:lang w:eastAsia="en-US"/>
        </w:rPr>
        <w:t xml:space="preserve"> حتى يبد</w:t>
      </w:r>
      <w:r>
        <w:rPr>
          <w:rFonts w:ascii="Traditional Arabic" w:hAnsi="Traditional Arabic" w:hint="cs"/>
          <w:noProof w:val="0"/>
          <w:rtl/>
          <w:lang w:eastAsia="en-US"/>
        </w:rPr>
        <w:t>ُ</w:t>
      </w:r>
      <w:r w:rsidRPr="00C91C33">
        <w:rPr>
          <w:rFonts w:ascii="Traditional Arabic" w:hAnsi="Traditional Arabic"/>
          <w:noProof w:val="0"/>
          <w:rtl/>
          <w:lang w:eastAsia="en-US"/>
        </w:rPr>
        <w:t>و صلاح</w:t>
      </w:r>
      <w:r>
        <w:rPr>
          <w:rFonts w:ascii="Traditional Arabic" w:hAnsi="Traditional Arabic" w:hint="cs"/>
          <w:noProof w:val="0"/>
          <w:rtl/>
          <w:lang w:eastAsia="en-US"/>
        </w:rPr>
        <w:t>ُ</w:t>
      </w:r>
      <w:r w:rsidRPr="00C91C33">
        <w:rPr>
          <w:rFonts w:ascii="Traditional Arabic" w:hAnsi="Traditional Arabic"/>
          <w:noProof w:val="0"/>
          <w:rtl/>
          <w:lang w:eastAsia="en-US"/>
        </w:rPr>
        <w:t>ه</w:t>
      </w:r>
      <w:r w:rsidRPr="00C91C33">
        <w:rPr>
          <w:rFonts w:ascii="Traditional Arabic" w:hAnsi="Traditional Arabic" w:hint="cs"/>
          <w:noProof w:val="0"/>
          <w:rtl/>
          <w:lang w:eastAsia="en-US"/>
        </w:rPr>
        <w:t>،</w:t>
      </w:r>
      <w:r>
        <w:rPr>
          <w:rFonts w:ascii="Traditional Arabic" w:hAnsi="Traditional Arabic" w:hint="cs"/>
          <w:noProof w:val="0"/>
          <w:rtl/>
          <w:lang w:eastAsia="en-US"/>
        </w:rPr>
        <w:t xml:space="preserve"> لكن </w:t>
      </w:r>
      <w:r w:rsidRPr="00C91C33">
        <w:rPr>
          <w:rFonts w:ascii="Traditional Arabic" w:hAnsi="Traditional Arabic" w:hint="cs"/>
          <w:noProof w:val="0"/>
          <w:rtl/>
          <w:lang w:eastAsia="en-US"/>
        </w:rPr>
        <w:t xml:space="preserve">يجوز </w:t>
      </w:r>
      <w:r w:rsidRPr="00C91C33">
        <w:rPr>
          <w:rFonts w:ascii="Traditional Arabic" w:hAnsi="Traditional Arabic"/>
          <w:noProof w:val="0"/>
          <w:rtl/>
          <w:lang w:eastAsia="en-US"/>
        </w:rPr>
        <w:t>بيع النخل والثمر</w:t>
      </w:r>
      <w:r w:rsidRPr="00C91C33">
        <w:rPr>
          <w:rFonts w:ascii="Traditional Arabic" w:hAnsi="Traditional Arabic" w:hint="cs"/>
          <w:noProof w:val="0"/>
          <w:rtl/>
          <w:lang w:eastAsia="en-US"/>
        </w:rPr>
        <w:t xml:space="preserve"> عليه</w:t>
      </w:r>
      <w:r w:rsidRPr="00C91C33">
        <w:rPr>
          <w:rFonts w:ascii="Traditional Arabic" w:hAnsi="Traditional Arabic"/>
          <w:noProof w:val="0"/>
          <w:rtl/>
          <w:lang w:eastAsia="en-US"/>
        </w:rPr>
        <w:t>.</w:t>
      </w:r>
    </w:p>
    <w:p w:rsidR="00065E4B" w:rsidRPr="00C91C33" w:rsidRDefault="00065E4B" w:rsidP="00597C20">
      <w:pPr>
        <w:ind w:firstLine="720"/>
        <w:rPr>
          <w:rFonts w:ascii="Traditional Arabic" w:hAnsi="Traditional Arabic"/>
          <w:color w:val="auto"/>
          <w:rtl/>
        </w:rPr>
      </w:pPr>
      <w:r>
        <w:rPr>
          <w:rFonts w:ascii="Traditional Arabic" w:hAnsi="Traditional Arabic"/>
          <w:noProof w:val="0"/>
          <w:color w:val="auto"/>
          <w:rtl/>
          <w:lang w:eastAsia="en-US"/>
        </w:rPr>
        <w:t>أ</w:t>
      </w:r>
      <w:r w:rsidR="00FF3117">
        <w:rPr>
          <w:rFonts w:ascii="Traditional Arabic" w:hAnsi="Traditional Arabic"/>
          <w:noProof w:val="0"/>
          <w:color w:val="auto"/>
          <w:rtl/>
          <w:lang w:eastAsia="en-US"/>
        </w:rPr>
        <w:t>ما الأول؛ فلأن النبي</w:t>
      </w:r>
      <w:r w:rsidR="00FF3117">
        <w:rPr>
          <w:rFonts w:ascii="Traditional Arabic" w:hAnsi="Traditional Arabic" w:hint="cs"/>
          <w:noProof w:val="0"/>
          <w:color w:val="auto"/>
          <w:rtl/>
          <w:lang w:eastAsia="en-US"/>
        </w:rPr>
        <w:t xml:space="preserve"> صلى الله عليه وسلم </w:t>
      </w:r>
      <w:r w:rsidR="00DC59C4" w:rsidRPr="00C91C33">
        <w:rPr>
          <w:rFonts w:ascii="Traditional Arabic" w:hAnsi="Traditional Arabic"/>
          <w:noProof w:val="0"/>
          <w:color w:val="auto"/>
          <w:rtl/>
          <w:lang w:eastAsia="en-US"/>
        </w:rPr>
        <w:t>نهى عن بيع الثمار حتى يبدو صلاحها</w:t>
      </w:r>
      <w:r w:rsidR="00AB0B9E">
        <w:rPr>
          <w:rFonts w:ascii="Traditional Arabic" w:hAnsi="Traditional Arabic"/>
          <w:noProof w:val="0"/>
          <w:color w:val="auto"/>
          <w:rtl/>
          <w:lang w:eastAsia="en-US"/>
        </w:rPr>
        <w:fldChar w:fldCharType="begin"/>
      </w:r>
      <w:r w:rsidR="00DD6245" w:rsidRPr="00C85F0F">
        <w:instrText>XE</w:instrText>
      </w:r>
      <w:r w:rsidR="00DD6245" w:rsidRPr="00C85F0F">
        <w:rPr>
          <w:rtl/>
        </w:rPr>
        <w:instrText xml:space="preserve"> "</w:instrText>
      </w:r>
      <w:r w:rsidR="00DD6245" w:rsidRPr="00C85F0F">
        <w:rPr>
          <w:rFonts w:ascii="Traditional Arabic" w:hAnsi="Traditional Arabic"/>
          <w:noProof w:val="0"/>
          <w:color w:val="auto"/>
          <w:rtl/>
          <w:lang w:eastAsia="en-US"/>
        </w:rPr>
        <w:instrText xml:space="preserve">نهى النبي </w:instrText>
      </w:r>
      <w:r w:rsidR="00DD6245" w:rsidRPr="00C85F0F">
        <w:rPr>
          <w:rFonts w:ascii="Traditional Arabic" w:hAnsi="Traditional Arabic"/>
          <w:noProof w:val="0"/>
          <w:color w:val="auto"/>
          <w:rtl/>
          <w:lang w:eastAsia="en-US"/>
        </w:rPr>
        <w:sym w:font="AGA Arabesque" w:char="F072"/>
      </w:r>
      <w:r w:rsidR="00DD6245" w:rsidRPr="00C85F0F">
        <w:rPr>
          <w:rFonts w:ascii="Traditional Arabic" w:hAnsi="Traditional Arabic"/>
          <w:noProof w:val="0"/>
          <w:color w:val="auto"/>
          <w:rtl/>
          <w:lang w:eastAsia="en-US"/>
        </w:rPr>
        <w:instrText>عن بيع الثمار حتى يبدو صلاحها</w:instrText>
      </w:r>
      <w:r w:rsidR="00DD6245" w:rsidRPr="00C85F0F">
        <w:rPr>
          <w:rtl/>
        </w:rPr>
        <w:instrText>" \</w:instrText>
      </w:r>
      <w:r w:rsidR="00DD6245" w:rsidRPr="00C85F0F">
        <w:instrText>f</w:instrText>
      </w:r>
      <w:r w:rsidR="00DD6245">
        <w:instrText>h</w:instrText>
      </w:r>
      <w:r w:rsidR="00AB0B9E">
        <w:rPr>
          <w:rFonts w:ascii="Traditional Arabic" w:hAnsi="Traditional Arabic"/>
          <w:noProof w:val="0"/>
          <w:color w:val="auto"/>
          <w:rtl/>
          <w:lang w:eastAsia="en-US"/>
        </w:rPr>
        <w:fldChar w:fldCharType="end"/>
      </w:r>
      <w:r w:rsidR="00DC59C4" w:rsidRPr="00C821A1">
        <w:rPr>
          <w:rStyle w:val="af1"/>
          <w:szCs w:val="32"/>
          <w:rtl/>
        </w:rPr>
        <w:t>(</w:t>
      </w:r>
      <w:r w:rsidR="00DC59C4" w:rsidRPr="00C821A1">
        <w:rPr>
          <w:rStyle w:val="af1"/>
          <w:szCs w:val="32"/>
          <w:rtl/>
        </w:rPr>
        <w:footnoteReference w:id="1023"/>
      </w:r>
      <w:r w:rsidR="00DC59C4" w:rsidRPr="00C821A1">
        <w:rPr>
          <w:rStyle w:val="af1"/>
          <w:szCs w:val="32"/>
          <w:rtl/>
        </w:rPr>
        <w:t>)</w:t>
      </w:r>
      <w:r w:rsidR="00DC59C4">
        <w:rPr>
          <w:rFonts w:ascii="Traditional Arabic" w:hAnsi="Traditional Arabic" w:hint="cs"/>
          <w:noProof w:val="0"/>
          <w:color w:val="auto"/>
          <w:rtl/>
          <w:lang w:eastAsia="en-US"/>
        </w:rPr>
        <w:t>.</w:t>
      </w:r>
    </w:p>
    <w:p w:rsidR="00065E4B" w:rsidRDefault="00065E4B" w:rsidP="00597C20">
      <w:pPr>
        <w:ind w:firstLine="720"/>
        <w:rPr>
          <w:rFonts w:ascii="Traditional Arabic" w:hAnsi="Traditional Arabic"/>
          <w:b/>
          <w:bCs/>
          <w:rtl/>
        </w:rPr>
      </w:pPr>
      <w:r>
        <w:rPr>
          <w:rFonts w:ascii="Traditional Arabic" w:hAnsi="Traditional Arabic" w:hint="cs"/>
          <w:noProof w:val="0"/>
          <w:color w:val="auto"/>
          <w:rtl/>
          <w:lang w:eastAsia="en-US"/>
        </w:rPr>
        <w:t>و</w:t>
      </w:r>
      <w:r w:rsidR="00DC59C4">
        <w:rPr>
          <w:rFonts w:ascii="Traditional Arabic" w:hAnsi="Traditional Arabic" w:hint="cs"/>
          <w:noProof w:val="0"/>
          <w:color w:val="auto"/>
          <w:rtl/>
          <w:lang w:eastAsia="en-US"/>
        </w:rPr>
        <w:t xml:space="preserve">أما الثاني؛ </w:t>
      </w:r>
      <w:r w:rsidR="00DC59C4">
        <w:rPr>
          <w:rFonts w:ascii="Traditional Arabic" w:hAnsi="Traditional Arabic"/>
          <w:noProof w:val="0"/>
          <w:color w:val="auto"/>
          <w:rtl/>
          <w:lang w:eastAsia="en-US"/>
        </w:rPr>
        <w:t xml:space="preserve">فلأن النبي </w:t>
      </w:r>
      <w:r w:rsidR="00FF3117">
        <w:rPr>
          <w:rFonts w:ascii="Traditional Arabic" w:hAnsi="Traditional Arabic" w:hint="cs"/>
          <w:noProof w:val="0"/>
          <w:color w:val="auto"/>
          <w:rtl/>
          <w:lang w:eastAsia="en-US"/>
        </w:rPr>
        <w:t xml:space="preserve">صلى الله عليه وسلم </w:t>
      </w:r>
      <w:r w:rsidR="00DC59C4">
        <w:rPr>
          <w:rFonts w:ascii="Traditional Arabic" w:hAnsi="Traditional Arabic"/>
          <w:noProof w:val="0"/>
          <w:color w:val="auto"/>
          <w:rtl/>
          <w:lang w:eastAsia="en-US"/>
        </w:rPr>
        <w:t>قال:</w:t>
      </w:r>
      <w:r w:rsidR="00DC59C4">
        <w:rPr>
          <w:rFonts w:ascii="Traditional Arabic" w:hAnsi="Traditional Arabic" w:hint="cs"/>
          <w:noProof w:val="0"/>
          <w:color w:val="auto"/>
          <w:rtl/>
          <w:lang w:eastAsia="en-US"/>
        </w:rPr>
        <w:t>"</w:t>
      </w:r>
      <w:r w:rsidR="00DC59C4" w:rsidRPr="00C91C33">
        <w:rPr>
          <w:rFonts w:ascii="Traditional Arabic" w:hAnsi="Traditional Arabic"/>
          <w:noProof w:val="0"/>
          <w:color w:val="auto"/>
          <w:rtl/>
          <w:lang w:eastAsia="en-US"/>
        </w:rPr>
        <w:t>من باع نخلا بعد أن تؤبر، فثمرتها للبائع إلا أن يشترط المبتاع</w:t>
      </w:r>
      <w:r w:rsidR="00AB0B9E" w:rsidRPr="00BF2365">
        <w:rPr>
          <w:rFonts w:ascii="Traditional Arabic" w:hAnsi="Traditional Arabic"/>
          <w:noProof w:val="0"/>
          <w:color w:val="auto"/>
          <w:rtl/>
          <w:lang w:eastAsia="en-US"/>
        </w:rPr>
        <w:fldChar w:fldCharType="begin"/>
      </w:r>
      <w:r w:rsidR="00BF2365" w:rsidRPr="00C85F0F">
        <w:rPr>
          <w:rFonts w:ascii="Traditional Arabic" w:hAnsi="Traditional Arabic"/>
          <w:noProof w:val="0"/>
          <w:color w:val="auto"/>
          <w:lang w:eastAsia="en-US"/>
        </w:rPr>
        <w:instrText>XE</w:instrText>
      </w:r>
      <w:r w:rsidR="00BF2365" w:rsidRPr="00C85F0F">
        <w:rPr>
          <w:rFonts w:ascii="Traditional Arabic" w:hAnsi="Traditional Arabic"/>
          <w:noProof w:val="0"/>
          <w:color w:val="auto"/>
          <w:rtl/>
          <w:lang w:eastAsia="en-US"/>
        </w:rPr>
        <w:instrText xml:space="preserve"> "من باع نخلا</w:instrText>
      </w:r>
      <w:r w:rsidR="00BF2365" w:rsidRPr="00C85F0F">
        <w:rPr>
          <w:rFonts w:ascii="Traditional Arabic" w:hAnsi="Traditional Arabic" w:hint="cs"/>
          <w:noProof w:val="0"/>
          <w:color w:val="auto"/>
          <w:rtl/>
          <w:lang w:eastAsia="en-US"/>
        </w:rPr>
        <w:instrText>ً</w:instrText>
      </w:r>
      <w:r w:rsidR="00BF2365" w:rsidRPr="00C85F0F">
        <w:rPr>
          <w:rFonts w:ascii="Traditional Arabic" w:hAnsi="Traditional Arabic"/>
          <w:noProof w:val="0"/>
          <w:color w:val="auto"/>
          <w:rtl/>
          <w:lang w:eastAsia="en-US"/>
        </w:rPr>
        <w:instrText xml:space="preserve"> قد أ</w:instrText>
      </w:r>
      <w:r w:rsidR="00BF2365" w:rsidRPr="00C85F0F">
        <w:rPr>
          <w:rFonts w:ascii="Traditional Arabic" w:hAnsi="Traditional Arabic" w:hint="cs"/>
          <w:noProof w:val="0"/>
          <w:color w:val="auto"/>
          <w:rtl/>
          <w:lang w:eastAsia="en-US"/>
        </w:rPr>
        <w:instrText>ُ</w:instrText>
      </w:r>
      <w:r w:rsidR="00BF2365" w:rsidRPr="00C85F0F">
        <w:rPr>
          <w:rFonts w:ascii="Traditional Arabic" w:hAnsi="Traditional Arabic"/>
          <w:noProof w:val="0"/>
          <w:color w:val="auto"/>
          <w:rtl/>
          <w:lang w:eastAsia="en-US"/>
        </w:rPr>
        <w:instrText>ب</w:instrText>
      </w:r>
      <w:r w:rsidR="00BF2365" w:rsidRPr="00C85F0F">
        <w:rPr>
          <w:rFonts w:ascii="Traditional Arabic" w:hAnsi="Traditional Arabic" w:hint="cs"/>
          <w:noProof w:val="0"/>
          <w:color w:val="auto"/>
          <w:rtl/>
          <w:lang w:eastAsia="en-US"/>
        </w:rPr>
        <w:instrText>ِّ</w:instrText>
      </w:r>
      <w:r w:rsidR="00BF2365" w:rsidRPr="00C85F0F">
        <w:rPr>
          <w:rFonts w:ascii="Traditional Arabic" w:hAnsi="Traditional Arabic"/>
          <w:noProof w:val="0"/>
          <w:color w:val="auto"/>
          <w:rtl/>
          <w:lang w:eastAsia="en-US"/>
        </w:rPr>
        <w:instrText>رت فثمر</w:instrText>
      </w:r>
      <w:r w:rsidR="00BF2365" w:rsidRPr="00C85F0F">
        <w:rPr>
          <w:rFonts w:ascii="Traditional Arabic" w:hAnsi="Traditional Arabic" w:hint="cs"/>
          <w:noProof w:val="0"/>
          <w:color w:val="auto"/>
          <w:rtl/>
          <w:lang w:eastAsia="en-US"/>
        </w:rPr>
        <w:instrText>ُ</w:instrText>
      </w:r>
      <w:r w:rsidR="00BF2365" w:rsidRPr="00C85F0F">
        <w:rPr>
          <w:rFonts w:ascii="Traditional Arabic" w:hAnsi="Traditional Arabic"/>
          <w:noProof w:val="0"/>
          <w:color w:val="auto"/>
          <w:rtl/>
          <w:lang w:eastAsia="en-US"/>
        </w:rPr>
        <w:instrText>ها للبائع إلا أن يشترط المبتاع" \</w:instrText>
      </w:r>
      <w:r w:rsidR="00BF2365" w:rsidRPr="00C85F0F">
        <w:rPr>
          <w:rFonts w:ascii="Traditional Arabic" w:hAnsi="Traditional Arabic"/>
          <w:noProof w:val="0"/>
          <w:color w:val="auto"/>
          <w:lang w:eastAsia="en-US"/>
        </w:rPr>
        <w:instrText>f</w:instrText>
      </w:r>
      <w:r w:rsidR="00BF2365" w:rsidRPr="00BF2365">
        <w:rPr>
          <w:rFonts w:ascii="Traditional Arabic" w:hAnsi="Traditional Arabic"/>
          <w:noProof w:val="0"/>
          <w:color w:val="auto"/>
          <w:lang w:eastAsia="en-US"/>
        </w:rPr>
        <w:instrText>h</w:instrText>
      </w:r>
      <w:r w:rsidR="00AB0B9E" w:rsidRPr="00BF2365">
        <w:rPr>
          <w:rFonts w:ascii="Traditional Arabic" w:hAnsi="Traditional Arabic"/>
          <w:noProof w:val="0"/>
          <w:color w:val="auto"/>
          <w:rtl/>
          <w:lang w:eastAsia="en-US"/>
        </w:rPr>
        <w:fldChar w:fldCharType="end"/>
      </w:r>
      <w:r w:rsidR="00DC59C4">
        <w:rPr>
          <w:rFonts w:ascii="Traditional Arabic" w:hAnsi="Traditional Arabic" w:hint="cs"/>
          <w:noProof w:val="0"/>
          <w:color w:val="auto"/>
          <w:rtl/>
          <w:lang w:eastAsia="en-US"/>
        </w:rPr>
        <w:t>"</w:t>
      </w:r>
      <w:r w:rsidR="00DC59C4" w:rsidRPr="00C821A1">
        <w:rPr>
          <w:rStyle w:val="af1"/>
          <w:szCs w:val="32"/>
          <w:rtl/>
        </w:rPr>
        <w:t>(</w:t>
      </w:r>
      <w:r w:rsidR="00DC59C4" w:rsidRPr="00C821A1">
        <w:rPr>
          <w:rStyle w:val="af1"/>
          <w:szCs w:val="32"/>
          <w:rtl/>
        </w:rPr>
        <w:footnoteReference w:id="1024"/>
      </w:r>
      <w:r w:rsidR="00DC59C4" w:rsidRPr="00C821A1">
        <w:rPr>
          <w:rStyle w:val="af1"/>
          <w:szCs w:val="32"/>
          <w:rtl/>
        </w:rPr>
        <w:t>)</w:t>
      </w:r>
      <w:r w:rsidR="00DC59C4">
        <w:rPr>
          <w:rFonts w:ascii="Traditional Arabic" w:hAnsi="Traditional Arabic" w:hint="cs"/>
          <w:noProof w:val="0"/>
          <w:color w:val="auto"/>
          <w:rtl/>
          <w:lang w:eastAsia="en-US"/>
        </w:rPr>
        <w:t>،</w:t>
      </w:r>
      <w:r w:rsidR="004A4BF0">
        <w:rPr>
          <w:rFonts w:ascii="Traditional Arabic" w:hAnsi="Traditional Arabic" w:hint="cs"/>
          <w:noProof w:val="0"/>
          <w:color w:val="auto"/>
          <w:rtl/>
          <w:lang w:eastAsia="en-US"/>
        </w:rPr>
        <w:t xml:space="preserve"> </w:t>
      </w:r>
      <w:r w:rsidR="00DC59C4" w:rsidRPr="00C91C33">
        <w:rPr>
          <w:rFonts w:ascii="Traditional Arabic" w:hAnsi="Traditional Arabic"/>
          <w:noProof w:val="0"/>
          <w:color w:val="auto"/>
          <w:rtl/>
          <w:lang w:eastAsia="en-US"/>
        </w:rPr>
        <w:t>فإذا باع نخلة</w:t>
      </w:r>
      <w:r w:rsidR="006D41CE">
        <w:rPr>
          <w:rFonts w:ascii="Traditional Arabic" w:hAnsi="Traditional Arabic" w:hint="cs"/>
          <w:noProof w:val="0"/>
          <w:color w:val="auto"/>
          <w:rtl/>
          <w:lang w:eastAsia="en-US"/>
        </w:rPr>
        <w:t>ً</w:t>
      </w:r>
      <w:r w:rsidR="00DC59C4" w:rsidRPr="00C91C33">
        <w:rPr>
          <w:rFonts w:ascii="Traditional Arabic" w:hAnsi="Traditional Arabic"/>
          <w:noProof w:val="0"/>
          <w:color w:val="auto"/>
          <w:rtl/>
          <w:lang w:eastAsia="en-US"/>
        </w:rPr>
        <w:t xml:space="preserve"> قد أب</w:t>
      </w:r>
      <w:r w:rsidR="00DC59C4">
        <w:rPr>
          <w:rFonts w:ascii="Traditional Arabic" w:hAnsi="Traditional Arabic" w:hint="cs"/>
          <w:noProof w:val="0"/>
          <w:color w:val="auto"/>
          <w:rtl/>
          <w:lang w:eastAsia="en-US"/>
        </w:rPr>
        <w:t>ّ</w:t>
      </w:r>
      <w:r w:rsidR="006D41CE">
        <w:rPr>
          <w:rFonts w:ascii="Traditional Arabic" w:hAnsi="Traditional Arabic"/>
          <w:noProof w:val="0"/>
          <w:color w:val="auto"/>
          <w:rtl/>
          <w:lang w:eastAsia="en-US"/>
        </w:rPr>
        <w:t>رت عليها الثمرة</w:t>
      </w:r>
      <w:r w:rsidR="00DC59C4" w:rsidRPr="00C91C33">
        <w:rPr>
          <w:rFonts w:ascii="Traditional Arabic" w:hAnsi="Traditional Arabic"/>
          <w:noProof w:val="0"/>
          <w:color w:val="auto"/>
          <w:rtl/>
          <w:lang w:eastAsia="en-US"/>
        </w:rPr>
        <w:t xml:space="preserve"> ولم يبد</w:t>
      </w:r>
      <w:r w:rsidR="00DC59C4">
        <w:rPr>
          <w:rFonts w:ascii="Traditional Arabic" w:hAnsi="Traditional Arabic" w:hint="cs"/>
          <w:noProof w:val="0"/>
          <w:color w:val="auto"/>
          <w:rtl/>
          <w:lang w:eastAsia="en-US"/>
        </w:rPr>
        <w:t>ُ</w:t>
      </w:r>
      <w:r w:rsidR="00DC59C4" w:rsidRPr="00C91C33">
        <w:rPr>
          <w:rFonts w:ascii="Traditional Arabic" w:hAnsi="Traditional Arabic"/>
          <w:noProof w:val="0"/>
          <w:color w:val="auto"/>
          <w:rtl/>
          <w:lang w:eastAsia="en-US"/>
        </w:rPr>
        <w:t xml:space="preserve"> صلاحها، واشتر</w:t>
      </w:r>
      <w:r w:rsidR="00DC59C4">
        <w:rPr>
          <w:rFonts w:ascii="Traditional Arabic" w:hAnsi="Traditional Arabic" w:hint="cs"/>
          <w:noProof w:val="0"/>
          <w:color w:val="auto"/>
          <w:rtl/>
          <w:lang w:eastAsia="en-US"/>
        </w:rPr>
        <w:t>َ</w:t>
      </w:r>
      <w:r w:rsidR="006D41CE">
        <w:rPr>
          <w:rFonts w:ascii="Traditional Arabic" w:hAnsi="Traditional Arabic"/>
          <w:noProof w:val="0"/>
          <w:color w:val="auto"/>
          <w:rtl/>
          <w:lang w:eastAsia="en-US"/>
        </w:rPr>
        <w:t>ط</w:t>
      </w:r>
      <w:r w:rsidR="00DC59C4" w:rsidRPr="00C91C33">
        <w:rPr>
          <w:rFonts w:ascii="Traditional Arabic" w:hAnsi="Traditional Arabic"/>
          <w:noProof w:val="0"/>
          <w:color w:val="auto"/>
          <w:rtl/>
          <w:lang w:eastAsia="en-US"/>
        </w:rPr>
        <w:t xml:space="preserve"> المشتري</w:t>
      </w:r>
      <w:r w:rsidR="006D41CE">
        <w:rPr>
          <w:rFonts w:ascii="Traditional Arabic" w:hAnsi="Traditional Arabic" w:hint="cs"/>
          <w:noProof w:val="0"/>
          <w:color w:val="auto"/>
          <w:rtl/>
          <w:lang w:eastAsia="en-US"/>
        </w:rPr>
        <w:t xml:space="preserve"> أن الثمرة له جاز البيع؛</w:t>
      </w:r>
      <w:r w:rsidR="006D41CE">
        <w:rPr>
          <w:rFonts w:ascii="Traditional Arabic" w:hAnsi="Traditional Arabic"/>
          <w:noProof w:val="0"/>
          <w:color w:val="auto"/>
          <w:rtl/>
          <w:lang w:eastAsia="en-US"/>
        </w:rPr>
        <w:t xml:space="preserve"> </w:t>
      </w:r>
      <w:r w:rsidR="006D41CE">
        <w:rPr>
          <w:rFonts w:ascii="Traditional Arabic" w:hAnsi="Traditional Arabic" w:hint="cs"/>
          <w:noProof w:val="0"/>
          <w:color w:val="auto"/>
          <w:rtl/>
          <w:lang w:eastAsia="en-US"/>
        </w:rPr>
        <w:t>لأنه ي</w:t>
      </w:r>
      <w:r w:rsidR="006D41CE">
        <w:rPr>
          <w:rFonts w:ascii="Traditional Arabic" w:hAnsi="Traditional Arabic"/>
          <w:noProof w:val="0"/>
          <w:color w:val="auto"/>
          <w:rtl/>
          <w:lang w:eastAsia="en-US"/>
        </w:rPr>
        <w:t>ثبت</w:t>
      </w:r>
      <w:r w:rsidR="00DC59C4" w:rsidRPr="00C91C33">
        <w:rPr>
          <w:rFonts w:ascii="Traditional Arabic" w:hAnsi="Traditional Arabic"/>
          <w:noProof w:val="0"/>
          <w:color w:val="auto"/>
          <w:rtl/>
          <w:lang w:eastAsia="en-US"/>
        </w:rPr>
        <w:t xml:space="preserve"> تبعا ما لا يثبت استقلالا</w:t>
      </w:r>
      <w:r w:rsidR="00DC59C4" w:rsidRPr="00C821A1">
        <w:rPr>
          <w:rStyle w:val="af1"/>
          <w:szCs w:val="32"/>
          <w:rtl/>
        </w:rPr>
        <w:t>(</w:t>
      </w:r>
      <w:r w:rsidR="00DC59C4" w:rsidRPr="00C821A1">
        <w:rPr>
          <w:rStyle w:val="af1"/>
          <w:szCs w:val="32"/>
          <w:rtl/>
        </w:rPr>
        <w:footnoteReference w:id="1025"/>
      </w:r>
      <w:r w:rsidR="00DC59C4" w:rsidRPr="00C821A1">
        <w:rPr>
          <w:rStyle w:val="af1"/>
          <w:szCs w:val="32"/>
          <w:rtl/>
        </w:rPr>
        <w:t>)</w:t>
      </w:r>
      <w:r w:rsidR="00DC59C4">
        <w:rPr>
          <w:rFonts w:ascii="Traditional Arabic" w:hAnsi="Traditional Arabic" w:hint="cs"/>
          <w:noProof w:val="0"/>
          <w:color w:val="auto"/>
          <w:rtl/>
          <w:lang w:eastAsia="en-US"/>
        </w:rPr>
        <w:t>.</w:t>
      </w:r>
    </w:p>
    <w:p w:rsidR="00065E4B" w:rsidRDefault="00065E4B" w:rsidP="00597C20">
      <w:pPr>
        <w:pStyle w:val="53"/>
        <w:rPr>
          <w:rtl/>
        </w:rPr>
      </w:pPr>
      <w:r>
        <w:rPr>
          <w:rFonts w:hint="cs"/>
          <w:rtl/>
        </w:rPr>
        <w:t>و</w:t>
      </w:r>
      <w:r w:rsidR="00DC59C4">
        <w:rPr>
          <w:rFonts w:hint="cs"/>
          <w:rtl/>
        </w:rPr>
        <w:t>جه اندراج الفرع تحت القاعدة:</w:t>
      </w:r>
    </w:p>
    <w:p w:rsidR="00DC59C4" w:rsidRDefault="004A4BF0" w:rsidP="00597C20">
      <w:pPr>
        <w:ind w:firstLine="720"/>
        <w:rPr>
          <w:rFonts w:ascii="Traditional Arabic" w:hAnsi="Traditional Arabic"/>
          <w:rtl/>
        </w:rPr>
      </w:pPr>
      <w:r>
        <w:rPr>
          <w:rFonts w:ascii="Traditional Arabic" w:hAnsi="Traditional Arabic" w:hint="cs"/>
          <w:color w:val="auto"/>
          <w:rtl/>
        </w:rPr>
        <w:t>إ</w:t>
      </w:r>
      <w:r w:rsidR="00DC59C4">
        <w:rPr>
          <w:rFonts w:ascii="Traditional Arabic" w:hAnsi="Traditional Arabic" w:hint="cs"/>
          <w:color w:val="auto"/>
          <w:rtl/>
        </w:rPr>
        <w:t>ن الثمرة قبل أن تؤبَّر تكون للمشتري، تبعاً لِبيع أصلها، مع أنها لم يَبْدُ صلاحُها بعدُ؛ لأنه يثبت تبعا ما لا يثبت استقلالا</w:t>
      </w:r>
      <w:r w:rsidR="00DC59C4" w:rsidRPr="00C821A1">
        <w:rPr>
          <w:rStyle w:val="af1"/>
          <w:szCs w:val="32"/>
          <w:rtl/>
        </w:rPr>
        <w:t>(</w:t>
      </w:r>
      <w:r w:rsidR="00DC59C4" w:rsidRPr="00C821A1">
        <w:rPr>
          <w:rStyle w:val="af1"/>
          <w:szCs w:val="32"/>
          <w:rtl/>
        </w:rPr>
        <w:footnoteReference w:id="1026"/>
      </w:r>
      <w:r w:rsidR="00DC59C4" w:rsidRPr="00C821A1">
        <w:rPr>
          <w:rStyle w:val="af1"/>
          <w:szCs w:val="32"/>
          <w:rtl/>
        </w:rPr>
        <w:t>)</w:t>
      </w:r>
      <w:r w:rsidR="00DC59C4">
        <w:rPr>
          <w:rFonts w:ascii="Traditional Arabic" w:hAnsi="Traditional Arabic" w:hint="cs"/>
          <w:rtl/>
        </w:rPr>
        <w:t>.</w:t>
      </w:r>
    </w:p>
    <w:p w:rsidR="00DC59C4" w:rsidRDefault="00DC59C4" w:rsidP="000A76C7">
      <w:pPr>
        <w:pStyle w:val="afc"/>
        <w:numPr>
          <w:ilvl w:val="0"/>
          <w:numId w:val="143"/>
        </w:numPr>
        <w:rPr>
          <w:rFonts w:ascii="Traditional Arabic" w:hAnsi="Traditional Arabic"/>
        </w:rPr>
      </w:pPr>
      <w:r w:rsidRPr="00EE7768">
        <w:rPr>
          <w:rFonts w:ascii="Traditional Arabic" w:hAnsi="Traditional Arabic"/>
          <w:noProof w:val="0"/>
          <w:rtl/>
          <w:lang w:eastAsia="en-US"/>
        </w:rPr>
        <w:t>آنية الخمر إذا كسرها الإنسان فلا ضمان عليه؛ لأن فيها ما لا ي</w:t>
      </w:r>
      <w:r>
        <w:rPr>
          <w:rFonts w:ascii="Traditional Arabic" w:hAnsi="Traditional Arabic" w:hint="cs"/>
          <w:noProof w:val="0"/>
          <w:rtl/>
          <w:lang w:eastAsia="en-US"/>
        </w:rPr>
        <w:t>ُ</w:t>
      </w:r>
      <w:r w:rsidRPr="00EE7768">
        <w:rPr>
          <w:rFonts w:ascii="Traditional Arabic" w:hAnsi="Traditional Arabic"/>
          <w:noProof w:val="0"/>
          <w:rtl/>
          <w:lang w:eastAsia="en-US"/>
        </w:rPr>
        <w:t>ضمن وهو الخمر</w:t>
      </w:r>
      <w:r>
        <w:rPr>
          <w:rFonts w:ascii="Traditional Arabic" w:hAnsi="Traditional Arabic" w:hint="cs"/>
          <w:noProof w:val="0"/>
          <w:rtl/>
          <w:lang w:eastAsia="en-US"/>
        </w:rPr>
        <w:t>.</w:t>
      </w:r>
    </w:p>
    <w:p w:rsidR="00F228A9" w:rsidRDefault="00DC59C4" w:rsidP="00597C20">
      <w:pPr>
        <w:pStyle w:val="afc"/>
        <w:ind w:left="1080" w:firstLine="0"/>
        <w:rPr>
          <w:rFonts w:ascii="Traditional Arabic" w:hAnsi="Traditional Arabic"/>
          <w:noProof w:val="0"/>
          <w:color w:val="auto"/>
          <w:rtl/>
          <w:lang w:eastAsia="en-US"/>
        </w:rPr>
      </w:pPr>
      <w:r w:rsidRPr="0062541F">
        <w:rPr>
          <w:rFonts w:ascii="Traditional Arabic" w:hAnsi="Traditional Arabic"/>
          <w:noProof w:val="0"/>
          <w:color w:val="auto"/>
          <w:rtl/>
          <w:lang w:eastAsia="en-US"/>
        </w:rPr>
        <w:t>ولو قال قائل: ما شأن الآنية، الآنية تحفظ الخمر وغير</w:t>
      </w:r>
      <w:r>
        <w:rPr>
          <w:rFonts w:ascii="Traditional Arabic" w:hAnsi="Traditional Arabic" w:hint="cs"/>
          <w:noProof w:val="0"/>
          <w:color w:val="auto"/>
          <w:rtl/>
          <w:lang w:eastAsia="en-US"/>
        </w:rPr>
        <w:t>َ</w:t>
      </w:r>
      <w:r w:rsidRPr="0062541F">
        <w:rPr>
          <w:rFonts w:ascii="Traditional Arabic" w:hAnsi="Traditional Arabic"/>
          <w:noProof w:val="0"/>
          <w:color w:val="auto"/>
          <w:rtl/>
          <w:lang w:eastAsia="en-US"/>
        </w:rPr>
        <w:t>ه</w:t>
      </w:r>
      <w:r>
        <w:rPr>
          <w:rFonts w:ascii="Traditional Arabic" w:hAnsi="Traditional Arabic" w:hint="cs"/>
          <w:noProof w:val="0"/>
          <w:color w:val="auto"/>
          <w:rtl/>
          <w:lang w:eastAsia="en-US"/>
        </w:rPr>
        <w:t>،</w:t>
      </w:r>
      <w:r w:rsidRPr="0062541F">
        <w:rPr>
          <w:rFonts w:ascii="Traditional Arabic" w:hAnsi="Traditional Arabic"/>
          <w:noProof w:val="0"/>
          <w:color w:val="auto"/>
          <w:rtl/>
          <w:lang w:eastAsia="en-US"/>
        </w:rPr>
        <w:t xml:space="preserve"> فهي ت</w:t>
      </w:r>
      <w:r w:rsidR="004A4BF0">
        <w:rPr>
          <w:rFonts w:ascii="Traditional Arabic" w:hAnsi="Traditional Arabic" w:hint="cs"/>
          <w:noProof w:val="0"/>
          <w:color w:val="auto"/>
          <w:rtl/>
          <w:lang w:eastAsia="en-US"/>
        </w:rPr>
        <w:t>ُ</w:t>
      </w:r>
      <w:r w:rsidRPr="0062541F">
        <w:rPr>
          <w:rFonts w:ascii="Traditional Arabic" w:hAnsi="Traditional Arabic"/>
          <w:noProof w:val="0"/>
          <w:color w:val="auto"/>
          <w:rtl/>
          <w:lang w:eastAsia="en-US"/>
        </w:rPr>
        <w:t>ستعمل في الخمر وغيره؟</w:t>
      </w:r>
    </w:p>
    <w:p w:rsidR="00F228A9" w:rsidRDefault="00DC59C4" w:rsidP="00597C20">
      <w:pPr>
        <w:pStyle w:val="afc"/>
        <w:ind w:left="1080" w:firstLine="0"/>
        <w:rPr>
          <w:rFonts w:ascii="Traditional Arabic" w:hAnsi="Traditional Arabic"/>
          <w:noProof w:val="0"/>
          <w:color w:val="auto"/>
          <w:rtl/>
          <w:lang w:eastAsia="en-US"/>
        </w:rPr>
      </w:pPr>
      <w:r w:rsidRPr="0062541F">
        <w:rPr>
          <w:rFonts w:ascii="Traditional Arabic" w:hAnsi="Traditional Arabic"/>
          <w:noProof w:val="0"/>
          <w:color w:val="auto"/>
          <w:rtl/>
          <w:lang w:eastAsia="en-US"/>
        </w:rPr>
        <w:t>نقول: لأنه لما كان الخمر فيها ذهبت ح</w:t>
      </w:r>
      <w:r>
        <w:rPr>
          <w:rFonts w:ascii="Traditional Arabic" w:hAnsi="Traditional Arabic" w:hint="cs"/>
          <w:noProof w:val="0"/>
          <w:color w:val="auto"/>
          <w:rtl/>
          <w:lang w:eastAsia="en-US"/>
        </w:rPr>
        <w:t>ُ</w:t>
      </w:r>
      <w:r w:rsidRPr="0062541F">
        <w:rPr>
          <w:rFonts w:ascii="Traditional Arabic" w:hAnsi="Traditional Arabic"/>
          <w:noProof w:val="0"/>
          <w:color w:val="auto"/>
          <w:rtl/>
          <w:lang w:eastAsia="en-US"/>
        </w:rPr>
        <w:t>رمتها لذهاب حرمة ما فيها</w:t>
      </w:r>
      <w:r w:rsidR="0085366C">
        <w:rPr>
          <w:rFonts w:ascii="Traditional Arabic" w:hAnsi="Traditional Arabic" w:hint="cs"/>
          <w:noProof w:val="0"/>
          <w:color w:val="auto"/>
          <w:rtl/>
          <w:lang w:eastAsia="en-US"/>
        </w:rPr>
        <w:t>،</w:t>
      </w:r>
      <w:r w:rsidRPr="0062541F">
        <w:rPr>
          <w:rFonts w:ascii="Traditional Arabic" w:hAnsi="Traditional Arabic"/>
          <w:noProof w:val="0"/>
          <w:color w:val="auto"/>
          <w:rtl/>
          <w:lang w:eastAsia="en-US"/>
        </w:rPr>
        <w:t xml:space="preserve"> فلا ت</w:t>
      </w:r>
      <w:r>
        <w:rPr>
          <w:rFonts w:ascii="Traditional Arabic" w:hAnsi="Traditional Arabic" w:hint="cs"/>
          <w:noProof w:val="0"/>
          <w:color w:val="auto"/>
          <w:rtl/>
          <w:lang w:eastAsia="en-US"/>
        </w:rPr>
        <w:t>ُ</w:t>
      </w:r>
      <w:r w:rsidRPr="0062541F">
        <w:rPr>
          <w:rFonts w:ascii="Traditional Arabic" w:hAnsi="Traditional Arabic"/>
          <w:noProof w:val="0"/>
          <w:color w:val="auto"/>
          <w:rtl/>
          <w:lang w:eastAsia="en-US"/>
        </w:rPr>
        <w:t xml:space="preserve">ضمن، </w:t>
      </w:r>
      <w:r w:rsidRPr="0062541F">
        <w:rPr>
          <w:rFonts w:ascii="Traditional Arabic" w:hAnsi="Traditional Arabic"/>
          <w:noProof w:val="0"/>
          <w:color w:val="auto"/>
          <w:rtl/>
          <w:lang w:eastAsia="en-US"/>
        </w:rPr>
        <w:lastRenderedPageBreak/>
        <w:t>ويثبت تبعا ما لا يثبت استقلال</w:t>
      </w:r>
      <w:r>
        <w:rPr>
          <w:rFonts w:ascii="Traditional Arabic" w:hAnsi="Traditional Arabic"/>
          <w:noProof w:val="0"/>
          <w:color w:val="auto"/>
          <w:rtl/>
          <w:lang w:eastAsia="en-US"/>
        </w:rPr>
        <w:t>ا</w:t>
      </w:r>
      <w:r w:rsidRPr="00C821A1">
        <w:rPr>
          <w:rStyle w:val="af1"/>
          <w:szCs w:val="32"/>
          <w:rtl/>
        </w:rPr>
        <w:t>(</w:t>
      </w:r>
      <w:r w:rsidRPr="00C821A1">
        <w:rPr>
          <w:rStyle w:val="af1"/>
          <w:szCs w:val="32"/>
          <w:rtl/>
        </w:rPr>
        <w:footnoteReference w:id="1027"/>
      </w:r>
      <w:r w:rsidRPr="00C821A1">
        <w:rPr>
          <w:rStyle w:val="af1"/>
          <w:szCs w:val="32"/>
          <w:rtl/>
        </w:rPr>
        <w:t>)</w:t>
      </w:r>
      <w:r>
        <w:rPr>
          <w:rFonts w:ascii="Traditional Arabic" w:hAnsi="Traditional Arabic" w:hint="cs"/>
          <w:noProof w:val="0"/>
          <w:color w:val="auto"/>
          <w:rtl/>
          <w:lang w:eastAsia="en-US"/>
        </w:rPr>
        <w:t>.</w:t>
      </w:r>
    </w:p>
    <w:p w:rsidR="00DC59C4" w:rsidRDefault="00DC59C4" w:rsidP="00597C20">
      <w:pPr>
        <w:pStyle w:val="53"/>
        <w:rPr>
          <w:rtl/>
        </w:rPr>
      </w:pPr>
      <w:r>
        <w:rPr>
          <w:rFonts w:hint="cs"/>
          <w:rtl/>
        </w:rPr>
        <w:t>وجه اندراج الفرع تحت القاعدة:</w:t>
      </w:r>
    </w:p>
    <w:p w:rsidR="00DC59C4" w:rsidRPr="00AB1A60" w:rsidRDefault="00DC59C4" w:rsidP="00597C20">
      <w:pPr>
        <w:ind w:firstLine="720"/>
        <w:rPr>
          <w:rFonts w:ascii="Traditional Arabic" w:hAnsi="Traditional Arabic"/>
          <w:noProof w:val="0"/>
          <w:color w:val="auto"/>
          <w:rtl/>
          <w:lang w:eastAsia="en-US"/>
        </w:rPr>
      </w:pPr>
      <w:r w:rsidRPr="00AB1A60">
        <w:rPr>
          <w:rFonts w:ascii="Traditional Arabic" w:hAnsi="Traditional Arabic" w:hint="cs"/>
          <w:noProof w:val="0"/>
          <w:color w:val="auto"/>
          <w:rtl/>
          <w:lang w:eastAsia="en-US"/>
        </w:rPr>
        <w:t>لما كان الخمر في الآنية، وكان الخمر لا حرمة له، لم تصبح للآنية حرمة تبعا للخمر الذي فيها، و</w:t>
      </w:r>
      <w:r w:rsidR="006D41CE">
        <w:rPr>
          <w:rFonts w:ascii="Traditional Arabic" w:hAnsi="Traditional Arabic" w:hint="cs"/>
          <w:noProof w:val="0"/>
          <w:color w:val="auto"/>
          <w:rtl/>
          <w:lang w:eastAsia="en-US"/>
        </w:rPr>
        <w:t xml:space="preserve">القاعدة تنص على أنه </w:t>
      </w:r>
      <w:r w:rsidRPr="00AB1A60">
        <w:rPr>
          <w:rFonts w:ascii="Traditional Arabic" w:hAnsi="Traditional Arabic" w:hint="cs"/>
          <w:noProof w:val="0"/>
          <w:color w:val="auto"/>
          <w:rtl/>
          <w:lang w:eastAsia="en-US"/>
        </w:rPr>
        <w:t>يثبت تبعا ما لا يثبت استقلالا.</w:t>
      </w:r>
    </w:p>
    <w:p w:rsidR="00F228A9" w:rsidRDefault="00DC59C4" w:rsidP="000A76C7">
      <w:pPr>
        <w:pStyle w:val="afc"/>
        <w:numPr>
          <w:ilvl w:val="0"/>
          <w:numId w:val="143"/>
        </w:numPr>
        <w:rPr>
          <w:rFonts w:ascii="Traditional Arabic" w:hAnsi="Traditional Arabic"/>
        </w:rPr>
      </w:pPr>
      <w:r w:rsidRPr="00F170AF">
        <w:rPr>
          <w:rFonts w:ascii="Traditional Arabic" w:hAnsi="Traditional Arabic"/>
          <w:noProof w:val="0"/>
          <w:rtl/>
          <w:lang w:eastAsia="en-US"/>
        </w:rPr>
        <w:t>إذا ش</w:t>
      </w:r>
      <w:r>
        <w:rPr>
          <w:rFonts w:ascii="Traditional Arabic" w:hAnsi="Traditional Arabic" w:hint="cs"/>
          <w:noProof w:val="0"/>
          <w:rtl/>
          <w:lang w:eastAsia="en-US"/>
        </w:rPr>
        <w:t>َ</w:t>
      </w:r>
      <w:r w:rsidRPr="00F170AF">
        <w:rPr>
          <w:rFonts w:ascii="Traditional Arabic" w:hAnsi="Traditional Arabic"/>
          <w:noProof w:val="0"/>
          <w:rtl/>
          <w:lang w:eastAsia="en-US"/>
        </w:rPr>
        <w:t>فع الشريك في أرض</w:t>
      </w:r>
      <w:r>
        <w:rPr>
          <w:rFonts w:ascii="Traditional Arabic" w:hAnsi="Traditional Arabic" w:hint="cs"/>
          <w:noProof w:val="0"/>
          <w:rtl/>
          <w:lang w:eastAsia="en-US"/>
        </w:rPr>
        <w:t>ٍ</w:t>
      </w:r>
      <w:r w:rsidRPr="00F170AF">
        <w:rPr>
          <w:rFonts w:ascii="Traditional Arabic" w:hAnsi="Traditional Arabic"/>
          <w:noProof w:val="0"/>
          <w:rtl/>
          <w:lang w:eastAsia="en-US"/>
        </w:rPr>
        <w:t xml:space="preserve"> فيها غ</w:t>
      </w:r>
      <w:r>
        <w:rPr>
          <w:rFonts w:ascii="Traditional Arabic" w:hAnsi="Traditional Arabic" w:hint="cs"/>
          <w:noProof w:val="0"/>
          <w:rtl/>
          <w:lang w:eastAsia="en-US"/>
        </w:rPr>
        <w:t>ِ</w:t>
      </w:r>
      <w:r w:rsidRPr="00F170AF">
        <w:rPr>
          <w:rFonts w:ascii="Traditional Arabic" w:hAnsi="Traditional Arabic"/>
          <w:noProof w:val="0"/>
          <w:rtl/>
          <w:lang w:eastAsia="en-US"/>
        </w:rPr>
        <w:t>راس وب</w:t>
      </w:r>
      <w:r>
        <w:rPr>
          <w:rFonts w:ascii="Traditional Arabic" w:hAnsi="Traditional Arabic" w:hint="cs"/>
          <w:noProof w:val="0"/>
          <w:rtl/>
          <w:lang w:eastAsia="en-US"/>
        </w:rPr>
        <w:t>ِ</w:t>
      </w:r>
      <w:r w:rsidRPr="00F170AF">
        <w:rPr>
          <w:rFonts w:ascii="Traditional Arabic" w:hAnsi="Traditional Arabic"/>
          <w:noProof w:val="0"/>
          <w:rtl/>
          <w:lang w:eastAsia="en-US"/>
        </w:rPr>
        <w:t>ناء</w:t>
      </w:r>
      <w:r>
        <w:rPr>
          <w:rFonts w:ascii="Traditional Arabic" w:hAnsi="Traditional Arabic" w:hint="cs"/>
          <w:noProof w:val="0"/>
          <w:rtl/>
          <w:lang w:eastAsia="en-US"/>
        </w:rPr>
        <w:t>،</w:t>
      </w:r>
      <w:r w:rsidRPr="00F170AF">
        <w:rPr>
          <w:rFonts w:ascii="Traditional Arabic" w:hAnsi="Traditional Arabic"/>
          <w:noProof w:val="0"/>
          <w:rtl/>
          <w:lang w:eastAsia="en-US"/>
        </w:rPr>
        <w:t xml:space="preserve"> فإن الغراس والبناء ي</w:t>
      </w:r>
      <w:r>
        <w:rPr>
          <w:rFonts w:ascii="Traditional Arabic" w:hAnsi="Traditional Arabic" w:hint="cs"/>
          <w:noProof w:val="0"/>
          <w:rtl/>
          <w:lang w:eastAsia="en-US"/>
        </w:rPr>
        <w:t>َ</w:t>
      </w:r>
      <w:r w:rsidRPr="00F170AF">
        <w:rPr>
          <w:rFonts w:ascii="Traditional Arabic" w:hAnsi="Traditional Arabic"/>
          <w:noProof w:val="0"/>
          <w:rtl/>
          <w:lang w:eastAsia="en-US"/>
        </w:rPr>
        <w:t>ت</w:t>
      </w:r>
      <w:r>
        <w:rPr>
          <w:rFonts w:ascii="Traditional Arabic" w:hAnsi="Traditional Arabic" w:hint="cs"/>
          <w:noProof w:val="0"/>
          <w:rtl/>
          <w:lang w:eastAsia="en-US"/>
        </w:rPr>
        <w:t>ْ</w:t>
      </w:r>
      <w:r w:rsidRPr="00F170AF">
        <w:rPr>
          <w:rFonts w:ascii="Traditional Arabic" w:hAnsi="Traditional Arabic"/>
          <w:noProof w:val="0"/>
          <w:rtl/>
          <w:lang w:eastAsia="en-US"/>
        </w:rPr>
        <w:t>بعها إذا كانت حين البيع موجودا</w:t>
      </w:r>
      <w:r>
        <w:rPr>
          <w:rFonts w:ascii="Traditional Arabic" w:hAnsi="Traditional Arabic" w:hint="cs"/>
          <w:noProof w:val="0"/>
          <w:rtl/>
          <w:lang w:eastAsia="en-US"/>
        </w:rPr>
        <w:t>ً</w:t>
      </w:r>
      <w:r w:rsidRPr="00F170AF">
        <w:rPr>
          <w:rFonts w:ascii="Traditional Arabic" w:hAnsi="Traditional Arabic"/>
          <w:noProof w:val="0"/>
          <w:rtl/>
          <w:lang w:eastAsia="en-US"/>
        </w:rPr>
        <w:t xml:space="preserve"> فيها الغراس</w:t>
      </w:r>
      <w:r>
        <w:rPr>
          <w:rFonts w:ascii="Traditional Arabic" w:hAnsi="Traditional Arabic" w:hint="cs"/>
          <w:noProof w:val="0"/>
          <w:rtl/>
          <w:lang w:eastAsia="en-US"/>
        </w:rPr>
        <w:t>ُ</w:t>
      </w:r>
      <w:r w:rsidRPr="00F170AF">
        <w:rPr>
          <w:rFonts w:ascii="Traditional Arabic" w:hAnsi="Traditional Arabic"/>
          <w:noProof w:val="0"/>
          <w:rtl/>
          <w:lang w:eastAsia="en-US"/>
        </w:rPr>
        <w:t xml:space="preserve"> والبناء</w:t>
      </w:r>
      <w:r>
        <w:rPr>
          <w:rFonts w:ascii="Traditional Arabic" w:hAnsi="Traditional Arabic" w:hint="cs"/>
          <w:noProof w:val="0"/>
          <w:rtl/>
          <w:lang w:eastAsia="en-US"/>
        </w:rPr>
        <w:t>، وكذلك إذا شفع الشريك والثمرة والزرع موجودان حين البيع</w:t>
      </w:r>
      <w:r w:rsidR="006D41CE">
        <w:rPr>
          <w:rFonts w:ascii="Traditional Arabic" w:hAnsi="Traditional Arabic" w:hint="cs"/>
          <w:noProof w:val="0"/>
          <w:rtl/>
          <w:lang w:eastAsia="en-US"/>
        </w:rPr>
        <w:t>،</w:t>
      </w:r>
      <w:r>
        <w:rPr>
          <w:rFonts w:ascii="Traditional Arabic" w:hAnsi="Traditional Arabic" w:hint="cs"/>
          <w:noProof w:val="0"/>
          <w:rtl/>
          <w:lang w:eastAsia="en-US"/>
        </w:rPr>
        <w:t xml:space="preserve"> فإنهما يتبعان الأرض</w:t>
      </w:r>
      <w:r>
        <w:rPr>
          <w:rFonts w:hint="cs"/>
          <w:rtl/>
        </w:rPr>
        <w:t xml:space="preserve"> في الشفعة</w:t>
      </w:r>
      <w:r w:rsidRPr="00C821A1">
        <w:rPr>
          <w:rStyle w:val="af1"/>
          <w:szCs w:val="32"/>
          <w:rtl/>
        </w:rPr>
        <w:t>(</w:t>
      </w:r>
      <w:r w:rsidRPr="00C821A1">
        <w:rPr>
          <w:rStyle w:val="af1"/>
          <w:szCs w:val="32"/>
          <w:rtl/>
        </w:rPr>
        <w:footnoteReference w:id="1028"/>
      </w:r>
      <w:r w:rsidRPr="00C821A1">
        <w:rPr>
          <w:rStyle w:val="af1"/>
          <w:szCs w:val="32"/>
          <w:rtl/>
        </w:rPr>
        <w:t>)</w:t>
      </w:r>
      <w:r>
        <w:rPr>
          <w:rFonts w:ascii="Traditional Arabic" w:hAnsi="Traditional Arabic" w:hint="cs"/>
          <w:noProof w:val="0"/>
          <w:rtl/>
          <w:lang w:eastAsia="en-US"/>
        </w:rPr>
        <w:t>.</w:t>
      </w:r>
    </w:p>
    <w:p w:rsidR="00DC59C4" w:rsidRDefault="00DC59C4" w:rsidP="00597C20">
      <w:pPr>
        <w:pStyle w:val="53"/>
        <w:rPr>
          <w:rtl/>
        </w:rPr>
      </w:pPr>
      <w:r>
        <w:rPr>
          <w:rFonts w:hint="cs"/>
          <w:rtl/>
        </w:rPr>
        <w:t>وجه اندراج الفرع تحت القاعدة:</w:t>
      </w:r>
    </w:p>
    <w:p w:rsidR="00DC59C4" w:rsidRDefault="004A4BF0" w:rsidP="00597C20">
      <w:pPr>
        <w:ind w:firstLine="720"/>
        <w:rPr>
          <w:rFonts w:ascii="Traditional Arabic" w:hAnsi="Traditional Arabic"/>
          <w:color w:val="auto"/>
          <w:rtl/>
        </w:rPr>
      </w:pPr>
      <w:r>
        <w:rPr>
          <w:rFonts w:ascii="Traditional Arabic" w:hAnsi="Traditional Arabic" w:hint="cs"/>
          <w:noProof w:val="0"/>
          <w:color w:val="auto"/>
          <w:rtl/>
          <w:lang w:eastAsia="en-US"/>
        </w:rPr>
        <w:t>إ</w:t>
      </w:r>
      <w:r w:rsidR="00DC59C4" w:rsidRPr="00AB1A60">
        <w:rPr>
          <w:rFonts w:ascii="Traditional Arabic" w:hAnsi="Traditional Arabic" w:hint="cs"/>
          <w:noProof w:val="0"/>
          <w:color w:val="auto"/>
          <w:rtl/>
          <w:lang w:eastAsia="en-US"/>
        </w:rPr>
        <w:t>ن البناء والغراس والزرع فروع للأرض، و</w:t>
      </w:r>
      <w:r w:rsidR="00DC59C4" w:rsidRPr="00AB1A60">
        <w:rPr>
          <w:rFonts w:ascii="Traditional Arabic" w:hAnsi="Traditional Arabic"/>
          <w:noProof w:val="0"/>
          <w:color w:val="auto"/>
          <w:rtl/>
          <w:lang w:eastAsia="en-US"/>
        </w:rPr>
        <w:t>الثمرة فرع</w:t>
      </w:r>
      <w:r w:rsidR="00DC59C4" w:rsidRPr="00AB1A60">
        <w:rPr>
          <w:rFonts w:ascii="Traditional Arabic" w:hAnsi="Traditional Arabic" w:hint="cs"/>
          <w:noProof w:val="0"/>
          <w:color w:val="auto"/>
          <w:rtl/>
          <w:lang w:eastAsia="en-US"/>
        </w:rPr>
        <w:t>ُ</w:t>
      </w:r>
      <w:r w:rsidR="00DC59C4" w:rsidRPr="00AB1A60">
        <w:rPr>
          <w:rFonts w:ascii="Traditional Arabic" w:hAnsi="Traditional Arabic"/>
          <w:noProof w:val="0"/>
          <w:color w:val="auto"/>
          <w:rtl/>
          <w:lang w:eastAsia="en-US"/>
        </w:rPr>
        <w:t xml:space="preserve"> الغراس</w:t>
      </w:r>
      <w:r w:rsidR="00DC59C4" w:rsidRPr="00AB1A60">
        <w:rPr>
          <w:rFonts w:ascii="Traditional Arabic" w:hAnsi="Traditional Arabic" w:hint="cs"/>
          <w:noProof w:val="0"/>
          <w:color w:val="auto"/>
          <w:rtl/>
          <w:lang w:eastAsia="en-US"/>
        </w:rPr>
        <w:t>،</w:t>
      </w:r>
      <w:r w:rsidR="00DC59C4" w:rsidRPr="00AB1A60">
        <w:rPr>
          <w:rFonts w:ascii="Traditional Arabic" w:hAnsi="Traditional Arabic"/>
          <w:noProof w:val="0"/>
          <w:color w:val="auto"/>
          <w:rtl/>
          <w:lang w:eastAsia="en-US"/>
        </w:rPr>
        <w:t xml:space="preserve"> ويثبت تبعا ما لا يثبت استقلالا</w:t>
      </w:r>
      <w:r w:rsidR="00DC59C4" w:rsidRPr="00C821A1">
        <w:rPr>
          <w:rStyle w:val="af1"/>
          <w:szCs w:val="32"/>
          <w:rtl/>
        </w:rPr>
        <w:t>(</w:t>
      </w:r>
      <w:r w:rsidR="00DC59C4" w:rsidRPr="00C821A1">
        <w:rPr>
          <w:rStyle w:val="af1"/>
          <w:szCs w:val="32"/>
          <w:rtl/>
        </w:rPr>
        <w:footnoteReference w:id="1029"/>
      </w:r>
      <w:r w:rsidR="00DC59C4" w:rsidRPr="00C821A1">
        <w:rPr>
          <w:rStyle w:val="af1"/>
          <w:szCs w:val="32"/>
          <w:rtl/>
        </w:rPr>
        <w:t>)</w:t>
      </w:r>
      <w:r w:rsidR="00DC59C4" w:rsidRPr="00AB1A60">
        <w:rPr>
          <w:rFonts w:ascii="Traditional Arabic" w:hAnsi="Traditional Arabic"/>
          <w:noProof w:val="0"/>
          <w:color w:val="auto"/>
          <w:rtl/>
          <w:lang w:eastAsia="en-US"/>
        </w:rPr>
        <w:t>.</w:t>
      </w:r>
    </w:p>
    <w:p w:rsidR="004347BB" w:rsidRPr="00C85F0F" w:rsidRDefault="004347BB" w:rsidP="00E73B7B">
      <w:pPr>
        <w:pStyle w:val="aff2"/>
        <w:rPr>
          <w:rFonts w:ascii="Traditional Arabic" w:hAnsi="Traditional Arabic"/>
          <w:rtl/>
        </w:rPr>
      </w:pPr>
      <w:bookmarkStart w:id="200" w:name="_Toc334046431"/>
      <w:r w:rsidRPr="00A76AFC">
        <w:rPr>
          <w:rFonts w:ascii="Traditional Arabic" w:hAnsi="Traditional Arabic" w:hint="cs"/>
          <w:rtl/>
        </w:rPr>
        <w:lastRenderedPageBreak/>
        <w:t>المبحث ال</w:t>
      </w:r>
      <w:r>
        <w:rPr>
          <w:rFonts w:ascii="Traditional Arabic" w:hAnsi="Traditional Arabic" w:hint="cs"/>
          <w:rtl/>
        </w:rPr>
        <w:t>ثاني</w:t>
      </w:r>
      <w:r w:rsidRPr="00A76AFC">
        <w:rPr>
          <w:rFonts w:ascii="Traditional Arabic" w:hAnsi="Traditional Arabic" w:hint="eastAsia"/>
          <w:rtl/>
        </w:rPr>
        <w:t> :</w:t>
      </w:r>
      <w:r w:rsidRPr="00A76AFC">
        <w:rPr>
          <w:rFonts w:ascii="Traditional Arabic" w:hAnsi="Traditional Arabic"/>
          <w:rtl/>
        </w:rPr>
        <w:br/>
      </w:r>
      <w:r w:rsidRPr="00A76AFC">
        <w:rPr>
          <w:rFonts w:ascii="Traditional Arabic" w:hAnsi="Traditional Arabic" w:hint="cs"/>
          <w:rtl/>
        </w:rPr>
        <w:t>قاعدة</w:t>
      </w:r>
      <w:r w:rsidRPr="00A76AFC">
        <w:rPr>
          <w:rFonts w:ascii="Traditional Arabic" w:hAnsi="Traditional Arabic"/>
          <w:rtl/>
        </w:rPr>
        <w:br/>
      </w:r>
      <w:r>
        <w:rPr>
          <w:rFonts w:ascii="Traditional Arabic" w:hAnsi="Traditional Arabic" w:hint="cs"/>
          <w:rtl/>
        </w:rPr>
        <w:t>"</w:t>
      </w:r>
      <w:r w:rsidR="00E73B7B">
        <w:rPr>
          <w:rFonts w:hint="cs"/>
          <w:rtl/>
        </w:rPr>
        <w:t>إذا برئ الأصل برئ</w:t>
      </w:r>
      <w:r>
        <w:rPr>
          <w:rFonts w:hint="cs"/>
          <w:rtl/>
        </w:rPr>
        <w:t xml:space="preserve"> الفرع</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إذاسقطالأصلسقطالفرع</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bookmarkEnd w:id="200"/>
    </w:p>
    <w:p w:rsidR="004347BB" w:rsidRPr="00C85F0F" w:rsidRDefault="003E7B4D" w:rsidP="00A8347C">
      <w:pPr>
        <w:pStyle w:val="aff3"/>
        <w:rPr>
          <w:rtl/>
        </w:rPr>
      </w:pPr>
      <w:bookmarkStart w:id="201" w:name="_Toc334046432"/>
      <w:r>
        <w:rPr>
          <w:rFonts w:hint="cs"/>
          <w:rtl/>
        </w:rPr>
        <w:t xml:space="preserve">                                         </w:t>
      </w:r>
      <w:r w:rsidR="004347BB" w:rsidRPr="00C85F0F">
        <w:rPr>
          <w:rFonts w:hint="cs"/>
          <w:rtl/>
        </w:rPr>
        <w:t>المطلب الأول</w:t>
      </w:r>
      <w:r w:rsidR="004347BB" w:rsidRPr="00C85F0F">
        <w:rPr>
          <w:rFonts w:hint="eastAsia"/>
          <w:rtl/>
        </w:rPr>
        <w:t> :</w:t>
      </w:r>
      <w:r w:rsidR="004347BB" w:rsidRPr="00C85F0F">
        <w:rPr>
          <w:rFonts w:hint="cs"/>
          <w:rtl/>
        </w:rPr>
        <w:br/>
      </w:r>
      <w:r>
        <w:rPr>
          <w:rFonts w:hint="cs"/>
          <w:rtl/>
        </w:rPr>
        <w:t xml:space="preserve">                       </w:t>
      </w:r>
      <w:r w:rsidR="004347BB" w:rsidRPr="00C85F0F">
        <w:rPr>
          <w:rFonts w:hint="cs"/>
          <w:rtl/>
        </w:rPr>
        <w:t>صيغ القاعدة عند الشيخ وعند علماء القواعد</w:t>
      </w:r>
      <w:bookmarkEnd w:id="201"/>
    </w:p>
    <w:p w:rsidR="00065E4B" w:rsidRPr="00C85F0F" w:rsidRDefault="00E73B7B" w:rsidP="003E7B4D">
      <w:pPr>
        <w:ind w:firstLine="0"/>
        <w:rPr>
          <w:rtl/>
        </w:rPr>
      </w:pPr>
      <w:r>
        <w:rPr>
          <w:rFonts w:hint="cs"/>
          <w:rtl/>
        </w:rPr>
        <w:t xml:space="preserve">    </w:t>
      </w:r>
      <w:r w:rsidR="004347BB" w:rsidRPr="00C85F0F">
        <w:rPr>
          <w:rFonts w:hint="cs"/>
          <w:rtl/>
        </w:rPr>
        <w:t>أورد الشيخ ابن عثيمين هذه القاعدة في معرِض ذِكره للكفالة والضمان، وأنه إذا بَرئ المضمون عنه برئ الضامن</w:t>
      </w:r>
      <w:r w:rsidR="004347BB" w:rsidRPr="00C85F0F">
        <w:rPr>
          <w:rStyle w:val="af1"/>
          <w:szCs w:val="32"/>
          <w:rtl/>
        </w:rPr>
        <w:t>(</w:t>
      </w:r>
      <w:r w:rsidR="004347BB" w:rsidRPr="00C85F0F">
        <w:rPr>
          <w:rStyle w:val="af1"/>
          <w:szCs w:val="32"/>
          <w:rtl/>
        </w:rPr>
        <w:footnoteReference w:id="1030"/>
      </w:r>
      <w:r w:rsidR="004347BB" w:rsidRPr="00C85F0F">
        <w:rPr>
          <w:rStyle w:val="af1"/>
          <w:szCs w:val="32"/>
          <w:rtl/>
        </w:rPr>
        <w:t>)</w:t>
      </w:r>
      <w:r w:rsidR="004347BB" w:rsidRPr="00C85F0F">
        <w:rPr>
          <w:rFonts w:hint="cs"/>
          <w:rtl/>
        </w:rPr>
        <w:t xml:space="preserve"> وإذا برئ المكفولُ عنه</w:t>
      </w:r>
      <w:r w:rsidR="004347BB" w:rsidRPr="00C85F0F">
        <w:rPr>
          <w:rStyle w:val="af1"/>
          <w:szCs w:val="32"/>
          <w:rtl/>
        </w:rPr>
        <w:t>(</w:t>
      </w:r>
      <w:r w:rsidR="004347BB" w:rsidRPr="00C85F0F">
        <w:rPr>
          <w:rStyle w:val="af1"/>
          <w:szCs w:val="32"/>
          <w:rtl/>
        </w:rPr>
        <w:footnoteReference w:id="1031"/>
      </w:r>
      <w:r w:rsidR="004347BB" w:rsidRPr="00C85F0F">
        <w:rPr>
          <w:rStyle w:val="af1"/>
          <w:szCs w:val="32"/>
          <w:rtl/>
        </w:rPr>
        <w:t>)</w:t>
      </w:r>
      <w:r w:rsidR="004347BB" w:rsidRPr="00C85F0F">
        <w:rPr>
          <w:rFonts w:hint="cs"/>
          <w:rtl/>
        </w:rPr>
        <w:t xml:space="preserve"> برئ الكفيل</w:t>
      </w:r>
      <w:r w:rsidR="004347BB" w:rsidRPr="00C85F0F">
        <w:rPr>
          <w:rStyle w:val="af1"/>
          <w:szCs w:val="32"/>
          <w:rtl/>
        </w:rPr>
        <w:t>(</w:t>
      </w:r>
      <w:r w:rsidR="004347BB" w:rsidRPr="00C85F0F">
        <w:rPr>
          <w:rStyle w:val="af1"/>
          <w:szCs w:val="32"/>
          <w:rtl/>
        </w:rPr>
        <w:footnoteReference w:id="1032"/>
      </w:r>
      <w:r w:rsidR="004347BB" w:rsidRPr="00C85F0F">
        <w:rPr>
          <w:rStyle w:val="af1"/>
          <w:szCs w:val="32"/>
          <w:rtl/>
        </w:rPr>
        <w:t>)</w:t>
      </w:r>
      <w:r w:rsidR="003E7B4D">
        <w:rPr>
          <w:rFonts w:hint="cs"/>
          <w:rtl/>
        </w:rPr>
        <w:t xml:space="preserve">، </w:t>
      </w:r>
      <w:r w:rsidR="004347BB" w:rsidRPr="00C85F0F">
        <w:rPr>
          <w:rFonts w:hint="cs"/>
          <w:rtl/>
        </w:rPr>
        <w:t xml:space="preserve">وعلَّل ذلك بقوله: </w:t>
      </w:r>
      <w:r w:rsidR="00B76414" w:rsidRPr="00C85F0F">
        <w:rPr>
          <w:rFonts w:hint="cs"/>
          <w:rtl/>
        </w:rPr>
        <w:t>(</w:t>
      </w:r>
      <w:r w:rsidR="004347BB" w:rsidRPr="00C85F0F">
        <w:rPr>
          <w:rFonts w:hint="cs"/>
          <w:rtl/>
        </w:rPr>
        <w:t xml:space="preserve">لأن القاعدة </w:t>
      </w:r>
      <w:r w:rsidR="004347BB" w:rsidRPr="003E7B4D">
        <w:rPr>
          <w:rFonts w:ascii="Traditional Arabic" w:hAnsi="Traditional Arabic"/>
          <w:noProof w:val="0"/>
          <w:color w:val="auto"/>
          <w:rtl/>
          <w:lang w:eastAsia="en-US"/>
        </w:rPr>
        <w:t>أنه إذا برئ الأصل</w:t>
      </w:r>
      <w:r w:rsidR="004347BB" w:rsidRPr="003E7B4D">
        <w:rPr>
          <w:rFonts w:ascii="Traditional Arabic" w:hAnsi="Traditional Arabic" w:hint="cs"/>
          <w:noProof w:val="0"/>
          <w:color w:val="auto"/>
          <w:rtl/>
          <w:lang w:eastAsia="en-US"/>
        </w:rPr>
        <w:t>ُ</w:t>
      </w:r>
      <w:r w:rsidR="004347BB" w:rsidRPr="003E7B4D">
        <w:rPr>
          <w:rFonts w:ascii="Traditional Arabic" w:hAnsi="Traditional Arabic"/>
          <w:noProof w:val="0"/>
          <w:color w:val="auto"/>
          <w:rtl/>
          <w:lang w:eastAsia="en-US"/>
        </w:rPr>
        <w:t xml:space="preserve"> برئ الفرع</w:t>
      </w:r>
      <w:r w:rsidR="004347BB" w:rsidRPr="003E7B4D">
        <w:rPr>
          <w:rFonts w:ascii="Traditional Arabic" w:hAnsi="Traditional Arabic" w:hint="cs"/>
          <w:noProof w:val="0"/>
          <w:color w:val="auto"/>
          <w:rtl/>
          <w:lang w:eastAsia="en-US"/>
        </w:rPr>
        <w:t>ُ</w:t>
      </w:r>
      <w:r w:rsidR="00B76414" w:rsidRPr="003E7B4D">
        <w:rPr>
          <w:rFonts w:hint="cs"/>
          <w:color w:val="auto"/>
          <w:rtl/>
        </w:rPr>
        <w:t>)</w:t>
      </w:r>
      <w:r w:rsidR="004347BB" w:rsidRPr="003E7B4D">
        <w:rPr>
          <w:rStyle w:val="af1"/>
          <w:szCs w:val="32"/>
          <w:rtl/>
        </w:rPr>
        <w:t>(</w:t>
      </w:r>
      <w:r w:rsidR="004347BB" w:rsidRPr="00C85F0F">
        <w:rPr>
          <w:rStyle w:val="af1"/>
          <w:szCs w:val="32"/>
          <w:rtl/>
        </w:rPr>
        <w:footnoteReference w:id="1033"/>
      </w:r>
      <w:r w:rsidR="004347BB" w:rsidRPr="003E7B4D">
        <w:rPr>
          <w:rStyle w:val="af1"/>
          <w:szCs w:val="32"/>
          <w:rtl/>
        </w:rPr>
        <w:t>)</w:t>
      </w:r>
      <w:r w:rsidR="004347BB" w:rsidRPr="003E7B4D">
        <w:rPr>
          <w:rFonts w:hint="cs"/>
          <w:color w:val="auto"/>
          <w:rtl/>
        </w:rPr>
        <w:t>.</w:t>
      </w:r>
    </w:p>
    <w:p w:rsidR="004347BB" w:rsidRPr="00C85F0F" w:rsidRDefault="00E73B7B" w:rsidP="00E73B7B">
      <w:pPr>
        <w:ind w:firstLine="0"/>
        <w:rPr>
          <w:color w:val="auto"/>
          <w:rtl/>
        </w:rPr>
      </w:pPr>
      <w:r>
        <w:rPr>
          <w:rFonts w:hint="cs"/>
          <w:color w:val="auto"/>
          <w:rtl/>
        </w:rPr>
        <w:t xml:space="preserve">    </w:t>
      </w:r>
      <w:r w:rsidR="00065E4B" w:rsidRPr="00C85F0F">
        <w:rPr>
          <w:rFonts w:hint="cs"/>
          <w:color w:val="auto"/>
          <w:rtl/>
        </w:rPr>
        <w:t>و</w:t>
      </w:r>
      <w:r w:rsidR="004347BB" w:rsidRPr="00C85F0F">
        <w:rPr>
          <w:rFonts w:hint="cs"/>
          <w:color w:val="auto"/>
          <w:rtl/>
        </w:rPr>
        <w:t xml:space="preserve">قد ذكر بعض علماء القواعد هذه القاعدة بصيغ أعمَّ من الصيغة التي أوردها الشيخ ابن عثيمين </w:t>
      </w:r>
      <w:r w:rsidR="003E7B4D">
        <w:rPr>
          <w:rFonts w:hint="cs"/>
          <w:color w:val="auto"/>
          <w:rtl/>
        </w:rPr>
        <w:t>_</w:t>
      </w:r>
      <w:r w:rsidR="009A0575" w:rsidRPr="005D5694">
        <w:rPr>
          <w:rFonts w:ascii="Traditional Arabic" w:hAnsi="Traditional Arabic" w:cs="CTraditional Arabic" w:hint="cs"/>
          <w:rtl/>
        </w:rPr>
        <w:t>/</w:t>
      </w:r>
      <w:r w:rsidR="003E7B4D">
        <w:rPr>
          <w:rFonts w:hint="cs"/>
          <w:color w:val="auto"/>
          <w:rtl/>
        </w:rPr>
        <w:t>_:</w:t>
      </w:r>
    </w:p>
    <w:p w:rsidR="00F228A9" w:rsidRPr="00C85F0F" w:rsidRDefault="004347BB" w:rsidP="000A76C7">
      <w:pPr>
        <w:pStyle w:val="afc"/>
        <w:numPr>
          <w:ilvl w:val="0"/>
          <w:numId w:val="145"/>
        </w:numPr>
        <w:rPr>
          <w:color w:val="auto"/>
          <w:rtl/>
        </w:rPr>
      </w:pPr>
      <w:r w:rsidRPr="00C85F0F">
        <w:rPr>
          <w:rFonts w:hint="cs"/>
          <w:color w:val="auto"/>
          <w:rtl/>
        </w:rPr>
        <w:t xml:space="preserve">قال </w:t>
      </w:r>
      <w:r w:rsidR="003E7B4D">
        <w:rPr>
          <w:rFonts w:hint="cs"/>
          <w:color w:val="auto"/>
          <w:rtl/>
        </w:rPr>
        <w:t xml:space="preserve"> </w:t>
      </w:r>
      <w:r w:rsidRPr="00C85F0F">
        <w:rPr>
          <w:rFonts w:hint="cs"/>
          <w:color w:val="auto"/>
          <w:rtl/>
        </w:rPr>
        <w:t xml:space="preserve">ابن القيم </w:t>
      </w:r>
      <w:r w:rsidR="003E7B4D">
        <w:rPr>
          <w:rFonts w:hint="cs"/>
          <w:color w:val="auto"/>
          <w:rtl/>
        </w:rPr>
        <w:t>_</w:t>
      </w:r>
      <w:r w:rsidR="009A0575" w:rsidRPr="005D5694">
        <w:rPr>
          <w:rFonts w:ascii="Traditional Arabic" w:hAnsi="Traditional Arabic" w:cs="CTraditional Arabic" w:hint="cs"/>
          <w:rtl/>
        </w:rPr>
        <w:t>/</w:t>
      </w:r>
      <w:r w:rsidR="003E7B4D">
        <w:rPr>
          <w:rFonts w:hint="cs"/>
          <w:color w:val="auto"/>
          <w:rtl/>
        </w:rPr>
        <w:t>_</w:t>
      </w:r>
      <w:r w:rsidRPr="00C85F0F">
        <w:rPr>
          <w:rFonts w:hint="cs"/>
          <w:color w:val="auto"/>
          <w:rtl/>
        </w:rPr>
        <w:t xml:space="preserve"> : </w:t>
      </w:r>
      <w:r w:rsidR="00B76414" w:rsidRPr="00C85F0F">
        <w:rPr>
          <w:rFonts w:hint="cs"/>
          <w:color w:val="auto"/>
          <w:rtl/>
        </w:rPr>
        <w:t>(</w:t>
      </w:r>
      <w:r w:rsidRPr="00C85F0F">
        <w:rPr>
          <w:rFonts w:hint="cs"/>
          <w:color w:val="auto"/>
          <w:rtl/>
        </w:rPr>
        <w:t>إذا ارتفع الأصلُ، امتنع بقاءُ الفرع ب</w:t>
      </w:r>
      <w:r w:rsidR="003E7B4D">
        <w:rPr>
          <w:rFonts w:hint="cs"/>
          <w:color w:val="auto"/>
          <w:rtl/>
        </w:rPr>
        <w:t>َ</w:t>
      </w:r>
      <w:r w:rsidRPr="00C85F0F">
        <w:rPr>
          <w:rFonts w:hint="cs"/>
          <w:color w:val="auto"/>
          <w:rtl/>
        </w:rPr>
        <w:t>عد</w:t>
      </w:r>
      <w:r w:rsidR="003E7B4D">
        <w:rPr>
          <w:rFonts w:hint="cs"/>
          <w:color w:val="auto"/>
          <w:rtl/>
        </w:rPr>
        <w:t>َ</w:t>
      </w:r>
      <w:r w:rsidRPr="00C85F0F">
        <w:rPr>
          <w:rFonts w:hint="cs"/>
          <w:color w:val="auto"/>
          <w:rtl/>
        </w:rPr>
        <w:t>ه</w:t>
      </w:r>
      <w:r w:rsidR="00B76414" w:rsidRPr="00C85F0F">
        <w:rPr>
          <w:rFonts w:hint="cs"/>
          <w:color w:val="auto"/>
          <w:rtl/>
        </w:rPr>
        <w:t>)</w:t>
      </w:r>
      <w:r w:rsidRPr="00C85F0F">
        <w:rPr>
          <w:rStyle w:val="af1"/>
          <w:szCs w:val="32"/>
          <w:rtl/>
        </w:rPr>
        <w:t>(</w:t>
      </w:r>
      <w:r w:rsidRPr="00C85F0F">
        <w:rPr>
          <w:rStyle w:val="af1"/>
          <w:szCs w:val="32"/>
          <w:rtl/>
        </w:rPr>
        <w:footnoteReference w:id="1034"/>
      </w:r>
      <w:r w:rsidRPr="00C85F0F">
        <w:rPr>
          <w:rStyle w:val="af1"/>
          <w:szCs w:val="32"/>
          <w:rtl/>
        </w:rPr>
        <w:t>)</w:t>
      </w:r>
      <w:r w:rsidRPr="00C85F0F">
        <w:rPr>
          <w:rFonts w:hint="cs"/>
          <w:color w:val="auto"/>
          <w:rtl/>
        </w:rPr>
        <w:t>.</w:t>
      </w:r>
    </w:p>
    <w:p w:rsidR="00F228A9" w:rsidRPr="00C85F0F" w:rsidRDefault="00E73B7B" w:rsidP="000A76C7">
      <w:pPr>
        <w:pStyle w:val="afc"/>
        <w:widowControl/>
        <w:numPr>
          <w:ilvl w:val="0"/>
          <w:numId w:val="144"/>
        </w:numPr>
        <w:autoSpaceDE w:val="0"/>
        <w:autoSpaceDN w:val="0"/>
        <w:adjustRightInd w:val="0"/>
        <w:rPr>
          <w:rFonts w:ascii="Traditional Arabic" w:hAnsi="Traditional Arabic"/>
          <w:noProof w:val="0"/>
          <w:lang w:eastAsia="en-US"/>
        </w:rPr>
      </w:pPr>
      <w:r>
        <w:rPr>
          <w:rFonts w:hint="cs"/>
          <w:color w:val="auto"/>
          <w:rtl/>
        </w:rPr>
        <w:t>و</w:t>
      </w:r>
      <w:r w:rsidR="004347BB" w:rsidRPr="00C85F0F">
        <w:rPr>
          <w:rFonts w:hint="cs"/>
          <w:color w:val="auto"/>
          <w:rtl/>
        </w:rPr>
        <w:t xml:space="preserve">قال  السيوطي </w:t>
      </w:r>
      <w:r w:rsidR="003E7B4D">
        <w:rPr>
          <w:rFonts w:hint="cs"/>
          <w:color w:val="auto"/>
          <w:rtl/>
        </w:rPr>
        <w:t>_</w:t>
      </w:r>
      <w:r w:rsidR="009A0575" w:rsidRPr="005D5694">
        <w:rPr>
          <w:rFonts w:ascii="Traditional Arabic" w:hAnsi="Traditional Arabic" w:cs="CTraditional Arabic" w:hint="cs"/>
          <w:rtl/>
        </w:rPr>
        <w:t>/</w:t>
      </w:r>
      <w:r w:rsidR="003E7B4D">
        <w:rPr>
          <w:rFonts w:hint="cs"/>
          <w:color w:val="auto"/>
          <w:rtl/>
        </w:rPr>
        <w:t>_</w:t>
      </w:r>
      <w:r w:rsidR="004347BB" w:rsidRPr="00C85F0F">
        <w:rPr>
          <w:rFonts w:hint="cs"/>
          <w:color w:val="auto"/>
          <w:rtl/>
        </w:rPr>
        <w:t xml:space="preserve"> بعد ذكره لقاعدة: "</w:t>
      </w:r>
      <w:r w:rsidR="004347BB" w:rsidRPr="00C85F0F">
        <w:rPr>
          <w:rFonts w:ascii="Traditional Arabic" w:hAnsi="Traditional Arabic"/>
          <w:noProof w:val="0"/>
          <w:color w:val="auto"/>
          <w:rtl/>
          <w:lang w:eastAsia="en-US"/>
        </w:rPr>
        <w:t>التابع يسقط بسقوط المتبوع</w:t>
      </w:r>
      <w:r w:rsidR="004347BB" w:rsidRPr="00C85F0F">
        <w:rPr>
          <w:rFonts w:hint="cs"/>
          <w:color w:val="auto"/>
          <w:rtl/>
        </w:rPr>
        <w:t>": (</w:t>
      </w:r>
      <w:r w:rsidR="004347BB" w:rsidRPr="00C85F0F">
        <w:rPr>
          <w:rFonts w:ascii="Traditional Arabic" w:hAnsi="Traditional Arabic"/>
          <w:noProof w:val="0"/>
          <w:rtl/>
          <w:lang w:eastAsia="en-US"/>
        </w:rPr>
        <w:t>يقر</w:t>
      </w:r>
      <w:r w:rsidR="004347BB" w:rsidRPr="00C85F0F">
        <w:rPr>
          <w:rFonts w:ascii="Traditional Arabic" w:hAnsi="Traditional Arabic" w:hint="cs"/>
          <w:noProof w:val="0"/>
          <w:rtl/>
          <w:lang w:eastAsia="en-US"/>
        </w:rPr>
        <w:t>ُ</w:t>
      </w:r>
      <w:r w:rsidR="004347BB" w:rsidRPr="00C85F0F">
        <w:rPr>
          <w:rFonts w:ascii="Traditional Arabic" w:hAnsi="Traditional Arabic"/>
          <w:noProof w:val="0"/>
          <w:rtl/>
          <w:lang w:eastAsia="en-US"/>
        </w:rPr>
        <w:t>ب من ذلك قولهم: " الفرع يسق</w:t>
      </w:r>
      <w:r w:rsidR="004347BB" w:rsidRPr="00C85F0F">
        <w:rPr>
          <w:rFonts w:ascii="Traditional Arabic" w:hAnsi="Traditional Arabic" w:hint="cs"/>
          <w:noProof w:val="0"/>
          <w:rtl/>
          <w:lang w:eastAsia="en-US"/>
        </w:rPr>
        <w:t>ُ</w:t>
      </w:r>
      <w:r w:rsidR="004347BB" w:rsidRPr="00C85F0F">
        <w:rPr>
          <w:rFonts w:ascii="Traditional Arabic" w:hAnsi="Traditional Arabic"/>
          <w:noProof w:val="0"/>
          <w:rtl/>
          <w:lang w:eastAsia="en-US"/>
        </w:rPr>
        <w:t>ط إذا سقط الأصل</w:t>
      </w:r>
      <w:r w:rsidR="004347BB" w:rsidRPr="00C85F0F">
        <w:rPr>
          <w:rFonts w:ascii="Traditional Arabic" w:hAnsi="Traditional Arabic" w:hint="cs"/>
          <w:noProof w:val="0"/>
          <w:rtl/>
          <w:lang w:eastAsia="en-US"/>
        </w:rPr>
        <w:t>ُ</w:t>
      </w:r>
      <w:r w:rsidR="004347BB" w:rsidRPr="00C85F0F">
        <w:rPr>
          <w:rFonts w:ascii="Traditional Arabic" w:hAnsi="Traditional Arabic"/>
          <w:noProof w:val="0"/>
          <w:rtl/>
          <w:lang w:eastAsia="en-US"/>
        </w:rPr>
        <w:t xml:space="preserve"> ". ومن فروعه: إذا برئ الأصيل برئ الضامن</w:t>
      </w:r>
      <w:r>
        <w:rPr>
          <w:rFonts w:ascii="Traditional Arabic" w:hAnsi="Traditional Arabic" w:hint="cs"/>
          <w:noProof w:val="0"/>
          <w:rtl/>
          <w:lang w:eastAsia="en-US"/>
        </w:rPr>
        <w:t>؛</w:t>
      </w:r>
      <w:r w:rsidR="004347BB" w:rsidRPr="00C85F0F">
        <w:rPr>
          <w:rFonts w:ascii="Traditional Arabic" w:hAnsi="Traditional Arabic"/>
          <w:noProof w:val="0"/>
          <w:rtl/>
          <w:lang w:eastAsia="en-US"/>
        </w:rPr>
        <w:t xml:space="preserve"> لأنه فرع</w:t>
      </w:r>
      <w:r w:rsidR="004347BB" w:rsidRPr="00C85F0F">
        <w:rPr>
          <w:rFonts w:ascii="Traditional Arabic" w:hAnsi="Traditional Arabic" w:hint="cs"/>
          <w:noProof w:val="0"/>
          <w:rtl/>
          <w:lang w:eastAsia="en-US"/>
        </w:rPr>
        <w:t>ُ</w:t>
      </w:r>
      <w:r w:rsidR="004347BB" w:rsidRPr="00C85F0F">
        <w:rPr>
          <w:rFonts w:ascii="Traditional Arabic" w:hAnsi="Traditional Arabic"/>
          <w:noProof w:val="0"/>
          <w:rtl/>
          <w:lang w:eastAsia="en-US"/>
        </w:rPr>
        <w:t>ه، فإذا سقط الأصيل</w:t>
      </w:r>
      <w:r w:rsidR="00202487">
        <w:rPr>
          <w:rFonts w:ascii="Traditional Arabic" w:hAnsi="Traditional Arabic" w:hint="cs"/>
          <w:noProof w:val="0"/>
          <w:rtl/>
          <w:lang w:eastAsia="en-US"/>
        </w:rPr>
        <w:t xml:space="preserve"> </w:t>
      </w:r>
      <w:r w:rsidR="004347BB" w:rsidRPr="00C85F0F">
        <w:rPr>
          <w:rFonts w:ascii="Traditional Arabic" w:hAnsi="Traditional Arabic"/>
          <w:noProof w:val="0"/>
          <w:rtl/>
          <w:lang w:eastAsia="en-US"/>
        </w:rPr>
        <w:t>سقط</w:t>
      </w:r>
      <w:r w:rsidR="004347BB" w:rsidRPr="00C85F0F">
        <w:rPr>
          <w:rFonts w:ascii="Traditional Arabic" w:hAnsi="Traditional Arabic" w:hint="cs"/>
          <w:noProof w:val="0"/>
          <w:rtl/>
          <w:lang w:eastAsia="en-US"/>
        </w:rPr>
        <w:t xml:space="preserve">َ، </w:t>
      </w:r>
      <w:r w:rsidR="004347BB" w:rsidRPr="00C85F0F">
        <w:rPr>
          <w:rFonts w:ascii="Traditional Arabic" w:hAnsi="Traditional Arabic"/>
          <w:noProof w:val="0"/>
          <w:rtl/>
          <w:lang w:eastAsia="en-US"/>
        </w:rPr>
        <w:t>بخلاف العكس</w:t>
      </w:r>
      <w:r w:rsidR="00B76414" w:rsidRPr="00C85F0F">
        <w:rPr>
          <w:rFonts w:ascii="Traditional Arabic" w:hAnsi="Traditional Arabic" w:hint="cs"/>
          <w:noProof w:val="0"/>
          <w:rtl/>
          <w:lang w:eastAsia="en-US"/>
        </w:rPr>
        <w:t>)</w:t>
      </w:r>
      <w:r w:rsidR="004347BB" w:rsidRPr="00C85F0F">
        <w:rPr>
          <w:rStyle w:val="af1"/>
          <w:szCs w:val="32"/>
          <w:rtl/>
        </w:rPr>
        <w:t>(</w:t>
      </w:r>
      <w:r w:rsidR="004347BB" w:rsidRPr="00C85F0F">
        <w:rPr>
          <w:rStyle w:val="af1"/>
          <w:szCs w:val="32"/>
          <w:rtl/>
        </w:rPr>
        <w:footnoteReference w:id="1035"/>
      </w:r>
      <w:r w:rsidR="004347BB" w:rsidRPr="00C85F0F">
        <w:rPr>
          <w:rStyle w:val="af1"/>
          <w:szCs w:val="32"/>
          <w:rtl/>
        </w:rPr>
        <w:t>)</w:t>
      </w:r>
      <w:r w:rsidR="004347BB" w:rsidRPr="00C85F0F">
        <w:rPr>
          <w:rFonts w:ascii="Traditional Arabic" w:hAnsi="Traditional Arabic" w:hint="cs"/>
          <w:noProof w:val="0"/>
          <w:rtl/>
          <w:lang w:eastAsia="en-US"/>
        </w:rPr>
        <w:t>.</w:t>
      </w:r>
    </w:p>
    <w:p w:rsidR="00F228A9" w:rsidRPr="00C85F0F" w:rsidRDefault="00F228A9" w:rsidP="000A76C7">
      <w:pPr>
        <w:pStyle w:val="afc"/>
        <w:widowControl/>
        <w:numPr>
          <w:ilvl w:val="0"/>
          <w:numId w:val="144"/>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lastRenderedPageBreak/>
        <w:t xml:space="preserve">ووردت هذه القاعدة في مجلة الأحكام العدلية بصيغة: </w:t>
      </w:r>
      <w:r w:rsidR="003E7B4D">
        <w:rPr>
          <w:rFonts w:ascii="Traditional Arabic" w:hAnsi="Traditional Arabic" w:hint="cs"/>
          <w:noProof w:val="0"/>
          <w:rtl/>
          <w:lang w:eastAsia="en-US"/>
        </w:rPr>
        <w:t>"</w:t>
      </w:r>
      <w:r w:rsidRPr="00C85F0F">
        <w:rPr>
          <w:rFonts w:ascii="Traditional Arabic" w:hAnsi="Traditional Arabic" w:hint="cs"/>
          <w:noProof w:val="0"/>
          <w:rtl/>
          <w:lang w:eastAsia="en-US"/>
        </w:rPr>
        <w:t>إذا سقط الأصل سقط الفرع</w:t>
      </w:r>
      <w:r w:rsidR="003E7B4D">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1036"/>
      </w:r>
      <w:r w:rsidRPr="00C85F0F">
        <w:rPr>
          <w:rStyle w:val="af1"/>
          <w:szCs w:val="32"/>
          <w:rtl/>
        </w:rPr>
        <w:t>)</w:t>
      </w:r>
      <w:r w:rsidRPr="00C85F0F">
        <w:rPr>
          <w:rFonts w:ascii="Traditional Arabic" w:hAnsi="Traditional Arabic" w:hint="cs"/>
          <w:noProof w:val="0"/>
          <w:rtl/>
          <w:lang w:eastAsia="en-US"/>
        </w:rPr>
        <w:t>.</w:t>
      </w:r>
    </w:p>
    <w:p w:rsidR="00065E4B" w:rsidRPr="00C85F0F" w:rsidRDefault="003E7B4D" w:rsidP="00A8347C">
      <w:pPr>
        <w:pStyle w:val="aff3"/>
        <w:rPr>
          <w:rtl/>
        </w:rPr>
      </w:pPr>
      <w:bookmarkStart w:id="202" w:name="_Toc334046433"/>
      <w:r>
        <w:rPr>
          <w:rFonts w:hint="cs"/>
          <w:rtl/>
        </w:rPr>
        <w:t xml:space="preserve">                                          </w:t>
      </w:r>
      <w:r w:rsidR="004347BB" w:rsidRPr="00C85F0F">
        <w:rPr>
          <w:rFonts w:hint="cs"/>
          <w:rtl/>
        </w:rPr>
        <w:t>المطلب الثاني :</w:t>
      </w:r>
      <w:r w:rsidR="004347BB" w:rsidRPr="00C85F0F">
        <w:rPr>
          <w:rFonts w:hint="cs"/>
          <w:rtl/>
        </w:rPr>
        <w:br/>
      </w:r>
      <w:r>
        <w:rPr>
          <w:rFonts w:hint="cs"/>
          <w:rtl/>
        </w:rPr>
        <w:t xml:space="preserve">                                           </w:t>
      </w:r>
      <w:r w:rsidR="004347BB" w:rsidRPr="00C85F0F">
        <w:rPr>
          <w:rFonts w:hint="cs"/>
          <w:rtl/>
        </w:rPr>
        <w:t>شرح القاعدة</w:t>
      </w:r>
      <w:bookmarkEnd w:id="202"/>
    </w:p>
    <w:p w:rsidR="00AB1A60" w:rsidRPr="00C85F0F" w:rsidRDefault="00065E4B" w:rsidP="00A323FE">
      <w:pPr>
        <w:pStyle w:val="53"/>
        <w:rPr>
          <w:rtl/>
        </w:rPr>
      </w:pPr>
      <w:r w:rsidRPr="00A323FE">
        <w:rPr>
          <w:rFonts w:hint="cs"/>
          <w:rtl/>
        </w:rPr>
        <w:t>ا</w:t>
      </w:r>
      <w:r w:rsidR="004347BB" w:rsidRPr="00A323FE">
        <w:rPr>
          <w:rFonts w:hint="cs"/>
          <w:rtl/>
        </w:rPr>
        <w:t>لأصل</w:t>
      </w:r>
      <w:r w:rsidR="00A323FE">
        <w:rPr>
          <w:rFonts w:hint="cs"/>
          <w:rtl/>
        </w:rPr>
        <w:t xml:space="preserve"> لغة واصطلاحا</w:t>
      </w:r>
      <w:r w:rsidR="004347BB" w:rsidRPr="00C85F0F">
        <w:rPr>
          <w:rFonts w:hint="cs"/>
          <w:rtl/>
        </w:rPr>
        <w:t>:</w:t>
      </w:r>
    </w:p>
    <w:p w:rsidR="00065E4B" w:rsidRPr="00C85F0F" w:rsidRDefault="004347BB" w:rsidP="009C3DC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 xml:space="preserve">تقدم تعريفه، وهو في هذه القاعدة-والله أعلم- بمعنى </w:t>
      </w:r>
      <w:r w:rsidRPr="00C85F0F">
        <w:rPr>
          <w:rFonts w:hint="cs"/>
          <w:rtl/>
        </w:rPr>
        <w:t>ما يَبْتَني عليه غيرُه ويتفرَّع عليه</w:t>
      </w:r>
      <w:r w:rsidRPr="00C85F0F">
        <w:rPr>
          <w:rFonts w:ascii="Traditional Arabic" w:hAnsi="Traditional Arabic" w:hint="cs"/>
          <w:noProof w:val="0"/>
          <w:rtl/>
          <w:lang w:eastAsia="en-US"/>
        </w:rPr>
        <w:t>؛ لأنه مقابلٌ للفرع</w:t>
      </w:r>
      <w:r w:rsidRPr="00C85F0F">
        <w:rPr>
          <w:rStyle w:val="af1"/>
          <w:szCs w:val="32"/>
          <w:rtl/>
        </w:rPr>
        <w:t>(</w:t>
      </w:r>
      <w:r w:rsidRPr="00C85F0F">
        <w:rPr>
          <w:rStyle w:val="af1"/>
          <w:szCs w:val="32"/>
          <w:rtl/>
        </w:rPr>
        <w:footnoteReference w:id="1037"/>
      </w:r>
      <w:r w:rsidRPr="00C85F0F">
        <w:rPr>
          <w:rStyle w:val="af1"/>
          <w:szCs w:val="32"/>
          <w:rtl/>
        </w:rPr>
        <w:t>)</w:t>
      </w:r>
      <w:r w:rsidRPr="00C85F0F">
        <w:rPr>
          <w:rFonts w:ascii="Traditional Arabic" w:hAnsi="Traditional Arabic" w:hint="cs"/>
          <w:noProof w:val="0"/>
          <w:rtl/>
          <w:lang w:eastAsia="en-US"/>
        </w:rPr>
        <w:t>.</w:t>
      </w:r>
    </w:p>
    <w:p w:rsidR="00AB1A60" w:rsidRPr="00C85F0F" w:rsidRDefault="00065E4B" w:rsidP="00A323FE">
      <w:pPr>
        <w:pStyle w:val="53"/>
        <w:rPr>
          <w:rtl/>
        </w:rPr>
      </w:pPr>
      <w:r w:rsidRPr="00C85F0F">
        <w:rPr>
          <w:rFonts w:hint="cs"/>
          <w:rtl/>
        </w:rPr>
        <w:t>ا</w:t>
      </w:r>
      <w:r w:rsidR="004347BB" w:rsidRPr="00C85F0F">
        <w:rPr>
          <w:rFonts w:hint="cs"/>
          <w:rtl/>
        </w:rPr>
        <w:t>لفرع لغة:</w:t>
      </w:r>
    </w:p>
    <w:p w:rsidR="00065E4B" w:rsidRPr="00C85F0F" w:rsidRDefault="004347B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 xml:space="preserve">يقول </w:t>
      </w:r>
      <w:r w:rsidR="009C3DC0">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 xml:space="preserve">ابن فارس </w:t>
      </w:r>
      <w:r w:rsidR="009C3DC0">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9C3DC0">
        <w:rPr>
          <w:rFonts w:ascii="Traditional Arabic" w:hAnsi="Traditional Arabic" w:hint="cs"/>
          <w:noProof w:val="0"/>
          <w:rtl/>
          <w:lang w:eastAsia="en-US"/>
        </w:rPr>
        <w:t>_</w:t>
      </w:r>
      <w:r w:rsidRPr="00C85F0F">
        <w:rPr>
          <w:rFonts w:ascii="Traditional Arabic" w:hAnsi="Traditional Arabic" w:hint="cs"/>
          <w:noProof w:val="0"/>
          <w:rtl/>
          <w:lang w:eastAsia="en-US"/>
        </w:rPr>
        <w:t>:</w:t>
      </w:r>
      <w:r w:rsidR="009C3DC0">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الفاء والراء والعين أصل صحيح يدل على 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وارتفاع وس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بوغ. من ذلك الفرع، وهو أعلى الشيء. والفرع: مصدر فرعت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الشيء</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فرعا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إذا 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w:t>
      </w:r>
      <w:r w:rsidR="00B76414"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1038"/>
      </w:r>
      <w:r w:rsidRPr="00C85F0F">
        <w:rPr>
          <w:rStyle w:val="af1"/>
          <w:szCs w:val="32"/>
          <w:rtl/>
        </w:rPr>
        <w:t>)</w:t>
      </w:r>
      <w:r w:rsidRPr="00C85F0F">
        <w:rPr>
          <w:rFonts w:ascii="Traditional Arabic" w:hAnsi="Traditional Arabic" w:hint="cs"/>
          <w:noProof w:val="0"/>
          <w:rtl/>
          <w:lang w:eastAsia="en-US"/>
        </w:rPr>
        <w:t>.</w:t>
      </w:r>
    </w:p>
    <w:p w:rsidR="00AB1A60" w:rsidRPr="00C85F0F" w:rsidRDefault="00065E4B" w:rsidP="00A323FE">
      <w:pPr>
        <w:pStyle w:val="53"/>
        <w:rPr>
          <w:rtl/>
        </w:rPr>
      </w:pPr>
      <w:r w:rsidRPr="00C85F0F">
        <w:rPr>
          <w:rFonts w:hint="cs"/>
          <w:rtl/>
        </w:rPr>
        <w:t>و</w:t>
      </w:r>
      <w:r w:rsidR="004347BB" w:rsidRPr="00C85F0F">
        <w:rPr>
          <w:rFonts w:hint="cs"/>
          <w:rtl/>
        </w:rPr>
        <w:t>معنى</w:t>
      </w:r>
      <w:r w:rsidR="00CD5330">
        <w:rPr>
          <w:rFonts w:hint="cs"/>
          <w:rtl/>
        </w:rPr>
        <w:t xml:space="preserve"> </w:t>
      </w:r>
      <w:r w:rsidR="004347BB" w:rsidRPr="00C85F0F">
        <w:rPr>
          <w:rFonts w:hint="cs"/>
          <w:rtl/>
        </w:rPr>
        <w:t>الفرع في هذه القاعدة:</w:t>
      </w:r>
    </w:p>
    <w:p w:rsidR="00A323FE" w:rsidRDefault="004347BB" w:rsidP="00A323FE">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لاف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الأصل، وهو اسم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لشيء</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بنى على غيره</w:t>
      </w:r>
      <w:r w:rsidRPr="00C85F0F">
        <w:rPr>
          <w:rFonts w:ascii="Traditional Arabic" w:hAnsi="Traditional Arabic" w:hint="cs"/>
          <w:noProof w:val="0"/>
          <w:rtl/>
          <w:lang w:eastAsia="en-US"/>
        </w:rPr>
        <w:t>، وي</w:t>
      </w:r>
      <w:r w:rsidR="00CD5330">
        <w:rPr>
          <w:rFonts w:ascii="Traditional Arabic" w:hAnsi="Traditional Arabic" w:hint="cs"/>
          <w:noProof w:val="0"/>
          <w:rtl/>
          <w:lang w:eastAsia="en-US"/>
        </w:rPr>
        <w:t>َ</w:t>
      </w:r>
      <w:r w:rsidRPr="00C85F0F">
        <w:rPr>
          <w:rFonts w:ascii="Traditional Arabic" w:hAnsi="Traditional Arabic" w:hint="cs"/>
          <w:noProof w:val="0"/>
          <w:rtl/>
          <w:lang w:eastAsia="en-US"/>
        </w:rPr>
        <w:t>تفر</w:t>
      </w:r>
      <w:r w:rsidR="00CD5330">
        <w:rPr>
          <w:rFonts w:ascii="Traditional Arabic" w:hAnsi="Traditional Arabic" w:hint="cs"/>
          <w:noProof w:val="0"/>
          <w:rtl/>
          <w:lang w:eastAsia="en-US"/>
        </w:rPr>
        <w:t>َّ</w:t>
      </w:r>
      <w:r w:rsidRPr="00C85F0F">
        <w:rPr>
          <w:rFonts w:ascii="Traditional Arabic" w:hAnsi="Traditional Arabic" w:hint="cs"/>
          <w:noProof w:val="0"/>
          <w:rtl/>
          <w:lang w:eastAsia="en-US"/>
        </w:rPr>
        <w:t>ع عن أصله</w:t>
      </w:r>
      <w:r w:rsidRPr="00C85F0F">
        <w:rPr>
          <w:rStyle w:val="af1"/>
          <w:szCs w:val="32"/>
          <w:rtl/>
        </w:rPr>
        <w:t>(</w:t>
      </w:r>
      <w:r w:rsidRPr="00C85F0F">
        <w:rPr>
          <w:rStyle w:val="af1"/>
          <w:szCs w:val="32"/>
          <w:rtl/>
        </w:rPr>
        <w:footnoteReference w:id="1039"/>
      </w:r>
      <w:r w:rsidRPr="00C85F0F">
        <w:rPr>
          <w:rStyle w:val="af1"/>
          <w:szCs w:val="32"/>
          <w:rtl/>
        </w:rPr>
        <w:t>)</w:t>
      </w:r>
      <w:r w:rsidRPr="00C85F0F">
        <w:rPr>
          <w:rFonts w:ascii="Traditional Arabic" w:hAnsi="Traditional Arabic"/>
          <w:noProof w:val="0"/>
          <w:sz w:val="44"/>
          <w:szCs w:val="44"/>
          <w:rtl/>
          <w:lang w:eastAsia="en-US"/>
        </w:rPr>
        <w:t>.</w:t>
      </w:r>
    </w:p>
    <w:p w:rsidR="00065E4B" w:rsidRPr="00C85F0F" w:rsidRDefault="004347BB" w:rsidP="00A323FE">
      <w:pPr>
        <w:pStyle w:val="53"/>
        <w:rPr>
          <w:rtl/>
        </w:rPr>
      </w:pPr>
      <w:r w:rsidRPr="00C85F0F">
        <w:rPr>
          <w:rFonts w:hint="cs"/>
          <w:rtl/>
        </w:rPr>
        <w:lastRenderedPageBreak/>
        <w:t>معنى القاعدة إجمالا:</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ه</w:t>
      </w:r>
      <w:r w:rsidR="004347BB" w:rsidRPr="00C85F0F">
        <w:rPr>
          <w:rFonts w:ascii="Traditional Arabic" w:hAnsi="Traditional Arabic" w:hint="cs"/>
          <w:noProof w:val="0"/>
          <w:color w:val="auto"/>
          <w:rtl/>
          <w:lang w:eastAsia="en-US"/>
        </w:rPr>
        <w:t>ذه القاعدة مطَّردة في المحسوسات والمعقولات؛ لأنه إذا انهدم الأساس انهدم ما بُني عليه،</w:t>
      </w:r>
      <w:r w:rsidR="00CD5330">
        <w:rPr>
          <w:rFonts w:ascii="Traditional Arabic" w:hAnsi="Traditional Arabic" w:hint="cs"/>
          <w:noProof w:val="0"/>
          <w:color w:val="auto"/>
          <w:rtl/>
          <w:lang w:eastAsia="en-US"/>
        </w:rPr>
        <w:t xml:space="preserve"> </w:t>
      </w:r>
      <w:r w:rsidR="004347BB" w:rsidRPr="00C85F0F">
        <w:rPr>
          <w:rFonts w:ascii="Traditional Arabic" w:hAnsi="Traditional Arabic" w:hint="cs"/>
          <w:noProof w:val="0"/>
          <w:color w:val="auto"/>
          <w:rtl/>
          <w:lang w:eastAsia="en-US"/>
        </w:rPr>
        <w:t>وهي من القواعد المنبثِقة عن قاعدة "التابع تابع"؛ فإن التابع يتبع المتبوع وجودا وعدما في غالب الأحوال.</w:t>
      </w:r>
    </w:p>
    <w:p w:rsidR="004347B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ف</w:t>
      </w:r>
      <w:r w:rsidR="004347BB" w:rsidRPr="00C85F0F">
        <w:rPr>
          <w:rFonts w:ascii="Traditional Arabic" w:hAnsi="Traditional Arabic"/>
          <w:noProof w:val="0"/>
          <w:color w:val="auto"/>
          <w:rtl/>
          <w:lang w:eastAsia="en-US"/>
        </w:rPr>
        <w:t>الشيء الذي يكون وجود</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ه أصلاً لوجود</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 xml:space="preserve"> شيء آخ</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ر ي</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ت</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بعه في الوجود</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 xml:space="preserve"> يكون ذلك الفرع</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 xml:space="preserve"> م</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ب</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تنىً عليه، فإذا سقط الأصل سقط الفرع المبني</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 xml:space="preserve"> عليه، ولا عكس، فلا يلزم من سقوط الفرع سقوط الأصل</w:t>
      </w:r>
      <w:r w:rsidR="004347BB" w:rsidRPr="00C85F0F">
        <w:rPr>
          <w:rStyle w:val="af1"/>
          <w:szCs w:val="32"/>
          <w:rtl/>
        </w:rPr>
        <w:t>(</w:t>
      </w:r>
      <w:r w:rsidR="004347BB" w:rsidRPr="00C85F0F">
        <w:rPr>
          <w:rStyle w:val="af1"/>
          <w:szCs w:val="32"/>
          <w:rtl/>
        </w:rPr>
        <w:footnoteReference w:id="1040"/>
      </w:r>
      <w:r w:rsidR="004347BB" w:rsidRPr="00C85F0F">
        <w:rPr>
          <w:rStyle w:val="af1"/>
          <w:szCs w:val="32"/>
          <w:rtl/>
        </w:rPr>
        <w:t>)</w:t>
      </w:r>
      <w:r w:rsidR="004347BB" w:rsidRPr="00C85F0F">
        <w:rPr>
          <w:rFonts w:ascii="Traditional Arabic" w:hAnsi="Traditional Arabic"/>
          <w:noProof w:val="0"/>
          <w:color w:val="auto"/>
          <w:rtl/>
          <w:lang w:eastAsia="en-US"/>
        </w:rPr>
        <w:t>.</w:t>
      </w:r>
    </w:p>
    <w:p w:rsidR="004347BB" w:rsidRPr="00C85F0F" w:rsidRDefault="00CD5330" w:rsidP="00A8347C">
      <w:pPr>
        <w:pStyle w:val="aff3"/>
        <w:rPr>
          <w:rtl/>
        </w:rPr>
      </w:pPr>
      <w:bookmarkStart w:id="203" w:name="_Toc334046434"/>
      <w:r>
        <w:rPr>
          <w:rFonts w:hint="cs"/>
          <w:rtl/>
        </w:rPr>
        <w:t xml:space="preserve">                                          </w:t>
      </w:r>
      <w:r w:rsidR="004347BB" w:rsidRPr="00C85F0F">
        <w:rPr>
          <w:rFonts w:hint="cs"/>
          <w:rtl/>
        </w:rPr>
        <w:t>المطلب الثالث</w:t>
      </w:r>
      <w:r w:rsidR="004347BB" w:rsidRPr="00C85F0F">
        <w:rPr>
          <w:rFonts w:hint="eastAsia"/>
          <w:rtl/>
        </w:rPr>
        <w:t> :</w:t>
      </w:r>
      <w:r w:rsidR="004347BB" w:rsidRPr="00C85F0F">
        <w:rPr>
          <w:rFonts w:hint="cs"/>
          <w:rtl/>
        </w:rPr>
        <w:br/>
      </w:r>
      <w:r>
        <w:rPr>
          <w:rFonts w:hint="cs"/>
          <w:rtl/>
        </w:rPr>
        <w:t xml:space="preserve">                                            </w:t>
      </w:r>
      <w:r w:rsidR="00E73B7B">
        <w:rPr>
          <w:rFonts w:hint="cs"/>
          <w:rtl/>
        </w:rPr>
        <w:t>دليل</w:t>
      </w:r>
      <w:r w:rsidR="004347BB" w:rsidRPr="00C85F0F">
        <w:rPr>
          <w:rFonts w:hint="cs"/>
          <w:rtl/>
        </w:rPr>
        <w:t xml:space="preserve"> القاعدة</w:t>
      </w:r>
      <w:bookmarkEnd w:id="203"/>
    </w:p>
    <w:p w:rsidR="004347BB" w:rsidRPr="00C85F0F" w:rsidRDefault="004347BB" w:rsidP="000A76C7">
      <w:pPr>
        <w:pStyle w:val="afc"/>
        <w:widowControl/>
        <w:numPr>
          <w:ilvl w:val="0"/>
          <w:numId w:val="146"/>
        </w:numPr>
        <w:autoSpaceDE w:val="0"/>
        <w:autoSpaceDN w:val="0"/>
        <w:adjustRightInd w:val="0"/>
        <w:rPr>
          <w:rFonts w:ascii="Traditional Arabic" w:hAnsi="Traditional Arabic"/>
          <w:noProof w:val="0"/>
          <w:color w:val="auto"/>
          <w:lang w:eastAsia="en-US"/>
        </w:rPr>
      </w:pPr>
      <w:r w:rsidRPr="00C85F0F">
        <w:rPr>
          <w:rFonts w:ascii="Traditional Arabic" w:hAnsi="Traditional Arabic" w:hint="cs"/>
          <w:noProof w:val="0"/>
          <w:color w:val="auto"/>
          <w:rtl/>
          <w:lang w:eastAsia="en-US"/>
        </w:rPr>
        <w:t>قوله تعالى:</w:t>
      </w:r>
      <w:bookmarkStart w:id="204" w:name="سورة_الفرقان_23"/>
      <w:r w:rsidR="007A6CF4" w:rsidRPr="00AC6E31">
        <w:rPr>
          <w:rFonts w:ascii="QCF_BSML" w:hAnsi="QCF_BSML" w:cs="QCF_BSML"/>
          <w:noProof w:val="0"/>
          <w:color w:val="auto"/>
          <w:rtl/>
          <w:lang w:eastAsia="en-US"/>
        </w:rPr>
        <w:t>ﭽ</w:t>
      </w:r>
      <w:r w:rsidR="007A6CF4" w:rsidRPr="00AC6E31">
        <w:rPr>
          <w:rFonts w:ascii="QCF_P362" w:hAnsi="QCF_P362" w:cs="QCF_P362"/>
          <w:noProof w:val="0"/>
          <w:color w:val="auto"/>
          <w:rtl/>
          <w:lang w:eastAsia="en-US"/>
        </w:rPr>
        <w:t>ﭲ</w:t>
      </w:r>
      <w:r w:rsidR="0021182F">
        <w:rPr>
          <w:rFonts w:ascii="QCF_P362" w:hAnsi="QCF_P362" w:cs="QCF_P362" w:hint="cs"/>
          <w:noProof w:val="0"/>
          <w:color w:val="auto"/>
          <w:rtl/>
          <w:lang w:eastAsia="en-US"/>
        </w:rPr>
        <w:t xml:space="preserve"> </w:t>
      </w:r>
      <w:r w:rsidR="007A6CF4" w:rsidRPr="00AC6E31">
        <w:rPr>
          <w:rFonts w:ascii="QCF_P362" w:hAnsi="QCF_P362" w:cs="QCF_P362"/>
          <w:noProof w:val="0"/>
          <w:color w:val="auto"/>
          <w:rtl/>
          <w:lang w:eastAsia="en-US"/>
        </w:rPr>
        <w:t>ﭳ</w:t>
      </w:r>
      <w:r w:rsidR="0021182F">
        <w:rPr>
          <w:rFonts w:ascii="QCF_P362" w:hAnsi="QCF_P362" w:cs="QCF_P362" w:hint="cs"/>
          <w:noProof w:val="0"/>
          <w:color w:val="auto"/>
          <w:rtl/>
          <w:lang w:eastAsia="en-US"/>
        </w:rPr>
        <w:t xml:space="preserve"> </w:t>
      </w:r>
      <w:r w:rsidR="007A6CF4" w:rsidRPr="00AC6E31">
        <w:rPr>
          <w:rFonts w:ascii="QCF_P362" w:hAnsi="QCF_P362" w:cs="QCF_P362"/>
          <w:noProof w:val="0"/>
          <w:color w:val="auto"/>
          <w:rtl/>
          <w:lang w:eastAsia="en-US"/>
        </w:rPr>
        <w:t>ﭴ</w:t>
      </w:r>
      <w:r w:rsidR="0021182F">
        <w:rPr>
          <w:rFonts w:ascii="QCF_P362" w:hAnsi="QCF_P362" w:cs="QCF_P362" w:hint="cs"/>
          <w:noProof w:val="0"/>
          <w:color w:val="auto"/>
          <w:rtl/>
          <w:lang w:eastAsia="en-US"/>
        </w:rPr>
        <w:t xml:space="preserve"> </w:t>
      </w:r>
      <w:r w:rsidR="007A6CF4" w:rsidRPr="00AC6E31">
        <w:rPr>
          <w:rFonts w:ascii="QCF_P362" w:hAnsi="QCF_P362" w:cs="QCF_P362"/>
          <w:noProof w:val="0"/>
          <w:color w:val="auto"/>
          <w:rtl/>
          <w:lang w:eastAsia="en-US"/>
        </w:rPr>
        <w:t>ﭵ</w:t>
      </w:r>
      <w:r w:rsidR="0021182F">
        <w:rPr>
          <w:rFonts w:ascii="QCF_P362" w:hAnsi="QCF_P362" w:cs="QCF_P362" w:hint="cs"/>
          <w:noProof w:val="0"/>
          <w:color w:val="auto"/>
          <w:rtl/>
          <w:lang w:eastAsia="en-US"/>
        </w:rPr>
        <w:t xml:space="preserve"> </w:t>
      </w:r>
      <w:r w:rsidR="007A6CF4" w:rsidRPr="00AC6E31">
        <w:rPr>
          <w:rFonts w:ascii="QCF_P362" w:hAnsi="QCF_P362" w:cs="QCF_P362"/>
          <w:noProof w:val="0"/>
          <w:color w:val="auto"/>
          <w:rtl/>
          <w:lang w:eastAsia="en-US"/>
        </w:rPr>
        <w:t>ﭶ</w:t>
      </w:r>
      <w:r w:rsidR="0021182F">
        <w:rPr>
          <w:rFonts w:ascii="QCF_P362" w:hAnsi="QCF_P362" w:cs="QCF_P362" w:hint="cs"/>
          <w:noProof w:val="0"/>
          <w:color w:val="auto"/>
          <w:rtl/>
          <w:lang w:eastAsia="en-US"/>
        </w:rPr>
        <w:t xml:space="preserve"> </w:t>
      </w:r>
      <w:r w:rsidR="007A6CF4" w:rsidRPr="00AC6E31">
        <w:rPr>
          <w:rFonts w:ascii="QCF_P362" w:hAnsi="QCF_P362" w:cs="QCF_P362"/>
          <w:noProof w:val="0"/>
          <w:color w:val="auto"/>
          <w:rtl/>
          <w:lang w:eastAsia="en-US"/>
        </w:rPr>
        <w:t>ﭷ</w:t>
      </w:r>
      <w:r w:rsidR="0021182F">
        <w:rPr>
          <w:rFonts w:ascii="QCF_P362" w:hAnsi="QCF_P362" w:cs="QCF_P362" w:hint="cs"/>
          <w:noProof w:val="0"/>
          <w:color w:val="auto"/>
          <w:rtl/>
          <w:lang w:eastAsia="en-US"/>
        </w:rPr>
        <w:t xml:space="preserve"> </w:t>
      </w:r>
      <w:r w:rsidR="007A6CF4" w:rsidRPr="00AC6E31">
        <w:rPr>
          <w:rFonts w:ascii="QCF_P362" w:hAnsi="QCF_P362" w:cs="QCF_P362"/>
          <w:noProof w:val="0"/>
          <w:color w:val="auto"/>
          <w:rtl/>
          <w:lang w:eastAsia="en-US"/>
        </w:rPr>
        <w:t>ﭸ</w:t>
      </w:r>
      <w:r w:rsidR="0021182F">
        <w:rPr>
          <w:rFonts w:ascii="QCF_P362" w:hAnsi="QCF_P362" w:cs="QCF_P362" w:hint="cs"/>
          <w:noProof w:val="0"/>
          <w:color w:val="auto"/>
          <w:rtl/>
          <w:lang w:eastAsia="en-US"/>
        </w:rPr>
        <w:t xml:space="preserve"> </w:t>
      </w:r>
      <w:r w:rsidR="007A6CF4" w:rsidRPr="00AC6E31">
        <w:rPr>
          <w:rFonts w:ascii="QCF_P362" w:hAnsi="QCF_P362" w:cs="QCF_P362"/>
          <w:noProof w:val="0"/>
          <w:color w:val="auto"/>
          <w:rtl/>
          <w:lang w:eastAsia="en-US"/>
        </w:rPr>
        <w:t>ﭹ</w:t>
      </w:r>
      <w:r w:rsidR="0021182F">
        <w:rPr>
          <w:rFonts w:ascii="QCF_P362" w:hAnsi="QCF_P362" w:cs="QCF_P362" w:hint="cs"/>
          <w:noProof w:val="0"/>
          <w:color w:val="auto"/>
          <w:rtl/>
          <w:lang w:eastAsia="en-US"/>
        </w:rPr>
        <w:t xml:space="preserve"> </w:t>
      </w:r>
      <w:r w:rsidR="007A6CF4" w:rsidRPr="00AC6E31">
        <w:rPr>
          <w:rFonts w:ascii="QCF_P362" w:hAnsi="QCF_P362" w:cs="QCF_P362"/>
          <w:noProof w:val="0"/>
          <w:color w:val="auto"/>
          <w:rtl/>
          <w:lang w:eastAsia="en-US"/>
        </w:rPr>
        <w:t>ﭺ</w:t>
      </w:r>
      <w:r w:rsidR="007A6CF4" w:rsidRPr="00AC6E31">
        <w:rPr>
          <w:rFonts w:ascii="QCF_BSML" w:hAnsi="QCF_BSML" w:cs="QCF_BSML"/>
          <w:noProof w:val="0"/>
          <w:color w:val="auto"/>
          <w:rtl/>
          <w:lang w:eastAsia="en-US"/>
        </w:rPr>
        <w:t>ﭼ</w:t>
      </w:r>
      <w:bookmarkEnd w:id="204"/>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الفرقان: ٢٣</w:t>
      </w:r>
      <w:r w:rsidRPr="00C85F0F">
        <w:rPr>
          <w:rFonts w:ascii="Traditional Arabic" w:hAnsi="Traditional Arabic" w:hint="cs"/>
          <w:noProof w:val="0"/>
          <w:color w:val="auto"/>
          <w:rtl/>
          <w:lang w:eastAsia="en-US"/>
        </w:rPr>
        <w:t>].</w:t>
      </w:r>
    </w:p>
    <w:p w:rsidR="004347BB" w:rsidRPr="00C85F0F" w:rsidRDefault="004347BB" w:rsidP="00A323FE">
      <w:pPr>
        <w:pStyle w:val="53"/>
        <w:rPr>
          <w:rtl/>
        </w:rPr>
      </w:pPr>
      <w:r w:rsidRPr="00A323FE">
        <w:rPr>
          <w:rFonts w:hint="cs"/>
          <w:rtl/>
        </w:rPr>
        <w:t>وجه</w:t>
      </w:r>
      <w:r w:rsidRPr="00C85F0F">
        <w:rPr>
          <w:rFonts w:hint="cs"/>
          <w:rtl/>
        </w:rPr>
        <w:t xml:space="preserve"> الدلالة:</w:t>
      </w:r>
    </w:p>
    <w:p w:rsidR="004347BB" w:rsidRPr="00C85F0F" w:rsidRDefault="004347B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أشارت الآية الكريمة إلى أن أعمال الكفار الصالحة في الدنيا تصبح يوم القيامة هباءً منثورا مثل الغبار؛ وذلك أن الإيمان بالله تعالى أصل وجميع الأعمال فروعُه، فإذا زال الإيمان حَبِطت الأعمال، لأن اعتبارها مبنيٌّ عليه</w:t>
      </w:r>
      <w:r w:rsidRPr="00C85F0F">
        <w:rPr>
          <w:rStyle w:val="af1"/>
          <w:szCs w:val="32"/>
          <w:rtl/>
        </w:rPr>
        <w:t>(</w:t>
      </w:r>
      <w:r w:rsidRPr="00C85F0F">
        <w:rPr>
          <w:rStyle w:val="af1"/>
          <w:szCs w:val="32"/>
          <w:rtl/>
        </w:rPr>
        <w:footnoteReference w:id="1041"/>
      </w:r>
      <w:r w:rsidRPr="00C85F0F">
        <w:rPr>
          <w:rStyle w:val="af1"/>
          <w:szCs w:val="32"/>
          <w:rtl/>
        </w:rPr>
        <w:t>)</w:t>
      </w:r>
      <w:r w:rsidRPr="00C85F0F">
        <w:rPr>
          <w:rFonts w:ascii="Traditional Arabic" w:hAnsi="Traditional Arabic" w:hint="cs"/>
          <w:noProof w:val="0"/>
          <w:color w:val="auto"/>
          <w:rtl/>
          <w:lang w:eastAsia="en-US"/>
        </w:rPr>
        <w:t>.</w:t>
      </w:r>
    </w:p>
    <w:p w:rsidR="004347BB" w:rsidRPr="004347BB" w:rsidRDefault="0021182F" w:rsidP="00A8347C">
      <w:pPr>
        <w:pStyle w:val="aff3"/>
        <w:rPr>
          <w:rtl/>
        </w:rPr>
      </w:pPr>
      <w:bookmarkStart w:id="205" w:name="_Toc334046435"/>
      <w:r>
        <w:rPr>
          <w:rFonts w:hint="cs"/>
          <w:rtl/>
        </w:rPr>
        <w:lastRenderedPageBreak/>
        <w:t xml:space="preserve">                                           </w:t>
      </w:r>
      <w:r w:rsidR="004347BB" w:rsidRPr="004347BB">
        <w:rPr>
          <w:rFonts w:hint="cs"/>
          <w:rtl/>
        </w:rPr>
        <w:t>المطلب الرابع</w:t>
      </w:r>
      <w:r w:rsidR="004347BB">
        <w:rPr>
          <w:rFonts w:hint="eastAsia"/>
          <w:rtl/>
        </w:rPr>
        <w:t> :</w:t>
      </w:r>
      <w:r w:rsidR="004347BB">
        <w:rPr>
          <w:rFonts w:hint="cs"/>
          <w:rtl/>
        </w:rPr>
        <w:br/>
      </w:r>
      <w:r>
        <w:rPr>
          <w:rFonts w:hint="cs"/>
          <w:rtl/>
        </w:rPr>
        <w:t xml:space="preserve">                                          </w:t>
      </w:r>
      <w:r w:rsidR="004347BB" w:rsidRPr="004347BB">
        <w:rPr>
          <w:rFonts w:hint="cs"/>
          <w:rtl/>
        </w:rPr>
        <w:t>تطبيقات القاعدة</w:t>
      </w:r>
      <w:bookmarkEnd w:id="205"/>
    </w:p>
    <w:p w:rsidR="00065E4B" w:rsidRPr="004945A5" w:rsidRDefault="004347BB" w:rsidP="000A76C7">
      <w:pPr>
        <w:pStyle w:val="afc"/>
        <w:widowControl/>
        <w:numPr>
          <w:ilvl w:val="0"/>
          <w:numId w:val="147"/>
        </w:numPr>
        <w:autoSpaceDE w:val="0"/>
        <w:autoSpaceDN w:val="0"/>
        <w:adjustRightInd w:val="0"/>
        <w:rPr>
          <w:rFonts w:ascii="Simplified Arabic" w:hAnsi="Simplified Arabic" w:cs="Simplified Arabic"/>
          <w:noProof w:val="0"/>
          <w:color w:val="auto"/>
          <w:rtl/>
          <w:lang w:eastAsia="en-US"/>
        </w:rPr>
      </w:pPr>
      <w:r w:rsidRPr="004945A5">
        <w:rPr>
          <w:rFonts w:ascii="Traditional Arabic" w:hAnsi="Traditional Arabic"/>
          <w:noProof w:val="0"/>
          <w:color w:val="auto"/>
          <w:rtl/>
          <w:lang w:eastAsia="en-US"/>
        </w:rPr>
        <w:t>إذا أ</w:t>
      </w:r>
      <w:r w:rsidR="009A2645">
        <w:rPr>
          <w:rFonts w:ascii="Traditional Arabic" w:hAnsi="Traditional Arabic" w:hint="cs"/>
          <w:noProof w:val="0"/>
          <w:color w:val="auto"/>
          <w:rtl/>
          <w:lang w:eastAsia="en-US"/>
        </w:rPr>
        <w:t>َ</w:t>
      </w:r>
      <w:r w:rsidRPr="004945A5">
        <w:rPr>
          <w:rFonts w:ascii="Traditional Arabic" w:hAnsi="Traditional Arabic"/>
          <w:noProof w:val="0"/>
          <w:color w:val="auto"/>
          <w:rtl/>
          <w:lang w:eastAsia="en-US"/>
        </w:rPr>
        <w:t xml:space="preserve">وفى </w:t>
      </w:r>
      <w:r>
        <w:rPr>
          <w:rFonts w:ascii="Traditional Arabic" w:hAnsi="Traditional Arabic" w:hint="cs"/>
          <w:noProof w:val="0"/>
          <w:color w:val="auto"/>
          <w:rtl/>
          <w:lang w:eastAsia="en-US"/>
        </w:rPr>
        <w:t xml:space="preserve">المضمون عنه ما عليه للمضمون له </w:t>
      </w:r>
      <w:r w:rsidRPr="004945A5">
        <w:rPr>
          <w:rFonts w:ascii="Traditional Arabic" w:hAnsi="Traditional Arabic"/>
          <w:noProof w:val="0"/>
          <w:color w:val="auto"/>
          <w:rtl/>
          <w:lang w:eastAsia="en-US"/>
        </w:rPr>
        <w:t>برئت ذمة</w:t>
      </w:r>
      <w:r w:rsidR="003C3E37">
        <w:rPr>
          <w:rFonts w:ascii="Traditional Arabic" w:hAnsi="Traditional Arabic" w:hint="cs"/>
          <w:noProof w:val="0"/>
          <w:color w:val="auto"/>
          <w:rtl/>
          <w:lang w:eastAsia="en-US"/>
        </w:rPr>
        <w:t xml:space="preserve"> </w:t>
      </w:r>
      <w:r>
        <w:rPr>
          <w:rFonts w:ascii="Traditional Arabic" w:hAnsi="Traditional Arabic"/>
          <w:noProof w:val="0"/>
          <w:color w:val="auto"/>
          <w:rtl/>
          <w:lang w:eastAsia="en-US"/>
        </w:rPr>
        <w:t>الضامن؛ لأن الضامن فرع</w:t>
      </w:r>
      <w:r>
        <w:rPr>
          <w:rFonts w:ascii="Traditional Arabic" w:hAnsi="Traditional Arabic" w:hint="cs"/>
          <w:noProof w:val="0"/>
          <w:color w:val="auto"/>
          <w:rtl/>
          <w:lang w:eastAsia="en-US"/>
        </w:rPr>
        <w:t xml:space="preserve"> والمضمون عنه أصل،</w:t>
      </w:r>
      <w:r>
        <w:rPr>
          <w:rFonts w:ascii="Traditional Arabic" w:hAnsi="Traditional Arabic"/>
          <w:noProof w:val="0"/>
          <w:color w:val="auto"/>
          <w:rtl/>
          <w:lang w:eastAsia="en-US"/>
        </w:rPr>
        <w:t xml:space="preserve"> فإذا بر</w:t>
      </w:r>
      <w:r>
        <w:rPr>
          <w:rFonts w:ascii="Traditional Arabic" w:hAnsi="Traditional Arabic" w:hint="cs"/>
          <w:noProof w:val="0"/>
          <w:color w:val="auto"/>
          <w:rtl/>
          <w:lang w:eastAsia="en-US"/>
        </w:rPr>
        <w:t>ئ</w:t>
      </w:r>
      <w:r>
        <w:rPr>
          <w:rFonts w:ascii="Traditional Arabic" w:hAnsi="Traditional Arabic"/>
          <w:noProof w:val="0"/>
          <w:color w:val="auto"/>
          <w:rtl/>
          <w:lang w:eastAsia="en-US"/>
        </w:rPr>
        <w:t xml:space="preserve"> الأصل بر</w:t>
      </w:r>
      <w:r>
        <w:rPr>
          <w:rFonts w:ascii="Traditional Arabic" w:hAnsi="Traditional Arabic" w:hint="cs"/>
          <w:noProof w:val="0"/>
          <w:color w:val="auto"/>
          <w:rtl/>
          <w:lang w:eastAsia="en-US"/>
        </w:rPr>
        <w:t>ئ</w:t>
      </w:r>
      <w:r w:rsidRPr="004945A5">
        <w:rPr>
          <w:rFonts w:ascii="Traditional Arabic" w:hAnsi="Traditional Arabic"/>
          <w:noProof w:val="0"/>
          <w:color w:val="auto"/>
          <w:rtl/>
          <w:lang w:eastAsia="en-US"/>
        </w:rPr>
        <w:t xml:space="preserve"> الفرع؛ ولأنه إن برئت</w:t>
      </w:r>
      <w:r w:rsidR="00E73B7B">
        <w:rPr>
          <w:rFonts w:ascii="Traditional Arabic" w:hAnsi="Traditional Arabic"/>
          <w:noProof w:val="0"/>
          <w:color w:val="auto"/>
          <w:rtl/>
          <w:lang w:eastAsia="en-US"/>
        </w:rPr>
        <w:t xml:space="preserve"> ذمة المضمون عنه لم يبق </w:t>
      </w:r>
      <w:r w:rsidR="00E73B7B">
        <w:rPr>
          <w:rFonts w:ascii="Traditional Arabic" w:hAnsi="Traditional Arabic" w:hint="cs"/>
          <w:noProof w:val="0"/>
          <w:color w:val="auto"/>
          <w:rtl/>
          <w:lang w:eastAsia="en-US"/>
        </w:rPr>
        <w:t>ما</w:t>
      </w:r>
      <w:r w:rsidRPr="004945A5">
        <w:rPr>
          <w:rFonts w:ascii="Traditional Arabic" w:hAnsi="Traditional Arabic"/>
          <w:noProof w:val="0"/>
          <w:color w:val="auto"/>
          <w:rtl/>
          <w:lang w:eastAsia="en-US"/>
        </w:rPr>
        <w:t xml:space="preserve"> ي</w:t>
      </w:r>
      <w:r>
        <w:rPr>
          <w:rFonts w:ascii="Traditional Arabic" w:hAnsi="Traditional Arabic" w:hint="cs"/>
          <w:noProof w:val="0"/>
          <w:color w:val="auto"/>
          <w:rtl/>
          <w:lang w:eastAsia="en-US"/>
        </w:rPr>
        <w:t>ُ</w:t>
      </w:r>
      <w:r w:rsidRPr="004945A5">
        <w:rPr>
          <w:rFonts w:ascii="Traditional Arabic" w:hAnsi="Traditional Arabic"/>
          <w:noProof w:val="0"/>
          <w:color w:val="auto"/>
          <w:rtl/>
          <w:lang w:eastAsia="en-US"/>
        </w:rPr>
        <w:t>ضمن</w:t>
      </w:r>
      <w:r w:rsidRPr="00C821A1">
        <w:rPr>
          <w:rStyle w:val="af1"/>
          <w:szCs w:val="32"/>
          <w:rtl/>
        </w:rPr>
        <w:t>(</w:t>
      </w:r>
      <w:r w:rsidRPr="00C821A1">
        <w:rPr>
          <w:rStyle w:val="af1"/>
          <w:szCs w:val="32"/>
          <w:rtl/>
        </w:rPr>
        <w:footnoteReference w:id="1042"/>
      </w:r>
      <w:r w:rsidRPr="00C821A1">
        <w:rPr>
          <w:rStyle w:val="af1"/>
          <w:szCs w:val="32"/>
          <w:rtl/>
        </w:rPr>
        <w:t>)</w:t>
      </w:r>
      <w:r w:rsidRPr="004945A5">
        <w:rPr>
          <w:rFonts w:ascii="Traditional Arabic" w:hAnsi="Traditional Arabic" w:hint="cs"/>
          <w:noProof w:val="0"/>
          <w:color w:val="auto"/>
          <w:rtl/>
          <w:lang w:eastAsia="en-US"/>
        </w:rPr>
        <w:t>.</w:t>
      </w:r>
    </w:p>
    <w:p w:rsidR="00065E4B" w:rsidRDefault="00065E4B" w:rsidP="00597C20">
      <w:pPr>
        <w:pStyle w:val="53"/>
        <w:rPr>
          <w:rtl/>
        </w:rPr>
      </w:pPr>
      <w:r>
        <w:rPr>
          <w:rFonts w:hint="cs"/>
          <w:rtl/>
        </w:rPr>
        <w:t>و</w:t>
      </w:r>
      <w:r w:rsidR="004347BB">
        <w:rPr>
          <w:rFonts w:hint="cs"/>
          <w:rtl/>
        </w:rPr>
        <w:t>جه اندراج الفرع تحت القاعدة:</w:t>
      </w:r>
    </w:p>
    <w:p w:rsidR="004347BB"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ل</w:t>
      </w:r>
      <w:r w:rsidR="004347BB">
        <w:rPr>
          <w:rFonts w:ascii="Traditional Arabic" w:hAnsi="Traditional Arabic" w:hint="cs"/>
          <w:noProof w:val="0"/>
          <w:color w:val="auto"/>
          <w:rtl/>
          <w:lang w:eastAsia="en-US"/>
        </w:rPr>
        <w:t xml:space="preserve">ما أوفى المضمون عنه </w:t>
      </w:r>
      <w:r w:rsidR="00E73B7B">
        <w:rPr>
          <w:rFonts w:ascii="Traditional Arabic" w:hAnsi="Traditional Arabic" w:hint="cs"/>
          <w:noProof w:val="0"/>
          <w:color w:val="auto"/>
          <w:rtl/>
          <w:lang w:eastAsia="en-US"/>
        </w:rPr>
        <w:t xml:space="preserve">ما عليه </w:t>
      </w:r>
      <w:r w:rsidR="004347BB">
        <w:rPr>
          <w:rFonts w:ascii="Traditional Arabic" w:hAnsi="Traditional Arabic" w:hint="cs"/>
          <w:noProof w:val="0"/>
          <w:color w:val="auto"/>
          <w:rtl/>
          <w:lang w:eastAsia="en-US"/>
        </w:rPr>
        <w:t>سقطت المطالبة</w:t>
      </w:r>
      <w:r w:rsidR="00E73B7B">
        <w:rPr>
          <w:rFonts w:ascii="Traditional Arabic" w:hAnsi="Traditional Arabic" w:hint="cs"/>
          <w:noProof w:val="0"/>
          <w:color w:val="auto"/>
          <w:rtl/>
          <w:lang w:eastAsia="en-US"/>
        </w:rPr>
        <w:t>ُ</w:t>
      </w:r>
      <w:r w:rsidR="004347BB">
        <w:rPr>
          <w:rFonts w:ascii="Traditional Arabic" w:hAnsi="Traditional Arabic" w:hint="cs"/>
          <w:noProof w:val="0"/>
          <w:color w:val="auto"/>
          <w:rtl/>
          <w:lang w:eastAsia="en-US"/>
        </w:rPr>
        <w:t xml:space="preserve"> له من المضمون له، وبالتالي تسقط المطالبة للضامن؛ لأن الضامن فرع والمضمون عنه أصل، وإذا سقط الأصل سقط الفرع.</w:t>
      </w:r>
    </w:p>
    <w:p w:rsidR="00065E4B" w:rsidRPr="00965FCE" w:rsidRDefault="004347BB" w:rsidP="000A76C7">
      <w:pPr>
        <w:pStyle w:val="afc"/>
        <w:widowControl/>
        <w:numPr>
          <w:ilvl w:val="0"/>
          <w:numId w:val="147"/>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إذا مات المكفول برئ الكفيل؛ </w:t>
      </w:r>
      <w:r w:rsidR="00E73B7B">
        <w:rPr>
          <w:rFonts w:ascii="Traditional Arabic" w:hAnsi="Traditional Arabic"/>
          <w:noProof w:val="0"/>
          <w:rtl/>
          <w:lang w:eastAsia="en-US"/>
        </w:rPr>
        <w:t xml:space="preserve">لأنه </w:t>
      </w:r>
      <w:r w:rsidR="00E73B7B">
        <w:rPr>
          <w:rFonts w:ascii="Traditional Arabic" w:hAnsi="Traditional Arabic" w:hint="cs"/>
          <w:noProof w:val="0"/>
          <w:rtl/>
          <w:lang w:eastAsia="en-US"/>
        </w:rPr>
        <w:t>بموته</w:t>
      </w:r>
      <w:r w:rsidR="00E73B7B">
        <w:rPr>
          <w:rFonts w:ascii="Traditional Arabic" w:hAnsi="Traditional Arabic"/>
          <w:noProof w:val="0"/>
          <w:rtl/>
          <w:lang w:eastAsia="en-US"/>
        </w:rPr>
        <w:t xml:space="preserve"> </w:t>
      </w:r>
      <w:r w:rsidRPr="00965FCE">
        <w:rPr>
          <w:rFonts w:ascii="Traditional Arabic" w:hAnsi="Traditional Arabic"/>
          <w:noProof w:val="0"/>
          <w:rtl/>
          <w:lang w:eastAsia="en-US"/>
        </w:rPr>
        <w:t>لا يمكن إحضار</w:t>
      </w:r>
      <w:r>
        <w:rPr>
          <w:rFonts w:ascii="Traditional Arabic" w:hAnsi="Traditional Arabic" w:hint="cs"/>
          <w:noProof w:val="0"/>
          <w:rtl/>
          <w:lang w:eastAsia="en-US"/>
        </w:rPr>
        <w:t>ُ</w:t>
      </w:r>
      <w:r w:rsidRPr="00965FCE">
        <w:rPr>
          <w:rFonts w:ascii="Traditional Arabic" w:hAnsi="Traditional Arabic"/>
          <w:noProof w:val="0"/>
          <w:rtl/>
          <w:lang w:eastAsia="en-US"/>
        </w:rPr>
        <w:t>ه</w:t>
      </w:r>
      <w:r>
        <w:rPr>
          <w:rFonts w:ascii="Traditional Arabic" w:hAnsi="Traditional Arabic" w:hint="cs"/>
          <w:noProof w:val="0"/>
          <w:color w:val="auto"/>
          <w:rtl/>
          <w:lang w:eastAsia="en-US"/>
        </w:rPr>
        <w:t xml:space="preserve">، وإذا سلَّم المكفول نفسَه برئ الكفيل كذلك؛ </w:t>
      </w:r>
      <w:r>
        <w:rPr>
          <w:rFonts w:ascii="Traditional Arabic" w:hAnsi="Traditional Arabic"/>
          <w:noProof w:val="0"/>
          <w:rtl/>
          <w:lang w:eastAsia="en-US"/>
        </w:rPr>
        <w:t>لأن</w:t>
      </w:r>
      <w:r>
        <w:rPr>
          <w:rFonts w:ascii="Traditional Arabic" w:hAnsi="Traditional Arabic" w:hint="cs"/>
          <w:noProof w:val="0"/>
          <w:rtl/>
          <w:lang w:eastAsia="en-US"/>
        </w:rPr>
        <w:t xml:space="preserve"> الكفيل</w:t>
      </w:r>
      <w:r>
        <w:rPr>
          <w:rFonts w:ascii="Traditional Arabic" w:hAnsi="Traditional Arabic"/>
          <w:noProof w:val="0"/>
          <w:rtl/>
          <w:lang w:eastAsia="en-US"/>
        </w:rPr>
        <w:t xml:space="preserve"> إنما التزم بإحضار ب</w:t>
      </w:r>
      <w:r>
        <w:rPr>
          <w:rFonts w:ascii="Traditional Arabic" w:hAnsi="Traditional Arabic" w:hint="cs"/>
          <w:noProof w:val="0"/>
          <w:rtl/>
          <w:lang w:eastAsia="en-US"/>
        </w:rPr>
        <w:t>َ</w:t>
      </w:r>
      <w:r>
        <w:rPr>
          <w:rFonts w:ascii="Traditional Arabic" w:hAnsi="Traditional Arabic"/>
          <w:noProof w:val="0"/>
          <w:rtl/>
          <w:lang w:eastAsia="en-US"/>
        </w:rPr>
        <w:t>د</w:t>
      </w:r>
      <w:r>
        <w:rPr>
          <w:rFonts w:ascii="Traditional Arabic" w:hAnsi="Traditional Arabic" w:hint="cs"/>
          <w:noProof w:val="0"/>
          <w:rtl/>
          <w:lang w:eastAsia="en-US"/>
        </w:rPr>
        <w:t>َ</w:t>
      </w:r>
      <w:r>
        <w:rPr>
          <w:rFonts w:ascii="Traditional Arabic" w:hAnsi="Traditional Arabic"/>
          <w:noProof w:val="0"/>
          <w:rtl/>
          <w:lang w:eastAsia="en-US"/>
        </w:rPr>
        <w:t>ن</w:t>
      </w:r>
      <w:r>
        <w:rPr>
          <w:rFonts w:ascii="Traditional Arabic" w:hAnsi="Traditional Arabic" w:hint="cs"/>
          <w:noProof w:val="0"/>
          <w:rtl/>
          <w:lang w:eastAsia="en-US"/>
        </w:rPr>
        <w:t>ِ المكفول،</w:t>
      </w:r>
      <w:r w:rsidR="009A2645">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فلما </w:t>
      </w:r>
      <w:r w:rsidRPr="00965FCE">
        <w:rPr>
          <w:rFonts w:ascii="Traditional Arabic" w:hAnsi="Traditional Arabic"/>
          <w:noProof w:val="0"/>
          <w:rtl/>
          <w:lang w:eastAsia="en-US"/>
        </w:rPr>
        <w:t>حضر</w:t>
      </w:r>
      <w:r>
        <w:rPr>
          <w:rFonts w:ascii="Traditional Arabic" w:hAnsi="Traditional Arabic" w:hint="cs"/>
          <w:noProof w:val="0"/>
          <w:rtl/>
          <w:lang w:eastAsia="en-US"/>
        </w:rPr>
        <w:t xml:space="preserve"> برئت ذمة الكفيل</w:t>
      </w:r>
      <w:r w:rsidRPr="00C821A1">
        <w:rPr>
          <w:rStyle w:val="af1"/>
          <w:szCs w:val="32"/>
          <w:rtl/>
        </w:rPr>
        <w:t>(</w:t>
      </w:r>
      <w:r w:rsidRPr="00C821A1">
        <w:rPr>
          <w:rStyle w:val="af1"/>
          <w:szCs w:val="32"/>
          <w:rtl/>
        </w:rPr>
        <w:footnoteReference w:id="1043"/>
      </w:r>
      <w:r w:rsidRPr="00C821A1">
        <w:rPr>
          <w:rStyle w:val="af1"/>
          <w:szCs w:val="32"/>
          <w:rtl/>
        </w:rPr>
        <w:t>)</w:t>
      </w:r>
      <w:r w:rsidRPr="00965FCE">
        <w:rPr>
          <w:rFonts w:ascii="Traditional Arabic" w:hAnsi="Traditional Arabic"/>
          <w:noProof w:val="0"/>
          <w:rtl/>
          <w:lang w:eastAsia="en-US"/>
        </w:rPr>
        <w:t>.</w:t>
      </w:r>
    </w:p>
    <w:p w:rsidR="00065E4B" w:rsidRDefault="00065E4B" w:rsidP="00597C20">
      <w:pPr>
        <w:pStyle w:val="53"/>
        <w:rPr>
          <w:rtl/>
        </w:rPr>
      </w:pPr>
      <w:r w:rsidRPr="00965FCE">
        <w:rPr>
          <w:rFonts w:hint="cs"/>
          <w:rtl/>
        </w:rPr>
        <w:t>و</w:t>
      </w:r>
      <w:r w:rsidR="004347BB" w:rsidRPr="00965FCE">
        <w:rPr>
          <w:rFonts w:hint="cs"/>
          <w:rtl/>
        </w:rPr>
        <w:t>جه اندراج الفرع تحت القاعدة:</w:t>
      </w:r>
    </w:p>
    <w:p w:rsidR="004347BB" w:rsidRPr="00965FCE"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ل</w:t>
      </w:r>
      <w:r w:rsidR="004347BB">
        <w:rPr>
          <w:rFonts w:ascii="Traditional Arabic" w:hAnsi="Traditional Arabic" w:hint="cs"/>
          <w:noProof w:val="0"/>
          <w:color w:val="auto"/>
          <w:rtl/>
          <w:lang w:eastAsia="en-US"/>
        </w:rPr>
        <w:t>ما سقط الأصل بموت ا</w:t>
      </w:r>
      <w:r w:rsidR="00E73B7B">
        <w:rPr>
          <w:rFonts w:ascii="Traditional Arabic" w:hAnsi="Traditional Arabic" w:hint="cs"/>
          <w:noProof w:val="0"/>
          <w:color w:val="auto"/>
          <w:rtl/>
          <w:lang w:eastAsia="en-US"/>
        </w:rPr>
        <w:t>لمكفول أو تسليمه نفسَه، سقط</w:t>
      </w:r>
      <w:r w:rsidR="004347BB">
        <w:rPr>
          <w:rFonts w:ascii="Traditional Arabic" w:hAnsi="Traditional Arabic" w:hint="cs"/>
          <w:noProof w:val="0"/>
          <w:color w:val="auto"/>
          <w:rtl/>
          <w:lang w:eastAsia="en-US"/>
        </w:rPr>
        <w:t xml:space="preserve"> الفرع وبرئ الكفيل؛ لأنه إذا سقط الأصل سقط الفرع.</w:t>
      </w:r>
    </w:p>
    <w:p w:rsidR="00065E4B" w:rsidRDefault="004347BB" w:rsidP="000A76C7">
      <w:pPr>
        <w:pStyle w:val="afc"/>
        <w:widowControl/>
        <w:numPr>
          <w:ilvl w:val="0"/>
          <w:numId w:val="147"/>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لو أَبْرَأ المرتهِن الراهنَ عن الدين أو وهبه له سقط ضمان الرهن</w:t>
      </w:r>
      <w:r w:rsidRPr="00C821A1">
        <w:rPr>
          <w:rStyle w:val="af1"/>
          <w:szCs w:val="32"/>
          <w:rtl/>
        </w:rPr>
        <w:t>(</w:t>
      </w:r>
      <w:r w:rsidRPr="00C821A1">
        <w:rPr>
          <w:rStyle w:val="af1"/>
          <w:szCs w:val="32"/>
          <w:rtl/>
        </w:rPr>
        <w:footnoteReference w:id="1044"/>
      </w:r>
      <w:r w:rsidRPr="00C821A1">
        <w:rPr>
          <w:rStyle w:val="af1"/>
          <w:szCs w:val="32"/>
          <w:rtl/>
        </w:rPr>
        <w:t>)</w:t>
      </w:r>
      <w:r>
        <w:rPr>
          <w:rFonts w:ascii="Traditional Arabic" w:hAnsi="Traditional Arabic" w:hint="cs"/>
          <w:noProof w:val="0"/>
          <w:color w:val="auto"/>
          <w:rtl/>
          <w:lang w:eastAsia="en-US"/>
        </w:rPr>
        <w:t>.</w:t>
      </w:r>
    </w:p>
    <w:p w:rsidR="00065E4B" w:rsidRPr="00936490" w:rsidRDefault="00065E4B" w:rsidP="00597C20">
      <w:pPr>
        <w:pStyle w:val="53"/>
        <w:rPr>
          <w:rtl/>
        </w:rPr>
      </w:pPr>
      <w:r w:rsidRPr="00936490">
        <w:rPr>
          <w:rFonts w:hint="cs"/>
          <w:rtl/>
        </w:rPr>
        <w:t>و</w:t>
      </w:r>
      <w:r w:rsidR="004347BB" w:rsidRPr="00936490">
        <w:rPr>
          <w:rFonts w:hint="cs"/>
          <w:rtl/>
        </w:rPr>
        <w:t>جه اندراج الفرع تحت القاعدة:</w:t>
      </w:r>
    </w:p>
    <w:p w:rsidR="00F228A9" w:rsidRDefault="009A2645" w:rsidP="009A2645">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الرهن وثيقة</w:t>
      </w:r>
      <w:r w:rsidR="004347BB">
        <w:rPr>
          <w:rFonts w:ascii="Traditional Arabic" w:hAnsi="Traditional Arabic" w:hint="cs"/>
          <w:noProof w:val="0"/>
          <w:color w:val="auto"/>
          <w:rtl/>
          <w:lang w:eastAsia="en-US"/>
        </w:rPr>
        <w:t xml:space="preserve"> يستوثِق بها المرتهِن لاستيفاء دينه فيما إذا لم يوفِّ الراهنُ، فإذا سقط الدين سقط ضمان الرهن وصار الرهن أمانةً بيد ال</w:t>
      </w:r>
      <w:r w:rsidR="00E73B7B">
        <w:rPr>
          <w:rFonts w:ascii="Traditional Arabic" w:hAnsi="Traditional Arabic" w:hint="cs"/>
          <w:noProof w:val="0"/>
          <w:color w:val="auto"/>
          <w:rtl/>
          <w:lang w:eastAsia="en-US"/>
        </w:rPr>
        <w:t>مرتهن</w:t>
      </w:r>
      <w:r w:rsidR="004347BB">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لأن الرهن فرعٌ عن الدين،</w:t>
      </w:r>
      <w:r w:rsidR="004347BB">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 xml:space="preserve">والأصل يسقط بسقوط الفرع، </w:t>
      </w:r>
      <w:r w:rsidR="004347BB">
        <w:rPr>
          <w:rFonts w:ascii="Traditional Arabic" w:hAnsi="Traditional Arabic" w:hint="cs"/>
          <w:noProof w:val="0"/>
          <w:color w:val="auto"/>
          <w:rtl/>
          <w:lang w:eastAsia="en-US"/>
        </w:rPr>
        <w:t>والله أعلم.</w:t>
      </w:r>
    </w:p>
    <w:p w:rsidR="004347BB" w:rsidRDefault="009A2645" w:rsidP="00A8347C">
      <w:pPr>
        <w:pStyle w:val="aff3"/>
        <w:rPr>
          <w:rtl/>
        </w:rPr>
      </w:pPr>
      <w:bookmarkStart w:id="206" w:name="_Toc334046436"/>
      <w:r>
        <w:rPr>
          <w:rFonts w:hint="cs"/>
          <w:rtl/>
        </w:rPr>
        <w:lastRenderedPageBreak/>
        <w:t xml:space="preserve">                                      المطلب الخامس:</w:t>
      </w:r>
      <w:r w:rsidR="004347BB" w:rsidRPr="009A2645">
        <w:rPr>
          <w:rFonts w:hint="cs"/>
          <w:rtl/>
        </w:rPr>
        <w:br/>
      </w:r>
      <w:r w:rsidRPr="009A2645">
        <w:rPr>
          <w:rFonts w:hint="cs"/>
          <w:rtl/>
        </w:rPr>
        <w:t xml:space="preserve">                                     </w:t>
      </w:r>
      <w:bookmarkEnd w:id="206"/>
      <w:r>
        <w:rPr>
          <w:rFonts w:hint="cs"/>
          <w:rtl/>
        </w:rPr>
        <w:t xml:space="preserve"> مستثنيات القاعدة</w:t>
      </w:r>
    </w:p>
    <w:p w:rsidR="00AD6C2A" w:rsidRPr="00AD6C2A" w:rsidRDefault="00AD6C2A" w:rsidP="00A8347C">
      <w:pPr>
        <w:pStyle w:val="aff3"/>
        <w:rPr>
          <w:rtl/>
        </w:rPr>
      </w:pPr>
      <w:r>
        <w:rPr>
          <w:rFonts w:hint="cs"/>
          <w:rtl/>
        </w:rPr>
        <w:t>خرج عن هذه القاعدة مسائل سقط فيها الأصل ولم يسقط الفرع، منها:</w:t>
      </w:r>
    </w:p>
    <w:p w:rsidR="004347BB" w:rsidRPr="00C77AE5" w:rsidRDefault="004347BB" w:rsidP="000A76C7">
      <w:pPr>
        <w:pStyle w:val="afc"/>
        <w:widowControl/>
        <w:numPr>
          <w:ilvl w:val="0"/>
          <w:numId w:val="148"/>
        </w:numPr>
        <w:autoSpaceDE w:val="0"/>
        <w:autoSpaceDN w:val="0"/>
        <w:adjustRightInd w:val="0"/>
        <w:rPr>
          <w:rFonts w:ascii="Traditional Arabic" w:hAnsi="Traditional Arabic"/>
          <w:noProof w:val="0"/>
          <w:lang w:eastAsia="en-US"/>
        </w:rPr>
      </w:pPr>
      <w:r w:rsidRPr="00B976E9">
        <w:rPr>
          <w:rFonts w:ascii="Traditional Arabic" w:hAnsi="Traditional Arabic"/>
          <w:noProof w:val="0"/>
          <w:rtl/>
          <w:lang w:eastAsia="en-US"/>
        </w:rPr>
        <w:t>إذا كفل بنفس المدين فأبرأه الطالب عن الدين</w:t>
      </w:r>
      <w:r w:rsidR="009A2645">
        <w:rPr>
          <w:rFonts w:ascii="Traditional Arabic" w:hAnsi="Traditional Arabic" w:hint="cs"/>
          <w:noProof w:val="0"/>
          <w:rtl/>
          <w:lang w:eastAsia="en-US"/>
        </w:rPr>
        <w:t xml:space="preserve"> فإن الدين </w:t>
      </w:r>
      <w:r w:rsidR="009A2645">
        <w:rPr>
          <w:rFonts w:ascii="Traditional Arabic" w:hAnsi="Traditional Arabic"/>
          <w:noProof w:val="0"/>
          <w:rtl/>
          <w:lang w:eastAsia="en-US"/>
        </w:rPr>
        <w:t>يسقط</w:t>
      </w:r>
      <w:r w:rsidRPr="00B976E9">
        <w:rPr>
          <w:rFonts w:ascii="Traditional Arabic" w:hAnsi="Traditional Arabic"/>
          <w:noProof w:val="0"/>
          <w:rtl/>
          <w:lang w:eastAsia="en-US"/>
        </w:rPr>
        <w:t>، وتبقى كفالة</w:t>
      </w:r>
      <w:r w:rsidR="009A2645">
        <w:rPr>
          <w:rFonts w:ascii="Traditional Arabic" w:hAnsi="Traditional Arabic" w:hint="cs"/>
          <w:noProof w:val="0"/>
          <w:rtl/>
          <w:lang w:eastAsia="en-US"/>
        </w:rPr>
        <w:t xml:space="preserve"> </w:t>
      </w:r>
      <w:r w:rsidRPr="00B976E9">
        <w:rPr>
          <w:rFonts w:ascii="Traditional Arabic" w:hAnsi="Traditional Arabic"/>
          <w:noProof w:val="0"/>
          <w:rtl/>
          <w:lang w:eastAsia="en-US"/>
        </w:rPr>
        <w:t>النفس، فيطال</w:t>
      </w:r>
      <w:r>
        <w:rPr>
          <w:rFonts w:ascii="Traditional Arabic" w:hAnsi="Traditional Arabic" w:hint="cs"/>
          <w:noProof w:val="0"/>
          <w:rtl/>
          <w:lang w:eastAsia="en-US"/>
        </w:rPr>
        <w:t>َ</w:t>
      </w:r>
      <w:r w:rsidRPr="00B976E9">
        <w:rPr>
          <w:rFonts w:ascii="Traditional Arabic" w:hAnsi="Traditional Arabic"/>
          <w:noProof w:val="0"/>
          <w:rtl/>
          <w:lang w:eastAsia="en-US"/>
        </w:rPr>
        <w:t>ب الكفيل بإحضاره، إلا إذا قال الطالب: لا حق لي قِبَلَه - أي المدين - ولا لموك</w:t>
      </w:r>
      <w:r>
        <w:rPr>
          <w:rFonts w:ascii="Traditional Arabic" w:hAnsi="Traditional Arabic" w:hint="cs"/>
          <w:noProof w:val="0"/>
          <w:rtl/>
          <w:lang w:eastAsia="en-US"/>
        </w:rPr>
        <w:t>ِّ</w:t>
      </w:r>
      <w:r w:rsidRPr="00B976E9">
        <w:rPr>
          <w:rFonts w:ascii="Traditional Arabic" w:hAnsi="Traditional Arabic"/>
          <w:noProof w:val="0"/>
          <w:rtl/>
          <w:lang w:eastAsia="en-US"/>
        </w:rPr>
        <w:t>ل</w:t>
      </w:r>
      <w:r>
        <w:rPr>
          <w:rFonts w:ascii="Traditional Arabic" w:hAnsi="Traditional Arabic" w:hint="cs"/>
          <w:noProof w:val="0"/>
          <w:rtl/>
          <w:lang w:eastAsia="en-US"/>
        </w:rPr>
        <w:t>ٍ</w:t>
      </w:r>
      <w:r w:rsidRPr="00B976E9">
        <w:rPr>
          <w:rFonts w:ascii="Traditional Arabic" w:hAnsi="Traditional Arabic"/>
          <w:noProof w:val="0"/>
          <w:rtl/>
          <w:lang w:eastAsia="en-US"/>
        </w:rPr>
        <w:t xml:space="preserve"> لي، ولا لصغيرٍ أنا ولي</w:t>
      </w:r>
      <w:r>
        <w:rPr>
          <w:rFonts w:ascii="Traditional Arabic" w:hAnsi="Traditional Arabic" w:hint="cs"/>
          <w:noProof w:val="0"/>
          <w:rtl/>
          <w:lang w:eastAsia="en-US"/>
        </w:rPr>
        <w:t>ُّ</w:t>
      </w:r>
      <w:r w:rsidRPr="00B976E9">
        <w:rPr>
          <w:rFonts w:ascii="Traditional Arabic" w:hAnsi="Traditional Arabic"/>
          <w:noProof w:val="0"/>
          <w:rtl/>
          <w:lang w:eastAsia="en-US"/>
        </w:rPr>
        <w:t>ه أو وصي</w:t>
      </w:r>
      <w:r>
        <w:rPr>
          <w:rFonts w:ascii="Traditional Arabic" w:hAnsi="Traditional Arabic" w:hint="cs"/>
          <w:noProof w:val="0"/>
          <w:rtl/>
          <w:lang w:eastAsia="en-US"/>
        </w:rPr>
        <w:t>ُّ</w:t>
      </w:r>
      <w:r w:rsidRPr="00B976E9">
        <w:rPr>
          <w:rFonts w:ascii="Traditional Arabic" w:hAnsi="Traditional Arabic"/>
          <w:noProof w:val="0"/>
          <w:rtl/>
          <w:lang w:eastAsia="en-US"/>
        </w:rPr>
        <w:t>ه، ولا لوقف</w:t>
      </w:r>
      <w:r>
        <w:rPr>
          <w:rFonts w:ascii="Traditional Arabic" w:hAnsi="Traditional Arabic" w:hint="cs"/>
          <w:noProof w:val="0"/>
          <w:rtl/>
          <w:lang w:eastAsia="en-US"/>
        </w:rPr>
        <w:t>ٍ</w:t>
      </w:r>
      <w:r w:rsidRPr="00B976E9">
        <w:rPr>
          <w:rFonts w:ascii="Traditional Arabic" w:hAnsi="Traditional Arabic"/>
          <w:noProof w:val="0"/>
          <w:rtl/>
          <w:lang w:eastAsia="en-US"/>
        </w:rPr>
        <w:t xml:space="preserve"> أنا م</w:t>
      </w:r>
      <w:r>
        <w:rPr>
          <w:rFonts w:ascii="Traditional Arabic" w:hAnsi="Traditional Arabic" w:hint="cs"/>
          <w:noProof w:val="0"/>
          <w:rtl/>
          <w:lang w:eastAsia="en-US"/>
        </w:rPr>
        <w:t>ُ</w:t>
      </w:r>
      <w:r w:rsidRPr="00B976E9">
        <w:rPr>
          <w:rFonts w:ascii="Traditional Arabic" w:hAnsi="Traditional Arabic"/>
          <w:noProof w:val="0"/>
          <w:rtl/>
          <w:lang w:eastAsia="en-US"/>
        </w:rPr>
        <w:t>تو</w:t>
      </w:r>
      <w:r>
        <w:rPr>
          <w:rFonts w:ascii="Traditional Arabic" w:hAnsi="Traditional Arabic" w:hint="cs"/>
          <w:noProof w:val="0"/>
          <w:rtl/>
          <w:lang w:eastAsia="en-US"/>
        </w:rPr>
        <w:t>َ</w:t>
      </w:r>
      <w:r w:rsidRPr="00B976E9">
        <w:rPr>
          <w:rFonts w:ascii="Traditional Arabic" w:hAnsi="Traditional Arabic"/>
          <w:noProof w:val="0"/>
          <w:rtl/>
          <w:lang w:eastAsia="en-US"/>
        </w:rPr>
        <w:t>ل</w:t>
      </w:r>
      <w:r>
        <w:rPr>
          <w:rFonts w:ascii="Traditional Arabic" w:hAnsi="Traditional Arabic" w:hint="cs"/>
          <w:noProof w:val="0"/>
          <w:rtl/>
          <w:lang w:eastAsia="en-US"/>
        </w:rPr>
        <w:t>ِّ</w:t>
      </w:r>
      <w:r w:rsidRPr="00B976E9">
        <w:rPr>
          <w:rFonts w:ascii="Traditional Arabic" w:hAnsi="Traditional Arabic"/>
          <w:noProof w:val="0"/>
          <w:rtl/>
          <w:lang w:eastAsia="en-US"/>
        </w:rPr>
        <w:t>يه، فحينئذٍ يبرأ كفيل النفس</w:t>
      </w:r>
      <w:r w:rsidRPr="00C821A1">
        <w:rPr>
          <w:rStyle w:val="af1"/>
          <w:szCs w:val="32"/>
          <w:rtl/>
        </w:rPr>
        <w:t>(</w:t>
      </w:r>
      <w:r w:rsidRPr="00C821A1">
        <w:rPr>
          <w:rStyle w:val="af1"/>
          <w:szCs w:val="32"/>
          <w:rtl/>
        </w:rPr>
        <w:footnoteReference w:id="1045"/>
      </w:r>
      <w:r w:rsidRPr="00C821A1">
        <w:rPr>
          <w:rStyle w:val="af1"/>
          <w:szCs w:val="32"/>
          <w:rtl/>
        </w:rPr>
        <w:t>)</w:t>
      </w:r>
      <w:r w:rsidRPr="00B976E9">
        <w:rPr>
          <w:rFonts w:ascii="Traditional Arabic" w:hAnsi="Traditional Arabic"/>
          <w:noProof w:val="0"/>
          <w:rtl/>
          <w:lang w:eastAsia="en-US"/>
        </w:rPr>
        <w:t>.</w:t>
      </w:r>
    </w:p>
    <w:p w:rsidR="004347BB" w:rsidRDefault="004347BB" w:rsidP="000A76C7">
      <w:pPr>
        <w:pStyle w:val="afc"/>
        <w:widowControl/>
        <w:numPr>
          <w:ilvl w:val="0"/>
          <w:numId w:val="148"/>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لو أقرَّ شخص بأن لزيد على عمرو كذا، وهو كفيلُه، وأنكر عمرو، لَزِمَ الكفيل دون الأصيل، فهنا ثبت الفرع ولم يثبت الأصل</w:t>
      </w:r>
      <w:r w:rsidRPr="00C821A1">
        <w:rPr>
          <w:rStyle w:val="af1"/>
          <w:szCs w:val="32"/>
          <w:rtl/>
        </w:rPr>
        <w:t>(</w:t>
      </w:r>
      <w:r w:rsidRPr="00C821A1">
        <w:rPr>
          <w:rStyle w:val="af1"/>
          <w:szCs w:val="32"/>
          <w:rtl/>
        </w:rPr>
        <w:footnoteReference w:id="1046"/>
      </w:r>
      <w:r w:rsidRPr="00C821A1">
        <w:rPr>
          <w:rStyle w:val="af1"/>
          <w:szCs w:val="32"/>
          <w:rtl/>
        </w:rPr>
        <w:t>)</w:t>
      </w:r>
      <w:r>
        <w:rPr>
          <w:rFonts w:ascii="Traditional Arabic" w:hAnsi="Traditional Arabic" w:hint="cs"/>
          <w:noProof w:val="0"/>
          <w:color w:val="auto"/>
          <w:rtl/>
          <w:lang w:eastAsia="en-US"/>
        </w:rPr>
        <w:t>.</w:t>
      </w:r>
    </w:p>
    <w:p w:rsidR="004347BB" w:rsidRPr="005F53FF" w:rsidRDefault="004347BB" w:rsidP="00597C20">
      <w:pPr>
        <w:pStyle w:val="aff0"/>
        <w:rPr>
          <w:rtl/>
        </w:rPr>
      </w:pPr>
      <w:bookmarkStart w:id="207" w:name="_Toc334046437"/>
      <w:r w:rsidRPr="005F53FF">
        <w:rPr>
          <w:rFonts w:hint="cs"/>
          <w:rtl/>
        </w:rPr>
        <w:lastRenderedPageBreak/>
        <w:t>الفصل السادس</w:t>
      </w:r>
      <w:r w:rsidRPr="005F53FF">
        <w:rPr>
          <w:rFonts w:hint="eastAsia"/>
          <w:rtl/>
        </w:rPr>
        <w:t> :</w:t>
      </w:r>
      <w:r w:rsidRPr="005F53FF">
        <w:rPr>
          <w:rFonts w:hint="cs"/>
          <w:rtl/>
        </w:rPr>
        <w:t>القواعد المتعلقة باليقين</w:t>
      </w:r>
      <w:bookmarkEnd w:id="207"/>
    </w:p>
    <w:p w:rsidR="004347BB" w:rsidRPr="002D7A92" w:rsidRDefault="004347BB"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ستة مباحث:</w:t>
      </w:r>
    </w:p>
    <w:p w:rsidR="004347BB" w:rsidRDefault="004347BB"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قاعدة الأصل بقاء ما كان على ما كان.</w:t>
      </w:r>
    </w:p>
    <w:p w:rsidR="004347BB" w:rsidRPr="00031790" w:rsidRDefault="004347BB" w:rsidP="00597C20">
      <w:pPr>
        <w:tabs>
          <w:tab w:val="left" w:pos="2833"/>
        </w:tabs>
        <w:ind w:left="2833" w:hanging="2268"/>
        <w:jc w:val="left"/>
        <w:rPr>
          <w:rtl/>
        </w:rPr>
      </w:pPr>
      <w:r w:rsidRPr="00FD5687">
        <w:rPr>
          <w:rFonts w:hint="cs"/>
          <w:b/>
          <w:bCs/>
          <w:rtl/>
        </w:rPr>
        <w:t>المبحث الثاني:</w:t>
      </w:r>
      <w:r w:rsidR="002F34AD">
        <w:rPr>
          <w:rFonts w:hint="cs"/>
          <w:rtl/>
        </w:rPr>
        <w:tab/>
      </w:r>
      <w:r w:rsidRPr="00031790">
        <w:rPr>
          <w:rFonts w:hint="cs"/>
          <w:rtl/>
        </w:rPr>
        <w:t>قاعدة الأصل براءة الذمة.</w:t>
      </w:r>
    </w:p>
    <w:p w:rsidR="004347BB" w:rsidRPr="00031790" w:rsidRDefault="004347BB" w:rsidP="00597C20">
      <w:pPr>
        <w:tabs>
          <w:tab w:val="left" w:pos="2833"/>
        </w:tabs>
        <w:ind w:left="2833" w:hanging="2268"/>
        <w:jc w:val="left"/>
        <w:rPr>
          <w:rtl/>
        </w:rPr>
      </w:pPr>
      <w:r w:rsidRPr="00FD5687">
        <w:rPr>
          <w:rFonts w:hint="cs"/>
          <w:b/>
          <w:bCs/>
          <w:rtl/>
        </w:rPr>
        <w:t>المبحث الثالث:</w:t>
      </w:r>
      <w:r w:rsidR="002F34AD">
        <w:rPr>
          <w:rFonts w:hint="cs"/>
          <w:rtl/>
        </w:rPr>
        <w:tab/>
      </w:r>
      <w:r w:rsidRPr="00031790">
        <w:rPr>
          <w:rFonts w:hint="cs"/>
          <w:rtl/>
        </w:rPr>
        <w:t>قاعدة الأصل في العقود والشروط الجواز والصحة.</w:t>
      </w:r>
    </w:p>
    <w:p w:rsidR="004347BB" w:rsidRPr="00031790" w:rsidRDefault="004347BB" w:rsidP="00597C20">
      <w:pPr>
        <w:tabs>
          <w:tab w:val="left" w:pos="2833"/>
        </w:tabs>
        <w:ind w:left="2833" w:hanging="2268"/>
        <w:jc w:val="left"/>
        <w:rPr>
          <w:rtl/>
        </w:rPr>
      </w:pPr>
      <w:r w:rsidRPr="00031790">
        <w:rPr>
          <w:rFonts w:hint="cs"/>
          <w:rtl/>
        </w:rPr>
        <w:t>ا</w:t>
      </w:r>
      <w:r w:rsidRPr="00FD5687">
        <w:rPr>
          <w:rFonts w:hint="cs"/>
          <w:b/>
          <w:bCs/>
          <w:rtl/>
        </w:rPr>
        <w:t>لمبحث الرابع:</w:t>
      </w:r>
      <w:r w:rsidR="002F34AD">
        <w:rPr>
          <w:rFonts w:hint="cs"/>
          <w:rtl/>
        </w:rPr>
        <w:tab/>
      </w:r>
      <w:r w:rsidRPr="00031790">
        <w:rPr>
          <w:rFonts w:hint="cs"/>
          <w:rtl/>
        </w:rPr>
        <w:t>قاعدة العبرة في المعاملات بما في نفس الأمر.</w:t>
      </w:r>
    </w:p>
    <w:p w:rsidR="004347BB" w:rsidRPr="00031790" w:rsidRDefault="004347BB" w:rsidP="00597C20">
      <w:pPr>
        <w:tabs>
          <w:tab w:val="left" w:pos="2833"/>
        </w:tabs>
        <w:ind w:left="2833" w:hanging="2268"/>
        <w:jc w:val="left"/>
        <w:rPr>
          <w:rtl/>
        </w:rPr>
      </w:pPr>
      <w:r w:rsidRPr="00FD5687">
        <w:rPr>
          <w:rFonts w:hint="cs"/>
          <w:b/>
          <w:bCs/>
          <w:rtl/>
        </w:rPr>
        <w:t>المبحث الخامس:</w:t>
      </w:r>
      <w:r w:rsidR="002F34AD">
        <w:rPr>
          <w:rFonts w:hint="cs"/>
          <w:rtl/>
        </w:rPr>
        <w:tab/>
      </w:r>
      <w:r w:rsidRPr="00031790">
        <w:rPr>
          <w:rFonts w:hint="cs"/>
          <w:rtl/>
        </w:rPr>
        <w:t>قاعدة الأصل في أموال المحترمين العصمة.</w:t>
      </w:r>
    </w:p>
    <w:p w:rsidR="004347BB" w:rsidRPr="00031790" w:rsidRDefault="004347BB" w:rsidP="00597C20">
      <w:pPr>
        <w:tabs>
          <w:tab w:val="left" w:pos="2833"/>
        </w:tabs>
        <w:ind w:left="2833" w:hanging="2268"/>
        <w:jc w:val="left"/>
        <w:rPr>
          <w:rtl/>
        </w:rPr>
      </w:pPr>
      <w:r w:rsidRPr="00FD5687">
        <w:rPr>
          <w:rFonts w:hint="cs"/>
          <w:b/>
          <w:bCs/>
          <w:rtl/>
        </w:rPr>
        <w:t>المبحث السادس:</w:t>
      </w:r>
      <w:r w:rsidR="002F34AD">
        <w:rPr>
          <w:rFonts w:hint="cs"/>
          <w:rtl/>
        </w:rPr>
        <w:tab/>
      </w:r>
      <w:r w:rsidRPr="00031790">
        <w:rPr>
          <w:rFonts w:hint="cs"/>
          <w:rtl/>
        </w:rPr>
        <w:t xml:space="preserve">قاعدة </w:t>
      </w:r>
      <w:r w:rsidR="00E0721F">
        <w:rPr>
          <w:rFonts w:hint="cs"/>
          <w:rtl/>
        </w:rPr>
        <w:t>العبرة بالأغلب و</w:t>
      </w:r>
      <w:r w:rsidRPr="00031790">
        <w:rPr>
          <w:rFonts w:hint="cs"/>
          <w:rtl/>
        </w:rPr>
        <w:t>النادر لا حكم له.</w:t>
      </w:r>
    </w:p>
    <w:p w:rsidR="004347BB" w:rsidRPr="00C85F0F" w:rsidRDefault="004347BB" w:rsidP="000F5C0F">
      <w:pPr>
        <w:pStyle w:val="aff2"/>
        <w:rPr>
          <w:rtl/>
        </w:rPr>
      </w:pPr>
      <w:bookmarkStart w:id="208" w:name="_Toc334046438"/>
      <w:r w:rsidRPr="004347BB">
        <w:rPr>
          <w:rFonts w:hint="cs"/>
          <w:rtl/>
        </w:rPr>
        <w:lastRenderedPageBreak/>
        <w:t>المبحث الأول</w:t>
      </w:r>
      <w:r>
        <w:rPr>
          <w:rFonts w:hint="eastAsia"/>
          <w:rtl/>
        </w:rPr>
        <w:t> :</w:t>
      </w:r>
      <w:r>
        <w:rPr>
          <w:rFonts w:hint="cs"/>
          <w:rtl/>
        </w:rPr>
        <w:br/>
      </w:r>
      <w:r w:rsidRPr="004347BB">
        <w:rPr>
          <w:rFonts w:hint="cs"/>
          <w:rtl/>
        </w:rPr>
        <w:t>قاعدة</w:t>
      </w:r>
      <w:r>
        <w:rPr>
          <w:rtl/>
        </w:rPr>
        <w:br/>
      </w:r>
      <w:r>
        <w:rPr>
          <w:rFonts w:hint="cs"/>
          <w:rtl/>
        </w:rPr>
        <w:t>"</w:t>
      </w:r>
      <w:r w:rsidRPr="004347BB">
        <w:rPr>
          <w:rFonts w:hint="cs"/>
          <w:rtl/>
        </w:rPr>
        <w:t>الأصل بقاء ما كان على ما كان</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الأصلبقاءماكانعلىماكان</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szCs w:val="32"/>
          <w:vertAlign w:val="superscript"/>
          <w:rtl/>
        </w:rPr>
        <w:t>(</w:t>
      </w:r>
      <w:r w:rsidRPr="00C85F0F">
        <w:rPr>
          <w:szCs w:val="32"/>
          <w:vertAlign w:val="superscript"/>
          <w:rtl/>
        </w:rPr>
        <w:footnoteReference w:id="1047"/>
      </w:r>
      <w:r w:rsidRPr="00C85F0F">
        <w:rPr>
          <w:szCs w:val="32"/>
          <w:vertAlign w:val="superscript"/>
          <w:rtl/>
        </w:rPr>
        <w:t>)</w:t>
      </w:r>
      <w:bookmarkEnd w:id="208"/>
    </w:p>
    <w:p w:rsidR="00065E4B" w:rsidRPr="005B5678" w:rsidRDefault="005B5678" w:rsidP="00A8347C">
      <w:pPr>
        <w:pStyle w:val="aff3"/>
        <w:rPr>
          <w:rtl/>
        </w:rPr>
      </w:pPr>
      <w:bookmarkStart w:id="209" w:name="_Toc334046439"/>
      <w:r>
        <w:rPr>
          <w:rFonts w:hint="cs"/>
          <w:rtl/>
        </w:rPr>
        <w:t xml:space="preserve">                                          </w:t>
      </w:r>
      <w:r w:rsidR="004347BB" w:rsidRPr="005B5678">
        <w:rPr>
          <w:rFonts w:hint="cs"/>
          <w:rtl/>
        </w:rPr>
        <w:t>المطلب الأول</w:t>
      </w:r>
      <w:r w:rsidR="004347BB" w:rsidRPr="005B5678">
        <w:rPr>
          <w:rFonts w:hint="eastAsia"/>
          <w:rtl/>
        </w:rPr>
        <w:t> </w:t>
      </w:r>
      <w:r w:rsidR="004347BB" w:rsidRPr="005B5678">
        <w:rPr>
          <w:rFonts w:hint="cs"/>
          <w:rtl/>
        </w:rPr>
        <w:t>:</w:t>
      </w:r>
      <w:r w:rsidR="004347BB" w:rsidRPr="005B5678">
        <w:rPr>
          <w:rFonts w:hint="cs"/>
          <w:rtl/>
        </w:rPr>
        <w:br/>
      </w:r>
      <w:r w:rsidRPr="005B5678">
        <w:rPr>
          <w:rFonts w:hint="cs"/>
          <w:rtl/>
        </w:rPr>
        <w:t xml:space="preserve">  </w:t>
      </w:r>
      <w:r w:rsidR="00BF452F">
        <w:rPr>
          <w:rFonts w:hint="cs"/>
          <w:rtl/>
        </w:rPr>
        <w:t xml:space="preserve">                     </w:t>
      </w:r>
      <w:r w:rsidR="004347BB" w:rsidRPr="005B5678">
        <w:rPr>
          <w:rFonts w:hint="cs"/>
          <w:rtl/>
        </w:rPr>
        <w:t>صيغ القاعدة عند الشيخ وعند علماء القواعد</w:t>
      </w:r>
      <w:bookmarkEnd w:id="209"/>
    </w:p>
    <w:p w:rsidR="00F228A9" w:rsidRPr="00C85F0F" w:rsidRDefault="00065E4B" w:rsidP="00597C20">
      <w:pPr>
        <w:ind w:firstLine="0"/>
        <w:rPr>
          <w:rtl/>
        </w:rPr>
      </w:pPr>
      <w:r w:rsidRPr="00C85F0F">
        <w:rPr>
          <w:rFonts w:hint="cs"/>
          <w:rtl/>
        </w:rPr>
        <w:t>و</w:t>
      </w:r>
      <w:r w:rsidR="004347BB" w:rsidRPr="00C85F0F">
        <w:rPr>
          <w:rFonts w:hint="cs"/>
          <w:rtl/>
        </w:rPr>
        <w:t xml:space="preserve">ردت هذه القاعدة عند الشيخ ابن عثيمين </w:t>
      </w:r>
      <w:r w:rsidR="009A0575" w:rsidRPr="005D5694">
        <w:rPr>
          <w:rFonts w:ascii="Traditional Arabic" w:hAnsi="Traditional Arabic" w:cs="CTraditional Arabic" w:hint="cs"/>
          <w:rtl/>
        </w:rPr>
        <w:t>/</w:t>
      </w:r>
      <w:r w:rsidR="005B5678">
        <w:rPr>
          <w:rFonts w:hint="cs"/>
          <w:rtl/>
        </w:rPr>
        <w:t xml:space="preserve">_ </w:t>
      </w:r>
      <w:r w:rsidR="004347BB" w:rsidRPr="00C85F0F">
        <w:rPr>
          <w:rFonts w:hint="cs"/>
          <w:rtl/>
        </w:rPr>
        <w:t>بصيغتين:</w:t>
      </w:r>
    </w:p>
    <w:p w:rsidR="00F228A9" w:rsidRPr="00C85F0F" w:rsidRDefault="00F228A9" w:rsidP="000A76C7">
      <w:pPr>
        <w:pStyle w:val="afc"/>
        <w:numPr>
          <w:ilvl w:val="0"/>
          <w:numId w:val="149"/>
        </w:numPr>
      </w:pPr>
      <w:r w:rsidRPr="00C85F0F">
        <w:rPr>
          <w:rFonts w:hint="cs"/>
          <w:rtl/>
        </w:rPr>
        <w:t>الأصل بقاءُ ما كان على ما كان</w:t>
      </w:r>
      <w:r w:rsidRPr="00C85F0F">
        <w:rPr>
          <w:rStyle w:val="af1"/>
          <w:szCs w:val="32"/>
          <w:rtl/>
        </w:rPr>
        <w:t>(</w:t>
      </w:r>
      <w:r w:rsidRPr="00C85F0F">
        <w:rPr>
          <w:rStyle w:val="af1"/>
          <w:szCs w:val="32"/>
          <w:rtl/>
        </w:rPr>
        <w:footnoteReference w:id="1048"/>
      </w:r>
      <w:r w:rsidRPr="00C85F0F">
        <w:rPr>
          <w:rStyle w:val="af1"/>
          <w:szCs w:val="32"/>
          <w:rtl/>
        </w:rPr>
        <w:t>)</w:t>
      </w:r>
      <w:r w:rsidRPr="00C85F0F">
        <w:rPr>
          <w:rFonts w:hint="cs"/>
          <w:rtl/>
        </w:rPr>
        <w:t>.</w:t>
      </w:r>
    </w:p>
    <w:p w:rsidR="00065E4B" w:rsidRPr="00C85F0F" w:rsidRDefault="004347BB" w:rsidP="000A76C7">
      <w:pPr>
        <w:pStyle w:val="afc"/>
        <w:numPr>
          <w:ilvl w:val="0"/>
          <w:numId w:val="149"/>
        </w:numPr>
        <w:rPr>
          <w:rtl/>
        </w:rPr>
      </w:pPr>
      <w:r w:rsidRPr="00C85F0F">
        <w:rPr>
          <w:rFonts w:hint="cs"/>
          <w:rtl/>
        </w:rPr>
        <w:lastRenderedPageBreak/>
        <w:t>كلُّ معلومِ الو</w:t>
      </w:r>
      <w:r w:rsidR="00123FA3">
        <w:rPr>
          <w:rFonts w:hint="cs"/>
          <w:rtl/>
        </w:rPr>
        <w:t>ُ</w:t>
      </w:r>
      <w:r w:rsidRPr="00C85F0F">
        <w:rPr>
          <w:rFonts w:hint="cs"/>
          <w:rtl/>
        </w:rPr>
        <w:t>جودِ فالأصل بقاءُ وجود</w:t>
      </w:r>
      <w:r w:rsidR="00123FA3">
        <w:rPr>
          <w:rFonts w:hint="cs"/>
          <w:rtl/>
        </w:rPr>
        <w:t>ِ</w:t>
      </w:r>
      <w:r w:rsidRPr="00C85F0F">
        <w:rPr>
          <w:rFonts w:hint="cs"/>
          <w:rtl/>
        </w:rPr>
        <w:t>ه، وكل معلومِ العدَم فالأصل بقاءُ عدَم</w:t>
      </w:r>
      <w:r w:rsidR="00123FA3">
        <w:rPr>
          <w:rFonts w:hint="cs"/>
          <w:rtl/>
        </w:rPr>
        <w:t>ِ</w:t>
      </w:r>
      <w:r w:rsidRPr="00C85F0F">
        <w:rPr>
          <w:rFonts w:hint="cs"/>
          <w:rtl/>
        </w:rPr>
        <w:t>ه</w:t>
      </w:r>
      <w:r w:rsidRPr="00C85F0F">
        <w:rPr>
          <w:rStyle w:val="af1"/>
          <w:szCs w:val="32"/>
          <w:rtl/>
        </w:rPr>
        <w:t>(</w:t>
      </w:r>
      <w:r w:rsidRPr="00C85F0F">
        <w:rPr>
          <w:rStyle w:val="af1"/>
          <w:szCs w:val="32"/>
          <w:rtl/>
        </w:rPr>
        <w:footnoteReference w:id="1049"/>
      </w:r>
      <w:r w:rsidRPr="00C85F0F">
        <w:rPr>
          <w:rStyle w:val="af1"/>
          <w:szCs w:val="32"/>
          <w:rtl/>
        </w:rPr>
        <w:t>)</w:t>
      </w:r>
      <w:r w:rsidRPr="00C85F0F">
        <w:rPr>
          <w:rFonts w:hint="cs"/>
          <w:rtl/>
        </w:rPr>
        <w:t>.</w:t>
      </w:r>
    </w:p>
    <w:p w:rsidR="004347BB" w:rsidRPr="00C85F0F" w:rsidRDefault="00065E4B" w:rsidP="00597C20">
      <w:pPr>
        <w:ind w:firstLine="0"/>
        <w:rPr>
          <w:rtl/>
        </w:rPr>
      </w:pPr>
      <w:r w:rsidRPr="00C85F0F">
        <w:rPr>
          <w:rFonts w:hint="cs"/>
          <w:rtl/>
        </w:rPr>
        <w:t>و</w:t>
      </w:r>
      <w:r w:rsidR="004347BB" w:rsidRPr="00C85F0F">
        <w:rPr>
          <w:rFonts w:hint="cs"/>
          <w:rtl/>
        </w:rPr>
        <w:t>وردت هذه القاعدة عند علماء القواعد بعدة صيغ،</w:t>
      </w:r>
      <w:r w:rsidR="005B5678">
        <w:rPr>
          <w:rFonts w:hint="cs"/>
          <w:rtl/>
        </w:rPr>
        <w:t xml:space="preserve"> </w:t>
      </w:r>
      <w:r w:rsidR="004347BB" w:rsidRPr="00C85F0F">
        <w:rPr>
          <w:rFonts w:hint="cs"/>
          <w:rtl/>
        </w:rPr>
        <w:t>منها:</w:t>
      </w:r>
    </w:p>
    <w:p w:rsidR="004347BB" w:rsidRPr="00C85F0F" w:rsidRDefault="004347BB" w:rsidP="000A76C7">
      <w:pPr>
        <w:pStyle w:val="afc"/>
        <w:numPr>
          <w:ilvl w:val="0"/>
          <w:numId w:val="150"/>
        </w:numPr>
      </w:pPr>
      <w:r w:rsidRPr="00C85F0F">
        <w:rPr>
          <w:rFonts w:hint="cs"/>
          <w:rtl/>
        </w:rPr>
        <w:t>الأصل بقاءُ ما كان على ما كان</w:t>
      </w:r>
      <w:r w:rsidRPr="00C85F0F">
        <w:rPr>
          <w:rStyle w:val="af1"/>
          <w:szCs w:val="32"/>
          <w:rtl/>
        </w:rPr>
        <w:t>(</w:t>
      </w:r>
      <w:r w:rsidRPr="00C85F0F">
        <w:rPr>
          <w:rStyle w:val="af1"/>
          <w:szCs w:val="32"/>
          <w:rtl/>
        </w:rPr>
        <w:footnoteReference w:id="1050"/>
      </w:r>
      <w:r w:rsidRPr="00C85F0F">
        <w:rPr>
          <w:rStyle w:val="af1"/>
          <w:szCs w:val="32"/>
          <w:rtl/>
        </w:rPr>
        <w:t>)</w:t>
      </w:r>
      <w:r w:rsidRPr="00C85F0F">
        <w:rPr>
          <w:rFonts w:hint="cs"/>
          <w:rtl/>
        </w:rPr>
        <w:t>.</w:t>
      </w:r>
    </w:p>
    <w:p w:rsidR="004347BB" w:rsidRPr="00C85F0F" w:rsidRDefault="004347BB" w:rsidP="000A76C7">
      <w:pPr>
        <w:pStyle w:val="afc"/>
        <w:numPr>
          <w:ilvl w:val="0"/>
          <w:numId w:val="150"/>
        </w:numPr>
        <w:rPr>
          <w:color w:val="auto"/>
        </w:rPr>
      </w:pPr>
      <w:r w:rsidRPr="00C85F0F">
        <w:rPr>
          <w:rFonts w:ascii="Traditional Arabic" w:hAnsi="Traditional Arabic"/>
          <w:noProof w:val="0"/>
          <w:color w:val="auto"/>
          <w:rtl/>
          <w:lang w:eastAsia="en-US"/>
        </w:rPr>
        <w:t>ا</w:t>
      </w:r>
      <w:r w:rsidRPr="00C85F0F">
        <w:rPr>
          <w:rFonts w:ascii="Traditional Arabic" w:hAnsi="Traditional Arabic" w:hint="cs"/>
          <w:noProof w:val="0"/>
          <w:color w:val="auto"/>
          <w:rtl/>
          <w:lang w:eastAsia="en-US"/>
        </w:rPr>
        <w:t>لأ</w:t>
      </w:r>
      <w:r w:rsidRPr="00C85F0F">
        <w:rPr>
          <w:rFonts w:ascii="Traditional Arabic" w:hAnsi="Traditional Arabic"/>
          <w:noProof w:val="0"/>
          <w:color w:val="auto"/>
          <w:rtl/>
          <w:lang w:eastAsia="en-US"/>
        </w:rPr>
        <w:t>صل بقاءُ الْمُتحقِّقِ فيبقى الأمرُ على ما كان مُتحقِّقا</w:t>
      </w:r>
      <w:r w:rsidRPr="00C85F0F">
        <w:rPr>
          <w:rFonts w:ascii="Traditional Arabic" w:hAnsi="Traditional Arabic" w:hint="cs"/>
          <w:noProof w:val="0"/>
          <w:color w:val="auto"/>
          <w:rtl/>
          <w:lang w:eastAsia="en-US"/>
        </w:rPr>
        <w:t>ً</w:t>
      </w:r>
      <w:r w:rsidRPr="00C85F0F">
        <w:rPr>
          <w:rStyle w:val="af1"/>
          <w:szCs w:val="32"/>
          <w:rtl/>
        </w:rPr>
        <w:t>(</w:t>
      </w:r>
      <w:r w:rsidRPr="00C85F0F">
        <w:rPr>
          <w:rStyle w:val="af1"/>
          <w:szCs w:val="32"/>
          <w:rtl/>
        </w:rPr>
        <w:footnoteReference w:id="1051"/>
      </w:r>
      <w:r w:rsidRPr="00C85F0F">
        <w:rPr>
          <w:rStyle w:val="af1"/>
          <w:szCs w:val="32"/>
          <w:rtl/>
        </w:rPr>
        <w:t>)</w:t>
      </w:r>
      <w:r w:rsidRPr="00C85F0F">
        <w:rPr>
          <w:rFonts w:hint="cs"/>
          <w:color w:val="auto"/>
          <w:rtl/>
        </w:rPr>
        <w:t>.</w:t>
      </w:r>
    </w:p>
    <w:p w:rsidR="004347BB" w:rsidRPr="00C85F0F" w:rsidRDefault="004347BB" w:rsidP="000A76C7">
      <w:pPr>
        <w:pStyle w:val="afc"/>
        <w:numPr>
          <w:ilvl w:val="0"/>
          <w:numId w:val="150"/>
        </w:numPr>
      </w:pPr>
      <w:r w:rsidRPr="00C85F0F">
        <w:rPr>
          <w:rFonts w:hint="cs"/>
          <w:rtl/>
        </w:rPr>
        <w:t>ما ثبت بِزمانٍ يُحكَم بِبقائه ما لم يوجد الْمُزيل</w:t>
      </w:r>
      <w:r w:rsidRPr="00C85F0F">
        <w:rPr>
          <w:rStyle w:val="af1"/>
          <w:szCs w:val="32"/>
          <w:rtl/>
        </w:rPr>
        <w:t>(</w:t>
      </w:r>
      <w:r w:rsidRPr="00C85F0F">
        <w:rPr>
          <w:rStyle w:val="af1"/>
          <w:szCs w:val="32"/>
          <w:rtl/>
        </w:rPr>
        <w:footnoteReference w:id="1052"/>
      </w:r>
      <w:r w:rsidRPr="00C85F0F">
        <w:rPr>
          <w:rStyle w:val="af1"/>
          <w:szCs w:val="32"/>
          <w:rtl/>
        </w:rPr>
        <w:t>)</w:t>
      </w:r>
      <w:r w:rsidRPr="00C85F0F">
        <w:rPr>
          <w:rFonts w:hint="cs"/>
          <w:rtl/>
        </w:rPr>
        <w:t>.</w:t>
      </w:r>
    </w:p>
    <w:p w:rsidR="004347BB" w:rsidRPr="00C85F0F" w:rsidRDefault="004347BB" w:rsidP="000A76C7">
      <w:pPr>
        <w:pStyle w:val="afc"/>
        <w:numPr>
          <w:ilvl w:val="0"/>
          <w:numId w:val="150"/>
        </w:numPr>
      </w:pPr>
      <w:r w:rsidRPr="00C85F0F">
        <w:rPr>
          <w:rFonts w:hint="cs"/>
          <w:rtl/>
        </w:rPr>
        <w:t>إبقاء ما كان أولى</w:t>
      </w:r>
      <w:r w:rsidRPr="00C85F0F">
        <w:rPr>
          <w:rStyle w:val="af1"/>
          <w:szCs w:val="32"/>
          <w:rtl/>
        </w:rPr>
        <w:t>(</w:t>
      </w:r>
      <w:r w:rsidRPr="00C85F0F">
        <w:rPr>
          <w:rStyle w:val="af1"/>
          <w:szCs w:val="32"/>
          <w:rtl/>
        </w:rPr>
        <w:footnoteReference w:id="1053"/>
      </w:r>
      <w:r w:rsidRPr="00C85F0F">
        <w:rPr>
          <w:rStyle w:val="af1"/>
          <w:szCs w:val="32"/>
          <w:rtl/>
        </w:rPr>
        <w:t>)</w:t>
      </w:r>
      <w:r w:rsidRPr="00C85F0F">
        <w:rPr>
          <w:rFonts w:hint="cs"/>
          <w:rtl/>
        </w:rPr>
        <w:t>.</w:t>
      </w:r>
    </w:p>
    <w:p w:rsidR="004347BB" w:rsidRPr="00C85F0F" w:rsidRDefault="004347BB" w:rsidP="000A76C7">
      <w:pPr>
        <w:pStyle w:val="afc"/>
        <w:numPr>
          <w:ilvl w:val="0"/>
          <w:numId w:val="150"/>
        </w:numPr>
      </w:pPr>
      <w:r w:rsidRPr="00C85F0F">
        <w:rPr>
          <w:rFonts w:hint="cs"/>
          <w:rtl/>
        </w:rPr>
        <w:t>بقاءُ ما عُرِف ثبوتُه لِعدم الدليل المزيل لا لوجود الدليل الْمُبَقِّي</w:t>
      </w:r>
      <w:r w:rsidRPr="00C85F0F">
        <w:rPr>
          <w:rStyle w:val="af1"/>
          <w:szCs w:val="32"/>
          <w:rtl/>
        </w:rPr>
        <w:t>(</w:t>
      </w:r>
      <w:r w:rsidRPr="00C85F0F">
        <w:rPr>
          <w:rStyle w:val="af1"/>
          <w:szCs w:val="32"/>
          <w:rtl/>
        </w:rPr>
        <w:footnoteReference w:id="1054"/>
      </w:r>
      <w:r w:rsidRPr="00C85F0F">
        <w:rPr>
          <w:rStyle w:val="af1"/>
          <w:szCs w:val="32"/>
          <w:rtl/>
        </w:rPr>
        <w:t>)</w:t>
      </w:r>
      <w:r w:rsidRPr="00C85F0F">
        <w:rPr>
          <w:rFonts w:hint="cs"/>
          <w:rtl/>
        </w:rPr>
        <w:t>.</w:t>
      </w:r>
    </w:p>
    <w:p w:rsidR="00065E4B" w:rsidRPr="00C85F0F" w:rsidRDefault="005B5678" w:rsidP="00A8347C">
      <w:pPr>
        <w:pStyle w:val="aff3"/>
        <w:rPr>
          <w:rtl/>
        </w:rPr>
      </w:pPr>
      <w:bookmarkStart w:id="210" w:name="_Toc334046440"/>
      <w:r>
        <w:rPr>
          <w:rFonts w:hint="cs"/>
          <w:rtl/>
        </w:rPr>
        <w:lastRenderedPageBreak/>
        <w:t xml:space="preserve">                                        </w:t>
      </w:r>
      <w:r w:rsidR="004347BB" w:rsidRPr="00C85F0F">
        <w:rPr>
          <w:rFonts w:hint="cs"/>
          <w:rtl/>
        </w:rPr>
        <w:t>المطلب الثاني</w:t>
      </w:r>
      <w:r w:rsidR="004347BB" w:rsidRPr="00C85F0F">
        <w:rPr>
          <w:rFonts w:hint="eastAsia"/>
          <w:rtl/>
        </w:rPr>
        <w:t> :</w:t>
      </w:r>
      <w:r w:rsidR="004347BB" w:rsidRPr="00C85F0F">
        <w:rPr>
          <w:rFonts w:hint="cs"/>
          <w:rtl/>
        </w:rPr>
        <w:br/>
      </w:r>
      <w:r>
        <w:rPr>
          <w:rFonts w:hint="cs"/>
          <w:rtl/>
        </w:rPr>
        <w:t xml:space="preserve">                                         </w:t>
      </w:r>
      <w:r w:rsidR="004347BB" w:rsidRPr="00C85F0F">
        <w:rPr>
          <w:rFonts w:hint="cs"/>
          <w:rtl/>
        </w:rPr>
        <w:t>شرح القاعدة</w:t>
      </w:r>
      <w:bookmarkEnd w:id="210"/>
    </w:p>
    <w:p w:rsidR="004347BB" w:rsidRPr="00C85F0F" w:rsidRDefault="004347BB" w:rsidP="00A323FE">
      <w:pPr>
        <w:pStyle w:val="53"/>
        <w:rPr>
          <w:rtl/>
        </w:rPr>
      </w:pPr>
      <w:r w:rsidRPr="00A323FE">
        <w:rPr>
          <w:rFonts w:hint="cs"/>
          <w:rtl/>
        </w:rPr>
        <w:t>الأصل</w:t>
      </w:r>
      <w:r w:rsidRPr="00C85F0F">
        <w:rPr>
          <w:rFonts w:hint="cs"/>
          <w:rtl/>
        </w:rPr>
        <w:t xml:space="preserve"> اصطلاحا:</w:t>
      </w:r>
    </w:p>
    <w:p w:rsidR="00A323FE" w:rsidRDefault="00A323FE" w:rsidP="00EA2BD7">
      <w:pPr>
        <w:ind w:firstLine="720"/>
        <w:rPr>
          <w:rtl/>
        </w:rPr>
      </w:pPr>
      <w:r w:rsidRPr="00A323FE">
        <w:rPr>
          <w:rFonts w:hint="cs"/>
          <w:rtl/>
        </w:rPr>
        <w:t>تقدم تعريفه، و</w:t>
      </w:r>
      <w:r>
        <w:rPr>
          <w:rFonts w:hint="cs"/>
          <w:rtl/>
        </w:rPr>
        <w:t>ذكر معانيه</w:t>
      </w:r>
      <w:r w:rsidRPr="00A323FE">
        <w:rPr>
          <w:rFonts w:hint="cs"/>
          <w:rtl/>
        </w:rPr>
        <w:t>.</w:t>
      </w:r>
    </w:p>
    <w:p w:rsidR="00065E4B" w:rsidRPr="00C85F0F" w:rsidRDefault="004C1165" w:rsidP="004C1165">
      <w:pPr>
        <w:ind w:firstLine="720"/>
        <w:rPr>
          <w:rtl/>
        </w:rPr>
      </w:pPr>
      <w:r w:rsidRPr="00C85F0F">
        <w:rPr>
          <w:rFonts w:hint="cs"/>
          <w:rtl/>
        </w:rPr>
        <w:t>والمعاني المناسبة للأصل في القواعد الفقهية من بين ما تقدم هي:</w:t>
      </w:r>
      <w:r w:rsidR="005B5678">
        <w:rPr>
          <w:rFonts w:hint="cs"/>
          <w:rtl/>
        </w:rPr>
        <w:t xml:space="preserve"> </w:t>
      </w:r>
      <w:r w:rsidR="004347BB" w:rsidRPr="00C85F0F">
        <w:rPr>
          <w:rFonts w:hint="cs"/>
          <w:rtl/>
        </w:rPr>
        <w:t xml:space="preserve">القاعدة المستمرة، </w:t>
      </w:r>
      <w:r w:rsidR="005B5678">
        <w:rPr>
          <w:rFonts w:hint="cs"/>
          <w:rtl/>
        </w:rPr>
        <w:t>و</w:t>
      </w:r>
      <w:r w:rsidR="004347BB" w:rsidRPr="00C85F0F">
        <w:rPr>
          <w:rFonts w:hint="cs"/>
          <w:rtl/>
        </w:rPr>
        <w:t xml:space="preserve">الرُّجْحان، </w:t>
      </w:r>
      <w:r>
        <w:rPr>
          <w:rFonts w:hint="cs"/>
          <w:rtl/>
        </w:rPr>
        <w:t>و</w:t>
      </w:r>
      <w:r w:rsidR="005B5678">
        <w:rPr>
          <w:rFonts w:hint="cs"/>
          <w:rtl/>
        </w:rPr>
        <w:t>الْمُ</w:t>
      </w:r>
      <w:r w:rsidR="004347BB" w:rsidRPr="00C85F0F">
        <w:rPr>
          <w:rFonts w:hint="cs"/>
          <w:rtl/>
        </w:rPr>
        <w:t>ستصحَب</w:t>
      </w:r>
      <w:r w:rsidRPr="00C85F0F">
        <w:rPr>
          <w:rStyle w:val="af1"/>
          <w:szCs w:val="32"/>
          <w:rtl/>
        </w:rPr>
        <w:t>(</w:t>
      </w:r>
      <w:r w:rsidRPr="00C85F0F">
        <w:rPr>
          <w:rStyle w:val="af1"/>
          <w:szCs w:val="32"/>
          <w:rtl/>
        </w:rPr>
        <w:footnoteReference w:id="1055"/>
      </w:r>
      <w:r w:rsidRPr="00C85F0F">
        <w:rPr>
          <w:rStyle w:val="af1"/>
          <w:szCs w:val="32"/>
          <w:rtl/>
        </w:rPr>
        <w:t>)</w:t>
      </w:r>
      <w:r w:rsidR="004347BB" w:rsidRPr="00C85F0F">
        <w:rPr>
          <w:rFonts w:hint="cs"/>
          <w:rtl/>
        </w:rPr>
        <w:t>.</w:t>
      </w:r>
    </w:p>
    <w:p w:rsidR="00065E4B" w:rsidRPr="00C85F0F" w:rsidRDefault="00154102" w:rsidP="004C1165">
      <w:pPr>
        <w:ind w:firstLine="720"/>
        <w:rPr>
          <w:rtl/>
        </w:rPr>
      </w:pPr>
      <w:r w:rsidRPr="00C85F0F">
        <w:rPr>
          <w:rFonts w:hint="cs"/>
          <w:rtl/>
        </w:rPr>
        <w:t>و</w:t>
      </w:r>
      <w:r w:rsidR="004347BB" w:rsidRPr="00C85F0F">
        <w:rPr>
          <w:rFonts w:hint="cs"/>
          <w:rtl/>
        </w:rPr>
        <w:t xml:space="preserve">أقرَبُها إلى معنى القاعدة-و الله أعلم- </w:t>
      </w:r>
      <w:r w:rsidR="00E46FB5">
        <w:rPr>
          <w:rFonts w:hint="cs"/>
          <w:rtl/>
        </w:rPr>
        <w:t xml:space="preserve">هو المعنى الأخير منها </w:t>
      </w:r>
      <w:r w:rsidR="004347BB" w:rsidRPr="00C85F0F">
        <w:rPr>
          <w:rFonts w:hint="cs"/>
          <w:rtl/>
        </w:rPr>
        <w:t xml:space="preserve"> كما سيتبين عند </w:t>
      </w:r>
      <w:r w:rsidR="005B5678">
        <w:rPr>
          <w:rFonts w:hint="cs"/>
          <w:rtl/>
        </w:rPr>
        <w:t>التطرق إلى</w:t>
      </w:r>
      <w:r w:rsidR="004347BB" w:rsidRPr="00C85F0F">
        <w:rPr>
          <w:rFonts w:hint="cs"/>
          <w:rtl/>
        </w:rPr>
        <w:t xml:space="preserve"> معنى القاعدة</w:t>
      </w:r>
      <w:r w:rsidR="004347BB" w:rsidRPr="00C85F0F">
        <w:rPr>
          <w:rStyle w:val="af1"/>
          <w:szCs w:val="32"/>
          <w:rtl/>
        </w:rPr>
        <w:t>(</w:t>
      </w:r>
      <w:r w:rsidR="004347BB" w:rsidRPr="00C85F0F">
        <w:rPr>
          <w:rStyle w:val="af1"/>
          <w:szCs w:val="32"/>
          <w:rtl/>
        </w:rPr>
        <w:footnoteReference w:id="1056"/>
      </w:r>
      <w:r w:rsidR="004347BB" w:rsidRPr="00C85F0F">
        <w:rPr>
          <w:rStyle w:val="af1"/>
          <w:szCs w:val="32"/>
          <w:rtl/>
        </w:rPr>
        <w:t>)</w:t>
      </w:r>
      <w:r w:rsidR="004347BB" w:rsidRPr="00C85F0F">
        <w:rPr>
          <w:rFonts w:hint="cs"/>
          <w:rtl/>
        </w:rPr>
        <w:t>.</w:t>
      </w:r>
    </w:p>
    <w:p w:rsidR="00065E4B" w:rsidRPr="00C85F0F" w:rsidRDefault="00065E4B" w:rsidP="00597C20">
      <w:pPr>
        <w:ind w:firstLine="720"/>
        <w:rPr>
          <w:rtl/>
        </w:rPr>
      </w:pPr>
      <w:r w:rsidRPr="00C85F0F">
        <w:rPr>
          <w:rFonts w:hint="cs"/>
          <w:rtl/>
        </w:rPr>
        <w:t>و</w:t>
      </w:r>
      <w:r w:rsidR="004347BB" w:rsidRPr="00C85F0F">
        <w:rPr>
          <w:rFonts w:hint="cs"/>
          <w:rtl/>
        </w:rPr>
        <w:t xml:space="preserve">عرف الشيخ ابن عثيمين </w:t>
      </w:r>
      <w:r w:rsidR="005B5678">
        <w:rPr>
          <w:rFonts w:hint="cs"/>
          <w:rtl/>
        </w:rPr>
        <w:t>_</w:t>
      </w:r>
      <w:r w:rsidR="009A0575" w:rsidRPr="005D5694">
        <w:rPr>
          <w:rFonts w:ascii="Traditional Arabic" w:hAnsi="Traditional Arabic" w:cs="CTraditional Arabic" w:hint="cs"/>
          <w:rtl/>
        </w:rPr>
        <w:t>/</w:t>
      </w:r>
      <w:r w:rsidR="005B5678">
        <w:rPr>
          <w:rFonts w:hint="cs"/>
          <w:rtl/>
        </w:rPr>
        <w:t>_</w:t>
      </w:r>
      <w:r w:rsidR="004347BB" w:rsidRPr="00C85F0F">
        <w:rPr>
          <w:rFonts w:hint="cs"/>
          <w:rtl/>
        </w:rPr>
        <w:t xml:space="preserve"> الأصل اصطلاحا فقال: (</w:t>
      </w:r>
      <w:r w:rsidR="004347BB" w:rsidRPr="00C85F0F">
        <w:rPr>
          <w:rFonts w:ascii="Traditional Arabic" w:hAnsi="Traditional Arabic"/>
          <w:noProof w:val="0"/>
          <w:rtl/>
          <w:lang w:eastAsia="en-US"/>
        </w:rPr>
        <w:t>أما الأصل في الاصطلاح فإنه يختلف بحس</w:t>
      </w:r>
      <w:r w:rsidR="004347BB" w:rsidRPr="00C85F0F">
        <w:rPr>
          <w:rFonts w:ascii="Traditional Arabic" w:hAnsi="Traditional Arabic" w:hint="cs"/>
          <w:noProof w:val="0"/>
          <w:rtl/>
          <w:lang w:eastAsia="en-US"/>
        </w:rPr>
        <w:t>َ</w:t>
      </w:r>
      <w:r w:rsidR="004347BB" w:rsidRPr="00C85F0F">
        <w:rPr>
          <w:rFonts w:ascii="Traditional Arabic" w:hAnsi="Traditional Arabic"/>
          <w:noProof w:val="0"/>
          <w:rtl/>
          <w:lang w:eastAsia="en-US"/>
        </w:rPr>
        <w:t>ب المواضع، فإذا تكلمنا عن الأدلة فإنما نعني بالأصل الدليل، ولهذا تجد في الكتب التي تعتني بالأدلة، إذا ذكر حكم المسألة قال: والأصل في ذلك قوله تعالى</w:t>
      </w:r>
      <w:r w:rsidR="005B5678">
        <w:rPr>
          <w:rFonts w:ascii="Traditional Arabic" w:hAnsi="Traditional Arabic" w:hint="cs"/>
          <w:noProof w:val="0"/>
          <w:rtl/>
          <w:lang w:eastAsia="en-US"/>
        </w:rPr>
        <w:t>،</w:t>
      </w:r>
      <w:r w:rsidR="004347BB" w:rsidRPr="00C85F0F">
        <w:rPr>
          <w:rFonts w:ascii="Traditional Arabic" w:hAnsi="Traditional Arabic"/>
          <w:noProof w:val="0"/>
          <w:rtl/>
          <w:lang w:eastAsia="en-US"/>
        </w:rPr>
        <w:t xml:space="preserve"> أو قوله </w:t>
      </w:r>
      <w:r w:rsidR="00853E7C">
        <w:rPr>
          <w:rFonts w:ascii="Traditional Arabic" w:hAnsi="Traditional Arabic" w:hint="cs"/>
          <w:rtl/>
        </w:rPr>
        <w:t>صلى الله عليه وسلم</w:t>
      </w:r>
      <w:r w:rsidR="004347BB" w:rsidRPr="00C85F0F">
        <w:rPr>
          <w:rFonts w:ascii="Traditional Arabic" w:hAnsi="Traditional Arabic"/>
          <w:noProof w:val="0"/>
          <w:rtl/>
          <w:lang w:eastAsia="en-US"/>
        </w:rPr>
        <w:t>، وتارة يطلق على كل ما تفرع عنه غير</w:t>
      </w:r>
      <w:r w:rsidR="004347BB" w:rsidRPr="00C85F0F">
        <w:rPr>
          <w:rFonts w:ascii="Traditional Arabic" w:hAnsi="Traditional Arabic" w:hint="cs"/>
          <w:noProof w:val="0"/>
          <w:rtl/>
          <w:lang w:eastAsia="en-US"/>
        </w:rPr>
        <w:t>ُ</w:t>
      </w:r>
      <w:r w:rsidR="004347BB" w:rsidRPr="00C85F0F">
        <w:rPr>
          <w:rFonts w:ascii="Traditional Arabic" w:hAnsi="Traditional Arabic"/>
          <w:noProof w:val="0"/>
          <w:rtl/>
          <w:lang w:eastAsia="en-US"/>
        </w:rPr>
        <w:t>ه كالقواعد والضوابط وما أشبه ذلك</w:t>
      </w:r>
      <w:r w:rsidR="004347BB" w:rsidRPr="00C85F0F">
        <w:rPr>
          <w:rFonts w:hint="cs"/>
          <w:rtl/>
        </w:rPr>
        <w:t>)</w:t>
      </w:r>
      <w:r w:rsidR="004347BB" w:rsidRPr="00C85F0F">
        <w:rPr>
          <w:rStyle w:val="af1"/>
          <w:szCs w:val="32"/>
          <w:rtl/>
        </w:rPr>
        <w:t>(</w:t>
      </w:r>
      <w:r w:rsidR="004347BB" w:rsidRPr="00C85F0F">
        <w:rPr>
          <w:rStyle w:val="af1"/>
          <w:szCs w:val="32"/>
          <w:rtl/>
        </w:rPr>
        <w:footnoteReference w:id="1057"/>
      </w:r>
      <w:r w:rsidR="004347BB" w:rsidRPr="00C85F0F">
        <w:rPr>
          <w:rStyle w:val="af1"/>
          <w:szCs w:val="32"/>
          <w:rtl/>
        </w:rPr>
        <w:t>)</w:t>
      </w:r>
      <w:r w:rsidR="004347BB" w:rsidRPr="00C85F0F">
        <w:rPr>
          <w:rFonts w:hint="cs"/>
          <w:rtl/>
        </w:rPr>
        <w:t>.</w:t>
      </w:r>
    </w:p>
    <w:p w:rsidR="00065E4B" w:rsidRPr="00C85F0F" w:rsidRDefault="00065E4B" w:rsidP="00597C20">
      <w:pPr>
        <w:ind w:firstLine="0"/>
        <w:rPr>
          <w:rtl/>
        </w:rPr>
      </w:pPr>
      <w:r w:rsidRPr="00C85F0F">
        <w:rPr>
          <w:rFonts w:hint="cs"/>
          <w:rtl/>
        </w:rPr>
        <w:t>و</w:t>
      </w:r>
      <w:r w:rsidR="004347BB" w:rsidRPr="00C85F0F">
        <w:rPr>
          <w:rFonts w:hint="cs"/>
          <w:rtl/>
        </w:rPr>
        <w:t xml:space="preserve">يبدو-والله أعلم-أن تعريف الشيخ </w:t>
      </w:r>
      <w:r w:rsidR="00AD6C2A">
        <w:rPr>
          <w:rFonts w:hint="cs"/>
          <w:rtl/>
        </w:rPr>
        <w:t>_</w:t>
      </w:r>
      <w:r w:rsidR="009A0575" w:rsidRPr="005D5694">
        <w:rPr>
          <w:rFonts w:ascii="Traditional Arabic" w:hAnsi="Traditional Arabic" w:cs="CTraditional Arabic" w:hint="cs"/>
          <w:rtl/>
        </w:rPr>
        <w:t>/</w:t>
      </w:r>
      <w:r w:rsidR="00AD6C2A">
        <w:rPr>
          <w:rFonts w:hint="cs"/>
          <w:rtl/>
        </w:rPr>
        <w:t>_</w:t>
      </w:r>
      <w:r w:rsidR="004347BB" w:rsidRPr="00C85F0F">
        <w:rPr>
          <w:rFonts w:hint="cs"/>
          <w:rtl/>
        </w:rPr>
        <w:t xml:space="preserve"> للأصل بالإطلاق الثاني أقرب ما يكون إلى المعنى اللغوي للأصل.</w:t>
      </w:r>
    </w:p>
    <w:p w:rsidR="00065E4B" w:rsidRPr="00C85F0F" w:rsidRDefault="00065E4B" w:rsidP="00EA2BD7">
      <w:pPr>
        <w:pStyle w:val="53"/>
        <w:rPr>
          <w:rtl/>
        </w:rPr>
      </w:pPr>
      <w:r w:rsidRPr="00C85F0F">
        <w:rPr>
          <w:rFonts w:hint="cs"/>
          <w:rtl/>
        </w:rPr>
        <w:lastRenderedPageBreak/>
        <w:t>م</w:t>
      </w:r>
      <w:r w:rsidR="004347BB" w:rsidRPr="00C85F0F">
        <w:rPr>
          <w:rFonts w:hint="cs"/>
          <w:rtl/>
        </w:rPr>
        <w:t>عنى القاعدة إجمالا:</w:t>
      </w:r>
    </w:p>
    <w:p w:rsidR="00065E4B" w:rsidRPr="00C85F0F" w:rsidRDefault="00065E4B" w:rsidP="00597C20">
      <w:pPr>
        <w:ind w:firstLine="720"/>
        <w:rPr>
          <w:rtl/>
        </w:rPr>
      </w:pPr>
      <w:r w:rsidRPr="00C85F0F">
        <w:rPr>
          <w:rFonts w:hint="cs"/>
          <w:rtl/>
        </w:rPr>
        <w:t>ه</w:t>
      </w:r>
      <w:r w:rsidR="004347BB" w:rsidRPr="00C85F0F">
        <w:rPr>
          <w:rFonts w:hint="cs"/>
          <w:rtl/>
        </w:rPr>
        <w:t>ذه القاعدة أصولية فقهية</w:t>
      </w:r>
      <w:r w:rsidR="004347BB" w:rsidRPr="00C85F0F">
        <w:rPr>
          <w:rStyle w:val="af1"/>
          <w:szCs w:val="32"/>
          <w:rtl/>
        </w:rPr>
        <w:t>(</w:t>
      </w:r>
      <w:r w:rsidR="004347BB" w:rsidRPr="00C85F0F">
        <w:rPr>
          <w:rStyle w:val="af1"/>
          <w:szCs w:val="32"/>
          <w:rtl/>
        </w:rPr>
        <w:footnoteReference w:id="1058"/>
      </w:r>
      <w:r w:rsidR="004347BB" w:rsidRPr="00C85F0F">
        <w:rPr>
          <w:rStyle w:val="af1"/>
          <w:szCs w:val="32"/>
          <w:rtl/>
        </w:rPr>
        <w:t>)</w:t>
      </w:r>
      <w:r w:rsidR="004347BB" w:rsidRPr="00C85F0F">
        <w:rPr>
          <w:rFonts w:hint="cs"/>
          <w:rtl/>
        </w:rPr>
        <w:t>،تُذْكَر في كتب القواعد الفقهية من جهة الحكم ببقاء</w:t>
      </w:r>
      <w:r w:rsidR="00AD6C2A">
        <w:rPr>
          <w:rFonts w:hint="cs"/>
          <w:rtl/>
        </w:rPr>
        <w:t xml:space="preserve"> </w:t>
      </w:r>
      <w:r w:rsidR="004347BB" w:rsidRPr="00C85F0F">
        <w:rPr>
          <w:rFonts w:hint="cs"/>
          <w:rtl/>
        </w:rPr>
        <w:t>الحال الماضية</w:t>
      </w:r>
      <w:r w:rsidR="00154102" w:rsidRPr="00C85F0F">
        <w:rPr>
          <w:rFonts w:hint="cs"/>
          <w:rtl/>
        </w:rPr>
        <w:t xml:space="preserve"> و</w:t>
      </w:r>
      <w:r w:rsidR="004347BB" w:rsidRPr="00C85F0F">
        <w:rPr>
          <w:rFonts w:hint="cs"/>
          <w:rtl/>
        </w:rPr>
        <w:t>استمرارها كبقاء الملك</w:t>
      </w:r>
      <w:r w:rsidR="00154102" w:rsidRPr="00C85F0F">
        <w:rPr>
          <w:rFonts w:hint="cs"/>
          <w:rtl/>
        </w:rPr>
        <w:t xml:space="preserve"> و</w:t>
      </w:r>
      <w:r w:rsidR="004347BB" w:rsidRPr="00C85F0F">
        <w:rPr>
          <w:rFonts w:hint="cs"/>
          <w:rtl/>
        </w:rPr>
        <w:t>بقاء العقد</w:t>
      </w:r>
      <w:r w:rsidR="00E46FB5">
        <w:rPr>
          <w:rFonts w:hint="cs"/>
          <w:rtl/>
        </w:rPr>
        <w:t>،</w:t>
      </w:r>
      <w:r w:rsidR="004347BB" w:rsidRPr="00C85F0F">
        <w:rPr>
          <w:rFonts w:hint="cs"/>
          <w:rtl/>
        </w:rPr>
        <w:t xml:space="preserve"> حتى يرد ما يغي</w:t>
      </w:r>
      <w:r w:rsidR="00AD6C2A">
        <w:rPr>
          <w:rFonts w:hint="cs"/>
          <w:rtl/>
        </w:rPr>
        <w:t>ِّر تلك الحال.</w:t>
      </w:r>
    </w:p>
    <w:p w:rsidR="004347BB" w:rsidRPr="00C85F0F" w:rsidRDefault="00065E4B" w:rsidP="00597C20">
      <w:pPr>
        <w:ind w:firstLine="720"/>
        <w:rPr>
          <w:rtl/>
        </w:rPr>
      </w:pPr>
      <w:r w:rsidRPr="00C85F0F">
        <w:rPr>
          <w:rFonts w:hint="cs"/>
          <w:rtl/>
        </w:rPr>
        <w:t>و</w:t>
      </w:r>
      <w:r w:rsidR="004347BB" w:rsidRPr="00C85F0F">
        <w:rPr>
          <w:rFonts w:hint="cs"/>
          <w:rtl/>
        </w:rPr>
        <w:t>تُذكر في كتب أصول الفقه تحت عنوان "الاستصحاب</w:t>
      </w:r>
      <w:r w:rsidR="004347BB" w:rsidRPr="00C85F0F">
        <w:rPr>
          <w:rStyle w:val="af1"/>
          <w:szCs w:val="32"/>
          <w:rtl/>
        </w:rPr>
        <w:t>(</w:t>
      </w:r>
      <w:r w:rsidR="004347BB" w:rsidRPr="00C85F0F">
        <w:rPr>
          <w:rStyle w:val="af1"/>
          <w:szCs w:val="32"/>
          <w:rtl/>
        </w:rPr>
        <w:footnoteReference w:id="1059"/>
      </w:r>
      <w:r w:rsidR="004347BB" w:rsidRPr="00C85F0F">
        <w:rPr>
          <w:rStyle w:val="af1"/>
          <w:szCs w:val="32"/>
          <w:rtl/>
        </w:rPr>
        <w:t>)</w:t>
      </w:r>
      <w:r w:rsidR="004347BB" w:rsidRPr="00C85F0F">
        <w:rPr>
          <w:rFonts w:hint="cs"/>
          <w:rtl/>
        </w:rPr>
        <w:t>"،</w:t>
      </w:r>
      <w:r w:rsidR="00154102" w:rsidRPr="00C85F0F">
        <w:rPr>
          <w:rFonts w:hint="cs"/>
          <w:rtl/>
        </w:rPr>
        <w:t xml:space="preserve"> و</w:t>
      </w:r>
      <w:r w:rsidR="004347BB" w:rsidRPr="00C85F0F">
        <w:rPr>
          <w:rFonts w:hint="cs"/>
          <w:rtl/>
        </w:rPr>
        <w:t>هو من الأدلة الشرعية المختلَف فيها بين الأصوليين</w:t>
      </w:r>
      <w:r w:rsidR="004347BB" w:rsidRPr="00C85F0F">
        <w:rPr>
          <w:rStyle w:val="af1"/>
          <w:szCs w:val="32"/>
          <w:rtl/>
        </w:rPr>
        <w:t>(</w:t>
      </w:r>
      <w:r w:rsidR="004347BB" w:rsidRPr="00C85F0F">
        <w:rPr>
          <w:rStyle w:val="af1"/>
          <w:szCs w:val="32"/>
          <w:rtl/>
        </w:rPr>
        <w:footnoteReference w:id="1060"/>
      </w:r>
      <w:r w:rsidR="004347BB" w:rsidRPr="00C85F0F">
        <w:rPr>
          <w:rStyle w:val="af1"/>
          <w:szCs w:val="32"/>
          <w:rtl/>
        </w:rPr>
        <w:t>)</w:t>
      </w:r>
      <w:r w:rsidR="004347BB" w:rsidRPr="00C85F0F">
        <w:rPr>
          <w:rFonts w:hint="cs"/>
          <w:rtl/>
        </w:rPr>
        <w:t>.</w:t>
      </w:r>
    </w:p>
    <w:p w:rsidR="004347BB" w:rsidRPr="00C85F0F" w:rsidRDefault="004347BB" w:rsidP="00597C20">
      <w:pPr>
        <w:ind w:firstLine="720"/>
        <w:rPr>
          <w:rtl/>
        </w:rPr>
      </w:pPr>
      <w:r w:rsidRPr="00C85F0F">
        <w:rPr>
          <w:rFonts w:hint="cs"/>
          <w:rtl/>
        </w:rPr>
        <w:t>ومعنى القاعدة</w:t>
      </w:r>
      <w:r w:rsidRPr="00C85F0F">
        <w:rPr>
          <w:rStyle w:val="af1"/>
          <w:szCs w:val="32"/>
          <w:rtl/>
        </w:rPr>
        <w:t>(</w:t>
      </w:r>
      <w:r w:rsidRPr="00C85F0F">
        <w:rPr>
          <w:rStyle w:val="af1"/>
          <w:szCs w:val="32"/>
          <w:rtl/>
        </w:rPr>
        <w:footnoteReference w:id="1061"/>
      </w:r>
      <w:r w:rsidRPr="00C85F0F">
        <w:rPr>
          <w:rStyle w:val="af1"/>
          <w:szCs w:val="32"/>
          <w:rtl/>
        </w:rPr>
        <w:t>)</w:t>
      </w:r>
      <w:r w:rsidRPr="00C85F0F">
        <w:rPr>
          <w:rFonts w:hint="cs"/>
          <w:rtl/>
        </w:rPr>
        <w:t xml:space="preserve"> أن الذي ثبت على حالٍ في الزمان الماضي- ثبوتا</w:t>
      </w:r>
      <w:r w:rsidR="00AD6C2A">
        <w:rPr>
          <w:rFonts w:hint="cs"/>
          <w:rtl/>
        </w:rPr>
        <w:t>ً</w:t>
      </w:r>
      <w:r w:rsidRPr="00C85F0F">
        <w:rPr>
          <w:rFonts w:hint="cs"/>
          <w:rtl/>
        </w:rPr>
        <w:t xml:space="preserve"> أو نفيا</w:t>
      </w:r>
      <w:r w:rsidR="00AD6C2A">
        <w:rPr>
          <w:rFonts w:hint="cs"/>
          <w:rtl/>
        </w:rPr>
        <w:t>ً</w:t>
      </w:r>
      <w:r w:rsidRPr="00C85F0F">
        <w:rPr>
          <w:rFonts w:hint="cs"/>
          <w:rtl/>
        </w:rPr>
        <w:t>- يبقى على حاله</w:t>
      </w:r>
      <w:r w:rsidR="00154102" w:rsidRPr="00C85F0F">
        <w:rPr>
          <w:rFonts w:hint="cs"/>
          <w:rtl/>
        </w:rPr>
        <w:t xml:space="preserve"> و</w:t>
      </w:r>
      <w:r w:rsidRPr="00C85F0F">
        <w:rPr>
          <w:rFonts w:hint="cs"/>
          <w:rtl/>
        </w:rPr>
        <w:t>لا يتغيَّر ما لم يوجد دليلٌ يغيِّره</w:t>
      </w:r>
      <w:r w:rsidRPr="00C85F0F">
        <w:rPr>
          <w:rStyle w:val="af1"/>
          <w:szCs w:val="32"/>
          <w:rtl/>
        </w:rPr>
        <w:t>(</w:t>
      </w:r>
      <w:r w:rsidRPr="00C85F0F">
        <w:rPr>
          <w:rStyle w:val="af1"/>
          <w:szCs w:val="32"/>
          <w:rtl/>
        </w:rPr>
        <w:footnoteReference w:id="1062"/>
      </w:r>
      <w:r w:rsidRPr="00C85F0F">
        <w:rPr>
          <w:rStyle w:val="af1"/>
          <w:szCs w:val="32"/>
          <w:rtl/>
        </w:rPr>
        <w:t>)</w:t>
      </w:r>
      <w:r w:rsidRPr="00C85F0F">
        <w:rPr>
          <w:rFonts w:hint="cs"/>
          <w:rtl/>
        </w:rPr>
        <w:t>،فمن استصحب حالا ماضية، فالأصل بقاء ذلك الأمر المتيقَّن، فلا ينتقل عنه بالشك</w:t>
      </w:r>
      <w:r w:rsidRPr="00C85F0F">
        <w:rPr>
          <w:rStyle w:val="af1"/>
          <w:szCs w:val="32"/>
          <w:rtl/>
        </w:rPr>
        <w:t>(</w:t>
      </w:r>
      <w:r w:rsidRPr="00C85F0F">
        <w:rPr>
          <w:rStyle w:val="af1"/>
          <w:szCs w:val="32"/>
          <w:rtl/>
        </w:rPr>
        <w:footnoteReference w:id="1063"/>
      </w:r>
      <w:r w:rsidRPr="00C85F0F">
        <w:rPr>
          <w:rStyle w:val="af1"/>
          <w:szCs w:val="32"/>
          <w:rtl/>
        </w:rPr>
        <w:t>)</w:t>
      </w:r>
      <w:r w:rsidRPr="00C85F0F">
        <w:rPr>
          <w:rFonts w:hint="cs"/>
          <w:rtl/>
        </w:rPr>
        <w:t>، فكلُّ معلومِ الوجودِ فالأصل بقاءُ وجوده، وكل معلومِ العدَم فالأصل بقاءُ عدَمه</w:t>
      </w:r>
      <w:r w:rsidRPr="00C85F0F">
        <w:rPr>
          <w:rStyle w:val="af1"/>
          <w:szCs w:val="32"/>
          <w:rtl/>
        </w:rPr>
        <w:t>(</w:t>
      </w:r>
      <w:r w:rsidRPr="00C85F0F">
        <w:rPr>
          <w:rStyle w:val="af1"/>
          <w:szCs w:val="32"/>
          <w:rtl/>
        </w:rPr>
        <w:footnoteReference w:id="1064"/>
      </w:r>
      <w:r w:rsidRPr="00C85F0F">
        <w:rPr>
          <w:rStyle w:val="af1"/>
          <w:szCs w:val="32"/>
          <w:rtl/>
        </w:rPr>
        <w:t>)</w:t>
      </w:r>
      <w:r w:rsidRPr="00C85F0F">
        <w:rPr>
          <w:rFonts w:hint="cs"/>
          <w:rtl/>
        </w:rPr>
        <w:t>.</w:t>
      </w:r>
    </w:p>
    <w:p w:rsidR="00065E4B" w:rsidRPr="00C85F0F" w:rsidRDefault="00AD6C2A" w:rsidP="00A8347C">
      <w:pPr>
        <w:pStyle w:val="aff3"/>
        <w:rPr>
          <w:rtl/>
        </w:rPr>
      </w:pPr>
      <w:bookmarkStart w:id="211" w:name="_Toc334046441"/>
      <w:r>
        <w:rPr>
          <w:rFonts w:hint="cs"/>
          <w:rtl/>
        </w:rPr>
        <w:lastRenderedPageBreak/>
        <w:t xml:space="preserve">                                        </w:t>
      </w:r>
      <w:r w:rsidR="004347BB" w:rsidRPr="00C85F0F">
        <w:rPr>
          <w:rFonts w:hint="cs"/>
          <w:rtl/>
        </w:rPr>
        <w:t>المطلب الثالث</w:t>
      </w:r>
      <w:r w:rsidR="004347BB" w:rsidRPr="00C85F0F">
        <w:rPr>
          <w:rFonts w:hint="eastAsia"/>
          <w:rtl/>
        </w:rPr>
        <w:t> :</w:t>
      </w:r>
      <w:r w:rsidR="004347BB" w:rsidRPr="00C85F0F">
        <w:rPr>
          <w:rFonts w:hint="cs"/>
          <w:rtl/>
        </w:rPr>
        <w:br/>
      </w:r>
      <w:r>
        <w:rPr>
          <w:rFonts w:hint="cs"/>
          <w:rtl/>
        </w:rPr>
        <w:t xml:space="preserve">                                           </w:t>
      </w:r>
      <w:r w:rsidR="004347BB" w:rsidRPr="00C85F0F">
        <w:rPr>
          <w:rFonts w:hint="cs"/>
          <w:rtl/>
        </w:rPr>
        <w:t>أدلة القاعدة</w:t>
      </w:r>
      <w:bookmarkEnd w:id="211"/>
    </w:p>
    <w:p w:rsidR="00065E4B" w:rsidRPr="00C85F0F" w:rsidRDefault="00065E4B" w:rsidP="00597C20">
      <w:pPr>
        <w:ind w:firstLine="720"/>
        <w:rPr>
          <w:rtl/>
        </w:rPr>
      </w:pPr>
      <w:r w:rsidRPr="00C85F0F">
        <w:rPr>
          <w:rFonts w:hint="cs"/>
          <w:rtl/>
        </w:rPr>
        <w:t>أ</w:t>
      </w:r>
      <w:r w:rsidR="004347BB" w:rsidRPr="00C85F0F">
        <w:rPr>
          <w:rFonts w:hint="cs"/>
          <w:rtl/>
        </w:rPr>
        <w:t>دلة هذه القاعدة هي نفس</w:t>
      </w:r>
      <w:r w:rsidR="00AD6C2A">
        <w:rPr>
          <w:rFonts w:hint="cs"/>
          <w:rtl/>
        </w:rPr>
        <w:t>ُ</w:t>
      </w:r>
      <w:r w:rsidR="004347BB" w:rsidRPr="00C85F0F">
        <w:rPr>
          <w:rFonts w:hint="cs"/>
          <w:rtl/>
        </w:rPr>
        <w:t xml:space="preserve">ها أدلة قاعدة اليقين لا يزول بالشك، سواء </w:t>
      </w:r>
      <w:r w:rsidR="00E46FB5">
        <w:rPr>
          <w:rFonts w:hint="cs"/>
          <w:rtl/>
        </w:rPr>
        <w:t>أَ</w:t>
      </w:r>
      <w:r w:rsidR="004347BB" w:rsidRPr="00C85F0F">
        <w:rPr>
          <w:rFonts w:hint="cs"/>
          <w:rtl/>
        </w:rPr>
        <w:t>قيل بأنهما مترادفتان في</w:t>
      </w:r>
      <w:r w:rsidR="00E46FB5">
        <w:rPr>
          <w:rFonts w:hint="cs"/>
          <w:rtl/>
        </w:rPr>
        <w:t xml:space="preserve"> المعنى، أم أن الأولى مندرجة تحت</w:t>
      </w:r>
      <w:r w:rsidR="004347BB" w:rsidRPr="00C85F0F">
        <w:rPr>
          <w:rFonts w:hint="cs"/>
          <w:rtl/>
        </w:rPr>
        <w:t xml:space="preserve"> الثانية.</w:t>
      </w:r>
    </w:p>
    <w:p w:rsidR="004347BB" w:rsidRPr="00C85F0F" w:rsidRDefault="00065E4B" w:rsidP="00597C20">
      <w:pPr>
        <w:rPr>
          <w:rtl/>
        </w:rPr>
      </w:pPr>
      <w:r w:rsidRPr="00C85F0F">
        <w:rPr>
          <w:rFonts w:hint="cs"/>
          <w:rtl/>
        </w:rPr>
        <w:t>و</w:t>
      </w:r>
      <w:r w:rsidR="004347BB" w:rsidRPr="00C85F0F">
        <w:rPr>
          <w:rFonts w:hint="cs"/>
          <w:rtl/>
        </w:rPr>
        <w:t xml:space="preserve">من الأدلة التي ذكرها الشيخ ابن عثيمين </w:t>
      </w:r>
      <w:r w:rsidR="00AD6C2A">
        <w:rPr>
          <w:rFonts w:hint="cs"/>
          <w:rtl/>
        </w:rPr>
        <w:t>_</w:t>
      </w:r>
      <w:r w:rsidR="009A0575" w:rsidRPr="005D5694">
        <w:rPr>
          <w:rFonts w:ascii="Traditional Arabic" w:hAnsi="Traditional Arabic" w:cs="CTraditional Arabic" w:hint="cs"/>
          <w:rtl/>
        </w:rPr>
        <w:t>/</w:t>
      </w:r>
      <w:r w:rsidR="00AD6C2A">
        <w:rPr>
          <w:rFonts w:hint="cs"/>
          <w:rtl/>
        </w:rPr>
        <w:t>_</w:t>
      </w:r>
      <w:r w:rsidR="004347BB" w:rsidRPr="00C85F0F">
        <w:rPr>
          <w:rFonts w:hint="cs"/>
          <w:rtl/>
        </w:rPr>
        <w:t xml:space="preserve"> على هذه القاعدة ما يلي :</w:t>
      </w:r>
    </w:p>
    <w:p w:rsidR="00065E4B" w:rsidRPr="00AD6C2A" w:rsidRDefault="00AD6C2A" w:rsidP="00AD6C2A">
      <w:pPr>
        <w:ind w:firstLine="0"/>
        <w:rPr>
          <w:rFonts w:ascii="Traditional Arabic" w:hAnsi="Traditional Arabic"/>
          <w:noProof w:val="0"/>
          <w:rtl/>
          <w:lang w:eastAsia="en-US"/>
        </w:rPr>
      </w:pPr>
      <w:r>
        <w:rPr>
          <w:rFonts w:ascii="Traditional Arabic" w:hAnsi="Traditional Arabic" w:hint="cs"/>
          <w:noProof w:val="0"/>
          <w:rtl/>
          <w:lang w:eastAsia="en-US"/>
        </w:rPr>
        <w:t xml:space="preserve">(1)    </w:t>
      </w:r>
      <w:r w:rsidR="0048508D">
        <w:rPr>
          <w:rFonts w:ascii="Traditional Arabic" w:hAnsi="Traditional Arabic" w:hint="cs"/>
          <w:noProof w:val="0"/>
          <w:rtl/>
          <w:lang w:eastAsia="en-US"/>
        </w:rPr>
        <w:t>حديث</w:t>
      </w:r>
      <w:r w:rsidR="004347BB" w:rsidRPr="00AD6C2A">
        <w:rPr>
          <w:rFonts w:ascii="Traditional Arabic" w:hAnsi="Traditional Arabic" w:hint="cs"/>
          <w:noProof w:val="0"/>
          <w:rtl/>
          <w:lang w:eastAsia="en-US"/>
        </w:rPr>
        <w:t xml:space="preserve"> أبي هريرة</w:t>
      </w:r>
      <w:r w:rsidRPr="00AD6C2A">
        <w:rPr>
          <w:rFonts w:ascii="Traditional Arabic" w:hAnsi="Traditional Arabic" w:hint="cs"/>
          <w:noProof w:val="0"/>
          <w:rtl/>
          <w:lang w:eastAsia="en-US"/>
        </w:rPr>
        <w:t xml:space="preserve">-رضي الله عنه_ قال: قال </w:t>
      </w:r>
      <w:r w:rsidR="004347BB" w:rsidRPr="00AD6C2A">
        <w:rPr>
          <w:rFonts w:ascii="Traditional Arabic" w:hAnsi="Traditional Arabic" w:hint="cs"/>
          <w:noProof w:val="0"/>
          <w:rtl/>
          <w:lang w:eastAsia="en-US"/>
        </w:rPr>
        <w:t>رسول الله</w:t>
      </w:r>
      <w:r w:rsidR="00853E7C" w:rsidRPr="00AD6C2A">
        <w:rPr>
          <w:rFonts w:ascii="Traditional Arabic" w:hAnsi="Traditional Arabic" w:hint="cs"/>
          <w:noProof w:val="0"/>
          <w:color w:val="auto"/>
          <w:rtl/>
          <w:lang w:eastAsia="en-US"/>
        </w:rPr>
        <w:t xml:space="preserve"> </w:t>
      </w:r>
      <w:r w:rsidR="00853E7C" w:rsidRPr="00AD6C2A">
        <w:rPr>
          <w:rFonts w:ascii="Traditional Arabic" w:hAnsi="Traditional Arabic" w:hint="cs"/>
          <w:rtl/>
        </w:rPr>
        <w:t>صلى الله عليه وسلم</w:t>
      </w:r>
      <w:r w:rsidR="004347BB" w:rsidRPr="00AD6C2A">
        <w:rPr>
          <w:rFonts w:ascii="Traditional Arabic" w:hAnsi="Traditional Arabic"/>
          <w:noProof w:val="0"/>
          <w:rtl/>
          <w:lang w:eastAsia="en-US"/>
        </w:rPr>
        <w:t>:</w:t>
      </w:r>
      <w:r w:rsidRPr="00AD6C2A">
        <w:rPr>
          <w:rFonts w:ascii="Traditional Arabic" w:hAnsi="Traditional Arabic" w:hint="cs"/>
          <w:noProof w:val="0"/>
          <w:rtl/>
          <w:lang w:eastAsia="en-US"/>
        </w:rPr>
        <w:t xml:space="preserve"> </w:t>
      </w:r>
      <w:r w:rsidR="004347BB" w:rsidRPr="00AD6C2A">
        <w:rPr>
          <w:rFonts w:ascii="Traditional Arabic" w:hAnsi="Traditional Arabic" w:hint="cs"/>
          <w:noProof w:val="0"/>
          <w:rtl/>
          <w:lang w:eastAsia="en-US"/>
        </w:rPr>
        <w:t>"إذا</w:t>
      </w:r>
      <w:r w:rsidR="004347BB" w:rsidRPr="00AD6C2A">
        <w:rPr>
          <w:rFonts w:ascii="Traditional Arabic" w:hAnsi="Traditional Arabic"/>
          <w:noProof w:val="0"/>
          <w:rtl/>
          <w:lang w:eastAsia="en-US"/>
        </w:rPr>
        <w:t xml:space="preserve"> و</w:t>
      </w:r>
      <w:r w:rsidR="004347BB" w:rsidRPr="00AD6C2A">
        <w:rPr>
          <w:rFonts w:ascii="Traditional Arabic" w:hAnsi="Traditional Arabic" w:hint="cs"/>
          <w:noProof w:val="0"/>
          <w:rtl/>
          <w:lang w:eastAsia="en-US"/>
        </w:rPr>
        <w:t>َ</w:t>
      </w:r>
      <w:r w:rsidR="004347BB" w:rsidRPr="00AD6C2A">
        <w:rPr>
          <w:rFonts w:ascii="Traditional Arabic" w:hAnsi="Traditional Arabic"/>
          <w:noProof w:val="0"/>
          <w:rtl/>
          <w:lang w:eastAsia="en-US"/>
        </w:rPr>
        <w:t>جد</w:t>
      </w:r>
      <w:r w:rsidR="004347BB" w:rsidRPr="00AD6C2A">
        <w:rPr>
          <w:rFonts w:ascii="Traditional Arabic" w:hAnsi="Traditional Arabic" w:hint="cs"/>
          <w:noProof w:val="0"/>
          <w:rtl/>
          <w:lang w:eastAsia="en-US"/>
        </w:rPr>
        <w:t xml:space="preserve"> أحدُكم</w:t>
      </w:r>
      <w:r w:rsidR="004347BB" w:rsidRPr="00AD6C2A">
        <w:rPr>
          <w:rFonts w:ascii="Traditional Arabic" w:hAnsi="Traditional Arabic"/>
          <w:noProof w:val="0"/>
          <w:rtl/>
          <w:lang w:eastAsia="en-US"/>
        </w:rPr>
        <w:t xml:space="preserve"> في بطنه شيئاً فأشكل عليه أخرج منه شيء أم لا،</w:t>
      </w:r>
      <w:r w:rsidR="00AB0B9E" w:rsidRPr="00AD6C2A">
        <w:rPr>
          <w:rFonts w:ascii="Traditional Arabic" w:hAnsi="Traditional Arabic"/>
          <w:noProof w:val="0"/>
          <w:rtl/>
          <w:lang w:eastAsia="en-US"/>
        </w:rPr>
        <w:fldChar w:fldCharType="begin"/>
      </w:r>
      <w:r w:rsidR="00134F0E" w:rsidRPr="00C85F0F">
        <w:instrText>XE</w:instrText>
      </w:r>
      <w:r w:rsidR="00134F0E" w:rsidRPr="00C85F0F">
        <w:rPr>
          <w:rtl/>
        </w:rPr>
        <w:instrText xml:space="preserve"> "</w:instrText>
      </w:r>
      <w:r w:rsidR="00134F0E" w:rsidRPr="00AD6C2A">
        <w:rPr>
          <w:rFonts w:ascii="Traditional Arabic" w:hAnsi="Traditional Arabic" w:hint="cs"/>
          <w:rtl/>
        </w:rPr>
        <w:instrText>إذا</w:instrText>
      </w:r>
      <w:r w:rsidR="00134F0E" w:rsidRPr="00AD6C2A">
        <w:rPr>
          <w:rFonts w:ascii="Traditional Arabic" w:hAnsi="Traditional Arabic"/>
          <w:rtl/>
        </w:rPr>
        <w:instrText xml:space="preserve"> و</w:instrText>
      </w:r>
      <w:r w:rsidR="00134F0E" w:rsidRPr="00AD6C2A">
        <w:rPr>
          <w:rFonts w:ascii="Traditional Arabic" w:hAnsi="Traditional Arabic" w:hint="cs"/>
          <w:rtl/>
        </w:rPr>
        <w:instrText>َ</w:instrText>
      </w:r>
      <w:r w:rsidR="00134F0E" w:rsidRPr="00AD6C2A">
        <w:rPr>
          <w:rFonts w:ascii="Traditional Arabic" w:hAnsi="Traditional Arabic"/>
          <w:rtl/>
        </w:rPr>
        <w:instrText>جد</w:instrText>
      </w:r>
      <w:r w:rsidR="00134F0E" w:rsidRPr="00AD6C2A">
        <w:rPr>
          <w:rFonts w:ascii="Traditional Arabic" w:hAnsi="Traditional Arabic" w:hint="cs"/>
          <w:rtl/>
        </w:rPr>
        <w:instrText xml:space="preserve"> أحدُكم</w:instrText>
      </w:r>
      <w:r w:rsidR="009E42B3" w:rsidRPr="00AD6C2A">
        <w:rPr>
          <w:rFonts w:ascii="Traditional Arabic" w:hAnsi="Traditional Arabic"/>
          <w:rtl/>
        </w:rPr>
        <w:instrText xml:space="preserve"> في بطنه شيئا</w:instrText>
      </w:r>
      <w:r w:rsidR="00134F0E" w:rsidRPr="00AD6C2A">
        <w:rPr>
          <w:rFonts w:ascii="Traditional Arabic" w:hAnsi="Traditional Arabic"/>
          <w:rtl/>
        </w:rPr>
        <w:instrText xml:space="preserve"> فأشكل عليه أخرج منه شيء أم لا،</w:instrText>
      </w:r>
      <w:r w:rsidR="00134F0E" w:rsidRPr="00C85F0F">
        <w:rPr>
          <w:rtl/>
        </w:rPr>
        <w:instrText xml:space="preserve">" </w:instrText>
      </w:r>
      <w:r w:rsidR="00AB0B9E" w:rsidRPr="00AD6C2A">
        <w:rPr>
          <w:rFonts w:ascii="Traditional Arabic" w:hAnsi="Traditional Arabic"/>
          <w:noProof w:val="0"/>
          <w:rtl/>
          <w:lang w:eastAsia="en-US"/>
        </w:rPr>
        <w:fldChar w:fldCharType="end"/>
      </w:r>
      <w:r w:rsidR="004347BB" w:rsidRPr="00AD6C2A">
        <w:rPr>
          <w:rFonts w:ascii="Traditional Arabic" w:hAnsi="Traditional Arabic"/>
          <w:noProof w:val="0"/>
          <w:rtl/>
          <w:lang w:eastAsia="en-US"/>
        </w:rPr>
        <w:t xml:space="preserve"> فلا يخر</w:t>
      </w:r>
      <w:r w:rsidR="004347BB" w:rsidRPr="00AD6C2A">
        <w:rPr>
          <w:rFonts w:ascii="Traditional Arabic" w:hAnsi="Traditional Arabic" w:hint="cs"/>
          <w:noProof w:val="0"/>
          <w:rtl/>
          <w:lang w:eastAsia="en-US"/>
        </w:rPr>
        <w:t>ُ</w:t>
      </w:r>
      <w:r w:rsidR="004347BB" w:rsidRPr="00AD6C2A">
        <w:rPr>
          <w:rFonts w:ascii="Traditional Arabic" w:hAnsi="Traditional Arabic"/>
          <w:noProof w:val="0"/>
          <w:rtl/>
          <w:lang w:eastAsia="en-US"/>
        </w:rPr>
        <w:t>جن</w:t>
      </w:r>
      <w:r w:rsidR="004347BB" w:rsidRPr="00AD6C2A">
        <w:rPr>
          <w:rFonts w:ascii="Traditional Arabic" w:hAnsi="Traditional Arabic" w:hint="cs"/>
          <w:noProof w:val="0"/>
          <w:rtl/>
          <w:lang w:eastAsia="en-US"/>
        </w:rPr>
        <w:t>َّ</w:t>
      </w:r>
      <w:r w:rsidR="004347BB" w:rsidRPr="00AD6C2A">
        <w:rPr>
          <w:rFonts w:ascii="Traditional Arabic" w:hAnsi="Traditional Arabic"/>
          <w:noProof w:val="0"/>
          <w:rtl/>
          <w:lang w:eastAsia="en-US"/>
        </w:rPr>
        <w:t xml:space="preserve"> من المسجد حتى يسمع صوتاً أو يجد ريحاً</w:t>
      </w:r>
      <w:r w:rsidR="004347BB" w:rsidRPr="00AD6C2A">
        <w:rPr>
          <w:rFonts w:ascii="Traditional Arabic" w:hAnsi="Traditional Arabic" w:hint="cs"/>
          <w:noProof w:val="0"/>
          <w:rtl/>
          <w:lang w:eastAsia="en-US"/>
        </w:rPr>
        <w:t>"</w:t>
      </w:r>
      <w:r w:rsidR="004347BB" w:rsidRPr="00AD6C2A">
        <w:rPr>
          <w:rStyle w:val="af1"/>
          <w:szCs w:val="32"/>
          <w:rtl/>
        </w:rPr>
        <w:t>(</w:t>
      </w:r>
      <w:r w:rsidR="004347BB" w:rsidRPr="00C85F0F">
        <w:rPr>
          <w:rStyle w:val="af1"/>
          <w:szCs w:val="32"/>
          <w:rtl/>
        </w:rPr>
        <w:footnoteReference w:id="1065"/>
      </w:r>
      <w:r w:rsidR="004347BB" w:rsidRPr="00AD6C2A">
        <w:rPr>
          <w:rStyle w:val="af1"/>
          <w:szCs w:val="32"/>
          <w:rtl/>
        </w:rPr>
        <w:t>)</w:t>
      </w:r>
      <w:r w:rsidR="004347BB" w:rsidRPr="00AD6C2A">
        <w:rPr>
          <w:rFonts w:ascii="Traditional Arabic" w:hAnsi="Traditional Arabic"/>
          <w:noProof w:val="0"/>
          <w:rtl/>
          <w:lang w:eastAsia="en-US"/>
        </w:rPr>
        <w:t>.</w:t>
      </w:r>
    </w:p>
    <w:p w:rsidR="00065E4B" w:rsidRPr="00C85F0F" w:rsidRDefault="00065E4B" w:rsidP="00EA2BD7">
      <w:pPr>
        <w:pStyle w:val="53"/>
        <w:rPr>
          <w:rtl/>
        </w:rPr>
      </w:pPr>
      <w:r w:rsidRPr="00C85F0F">
        <w:rPr>
          <w:rFonts w:hint="cs"/>
          <w:rtl/>
        </w:rPr>
        <w:t>و</w:t>
      </w:r>
      <w:r w:rsidR="004347BB" w:rsidRPr="00C85F0F">
        <w:rPr>
          <w:rFonts w:hint="cs"/>
          <w:rtl/>
        </w:rPr>
        <w:t xml:space="preserve">جه </w:t>
      </w:r>
      <w:r w:rsidR="004347BB" w:rsidRPr="00EA2BD7">
        <w:rPr>
          <w:rFonts w:hint="cs"/>
          <w:rtl/>
        </w:rPr>
        <w:t>الدلالة</w:t>
      </w:r>
      <w:r w:rsidR="004347BB" w:rsidRPr="00C85F0F">
        <w:rPr>
          <w:rFonts w:hint="cs"/>
          <w:rtl/>
        </w:rPr>
        <w:t>:</w:t>
      </w:r>
    </w:p>
    <w:p w:rsidR="004347BB" w:rsidRPr="00C85F0F" w:rsidRDefault="00065E4B" w:rsidP="00597C20">
      <w:pPr>
        <w:ind w:firstLine="720"/>
        <w:rPr>
          <w:rtl/>
        </w:rPr>
      </w:pPr>
      <w:r w:rsidRPr="00C85F0F">
        <w:rPr>
          <w:rFonts w:hint="cs"/>
          <w:rtl/>
        </w:rPr>
        <w:t>ه</w:t>
      </w:r>
      <w:r w:rsidR="004347BB" w:rsidRPr="00C85F0F">
        <w:rPr>
          <w:rFonts w:hint="cs"/>
          <w:rtl/>
        </w:rPr>
        <w:t>ذا الحديث يدل على أن الإنسان إذا شك في الحدث</w:t>
      </w:r>
      <w:r w:rsidR="00154102" w:rsidRPr="00C85F0F">
        <w:rPr>
          <w:rFonts w:hint="cs"/>
          <w:rtl/>
        </w:rPr>
        <w:t xml:space="preserve"> و</w:t>
      </w:r>
      <w:r w:rsidR="004347BB" w:rsidRPr="00C85F0F">
        <w:rPr>
          <w:rFonts w:hint="cs"/>
          <w:rtl/>
        </w:rPr>
        <w:t>هو على طهارة؛</w:t>
      </w:r>
      <w:r w:rsidR="00AD6C2A">
        <w:rPr>
          <w:rFonts w:hint="cs"/>
          <w:rtl/>
        </w:rPr>
        <w:t xml:space="preserve"> </w:t>
      </w:r>
      <w:r w:rsidR="004347BB" w:rsidRPr="00C85F0F">
        <w:rPr>
          <w:rFonts w:hint="cs"/>
          <w:rtl/>
        </w:rPr>
        <w:t>فإنه يلزمه الوضوء؛</w:t>
      </w:r>
      <w:r w:rsidR="00D82122">
        <w:rPr>
          <w:rFonts w:hint="cs"/>
          <w:rtl/>
        </w:rPr>
        <w:t xml:space="preserve"> </w:t>
      </w:r>
      <w:r w:rsidR="004347BB" w:rsidRPr="00C85F0F">
        <w:rPr>
          <w:rFonts w:hint="cs"/>
          <w:rtl/>
        </w:rPr>
        <w:t>لأن الطهارة مُتيقَّنة</w:t>
      </w:r>
      <w:r w:rsidR="00154102" w:rsidRPr="00C85F0F">
        <w:rPr>
          <w:rFonts w:hint="cs"/>
          <w:rtl/>
        </w:rPr>
        <w:t xml:space="preserve"> و</w:t>
      </w:r>
      <w:r w:rsidR="004347BB" w:rsidRPr="00C85F0F">
        <w:rPr>
          <w:rFonts w:hint="cs"/>
          <w:rtl/>
        </w:rPr>
        <w:t>الوضوء باقٍ،</w:t>
      </w:r>
      <w:r w:rsidR="00154102" w:rsidRPr="00C85F0F">
        <w:rPr>
          <w:rFonts w:hint="cs"/>
          <w:rtl/>
        </w:rPr>
        <w:t xml:space="preserve"> و</w:t>
      </w:r>
      <w:r w:rsidR="004347BB" w:rsidRPr="00C85F0F">
        <w:rPr>
          <w:rFonts w:hint="cs"/>
          <w:rtl/>
        </w:rPr>
        <w:t>الحدث مشكوك فيه،</w:t>
      </w:r>
      <w:r w:rsidR="00154102" w:rsidRPr="00C85F0F">
        <w:rPr>
          <w:rFonts w:hint="cs"/>
          <w:rtl/>
        </w:rPr>
        <w:t xml:space="preserve"> و</w:t>
      </w:r>
      <w:r w:rsidR="004347BB" w:rsidRPr="00C85F0F">
        <w:rPr>
          <w:rFonts w:hint="cs"/>
          <w:rtl/>
        </w:rPr>
        <w:t>لا يُترك اليقين للشك،</w:t>
      </w:r>
      <w:r w:rsidR="00AD6C2A">
        <w:rPr>
          <w:rFonts w:hint="cs"/>
          <w:rtl/>
        </w:rPr>
        <w:t xml:space="preserve"> </w:t>
      </w:r>
      <w:r w:rsidR="004347BB" w:rsidRPr="00C85F0F">
        <w:rPr>
          <w:rFonts w:hint="cs"/>
          <w:rtl/>
        </w:rPr>
        <w:t xml:space="preserve">فهذا الحديث </w:t>
      </w:r>
      <w:r w:rsidR="004347BB" w:rsidRPr="00C85F0F">
        <w:rPr>
          <w:rFonts w:ascii="Traditional Arabic" w:hAnsi="Traditional Arabic"/>
          <w:noProof w:val="0"/>
          <w:color w:val="auto"/>
          <w:rtl/>
          <w:lang w:eastAsia="en-US"/>
        </w:rPr>
        <w:t>أصل</w:t>
      </w:r>
      <w:r w:rsidR="004347BB" w:rsidRPr="00C85F0F">
        <w:rPr>
          <w:rFonts w:ascii="Traditional Arabic" w:hAnsi="Traditional Arabic" w:hint="cs"/>
          <w:noProof w:val="0"/>
          <w:color w:val="auto"/>
          <w:rtl/>
          <w:lang w:eastAsia="en-US"/>
        </w:rPr>
        <w:t>ٌ</w:t>
      </w:r>
      <w:r w:rsidR="004347BB" w:rsidRPr="00C85F0F">
        <w:rPr>
          <w:rFonts w:ascii="Traditional Arabic" w:hAnsi="Traditional Arabic"/>
          <w:noProof w:val="0"/>
          <w:color w:val="auto"/>
          <w:rtl/>
          <w:lang w:eastAsia="en-US"/>
        </w:rPr>
        <w:t xml:space="preserve"> في</w:t>
      </w:r>
      <w:r w:rsidR="004347BB" w:rsidRPr="00C85F0F">
        <w:rPr>
          <w:rFonts w:ascii="Traditional Arabic" w:hAnsi="Traditional Arabic"/>
          <w:noProof w:val="0"/>
          <w:rtl/>
          <w:lang w:eastAsia="en-US"/>
        </w:rPr>
        <w:t xml:space="preserve"> بناء الأمور على ما كانت عليه</w:t>
      </w:r>
      <w:r w:rsidR="004347BB" w:rsidRPr="00C85F0F">
        <w:rPr>
          <w:rFonts w:hint="cs"/>
          <w:rtl/>
        </w:rPr>
        <w:t>،</w:t>
      </w:r>
      <w:r w:rsidR="00154102" w:rsidRPr="00C85F0F">
        <w:rPr>
          <w:rFonts w:hint="cs"/>
          <w:rtl/>
        </w:rPr>
        <w:t xml:space="preserve"> و</w:t>
      </w:r>
      <w:r w:rsidR="004347BB" w:rsidRPr="00C85F0F">
        <w:rPr>
          <w:rFonts w:hint="cs"/>
          <w:rtl/>
        </w:rPr>
        <w:t>قد أخذ العلماء منه</w:t>
      </w:r>
      <w:r w:rsidR="0048508D">
        <w:rPr>
          <w:rFonts w:hint="cs"/>
          <w:rtl/>
        </w:rPr>
        <w:t xml:space="preserve"> </w:t>
      </w:r>
      <w:r w:rsidR="004347BB" w:rsidRPr="00C85F0F">
        <w:rPr>
          <w:rFonts w:hint="cs"/>
          <w:rtl/>
        </w:rPr>
        <w:t>عدة قواعد، منها: "الأصل بقاء ما كان على ما كان"</w:t>
      </w:r>
      <w:r w:rsidR="004347BB" w:rsidRPr="00C85F0F">
        <w:rPr>
          <w:rStyle w:val="af1"/>
          <w:szCs w:val="32"/>
          <w:rtl/>
        </w:rPr>
        <w:t>(</w:t>
      </w:r>
      <w:r w:rsidR="004347BB" w:rsidRPr="00C85F0F">
        <w:rPr>
          <w:rStyle w:val="af1"/>
          <w:szCs w:val="32"/>
          <w:rtl/>
        </w:rPr>
        <w:footnoteReference w:id="1066"/>
      </w:r>
      <w:r w:rsidR="004347BB" w:rsidRPr="00C85F0F">
        <w:rPr>
          <w:rStyle w:val="af1"/>
          <w:szCs w:val="32"/>
          <w:rtl/>
        </w:rPr>
        <w:t>)</w:t>
      </w:r>
      <w:r w:rsidR="004347BB" w:rsidRPr="00C85F0F">
        <w:rPr>
          <w:rFonts w:hint="cs"/>
          <w:rtl/>
        </w:rPr>
        <w:t>.</w:t>
      </w:r>
    </w:p>
    <w:p w:rsidR="00065E4B" w:rsidRPr="0048508D" w:rsidRDefault="0048508D" w:rsidP="00D82122">
      <w:pPr>
        <w:widowControl/>
        <w:autoSpaceDE w:val="0"/>
        <w:autoSpaceDN w:val="0"/>
        <w:adjustRightInd w:val="0"/>
        <w:ind w:firstLine="0"/>
        <w:rPr>
          <w:rFonts w:ascii="Simplified Arabic" w:hAnsi="Simplified Arabic" w:cs="Simplified Arabic"/>
          <w:noProof w:val="0"/>
          <w:color w:val="000000" w:themeColor="text1"/>
          <w:sz w:val="28"/>
          <w:szCs w:val="28"/>
          <w:rtl/>
          <w:lang w:eastAsia="en-US"/>
        </w:rPr>
      </w:pPr>
      <w:r>
        <w:rPr>
          <w:rFonts w:ascii="Traditional Arabic" w:hAnsi="Traditional Arabic" w:hint="cs"/>
          <w:noProof w:val="0"/>
          <w:color w:val="auto"/>
          <w:rtl/>
          <w:lang w:eastAsia="en-US"/>
        </w:rPr>
        <w:t xml:space="preserve">(2)    حديث </w:t>
      </w:r>
      <w:r w:rsidR="004347BB" w:rsidRPr="0048508D">
        <w:rPr>
          <w:rFonts w:ascii="Traditional Arabic" w:hAnsi="Traditional Arabic" w:hint="cs"/>
          <w:noProof w:val="0"/>
          <w:color w:val="auto"/>
          <w:rtl/>
          <w:lang w:eastAsia="en-US"/>
        </w:rPr>
        <w:t>عبد الله بن</w:t>
      </w:r>
      <w:r w:rsidR="00E46FB5">
        <w:rPr>
          <w:rFonts w:ascii="Traditional Arabic" w:hAnsi="Traditional Arabic" w:hint="cs"/>
          <w:noProof w:val="0"/>
          <w:rtl/>
          <w:lang w:eastAsia="en-US"/>
        </w:rPr>
        <w:t xml:space="preserve"> زيد</w:t>
      </w:r>
      <w:r w:rsidR="004347BB" w:rsidRPr="0048508D">
        <w:rPr>
          <w:rFonts w:ascii="Traditional Arabic" w:hAnsi="Traditional Arabic" w:hint="cs"/>
          <w:noProof w:val="0"/>
          <w:rtl/>
          <w:lang w:eastAsia="en-US"/>
        </w:rPr>
        <w:t xml:space="preserve"> المازِني </w:t>
      </w:r>
      <w:r>
        <w:rPr>
          <w:rFonts w:ascii="Traditional Arabic" w:hAnsi="Traditional Arabic" w:hint="cs"/>
          <w:noProof w:val="0"/>
          <w:rtl/>
          <w:lang w:eastAsia="en-US"/>
        </w:rPr>
        <w:t>_</w:t>
      </w:r>
      <w:r w:rsidR="00853E7C" w:rsidRPr="0048508D">
        <w:rPr>
          <w:rFonts w:ascii="Traditional Arabic" w:hAnsi="Traditional Arabic" w:hint="cs"/>
          <w:noProof w:val="0"/>
          <w:color w:val="auto"/>
          <w:rtl/>
          <w:lang w:eastAsia="en-US"/>
        </w:rPr>
        <w:t>رضي الله عنه</w:t>
      </w:r>
      <w:r>
        <w:rPr>
          <w:rFonts w:ascii="Traditional Arabic" w:hAnsi="Traditional Arabic" w:hint="cs"/>
          <w:noProof w:val="0"/>
          <w:color w:val="auto"/>
          <w:rtl/>
          <w:lang w:eastAsia="en-US"/>
        </w:rPr>
        <w:t>_</w:t>
      </w:r>
      <w:r w:rsidR="004347BB" w:rsidRPr="0048508D">
        <w:rPr>
          <w:rFonts w:ascii="Traditional Arabic" w:hAnsi="Traditional Arabic" w:hint="cs"/>
          <w:noProof w:val="0"/>
          <w:rtl/>
          <w:lang w:eastAsia="en-US"/>
        </w:rPr>
        <w:t xml:space="preserve"> قال:</w:t>
      </w:r>
      <w:r w:rsidR="004347BB" w:rsidRPr="0048508D">
        <w:rPr>
          <w:rFonts w:ascii="Traditional Arabic" w:hAnsi="Traditional Arabic"/>
          <w:noProof w:val="0"/>
          <w:rtl/>
          <w:lang w:eastAsia="en-US"/>
        </w:rPr>
        <w:t xml:space="preserve"> ش</w:t>
      </w:r>
      <w:r w:rsidR="004347BB" w:rsidRPr="0048508D">
        <w:rPr>
          <w:rFonts w:ascii="Traditional Arabic" w:hAnsi="Traditional Arabic" w:hint="cs"/>
          <w:noProof w:val="0"/>
          <w:rtl/>
          <w:lang w:eastAsia="en-US"/>
        </w:rPr>
        <w:t>ُ</w:t>
      </w:r>
      <w:r w:rsidR="004347BB" w:rsidRPr="0048508D">
        <w:rPr>
          <w:rFonts w:ascii="Traditional Arabic" w:hAnsi="Traditional Arabic"/>
          <w:noProof w:val="0"/>
          <w:rtl/>
          <w:lang w:eastAsia="en-US"/>
        </w:rPr>
        <w:t>ك</w:t>
      </w:r>
      <w:r w:rsidR="004347BB" w:rsidRPr="0048508D">
        <w:rPr>
          <w:rFonts w:ascii="Traditional Arabic" w:hAnsi="Traditional Arabic" w:hint="cs"/>
          <w:noProof w:val="0"/>
          <w:rtl/>
          <w:lang w:eastAsia="en-US"/>
        </w:rPr>
        <w:t>ِ</w:t>
      </w:r>
      <w:r w:rsidR="004347BB" w:rsidRPr="0048508D">
        <w:rPr>
          <w:rFonts w:ascii="Traditional Arabic" w:hAnsi="Traditional Arabic"/>
          <w:noProof w:val="0"/>
          <w:rtl/>
          <w:lang w:eastAsia="en-US"/>
        </w:rPr>
        <w:t>ي</w:t>
      </w:r>
      <w:r w:rsidR="004347BB" w:rsidRPr="0048508D">
        <w:rPr>
          <w:rFonts w:ascii="Traditional Arabic" w:hAnsi="Traditional Arabic" w:hint="cs"/>
          <w:noProof w:val="0"/>
          <w:rtl/>
          <w:lang w:eastAsia="en-US"/>
        </w:rPr>
        <w:t>َ</w:t>
      </w:r>
      <w:r w:rsidR="004347BB" w:rsidRPr="0048508D">
        <w:rPr>
          <w:rFonts w:ascii="Traditional Arabic" w:hAnsi="Traditional Arabic"/>
          <w:noProof w:val="0"/>
          <w:rtl/>
          <w:lang w:eastAsia="en-US"/>
        </w:rPr>
        <w:t xml:space="preserve"> إلى النبي </w:t>
      </w:r>
      <w:r w:rsidR="00853E7C" w:rsidRPr="0048508D">
        <w:rPr>
          <w:rFonts w:ascii="Traditional Arabic" w:hAnsi="Traditional Arabic" w:hint="cs"/>
          <w:rtl/>
        </w:rPr>
        <w:t>صلى الله عليه وسلم</w:t>
      </w:r>
      <w:r w:rsidR="004347BB" w:rsidRPr="0048508D">
        <w:rPr>
          <w:rFonts w:ascii="Traditional Arabic" w:hAnsi="Traditional Arabic"/>
          <w:noProof w:val="0"/>
          <w:rtl/>
          <w:lang w:eastAsia="en-US"/>
        </w:rPr>
        <w:t xml:space="preserve"> الرجل</w:t>
      </w:r>
      <w:r w:rsidR="004347BB" w:rsidRPr="0048508D">
        <w:rPr>
          <w:rFonts w:ascii="Traditional Arabic" w:hAnsi="Traditional Arabic" w:hint="cs"/>
          <w:noProof w:val="0"/>
          <w:rtl/>
          <w:lang w:eastAsia="en-US"/>
        </w:rPr>
        <w:t>ُ</w:t>
      </w:r>
      <w:r w:rsidR="004347BB" w:rsidRPr="0048508D">
        <w:rPr>
          <w:rFonts w:ascii="Traditional Arabic" w:hAnsi="Traditional Arabic"/>
          <w:noProof w:val="0"/>
          <w:rtl/>
          <w:lang w:eastAsia="en-US"/>
        </w:rPr>
        <w:t xml:space="preserve"> ي</w:t>
      </w:r>
      <w:r w:rsidR="004347BB" w:rsidRPr="0048508D">
        <w:rPr>
          <w:rFonts w:ascii="Traditional Arabic" w:hAnsi="Traditional Arabic" w:hint="cs"/>
          <w:noProof w:val="0"/>
          <w:rtl/>
          <w:lang w:eastAsia="en-US"/>
        </w:rPr>
        <w:t>ُ</w:t>
      </w:r>
      <w:r w:rsidR="004347BB" w:rsidRPr="0048508D">
        <w:rPr>
          <w:rFonts w:ascii="Traditional Arabic" w:hAnsi="Traditional Arabic"/>
          <w:noProof w:val="0"/>
          <w:rtl/>
          <w:lang w:eastAsia="en-US"/>
        </w:rPr>
        <w:t>خ</w:t>
      </w:r>
      <w:r w:rsidR="004347BB" w:rsidRPr="0048508D">
        <w:rPr>
          <w:rFonts w:ascii="Traditional Arabic" w:hAnsi="Traditional Arabic" w:hint="cs"/>
          <w:noProof w:val="0"/>
          <w:rtl/>
          <w:lang w:eastAsia="en-US"/>
        </w:rPr>
        <w:t>َ</w:t>
      </w:r>
      <w:r w:rsidR="004347BB" w:rsidRPr="0048508D">
        <w:rPr>
          <w:rFonts w:ascii="Traditional Arabic" w:hAnsi="Traditional Arabic"/>
          <w:noProof w:val="0"/>
          <w:rtl/>
          <w:lang w:eastAsia="en-US"/>
        </w:rPr>
        <w:t>ي</w:t>
      </w:r>
      <w:r w:rsidR="004347BB" w:rsidRPr="0048508D">
        <w:rPr>
          <w:rFonts w:ascii="Traditional Arabic" w:hAnsi="Traditional Arabic" w:hint="cs"/>
          <w:noProof w:val="0"/>
          <w:rtl/>
          <w:lang w:eastAsia="en-US"/>
        </w:rPr>
        <w:t>َّ</w:t>
      </w:r>
      <w:r w:rsidR="004347BB" w:rsidRPr="0048508D">
        <w:rPr>
          <w:rFonts w:ascii="Traditional Arabic" w:hAnsi="Traditional Arabic"/>
          <w:noProof w:val="0"/>
          <w:rtl/>
          <w:lang w:eastAsia="en-US"/>
        </w:rPr>
        <w:t>ل إليه أنه يجد</w:t>
      </w:r>
      <w:r w:rsidR="004347BB" w:rsidRPr="0048508D">
        <w:rPr>
          <w:rFonts w:ascii="Traditional Arabic" w:hAnsi="Traditional Arabic" w:hint="cs"/>
          <w:noProof w:val="0"/>
          <w:rtl/>
          <w:lang w:eastAsia="en-US"/>
        </w:rPr>
        <w:t>ُ</w:t>
      </w:r>
      <w:r w:rsidR="004347BB" w:rsidRPr="0048508D">
        <w:rPr>
          <w:rFonts w:ascii="Traditional Arabic" w:hAnsi="Traditional Arabic"/>
          <w:noProof w:val="0"/>
          <w:rtl/>
          <w:lang w:eastAsia="en-US"/>
        </w:rPr>
        <w:t xml:space="preserve"> الشيء</w:t>
      </w:r>
      <w:r w:rsidR="004347BB" w:rsidRPr="0048508D">
        <w:rPr>
          <w:rFonts w:ascii="Traditional Arabic" w:hAnsi="Traditional Arabic" w:hint="cs"/>
          <w:noProof w:val="0"/>
          <w:rtl/>
          <w:lang w:eastAsia="en-US"/>
        </w:rPr>
        <w:t>َ</w:t>
      </w:r>
      <w:r w:rsidR="004347BB" w:rsidRPr="0048508D">
        <w:rPr>
          <w:rFonts w:ascii="Traditional Arabic" w:hAnsi="Traditional Arabic"/>
          <w:noProof w:val="0"/>
          <w:rtl/>
          <w:lang w:eastAsia="en-US"/>
        </w:rPr>
        <w:t xml:space="preserve"> في الصلاة قال :"لا ينصرف حتى يسمع صوتا</w:t>
      </w:r>
      <w:r w:rsidR="00853E7C" w:rsidRPr="0048508D">
        <w:rPr>
          <w:rFonts w:ascii="Traditional Arabic" w:hAnsi="Traditional Arabic" w:hint="cs"/>
          <w:noProof w:val="0"/>
          <w:rtl/>
          <w:lang w:eastAsia="en-US"/>
        </w:rPr>
        <w:t xml:space="preserve">ً </w:t>
      </w:r>
      <w:r w:rsidR="004347BB" w:rsidRPr="0048508D">
        <w:rPr>
          <w:rFonts w:ascii="Traditional Arabic" w:hAnsi="Traditional Arabic"/>
          <w:noProof w:val="0"/>
          <w:rtl/>
          <w:lang w:eastAsia="en-US"/>
        </w:rPr>
        <w:t>أو يجد</w:t>
      </w:r>
      <w:r>
        <w:rPr>
          <w:rFonts w:ascii="Traditional Arabic" w:hAnsi="Traditional Arabic" w:hint="cs"/>
          <w:noProof w:val="0"/>
          <w:rtl/>
          <w:lang w:eastAsia="en-US"/>
        </w:rPr>
        <w:t xml:space="preserve"> </w:t>
      </w:r>
      <w:r w:rsidR="004347BB" w:rsidRPr="0048508D">
        <w:rPr>
          <w:rFonts w:ascii="Traditional Arabic" w:hAnsi="Traditional Arabic"/>
          <w:noProof w:val="0"/>
          <w:rtl/>
          <w:lang w:eastAsia="en-US"/>
        </w:rPr>
        <w:t>ريحاً</w:t>
      </w:r>
      <w:r w:rsidR="00AB0B9E" w:rsidRPr="0048508D">
        <w:rPr>
          <w:rFonts w:ascii="Traditional Arabic" w:hAnsi="Traditional Arabic"/>
          <w:noProof w:val="0"/>
          <w:lang w:eastAsia="en-US"/>
        </w:rPr>
        <w:fldChar w:fldCharType="begin"/>
      </w:r>
      <w:r w:rsidR="001A06F0" w:rsidRPr="00C85F0F">
        <w:instrText>XE</w:instrText>
      </w:r>
      <w:r w:rsidR="001A06F0" w:rsidRPr="00C85F0F">
        <w:rPr>
          <w:rtl/>
        </w:rPr>
        <w:instrText xml:space="preserve"> "</w:instrText>
      </w:r>
      <w:r w:rsidR="001A06F0" w:rsidRPr="0048508D">
        <w:rPr>
          <w:rFonts w:ascii="Traditional Arabic" w:hAnsi="Traditional Arabic"/>
          <w:noProof w:val="0"/>
          <w:rtl/>
          <w:lang w:eastAsia="en-US"/>
        </w:rPr>
        <w:instrText>لا ينصرف حتى يسمع صوتاأو يجدريحا</w:instrText>
      </w:r>
      <w:r w:rsidR="001A06F0" w:rsidRPr="00C85F0F">
        <w:rPr>
          <w:rtl/>
        </w:rPr>
        <w:instrText>" \</w:instrText>
      </w:r>
      <w:r w:rsidR="001A06F0" w:rsidRPr="00C85F0F">
        <w:instrText>fh</w:instrText>
      </w:r>
      <w:r w:rsidR="00AB0B9E" w:rsidRPr="0048508D">
        <w:rPr>
          <w:rFonts w:ascii="Traditional Arabic" w:hAnsi="Traditional Arabic"/>
          <w:noProof w:val="0"/>
          <w:lang w:eastAsia="en-US"/>
        </w:rPr>
        <w:fldChar w:fldCharType="end"/>
      </w:r>
      <w:r w:rsidR="004347BB" w:rsidRPr="0048508D">
        <w:rPr>
          <w:rFonts w:ascii="Traditional Arabic" w:hAnsi="Traditional Arabic"/>
          <w:noProof w:val="0"/>
          <w:rtl/>
          <w:lang w:eastAsia="en-US"/>
        </w:rPr>
        <w:t>"</w:t>
      </w:r>
      <w:r w:rsidR="004347BB" w:rsidRPr="0048508D">
        <w:rPr>
          <w:rStyle w:val="af1"/>
          <w:szCs w:val="32"/>
          <w:rtl/>
        </w:rPr>
        <w:t>(</w:t>
      </w:r>
      <w:r w:rsidR="004347BB" w:rsidRPr="00C821A1">
        <w:rPr>
          <w:rStyle w:val="af1"/>
          <w:szCs w:val="32"/>
          <w:rtl/>
        </w:rPr>
        <w:footnoteReference w:id="1067"/>
      </w:r>
      <w:r w:rsidR="004347BB" w:rsidRPr="0048508D">
        <w:rPr>
          <w:rStyle w:val="af1"/>
          <w:szCs w:val="32"/>
          <w:rtl/>
        </w:rPr>
        <w:t>)</w:t>
      </w:r>
      <w:r w:rsidR="004347BB" w:rsidRPr="0048508D">
        <w:rPr>
          <w:rFonts w:ascii="Traditional Arabic" w:hAnsi="Traditional Arabic"/>
          <w:b/>
          <w:bCs/>
          <w:noProof w:val="0"/>
          <w:sz w:val="44"/>
          <w:szCs w:val="44"/>
          <w:rtl/>
          <w:lang w:eastAsia="en-US"/>
        </w:rPr>
        <w:t>.</w:t>
      </w:r>
    </w:p>
    <w:p w:rsidR="00065E4B" w:rsidRDefault="00065E4B" w:rsidP="00597C20">
      <w:pPr>
        <w:pStyle w:val="53"/>
        <w:rPr>
          <w:rtl/>
        </w:rPr>
      </w:pPr>
      <w:r>
        <w:rPr>
          <w:rFonts w:hint="cs"/>
          <w:rtl/>
        </w:rPr>
        <w:lastRenderedPageBreak/>
        <w:t>و</w:t>
      </w:r>
      <w:r w:rsidR="004347BB">
        <w:rPr>
          <w:rFonts w:hint="cs"/>
          <w:rtl/>
        </w:rPr>
        <w:t>جه الدلالة:</w:t>
      </w:r>
    </w:p>
    <w:p w:rsidR="00065E4B" w:rsidRDefault="00065E4B" w:rsidP="00597C20">
      <w:pPr>
        <w:ind w:firstLine="720"/>
        <w:rPr>
          <w:rtl/>
        </w:rPr>
      </w:pPr>
      <w:r>
        <w:rPr>
          <w:rFonts w:hint="cs"/>
          <w:rtl/>
        </w:rPr>
        <w:t>أ</w:t>
      </w:r>
      <w:r w:rsidR="004347BB">
        <w:rPr>
          <w:rFonts w:hint="cs"/>
          <w:rtl/>
        </w:rPr>
        <w:t xml:space="preserve">رشد النبي </w:t>
      </w:r>
      <w:r w:rsidR="004347BB" w:rsidRPr="00AF1D02">
        <w:rPr>
          <w:rFonts w:cs="CTraditional Arabic" w:hint="cs"/>
          <w:color w:val="auto"/>
          <w:rtl/>
        </w:rPr>
        <w:t>&gt;</w:t>
      </w:r>
      <w:r w:rsidR="004347BB">
        <w:rPr>
          <w:rFonts w:hint="cs"/>
          <w:rtl/>
        </w:rPr>
        <w:t xml:space="preserve"> عبد الله بن زيد </w:t>
      </w:r>
      <w:r w:rsidR="0048508D">
        <w:rPr>
          <w:rFonts w:hint="cs"/>
          <w:rtl/>
        </w:rPr>
        <w:t>_</w:t>
      </w:r>
      <w:r w:rsidR="004347BB" w:rsidRPr="00AF1D02">
        <w:rPr>
          <w:rFonts w:cs="CTraditional Arabic" w:hint="cs"/>
          <w:color w:val="auto"/>
          <w:rtl/>
        </w:rPr>
        <w:t>ط</w:t>
      </w:r>
      <w:r w:rsidR="0048508D">
        <w:rPr>
          <w:rFonts w:hint="cs"/>
          <w:rtl/>
        </w:rPr>
        <w:t>_</w:t>
      </w:r>
      <w:r w:rsidR="004347BB">
        <w:rPr>
          <w:rFonts w:hint="cs"/>
          <w:rtl/>
        </w:rPr>
        <w:t xml:space="preserve"> إلى البناء على الأصل الأول،</w:t>
      </w:r>
      <w:r w:rsidR="00154102">
        <w:rPr>
          <w:rFonts w:hint="cs"/>
          <w:rtl/>
        </w:rPr>
        <w:t xml:space="preserve"> و</w:t>
      </w:r>
      <w:r w:rsidR="004347BB">
        <w:rPr>
          <w:rFonts w:hint="cs"/>
          <w:rtl/>
        </w:rPr>
        <w:t>هو الطهارة،</w:t>
      </w:r>
      <w:r w:rsidR="00154102">
        <w:rPr>
          <w:rFonts w:hint="cs"/>
          <w:rtl/>
        </w:rPr>
        <w:t xml:space="preserve"> و</w:t>
      </w:r>
      <w:r w:rsidR="004347BB">
        <w:rPr>
          <w:rFonts w:hint="cs"/>
          <w:rtl/>
        </w:rPr>
        <w:t>أن يبقى في صلاته، فلا ينصرف حتى يتيقَّن زوال الطهارة بسماع الحدَث أو شَمِّ الريح.</w:t>
      </w:r>
    </w:p>
    <w:p w:rsidR="004347BB" w:rsidRPr="009E5ABD" w:rsidRDefault="00065E4B" w:rsidP="00597C20">
      <w:pPr>
        <w:ind w:firstLine="720"/>
        <w:rPr>
          <w:rtl/>
        </w:rPr>
      </w:pPr>
      <w:r>
        <w:rPr>
          <w:rFonts w:hint="cs"/>
          <w:rtl/>
        </w:rPr>
        <w:t>و</w:t>
      </w:r>
      <w:r w:rsidR="0048508D">
        <w:rPr>
          <w:rFonts w:hint="cs"/>
          <w:rtl/>
        </w:rPr>
        <w:t xml:space="preserve">من فوائد هذا الحديث: </w:t>
      </w:r>
      <w:r w:rsidR="004347BB">
        <w:rPr>
          <w:rFonts w:hint="cs"/>
          <w:rtl/>
        </w:rPr>
        <w:t>أن</w:t>
      </w:r>
      <w:r w:rsidR="004347BB" w:rsidRPr="00AF1D02">
        <w:rPr>
          <w:rFonts w:hint="cs"/>
          <w:b/>
          <w:bCs/>
          <w:rtl/>
        </w:rPr>
        <w:t xml:space="preserve"> </w:t>
      </w:r>
      <w:r w:rsidR="004347BB" w:rsidRPr="0048508D">
        <w:rPr>
          <w:rFonts w:hint="cs"/>
          <w:rtl/>
        </w:rPr>
        <w:t>الأصل بقاء الشيء على ما كان عليه</w:t>
      </w:r>
      <w:r w:rsidR="004347BB" w:rsidRPr="00C821A1">
        <w:rPr>
          <w:rStyle w:val="af1"/>
          <w:szCs w:val="32"/>
          <w:rtl/>
        </w:rPr>
        <w:t>(</w:t>
      </w:r>
      <w:r w:rsidR="004347BB" w:rsidRPr="00C821A1">
        <w:rPr>
          <w:rStyle w:val="af1"/>
          <w:szCs w:val="32"/>
          <w:rtl/>
        </w:rPr>
        <w:footnoteReference w:id="1068"/>
      </w:r>
      <w:r w:rsidR="004347BB" w:rsidRPr="00C821A1">
        <w:rPr>
          <w:rStyle w:val="af1"/>
          <w:szCs w:val="32"/>
          <w:rtl/>
        </w:rPr>
        <w:t>)</w:t>
      </w:r>
      <w:r w:rsidR="004347BB">
        <w:rPr>
          <w:rFonts w:hint="cs"/>
          <w:rtl/>
        </w:rPr>
        <w:t>.</w:t>
      </w:r>
    </w:p>
    <w:p w:rsidR="00065E4B" w:rsidRPr="004347BB" w:rsidRDefault="0048508D" w:rsidP="00A8347C">
      <w:pPr>
        <w:pStyle w:val="aff3"/>
        <w:rPr>
          <w:rtl/>
        </w:rPr>
      </w:pPr>
      <w:bookmarkStart w:id="212" w:name="_Toc334046442"/>
      <w:r>
        <w:rPr>
          <w:rFonts w:hint="cs"/>
          <w:rtl/>
        </w:rPr>
        <w:t xml:space="preserve">                                         </w:t>
      </w:r>
      <w:r w:rsidR="004347BB" w:rsidRPr="004347BB">
        <w:rPr>
          <w:rtl/>
        </w:rPr>
        <w:t>المطلب الرابع</w:t>
      </w:r>
      <w:r w:rsidR="004347BB">
        <w:rPr>
          <w:rFonts w:hint="cs"/>
          <w:rtl/>
        </w:rPr>
        <w:t> :</w:t>
      </w:r>
      <w:r w:rsidR="004347BB">
        <w:rPr>
          <w:rFonts w:hint="cs"/>
          <w:rtl/>
        </w:rPr>
        <w:br/>
      </w:r>
      <w:r>
        <w:rPr>
          <w:rFonts w:hint="cs"/>
          <w:rtl/>
        </w:rPr>
        <w:t xml:space="preserve">                                        </w:t>
      </w:r>
      <w:r w:rsidR="004347BB" w:rsidRPr="004347BB">
        <w:rPr>
          <w:rFonts w:hint="cs"/>
          <w:rtl/>
        </w:rPr>
        <w:t>تطبيقات القاعدة</w:t>
      </w:r>
      <w:bookmarkEnd w:id="212"/>
    </w:p>
    <w:p w:rsidR="004347BB" w:rsidRDefault="00065E4B" w:rsidP="000A76C7">
      <w:pPr>
        <w:pStyle w:val="afc"/>
        <w:widowControl/>
        <w:numPr>
          <w:ilvl w:val="0"/>
          <w:numId w:val="151"/>
        </w:numPr>
        <w:autoSpaceDE w:val="0"/>
        <w:autoSpaceDN w:val="0"/>
        <w:adjustRightInd w:val="0"/>
        <w:rPr>
          <w:rFonts w:ascii="Traditional Arabic" w:hAnsi="Traditional Arabic"/>
          <w:noProof w:val="0"/>
          <w:color w:val="auto"/>
          <w:sz w:val="28"/>
          <w:szCs w:val="28"/>
          <w:lang w:eastAsia="en-US"/>
        </w:rPr>
      </w:pPr>
      <w:r w:rsidRPr="00D44E80">
        <w:rPr>
          <w:rFonts w:ascii="Traditional Arabic" w:hAnsi="Traditional Arabic"/>
          <w:noProof w:val="0"/>
          <w:rtl/>
          <w:lang w:eastAsia="en-US"/>
        </w:rPr>
        <w:t>ع</w:t>
      </w:r>
      <w:r w:rsidR="004347BB" w:rsidRPr="00D44E80">
        <w:rPr>
          <w:rFonts w:ascii="Traditional Arabic" w:hAnsi="Traditional Arabic"/>
          <w:noProof w:val="0"/>
          <w:rtl/>
          <w:lang w:eastAsia="en-US"/>
        </w:rPr>
        <w:t>لة</w:t>
      </w:r>
      <w:r w:rsidR="004347BB">
        <w:rPr>
          <w:rFonts w:ascii="Traditional Arabic" w:hAnsi="Traditional Arabic" w:hint="cs"/>
          <w:noProof w:val="0"/>
          <w:rtl/>
          <w:lang w:eastAsia="en-US"/>
        </w:rPr>
        <w:t xml:space="preserve"> الربا</w:t>
      </w:r>
      <w:r w:rsidR="004347BB" w:rsidRPr="00D44E80">
        <w:rPr>
          <w:rFonts w:ascii="Traditional Arabic" w:hAnsi="Traditional Arabic"/>
          <w:noProof w:val="0"/>
          <w:rtl/>
          <w:lang w:eastAsia="en-US"/>
        </w:rPr>
        <w:t xml:space="preserve"> في</w:t>
      </w:r>
      <w:r w:rsidR="004347BB">
        <w:rPr>
          <w:rFonts w:ascii="Traditional Arabic" w:hAnsi="Traditional Arabic" w:hint="cs"/>
          <w:noProof w:val="0"/>
          <w:rtl/>
          <w:lang w:eastAsia="en-US"/>
        </w:rPr>
        <w:t xml:space="preserve"> الأصناف</w:t>
      </w:r>
      <w:r w:rsidR="004347BB" w:rsidRPr="00D44E80">
        <w:rPr>
          <w:rFonts w:ascii="Traditional Arabic" w:hAnsi="Traditional Arabic"/>
          <w:noProof w:val="0"/>
          <w:rtl/>
          <w:lang w:eastAsia="en-US"/>
        </w:rPr>
        <w:t xml:space="preserve"> الأربعة</w:t>
      </w:r>
      <w:r w:rsidR="004347BB" w:rsidRPr="00C821A1">
        <w:rPr>
          <w:rStyle w:val="af1"/>
          <w:szCs w:val="32"/>
          <w:rtl/>
        </w:rPr>
        <w:t>(</w:t>
      </w:r>
      <w:r w:rsidR="004347BB" w:rsidRPr="00C821A1">
        <w:rPr>
          <w:rStyle w:val="af1"/>
          <w:szCs w:val="32"/>
          <w:rtl/>
        </w:rPr>
        <w:footnoteReference w:id="1069"/>
      </w:r>
      <w:r w:rsidR="004347BB" w:rsidRPr="00C821A1">
        <w:rPr>
          <w:rStyle w:val="af1"/>
          <w:szCs w:val="32"/>
          <w:rtl/>
        </w:rPr>
        <w:t>)</w:t>
      </w:r>
      <w:r w:rsidR="004347BB" w:rsidRPr="00D44E80">
        <w:rPr>
          <w:rFonts w:ascii="Traditional Arabic" w:hAnsi="Traditional Arabic"/>
          <w:noProof w:val="0"/>
          <w:rtl/>
          <w:lang w:eastAsia="en-US"/>
        </w:rPr>
        <w:t>كون</w:t>
      </w:r>
      <w:r w:rsidR="004347BB">
        <w:rPr>
          <w:rFonts w:ascii="Traditional Arabic" w:hAnsi="Traditional Arabic" w:hint="cs"/>
          <w:noProof w:val="0"/>
          <w:rtl/>
          <w:lang w:eastAsia="en-US"/>
        </w:rPr>
        <w:t>ُ</w:t>
      </w:r>
      <w:r w:rsidR="004347BB" w:rsidRPr="00D44E80">
        <w:rPr>
          <w:rFonts w:ascii="Traditional Arabic" w:hAnsi="Traditional Arabic"/>
          <w:noProof w:val="0"/>
          <w:rtl/>
          <w:lang w:eastAsia="en-US"/>
        </w:rPr>
        <w:t>ها مكيلة</w:t>
      </w:r>
      <w:r w:rsidR="004347BB">
        <w:rPr>
          <w:rFonts w:ascii="Traditional Arabic" w:hAnsi="Traditional Arabic" w:hint="cs"/>
          <w:noProof w:val="0"/>
          <w:rtl/>
          <w:lang w:eastAsia="en-US"/>
        </w:rPr>
        <w:t>ً</w:t>
      </w:r>
      <w:r w:rsidR="004347BB" w:rsidRPr="00D44E80">
        <w:rPr>
          <w:rFonts w:ascii="Traditional Arabic" w:hAnsi="Traditional Arabic"/>
          <w:noProof w:val="0"/>
          <w:rtl/>
          <w:lang w:eastAsia="en-US"/>
        </w:rPr>
        <w:t xml:space="preserve"> مطعومة</w:t>
      </w:r>
      <w:r w:rsidR="004347BB">
        <w:rPr>
          <w:rFonts w:ascii="Traditional Arabic" w:hAnsi="Traditional Arabic" w:hint="cs"/>
          <w:noProof w:val="0"/>
          <w:rtl/>
          <w:lang w:eastAsia="en-US"/>
        </w:rPr>
        <w:t>ً</w:t>
      </w:r>
      <w:r w:rsidR="00B76414">
        <w:rPr>
          <w:rFonts w:ascii="Traditional Arabic" w:hAnsi="Traditional Arabic"/>
          <w:noProof w:val="0"/>
          <w:rtl/>
          <w:lang w:eastAsia="en-US"/>
        </w:rPr>
        <w:t>،</w:t>
      </w:r>
      <w:r w:rsidR="004347BB" w:rsidRPr="00D44E80">
        <w:rPr>
          <w:rFonts w:ascii="Traditional Arabic" w:hAnsi="Traditional Arabic"/>
          <w:noProof w:val="0"/>
          <w:rtl/>
          <w:lang w:eastAsia="en-US"/>
        </w:rPr>
        <w:t xml:space="preserve"> فما دام لم يتبي</w:t>
      </w:r>
      <w:r w:rsidR="004347BB">
        <w:rPr>
          <w:rFonts w:ascii="Traditional Arabic" w:hAnsi="Traditional Arabic" w:hint="cs"/>
          <w:noProof w:val="0"/>
          <w:rtl/>
          <w:lang w:eastAsia="en-US"/>
        </w:rPr>
        <w:t>َّ</w:t>
      </w:r>
      <w:r w:rsidR="004347BB" w:rsidRPr="00D44E80">
        <w:rPr>
          <w:rFonts w:ascii="Traditional Arabic" w:hAnsi="Traditional Arabic"/>
          <w:noProof w:val="0"/>
          <w:rtl/>
          <w:lang w:eastAsia="en-US"/>
        </w:rPr>
        <w:t>ن</w:t>
      </w:r>
      <w:r w:rsidR="004347BB">
        <w:rPr>
          <w:rFonts w:ascii="Traditional Arabic" w:hAnsi="Traditional Arabic" w:hint="cs"/>
          <w:noProof w:val="0"/>
          <w:rtl/>
          <w:lang w:eastAsia="en-US"/>
        </w:rPr>
        <w:t xml:space="preserve"> التحريم</w:t>
      </w:r>
      <w:r w:rsidR="004347BB" w:rsidRPr="00D44E80">
        <w:rPr>
          <w:rFonts w:ascii="Traditional Arabic" w:hAnsi="Traditional Arabic"/>
          <w:noProof w:val="0"/>
          <w:rtl/>
          <w:lang w:eastAsia="en-US"/>
        </w:rPr>
        <w:t xml:space="preserve"> إلا </w:t>
      </w:r>
      <w:r w:rsidR="004347BB">
        <w:rPr>
          <w:rFonts w:ascii="Traditional Arabic" w:hAnsi="Traditional Arabic" w:hint="cs"/>
          <w:noProof w:val="0"/>
          <w:rtl/>
          <w:lang w:eastAsia="en-US"/>
        </w:rPr>
        <w:t>في</w:t>
      </w:r>
      <w:r w:rsidR="004347BB" w:rsidRPr="00D44E80">
        <w:rPr>
          <w:rFonts w:ascii="Traditional Arabic" w:hAnsi="Traditional Arabic"/>
          <w:noProof w:val="0"/>
          <w:rtl/>
          <w:lang w:eastAsia="en-US"/>
        </w:rPr>
        <w:t xml:space="preserve">ما اجتمع فيه العلتان الكيل والطعم، فإننا نقول: ما عدا ذلك </w:t>
      </w:r>
      <w:r w:rsidR="004347BB" w:rsidRPr="00875330">
        <w:rPr>
          <w:rFonts w:ascii="Traditional Arabic" w:hAnsi="Traditional Arabic"/>
          <w:noProof w:val="0"/>
          <w:color w:val="auto"/>
          <w:rtl/>
          <w:lang w:eastAsia="en-US"/>
        </w:rPr>
        <w:t xml:space="preserve">باقٍ </w:t>
      </w:r>
      <w:r w:rsidR="004347BB" w:rsidRPr="00D44E80">
        <w:rPr>
          <w:rFonts w:ascii="Traditional Arabic" w:hAnsi="Traditional Arabic"/>
          <w:noProof w:val="0"/>
          <w:rtl/>
          <w:lang w:eastAsia="en-US"/>
        </w:rPr>
        <w:t>على الأصل</w:t>
      </w:r>
      <w:r w:rsidR="004347BB">
        <w:rPr>
          <w:rFonts w:ascii="Traditional Arabic" w:hAnsi="Traditional Arabic" w:hint="cs"/>
          <w:noProof w:val="0"/>
          <w:rtl/>
          <w:lang w:eastAsia="en-US"/>
        </w:rPr>
        <w:t>؛ لأن</w:t>
      </w:r>
      <w:r w:rsidR="0048508D">
        <w:rPr>
          <w:rFonts w:ascii="Traditional Arabic" w:hAnsi="Traditional Arabic" w:hint="cs"/>
          <w:noProof w:val="0"/>
          <w:rtl/>
          <w:lang w:eastAsia="en-US"/>
        </w:rPr>
        <w:t xml:space="preserve"> </w:t>
      </w:r>
      <w:r w:rsidR="004347BB" w:rsidRPr="00D44E80">
        <w:rPr>
          <w:rFonts w:ascii="Traditional Arabic" w:hAnsi="Traditional Arabic"/>
          <w:noProof w:val="0"/>
          <w:rtl/>
          <w:lang w:eastAsia="en-US"/>
        </w:rPr>
        <w:t>الأصل في البيع والشراء الح</w:t>
      </w:r>
      <w:r w:rsidR="004347BB">
        <w:rPr>
          <w:rFonts w:ascii="Traditional Arabic" w:hAnsi="Traditional Arabic" w:hint="cs"/>
          <w:noProof w:val="0"/>
          <w:rtl/>
          <w:lang w:eastAsia="en-US"/>
        </w:rPr>
        <w:t>ِ</w:t>
      </w:r>
      <w:r w:rsidR="004347BB" w:rsidRPr="00D44E80">
        <w:rPr>
          <w:rFonts w:ascii="Traditional Arabic" w:hAnsi="Traditional Arabic"/>
          <w:noProof w:val="0"/>
          <w:rtl/>
          <w:lang w:eastAsia="en-US"/>
        </w:rPr>
        <w:t>ل</w:t>
      </w:r>
      <w:r w:rsidR="004347BB">
        <w:rPr>
          <w:rFonts w:ascii="Traditional Arabic" w:hAnsi="Traditional Arabic" w:hint="cs"/>
          <w:noProof w:val="0"/>
          <w:rtl/>
          <w:lang w:eastAsia="en-US"/>
        </w:rPr>
        <w:t>ّ،</w:t>
      </w:r>
      <w:r w:rsidR="004347BB" w:rsidRPr="00D44E80">
        <w:rPr>
          <w:rFonts w:ascii="Traditional Arabic" w:hAnsi="Traditional Arabic"/>
          <w:noProof w:val="0"/>
          <w:rtl/>
          <w:lang w:eastAsia="en-US"/>
        </w:rPr>
        <w:t xml:space="preserve"> فلا يمكن أن نحر</w:t>
      </w:r>
      <w:r w:rsidR="004347BB">
        <w:rPr>
          <w:rFonts w:ascii="Traditional Arabic" w:hAnsi="Traditional Arabic" w:hint="cs"/>
          <w:noProof w:val="0"/>
          <w:rtl/>
          <w:lang w:eastAsia="en-US"/>
        </w:rPr>
        <w:t>ِّ</w:t>
      </w:r>
      <w:r w:rsidR="004347BB" w:rsidRPr="00D44E80">
        <w:rPr>
          <w:rFonts w:ascii="Traditional Arabic" w:hAnsi="Traditional Arabic"/>
          <w:noProof w:val="0"/>
          <w:rtl/>
          <w:lang w:eastAsia="en-US"/>
        </w:rPr>
        <w:t>م على الناس ما الأصل فيه الح</w:t>
      </w:r>
      <w:r w:rsidR="0048508D">
        <w:rPr>
          <w:rFonts w:ascii="Traditional Arabic" w:hAnsi="Traditional Arabic" w:hint="cs"/>
          <w:noProof w:val="0"/>
          <w:rtl/>
          <w:lang w:eastAsia="en-US"/>
        </w:rPr>
        <w:t>ِ</w:t>
      </w:r>
      <w:r w:rsidR="004347BB">
        <w:rPr>
          <w:rFonts w:ascii="Traditional Arabic" w:hAnsi="Traditional Arabic"/>
          <w:noProof w:val="0"/>
          <w:rtl/>
          <w:lang w:eastAsia="en-US"/>
        </w:rPr>
        <w:t>ل</w:t>
      </w:r>
      <w:r w:rsidR="0048508D">
        <w:rPr>
          <w:rFonts w:ascii="Traditional Arabic" w:hAnsi="Traditional Arabic" w:hint="cs"/>
          <w:noProof w:val="0"/>
          <w:rtl/>
          <w:lang w:eastAsia="en-US"/>
        </w:rPr>
        <w:t>ّ</w:t>
      </w:r>
      <w:r w:rsidR="004347BB">
        <w:rPr>
          <w:rFonts w:ascii="Traditional Arabic" w:hAnsi="Traditional Arabic"/>
          <w:noProof w:val="0"/>
          <w:rtl/>
          <w:lang w:eastAsia="en-US"/>
        </w:rPr>
        <w:t>، حتى يتبين لنا ذلك على وجه</w:t>
      </w:r>
      <w:r w:rsidR="004347BB">
        <w:rPr>
          <w:rFonts w:ascii="Traditional Arabic" w:hAnsi="Traditional Arabic" w:hint="cs"/>
          <w:noProof w:val="0"/>
          <w:rtl/>
          <w:lang w:eastAsia="en-US"/>
        </w:rPr>
        <w:t>ٍ بيِّن</w:t>
      </w:r>
      <w:r w:rsidR="004347BB" w:rsidRPr="00C821A1">
        <w:rPr>
          <w:rStyle w:val="af1"/>
          <w:szCs w:val="32"/>
          <w:rtl/>
        </w:rPr>
        <w:t>(</w:t>
      </w:r>
      <w:r w:rsidR="004347BB" w:rsidRPr="00C821A1">
        <w:rPr>
          <w:rStyle w:val="af1"/>
          <w:szCs w:val="32"/>
          <w:rtl/>
        </w:rPr>
        <w:footnoteReference w:id="1070"/>
      </w:r>
      <w:r w:rsidR="004347BB" w:rsidRPr="00C821A1">
        <w:rPr>
          <w:rStyle w:val="af1"/>
          <w:szCs w:val="32"/>
          <w:rtl/>
        </w:rPr>
        <w:t>)</w:t>
      </w:r>
      <w:r w:rsidR="004347BB" w:rsidRPr="00D44E80">
        <w:rPr>
          <w:rFonts w:ascii="Traditional Arabic" w:hAnsi="Traditional Arabic" w:hint="cs"/>
          <w:noProof w:val="0"/>
          <w:rtl/>
          <w:lang w:eastAsia="en-US"/>
        </w:rPr>
        <w:t>.</w:t>
      </w:r>
    </w:p>
    <w:p w:rsidR="004347BB" w:rsidRDefault="004347BB" w:rsidP="00597C20">
      <w:pPr>
        <w:pStyle w:val="53"/>
        <w:rPr>
          <w:rtl/>
        </w:rPr>
      </w:pPr>
      <w:r>
        <w:rPr>
          <w:rFonts w:hint="cs"/>
          <w:rtl/>
        </w:rPr>
        <w:t>وجه اندراج الفرع تحت القاعدة:</w:t>
      </w:r>
    </w:p>
    <w:p w:rsidR="004347BB" w:rsidRPr="00AF1D02" w:rsidRDefault="004347BB" w:rsidP="00597C20">
      <w:pPr>
        <w:widowControl/>
        <w:autoSpaceDE w:val="0"/>
        <w:autoSpaceDN w:val="0"/>
        <w:adjustRightInd w:val="0"/>
        <w:ind w:firstLine="720"/>
        <w:rPr>
          <w:rFonts w:ascii="Traditional Arabic" w:hAnsi="Traditional Arabic"/>
          <w:noProof w:val="0"/>
          <w:color w:val="auto"/>
          <w:lang w:eastAsia="en-US"/>
        </w:rPr>
      </w:pPr>
      <w:r w:rsidRPr="00AF1D02">
        <w:rPr>
          <w:rFonts w:ascii="Traditional Arabic" w:hAnsi="Traditional Arabic" w:hint="cs"/>
          <w:noProof w:val="0"/>
          <w:color w:val="auto"/>
          <w:rtl/>
          <w:lang w:eastAsia="en-US"/>
        </w:rPr>
        <w:t>الأصل في المعاملات الحلّ، فما اجتمع فيه علتا الربا:</w:t>
      </w:r>
      <w:r w:rsidR="0048508D">
        <w:rPr>
          <w:rFonts w:ascii="Traditional Arabic" w:hAnsi="Traditional Arabic" w:hint="cs"/>
          <w:noProof w:val="0"/>
          <w:color w:val="auto"/>
          <w:rtl/>
          <w:lang w:eastAsia="en-US"/>
        </w:rPr>
        <w:t xml:space="preserve"> </w:t>
      </w:r>
      <w:r w:rsidRPr="00AF1D02">
        <w:rPr>
          <w:rFonts w:ascii="Traditional Arabic" w:hAnsi="Traditional Arabic" w:hint="cs"/>
          <w:noProof w:val="0"/>
          <w:color w:val="auto"/>
          <w:rtl/>
          <w:lang w:eastAsia="en-US"/>
        </w:rPr>
        <w:t>الكيل</w:t>
      </w:r>
      <w:r w:rsidR="00154102" w:rsidRPr="00AF1D02">
        <w:rPr>
          <w:rFonts w:ascii="Traditional Arabic" w:hAnsi="Traditional Arabic" w:hint="cs"/>
          <w:noProof w:val="0"/>
          <w:color w:val="auto"/>
          <w:rtl/>
          <w:lang w:eastAsia="en-US"/>
        </w:rPr>
        <w:t xml:space="preserve"> و</w:t>
      </w:r>
      <w:r w:rsidRPr="00AF1D02">
        <w:rPr>
          <w:rFonts w:ascii="Traditional Arabic" w:hAnsi="Traditional Arabic" w:hint="cs"/>
          <w:noProof w:val="0"/>
          <w:color w:val="auto"/>
          <w:rtl/>
          <w:lang w:eastAsia="en-US"/>
        </w:rPr>
        <w:t>الطعم فهو حرام،</w:t>
      </w:r>
      <w:r w:rsidR="00154102" w:rsidRPr="00AF1D02">
        <w:rPr>
          <w:rFonts w:ascii="Traditional Arabic" w:hAnsi="Traditional Arabic" w:hint="cs"/>
          <w:noProof w:val="0"/>
          <w:color w:val="auto"/>
          <w:rtl/>
          <w:lang w:eastAsia="en-US"/>
        </w:rPr>
        <w:t xml:space="preserve"> و</w:t>
      </w:r>
      <w:r w:rsidRPr="00AF1D02">
        <w:rPr>
          <w:rFonts w:ascii="Traditional Arabic" w:hAnsi="Traditional Arabic" w:hint="cs"/>
          <w:noProof w:val="0"/>
          <w:color w:val="auto"/>
          <w:rtl/>
          <w:lang w:eastAsia="en-US"/>
        </w:rPr>
        <w:t>ما عدا ذلك فهو باقٍ على الحلّ؛</w:t>
      </w:r>
      <w:r w:rsidR="0048508D">
        <w:rPr>
          <w:rFonts w:ascii="Traditional Arabic" w:hAnsi="Traditional Arabic" w:hint="cs"/>
          <w:b/>
          <w:bCs/>
          <w:noProof w:val="0"/>
          <w:color w:val="auto"/>
          <w:rtl/>
          <w:lang w:eastAsia="en-US"/>
        </w:rPr>
        <w:t xml:space="preserve"> </w:t>
      </w:r>
      <w:r w:rsidRPr="0048508D">
        <w:rPr>
          <w:rFonts w:ascii="Traditional Arabic" w:hAnsi="Traditional Arabic" w:hint="cs"/>
          <w:noProof w:val="0"/>
          <w:color w:val="auto"/>
          <w:rtl/>
          <w:lang w:eastAsia="en-US"/>
        </w:rPr>
        <w:t>لأن الأصل بقاء ما كان على ما كان.</w:t>
      </w:r>
    </w:p>
    <w:p w:rsidR="00065E4B" w:rsidRPr="00875330" w:rsidRDefault="004347BB" w:rsidP="000A76C7">
      <w:pPr>
        <w:pStyle w:val="afc"/>
        <w:widowControl/>
        <w:numPr>
          <w:ilvl w:val="0"/>
          <w:numId w:val="151"/>
        </w:numPr>
        <w:autoSpaceDE w:val="0"/>
        <w:autoSpaceDN w:val="0"/>
        <w:adjustRightInd w:val="0"/>
        <w:rPr>
          <w:rFonts w:ascii="Traditional Arabic" w:hAnsi="Traditional Arabic"/>
          <w:noProof w:val="0"/>
          <w:color w:val="auto"/>
          <w:lang w:eastAsia="en-US"/>
        </w:rPr>
      </w:pPr>
      <w:r w:rsidRPr="00875330">
        <w:rPr>
          <w:rFonts w:ascii="Traditional Arabic" w:hAnsi="Traditional Arabic"/>
          <w:noProof w:val="0"/>
          <w:color w:val="auto"/>
          <w:rtl/>
          <w:lang w:eastAsia="en-US"/>
        </w:rPr>
        <w:t>لو اد</w:t>
      </w:r>
      <w:r>
        <w:rPr>
          <w:rFonts w:ascii="Traditional Arabic" w:hAnsi="Traditional Arabic" w:hint="cs"/>
          <w:noProof w:val="0"/>
          <w:color w:val="auto"/>
          <w:rtl/>
          <w:lang w:eastAsia="en-US"/>
        </w:rPr>
        <w:t>َّ</w:t>
      </w:r>
      <w:r w:rsidRPr="00875330">
        <w:rPr>
          <w:rFonts w:ascii="Traditional Arabic" w:hAnsi="Traditional Arabic"/>
          <w:noProof w:val="0"/>
          <w:color w:val="auto"/>
          <w:rtl/>
          <w:lang w:eastAsia="en-US"/>
        </w:rPr>
        <w:t>عى المرتهن أنه رد</w:t>
      </w:r>
      <w:r>
        <w:rPr>
          <w:rFonts w:ascii="Traditional Arabic" w:hAnsi="Traditional Arabic" w:hint="cs"/>
          <w:noProof w:val="0"/>
          <w:color w:val="auto"/>
          <w:rtl/>
          <w:lang w:eastAsia="en-US"/>
        </w:rPr>
        <w:t>َّ</w:t>
      </w:r>
      <w:r w:rsidRPr="00875330">
        <w:rPr>
          <w:rFonts w:ascii="Traditional Arabic" w:hAnsi="Traditional Arabic"/>
          <w:noProof w:val="0"/>
          <w:color w:val="auto"/>
          <w:rtl/>
          <w:lang w:eastAsia="en-US"/>
        </w:rPr>
        <w:t xml:space="preserve"> الرهن إلى الراهن، وقال الراهن: لم ترد</w:t>
      </w:r>
      <w:r>
        <w:rPr>
          <w:rFonts w:ascii="Traditional Arabic" w:hAnsi="Traditional Arabic" w:hint="cs"/>
          <w:noProof w:val="0"/>
          <w:color w:val="auto"/>
          <w:rtl/>
          <w:lang w:eastAsia="en-US"/>
        </w:rPr>
        <w:t>َّ</w:t>
      </w:r>
      <w:r w:rsidRPr="00875330">
        <w:rPr>
          <w:rFonts w:ascii="Traditional Arabic" w:hAnsi="Traditional Arabic"/>
          <w:noProof w:val="0"/>
          <w:color w:val="auto"/>
          <w:rtl/>
          <w:lang w:eastAsia="en-US"/>
        </w:rPr>
        <w:t>ه، فالقول قول الراهن</w:t>
      </w:r>
      <w:r w:rsidRPr="00875330">
        <w:rPr>
          <w:rFonts w:ascii="Traditional Arabic" w:hAnsi="Traditional Arabic" w:hint="cs"/>
          <w:noProof w:val="0"/>
          <w:color w:val="auto"/>
          <w:rtl/>
          <w:lang w:eastAsia="en-US"/>
        </w:rPr>
        <w:t>، مع يمينه</w:t>
      </w:r>
      <w:r w:rsidRPr="00875330">
        <w:rPr>
          <w:rFonts w:ascii="Traditional Arabic" w:hAnsi="Traditional Arabic"/>
          <w:noProof w:val="0"/>
          <w:color w:val="auto"/>
          <w:rtl/>
          <w:lang w:eastAsia="en-US"/>
        </w:rPr>
        <w:t>؛ لأن الأصل عدم الرد، ولأننا اتفقنا على أن</w:t>
      </w:r>
      <w:r w:rsidRPr="00875330">
        <w:rPr>
          <w:rFonts w:ascii="Traditional Arabic" w:hAnsi="Traditional Arabic" w:hint="cs"/>
          <w:noProof w:val="0"/>
          <w:color w:val="auto"/>
          <w:rtl/>
          <w:lang w:eastAsia="en-US"/>
        </w:rPr>
        <w:t xml:space="preserve"> الرهن</w:t>
      </w:r>
      <w:r w:rsidRPr="00875330">
        <w:rPr>
          <w:rFonts w:ascii="Traditional Arabic" w:hAnsi="Traditional Arabic"/>
          <w:noProof w:val="0"/>
          <w:color w:val="auto"/>
          <w:rtl/>
          <w:lang w:eastAsia="en-US"/>
        </w:rPr>
        <w:t xml:space="preserve"> في يد</w:t>
      </w:r>
      <w:r w:rsidRPr="00875330">
        <w:rPr>
          <w:rFonts w:ascii="Traditional Arabic" w:hAnsi="Traditional Arabic" w:hint="cs"/>
          <w:noProof w:val="0"/>
          <w:color w:val="auto"/>
          <w:rtl/>
          <w:lang w:eastAsia="en-US"/>
        </w:rPr>
        <w:t xml:space="preserve"> المرتهن،</w:t>
      </w:r>
      <w:r w:rsidRPr="00875330">
        <w:rPr>
          <w:rFonts w:ascii="Traditional Arabic" w:hAnsi="Traditional Arabic"/>
          <w:noProof w:val="0"/>
          <w:color w:val="auto"/>
          <w:rtl/>
          <w:lang w:eastAsia="en-US"/>
        </w:rPr>
        <w:t xml:space="preserve"> واختلفنا في انتقاله عن</w:t>
      </w:r>
      <w:r w:rsidR="0085366C">
        <w:rPr>
          <w:rFonts w:ascii="Traditional Arabic" w:hAnsi="Traditional Arabic" w:hint="cs"/>
          <w:noProof w:val="0"/>
          <w:color w:val="auto"/>
          <w:rtl/>
          <w:lang w:eastAsia="en-US"/>
        </w:rPr>
        <w:t xml:space="preserve"> </w:t>
      </w:r>
      <w:r w:rsidRPr="00875330">
        <w:rPr>
          <w:rFonts w:ascii="Traditional Arabic" w:hAnsi="Traditional Arabic"/>
          <w:noProof w:val="0"/>
          <w:color w:val="auto"/>
          <w:rtl/>
          <w:lang w:eastAsia="en-US"/>
        </w:rPr>
        <w:t>يد</w:t>
      </w:r>
      <w:r w:rsidRPr="00875330">
        <w:rPr>
          <w:rFonts w:ascii="Traditional Arabic" w:hAnsi="Traditional Arabic" w:hint="cs"/>
          <w:noProof w:val="0"/>
          <w:color w:val="auto"/>
          <w:rtl/>
          <w:lang w:eastAsia="en-US"/>
        </w:rPr>
        <w:t>ه</w:t>
      </w:r>
      <w:r w:rsidRPr="00875330">
        <w:rPr>
          <w:rFonts w:ascii="Traditional Arabic" w:hAnsi="Traditional Arabic"/>
          <w:noProof w:val="0"/>
          <w:color w:val="auto"/>
          <w:rtl/>
          <w:lang w:eastAsia="en-US"/>
        </w:rPr>
        <w:t>،</w:t>
      </w:r>
      <w:r w:rsidRPr="00875330">
        <w:rPr>
          <w:rFonts w:ascii="Traditional Arabic" w:hAnsi="Traditional Arabic" w:hint="cs"/>
          <w:noProof w:val="0"/>
          <w:color w:val="auto"/>
          <w:rtl/>
          <w:lang w:eastAsia="en-US"/>
        </w:rPr>
        <w:t xml:space="preserve"> و</w:t>
      </w:r>
      <w:r w:rsidRPr="00875330">
        <w:rPr>
          <w:rFonts w:ascii="Traditional Arabic" w:hAnsi="Traditional Arabic"/>
          <w:noProof w:val="0"/>
          <w:color w:val="auto"/>
          <w:rtl/>
          <w:lang w:eastAsia="en-US"/>
        </w:rPr>
        <w:t>الأصل بقاء ما كان على ما كان</w:t>
      </w:r>
      <w:r w:rsidRPr="00C821A1">
        <w:rPr>
          <w:rStyle w:val="af1"/>
          <w:szCs w:val="32"/>
          <w:rtl/>
        </w:rPr>
        <w:t>(</w:t>
      </w:r>
      <w:r w:rsidRPr="00C821A1">
        <w:rPr>
          <w:rStyle w:val="af1"/>
          <w:szCs w:val="32"/>
          <w:rtl/>
        </w:rPr>
        <w:footnoteReference w:id="1071"/>
      </w:r>
      <w:r w:rsidRPr="00C821A1">
        <w:rPr>
          <w:rStyle w:val="af1"/>
          <w:szCs w:val="32"/>
          <w:rtl/>
        </w:rPr>
        <w:t>)</w:t>
      </w:r>
      <w:r w:rsidRPr="00875330">
        <w:rPr>
          <w:rFonts w:ascii="Traditional Arabic" w:hAnsi="Traditional Arabic"/>
          <w:noProof w:val="0"/>
          <w:color w:val="auto"/>
          <w:rtl/>
          <w:lang w:eastAsia="en-US"/>
        </w:rPr>
        <w:t>.</w:t>
      </w:r>
    </w:p>
    <w:p w:rsidR="00065E4B" w:rsidRDefault="00065E4B" w:rsidP="00597C20">
      <w:pPr>
        <w:pStyle w:val="53"/>
        <w:rPr>
          <w:rtl/>
        </w:rPr>
      </w:pPr>
      <w:r>
        <w:rPr>
          <w:rFonts w:hint="cs"/>
          <w:rtl/>
        </w:rPr>
        <w:lastRenderedPageBreak/>
        <w:t>و</w:t>
      </w:r>
      <w:r w:rsidR="004347BB">
        <w:rPr>
          <w:rFonts w:hint="cs"/>
          <w:rtl/>
        </w:rPr>
        <w:t>جه اندراج الفرع تحت القاعدة:</w:t>
      </w:r>
    </w:p>
    <w:p w:rsidR="004347BB" w:rsidRPr="00AF1D02"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sidRPr="00AF1D02">
        <w:rPr>
          <w:rFonts w:ascii="Traditional Arabic" w:hAnsi="Traditional Arabic" w:hint="cs"/>
          <w:noProof w:val="0"/>
          <w:color w:val="auto"/>
          <w:rtl/>
          <w:lang w:eastAsia="en-US"/>
        </w:rPr>
        <w:t>ل</w:t>
      </w:r>
      <w:r w:rsidR="004347BB" w:rsidRPr="00AF1D02">
        <w:rPr>
          <w:rFonts w:ascii="Traditional Arabic" w:hAnsi="Traditional Arabic" w:hint="cs"/>
          <w:noProof w:val="0"/>
          <w:color w:val="auto"/>
          <w:rtl/>
          <w:lang w:eastAsia="en-US"/>
        </w:rPr>
        <w:t xml:space="preserve">ما كان الرهن بيد المرتهن يقينا، </w:t>
      </w:r>
      <w:r w:rsidR="004347BB" w:rsidRPr="0048508D">
        <w:rPr>
          <w:rFonts w:ascii="Traditional Arabic" w:hAnsi="Traditional Arabic" w:hint="cs"/>
          <w:noProof w:val="0"/>
          <w:color w:val="auto"/>
          <w:rtl/>
          <w:lang w:eastAsia="en-US"/>
        </w:rPr>
        <w:t>فالأصل عدم الرد وبقاء الرهن بيده</w:t>
      </w:r>
      <w:r w:rsidR="004347BB" w:rsidRPr="00AF1D02">
        <w:rPr>
          <w:rFonts w:ascii="Traditional Arabic" w:hAnsi="Traditional Arabic" w:hint="cs"/>
          <w:noProof w:val="0"/>
          <w:color w:val="auto"/>
          <w:rtl/>
          <w:lang w:eastAsia="en-US"/>
        </w:rPr>
        <w:t xml:space="preserve"> حتى يثبت خلاف ذلك؛</w:t>
      </w:r>
      <w:r w:rsidR="004347BB" w:rsidRPr="00AF1D02">
        <w:rPr>
          <w:rFonts w:ascii="Traditional Arabic" w:hAnsi="Traditional Arabic" w:hint="cs"/>
          <w:b/>
          <w:bCs/>
          <w:noProof w:val="0"/>
          <w:color w:val="auto"/>
          <w:rtl/>
          <w:lang w:eastAsia="en-US"/>
        </w:rPr>
        <w:t xml:space="preserve"> </w:t>
      </w:r>
      <w:r w:rsidR="004347BB" w:rsidRPr="0048508D">
        <w:rPr>
          <w:rFonts w:ascii="Traditional Arabic" w:hAnsi="Traditional Arabic" w:hint="cs"/>
          <w:noProof w:val="0"/>
          <w:color w:val="auto"/>
          <w:rtl/>
          <w:lang w:eastAsia="en-US"/>
        </w:rPr>
        <w:t>لأن الأصل بقاء ما كان على ما كان.</w:t>
      </w:r>
    </w:p>
    <w:p w:rsidR="00065E4B" w:rsidRDefault="00E46FB5" w:rsidP="000A76C7">
      <w:pPr>
        <w:pStyle w:val="afc"/>
        <w:widowControl/>
        <w:numPr>
          <w:ilvl w:val="0"/>
          <w:numId w:val="151"/>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إذا</w:t>
      </w:r>
      <w:r w:rsidR="004347BB">
        <w:rPr>
          <w:rFonts w:ascii="Traditional Arabic" w:hAnsi="Traditional Arabic" w:hint="cs"/>
          <w:noProof w:val="0"/>
          <w:color w:val="auto"/>
          <w:rtl/>
          <w:lang w:eastAsia="en-US"/>
        </w:rPr>
        <w:t xml:space="preserve"> باع سلعة</w:t>
      </w:r>
      <w:r>
        <w:rPr>
          <w:rFonts w:ascii="Traditional Arabic" w:hAnsi="Traditional Arabic" w:hint="cs"/>
          <w:noProof w:val="0"/>
          <w:color w:val="auto"/>
          <w:rtl/>
          <w:lang w:eastAsia="en-US"/>
        </w:rPr>
        <w:t>ً</w:t>
      </w:r>
      <w:r w:rsidR="00154102">
        <w:rPr>
          <w:rFonts w:ascii="Traditional Arabic" w:hAnsi="Traditional Arabic" w:hint="cs"/>
          <w:noProof w:val="0"/>
          <w:color w:val="auto"/>
          <w:rtl/>
          <w:lang w:eastAsia="en-US"/>
        </w:rPr>
        <w:t xml:space="preserve"> و</w:t>
      </w:r>
      <w:r w:rsidR="004347BB">
        <w:rPr>
          <w:rFonts w:ascii="Traditional Arabic" w:hAnsi="Traditional Arabic" w:hint="cs"/>
          <w:noProof w:val="0"/>
          <w:color w:val="auto"/>
          <w:rtl/>
          <w:lang w:eastAsia="en-US"/>
        </w:rPr>
        <w:t xml:space="preserve">اشترط على المشتري </w:t>
      </w:r>
      <w:r>
        <w:rPr>
          <w:rFonts w:ascii="Traditional Arabic" w:hAnsi="Traditional Arabic" w:hint="cs"/>
          <w:noProof w:val="0"/>
          <w:color w:val="auto"/>
          <w:rtl/>
          <w:lang w:eastAsia="en-US"/>
        </w:rPr>
        <w:t>أن يرهنه عصيراً، ثم ادعى</w:t>
      </w:r>
      <w:r w:rsidR="004347BB">
        <w:rPr>
          <w:rFonts w:ascii="Traditional Arabic" w:hAnsi="Traditional Arabic" w:hint="cs"/>
          <w:noProof w:val="0"/>
          <w:color w:val="auto"/>
          <w:rtl/>
          <w:lang w:eastAsia="en-US"/>
        </w:rPr>
        <w:t>-بعد الرهن- أنه كان خمراً، فالقول قول الراهن؛ لأن الأصل السلامة</w:t>
      </w:r>
      <w:r w:rsidR="00154102">
        <w:rPr>
          <w:rFonts w:ascii="Traditional Arabic" w:hAnsi="Traditional Arabic" w:hint="cs"/>
          <w:noProof w:val="0"/>
          <w:color w:val="auto"/>
          <w:rtl/>
          <w:lang w:eastAsia="en-US"/>
        </w:rPr>
        <w:t xml:space="preserve"> و</w:t>
      </w:r>
      <w:r w:rsidR="004347BB">
        <w:rPr>
          <w:rFonts w:ascii="Traditional Arabic" w:hAnsi="Traditional Arabic" w:hint="cs"/>
          <w:noProof w:val="0"/>
          <w:color w:val="auto"/>
          <w:rtl/>
          <w:lang w:eastAsia="en-US"/>
        </w:rPr>
        <w:t>عدم التَّخَمُّر</w:t>
      </w:r>
      <w:r w:rsidR="004347BB" w:rsidRPr="00C821A1">
        <w:rPr>
          <w:rStyle w:val="af1"/>
          <w:szCs w:val="32"/>
          <w:rtl/>
        </w:rPr>
        <w:t>(</w:t>
      </w:r>
      <w:r w:rsidR="004347BB" w:rsidRPr="00C821A1">
        <w:rPr>
          <w:rStyle w:val="af1"/>
          <w:szCs w:val="32"/>
          <w:rtl/>
        </w:rPr>
        <w:footnoteReference w:id="1072"/>
      </w:r>
      <w:r w:rsidR="004347BB" w:rsidRPr="00C821A1">
        <w:rPr>
          <w:rStyle w:val="af1"/>
          <w:szCs w:val="32"/>
          <w:rtl/>
        </w:rPr>
        <w:t>)</w:t>
      </w:r>
      <w:r w:rsidR="004347BB">
        <w:rPr>
          <w:rFonts w:ascii="Traditional Arabic" w:hAnsi="Traditional Arabic" w:hint="cs"/>
          <w:noProof w:val="0"/>
          <w:color w:val="auto"/>
          <w:rtl/>
          <w:lang w:eastAsia="en-US"/>
        </w:rPr>
        <w:t>.</w:t>
      </w:r>
    </w:p>
    <w:p w:rsidR="00065E4B" w:rsidRDefault="00065E4B" w:rsidP="00597C20">
      <w:pPr>
        <w:pStyle w:val="53"/>
        <w:rPr>
          <w:rtl/>
        </w:rPr>
      </w:pPr>
      <w:r>
        <w:rPr>
          <w:rFonts w:hint="cs"/>
          <w:rtl/>
        </w:rPr>
        <w:t>و</w:t>
      </w:r>
      <w:r w:rsidR="004347BB">
        <w:rPr>
          <w:rFonts w:hint="cs"/>
          <w:rtl/>
        </w:rPr>
        <w:t>جه اندراج الفرع تحت القاعدة:</w:t>
      </w:r>
    </w:p>
    <w:p w:rsidR="00065E4B" w:rsidRPr="00AF1D02" w:rsidRDefault="00065E4B" w:rsidP="00597C20">
      <w:pPr>
        <w:widowControl/>
        <w:autoSpaceDE w:val="0"/>
        <w:autoSpaceDN w:val="0"/>
        <w:adjustRightInd w:val="0"/>
        <w:ind w:firstLine="720"/>
        <w:rPr>
          <w:rFonts w:ascii="Traditional Arabic" w:hAnsi="Traditional Arabic"/>
          <w:noProof w:val="0"/>
          <w:color w:val="auto"/>
          <w:rtl/>
          <w:lang w:eastAsia="en-US"/>
        </w:rPr>
      </w:pPr>
      <w:r w:rsidRPr="00AF1D02">
        <w:rPr>
          <w:rFonts w:ascii="Traditional Arabic" w:hAnsi="Traditional Arabic"/>
          <w:noProof w:val="0"/>
          <w:rtl/>
          <w:lang w:eastAsia="en-US"/>
        </w:rPr>
        <w:t>ا</w:t>
      </w:r>
      <w:r w:rsidR="004347BB" w:rsidRPr="00AF1D02">
        <w:rPr>
          <w:rFonts w:ascii="Traditional Arabic" w:hAnsi="Traditional Arabic"/>
          <w:noProof w:val="0"/>
          <w:rtl/>
          <w:lang w:eastAsia="en-US"/>
        </w:rPr>
        <w:t>لأصل السلامة وعدم التخم</w:t>
      </w:r>
      <w:r w:rsidR="004347BB" w:rsidRPr="00AF1D02">
        <w:rPr>
          <w:rFonts w:ascii="Traditional Arabic" w:hAnsi="Traditional Arabic" w:hint="cs"/>
          <w:noProof w:val="0"/>
          <w:rtl/>
          <w:lang w:eastAsia="en-US"/>
        </w:rPr>
        <w:t>ّ</w:t>
      </w:r>
      <w:r w:rsidR="00E46FB5">
        <w:rPr>
          <w:rFonts w:ascii="Traditional Arabic" w:hAnsi="Traditional Arabic"/>
          <w:noProof w:val="0"/>
          <w:rtl/>
          <w:lang w:eastAsia="en-US"/>
        </w:rPr>
        <w:t xml:space="preserve">ر؛ </w:t>
      </w:r>
      <w:r w:rsidR="00E46FB5">
        <w:rPr>
          <w:rFonts w:ascii="Traditional Arabic" w:hAnsi="Traditional Arabic" w:hint="cs"/>
          <w:noProof w:val="0"/>
          <w:rtl/>
          <w:lang w:eastAsia="en-US"/>
        </w:rPr>
        <w:t>لأن</w:t>
      </w:r>
      <w:r w:rsidR="004347BB" w:rsidRPr="00AF1D02">
        <w:rPr>
          <w:rFonts w:ascii="Traditional Arabic" w:hAnsi="Traditional Arabic" w:hint="cs"/>
          <w:noProof w:val="0"/>
          <w:rtl/>
          <w:lang w:eastAsia="en-US"/>
        </w:rPr>
        <w:t xml:space="preserve"> </w:t>
      </w:r>
      <w:r w:rsidR="004347BB" w:rsidRPr="00AF1D02">
        <w:rPr>
          <w:rFonts w:ascii="Traditional Arabic" w:hAnsi="Traditional Arabic"/>
          <w:noProof w:val="0"/>
          <w:rtl/>
          <w:lang w:eastAsia="en-US"/>
        </w:rPr>
        <w:t>الأصل أن هذا العصير باق</w:t>
      </w:r>
      <w:r w:rsidR="004347BB" w:rsidRPr="00AF1D02">
        <w:rPr>
          <w:rFonts w:ascii="Traditional Arabic" w:hAnsi="Traditional Arabic" w:hint="cs"/>
          <w:noProof w:val="0"/>
          <w:rtl/>
          <w:lang w:eastAsia="en-US"/>
        </w:rPr>
        <w:t>ٍ</w:t>
      </w:r>
      <w:r w:rsidR="004347BB" w:rsidRPr="00AF1D02">
        <w:rPr>
          <w:rFonts w:ascii="Traditional Arabic" w:hAnsi="Traditional Arabic"/>
          <w:noProof w:val="0"/>
          <w:rtl/>
          <w:lang w:eastAsia="en-US"/>
        </w:rPr>
        <w:t xml:space="preserve"> </w:t>
      </w:r>
      <w:r w:rsidR="00E46FB5">
        <w:rPr>
          <w:rFonts w:ascii="Traditional Arabic" w:hAnsi="Traditional Arabic" w:hint="cs"/>
          <w:noProof w:val="0"/>
          <w:rtl/>
          <w:lang w:eastAsia="en-US"/>
        </w:rPr>
        <w:t>على حالته و</w:t>
      </w:r>
      <w:r w:rsidR="004347BB" w:rsidRPr="00AF1D02">
        <w:rPr>
          <w:rFonts w:ascii="Traditional Arabic" w:hAnsi="Traditional Arabic"/>
          <w:noProof w:val="0"/>
          <w:rtl/>
          <w:lang w:eastAsia="en-US"/>
        </w:rPr>
        <w:t>لم يتخمر</w:t>
      </w:r>
      <w:r w:rsidR="00E46FB5">
        <w:rPr>
          <w:rFonts w:ascii="Traditional Arabic" w:hAnsi="Traditional Arabic" w:hint="cs"/>
          <w:noProof w:val="0"/>
          <w:rtl/>
          <w:lang w:eastAsia="en-US"/>
        </w:rPr>
        <w:t>،</w:t>
      </w:r>
      <w:r w:rsidR="004347BB" w:rsidRPr="0048508D">
        <w:rPr>
          <w:rFonts w:ascii="Traditional Arabic" w:hAnsi="Traditional Arabic"/>
          <w:noProof w:val="0"/>
          <w:rtl/>
          <w:lang w:eastAsia="en-US"/>
        </w:rPr>
        <w:t xml:space="preserve"> </w:t>
      </w:r>
      <w:r w:rsidR="00E46FB5">
        <w:rPr>
          <w:rFonts w:ascii="Traditional Arabic" w:hAnsi="Traditional Arabic" w:hint="cs"/>
          <w:noProof w:val="0"/>
          <w:rtl/>
          <w:lang w:eastAsia="en-US"/>
        </w:rPr>
        <w:t>و</w:t>
      </w:r>
      <w:r w:rsidR="004347BB" w:rsidRPr="0048508D">
        <w:rPr>
          <w:rFonts w:ascii="Traditional Arabic" w:hAnsi="Traditional Arabic"/>
          <w:noProof w:val="0"/>
          <w:rtl/>
          <w:lang w:eastAsia="en-US"/>
        </w:rPr>
        <w:t>الأصل بقاء ما كان على ما كان عليه</w:t>
      </w:r>
      <w:r w:rsidR="004347BB" w:rsidRPr="00AF1D02">
        <w:rPr>
          <w:rFonts w:ascii="Traditional Arabic" w:hAnsi="Traditional Arabic" w:hint="cs"/>
          <w:noProof w:val="0"/>
          <w:rtl/>
          <w:lang w:eastAsia="en-US"/>
        </w:rPr>
        <w:t>،</w:t>
      </w:r>
      <w:r w:rsidR="004347BB" w:rsidRPr="00AF1D02">
        <w:rPr>
          <w:rFonts w:ascii="Traditional Arabic" w:hAnsi="Traditional Arabic"/>
          <w:noProof w:val="0"/>
          <w:rtl/>
          <w:lang w:eastAsia="en-US"/>
        </w:rPr>
        <w:t xml:space="preserve"> فيكون</w:t>
      </w:r>
      <w:r w:rsidR="0048508D">
        <w:rPr>
          <w:rFonts w:ascii="Traditional Arabic" w:hAnsi="Traditional Arabic" w:hint="cs"/>
          <w:noProof w:val="0"/>
          <w:rtl/>
          <w:lang w:eastAsia="en-US"/>
        </w:rPr>
        <w:t xml:space="preserve"> </w:t>
      </w:r>
      <w:r w:rsidR="004347BB" w:rsidRPr="00AF1D02">
        <w:rPr>
          <w:rFonts w:ascii="Traditional Arabic" w:hAnsi="Traditional Arabic"/>
          <w:noProof w:val="0"/>
          <w:rtl/>
          <w:lang w:eastAsia="en-US"/>
        </w:rPr>
        <w:t>تخم</w:t>
      </w:r>
      <w:r w:rsidR="004347BB" w:rsidRPr="00AF1D02">
        <w:rPr>
          <w:rFonts w:ascii="Traditional Arabic" w:hAnsi="Traditional Arabic" w:hint="cs"/>
          <w:noProof w:val="0"/>
          <w:rtl/>
          <w:lang w:eastAsia="en-US"/>
        </w:rPr>
        <w:t>ّ</w:t>
      </w:r>
      <w:r w:rsidR="0048508D">
        <w:rPr>
          <w:rFonts w:ascii="Traditional Arabic" w:hAnsi="Traditional Arabic" w:hint="cs"/>
          <w:noProof w:val="0"/>
          <w:rtl/>
          <w:lang w:eastAsia="en-US"/>
        </w:rPr>
        <w:t>ُ</w:t>
      </w:r>
      <w:r w:rsidR="004347BB" w:rsidRPr="00AF1D02">
        <w:rPr>
          <w:rFonts w:ascii="Traditional Arabic" w:hAnsi="Traditional Arabic"/>
          <w:noProof w:val="0"/>
          <w:rtl/>
          <w:lang w:eastAsia="en-US"/>
        </w:rPr>
        <w:t>ره في عُهدة المرتهن</w:t>
      </w:r>
      <w:r w:rsidR="004347BB" w:rsidRPr="00C821A1">
        <w:rPr>
          <w:rStyle w:val="af1"/>
          <w:szCs w:val="32"/>
          <w:rtl/>
        </w:rPr>
        <w:t>(</w:t>
      </w:r>
      <w:r w:rsidR="004347BB" w:rsidRPr="00C821A1">
        <w:rPr>
          <w:rStyle w:val="af1"/>
          <w:szCs w:val="32"/>
          <w:rtl/>
        </w:rPr>
        <w:footnoteReference w:id="1073"/>
      </w:r>
      <w:r w:rsidR="004347BB" w:rsidRPr="00C821A1">
        <w:rPr>
          <w:rStyle w:val="af1"/>
          <w:szCs w:val="32"/>
          <w:rtl/>
        </w:rPr>
        <w:t>)</w:t>
      </w:r>
      <w:r w:rsidR="004347BB" w:rsidRPr="00AF1D02">
        <w:rPr>
          <w:rFonts w:ascii="Traditional Arabic" w:hAnsi="Traditional Arabic" w:hint="cs"/>
          <w:noProof w:val="0"/>
          <w:rtl/>
          <w:lang w:eastAsia="en-US"/>
        </w:rPr>
        <w:t>.</w:t>
      </w:r>
    </w:p>
    <w:p w:rsidR="00065E4B" w:rsidRPr="0085366C" w:rsidRDefault="0085366C" w:rsidP="0085366C">
      <w:pPr>
        <w:pStyle w:val="afc"/>
        <w:widowControl/>
        <w:autoSpaceDE w:val="0"/>
        <w:autoSpaceDN w:val="0"/>
        <w:adjustRightInd w:val="0"/>
        <w:ind w:left="1080" w:firstLine="0"/>
        <w:rPr>
          <w:rFonts w:ascii="Simplified Arabic" w:hAnsi="Simplified Arabic" w:cs="Simplified Arabic"/>
          <w:noProof w:val="0"/>
          <w:color w:val="auto"/>
          <w:sz w:val="44"/>
          <w:szCs w:val="44"/>
          <w:lang w:eastAsia="en-US"/>
        </w:rPr>
      </w:pPr>
      <w:r>
        <w:rPr>
          <w:rFonts w:ascii="Traditional Arabic" w:hAnsi="Traditional Arabic" w:hint="cs"/>
          <w:noProof w:val="0"/>
          <w:color w:val="auto"/>
          <w:rtl/>
          <w:lang w:eastAsia="en-US"/>
        </w:rPr>
        <w:t>4_</w:t>
      </w:r>
      <w:r w:rsidR="004347BB" w:rsidRPr="0085366C">
        <w:rPr>
          <w:rFonts w:ascii="Traditional Arabic" w:hAnsi="Traditional Arabic" w:hint="cs"/>
          <w:noProof w:val="0"/>
          <w:color w:val="auto"/>
          <w:rtl/>
          <w:lang w:eastAsia="en-US"/>
        </w:rPr>
        <w:t xml:space="preserve">إذا </w:t>
      </w:r>
      <w:r w:rsidR="004347BB" w:rsidRPr="0085366C">
        <w:rPr>
          <w:rFonts w:ascii="Traditional Arabic" w:hAnsi="Traditional Arabic"/>
          <w:noProof w:val="0"/>
          <w:color w:val="auto"/>
          <w:rtl/>
          <w:lang w:eastAsia="en-US"/>
        </w:rPr>
        <w:t>أتى صاحب</w:t>
      </w:r>
      <w:r w:rsidR="004347BB" w:rsidRPr="0085366C">
        <w:rPr>
          <w:rFonts w:ascii="Traditional Arabic" w:hAnsi="Traditional Arabic" w:hint="cs"/>
          <w:noProof w:val="0"/>
          <w:color w:val="auto"/>
          <w:rtl/>
          <w:lang w:eastAsia="en-US"/>
        </w:rPr>
        <w:t xml:space="preserve"> اللُّقَطَة</w:t>
      </w:r>
      <w:r w:rsidR="004347BB" w:rsidRPr="0085366C">
        <w:rPr>
          <w:rStyle w:val="af1"/>
          <w:szCs w:val="32"/>
          <w:rtl/>
        </w:rPr>
        <w:t>(</w:t>
      </w:r>
      <w:r w:rsidR="004347BB" w:rsidRPr="00C821A1">
        <w:rPr>
          <w:rStyle w:val="af1"/>
          <w:szCs w:val="32"/>
          <w:rtl/>
        </w:rPr>
        <w:footnoteReference w:id="1074"/>
      </w:r>
      <w:r w:rsidR="004347BB" w:rsidRPr="0085366C">
        <w:rPr>
          <w:rStyle w:val="af1"/>
          <w:szCs w:val="32"/>
          <w:rtl/>
        </w:rPr>
        <w:t>)</w:t>
      </w:r>
      <w:r w:rsidR="004347BB" w:rsidRPr="0085366C">
        <w:rPr>
          <w:rFonts w:ascii="Traditional Arabic" w:hAnsi="Traditional Arabic" w:hint="cs"/>
          <w:noProof w:val="0"/>
          <w:color w:val="auto"/>
          <w:rtl/>
          <w:lang w:eastAsia="en-US"/>
        </w:rPr>
        <w:t>،</w:t>
      </w:r>
      <w:r w:rsidR="00154102" w:rsidRPr="0085366C">
        <w:rPr>
          <w:rFonts w:ascii="Traditional Arabic" w:hAnsi="Traditional Arabic"/>
          <w:noProof w:val="0"/>
          <w:color w:val="auto"/>
          <w:rtl/>
          <w:lang w:eastAsia="en-US"/>
        </w:rPr>
        <w:t xml:space="preserve"> و</w:t>
      </w:r>
      <w:r w:rsidR="004347BB" w:rsidRPr="0085366C">
        <w:rPr>
          <w:rFonts w:ascii="Traditional Arabic" w:hAnsi="Traditional Arabic"/>
          <w:noProof w:val="0"/>
          <w:color w:val="auto"/>
          <w:rtl/>
          <w:lang w:eastAsia="en-US"/>
        </w:rPr>
        <w:t xml:space="preserve">ذكر صفاتها، وكان ما ذكره </w:t>
      </w:r>
      <w:r w:rsidR="004347BB" w:rsidRPr="0085366C">
        <w:rPr>
          <w:rFonts w:ascii="Traditional Arabic" w:hAnsi="Traditional Arabic" w:hint="cs"/>
          <w:noProof w:val="0"/>
          <w:color w:val="auto"/>
          <w:rtl/>
          <w:lang w:eastAsia="en-US"/>
        </w:rPr>
        <w:t>مُ</w:t>
      </w:r>
      <w:r w:rsidR="004347BB" w:rsidRPr="0085366C">
        <w:rPr>
          <w:rFonts w:ascii="Traditional Arabic" w:hAnsi="Traditional Arabic"/>
          <w:noProof w:val="0"/>
          <w:color w:val="auto"/>
          <w:rtl/>
          <w:lang w:eastAsia="en-US"/>
        </w:rPr>
        <w:t>ط</w:t>
      </w:r>
      <w:r w:rsidR="004347BB" w:rsidRPr="0085366C">
        <w:rPr>
          <w:rFonts w:ascii="Traditional Arabic" w:hAnsi="Traditional Arabic" w:hint="cs"/>
          <w:noProof w:val="0"/>
          <w:color w:val="auto"/>
          <w:rtl/>
          <w:lang w:eastAsia="en-US"/>
        </w:rPr>
        <w:t>ا</w:t>
      </w:r>
      <w:r w:rsidR="004347BB" w:rsidRPr="0085366C">
        <w:rPr>
          <w:rFonts w:ascii="Traditional Arabic" w:hAnsi="Traditional Arabic"/>
          <w:noProof w:val="0"/>
          <w:color w:val="auto"/>
          <w:rtl/>
          <w:lang w:eastAsia="en-US"/>
        </w:rPr>
        <w:t>ب</w:t>
      </w:r>
      <w:r w:rsidR="004347BB" w:rsidRPr="0085366C">
        <w:rPr>
          <w:rFonts w:ascii="Traditional Arabic" w:hAnsi="Traditional Arabic" w:hint="cs"/>
          <w:noProof w:val="0"/>
          <w:color w:val="auto"/>
          <w:rtl/>
          <w:lang w:eastAsia="en-US"/>
        </w:rPr>
        <w:t>ِ</w:t>
      </w:r>
      <w:r w:rsidR="004347BB" w:rsidRPr="0085366C">
        <w:rPr>
          <w:rFonts w:ascii="Traditional Arabic" w:hAnsi="Traditional Arabic"/>
          <w:noProof w:val="0"/>
          <w:color w:val="auto"/>
          <w:rtl/>
          <w:lang w:eastAsia="en-US"/>
        </w:rPr>
        <w:t>ق</w:t>
      </w:r>
      <w:r w:rsidR="004347BB" w:rsidRPr="0085366C">
        <w:rPr>
          <w:rFonts w:ascii="Traditional Arabic" w:hAnsi="Traditional Arabic" w:hint="cs"/>
          <w:noProof w:val="0"/>
          <w:color w:val="auto"/>
          <w:rtl/>
          <w:lang w:eastAsia="en-US"/>
        </w:rPr>
        <w:t>ا</w:t>
      </w:r>
      <w:r w:rsidR="0048508D" w:rsidRPr="0085366C">
        <w:rPr>
          <w:rFonts w:ascii="Traditional Arabic" w:hAnsi="Traditional Arabic" w:hint="cs"/>
          <w:noProof w:val="0"/>
          <w:color w:val="auto"/>
          <w:rtl/>
          <w:lang w:eastAsia="en-US"/>
        </w:rPr>
        <w:t xml:space="preserve">ً </w:t>
      </w:r>
      <w:r w:rsidR="004347BB" w:rsidRPr="0085366C">
        <w:rPr>
          <w:rFonts w:ascii="Traditional Arabic" w:hAnsi="Traditional Arabic" w:hint="cs"/>
          <w:noProof w:val="0"/>
          <w:color w:val="auto"/>
          <w:rtl/>
          <w:lang w:eastAsia="en-US"/>
        </w:rPr>
        <w:t>ل</w:t>
      </w:r>
      <w:r w:rsidR="004347BB" w:rsidRPr="0085366C">
        <w:rPr>
          <w:rFonts w:ascii="Traditional Arabic" w:hAnsi="Traditional Arabic"/>
          <w:noProof w:val="0"/>
          <w:color w:val="auto"/>
          <w:rtl/>
          <w:lang w:eastAsia="en-US"/>
        </w:rPr>
        <w:t>لواقع</w:t>
      </w:r>
      <w:r w:rsidR="004347BB" w:rsidRPr="0085366C">
        <w:rPr>
          <w:rFonts w:ascii="Traditional Arabic" w:hAnsi="Traditional Arabic" w:hint="cs"/>
          <w:noProof w:val="0"/>
          <w:color w:val="auto"/>
          <w:rtl/>
          <w:lang w:eastAsia="en-US"/>
        </w:rPr>
        <w:t xml:space="preserve">، فإنه </w:t>
      </w:r>
      <w:r w:rsidR="004347BB" w:rsidRPr="0085366C">
        <w:rPr>
          <w:rFonts w:ascii="Traditional Arabic" w:hAnsi="Traditional Arabic"/>
          <w:noProof w:val="0"/>
          <w:color w:val="auto"/>
          <w:rtl/>
          <w:lang w:eastAsia="en-US"/>
        </w:rPr>
        <w:t>يلزم الواجد</w:t>
      </w:r>
      <w:r w:rsidR="004347BB" w:rsidRPr="0085366C">
        <w:rPr>
          <w:rFonts w:ascii="Traditional Arabic" w:hAnsi="Traditional Arabic" w:hint="cs"/>
          <w:noProof w:val="0"/>
          <w:color w:val="auto"/>
          <w:rtl/>
          <w:lang w:eastAsia="en-US"/>
        </w:rPr>
        <w:t xml:space="preserve">َ </w:t>
      </w:r>
      <w:r w:rsidR="004347BB" w:rsidRPr="0085366C">
        <w:rPr>
          <w:rFonts w:ascii="Traditional Arabic" w:hAnsi="Traditional Arabic"/>
          <w:noProof w:val="0"/>
          <w:color w:val="auto"/>
          <w:rtl/>
          <w:lang w:eastAsia="en-US"/>
        </w:rPr>
        <w:t>دفع</w:t>
      </w:r>
      <w:r w:rsidR="004347BB" w:rsidRPr="0085366C">
        <w:rPr>
          <w:rFonts w:ascii="Traditional Arabic" w:hAnsi="Traditional Arabic" w:hint="cs"/>
          <w:noProof w:val="0"/>
          <w:color w:val="auto"/>
          <w:rtl/>
          <w:lang w:eastAsia="en-US"/>
        </w:rPr>
        <w:t>ُ</w:t>
      </w:r>
      <w:r w:rsidR="004347BB" w:rsidRPr="0085366C">
        <w:rPr>
          <w:rFonts w:ascii="Traditional Arabic" w:hAnsi="Traditional Arabic"/>
          <w:noProof w:val="0"/>
          <w:color w:val="auto"/>
          <w:rtl/>
          <w:lang w:eastAsia="en-US"/>
        </w:rPr>
        <w:t>ها إلى الواصف؛ لأن هذه اللقطة لا يد</w:t>
      </w:r>
      <w:r w:rsidR="0048508D" w:rsidRPr="0085366C">
        <w:rPr>
          <w:rFonts w:ascii="Traditional Arabic" w:hAnsi="Traditional Arabic" w:hint="cs"/>
          <w:noProof w:val="0"/>
          <w:color w:val="auto"/>
          <w:rtl/>
          <w:lang w:eastAsia="en-US"/>
        </w:rPr>
        <w:t>َّ</w:t>
      </w:r>
      <w:r w:rsidR="004347BB" w:rsidRPr="0085366C">
        <w:rPr>
          <w:rFonts w:ascii="Traditional Arabic" w:hAnsi="Traditional Arabic"/>
          <w:noProof w:val="0"/>
          <w:color w:val="auto"/>
          <w:rtl/>
          <w:lang w:eastAsia="en-US"/>
        </w:rPr>
        <w:t>عيها أحد، حتى الذي هي في يده لا يدعيها</w:t>
      </w:r>
      <w:r w:rsidR="004347BB" w:rsidRPr="0085366C">
        <w:rPr>
          <w:rFonts w:ascii="Traditional Arabic" w:hAnsi="Traditional Arabic" w:hint="cs"/>
          <w:noProof w:val="0"/>
          <w:color w:val="auto"/>
          <w:rtl/>
          <w:lang w:eastAsia="en-US"/>
        </w:rPr>
        <w:t xml:space="preserve"> لنفسه، ف</w:t>
      </w:r>
      <w:r w:rsidR="004347BB" w:rsidRPr="0085366C">
        <w:rPr>
          <w:rFonts w:ascii="Traditional Arabic" w:hAnsi="Traditional Arabic"/>
          <w:noProof w:val="0"/>
          <w:color w:val="auto"/>
          <w:rtl/>
          <w:lang w:eastAsia="en-US"/>
        </w:rPr>
        <w:t>لا ن</w:t>
      </w:r>
      <w:r w:rsidR="004347BB" w:rsidRPr="0085366C">
        <w:rPr>
          <w:rFonts w:ascii="Traditional Arabic" w:hAnsi="Traditional Arabic" w:hint="cs"/>
          <w:noProof w:val="0"/>
          <w:color w:val="auto"/>
          <w:rtl/>
          <w:lang w:eastAsia="en-US"/>
        </w:rPr>
        <w:t>ُ</w:t>
      </w:r>
      <w:r w:rsidR="004347BB" w:rsidRPr="0085366C">
        <w:rPr>
          <w:rFonts w:ascii="Traditional Arabic" w:hAnsi="Traditional Arabic"/>
          <w:noProof w:val="0"/>
          <w:color w:val="auto"/>
          <w:rtl/>
          <w:lang w:eastAsia="en-US"/>
        </w:rPr>
        <w:t>طالب الواصف بالبي</w:t>
      </w:r>
      <w:r w:rsidR="004347BB" w:rsidRPr="0085366C">
        <w:rPr>
          <w:rFonts w:ascii="Traditional Arabic" w:hAnsi="Traditional Arabic" w:hint="cs"/>
          <w:noProof w:val="0"/>
          <w:color w:val="auto"/>
          <w:rtl/>
          <w:lang w:eastAsia="en-US"/>
        </w:rPr>
        <w:t>ِّ</w:t>
      </w:r>
      <w:r w:rsidR="004347BB" w:rsidRPr="0085366C">
        <w:rPr>
          <w:rFonts w:ascii="Traditional Arabic" w:hAnsi="Traditional Arabic"/>
          <w:noProof w:val="0"/>
          <w:color w:val="auto"/>
          <w:rtl/>
          <w:lang w:eastAsia="en-US"/>
        </w:rPr>
        <w:t>نة؛ لأن الأصل بقاء ملكه، وقد وصفها فوجب دفع</w:t>
      </w:r>
      <w:r w:rsidR="0048508D" w:rsidRPr="0085366C">
        <w:rPr>
          <w:rFonts w:ascii="Traditional Arabic" w:hAnsi="Traditional Arabic" w:hint="cs"/>
          <w:noProof w:val="0"/>
          <w:color w:val="auto"/>
          <w:rtl/>
          <w:lang w:eastAsia="en-US"/>
        </w:rPr>
        <w:t>ُ</w:t>
      </w:r>
      <w:r w:rsidR="004347BB" w:rsidRPr="0085366C">
        <w:rPr>
          <w:rFonts w:ascii="Traditional Arabic" w:hAnsi="Traditional Arabic"/>
          <w:noProof w:val="0"/>
          <w:color w:val="auto"/>
          <w:rtl/>
          <w:lang w:eastAsia="en-US"/>
        </w:rPr>
        <w:t>ها إليه بمقتضى الس</w:t>
      </w:r>
      <w:r w:rsidR="00E46FB5">
        <w:rPr>
          <w:rFonts w:ascii="Traditional Arabic" w:hAnsi="Traditional Arabic" w:hint="cs"/>
          <w:noProof w:val="0"/>
          <w:color w:val="auto"/>
          <w:rtl/>
          <w:lang w:eastAsia="en-US"/>
        </w:rPr>
        <w:t>ُّ</w:t>
      </w:r>
      <w:r w:rsidR="004347BB" w:rsidRPr="0085366C">
        <w:rPr>
          <w:rFonts w:ascii="Traditional Arabic" w:hAnsi="Traditional Arabic"/>
          <w:noProof w:val="0"/>
          <w:color w:val="auto"/>
          <w:rtl/>
          <w:lang w:eastAsia="en-US"/>
        </w:rPr>
        <w:t>نة</w:t>
      </w:r>
      <w:r w:rsidR="004347BB" w:rsidRPr="0085366C">
        <w:rPr>
          <w:rStyle w:val="af1"/>
          <w:szCs w:val="32"/>
          <w:rtl/>
        </w:rPr>
        <w:t>(</w:t>
      </w:r>
      <w:r w:rsidR="004347BB" w:rsidRPr="00C821A1">
        <w:rPr>
          <w:rStyle w:val="af1"/>
          <w:szCs w:val="32"/>
          <w:rtl/>
        </w:rPr>
        <w:footnoteReference w:id="1075"/>
      </w:r>
      <w:r w:rsidR="004347BB" w:rsidRPr="0085366C">
        <w:rPr>
          <w:rStyle w:val="af1"/>
          <w:szCs w:val="32"/>
          <w:rtl/>
        </w:rPr>
        <w:t>)</w:t>
      </w:r>
      <w:r w:rsidR="004347BB" w:rsidRPr="0085366C">
        <w:rPr>
          <w:rFonts w:ascii="Traditional Arabic" w:hAnsi="Traditional Arabic"/>
          <w:noProof w:val="0"/>
          <w:color w:val="auto"/>
          <w:rtl/>
          <w:lang w:eastAsia="en-US"/>
        </w:rPr>
        <w:t>.</w:t>
      </w:r>
    </w:p>
    <w:p w:rsidR="00065E4B" w:rsidRDefault="00065E4B" w:rsidP="00597C20">
      <w:pPr>
        <w:pStyle w:val="53"/>
        <w:rPr>
          <w:rtl/>
        </w:rPr>
      </w:pPr>
      <w:r>
        <w:rPr>
          <w:rFonts w:hint="cs"/>
          <w:rtl/>
        </w:rPr>
        <w:lastRenderedPageBreak/>
        <w:t>و</w:t>
      </w:r>
      <w:r w:rsidR="004347BB">
        <w:rPr>
          <w:rFonts w:hint="cs"/>
          <w:rtl/>
        </w:rPr>
        <w:t>جه اندراج الفرع تحت القاعدة:</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ا</w:t>
      </w:r>
      <w:r w:rsidR="004347BB">
        <w:rPr>
          <w:rFonts w:ascii="Traditional Arabic" w:hAnsi="Traditional Arabic" w:hint="cs"/>
          <w:noProof w:val="0"/>
          <w:color w:val="auto"/>
          <w:rtl/>
          <w:lang w:eastAsia="en-US"/>
        </w:rPr>
        <w:t>لأصل في هذه اللقطة أنها ملكٌ لصاحبها،</w:t>
      </w:r>
      <w:r w:rsidR="00154102">
        <w:rPr>
          <w:rFonts w:ascii="Traditional Arabic" w:hAnsi="Traditional Arabic" w:hint="cs"/>
          <w:noProof w:val="0"/>
          <w:color w:val="auto"/>
          <w:rtl/>
          <w:lang w:eastAsia="en-US"/>
        </w:rPr>
        <w:t xml:space="preserve"> و</w:t>
      </w:r>
      <w:r w:rsidR="004347BB">
        <w:rPr>
          <w:rFonts w:ascii="Traditional Arabic" w:hAnsi="Traditional Arabic" w:hint="cs"/>
          <w:noProof w:val="0"/>
          <w:color w:val="auto"/>
          <w:rtl/>
          <w:lang w:eastAsia="en-US"/>
        </w:rPr>
        <w:t>لا يجوز لِواجِدها أن يتصرف فيها إلا بعد تعريفها لمدة سنة،</w:t>
      </w:r>
      <w:r w:rsidR="00154102">
        <w:rPr>
          <w:rFonts w:ascii="Traditional Arabic" w:hAnsi="Traditional Arabic" w:hint="cs"/>
          <w:noProof w:val="0"/>
          <w:color w:val="auto"/>
          <w:rtl/>
          <w:lang w:eastAsia="en-US"/>
        </w:rPr>
        <w:t xml:space="preserve"> و</w:t>
      </w:r>
      <w:r w:rsidR="004347BB">
        <w:rPr>
          <w:rFonts w:ascii="Traditional Arabic" w:hAnsi="Traditional Arabic" w:hint="cs"/>
          <w:noProof w:val="0"/>
          <w:color w:val="auto"/>
          <w:rtl/>
          <w:lang w:eastAsia="en-US"/>
        </w:rPr>
        <w:t>إذا جاء صاحبُ اللقطة وجب على الواجد دفعُها إليه؛ لأنها م</w:t>
      </w:r>
      <w:r w:rsidR="00A11724">
        <w:rPr>
          <w:rFonts w:ascii="Traditional Arabic" w:hAnsi="Traditional Arabic" w:hint="cs"/>
          <w:noProof w:val="0"/>
          <w:color w:val="auto"/>
          <w:rtl/>
          <w:lang w:eastAsia="en-US"/>
        </w:rPr>
        <w:t>ِ</w:t>
      </w:r>
      <w:r w:rsidR="004347BB">
        <w:rPr>
          <w:rFonts w:ascii="Traditional Arabic" w:hAnsi="Traditional Arabic" w:hint="cs"/>
          <w:noProof w:val="0"/>
          <w:color w:val="auto"/>
          <w:rtl/>
          <w:lang w:eastAsia="en-US"/>
        </w:rPr>
        <w:t>ل</w:t>
      </w:r>
      <w:r w:rsidR="00A11724">
        <w:rPr>
          <w:rFonts w:ascii="Traditional Arabic" w:hAnsi="Traditional Arabic" w:hint="cs"/>
          <w:noProof w:val="0"/>
          <w:color w:val="auto"/>
          <w:rtl/>
          <w:lang w:eastAsia="en-US"/>
        </w:rPr>
        <w:t>ْ</w:t>
      </w:r>
      <w:r w:rsidR="004347BB">
        <w:rPr>
          <w:rFonts w:ascii="Traditional Arabic" w:hAnsi="Traditional Arabic" w:hint="cs"/>
          <w:noProof w:val="0"/>
          <w:color w:val="auto"/>
          <w:rtl/>
          <w:lang w:eastAsia="en-US"/>
        </w:rPr>
        <w:t>كه،</w:t>
      </w:r>
      <w:r w:rsidR="00154102">
        <w:rPr>
          <w:rFonts w:ascii="Traditional Arabic" w:hAnsi="Traditional Arabic" w:hint="cs"/>
          <w:noProof w:val="0"/>
          <w:color w:val="auto"/>
          <w:rtl/>
          <w:lang w:eastAsia="en-US"/>
        </w:rPr>
        <w:t xml:space="preserve"> و</w:t>
      </w:r>
      <w:r w:rsidR="004347BB">
        <w:rPr>
          <w:rFonts w:ascii="Traditional Arabic" w:hAnsi="Traditional Arabic" w:hint="cs"/>
          <w:noProof w:val="0"/>
          <w:color w:val="auto"/>
          <w:rtl/>
          <w:lang w:eastAsia="en-US"/>
        </w:rPr>
        <w:t xml:space="preserve">الأصل بقاء ملكه؛ لأن </w:t>
      </w:r>
      <w:r w:rsidR="004347BB" w:rsidRPr="00A11724">
        <w:rPr>
          <w:rFonts w:ascii="Traditional Arabic" w:hAnsi="Traditional Arabic" w:hint="cs"/>
          <w:noProof w:val="0"/>
          <w:color w:val="auto"/>
          <w:rtl/>
          <w:lang w:eastAsia="en-US"/>
        </w:rPr>
        <w:t>الأصل بقاء ما كان على ما كان.</w:t>
      </w:r>
    </w:p>
    <w:p w:rsidR="00065E4B" w:rsidRDefault="00065E4B" w:rsidP="00597C20">
      <w:pPr>
        <w:widowControl/>
        <w:autoSpaceDE w:val="0"/>
        <w:autoSpaceDN w:val="0"/>
        <w:adjustRightInd w:val="0"/>
        <w:ind w:left="360" w:firstLine="0"/>
        <w:rPr>
          <w:rFonts w:ascii="Traditional Arabic" w:hAnsi="Traditional Arabic"/>
          <w:noProof w:val="0"/>
          <w:sz w:val="32"/>
          <w:szCs w:val="32"/>
          <w:rtl/>
          <w:lang w:eastAsia="en-US"/>
        </w:rPr>
      </w:pPr>
      <w:r>
        <w:rPr>
          <w:rFonts w:ascii="Traditional Arabic" w:hAnsi="Traditional Arabic" w:hint="cs"/>
          <w:noProof w:val="0"/>
          <w:color w:val="auto"/>
          <w:rtl/>
          <w:lang w:eastAsia="en-US"/>
        </w:rPr>
        <w:t>5</w:t>
      </w:r>
      <w:r w:rsidR="004347BB">
        <w:rPr>
          <w:rFonts w:ascii="Traditional Arabic" w:hAnsi="Traditional Arabic" w:hint="cs"/>
          <w:noProof w:val="0"/>
          <w:color w:val="auto"/>
          <w:rtl/>
          <w:lang w:eastAsia="en-US"/>
        </w:rPr>
        <w:t>-</w:t>
      </w:r>
      <w:r w:rsidR="004347BB">
        <w:rPr>
          <w:rFonts w:ascii="Traditional Arabic" w:hAnsi="Traditional Arabic" w:hint="cs"/>
          <w:noProof w:val="0"/>
          <w:sz w:val="32"/>
          <w:szCs w:val="32"/>
          <w:rtl/>
          <w:lang w:eastAsia="en-US"/>
        </w:rPr>
        <w:t xml:space="preserve"> </w:t>
      </w:r>
      <w:r w:rsidR="004347BB" w:rsidRPr="00A11724">
        <w:rPr>
          <w:rFonts w:ascii="Traditional Arabic" w:hAnsi="Traditional Arabic" w:hint="cs"/>
          <w:noProof w:val="0"/>
          <w:rtl/>
          <w:lang w:eastAsia="en-US"/>
        </w:rPr>
        <w:t>من كان ممن تحرُم عليهم الصدقة الواجبة،</w:t>
      </w:r>
      <w:r w:rsidR="00154102" w:rsidRPr="00A11724">
        <w:rPr>
          <w:rFonts w:ascii="Traditional Arabic" w:hAnsi="Traditional Arabic" w:hint="cs"/>
          <w:noProof w:val="0"/>
          <w:rtl/>
          <w:lang w:eastAsia="en-US"/>
        </w:rPr>
        <w:t xml:space="preserve"> و</w:t>
      </w:r>
      <w:r w:rsidR="004347BB" w:rsidRPr="00A11724">
        <w:rPr>
          <w:rFonts w:ascii="Traditional Arabic" w:hAnsi="Traditional Arabic" w:hint="cs"/>
          <w:noProof w:val="0"/>
          <w:rtl/>
          <w:lang w:eastAsia="en-US"/>
        </w:rPr>
        <w:t>وجد لقطةً مما لا تتبعه هِمَّة أوساط الناس،</w:t>
      </w:r>
      <w:r w:rsidR="00154102" w:rsidRPr="00A11724">
        <w:rPr>
          <w:rFonts w:ascii="Traditional Arabic" w:hAnsi="Traditional Arabic" w:hint="cs"/>
          <w:noProof w:val="0"/>
          <w:rtl/>
          <w:lang w:eastAsia="en-US"/>
        </w:rPr>
        <w:t xml:space="preserve"> و</w:t>
      </w:r>
      <w:r w:rsidR="004347BB" w:rsidRPr="00A11724">
        <w:rPr>
          <w:rFonts w:ascii="Traditional Arabic" w:hAnsi="Traditional Arabic" w:hint="cs"/>
          <w:noProof w:val="0"/>
          <w:rtl/>
          <w:lang w:eastAsia="en-US"/>
        </w:rPr>
        <w:t>شك هل هي من الصدقة الواجبة أم لا،فإنّ له أن يتملَّكها، ما لم يتيقَّن كونَها من الصدقة الواجبة</w:t>
      </w:r>
      <w:r w:rsidR="004347BB" w:rsidRPr="00A11724">
        <w:rPr>
          <w:rStyle w:val="af1"/>
          <w:rtl/>
        </w:rPr>
        <w:t>(</w:t>
      </w:r>
      <w:r w:rsidR="004347BB" w:rsidRPr="00A11724">
        <w:rPr>
          <w:rStyle w:val="af1"/>
          <w:rtl/>
        </w:rPr>
        <w:footnoteReference w:id="1076"/>
      </w:r>
      <w:r w:rsidR="004347BB" w:rsidRPr="00A11724">
        <w:rPr>
          <w:rStyle w:val="af1"/>
          <w:rtl/>
        </w:rPr>
        <w:t>)</w:t>
      </w:r>
      <w:r w:rsidR="004347BB" w:rsidRPr="00A11724">
        <w:rPr>
          <w:rFonts w:ascii="Traditional Arabic" w:hAnsi="Traditional Arabic" w:hint="cs"/>
          <w:noProof w:val="0"/>
          <w:rtl/>
          <w:lang w:eastAsia="en-US"/>
        </w:rPr>
        <w:t>.</w:t>
      </w:r>
    </w:p>
    <w:p w:rsidR="00065E4B" w:rsidRPr="001C32FA" w:rsidRDefault="00065E4B" w:rsidP="00597C20">
      <w:pPr>
        <w:pStyle w:val="53"/>
        <w:rPr>
          <w:rtl/>
        </w:rPr>
      </w:pPr>
      <w:r w:rsidRPr="001C32FA">
        <w:rPr>
          <w:rFonts w:hint="cs"/>
          <w:rtl/>
        </w:rPr>
        <w:t>و</w:t>
      </w:r>
      <w:r w:rsidR="004347BB" w:rsidRPr="001C32FA">
        <w:rPr>
          <w:rFonts w:hint="cs"/>
          <w:rtl/>
        </w:rPr>
        <w:t>جه اندراج الفرع تحت القاعدة:</w:t>
      </w:r>
    </w:p>
    <w:p w:rsidR="004347BB" w:rsidRPr="002831CE" w:rsidRDefault="00065E4B" w:rsidP="00597C20">
      <w:pPr>
        <w:widowControl/>
        <w:autoSpaceDE w:val="0"/>
        <w:autoSpaceDN w:val="0"/>
        <w:adjustRightInd w:val="0"/>
        <w:ind w:firstLine="720"/>
        <w:rPr>
          <w:rFonts w:ascii="Traditional Arabic" w:hAnsi="Traditional Arabic"/>
          <w:noProof w:val="0"/>
          <w:color w:val="auto"/>
          <w:rtl/>
          <w:lang w:eastAsia="en-US"/>
        </w:rPr>
      </w:pPr>
      <w:r w:rsidRPr="002831CE">
        <w:rPr>
          <w:rFonts w:ascii="Traditional Arabic" w:hAnsi="Traditional Arabic" w:hint="cs"/>
          <w:noProof w:val="0"/>
          <w:rtl/>
          <w:lang w:eastAsia="en-US"/>
        </w:rPr>
        <w:t>ا</w:t>
      </w:r>
      <w:r w:rsidR="004347BB" w:rsidRPr="002831CE">
        <w:rPr>
          <w:rFonts w:ascii="Traditional Arabic" w:hAnsi="Traditional Arabic" w:hint="cs"/>
          <w:noProof w:val="0"/>
          <w:rtl/>
          <w:lang w:eastAsia="en-US"/>
        </w:rPr>
        <w:t>لأصل حِل</w:t>
      </w:r>
      <w:r w:rsidR="00A11724" w:rsidRPr="002831CE">
        <w:rPr>
          <w:rFonts w:ascii="Traditional Arabic" w:hAnsi="Traditional Arabic" w:hint="cs"/>
          <w:noProof w:val="0"/>
          <w:rtl/>
          <w:lang w:eastAsia="en-US"/>
        </w:rPr>
        <w:t>ُّ</w:t>
      </w:r>
      <w:r w:rsidR="004347BB" w:rsidRPr="002831CE">
        <w:rPr>
          <w:rFonts w:ascii="Traditional Arabic" w:hAnsi="Traditional Arabic" w:hint="cs"/>
          <w:noProof w:val="0"/>
          <w:rtl/>
          <w:lang w:eastAsia="en-US"/>
        </w:rPr>
        <w:t xml:space="preserve"> هذه اللقطة،</w:t>
      </w:r>
      <w:r w:rsidR="00154102" w:rsidRPr="002831CE">
        <w:rPr>
          <w:rFonts w:ascii="Traditional Arabic" w:hAnsi="Traditional Arabic" w:hint="cs"/>
          <w:noProof w:val="0"/>
          <w:rtl/>
          <w:lang w:eastAsia="en-US"/>
        </w:rPr>
        <w:t xml:space="preserve"> و</w:t>
      </w:r>
      <w:r w:rsidR="004347BB" w:rsidRPr="002831CE">
        <w:rPr>
          <w:rFonts w:ascii="Traditional Arabic" w:hAnsi="Traditional Arabic" w:hint="cs"/>
          <w:noProof w:val="0"/>
          <w:rtl/>
          <w:lang w:eastAsia="en-US"/>
        </w:rPr>
        <w:t xml:space="preserve">لِواجِدها تملُّكها، ما لم </w:t>
      </w:r>
      <w:r w:rsidR="004347BB" w:rsidRPr="002831CE">
        <w:rPr>
          <w:rFonts w:ascii="Traditional Arabic" w:hAnsi="Traditional Arabic" w:hint="cs"/>
          <w:noProof w:val="0"/>
          <w:color w:val="auto"/>
          <w:rtl/>
          <w:lang w:eastAsia="en-US"/>
        </w:rPr>
        <w:t>يتيقّن كونَها من الصدقة الواجبة،</w:t>
      </w:r>
      <w:r w:rsidR="00A11724" w:rsidRPr="002831CE">
        <w:rPr>
          <w:rFonts w:ascii="Traditional Arabic" w:hAnsi="Traditional Arabic" w:hint="cs"/>
          <w:noProof w:val="0"/>
          <w:color w:val="auto"/>
          <w:rtl/>
          <w:lang w:eastAsia="en-US"/>
        </w:rPr>
        <w:t xml:space="preserve"> </w:t>
      </w:r>
      <w:r w:rsidR="004347BB" w:rsidRPr="002831CE">
        <w:rPr>
          <w:rFonts w:ascii="Traditional Arabic" w:hAnsi="Traditional Arabic" w:hint="cs"/>
          <w:noProof w:val="0"/>
          <w:color w:val="auto"/>
          <w:rtl/>
          <w:lang w:eastAsia="en-US"/>
        </w:rPr>
        <w:t>والأصل بقاء ما كان على ما كان حتى يرد ما يُغيِّر ذلك.</w:t>
      </w:r>
    </w:p>
    <w:p w:rsidR="00065E4B" w:rsidRPr="004347BB" w:rsidRDefault="00A11724" w:rsidP="00A8347C">
      <w:pPr>
        <w:pStyle w:val="aff3"/>
        <w:rPr>
          <w:rtl/>
        </w:rPr>
      </w:pPr>
      <w:bookmarkStart w:id="213" w:name="_Toc334046443"/>
      <w:r>
        <w:rPr>
          <w:rFonts w:hint="cs"/>
          <w:rtl/>
        </w:rPr>
        <w:t xml:space="preserve">                                          </w:t>
      </w:r>
      <w:r w:rsidR="004347BB" w:rsidRPr="004347BB">
        <w:rPr>
          <w:rFonts w:hint="cs"/>
          <w:rtl/>
        </w:rPr>
        <w:t>المطلب الخامس</w:t>
      </w:r>
      <w:r>
        <w:rPr>
          <w:rFonts w:hint="cs"/>
          <w:rtl/>
        </w:rPr>
        <w:t>:</w:t>
      </w:r>
      <w:r w:rsidR="004347BB">
        <w:rPr>
          <w:rFonts w:hint="eastAsia"/>
          <w:rtl/>
        </w:rPr>
        <w:t> </w:t>
      </w:r>
      <w:r w:rsidR="004347BB">
        <w:rPr>
          <w:rFonts w:hint="cs"/>
          <w:rtl/>
        </w:rPr>
        <w:br/>
      </w:r>
      <w:r>
        <w:rPr>
          <w:rFonts w:hint="cs"/>
          <w:rtl/>
        </w:rPr>
        <w:t xml:space="preserve">                                          </w:t>
      </w:r>
      <w:r w:rsidR="004347BB" w:rsidRPr="004347BB">
        <w:rPr>
          <w:rFonts w:hint="cs"/>
          <w:rtl/>
        </w:rPr>
        <w:t>مستثنيات القاعدة</w:t>
      </w:r>
      <w:bookmarkEnd w:id="213"/>
    </w:p>
    <w:p w:rsidR="004347BB" w:rsidRDefault="00065E4B" w:rsidP="00A11724">
      <w:pPr>
        <w:widowControl/>
        <w:autoSpaceDE w:val="0"/>
        <w:autoSpaceDN w:val="0"/>
        <w:adjustRightInd w:val="0"/>
        <w:ind w:firstLine="720"/>
        <w:rPr>
          <w:rFonts w:ascii="Traditional Arabic" w:hAnsi="Traditional Arabic"/>
          <w:noProof w:val="0"/>
          <w:rtl/>
          <w:lang w:eastAsia="en-US"/>
        </w:rPr>
      </w:pPr>
      <w:r w:rsidRPr="00A52FBC">
        <w:rPr>
          <w:rFonts w:ascii="Traditional Arabic" w:hAnsi="Traditional Arabic"/>
          <w:noProof w:val="0"/>
          <w:rtl/>
          <w:lang w:eastAsia="en-US"/>
        </w:rPr>
        <w:t>إ</w:t>
      </w:r>
      <w:r w:rsidR="004347BB" w:rsidRPr="00A52FBC">
        <w:rPr>
          <w:rFonts w:ascii="Traditional Arabic" w:hAnsi="Traditional Arabic"/>
          <w:noProof w:val="0"/>
          <w:rtl/>
          <w:lang w:eastAsia="en-US"/>
        </w:rPr>
        <w:t>ن المودَع إذا اد</w:t>
      </w:r>
      <w:r w:rsidR="004347BB">
        <w:rPr>
          <w:rFonts w:ascii="Traditional Arabic" w:hAnsi="Traditional Arabic" w:hint="cs"/>
          <w:noProof w:val="0"/>
          <w:rtl/>
          <w:lang w:eastAsia="en-US"/>
        </w:rPr>
        <w:t>َّ</w:t>
      </w:r>
      <w:r w:rsidR="004347BB" w:rsidRPr="00A52FBC">
        <w:rPr>
          <w:rFonts w:ascii="Traditional Arabic" w:hAnsi="Traditional Arabic"/>
          <w:noProof w:val="0"/>
          <w:rtl/>
          <w:lang w:eastAsia="en-US"/>
        </w:rPr>
        <w:t>عى ر</w:t>
      </w:r>
      <w:r w:rsidR="004347BB">
        <w:rPr>
          <w:rFonts w:ascii="Traditional Arabic" w:hAnsi="Traditional Arabic" w:hint="cs"/>
          <w:noProof w:val="0"/>
          <w:rtl/>
          <w:lang w:eastAsia="en-US"/>
        </w:rPr>
        <w:t>َ</w:t>
      </w:r>
      <w:r w:rsidR="004347BB" w:rsidRPr="00A52FBC">
        <w:rPr>
          <w:rFonts w:ascii="Traditional Arabic" w:hAnsi="Traditional Arabic"/>
          <w:noProof w:val="0"/>
          <w:rtl/>
          <w:lang w:eastAsia="en-US"/>
        </w:rPr>
        <w:t>د</w:t>
      </w:r>
      <w:r w:rsidR="004347BB">
        <w:rPr>
          <w:rFonts w:ascii="Traditional Arabic" w:hAnsi="Traditional Arabic" w:hint="cs"/>
          <w:noProof w:val="0"/>
          <w:rtl/>
          <w:lang w:eastAsia="en-US"/>
        </w:rPr>
        <w:t>َّ</w:t>
      </w:r>
      <w:r w:rsidR="002831CE">
        <w:rPr>
          <w:rFonts w:ascii="Traditional Arabic" w:hAnsi="Traditional Arabic" w:hint="cs"/>
          <w:noProof w:val="0"/>
          <w:rtl/>
          <w:lang w:eastAsia="en-US"/>
        </w:rPr>
        <w:t xml:space="preserve"> </w:t>
      </w:r>
      <w:r w:rsidR="004347BB" w:rsidRPr="00A52FBC">
        <w:rPr>
          <w:rFonts w:ascii="Traditional Arabic" w:hAnsi="Traditional Arabic"/>
          <w:noProof w:val="0"/>
          <w:rtl/>
          <w:lang w:eastAsia="en-US"/>
        </w:rPr>
        <w:t>الوديعة</w:t>
      </w:r>
      <w:r w:rsidR="00A11724">
        <w:rPr>
          <w:rStyle w:val="af1"/>
          <w:rFonts w:hint="cs"/>
          <w:szCs w:val="32"/>
          <w:rtl/>
        </w:rPr>
        <w:t xml:space="preserve"> </w:t>
      </w:r>
      <w:r w:rsidR="004347BB" w:rsidRPr="00A52FBC">
        <w:rPr>
          <w:rFonts w:ascii="Traditional Arabic" w:hAnsi="Traditional Arabic"/>
          <w:noProof w:val="0"/>
          <w:rtl/>
          <w:lang w:eastAsia="en-US"/>
        </w:rPr>
        <w:t>إلى المودِع ق</w:t>
      </w:r>
      <w:r w:rsidR="004347BB">
        <w:rPr>
          <w:rFonts w:ascii="Traditional Arabic" w:hAnsi="Traditional Arabic" w:hint="cs"/>
          <w:noProof w:val="0"/>
          <w:rtl/>
          <w:lang w:eastAsia="en-US"/>
        </w:rPr>
        <w:t>ُ</w:t>
      </w:r>
      <w:r w:rsidR="004347BB" w:rsidRPr="00A52FBC">
        <w:rPr>
          <w:rFonts w:ascii="Traditional Arabic" w:hAnsi="Traditional Arabic"/>
          <w:noProof w:val="0"/>
          <w:rtl/>
          <w:lang w:eastAsia="en-US"/>
        </w:rPr>
        <w:t>ب</w:t>
      </w:r>
      <w:r w:rsidR="004347BB">
        <w:rPr>
          <w:rFonts w:ascii="Traditional Arabic" w:hAnsi="Traditional Arabic" w:hint="cs"/>
          <w:noProof w:val="0"/>
          <w:rtl/>
          <w:lang w:eastAsia="en-US"/>
        </w:rPr>
        <w:t>ِ</w:t>
      </w:r>
      <w:r w:rsidR="004347BB" w:rsidRPr="00A52FBC">
        <w:rPr>
          <w:rFonts w:ascii="Traditional Arabic" w:hAnsi="Traditional Arabic"/>
          <w:noProof w:val="0"/>
          <w:rtl/>
          <w:lang w:eastAsia="en-US"/>
        </w:rPr>
        <w:t>ل قول</w:t>
      </w:r>
      <w:r w:rsidR="004347BB">
        <w:rPr>
          <w:rFonts w:ascii="Traditional Arabic" w:hAnsi="Traditional Arabic" w:hint="cs"/>
          <w:noProof w:val="0"/>
          <w:rtl/>
          <w:lang w:eastAsia="en-US"/>
        </w:rPr>
        <w:t>ُ</w:t>
      </w:r>
      <w:r w:rsidR="004347BB" w:rsidRPr="00A52FBC">
        <w:rPr>
          <w:rFonts w:ascii="Traditional Arabic" w:hAnsi="Traditional Arabic"/>
          <w:noProof w:val="0"/>
          <w:rtl/>
          <w:lang w:eastAsia="en-US"/>
        </w:rPr>
        <w:t xml:space="preserve">ه، </w:t>
      </w:r>
      <w:r w:rsidR="004347BB">
        <w:rPr>
          <w:rFonts w:ascii="Traditional Arabic" w:hAnsi="Traditional Arabic" w:hint="cs"/>
          <w:noProof w:val="0"/>
          <w:rtl/>
          <w:lang w:eastAsia="en-US"/>
        </w:rPr>
        <w:t>مع أن الوديعة كانت بيد المودَع،</w:t>
      </w:r>
      <w:r w:rsidR="002831CE">
        <w:rPr>
          <w:rFonts w:ascii="Traditional Arabic" w:hAnsi="Traditional Arabic" w:hint="cs"/>
          <w:noProof w:val="0"/>
          <w:rtl/>
          <w:lang w:eastAsia="en-US"/>
        </w:rPr>
        <w:t xml:space="preserve"> </w:t>
      </w:r>
      <w:r w:rsidR="004347BB">
        <w:rPr>
          <w:rFonts w:ascii="Traditional Arabic" w:hAnsi="Traditional Arabic" w:hint="cs"/>
          <w:noProof w:val="0"/>
          <w:rtl/>
          <w:lang w:eastAsia="en-US"/>
        </w:rPr>
        <w:t>والأصل عدمُ الرد،</w:t>
      </w:r>
      <w:r w:rsidR="00154102">
        <w:rPr>
          <w:rFonts w:ascii="Traditional Arabic" w:hAnsi="Traditional Arabic" w:hint="cs"/>
          <w:noProof w:val="0"/>
          <w:rtl/>
          <w:lang w:eastAsia="en-US"/>
        </w:rPr>
        <w:t xml:space="preserve"> و</w:t>
      </w:r>
      <w:r w:rsidR="004347BB">
        <w:rPr>
          <w:rFonts w:ascii="Traditional Arabic" w:hAnsi="Traditional Arabic" w:hint="cs"/>
          <w:noProof w:val="0"/>
          <w:rtl/>
          <w:lang w:eastAsia="en-US"/>
        </w:rPr>
        <w:t xml:space="preserve">بقاءُ ما كان على ما كان </w:t>
      </w:r>
      <w:r w:rsidR="004347BB">
        <w:rPr>
          <w:rFonts w:ascii="Traditional Arabic" w:hAnsi="Traditional Arabic"/>
          <w:noProof w:val="0"/>
          <w:rtl/>
          <w:lang w:eastAsia="en-US"/>
        </w:rPr>
        <w:t xml:space="preserve">؛ </w:t>
      </w:r>
      <w:r w:rsidR="004347BB">
        <w:rPr>
          <w:rFonts w:ascii="Traditional Arabic" w:hAnsi="Traditional Arabic" w:hint="cs"/>
          <w:noProof w:val="0"/>
          <w:rtl/>
          <w:lang w:eastAsia="en-US"/>
        </w:rPr>
        <w:t>ولكن قُبل قول</w:t>
      </w:r>
      <w:r w:rsidR="004347BB" w:rsidRPr="00A52FBC">
        <w:rPr>
          <w:rFonts w:ascii="Traditional Arabic" w:hAnsi="Traditional Arabic"/>
          <w:noProof w:val="0"/>
          <w:rtl/>
          <w:lang w:eastAsia="en-US"/>
        </w:rPr>
        <w:t xml:space="preserve"> المودَع</w:t>
      </w:r>
      <w:r w:rsidR="004347BB">
        <w:rPr>
          <w:rFonts w:ascii="Traditional Arabic" w:hAnsi="Traditional Arabic" w:hint="cs"/>
          <w:noProof w:val="0"/>
          <w:rtl/>
          <w:lang w:eastAsia="en-US"/>
        </w:rPr>
        <w:t>؛</w:t>
      </w:r>
      <w:r w:rsidR="00A11724">
        <w:rPr>
          <w:rFonts w:ascii="Traditional Arabic" w:hAnsi="Traditional Arabic" w:hint="cs"/>
          <w:noProof w:val="0"/>
          <w:rtl/>
          <w:lang w:eastAsia="en-US"/>
        </w:rPr>
        <w:t xml:space="preserve"> </w:t>
      </w:r>
      <w:r w:rsidR="004347BB">
        <w:rPr>
          <w:rFonts w:ascii="Traditional Arabic" w:hAnsi="Traditional Arabic" w:hint="cs"/>
          <w:noProof w:val="0"/>
          <w:rtl/>
          <w:lang w:eastAsia="en-US"/>
        </w:rPr>
        <w:t>لأنه</w:t>
      </w:r>
      <w:r w:rsidR="004347BB" w:rsidRPr="00A52FBC">
        <w:rPr>
          <w:rFonts w:ascii="Traditional Arabic" w:hAnsi="Traditional Arabic"/>
          <w:noProof w:val="0"/>
          <w:rtl/>
          <w:lang w:eastAsia="en-US"/>
        </w:rPr>
        <w:t xml:space="preserve"> م</w:t>
      </w:r>
      <w:r w:rsidR="004347BB">
        <w:rPr>
          <w:rFonts w:ascii="Traditional Arabic" w:hAnsi="Traditional Arabic" w:hint="cs"/>
          <w:noProof w:val="0"/>
          <w:rtl/>
          <w:lang w:eastAsia="en-US"/>
        </w:rPr>
        <w:t>ُ</w:t>
      </w:r>
      <w:r w:rsidR="004347BB" w:rsidRPr="00A52FBC">
        <w:rPr>
          <w:rFonts w:ascii="Traditional Arabic" w:hAnsi="Traditional Arabic"/>
          <w:noProof w:val="0"/>
          <w:rtl/>
          <w:lang w:eastAsia="en-US"/>
        </w:rPr>
        <w:t>ح</w:t>
      </w:r>
      <w:r w:rsidR="004347BB">
        <w:rPr>
          <w:rFonts w:ascii="Traditional Arabic" w:hAnsi="Traditional Arabic" w:hint="cs"/>
          <w:noProof w:val="0"/>
          <w:rtl/>
          <w:lang w:eastAsia="en-US"/>
        </w:rPr>
        <w:t>ْ</w:t>
      </w:r>
      <w:r w:rsidR="004347BB" w:rsidRPr="00A52FBC">
        <w:rPr>
          <w:rFonts w:ascii="Traditional Arabic" w:hAnsi="Traditional Arabic"/>
          <w:noProof w:val="0"/>
          <w:rtl/>
          <w:lang w:eastAsia="en-US"/>
        </w:rPr>
        <w:t>س</w:t>
      </w:r>
      <w:r w:rsidR="004347BB">
        <w:rPr>
          <w:rFonts w:ascii="Traditional Arabic" w:hAnsi="Traditional Arabic" w:hint="cs"/>
          <w:noProof w:val="0"/>
          <w:rtl/>
          <w:lang w:eastAsia="en-US"/>
        </w:rPr>
        <w:t>ِ</w:t>
      </w:r>
      <w:r w:rsidR="004347BB" w:rsidRPr="00A52FBC">
        <w:rPr>
          <w:rFonts w:ascii="Traditional Arabic" w:hAnsi="Traditional Arabic"/>
          <w:noProof w:val="0"/>
          <w:rtl/>
          <w:lang w:eastAsia="en-US"/>
        </w:rPr>
        <w:t xml:space="preserve">ن، والله تعالى يقول: </w:t>
      </w:r>
      <w:r w:rsidR="004347BB" w:rsidRPr="000B647F">
        <w:rPr>
          <w:rFonts w:ascii="QCF_BSML" w:hAnsi="QCF_BSML" w:cs="QCF_BSML"/>
          <w:noProof w:val="0"/>
          <w:rtl/>
          <w:lang w:eastAsia="en-US"/>
        </w:rPr>
        <w:t xml:space="preserve">ﭽ </w:t>
      </w:r>
      <w:r w:rsidR="004347BB" w:rsidRPr="000B647F">
        <w:rPr>
          <w:rFonts w:ascii="QCF_P201" w:hAnsi="QCF_P201" w:cs="QCF_P201"/>
          <w:noProof w:val="0"/>
          <w:rtl/>
          <w:lang w:eastAsia="en-US"/>
        </w:rPr>
        <w:t>ﮣﮤﮥﮦﮧ</w:t>
      </w:r>
      <w:r w:rsidR="004347BB" w:rsidRPr="000B647F">
        <w:rPr>
          <w:rFonts w:ascii="QCF_BSML" w:hAnsi="QCF_BSML" w:cs="QCF_BSML"/>
          <w:noProof w:val="0"/>
          <w:rtl/>
          <w:lang w:eastAsia="en-US"/>
        </w:rPr>
        <w:t>ﭼ</w:t>
      </w:r>
      <w:r w:rsidR="004347BB" w:rsidRPr="00A52FBC">
        <w:rPr>
          <w:rFonts w:ascii="Traditional Arabic" w:hAnsi="Traditional Arabic"/>
          <w:noProof w:val="0"/>
          <w:rtl/>
          <w:lang w:eastAsia="en-US"/>
        </w:rPr>
        <w:t>[التوبة: 91]</w:t>
      </w:r>
      <w:r w:rsidR="004347BB">
        <w:rPr>
          <w:rFonts w:ascii="Traditional Arabic" w:hAnsi="Traditional Arabic" w:hint="cs"/>
          <w:noProof w:val="0"/>
          <w:rtl/>
          <w:lang w:eastAsia="en-US"/>
        </w:rPr>
        <w:t>؛</w:t>
      </w:r>
      <w:r w:rsidR="00154102">
        <w:rPr>
          <w:rFonts w:ascii="Traditional Arabic" w:hAnsi="Traditional Arabic" w:hint="cs"/>
          <w:noProof w:val="0"/>
          <w:rtl/>
          <w:lang w:eastAsia="en-US"/>
        </w:rPr>
        <w:t xml:space="preserve"> و</w:t>
      </w:r>
      <w:r w:rsidR="004347BB">
        <w:rPr>
          <w:rFonts w:ascii="Traditional Arabic" w:hAnsi="Traditional Arabic" w:hint="cs"/>
          <w:noProof w:val="0"/>
          <w:rtl/>
          <w:lang w:eastAsia="en-US"/>
        </w:rPr>
        <w:t>لأن القاعدة</w:t>
      </w:r>
      <w:r w:rsidR="00A11724">
        <w:rPr>
          <w:rStyle w:val="af1"/>
          <w:rFonts w:hint="cs"/>
          <w:szCs w:val="32"/>
          <w:rtl/>
        </w:rPr>
        <w:t xml:space="preserve"> </w:t>
      </w:r>
      <w:r w:rsidR="004347BB">
        <w:rPr>
          <w:rFonts w:ascii="Traditional Arabic" w:hAnsi="Traditional Arabic" w:hint="cs"/>
          <w:noProof w:val="0"/>
          <w:rtl/>
          <w:lang w:eastAsia="en-US"/>
        </w:rPr>
        <w:t>تقول :</w:t>
      </w:r>
      <w:r w:rsidR="004347BB" w:rsidRPr="000B647F">
        <w:rPr>
          <w:rFonts w:ascii="Traditional Arabic" w:hAnsi="Traditional Arabic"/>
          <w:noProof w:val="0"/>
          <w:rtl/>
          <w:lang w:eastAsia="en-US"/>
        </w:rPr>
        <w:t>من قبض العين لِحَ</w:t>
      </w:r>
      <w:r w:rsidR="004347BB">
        <w:rPr>
          <w:rFonts w:ascii="Traditional Arabic" w:hAnsi="Traditional Arabic"/>
          <w:noProof w:val="0"/>
          <w:rtl/>
          <w:lang w:eastAsia="en-US"/>
        </w:rPr>
        <w:t>ظِّ مالكها قُبِلَ قولُه في الرد</w:t>
      </w:r>
      <w:r w:rsidR="004347BB">
        <w:rPr>
          <w:rFonts w:ascii="Traditional Arabic" w:hAnsi="Traditional Arabic" w:hint="cs"/>
          <w:noProof w:val="0"/>
          <w:rtl/>
          <w:lang w:eastAsia="en-US"/>
        </w:rPr>
        <w:t>،</w:t>
      </w:r>
      <w:r w:rsidR="00E46FB5">
        <w:rPr>
          <w:rFonts w:ascii="Traditional Arabic" w:hAnsi="Traditional Arabic" w:hint="cs"/>
          <w:noProof w:val="0"/>
          <w:rtl/>
          <w:lang w:eastAsia="en-US"/>
        </w:rPr>
        <w:t xml:space="preserve"> </w:t>
      </w:r>
      <w:r w:rsidR="004347BB" w:rsidRPr="000B647F">
        <w:rPr>
          <w:rFonts w:ascii="Traditional Arabic" w:hAnsi="Traditional Arabic"/>
          <w:noProof w:val="0"/>
          <w:rtl/>
          <w:lang w:eastAsia="en-US"/>
        </w:rPr>
        <w:t>ومن قبض العي</w:t>
      </w:r>
      <w:r w:rsidR="004347BB">
        <w:rPr>
          <w:rFonts w:ascii="Traditional Arabic" w:hAnsi="Traditional Arabic"/>
          <w:noProof w:val="0"/>
          <w:rtl/>
          <w:lang w:eastAsia="en-US"/>
        </w:rPr>
        <w:t>ن لمصلحته لم يُقبل قوله في الرد</w:t>
      </w:r>
      <w:r w:rsidR="004347BB">
        <w:rPr>
          <w:rFonts w:ascii="Traditional Arabic" w:hAnsi="Traditional Arabic" w:hint="cs"/>
          <w:noProof w:val="0"/>
          <w:rtl/>
          <w:lang w:eastAsia="en-US"/>
        </w:rPr>
        <w:t>،</w:t>
      </w:r>
      <w:r w:rsidR="0085366C">
        <w:rPr>
          <w:rFonts w:ascii="Traditional Arabic" w:hAnsi="Traditional Arabic" w:hint="cs"/>
          <w:noProof w:val="0"/>
          <w:rtl/>
          <w:lang w:eastAsia="en-US"/>
        </w:rPr>
        <w:t xml:space="preserve"> </w:t>
      </w:r>
      <w:r w:rsidR="004347BB" w:rsidRPr="000B647F">
        <w:rPr>
          <w:rFonts w:ascii="Traditional Arabic" w:hAnsi="Traditional Arabic"/>
          <w:noProof w:val="0"/>
          <w:rtl/>
          <w:lang w:eastAsia="en-US"/>
        </w:rPr>
        <w:t>ومن قبض العين لمصلحته ومصلحة مالكها لم يقبل</w:t>
      </w:r>
      <w:r w:rsidR="004347BB">
        <w:rPr>
          <w:rFonts w:ascii="Traditional Arabic" w:hAnsi="Traditional Arabic" w:hint="cs"/>
          <w:noProof w:val="0"/>
          <w:rtl/>
          <w:lang w:eastAsia="en-US"/>
        </w:rPr>
        <w:t xml:space="preserve"> قوله في الرد</w:t>
      </w:r>
      <w:r w:rsidR="004347BB" w:rsidRPr="00C821A1">
        <w:rPr>
          <w:rStyle w:val="af1"/>
          <w:szCs w:val="32"/>
          <w:rtl/>
        </w:rPr>
        <w:t>(</w:t>
      </w:r>
      <w:r w:rsidR="004347BB" w:rsidRPr="00C821A1">
        <w:rPr>
          <w:rStyle w:val="af1"/>
          <w:szCs w:val="32"/>
          <w:rtl/>
        </w:rPr>
        <w:footnoteReference w:id="1077"/>
      </w:r>
      <w:r w:rsidR="004347BB" w:rsidRPr="00C821A1">
        <w:rPr>
          <w:rStyle w:val="af1"/>
          <w:szCs w:val="32"/>
          <w:rtl/>
        </w:rPr>
        <w:t>)</w:t>
      </w:r>
      <w:r w:rsidR="004347BB">
        <w:rPr>
          <w:rFonts w:ascii="Traditional Arabic" w:hAnsi="Traditional Arabic" w:hint="cs"/>
          <w:noProof w:val="0"/>
          <w:rtl/>
          <w:lang w:eastAsia="en-US"/>
        </w:rPr>
        <w:t>؛</w:t>
      </w:r>
      <w:r w:rsidR="0085366C">
        <w:rPr>
          <w:rFonts w:ascii="Traditional Arabic" w:hAnsi="Traditional Arabic" w:hint="cs"/>
          <w:noProof w:val="0"/>
          <w:rtl/>
          <w:lang w:eastAsia="en-US"/>
        </w:rPr>
        <w:t xml:space="preserve"> و</w:t>
      </w:r>
      <w:r w:rsidR="004347BB">
        <w:rPr>
          <w:rFonts w:ascii="Traditional Arabic" w:hAnsi="Traditional Arabic" w:hint="cs"/>
          <w:noProof w:val="0"/>
          <w:rtl/>
          <w:lang w:eastAsia="en-US"/>
        </w:rPr>
        <w:t>المودَع هنا قبض الوديعة لحظ المودِع، فيقبل قوله في الرد مع يمينه؛</w:t>
      </w:r>
      <w:r w:rsidR="00A11724">
        <w:rPr>
          <w:rFonts w:ascii="Traditional Arabic" w:hAnsi="Traditional Arabic" w:hint="cs"/>
          <w:noProof w:val="0"/>
          <w:rtl/>
          <w:lang w:eastAsia="en-US"/>
        </w:rPr>
        <w:t xml:space="preserve"> </w:t>
      </w:r>
      <w:r w:rsidR="004347BB">
        <w:rPr>
          <w:rFonts w:ascii="Traditional Arabic" w:hAnsi="Traditional Arabic" w:hint="cs"/>
          <w:noProof w:val="0"/>
          <w:rtl/>
          <w:lang w:eastAsia="en-US"/>
        </w:rPr>
        <w:t>لأن الأصل براءة الذمة</w:t>
      </w:r>
      <w:r w:rsidR="00A11724">
        <w:rPr>
          <w:rStyle w:val="af1"/>
          <w:rFonts w:hint="cs"/>
          <w:szCs w:val="32"/>
          <w:rtl/>
        </w:rPr>
        <w:t xml:space="preserve"> </w:t>
      </w:r>
      <w:r w:rsidR="0085366C">
        <w:rPr>
          <w:rFonts w:ascii="Traditional Arabic" w:hAnsi="Traditional Arabic" w:hint="cs"/>
          <w:noProof w:val="0"/>
          <w:rtl/>
          <w:lang w:eastAsia="en-US"/>
        </w:rPr>
        <w:t xml:space="preserve">، </w:t>
      </w:r>
      <w:r w:rsidR="00154102">
        <w:rPr>
          <w:rFonts w:ascii="Traditional Arabic" w:hAnsi="Traditional Arabic" w:hint="cs"/>
          <w:noProof w:val="0"/>
          <w:rtl/>
          <w:lang w:eastAsia="en-US"/>
        </w:rPr>
        <w:t>و</w:t>
      </w:r>
      <w:r w:rsidR="004347BB">
        <w:rPr>
          <w:rFonts w:ascii="Traditional Arabic" w:hAnsi="Traditional Arabic" w:hint="cs"/>
          <w:noProof w:val="0"/>
          <w:rtl/>
          <w:lang w:eastAsia="en-US"/>
        </w:rPr>
        <w:t>عدم التعدي</w:t>
      </w:r>
      <w:r w:rsidR="00853E7C">
        <w:rPr>
          <w:rFonts w:ascii="Traditional Arabic" w:hAnsi="Traditional Arabic" w:hint="cs"/>
          <w:noProof w:val="0"/>
          <w:rtl/>
          <w:lang w:eastAsia="en-US"/>
        </w:rPr>
        <w:t xml:space="preserve"> </w:t>
      </w:r>
      <w:r w:rsidR="004347BB">
        <w:rPr>
          <w:rFonts w:ascii="Traditional Arabic" w:hAnsi="Traditional Arabic" w:hint="cs"/>
          <w:noProof w:val="0"/>
          <w:rtl/>
          <w:lang w:eastAsia="en-US"/>
        </w:rPr>
        <w:t>والتقصير</w:t>
      </w:r>
      <w:r w:rsidR="004347BB" w:rsidRPr="00C821A1">
        <w:rPr>
          <w:rStyle w:val="af1"/>
          <w:szCs w:val="32"/>
          <w:rtl/>
        </w:rPr>
        <w:t>(</w:t>
      </w:r>
      <w:r w:rsidR="004347BB" w:rsidRPr="00C821A1">
        <w:rPr>
          <w:rStyle w:val="af1"/>
          <w:szCs w:val="32"/>
          <w:rtl/>
        </w:rPr>
        <w:footnoteReference w:id="1078"/>
      </w:r>
      <w:r w:rsidR="004347BB" w:rsidRPr="00C821A1">
        <w:rPr>
          <w:rStyle w:val="af1"/>
          <w:szCs w:val="32"/>
          <w:rtl/>
        </w:rPr>
        <w:t>)</w:t>
      </w:r>
      <w:r w:rsidR="004347BB">
        <w:rPr>
          <w:rFonts w:ascii="Traditional Arabic" w:hAnsi="Traditional Arabic" w:hint="cs"/>
          <w:noProof w:val="0"/>
          <w:rtl/>
          <w:lang w:eastAsia="en-US"/>
        </w:rPr>
        <w:t>.</w:t>
      </w:r>
    </w:p>
    <w:p w:rsidR="00B07589" w:rsidRPr="00C85F0F" w:rsidRDefault="00B07589" w:rsidP="000F5C0F">
      <w:pPr>
        <w:pStyle w:val="aff2"/>
        <w:rPr>
          <w:rtl/>
        </w:rPr>
      </w:pPr>
      <w:bookmarkStart w:id="214" w:name="_Toc334046444"/>
      <w:r w:rsidRPr="00B07589">
        <w:rPr>
          <w:rFonts w:hint="cs"/>
          <w:rtl/>
        </w:rPr>
        <w:lastRenderedPageBreak/>
        <w:t>المبحث ال</w:t>
      </w:r>
      <w:r>
        <w:rPr>
          <w:rFonts w:hint="cs"/>
          <w:rtl/>
        </w:rPr>
        <w:t>ثاني :</w:t>
      </w:r>
      <w:r>
        <w:rPr>
          <w:rFonts w:hint="cs"/>
          <w:rtl/>
        </w:rPr>
        <w:br/>
      </w:r>
      <w:r w:rsidRPr="00B07589">
        <w:rPr>
          <w:rFonts w:hint="cs"/>
          <w:rtl/>
        </w:rPr>
        <w:t>قاعدة</w:t>
      </w:r>
      <w:r>
        <w:rPr>
          <w:rtl/>
        </w:rPr>
        <w:br/>
      </w:r>
      <w:r>
        <w:rPr>
          <w:rFonts w:hint="cs"/>
          <w:rtl/>
        </w:rPr>
        <w:t>"</w:t>
      </w:r>
      <w:r w:rsidRPr="00B07589">
        <w:rPr>
          <w:rFonts w:hint="cs"/>
          <w:rtl/>
        </w:rPr>
        <w:t>الأصل براءة الذمة</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الأصلبراءةالذمة</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bookmarkEnd w:id="214"/>
    </w:p>
    <w:p w:rsidR="00065E4B" w:rsidRPr="00C85F0F" w:rsidRDefault="00A11724" w:rsidP="00A8347C">
      <w:pPr>
        <w:pStyle w:val="aff3"/>
        <w:rPr>
          <w:rtl/>
        </w:rPr>
      </w:pPr>
      <w:bookmarkStart w:id="215" w:name="_Toc334046445"/>
      <w:r>
        <w:rPr>
          <w:rFonts w:hint="cs"/>
          <w:rtl/>
        </w:rPr>
        <w:t xml:space="preserve">                                           </w:t>
      </w:r>
      <w:r w:rsidR="00B07589" w:rsidRPr="00C85F0F">
        <w:rPr>
          <w:rFonts w:hint="cs"/>
          <w:rtl/>
        </w:rPr>
        <w:t>المطلب الأول</w:t>
      </w:r>
      <w:r w:rsidR="00B07589" w:rsidRPr="00C85F0F">
        <w:rPr>
          <w:rFonts w:hint="eastAsia"/>
          <w:rtl/>
        </w:rPr>
        <w:t> :</w:t>
      </w:r>
      <w:r w:rsidR="00B07589" w:rsidRPr="00C85F0F">
        <w:rPr>
          <w:rFonts w:hint="cs"/>
          <w:rtl/>
        </w:rPr>
        <w:br/>
      </w:r>
      <w:r>
        <w:rPr>
          <w:rFonts w:hint="cs"/>
          <w:rtl/>
        </w:rPr>
        <w:t xml:space="preserve">                         </w:t>
      </w:r>
      <w:r w:rsidR="00B07589" w:rsidRPr="00C85F0F">
        <w:rPr>
          <w:rFonts w:hint="cs"/>
          <w:rtl/>
        </w:rPr>
        <w:t>صيغ القاعدة عند الشيخ وعند علماء القواعد</w:t>
      </w:r>
      <w:bookmarkEnd w:id="215"/>
    </w:p>
    <w:p w:rsidR="00065E4B" w:rsidRPr="00C85F0F" w:rsidRDefault="00065E4B" w:rsidP="00A11724">
      <w:pPr>
        <w:ind w:firstLine="0"/>
        <w:rPr>
          <w:rtl/>
        </w:rPr>
      </w:pPr>
      <w:r w:rsidRPr="00C85F0F">
        <w:rPr>
          <w:rFonts w:hint="cs"/>
          <w:rtl/>
        </w:rPr>
        <w:t>و</w:t>
      </w:r>
      <w:r w:rsidR="00B07589" w:rsidRPr="00C85F0F">
        <w:rPr>
          <w:rFonts w:hint="cs"/>
          <w:rtl/>
        </w:rPr>
        <w:t xml:space="preserve">ردت هذه القاعدة عند الشيخ ابن عثيمين </w:t>
      </w:r>
      <w:r w:rsidR="00A11724">
        <w:rPr>
          <w:rFonts w:hint="cs"/>
          <w:rtl/>
        </w:rPr>
        <w:t>_</w:t>
      </w:r>
      <w:r w:rsidR="00B07589" w:rsidRPr="005D5694">
        <w:rPr>
          <w:rFonts w:cs="CTraditional Arabic" w:hint="cs"/>
          <w:color w:val="auto"/>
          <w:rtl/>
        </w:rPr>
        <w:t>/</w:t>
      </w:r>
      <w:r w:rsidR="00A11724">
        <w:rPr>
          <w:rFonts w:hint="cs"/>
          <w:rtl/>
        </w:rPr>
        <w:t>_</w:t>
      </w:r>
      <w:r w:rsidR="00B07589" w:rsidRPr="00C85F0F">
        <w:rPr>
          <w:rFonts w:hint="cs"/>
          <w:rtl/>
        </w:rPr>
        <w:t xml:space="preserve"> فيما اطلعت عليه-بصيغة واحدة،</w:t>
      </w:r>
      <w:r w:rsidR="00154102" w:rsidRPr="00C85F0F">
        <w:rPr>
          <w:rFonts w:hint="cs"/>
          <w:rtl/>
        </w:rPr>
        <w:t xml:space="preserve"> و</w:t>
      </w:r>
      <w:r w:rsidR="00B07589" w:rsidRPr="00C85F0F">
        <w:rPr>
          <w:rFonts w:hint="cs"/>
          <w:rtl/>
        </w:rPr>
        <w:t>هي: "الأصل براءة الذِّمة"</w:t>
      </w:r>
      <w:r w:rsidR="00B07589" w:rsidRPr="00C85F0F">
        <w:rPr>
          <w:rStyle w:val="af1"/>
          <w:szCs w:val="32"/>
          <w:rtl/>
        </w:rPr>
        <w:t>(</w:t>
      </w:r>
      <w:r w:rsidR="00B07589" w:rsidRPr="00C85F0F">
        <w:rPr>
          <w:rStyle w:val="af1"/>
          <w:szCs w:val="32"/>
          <w:rtl/>
        </w:rPr>
        <w:footnoteReference w:id="1079"/>
      </w:r>
      <w:r w:rsidR="00B07589" w:rsidRPr="00C85F0F">
        <w:rPr>
          <w:rStyle w:val="af1"/>
          <w:szCs w:val="32"/>
          <w:rtl/>
        </w:rPr>
        <w:t>)</w:t>
      </w:r>
      <w:r w:rsidR="00B07589" w:rsidRPr="00C85F0F">
        <w:rPr>
          <w:rFonts w:hint="cs"/>
          <w:rtl/>
        </w:rPr>
        <w:t>.</w:t>
      </w:r>
    </w:p>
    <w:p w:rsidR="00B07589" w:rsidRPr="00C85F0F" w:rsidRDefault="00065E4B" w:rsidP="00A11724">
      <w:pPr>
        <w:ind w:firstLine="0"/>
        <w:rPr>
          <w:rtl/>
        </w:rPr>
      </w:pPr>
      <w:r w:rsidRPr="00C85F0F">
        <w:rPr>
          <w:rFonts w:hint="cs"/>
          <w:rtl/>
        </w:rPr>
        <w:t>ب</w:t>
      </w:r>
      <w:r w:rsidR="00B07589" w:rsidRPr="00C85F0F">
        <w:rPr>
          <w:rFonts w:hint="cs"/>
          <w:rtl/>
        </w:rPr>
        <w:t>ينما وردت هذه القاعدة عند علماء القواعد بعدة صيغ</w:t>
      </w:r>
      <w:r w:rsidR="00B07589" w:rsidRPr="00C85F0F">
        <w:rPr>
          <w:rStyle w:val="af1"/>
          <w:szCs w:val="32"/>
          <w:rtl/>
        </w:rPr>
        <w:t>(</w:t>
      </w:r>
      <w:r w:rsidR="00B07589" w:rsidRPr="00C85F0F">
        <w:rPr>
          <w:rStyle w:val="af1"/>
          <w:szCs w:val="32"/>
          <w:rtl/>
        </w:rPr>
        <w:footnoteReference w:id="1080"/>
      </w:r>
      <w:r w:rsidR="00B07589" w:rsidRPr="00C85F0F">
        <w:rPr>
          <w:rStyle w:val="af1"/>
          <w:szCs w:val="32"/>
          <w:rtl/>
        </w:rPr>
        <w:t>)</w:t>
      </w:r>
      <w:r w:rsidR="00B07589" w:rsidRPr="00C85F0F">
        <w:rPr>
          <w:rFonts w:hint="cs"/>
          <w:rtl/>
        </w:rPr>
        <w:t>، منها:</w:t>
      </w:r>
    </w:p>
    <w:p w:rsidR="00B07589" w:rsidRPr="00C85F0F" w:rsidRDefault="00B07589" w:rsidP="000A76C7">
      <w:pPr>
        <w:pStyle w:val="afc"/>
        <w:numPr>
          <w:ilvl w:val="0"/>
          <w:numId w:val="152"/>
        </w:numPr>
      </w:pPr>
      <w:r w:rsidRPr="00C85F0F">
        <w:rPr>
          <w:rFonts w:hint="cs"/>
          <w:rtl/>
        </w:rPr>
        <w:t>الأصل براءة الذمة</w:t>
      </w:r>
      <w:r w:rsidRPr="00C85F0F">
        <w:rPr>
          <w:rStyle w:val="af1"/>
          <w:szCs w:val="32"/>
          <w:rtl/>
        </w:rPr>
        <w:t>(</w:t>
      </w:r>
      <w:r w:rsidRPr="00C85F0F">
        <w:rPr>
          <w:rStyle w:val="af1"/>
          <w:szCs w:val="32"/>
          <w:rtl/>
        </w:rPr>
        <w:footnoteReference w:id="1081"/>
      </w:r>
      <w:r w:rsidRPr="00C85F0F">
        <w:rPr>
          <w:rStyle w:val="af1"/>
          <w:szCs w:val="32"/>
          <w:rtl/>
        </w:rPr>
        <w:t>)</w:t>
      </w:r>
      <w:r w:rsidRPr="00C85F0F">
        <w:rPr>
          <w:rFonts w:hint="cs"/>
          <w:rtl/>
        </w:rPr>
        <w:t>.</w:t>
      </w:r>
    </w:p>
    <w:p w:rsidR="00B07589" w:rsidRPr="00C85F0F" w:rsidRDefault="00B07589" w:rsidP="000A76C7">
      <w:pPr>
        <w:pStyle w:val="afc"/>
        <w:numPr>
          <w:ilvl w:val="0"/>
          <w:numId w:val="152"/>
        </w:numPr>
      </w:pPr>
      <w:r w:rsidRPr="00C85F0F">
        <w:rPr>
          <w:rFonts w:hint="cs"/>
          <w:rtl/>
        </w:rPr>
        <w:t>الأصل البراءةُ قبل ثبوت التكليف</w:t>
      </w:r>
      <w:r w:rsidR="00154102" w:rsidRPr="00C85F0F">
        <w:rPr>
          <w:rFonts w:hint="cs"/>
          <w:rtl/>
        </w:rPr>
        <w:t xml:space="preserve"> و</w:t>
      </w:r>
      <w:r w:rsidRPr="00C85F0F">
        <w:rPr>
          <w:rFonts w:hint="cs"/>
          <w:rtl/>
        </w:rPr>
        <w:t>عِمارةِ الذمة</w:t>
      </w:r>
      <w:r w:rsidRPr="00C85F0F">
        <w:rPr>
          <w:rStyle w:val="af1"/>
          <w:szCs w:val="32"/>
          <w:rtl/>
        </w:rPr>
        <w:t>(</w:t>
      </w:r>
      <w:r w:rsidRPr="00C85F0F">
        <w:rPr>
          <w:rStyle w:val="af1"/>
          <w:szCs w:val="32"/>
          <w:rtl/>
        </w:rPr>
        <w:footnoteReference w:id="1082"/>
      </w:r>
      <w:r w:rsidRPr="00C85F0F">
        <w:rPr>
          <w:rStyle w:val="af1"/>
          <w:szCs w:val="32"/>
          <w:rtl/>
        </w:rPr>
        <w:t>)</w:t>
      </w:r>
      <w:r w:rsidRPr="00C85F0F">
        <w:rPr>
          <w:rFonts w:hint="cs"/>
          <w:rtl/>
        </w:rPr>
        <w:t>.</w:t>
      </w:r>
    </w:p>
    <w:p w:rsidR="00065E4B" w:rsidRPr="00C85F0F" w:rsidRDefault="00A11724" w:rsidP="00A8347C">
      <w:pPr>
        <w:pStyle w:val="aff3"/>
        <w:rPr>
          <w:rtl/>
        </w:rPr>
      </w:pPr>
      <w:bookmarkStart w:id="216" w:name="_Toc334046446"/>
      <w:r>
        <w:rPr>
          <w:rFonts w:hint="cs"/>
          <w:rtl/>
        </w:rPr>
        <w:lastRenderedPageBreak/>
        <w:t xml:space="preserve">                                       </w:t>
      </w:r>
      <w:r w:rsidR="00B07589" w:rsidRPr="00C85F0F">
        <w:rPr>
          <w:rFonts w:hint="cs"/>
          <w:rtl/>
        </w:rPr>
        <w:t>المطلب الثاني</w:t>
      </w:r>
      <w:r w:rsidR="00B07589" w:rsidRPr="00C85F0F">
        <w:rPr>
          <w:rFonts w:hint="eastAsia"/>
          <w:rtl/>
        </w:rPr>
        <w:t> :</w:t>
      </w:r>
      <w:r w:rsidR="00B07589" w:rsidRPr="00C85F0F">
        <w:rPr>
          <w:rFonts w:hint="cs"/>
          <w:rtl/>
        </w:rPr>
        <w:br/>
      </w:r>
      <w:r>
        <w:rPr>
          <w:rFonts w:hint="cs"/>
          <w:rtl/>
        </w:rPr>
        <w:t xml:space="preserve">                                        </w:t>
      </w:r>
      <w:r w:rsidR="00B07589" w:rsidRPr="00C85F0F">
        <w:rPr>
          <w:rFonts w:hint="cs"/>
          <w:rtl/>
        </w:rPr>
        <w:t>شرح القاعدة</w:t>
      </w:r>
      <w:bookmarkEnd w:id="216"/>
    </w:p>
    <w:p w:rsidR="00AF1D02" w:rsidRDefault="00065E4B" w:rsidP="00EA2BD7">
      <w:pPr>
        <w:pStyle w:val="53"/>
        <w:rPr>
          <w:b w:val="0"/>
          <w:rtl/>
        </w:rPr>
      </w:pPr>
      <w:r w:rsidRPr="00EA2BD7">
        <w:rPr>
          <w:rFonts w:hint="cs"/>
          <w:rtl/>
        </w:rPr>
        <w:t>ا</w:t>
      </w:r>
      <w:r w:rsidR="00B07589" w:rsidRPr="00EA2BD7">
        <w:rPr>
          <w:rFonts w:hint="cs"/>
          <w:rtl/>
        </w:rPr>
        <w:t>لبراءة</w:t>
      </w:r>
      <w:r w:rsidR="00AB0B9E" w:rsidRPr="00EA2BD7">
        <w:fldChar w:fldCharType="begin"/>
      </w:r>
      <w:r w:rsidR="00D65D30" w:rsidRPr="00EA2BD7">
        <w:instrText>XE</w:instrText>
      </w:r>
      <w:r w:rsidR="00D65D30" w:rsidRPr="00EA2BD7">
        <w:rPr>
          <w:rtl/>
        </w:rPr>
        <w:instrText xml:space="preserve"> "</w:instrText>
      </w:r>
      <w:r w:rsidR="00D65D30" w:rsidRPr="00EA2BD7">
        <w:rPr>
          <w:rFonts w:hint="cs"/>
          <w:rtl/>
        </w:rPr>
        <w:instrText>البراءة</w:instrText>
      </w:r>
      <w:r w:rsidR="00D65D30" w:rsidRPr="00EA2BD7">
        <w:rPr>
          <w:rtl/>
        </w:rPr>
        <w:instrText>" \</w:instrText>
      </w:r>
      <w:r w:rsidR="00D65D30" w:rsidRPr="00EA2BD7">
        <w:instrText>fm</w:instrText>
      </w:r>
      <w:r w:rsidR="00AB0B9E" w:rsidRPr="00EA2BD7">
        <w:fldChar w:fldCharType="end"/>
      </w:r>
      <w:r w:rsidR="00B07589">
        <w:rPr>
          <w:rFonts w:hint="cs"/>
          <w:b w:val="0"/>
          <w:rtl/>
        </w:rPr>
        <w:t xml:space="preserve"> لغة:</w:t>
      </w:r>
    </w:p>
    <w:p w:rsidR="00065E4B" w:rsidRDefault="00B07589" w:rsidP="00597C20">
      <w:pPr>
        <w:ind w:firstLine="720"/>
        <w:rPr>
          <w:rtl/>
        </w:rPr>
      </w:pPr>
      <w:r>
        <w:rPr>
          <w:rFonts w:hint="cs"/>
          <w:rtl/>
        </w:rPr>
        <w:t>مصدر للفعل برأ،</w:t>
      </w:r>
      <w:r w:rsidR="00154102">
        <w:rPr>
          <w:rFonts w:hint="cs"/>
          <w:rtl/>
        </w:rPr>
        <w:t xml:space="preserve"> و</w:t>
      </w:r>
      <w:r>
        <w:rPr>
          <w:rFonts w:hint="cs"/>
          <w:rtl/>
        </w:rPr>
        <w:t>معناه في اللغة: التخلُّص،</w:t>
      </w:r>
      <w:r w:rsidR="00154102">
        <w:rPr>
          <w:rFonts w:hint="cs"/>
          <w:rtl/>
        </w:rPr>
        <w:t xml:space="preserve"> و</w:t>
      </w:r>
      <w:r>
        <w:rPr>
          <w:rFonts w:hint="cs"/>
          <w:rtl/>
        </w:rPr>
        <w:t>التنزُّه،</w:t>
      </w:r>
      <w:r w:rsidR="00154102">
        <w:rPr>
          <w:rFonts w:hint="cs"/>
          <w:rtl/>
        </w:rPr>
        <w:t xml:space="preserve"> و</w:t>
      </w:r>
      <w:r>
        <w:rPr>
          <w:rFonts w:hint="cs"/>
          <w:rtl/>
        </w:rPr>
        <w:t>التخلّي،</w:t>
      </w:r>
      <w:r w:rsidR="00A11724">
        <w:rPr>
          <w:rFonts w:hint="cs"/>
          <w:rtl/>
        </w:rPr>
        <w:t xml:space="preserve"> </w:t>
      </w:r>
      <w:r>
        <w:rPr>
          <w:rFonts w:hint="cs"/>
          <w:rtl/>
        </w:rPr>
        <w:t>والتباعُد</w:t>
      </w:r>
      <w:r w:rsidRPr="00C821A1">
        <w:rPr>
          <w:rStyle w:val="af1"/>
          <w:szCs w:val="32"/>
          <w:rtl/>
        </w:rPr>
        <w:t>(</w:t>
      </w:r>
      <w:r w:rsidRPr="00C821A1">
        <w:rPr>
          <w:rStyle w:val="af1"/>
          <w:szCs w:val="32"/>
          <w:rtl/>
        </w:rPr>
        <w:footnoteReference w:id="1083"/>
      </w:r>
      <w:r w:rsidRPr="00C821A1">
        <w:rPr>
          <w:rStyle w:val="af1"/>
          <w:szCs w:val="32"/>
          <w:rtl/>
        </w:rPr>
        <w:t>)</w:t>
      </w:r>
      <w:r>
        <w:rPr>
          <w:rFonts w:hint="cs"/>
          <w:rtl/>
        </w:rPr>
        <w:t>.</w:t>
      </w:r>
    </w:p>
    <w:p w:rsidR="00AF1D02" w:rsidRDefault="00065E4B" w:rsidP="00597C20">
      <w:pPr>
        <w:pStyle w:val="53"/>
        <w:rPr>
          <w:rtl/>
        </w:rPr>
      </w:pPr>
      <w:r w:rsidRPr="000319FE">
        <w:rPr>
          <w:rFonts w:hint="cs"/>
          <w:rtl/>
        </w:rPr>
        <w:t>ا</w:t>
      </w:r>
      <w:r w:rsidR="00B07589" w:rsidRPr="000319FE">
        <w:rPr>
          <w:rFonts w:hint="cs"/>
          <w:rtl/>
        </w:rPr>
        <w:t>لبراءة اصطلاحا:</w:t>
      </w:r>
    </w:p>
    <w:p w:rsidR="00065E4B" w:rsidRDefault="00B07589" w:rsidP="00597C20">
      <w:pPr>
        <w:ind w:firstLine="720"/>
        <w:rPr>
          <w:rtl/>
        </w:rPr>
      </w:pPr>
      <w:r>
        <w:rPr>
          <w:rFonts w:hint="cs"/>
          <w:rtl/>
        </w:rPr>
        <w:t>الخروج من الشيء</w:t>
      </w:r>
      <w:r w:rsidR="00154102">
        <w:rPr>
          <w:rFonts w:hint="cs"/>
          <w:rtl/>
        </w:rPr>
        <w:t xml:space="preserve"> و</w:t>
      </w:r>
      <w:r>
        <w:rPr>
          <w:rFonts w:hint="cs"/>
          <w:rtl/>
        </w:rPr>
        <w:t>مُفارَقت</w:t>
      </w:r>
      <w:r w:rsidR="00A11724">
        <w:rPr>
          <w:rFonts w:hint="cs"/>
          <w:rtl/>
        </w:rPr>
        <w:t>ُ</w:t>
      </w:r>
      <w:r>
        <w:rPr>
          <w:rFonts w:hint="cs"/>
          <w:rtl/>
        </w:rPr>
        <w:t>ه</w:t>
      </w:r>
      <w:r w:rsidRPr="00C821A1">
        <w:rPr>
          <w:rStyle w:val="af1"/>
          <w:szCs w:val="32"/>
          <w:rtl/>
        </w:rPr>
        <w:t>(</w:t>
      </w:r>
      <w:r w:rsidRPr="00C821A1">
        <w:rPr>
          <w:rStyle w:val="af1"/>
          <w:szCs w:val="32"/>
          <w:rtl/>
        </w:rPr>
        <w:footnoteReference w:id="1084"/>
      </w:r>
      <w:r w:rsidRPr="00C821A1">
        <w:rPr>
          <w:rStyle w:val="af1"/>
          <w:szCs w:val="32"/>
          <w:rtl/>
        </w:rPr>
        <w:t>)</w:t>
      </w:r>
      <w:r>
        <w:rPr>
          <w:rFonts w:hint="cs"/>
          <w:rtl/>
        </w:rPr>
        <w:t>.</w:t>
      </w:r>
    </w:p>
    <w:p w:rsidR="00AF1D02" w:rsidRDefault="00065E4B" w:rsidP="00597C20">
      <w:pPr>
        <w:pStyle w:val="53"/>
        <w:rPr>
          <w:b w:val="0"/>
          <w:rtl/>
        </w:rPr>
      </w:pPr>
      <w:r>
        <w:rPr>
          <w:rFonts w:hint="cs"/>
          <w:b w:val="0"/>
          <w:rtl/>
        </w:rPr>
        <w:t>ا</w:t>
      </w:r>
      <w:r w:rsidR="00B07589">
        <w:rPr>
          <w:rFonts w:hint="cs"/>
          <w:b w:val="0"/>
          <w:rtl/>
        </w:rPr>
        <w:t>لذِّمة</w:t>
      </w:r>
      <w:r w:rsidR="00AB0B9E">
        <w:rPr>
          <w:b w:val="0"/>
          <w:rtl/>
        </w:rPr>
        <w:fldChar w:fldCharType="begin"/>
      </w:r>
      <w:r w:rsidR="00D65D30" w:rsidRPr="00C85F0F">
        <w:rPr>
          <w:bCs w:val="0"/>
        </w:rPr>
        <w:instrText>XE</w:instrText>
      </w:r>
      <w:r w:rsidR="00D65D30" w:rsidRPr="00C85F0F">
        <w:rPr>
          <w:bCs w:val="0"/>
          <w:rtl/>
        </w:rPr>
        <w:instrText xml:space="preserve"> "</w:instrText>
      </w:r>
      <w:r w:rsidR="00D65D30" w:rsidRPr="00C85F0F">
        <w:rPr>
          <w:rFonts w:hint="cs"/>
          <w:bCs w:val="0"/>
          <w:rtl/>
        </w:rPr>
        <w:instrText>الذِّمة</w:instrText>
      </w:r>
      <w:r w:rsidR="00D65D30" w:rsidRPr="00C85F0F">
        <w:rPr>
          <w:bCs w:val="0"/>
          <w:rtl/>
        </w:rPr>
        <w:instrText>" \</w:instrText>
      </w:r>
      <w:r w:rsidR="00D65D30" w:rsidRPr="00C85F0F">
        <w:rPr>
          <w:bCs w:val="0"/>
        </w:rPr>
        <w:instrText>f</w:instrText>
      </w:r>
      <w:r w:rsidR="00D65D30" w:rsidRPr="00D65D30">
        <w:instrText>m</w:instrText>
      </w:r>
      <w:r w:rsidR="00AB0B9E">
        <w:rPr>
          <w:b w:val="0"/>
          <w:rtl/>
        </w:rPr>
        <w:fldChar w:fldCharType="end"/>
      </w:r>
      <w:r w:rsidR="00B07589">
        <w:rPr>
          <w:rFonts w:hint="cs"/>
          <w:b w:val="0"/>
          <w:rtl/>
        </w:rPr>
        <w:t xml:space="preserve"> لغة:</w:t>
      </w:r>
    </w:p>
    <w:p w:rsidR="00065E4B" w:rsidRDefault="00B07589" w:rsidP="00597C20">
      <w:pPr>
        <w:ind w:firstLine="720"/>
        <w:rPr>
          <w:rtl/>
        </w:rPr>
      </w:pPr>
      <w:r>
        <w:rPr>
          <w:rFonts w:hint="cs"/>
          <w:rtl/>
        </w:rPr>
        <w:t>مصدر الفعل ذَمَمَ،</w:t>
      </w:r>
      <w:r w:rsidR="00154102">
        <w:rPr>
          <w:rFonts w:hint="cs"/>
          <w:rtl/>
        </w:rPr>
        <w:t xml:space="preserve"> و</w:t>
      </w:r>
      <w:r>
        <w:rPr>
          <w:rFonts w:hint="cs"/>
          <w:rtl/>
        </w:rPr>
        <w:t>من معانيها العهد</w:t>
      </w:r>
      <w:r w:rsidR="00154102">
        <w:rPr>
          <w:rFonts w:hint="cs"/>
          <w:rtl/>
        </w:rPr>
        <w:t xml:space="preserve"> و</w:t>
      </w:r>
      <w:r>
        <w:rPr>
          <w:rFonts w:hint="cs"/>
          <w:rtl/>
        </w:rPr>
        <w:t>الكفالة</w:t>
      </w:r>
      <w:r w:rsidRPr="00C821A1">
        <w:rPr>
          <w:rStyle w:val="af1"/>
          <w:szCs w:val="32"/>
          <w:rtl/>
        </w:rPr>
        <w:t>(</w:t>
      </w:r>
      <w:r w:rsidRPr="00C821A1">
        <w:rPr>
          <w:rStyle w:val="af1"/>
          <w:szCs w:val="32"/>
          <w:rtl/>
        </w:rPr>
        <w:footnoteReference w:id="1085"/>
      </w:r>
      <w:r w:rsidRPr="00C821A1">
        <w:rPr>
          <w:rStyle w:val="af1"/>
          <w:szCs w:val="32"/>
          <w:rtl/>
        </w:rPr>
        <w:t>)</w:t>
      </w:r>
      <w:r>
        <w:rPr>
          <w:rFonts w:hint="cs"/>
          <w:rtl/>
        </w:rPr>
        <w:t>.</w:t>
      </w:r>
    </w:p>
    <w:p w:rsidR="00AF1D02" w:rsidRDefault="00065E4B" w:rsidP="00597C20">
      <w:pPr>
        <w:pStyle w:val="53"/>
        <w:rPr>
          <w:rtl/>
        </w:rPr>
      </w:pPr>
      <w:r w:rsidRPr="00482FBC">
        <w:rPr>
          <w:rFonts w:hint="cs"/>
          <w:rtl/>
        </w:rPr>
        <w:t>ا</w:t>
      </w:r>
      <w:r w:rsidR="00B07589" w:rsidRPr="00482FBC">
        <w:rPr>
          <w:rFonts w:hint="cs"/>
          <w:rtl/>
        </w:rPr>
        <w:t>لذمة اصطلاحا:</w:t>
      </w:r>
    </w:p>
    <w:p w:rsidR="00065E4B" w:rsidRDefault="00B07589" w:rsidP="00597C20">
      <w:pPr>
        <w:ind w:firstLine="720"/>
        <w:rPr>
          <w:rtl/>
        </w:rPr>
      </w:pPr>
      <w:r>
        <w:rPr>
          <w:rFonts w:hint="cs"/>
          <w:rtl/>
        </w:rPr>
        <w:t>هي وصف يصير به الشخصُ أهلاً للإيجاب له أو عليه</w:t>
      </w:r>
      <w:r w:rsidRPr="00C821A1">
        <w:rPr>
          <w:rStyle w:val="af1"/>
          <w:szCs w:val="32"/>
          <w:rtl/>
        </w:rPr>
        <w:t>(</w:t>
      </w:r>
      <w:r w:rsidRPr="00C821A1">
        <w:rPr>
          <w:rStyle w:val="af1"/>
          <w:szCs w:val="32"/>
          <w:rtl/>
        </w:rPr>
        <w:footnoteReference w:id="1086"/>
      </w:r>
      <w:r w:rsidRPr="00C821A1">
        <w:rPr>
          <w:rStyle w:val="af1"/>
          <w:szCs w:val="32"/>
          <w:rtl/>
        </w:rPr>
        <w:t>)</w:t>
      </w:r>
      <w:r>
        <w:rPr>
          <w:rFonts w:hint="cs"/>
          <w:rtl/>
        </w:rPr>
        <w:t>.</w:t>
      </w:r>
    </w:p>
    <w:p w:rsidR="00B07589" w:rsidRDefault="00065E4B" w:rsidP="00E46FB5">
      <w:pPr>
        <w:pStyle w:val="53"/>
      </w:pPr>
      <w:r>
        <w:rPr>
          <w:rFonts w:hint="cs"/>
          <w:rtl/>
        </w:rPr>
        <w:t>م</w:t>
      </w:r>
      <w:r w:rsidR="00B07589">
        <w:rPr>
          <w:rFonts w:hint="cs"/>
          <w:rtl/>
        </w:rPr>
        <w:t>عنى القاعدة إجمالا:</w:t>
      </w:r>
    </w:p>
    <w:p w:rsidR="00065E4B" w:rsidRDefault="00A11724" w:rsidP="00A11724">
      <w:pPr>
        <w:ind w:firstLine="0"/>
      </w:pPr>
      <w:r>
        <w:rPr>
          <w:rFonts w:hint="cs"/>
          <w:rtl/>
        </w:rPr>
        <w:t xml:space="preserve">    </w:t>
      </w:r>
      <w:r w:rsidR="00E46FB5">
        <w:rPr>
          <w:rFonts w:hint="cs"/>
          <w:rtl/>
        </w:rPr>
        <w:t>هذه القاعدة أصولية فقهية، ف</w:t>
      </w:r>
      <w:r w:rsidR="00B07589">
        <w:rPr>
          <w:rFonts w:hint="cs"/>
          <w:rtl/>
        </w:rPr>
        <w:t>من جهة كونها متعلقة</w:t>
      </w:r>
      <w:r>
        <w:rPr>
          <w:rFonts w:hint="cs"/>
          <w:rtl/>
        </w:rPr>
        <w:t>ً</w:t>
      </w:r>
      <w:r w:rsidR="00B07589">
        <w:rPr>
          <w:rFonts w:hint="cs"/>
          <w:rtl/>
        </w:rPr>
        <w:t xml:space="preserve"> بالمكلفين من جهة انتفاء الأحكام </w:t>
      </w:r>
      <w:r>
        <w:rPr>
          <w:rFonts w:hint="cs"/>
          <w:rtl/>
        </w:rPr>
        <w:t xml:space="preserve">التكليفية </w:t>
      </w:r>
      <w:r w:rsidR="00B07589">
        <w:rPr>
          <w:rFonts w:hint="cs"/>
          <w:rtl/>
        </w:rPr>
        <w:t>عنهم حتى يرِد ما يدل على خلاف ذلك</w:t>
      </w:r>
      <w:r w:rsidR="00B07589" w:rsidRPr="00A11724">
        <w:rPr>
          <w:rStyle w:val="af1"/>
          <w:szCs w:val="32"/>
          <w:rtl/>
        </w:rPr>
        <w:t>(</w:t>
      </w:r>
      <w:r w:rsidR="00B07589" w:rsidRPr="00C821A1">
        <w:rPr>
          <w:rStyle w:val="af1"/>
          <w:szCs w:val="32"/>
          <w:rtl/>
        </w:rPr>
        <w:footnoteReference w:id="1087"/>
      </w:r>
      <w:r w:rsidR="00B07589" w:rsidRPr="00A11724">
        <w:rPr>
          <w:rStyle w:val="af1"/>
          <w:szCs w:val="32"/>
          <w:rtl/>
        </w:rPr>
        <w:t>)</w:t>
      </w:r>
      <w:r w:rsidR="00BF452F">
        <w:rPr>
          <w:rFonts w:hint="cs"/>
          <w:rtl/>
        </w:rPr>
        <w:t>،</w:t>
      </w:r>
      <w:r w:rsidR="00B07589">
        <w:rPr>
          <w:rFonts w:hint="cs"/>
          <w:rtl/>
        </w:rPr>
        <w:t xml:space="preserve"> فتكون بهذا قاعدة فقهية،</w:t>
      </w:r>
      <w:r w:rsidR="00154102">
        <w:rPr>
          <w:rFonts w:hint="cs"/>
          <w:rtl/>
        </w:rPr>
        <w:t xml:space="preserve"> و</w:t>
      </w:r>
      <w:r w:rsidR="00B07589">
        <w:rPr>
          <w:rFonts w:hint="cs"/>
          <w:rtl/>
        </w:rPr>
        <w:t>من جهة كونها تُبحَث عند الأصوليين في مباحث دليل الاستصحاب،</w:t>
      </w:r>
      <w:r w:rsidR="00154102">
        <w:rPr>
          <w:rFonts w:hint="cs"/>
          <w:rtl/>
        </w:rPr>
        <w:t xml:space="preserve"> و</w:t>
      </w:r>
      <w:r w:rsidR="00B07589">
        <w:rPr>
          <w:rFonts w:hint="cs"/>
          <w:rtl/>
        </w:rPr>
        <w:t>هي تعبِّر عن نوع من أنواعه</w:t>
      </w:r>
      <w:r w:rsidR="00F822A5">
        <w:rPr>
          <w:rFonts w:hint="cs"/>
          <w:rtl/>
        </w:rPr>
        <w:t>،</w:t>
      </w:r>
      <w:r w:rsidR="00154102">
        <w:rPr>
          <w:rFonts w:hint="cs"/>
          <w:rtl/>
        </w:rPr>
        <w:t xml:space="preserve"> و</w:t>
      </w:r>
      <w:r w:rsidR="00B07589">
        <w:rPr>
          <w:rFonts w:hint="cs"/>
          <w:rtl/>
        </w:rPr>
        <w:t>هو ما يسمى بالبراءة الأصلية</w:t>
      </w:r>
      <w:r w:rsidR="00B07589" w:rsidRPr="00A11724">
        <w:rPr>
          <w:rStyle w:val="af1"/>
          <w:szCs w:val="32"/>
          <w:rtl/>
        </w:rPr>
        <w:t>(</w:t>
      </w:r>
      <w:r w:rsidR="00B07589" w:rsidRPr="00C821A1">
        <w:rPr>
          <w:rStyle w:val="af1"/>
          <w:szCs w:val="32"/>
          <w:rtl/>
        </w:rPr>
        <w:footnoteReference w:id="1088"/>
      </w:r>
      <w:r w:rsidR="00B07589" w:rsidRPr="00A11724">
        <w:rPr>
          <w:rStyle w:val="af1"/>
          <w:szCs w:val="32"/>
          <w:rtl/>
        </w:rPr>
        <w:t>)</w:t>
      </w:r>
      <w:r w:rsidR="00B07589">
        <w:rPr>
          <w:rFonts w:hint="cs"/>
          <w:rtl/>
        </w:rPr>
        <w:t>، فالقاعدة من هذا الوجه أصولية.</w:t>
      </w:r>
      <w:r w:rsidR="00154102">
        <w:rPr>
          <w:rFonts w:hint="cs"/>
          <w:rtl/>
        </w:rPr>
        <w:t xml:space="preserve"> و</w:t>
      </w:r>
      <w:r w:rsidR="00B07589">
        <w:rPr>
          <w:rFonts w:hint="cs"/>
          <w:rtl/>
        </w:rPr>
        <w:t>الله أعلم.</w:t>
      </w:r>
    </w:p>
    <w:p w:rsidR="00F228A9" w:rsidRDefault="00BF452F" w:rsidP="00BE573F">
      <w:pPr>
        <w:ind w:firstLine="0"/>
        <w:rPr>
          <w:rtl/>
        </w:rPr>
      </w:pPr>
      <w:r>
        <w:rPr>
          <w:rFonts w:hint="cs"/>
          <w:rtl/>
        </w:rPr>
        <w:lastRenderedPageBreak/>
        <w:t xml:space="preserve">    </w:t>
      </w:r>
      <w:r w:rsidR="00065E4B">
        <w:rPr>
          <w:rFonts w:hint="cs"/>
          <w:rtl/>
        </w:rPr>
        <w:t>و</w:t>
      </w:r>
      <w:r w:rsidR="00B07589">
        <w:rPr>
          <w:rFonts w:hint="cs"/>
          <w:rtl/>
        </w:rPr>
        <w:t>معنى القاعدة أن القاعدة المستمرة أن الإنسان بريءُ الذمة من وجوب شيءأو لزومه؛</w:t>
      </w:r>
      <w:r w:rsidR="00A86821">
        <w:rPr>
          <w:rFonts w:hint="cs"/>
          <w:rtl/>
        </w:rPr>
        <w:t xml:space="preserve"> </w:t>
      </w:r>
      <w:r w:rsidR="00B07589">
        <w:rPr>
          <w:rFonts w:hint="cs"/>
          <w:rtl/>
        </w:rPr>
        <w:t>لأنه يولَد خاليا من كل دَين أو التزام أو مسؤولية،</w:t>
      </w:r>
      <w:r w:rsidR="00154102">
        <w:rPr>
          <w:rFonts w:hint="cs"/>
          <w:rtl/>
        </w:rPr>
        <w:t xml:space="preserve"> و</w:t>
      </w:r>
      <w:r w:rsidR="00B07589">
        <w:rPr>
          <w:rFonts w:hint="cs"/>
          <w:rtl/>
        </w:rPr>
        <w:t>هذا الأمر المتيقَّن لا يُنتقَل عنه إلا بدليل يَقْوى على إزالته</w:t>
      </w:r>
      <w:r w:rsidR="00B07589" w:rsidRPr="00C821A1">
        <w:rPr>
          <w:rStyle w:val="af1"/>
          <w:szCs w:val="32"/>
          <w:rtl/>
        </w:rPr>
        <w:t>(</w:t>
      </w:r>
      <w:r w:rsidR="00B07589" w:rsidRPr="00C821A1">
        <w:rPr>
          <w:rStyle w:val="af1"/>
          <w:szCs w:val="32"/>
          <w:rtl/>
        </w:rPr>
        <w:footnoteReference w:id="1089"/>
      </w:r>
      <w:r w:rsidR="00B07589" w:rsidRPr="00C821A1">
        <w:rPr>
          <w:rStyle w:val="af1"/>
          <w:szCs w:val="32"/>
          <w:rtl/>
        </w:rPr>
        <w:t>)</w:t>
      </w:r>
      <w:r w:rsidR="00B07589">
        <w:rPr>
          <w:rFonts w:hint="cs"/>
          <w:rtl/>
        </w:rPr>
        <w:t>.</w:t>
      </w:r>
    </w:p>
    <w:p w:rsidR="00B07589" w:rsidRPr="00F822A5" w:rsidRDefault="00F822A5" w:rsidP="00A8347C">
      <w:pPr>
        <w:pStyle w:val="aff3"/>
        <w:rPr>
          <w:rtl/>
        </w:rPr>
      </w:pPr>
      <w:bookmarkStart w:id="217" w:name="_Toc334046447"/>
      <w:r>
        <w:rPr>
          <w:rFonts w:hint="cs"/>
          <w:rtl/>
        </w:rPr>
        <w:t xml:space="preserve">                                           </w:t>
      </w:r>
      <w:r w:rsidR="00B07589" w:rsidRPr="00B07589">
        <w:rPr>
          <w:rFonts w:hint="cs"/>
          <w:rtl/>
        </w:rPr>
        <w:t>المطلب الثالث</w:t>
      </w:r>
      <w:r w:rsidR="00B07589">
        <w:rPr>
          <w:rFonts w:hint="eastAsia"/>
          <w:rtl/>
        </w:rPr>
        <w:t> :</w:t>
      </w:r>
      <w:r w:rsidR="00B07589">
        <w:rPr>
          <w:rFonts w:hint="cs"/>
          <w:rtl/>
        </w:rPr>
        <w:br/>
      </w:r>
      <w:r>
        <w:rPr>
          <w:rFonts w:hint="cs"/>
          <w:rtl/>
        </w:rPr>
        <w:t xml:space="preserve">                                             </w:t>
      </w:r>
      <w:r w:rsidR="00B07589" w:rsidRPr="00B07589">
        <w:rPr>
          <w:rFonts w:hint="cs"/>
          <w:rtl/>
        </w:rPr>
        <w:t>أدلة القاعدة</w:t>
      </w:r>
      <w:bookmarkEnd w:id="217"/>
    </w:p>
    <w:p w:rsidR="00B07589" w:rsidRPr="00F822A5" w:rsidRDefault="00F822A5" w:rsidP="00F822A5">
      <w:pPr>
        <w:ind w:firstLine="0"/>
        <w:rPr>
          <w:rFonts w:ascii="Traditional Arabic" w:hAnsi="Traditional Arabic"/>
          <w:b/>
          <w:bCs/>
          <w:rtl/>
        </w:rPr>
      </w:pPr>
      <w:r>
        <w:rPr>
          <w:rFonts w:ascii="Traditional Arabic" w:hAnsi="Traditional Arabic" w:hint="cs"/>
          <w:noProof w:val="0"/>
          <w:rtl/>
          <w:lang w:eastAsia="en-US"/>
        </w:rPr>
        <w:t xml:space="preserve">(1)    </w:t>
      </w:r>
      <w:r w:rsidR="00B07589" w:rsidRPr="00F822A5">
        <w:rPr>
          <w:rFonts w:ascii="Traditional Arabic" w:hAnsi="Traditional Arabic" w:hint="cs"/>
          <w:noProof w:val="0"/>
          <w:rtl/>
          <w:lang w:eastAsia="en-US"/>
        </w:rPr>
        <w:t>قوله تعالى:</w:t>
      </w:r>
      <w:bookmarkStart w:id="218" w:name="سورة_البقرة_282_3"/>
      <w:r>
        <w:rPr>
          <w:rFonts w:ascii="Traditional Arabic" w:hAnsi="Traditional Arabic" w:hint="cs"/>
          <w:noProof w:val="0"/>
          <w:rtl/>
          <w:lang w:eastAsia="en-US"/>
        </w:rPr>
        <w:t xml:space="preserve"> </w:t>
      </w:r>
      <w:r w:rsidR="00B07589" w:rsidRPr="00F822A5">
        <w:rPr>
          <w:rFonts w:ascii="QCF_BSML" w:hAnsi="QCF_BSML" w:cs="QCF_BSML"/>
          <w:noProof w:val="0"/>
          <w:rtl/>
          <w:lang w:eastAsia="en-US"/>
        </w:rPr>
        <w:t xml:space="preserve">ﭽ </w:t>
      </w:r>
      <w:r w:rsidR="00B07589" w:rsidRPr="00F822A5">
        <w:rPr>
          <w:rFonts w:ascii="QCF_P048" w:hAnsi="QCF_P048" w:cs="QCF_P048"/>
          <w:noProof w:val="0"/>
          <w:rtl/>
          <w:lang w:eastAsia="en-US"/>
        </w:rPr>
        <w:t>ﭫ</w:t>
      </w:r>
      <w:r>
        <w:rPr>
          <w:rFonts w:ascii="QCF_P048" w:hAnsi="QCF_P048" w:cs="QCF_P048" w:hint="cs"/>
          <w:noProof w:val="0"/>
          <w:rtl/>
          <w:lang w:eastAsia="en-US"/>
        </w:rPr>
        <w:t xml:space="preserve"> </w:t>
      </w:r>
      <w:r w:rsidR="00B07589" w:rsidRPr="00F822A5">
        <w:rPr>
          <w:rFonts w:ascii="QCF_P048" w:hAnsi="QCF_P048" w:cs="QCF_P048"/>
          <w:noProof w:val="0"/>
          <w:rtl/>
          <w:lang w:eastAsia="en-US"/>
        </w:rPr>
        <w:t>ﭬ</w:t>
      </w:r>
      <w:r>
        <w:rPr>
          <w:rFonts w:ascii="QCF_P048" w:hAnsi="QCF_P048" w:cs="QCF_P048" w:hint="cs"/>
          <w:noProof w:val="0"/>
          <w:rtl/>
          <w:lang w:eastAsia="en-US"/>
        </w:rPr>
        <w:t xml:space="preserve"> </w:t>
      </w:r>
      <w:r w:rsidR="00B07589" w:rsidRPr="00F822A5">
        <w:rPr>
          <w:rFonts w:ascii="QCF_P048" w:hAnsi="QCF_P048" w:cs="QCF_P048"/>
          <w:noProof w:val="0"/>
          <w:rtl/>
          <w:lang w:eastAsia="en-US"/>
        </w:rPr>
        <w:t>ﭭ</w:t>
      </w:r>
      <w:r>
        <w:rPr>
          <w:rFonts w:ascii="QCF_P048" w:hAnsi="QCF_P048" w:cs="QCF_P048" w:hint="cs"/>
          <w:noProof w:val="0"/>
          <w:rtl/>
          <w:lang w:eastAsia="en-US"/>
        </w:rPr>
        <w:t xml:space="preserve"> </w:t>
      </w:r>
      <w:r w:rsidR="00B07589" w:rsidRPr="00F822A5">
        <w:rPr>
          <w:rFonts w:ascii="QCF_P048" w:hAnsi="QCF_P048" w:cs="QCF_P048"/>
          <w:noProof w:val="0"/>
          <w:rtl/>
          <w:lang w:eastAsia="en-US"/>
        </w:rPr>
        <w:t>ﭮ</w:t>
      </w:r>
      <w:r>
        <w:rPr>
          <w:rFonts w:ascii="QCF_P048" w:hAnsi="QCF_P048" w:cs="QCF_P048" w:hint="cs"/>
          <w:noProof w:val="0"/>
          <w:rtl/>
          <w:lang w:eastAsia="en-US"/>
        </w:rPr>
        <w:t xml:space="preserve"> </w:t>
      </w:r>
      <w:r w:rsidR="00B07589" w:rsidRPr="00F822A5">
        <w:rPr>
          <w:rFonts w:ascii="QCF_P048" w:hAnsi="QCF_P048" w:cs="QCF_P048"/>
          <w:noProof w:val="0"/>
          <w:rtl/>
          <w:lang w:eastAsia="en-US"/>
        </w:rPr>
        <w:t>ﭯ</w:t>
      </w:r>
      <w:r>
        <w:rPr>
          <w:rFonts w:ascii="QCF_P048" w:hAnsi="QCF_P048" w:cs="QCF_P048" w:hint="cs"/>
          <w:noProof w:val="0"/>
          <w:rtl/>
          <w:lang w:eastAsia="en-US"/>
        </w:rPr>
        <w:t xml:space="preserve"> </w:t>
      </w:r>
      <w:r w:rsidR="00B07589" w:rsidRPr="00F822A5">
        <w:rPr>
          <w:rFonts w:ascii="QCF_P048" w:hAnsi="QCF_P048" w:cs="QCF_P048"/>
          <w:noProof w:val="0"/>
          <w:rtl/>
          <w:lang w:eastAsia="en-US"/>
        </w:rPr>
        <w:t>ﭰ</w:t>
      </w:r>
      <w:r>
        <w:rPr>
          <w:rFonts w:ascii="QCF_P048" w:hAnsi="QCF_P048" w:cs="QCF_P048" w:hint="cs"/>
          <w:noProof w:val="0"/>
          <w:rtl/>
          <w:lang w:eastAsia="en-US"/>
        </w:rPr>
        <w:t xml:space="preserve"> </w:t>
      </w:r>
      <w:r w:rsidR="00B07589" w:rsidRPr="00F822A5">
        <w:rPr>
          <w:rFonts w:ascii="QCF_P048" w:hAnsi="QCF_P048" w:cs="QCF_P048"/>
          <w:noProof w:val="0"/>
          <w:rtl/>
          <w:lang w:eastAsia="en-US"/>
        </w:rPr>
        <w:t>ﭱ</w:t>
      </w:r>
      <w:r w:rsidR="00B07589" w:rsidRPr="00F822A5">
        <w:rPr>
          <w:rFonts w:ascii="QCF_BSML" w:hAnsi="QCF_BSML" w:cs="QCF_BSML"/>
          <w:noProof w:val="0"/>
          <w:rtl/>
          <w:lang w:eastAsia="en-US"/>
        </w:rPr>
        <w:t>ﭼ</w:t>
      </w:r>
      <w:bookmarkEnd w:id="218"/>
      <w:r w:rsidR="00B07589" w:rsidRPr="00F822A5">
        <w:rPr>
          <w:rFonts w:ascii="Traditional Arabic" w:hAnsi="Traditional Arabic"/>
          <w:noProof w:val="0"/>
          <w:color w:val="auto"/>
          <w:rtl/>
          <w:lang w:eastAsia="en-US"/>
        </w:rPr>
        <w:t>[البقرة: ٢٨٢</w:t>
      </w:r>
      <w:r w:rsidR="00B07589" w:rsidRPr="00F822A5">
        <w:rPr>
          <w:rFonts w:ascii="Traditional Arabic" w:hAnsi="Traditional Arabic"/>
          <w:rtl/>
        </w:rPr>
        <w:t>]</w:t>
      </w:r>
      <w:r w:rsidR="00B07589" w:rsidRPr="00F822A5">
        <w:rPr>
          <w:rFonts w:ascii="Traditional Arabic" w:hAnsi="Traditional Arabic"/>
          <w:b/>
          <w:bCs/>
          <w:rtl/>
        </w:rPr>
        <w:t>.</w:t>
      </w:r>
    </w:p>
    <w:p w:rsidR="00B07589" w:rsidRDefault="00B07589" w:rsidP="00597C20">
      <w:pPr>
        <w:pStyle w:val="53"/>
        <w:rPr>
          <w:rtl/>
        </w:rPr>
      </w:pPr>
      <w:r>
        <w:rPr>
          <w:rFonts w:hint="cs"/>
          <w:rtl/>
        </w:rPr>
        <w:t>وجه الدلالة:</w:t>
      </w:r>
    </w:p>
    <w:p w:rsidR="00B07589" w:rsidRPr="002C6D77" w:rsidRDefault="00B07589" w:rsidP="00597C20">
      <w:pPr>
        <w:ind w:firstLine="720"/>
        <w:rPr>
          <w:rFonts w:ascii="Traditional Arabic" w:hAnsi="Traditional Arabic"/>
          <w:rtl/>
        </w:rPr>
      </w:pPr>
      <w:r w:rsidRPr="002C6D77">
        <w:rPr>
          <w:rFonts w:ascii="Traditional Arabic" w:hAnsi="Traditional Arabic"/>
          <w:rtl/>
        </w:rPr>
        <w:t xml:space="preserve">ذكر الشيخ ابن عثيمين </w:t>
      </w:r>
      <w:r w:rsidR="00F822A5">
        <w:rPr>
          <w:rFonts w:ascii="Traditional Arabic" w:hAnsi="Traditional Arabic" w:hint="cs"/>
          <w:rtl/>
        </w:rPr>
        <w:t>_</w:t>
      </w:r>
      <w:r w:rsidRPr="005D5694">
        <w:rPr>
          <w:rFonts w:ascii="Traditional Arabic" w:hAnsi="Traditional Arabic" w:cs="CTraditional Arabic"/>
          <w:color w:val="auto"/>
          <w:rtl/>
        </w:rPr>
        <w:t>/</w:t>
      </w:r>
      <w:r w:rsidR="00F822A5">
        <w:rPr>
          <w:rFonts w:ascii="Traditional Arabic" w:hAnsi="Traditional Arabic" w:hint="cs"/>
          <w:rtl/>
        </w:rPr>
        <w:t xml:space="preserve">_ </w:t>
      </w:r>
      <w:r w:rsidRPr="002C6D77">
        <w:rPr>
          <w:rFonts w:ascii="Traditional Arabic" w:hAnsi="Traditional Arabic"/>
          <w:rtl/>
        </w:rPr>
        <w:t>من فوائد هذه الآية : (</w:t>
      </w:r>
      <w:r w:rsidR="00A86821">
        <w:rPr>
          <w:rFonts w:ascii="Traditional Arabic" w:hAnsi="Traditional Arabic" w:hint="cs"/>
          <w:rtl/>
        </w:rPr>
        <w:t>...</w:t>
      </w:r>
      <w:r w:rsidRPr="00F822A5">
        <w:rPr>
          <w:rFonts w:ascii="Traditional Arabic" w:hAnsi="Traditional Arabic"/>
          <w:rtl/>
        </w:rPr>
        <w:t>أن الأصل براءة الذمة</w:t>
      </w:r>
      <w:r w:rsidR="00B76414">
        <w:rPr>
          <w:rFonts w:ascii="Traditional Arabic" w:hAnsi="Traditional Arabic"/>
          <w:rtl/>
        </w:rPr>
        <w:t>،</w:t>
      </w:r>
      <w:r w:rsidRPr="002C6D77">
        <w:rPr>
          <w:rFonts w:ascii="Traditional Arabic" w:hAnsi="Traditional Arabic"/>
          <w:rtl/>
        </w:rPr>
        <w:t xml:space="preserve"> فمن ادَّعى على شخص فعليه البيِّنة</w:t>
      </w:r>
      <w:r w:rsidR="00B76414">
        <w:rPr>
          <w:rFonts w:ascii="Traditional Arabic" w:hAnsi="Traditional Arabic"/>
          <w:rtl/>
        </w:rPr>
        <w:t>،</w:t>
      </w:r>
      <w:r w:rsidRPr="002C6D77">
        <w:rPr>
          <w:rFonts w:ascii="Traditional Arabic" w:hAnsi="Traditional Arabic"/>
          <w:rtl/>
        </w:rPr>
        <w:t xml:space="preserve"> وإلا فالأصل براءة ذمة المُدَّعى عليه</w:t>
      </w:r>
      <w:r w:rsidR="00B76414">
        <w:rPr>
          <w:rFonts w:ascii="Traditional Arabic" w:hAnsi="Traditional Arabic"/>
          <w:rtl/>
        </w:rPr>
        <w:t>،</w:t>
      </w:r>
      <w:r w:rsidRPr="002C6D77">
        <w:rPr>
          <w:rFonts w:ascii="Traditional Arabic" w:hAnsi="Traditional Arabic"/>
          <w:rtl/>
        </w:rPr>
        <w:t xml:space="preserve"> وكذلك براءة ذمة المدَّعى عليه مما زاد على ما أقرَّ به</w:t>
      </w:r>
      <w:r w:rsidR="00B76414">
        <w:rPr>
          <w:rFonts w:ascii="Traditional Arabic" w:hAnsi="Traditional Arabic"/>
          <w:rtl/>
        </w:rPr>
        <w:t>،</w:t>
      </w:r>
      <w:r w:rsidRPr="002C6D77">
        <w:rPr>
          <w:rFonts w:ascii="Traditional Arabic" w:hAnsi="Traditional Arabic"/>
          <w:rtl/>
        </w:rPr>
        <w:t xml:space="preserve"> بدليل أن الله تعالى جعل المرجع إليه</w:t>
      </w:r>
      <w:r w:rsidR="00B76414">
        <w:rPr>
          <w:rFonts w:ascii="Traditional Arabic" w:hAnsi="Traditional Arabic"/>
          <w:rtl/>
        </w:rPr>
        <w:t>،</w:t>
      </w:r>
      <w:r w:rsidRPr="002C6D77">
        <w:rPr>
          <w:rFonts w:ascii="Traditional Arabic" w:hAnsi="Traditional Arabic"/>
          <w:rtl/>
        </w:rPr>
        <w:t xml:space="preserve"> أي : إلى الذي عليه الحق)</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1090"/>
      </w:r>
      <w:r w:rsidRPr="00C821A1">
        <w:rPr>
          <w:rFonts w:ascii="Traditional Arabic" w:hAnsi="Traditional Arabic"/>
          <w:szCs w:val="32"/>
          <w:vertAlign w:val="superscript"/>
          <w:rtl/>
        </w:rPr>
        <w:t>)</w:t>
      </w:r>
      <w:r w:rsidR="00B76414">
        <w:rPr>
          <w:rFonts w:ascii="Traditional Arabic" w:hAnsi="Traditional Arabic"/>
          <w:rtl/>
        </w:rPr>
        <w:t>.</w:t>
      </w:r>
    </w:p>
    <w:p w:rsidR="00B07589" w:rsidRPr="00F822A5" w:rsidRDefault="00F822A5" w:rsidP="00F822A5">
      <w:pPr>
        <w:ind w:firstLine="0"/>
        <w:rPr>
          <w:color w:val="auto"/>
        </w:rPr>
      </w:pPr>
      <w:r>
        <w:rPr>
          <w:rFonts w:hint="cs"/>
          <w:rtl/>
        </w:rPr>
        <w:t xml:space="preserve">(2)    </w:t>
      </w:r>
      <w:r w:rsidR="00B07589" w:rsidRPr="00FF7E5C">
        <w:rPr>
          <w:rFonts w:hint="cs"/>
          <w:rtl/>
        </w:rPr>
        <w:t>قوله تعالى:</w:t>
      </w:r>
      <w:bookmarkStart w:id="219" w:name="سورة_المائدة_101"/>
      <w:r>
        <w:rPr>
          <w:rFonts w:ascii="QCF_BSML" w:hAnsi="QCF_BSML" w:cs="QCF_BSML" w:hint="cs"/>
          <w:noProof w:val="0"/>
          <w:rtl/>
          <w:lang w:eastAsia="en-US"/>
        </w:rPr>
        <w:t xml:space="preserve"> </w:t>
      </w:r>
      <w:r w:rsidR="00D82F52">
        <w:rPr>
          <w:rFonts w:ascii="QCF_BSML" w:hAnsi="QCF_BSML" w:cs="QCF_BSML" w:hint="cs"/>
          <w:noProof w:val="0"/>
          <w:rtl/>
          <w:lang w:eastAsia="en-US"/>
        </w:rPr>
        <w:t xml:space="preserve"> </w:t>
      </w:r>
      <w:r w:rsidR="00B07589" w:rsidRPr="00F822A5">
        <w:rPr>
          <w:rFonts w:ascii="QCF_BSML" w:hAnsi="QCF_BSML" w:cs="QCF_BSML"/>
          <w:noProof w:val="0"/>
          <w:rtl/>
          <w:lang w:eastAsia="en-US"/>
        </w:rPr>
        <w:t>ﭽ</w:t>
      </w:r>
      <w:r w:rsidR="00B07589" w:rsidRPr="00F822A5">
        <w:rPr>
          <w:rFonts w:ascii="QCF_P124" w:hAnsi="QCF_P124" w:cs="QCF_P124"/>
          <w:noProof w:val="0"/>
          <w:rtl/>
          <w:lang w:eastAsia="en-US"/>
        </w:rPr>
        <w:t>ﮮ</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ﮯ</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ﮰ</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ﮱ</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ﯓ</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ﯔ</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ﯕ</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ﯖ</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ﯗ</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ﯘ</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ﯙ</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ﯚ</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ﯛ</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ﯜ</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ﯝ</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ﯞ</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ﯟ</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ﯠ</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ﯡ</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ﯢ</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ﯣ</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ﯤ</w:t>
      </w:r>
      <w:r>
        <w:rPr>
          <w:rFonts w:ascii="QCF_P124" w:hAnsi="QCF_P124" w:cs="QCF_P124" w:hint="cs"/>
          <w:noProof w:val="0"/>
          <w:rtl/>
          <w:lang w:eastAsia="en-US"/>
        </w:rPr>
        <w:t xml:space="preserve"> </w:t>
      </w:r>
      <w:r w:rsidR="00B07589" w:rsidRPr="00F822A5">
        <w:rPr>
          <w:rFonts w:ascii="QCF_P124" w:hAnsi="QCF_P124" w:cs="QCF_P124"/>
          <w:noProof w:val="0"/>
          <w:color w:val="0000A5"/>
          <w:rtl/>
          <w:lang w:eastAsia="en-US"/>
        </w:rPr>
        <w:t>ﯥ</w:t>
      </w:r>
      <w:r>
        <w:rPr>
          <w:rFonts w:ascii="QCF_P124" w:hAnsi="QCF_P124" w:cs="QCF_P124" w:hint="cs"/>
          <w:noProof w:val="0"/>
          <w:color w:val="0000A5"/>
          <w:rtl/>
          <w:lang w:eastAsia="en-US"/>
        </w:rPr>
        <w:t xml:space="preserve"> </w:t>
      </w:r>
      <w:r w:rsidR="00B07589" w:rsidRPr="00F822A5">
        <w:rPr>
          <w:rFonts w:ascii="QCF_P124" w:hAnsi="QCF_P124" w:cs="QCF_P124"/>
          <w:noProof w:val="0"/>
          <w:rtl/>
          <w:lang w:eastAsia="en-US"/>
        </w:rPr>
        <w:t>ﯦ</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ﯧ</w:t>
      </w:r>
      <w:r>
        <w:rPr>
          <w:rFonts w:ascii="QCF_P124" w:hAnsi="QCF_P124" w:cs="QCF_P124" w:hint="cs"/>
          <w:noProof w:val="0"/>
          <w:rtl/>
          <w:lang w:eastAsia="en-US"/>
        </w:rPr>
        <w:t xml:space="preserve"> </w:t>
      </w:r>
      <w:r w:rsidR="00B07589" w:rsidRPr="00F822A5">
        <w:rPr>
          <w:rFonts w:ascii="QCF_P124" w:hAnsi="QCF_P124" w:cs="QCF_P124"/>
          <w:noProof w:val="0"/>
          <w:rtl/>
          <w:lang w:eastAsia="en-US"/>
        </w:rPr>
        <w:t>ﯨ</w:t>
      </w:r>
      <w:r w:rsidR="00B07589" w:rsidRPr="00F822A5">
        <w:rPr>
          <w:rFonts w:ascii="QCF_BSML" w:hAnsi="QCF_BSML" w:cs="QCF_BSML"/>
          <w:noProof w:val="0"/>
          <w:rtl/>
          <w:lang w:eastAsia="en-US"/>
        </w:rPr>
        <w:t>ﭼ</w:t>
      </w:r>
      <w:bookmarkEnd w:id="219"/>
      <w:r w:rsidR="00B07589" w:rsidRPr="00F822A5">
        <w:rPr>
          <w:rFonts w:ascii="Traditional Arabic" w:hAnsi="Traditional Arabic"/>
          <w:noProof w:val="0"/>
          <w:rtl/>
          <w:lang w:eastAsia="en-US"/>
        </w:rPr>
        <w:t>[</w:t>
      </w:r>
      <w:r w:rsidR="00B07589" w:rsidRPr="00F822A5">
        <w:rPr>
          <w:rFonts w:ascii="Traditional Arabic" w:hAnsi="Traditional Arabic"/>
          <w:noProof w:val="0"/>
          <w:color w:val="auto"/>
          <w:rtl/>
          <w:lang w:eastAsia="en-US"/>
        </w:rPr>
        <w:t>المائدة: ١٠١</w:t>
      </w:r>
      <w:r w:rsidR="00B07589" w:rsidRPr="00F822A5">
        <w:rPr>
          <w:rFonts w:ascii="Traditional Arabic" w:hAnsi="Traditional Arabic"/>
          <w:color w:val="auto"/>
          <w:rtl/>
        </w:rPr>
        <w:t>]</w:t>
      </w:r>
      <w:r w:rsidR="00B07589" w:rsidRPr="00F822A5">
        <w:rPr>
          <w:rFonts w:hint="cs"/>
          <w:color w:val="auto"/>
          <w:rtl/>
        </w:rPr>
        <w:t>.</w:t>
      </w:r>
    </w:p>
    <w:p w:rsidR="00B07589" w:rsidRDefault="00B07589" w:rsidP="00597C20">
      <w:pPr>
        <w:pStyle w:val="53"/>
        <w:rPr>
          <w:rtl/>
        </w:rPr>
      </w:pPr>
      <w:r>
        <w:rPr>
          <w:rFonts w:hint="cs"/>
          <w:rtl/>
        </w:rPr>
        <w:t>وجه الدلالة:</w:t>
      </w:r>
    </w:p>
    <w:p w:rsidR="00B07589" w:rsidRDefault="00B07589" w:rsidP="00EA2BD7">
      <w:pPr>
        <w:ind w:firstLine="720"/>
        <w:rPr>
          <w:color w:val="auto"/>
          <w:rtl/>
        </w:rPr>
      </w:pPr>
      <w:r w:rsidRPr="00AF1D02">
        <w:rPr>
          <w:rFonts w:hint="cs"/>
          <w:color w:val="auto"/>
          <w:rtl/>
        </w:rPr>
        <w:t>يقول تعالى: لا تسألوا عن أشياء إن يظهر لكم جوابُها، فإنه سيسوؤكم الجواب،</w:t>
      </w:r>
      <w:r w:rsidR="00154102" w:rsidRPr="00AF1D02">
        <w:rPr>
          <w:rFonts w:hint="cs"/>
          <w:color w:val="auto"/>
          <w:rtl/>
        </w:rPr>
        <w:t xml:space="preserve"> و</w:t>
      </w:r>
      <w:r w:rsidRPr="00AF1D02">
        <w:rPr>
          <w:rFonts w:hint="cs"/>
          <w:color w:val="auto"/>
          <w:rtl/>
        </w:rPr>
        <w:t>هذا يشم</w:t>
      </w:r>
      <w:r w:rsidR="00A86821">
        <w:rPr>
          <w:rFonts w:hint="cs"/>
          <w:color w:val="auto"/>
          <w:rtl/>
        </w:rPr>
        <w:t>ل كل ما سكت عنه الشرع، ثم صار</w:t>
      </w:r>
      <w:r w:rsidRPr="00AF1D02">
        <w:rPr>
          <w:rFonts w:hint="cs"/>
          <w:color w:val="auto"/>
          <w:rtl/>
        </w:rPr>
        <w:t xml:space="preserve"> السؤال عنه سببا في المشقة عن الناس</w:t>
      </w:r>
      <w:r w:rsidR="00F822A5">
        <w:rPr>
          <w:rFonts w:hint="cs"/>
          <w:color w:val="auto"/>
          <w:rtl/>
        </w:rPr>
        <w:t xml:space="preserve"> </w:t>
      </w:r>
      <w:r>
        <w:rPr>
          <w:rFonts w:hint="cs"/>
          <w:color w:val="auto"/>
          <w:rtl/>
        </w:rPr>
        <w:t>واستيائهم.</w:t>
      </w:r>
    </w:p>
    <w:p w:rsidR="00F228A9" w:rsidRPr="00AF1D02" w:rsidRDefault="00B07589" w:rsidP="00597C20">
      <w:pPr>
        <w:ind w:firstLine="720"/>
        <w:rPr>
          <w:rFonts w:ascii="QCF_BSML" w:hAnsi="QCF_BSML" w:cs="QCF_BSML"/>
          <w:noProof w:val="0"/>
          <w:rtl/>
          <w:lang w:eastAsia="en-US"/>
        </w:rPr>
      </w:pPr>
      <w:r w:rsidRPr="00AF1D02">
        <w:rPr>
          <w:rFonts w:hint="cs"/>
          <w:color w:val="auto"/>
          <w:rtl/>
        </w:rPr>
        <w:t>ومن فوائد الآية:</w:t>
      </w:r>
      <w:r w:rsidRPr="00F822A5">
        <w:rPr>
          <w:rFonts w:hint="cs"/>
          <w:color w:val="auto"/>
          <w:rtl/>
        </w:rPr>
        <w:t>البناء على الأصل في براءة الذمة</w:t>
      </w:r>
      <w:r w:rsidRPr="00AF1D02">
        <w:rPr>
          <w:rFonts w:hint="cs"/>
          <w:color w:val="auto"/>
          <w:rtl/>
        </w:rPr>
        <w:t>،</w:t>
      </w:r>
      <w:r w:rsidR="00154102" w:rsidRPr="00AF1D02">
        <w:rPr>
          <w:rFonts w:hint="cs"/>
          <w:color w:val="auto"/>
          <w:rtl/>
        </w:rPr>
        <w:t xml:space="preserve"> و</w:t>
      </w:r>
      <w:r w:rsidRPr="00AF1D02">
        <w:rPr>
          <w:rFonts w:hint="cs"/>
          <w:color w:val="auto"/>
          <w:rtl/>
        </w:rPr>
        <w:t>هذه تؤخذ من قوله تعالى:</w:t>
      </w:r>
    </w:p>
    <w:p w:rsidR="00F822A5" w:rsidRDefault="00B07589" w:rsidP="00F822A5">
      <w:pPr>
        <w:pStyle w:val="afc"/>
        <w:ind w:firstLine="0"/>
        <w:rPr>
          <w:rFonts w:ascii="Traditional Arabic" w:hAnsi="Traditional Arabic"/>
          <w:noProof w:val="0"/>
          <w:rtl/>
          <w:lang w:eastAsia="en-US"/>
        </w:rPr>
      </w:pPr>
      <w:r w:rsidRPr="00B930EE">
        <w:rPr>
          <w:rFonts w:ascii="QCF_BSML" w:hAnsi="QCF_BSML" w:cs="QCF_BSML"/>
          <w:noProof w:val="0"/>
          <w:rtl/>
          <w:lang w:eastAsia="en-US"/>
        </w:rPr>
        <w:lastRenderedPageBreak/>
        <w:t xml:space="preserve">ﭽ </w:t>
      </w:r>
      <w:r w:rsidRPr="00B930EE">
        <w:rPr>
          <w:rFonts w:ascii="QCF_P124" w:hAnsi="QCF_P124" w:cs="QCF_P124"/>
          <w:noProof w:val="0"/>
          <w:rtl/>
          <w:lang w:eastAsia="en-US"/>
        </w:rPr>
        <w:t>ﯢﯣﯤ</w:t>
      </w:r>
      <w:r w:rsidRPr="00B930EE">
        <w:rPr>
          <w:rFonts w:ascii="QCF_BSML" w:hAnsi="QCF_BSML" w:cs="QCF_BSML"/>
          <w:noProof w:val="0"/>
          <w:rtl/>
          <w:lang w:eastAsia="en-US"/>
        </w:rPr>
        <w:t>ﭼ</w:t>
      </w:r>
      <w:r w:rsidR="003E65D8">
        <w:rPr>
          <w:rFonts w:ascii="Traditional Arabic" w:hAnsi="Traditional Arabic" w:hint="cs"/>
          <w:b/>
          <w:bCs/>
          <w:noProof w:val="0"/>
          <w:rtl/>
          <w:lang w:eastAsia="en-US"/>
        </w:rPr>
        <w:t>،</w:t>
      </w:r>
      <w:r w:rsidR="00F822A5">
        <w:rPr>
          <w:rFonts w:ascii="Traditional Arabic" w:hAnsi="Traditional Arabic" w:hint="cs"/>
          <w:noProof w:val="0"/>
          <w:rtl/>
          <w:lang w:eastAsia="en-US"/>
        </w:rPr>
        <w:t xml:space="preserve"> </w:t>
      </w:r>
      <w:r w:rsidR="003E65D8" w:rsidRPr="00F822A5">
        <w:rPr>
          <w:rFonts w:ascii="Traditional Arabic" w:hAnsi="Traditional Arabic" w:hint="cs"/>
          <w:noProof w:val="0"/>
          <w:rtl/>
          <w:lang w:eastAsia="en-US"/>
        </w:rPr>
        <w:t>ف</w:t>
      </w:r>
      <w:r w:rsidRPr="00F822A5">
        <w:rPr>
          <w:rFonts w:ascii="Traditional Arabic" w:hAnsi="Traditional Arabic" w:hint="cs"/>
          <w:noProof w:val="0"/>
          <w:rtl/>
          <w:lang w:eastAsia="en-US"/>
        </w:rPr>
        <w:t>الأصل عدم شغْل الذمة بإيجاب أو تحريم</w:t>
      </w:r>
      <w:r w:rsidRPr="00C821A1">
        <w:rPr>
          <w:rStyle w:val="af1"/>
          <w:szCs w:val="32"/>
          <w:rtl/>
        </w:rPr>
        <w:t>(</w:t>
      </w:r>
      <w:r w:rsidRPr="00C821A1">
        <w:rPr>
          <w:rStyle w:val="af1"/>
          <w:szCs w:val="32"/>
          <w:rtl/>
        </w:rPr>
        <w:footnoteReference w:id="1091"/>
      </w:r>
      <w:r w:rsidRPr="00C821A1">
        <w:rPr>
          <w:rStyle w:val="af1"/>
          <w:szCs w:val="32"/>
          <w:rtl/>
        </w:rPr>
        <w:t>)</w:t>
      </w:r>
      <w:r>
        <w:rPr>
          <w:rFonts w:ascii="Traditional Arabic" w:hAnsi="Traditional Arabic" w:hint="cs"/>
          <w:noProof w:val="0"/>
          <w:rtl/>
          <w:lang w:eastAsia="en-US"/>
        </w:rPr>
        <w:t>.</w:t>
      </w:r>
    </w:p>
    <w:p w:rsidR="00B07589" w:rsidRPr="00F822A5" w:rsidRDefault="00F822A5" w:rsidP="00F822A5">
      <w:pPr>
        <w:ind w:firstLine="0"/>
        <w:rPr>
          <w:rFonts w:ascii="Traditional Arabic" w:hAnsi="Traditional Arabic"/>
          <w:color w:val="auto"/>
          <w:rtl/>
        </w:rPr>
      </w:pPr>
      <w:r>
        <w:rPr>
          <w:rFonts w:ascii="Traditional Arabic" w:hAnsi="Traditional Arabic" w:hint="cs"/>
          <w:rtl/>
        </w:rPr>
        <w:t xml:space="preserve">(3)    </w:t>
      </w:r>
      <w:r w:rsidR="00B07589" w:rsidRPr="00F822A5">
        <w:rPr>
          <w:rFonts w:ascii="Traditional Arabic" w:hAnsi="Traditional Arabic"/>
          <w:rtl/>
        </w:rPr>
        <w:t xml:space="preserve">حديث ابن عباس – </w:t>
      </w:r>
      <w:r w:rsidR="00154102" w:rsidRPr="00F822A5">
        <w:rPr>
          <w:rFonts w:ascii="Traditional Arabic" w:hAnsi="Traditional Arabic" w:cs="CTraditional Arabic" w:hint="cs"/>
          <w:noProof w:val="0"/>
          <w:color w:val="auto"/>
          <w:rtl/>
          <w:lang w:eastAsia="en-US"/>
        </w:rPr>
        <w:t>ب</w:t>
      </w:r>
      <w:r w:rsidR="00B07589" w:rsidRPr="00F822A5">
        <w:rPr>
          <w:rFonts w:ascii="Traditional Arabic" w:hAnsi="Traditional Arabic"/>
          <w:rtl/>
        </w:rPr>
        <w:t xml:space="preserve"> - : أن رســول الله </w:t>
      </w:r>
      <w:r w:rsidR="00853E7C" w:rsidRPr="00F822A5">
        <w:rPr>
          <w:rFonts w:ascii="Traditional Arabic" w:hAnsi="Traditional Arabic" w:hint="cs"/>
          <w:rtl/>
        </w:rPr>
        <w:t>صلى الله عليه وسلم</w:t>
      </w:r>
      <w:r w:rsidR="00B07589" w:rsidRPr="00F822A5">
        <w:rPr>
          <w:rFonts w:ascii="Traditional Arabic" w:hAnsi="Traditional Arabic"/>
          <w:rtl/>
        </w:rPr>
        <w:t xml:space="preserve"> قال : "لو يُعطى الناس بدعواهم لادَّعى ناس</w:t>
      </w:r>
      <w:r w:rsidR="00B07589" w:rsidRPr="00F822A5">
        <w:rPr>
          <w:rFonts w:ascii="Traditional Arabic" w:hAnsi="Traditional Arabic" w:hint="cs"/>
          <w:rtl/>
        </w:rPr>
        <w:t>ٌ</w:t>
      </w:r>
      <w:r w:rsidR="00B07589" w:rsidRPr="00F822A5">
        <w:rPr>
          <w:rFonts w:ascii="Traditional Arabic" w:hAnsi="Traditional Arabic"/>
          <w:rtl/>
        </w:rPr>
        <w:t xml:space="preserve"> دماء</w:t>
      </w:r>
      <w:r w:rsidR="00B07589" w:rsidRPr="00F822A5">
        <w:rPr>
          <w:rFonts w:ascii="Traditional Arabic" w:hAnsi="Traditional Arabic" w:hint="cs"/>
          <w:rtl/>
        </w:rPr>
        <w:t>َ</w:t>
      </w:r>
      <w:r w:rsidR="00B07589" w:rsidRPr="00F822A5">
        <w:rPr>
          <w:rFonts w:ascii="Traditional Arabic" w:hAnsi="Traditional Arabic"/>
          <w:rtl/>
        </w:rPr>
        <w:t xml:space="preserve"> ر</w:t>
      </w:r>
      <w:r w:rsidR="00B07589" w:rsidRPr="00F822A5">
        <w:rPr>
          <w:rFonts w:ascii="Traditional Arabic" w:hAnsi="Traditional Arabic" w:hint="cs"/>
          <w:rtl/>
        </w:rPr>
        <w:t>ِ</w:t>
      </w:r>
      <w:r w:rsidR="00B07589" w:rsidRPr="00F822A5">
        <w:rPr>
          <w:rFonts w:ascii="Traditional Arabic" w:hAnsi="Traditional Arabic"/>
          <w:rtl/>
        </w:rPr>
        <w:t>جالٍ وأموالهم</w:t>
      </w:r>
      <w:r w:rsidR="00B76414" w:rsidRPr="00F822A5">
        <w:rPr>
          <w:rFonts w:ascii="Traditional Arabic" w:hAnsi="Traditional Arabic"/>
          <w:rtl/>
        </w:rPr>
        <w:t>،</w:t>
      </w:r>
      <w:r w:rsidR="00AB0B9E" w:rsidRPr="00F822A5">
        <w:rPr>
          <w:rFonts w:ascii="Traditional Arabic" w:hAnsi="Traditional Arabic"/>
          <w:rtl/>
        </w:rPr>
        <w:fldChar w:fldCharType="begin"/>
      </w:r>
      <w:r w:rsidR="00CB737C" w:rsidRPr="00C85F0F">
        <w:instrText>XE</w:instrText>
      </w:r>
      <w:r w:rsidR="00CB737C" w:rsidRPr="00C85F0F">
        <w:rPr>
          <w:rtl/>
        </w:rPr>
        <w:instrText xml:space="preserve"> "</w:instrText>
      </w:r>
      <w:r w:rsidR="00CB737C" w:rsidRPr="00F822A5">
        <w:rPr>
          <w:rFonts w:ascii="Traditional Arabic" w:hAnsi="Traditional Arabic"/>
          <w:rtl/>
        </w:rPr>
        <w:instrText>لو يُعطى الناس بدعواهم لادَّعى ناس</w:instrText>
      </w:r>
      <w:r w:rsidR="00CB737C" w:rsidRPr="00F822A5">
        <w:rPr>
          <w:rFonts w:ascii="Traditional Arabic" w:hAnsi="Traditional Arabic" w:hint="cs"/>
          <w:rtl/>
        </w:rPr>
        <w:instrText>ٌ</w:instrText>
      </w:r>
      <w:r w:rsidR="00CB737C" w:rsidRPr="00F822A5">
        <w:rPr>
          <w:rFonts w:ascii="Traditional Arabic" w:hAnsi="Traditional Arabic"/>
          <w:rtl/>
        </w:rPr>
        <w:instrText xml:space="preserve"> دماء</w:instrText>
      </w:r>
      <w:r w:rsidR="00CB737C" w:rsidRPr="00F822A5">
        <w:rPr>
          <w:rFonts w:ascii="Traditional Arabic" w:hAnsi="Traditional Arabic" w:hint="cs"/>
          <w:rtl/>
        </w:rPr>
        <w:instrText>َ</w:instrText>
      </w:r>
      <w:r w:rsidR="00CB737C" w:rsidRPr="00F822A5">
        <w:rPr>
          <w:rFonts w:ascii="Traditional Arabic" w:hAnsi="Traditional Arabic"/>
          <w:rtl/>
        </w:rPr>
        <w:instrText xml:space="preserve"> ر</w:instrText>
      </w:r>
      <w:r w:rsidR="00CB737C" w:rsidRPr="00F822A5">
        <w:rPr>
          <w:rFonts w:ascii="Traditional Arabic" w:hAnsi="Traditional Arabic" w:hint="cs"/>
          <w:rtl/>
        </w:rPr>
        <w:instrText>ِ</w:instrText>
      </w:r>
      <w:r w:rsidR="00CB737C" w:rsidRPr="00F822A5">
        <w:rPr>
          <w:rFonts w:ascii="Traditional Arabic" w:hAnsi="Traditional Arabic"/>
          <w:rtl/>
        </w:rPr>
        <w:instrText>جالٍ وأموالهم،</w:instrText>
      </w:r>
      <w:r w:rsidR="00CB737C" w:rsidRPr="00C85F0F">
        <w:rPr>
          <w:rtl/>
        </w:rPr>
        <w:instrText>" \</w:instrText>
      </w:r>
      <w:r w:rsidR="00CB737C" w:rsidRPr="00C85F0F">
        <w:instrText>f</w:instrText>
      </w:r>
      <w:r w:rsidR="00CB737C">
        <w:instrText>h</w:instrText>
      </w:r>
      <w:r w:rsidR="00AB0B9E" w:rsidRPr="00F822A5">
        <w:rPr>
          <w:rFonts w:ascii="Traditional Arabic" w:hAnsi="Traditional Arabic"/>
          <w:rtl/>
        </w:rPr>
        <w:fldChar w:fldCharType="end"/>
      </w:r>
      <w:r w:rsidR="00B07589" w:rsidRPr="00F822A5">
        <w:rPr>
          <w:rFonts w:ascii="Traditional Arabic" w:hAnsi="Traditional Arabic"/>
          <w:rtl/>
        </w:rPr>
        <w:t xml:space="preserve"> ولكن اليمين على المدَّعى عليه"</w:t>
      </w:r>
      <w:r w:rsidR="00B07589" w:rsidRPr="00F822A5">
        <w:rPr>
          <w:rFonts w:ascii="Traditional Arabic" w:hAnsi="Traditional Arabic"/>
          <w:szCs w:val="32"/>
          <w:vertAlign w:val="superscript"/>
          <w:rtl/>
        </w:rPr>
        <w:t>(</w:t>
      </w:r>
      <w:r w:rsidR="00B07589" w:rsidRPr="00C821A1">
        <w:rPr>
          <w:rStyle w:val="af1"/>
          <w:rFonts w:ascii="Traditional Arabic" w:hAnsi="Traditional Arabic"/>
          <w:szCs w:val="32"/>
          <w:rtl/>
        </w:rPr>
        <w:footnoteReference w:id="1092"/>
      </w:r>
      <w:r w:rsidR="00B07589" w:rsidRPr="00F822A5">
        <w:rPr>
          <w:rFonts w:ascii="Traditional Arabic" w:hAnsi="Traditional Arabic"/>
          <w:szCs w:val="32"/>
          <w:vertAlign w:val="superscript"/>
          <w:rtl/>
        </w:rPr>
        <w:t>)</w:t>
      </w:r>
      <w:r w:rsidR="00B76414" w:rsidRPr="00F822A5">
        <w:rPr>
          <w:rFonts w:ascii="Traditional Arabic" w:hAnsi="Traditional Arabic"/>
          <w:rtl/>
        </w:rPr>
        <w:t>.</w:t>
      </w:r>
    </w:p>
    <w:p w:rsidR="00065E4B" w:rsidRDefault="00B07589" w:rsidP="00597C20">
      <w:pPr>
        <w:pStyle w:val="53"/>
        <w:rPr>
          <w:rtl/>
        </w:rPr>
      </w:pPr>
      <w:r>
        <w:rPr>
          <w:rFonts w:hint="cs"/>
          <w:rtl/>
        </w:rPr>
        <w:t>وجه الدلالة:</w:t>
      </w:r>
    </w:p>
    <w:p w:rsidR="00F228A9" w:rsidRDefault="00065E4B" w:rsidP="00597C20">
      <w:pPr>
        <w:spacing w:line="640" w:lineRule="exact"/>
        <w:ind w:firstLine="720"/>
        <w:jc w:val="lowKashida"/>
        <w:rPr>
          <w:rFonts w:ascii="Traditional Arabic" w:hAnsi="Traditional Arabic"/>
          <w:rtl/>
        </w:rPr>
      </w:pPr>
      <w:r>
        <w:rPr>
          <w:rFonts w:ascii="Traditional Arabic" w:hAnsi="Traditional Arabic" w:hint="cs"/>
          <w:rtl/>
        </w:rPr>
        <w:t>إ</w:t>
      </w:r>
      <w:r w:rsidR="00B07589">
        <w:rPr>
          <w:rFonts w:ascii="Traditional Arabic" w:hAnsi="Traditional Arabic" w:hint="cs"/>
          <w:rtl/>
        </w:rPr>
        <w:t>ن</w:t>
      </w:r>
      <w:r w:rsidR="00B07589" w:rsidRPr="001F5DD5">
        <w:rPr>
          <w:rFonts w:ascii="Traditional Arabic" w:hAnsi="Traditional Arabic"/>
          <w:rtl/>
        </w:rPr>
        <w:t xml:space="preserve"> القول قو</w:t>
      </w:r>
      <w:r w:rsidR="00B07589">
        <w:rPr>
          <w:rFonts w:ascii="Traditional Arabic" w:hAnsi="Traditional Arabic"/>
          <w:rtl/>
        </w:rPr>
        <w:t xml:space="preserve">ل المدَّعى عليه ؛ </w:t>
      </w:r>
      <w:r w:rsidR="00B07589">
        <w:rPr>
          <w:rFonts w:ascii="Traditional Arabic" w:hAnsi="Traditional Arabic" w:hint="cs"/>
          <w:rtl/>
        </w:rPr>
        <w:t>لأن معه الأصل</w:t>
      </w:r>
      <w:r w:rsidR="00B07589" w:rsidRPr="001F5DD5">
        <w:rPr>
          <w:rFonts w:ascii="Traditional Arabic" w:hAnsi="Traditional Arabic"/>
          <w:rtl/>
        </w:rPr>
        <w:t>،</w:t>
      </w:r>
      <w:r w:rsidR="00154102">
        <w:rPr>
          <w:rFonts w:ascii="Traditional Arabic" w:hAnsi="Traditional Arabic" w:hint="cs"/>
          <w:rtl/>
        </w:rPr>
        <w:t xml:space="preserve"> و</w:t>
      </w:r>
      <w:r w:rsidR="00B07589">
        <w:rPr>
          <w:rFonts w:ascii="Traditional Arabic" w:hAnsi="Traditional Arabic" w:hint="cs"/>
          <w:rtl/>
        </w:rPr>
        <w:t>هو براءة ذمته</w:t>
      </w:r>
      <w:r w:rsidR="00B07589" w:rsidRPr="00C821A1">
        <w:rPr>
          <w:rFonts w:ascii="Traditional Arabic" w:hAnsi="Traditional Arabic"/>
          <w:szCs w:val="32"/>
          <w:vertAlign w:val="superscript"/>
          <w:rtl/>
        </w:rPr>
        <w:t>(</w:t>
      </w:r>
      <w:r w:rsidR="00B07589" w:rsidRPr="00C821A1">
        <w:rPr>
          <w:rStyle w:val="af1"/>
          <w:rFonts w:ascii="Traditional Arabic" w:hAnsi="Traditional Arabic"/>
          <w:szCs w:val="32"/>
          <w:rtl/>
        </w:rPr>
        <w:footnoteReference w:id="1093"/>
      </w:r>
      <w:r w:rsidR="00B07589" w:rsidRPr="00C821A1">
        <w:rPr>
          <w:rFonts w:ascii="Traditional Arabic" w:hAnsi="Traditional Arabic"/>
          <w:szCs w:val="32"/>
          <w:vertAlign w:val="superscript"/>
          <w:rtl/>
        </w:rPr>
        <w:t>)</w:t>
      </w:r>
      <w:r w:rsidR="00B07589" w:rsidRPr="001F5DD5">
        <w:rPr>
          <w:rFonts w:ascii="Traditional Arabic" w:hAnsi="Traditional Arabic"/>
          <w:rtl/>
        </w:rPr>
        <w:t>.</w:t>
      </w:r>
    </w:p>
    <w:p w:rsidR="00B07589" w:rsidRPr="00F822A5" w:rsidRDefault="00F822A5" w:rsidP="00F822A5">
      <w:pPr>
        <w:spacing w:line="640" w:lineRule="exact"/>
        <w:ind w:firstLine="0"/>
        <w:jc w:val="lowKashida"/>
        <w:rPr>
          <w:rFonts w:ascii="Traditional Arabic" w:hAnsi="Traditional Arabic"/>
          <w:b/>
          <w:bCs/>
          <w:rtl/>
        </w:rPr>
      </w:pPr>
      <w:r>
        <w:rPr>
          <w:rFonts w:ascii="Traditional Arabic" w:hAnsi="Traditional Arabic" w:hint="cs"/>
          <w:rtl/>
        </w:rPr>
        <w:t>(4)</w:t>
      </w:r>
      <w:r>
        <w:rPr>
          <w:rFonts w:ascii="Traditional Arabic" w:hAnsi="Traditional Arabic" w:hint="cs"/>
          <w:b/>
          <w:bCs/>
          <w:rtl/>
        </w:rPr>
        <w:t xml:space="preserve">     </w:t>
      </w:r>
      <w:r w:rsidR="00B07589" w:rsidRPr="00F822A5">
        <w:rPr>
          <w:rFonts w:ascii="Traditional Arabic" w:hAnsi="Traditional Arabic" w:hint="cs"/>
          <w:b/>
          <w:bCs/>
          <w:rtl/>
        </w:rPr>
        <w:t>من الإجماع:</w:t>
      </w:r>
    </w:p>
    <w:p w:rsidR="00B07589" w:rsidRDefault="00B07589" w:rsidP="00F822A5">
      <w:pPr>
        <w:pStyle w:val="afc"/>
        <w:ind w:left="1174" w:firstLine="0"/>
        <w:rPr>
          <w:rFonts w:ascii="Traditional Arabic" w:hAnsi="Traditional Arabic"/>
          <w:rtl/>
        </w:rPr>
      </w:pPr>
      <w:r>
        <w:rPr>
          <w:rFonts w:ascii="Traditional Arabic" w:hAnsi="Traditional Arabic" w:hint="cs"/>
          <w:rtl/>
        </w:rPr>
        <w:t>قال  القرافي</w:t>
      </w:r>
      <w:r w:rsidR="00063018">
        <w:rPr>
          <w:rStyle w:val="af1"/>
          <w:rFonts w:hint="cs"/>
          <w:szCs w:val="32"/>
          <w:vertAlign w:val="baseline"/>
          <w:rtl/>
        </w:rPr>
        <w:t>_</w:t>
      </w:r>
      <w:r w:rsidRPr="005D5694">
        <w:rPr>
          <w:rFonts w:ascii="Traditional Arabic" w:hAnsi="Traditional Arabic" w:cs="CTraditional Arabic" w:hint="cs"/>
          <w:color w:val="auto"/>
          <w:rtl/>
        </w:rPr>
        <w:t>/</w:t>
      </w:r>
      <w:r w:rsidR="00F822A5">
        <w:rPr>
          <w:rFonts w:ascii="Traditional Arabic" w:hAnsi="Traditional Arabic" w:hint="cs"/>
          <w:rtl/>
        </w:rPr>
        <w:t>_</w:t>
      </w:r>
      <w:r>
        <w:rPr>
          <w:rFonts w:ascii="Traditional Arabic" w:hAnsi="Traditional Arabic" w:hint="cs"/>
          <w:rtl/>
        </w:rPr>
        <w:t>:(الأصل براءة الذمة حتى يتحقق الموجِب.</w:t>
      </w:r>
      <w:r w:rsidR="00F822A5">
        <w:rPr>
          <w:rFonts w:ascii="Traditional Arabic" w:hAnsi="Traditional Arabic" w:hint="cs"/>
          <w:rtl/>
        </w:rPr>
        <w:t xml:space="preserve"> </w:t>
      </w:r>
      <w:r>
        <w:rPr>
          <w:rFonts w:ascii="Traditional Arabic" w:hAnsi="Traditional Arabic" w:hint="cs"/>
          <w:rtl/>
        </w:rPr>
        <w:t>هذا هو القاعدة الشرعية المجمَعُ عليها)</w:t>
      </w:r>
      <w:r w:rsidRPr="00C821A1">
        <w:rPr>
          <w:rStyle w:val="af1"/>
          <w:szCs w:val="32"/>
          <w:rtl/>
        </w:rPr>
        <w:t>(</w:t>
      </w:r>
      <w:r w:rsidRPr="00C821A1">
        <w:rPr>
          <w:rStyle w:val="af1"/>
          <w:szCs w:val="32"/>
          <w:rtl/>
        </w:rPr>
        <w:footnoteReference w:id="1094"/>
      </w:r>
      <w:r w:rsidRPr="00C821A1">
        <w:rPr>
          <w:rStyle w:val="af1"/>
          <w:szCs w:val="32"/>
          <w:rtl/>
        </w:rPr>
        <w:t>)</w:t>
      </w:r>
      <w:r>
        <w:rPr>
          <w:rFonts w:ascii="Traditional Arabic" w:hAnsi="Traditional Arabic" w:hint="cs"/>
          <w:rtl/>
        </w:rPr>
        <w:t>.</w:t>
      </w:r>
    </w:p>
    <w:p w:rsidR="00B07589" w:rsidRDefault="00F822A5" w:rsidP="00A8347C">
      <w:pPr>
        <w:pStyle w:val="aff3"/>
        <w:rPr>
          <w:rtl/>
        </w:rPr>
      </w:pPr>
      <w:bookmarkStart w:id="220" w:name="_Toc334046448"/>
      <w:r>
        <w:rPr>
          <w:rFonts w:hint="cs"/>
          <w:rtl/>
        </w:rPr>
        <w:t xml:space="preserve">                                            </w:t>
      </w:r>
      <w:r w:rsidR="00B07589" w:rsidRPr="005C09FC">
        <w:rPr>
          <w:rFonts w:hint="cs"/>
          <w:rtl/>
        </w:rPr>
        <w:t>المطلب الرابع</w:t>
      </w:r>
      <w:r w:rsidR="00B07589">
        <w:rPr>
          <w:rFonts w:hint="eastAsia"/>
          <w:rtl/>
        </w:rPr>
        <w:t> :</w:t>
      </w:r>
      <w:r w:rsidR="00B07589">
        <w:rPr>
          <w:rFonts w:hint="cs"/>
          <w:rtl/>
        </w:rPr>
        <w:br/>
      </w:r>
      <w:r>
        <w:rPr>
          <w:rFonts w:hint="cs"/>
          <w:rtl/>
        </w:rPr>
        <w:t xml:space="preserve">           </w:t>
      </w:r>
      <w:r w:rsidR="00123FA3">
        <w:rPr>
          <w:rFonts w:hint="cs"/>
          <w:rtl/>
        </w:rPr>
        <w:t xml:space="preserve">                             </w:t>
      </w:r>
      <w:r w:rsidR="00063018">
        <w:rPr>
          <w:rFonts w:hint="cs"/>
          <w:rtl/>
        </w:rPr>
        <w:t>التطبيق</w:t>
      </w:r>
      <w:r w:rsidR="00B07589">
        <w:rPr>
          <w:rFonts w:hint="cs"/>
          <w:rtl/>
        </w:rPr>
        <w:t xml:space="preserve"> </w:t>
      </w:r>
      <w:r w:rsidR="00063018">
        <w:rPr>
          <w:rFonts w:hint="cs"/>
          <w:rtl/>
        </w:rPr>
        <w:t xml:space="preserve">على </w:t>
      </w:r>
      <w:r w:rsidR="00B07589">
        <w:rPr>
          <w:rFonts w:hint="cs"/>
          <w:rtl/>
        </w:rPr>
        <w:t>القاعدة</w:t>
      </w:r>
      <w:bookmarkEnd w:id="220"/>
    </w:p>
    <w:p w:rsidR="00B07589" w:rsidRPr="00A86821" w:rsidRDefault="00B07589" w:rsidP="00A86821">
      <w:pPr>
        <w:ind w:left="360" w:firstLine="0"/>
        <w:rPr>
          <w:rFonts w:ascii="Traditional Arabic" w:hAnsi="Traditional Arabic"/>
          <w:rtl/>
        </w:rPr>
      </w:pPr>
      <w:r w:rsidRPr="00A86821">
        <w:rPr>
          <w:rFonts w:ascii="Traditional Arabic" w:hAnsi="Traditional Arabic" w:hint="cs"/>
          <w:rtl/>
        </w:rPr>
        <w:t>إذا ادَّعى المودَع ردّ الوديعة قُبِل قولُه،</w:t>
      </w:r>
      <w:r w:rsidR="00154102" w:rsidRPr="00A86821">
        <w:rPr>
          <w:rFonts w:ascii="Traditional Arabic" w:hAnsi="Traditional Arabic" w:hint="cs"/>
          <w:rtl/>
        </w:rPr>
        <w:t xml:space="preserve"> و</w:t>
      </w:r>
      <w:r w:rsidRPr="00A86821">
        <w:rPr>
          <w:rFonts w:ascii="Traditional Arabic" w:hAnsi="Traditional Arabic" w:hint="cs"/>
          <w:rtl/>
        </w:rPr>
        <w:t>لا يلزمه شيء؛ لأن الأصل براءة الذمة</w:t>
      </w:r>
      <w:r w:rsidRPr="00A86821">
        <w:rPr>
          <w:rStyle w:val="af1"/>
          <w:szCs w:val="32"/>
          <w:rtl/>
        </w:rPr>
        <w:t>(</w:t>
      </w:r>
      <w:r w:rsidRPr="00C821A1">
        <w:rPr>
          <w:rStyle w:val="af1"/>
          <w:szCs w:val="32"/>
          <w:rtl/>
        </w:rPr>
        <w:footnoteReference w:id="1095"/>
      </w:r>
      <w:r w:rsidRPr="00A86821">
        <w:rPr>
          <w:rStyle w:val="af1"/>
          <w:szCs w:val="32"/>
          <w:rtl/>
        </w:rPr>
        <w:t>)</w:t>
      </w:r>
      <w:r w:rsidRPr="00A86821">
        <w:rPr>
          <w:rFonts w:ascii="Traditional Arabic" w:hAnsi="Traditional Arabic" w:hint="cs"/>
          <w:rtl/>
        </w:rPr>
        <w:t>.</w:t>
      </w:r>
    </w:p>
    <w:p w:rsidR="00B07589" w:rsidRDefault="00B07589" w:rsidP="00597C20">
      <w:pPr>
        <w:ind w:left="1080" w:firstLine="0"/>
        <w:rPr>
          <w:rFonts w:ascii="Traditional Arabic" w:hAnsi="Traditional Arabic"/>
          <w:b/>
          <w:bCs/>
          <w:rtl/>
        </w:rPr>
      </w:pPr>
      <w:r>
        <w:rPr>
          <w:rFonts w:ascii="Traditional Arabic" w:hAnsi="Traditional Arabic" w:hint="cs"/>
          <w:b/>
          <w:bCs/>
          <w:rtl/>
        </w:rPr>
        <w:lastRenderedPageBreak/>
        <w:t>وجه اندراج الفرع تحت القاعدة:</w:t>
      </w:r>
    </w:p>
    <w:p w:rsidR="00B07589" w:rsidRDefault="00B07589" w:rsidP="00597C20">
      <w:pPr>
        <w:ind w:firstLine="720"/>
        <w:rPr>
          <w:rFonts w:ascii="Traditional Arabic" w:hAnsi="Traditional Arabic"/>
          <w:rtl/>
        </w:rPr>
      </w:pPr>
      <w:r>
        <w:rPr>
          <w:rFonts w:ascii="Traditional Arabic" w:hAnsi="Traditional Arabic" w:hint="cs"/>
          <w:rtl/>
        </w:rPr>
        <w:t>المودَع أمين،</w:t>
      </w:r>
      <w:r w:rsidR="00154102">
        <w:rPr>
          <w:rFonts w:ascii="Traditional Arabic" w:hAnsi="Traditional Arabic" w:hint="cs"/>
          <w:rtl/>
        </w:rPr>
        <w:t xml:space="preserve"> و</w:t>
      </w:r>
      <w:r>
        <w:rPr>
          <w:rFonts w:ascii="Traditional Arabic" w:hAnsi="Traditional Arabic" w:hint="cs"/>
          <w:rtl/>
        </w:rPr>
        <w:t>كلُّ أمين ادَّعى رد الأمانة فالقولُ قولُه بيمينه؛ لأنه يدَّعي براءة الذمة من الضمان، وأما المودِع فيدّعي ش</w:t>
      </w:r>
      <w:r w:rsidR="00A86821">
        <w:rPr>
          <w:rFonts w:ascii="Traditional Arabic" w:hAnsi="Traditional Arabic" w:hint="cs"/>
          <w:rtl/>
        </w:rPr>
        <w:t>َ</w:t>
      </w:r>
      <w:r>
        <w:rPr>
          <w:rFonts w:ascii="Traditional Arabic" w:hAnsi="Traditional Arabic" w:hint="cs"/>
          <w:rtl/>
        </w:rPr>
        <w:t>غْل ذمة المودَع،</w:t>
      </w:r>
      <w:r w:rsidR="00154102">
        <w:rPr>
          <w:rFonts w:ascii="Traditional Arabic" w:hAnsi="Traditional Arabic" w:hint="cs"/>
          <w:rtl/>
        </w:rPr>
        <w:t xml:space="preserve"> و</w:t>
      </w:r>
      <w:r>
        <w:rPr>
          <w:rFonts w:ascii="Traditional Arabic" w:hAnsi="Traditional Arabic" w:hint="cs"/>
          <w:rtl/>
        </w:rPr>
        <w:t>ذلك خلاف الأصل؛</w:t>
      </w:r>
      <w:r w:rsidR="00F822A5">
        <w:rPr>
          <w:rFonts w:ascii="Traditional Arabic" w:hAnsi="Traditional Arabic" w:hint="cs"/>
          <w:rtl/>
        </w:rPr>
        <w:t xml:space="preserve"> </w:t>
      </w:r>
      <w:r w:rsidRPr="00F822A5">
        <w:rPr>
          <w:rFonts w:ascii="Traditional Arabic" w:hAnsi="Traditional Arabic" w:hint="cs"/>
          <w:rtl/>
        </w:rPr>
        <w:t>لأن الأصل براءة الذمة من الضمان</w:t>
      </w:r>
      <w:r w:rsidR="00F822A5">
        <w:rPr>
          <w:rFonts w:ascii="Traditional Arabic" w:hAnsi="Traditional Arabic" w:hint="cs"/>
          <w:rtl/>
        </w:rPr>
        <w:t>،</w:t>
      </w:r>
      <w:r w:rsidR="00154102" w:rsidRPr="00F822A5">
        <w:rPr>
          <w:rFonts w:ascii="Traditional Arabic" w:hAnsi="Traditional Arabic" w:hint="cs"/>
          <w:rtl/>
        </w:rPr>
        <w:t xml:space="preserve"> و</w:t>
      </w:r>
      <w:r w:rsidRPr="00F822A5">
        <w:rPr>
          <w:rFonts w:ascii="Traditional Arabic" w:hAnsi="Traditional Arabic" w:hint="cs"/>
          <w:rtl/>
        </w:rPr>
        <w:t>عدم التعَدّي</w:t>
      </w:r>
      <w:r w:rsidR="00154102" w:rsidRPr="00F822A5">
        <w:rPr>
          <w:rFonts w:ascii="Traditional Arabic" w:hAnsi="Traditional Arabic" w:hint="cs"/>
          <w:rtl/>
        </w:rPr>
        <w:t xml:space="preserve"> و</w:t>
      </w:r>
      <w:r w:rsidRPr="00F822A5">
        <w:rPr>
          <w:rFonts w:ascii="Traditional Arabic" w:hAnsi="Traditional Arabic" w:hint="cs"/>
          <w:rtl/>
        </w:rPr>
        <w:t>التقصير</w:t>
      </w:r>
      <w:r w:rsidRPr="00C821A1">
        <w:rPr>
          <w:rStyle w:val="af1"/>
          <w:szCs w:val="32"/>
          <w:rtl/>
        </w:rPr>
        <w:t>(</w:t>
      </w:r>
      <w:r w:rsidRPr="00C821A1">
        <w:rPr>
          <w:rStyle w:val="af1"/>
          <w:szCs w:val="32"/>
          <w:rtl/>
        </w:rPr>
        <w:footnoteReference w:id="1096"/>
      </w:r>
      <w:r w:rsidRPr="00C821A1">
        <w:rPr>
          <w:rStyle w:val="af1"/>
          <w:szCs w:val="32"/>
          <w:rtl/>
        </w:rPr>
        <w:t>)</w:t>
      </w:r>
      <w:r>
        <w:rPr>
          <w:rFonts w:ascii="Traditional Arabic" w:hAnsi="Traditional Arabic" w:hint="cs"/>
          <w:rtl/>
        </w:rPr>
        <w:t>.</w:t>
      </w:r>
    </w:p>
    <w:p w:rsidR="00853E7C" w:rsidRDefault="00853E7C" w:rsidP="00597C20">
      <w:pPr>
        <w:ind w:firstLine="720"/>
        <w:rPr>
          <w:rFonts w:ascii="Traditional Arabic" w:hAnsi="Traditional Arabic"/>
          <w:rtl/>
        </w:rPr>
      </w:pPr>
    </w:p>
    <w:p w:rsidR="004775DA" w:rsidRPr="00C85F0F" w:rsidRDefault="004775DA" w:rsidP="000F5C0F">
      <w:pPr>
        <w:pStyle w:val="aff2"/>
        <w:rPr>
          <w:rtl/>
        </w:rPr>
      </w:pPr>
      <w:bookmarkStart w:id="221" w:name="_Toc334046449"/>
      <w:r w:rsidRPr="004775DA">
        <w:rPr>
          <w:rFonts w:hint="cs"/>
          <w:rtl/>
        </w:rPr>
        <w:lastRenderedPageBreak/>
        <w:t>المبحث الثالث</w:t>
      </w:r>
      <w:r>
        <w:rPr>
          <w:rFonts w:hint="eastAsia"/>
          <w:rtl/>
        </w:rPr>
        <w:t> :</w:t>
      </w:r>
      <w:r>
        <w:rPr>
          <w:rFonts w:hint="cs"/>
          <w:rtl/>
        </w:rPr>
        <w:br/>
      </w:r>
      <w:r w:rsidRPr="004775DA">
        <w:rPr>
          <w:rFonts w:hint="cs"/>
          <w:rtl/>
        </w:rPr>
        <w:t>قاعدة</w:t>
      </w:r>
      <w:r>
        <w:rPr>
          <w:rtl/>
        </w:rPr>
        <w:br/>
      </w:r>
      <w:r>
        <w:rPr>
          <w:rFonts w:hint="cs"/>
          <w:rtl/>
        </w:rPr>
        <w:t>"</w:t>
      </w:r>
      <w:r w:rsidRPr="004775DA">
        <w:rPr>
          <w:rFonts w:hint="cs"/>
          <w:rtl/>
        </w:rPr>
        <w:t>الأصل في العقود</w:t>
      </w:r>
      <w:r w:rsidR="00154102">
        <w:rPr>
          <w:rFonts w:hint="cs"/>
          <w:rtl/>
        </w:rPr>
        <w:t xml:space="preserve"> و</w:t>
      </w:r>
      <w:r w:rsidRPr="004775DA">
        <w:rPr>
          <w:rFonts w:hint="cs"/>
          <w:rtl/>
        </w:rPr>
        <w:t>الشروط</w:t>
      </w:r>
      <w:r w:rsidR="00853E7C">
        <w:rPr>
          <w:rFonts w:hint="cs"/>
          <w:rtl/>
        </w:rPr>
        <w:t xml:space="preserve"> </w:t>
      </w:r>
      <w:r w:rsidRPr="004775DA">
        <w:rPr>
          <w:rFonts w:hint="cs"/>
          <w:rtl/>
        </w:rPr>
        <w:t>الجواز</w:t>
      </w:r>
      <w:r w:rsidR="00154102">
        <w:rPr>
          <w:rFonts w:hint="cs"/>
          <w:rtl/>
        </w:rPr>
        <w:t xml:space="preserve"> و</w:t>
      </w:r>
      <w:r w:rsidRPr="004775DA">
        <w:rPr>
          <w:rFonts w:hint="cs"/>
          <w:rtl/>
        </w:rPr>
        <w:t>الصحة</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الأصلفيالعقودوالشروطالجوازوالصحة</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szCs w:val="32"/>
          <w:vertAlign w:val="superscript"/>
          <w:rtl/>
        </w:rPr>
        <w:t>(</w:t>
      </w:r>
      <w:r w:rsidRPr="00C85F0F">
        <w:rPr>
          <w:szCs w:val="32"/>
          <w:vertAlign w:val="superscript"/>
          <w:rtl/>
        </w:rPr>
        <w:footnoteReference w:id="1097"/>
      </w:r>
      <w:r w:rsidRPr="00C85F0F">
        <w:rPr>
          <w:szCs w:val="32"/>
          <w:vertAlign w:val="superscript"/>
          <w:rtl/>
        </w:rPr>
        <w:t>)</w:t>
      </w:r>
      <w:bookmarkEnd w:id="221"/>
    </w:p>
    <w:p w:rsidR="004775DA" w:rsidRPr="00C85F0F" w:rsidRDefault="00F822A5" w:rsidP="00A8347C">
      <w:pPr>
        <w:pStyle w:val="aff3"/>
        <w:rPr>
          <w:rtl/>
        </w:rPr>
      </w:pPr>
      <w:bookmarkStart w:id="222" w:name="_Toc334046450"/>
      <w:r>
        <w:rPr>
          <w:rFonts w:hint="cs"/>
          <w:rtl/>
        </w:rPr>
        <w:t xml:space="preserve">                                         </w:t>
      </w:r>
      <w:r w:rsidR="004775DA" w:rsidRPr="00C85F0F">
        <w:rPr>
          <w:rFonts w:hint="cs"/>
          <w:rtl/>
        </w:rPr>
        <w:t>المطلب الأول</w:t>
      </w:r>
      <w:r w:rsidR="004775DA" w:rsidRPr="00C85F0F">
        <w:rPr>
          <w:rFonts w:hint="eastAsia"/>
          <w:rtl/>
        </w:rPr>
        <w:t> :</w:t>
      </w:r>
      <w:r w:rsidR="004775DA" w:rsidRPr="00C85F0F">
        <w:rPr>
          <w:rFonts w:hint="cs"/>
          <w:rtl/>
        </w:rPr>
        <w:br/>
      </w:r>
      <w:r>
        <w:rPr>
          <w:rFonts w:hint="cs"/>
          <w:rtl/>
        </w:rPr>
        <w:t xml:space="preserve">                      </w:t>
      </w:r>
      <w:r w:rsidR="004775DA" w:rsidRPr="00C85F0F">
        <w:rPr>
          <w:rFonts w:hint="cs"/>
          <w:rtl/>
        </w:rPr>
        <w:t>صيغة القاعدة عند الشيخ وعند علماء القواعد</w:t>
      </w:r>
      <w:bookmarkEnd w:id="222"/>
    </w:p>
    <w:p w:rsidR="00F228A9" w:rsidRPr="00C85F0F" w:rsidRDefault="004775DA" w:rsidP="00F822A5">
      <w:pPr>
        <w:ind w:firstLine="0"/>
        <w:rPr>
          <w:rtl/>
        </w:rPr>
      </w:pPr>
      <w:r w:rsidRPr="00C85F0F">
        <w:rPr>
          <w:rFonts w:hint="cs"/>
          <w:rtl/>
        </w:rPr>
        <w:t xml:space="preserve">وردت هذه القاعدة عند الشيخ ابن عثيمين </w:t>
      </w:r>
      <w:r w:rsidR="00F822A5">
        <w:rPr>
          <w:rFonts w:hint="cs"/>
          <w:rtl/>
        </w:rPr>
        <w:t>_</w:t>
      </w:r>
      <w:r w:rsidRPr="005D5694">
        <w:rPr>
          <w:rFonts w:cs="CTraditional Arabic" w:hint="cs"/>
          <w:color w:val="auto"/>
          <w:rtl/>
        </w:rPr>
        <w:t>/</w:t>
      </w:r>
      <w:r w:rsidR="00F822A5">
        <w:rPr>
          <w:rFonts w:hint="cs"/>
          <w:rtl/>
        </w:rPr>
        <w:t xml:space="preserve">_ </w:t>
      </w:r>
      <w:r w:rsidRPr="00C85F0F">
        <w:rPr>
          <w:rFonts w:hint="cs"/>
          <w:rtl/>
        </w:rPr>
        <w:t>بعدة صيغ</w:t>
      </w:r>
      <w:r w:rsidRPr="00C85F0F">
        <w:rPr>
          <w:rStyle w:val="af1"/>
          <w:szCs w:val="32"/>
          <w:rtl/>
        </w:rPr>
        <w:t>(</w:t>
      </w:r>
      <w:r w:rsidRPr="00C85F0F">
        <w:rPr>
          <w:rStyle w:val="af1"/>
          <w:szCs w:val="32"/>
          <w:rtl/>
        </w:rPr>
        <w:footnoteReference w:id="1098"/>
      </w:r>
      <w:r w:rsidRPr="00C85F0F">
        <w:rPr>
          <w:rStyle w:val="af1"/>
          <w:szCs w:val="32"/>
          <w:rtl/>
        </w:rPr>
        <w:t>)</w:t>
      </w:r>
      <w:r w:rsidRPr="00C85F0F">
        <w:rPr>
          <w:rFonts w:hint="cs"/>
          <w:rtl/>
        </w:rPr>
        <w:t>، منها:</w:t>
      </w:r>
    </w:p>
    <w:p w:rsidR="004775DA" w:rsidRPr="00C85F0F" w:rsidRDefault="004775DA" w:rsidP="000A76C7">
      <w:pPr>
        <w:pStyle w:val="afc"/>
        <w:numPr>
          <w:ilvl w:val="0"/>
          <w:numId w:val="154"/>
        </w:numPr>
      </w:pPr>
      <w:r w:rsidRPr="00C85F0F">
        <w:rPr>
          <w:rFonts w:hint="cs"/>
          <w:rtl/>
        </w:rPr>
        <w:t>الأصل في الْمُبايَعات</w:t>
      </w:r>
      <w:r w:rsidR="00154102" w:rsidRPr="00C85F0F">
        <w:rPr>
          <w:rFonts w:hint="cs"/>
          <w:rtl/>
        </w:rPr>
        <w:t xml:space="preserve"> و</w:t>
      </w:r>
      <w:r w:rsidRPr="00C85F0F">
        <w:rPr>
          <w:rFonts w:hint="cs"/>
          <w:rtl/>
        </w:rPr>
        <w:t>العقود الحِلّ</w:t>
      </w:r>
      <w:r w:rsidR="00154102" w:rsidRPr="00C85F0F">
        <w:rPr>
          <w:rFonts w:hint="cs"/>
          <w:rtl/>
        </w:rPr>
        <w:t xml:space="preserve"> و</w:t>
      </w:r>
      <w:r w:rsidRPr="00C85F0F">
        <w:rPr>
          <w:rFonts w:hint="cs"/>
          <w:rtl/>
        </w:rPr>
        <w:t>الصحة</w:t>
      </w:r>
      <w:r w:rsidRPr="00C85F0F">
        <w:rPr>
          <w:rStyle w:val="af1"/>
          <w:szCs w:val="32"/>
          <w:rtl/>
        </w:rPr>
        <w:t>(</w:t>
      </w:r>
      <w:r w:rsidRPr="00C85F0F">
        <w:rPr>
          <w:rStyle w:val="af1"/>
          <w:szCs w:val="32"/>
          <w:rtl/>
        </w:rPr>
        <w:footnoteReference w:id="1099"/>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الأصل في المعاملات الحل حتى يقوم دليل على التحريم</w:t>
      </w:r>
      <w:r w:rsidRPr="00C85F0F">
        <w:rPr>
          <w:rStyle w:val="af1"/>
          <w:szCs w:val="32"/>
          <w:rtl/>
        </w:rPr>
        <w:t>(</w:t>
      </w:r>
      <w:r w:rsidRPr="00C85F0F">
        <w:rPr>
          <w:rStyle w:val="af1"/>
          <w:szCs w:val="32"/>
          <w:rtl/>
        </w:rPr>
        <w:footnoteReference w:id="1100"/>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الأصل في المعاملات الحل</w:t>
      </w:r>
      <w:r w:rsidR="00154102" w:rsidRPr="00C85F0F">
        <w:rPr>
          <w:rFonts w:hint="cs"/>
          <w:rtl/>
        </w:rPr>
        <w:t xml:space="preserve"> و</w:t>
      </w:r>
      <w:r w:rsidRPr="00C85F0F">
        <w:rPr>
          <w:rFonts w:hint="cs"/>
          <w:rtl/>
        </w:rPr>
        <w:t>الإباحة</w:t>
      </w:r>
      <w:r w:rsidRPr="00C85F0F">
        <w:rPr>
          <w:rStyle w:val="af1"/>
          <w:szCs w:val="32"/>
          <w:rtl/>
        </w:rPr>
        <w:t>(</w:t>
      </w:r>
      <w:r w:rsidRPr="00C85F0F">
        <w:rPr>
          <w:rStyle w:val="af1"/>
          <w:szCs w:val="32"/>
          <w:rtl/>
        </w:rPr>
        <w:footnoteReference w:id="1101"/>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الأصل في البيع</w:t>
      </w:r>
      <w:r w:rsidR="00154102" w:rsidRPr="00C85F0F">
        <w:rPr>
          <w:rFonts w:hint="cs"/>
          <w:rtl/>
        </w:rPr>
        <w:t xml:space="preserve"> و</w:t>
      </w:r>
      <w:r w:rsidRPr="00C85F0F">
        <w:rPr>
          <w:rFonts w:hint="cs"/>
          <w:rtl/>
        </w:rPr>
        <w:t>الشراء الحل</w:t>
      </w:r>
      <w:r w:rsidRPr="00C85F0F">
        <w:rPr>
          <w:rStyle w:val="af1"/>
          <w:szCs w:val="32"/>
          <w:rtl/>
        </w:rPr>
        <w:t>(</w:t>
      </w:r>
      <w:r w:rsidRPr="00C85F0F">
        <w:rPr>
          <w:rStyle w:val="af1"/>
          <w:szCs w:val="32"/>
          <w:rtl/>
        </w:rPr>
        <w:footnoteReference w:id="1102"/>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lastRenderedPageBreak/>
        <w:t>الأصل في المعاملات الحل</w:t>
      </w:r>
      <w:r w:rsidR="00154102" w:rsidRPr="00C85F0F">
        <w:rPr>
          <w:rFonts w:hint="cs"/>
          <w:rtl/>
        </w:rPr>
        <w:t xml:space="preserve"> و</w:t>
      </w:r>
      <w:r w:rsidRPr="00C85F0F">
        <w:rPr>
          <w:rFonts w:hint="cs"/>
          <w:rtl/>
        </w:rPr>
        <w:t>الصحة</w:t>
      </w:r>
      <w:r w:rsidRPr="00C85F0F">
        <w:rPr>
          <w:rStyle w:val="af1"/>
          <w:szCs w:val="32"/>
          <w:rtl/>
        </w:rPr>
        <w:t>(</w:t>
      </w:r>
      <w:r w:rsidRPr="00C85F0F">
        <w:rPr>
          <w:rStyle w:val="af1"/>
          <w:szCs w:val="32"/>
          <w:rtl/>
        </w:rPr>
        <w:footnoteReference w:id="1103"/>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الأصل في الشروط الحل</w:t>
      </w:r>
      <w:r w:rsidR="00154102" w:rsidRPr="00C85F0F">
        <w:rPr>
          <w:rFonts w:hint="cs"/>
          <w:rtl/>
        </w:rPr>
        <w:t xml:space="preserve"> و</w:t>
      </w:r>
      <w:r w:rsidRPr="00C85F0F">
        <w:rPr>
          <w:rFonts w:hint="cs"/>
          <w:rtl/>
        </w:rPr>
        <w:t>الصحة</w:t>
      </w:r>
      <w:r w:rsidRPr="00C85F0F">
        <w:rPr>
          <w:rStyle w:val="af1"/>
          <w:szCs w:val="32"/>
          <w:rtl/>
        </w:rPr>
        <w:t>(</w:t>
      </w:r>
      <w:r w:rsidRPr="00C85F0F">
        <w:rPr>
          <w:rStyle w:val="af1"/>
          <w:szCs w:val="32"/>
          <w:rtl/>
        </w:rPr>
        <w:footnoteReference w:id="1104"/>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المسلمون على شروطهم</w:t>
      </w:r>
      <w:r w:rsidRPr="00C85F0F">
        <w:rPr>
          <w:rStyle w:val="af1"/>
          <w:szCs w:val="32"/>
          <w:rtl/>
        </w:rPr>
        <w:t>(</w:t>
      </w:r>
      <w:r w:rsidRPr="00C85F0F">
        <w:rPr>
          <w:rStyle w:val="af1"/>
          <w:szCs w:val="32"/>
          <w:rtl/>
        </w:rPr>
        <w:footnoteReference w:id="1105"/>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الأصل في العقود</w:t>
      </w:r>
      <w:r w:rsidR="00154102" w:rsidRPr="00C85F0F">
        <w:rPr>
          <w:rFonts w:hint="cs"/>
          <w:rtl/>
        </w:rPr>
        <w:t xml:space="preserve"> و</w:t>
      </w:r>
      <w:r w:rsidRPr="00C85F0F">
        <w:rPr>
          <w:rFonts w:hint="cs"/>
          <w:rtl/>
        </w:rPr>
        <w:t>شروطها الجواز</w:t>
      </w:r>
      <w:r w:rsidR="00154102" w:rsidRPr="00C85F0F">
        <w:rPr>
          <w:rFonts w:hint="cs"/>
          <w:rtl/>
        </w:rPr>
        <w:t xml:space="preserve"> و</w:t>
      </w:r>
      <w:r w:rsidRPr="00C85F0F">
        <w:rPr>
          <w:rFonts w:hint="cs"/>
          <w:rtl/>
        </w:rPr>
        <w:t>الصحة</w:t>
      </w:r>
      <w:r w:rsidRPr="00C85F0F">
        <w:rPr>
          <w:rStyle w:val="af1"/>
          <w:szCs w:val="32"/>
          <w:rtl/>
        </w:rPr>
        <w:t>(</w:t>
      </w:r>
      <w:r w:rsidRPr="00C85F0F">
        <w:rPr>
          <w:rStyle w:val="af1"/>
          <w:szCs w:val="32"/>
          <w:rtl/>
        </w:rPr>
        <w:footnoteReference w:id="1106"/>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الأصل في العقود الحل</w:t>
      </w:r>
      <w:r w:rsidR="00154102" w:rsidRPr="00C85F0F">
        <w:rPr>
          <w:rFonts w:hint="cs"/>
          <w:rtl/>
        </w:rPr>
        <w:t xml:space="preserve"> و</w:t>
      </w:r>
      <w:r w:rsidRPr="00C85F0F">
        <w:rPr>
          <w:rFonts w:hint="cs"/>
          <w:rtl/>
        </w:rPr>
        <w:t>الإباحة</w:t>
      </w:r>
      <w:r w:rsidRPr="00C85F0F">
        <w:rPr>
          <w:rStyle w:val="af1"/>
          <w:szCs w:val="32"/>
          <w:rtl/>
        </w:rPr>
        <w:t>(</w:t>
      </w:r>
      <w:r w:rsidRPr="00C85F0F">
        <w:rPr>
          <w:rStyle w:val="af1"/>
          <w:szCs w:val="32"/>
          <w:rtl/>
        </w:rPr>
        <w:footnoteReference w:id="1107"/>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الأصل في الشروط الحل</w:t>
      </w:r>
      <w:r w:rsidRPr="00C85F0F">
        <w:rPr>
          <w:rStyle w:val="af1"/>
          <w:szCs w:val="32"/>
          <w:rtl/>
        </w:rPr>
        <w:t>(</w:t>
      </w:r>
      <w:r w:rsidRPr="00C85F0F">
        <w:rPr>
          <w:rStyle w:val="af1"/>
          <w:szCs w:val="32"/>
          <w:rtl/>
        </w:rPr>
        <w:footnoteReference w:id="1108"/>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الأصل في الشروط الصحة</w:t>
      </w:r>
      <w:r w:rsidRPr="00C85F0F">
        <w:rPr>
          <w:rStyle w:val="af1"/>
          <w:szCs w:val="32"/>
          <w:rtl/>
        </w:rPr>
        <w:t>(</w:t>
      </w:r>
      <w:r w:rsidRPr="00C85F0F">
        <w:rPr>
          <w:rStyle w:val="af1"/>
          <w:szCs w:val="32"/>
          <w:rtl/>
        </w:rPr>
        <w:footnoteReference w:id="1109"/>
      </w:r>
      <w:r w:rsidRPr="00C85F0F">
        <w:rPr>
          <w:rStyle w:val="af1"/>
          <w:szCs w:val="32"/>
          <w:rtl/>
        </w:rPr>
        <w:t>)</w:t>
      </w:r>
      <w:r w:rsidRPr="00C85F0F">
        <w:rPr>
          <w:rFonts w:hint="cs"/>
          <w:rtl/>
        </w:rPr>
        <w:t>.</w:t>
      </w:r>
    </w:p>
    <w:p w:rsidR="004775DA" w:rsidRPr="00C85F0F" w:rsidRDefault="004775DA" w:rsidP="000A76C7">
      <w:pPr>
        <w:pStyle w:val="afc"/>
        <w:numPr>
          <w:ilvl w:val="0"/>
          <w:numId w:val="154"/>
        </w:numPr>
      </w:pPr>
      <w:r w:rsidRPr="00C85F0F">
        <w:rPr>
          <w:rFonts w:hint="cs"/>
          <w:rtl/>
        </w:rPr>
        <w:t>الأصل في الشروط الصحة</w:t>
      </w:r>
      <w:r w:rsidR="00154102" w:rsidRPr="00C85F0F">
        <w:rPr>
          <w:rFonts w:hint="cs"/>
          <w:rtl/>
        </w:rPr>
        <w:t xml:space="preserve"> و</w:t>
      </w:r>
      <w:r w:rsidRPr="00C85F0F">
        <w:rPr>
          <w:rFonts w:hint="cs"/>
          <w:rtl/>
        </w:rPr>
        <w:t>اللزوم</w:t>
      </w:r>
      <w:r w:rsidRPr="00C85F0F">
        <w:rPr>
          <w:rStyle w:val="af1"/>
          <w:szCs w:val="32"/>
          <w:rtl/>
        </w:rPr>
        <w:t>(</w:t>
      </w:r>
      <w:r w:rsidRPr="00C85F0F">
        <w:rPr>
          <w:rStyle w:val="af1"/>
          <w:szCs w:val="32"/>
          <w:rtl/>
        </w:rPr>
        <w:footnoteReference w:id="1110"/>
      </w:r>
      <w:r w:rsidRPr="00C85F0F">
        <w:rPr>
          <w:rStyle w:val="af1"/>
          <w:szCs w:val="32"/>
          <w:rtl/>
        </w:rPr>
        <w:t>)</w:t>
      </w:r>
      <w:r w:rsidRPr="00C85F0F">
        <w:rPr>
          <w:rFonts w:hint="cs"/>
          <w:rtl/>
        </w:rPr>
        <w:t>.</w:t>
      </w:r>
    </w:p>
    <w:p w:rsidR="004775DA" w:rsidRPr="00C85F0F" w:rsidRDefault="004775DA" w:rsidP="000A76C7">
      <w:pPr>
        <w:pStyle w:val="afc"/>
        <w:numPr>
          <w:ilvl w:val="0"/>
          <w:numId w:val="154"/>
        </w:numPr>
        <w:rPr>
          <w:rtl/>
        </w:rPr>
      </w:pPr>
      <w:r w:rsidRPr="00C85F0F">
        <w:rPr>
          <w:rFonts w:hint="cs"/>
          <w:rtl/>
        </w:rPr>
        <w:t>الأصل في الشروط</w:t>
      </w:r>
      <w:r w:rsidR="00154102" w:rsidRPr="00C85F0F">
        <w:rPr>
          <w:rFonts w:hint="cs"/>
          <w:rtl/>
        </w:rPr>
        <w:t xml:space="preserve"> و</w:t>
      </w:r>
      <w:r w:rsidRPr="00C85F0F">
        <w:rPr>
          <w:rFonts w:hint="cs"/>
          <w:rtl/>
        </w:rPr>
        <w:t>الْمُصالحَات الحل</w:t>
      </w:r>
      <w:r w:rsidR="00154102" w:rsidRPr="00C85F0F">
        <w:rPr>
          <w:rFonts w:hint="cs"/>
          <w:rtl/>
        </w:rPr>
        <w:t xml:space="preserve"> و</w:t>
      </w:r>
      <w:r w:rsidRPr="00C85F0F">
        <w:rPr>
          <w:rFonts w:hint="cs"/>
          <w:rtl/>
        </w:rPr>
        <w:t>الصحة</w:t>
      </w:r>
      <w:r w:rsidR="00154102" w:rsidRPr="00C85F0F">
        <w:rPr>
          <w:rFonts w:hint="cs"/>
          <w:rtl/>
        </w:rPr>
        <w:t xml:space="preserve"> و</w:t>
      </w:r>
      <w:r w:rsidRPr="00C85F0F">
        <w:rPr>
          <w:rFonts w:hint="cs"/>
          <w:rtl/>
        </w:rPr>
        <w:t>اللُّزوم</w:t>
      </w:r>
      <w:r w:rsidRPr="00C85F0F">
        <w:rPr>
          <w:rStyle w:val="af1"/>
          <w:szCs w:val="32"/>
          <w:rtl/>
        </w:rPr>
        <w:t>(</w:t>
      </w:r>
      <w:r w:rsidRPr="00C85F0F">
        <w:rPr>
          <w:rStyle w:val="af1"/>
          <w:szCs w:val="32"/>
          <w:rtl/>
        </w:rPr>
        <w:footnoteReference w:id="1111"/>
      </w:r>
      <w:r w:rsidRPr="00C85F0F">
        <w:rPr>
          <w:rStyle w:val="af1"/>
          <w:szCs w:val="32"/>
          <w:rtl/>
        </w:rPr>
        <w:t>)</w:t>
      </w:r>
      <w:r w:rsidRPr="00C85F0F">
        <w:rPr>
          <w:rFonts w:hint="cs"/>
          <w:rtl/>
        </w:rPr>
        <w:t>.</w:t>
      </w:r>
    </w:p>
    <w:p w:rsidR="004775DA" w:rsidRPr="00C85F0F" w:rsidRDefault="006D1282" w:rsidP="006D1282">
      <w:pPr>
        <w:ind w:firstLine="0"/>
        <w:rPr>
          <w:rtl/>
        </w:rPr>
      </w:pPr>
      <w:r>
        <w:rPr>
          <w:rFonts w:hint="cs"/>
          <w:rtl/>
        </w:rPr>
        <w:t>و</w:t>
      </w:r>
      <w:r w:rsidR="004775DA" w:rsidRPr="00C85F0F">
        <w:rPr>
          <w:rFonts w:hint="cs"/>
          <w:rtl/>
        </w:rPr>
        <w:t>قد تعددت عبارات أهل العلم في التعبير عن هذه القاعدة</w:t>
      </w:r>
      <w:r w:rsidR="004775DA" w:rsidRPr="00C85F0F">
        <w:rPr>
          <w:rStyle w:val="af1"/>
          <w:szCs w:val="32"/>
          <w:rtl/>
        </w:rPr>
        <w:t>(</w:t>
      </w:r>
      <w:r w:rsidR="004775DA" w:rsidRPr="00C85F0F">
        <w:rPr>
          <w:rStyle w:val="af1"/>
          <w:szCs w:val="32"/>
          <w:rtl/>
        </w:rPr>
        <w:footnoteReference w:id="1112"/>
      </w:r>
      <w:r w:rsidR="004775DA" w:rsidRPr="00C85F0F">
        <w:rPr>
          <w:rStyle w:val="af1"/>
          <w:szCs w:val="32"/>
          <w:rtl/>
        </w:rPr>
        <w:t>)</w:t>
      </w:r>
      <w:r w:rsidR="004775DA" w:rsidRPr="00C85F0F">
        <w:rPr>
          <w:rFonts w:hint="cs"/>
          <w:rtl/>
        </w:rPr>
        <w:t>،</w:t>
      </w:r>
      <w:r w:rsidR="00154102" w:rsidRPr="00C85F0F">
        <w:rPr>
          <w:rFonts w:hint="cs"/>
          <w:rtl/>
        </w:rPr>
        <w:t xml:space="preserve"> و</w:t>
      </w:r>
      <w:r>
        <w:rPr>
          <w:rFonts w:hint="cs"/>
          <w:rtl/>
        </w:rPr>
        <w:t>من ذلك</w:t>
      </w:r>
      <w:r w:rsidR="004775DA" w:rsidRPr="00C85F0F">
        <w:rPr>
          <w:rFonts w:hint="cs"/>
          <w:rtl/>
        </w:rPr>
        <w:t>:</w:t>
      </w:r>
    </w:p>
    <w:p w:rsidR="004775DA" w:rsidRPr="00C85F0F" w:rsidRDefault="004775DA" w:rsidP="000A76C7">
      <w:pPr>
        <w:pStyle w:val="afc"/>
        <w:numPr>
          <w:ilvl w:val="0"/>
          <w:numId w:val="155"/>
        </w:numPr>
      </w:pPr>
      <w:r w:rsidRPr="00C85F0F">
        <w:rPr>
          <w:rFonts w:hint="cs"/>
          <w:rtl/>
        </w:rPr>
        <w:t>الأصل في العقود</w:t>
      </w:r>
      <w:r w:rsidR="00154102" w:rsidRPr="00C85F0F">
        <w:rPr>
          <w:rFonts w:hint="cs"/>
          <w:rtl/>
        </w:rPr>
        <w:t xml:space="preserve"> و</w:t>
      </w:r>
      <w:r w:rsidRPr="00C85F0F">
        <w:rPr>
          <w:rFonts w:hint="cs"/>
          <w:rtl/>
        </w:rPr>
        <w:t>الشروط الجواز</w:t>
      </w:r>
      <w:r w:rsidR="00154102" w:rsidRPr="00C85F0F">
        <w:rPr>
          <w:rFonts w:hint="cs"/>
          <w:rtl/>
        </w:rPr>
        <w:t xml:space="preserve"> و</w:t>
      </w:r>
      <w:r w:rsidRPr="00C85F0F">
        <w:rPr>
          <w:rFonts w:hint="cs"/>
          <w:rtl/>
        </w:rPr>
        <w:t>الصحة</w:t>
      </w:r>
      <w:r w:rsidRPr="00C85F0F">
        <w:rPr>
          <w:rStyle w:val="af1"/>
          <w:szCs w:val="32"/>
          <w:rtl/>
        </w:rPr>
        <w:t>(</w:t>
      </w:r>
      <w:r w:rsidRPr="00C85F0F">
        <w:rPr>
          <w:rStyle w:val="af1"/>
          <w:szCs w:val="32"/>
          <w:rtl/>
        </w:rPr>
        <w:footnoteReference w:id="1113"/>
      </w:r>
      <w:r w:rsidRPr="00C85F0F">
        <w:rPr>
          <w:rStyle w:val="af1"/>
          <w:szCs w:val="32"/>
          <w:rtl/>
        </w:rPr>
        <w:t>)</w:t>
      </w:r>
      <w:r w:rsidRPr="00C85F0F">
        <w:rPr>
          <w:rFonts w:hint="cs"/>
          <w:rtl/>
        </w:rPr>
        <w:t>.</w:t>
      </w:r>
    </w:p>
    <w:p w:rsidR="004775DA" w:rsidRPr="00C85F0F" w:rsidRDefault="004775DA" w:rsidP="000A76C7">
      <w:pPr>
        <w:pStyle w:val="afc"/>
        <w:numPr>
          <w:ilvl w:val="0"/>
          <w:numId w:val="155"/>
        </w:numPr>
      </w:pPr>
      <w:r w:rsidRPr="00C85F0F">
        <w:rPr>
          <w:rFonts w:hint="cs"/>
          <w:rtl/>
        </w:rPr>
        <w:t>الأصل في الشروط الصحة</w:t>
      </w:r>
      <w:r w:rsidR="00154102" w:rsidRPr="00C85F0F">
        <w:rPr>
          <w:rFonts w:hint="cs"/>
          <w:rtl/>
        </w:rPr>
        <w:t xml:space="preserve"> و</w:t>
      </w:r>
      <w:r w:rsidRPr="00C85F0F">
        <w:rPr>
          <w:rFonts w:hint="cs"/>
          <w:rtl/>
        </w:rPr>
        <w:t>اللزوم</w:t>
      </w:r>
      <w:r w:rsidRPr="00C85F0F">
        <w:rPr>
          <w:rStyle w:val="af1"/>
          <w:szCs w:val="32"/>
          <w:rtl/>
        </w:rPr>
        <w:t>(</w:t>
      </w:r>
      <w:r w:rsidRPr="00C85F0F">
        <w:rPr>
          <w:rStyle w:val="af1"/>
          <w:szCs w:val="32"/>
          <w:rtl/>
        </w:rPr>
        <w:footnoteReference w:id="1114"/>
      </w:r>
      <w:r w:rsidRPr="00C85F0F">
        <w:rPr>
          <w:rStyle w:val="af1"/>
          <w:szCs w:val="32"/>
          <w:rtl/>
        </w:rPr>
        <w:t>)</w:t>
      </w:r>
      <w:r w:rsidRPr="00C85F0F">
        <w:rPr>
          <w:rFonts w:hint="cs"/>
          <w:rtl/>
        </w:rPr>
        <w:t>.</w:t>
      </w:r>
    </w:p>
    <w:p w:rsidR="004775DA" w:rsidRPr="00C85F0F" w:rsidRDefault="004775DA" w:rsidP="000A76C7">
      <w:pPr>
        <w:pStyle w:val="afc"/>
        <w:numPr>
          <w:ilvl w:val="0"/>
          <w:numId w:val="155"/>
        </w:numPr>
      </w:pPr>
      <w:r w:rsidRPr="00C85F0F">
        <w:rPr>
          <w:rFonts w:hint="cs"/>
          <w:rtl/>
        </w:rPr>
        <w:lastRenderedPageBreak/>
        <w:t>الأصل في العقود الصحة</w:t>
      </w:r>
      <w:r w:rsidRPr="00C85F0F">
        <w:rPr>
          <w:rStyle w:val="af1"/>
          <w:szCs w:val="32"/>
          <w:rtl/>
        </w:rPr>
        <w:t>(</w:t>
      </w:r>
      <w:r w:rsidRPr="00C85F0F">
        <w:rPr>
          <w:rStyle w:val="af1"/>
          <w:szCs w:val="32"/>
          <w:rtl/>
        </w:rPr>
        <w:footnoteReference w:id="1115"/>
      </w:r>
      <w:r w:rsidRPr="00C85F0F">
        <w:rPr>
          <w:rStyle w:val="af1"/>
          <w:szCs w:val="32"/>
          <w:rtl/>
        </w:rPr>
        <w:t>)</w:t>
      </w:r>
      <w:r w:rsidRPr="00C85F0F">
        <w:rPr>
          <w:rFonts w:hint="cs"/>
          <w:rtl/>
        </w:rPr>
        <w:t>.</w:t>
      </w:r>
    </w:p>
    <w:p w:rsidR="004775DA" w:rsidRPr="00C85F0F" w:rsidRDefault="004775DA" w:rsidP="000A76C7">
      <w:pPr>
        <w:pStyle w:val="afc"/>
        <w:numPr>
          <w:ilvl w:val="0"/>
          <w:numId w:val="155"/>
        </w:numPr>
      </w:pPr>
      <w:r w:rsidRPr="00C85F0F">
        <w:rPr>
          <w:rFonts w:hint="cs"/>
          <w:rtl/>
        </w:rPr>
        <w:t>الأصل في العقود</w:t>
      </w:r>
      <w:r w:rsidR="00154102" w:rsidRPr="00C85F0F">
        <w:rPr>
          <w:rFonts w:hint="cs"/>
          <w:rtl/>
        </w:rPr>
        <w:t xml:space="preserve"> و</w:t>
      </w:r>
      <w:r w:rsidRPr="00C85F0F">
        <w:rPr>
          <w:rFonts w:hint="cs"/>
          <w:rtl/>
        </w:rPr>
        <w:t>المعاملات الصحة</w:t>
      </w:r>
      <w:r w:rsidRPr="00C85F0F">
        <w:rPr>
          <w:rStyle w:val="af1"/>
          <w:szCs w:val="32"/>
          <w:rtl/>
        </w:rPr>
        <w:t>(</w:t>
      </w:r>
      <w:r w:rsidRPr="00C85F0F">
        <w:rPr>
          <w:rStyle w:val="af1"/>
          <w:szCs w:val="32"/>
          <w:rtl/>
        </w:rPr>
        <w:footnoteReference w:id="1116"/>
      </w:r>
      <w:r w:rsidRPr="00C85F0F">
        <w:rPr>
          <w:rStyle w:val="af1"/>
          <w:szCs w:val="32"/>
          <w:rtl/>
        </w:rPr>
        <w:t>)</w:t>
      </w:r>
      <w:r w:rsidRPr="00C85F0F">
        <w:rPr>
          <w:rFonts w:hint="cs"/>
          <w:rtl/>
        </w:rPr>
        <w:t>.</w:t>
      </w:r>
    </w:p>
    <w:p w:rsidR="004775DA" w:rsidRPr="00C85F0F" w:rsidRDefault="004775DA" w:rsidP="000A76C7">
      <w:pPr>
        <w:pStyle w:val="afc"/>
        <w:numPr>
          <w:ilvl w:val="0"/>
          <w:numId w:val="155"/>
        </w:numPr>
      </w:pPr>
      <w:r w:rsidRPr="00C85F0F">
        <w:rPr>
          <w:rFonts w:hint="cs"/>
          <w:rtl/>
        </w:rPr>
        <w:t>الأصل في العقود</w:t>
      </w:r>
      <w:r w:rsidR="00154102" w:rsidRPr="00C85F0F">
        <w:rPr>
          <w:rFonts w:hint="cs"/>
          <w:rtl/>
        </w:rPr>
        <w:t xml:space="preserve"> و</w:t>
      </w:r>
      <w:r w:rsidRPr="00C85F0F">
        <w:rPr>
          <w:rFonts w:hint="cs"/>
          <w:rtl/>
        </w:rPr>
        <w:t>الشروط الصحة</w:t>
      </w:r>
      <w:r w:rsidRPr="00C85F0F">
        <w:rPr>
          <w:rStyle w:val="af1"/>
          <w:szCs w:val="32"/>
          <w:rtl/>
        </w:rPr>
        <w:t>(</w:t>
      </w:r>
      <w:r w:rsidRPr="00C85F0F">
        <w:rPr>
          <w:rStyle w:val="af1"/>
          <w:szCs w:val="32"/>
          <w:rtl/>
        </w:rPr>
        <w:footnoteReference w:id="1117"/>
      </w:r>
      <w:r w:rsidRPr="00C85F0F">
        <w:rPr>
          <w:rStyle w:val="af1"/>
          <w:szCs w:val="32"/>
          <w:rtl/>
        </w:rPr>
        <w:t>)</w:t>
      </w:r>
      <w:r w:rsidRPr="00C85F0F">
        <w:rPr>
          <w:rFonts w:hint="cs"/>
          <w:rtl/>
        </w:rPr>
        <w:t>.</w:t>
      </w:r>
    </w:p>
    <w:p w:rsidR="004775DA" w:rsidRPr="00C85F0F" w:rsidRDefault="004775DA" w:rsidP="000A76C7">
      <w:pPr>
        <w:pStyle w:val="afc"/>
        <w:numPr>
          <w:ilvl w:val="0"/>
          <w:numId w:val="155"/>
        </w:numPr>
      </w:pPr>
      <w:r w:rsidRPr="00C85F0F">
        <w:rPr>
          <w:rFonts w:hint="cs"/>
          <w:rtl/>
        </w:rPr>
        <w:t>المسلمون على شروطهم</w:t>
      </w:r>
      <w:r w:rsidRPr="00C85F0F">
        <w:rPr>
          <w:rStyle w:val="af1"/>
          <w:szCs w:val="32"/>
          <w:rtl/>
        </w:rPr>
        <w:t>(</w:t>
      </w:r>
      <w:r w:rsidRPr="00C85F0F">
        <w:rPr>
          <w:rStyle w:val="af1"/>
          <w:szCs w:val="32"/>
          <w:rtl/>
        </w:rPr>
        <w:footnoteReference w:id="1118"/>
      </w:r>
      <w:r w:rsidRPr="00C85F0F">
        <w:rPr>
          <w:rStyle w:val="af1"/>
          <w:szCs w:val="32"/>
          <w:rtl/>
        </w:rPr>
        <w:t>)</w:t>
      </w:r>
      <w:r w:rsidRPr="00C85F0F">
        <w:rPr>
          <w:rFonts w:hint="cs"/>
          <w:rtl/>
        </w:rPr>
        <w:t>.</w:t>
      </w:r>
    </w:p>
    <w:p w:rsidR="004775DA" w:rsidRPr="00C85F0F" w:rsidRDefault="004775DA" w:rsidP="000A76C7">
      <w:pPr>
        <w:pStyle w:val="afc"/>
        <w:numPr>
          <w:ilvl w:val="0"/>
          <w:numId w:val="155"/>
        </w:numPr>
      </w:pPr>
      <w:r w:rsidRPr="00C85F0F">
        <w:rPr>
          <w:rFonts w:hint="cs"/>
          <w:rtl/>
        </w:rPr>
        <w:t>الأصل في العقود عموما</w:t>
      </w:r>
      <w:r w:rsidR="00154102" w:rsidRPr="00C85F0F">
        <w:rPr>
          <w:rFonts w:hint="cs"/>
          <w:rtl/>
        </w:rPr>
        <w:t xml:space="preserve"> و</w:t>
      </w:r>
      <w:r w:rsidRPr="00C85F0F">
        <w:rPr>
          <w:rFonts w:hint="cs"/>
          <w:rtl/>
        </w:rPr>
        <w:t>في البيع خصوصا الصحة</w:t>
      </w:r>
      <w:r w:rsidRPr="00C85F0F">
        <w:rPr>
          <w:rStyle w:val="af1"/>
          <w:szCs w:val="32"/>
          <w:rtl/>
        </w:rPr>
        <w:t>(</w:t>
      </w:r>
      <w:r w:rsidRPr="00C85F0F">
        <w:rPr>
          <w:rStyle w:val="af1"/>
          <w:szCs w:val="32"/>
          <w:rtl/>
        </w:rPr>
        <w:footnoteReference w:id="1119"/>
      </w:r>
      <w:r w:rsidRPr="00C85F0F">
        <w:rPr>
          <w:rStyle w:val="af1"/>
          <w:szCs w:val="32"/>
          <w:rtl/>
        </w:rPr>
        <w:t>)</w:t>
      </w:r>
      <w:r w:rsidRPr="00C85F0F">
        <w:rPr>
          <w:rFonts w:hint="cs"/>
          <w:rtl/>
        </w:rPr>
        <w:t>.</w:t>
      </w:r>
    </w:p>
    <w:p w:rsidR="004775DA" w:rsidRPr="00C85F0F" w:rsidRDefault="004775DA" w:rsidP="000A76C7">
      <w:pPr>
        <w:pStyle w:val="afc"/>
        <w:numPr>
          <w:ilvl w:val="0"/>
          <w:numId w:val="155"/>
        </w:numPr>
      </w:pPr>
      <w:r w:rsidRPr="00C85F0F">
        <w:rPr>
          <w:rFonts w:hint="cs"/>
          <w:rtl/>
        </w:rPr>
        <w:t>الأصل في البيوع</w:t>
      </w:r>
      <w:r w:rsidR="00154102" w:rsidRPr="00C85F0F">
        <w:rPr>
          <w:rFonts w:hint="cs"/>
          <w:rtl/>
        </w:rPr>
        <w:t xml:space="preserve"> و</w:t>
      </w:r>
      <w:r w:rsidRPr="00C85F0F">
        <w:rPr>
          <w:rFonts w:hint="cs"/>
          <w:rtl/>
        </w:rPr>
        <w:t>المعاملات</w:t>
      </w:r>
      <w:r w:rsidR="00154102" w:rsidRPr="00C85F0F">
        <w:rPr>
          <w:rFonts w:hint="cs"/>
          <w:rtl/>
        </w:rPr>
        <w:t xml:space="preserve"> و</w:t>
      </w:r>
      <w:r w:rsidRPr="00C85F0F">
        <w:rPr>
          <w:rFonts w:hint="cs"/>
          <w:rtl/>
        </w:rPr>
        <w:t>التجارات كلها الحل</w:t>
      </w:r>
      <w:r w:rsidR="00154102" w:rsidRPr="00C85F0F">
        <w:rPr>
          <w:rFonts w:hint="cs"/>
          <w:rtl/>
        </w:rPr>
        <w:t xml:space="preserve"> و</w:t>
      </w:r>
      <w:r w:rsidRPr="00C85F0F">
        <w:rPr>
          <w:rFonts w:hint="cs"/>
          <w:rtl/>
        </w:rPr>
        <w:t>الإطلاق</w:t>
      </w:r>
      <w:r w:rsidRPr="00C85F0F">
        <w:rPr>
          <w:rStyle w:val="af1"/>
          <w:szCs w:val="32"/>
          <w:rtl/>
        </w:rPr>
        <w:t>(</w:t>
      </w:r>
      <w:r w:rsidRPr="00C85F0F">
        <w:rPr>
          <w:rStyle w:val="af1"/>
          <w:szCs w:val="32"/>
          <w:rtl/>
        </w:rPr>
        <w:footnoteReference w:id="1120"/>
      </w:r>
      <w:r w:rsidRPr="00C85F0F">
        <w:rPr>
          <w:rStyle w:val="af1"/>
          <w:szCs w:val="32"/>
          <w:rtl/>
        </w:rPr>
        <w:t>)</w:t>
      </w:r>
      <w:r w:rsidRPr="00C85F0F">
        <w:rPr>
          <w:rFonts w:hint="cs"/>
          <w:rtl/>
        </w:rPr>
        <w:t>.</w:t>
      </w:r>
    </w:p>
    <w:p w:rsidR="004775DA" w:rsidRPr="00C85F0F" w:rsidRDefault="004775DA" w:rsidP="000A76C7">
      <w:pPr>
        <w:pStyle w:val="afc"/>
        <w:numPr>
          <w:ilvl w:val="0"/>
          <w:numId w:val="155"/>
        </w:numPr>
      </w:pPr>
      <w:r w:rsidRPr="00C85F0F">
        <w:rPr>
          <w:rFonts w:hint="cs"/>
          <w:rtl/>
        </w:rPr>
        <w:t>الأصل في عقود المسلمين الصحة</w:t>
      </w:r>
      <w:r w:rsidR="00154102" w:rsidRPr="00C85F0F">
        <w:rPr>
          <w:rFonts w:hint="cs"/>
          <w:rtl/>
        </w:rPr>
        <w:t xml:space="preserve"> و</w:t>
      </w:r>
      <w:r w:rsidRPr="00C85F0F">
        <w:rPr>
          <w:rFonts w:hint="cs"/>
          <w:rtl/>
        </w:rPr>
        <w:t>السلامة</w:t>
      </w:r>
      <w:r w:rsidRPr="00C85F0F">
        <w:rPr>
          <w:rStyle w:val="af1"/>
          <w:szCs w:val="32"/>
          <w:rtl/>
        </w:rPr>
        <w:t>(</w:t>
      </w:r>
      <w:r w:rsidRPr="00C85F0F">
        <w:rPr>
          <w:rStyle w:val="af1"/>
          <w:szCs w:val="32"/>
          <w:rtl/>
        </w:rPr>
        <w:footnoteReference w:id="1121"/>
      </w:r>
      <w:r w:rsidRPr="00C85F0F">
        <w:rPr>
          <w:rStyle w:val="af1"/>
          <w:szCs w:val="32"/>
          <w:rtl/>
        </w:rPr>
        <w:t>)</w:t>
      </w:r>
      <w:r w:rsidRPr="00C85F0F">
        <w:rPr>
          <w:rFonts w:hint="cs"/>
          <w:rtl/>
        </w:rPr>
        <w:t>.</w:t>
      </w:r>
    </w:p>
    <w:p w:rsidR="004775DA" w:rsidRPr="00C85F0F" w:rsidRDefault="004775DA" w:rsidP="000A76C7">
      <w:pPr>
        <w:pStyle w:val="afc"/>
        <w:numPr>
          <w:ilvl w:val="0"/>
          <w:numId w:val="155"/>
        </w:numPr>
      </w:pPr>
      <w:r w:rsidRPr="00C85F0F">
        <w:rPr>
          <w:rFonts w:hint="cs"/>
          <w:rtl/>
        </w:rPr>
        <w:t>الأصل في البيوع الإباحة</w:t>
      </w:r>
      <w:r w:rsidRPr="00C85F0F">
        <w:rPr>
          <w:rStyle w:val="af1"/>
          <w:szCs w:val="32"/>
          <w:rtl/>
        </w:rPr>
        <w:t>(</w:t>
      </w:r>
      <w:r w:rsidRPr="00C85F0F">
        <w:rPr>
          <w:rStyle w:val="af1"/>
          <w:szCs w:val="32"/>
          <w:rtl/>
        </w:rPr>
        <w:footnoteReference w:id="1122"/>
      </w:r>
      <w:r w:rsidRPr="00C85F0F">
        <w:rPr>
          <w:rStyle w:val="af1"/>
          <w:szCs w:val="32"/>
          <w:rtl/>
        </w:rPr>
        <w:t>)</w:t>
      </w:r>
      <w:r w:rsidRPr="00C85F0F">
        <w:rPr>
          <w:rFonts w:hint="cs"/>
          <w:rtl/>
        </w:rPr>
        <w:t>.</w:t>
      </w:r>
    </w:p>
    <w:p w:rsidR="00F228A9" w:rsidRPr="00C85F0F" w:rsidRDefault="004775DA" w:rsidP="000A76C7">
      <w:pPr>
        <w:pStyle w:val="afc"/>
        <w:numPr>
          <w:ilvl w:val="0"/>
          <w:numId w:val="155"/>
        </w:numPr>
      </w:pPr>
      <w:r w:rsidRPr="00C85F0F">
        <w:rPr>
          <w:rFonts w:hint="cs"/>
          <w:rtl/>
        </w:rPr>
        <w:t>الأصل في المعاملات الصحة</w:t>
      </w:r>
      <w:r w:rsidR="00154102" w:rsidRPr="00C85F0F">
        <w:rPr>
          <w:rFonts w:hint="cs"/>
          <w:rtl/>
        </w:rPr>
        <w:t xml:space="preserve"> و</w:t>
      </w:r>
      <w:r w:rsidRPr="00C85F0F">
        <w:rPr>
          <w:rFonts w:hint="cs"/>
          <w:rtl/>
        </w:rPr>
        <w:t>في العقود اللُّزوم</w:t>
      </w:r>
      <w:r w:rsidRPr="00C85F0F">
        <w:rPr>
          <w:rStyle w:val="af1"/>
          <w:szCs w:val="32"/>
          <w:rtl/>
        </w:rPr>
        <w:t>(</w:t>
      </w:r>
      <w:r w:rsidRPr="00C85F0F">
        <w:rPr>
          <w:rStyle w:val="af1"/>
          <w:szCs w:val="32"/>
          <w:rtl/>
        </w:rPr>
        <w:footnoteReference w:id="1123"/>
      </w:r>
      <w:r w:rsidRPr="00C85F0F">
        <w:rPr>
          <w:rStyle w:val="af1"/>
          <w:szCs w:val="32"/>
          <w:rtl/>
        </w:rPr>
        <w:t>)</w:t>
      </w:r>
      <w:r w:rsidRPr="00C85F0F">
        <w:rPr>
          <w:rFonts w:hint="cs"/>
          <w:rtl/>
        </w:rPr>
        <w:t>.</w:t>
      </w:r>
    </w:p>
    <w:p w:rsidR="00F228A9" w:rsidRPr="00C85F0F" w:rsidRDefault="006D1282" w:rsidP="00A8347C">
      <w:pPr>
        <w:pStyle w:val="aff3"/>
        <w:rPr>
          <w:rtl/>
        </w:rPr>
      </w:pPr>
      <w:bookmarkStart w:id="223" w:name="_Toc334046451"/>
      <w:r>
        <w:rPr>
          <w:rFonts w:hint="cs"/>
          <w:rtl/>
        </w:rPr>
        <w:lastRenderedPageBreak/>
        <w:t xml:space="preserve">                                         </w:t>
      </w:r>
      <w:r w:rsidR="00F228A9" w:rsidRPr="00C85F0F">
        <w:rPr>
          <w:rFonts w:hint="cs"/>
          <w:rtl/>
        </w:rPr>
        <w:t>المطلب الثاني</w:t>
      </w:r>
      <w:r w:rsidR="00F228A9" w:rsidRPr="00C85F0F">
        <w:rPr>
          <w:rFonts w:hint="eastAsia"/>
          <w:rtl/>
        </w:rPr>
        <w:t> :</w:t>
      </w:r>
      <w:r w:rsidR="00F228A9" w:rsidRPr="00C85F0F">
        <w:rPr>
          <w:rFonts w:hint="cs"/>
          <w:rtl/>
        </w:rPr>
        <w:br/>
      </w:r>
      <w:r>
        <w:rPr>
          <w:rFonts w:hint="cs"/>
          <w:rtl/>
        </w:rPr>
        <w:t xml:space="preserve">           </w:t>
      </w:r>
      <w:r w:rsidR="00B83C47">
        <w:rPr>
          <w:rFonts w:hint="cs"/>
          <w:rtl/>
        </w:rPr>
        <w:t xml:space="preserve">                               شرح</w:t>
      </w:r>
      <w:r w:rsidR="00F228A9" w:rsidRPr="00C85F0F">
        <w:rPr>
          <w:rFonts w:hint="cs"/>
          <w:rtl/>
        </w:rPr>
        <w:t xml:space="preserve"> القاعدة</w:t>
      </w:r>
      <w:bookmarkEnd w:id="223"/>
    </w:p>
    <w:p w:rsidR="00662882" w:rsidRDefault="004775DA" w:rsidP="00EA2BD7">
      <w:pPr>
        <w:pStyle w:val="53"/>
        <w:rPr>
          <w:rtl/>
        </w:rPr>
      </w:pPr>
      <w:r w:rsidRPr="00EA2BD7">
        <w:rPr>
          <w:rFonts w:hint="cs"/>
          <w:rtl/>
        </w:rPr>
        <w:t>العقود</w:t>
      </w:r>
      <w:r w:rsidR="00AB0B9E" w:rsidRPr="00EA2BD7">
        <w:fldChar w:fldCharType="begin"/>
      </w:r>
      <w:r w:rsidR="00D65D30" w:rsidRPr="00EA2BD7">
        <w:instrText>XE</w:instrText>
      </w:r>
      <w:r w:rsidR="00D65D30" w:rsidRPr="00EA2BD7">
        <w:rPr>
          <w:rtl/>
        </w:rPr>
        <w:instrText xml:space="preserve"> "</w:instrText>
      </w:r>
      <w:r w:rsidR="00D65D30" w:rsidRPr="00EA2BD7">
        <w:rPr>
          <w:rFonts w:hint="cs"/>
          <w:rtl/>
        </w:rPr>
        <w:instrText>العقد</w:instrText>
      </w:r>
      <w:r w:rsidR="00D65D30" w:rsidRPr="00EA2BD7">
        <w:rPr>
          <w:rtl/>
        </w:rPr>
        <w:instrText>" \</w:instrText>
      </w:r>
      <w:r w:rsidR="00D65D30" w:rsidRPr="00EA2BD7">
        <w:instrText>fm</w:instrText>
      </w:r>
      <w:r w:rsidR="00AB0B9E" w:rsidRPr="00EA2BD7">
        <w:fldChar w:fldCharType="end"/>
      </w:r>
      <w:r>
        <w:rPr>
          <w:rFonts w:hint="cs"/>
          <w:b w:val="0"/>
          <w:rtl/>
        </w:rPr>
        <w:t xml:space="preserve"> لغة</w:t>
      </w:r>
      <w:r w:rsidRPr="00837E9A">
        <w:rPr>
          <w:rFonts w:hint="cs"/>
          <w:b w:val="0"/>
          <w:rtl/>
        </w:rPr>
        <w:t>:</w:t>
      </w:r>
    </w:p>
    <w:p w:rsidR="004775DA" w:rsidRDefault="004775DA" w:rsidP="00597C20">
      <w:pPr>
        <w:ind w:firstLine="720"/>
        <w:rPr>
          <w:rtl/>
        </w:rPr>
      </w:pPr>
      <w:r>
        <w:rPr>
          <w:rFonts w:hint="cs"/>
          <w:rtl/>
        </w:rPr>
        <w:t>جمع عَقْد، والعقد في اللغة يُطلَق على معانٍ متعدِّدة، منها: الشَّدّ، والرَّبْط،</w:t>
      </w:r>
      <w:r w:rsidR="006D1282">
        <w:rPr>
          <w:rFonts w:hint="cs"/>
          <w:rtl/>
        </w:rPr>
        <w:t xml:space="preserve"> </w:t>
      </w:r>
      <w:r>
        <w:rPr>
          <w:rFonts w:hint="cs"/>
          <w:rtl/>
        </w:rPr>
        <w:t>والإحكام، والتوثيق، والجمع بين أطراف الشيء</w:t>
      </w:r>
      <w:r w:rsidRPr="00C821A1">
        <w:rPr>
          <w:rStyle w:val="af1"/>
          <w:szCs w:val="32"/>
          <w:rtl/>
        </w:rPr>
        <w:t>(</w:t>
      </w:r>
      <w:r w:rsidRPr="00C821A1">
        <w:rPr>
          <w:rStyle w:val="af1"/>
          <w:szCs w:val="32"/>
          <w:rtl/>
        </w:rPr>
        <w:footnoteReference w:id="1124"/>
      </w:r>
      <w:r w:rsidRPr="00C821A1">
        <w:rPr>
          <w:rStyle w:val="af1"/>
          <w:szCs w:val="32"/>
          <w:rtl/>
        </w:rPr>
        <w:t>)</w:t>
      </w:r>
      <w:r>
        <w:rPr>
          <w:rFonts w:hint="cs"/>
          <w:rtl/>
        </w:rPr>
        <w:t>.</w:t>
      </w:r>
    </w:p>
    <w:p w:rsidR="004775DA" w:rsidRDefault="004775DA" w:rsidP="00597C20">
      <w:pPr>
        <w:ind w:firstLine="720"/>
        <w:rPr>
          <w:rtl/>
        </w:rPr>
      </w:pPr>
      <w:r>
        <w:rPr>
          <w:rFonts w:hint="cs"/>
          <w:rtl/>
        </w:rPr>
        <w:t xml:space="preserve">وترجع هذه المعاني إلى أصل واحد. قال </w:t>
      </w:r>
      <w:r w:rsidR="006D1282">
        <w:rPr>
          <w:rFonts w:hint="cs"/>
          <w:rtl/>
        </w:rPr>
        <w:t xml:space="preserve"> </w:t>
      </w:r>
      <w:r>
        <w:rPr>
          <w:rFonts w:hint="cs"/>
          <w:rtl/>
        </w:rPr>
        <w:t xml:space="preserve">ابن فارس </w:t>
      </w:r>
      <w:r w:rsidR="006D1282">
        <w:rPr>
          <w:rFonts w:hint="cs"/>
          <w:rtl/>
        </w:rPr>
        <w:t>_</w:t>
      </w:r>
      <w:r w:rsidR="009A0575" w:rsidRPr="005D5694">
        <w:rPr>
          <w:rFonts w:ascii="Traditional Arabic" w:hAnsi="Traditional Arabic" w:cs="CTraditional Arabic" w:hint="cs"/>
          <w:rtl/>
        </w:rPr>
        <w:t>/</w:t>
      </w:r>
      <w:r w:rsidR="006D1282">
        <w:rPr>
          <w:rFonts w:hint="cs"/>
          <w:rtl/>
        </w:rPr>
        <w:t>_</w:t>
      </w:r>
      <w:r>
        <w:rPr>
          <w:rFonts w:hint="cs"/>
          <w:rtl/>
        </w:rPr>
        <w:t xml:space="preserve"> :</w:t>
      </w:r>
      <w:r w:rsidR="00B76414">
        <w:rPr>
          <w:rFonts w:hint="cs"/>
          <w:rtl/>
        </w:rPr>
        <w:t>(</w:t>
      </w:r>
      <w:r w:rsidRPr="00302FAB">
        <w:rPr>
          <w:rFonts w:ascii="Traditional Arabic" w:hAnsi="Traditional Arabic"/>
          <w:noProof w:val="0"/>
          <w:rtl/>
          <w:lang w:eastAsia="en-US"/>
        </w:rPr>
        <w:t>العين والقاف والدال أصل واحد يدل على ش</w:t>
      </w:r>
      <w:r>
        <w:rPr>
          <w:rFonts w:ascii="Traditional Arabic" w:hAnsi="Traditional Arabic" w:hint="cs"/>
          <w:noProof w:val="0"/>
          <w:rtl/>
          <w:lang w:eastAsia="en-US"/>
        </w:rPr>
        <w:t>َ</w:t>
      </w:r>
      <w:r w:rsidRPr="00302FAB">
        <w:rPr>
          <w:rFonts w:ascii="Traditional Arabic" w:hAnsi="Traditional Arabic"/>
          <w:noProof w:val="0"/>
          <w:rtl/>
          <w:lang w:eastAsia="en-US"/>
        </w:rPr>
        <w:t>د</w:t>
      </w:r>
      <w:r>
        <w:rPr>
          <w:rFonts w:ascii="Traditional Arabic" w:hAnsi="Traditional Arabic" w:hint="cs"/>
          <w:noProof w:val="0"/>
          <w:rtl/>
          <w:lang w:eastAsia="en-US"/>
        </w:rPr>
        <w:t>ٍّ</w:t>
      </w:r>
      <w:r w:rsidRPr="00302FAB">
        <w:rPr>
          <w:rFonts w:ascii="Traditional Arabic" w:hAnsi="Traditional Arabic"/>
          <w:noProof w:val="0"/>
          <w:rtl/>
          <w:lang w:eastAsia="en-US"/>
        </w:rPr>
        <w:t xml:space="preserve"> وش</w:t>
      </w:r>
      <w:r>
        <w:rPr>
          <w:rFonts w:ascii="Traditional Arabic" w:hAnsi="Traditional Arabic" w:hint="cs"/>
          <w:noProof w:val="0"/>
          <w:rtl/>
          <w:lang w:eastAsia="en-US"/>
        </w:rPr>
        <w:t>ِ</w:t>
      </w:r>
      <w:r w:rsidRPr="00302FAB">
        <w:rPr>
          <w:rFonts w:ascii="Traditional Arabic" w:hAnsi="Traditional Arabic"/>
          <w:noProof w:val="0"/>
          <w:rtl/>
          <w:lang w:eastAsia="en-US"/>
        </w:rPr>
        <w:t>د</w:t>
      </w:r>
      <w:r>
        <w:rPr>
          <w:rFonts w:ascii="Traditional Arabic" w:hAnsi="Traditional Arabic" w:hint="cs"/>
          <w:noProof w:val="0"/>
          <w:rtl/>
          <w:lang w:eastAsia="en-US"/>
        </w:rPr>
        <w:t>َّ</w:t>
      </w:r>
      <w:r w:rsidRPr="00302FAB">
        <w:rPr>
          <w:rFonts w:ascii="Traditional Arabic" w:hAnsi="Traditional Arabic"/>
          <w:noProof w:val="0"/>
          <w:rtl/>
          <w:lang w:eastAsia="en-US"/>
        </w:rPr>
        <w:t>ة</w:t>
      </w:r>
      <w:r>
        <w:rPr>
          <w:rFonts w:ascii="Traditional Arabic" w:hAnsi="Traditional Arabic" w:hint="cs"/>
          <w:noProof w:val="0"/>
          <w:rtl/>
          <w:lang w:eastAsia="en-US"/>
        </w:rPr>
        <w:t>ِ</w:t>
      </w:r>
      <w:r w:rsidRPr="00302FAB">
        <w:rPr>
          <w:rFonts w:ascii="Traditional Arabic" w:hAnsi="Traditional Arabic"/>
          <w:noProof w:val="0"/>
          <w:rtl/>
          <w:lang w:eastAsia="en-US"/>
        </w:rPr>
        <w:t xml:space="preserve"> و</w:t>
      </w:r>
      <w:r>
        <w:rPr>
          <w:rFonts w:ascii="Traditional Arabic" w:hAnsi="Traditional Arabic" w:hint="cs"/>
          <w:noProof w:val="0"/>
          <w:rtl/>
          <w:lang w:eastAsia="en-US"/>
        </w:rPr>
        <w:t>ُ</w:t>
      </w:r>
      <w:r w:rsidRPr="00302FAB">
        <w:rPr>
          <w:rFonts w:ascii="Traditional Arabic" w:hAnsi="Traditional Arabic"/>
          <w:noProof w:val="0"/>
          <w:rtl/>
          <w:lang w:eastAsia="en-US"/>
        </w:rPr>
        <w:t>ثوق</w:t>
      </w:r>
      <w:r>
        <w:rPr>
          <w:rFonts w:ascii="Traditional Arabic" w:hAnsi="Traditional Arabic" w:hint="cs"/>
          <w:noProof w:val="0"/>
          <w:rtl/>
          <w:lang w:eastAsia="en-US"/>
        </w:rPr>
        <w:t>ٍ</w:t>
      </w:r>
      <w:r w:rsidRPr="00302FAB">
        <w:rPr>
          <w:rFonts w:ascii="Traditional Arabic" w:hAnsi="Traditional Arabic"/>
          <w:noProof w:val="0"/>
          <w:rtl/>
          <w:lang w:eastAsia="en-US"/>
        </w:rPr>
        <w:t>، وإليه ترجع فروع</w:t>
      </w:r>
      <w:r>
        <w:rPr>
          <w:rFonts w:ascii="Traditional Arabic" w:hAnsi="Traditional Arabic" w:hint="cs"/>
          <w:noProof w:val="0"/>
          <w:rtl/>
          <w:lang w:eastAsia="en-US"/>
        </w:rPr>
        <w:t>ُ</w:t>
      </w:r>
      <w:r w:rsidRPr="00302FAB">
        <w:rPr>
          <w:rFonts w:ascii="Traditional Arabic" w:hAnsi="Traditional Arabic"/>
          <w:noProof w:val="0"/>
          <w:rtl/>
          <w:lang w:eastAsia="en-US"/>
        </w:rPr>
        <w:t xml:space="preserve"> الباب كل</w:t>
      </w:r>
      <w:r>
        <w:rPr>
          <w:rFonts w:ascii="Traditional Arabic" w:hAnsi="Traditional Arabic" w:hint="cs"/>
          <w:noProof w:val="0"/>
          <w:rtl/>
          <w:lang w:eastAsia="en-US"/>
        </w:rPr>
        <w:t>ُّ</w:t>
      </w:r>
      <w:r w:rsidRPr="00302FAB">
        <w:rPr>
          <w:rFonts w:ascii="Traditional Arabic" w:hAnsi="Traditional Arabic"/>
          <w:noProof w:val="0"/>
          <w:rtl/>
          <w:lang w:eastAsia="en-US"/>
        </w:rPr>
        <w:t>ها</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125"/>
      </w:r>
      <w:r w:rsidRPr="00C821A1">
        <w:rPr>
          <w:rStyle w:val="af1"/>
          <w:szCs w:val="32"/>
          <w:rtl/>
        </w:rPr>
        <w:t>)</w:t>
      </w:r>
      <w:r w:rsidRPr="00302FAB">
        <w:rPr>
          <w:rFonts w:ascii="Traditional Arabic" w:hAnsi="Traditional Arabic"/>
          <w:noProof w:val="0"/>
          <w:rtl/>
          <w:lang w:eastAsia="en-US"/>
        </w:rPr>
        <w:t>.</w:t>
      </w:r>
    </w:p>
    <w:p w:rsidR="00662882" w:rsidRDefault="004775DA" w:rsidP="00597C20">
      <w:pPr>
        <w:pStyle w:val="53"/>
        <w:rPr>
          <w:rFonts w:ascii="Traditional Arabic" w:hAnsi="Traditional Arabic"/>
          <w:noProof w:val="0"/>
          <w:rtl/>
        </w:rPr>
      </w:pPr>
      <w:r>
        <w:rPr>
          <w:rFonts w:hint="cs"/>
          <w:rtl/>
        </w:rPr>
        <w:t>العقد اصطلاحا:</w:t>
      </w:r>
    </w:p>
    <w:p w:rsidR="004775DA" w:rsidRPr="009907EE" w:rsidRDefault="004775DA" w:rsidP="00597C20">
      <w:pPr>
        <w:ind w:firstLine="720"/>
        <w:rPr>
          <w:rtl/>
        </w:rPr>
      </w:pPr>
      <w:r>
        <w:rPr>
          <w:rFonts w:ascii="Traditional Arabic" w:hAnsi="Traditional Arabic" w:hint="cs"/>
          <w:noProof w:val="0"/>
          <w:rtl/>
          <w:lang w:eastAsia="en-US"/>
        </w:rPr>
        <w:t>التزامُ</w:t>
      </w:r>
      <w:r w:rsidRPr="00C821A1">
        <w:rPr>
          <w:rStyle w:val="af1"/>
          <w:szCs w:val="32"/>
          <w:rtl/>
        </w:rPr>
        <w:t>(</w:t>
      </w:r>
      <w:r w:rsidRPr="00C821A1">
        <w:rPr>
          <w:rStyle w:val="af1"/>
          <w:szCs w:val="32"/>
          <w:rtl/>
        </w:rPr>
        <w:footnoteReference w:id="1126"/>
      </w:r>
      <w:r w:rsidRPr="00C821A1">
        <w:rPr>
          <w:rStyle w:val="af1"/>
          <w:szCs w:val="32"/>
          <w:rtl/>
        </w:rPr>
        <w:t>)</w:t>
      </w:r>
      <w:r>
        <w:rPr>
          <w:rFonts w:ascii="Traditional Arabic" w:hAnsi="Traditional Arabic" w:hint="cs"/>
          <w:noProof w:val="0"/>
          <w:rtl/>
          <w:lang w:eastAsia="en-US"/>
        </w:rPr>
        <w:t>شيء بارتِباطِ الإيجابِ بالقَبول</w:t>
      </w:r>
      <w:r w:rsidRPr="00C821A1">
        <w:rPr>
          <w:rStyle w:val="af1"/>
          <w:szCs w:val="32"/>
          <w:rtl/>
        </w:rPr>
        <w:t>(</w:t>
      </w:r>
      <w:r w:rsidRPr="00C821A1">
        <w:rPr>
          <w:rStyle w:val="af1"/>
          <w:szCs w:val="32"/>
          <w:rtl/>
        </w:rPr>
        <w:footnoteReference w:id="1127"/>
      </w:r>
      <w:r w:rsidRPr="00C821A1">
        <w:rPr>
          <w:rStyle w:val="af1"/>
          <w:szCs w:val="32"/>
          <w:rtl/>
        </w:rPr>
        <w:t>)</w:t>
      </w:r>
      <w:r>
        <w:rPr>
          <w:rFonts w:ascii="Traditional Arabic" w:hAnsi="Traditional Arabic" w:hint="cs"/>
          <w:noProof w:val="0"/>
          <w:rtl/>
          <w:lang w:eastAsia="en-US"/>
        </w:rPr>
        <w:t>.</w:t>
      </w:r>
    </w:p>
    <w:p w:rsidR="00662882" w:rsidRDefault="004775DA" w:rsidP="00597C20">
      <w:pPr>
        <w:pStyle w:val="53"/>
        <w:rPr>
          <w:b w:val="0"/>
          <w:rtl/>
        </w:rPr>
      </w:pPr>
      <w:r>
        <w:rPr>
          <w:rFonts w:hint="cs"/>
          <w:b w:val="0"/>
          <w:rtl/>
        </w:rPr>
        <w:t>الشروط</w:t>
      </w:r>
      <w:r w:rsidR="00AB0B9E">
        <w:rPr>
          <w:b w:val="0"/>
          <w:rtl/>
        </w:rPr>
        <w:fldChar w:fldCharType="begin"/>
      </w:r>
      <w:r w:rsidR="00D65D30" w:rsidRPr="00C85F0F">
        <w:rPr>
          <w:bCs w:val="0"/>
        </w:rPr>
        <w:instrText>XE</w:instrText>
      </w:r>
      <w:r w:rsidR="00D65D30" w:rsidRPr="00C85F0F">
        <w:rPr>
          <w:bCs w:val="0"/>
          <w:rtl/>
        </w:rPr>
        <w:instrText xml:space="preserve"> "</w:instrText>
      </w:r>
      <w:r w:rsidR="00D65D30" w:rsidRPr="00C85F0F">
        <w:rPr>
          <w:rFonts w:hint="cs"/>
          <w:bCs w:val="0"/>
          <w:rtl/>
        </w:rPr>
        <w:instrText>الشرط</w:instrText>
      </w:r>
      <w:r w:rsidR="00D65D30" w:rsidRPr="00C85F0F">
        <w:rPr>
          <w:bCs w:val="0"/>
          <w:rtl/>
        </w:rPr>
        <w:instrText>" \</w:instrText>
      </w:r>
      <w:r w:rsidR="00D65D30" w:rsidRPr="00C85F0F">
        <w:rPr>
          <w:bCs w:val="0"/>
        </w:rPr>
        <w:instrText>f</w:instrText>
      </w:r>
      <w:r w:rsidR="00D65D30" w:rsidRPr="00D65D30">
        <w:instrText>m</w:instrText>
      </w:r>
      <w:r w:rsidR="00AB0B9E">
        <w:rPr>
          <w:b w:val="0"/>
          <w:rtl/>
        </w:rPr>
        <w:fldChar w:fldCharType="end"/>
      </w:r>
      <w:r>
        <w:rPr>
          <w:rFonts w:hint="cs"/>
          <w:b w:val="0"/>
          <w:rtl/>
        </w:rPr>
        <w:t xml:space="preserve"> لغة:</w:t>
      </w:r>
    </w:p>
    <w:p w:rsidR="004775DA" w:rsidRDefault="004775DA" w:rsidP="00597C20">
      <w:pPr>
        <w:ind w:firstLine="720"/>
        <w:rPr>
          <w:rtl/>
        </w:rPr>
      </w:pPr>
      <w:r>
        <w:rPr>
          <w:rFonts w:hint="cs"/>
          <w:rtl/>
        </w:rPr>
        <w:t>جمع شَرْط،</w:t>
      </w:r>
      <w:r w:rsidR="00154102">
        <w:rPr>
          <w:rFonts w:hint="cs"/>
          <w:rtl/>
        </w:rPr>
        <w:t xml:space="preserve"> و</w:t>
      </w:r>
      <w:r>
        <w:rPr>
          <w:rFonts w:hint="cs"/>
          <w:rtl/>
        </w:rPr>
        <w:t>هو إلزامُ الشيء</w:t>
      </w:r>
      <w:r w:rsidR="00154102">
        <w:rPr>
          <w:rFonts w:hint="cs"/>
          <w:rtl/>
        </w:rPr>
        <w:t xml:space="preserve"> و</w:t>
      </w:r>
      <w:r>
        <w:rPr>
          <w:rFonts w:hint="cs"/>
          <w:rtl/>
        </w:rPr>
        <w:t>التزامُه في البيع</w:t>
      </w:r>
      <w:r w:rsidR="00154102">
        <w:rPr>
          <w:rFonts w:hint="cs"/>
          <w:rtl/>
        </w:rPr>
        <w:t xml:space="preserve"> و</w:t>
      </w:r>
      <w:r>
        <w:rPr>
          <w:rFonts w:hint="cs"/>
          <w:rtl/>
        </w:rPr>
        <w:t>نحوه</w:t>
      </w:r>
      <w:r w:rsidRPr="00C821A1">
        <w:rPr>
          <w:rStyle w:val="af1"/>
          <w:szCs w:val="32"/>
          <w:rtl/>
        </w:rPr>
        <w:t>(</w:t>
      </w:r>
      <w:r w:rsidRPr="00C821A1">
        <w:rPr>
          <w:rStyle w:val="af1"/>
          <w:szCs w:val="32"/>
          <w:rtl/>
        </w:rPr>
        <w:footnoteReference w:id="1128"/>
      </w:r>
      <w:r w:rsidRPr="00C821A1">
        <w:rPr>
          <w:rStyle w:val="af1"/>
          <w:szCs w:val="32"/>
          <w:rtl/>
        </w:rPr>
        <w:t>)</w:t>
      </w:r>
      <w:r>
        <w:rPr>
          <w:rFonts w:hint="cs"/>
          <w:rtl/>
        </w:rPr>
        <w:t>.</w:t>
      </w:r>
    </w:p>
    <w:p w:rsidR="00662882" w:rsidRDefault="004775DA" w:rsidP="00597C20">
      <w:pPr>
        <w:pStyle w:val="53"/>
        <w:rPr>
          <w:rtl/>
        </w:rPr>
      </w:pPr>
      <w:r w:rsidRPr="00532A01">
        <w:rPr>
          <w:rFonts w:hint="cs"/>
          <w:rtl/>
        </w:rPr>
        <w:t>الشرط</w:t>
      </w:r>
      <w:r>
        <w:rPr>
          <w:rFonts w:hint="cs"/>
          <w:rtl/>
        </w:rPr>
        <w:t xml:space="preserve"> اصطلاحا:</w:t>
      </w:r>
    </w:p>
    <w:p w:rsidR="004775DA" w:rsidRDefault="004775DA" w:rsidP="00597C20">
      <w:pPr>
        <w:ind w:firstLine="720"/>
        <w:rPr>
          <w:rtl/>
        </w:rPr>
      </w:pPr>
      <w:r>
        <w:rPr>
          <w:rFonts w:hint="cs"/>
          <w:rtl/>
        </w:rPr>
        <w:t>يعرّف الأصوليون الشرط بقولهم: "ما يلزم من عدمه العدم</w:t>
      </w:r>
      <w:r w:rsidRPr="00C821A1">
        <w:rPr>
          <w:rStyle w:val="af1"/>
          <w:szCs w:val="32"/>
          <w:rtl/>
        </w:rPr>
        <w:t>(</w:t>
      </w:r>
      <w:r w:rsidRPr="00C821A1">
        <w:rPr>
          <w:rStyle w:val="af1"/>
          <w:szCs w:val="32"/>
          <w:rtl/>
        </w:rPr>
        <w:footnoteReference w:id="1129"/>
      </w:r>
      <w:r w:rsidRPr="00C821A1">
        <w:rPr>
          <w:rStyle w:val="af1"/>
          <w:szCs w:val="32"/>
          <w:rtl/>
        </w:rPr>
        <w:t>)</w:t>
      </w:r>
      <w:r>
        <w:rPr>
          <w:rFonts w:hint="cs"/>
          <w:rtl/>
        </w:rPr>
        <w:t>،</w:t>
      </w:r>
      <w:r w:rsidR="00154102">
        <w:rPr>
          <w:rFonts w:hint="cs"/>
          <w:rtl/>
        </w:rPr>
        <w:t xml:space="preserve"> و</w:t>
      </w:r>
      <w:r>
        <w:rPr>
          <w:rFonts w:hint="cs"/>
          <w:rtl/>
        </w:rPr>
        <w:t>لا يلزم من وجوده وجود</w:t>
      </w:r>
      <w:r w:rsidR="00154102">
        <w:rPr>
          <w:rFonts w:hint="cs"/>
          <w:rtl/>
        </w:rPr>
        <w:t xml:space="preserve"> و</w:t>
      </w:r>
      <w:r>
        <w:rPr>
          <w:rFonts w:hint="cs"/>
          <w:rtl/>
        </w:rPr>
        <w:t>لا عدم</w:t>
      </w:r>
      <w:r w:rsidRPr="00C821A1">
        <w:rPr>
          <w:rStyle w:val="af1"/>
          <w:szCs w:val="32"/>
          <w:rtl/>
        </w:rPr>
        <w:t>(</w:t>
      </w:r>
      <w:r w:rsidRPr="00C821A1">
        <w:rPr>
          <w:rStyle w:val="af1"/>
          <w:szCs w:val="32"/>
          <w:rtl/>
        </w:rPr>
        <w:footnoteReference w:id="1130"/>
      </w:r>
      <w:r w:rsidRPr="00C821A1">
        <w:rPr>
          <w:rStyle w:val="af1"/>
          <w:szCs w:val="32"/>
          <w:rtl/>
        </w:rPr>
        <w:t>)</w:t>
      </w:r>
      <w:r>
        <w:rPr>
          <w:rFonts w:hint="cs"/>
          <w:rtl/>
        </w:rPr>
        <w:t xml:space="preserve"> لذاته</w:t>
      </w:r>
      <w:r w:rsidRPr="00C821A1">
        <w:rPr>
          <w:rStyle w:val="af1"/>
          <w:szCs w:val="32"/>
          <w:rtl/>
        </w:rPr>
        <w:t>(</w:t>
      </w:r>
      <w:r w:rsidRPr="00C821A1">
        <w:rPr>
          <w:rStyle w:val="af1"/>
          <w:szCs w:val="32"/>
          <w:rtl/>
        </w:rPr>
        <w:footnoteReference w:id="1131"/>
      </w:r>
      <w:r w:rsidRPr="00C821A1">
        <w:rPr>
          <w:rStyle w:val="af1"/>
          <w:szCs w:val="32"/>
          <w:rtl/>
        </w:rPr>
        <w:t>)</w:t>
      </w:r>
      <w:r>
        <w:rPr>
          <w:rFonts w:hint="cs"/>
          <w:rtl/>
        </w:rPr>
        <w:t>"</w:t>
      </w:r>
      <w:r w:rsidRPr="00C821A1">
        <w:rPr>
          <w:rStyle w:val="af1"/>
          <w:szCs w:val="32"/>
          <w:rtl/>
        </w:rPr>
        <w:t>(</w:t>
      </w:r>
      <w:r w:rsidRPr="00C821A1">
        <w:rPr>
          <w:rStyle w:val="af1"/>
          <w:szCs w:val="32"/>
          <w:rtl/>
        </w:rPr>
        <w:footnoteReference w:id="1132"/>
      </w:r>
      <w:r w:rsidRPr="00C821A1">
        <w:rPr>
          <w:rStyle w:val="af1"/>
          <w:szCs w:val="32"/>
          <w:rtl/>
        </w:rPr>
        <w:t>)</w:t>
      </w:r>
      <w:r>
        <w:rPr>
          <w:rFonts w:hint="cs"/>
          <w:rtl/>
        </w:rPr>
        <w:t>.</w:t>
      </w:r>
    </w:p>
    <w:p w:rsidR="00065E4B" w:rsidRDefault="004775DA" w:rsidP="00597C20">
      <w:pPr>
        <w:ind w:firstLine="720"/>
        <w:rPr>
          <w:rtl/>
        </w:rPr>
      </w:pPr>
      <w:r>
        <w:rPr>
          <w:rFonts w:hint="cs"/>
          <w:rtl/>
        </w:rPr>
        <w:lastRenderedPageBreak/>
        <w:t>والمقصود به عند الفقهاء:</w:t>
      </w:r>
      <w:r w:rsidR="00063018">
        <w:rPr>
          <w:rFonts w:hint="cs"/>
          <w:rtl/>
        </w:rPr>
        <w:t xml:space="preserve"> </w:t>
      </w:r>
      <w:r>
        <w:rPr>
          <w:rFonts w:hint="cs"/>
          <w:rtl/>
        </w:rPr>
        <w:t>"ما يوضَع ليُلتزَم في بيع أو نحوه"</w:t>
      </w:r>
      <w:r w:rsidRPr="00C821A1">
        <w:rPr>
          <w:rStyle w:val="af1"/>
          <w:szCs w:val="32"/>
          <w:rtl/>
        </w:rPr>
        <w:t>(</w:t>
      </w:r>
      <w:r w:rsidRPr="00C821A1">
        <w:rPr>
          <w:rStyle w:val="af1"/>
          <w:szCs w:val="32"/>
          <w:rtl/>
        </w:rPr>
        <w:footnoteReference w:id="1133"/>
      </w:r>
      <w:r w:rsidRPr="00C821A1">
        <w:rPr>
          <w:rStyle w:val="af1"/>
          <w:szCs w:val="32"/>
          <w:rtl/>
        </w:rPr>
        <w:t>)</w:t>
      </w:r>
      <w:r>
        <w:rPr>
          <w:rFonts w:hint="cs"/>
          <w:rtl/>
        </w:rPr>
        <w:t>.</w:t>
      </w:r>
    </w:p>
    <w:p w:rsidR="00F228A9" w:rsidRPr="009E36FA" w:rsidRDefault="00065E4B" w:rsidP="00597C20">
      <w:pPr>
        <w:widowControl/>
        <w:autoSpaceDE w:val="0"/>
        <w:autoSpaceDN w:val="0"/>
        <w:adjustRightInd w:val="0"/>
        <w:ind w:firstLine="720"/>
        <w:jc w:val="left"/>
        <w:rPr>
          <w:rFonts w:ascii="Traditional Arabic" w:hAnsi="Traditional Arabic"/>
          <w:b/>
          <w:bCs/>
          <w:noProof w:val="0"/>
          <w:sz w:val="44"/>
          <w:szCs w:val="44"/>
          <w:rtl/>
          <w:lang w:eastAsia="en-US"/>
        </w:rPr>
      </w:pPr>
      <w:r>
        <w:rPr>
          <w:rFonts w:hint="cs"/>
          <w:rtl/>
        </w:rPr>
        <w:t>و</w:t>
      </w:r>
      <w:r w:rsidR="004775DA">
        <w:rPr>
          <w:rFonts w:hint="cs"/>
          <w:rtl/>
        </w:rPr>
        <w:t xml:space="preserve">عرفه الشيخ ابن عثيمين </w:t>
      </w:r>
      <w:r w:rsidR="006D1282">
        <w:rPr>
          <w:rFonts w:hint="cs"/>
          <w:rtl/>
        </w:rPr>
        <w:t>_</w:t>
      </w:r>
      <w:r w:rsidR="009A0575" w:rsidRPr="005D5694">
        <w:rPr>
          <w:rFonts w:ascii="Traditional Arabic" w:hAnsi="Traditional Arabic" w:cs="CTraditional Arabic" w:hint="cs"/>
          <w:rtl/>
        </w:rPr>
        <w:t>/</w:t>
      </w:r>
      <w:r w:rsidR="006D1282">
        <w:rPr>
          <w:rFonts w:hint="cs"/>
          <w:rtl/>
        </w:rPr>
        <w:t>_</w:t>
      </w:r>
      <w:r w:rsidR="004775DA">
        <w:rPr>
          <w:rFonts w:hint="cs"/>
          <w:rtl/>
        </w:rPr>
        <w:t xml:space="preserve"> بقوله:</w:t>
      </w:r>
      <w:r w:rsidR="00B76414">
        <w:rPr>
          <w:rFonts w:hint="cs"/>
          <w:rtl/>
        </w:rPr>
        <w:t>(</w:t>
      </w:r>
      <w:r w:rsidR="004775DA" w:rsidRPr="009E36FA">
        <w:rPr>
          <w:rFonts w:ascii="Traditional Arabic" w:hAnsi="Traditional Arabic"/>
          <w:noProof w:val="0"/>
          <w:rtl/>
          <w:lang w:eastAsia="en-US"/>
        </w:rPr>
        <w:t>هي إلزام أحد المتعاقدين الآخر ما لا يلزمه بمقتضى العقد</w:t>
      </w:r>
      <w:r w:rsidR="004775DA">
        <w:rPr>
          <w:rFonts w:hint="cs"/>
          <w:rtl/>
        </w:rPr>
        <w:t>)</w:t>
      </w:r>
      <w:r w:rsidR="004775DA" w:rsidRPr="00C821A1">
        <w:rPr>
          <w:rStyle w:val="af1"/>
          <w:szCs w:val="32"/>
          <w:rtl/>
        </w:rPr>
        <w:t>(</w:t>
      </w:r>
      <w:r w:rsidR="004775DA" w:rsidRPr="00C821A1">
        <w:rPr>
          <w:rStyle w:val="af1"/>
          <w:szCs w:val="32"/>
          <w:rtl/>
        </w:rPr>
        <w:footnoteReference w:id="1134"/>
      </w:r>
      <w:r w:rsidR="004775DA" w:rsidRPr="00C821A1">
        <w:rPr>
          <w:rStyle w:val="af1"/>
          <w:szCs w:val="32"/>
          <w:rtl/>
        </w:rPr>
        <w:t>)</w:t>
      </w:r>
      <w:r w:rsidR="004775DA">
        <w:rPr>
          <w:rFonts w:hint="cs"/>
          <w:rtl/>
        </w:rPr>
        <w:t>.</w:t>
      </w:r>
    </w:p>
    <w:p w:rsidR="00662882" w:rsidRDefault="004775DA" w:rsidP="00597C20">
      <w:pPr>
        <w:pStyle w:val="53"/>
        <w:rPr>
          <w:rFonts w:ascii="Traditional Arabic" w:hAnsi="Traditional Arabic"/>
          <w:noProof w:val="0"/>
          <w:sz w:val="32"/>
          <w:szCs w:val="32"/>
          <w:rtl/>
        </w:rPr>
      </w:pPr>
      <w:r>
        <w:rPr>
          <w:rFonts w:hint="cs"/>
          <w:b w:val="0"/>
          <w:rtl/>
        </w:rPr>
        <w:t>الجواز</w:t>
      </w:r>
      <w:r w:rsidR="00AB0B9E">
        <w:rPr>
          <w:b w:val="0"/>
          <w:rtl/>
        </w:rPr>
        <w:fldChar w:fldCharType="begin"/>
      </w:r>
      <w:r w:rsidR="00D65D30" w:rsidRPr="00C85F0F">
        <w:rPr>
          <w:bCs w:val="0"/>
        </w:rPr>
        <w:instrText>XE</w:instrText>
      </w:r>
      <w:r w:rsidR="00D65D30" w:rsidRPr="00C85F0F">
        <w:rPr>
          <w:bCs w:val="0"/>
          <w:rtl/>
        </w:rPr>
        <w:instrText xml:space="preserve"> "</w:instrText>
      </w:r>
      <w:r w:rsidR="00D65D30" w:rsidRPr="00C85F0F">
        <w:rPr>
          <w:rFonts w:hint="cs"/>
          <w:bCs w:val="0"/>
          <w:rtl/>
        </w:rPr>
        <w:instrText>الجواز</w:instrText>
      </w:r>
      <w:r w:rsidR="00D65D30" w:rsidRPr="00C85F0F">
        <w:rPr>
          <w:bCs w:val="0"/>
          <w:rtl/>
        </w:rPr>
        <w:instrText>" \</w:instrText>
      </w:r>
      <w:r w:rsidR="00D65D30" w:rsidRPr="00C85F0F">
        <w:rPr>
          <w:bCs w:val="0"/>
        </w:rPr>
        <w:instrText>f</w:instrText>
      </w:r>
      <w:r w:rsidR="00D65D30" w:rsidRPr="00D65D30">
        <w:instrText>m</w:instrText>
      </w:r>
      <w:r w:rsidR="00AB0B9E">
        <w:rPr>
          <w:b w:val="0"/>
          <w:rtl/>
        </w:rPr>
        <w:fldChar w:fldCharType="end"/>
      </w:r>
      <w:r>
        <w:rPr>
          <w:rFonts w:hint="cs"/>
          <w:b w:val="0"/>
          <w:rtl/>
        </w:rPr>
        <w:t xml:space="preserve"> لغة:</w:t>
      </w:r>
    </w:p>
    <w:p w:rsidR="004775DA" w:rsidRDefault="004775DA" w:rsidP="00597C20">
      <w:pPr>
        <w:ind w:firstLine="720"/>
        <w:rPr>
          <w:rFonts w:ascii="Traditional Arabic" w:hAnsi="Traditional Arabic"/>
          <w:b/>
          <w:bCs/>
          <w:noProof w:val="0"/>
          <w:sz w:val="44"/>
          <w:szCs w:val="44"/>
          <w:rtl/>
          <w:lang w:eastAsia="en-US"/>
        </w:rPr>
      </w:pPr>
      <w:r w:rsidRPr="001C57EF">
        <w:rPr>
          <w:rFonts w:ascii="Traditional Arabic" w:hAnsi="Traditional Arabic" w:hint="cs"/>
          <w:noProof w:val="0"/>
          <w:rtl/>
          <w:lang w:eastAsia="en-US"/>
        </w:rPr>
        <w:t xml:space="preserve">قال </w:t>
      </w:r>
      <w:r w:rsidR="006D1282">
        <w:rPr>
          <w:rFonts w:ascii="Traditional Arabic" w:hAnsi="Traditional Arabic" w:hint="cs"/>
          <w:noProof w:val="0"/>
          <w:rtl/>
          <w:lang w:eastAsia="en-US"/>
        </w:rPr>
        <w:t xml:space="preserve"> </w:t>
      </w:r>
      <w:r w:rsidRPr="001C57EF">
        <w:rPr>
          <w:rFonts w:ascii="Traditional Arabic" w:hAnsi="Traditional Arabic" w:hint="cs"/>
          <w:noProof w:val="0"/>
          <w:rtl/>
          <w:lang w:eastAsia="en-US"/>
        </w:rPr>
        <w:t>ابن فارس</w:t>
      </w:r>
      <w:r w:rsidR="006D1282">
        <w:rPr>
          <w:rFonts w:ascii="Traditional Arabic" w:hAnsi="Traditional Arabic" w:hint="cs"/>
          <w:noProof w:val="0"/>
          <w:rtl/>
          <w:lang w:eastAsia="en-US"/>
        </w:rPr>
        <w:t xml:space="preserve"> رحمه الله</w:t>
      </w:r>
      <w:r w:rsidRPr="001C57EF">
        <w:rPr>
          <w:rFonts w:ascii="Traditional Arabic" w:hAnsi="Traditional Arabic" w:hint="cs"/>
          <w:noProof w:val="0"/>
          <w:rtl/>
          <w:lang w:eastAsia="en-US"/>
        </w:rPr>
        <w:t>:</w:t>
      </w:r>
      <w:r w:rsidR="006D1282">
        <w:rPr>
          <w:rFonts w:ascii="Traditional Arabic" w:hAnsi="Traditional Arabic" w:hint="cs"/>
          <w:noProof w:val="0"/>
          <w:rtl/>
          <w:lang w:eastAsia="en-US"/>
        </w:rPr>
        <w:t xml:space="preserve"> </w:t>
      </w:r>
      <w:r>
        <w:rPr>
          <w:rFonts w:ascii="Traditional Arabic" w:hAnsi="Traditional Arabic" w:hint="cs"/>
          <w:noProof w:val="0"/>
          <w:rtl/>
          <w:lang w:eastAsia="en-US"/>
        </w:rPr>
        <w:t>"</w:t>
      </w:r>
      <w:r>
        <w:rPr>
          <w:rFonts w:ascii="Traditional Arabic" w:hAnsi="Traditional Arabic"/>
          <w:noProof w:val="0"/>
          <w:rtl/>
          <w:lang w:eastAsia="en-US"/>
        </w:rPr>
        <w:t>الجيم والواو والزا</w:t>
      </w:r>
      <w:r>
        <w:rPr>
          <w:rFonts w:ascii="Traditional Arabic" w:hAnsi="Traditional Arabic" w:hint="cs"/>
          <w:noProof w:val="0"/>
          <w:rtl/>
          <w:lang w:eastAsia="en-US"/>
        </w:rPr>
        <w:t>ء</w:t>
      </w:r>
      <w:r w:rsidRPr="001C57EF">
        <w:rPr>
          <w:rFonts w:ascii="Traditional Arabic" w:hAnsi="Traditional Arabic"/>
          <w:noProof w:val="0"/>
          <w:rtl/>
          <w:lang w:eastAsia="en-US"/>
        </w:rPr>
        <w:t xml:space="preserve"> أصلان: أحدهما قطع الشيء، </w:t>
      </w:r>
      <w:r w:rsidRPr="006D1282">
        <w:rPr>
          <w:rFonts w:ascii="Traditional Arabic" w:hAnsi="Traditional Arabic"/>
          <w:noProof w:val="0"/>
          <w:rtl/>
          <w:lang w:eastAsia="en-US"/>
        </w:rPr>
        <w:t xml:space="preserve">والآخَر وَسَط الشيء. فأمَّا الوَسَط فجَوْز </w:t>
      </w:r>
      <w:r w:rsidRPr="006D1282">
        <w:rPr>
          <w:rFonts w:ascii="Traditional Arabic" w:hAnsi="Traditional Arabic" w:hint="cs"/>
          <w:noProof w:val="0"/>
          <w:rtl/>
          <w:lang w:eastAsia="en-US"/>
        </w:rPr>
        <w:t>ُ</w:t>
      </w:r>
      <w:r w:rsidRPr="006D1282">
        <w:rPr>
          <w:rFonts w:ascii="Traditional Arabic" w:hAnsi="Traditional Arabic"/>
          <w:noProof w:val="0"/>
          <w:rtl/>
          <w:lang w:eastAsia="en-US"/>
        </w:rPr>
        <w:t>كلِّ شيءٍ وَسَط</w:t>
      </w:r>
      <w:r w:rsidRPr="006D1282">
        <w:rPr>
          <w:rFonts w:ascii="Traditional Arabic" w:hAnsi="Traditional Arabic" w:hint="cs"/>
          <w:noProof w:val="0"/>
          <w:rtl/>
          <w:lang w:eastAsia="en-US"/>
        </w:rPr>
        <w:t>ُ</w:t>
      </w:r>
      <w:r w:rsidRPr="006D1282">
        <w:rPr>
          <w:rFonts w:ascii="Traditional Arabic" w:hAnsi="Traditional Arabic"/>
          <w:noProof w:val="0"/>
          <w:rtl/>
          <w:lang w:eastAsia="en-US"/>
        </w:rPr>
        <w:t>ه</w:t>
      </w:r>
      <w:r>
        <w:rPr>
          <w:rFonts w:ascii="Traditional Arabic" w:hAnsi="Traditional Arabic" w:hint="cs"/>
          <w:b/>
          <w:bCs/>
          <w:noProof w:val="0"/>
          <w:rtl/>
          <w:lang w:eastAsia="en-US"/>
        </w:rPr>
        <w:t>"</w:t>
      </w:r>
      <w:r w:rsidRPr="00C821A1">
        <w:rPr>
          <w:rStyle w:val="af1"/>
          <w:szCs w:val="32"/>
          <w:rtl/>
        </w:rPr>
        <w:t>(</w:t>
      </w:r>
      <w:r w:rsidRPr="00C821A1">
        <w:rPr>
          <w:rStyle w:val="af1"/>
          <w:szCs w:val="32"/>
          <w:rtl/>
        </w:rPr>
        <w:footnoteReference w:id="1135"/>
      </w:r>
      <w:r w:rsidRPr="00C821A1">
        <w:rPr>
          <w:rStyle w:val="af1"/>
          <w:rFonts w:hint="cs"/>
          <w:szCs w:val="32"/>
          <w:rtl/>
        </w:rPr>
        <w:t>)</w:t>
      </w:r>
      <w:r>
        <w:rPr>
          <w:rFonts w:ascii="Traditional Arabic" w:hAnsi="Traditional Arabic"/>
          <w:b/>
          <w:bCs/>
          <w:noProof w:val="0"/>
          <w:sz w:val="44"/>
          <w:szCs w:val="44"/>
          <w:rtl/>
          <w:lang w:eastAsia="en-US"/>
        </w:rPr>
        <w:t>.</w:t>
      </w:r>
    </w:p>
    <w:p w:rsidR="004775DA" w:rsidRPr="00554133" w:rsidRDefault="006D1282" w:rsidP="00597C20">
      <w:pPr>
        <w:ind w:firstLine="720"/>
        <w:rPr>
          <w:sz w:val="32"/>
          <w:szCs w:val="32"/>
          <w:rtl/>
        </w:rPr>
      </w:pPr>
      <w:r>
        <w:rPr>
          <w:rFonts w:ascii="Traditional Arabic" w:hAnsi="Traditional Arabic" w:hint="cs"/>
          <w:noProof w:val="0"/>
          <w:rtl/>
          <w:lang w:eastAsia="en-US"/>
        </w:rPr>
        <w:t>و</w:t>
      </w:r>
      <w:r w:rsidR="004775DA" w:rsidRPr="001C57EF">
        <w:rPr>
          <w:rFonts w:ascii="Traditional Arabic" w:hAnsi="Traditional Arabic" w:hint="cs"/>
          <w:noProof w:val="0"/>
          <w:rtl/>
          <w:lang w:eastAsia="en-US"/>
        </w:rPr>
        <w:t>يقال</w:t>
      </w:r>
      <w:r w:rsidR="004775DA">
        <w:rPr>
          <w:rFonts w:ascii="Traditional Arabic" w:hAnsi="Traditional Arabic" w:hint="cs"/>
          <w:b/>
          <w:bCs/>
          <w:noProof w:val="0"/>
          <w:sz w:val="44"/>
          <w:szCs w:val="44"/>
          <w:rtl/>
          <w:lang w:eastAsia="en-US"/>
        </w:rPr>
        <w:t>:</w:t>
      </w:r>
      <w:r w:rsidR="004775DA">
        <w:rPr>
          <w:rFonts w:ascii="Traditional Arabic" w:hAnsi="Traditional Arabic"/>
          <w:noProof w:val="0"/>
          <w:rtl/>
          <w:lang w:eastAsia="en-US"/>
        </w:rPr>
        <w:t xml:space="preserve"> أَجازَ الشيءَ إجْوازاً</w:t>
      </w:r>
      <w:r>
        <w:rPr>
          <w:rFonts w:ascii="Traditional Arabic" w:hAnsi="Traditional Arabic" w:hint="cs"/>
          <w:noProof w:val="0"/>
          <w:rtl/>
          <w:lang w:eastAsia="en-US"/>
        </w:rPr>
        <w:t xml:space="preserve"> </w:t>
      </w:r>
      <w:r w:rsidR="004775DA" w:rsidRPr="001C57EF">
        <w:rPr>
          <w:rFonts w:ascii="Traditional Arabic" w:hAnsi="Traditional Arabic"/>
          <w:noProof w:val="0"/>
          <w:rtl/>
          <w:lang w:eastAsia="en-US"/>
        </w:rPr>
        <w:t xml:space="preserve">كأنّه </w:t>
      </w:r>
      <w:r w:rsidR="004775DA" w:rsidRPr="006D1282">
        <w:rPr>
          <w:rFonts w:ascii="Traditional Arabic" w:hAnsi="Traditional Arabic"/>
          <w:noProof w:val="0"/>
          <w:rtl/>
          <w:lang w:eastAsia="en-US"/>
        </w:rPr>
        <w:t>لَزِمَ جَوْزَ الطريق وذلك عبارةٌ عما يَسُوغ</w:t>
      </w:r>
      <w:r w:rsidR="00B76414">
        <w:rPr>
          <w:rFonts w:ascii="Traditional Arabic" w:hAnsi="Traditional Arabic"/>
          <w:noProof w:val="0"/>
          <w:rtl/>
          <w:lang w:eastAsia="en-US"/>
        </w:rPr>
        <w:t>،</w:t>
      </w:r>
      <w:r>
        <w:rPr>
          <w:rFonts w:ascii="Traditional Arabic" w:hAnsi="Traditional Arabic" w:hint="cs"/>
          <w:noProof w:val="0"/>
          <w:rtl/>
          <w:lang w:eastAsia="en-US"/>
        </w:rPr>
        <w:t xml:space="preserve"> </w:t>
      </w:r>
      <w:r w:rsidR="004775DA" w:rsidRPr="001C57EF">
        <w:rPr>
          <w:rFonts w:ascii="Traditional Arabic" w:hAnsi="Traditional Arabic"/>
          <w:noProof w:val="0"/>
          <w:rtl/>
          <w:lang w:eastAsia="en-US"/>
        </w:rPr>
        <w:t>ويقال : هذا ما لا يُجَوِّزُه العقلُ</w:t>
      </w:r>
      <w:r w:rsidR="004775DA" w:rsidRPr="00C821A1">
        <w:rPr>
          <w:rStyle w:val="af1"/>
          <w:szCs w:val="32"/>
          <w:rtl/>
        </w:rPr>
        <w:t>(</w:t>
      </w:r>
      <w:r w:rsidR="004775DA" w:rsidRPr="00C821A1">
        <w:rPr>
          <w:rStyle w:val="af1"/>
          <w:szCs w:val="32"/>
          <w:rtl/>
        </w:rPr>
        <w:footnoteReference w:id="1136"/>
      </w:r>
      <w:r w:rsidR="004775DA" w:rsidRPr="00C821A1">
        <w:rPr>
          <w:rStyle w:val="af1"/>
          <w:szCs w:val="32"/>
          <w:rtl/>
        </w:rPr>
        <w:t>)</w:t>
      </w:r>
      <w:r w:rsidR="004775DA">
        <w:rPr>
          <w:rFonts w:ascii="Traditional Arabic" w:hAnsi="Traditional Arabic" w:hint="cs"/>
          <w:noProof w:val="0"/>
          <w:rtl/>
          <w:lang w:eastAsia="en-US"/>
        </w:rPr>
        <w:t>،</w:t>
      </w:r>
      <w:r w:rsidR="00154102">
        <w:rPr>
          <w:rFonts w:ascii="Traditional Arabic" w:hAnsi="Traditional Arabic" w:hint="cs"/>
          <w:noProof w:val="0"/>
          <w:rtl/>
          <w:lang w:eastAsia="en-US"/>
        </w:rPr>
        <w:t xml:space="preserve"> و</w:t>
      </w:r>
      <w:r w:rsidR="004775DA" w:rsidRPr="001C57EF">
        <w:rPr>
          <w:rFonts w:ascii="Traditional Arabic" w:hAnsi="Traditional Arabic"/>
          <w:noProof w:val="0"/>
          <w:rtl/>
          <w:lang w:eastAsia="en-US"/>
        </w:rPr>
        <w:t>جَوَّزَ له ما ص</w:t>
      </w:r>
      <w:r w:rsidR="004775DA">
        <w:rPr>
          <w:rFonts w:ascii="Traditional Arabic" w:hAnsi="Traditional Arabic" w:hint="cs"/>
          <w:noProof w:val="0"/>
          <w:rtl/>
          <w:lang w:eastAsia="en-US"/>
        </w:rPr>
        <w:t>َ</w:t>
      </w:r>
      <w:r w:rsidR="004775DA" w:rsidRPr="001C57EF">
        <w:rPr>
          <w:rFonts w:ascii="Traditional Arabic" w:hAnsi="Traditional Arabic"/>
          <w:noProof w:val="0"/>
          <w:rtl/>
          <w:lang w:eastAsia="en-US"/>
        </w:rPr>
        <w:t>ن</w:t>
      </w:r>
      <w:r w:rsidR="004775DA">
        <w:rPr>
          <w:rFonts w:ascii="Traditional Arabic" w:hAnsi="Traditional Arabic" w:hint="cs"/>
          <w:noProof w:val="0"/>
          <w:rtl/>
          <w:lang w:eastAsia="en-US"/>
        </w:rPr>
        <w:t>َ</w:t>
      </w:r>
      <w:r w:rsidR="004775DA" w:rsidRPr="001C57EF">
        <w:rPr>
          <w:rFonts w:ascii="Traditional Arabic" w:hAnsi="Traditional Arabic"/>
          <w:noProof w:val="0"/>
          <w:rtl/>
          <w:lang w:eastAsia="en-US"/>
        </w:rPr>
        <w:t>ع</w:t>
      </w:r>
      <w:r w:rsidR="004775DA">
        <w:rPr>
          <w:rFonts w:ascii="Traditional Arabic" w:hAnsi="Traditional Arabic" w:hint="cs"/>
          <w:noProof w:val="0"/>
          <w:rtl/>
          <w:lang w:eastAsia="en-US"/>
        </w:rPr>
        <w:t>َ</w:t>
      </w:r>
      <w:r w:rsidR="004775DA" w:rsidRPr="001C57EF">
        <w:rPr>
          <w:rFonts w:ascii="Traditional Arabic" w:hAnsi="Traditional Arabic"/>
          <w:noProof w:val="0"/>
          <w:rtl/>
          <w:lang w:eastAsia="en-US"/>
        </w:rPr>
        <w:t>ه وأَجازَ له</w:t>
      </w:r>
      <w:r w:rsidR="004775DA" w:rsidRPr="001C57EF">
        <w:rPr>
          <w:rFonts w:ascii="Traditional Arabic" w:hAnsi="Traditional Arabic" w:hint="cs"/>
          <w:noProof w:val="0"/>
          <w:rtl/>
          <w:lang w:eastAsia="en-US"/>
        </w:rPr>
        <w:t>،</w:t>
      </w:r>
      <w:r w:rsidR="004775DA" w:rsidRPr="001C57EF">
        <w:rPr>
          <w:rFonts w:ascii="Traditional Arabic" w:hAnsi="Traditional Arabic"/>
          <w:noProof w:val="0"/>
          <w:rtl/>
          <w:lang w:eastAsia="en-US"/>
        </w:rPr>
        <w:t xml:space="preserve"> أَي</w:t>
      </w:r>
      <w:r w:rsidR="004775DA" w:rsidRPr="001C57EF">
        <w:rPr>
          <w:rFonts w:ascii="Traditional Arabic" w:hAnsi="Traditional Arabic" w:hint="cs"/>
          <w:noProof w:val="0"/>
          <w:rtl/>
          <w:lang w:eastAsia="en-US"/>
        </w:rPr>
        <w:t>:</w:t>
      </w:r>
      <w:r w:rsidR="004775DA" w:rsidRPr="001C57EF">
        <w:rPr>
          <w:rFonts w:ascii="Traditional Arabic" w:hAnsi="Traditional Arabic"/>
          <w:noProof w:val="0"/>
          <w:rtl/>
          <w:lang w:eastAsia="en-US"/>
        </w:rPr>
        <w:t xml:space="preserve"> سَوَّغ له ذلك</w:t>
      </w:r>
      <w:r w:rsidR="004775DA" w:rsidRPr="00C821A1">
        <w:rPr>
          <w:rStyle w:val="af1"/>
          <w:szCs w:val="32"/>
          <w:rtl/>
        </w:rPr>
        <w:t>(</w:t>
      </w:r>
      <w:r w:rsidR="004775DA" w:rsidRPr="00C821A1">
        <w:rPr>
          <w:rStyle w:val="af1"/>
          <w:szCs w:val="32"/>
          <w:rtl/>
        </w:rPr>
        <w:footnoteReference w:id="1137"/>
      </w:r>
      <w:r w:rsidR="004775DA" w:rsidRPr="00C821A1">
        <w:rPr>
          <w:rStyle w:val="af1"/>
          <w:szCs w:val="32"/>
          <w:rtl/>
        </w:rPr>
        <w:t>)</w:t>
      </w:r>
      <w:r w:rsidR="004775DA" w:rsidRPr="001C57EF">
        <w:rPr>
          <w:rFonts w:ascii="Traditional Arabic" w:hAnsi="Traditional Arabic"/>
          <w:noProof w:val="0"/>
          <w:rtl/>
          <w:lang w:eastAsia="en-US"/>
        </w:rPr>
        <w:t>.</w:t>
      </w:r>
    </w:p>
    <w:p w:rsidR="00662882" w:rsidRDefault="004775DA" w:rsidP="00597C20">
      <w:pPr>
        <w:pStyle w:val="53"/>
        <w:rPr>
          <w:rtl/>
        </w:rPr>
      </w:pPr>
      <w:r>
        <w:rPr>
          <w:rFonts w:hint="cs"/>
          <w:rtl/>
        </w:rPr>
        <w:t>الجواز اصطلاحا:</w:t>
      </w:r>
    </w:p>
    <w:p w:rsidR="004775DA" w:rsidRDefault="004775DA" w:rsidP="00597C20">
      <w:pPr>
        <w:ind w:firstLine="720"/>
        <w:rPr>
          <w:rtl/>
        </w:rPr>
      </w:pPr>
      <w:r w:rsidRPr="00DE63D0">
        <w:rPr>
          <w:rFonts w:hint="cs"/>
          <w:rtl/>
        </w:rPr>
        <w:t>المقصود به الإباحة</w:t>
      </w:r>
      <w:r w:rsidRPr="00C821A1">
        <w:rPr>
          <w:rStyle w:val="af1"/>
          <w:szCs w:val="32"/>
          <w:rtl/>
        </w:rPr>
        <w:t>(</w:t>
      </w:r>
      <w:r w:rsidRPr="00C821A1">
        <w:rPr>
          <w:rStyle w:val="af1"/>
          <w:szCs w:val="32"/>
          <w:rtl/>
        </w:rPr>
        <w:footnoteReference w:id="1138"/>
      </w:r>
      <w:r w:rsidRPr="00C821A1">
        <w:rPr>
          <w:rStyle w:val="af1"/>
          <w:szCs w:val="32"/>
          <w:rtl/>
        </w:rPr>
        <w:t>)</w:t>
      </w:r>
      <w:r>
        <w:rPr>
          <w:rFonts w:hint="cs"/>
          <w:b/>
          <w:bCs/>
          <w:rtl/>
        </w:rPr>
        <w:t>.</w:t>
      </w:r>
      <w:r>
        <w:rPr>
          <w:rFonts w:hint="cs"/>
          <w:rtl/>
        </w:rPr>
        <w:t xml:space="preserve">و يعرف الأصوليون الإباحة بأنها: ورود خطاب الشرع بالتخيير بين </w:t>
      </w:r>
      <w:r>
        <w:rPr>
          <w:rFonts w:hint="cs"/>
          <w:rtl/>
        </w:rPr>
        <w:lastRenderedPageBreak/>
        <w:t>الفعل</w:t>
      </w:r>
      <w:r w:rsidR="00154102">
        <w:rPr>
          <w:rFonts w:hint="cs"/>
          <w:rtl/>
        </w:rPr>
        <w:t xml:space="preserve"> و</w:t>
      </w:r>
      <w:r>
        <w:rPr>
          <w:rFonts w:hint="cs"/>
          <w:rtl/>
        </w:rPr>
        <w:t>الترك</w:t>
      </w:r>
      <w:r w:rsidRPr="00C821A1">
        <w:rPr>
          <w:rStyle w:val="af1"/>
          <w:szCs w:val="32"/>
          <w:rtl/>
        </w:rPr>
        <w:t>(</w:t>
      </w:r>
      <w:r w:rsidRPr="00C821A1">
        <w:rPr>
          <w:rStyle w:val="af1"/>
          <w:szCs w:val="32"/>
          <w:rtl/>
        </w:rPr>
        <w:footnoteReference w:id="1139"/>
      </w:r>
      <w:r w:rsidRPr="00C821A1">
        <w:rPr>
          <w:rStyle w:val="af1"/>
          <w:szCs w:val="32"/>
          <w:rtl/>
        </w:rPr>
        <w:t>)</w:t>
      </w:r>
      <w:r>
        <w:rPr>
          <w:rFonts w:hint="cs"/>
          <w:rtl/>
        </w:rPr>
        <w:t>.</w:t>
      </w:r>
    </w:p>
    <w:p w:rsidR="00065E4B" w:rsidRPr="00DE63D0" w:rsidRDefault="004775DA" w:rsidP="00597C20">
      <w:pPr>
        <w:ind w:firstLine="720"/>
        <w:rPr>
          <w:rtl/>
        </w:rPr>
      </w:pPr>
      <w:r>
        <w:rPr>
          <w:rFonts w:hint="cs"/>
          <w:rtl/>
        </w:rPr>
        <w:t>والمقصود بها في القاعدة: الإذن</w:t>
      </w:r>
      <w:r w:rsidR="00154102">
        <w:rPr>
          <w:rFonts w:hint="cs"/>
          <w:rtl/>
        </w:rPr>
        <w:t xml:space="preserve"> و</w:t>
      </w:r>
      <w:r>
        <w:rPr>
          <w:rFonts w:hint="cs"/>
          <w:rtl/>
        </w:rPr>
        <w:t>نفي الحرج</w:t>
      </w:r>
      <w:r w:rsidRPr="00C821A1">
        <w:rPr>
          <w:rStyle w:val="af1"/>
          <w:szCs w:val="32"/>
          <w:rtl/>
        </w:rPr>
        <w:t>(</w:t>
      </w:r>
      <w:r w:rsidRPr="00C821A1">
        <w:rPr>
          <w:rStyle w:val="af1"/>
          <w:szCs w:val="32"/>
          <w:rtl/>
        </w:rPr>
        <w:footnoteReference w:id="1140"/>
      </w:r>
      <w:r w:rsidRPr="00C821A1">
        <w:rPr>
          <w:rStyle w:val="af1"/>
          <w:szCs w:val="32"/>
          <w:rtl/>
        </w:rPr>
        <w:t>)</w:t>
      </w:r>
      <w:r>
        <w:rPr>
          <w:rFonts w:hint="cs"/>
          <w:rtl/>
        </w:rPr>
        <w:t>.</w:t>
      </w:r>
    </w:p>
    <w:p w:rsidR="00662882" w:rsidRDefault="00065E4B" w:rsidP="00597C20">
      <w:pPr>
        <w:pStyle w:val="53"/>
        <w:rPr>
          <w:b w:val="0"/>
          <w:rtl/>
        </w:rPr>
      </w:pPr>
      <w:r>
        <w:rPr>
          <w:rFonts w:hint="cs"/>
          <w:b w:val="0"/>
          <w:rtl/>
        </w:rPr>
        <w:t>ا</w:t>
      </w:r>
      <w:r w:rsidR="004775DA">
        <w:rPr>
          <w:rFonts w:hint="cs"/>
          <w:b w:val="0"/>
          <w:rtl/>
        </w:rPr>
        <w:t>لصحة</w:t>
      </w:r>
      <w:r w:rsidR="00AB0B9E">
        <w:rPr>
          <w:b w:val="0"/>
          <w:rtl/>
        </w:rPr>
        <w:fldChar w:fldCharType="begin"/>
      </w:r>
      <w:r w:rsidR="00D65D30" w:rsidRPr="00C85F0F">
        <w:rPr>
          <w:bCs w:val="0"/>
        </w:rPr>
        <w:instrText>XE</w:instrText>
      </w:r>
      <w:r w:rsidR="00D65D30" w:rsidRPr="00C85F0F">
        <w:rPr>
          <w:bCs w:val="0"/>
          <w:rtl/>
        </w:rPr>
        <w:instrText xml:space="preserve"> "</w:instrText>
      </w:r>
      <w:r w:rsidR="00D65D30" w:rsidRPr="00C85F0F">
        <w:rPr>
          <w:rFonts w:hint="cs"/>
          <w:bCs w:val="0"/>
          <w:rtl/>
        </w:rPr>
        <w:instrText>الصحة</w:instrText>
      </w:r>
      <w:r w:rsidR="00D65D30" w:rsidRPr="00C85F0F">
        <w:rPr>
          <w:bCs w:val="0"/>
          <w:rtl/>
        </w:rPr>
        <w:instrText>" \</w:instrText>
      </w:r>
      <w:r w:rsidR="00D65D30" w:rsidRPr="00C85F0F">
        <w:rPr>
          <w:bCs w:val="0"/>
        </w:rPr>
        <w:instrText>f</w:instrText>
      </w:r>
      <w:r w:rsidR="00D65D30" w:rsidRPr="00D65D30">
        <w:instrText>m</w:instrText>
      </w:r>
      <w:r w:rsidR="00AB0B9E">
        <w:rPr>
          <w:b w:val="0"/>
          <w:rtl/>
        </w:rPr>
        <w:fldChar w:fldCharType="end"/>
      </w:r>
      <w:r w:rsidR="004775DA">
        <w:rPr>
          <w:rFonts w:hint="cs"/>
          <w:b w:val="0"/>
          <w:rtl/>
        </w:rPr>
        <w:t xml:space="preserve"> لغة:</w:t>
      </w:r>
    </w:p>
    <w:p w:rsidR="00F228A9" w:rsidRDefault="004775DA"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 xml:space="preserve">يقول </w:t>
      </w:r>
      <w:r w:rsidR="006D1282">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ابن فارس </w:t>
      </w:r>
      <w:r w:rsidR="006D1282">
        <w:rPr>
          <w:rFonts w:ascii="Traditional Arabic" w:hAnsi="Traditional Arabic" w:hint="cs"/>
          <w:noProof w:val="0"/>
          <w:rtl/>
          <w:lang w:eastAsia="en-US"/>
        </w:rPr>
        <w:t>_</w:t>
      </w:r>
      <w:r w:rsidRPr="005D5694">
        <w:rPr>
          <w:rFonts w:ascii="Traditional Arabic" w:hAnsi="Traditional Arabic" w:cs="CTraditional Arabic" w:hint="cs"/>
          <w:noProof w:val="0"/>
          <w:color w:val="auto"/>
          <w:rtl/>
          <w:lang w:eastAsia="en-US"/>
        </w:rPr>
        <w:t>/</w:t>
      </w:r>
      <w:r w:rsidR="006D1282">
        <w:rPr>
          <w:rFonts w:ascii="Traditional Arabic" w:hAnsi="Traditional Arabic" w:hint="cs"/>
          <w:noProof w:val="0"/>
          <w:rtl/>
          <w:lang w:eastAsia="en-US"/>
        </w:rPr>
        <w:t>_</w:t>
      </w:r>
      <w:r>
        <w:rPr>
          <w:rFonts w:ascii="Traditional Arabic" w:hAnsi="Traditional Arabic" w:hint="cs"/>
          <w:noProof w:val="0"/>
          <w:rtl/>
          <w:lang w:eastAsia="en-US"/>
        </w:rPr>
        <w:t xml:space="preserve">: </w:t>
      </w:r>
      <w:r w:rsidR="00A86821">
        <w:rPr>
          <w:rFonts w:ascii="Traditional Arabic" w:hAnsi="Traditional Arabic" w:hint="cs"/>
          <w:noProof w:val="0"/>
          <w:rtl/>
          <w:lang w:eastAsia="en-US"/>
        </w:rPr>
        <w:t>(</w:t>
      </w:r>
      <w:r>
        <w:rPr>
          <w:rFonts w:ascii="Traditional Arabic" w:hAnsi="Traditional Arabic" w:hint="cs"/>
          <w:noProof w:val="0"/>
          <w:rtl/>
          <w:lang w:eastAsia="en-US"/>
        </w:rPr>
        <w:t>الصاد</w:t>
      </w:r>
      <w:r w:rsidR="00154102">
        <w:rPr>
          <w:rFonts w:ascii="Traditional Arabic" w:hAnsi="Traditional Arabic" w:hint="cs"/>
          <w:noProof w:val="0"/>
          <w:rtl/>
          <w:lang w:eastAsia="en-US"/>
        </w:rPr>
        <w:t xml:space="preserve"> و</w:t>
      </w:r>
      <w:r>
        <w:rPr>
          <w:rFonts w:ascii="Traditional Arabic" w:hAnsi="Traditional Arabic" w:hint="cs"/>
          <w:noProof w:val="0"/>
          <w:rtl/>
          <w:lang w:eastAsia="en-US"/>
        </w:rPr>
        <w:t>الحاء أصل يدل على البراءة من المرض</w:t>
      </w:r>
    </w:p>
    <w:p w:rsidR="00065E4B" w:rsidRPr="006226D4" w:rsidRDefault="004775DA"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والعيب</w:t>
      </w:r>
      <w:r w:rsidR="00D24977">
        <w:rPr>
          <w:rFonts w:ascii="Traditional Arabic" w:hAnsi="Traditional Arabic" w:hint="cs"/>
          <w:noProof w:val="0"/>
          <w:rtl/>
          <w:lang w:eastAsia="en-US"/>
        </w:rPr>
        <w:t xml:space="preserve"> </w:t>
      </w:r>
      <w:r w:rsidR="00154102">
        <w:rPr>
          <w:rFonts w:ascii="Traditional Arabic" w:hAnsi="Traditional Arabic" w:hint="cs"/>
          <w:noProof w:val="0"/>
          <w:rtl/>
          <w:lang w:eastAsia="en-US"/>
        </w:rPr>
        <w:t>و</w:t>
      </w:r>
      <w:r>
        <w:rPr>
          <w:rFonts w:ascii="Traditional Arabic" w:hAnsi="Traditional Arabic" w:hint="cs"/>
          <w:noProof w:val="0"/>
          <w:rtl/>
          <w:lang w:eastAsia="en-US"/>
        </w:rPr>
        <w:t>الاستواء. من ذلك الصحة: ذهاب السُّقْم</w:t>
      </w:r>
      <w:r w:rsidR="00154102">
        <w:rPr>
          <w:rFonts w:ascii="Traditional Arabic" w:hAnsi="Traditional Arabic" w:hint="cs"/>
          <w:noProof w:val="0"/>
          <w:rtl/>
          <w:lang w:eastAsia="en-US"/>
        </w:rPr>
        <w:t xml:space="preserve"> و</w:t>
      </w:r>
      <w:r>
        <w:rPr>
          <w:rFonts w:ascii="Traditional Arabic" w:hAnsi="Traditional Arabic" w:hint="cs"/>
          <w:noProof w:val="0"/>
          <w:rtl/>
          <w:lang w:eastAsia="en-US"/>
        </w:rPr>
        <w:t>البراءة من كل عيب</w:t>
      </w:r>
      <w:r w:rsidR="00A86821">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141"/>
      </w:r>
      <w:r w:rsidRPr="00C821A1">
        <w:rPr>
          <w:rStyle w:val="af1"/>
          <w:szCs w:val="32"/>
          <w:rtl/>
        </w:rPr>
        <w:t>)</w:t>
      </w:r>
      <w:r>
        <w:rPr>
          <w:rFonts w:ascii="Traditional Arabic" w:hAnsi="Traditional Arabic" w:hint="cs"/>
          <w:noProof w:val="0"/>
          <w:rtl/>
          <w:lang w:eastAsia="en-US"/>
        </w:rPr>
        <w:t>.</w:t>
      </w:r>
    </w:p>
    <w:p w:rsidR="00662882" w:rsidRDefault="00065E4B" w:rsidP="00597C20">
      <w:pPr>
        <w:pStyle w:val="53"/>
        <w:rPr>
          <w:rtl/>
        </w:rPr>
      </w:pPr>
      <w:r>
        <w:rPr>
          <w:rFonts w:hint="cs"/>
          <w:rtl/>
        </w:rPr>
        <w:t>ا</w:t>
      </w:r>
      <w:r w:rsidR="004775DA">
        <w:rPr>
          <w:rFonts w:hint="cs"/>
          <w:rtl/>
        </w:rPr>
        <w:t>لصحة اصطلاحا:</w:t>
      </w:r>
    </w:p>
    <w:p w:rsidR="00065E4B" w:rsidRDefault="004775DA"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 xml:space="preserve">الصحة في المعاملات معناها ترتُّب أحكام المعاملة المقصودة بها عليها </w:t>
      </w:r>
      <w:r w:rsidRPr="00C821A1">
        <w:rPr>
          <w:rStyle w:val="af1"/>
          <w:szCs w:val="32"/>
          <w:rtl/>
        </w:rPr>
        <w:t>(</w:t>
      </w:r>
      <w:r w:rsidRPr="00C821A1">
        <w:rPr>
          <w:rStyle w:val="af1"/>
          <w:szCs w:val="32"/>
          <w:rtl/>
        </w:rPr>
        <w:footnoteReference w:id="1142"/>
      </w:r>
      <w:r w:rsidRPr="00C821A1">
        <w:rPr>
          <w:rStyle w:val="af1"/>
          <w:szCs w:val="32"/>
          <w:rtl/>
        </w:rPr>
        <w:t>)</w:t>
      </w:r>
      <w:r>
        <w:rPr>
          <w:rFonts w:ascii="Traditional Arabic" w:hAnsi="Traditional Arabic" w:hint="cs"/>
          <w:noProof w:val="0"/>
          <w:rtl/>
          <w:lang w:eastAsia="en-US"/>
        </w:rPr>
        <w:t>.</w:t>
      </w:r>
    </w:p>
    <w:p w:rsidR="00065E4B" w:rsidRPr="00103AEE" w:rsidRDefault="00065E4B" w:rsidP="00597C20">
      <w:pPr>
        <w:pStyle w:val="53"/>
        <w:rPr>
          <w:rtl/>
        </w:rPr>
      </w:pPr>
      <w:r>
        <w:rPr>
          <w:rFonts w:hint="cs"/>
          <w:rtl/>
        </w:rPr>
        <w:t>م</w:t>
      </w:r>
      <w:r w:rsidR="004775DA">
        <w:rPr>
          <w:rFonts w:hint="cs"/>
          <w:rtl/>
        </w:rPr>
        <w:t>عنى القاعدة إجمالا:</w:t>
      </w:r>
    </w:p>
    <w:p w:rsidR="004775DA"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ت</w:t>
      </w:r>
      <w:r w:rsidR="004775DA">
        <w:rPr>
          <w:rFonts w:ascii="Traditional Arabic" w:hAnsi="Traditional Arabic" w:hint="cs"/>
          <w:noProof w:val="0"/>
          <w:rtl/>
          <w:lang w:eastAsia="en-US"/>
        </w:rPr>
        <w:t>شتمل القاعدة على بيان الأصل في العقود</w:t>
      </w:r>
      <w:r w:rsidR="00154102">
        <w:rPr>
          <w:rFonts w:ascii="Traditional Arabic" w:hAnsi="Traditional Arabic" w:hint="cs"/>
          <w:noProof w:val="0"/>
          <w:rtl/>
          <w:lang w:eastAsia="en-US"/>
        </w:rPr>
        <w:t xml:space="preserve"> و</w:t>
      </w:r>
      <w:r w:rsidR="004775DA">
        <w:rPr>
          <w:rFonts w:ascii="Traditional Arabic" w:hAnsi="Traditional Arabic" w:hint="cs"/>
          <w:noProof w:val="0"/>
          <w:rtl/>
          <w:lang w:eastAsia="en-US"/>
        </w:rPr>
        <w:t>الشروط المشترَطة فيها،</w:t>
      </w:r>
      <w:r w:rsidR="00154102">
        <w:rPr>
          <w:rFonts w:ascii="Traditional Arabic" w:hAnsi="Traditional Arabic" w:hint="cs"/>
          <w:noProof w:val="0"/>
          <w:rtl/>
          <w:lang w:eastAsia="en-US"/>
        </w:rPr>
        <w:t xml:space="preserve"> و</w:t>
      </w:r>
      <w:r w:rsidR="004775DA">
        <w:rPr>
          <w:rFonts w:ascii="Traditional Arabic" w:hAnsi="Traditional Arabic" w:hint="cs"/>
          <w:noProof w:val="0"/>
          <w:rtl/>
          <w:lang w:eastAsia="en-US"/>
        </w:rPr>
        <w:t>أن المستصحَب في كل منهما الإذن</w:t>
      </w:r>
      <w:r w:rsidR="00154102">
        <w:rPr>
          <w:rFonts w:ascii="Traditional Arabic" w:hAnsi="Traditional Arabic" w:hint="cs"/>
          <w:noProof w:val="0"/>
          <w:rtl/>
          <w:lang w:eastAsia="en-US"/>
        </w:rPr>
        <w:t xml:space="preserve"> و</w:t>
      </w:r>
      <w:r w:rsidR="004775DA">
        <w:rPr>
          <w:rFonts w:ascii="Traditional Arabic" w:hAnsi="Traditional Arabic" w:hint="cs"/>
          <w:noProof w:val="0"/>
          <w:rtl/>
          <w:lang w:eastAsia="en-US"/>
        </w:rPr>
        <w:t>نفي الحرج حتى يرِد دليلُ التحريم،</w:t>
      </w:r>
      <w:r w:rsidR="00154102">
        <w:rPr>
          <w:rFonts w:ascii="Traditional Arabic" w:hAnsi="Traditional Arabic" w:hint="cs"/>
          <w:noProof w:val="0"/>
          <w:rtl/>
          <w:lang w:eastAsia="en-US"/>
        </w:rPr>
        <w:t xml:space="preserve"> و</w:t>
      </w:r>
      <w:r w:rsidR="004775DA">
        <w:rPr>
          <w:rFonts w:ascii="Traditional Arabic" w:hAnsi="Traditional Arabic" w:hint="cs"/>
          <w:noProof w:val="0"/>
          <w:rtl/>
          <w:lang w:eastAsia="en-US"/>
        </w:rPr>
        <w:t>أنها صحيحة يترتب عليها أثرُها حتى يرِد دليل الفساد</w:t>
      </w:r>
      <w:r w:rsidR="004775DA" w:rsidRPr="00C821A1">
        <w:rPr>
          <w:rStyle w:val="af1"/>
          <w:szCs w:val="32"/>
          <w:rtl/>
        </w:rPr>
        <w:t>(</w:t>
      </w:r>
      <w:r w:rsidR="004775DA" w:rsidRPr="00C821A1">
        <w:rPr>
          <w:rStyle w:val="af1"/>
          <w:szCs w:val="32"/>
          <w:rtl/>
        </w:rPr>
        <w:footnoteReference w:id="1143"/>
      </w:r>
      <w:r w:rsidR="004775DA" w:rsidRPr="00C821A1">
        <w:rPr>
          <w:rStyle w:val="af1"/>
          <w:szCs w:val="32"/>
          <w:rtl/>
        </w:rPr>
        <w:t>)</w:t>
      </w:r>
      <w:r w:rsidR="004775DA">
        <w:rPr>
          <w:rFonts w:ascii="Traditional Arabic" w:hAnsi="Traditional Arabic" w:hint="cs"/>
          <w:noProof w:val="0"/>
          <w:rtl/>
          <w:lang w:eastAsia="en-US"/>
        </w:rPr>
        <w:t>.</w:t>
      </w:r>
    </w:p>
    <w:p w:rsidR="004775DA" w:rsidRPr="004775DA" w:rsidRDefault="006D1282" w:rsidP="00A8347C">
      <w:pPr>
        <w:pStyle w:val="aff3"/>
        <w:rPr>
          <w:rtl/>
        </w:rPr>
      </w:pPr>
      <w:bookmarkStart w:id="224" w:name="_Toc334046452"/>
      <w:r>
        <w:rPr>
          <w:rFonts w:hint="cs"/>
          <w:rtl/>
        </w:rPr>
        <w:lastRenderedPageBreak/>
        <w:t xml:space="preserve">                                          </w:t>
      </w:r>
      <w:r w:rsidR="004775DA">
        <w:rPr>
          <w:rFonts w:hint="cs"/>
          <w:rtl/>
        </w:rPr>
        <w:t>المطلب الثالث</w:t>
      </w:r>
      <w:r w:rsidR="004775DA">
        <w:rPr>
          <w:rFonts w:hint="eastAsia"/>
          <w:rtl/>
        </w:rPr>
        <w:t> :</w:t>
      </w:r>
      <w:r w:rsidR="004775DA">
        <w:rPr>
          <w:rFonts w:hint="cs"/>
          <w:rtl/>
        </w:rPr>
        <w:br/>
      </w:r>
      <w:r>
        <w:rPr>
          <w:rFonts w:hint="cs"/>
          <w:rtl/>
        </w:rPr>
        <w:t xml:space="preserve">                                           </w:t>
      </w:r>
      <w:r w:rsidR="00D24526">
        <w:rPr>
          <w:rFonts w:hint="cs"/>
          <w:rtl/>
        </w:rPr>
        <w:t xml:space="preserve"> </w:t>
      </w:r>
      <w:r w:rsidR="004775DA">
        <w:rPr>
          <w:rFonts w:hint="cs"/>
          <w:rtl/>
        </w:rPr>
        <w:t>أدلة القاعدة</w:t>
      </w:r>
      <w:r w:rsidR="004775DA" w:rsidRPr="00C821A1">
        <w:rPr>
          <w:vertAlign w:val="superscript"/>
          <w:rtl/>
        </w:rPr>
        <w:t>(</w:t>
      </w:r>
      <w:r w:rsidR="004775DA" w:rsidRPr="00C821A1">
        <w:rPr>
          <w:vertAlign w:val="superscript"/>
          <w:rtl/>
        </w:rPr>
        <w:footnoteReference w:id="1144"/>
      </w:r>
      <w:r w:rsidR="004775DA" w:rsidRPr="00C821A1">
        <w:rPr>
          <w:vertAlign w:val="superscript"/>
          <w:rtl/>
        </w:rPr>
        <w:t>)</w:t>
      </w:r>
      <w:bookmarkEnd w:id="224"/>
    </w:p>
    <w:p w:rsidR="004775DA" w:rsidRPr="00686E55" w:rsidRDefault="004775DA" w:rsidP="000A76C7">
      <w:pPr>
        <w:pStyle w:val="afc"/>
        <w:widowControl/>
        <w:numPr>
          <w:ilvl w:val="0"/>
          <w:numId w:val="156"/>
        </w:numPr>
        <w:autoSpaceDE w:val="0"/>
        <w:autoSpaceDN w:val="0"/>
        <w:adjustRightInd w:val="0"/>
        <w:jc w:val="left"/>
        <w:rPr>
          <w:rFonts w:ascii="Traditional Arabic" w:hAnsi="Traditional Arabic"/>
          <w:noProof w:val="0"/>
          <w:lang w:eastAsia="en-US"/>
        </w:rPr>
      </w:pPr>
      <w:r>
        <w:rPr>
          <w:rFonts w:ascii="Traditional Arabic" w:hAnsi="Traditional Arabic" w:hint="cs"/>
          <w:noProof w:val="0"/>
          <w:rtl/>
          <w:lang w:eastAsia="en-US"/>
        </w:rPr>
        <w:t>قوله تعالى :</w:t>
      </w:r>
      <w:bookmarkStart w:id="225" w:name="سورة_البقرة_275"/>
      <w:r w:rsidR="00BE573F">
        <w:rPr>
          <w:rFonts w:ascii="QCF_BSML" w:hAnsi="QCF_BSML" w:cs="QCF_BSML" w:hint="cs"/>
          <w:noProof w:val="0"/>
          <w:rtl/>
          <w:lang w:eastAsia="en-US"/>
        </w:rPr>
        <w:t xml:space="preserve"> </w:t>
      </w:r>
      <w:r w:rsidRPr="00155B21">
        <w:rPr>
          <w:rFonts w:ascii="QCF_BSML" w:hAnsi="QCF_BSML" w:cs="QCF_BSML"/>
          <w:noProof w:val="0"/>
          <w:rtl/>
          <w:lang w:eastAsia="en-US"/>
        </w:rPr>
        <w:t xml:space="preserve">ﭽ </w:t>
      </w:r>
      <w:r w:rsidR="00BE573F">
        <w:rPr>
          <w:rFonts w:ascii="QCF_BSML" w:hAnsi="QCF_BSML" w:cs="QCF_BSML" w:hint="cs"/>
          <w:noProof w:val="0"/>
          <w:rtl/>
          <w:lang w:eastAsia="en-US"/>
        </w:rPr>
        <w:t xml:space="preserve"> </w:t>
      </w:r>
      <w:r w:rsidRPr="00155B21">
        <w:rPr>
          <w:rFonts w:ascii="QCF_P047" w:hAnsi="QCF_P047" w:cs="QCF_P047"/>
          <w:noProof w:val="0"/>
          <w:rtl/>
          <w:lang w:eastAsia="en-US"/>
        </w:rPr>
        <w:t>ﭧ</w:t>
      </w:r>
      <w:r w:rsidR="00BE573F">
        <w:rPr>
          <w:rFonts w:ascii="QCF_P047" w:hAnsi="QCF_P047" w:cs="QCF_P047" w:hint="cs"/>
          <w:noProof w:val="0"/>
          <w:rtl/>
          <w:lang w:eastAsia="en-US"/>
        </w:rPr>
        <w:t xml:space="preserve"> </w:t>
      </w:r>
      <w:r w:rsidRPr="00155B21">
        <w:rPr>
          <w:rFonts w:ascii="QCF_P047" w:hAnsi="QCF_P047" w:cs="QCF_P047"/>
          <w:noProof w:val="0"/>
          <w:rtl/>
          <w:lang w:eastAsia="en-US"/>
        </w:rPr>
        <w:t>ﭨ</w:t>
      </w:r>
      <w:r w:rsidR="00BE573F">
        <w:rPr>
          <w:rFonts w:ascii="QCF_P047" w:hAnsi="QCF_P047" w:cs="QCF_P047" w:hint="cs"/>
          <w:noProof w:val="0"/>
          <w:rtl/>
          <w:lang w:eastAsia="en-US"/>
        </w:rPr>
        <w:t xml:space="preserve"> </w:t>
      </w:r>
      <w:r w:rsidRPr="00155B21">
        <w:rPr>
          <w:rFonts w:ascii="QCF_P047" w:hAnsi="QCF_P047" w:cs="QCF_P047"/>
          <w:noProof w:val="0"/>
          <w:rtl/>
          <w:lang w:eastAsia="en-US"/>
        </w:rPr>
        <w:t>ﭩ</w:t>
      </w:r>
      <w:r w:rsidR="00BE573F">
        <w:rPr>
          <w:rFonts w:ascii="QCF_P047" w:hAnsi="QCF_P047" w:cs="QCF_P047" w:hint="cs"/>
          <w:noProof w:val="0"/>
          <w:rtl/>
          <w:lang w:eastAsia="en-US"/>
        </w:rPr>
        <w:t xml:space="preserve"> </w:t>
      </w:r>
      <w:r w:rsidRPr="00155B21">
        <w:rPr>
          <w:rFonts w:ascii="QCF_P047" w:hAnsi="QCF_P047" w:cs="QCF_P047"/>
          <w:noProof w:val="0"/>
          <w:rtl/>
          <w:lang w:eastAsia="en-US"/>
        </w:rPr>
        <w:t>ﭪ</w:t>
      </w:r>
      <w:r w:rsidR="00BE573F">
        <w:rPr>
          <w:rFonts w:ascii="QCF_P047" w:hAnsi="QCF_P047" w:cs="QCF_P047" w:hint="cs"/>
          <w:noProof w:val="0"/>
          <w:rtl/>
          <w:lang w:eastAsia="en-US"/>
        </w:rPr>
        <w:t xml:space="preserve"> </w:t>
      </w:r>
      <w:r w:rsidRPr="00155B21">
        <w:rPr>
          <w:rFonts w:ascii="QCF_P047" w:hAnsi="QCF_P047" w:cs="QCF_P047"/>
          <w:noProof w:val="0"/>
          <w:rtl/>
          <w:lang w:eastAsia="en-US"/>
        </w:rPr>
        <w:t>ﭫ</w:t>
      </w:r>
      <w:r w:rsidRPr="00155B21">
        <w:rPr>
          <w:rFonts w:ascii="QCF_BSML" w:hAnsi="QCF_BSML" w:cs="QCF_BSML"/>
          <w:noProof w:val="0"/>
          <w:rtl/>
          <w:lang w:eastAsia="en-US"/>
        </w:rPr>
        <w:t>ﭼ</w:t>
      </w:r>
      <w:bookmarkEnd w:id="225"/>
      <w:r>
        <w:rPr>
          <w:rFonts w:ascii="Traditional Arabic" w:hAnsi="Traditional Arabic" w:hint="cs"/>
          <w:noProof w:val="0"/>
          <w:color w:val="auto"/>
          <w:rtl/>
          <w:lang w:eastAsia="en-US"/>
        </w:rPr>
        <w:t>[ا</w:t>
      </w:r>
      <w:r w:rsidRPr="00686E55">
        <w:rPr>
          <w:rFonts w:ascii="Traditional Arabic" w:hAnsi="Traditional Arabic"/>
          <w:noProof w:val="0"/>
          <w:color w:val="auto"/>
          <w:rtl/>
          <w:lang w:eastAsia="en-US"/>
        </w:rPr>
        <w:t>لبقرة: ٢٧٥</w:t>
      </w:r>
      <w:r>
        <w:rPr>
          <w:rFonts w:ascii="Traditional Arabic" w:hAnsi="Traditional Arabic" w:hint="cs"/>
          <w:noProof w:val="0"/>
          <w:color w:val="auto"/>
          <w:rtl/>
          <w:lang w:eastAsia="en-US"/>
        </w:rPr>
        <w:t>].</w:t>
      </w:r>
    </w:p>
    <w:p w:rsidR="004775DA" w:rsidRDefault="004775DA" w:rsidP="00597C20">
      <w:pPr>
        <w:pStyle w:val="53"/>
        <w:rPr>
          <w:rtl/>
        </w:rPr>
      </w:pPr>
      <w:r>
        <w:rPr>
          <w:rFonts w:hint="cs"/>
          <w:rtl/>
        </w:rPr>
        <w:t>وجه الدلالة :</w:t>
      </w:r>
    </w:p>
    <w:p w:rsidR="004775DA" w:rsidRPr="00662882" w:rsidRDefault="004775DA" w:rsidP="00597C20">
      <w:pPr>
        <w:widowControl/>
        <w:autoSpaceDE w:val="0"/>
        <w:autoSpaceDN w:val="0"/>
        <w:adjustRightInd w:val="0"/>
        <w:ind w:firstLine="720"/>
        <w:rPr>
          <w:rFonts w:ascii="Traditional Arabic" w:hAnsi="Traditional Arabic"/>
          <w:noProof w:val="0"/>
          <w:color w:val="auto"/>
          <w:rtl/>
          <w:lang w:eastAsia="en-US"/>
        </w:rPr>
      </w:pPr>
      <w:r w:rsidRPr="00662882">
        <w:rPr>
          <w:rFonts w:ascii="Traditional Arabic" w:hAnsi="Traditional Arabic" w:hint="cs"/>
          <w:noProof w:val="0"/>
          <w:color w:val="auto"/>
          <w:rtl/>
          <w:lang w:eastAsia="en-US"/>
        </w:rPr>
        <w:t>الله تعالى أباح البيع لعباده،</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أَذِن لهم فيها إِذْناً مطلقا،</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إباحةً عامة، في غير ما آية من كتابه. من ذلك هذه الآية،</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لفظ البيع فيها لفظ عام؛ لأن الاسم المفرد إذا دخل عليه الألف</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اللام صار من ألفاظ العموم</w:t>
      </w:r>
      <w:r w:rsidRPr="00C821A1">
        <w:rPr>
          <w:rStyle w:val="af1"/>
          <w:szCs w:val="32"/>
          <w:rtl/>
        </w:rPr>
        <w:t>(</w:t>
      </w:r>
      <w:r w:rsidRPr="00C821A1">
        <w:rPr>
          <w:rStyle w:val="af1"/>
          <w:szCs w:val="32"/>
          <w:rtl/>
        </w:rPr>
        <w:footnoteReference w:id="1145"/>
      </w:r>
      <w:r w:rsidRPr="00C821A1">
        <w:rPr>
          <w:rStyle w:val="af1"/>
          <w:szCs w:val="32"/>
          <w:rtl/>
        </w:rPr>
        <w:t>)</w:t>
      </w:r>
      <w:r w:rsidRPr="00662882">
        <w:rPr>
          <w:rFonts w:ascii="Traditional Arabic" w:hAnsi="Traditional Arabic" w:hint="cs"/>
          <w:noProof w:val="0"/>
          <w:color w:val="auto"/>
          <w:rtl/>
          <w:lang w:eastAsia="en-US"/>
        </w:rPr>
        <w:t xml:space="preserve">، </w:t>
      </w:r>
      <w:r w:rsidRPr="00BE573F">
        <w:rPr>
          <w:rFonts w:ascii="Traditional Arabic" w:hAnsi="Traditional Arabic" w:hint="cs"/>
          <w:noProof w:val="0"/>
          <w:color w:val="auto"/>
          <w:rtl/>
          <w:lang w:eastAsia="en-US"/>
        </w:rPr>
        <w:t>فيندرج تحت الآية كل بيع إلا ما خُصَّ منه بالدليل</w:t>
      </w:r>
      <w:r w:rsidR="00B76414" w:rsidRPr="00662882">
        <w:rPr>
          <w:rFonts w:ascii="Traditional Arabic" w:hAnsi="Traditional Arabic" w:hint="cs"/>
          <w:b/>
          <w:bCs/>
          <w:noProof w:val="0"/>
          <w:color w:val="auto"/>
          <w:rtl/>
          <w:lang w:eastAsia="en-US"/>
        </w:rPr>
        <w:t>،</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 xml:space="preserve">قد خُصَّ منه بأدلة الشرع بيوع كثيرة، </w:t>
      </w:r>
      <w:r w:rsidRPr="00BE573F">
        <w:rPr>
          <w:rFonts w:ascii="Traditional Arabic" w:hAnsi="Traditional Arabic" w:hint="cs"/>
          <w:noProof w:val="0"/>
          <w:color w:val="auto"/>
          <w:rtl/>
          <w:lang w:eastAsia="en-US"/>
        </w:rPr>
        <w:t>فبقي ما عداها على أصل الإباحة</w:t>
      </w:r>
      <w:r w:rsidRPr="00C821A1">
        <w:rPr>
          <w:rStyle w:val="af1"/>
          <w:szCs w:val="32"/>
          <w:rtl/>
        </w:rPr>
        <w:t>(</w:t>
      </w:r>
      <w:r w:rsidRPr="00C821A1">
        <w:rPr>
          <w:rStyle w:val="af1"/>
          <w:szCs w:val="32"/>
          <w:rtl/>
        </w:rPr>
        <w:footnoteReference w:id="1146"/>
      </w:r>
      <w:r w:rsidRPr="00C821A1">
        <w:rPr>
          <w:rStyle w:val="af1"/>
          <w:szCs w:val="32"/>
          <w:rtl/>
        </w:rPr>
        <w:t>)</w:t>
      </w:r>
      <w:r w:rsidRPr="00662882">
        <w:rPr>
          <w:rFonts w:ascii="Traditional Arabic" w:hAnsi="Traditional Arabic" w:hint="cs"/>
          <w:noProof w:val="0"/>
          <w:color w:val="auto"/>
          <w:rtl/>
          <w:lang w:eastAsia="en-US"/>
        </w:rPr>
        <w:t>.</w:t>
      </w:r>
    </w:p>
    <w:p w:rsidR="00065E4B" w:rsidRDefault="004775DA" w:rsidP="000A76C7">
      <w:pPr>
        <w:pStyle w:val="afc"/>
        <w:widowControl/>
        <w:numPr>
          <w:ilvl w:val="0"/>
          <w:numId w:val="156"/>
        </w:numPr>
        <w:autoSpaceDE w:val="0"/>
        <w:autoSpaceDN w:val="0"/>
        <w:adjustRightInd w:val="0"/>
        <w:jc w:val="left"/>
        <w:rPr>
          <w:rFonts w:ascii="Traditional Arabic" w:hAnsi="Traditional Arabic"/>
          <w:noProof w:val="0"/>
          <w:color w:val="auto"/>
          <w:lang w:eastAsia="en-US"/>
        </w:rPr>
      </w:pPr>
      <w:r>
        <w:rPr>
          <w:rFonts w:ascii="Traditional Arabic" w:hAnsi="Traditional Arabic" w:hint="cs"/>
          <w:noProof w:val="0"/>
          <w:color w:val="auto"/>
          <w:rtl/>
          <w:lang w:eastAsia="en-US"/>
        </w:rPr>
        <w:t>قوله تعالى:</w:t>
      </w:r>
      <w:bookmarkStart w:id="226" w:name="سورة_النساء_29"/>
      <w:r w:rsidR="00BE573F">
        <w:rPr>
          <w:rFonts w:ascii="Traditional Arabic" w:hAnsi="Traditional Arabic" w:hint="cs"/>
          <w:noProof w:val="0"/>
          <w:color w:val="auto"/>
          <w:rtl/>
          <w:lang w:eastAsia="en-US"/>
        </w:rPr>
        <w:t xml:space="preserve"> </w:t>
      </w:r>
      <w:r w:rsidRPr="00AF62A6">
        <w:rPr>
          <w:rFonts w:ascii="QCF_BSML" w:hAnsi="QCF_BSML" w:cs="QCF_BSML"/>
          <w:noProof w:val="0"/>
          <w:rtl/>
          <w:lang w:eastAsia="en-US"/>
        </w:rPr>
        <w:t>ﭽ</w:t>
      </w:r>
      <w:r w:rsidRPr="00AF62A6">
        <w:rPr>
          <w:rFonts w:ascii="QCF_P083" w:hAnsi="QCF_P083" w:cs="QCF_P083"/>
          <w:noProof w:val="0"/>
          <w:rtl/>
          <w:lang w:eastAsia="en-US"/>
        </w:rPr>
        <w:t>ﭩ</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ﭪ</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ﭫ</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ﭬ</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ﭭ</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ﭮ</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ﭯ</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ﭰ</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ﭱ</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ﭲ</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ﭳ</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ﭴ</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ﭵ</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ﭶ</w:t>
      </w:r>
      <w:r w:rsidR="00BE573F">
        <w:rPr>
          <w:rFonts w:ascii="QCF_P083" w:hAnsi="QCF_P083" w:cs="QCF_P083" w:hint="cs"/>
          <w:noProof w:val="0"/>
          <w:rtl/>
          <w:lang w:eastAsia="en-US"/>
        </w:rPr>
        <w:t xml:space="preserve"> </w:t>
      </w:r>
      <w:r w:rsidRPr="00AF62A6">
        <w:rPr>
          <w:rFonts w:ascii="QCF_P083" w:hAnsi="QCF_P083" w:cs="QCF_P083"/>
          <w:noProof w:val="0"/>
          <w:rtl/>
          <w:lang w:eastAsia="en-US"/>
        </w:rPr>
        <w:t>ﭷ</w:t>
      </w:r>
      <w:r w:rsidRPr="00AF62A6">
        <w:rPr>
          <w:rFonts w:ascii="QCF_BSML" w:hAnsi="QCF_BSML" w:cs="QCF_BSML"/>
          <w:noProof w:val="0"/>
          <w:rtl/>
          <w:lang w:eastAsia="en-US"/>
        </w:rPr>
        <w:t>ﭼ</w:t>
      </w:r>
      <w:bookmarkEnd w:id="226"/>
      <w:r>
        <w:rPr>
          <w:rFonts w:ascii="Traditional Arabic" w:hAnsi="Traditional Arabic" w:hint="cs"/>
          <w:noProof w:val="0"/>
          <w:color w:val="auto"/>
          <w:rtl/>
          <w:lang w:eastAsia="en-US"/>
        </w:rPr>
        <w:t>[</w:t>
      </w:r>
      <w:r w:rsidRPr="00AF62A6">
        <w:rPr>
          <w:rFonts w:ascii="Traditional Arabic" w:hAnsi="Traditional Arabic"/>
          <w:noProof w:val="0"/>
          <w:color w:val="auto"/>
          <w:rtl/>
          <w:lang w:eastAsia="en-US"/>
        </w:rPr>
        <w:t>النساء: ٢٩</w:t>
      </w:r>
      <w:r>
        <w:rPr>
          <w:rFonts w:ascii="Traditional Arabic" w:hAnsi="Traditional Arabic" w:hint="cs"/>
          <w:noProof w:val="0"/>
          <w:color w:val="auto"/>
          <w:rtl/>
          <w:lang w:eastAsia="en-US"/>
        </w:rPr>
        <w:t>].</w:t>
      </w:r>
    </w:p>
    <w:p w:rsidR="00065E4B" w:rsidRPr="00C50319" w:rsidRDefault="00065E4B" w:rsidP="00597C20">
      <w:pPr>
        <w:pStyle w:val="53"/>
        <w:rPr>
          <w:rtl/>
        </w:rPr>
      </w:pPr>
      <w:r w:rsidRPr="00C50319">
        <w:rPr>
          <w:rFonts w:hint="cs"/>
          <w:rtl/>
        </w:rPr>
        <w:t>و</w:t>
      </w:r>
      <w:r w:rsidR="004775DA" w:rsidRPr="00C50319">
        <w:rPr>
          <w:rFonts w:hint="cs"/>
          <w:rtl/>
        </w:rPr>
        <w:t>جه الدلالة:</w:t>
      </w:r>
    </w:p>
    <w:p w:rsidR="004775DA" w:rsidRDefault="00065E4B" w:rsidP="00BE573F">
      <w:pPr>
        <w:widowControl/>
        <w:autoSpaceDE w:val="0"/>
        <w:autoSpaceDN w:val="0"/>
        <w:adjustRightInd w:val="0"/>
        <w:ind w:firstLine="720"/>
        <w:rPr>
          <w:rFonts w:ascii="Traditional Arabic" w:hAnsi="Traditional Arabic"/>
          <w:noProof w:val="0"/>
          <w:color w:val="auto"/>
          <w:rtl/>
          <w:lang w:eastAsia="en-US"/>
        </w:rPr>
      </w:pPr>
      <w:r w:rsidRPr="00AF62A6">
        <w:rPr>
          <w:rFonts w:ascii="Traditional Arabic" w:hAnsi="Traditional Arabic"/>
          <w:noProof w:val="0"/>
          <w:color w:val="auto"/>
          <w:rtl/>
          <w:lang w:eastAsia="en-US"/>
        </w:rPr>
        <w:t>ل</w:t>
      </w:r>
      <w:r w:rsidR="004775DA" w:rsidRPr="00AF62A6">
        <w:rPr>
          <w:rFonts w:ascii="Traditional Arabic" w:hAnsi="Traditional Arabic"/>
          <w:noProof w:val="0"/>
          <w:color w:val="auto"/>
          <w:rtl/>
          <w:lang w:eastAsia="en-US"/>
        </w:rPr>
        <w:t xml:space="preserve">ما نهى </w:t>
      </w:r>
      <w:r w:rsidR="004775DA">
        <w:rPr>
          <w:rFonts w:ascii="Traditional Arabic" w:hAnsi="Traditional Arabic" w:hint="cs"/>
          <w:noProof w:val="0"/>
          <w:color w:val="auto"/>
          <w:rtl/>
          <w:lang w:eastAsia="en-US"/>
        </w:rPr>
        <w:t xml:space="preserve">الله تعالى عباده </w:t>
      </w:r>
      <w:r w:rsidR="004775DA" w:rsidRPr="00AF62A6">
        <w:rPr>
          <w:rFonts w:ascii="Traditional Arabic" w:hAnsi="Traditional Arabic"/>
          <w:noProof w:val="0"/>
          <w:color w:val="auto"/>
          <w:rtl/>
          <w:lang w:eastAsia="en-US"/>
        </w:rPr>
        <w:t>عن أكل الأموال بالباطل</w:t>
      </w:r>
      <w:r w:rsidR="004775DA">
        <w:rPr>
          <w:rFonts w:ascii="Traditional Arabic" w:hAnsi="Traditional Arabic" w:hint="cs"/>
          <w:noProof w:val="0"/>
          <w:color w:val="auto"/>
          <w:rtl/>
          <w:lang w:eastAsia="en-US"/>
        </w:rPr>
        <w:t xml:space="preserve">، </w:t>
      </w:r>
      <w:r w:rsidR="004775DA" w:rsidRPr="00AF62A6">
        <w:rPr>
          <w:rFonts w:ascii="Traditional Arabic" w:hAnsi="Traditional Arabic"/>
          <w:noProof w:val="0"/>
          <w:color w:val="auto"/>
          <w:rtl/>
          <w:lang w:eastAsia="en-US"/>
        </w:rPr>
        <w:t>التي فيها غاية</w:t>
      </w:r>
      <w:r w:rsidR="004775DA">
        <w:rPr>
          <w:rFonts w:ascii="Traditional Arabic" w:hAnsi="Traditional Arabic" w:hint="cs"/>
          <w:noProof w:val="0"/>
          <w:color w:val="auto"/>
          <w:rtl/>
          <w:lang w:eastAsia="en-US"/>
        </w:rPr>
        <w:t>ُ</w:t>
      </w:r>
      <w:r w:rsidR="004775DA" w:rsidRPr="00AF62A6">
        <w:rPr>
          <w:rFonts w:ascii="Traditional Arabic" w:hAnsi="Traditional Arabic"/>
          <w:noProof w:val="0"/>
          <w:color w:val="auto"/>
          <w:rtl/>
          <w:lang w:eastAsia="en-US"/>
        </w:rPr>
        <w:t xml:space="preserve"> الضرر عليهم، على الآكل، وم</w:t>
      </w:r>
      <w:r w:rsidR="004775DA">
        <w:rPr>
          <w:rFonts w:ascii="Traditional Arabic" w:hAnsi="Traditional Arabic" w:hint="cs"/>
          <w:noProof w:val="0"/>
          <w:color w:val="auto"/>
          <w:rtl/>
          <w:lang w:eastAsia="en-US"/>
        </w:rPr>
        <w:t>َ</w:t>
      </w:r>
      <w:r w:rsidR="004775DA" w:rsidRPr="00AF62A6">
        <w:rPr>
          <w:rFonts w:ascii="Traditional Arabic" w:hAnsi="Traditional Arabic"/>
          <w:noProof w:val="0"/>
          <w:color w:val="auto"/>
          <w:rtl/>
          <w:lang w:eastAsia="en-US"/>
        </w:rPr>
        <w:t>ن أ</w:t>
      </w:r>
      <w:r w:rsidR="004775DA">
        <w:rPr>
          <w:rFonts w:ascii="Traditional Arabic" w:hAnsi="Traditional Arabic" w:hint="cs"/>
          <w:noProof w:val="0"/>
          <w:color w:val="auto"/>
          <w:rtl/>
          <w:lang w:eastAsia="en-US"/>
        </w:rPr>
        <w:t>ُ</w:t>
      </w:r>
      <w:r w:rsidR="004775DA" w:rsidRPr="00AF62A6">
        <w:rPr>
          <w:rFonts w:ascii="Traditional Arabic" w:hAnsi="Traditional Arabic"/>
          <w:noProof w:val="0"/>
          <w:color w:val="auto"/>
          <w:rtl/>
          <w:lang w:eastAsia="en-US"/>
        </w:rPr>
        <w:t>خذ ماله، أباح لهم ما فيه مصلحتهم من أنواع المكاسب والتجارات،</w:t>
      </w:r>
      <w:r w:rsidR="00BE573F">
        <w:rPr>
          <w:rFonts w:ascii="Traditional Arabic" w:hAnsi="Traditional Arabic" w:hint="cs"/>
          <w:noProof w:val="0"/>
          <w:color w:val="auto"/>
          <w:rtl/>
          <w:lang w:eastAsia="en-US"/>
        </w:rPr>
        <w:t xml:space="preserve"> </w:t>
      </w:r>
      <w:r w:rsidR="004775DA" w:rsidRPr="00AF62A6">
        <w:rPr>
          <w:rFonts w:ascii="Traditional Arabic" w:hAnsi="Traditional Arabic"/>
          <w:noProof w:val="0"/>
          <w:color w:val="auto"/>
          <w:rtl/>
          <w:lang w:eastAsia="en-US"/>
        </w:rPr>
        <w:t>وأنواع ال</w:t>
      </w:r>
      <w:r w:rsidR="004775DA">
        <w:rPr>
          <w:rFonts w:ascii="Traditional Arabic" w:hAnsi="Traditional Arabic" w:hint="cs"/>
          <w:noProof w:val="0"/>
          <w:color w:val="auto"/>
          <w:rtl/>
          <w:lang w:eastAsia="en-US"/>
        </w:rPr>
        <w:t>ِ</w:t>
      </w:r>
      <w:r w:rsidR="004775DA" w:rsidRPr="00AF62A6">
        <w:rPr>
          <w:rFonts w:ascii="Traditional Arabic" w:hAnsi="Traditional Arabic"/>
          <w:noProof w:val="0"/>
          <w:color w:val="auto"/>
          <w:rtl/>
          <w:lang w:eastAsia="en-US"/>
        </w:rPr>
        <w:t>حر</w:t>
      </w:r>
      <w:r w:rsidR="004775DA">
        <w:rPr>
          <w:rFonts w:ascii="Traditional Arabic" w:hAnsi="Traditional Arabic" w:hint="cs"/>
          <w:noProof w:val="0"/>
          <w:color w:val="auto"/>
          <w:rtl/>
          <w:lang w:eastAsia="en-US"/>
        </w:rPr>
        <w:t>َ</w:t>
      </w:r>
      <w:r w:rsidR="004775DA" w:rsidRPr="00AF62A6">
        <w:rPr>
          <w:rFonts w:ascii="Traditional Arabic" w:hAnsi="Traditional Arabic"/>
          <w:noProof w:val="0"/>
          <w:color w:val="auto"/>
          <w:rtl/>
          <w:lang w:eastAsia="en-US"/>
        </w:rPr>
        <w:t>ف والإجارات، فقال:</w:t>
      </w:r>
      <w:r w:rsidR="004775DA" w:rsidRPr="003B609B">
        <w:rPr>
          <w:rFonts w:ascii="QCF_BSML" w:hAnsi="QCF_BSML" w:cs="QCF_BSML"/>
          <w:noProof w:val="0"/>
          <w:rtl/>
          <w:lang w:eastAsia="en-US"/>
        </w:rPr>
        <w:t xml:space="preserve">ﭽ </w:t>
      </w:r>
      <w:r w:rsidR="004775DA" w:rsidRPr="003B609B">
        <w:rPr>
          <w:rFonts w:ascii="QCF_P083" w:hAnsi="QCF_P083" w:cs="QCF_P083"/>
          <w:noProof w:val="0"/>
          <w:rtl/>
          <w:lang w:eastAsia="en-US"/>
        </w:rPr>
        <w:t>ﭱﭲﭳﭴﭵﭶﭷ</w:t>
      </w:r>
      <w:r w:rsidR="004775DA" w:rsidRPr="003B609B">
        <w:rPr>
          <w:rFonts w:ascii="QCF_BSML" w:hAnsi="QCF_BSML" w:cs="QCF_BSML"/>
          <w:noProof w:val="0"/>
          <w:rtl/>
          <w:lang w:eastAsia="en-US"/>
        </w:rPr>
        <w:t>ﭼ</w:t>
      </w:r>
      <w:r w:rsidR="00BE573F">
        <w:rPr>
          <w:rFonts w:ascii="Traditional Arabic" w:hAnsi="Traditional Arabic" w:hint="cs"/>
          <w:noProof w:val="0"/>
          <w:color w:val="auto"/>
          <w:rtl/>
          <w:lang w:eastAsia="en-US"/>
        </w:rPr>
        <w:t xml:space="preserve">، </w:t>
      </w:r>
      <w:r w:rsidR="004775DA" w:rsidRPr="00AF62A6">
        <w:rPr>
          <w:rFonts w:ascii="Traditional Arabic" w:hAnsi="Traditional Arabic"/>
          <w:noProof w:val="0"/>
          <w:color w:val="auto"/>
          <w:rtl/>
          <w:lang w:eastAsia="en-US"/>
        </w:rPr>
        <w:t>أي: فإنها مباحة لكم</w:t>
      </w:r>
      <w:r w:rsidR="004775DA">
        <w:rPr>
          <w:rFonts w:ascii="Traditional Arabic" w:hAnsi="Traditional Arabic" w:hint="cs"/>
          <w:noProof w:val="0"/>
          <w:color w:val="auto"/>
          <w:rtl/>
          <w:lang w:eastAsia="en-US"/>
        </w:rPr>
        <w:t>،</w:t>
      </w:r>
      <w:r w:rsidR="00154102">
        <w:rPr>
          <w:rFonts w:ascii="Traditional Arabic" w:hAnsi="Traditional Arabic" w:hint="cs"/>
          <w:noProof w:val="0"/>
          <w:color w:val="auto"/>
          <w:rtl/>
          <w:lang w:eastAsia="en-US"/>
        </w:rPr>
        <w:t xml:space="preserve"> و</w:t>
      </w:r>
      <w:r w:rsidR="004775DA">
        <w:rPr>
          <w:rFonts w:ascii="Traditional Arabic" w:hAnsi="Traditional Arabic" w:hint="cs"/>
          <w:noProof w:val="0"/>
          <w:color w:val="auto"/>
          <w:rtl/>
          <w:lang w:eastAsia="en-US"/>
        </w:rPr>
        <w:t>هذا شامل لجميع أنواع التجارة</w:t>
      </w:r>
      <w:r w:rsidR="004775DA" w:rsidRPr="00AF62A6">
        <w:rPr>
          <w:rFonts w:ascii="Traditional Arabic" w:hAnsi="Traditional Arabic"/>
          <w:noProof w:val="0"/>
          <w:color w:val="auto"/>
          <w:rtl/>
          <w:lang w:eastAsia="en-US"/>
        </w:rPr>
        <w:t>.</w:t>
      </w:r>
      <w:r w:rsidR="00BE573F">
        <w:rPr>
          <w:rFonts w:ascii="Traditional Arabic" w:hAnsi="Traditional Arabic" w:hint="cs"/>
          <w:noProof w:val="0"/>
          <w:color w:val="auto"/>
          <w:rtl/>
          <w:lang w:eastAsia="en-US"/>
        </w:rPr>
        <w:t xml:space="preserve"> </w:t>
      </w:r>
      <w:r w:rsidR="004775DA" w:rsidRPr="00BE573F">
        <w:rPr>
          <w:rFonts w:ascii="Traditional Arabic" w:hAnsi="Traditional Arabic" w:hint="cs"/>
          <w:noProof w:val="0"/>
          <w:color w:val="auto"/>
          <w:rtl/>
          <w:lang w:eastAsia="en-US"/>
        </w:rPr>
        <w:t>فالمعاملات</w:t>
      </w:r>
      <w:r w:rsidR="00154102" w:rsidRPr="00BE573F">
        <w:rPr>
          <w:rFonts w:ascii="Traditional Arabic" w:hAnsi="Traditional Arabic" w:hint="cs"/>
          <w:noProof w:val="0"/>
          <w:color w:val="auto"/>
          <w:rtl/>
          <w:lang w:eastAsia="en-US"/>
        </w:rPr>
        <w:t xml:space="preserve"> و</w:t>
      </w:r>
      <w:r w:rsidR="004775DA" w:rsidRPr="00BE573F">
        <w:rPr>
          <w:rFonts w:ascii="Traditional Arabic" w:hAnsi="Traditional Arabic" w:hint="cs"/>
          <w:noProof w:val="0"/>
          <w:color w:val="auto"/>
          <w:rtl/>
          <w:lang w:eastAsia="en-US"/>
        </w:rPr>
        <w:t>أنواع التجارات الأصلُ فيها كلُّها الإباحة</w:t>
      </w:r>
      <w:r w:rsidR="00154102" w:rsidRPr="00BE573F">
        <w:rPr>
          <w:rFonts w:ascii="Traditional Arabic" w:hAnsi="Traditional Arabic" w:hint="cs"/>
          <w:noProof w:val="0"/>
          <w:color w:val="auto"/>
          <w:rtl/>
          <w:lang w:eastAsia="en-US"/>
        </w:rPr>
        <w:t xml:space="preserve"> و</w:t>
      </w:r>
      <w:r w:rsidR="004775DA" w:rsidRPr="00BE573F">
        <w:rPr>
          <w:rFonts w:ascii="Traditional Arabic" w:hAnsi="Traditional Arabic" w:hint="cs"/>
          <w:noProof w:val="0"/>
          <w:color w:val="auto"/>
          <w:rtl/>
          <w:lang w:eastAsia="en-US"/>
        </w:rPr>
        <w:t>الحل،</w:t>
      </w:r>
      <w:r w:rsidR="00154102" w:rsidRPr="00BE573F">
        <w:rPr>
          <w:rFonts w:ascii="Traditional Arabic" w:hAnsi="Traditional Arabic" w:hint="cs"/>
          <w:noProof w:val="0"/>
          <w:color w:val="auto"/>
          <w:rtl/>
          <w:lang w:eastAsia="en-US"/>
        </w:rPr>
        <w:t xml:space="preserve"> و</w:t>
      </w:r>
      <w:r w:rsidR="004775DA" w:rsidRPr="00BE573F">
        <w:rPr>
          <w:rFonts w:ascii="Traditional Arabic" w:hAnsi="Traditional Arabic" w:hint="cs"/>
          <w:noProof w:val="0"/>
          <w:color w:val="auto"/>
          <w:rtl/>
          <w:lang w:eastAsia="en-US"/>
        </w:rPr>
        <w:t>لا يُمنَع منها إلا ما وَرد الشرعُ بمنعه</w:t>
      </w:r>
      <w:r w:rsidR="00154102" w:rsidRPr="00BE573F">
        <w:rPr>
          <w:rFonts w:ascii="Traditional Arabic" w:hAnsi="Traditional Arabic" w:hint="cs"/>
          <w:noProof w:val="0"/>
          <w:color w:val="auto"/>
          <w:rtl/>
          <w:lang w:eastAsia="en-US"/>
        </w:rPr>
        <w:t xml:space="preserve"> و</w:t>
      </w:r>
      <w:r w:rsidR="004775DA" w:rsidRPr="00BE573F">
        <w:rPr>
          <w:rFonts w:ascii="Traditional Arabic" w:hAnsi="Traditional Arabic" w:hint="cs"/>
          <w:noProof w:val="0"/>
          <w:color w:val="auto"/>
          <w:rtl/>
          <w:lang w:eastAsia="en-US"/>
        </w:rPr>
        <w:t>تحريمه</w:t>
      </w:r>
      <w:r w:rsidR="004775DA" w:rsidRPr="00C821A1">
        <w:rPr>
          <w:rStyle w:val="af1"/>
          <w:szCs w:val="32"/>
          <w:rtl/>
        </w:rPr>
        <w:t>(</w:t>
      </w:r>
      <w:r w:rsidR="004775DA" w:rsidRPr="00C821A1">
        <w:rPr>
          <w:rStyle w:val="af1"/>
          <w:szCs w:val="32"/>
          <w:rtl/>
        </w:rPr>
        <w:footnoteReference w:id="1147"/>
      </w:r>
      <w:r w:rsidR="004775DA" w:rsidRPr="00C821A1">
        <w:rPr>
          <w:rStyle w:val="af1"/>
          <w:szCs w:val="32"/>
          <w:rtl/>
        </w:rPr>
        <w:t>)</w:t>
      </w:r>
      <w:r w:rsidR="004775DA">
        <w:rPr>
          <w:rFonts w:ascii="Traditional Arabic" w:hAnsi="Traditional Arabic" w:hint="cs"/>
          <w:noProof w:val="0"/>
          <w:color w:val="auto"/>
          <w:rtl/>
          <w:lang w:eastAsia="en-US"/>
        </w:rPr>
        <w:t>.</w:t>
      </w:r>
    </w:p>
    <w:p w:rsidR="004775DA" w:rsidRDefault="004775DA" w:rsidP="000A76C7">
      <w:pPr>
        <w:pStyle w:val="afc"/>
        <w:widowControl/>
        <w:numPr>
          <w:ilvl w:val="0"/>
          <w:numId w:val="156"/>
        </w:numPr>
        <w:autoSpaceDE w:val="0"/>
        <w:autoSpaceDN w:val="0"/>
        <w:adjustRightInd w:val="0"/>
        <w:jc w:val="left"/>
        <w:rPr>
          <w:rFonts w:ascii="Traditional Arabic" w:hAnsi="Traditional Arabic"/>
          <w:noProof w:val="0"/>
          <w:color w:val="auto"/>
          <w:lang w:eastAsia="en-US"/>
        </w:rPr>
      </w:pPr>
      <w:r>
        <w:rPr>
          <w:rFonts w:ascii="Traditional Arabic" w:hAnsi="Traditional Arabic" w:hint="cs"/>
          <w:noProof w:val="0"/>
          <w:color w:val="auto"/>
          <w:rtl/>
          <w:lang w:eastAsia="en-US"/>
        </w:rPr>
        <w:lastRenderedPageBreak/>
        <w:t>قوله تعالى :</w:t>
      </w:r>
      <w:r w:rsidR="00BE573F">
        <w:rPr>
          <w:rFonts w:ascii="QCF_BSML" w:hAnsi="QCF_BSML" w:cs="QCF_BSML" w:hint="cs"/>
          <w:noProof w:val="0"/>
          <w:rtl/>
          <w:lang w:eastAsia="en-US"/>
        </w:rPr>
        <w:t xml:space="preserve"> </w:t>
      </w:r>
      <w:r w:rsidRPr="009C697E">
        <w:rPr>
          <w:rFonts w:ascii="QCF_BSML" w:hAnsi="QCF_BSML" w:cs="QCF_BSML"/>
          <w:noProof w:val="0"/>
          <w:rtl/>
          <w:lang w:eastAsia="en-US"/>
        </w:rPr>
        <w:t xml:space="preserve">ﭽ </w:t>
      </w:r>
      <w:r w:rsidRPr="009C697E">
        <w:rPr>
          <w:rFonts w:ascii="QCF_P106" w:hAnsi="QCF_P106" w:cs="QCF_P106"/>
          <w:noProof w:val="0"/>
          <w:rtl/>
          <w:lang w:eastAsia="en-US"/>
        </w:rPr>
        <w:t>ﮊ</w:t>
      </w:r>
      <w:r w:rsidR="00BE573F">
        <w:rPr>
          <w:rFonts w:ascii="QCF_P106" w:hAnsi="QCF_P106" w:cs="QCF_P106" w:hint="cs"/>
          <w:noProof w:val="0"/>
          <w:rtl/>
          <w:lang w:eastAsia="en-US"/>
        </w:rPr>
        <w:t xml:space="preserve"> </w:t>
      </w:r>
      <w:r w:rsidRPr="009C697E">
        <w:rPr>
          <w:rFonts w:ascii="QCF_P106" w:hAnsi="QCF_P106" w:cs="QCF_P106"/>
          <w:noProof w:val="0"/>
          <w:rtl/>
          <w:lang w:eastAsia="en-US"/>
        </w:rPr>
        <w:t>ﮋ</w:t>
      </w:r>
      <w:r w:rsidR="00BE573F">
        <w:rPr>
          <w:rFonts w:ascii="QCF_P106" w:hAnsi="QCF_P106" w:cs="QCF_P106" w:hint="cs"/>
          <w:noProof w:val="0"/>
          <w:rtl/>
          <w:lang w:eastAsia="en-US"/>
        </w:rPr>
        <w:t xml:space="preserve"> </w:t>
      </w:r>
      <w:r w:rsidRPr="009C697E">
        <w:rPr>
          <w:rFonts w:ascii="QCF_P106" w:hAnsi="QCF_P106" w:cs="QCF_P106"/>
          <w:noProof w:val="0"/>
          <w:rtl/>
          <w:lang w:eastAsia="en-US"/>
        </w:rPr>
        <w:t>ﮌ</w:t>
      </w:r>
      <w:r w:rsidR="00BE573F">
        <w:rPr>
          <w:rFonts w:ascii="QCF_P106" w:hAnsi="QCF_P106" w:cs="QCF_P106" w:hint="cs"/>
          <w:noProof w:val="0"/>
          <w:rtl/>
          <w:lang w:eastAsia="en-US"/>
        </w:rPr>
        <w:t xml:space="preserve"> </w:t>
      </w:r>
      <w:r w:rsidRPr="009C697E">
        <w:rPr>
          <w:rFonts w:ascii="QCF_P106" w:hAnsi="QCF_P106" w:cs="QCF_P106"/>
          <w:noProof w:val="0"/>
          <w:rtl/>
          <w:lang w:eastAsia="en-US"/>
        </w:rPr>
        <w:t>ﮍ</w:t>
      </w:r>
      <w:r w:rsidR="00BE573F">
        <w:rPr>
          <w:rFonts w:ascii="QCF_P106" w:hAnsi="QCF_P106" w:cs="QCF_P106" w:hint="cs"/>
          <w:noProof w:val="0"/>
          <w:rtl/>
          <w:lang w:eastAsia="en-US"/>
        </w:rPr>
        <w:t xml:space="preserve"> </w:t>
      </w:r>
      <w:r w:rsidRPr="009C697E">
        <w:rPr>
          <w:rFonts w:ascii="QCF_P106" w:hAnsi="QCF_P106" w:cs="QCF_P106"/>
          <w:noProof w:val="0"/>
          <w:rtl/>
          <w:lang w:eastAsia="en-US"/>
        </w:rPr>
        <w:t>ﮎ</w:t>
      </w:r>
      <w:r w:rsidRPr="009C697E">
        <w:rPr>
          <w:rFonts w:ascii="QCF_BSML" w:hAnsi="QCF_BSML" w:cs="QCF_BSML"/>
          <w:noProof w:val="0"/>
          <w:rtl/>
          <w:lang w:eastAsia="en-US"/>
        </w:rPr>
        <w:t>ﭼ</w:t>
      </w:r>
      <w:r>
        <w:rPr>
          <w:rFonts w:ascii="Traditional Arabic" w:hAnsi="Traditional Arabic" w:hint="cs"/>
          <w:noProof w:val="0"/>
          <w:color w:val="auto"/>
          <w:rtl/>
          <w:lang w:eastAsia="en-US"/>
        </w:rPr>
        <w:t>[</w:t>
      </w:r>
      <w:r w:rsidRPr="009C697E">
        <w:rPr>
          <w:rFonts w:ascii="Traditional Arabic" w:hAnsi="Traditional Arabic"/>
          <w:noProof w:val="0"/>
          <w:color w:val="auto"/>
          <w:rtl/>
          <w:lang w:eastAsia="en-US"/>
        </w:rPr>
        <w:t>المائدة: ١</w:t>
      </w:r>
      <w:r>
        <w:rPr>
          <w:rFonts w:ascii="Traditional Arabic" w:hAnsi="Traditional Arabic" w:hint="cs"/>
          <w:noProof w:val="0"/>
          <w:color w:val="auto"/>
          <w:rtl/>
          <w:lang w:eastAsia="en-US"/>
        </w:rPr>
        <w:t>].</w:t>
      </w:r>
    </w:p>
    <w:p w:rsidR="004775DA" w:rsidRDefault="004775DA" w:rsidP="00597C20">
      <w:pPr>
        <w:pStyle w:val="53"/>
        <w:rPr>
          <w:rtl/>
        </w:rPr>
      </w:pPr>
      <w:r>
        <w:rPr>
          <w:rFonts w:hint="cs"/>
          <w:rtl/>
        </w:rPr>
        <w:t>وجه الدلالة:</w:t>
      </w:r>
    </w:p>
    <w:p w:rsidR="004775DA" w:rsidRPr="00662882" w:rsidRDefault="004775DA" w:rsidP="00597C20">
      <w:pPr>
        <w:widowControl/>
        <w:autoSpaceDE w:val="0"/>
        <w:autoSpaceDN w:val="0"/>
        <w:adjustRightInd w:val="0"/>
        <w:ind w:firstLine="720"/>
        <w:rPr>
          <w:rFonts w:ascii="Traditional Arabic" w:hAnsi="Traditional Arabic"/>
          <w:b/>
          <w:bCs/>
          <w:noProof w:val="0"/>
          <w:color w:val="auto"/>
          <w:rtl/>
          <w:lang w:eastAsia="en-US"/>
        </w:rPr>
      </w:pPr>
      <w:r w:rsidRPr="00662882">
        <w:rPr>
          <w:rFonts w:ascii="Traditional Arabic" w:hAnsi="Traditional Arabic" w:hint="cs"/>
          <w:noProof w:val="0"/>
          <w:color w:val="auto"/>
          <w:rtl/>
          <w:lang w:eastAsia="en-US"/>
        </w:rPr>
        <w:t xml:space="preserve">أمر الله بالوفاء بالعقود </w:t>
      </w:r>
      <w:r w:rsidRPr="00BE573F">
        <w:rPr>
          <w:rFonts w:ascii="Traditional Arabic" w:hAnsi="Traditional Arabic" w:hint="cs"/>
          <w:noProof w:val="0"/>
          <w:color w:val="auto"/>
          <w:rtl/>
          <w:lang w:eastAsia="en-US"/>
        </w:rPr>
        <w:t>على أي</w:t>
      </w:r>
      <w:r w:rsidR="00BE573F">
        <w:rPr>
          <w:rFonts w:ascii="Traditional Arabic" w:hAnsi="Traditional Arabic" w:hint="cs"/>
          <w:noProof w:val="0"/>
          <w:color w:val="auto"/>
          <w:rtl/>
          <w:lang w:eastAsia="en-US"/>
        </w:rPr>
        <w:t>ِّ</w:t>
      </w:r>
      <w:r w:rsidRPr="00BE573F">
        <w:rPr>
          <w:rFonts w:ascii="Traditional Arabic" w:hAnsi="Traditional Arabic" w:hint="cs"/>
          <w:noProof w:val="0"/>
          <w:color w:val="auto"/>
          <w:rtl/>
          <w:lang w:eastAsia="en-US"/>
        </w:rPr>
        <w:t xml:space="preserve"> وجهٍ عُقدت</w:t>
      </w:r>
      <w:r w:rsidR="00BE573F">
        <w:rPr>
          <w:rFonts w:ascii="Traditional Arabic" w:hAnsi="Traditional Arabic" w:hint="cs"/>
          <w:noProof w:val="0"/>
          <w:color w:val="auto"/>
          <w:rtl/>
          <w:lang w:eastAsia="en-US"/>
        </w:rPr>
        <w:t>ْ</w:t>
      </w:r>
      <w:r w:rsidRPr="00BE573F">
        <w:rPr>
          <w:rFonts w:ascii="Traditional Arabic" w:hAnsi="Traditional Arabic" w:hint="cs"/>
          <w:noProof w:val="0"/>
          <w:color w:val="auto"/>
          <w:rtl/>
          <w:lang w:eastAsia="en-US"/>
        </w:rPr>
        <w:t>،</w:t>
      </w:r>
      <w:r w:rsidR="00154102" w:rsidRPr="00BE573F">
        <w:rPr>
          <w:rFonts w:ascii="Traditional Arabic" w:hAnsi="Traditional Arabic" w:hint="cs"/>
          <w:noProof w:val="0"/>
          <w:color w:val="auto"/>
          <w:rtl/>
          <w:lang w:eastAsia="en-US"/>
        </w:rPr>
        <w:t xml:space="preserve"> و</w:t>
      </w:r>
      <w:r w:rsidRPr="00BE573F">
        <w:rPr>
          <w:rFonts w:ascii="Traditional Arabic" w:hAnsi="Traditional Arabic" w:hint="cs"/>
          <w:noProof w:val="0"/>
          <w:color w:val="auto"/>
          <w:rtl/>
          <w:lang w:eastAsia="en-US"/>
        </w:rPr>
        <w:t>بأي معاملةٍ كانت</w:t>
      </w:r>
      <w:r w:rsidRPr="00662882">
        <w:rPr>
          <w:rFonts w:ascii="Traditional Arabic" w:hAnsi="Traditional Arabic" w:hint="cs"/>
          <w:noProof w:val="0"/>
          <w:color w:val="auto"/>
          <w:rtl/>
          <w:lang w:eastAsia="en-US"/>
        </w:rPr>
        <w:t>، ما لم يثبُت تحريمها</w:t>
      </w:r>
      <w:r w:rsidRPr="00C821A1">
        <w:rPr>
          <w:rStyle w:val="af1"/>
          <w:szCs w:val="32"/>
          <w:rtl/>
        </w:rPr>
        <w:t>(</w:t>
      </w:r>
      <w:r w:rsidRPr="00C821A1">
        <w:rPr>
          <w:rStyle w:val="af1"/>
          <w:szCs w:val="32"/>
          <w:rtl/>
        </w:rPr>
        <w:footnoteReference w:id="1148"/>
      </w:r>
      <w:r w:rsidRPr="00C821A1">
        <w:rPr>
          <w:rStyle w:val="af1"/>
          <w:szCs w:val="32"/>
          <w:rtl/>
        </w:rPr>
        <w:t>)</w:t>
      </w:r>
      <w:r w:rsidRPr="00662882">
        <w:rPr>
          <w:rFonts w:ascii="Traditional Arabic" w:hAnsi="Traditional Arabic" w:hint="cs"/>
          <w:noProof w:val="0"/>
          <w:rtl/>
          <w:lang w:eastAsia="en-US"/>
        </w:rPr>
        <w:t>؛</w:t>
      </w:r>
      <w:r w:rsidR="00BE573F">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هذا</w:t>
      </w:r>
      <w:r w:rsidRPr="00662882">
        <w:rPr>
          <w:rFonts w:ascii="Traditional Arabic" w:hAnsi="Traditional Arabic"/>
          <w:noProof w:val="0"/>
          <w:color w:val="auto"/>
          <w:rtl/>
          <w:lang w:eastAsia="en-US"/>
        </w:rPr>
        <w:t xml:space="preserve"> يشمل الوفاء بأصل العقد ووصف العقد، والشروط المشروطة في العقد أوصاف له</w:t>
      </w:r>
      <w:r w:rsidRPr="00C821A1">
        <w:rPr>
          <w:rStyle w:val="af1"/>
          <w:szCs w:val="32"/>
          <w:rtl/>
        </w:rPr>
        <w:t>(</w:t>
      </w:r>
      <w:r w:rsidRPr="00C821A1">
        <w:rPr>
          <w:rStyle w:val="af1"/>
          <w:szCs w:val="32"/>
          <w:rtl/>
        </w:rPr>
        <w:footnoteReference w:id="1149"/>
      </w:r>
      <w:r w:rsidRPr="00C821A1">
        <w:rPr>
          <w:rStyle w:val="af1"/>
          <w:szCs w:val="32"/>
          <w:rtl/>
        </w:rPr>
        <w:t>)</w:t>
      </w:r>
      <w:r w:rsidRPr="00662882">
        <w:rPr>
          <w:rFonts w:ascii="Traditional Arabic" w:hAnsi="Traditional Arabic" w:hint="cs"/>
          <w:noProof w:val="0"/>
          <w:color w:val="auto"/>
          <w:rtl/>
          <w:lang w:eastAsia="en-US"/>
        </w:rPr>
        <w:t>؛ لأن الشرط في العقد يجعل العقد مقيَّدا به،</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التقييدُ وصفٌ</w:t>
      </w:r>
      <w:r w:rsidRPr="00C821A1">
        <w:rPr>
          <w:rStyle w:val="af1"/>
          <w:szCs w:val="32"/>
          <w:rtl/>
        </w:rPr>
        <w:t>(</w:t>
      </w:r>
      <w:r w:rsidRPr="00C821A1">
        <w:rPr>
          <w:rStyle w:val="af1"/>
          <w:szCs w:val="32"/>
          <w:rtl/>
        </w:rPr>
        <w:footnoteReference w:id="1150"/>
      </w:r>
      <w:r w:rsidRPr="00C821A1">
        <w:rPr>
          <w:rStyle w:val="af1"/>
          <w:szCs w:val="32"/>
          <w:rtl/>
        </w:rPr>
        <w:t>)</w:t>
      </w:r>
      <w:r w:rsidRPr="00662882">
        <w:rPr>
          <w:rFonts w:ascii="Traditional Arabic" w:hAnsi="Traditional Arabic" w:hint="cs"/>
          <w:noProof w:val="0"/>
          <w:color w:val="auto"/>
          <w:rtl/>
          <w:lang w:eastAsia="en-US"/>
        </w:rPr>
        <w:t>،</w:t>
      </w:r>
      <w:r w:rsidR="00154102" w:rsidRPr="00662882">
        <w:rPr>
          <w:rFonts w:ascii="Traditional Arabic" w:hAnsi="Traditional Arabic" w:hint="cs"/>
          <w:noProof w:val="0"/>
          <w:rtl/>
          <w:lang w:eastAsia="en-US"/>
        </w:rPr>
        <w:t xml:space="preserve"> و</w:t>
      </w:r>
      <w:r w:rsidRPr="00662882">
        <w:rPr>
          <w:rFonts w:ascii="Traditional Arabic" w:hAnsi="Traditional Arabic" w:hint="cs"/>
          <w:noProof w:val="0"/>
          <w:rtl/>
          <w:lang w:eastAsia="en-US"/>
        </w:rPr>
        <w:t xml:space="preserve">لما كان </w:t>
      </w:r>
      <w:r w:rsidRPr="00662882">
        <w:rPr>
          <w:rFonts w:ascii="Traditional Arabic" w:hAnsi="Traditional Arabic"/>
          <w:noProof w:val="0"/>
          <w:rtl/>
          <w:lang w:eastAsia="en-US"/>
        </w:rPr>
        <w:t>الله تعالى لا يأمر بوفاء</w:t>
      </w:r>
      <w:r w:rsidRPr="00662882">
        <w:rPr>
          <w:rFonts w:ascii="Traditional Arabic" w:hAnsi="Traditional Arabic" w:hint="cs"/>
          <w:noProof w:val="0"/>
          <w:rtl/>
          <w:lang w:eastAsia="en-US"/>
        </w:rPr>
        <w:t>ِ</w:t>
      </w:r>
      <w:r w:rsidRPr="00662882">
        <w:rPr>
          <w:rFonts w:ascii="Traditional Arabic" w:hAnsi="Traditional Arabic"/>
          <w:noProof w:val="0"/>
          <w:rtl/>
          <w:lang w:eastAsia="en-US"/>
        </w:rPr>
        <w:t xml:space="preserve"> ما لم يأذن ب</w:t>
      </w:r>
      <w:r w:rsidRPr="00662882">
        <w:rPr>
          <w:rStyle w:val="af1"/>
          <w:rFonts w:hint="cs"/>
          <w:vertAlign w:val="baseline"/>
          <w:rtl/>
        </w:rPr>
        <w:t>ه</w:t>
      </w:r>
      <w:r w:rsidRPr="00662882">
        <w:rPr>
          <w:rFonts w:ascii="Traditional Arabic" w:hAnsi="Traditional Arabic" w:hint="cs"/>
          <w:noProof w:val="0"/>
          <w:color w:val="auto"/>
          <w:rtl/>
          <w:lang w:eastAsia="en-US"/>
        </w:rPr>
        <w:t>،</w:t>
      </w:r>
      <w:r w:rsidR="00BE573F">
        <w:rPr>
          <w:rFonts w:ascii="Traditional Arabic" w:hAnsi="Traditional Arabic" w:hint="cs"/>
          <w:noProof w:val="0"/>
          <w:color w:val="auto"/>
          <w:rtl/>
          <w:lang w:eastAsia="en-US"/>
        </w:rPr>
        <w:t xml:space="preserve"> و</w:t>
      </w:r>
      <w:r w:rsidR="00220B95">
        <w:rPr>
          <w:rFonts w:ascii="Traditional Arabic" w:hAnsi="Traditional Arabic" w:hint="cs"/>
          <w:noProof w:val="0"/>
          <w:color w:val="auto"/>
          <w:rtl/>
          <w:lang w:eastAsia="en-US"/>
        </w:rPr>
        <w:t>كان</w:t>
      </w:r>
      <w:r w:rsidRPr="00662882">
        <w:rPr>
          <w:rFonts w:ascii="Traditional Arabic" w:hAnsi="Traditional Arabic" w:hint="cs"/>
          <w:noProof w:val="0"/>
          <w:color w:val="auto"/>
          <w:rtl/>
          <w:lang w:eastAsia="en-US"/>
        </w:rPr>
        <w:t xml:space="preserve"> الجواز</w:t>
      </w:r>
      <w:r w:rsidR="00220B95">
        <w:rPr>
          <w:rFonts w:ascii="Traditional Arabic" w:hAnsi="Traditional Arabic" w:hint="cs"/>
          <w:noProof w:val="0"/>
          <w:color w:val="auto"/>
          <w:rtl/>
          <w:lang w:eastAsia="en-US"/>
        </w:rPr>
        <w:t xml:space="preserve"> فرعا عن الصحة</w:t>
      </w:r>
      <w:r w:rsidRPr="00C821A1">
        <w:rPr>
          <w:rStyle w:val="af1"/>
          <w:szCs w:val="32"/>
          <w:rtl/>
        </w:rPr>
        <w:t>(</w:t>
      </w:r>
      <w:r w:rsidRPr="00C821A1">
        <w:rPr>
          <w:rStyle w:val="af1"/>
          <w:szCs w:val="32"/>
          <w:rtl/>
        </w:rPr>
        <w:footnoteReference w:id="1151"/>
      </w:r>
      <w:r w:rsidRPr="00C821A1">
        <w:rPr>
          <w:rStyle w:val="af1"/>
          <w:szCs w:val="32"/>
          <w:rtl/>
        </w:rPr>
        <w:t>)</w:t>
      </w:r>
      <w:r w:rsidR="00BE573F">
        <w:rPr>
          <w:rFonts w:hint="cs"/>
          <w:b/>
          <w:bCs/>
          <w:rtl/>
        </w:rPr>
        <w:t xml:space="preserve">، </w:t>
      </w:r>
      <w:r w:rsidRPr="00BE573F">
        <w:rPr>
          <w:rFonts w:hint="cs"/>
          <w:rtl/>
        </w:rPr>
        <w:t>دل</w:t>
      </w:r>
      <w:r w:rsidR="00BE573F" w:rsidRPr="00BE573F">
        <w:rPr>
          <w:rFonts w:hint="cs"/>
          <w:rtl/>
        </w:rPr>
        <w:t xml:space="preserve"> </w:t>
      </w:r>
      <w:r w:rsidRPr="00BE573F">
        <w:rPr>
          <w:rFonts w:ascii="Traditional Arabic" w:hAnsi="Traditional Arabic" w:hint="cs"/>
          <w:noProof w:val="0"/>
          <w:color w:val="auto"/>
          <w:rtl/>
          <w:lang w:eastAsia="en-US"/>
        </w:rPr>
        <w:t>ذلك على أن الأصل في العقود</w:t>
      </w:r>
      <w:r w:rsidR="00154102" w:rsidRPr="00BE573F">
        <w:rPr>
          <w:rFonts w:ascii="Traditional Arabic" w:hAnsi="Traditional Arabic" w:hint="cs"/>
          <w:noProof w:val="0"/>
          <w:color w:val="auto"/>
          <w:rtl/>
          <w:lang w:eastAsia="en-US"/>
        </w:rPr>
        <w:t xml:space="preserve"> و</w:t>
      </w:r>
      <w:r w:rsidRPr="00BE573F">
        <w:rPr>
          <w:rFonts w:ascii="Traditional Arabic" w:hAnsi="Traditional Arabic" w:hint="cs"/>
          <w:noProof w:val="0"/>
          <w:color w:val="auto"/>
          <w:rtl/>
          <w:lang w:eastAsia="en-US"/>
        </w:rPr>
        <w:t>الشروط الصحة</w:t>
      </w:r>
      <w:r w:rsidR="00154102" w:rsidRPr="00BE573F">
        <w:rPr>
          <w:rFonts w:ascii="Traditional Arabic" w:hAnsi="Traditional Arabic" w:hint="cs"/>
          <w:noProof w:val="0"/>
          <w:color w:val="auto"/>
          <w:rtl/>
          <w:lang w:eastAsia="en-US"/>
        </w:rPr>
        <w:t xml:space="preserve"> و</w:t>
      </w:r>
      <w:r w:rsidRPr="00BE573F">
        <w:rPr>
          <w:rFonts w:ascii="Traditional Arabic" w:hAnsi="Traditional Arabic" w:hint="cs"/>
          <w:noProof w:val="0"/>
          <w:color w:val="auto"/>
          <w:rtl/>
          <w:lang w:eastAsia="en-US"/>
        </w:rPr>
        <w:t>الجواز</w:t>
      </w:r>
      <w:r w:rsidRPr="00662882">
        <w:rPr>
          <w:rFonts w:ascii="Traditional Arabic" w:hAnsi="Traditional Arabic" w:hint="cs"/>
          <w:b/>
          <w:bCs/>
          <w:noProof w:val="0"/>
          <w:color w:val="auto"/>
          <w:rtl/>
          <w:lang w:eastAsia="en-US"/>
        </w:rPr>
        <w:t xml:space="preserve">؛ </w:t>
      </w:r>
      <w:r w:rsidRPr="00662882">
        <w:rPr>
          <w:rFonts w:ascii="Traditional Arabic" w:hAnsi="Traditional Arabic" w:hint="cs"/>
          <w:noProof w:val="0"/>
          <w:color w:val="auto"/>
          <w:rtl/>
          <w:lang w:eastAsia="en-US"/>
        </w:rPr>
        <w:t>لأن الشريعة لا تأمر بإنفاذِ ما هو محرَّم</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باطل</w:t>
      </w:r>
      <w:r w:rsidRPr="00C821A1">
        <w:rPr>
          <w:rStyle w:val="af1"/>
          <w:szCs w:val="32"/>
          <w:rtl/>
        </w:rPr>
        <w:t>(</w:t>
      </w:r>
      <w:r w:rsidRPr="00C821A1">
        <w:rPr>
          <w:rStyle w:val="af1"/>
          <w:szCs w:val="32"/>
          <w:rtl/>
        </w:rPr>
        <w:footnoteReference w:id="1152"/>
      </w:r>
      <w:r w:rsidRPr="00C821A1">
        <w:rPr>
          <w:rStyle w:val="af1"/>
          <w:szCs w:val="32"/>
          <w:rtl/>
        </w:rPr>
        <w:t>)</w:t>
      </w:r>
      <w:r w:rsidRPr="00662882">
        <w:rPr>
          <w:rFonts w:ascii="Traditional Arabic" w:hAnsi="Traditional Arabic" w:hint="cs"/>
          <w:noProof w:val="0"/>
          <w:color w:val="auto"/>
          <w:rtl/>
          <w:lang w:eastAsia="en-US"/>
        </w:rPr>
        <w:t>.</w:t>
      </w:r>
    </w:p>
    <w:p w:rsidR="00065E4B" w:rsidRDefault="004775DA" w:rsidP="000A76C7">
      <w:pPr>
        <w:pStyle w:val="afc"/>
        <w:widowControl/>
        <w:numPr>
          <w:ilvl w:val="0"/>
          <w:numId w:val="156"/>
        </w:numPr>
        <w:autoSpaceDE w:val="0"/>
        <w:autoSpaceDN w:val="0"/>
        <w:adjustRightInd w:val="0"/>
        <w:jc w:val="left"/>
        <w:rPr>
          <w:rFonts w:ascii="Traditional Arabic" w:hAnsi="Traditional Arabic"/>
          <w:noProof w:val="0"/>
          <w:color w:val="auto"/>
          <w:lang w:eastAsia="en-US"/>
        </w:rPr>
      </w:pPr>
      <w:r>
        <w:rPr>
          <w:rFonts w:ascii="Traditional Arabic" w:hAnsi="Traditional Arabic" w:hint="cs"/>
          <w:noProof w:val="0"/>
          <w:color w:val="auto"/>
          <w:rtl/>
          <w:lang w:eastAsia="en-US"/>
        </w:rPr>
        <w:t>قوله تعالى:</w:t>
      </w:r>
      <w:bookmarkStart w:id="227" w:name="سورة_الإسراء_24"/>
      <w:r w:rsidR="00BE573F">
        <w:rPr>
          <w:rFonts w:ascii="Traditional Arabic" w:hAnsi="Traditional Arabic" w:hint="cs"/>
          <w:noProof w:val="0"/>
          <w:color w:val="auto"/>
          <w:rtl/>
          <w:lang w:eastAsia="en-US"/>
        </w:rPr>
        <w:t xml:space="preserve"> </w:t>
      </w:r>
      <w:r w:rsidRPr="00D84B4C">
        <w:rPr>
          <w:rFonts w:ascii="QCF_BSML" w:hAnsi="QCF_BSML" w:cs="QCF_BSML"/>
          <w:noProof w:val="0"/>
          <w:rtl/>
          <w:lang w:eastAsia="en-US"/>
        </w:rPr>
        <w:t xml:space="preserve">ﭽ </w:t>
      </w:r>
      <w:r w:rsidRPr="00D84B4C">
        <w:rPr>
          <w:rFonts w:ascii="QCF_P285" w:hAnsi="QCF_P285" w:cs="QCF_P285"/>
          <w:noProof w:val="0"/>
          <w:rtl/>
          <w:lang w:eastAsia="en-US"/>
        </w:rPr>
        <w:t>ﯚﯛ</w:t>
      </w:r>
      <w:r w:rsidRPr="00D84B4C">
        <w:rPr>
          <w:rFonts w:ascii="QCF_P285" w:hAnsi="QCF_P285" w:cs="QCF_P285"/>
          <w:noProof w:val="0"/>
          <w:color w:val="0000A5"/>
          <w:rtl/>
          <w:lang w:eastAsia="en-US"/>
        </w:rPr>
        <w:t>ﯜ</w:t>
      </w:r>
      <w:r w:rsidRPr="00D84B4C">
        <w:rPr>
          <w:rFonts w:ascii="QCF_P285" w:hAnsi="QCF_P285" w:cs="QCF_P285"/>
          <w:noProof w:val="0"/>
          <w:rtl/>
          <w:lang w:eastAsia="en-US"/>
        </w:rPr>
        <w:t>ﯝﯞﯟﯠ</w:t>
      </w:r>
      <w:r w:rsidRPr="00D84B4C">
        <w:rPr>
          <w:rFonts w:ascii="QCF_BSML" w:hAnsi="QCF_BSML" w:cs="QCF_BSML"/>
          <w:noProof w:val="0"/>
          <w:rtl/>
          <w:lang w:eastAsia="en-US"/>
        </w:rPr>
        <w:t>ﭼ</w:t>
      </w:r>
      <w:bookmarkEnd w:id="227"/>
      <w:r>
        <w:rPr>
          <w:rFonts w:ascii="Traditional Arabic" w:hAnsi="Traditional Arabic" w:hint="cs"/>
          <w:noProof w:val="0"/>
          <w:color w:val="auto"/>
          <w:rtl/>
          <w:lang w:eastAsia="en-US"/>
        </w:rPr>
        <w:t>[</w:t>
      </w:r>
      <w:r w:rsidRPr="00D84B4C">
        <w:rPr>
          <w:rFonts w:ascii="Traditional Arabic" w:hAnsi="Traditional Arabic"/>
          <w:noProof w:val="0"/>
          <w:color w:val="auto"/>
          <w:rtl/>
          <w:lang w:eastAsia="en-US"/>
        </w:rPr>
        <w:t>الإسراء: ٣٤</w:t>
      </w:r>
      <w:r>
        <w:rPr>
          <w:rFonts w:ascii="Traditional Arabic" w:hAnsi="Traditional Arabic" w:hint="cs"/>
          <w:noProof w:val="0"/>
          <w:color w:val="auto"/>
          <w:rtl/>
          <w:lang w:eastAsia="en-US"/>
        </w:rPr>
        <w:t>].</w:t>
      </w:r>
    </w:p>
    <w:p w:rsidR="004775DA" w:rsidRPr="00C50319" w:rsidRDefault="00065E4B" w:rsidP="00597C20">
      <w:pPr>
        <w:pStyle w:val="53"/>
        <w:rPr>
          <w:rtl/>
        </w:rPr>
      </w:pPr>
      <w:r w:rsidRPr="00C50319">
        <w:rPr>
          <w:rFonts w:hint="cs"/>
          <w:rtl/>
        </w:rPr>
        <w:t>و</w:t>
      </w:r>
      <w:r w:rsidR="004775DA" w:rsidRPr="00C50319">
        <w:rPr>
          <w:rFonts w:hint="cs"/>
          <w:rtl/>
        </w:rPr>
        <w:t>جه الدلالة:</w:t>
      </w:r>
    </w:p>
    <w:p w:rsidR="004775DA" w:rsidRPr="00662882" w:rsidRDefault="004775DA" w:rsidP="00597C20">
      <w:pPr>
        <w:widowControl/>
        <w:autoSpaceDE w:val="0"/>
        <w:autoSpaceDN w:val="0"/>
        <w:adjustRightInd w:val="0"/>
        <w:ind w:firstLine="720"/>
        <w:rPr>
          <w:rFonts w:ascii="Traditional Arabic" w:hAnsi="Traditional Arabic"/>
          <w:noProof w:val="0"/>
          <w:color w:val="auto"/>
          <w:lang w:eastAsia="en-US"/>
        </w:rPr>
      </w:pPr>
      <w:r w:rsidRPr="00662882">
        <w:rPr>
          <w:rFonts w:ascii="Traditional Arabic" w:hAnsi="Traditional Arabic" w:hint="cs"/>
          <w:noProof w:val="0"/>
          <w:color w:val="auto"/>
          <w:rtl/>
          <w:lang w:eastAsia="en-US"/>
        </w:rPr>
        <w:t>أمر الله تعالى بالوفاء بالعهد،</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الشرطُ عهد؛ لأن المشترِط على نفسه شروطا معاهِدٌ لمن اشترط له، فدلت الآية على جواز الشروط</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الوفاء بها</w:t>
      </w:r>
      <w:r w:rsidRPr="00C821A1">
        <w:rPr>
          <w:rStyle w:val="af1"/>
          <w:szCs w:val="32"/>
          <w:rtl/>
        </w:rPr>
        <w:t>(</w:t>
      </w:r>
      <w:r w:rsidRPr="00C821A1">
        <w:rPr>
          <w:rStyle w:val="af1"/>
          <w:szCs w:val="32"/>
          <w:rtl/>
        </w:rPr>
        <w:footnoteReference w:id="1153"/>
      </w:r>
      <w:r w:rsidRPr="00C821A1">
        <w:rPr>
          <w:rStyle w:val="af1"/>
          <w:szCs w:val="32"/>
          <w:rtl/>
        </w:rPr>
        <w:t>)</w:t>
      </w:r>
      <w:r w:rsidRPr="00662882">
        <w:rPr>
          <w:rFonts w:ascii="Traditional Arabic" w:hAnsi="Traditional Arabic" w:hint="cs"/>
          <w:noProof w:val="0"/>
          <w:color w:val="auto"/>
          <w:rtl/>
          <w:lang w:eastAsia="en-US"/>
        </w:rPr>
        <w:t>.</w:t>
      </w:r>
    </w:p>
    <w:p w:rsidR="004775DA" w:rsidRDefault="00BE573F" w:rsidP="000A76C7">
      <w:pPr>
        <w:pStyle w:val="afc"/>
        <w:widowControl/>
        <w:numPr>
          <w:ilvl w:val="0"/>
          <w:numId w:val="156"/>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حديث</w:t>
      </w:r>
      <w:r w:rsidR="004775DA">
        <w:rPr>
          <w:rFonts w:ascii="Traditional Arabic" w:hAnsi="Traditional Arabic" w:hint="cs"/>
          <w:noProof w:val="0"/>
          <w:color w:val="auto"/>
          <w:rtl/>
          <w:lang w:eastAsia="en-US"/>
        </w:rPr>
        <w:t xml:space="preserve"> أبي هريرة </w:t>
      </w:r>
      <w:r>
        <w:rPr>
          <w:rFonts w:ascii="Traditional Arabic" w:hAnsi="Traditional Arabic" w:hint="cs"/>
          <w:noProof w:val="0"/>
          <w:color w:val="auto"/>
          <w:rtl/>
          <w:lang w:eastAsia="en-US"/>
        </w:rPr>
        <w:t>_</w:t>
      </w:r>
      <w:r w:rsidR="004775DA" w:rsidRPr="002D43FD">
        <w:rPr>
          <w:rFonts w:ascii="Traditional Arabic" w:hAnsi="Traditional Arabic" w:cs="CTraditional Arabic" w:hint="cs"/>
          <w:noProof w:val="0"/>
          <w:color w:val="auto"/>
          <w:rtl/>
          <w:lang w:eastAsia="en-US"/>
        </w:rPr>
        <w:t>ط</w:t>
      </w:r>
      <w:r>
        <w:rPr>
          <w:rFonts w:ascii="Traditional Arabic" w:hAnsi="Traditional Arabic" w:hint="cs"/>
          <w:noProof w:val="0"/>
          <w:color w:val="auto"/>
          <w:rtl/>
          <w:lang w:eastAsia="en-US"/>
        </w:rPr>
        <w:t>_</w:t>
      </w:r>
      <w:r w:rsidR="004775DA">
        <w:rPr>
          <w:rFonts w:ascii="Traditional Arabic" w:hAnsi="Traditional Arabic" w:hint="cs"/>
          <w:noProof w:val="0"/>
          <w:color w:val="auto"/>
          <w:rtl/>
          <w:lang w:eastAsia="en-US"/>
        </w:rPr>
        <w:t xml:space="preserve"> قال: قال رسول الله </w:t>
      </w:r>
      <w:r w:rsidR="004775DA" w:rsidRPr="002D43FD">
        <w:rPr>
          <w:rFonts w:ascii="Traditional Arabic" w:hAnsi="Traditional Arabic" w:cs="CTraditional Arabic" w:hint="cs"/>
          <w:noProof w:val="0"/>
          <w:color w:val="auto"/>
          <w:rtl/>
          <w:lang w:eastAsia="en-US"/>
        </w:rPr>
        <w:t>&gt;</w:t>
      </w:r>
      <w:r w:rsidR="004775DA">
        <w:rPr>
          <w:rFonts w:ascii="Traditional Arabic" w:hAnsi="Traditional Arabic" w:hint="cs"/>
          <w:noProof w:val="0"/>
          <w:color w:val="auto"/>
          <w:rtl/>
          <w:lang w:eastAsia="en-US"/>
        </w:rPr>
        <w:t xml:space="preserve">:" الصلح جائز بين المسلمين، إلا صلحا أحل حراما أو حرم حلالا، </w:t>
      </w:r>
      <w:r w:rsidR="004775DA" w:rsidRPr="00BE573F">
        <w:rPr>
          <w:rFonts w:ascii="Traditional Arabic" w:hAnsi="Traditional Arabic" w:hint="cs"/>
          <w:noProof w:val="0"/>
          <w:color w:val="auto"/>
          <w:rtl/>
          <w:lang w:eastAsia="en-US"/>
        </w:rPr>
        <w:t>والمسلمون على شروطهم</w:t>
      </w:r>
      <w:r w:rsidR="00AB0B9E">
        <w:rPr>
          <w:rFonts w:ascii="Traditional Arabic" w:hAnsi="Traditional Arabic"/>
          <w:b/>
          <w:bCs/>
          <w:noProof w:val="0"/>
          <w:color w:val="auto"/>
          <w:rtl/>
          <w:lang w:eastAsia="en-US"/>
        </w:rPr>
        <w:fldChar w:fldCharType="begin"/>
      </w:r>
      <w:r w:rsidR="00CB737C" w:rsidRPr="00C85F0F">
        <w:instrText>XE</w:instrText>
      </w:r>
      <w:r w:rsidR="00CB737C" w:rsidRPr="00C85F0F">
        <w:rPr>
          <w:rtl/>
        </w:rPr>
        <w:instrText xml:space="preserve"> "</w:instrText>
      </w:r>
      <w:r w:rsidR="00CB737C" w:rsidRPr="00C85F0F">
        <w:rPr>
          <w:rFonts w:ascii="Traditional Arabic" w:hAnsi="Traditional Arabic" w:hint="cs"/>
          <w:noProof w:val="0"/>
          <w:color w:val="auto"/>
          <w:rtl/>
          <w:lang w:eastAsia="en-US"/>
        </w:rPr>
        <w:instrText xml:space="preserve">الصلح جائز بين المسلمين، </w:instrText>
      </w:r>
      <w:r w:rsidR="00E36E3D" w:rsidRPr="00C85F0F">
        <w:rPr>
          <w:rFonts w:ascii="Traditional Arabic" w:hAnsi="Traditional Arabic" w:hint="cs"/>
          <w:noProof w:val="0"/>
          <w:color w:val="auto"/>
          <w:rtl/>
          <w:lang w:eastAsia="en-US"/>
        </w:rPr>
        <w:instrText>......</w:instrText>
      </w:r>
      <w:r w:rsidR="00CB737C" w:rsidRPr="00C85F0F">
        <w:rPr>
          <w:rFonts w:ascii="Traditional Arabic" w:hAnsi="Traditional Arabic" w:hint="cs"/>
          <w:noProof w:val="0"/>
          <w:color w:val="auto"/>
          <w:rtl/>
          <w:lang w:eastAsia="en-US"/>
        </w:rPr>
        <w:instrText>، والمسلمون على شروطهم</w:instrText>
      </w:r>
      <w:r w:rsidR="00CB737C" w:rsidRPr="00C85F0F">
        <w:rPr>
          <w:rtl/>
        </w:rPr>
        <w:instrText>" \</w:instrText>
      </w:r>
      <w:r w:rsidR="00CB737C" w:rsidRPr="00C85F0F">
        <w:instrText>f</w:instrText>
      </w:r>
      <w:r w:rsidR="00CB737C">
        <w:instrText>h</w:instrText>
      </w:r>
      <w:r w:rsidR="00AB0B9E">
        <w:rPr>
          <w:rFonts w:ascii="Traditional Arabic" w:hAnsi="Traditional Arabic"/>
          <w:b/>
          <w:bCs/>
          <w:noProof w:val="0"/>
          <w:color w:val="auto"/>
          <w:rtl/>
          <w:lang w:eastAsia="en-US"/>
        </w:rPr>
        <w:fldChar w:fldCharType="end"/>
      </w:r>
      <w:r w:rsidR="004775DA">
        <w:rPr>
          <w:rFonts w:ascii="Traditional Arabic" w:hAnsi="Traditional Arabic" w:hint="cs"/>
          <w:noProof w:val="0"/>
          <w:color w:val="auto"/>
          <w:rtl/>
          <w:lang w:eastAsia="en-US"/>
        </w:rPr>
        <w:t>"</w:t>
      </w:r>
      <w:r w:rsidR="004775DA" w:rsidRPr="00C821A1">
        <w:rPr>
          <w:rStyle w:val="af1"/>
          <w:szCs w:val="32"/>
          <w:rtl/>
        </w:rPr>
        <w:t>(</w:t>
      </w:r>
      <w:r w:rsidR="004775DA" w:rsidRPr="00C821A1">
        <w:rPr>
          <w:rStyle w:val="af1"/>
          <w:szCs w:val="32"/>
          <w:rtl/>
        </w:rPr>
        <w:footnoteReference w:id="1154"/>
      </w:r>
      <w:r w:rsidR="004775DA" w:rsidRPr="00C821A1">
        <w:rPr>
          <w:rStyle w:val="af1"/>
          <w:szCs w:val="32"/>
          <w:rtl/>
        </w:rPr>
        <w:t>)</w:t>
      </w:r>
      <w:r w:rsidR="004775DA">
        <w:rPr>
          <w:rFonts w:ascii="Traditional Arabic" w:hAnsi="Traditional Arabic" w:hint="cs"/>
          <w:noProof w:val="0"/>
          <w:color w:val="auto"/>
          <w:rtl/>
          <w:lang w:eastAsia="en-US"/>
        </w:rPr>
        <w:t>.</w:t>
      </w:r>
    </w:p>
    <w:p w:rsidR="004775DA" w:rsidRDefault="004775DA" w:rsidP="00597C20">
      <w:pPr>
        <w:pStyle w:val="53"/>
        <w:rPr>
          <w:rtl/>
        </w:rPr>
      </w:pPr>
      <w:r w:rsidRPr="00D84B4C">
        <w:rPr>
          <w:rFonts w:hint="cs"/>
          <w:rtl/>
        </w:rPr>
        <w:lastRenderedPageBreak/>
        <w:t>وجه الدلالة:</w:t>
      </w:r>
    </w:p>
    <w:p w:rsidR="00F228A9" w:rsidRPr="00662882" w:rsidRDefault="004775DA" w:rsidP="00597C20">
      <w:pPr>
        <w:widowControl/>
        <w:autoSpaceDE w:val="0"/>
        <w:autoSpaceDN w:val="0"/>
        <w:adjustRightInd w:val="0"/>
        <w:ind w:firstLine="720"/>
        <w:jc w:val="left"/>
        <w:rPr>
          <w:rFonts w:ascii="Traditional Arabic" w:hAnsi="Traditional Arabic"/>
          <w:noProof w:val="0"/>
          <w:color w:val="auto"/>
          <w:lang w:eastAsia="en-US"/>
        </w:rPr>
      </w:pPr>
      <w:r w:rsidRPr="00662882">
        <w:rPr>
          <w:rFonts w:ascii="Traditional Arabic" w:hAnsi="Traditional Arabic" w:hint="cs"/>
          <w:noProof w:val="0"/>
          <w:color w:val="auto"/>
          <w:rtl/>
          <w:lang w:eastAsia="en-US"/>
        </w:rPr>
        <w:t>يدل هذا الحديث على أن ما اشترطه الإنسان فهو ثابت في حقه إلا إذا خالف شرطَ الله</w:t>
      </w:r>
      <w:r w:rsidR="00BE573F">
        <w:rPr>
          <w:rFonts w:ascii="Traditional Arabic" w:hAnsi="Traditional Arabic" w:hint="cs"/>
          <w:noProof w:val="0"/>
          <w:color w:val="auto"/>
          <w:rtl/>
          <w:lang w:eastAsia="en-US"/>
        </w:rPr>
        <w:t>_</w:t>
      </w:r>
      <w:r w:rsidRPr="00662882">
        <w:rPr>
          <w:rFonts w:ascii="Traditional Arabic" w:hAnsi="Traditional Arabic" w:hint="cs"/>
          <w:noProof w:val="0"/>
          <w:color w:val="auto"/>
          <w:rtl/>
          <w:lang w:eastAsia="en-US"/>
        </w:rPr>
        <w:t xml:space="preserve"> </w:t>
      </w:r>
      <w:r w:rsidR="00866D6A" w:rsidRPr="00866D6A">
        <w:rPr>
          <w:rFonts w:hint="cs"/>
          <w:rtl/>
          <w:lang w:eastAsia="en-US"/>
        </w:rPr>
        <w:sym w:font="AGA Arabesque" w:char="F055"/>
      </w:r>
      <w:r w:rsidR="00BE573F">
        <w:rPr>
          <w:rFonts w:ascii="Traditional Arabic" w:hAnsi="Traditional Arabic" w:hint="cs"/>
          <w:noProof w:val="0"/>
          <w:color w:val="auto"/>
          <w:rtl/>
          <w:lang w:eastAsia="en-US"/>
        </w:rPr>
        <w:t>_</w:t>
      </w:r>
      <w:r w:rsidRPr="00662882">
        <w:rPr>
          <w:rFonts w:ascii="Traditional Arabic" w:hAnsi="Traditional Arabic" w:hint="cs"/>
          <w:noProof w:val="0"/>
          <w:color w:val="auto"/>
          <w:rtl/>
          <w:lang w:eastAsia="en-US"/>
        </w:rPr>
        <w:t xml:space="preserve"> بأن أَحلّ حراما أو حَرّم حلالا</w:t>
      </w:r>
      <w:r w:rsidRPr="00C821A1">
        <w:rPr>
          <w:rStyle w:val="af1"/>
          <w:szCs w:val="32"/>
          <w:rtl/>
        </w:rPr>
        <w:t>(</w:t>
      </w:r>
      <w:r w:rsidRPr="00C821A1">
        <w:rPr>
          <w:rStyle w:val="af1"/>
          <w:szCs w:val="32"/>
          <w:rtl/>
        </w:rPr>
        <w:footnoteReference w:id="1155"/>
      </w:r>
      <w:r w:rsidRPr="00C821A1">
        <w:rPr>
          <w:rStyle w:val="af1"/>
          <w:szCs w:val="32"/>
          <w:rtl/>
        </w:rPr>
        <w:t>)</w:t>
      </w:r>
      <w:r w:rsidRPr="00662882">
        <w:rPr>
          <w:rFonts w:ascii="Traditional Arabic" w:hAnsi="Traditional Arabic" w:hint="cs"/>
          <w:noProof w:val="0"/>
          <w:color w:val="auto"/>
          <w:rtl/>
          <w:lang w:eastAsia="en-US"/>
        </w:rPr>
        <w:t>.</w:t>
      </w:r>
    </w:p>
    <w:p w:rsidR="004775DA" w:rsidRDefault="00DB48EF" w:rsidP="000A76C7">
      <w:pPr>
        <w:pStyle w:val="afc"/>
        <w:widowControl/>
        <w:numPr>
          <w:ilvl w:val="0"/>
          <w:numId w:val="156"/>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حديث</w:t>
      </w:r>
      <w:r w:rsidR="004775DA">
        <w:rPr>
          <w:rFonts w:ascii="Traditional Arabic" w:hAnsi="Traditional Arabic" w:hint="cs"/>
          <w:noProof w:val="0"/>
          <w:color w:val="auto"/>
          <w:rtl/>
          <w:lang w:eastAsia="en-US"/>
        </w:rPr>
        <w:t xml:space="preserve"> عُقْبة بن عامِر الجهني</w:t>
      </w:r>
      <w:r w:rsidR="00AB0B9E" w:rsidRPr="00C85F0F">
        <w:rPr>
          <w:rFonts w:ascii="Traditional Arabic" w:hAnsi="Traditional Arabic"/>
          <w:noProof w:val="0"/>
          <w:color w:val="auto"/>
          <w:rtl/>
          <w:lang w:eastAsia="en-US"/>
        </w:rPr>
        <w:fldChar w:fldCharType="begin"/>
      </w:r>
      <w:r w:rsidR="004F50F0" w:rsidRPr="00C85F0F">
        <w:rPr>
          <w:rFonts w:ascii="Traditional Arabic" w:hAnsi="Traditional Arabic" w:hint="cs"/>
          <w:noProof w:val="0"/>
          <w:color w:val="auto"/>
          <w:lang w:eastAsia="en-US"/>
        </w:rPr>
        <w:instrText>XE</w:instrText>
      </w:r>
      <w:r w:rsidR="004F50F0" w:rsidRPr="00C85F0F">
        <w:rPr>
          <w:rFonts w:ascii="Traditional Arabic" w:hAnsi="Traditional Arabic"/>
          <w:noProof w:val="0"/>
          <w:color w:val="auto"/>
          <w:rtl/>
          <w:lang w:eastAsia="en-US"/>
        </w:rPr>
        <w:instrText xml:space="preserve"> "</w:instrText>
      </w:r>
      <w:r w:rsidR="004F50F0" w:rsidRPr="00C85F0F">
        <w:rPr>
          <w:rFonts w:ascii="Traditional Arabic" w:hAnsi="Traditional Arabic" w:hint="cs"/>
          <w:noProof w:val="0"/>
          <w:color w:val="auto"/>
          <w:rtl/>
          <w:lang w:eastAsia="en-US"/>
        </w:rPr>
        <w:instrText>عُقْبة بن عامِر الجهني</w:instrText>
      </w:r>
      <w:r w:rsidR="004F50F0" w:rsidRPr="00C85F0F">
        <w:rPr>
          <w:rtl/>
        </w:rPr>
        <w:instrText>"\</w:instrText>
      </w:r>
      <w:r w:rsidR="004F50F0" w:rsidRPr="00C85F0F">
        <w:instrText>fa</w:instrText>
      </w:r>
      <w:r w:rsidR="004F50F0" w:rsidRPr="00C85F0F">
        <w:rPr>
          <w:rtl/>
        </w:rPr>
        <w:instrText>"</w:instrText>
      </w:r>
      <w:r w:rsidR="00AB0B9E" w:rsidRPr="00C85F0F">
        <w:rPr>
          <w:rFonts w:ascii="Traditional Arabic" w:hAnsi="Traditional Arabic"/>
          <w:noProof w:val="0"/>
          <w:color w:val="auto"/>
          <w:rtl/>
          <w:lang w:eastAsia="en-US"/>
        </w:rPr>
        <w:fldChar w:fldCharType="end"/>
      </w:r>
      <w:r w:rsidR="00853E7C">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_</w:t>
      </w:r>
      <w:r w:rsidR="00853E7C">
        <w:rPr>
          <w:rFonts w:ascii="Traditional Arabic" w:hAnsi="Traditional Arabic" w:hint="cs"/>
          <w:noProof w:val="0"/>
          <w:color w:val="auto"/>
          <w:rtl/>
          <w:lang w:eastAsia="en-US"/>
        </w:rPr>
        <w:t>رضي الله عنه</w:t>
      </w:r>
      <w:r>
        <w:rPr>
          <w:rFonts w:ascii="Traditional Arabic" w:hAnsi="Traditional Arabic" w:hint="cs"/>
          <w:noProof w:val="0"/>
          <w:color w:val="auto"/>
          <w:rtl/>
          <w:lang w:eastAsia="en-US"/>
        </w:rPr>
        <w:t>_</w:t>
      </w:r>
      <w:r w:rsidR="004775DA" w:rsidRPr="00C85F0F">
        <w:rPr>
          <w:rStyle w:val="af1"/>
          <w:szCs w:val="32"/>
          <w:rtl/>
        </w:rPr>
        <w:t>(</w:t>
      </w:r>
      <w:r w:rsidR="004775DA" w:rsidRPr="00C85F0F">
        <w:rPr>
          <w:rStyle w:val="af1"/>
          <w:szCs w:val="32"/>
          <w:rtl/>
        </w:rPr>
        <w:footnoteReference w:id="1156"/>
      </w:r>
      <w:r w:rsidR="004775DA" w:rsidRPr="00C85F0F">
        <w:rPr>
          <w:rStyle w:val="af1"/>
          <w:szCs w:val="32"/>
          <w:rtl/>
        </w:rPr>
        <w:t>)</w:t>
      </w:r>
      <w:r w:rsidR="00853E7C">
        <w:rPr>
          <w:rFonts w:ascii="Traditional Arabic" w:hAnsi="Traditional Arabic" w:hint="cs"/>
          <w:noProof w:val="0"/>
          <w:color w:val="auto"/>
          <w:rtl/>
          <w:lang w:eastAsia="en-US"/>
        </w:rPr>
        <w:t xml:space="preserve">أن رسول الله </w:t>
      </w:r>
      <w:r w:rsidR="00853E7C">
        <w:rPr>
          <w:rFonts w:ascii="Traditional Arabic" w:hAnsi="Traditional Arabic" w:hint="cs"/>
          <w:rtl/>
        </w:rPr>
        <w:t>صلى الله عليه وسلم</w:t>
      </w:r>
      <w:r w:rsidR="00853E7C" w:rsidRPr="00B914DF">
        <w:rPr>
          <w:rFonts w:ascii="Traditional Arabic" w:hAnsi="Traditional Arabic"/>
          <w:rtl/>
        </w:rPr>
        <w:t xml:space="preserve"> </w:t>
      </w:r>
      <w:r w:rsidR="00853E7C">
        <w:rPr>
          <w:rFonts w:ascii="Traditional Arabic" w:hAnsi="Traditional Arabic" w:hint="cs"/>
          <w:rtl/>
        </w:rPr>
        <w:t>قا</w:t>
      </w:r>
      <w:r w:rsidR="004775DA" w:rsidRPr="00C85F0F">
        <w:rPr>
          <w:rFonts w:ascii="Traditional Arabic" w:hAnsi="Traditional Arabic" w:hint="cs"/>
          <w:noProof w:val="0"/>
          <w:color w:val="auto"/>
          <w:rtl/>
          <w:lang w:eastAsia="en-US"/>
        </w:rPr>
        <w:t>ل:" أ</w:t>
      </w:r>
      <w:r w:rsidR="00853E7C">
        <w:rPr>
          <w:rFonts w:ascii="Traditional Arabic" w:hAnsi="Traditional Arabic" w:hint="cs"/>
          <w:noProof w:val="0"/>
          <w:color w:val="auto"/>
          <w:rtl/>
          <w:lang w:eastAsia="en-US"/>
        </w:rPr>
        <w:t>َ</w:t>
      </w:r>
      <w:r w:rsidR="004775DA" w:rsidRPr="00C85F0F">
        <w:rPr>
          <w:rFonts w:ascii="Traditional Arabic" w:hAnsi="Traditional Arabic" w:hint="cs"/>
          <w:noProof w:val="0"/>
          <w:color w:val="auto"/>
          <w:rtl/>
          <w:lang w:eastAsia="en-US"/>
        </w:rPr>
        <w:t>ح</w:t>
      </w:r>
      <w:r w:rsidR="00853E7C">
        <w:rPr>
          <w:rFonts w:ascii="Traditional Arabic" w:hAnsi="Traditional Arabic" w:hint="cs"/>
          <w:noProof w:val="0"/>
          <w:color w:val="auto"/>
          <w:rtl/>
          <w:lang w:eastAsia="en-US"/>
        </w:rPr>
        <w:t>َ</w:t>
      </w:r>
      <w:r w:rsidR="004775DA" w:rsidRPr="00C85F0F">
        <w:rPr>
          <w:rFonts w:ascii="Traditional Arabic" w:hAnsi="Traditional Arabic" w:hint="cs"/>
          <w:noProof w:val="0"/>
          <w:color w:val="auto"/>
          <w:rtl/>
          <w:lang w:eastAsia="en-US"/>
        </w:rPr>
        <w:t>ق</w:t>
      </w:r>
      <w:r w:rsidR="00853E7C">
        <w:rPr>
          <w:rFonts w:ascii="Traditional Arabic" w:hAnsi="Traditional Arabic" w:hint="cs"/>
          <w:noProof w:val="0"/>
          <w:color w:val="auto"/>
          <w:rtl/>
          <w:lang w:eastAsia="en-US"/>
        </w:rPr>
        <w:t>ُّ</w:t>
      </w:r>
      <w:r w:rsidR="004775DA" w:rsidRPr="00C85F0F">
        <w:rPr>
          <w:rFonts w:ascii="Traditional Arabic" w:hAnsi="Traditional Arabic" w:hint="cs"/>
          <w:noProof w:val="0"/>
          <w:color w:val="auto"/>
          <w:rtl/>
          <w:lang w:eastAsia="en-US"/>
        </w:rPr>
        <w:t xml:space="preserve"> الشروط أن توَفّوا به ما استحللتم به الفروج</w:t>
      </w:r>
      <w:r w:rsidR="00AB0B9E" w:rsidRPr="00C85F0F">
        <w:rPr>
          <w:rFonts w:ascii="Traditional Arabic" w:hAnsi="Traditional Arabic"/>
          <w:noProof w:val="0"/>
          <w:color w:val="auto"/>
          <w:lang w:eastAsia="en-US"/>
        </w:rPr>
        <w:fldChar w:fldCharType="begin"/>
      </w:r>
      <w:r w:rsidR="00CB737C" w:rsidRPr="00C85F0F">
        <w:instrText>XE</w:instrText>
      </w:r>
      <w:r w:rsidR="00CB737C" w:rsidRPr="00C85F0F">
        <w:rPr>
          <w:rtl/>
        </w:rPr>
        <w:instrText xml:space="preserve"> "</w:instrText>
      </w:r>
      <w:r w:rsidR="00CB737C" w:rsidRPr="00C85F0F">
        <w:rPr>
          <w:rFonts w:ascii="Traditional Arabic" w:hAnsi="Traditional Arabic" w:hint="cs"/>
          <w:noProof w:val="0"/>
          <w:color w:val="auto"/>
          <w:rtl/>
          <w:lang w:eastAsia="en-US"/>
        </w:rPr>
        <w:instrText>أحق الشروط أن توَفّوا به ما استحللتم به الفروج</w:instrText>
      </w:r>
      <w:r w:rsidR="00CB737C" w:rsidRPr="00C85F0F">
        <w:rPr>
          <w:rtl/>
        </w:rPr>
        <w:instrText>" \</w:instrText>
      </w:r>
      <w:r w:rsidR="00CB737C" w:rsidRPr="00C85F0F">
        <w:instrText>fh</w:instrText>
      </w:r>
      <w:r w:rsidR="00AB0B9E" w:rsidRPr="00C85F0F">
        <w:rPr>
          <w:rFonts w:ascii="Traditional Arabic" w:hAnsi="Traditional Arabic"/>
          <w:noProof w:val="0"/>
          <w:color w:val="auto"/>
          <w:lang w:eastAsia="en-US"/>
        </w:rPr>
        <w:fldChar w:fldCharType="end"/>
      </w:r>
      <w:r w:rsidR="004775DA">
        <w:rPr>
          <w:rFonts w:ascii="Traditional Arabic" w:hAnsi="Traditional Arabic" w:hint="cs"/>
          <w:noProof w:val="0"/>
          <w:color w:val="auto"/>
          <w:rtl/>
          <w:lang w:eastAsia="en-US"/>
        </w:rPr>
        <w:t>"</w:t>
      </w:r>
      <w:r w:rsidR="004775DA" w:rsidRPr="00C821A1">
        <w:rPr>
          <w:rStyle w:val="af1"/>
          <w:szCs w:val="32"/>
          <w:rtl/>
        </w:rPr>
        <w:t>(</w:t>
      </w:r>
      <w:r w:rsidR="004775DA" w:rsidRPr="00C821A1">
        <w:rPr>
          <w:rStyle w:val="af1"/>
          <w:szCs w:val="32"/>
          <w:rtl/>
        </w:rPr>
        <w:footnoteReference w:id="1157"/>
      </w:r>
      <w:r w:rsidR="004775DA" w:rsidRPr="00C821A1">
        <w:rPr>
          <w:rStyle w:val="af1"/>
          <w:szCs w:val="32"/>
          <w:rtl/>
        </w:rPr>
        <w:t>)</w:t>
      </w:r>
      <w:r w:rsidR="004775DA">
        <w:rPr>
          <w:rFonts w:ascii="Traditional Arabic" w:hAnsi="Traditional Arabic" w:hint="cs"/>
          <w:noProof w:val="0"/>
          <w:color w:val="auto"/>
          <w:rtl/>
          <w:lang w:eastAsia="en-US"/>
        </w:rPr>
        <w:t>.</w:t>
      </w:r>
    </w:p>
    <w:p w:rsidR="00065E4B" w:rsidRDefault="004775DA" w:rsidP="00597C20">
      <w:pPr>
        <w:pStyle w:val="53"/>
        <w:rPr>
          <w:rtl/>
        </w:rPr>
      </w:pPr>
      <w:r w:rsidRPr="00CB73E5">
        <w:rPr>
          <w:rFonts w:hint="cs"/>
          <w:rtl/>
        </w:rPr>
        <w:t>وجه الدلالة:</w:t>
      </w:r>
    </w:p>
    <w:p w:rsidR="004775DA" w:rsidRPr="008A63FA" w:rsidRDefault="00065E4B" w:rsidP="00597C20">
      <w:pPr>
        <w:widowControl/>
        <w:autoSpaceDE w:val="0"/>
        <w:autoSpaceDN w:val="0"/>
        <w:adjustRightInd w:val="0"/>
        <w:ind w:firstLine="720"/>
        <w:rPr>
          <w:rFonts w:ascii="Traditional Arabic" w:hAnsi="Traditional Arabic"/>
          <w:noProof w:val="0"/>
          <w:color w:val="auto"/>
          <w:lang w:eastAsia="en-US"/>
        </w:rPr>
      </w:pPr>
      <w:r>
        <w:rPr>
          <w:rFonts w:ascii="Traditional Arabic" w:hAnsi="Traditional Arabic" w:hint="cs"/>
          <w:noProof w:val="0"/>
          <w:color w:val="auto"/>
          <w:rtl/>
          <w:lang w:eastAsia="en-US"/>
        </w:rPr>
        <w:t>د</w:t>
      </w:r>
      <w:r w:rsidR="00A86821">
        <w:rPr>
          <w:rFonts w:ascii="Traditional Arabic" w:hAnsi="Traditional Arabic" w:hint="cs"/>
          <w:noProof w:val="0"/>
          <w:color w:val="auto"/>
          <w:rtl/>
          <w:lang w:eastAsia="en-US"/>
        </w:rPr>
        <w:t>ل الحديث على استحقاق الشروط ل</w:t>
      </w:r>
      <w:r w:rsidR="004775DA">
        <w:rPr>
          <w:rFonts w:ascii="Traditional Arabic" w:hAnsi="Traditional Arabic" w:hint="cs"/>
          <w:noProof w:val="0"/>
          <w:color w:val="auto"/>
          <w:rtl/>
          <w:lang w:eastAsia="en-US"/>
        </w:rPr>
        <w:t>لوفاء،</w:t>
      </w:r>
      <w:r w:rsidR="00154102">
        <w:rPr>
          <w:rFonts w:ascii="Traditional Arabic" w:hAnsi="Traditional Arabic" w:hint="cs"/>
          <w:noProof w:val="0"/>
          <w:color w:val="auto"/>
          <w:rtl/>
          <w:lang w:eastAsia="en-US"/>
        </w:rPr>
        <w:t xml:space="preserve"> و</w:t>
      </w:r>
      <w:r w:rsidR="004775DA">
        <w:rPr>
          <w:rFonts w:ascii="Traditional Arabic" w:hAnsi="Traditional Arabic" w:hint="cs"/>
          <w:noProof w:val="0"/>
          <w:color w:val="auto"/>
          <w:rtl/>
          <w:lang w:eastAsia="en-US"/>
        </w:rPr>
        <w:t>أن شروط النكاح أحق بالوفاء من غيرها</w:t>
      </w:r>
      <w:r w:rsidR="004775DA" w:rsidRPr="00C821A1">
        <w:rPr>
          <w:rStyle w:val="af1"/>
          <w:szCs w:val="32"/>
          <w:rtl/>
        </w:rPr>
        <w:t>(</w:t>
      </w:r>
      <w:r w:rsidR="004775DA" w:rsidRPr="00C821A1">
        <w:rPr>
          <w:rStyle w:val="af1"/>
          <w:szCs w:val="32"/>
          <w:rtl/>
        </w:rPr>
        <w:footnoteReference w:id="1158"/>
      </w:r>
      <w:r w:rsidR="004775DA" w:rsidRPr="00C821A1">
        <w:rPr>
          <w:rStyle w:val="af1"/>
          <w:szCs w:val="32"/>
          <w:rtl/>
        </w:rPr>
        <w:t>)</w:t>
      </w:r>
      <w:r w:rsidR="004775DA">
        <w:rPr>
          <w:rFonts w:ascii="Traditional Arabic" w:hAnsi="Traditional Arabic" w:hint="cs"/>
          <w:noProof w:val="0"/>
          <w:color w:val="auto"/>
          <w:rtl/>
          <w:lang w:eastAsia="en-US"/>
        </w:rPr>
        <w:t>.</w:t>
      </w:r>
    </w:p>
    <w:p w:rsidR="004775DA" w:rsidRPr="00CB73E5" w:rsidRDefault="00DB48EF" w:rsidP="000A76C7">
      <w:pPr>
        <w:pStyle w:val="afc"/>
        <w:widowControl/>
        <w:numPr>
          <w:ilvl w:val="0"/>
          <w:numId w:val="156"/>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حديث</w:t>
      </w:r>
      <w:r w:rsidR="004775DA">
        <w:rPr>
          <w:rFonts w:ascii="Traditional Arabic" w:hAnsi="Traditional Arabic" w:hint="cs"/>
          <w:noProof w:val="0"/>
          <w:color w:val="auto"/>
          <w:rtl/>
          <w:lang w:eastAsia="en-US"/>
        </w:rPr>
        <w:t xml:space="preserve"> عائشة </w:t>
      </w:r>
      <w:r>
        <w:rPr>
          <w:rFonts w:ascii="Traditional Arabic" w:hAnsi="Traditional Arabic" w:hint="cs"/>
          <w:noProof w:val="0"/>
          <w:color w:val="auto"/>
          <w:rtl/>
          <w:lang w:eastAsia="en-US"/>
        </w:rPr>
        <w:t>_</w:t>
      </w:r>
      <w:r w:rsidR="004775DA" w:rsidRPr="002D43FD">
        <w:rPr>
          <w:rFonts w:ascii="Traditional Arabic" w:hAnsi="Traditional Arabic" w:cs="CTraditional Arabic" w:hint="cs"/>
          <w:noProof w:val="0"/>
          <w:color w:val="auto"/>
          <w:rtl/>
          <w:lang w:eastAsia="en-US"/>
        </w:rPr>
        <w:t>ك</w:t>
      </w:r>
      <w:r>
        <w:rPr>
          <w:rFonts w:ascii="Traditional Arabic" w:hAnsi="Traditional Arabic" w:hint="cs"/>
          <w:noProof w:val="0"/>
          <w:color w:val="auto"/>
          <w:rtl/>
          <w:lang w:eastAsia="en-US"/>
        </w:rPr>
        <w:t>_</w:t>
      </w:r>
      <w:r w:rsidR="004775DA">
        <w:rPr>
          <w:rFonts w:ascii="Traditional Arabic" w:hAnsi="Traditional Arabic" w:hint="cs"/>
          <w:noProof w:val="0"/>
          <w:color w:val="auto"/>
          <w:rtl/>
          <w:lang w:eastAsia="en-US"/>
        </w:rPr>
        <w:t xml:space="preserve"> قالت:قال رسول الله </w:t>
      </w:r>
      <w:r w:rsidR="004775DA" w:rsidRPr="002D43FD">
        <w:rPr>
          <w:rFonts w:ascii="Traditional Arabic" w:hAnsi="Traditional Arabic" w:cs="CTraditional Arabic" w:hint="cs"/>
          <w:noProof w:val="0"/>
          <w:color w:val="auto"/>
          <w:rtl/>
          <w:lang w:eastAsia="en-US"/>
        </w:rPr>
        <w:t>&gt;</w:t>
      </w:r>
      <w:r w:rsidR="004775DA">
        <w:rPr>
          <w:rFonts w:ascii="Traditional Arabic" w:hAnsi="Traditional Arabic" w:hint="cs"/>
          <w:noProof w:val="0"/>
          <w:color w:val="auto"/>
          <w:rtl/>
          <w:lang w:eastAsia="en-US"/>
        </w:rPr>
        <w:t>:"</w:t>
      </w:r>
      <w:r w:rsidR="004775DA" w:rsidRPr="00CB73E5">
        <w:rPr>
          <w:rFonts w:ascii="Traditional Arabic" w:hAnsi="Traditional Arabic"/>
          <w:noProof w:val="0"/>
          <w:rtl/>
          <w:lang w:eastAsia="en-US"/>
        </w:rPr>
        <w:t>كل شرط ليس في كتاب الله فهو باطل وإن كان مائة شرط</w:t>
      </w:r>
      <w:r w:rsidR="00AB0B9E">
        <w:rPr>
          <w:rFonts w:ascii="Traditional Arabic" w:hAnsi="Traditional Arabic"/>
          <w:noProof w:val="0"/>
          <w:rtl/>
          <w:lang w:eastAsia="en-US"/>
        </w:rPr>
        <w:fldChar w:fldCharType="begin"/>
      </w:r>
      <w:r w:rsidR="00154102" w:rsidRPr="00C85F0F">
        <w:instrText>XE</w:instrText>
      </w:r>
      <w:r w:rsidR="00154102" w:rsidRPr="00C85F0F">
        <w:rPr>
          <w:rtl/>
        </w:rPr>
        <w:instrText xml:space="preserve"> "</w:instrText>
      </w:r>
      <w:r w:rsidR="00154102" w:rsidRPr="00C85F0F">
        <w:rPr>
          <w:rFonts w:ascii="Traditional Arabic" w:hAnsi="Traditional Arabic"/>
          <w:noProof w:val="0"/>
          <w:rtl/>
          <w:lang w:eastAsia="en-US"/>
        </w:rPr>
        <w:instrText>كل شرط ليس في كتاب الله فهو باطل وإن كان مائة شرط</w:instrText>
      </w:r>
      <w:r w:rsidR="00154102" w:rsidRPr="00C85F0F">
        <w:rPr>
          <w:rtl/>
        </w:rPr>
        <w:instrText>" \</w:instrText>
      </w:r>
      <w:r w:rsidR="00154102" w:rsidRPr="00C85F0F">
        <w:instrText>f</w:instrText>
      </w:r>
      <w:r w:rsidR="00154102">
        <w:instrText>h</w:instrText>
      </w:r>
      <w:r w:rsidR="00AB0B9E">
        <w:rPr>
          <w:rFonts w:ascii="Traditional Arabic" w:hAnsi="Traditional Arabic"/>
          <w:noProof w:val="0"/>
          <w:rtl/>
          <w:lang w:eastAsia="en-US"/>
        </w:rPr>
        <w:fldChar w:fldCharType="end"/>
      </w:r>
      <w:r w:rsidR="004775DA">
        <w:rPr>
          <w:rFonts w:ascii="Traditional Arabic" w:hAnsi="Traditional Arabic" w:hint="cs"/>
          <w:noProof w:val="0"/>
          <w:color w:val="auto"/>
          <w:rtl/>
          <w:lang w:eastAsia="en-US"/>
        </w:rPr>
        <w:t>"</w:t>
      </w:r>
      <w:r w:rsidR="004775DA" w:rsidRPr="00C821A1">
        <w:rPr>
          <w:rStyle w:val="af1"/>
          <w:szCs w:val="32"/>
          <w:rtl/>
        </w:rPr>
        <w:t>(</w:t>
      </w:r>
      <w:r w:rsidR="004775DA" w:rsidRPr="00C821A1">
        <w:rPr>
          <w:rStyle w:val="af1"/>
          <w:szCs w:val="32"/>
          <w:rtl/>
        </w:rPr>
        <w:footnoteReference w:id="1159"/>
      </w:r>
      <w:r w:rsidR="004775DA" w:rsidRPr="00C821A1">
        <w:rPr>
          <w:rStyle w:val="af1"/>
          <w:szCs w:val="32"/>
          <w:rtl/>
        </w:rPr>
        <w:t>)</w:t>
      </w:r>
      <w:r w:rsidR="004775DA">
        <w:rPr>
          <w:rFonts w:ascii="Traditional Arabic" w:hAnsi="Traditional Arabic" w:hint="cs"/>
          <w:noProof w:val="0"/>
          <w:color w:val="auto"/>
          <w:rtl/>
          <w:lang w:eastAsia="en-US"/>
        </w:rPr>
        <w:t>.</w:t>
      </w:r>
    </w:p>
    <w:p w:rsidR="004775DA" w:rsidRDefault="004775DA" w:rsidP="00597C20">
      <w:pPr>
        <w:pStyle w:val="53"/>
        <w:rPr>
          <w:rtl/>
        </w:rPr>
      </w:pPr>
      <w:r w:rsidRPr="00D84B4C">
        <w:rPr>
          <w:rFonts w:hint="cs"/>
          <w:rtl/>
        </w:rPr>
        <w:t>وجه الدلالة:</w:t>
      </w:r>
    </w:p>
    <w:p w:rsidR="004775DA" w:rsidRPr="005F229F" w:rsidRDefault="004775DA"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الحديث يدل بمفهومه </w:t>
      </w:r>
      <w:r w:rsidR="00220B95">
        <w:rPr>
          <w:rFonts w:ascii="Traditional Arabic" w:hAnsi="Traditional Arabic" w:hint="cs"/>
          <w:noProof w:val="0"/>
          <w:color w:val="auto"/>
          <w:rtl/>
          <w:lang w:eastAsia="en-US"/>
        </w:rPr>
        <w:t xml:space="preserve">المخالف </w:t>
      </w:r>
      <w:r>
        <w:rPr>
          <w:rFonts w:ascii="Traditional Arabic" w:hAnsi="Traditional Arabic" w:hint="cs"/>
          <w:noProof w:val="0"/>
          <w:color w:val="auto"/>
          <w:rtl/>
          <w:lang w:eastAsia="en-US"/>
        </w:rPr>
        <w:t>على أن كل شرط في كتاب الله فهو صحيح</w:t>
      </w:r>
      <w:r w:rsidRPr="00C821A1">
        <w:rPr>
          <w:rStyle w:val="af1"/>
          <w:szCs w:val="32"/>
          <w:rtl/>
        </w:rPr>
        <w:t>(</w:t>
      </w:r>
      <w:r w:rsidRPr="00C821A1">
        <w:rPr>
          <w:rStyle w:val="af1"/>
          <w:szCs w:val="32"/>
          <w:rtl/>
        </w:rPr>
        <w:footnoteReference w:id="1160"/>
      </w:r>
      <w:r w:rsidRPr="00C821A1">
        <w:rPr>
          <w:rStyle w:val="af1"/>
          <w:szCs w:val="32"/>
          <w:rtl/>
        </w:rPr>
        <w:t>)</w:t>
      </w:r>
      <w:r>
        <w:rPr>
          <w:rFonts w:ascii="Traditional Arabic" w:hAnsi="Traditional Arabic" w:hint="cs"/>
          <w:noProof w:val="0"/>
          <w:color w:val="auto"/>
          <w:rtl/>
          <w:lang w:eastAsia="en-US"/>
        </w:rPr>
        <w:t>،</w:t>
      </w:r>
      <w:r w:rsidR="00063018">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فالإنسان إذا اشترط شرطا لا ينافي كتاب الله وجب عليه الوفاء به</w:t>
      </w:r>
      <w:r w:rsidRPr="00C821A1">
        <w:rPr>
          <w:rStyle w:val="af1"/>
          <w:szCs w:val="32"/>
          <w:rtl/>
        </w:rPr>
        <w:t>(</w:t>
      </w:r>
      <w:r w:rsidRPr="00C821A1">
        <w:rPr>
          <w:rStyle w:val="af1"/>
          <w:szCs w:val="32"/>
          <w:rtl/>
        </w:rPr>
        <w:footnoteReference w:id="1161"/>
      </w:r>
      <w:r w:rsidRPr="00C821A1">
        <w:rPr>
          <w:rStyle w:val="af1"/>
          <w:szCs w:val="32"/>
          <w:rtl/>
        </w:rPr>
        <w:t>)</w:t>
      </w:r>
      <w:r>
        <w:rPr>
          <w:rFonts w:ascii="Traditional Arabic" w:hAnsi="Traditional Arabic" w:hint="cs"/>
          <w:noProof w:val="0"/>
          <w:color w:val="auto"/>
          <w:rtl/>
          <w:lang w:eastAsia="en-US"/>
        </w:rPr>
        <w:t>.</w:t>
      </w:r>
    </w:p>
    <w:p w:rsidR="004775DA" w:rsidRPr="004775DA" w:rsidRDefault="00DB48EF" w:rsidP="00A8347C">
      <w:pPr>
        <w:pStyle w:val="aff3"/>
        <w:rPr>
          <w:rtl/>
        </w:rPr>
      </w:pPr>
      <w:bookmarkStart w:id="228" w:name="_Toc334046453"/>
      <w:r>
        <w:rPr>
          <w:rFonts w:hint="cs"/>
          <w:rtl/>
        </w:rPr>
        <w:lastRenderedPageBreak/>
        <w:t xml:space="preserve">                                           </w:t>
      </w:r>
      <w:r w:rsidR="004775DA" w:rsidRPr="004775DA">
        <w:rPr>
          <w:rFonts w:hint="cs"/>
          <w:rtl/>
        </w:rPr>
        <w:t>المطلب الرابع</w:t>
      </w:r>
      <w:r w:rsidR="004775DA">
        <w:rPr>
          <w:rFonts w:hint="eastAsia"/>
          <w:rtl/>
        </w:rPr>
        <w:t> :</w:t>
      </w:r>
      <w:r w:rsidR="004775DA">
        <w:rPr>
          <w:rFonts w:hint="cs"/>
          <w:rtl/>
        </w:rPr>
        <w:br/>
      </w:r>
      <w:r>
        <w:rPr>
          <w:rFonts w:hint="cs"/>
          <w:rtl/>
        </w:rPr>
        <w:t xml:space="preserve">                                          </w:t>
      </w:r>
      <w:r w:rsidR="004775DA" w:rsidRPr="004775DA">
        <w:rPr>
          <w:rFonts w:hint="cs"/>
          <w:rtl/>
        </w:rPr>
        <w:t>تطبيقات القاعدة</w:t>
      </w:r>
      <w:bookmarkEnd w:id="228"/>
    </w:p>
    <w:p w:rsidR="004775DA" w:rsidRPr="007A6D9F" w:rsidRDefault="004775DA" w:rsidP="000A76C7">
      <w:pPr>
        <w:pStyle w:val="afc"/>
        <w:widowControl/>
        <w:numPr>
          <w:ilvl w:val="0"/>
          <w:numId w:val="157"/>
        </w:numPr>
        <w:autoSpaceDE w:val="0"/>
        <w:autoSpaceDN w:val="0"/>
        <w:adjustRightInd w:val="0"/>
        <w:rPr>
          <w:rFonts w:ascii="Traditional Arabic" w:hAnsi="Traditional Arabic"/>
          <w:noProof w:val="0"/>
          <w:rtl/>
          <w:lang w:eastAsia="en-US"/>
        </w:rPr>
      </w:pPr>
      <w:r w:rsidRPr="007A6D9F">
        <w:rPr>
          <w:rFonts w:ascii="Traditional Arabic" w:hAnsi="Traditional Arabic"/>
          <w:noProof w:val="0"/>
          <w:rtl/>
          <w:lang w:eastAsia="en-US"/>
        </w:rPr>
        <w:t>يجوز ب</w:t>
      </w:r>
      <w:r>
        <w:rPr>
          <w:rFonts w:ascii="Traditional Arabic" w:hAnsi="Traditional Arabic" w:hint="cs"/>
          <w:noProof w:val="0"/>
          <w:rtl/>
          <w:lang w:eastAsia="en-US"/>
        </w:rPr>
        <w:t>َ</w:t>
      </w:r>
      <w:r w:rsidRPr="007A6D9F">
        <w:rPr>
          <w:rFonts w:ascii="Traditional Arabic" w:hAnsi="Traditional Arabic"/>
          <w:noProof w:val="0"/>
          <w:rtl/>
          <w:lang w:eastAsia="en-US"/>
        </w:rPr>
        <w:t>يع المصحف ويصح</w:t>
      </w:r>
      <w:r>
        <w:rPr>
          <w:rFonts w:ascii="Traditional Arabic" w:hAnsi="Traditional Arabic" w:hint="cs"/>
          <w:noProof w:val="0"/>
          <w:rtl/>
          <w:lang w:eastAsia="en-US"/>
        </w:rPr>
        <w:t>ُّ</w:t>
      </w:r>
      <w:r w:rsidR="00861540">
        <w:rPr>
          <w:rFonts w:ascii="Traditional Arabic" w:hAnsi="Traditional Arabic" w:hint="cs"/>
          <w:noProof w:val="0"/>
          <w:rtl/>
          <w:lang w:eastAsia="en-US"/>
        </w:rPr>
        <w:t>؛</w:t>
      </w:r>
      <w:r w:rsidRPr="007A6D9F">
        <w:rPr>
          <w:rFonts w:ascii="Traditional Arabic" w:hAnsi="Traditional Arabic"/>
          <w:noProof w:val="0"/>
          <w:rtl/>
          <w:lang w:eastAsia="en-US"/>
        </w:rPr>
        <w:t xml:space="preserve"> للأصل</w:t>
      </w:r>
      <w:r w:rsidR="00861540">
        <w:rPr>
          <w:rFonts w:ascii="Traditional Arabic" w:hAnsi="Traditional Arabic" w:hint="cs"/>
          <w:noProof w:val="0"/>
          <w:rtl/>
          <w:lang w:eastAsia="en-US"/>
        </w:rPr>
        <w:t xml:space="preserve"> في البيوع</w:t>
      </w:r>
      <w:r w:rsidRPr="007A6D9F">
        <w:rPr>
          <w:rFonts w:ascii="Traditional Arabic" w:hAnsi="Traditional Arabic"/>
          <w:noProof w:val="0"/>
          <w:rtl/>
          <w:lang w:eastAsia="en-US"/>
        </w:rPr>
        <w:t>، وهو الح</w:t>
      </w:r>
      <w:r>
        <w:rPr>
          <w:rFonts w:ascii="Traditional Arabic" w:hAnsi="Traditional Arabic" w:hint="cs"/>
          <w:noProof w:val="0"/>
          <w:rtl/>
          <w:lang w:eastAsia="en-US"/>
        </w:rPr>
        <w:t>ِ</w:t>
      </w:r>
      <w:r w:rsidRPr="007A6D9F">
        <w:rPr>
          <w:rFonts w:ascii="Traditional Arabic" w:hAnsi="Traditional Arabic"/>
          <w:noProof w:val="0"/>
          <w:rtl/>
          <w:lang w:eastAsia="en-US"/>
        </w:rPr>
        <w:t>ل</w:t>
      </w:r>
      <w:r>
        <w:rPr>
          <w:rFonts w:ascii="Traditional Arabic" w:hAnsi="Traditional Arabic" w:hint="cs"/>
          <w:noProof w:val="0"/>
          <w:rtl/>
          <w:lang w:eastAsia="en-US"/>
        </w:rPr>
        <w:t>ّ</w:t>
      </w:r>
      <w:r w:rsidRPr="007A6D9F">
        <w:rPr>
          <w:rFonts w:ascii="Traditional Arabic" w:hAnsi="Traditional Arabic"/>
          <w:noProof w:val="0"/>
          <w:rtl/>
          <w:lang w:eastAsia="en-US"/>
        </w:rPr>
        <w:t>، وما زال عمل المسلمين عليه إلى اليوم، ولو أننا حر</w:t>
      </w:r>
      <w:r w:rsidR="00DB48EF">
        <w:rPr>
          <w:rFonts w:ascii="Traditional Arabic" w:hAnsi="Traditional Arabic" w:hint="cs"/>
          <w:noProof w:val="0"/>
          <w:rtl/>
          <w:lang w:eastAsia="en-US"/>
        </w:rPr>
        <w:t>َّ</w:t>
      </w:r>
      <w:r w:rsidRPr="007A6D9F">
        <w:rPr>
          <w:rFonts w:ascii="Traditional Arabic" w:hAnsi="Traditional Arabic"/>
          <w:noProof w:val="0"/>
          <w:rtl/>
          <w:lang w:eastAsia="en-US"/>
        </w:rPr>
        <w:t>منا بيعه لكان في ذلك منع</w:t>
      </w:r>
      <w:r>
        <w:rPr>
          <w:rFonts w:ascii="Traditional Arabic" w:hAnsi="Traditional Arabic" w:hint="cs"/>
          <w:noProof w:val="0"/>
          <w:rtl/>
          <w:lang w:eastAsia="en-US"/>
        </w:rPr>
        <w:t>ٌ</w:t>
      </w:r>
      <w:r w:rsidRPr="007A6D9F">
        <w:rPr>
          <w:rFonts w:ascii="Traditional Arabic" w:hAnsi="Traditional Arabic"/>
          <w:noProof w:val="0"/>
          <w:rtl/>
          <w:lang w:eastAsia="en-US"/>
        </w:rPr>
        <w:t xml:space="preserve"> للانتفاع به؛ لأن أكثر الناس ي</w:t>
      </w:r>
      <w:r>
        <w:rPr>
          <w:rFonts w:ascii="Traditional Arabic" w:hAnsi="Traditional Arabic" w:hint="cs"/>
          <w:noProof w:val="0"/>
          <w:rtl/>
          <w:lang w:eastAsia="en-US"/>
        </w:rPr>
        <w:t>َ</w:t>
      </w:r>
      <w:r w:rsidRPr="007A6D9F">
        <w:rPr>
          <w:rFonts w:ascii="Traditional Arabic" w:hAnsi="Traditional Arabic"/>
          <w:noProof w:val="0"/>
          <w:rtl/>
          <w:lang w:eastAsia="en-US"/>
        </w:rPr>
        <w:t>ش</w:t>
      </w:r>
      <w:r>
        <w:rPr>
          <w:rFonts w:ascii="Traditional Arabic" w:hAnsi="Traditional Arabic" w:hint="cs"/>
          <w:noProof w:val="0"/>
          <w:rtl/>
          <w:lang w:eastAsia="en-US"/>
        </w:rPr>
        <w:t>ُ</w:t>
      </w:r>
      <w:r w:rsidRPr="007A6D9F">
        <w:rPr>
          <w:rFonts w:ascii="Traditional Arabic" w:hAnsi="Traditional Arabic"/>
          <w:noProof w:val="0"/>
          <w:rtl/>
          <w:lang w:eastAsia="en-US"/>
        </w:rPr>
        <w:t>ح</w:t>
      </w:r>
      <w:r>
        <w:rPr>
          <w:rFonts w:ascii="Traditional Arabic" w:hAnsi="Traditional Arabic" w:hint="cs"/>
          <w:noProof w:val="0"/>
          <w:rtl/>
          <w:lang w:eastAsia="en-US"/>
        </w:rPr>
        <w:t>ُّ</w:t>
      </w:r>
      <w:r w:rsidRPr="007A6D9F">
        <w:rPr>
          <w:rFonts w:ascii="Traditional Arabic" w:hAnsi="Traditional Arabic"/>
          <w:noProof w:val="0"/>
          <w:rtl/>
          <w:lang w:eastAsia="en-US"/>
        </w:rPr>
        <w:t xml:space="preserve"> أن يبذ</w:t>
      </w:r>
      <w:r>
        <w:rPr>
          <w:rFonts w:ascii="Traditional Arabic" w:hAnsi="Traditional Arabic"/>
          <w:noProof w:val="0"/>
          <w:rtl/>
          <w:lang w:eastAsia="en-US"/>
        </w:rPr>
        <w:t>له لغيره</w:t>
      </w:r>
      <w:r w:rsidRPr="007A6D9F">
        <w:rPr>
          <w:rFonts w:ascii="Traditional Arabic" w:hAnsi="Traditional Arabic"/>
          <w:noProof w:val="0"/>
          <w:rtl/>
          <w:lang w:eastAsia="en-US"/>
        </w:rPr>
        <w:t>، ولو قلنا لكل أحد إذا كنت مستغنياً عن المصحف، يجب أن ت</w:t>
      </w:r>
      <w:r>
        <w:rPr>
          <w:rFonts w:ascii="Traditional Arabic" w:hAnsi="Traditional Arabic" w:hint="cs"/>
          <w:noProof w:val="0"/>
          <w:rtl/>
          <w:lang w:eastAsia="en-US"/>
        </w:rPr>
        <w:t>َ</w:t>
      </w:r>
      <w:r w:rsidRPr="007A6D9F">
        <w:rPr>
          <w:rFonts w:ascii="Traditional Arabic" w:hAnsi="Traditional Arabic"/>
          <w:noProof w:val="0"/>
          <w:rtl/>
          <w:lang w:eastAsia="en-US"/>
        </w:rPr>
        <w:t>ب</w:t>
      </w:r>
      <w:r>
        <w:rPr>
          <w:rFonts w:ascii="Traditional Arabic" w:hAnsi="Traditional Arabic" w:hint="cs"/>
          <w:noProof w:val="0"/>
          <w:rtl/>
          <w:lang w:eastAsia="en-US"/>
        </w:rPr>
        <w:t>ْ</w:t>
      </w:r>
      <w:r w:rsidRPr="007A6D9F">
        <w:rPr>
          <w:rFonts w:ascii="Traditional Arabic" w:hAnsi="Traditional Arabic"/>
          <w:noProof w:val="0"/>
          <w:rtl/>
          <w:lang w:eastAsia="en-US"/>
        </w:rPr>
        <w:t>ذ</w:t>
      </w:r>
      <w:r>
        <w:rPr>
          <w:rFonts w:ascii="Traditional Arabic" w:hAnsi="Traditional Arabic" w:hint="cs"/>
          <w:noProof w:val="0"/>
          <w:rtl/>
          <w:lang w:eastAsia="en-US"/>
        </w:rPr>
        <w:t>ُ</w:t>
      </w:r>
      <w:r w:rsidRPr="007A6D9F">
        <w:rPr>
          <w:rFonts w:ascii="Traditional Arabic" w:hAnsi="Traditional Arabic"/>
          <w:noProof w:val="0"/>
          <w:rtl/>
          <w:lang w:eastAsia="en-US"/>
        </w:rPr>
        <w:t>ل</w:t>
      </w:r>
      <w:r>
        <w:rPr>
          <w:rFonts w:ascii="Traditional Arabic" w:hAnsi="Traditional Arabic" w:hint="cs"/>
          <w:noProof w:val="0"/>
          <w:rtl/>
          <w:lang w:eastAsia="en-US"/>
        </w:rPr>
        <w:t>َ</w:t>
      </w:r>
      <w:r w:rsidRPr="007A6D9F">
        <w:rPr>
          <w:rFonts w:ascii="Traditional Arabic" w:hAnsi="Traditional Arabic"/>
          <w:noProof w:val="0"/>
          <w:rtl/>
          <w:lang w:eastAsia="en-US"/>
        </w:rPr>
        <w:t>ه لغيرك ل</w:t>
      </w:r>
      <w:r>
        <w:rPr>
          <w:rFonts w:ascii="Traditional Arabic" w:hAnsi="Traditional Arabic" w:hint="cs"/>
          <w:noProof w:val="0"/>
          <w:rtl/>
          <w:lang w:eastAsia="en-US"/>
        </w:rPr>
        <w:t>َ</w:t>
      </w:r>
      <w:r w:rsidRPr="007A6D9F">
        <w:rPr>
          <w:rFonts w:ascii="Traditional Arabic" w:hAnsi="Traditional Arabic"/>
          <w:noProof w:val="0"/>
          <w:rtl/>
          <w:lang w:eastAsia="en-US"/>
        </w:rPr>
        <w:t>شق</w:t>
      </w:r>
      <w:r>
        <w:rPr>
          <w:rFonts w:ascii="Traditional Arabic" w:hAnsi="Traditional Arabic" w:hint="cs"/>
          <w:noProof w:val="0"/>
          <w:rtl/>
          <w:lang w:eastAsia="en-US"/>
        </w:rPr>
        <w:t>َّ</w:t>
      </w:r>
      <w:r w:rsidRPr="007A6D9F">
        <w:rPr>
          <w:rFonts w:ascii="Traditional Arabic" w:hAnsi="Traditional Arabic"/>
          <w:noProof w:val="0"/>
          <w:rtl/>
          <w:lang w:eastAsia="en-US"/>
        </w:rPr>
        <w:t xml:space="preserve"> على كثير من الناس</w:t>
      </w:r>
      <w:r w:rsidRPr="00C821A1">
        <w:rPr>
          <w:rStyle w:val="af1"/>
          <w:szCs w:val="32"/>
          <w:rtl/>
        </w:rPr>
        <w:t>(</w:t>
      </w:r>
      <w:r w:rsidRPr="00C821A1">
        <w:rPr>
          <w:rStyle w:val="af1"/>
          <w:szCs w:val="32"/>
          <w:rtl/>
        </w:rPr>
        <w:footnoteReference w:id="1162"/>
      </w:r>
      <w:r w:rsidRPr="00C821A1">
        <w:rPr>
          <w:rStyle w:val="af1"/>
          <w:szCs w:val="32"/>
          <w:rtl/>
        </w:rPr>
        <w:t>)</w:t>
      </w:r>
      <w:r w:rsidRPr="007A6D9F">
        <w:rPr>
          <w:rFonts w:ascii="Traditional Arabic" w:hAnsi="Traditional Arabic"/>
          <w:noProof w:val="0"/>
          <w:rtl/>
          <w:lang w:eastAsia="en-US"/>
        </w:rPr>
        <w:t>.</w:t>
      </w:r>
    </w:p>
    <w:p w:rsidR="004775DA" w:rsidRDefault="004775DA" w:rsidP="00597C20">
      <w:pPr>
        <w:pStyle w:val="53"/>
        <w:rPr>
          <w:rtl/>
        </w:rPr>
      </w:pPr>
      <w:r>
        <w:rPr>
          <w:rFonts w:hint="cs"/>
          <w:rtl/>
        </w:rPr>
        <w:t>وجه اندراج الفرع تحت القاعدة</w:t>
      </w:r>
      <w:r w:rsidRPr="00C821A1">
        <w:rPr>
          <w:rStyle w:val="af1"/>
          <w:bCs w:val="0"/>
          <w:szCs w:val="32"/>
          <w:rtl/>
        </w:rPr>
        <w:t>(</w:t>
      </w:r>
      <w:r w:rsidRPr="00C821A1">
        <w:rPr>
          <w:rStyle w:val="af1"/>
          <w:bCs w:val="0"/>
          <w:szCs w:val="32"/>
          <w:rtl/>
        </w:rPr>
        <w:footnoteReference w:id="1163"/>
      </w:r>
      <w:r w:rsidRPr="00C821A1">
        <w:rPr>
          <w:rStyle w:val="af1"/>
          <w:bCs w:val="0"/>
          <w:szCs w:val="32"/>
          <w:rtl/>
        </w:rPr>
        <w:t>)</w:t>
      </w:r>
      <w:r>
        <w:rPr>
          <w:rFonts w:hint="cs"/>
          <w:rtl/>
        </w:rPr>
        <w:t xml:space="preserve"> :</w:t>
      </w:r>
    </w:p>
    <w:p w:rsidR="00DB48EF" w:rsidRPr="00662882" w:rsidRDefault="004775DA" w:rsidP="00E80CDC">
      <w:pPr>
        <w:widowControl/>
        <w:autoSpaceDE w:val="0"/>
        <w:autoSpaceDN w:val="0"/>
        <w:adjustRightInd w:val="0"/>
        <w:ind w:firstLine="705"/>
        <w:rPr>
          <w:rFonts w:ascii="Traditional Arabic" w:hAnsi="Traditional Arabic"/>
          <w:noProof w:val="0"/>
          <w:color w:val="auto"/>
          <w:rtl/>
          <w:lang w:eastAsia="en-US"/>
        </w:rPr>
      </w:pPr>
      <w:r w:rsidRPr="00DB48EF">
        <w:rPr>
          <w:rFonts w:ascii="Traditional Arabic" w:hAnsi="Traditional Arabic" w:hint="cs"/>
          <w:noProof w:val="0"/>
          <w:color w:val="auto"/>
          <w:rtl/>
          <w:lang w:eastAsia="en-US"/>
        </w:rPr>
        <w:t>الأصل في البيع الحل</w:t>
      </w:r>
      <w:r w:rsidRPr="00662882">
        <w:rPr>
          <w:rFonts w:ascii="Traditional Arabic" w:hAnsi="Traditional Arabic" w:hint="cs"/>
          <w:noProof w:val="0"/>
          <w:color w:val="auto"/>
          <w:rtl/>
          <w:lang w:eastAsia="en-US"/>
        </w:rPr>
        <w:t>،</w:t>
      </w:r>
      <w:r w:rsidR="00BE3CDB">
        <w:rPr>
          <w:rFonts w:ascii="Traditional Arabic" w:hAnsi="Traditional Arabic" w:hint="cs"/>
          <w:noProof w:val="0"/>
          <w:color w:val="auto"/>
          <w:rtl/>
          <w:lang w:eastAsia="en-US"/>
        </w:rPr>
        <w:t xml:space="preserve"> </w:t>
      </w:r>
      <w:r w:rsidRPr="00662882">
        <w:rPr>
          <w:rFonts w:ascii="Traditional Arabic" w:hAnsi="Traditional Arabic" w:hint="cs"/>
          <w:noProof w:val="0"/>
          <w:color w:val="auto"/>
          <w:rtl/>
          <w:lang w:eastAsia="en-US"/>
        </w:rPr>
        <w:t>وليس هناك دليل صريح</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 xml:space="preserve">صحيح يمنع بيع المصحف، </w:t>
      </w:r>
      <w:r w:rsidRPr="00DB48EF">
        <w:rPr>
          <w:rFonts w:ascii="Traditional Arabic" w:hAnsi="Traditional Arabic" w:hint="cs"/>
          <w:noProof w:val="0"/>
          <w:color w:val="auto"/>
          <w:rtl/>
          <w:lang w:eastAsia="en-US"/>
        </w:rPr>
        <w:t>فيكون بيعه</w:t>
      </w:r>
      <w:r w:rsidR="00154102" w:rsidRPr="00DB48EF">
        <w:rPr>
          <w:rFonts w:ascii="Traditional Arabic" w:hAnsi="Traditional Arabic" w:hint="cs"/>
          <w:noProof w:val="0"/>
          <w:color w:val="auto"/>
          <w:rtl/>
          <w:lang w:eastAsia="en-US"/>
        </w:rPr>
        <w:t xml:space="preserve"> و</w:t>
      </w:r>
      <w:r w:rsidRPr="00DB48EF">
        <w:rPr>
          <w:rFonts w:ascii="Traditional Arabic" w:hAnsi="Traditional Arabic" w:hint="cs"/>
          <w:noProof w:val="0"/>
          <w:color w:val="auto"/>
          <w:rtl/>
          <w:lang w:eastAsia="en-US"/>
        </w:rPr>
        <w:t>شراؤه جائزا بناء على هذا الأصل</w:t>
      </w:r>
      <w:r w:rsidRPr="00C821A1">
        <w:rPr>
          <w:rStyle w:val="af1"/>
          <w:szCs w:val="32"/>
          <w:rtl/>
        </w:rPr>
        <w:t>(</w:t>
      </w:r>
      <w:r w:rsidRPr="00C821A1">
        <w:rPr>
          <w:rStyle w:val="af1"/>
          <w:szCs w:val="32"/>
          <w:rtl/>
        </w:rPr>
        <w:footnoteReference w:id="1164"/>
      </w:r>
      <w:r w:rsidRPr="00C821A1">
        <w:rPr>
          <w:rStyle w:val="af1"/>
          <w:szCs w:val="32"/>
          <w:rtl/>
        </w:rPr>
        <w:t>)</w:t>
      </w:r>
      <w:r w:rsidRPr="00662882">
        <w:rPr>
          <w:rFonts w:ascii="Traditional Arabic" w:hAnsi="Traditional Arabic" w:hint="cs"/>
          <w:noProof w:val="0"/>
          <w:color w:val="auto"/>
          <w:rtl/>
          <w:lang w:eastAsia="en-US"/>
        </w:rPr>
        <w:t>.</w:t>
      </w:r>
    </w:p>
    <w:p w:rsidR="00F228A9" w:rsidRDefault="004775DA" w:rsidP="00A86821">
      <w:pPr>
        <w:pStyle w:val="afc"/>
        <w:widowControl/>
        <w:numPr>
          <w:ilvl w:val="0"/>
          <w:numId w:val="157"/>
        </w:numPr>
        <w:autoSpaceDE w:val="0"/>
        <w:autoSpaceDN w:val="0"/>
        <w:adjustRightInd w:val="0"/>
        <w:rPr>
          <w:rFonts w:ascii="Traditional Arabic" w:hAnsi="Traditional Arabic"/>
          <w:noProof w:val="0"/>
          <w:color w:val="auto"/>
          <w:lang w:eastAsia="en-US"/>
        </w:rPr>
      </w:pPr>
      <w:r w:rsidRPr="00BA7BC1">
        <w:rPr>
          <w:rFonts w:ascii="Traditional Arabic" w:hAnsi="Traditional Arabic"/>
          <w:noProof w:val="0"/>
          <w:color w:val="auto"/>
          <w:rtl/>
          <w:lang w:eastAsia="en-US"/>
        </w:rPr>
        <w:t>يوجد الآن بيع</w:t>
      </w:r>
      <w:r w:rsidR="00DB48EF">
        <w:rPr>
          <w:rFonts w:ascii="Traditional Arabic" w:hAnsi="Traditional Arabic" w:hint="cs"/>
          <w:noProof w:val="0"/>
          <w:color w:val="auto"/>
          <w:rtl/>
          <w:lang w:eastAsia="en-US"/>
        </w:rPr>
        <w:t>ٌ</w:t>
      </w:r>
      <w:r w:rsidRPr="00BA7BC1">
        <w:rPr>
          <w:rFonts w:ascii="Traditional Arabic" w:hAnsi="Traditional Arabic"/>
          <w:noProof w:val="0"/>
          <w:color w:val="auto"/>
          <w:rtl/>
          <w:lang w:eastAsia="en-US"/>
        </w:rPr>
        <w:t xml:space="preserve"> يتبايعه الناس</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يكون عند</w:t>
      </w:r>
      <w:r>
        <w:rPr>
          <w:rFonts w:ascii="Traditional Arabic" w:hAnsi="Traditional Arabic" w:hint="cs"/>
          <w:noProof w:val="0"/>
          <w:color w:val="auto"/>
          <w:rtl/>
          <w:lang w:eastAsia="en-US"/>
        </w:rPr>
        <w:t xml:space="preserve"> البائع</w:t>
      </w:r>
      <w:r w:rsidRPr="00BA7BC1">
        <w:rPr>
          <w:rFonts w:ascii="Traditional Arabic" w:hAnsi="Traditional Arabic"/>
          <w:noProof w:val="0"/>
          <w:color w:val="auto"/>
          <w:rtl/>
          <w:lang w:eastAsia="en-US"/>
        </w:rPr>
        <w:t xml:space="preserve"> ك</w:t>
      </w:r>
      <w:r>
        <w:rPr>
          <w:rFonts w:ascii="Traditional Arabic" w:hAnsi="Traditional Arabic" w:hint="cs"/>
          <w:noProof w:val="0"/>
          <w:color w:val="auto"/>
          <w:rtl/>
          <w:lang w:eastAsia="en-US"/>
        </w:rPr>
        <w:t>َ</w:t>
      </w:r>
      <w:r w:rsidRPr="00BA7BC1">
        <w:rPr>
          <w:rFonts w:ascii="Traditional Arabic" w:hAnsi="Traditional Arabic"/>
          <w:noProof w:val="0"/>
          <w:color w:val="auto"/>
          <w:rtl/>
          <w:lang w:eastAsia="en-US"/>
        </w:rPr>
        <w:t>ومة من الح</w:t>
      </w:r>
      <w:r>
        <w:rPr>
          <w:rFonts w:ascii="Traditional Arabic" w:hAnsi="Traditional Arabic" w:hint="cs"/>
          <w:noProof w:val="0"/>
          <w:color w:val="auto"/>
          <w:rtl/>
          <w:lang w:eastAsia="en-US"/>
        </w:rPr>
        <w:t>َ</w:t>
      </w:r>
      <w:r w:rsidRPr="00BA7BC1">
        <w:rPr>
          <w:rFonts w:ascii="Traditional Arabic" w:hAnsi="Traditional Arabic"/>
          <w:noProof w:val="0"/>
          <w:color w:val="auto"/>
          <w:rtl/>
          <w:lang w:eastAsia="en-US"/>
        </w:rPr>
        <w:t>ب</w:t>
      </w:r>
      <w:r>
        <w:rPr>
          <w:rFonts w:ascii="Traditional Arabic" w:hAnsi="Traditional Arabic" w:hint="cs"/>
          <w:noProof w:val="0"/>
          <w:color w:val="auto"/>
          <w:rtl/>
          <w:lang w:eastAsia="en-US"/>
        </w:rPr>
        <w:t>ْ</w:t>
      </w:r>
      <w:r w:rsidRPr="00BA7BC1">
        <w:rPr>
          <w:rFonts w:ascii="Traditional Arabic" w:hAnsi="Traditional Arabic"/>
          <w:noProof w:val="0"/>
          <w:color w:val="auto"/>
          <w:rtl/>
          <w:lang w:eastAsia="en-US"/>
        </w:rPr>
        <w:t>ح</w:t>
      </w:r>
      <w:r>
        <w:rPr>
          <w:rFonts w:ascii="Traditional Arabic" w:hAnsi="Traditional Arabic" w:hint="cs"/>
          <w:noProof w:val="0"/>
          <w:color w:val="auto"/>
          <w:rtl/>
          <w:lang w:eastAsia="en-US"/>
        </w:rPr>
        <w:t>َ</w:t>
      </w:r>
      <w:r w:rsidRPr="00BA7BC1">
        <w:rPr>
          <w:rFonts w:ascii="Traditional Arabic" w:hAnsi="Traditional Arabic"/>
          <w:noProof w:val="0"/>
          <w:color w:val="auto"/>
          <w:rtl/>
          <w:lang w:eastAsia="en-US"/>
        </w:rPr>
        <w:t xml:space="preserve">ب، فلو قال </w:t>
      </w:r>
      <w:r>
        <w:rPr>
          <w:rFonts w:ascii="Traditional Arabic" w:hAnsi="Traditional Arabic" w:hint="cs"/>
          <w:noProof w:val="0"/>
          <w:color w:val="auto"/>
          <w:rtl/>
          <w:lang w:eastAsia="en-US"/>
        </w:rPr>
        <w:t>البائع للمشتري:</w:t>
      </w:r>
      <w:r w:rsidRPr="00BA7BC1">
        <w:rPr>
          <w:rFonts w:ascii="Traditional Arabic" w:hAnsi="Traditional Arabic"/>
          <w:noProof w:val="0"/>
          <w:color w:val="auto"/>
          <w:rtl/>
          <w:lang w:eastAsia="en-US"/>
        </w:rPr>
        <w:t xml:space="preserve"> بعت عليك و</w:t>
      </w:r>
      <w:r>
        <w:rPr>
          <w:rFonts w:ascii="Traditional Arabic" w:hAnsi="Traditional Arabic"/>
          <w:noProof w:val="0"/>
          <w:color w:val="auto"/>
          <w:rtl/>
          <w:lang w:eastAsia="en-US"/>
        </w:rPr>
        <w:t>احدة</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من هذه الكومة بين</w:t>
      </w:r>
      <w:r w:rsidRPr="00BA7BC1">
        <w:rPr>
          <w:rFonts w:ascii="Traditional Arabic" w:hAnsi="Traditional Arabic"/>
          <w:noProof w:val="0"/>
          <w:color w:val="auto"/>
          <w:rtl/>
          <w:lang w:eastAsia="en-US"/>
        </w:rPr>
        <w:t>، فعادة الناس الآن أن البيع صحيح نافذ</w:t>
      </w:r>
      <w:r>
        <w:rPr>
          <w:rFonts w:ascii="Traditional Arabic" w:hAnsi="Traditional Arabic" w:hint="cs"/>
          <w:noProof w:val="0"/>
          <w:color w:val="auto"/>
          <w:rtl/>
          <w:lang w:eastAsia="en-US"/>
        </w:rPr>
        <w:t>،</w:t>
      </w:r>
      <w:r w:rsidRPr="00BA7BC1">
        <w:rPr>
          <w:rFonts w:ascii="Traditional Arabic" w:hAnsi="Traditional Arabic"/>
          <w:noProof w:val="0"/>
          <w:color w:val="auto"/>
          <w:rtl/>
          <w:lang w:eastAsia="en-US"/>
        </w:rPr>
        <w:t xml:space="preserve"> وأن المشتري إذا أخذ الحبة ا</w:t>
      </w:r>
      <w:r>
        <w:rPr>
          <w:rFonts w:ascii="Traditional Arabic" w:hAnsi="Traditional Arabic"/>
          <w:noProof w:val="0"/>
          <w:color w:val="auto"/>
          <w:rtl/>
          <w:lang w:eastAsia="en-US"/>
        </w:rPr>
        <w:t xml:space="preserve">لتي يريدها، </w:t>
      </w:r>
      <w:r>
        <w:rPr>
          <w:rFonts w:ascii="Traditional Arabic" w:hAnsi="Traditional Arabic" w:hint="cs"/>
          <w:noProof w:val="0"/>
          <w:color w:val="auto"/>
          <w:rtl/>
          <w:lang w:eastAsia="en-US"/>
        </w:rPr>
        <w:t xml:space="preserve">فإن البائع </w:t>
      </w:r>
      <w:r w:rsidRPr="00BA7BC1">
        <w:rPr>
          <w:rFonts w:ascii="Traditional Arabic" w:hAnsi="Traditional Arabic"/>
          <w:noProof w:val="0"/>
          <w:color w:val="auto"/>
          <w:rtl/>
          <w:lang w:eastAsia="en-US"/>
        </w:rPr>
        <w:t>يعلم أنه غير مغبون</w:t>
      </w:r>
      <w:r>
        <w:rPr>
          <w:rFonts w:ascii="Traditional Arabic" w:hAnsi="Traditional Arabic" w:hint="cs"/>
          <w:noProof w:val="0"/>
          <w:color w:val="auto"/>
          <w:rtl/>
          <w:lang w:eastAsia="en-US"/>
        </w:rPr>
        <w:t>؛ لأنه</w:t>
      </w:r>
      <w:r w:rsidR="0091310E">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ي</w:t>
      </w:r>
      <w:r w:rsidRPr="00BA7BC1">
        <w:rPr>
          <w:rFonts w:ascii="Traditional Arabic" w:hAnsi="Traditional Arabic"/>
          <w:noProof w:val="0"/>
          <w:color w:val="auto"/>
          <w:rtl/>
          <w:lang w:eastAsia="en-US"/>
        </w:rPr>
        <w:t>عرف أن أعلى ما يكون من ثمن هذه المجموعة أن يبلغ ين،</w:t>
      </w:r>
      <w:r w:rsidR="00B76414">
        <w:rPr>
          <w:rFonts w:ascii="Traditional Arabic" w:hAnsi="Traditional Arabic"/>
          <w:noProof w:val="0"/>
          <w:color w:val="auto"/>
          <w:rtl/>
          <w:lang w:eastAsia="en-US"/>
        </w:rPr>
        <w:t>،</w:t>
      </w:r>
      <w:r>
        <w:rPr>
          <w:rFonts w:ascii="Traditional Arabic" w:hAnsi="Traditional Arabic"/>
          <w:noProof w:val="0"/>
          <w:color w:val="auto"/>
          <w:rtl/>
          <w:lang w:eastAsia="en-US"/>
        </w:rPr>
        <w:t xml:space="preserve"> فمثل هذا</w:t>
      </w:r>
      <w:r>
        <w:rPr>
          <w:rFonts w:ascii="Traditional Arabic" w:hAnsi="Traditional Arabic" w:hint="cs"/>
          <w:noProof w:val="0"/>
          <w:color w:val="auto"/>
          <w:rtl/>
          <w:lang w:eastAsia="en-US"/>
        </w:rPr>
        <w:t xml:space="preserve"> البيع</w:t>
      </w:r>
      <w:r>
        <w:rPr>
          <w:rFonts w:ascii="Traditional Arabic" w:hAnsi="Traditional Arabic"/>
          <w:noProof w:val="0"/>
          <w:color w:val="auto"/>
          <w:rtl/>
          <w:lang w:eastAsia="en-US"/>
        </w:rPr>
        <w:t xml:space="preserve"> ينبغي أن ي</w:t>
      </w:r>
      <w:r>
        <w:rPr>
          <w:rFonts w:ascii="Traditional Arabic" w:hAnsi="Traditional Arabic" w:hint="cs"/>
          <w:noProof w:val="0"/>
          <w:color w:val="auto"/>
          <w:rtl/>
          <w:lang w:eastAsia="en-US"/>
        </w:rPr>
        <w:t>ُحكَم عليه</w:t>
      </w:r>
      <w:r>
        <w:rPr>
          <w:rFonts w:ascii="Traditional Arabic" w:hAnsi="Traditional Arabic"/>
          <w:noProof w:val="0"/>
          <w:color w:val="auto"/>
          <w:rtl/>
          <w:lang w:eastAsia="en-US"/>
        </w:rPr>
        <w:t xml:space="preserve"> بالصحة</w:t>
      </w:r>
      <w:r w:rsidRPr="00C821A1">
        <w:rPr>
          <w:rStyle w:val="af1"/>
          <w:szCs w:val="32"/>
          <w:rtl/>
        </w:rPr>
        <w:t>(</w:t>
      </w:r>
      <w:r w:rsidRPr="00C821A1">
        <w:rPr>
          <w:rStyle w:val="af1"/>
          <w:szCs w:val="32"/>
          <w:rtl/>
        </w:rPr>
        <w:footnoteReference w:id="1165"/>
      </w:r>
      <w:r w:rsidRPr="00C821A1">
        <w:rPr>
          <w:rStyle w:val="af1"/>
          <w:szCs w:val="32"/>
          <w:rtl/>
        </w:rPr>
        <w:t>)</w:t>
      </w:r>
      <w:r>
        <w:rPr>
          <w:rFonts w:ascii="Traditional Arabic" w:hAnsi="Traditional Arabic" w:hint="cs"/>
          <w:noProof w:val="0"/>
          <w:color w:val="auto"/>
          <w:rtl/>
          <w:lang w:eastAsia="en-US"/>
        </w:rPr>
        <w:t>.</w:t>
      </w:r>
    </w:p>
    <w:p w:rsidR="004775DA" w:rsidRDefault="004775DA" w:rsidP="00597C20">
      <w:pPr>
        <w:pStyle w:val="53"/>
        <w:rPr>
          <w:rtl/>
        </w:rPr>
      </w:pPr>
      <w:r>
        <w:rPr>
          <w:rFonts w:hint="cs"/>
          <w:rtl/>
        </w:rPr>
        <w:lastRenderedPageBreak/>
        <w:t>وجه اندراج الفرع تحت القاعدة:</w:t>
      </w:r>
    </w:p>
    <w:p w:rsidR="004775DA" w:rsidRPr="00662882" w:rsidRDefault="004775DA" w:rsidP="00597C20">
      <w:pPr>
        <w:widowControl/>
        <w:autoSpaceDE w:val="0"/>
        <w:autoSpaceDN w:val="0"/>
        <w:adjustRightInd w:val="0"/>
        <w:ind w:firstLine="705"/>
        <w:rPr>
          <w:rFonts w:ascii="Traditional Arabic" w:hAnsi="Traditional Arabic"/>
          <w:noProof w:val="0"/>
          <w:color w:val="auto"/>
          <w:rtl/>
          <w:lang w:eastAsia="en-US"/>
        </w:rPr>
      </w:pPr>
      <w:r w:rsidRPr="00662882">
        <w:rPr>
          <w:rFonts w:ascii="Traditional Arabic" w:hAnsi="Traditional Arabic" w:hint="cs"/>
          <w:noProof w:val="0"/>
          <w:color w:val="auto"/>
          <w:rtl/>
          <w:lang w:eastAsia="en-US"/>
        </w:rPr>
        <w:t>هذا البيع مما تَعارَف عليه الناس ولا يَرَوْن فيه جَهالةً</w:t>
      </w:r>
      <w:r w:rsidR="00154102" w:rsidRPr="00662882">
        <w:rPr>
          <w:rFonts w:ascii="Traditional Arabic" w:hAnsi="Traditional Arabic" w:hint="cs"/>
          <w:noProof w:val="0"/>
          <w:color w:val="auto"/>
          <w:rtl/>
          <w:lang w:eastAsia="en-US"/>
        </w:rPr>
        <w:t xml:space="preserve"> و</w:t>
      </w:r>
      <w:r w:rsidRPr="00662882">
        <w:rPr>
          <w:rFonts w:ascii="Traditional Arabic" w:hAnsi="Traditional Arabic" w:hint="cs"/>
          <w:noProof w:val="0"/>
          <w:color w:val="auto"/>
          <w:rtl/>
          <w:lang w:eastAsia="en-US"/>
        </w:rPr>
        <w:t xml:space="preserve">لا غرَراً، </w:t>
      </w:r>
      <w:r w:rsidRPr="00DB48EF">
        <w:rPr>
          <w:rFonts w:ascii="Traditional Arabic" w:hAnsi="Traditional Arabic" w:hint="cs"/>
          <w:noProof w:val="0"/>
          <w:color w:val="auto"/>
          <w:rtl/>
          <w:lang w:eastAsia="en-US"/>
        </w:rPr>
        <w:t>والأصل في المُبايَعات والعقود الحل</w:t>
      </w:r>
      <w:r w:rsidR="00630D1C" w:rsidRPr="00DB48EF">
        <w:rPr>
          <w:rFonts w:ascii="Traditional Arabic" w:hAnsi="Traditional Arabic" w:hint="cs"/>
          <w:noProof w:val="0"/>
          <w:color w:val="auto"/>
          <w:rtl/>
          <w:lang w:eastAsia="en-US"/>
        </w:rPr>
        <w:t xml:space="preserve"> </w:t>
      </w:r>
      <w:r w:rsidR="00154102" w:rsidRPr="00DB48EF">
        <w:rPr>
          <w:rFonts w:ascii="Traditional Arabic" w:hAnsi="Traditional Arabic" w:hint="cs"/>
          <w:noProof w:val="0"/>
          <w:color w:val="auto"/>
          <w:rtl/>
          <w:lang w:eastAsia="en-US"/>
        </w:rPr>
        <w:t>و</w:t>
      </w:r>
      <w:r w:rsidRPr="00DB48EF">
        <w:rPr>
          <w:rFonts w:ascii="Traditional Arabic" w:hAnsi="Traditional Arabic" w:hint="cs"/>
          <w:noProof w:val="0"/>
          <w:color w:val="auto"/>
          <w:rtl/>
          <w:lang w:eastAsia="en-US"/>
        </w:rPr>
        <w:t>الصحة</w:t>
      </w:r>
      <w:r w:rsidR="00063018">
        <w:rPr>
          <w:rFonts w:ascii="Traditional Arabic" w:hAnsi="Traditional Arabic" w:hint="cs"/>
          <w:noProof w:val="0"/>
          <w:color w:val="auto"/>
          <w:rtl/>
          <w:lang w:eastAsia="en-US"/>
        </w:rPr>
        <w:t xml:space="preserve"> حتى يرد دليل على تحريمها وفسادها</w:t>
      </w:r>
      <w:r w:rsidRPr="00C821A1">
        <w:rPr>
          <w:rStyle w:val="af1"/>
          <w:szCs w:val="32"/>
          <w:rtl/>
        </w:rPr>
        <w:t>(</w:t>
      </w:r>
      <w:r w:rsidRPr="00C821A1">
        <w:rPr>
          <w:rStyle w:val="af1"/>
          <w:szCs w:val="32"/>
          <w:rtl/>
        </w:rPr>
        <w:footnoteReference w:id="1166"/>
      </w:r>
      <w:r w:rsidRPr="00C821A1">
        <w:rPr>
          <w:rStyle w:val="af1"/>
          <w:szCs w:val="32"/>
          <w:rtl/>
        </w:rPr>
        <w:t>)</w:t>
      </w:r>
      <w:r w:rsidRPr="00662882">
        <w:rPr>
          <w:rFonts w:ascii="Traditional Arabic" w:hAnsi="Traditional Arabic" w:hint="cs"/>
          <w:noProof w:val="0"/>
          <w:color w:val="auto"/>
          <w:rtl/>
          <w:lang w:eastAsia="en-US"/>
        </w:rPr>
        <w:t>.</w:t>
      </w:r>
    </w:p>
    <w:p w:rsidR="004775DA" w:rsidRPr="0091310E" w:rsidRDefault="004775DA" w:rsidP="000A76C7">
      <w:pPr>
        <w:pStyle w:val="afc"/>
        <w:widowControl/>
        <w:numPr>
          <w:ilvl w:val="0"/>
          <w:numId w:val="157"/>
        </w:numPr>
        <w:autoSpaceDE w:val="0"/>
        <w:autoSpaceDN w:val="0"/>
        <w:adjustRightInd w:val="0"/>
        <w:rPr>
          <w:rFonts w:ascii="Traditional Arabic" w:hAnsi="Traditional Arabic"/>
          <w:noProof w:val="0"/>
          <w:lang w:eastAsia="en-US"/>
        </w:rPr>
      </w:pPr>
      <w:r w:rsidRPr="004E5871">
        <w:rPr>
          <w:rFonts w:ascii="Traditional Arabic" w:hAnsi="Traditional Arabic"/>
          <w:noProof w:val="0"/>
          <w:rtl/>
          <w:lang w:eastAsia="en-US"/>
        </w:rPr>
        <w:t xml:space="preserve"> لو اشتر</w:t>
      </w:r>
      <w:r>
        <w:rPr>
          <w:rFonts w:ascii="Traditional Arabic" w:hAnsi="Traditional Arabic"/>
          <w:noProof w:val="0"/>
          <w:rtl/>
          <w:lang w:eastAsia="en-US"/>
        </w:rPr>
        <w:t xml:space="preserve">ط المشتري على البائع أن يكون </w:t>
      </w:r>
      <w:r>
        <w:rPr>
          <w:rFonts w:ascii="Traditional Arabic" w:hAnsi="Traditional Arabic" w:hint="cs"/>
          <w:noProof w:val="0"/>
          <w:rtl/>
          <w:lang w:eastAsia="en-US"/>
        </w:rPr>
        <w:t>جَذاذُ النخل</w:t>
      </w:r>
      <w:r>
        <w:rPr>
          <w:rFonts w:ascii="Traditional Arabic" w:hAnsi="Traditional Arabic"/>
          <w:noProof w:val="0"/>
          <w:rtl/>
          <w:lang w:eastAsia="en-US"/>
        </w:rPr>
        <w:t xml:space="preserve"> عليه ص</w:t>
      </w:r>
      <w:r w:rsidRPr="004E5871">
        <w:rPr>
          <w:rFonts w:ascii="Traditional Arabic" w:hAnsi="Traditional Arabic"/>
          <w:noProof w:val="0"/>
          <w:rtl/>
          <w:lang w:eastAsia="en-US"/>
        </w:rPr>
        <w:t>ح</w:t>
      </w:r>
      <w:r>
        <w:rPr>
          <w:rFonts w:ascii="Traditional Arabic" w:hAnsi="Traditional Arabic" w:hint="cs"/>
          <w:noProof w:val="0"/>
          <w:rtl/>
          <w:lang w:eastAsia="en-US"/>
        </w:rPr>
        <w:t xml:space="preserve"> ذلك</w:t>
      </w:r>
      <w:r>
        <w:rPr>
          <w:rFonts w:ascii="Traditional Arabic" w:hAnsi="Traditional Arabic"/>
          <w:noProof w:val="0"/>
          <w:rtl/>
          <w:lang w:eastAsia="en-US"/>
        </w:rPr>
        <w:t>،</w:t>
      </w:r>
      <w:r w:rsidR="0091310E">
        <w:rPr>
          <w:rFonts w:ascii="Traditional Arabic" w:hAnsi="Traditional Arabic" w:hint="cs"/>
          <w:noProof w:val="0"/>
          <w:rtl/>
          <w:lang w:eastAsia="en-US"/>
        </w:rPr>
        <w:t xml:space="preserve"> </w:t>
      </w:r>
      <w:r w:rsidR="0091310E" w:rsidRPr="0091310E">
        <w:rPr>
          <w:rFonts w:ascii="Traditional Arabic" w:hAnsi="Traditional Arabic" w:hint="cs"/>
          <w:noProof w:val="0"/>
          <w:rtl/>
          <w:lang w:eastAsia="en-US"/>
        </w:rPr>
        <w:t>و</w:t>
      </w:r>
      <w:r w:rsidRPr="0091310E">
        <w:rPr>
          <w:rFonts w:ascii="Traditional Arabic" w:hAnsi="Traditional Arabic" w:hint="cs"/>
          <w:noProof w:val="0"/>
          <w:rtl/>
          <w:lang w:eastAsia="en-US"/>
        </w:rPr>
        <w:t>صار الجذاذ على البائع</w:t>
      </w:r>
      <w:r w:rsidRPr="0091310E">
        <w:rPr>
          <w:rStyle w:val="af1"/>
          <w:szCs w:val="32"/>
          <w:rtl/>
        </w:rPr>
        <w:t>(</w:t>
      </w:r>
      <w:r w:rsidRPr="00C821A1">
        <w:rPr>
          <w:rStyle w:val="af1"/>
          <w:szCs w:val="32"/>
          <w:rtl/>
        </w:rPr>
        <w:footnoteReference w:id="1167"/>
      </w:r>
      <w:r w:rsidRPr="0091310E">
        <w:rPr>
          <w:rStyle w:val="af1"/>
          <w:szCs w:val="32"/>
          <w:rtl/>
        </w:rPr>
        <w:t>)</w:t>
      </w:r>
      <w:r w:rsidRPr="0091310E">
        <w:rPr>
          <w:rFonts w:ascii="Traditional Arabic" w:hAnsi="Traditional Arabic" w:hint="cs"/>
          <w:noProof w:val="0"/>
          <w:rtl/>
          <w:lang w:eastAsia="en-US"/>
        </w:rPr>
        <w:t>.</w:t>
      </w:r>
    </w:p>
    <w:p w:rsidR="00065E4B" w:rsidRPr="004E5871" w:rsidRDefault="004775DA" w:rsidP="00597C20">
      <w:pPr>
        <w:pStyle w:val="53"/>
        <w:rPr>
          <w:rtl/>
        </w:rPr>
      </w:pPr>
      <w:r>
        <w:rPr>
          <w:rFonts w:hint="cs"/>
          <w:rtl/>
        </w:rPr>
        <w:t>وجه اندراج الفرع تحت القاعدة</w:t>
      </w:r>
      <w:r w:rsidRPr="004E5871">
        <w:rPr>
          <w:rFonts w:hint="cs"/>
          <w:rtl/>
        </w:rPr>
        <w:t>:</w:t>
      </w:r>
    </w:p>
    <w:p w:rsidR="004775DA" w:rsidRPr="00662882" w:rsidRDefault="00065E4B" w:rsidP="00597C20">
      <w:pPr>
        <w:widowControl/>
        <w:autoSpaceDE w:val="0"/>
        <w:autoSpaceDN w:val="0"/>
        <w:adjustRightInd w:val="0"/>
        <w:ind w:firstLine="705"/>
        <w:rPr>
          <w:rFonts w:ascii="Traditional Arabic" w:hAnsi="Traditional Arabic"/>
          <w:noProof w:val="0"/>
          <w:lang w:eastAsia="en-US"/>
        </w:rPr>
      </w:pPr>
      <w:r w:rsidRPr="00662882">
        <w:rPr>
          <w:rFonts w:ascii="Traditional Arabic" w:hAnsi="Traditional Arabic"/>
          <w:noProof w:val="0"/>
          <w:rtl/>
          <w:lang w:eastAsia="en-US"/>
        </w:rPr>
        <w:t>ه</w:t>
      </w:r>
      <w:r w:rsidR="004775DA" w:rsidRPr="00662882">
        <w:rPr>
          <w:rFonts w:ascii="Traditional Arabic" w:hAnsi="Traditional Arabic"/>
          <w:noProof w:val="0"/>
          <w:rtl/>
          <w:lang w:eastAsia="en-US"/>
        </w:rPr>
        <w:t>ذا شرط لا يستلزم جهالة</w:t>
      </w:r>
      <w:r w:rsidR="004775DA" w:rsidRPr="00662882">
        <w:rPr>
          <w:rFonts w:ascii="Traditional Arabic" w:hAnsi="Traditional Arabic" w:hint="cs"/>
          <w:noProof w:val="0"/>
          <w:rtl/>
          <w:lang w:eastAsia="en-US"/>
        </w:rPr>
        <w:t>ً</w:t>
      </w:r>
      <w:r w:rsidR="004775DA" w:rsidRPr="00662882">
        <w:rPr>
          <w:rFonts w:ascii="Traditional Arabic" w:hAnsi="Traditional Arabic"/>
          <w:noProof w:val="0"/>
          <w:rtl/>
          <w:lang w:eastAsia="en-US"/>
        </w:rPr>
        <w:t xml:space="preserve"> ولا غرراً ولا ظلماً ولا ربا، </w:t>
      </w:r>
      <w:r w:rsidR="004775DA" w:rsidRPr="00DB48EF">
        <w:rPr>
          <w:rFonts w:ascii="Traditional Arabic" w:hAnsi="Traditional Arabic"/>
          <w:noProof w:val="0"/>
          <w:rtl/>
          <w:lang w:eastAsia="en-US"/>
        </w:rPr>
        <w:t>والأصل في الشروط الحل والصحة إلا ما قام الدليل على منعه</w:t>
      </w:r>
      <w:r w:rsidR="004775DA" w:rsidRPr="00662882">
        <w:rPr>
          <w:rFonts w:ascii="Traditional Arabic" w:hAnsi="Traditional Arabic"/>
          <w:noProof w:val="0"/>
          <w:rtl/>
          <w:lang w:eastAsia="en-US"/>
        </w:rPr>
        <w:t>،</w:t>
      </w:r>
      <w:r w:rsidR="00154102" w:rsidRPr="00662882">
        <w:rPr>
          <w:rFonts w:ascii="Traditional Arabic" w:hAnsi="Traditional Arabic"/>
          <w:noProof w:val="0"/>
          <w:rtl/>
          <w:lang w:eastAsia="en-US"/>
        </w:rPr>
        <w:t xml:space="preserve"> و</w:t>
      </w:r>
      <w:r w:rsidR="004775DA" w:rsidRPr="00662882">
        <w:rPr>
          <w:rFonts w:ascii="Traditional Arabic" w:hAnsi="Traditional Arabic"/>
          <w:noProof w:val="0"/>
          <w:rtl/>
          <w:lang w:eastAsia="en-US"/>
        </w:rPr>
        <w:t>غاية ما فيه أنه أضاف إلى البيع ما يصح ع</w:t>
      </w:r>
      <w:r w:rsidR="004775DA" w:rsidRPr="00662882">
        <w:rPr>
          <w:rFonts w:ascii="Traditional Arabic" w:hAnsi="Traditional Arabic" w:hint="cs"/>
          <w:noProof w:val="0"/>
          <w:rtl/>
          <w:lang w:eastAsia="en-US"/>
        </w:rPr>
        <w:t>َ</w:t>
      </w:r>
      <w:r w:rsidR="004775DA" w:rsidRPr="00662882">
        <w:rPr>
          <w:rFonts w:ascii="Traditional Arabic" w:hAnsi="Traditional Arabic"/>
          <w:noProof w:val="0"/>
          <w:rtl/>
          <w:lang w:eastAsia="en-US"/>
        </w:rPr>
        <w:t>ق</w:t>
      </w:r>
      <w:r w:rsidR="004775DA" w:rsidRPr="00662882">
        <w:rPr>
          <w:rFonts w:ascii="Traditional Arabic" w:hAnsi="Traditional Arabic" w:hint="cs"/>
          <w:noProof w:val="0"/>
          <w:rtl/>
          <w:lang w:eastAsia="en-US"/>
        </w:rPr>
        <w:t>ْ</w:t>
      </w:r>
      <w:r w:rsidR="004775DA" w:rsidRPr="00662882">
        <w:rPr>
          <w:rFonts w:ascii="Traditional Arabic" w:hAnsi="Traditional Arabic"/>
          <w:noProof w:val="0"/>
          <w:rtl/>
          <w:lang w:eastAsia="en-US"/>
        </w:rPr>
        <w:t>د</w:t>
      </w:r>
      <w:r w:rsidR="004775DA" w:rsidRPr="00662882">
        <w:rPr>
          <w:rFonts w:ascii="Traditional Arabic" w:hAnsi="Traditional Arabic" w:hint="cs"/>
          <w:noProof w:val="0"/>
          <w:rtl/>
          <w:lang w:eastAsia="en-US"/>
        </w:rPr>
        <w:t>ُ</w:t>
      </w:r>
      <w:r w:rsidR="004775DA" w:rsidRPr="00662882">
        <w:rPr>
          <w:rFonts w:ascii="Traditional Arabic" w:hAnsi="Traditional Arabic"/>
          <w:noProof w:val="0"/>
          <w:rtl/>
          <w:lang w:eastAsia="en-US"/>
        </w:rPr>
        <w:t xml:space="preserve"> الأ</w:t>
      </w:r>
      <w:r w:rsidR="004775DA" w:rsidRPr="00662882">
        <w:rPr>
          <w:rFonts w:ascii="Traditional Arabic" w:hAnsi="Traditional Arabic" w:hint="cs"/>
          <w:noProof w:val="0"/>
          <w:rtl/>
          <w:lang w:eastAsia="en-US"/>
        </w:rPr>
        <w:t>ُ</w:t>
      </w:r>
      <w:r w:rsidR="004775DA" w:rsidRPr="00662882">
        <w:rPr>
          <w:rFonts w:ascii="Traditional Arabic" w:hAnsi="Traditional Arabic"/>
          <w:noProof w:val="0"/>
          <w:rtl/>
          <w:lang w:eastAsia="en-US"/>
        </w:rPr>
        <w:t>جرة عليه، وهذا جائز ولا حرج فيه</w:t>
      </w:r>
      <w:r w:rsidR="004775DA" w:rsidRPr="00C821A1">
        <w:rPr>
          <w:rStyle w:val="af1"/>
          <w:szCs w:val="32"/>
          <w:rtl/>
        </w:rPr>
        <w:t>(</w:t>
      </w:r>
      <w:r w:rsidR="004775DA" w:rsidRPr="00C821A1">
        <w:rPr>
          <w:rStyle w:val="af1"/>
          <w:szCs w:val="32"/>
          <w:rtl/>
        </w:rPr>
        <w:footnoteReference w:id="1168"/>
      </w:r>
      <w:r w:rsidR="004775DA" w:rsidRPr="00C821A1">
        <w:rPr>
          <w:rStyle w:val="af1"/>
          <w:szCs w:val="32"/>
          <w:rtl/>
        </w:rPr>
        <w:t>)</w:t>
      </w:r>
      <w:r w:rsidR="004775DA" w:rsidRPr="00662882">
        <w:rPr>
          <w:rFonts w:ascii="Traditional Arabic" w:hAnsi="Traditional Arabic"/>
          <w:noProof w:val="0"/>
          <w:rtl/>
          <w:lang w:eastAsia="en-US"/>
        </w:rPr>
        <w:t>.</w:t>
      </w:r>
    </w:p>
    <w:p w:rsidR="00F228A9" w:rsidRDefault="004775DA" w:rsidP="000A76C7">
      <w:pPr>
        <w:pStyle w:val="afc"/>
        <w:widowControl/>
        <w:numPr>
          <w:ilvl w:val="0"/>
          <w:numId w:val="157"/>
        </w:numPr>
        <w:autoSpaceDE w:val="0"/>
        <w:autoSpaceDN w:val="0"/>
        <w:adjustRightInd w:val="0"/>
        <w:rPr>
          <w:rFonts w:ascii="Traditional Arabic" w:hAnsi="Traditional Arabic"/>
          <w:b/>
          <w:bCs/>
          <w:noProof w:val="0"/>
          <w:sz w:val="44"/>
          <w:szCs w:val="44"/>
          <w:lang w:eastAsia="en-US"/>
        </w:rPr>
      </w:pPr>
      <w:r w:rsidRPr="006526B2">
        <w:rPr>
          <w:rFonts w:ascii="Traditional Arabic" w:hAnsi="Traditional Arabic"/>
          <w:noProof w:val="0"/>
          <w:rtl/>
          <w:lang w:eastAsia="en-US"/>
        </w:rPr>
        <w:t>يجوز بيع ال</w:t>
      </w:r>
      <w:r w:rsidR="0091310E">
        <w:rPr>
          <w:rFonts w:ascii="Traditional Arabic" w:hAnsi="Traditional Arabic" w:hint="cs"/>
          <w:noProof w:val="0"/>
          <w:rtl/>
          <w:lang w:eastAsia="en-US"/>
        </w:rPr>
        <w:t>ْ</w:t>
      </w:r>
      <w:r w:rsidRPr="006526B2">
        <w:rPr>
          <w:rFonts w:ascii="Traditional Arabic" w:hAnsi="Traditional Arabic"/>
          <w:noProof w:val="0"/>
          <w:rtl/>
          <w:lang w:eastAsia="en-US"/>
        </w:rPr>
        <w:t>م</w:t>
      </w:r>
      <w:r w:rsidR="0091310E">
        <w:rPr>
          <w:rFonts w:ascii="Traditional Arabic" w:hAnsi="Traditional Arabic" w:hint="cs"/>
          <w:noProof w:val="0"/>
          <w:rtl/>
          <w:lang w:eastAsia="en-US"/>
        </w:rPr>
        <w:t>ُ</w:t>
      </w:r>
      <w:r w:rsidRPr="006526B2">
        <w:rPr>
          <w:rFonts w:ascii="Traditional Arabic" w:hAnsi="Traditional Arabic"/>
          <w:noProof w:val="0"/>
          <w:rtl/>
          <w:lang w:eastAsia="en-US"/>
        </w:rPr>
        <w:t>س</w:t>
      </w:r>
      <w:r>
        <w:rPr>
          <w:rFonts w:ascii="Traditional Arabic" w:hAnsi="Traditional Arabic" w:hint="cs"/>
          <w:noProof w:val="0"/>
          <w:rtl/>
          <w:lang w:eastAsia="en-US"/>
        </w:rPr>
        <w:t>ْ</w:t>
      </w:r>
      <w:r w:rsidRPr="006526B2">
        <w:rPr>
          <w:rFonts w:ascii="Traditional Arabic" w:hAnsi="Traditional Arabic"/>
          <w:noProof w:val="0"/>
          <w:rtl/>
          <w:lang w:eastAsia="en-US"/>
        </w:rPr>
        <w:t>ل</w:t>
      </w:r>
      <w:r w:rsidRPr="006526B2">
        <w:rPr>
          <w:rFonts w:ascii="Traditional Arabic" w:hAnsi="Traditional Arabic" w:hint="cs"/>
          <w:noProof w:val="0"/>
          <w:rtl/>
          <w:lang w:eastAsia="en-US"/>
        </w:rPr>
        <w:t>َ</w:t>
      </w:r>
      <w:r w:rsidRPr="006526B2">
        <w:rPr>
          <w:rFonts w:ascii="Traditional Arabic" w:hAnsi="Traditional Arabic"/>
          <w:noProof w:val="0"/>
          <w:rtl/>
          <w:lang w:eastAsia="en-US"/>
        </w:rPr>
        <w:t>م فيه على المسل</w:t>
      </w:r>
      <w:r w:rsidRPr="006526B2">
        <w:rPr>
          <w:rFonts w:ascii="Traditional Arabic" w:hAnsi="Traditional Arabic" w:hint="cs"/>
          <w:noProof w:val="0"/>
          <w:rtl/>
          <w:lang w:eastAsia="en-US"/>
        </w:rPr>
        <w:t>َ</w:t>
      </w:r>
      <w:r w:rsidRPr="006526B2">
        <w:rPr>
          <w:rFonts w:ascii="Traditional Arabic" w:hAnsi="Traditional Arabic"/>
          <w:noProof w:val="0"/>
          <w:rtl/>
          <w:lang w:eastAsia="en-US"/>
        </w:rPr>
        <w:t>م إليه</w:t>
      </w:r>
      <w:r w:rsidR="0091310E">
        <w:rPr>
          <w:rFonts w:ascii="Traditional Arabic" w:hAnsi="Traditional Arabic" w:hint="cs"/>
          <w:noProof w:val="0"/>
          <w:rtl/>
          <w:lang w:eastAsia="en-US"/>
        </w:rPr>
        <w:t xml:space="preserve"> </w:t>
      </w:r>
      <w:r w:rsidRPr="006526B2">
        <w:rPr>
          <w:rFonts w:ascii="Traditional Arabic" w:hAnsi="Traditional Arabic"/>
          <w:noProof w:val="0"/>
          <w:rtl/>
          <w:lang w:eastAsia="en-US"/>
        </w:rPr>
        <w:t>قبل قبضه</w:t>
      </w:r>
      <w:r w:rsidRPr="00C821A1">
        <w:rPr>
          <w:rStyle w:val="af1"/>
          <w:szCs w:val="32"/>
          <w:rtl/>
        </w:rPr>
        <w:t>(</w:t>
      </w:r>
      <w:r w:rsidRPr="00C821A1">
        <w:rPr>
          <w:rStyle w:val="af1"/>
          <w:szCs w:val="32"/>
          <w:rtl/>
        </w:rPr>
        <w:footnoteReference w:id="1169"/>
      </w:r>
      <w:r w:rsidRPr="00C821A1">
        <w:rPr>
          <w:rStyle w:val="af1"/>
          <w:szCs w:val="32"/>
          <w:rtl/>
        </w:rPr>
        <w:t>)</w:t>
      </w:r>
      <w:r w:rsidRPr="006526B2">
        <w:rPr>
          <w:rFonts w:ascii="Traditional Arabic" w:hAnsi="Traditional Arabic" w:hint="cs"/>
          <w:noProof w:val="0"/>
          <w:color w:val="auto"/>
          <w:rtl/>
          <w:lang w:eastAsia="en-US"/>
        </w:rPr>
        <w:t xml:space="preserve">؛ </w:t>
      </w:r>
      <w:r w:rsidRPr="006526B2">
        <w:rPr>
          <w:rFonts w:ascii="Traditional Arabic" w:hAnsi="Traditional Arabic"/>
          <w:noProof w:val="0"/>
          <w:rtl/>
          <w:lang w:eastAsia="en-US"/>
        </w:rPr>
        <w:t xml:space="preserve">لعموم قوله تعالى: </w:t>
      </w:r>
      <w:bookmarkStart w:id="229" w:name="سورة_البقرة_275_2"/>
      <w:r w:rsidRPr="006526B2">
        <w:rPr>
          <w:rFonts w:ascii="QCF_BSML" w:hAnsi="QCF_BSML" w:cs="QCF_BSML"/>
          <w:noProof w:val="0"/>
          <w:rtl/>
          <w:lang w:eastAsia="en-US"/>
        </w:rPr>
        <w:t>ﭽ</w:t>
      </w:r>
      <w:r w:rsidRPr="006526B2">
        <w:rPr>
          <w:rFonts w:ascii="QCF_P047" w:hAnsi="QCF_P047" w:cs="QCF_P047"/>
          <w:noProof w:val="0"/>
          <w:rtl/>
          <w:lang w:eastAsia="en-US"/>
        </w:rPr>
        <w:t>ﭧ</w:t>
      </w:r>
      <w:r w:rsidR="00DB48EF">
        <w:rPr>
          <w:rFonts w:ascii="QCF_P047" w:hAnsi="QCF_P047" w:cs="QCF_P047" w:hint="cs"/>
          <w:noProof w:val="0"/>
          <w:rtl/>
          <w:lang w:eastAsia="en-US"/>
        </w:rPr>
        <w:t xml:space="preserve"> </w:t>
      </w:r>
      <w:r w:rsidRPr="006526B2">
        <w:rPr>
          <w:rFonts w:ascii="QCF_P047" w:hAnsi="QCF_P047" w:cs="QCF_P047"/>
          <w:noProof w:val="0"/>
          <w:rtl/>
          <w:lang w:eastAsia="en-US"/>
        </w:rPr>
        <w:t>ﭨ</w:t>
      </w:r>
      <w:r w:rsidR="00DB48EF">
        <w:rPr>
          <w:rFonts w:ascii="QCF_P047" w:hAnsi="QCF_P047" w:cs="QCF_P047" w:hint="cs"/>
          <w:noProof w:val="0"/>
          <w:rtl/>
          <w:lang w:eastAsia="en-US"/>
        </w:rPr>
        <w:t xml:space="preserve"> </w:t>
      </w:r>
      <w:r w:rsidRPr="006526B2">
        <w:rPr>
          <w:rFonts w:ascii="QCF_P047" w:hAnsi="QCF_P047" w:cs="QCF_P047"/>
          <w:noProof w:val="0"/>
          <w:rtl/>
          <w:lang w:eastAsia="en-US"/>
        </w:rPr>
        <w:t>ﭩ</w:t>
      </w:r>
      <w:r w:rsidRPr="006526B2">
        <w:rPr>
          <w:rFonts w:ascii="QCF_BSML" w:hAnsi="QCF_BSML" w:cs="QCF_BSML"/>
          <w:noProof w:val="0"/>
          <w:rtl/>
          <w:lang w:eastAsia="en-US"/>
        </w:rPr>
        <w:t>ﭼ</w:t>
      </w:r>
      <w:bookmarkEnd w:id="229"/>
      <w:r w:rsidRPr="006526B2">
        <w:rPr>
          <w:rFonts w:ascii="Traditional Arabic" w:hAnsi="Traditional Arabic"/>
          <w:noProof w:val="0"/>
          <w:rtl/>
          <w:lang w:eastAsia="en-US"/>
        </w:rPr>
        <w:t>[البقرة: 275]</w:t>
      </w:r>
      <w:r w:rsidRPr="00C821A1">
        <w:rPr>
          <w:rStyle w:val="af1"/>
          <w:szCs w:val="32"/>
          <w:rtl/>
        </w:rPr>
        <w:t>(</w:t>
      </w:r>
      <w:r w:rsidRPr="00C821A1">
        <w:rPr>
          <w:rStyle w:val="af1"/>
          <w:szCs w:val="32"/>
          <w:rtl/>
        </w:rPr>
        <w:footnoteReference w:id="1170"/>
      </w:r>
      <w:r w:rsidRPr="00C821A1">
        <w:rPr>
          <w:rStyle w:val="af1"/>
          <w:szCs w:val="32"/>
          <w:rtl/>
        </w:rPr>
        <w:t>)</w:t>
      </w:r>
      <w:r w:rsidRPr="006526B2">
        <w:rPr>
          <w:rFonts w:ascii="Traditional Arabic" w:hAnsi="Traditional Arabic"/>
          <w:noProof w:val="0"/>
          <w:rtl/>
          <w:lang w:eastAsia="en-US"/>
        </w:rPr>
        <w:t>.</w:t>
      </w:r>
    </w:p>
    <w:p w:rsidR="00F228A9" w:rsidRDefault="00F228A9" w:rsidP="00597C20">
      <w:pPr>
        <w:pStyle w:val="53"/>
        <w:rPr>
          <w:sz w:val="44"/>
          <w:szCs w:val="44"/>
          <w:rtl/>
        </w:rPr>
      </w:pPr>
      <w:r>
        <w:rPr>
          <w:rFonts w:hint="cs"/>
          <w:rtl/>
        </w:rPr>
        <w:t>وجه اندراج الفرع تحت القاعدة:</w:t>
      </w:r>
    </w:p>
    <w:p w:rsidR="004775DA" w:rsidRPr="00662882" w:rsidRDefault="004775DA" w:rsidP="00597C20">
      <w:pPr>
        <w:widowControl/>
        <w:autoSpaceDE w:val="0"/>
        <w:autoSpaceDN w:val="0"/>
        <w:adjustRightInd w:val="0"/>
        <w:ind w:firstLine="705"/>
        <w:jc w:val="left"/>
        <w:rPr>
          <w:rFonts w:ascii="Traditional Arabic" w:hAnsi="Traditional Arabic"/>
          <w:noProof w:val="0"/>
          <w:rtl/>
          <w:lang w:eastAsia="en-US"/>
        </w:rPr>
      </w:pPr>
      <w:r w:rsidRPr="00662882">
        <w:rPr>
          <w:rFonts w:ascii="Traditional Arabic" w:hAnsi="Traditional Arabic" w:hint="cs"/>
          <w:noProof w:val="0"/>
          <w:rtl/>
          <w:lang w:eastAsia="en-US"/>
        </w:rPr>
        <w:t>هذا البيع جائز؛ لدخوله تحت عموم البيع،</w:t>
      </w:r>
      <w:r w:rsidR="00154102" w:rsidRPr="00662882">
        <w:rPr>
          <w:rFonts w:ascii="Traditional Arabic" w:hAnsi="Traditional Arabic" w:hint="cs"/>
          <w:noProof w:val="0"/>
          <w:rtl/>
          <w:lang w:eastAsia="en-US"/>
        </w:rPr>
        <w:t xml:space="preserve"> </w:t>
      </w:r>
      <w:r w:rsidR="00154102" w:rsidRPr="00DB48EF">
        <w:rPr>
          <w:rFonts w:ascii="Traditional Arabic" w:hAnsi="Traditional Arabic" w:hint="cs"/>
          <w:noProof w:val="0"/>
          <w:rtl/>
          <w:lang w:eastAsia="en-US"/>
        </w:rPr>
        <w:t>و</w:t>
      </w:r>
      <w:r w:rsidRPr="00DB48EF">
        <w:rPr>
          <w:rFonts w:ascii="Traditional Arabic" w:hAnsi="Traditional Arabic" w:hint="cs"/>
          <w:noProof w:val="0"/>
          <w:rtl/>
          <w:lang w:eastAsia="en-US"/>
        </w:rPr>
        <w:t>الأصل في البيوع الحل</w:t>
      </w:r>
      <w:r w:rsidRPr="00C821A1">
        <w:rPr>
          <w:rStyle w:val="af1"/>
          <w:szCs w:val="32"/>
          <w:rtl/>
        </w:rPr>
        <w:t>(</w:t>
      </w:r>
      <w:r w:rsidRPr="00C821A1">
        <w:rPr>
          <w:rStyle w:val="af1"/>
          <w:szCs w:val="32"/>
          <w:rtl/>
        </w:rPr>
        <w:footnoteReference w:id="1171"/>
      </w:r>
      <w:r w:rsidRPr="00C821A1">
        <w:rPr>
          <w:rStyle w:val="af1"/>
          <w:szCs w:val="32"/>
          <w:rtl/>
        </w:rPr>
        <w:t>)</w:t>
      </w:r>
      <w:r w:rsidRPr="00662882">
        <w:rPr>
          <w:rFonts w:ascii="Traditional Arabic" w:hAnsi="Traditional Arabic" w:hint="cs"/>
          <w:noProof w:val="0"/>
          <w:rtl/>
          <w:lang w:eastAsia="en-US"/>
        </w:rPr>
        <w:t>.</w:t>
      </w:r>
    </w:p>
    <w:p w:rsidR="004775DA" w:rsidRDefault="004775DA" w:rsidP="000A76C7">
      <w:pPr>
        <w:pStyle w:val="afc"/>
        <w:widowControl/>
        <w:numPr>
          <w:ilvl w:val="0"/>
          <w:numId w:val="157"/>
        </w:numPr>
        <w:autoSpaceDE w:val="0"/>
        <w:autoSpaceDN w:val="0"/>
        <w:adjustRightInd w:val="0"/>
        <w:jc w:val="left"/>
        <w:rPr>
          <w:rFonts w:ascii="Traditional Arabic" w:hAnsi="Traditional Arabic"/>
          <w:noProof w:val="0"/>
          <w:lang w:eastAsia="en-US"/>
        </w:rPr>
      </w:pPr>
      <w:r w:rsidRPr="00460E0B">
        <w:rPr>
          <w:rFonts w:ascii="Traditional Arabic" w:hAnsi="Traditional Arabic" w:hint="cs"/>
          <w:noProof w:val="0"/>
          <w:rtl/>
          <w:lang w:eastAsia="en-US"/>
        </w:rPr>
        <w:t>ي</w:t>
      </w:r>
      <w:r w:rsidRPr="00460E0B">
        <w:rPr>
          <w:rFonts w:ascii="Traditional Arabic" w:hAnsi="Traditional Arabic"/>
          <w:noProof w:val="0"/>
          <w:rtl/>
          <w:lang w:eastAsia="en-US"/>
        </w:rPr>
        <w:t>جوز أخذ الرهن والكفيل ب</w:t>
      </w:r>
      <w:r w:rsidRPr="00460E0B">
        <w:rPr>
          <w:rFonts w:ascii="Traditional Arabic" w:hAnsi="Traditional Arabic" w:hint="cs"/>
          <w:noProof w:val="0"/>
          <w:rtl/>
          <w:lang w:eastAsia="en-US"/>
        </w:rPr>
        <w:t>د</w:t>
      </w:r>
      <w:r>
        <w:rPr>
          <w:rFonts w:ascii="Traditional Arabic" w:hAnsi="Traditional Arabic" w:hint="cs"/>
          <w:noProof w:val="0"/>
          <w:rtl/>
          <w:lang w:eastAsia="en-US"/>
        </w:rPr>
        <w:t>َ</w:t>
      </w:r>
      <w:r w:rsidRPr="00460E0B">
        <w:rPr>
          <w:rFonts w:ascii="Traditional Arabic" w:hAnsi="Traditional Arabic" w:hint="cs"/>
          <w:noProof w:val="0"/>
          <w:rtl/>
          <w:lang w:eastAsia="en-US"/>
        </w:rPr>
        <w:t>ين السلم</w:t>
      </w:r>
      <w:r w:rsidRPr="00C821A1">
        <w:rPr>
          <w:rStyle w:val="af1"/>
          <w:szCs w:val="32"/>
          <w:rtl/>
        </w:rPr>
        <w:t>(</w:t>
      </w:r>
      <w:r w:rsidRPr="00C821A1">
        <w:rPr>
          <w:rStyle w:val="af1"/>
          <w:szCs w:val="32"/>
          <w:rtl/>
        </w:rPr>
        <w:footnoteReference w:id="1172"/>
      </w:r>
      <w:r w:rsidRPr="00C821A1">
        <w:rPr>
          <w:rStyle w:val="af1"/>
          <w:szCs w:val="32"/>
          <w:rtl/>
        </w:rPr>
        <w:t>)</w:t>
      </w:r>
      <w:r>
        <w:rPr>
          <w:rFonts w:ascii="Traditional Arabic" w:hAnsi="Traditional Arabic" w:hint="cs"/>
          <w:noProof w:val="0"/>
          <w:rtl/>
          <w:lang w:eastAsia="en-US"/>
        </w:rPr>
        <w:t>.</w:t>
      </w:r>
    </w:p>
    <w:p w:rsidR="00065E4B" w:rsidRDefault="004775DA" w:rsidP="00597C20">
      <w:pPr>
        <w:pStyle w:val="53"/>
        <w:rPr>
          <w:sz w:val="44"/>
          <w:szCs w:val="44"/>
          <w:rtl/>
        </w:rPr>
      </w:pPr>
      <w:r>
        <w:rPr>
          <w:rFonts w:hint="cs"/>
          <w:rtl/>
        </w:rPr>
        <w:lastRenderedPageBreak/>
        <w:t>وجه اندراج الفرع تحت القاعدة:</w:t>
      </w:r>
    </w:p>
    <w:p w:rsidR="00065E4B" w:rsidRPr="00D65D30" w:rsidRDefault="00065E4B" w:rsidP="00597C20">
      <w:pPr>
        <w:widowControl/>
        <w:autoSpaceDE w:val="0"/>
        <w:autoSpaceDN w:val="0"/>
        <w:adjustRightInd w:val="0"/>
        <w:ind w:firstLine="705"/>
        <w:rPr>
          <w:rFonts w:ascii="Simplified Arabic" w:hAnsi="Simplified Arabic" w:cs="Simplified Arabic"/>
          <w:noProof w:val="0"/>
          <w:color w:val="auto"/>
          <w:rtl/>
          <w:lang w:eastAsia="en-US"/>
        </w:rPr>
      </w:pPr>
      <w:r>
        <w:rPr>
          <w:rFonts w:ascii="Traditional Arabic" w:hAnsi="Traditional Arabic" w:hint="cs"/>
          <w:noProof w:val="0"/>
          <w:rtl/>
          <w:lang w:eastAsia="en-US"/>
        </w:rPr>
        <w:t>ه</w:t>
      </w:r>
      <w:r w:rsidR="004775DA">
        <w:rPr>
          <w:rFonts w:ascii="Traditional Arabic" w:hAnsi="Traditional Arabic" w:hint="cs"/>
          <w:noProof w:val="0"/>
          <w:rtl/>
          <w:lang w:eastAsia="en-US"/>
        </w:rPr>
        <w:t>ذه العقود</w:t>
      </w:r>
      <w:r w:rsidR="004775DA" w:rsidRPr="00460E0B">
        <w:rPr>
          <w:rFonts w:ascii="Traditional Arabic" w:hAnsi="Traditional Arabic"/>
          <w:noProof w:val="0"/>
          <w:rtl/>
          <w:lang w:eastAsia="en-US"/>
        </w:rPr>
        <w:t xml:space="preserve"> ليس فيها محظور ولا ربا</w:t>
      </w:r>
      <w:r w:rsidR="004775DA">
        <w:rPr>
          <w:rFonts w:ascii="Traditional Arabic" w:hAnsi="Traditional Arabic"/>
          <w:noProof w:val="0"/>
          <w:rtl/>
          <w:lang w:eastAsia="en-US"/>
        </w:rPr>
        <w:t xml:space="preserve"> ولا ظلم ولا غرر ولا جهالة، و</w:t>
      </w:r>
      <w:r w:rsidR="004775DA">
        <w:rPr>
          <w:rFonts w:ascii="Traditional Arabic" w:hAnsi="Traditional Arabic" w:hint="cs"/>
          <w:noProof w:val="0"/>
          <w:rtl/>
          <w:lang w:eastAsia="en-US"/>
        </w:rPr>
        <w:t>هي</w:t>
      </w:r>
      <w:r w:rsidR="004775DA" w:rsidRPr="00460E0B">
        <w:rPr>
          <w:rFonts w:ascii="Traditional Arabic" w:hAnsi="Traditional Arabic"/>
          <w:noProof w:val="0"/>
          <w:rtl/>
          <w:lang w:eastAsia="en-US"/>
        </w:rPr>
        <w:t xml:space="preserve"> عقود توثقة </w:t>
      </w:r>
      <w:r w:rsidR="004775DA" w:rsidRPr="00DB48EF">
        <w:rPr>
          <w:rFonts w:ascii="Traditional Arabic" w:hAnsi="Traditional Arabic"/>
          <w:noProof w:val="0"/>
          <w:rtl/>
          <w:lang w:eastAsia="en-US"/>
        </w:rPr>
        <w:t>والأصل في العقود الحل</w:t>
      </w:r>
      <w:r w:rsidR="004775DA" w:rsidRPr="00C821A1">
        <w:rPr>
          <w:rStyle w:val="af1"/>
          <w:szCs w:val="32"/>
          <w:rtl/>
        </w:rPr>
        <w:t>(</w:t>
      </w:r>
      <w:r w:rsidR="004775DA" w:rsidRPr="00C821A1">
        <w:rPr>
          <w:rStyle w:val="af1"/>
          <w:szCs w:val="32"/>
          <w:rtl/>
        </w:rPr>
        <w:footnoteReference w:id="1173"/>
      </w:r>
      <w:r w:rsidR="004775DA" w:rsidRPr="00C821A1">
        <w:rPr>
          <w:rStyle w:val="af1"/>
          <w:szCs w:val="32"/>
          <w:rtl/>
        </w:rPr>
        <w:t>)</w:t>
      </w:r>
      <w:r w:rsidR="004775DA" w:rsidRPr="00460E0B">
        <w:rPr>
          <w:rFonts w:ascii="Traditional Arabic" w:hAnsi="Traditional Arabic"/>
          <w:noProof w:val="0"/>
          <w:rtl/>
          <w:lang w:eastAsia="en-US"/>
        </w:rPr>
        <w:t>.</w:t>
      </w:r>
    </w:p>
    <w:p w:rsidR="004775DA" w:rsidRPr="00C0736E" w:rsidRDefault="00065E4B" w:rsidP="000A76C7">
      <w:pPr>
        <w:pStyle w:val="afc"/>
        <w:widowControl/>
        <w:numPr>
          <w:ilvl w:val="0"/>
          <w:numId w:val="157"/>
        </w:numPr>
        <w:autoSpaceDE w:val="0"/>
        <w:autoSpaceDN w:val="0"/>
        <w:adjustRightInd w:val="0"/>
        <w:rPr>
          <w:rFonts w:ascii="Traditional Arabic" w:hAnsi="Traditional Arabic"/>
          <w:noProof w:val="0"/>
          <w:rtl/>
          <w:lang w:eastAsia="en-US"/>
        </w:rPr>
      </w:pPr>
      <w:r>
        <w:rPr>
          <w:rFonts w:ascii="Traditional Arabic" w:hAnsi="Traditional Arabic" w:hint="cs"/>
          <w:noProof w:val="0"/>
          <w:rtl/>
          <w:lang w:eastAsia="en-US"/>
        </w:rPr>
        <w:t>ا</w:t>
      </w:r>
      <w:r w:rsidR="004775DA">
        <w:rPr>
          <w:rFonts w:ascii="Traditional Arabic" w:hAnsi="Traditional Arabic" w:hint="cs"/>
          <w:noProof w:val="0"/>
          <w:rtl/>
          <w:lang w:eastAsia="en-US"/>
        </w:rPr>
        <w:t>لصواب أن المستقرِض</w:t>
      </w:r>
      <w:r w:rsidR="00DB48EF">
        <w:rPr>
          <w:rFonts w:ascii="Traditional Arabic" w:hAnsi="Traditional Arabic" w:hint="cs"/>
          <w:noProof w:val="0"/>
          <w:rtl/>
          <w:lang w:eastAsia="en-US"/>
        </w:rPr>
        <w:t xml:space="preserve"> </w:t>
      </w:r>
      <w:r w:rsidR="004775DA">
        <w:rPr>
          <w:rFonts w:ascii="Traditional Arabic" w:hAnsi="Traditional Arabic"/>
          <w:noProof w:val="0"/>
          <w:rtl/>
          <w:lang w:eastAsia="en-US"/>
        </w:rPr>
        <w:t>إذا أ</w:t>
      </w:r>
      <w:r w:rsidR="004775DA">
        <w:rPr>
          <w:rFonts w:ascii="Traditional Arabic" w:hAnsi="Traditional Arabic" w:hint="cs"/>
          <w:noProof w:val="0"/>
          <w:rtl/>
          <w:lang w:eastAsia="en-US"/>
        </w:rPr>
        <w:t>َ</w:t>
      </w:r>
      <w:r w:rsidR="004775DA">
        <w:rPr>
          <w:rFonts w:ascii="Traditional Arabic" w:hAnsi="Traditional Arabic"/>
          <w:noProof w:val="0"/>
          <w:rtl/>
          <w:lang w:eastAsia="en-US"/>
        </w:rPr>
        <w:t>ج</w:t>
      </w:r>
      <w:r w:rsidR="004775DA">
        <w:rPr>
          <w:rFonts w:ascii="Traditional Arabic" w:hAnsi="Traditional Arabic" w:hint="cs"/>
          <w:noProof w:val="0"/>
          <w:rtl/>
          <w:lang w:eastAsia="en-US"/>
        </w:rPr>
        <w:t>َّ</w:t>
      </w:r>
      <w:r w:rsidR="004775DA">
        <w:rPr>
          <w:rFonts w:ascii="Traditional Arabic" w:hAnsi="Traditional Arabic"/>
          <w:noProof w:val="0"/>
          <w:rtl/>
          <w:lang w:eastAsia="en-US"/>
        </w:rPr>
        <w:t>ل</w:t>
      </w:r>
      <w:r w:rsidR="004775DA">
        <w:rPr>
          <w:rFonts w:ascii="Traditional Arabic" w:hAnsi="Traditional Arabic" w:hint="cs"/>
          <w:noProof w:val="0"/>
          <w:rtl/>
          <w:lang w:eastAsia="en-US"/>
        </w:rPr>
        <w:t xml:space="preserve"> سَداد الدين</w:t>
      </w:r>
      <w:r w:rsidR="004775DA">
        <w:rPr>
          <w:rFonts w:ascii="Traditional Arabic" w:hAnsi="Traditional Arabic"/>
          <w:noProof w:val="0"/>
          <w:rtl/>
          <w:lang w:eastAsia="en-US"/>
        </w:rPr>
        <w:t xml:space="preserve"> ورضي المُقْرِض</w:t>
      </w:r>
      <w:r w:rsidR="004775DA">
        <w:rPr>
          <w:rFonts w:ascii="Traditional Arabic" w:hAnsi="Traditional Arabic" w:hint="cs"/>
          <w:noProof w:val="0"/>
          <w:rtl/>
          <w:lang w:eastAsia="en-US"/>
        </w:rPr>
        <w:t xml:space="preserve"> بذلك،</w:t>
      </w:r>
      <w:r w:rsidR="004775DA">
        <w:rPr>
          <w:rFonts w:ascii="Traditional Arabic" w:hAnsi="Traditional Arabic"/>
          <w:noProof w:val="0"/>
          <w:rtl/>
          <w:lang w:eastAsia="en-US"/>
        </w:rPr>
        <w:t xml:space="preserve"> فإن</w:t>
      </w:r>
      <w:r w:rsidR="004775DA" w:rsidRPr="00C0736E">
        <w:rPr>
          <w:rFonts w:ascii="Traditional Arabic" w:hAnsi="Traditional Arabic"/>
          <w:noProof w:val="0"/>
          <w:rtl/>
          <w:lang w:eastAsia="en-US"/>
        </w:rPr>
        <w:t xml:space="preserve"> الأجل</w:t>
      </w:r>
      <w:r w:rsidR="004775DA">
        <w:rPr>
          <w:rFonts w:ascii="Traditional Arabic" w:hAnsi="Traditional Arabic" w:hint="cs"/>
          <w:noProof w:val="0"/>
          <w:rtl/>
          <w:lang w:eastAsia="en-US"/>
        </w:rPr>
        <w:t xml:space="preserve"> يثبُت</w:t>
      </w:r>
      <w:r w:rsidR="004775DA" w:rsidRPr="00C0736E">
        <w:rPr>
          <w:rFonts w:ascii="Traditional Arabic" w:hAnsi="Traditional Arabic"/>
          <w:noProof w:val="0"/>
          <w:rtl/>
          <w:lang w:eastAsia="en-US"/>
        </w:rPr>
        <w:t>، ويكون لازماً، ولا يح</w:t>
      </w:r>
      <w:r w:rsidR="004775DA">
        <w:rPr>
          <w:rFonts w:ascii="Traditional Arabic" w:hAnsi="Traditional Arabic" w:hint="cs"/>
          <w:noProof w:val="0"/>
          <w:rtl/>
          <w:lang w:eastAsia="en-US"/>
        </w:rPr>
        <w:t>ِ</w:t>
      </w:r>
      <w:r w:rsidR="004775DA" w:rsidRPr="00C0736E">
        <w:rPr>
          <w:rFonts w:ascii="Traditional Arabic" w:hAnsi="Traditional Arabic"/>
          <w:noProof w:val="0"/>
          <w:rtl/>
          <w:lang w:eastAsia="en-US"/>
        </w:rPr>
        <w:t>ل للمقر</w:t>
      </w:r>
      <w:r w:rsidR="004775DA">
        <w:rPr>
          <w:rFonts w:ascii="Traditional Arabic" w:hAnsi="Traditional Arabic" w:hint="cs"/>
          <w:noProof w:val="0"/>
          <w:rtl/>
          <w:lang w:eastAsia="en-US"/>
        </w:rPr>
        <w:t>ِ</w:t>
      </w:r>
      <w:r w:rsidR="004775DA" w:rsidRPr="00C0736E">
        <w:rPr>
          <w:rFonts w:ascii="Traditional Arabic" w:hAnsi="Traditional Arabic"/>
          <w:noProof w:val="0"/>
          <w:rtl/>
          <w:lang w:eastAsia="en-US"/>
        </w:rPr>
        <w:t>ض أن يطال</w:t>
      </w:r>
      <w:r w:rsidR="004775DA">
        <w:rPr>
          <w:rFonts w:ascii="Traditional Arabic" w:hAnsi="Traditional Arabic" w:hint="cs"/>
          <w:noProof w:val="0"/>
          <w:rtl/>
          <w:lang w:eastAsia="en-US"/>
        </w:rPr>
        <w:t>ِ</w:t>
      </w:r>
      <w:r w:rsidR="004775DA" w:rsidRPr="00C0736E">
        <w:rPr>
          <w:rFonts w:ascii="Traditional Arabic" w:hAnsi="Traditional Arabic"/>
          <w:noProof w:val="0"/>
          <w:rtl/>
          <w:lang w:eastAsia="en-US"/>
        </w:rPr>
        <w:t>ب المستقرض حتى يح</w:t>
      </w:r>
      <w:r w:rsidR="004775DA">
        <w:rPr>
          <w:rFonts w:ascii="Traditional Arabic" w:hAnsi="Traditional Arabic" w:hint="cs"/>
          <w:noProof w:val="0"/>
          <w:rtl/>
          <w:lang w:eastAsia="en-US"/>
        </w:rPr>
        <w:t>ُ</w:t>
      </w:r>
      <w:r w:rsidR="004775DA" w:rsidRPr="00C0736E">
        <w:rPr>
          <w:rFonts w:ascii="Traditional Arabic" w:hAnsi="Traditional Arabic"/>
          <w:noProof w:val="0"/>
          <w:rtl/>
          <w:lang w:eastAsia="en-US"/>
        </w:rPr>
        <w:t>ل</w:t>
      </w:r>
      <w:r w:rsidR="004775DA">
        <w:rPr>
          <w:rFonts w:ascii="Traditional Arabic" w:hAnsi="Traditional Arabic" w:hint="cs"/>
          <w:noProof w:val="0"/>
          <w:rtl/>
          <w:lang w:eastAsia="en-US"/>
        </w:rPr>
        <w:t>ّ</w:t>
      </w:r>
      <w:r w:rsidR="004775DA" w:rsidRPr="00C0736E">
        <w:rPr>
          <w:rFonts w:ascii="Traditional Arabic" w:hAnsi="Traditional Arabic"/>
          <w:noProof w:val="0"/>
          <w:rtl/>
          <w:lang w:eastAsia="en-US"/>
        </w:rPr>
        <w:t xml:space="preserve"> الأجل</w:t>
      </w:r>
      <w:r w:rsidR="004775DA">
        <w:rPr>
          <w:rFonts w:ascii="Traditional Arabic" w:hAnsi="Traditional Arabic" w:hint="cs"/>
          <w:noProof w:val="0"/>
          <w:rtl/>
          <w:lang w:eastAsia="en-US"/>
        </w:rPr>
        <w:t>؛ لأنه هو الذي رضي بتأجيله</w:t>
      </w:r>
      <w:r w:rsidR="004775DA" w:rsidRPr="00C821A1">
        <w:rPr>
          <w:rStyle w:val="af1"/>
          <w:szCs w:val="32"/>
          <w:rtl/>
        </w:rPr>
        <w:t>(</w:t>
      </w:r>
      <w:r w:rsidR="004775DA" w:rsidRPr="00C821A1">
        <w:rPr>
          <w:rStyle w:val="af1"/>
          <w:szCs w:val="32"/>
          <w:rtl/>
        </w:rPr>
        <w:footnoteReference w:id="1174"/>
      </w:r>
      <w:r w:rsidR="004775DA" w:rsidRPr="00C821A1">
        <w:rPr>
          <w:rStyle w:val="af1"/>
          <w:szCs w:val="32"/>
          <w:rtl/>
        </w:rPr>
        <w:t>)</w:t>
      </w:r>
      <w:r w:rsidR="004775DA" w:rsidRPr="00C0736E">
        <w:rPr>
          <w:rFonts w:ascii="Traditional Arabic" w:hAnsi="Traditional Arabic"/>
          <w:noProof w:val="0"/>
          <w:rtl/>
          <w:lang w:eastAsia="en-US"/>
        </w:rPr>
        <w:t>.</w:t>
      </w:r>
    </w:p>
    <w:p w:rsidR="004775DA" w:rsidRDefault="004775DA" w:rsidP="00597C20">
      <w:pPr>
        <w:pStyle w:val="53"/>
        <w:rPr>
          <w:sz w:val="44"/>
          <w:szCs w:val="44"/>
          <w:rtl/>
        </w:rPr>
      </w:pPr>
      <w:r>
        <w:rPr>
          <w:rFonts w:hint="cs"/>
          <w:rtl/>
        </w:rPr>
        <w:t>وجه اندراج الفرع تحت القاعدة:</w:t>
      </w:r>
    </w:p>
    <w:p w:rsidR="004775DA" w:rsidRPr="00662882" w:rsidRDefault="004775DA" w:rsidP="00597C20">
      <w:pPr>
        <w:widowControl/>
        <w:autoSpaceDE w:val="0"/>
        <w:autoSpaceDN w:val="0"/>
        <w:adjustRightInd w:val="0"/>
        <w:ind w:firstLine="705"/>
        <w:rPr>
          <w:rFonts w:ascii="Traditional Arabic" w:hAnsi="Traditional Arabic"/>
          <w:noProof w:val="0"/>
          <w:color w:val="auto"/>
          <w:lang w:eastAsia="en-US"/>
        </w:rPr>
      </w:pPr>
      <w:r w:rsidRPr="00662882">
        <w:rPr>
          <w:rFonts w:ascii="Traditional Arabic" w:hAnsi="Traditional Arabic"/>
          <w:noProof w:val="0"/>
          <w:rtl/>
          <w:lang w:eastAsia="en-US"/>
        </w:rPr>
        <w:t>هذا</w:t>
      </w:r>
      <w:r w:rsidRPr="00662882">
        <w:rPr>
          <w:rFonts w:ascii="Traditional Arabic" w:hAnsi="Traditional Arabic" w:hint="cs"/>
          <w:noProof w:val="0"/>
          <w:rtl/>
          <w:lang w:eastAsia="en-US"/>
        </w:rPr>
        <w:t xml:space="preserve"> الشرط</w:t>
      </w:r>
      <w:r w:rsidRPr="00662882">
        <w:rPr>
          <w:rFonts w:ascii="Traditional Arabic" w:hAnsi="Traditional Arabic"/>
          <w:noProof w:val="0"/>
          <w:rtl/>
          <w:lang w:eastAsia="en-US"/>
        </w:rPr>
        <w:t xml:space="preserve"> لا ينافي مقتضى العقد بل هو من تمام مقتضى العقد؛ لأن المقصود بالقرض الإرفاق والإحسان</w:t>
      </w:r>
      <w:r w:rsidRPr="00662882">
        <w:rPr>
          <w:rFonts w:ascii="Traditional Arabic" w:hAnsi="Traditional Arabic" w:hint="cs"/>
          <w:noProof w:val="0"/>
          <w:rtl/>
          <w:lang w:eastAsia="en-US"/>
        </w:rPr>
        <w:t>،</w:t>
      </w:r>
      <w:r w:rsidR="00154102" w:rsidRPr="00662882">
        <w:rPr>
          <w:rFonts w:ascii="Traditional Arabic" w:hAnsi="Traditional Arabic"/>
          <w:noProof w:val="0"/>
          <w:rtl/>
          <w:lang w:eastAsia="en-US"/>
        </w:rPr>
        <w:t xml:space="preserve"> و</w:t>
      </w:r>
      <w:r w:rsidRPr="00662882">
        <w:rPr>
          <w:rFonts w:ascii="Traditional Arabic" w:hAnsi="Traditional Arabic" w:hint="cs"/>
          <w:noProof w:val="0"/>
          <w:rtl/>
          <w:lang w:eastAsia="en-US"/>
        </w:rPr>
        <w:t>التأجيل</w:t>
      </w:r>
      <w:r w:rsidRPr="00662882">
        <w:rPr>
          <w:rFonts w:ascii="Traditional Arabic" w:hAnsi="Traditional Arabic"/>
          <w:noProof w:val="0"/>
          <w:rtl/>
          <w:lang w:eastAsia="en-US"/>
        </w:rPr>
        <w:t xml:space="preserve"> م</w:t>
      </w:r>
      <w:r w:rsidRPr="00662882">
        <w:rPr>
          <w:rFonts w:ascii="Traditional Arabic" w:hAnsi="Traditional Arabic" w:hint="cs"/>
          <w:noProof w:val="0"/>
          <w:rtl/>
          <w:lang w:eastAsia="en-US"/>
        </w:rPr>
        <w:t>ِ</w:t>
      </w:r>
      <w:r w:rsidRPr="00662882">
        <w:rPr>
          <w:rFonts w:ascii="Traditional Arabic" w:hAnsi="Traditional Arabic"/>
          <w:noProof w:val="0"/>
          <w:rtl/>
          <w:lang w:eastAsia="en-US"/>
        </w:rPr>
        <w:t>ن تمام الإحسان، فالأرفق</w:t>
      </w:r>
      <w:r w:rsidR="00150991">
        <w:rPr>
          <w:rFonts w:ascii="Traditional Arabic" w:hAnsi="Traditional Arabic"/>
          <w:noProof w:val="0"/>
          <w:rtl/>
          <w:lang w:eastAsia="en-US"/>
        </w:rPr>
        <w:t xml:space="preserve"> للمقترض التأجيل، ومن وجه آخر</w:t>
      </w:r>
      <w:r w:rsidRPr="00662882">
        <w:rPr>
          <w:rFonts w:ascii="Traditional Arabic" w:hAnsi="Traditional Arabic"/>
          <w:noProof w:val="0"/>
          <w:rtl/>
          <w:lang w:eastAsia="en-US"/>
        </w:rPr>
        <w:t xml:space="preserve"> الله تعالى قال: </w:t>
      </w:r>
      <w:bookmarkStart w:id="230" w:name="سورة_المائدة_1_3"/>
      <w:r w:rsidRPr="00662882">
        <w:rPr>
          <w:rFonts w:ascii="QCF_BSML" w:hAnsi="QCF_BSML" w:cs="QCF_BSML"/>
          <w:noProof w:val="0"/>
          <w:rtl/>
          <w:lang w:eastAsia="en-US"/>
        </w:rPr>
        <w:t xml:space="preserve">ﭽ </w:t>
      </w:r>
      <w:r w:rsidRPr="00662882">
        <w:rPr>
          <w:rFonts w:ascii="QCF_P106" w:hAnsi="QCF_P106" w:cs="QCF_P106"/>
          <w:noProof w:val="0"/>
          <w:rtl/>
          <w:lang w:eastAsia="en-US"/>
        </w:rPr>
        <w:t>ﮊﮋﮌﮍﮎ</w:t>
      </w:r>
      <w:r w:rsidRPr="00662882">
        <w:rPr>
          <w:rFonts w:ascii="QCF_BSML" w:hAnsi="QCF_BSML" w:cs="QCF_BSML"/>
          <w:noProof w:val="0"/>
          <w:rtl/>
          <w:lang w:eastAsia="en-US"/>
        </w:rPr>
        <w:t>ﭼ</w:t>
      </w:r>
      <w:bookmarkEnd w:id="230"/>
      <w:r w:rsidRPr="00662882">
        <w:rPr>
          <w:rFonts w:ascii="Traditional Arabic" w:hAnsi="Traditional Arabic"/>
          <w:noProof w:val="0"/>
          <w:rtl/>
          <w:lang w:eastAsia="en-US"/>
        </w:rPr>
        <w:t>[المائدة: 1]</w:t>
      </w:r>
      <w:r w:rsidR="00B76414" w:rsidRPr="00662882">
        <w:rPr>
          <w:rFonts w:ascii="Traditional Arabic" w:hAnsi="Traditional Arabic"/>
          <w:noProof w:val="0"/>
          <w:rtl/>
          <w:lang w:eastAsia="en-US"/>
        </w:rPr>
        <w:t>،</w:t>
      </w:r>
      <w:r w:rsidR="00150991">
        <w:rPr>
          <w:rFonts w:ascii="Traditional Arabic" w:hAnsi="Traditional Arabic" w:hint="cs"/>
          <w:noProof w:val="0"/>
          <w:rtl/>
          <w:lang w:eastAsia="en-US"/>
        </w:rPr>
        <w:t xml:space="preserve"> </w:t>
      </w:r>
      <w:r w:rsidRPr="00DB48EF">
        <w:rPr>
          <w:rFonts w:ascii="Traditional Arabic" w:hAnsi="Traditional Arabic"/>
          <w:noProof w:val="0"/>
          <w:rtl/>
          <w:lang w:eastAsia="en-US"/>
        </w:rPr>
        <w:t>وهذا عقد</w:t>
      </w:r>
      <w:r w:rsidR="00DB48EF">
        <w:rPr>
          <w:rFonts w:ascii="Traditional Arabic" w:hAnsi="Traditional Arabic" w:hint="cs"/>
          <w:noProof w:val="0"/>
          <w:rtl/>
          <w:lang w:eastAsia="en-US"/>
        </w:rPr>
        <w:t>ٌ</w:t>
      </w:r>
      <w:r w:rsidRPr="00DB48EF">
        <w:rPr>
          <w:rFonts w:ascii="Traditional Arabic" w:hAnsi="Traditional Arabic"/>
          <w:noProof w:val="0"/>
          <w:rtl/>
          <w:lang w:eastAsia="en-US"/>
        </w:rPr>
        <w:t xml:space="preserve"> ش</w:t>
      </w:r>
      <w:r w:rsidR="00DB48EF">
        <w:rPr>
          <w:rFonts w:ascii="Traditional Arabic" w:hAnsi="Traditional Arabic" w:hint="cs"/>
          <w:noProof w:val="0"/>
          <w:rtl/>
          <w:lang w:eastAsia="en-US"/>
        </w:rPr>
        <w:t>ُ</w:t>
      </w:r>
      <w:r w:rsidRPr="00DB48EF">
        <w:rPr>
          <w:rFonts w:ascii="Traditional Arabic" w:hAnsi="Traditional Arabic"/>
          <w:noProof w:val="0"/>
          <w:rtl/>
          <w:lang w:eastAsia="en-US"/>
        </w:rPr>
        <w:t>رط فيه التأجيل فيجب أن يُوفى به</w:t>
      </w:r>
      <w:r w:rsidRPr="00662882">
        <w:rPr>
          <w:rFonts w:ascii="Traditional Arabic" w:hAnsi="Traditional Arabic"/>
          <w:noProof w:val="0"/>
          <w:rtl/>
          <w:lang w:eastAsia="en-US"/>
        </w:rPr>
        <w:t>؛ لأن أمر الله تعالى بالوفاء بالعقود يشمل الوفاء بأصلها والوفاء بوصفها، وهو الشروط التي تشتر</w:t>
      </w:r>
      <w:r w:rsidRPr="00662882">
        <w:rPr>
          <w:rFonts w:ascii="Traditional Arabic" w:hAnsi="Traditional Arabic" w:hint="cs"/>
          <w:noProof w:val="0"/>
          <w:rtl/>
          <w:lang w:eastAsia="en-US"/>
        </w:rPr>
        <w:t>َ</w:t>
      </w:r>
      <w:r w:rsidRPr="00662882">
        <w:rPr>
          <w:rFonts w:ascii="Traditional Arabic" w:hAnsi="Traditional Arabic"/>
          <w:noProof w:val="0"/>
          <w:rtl/>
          <w:lang w:eastAsia="en-US"/>
        </w:rPr>
        <w:t xml:space="preserve">ط فيها؛ </w:t>
      </w:r>
      <w:r w:rsidRPr="00DB48EF">
        <w:rPr>
          <w:rFonts w:ascii="Traditional Arabic" w:hAnsi="Traditional Arabic"/>
          <w:noProof w:val="0"/>
          <w:rtl/>
          <w:lang w:eastAsia="en-US"/>
        </w:rPr>
        <w:t>و</w:t>
      </w:r>
      <w:r w:rsidRPr="00DB48EF">
        <w:rPr>
          <w:rFonts w:ascii="Traditional Arabic" w:hAnsi="Traditional Arabic" w:hint="cs"/>
          <w:noProof w:val="0"/>
          <w:rtl/>
          <w:lang w:eastAsia="en-US"/>
        </w:rPr>
        <w:t>لأن ا</w:t>
      </w:r>
      <w:r w:rsidRPr="00DB48EF">
        <w:rPr>
          <w:rFonts w:ascii="Traditional Arabic" w:hAnsi="Traditional Arabic"/>
          <w:noProof w:val="0"/>
          <w:rtl/>
          <w:lang w:eastAsia="en-US"/>
        </w:rPr>
        <w:t>لمسلم</w:t>
      </w:r>
      <w:r w:rsidRPr="00DB48EF">
        <w:rPr>
          <w:rFonts w:ascii="Traditional Arabic" w:hAnsi="Traditional Arabic" w:hint="cs"/>
          <w:noProof w:val="0"/>
          <w:rtl/>
          <w:lang w:eastAsia="en-US"/>
        </w:rPr>
        <w:t>ي</w:t>
      </w:r>
      <w:r w:rsidRPr="00DB48EF">
        <w:rPr>
          <w:rFonts w:ascii="Traditional Arabic" w:hAnsi="Traditional Arabic"/>
          <w:noProof w:val="0"/>
          <w:rtl/>
          <w:lang w:eastAsia="en-US"/>
        </w:rPr>
        <w:t>ن على شروطهم</w:t>
      </w:r>
      <w:r w:rsidRPr="00C821A1">
        <w:rPr>
          <w:rStyle w:val="af1"/>
          <w:szCs w:val="32"/>
          <w:rtl/>
        </w:rPr>
        <w:t>(</w:t>
      </w:r>
      <w:r w:rsidRPr="00C821A1">
        <w:rPr>
          <w:rStyle w:val="af1"/>
          <w:szCs w:val="32"/>
          <w:rtl/>
        </w:rPr>
        <w:footnoteReference w:id="1175"/>
      </w:r>
      <w:r w:rsidRPr="00C821A1">
        <w:rPr>
          <w:rStyle w:val="af1"/>
          <w:szCs w:val="32"/>
          <w:rtl/>
        </w:rPr>
        <w:t>)</w:t>
      </w:r>
      <w:r w:rsidRPr="00662882">
        <w:rPr>
          <w:rFonts w:ascii="Traditional Arabic" w:hAnsi="Traditional Arabic" w:hint="cs"/>
          <w:noProof w:val="0"/>
          <w:rtl/>
          <w:lang w:eastAsia="en-US"/>
        </w:rPr>
        <w:t>.</w:t>
      </w:r>
    </w:p>
    <w:p w:rsidR="004775DA" w:rsidRPr="00CE1FF2" w:rsidRDefault="004775DA" w:rsidP="000A76C7">
      <w:pPr>
        <w:pStyle w:val="afc"/>
        <w:widowControl/>
        <w:numPr>
          <w:ilvl w:val="0"/>
          <w:numId w:val="157"/>
        </w:numPr>
        <w:autoSpaceDE w:val="0"/>
        <w:autoSpaceDN w:val="0"/>
        <w:adjustRightInd w:val="0"/>
        <w:jc w:val="left"/>
        <w:rPr>
          <w:rFonts w:ascii="Traditional Arabic" w:hAnsi="Traditional Arabic"/>
          <w:noProof w:val="0"/>
          <w:color w:val="auto"/>
          <w:lang w:eastAsia="en-US"/>
        </w:rPr>
      </w:pPr>
      <w:r>
        <w:rPr>
          <w:rFonts w:ascii="Traditional Arabic" w:hAnsi="Traditional Arabic" w:hint="cs"/>
          <w:noProof w:val="0"/>
          <w:color w:val="auto"/>
          <w:rtl/>
          <w:lang w:eastAsia="en-US"/>
        </w:rPr>
        <w:t>يصح توثيق الدين بالمنفعة</w:t>
      </w:r>
      <w:r w:rsidR="00154102">
        <w:rPr>
          <w:rFonts w:ascii="Traditional Arabic" w:hAnsi="Traditional Arabic" w:hint="cs"/>
          <w:noProof w:val="0"/>
          <w:color w:val="auto"/>
          <w:rtl/>
          <w:lang w:eastAsia="en-US"/>
        </w:rPr>
        <w:t xml:space="preserve"> و</w:t>
      </w:r>
      <w:r>
        <w:rPr>
          <w:rFonts w:ascii="Traditional Arabic" w:hAnsi="Traditional Arabic" w:hint="cs"/>
          <w:noProof w:val="0"/>
          <w:color w:val="auto"/>
          <w:rtl/>
          <w:lang w:eastAsia="en-US"/>
        </w:rPr>
        <w:t>توثيق الدين بالدين؛ لأن المقصود التَوثِقة</w:t>
      </w:r>
      <w:r w:rsidRPr="00C821A1">
        <w:rPr>
          <w:rStyle w:val="af1"/>
          <w:szCs w:val="32"/>
          <w:rtl/>
        </w:rPr>
        <w:t>(</w:t>
      </w:r>
      <w:r w:rsidRPr="00C821A1">
        <w:rPr>
          <w:rStyle w:val="af1"/>
          <w:szCs w:val="32"/>
          <w:rtl/>
        </w:rPr>
        <w:footnoteReference w:id="1176"/>
      </w:r>
      <w:r w:rsidRPr="00C821A1">
        <w:rPr>
          <w:rStyle w:val="af1"/>
          <w:szCs w:val="32"/>
          <w:rtl/>
        </w:rPr>
        <w:t>)</w:t>
      </w:r>
      <w:r w:rsidRPr="00E716DE">
        <w:rPr>
          <w:rFonts w:ascii="Traditional Arabic" w:hAnsi="Traditional Arabic"/>
          <w:noProof w:val="0"/>
          <w:rtl/>
          <w:lang w:eastAsia="en-US"/>
        </w:rPr>
        <w:t>.</w:t>
      </w:r>
    </w:p>
    <w:p w:rsidR="004775DA" w:rsidRDefault="004775DA" w:rsidP="00597C20">
      <w:pPr>
        <w:pStyle w:val="53"/>
        <w:rPr>
          <w:rtl/>
        </w:rPr>
      </w:pPr>
      <w:r>
        <w:rPr>
          <w:rFonts w:hint="cs"/>
          <w:rtl/>
        </w:rPr>
        <w:t>وجه اندراج الفرع تحت القاعدة:</w:t>
      </w:r>
    </w:p>
    <w:p w:rsidR="004775DA" w:rsidRPr="00662882" w:rsidRDefault="004775DA" w:rsidP="00597C20">
      <w:pPr>
        <w:widowControl/>
        <w:autoSpaceDE w:val="0"/>
        <w:autoSpaceDN w:val="0"/>
        <w:adjustRightInd w:val="0"/>
        <w:ind w:firstLine="705"/>
        <w:rPr>
          <w:rFonts w:ascii="Traditional Arabic" w:hAnsi="Traditional Arabic"/>
          <w:b/>
          <w:bCs/>
          <w:noProof w:val="0"/>
          <w:rtl/>
          <w:lang w:eastAsia="en-US"/>
        </w:rPr>
      </w:pPr>
      <w:r w:rsidRPr="00662882">
        <w:rPr>
          <w:rFonts w:ascii="Traditional Arabic" w:hAnsi="Traditional Arabic" w:hint="cs"/>
          <w:noProof w:val="0"/>
          <w:rtl/>
          <w:lang w:eastAsia="en-US"/>
        </w:rPr>
        <w:t>ل</w:t>
      </w:r>
      <w:r w:rsidRPr="00662882">
        <w:rPr>
          <w:rFonts w:ascii="Traditional Arabic" w:hAnsi="Traditional Arabic"/>
          <w:noProof w:val="0"/>
          <w:rtl/>
          <w:lang w:eastAsia="en-US"/>
        </w:rPr>
        <w:t>ا مانع</w:t>
      </w:r>
      <w:r w:rsidRPr="00662882">
        <w:rPr>
          <w:rFonts w:ascii="Traditional Arabic" w:hAnsi="Traditional Arabic" w:hint="cs"/>
          <w:noProof w:val="0"/>
          <w:rtl/>
          <w:lang w:eastAsia="en-US"/>
        </w:rPr>
        <w:t>َ</w:t>
      </w:r>
      <w:r w:rsidR="00DB48EF">
        <w:rPr>
          <w:rFonts w:ascii="Traditional Arabic" w:hAnsi="Traditional Arabic" w:hint="cs"/>
          <w:noProof w:val="0"/>
          <w:rtl/>
          <w:lang w:eastAsia="en-US"/>
        </w:rPr>
        <w:t xml:space="preserve"> </w:t>
      </w:r>
      <w:r w:rsidRPr="00662882">
        <w:rPr>
          <w:rFonts w:ascii="Traditional Arabic" w:hAnsi="Traditional Arabic" w:hint="cs"/>
          <w:noProof w:val="0"/>
          <w:rtl/>
          <w:lang w:eastAsia="en-US"/>
        </w:rPr>
        <w:t>مِن توثيقِ الدين بالدين أو المنفعة</w:t>
      </w:r>
      <w:r w:rsidRPr="00662882">
        <w:rPr>
          <w:rFonts w:ascii="Traditional Arabic" w:hAnsi="Traditional Arabic"/>
          <w:noProof w:val="0"/>
          <w:rtl/>
          <w:lang w:eastAsia="en-US"/>
        </w:rPr>
        <w:t xml:space="preserve"> ما دام ليس في</w:t>
      </w:r>
      <w:r w:rsidRPr="00662882">
        <w:rPr>
          <w:rFonts w:ascii="Traditional Arabic" w:hAnsi="Traditional Arabic" w:hint="cs"/>
          <w:noProof w:val="0"/>
          <w:rtl/>
          <w:lang w:eastAsia="en-US"/>
        </w:rPr>
        <w:t xml:space="preserve"> ذلك</w:t>
      </w:r>
      <w:r w:rsidRPr="00662882">
        <w:rPr>
          <w:rFonts w:ascii="Traditional Arabic" w:hAnsi="Traditional Arabic"/>
          <w:noProof w:val="0"/>
          <w:rtl/>
          <w:lang w:eastAsia="en-US"/>
        </w:rPr>
        <w:t xml:space="preserve"> ظلم</w:t>
      </w:r>
      <w:r w:rsidRPr="00662882">
        <w:rPr>
          <w:rFonts w:ascii="Traditional Arabic" w:hAnsi="Traditional Arabic" w:hint="cs"/>
          <w:noProof w:val="0"/>
          <w:rtl/>
          <w:lang w:eastAsia="en-US"/>
        </w:rPr>
        <w:t>ٌ</w:t>
      </w:r>
      <w:r w:rsidRPr="00662882">
        <w:rPr>
          <w:rFonts w:ascii="Traditional Arabic" w:hAnsi="Traditional Arabic"/>
          <w:noProof w:val="0"/>
          <w:rtl/>
          <w:lang w:eastAsia="en-US"/>
        </w:rPr>
        <w:t xml:space="preserve"> ولا غرر ولا رباً</w:t>
      </w:r>
      <w:r w:rsidRPr="00C821A1">
        <w:rPr>
          <w:rStyle w:val="af1"/>
          <w:szCs w:val="32"/>
          <w:rtl/>
        </w:rPr>
        <w:t>(</w:t>
      </w:r>
      <w:r w:rsidRPr="00C821A1">
        <w:rPr>
          <w:rStyle w:val="af1"/>
          <w:szCs w:val="32"/>
          <w:rtl/>
        </w:rPr>
        <w:footnoteReference w:id="1177"/>
      </w:r>
      <w:r w:rsidRPr="00C821A1">
        <w:rPr>
          <w:rStyle w:val="af1"/>
          <w:szCs w:val="32"/>
          <w:rtl/>
        </w:rPr>
        <w:t>)</w:t>
      </w:r>
      <w:r w:rsidRPr="00662882">
        <w:rPr>
          <w:rFonts w:ascii="Traditional Arabic" w:hAnsi="Traditional Arabic" w:hint="cs"/>
          <w:noProof w:val="0"/>
          <w:rtl/>
          <w:lang w:eastAsia="en-US"/>
        </w:rPr>
        <w:t xml:space="preserve">، </w:t>
      </w:r>
      <w:r w:rsidRPr="00DB48EF">
        <w:rPr>
          <w:rFonts w:ascii="Traditional Arabic" w:hAnsi="Traditional Arabic" w:hint="cs"/>
          <w:noProof w:val="0"/>
          <w:rtl/>
          <w:lang w:eastAsia="en-US"/>
        </w:rPr>
        <w:t>والرهن من عقود التوثقة، و</w:t>
      </w:r>
      <w:r w:rsidRPr="00DB48EF">
        <w:rPr>
          <w:rFonts w:ascii="Traditional Arabic" w:hAnsi="Traditional Arabic"/>
          <w:noProof w:val="0"/>
          <w:rtl/>
          <w:lang w:eastAsia="en-US"/>
        </w:rPr>
        <w:t>الأصل</w:t>
      </w:r>
      <w:r w:rsidRPr="00DB48EF">
        <w:rPr>
          <w:rFonts w:ascii="Traditional Arabic" w:hAnsi="Traditional Arabic" w:hint="cs"/>
          <w:noProof w:val="0"/>
          <w:rtl/>
          <w:lang w:eastAsia="en-US"/>
        </w:rPr>
        <w:t xml:space="preserve"> في العقود الحل والصحة</w:t>
      </w:r>
      <w:r w:rsidRPr="00C821A1">
        <w:rPr>
          <w:rStyle w:val="af1"/>
          <w:szCs w:val="32"/>
          <w:rtl/>
        </w:rPr>
        <w:t>(</w:t>
      </w:r>
      <w:r w:rsidRPr="00C821A1">
        <w:rPr>
          <w:rStyle w:val="af1"/>
          <w:szCs w:val="32"/>
          <w:rtl/>
        </w:rPr>
        <w:footnoteReference w:id="1178"/>
      </w:r>
      <w:r w:rsidRPr="00C821A1">
        <w:rPr>
          <w:rStyle w:val="af1"/>
          <w:szCs w:val="32"/>
          <w:rtl/>
        </w:rPr>
        <w:t>)</w:t>
      </w:r>
      <w:r w:rsidRPr="00662882">
        <w:rPr>
          <w:rFonts w:ascii="Traditional Arabic" w:hAnsi="Traditional Arabic" w:hint="cs"/>
          <w:b/>
          <w:bCs/>
          <w:noProof w:val="0"/>
          <w:rtl/>
          <w:lang w:eastAsia="en-US"/>
        </w:rPr>
        <w:t>.</w:t>
      </w:r>
    </w:p>
    <w:p w:rsidR="004775DA" w:rsidRDefault="004775DA" w:rsidP="000A76C7">
      <w:pPr>
        <w:pStyle w:val="afc"/>
        <w:widowControl/>
        <w:numPr>
          <w:ilvl w:val="0"/>
          <w:numId w:val="157"/>
        </w:numPr>
        <w:autoSpaceDE w:val="0"/>
        <w:autoSpaceDN w:val="0"/>
        <w:adjustRightInd w:val="0"/>
        <w:rPr>
          <w:rFonts w:ascii="Traditional Arabic" w:hAnsi="Traditional Arabic"/>
          <w:noProof w:val="0"/>
          <w:lang w:eastAsia="en-US"/>
        </w:rPr>
      </w:pPr>
      <w:r w:rsidRPr="00911EE1">
        <w:rPr>
          <w:rFonts w:ascii="Traditional Arabic" w:hAnsi="Traditional Arabic"/>
          <w:noProof w:val="0"/>
          <w:rtl/>
          <w:lang w:eastAsia="en-US"/>
        </w:rPr>
        <w:lastRenderedPageBreak/>
        <w:t xml:space="preserve">إذا قال الراهن للمرتهن: إن جئتك بحقك في </w:t>
      </w:r>
      <w:r>
        <w:rPr>
          <w:rFonts w:ascii="Traditional Arabic" w:hAnsi="Traditional Arabic" w:hint="cs"/>
          <w:noProof w:val="0"/>
          <w:rtl/>
          <w:lang w:eastAsia="en-US"/>
        </w:rPr>
        <w:t>ال</w:t>
      </w:r>
      <w:r>
        <w:rPr>
          <w:rFonts w:ascii="Traditional Arabic" w:hAnsi="Traditional Arabic"/>
          <w:noProof w:val="0"/>
          <w:rtl/>
          <w:lang w:eastAsia="en-US"/>
        </w:rPr>
        <w:t xml:space="preserve">وقت </w:t>
      </w:r>
      <w:r>
        <w:rPr>
          <w:rFonts w:ascii="Traditional Arabic" w:hAnsi="Traditional Arabic" w:hint="cs"/>
          <w:noProof w:val="0"/>
          <w:rtl/>
          <w:lang w:eastAsia="en-US"/>
        </w:rPr>
        <w:t>الفلاني</w:t>
      </w:r>
      <w:r w:rsidRPr="00911EE1">
        <w:rPr>
          <w:rFonts w:ascii="Traditional Arabic" w:hAnsi="Traditional Arabic"/>
          <w:noProof w:val="0"/>
          <w:rtl/>
          <w:lang w:eastAsia="en-US"/>
        </w:rPr>
        <w:t>، وإلا فالرهن لك، وقب</w:t>
      </w:r>
      <w:r>
        <w:rPr>
          <w:rFonts w:ascii="Traditional Arabic" w:hAnsi="Traditional Arabic" w:hint="cs"/>
          <w:noProof w:val="0"/>
          <w:rtl/>
          <w:lang w:eastAsia="en-US"/>
        </w:rPr>
        <w:t>ِ</w:t>
      </w:r>
      <w:r w:rsidRPr="00911EE1">
        <w:rPr>
          <w:rFonts w:ascii="Traditional Arabic" w:hAnsi="Traditional Arabic"/>
          <w:noProof w:val="0"/>
          <w:rtl/>
          <w:lang w:eastAsia="en-US"/>
        </w:rPr>
        <w:t>ل</w:t>
      </w:r>
      <w:r>
        <w:rPr>
          <w:rFonts w:ascii="Traditional Arabic" w:hAnsi="Traditional Arabic" w:hint="cs"/>
          <w:noProof w:val="0"/>
          <w:rtl/>
          <w:lang w:eastAsia="en-US"/>
        </w:rPr>
        <w:t xml:space="preserve"> المرتهن ذلك،</w:t>
      </w:r>
      <w:r w:rsidR="00150991">
        <w:rPr>
          <w:rFonts w:ascii="Traditional Arabic" w:hAnsi="Traditional Arabic" w:hint="cs"/>
          <w:noProof w:val="0"/>
          <w:rtl/>
          <w:lang w:eastAsia="en-US"/>
        </w:rPr>
        <w:t xml:space="preserve"> </w:t>
      </w:r>
      <w:r>
        <w:rPr>
          <w:rFonts w:ascii="Traditional Arabic" w:hAnsi="Traditional Arabic" w:hint="cs"/>
          <w:noProof w:val="0"/>
          <w:rtl/>
          <w:lang w:eastAsia="en-US"/>
        </w:rPr>
        <w:t>فإن هذا الشرط يكون صحيحا لازما</w:t>
      </w:r>
      <w:r w:rsidRPr="00C821A1">
        <w:rPr>
          <w:rStyle w:val="af1"/>
          <w:szCs w:val="32"/>
          <w:rtl/>
        </w:rPr>
        <w:t>(</w:t>
      </w:r>
      <w:r w:rsidRPr="00C821A1">
        <w:rPr>
          <w:rStyle w:val="af1"/>
          <w:szCs w:val="32"/>
          <w:rtl/>
        </w:rPr>
        <w:footnoteReference w:id="1179"/>
      </w:r>
      <w:r w:rsidRPr="00C821A1">
        <w:rPr>
          <w:rStyle w:val="af1"/>
          <w:szCs w:val="32"/>
          <w:rtl/>
        </w:rPr>
        <w:t>)</w:t>
      </w:r>
      <w:r>
        <w:rPr>
          <w:rFonts w:ascii="Traditional Arabic" w:hAnsi="Traditional Arabic" w:hint="cs"/>
          <w:noProof w:val="0"/>
          <w:rtl/>
          <w:lang w:eastAsia="en-US"/>
        </w:rPr>
        <w:t>.</w:t>
      </w:r>
    </w:p>
    <w:p w:rsidR="004775DA" w:rsidRDefault="004775DA" w:rsidP="00597C20">
      <w:pPr>
        <w:pStyle w:val="53"/>
        <w:rPr>
          <w:rtl/>
        </w:rPr>
      </w:pPr>
      <w:r>
        <w:rPr>
          <w:rFonts w:hint="cs"/>
          <w:rtl/>
        </w:rPr>
        <w:t>وجه اندراج الفرع تحت القاعدة:</w:t>
      </w:r>
    </w:p>
    <w:p w:rsidR="004775DA" w:rsidRPr="00662882" w:rsidRDefault="004775DA" w:rsidP="00597C20">
      <w:pPr>
        <w:widowControl/>
        <w:autoSpaceDE w:val="0"/>
        <w:autoSpaceDN w:val="0"/>
        <w:adjustRightInd w:val="0"/>
        <w:ind w:firstLine="705"/>
        <w:rPr>
          <w:rFonts w:ascii="Traditional Arabic" w:hAnsi="Traditional Arabic"/>
          <w:b/>
          <w:bCs/>
          <w:noProof w:val="0"/>
          <w:lang w:eastAsia="en-US"/>
        </w:rPr>
      </w:pPr>
      <w:r w:rsidRPr="00662882">
        <w:rPr>
          <w:rFonts w:ascii="Traditional Arabic" w:hAnsi="Traditional Arabic" w:hint="cs"/>
          <w:noProof w:val="0"/>
          <w:rtl/>
          <w:lang w:eastAsia="en-US"/>
        </w:rPr>
        <w:t>هذا الشرط لا يخالف كتاب الله،</w:t>
      </w:r>
      <w:r w:rsidR="00154102" w:rsidRPr="00662882">
        <w:rPr>
          <w:rFonts w:ascii="Traditional Arabic" w:hAnsi="Traditional Arabic" w:hint="cs"/>
          <w:noProof w:val="0"/>
          <w:rtl/>
          <w:lang w:eastAsia="en-US"/>
        </w:rPr>
        <w:t xml:space="preserve"> و</w:t>
      </w:r>
      <w:r w:rsidRPr="00662882">
        <w:rPr>
          <w:rFonts w:ascii="Traditional Arabic" w:hAnsi="Traditional Arabic" w:hint="cs"/>
          <w:noProof w:val="0"/>
          <w:rtl/>
          <w:lang w:eastAsia="en-US"/>
        </w:rPr>
        <w:t>لا يحرم حلالا</w:t>
      </w:r>
      <w:r w:rsidR="00154102" w:rsidRPr="00662882">
        <w:rPr>
          <w:rFonts w:ascii="Traditional Arabic" w:hAnsi="Traditional Arabic" w:hint="cs"/>
          <w:noProof w:val="0"/>
          <w:rtl/>
          <w:lang w:eastAsia="en-US"/>
        </w:rPr>
        <w:t xml:space="preserve"> و</w:t>
      </w:r>
      <w:r w:rsidRPr="00662882">
        <w:rPr>
          <w:rFonts w:ascii="Traditional Arabic" w:hAnsi="Traditional Arabic" w:hint="cs"/>
          <w:noProof w:val="0"/>
          <w:rtl/>
          <w:lang w:eastAsia="en-US"/>
        </w:rPr>
        <w:t>لا يحل حراما،</w:t>
      </w:r>
      <w:r w:rsidR="00154102" w:rsidRPr="00662882">
        <w:rPr>
          <w:rFonts w:ascii="Traditional Arabic" w:hAnsi="Traditional Arabic" w:hint="cs"/>
          <w:noProof w:val="0"/>
          <w:rtl/>
          <w:lang w:eastAsia="en-US"/>
        </w:rPr>
        <w:t xml:space="preserve"> و</w:t>
      </w:r>
      <w:r w:rsidRPr="00662882">
        <w:rPr>
          <w:rFonts w:ascii="Traditional Arabic" w:hAnsi="Traditional Arabic" w:hint="cs"/>
          <w:noProof w:val="0"/>
          <w:rtl/>
          <w:lang w:eastAsia="en-US"/>
        </w:rPr>
        <w:t>ما ذكره</w:t>
      </w:r>
      <w:r w:rsidR="00150991">
        <w:rPr>
          <w:rFonts w:ascii="Traditional Arabic" w:hAnsi="Traditional Arabic" w:hint="cs"/>
          <w:noProof w:val="0"/>
          <w:rtl/>
          <w:lang w:eastAsia="en-US"/>
        </w:rPr>
        <w:t xml:space="preserve"> </w:t>
      </w:r>
      <w:r w:rsidRPr="00662882">
        <w:rPr>
          <w:rFonts w:ascii="Traditional Arabic" w:hAnsi="Traditional Arabic" w:hint="cs"/>
          <w:noProof w:val="0"/>
          <w:rtl/>
          <w:lang w:eastAsia="en-US"/>
        </w:rPr>
        <w:t>مَن لم يصحِّح الشرطَ من تعليل</w:t>
      </w:r>
      <w:r w:rsidR="00154102" w:rsidRPr="00662882">
        <w:rPr>
          <w:rFonts w:ascii="Traditional Arabic" w:hAnsi="Traditional Arabic" w:hint="cs"/>
          <w:noProof w:val="0"/>
          <w:rtl/>
          <w:lang w:eastAsia="en-US"/>
        </w:rPr>
        <w:t xml:space="preserve"> و</w:t>
      </w:r>
      <w:r w:rsidR="00150991">
        <w:rPr>
          <w:rFonts w:ascii="Traditional Arabic" w:hAnsi="Traditional Arabic" w:hint="cs"/>
          <w:noProof w:val="0"/>
          <w:rtl/>
          <w:lang w:eastAsia="en-US"/>
        </w:rPr>
        <w:t xml:space="preserve">استدلال </w:t>
      </w:r>
      <w:r w:rsidRPr="00662882">
        <w:rPr>
          <w:rFonts w:ascii="Traditional Arabic" w:hAnsi="Traditional Arabic" w:hint="cs"/>
          <w:noProof w:val="0"/>
          <w:rtl/>
          <w:lang w:eastAsia="en-US"/>
        </w:rPr>
        <w:t>غير صحيح، فيُرجَع إلى الأصل،</w:t>
      </w:r>
      <w:r w:rsidR="00154102" w:rsidRPr="00662882">
        <w:rPr>
          <w:rFonts w:ascii="Traditional Arabic" w:hAnsi="Traditional Arabic" w:hint="cs"/>
          <w:noProof w:val="0"/>
          <w:rtl/>
          <w:lang w:eastAsia="en-US"/>
        </w:rPr>
        <w:t xml:space="preserve"> </w:t>
      </w:r>
      <w:r w:rsidR="00154102" w:rsidRPr="00DB48EF">
        <w:rPr>
          <w:rFonts w:ascii="Traditional Arabic" w:hAnsi="Traditional Arabic" w:hint="cs"/>
          <w:noProof w:val="0"/>
          <w:rtl/>
          <w:lang w:eastAsia="en-US"/>
        </w:rPr>
        <w:t>و</w:t>
      </w:r>
      <w:r w:rsidRPr="00DB48EF">
        <w:rPr>
          <w:rFonts w:ascii="Traditional Arabic" w:hAnsi="Traditional Arabic" w:hint="cs"/>
          <w:noProof w:val="0"/>
          <w:rtl/>
          <w:lang w:eastAsia="en-US"/>
        </w:rPr>
        <w:t>الأصل في العقود وشروطها الجواز</w:t>
      </w:r>
      <w:r w:rsidR="00154102" w:rsidRPr="00DB48EF">
        <w:rPr>
          <w:rFonts w:ascii="Traditional Arabic" w:hAnsi="Traditional Arabic" w:hint="cs"/>
          <w:noProof w:val="0"/>
          <w:rtl/>
          <w:lang w:eastAsia="en-US"/>
        </w:rPr>
        <w:t xml:space="preserve"> و</w:t>
      </w:r>
      <w:r w:rsidRPr="00DB48EF">
        <w:rPr>
          <w:rFonts w:ascii="Traditional Arabic" w:hAnsi="Traditional Arabic" w:hint="cs"/>
          <w:noProof w:val="0"/>
          <w:rtl/>
          <w:lang w:eastAsia="en-US"/>
        </w:rPr>
        <w:t>الصحة</w:t>
      </w:r>
      <w:r w:rsidRPr="00C821A1">
        <w:rPr>
          <w:rStyle w:val="af1"/>
          <w:szCs w:val="32"/>
          <w:rtl/>
        </w:rPr>
        <w:t>(</w:t>
      </w:r>
      <w:r w:rsidRPr="00C821A1">
        <w:rPr>
          <w:rStyle w:val="af1"/>
          <w:szCs w:val="32"/>
          <w:rtl/>
        </w:rPr>
        <w:footnoteReference w:id="1180"/>
      </w:r>
      <w:r w:rsidRPr="00C821A1">
        <w:rPr>
          <w:rStyle w:val="af1"/>
          <w:szCs w:val="32"/>
          <w:rtl/>
        </w:rPr>
        <w:t>)</w:t>
      </w:r>
      <w:r w:rsidRPr="00662882">
        <w:rPr>
          <w:rFonts w:ascii="Traditional Arabic" w:hAnsi="Traditional Arabic" w:hint="cs"/>
          <w:b/>
          <w:bCs/>
          <w:noProof w:val="0"/>
          <w:rtl/>
          <w:lang w:eastAsia="en-US"/>
        </w:rPr>
        <w:t>.</w:t>
      </w:r>
    </w:p>
    <w:p w:rsidR="004775DA" w:rsidRPr="00616FEE" w:rsidRDefault="004775DA" w:rsidP="000A76C7">
      <w:pPr>
        <w:pStyle w:val="afc"/>
        <w:widowControl/>
        <w:numPr>
          <w:ilvl w:val="0"/>
          <w:numId w:val="157"/>
        </w:numPr>
        <w:autoSpaceDE w:val="0"/>
        <w:autoSpaceDN w:val="0"/>
        <w:adjustRightInd w:val="0"/>
        <w:rPr>
          <w:rFonts w:ascii="Traditional Arabic" w:hAnsi="Traditional Arabic"/>
          <w:noProof w:val="0"/>
          <w:lang w:eastAsia="en-US"/>
        </w:rPr>
      </w:pPr>
      <w:r w:rsidRPr="00616FEE">
        <w:rPr>
          <w:rFonts w:ascii="Traditional Arabic" w:hAnsi="Traditional Arabic"/>
          <w:noProof w:val="0"/>
          <w:rtl/>
          <w:lang w:eastAsia="en-US"/>
        </w:rPr>
        <w:t>يجوز التوكيل في الخصومة</w:t>
      </w:r>
      <w:r w:rsidRPr="00616FEE">
        <w:rPr>
          <w:rFonts w:ascii="Traditional Arabic" w:hAnsi="Traditional Arabic" w:hint="cs"/>
          <w:noProof w:val="0"/>
          <w:rtl/>
          <w:lang w:eastAsia="en-US"/>
        </w:rPr>
        <w:t>؛ لأن الأصل في المعاملات الحل حتى يدل دليل على التحريم</w:t>
      </w:r>
      <w:r w:rsidRPr="00C821A1">
        <w:rPr>
          <w:rStyle w:val="af1"/>
          <w:szCs w:val="32"/>
          <w:rtl/>
        </w:rPr>
        <w:t>(</w:t>
      </w:r>
      <w:r w:rsidRPr="00C821A1">
        <w:rPr>
          <w:rStyle w:val="af1"/>
          <w:szCs w:val="32"/>
          <w:rtl/>
        </w:rPr>
        <w:footnoteReference w:id="1181"/>
      </w:r>
      <w:r w:rsidRPr="00C821A1">
        <w:rPr>
          <w:rStyle w:val="af1"/>
          <w:szCs w:val="32"/>
          <w:rtl/>
        </w:rPr>
        <w:t>)</w:t>
      </w:r>
      <w:r w:rsidRPr="00616FEE">
        <w:rPr>
          <w:rFonts w:ascii="Traditional Arabic" w:hAnsi="Traditional Arabic" w:hint="cs"/>
          <w:noProof w:val="0"/>
          <w:rtl/>
          <w:lang w:eastAsia="en-US"/>
        </w:rPr>
        <w:t>.</w:t>
      </w:r>
    </w:p>
    <w:p w:rsidR="004775DA" w:rsidRDefault="004775DA" w:rsidP="00597C20">
      <w:pPr>
        <w:pStyle w:val="53"/>
        <w:rPr>
          <w:rtl/>
        </w:rPr>
      </w:pPr>
      <w:r>
        <w:rPr>
          <w:rFonts w:hint="cs"/>
          <w:rtl/>
        </w:rPr>
        <w:t>وجه اندراج الفرع تحت القاعدة:</w:t>
      </w:r>
    </w:p>
    <w:p w:rsidR="004775DA" w:rsidRPr="00662882" w:rsidRDefault="004775DA" w:rsidP="00597C20">
      <w:pPr>
        <w:widowControl/>
        <w:autoSpaceDE w:val="0"/>
        <w:autoSpaceDN w:val="0"/>
        <w:adjustRightInd w:val="0"/>
        <w:ind w:firstLine="705"/>
        <w:rPr>
          <w:rFonts w:ascii="Traditional Arabic" w:hAnsi="Traditional Arabic"/>
          <w:noProof w:val="0"/>
          <w:rtl/>
          <w:lang w:eastAsia="en-US"/>
        </w:rPr>
      </w:pPr>
      <w:r w:rsidRPr="00DB48EF">
        <w:rPr>
          <w:rFonts w:ascii="Traditional Arabic" w:hAnsi="Traditional Arabic" w:hint="cs"/>
          <w:noProof w:val="0"/>
          <w:rtl/>
          <w:lang w:eastAsia="en-US"/>
        </w:rPr>
        <w:t>الوكالة عقد من عقود المعاملات،</w:t>
      </w:r>
      <w:r w:rsidR="00154102" w:rsidRPr="00DB48EF">
        <w:rPr>
          <w:rFonts w:ascii="Traditional Arabic" w:hAnsi="Traditional Arabic" w:hint="cs"/>
          <w:noProof w:val="0"/>
          <w:rtl/>
          <w:lang w:eastAsia="en-US"/>
        </w:rPr>
        <w:t xml:space="preserve"> و</w:t>
      </w:r>
      <w:r w:rsidRPr="00DB48EF">
        <w:rPr>
          <w:rFonts w:ascii="Traditional Arabic" w:hAnsi="Traditional Arabic" w:hint="cs"/>
          <w:noProof w:val="0"/>
          <w:rtl/>
          <w:lang w:eastAsia="en-US"/>
        </w:rPr>
        <w:t>الأصل في المعاملات الحل</w:t>
      </w:r>
      <w:r w:rsidRPr="00662882">
        <w:rPr>
          <w:rFonts w:ascii="Traditional Arabic" w:hAnsi="Traditional Arabic" w:hint="cs"/>
          <w:noProof w:val="0"/>
          <w:rtl/>
          <w:lang w:eastAsia="en-US"/>
        </w:rPr>
        <w:t>؛</w:t>
      </w:r>
      <w:r w:rsidR="00154102" w:rsidRPr="00662882">
        <w:rPr>
          <w:rFonts w:ascii="Traditional Arabic" w:hAnsi="Traditional Arabic" w:hint="cs"/>
          <w:noProof w:val="0"/>
          <w:rtl/>
          <w:lang w:eastAsia="en-US"/>
        </w:rPr>
        <w:t xml:space="preserve"> و</w:t>
      </w:r>
      <w:r w:rsidRPr="00662882">
        <w:rPr>
          <w:rFonts w:ascii="Traditional Arabic" w:hAnsi="Traditional Arabic" w:hint="cs"/>
          <w:noProof w:val="0"/>
          <w:rtl/>
          <w:lang w:eastAsia="en-US"/>
        </w:rPr>
        <w:t>لهذا يجوز التوكيل في الخصومة حتى ير</w:t>
      </w:r>
      <w:r w:rsidR="00DB48EF">
        <w:rPr>
          <w:rFonts w:ascii="Traditional Arabic" w:hAnsi="Traditional Arabic" w:hint="cs"/>
          <w:noProof w:val="0"/>
          <w:rtl/>
          <w:lang w:eastAsia="en-US"/>
        </w:rPr>
        <w:t>ِ</w:t>
      </w:r>
      <w:r w:rsidRPr="00662882">
        <w:rPr>
          <w:rFonts w:ascii="Traditional Arabic" w:hAnsi="Traditional Arabic" w:hint="cs"/>
          <w:noProof w:val="0"/>
          <w:rtl/>
          <w:lang w:eastAsia="en-US"/>
        </w:rPr>
        <w:t>د دليل على التحريم.</w:t>
      </w:r>
    </w:p>
    <w:p w:rsidR="004775DA" w:rsidRDefault="004775DA" w:rsidP="000A76C7">
      <w:pPr>
        <w:pStyle w:val="afc"/>
        <w:widowControl/>
        <w:numPr>
          <w:ilvl w:val="0"/>
          <w:numId w:val="157"/>
        </w:numPr>
        <w:autoSpaceDE w:val="0"/>
        <w:autoSpaceDN w:val="0"/>
        <w:adjustRightInd w:val="0"/>
        <w:jc w:val="left"/>
        <w:rPr>
          <w:rFonts w:ascii="Traditional Arabic" w:hAnsi="Traditional Arabic"/>
          <w:noProof w:val="0"/>
          <w:lang w:eastAsia="en-US"/>
        </w:rPr>
      </w:pPr>
      <w:r>
        <w:rPr>
          <w:rFonts w:ascii="Traditional Arabic" w:hAnsi="Traditional Arabic" w:hint="cs"/>
          <w:noProof w:val="0"/>
          <w:rtl/>
          <w:lang w:eastAsia="en-US"/>
        </w:rPr>
        <w:t>الشركة</w:t>
      </w:r>
      <w:r w:rsidR="00B64C8F" w:rsidRPr="00B64C8F">
        <w:rPr>
          <w:rFonts w:ascii="Traditional Arabic" w:hAnsi="Traditional Arabic" w:hint="cs"/>
          <w:noProof w:val="0"/>
          <w:vertAlign w:val="superscript"/>
          <w:rtl/>
          <w:lang w:eastAsia="en-US"/>
        </w:rPr>
        <w:t>(</w:t>
      </w:r>
      <w:r w:rsidR="00B64C8F" w:rsidRPr="00B64C8F">
        <w:rPr>
          <w:rStyle w:val="af1"/>
          <w:rFonts w:ascii="Traditional Arabic" w:hAnsi="Traditional Arabic"/>
          <w:noProof w:val="0"/>
          <w:rtl/>
          <w:lang w:eastAsia="en-US"/>
        </w:rPr>
        <w:footnoteReference w:id="1182"/>
      </w:r>
      <w:r w:rsidR="00B64C8F" w:rsidRPr="00B64C8F">
        <w:rPr>
          <w:rFonts w:ascii="Traditional Arabic" w:hAnsi="Traditional Arabic" w:hint="cs"/>
          <w:noProof w:val="0"/>
          <w:vertAlign w:val="superscript"/>
          <w:rtl/>
          <w:lang w:eastAsia="en-US"/>
        </w:rPr>
        <w:t>)</w:t>
      </w:r>
      <w:r w:rsidR="00154102">
        <w:rPr>
          <w:rFonts w:ascii="Traditional Arabic" w:hAnsi="Traditional Arabic" w:hint="cs"/>
          <w:noProof w:val="0"/>
          <w:rtl/>
          <w:lang w:eastAsia="en-US"/>
        </w:rPr>
        <w:t xml:space="preserve"> و</w:t>
      </w:r>
      <w:r>
        <w:rPr>
          <w:rFonts w:ascii="Traditional Arabic" w:hAnsi="Traditional Arabic" w:hint="cs"/>
          <w:noProof w:val="0"/>
          <w:rtl/>
          <w:lang w:eastAsia="en-US"/>
        </w:rPr>
        <w:t>المساقاة</w:t>
      </w:r>
      <w:r w:rsidRPr="00C821A1">
        <w:rPr>
          <w:rStyle w:val="af1"/>
          <w:szCs w:val="32"/>
          <w:rtl/>
        </w:rPr>
        <w:t>(</w:t>
      </w:r>
      <w:r w:rsidRPr="00C821A1">
        <w:rPr>
          <w:rStyle w:val="af1"/>
          <w:szCs w:val="32"/>
          <w:rtl/>
        </w:rPr>
        <w:footnoteReference w:id="1183"/>
      </w:r>
      <w:r w:rsidRPr="00C821A1">
        <w:rPr>
          <w:rStyle w:val="af1"/>
          <w:szCs w:val="32"/>
          <w:rtl/>
        </w:rPr>
        <w:t>)</w:t>
      </w:r>
      <w:r>
        <w:rPr>
          <w:rFonts w:ascii="Traditional Arabic" w:hAnsi="Traditional Arabic" w:hint="cs"/>
          <w:noProof w:val="0"/>
          <w:rtl/>
          <w:lang w:eastAsia="en-US"/>
        </w:rPr>
        <w:t xml:space="preserve"> من العقود ال</w:t>
      </w:r>
      <w:r w:rsidR="00150991">
        <w:rPr>
          <w:rFonts w:ascii="Traditional Arabic" w:hAnsi="Traditional Arabic" w:hint="cs"/>
          <w:noProof w:val="0"/>
          <w:rtl/>
          <w:lang w:eastAsia="en-US"/>
        </w:rPr>
        <w:t>مباحة</w:t>
      </w:r>
      <w:r w:rsidRPr="00C821A1">
        <w:rPr>
          <w:rStyle w:val="af1"/>
          <w:szCs w:val="32"/>
          <w:rtl/>
        </w:rPr>
        <w:t>(</w:t>
      </w:r>
      <w:r w:rsidRPr="00C821A1">
        <w:rPr>
          <w:rStyle w:val="af1"/>
          <w:szCs w:val="32"/>
          <w:rtl/>
        </w:rPr>
        <w:footnoteReference w:id="1184"/>
      </w:r>
      <w:r w:rsidRPr="00C821A1">
        <w:rPr>
          <w:rStyle w:val="af1"/>
          <w:szCs w:val="32"/>
          <w:rtl/>
        </w:rPr>
        <w:t>)</w:t>
      </w:r>
      <w:r>
        <w:rPr>
          <w:rFonts w:ascii="Traditional Arabic" w:hAnsi="Traditional Arabic" w:hint="cs"/>
          <w:noProof w:val="0"/>
          <w:rtl/>
          <w:lang w:eastAsia="en-US"/>
        </w:rPr>
        <w:t>.</w:t>
      </w:r>
    </w:p>
    <w:p w:rsidR="004775DA" w:rsidRDefault="004775DA" w:rsidP="00597C20">
      <w:pPr>
        <w:pStyle w:val="53"/>
        <w:rPr>
          <w:rtl/>
        </w:rPr>
      </w:pPr>
      <w:r>
        <w:rPr>
          <w:rFonts w:hint="cs"/>
          <w:rtl/>
        </w:rPr>
        <w:t>وجه اندراج الفرع تحت القاعدة:</w:t>
      </w:r>
    </w:p>
    <w:p w:rsidR="004775DA" w:rsidRPr="00240197" w:rsidRDefault="004775DA" w:rsidP="00597C20">
      <w:pPr>
        <w:widowControl/>
        <w:autoSpaceDE w:val="0"/>
        <w:autoSpaceDN w:val="0"/>
        <w:adjustRightInd w:val="0"/>
        <w:ind w:firstLine="720"/>
        <w:jc w:val="left"/>
        <w:rPr>
          <w:rFonts w:ascii="Traditional Arabic" w:hAnsi="Traditional Arabic"/>
          <w:noProof w:val="0"/>
          <w:rtl/>
          <w:lang w:eastAsia="en-US"/>
        </w:rPr>
      </w:pPr>
      <w:r w:rsidRPr="00662882">
        <w:rPr>
          <w:rFonts w:ascii="Traditional Arabic" w:hAnsi="Traditional Arabic" w:hint="cs"/>
          <w:noProof w:val="0"/>
          <w:rtl/>
          <w:lang w:eastAsia="en-US"/>
        </w:rPr>
        <w:t>الشركة</w:t>
      </w:r>
      <w:r w:rsidR="00154102" w:rsidRPr="00662882">
        <w:rPr>
          <w:rFonts w:ascii="Traditional Arabic" w:hAnsi="Traditional Arabic" w:hint="cs"/>
          <w:noProof w:val="0"/>
          <w:rtl/>
          <w:lang w:eastAsia="en-US"/>
        </w:rPr>
        <w:t xml:space="preserve"> و</w:t>
      </w:r>
      <w:r w:rsidRPr="00662882">
        <w:rPr>
          <w:rFonts w:ascii="Traditional Arabic" w:hAnsi="Traditional Arabic" w:hint="cs"/>
          <w:noProof w:val="0"/>
          <w:rtl/>
          <w:lang w:eastAsia="en-US"/>
        </w:rPr>
        <w:t xml:space="preserve">المساقاة من عقود المعاملات، </w:t>
      </w:r>
      <w:r w:rsidRPr="00DB48EF">
        <w:rPr>
          <w:rFonts w:ascii="Traditional Arabic" w:hAnsi="Traditional Arabic" w:hint="cs"/>
          <w:noProof w:val="0"/>
          <w:rtl/>
          <w:lang w:eastAsia="en-US"/>
        </w:rPr>
        <w:t>والأصل في المعاملات الحل</w:t>
      </w:r>
      <w:r w:rsidR="00DB48EF" w:rsidRPr="00DB48EF">
        <w:rPr>
          <w:rFonts w:ascii="Traditional Arabic" w:hAnsi="Traditional Arabic" w:hint="cs"/>
          <w:noProof w:val="0"/>
          <w:rtl/>
          <w:lang w:eastAsia="en-US"/>
        </w:rPr>
        <w:t xml:space="preserve"> </w:t>
      </w:r>
      <w:r w:rsidRPr="00DB48EF">
        <w:rPr>
          <w:rFonts w:ascii="Traditional Arabic" w:hAnsi="Traditional Arabic" w:hint="cs"/>
          <w:noProof w:val="0"/>
          <w:rtl/>
          <w:lang w:eastAsia="en-US"/>
        </w:rPr>
        <w:t>والإباحة</w:t>
      </w:r>
      <w:r w:rsidRPr="00C821A1">
        <w:rPr>
          <w:rStyle w:val="af1"/>
          <w:szCs w:val="32"/>
          <w:rtl/>
        </w:rPr>
        <w:t>(</w:t>
      </w:r>
      <w:r w:rsidRPr="00C821A1">
        <w:rPr>
          <w:rStyle w:val="af1"/>
          <w:szCs w:val="32"/>
          <w:rtl/>
        </w:rPr>
        <w:footnoteReference w:id="1185"/>
      </w:r>
      <w:r w:rsidRPr="00C821A1">
        <w:rPr>
          <w:rStyle w:val="af1"/>
          <w:szCs w:val="32"/>
          <w:rtl/>
        </w:rPr>
        <w:t>)</w:t>
      </w:r>
      <w:r>
        <w:rPr>
          <w:rFonts w:ascii="Traditional Arabic" w:hAnsi="Traditional Arabic" w:hint="cs"/>
          <w:noProof w:val="0"/>
          <w:rtl/>
          <w:lang w:eastAsia="en-US"/>
        </w:rPr>
        <w:t>.</w:t>
      </w:r>
    </w:p>
    <w:p w:rsidR="004775DA" w:rsidRDefault="004775DA" w:rsidP="000A76C7">
      <w:pPr>
        <w:pStyle w:val="afc"/>
        <w:widowControl/>
        <w:numPr>
          <w:ilvl w:val="0"/>
          <w:numId w:val="157"/>
        </w:numPr>
        <w:autoSpaceDE w:val="0"/>
        <w:autoSpaceDN w:val="0"/>
        <w:adjustRightInd w:val="0"/>
        <w:jc w:val="left"/>
        <w:rPr>
          <w:rFonts w:ascii="Traditional Arabic" w:hAnsi="Traditional Arabic"/>
          <w:noProof w:val="0"/>
          <w:lang w:eastAsia="en-US"/>
        </w:rPr>
      </w:pPr>
      <w:r w:rsidRPr="00616FEE">
        <w:rPr>
          <w:rFonts w:ascii="Traditional Arabic" w:hAnsi="Traditional Arabic"/>
          <w:noProof w:val="0"/>
          <w:rtl/>
          <w:lang w:eastAsia="en-US"/>
        </w:rPr>
        <w:lastRenderedPageBreak/>
        <w:t>يجوز لمن أُق</w:t>
      </w:r>
      <w:r>
        <w:rPr>
          <w:rFonts w:ascii="Traditional Arabic" w:hAnsi="Traditional Arabic" w:hint="cs"/>
          <w:noProof w:val="0"/>
          <w:rtl/>
          <w:lang w:eastAsia="en-US"/>
        </w:rPr>
        <w:t>ْ</w:t>
      </w:r>
      <w:r w:rsidRPr="00616FEE">
        <w:rPr>
          <w:rFonts w:ascii="Traditional Arabic" w:hAnsi="Traditional Arabic"/>
          <w:noProof w:val="0"/>
          <w:rtl/>
          <w:lang w:eastAsia="en-US"/>
        </w:rPr>
        <w:t>ط</w:t>
      </w:r>
      <w:r>
        <w:rPr>
          <w:rFonts w:ascii="Traditional Arabic" w:hAnsi="Traditional Arabic" w:hint="cs"/>
          <w:noProof w:val="0"/>
          <w:rtl/>
          <w:lang w:eastAsia="en-US"/>
        </w:rPr>
        <w:t>ِ</w:t>
      </w:r>
      <w:r w:rsidRPr="00616FEE">
        <w:rPr>
          <w:rFonts w:ascii="Traditional Arabic" w:hAnsi="Traditional Arabic"/>
          <w:noProof w:val="0"/>
          <w:rtl/>
          <w:lang w:eastAsia="en-US"/>
        </w:rPr>
        <w:t xml:space="preserve">ع </w:t>
      </w:r>
      <w:r>
        <w:rPr>
          <w:rFonts w:ascii="Traditional Arabic" w:hAnsi="Traditional Arabic" w:hint="cs"/>
          <w:noProof w:val="0"/>
          <w:rtl/>
          <w:lang w:eastAsia="en-US"/>
        </w:rPr>
        <w:t xml:space="preserve">أرضا </w:t>
      </w:r>
      <w:r w:rsidRPr="00616FEE">
        <w:rPr>
          <w:rFonts w:ascii="Traditional Arabic" w:hAnsi="Traditional Arabic"/>
          <w:noProof w:val="0"/>
          <w:rtl/>
          <w:lang w:eastAsia="en-US"/>
        </w:rPr>
        <w:t>أن يتناز</w:t>
      </w:r>
      <w:r>
        <w:rPr>
          <w:rFonts w:ascii="Traditional Arabic" w:hAnsi="Traditional Arabic" w:hint="cs"/>
          <w:noProof w:val="0"/>
          <w:rtl/>
          <w:lang w:eastAsia="en-US"/>
        </w:rPr>
        <w:t>َ</w:t>
      </w:r>
      <w:r w:rsidRPr="00616FEE">
        <w:rPr>
          <w:rFonts w:ascii="Traditional Arabic" w:hAnsi="Traditional Arabic"/>
          <w:noProof w:val="0"/>
          <w:rtl/>
          <w:lang w:eastAsia="en-US"/>
        </w:rPr>
        <w:t>ل عن إقطاعه بع</w:t>
      </w:r>
      <w:r>
        <w:rPr>
          <w:rFonts w:ascii="Traditional Arabic" w:hAnsi="Traditional Arabic" w:hint="cs"/>
          <w:noProof w:val="0"/>
          <w:rtl/>
          <w:lang w:eastAsia="en-US"/>
        </w:rPr>
        <w:t>ِ</w:t>
      </w:r>
      <w:r w:rsidRPr="00616FEE">
        <w:rPr>
          <w:rFonts w:ascii="Traditional Arabic" w:hAnsi="Traditional Arabic"/>
          <w:noProof w:val="0"/>
          <w:rtl/>
          <w:lang w:eastAsia="en-US"/>
        </w:rPr>
        <w:t>و</w:t>
      </w:r>
      <w:r>
        <w:rPr>
          <w:rFonts w:ascii="Traditional Arabic" w:hAnsi="Traditional Arabic" w:hint="cs"/>
          <w:noProof w:val="0"/>
          <w:rtl/>
          <w:lang w:eastAsia="en-US"/>
        </w:rPr>
        <w:t>َ</w:t>
      </w:r>
      <w:r w:rsidRPr="00616FEE">
        <w:rPr>
          <w:rFonts w:ascii="Traditional Arabic" w:hAnsi="Traditional Arabic"/>
          <w:noProof w:val="0"/>
          <w:rtl/>
          <w:lang w:eastAsia="en-US"/>
        </w:rPr>
        <w:t>ض</w:t>
      </w:r>
      <w:r w:rsidRPr="00C821A1">
        <w:rPr>
          <w:rStyle w:val="af1"/>
          <w:szCs w:val="32"/>
          <w:rtl/>
        </w:rPr>
        <w:t>(</w:t>
      </w:r>
      <w:r w:rsidRPr="00C821A1">
        <w:rPr>
          <w:rStyle w:val="af1"/>
          <w:szCs w:val="32"/>
          <w:rtl/>
        </w:rPr>
        <w:footnoteReference w:id="1186"/>
      </w:r>
      <w:r w:rsidRPr="00C821A1">
        <w:rPr>
          <w:rStyle w:val="af1"/>
          <w:szCs w:val="32"/>
          <w:rtl/>
        </w:rPr>
        <w:t>)</w:t>
      </w:r>
      <w:r>
        <w:rPr>
          <w:rFonts w:ascii="Traditional Arabic" w:hAnsi="Traditional Arabic" w:hint="cs"/>
          <w:noProof w:val="0"/>
          <w:rtl/>
          <w:lang w:eastAsia="en-US"/>
        </w:rPr>
        <w:t>.</w:t>
      </w:r>
    </w:p>
    <w:p w:rsidR="00065E4B" w:rsidRDefault="004775DA" w:rsidP="00597C20">
      <w:pPr>
        <w:pStyle w:val="53"/>
        <w:rPr>
          <w:rtl/>
        </w:rPr>
      </w:pPr>
      <w:r>
        <w:rPr>
          <w:rFonts w:hint="cs"/>
          <w:rtl/>
        </w:rPr>
        <w:t>وجه اندراج الفرع تحت القاعدة:</w:t>
      </w:r>
    </w:p>
    <w:p w:rsidR="004775DA" w:rsidRDefault="00065E4B" w:rsidP="00597C20">
      <w:pPr>
        <w:widowControl/>
        <w:autoSpaceDE w:val="0"/>
        <w:autoSpaceDN w:val="0"/>
        <w:adjustRightInd w:val="0"/>
        <w:ind w:firstLine="720"/>
        <w:rPr>
          <w:rFonts w:ascii="Traditional Arabic" w:hAnsi="Traditional Arabic"/>
          <w:noProof w:val="0"/>
          <w:rtl/>
          <w:lang w:eastAsia="en-US"/>
        </w:rPr>
      </w:pPr>
      <w:r w:rsidRPr="00112560">
        <w:rPr>
          <w:rFonts w:ascii="Traditional Arabic" w:hAnsi="Traditional Arabic"/>
          <w:noProof w:val="0"/>
          <w:rtl/>
          <w:lang w:eastAsia="en-US"/>
        </w:rPr>
        <w:t>ه</w:t>
      </w:r>
      <w:r w:rsidR="004775DA" w:rsidRPr="00112560">
        <w:rPr>
          <w:rFonts w:ascii="Traditional Arabic" w:hAnsi="Traditional Arabic"/>
          <w:noProof w:val="0"/>
          <w:rtl/>
          <w:lang w:eastAsia="en-US"/>
        </w:rPr>
        <w:t>ذا الذي أُقطع تناز</w:t>
      </w:r>
      <w:r w:rsidR="004775DA">
        <w:rPr>
          <w:rFonts w:ascii="Traditional Arabic" w:hAnsi="Traditional Arabic" w:hint="cs"/>
          <w:noProof w:val="0"/>
          <w:rtl/>
          <w:lang w:eastAsia="en-US"/>
        </w:rPr>
        <w:t>َ</w:t>
      </w:r>
      <w:r w:rsidR="004775DA" w:rsidRPr="00112560">
        <w:rPr>
          <w:rFonts w:ascii="Traditional Arabic" w:hAnsi="Traditional Arabic"/>
          <w:noProof w:val="0"/>
          <w:rtl/>
          <w:lang w:eastAsia="en-US"/>
        </w:rPr>
        <w:t xml:space="preserve">ل عن حقه </w:t>
      </w:r>
      <w:r w:rsidR="004775DA" w:rsidRPr="00DB48EF">
        <w:rPr>
          <w:rFonts w:ascii="Traditional Arabic" w:hAnsi="Traditional Arabic"/>
          <w:noProof w:val="0"/>
          <w:rtl/>
          <w:lang w:eastAsia="en-US"/>
        </w:rPr>
        <w:t>بعوض، والأصل في العقو</w:t>
      </w:r>
      <w:r w:rsidR="004775DA" w:rsidRPr="00DB48EF">
        <w:rPr>
          <w:rFonts w:ascii="Traditional Arabic" w:hAnsi="Traditional Arabic" w:hint="cs"/>
          <w:noProof w:val="0"/>
          <w:rtl/>
          <w:lang w:eastAsia="en-US"/>
        </w:rPr>
        <w:t xml:space="preserve">د </w:t>
      </w:r>
      <w:r w:rsidR="004775DA" w:rsidRPr="00DB48EF">
        <w:rPr>
          <w:rFonts w:ascii="Traditional Arabic" w:hAnsi="Traditional Arabic"/>
          <w:noProof w:val="0"/>
          <w:rtl/>
          <w:lang w:eastAsia="en-US"/>
        </w:rPr>
        <w:t>الحل</w:t>
      </w:r>
      <w:r w:rsidR="00DB48EF" w:rsidRPr="00DB48EF">
        <w:rPr>
          <w:rFonts w:ascii="Traditional Arabic" w:hAnsi="Traditional Arabic" w:hint="cs"/>
          <w:noProof w:val="0"/>
          <w:rtl/>
          <w:lang w:eastAsia="en-US"/>
        </w:rPr>
        <w:t xml:space="preserve"> </w:t>
      </w:r>
      <w:r w:rsidR="004775DA" w:rsidRPr="00DB48EF">
        <w:rPr>
          <w:rFonts w:ascii="Traditional Arabic" w:hAnsi="Traditional Arabic"/>
          <w:noProof w:val="0"/>
          <w:rtl/>
          <w:lang w:eastAsia="en-US"/>
        </w:rPr>
        <w:t>والإباحة</w:t>
      </w:r>
      <w:r w:rsidR="004775DA">
        <w:rPr>
          <w:rFonts w:ascii="Traditional Arabic" w:hAnsi="Traditional Arabic" w:hint="cs"/>
          <w:b/>
          <w:bCs/>
          <w:noProof w:val="0"/>
          <w:rtl/>
          <w:lang w:eastAsia="en-US"/>
        </w:rPr>
        <w:t>،</w:t>
      </w:r>
      <w:r w:rsidR="00154102">
        <w:rPr>
          <w:rFonts w:ascii="Traditional Arabic" w:hAnsi="Traditional Arabic" w:hint="cs"/>
          <w:noProof w:val="0"/>
          <w:rtl/>
          <w:lang w:eastAsia="en-US"/>
        </w:rPr>
        <w:t xml:space="preserve"> و</w:t>
      </w:r>
      <w:r w:rsidR="004775DA" w:rsidRPr="00112560">
        <w:rPr>
          <w:rFonts w:ascii="Traditional Arabic" w:hAnsi="Traditional Arabic"/>
          <w:noProof w:val="0"/>
          <w:rtl/>
          <w:lang w:eastAsia="en-US"/>
        </w:rPr>
        <w:t>ليس في ذلك محظور؛ لأنه إذا تنازل عنه نز</w:t>
      </w:r>
      <w:r w:rsidR="00150991">
        <w:rPr>
          <w:rFonts w:ascii="Traditional Arabic" w:hAnsi="Traditional Arabic" w:hint="cs"/>
          <w:noProof w:val="0"/>
          <w:rtl/>
          <w:lang w:eastAsia="en-US"/>
        </w:rPr>
        <w:t>ّ</w:t>
      </w:r>
      <w:r w:rsidR="004775DA" w:rsidRPr="00112560">
        <w:rPr>
          <w:rFonts w:ascii="Traditional Arabic" w:hAnsi="Traditional Arabic"/>
          <w:noProof w:val="0"/>
          <w:rtl/>
          <w:lang w:eastAsia="en-US"/>
        </w:rPr>
        <w:t>ل الثاني منزلة الأول، وهذا لا مانع</w:t>
      </w:r>
      <w:r w:rsidR="004775DA">
        <w:rPr>
          <w:rFonts w:ascii="Traditional Arabic" w:hAnsi="Traditional Arabic" w:hint="cs"/>
          <w:noProof w:val="0"/>
          <w:rtl/>
          <w:lang w:eastAsia="en-US"/>
        </w:rPr>
        <w:t>َ</w:t>
      </w:r>
      <w:r w:rsidR="004775DA" w:rsidRPr="00112560">
        <w:rPr>
          <w:rFonts w:ascii="Traditional Arabic" w:hAnsi="Traditional Arabic"/>
          <w:noProof w:val="0"/>
          <w:rtl/>
          <w:lang w:eastAsia="en-US"/>
        </w:rPr>
        <w:t xml:space="preserve"> منه</w:t>
      </w:r>
      <w:r w:rsidR="004775DA" w:rsidRPr="00C821A1">
        <w:rPr>
          <w:rStyle w:val="af1"/>
          <w:szCs w:val="32"/>
          <w:rtl/>
        </w:rPr>
        <w:t>(</w:t>
      </w:r>
      <w:r w:rsidR="004775DA" w:rsidRPr="00C821A1">
        <w:rPr>
          <w:rStyle w:val="af1"/>
          <w:szCs w:val="32"/>
          <w:rtl/>
        </w:rPr>
        <w:footnoteReference w:id="1187"/>
      </w:r>
      <w:r w:rsidR="004775DA" w:rsidRPr="00C821A1">
        <w:rPr>
          <w:rStyle w:val="af1"/>
          <w:szCs w:val="32"/>
          <w:rtl/>
        </w:rPr>
        <w:t>)</w:t>
      </w:r>
      <w:r w:rsidR="004775DA">
        <w:rPr>
          <w:rFonts w:ascii="Traditional Arabic" w:hAnsi="Traditional Arabic" w:hint="cs"/>
          <w:noProof w:val="0"/>
          <w:rtl/>
          <w:lang w:eastAsia="en-US"/>
        </w:rPr>
        <w:t>.</w:t>
      </w:r>
    </w:p>
    <w:p w:rsidR="00853E7C" w:rsidRDefault="00853E7C" w:rsidP="00597C20">
      <w:pPr>
        <w:widowControl/>
        <w:autoSpaceDE w:val="0"/>
        <w:autoSpaceDN w:val="0"/>
        <w:adjustRightInd w:val="0"/>
        <w:ind w:firstLine="720"/>
        <w:rPr>
          <w:rFonts w:ascii="Traditional Arabic" w:hAnsi="Traditional Arabic"/>
          <w:noProof w:val="0"/>
          <w:rtl/>
          <w:lang w:eastAsia="en-US"/>
        </w:rPr>
      </w:pPr>
    </w:p>
    <w:p w:rsidR="00853E7C" w:rsidRDefault="00853E7C" w:rsidP="00853E7C">
      <w:pPr>
        <w:widowControl/>
        <w:autoSpaceDE w:val="0"/>
        <w:autoSpaceDN w:val="0"/>
        <w:adjustRightInd w:val="0"/>
        <w:jc w:val="left"/>
        <w:rPr>
          <w:rFonts w:ascii="Traditional Arabic" w:hAnsi="Traditional Arabic"/>
          <w:b/>
          <w:bCs/>
          <w:noProof w:val="0"/>
          <w:rtl/>
          <w:lang w:eastAsia="en-US"/>
        </w:rPr>
      </w:pPr>
    </w:p>
    <w:p w:rsidR="00B64C8F" w:rsidRDefault="00B64C8F" w:rsidP="00853E7C">
      <w:pPr>
        <w:widowControl/>
        <w:autoSpaceDE w:val="0"/>
        <w:autoSpaceDN w:val="0"/>
        <w:adjustRightInd w:val="0"/>
        <w:jc w:val="left"/>
        <w:rPr>
          <w:rFonts w:ascii="Traditional Arabic" w:hAnsi="Traditional Arabic"/>
          <w:b/>
          <w:bCs/>
          <w:noProof w:val="0"/>
          <w:rtl/>
          <w:lang w:eastAsia="en-US"/>
        </w:rPr>
      </w:pPr>
    </w:p>
    <w:p w:rsidR="00150991" w:rsidRPr="00853E7C" w:rsidRDefault="00150991" w:rsidP="00853E7C">
      <w:pPr>
        <w:widowControl/>
        <w:autoSpaceDE w:val="0"/>
        <w:autoSpaceDN w:val="0"/>
        <w:adjustRightInd w:val="0"/>
        <w:jc w:val="left"/>
        <w:rPr>
          <w:rFonts w:ascii="Traditional Arabic" w:hAnsi="Traditional Arabic"/>
          <w:noProof w:val="0"/>
          <w:rtl/>
          <w:lang w:eastAsia="en-US"/>
        </w:rPr>
      </w:pPr>
    </w:p>
    <w:p w:rsidR="00323A19" w:rsidRPr="00C85F0F" w:rsidRDefault="00323A19" w:rsidP="000F5C0F">
      <w:pPr>
        <w:pStyle w:val="aff2"/>
        <w:rPr>
          <w:rFonts w:ascii="Traditional Arabic" w:hAnsi="Traditional Arabic"/>
          <w:rtl/>
        </w:rPr>
      </w:pPr>
      <w:bookmarkStart w:id="231" w:name="_Toc334046454"/>
      <w:r w:rsidRPr="004775DA">
        <w:rPr>
          <w:rFonts w:ascii="Traditional Arabic" w:hAnsi="Traditional Arabic" w:hint="cs"/>
          <w:rtl/>
        </w:rPr>
        <w:lastRenderedPageBreak/>
        <w:t>المبحث ال</w:t>
      </w:r>
      <w:r>
        <w:rPr>
          <w:rFonts w:ascii="Traditional Arabic" w:hAnsi="Traditional Arabic" w:hint="cs"/>
          <w:rtl/>
        </w:rPr>
        <w:t>رابع</w:t>
      </w:r>
      <w:r>
        <w:rPr>
          <w:rFonts w:ascii="Traditional Arabic" w:hAnsi="Traditional Arabic" w:hint="eastAsia"/>
          <w:rtl/>
        </w:rPr>
        <w:t> :</w:t>
      </w:r>
      <w:r>
        <w:rPr>
          <w:rFonts w:ascii="Traditional Arabic" w:hAnsi="Traditional Arabic" w:hint="cs"/>
          <w:rtl/>
        </w:rPr>
        <w:br/>
      </w:r>
      <w:r w:rsidRPr="004775DA">
        <w:rPr>
          <w:rFonts w:ascii="Traditional Arabic" w:hAnsi="Traditional Arabic" w:hint="cs"/>
          <w:rtl/>
        </w:rPr>
        <w:t>قاعدة</w:t>
      </w:r>
      <w:r>
        <w:rPr>
          <w:rFonts w:ascii="Traditional Arabic" w:hAnsi="Traditional Arabic"/>
          <w:rtl/>
        </w:rPr>
        <w:br/>
      </w:r>
      <w:r>
        <w:rPr>
          <w:rFonts w:hint="cs"/>
          <w:rtl/>
        </w:rPr>
        <w:t>"العبرة في المعاملات بما في نفس الأمر</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العبرةفيالمعاملاتبمافينفسالأمر</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Style w:val="af1"/>
          <w:b w:val="0"/>
          <w:bCs w:val="0"/>
          <w:szCs w:val="32"/>
          <w:rtl/>
        </w:rPr>
        <w:t>(</w:t>
      </w:r>
      <w:r w:rsidRPr="00C85F0F">
        <w:rPr>
          <w:rStyle w:val="af1"/>
          <w:b w:val="0"/>
          <w:bCs w:val="0"/>
          <w:szCs w:val="32"/>
          <w:rtl/>
        </w:rPr>
        <w:footnoteReference w:id="1188"/>
      </w:r>
      <w:r w:rsidRPr="00C85F0F">
        <w:rPr>
          <w:rStyle w:val="af1"/>
          <w:b w:val="0"/>
          <w:bCs w:val="0"/>
          <w:szCs w:val="32"/>
          <w:rtl/>
        </w:rPr>
        <w:t>)</w:t>
      </w:r>
      <w:bookmarkEnd w:id="231"/>
    </w:p>
    <w:p w:rsidR="00323A19" w:rsidRPr="00C85F0F" w:rsidRDefault="0032473E" w:rsidP="00A8347C">
      <w:pPr>
        <w:pStyle w:val="aff3"/>
        <w:rPr>
          <w:rtl/>
        </w:rPr>
      </w:pPr>
      <w:bookmarkStart w:id="232" w:name="_Toc334046455"/>
      <w:r>
        <w:rPr>
          <w:rFonts w:hint="cs"/>
          <w:rtl/>
        </w:rPr>
        <w:t xml:space="preserve">                                        </w:t>
      </w:r>
      <w:r w:rsidR="00323A19" w:rsidRPr="00C85F0F">
        <w:rPr>
          <w:rFonts w:hint="cs"/>
          <w:rtl/>
        </w:rPr>
        <w:t>المطلب الأول</w:t>
      </w:r>
      <w:r w:rsidR="00323A19" w:rsidRPr="00C85F0F">
        <w:rPr>
          <w:rFonts w:hint="eastAsia"/>
          <w:rtl/>
        </w:rPr>
        <w:t> :</w:t>
      </w:r>
      <w:r w:rsidR="00323A19" w:rsidRPr="00C85F0F">
        <w:rPr>
          <w:rFonts w:hint="cs"/>
          <w:rtl/>
        </w:rPr>
        <w:br/>
      </w:r>
      <w:r>
        <w:rPr>
          <w:rFonts w:hint="cs"/>
          <w:rtl/>
        </w:rPr>
        <w:t xml:space="preserve">                      </w:t>
      </w:r>
      <w:r w:rsidR="00323A19" w:rsidRPr="00C85F0F">
        <w:rPr>
          <w:rFonts w:hint="cs"/>
          <w:rtl/>
        </w:rPr>
        <w:t>صيغ القاعدة عند الشيخ وعند علماء القواعد</w:t>
      </w:r>
      <w:bookmarkEnd w:id="232"/>
    </w:p>
    <w:p w:rsidR="00323A19" w:rsidRPr="00C85F0F" w:rsidRDefault="00B64C8F" w:rsidP="0032473E">
      <w:pPr>
        <w:ind w:firstLine="0"/>
        <w:rPr>
          <w:rtl/>
        </w:rPr>
      </w:pPr>
      <w:r>
        <w:rPr>
          <w:rFonts w:hint="cs"/>
          <w:rtl/>
        </w:rPr>
        <w:t xml:space="preserve">    </w:t>
      </w:r>
      <w:r w:rsidR="00323A19" w:rsidRPr="00C85F0F">
        <w:rPr>
          <w:rFonts w:hint="cs"/>
          <w:rtl/>
        </w:rPr>
        <w:t>ورد</w:t>
      </w:r>
      <w:r w:rsidR="0032473E">
        <w:rPr>
          <w:rFonts w:hint="cs"/>
          <w:rtl/>
        </w:rPr>
        <w:t>ت هذه القاعدة عند</w:t>
      </w:r>
      <w:r w:rsidR="00323A19" w:rsidRPr="00C85F0F">
        <w:rPr>
          <w:rFonts w:hint="cs"/>
          <w:rtl/>
        </w:rPr>
        <w:t xml:space="preserve"> الشيخ ابن عثيمين </w:t>
      </w:r>
      <w:r w:rsidR="0032473E">
        <w:rPr>
          <w:rFonts w:hint="cs"/>
          <w:rtl/>
        </w:rPr>
        <w:t>_</w:t>
      </w:r>
      <w:r w:rsidR="009A0575" w:rsidRPr="005D5694">
        <w:rPr>
          <w:rFonts w:ascii="Traditional Arabic" w:hAnsi="Traditional Arabic" w:cs="CTraditional Arabic" w:hint="cs"/>
          <w:rtl/>
        </w:rPr>
        <w:t>/</w:t>
      </w:r>
      <w:r w:rsidR="0032473E">
        <w:rPr>
          <w:rFonts w:hint="cs"/>
          <w:rtl/>
        </w:rPr>
        <w:t xml:space="preserve">_ بعدة </w:t>
      </w:r>
      <w:r w:rsidR="00323A19" w:rsidRPr="00C85F0F">
        <w:rPr>
          <w:rFonts w:hint="cs"/>
          <w:rtl/>
        </w:rPr>
        <w:t>صيغ</w:t>
      </w:r>
      <w:r w:rsidR="0032473E">
        <w:rPr>
          <w:rFonts w:hint="cs"/>
          <w:rtl/>
        </w:rPr>
        <w:t>، منها</w:t>
      </w:r>
      <w:r w:rsidR="00323A19" w:rsidRPr="00C85F0F">
        <w:rPr>
          <w:rFonts w:hint="cs"/>
          <w:rtl/>
        </w:rPr>
        <w:t>:</w:t>
      </w:r>
    </w:p>
    <w:p w:rsidR="00323A19" w:rsidRPr="00C85F0F" w:rsidRDefault="00323A19" w:rsidP="000A76C7">
      <w:pPr>
        <w:numPr>
          <w:ilvl w:val="0"/>
          <w:numId w:val="158"/>
        </w:numPr>
      </w:pPr>
      <w:r w:rsidRPr="00C85F0F">
        <w:rPr>
          <w:rFonts w:hint="cs"/>
          <w:rtl/>
        </w:rPr>
        <w:t>العبرة في المعاملات بما في نفس الأمر</w:t>
      </w:r>
      <w:r w:rsidRPr="00C85F0F">
        <w:rPr>
          <w:rStyle w:val="af1"/>
          <w:szCs w:val="32"/>
          <w:rtl/>
        </w:rPr>
        <w:t>(</w:t>
      </w:r>
      <w:r w:rsidRPr="00C85F0F">
        <w:rPr>
          <w:rStyle w:val="af1"/>
          <w:szCs w:val="32"/>
          <w:rtl/>
        </w:rPr>
        <w:footnoteReference w:id="1189"/>
      </w:r>
      <w:r w:rsidRPr="00C85F0F">
        <w:rPr>
          <w:rStyle w:val="af1"/>
          <w:szCs w:val="32"/>
          <w:rtl/>
        </w:rPr>
        <w:t>)</w:t>
      </w:r>
      <w:r w:rsidRPr="00C85F0F">
        <w:rPr>
          <w:rFonts w:hint="cs"/>
          <w:rtl/>
        </w:rPr>
        <w:t>.</w:t>
      </w:r>
    </w:p>
    <w:p w:rsidR="00323A19" w:rsidRPr="00C85F0F" w:rsidRDefault="00323A19" w:rsidP="000A76C7">
      <w:pPr>
        <w:pStyle w:val="afc"/>
        <w:widowControl/>
        <w:numPr>
          <w:ilvl w:val="0"/>
          <w:numId w:val="158"/>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noProof w:val="0"/>
          <w:rtl/>
          <w:lang w:eastAsia="en-US"/>
        </w:rPr>
        <w:t>العقود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عتب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فيها نفس</w:t>
      </w:r>
      <w:r w:rsidRPr="00C85F0F">
        <w:rPr>
          <w:rFonts w:ascii="Traditional Arabic" w:hAnsi="Traditional Arabic" w:hint="cs"/>
          <w:noProof w:val="0"/>
          <w:rtl/>
          <w:lang w:eastAsia="en-US"/>
        </w:rPr>
        <w:t>ُ</w:t>
      </w:r>
      <w:r w:rsidR="0032473E">
        <w:rPr>
          <w:rFonts w:ascii="Traditional Arabic" w:hAnsi="Traditional Arabic" w:hint="cs"/>
          <w:noProof w:val="0"/>
          <w:rtl/>
          <w:lang w:eastAsia="en-US"/>
        </w:rPr>
        <w:t xml:space="preserve"> </w:t>
      </w:r>
      <w:r w:rsidRPr="00C85F0F">
        <w:rPr>
          <w:rFonts w:ascii="Traditional Arabic" w:hAnsi="Traditional Arabic"/>
          <w:noProof w:val="0"/>
          <w:rtl/>
          <w:lang w:eastAsia="en-US"/>
        </w:rPr>
        <w:t>الواقع</w:t>
      </w:r>
      <w:r w:rsidRPr="00C85F0F">
        <w:rPr>
          <w:rStyle w:val="af1"/>
          <w:szCs w:val="32"/>
          <w:rtl/>
        </w:rPr>
        <w:t>(</w:t>
      </w:r>
      <w:r w:rsidRPr="00C85F0F">
        <w:rPr>
          <w:rStyle w:val="af1"/>
          <w:szCs w:val="32"/>
          <w:rtl/>
        </w:rPr>
        <w:footnoteReference w:id="1190"/>
      </w:r>
      <w:r w:rsidRPr="00C85F0F">
        <w:rPr>
          <w:rStyle w:val="af1"/>
          <w:szCs w:val="32"/>
          <w:rtl/>
        </w:rPr>
        <w:t>)</w:t>
      </w:r>
      <w:r w:rsidRPr="00C85F0F">
        <w:rPr>
          <w:rFonts w:ascii="Traditional Arabic" w:hAnsi="Traditional Arabic"/>
          <w:noProof w:val="0"/>
          <w:rtl/>
          <w:lang w:eastAsia="en-US"/>
        </w:rPr>
        <w:t>.</w:t>
      </w:r>
    </w:p>
    <w:p w:rsidR="00323A19" w:rsidRPr="00C85F0F" w:rsidRDefault="00323A19" w:rsidP="000A76C7">
      <w:pPr>
        <w:numPr>
          <w:ilvl w:val="0"/>
          <w:numId w:val="158"/>
        </w:numPr>
      </w:pPr>
      <w:r w:rsidRPr="00C85F0F">
        <w:rPr>
          <w:rFonts w:hint="cs"/>
          <w:rtl/>
        </w:rPr>
        <w:t>العبرة في المعاملات غالباً بما في نفس الأمر</w:t>
      </w:r>
      <w:r w:rsidRPr="00C85F0F">
        <w:rPr>
          <w:rStyle w:val="af1"/>
          <w:szCs w:val="32"/>
          <w:rtl/>
        </w:rPr>
        <w:t>(</w:t>
      </w:r>
      <w:r w:rsidRPr="00C85F0F">
        <w:rPr>
          <w:rStyle w:val="af1"/>
          <w:szCs w:val="32"/>
          <w:rtl/>
        </w:rPr>
        <w:footnoteReference w:id="1191"/>
      </w:r>
      <w:r w:rsidRPr="00C85F0F">
        <w:rPr>
          <w:rStyle w:val="af1"/>
          <w:szCs w:val="32"/>
          <w:rtl/>
        </w:rPr>
        <w:t>)</w:t>
      </w:r>
      <w:r w:rsidRPr="00C85F0F">
        <w:rPr>
          <w:rFonts w:hint="cs"/>
          <w:rtl/>
        </w:rPr>
        <w:t>.</w:t>
      </w:r>
    </w:p>
    <w:p w:rsidR="00065E4B" w:rsidRPr="00C85F0F" w:rsidRDefault="00323A19" w:rsidP="000A76C7">
      <w:pPr>
        <w:numPr>
          <w:ilvl w:val="0"/>
          <w:numId w:val="158"/>
        </w:numPr>
      </w:pPr>
      <w:r w:rsidRPr="00C85F0F">
        <w:rPr>
          <w:rFonts w:hint="cs"/>
          <w:rtl/>
        </w:rPr>
        <w:t>والظنُّ في العبادة المُعْتَبَر</w:t>
      </w:r>
      <w:r w:rsidR="0032473E">
        <w:rPr>
          <w:rFonts w:hint="cs"/>
          <w:rtl/>
        </w:rPr>
        <w:t xml:space="preserve">      </w:t>
      </w:r>
      <w:r w:rsidRPr="00C85F0F">
        <w:rPr>
          <w:rFonts w:hint="cs"/>
          <w:rtl/>
        </w:rPr>
        <w:t>ونَفْسَ الأمرِ في العُقود اعْتَبَروا</w:t>
      </w:r>
      <w:r w:rsidRPr="00C85F0F">
        <w:rPr>
          <w:rStyle w:val="af1"/>
          <w:szCs w:val="32"/>
          <w:rtl/>
        </w:rPr>
        <w:t>(</w:t>
      </w:r>
      <w:r w:rsidRPr="00C85F0F">
        <w:rPr>
          <w:rStyle w:val="af1"/>
          <w:szCs w:val="32"/>
          <w:rtl/>
        </w:rPr>
        <w:footnoteReference w:id="1192"/>
      </w:r>
      <w:r w:rsidRPr="00C85F0F">
        <w:rPr>
          <w:rStyle w:val="af1"/>
          <w:szCs w:val="32"/>
          <w:rtl/>
        </w:rPr>
        <w:t>)</w:t>
      </w:r>
      <w:r w:rsidRPr="00C85F0F">
        <w:rPr>
          <w:rFonts w:hint="cs"/>
          <w:rtl/>
        </w:rPr>
        <w:t>.</w:t>
      </w:r>
    </w:p>
    <w:p w:rsidR="00323A19" w:rsidRPr="00C85F0F" w:rsidRDefault="00D24977" w:rsidP="00597C20">
      <w:pPr>
        <w:ind w:firstLine="0"/>
        <w:rPr>
          <w:rtl/>
        </w:rPr>
      </w:pPr>
      <w:r>
        <w:rPr>
          <w:rFonts w:hint="cs"/>
          <w:rtl/>
        </w:rPr>
        <w:t xml:space="preserve">    </w:t>
      </w:r>
      <w:r w:rsidR="00065E4B" w:rsidRPr="00C85F0F">
        <w:rPr>
          <w:rFonts w:hint="cs"/>
          <w:rtl/>
        </w:rPr>
        <w:t>و</w:t>
      </w:r>
      <w:r w:rsidR="0032473E">
        <w:rPr>
          <w:rFonts w:hint="cs"/>
          <w:rtl/>
        </w:rPr>
        <w:t>وردت هذه القاعدة عند علماء القواعد بصيغ عديدة، منها</w:t>
      </w:r>
      <w:r w:rsidR="00323A19" w:rsidRPr="00C85F0F">
        <w:rPr>
          <w:rFonts w:hint="cs"/>
          <w:rtl/>
        </w:rPr>
        <w:t>:</w:t>
      </w:r>
    </w:p>
    <w:p w:rsidR="00323A19" w:rsidRPr="00C85F0F" w:rsidRDefault="00323A19" w:rsidP="000A76C7">
      <w:pPr>
        <w:pStyle w:val="afc"/>
        <w:numPr>
          <w:ilvl w:val="0"/>
          <w:numId w:val="162"/>
        </w:numPr>
        <w:rPr>
          <w:rtl/>
        </w:rPr>
      </w:pPr>
      <w:r w:rsidRPr="00C85F0F">
        <w:rPr>
          <w:rFonts w:hint="cs"/>
          <w:rtl/>
        </w:rPr>
        <w:t>الاعتماد على ما في نفس الأمر</w:t>
      </w:r>
      <w:r w:rsidRPr="00C85F0F">
        <w:rPr>
          <w:rStyle w:val="af1"/>
          <w:szCs w:val="32"/>
          <w:rtl/>
        </w:rPr>
        <w:t>(</w:t>
      </w:r>
      <w:r w:rsidRPr="00C85F0F">
        <w:rPr>
          <w:rStyle w:val="af1"/>
          <w:szCs w:val="32"/>
          <w:rtl/>
        </w:rPr>
        <w:footnoteReference w:id="1193"/>
      </w:r>
      <w:r w:rsidRPr="00C85F0F">
        <w:rPr>
          <w:rStyle w:val="af1"/>
          <w:szCs w:val="32"/>
          <w:rtl/>
        </w:rPr>
        <w:t>)</w:t>
      </w:r>
      <w:r w:rsidRPr="00C85F0F">
        <w:rPr>
          <w:rFonts w:hint="cs"/>
          <w:rtl/>
        </w:rPr>
        <w:t>.</w:t>
      </w:r>
    </w:p>
    <w:p w:rsidR="00323A19" w:rsidRPr="00C85F0F" w:rsidRDefault="00323A19" w:rsidP="000A76C7">
      <w:pPr>
        <w:numPr>
          <w:ilvl w:val="0"/>
          <w:numId w:val="159"/>
        </w:numPr>
        <w:rPr>
          <w:color w:val="auto"/>
        </w:rPr>
      </w:pP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تصر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 في شيء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يظن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أنه لا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فتبي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أنه كان يمل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كه</w:t>
      </w:r>
      <w:r w:rsidR="00B76414" w:rsidRPr="00C85F0F">
        <w:rPr>
          <w:rFonts w:ascii="Traditional Arabic" w:hAnsi="Traditional Arabic"/>
          <w:noProof w:val="0"/>
          <w:color w:val="auto"/>
          <w:rtl/>
          <w:lang w:eastAsia="en-US"/>
        </w:rPr>
        <w:t>،</w:t>
      </w:r>
      <w:r w:rsidRPr="00C85F0F">
        <w:rPr>
          <w:rFonts w:ascii="Traditional Arabic" w:hAnsi="Traditional Arabic"/>
          <w:noProof w:val="0"/>
          <w:color w:val="auto"/>
          <w:rtl/>
          <w:lang w:eastAsia="en-US"/>
        </w:rPr>
        <w:t xml:space="preserve"> وفيها الخلاف</w:t>
      </w:r>
      <w:r w:rsidRPr="00C85F0F">
        <w:rPr>
          <w:rStyle w:val="af1"/>
          <w:szCs w:val="32"/>
          <w:rtl/>
        </w:rPr>
        <w:t>(</w:t>
      </w:r>
      <w:r w:rsidRPr="00C85F0F">
        <w:rPr>
          <w:rStyle w:val="af1"/>
          <w:szCs w:val="32"/>
          <w:rtl/>
        </w:rPr>
        <w:footnoteReference w:id="1194"/>
      </w:r>
      <w:r w:rsidRPr="00C85F0F">
        <w:rPr>
          <w:rStyle w:val="af1"/>
          <w:szCs w:val="32"/>
          <w:rtl/>
        </w:rPr>
        <w:t>)</w:t>
      </w:r>
      <w:r w:rsidRPr="00C85F0F">
        <w:rPr>
          <w:rFonts w:hint="cs"/>
          <w:color w:val="auto"/>
          <w:rtl/>
        </w:rPr>
        <w:t>.</w:t>
      </w:r>
    </w:p>
    <w:p w:rsidR="00323A19" w:rsidRPr="00C85F0F" w:rsidRDefault="00323A19" w:rsidP="000A76C7">
      <w:pPr>
        <w:numPr>
          <w:ilvl w:val="0"/>
          <w:numId w:val="159"/>
        </w:numPr>
        <w:rPr>
          <w:color w:val="auto"/>
        </w:rPr>
      </w:pPr>
      <w:r w:rsidRPr="00C85F0F">
        <w:rPr>
          <w:rFonts w:hint="cs"/>
          <w:color w:val="auto"/>
          <w:rtl/>
        </w:rPr>
        <w:lastRenderedPageBreak/>
        <w:t>هل النظر إلى الموجود أو المقصود؟</w:t>
      </w:r>
      <w:r w:rsidRPr="00C85F0F">
        <w:rPr>
          <w:rStyle w:val="af1"/>
          <w:szCs w:val="32"/>
          <w:rtl/>
        </w:rPr>
        <w:t>(</w:t>
      </w:r>
      <w:r w:rsidRPr="00C85F0F">
        <w:rPr>
          <w:rStyle w:val="af1"/>
          <w:szCs w:val="32"/>
          <w:rtl/>
        </w:rPr>
        <w:footnoteReference w:id="1195"/>
      </w:r>
      <w:r w:rsidRPr="00C85F0F">
        <w:rPr>
          <w:rStyle w:val="af1"/>
          <w:szCs w:val="32"/>
          <w:rtl/>
        </w:rPr>
        <w:t>)</w:t>
      </w:r>
    </w:p>
    <w:p w:rsidR="00323A19" w:rsidRPr="00C85F0F" w:rsidRDefault="00323A19" w:rsidP="000A76C7">
      <w:pPr>
        <w:numPr>
          <w:ilvl w:val="0"/>
          <w:numId w:val="159"/>
        </w:numPr>
        <w:rPr>
          <w:color w:val="auto"/>
        </w:rPr>
      </w:pPr>
      <w:r w:rsidRPr="00C85F0F">
        <w:rPr>
          <w:rFonts w:ascii="Traditional Arabic" w:hAnsi="Traditional Arabic" w:hint="cs"/>
          <w:noProof w:val="0"/>
          <w:color w:val="auto"/>
          <w:rtl/>
          <w:lang w:eastAsia="en-US"/>
        </w:rPr>
        <w:t>العبرة بالمعاملات بما في نفس الأمر</w:t>
      </w:r>
      <w:r w:rsidRPr="00C85F0F">
        <w:rPr>
          <w:rStyle w:val="af1"/>
          <w:szCs w:val="32"/>
          <w:rtl/>
        </w:rPr>
        <w:t>(</w:t>
      </w:r>
      <w:r w:rsidRPr="00C85F0F">
        <w:rPr>
          <w:rStyle w:val="af1"/>
          <w:szCs w:val="32"/>
          <w:rtl/>
        </w:rPr>
        <w:footnoteReference w:id="1196"/>
      </w:r>
      <w:r w:rsidRPr="00C85F0F">
        <w:rPr>
          <w:rStyle w:val="af1"/>
          <w:szCs w:val="32"/>
          <w:rtl/>
        </w:rPr>
        <w:t>)</w:t>
      </w:r>
      <w:r w:rsidRPr="00C85F0F">
        <w:rPr>
          <w:rFonts w:ascii="Traditional Arabic" w:hAnsi="Traditional Arabic" w:hint="cs"/>
          <w:rtl/>
          <w:lang w:eastAsia="en-US"/>
        </w:rPr>
        <w:t>.</w:t>
      </w:r>
    </w:p>
    <w:p w:rsidR="00323A19" w:rsidRPr="00C85F0F" w:rsidRDefault="00323A19" w:rsidP="000A76C7">
      <w:pPr>
        <w:numPr>
          <w:ilvl w:val="0"/>
          <w:numId w:val="159"/>
        </w:numPr>
        <w:rPr>
          <w:color w:val="auto"/>
        </w:rPr>
      </w:pPr>
      <w:r w:rsidRPr="00C85F0F">
        <w:rPr>
          <w:rFonts w:ascii="Traditional Arabic" w:hAnsi="Traditional Arabic" w:hint="cs"/>
          <w:noProof w:val="0"/>
          <w:color w:val="auto"/>
          <w:rtl/>
          <w:lang w:eastAsia="en-US"/>
        </w:rPr>
        <w:t>العبرة بالمعاملات لِما في نفس</w:t>
      </w:r>
      <w:r w:rsidRPr="00C85F0F">
        <w:rPr>
          <w:rFonts w:hint="cs"/>
          <w:color w:val="auto"/>
          <w:rtl/>
        </w:rPr>
        <w:t xml:space="preserve"> الأمر، لا لِما في ظنِّ المكلف</w:t>
      </w:r>
      <w:r w:rsidRPr="00C85F0F">
        <w:rPr>
          <w:rStyle w:val="af1"/>
          <w:szCs w:val="32"/>
          <w:rtl/>
        </w:rPr>
        <w:t>(</w:t>
      </w:r>
      <w:r w:rsidRPr="00C85F0F">
        <w:rPr>
          <w:rStyle w:val="af1"/>
          <w:szCs w:val="32"/>
          <w:rtl/>
        </w:rPr>
        <w:footnoteReference w:id="1197"/>
      </w:r>
      <w:r w:rsidRPr="00C85F0F">
        <w:rPr>
          <w:rStyle w:val="af1"/>
          <w:szCs w:val="32"/>
          <w:rtl/>
        </w:rPr>
        <w:t>)</w:t>
      </w:r>
      <w:r w:rsidRPr="00C85F0F">
        <w:rPr>
          <w:rFonts w:hint="cs"/>
          <w:color w:val="auto"/>
          <w:rtl/>
        </w:rPr>
        <w:t>.</w:t>
      </w:r>
    </w:p>
    <w:p w:rsidR="00323A19" w:rsidRPr="00C85F0F" w:rsidRDefault="0032473E" w:rsidP="00A8347C">
      <w:pPr>
        <w:pStyle w:val="aff3"/>
        <w:rPr>
          <w:rtl/>
        </w:rPr>
      </w:pPr>
      <w:bookmarkStart w:id="233" w:name="_Toc334046456"/>
      <w:r>
        <w:rPr>
          <w:rFonts w:hint="cs"/>
          <w:rtl/>
        </w:rPr>
        <w:t xml:space="preserve">                                        </w:t>
      </w:r>
      <w:r w:rsidR="00323A19" w:rsidRPr="00C85F0F">
        <w:rPr>
          <w:rFonts w:hint="cs"/>
          <w:rtl/>
        </w:rPr>
        <w:t>المطلب الثاني</w:t>
      </w:r>
      <w:r w:rsidR="00323A19" w:rsidRPr="00C85F0F">
        <w:rPr>
          <w:rFonts w:hint="eastAsia"/>
          <w:rtl/>
        </w:rPr>
        <w:t> :</w:t>
      </w:r>
      <w:r w:rsidR="00323A19" w:rsidRPr="00C85F0F">
        <w:rPr>
          <w:rFonts w:hint="cs"/>
          <w:rtl/>
        </w:rPr>
        <w:br/>
      </w:r>
      <w:r>
        <w:rPr>
          <w:rFonts w:hint="cs"/>
          <w:rtl/>
        </w:rPr>
        <w:t xml:space="preserve">                                         </w:t>
      </w:r>
      <w:r w:rsidR="00323A19" w:rsidRPr="00C85F0F">
        <w:rPr>
          <w:rFonts w:hint="cs"/>
          <w:rtl/>
        </w:rPr>
        <w:t>شرح القاعدة</w:t>
      </w:r>
      <w:bookmarkEnd w:id="233"/>
    </w:p>
    <w:p w:rsidR="002948BC" w:rsidRDefault="00323A19" w:rsidP="00EA2BD7">
      <w:pPr>
        <w:pStyle w:val="53"/>
        <w:rPr>
          <w:b w:val="0"/>
          <w:rtl/>
        </w:rPr>
      </w:pPr>
      <w:r w:rsidRPr="00EA2BD7">
        <w:rPr>
          <w:rFonts w:hint="cs"/>
          <w:rtl/>
        </w:rPr>
        <w:t>المعاملات</w:t>
      </w:r>
      <w:r w:rsidR="00AB0B9E" w:rsidRPr="00EA2BD7">
        <w:fldChar w:fldCharType="begin"/>
      </w:r>
      <w:r w:rsidR="00D65D30" w:rsidRPr="00EA2BD7">
        <w:instrText>XE</w:instrText>
      </w:r>
      <w:r w:rsidR="00D65D30" w:rsidRPr="00EA2BD7">
        <w:rPr>
          <w:rtl/>
        </w:rPr>
        <w:instrText xml:space="preserve"> "</w:instrText>
      </w:r>
      <w:r w:rsidR="00D65D30" w:rsidRPr="00EA2BD7">
        <w:rPr>
          <w:rFonts w:hint="cs"/>
          <w:rtl/>
        </w:rPr>
        <w:instrText>المعاملات</w:instrText>
      </w:r>
      <w:r w:rsidR="00D65D30" w:rsidRPr="00EA2BD7">
        <w:rPr>
          <w:rtl/>
        </w:rPr>
        <w:instrText>" \</w:instrText>
      </w:r>
      <w:r w:rsidR="00D65D30" w:rsidRPr="00EA2BD7">
        <w:instrText>fm</w:instrText>
      </w:r>
      <w:r w:rsidR="00AB0B9E" w:rsidRPr="00EA2BD7">
        <w:fldChar w:fldCharType="end"/>
      </w:r>
      <w:r>
        <w:rPr>
          <w:rFonts w:hint="cs"/>
          <w:b w:val="0"/>
          <w:rtl/>
        </w:rPr>
        <w:t xml:space="preserve"> لغة:</w:t>
      </w:r>
    </w:p>
    <w:p w:rsidR="00065E4B" w:rsidRPr="00F36E9B" w:rsidRDefault="00323A19" w:rsidP="0032473E">
      <w:pPr>
        <w:ind w:firstLine="720"/>
        <w:rPr>
          <w:color w:val="auto"/>
          <w:rtl/>
        </w:rPr>
      </w:pPr>
      <w:r>
        <w:rPr>
          <w:rFonts w:hint="cs"/>
          <w:color w:val="auto"/>
          <w:rtl/>
        </w:rPr>
        <w:t>جمع معاملة، وقد تقدَّم تفسيرها.</w:t>
      </w:r>
    </w:p>
    <w:p w:rsidR="002948BC" w:rsidRDefault="00065E4B" w:rsidP="00597C20">
      <w:pPr>
        <w:pStyle w:val="53"/>
        <w:rPr>
          <w:rtl/>
        </w:rPr>
      </w:pPr>
      <w:r>
        <w:rPr>
          <w:rFonts w:hint="cs"/>
          <w:rtl/>
        </w:rPr>
        <w:t>ا</w:t>
      </w:r>
      <w:r w:rsidR="00323A19">
        <w:rPr>
          <w:rFonts w:hint="cs"/>
          <w:rtl/>
        </w:rPr>
        <w:t>لمعاملات اصطلاحا:</w:t>
      </w:r>
    </w:p>
    <w:p w:rsidR="00065E4B" w:rsidRDefault="00323A19" w:rsidP="00684200">
      <w:pPr>
        <w:ind w:firstLine="720"/>
        <w:rPr>
          <w:rFonts w:ascii="Traditional Arabic" w:hAnsi="Traditional Arabic"/>
          <w:rtl/>
        </w:rPr>
      </w:pPr>
      <w:r>
        <w:rPr>
          <w:rFonts w:ascii="Traditional Arabic" w:hAnsi="Traditional Arabic" w:hint="cs"/>
          <w:rtl/>
        </w:rPr>
        <w:t>المقصود بها جميع الأحكام الشرعية المتعلِّقة بأمر الدنيا، والتي تنظِّم نشاط الناس الاكتسابي، وتضبط تَعامُلَهم بعضَهم مع بعضٍ في الأموال والحقوق والعقود: كالبيع، والشراء، والرهن، والوكالة</w:t>
      </w:r>
      <w:r w:rsidRPr="00C821A1">
        <w:rPr>
          <w:rStyle w:val="af1"/>
          <w:szCs w:val="32"/>
          <w:rtl/>
        </w:rPr>
        <w:t>(</w:t>
      </w:r>
      <w:r w:rsidRPr="00C821A1">
        <w:rPr>
          <w:rStyle w:val="af1"/>
          <w:szCs w:val="32"/>
          <w:rtl/>
        </w:rPr>
        <w:footnoteReference w:id="1198"/>
      </w:r>
      <w:r w:rsidRPr="00C821A1">
        <w:rPr>
          <w:rStyle w:val="af1"/>
          <w:szCs w:val="32"/>
          <w:rtl/>
        </w:rPr>
        <w:t>)</w:t>
      </w:r>
      <w:r>
        <w:rPr>
          <w:rFonts w:ascii="Traditional Arabic" w:hAnsi="Traditional Arabic" w:hint="cs"/>
          <w:rtl/>
        </w:rPr>
        <w:t>، والكفالة، والقرض، والشركة، والإجارة</w:t>
      </w:r>
      <w:r w:rsidRPr="00C821A1">
        <w:rPr>
          <w:rStyle w:val="af1"/>
          <w:szCs w:val="32"/>
          <w:rtl/>
        </w:rPr>
        <w:t>(</w:t>
      </w:r>
      <w:r w:rsidRPr="00C821A1">
        <w:rPr>
          <w:rStyle w:val="af1"/>
          <w:szCs w:val="32"/>
          <w:rtl/>
        </w:rPr>
        <w:footnoteReference w:id="1199"/>
      </w:r>
      <w:r w:rsidRPr="00C821A1">
        <w:rPr>
          <w:rStyle w:val="af1"/>
          <w:szCs w:val="32"/>
          <w:rtl/>
        </w:rPr>
        <w:t>)</w:t>
      </w:r>
      <w:r>
        <w:rPr>
          <w:rFonts w:ascii="Traditional Arabic" w:hAnsi="Traditional Arabic" w:hint="cs"/>
          <w:rtl/>
        </w:rPr>
        <w:t>،والعارية</w:t>
      </w:r>
      <w:r w:rsidRPr="00C821A1">
        <w:rPr>
          <w:rStyle w:val="af1"/>
          <w:szCs w:val="32"/>
          <w:rtl/>
        </w:rPr>
        <w:t>(</w:t>
      </w:r>
      <w:r w:rsidRPr="00C821A1">
        <w:rPr>
          <w:rStyle w:val="af1"/>
          <w:szCs w:val="32"/>
          <w:rtl/>
        </w:rPr>
        <w:footnoteReference w:id="1200"/>
      </w:r>
      <w:r w:rsidRPr="00C821A1">
        <w:rPr>
          <w:rStyle w:val="af1"/>
          <w:szCs w:val="32"/>
          <w:rtl/>
        </w:rPr>
        <w:t>)</w:t>
      </w:r>
      <w:r>
        <w:rPr>
          <w:rFonts w:ascii="Traditional Arabic" w:hAnsi="Traditional Arabic" w:hint="cs"/>
          <w:rtl/>
        </w:rPr>
        <w:t>،</w:t>
      </w:r>
      <w:r w:rsidR="00154102">
        <w:rPr>
          <w:rFonts w:ascii="Traditional Arabic" w:hAnsi="Traditional Arabic" w:hint="cs"/>
          <w:rtl/>
        </w:rPr>
        <w:t xml:space="preserve"> و</w:t>
      </w:r>
      <w:r>
        <w:rPr>
          <w:rFonts w:ascii="Traditional Arabic" w:hAnsi="Traditional Arabic" w:hint="cs"/>
          <w:rtl/>
        </w:rPr>
        <w:t xml:space="preserve">الهِبة، وغير ذلك من </w:t>
      </w:r>
      <w:r>
        <w:rPr>
          <w:rFonts w:ascii="Traditional Arabic" w:hAnsi="Traditional Arabic" w:hint="cs"/>
          <w:rtl/>
        </w:rPr>
        <w:lastRenderedPageBreak/>
        <w:t>المعاملات التي تتحقق من خِلالها مصالح العباد</w:t>
      </w:r>
      <w:r w:rsidRPr="00C821A1">
        <w:rPr>
          <w:rStyle w:val="af1"/>
          <w:szCs w:val="32"/>
          <w:rtl/>
        </w:rPr>
        <w:t>(</w:t>
      </w:r>
      <w:r w:rsidRPr="00C821A1">
        <w:rPr>
          <w:rStyle w:val="af1"/>
          <w:szCs w:val="32"/>
          <w:rtl/>
        </w:rPr>
        <w:footnoteReference w:id="1201"/>
      </w:r>
      <w:r w:rsidRPr="00C821A1">
        <w:rPr>
          <w:rStyle w:val="af1"/>
          <w:szCs w:val="32"/>
          <w:rtl/>
        </w:rPr>
        <w:t>)</w:t>
      </w:r>
      <w:r>
        <w:rPr>
          <w:rFonts w:ascii="Traditional Arabic" w:hAnsi="Traditional Arabic" w:hint="cs"/>
          <w:rtl/>
        </w:rPr>
        <w:t>.</w:t>
      </w:r>
    </w:p>
    <w:p w:rsidR="00065E4B" w:rsidRDefault="00065E4B" w:rsidP="00597C20">
      <w:pPr>
        <w:pStyle w:val="53"/>
        <w:rPr>
          <w:rtl/>
        </w:rPr>
      </w:pPr>
      <w:r>
        <w:rPr>
          <w:rFonts w:hint="cs"/>
          <w:rtl/>
        </w:rPr>
        <w:t>م</w:t>
      </w:r>
      <w:r w:rsidR="00323A19">
        <w:rPr>
          <w:rFonts w:hint="cs"/>
          <w:rtl/>
        </w:rPr>
        <w:t>عنى القاعدة إجمالا:</w:t>
      </w:r>
    </w:p>
    <w:p w:rsidR="00065E4B" w:rsidRPr="00FA3707" w:rsidRDefault="0032473E" w:rsidP="0032473E">
      <w:pPr>
        <w:ind w:firstLine="0"/>
        <w:rPr>
          <w:rFonts w:ascii="Traditional Arabic" w:hAnsi="Traditional Arabic"/>
          <w:rtl/>
        </w:rPr>
      </w:pPr>
      <w:r>
        <w:rPr>
          <w:rFonts w:ascii="Traditional Arabic" w:hAnsi="Traditional Arabic" w:hint="cs"/>
          <w:rtl/>
        </w:rPr>
        <w:t xml:space="preserve">      </w:t>
      </w:r>
      <w:r w:rsidR="00065E4B">
        <w:rPr>
          <w:rFonts w:ascii="Traditional Arabic" w:hAnsi="Traditional Arabic" w:hint="cs"/>
          <w:rtl/>
        </w:rPr>
        <w:t>ت</w:t>
      </w:r>
      <w:r w:rsidR="00323A19">
        <w:rPr>
          <w:rFonts w:ascii="Traditional Arabic" w:hAnsi="Traditional Arabic" w:hint="cs"/>
          <w:rtl/>
        </w:rPr>
        <w:t>َنُصُّ هذه القاعدة على تصحيح تصرُّفات المكلف في مجال العقود بالنظر إلى المآل وحقيقة الأمر، بِغَضِّ النظر عن ظنِّ المكلف.</w:t>
      </w:r>
    </w:p>
    <w:p w:rsidR="00323A19" w:rsidRPr="00B15A30" w:rsidRDefault="0032473E" w:rsidP="00597C20">
      <w:pPr>
        <w:ind w:firstLine="0"/>
        <w:rPr>
          <w:rFonts w:ascii="Traditional Arabic" w:hAnsi="Traditional Arabic"/>
          <w:rtl/>
        </w:rPr>
      </w:pPr>
      <w:r>
        <w:rPr>
          <w:rFonts w:ascii="Traditional Arabic" w:hAnsi="Traditional Arabic" w:hint="cs"/>
          <w:rtl/>
        </w:rPr>
        <w:t xml:space="preserve">      </w:t>
      </w:r>
      <w:r w:rsidR="00065E4B" w:rsidRPr="00B15A30">
        <w:rPr>
          <w:rFonts w:ascii="Traditional Arabic" w:hAnsi="Traditional Arabic" w:hint="cs"/>
          <w:rtl/>
        </w:rPr>
        <w:t>ف</w:t>
      </w:r>
      <w:r w:rsidR="00323A19" w:rsidRPr="00B15A30">
        <w:rPr>
          <w:rFonts w:ascii="Traditional Arabic" w:hAnsi="Traditional Arabic" w:hint="cs"/>
          <w:rtl/>
        </w:rPr>
        <w:t>إذا تصرَّف الإنسان في شيء</w:t>
      </w:r>
      <w:r w:rsidR="00323A19">
        <w:rPr>
          <w:rFonts w:ascii="Traditional Arabic" w:hAnsi="Traditional Arabic" w:hint="cs"/>
          <w:rtl/>
        </w:rPr>
        <w:t xml:space="preserve"> يظنُّه يَمْلك التصرُّف فيه بملكٍ، أو توكيلٍ، ثم بعد التصرُّف تبيَّن له أنه لا يملك ذلك التصرُّف، لم ينعقِد العقدُ، ولم ينفعه ظن</w:t>
      </w:r>
      <w:r w:rsidR="007174AE">
        <w:rPr>
          <w:rFonts w:ascii="Traditional Arabic" w:hAnsi="Traditional Arabic" w:hint="cs"/>
          <w:rtl/>
        </w:rPr>
        <w:t>ُّ</w:t>
      </w:r>
      <w:r w:rsidR="00323A19">
        <w:rPr>
          <w:rFonts w:ascii="Traditional Arabic" w:hAnsi="Traditional Arabic" w:hint="cs"/>
          <w:rtl/>
        </w:rPr>
        <w:t>ه، وإن كان الأمر بالعكس،</w:t>
      </w:r>
      <w:r w:rsidR="007174AE">
        <w:rPr>
          <w:rFonts w:ascii="Traditional Arabic" w:hAnsi="Traditional Arabic" w:hint="cs"/>
          <w:rtl/>
        </w:rPr>
        <w:t xml:space="preserve"> </w:t>
      </w:r>
      <w:r w:rsidR="00323A19">
        <w:rPr>
          <w:rFonts w:ascii="Traditional Arabic" w:hAnsi="Traditional Arabic" w:hint="cs"/>
          <w:rtl/>
        </w:rPr>
        <w:t>بأن ظنَّ أنه لا يملك التصرُّف، ثم بانَ بأنه يملكه، صحَّ التصرُّف</w:t>
      </w:r>
      <w:r w:rsidR="00323A19" w:rsidRPr="00C821A1">
        <w:rPr>
          <w:rStyle w:val="af1"/>
          <w:szCs w:val="32"/>
          <w:rtl/>
        </w:rPr>
        <w:t>(</w:t>
      </w:r>
      <w:r w:rsidR="00323A19" w:rsidRPr="00C821A1">
        <w:rPr>
          <w:rStyle w:val="af1"/>
          <w:szCs w:val="32"/>
          <w:rtl/>
        </w:rPr>
        <w:footnoteReference w:id="1202"/>
      </w:r>
      <w:r w:rsidR="00323A19" w:rsidRPr="00C821A1">
        <w:rPr>
          <w:rStyle w:val="af1"/>
          <w:szCs w:val="32"/>
          <w:rtl/>
        </w:rPr>
        <w:t>)</w:t>
      </w:r>
      <w:r w:rsidR="00323A19">
        <w:rPr>
          <w:rFonts w:ascii="Traditional Arabic" w:hAnsi="Traditional Arabic" w:hint="cs"/>
          <w:rtl/>
        </w:rPr>
        <w:t>؛ لأن الشارع رتَّب التصرفات على وجود أسبابها وطرُقها ب</w:t>
      </w:r>
      <w:r w:rsidR="00D24977">
        <w:rPr>
          <w:rFonts w:ascii="Traditional Arabic" w:hAnsi="Traditional Arabic" w:hint="cs"/>
          <w:rtl/>
        </w:rPr>
        <w:t>ِ</w:t>
      </w:r>
      <w:r w:rsidR="00323A19">
        <w:rPr>
          <w:rFonts w:ascii="Traditional Arabic" w:hAnsi="Traditional Arabic" w:hint="cs"/>
          <w:rtl/>
        </w:rPr>
        <w:t>ق</w:t>
      </w:r>
      <w:r w:rsidR="00D24977">
        <w:rPr>
          <w:rFonts w:ascii="Traditional Arabic" w:hAnsi="Traditional Arabic" w:hint="cs"/>
          <w:rtl/>
        </w:rPr>
        <w:t>َ</w:t>
      </w:r>
      <w:r w:rsidR="00323A19">
        <w:rPr>
          <w:rFonts w:ascii="Traditional Arabic" w:hAnsi="Traditional Arabic" w:hint="cs"/>
          <w:rtl/>
        </w:rPr>
        <w:t>ط</w:t>
      </w:r>
      <w:r w:rsidR="00D24977">
        <w:rPr>
          <w:rFonts w:ascii="Traditional Arabic" w:hAnsi="Traditional Arabic" w:hint="cs"/>
          <w:rtl/>
        </w:rPr>
        <w:t>ْ</w:t>
      </w:r>
      <w:r w:rsidR="00323A19">
        <w:rPr>
          <w:rFonts w:ascii="Traditional Arabic" w:hAnsi="Traditional Arabic" w:hint="cs"/>
          <w:rtl/>
        </w:rPr>
        <w:t>ع</w:t>
      </w:r>
      <w:r w:rsidR="00D24977">
        <w:rPr>
          <w:rFonts w:ascii="Traditional Arabic" w:hAnsi="Traditional Arabic" w:hint="cs"/>
          <w:rtl/>
        </w:rPr>
        <w:t>ِ</w:t>
      </w:r>
      <w:r w:rsidR="00323A19">
        <w:rPr>
          <w:rFonts w:ascii="Traditional Arabic" w:hAnsi="Traditional Arabic" w:hint="cs"/>
          <w:rtl/>
        </w:rPr>
        <w:t xml:space="preserve"> النظر عن نية المتصرِّف، وإن كانت تؤثِّر فيها من وجه آخر</w:t>
      </w:r>
      <w:r w:rsidR="00D24977">
        <w:rPr>
          <w:rFonts w:ascii="Traditional Arabic" w:hAnsi="Traditional Arabic" w:hint="cs"/>
          <w:rtl/>
        </w:rPr>
        <w:t>،</w:t>
      </w:r>
      <w:r w:rsidR="00323A19">
        <w:rPr>
          <w:rFonts w:ascii="Traditional Arabic" w:hAnsi="Traditional Arabic" w:hint="cs"/>
          <w:rtl/>
        </w:rPr>
        <w:t xml:space="preserve"> بحسَب ما قصَده المتصر</w:t>
      </w:r>
      <w:r>
        <w:rPr>
          <w:rFonts w:ascii="Traditional Arabic" w:hAnsi="Traditional Arabic" w:hint="cs"/>
          <w:rtl/>
        </w:rPr>
        <w:t>ِّ</w:t>
      </w:r>
      <w:r w:rsidR="00323A19">
        <w:rPr>
          <w:rFonts w:ascii="Traditional Arabic" w:hAnsi="Traditional Arabic" w:hint="cs"/>
          <w:rtl/>
        </w:rPr>
        <w:t>ف وتوسَّل إليه</w:t>
      </w:r>
      <w:r w:rsidR="00323A19" w:rsidRPr="00C821A1">
        <w:rPr>
          <w:rStyle w:val="af1"/>
          <w:szCs w:val="32"/>
          <w:rtl/>
        </w:rPr>
        <w:t>(</w:t>
      </w:r>
      <w:r w:rsidR="00323A19" w:rsidRPr="00C821A1">
        <w:rPr>
          <w:rStyle w:val="af1"/>
          <w:szCs w:val="32"/>
          <w:rtl/>
        </w:rPr>
        <w:footnoteReference w:id="1203"/>
      </w:r>
      <w:r w:rsidR="00323A19" w:rsidRPr="00C821A1">
        <w:rPr>
          <w:rStyle w:val="af1"/>
          <w:szCs w:val="32"/>
          <w:rtl/>
        </w:rPr>
        <w:t>)</w:t>
      </w:r>
      <w:r w:rsidR="00323A19">
        <w:rPr>
          <w:rFonts w:ascii="Traditional Arabic" w:hAnsi="Traditional Arabic" w:hint="cs"/>
          <w:rtl/>
        </w:rPr>
        <w:t>.</w:t>
      </w:r>
    </w:p>
    <w:p w:rsidR="00065E4B" w:rsidRDefault="0032473E" w:rsidP="00A8347C">
      <w:pPr>
        <w:pStyle w:val="aff3"/>
        <w:rPr>
          <w:rtl/>
        </w:rPr>
      </w:pPr>
      <w:bookmarkStart w:id="234" w:name="_Toc334046457"/>
      <w:r>
        <w:rPr>
          <w:rFonts w:hint="cs"/>
          <w:rtl/>
        </w:rPr>
        <w:t xml:space="preserve">                                   </w:t>
      </w:r>
      <w:r w:rsidR="00323A19">
        <w:rPr>
          <w:rFonts w:hint="cs"/>
          <w:rtl/>
        </w:rPr>
        <w:t>المطلب الثالث</w:t>
      </w:r>
      <w:r w:rsidR="00323A19">
        <w:rPr>
          <w:rFonts w:hint="eastAsia"/>
          <w:rtl/>
        </w:rPr>
        <w:t> :</w:t>
      </w:r>
      <w:r w:rsidR="00323A19">
        <w:rPr>
          <w:rFonts w:hint="cs"/>
          <w:rtl/>
        </w:rPr>
        <w:br/>
      </w:r>
      <w:r>
        <w:rPr>
          <w:rFonts w:hint="cs"/>
          <w:rtl/>
        </w:rPr>
        <w:t xml:space="preserve">                                     </w:t>
      </w:r>
      <w:r w:rsidR="00323A19">
        <w:rPr>
          <w:rFonts w:hint="cs"/>
          <w:rtl/>
        </w:rPr>
        <w:t>أدلة القاعدة</w:t>
      </w:r>
      <w:bookmarkEnd w:id="234"/>
    </w:p>
    <w:p w:rsidR="00323A19" w:rsidRDefault="00065E4B" w:rsidP="00597C20">
      <w:pPr>
        <w:ind w:firstLine="720"/>
        <w:rPr>
          <w:rFonts w:ascii="Traditional Arabic" w:hAnsi="Traditional Arabic"/>
          <w:rtl/>
        </w:rPr>
      </w:pPr>
      <w:r>
        <w:rPr>
          <w:rFonts w:ascii="Traditional Arabic" w:hAnsi="Traditional Arabic" w:hint="cs"/>
          <w:rtl/>
        </w:rPr>
        <w:t>ل</w:t>
      </w:r>
      <w:r w:rsidR="00323A19">
        <w:rPr>
          <w:rFonts w:ascii="Traditional Arabic" w:hAnsi="Traditional Arabic" w:hint="cs"/>
          <w:rtl/>
        </w:rPr>
        <w:t>م أجد -فيما اطلعت عليه- أدلةً لهذه القاعدة، وإنما اطلعت على بعض التعليلات التي ذكرها بعض العلماء للقاعدة، ومن ذلك</w:t>
      </w:r>
      <w:r w:rsidR="00323A19" w:rsidRPr="00C821A1">
        <w:rPr>
          <w:rStyle w:val="af1"/>
          <w:szCs w:val="32"/>
          <w:rtl/>
        </w:rPr>
        <w:t>(</w:t>
      </w:r>
      <w:r w:rsidR="00323A19" w:rsidRPr="00C821A1">
        <w:rPr>
          <w:rStyle w:val="af1"/>
          <w:szCs w:val="32"/>
          <w:rtl/>
        </w:rPr>
        <w:footnoteReference w:id="1204"/>
      </w:r>
      <w:r w:rsidR="00323A19" w:rsidRPr="00C821A1">
        <w:rPr>
          <w:rStyle w:val="af1"/>
          <w:szCs w:val="32"/>
          <w:rtl/>
        </w:rPr>
        <w:t>)</w:t>
      </w:r>
      <w:r w:rsidR="00323A19">
        <w:rPr>
          <w:rFonts w:ascii="Traditional Arabic" w:hAnsi="Traditional Arabic" w:hint="cs"/>
          <w:rtl/>
        </w:rPr>
        <w:t>:</w:t>
      </w:r>
    </w:p>
    <w:p w:rsidR="00F228A9" w:rsidRDefault="0032473E" w:rsidP="000A76C7">
      <w:pPr>
        <w:pStyle w:val="afc"/>
        <w:numPr>
          <w:ilvl w:val="0"/>
          <w:numId w:val="161"/>
        </w:numPr>
        <w:rPr>
          <w:rFonts w:ascii="Traditional Arabic" w:hAnsi="Traditional Arabic"/>
        </w:rPr>
      </w:pPr>
      <w:r>
        <w:rPr>
          <w:rFonts w:ascii="Traditional Arabic" w:hAnsi="Traditional Arabic" w:hint="cs"/>
          <w:rtl/>
        </w:rPr>
        <w:lastRenderedPageBreak/>
        <w:t>إ</w:t>
      </w:r>
      <w:r w:rsidR="00323A19">
        <w:rPr>
          <w:rFonts w:ascii="Traditional Arabic" w:hAnsi="Traditional Arabic" w:hint="cs"/>
          <w:rtl/>
        </w:rPr>
        <w:t>ن المعاملات تتعلق بحقوق الآدميين، فلابد من موافقة التصرُّف ل</w:t>
      </w:r>
      <w:r w:rsidR="00D24977">
        <w:rPr>
          <w:rFonts w:ascii="Traditional Arabic" w:hAnsi="Traditional Arabic" w:hint="cs"/>
          <w:rtl/>
        </w:rPr>
        <w:t>ِ</w:t>
      </w:r>
      <w:r w:rsidR="00323A19">
        <w:rPr>
          <w:rFonts w:ascii="Traditional Arabic" w:hAnsi="Traditional Arabic" w:hint="cs"/>
          <w:rtl/>
        </w:rPr>
        <w:t>ما في نفس الأمر</w:t>
      </w:r>
      <w:r w:rsidR="00323A19" w:rsidRPr="00C821A1">
        <w:rPr>
          <w:rStyle w:val="af1"/>
          <w:szCs w:val="32"/>
          <w:rtl/>
        </w:rPr>
        <w:t>(</w:t>
      </w:r>
      <w:r w:rsidR="00323A19" w:rsidRPr="00C821A1">
        <w:rPr>
          <w:rStyle w:val="af1"/>
          <w:szCs w:val="32"/>
          <w:rtl/>
        </w:rPr>
        <w:footnoteReference w:id="1205"/>
      </w:r>
      <w:r w:rsidR="00323A19" w:rsidRPr="00C821A1">
        <w:rPr>
          <w:rStyle w:val="af1"/>
          <w:szCs w:val="32"/>
          <w:rtl/>
        </w:rPr>
        <w:t>)</w:t>
      </w:r>
      <w:r w:rsidR="00323A19">
        <w:rPr>
          <w:rFonts w:ascii="Traditional Arabic" w:hAnsi="Traditional Arabic" w:hint="cs"/>
          <w:rtl/>
        </w:rPr>
        <w:t>.</w:t>
      </w:r>
    </w:p>
    <w:p w:rsidR="00323A19" w:rsidRPr="009E3A56" w:rsidRDefault="0032473E" w:rsidP="000A76C7">
      <w:pPr>
        <w:pStyle w:val="afc"/>
        <w:widowControl/>
        <w:numPr>
          <w:ilvl w:val="0"/>
          <w:numId w:val="161"/>
        </w:numPr>
        <w:autoSpaceDE w:val="0"/>
        <w:autoSpaceDN w:val="0"/>
        <w:adjustRightInd w:val="0"/>
        <w:jc w:val="left"/>
        <w:rPr>
          <w:rStyle w:val="af1"/>
          <w:rFonts w:ascii="Traditional Arabic" w:hAnsi="Traditional Arabic"/>
          <w:noProof w:val="0"/>
          <w:vertAlign w:val="baseline"/>
          <w:lang w:eastAsia="en-US"/>
        </w:rPr>
      </w:pPr>
      <w:r>
        <w:rPr>
          <w:rFonts w:ascii="Traditional Arabic" w:hAnsi="Traditional Arabic" w:hint="cs"/>
          <w:noProof w:val="0"/>
          <w:rtl/>
          <w:lang w:eastAsia="en-US"/>
        </w:rPr>
        <w:t>إ</w:t>
      </w:r>
      <w:r w:rsidR="00323A19">
        <w:rPr>
          <w:rFonts w:ascii="Traditional Arabic" w:hAnsi="Traditional Arabic" w:hint="cs"/>
          <w:noProof w:val="0"/>
          <w:rtl/>
          <w:lang w:eastAsia="en-US"/>
        </w:rPr>
        <w:t>ن الشارع رتب التصرفات على وجود أسبابها وطرقها بقطع النظر عن نية المتصرف</w:t>
      </w:r>
      <w:r w:rsidR="00323A19" w:rsidRPr="00C821A1">
        <w:rPr>
          <w:rStyle w:val="af1"/>
          <w:szCs w:val="32"/>
          <w:rtl/>
        </w:rPr>
        <w:t>(</w:t>
      </w:r>
      <w:r w:rsidR="00323A19" w:rsidRPr="00C821A1">
        <w:rPr>
          <w:rStyle w:val="af1"/>
          <w:szCs w:val="32"/>
          <w:rtl/>
        </w:rPr>
        <w:footnoteReference w:id="1206"/>
      </w:r>
      <w:r w:rsidR="00323A19" w:rsidRPr="00C821A1">
        <w:rPr>
          <w:rStyle w:val="af1"/>
          <w:szCs w:val="32"/>
          <w:rtl/>
        </w:rPr>
        <w:t>)</w:t>
      </w:r>
      <w:r w:rsidR="00D24977">
        <w:rPr>
          <w:rFonts w:hint="cs"/>
          <w:szCs w:val="32"/>
          <w:rtl/>
        </w:rPr>
        <w:t>.</w:t>
      </w:r>
    </w:p>
    <w:p w:rsidR="00323A19" w:rsidRDefault="0032473E" w:rsidP="00A8347C">
      <w:pPr>
        <w:pStyle w:val="aff3"/>
        <w:rPr>
          <w:rtl/>
        </w:rPr>
      </w:pPr>
      <w:bookmarkStart w:id="235" w:name="_Toc334046458"/>
      <w:r>
        <w:rPr>
          <w:rFonts w:hint="cs"/>
          <w:rtl/>
        </w:rPr>
        <w:t xml:space="preserve">                                       </w:t>
      </w:r>
      <w:r w:rsidR="00323A19" w:rsidRPr="009E3A56">
        <w:rPr>
          <w:rFonts w:hint="cs"/>
          <w:rtl/>
        </w:rPr>
        <w:t>المطلب الرابع</w:t>
      </w:r>
      <w:r w:rsidR="00323A19">
        <w:rPr>
          <w:rFonts w:hint="eastAsia"/>
          <w:rtl/>
        </w:rPr>
        <w:t> :</w:t>
      </w:r>
      <w:r w:rsidR="00323A19">
        <w:rPr>
          <w:rFonts w:hint="cs"/>
          <w:rtl/>
        </w:rPr>
        <w:br/>
      </w:r>
      <w:r>
        <w:rPr>
          <w:rFonts w:hint="cs"/>
          <w:rtl/>
        </w:rPr>
        <w:t xml:space="preserve">                                      </w:t>
      </w:r>
      <w:r w:rsidR="00323A19">
        <w:rPr>
          <w:rFonts w:hint="cs"/>
          <w:rtl/>
        </w:rPr>
        <w:t>تطبيقات القاعدة</w:t>
      </w:r>
      <w:bookmarkEnd w:id="235"/>
    </w:p>
    <w:p w:rsidR="00323A19" w:rsidRPr="00084B22" w:rsidRDefault="00323A19" w:rsidP="000A76C7">
      <w:pPr>
        <w:pStyle w:val="afc"/>
        <w:numPr>
          <w:ilvl w:val="0"/>
          <w:numId w:val="160"/>
        </w:numPr>
        <w:rPr>
          <w:rFonts w:ascii="Traditional Arabic" w:hAnsi="Traditional Arabic"/>
          <w:rtl/>
        </w:rPr>
      </w:pPr>
      <w:r w:rsidRPr="00084B22">
        <w:rPr>
          <w:rFonts w:ascii="Traditional Arabic" w:hAnsi="Traditional Arabic" w:hint="cs"/>
          <w:rtl/>
        </w:rPr>
        <w:t>إذا امتنع المدين من قضاء الدين إلا بشرط</w:t>
      </w:r>
      <w:r>
        <w:rPr>
          <w:rFonts w:ascii="Traditional Arabic" w:hAnsi="Traditional Arabic" w:hint="cs"/>
          <w:rtl/>
        </w:rPr>
        <w:t>ِ</w:t>
      </w:r>
      <w:r w:rsidRPr="00084B22">
        <w:rPr>
          <w:rFonts w:ascii="Traditional Arabic" w:hAnsi="Traditional Arabic" w:hint="cs"/>
          <w:rtl/>
        </w:rPr>
        <w:t xml:space="preserve"> أن يُسْقِط عنه الدائن بعضَه، جاز للدائن أن يسقط بعض</w:t>
      </w:r>
      <w:r w:rsidR="007174AE">
        <w:rPr>
          <w:rFonts w:ascii="Traditional Arabic" w:hAnsi="Traditional Arabic" w:hint="cs"/>
          <w:rtl/>
        </w:rPr>
        <w:t>َ حقِّه لإنقاذ باقيه؛</w:t>
      </w:r>
      <w:r>
        <w:rPr>
          <w:rFonts w:ascii="Traditional Arabic" w:hAnsi="Traditional Arabic" w:hint="cs"/>
          <w:rtl/>
        </w:rPr>
        <w:t xml:space="preserve"> إذ هو أولى من ذهابه كلِّه؛ </w:t>
      </w:r>
      <w:r w:rsidR="007174AE">
        <w:rPr>
          <w:rFonts w:ascii="Traditional Arabic" w:hAnsi="Traditional Arabic" w:hint="cs"/>
          <w:rtl/>
        </w:rPr>
        <w:t>و</w:t>
      </w:r>
      <w:r>
        <w:rPr>
          <w:rFonts w:ascii="Traditional Arabic" w:hAnsi="Traditional Arabic" w:hint="cs"/>
          <w:rtl/>
        </w:rPr>
        <w:t>صحّ العقد من جهة الدائن، وحرُم الإسقاط</w:t>
      </w:r>
      <w:r w:rsidRPr="00084B22">
        <w:rPr>
          <w:rFonts w:ascii="Traditional Arabic" w:hAnsi="Traditional Arabic" w:hint="cs"/>
          <w:rtl/>
        </w:rPr>
        <w:t xml:space="preserve"> في حق المدين؛ </w:t>
      </w:r>
      <w:r>
        <w:rPr>
          <w:rFonts w:ascii="Traditional Arabic" w:hAnsi="Traditional Arabic" w:hint="cs"/>
          <w:rtl/>
        </w:rPr>
        <w:t xml:space="preserve">لأنه </w:t>
      </w:r>
      <w:r w:rsidRPr="00084B22">
        <w:rPr>
          <w:rFonts w:ascii="Traditional Arabic" w:hAnsi="Traditional Arabic" w:hint="cs"/>
          <w:rtl/>
        </w:rPr>
        <w:t>ظُلمٌ وأكلٌ لأموال الناس بالباطل</w:t>
      </w:r>
      <w:r>
        <w:rPr>
          <w:rFonts w:ascii="Traditional Arabic" w:hAnsi="Traditional Arabic" w:hint="cs"/>
          <w:noProof w:val="0"/>
          <w:rtl/>
          <w:lang w:eastAsia="en-US"/>
        </w:rPr>
        <w:t>؛</w:t>
      </w:r>
      <w:r w:rsidR="007174AE">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إذ </w:t>
      </w:r>
      <w:r>
        <w:rPr>
          <w:rFonts w:ascii="Traditional Arabic" w:hAnsi="Traditional Arabic"/>
          <w:noProof w:val="0"/>
          <w:rtl/>
          <w:lang w:eastAsia="en-US"/>
        </w:rPr>
        <w:t>لا يح</w:t>
      </w:r>
      <w:r>
        <w:rPr>
          <w:rFonts w:ascii="Traditional Arabic" w:hAnsi="Traditional Arabic" w:hint="cs"/>
          <w:noProof w:val="0"/>
          <w:rtl/>
          <w:lang w:eastAsia="en-US"/>
        </w:rPr>
        <w:t>ِ</w:t>
      </w:r>
      <w:r>
        <w:rPr>
          <w:rFonts w:ascii="Traditional Arabic" w:hAnsi="Traditional Arabic"/>
          <w:noProof w:val="0"/>
          <w:rtl/>
          <w:lang w:eastAsia="en-US"/>
        </w:rPr>
        <w:t>ل</w:t>
      </w:r>
      <w:r>
        <w:rPr>
          <w:rFonts w:ascii="Traditional Arabic" w:hAnsi="Traditional Arabic" w:hint="cs"/>
          <w:noProof w:val="0"/>
          <w:rtl/>
          <w:lang w:eastAsia="en-US"/>
        </w:rPr>
        <w:t>ُّ</w:t>
      </w:r>
      <w:r>
        <w:rPr>
          <w:rFonts w:ascii="Traditional Arabic" w:hAnsi="Traditional Arabic"/>
          <w:noProof w:val="0"/>
          <w:rtl/>
          <w:lang w:eastAsia="en-US"/>
        </w:rPr>
        <w:t xml:space="preserve"> له أن يمنع</w:t>
      </w:r>
      <w:r>
        <w:rPr>
          <w:rFonts w:ascii="Traditional Arabic" w:hAnsi="Traditional Arabic" w:hint="cs"/>
          <w:noProof w:val="0"/>
          <w:rtl/>
          <w:lang w:eastAsia="en-US"/>
        </w:rPr>
        <w:t xml:space="preserve"> الدائن</w:t>
      </w:r>
      <w:r w:rsidRPr="00705270">
        <w:rPr>
          <w:rFonts w:ascii="Traditional Arabic" w:hAnsi="Traditional Arabic"/>
          <w:noProof w:val="0"/>
          <w:rtl/>
          <w:lang w:eastAsia="en-US"/>
        </w:rPr>
        <w:t xml:space="preserve"> حق</w:t>
      </w:r>
      <w:r>
        <w:rPr>
          <w:rFonts w:ascii="Traditional Arabic" w:hAnsi="Traditional Arabic" w:hint="cs"/>
          <w:noProof w:val="0"/>
          <w:rtl/>
          <w:lang w:eastAsia="en-US"/>
        </w:rPr>
        <w:t>َّ</w:t>
      </w:r>
      <w:r w:rsidRPr="00705270">
        <w:rPr>
          <w:rFonts w:ascii="Traditional Arabic" w:hAnsi="Traditional Arabic"/>
          <w:noProof w:val="0"/>
          <w:rtl/>
          <w:lang w:eastAsia="en-US"/>
        </w:rPr>
        <w:t>ه</w:t>
      </w:r>
      <w:r>
        <w:rPr>
          <w:rFonts w:ascii="Traditional Arabic" w:hAnsi="Traditional Arabic"/>
          <w:noProof w:val="0"/>
          <w:rtl/>
          <w:lang w:eastAsia="en-US"/>
        </w:rPr>
        <w:t xml:space="preserve"> إلا</w:t>
      </w:r>
      <w:r>
        <w:rPr>
          <w:rFonts w:ascii="Traditional Arabic" w:hAnsi="Traditional Arabic" w:hint="cs"/>
          <w:noProof w:val="0"/>
          <w:rtl/>
          <w:lang w:eastAsia="en-US"/>
        </w:rPr>
        <w:t xml:space="preserve"> برضاه</w:t>
      </w:r>
      <w:r>
        <w:rPr>
          <w:rStyle w:val="af1"/>
          <w:rFonts w:hint="cs"/>
          <w:vertAlign w:val="baseline"/>
          <w:rtl/>
        </w:rPr>
        <w:t>، ولم يصحَّ العقد في حق المدين؛ لأن العبرة بما في الأمر نفسه</w:t>
      </w:r>
      <w:r w:rsidRPr="00C821A1">
        <w:rPr>
          <w:rStyle w:val="af1"/>
          <w:szCs w:val="32"/>
          <w:rtl/>
        </w:rPr>
        <w:t>(</w:t>
      </w:r>
      <w:r w:rsidRPr="00C821A1">
        <w:rPr>
          <w:rStyle w:val="af1"/>
          <w:szCs w:val="32"/>
          <w:rtl/>
        </w:rPr>
        <w:footnoteReference w:id="1207"/>
      </w:r>
      <w:r w:rsidRPr="00C821A1">
        <w:rPr>
          <w:rStyle w:val="af1"/>
          <w:szCs w:val="32"/>
          <w:rtl/>
        </w:rPr>
        <w:t>)</w:t>
      </w:r>
      <w:r w:rsidRPr="00084B22">
        <w:rPr>
          <w:rFonts w:ascii="Traditional Arabic" w:hAnsi="Traditional Arabic" w:hint="cs"/>
          <w:rtl/>
        </w:rPr>
        <w:t>.</w:t>
      </w:r>
    </w:p>
    <w:p w:rsidR="00065E4B" w:rsidRDefault="00323A19" w:rsidP="00597C20">
      <w:pPr>
        <w:pStyle w:val="53"/>
        <w:rPr>
          <w:rtl/>
        </w:rPr>
      </w:pPr>
      <w:r w:rsidRPr="00705270">
        <w:rPr>
          <w:rFonts w:hint="cs"/>
          <w:rtl/>
        </w:rPr>
        <w:t>وجه اندراج الفرع تحت القاعدة:</w:t>
      </w:r>
    </w:p>
    <w:p w:rsidR="00323A19" w:rsidRDefault="00065E4B" w:rsidP="00597C20">
      <w:pPr>
        <w:ind w:firstLine="720"/>
        <w:rPr>
          <w:rFonts w:ascii="Traditional Arabic" w:hAnsi="Traditional Arabic"/>
          <w:rtl/>
        </w:rPr>
      </w:pPr>
      <w:r>
        <w:rPr>
          <w:rFonts w:ascii="Traditional Arabic" w:hAnsi="Traditional Arabic" w:hint="cs"/>
          <w:rtl/>
        </w:rPr>
        <w:t>ل</w:t>
      </w:r>
      <w:r w:rsidR="00323A19">
        <w:rPr>
          <w:rFonts w:ascii="Traditional Arabic" w:hAnsi="Traditional Arabic" w:hint="cs"/>
          <w:rtl/>
        </w:rPr>
        <w:t>م يتبيَّن لي وجه اندراج هذا الفرع تحت القاعدة؛ لأنه عند النظر إلى واقع الأمر وظاهر التصرُّف فإن العقد يصحّ، لكن يأثم المدين لاشتراطه هذا الشرط، والله أعلم.</w:t>
      </w:r>
    </w:p>
    <w:p w:rsidR="00323A19" w:rsidRDefault="00D24977" w:rsidP="000A76C7">
      <w:pPr>
        <w:pStyle w:val="afc"/>
        <w:numPr>
          <w:ilvl w:val="0"/>
          <w:numId w:val="160"/>
        </w:numPr>
        <w:rPr>
          <w:rFonts w:ascii="Traditional Arabic" w:hAnsi="Traditional Arabic"/>
        </w:rPr>
      </w:pPr>
      <w:r>
        <w:rPr>
          <w:rFonts w:ascii="Traditional Arabic" w:hAnsi="Traditional Arabic" w:hint="cs"/>
          <w:rtl/>
        </w:rPr>
        <w:t>رجلٌ باعَ مِ</w:t>
      </w:r>
      <w:r w:rsidR="00323A19">
        <w:rPr>
          <w:rFonts w:ascii="Traditional Arabic" w:hAnsi="Traditional Arabic" w:hint="cs"/>
          <w:rtl/>
        </w:rPr>
        <w:t>لْك</w:t>
      </w:r>
      <w:r>
        <w:rPr>
          <w:rFonts w:ascii="Traditional Arabic" w:hAnsi="Traditional Arabic" w:hint="cs"/>
          <w:rtl/>
        </w:rPr>
        <w:t>َ</w:t>
      </w:r>
      <w:r w:rsidR="00323A19">
        <w:rPr>
          <w:rFonts w:ascii="Traditional Arabic" w:hAnsi="Traditional Arabic" w:hint="cs"/>
          <w:rtl/>
        </w:rPr>
        <w:t xml:space="preserve"> زيد بدون توكيل منه، وبدون ولاية عليه، ثم لما باعه تبيَّن أن زيداً قد مات وكان هو الذي يَرِثه، والبيع وقع بعد موت زيد، فبيعه صحيح، مع أنه حين باعه يعتقد أنه مُلْكُ غيره؛ لأن العبرة في المعاملات بما في نفس الأمر</w:t>
      </w:r>
      <w:r w:rsidR="00323A19" w:rsidRPr="00C821A1">
        <w:rPr>
          <w:rStyle w:val="af1"/>
          <w:szCs w:val="32"/>
          <w:rtl/>
        </w:rPr>
        <w:t>(</w:t>
      </w:r>
      <w:r w:rsidR="00323A19" w:rsidRPr="00C821A1">
        <w:rPr>
          <w:rStyle w:val="af1"/>
          <w:szCs w:val="32"/>
          <w:rtl/>
        </w:rPr>
        <w:footnoteReference w:id="1208"/>
      </w:r>
      <w:r w:rsidR="00323A19" w:rsidRPr="00C821A1">
        <w:rPr>
          <w:rStyle w:val="af1"/>
          <w:szCs w:val="32"/>
          <w:rtl/>
        </w:rPr>
        <w:t>)</w:t>
      </w:r>
      <w:r w:rsidR="00323A19">
        <w:rPr>
          <w:rFonts w:ascii="Traditional Arabic" w:hAnsi="Traditional Arabic" w:hint="cs"/>
          <w:rtl/>
        </w:rPr>
        <w:t>.</w:t>
      </w:r>
    </w:p>
    <w:p w:rsidR="00323A19" w:rsidRDefault="00323A19" w:rsidP="00597C20">
      <w:pPr>
        <w:pStyle w:val="53"/>
        <w:rPr>
          <w:rtl/>
        </w:rPr>
      </w:pPr>
      <w:r w:rsidRPr="004207EE">
        <w:rPr>
          <w:rFonts w:hint="cs"/>
          <w:rtl/>
        </w:rPr>
        <w:lastRenderedPageBreak/>
        <w:t>وجه اندراج الفرع تحت القاعدة:</w:t>
      </w:r>
    </w:p>
    <w:p w:rsidR="00323A19" w:rsidRPr="002948BC" w:rsidRDefault="00323A19" w:rsidP="00597C20">
      <w:pPr>
        <w:ind w:firstLine="720"/>
        <w:rPr>
          <w:rFonts w:ascii="Traditional Arabic" w:hAnsi="Traditional Arabic"/>
        </w:rPr>
      </w:pPr>
      <w:r w:rsidRPr="002948BC">
        <w:rPr>
          <w:rFonts w:ascii="Traditional Arabic" w:hAnsi="Traditional Arabic" w:hint="cs"/>
          <w:rtl/>
        </w:rPr>
        <w:t>لما كان البائع حين العقد قد باع ما يملك في حقيقة الأمر، فإن البيع يصح، وإن كان في ظنه أنه لا يملكه؛ لأن العبرة في المعاملات بما في نفس الأمر، لا بما في ظن المكلف.</w:t>
      </w:r>
    </w:p>
    <w:p w:rsidR="00323A19" w:rsidRPr="004D4AB7" w:rsidRDefault="00323A19" w:rsidP="000A76C7">
      <w:pPr>
        <w:pStyle w:val="afc"/>
        <w:widowControl/>
        <w:numPr>
          <w:ilvl w:val="0"/>
          <w:numId w:val="160"/>
        </w:numPr>
        <w:autoSpaceDE w:val="0"/>
        <w:autoSpaceDN w:val="0"/>
        <w:adjustRightInd w:val="0"/>
        <w:rPr>
          <w:rFonts w:ascii="Traditional Arabic" w:hAnsi="Traditional Arabic"/>
          <w:noProof w:val="0"/>
          <w:rtl/>
          <w:lang w:eastAsia="en-US"/>
        </w:rPr>
      </w:pPr>
      <w:r>
        <w:rPr>
          <w:rFonts w:ascii="Traditional Arabic" w:hAnsi="Traditional Arabic" w:hint="cs"/>
          <w:noProof w:val="0"/>
          <w:rtl/>
          <w:lang w:eastAsia="en-US"/>
        </w:rPr>
        <w:t>ر</w:t>
      </w:r>
      <w:r w:rsidRPr="004D4AB7">
        <w:rPr>
          <w:rFonts w:ascii="Traditional Arabic" w:hAnsi="Traditional Arabic"/>
          <w:noProof w:val="0"/>
          <w:rtl/>
          <w:lang w:eastAsia="en-US"/>
        </w:rPr>
        <w:t>جل باع</w:t>
      </w:r>
      <w:r>
        <w:rPr>
          <w:rFonts w:ascii="Traditional Arabic" w:hAnsi="Traditional Arabic" w:hint="cs"/>
          <w:noProof w:val="0"/>
          <w:rtl/>
          <w:lang w:eastAsia="en-US"/>
        </w:rPr>
        <w:t>َ</w:t>
      </w:r>
      <w:r w:rsidRPr="004D4AB7">
        <w:rPr>
          <w:rFonts w:ascii="Traditional Arabic" w:hAnsi="Traditional Arabic"/>
          <w:noProof w:val="0"/>
          <w:rtl/>
          <w:lang w:eastAsia="en-US"/>
        </w:rPr>
        <w:t xml:space="preserve"> مالا</w:t>
      </w:r>
      <w:r>
        <w:rPr>
          <w:rFonts w:ascii="Traditional Arabic" w:hAnsi="Traditional Arabic" w:hint="cs"/>
          <w:noProof w:val="0"/>
          <w:rtl/>
          <w:lang w:eastAsia="en-US"/>
        </w:rPr>
        <w:t>ً</w:t>
      </w:r>
      <w:r w:rsidRPr="004D4AB7">
        <w:rPr>
          <w:rFonts w:ascii="Traditional Arabic" w:hAnsi="Traditional Arabic"/>
          <w:noProof w:val="0"/>
          <w:rtl/>
          <w:lang w:eastAsia="en-US"/>
        </w:rPr>
        <w:t xml:space="preserve"> لشخص</w:t>
      </w:r>
      <w:r>
        <w:rPr>
          <w:rFonts w:ascii="Traditional Arabic" w:hAnsi="Traditional Arabic" w:hint="cs"/>
          <w:noProof w:val="0"/>
          <w:rtl/>
          <w:lang w:eastAsia="en-US"/>
        </w:rPr>
        <w:t>ٍ</w:t>
      </w:r>
      <w:r w:rsidRPr="004D4AB7">
        <w:rPr>
          <w:rFonts w:ascii="Traditional Arabic" w:hAnsi="Traditional Arabic"/>
          <w:noProof w:val="0"/>
          <w:rtl/>
          <w:lang w:eastAsia="en-US"/>
        </w:rPr>
        <w:t>، وكان صاحب المال قد وك</w:t>
      </w:r>
      <w:r>
        <w:rPr>
          <w:rFonts w:ascii="Traditional Arabic" w:hAnsi="Traditional Arabic" w:hint="cs"/>
          <w:noProof w:val="0"/>
          <w:rtl/>
          <w:lang w:eastAsia="en-US"/>
        </w:rPr>
        <w:t>َّ</w:t>
      </w:r>
      <w:r w:rsidRPr="004D4AB7">
        <w:rPr>
          <w:rFonts w:ascii="Traditional Arabic" w:hAnsi="Traditional Arabic"/>
          <w:noProof w:val="0"/>
          <w:rtl/>
          <w:lang w:eastAsia="en-US"/>
        </w:rPr>
        <w:t>له في البيع، لكنه لم يعلم بالوكالة حتى باع، فهنا نقول: إن البيع صحيح؛ لأنه وقع ممن يقوم مقام المالك وهو الوكيل، وإن كان حين البيع لم يعلم بالوكالة</w:t>
      </w:r>
      <w:r w:rsidRPr="00C821A1">
        <w:rPr>
          <w:rStyle w:val="af1"/>
          <w:szCs w:val="32"/>
          <w:rtl/>
        </w:rPr>
        <w:t>(</w:t>
      </w:r>
      <w:r w:rsidRPr="00C821A1">
        <w:rPr>
          <w:rStyle w:val="af1"/>
          <w:szCs w:val="32"/>
          <w:rtl/>
        </w:rPr>
        <w:footnoteReference w:id="1209"/>
      </w:r>
      <w:r w:rsidRPr="00C821A1">
        <w:rPr>
          <w:rStyle w:val="af1"/>
          <w:szCs w:val="32"/>
          <w:rtl/>
        </w:rPr>
        <w:t>)</w:t>
      </w:r>
      <w:r>
        <w:rPr>
          <w:rFonts w:ascii="Traditional Arabic" w:hAnsi="Traditional Arabic" w:hint="cs"/>
          <w:noProof w:val="0"/>
          <w:rtl/>
          <w:lang w:eastAsia="en-US"/>
        </w:rPr>
        <w:t>.</w:t>
      </w:r>
    </w:p>
    <w:p w:rsidR="00323A19" w:rsidRDefault="00323A19" w:rsidP="00597C20">
      <w:pPr>
        <w:pStyle w:val="53"/>
        <w:rPr>
          <w:rtl/>
        </w:rPr>
      </w:pPr>
      <w:r w:rsidRPr="004207EE">
        <w:rPr>
          <w:rFonts w:hint="cs"/>
          <w:rtl/>
        </w:rPr>
        <w:t>وجه اندراج الفرع تحت القاعدة:</w:t>
      </w:r>
    </w:p>
    <w:p w:rsidR="00323A19" w:rsidRPr="002948BC" w:rsidRDefault="00323A19" w:rsidP="00597C20">
      <w:pPr>
        <w:ind w:firstLine="720"/>
        <w:rPr>
          <w:rFonts w:ascii="Traditional Arabic" w:hAnsi="Traditional Arabic"/>
          <w:rtl/>
        </w:rPr>
      </w:pPr>
      <w:r w:rsidRPr="002948BC">
        <w:rPr>
          <w:rFonts w:ascii="Traditional Arabic" w:hAnsi="Traditional Arabic" w:hint="cs"/>
          <w:rtl/>
        </w:rPr>
        <w:t>لما كان البائع حين العقد قد تصرَّف في حقيقة الأمر بمقتضى الوكالة عن المالك، فإن البيع يصح، وإن كان البائع-حين البيع- يعتقد أنه تصرّف بغير توكيل؛ لأن العبرة في المعاملات بما في نفس الأمر، لا بما في ظن المكلف.</w:t>
      </w:r>
    </w:p>
    <w:p w:rsidR="00323A19" w:rsidRDefault="00323A19" w:rsidP="000A76C7">
      <w:pPr>
        <w:pStyle w:val="afc"/>
        <w:numPr>
          <w:ilvl w:val="0"/>
          <w:numId w:val="160"/>
        </w:numPr>
        <w:rPr>
          <w:rFonts w:ascii="Traditional Arabic" w:hAnsi="Traditional Arabic"/>
        </w:rPr>
      </w:pPr>
      <w:r>
        <w:rPr>
          <w:rFonts w:ascii="Traditional Arabic" w:hAnsi="Traditional Arabic" w:hint="cs"/>
          <w:rtl/>
        </w:rPr>
        <w:t>لو تصرف شخص في بيع بيت ظنّاً منه أن صاحبه الذي كان يرثه قد مات، ثم تبيَّن أنه لم يمت، فالبيع لا يصح اعتباراً بما في نفس الأمر</w:t>
      </w:r>
      <w:r w:rsidRPr="00C821A1">
        <w:rPr>
          <w:rStyle w:val="af1"/>
          <w:szCs w:val="32"/>
          <w:rtl/>
        </w:rPr>
        <w:t>(</w:t>
      </w:r>
      <w:r w:rsidRPr="00C821A1">
        <w:rPr>
          <w:rStyle w:val="af1"/>
          <w:szCs w:val="32"/>
          <w:rtl/>
        </w:rPr>
        <w:footnoteReference w:id="1210"/>
      </w:r>
      <w:r w:rsidRPr="00C821A1">
        <w:rPr>
          <w:rStyle w:val="af1"/>
          <w:szCs w:val="32"/>
          <w:rtl/>
        </w:rPr>
        <w:t>)</w:t>
      </w:r>
      <w:r>
        <w:rPr>
          <w:rFonts w:ascii="Traditional Arabic" w:hAnsi="Traditional Arabic" w:hint="cs"/>
          <w:rtl/>
        </w:rPr>
        <w:t>.</w:t>
      </w:r>
    </w:p>
    <w:p w:rsidR="00065E4B" w:rsidRDefault="00323A19" w:rsidP="00597C20">
      <w:pPr>
        <w:pStyle w:val="53"/>
        <w:rPr>
          <w:rtl/>
        </w:rPr>
      </w:pPr>
      <w:r w:rsidRPr="004207EE">
        <w:rPr>
          <w:rFonts w:hint="cs"/>
          <w:rtl/>
        </w:rPr>
        <w:t>وجه اندراج الفرع تحت القاعدة:</w:t>
      </w:r>
    </w:p>
    <w:p w:rsidR="00323A19" w:rsidRPr="00063C60" w:rsidRDefault="007174AE" w:rsidP="00597C20">
      <w:pPr>
        <w:ind w:firstLine="720"/>
        <w:rPr>
          <w:rFonts w:ascii="Traditional Arabic" w:hAnsi="Traditional Arabic"/>
          <w:rtl/>
        </w:rPr>
      </w:pPr>
      <w:r>
        <w:rPr>
          <w:rFonts w:ascii="Traditional Arabic" w:hAnsi="Traditional Arabic" w:hint="cs"/>
          <w:rtl/>
        </w:rPr>
        <w:t>إ</w:t>
      </w:r>
      <w:r w:rsidR="00323A19">
        <w:rPr>
          <w:rFonts w:ascii="Traditional Arabic" w:hAnsi="Traditional Arabic" w:hint="cs"/>
          <w:rtl/>
        </w:rPr>
        <w:t>ن هذا البائع في الواقع وحقيقة الأمر قد تصرّف فيما لا يملكه؛ لهذا لم يصحّ البيع؛ لأن العبرة في المعاملات لما في نفس الأمر، ولا عبرة بظن المكلف.</w:t>
      </w:r>
    </w:p>
    <w:p w:rsidR="00065E4B" w:rsidRDefault="00323A19" w:rsidP="000A76C7">
      <w:pPr>
        <w:pStyle w:val="afc"/>
        <w:numPr>
          <w:ilvl w:val="0"/>
          <w:numId w:val="160"/>
        </w:numPr>
        <w:rPr>
          <w:rFonts w:ascii="Traditional Arabic" w:hAnsi="Traditional Arabic"/>
        </w:rPr>
      </w:pPr>
      <w:r w:rsidRPr="000A2BA1">
        <w:rPr>
          <w:rFonts w:ascii="Traditional Arabic" w:hAnsi="Traditional Arabic" w:hint="cs"/>
          <w:rtl/>
        </w:rPr>
        <w:t>لو باع الب</w:t>
      </w:r>
      <w:r>
        <w:rPr>
          <w:rFonts w:ascii="Traditional Arabic" w:hAnsi="Traditional Arabic" w:hint="cs"/>
          <w:rtl/>
        </w:rPr>
        <w:t>ي</w:t>
      </w:r>
      <w:r w:rsidRPr="000A2BA1">
        <w:rPr>
          <w:rFonts w:ascii="Traditional Arabic" w:hAnsi="Traditional Arabic" w:hint="cs"/>
          <w:rtl/>
        </w:rPr>
        <w:t>ت</w:t>
      </w:r>
      <w:r>
        <w:rPr>
          <w:rFonts w:ascii="Traditional Arabic" w:hAnsi="Traditional Arabic" w:hint="cs"/>
          <w:rtl/>
        </w:rPr>
        <w:t xml:space="preserve"> وهو يظن أن صاحبه الذي يرث منه حيٌّ، ثم بانَ أن مورِّثه قد مات، وأن البيت حينَ بَيْعِه كان في مُلكه، صحّ البيع؛ لأنه باع ما في ملكه؛ ولأن العبرة بما في نفس الأمر، لكنه يأثَم على تصرُّفه ببيع شيءٍ يعتقد أنه ليس له</w:t>
      </w:r>
      <w:r w:rsidRPr="00C821A1">
        <w:rPr>
          <w:rStyle w:val="af1"/>
          <w:szCs w:val="32"/>
          <w:rtl/>
        </w:rPr>
        <w:t>(</w:t>
      </w:r>
      <w:r w:rsidRPr="00C821A1">
        <w:rPr>
          <w:rStyle w:val="af1"/>
          <w:szCs w:val="32"/>
          <w:rtl/>
        </w:rPr>
        <w:footnoteReference w:id="1211"/>
      </w:r>
      <w:r w:rsidRPr="00C821A1">
        <w:rPr>
          <w:rStyle w:val="af1"/>
          <w:szCs w:val="32"/>
          <w:rtl/>
        </w:rPr>
        <w:t>)</w:t>
      </w:r>
      <w:r>
        <w:rPr>
          <w:rFonts w:ascii="Traditional Arabic" w:hAnsi="Traditional Arabic" w:hint="cs"/>
          <w:rtl/>
        </w:rPr>
        <w:t>.</w:t>
      </w:r>
    </w:p>
    <w:p w:rsidR="00323A19" w:rsidRPr="0055219B" w:rsidRDefault="00065E4B" w:rsidP="00597C20">
      <w:pPr>
        <w:pStyle w:val="53"/>
        <w:rPr>
          <w:rtl/>
        </w:rPr>
      </w:pPr>
      <w:r w:rsidRPr="0055219B">
        <w:rPr>
          <w:rFonts w:hint="cs"/>
          <w:rtl/>
        </w:rPr>
        <w:lastRenderedPageBreak/>
        <w:t>و</w:t>
      </w:r>
      <w:r w:rsidR="00323A19" w:rsidRPr="0055219B">
        <w:rPr>
          <w:rFonts w:hint="cs"/>
          <w:rtl/>
        </w:rPr>
        <w:t>جه اندراج الفرع تحت القاعدة:</w:t>
      </w:r>
    </w:p>
    <w:p w:rsidR="00323A19" w:rsidRDefault="008F4C64" w:rsidP="00597C20">
      <w:pPr>
        <w:ind w:firstLine="720"/>
        <w:rPr>
          <w:rFonts w:ascii="Traditional Arabic" w:hAnsi="Traditional Arabic"/>
          <w:rtl/>
        </w:rPr>
      </w:pPr>
      <w:r>
        <w:rPr>
          <w:rFonts w:ascii="Traditional Arabic" w:hAnsi="Traditional Arabic" w:hint="cs"/>
          <w:rtl/>
        </w:rPr>
        <w:t>إ</w:t>
      </w:r>
      <w:r w:rsidR="00323A19" w:rsidRPr="002948BC">
        <w:rPr>
          <w:rFonts w:ascii="Traditional Arabic" w:hAnsi="Traditional Arabic" w:hint="cs"/>
          <w:rtl/>
        </w:rPr>
        <w:t>ن هذا البائع في حقيقة الأمر قد باع ما يملك، فيصح البيع؛ لأن العبرة في المعاملات بما في نفس الأمر.</w:t>
      </w:r>
    </w:p>
    <w:p w:rsidR="002226EA" w:rsidRDefault="002226EA" w:rsidP="00597C20">
      <w:pPr>
        <w:ind w:firstLine="720"/>
        <w:rPr>
          <w:rFonts w:ascii="Traditional Arabic" w:hAnsi="Traditional Arabic"/>
          <w:rtl/>
        </w:rPr>
      </w:pPr>
    </w:p>
    <w:p w:rsidR="002226EA" w:rsidRPr="002226EA" w:rsidRDefault="008F4C64" w:rsidP="00D24977">
      <w:pPr>
        <w:ind w:firstLine="720"/>
        <w:rPr>
          <w:rFonts w:ascii="Traditional Arabic" w:hAnsi="Traditional Arabic"/>
          <w:rtl/>
        </w:rPr>
      </w:pPr>
      <w:r>
        <w:rPr>
          <w:rFonts w:ascii="Traditional Arabic" w:hAnsi="Traditional Arabic" w:hint="cs"/>
          <w:b/>
          <w:bCs/>
          <w:rtl/>
        </w:rPr>
        <w:t xml:space="preserve">  </w:t>
      </w:r>
    </w:p>
    <w:p w:rsidR="00471FD0" w:rsidRPr="00C85F0F" w:rsidRDefault="00471FD0" w:rsidP="000F5C0F">
      <w:pPr>
        <w:pStyle w:val="aff2"/>
        <w:rPr>
          <w:rtl/>
        </w:rPr>
      </w:pPr>
      <w:bookmarkStart w:id="236" w:name="_Toc334046459"/>
      <w:r w:rsidRPr="004775DA">
        <w:rPr>
          <w:rFonts w:ascii="Traditional Arabic" w:hAnsi="Traditional Arabic" w:hint="cs"/>
          <w:rtl/>
        </w:rPr>
        <w:lastRenderedPageBreak/>
        <w:t>المبحث ال</w:t>
      </w:r>
      <w:r>
        <w:rPr>
          <w:rFonts w:ascii="Traditional Arabic" w:hAnsi="Traditional Arabic" w:hint="cs"/>
          <w:rtl/>
        </w:rPr>
        <w:t>خامس</w:t>
      </w:r>
      <w:r>
        <w:rPr>
          <w:rFonts w:ascii="Traditional Arabic" w:hAnsi="Traditional Arabic" w:hint="eastAsia"/>
          <w:rtl/>
        </w:rPr>
        <w:t> :</w:t>
      </w:r>
      <w:r>
        <w:rPr>
          <w:rFonts w:ascii="Traditional Arabic" w:hAnsi="Traditional Arabic" w:hint="cs"/>
          <w:rtl/>
        </w:rPr>
        <w:br/>
      </w:r>
      <w:r>
        <w:rPr>
          <w:rFonts w:hint="cs"/>
          <w:rtl/>
        </w:rPr>
        <w:t>قاعدة</w:t>
      </w:r>
      <w:r>
        <w:rPr>
          <w:rtl/>
        </w:rPr>
        <w:br/>
      </w:r>
      <w:r w:rsidR="006D30EA">
        <w:rPr>
          <w:rFonts w:hint="cs"/>
          <w:rtl/>
        </w:rPr>
        <w:t>"</w:t>
      </w:r>
      <w:r>
        <w:rPr>
          <w:rFonts w:hint="cs"/>
          <w:rtl/>
        </w:rPr>
        <w:t xml:space="preserve">الأصل في أموال المحترمين </w:t>
      </w:r>
      <w:r w:rsidRPr="00471FD0">
        <w:rPr>
          <w:rFonts w:ascii="Traditional Arabic" w:hAnsi="Traditional Arabic" w:hint="cs"/>
          <w:rtl/>
        </w:rPr>
        <w:t>العصمة</w:t>
      </w:r>
      <w:r w:rsidR="00AB0B9E" w:rsidRPr="00C85F0F">
        <w:rPr>
          <w:rFonts w:ascii="Traditional Arabic" w:hAnsi="Traditional Arabic"/>
          <w:rtl/>
        </w:rPr>
        <w:fldChar w:fldCharType="begin"/>
      </w:r>
      <w:r w:rsidR="003504FF" w:rsidRPr="00C85F0F">
        <w:rPr>
          <w:rFonts w:ascii="Traditional Arabic" w:hAnsi="Traditional Arabic" w:hint="cs"/>
        </w:rPr>
        <w:instrText>XE</w:instrText>
      </w:r>
      <w:r w:rsidR="003504FF" w:rsidRPr="00C85F0F">
        <w:rPr>
          <w:rFonts w:ascii="Traditional Arabic" w:hAnsi="Traditional Arabic"/>
          <w:rtl/>
        </w:rPr>
        <w:instrText xml:space="preserve"> "</w:instrText>
      </w:r>
      <w:r w:rsidR="003504FF" w:rsidRPr="00C85F0F">
        <w:rPr>
          <w:rFonts w:hint="cs"/>
          <w:rtl/>
        </w:rPr>
        <w:instrText>الأصلفيأموالالمحترمينالعصمة</w:instrText>
      </w:r>
      <w:r w:rsidR="003504FF" w:rsidRPr="00C85F0F">
        <w:rPr>
          <w:rtl/>
        </w:rPr>
        <w:instrText>"\</w:instrText>
      </w:r>
      <w:r w:rsidR="003504FF" w:rsidRPr="00C85F0F">
        <w:rPr>
          <w:rFonts w:cs="Arial"/>
        </w:rPr>
        <w:instrText>fq</w:instrText>
      </w:r>
      <w:r w:rsidR="003504FF" w:rsidRPr="00C85F0F">
        <w:rPr>
          <w:rtl/>
        </w:rPr>
        <w:instrText>"</w:instrText>
      </w:r>
      <w:r w:rsidR="00AB0B9E" w:rsidRPr="00C85F0F">
        <w:rPr>
          <w:rFonts w:ascii="Traditional Arabic" w:hAnsi="Traditional Arabic"/>
          <w:rtl/>
        </w:rPr>
        <w:fldChar w:fldCharType="end"/>
      </w:r>
      <w:r w:rsidR="006D30EA" w:rsidRPr="00C85F0F">
        <w:rPr>
          <w:rFonts w:ascii="Traditional Arabic" w:hAnsi="Traditional Arabic" w:hint="cs"/>
          <w:rtl/>
        </w:rPr>
        <w:t>"</w:t>
      </w:r>
      <w:r w:rsidRPr="00C85F0F">
        <w:rPr>
          <w:rStyle w:val="af1"/>
          <w:b w:val="0"/>
          <w:bCs w:val="0"/>
          <w:szCs w:val="32"/>
          <w:rtl/>
        </w:rPr>
        <w:t>(</w:t>
      </w:r>
      <w:r w:rsidRPr="00C85F0F">
        <w:rPr>
          <w:rStyle w:val="af1"/>
          <w:b w:val="0"/>
          <w:bCs w:val="0"/>
          <w:szCs w:val="32"/>
          <w:rtl/>
        </w:rPr>
        <w:footnoteReference w:id="1212"/>
      </w:r>
      <w:r w:rsidRPr="00C85F0F">
        <w:rPr>
          <w:rStyle w:val="af1"/>
          <w:b w:val="0"/>
          <w:bCs w:val="0"/>
          <w:szCs w:val="32"/>
          <w:rtl/>
        </w:rPr>
        <w:t>)</w:t>
      </w:r>
      <w:bookmarkEnd w:id="236"/>
    </w:p>
    <w:p w:rsidR="00065E4B" w:rsidRPr="00C85F0F" w:rsidRDefault="002226EA" w:rsidP="00A8347C">
      <w:pPr>
        <w:pStyle w:val="aff3"/>
        <w:rPr>
          <w:rtl/>
        </w:rPr>
      </w:pPr>
      <w:bookmarkStart w:id="237" w:name="_Toc334046460"/>
      <w:r>
        <w:rPr>
          <w:rFonts w:hint="cs"/>
          <w:rtl/>
        </w:rPr>
        <w:t xml:space="preserve">                                         المطلب</w:t>
      </w:r>
      <w:r w:rsidR="008F4C64">
        <w:rPr>
          <w:rFonts w:hint="cs"/>
          <w:rtl/>
        </w:rPr>
        <w:t xml:space="preserve"> </w:t>
      </w:r>
      <w:r w:rsidR="00471FD0" w:rsidRPr="00C85F0F">
        <w:rPr>
          <w:rFonts w:hint="cs"/>
          <w:rtl/>
        </w:rPr>
        <w:t>الأول</w:t>
      </w:r>
      <w:r w:rsidR="00471FD0" w:rsidRPr="00C85F0F">
        <w:rPr>
          <w:rFonts w:hint="eastAsia"/>
          <w:rtl/>
        </w:rPr>
        <w:t> :</w:t>
      </w:r>
      <w:r w:rsidR="00471FD0" w:rsidRPr="00C85F0F">
        <w:rPr>
          <w:rFonts w:hint="cs"/>
          <w:rtl/>
        </w:rPr>
        <w:br/>
      </w:r>
      <w:r>
        <w:rPr>
          <w:rFonts w:hint="cs"/>
          <w:rtl/>
        </w:rPr>
        <w:t xml:space="preserve">                      </w:t>
      </w:r>
      <w:r w:rsidR="00471FD0" w:rsidRPr="00C85F0F">
        <w:rPr>
          <w:rFonts w:hint="cs"/>
          <w:rtl/>
        </w:rPr>
        <w:t>صيغ القاعدة عند الشيخ وعند علماء القواعد</w:t>
      </w:r>
      <w:bookmarkEnd w:id="237"/>
    </w:p>
    <w:p w:rsidR="00471FD0" w:rsidRPr="00C85F0F" w:rsidRDefault="004472DC" w:rsidP="008F4C64">
      <w:pPr>
        <w:ind w:firstLine="0"/>
        <w:rPr>
          <w:rtl/>
        </w:rPr>
      </w:pPr>
      <w:r>
        <w:rPr>
          <w:rFonts w:hint="cs"/>
          <w:rtl/>
        </w:rPr>
        <w:t xml:space="preserve">    </w:t>
      </w:r>
      <w:r w:rsidR="00065E4B" w:rsidRPr="00C85F0F">
        <w:rPr>
          <w:rFonts w:hint="cs"/>
          <w:rtl/>
        </w:rPr>
        <w:t>و</w:t>
      </w:r>
      <w:r w:rsidR="00471FD0" w:rsidRPr="00C85F0F">
        <w:rPr>
          <w:rFonts w:hint="cs"/>
          <w:rtl/>
        </w:rPr>
        <w:t xml:space="preserve">ردت هذه القاعدة عند الشيخ ابن عثيمين </w:t>
      </w:r>
      <w:r w:rsidR="008F4C64">
        <w:rPr>
          <w:rFonts w:hint="cs"/>
          <w:rtl/>
        </w:rPr>
        <w:t>_</w:t>
      </w:r>
      <w:r w:rsidR="009A0575" w:rsidRPr="005D5694">
        <w:rPr>
          <w:rFonts w:ascii="Traditional Arabic" w:hAnsi="Traditional Arabic" w:cs="CTraditional Arabic" w:hint="cs"/>
          <w:rtl/>
        </w:rPr>
        <w:t>/</w:t>
      </w:r>
      <w:r w:rsidR="008F4C64">
        <w:rPr>
          <w:rFonts w:hint="cs"/>
          <w:rtl/>
        </w:rPr>
        <w:t>_</w:t>
      </w:r>
      <w:r w:rsidR="00471FD0" w:rsidRPr="00C85F0F">
        <w:rPr>
          <w:rFonts w:hint="cs"/>
          <w:rtl/>
        </w:rPr>
        <w:t xml:space="preserve"> بصيغ متعددة، منها:</w:t>
      </w:r>
    </w:p>
    <w:p w:rsidR="00471FD0" w:rsidRPr="00C85F0F" w:rsidRDefault="00471FD0" w:rsidP="000A76C7">
      <w:pPr>
        <w:numPr>
          <w:ilvl w:val="0"/>
          <w:numId w:val="163"/>
        </w:numPr>
      </w:pPr>
      <w:r w:rsidRPr="00C85F0F">
        <w:rPr>
          <w:rFonts w:hint="cs"/>
          <w:rtl/>
        </w:rPr>
        <w:t>الأصل احترامُ مالِ المسلم</w:t>
      </w:r>
      <w:r w:rsidRPr="00C85F0F">
        <w:rPr>
          <w:rStyle w:val="af1"/>
          <w:szCs w:val="32"/>
          <w:rtl/>
        </w:rPr>
        <w:t>(</w:t>
      </w:r>
      <w:r w:rsidRPr="00C85F0F">
        <w:rPr>
          <w:rStyle w:val="af1"/>
          <w:szCs w:val="32"/>
          <w:rtl/>
        </w:rPr>
        <w:footnoteReference w:id="1213"/>
      </w:r>
      <w:r w:rsidRPr="00C85F0F">
        <w:rPr>
          <w:rStyle w:val="af1"/>
          <w:szCs w:val="32"/>
          <w:rtl/>
        </w:rPr>
        <w:t>)</w:t>
      </w:r>
      <w:r w:rsidRPr="00C85F0F">
        <w:rPr>
          <w:rFonts w:hint="cs"/>
          <w:rtl/>
        </w:rPr>
        <w:t>.</w:t>
      </w:r>
    </w:p>
    <w:p w:rsidR="00471FD0" w:rsidRPr="00C85F0F" w:rsidRDefault="00471FD0" w:rsidP="000A76C7">
      <w:pPr>
        <w:numPr>
          <w:ilvl w:val="0"/>
          <w:numId w:val="163"/>
        </w:numPr>
        <w:rPr>
          <w:color w:val="auto"/>
        </w:rPr>
      </w:pPr>
      <w:r w:rsidRPr="00C85F0F">
        <w:rPr>
          <w:rFonts w:ascii="Traditional Arabic" w:hAnsi="Traditional Arabic"/>
          <w:noProof w:val="0"/>
          <w:color w:val="auto"/>
          <w:rtl/>
          <w:lang w:eastAsia="en-US"/>
        </w:rPr>
        <w:t>لا يجوز استحلال أموال المعصومين إلا بدليل</w:t>
      </w:r>
      <w:r w:rsidRPr="00C85F0F">
        <w:rPr>
          <w:rStyle w:val="af1"/>
          <w:szCs w:val="32"/>
          <w:rtl/>
        </w:rPr>
        <w:t>(</w:t>
      </w:r>
      <w:r w:rsidRPr="00C85F0F">
        <w:rPr>
          <w:rStyle w:val="af1"/>
          <w:szCs w:val="32"/>
          <w:rtl/>
        </w:rPr>
        <w:footnoteReference w:id="1214"/>
      </w:r>
      <w:r w:rsidRPr="00C85F0F">
        <w:rPr>
          <w:rStyle w:val="af1"/>
          <w:szCs w:val="32"/>
          <w:rtl/>
        </w:rPr>
        <w:t>)</w:t>
      </w:r>
      <w:r w:rsidRPr="00C85F0F">
        <w:rPr>
          <w:rFonts w:hint="cs"/>
          <w:color w:val="auto"/>
          <w:rtl/>
        </w:rPr>
        <w:t>.</w:t>
      </w:r>
    </w:p>
    <w:p w:rsidR="00471FD0" w:rsidRPr="00C85F0F" w:rsidRDefault="00471FD0" w:rsidP="000A76C7">
      <w:pPr>
        <w:numPr>
          <w:ilvl w:val="0"/>
          <w:numId w:val="163"/>
        </w:numPr>
      </w:pPr>
      <w:r w:rsidRPr="00C85F0F">
        <w:rPr>
          <w:rFonts w:hint="cs"/>
          <w:rtl/>
        </w:rPr>
        <w:t>الواجب أن تكون أموال الناس محترَمة</w:t>
      </w:r>
      <w:r w:rsidRPr="00C85F0F">
        <w:rPr>
          <w:rStyle w:val="af1"/>
          <w:szCs w:val="32"/>
          <w:rtl/>
        </w:rPr>
        <w:t>(</w:t>
      </w:r>
      <w:r w:rsidRPr="00C85F0F">
        <w:rPr>
          <w:rStyle w:val="af1"/>
          <w:szCs w:val="32"/>
          <w:rtl/>
        </w:rPr>
        <w:footnoteReference w:id="1215"/>
      </w:r>
      <w:r w:rsidRPr="00C85F0F">
        <w:rPr>
          <w:rStyle w:val="af1"/>
          <w:szCs w:val="32"/>
          <w:rtl/>
        </w:rPr>
        <w:t>)</w:t>
      </w:r>
      <w:r w:rsidRPr="00C85F0F">
        <w:rPr>
          <w:rFonts w:hint="cs"/>
          <w:rtl/>
        </w:rPr>
        <w:t>.</w:t>
      </w:r>
    </w:p>
    <w:p w:rsidR="00471FD0" w:rsidRPr="00C85F0F" w:rsidRDefault="00471FD0" w:rsidP="000A76C7">
      <w:pPr>
        <w:numPr>
          <w:ilvl w:val="0"/>
          <w:numId w:val="163"/>
        </w:numPr>
      </w:pPr>
      <w:r w:rsidRPr="00C85F0F">
        <w:rPr>
          <w:rFonts w:hint="cs"/>
          <w:rtl/>
        </w:rPr>
        <w:t>الأصل في مال الغير أنه محترم لا يجوز الانتفاع به</w:t>
      </w:r>
      <w:r w:rsidRPr="00C85F0F">
        <w:rPr>
          <w:rStyle w:val="af1"/>
          <w:szCs w:val="32"/>
          <w:rtl/>
        </w:rPr>
        <w:t>(</w:t>
      </w:r>
      <w:r w:rsidRPr="00C85F0F">
        <w:rPr>
          <w:rStyle w:val="af1"/>
          <w:szCs w:val="32"/>
          <w:rtl/>
        </w:rPr>
        <w:footnoteReference w:id="1216"/>
      </w:r>
      <w:r w:rsidRPr="00C85F0F">
        <w:rPr>
          <w:rStyle w:val="af1"/>
          <w:szCs w:val="32"/>
          <w:rtl/>
        </w:rPr>
        <w:t>)</w:t>
      </w:r>
      <w:r w:rsidRPr="00C85F0F">
        <w:rPr>
          <w:rFonts w:hint="cs"/>
          <w:rtl/>
        </w:rPr>
        <w:t>.</w:t>
      </w:r>
    </w:p>
    <w:p w:rsidR="00471FD0" w:rsidRPr="00C85F0F" w:rsidRDefault="00471FD0" w:rsidP="000A76C7">
      <w:pPr>
        <w:numPr>
          <w:ilvl w:val="0"/>
          <w:numId w:val="163"/>
        </w:numPr>
      </w:pPr>
      <w:r w:rsidRPr="00C85F0F">
        <w:rPr>
          <w:rFonts w:hint="cs"/>
          <w:rtl/>
        </w:rPr>
        <w:t>الأصل في أموال المحترَمين العِصْمَة</w:t>
      </w:r>
      <w:r w:rsidRPr="00C85F0F">
        <w:rPr>
          <w:rStyle w:val="af1"/>
          <w:szCs w:val="32"/>
          <w:rtl/>
        </w:rPr>
        <w:t>(</w:t>
      </w:r>
      <w:r w:rsidRPr="00C85F0F">
        <w:rPr>
          <w:rStyle w:val="af1"/>
          <w:szCs w:val="32"/>
          <w:rtl/>
        </w:rPr>
        <w:footnoteReference w:id="1217"/>
      </w:r>
      <w:r w:rsidRPr="00C85F0F">
        <w:rPr>
          <w:rStyle w:val="af1"/>
          <w:szCs w:val="32"/>
          <w:rtl/>
        </w:rPr>
        <w:t>)</w:t>
      </w:r>
      <w:r w:rsidRPr="00C85F0F">
        <w:rPr>
          <w:rFonts w:hint="cs"/>
          <w:rtl/>
        </w:rPr>
        <w:t>.</w:t>
      </w:r>
    </w:p>
    <w:p w:rsidR="00471FD0" w:rsidRDefault="00471FD0" w:rsidP="000A76C7">
      <w:pPr>
        <w:numPr>
          <w:ilvl w:val="0"/>
          <w:numId w:val="163"/>
        </w:numPr>
      </w:pPr>
      <w:r w:rsidRPr="00C85F0F">
        <w:rPr>
          <w:rFonts w:hint="cs"/>
          <w:rtl/>
        </w:rPr>
        <w:t>الأصل في مال المسلم أنه محترَم</w:t>
      </w:r>
      <w:r w:rsidRPr="00C85F0F">
        <w:rPr>
          <w:rStyle w:val="af1"/>
          <w:szCs w:val="32"/>
          <w:rtl/>
        </w:rPr>
        <w:t>(</w:t>
      </w:r>
      <w:r w:rsidRPr="00C85F0F">
        <w:rPr>
          <w:rStyle w:val="af1"/>
          <w:szCs w:val="32"/>
          <w:rtl/>
        </w:rPr>
        <w:footnoteReference w:id="1218"/>
      </w:r>
      <w:r w:rsidRPr="00C85F0F">
        <w:rPr>
          <w:rStyle w:val="af1"/>
          <w:szCs w:val="32"/>
          <w:rtl/>
        </w:rPr>
        <w:t>)</w:t>
      </w:r>
      <w:r w:rsidRPr="00C85F0F">
        <w:rPr>
          <w:rFonts w:hint="cs"/>
          <w:rtl/>
        </w:rPr>
        <w:t>.</w:t>
      </w:r>
    </w:p>
    <w:p w:rsidR="008F4C64" w:rsidRPr="00C85F0F" w:rsidRDefault="008F4C64" w:rsidP="008F4C64">
      <w:pPr>
        <w:ind w:left="1354" w:firstLine="0"/>
      </w:pPr>
    </w:p>
    <w:p w:rsidR="00471FD0" w:rsidRPr="00C85F0F" w:rsidRDefault="00471FD0" w:rsidP="000A76C7">
      <w:pPr>
        <w:numPr>
          <w:ilvl w:val="0"/>
          <w:numId w:val="163"/>
        </w:numPr>
      </w:pPr>
      <w:r w:rsidRPr="00C85F0F">
        <w:rPr>
          <w:rFonts w:hint="cs"/>
          <w:rtl/>
        </w:rPr>
        <w:lastRenderedPageBreak/>
        <w:t>الأصل حُرْمَةُ المال</w:t>
      </w:r>
      <w:r w:rsidRPr="00C85F0F">
        <w:rPr>
          <w:rStyle w:val="af1"/>
          <w:szCs w:val="32"/>
          <w:rtl/>
        </w:rPr>
        <w:t>(</w:t>
      </w:r>
      <w:r w:rsidRPr="00C85F0F">
        <w:rPr>
          <w:rStyle w:val="af1"/>
          <w:szCs w:val="32"/>
          <w:rtl/>
        </w:rPr>
        <w:footnoteReference w:id="1219"/>
      </w:r>
      <w:r w:rsidRPr="00C85F0F">
        <w:rPr>
          <w:rStyle w:val="af1"/>
          <w:szCs w:val="32"/>
          <w:rtl/>
        </w:rPr>
        <w:t>)</w:t>
      </w:r>
      <w:r w:rsidRPr="00C85F0F">
        <w:rPr>
          <w:rFonts w:hint="cs"/>
          <w:rtl/>
        </w:rPr>
        <w:t>.</w:t>
      </w:r>
    </w:p>
    <w:p w:rsidR="00471FD0" w:rsidRPr="00C85F0F" w:rsidRDefault="00471FD0" w:rsidP="000A76C7">
      <w:pPr>
        <w:numPr>
          <w:ilvl w:val="0"/>
          <w:numId w:val="163"/>
        </w:numPr>
      </w:pPr>
      <w:r w:rsidRPr="00C85F0F">
        <w:rPr>
          <w:rFonts w:hint="cs"/>
          <w:rtl/>
        </w:rPr>
        <w:t>الأصل حرمة مال الغير</w:t>
      </w:r>
      <w:r w:rsidRPr="00C85F0F">
        <w:rPr>
          <w:rStyle w:val="af1"/>
          <w:szCs w:val="32"/>
          <w:rtl/>
        </w:rPr>
        <w:t>(</w:t>
      </w:r>
      <w:r w:rsidRPr="00C85F0F">
        <w:rPr>
          <w:rStyle w:val="af1"/>
          <w:szCs w:val="32"/>
          <w:rtl/>
        </w:rPr>
        <w:footnoteReference w:id="1220"/>
      </w:r>
      <w:r w:rsidRPr="00C85F0F">
        <w:rPr>
          <w:rStyle w:val="af1"/>
          <w:szCs w:val="32"/>
          <w:rtl/>
        </w:rPr>
        <w:t>)</w:t>
      </w:r>
      <w:r w:rsidRPr="00C85F0F">
        <w:rPr>
          <w:rFonts w:hint="cs"/>
          <w:rtl/>
        </w:rPr>
        <w:t>.</w:t>
      </w:r>
    </w:p>
    <w:p w:rsidR="00F228A9" w:rsidRPr="00C85F0F" w:rsidRDefault="00471FD0" w:rsidP="000A76C7">
      <w:pPr>
        <w:numPr>
          <w:ilvl w:val="0"/>
          <w:numId w:val="163"/>
        </w:numPr>
      </w:pPr>
      <w:r w:rsidRPr="00C85F0F">
        <w:rPr>
          <w:rFonts w:hint="cs"/>
          <w:rtl/>
        </w:rPr>
        <w:t>الأصل حرمة مال المسلم</w:t>
      </w:r>
      <w:r w:rsidRPr="00C85F0F">
        <w:rPr>
          <w:rStyle w:val="af1"/>
          <w:szCs w:val="32"/>
          <w:rtl/>
        </w:rPr>
        <w:t>(</w:t>
      </w:r>
      <w:r w:rsidRPr="00C85F0F">
        <w:rPr>
          <w:rStyle w:val="af1"/>
          <w:szCs w:val="32"/>
          <w:rtl/>
        </w:rPr>
        <w:footnoteReference w:id="1221"/>
      </w:r>
      <w:r w:rsidRPr="00C85F0F">
        <w:rPr>
          <w:rStyle w:val="af1"/>
          <w:szCs w:val="32"/>
          <w:rtl/>
        </w:rPr>
        <w:t>)</w:t>
      </w:r>
      <w:r w:rsidRPr="00C85F0F">
        <w:rPr>
          <w:rFonts w:hint="cs"/>
          <w:rtl/>
        </w:rPr>
        <w:t>.</w:t>
      </w:r>
    </w:p>
    <w:p w:rsidR="00065E4B" w:rsidRPr="00C85F0F" w:rsidRDefault="00F228A9" w:rsidP="000A76C7">
      <w:pPr>
        <w:numPr>
          <w:ilvl w:val="0"/>
          <w:numId w:val="163"/>
        </w:numPr>
      </w:pPr>
      <w:r w:rsidRPr="00C85F0F">
        <w:rPr>
          <w:rFonts w:hint="cs"/>
          <w:rtl/>
        </w:rPr>
        <w:t>الأصل في الأموال التحريم</w:t>
      </w:r>
      <w:r w:rsidRPr="00C85F0F">
        <w:rPr>
          <w:rStyle w:val="af1"/>
          <w:szCs w:val="32"/>
          <w:rtl/>
        </w:rPr>
        <w:t>(</w:t>
      </w:r>
      <w:r w:rsidRPr="00C85F0F">
        <w:rPr>
          <w:rStyle w:val="af1"/>
          <w:szCs w:val="32"/>
          <w:rtl/>
        </w:rPr>
        <w:footnoteReference w:id="1222"/>
      </w:r>
      <w:r w:rsidRPr="00C85F0F">
        <w:rPr>
          <w:rStyle w:val="af1"/>
          <w:szCs w:val="32"/>
          <w:rtl/>
        </w:rPr>
        <w:t>)</w:t>
      </w:r>
      <w:r w:rsidRPr="00C85F0F">
        <w:rPr>
          <w:rFonts w:hint="cs"/>
          <w:rtl/>
        </w:rPr>
        <w:t>.</w:t>
      </w:r>
    </w:p>
    <w:p w:rsidR="00471FD0" w:rsidRPr="00C85F0F" w:rsidRDefault="004472DC" w:rsidP="008F4C64">
      <w:pPr>
        <w:ind w:firstLine="0"/>
        <w:rPr>
          <w:rtl/>
        </w:rPr>
      </w:pPr>
      <w:r>
        <w:rPr>
          <w:rFonts w:hint="cs"/>
          <w:rtl/>
        </w:rPr>
        <w:t xml:space="preserve">    </w:t>
      </w:r>
      <w:r w:rsidR="00065E4B" w:rsidRPr="00C85F0F">
        <w:rPr>
          <w:rFonts w:hint="cs"/>
          <w:rtl/>
        </w:rPr>
        <w:t>و</w:t>
      </w:r>
      <w:r w:rsidR="00471FD0" w:rsidRPr="00C85F0F">
        <w:rPr>
          <w:rFonts w:hint="cs"/>
          <w:rtl/>
        </w:rPr>
        <w:t>وردت هذه القاعدة عند علماء القواعد بعدة صيغ، منها:</w:t>
      </w:r>
    </w:p>
    <w:p w:rsidR="00471FD0" w:rsidRPr="00C85F0F" w:rsidRDefault="00471FD0" w:rsidP="000A76C7">
      <w:pPr>
        <w:pStyle w:val="afc"/>
        <w:numPr>
          <w:ilvl w:val="0"/>
          <w:numId w:val="164"/>
        </w:numPr>
      </w:pPr>
      <w:r w:rsidRPr="00C85F0F">
        <w:rPr>
          <w:rFonts w:hint="cs"/>
          <w:rtl/>
        </w:rPr>
        <w:t>الأصل في الأموال العصمة</w:t>
      </w:r>
      <w:r w:rsidRPr="00C85F0F">
        <w:rPr>
          <w:rStyle w:val="af1"/>
          <w:szCs w:val="32"/>
          <w:rtl/>
        </w:rPr>
        <w:t>(</w:t>
      </w:r>
      <w:r w:rsidRPr="00C85F0F">
        <w:rPr>
          <w:rStyle w:val="af1"/>
          <w:szCs w:val="32"/>
          <w:rtl/>
        </w:rPr>
        <w:footnoteReference w:id="1223"/>
      </w:r>
      <w:r w:rsidRPr="00C85F0F">
        <w:rPr>
          <w:rStyle w:val="af1"/>
          <w:szCs w:val="32"/>
          <w:rtl/>
        </w:rPr>
        <w:t>)</w:t>
      </w:r>
      <w:r w:rsidRPr="00C85F0F">
        <w:rPr>
          <w:rFonts w:hint="cs"/>
          <w:rtl/>
        </w:rPr>
        <w:t>.</w:t>
      </w:r>
    </w:p>
    <w:p w:rsidR="00471FD0" w:rsidRPr="00C85F0F" w:rsidRDefault="00471FD0" w:rsidP="000A76C7">
      <w:pPr>
        <w:pStyle w:val="afc"/>
        <w:numPr>
          <w:ilvl w:val="0"/>
          <w:numId w:val="164"/>
        </w:numPr>
      </w:pPr>
      <w:r w:rsidRPr="00C85F0F">
        <w:rPr>
          <w:rFonts w:hint="cs"/>
          <w:rtl/>
        </w:rPr>
        <w:t>الأصل في الأموال التحريم</w:t>
      </w:r>
      <w:r w:rsidRPr="00C85F0F">
        <w:rPr>
          <w:rStyle w:val="af1"/>
          <w:szCs w:val="32"/>
          <w:rtl/>
        </w:rPr>
        <w:t>(</w:t>
      </w:r>
      <w:r w:rsidRPr="00C85F0F">
        <w:rPr>
          <w:rStyle w:val="af1"/>
          <w:szCs w:val="32"/>
          <w:rtl/>
        </w:rPr>
        <w:footnoteReference w:id="1224"/>
      </w:r>
      <w:r w:rsidRPr="00C85F0F">
        <w:rPr>
          <w:rStyle w:val="af1"/>
          <w:szCs w:val="32"/>
          <w:rtl/>
        </w:rPr>
        <w:t>)</w:t>
      </w:r>
      <w:r w:rsidRPr="00C85F0F">
        <w:rPr>
          <w:rFonts w:hint="cs"/>
          <w:rtl/>
        </w:rPr>
        <w:t>.</w:t>
      </w:r>
    </w:p>
    <w:p w:rsidR="00471FD0" w:rsidRPr="00C85F0F" w:rsidRDefault="00471FD0" w:rsidP="000A76C7">
      <w:pPr>
        <w:pStyle w:val="afc"/>
        <w:numPr>
          <w:ilvl w:val="0"/>
          <w:numId w:val="164"/>
        </w:numPr>
      </w:pPr>
      <w:r w:rsidRPr="00C85F0F">
        <w:rPr>
          <w:rFonts w:hint="cs"/>
          <w:rtl/>
        </w:rPr>
        <w:t xml:space="preserve">الأصل عدمُ انتزاعِ </w:t>
      </w:r>
      <w:r w:rsidR="00E0721F">
        <w:rPr>
          <w:rFonts w:hint="cs"/>
          <w:rtl/>
        </w:rPr>
        <w:t>الإنسانِ المالَ</w:t>
      </w:r>
      <w:r w:rsidRPr="00C85F0F">
        <w:rPr>
          <w:rFonts w:hint="cs"/>
          <w:rtl/>
        </w:rPr>
        <w:t xml:space="preserve"> من غيره إلا بِرِضاه</w:t>
      </w:r>
      <w:r w:rsidRPr="00C85F0F">
        <w:rPr>
          <w:rStyle w:val="af1"/>
          <w:szCs w:val="32"/>
          <w:rtl/>
        </w:rPr>
        <w:t>(</w:t>
      </w:r>
      <w:r w:rsidRPr="00C85F0F">
        <w:rPr>
          <w:rStyle w:val="af1"/>
          <w:szCs w:val="32"/>
          <w:rtl/>
        </w:rPr>
        <w:footnoteReference w:id="1225"/>
      </w:r>
      <w:r w:rsidRPr="00C85F0F">
        <w:rPr>
          <w:rStyle w:val="af1"/>
          <w:szCs w:val="32"/>
          <w:rtl/>
        </w:rPr>
        <w:t>)</w:t>
      </w:r>
      <w:r w:rsidRPr="00C85F0F">
        <w:rPr>
          <w:rFonts w:hint="cs"/>
          <w:rtl/>
        </w:rPr>
        <w:t>.</w:t>
      </w:r>
    </w:p>
    <w:p w:rsidR="00471FD0" w:rsidRPr="00C85F0F" w:rsidRDefault="00471FD0" w:rsidP="000A76C7">
      <w:pPr>
        <w:pStyle w:val="afc"/>
        <w:numPr>
          <w:ilvl w:val="0"/>
          <w:numId w:val="164"/>
        </w:numPr>
      </w:pPr>
      <w:r w:rsidRPr="00C85F0F">
        <w:rPr>
          <w:rFonts w:hint="cs"/>
          <w:rtl/>
        </w:rPr>
        <w:t>الأصل عدم انتزاع ملْكِ الإنسان منه إلا برضاه</w:t>
      </w:r>
      <w:r w:rsidRPr="00C85F0F">
        <w:rPr>
          <w:rStyle w:val="af1"/>
          <w:szCs w:val="32"/>
          <w:rtl/>
        </w:rPr>
        <w:t>(</w:t>
      </w:r>
      <w:r w:rsidRPr="00C85F0F">
        <w:rPr>
          <w:rStyle w:val="af1"/>
          <w:szCs w:val="32"/>
          <w:rtl/>
        </w:rPr>
        <w:footnoteReference w:id="1226"/>
      </w:r>
      <w:r w:rsidRPr="00C85F0F">
        <w:rPr>
          <w:rStyle w:val="af1"/>
          <w:szCs w:val="32"/>
          <w:rtl/>
        </w:rPr>
        <w:t>)</w:t>
      </w:r>
      <w:r w:rsidRPr="00C85F0F">
        <w:rPr>
          <w:rFonts w:hint="cs"/>
          <w:rtl/>
        </w:rPr>
        <w:t>.</w:t>
      </w:r>
    </w:p>
    <w:p w:rsidR="00471FD0" w:rsidRPr="00C85F0F" w:rsidRDefault="00471FD0" w:rsidP="000A76C7">
      <w:pPr>
        <w:pStyle w:val="afc"/>
        <w:numPr>
          <w:ilvl w:val="0"/>
          <w:numId w:val="164"/>
        </w:numPr>
      </w:pPr>
      <w:r w:rsidRPr="00C85F0F">
        <w:rPr>
          <w:rFonts w:hint="cs"/>
          <w:rtl/>
        </w:rPr>
        <w:t>ليس لأحد أن يأخذ مالَ أحدٍ بلا سبَب شرعي</w:t>
      </w:r>
      <w:r w:rsidRPr="00C85F0F">
        <w:rPr>
          <w:rStyle w:val="af1"/>
          <w:szCs w:val="32"/>
          <w:rtl/>
        </w:rPr>
        <w:t>(</w:t>
      </w:r>
      <w:r w:rsidRPr="00C85F0F">
        <w:rPr>
          <w:rStyle w:val="af1"/>
          <w:szCs w:val="32"/>
          <w:rtl/>
        </w:rPr>
        <w:footnoteReference w:id="1227"/>
      </w:r>
      <w:r w:rsidRPr="00C85F0F">
        <w:rPr>
          <w:rStyle w:val="af1"/>
          <w:szCs w:val="32"/>
          <w:rtl/>
        </w:rPr>
        <w:t>)</w:t>
      </w:r>
      <w:r w:rsidRPr="00C85F0F">
        <w:rPr>
          <w:rFonts w:hint="cs"/>
          <w:rtl/>
        </w:rPr>
        <w:t>.</w:t>
      </w:r>
    </w:p>
    <w:p w:rsidR="008F4C64" w:rsidRPr="00C85F0F" w:rsidRDefault="00471FD0" w:rsidP="00E0721F">
      <w:pPr>
        <w:pStyle w:val="afc"/>
        <w:numPr>
          <w:ilvl w:val="0"/>
          <w:numId w:val="164"/>
        </w:numPr>
      </w:pPr>
      <w:r w:rsidRPr="00C85F0F">
        <w:rPr>
          <w:rFonts w:hint="cs"/>
          <w:rtl/>
        </w:rPr>
        <w:t>الأصل في دماء المعصومين وأموالهم وأعراضهم التحريم، فلا تَحِلُّ إلا بحق</w:t>
      </w:r>
      <w:r w:rsidRPr="00C85F0F">
        <w:rPr>
          <w:rStyle w:val="af1"/>
          <w:szCs w:val="32"/>
          <w:rtl/>
        </w:rPr>
        <w:t>(</w:t>
      </w:r>
      <w:r w:rsidRPr="00C85F0F">
        <w:rPr>
          <w:rStyle w:val="af1"/>
          <w:szCs w:val="32"/>
          <w:rtl/>
        </w:rPr>
        <w:footnoteReference w:id="1228"/>
      </w:r>
      <w:r w:rsidRPr="00C85F0F">
        <w:rPr>
          <w:rStyle w:val="af1"/>
          <w:szCs w:val="32"/>
          <w:rtl/>
        </w:rPr>
        <w:t>)</w:t>
      </w:r>
      <w:r w:rsidRPr="00C85F0F">
        <w:rPr>
          <w:rFonts w:hint="cs"/>
          <w:rtl/>
        </w:rPr>
        <w:t>.</w:t>
      </w:r>
    </w:p>
    <w:p w:rsidR="00471FD0" w:rsidRPr="00C85F0F" w:rsidRDefault="00471FD0" w:rsidP="000A76C7">
      <w:pPr>
        <w:pStyle w:val="afc"/>
        <w:numPr>
          <w:ilvl w:val="0"/>
          <w:numId w:val="164"/>
        </w:numPr>
      </w:pPr>
      <w:r w:rsidRPr="00C85F0F">
        <w:rPr>
          <w:rFonts w:hint="cs"/>
          <w:rtl/>
        </w:rPr>
        <w:t>الأصل في المعصوم تحريمُ دمه وماله وعِرضه، فلا تُباح إلا بحق</w:t>
      </w:r>
      <w:r w:rsidRPr="00C85F0F">
        <w:rPr>
          <w:rStyle w:val="af1"/>
          <w:szCs w:val="32"/>
          <w:rtl/>
        </w:rPr>
        <w:t>(</w:t>
      </w:r>
      <w:r w:rsidRPr="00C85F0F">
        <w:rPr>
          <w:rStyle w:val="af1"/>
          <w:szCs w:val="32"/>
          <w:rtl/>
        </w:rPr>
        <w:footnoteReference w:id="1229"/>
      </w:r>
      <w:r w:rsidRPr="00C85F0F">
        <w:rPr>
          <w:rStyle w:val="af1"/>
          <w:szCs w:val="32"/>
          <w:rtl/>
        </w:rPr>
        <w:t>)</w:t>
      </w:r>
      <w:r w:rsidRPr="00C85F0F">
        <w:rPr>
          <w:rFonts w:hint="cs"/>
          <w:rtl/>
        </w:rPr>
        <w:t>.</w:t>
      </w:r>
    </w:p>
    <w:p w:rsidR="00471FD0" w:rsidRPr="00C85F0F" w:rsidRDefault="00471FD0" w:rsidP="000A76C7">
      <w:pPr>
        <w:pStyle w:val="afc"/>
        <w:numPr>
          <w:ilvl w:val="0"/>
          <w:numId w:val="164"/>
        </w:numPr>
      </w:pPr>
      <w:r w:rsidRPr="00C85F0F">
        <w:rPr>
          <w:rFonts w:hint="cs"/>
          <w:rtl/>
        </w:rPr>
        <w:lastRenderedPageBreak/>
        <w:t>الأصل احترام أموال الناس، فلا يح</w:t>
      </w:r>
      <w:r w:rsidR="00D24526">
        <w:rPr>
          <w:rFonts w:hint="cs"/>
          <w:rtl/>
        </w:rPr>
        <w:t>ِ</w:t>
      </w:r>
      <w:r w:rsidRPr="00C85F0F">
        <w:rPr>
          <w:rFonts w:hint="cs"/>
          <w:rtl/>
        </w:rPr>
        <w:t>ل لأحد مالُ غيرِه إلا بطيب نفسه</w:t>
      </w:r>
      <w:r w:rsidRPr="00C85F0F">
        <w:rPr>
          <w:rStyle w:val="af1"/>
          <w:szCs w:val="32"/>
          <w:rtl/>
        </w:rPr>
        <w:t>(</w:t>
      </w:r>
      <w:r w:rsidRPr="00C85F0F">
        <w:rPr>
          <w:rStyle w:val="af1"/>
          <w:szCs w:val="32"/>
          <w:rtl/>
        </w:rPr>
        <w:footnoteReference w:id="1230"/>
      </w:r>
      <w:r w:rsidRPr="00C85F0F">
        <w:rPr>
          <w:rStyle w:val="af1"/>
          <w:szCs w:val="32"/>
          <w:rtl/>
        </w:rPr>
        <w:t>)</w:t>
      </w:r>
      <w:r w:rsidRPr="00C85F0F">
        <w:rPr>
          <w:rFonts w:hint="cs"/>
          <w:rtl/>
        </w:rPr>
        <w:t>.</w:t>
      </w:r>
    </w:p>
    <w:p w:rsidR="00471FD0" w:rsidRPr="00C85F0F" w:rsidRDefault="00471FD0" w:rsidP="000A76C7">
      <w:pPr>
        <w:pStyle w:val="afc"/>
        <w:numPr>
          <w:ilvl w:val="0"/>
          <w:numId w:val="164"/>
        </w:numPr>
        <w:rPr>
          <w:rtl/>
        </w:rPr>
      </w:pPr>
      <w:r w:rsidRPr="00C85F0F">
        <w:rPr>
          <w:rFonts w:hint="cs"/>
          <w:rtl/>
        </w:rPr>
        <w:t>أموال الناس محرَّمة على غيرهم إلا بما أَحلَّ الله من بيعٍ أو غيره</w:t>
      </w:r>
      <w:r w:rsidRPr="00C85F0F">
        <w:rPr>
          <w:rStyle w:val="af1"/>
          <w:szCs w:val="32"/>
          <w:rtl/>
        </w:rPr>
        <w:t>(</w:t>
      </w:r>
      <w:r w:rsidRPr="00C85F0F">
        <w:rPr>
          <w:rStyle w:val="af1"/>
          <w:szCs w:val="32"/>
          <w:rtl/>
        </w:rPr>
        <w:footnoteReference w:id="1231"/>
      </w:r>
      <w:r w:rsidRPr="00C85F0F">
        <w:rPr>
          <w:rStyle w:val="af1"/>
          <w:szCs w:val="32"/>
          <w:rtl/>
        </w:rPr>
        <w:t>)</w:t>
      </w:r>
      <w:r w:rsidRPr="00C85F0F">
        <w:rPr>
          <w:rFonts w:hint="cs"/>
          <w:rtl/>
        </w:rPr>
        <w:t>.</w:t>
      </w:r>
    </w:p>
    <w:p w:rsidR="00471FD0" w:rsidRPr="00C85F0F" w:rsidRDefault="002226EA" w:rsidP="004472DC">
      <w:pPr>
        <w:pStyle w:val="aff3"/>
        <w:tabs>
          <w:tab w:val="left" w:pos="5579"/>
        </w:tabs>
        <w:rPr>
          <w:rtl/>
        </w:rPr>
      </w:pPr>
      <w:bookmarkStart w:id="238" w:name="_Toc334046461"/>
      <w:r>
        <w:rPr>
          <w:rFonts w:hint="cs"/>
          <w:rtl/>
        </w:rPr>
        <w:t xml:space="preserve">                                      المطلب</w:t>
      </w:r>
      <w:r w:rsidR="008F4C64">
        <w:rPr>
          <w:rFonts w:hint="cs"/>
          <w:rtl/>
        </w:rPr>
        <w:t xml:space="preserve"> </w:t>
      </w:r>
      <w:r w:rsidR="00471FD0" w:rsidRPr="00C85F0F">
        <w:rPr>
          <w:rFonts w:hint="cs"/>
          <w:rtl/>
        </w:rPr>
        <w:t>الثاني</w:t>
      </w:r>
      <w:r w:rsidR="006D30EA" w:rsidRPr="00C85F0F">
        <w:rPr>
          <w:rFonts w:hint="eastAsia"/>
          <w:rtl/>
        </w:rPr>
        <w:t> :</w:t>
      </w:r>
      <w:r w:rsidR="004472DC">
        <w:rPr>
          <w:rtl/>
        </w:rPr>
        <w:tab/>
      </w:r>
      <w:r w:rsidR="004472DC">
        <w:rPr>
          <w:rtl/>
        </w:rPr>
        <w:tab/>
      </w:r>
      <w:r w:rsidR="004472DC">
        <w:rPr>
          <w:rtl/>
        </w:rPr>
        <w:tab/>
      </w:r>
      <w:r w:rsidR="006D30EA" w:rsidRPr="00C85F0F">
        <w:rPr>
          <w:rFonts w:hint="cs"/>
          <w:rtl/>
        </w:rPr>
        <w:br/>
      </w:r>
      <w:r>
        <w:rPr>
          <w:rFonts w:hint="cs"/>
          <w:rtl/>
        </w:rPr>
        <w:t xml:space="preserve">       </w:t>
      </w:r>
      <w:r w:rsidR="008F4C64">
        <w:rPr>
          <w:rFonts w:hint="cs"/>
          <w:rtl/>
        </w:rPr>
        <w:t xml:space="preserve">                               </w:t>
      </w:r>
      <w:r w:rsidR="00D24526">
        <w:rPr>
          <w:rFonts w:hint="cs"/>
          <w:rtl/>
        </w:rPr>
        <w:t xml:space="preserve"> </w:t>
      </w:r>
      <w:r w:rsidR="00471FD0" w:rsidRPr="00C85F0F">
        <w:rPr>
          <w:rFonts w:hint="cs"/>
          <w:rtl/>
        </w:rPr>
        <w:t>شرح القاعدة</w:t>
      </w:r>
      <w:bookmarkEnd w:id="238"/>
    </w:p>
    <w:p w:rsidR="002948BC" w:rsidRDefault="00471FD0" w:rsidP="00EA2BD7">
      <w:pPr>
        <w:pStyle w:val="53"/>
        <w:rPr>
          <w:rtl/>
        </w:rPr>
      </w:pPr>
      <w:r w:rsidRPr="00EA2BD7">
        <w:rPr>
          <w:rFonts w:hint="cs"/>
          <w:rtl/>
        </w:rPr>
        <w:t>الأموال</w:t>
      </w:r>
      <w:r w:rsidR="00AB0B9E" w:rsidRPr="00EA2BD7">
        <w:fldChar w:fldCharType="begin"/>
      </w:r>
      <w:r w:rsidR="00D65D30" w:rsidRPr="00EA2BD7">
        <w:instrText>XE</w:instrText>
      </w:r>
      <w:r w:rsidR="00D65D30" w:rsidRPr="00EA2BD7">
        <w:rPr>
          <w:rtl/>
        </w:rPr>
        <w:instrText xml:space="preserve"> "</w:instrText>
      </w:r>
      <w:r w:rsidR="00D65D30" w:rsidRPr="00EA2BD7">
        <w:rPr>
          <w:rFonts w:hint="cs"/>
          <w:rtl/>
        </w:rPr>
        <w:instrText>المال</w:instrText>
      </w:r>
      <w:r w:rsidR="00D65D30" w:rsidRPr="00EA2BD7">
        <w:rPr>
          <w:rtl/>
        </w:rPr>
        <w:instrText>" \</w:instrText>
      </w:r>
      <w:r w:rsidR="00D65D30" w:rsidRPr="00EA2BD7">
        <w:instrText>fm</w:instrText>
      </w:r>
      <w:r w:rsidR="00AB0B9E" w:rsidRPr="00EA2BD7">
        <w:fldChar w:fldCharType="end"/>
      </w:r>
      <w:r>
        <w:rPr>
          <w:rFonts w:hint="cs"/>
          <w:rtl/>
        </w:rPr>
        <w:t xml:space="preserve"> لغة:</w:t>
      </w:r>
    </w:p>
    <w:p w:rsidR="00471FD0" w:rsidRPr="008C0CA5" w:rsidRDefault="00471FD0" w:rsidP="00597C20">
      <w:pPr>
        <w:ind w:firstLine="720"/>
        <w:rPr>
          <w:rtl/>
        </w:rPr>
      </w:pPr>
      <w:r>
        <w:rPr>
          <w:rFonts w:hint="cs"/>
          <w:rtl/>
        </w:rPr>
        <w:t>جمع مالٍ، وهو ما مَلَكْتَه مِن كلِّ شيءٍ</w:t>
      </w:r>
      <w:r w:rsidRPr="00C821A1">
        <w:rPr>
          <w:rStyle w:val="af1"/>
          <w:szCs w:val="32"/>
          <w:rtl/>
        </w:rPr>
        <w:t>(</w:t>
      </w:r>
      <w:r w:rsidRPr="00C821A1">
        <w:rPr>
          <w:rStyle w:val="af1"/>
          <w:szCs w:val="32"/>
          <w:rtl/>
        </w:rPr>
        <w:footnoteReference w:id="1232"/>
      </w:r>
      <w:r w:rsidRPr="00C821A1">
        <w:rPr>
          <w:rStyle w:val="af1"/>
          <w:szCs w:val="32"/>
          <w:rtl/>
        </w:rPr>
        <w:t>)</w:t>
      </w:r>
      <w:r>
        <w:rPr>
          <w:rFonts w:hint="cs"/>
          <w:rtl/>
        </w:rPr>
        <w:t>.</w:t>
      </w:r>
    </w:p>
    <w:p w:rsidR="002948BC" w:rsidRDefault="00471FD0" w:rsidP="00597C20">
      <w:pPr>
        <w:pStyle w:val="53"/>
        <w:rPr>
          <w:rtl/>
        </w:rPr>
      </w:pPr>
      <w:r>
        <w:rPr>
          <w:rFonts w:hint="cs"/>
          <w:rtl/>
        </w:rPr>
        <w:t>المال اصطلاحا:</w:t>
      </w:r>
    </w:p>
    <w:p w:rsidR="00471FD0" w:rsidRDefault="00471FD0" w:rsidP="00597C20">
      <w:pPr>
        <w:ind w:firstLine="720"/>
        <w:rPr>
          <w:rtl/>
        </w:rPr>
      </w:pPr>
      <w:r>
        <w:rPr>
          <w:rFonts w:hint="cs"/>
          <w:rtl/>
        </w:rPr>
        <w:t>ما فيه منفعةٌ مباحة لغير حاجة أو ضرورة</w:t>
      </w:r>
      <w:r w:rsidRPr="00C821A1">
        <w:rPr>
          <w:rStyle w:val="af1"/>
          <w:szCs w:val="32"/>
          <w:rtl/>
        </w:rPr>
        <w:t>(</w:t>
      </w:r>
      <w:r w:rsidRPr="00C821A1">
        <w:rPr>
          <w:rStyle w:val="af1"/>
          <w:szCs w:val="32"/>
          <w:rtl/>
        </w:rPr>
        <w:footnoteReference w:id="1233"/>
      </w:r>
      <w:r w:rsidRPr="00C821A1">
        <w:rPr>
          <w:rStyle w:val="af1"/>
          <w:szCs w:val="32"/>
          <w:rtl/>
        </w:rPr>
        <w:t>)</w:t>
      </w:r>
      <w:r>
        <w:rPr>
          <w:rFonts w:hint="cs"/>
          <w:rtl/>
        </w:rPr>
        <w:t>.</w:t>
      </w:r>
    </w:p>
    <w:p w:rsidR="002948BC" w:rsidRDefault="00471FD0" w:rsidP="00597C20">
      <w:pPr>
        <w:pStyle w:val="53"/>
        <w:rPr>
          <w:rtl/>
        </w:rPr>
      </w:pPr>
      <w:r>
        <w:rPr>
          <w:rFonts w:hint="cs"/>
          <w:rtl/>
        </w:rPr>
        <w:t>المحترَمين</w:t>
      </w:r>
      <w:r w:rsidR="00AB0B9E">
        <w:rPr>
          <w:rtl/>
        </w:rPr>
        <w:fldChar w:fldCharType="begin"/>
      </w:r>
      <w:r w:rsidR="00D65D30" w:rsidRPr="00C85F0F">
        <w:rPr>
          <w:bCs w:val="0"/>
        </w:rPr>
        <w:instrText>XE</w:instrText>
      </w:r>
      <w:r w:rsidR="00D65D30" w:rsidRPr="00C85F0F">
        <w:rPr>
          <w:bCs w:val="0"/>
          <w:rtl/>
        </w:rPr>
        <w:instrText xml:space="preserve"> "</w:instrText>
      </w:r>
      <w:r w:rsidR="00D65D30" w:rsidRPr="00C85F0F">
        <w:rPr>
          <w:rFonts w:hint="cs"/>
          <w:bCs w:val="0"/>
          <w:rtl/>
        </w:rPr>
        <w:instrText>المحترَم</w:instrText>
      </w:r>
      <w:r w:rsidR="00D65D30" w:rsidRPr="00C85F0F">
        <w:rPr>
          <w:bCs w:val="0"/>
          <w:rtl/>
        </w:rPr>
        <w:instrText>" \</w:instrText>
      </w:r>
      <w:r w:rsidR="00D65D30" w:rsidRPr="00C85F0F">
        <w:rPr>
          <w:bCs w:val="0"/>
        </w:rPr>
        <w:instrText>f</w:instrText>
      </w:r>
      <w:r w:rsidR="00D65D30" w:rsidRPr="00D65D30">
        <w:instrText>m</w:instrText>
      </w:r>
      <w:r w:rsidR="00AB0B9E">
        <w:rPr>
          <w:rtl/>
        </w:rPr>
        <w:fldChar w:fldCharType="end"/>
      </w:r>
      <w:r>
        <w:rPr>
          <w:rFonts w:hint="cs"/>
          <w:rtl/>
        </w:rPr>
        <w:t xml:space="preserve"> لغة:</w:t>
      </w:r>
    </w:p>
    <w:p w:rsidR="00471FD0" w:rsidRPr="002A3491" w:rsidRDefault="00471FD0" w:rsidP="00597C20">
      <w:pPr>
        <w:ind w:firstLine="720"/>
        <w:rPr>
          <w:rtl/>
        </w:rPr>
      </w:pPr>
      <w:r w:rsidRPr="0053762E">
        <w:rPr>
          <w:rFonts w:hint="cs"/>
          <w:rtl/>
        </w:rPr>
        <w:t>جمع م</w:t>
      </w:r>
      <w:r>
        <w:rPr>
          <w:rFonts w:hint="cs"/>
          <w:rtl/>
        </w:rPr>
        <w:t>ُ</w:t>
      </w:r>
      <w:r w:rsidRPr="0053762E">
        <w:rPr>
          <w:rFonts w:hint="cs"/>
          <w:rtl/>
        </w:rPr>
        <w:t xml:space="preserve">حترَم، </w:t>
      </w:r>
      <w:r w:rsidRPr="0053762E">
        <w:rPr>
          <w:rFonts w:hint="cs"/>
          <w:color w:val="auto"/>
          <w:rtl/>
        </w:rPr>
        <w:t>و</w:t>
      </w:r>
      <w:r w:rsidRPr="0053762E">
        <w:rPr>
          <w:rFonts w:ascii="Traditional Arabic" w:hAnsi="Traditional Arabic"/>
          <w:noProof w:val="0"/>
          <w:color w:val="auto"/>
          <w:rtl/>
          <w:lang w:eastAsia="en-US"/>
        </w:rPr>
        <w:t>المحترم ما له ح</w:t>
      </w:r>
      <w:r w:rsidRPr="0053762E">
        <w:rPr>
          <w:rFonts w:ascii="Traditional Arabic" w:hAnsi="Traditional Arabic" w:hint="cs"/>
          <w:noProof w:val="0"/>
          <w:color w:val="auto"/>
          <w:rtl/>
          <w:lang w:eastAsia="en-US"/>
        </w:rPr>
        <w:t>ُ</w:t>
      </w:r>
      <w:r w:rsidRPr="0053762E">
        <w:rPr>
          <w:rFonts w:ascii="Traditional Arabic" w:hAnsi="Traditional Arabic"/>
          <w:noProof w:val="0"/>
          <w:color w:val="auto"/>
          <w:rtl/>
          <w:lang w:eastAsia="en-US"/>
        </w:rPr>
        <w:t>ر</w:t>
      </w:r>
      <w:r w:rsidRPr="0053762E">
        <w:rPr>
          <w:rFonts w:ascii="Traditional Arabic" w:hAnsi="Traditional Arabic" w:hint="cs"/>
          <w:noProof w:val="0"/>
          <w:color w:val="auto"/>
          <w:rtl/>
          <w:lang w:eastAsia="en-US"/>
        </w:rPr>
        <w:t>ْ</w:t>
      </w:r>
      <w:r w:rsidRPr="0053762E">
        <w:rPr>
          <w:rFonts w:ascii="Traditional Arabic" w:hAnsi="Traditional Arabic"/>
          <w:noProof w:val="0"/>
          <w:color w:val="auto"/>
          <w:rtl/>
          <w:lang w:eastAsia="en-US"/>
        </w:rPr>
        <w:t>مة</w:t>
      </w:r>
      <w:r>
        <w:rPr>
          <w:rFonts w:ascii="Traditional Arabic" w:hAnsi="Traditional Arabic" w:hint="cs"/>
          <w:noProof w:val="0"/>
          <w:color w:val="auto"/>
          <w:rtl/>
          <w:lang w:eastAsia="en-US"/>
        </w:rPr>
        <w:t>ٌ واحْتِرامٌ</w:t>
      </w:r>
      <w:r w:rsidRPr="0053762E">
        <w:rPr>
          <w:rFonts w:ascii="Traditional Arabic" w:hAnsi="Traditional Arabic" w:hint="cs"/>
          <w:noProof w:val="0"/>
          <w:color w:val="auto"/>
          <w:rtl/>
          <w:lang w:eastAsia="en-US"/>
        </w:rPr>
        <w:t>، والحرمة</w:t>
      </w:r>
      <w:r>
        <w:rPr>
          <w:rFonts w:ascii="Traditional Arabic" w:hAnsi="Traditional Arabic" w:hint="cs"/>
          <w:noProof w:val="0"/>
          <w:color w:val="auto"/>
          <w:rtl/>
          <w:lang w:eastAsia="en-US"/>
        </w:rPr>
        <w:t>:</w:t>
      </w:r>
      <w:r w:rsidRPr="0053762E">
        <w:rPr>
          <w:rFonts w:ascii="Traditional Arabic" w:hAnsi="Traditional Arabic"/>
          <w:noProof w:val="0"/>
          <w:rtl/>
          <w:lang w:eastAsia="en-US"/>
        </w:rPr>
        <w:t>ما لا يَحِلُّ انْتِهاكُه</w:t>
      </w:r>
      <w:r w:rsidRPr="00C821A1">
        <w:rPr>
          <w:rStyle w:val="af1"/>
          <w:szCs w:val="32"/>
          <w:rtl/>
        </w:rPr>
        <w:t>(</w:t>
      </w:r>
      <w:r w:rsidRPr="00C821A1">
        <w:rPr>
          <w:rStyle w:val="af1"/>
          <w:szCs w:val="32"/>
          <w:rtl/>
        </w:rPr>
        <w:footnoteReference w:id="1234"/>
      </w:r>
      <w:r w:rsidRPr="00C821A1">
        <w:rPr>
          <w:rStyle w:val="af1"/>
          <w:szCs w:val="32"/>
          <w:rtl/>
        </w:rPr>
        <w:t>)</w:t>
      </w:r>
      <w:r>
        <w:rPr>
          <w:rFonts w:hint="cs"/>
          <w:rtl/>
        </w:rPr>
        <w:t>.</w:t>
      </w:r>
    </w:p>
    <w:p w:rsidR="00F228A9" w:rsidRDefault="00471FD0" w:rsidP="00597C20">
      <w:pPr>
        <w:rPr>
          <w:b/>
          <w:bCs/>
          <w:rtl/>
        </w:rPr>
      </w:pPr>
      <w:r w:rsidRPr="00F336ED">
        <w:rPr>
          <w:rFonts w:hint="cs"/>
          <w:b/>
          <w:bCs/>
          <w:rtl/>
        </w:rPr>
        <w:t>وأموال المحتر</w:t>
      </w:r>
      <w:r>
        <w:rPr>
          <w:rFonts w:hint="cs"/>
          <w:b/>
          <w:bCs/>
          <w:rtl/>
        </w:rPr>
        <w:t>َ</w:t>
      </w:r>
      <w:r w:rsidRPr="00F336ED">
        <w:rPr>
          <w:rFonts w:hint="cs"/>
          <w:b/>
          <w:bCs/>
          <w:rtl/>
        </w:rPr>
        <w:t>مين</w:t>
      </w:r>
      <w:r w:rsidRPr="00C821A1">
        <w:rPr>
          <w:rStyle w:val="af1"/>
          <w:szCs w:val="32"/>
          <w:rtl/>
        </w:rPr>
        <w:t>(</w:t>
      </w:r>
      <w:r w:rsidRPr="00C821A1">
        <w:rPr>
          <w:rStyle w:val="af1"/>
          <w:szCs w:val="32"/>
          <w:rtl/>
        </w:rPr>
        <w:footnoteReference w:id="1235"/>
      </w:r>
      <w:r w:rsidRPr="00C821A1">
        <w:rPr>
          <w:rStyle w:val="af1"/>
          <w:szCs w:val="32"/>
          <w:rtl/>
        </w:rPr>
        <w:t>)</w:t>
      </w:r>
      <w:r>
        <w:rPr>
          <w:rFonts w:hint="cs"/>
          <w:rtl/>
        </w:rPr>
        <w:t xml:space="preserve"> هي أموال المسلمين وأموال المعاهَدين</w:t>
      </w:r>
      <w:r w:rsidRPr="00C821A1">
        <w:rPr>
          <w:rStyle w:val="af1"/>
          <w:szCs w:val="32"/>
          <w:rtl/>
        </w:rPr>
        <w:t>(</w:t>
      </w:r>
      <w:r w:rsidRPr="00C821A1">
        <w:rPr>
          <w:rStyle w:val="af1"/>
          <w:szCs w:val="32"/>
          <w:rtl/>
        </w:rPr>
        <w:footnoteReference w:id="1236"/>
      </w:r>
      <w:r w:rsidRPr="00C821A1">
        <w:rPr>
          <w:rStyle w:val="af1"/>
          <w:szCs w:val="32"/>
          <w:rtl/>
        </w:rPr>
        <w:t>)</w:t>
      </w:r>
      <w:r>
        <w:rPr>
          <w:rFonts w:hint="cs"/>
          <w:rtl/>
        </w:rPr>
        <w:t>.</w:t>
      </w:r>
    </w:p>
    <w:p w:rsidR="002948BC" w:rsidRDefault="00471FD0" w:rsidP="00597C20">
      <w:pPr>
        <w:pStyle w:val="53"/>
        <w:rPr>
          <w:b w:val="0"/>
          <w:rtl/>
        </w:rPr>
      </w:pPr>
      <w:r w:rsidRPr="00541523">
        <w:rPr>
          <w:rFonts w:hint="cs"/>
          <w:b w:val="0"/>
          <w:rtl/>
        </w:rPr>
        <w:lastRenderedPageBreak/>
        <w:t>العصمة</w:t>
      </w:r>
      <w:r w:rsidR="00AB0B9E">
        <w:rPr>
          <w:b w:val="0"/>
          <w:rtl/>
        </w:rPr>
        <w:fldChar w:fldCharType="begin"/>
      </w:r>
      <w:r w:rsidR="00D65D30" w:rsidRPr="00C85F0F">
        <w:rPr>
          <w:bCs w:val="0"/>
        </w:rPr>
        <w:instrText>XE</w:instrText>
      </w:r>
      <w:r w:rsidR="00D65D30" w:rsidRPr="00C85F0F">
        <w:rPr>
          <w:bCs w:val="0"/>
          <w:rtl/>
        </w:rPr>
        <w:instrText xml:space="preserve"> "</w:instrText>
      </w:r>
      <w:r w:rsidR="00D65D30" w:rsidRPr="00C85F0F">
        <w:rPr>
          <w:rFonts w:hint="cs"/>
          <w:bCs w:val="0"/>
          <w:rtl/>
        </w:rPr>
        <w:instrText>العصمة</w:instrText>
      </w:r>
      <w:r w:rsidR="00D65D30" w:rsidRPr="00C85F0F">
        <w:rPr>
          <w:bCs w:val="0"/>
          <w:rtl/>
        </w:rPr>
        <w:instrText>" \</w:instrText>
      </w:r>
      <w:r w:rsidR="00D65D30" w:rsidRPr="00C85F0F">
        <w:rPr>
          <w:bCs w:val="0"/>
        </w:rPr>
        <w:instrText>f</w:instrText>
      </w:r>
      <w:r w:rsidR="00D65D30" w:rsidRPr="00D65D30">
        <w:instrText>m</w:instrText>
      </w:r>
      <w:r w:rsidR="00AB0B9E">
        <w:rPr>
          <w:b w:val="0"/>
          <w:rtl/>
        </w:rPr>
        <w:fldChar w:fldCharType="end"/>
      </w:r>
      <w:r>
        <w:rPr>
          <w:rFonts w:hint="cs"/>
          <w:b w:val="0"/>
          <w:rtl/>
        </w:rPr>
        <w:t xml:space="preserve"> لغة:</w:t>
      </w:r>
    </w:p>
    <w:p w:rsidR="00E0721F" w:rsidRDefault="00471FD0" w:rsidP="00597C20">
      <w:pPr>
        <w:ind w:firstLine="720"/>
        <w:rPr>
          <w:rtl/>
        </w:rPr>
      </w:pPr>
      <w:r>
        <w:rPr>
          <w:rFonts w:hint="cs"/>
          <w:rtl/>
        </w:rPr>
        <w:t>مصدر عَصَم يَعْصِم عِصْمةً.</w:t>
      </w:r>
    </w:p>
    <w:p w:rsidR="00F228A9" w:rsidRDefault="00471FD0" w:rsidP="00597C20">
      <w:pPr>
        <w:ind w:firstLine="720"/>
        <w:rPr>
          <w:rFonts w:ascii="Traditional Arabic" w:hAnsi="Traditional Arabic"/>
          <w:b/>
          <w:bCs/>
          <w:noProof w:val="0"/>
          <w:sz w:val="44"/>
          <w:szCs w:val="44"/>
          <w:rtl/>
          <w:lang w:eastAsia="en-US"/>
        </w:rPr>
      </w:pPr>
      <w:r>
        <w:rPr>
          <w:rFonts w:hint="cs"/>
          <w:rtl/>
        </w:rPr>
        <w:t xml:space="preserve">يقول ابن فارس </w:t>
      </w:r>
      <w:r w:rsidR="009A0575" w:rsidRPr="005D5694">
        <w:rPr>
          <w:rFonts w:ascii="Traditional Arabic" w:hAnsi="Traditional Arabic" w:cs="CTraditional Arabic" w:hint="cs"/>
          <w:rtl/>
        </w:rPr>
        <w:t>/</w:t>
      </w:r>
      <w:r>
        <w:rPr>
          <w:rFonts w:hint="cs"/>
          <w:rtl/>
        </w:rPr>
        <w:t xml:space="preserve">: </w:t>
      </w:r>
      <w:r w:rsidR="00B76414">
        <w:rPr>
          <w:rFonts w:hint="cs"/>
          <w:rtl/>
        </w:rPr>
        <w:t>(</w:t>
      </w:r>
      <w:r w:rsidRPr="00541523">
        <w:rPr>
          <w:rFonts w:ascii="Traditional Arabic" w:hAnsi="Traditional Arabic"/>
          <w:noProof w:val="0"/>
          <w:rtl/>
          <w:lang w:eastAsia="en-US"/>
        </w:rPr>
        <w:t xml:space="preserve">العين والصاد والميم أصل واحد صحيح يدل على </w:t>
      </w:r>
      <w:r w:rsidRPr="008F4C64">
        <w:rPr>
          <w:rFonts w:ascii="Traditional Arabic" w:hAnsi="Traditional Arabic"/>
          <w:noProof w:val="0"/>
          <w:rtl/>
          <w:lang w:eastAsia="en-US"/>
        </w:rPr>
        <w:t>إمساك</w:t>
      </w:r>
      <w:r w:rsidRPr="008F4C64">
        <w:rPr>
          <w:rFonts w:ascii="Traditional Arabic" w:hAnsi="Traditional Arabic" w:hint="cs"/>
          <w:noProof w:val="0"/>
          <w:rtl/>
          <w:lang w:eastAsia="en-US"/>
        </w:rPr>
        <w:t>ٍ</w:t>
      </w:r>
      <w:r w:rsidRPr="008F4C64">
        <w:rPr>
          <w:rFonts w:ascii="Traditional Arabic" w:hAnsi="Traditional Arabic"/>
          <w:noProof w:val="0"/>
          <w:rtl/>
          <w:lang w:eastAsia="en-US"/>
        </w:rPr>
        <w:t xml:space="preserve"> وم</w:t>
      </w:r>
      <w:r w:rsidRPr="008F4C64">
        <w:rPr>
          <w:rFonts w:ascii="Traditional Arabic" w:hAnsi="Traditional Arabic" w:hint="cs"/>
          <w:noProof w:val="0"/>
          <w:rtl/>
          <w:lang w:eastAsia="en-US"/>
        </w:rPr>
        <w:t>َ</w:t>
      </w:r>
      <w:r w:rsidRPr="008F4C64">
        <w:rPr>
          <w:rFonts w:ascii="Traditional Arabic" w:hAnsi="Traditional Arabic"/>
          <w:noProof w:val="0"/>
          <w:rtl/>
          <w:lang w:eastAsia="en-US"/>
        </w:rPr>
        <w:t>ن</w:t>
      </w:r>
      <w:r w:rsidRPr="008F4C64">
        <w:rPr>
          <w:rFonts w:ascii="Traditional Arabic" w:hAnsi="Traditional Arabic" w:hint="cs"/>
          <w:noProof w:val="0"/>
          <w:rtl/>
          <w:lang w:eastAsia="en-US"/>
        </w:rPr>
        <w:t>ْ</w:t>
      </w:r>
      <w:r w:rsidRPr="008F4C64">
        <w:rPr>
          <w:rFonts w:ascii="Traditional Arabic" w:hAnsi="Traditional Arabic"/>
          <w:noProof w:val="0"/>
          <w:rtl/>
          <w:lang w:eastAsia="en-US"/>
        </w:rPr>
        <w:t>ع وم</w:t>
      </w:r>
      <w:r w:rsidRPr="008F4C64">
        <w:rPr>
          <w:rFonts w:ascii="Traditional Arabic" w:hAnsi="Traditional Arabic" w:hint="cs"/>
          <w:noProof w:val="0"/>
          <w:rtl/>
          <w:lang w:eastAsia="en-US"/>
        </w:rPr>
        <w:t>ُ</w:t>
      </w:r>
      <w:r w:rsidRPr="008F4C64">
        <w:rPr>
          <w:rFonts w:ascii="Traditional Arabic" w:hAnsi="Traditional Arabic"/>
          <w:noProof w:val="0"/>
          <w:rtl/>
          <w:lang w:eastAsia="en-US"/>
        </w:rPr>
        <w:t>لاز</w:t>
      </w:r>
      <w:r w:rsidRPr="008F4C64">
        <w:rPr>
          <w:rFonts w:ascii="Traditional Arabic" w:hAnsi="Traditional Arabic" w:hint="cs"/>
          <w:noProof w:val="0"/>
          <w:rtl/>
          <w:lang w:eastAsia="en-US"/>
        </w:rPr>
        <w:t>َ</w:t>
      </w:r>
      <w:r w:rsidRPr="008F4C64">
        <w:rPr>
          <w:rFonts w:ascii="Traditional Arabic" w:hAnsi="Traditional Arabic"/>
          <w:noProof w:val="0"/>
          <w:rtl/>
          <w:lang w:eastAsia="en-US"/>
        </w:rPr>
        <w:t>مة</w:t>
      </w:r>
      <w:r w:rsidRPr="00541523">
        <w:rPr>
          <w:rFonts w:ascii="Traditional Arabic" w:hAnsi="Traditional Arabic"/>
          <w:noProof w:val="0"/>
          <w:rtl/>
          <w:lang w:eastAsia="en-US"/>
        </w:rPr>
        <w:t>. والمعنى في ذلك كل</w:t>
      </w:r>
      <w:r w:rsidR="007174AE">
        <w:rPr>
          <w:rFonts w:ascii="Traditional Arabic" w:hAnsi="Traditional Arabic" w:hint="cs"/>
          <w:noProof w:val="0"/>
          <w:rtl/>
          <w:lang w:eastAsia="en-US"/>
        </w:rPr>
        <w:t>ِّ</w:t>
      </w:r>
      <w:r w:rsidRPr="00541523">
        <w:rPr>
          <w:rFonts w:ascii="Traditional Arabic" w:hAnsi="Traditional Arabic"/>
          <w:noProof w:val="0"/>
          <w:rtl/>
          <w:lang w:eastAsia="en-US"/>
        </w:rPr>
        <w:t>ه معنى واحد. من ذلك العصمة: أن يعص</w:t>
      </w:r>
      <w:r>
        <w:rPr>
          <w:rFonts w:ascii="Traditional Arabic" w:hAnsi="Traditional Arabic" w:hint="cs"/>
          <w:noProof w:val="0"/>
          <w:rtl/>
          <w:lang w:eastAsia="en-US"/>
        </w:rPr>
        <w:t>ِ</w:t>
      </w:r>
      <w:r w:rsidRPr="00541523">
        <w:rPr>
          <w:rFonts w:ascii="Traditional Arabic" w:hAnsi="Traditional Arabic"/>
          <w:noProof w:val="0"/>
          <w:rtl/>
          <w:lang w:eastAsia="en-US"/>
        </w:rPr>
        <w:t>م الله</w:t>
      </w:r>
      <w:r>
        <w:rPr>
          <w:rFonts w:ascii="Traditional Arabic" w:hAnsi="Traditional Arabic" w:hint="cs"/>
          <w:noProof w:val="0"/>
          <w:rtl/>
          <w:lang w:eastAsia="en-US"/>
        </w:rPr>
        <w:t>ُ</w:t>
      </w:r>
      <w:r w:rsidRPr="00541523">
        <w:rPr>
          <w:rFonts w:ascii="Traditional Arabic" w:hAnsi="Traditional Arabic"/>
          <w:noProof w:val="0"/>
          <w:rtl/>
          <w:lang w:eastAsia="en-US"/>
        </w:rPr>
        <w:t xml:space="preserve"> - تعالى - ع</w:t>
      </w:r>
      <w:r>
        <w:rPr>
          <w:rFonts w:ascii="Traditional Arabic" w:hAnsi="Traditional Arabic" w:hint="cs"/>
          <w:noProof w:val="0"/>
          <w:rtl/>
          <w:lang w:eastAsia="en-US"/>
        </w:rPr>
        <w:t>َ</w:t>
      </w:r>
      <w:r w:rsidRPr="00541523">
        <w:rPr>
          <w:rFonts w:ascii="Traditional Arabic" w:hAnsi="Traditional Arabic"/>
          <w:noProof w:val="0"/>
          <w:rtl/>
          <w:lang w:eastAsia="en-US"/>
        </w:rPr>
        <w:t>ب</w:t>
      </w:r>
      <w:r>
        <w:rPr>
          <w:rFonts w:ascii="Traditional Arabic" w:hAnsi="Traditional Arabic" w:hint="cs"/>
          <w:noProof w:val="0"/>
          <w:rtl/>
          <w:lang w:eastAsia="en-US"/>
        </w:rPr>
        <w:t>ْ</w:t>
      </w:r>
      <w:r w:rsidRPr="00541523">
        <w:rPr>
          <w:rFonts w:ascii="Traditional Arabic" w:hAnsi="Traditional Arabic"/>
          <w:noProof w:val="0"/>
          <w:rtl/>
          <w:lang w:eastAsia="en-US"/>
        </w:rPr>
        <w:t>د</w:t>
      </w:r>
      <w:r>
        <w:rPr>
          <w:rFonts w:ascii="Traditional Arabic" w:hAnsi="Traditional Arabic" w:hint="cs"/>
          <w:noProof w:val="0"/>
          <w:rtl/>
          <w:lang w:eastAsia="en-US"/>
        </w:rPr>
        <w:t>َ</w:t>
      </w:r>
      <w:r w:rsidRPr="00541523">
        <w:rPr>
          <w:rFonts w:ascii="Traditional Arabic" w:hAnsi="Traditional Arabic"/>
          <w:noProof w:val="0"/>
          <w:rtl/>
          <w:lang w:eastAsia="en-US"/>
        </w:rPr>
        <w:t>ه م</w:t>
      </w:r>
      <w:r>
        <w:rPr>
          <w:rFonts w:ascii="Traditional Arabic" w:hAnsi="Traditional Arabic" w:hint="cs"/>
          <w:noProof w:val="0"/>
          <w:rtl/>
          <w:lang w:eastAsia="en-US"/>
        </w:rPr>
        <w:t>ِ</w:t>
      </w:r>
      <w:r w:rsidRPr="00541523">
        <w:rPr>
          <w:rFonts w:ascii="Traditional Arabic" w:hAnsi="Traditional Arabic"/>
          <w:noProof w:val="0"/>
          <w:rtl/>
          <w:lang w:eastAsia="en-US"/>
        </w:rPr>
        <w:t>ن سوء</w:t>
      </w:r>
      <w:r>
        <w:rPr>
          <w:rFonts w:ascii="Traditional Arabic" w:hAnsi="Traditional Arabic" w:hint="cs"/>
          <w:noProof w:val="0"/>
          <w:rtl/>
          <w:lang w:eastAsia="en-US"/>
        </w:rPr>
        <w:t>ٍ</w:t>
      </w:r>
      <w:r w:rsidR="00E0721F">
        <w:rPr>
          <w:rFonts w:ascii="Traditional Arabic" w:hAnsi="Traditional Arabic"/>
          <w:noProof w:val="0"/>
          <w:rtl/>
          <w:lang w:eastAsia="en-US"/>
        </w:rPr>
        <w:t xml:space="preserve"> يقع فيه. واعتصم العبد بالله تعالى</w:t>
      </w:r>
      <w:r w:rsidRPr="00541523">
        <w:rPr>
          <w:rFonts w:ascii="Traditional Arabic" w:hAnsi="Traditional Arabic"/>
          <w:noProof w:val="0"/>
          <w:rtl/>
          <w:lang w:eastAsia="en-US"/>
        </w:rPr>
        <w:t>، إذا امتنع. واستعصم: التجأ. وتقول العرب: أعصمت فلانا، أي هيأت له شيئا يعتصم بما نالته يده</w:t>
      </w:r>
      <w:r w:rsidR="00E0721F">
        <w:rPr>
          <w:rFonts w:ascii="Traditional Arabic" w:hAnsi="Traditional Arabic" w:hint="cs"/>
          <w:noProof w:val="0"/>
          <w:rtl/>
          <w:lang w:eastAsia="en-US"/>
        </w:rPr>
        <w:t>،</w:t>
      </w:r>
      <w:r w:rsidRPr="00541523">
        <w:rPr>
          <w:rFonts w:ascii="Traditional Arabic" w:hAnsi="Traditional Arabic"/>
          <w:noProof w:val="0"/>
          <w:rtl/>
          <w:lang w:eastAsia="en-US"/>
        </w:rPr>
        <w:t xml:space="preserve"> أي</w:t>
      </w:r>
      <w:r w:rsidR="00E0721F">
        <w:rPr>
          <w:rFonts w:ascii="Traditional Arabic" w:hAnsi="Traditional Arabic" w:hint="cs"/>
          <w:noProof w:val="0"/>
          <w:rtl/>
          <w:lang w:eastAsia="en-US"/>
        </w:rPr>
        <w:t>:</w:t>
      </w:r>
      <w:r w:rsidRPr="00541523">
        <w:rPr>
          <w:rFonts w:ascii="Traditional Arabic" w:hAnsi="Traditional Arabic"/>
          <w:noProof w:val="0"/>
          <w:rtl/>
          <w:lang w:eastAsia="en-US"/>
        </w:rPr>
        <w:t xml:space="preserve"> يلتجئ ويتمسك به</w:t>
      </w:r>
      <w:r w:rsidR="00B76414">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237"/>
      </w:r>
      <w:r w:rsidRPr="00C821A1">
        <w:rPr>
          <w:rStyle w:val="af1"/>
          <w:szCs w:val="32"/>
          <w:rtl/>
        </w:rPr>
        <w:t>)</w:t>
      </w:r>
      <w:r>
        <w:rPr>
          <w:rFonts w:hint="cs"/>
          <w:rtl/>
        </w:rPr>
        <w:t>.</w:t>
      </w:r>
    </w:p>
    <w:p w:rsidR="00471FD0" w:rsidRPr="004F387A" w:rsidRDefault="00471FD0" w:rsidP="00597C20">
      <w:pPr>
        <w:rPr>
          <w:rtl/>
        </w:rPr>
      </w:pPr>
      <w:r w:rsidRPr="00E31953">
        <w:rPr>
          <w:rFonts w:ascii="Traditional Arabic" w:hAnsi="Traditional Arabic" w:hint="cs"/>
          <w:noProof w:val="0"/>
          <w:rtl/>
          <w:lang w:eastAsia="en-US"/>
        </w:rPr>
        <w:t>ويقال</w:t>
      </w:r>
      <w:r>
        <w:rPr>
          <w:rFonts w:ascii="Traditional Arabic" w:hAnsi="Traditional Arabic" w:hint="cs"/>
          <w:b/>
          <w:bCs/>
          <w:noProof w:val="0"/>
          <w:sz w:val="44"/>
          <w:szCs w:val="44"/>
          <w:rtl/>
          <w:lang w:eastAsia="en-US"/>
        </w:rPr>
        <w:t xml:space="preserve">: </w:t>
      </w:r>
      <w:r w:rsidRPr="00E31953">
        <w:rPr>
          <w:rFonts w:ascii="Traditional Arabic" w:hAnsi="Traditional Arabic"/>
          <w:noProof w:val="0"/>
          <w:rtl/>
          <w:lang w:eastAsia="en-US"/>
        </w:rPr>
        <w:t>ع</w:t>
      </w:r>
      <w:r>
        <w:rPr>
          <w:rFonts w:ascii="Traditional Arabic" w:hAnsi="Traditional Arabic" w:hint="cs"/>
          <w:noProof w:val="0"/>
          <w:rtl/>
          <w:lang w:eastAsia="en-US"/>
        </w:rPr>
        <w:t>َ</w:t>
      </w:r>
      <w:r w:rsidRPr="00E31953">
        <w:rPr>
          <w:rFonts w:ascii="Traditional Arabic" w:hAnsi="Traditional Arabic"/>
          <w:noProof w:val="0"/>
          <w:rtl/>
          <w:lang w:eastAsia="en-US"/>
        </w:rPr>
        <w:t>ص</w:t>
      </w:r>
      <w:r>
        <w:rPr>
          <w:rFonts w:ascii="Traditional Arabic" w:hAnsi="Traditional Arabic" w:hint="cs"/>
          <w:noProof w:val="0"/>
          <w:rtl/>
          <w:lang w:eastAsia="en-US"/>
        </w:rPr>
        <w:t>َ</w:t>
      </w:r>
      <w:r w:rsidRPr="00E31953">
        <w:rPr>
          <w:rFonts w:ascii="Traditional Arabic" w:hAnsi="Traditional Arabic"/>
          <w:noProof w:val="0"/>
          <w:rtl/>
          <w:lang w:eastAsia="en-US"/>
        </w:rPr>
        <w:t>م</w:t>
      </w:r>
      <w:r>
        <w:rPr>
          <w:rFonts w:ascii="Traditional Arabic" w:hAnsi="Traditional Arabic" w:hint="cs"/>
          <w:noProof w:val="0"/>
          <w:rtl/>
          <w:lang w:eastAsia="en-US"/>
        </w:rPr>
        <w:t>َ</w:t>
      </w:r>
      <w:r w:rsidRPr="00E31953">
        <w:rPr>
          <w:rFonts w:ascii="Traditional Arabic" w:hAnsi="Traditional Arabic"/>
          <w:noProof w:val="0"/>
          <w:rtl/>
          <w:lang w:eastAsia="en-US"/>
        </w:rPr>
        <w:t>ه الله من المكروه ي</w:t>
      </w:r>
      <w:r>
        <w:rPr>
          <w:rFonts w:ascii="Traditional Arabic" w:hAnsi="Traditional Arabic" w:hint="cs"/>
          <w:noProof w:val="0"/>
          <w:rtl/>
          <w:lang w:eastAsia="en-US"/>
        </w:rPr>
        <w:t>َ</w:t>
      </w:r>
      <w:r w:rsidRPr="00E31953">
        <w:rPr>
          <w:rFonts w:ascii="Traditional Arabic" w:hAnsi="Traditional Arabic"/>
          <w:noProof w:val="0"/>
          <w:rtl/>
          <w:lang w:eastAsia="en-US"/>
        </w:rPr>
        <w:t>ع</w:t>
      </w:r>
      <w:r>
        <w:rPr>
          <w:rFonts w:ascii="Traditional Arabic" w:hAnsi="Traditional Arabic" w:hint="cs"/>
          <w:noProof w:val="0"/>
          <w:rtl/>
          <w:lang w:eastAsia="en-US"/>
        </w:rPr>
        <w:t>ْ</w:t>
      </w:r>
      <w:r w:rsidRPr="00E31953">
        <w:rPr>
          <w:rFonts w:ascii="Traditional Arabic" w:hAnsi="Traditional Arabic"/>
          <w:noProof w:val="0"/>
          <w:rtl/>
          <w:lang w:eastAsia="en-US"/>
        </w:rPr>
        <w:t>ص</w:t>
      </w:r>
      <w:r>
        <w:rPr>
          <w:rFonts w:ascii="Traditional Arabic" w:hAnsi="Traditional Arabic" w:hint="cs"/>
          <w:noProof w:val="0"/>
          <w:rtl/>
          <w:lang w:eastAsia="en-US"/>
        </w:rPr>
        <w:t>ِ</w:t>
      </w:r>
      <w:r>
        <w:rPr>
          <w:rFonts w:ascii="Traditional Arabic" w:hAnsi="Traditional Arabic"/>
          <w:noProof w:val="0"/>
          <w:rtl/>
          <w:lang w:eastAsia="en-US"/>
        </w:rPr>
        <w:t>مه</w:t>
      </w:r>
      <w:r>
        <w:rPr>
          <w:rFonts w:ascii="Traditional Arabic" w:hAnsi="Traditional Arabic" w:hint="cs"/>
          <w:noProof w:val="0"/>
          <w:rtl/>
          <w:lang w:eastAsia="en-US"/>
        </w:rPr>
        <w:t>، أي:</w:t>
      </w:r>
      <w:r w:rsidR="008F4C64">
        <w:rPr>
          <w:rFonts w:ascii="Traditional Arabic" w:hAnsi="Traditional Arabic" w:hint="cs"/>
          <w:b/>
          <w:bCs/>
          <w:noProof w:val="0"/>
          <w:rtl/>
          <w:lang w:eastAsia="en-US"/>
        </w:rPr>
        <w:t xml:space="preserve"> </w:t>
      </w:r>
      <w:r w:rsidRPr="008F4C64">
        <w:rPr>
          <w:rFonts w:ascii="Traditional Arabic" w:hAnsi="Traditional Arabic"/>
          <w:noProof w:val="0"/>
          <w:rtl/>
          <w:lang w:eastAsia="en-US"/>
        </w:rPr>
        <w:t>ح</w:t>
      </w:r>
      <w:r w:rsidRPr="008F4C64">
        <w:rPr>
          <w:rFonts w:ascii="Traditional Arabic" w:hAnsi="Traditional Arabic" w:hint="cs"/>
          <w:noProof w:val="0"/>
          <w:rtl/>
          <w:lang w:eastAsia="en-US"/>
        </w:rPr>
        <w:t>َ</w:t>
      </w:r>
      <w:r w:rsidRPr="008F4C64">
        <w:rPr>
          <w:rFonts w:ascii="Traditional Arabic" w:hAnsi="Traditional Arabic"/>
          <w:noProof w:val="0"/>
          <w:rtl/>
          <w:lang w:eastAsia="en-US"/>
        </w:rPr>
        <w:t>فظه وو</w:t>
      </w:r>
      <w:r w:rsidRPr="008F4C64">
        <w:rPr>
          <w:rFonts w:ascii="Traditional Arabic" w:hAnsi="Traditional Arabic" w:hint="cs"/>
          <w:noProof w:val="0"/>
          <w:rtl/>
          <w:lang w:eastAsia="en-US"/>
        </w:rPr>
        <w:t>َ</w:t>
      </w:r>
      <w:r w:rsidRPr="008F4C64">
        <w:rPr>
          <w:rFonts w:ascii="Traditional Arabic" w:hAnsi="Traditional Arabic"/>
          <w:noProof w:val="0"/>
          <w:rtl/>
          <w:lang w:eastAsia="en-US"/>
        </w:rPr>
        <w:t>قاه</w:t>
      </w:r>
      <w:r w:rsidRPr="008F4C64">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238"/>
      </w:r>
      <w:r w:rsidRPr="00C821A1">
        <w:rPr>
          <w:rStyle w:val="af1"/>
          <w:szCs w:val="32"/>
          <w:rtl/>
        </w:rPr>
        <w:t>)</w:t>
      </w:r>
      <w:r>
        <w:rPr>
          <w:rFonts w:ascii="Traditional Arabic" w:hAnsi="Traditional Arabic" w:hint="cs"/>
          <w:noProof w:val="0"/>
          <w:rtl/>
          <w:lang w:eastAsia="en-US"/>
        </w:rPr>
        <w:t>.</w:t>
      </w:r>
    </w:p>
    <w:p w:rsidR="002948BC" w:rsidRDefault="00471FD0" w:rsidP="00597C20">
      <w:pPr>
        <w:pStyle w:val="53"/>
        <w:rPr>
          <w:rtl/>
        </w:rPr>
      </w:pPr>
      <w:r w:rsidRPr="00A669FC">
        <w:rPr>
          <w:rFonts w:hint="cs"/>
          <w:rtl/>
        </w:rPr>
        <w:t>العصمة اصطلاحا:</w:t>
      </w:r>
    </w:p>
    <w:p w:rsidR="00065E4B" w:rsidRPr="00915532" w:rsidRDefault="00E0721F" w:rsidP="00597C20">
      <w:pPr>
        <w:ind w:firstLine="720"/>
        <w:rPr>
          <w:rFonts w:ascii="Traditional Arabic" w:hAnsi="Traditional Arabic"/>
          <w:noProof w:val="0"/>
          <w:rtl/>
          <w:lang w:eastAsia="en-US"/>
        </w:rPr>
      </w:pPr>
      <w:r>
        <w:rPr>
          <w:rFonts w:ascii="Traditional Arabic" w:hAnsi="Traditional Arabic" w:hint="cs"/>
          <w:noProof w:val="0"/>
          <w:rtl/>
          <w:lang w:eastAsia="en-US"/>
        </w:rPr>
        <w:t>تنقسم العصمة في الاصطلاح إ</w:t>
      </w:r>
      <w:r w:rsidR="00471FD0">
        <w:rPr>
          <w:rFonts w:ascii="Traditional Arabic" w:hAnsi="Traditional Arabic" w:hint="cs"/>
          <w:noProof w:val="0"/>
          <w:rtl/>
          <w:lang w:eastAsia="en-US"/>
        </w:rPr>
        <w:t>لى نوعين</w:t>
      </w:r>
      <w:r w:rsidR="00471FD0" w:rsidRPr="00C821A1">
        <w:rPr>
          <w:rStyle w:val="af1"/>
          <w:szCs w:val="32"/>
          <w:rtl/>
        </w:rPr>
        <w:t>(</w:t>
      </w:r>
      <w:r w:rsidR="00471FD0" w:rsidRPr="00C821A1">
        <w:rPr>
          <w:rStyle w:val="af1"/>
          <w:szCs w:val="32"/>
          <w:rtl/>
        </w:rPr>
        <w:footnoteReference w:id="1239"/>
      </w:r>
      <w:r w:rsidR="00471FD0" w:rsidRPr="00C821A1">
        <w:rPr>
          <w:rStyle w:val="af1"/>
          <w:szCs w:val="32"/>
          <w:rtl/>
        </w:rPr>
        <w:t>)</w:t>
      </w:r>
      <w:r w:rsidR="00471FD0">
        <w:rPr>
          <w:rFonts w:ascii="Traditional Arabic" w:hAnsi="Traditional Arabic" w:hint="cs"/>
          <w:noProof w:val="0"/>
          <w:rtl/>
          <w:lang w:eastAsia="en-US"/>
        </w:rPr>
        <w:t>:</w:t>
      </w:r>
    </w:p>
    <w:p w:rsidR="002948BC" w:rsidRDefault="00065E4B" w:rsidP="00597C20">
      <w:pPr>
        <w:pStyle w:val="53"/>
        <w:rPr>
          <w:rtl/>
        </w:rPr>
      </w:pPr>
      <w:r w:rsidRPr="00A669FC">
        <w:rPr>
          <w:b w:val="0"/>
          <w:rtl/>
        </w:rPr>
        <w:t>ا</w:t>
      </w:r>
      <w:r w:rsidR="00471FD0" w:rsidRPr="00A669FC">
        <w:rPr>
          <w:b w:val="0"/>
          <w:rtl/>
        </w:rPr>
        <w:t>لعصمة الم</w:t>
      </w:r>
      <w:r w:rsidR="00471FD0">
        <w:rPr>
          <w:rFonts w:hint="cs"/>
          <w:b w:val="0"/>
          <w:rtl/>
        </w:rPr>
        <w:t>ُ</w:t>
      </w:r>
      <w:r w:rsidR="00471FD0" w:rsidRPr="00A669FC">
        <w:rPr>
          <w:b w:val="0"/>
          <w:rtl/>
        </w:rPr>
        <w:t>ق</w:t>
      </w:r>
      <w:r w:rsidR="00471FD0">
        <w:rPr>
          <w:rFonts w:hint="cs"/>
          <w:b w:val="0"/>
          <w:rtl/>
        </w:rPr>
        <w:t>َ</w:t>
      </w:r>
      <w:r w:rsidR="00471FD0" w:rsidRPr="00A669FC">
        <w:rPr>
          <w:b w:val="0"/>
          <w:rtl/>
        </w:rPr>
        <w:t>و</w:t>
      </w:r>
      <w:r w:rsidR="00471FD0">
        <w:rPr>
          <w:rFonts w:hint="cs"/>
          <w:b w:val="0"/>
          <w:rtl/>
        </w:rPr>
        <w:t>ِّ</w:t>
      </w:r>
      <w:r w:rsidR="00471FD0" w:rsidRPr="00A669FC">
        <w:rPr>
          <w:b w:val="0"/>
          <w:rtl/>
        </w:rPr>
        <w:t>مة</w:t>
      </w:r>
      <w:r w:rsidR="00AB0B9E">
        <w:rPr>
          <w:b w:val="0"/>
          <w:rtl/>
        </w:rPr>
        <w:fldChar w:fldCharType="begin"/>
      </w:r>
      <w:r w:rsidR="00D65D30" w:rsidRPr="00C85F0F">
        <w:rPr>
          <w:bCs w:val="0"/>
        </w:rPr>
        <w:instrText>XE</w:instrText>
      </w:r>
      <w:r w:rsidR="00D65D30" w:rsidRPr="00C85F0F">
        <w:rPr>
          <w:bCs w:val="0"/>
          <w:rtl/>
        </w:rPr>
        <w:instrText xml:space="preserve"> "العصمة الم</w:instrText>
      </w:r>
      <w:r w:rsidR="00D65D30" w:rsidRPr="00C85F0F">
        <w:rPr>
          <w:rFonts w:hint="cs"/>
          <w:bCs w:val="0"/>
          <w:rtl/>
        </w:rPr>
        <w:instrText>ُ</w:instrText>
      </w:r>
      <w:r w:rsidR="00D65D30" w:rsidRPr="00C85F0F">
        <w:rPr>
          <w:bCs w:val="0"/>
          <w:rtl/>
        </w:rPr>
        <w:instrText>ق</w:instrText>
      </w:r>
      <w:r w:rsidR="00D65D30" w:rsidRPr="00C85F0F">
        <w:rPr>
          <w:rFonts w:hint="cs"/>
          <w:bCs w:val="0"/>
          <w:rtl/>
        </w:rPr>
        <w:instrText>َ</w:instrText>
      </w:r>
      <w:r w:rsidR="00D65D30" w:rsidRPr="00C85F0F">
        <w:rPr>
          <w:bCs w:val="0"/>
          <w:rtl/>
        </w:rPr>
        <w:instrText>و</w:instrText>
      </w:r>
      <w:r w:rsidR="00D65D30" w:rsidRPr="00C85F0F">
        <w:rPr>
          <w:rFonts w:hint="cs"/>
          <w:bCs w:val="0"/>
          <w:rtl/>
        </w:rPr>
        <w:instrText>ِّ</w:instrText>
      </w:r>
      <w:r w:rsidR="00D65D30" w:rsidRPr="00C85F0F">
        <w:rPr>
          <w:bCs w:val="0"/>
          <w:rtl/>
        </w:rPr>
        <w:instrText>مة" \</w:instrText>
      </w:r>
      <w:r w:rsidR="00D65D30" w:rsidRPr="00C85F0F">
        <w:rPr>
          <w:bCs w:val="0"/>
        </w:rPr>
        <w:instrText>f</w:instrText>
      </w:r>
      <w:r w:rsidR="00D65D30" w:rsidRPr="00D65D30">
        <w:instrText>m</w:instrText>
      </w:r>
      <w:r w:rsidR="00AB0B9E">
        <w:rPr>
          <w:b w:val="0"/>
          <w:rtl/>
        </w:rPr>
        <w:fldChar w:fldCharType="end"/>
      </w:r>
      <w:r w:rsidR="00471FD0">
        <w:rPr>
          <w:rtl/>
        </w:rPr>
        <w:t>:</w:t>
      </w:r>
    </w:p>
    <w:p w:rsidR="00471FD0" w:rsidRPr="00A669FC" w:rsidRDefault="00471FD0" w:rsidP="00597C20">
      <w:pPr>
        <w:widowControl/>
        <w:autoSpaceDE w:val="0"/>
        <w:autoSpaceDN w:val="0"/>
        <w:adjustRightInd w:val="0"/>
        <w:jc w:val="left"/>
        <w:rPr>
          <w:rFonts w:ascii="Traditional Arabic" w:hAnsi="Traditional Arabic"/>
          <w:noProof w:val="0"/>
          <w:rtl/>
          <w:lang w:eastAsia="en-US"/>
        </w:rPr>
      </w:pPr>
      <w:r>
        <w:rPr>
          <w:rFonts w:ascii="Traditional Arabic" w:hAnsi="Traditional Arabic"/>
          <w:noProof w:val="0"/>
          <w:rtl/>
          <w:lang w:eastAsia="en-US"/>
        </w:rPr>
        <w:t>هي التي ي</w:t>
      </w:r>
      <w:r>
        <w:rPr>
          <w:rFonts w:ascii="Traditional Arabic" w:hAnsi="Traditional Arabic" w:hint="cs"/>
          <w:noProof w:val="0"/>
          <w:rtl/>
          <w:lang w:eastAsia="en-US"/>
        </w:rPr>
        <w:t>َ</w:t>
      </w:r>
      <w:r>
        <w:rPr>
          <w:rFonts w:ascii="Traditional Arabic" w:hAnsi="Traditional Arabic"/>
          <w:noProof w:val="0"/>
          <w:rtl/>
          <w:lang w:eastAsia="en-US"/>
        </w:rPr>
        <w:t>ثب</w:t>
      </w:r>
      <w:r>
        <w:rPr>
          <w:rFonts w:ascii="Traditional Arabic" w:hAnsi="Traditional Arabic" w:hint="cs"/>
          <w:noProof w:val="0"/>
          <w:rtl/>
          <w:lang w:eastAsia="en-US"/>
        </w:rPr>
        <w:t>ُ</w:t>
      </w:r>
      <w:r>
        <w:rPr>
          <w:rFonts w:ascii="Traditional Arabic" w:hAnsi="Traditional Arabic"/>
          <w:noProof w:val="0"/>
          <w:rtl/>
          <w:lang w:eastAsia="en-US"/>
        </w:rPr>
        <w:t xml:space="preserve">ت بها </w:t>
      </w:r>
      <w:r>
        <w:rPr>
          <w:rFonts w:ascii="Traditional Arabic" w:hAnsi="Traditional Arabic" w:hint="cs"/>
          <w:noProof w:val="0"/>
          <w:rtl/>
          <w:lang w:eastAsia="en-US"/>
        </w:rPr>
        <w:t>ل</w:t>
      </w:r>
      <w:r w:rsidRPr="00A669FC">
        <w:rPr>
          <w:rFonts w:ascii="Traditional Arabic" w:hAnsi="Traditional Arabic"/>
          <w:noProof w:val="0"/>
          <w:rtl/>
          <w:lang w:eastAsia="en-US"/>
        </w:rPr>
        <w:t xml:space="preserve">لإنسان </w:t>
      </w:r>
      <w:r>
        <w:rPr>
          <w:rFonts w:ascii="Traditional Arabic" w:hAnsi="Traditional Arabic" w:hint="cs"/>
          <w:noProof w:val="0"/>
          <w:rtl/>
          <w:lang w:eastAsia="en-US"/>
        </w:rPr>
        <w:t xml:space="preserve">ومالِه </w:t>
      </w:r>
      <w:r w:rsidRPr="00A669FC">
        <w:rPr>
          <w:rFonts w:ascii="Traditional Arabic" w:hAnsi="Traditional Arabic"/>
          <w:noProof w:val="0"/>
          <w:rtl/>
          <w:lang w:eastAsia="en-US"/>
        </w:rPr>
        <w:t>قيمة</w:t>
      </w:r>
      <w:r>
        <w:rPr>
          <w:rFonts w:ascii="Traditional Arabic" w:hAnsi="Traditional Arabic" w:hint="cs"/>
          <w:noProof w:val="0"/>
          <w:rtl/>
          <w:lang w:eastAsia="en-US"/>
        </w:rPr>
        <w:t>ٌ،</w:t>
      </w:r>
      <w:r w:rsidRPr="00A669FC">
        <w:rPr>
          <w:rFonts w:ascii="Traditional Arabic" w:hAnsi="Traditional Arabic"/>
          <w:noProof w:val="0"/>
          <w:rtl/>
          <w:lang w:eastAsia="en-US"/>
        </w:rPr>
        <w:t xml:space="preserve"> بحيث</w:t>
      </w:r>
      <w:r>
        <w:rPr>
          <w:rFonts w:ascii="Traditional Arabic" w:hAnsi="Traditional Arabic" w:hint="cs"/>
          <w:noProof w:val="0"/>
          <w:rtl/>
          <w:lang w:eastAsia="en-US"/>
        </w:rPr>
        <w:t xml:space="preserve"> يجب القصاص، أو الدية، أو الضمان على</w:t>
      </w:r>
      <w:r w:rsidRPr="00A669FC">
        <w:rPr>
          <w:rFonts w:ascii="Traditional Arabic" w:hAnsi="Traditional Arabic"/>
          <w:noProof w:val="0"/>
          <w:rtl/>
          <w:lang w:eastAsia="en-US"/>
        </w:rPr>
        <w:t xml:space="preserve"> م</w:t>
      </w:r>
      <w:r>
        <w:rPr>
          <w:rFonts w:ascii="Traditional Arabic" w:hAnsi="Traditional Arabic" w:hint="cs"/>
          <w:noProof w:val="0"/>
          <w:rtl/>
          <w:lang w:eastAsia="en-US"/>
        </w:rPr>
        <w:t>َ</w:t>
      </w:r>
      <w:r w:rsidRPr="00A669FC">
        <w:rPr>
          <w:rFonts w:ascii="Traditional Arabic" w:hAnsi="Traditional Arabic"/>
          <w:noProof w:val="0"/>
          <w:rtl/>
          <w:lang w:eastAsia="en-US"/>
        </w:rPr>
        <w:t>ن ه</w:t>
      </w:r>
      <w:r>
        <w:rPr>
          <w:rFonts w:ascii="Traditional Arabic" w:hAnsi="Traditional Arabic" w:hint="cs"/>
          <w:noProof w:val="0"/>
          <w:rtl/>
          <w:lang w:eastAsia="en-US"/>
        </w:rPr>
        <w:t>َ</w:t>
      </w:r>
      <w:r w:rsidRPr="00A669FC">
        <w:rPr>
          <w:rFonts w:ascii="Traditional Arabic" w:hAnsi="Traditional Arabic"/>
          <w:noProof w:val="0"/>
          <w:rtl/>
          <w:lang w:eastAsia="en-US"/>
        </w:rPr>
        <w:t>ت</w:t>
      </w:r>
      <w:r>
        <w:rPr>
          <w:rFonts w:ascii="Traditional Arabic" w:hAnsi="Traditional Arabic" w:hint="cs"/>
          <w:noProof w:val="0"/>
          <w:rtl/>
          <w:lang w:eastAsia="en-US"/>
        </w:rPr>
        <w:t>َ</w:t>
      </w:r>
      <w:r w:rsidRPr="00A669FC">
        <w:rPr>
          <w:rFonts w:ascii="Traditional Arabic" w:hAnsi="Traditional Arabic"/>
          <w:noProof w:val="0"/>
          <w:rtl/>
          <w:lang w:eastAsia="en-US"/>
        </w:rPr>
        <w:t>ك</w:t>
      </w:r>
      <w:r>
        <w:rPr>
          <w:rFonts w:ascii="Traditional Arabic" w:hAnsi="Traditional Arabic" w:hint="cs"/>
          <w:noProof w:val="0"/>
          <w:rtl/>
          <w:lang w:eastAsia="en-US"/>
        </w:rPr>
        <w:t>َ</w:t>
      </w:r>
      <w:r>
        <w:rPr>
          <w:rFonts w:ascii="Traditional Arabic" w:hAnsi="Traditional Arabic"/>
          <w:noProof w:val="0"/>
          <w:rtl/>
          <w:lang w:eastAsia="en-US"/>
        </w:rPr>
        <w:t>ها</w:t>
      </w:r>
      <w:r>
        <w:rPr>
          <w:rFonts w:ascii="Traditional Arabic" w:hAnsi="Traditional Arabic" w:hint="cs"/>
          <w:noProof w:val="0"/>
          <w:rtl/>
          <w:lang w:eastAsia="en-US"/>
        </w:rPr>
        <w:t>.</w:t>
      </w:r>
    </w:p>
    <w:p w:rsidR="002948BC" w:rsidRDefault="00471FD0" w:rsidP="00597C20">
      <w:pPr>
        <w:pStyle w:val="53"/>
        <w:rPr>
          <w:rtl/>
        </w:rPr>
      </w:pPr>
      <w:r w:rsidRPr="00A669FC">
        <w:rPr>
          <w:b w:val="0"/>
          <w:rtl/>
        </w:rPr>
        <w:t>العصمة الم</w:t>
      </w:r>
      <w:r>
        <w:rPr>
          <w:rFonts w:hint="cs"/>
          <w:b w:val="0"/>
          <w:rtl/>
        </w:rPr>
        <w:t>ُ</w:t>
      </w:r>
      <w:r w:rsidRPr="00A669FC">
        <w:rPr>
          <w:b w:val="0"/>
          <w:rtl/>
        </w:rPr>
        <w:t>ؤ</w:t>
      </w:r>
      <w:r>
        <w:rPr>
          <w:rFonts w:hint="cs"/>
          <w:b w:val="0"/>
          <w:rtl/>
        </w:rPr>
        <w:t>َ</w:t>
      </w:r>
      <w:r w:rsidRPr="00A669FC">
        <w:rPr>
          <w:b w:val="0"/>
          <w:rtl/>
        </w:rPr>
        <w:t>ث</w:t>
      </w:r>
      <w:r>
        <w:rPr>
          <w:rFonts w:hint="cs"/>
          <w:b w:val="0"/>
          <w:rtl/>
        </w:rPr>
        <w:t>ِّ</w:t>
      </w:r>
      <w:r w:rsidRPr="00A669FC">
        <w:rPr>
          <w:b w:val="0"/>
          <w:rtl/>
        </w:rPr>
        <w:t>مة</w:t>
      </w:r>
      <w:r w:rsidR="00AB0B9E">
        <w:rPr>
          <w:b w:val="0"/>
          <w:rtl/>
        </w:rPr>
        <w:fldChar w:fldCharType="begin"/>
      </w:r>
      <w:r w:rsidR="00D65D30" w:rsidRPr="00C85F0F">
        <w:rPr>
          <w:bCs w:val="0"/>
        </w:rPr>
        <w:instrText>XE</w:instrText>
      </w:r>
      <w:r w:rsidR="00D65D30" w:rsidRPr="00C85F0F">
        <w:rPr>
          <w:bCs w:val="0"/>
          <w:rtl/>
        </w:rPr>
        <w:instrText xml:space="preserve"> "العصمة الم</w:instrText>
      </w:r>
      <w:r w:rsidR="00D65D30" w:rsidRPr="00C85F0F">
        <w:rPr>
          <w:rFonts w:hint="cs"/>
          <w:bCs w:val="0"/>
          <w:rtl/>
        </w:rPr>
        <w:instrText>ُ</w:instrText>
      </w:r>
      <w:r w:rsidR="00D65D30" w:rsidRPr="00C85F0F">
        <w:rPr>
          <w:bCs w:val="0"/>
          <w:rtl/>
        </w:rPr>
        <w:instrText>ؤ</w:instrText>
      </w:r>
      <w:r w:rsidR="00D65D30" w:rsidRPr="00C85F0F">
        <w:rPr>
          <w:rFonts w:hint="cs"/>
          <w:bCs w:val="0"/>
          <w:rtl/>
        </w:rPr>
        <w:instrText>َ</w:instrText>
      </w:r>
      <w:r w:rsidR="00D65D30" w:rsidRPr="00C85F0F">
        <w:rPr>
          <w:bCs w:val="0"/>
          <w:rtl/>
        </w:rPr>
        <w:instrText>ث</w:instrText>
      </w:r>
      <w:r w:rsidR="00D65D30" w:rsidRPr="00C85F0F">
        <w:rPr>
          <w:rFonts w:hint="cs"/>
          <w:bCs w:val="0"/>
          <w:rtl/>
        </w:rPr>
        <w:instrText>ِّ</w:instrText>
      </w:r>
      <w:r w:rsidR="00D65D30" w:rsidRPr="00C85F0F">
        <w:rPr>
          <w:bCs w:val="0"/>
          <w:rtl/>
        </w:rPr>
        <w:instrText>مة" \</w:instrText>
      </w:r>
      <w:r w:rsidR="00D65D30" w:rsidRPr="00C85F0F">
        <w:rPr>
          <w:bCs w:val="0"/>
        </w:rPr>
        <w:instrText>f</w:instrText>
      </w:r>
      <w:r w:rsidR="00D65D30" w:rsidRPr="00D65D30">
        <w:instrText>m</w:instrText>
      </w:r>
      <w:r w:rsidR="00AB0B9E">
        <w:rPr>
          <w:b w:val="0"/>
          <w:rtl/>
        </w:rPr>
        <w:fldChar w:fldCharType="end"/>
      </w:r>
      <w:r>
        <w:rPr>
          <w:rtl/>
        </w:rPr>
        <w:t>:</w:t>
      </w:r>
    </w:p>
    <w:p w:rsidR="00471FD0" w:rsidRDefault="00471FD0" w:rsidP="00597C20">
      <w:pPr>
        <w:ind w:firstLine="720"/>
        <w:rPr>
          <w:rFonts w:ascii="Traditional Arabic" w:hAnsi="Traditional Arabic"/>
          <w:b/>
          <w:bCs/>
          <w:noProof w:val="0"/>
          <w:rtl/>
          <w:lang w:eastAsia="en-US"/>
        </w:rPr>
      </w:pPr>
      <w:r>
        <w:rPr>
          <w:rFonts w:ascii="Traditional Arabic" w:hAnsi="Traditional Arabic"/>
          <w:noProof w:val="0"/>
          <w:rtl/>
          <w:lang w:eastAsia="en-US"/>
        </w:rPr>
        <w:t xml:space="preserve">هي التي </w:t>
      </w:r>
      <w:r>
        <w:rPr>
          <w:rFonts w:ascii="Traditional Arabic" w:hAnsi="Traditional Arabic" w:hint="cs"/>
          <w:noProof w:val="0"/>
          <w:rtl/>
          <w:lang w:eastAsia="en-US"/>
        </w:rPr>
        <w:t>ت</w:t>
      </w:r>
      <w:r w:rsidRPr="00A669FC">
        <w:rPr>
          <w:rFonts w:ascii="Traditional Arabic" w:hAnsi="Traditional Arabic"/>
          <w:noProof w:val="0"/>
          <w:rtl/>
          <w:lang w:eastAsia="en-US"/>
        </w:rPr>
        <w:t>جعل م</w:t>
      </w:r>
      <w:r>
        <w:rPr>
          <w:rFonts w:ascii="Traditional Arabic" w:hAnsi="Traditional Arabic" w:hint="cs"/>
          <w:noProof w:val="0"/>
          <w:rtl/>
          <w:lang w:eastAsia="en-US"/>
        </w:rPr>
        <w:t>َ</w:t>
      </w:r>
      <w:r w:rsidRPr="00A669FC">
        <w:rPr>
          <w:rFonts w:ascii="Traditional Arabic" w:hAnsi="Traditional Arabic"/>
          <w:noProof w:val="0"/>
          <w:rtl/>
          <w:lang w:eastAsia="en-US"/>
        </w:rPr>
        <w:t>ن هتكها آثم</w:t>
      </w:r>
      <w:r>
        <w:rPr>
          <w:rFonts w:ascii="Traditional Arabic" w:hAnsi="Traditional Arabic" w:hint="cs"/>
          <w:noProof w:val="0"/>
          <w:rtl/>
          <w:lang w:eastAsia="en-US"/>
        </w:rPr>
        <w:t>ِ</w:t>
      </w:r>
      <w:r w:rsidRPr="00A669FC">
        <w:rPr>
          <w:rFonts w:ascii="Traditional Arabic" w:hAnsi="Traditional Arabic"/>
          <w:noProof w:val="0"/>
          <w:rtl/>
          <w:lang w:eastAsia="en-US"/>
        </w:rPr>
        <w:t>اً</w:t>
      </w:r>
      <w:r>
        <w:rPr>
          <w:rFonts w:ascii="Traditional Arabic" w:hAnsi="Traditional Arabic"/>
          <w:b/>
          <w:bCs/>
          <w:noProof w:val="0"/>
          <w:sz w:val="44"/>
          <w:szCs w:val="44"/>
          <w:rtl/>
          <w:lang w:eastAsia="en-US"/>
        </w:rPr>
        <w:t>.</w:t>
      </w:r>
    </w:p>
    <w:p w:rsidR="00471FD0" w:rsidRPr="00915532" w:rsidRDefault="00471FD0" w:rsidP="00597C20">
      <w:pPr>
        <w:ind w:firstLine="720"/>
        <w:rPr>
          <w:rFonts w:ascii="Traditional Arabic" w:hAnsi="Traditional Arabic"/>
          <w:noProof w:val="0"/>
          <w:rtl/>
          <w:lang w:eastAsia="en-US"/>
        </w:rPr>
      </w:pPr>
      <w:r>
        <w:rPr>
          <w:rFonts w:ascii="Traditional Arabic" w:hAnsi="Traditional Arabic" w:hint="cs"/>
          <w:noProof w:val="0"/>
          <w:rtl/>
          <w:lang w:eastAsia="en-US"/>
        </w:rPr>
        <w:t>والمقصود</w:t>
      </w:r>
      <w:r w:rsidRPr="00915532">
        <w:rPr>
          <w:rFonts w:ascii="Traditional Arabic" w:hAnsi="Traditional Arabic" w:hint="cs"/>
          <w:noProof w:val="0"/>
          <w:rtl/>
          <w:lang w:eastAsia="en-US"/>
        </w:rPr>
        <w:t>في القاعدة هو المعنى الأول من جهة عصمة الأموال وح</w:t>
      </w:r>
      <w:r>
        <w:rPr>
          <w:rFonts w:ascii="Traditional Arabic" w:hAnsi="Traditional Arabic" w:hint="cs"/>
          <w:noProof w:val="0"/>
          <w:rtl/>
          <w:lang w:eastAsia="en-US"/>
        </w:rPr>
        <w:t>ُ</w:t>
      </w:r>
      <w:r w:rsidRPr="00915532">
        <w:rPr>
          <w:rFonts w:ascii="Traditional Arabic" w:hAnsi="Traditional Arabic" w:hint="cs"/>
          <w:noProof w:val="0"/>
          <w:rtl/>
          <w:lang w:eastAsia="en-US"/>
        </w:rPr>
        <w:t>رمة انتهاكها</w:t>
      </w:r>
      <w:r>
        <w:rPr>
          <w:rFonts w:ascii="Traditional Arabic" w:hAnsi="Traditional Arabic" w:hint="cs"/>
          <w:noProof w:val="0"/>
          <w:rtl/>
          <w:lang w:eastAsia="en-US"/>
        </w:rPr>
        <w:t xml:space="preserve"> وترتُّب </w:t>
      </w:r>
      <w:r>
        <w:rPr>
          <w:rFonts w:ascii="Traditional Arabic" w:hAnsi="Traditional Arabic" w:hint="cs"/>
          <w:noProof w:val="0"/>
          <w:rtl/>
          <w:lang w:eastAsia="en-US"/>
        </w:rPr>
        <w:lastRenderedPageBreak/>
        <w:t>الضمان على مَن انتهكها</w:t>
      </w:r>
      <w:r w:rsidRPr="00915532">
        <w:rPr>
          <w:rFonts w:ascii="Traditional Arabic" w:hAnsi="Traditional Arabic" w:hint="cs"/>
          <w:noProof w:val="0"/>
          <w:rtl/>
          <w:lang w:eastAsia="en-US"/>
        </w:rPr>
        <w:t>.</w:t>
      </w:r>
    </w:p>
    <w:p w:rsidR="00471FD0" w:rsidRPr="002226EA" w:rsidRDefault="00471FD0" w:rsidP="002226EA">
      <w:pPr>
        <w:pStyle w:val="53"/>
        <w:rPr>
          <w:b w:val="0"/>
          <w:bCs w:val="0"/>
          <w:rtl/>
        </w:rPr>
      </w:pPr>
      <w:r w:rsidRPr="002226EA">
        <w:rPr>
          <w:rFonts w:hint="cs"/>
          <w:b w:val="0"/>
          <w:bCs w:val="0"/>
          <w:rtl/>
        </w:rPr>
        <w:t>ومعنى القاعدة</w:t>
      </w:r>
      <w:r w:rsidR="002226EA" w:rsidRPr="002226EA">
        <w:rPr>
          <w:rFonts w:hint="cs"/>
          <w:b w:val="0"/>
          <w:bCs w:val="0"/>
          <w:rtl/>
        </w:rPr>
        <w:t xml:space="preserve"> </w:t>
      </w:r>
      <w:r w:rsidRPr="002226EA">
        <w:rPr>
          <w:rFonts w:hint="cs"/>
          <w:b w:val="0"/>
          <w:bCs w:val="0"/>
          <w:rtl/>
        </w:rPr>
        <w:t>أن القاعدة المستمرة أن أموالَ المسلمين</w:t>
      </w:r>
      <w:r w:rsidR="002226EA">
        <w:rPr>
          <w:rFonts w:hint="cs"/>
          <w:b w:val="0"/>
          <w:bCs w:val="0"/>
          <w:rtl/>
        </w:rPr>
        <w:t xml:space="preserve"> </w:t>
      </w:r>
      <w:r w:rsidRPr="002226EA">
        <w:rPr>
          <w:rFonts w:hint="cs"/>
          <w:b w:val="0"/>
          <w:bCs w:val="0"/>
          <w:rtl/>
        </w:rPr>
        <w:t>والمعاهَدين</w:t>
      </w:r>
      <w:r w:rsidR="002226EA">
        <w:rPr>
          <w:rFonts w:hint="cs"/>
          <w:b w:val="0"/>
          <w:bCs w:val="0"/>
          <w:rtl/>
        </w:rPr>
        <w:t xml:space="preserve"> </w:t>
      </w:r>
      <w:r w:rsidRPr="002226EA">
        <w:rPr>
          <w:rFonts w:hint="cs"/>
          <w:b w:val="0"/>
          <w:bCs w:val="0"/>
          <w:rtl/>
        </w:rPr>
        <w:t>محرَّمةٌ لا يجوز تناوُلها بوجه</w:t>
      </w:r>
      <w:r w:rsidR="008F4C64">
        <w:rPr>
          <w:rFonts w:hint="cs"/>
          <w:b w:val="0"/>
          <w:bCs w:val="0"/>
          <w:rtl/>
        </w:rPr>
        <w:t xml:space="preserve">ٍ من الوجوه حتى نتحقَّق الحِلَّ، </w:t>
      </w:r>
      <w:r w:rsidRPr="002226EA">
        <w:rPr>
          <w:rFonts w:hint="cs"/>
          <w:b w:val="0"/>
          <w:bCs w:val="0"/>
          <w:rtl/>
        </w:rPr>
        <w:t>و</w:t>
      </w:r>
      <w:r w:rsidR="008F4C64">
        <w:rPr>
          <w:rFonts w:hint="cs"/>
          <w:b w:val="0"/>
          <w:bCs w:val="0"/>
          <w:rtl/>
        </w:rPr>
        <w:t xml:space="preserve">أنها </w:t>
      </w:r>
      <w:r w:rsidRPr="002226EA">
        <w:rPr>
          <w:rFonts w:hint="cs"/>
          <w:b w:val="0"/>
          <w:bCs w:val="0"/>
          <w:rtl/>
        </w:rPr>
        <w:t>لا تُباح إلا بحقٍّ شرعي</w:t>
      </w:r>
      <w:r w:rsidRPr="002226EA">
        <w:rPr>
          <w:rStyle w:val="af1"/>
          <w:b w:val="0"/>
          <w:bCs w:val="0"/>
          <w:szCs w:val="32"/>
          <w:rtl/>
        </w:rPr>
        <w:t>(</w:t>
      </w:r>
      <w:r w:rsidRPr="002226EA">
        <w:rPr>
          <w:rStyle w:val="af1"/>
          <w:b w:val="0"/>
          <w:bCs w:val="0"/>
          <w:szCs w:val="32"/>
          <w:rtl/>
        </w:rPr>
        <w:footnoteReference w:id="1240"/>
      </w:r>
      <w:r w:rsidRPr="002226EA">
        <w:rPr>
          <w:rStyle w:val="af1"/>
          <w:b w:val="0"/>
          <w:bCs w:val="0"/>
          <w:szCs w:val="32"/>
          <w:rtl/>
        </w:rPr>
        <w:t>)</w:t>
      </w:r>
      <w:r w:rsidRPr="002226EA">
        <w:rPr>
          <w:rFonts w:hint="cs"/>
          <w:b w:val="0"/>
          <w:bCs w:val="0"/>
          <w:rtl/>
        </w:rPr>
        <w:t>، كما لو جَنَوْا جنايةً</w:t>
      </w:r>
      <w:r w:rsidRPr="002226EA">
        <w:rPr>
          <w:rStyle w:val="af1"/>
          <w:b w:val="0"/>
          <w:bCs w:val="0"/>
          <w:szCs w:val="32"/>
          <w:rtl/>
        </w:rPr>
        <w:t>(</w:t>
      </w:r>
      <w:r w:rsidRPr="002226EA">
        <w:rPr>
          <w:rStyle w:val="af1"/>
          <w:b w:val="0"/>
          <w:bCs w:val="0"/>
          <w:szCs w:val="32"/>
          <w:rtl/>
        </w:rPr>
        <w:footnoteReference w:id="1241"/>
      </w:r>
      <w:r w:rsidRPr="002226EA">
        <w:rPr>
          <w:rStyle w:val="af1"/>
          <w:b w:val="0"/>
          <w:bCs w:val="0"/>
          <w:szCs w:val="32"/>
          <w:rtl/>
        </w:rPr>
        <w:t>)</w:t>
      </w:r>
      <w:r w:rsidRPr="002226EA">
        <w:rPr>
          <w:rFonts w:hint="cs"/>
          <w:b w:val="0"/>
          <w:bCs w:val="0"/>
          <w:rtl/>
        </w:rPr>
        <w:t xml:space="preserve"> توجِب مالاً فإنه يَحِلُّ منه بِقدْرِ ما يقابِل تلك الجناية، وكذا إذا استدانوا وامتنعوا من الوفاء، فإنه يُؤْخَذ من أموالهم بِقَدْرِ ذلك الحق</w:t>
      </w:r>
      <w:r w:rsidR="00B76414" w:rsidRPr="002226EA">
        <w:rPr>
          <w:rFonts w:hint="cs"/>
          <w:b w:val="0"/>
          <w:bCs w:val="0"/>
          <w:rtl/>
        </w:rPr>
        <w:t>،</w:t>
      </w:r>
      <w:r w:rsidRPr="002226EA">
        <w:rPr>
          <w:rFonts w:hint="cs"/>
          <w:b w:val="0"/>
          <w:bCs w:val="0"/>
          <w:rtl/>
        </w:rPr>
        <w:t xml:space="preserve"> وإذا أَذِنوا لِغيرهم بالتصرُّف في أموالهم أو الانتفاع بها، جاز حينئذ التصرُّف فيها بحسَب ما أَذِنوا فيه</w:t>
      </w:r>
      <w:r w:rsidRPr="002226EA">
        <w:rPr>
          <w:rStyle w:val="af1"/>
          <w:b w:val="0"/>
          <w:bCs w:val="0"/>
          <w:szCs w:val="32"/>
          <w:rtl/>
        </w:rPr>
        <w:t>(</w:t>
      </w:r>
      <w:r w:rsidRPr="002226EA">
        <w:rPr>
          <w:rStyle w:val="af1"/>
          <w:b w:val="0"/>
          <w:bCs w:val="0"/>
          <w:szCs w:val="32"/>
          <w:rtl/>
        </w:rPr>
        <w:footnoteReference w:id="1242"/>
      </w:r>
      <w:r w:rsidRPr="002226EA">
        <w:rPr>
          <w:rStyle w:val="af1"/>
          <w:b w:val="0"/>
          <w:bCs w:val="0"/>
          <w:szCs w:val="32"/>
          <w:rtl/>
        </w:rPr>
        <w:t>)</w:t>
      </w:r>
      <w:r w:rsidRPr="002226EA">
        <w:rPr>
          <w:rFonts w:hint="cs"/>
          <w:b w:val="0"/>
          <w:bCs w:val="0"/>
          <w:rtl/>
        </w:rPr>
        <w:t>.</w:t>
      </w:r>
    </w:p>
    <w:p w:rsidR="00471FD0" w:rsidRDefault="002226EA" w:rsidP="00A8347C">
      <w:pPr>
        <w:pStyle w:val="aff3"/>
        <w:rPr>
          <w:rtl/>
        </w:rPr>
      </w:pPr>
      <w:bookmarkStart w:id="239" w:name="_Toc334046462"/>
      <w:r>
        <w:rPr>
          <w:rFonts w:hint="cs"/>
          <w:rtl/>
        </w:rPr>
        <w:t xml:space="preserve">          </w:t>
      </w:r>
      <w:r w:rsidR="008F4C64">
        <w:rPr>
          <w:rFonts w:hint="cs"/>
          <w:rtl/>
        </w:rPr>
        <w:t xml:space="preserve">                              </w:t>
      </w:r>
      <w:r>
        <w:rPr>
          <w:rFonts w:hint="cs"/>
          <w:rtl/>
        </w:rPr>
        <w:t>المطلب</w:t>
      </w:r>
      <w:r w:rsidR="008F4C64">
        <w:rPr>
          <w:rFonts w:hint="cs"/>
          <w:rtl/>
        </w:rPr>
        <w:t xml:space="preserve"> </w:t>
      </w:r>
      <w:r w:rsidR="00471FD0">
        <w:rPr>
          <w:rFonts w:hint="cs"/>
          <w:rtl/>
        </w:rPr>
        <w:t>الثالث</w:t>
      </w:r>
      <w:r w:rsidR="006D30EA">
        <w:rPr>
          <w:rFonts w:hint="eastAsia"/>
          <w:rtl/>
        </w:rPr>
        <w:t> :</w:t>
      </w:r>
      <w:r w:rsidR="006D30EA">
        <w:rPr>
          <w:rFonts w:hint="cs"/>
          <w:rtl/>
        </w:rPr>
        <w:br/>
      </w:r>
      <w:r>
        <w:rPr>
          <w:rFonts w:hint="cs"/>
          <w:rtl/>
        </w:rPr>
        <w:t xml:space="preserve">             </w:t>
      </w:r>
      <w:r w:rsidR="008F4C64">
        <w:rPr>
          <w:rFonts w:hint="cs"/>
          <w:rtl/>
        </w:rPr>
        <w:t xml:space="preserve">                             </w:t>
      </w:r>
      <w:r w:rsidR="00471FD0">
        <w:rPr>
          <w:rFonts w:hint="cs"/>
          <w:rtl/>
        </w:rPr>
        <w:t>أدلة القاعدة</w:t>
      </w:r>
      <w:bookmarkEnd w:id="239"/>
    </w:p>
    <w:p w:rsidR="00471FD0" w:rsidRPr="004B08E2" w:rsidRDefault="00471FD0" w:rsidP="000A76C7">
      <w:pPr>
        <w:pStyle w:val="afc"/>
        <w:numPr>
          <w:ilvl w:val="0"/>
          <w:numId w:val="165"/>
        </w:numPr>
        <w:rPr>
          <w:rFonts w:ascii="Traditional Arabic" w:hAnsi="Traditional Arabic"/>
          <w:b/>
          <w:bCs/>
          <w:rtl/>
        </w:rPr>
      </w:pPr>
      <w:r>
        <w:rPr>
          <w:rFonts w:ascii="Traditional Arabic" w:hAnsi="Traditional Arabic" w:hint="cs"/>
          <w:noProof w:val="0"/>
          <w:rtl/>
          <w:lang w:eastAsia="en-US"/>
        </w:rPr>
        <w:t xml:space="preserve">قوله تعالى: </w:t>
      </w:r>
      <w:bookmarkStart w:id="240" w:name="سورة_البقرة_188"/>
      <w:r w:rsidRPr="004B08E2">
        <w:rPr>
          <w:rFonts w:ascii="QCF_BSML" w:hAnsi="QCF_BSML" w:cs="QCF_BSML"/>
          <w:noProof w:val="0"/>
          <w:rtl/>
          <w:lang w:eastAsia="en-US"/>
        </w:rPr>
        <w:t>ﭽ</w:t>
      </w:r>
      <w:r w:rsidRPr="004B08E2">
        <w:rPr>
          <w:rFonts w:ascii="QCF_P029" w:hAnsi="QCF_P029" w:cs="QCF_P029"/>
          <w:noProof w:val="0"/>
          <w:rtl/>
          <w:lang w:eastAsia="en-US"/>
        </w:rPr>
        <w:t>ﮛ</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ﮜ</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ﮝ</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ﮞ</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ﮟ</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ﮠ</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ﮡ</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ﮢ</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ﮣ</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ﮤ</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ﮥ</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ﮦ</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ﮧ</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ﮨ</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ﮩ</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ﮪ</w:t>
      </w:r>
      <w:r w:rsidR="008F4C64">
        <w:rPr>
          <w:rFonts w:ascii="QCF_P029" w:hAnsi="QCF_P029" w:cs="QCF_P029" w:hint="cs"/>
          <w:noProof w:val="0"/>
          <w:rtl/>
          <w:lang w:eastAsia="en-US"/>
        </w:rPr>
        <w:t xml:space="preserve"> </w:t>
      </w:r>
      <w:r w:rsidRPr="004B08E2">
        <w:rPr>
          <w:rFonts w:ascii="QCF_P029" w:hAnsi="QCF_P029" w:cs="QCF_P029"/>
          <w:noProof w:val="0"/>
          <w:rtl/>
          <w:lang w:eastAsia="en-US"/>
        </w:rPr>
        <w:t>ﮫ</w:t>
      </w:r>
      <w:r w:rsidRPr="004B08E2">
        <w:rPr>
          <w:rFonts w:ascii="QCF_BSML" w:hAnsi="QCF_BSML" w:cs="QCF_BSML"/>
          <w:noProof w:val="0"/>
          <w:rtl/>
          <w:lang w:eastAsia="en-US"/>
        </w:rPr>
        <w:t>ﭼ</w:t>
      </w:r>
      <w:bookmarkEnd w:id="240"/>
      <w:r w:rsidRPr="004B08E2">
        <w:rPr>
          <w:rFonts w:ascii="Traditional Arabic" w:hAnsi="Traditional Arabic" w:hint="cs"/>
          <w:noProof w:val="0"/>
          <w:color w:val="auto"/>
          <w:rtl/>
          <w:lang w:eastAsia="en-US"/>
        </w:rPr>
        <w:t>[</w:t>
      </w:r>
      <w:r w:rsidRPr="004B08E2">
        <w:rPr>
          <w:rFonts w:ascii="Traditional Arabic" w:hAnsi="Traditional Arabic"/>
          <w:noProof w:val="0"/>
          <w:color w:val="auto"/>
          <w:rtl/>
          <w:lang w:eastAsia="en-US"/>
        </w:rPr>
        <w:t>البقرة: ١٨٨</w:t>
      </w:r>
      <w:r w:rsidRPr="004B08E2">
        <w:rPr>
          <w:rFonts w:ascii="Traditional Arabic" w:hAnsi="Traditional Arabic" w:hint="cs"/>
          <w:rtl/>
        </w:rPr>
        <w:t>].</w:t>
      </w:r>
    </w:p>
    <w:p w:rsidR="00471FD0" w:rsidRDefault="00471FD0" w:rsidP="00597C20">
      <w:pPr>
        <w:pStyle w:val="53"/>
        <w:rPr>
          <w:rtl/>
        </w:rPr>
      </w:pPr>
      <w:r>
        <w:rPr>
          <w:rFonts w:hint="cs"/>
          <w:rtl/>
        </w:rPr>
        <w:t>وجه الدلالة:</w:t>
      </w:r>
    </w:p>
    <w:p w:rsidR="00471FD0" w:rsidRPr="002948BC" w:rsidRDefault="00471FD0" w:rsidP="00597C20">
      <w:pPr>
        <w:ind w:firstLine="720"/>
        <w:rPr>
          <w:rFonts w:ascii="Traditional Arabic" w:hAnsi="Traditional Arabic"/>
          <w:noProof w:val="0"/>
          <w:color w:val="auto"/>
          <w:rtl/>
          <w:lang w:eastAsia="en-US"/>
        </w:rPr>
      </w:pPr>
      <w:r w:rsidRPr="002948BC">
        <w:rPr>
          <w:rFonts w:ascii="Traditional Arabic" w:hAnsi="Traditional Arabic" w:hint="cs"/>
          <w:noProof w:val="0"/>
          <w:color w:val="auto"/>
          <w:rtl/>
          <w:lang w:eastAsia="en-US"/>
        </w:rPr>
        <w:t xml:space="preserve">نهى الله تعالى عن أكل أموال الناس بالباطل- والباطل: كل شيء ليس للإنسان فيه حق شرعا-ومما يُستفاد من ذلك </w:t>
      </w:r>
      <w:r w:rsidRPr="008F4C64">
        <w:rPr>
          <w:rFonts w:ascii="Traditional Arabic" w:hAnsi="Traditional Arabic" w:hint="cs"/>
          <w:noProof w:val="0"/>
          <w:color w:val="auto"/>
          <w:rtl/>
          <w:lang w:eastAsia="en-US"/>
        </w:rPr>
        <w:t>حِرْصُ الشارع على حِفظ الأموال، وتحريمُ أكل المال بغير حق</w:t>
      </w:r>
      <w:r w:rsidRPr="00C821A1">
        <w:rPr>
          <w:rStyle w:val="af1"/>
          <w:szCs w:val="32"/>
          <w:rtl/>
        </w:rPr>
        <w:t>(</w:t>
      </w:r>
      <w:r w:rsidRPr="00C821A1">
        <w:rPr>
          <w:rStyle w:val="af1"/>
          <w:szCs w:val="32"/>
          <w:rtl/>
        </w:rPr>
        <w:footnoteReference w:id="1243"/>
      </w:r>
      <w:r w:rsidRPr="00C821A1">
        <w:rPr>
          <w:rStyle w:val="af1"/>
          <w:szCs w:val="32"/>
          <w:rtl/>
        </w:rPr>
        <w:t>)</w:t>
      </w:r>
      <w:r w:rsidRPr="002948BC">
        <w:rPr>
          <w:rFonts w:ascii="Traditional Arabic" w:hAnsi="Traditional Arabic" w:hint="cs"/>
          <w:noProof w:val="0"/>
          <w:color w:val="auto"/>
          <w:rtl/>
          <w:lang w:eastAsia="en-US"/>
        </w:rPr>
        <w:t>.</w:t>
      </w:r>
    </w:p>
    <w:p w:rsidR="00471FD0" w:rsidRPr="002948BC" w:rsidRDefault="00471FD0" w:rsidP="00597C20">
      <w:pPr>
        <w:ind w:firstLine="720"/>
        <w:rPr>
          <w:rFonts w:ascii="Traditional Arabic" w:hAnsi="Traditional Arabic"/>
          <w:noProof w:val="0"/>
          <w:color w:val="auto"/>
          <w:rtl/>
          <w:lang w:eastAsia="en-US"/>
        </w:rPr>
      </w:pPr>
      <w:r w:rsidRPr="002948BC">
        <w:rPr>
          <w:rFonts w:ascii="Traditional Arabic" w:hAnsi="Traditional Arabic" w:hint="cs"/>
          <w:noProof w:val="0"/>
          <w:color w:val="auto"/>
          <w:rtl/>
          <w:lang w:eastAsia="en-US"/>
        </w:rPr>
        <w:t xml:space="preserve">وقد يستفاد من الآية أن أكل مال المعاهد والمستأمن والذمي بالباطل محرم؛ لقوله تعالى: </w:t>
      </w:r>
      <w:r w:rsidRPr="002948BC">
        <w:rPr>
          <w:rFonts w:ascii="QCF_BSML" w:hAnsi="QCF_BSML" w:cs="QCF_BSML"/>
          <w:noProof w:val="0"/>
          <w:rtl/>
          <w:lang w:eastAsia="en-US"/>
        </w:rPr>
        <w:lastRenderedPageBreak/>
        <w:t xml:space="preserve">ﭽ </w:t>
      </w:r>
      <w:r w:rsidRPr="002948BC">
        <w:rPr>
          <w:rFonts w:ascii="QCF_P029" w:hAnsi="QCF_P029" w:cs="QCF_P029"/>
          <w:noProof w:val="0"/>
          <w:rtl/>
          <w:lang w:eastAsia="en-US"/>
        </w:rPr>
        <w:t>ﮤﮥﮦﮧ</w:t>
      </w:r>
      <w:r w:rsidRPr="002948BC">
        <w:rPr>
          <w:rFonts w:ascii="QCF_P029" w:hAnsi="QCF_P029" w:cs="QCF_P029"/>
          <w:b/>
          <w:bCs/>
          <w:noProof w:val="0"/>
          <w:u w:val="single"/>
          <w:rtl/>
          <w:lang w:eastAsia="en-US"/>
        </w:rPr>
        <w:t>ﮨ</w:t>
      </w:r>
      <w:r w:rsidRPr="002948BC">
        <w:rPr>
          <w:rFonts w:ascii="QCF_P029" w:hAnsi="QCF_P029" w:cs="QCF_P029"/>
          <w:noProof w:val="0"/>
          <w:rtl/>
          <w:lang w:eastAsia="en-US"/>
        </w:rPr>
        <w:t>ﮩ</w:t>
      </w:r>
      <w:r w:rsidRPr="002948BC">
        <w:rPr>
          <w:rFonts w:ascii="QCF_BSML" w:hAnsi="QCF_BSML" w:cs="QCF_BSML"/>
          <w:noProof w:val="0"/>
          <w:rtl/>
          <w:lang w:eastAsia="en-US"/>
        </w:rPr>
        <w:t>ﭼ</w:t>
      </w:r>
      <w:r w:rsidRPr="00C821A1">
        <w:rPr>
          <w:rStyle w:val="af1"/>
          <w:szCs w:val="32"/>
          <w:rtl/>
        </w:rPr>
        <w:t>(</w:t>
      </w:r>
      <w:r w:rsidRPr="00C821A1">
        <w:rPr>
          <w:rStyle w:val="af1"/>
          <w:szCs w:val="32"/>
          <w:rtl/>
        </w:rPr>
        <w:footnoteReference w:id="1244"/>
      </w:r>
      <w:r w:rsidRPr="00C821A1">
        <w:rPr>
          <w:rStyle w:val="af1"/>
          <w:szCs w:val="32"/>
          <w:rtl/>
        </w:rPr>
        <w:t>)</w:t>
      </w:r>
      <w:r w:rsidRPr="002948BC">
        <w:rPr>
          <w:rFonts w:ascii="Traditional Arabic" w:hAnsi="Traditional Arabic" w:hint="cs"/>
          <w:noProof w:val="0"/>
          <w:color w:val="auto"/>
          <w:rtl/>
          <w:lang w:eastAsia="en-US"/>
        </w:rPr>
        <w:t>.</w:t>
      </w:r>
    </w:p>
    <w:p w:rsidR="00471FD0" w:rsidRDefault="00471FD0" w:rsidP="000A76C7">
      <w:pPr>
        <w:pStyle w:val="afc"/>
        <w:numPr>
          <w:ilvl w:val="0"/>
          <w:numId w:val="165"/>
        </w:numPr>
        <w:rPr>
          <w:rFonts w:ascii="Traditional Arabic" w:hAnsi="Traditional Arabic"/>
          <w:noProof w:val="0"/>
          <w:color w:val="auto"/>
          <w:lang w:eastAsia="en-US"/>
        </w:rPr>
      </w:pPr>
      <w:r>
        <w:rPr>
          <w:rFonts w:ascii="Traditional Arabic" w:hAnsi="Traditional Arabic" w:hint="cs"/>
          <w:noProof w:val="0"/>
          <w:color w:val="auto"/>
          <w:rtl/>
          <w:lang w:eastAsia="en-US"/>
        </w:rPr>
        <w:t xml:space="preserve">حديث ابن عباس </w:t>
      </w:r>
      <w:r w:rsidR="00154102">
        <w:rPr>
          <w:rFonts w:ascii="Traditional Arabic" w:hAnsi="Traditional Arabic" w:cs="CTraditional Arabic" w:hint="cs"/>
          <w:noProof w:val="0"/>
          <w:color w:val="auto"/>
          <w:rtl/>
          <w:lang w:eastAsia="en-US"/>
        </w:rPr>
        <w:t>ب</w:t>
      </w:r>
      <w:r>
        <w:rPr>
          <w:rFonts w:ascii="Traditional Arabic" w:hAnsi="Traditional Arabic" w:hint="cs"/>
          <w:noProof w:val="0"/>
          <w:color w:val="auto"/>
          <w:rtl/>
          <w:lang w:eastAsia="en-US"/>
        </w:rPr>
        <w:t xml:space="preserve"> أن رسول الله </w:t>
      </w:r>
      <w:r w:rsidR="002226EA">
        <w:rPr>
          <w:rFonts w:ascii="Traditional Arabic" w:hAnsi="Traditional Arabic" w:hint="cs"/>
          <w:rtl/>
        </w:rPr>
        <w:t>صلى الله عليه وسلم</w:t>
      </w:r>
      <w:r>
        <w:rPr>
          <w:rFonts w:ascii="Traditional Arabic" w:hAnsi="Traditional Arabic" w:hint="cs"/>
          <w:noProof w:val="0"/>
          <w:color w:val="auto"/>
          <w:rtl/>
          <w:lang w:eastAsia="en-US"/>
        </w:rPr>
        <w:t xml:space="preserve"> خَطب الناس في حجة الوداع، فذكر الحديث وفيه: "</w:t>
      </w:r>
      <w:r w:rsidRPr="00E807B5">
        <w:rPr>
          <w:rFonts w:ascii="Traditional Arabic" w:hAnsi="Traditional Arabic"/>
          <w:noProof w:val="0"/>
          <w:color w:val="auto"/>
          <w:rtl/>
          <w:lang w:eastAsia="en-US"/>
        </w:rPr>
        <w:t>لا</w:t>
      </w:r>
      <w:r w:rsidRPr="00F1130C">
        <w:rPr>
          <w:rFonts w:ascii="Traditional Arabic" w:hAnsi="Traditional Arabic"/>
          <w:b/>
          <w:bCs/>
          <w:noProof w:val="0"/>
          <w:color w:val="auto"/>
          <w:rtl/>
          <w:lang w:eastAsia="en-US"/>
        </w:rPr>
        <w:t xml:space="preserve"> </w:t>
      </w:r>
      <w:r w:rsidRPr="00E807B5">
        <w:rPr>
          <w:rFonts w:ascii="Traditional Arabic" w:hAnsi="Traditional Arabic"/>
          <w:noProof w:val="0"/>
          <w:color w:val="auto"/>
          <w:rtl/>
          <w:lang w:eastAsia="en-US"/>
        </w:rPr>
        <w:t>ي</w:t>
      </w:r>
      <w:r w:rsidRPr="00E807B5">
        <w:rPr>
          <w:rFonts w:ascii="Traditional Arabic" w:hAnsi="Traditional Arabic" w:hint="cs"/>
          <w:noProof w:val="0"/>
          <w:color w:val="auto"/>
          <w:rtl/>
          <w:lang w:eastAsia="en-US"/>
        </w:rPr>
        <w:t>َ</w:t>
      </w:r>
      <w:r w:rsidRPr="00E807B5">
        <w:rPr>
          <w:rFonts w:ascii="Traditional Arabic" w:hAnsi="Traditional Arabic"/>
          <w:noProof w:val="0"/>
          <w:color w:val="auto"/>
          <w:rtl/>
          <w:lang w:eastAsia="en-US"/>
        </w:rPr>
        <w:t>ح</w:t>
      </w:r>
      <w:r w:rsidRPr="00E807B5">
        <w:rPr>
          <w:rFonts w:ascii="Traditional Arabic" w:hAnsi="Traditional Arabic" w:hint="cs"/>
          <w:noProof w:val="0"/>
          <w:color w:val="auto"/>
          <w:rtl/>
          <w:lang w:eastAsia="en-US"/>
        </w:rPr>
        <w:t>ِ</w:t>
      </w:r>
      <w:r w:rsidRPr="00E807B5">
        <w:rPr>
          <w:rFonts w:ascii="Traditional Arabic" w:hAnsi="Traditional Arabic"/>
          <w:noProof w:val="0"/>
          <w:color w:val="auto"/>
          <w:rtl/>
          <w:lang w:eastAsia="en-US"/>
        </w:rPr>
        <w:t>ل</w:t>
      </w:r>
      <w:r w:rsidRPr="00E807B5">
        <w:rPr>
          <w:rFonts w:ascii="Traditional Arabic" w:hAnsi="Traditional Arabic" w:hint="cs"/>
          <w:noProof w:val="0"/>
          <w:color w:val="auto"/>
          <w:rtl/>
          <w:lang w:eastAsia="en-US"/>
        </w:rPr>
        <w:t>ُّ</w:t>
      </w:r>
      <w:r w:rsidR="002226EA" w:rsidRPr="00E807B5">
        <w:rPr>
          <w:rFonts w:ascii="Traditional Arabic" w:hAnsi="Traditional Arabic" w:hint="cs"/>
          <w:noProof w:val="0"/>
          <w:color w:val="auto"/>
          <w:rtl/>
          <w:lang w:eastAsia="en-US"/>
        </w:rPr>
        <w:t xml:space="preserve"> </w:t>
      </w:r>
      <w:r w:rsidRPr="00E807B5">
        <w:rPr>
          <w:rFonts w:ascii="Traditional Arabic" w:hAnsi="Traditional Arabic" w:hint="cs"/>
          <w:noProof w:val="0"/>
          <w:color w:val="auto"/>
          <w:rtl/>
          <w:lang w:eastAsia="en-US"/>
        </w:rPr>
        <w:t>ل</w:t>
      </w:r>
      <w:r w:rsidRPr="00E807B5">
        <w:rPr>
          <w:rFonts w:ascii="Traditional Arabic" w:hAnsi="Traditional Arabic"/>
          <w:noProof w:val="0"/>
          <w:color w:val="auto"/>
          <w:rtl/>
          <w:lang w:eastAsia="en-US"/>
        </w:rPr>
        <w:t>امرئ</w:t>
      </w:r>
      <w:r w:rsidRPr="00E807B5">
        <w:rPr>
          <w:rFonts w:ascii="Traditional Arabic" w:hAnsi="Traditional Arabic" w:hint="cs"/>
          <w:noProof w:val="0"/>
          <w:color w:val="auto"/>
          <w:rtl/>
          <w:lang w:eastAsia="en-US"/>
        </w:rPr>
        <w:t>ٍ مِن مالِ أخيه</w:t>
      </w:r>
      <w:r w:rsidRPr="00E807B5">
        <w:rPr>
          <w:rFonts w:ascii="Traditional Arabic" w:hAnsi="Traditional Arabic"/>
          <w:noProof w:val="0"/>
          <w:color w:val="auto"/>
          <w:rtl/>
          <w:lang w:eastAsia="en-US"/>
        </w:rPr>
        <w:t xml:space="preserve"> إلا</w:t>
      </w:r>
      <w:r w:rsidRPr="00E807B5">
        <w:rPr>
          <w:rFonts w:ascii="Traditional Arabic" w:hAnsi="Traditional Arabic" w:hint="cs"/>
          <w:noProof w:val="0"/>
          <w:color w:val="auto"/>
          <w:rtl/>
          <w:lang w:eastAsia="en-US"/>
        </w:rPr>
        <w:t xml:space="preserve"> ما أعطاه</w:t>
      </w:r>
      <w:r w:rsidR="00E807B5">
        <w:rPr>
          <w:rFonts w:ascii="Traditional Arabic" w:hAnsi="Traditional Arabic" w:hint="cs"/>
          <w:noProof w:val="0"/>
          <w:color w:val="auto"/>
          <w:rtl/>
          <w:lang w:eastAsia="en-US"/>
        </w:rPr>
        <w:t xml:space="preserve"> </w:t>
      </w:r>
      <w:r w:rsidRPr="00E807B5">
        <w:rPr>
          <w:rFonts w:ascii="Traditional Arabic" w:hAnsi="Traditional Arabic" w:hint="cs"/>
          <w:noProof w:val="0"/>
          <w:color w:val="auto"/>
          <w:rtl/>
          <w:lang w:eastAsia="en-US"/>
        </w:rPr>
        <w:t>مِن</w:t>
      </w:r>
      <w:r w:rsidRPr="00E807B5">
        <w:rPr>
          <w:rFonts w:ascii="Traditional Arabic" w:hAnsi="Traditional Arabic"/>
          <w:noProof w:val="0"/>
          <w:color w:val="auto"/>
          <w:rtl/>
          <w:lang w:eastAsia="en-US"/>
        </w:rPr>
        <w:t xml:space="preserve"> ط</w:t>
      </w:r>
      <w:r w:rsidRPr="00E807B5">
        <w:rPr>
          <w:rFonts w:ascii="Traditional Arabic" w:hAnsi="Traditional Arabic" w:hint="cs"/>
          <w:noProof w:val="0"/>
          <w:color w:val="auto"/>
          <w:rtl/>
          <w:lang w:eastAsia="en-US"/>
        </w:rPr>
        <w:t>ِ</w:t>
      </w:r>
      <w:r w:rsidRPr="00E807B5">
        <w:rPr>
          <w:rFonts w:ascii="Traditional Arabic" w:hAnsi="Traditional Arabic"/>
          <w:noProof w:val="0"/>
          <w:color w:val="auto"/>
          <w:rtl/>
          <w:lang w:eastAsia="en-US"/>
        </w:rPr>
        <w:t>يب</w:t>
      </w:r>
      <w:r w:rsidRPr="00E807B5">
        <w:rPr>
          <w:rFonts w:ascii="Traditional Arabic" w:hAnsi="Traditional Arabic" w:hint="cs"/>
          <w:noProof w:val="0"/>
          <w:color w:val="auto"/>
          <w:rtl/>
          <w:lang w:eastAsia="en-US"/>
        </w:rPr>
        <w:t>ِ</w:t>
      </w:r>
      <w:r w:rsidRPr="00E807B5">
        <w:rPr>
          <w:rFonts w:ascii="Traditional Arabic" w:hAnsi="Traditional Arabic"/>
          <w:noProof w:val="0"/>
          <w:color w:val="auto"/>
          <w:rtl/>
          <w:lang w:eastAsia="en-US"/>
        </w:rPr>
        <w:t xml:space="preserve"> ن</w:t>
      </w:r>
      <w:r w:rsidRPr="00E807B5">
        <w:rPr>
          <w:rFonts w:ascii="Traditional Arabic" w:hAnsi="Traditional Arabic" w:hint="cs"/>
          <w:noProof w:val="0"/>
          <w:color w:val="auto"/>
          <w:rtl/>
          <w:lang w:eastAsia="en-US"/>
        </w:rPr>
        <w:t>َ</w:t>
      </w:r>
      <w:r w:rsidRPr="00E807B5">
        <w:rPr>
          <w:rFonts w:ascii="Traditional Arabic" w:hAnsi="Traditional Arabic"/>
          <w:noProof w:val="0"/>
          <w:color w:val="auto"/>
          <w:rtl/>
          <w:lang w:eastAsia="en-US"/>
        </w:rPr>
        <w:t>ف</w:t>
      </w:r>
      <w:r w:rsidRPr="00E807B5">
        <w:rPr>
          <w:rFonts w:ascii="Traditional Arabic" w:hAnsi="Traditional Arabic" w:hint="cs"/>
          <w:noProof w:val="0"/>
          <w:color w:val="auto"/>
          <w:rtl/>
          <w:lang w:eastAsia="en-US"/>
        </w:rPr>
        <w:t>ْ</w:t>
      </w:r>
      <w:r w:rsidRPr="00E807B5">
        <w:rPr>
          <w:rFonts w:ascii="Traditional Arabic" w:hAnsi="Traditional Arabic"/>
          <w:noProof w:val="0"/>
          <w:color w:val="auto"/>
          <w:rtl/>
          <w:lang w:eastAsia="en-US"/>
        </w:rPr>
        <w:t>س</w:t>
      </w:r>
      <w:r w:rsidRPr="00E807B5">
        <w:rPr>
          <w:rFonts w:ascii="Traditional Arabic" w:hAnsi="Traditional Arabic" w:hint="cs"/>
          <w:noProof w:val="0"/>
          <w:color w:val="auto"/>
          <w:rtl/>
          <w:lang w:eastAsia="en-US"/>
        </w:rPr>
        <w:t>ٍ</w:t>
      </w:r>
      <w:r>
        <w:rPr>
          <w:rFonts w:ascii="Traditional Arabic" w:hAnsi="Traditional Arabic" w:hint="cs"/>
          <w:noProof w:val="0"/>
          <w:color w:val="auto"/>
          <w:rtl/>
          <w:lang w:eastAsia="en-US"/>
        </w:rPr>
        <w:t>،</w:t>
      </w:r>
      <w:r w:rsidR="00E807B5">
        <w:rPr>
          <w:rFonts w:ascii="Traditional Arabic" w:hAnsi="Traditional Arabic" w:hint="cs"/>
          <w:noProof w:val="0"/>
          <w:color w:val="auto"/>
          <w:rtl/>
          <w:lang w:eastAsia="en-US"/>
        </w:rPr>
        <w:t xml:space="preserve"> </w:t>
      </w:r>
      <w:r w:rsidR="00AB0B9E">
        <w:rPr>
          <w:rFonts w:ascii="Traditional Arabic" w:hAnsi="Traditional Arabic"/>
          <w:noProof w:val="0"/>
          <w:color w:val="auto"/>
          <w:rtl/>
          <w:lang w:eastAsia="en-US"/>
        </w:rPr>
        <w:fldChar w:fldCharType="begin"/>
      </w:r>
      <w:r w:rsidR="00154102" w:rsidRPr="00C85F0F">
        <w:instrText>XE</w:instrText>
      </w:r>
      <w:r w:rsidR="00154102" w:rsidRPr="00C85F0F">
        <w:rPr>
          <w:rtl/>
        </w:rPr>
        <w:instrText xml:space="preserve"> "</w:instrText>
      </w:r>
      <w:r w:rsidR="00154102" w:rsidRPr="00C85F0F">
        <w:rPr>
          <w:rFonts w:ascii="Traditional Arabic" w:hAnsi="Traditional Arabic"/>
          <w:noProof w:val="0"/>
          <w:color w:val="auto"/>
          <w:rtl/>
          <w:lang w:eastAsia="en-US"/>
        </w:rPr>
        <w:instrText>لا ي</w:instrText>
      </w:r>
      <w:r w:rsidR="00154102" w:rsidRPr="00C85F0F">
        <w:rPr>
          <w:rFonts w:ascii="Traditional Arabic" w:hAnsi="Traditional Arabic" w:hint="cs"/>
          <w:noProof w:val="0"/>
          <w:color w:val="auto"/>
          <w:rtl/>
          <w:lang w:eastAsia="en-US"/>
        </w:rPr>
        <w:instrText>َ</w:instrText>
      </w:r>
      <w:r w:rsidR="00154102" w:rsidRPr="00C85F0F">
        <w:rPr>
          <w:rFonts w:ascii="Traditional Arabic" w:hAnsi="Traditional Arabic"/>
          <w:noProof w:val="0"/>
          <w:color w:val="auto"/>
          <w:rtl/>
          <w:lang w:eastAsia="en-US"/>
        </w:rPr>
        <w:instrText>ح</w:instrText>
      </w:r>
      <w:r w:rsidR="00154102" w:rsidRPr="00C85F0F">
        <w:rPr>
          <w:rFonts w:ascii="Traditional Arabic" w:hAnsi="Traditional Arabic" w:hint="cs"/>
          <w:noProof w:val="0"/>
          <w:color w:val="auto"/>
          <w:rtl/>
          <w:lang w:eastAsia="en-US"/>
        </w:rPr>
        <w:instrText>ِ</w:instrText>
      </w:r>
      <w:r w:rsidR="00154102" w:rsidRPr="00C85F0F">
        <w:rPr>
          <w:rFonts w:ascii="Traditional Arabic" w:hAnsi="Traditional Arabic"/>
          <w:noProof w:val="0"/>
          <w:color w:val="auto"/>
          <w:rtl/>
          <w:lang w:eastAsia="en-US"/>
        </w:rPr>
        <w:instrText>ل</w:instrText>
      </w:r>
      <w:r w:rsidR="00154102" w:rsidRPr="00C85F0F">
        <w:rPr>
          <w:rFonts w:ascii="Traditional Arabic" w:hAnsi="Traditional Arabic" w:hint="cs"/>
          <w:noProof w:val="0"/>
          <w:color w:val="auto"/>
          <w:rtl/>
          <w:lang w:eastAsia="en-US"/>
        </w:rPr>
        <w:instrText>ُّل</w:instrText>
      </w:r>
      <w:r w:rsidR="00154102" w:rsidRPr="00C85F0F">
        <w:rPr>
          <w:rFonts w:ascii="Traditional Arabic" w:hAnsi="Traditional Arabic"/>
          <w:noProof w:val="0"/>
          <w:color w:val="auto"/>
          <w:rtl/>
          <w:lang w:eastAsia="en-US"/>
        </w:rPr>
        <w:instrText>امرئ</w:instrText>
      </w:r>
      <w:r w:rsidR="00154102" w:rsidRPr="00C85F0F">
        <w:rPr>
          <w:rFonts w:ascii="Traditional Arabic" w:hAnsi="Traditional Arabic" w:hint="cs"/>
          <w:noProof w:val="0"/>
          <w:color w:val="auto"/>
          <w:rtl/>
          <w:lang w:eastAsia="en-US"/>
        </w:rPr>
        <w:instrText>ٍ مِن مالِ أخيه</w:instrText>
      </w:r>
      <w:r w:rsidR="00154102" w:rsidRPr="00C85F0F">
        <w:rPr>
          <w:rFonts w:ascii="Traditional Arabic" w:hAnsi="Traditional Arabic"/>
          <w:noProof w:val="0"/>
          <w:color w:val="auto"/>
          <w:rtl/>
          <w:lang w:eastAsia="en-US"/>
        </w:rPr>
        <w:instrText xml:space="preserve"> إلا</w:instrText>
      </w:r>
      <w:r w:rsidR="00154102" w:rsidRPr="00C85F0F">
        <w:rPr>
          <w:rFonts w:ascii="Traditional Arabic" w:hAnsi="Traditional Arabic" w:hint="cs"/>
          <w:noProof w:val="0"/>
          <w:color w:val="auto"/>
          <w:rtl/>
          <w:lang w:eastAsia="en-US"/>
        </w:rPr>
        <w:instrText xml:space="preserve"> ما أعطاهمِن</w:instrText>
      </w:r>
      <w:r w:rsidR="00154102" w:rsidRPr="00C85F0F">
        <w:rPr>
          <w:rFonts w:ascii="Traditional Arabic" w:hAnsi="Traditional Arabic"/>
          <w:noProof w:val="0"/>
          <w:color w:val="auto"/>
          <w:rtl/>
          <w:lang w:eastAsia="en-US"/>
        </w:rPr>
        <w:instrText xml:space="preserve"> ط</w:instrText>
      </w:r>
      <w:r w:rsidR="00154102" w:rsidRPr="00C85F0F">
        <w:rPr>
          <w:rFonts w:ascii="Traditional Arabic" w:hAnsi="Traditional Arabic" w:hint="cs"/>
          <w:noProof w:val="0"/>
          <w:color w:val="auto"/>
          <w:rtl/>
          <w:lang w:eastAsia="en-US"/>
        </w:rPr>
        <w:instrText>ِ</w:instrText>
      </w:r>
      <w:r w:rsidR="00154102" w:rsidRPr="00C85F0F">
        <w:rPr>
          <w:rFonts w:ascii="Traditional Arabic" w:hAnsi="Traditional Arabic"/>
          <w:noProof w:val="0"/>
          <w:color w:val="auto"/>
          <w:rtl/>
          <w:lang w:eastAsia="en-US"/>
        </w:rPr>
        <w:instrText>يب</w:instrText>
      </w:r>
      <w:r w:rsidR="00154102" w:rsidRPr="00C85F0F">
        <w:rPr>
          <w:rFonts w:ascii="Traditional Arabic" w:hAnsi="Traditional Arabic" w:hint="cs"/>
          <w:noProof w:val="0"/>
          <w:color w:val="auto"/>
          <w:rtl/>
          <w:lang w:eastAsia="en-US"/>
        </w:rPr>
        <w:instrText>ِ</w:instrText>
      </w:r>
      <w:r w:rsidR="00154102" w:rsidRPr="00C85F0F">
        <w:rPr>
          <w:rFonts w:ascii="Traditional Arabic" w:hAnsi="Traditional Arabic"/>
          <w:noProof w:val="0"/>
          <w:color w:val="auto"/>
          <w:rtl/>
          <w:lang w:eastAsia="en-US"/>
        </w:rPr>
        <w:instrText xml:space="preserve"> ن</w:instrText>
      </w:r>
      <w:r w:rsidR="00154102" w:rsidRPr="00C85F0F">
        <w:rPr>
          <w:rFonts w:ascii="Traditional Arabic" w:hAnsi="Traditional Arabic" w:hint="cs"/>
          <w:noProof w:val="0"/>
          <w:color w:val="auto"/>
          <w:rtl/>
          <w:lang w:eastAsia="en-US"/>
        </w:rPr>
        <w:instrText>َ</w:instrText>
      </w:r>
      <w:r w:rsidR="00154102" w:rsidRPr="00C85F0F">
        <w:rPr>
          <w:rFonts w:ascii="Traditional Arabic" w:hAnsi="Traditional Arabic"/>
          <w:noProof w:val="0"/>
          <w:color w:val="auto"/>
          <w:rtl/>
          <w:lang w:eastAsia="en-US"/>
        </w:rPr>
        <w:instrText>ف</w:instrText>
      </w:r>
      <w:r w:rsidR="00154102" w:rsidRPr="00C85F0F">
        <w:rPr>
          <w:rFonts w:ascii="Traditional Arabic" w:hAnsi="Traditional Arabic" w:hint="cs"/>
          <w:noProof w:val="0"/>
          <w:color w:val="auto"/>
          <w:rtl/>
          <w:lang w:eastAsia="en-US"/>
        </w:rPr>
        <w:instrText>ْ</w:instrText>
      </w:r>
      <w:r w:rsidR="00154102" w:rsidRPr="00C85F0F">
        <w:rPr>
          <w:rFonts w:ascii="Traditional Arabic" w:hAnsi="Traditional Arabic"/>
          <w:noProof w:val="0"/>
          <w:color w:val="auto"/>
          <w:rtl/>
          <w:lang w:eastAsia="en-US"/>
        </w:rPr>
        <w:instrText>س</w:instrText>
      </w:r>
      <w:r w:rsidR="00154102" w:rsidRPr="00C85F0F">
        <w:rPr>
          <w:rFonts w:ascii="Traditional Arabic" w:hAnsi="Traditional Arabic" w:hint="cs"/>
          <w:noProof w:val="0"/>
          <w:color w:val="auto"/>
          <w:rtl/>
          <w:lang w:eastAsia="en-US"/>
        </w:rPr>
        <w:instrText>ٍ،</w:instrText>
      </w:r>
      <w:r w:rsidR="00154102" w:rsidRPr="00C85F0F">
        <w:rPr>
          <w:rtl/>
        </w:rPr>
        <w:instrText>" \</w:instrText>
      </w:r>
      <w:r w:rsidR="00154102" w:rsidRPr="00C85F0F">
        <w:instrText>f</w:instrText>
      </w:r>
      <w:r w:rsidR="00154102">
        <w:instrText>h</w:instrText>
      </w:r>
      <w:r w:rsidR="00AB0B9E">
        <w:rPr>
          <w:rFonts w:ascii="Traditional Arabic" w:hAnsi="Traditional Arabic"/>
          <w:noProof w:val="0"/>
          <w:color w:val="auto"/>
          <w:rtl/>
          <w:lang w:eastAsia="en-US"/>
        </w:rPr>
        <w:fldChar w:fldCharType="end"/>
      </w:r>
      <w:r>
        <w:rPr>
          <w:rFonts w:ascii="Traditional Arabic" w:hAnsi="Traditional Arabic"/>
          <w:noProof w:val="0"/>
          <w:rtl/>
          <w:lang w:eastAsia="en-US"/>
        </w:rPr>
        <w:t>ولا تظلموا ولا ترجعوا بعد</w:t>
      </w:r>
      <w:r>
        <w:rPr>
          <w:rFonts w:ascii="Traditional Arabic" w:hAnsi="Traditional Arabic" w:hint="cs"/>
          <w:noProof w:val="0"/>
          <w:rtl/>
          <w:lang w:eastAsia="en-US"/>
        </w:rPr>
        <w:t>ي</w:t>
      </w:r>
      <w:r w:rsidRPr="005820ED">
        <w:rPr>
          <w:rFonts w:ascii="Traditional Arabic" w:hAnsi="Traditional Arabic"/>
          <w:noProof w:val="0"/>
          <w:rtl/>
          <w:lang w:eastAsia="en-US"/>
        </w:rPr>
        <w:t xml:space="preserve"> كفارا يضرب بعض</w:t>
      </w:r>
      <w:r>
        <w:rPr>
          <w:rFonts w:ascii="Traditional Arabic" w:hAnsi="Traditional Arabic" w:hint="cs"/>
          <w:noProof w:val="0"/>
          <w:rtl/>
          <w:lang w:eastAsia="en-US"/>
        </w:rPr>
        <w:t>ُ</w:t>
      </w:r>
      <w:r w:rsidRPr="005820ED">
        <w:rPr>
          <w:rFonts w:ascii="Traditional Arabic" w:hAnsi="Traditional Arabic"/>
          <w:noProof w:val="0"/>
          <w:rtl/>
          <w:lang w:eastAsia="en-US"/>
        </w:rPr>
        <w:t>كم ر</w:t>
      </w:r>
      <w:r>
        <w:rPr>
          <w:rFonts w:ascii="Traditional Arabic" w:hAnsi="Traditional Arabic" w:hint="cs"/>
          <w:noProof w:val="0"/>
          <w:rtl/>
          <w:lang w:eastAsia="en-US"/>
        </w:rPr>
        <w:t>ِ</w:t>
      </w:r>
      <w:r w:rsidRPr="005820ED">
        <w:rPr>
          <w:rFonts w:ascii="Traditional Arabic" w:hAnsi="Traditional Arabic"/>
          <w:noProof w:val="0"/>
          <w:rtl/>
          <w:lang w:eastAsia="en-US"/>
        </w:rPr>
        <w:t>قاب</w:t>
      </w:r>
      <w:r>
        <w:rPr>
          <w:rFonts w:ascii="Traditional Arabic" w:hAnsi="Traditional Arabic" w:hint="cs"/>
          <w:noProof w:val="0"/>
          <w:rtl/>
          <w:lang w:eastAsia="en-US"/>
        </w:rPr>
        <w:t>َ</w:t>
      </w:r>
      <w:r w:rsidRPr="005820ED">
        <w:rPr>
          <w:rFonts w:ascii="Traditional Arabic" w:hAnsi="Traditional Arabic"/>
          <w:noProof w:val="0"/>
          <w:rtl/>
          <w:lang w:eastAsia="en-US"/>
        </w:rPr>
        <w:t xml:space="preserve"> بعض</w:t>
      </w:r>
      <w:r>
        <w:rPr>
          <w:rFonts w:ascii="Traditional Arabic" w:hAnsi="Traditional Arabic" w:hint="cs"/>
          <w:noProof w:val="0"/>
          <w:rtl/>
          <w:lang w:eastAsia="en-US"/>
        </w:rPr>
        <w:t>ٍ</w:t>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245"/>
      </w:r>
      <w:r w:rsidRPr="00C821A1">
        <w:rPr>
          <w:rStyle w:val="af1"/>
          <w:szCs w:val="32"/>
          <w:rtl/>
        </w:rPr>
        <w:t>)</w:t>
      </w:r>
      <w:r>
        <w:rPr>
          <w:rFonts w:ascii="Traditional Arabic" w:hAnsi="Traditional Arabic" w:hint="cs"/>
          <w:noProof w:val="0"/>
          <w:color w:val="auto"/>
          <w:rtl/>
          <w:lang w:eastAsia="en-US"/>
        </w:rPr>
        <w:t>.</w:t>
      </w:r>
    </w:p>
    <w:p w:rsidR="00F228A9" w:rsidRDefault="00471FD0" w:rsidP="00597C20">
      <w:pPr>
        <w:pStyle w:val="53"/>
        <w:rPr>
          <w:rtl/>
        </w:rPr>
      </w:pPr>
      <w:r>
        <w:rPr>
          <w:rFonts w:hint="cs"/>
          <w:rtl/>
        </w:rPr>
        <w:t>وجه الدلالة:</w:t>
      </w:r>
    </w:p>
    <w:p w:rsidR="00471FD0" w:rsidRPr="002948BC" w:rsidRDefault="00471FD0" w:rsidP="00597C20">
      <w:pPr>
        <w:ind w:firstLine="720"/>
        <w:rPr>
          <w:rFonts w:ascii="Traditional Arabic" w:hAnsi="Traditional Arabic"/>
          <w:noProof w:val="0"/>
          <w:color w:val="auto"/>
          <w:rtl/>
          <w:lang w:eastAsia="en-US"/>
        </w:rPr>
      </w:pPr>
      <w:r w:rsidRPr="002948BC">
        <w:rPr>
          <w:rFonts w:ascii="Traditional Arabic" w:hAnsi="Traditional Arabic" w:hint="cs"/>
          <w:noProof w:val="0"/>
          <w:rtl/>
          <w:lang w:eastAsia="en-US"/>
        </w:rPr>
        <w:t xml:space="preserve">قال </w:t>
      </w:r>
      <w:r w:rsidR="00E807B5">
        <w:rPr>
          <w:rFonts w:ascii="Traditional Arabic" w:hAnsi="Traditional Arabic" w:hint="cs"/>
          <w:noProof w:val="0"/>
          <w:rtl/>
          <w:lang w:eastAsia="en-US"/>
        </w:rPr>
        <w:t xml:space="preserve"> </w:t>
      </w:r>
      <w:r w:rsidRPr="002948BC">
        <w:rPr>
          <w:rFonts w:ascii="Traditional Arabic" w:hAnsi="Traditional Arabic" w:hint="cs"/>
          <w:noProof w:val="0"/>
          <w:rtl/>
          <w:lang w:eastAsia="en-US"/>
        </w:rPr>
        <w:t xml:space="preserve">الشوكاني </w:t>
      </w:r>
      <w:r w:rsidR="00E807B5">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E807B5">
        <w:rPr>
          <w:rFonts w:ascii="Traditional Arabic" w:hAnsi="Traditional Arabic" w:hint="cs"/>
          <w:noProof w:val="0"/>
          <w:rtl/>
          <w:lang w:eastAsia="en-US"/>
        </w:rPr>
        <w:t>_</w:t>
      </w:r>
      <w:r w:rsidRPr="002948BC">
        <w:rPr>
          <w:rFonts w:ascii="Traditional Arabic" w:hAnsi="Traditional Arabic" w:hint="cs"/>
          <w:noProof w:val="0"/>
          <w:rtl/>
          <w:lang w:eastAsia="en-US"/>
        </w:rPr>
        <w:t>:</w:t>
      </w:r>
      <w:r w:rsidR="00B76414" w:rsidRPr="002948BC">
        <w:rPr>
          <w:rFonts w:ascii="Traditional Arabic" w:hAnsi="Traditional Arabic" w:hint="cs"/>
          <w:noProof w:val="0"/>
          <w:rtl/>
          <w:lang w:eastAsia="en-US"/>
        </w:rPr>
        <w:t>(</w:t>
      </w:r>
      <w:r w:rsidRPr="002948BC">
        <w:rPr>
          <w:rFonts w:ascii="Traditional Arabic" w:hAnsi="Traditional Arabic" w:hint="cs"/>
          <w:noProof w:val="0"/>
          <w:rtl/>
          <w:lang w:eastAsia="en-US"/>
        </w:rPr>
        <w:t xml:space="preserve">قوله:"لا يحل مال امرئ مسلم الخ" </w:t>
      </w:r>
      <w:r w:rsidRPr="002948BC">
        <w:rPr>
          <w:rFonts w:ascii="Traditional Arabic" w:hAnsi="Traditional Arabic"/>
          <w:noProof w:val="0"/>
          <w:rtl/>
          <w:lang w:eastAsia="en-US"/>
        </w:rPr>
        <w:t>هذا أمر</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 xml:space="preserve"> م</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ص</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ر</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ح</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 xml:space="preserve"> به في القرآن الكريم</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 xml:space="preserve"> قال الله تعالى </w:t>
      </w:r>
      <w:r w:rsidRPr="002948BC">
        <w:rPr>
          <w:rFonts w:ascii="QCF_BSML" w:hAnsi="QCF_BSML" w:cs="QCF_BSML"/>
          <w:noProof w:val="0"/>
          <w:rtl/>
          <w:lang w:eastAsia="en-US"/>
        </w:rPr>
        <w:t xml:space="preserve">ﭽ </w:t>
      </w:r>
      <w:r w:rsidRPr="002948BC">
        <w:rPr>
          <w:rFonts w:ascii="QCF_P029" w:hAnsi="QCF_P029" w:cs="QCF_P029"/>
          <w:noProof w:val="0"/>
          <w:rtl/>
          <w:lang w:eastAsia="en-US"/>
        </w:rPr>
        <w:t>ﮛﮜﮝﮞﮟ</w:t>
      </w:r>
      <w:r w:rsidRPr="002948BC">
        <w:rPr>
          <w:rFonts w:ascii="QCF_BSML" w:hAnsi="QCF_BSML" w:cs="QCF_BSML"/>
          <w:noProof w:val="0"/>
          <w:rtl/>
          <w:lang w:eastAsia="en-US"/>
        </w:rPr>
        <w:t>ﭼ</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البقرة: ١٨٨</w:t>
      </w:r>
      <w:r w:rsidRPr="002948BC">
        <w:rPr>
          <w:rFonts w:ascii="Traditional Arabic" w:hAnsi="Traditional Arabic" w:hint="cs"/>
          <w:noProof w:val="0"/>
          <w:color w:val="auto"/>
          <w:rtl/>
          <w:lang w:eastAsia="en-US"/>
        </w:rPr>
        <w:t>]،</w:t>
      </w:r>
      <w:r w:rsidR="00E807B5">
        <w:rPr>
          <w:rFonts w:ascii="Traditional Arabic" w:hAnsi="Traditional Arabic" w:hint="cs"/>
          <w:noProof w:val="0"/>
          <w:rtl/>
          <w:lang w:eastAsia="en-US"/>
        </w:rPr>
        <w:t xml:space="preserve"> </w:t>
      </w:r>
      <w:r w:rsidRPr="002948BC">
        <w:rPr>
          <w:rFonts w:ascii="Traditional Arabic" w:hAnsi="Traditional Arabic"/>
          <w:noProof w:val="0"/>
          <w:rtl/>
          <w:lang w:eastAsia="en-US"/>
        </w:rPr>
        <w:t>ولا شك أن م</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ن أكل مال</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 xml:space="preserve"> مسلم بغير طيب</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 xml:space="preserve"> نفسه آكل</w:t>
      </w:r>
      <w:r w:rsidRPr="002948BC">
        <w:rPr>
          <w:rFonts w:ascii="Traditional Arabic" w:hAnsi="Traditional Arabic" w:hint="cs"/>
          <w:noProof w:val="0"/>
          <w:rtl/>
          <w:lang w:eastAsia="en-US"/>
        </w:rPr>
        <w:t>ٌ</w:t>
      </w:r>
      <w:r w:rsidRPr="002948BC">
        <w:rPr>
          <w:rFonts w:ascii="Traditional Arabic" w:hAnsi="Traditional Arabic"/>
          <w:noProof w:val="0"/>
          <w:rtl/>
          <w:lang w:eastAsia="en-US"/>
        </w:rPr>
        <w:t xml:space="preserve"> له بالباطل</w:t>
      </w:r>
      <w:r w:rsidRPr="002948BC">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246"/>
      </w:r>
      <w:r w:rsidRPr="00C821A1">
        <w:rPr>
          <w:rStyle w:val="af1"/>
          <w:szCs w:val="32"/>
          <w:rtl/>
        </w:rPr>
        <w:t>)</w:t>
      </w:r>
      <w:r w:rsidRPr="002948BC">
        <w:rPr>
          <w:rFonts w:ascii="Traditional Arabic" w:hAnsi="Traditional Arabic" w:hint="cs"/>
          <w:noProof w:val="0"/>
          <w:rtl/>
          <w:lang w:eastAsia="en-US"/>
        </w:rPr>
        <w:t>.</w:t>
      </w:r>
    </w:p>
    <w:p w:rsidR="00471FD0" w:rsidRDefault="00471FD0" w:rsidP="000A76C7">
      <w:pPr>
        <w:pStyle w:val="afc"/>
        <w:numPr>
          <w:ilvl w:val="0"/>
          <w:numId w:val="165"/>
        </w:numPr>
        <w:rPr>
          <w:rFonts w:ascii="Traditional Arabic" w:hAnsi="Traditional Arabic"/>
          <w:noProof w:val="0"/>
          <w:color w:val="auto"/>
          <w:lang w:eastAsia="en-US"/>
        </w:rPr>
      </w:pPr>
      <w:r>
        <w:rPr>
          <w:rFonts w:ascii="Traditional Arabic" w:hAnsi="Traditional Arabic" w:hint="cs"/>
          <w:noProof w:val="0"/>
          <w:color w:val="auto"/>
          <w:rtl/>
          <w:lang w:eastAsia="en-US"/>
        </w:rPr>
        <w:t xml:space="preserve">حديث أبي بكرة </w:t>
      </w:r>
      <w:r w:rsidR="00E807B5">
        <w:rPr>
          <w:rFonts w:ascii="Traditional Arabic" w:hAnsi="Traditional Arabic" w:hint="cs"/>
          <w:noProof w:val="0"/>
          <w:color w:val="auto"/>
          <w:rtl/>
          <w:lang w:eastAsia="en-US"/>
        </w:rPr>
        <w:t>_</w:t>
      </w:r>
      <w:r w:rsidR="009A0575">
        <w:rPr>
          <w:rFonts w:ascii="Traditional Arabic" w:hAnsi="Traditional Arabic" w:cs="CTraditional Arabic" w:hint="cs"/>
          <w:rtl/>
        </w:rPr>
        <w:t>ا</w:t>
      </w:r>
      <w:r w:rsidR="00E807B5">
        <w:rPr>
          <w:rFonts w:ascii="Traditional Arabic" w:hAnsi="Traditional Arabic" w:hint="cs"/>
          <w:noProof w:val="0"/>
          <w:color w:val="auto"/>
          <w:rtl/>
          <w:lang w:eastAsia="en-US"/>
        </w:rPr>
        <w:t>_</w:t>
      </w:r>
      <w:r w:rsidR="002226EA">
        <w:rPr>
          <w:rFonts w:ascii="Traditional Arabic" w:hAnsi="Traditional Arabic" w:hint="cs"/>
          <w:noProof w:val="0"/>
          <w:color w:val="auto"/>
          <w:rtl/>
          <w:lang w:eastAsia="en-US"/>
        </w:rPr>
        <w:t xml:space="preserve">وفيه أن رسول الله </w:t>
      </w:r>
      <w:r>
        <w:rPr>
          <w:rFonts w:ascii="Traditional Arabic" w:hAnsi="Traditional Arabic" w:hint="cs"/>
          <w:noProof w:val="0"/>
          <w:color w:val="auto"/>
          <w:rtl/>
          <w:lang w:eastAsia="en-US"/>
        </w:rPr>
        <w:t xml:space="preserve"> </w:t>
      </w:r>
      <w:r w:rsidR="002226EA">
        <w:rPr>
          <w:rFonts w:ascii="Traditional Arabic" w:hAnsi="Traditional Arabic" w:hint="cs"/>
          <w:rtl/>
        </w:rPr>
        <w:t>صلى الله عليه وسلم</w:t>
      </w:r>
      <w:r w:rsidR="002226EA" w:rsidRPr="00B914DF">
        <w:rPr>
          <w:rFonts w:ascii="Traditional Arabic" w:hAnsi="Traditional Arabic"/>
          <w:rtl/>
        </w:rPr>
        <w:t xml:space="preserve"> </w:t>
      </w:r>
      <w:r>
        <w:rPr>
          <w:rFonts w:ascii="Traditional Arabic" w:hAnsi="Traditional Arabic" w:hint="cs"/>
          <w:noProof w:val="0"/>
          <w:color w:val="auto"/>
          <w:rtl/>
          <w:lang w:eastAsia="en-US"/>
        </w:rPr>
        <w:t>قال:</w:t>
      </w:r>
      <w:r w:rsidR="00E807B5">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"ف</w:t>
      </w:r>
      <w:r w:rsidRPr="00F1130C">
        <w:rPr>
          <w:rFonts w:ascii="Traditional Arabic" w:hAnsi="Traditional Arabic"/>
          <w:noProof w:val="0"/>
          <w:color w:val="auto"/>
          <w:rtl/>
          <w:lang w:eastAsia="en-US"/>
        </w:rPr>
        <w:t>إن دماءكم</w:t>
      </w:r>
      <w:r>
        <w:rPr>
          <w:rFonts w:ascii="Traditional Arabic" w:hAnsi="Traditional Arabic"/>
          <w:noProof w:val="0"/>
          <w:color w:val="auto"/>
          <w:rtl/>
          <w:lang w:eastAsia="en-US"/>
        </w:rPr>
        <w:t xml:space="preserve"> وأموالكم وأعراضكم </w:t>
      </w:r>
      <w:r>
        <w:rPr>
          <w:rFonts w:ascii="Traditional Arabic" w:hAnsi="Traditional Arabic" w:hint="cs"/>
          <w:noProof w:val="0"/>
          <w:color w:val="auto"/>
          <w:rtl/>
          <w:lang w:eastAsia="en-US"/>
        </w:rPr>
        <w:t>عليكم</w:t>
      </w:r>
      <w:r w:rsidRPr="00F1130C">
        <w:rPr>
          <w:rFonts w:ascii="Traditional Arabic" w:hAnsi="Traditional Arabic"/>
          <w:noProof w:val="0"/>
          <w:color w:val="auto"/>
          <w:rtl/>
          <w:lang w:eastAsia="en-US"/>
        </w:rPr>
        <w:t xml:space="preserve"> حرام</w:t>
      </w:r>
      <w:r w:rsidR="00AB0B9E">
        <w:rPr>
          <w:rFonts w:ascii="Traditional Arabic" w:hAnsi="Traditional Arabic"/>
          <w:noProof w:val="0"/>
          <w:color w:val="auto"/>
          <w:rtl/>
          <w:lang w:eastAsia="en-US"/>
        </w:rPr>
        <w:fldChar w:fldCharType="begin"/>
      </w:r>
      <w:r w:rsidR="00154102" w:rsidRPr="00C85F0F">
        <w:instrText>XE</w:instrText>
      </w:r>
      <w:r w:rsidR="00154102" w:rsidRPr="00C85F0F">
        <w:rPr>
          <w:rtl/>
        </w:rPr>
        <w:instrText xml:space="preserve"> "</w:instrText>
      </w:r>
      <w:r w:rsidR="00154102" w:rsidRPr="00C85F0F">
        <w:rPr>
          <w:rFonts w:ascii="Traditional Arabic" w:hAnsi="Traditional Arabic" w:hint="cs"/>
          <w:noProof w:val="0"/>
          <w:color w:val="auto"/>
          <w:rtl/>
          <w:lang w:eastAsia="en-US"/>
        </w:rPr>
        <w:instrText>ف</w:instrText>
      </w:r>
      <w:r w:rsidR="00154102" w:rsidRPr="00C85F0F">
        <w:rPr>
          <w:rFonts w:ascii="Traditional Arabic" w:hAnsi="Traditional Arabic"/>
          <w:noProof w:val="0"/>
          <w:color w:val="auto"/>
          <w:rtl/>
          <w:lang w:eastAsia="en-US"/>
        </w:rPr>
        <w:instrText xml:space="preserve">إن دماءكم وأموالكم وأعراضكم </w:instrText>
      </w:r>
      <w:r w:rsidR="00154102" w:rsidRPr="00C85F0F">
        <w:rPr>
          <w:rFonts w:ascii="Traditional Arabic" w:hAnsi="Traditional Arabic" w:hint="cs"/>
          <w:noProof w:val="0"/>
          <w:color w:val="auto"/>
          <w:rtl/>
          <w:lang w:eastAsia="en-US"/>
        </w:rPr>
        <w:instrText>عليكم</w:instrText>
      </w:r>
      <w:r w:rsidR="00154102" w:rsidRPr="00C85F0F">
        <w:rPr>
          <w:rFonts w:ascii="Traditional Arabic" w:hAnsi="Traditional Arabic"/>
          <w:noProof w:val="0"/>
          <w:color w:val="auto"/>
          <w:rtl/>
          <w:lang w:eastAsia="en-US"/>
        </w:rPr>
        <w:instrText xml:space="preserve"> حرام</w:instrText>
      </w:r>
      <w:r w:rsidR="00154102" w:rsidRPr="00C85F0F">
        <w:rPr>
          <w:rtl/>
        </w:rPr>
        <w:instrText>" \</w:instrText>
      </w:r>
      <w:r w:rsidR="00154102" w:rsidRPr="00C85F0F">
        <w:instrText>f</w:instrText>
      </w:r>
      <w:r w:rsidR="00154102">
        <w:instrText>h</w:instrText>
      </w:r>
      <w:r w:rsidR="00AB0B9E">
        <w:rPr>
          <w:rFonts w:ascii="Traditional Arabic" w:hAnsi="Traditional Arabic"/>
          <w:noProof w:val="0"/>
          <w:color w:val="auto"/>
          <w:rtl/>
          <w:lang w:eastAsia="en-US"/>
        </w:rPr>
        <w:fldChar w:fldCharType="end"/>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247"/>
      </w:r>
      <w:r w:rsidRPr="00C821A1">
        <w:rPr>
          <w:rStyle w:val="af1"/>
          <w:szCs w:val="32"/>
          <w:rtl/>
        </w:rPr>
        <w:t>)</w:t>
      </w:r>
      <w:r>
        <w:rPr>
          <w:rFonts w:ascii="Traditional Arabic" w:hAnsi="Traditional Arabic" w:hint="cs"/>
          <w:noProof w:val="0"/>
          <w:color w:val="auto"/>
          <w:rtl/>
          <w:lang w:eastAsia="en-US"/>
        </w:rPr>
        <w:t>.</w:t>
      </w:r>
    </w:p>
    <w:p w:rsidR="00471FD0" w:rsidRDefault="00471FD0" w:rsidP="00597C20">
      <w:pPr>
        <w:pStyle w:val="53"/>
        <w:rPr>
          <w:rtl/>
        </w:rPr>
      </w:pPr>
      <w:r w:rsidRPr="00B308B8">
        <w:rPr>
          <w:rFonts w:hint="cs"/>
          <w:rtl/>
        </w:rPr>
        <w:t>وجه الدلالة:</w:t>
      </w:r>
    </w:p>
    <w:p w:rsidR="00471FD0" w:rsidRPr="002948BC" w:rsidRDefault="00471FD0" w:rsidP="00597C20">
      <w:pPr>
        <w:ind w:firstLine="720"/>
        <w:rPr>
          <w:rFonts w:ascii="Traditional Arabic" w:hAnsi="Traditional Arabic"/>
          <w:noProof w:val="0"/>
          <w:color w:val="auto"/>
          <w:rtl/>
          <w:lang w:eastAsia="en-US"/>
        </w:rPr>
      </w:pPr>
      <w:r w:rsidRPr="002948BC">
        <w:rPr>
          <w:rFonts w:ascii="Traditional Arabic" w:hAnsi="Traditional Arabic" w:hint="cs"/>
          <w:noProof w:val="0"/>
          <w:color w:val="auto"/>
          <w:rtl/>
          <w:lang w:eastAsia="en-US"/>
        </w:rPr>
        <w:t xml:space="preserve">يقول الشيخ ابن عثيمين </w:t>
      </w:r>
      <w:r w:rsidR="00E807B5">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E807B5">
        <w:rPr>
          <w:rFonts w:ascii="Traditional Arabic" w:hAnsi="Traditional Arabic" w:hint="cs"/>
          <w:noProof w:val="0"/>
          <w:color w:val="auto"/>
          <w:rtl/>
          <w:lang w:eastAsia="en-US"/>
        </w:rPr>
        <w:t>_</w:t>
      </w:r>
      <w:r w:rsidRPr="002948BC">
        <w:rPr>
          <w:rFonts w:ascii="Traditional Arabic" w:hAnsi="Traditional Arabic" w:hint="cs"/>
          <w:noProof w:val="0"/>
          <w:color w:val="auto"/>
          <w:rtl/>
          <w:lang w:eastAsia="en-US"/>
        </w:rPr>
        <w:t>:</w:t>
      </w:r>
      <w:r w:rsidR="00B76414"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فهذه الأشياء حرام على المسلم أن ي</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ن</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ت</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ه</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ك</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ها من أخيه المسلم</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 xml:space="preserve"> فلا ي</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ح</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ل</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 xml:space="preserve"> د</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م</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 xml:space="preserve"> امرئ مسلم إلا بإحدى ثلاثة</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 xml:space="preserve"> الثيب الزاني والنفس بالنفس والتارك لدينه ال</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م</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فار</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ق للجماعة</w:t>
      </w:r>
      <w:r w:rsidRPr="002948BC">
        <w:rPr>
          <w:rFonts w:ascii="Traditional Arabic" w:hAnsi="Traditional Arabic" w:hint="cs"/>
          <w:noProof w:val="0"/>
          <w:color w:val="auto"/>
          <w:rtl/>
          <w:lang w:eastAsia="en-US"/>
        </w:rPr>
        <w:t>،</w:t>
      </w:r>
      <w:r w:rsidR="00E807B5">
        <w:rPr>
          <w:rFonts w:ascii="Traditional Arabic" w:hAnsi="Traditional Arabic" w:hint="cs"/>
          <w:b/>
          <w:bCs/>
          <w:noProof w:val="0"/>
          <w:color w:val="auto"/>
          <w:rtl/>
          <w:lang w:eastAsia="en-US"/>
        </w:rPr>
        <w:t xml:space="preserve"> </w:t>
      </w:r>
      <w:r w:rsidRPr="00E807B5">
        <w:rPr>
          <w:rFonts w:ascii="Traditional Arabic" w:hAnsi="Traditional Arabic"/>
          <w:noProof w:val="0"/>
          <w:color w:val="auto"/>
          <w:rtl/>
          <w:lang w:eastAsia="en-US"/>
        </w:rPr>
        <w:t>الأموال أيضا حرام</w:t>
      </w:r>
      <w:r w:rsidR="00E807B5">
        <w:rPr>
          <w:rFonts w:ascii="Traditional Arabic" w:hAnsi="Traditional Arabic" w:hint="cs"/>
          <w:noProof w:val="0"/>
          <w:color w:val="auto"/>
          <w:rtl/>
          <w:lang w:eastAsia="en-US"/>
        </w:rPr>
        <w:t>،</w:t>
      </w:r>
      <w:r w:rsidRPr="00E807B5">
        <w:rPr>
          <w:rFonts w:ascii="Traditional Arabic" w:hAnsi="Traditional Arabic"/>
          <w:noProof w:val="0"/>
          <w:color w:val="auto"/>
          <w:rtl/>
          <w:lang w:eastAsia="en-US"/>
        </w:rPr>
        <w:t xml:space="preserve"> فلا يحل مال امرئ مسلم إلا بطيب</w:t>
      </w:r>
      <w:r w:rsidRPr="00E807B5">
        <w:rPr>
          <w:rFonts w:ascii="Traditional Arabic" w:hAnsi="Traditional Arabic" w:hint="cs"/>
          <w:noProof w:val="0"/>
          <w:color w:val="auto"/>
          <w:rtl/>
          <w:lang w:eastAsia="en-US"/>
        </w:rPr>
        <w:t>ِ</w:t>
      </w:r>
      <w:r w:rsidRPr="00E807B5">
        <w:rPr>
          <w:rFonts w:ascii="Traditional Arabic" w:hAnsi="Traditional Arabic"/>
          <w:noProof w:val="0"/>
          <w:color w:val="auto"/>
          <w:rtl/>
          <w:lang w:eastAsia="en-US"/>
        </w:rPr>
        <w:t xml:space="preserve"> نفس منه</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 xml:space="preserve"> وقال تعالى</w:t>
      </w:r>
      <w:r w:rsidRPr="002948BC">
        <w:rPr>
          <w:rFonts w:ascii="Traditional Arabic" w:hAnsi="Traditional Arabic" w:hint="cs"/>
          <w:noProof w:val="0"/>
          <w:color w:val="auto"/>
          <w:rtl/>
          <w:lang w:eastAsia="en-US"/>
        </w:rPr>
        <w:t xml:space="preserve">: </w:t>
      </w:r>
      <w:bookmarkStart w:id="241" w:name="سورة_النساء_29_2"/>
      <w:r w:rsidRPr="002948BC">
        <w:rPr>
          <w:rFonts w:ascii="QCF_BSML" w:hAnsi="QCF_BSML" w:cs="QCF_BSML"/>
          <w:noProof w:val="0"/>
          <w:rtl/>
          <w:lang w:eastAsia="en-US"/>
        </w:rPr>
        <w:t>ﭽ</w:t>
      </w:r>
      <w:r w:rsidRPr="002948BC">
        <w:rPr>
          <w:rFonts w:ascii="QCF_P083" w:hAnsi="QCF_P083" w:cs="QCF_P083"/>
          <w:noProof w:val="0"/>
          <w:rtl/>
          <w:lang w:eastAsia="en-US"/>
        </w:rPr>
        <w:t>ﭩ</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ﭪ</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ﭫ</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ﭬ</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ﭭ</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ﭮ</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ﭯ</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ﭰ</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ﭱ</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ﭲ</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ﭳ</w:t>
      </w:r>
      <w:r w:rsidR="00E807B5">
        <w:rPr>
          <w:rFonts w:ascii="QCF_P083" w:hAnsi="QCF_P083" w:cs="QCF_P083" w:hint="cs"/>
          <w:noProof w:val="0"/>
          <w:rtl/>
          <w:lang w:eastAsia="en-US"/>
        </w:rPr>
        <w:t xml:space="preserve"> </w:t>
      </w:r>
      <w:r w:rsidRPr="002948BC">
        <w:rPr>
          <w:rFonts w:ascii="QCF_P083" w:hAnsi="QCF_P083" w:cs="QCF_P083"/>
          <w:noProof w:val="0"/>
          <w:rtl/>
          <w:lang w:eastAsia="en-US"/>
        </w:rPr>
        <w:lastRenderedPageBreak/>
        <w:t>ﭴ</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ﭵ</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ﭶ</w:t>
      </w:r>
      <w:r w:rsidR="00E807B5">
        <w:rPr>
          <w:rFonts w:ascii="QCF_P083" w:hAnsi="QCF_P083" w:cs="QCF_P083" w:hint="cs"/>
          <w:noProof w:val="0"/>
          <w:rtl/>
          <w:lang w:eastAsia="en-US"/>
        </w:rPr>
        <w:t xml:space="preserve"> </w:t>
      </w:r>
      <w:r w:rsidRPr="002948BC">
        <w:rPr>
          <w:rFonts w:ascii="QCF_P083" w:hAnsi="QCF_P083" w:cs="QCF_P083"/>
          <w:noProof w:val="0"/>
          <w:rtl/>
          <w:lang w:eastAsia="en-US"/>
        </w:rPr>
        <w:t>ﭷ</w:t>
      </w:r>
      <w:r w:rsidRPr="002948BC">
        <w:rPr>
          <w:rFonts w:ascii="QCF_BSML" w:hAnsi="QCF_BSML" w:cs="QCF_BSML"/>
          <w:noProof w:val="0"/>
          <w:rtl/>
          <w:lang w:eastAsia="en-US"/>
        </w:rPr>
        <w:t>ﭼ</w:t>
      </w:r>
      <w:bookmarkEnd w:id="241"/>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النساء: ٢٩</w:t>
      </w:r>
      <w:r w:rsidRPr="002948BC">
        <w:rPr>
          <w:rFonts w:ascii="Traditional Arabic" w:hAnsi="Traditional Arabic" w:hint="cs"/>
          <w:noProof w:val="0"/>
          <w:color w:val="auto"/>
          <w:rtl/>
          <w:lang w:eastAsia="en-US"/>
        </w:rPr>
        <w:t>]،</w:t>
      </w:r>
      <w:r w:rsidR="00E807B5">
        <w:rPr>
          <w:rFonts w:ascii="Traditional Arabic" w:hAnsi="Traditional Arabic" w:hint="cs"/>
          <w:noProof w:val="0"/>
          <w:color w:val="auto"/>
          <w:rtl/>
          <w:lang w:eastAsia="en-US"/>
        </w:rPr>
        <w:t xml:space="preserve"> </w:t>
      </w:r>
      <w:r w:rsidRPr="002948BC">
        <w:rPr>
          <w:rFonts w:ascii="Traditional Arabic" w:hAnsi="Traditional Arabic"/>
          <w:noProof w:val="0"/>
          <w:color w:val="auto"/>
          <w:rtl/>
          <w:lang w:eastAsia="en-US"/>
        </w:rPr>
        <w:t>والأعراض أيضا محتر</w:t>
      </w:r>
      <w:r w:rsidRPr="002948BC">
        <w:rPr>
          <w:rFonts w:ascii="Traditional Arabic" w:hAnsi="Traditional Arabic" w:hint="cs"/>
          <w:noProof w:val="0"/>
          <w:color w:val="auto"/>
          <w:rtl/>
          <w:lang w:eastAsia="en-US"/>
        </w:rPr>
        <w:t>َ</w:t>
      </w:r>
      <w:r w:rsidRPr="002948BC">
        <w:rPr>
          <w:rFonts w:ascii="Traditional Arabic" w:hAnsi="Traditional Arabic"/>
          <w:noProof w:val="0"/>
          <w:color w:val="auto"/>
          <w:rtl/>
          <w:lang w:eastAsia="en-US"/>
        </w:rPr>
        <w:t>مة</w:t>
      </w:r>
      <w:r w:rsidR="00B76414" w:rsidRPr="002948BC">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248"/>
      </w:r>
      <w:r w:rsidRPr="00C821A1">
        <w:rPr>
          <w:rStyle w:val="af1"/>
          <w:szCs w:val="32"/>
          <w:rtl/>
        </w:rPr>
        <w:t>)</w:t>
      </w:r>
      <w:r w:rsidRPr="002948BC">
        <w:rPr>
          <w:rFonts w:ascii="Traditional Arabic" w:hAnsi="Traditional Arabic" w:hint="cs"/>
          <w:noProof w:val="0"/>
          <w:color w:val="auto"/>
          <w:rtl/>
          <w:lang w:eastAsia="en-US"/>
        </w:rPr>
        <w:t>.</w:t>
      </w:r>
    </w:p>
    <w:p w:rsidR="00471FD0" w:rsidRPr="006D30EA" w:rsidRDefault="002226EA" w:rsidP="00A8347C">
      <w:pPr>
        <w:pStyle w:val="aff3"/>
        <w:rPr>
          <w:rtl/>
        </w:rPr>
      </w:pPr>
      <w:bookmarkStart w:id="242" w:name="_Toc334046463"/>
      <w:r>
        <w:rPr>
          <w:rFonts w:hint="cs"/>
          <w:rtl/>
        </w:rPr>
        <w:t xml:space="preserve">                                        المطلب</w:t>
      </w:r>
      <w:r w:rsidR="00E807B5">
        <w:rPr>
          <w:rFonts w:hint="cs"/>
          <w:rtl/>
        </w:rPr>
        <w:t xml:space="preserve"> </w:t>
      </w:r>
      <w:r w:rsidR="00471FD0" w:rsidRPr="006D30EA">
        <w:rPr>
          <w:rFonts w:hint="cs"/>
          <w:rtl/>
        </w:rPr>
        <w:t>الرابع</w:t>
      </w:r>
      <w:r w:rsidR="006D30EA">
        <w:rPr>
          <w:rFonts w:hint="eastAsia"/>
          <w:rtl/>
        </w:rPr>
        <w:t> :</w:t>
      </w:r>
      <w:r w:rsidR="006D30EA">
        <w:rPr>
          <w:rFonts w:hint="cs"/>
          <w:rtl/>
        </w:rPr>
        <w:br/>
      </w:r>
      <w:r>
        <w:rPr>
          <w:rFonts w:hint="cs"/>
          <w:rtl/>
        </w:rPr>
        <w:t xml:space="preserve">                                        </w:t>
      </w:r>
      <w:r w:rsidR="00471FD0" w:rsidRPr="006D30EA">
        <w:rPr>
          <w:rFonts w:hint="cs"/>
          <w:rtl/>
        </w:rPr>
        <w:t>تطبيقات القاعدة</w:t>
      </w:r>
      <w:bookmarkEnd w:id="242"/>
    </w:p>
    <w:p w:rsidR="00F228A9" w:rsidRPr="001E3AD2" w:rsidRDefault="00471FD0" w:rsidP="000A76C7">
      <w:pPr>
        <w:pStyle w:val="afc"/>
        <w:numPr>
          <w:ilvl w:val="0"/>
          <w:numId w:val="166"/>
        </w:numPr>
        <w:rPr>
          <w:rFonts w:ascii="Traditional Arabic" w:hAnsi="Traditional Arabic"/>
          <w:noProof w:val="0"/>
          <w:color w:val="auto"/>
          <w:lang w:eastAsia="en-US"/>
        </w:rPr>
      </w:pPr>
      <w:r w:rsidRPr="001E3AD2">
        <w:rPr>
          <w:rFonts w:ascii="Traditional Arabic" w:hAnsi="Traditional Arabic" w:hint="cs"/>
          <w:noProof w:val="0"/>
          <w:color w:val="auto"/>
          <w:rtl/>
          <w:lang w:eastAsia="en-US"/>
        </w:rPr>
        <w:t>ليس للم</w:t>
      </w:r>
      <w:r>
        <w:rPr>
          <w:rFonts w:ascii="Traditional Arabic" w:hAnsi="Traditional Arabic" w:hint="cs"/>
          <w:noProof w:val="0"/>
          <w:color w:val="auto"/>
          <w:rtl/>
          <w:lang w:eastAsia="en-US"/>
        </w:rPr>
        <w:t>ُ</w:t>
      </w:r>
      <w:r w:rsidRPr="001E3AD2">
        <w:rPr>
          <w:rFonts w:ascii="Traditional Arabic" w:hAnsi="Traditional Arabic" w:hint="cs"/>
          <w:noProof w:val="0"/>
          <w:color w:val="auto"/>
          <w:rtl/>
          <w:lang w:eastAsia="en-US"/>
        </w:rPr>
        <w:t>ر</w:t>
      </w:r>
      <w:r>
        <w:rPr>
          <w:rFonts w:ascii="Traditional Arabic" w:hAnsi="Traditional Arabic" w:hint="cs"/>
          <w:noProof w:val="0"/>
          <w:color w:val="auto"/>
          <w:rtl/>
          <w:lang w:eastAsia="en-US"/>
        </w:rPr>
        <w:t>ْ</w:t>
      </w:r>
      <w:r w:rsidRPr="001E3AD2">
        <w:rPr>
          <w:rFonts w:ascii="Traditional Arabic" w:hAnsi="Traditional Arabic" w:hint="cs"/>
          <w:noProof w:val="0"/>
          <w:color w:val="auto"/>
          <w:rtl/>
          <w:lang w:eastAsia="en-US"/>
        </w:rPr>
        <w:t>ته</w:t>
      </w:r>
      <w:r>
        <w:rPr>
          <w:rFonts w:ascii="Traditional Arabic" w:hAnsi="Traditional Arabic" w:hint="cs"/>
          <w:noProof w:val="0"/>
          <w:color w:val="auto"/>
          <w:rtl/>
          <w:lang w:eastAsia="en-US"/>
        </w:rPr>
        <w:t>ِ</w:t>
      </w:r>
      <w:r w:rsidRPr="001E3AD2">
        <w:rPr>
          <w:rFonts w:ascii="Traditional Arabic" w:hAnsi="Traditional Arabic" w:hint="cs"/>
          <w:noProof w:val="0"/>
          <w:color w:val="auto"/>
          <w:rtl/>
          <w:lang w:eastAsia="en-US"/>
        </w:rPr>
        <w:t>ن أن ينتفع بشيء من الرهن إلا ما استثناه الشرع كالرُّكوب واللبَن في الدوابِّ بقدر نفقته عليها</w:t>
      </w:r>
      <w:r w:rsidRPr="00C821A1">
        <w:rPr>
          <w:rStyle w:val="af1"/>
          <w:szCs w:val="32"/>
          <w:rtl/>
        </w:rPr>
        <w:t>(</w:t>
      </w:r>
      <w:r w:rsidRPr="00C821A1">
        <w:rPr>
          <w:rStyle w:val="af1"/>
          <w:szCs w:val="32"/>
          <w:rtl/>
        </w:rPr>
        <w:footnoteReference w:id="1249"/>
      </w:r>
      <w:r w:rsidRPr="00C821A1">
        <w:rPr>
          <w:rStyle w:val="af1"/>
          <w:szCs w:val="32"/>
          <w:rtl/>
        </w:rPr>
        <w:t>)</w:t>
      </w:r>
      <w:r w:rsidRPr="001E3AD2">
        <w:rPr>
          <w:rFonts w:ascii="Traditional Arabic" w:hAnsi="Traditional Arabic" w:hint="cs"/>
          <w:noProof w:val="0"/>
          <w:color w:val="auto"/>
          <w:rtl/>
          <w:lang w:eastAsia="en-US"/>
        </w:rPr>
        <w:t>.</w:t>
      </w:r>
    </w:p>
    <w:p w:rsidR="00471FD0" w:rsidRDefault="00471FD0" w:rsidP="00597C20">
      <w:pPr>
        <w:pStyle w:val="53"/>
        <w:rPr>
          <w:rtl/>
        </w:rPr>
      </w:pPr>
      <w:r>
        <w:rPr>
          <w:rFonts w:hint="cs"/>
          <w:rtl/>
        </w:rPr>
        <w:t>وجه اندراج الفرع تحت القاعدة:</w:t>
      </w:r>
    </w:p>
    <w:p w:rsidR="00471FD0" w:rsidRPr="002948BC" w:rsidRDefault="00471FD0" w:rsidP="00597C20">
      <w:pPr>
        <w:ind w:firstLine="720"/>
        <w:rPr>
          <w:rFonts w:ascii="Traditional Arabic" w:hAnsi="Traditional Arabic"/>
          <w:noProof w:val="0"/>
          <w:color w:val="auto"/>
          <w:rtl/>
          <w:lang w:eastAsia="en-US"/>
        </w:rPr>
      </w:pPr>
      <w:r w:rsidRPr="00E807B5">
        <w:rPr>
          <w:rFonts w:ascii="Traditional Arabic" w:hAnsi="Traditional Arabic" w:hint="cs"/>
          <w:noProof w:val="0"/>
          <w:color w:val="auto"/>
          <w:rtl/>
          <w:lang w:eastAsia="en-US"/>
        </w:rPr>
        <w:t>الأصل في مال الغير أنه محترَم لا يجوز الانتفاع به إلا بِسببٍ شرعيٍّ</w:t>
      </w:r>
      <w:r w:rsidRPr="002948BC">
        <w:rPr>
          <w:rFonts w:ascii="Traditional Arabic" w:hAnsi="Traditional Arabic" w:hint="cs"/>
          <w:b/>
          <w:bCs/>
          <w:noProof w:val="0"/>
          <w:color w:val="auto"/>
          <w:rtl/>
          <w:lang w:eastAsia="en-US"/>
        </w:rPr>
        <w:t>،</w:t>
      </w:r>
      <w:r w:rsidRPr="002948BC">
        <w:rPr>
          <w:rFonts w:ascii="Traditional Arabic" w:hAnsi="Traditional Arabic" w:hint="cs"/>
          <w:noProof w:val="0"/>
          <w:color w:val="auto"/>
          <w:rtl/>
          <w:lang w:eastAsia="en-US"/>
        </w:rPr>
        <w:t xml:space="preserve"> ومن ذلك الرهن، لأنه م</w:t>
      </w:r>
      <w:r w:rsidR="00DD31C7">
        <w:rPr>
          <w:rFonts w:ascii="Traditional Arabic" w:hAnsi="Traditional Arabic" w:hint="cs"/>
          <w:noProof w:val="0"/>
          <w:color w:val="auto"/>
          <w:rtl/>
          <w:lang w:eastAsia="en-US"/>
        </w:rPr>
        <w:t>ِ</w:t>
      </w:r>
      <w:r w:rsidRPr="002948BC">
        <w:rPr>
          <w:rFonts w:ascii="Traditional Arabic" w:hAnsi="Traditional Arabic" w:hint="cs"/>
          <w:noProof w:val="0"/>
          <w:color w:val="auto"/>
          <w:rtl/>
          <w:lang w:eastAsia="en-US"/>
        </w:rPr>
        <w:t>لْك</w:t>
      </w:r>
      <w:r w:rsidR="00DD31C7">
        <w:rPr>
          <w:rFonts w:ascii="Traditional Arabic" w:hAnsi="Traditional Arabic" w:hint="cs"/>
          <w:noProof w:val="0"/>
          <w:color w:val="auto"/>
          <w:rtl/>
          <w:lang w:eastAsia="en-US"/>
        </w:rPr>
        <w:t>ٌ</w:t>
      </w:r>
      <w:r w:rsidRPr="002948BC">
        <w:rPr>
          <w:rFonts w:ascii="Traditional Arabic" w:hAnsi="Traditional Arabic" w:hint="cs"/>
          <w:noProof w:val="0"/>
          <w:color w:val="auto"/>
          <w:rtl/>
          <w:lang w:eastAsia="en-US"/>
        </w:rPr>
        <w:t xml:space="preserve"> للراهن، فلا يجوز الانتفاع بشيء منه إلا ما استثناه الشارع كالركوب واللبن في الدواب، وأما ما عدا ذلك فهو باقٍ على الأصل</w:t>
      </w:r>
      <w:r w:rsidRPr="00C821A1">
        <w:rPr>
          <w:rStyle w:val="af1"/>
          <w:szCs w:val="32"/>
          <w:rtl/>
        </w:rPr>
        <w:t>(</w:t>
      </w:r>
      <w:r w:rsidRPr="00C821A1">
        <w:rPr>
          <w:rStyle w:val="af1"/>
          <w:szCs w:val="32"/>
          <w:rtl/>
        </w:rPr>
        <w:footnoteReference w:id="1250"/>
      </w:r>
      <w:r w:rsidRPr="00C821A1">
        <w:rPr>
          <w:rStyle w:val="af1"/>
          <w:szCs w:val="32"/>
          <w:rtl/>
        </w:rPr>
        <w:t>)</w:t>
      </w:r>
      <w:r w:rsidRPr="002948BC">
        <w:rPr>
          <w:rFonts w:ascii="Traditional Arabic" w:hAnsi="Traditional Arabic" w:hint="cs"/>
          <w:noProof w:val="0"/>
          <w:color w:val="auto"/>
          <w:rtl/>
          <w:lang w:eastAsia="en-US"/>
        </w:rPr>
        <w:t>.</w:t>
      </w:r>
    </w:p>
    <w:p w:rsidR="00471FD0" w:rsidRPr="001A36A1" w:rsidRDefault="00471FD0" w:rsidP="000A76C7">
      <w:pPr>
        <w:pStyle w:val="afc"/>
        <w:widowControl/>
        <w:numPr>
          <w:ilvl w:val="0"/>
          <w:numId w:val="166"/>
        </w:numPr>
        <w:autoSpaceDE w:val="0"/>
        <w:autoSpaceDN w:val="0"/>
        <w:adjustRightInd w:val="0"/>
        <w:rPr>
          <w:rFonts w:ascii="Traditional Arabic" w:hAnsi="Traditional Arabic"/>
          <w:noProof w:val="0"/>
          <w:color w:val="auto"/>
          <w:rtl/>
          <w:lang w:eastAsia="en-US"/>
        </w:rPr>
      </w:pPr>
      <w:r w:rsidRPr="001A36A1">
        <w:rPr>
          <w:rFonts w:ascii="Traditional Arabic" w:hAnsi="Traditional Arabic"/>
          <w:noProof w:val="0"/>
          <w:color w:val="auto"/>
          <w:rtl/>
          <w:lang w:eastAsia="en-US"/>
        </w:rPr>
        <w:t>من ادعى وكالة</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زيد</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في ق</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ب</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ض</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حق</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ه من عمرو، لم يلزمه د</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ه إن</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صد</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قه ولا اليمين</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إن كذ</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به</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فإن</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د</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ه فأنكر زيد</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الوكالة</w:t>
      </w:r>
      <w:r w:rsidR="00DD31C7">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ح</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ف</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وضمنه عمرو، وإن كان المدفوع وديعة</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أ</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خ</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ذ</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ها</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 xml:space="preserve"> فإن تلفت ضم</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ن أي</w:t>
      </w:r>
      <w:r>
        <w:rPr>
          <w:rFonts w:ascii="Traditional Arabic" w:hAnsi="Traditional Arabic" w:hint="cs"/>
          <w:noProof w:val="0"/>
          <w:color w:val="auto"/>
          <w:rtl/>
          <w:lang w:eastAsia="en-US"/>
        </w:rPr>
        <w:t>َّ</w:t>
      </w:r>
      <w:r w:rsidRPr="001A36A1">
        <w:rPr>
          <w:rFonts w:ascii="Traditional Arabic" w:hAnsi="Traditional Arabic"/>
          <w:noProof w:val="0"/>
          <w:color w:val="auto"/>
          <w:rtl/>
          <w:lang w:eastAsia="en-US"/>
        </w:rPr>
        <w:t>هما شاء</w:t>
      </w:r>
      <w:r w:rsidRPr="00C821A1">
        <w:rPr>
          <w:rStyle w:val="af1"/>
          <w:szCs w:val="32"/>
          <w:rtl/>
        </w:rPr>
        <w:t>(</w:t>
      </w:r>
      <w:r w:rsidRPr="00C821A1">
        <w:rPr>
          <w:rStyle w:val="af1"/>
          <w:szCs w:val="32"/>
          <w:rtl/>
        </w:rPr>
        <w:footnoteReference w:id="1251"/>
      </w:r>
      <w:r w:rsidRPr="00C821A1">
        <w:rPr>
          <w:rStyle w:val="af1"/>
          <w:szCs w:val="32"/>
          <w:rtl/>
        </w:rPr>
        <w:t>)</w:t>
      </w:r>
      <w:r w:rsidRPr="001A36A1">
        <w:rPr>
          <w:rFonts w:ascii="Traditional Arabic" w:hAnsi="Traditional Arabic"/>
          <w:noProof w:val="0"/>
          <w:color w:val="auto"/>
          <w:rtl/>
          <w:lang w:eastAsia="en-US"/>
        </w:rPr>
        <w:t>.</w:t>
      </w:r>
    </w:p>
    <w:p w:rsidR="00471FD0" w:rsidRDefault="00471FD0" w:rsidP="00597C20">
      <w:pPr>
        <w:pStyle w:val="53"/>
        <w:rPr>
          <w:rtl/>
        </w:rPr>
      </w:pPr>
      <w:r>
        <w:rPr>
          <w:rFonts w:hint="cs"/>
          <w:rtl/>
        </w:rPr>
        <w:t>وجه اندراج الفرع تحت القاعدة:</w:t>
      </w:r>
    </w:p>
    <w:p w:rsidR="00471FD0" w:rsidRDefault="00471FD0" w:rsidP="00597C20">
      <w:pPr>
        <w:pStyle w:val="afc"/>
        <w:ind w:left="1174" w:firstLine="0"/>
        <w:rPr>
          <w:rFonts w:ascii="Traditional Arabic" w:hAnsi="Traditional Arabic"/>
          <w:noProof w:val="0"/>
          <w:color w:val="auto"/>
          <w:rtl/>
          <w:lang w:eastAsia="en-US"/>
        </w:rPr>
      </w:pPr>
      <w:r>
        <w:rPr>
          <w:rFonts w:ascii="Traditional Arabic" w:hAnsi="Traditional Arabic" w:hint="cs"/>
          <w:noProof w:val="0"/>
          <w:color w:val="auto"/>
          <w:rtl/>
          <w:lang w:eastAsia="en-US"/>
        </w:rPr>
        <w:t>هذا الفرع يندرج تحت القاعدة فيما إذا ضمَّن زيد مدَّعيَ الوكالة؛ لأنه بإنكارِ زيد للوكالة يكون حينئذ قَبض مال الغير بغير حق فيَلزَمه الضمانُ كالغاصب؛ لأن الأصل في أموال المحترمين العصمة، وعدم التصرف فيها إلا حَسَبَ ما أذِنوا فيه</w:t>
      </w:r>
      <w:r w:rsidRPr="00C821A1">
        <w:rPr>
          <w:rStyle w:val="af1"/>
          <w:szCs w:val="32"/>
          <w:rtl/>
        </w:rPr>
        <w:t>(</w:t>
      </w:r>
      <w:r w:rsidRPr="00C821A1">
        <w:rPr>
          <w:rStyle w:val="af1"/>
          <w:szCs w:val="32"/>
          <w:rtl/>
        </w:rPr>
        <w:footnoteReference w:id="1252"/>
      </w:r>
      <w:r w:rsidRPr="00C821A1">
        <w:rPr>
          <w:rStyle w:val="af1"/>
          <w:szCs w:val="32"/>
          <w:rtl/>
        </w:rPr>
        <w:t>)</w:t>
      </w:r>
      <w:r>
        <w:rPr>
          <w:rFonts w:ascii="Traditional Arabic" w:hAnsi="Traditional Arabic" w:hint="cs"/>
          <w:noProof w:val="0"/>
          <w:color w:val="auto"/>
          <w:rtl/>
          <w:lang w:eastAsia="en-US"/>
        </w:rPr>
        <w:t>.</w:t>
      </w:r>
    </w:p>
    <w:p w:rsidR="00F228A9" w:rsidRPr="008F0690" w:rsidRDefault="00471FD0" w:rsidP="000A76C7">
      <w:pPr>
        <w:pStyle w:val="afc"/>
        <w:widowControl/>
        <w:numPr>
          <w:ilvl w:val="0"/>
          <w:numId w:val="166"/>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lastRenderedPageBreak/>
        <w:t>مَ</w:t>
      </w:r>
      <w:r>
        <w:rPr>
          <w:rFonts w:ascii="Traditional Arabic" w:hAnsi="Traditional Arabic"/>
          <w:noProof w:val="0"/>
          <w:color w:val="auto"/>
          <w:rtl/>
          <w:lang w:eastAsia="en-US"/>
        </w:rPr>
        <w:t>ن</w:t>
      </w:r>
      <w:r w:rsidRPr="008F0690">
        <w:rPr>
          <w:rFonts w:ascii="Traditional Arabic" w:hAnsi="Traditional Arabic"/>
          <w:noProof w:val="0"/>
          <w:color w:val="auto"/>
          <w:rtl/>
          <w:lang w:eastAsia="en-US"/>
        </w:rPr>
        <w:t xml:space="preserve"> ك</w:t>
      </w:r>
      <w:r>
        <w:rPr>
          <w:rFonts w:ascii="Traditional Arabic" w:hAnsi="Traditional Arabic" w:hint="cs"/>
          <w:noProof w:val="0"/>
          <w:color w:val="auto"/>
          <w:rtl/>
          <w:lang w:eastAsia="en-US"/>
        </w:rPr>
        <w:t>َ</w:t>
      </w:r>
      <w:r w:rsidRPr="008F0690">
        <w:rPr>
          <w:rFonts w:ascii="Traditional Arabic" w:hAnsi="Traditional Arabic"/>
          <w:noProof w:val="0"/>
          <w:color w:val="auto"/>
          <w:rtl/>
          <w:lang w:eastAsia="en-US"/>
        </w:rPr>
        <w:t>س</w:t>
      </w:r>
      <w:r>
        <w:rPr>
          <w:rFonts w:ascii="Traditional Arabic" w:hAnsi="Traditional Arabic" w:hint="cs"/>
          <w:noProof w:val="0"/>
          <w:color w:val="auto"/>
          <w:rtl/>
          <w:lang w:eastAsia="en-US"/>
        </w:rPr>
        <w:t>َ</w:t>
      </w:r>
      <w:r w:rsidRPr="008F0690">
        <w:rPr>
          <w:rFonts w:ascii="Traditional Arabic" w:hAnsi="Traditional Arabic"/>
          <w:noProof w:val="0"/>
          <w:color w:val="auto"/>
          <w:rtl/>
          <w:lang w:eastAsia="en-US"/>
        </w:rPr>
        <w:t>ر آنية</w:t>
      </w:r>
      <w:r>
        <w:rPr>
          <w:rFonts w:ascii="Traditional Arabic" w:hAnsi="Traditional Arabic" w:hint="cs"/>
          <w:noProof w:val="0"/>
          <w:color w:val="auto"/>
          <w:rtl/>
          <w:lang w:eastAsia="en-US"/>
        </w:rPr>
        <w:t>َ</w:t>
      </w:r>
      <w:r w:rsidRPr="008F0690">
        <w:rPr>
          <w:rFonts w:ascii="Traditional Arabic" w:hAnsi="Traditional Arabic"/>
          <w:noProof w:val="0"/>
          <w:color w:val="auto"/>
          <w:rtl/>
          <w:lang w:eastAsia="en-US"/>
        </w:rPr>
        <w:t xml:space="preserve"> خمر</w:t>
      </w:r>
      <w:r>
        <w:rPr>
          <w:rFonts w:ascii="Traditional Arabic" w:hAnsi="Traditional Arabic" w:hint="cs"/>
          <w:noProof w:val="0"/>
          <w:color w:val="auto"/>
          <w:rtl/>
          <w:lang w:eastAsia="en-US"/>
        </w:rPr>
        <w:t>ٍ</w:t>
      </w:r>
      <w:r w:rsidRPr="008F0690">
        <w:rPr>
          <w:rFonts w:ascii="Traditional Arabic" w:hAnsi="Traditional Arabic"/>
          <w:noProof w:val="0"/>
          <w:color w:val="auto"/>
          <w:rtl/>
          <w:lang w:eastAsia="en-US"/>
        </w:rPr>
        <w:t xml:space="preserve"> فهو ضامن؛ لأن الآنية محتر</w:t>
      </w:r>
      <w:r>
        <w:rPr>
          <w:rFonts w:ascii="Traditional Arabic" w:hAnsi="Traditional Arabic" w:hint="cs"/>
          <w:noProof w:val="0"/>
          <w:color w:val="auto"/>
          <w:rtl/>
          <w:lang w:eastAsia="en-US"/>
        </w:rPr>
        <w:t>َ</w:t>
      </w:r>
      <w:r w:rsidRPr="008F0690">
        <w:rPr>
          <w:rFonts w:ascii="Traditional Arabic" w:hAnsi="Traditional Arabic"/>
          <w:noProof w:val="0"/>
          <w:color w:val="auto"/>
          <w:rtl/>
          <w:lang w:eastAsia="en-US"/>
        </w:rPr>
        <w:t>مة ويمكن إتلاف الخمر دون إتلافها</w:t>
      </w:r>
      <w:r w:rsidRPr="00C821A1">
        <w:rPr>
          <w:rStyle w:val="af1"/>
          <w:szCs w:val="32"/>
          <w:rtl/>
        </w:rPr>
        <w:t>(</w:t>
      </w:r>
      <w:r w:rsidRPr="00C821A1">
        <w:rPr>
          <w:rStyle w:val="af1"/>
          <w:szCs w:val="32"/>
          <w:rtl/>
        </w:rPr>
        <w:footnoteReference w:id="1253"/>
      </w:r>
      <w:r w:rsidRPr="00C821A1">
        <w:rPr>
          <w:rStyle w:val="af1"/>
          <w:szCs w:val="32"/>
          <w:rtl/>
        </w:rPr>
        <w:t>)</w:t>
      </w:r>
      <w:r>
        <w:rPr>
          <w:rFonts w:ascii="Traditional Arabic" w:hAnsi="Traditional Arabic" w:hint="cs"/>
          <w:noProof w:val="0"/>
          <w:color w:val="auto"/>
          <w:rtl/>
          <w:lang w:eastAsia="en-US"/>
        </w:rPr>
        <w:t>.</w:t>
      </w:r>
    </w:p>
    <w:p w:rsidR="00471FD0" w:rsidRDefault="00471FD0" w:rsidP="00597C20">
      <w:pPr>
        <w:pStyle w:val="53"/>
        <w:rPr>
          <w:rtl/>
        </w:rPr>
      </w:pPr>
      <w:r>
        <w:rPr>
          <w:rFonts w:hint="cs"/>
          <w:rtl/>
        </w:rPr>
        <w:t>وجه اندراج الفرع تحت القاعدة:</w:t>
      </w:r>
    </w:p>
    <w:p w:rsidR="00F228A9" w:rsidRDefault="00471FD0" w:rsidP="00597C20">
      <w:pPr>
        <w:ind w:firstLine="720"/>
        <w:rPr>
          <w:rFonts w:ascii="Traditional Arabic" w:hAnsi="Traditional Arabic"/>
          <w:noProof w:val="0"/>
          <w:color w:val="auto"/>
          <w:rtl/>
          <w:lang w:eastAsia="en-US"/>
        </w:rPr>
      </w:pPr>
      <w:r w:rsidRPr="002948BC">
        <w:rPr>
          <w:rFonts w:ascii="Traditional Arabic" w:hAnsi="Traditional Arabic" w:hint="cs"/>
          <w:noProof w:val="0"/>
          <w:color w:val="auto"/>
          <w:rtl/>
          <w:lang w:eastAsia="en-US"/>
        </w:rPr>
        <w:t>آنية الخمر محترَمة إذ يمكن استعمالها في حفظ غير الخمر، ولما كان إتلاف الخمر دون إتلافِ آنيته ممكنا</w:t>
      </w:r>
      <w:r w:rsidR="00DD31C7">
        <w:rPr>
          <w:rFonts w:ascii="Traditional Arabic" w:hAnsi="Traditional Arabic" w:hint="cs"/>
          <w:noProof w:val="0"/>
          <w:color w:val="auto"/>
          <w:rtl/>
          <w:lang w:eastAsia="en-US"/>
        </w:rPr>
        <w:t>ً</w:t>
      </w:r>
      <w:r w:rsidRPr="002948BC">
        <w:rPr>
          <w:rFonts w:ascii="Traditional Arabic" w:hAnsi="Traditional Arabic" w:hint="cs"/>
          <w:noProof w:val="0"/>
          <w:color w:val="auto"/>
          <w:rtl/>
          <w:lang w:eastAsia="en-US"/>
        </w:rPr>
        <w:t>، لم يُشْرَع إتلاف هذه الآنية،؛ لأنها مال محترم، والأصل في مال المسلم أنه محترَم، وعلى هذا يلزم المتلِف ضمان هذه الآنية</w:t>
      </w:r>
      <w:r w:rsidRPr="00C821A1">
        <w:rPr>
          <w:rStyle w:val="af1"/>
          <w:szCs w:val="32"/>
          <w:rtl/>
        </w:rPr>
        <w:t>(</w:t>
      </w:r>
      <w:r w:rsidRPr="00C821A1">
        <w:rPr>
          <w:rStyle w:val="af1"/>
          <w:szCs w:val="32"/>
          <w:rtl/>
        </w:rPr>
        <w:footnoteReference w:id="1254"/>
      </w:r>
      <w:r w:rsidRPr="00C821A1">
        <w:rPr>
          <w:rStyle w:val="af1"/>
          <w:szCs w:val="32"/>
          <w:rtl/>
        </w:rPr>
        <w:t>)</w:t>
      </w:r>
      <w:r w:rsidRPr="002948BC">
        <w:rPr>
          <w:rFonts w:ascii="Traditional Arabic" w:hAnsi="Traditional Arabic" w:hint="cs"/>
          <w:noProof w:val="0"/>
          <w:color w:val="auto"/>
          <w:rtl/>
          <w:lang w:eastAsia="en-US"/>
        </w:rPr>
        <w:t>.</w:t>
      </w:r>
    </w:p>
    <w:p w:rsidR="002226EA" w:rsidRDefault="002226EA" w:rsidP="00597C20">
      <w:pPr>
        <w:ind w:firstLine="720"/>
        <w:rPr>
          <w:rFonts w:ascii="Traditional Arabic" w:hAnsi="Traditional Arabic"/>
          <w:noProof w:val="0"/>
          <w:color w:val="auto"/>
          <w:rtl/>
          <w:lang w:eastAsia="en-US"/>
        </w:rPr>
      </w:pPr>
    </w:p>
    <w:p w:rsidR="00251F48" w:rsidRPr="00C85F0F" w:rsidRDefault="00251F48" w:rsidP="000F5C0F">
      <w:pPr>
        <w:pStyle w:val="aff2"/>
        <w:rPr>
          <w:rtl/>
        </w:rPr>
      </w:pPr>
      <w:bookmarkStart w:id="243" w:name="_Toc334046464"/>
      <w:r>
        <w:rPr>
          <w:rFonts w:hint="cs"/>
          <w:rtl/>
        </w:rPr>
        <w:lastRenderedPageBreak/>
        <w:t>المبحث السادس</w:t>
      </w:r>
      <w:r>
        <w:rPr>
          <w:rtl/>
        </w:rPr>
        <w:br/>
      </w:r>
      <w:r w:rsidRPr="00251F48">
        <w:rPr>
          <w:rFonts w:hint="cs"/>
          <w:rtl/>
        </w:rPr>
        <w:t>قاعدة</w:t>
      </w:r>
      <w:r>
        <w:rPr>
          <w:rtl/>
        </w:rPr>
        <w:br/>
      </w:r>
      <w:r>
        <w:rPr>
          <w:rFonts w:hint="cs"/>
          <w:rtl/>
        </w:rPr>
        <w:t>"</w:t>
      </w:r>
      <w:r w:rsidR="00D24526">
        <w:rPr>
          <w:rFonts w:hint="cs"/>
          <w:rtl/>
        </w:rPr>
        <w:t>العبرة بالأغلب و</w:t>
      </w:r>
      <w:r w:rsidRPr="00215268">
        <w:rPr>
          <w:rtl/>
        </w:rPr>
        <w:t>النادر لا حكم له</w:t>
      </w:r>
      <w:r w:rsidR="00AB0B9E" w:rsidRPr="00C85F0F">
        <w:rPr>
          <w:rtl/>
        </w:rPr>
        <w:fldChar w:fldCharType="begin"/>
      </w:r>
      <w:r w:rsidR="003504FF" w:rsidRPr="00C85F0F">
        <w:instrText>XE</w:instrText>
      </w:r>
      <w:r w:rsidR="003504FF" w:rsidRPr="00C85F0F">
        <w:rPr>
          <w:rtl/>
        </w:rPr>
        <w:instrText xml:space="preserve"> "</w:instrText>
      </w:r>
      <w:r w:rsidR="003504FF" w:rsidRPr="00C85F0F">
        <w:rPr>
          <w:rFonts w:hint="cs"/>
          <w:rtl/>
        </w:rPr>
        <w:instrText>العبرةبالأغلبوالنادرلاحكمله</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szCs w:val="32"/>
          <w:vertAlign w:val="superscript"/>
          <w:rtl/>
        </w:rPr>
        <w:t>(</w:t>
      </w:r>
      <w:r w:rsidRPr="00C85F0F">
        <w:rPr>
          <w:szCs w:val="32"/>
          <w:vertAlign w:val="superscript"/>
          <w:rtl/>
        </w:rPr>
        <w:footnoteReference w:id="1255"/>
      </w:r>
      <w:r w:rsidRPr="00C85F0F">
        <w:rPr>
          <w:szCs w:val="32"/>
          <w:vertAlign w:val="superscript"/>
          <w:rtl/>
        </w:rPr>
        <w:t>)</w:t>
      </w:r>
      <w:bookmarkEnd w:id="243"/>
    </w:p>
    <w:p w:rsidR="00065E4B" w:rsidRPr="004949B9" w:rsidRDefault="002226EA" w:rsidP="00A8347C">
      <w:pPr>
        <w:pStyle w:val="aff3"/>
        <w:rPr>
          <w:rtl/>
        </w:rPr>
      </w:pPr>
      <w:bookmarkStart w:id="244" w:name="_Toc334046465"/>
      <w:r w:rsidRPr="004949B9">
        <w:rPr>
          <w:rFonts w:hint="cs"/>
          <w:rtl/>
        </w:rPr>
        <w:t xml:space="preserve">                                        </w:t>
      </w:r>
      <w:r w:rsidR="00E807B5">
        <w:rPr>
          <w:rFonts w:hint="cs"/>
          <w:rtl/>
        </w:rPr>
        <w:t xml:space="preserve"> </w:t>
      </w:r>
      <w:r w:rsidRPr="004949B9">
        <w:rPr>
          <w:rFonts w:hint="cs"/>
          <w:rtl/>
        </w:rPr>
        <w:t>المطلب</w:t>
      </w:r>
      <w:r w:rsidR="00E807B5">
        <w:rPr>
          <w:rFonts w:hint="cs"/>
          <w:rtl/>
        </w:rPr>
        <w:t xml:space="preserve"> </w:t>
      </w:r>
      <w:r w:rsidR="00251F48" w:rsidRPr="004949B9">
        <w:rPr>
          <w:rFonts w:hint="cs"/>
          <w:rtl/>
        </w:rPr>
        <w:t>الأول</w:t>
      </w:r>
      <w:r w:rsidR="00251F48" w:rsidRPr="004949B9">
        <w:rPr>
          <w:rFonts w:hint="eastAsia"/>
          <w:rtl/>
        </w:rPr>
        <w:t> :</w:t>
      </w:r>
      <w:r w:rsidR="00251F48" w:rsidRPr="004949B9">
        <w:rPr>
          <w:rFonts w:hint="cs"/>
          <w:rtl/>
        </w:rPr>
        <w:br/>
      </w:r>
      <w:r w:rsidRPr="004949B9">
        <w:rPr>
          <w:rFonts w:hint="cs"/>
          <w:rtl/>
        </w:rPr>
        <w:t xml:space="preserve">                      </w:t>
      </w:r>
      <w:r w:rsidR="00251F48" w:rsidRPr="004949B9">
        <w:rPr>
          <w:rFonts w:hint="cs"/>
          <w:rtl/>
        </w:rPr>
        <w:t>صيغ القاعدة عند الشيخ وعند علماء القواعد</w:t>
      </w:r>
      <w:bookmarkEnd w:id="244"/>
    </w:p>
    <w:p w:rsidR="00251F48" w:rsidRPr="00C85F0F" w:rsidRDefault="00065E4B" w:rsidP="00597C20">
      <w:pPr>
        <w:ind w:firstLine="0"/>
        <w:rPr>
          <w:rFonts w:ascii="Traditional Arabic" w:hAnsi="Traditional Arabic"/>
          <w:rtl/>
        </w:rPr>
      </w:pPr>
      <w:r w:rsidRPr="00C85F0F">
        <w:rPr>
          <w:rFonts w:ascii="Traditional Arabic" w:hAnsi="Traditional Arabic" w:hint="cs"/>
          <w:rtl/>
        </w:rPr>
        <w:t>و</w:t>
      </w:r>
      <w:r w:rsidR="00251F48" w:rsidRPr="00C85F0F">
        <w:rPr>
          <w:rFonts w:ascii="Traditional Arabic" w:hAnsi="Traditional Arabic" w:hint="cs"/>
          <w:rtl/>
        </w:rPr>
        <w:t>ردت هذه القاعدة عند الشيخ ابن عثيمين بعدة صيغ، منها:</w:t>
      </w:r>
    </w:p>
    <w:p w:rsidR="00251F48" w:rsidRPr="00C85F0F" w:rsidRDefault="00251F48" w:rsidP="000A76C7">
      <w:pPr>
        <w:numPr>
          <w:ilvl w:val="0"/>
          <w:numId w:val="167"/>
        </w:numPr>
        <w:rPr>
          <w:rFonts w:ascii="Traditional Arabic" w:hAnsi="Traditional Arabic"/>
        </w:rPr>
      </w:pPr>
      <w:r w:rsidRPr="00C85F0F">
        <w:rPr>
          <w:rFonts w:ascii="Traditional Arabic" w:hAnsi="Traditional Arabic" w:hint="cs"/>
          <w:rtl/>
        </w:rPr>
        <w:t>الحكم للأغلب والأكثر</w:t>
      </w:r>
      <w:r w:rsidRPr="00C85F0F">
        <w:rPr>
          <w:rStyle w:val="af1"/>
          <w:szCs w:val="32"/>
          <w:rtl/>
        </w:rPr>
        <w:t>(</w:t>
      </w:r>
      <w:r w:rsidRPr="00C85F0F">
        <w:rPr>
          <w:rStyle w:val="af1"/>
          <w:szCs w:val="32"/>
          <w:rtl/>
        </w:rPr>
        <w:footnoteReference w:id="1256"/>
      </w:r>
      <w:r w:rsidRPr="00C85F0F">
        <w:rPr>
          <w:rStyle w:val="af1"/>
          <w:szCs w:val="32"/>
          <w:rtl/>
        </w:rPr>
        <w:t>)</w:t>
      </w:r>
      <w:r w:rsidRPr="00C85F0F">
        <w:rPr>
          <w:rFonts w:ascii="Traditional Arabic" w:hAnsi="Traditional Arabic" w:hint="cs"/>
          <w:rtl/>
        </w:rPr>
        <w:t>.</w:t>
      </w:r>
    </w:p>
    <w:p w:rsidR="00251F48" w:rsidRPr="00C85F0F" w:rsidRDefault="00251F48" w:rsidP="000A76C7">
      <w:pPr>
        <w:numPr>
          <w:ilvl w:val="0"/>
          <w:numId w:val="167"/>
        </w:numPr>
        <w:rPr>
          <w:rFonts w:ascii="Traditional Arabic" w:hAnsi="Traditional Arabic"/>
        </w:rPr>
      </w:pPr>
      <w:r w:rsidRPr="00C85F0F">
        <w:rPr>
          <w:rFonts w:ascii="Traditional Arabic" w:hAnsi="Traditional Arabic" w:hint="cs"/>
          <w:rtl/>
        </w:rPr>
        <w:t>النادِر لا حُكم له</w:t>
      </w:r>
      <w:r w:rsidRPr="00C85F0F">
        <w:rPr>
          <w:rStyle w:val="af1"/>
          <w:szCs w:val="32"/>
          <w:rtl/>
        </w:rPr>
        <w:t>(</w:t>
      </w:r>
      <w:r w:rsidRPr="00C85F0F">
        <w:rPr>
          <w:rStyle w:val="af1"/>
          <w:szCs w:val="32"/>
          <w:rtl/>
        </w:rPr>
        <w:footnoteReference w:id="1257"/>
      </w:r>
      <w:r w:rsidRPr="00C85F0F">
        <w:rPr>
          <w:rStyle w:val="af1"/>
          <w:szCs w:val="32"/>
          <w:rtl/>
        </w:rPr>
        <w:t>)</w:t>
      </w:r>
      <w:r w:rsidRPr="00C85F0F">
        <w:rPr>
          <w:rFonts w:ascii="Traditional Arabic" w:hAnsi="Traditional Arabic" w:hint="cs"/>
          <w:rtl/>
        </w:rPr>
        <w:t>.</w:t>
      </w:r>
    </w:p>
    <w:p w:rsidR="00251F48" w:rsidRPr="00C85F0F" w:rsidRDefault="00251F48" w:rsidP="000A76C7">
      <w:pPr>
        <w:numPr>
          <w:ilvl w:val="0"/>
          <w:numId w:val="167"/>
        </w:numPr>
        <w:rPr>
          <w:rFonts w:ascii="Traditional Arabic" w:hAnsi="Traditional Arabic"/>
        </w:rPr>
      </w:pPr>
      <w:r w:rsidRPr="00C85F0F">
        <w:rPr>
          <w:rFonts w:ascii="Traditional Arabic" w:hAnsi="Traditional Arabic" w:hint="cs"/>
          <w:rtl/>
        </w:rPr>
        <w:t>العبرة بالأغلب والنادر لا حكم له</w:t>
      </w:r>
      <w:r w:rsidRPr="00C85F0F">
        <w:rPr>
          <w:rStyle w:val="af1"/>
          <w:szCs w:val="32"/>
          <w:rtl/>
        </w:rPr>
        <w:t>(</w:t>
      </w:r>
      <w:r w:rsidRPr="00C85F0F">
        <w:rPr>
          <w:rStyle w:val="af1"/>
          <w:szCs w:val="32"/>
          <w:rtl/>
        </w:rPr>
        <w:footnoteReference w:id="1258"/>
      </w:r>
      <w:r w:rsidRPr="00C85F0F">
        <w:rPr>
          <w:rStyle w:val="af1"/>
          <w:szCs w:val="32"/>
          <w:rtl/>
        </w:rPr>
        <w:t>)</w:t>
      </w:r>
      <w:r w:rsidRPr="00C85F0F">
        <w:rPr>
          <w:rFonts w:ascii="Traditional Arabic" w:hAnsi="Traditional Arabic" w:hint="cs"/>
          <w:rtl/>
        </w:rPr>
        <w:t>.</w:t>
      </w:r>
    </w:p>
    <w:p w:rsidR="00251F48" w:rsidRPr="00C85F0F" w:rsidRDefault="00251F48" w:rsidP="000A76C7">
      <w:pPr>
        <w:numPr>
          <w:ilvl w:val="0"/>
          <w:numId w:val="167"/>
        </w:numPr>
        <w:rPr>
          <w:rFonts w:ascii="Traditional Arabic" w:hAnsi="Traditional Arabic"/>
        </w:rPr>
      </w:pPr>
      <w:r w:rsidRPr="00C85F0F">
        <w:rPr>
          <w:rFonts w:ascii="Traditional Arabic" w:hAnsi="Traditional Arabic" w:hint="cs"/>
          <w:rtl/>
        </w:rPr>
        <w:t>العبرة بالأعمِّ الأكثر، والنادر لا حكم له</w:t>
      </w:r>
      <w:r w:rsidRPr="00C85F0F">
        <w:rPr>
          <w:rStyle w:val="af1"/>
          <w:szCs w:val="32"/>
          <w:rtl/>
        </w:rPr>
        <w:t>(</w:t>
      </w:r>
      <w:r w:rsidRPr="00C85F0F">
        <w:rPr>
          <w:rStyle w:val="af1"/>
          <w:szCs w:val="32"/>
          <w:rtl/>
        </w:rPr>
        <w:footnoteReference w:id="1259"/>
      </w:r>
      <w:r w:rsidRPr="00C85F0F">
        <w:rPr>
          <w:rStyle w:val="af1"/>
          <w:szCs w:val="32"/>
          <w:rtl/>
        </w:rPr>
        <w:t>)</w:t>
      </w:r>
      <w:r w:rsidRPr="00C85F0F">
        <w:rPr>
          <w:rFonts w:ascii="Traditional Arabic" w:hAnsi="Traditional Arabic" w:hint="cs"/>
          <w:rtl/>
        </w:rPr>
        <w:t>.</w:t>
      </w:r>
    </w:p>
    <w:p w:rsidR="00251F48" w:rsidRPr="00C85F0F" w:rsidRDefault="00251F48" w:rsidP="000A76C7">
      <w:pPr>
        <w:numPr>
          <w:ilvl w:val="0"/>
          <w:numId w:val="167"/>
        </w:numPr>
        <w:rPr>
          <w:rFonts w:ascii="Traditional Arabic" w:hAnsi="Traditional Arabic"/>
          <w:color w:val="auto"/>
        </w:rPr>
      </w:pPr>
      <w:r w:rsidRPr="00C85F0F">
        <w:rPr>
          <w:rFonts w:ascii="Traditional Arabic" w:hAnsi="Traditional Arabic"/>
          <w:noProof w:val="0"/>
          <w:color w:val="auto"/>
          <w:rtl/>
          <w:lang w:eastAsia="en-US"/>
        </w:rPr>
        <w:t>القاعدة العامة في الشريعة تغليب جانب الأكثر</w:t>
      </w:r>
      <w:r w:rsidRPr="00C85F0F">
        <w:rPr>
          <w:rStyle w:val="af1"/>
          <w:szCs w:val="32"/>
          <w:rtl/>
        </w:rPr>
        <w:t>(</w:t>
      </w:r>
      <w:r w:rsidRPr="00C85F0F">
        <w:rPr>
          <w:rStyle w:val="af1"/>
          <w:szCs w:val="32"/>
          <w:rtl/>
        </w:rPr>
        <w:footnoteReference w:id="1260"/>
      </w:r>
      <w:r w:rsidRPr="00C85F0F">
        <w:rPr>
          <w:rStyle w:val="af1"/>
          <w:szCs w:val="32"/>
          <w:rtl/>
        </w:rPr>
        <w:t>)</w:t>
      </w:r>
      <w:r w:rsidRPr="00C85F0F">
        <w:rPr>
          <w:rFonts w:ascii="Traditional Arabic" w:hAnsi="Traditional Arabic" w:hint="cs"/>
          <w:color w:val="auto"/>
          <w:rtl/>
        </w:rPr>
        <w:t>.</w:t>
      </w:r>
    </w:p>
    <w:p w:rsidR="00065E4B" w:rsidRPr="00C85F0F" w:rsidRDefault="00251F48" w:rsidP="000A76C7">
      <w:pPr>
        <w:pStyle w:val="a7"/>
        <w:numPr>
          <w:ilvl w:val="0"/>
          <w:numId w:val="167"/>
        </w:numPr>
        <w:spacing w:line="440" w:lineRule="exact"/>
        <w:jc w:val="lowKashida"/>
        <w:rPr>
          <w:rFonts w:ascii="Traditional Arabic" w:hAnsi="Traditional Arabic"/>
          <w:sz w:val="36"/>
          <w:szCs w:val="36"/>
        </w:rPr>
      </w:pPr>
      <w:r w:rsidRPr="00C85F0F">
        <w:rPr>
          <w:rFonts w:ascii="Traditional Arabic" w:hAnsi="Traditional Arabic"/>
          <w:sz w:val="36"/>
          <w:szCs w:val="36"/>
          <w:rtl/>
        </w:rPr>
        <w:t>لا ينبغي أن تُحم</w:t>
      </w:r>
      <w:r w:rsidRPr="00C85F0F">
        <w:rPr>
          <w:rFonts w:ascii="Traditional Arabic" w:hAnsi="Traditional Arabic" w:hint="cs"/>
          <w:sz w:val="36"/>
          <w:szCs w:val="36"/>
          <w:rtl/>
        </w:rPr>
        <w:t>َ</w:t>
      </w:r>
      <w:r w:rsidRPr="00C85F0F">
        <w:rPr>
          <w:rFonts w:ascii="Traditional Arabic" w:hAnsi="Traditional Arabic"/>
          <w:sz w:val="36"/>
          <w:szCs w:val="36"/>
          <w:rtl/>
        </w:rPr>
        <w:t>ل الأحكام الشرعية على الأمور النادرة</w:t>
      </w:r>
      <w:r w:rsidRPr="00C85F0F">
        <w:rPr>
          <w:rStyle w:val="af1"/>
          <w:szCs w:val="32"/>
          <w:rtl/>
        </w:rPr>
        <w:t>(</w:t>
      </w:r>
      <w:r w:rsidRPr="00C85F0F">
        <w:rPr>
          <w:rStyle w:val="af1"/>
          <w:szCs w:val="32"/>
          <w:rtl/>
        </w:rPr>
        <w:footnoteReference w:id="1261"/>
      </w:r>
      <w:r w:rsidRPr="00C85F0F">
        <w:rPr>
          <w:rStyle w:val="af1"/>
          <w:szCs w:val="32"/>
          <w:rtl/>
        </w:rPr>
        <w:t>)</w:t>
      </w:r>
      <w:r w:rsidRPr="00C85F0F">
        <w:rPr>
          <w:rFonts w:ascii="Traditional Arabic" w:hAnsi="Traditional Arabic"/>
          <w:sz w:val="36"/>
          <w:szCs w:val="36"/>
          <w:rtl/>
        </w:rPr>
        <w:t>.</w:t>
      </w:r>
    </w:p>
    <w:p w:rsidR="00251F48" w:rsidRPr="00C85F0F" w:rsidRDefault="00065E4B" w:rsidP="00597C20">
      <w:pPr>
        <w:ind w:firstLine="0"/>
        <w:rPr>
          <w:rFonts w:ascii="Traditional Arabic" w:hAnsi="Traditional Arabic"/>
          <w:color w:val="auto"/>
          <w:rtl/>
        </w:rPr>
      </w:pPr>
      <w:r w:rsidRPr="00C85F0F">
        <w:rPr>
          <w:rFonts w:ascii="Traditional Arabic" w:hAnsi="Traditional Arabic" w:hint="cs"/>
          <w:color w:val="auto"/>
          <w:rtl/>
        </w:rPr>
        <w:t>و</w:t>
      </w:r>
      <w:r w:rsidR="00251F48" w:rsidRPr="00C85F0F">
        <w:rPr>
          <w:rFonts w:ascii="Traditional Arabic" w:hAnsi="Traditional Arabic" w:hint="cs"/>
          <w:color w:val="auto"/>
          <w:rtl/>
        </w:rPr>
        <w:t>وردت هذه القاعدة عند علماء القواعد بعدة صيغ، منها:</w:t>
      </w:r>
    </w:p>
    <w:p w:rsidR="00251F48" w:rsidRPr="00C85F0F" w:rsidRDefault="00251F48" w:rsidP="000A76C7">
      <w:pPr>
        <w:pStyle w:val="afc"/>
        <w:widowControl/>
        <w:numPr>
          <w:ilvl w:val="0"/>
          <w:numId w:val="168"/>
        </w:numPr>
        <w:autoSpaceDE w:val="0"/>
        <w:autoSpaceDN w:val="0"/>
        <w:adjustRightInd w:val="0"/>
        <w:jc w:val="left"/>
        <w:rPr>
          <w:rFonts w:ascii="Traditional Arabic" w:hAnsi="Traditional Arabic"/>
          <w:noProof w:val="0"/>
          <w:rtl/>
          <w:lang w:eastAsia="en-US"/>
        </w:rPr>
      </w:pPr>
      <w:r w:rsidRPr="00C85F0F">
        <w:rPr>
          <w:rFonts w:ascii="Traditional Arabic" w:hAnsi="Traditional Arabic"/>
          <w:noProof w:val="0"/>
          <w:color w:val="auto"/>
          <w:rtl/>
          <w:lang w:eastAsia="en-US"/>
        </w:rPr>
        <w:lastRenderedPageBreak/>
        <w:t>الأصل اعتبار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الغالب، وتقديم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على النادر</w:t>
      </w:r>
      <w:r w:rsidRPr="00C85F0F">
        <w:rPr>
          <w:rStyle w:val="af1"/>
          <w:szCs w:val="32"/>
          <w:rtl/>
        </w:rPr>
        <w:t>(</w:t>
      </w:r>
      <w:r w:rsidRPr="00C85F0F">
        <w:rPr>
          <w:rStyle w:val="af1"/>
          <w:szCs w:val="32"/>
          <w:rtl/>
        </w:rPr>
        <w:footnoteReference w:id="1262"/>
      </w:r>
      <w:r w:rsidRPr="00C85F0F">
        <w:rPr>
          <w:rStyle w:val="af1"/>
          <w:szCs w:val="32"/>
          <w:rtl/>
        </w:rPr>
        <w:t>)</w:t>
      </w:r>
      <w:r w:rsidRPr="00C85F0F">
        <w:rPr>
          <w:rFonts w:ascii="Traditional Arabic" w:hAnsi="Traditional Arabic"/>
          <w:noProof w:val="0"/>
          <w:rtl/>
          <w:lang w:eastAsia="en-US"/>
        </w:rPr>
        <w:t>.</w:t>
      </w:r>
    </w:p>
    <w:p w:rsidR="00251F48"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t>الأصل إلحاق الفرد بالأعمّ الأغلب دون النادر</w:t>
      </w:r>
      <w:r w:rsidRPr="00C85F0F">
        <w:rPr>
          <w:rStyle w:val="af1"/>
          <w:szCs w:val="32"/>
          <w:rtl/>
        </w:rPr>
        <w:t>(</w:t>
      </w:r>
      <w:r w:rsidRPr="00C85F0F">
        <w:rPr>
          <w:rStyle w:val="af1"/>
          <w:szCs w:val="32"/>
          <w:rtl/>
        </w:rPr>
        <w:footnoteReference w:id="1263"/>
      </w:r>
      <w:r w:rsidRPr="00C85F0F">
        <w:rPr>
          <w:rStyle w:val="af1"/>
          <w:szCs w:val="32"/>
          <w:rtl/>
        </w:rPr>
        <w:t>)</w:t>
      </w:r>
      <w:r w:rsidRPr="00C85F0F">
        <w:rPr>
          <w:rFonts w:ascii="Traditional Arabic" w:hAnsi="Traditional Arabic" w:hint="cs"/>
          <w:color w:val="auto"/>
          <w:rtl/>
        </w:rPr>
        <w:t>.</w:t>
      </w:r>
    </w:p>
    <w:p w:rsidR="00F228A9"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t>الأحكام إنما هي للغالب الكثير، والنادر في حُكم المعدوم</w:t>
      </w:r>
      <w:r w:rsidRPr="00C85F0F">
        <w:rPr>
          <w:rStyle w:val="af1"/>
          <w:szCs w:val="32"/>
          <w:rtl/>
        </w:rPr>
        <w:t>(</w:t>
      </w:r>
      <w:r w:rsidRPr="00C85F0F">
        <w:rPr>
          <w:rStyle w:val="af1"/>
          <w:szCs w:val="32"/>
          <w:rtl/>
        </w:rPr>
        <w:footnoteReference w:id="1264"/>
      </w:r>
      <w:r w:rsidRPr="00C85F0F">
        <w:rPr>
          <w:rStyle w:val="af1"/>
          <w:szCs w:val="32"/>
          <w:rtl/>
        </w:rPr>
        <w:t>)</w:t>
      </w:r>
      <w:r w:rsidRPr="00C85F0F">
        <w:rPr>
          <w:rFonts w:ascii="Traditional Arabic" w:hAnsi="Traditional Arabic" w:hint="cs"/>
          <w:color w:val="auto"/>
          <w:rtl/>
        </w:rPr>
        <w:t>.</w:t>
      </w:r>
    </w:p>
    <w:p w:rsidR="00251F48"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t>النادر يجري عليه حكم الغالب، ولا يُلتفت إليه بل يُعمل بالغالب</w:t>
      </w:r>
      <w:r w:rsidRPr="00C85F0F">
        <w:rPr>
          <w:rStyle w:val="af1"/>
          <w:szCs w:val="32"/>
          <w:rtl/>
        </w:rPr>
        <w:t>(</w:t>
      </w:r>
      <w:r w:rsidRPr="00C85F0F">
        <w:rPr>
          <w:rStyle w:val="af1"/>
          <w:szCs w:val="32"/>
          <w:rtl/>
        </w:rPr>
        <w:footnoteReference w:id="1265"/>
      </w:r>
      <w:r w:rsidRPr="00C85F0F">
        <w:rPr>
          <w:rStyle w:val="af1"/>
          <w:szCs w:val="32"/>
          <w:rtl/>
        </w:rPr>
        <w:t>)</w:t>
      </w:r>
      <w:r w:rsidRPr="00C85F0F">
        <w:rPr>
          <w:rFonts w:ascii="Traditional Arabic" w:hAnsi="Traditional Arabic" w:hint="cs"/>
          <w:color w:val="auto"/>
          <w:rtl/>
        </w:rPr>
        <w:t>.</w:t>
      </w:r>
    </w:p>
    <w:p w:rsidR="00251F48" w:rsidRPr="00C85F0F" w:rsidRDefault="00251F48" w:rsidP="000A76C7">
      <w:pPr>
        <w:pStyle w:val="afc"/>
        <w:numPr>
          <w:ilvl w:val="0"/>
          <w:numId w:val="168"/>
        </w:numPr>
        <w:rPr>
          <w:rFonts w:ascii="Traditional Arabic" w:hAnsi="Traditional Arabic"/>
          <w:color w:val="auto"/>
          <w:rtl/>
        </w:rPr>
      </w:pPr>
      <w:r w:rsidRPr="00C85F0F">
        <w:rPr>
          <w:rFonts w:ascii="Traditional Arabic" w:hAnsi="Traditional Arabic" w:hint="cs"/>
          <w:color w:val="auto"/>
          <w:rtl/>
        </w:rPr>
        <w:t>اختلف المالكية في اعتبار حكم النادر في نفسه، أو إلحاقه بالغالب</w:t>
      </w:r>
      <w:r w:rsidRPr="00C85F0F">
        <w:rPr>
          <w:rStyle w:val="af1"/>
          <w:szCs w:val="32"/>
          <w:rtl/>
        </w:rPr>
        <w:t>(</w:t>
      </w:r>
      <w:r w:rsidRPr="00C85F0F">
        <w:rPr>
          <w:rStyle w:val="af1"/>
          <w:szCs w:val="32"/>
          <w:rtl/>
        </w:rPr>
        <w:footnoteReference w:id="1266"/>
      </w:r>
      <w:r w:rsidRPr="00C85F0F">
        <w:rPr>
          <w:rStyle w:val="af1"/>
          <w:szCs w:val="32"/>
          <w:rtl/>
        </w:rPr>
        <w:t>)</w:t>
      </w:r>
      <w:r w:rsidRPr="00C85F0F">
        <w:rPr>
          <w:rFonts w:ascii="Traditional Arabic" w:hAnsi="Traditional Arabic" w:hint="cs"/>
          <w:color w:val="auto"/>
          <w:rtl/>
        </w:rPr>
        <w:t>.</w:t>
      </w:r>
    </w:p>
    <w:p w:rsidR="00251F48"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t>إن النادر هل يُلْحَق بجنسه أو بنفسه؟</w:t>
      </w:r>
      <w:r w:rsidRPr="00C85F0F">
        <w:rPr>
          <w:rStyle w:val="af1"/>
          <w:szCs w:val="32"/>
          <w:rtl/>
        </w:rPr>
        <w:t>(</w:t>
      </w:r>
      <w:r w:rsidRPr="00C85F0F">
        <w:rPr>
          <w:rStyle w:val="af1"/>
          <w:szCs w:val="32"/>
          <w:rtl/>
        </w:rPr>
        <w:footnoteReference w:id="1267"/>
      </w:r>
      <w:r w:rsidRPr="00C85F0F">
        <w:rPr>
          <w:rStyle w:val="af1"/>
          <w:szCs w:val="32"/>
          <w:rtl/>
        </w:rPr>
        <w:t>)</w:t>
      </w:r>
    </w:p>
    <w:p w:rsidR="00251F48"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t>النادر هل يُعتبَر بنفسه، أم يُلْحَق بجنسه؟</w:t>
      </w:r>
      <w:r w:rsidRPr="00C85F0F">
        <w:rPr>
          <w:rStyle w:val="af1"/>
          <w:szCs w:val="32"/>
          <w:rtl/>
        </w:rPr>
        <w:t>(</w:t>
      </w:r>
      <w:r w:rsidRPr="00C85F0F">
        <w:rPr>
          <w:rStyle w:val="af1"/>
          <w:szCs w:val="32"/>
          <w:rtl/>
        </w:rPr>
        <w:footnoteReference w:id="1268"/>
      </w:r>
      <w:r w:rsidRPr="00C85F0F">
        <w:rPr>
          <w:rStyle w:val="af1"/>
          <w:szCs w:val="32"/>
          <w:rtl/>
        </w:rPr>
        <w:t>)</w:t>
      </w:r>
    </w:p>
    <w:p w:rsidR="00251F48"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t>العبرة بالغالب والنادر لا حكم له</w:t>
      </w:r>
      <w:r w:rsidRPr="00C85F0F">
        <w:rPr>
          <w:rStyle w:val="af1"/>
          <w:szCs w:val="32"/>
          <w:rtl/>
        </w:rPr>
        <w:t>(</w:t>
      </w:r>
      <w:r w:rsidRPr="00C85F0F">
        <w:rPr>
          <w:rStyle w:val="af1"/>
          <w:szCs w:val="32"/>
          <w:rtl/>
        </w:rPr>
        <w:footnoteReference w:id="1269"/>
      </w:r>
      <w:r w:rsidRPr="00C85F0F">
        <w:rPr>
          <w:rStyle w:val="af1"/>
          <w:szCs w:val="32"/>
          <w:rtl/>
        </w:rPr>
        <w:t>)</w:t>
      </w:r>
      <w:r w:rsidRPr="00C85F0F">
        <w:rPr>
          <w:rFonts w:ascii="Traditional Arabic" w:hAnsi="Traditional Arabic" w:hint="cs"/>
          <w:color w:val="auto"/>
          <w:rtl/>
        </w:rPr>
        <w:t>.</w:t>
      </w:r>
    </w:p>
    <w:p w:rsidR="00251F48"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t>نَوادِر الصُّوَر هل يُعطى لها حكم نفسها أو حكم غالبها</w:t>
      </w:r>
      <w:r w:rsidRPr="00C85F0F">
        <w:rPr>
          <w:rStyle w:val="af1"/>
          <w:szCs w:val="32"/>
          <w:rtl/>
        </w:rPr>
        <w:t>(</w:t>
      </w:r>
      <w:r w:rsidRPr="00C85F0F">
        <w:rPr>
          <w:rStyle w:val="af1"/>
          <w:szCs w:val="32"/>
          <w:rtl/>
        </w:rPr>
        <w:footnoteReference w:id="1270"/>
      </w:r>
      <w:r w:rsidRPr="00C85F0F">
        <w:rPr>
          <w:rStyle w:val="af1"/>
          <w:szCs w:val="32"/>
          <w:rtl/>
        </w:rPr>
        <w:t>)</w:t>
      </w:r>
      <w:r w:rsidRPr="00C85F0F">
        <w:rPr>
          <w:rFonts w:ascii="Traditional Arabic" w:hAnsi="Traditional Arabic" w:hint="cs"/>
          <w:color w:val="auto"/>
          <w:rtl/>
        </w:rPr>
        <w:t>.</w:t>
      </w:r>
    </w:p>
    <w:p w:rsidR="00251F48"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t>العبرة للغالب الشائع لا للنادر</w:t>
      </w:r>
      <w:r w:rsidRPr="00C85F0F">
        <w:rPr>
          <w:rStyle w:val="af1"/>
          <w:szCs w:val="32"/>
          <w:rtl/>
        </w:rPr>
        <w:t>(</w:t>
      </w:r>
      <w:r w:rsidRPr="00C85F0F">
        <w:rPr>
          <w:rStyle w:val="af1"/>
          <w:szCs w:val="32"/>
          <w:rtl/>
        </w:rPr>
        <w:footnoteReference w:id="1271"/>
      </w:r>
      <w:r w:rsidRPr="00C85F0F">
        <w:rPr>
          <w:rStyle w:val="af1"/>
          <w:szCs w:val="32"/>
          <w:rtl/>
        </w:rPr>
        <w:t>)</w:t>
      </w:r>
      <w:r w:rsidRPr="00C85F0F">
        <w:rPr>
          <w:rFonts w:ascii="Traditional Arabic" w:hAnsi="Traditional Arabic" w:hint="cs"/>
          <w:color w:val="auto"/>
          <w:rtl/>
        </w:rPr>
        <w:t>.</w:t>
      </w:r>
    </w:p>
    <w:p w:rsidR="00251F48"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lastRenderedPageBreak/>
        <w:t>العبرة بالغالب ولا عبرة بالنادر</w:t>
      </w:r>
      <w:r w:rsidRPr="00C85F0F">
        <w:rPr>
          <w:rStyle w:val="af1"/>
          <w:szCs w:val="32"/>
          <w:rtl/>
        </w:rPr>
        <w:t>(</w:t>
      </w:r>
      <w:r w:rsidRPr="00C85F0F">
        <w:rPr>
          <w:rStyle w:val="af1"/>
          <w:szCs w:val="32"/>
          <w:rtl/>
        </w:rPr>
        <w:footnoteReference w:id="1272"/>
      </w:r>
      <w:r w:rsidRPr="00C85F0F">
        <w:rPr>
          <w:rStyle w:val="af1"/>
          <w:szCs w:val="32"/>
          <w:rtl/>
        </w:rPr>
        <w:t>)</w:t>
      </w:r>
      <w:r w:rsidRPr="00C85F0F">
        <w:rPr>
          <w:rFonts w:ascii="Traditional Arabic" w:hAnsi="Traditional Arabic" w:hint="cs"/>
          <w:color w:val="auto"/>
          <w:rtl/>
        </w:rPr>
        <w:t>.</w:t>
      </w:r>
    </w:p>
    <w:p w:rsidR="00F228A9" w:rsidRPr="00C85F0F" w:rsidRDefault="00251F48" w:rsidP="000A76C7">
      <w:pPr>
        <w:pStyle w:val="afc"/>
        <w:numPr>
          <w:ilvl w:val="0"/>
          <w:numId w:val="168"/>
        </w:numPr>
        <w:rPr>
          <w:rFonts w:ascii="Traditional Arabic" w:hAnsi="Traditional Arabic"/>
          <w:color w:val="auto"/>
        </w:rPr>
      </w:pPr>
      <w:r w:rsidRPr="00C85F0F">
        <w:rPr>
          <w:rFonts w:ascii="Traditional Arabic" w:hAnsi="Traditional Arabic" w:hint="cs"/>
          <w:color w:val="auto"/>
          <w:rtl/>
        </w:rPr>
        <w:t>الحكم ينبني على العام الغالب دون الشاذ النادر</w:t>
      </w:r>
      <w:r w:rsidRPr="00C85F0F">
        <w:rPr>
          <w:rStyle w:val="af1"/>
          <w:szCs w:val="32"/>
          <w:rtl/>
        </w:rPr>
        <w:t>(</w:t>
      </w:r>
      <w:r w:rsidRPr="00C85F0F">
        <w:rPr>
          <w:rStyle w:val="af1"/>
          <w:szCs w:val="32"/>
          <w:rtl/>
        </w:rPr>
        <w:footnoteReference w:id="1273"/>
      </w:r>
      <w:r w:rsidRPr="00C85F0F">
        <w:rPr>
          <w:rStyle w:val="af1"/>
          <w:szCs w:val="32"/>
          <w:rtl/>
        </w:rPr>
        <w:t>)</w:t>
      </w:r>
      <w:r w:rsidRPr="00C85F0F">
        <w:rPr>
          <w:rFonts w:ascii="Traditional Arabic" w:hAnsi="Traditional Arabic" w:hint="cs"/>
          <w:color w:val="auto"/>
          <w:rtl/>
        </w:rPr>
        <w:t>.</w:t>
      </w:r>
    </w:p>
    <w:p w:rsidR="002226EA" w:rsidRDefault="004949B9" w:rsidP="00A8347C">
      <w:pPr>
        <w:pStyle w:val="aff3"/>
        <w:rPr>
          <w:rtl/>
        </w:rPr>
      </w:pPr>
      <w:bookmarkStart w:id="245" w:name="_Toc334046466"/>
      <w:r>
        <w:rPr>
          <w:rFonts w:hint="cs"/>
          <w:rtl/>
        </w:rPr>
        <w:t xml:space="preserve">                                   المطلب</w:t>
      </w:r>
      <w:r w:rsidR="00E807B5">
        <w:rPr>
          <w:rFonts w:hint="cs"/>
          <w:rtl/>
        </w:rPr>
        <w:t xml:space="preserve"> </w:t>
      </w:r>
      <w:r w:rsidR="00F228A9" w:rsidRPr="00C85F0F">
        <w:rPr>
          <w:rFonts w:hint="cs"/>
          <w:rtl/>
        </w:rPr>
        <w:t>الثاني</w:t>
      </w:r>
      <w:r w:rsidR="00F228A9" w:rsidRPr="00C85F0F">
        <w:rPr>
          <w:rFonts w:hint="eastAsia"/>
          <w:rtl/>
        </w:rPr>
        <w:t> :</w:t>
      </w:r>
      <w:r w:rsidR="00F228A9" w:rsidRPr="00C85F0F">
        <w:rPr>
          <w:rFonts w:hint="cs"/>
          <w:rtl/>
        </w:rPr>
        <w:br/>
      </w:r>
      <w:r>
        <w:rPr>
          <w:rFonts w:hint="cs"/>
          <w:rtl/>
        </w:rPr>
        <w:t xml:space="preserve">                                  </w:t>
      </w:r>
      <w:r w:rsidR="001916D5">
        <w:rPr>
          <w:rFonts w:hint="cs"/>
          <w:rtl/>
        </w:rPr>
        <w:t xml:space="preserve">  </w:t>
      </w:r>
      <w:r w:rsidR="00F228A9" w:rsidRPr="00C85F0F">
        <w:rPr>
          <w:rFonts w:hint="cs"/>
          <w:rtl/>
        </w:rPr>
        <w:t>شرح القاعدة</w:t>
      </w:r>
      <w:bookmarkEnd w:id="245"/>
    </w:p>
    <w:p w:rsidR="002948BC" w:rsidRPr="004949B9" w:rsidRDefault="00065E4B" w:rsidP="00A8347C">
      <w:pPr>
        <w:pStyle w:val="aff3"/>
        <w:rPr>
          <w:rtl/>
        </w:rPr>
      </w:pPr>
      <w:r w:rsidRPr="004949B9">
        <w:rPr>
          <w:rtl/>
        </w:rPr>
        <w:t>ا</w:t>
      </w:r>
      <w:r w:rsidR="00251F48" w:rsidRPr="004949B9">
        <w:rPr>
          <w:rtl/>
        </w:rPr>
        <w:t>لأغلب</w:t>
      </w:r>
      <w:r w:rsidR="00AB0B9E" w:rsidRPr="004949B9">
        <w:fldChar w:fldCharType="begin"/>
      </w:r>
      <w:r w:rsidR="00D65D30" w:rsidRPr="004949B9">
        <w:instrText>XE</w:instrText>
      </w:r>
      <w:r w:rsidR="00D65D30" w:rsidRPr="004949B9">
        <w:rPr>
          <w:rtl/>
        </w:rPr>
        <w:instrText xml:space="preserve"> "الأغلب" \</w:instrText>
      </w:r>
      <w:r w:rsidR="00D65D30" w:rsidRPr="004949B9">
        <w:instrText>fm</w:instrText>
      </w:r>
      <w:r w:rsidR="00AB0B9E" w:rsidRPr="004949B9">
        <w:fldChar w:fldCharType="end"/>
      </w:r>
      <w:r w:rsidR="00251F48" w:rsidRPr="004949B9">
        <w:rPr>
          <w:rtl/>
        </w:rPr>
        <w:t xml:space="preserve"> لغة:</w:t>
      </w:r>
    </w:p>
    <w:p w:rsidR="00065E4B" w:rsidRDefault="00251F48" w:rsidP="00597C20">
      <w:pPr>
        <w:ind w:firstLine="720"/>
        <w:rPr>
          <w:rFonts w:ascii="Traditional Arabic" w:hAnsi="Traditional Arabic"/>
          <w:color w:val="auto"/>
          <w:rtl/>
        </w:rPr>
      </w:pPr>
      <w:r>
        <w:rPr>
          <w:rFonts w:ascii="Traditional Arabic" w:hAnsi="Traditional Arabic" w:hint="cs"/>
          <w:color w:val="auto"/>
          <w:rtl/>
        </w:rPr>
        <w:t>اسم تفضيل من غَلَب يَغْلِب غَلَباً وغَلْباً وغلبةً</w:t>
      </w:r>
      <w:r w:rsidRPr="00C821A1">
        <w:rPr>
          <w:rStyle w:val="af1"/>
          <w:szCs w:val="32"/>
          <w:rtl/>
        </w:rPr>
        <w:t>(</w:t>
      </w:r>
      <w:r w:rsidRPr="00C821A1">
        <w:rPr>
          <w:rStyle w:val="af1"/>
          <w:szCs w:val="32"/>
          <w:rtl/>
        </w:rPr>
        <w:footnoteReference w:id="1274"/>
      </w:r>
      <w:r w:rsidRPr="00C821A1">
        <w:rPr>
          <w:rStyle w:val="af1"/>
          <w:szCs w:val="32"/>
          <w:rtl/>
        </w:rPr>
        <w:t>)</w:t>
      </w:r>
      <w:r>
        <w:rPr>
          <w:rFonts w:ascii="Traditional Arabic" w:hAnsi="Traditional Arabic" w:hint="cs"/>
          <w:color w:val="auto"/>
          <w:rtl/>
        </w:rPr>
        <w:t>.</w:t>
      </w:r>
    </w:p>
    <w:p w:rsidR="00C15013" w:rsidRDefault="00065E4B" w:rsidP="007174AE">
      <w:pPr>
        <w:ind w:firstLine="720"/>
        <w:rPr>
          <w:rFonts w:ascii="Traditional Arabic" w:hAnsi="Traditional Arabic"/>
          <w:noProof w:val="0"/>
          <w:rtl/>
          <w:lang w:eastAsia="en-US"/>
        </w:rPr>
      </w:pPr>
      <w:r>
        <w:rPr>
          <w:rFonts w:ascii="Traditional Arabic" w:hAnsi="Traditional Arabic" w:hint="cs"/>
          <w:color w:val="auto"/>
          <w:rtl/>
        </w:rPr>
        <w:t>ي</w:t>
      </w:r>
      <w:r w:rsidR="00251F48">
        <w:rPr>
          <w:rFonts w:ascii="Traditional Arabic" w:hAnsi="Traditional Arabic" w:hint="cs"/>
          <w:color w:val="auto"/>
          <w:rtl/>
        </w:rPr>
        <w:t xml:space="preserve">قول </w:t>
      </w:r>
      <w:r w:rsidR="00E807B5">
        <w:rPr>
          <w:rFonts w:ascii="Traditional Arabic" w:hAnsi="Traditional Arabic" w:hint="cs"/>
          <w:color w:val="auto"/>
          <w:rtl/>
        </w:rPr>
        <w:t xml:space="preserve"> </w:t>
      </w:r>
      <w:r w:rsidR="00251F48">
        <w:rPr>
          <w:rFonts w:ascii="Traditional Arabic" w:hAnsi="Traditional Arabic" w:hint="cs"/>
          <w:color w:val="auto"/>
          <w:rtl/>
        </w:rPr>
        <w:t xml:space="preserve">ابن فارس </w:t>
      </w:r>
      <w:r w:rsidR="00E807B5">
        <w:rPr>
          <w:rFonts w:ascii="Traditional Arabic" w:hAnsi="Traditional Arabic" w:hint="cs"/>
          <w:color w:val="auto"/>
          <w:rtl/>
        </w:rPr>
        <w:t>_</w:t>
      </w:r>
      <w:r w:rsidR="009A0575" w:rsidRPr="005D5694">
        <w:rPr>
          <w:rFonts w:ascii="Traditional Arabic" w:hAnsi="Traditional Arabic" w:cs="CTraditional Arabic" w:hint="cs"/>
          <w:rtl/>
        </w:rPr>
        <w:t>/</w:t>
      </w:r>
      <w:r w:rsidR="00E807B5">
        <w:rPr>
          <w:rFonts w:ascii="Traditional Arabic" w:hAnsi="Traditional Arabic" w:hint="cs"/>
          <w:color w:val="auto"/>
          <w:rtl/>
        </w:rPr>
        <w:t>_</w:t>
      </w:r>
      <w:r w:rsidR="00251F48">
        <w:rPr>
          <w:rFonts w:ascii="Traditional Arabic" w:hAnsi="Traditional Arabic" w:hint="cs"/>
          <w:color w:val="auto"/>
          <w:rtl/>
        </w:rPr>
        <w:t>: (</w:t>
      </w:r>
      <w:r w:rsidR="00251F48" w:rsidRPr="00034143">
        <w:rPr>
          <w:rFonts w:ascii="Traditional Arabic" w:hAnsi="Traditional Arabic"/>
          <w:noProof w:val="0"/>
          <w:rtl/>
          <w:lang w:eastAsia="en-US"/>
        </w:rPr>
        <w:t>الغين واللام والباء أصل</w:t>
      </w:r>
      <w:r w:rsidR="00251F48">
        <w:rPr>
          <w:rFonts w:ascii="Traditional Arabic" w:hAnsi="Traditional Arabic" w:hint="cs"/>
          <w:noProof w:val="0"/>
          <w:rtl/>
          <w:lang w:eastAsia="en-US"/>
        </w:rPr>
        <w:t>ٌ</w:t>
      </w:r>
      <w:r w:rsidR="00251F48" w:rsidRPr="00034143">
        <w:rPr>
          <w:rFonts w:ascii="Traditional Arabic" w:hAnsi="Traditional Arabic"/>
          <w:noProof w:val="0"/>
          <w:rtl/>
          <w:lang w:eastAsia="en-US"/>
        </w:rPr>
        <w:t xml:space="preserve"> صحيح يدل على قوة وق</w:t>
      </w:r>
      <w:r w:rsidR="00251F48">
        <w:rPr>
          <w:rFonts w:ascii="Traditional Arabic" w:hAnsi="Traditional Arabic" w:hint="cs"/>
          <w:noProof w:val="0"/>
          <w:rtl/>
          <w:lang w:eastAsia="en-US"/>
        </w:rPr>
        <w:t>َ</w:t>
      </w:r>
      <w:r w:rsidR="00251F48" w:rsidRPr="00034143">
        <w:rPr>
          <w:rFonts w:ascii="Traditional Arabic" w:hAnsi="Traditional Arabic"/>
          <w:noProof w:val="0"/>
          <w:rtl/>
          <w:lang w:eastAsia="en-US"/>
        </w:rPr>
        <w:t>ه</w:t>
      </w:r>
      <w:r w:rsidR="00251F48">
        <w:rPr>
          <w:rFonts w:ascii="Traditional Arabic" w:hAnsi="Traditional Arabic" w:hint="cs"/>
          <w:noProof w:val="0"/>
          <w:rtl/>
          <w:lang w:eastAsia="en-US"/>
        </w:rPr>
        <w:t>ْ</w:t>
      </w:r>
      <w:r w:rsidR="00251F48" w:rsidRPr="00034143">
        <w:rPr>
          <w:rFonts w:ascii="Traditional Arabic" w:hAnsi="Traditional Arabic"/>
          <w:noProof w:val="0"/>
          <w:rtl/>
          <w:lang w:eastAsia="en-US"/>
        </w:rPr>
        <w:t>ر وشد</w:t>
      </w:r>
      <w:r w:rsidR="00251F48">
        <w:rPr>
          <w:rFonts w:ascii="Traditional Arabic" w:hAnsi="Traditional Arabic" w:hint="cs"/>
          <w:noProof w:val="0"/>
          <w:rtl/>
          <w:lang w:eastAsia="en-US"/>
        </w:rPr>
        <w:t>َّ</w:t>
      </w:r>
      <w:r w:rsidR="00251F48" w:rsidRPr="00034143">
        <w:rPr>
          <w:rFonts w:ascii="Traditional Arabic" w:hAnsi="Traditional Arabic"/>
          <w:noProof w:val="0"/>
          <w:rtl/>
          <w:lang w:eastAsia="en-US"/>
        </w:rPr>
        <w:t>ة</w:t>
      </w:r>
      <w:r w:rsidR="00251F48">
        <w:rPr>
          <w:rFonts w:ascii="Traditional Arabic" w:hAnsi="Traditional Arabic" w:hint="cs"/>
          <w:noProof w:val="0"/>
          <w:rtl/>
          <w:lang w:eastAsia="en-US"/>
        </w:rPr>
        <w:t>)</w:t>
      </w:r>
      <w:r w:rsidR="00251F48" w:rsidRPr="00C821A1">
        <w:rPr>
          <w:rStyle w:val="af1"/>
          <w:szCs w:val="32"/>
          <w:rtl/>
        </w:rPr>
        <w:t>(</w:t>
      </w:r>
      <w:r w:rsidR="00251F48" w:rsidRPr="00C821A1">
        <w:rPr>
          <w:rStyle w:val="af1"/>
          <w:szCs w:val="32"/>
          <w:rtl/>
        </w:rPr>
        <w:footnoteReference w:id="1275"/>
      </w:r>
      <w:r w:rsidR="00251F48" w:rsidRPr="00C821A1">
        <w:rPr>
          <w:rStyle w:val="af1"/>
          <w:szCs w:val="32"/>
          <w:rtl/>
        </w:rPr>
        <w:t>)</w:t>
      </w:r>
      <w:r w:rsidR="00251F48" w:rsidRPr="00034143">
        <w:rPr>
          <w:rFonts w:ascii="Traditional Arabic" w:hAnsi="Traditional Arabic"/>
          <w:noProof w:val="0"/>
          <w:rtl/>
          <w:lang w:eastAsia="en-US"/>
        </w:rPr>
        <w:t>.</w:t>
      </w:r>
    </w:p>
    <w:p w:rsidR="00065E4B" w:rsidRPr="00D31318" w:rsidRDefault="00065E4B" w:rsidP="00597C20">
      <w:pPr>
        <w:ind w:firstLine="720"/>
        <w:rPr>
          <w:rFonts w:ascii="Traditional Arabic" w:hAnsi="Traditional Arabic"/>
          <w:color w:val="auto"/>
          <w:rtl/>
        </w:rPr>
      </w:pPr>
      <w:r w:rsidRPr="00E807B5">
        <w:rPr>
          <w:rFonts w:ascii="Traditional Arabic" w:hAnsi="Traditional Arabic"/>
          <w:noProof w:val="0"/>
          <w:rtl/>
          <w:lang w:eastAsia="en-US"/>
        </w:rPr>
        <w:t>و</w:t>
      </w:r>
      <w:r w:rsidR="00251F48" w:rsidRPr="00E807B5">
        <w:rPr>
          <w:rFonts w:ascii="Traditional Arabic" w:hAnsi="Traditional Arabic"/>
          <w:noProof w:val="0"/>
          <w:rtl/>
          <w:lang w:eastAsia="en-US"/>
        </w:rPr>
        <w:t>المراد بالغالب</w:t>
      </w:r>
      <w:r w:rsidR="00AB0B9E" w:rsidRPr="00E807B5">
        <w:rPr>
          <w:rFonts w:ascii="Traditional Arabic" w:hAnsi="Traditional Arabic"/>
          <w:noProof w:val="0"/>
          <w:rtl/>
          <w:lang w:eastAsia="en-US"/>
        </w:rPr>
        <w:fldChar w:fldCharType="begin"/>
      </w:r>
      <w:r w:rsidR="00D65D30" w:rsidRPr="00E807B5">
        <w:rPr>
          <w:rFonts w:ascii="Traditional Arabic" w:hAnsi="Traditional Arabic"/>
        </w:rPr>
        <w:instrText>XE</w:instrText>
      </w:r>
      <w:r w:rsidR="00D65D30" w:rsidRPr="00E807B5">
        <w:rPr>
          <w:rFonts w:ascii="Traditional Arabic" w:hAnsi="Traditional Arabic"/>
          <w:rtl/>
        </w:rPr>
        <w:instrText xml:space="preserve"> "</w:instrText>
      </w:r>
      <w:r w:rsidR="00D65D30" w:rsidRPr="00E807B5">
        <w:rPr>
          <w:rFonts w:ascii="Traditional Arabic" w:hAnsi="Traditional Arabic"/>
          <w:noProof w:val="0"/>
          <w:rtl/>
          <w:lang w:eastAsia="en-US"/>
        </w:rPr>
        <w:instrText>الغالب</w:instrText>
      </w:r>
      <w:r w:rsidR="00D65D30" w:rsidRPr="00E807B5">
        <w:rPr>
          <w:rFonts w:ascii="Traditional Arabic" w:hAnsi="Traditional Arabic"/>
          <w:rtl/>
        </w:rPr>
        <w:instrText>" \</w:instrText>
      </w:r>
      <w:r w:rsidR="00D65D30" w:rsidRPr="00E807B5">
        <w:rPr>
          <w:rFonts w:ascii="Traditional Arabic" w:hAnsi="Traditional Arabic"/>
        </w:rPr>
        <w:instrText>fm</w:instrText>
      </w:r>
      <w:r w:rsidR="00AB0B9E" w:rsidRPr="00E807B5">
        <w:rPr>
          <w:rFonts w:ascii="Traditional Arabic" w:hAnsi="Traditional Arabic"/>
          <w:noProof w:val="0"/>
          <w:rtl/>
          <w:lang w:eastAsia="en-US"/>
        </w:rPr>
        <w:fldChar w:fldCharType="end"/>
      </w:r>
      <w:r w:rsidR="00251F48" w:rsidRPr="00E807B5">
        <w:rPr>
          <w:rFonts w:ascii="Traditional Arabic" w:hAnsi="Traditional Arabic"/>
          <w:noProof w:val="0"/>
          <w:rtl/>
          <w:lang w:eastAsia="en-US"/>
        </w:rPr>
        <w:t xml:space="preserve"> والأغلب</w:t>
      </w:r>
      <w:r w:rsidR="00251F48" w:rsidRPr="00E807B5">
        <w:rPr>
          <w:rFonts w:ascii="Traditional Arabic" w:hAnsi="Traditional Arabic"/>
          <w:color w:val="auto"/>
          <w:rtl/>
        </w:rPr>
        <w:t xml:space="preserve"> في القاعدة:</w:t>
      </w:r>
      <w:r w:rsidR="00E807B5">
        <w:rPr>
          <w:rFonts w:ascii="Traditional Arabic" w:hAnsi="Traditional Arabic" w:hint="cs"/>
          <w:color w:val="auto"/>
          <w:rtl/>
        </w:rPr>
        <w:t xml:space="preserve"> </w:t>
      </w:r>
      <w:r w:rsidR="00251F48">
        <w:rPr>
          <w:rFonts w:ascii="Traditional Arabic" w:hAnsi="Traditional Arabic" w:hint="cs"/>
          <w:color w:val="auto"/>
          <w:rtl/>
        </w:rPr>
        <w:t>ما يكثُر وقوعُه على مُقابِله وهو أكثر الأشياء</w:t>
      </w:r>
      <w:r w:rsidR="00251F48" w:rsidRPr="00C821A1">
        <w:rPr>
          <w:rStyle w:val="af1"/>
          <w:szCs w:val="32"/>
          <w:rtl/>
        </w:rPr>
        <w:t>(</w:t>
      </w:r>
      <w:r w:rsidR="00251F48" w:rsidRPr="00C821A1">
        <w:rPr>
          <w:rStyle w:val="af1"/>
          <w:szCs w:val="32"/>
          <w:rtl/>
        </w:rPr>
        <w:footnoteReference w:id="1276"/>
      </w:r>
      <w:r w:rsidR="00251F48" w:rsidRPr="00C821A1">
        <w:rPr>
          <w:rStyle w:val="af1"/>
          <w:szCs w:val="32"/>
          <w:rtl/>
        </w:rPr>
        <w:t>)</w:t>
      </w:r>
      <w:r w:rsidR="00251F48">
        <w:rPr>
          <w:rFonts w:ascii="Traditional Arabic" w:hAnsi="Traditional Arabic" w:hint="cs"/>
          <w:color w:val="auto"/>
          <w:rtl/>
        </w:rPr>
        <w:t>.</w:t>
      </w:r>
    </w:p>
    <w:p w:rsidR="002948BC" w:rsidRDefault="00065E4B" w:rsidP="00597C20">
      <w:pPr>
        <w:pStyle w:val="53"/>
        <w:rPr>
          <w:b w:val="0"/>
          <w:rtl/>
        </w:rPr>
      </w:pPr>
      <w:r>
        <w:rPr>
          <w:rFonts w:hint="cs"/>
          <w:b w:val="0"/>
          <w:rtl/>
        </w:rPr>
        <w:t>ا</w:t>
      </w:r>
      <w:r w:rsidR="00251F48">
        <w:rPr>
          <w:rFonts w:hint="cs"/>
          <w:b w:val="0"/>
          <w:rtl/>
        </w:rPr>
        <w:t>لنادر</w:t>
      </w:r>
      <w:r w:rsidR="00AB0B9E">
        <w:rPr>
          <w:b w:val="0"/>
          <w:rtl/>
        </w:rPr>
        <w:fldChar w:fldCharType="begin"/>
      </w:r>
      <w:r w:rsidR="00D65D30" w:rsidRPr="00C85F0F">
        <w:rPr>
          <w:bCs w:val="0"/>
        </w:rPr>
        <w:instrText>XE</w:instrText>
      </w:r>
      <w:r w:rsidR="00D65D30" w:rsidRPr="00C85F0F">
        <w:rPr>
          <w:bCs w:val="0"/>
          <w:rtl/>
        </w:rPr>
        <w:instrText xml:space="preserve"> "</w:instrText>
      </w:r>
      <w:r w:rsidR="00D65D30" w:rsidRPr="00C85F0F">
        <w:rPr>
          <w:rFonts w:hint="cs"/>
          <w:bCs w:val="0"/>
          <w:rtl/>
        </w:rPr>
        <w:instrText>النادر</w:instrText>
      </w:r>
      <w:r w:rsidR="00D65D30" w:rsidRPr="00C85F0F">
        <w:rPr>
          <w:bCs w:val="0"/>
          <w:rtl/>
        </w:rPr>
        <w:instrText>" \</w:instrText>
      </w:r>
      <w:r w:rsidR="00D65D30" w:rsidRPr="00C85F0F">
        <w:rPr>
          <w:bCs w:val="0"/>
        </w:rPr>
        <w:instrText>f</w:instrText>
      </w:r>
      <w:r w:rsidR="00D65D30" w:rsidRPr="00D65D30">
        <w:instrText>m</w:instrText>
      </w:r>
      <w:r w:rsidR="00AB0B9E">
        <w:rPr>
          <w:b w:val="0"/>
          <w:rtl/>
        </w:rPr>
        <w:fldChar w:fldCharType="end"/>
      </w:r>
      <w:r w:rsidR="00251F48">
        <w:rPr>
          <w:rFonts w:hint="cs"/>
          <w:b w:val="0"/>
          <w:rtl/>
        </w:rPr>
        <w:t xml:space="preserve"> لغة:</w:t>
      </w:r>
    </w:p>
    <w:p w:rsidR="00065E4B" w:rsidRDefault="00251F48" w:rsidP="00597C20">
      <w:pPr>
        <w:ind w:firstLine="720"/>
        <w:rPr>
          <w:rFonts w:ascii="Traditional Arabic" w:hAnsi="Traditional Arabic"/>
          <w:noProof w:val="0"/>
          <w:rtl/>
          <w:lang w:eastAsia="en-US"/>
        </w:rPr>
      </w:pPr>
      <w:r>
        <w:rPr>
          <w:rFonts w:ascii="Traditional Arabic" w:hAnsi="Traditional Arabic" w:hint="cs"/>
          <w:noProof w:val="0"/>
          <w:rtl/>
          <w:lang w:eastAsia="en-US"/>
        </w:rPr>
        <w:t xml:space="preserve">يقول </w:t>
      </w:r>
      <w:r w:rsidR="00E807B5">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ابن فارس </w:t>
      </w:r>
      <w:r w:rsidR="00E807B5">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E807B5">
        <w:rPr>
          <w:rFonts w:ascii="Traditional Arabic" w:hAnsi="Traditional Arabic" w:hint="cs"/>
          <w:noProof w:val="0"/>
          <w:rtl/>
          <w:lang w:eastAsia="en-US"/>
        </w:rPr>
        <w:t>_</w:t>
      </w:r>
      <w:r>
        <w:rPr>
          <w:rFonts w:ascii="Traditional Arabic" w:hAnsi="Traditional Arabic" w:hint="cs"/>
          <w:noProof w:val="0"/>
          <w:rtl/>
          <w:lang w:eastAsia="en-US"/>
        </w:rPr>
        <w:t>: (</w:t>
      </w:r>
      <w:r w:rsidRPr="00A10734">
        <w:rPr>
          <w:rFonts w:ascii="Traditional Arabic" w:hAnsi="Traditional Arabic"/>
          <w:noProof w:val="0"/>
          <w:rtl/>
          <w:lang w:eastAsia="en-US"/>
        </w:rPr>
        <w:t>النون والدال والراء أصل صحيح يدل على سقوط شيء أو إسقاطه. ون</w:t>
      </w:r>
      <w:r w:rsidR="00E807B5">
        <w:rPr>
          <w:rFonts w:ascii="Traditional Arabic" w:hAnsi="Traditional Arabic" w:hint="cs"/>
          <w:noProof w:val="0"/>
          <w:rtl/>
          <w:lang w:eastAsia="en-US"/>
        </w:rPr>
        <w:t>َ</w:t>
      </w:r>
      <w:r w:rsidRPr="00A10734">
        <w:rPr>
          <w:rFonts w:ascii="Traditional Arabic" w:hAnsi="Traditional Arabic"/>
          <w:noProof w:val="0"/>
          <w:rtl/>
          <w:lang w:eastAsia="en-US"/>
        </w:rPr>
        <w:t>د</w:t>
      </w:r>
      <w:r w:rsidR="00E807B5">
        <w:rPr>
          <w:rFonts w:ascii="Traditional Arabic" w:hAnsi="Traditional Arabic" w:hint="cs"/>
          <w:noProof w:val="0"/>
          <w:rtl/>
          <w:lang w:eastAsia="en-US"/>
        </w:rPr>
        <w:t>َ</w:t>
      </w:r>
      <w:r w:rsidRPr="00A10734">
        <w:rPr>
          <w:rFonts w:ascii="Traditional Arabic" w:hAnsi="Traditional Arabic"/>
          <w:noProof w:val="0"/>
          <w:rtl/>
          <w:lang w:eastAsia="en-US"/>
        </w:rPr>
        <w:t>ر الشيء: سقط</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277"/>
      </w:r>
      <w:r w:rsidRPr="00C821A1">
        <w:rPr>
          <w:rStyle w:val="af1"/>
          <w:szCs w:val="32"/>
          <w:rtl/>
        </w:rPr>
        <w:t>)</w:t>
      </w:r>
      <w:r w:rsidRPr="00A10734">
        <w:rPr>
          <w:rFonts w:ascii="Traditional Arabic" w:hAnsi="Traditional Arabic"/>
          <w:noProof w:val="0"/>
          <w:rtl/>
          <w:lang w:eastAsia="en-US"/>
        </w:rPr>
        <w:t>.</w:t>
      </w:r>
    </w:p>
    <w:p w:rsidR="00065E4B" w:rsidRDefault="00E807B5" w:rsidP="00597C20">
      <w:pPr>
        <w:ind w:firstLine="0"/>
        <w:rPr>
          <w:rFonts w:ascii="Traditional Arabic" w:hAnsi="Traditional Arabic"/>
          <w:b/>
          <w:bCs/>
          <w:color w:val="auto"/>
          <w:rtl/>
        </w:rPr>
      </w:pPr>
      <w:r>
        <w:rPr>
          <w:rFonts w:ascii="Traditional Arabic" w:hAnsi="Traditional Arabic" w:hint="cs"/>
          <w:noProof w:val="0"/>
          <w:rtl/>
          <w:lang w:eastAsia="en-US"/>
        </w:rPr>
        <w:t xml:space="preserve">       </w:t>
      </w:r>
      <w:r w:rsidR="00065E4B">
        <w:rPr>
          <w:rFonts w:ascii="Traditional Arabic" w:hAnsi="Traditional Arabic" w:hint="cs"/>
          <w:noProof w:val="0"/>
          <w:rtl/>
          <w:lang w:eastAsia="en-US"/>
        </w:rPr>
        <w:t>و</w:t>
      </w:r>
      <w:r w:rsidR="00251F48">
        <w:rPr>
          <w:rFonts w:ascii="Traditional Arabic" w:hAnsi="Traditional Arabic" w:hint="cs"/>
          <w:noProof w:val="0"/>
          <w:rtl/>
          <w:lang w:eastAsia="en-US"/>
        </w:rPr>
        <w:t>النادر</w:t>
      </w:r>
      <w:r w:rsidR="00251F48" w:rsidRPr="0092119D">
        <w:rPr>
          <w:rFonts w:ascii="Traditional Arabic" w:hAnsi="Traditional Arabic"/>
          <w:noProof w:val="0"/>
          <w:rtl/>
          <w:lang w:eastAsia="en-US"/>
        </w:rPr>
        <w:t xml:space="preserve"> اسم فاعل من نَدَرَ</w:t>
      </w:r>
      <w:r w:rsidR="00251F48">
        <w:rPr>
          <w:rFonts w:ascii="Traditional Arabic" w:hAnsi="Traditional Arabic" w:hint="cs"/>
          <w:noProof w:val="0"/>
          <w:rtl/>
          <w:lang w:eastAsia="en-US"/>
        </w:rPr>
        <w:t xml:space="preserve"> الشيءُ يندُر نَدْراً،</w:t>
      </w:r>
      <w:r w:rsidR="00251F48" w:rsidRPr="0092119D">
        <w:rPr>
          <w:rFonts w:ascii="Traditional Arabic" w:hAnsi="Traditional Arabic"/>
          <w:noProof w:val="0"/>
          <w:rtl/>
          <w:lang w:eastAsia="en-US"/>
        </w:rPr>
        <w:t xml:space="preserve"> أي</w:t>
      </w:r>
      <w:r w:rsidR="00251F48">
        <w:rPr>
          <w:rFonts w:ascii="Traditional Arabic" w:hAnsi="Traditional Arabic" w:hint="cs"/>
          <w:noProof w:val="0"/>
          <w:rtl/>
          <w:lang w:eastAsia="en-US"/>
        </w:rPr>
        <w:t>:</w:t>
      </w:r>
      <w:r w:rsidR="00251F48" w:rsidRPr="0092119D">
        <w:rPr>
          <w:rFonts w:ascii="Traditional Arabic" w:hAnsi="Traditional Arabic"/>
          <w:noProof w:val="0"/>
          <w:rtl/>
          <w:lang w:eastAsia="en-US"/>
        </w:rPr>
        <w:t xml:space="preserve"> س</w:t>
      </w:r>
      <w:r w:rsidR="00251F48">
        <w:rPr>
          <w:rFonts w:ascii="Traditional Arabic" w:hAnsi="Traditional Arabic" w:hint="cs"/>
          <w:noProof w:val="0"/>
          <w:rtl/>
          <w:lang w:eastAsia="en-US"/>
        </w:rPr>
        <w:t>َ</w:t>
      </w:r>
      <w:r w:rsidR="00251F48" w:rsidRPr="0092119D">
        <w:rPr>
          <w:rFonts w:ascii="Traditional Arabic" w:hAnsi="Traditional Arabic"/>
          <w:noProof w:val="0"/>
          <w:rtl/>
          <w:lang w:eastAsia="en-US"/>
        </w:rPr>
        <w:t>قط وشذّ</w:t>
      </w:r>
      <w:r w:rsidR="00251F48">
        <w:rPr>
          <w:rFonts w:ascii="Traditional Arabic" w:hAnsi="Traditional Arabic" w:hint="cs"/>
          <w:noProof w:val="0"/>
          <w:rtl/>
          <w:lang w:eastAsia="en-US"/>
        </w:rPr>
        <w:t>َ</w:t>
      </w:r>
      <w:r w:rsidR="00251F48" w:rsidRPr="00C821A1">
        <w:rPr>
          <w:rStyle w:val="af1"/>
          <w:szCs w:val="32"/>
          <w:rtl/>
        </w:rPr>
        <w:t>(</w:t>
      </w:r>
      <w:r w:rsidR="00251F48" w:rsidRPr="00C821A1">
        <w:rPr>
          <w:rStyle w:val="af1"/>
          <w:szCs w:val="32"/>
          <w:rtl/>
        </w:rPr>
        <w:footnoteReference w:id="1278"/>
      </w:r>
      <w:r w:rsidR="00251F48" w:rsidRPr="00C821A1">
        <w:rPr>
          <w:rStyle w:val="af1"/>
          <w:szCs w:val="32"/>
          <w:rtl/>
        </w:rPr>
        <w:t>)</w:t>
      </w:r>
      <w:r w:rsidR="00251F48">
        <w:rPr>
          <w:rFonts w:ascii="Traditional Arabic" w:hAnsi="Traditional Arabic" w:hint="cs"/>
          <w:b/>
          <w:bCs/>
          <w:color w:val="auto"/>
          <w:rtl/>
        </w:rPr>
        <w:t>.</w:t>
      </w:r>
    </w:p>
    <w:p w:rsidR="00065E4B" w:rsidRPr="003264C4" w:rsidRDefault="00E807B5" w:rsidP="00597C20">
      <w:pPr>
        <w:ind w:firstLine="0"/>
        <w:rPr>
          <w:rFonts w:ascii="Traditional Arabic" w:hAnsi="Traditional Arabic"/>
          <w:color w:val="auto"/>
          <w:rtl/>
        </w:rPr>
      </w:pPr>
      <w:r>
        <w:rPr>
          <w:rFonts w:ascii="Traditional Arabic" w:hAnsi="Traditional Arabic" w:hint="cs"/>
          <w:color w:val="auto"/>
          <w:rtl/>
        </w:rPr>
        <w:t xml:space="preserve">       </w:t>
      </w:r>
      <w:r w:rsidR="00065E4B" w:rsidRPr="003264C4">
        <w:rPr>
          <w:rFonts w:ascii="Traditional Arabic" w:hAnsi="Traditional Arabic" w:hint="cs"/>
          <w:color w:val="auto"/>
          <w:rtl/>
        </w:rPr>
        <w:t>ف</w:t>
      </w:r>
      <w:r w:rsidR="00251F48" w:rsidRPr="003264C4">
        <w:rPr>
          <w:rFonts w:ascii="Traditional Arabic" w:hAnsi="Traditional Arabic" w:hint="cs"/>
          <w:color w:val="auto"/>
          <w:rtl/>
        </w:rPr>
        <w:t>النادر هو الشاذّ.</w:t>
      </w:r>
    </w:p>
    <w:p w:rsidR="00065E4B" w:rsidRPr="004F1F57" w:rsidRDefault="00065E4B" w:rsidP="00597C20">
      <w:pPr>
        <w:ind w:firstLine="0"/>
        <w:rPr>
          <w:rFonts w:ascii="Traditional Arabic" w:hAnsi="Traditional Arabic"/>
          <w:color w:val="auto"/>
          <w:rtl/>
        </w:rPr>
      </w:pPr>
      <w:r w:rsidRPr="00E807B5">
        <w:rPr>
          <w:rFonts w:ascii="Traditional Arabic" w:hAnsi="Traditional Arabic" w:hint="cs"/>
          <w:color w:val="auto"/>
          <w:rtl/>
        </w:rPr>
        <w:lastRenderedPageBreak/>
        <w:t>و</w:t>
      </w:r>
      <w:r w:rsidR="00251F48" w:rsidRPr="00E807B5">
        <w:rPr>
          <w:rFonts w:ascii="Traditional Arabic" w:hAnsi="Traditional Arabic" w:hint="cs"/>
          <w:color w:val="auto"/>
          <w:rtl/>
        </w:rPr>
        <w:t>المراد بالنادر في القاعدة:</w:t>
      </w:r>
      <w:r w:rsidR="00251F48">
        <w:rPr>
          <w:rFonts w:ascii="Traditional Arabic" w:hAnsi="Traditional Arabic" w:hint="cs"/>
          <w:color w:val="auto"/>
          <w:rtl/>
        </w:rPr>
        <w:t xml:space="preserve"> القليلُ الوجودِ والوقوع</w:t>
      </w:r>
      <w:r w:rsidR="00251F48" w:rsidRPr="00C821A1">
        <w:rPr>
          <w:rStyle w:val="af1"/>
          <w:szCs w:val="32"/>
          <w:rtl/>
        </w:rPr>
        <w:t>(</w:t>
      </w:r>
      <w:r w:rsidR="00251F48" w:rsidRPr="00C821A1">
        <w:rPr>
          <w:rStyle w:val="af1"/>
          <w:szCs w:val="32"/>
          <w:rtl/>
        </w:rPr>
        <w:footnoteReference w:id="1279"/>
      </w:r>
      <w:r w:rsidR="00251F48" w:rsidRPr="00C821A1">
        <w:rPr>
          <w:rStyle w:val="af1"/>
          <w:szCs w:val="32"/>
          <w:rtl/>
        </w:rPr>
        <w:t>)</w:t>
      </w:r>
      <w:r w:rsidR="00251F48">
        <w:rPr>
          <w:rFonts w:ascii="Traditional Arabic" w:hAnsi="Traditional Arabic" w:hint="cs"/>
          <w:color w:val="auto"/>
          <w:rtl/>
        </w:rPr>
        <w:t>.</w:t>
      </w:r>
    </w:p>
    <w:p w:rsidR="00065E4B" w:rsidRDefault="00065E4B" w:rsidP="00597C20">
      <w:pPr>
        <w:pStyle w:val="53"/>
        <w:rPr>
          <w:rtl/>
        </w:rPr>
      </w:pPr>
      <w:r>
        <w:rPr>
          <w:rFonts w:hint="cs"/>
          <w:rtl/>
        </w:rPr>
        <w:t>م</w:t>
      </w:r>
      <w:r w:rsidR="00251F48">
        <w:rPr>
          <w:rFonts w:hint="cs"/>
          <w:rtl/>
        </w:rPr>
        <w:t>عنى القاعدة إجمالا:</w:t>
      </w:r>
    </w:p>
    <w:p w:rsidR="00251F48" w:rsidRPr="00D31318" w:rsidRDefault="00065E4B" w:rsidP="00597C20">
      <w:pPr>
        <w:ind w:firstLine="0"/>
        <w:rPr>
          <w:rFonts w:ascii="Traditional Arabic" w:hAnsi="Traditional Arabic"/>
          <w:color w:val="auto"/>
          <w:rtl/>
        </w:rPr>
      </w:pPr>
      <w:r>
        <w:rPr>
          <w:rFonts w:ascii="Traditional Arabic" w:hAnsi="Traditional Arabic" w:hint="cs"/>
          <w:color w:val="auto"/>
          <w:rtl/>
        </w:rPr>
        <w:t>ه</w:t>
      </w:r>
      <w:r w:rsidR="007174AE">
        <w:rPr>
          <w:rFonts w:ascii="Traditional Arabic" w:hAnsi="Traditional Arabic" w:hint="cs"/>
          <w:color w:val="auto"/>
          <w:rtl/>
        </w:rPr>
        <w:t>ذه قاعدة</w:t>
      </w:r>
      <w:r w:rsidR="00251F48">
        <w:rPr>
          <w:rFonts w:ascii="Traditional Arabic" w:hAnsi="Traditional Arabic" w:hint="cs"/>
          <w:color w:val="auto"/>
          <w:rtl/>
        </w:rPr>
        <w:t xml:space="preserve"> مهمَّة من قواعد الفقه الإسلامي</w:t>
      </w:r>
      <w:r w:rsidR="00251F48" w:rsidRPr="00C821A1">
        <w:rPr>
          <w:rStyle w:val="af1"/>
          <w:szCs w:val="32"/>
          <w:rtl/>
        </w:rPr>
        <w:t>(</w:t>
      </w:r>
      <w:r w:rsidR="00251F48" w:rsidRPr="00C821A1">
        <w:rPr>
          <w:rStyle w:val="af1"/>
          <w:szCs w:val="32"/>
          <w:rtl/>
        </w:rPr>
        <w:footnoteReference w:id="1280"/>
      </w:r>
      <w:r w:rsidR="00251F48" w:rsidRPr="00C821A1">
        <w:rPr>
          <w:rStyle w:val="af1"/>
          <w:szCs w:val="32"/>
          <w:rtl/>
        </w:rPr>
        <w:t>)</w:t>
      </w:r>
      <w:r w:rsidR="00251F48">
        <w:rPr>
          <w:rFonts w:hint="cs"/>
          <w:rtl/>
        </w:rPr>
        <w:t>، وهي من القواعد المعقولة المعنى حيث إن الأحكام الشرعية إنما تنبني على الغالب الأكثري الذي يكثُر وجودُه ويَعُمُّ وقوعُه، دون القليل النادر الذي يَقِلُّ وجوده ووقوعه، فإن النادر في الشرع لا حُكمَ له منفرداً بجانب الكثير الغالب</w:t>
      </w:r>
      <w:r w:rsidR="00251F48">
        <w:rPr>
          <w:rFonts w:ascii="Traditional Arabic" w:hAnsi="Traditional Arabic" w:hint="cs"/>
          <w:color w:val="auto"/>
          <w:rtl/>
        </w:rPr>
        <w:t>، ولا اعتدادَ به، وإنما هو مُلْحَقٌ بالغالب، فحُكمُه حُكمُه</w:t>
      </w:r>
      <w:r w:rsidR="00251F48" w:rsidRPr="00C821A1">
        <w:rPr>
          <w:rStyle w:val="af1"/>
          <w:szCs w:val="32"/>
          <w:rtl/>
        </w:rPr>
        <w:t>(</w:t>
      </w:r>
      <w:r w:rsidR="00251F48" w:rsidRPr="00C821A1">
        <w:rPr>
          <w:rStyle w:val="af1"/>
          <w:szCs w:val="32"/>
          <w:rtl/>
        </w:rPr>
        <w:footnoteReference w:id="1281"/>
      </w:r>
      <w:r w:rsidR="00251F48" w:rsidRPr="00C821A1">
        <w:rPr>
          <w:rStyle w:val="af1"/>
          <w:szCs w:val="32"/>
          <w:rtl/>
        </w:rPr>
        <w:t>)</w:t>
      </w:r>
      <w:r w:rsidR="00251F48">
        <w:rPr>
          <w:rFonts w:ascii="Traditional Arabic" w:hAnsi="Traditional Arabic" w:hint="cs"/>
          <w:color w:val="auto"/>
          <w:rtl/>
        </w:rPr>
        <w:t>.</w:t>
      </w:r>
    </w:p>
    <w:p w:rsidR="00065E4B" w:rsidRPr="00896484" w:rsidRDefault="004949B9" w:rsidP="00A8347C">
      <w:pPr>
        <w:pStyle w:val="aff3"/>
        <w:rPr>
          <w:rtl/>
        </w:rPr>
      </w:pPr>
      <w:bookmarkStart w:id="246" w:name="_Toc334046467"/>
      <w:r>
        <w:rPr>
          <w:rFonts w:hint="cs"/>
          <w:rtl/>
        </w:rPr>
        <w:t xml:space="preserve">                                          المطلب</w:t>
      </w:r>
      <w:r w:rsidR="00E807B5">
        <w:rPr>
          <w:rFonts w:hint="cs"/>
          <w:rtl/>
        </w:rPr>
        <w:t xml:space="preserve"> </w:t>
      </w:r>
      <w:r w:rsidR="00251F48" w:rsidRPr="00896484">
        <w:rPr>
          <w:rFonts w:hint="cs"/>
          <w:rtl/>
        </w:rPr>
        <w:t>الثالث</w:t>
      </w:r>
      <w:r w:rsidR="00896484">
        <w:rPr>
          <w:rFonts w:hint="eastAsia"/>
          <w:rtl/>
        </w:rPr>
        <w:t> :</w:t>
      </w:r>
      <w:r w:rsidR="00896484">
        <w:rPr>
          <w:rFonts w:hint="cs"/>
          <w:rtl/>
        </w:rPr>
        <w:br/>
      </w:r>
      <w:r>
        <w:rPr>
          <w:rFonts w:hint="cs"/>
          <w:rtl/>
        </w:rPr>
        <w:t xml:space="preserve">             </w:t>
      </w:r>
      <w:r w:rsidR="00D24526">
        <w:rPr>
          <w:rFonts w:hint="cs"/>
          <w:rtl/>
        </w:rPr>
        <w:t xml:space="preserve">                               </w:t>
      </w:r>
      <w:r w:rsidR="00251F48" w:rsidRPr="00896484">
        <w:rPr>
          <w:rFonts w:hint="cs"/>
          <w:rtl/>
        </w:rPr>
        <w:t>أدلة القاعدة</w:t>
      </w:r>
      <w:bookmarkEnd w:id="246"/>
    </w:p>
    <w:p w:rsidR="00251F48" w:rsidRPr="00C85F0F" w:rsidRDefault="00065E4B" w:rsidP="00597C20">
      <w:pPr>
        <w:spacing w:line="640" w:lineRule="exact"/>
        <w:ind w:firstLine="0"/>
        <w:rPr>
          <w:rFonts w:ascii="Lotus Linotype" w:hAnsi="Lotus Linotype" w:cs="Lotus Linotype"/>
        </w:rPr>
      </w:pPr>
      <w:r>
        <w:rPr>
          <w:rFonts w:ascii="Traditional Arabic" w:hAnsi="Traditional Arabic" w:hint="cs"/>
          <w:rtl/>
        </w:rPr>
        <w:t>(</w:t>
      </w:r>
      <w:r w:rsidR="00251F48">
        <w:rPr>
          <w:rFonts w:ascii="Traditional Arabic" w:hAnsi="Traditional Arabic" w:hint="cs"/>
          <w:rtl/>
        </w:rPr>
        <w:t xml:space="preserve">1) </w:t>
      </w:r>
      <w:r w:rsidR="00251F48" w:rsidRPr="00A470AA">
        <w:rPr>
          <w:rFonts w:ascii="Traditional Arabic" w:hAnsi="Traditional Arabic"/>
          <w:rtl/>
        </w:rPr>
        <w:t xml:space="preserve">حديث ابن عباس </w:t>
      </w:r>
      <w:r w:rsidR="00E807B5">
        <w:rPr>
          <w:rFonts w:ascii="Traditional Arabic" w:hAnsi="Traditional Arabic" w:hint="cs"/>
          <w:rtl/>
        </w:rPr>
        <w:t>_</w:t>
      </w:r>
      <w:r w:rsidR="00154102">
        <w:rPr>
          <w:rFonts w:ascii="Traditional Arabic" w:hAnsi="Traditional Arabic" w:cs="CTraditional Arabic" w:hint="cs"/>
          <w:noProof w:val="0"/>
          <w:color w:val="auto"/>
          <w:rtl/>
          <w:lang w:eastAsia="en-US"/>
        </w:rPr>
        <w:t>ب</w:t>
      </w:r>
      <w:r w:rsidR="00E807B5">
        <w:rPr>
          <w:rFonts w:ascii="Traditional Arabic" w:hAnsi="Traditional Arabic" w:hint="cs"/>
          <w:rtl/>
        </w:rPr>
        <w:t>_</w:t>
      </w:r>
      <w:r w:rsidR="00251F48" w:rsidRPr="00A470AA">
        <w:rPr>
          <w:rFonts w:ascii="Traditional Arabic" w:hAnsi="Traditional Arabic"/>
          <w:rtl/>
        </w:rPr>
        <w:t xml:space="preserve"> في كتاب النبي</w:t>
      </w:r>
      <w:r w:rsidR="002226EA">
        <w:rPr>
          <w:rFonts w:ascii="Traditional Arabic" w:hAnsi="Traditional Arabic" w:hint="cs"/>
          <w:noProof w:val="0"/>
          <w:color w:val="auto"/>
          <w:rtl/>
          <w:lang w:eastAsia="en-US"/>
        </w:rPr>
        <w:t xml:space="preserve"> </w:t>
      </w:r>
      <w:r w:rsidR="002226EA">
        <w:rPr>
          <w:rFonts w:ascii="Traditional Arabic" w:hAnsi="Traditional Arabic" w:hint="cs"/>
          <w:rtl/>
        </w:rPr>
        <w:t>صلى الله عليه وسلم</w:t>
      </w:r>
      <w:r w:rsidR="00251F48" w:rsidRPr="00A470AA">
        <w:rPr>
          <w:rFonts w:ascii="Traditional Arabic" w:hAnsi="Traditional Arabic"/>
          <w:rtl/>
        </w:rPr>
        <w:t xml:space="preserve"> الذي بعث به د</w:t>
      </w:r>
      <w:r w:rsidR="00251F48">
        <w:rPr>
          <w:rFonts w:ascii="Traditional Arabic" w:hAnsi="Traditional Arabic" w:hint="cs"/>
          <w:rtl/>
        </w:rPr>
        <w:t>ِ</w:t>
      </w:r>
      <w:r w:rsidR="00251F48" w:rsidRPr="00A470AA">
        <w:rPr>
          <w:rFonts w:ascii="Traditional Arabic" w:hAnsi="Traditional Arabic"/>
          <w:rtl/>
        </w:rPr>
        <w:t>ح</w:t>
      </w:r>
      <w:r w:rsidR="00251F48">
        <w:rPr>
          <w:rFonts w:ascii="Traditional Arabic" w:hAnsi="Traditional Arabic" w:hint="cs"/>
          <w:rtl/>
        </w:rPr>
        <w:t>ْ</w:t>
      </w:r>
      <w:r w:rsidR="00251F48" w:rsidRPr="00A470AA">
        <w:rPr>
          <w:rFonts w:ascii="Traditional Arabic" w:hAnsi="Traditional Arabic"/>
          <w:rtl/>
        </w:rPr>
        <w:t>ي</w:t>
      </w:r>
      <w:r w:rsidR="00251F48">
        <w:rPr>
          <w:rFonts w:ascii="Traditional Arabic" w:hAnsi="Traditional Arabic" w:hint="cs"/>
          <w:rtl/>
        </w:rPr>
        <w:t>َ</w:t>
      </w:r>
      <w:r w:rsidR="00251F48" w:rsidRPr="00A470AA">
        <w:rPr>
          <w:rFonts w:ascii="Traditional Arabic" w:hAnsi="Traditional Arabic"/>
          <w:rtl/>
        </w:rPr>
        <w:t>ة</w:t>
      </w:r>
      <w:r w:rsidR="00AF3C55">
        <w:rPr>
          <w:rFonts w:ascii="Traditional Arabic" w:hAnsi="Traditional Arabic" w:hint="cs"/>
          <w:rtl/>
        </w:rPr>
        <w:t>َ</w:t>
      </w:r>
      <w:r w:rsidR="00251F48" w:rsidRPr="00C821A1">
        <w:rPr>
          <w:rFonts w:ascii="Traditional Arabic" w:hAnsi="Traditional Arabic"/>
          <w:szCs w:val="32"/>
          <w:vertAlign w:val="superscript"/>
          <w:rtl/>
        </w:rPr>
        <w:t>(</w:t>
      </w:r>
      <w:r w:rsidR="00251F48" w:rsidRPr="00C821A1">
        <w:rPr>
          <w:rStyle w:val="af1"/>
          <w:rFonts w:ascii="Traditional Arabic" w:hAnsi="Traditional Arabic"/>
          <w:szCs w:val="32"/>
          <w:rtl/>
        </w:rPr>
        <w:footnoteReference w:id="1282"/>
      </w:r>
      <w:r w:rsidR="00251F48" w:rsidRPr="00C821A1">
        <w:rPr>
          <w:rFonts w:ascii="Traditional Arabic" w:hAnsi="Traditional Arabic"/>
          <w:szCs w:val="32"/>
          <w:vertAlign w:val="superscript"/>
          <w:rtl/>
        </w:rPr>
        <w:t>)</w:t>
      </w:r>
      <w:r w:rsidR="009A0575">
        <w:rPr>
          <w:rFonts w:ascii="Traditional Arabic" w:hAnsi="Traditional Arabic" w:cs="CTraditional Arabic" w:hint="cs"/>
          <w:rtl/>
        </w:rPr>
        <w:t>ا</w:t>
      </w:r>
      <w:r w:rsidR="00251F48" w:rsidRPr="00A470AA">
        <w:rPr>
          <w:rFonts w:ascii="Traditional Arabic" w:hAnsi="Traditional Arabic"/>
          <w:rtl/>
        </w:rPr>
        <w:t>إلى عظيم ب</w:t>
      </w:r>
      <w:r w:rsidR="00251F48" w:rsidRPr="00A470AA">
        <w:rPr>
          <w:rFonts w:ascii="Traditional Arabic" w:hAnsi="Traditional Arabic" w:hint="cs"/>
          <w:rtl/>
        </w:rPr>
        <w:t>ُ</w:t>
      </w:r>
      <w:r w:rsidR="00251F48" w:rsidRPr="00A470AA">
        <w:rPr>
          <w:rFonts w:ascii="Traditional Arabic" w:hAnsi="Traditional Arabic"/>
          <w:rtl/>
        </w:rPr>
        <w:t>ص</w:t>
      </w:r>
      <w:r w:rsidR="00251F48" w:rsidRPr="00A470AA">
        <w:rPr>
          <w:rFonts w:ascii="Traditional Arabic" w:hAnsi="Traditional Arabic" w:hint="cs"/>
          <w:rtl/>
        </w:rPr>
        <w:t>ْ</w:t>
      </w:r>
      <w:r w:rsidR="00251F48" w:rsidRPr="00A470AA">
        <w:rPr>
          <w:rFonts w:ascii="Traditional Arabic" w:hAnsi="Traditional Arabic"/>
          <w:rtl/>
        </w:rPr>
        <w:t>رى</w:t>
      </w:r>
      <w:r w:rsidR="00251F48" w:rsidRPr="00C821A1">
        <w:rPr>
          <w:rStyle w:val="af1"/>
          <w:szCs w:val="32"/>
          <w:rtl/>
        </w:rPr>
        <w:t>(</w:t>
      </w:r>
      <w:r w:rsidR="00251F48" w:rsidRPr="00C821A1">
        <w:rPr>
          <w:rStyle w:val="af1"/>
          <w:szCs w:val="32"/>
          <w:rtl/>
        </w:rPr>
        <w:footnoteReference w:id="1283"/>
      </w:r>
      <w:r w:rsidR="00251F48" w:rsidRPr="00C821A1">
        <w:rPr>
          <w:rStyle w:val="af1"/>
          <w:szCs w:val="32"/>
          <w:rtl/>
        </w:rPr>
        <w:t>)</w:t>
      </w:r>
      <w:r w:rsidR="00251F48" w:rsidRPr="00A470AA">
        <w:rPr>
          <w:rFonts w:ascii="Traditional Arabic" w:hAnsi="Traditional Arabic"/>
          <w:rtl/>
        </w:rPr>
        <w:t>، فدفعه إلى ه</w:t>
      </w:r>
      <w:r w:rsidR="00251F48" w:rsidRPr="00A470AA">
        <w:rPr>
          <w:rFonts w:ascii="Traditional Arabic" w:hAnsi="Traditional Arabic" w:hint="cs"/>
          <w:rtl/>
        </w:rPr>
        <w:t>ِ</w:t>
      </w:r>
      <w:r w:rsidR="00251F48" w:rsidRPr="00A470AA">
        <w:rPr>
          <w:rFonts w:ascii="Traditional Arabic" w:hAnsi="Traditional Arabic"/>
          <w:rtl/>
        </w:rPr>
        <w:t>ر</w:t>
      </w:r>
      <w:r w:rsidR="00251F48" w:rsidRPr="00A470AA">
        <w:rPr>
          <w:rFonts w:ascii="Traditional Arabic" w:hAnsi="Traditional Arabic" w:hint="cs"/>
          <w:rtl/>
        </w:rPr>
        <w:t>َ</w:t>
      </w:r>
      <w:r w:rsidR="00251F48" w:rsidRPr="00A470AA">
        <w:rPr>
          <w:rFonts w:ascii="Traditional Arabic" w:hAnsi="Traditional Arabic"/>
          <w:rtl/>
        </w:rPr>
        <w:t>ق</w:t>
      </w:r>
      <w:r w:rsidR="00251F48" w:rsidRPr="00A470AA">
        <w:rPr>
          <w:rFonts w:ascii="Traditional Arabic" w:hAnsi="Traditional Arabic" w:hint="cs"/>
          <w:rtl/>
        </w:rPr>
        <w:t>ْ</w:t>
      </w:r>
      <w:r w:rsidR="00251F48" w:rsidRPr="00A470AA">
        <w:rPr>
          <w:rFonts w:ascii="Traditional Arabic" w:hAnsi="Traditional Arabic"/>
          <w:rtl/>
        </w:rPr>
        <w:t>ل</w:t>
      </w:r>
      <w:r w:rsidR="00AB0B9E">
        <w:rPr>
          <w:rFonts w:ascii="Traditional Arabic" w:hAnsi="Traditional Arabic"/>
          <w:rtl/>
        </w:rPr>
        <w:fldChar w:fldCharType="begin"/>
      </w:r>
      <w:r w:rsidR="00FF2A1F" w:rsidRPr="00C85F0F">
        <w:instrText>XE</w:instrText>
      </w:r>
      <w:r w:rsidR="00FF2A1F" w:rsidRPr="00C85F0F">
        <w:rPr>
          <w:rtl/>
        </w:rPr>
        <w:instrText xml:space="preserve"> "</w:instrText>
      </w:r>
      <w:r w:rsidR="00FF2A1F" w:rsidRPr="00C85F0F">
        <w:rPr>
          <w:rFonts w:ascii="Traditional Arabic" w:hAnsi="Traditional Arabic"/>
          <w:rtl/>
        </w:rPr>
        <w:instrText>كتاب النبي</w:instrText>
      </w:r>
      <w:r w:rsidR="00FF2A1F" w:rsidRPr="00C85F0F">
        <w:rPr>
          <w:rFonts w:ascii="Traditional Arabic" w:hAnsi="Traditional Arabic"/>
          <w:noProof w:val="0"/>
          <w:color w:val="auto"/>
          <w:rtl/>
          <w:lang w:eastAsia="en-US"/>
        </w:rPr>
        <w:sym w:font="AGA Arabesque" w:char="F072"/>
      </w:r>
      <w:r w:rsidR="00FF2A1F" w:rsidRPr="00C85F0F">
        <w:rPr>
          <w:rFonts w:ascii="Traditional Arabic" w:hAnsi="Traditional Arabic"/>
          <w:rtl/>
        </w:rPr>
        <w:instrText xml:space="preserve"> الذي بعث به د</w:instrText>
      </w:r>
      <w:r w:rsidR="00FF2A1F" w:rsidRPr="00C85F0F">
        <w:rPr>
          <w:rFonts w:ascii="Traditional Arabic" w:hAnsi="Traditional Arabic" w:hint="cs"/>
          <w:rtl/>
        </w:rPr>
        <w:instrText>ِ</w:instrText>
      </w:r>
      <w:r w:rsidR="00FF2A1F" w:rsidRPr="00C85F0F">
        <w:rPr>
          <w:rFonts w:ascii="Traditional Arabic" w:hAnsi="Traditional Arabic"/>
          <w:rtl/>
        </w:rPr>
        <w:instrText>ح</w:instrText>
      </w:r>
      <w:r w:rsidR="00FF2A1F" w:rsidRPr="00C85F0F">
        <w:rPr>
          <w:rFonts w:ascii="Traditional Arabic" w:hAnsi="Traditional Arabic" w:hint="cs"/>
          <w:rtl/>
        </w:rPr>
        <w:instrText>ْ</w:instrText>
      </w:r>
      <w:r w:rsidR="00FF2A1F" w:rsidRPr="00C85F0F">
        <w:rPr>
          <w:rFonts w:ascii="Traditional Arabic" w:hAnsi="Traditional Arabic"/>
          <w:rtl/>
        </w:rPr>
        <w:instrText>ي</w:instrText>
      </w:r>
      <w:r w:rsidR="00FF2A1F" w:rsidRPr="00C85F0F">
        <w:rPr>
          <w:rFonts w:ascii="Traditional Arabic" w:hAnsi="Traditional Arabic" w:hint="cs"/>
          <w:rtl/>
        </w:rPr>
        <w:instrText>َ</w:instrText>
      </w:r>
      <w:r w:rsidR="00FF2A1F" w:rsidRPr="00C85F0F">
        <w:rPr>
          <w:rFonts w:ascii="Traditional Arabic" w:hAnsi="Traditional Arabic"/>
          <w:rtl/>
        </w:rPr>
        <w:instrText>ة</w:instrText>
      </w:r>
      <w:r w:rsidR="00FF2A1F" w:rsidRPr="00C85F0F">
        <w:rPr>
          <w:rFonts w:ascii="Traditional Arabic" w:hAnsi="Traditional Arabic" w:hint="cs"/>
          <w:rtl/>
        </w:rPr>
        <w:instrText>ُ ا</w:instrText>
      </w:r>
      <w:r w:rsidR="00FF2A1F" w:rsidRPr="00C85F0F">
        <w:rPr>
          <w:rFonts w:ascii="Traditional Arabic" w:hAnsi="Traditional Arabic"/>
          <w:rtl/>
        </w:rPr>
        <w:instrText xml:space="preserve"> إلى عظيم ب</w:instrText>
      </w:r>
      <w:r w:rsidR="00FF2A1F" w:rsidRPr="00C85F0F">
        <w:rPr>
          <w:rFonts w:ascii="Traditional Arabic" w:hAnsi="Traditional Arabic" w:hint="cs"/>
          <w:rtl/>
        </w:rPr>
        <w:instrText>ُ</w:instrText>
      </w:r>
      <w:r w:rsidR="00FF2A1F" w:rsidRPr="00C85F0F">
        <w:rPr>
          <w:rFonts w:ascii="Traditional Arabic" w:hAnsi="Traditional Arabic"/>
          <w:rtl/>
        </w:rPr>
        <w:instrText>ص</w:instrText>
      </w:r>
      <w:r w:rsidR="00FF2A1F" w:rsidRPr="00C85F0F">
        <w:rPr>
          <w:rFonts w:ascii="Traditional Arabic" w:hAnsi="Traditional Arabic" w:hint="cs"/>
          <w:rtl/>
        </w:rPr>
        <w:instrText>ْ</w:instrText>
      </w:r>
      <w:r w:rsidR="00FF2A1F" w:rsidRPr="00C85F0F">
        <w:rPr>
          <w:rFonts w:ascii="Traditional Arabic" w:hAnsi="Traditional Arabic"/>
          <w:rtl/>
        </w:rPr>
        <w:instrText>رى، فدفعه إلى ه</w:instrText>
      </w:r>
      <w:r w:rsidR="00FF2A1F" w:rsidRPr="00C85F0F">
        <w:rPr>
          <w:rFonts w:ascii="Traditional Arabic" w:hAnsi="Traditional Arabic" w:hint="cs"/>
          <w:rtl/>
        </w:rPr>
        <w:instrText>ِ</w:instrText>
      </w:r>
      <w:r w:rsidR="00FF2A1F" w:rsidRPr="00C85F0F">
        <w:rPr>
          <w:rFonts w:ascii="Traditional Arabic" w:hAnsi="Traditional Arabic"/>
          <w:rtl/>
        </w:rPr>
        <w:instrText>ر</w:instrText>
      </w:r>
      <w:r w:rsidR="00FF2A1F" w:rsidRPr="00C85F0F">
        <w:rPr>
          <w:rFonts w:ascii="Traditional Arabic" w:hAnsi="Traditional Arabic" w:hint="cs"/>
          <w:rtl/>
        </w:rPr>
        <w:instrText>َ</w:instrText>
      </w:r>
      <w:r w:rsidR="00FF2A1F" w:rsidRPr="00C85F0F">
        <w:rPr>
          <w:rFonts w:ascii="Traditional Arabic" w:hAnsi="Traditional Arabic"/>
          <w:rtl/>
        </w:rPr>
        <w:instrText>ق</w:instrText>
      </w:r>
      <w:r w:rsidR="00FF2A1F" w:rsidRPr="00C85F0F">
        <w:rPr>
          <w:rFonts w:ascii="Traditional Arabic" w:hAnsi="Traditional Arabic" w:hint="cs"/>
          <w:rtl/>
        </w:rPr>
        <w:instrText>ْ</w:instrText>
      </w:r>
      <w:r w:rsidR="00FF2A1F" w:rsidRPr="00C85F0F">
        <w:rPr>
          <w:rFonts w:ascii="Traditional Arabic" w:hAnsi="Traditional Arabic"/>
          <w:rtl/>
        </w:rPr>
        <w:instrText>ل</w:instrText>
      </w:r>
      <w:r w:rsidR="00FF2A1F" w:rsidRPr="00C85F0F">
        <w:rPr>
          <w:rtl/>
        </w:rPr>
        <w:instrText>"</w:instrText>
      </w:r>
      <w:r w:rsidR="00FF2A1F" w:rsidRPr="00C85F0F">
        <w:rPr>
          <w:rtl/>
          <w:lang w:val="fr-FR"/>
        </w:rPr>
        <w:instrText xml:space="preserve"> \</w:instrText>
      </w:r>
      <w:r w:rsidR="00FF2A1F" w:rsidRPr="00C85F0F">
        <w:rPr>
          <w:lang w:val="fr-FR"/>
        </w:rPr>
        <w:instrText>f</w:instrText>
      </w:r>
      <w:r w:rsidR="00FF2A1F">
        <w:rPr>
          <w:lang w:val="fr-FR"/>
        </w:rPr>
        <w:instrText>h</w:instrText>
      </w:r>
      <w:r w:rsidR="00AB0B9E">
        <w:rPr>
          <w:rFonts w:ascii="Traditional Arabic" w:hAnsi="Traditional Arabic"/>
          <w:rtl/>
        </w:rPr>
        <w:fldChar w:fldCharType="end"/>
      </w:r>
      <w:r w:rsidR="00251F48" w:rsidRPr="00C821A1">
        <w:rPr>
          <w:rFonts w:ascii="Traditional Arabic" w:hAnsi="Traditional Arabic"/>
          <w:szCs w:val="32"/>
          <w:vertAlign w:val="superscript"/>
          <w:rtl/>
        </w:rPr>
        <w:t>(</w:t>
      </w:r>
      <w:r w:rsidR="00251F48" w:rsidRPr="00C821A1">
        <w:rPr>
          <w:rStyle w:val="af1"/>
          <w:rFonts w:ascii="Traditional Arabic" w:hAnsi="Traditional Arabic"/>
          <w:szCs w:val="32"/>
          <w:rtl/>
        </w:rPr>
        <w:footnoteReference w:id="1284"/>
      </w:r>
      <w:r w:rsidR="00251F48" w:rsidRPr="00C821A1">
        <w:rPr>
          <w:rFonts w:ascii="Traditional Arabic" w:hAnsi="Traditional Arabic"/>
          <w:szCs w:val="32"/>
          <w:vertAlign w:val="superscript"/>
          <w:rtl/>
        </w:rPr>
        <w:t>)</w:t>
      </w:r>
      <w:r w:rsidR="00251F48" w:rsidRPr="00A470AA">
        <w:rPr>
          <w:rFonts w:ascii="Traditional Arabic" w:hAnsi="Traditional Arabic"/>
          <w:rtl/>
        </w:rPr>
        <w:t xml:space="preserve"> فقرأه، فإذا فيه : "بسم الله الرحمن الرحيم</w:t>
      </w:r>
      <w:r w:rsidR="00B76414">
        <w:rPr>
          <w:rFonts w:ascii="Traditional Arabic" w:hAnsi="Traditional Arabic"/>
          <w:rtl/>
        </w:rPr>
        <w:t>.</w:t>
      </w:r>
      <w:r w:rsidR="00251F48" w:rsidRPr="00A470AA">
        <w:rPr>
          <w:rFonts w:ascii="Traditional Arabic" w:hAnsi="Traditional Arabic"/>
          <w:rtl/>
        </w:rPr>
        <w:t xml:space="preserve"> </w:t>
      </w:r>
      <w:r w:rsidR="00251F48" w:rsidRPr="00A470AA">
        <w:rPr>
          <w:rFonts w:ascii="Traditional Arabic" w:hAnsi="Traditional Arabic"/>
          <w:rtl/>
        </w:rPr>
        <w:lastRenderedPageBreak/>
        <w:t>من محمد عبد الله ورسوله إلى هرقل</w:t>
      </w:r>
      <w:r w:rsidR="00AB0B9E" w:rsidRPr="00C85F0F">
        <w:rPr>
          <w:rFonts w:ascii="Traditional Arabic" w:hAnsi="Traditional Arabic"/>
          <w:rtl/>
        </w:rPr>
        <w:fldChar w:fldCharType="begin"/>
      </w:r>
      <w:r w:rsidR="004F50F0" w:rsidRPr="00C85F0F">
        <w:rPr>
          <w:rFonts w:ascii="Traditional Arabic" w:hAnsi="Traditional Arabic"/>
        </w:rPr>
        <w:instrText>XE</w:instrText>
      </w:r>
      <w:r w:rsidR="004F50F0" w:rsidRPr="00C85F0F">
        <w:rPr>
          <w:rFonts w:ascii="Traditional Arabic" w:hAnsi="Traditional Arabic"/>
          <w:rtl/>
        </w:rPr>
        <w:instrText xml:space="preserve"> "</w:instrText>
      </w:r>
      <w:r w:rsidR="004F50F0" w:rsidRPr="00C85F0F">
        <w:rPr>
          <w:rFonts w:ascii="Traditional Arabic" w:hAnsi="Traditional Arabic" w:hint="cs"/>
          <w:noProof w:val="0"/>
          <w:rtl/>
          <w:lang w:eastAsia="en-US"/>
        </w:rPr>
        <w:instrText>هرقل</w:instrText>
      </w:r>
      <w:r w:rsidR="004F50F0" w:rsidRPr="00C85F0F">
        <w:rPr>
          <w:rtl/>
        </w:rPr>
        <w:instrText>"\</w:instrText>
      </w:r>
      <w:r w:rsidR="004F50F0" w:rsidRPr="00C85F0F">
        <w:instrText>fa</w:instrText>
      </w:r>
      <w:r w:rsidR="004F50F0" w:rsidRPr="00C85F0F">
        <w:rPr>
          <w:rtl/>
        </w:rPr>
        <w:instrText>"</w:instrText>
      </w:r>
      <w:r w:rsidR="00AB0B9E" w:rsidRPr="00C85F0F">
        <w:rPr>
          <w:rFonts w:ascii="Traditional Arabic" w:hAnsi="Traditional Arabic"/>
          <w:rtl/>
        </w:rPr>
        <w:fldChar w:fldCharType="end"/>
      </w:r>
      <w:r w:rsidR="00251F48" w:rsidRPr="00C85F0F">
        <w:rPr>
          <w:rFonts w:ascii="Traditional Arabic" w:hAnsi="Traditional Arabic"/>
          <w:rtl/>
        </w:rPr>
        <w:t xml:space="preserve"> عظيم الروم</w:t>
      </w:r>
      <w:r w:rsidR="00B76414" w:rsidRPr="00C85F0F">
        <w:rPr>
          <w:rFonts w:ascii="Traditional Arabic" w:hAnsi="Traditional Arabic"/>
          <w:rtl/>
        </w:rPr>
        <w:t>.</w:t>
      </w:r>
      <w:r w:rsidR="00251F48" w:rsidRPr="00C85F0F">
        <w:rPr>
          <w:rFonts w:ascii="Traditional Arabic" w:hAnsi="Traditional Arabic"/>
          <w:rtl/>
        </w:rPr>
        <w:t xml:space="preserve"> سلامٌ على من اتبع الهدى، أما بعد فإني أدعوك بدعاية الإسلام</w:t>
      </w:r>
      <w:r w:rsidR="00B76414" w:rsidRPr="00C85F0F">
        <w:rPr>
          <w:rFonts w:ascii="Traditional Arabic" w:hAnsi="Traditional Arabic"/>
          <w:rtl/>
        </w:rPr>
        <w:t>،</w:t>
      </w:r>
      <w:r w:rsidR="00251F48" w:rsidRPr="00C85F0F">
        <w:rPr>
          <w:rFonts w:ascii="Traditional Arabic" w:hAnsi="Traditional Arabic"/>
          <w:rtl/>
        </w:rPr>
        <w:t xml:space="preserve"> أ</w:t>
      </w:r>
      <w:r w:rsidR="00251F48" w:rsidRPr="00C85F0F">
        <w:rPr>
          <w:rFonts w:ascii="Traditional Arabic" w:hAnsi="Traditional Arabic" w:hint="cs"/>
          <w:rtl/>
        </w:rPr>
        <w:t>َ</w:t>
      </w:r>
      <w:r w:rsidR="00251F48" w:rsidRPr="00C85F0F">
        <w:rPr>
          <w:rFonts w:ascii="Traditional Arabic" w:hAnsi="Traditional Arabic"/>
          <w:rtl/>
        </w:rPr>
        <w:t>س</w:t>
      </w:r>
      <w:r w:rsidR="00251F48" w:rsidRPr="00C85F0F">
        <w:rPr>
          <w:rFonts w:ascii="Traditional Arabic" w:hAnsi="Traditional Arabic" w:hint="cs"/>
          <w:rtl/>
        </w:rPr>
        <w:t>ْ</w:t>
      </w:r>
      <w:r w:rsidR="00251F48" w:rsidRPr="00C85F0F">
        <w:rPr>
          <w:rFonts w:ascii="Traditional Arabic" w:hAnsi="Traditional Arabic"/>
          <w:rtl/>
        </w:rPr>
        <w:t>لِم ت</w:t>
      </w:r>
      <w:r w:rsidR="00251F48" w:rsidRPr="00C85F0F">
        <w:rPr>
          <w:rFonts w:ascii="Traditional Arabic" w:hAnsi="Traditional Arabic" w:hint="cs"/>
          <w:rtl/>
        </w:rPr>
        <w:t>َ</w:t>
      </w:r>
      <w:r w:rsidR="00251F48" w:rsidRPr="00C85F0F">
        <w:rPr>
          <w:rFonts w:ascii="Traditional Arabic" w:hAnsi="Traditional Arabic"/>
          <w:rtl/>
        </w:rPr>
        <w:t>س</w:t>
      </w:r>
      <w:r w:rsidR="00251F48" w:rsidRPr="00C85F0F">
        <w:rPr>
          <w:rFonts w:ascii="Traditional Arabic" w:hAnsi="Traditional Arabic" w:hint="cs"/>
          <w:rtl/>
        </w:rPr>
        <w:t>ْ</w:t>
      </w:r>
      <w:r w:rsidR="00251F48" w:rsidRPr="00C85F0F">
        <w:rPr>
          <w:rFonts w:ascii="Traditional Arabic" w:hAnsi="Traditional Arabic"/>
          <w:rtl/>
        </w:rPr>
        <w:t>لَم</w:t>
      </w:r>
      <w:r w:rsidR="00B76414" w:rsidRPr="00C85F0F">
        <w:rPr>
          <w:rFonts w:ascii="Traditional Arabic" w:hAnsi="Traditional Arabic"/>
          <w:rtl/>
        </w:rPr>
        <w:t>،</w:t>
      </w:r>
      <w:r w:rsidR="00251F48" w:rsidRPr="00C85F0F">
        <w:rPr>
          <w:rFonts w:ascii="Traditional Arabic" w:hAnsi="Traditional Arabic"/>
          <w:rtl/>
        </w:rPr>
        <w:t xml:space="preserve"> وأسل</w:t>
      </w:r>
      <w:r w:rsidR="00251F48" w:rsidRPr="00C85F0F">
        <w:rPr>
          <w:rFonts w:ascii="Traditional Arabic" w:hAnsi="Traditional Arabic" w:hint="cs"/>
          <w:rtl/>
        </w:rPr>
        <w:t>ِ</w:t>
      </w:r>
      <w:r w:rsidR="00251F48" w:rsidRPr="00C85F0F">
        <w:rPr>
          <w:rFonts w:ascii="Traditional Arabic" w:hAnsi="Traditional Arabic"/>
          <w:rtl/>
        </w:rPr>
        <w:t>م يؤتك الله أجرك مرتين، فإن ت</w:t>
      </w:r>
      <w:r w:rsidR="00251F48" w:rsidRPr="00C85F0F">
        <w:rPr>
          <w:rFonts w:ascii="Traditional Arabic" w:hAnsi="Traditional Arabic" w:hint="cs"/>
          <w:rtl/>
        </w:rPr>
        <w:t>َ</w:t>
      </w:r>
      <w:r w:rsidR="00251F48" w:rsidRPr="00C85F0F">
        <w:rPr>
          <w:rFonts w:ascii="Traditional Arabic" w:hAnsi="Traditional Arabic"/>
          <w:rtl/>
        </w:rPr>
        <w:t>و</w:t>
      </w:r>
      <w:r w:rsidR="00251F48" w:rsidRPr="00C85F0F">
        <w:rPr>
          <w:rFonts w:ascii="Traditional Arabic" w:hAnsi="Traditional Arabic" w:hint="cs"/>
          <w:rtl/>
        </w:rPr>
        <w:t>َ</w:t>
      </w:r>
      <w:r w:rsidR="00251F48" w:rsidRPr="00C85F0F">
        <w:rPr>
          <w:rFonts w:ascii="Traditional Arabic" w:hAnsi="Traditional Arabic"/>
          <w:rtl/>
        </w:rPr>
        <w:t>ل</w:t>
      </w:r>
      <w:r w:rsidR="00251F48" w:rsidRPr="00C85F0F">
        <w:rPr>
          <w:rFonts w:ascii="Traditional Arabic" w:hAnsi="Traditional Arabic" w:hint="cs"/>
          <w:rtl/>
        </w:rPr>
        <w:t>َّ</w:t>
      </w:r>
      <w:r w:rsidR="00251F48" w:rsidRPr="00C85F0F">
        <w:rPr>
          <w:rFonts w:ascii="Traditional Arabic" w:hAnsi="Traditional Arabic"/>
          <w:rtl/>
        </w:rPr>
        <w:t>يت فإن عليك إثم الأ</w:t>
      </w:r>
      <w:r w:rsidR="00251F48" w:rsidRPr="00C85F0F">
        <w:rPr>
          <w:rFonts w:ascii="Traditional Arabic" w:hAnsi="Traditional Arabic" w:hint="cs"/>
          <w:rtl/>
        </w:rPr>
        <w:t>َ</w:t>
      </w:r>
      <w:r w:rsidR="00251F48" w:rsidRPr="00C85F0F">
        <w:rPr>
          <w:rFonts w:ascii="Traditional Arabic" w:hAnsi="Traditional Arabic"/>
          <w:rtl/>
        </w:rPr>
        <w:t>ريسي</w:t>
      </w:r>
      <w:r w:rsidR="00251F48" w:rsidRPr="00C85F0F">
        <w:rPr>
          <w:rFonts w:ascii="Traditional Arabic" w:hAnsi="Traditional Arabic" w:hint="cs"/>
          <w:rtl/>
        </w:rPr>
        <w:t>ِّ</w:t>
      </w:r>
      <w:r w:rsidR="00251F48" w:rsidRPr="00C85F0F">
        <w:rPr>
          <w:rFonts w:ascii="Traditional Arabic" w:hAnsi="Traditional Arabic"/>
          <w:rtl/>
        </w:rPr>
        <w:t>ين</w:t>
      </w:r>
      <w:r w:rsidR="00251F48" w:rsidRPr="00C85F0F">
        <w:rPr>
          <w:rStyle w:val="af1"/>
          <w:szCs w:val="32"/>
          <w:rtl/>
        </w:rPr>
        <w:t>(</w:t>
      </w:r>
      <w:r w:rsidR="00251F48" w:rsidRPr="00C85F0F">
        <w:rPr>
          <w:rStyle w:val="af1"/>
          <w:szCs w:val="32"/>
          <w:rtl/>
        </w:rPr>
        <w:footnoteReference w:id="1285"/>
      </w:r>
      <w:r w:rsidR="00251F48" w:rsidRPr="00C85F0F">
        <w:rPr>
          <w:rStyle w:val="af1"/>
          <w:szCs w:val="32"/>
          <w:rtl/>
        </w:rPr>
        <w:t>)</w:t>
      </w:r>
      <w:r w:rsidR="00154102" w:rsidRPr="00C85F0F">
        <w:rPr>
          <w:rFonts w:ascii="Traditional Arabic" w:hAnsi="Traditional Arabic"/>
          <w:rtl/>
        </w:rPr>
        <w:t xml:space="preserve"> و</w:t>
      </w:r>
      <w:bookmarkStart w:id="247" w:name="سورة_آل_عمران_64"/>
      <w:r w:rsidR="00735180" w:rsidRPr="00A470AA">
        <w:rPr>
          <w:rFonts w:ascii="QCF_BSML" w:hAnsi="QCF_BSML" w:cs="QCF_BSML"/>
          <w:noProof w:val="0"/>
          <w:rtl/>
          <w:lang w:eastAsia="en-US"/>
        </w:rPr>
        <w:t>ﭽ</w:t>
      </w:r>
      <w:r w:rsidR="00735180" w:rsidRPr="00A470AA">
        <w:rPr>
          <w:rFonts w:ascii="QCF_P058" w:hAnsi="QCF_P058" w:cs="QCF_P058"/>
          <w:noProof w:val="0"/>
          <w:rtl/>
          <w:lang w:eastAsia="en-US"/>
        </w:rPr>
        <w:t>ﭪ</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ﭫ</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ﭬ</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ﭭ</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ﭮ</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ﭯ</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ﭰ</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ﭱ</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ﭲ</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ﭳ</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ﭴ</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ﭵ</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ﭶ</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ﭷ</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ﭸ</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ﭹ</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ﭺ</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ﭻ</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ﭼ</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ﭽ</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ﭾ</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ﭿ</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ﮀ</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ﮁ</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ﮂ</w:t>
      </w:r>
      <w:r w:rsidR="0004289B">
        <w:rPr>
          <w:rFonts w:ascii="QCF_P058" w:hAnsi="QCF_P058" w:cs="QCF_P058" w:hint="cs"/>
          <w:noProof w:val="0"/>
          <w:rtl/>
          <w:lang w:eastAsia="en-US"/>
        </w:rPr>
        <w:t xml:space="preserve"> </w:t>
      </w:r>
      <w:r w:rsidR="00735180" w:rsidRPr="00A470AA">
        <w:rPr>
          <w:rFonts w:ascii="QCF_P058" w:hAnsi="QCF_P058" w:cs="QCF_P058"/>
          <w:noProof w:val="0"/>
          <w:color w:val="0000A5"/>
          <w:rtl/>
          <w:lang w:eastAsia="en-US"/>
        </w:rPr>
        <w:t>ﮃ</w:t>
      </w:r>
      <w:r w:rsidR="0004289B">
        <w:rPr>
          <w:rFonts w:ascii="QCF_P058" w:hAnsi="QCF_P058" w:cs="QCF_P058" w:hint="cs"/>
          <w:noProof w:val="0"/>
          <w:color w:val="0000A5"/>
          <w:rtl/>
          <w:lang w:eastAsia="en-US"/>
        </w:rPr>
        <w:t xml:space="preserve"> </w:t>
      </w:r>
      <w:r w:rsidR="00735180" w:rsidRPr="00A470AA">
        <w:rPr>
          <w:rFonts w:ascii="QCF_P058" w:hAnsi="QCF_P058" w:cs="QCF_P058"/>
          <w:noProof w:val="0"/>
          <w:rtl/>
          <w:lang w:eastAsia="en-US"/>
        </w:rPr>
        <w:t>ﮄ</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ﮅ</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ﮆ</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ﮇ</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ﮈ</w:t>
      </w:r>
      <w:r w:rsidR="0004289B">
        <w:rPr>
          <w:rFonts w:ascii="QCF_P058" w:hAnsi="QCF_P058" w:cs="QCF_P058" w:hint="cs"/>
          <w:noProof w:val="0"/>
          <w:rtl/>
          <w:lang w:eastAsia="en-US"/>
        </w:rPr>
        <w:t xml:space="preserve"> </w:t>
      </w:r>
      <w:r w:rsidR="00735180" w:rsidRPr="00A470AA">
        <w:rPr>
          <w:rFonts w:ascii="QCF_P058" w:hAnsi="QCF_P058" w:cs="QCF_P058"/>
          <w:noProof w:val="0"/>
          <w:rtl/>
          <w:lang w:eastAsia="en-US"/>
        </w:rPr>
        <w:t>ﮉ</w:t>
      </w:r>
      <w:r w:rsidR="00735180" w:rsidRPr="00A470AA">
        <w:rPr>
          <w:rFonts w:ascii="QCF_BSML" w:hAnsi="QCF_BSML" w:cs="QCF_BSML"/>
          <w:noProof w:val="0"/>
          <w:rtl/>
          <w:lang w:eastAsia="en-US"/>
        </w:rPr>
        <w:t>ﭼ</w:t>
      </w:r>
      <w:bookmarkEnd w:id="247"/>
      <w:r w:rsidR="00251F48" w:rsidRPr="00C85F0F">
        <w:rPr>
          <w:rFonts w:ascii="Traditional Arabic" w:hAnsi="Traditional Arabic" w:hint="cs"/>
          <w:noProof w:val="0"/>
          <w:color w:val="auto"/>
          <w:rtl/>
          <w:lang w:eastAsia="en-US"/>
        </w:rPr>
        <w:t>[</w:t>
      </w:r>
      <w:r w:rsidR="00251F48" w:rsidRPr="00C85F0F">
        <w:rPr>
          <w:rFonts w:ascii="Traditional Arabic" w:hAnsi="Traditional Arabic"/>
          <w:noProof w:val="0"/>
          <w:color w:val="auto"/>
          <w:rtl/>
          <w:lang w:eastAsia="en-US"/>
        </w:rPr>
        <w:t>آل عمران: ٦٤</w:t>
      </w:r>
      <w:r w:rsidR="00251F48" w:rsidRPr="00C85F0F">
        <w:rPr>
          <w:rFonts w:ascii="Traditional Arabic" w:hAnsi="Traditional Arabic" w:hint="cs"/>
          <w:noProof w:val="0"/>
          <w:color w:val="auto"/>
          <w:rtl/>
          <w:lang w:eastAsia="en-US"/>
        </w:rPr>
        <w:t>]</w:t>
      </w:r>
      <w:r w:rsidR="00251F48" w:rsidRPr="00C85F0F">
        <w:rPr>
          <w:rFonts w:ascii="Lotus Linotype" w:hAnsi="Lotus Linotype"/>
          <w:rtl/>
        </w:rPr>
        <w:t>"</w:t>
      </w:r>
      <w:r w:rsidR="00251F48" w:rsidRPr="00C85F0F">
        <w:rPr>
          <w:rFonts w:ascii="Traditional Arabic" w:hAnsi="Traditional Arabic"/>
          <w:szCs w:val="32"/>
          <w:vertAlign w:val="superscript"/>
          <w:rtl/>
        </w:rPr>
        <w:t>(</w:t>
      </w:r>
      <w:r w:rsidR="00251F48" w:rsidRPr="00C85F0F">
        <w:rPr>
          <w:rStyle w:val="af1"/>
          <w:rFonts w:ascii="Traditional Arabic" w:hAnsi="Traditional Arabic"/>
          <w:szCs w:val="32"/>
          <w:rtl/>
        </w:rPr>
        <w:footnoteReference w:id="1286"/>
      </w:r>
      <w:r w:rsidR="00251F48" w:rsidRPr="00C85F0F">
        <w:rPr>
          <w:rFonts w:ascii="Traditional Arabic" w:hAnsi="Traditional Arabic"/>
          <w:szCs w:val="32"/>
          <w:vertAlign w:val="superscript"/>
          <w:rtl/>
        </w:rPr>
        <w:t>)</w:t>
      </w:r>
      <w:r w:rsidR="00251F48" w:rsidRPr="00C85F0F">
        <w:rPr>
          <w:rFonts w:ascii="Lotus Linotype" w:hAnsi="Lotus Linotype"/>
          <w:rtl/>
        </w:rPr>
        <w:t>.</w:t>
      </w:r>
    </w:p>
    <w:p w:rsidR="00251F48" w:rsidRPr="00C85F0F" w:rsidRDefault="00251F48" w:rsidP="00EA2BD7">
      <w:pPr>
        <w:pStyle w:val="53"/>
        <w:rPr>
          <w:rtl/>
        </w:rPr>
      </w:pPr>
      <w:r w:rsidRPr="00C85F0F">
        <w:rPr>
          <w:rtl/>
        </w:rPr>
        <w:t xml:space="preserve">وجه </w:t>
      </w:r>
      <w:r w:rsidRPr="00EA2BD7">
        <w:rPr>
          <w:rtl/>
        </w:rPr>
        <w:t>الدلالة</w:t>
      </w:r>
      <w:r w:rsidRPr="00C85F0F">
        <w:rPr>
          <w:rtl/>
        </w:rPr>
        <w:t>:</w:t>
      </w:r>
    </w:p>
    <w:p w:rsidR="00251F48" w:rsidRPr="00C85F0F" w:rsidRDefault="00251F48" w:rsidP="00597C20">
      <w:pPr>
        <w:spacing w:line="640" w:lineRule="exact"/>
        <w:ind w:firstLine="720"/>
        <w:rPr>
          <w:rFonts w:ascii="Traditional Arabic" w:hAnsi="Traditional Arabic"/>
          <w:rtl/>
        </w:rPr>
      </w:pPr>
      <w:r w:rsidRPr="00C85F0F">
        <w:rPr>
          <w:rFonts w:ascii="Traditional Arabic" w:hAnsi="Traditional Arabic"/>
          <w:rtl/>
        </w:rPr>
        <w:t xml:space="preserve">يقول الشيخ ابن عثيمين </w:t>
      </w:r>
      <w:r w:rsidR="0004289B">
        <w:rPr>
          <w:rFonts w:ascii="Traditional Arabic" w:hAnsi="Traditional Arabic" w:hint="cs"/>
          <w:rtl/>
        </w:rPr>
        <w:t>_</w:t>
      </w:r>
      <w:r w:rsidR="009A0575" w:rsidRPr="005D5694">
        <w:rPr>
          <w:rFonts w:ascii="Traditional Arabic" w:hAnsi="Traditional Arabic" w:cs="CTraditional Arabic" w:hint="cs"/>
          <w:rtl/>
        </w:rPr>
        <w:t>/</w:t>
      </w:r>
      <w:r w:rsidR="0004289B">
        <w:rPr>
          <w:rFonts w:ascii="Traditional Arabic" w:hAnsi="Traditional Arabic" w:hint="cs"/>
          <w:rtl/>
        </w:rPr>
        <w:t>_</w:t>
      </w:r>
      <w:r w:rsidRPr="00C85F0F">
        <w:rPr>
          <w:rFonts w:ascii="Traditional Arabic" w:hAnsi="Traditional Arabic"/>
          <w:rtl/>
        </w:rPr>
        <w:t xml:space="preserve"> : (وأما كتب التفسير فيجوز مسُّها</w:t>
      </w:r>
      <w:r w:rsidRPr="00C85F0F">
        <w:rPr>
          <w:rStyle w:val="af1"/>
          <w:szCs w:val="32"/>
          <w:rtl/>
        </w:rPr>
        <w:t>(</w:t>
      </w:r>
      <w:r w:rsidRPr="00C85F0F">
        <w:rPr>
          <w:rStyle w:val="af1"/>
          <w:szCs w:val="32"/>
          <w:rtl/>
        </w:rPr>
        <w:footnoteReference w:id="1287"/>
      </w:r>
      <w:r w:rsidRPr="00C85F0F">
        <w:rPr>
          <w:rStyle w:val="af1"/>
          <w:szCs w:val="32"/>
          <w:rtl/>
        </w:rPr>
        <w:t>)</w:t>
      </w:r>
      <w:r w:rsidRPr="00C85F0F">
        <w:rPr>
          <w:rFonts w:ascii="Traditional Arabic" w:hAnsi="Traditional Arabic"/>
          <w:rtl/>
        </w:rPr>
        <w:t>؛ لأنها تُعتبر تفسيراً، والآيات التي فيها أقل</w:t>
      </w:r>
      <w:r w:rsidRPr="00C85F0F">
        <w:rPr>
          <w:rFonts w:ascii="Traditional Arabic" w:hAnsi="Traditional Arabic" w:hint="cs"/>
          <w:rtl/>
        </w:rPr>
        <w:t>ُّ</w:t>
      </w:r>
      <w:r w:rsidRPr="00C85F0F">
        <w:rPr>
          <w:rFonts w:ascii="Traditional Arabic" w:hAnsi="Traditional Arabic"/>
          <w:rtl/>
        </w:rPr>
        <w:t xml:space="preserve"> من التفسير الذي فيها، وي</w:t>
      </w:r>
      <w:r w:rsidRPr="00C85F0F">
        <w:rPr>
          <w:rFonts w:ascii="Traditional Arabic" w:hAnsi="Traditional Arabic" w:hint="cs"/>
          <w:rtl/>
        </w:rPr>
        <w:t>ُ</w:t>
      </w:r>
      <w:r w:rsidRPr="00C85F0F">
        <w:rPr>
          <w:rFonts w:ascii="Traditional Arabic" w:hAnsi="Traditional Arabic"/>
          <w:rtl/>
        </w:rPr>
        <w:t>ستدل لهذا بكتابة النبي</w:t>
      </w:r>
      <w:r w:rsidR="002226EA">
        <w:rPr>
          <w:rFonts w:ascii="Traditional Arabic" w:hAnsi="Traditional Arabic" w:hint="cs"/>
          <w:noProof w:val="0"/>
          <w:color w:val="auto"/>
          <w:rtl/>
          <w:lang w:eastAsia="en-US"/>
        </w:rPr>
        <w:t xml:space="preserve"> </w:t>
      </w:r>
      <w:r w:rsidR="002226EA">
        <w:rPr>
          <w:rFonts w:ascii="Traditional Arabic" w:hAnsi="Traditional Arabic" w:hint="cs"/>
          <w:rtl/>
        </w:rPr>
        <w:t>صلى الله عليه وسلم</w:t>
      </w:r>
      <w:r w:rsidRPr="00C85F0F">
        <w:rPr>
          <w:rFonts w:ascii="Traditional Arabic" w:hAnsi="Traditional Arabic"/>
          <w:rtl/>
        </w:rPr>
        <w:t xml:space="preserve"> الك</w:t>
      </w:r>
      <w:r w:rsidRPr="00C85F0F">
        <w:rPr>
          <w:rFonts w:ascii="Traditional Arabic" w:hAnsi="Traditional Arabic" w:hint="cs"/>
          <w:rtl/>
        </w:rPr>
        <w:t>ُ</w:t>
      </w:r>
      <w:r w:rsidRPr="00C85F0F">
        <w:rPr>
          <w:rFonts w:ascii="Traditional Arabic" w:hAnsi="Traditional Arabic"/>
          <w:rtl/>
        </w:rPr>
        <w:t>تب للكفار،</w:t>
      </w:r>
      <w:r w:rsidR="0004289B">
        <w:rPr>
          <w:rFonts w:ascii="Traditional Arabic" w:hAnsi="Traditional Arabic" w:hint="cs"/>
          <w:rtl/>
        </w:rPr>
        <w:t xml:space="preserve"> </w:t>
      </w:r>
      <w:r w:rsidRPr="00C85F0F">
        <w:rPr>
          <w:rFonts w:ascii="Traditional Arabic" w:hAnsi="Traditional Arabic"/>
          <w:rtl/>
        </w:rPr>
        <w:t>وفيها آيات من القرآن</w:t>
      </w:r>
      <w:r w:rsidRPr="00C85F0F">
        <w:rPr>
          <w:rStyle w:val="af1"/>
          <w:szCs w:val="32"/>
          <w:rtl/>
        </w:rPr>
        <w:t>(</w:t>
      </w:r>
      <w:r w:rsidRPr="00C85F0F">
        <w:rPr>
          <w:rStyle w:val="af1"/>
          <w:szCs w:val="32"/>
          <w:rtl/>
        </w:rPr>
        <w:footnoteReference w:id="1288"/>
      </w:r>
      <w:r w:rsidRPr="00C85F0F">
        <w:rPr>
          <w:rStyle w:val="af1"/>
          <w:szCs w:val="32"/>
          <w:rtl/>
        </w:rPr>
        <w:t>)</w:t>
      </w:r>
      <w:r w:rsidRPr="00C85F0F">
        <w:rPr>
          <w:rFonts w:ascii="Traditional Arabic" w:hAnsi="Traditional Arabic"/>
          <w:rtl/>
        </w:rPr>
        <w:t>، فدلَّ هذا على أن الحكم للأغلب والأكثر)</w:t>
      </w:r>
      <w:r w:rsidRPr="00C85F0F">
        <w:rPr>
          <w:rFonts w:ascii="Traditional Arabic" w:hAnsi="Traditional Arabic"/>
          <w:szCs w:val="32"/>
          <w:vertAlign w:val="superscript"/>
          <w:rtl/>
        </w:rPr>
        <w:t>(</w:t>
      </w:r>
      <w:r w:rsidRPr="00C85F0F">
        <w:rPr>
          <w:rStyle w:val="af1"/>
          <w:rFonts w:ascii="Traditional Arabic" w:hAnsi="Traditional Arabic"/>
          <w:szCs w:val="32"/>
          <w:rtl/>
        </w:rPr>
        <w:footnoteReference w:id="1289"/>
      </w:r>
      <w:r w:rsidRPr="00C85F0F">
        <w:rPr>
          <w:rFonts w:ascii="Traditional Arabic" w:hAnsi="Traditional Arabic"/>
          <w:szCs w:val="32"/>
          <w:vertAlign w:val="superscript"/>
          <w:rtl/>
        </w:rPr>
        <w:t>)</w:t>
      </w:r>
      <w:r w:rsidR="00B76414" w:rsidRPr="00C85F0F">
        <w:rPr>
          <w:rFonts w:ascii="Traditional Arabic" w:hAnsi="Traditional Arabic"/>
          <w:rtl/>
        </w:rPr>
        <w:t>.</w:t>
      </w:r>
    </w:p>
    <w:p w:rsidR="00065E4B" w:rsidRPr="00A470AA" w:rsidRDefault="0004289B" w:rsidP="000A76C7">
      <w:pPr>
        <w:pStyle w:val="afc"/>
        <w:numPr>
          <w:ilvl w:val="0"/>
          <w:numId w:val="169"/>
        </w:numPr>
        <w:spacing w:line="640" w:lineRule="exact"/>
        <w:rPr>
          <w:rFonts w:ascii="Traditional Arabic" w:hAnsi="Traditional Arabic"/>
          <w:rtl/>
        </w:rPr>
      </w:pPr>
      <w:r>
        <w:rPr>
          <w:rFonts w:ascii="Traditional Arabic" w:hAnsi="Traditional Arabic" w:hint="cs"/>
          <w:rtl/>
        </w:rPr>
        <w:lastRenderedPageBreak/>
        <w:t xml:space="preserve">    </w:t>
      </w:r>
      <w:r w:rsidR="00251F48" w:rsidRPr="00C85F0F">
        <w:rPr>
          <w:rFonts w:ascii="Traditional Arabic" w:hAnsi="Traditional Arabic"/>
          <w:rtl/>
        </w:rPr>
        <w:t xml:space="preserve">حديث حمنة بنت جحش </w:t>
      </w:r>
      <w:r w:rsidR="00A827C3">
        <w:rPr>
          <w:rFonts w:ascii="Traditional Arabic" w:hAnsi="Traditional Arabic" w:hint="cs"/>
          <w:noProof w:val="0"/>
          <w:color w:val="auto"/>
          <w:rtl/>
          <w:lang w:eastAsia="en-US"/>
        </w:rPr>
        <w:t>رضي الله عنها</w:t>
      </w:r>
      <w:r w:rsidR="00251F48" w:rsidRPr="00C85F0F">
        <w:rPr>
          <w:rFonts w:ascii="Traditional Arabic" w:hAnsi="Traditional Arabic" w:hint="cs"/>
          <w:noProof w:val="0"/>
          <w:color w:val="auto"/>
          <w:rtl/>
          <w:lang w:eastAsia="en-US"/>
        </w:rPr>
        <w:t xml:space="preserve"> لما اشتكتْ إلى النبي  </w:t>
      </w:r>
      <w:r w:rsidR="002226EA">
        <w:rPr>
          <w:rFonts w:ascii="Traditional Arabic" w:hAnsi="Traditional Arabic" w:hint="cs"/>
          <w:rtl/>
        </w:rPr>
        <w:t>صلى الله عليه وسلم</w:t>
      </w:r>
      <w:r w:rsidR="002226EA" w:rsidRPr="00B914DF">
        <w:rPr>
          <w:rFonts w:ascii="Traditional Arabic" w:hAnsi="Traditional Arabic"/>
          <w:rtl/>
        </w:rPr>
        <w:t xml:space="preserve"> </w:t>
      </w:r>
      <w:r w:rsidR="00251F48" w:rsidRPr="00C85F0F">
        <w:rPr>
          <w:rFonts w:ascii="Traditional Arabic" w:hAnsi="Traditional Arabic" w:hint="cs"/>
          <w:noProof w:val="0"/>
          <w:color w:val="auto"/>
          <w:rtl/>
          <w:lang w:eastAsia="en-US"/>
        </w:rPr>
        <w:t>أنها</w:t>
      </w:r>
      <w:r>
        <w:rPr>
          <w:rFonts w:ascii="Traditional Arabic" w:hAnsi="Traditional Arabic" w:hint="cs"/>
          <w:noProof w:val="0"/>
          <w:color w:val="auto"/>
          <w:rtl/>
          <w:lang w:eastAsia="en-US"/>
        </w:rPr>
        <w:t xml:space="preserve"> </w:t>
      </w:r>
      <w:r w:rsidR="00251F48" w:rsidRPr="00C85F0F">
        <w:rPr>
          <w:rFonts w:ascii="Traditional Arabic" w:hAnsi="Traditional Arabic" w:hint="cs"/>
          <w:noProof w:val="0"/>
          <w:color w:val="auto"/>
          <w:rtl/>
          <w:lang w:eastAsia="en-US"/>
        </w:rPr>
        <w:t>تُ</w:t>
      </w:r>
      <w:r w:rsidR="00251F48" w:rsidRPr="00C85F0F">
        <w:rPr>
          <w:rFonts w:ascii="Traditional Arabic" w:hAnsi="Traditional Arabic"/>
          <w:noProof w:val="0"/>
          <w:color w:val="auto"/>
          <w:rtl/>
          <w:lang w:eastAsia="en-US"/>
        </w:rPr>
        <w:t>ستحاض حيضة</w:t>
      </w:r>
      <w:r w:rsidR="00251F48" w:rsidRPr="00C85F0F">
        <w:rPr>
          <w:rFonts w:ascii="Traditional Arabic" w:hAnsi="Traditional Arabic" w:hint="cs"/>
          <w:noProof w:val="0"/>
          <w:color w:val="auto"/>
          <w:rtl/>
          <w:lang w:eastAsia="en-US"/>
        </w:rPr>
        <w:t>ً</w:t>
      </w:r>
      <w:r w:rsidR="00251F48" w:rsidRPr="00C85F0F">
        <w:rPr>
          <w:rFonts w:ascii="Traditional Arabic" w:hAnsi="Traditional Arabic"/>
          <w:noProof w:val="0"/>
          <w:color w:val="auto"/>
          <w:rtl/>
          <w:lang w:eastAsia="en-US"/>
        </w:rPr>
        <w:t xml:space="preserve"> كثيرة شديدة</w:t>
      </w:r>
      <w:r w:rsidR="002226EA">
        <w:rPr>
          <w:rFonts w:ascii="Traditional Arabic" w:hAnsi="Traditional Arabic" w:hint="cs"/>
          <w:noProof w:val="0"/>
          <w:color w:val="auto"/>
          <w:rtl/>
          <w:lang w:eastAsia="en-US"/>
        </w:rPr>
        <w:t xml:space="preserve">، وفيه أنه </w:t>
      </w:r>
      <w:r w:rsidR="002226EA">
        <w:rPr>
          <w:rFonts w:ascii="Traditional Arabic" w:hAnsi="Traditional Arabic" w:hint="cs"/>
          <w:rtl/>
        </w:rPr>
        <w:t>صلى الله عليه وسلم</w:t>
      </w:r>
      <w:r w:rsidR="00251F48" w:rsidRPr="00C85F0F">
        <w:rPr>
          <w:rFonts w:ascii="Traditional Arabic" w:hAnsi="Traditional Arabic" w:hint="cs"/>
          <w:noProof w:val="0"/>
          <w:color w:val="auto"/>
          <w:rtl/>
          <w:lang w:eastAsia="en-US"/>
        </w:rPr>
        <w:t xml:space="preserve"> قال لها:"</w:t>
      </w:r>
      <w:r w:rsidR="00251F48" w:rsidRPr="00C85F0F">
        <w:rPr>
          <w:rFonts w:ascii="Traditional Arabic" w:hAnsi="Traditional Arabic"/>
          <w:noProof w:val="0"/>
          <w:color w:val="auto"/>
          <w:rtl/>
          <w:lang w:eastAsia="en-US"/>
        </w:rPr>
        <w:t xml:space="preserve"> إنما هذه </w:t>
      </w:r>
      <w:r w:rsidR="00251F48" w:rsidRPr="00C85F0F">
        <w:rPr>
          <w:rFonts w:ascii="Traditional Arabic" w:hAnsi="Traditional Arabic" w:hint="cs"/>
          <w:noProof w:val="0"/>
          <w:color w:val="auto"/>
          <w:rtl/>
          <w:lang w:eastAsia="en-US"/>
        </w:rPr>
        <w:t>رَكْ</w:t>
      </w:r>
      <w:r w:rsidR="00251F48" w:rsidRPr="00C85F0F">
        <w:rPr>
          <w:rFonts w:ascii="Traditional Arabic" w:hAnsi="Traditional Arabic"/>
          <w:noProof w:val="0"/>
          <w:color w:val="auto"/>
          <w:rtl/>
          <w:lang w:eastAsia="en-US"/>
        </w:rPr>
        <w:t>ض</w:t>
      </w:r>
      <w:r w:rsidR="00251F48" w:rsidRPr="00C85F0F">
        <w:rPr>
          <w:rFonts w:ascii="Traditional Arabic" w:hAnsi="Traditional Arabic" w:hint="cs"/>
          <w:noProof w:val="0"/>
          <w:color w:val="auto"/>
          <w:rtl/>
          <w:lang w:eastAsia="en-US"/>
        </w:rPr>
        <w:t>َ</w:t>
      </w:r>
      <w:r w:rsidR="00251F48" w:rsidRPr="00C85F0F">
        <w:rPr>
          <w:rFonts w:ascii="Traditional Arabic" w:hAnsi="Traditional Arabic"/>
          <w:noProof w:val="0"/>
          <w:color w:val="auto"/>
          <w:rtl/>
          <w:lang w:eastAsia="en-US"/>
        </w:rPr>
        <w:t>ة</w:t>
      </w:r>
      <w:r w:rsidR="00251F48" w:rsidRPr="00C85F0F">
        <w:rPr>
          <w:rFonts w:ascii="Traditional Arabic" w:hAnsi="Traditional Arabic" w:hint="cs"/>
          <w:noProof w:val="0"/>
          <w:color w:val="auto"/>
          <w:rtl/>
          <w:lang w:eastAsia="en-US"/>
        </w:rPr>
        <w:t>ٌ</w:t>
      </w:r>
      <w:r w:rsidR="00251F48" w:rsidRPr="00C85F0F">
        <w:rPr>
          <w:rFonts w:ascii="Traditional Arabic" w:hAnsi="Traditional Arabic"/>
          <w:noProof w:val="0"/>
          <w:color w:val="auto"/>
          <w:rtl/>
          <w:lang w:eastAsia="en-US"/>
        </w:rPr>
        <w:t xml:space="preserve"> من ر</w:t>
      </w:r>
      <w:r w:rsidR="00251F48" w:rsidRPr="00C85F0F">
        <w:rPr>
          <w:rFonts w:ascii="Traditional Arabic" w:hAnsi="Traditional Arabic" w:hint="cs"/>
          <w:noProof w:val="0"/>
          <w:color w:val="auto"/>
          <w:rtl/>
          <w:lang w:eastAsia="en-US"/>
        </w:rPr>
        <w:t>َ</w:t>
      </w:r>
      <w:r w:rsidR="00251F48" w:rsidRPr="00C85F0F">
        <w:rPr>
          <w:rFonts w:ascii="Traditional Arabic" w:hAnsi="Traditional Arabic"/>
          <w:noProof w:val="0"/>
          <w:color w:val="auto"/>
          <w:rtl/>
          <w:lang w:eastAsia="en-US"/>
        </w:rPr>
        <w:t>ك</w:t>
      </w:r>
      <w:r w:rsidR="00251F48" w:rsidRPr="00C85F0F">
        <w:rPr>
          <w:rFonts w:ascii="Traditional Arabic" w:hAnsi="Traditional Arabic" w:hint="cs"/>
          <w:noProof w:val="0"/>
          <w:color w:val="auto"/>
          <w:rtl/>
          <w:lang w:eastAsia="en-US"/>
        </w:rPr>
        <w:t>َ</w:t>
      </w:r>
      <w:r w:rsidR="00251F48" w:rsidRPr="00C85F0F">
        <w:rPr>
          <w:rFonts w:ascii="Traditional Arabic" w:hAnsi="Traditional Arabic"/>
          <w:noProof w:val="0"/>
          <w:color w:val="auto"/>
          <w:rtl/>
          <w:lang w:eastAsia="en-US"/>
        </w:rPr>
        <w:t>ضات الش</w:t>
      </w:r>
      <w:r w:rsidR="00251F48" w:rsidRPr="00C85F0F">
        <w:rPr>
          <w:rFonts w:ascii="Traditional Arabic" w:hAnsi="Traditional Arabic" w:hint="cs"/>
          <w:noProof w:val="0"/>
          <w:color w:val="auto"/>
          <w:rtl/>
          <w:lang w:eastAsia="en-US"/>
        </w:rPr>
        <w:t>ي</w:t>
      </w:r>
      <w:r w:rsidR="00251F48" w:rsidRPr="00C85F0F">
        <w:rPr>
          <w:rFonts w:ascii="Traditional Arabic" w:hAnsi="Traditional Arabic"/>
          <w:noProof w:val="0"/>
          <w:color w:val="auto"/>
          <w:rtl/>
          <w:lang w:eastAsia="en-US"/>
        </w:rPr>
        <w:t>طان</w:t>
      </w:r>
      <w:r w:rsidR="00251F48" w:rsidRPr="00C85F0F">
        <w:rPr>
          <w:rFonts w:ascii="Traditional Arabic" w:hAnsi="Traditional Arabic" w:hint="cs"/>
          <w:noProof w:val="0"/>
          <w:color w:val="auto"/>
          <w:rtl/>
          <w:lang w:eastAsia="en-US"/>
        </w:rPr>
        <w:t>،</w:t>
      </w:r>
      <w:r>
        <w:rPr>
          <w:rFonts w:ascii="Traditional Arabic" w:hAnsi="Traditional Arabic"/>
          <w:noProof w:val="0"/>
          <w:color w:val="auto"/>
          <w:lang w:eastAsia="en-US"/>
        </w:rPr>
        <w:t xml:space="preserve"> </w:t>
      </w:r>
      <w:r w:rsidR="00AB0B9E" w:rsidRPr="0004289B">
        <w:rPr>
          <w:rFonts w:ascii="Traditional Arabic" w:hAnsi="Traditional Arabic"/>
          <w:noProof w:val="0"/>
          <w:color w:val="auto"/>
          <w:lang w:eastAsia="en-US"/>
        </w:rPr>
        <w:fldChar w:fldCharType="begin"/>
      </w:r>
      <w:r w:rsidR="00FF2A1F" w:rsidRPr="0004289B">
        <w:rPr>
          <w:rFonts w:ascii="Traditional Arabic" w:hAnsi="Traditional Arabic"/>
          <w:noProof w:val="0"/>
          <w:color w:val="auto"/>
          <w:lang w:eastAsia="en-US"/>
        </w:rPr>
        <w:instrText>XE</w:instrText>
      </w:r>
      <w:r w:rsidR="00FF2A1F" w:rsidRPr="0004289B">
        <w:rPr>
          <w:rFonts w:ascii="Traditional Arabic" w:hAnsi="Traditional Arabic"/>
          <w:noProof w:val="0"/>
          <w:color w:val="auto"/>
          <w:rtl/>
          <w:lang w:eastAsia="en-US"/>
        </w:rPr>
        <w:instrText xml:space="preserve"> "إنما هذه </w:instrText>
      </w:r>
      <w:r w:rsidR="00FF2A1F" w:rsidRPr="0004289B">
        <w:rPr>
          <w:rFonts w:ascii="Traditional Arabic" w:hAnsi="Traditional Arabic" w:hint="cs"/>
          <w:noProof w:val="0"/>
          <w:color w:val="auto"/>
          <w:rtl/>
          <w:lang w:eastAsia="en-US"/>
        </w:rPr>
        <w:instrText>رَكْ</w:instrText>
      </w:r>
      <w:r w:rsidR="00FF2A1F" w:rsidRPr="0004289B">
        <w:rPr>
          <w:rFonts w:ascii="Traditional Arabic" w:hAnsi="Traditional Arabic"/>
          <w:noProof w:val="0"/>
          <w:color w:val="auto"/>
          <w:rtl/>
          <w:lang w:eastAsia="en-US"/>
        </w:rPr>
        <w:instrText>ض</w:instrText>
      </w:r>
      <w:r w:rsidR="00FF2A1F" w:rsidRPr="0004289B">
        <w:rPr>
          <w:rFonts w:ascii="Traditional Arabic" w:hAnsi="Traditional Arabic" w:hint="cs"/>
          <w:noProof w:val="0"/>
          <w:color w:val="auto"/>
          <w:rtl/>
          <w:lang w:eastAsia="en-US"/>
        </w:rPr>
        <w:instrText>َ</w:instrText>
      </w:r>
      <w:r w:rsidR="00FF2A1F" w:rsidRPr="0004289B">
        <w:rPr>
          <w:rFonts w:ascii="Traditional Arabic" w:hAnsi="Traditional Arabic"/>
          <w:noProof w:val="0"/>
          <w:color w:val="auto"/>
          <w:rtl/>
          <w:lang w:eastAsia="en-US"/>
        </w:rPr>
        <w:instrText>ة</w:instrText>
      </w:r>
      <w:r w:rsidR="00FF2A1F" w:rsidRPr="0004289B">
        <w:rPr>
          <w:rFonts w:ascii="Traditional Arabic" w:hAnsi="Traditional Arabic" w:hint="cs"/>
          <w:noProof w:val="0"/>
          <w:color w:val="auto"/>
          <w:rtl/>
          <w:lang w:eastAsia="en-US"/>
        </w:rPr>
        <w:instrText>ٌ</w:instrText>
      </w:r>
      <w:r w:rsidR="00FF2A1F" w:rsidRPr="0004289B">
        <w:rPr>
          <w:rFonts w:ascii="Traditional Arabic" w:hAnsi="Traditional Arabic"/>
          <w:noProof w:val="0"/>
          <w:color w:val="auto"/>
          <w:rtl/>
          <w:lang w:eastAsia="en-US"/>
        </w:rPr>
        <w:instrText xml:space="preserve"> من ر</w:instrText>
      </w:r>
      <w:r w:rsidR="00FF2A1F" w:rsidRPr="0004289B">
        <w:rPr>
          <w:rFonts w:ascii="Traditional Arabic" w:hAnsi="Traditional Arabic" w:hint="cs"/>
          <w:noProof w:val="0"/>
          <w:color w:val="auto"/>
          <w:rtl/>
          <w:lang w:eastAsia="en-US"/>
        </w:rPr>
        <w:instrText>َ</w:instrText>
      </w:r>
      <w:r w:rsidR="00FF2A1F" w:rsidRPr="0004289B">
        <w:rPr>
          <w:rFonts w:ascii="Traditional Arabic" w:hAnsi="Traditional Arabic"/>
          <w:noProof w:val="0"/>
          <w:color w:val="auto"/>
          <w:rtl/>
          <w:lang w:eastAsia="en-US"/>
        </w:rPr>
        <w:instrText>ك</w:instrText>
      </w:r>
      <w:r w:rsidR="00FF2A1F" w:rsidRPr="0004289B">
        <w:rPr>
          <w:rFonts w:ascii="Traditional Arabic" w:hAnsi="Traditional Arabic" w:hint="cs"/>
          <w:noProof w:val="0"/>
          <w:color w:val="auto"/>
          <w:rtl/>
          <w:lang w:eastAsia="en-US"/>
        </w:rPr>
        <w:instrText>َ</w:instrText>
      </w:r>
      <w:r w:rsidR="00FF2A1F" w:rsidRPr="0004289B">
        <w:rPr>
          <w:rFonts w:ascii="Traditional Arabic" w:hAnsi="Traditional Arabic"/>
          <w:noProof w:val="0"/>
          <w:color w:val="auto"/>
          <w:rtl/>
          <w:lang w:eastAsia="en-US"/>
        </w:rPr>
        <w:instrText>ضات الش</w:instrText>
      </w:r>
      <w:r w:rsidR="00FF2A1F" w:rsidRPr="0004289B">
        <w:rPr>
          <w:rFonts w:ascii="Traditional Arabic" w:hAnsi="Traditional Arabic" w:hint="cs"/>
          <w:noProof w:val="0"/>
          <w:color w:val="auto"/>
          <w:rtl/>
          <w:lang w:eastAsia="en-US"/>
        </w:rPr>
        <w:instrText>ي</w:instrText>
      </w:r>
      <w:r w:rsidR="00FF2A1F" w:rsidRPr="0004289B">
        <w:rPr>
          <w:rFonts w:ascii="Traditional Arabic" w:hAnsi="Traditional Arabic"/>
          <w:noProof w:val="0"/>
          <w:color w:val="auto"/>
          <w:rtl/>
          <w:lang w:eastAsia="en-US"/>
        </w:rPr>
        <w:instrText>طان</w:instrText>
      </w:r>
      <w:r w:rsidR="00FF2A1F" w:rsidRPr="0004289B">
        <w:rPr>
          <w:rFonts w:ascii="Traditional Arabic" w:hAnsi="Traditional Arabic" w:hint="cs"/>
          <w:noProof w:val="0"/>
          <w:color w:val="auto"/>
          <w:rtl/>
          <w:lang w:eastAsia="en-US"/>
        </w:rPr>
        <w:instrText>،</w:instrText>
      </w:r>
      <w:r w:rsidR="00FF2A1F" w:rsidRPr="0004289B">
        <w:rPr>
          <w:rFonts w:ascii="Traditional Arabic" w:hAnsi="Traditional Arabic"/>
          <w:noProof w:val="0"/>
          <w:color w:val="auto"/>
          <w:rtl/>
          <w:lang w:eastAsia="en-US"/>
        </w:rPr>
        <w:instrText>" \</w:instrText>
      </w:r>
      <w:r w:rsidR="00FF2A1F" w:rsidRPr="0004289B">
        <w:rPr>
          <w:rFonts w:ascii="Traditional Arabic" w:hAnsi="Traditional Arabic"/>
          <w:noProof w:val="0"/>
          <w:color w:val="auto"/>
          <w:lang w:eastAsia="en-US"/>
        </w:rPr>
        <w:instrText>fh</w:instrText>
      </w:r>
      <w:r w:rsidR="00AB0B9E" w:rsidRPr="0004289B">
        <w:rPr>
          <w:rFonts w:ascii="Traditional Arabic" w:hAnsi="Traditional Arabic"/>
          <w:noProof w:val="0"/>
          <w:color w:val="auto"/>
          <w:lang w:eastAsia="en-US"/>
        </w:rPr>
        <w:fldChar w:fldCharType="end"/>
      </w:r>
      <w:r w:rsidR="00251F48" w:rsidRPr="0004289B">
        <w:rPr>
          <w:rFonts w:ascii="Traditional Arabic" w:hAnsi="Traditional Arabic"/>
          <w:noProof w:val="0"/>
          <w:color w:val="auto"/>
          <w:rtl/>
          <w:lang w:eastAsia="en-US"/>
        </w:rPr>
        <w:t>فتحي</w:t>
      </w:r>
      <w:r w:rsidR="00251F48" w:rsidRPr="0004289B">
        <w:rPr>
          <w:rFonts w:ascii="Traditional Arabic" w:hAnsi="Traditional Arabic" w:hint="cs"/>
          <w:noProof w:val="0"/>
          <w:color w:val="auto"/>
          <w:rtl/>
          <w:lang w:eastAsia="en-US"/>
        </w:rPr>
        <w:t>َّ</w:t>
      </w:r>
      <w:r w:rsidR="00251F48" w:rsidRPr="0004289B">
        <w:rPr>
          <w:rFonts w:ascii="Traditional Arabic" w:hAnsi="Traditional Arabic"/>
          <w:noProof w:val="0"/>
          <w:color w:val="auto"/>
          <w:rtl/>
          <w:lang w:eastAsia="en-US"/>
        </w:rPr>
        <w:t>ضى ستة أيام أو سبعة أيام</w:t>
      </w:r>
      <w:r w:rsidR="00251F48" w:rsidRPr="00A470AA">
        <w:rPr>
          <w:rFonts w:ascii="Traditional Arabic" w:hAnsi="Traditional Arabic"/>
          <w:noProof w:val="0"/>
          <w:color w:val="auto"/>
          <w:rtl/>
          <w:lang w:eastAsia="en-US"/>
        </w:rPr>
        <w:t xml:space="preserve"> ف</w:t>
      </w:r>
      <w:r w:rsidR="00251F48" w:rsidRPr="00A470AA">
        <w:rPr>
          <w:rFonts w:ascii="Traditional Arabic" w:hAnsi="Traditional Arabic" w:hint="cs"/>
          <w:noProof w:val="0"/>
          <w:color w:val="auto"/>
          <w:rtl/>
          <w:lang w:eastAsia="en-US"/>
        </w:rPr>
        <w:t>ي</w:t>
      </w:r>
      <w:r w:rsidR="00251F48" w:rsidRPr="00A470AA">
        <w:rPr>
          <w:rFonts w:ascii="Traditional Arabic" w:hAnsi="Traditional Arabic"/>
          <w:noProof w:val="0"/>
          <w:color w:val="auto"/>
          <w:rtl/>
          <w:lang w:eastAsia="en-US"/>
        </w:rPr>
        <w:t xml:space="preserve"> علم الله</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 xml:space="preserve"> ثم اغتسل</w:t>
      </w:r>
      <w:r w:rsidR="00251F48" w:rsidRPr="00A470AA">
        <w:rPr>
          <w:rFonts w:ascii="Traditional Arabic" w:hAnsi="Traditional Arabic" w:hint="cs"/>
          <w:noProof w:val="0"/>
          <w:color w:val="auto"/>
          <w:rtl/>
          <w:lang w:eastAsia="en-US"/>
        </w:rPr>
        <w:t>ي</w:t>
      </w:r>
      <w:r w:rsidR="00251F48" w:rsidRPr="00A470AA">
        <w:rPr>
          <w:rFonts w:ascii="Traditional Arabic" w:hAnsi="Traditional Arabic"/>
          <w:noProof w:val="0"/>
          <w:color w:val="auto"/>
          <w:rtl/>
          <w:lang w:eastAsia="en-US"/>
        </w:rPr>
        <w:t xml:space="preserve"> حتى إذا رأيت</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 xml:space="preserve"> أنك قد طهرت</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 xml:space="preserve"> واستن</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ق</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أ</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ت</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 xml:space="preserve"> فصل</w:t>
      </w:r>
      <w:r w:rsidR="00251F48">
        <w:rPr>
          <w:rFonts w:ascii="Traditional Arabic" w:hAnsi="Traditional Arabic" w:hint="cs"/>
          <w:noProof w:val="0"/>
          <w:color w:val="auto"/>
          <w:rtl/>
          <w:lang w:eastAsia="en-US"/>
        </w:rPr>
        <w:t>ِّ</w:t>
      </w:r>
      <w:r w:rsidR="00251F48" w:rsidRPr="00A470AA">
        <w:rPr>
          <w:rFonts w:ascii="Traditional Arabic" w:hAnsi="Traditional Arabic" w:hint="cs"/>
          <w:noProof w:val="0"/>
          <w:color w:val="auto"/>
          <w:rtl/>
          <w:lang w:eastAsia="en-US"/>
        </w:rPr>
        <w:t>ي</w:t>
      </w:r>
      <w:r w:rsidR="00251F48" w:rsidRPr="00A470AA">
        <w:rPr>
          <w:rFonts w:ascii="Traditional Arabic" w:hAnsi="Traditional Arabic"/>
          <w:noProof w:val="0"/>
          <w:color w:val="auto"/>
          <w:rtl/>
          <w:lang w:eastAsia="en-US"/>
        </w:rPr>
        <w:t xml:space="preserve"> ثلاثا وعشرين ليلة أو أربعا وعشرين ليلة وأيام</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ها وص</w:t>
      </w:r>
      <w:r w:rsidR="00251F48">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وم</w:t>
      </w:r>
      <w:r w:rsidR="00251F48" w:rsidRPr="00A470AA">
        <w:rPr>
          <w:rFonts w:ascii="Traditional Arabic" w:hAnsi="Traditional Arabic" w:hint="cs"/>
          <w:noProof w:val="0"/>
          <w:color w:val="auto"/>
          <w:rtl/>
          <w:lang w:eastAsia="en-US"/>
        </w:rPr>
        <w:t>ي،</w:t>
      </w:r>
      <w:r w:rsidR="00251F48" w:rsidRPr="00A470AA">
        <w:rPr>
          <w:rFonts w:ascii="Traditional Arabic" w:hAnsi="Traditional Arabic"/>
          <w:noProof w:val="0"/>
          <w:color w:val="auto"/>
          <w:rtl/>
          <w:lang w:eastAsia="en-US"/>
        </w:rPr>
        <w:t xml:space="preserve"> فإن ذلك ي</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ج</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ز</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ئك</w:t>
      </w:r>
      <w:r w:rsidR="00251F48" w:rsidRPr="00A470AA">
        <w:rPr>
          <w:rFonts w:ascii="Traditional Arabic" w:hAnsi="Traditional Arabic" w:hint="cs"/>
          <w:noProof w:val="0"/>
          <w:color w:val="auto"/>
          <w:rtl/>
          <w:lang w:eastAsia="en-US"/>
        </w:rPr>
        <w:t>،</w:t>
      </w:r>
      <w:r w:rsidR="00251F48" w:rsidRPr="00A470AA">
        <w:rPr>
          <w:rFonts w:ascii="Traditional Arabic" w:hAnsi="Traditional Arabic"/>
          <w:noProof w:val="0"/>
          <w:color w:val="auto"/>
          <w:rtl/>
          <w:lang w:eastAsia="en-US"/>
        </w:rPr>
        <w:t xml:space="preserve"> وكذلك فافعل</w:t>
      </w:r>
      <w:r w:rsidR="00251F48" w:rsidRPr="00A470AA">
        <w:rPr>
          <w:rFonts w:ascii="Traditional Arabic" w:hAnsi="Traditional Arabic" w:hint="cs"/>
          <w:noProof w:val="0"/>
          <w:color w:val="auto"/>
          <w:rtl/>
          <w:lang w:eastAsia="en-US"/>
        </w:rPr>
        <w:t>ي</w:t>
      </w:r>
      <w:r w:rsidR="00251F48" w:rsidRPr="00A470AA">
        <w:rPr>
          <w:rFonts w:ascii="Traditional Arabic" w:hAnsi="Traditional Arabic"/>
          <w:noProof w:val="0"/>
          <w:color w:val="auto"/>
          <w:rtl/>
          <w:lang w:eastAsia="en-US"/>
        </w:rPr>
        <w:t xml:space="preserve"> ف</w:t>
      </w:r>
      <w:r w:rsidR="00251F48" w:rsidRPr="00A470AA">
        <w:rPr>
          <w:rFonts w:ascii="Traditional Arabic" w:hAnsi="Traditional Arabic" w:hint="cs"/>
          <w:noProof w:val="0"/>
          <w:color w:val="auto"/>
          <w:rtl/>
          <w:lang w:eastAsia="en-US"/>
        </w:rPr>
        <w:t>ي</w:t>
      </w:r>
      <w:r w:rsidR="00251F48" w:rsidRPr="00A470AA">
        <w:rPr>
          <w:rFonts w:ascii="Traditional Arabic" w:hAnsi="Traditional Arabic"/>
          <w:noProof w:val="0"/>
          <w:color w:val="auto"/>
          <w:rtl/>
          <w:lang w:eastAsia="en-US"/>
        </w:rPr>
        <w:t xml:space="preserve"> كل شهر </w:t>
      </w:r>
      <w:r w:rsidR="00251F48" w:rsidRPr="0004289B">
        <w:rPr>
          <w:rFonts w:ascii="Traditional Arabic" w:hAnsi="Traditional Arabic"/>
          <w:noProof w:val="0"/>
          <w:color w:val="auto"/>
          <w:rtl/>
          <w:lang w:eastAsia="en-US"/>
        </w:rPr>
        <w:t>كما تحيض النساء وكما ي</w:t>
      </w:r>
      <w:r w:rsidR="00251F48" w:rsidRPr="0004289B">
        <w:rPr>
          <w:rFonts w:ascii="Traditional Arabic" w:hAnsi="Traditional Arabic" w:hint="cs"/>
          <w:noProof w:val="0"/>
          <w:color w:val="auto"/>
          <w:rtl/>
          <w:lang w:eastAsia="en-US"/>
        </w:rPr>
        <w:t>َ</w:t>
      </w:r>
      <w:r w:rsidR="00251F48" w:rsidRPr="0004289B">
        <w:rPr>
          <w:rFonts w:ascii="Traditional Arabic" w:hAnsi="Traditional Arabic"/>
          <w:noProof w:val="0"/>
          <w:color w:val="auto"/>
          <w:rtl/>
          <w:lang w:eastAsia="en-US"/>
        </w:rPr>
        <w:t>ط</w:t>
      </w:r>
      <w:r w:rsidR="00251F48" w:rsidRPr="0004289B">
        <w:rPr>
          <w:rFonts w:ascii="Traditional Arabic" w:hAnsi="Traditional Arabic" w:hint="cs"/>
          <w:noProof w:val="0"/>
          <w:color w:val="auto"/>
          <w:rtl/>
          <w:lang w:eastAsia="en-US"/>
        </w:rPr>
        <w:t>ْ</w:t>
      </w:r>
      <w:r w:rsidR="00251F48" w:rsidRPr="0004289B">
        <w:rPr>
          <w:rFonts w:ascii="Traditional Arabic" w:hAnsi="Traditional Arabic"/>
          <w:noProof w:val="0"/>
          <w:color w:val="auto"/>
          <w:rtl/>
          <w:lang w:eastAsia="en-US"/>
        </w:rPr>
        <w:t>ه</w:t>
      </w:r>
      <w:r w:rsidR="00251F48" w:rsidRPr="0004289B">
        <w:rPr>
          <w:rFonts w:ascii="Traditional Arabic" w:hAnsi="Traditional Arabic" w:hint="cs"/>
          <w:noProof w:val="0"/>
          <w:color w:val="auto"/>
          <w:rtl/>
          <w:lang w:eastAsia="en-US"/>
        </w:rPr>
        <w:t>ُ</w:t>
      </w:r>
      <w:r w:rsidR="00251F48" w:rsidRPr="0004289B">
        <w:rPr>
          <w:rFonts w:ascii="Traditional Arabic" w:hAnsi="Traditional Arabic"/>
          <w:noProof w:val="0"/>
          <w:color w:val="auto"/>
          <w:rtl/>
          <w:lang w:eastAsia="en-US"/>
        </w:rPr>
        <w:t>رن ميقات حيضهن وط</w:t>
      </w:r>
      <w:r w:rsidR="00251F48" w:rsidRPr="0004289B">
        <w:rPr>
          <w:rFonts w:ascii="Traditional Arabic" w:hAnsi="Traditional Arabic" w:hint="cs"/>
          <w:noProof w:val="0"/>
          <w:color w:val="auto"/>
          <w:rtl/>
          <w:lang w:eastAsia="en-US"/>
        </w:rPr>
        <w:t>ُ</w:t>
      </w:r>
      <w:r w:rsidR="00251F48" w:rsidRPr="0004289B">
        <w:rPr>
          <w:rFonts w:ascii="Traditional Arabic" w:hAnsi="Traditional Arabic"/>
          <w:noProof w:val="0"/>
          <w:color w:val="auto"/>
          <w:rtl/>
          <w:lang w:eastAsia="en-US"/>
        </w:rPr>
        <w:t>هرهن</w:t>
      </w:r>
      <w:r w:rsidR="00251F48" w:rsidRPr="00A470AA">
        <w:rPr>
          <w:rFonts w:ascii="Traditional Arabic" w:hAnsi="Traditional Arabic" w:hint="cs"/>
          <w:noProof w:val="0"/>
          <w:color w:val="auto"/>
          <w:rtl/>
          <w:lang w:eastAsia="en-US"/>
        </w:rPr>
        <w:t>...</w:t>
      </w:r>
      <w:r w:rsidR="00251F48" w:rsidRPr="00A470AA">
        <w:rPr>
          <w:rStyle w:val="af1"/>
          <w:rFonts w:hint="cs"/>
          <w:color w:val="auto"/>
          <w:vertAlign w:val="baseline"/>
          <w:rtl/>
        </w:rPr>
        <w:t>"</w:t>
      </w:r>
      <w:r w:rsidR="00251F48" w:rsidRPr="00C821A1">
        <w:rPr>
          <w:rStyle w:val="af1"/>
          <w:szCs w:val="32"/>
          <w:rtl/>
        </w:rPr>
        <w:t>(</w:t>
      </w:r>
      <w:r w:rsidR="00251F48" w:rsidRPr="00C821A1">
        <w:rPr>
          <w:rStyle w:val="af1"/>
          <w:szCs w:val="32"/>
          <w:rtl/>
        </w:rPr>
        <w:footnoteReference w:id="1290"/>
      </w:r>
      <w:r w:rsidR="00251F48" w:rsidRPr="00C821A1">
        <w:rPr>
          <w:rStyle w:val="af1"/>
          <w:szCs w:val="32"/>
          <w:rtl/>
        </w:rPr>
        <w:t>)</w:t>
      </w:r>
      <w:r w:rsidR="00251F48" w:rsidRPr="00A470AA">
        <w:rPr>
          <w:rFonts w:ascii="Traditional Arabic" w:hAnsi="Traditional Arabic" w:hint="cs"/>
          <w:rtl/>
        </w:rPr>
        <w:t>.</w:t>
      </w:r>
    </w:p>
    <w:p w:rsidR="00065E4B" w:rsidRDefault="00065E4B" w:rsidP="00597C20">
      <w:pPr>
        <w:pStyle w:val="53"/>
        <w:rPr>
          <w:rtl/>
        </w:rPr>
      </w:pPr>
      <w:r w:rsidRPr="00A470AA">
        <w:rPr>
          <w:rtl/>
        </w:rPr>
        <w:t>و</w:t>
      </w:r>
      <w:r w:rsidR="00251F48" w:rsidRPr="00A470AA">
        <w:rPr>
          <w:rtl/>
        </w:rPr>
        <w:t>جه الدلالة:</w:t>
      </w:r>
    </w:p>
    <w:p w:rsidR="00251F48" w:rsidRDefault="0004289B" w:rsidP="00597C20">
      <w:pPr>
        <w:spacing w:line="640" w:lineRule="exact"/>
        <w:ind w:firstLine="720"/>
        <w:rPr>
          <w:rFonts w:ascii="Traditional Arabic" w:hAnsi="Traditional Arabic"/>
          <w:rtl/>
        </w:rPr>
      </w:pPr>
      <w:r>
        <w:rPr>
          <w:rFonts w:ascii="Traditional Arabic" w:hAnsi="Traditional Arabic" w:hint="cs"/>
          <w:rtl/>
        </w:rPr>
        <w:t>إ</w:t>
      </w:r>
      <w:r w:rsidR="00251F48" w:rsidRPr="002F3E0D">
        <w:rPr>
          <w:rFonts w:ascii="Traditional Arabic" w:hAnsi="Traditional Arabic"/>
          <w:rtl/>
        </w:rPr>
        <w:t>ن غال</w:t>
      </w:r>
      <w:r w:rsidR="00251F48">
        <w:rPr>
          <w:rFonts w:ascii="Traditional Arabic" w:hAnsi="Traditional Arabic"/>
          <w:rtl/>
        </w:rPr>
        <w:t>ب النساء يجلس</w:t>
      </w:r>
      <w:r w:rsidR="00251F48">
        <w:rPr>
          <w:rFonts w:ascii="Traditional Arabic" w:hAnsi="Traditional Arabic" w:hint="cs"/>
          <w:rtl/>
        </w:rPr>
        <w:t>ْ</w:t>
      </w:r>
      <w:r w:rsidR="00251F48">
        <w:rPr>
          <w:rFonts w:ascii="Traditional Arabic" w:hAnsi="Traditional Arabic"/>
          <w:rtl/>
        </w:rPr>
        <w:t>ن</w:t>
      </w:r>
      <w:r w:rsidR="00251F48">
        <w:rPr>
          <w:rFonts w:ascii="Traditional Arabic" w:hAnsi="Traditional Arabic" w:hint="cs"/>
          <w:rtl/>
        </w:rPr>
        <w:t>َ</w:t>
      </w:r>
      <w:r w:rsidR="00251F48">
        <w:rPr>
          <w:rFonts w:ascii="Traditional Arabic" w:hAnsi="Traditional Arabic"/>
          <w:rtl/>
        </w:rPr>
        <w:t xml:space="preserve"> ستة أيام أو سبعة</w:t>
      </w:r>
      <w:r w:rsidR="00DD31C7">
        <w:rPr>
          <w:rFonts w:ascii="Traditional Arabic" w:hAnsi="Traditional Arabic"/>
          <w:rtl/>
        </w:rPr>
        <w:t>،</w:t>
      </w:r>
      <w:r w:rsidR="00251F48" w:rsidRPr="002F3E0D">
        <w:rPr>
          <w:rFonts w:ascii="Traditional Arabic" w:hAnsi="Traditional Arabic"/>
          <w:rtl/>
        </w:rPr>
        <w:t xml:space="preserve"> </w:t>
      </w:r>
      <w:r w:rsidR="00DD31C7">
        <w:rPr>
          <w:rFonts w:ascii="Traditional Arabic" w:hAnsi="Traditional Arabic" w:hint="cs"/>
          <w:rtl/>
        </w:rPr>
        <w:t>و</w:t>
      </w:r>
      <w:r w:rsidR="00251F48" w:rsidRPr="002F3E0D">
        <w:rPr>
          <w:rFonts w:ascii="Traditional Arabic" w:hAnsi="Traditional Arabic"/>
          <w:rtl/>
        </w:rPr>
        <w:t>ي</w:t>
      </w:r>
      <w:r w:rsidR="00251F48">
        <w:rPr>
          <w:rFonts w:ascii="Traditional Arabic" w:hAnsi="Traditional Arabic" w:hint="cs"/>
          <w:rtl/>
        </w:rPr>
        <w:t>َ</w:t>
      </w:r>
      <w:r w:rsidR="00251F48" w:rsidRPr="002F3E0D">
        <w:rPr>
          <w:rFonts w:ascii="Traditional Arabic" w:hAnsi="Traditional Arabic"/>
          <w:rtl/>
        </w:rPr>
        <w:t>ح</w:t>
      </w:r>
      <w:r w:rsidR="00251F48">
        <w:rPr>
          <w:rFonts w:ascii="Traditional Arabic" w:hAnsi="Traditional Arabic" w:hint="cs"/>
          <w:rtl/>
        </w:rPr>
        <w:t>ِ</w:t>
      </w:r>
      <w:r w:rsidR="00251F48" w:rsidRPr="002F3E0D">
        <w:rPr>
          <w:rFonts w:ascii="Traditional Arabic" w:hAnsi="Traditional Arabic"/>
          <w:rtl/>
        </w:rPr>
        <w:t>ض</w:t>
      </w:r>
      <w:r w:rsidR="00251F48">
        <w:rPr>
          <w:rFonts w:ascii="Traditional Arabic" w:hAnsi="Traditional Arabic" w:hint="cs"/>
          <w:rtl/>
        </w:rPr>
        <w:t>ْ</w:t>
      </w:r>
      <w:r w:rsidR="00251F48" w:rsidRPr="002F3E0D">
        <w:rPr>
          <w:rFonts w:ascii="Traditional Arabic" w:hAnsi="Traditional Arabic"/>
          <w:rtl/>
        </w:rPr>
        <w:t>ن</w:t>
      </w:r>
      <w:r w:rsidR="00251F48">
        <w:rPr>
          <w:rFonts w:ascii="Traditional Arabic" w:hAnsi="Traditional Arabic" w:hint="cs"/>
          <w:rtl/>
        </w:rPr>
        <w:t>َ</w:t>
      </w:r>
      <w:r w:rsidR="00251F48" w:rsidRPr="002F3E0D">
        <w:rPr>
          <w:rFonts w:ascii="Traditional Arabic" w:hAnsi="Traditional Arabic"/>
          <w:rtl/>
        </w:rPr>
        <w:t xml:space="preserve"> في كل شهر مَرَّ</w:t>
      </w:r>
      <w:r w:rsidR="00251F48">
        <w:rPr>
          <w:rFonts w:ascii="Traditional Arabic" w:hAnsi="Traditional Arabic"/>
          <w:rtl/>
        </w:rPr>
        <w:t>ة</w:t>
      </w:r>
      <w:r w:rsidR="00251F48" w:rsidRPr="002F3E0D">
        <w:rPr>
          <w:rFonts w:ascii="Traditional Arabic" w:hAnsi="Traditional Arabic"/>
          <w:rtl/>
        </w:rPr>
        <w:t>، في</w:t>
      </w:r>
      <w:r w:rsidR="00251F48">
        <w:rPr>
          <w:rFonts w:ascii="Traditional Arabic" w:hAnsi="Traditional Arabic" w:hint="cs"/>
          <w:rtl/>
        </w:rPr>
        <w:t>ُ</w:t>
      </w:r>
      <w:r w:rsidR="00251F48" w:rsidRPr="002F3E0D">
        <w:rPr>
          <w:rFonts w:ascii="Traditional Arabic" w:hAnsi="Traditional Arabic"/>
          <w:rtl/>
        </w:rPr>
        <w:t>ستفاد من الحديث مش</w:t>
      </w:r>
      <w:r w:rsidR="00251F48">
        <w:rPr>
          <w:rFonts w:ascii="Traditional Arabic" w:hAnsi="Traditional Arabic"/>
          <w:rtl/>
        </w:rPr>
        <w:t>روعية الرجوع إلى الغالب والأكثر</w:t>
      </w:r>
      <w:r w:rsidR="00251F48" w:rsidRPr="002F3E0D">
        <w:rPr>
          <w:rFonts w:ascii="Traditional Arabic" w:hAnsi="Traditional Arabic"/>
          <w:rtl/>
        </w:rPr>
        <w:t>، وهذا يتناول جميع الأحكام الشرعية</w:t>
      </w:r>
      <w:r w:rsidR="00251F48" w:rsidRPr="00C821A1">
        <w:rPr>
          <w:rFonts w:ascii="Traditional Arabic" w:hAnsi="Traditional Arabic"/>
          <w:szCs w:val="32"/>
          <w:vertAlign w:val="superscript"/>
          <w:rtl/>
        </w:rPr>
        <w:t>(</w:t>
      </w:r>
      <w:r w:rsidR="00251F48" w:rsidRPr="00C821A1">
        <w:rPr>
          <w:rStyle w:val="af1"/>
          <w:rFonts w:ascii="Traditional Arabic" w:hAnsi="Traditional Arabic"/>
          <w:szCs w:val="32"/>
          <w:rtl/>
        </w:rPr>
        <w:footnoteReference w:id="1291"/>
      </w:r>
      <w:r w:rsidR="00251F48" w:rsidRPr="00C821A1">
        <w:rPr>
          <w:rFonts w:ascii="Traditional Arabic" w:hAnsi="Traditional Arabic"/>
          <w:szCs w:val="32"/>
          <w:vertAlign w:val="superscript"/>
          <w:rtl/>
        </w:rPr>
        <w:t>)</w:t>
      </w:r>
      <w:r w:rsidR="00251F48" w:rsidRPr="002F3E0D">
        <w:rPr>
          <w:rFonts w:ascii="Traditional Arabic" w:hAnsi="Traditional Arabic"/>
          <w:rtl/>
        </w:rPr>
        <w:t>.</w:t>
      </w:r>
    </w:p>
    <w:p w:rsidR="00251F48" w:rsidRDefault="004949B9" w:rsidP="00A8347C">
      <w:pPr>
        <w:pStyle w:val="aff3"/>
        <w:rPr>
          <w:rtl/>
        </w:rPr>
      </w:pPr>
      <w:bookmarkStart w:id="249" w:name="_Toc334046468"/>
      <w:r>
        <w:rPr>
          <w:rFonts w:hint="cs"/>
          <w:rtl/>
        </w:rPr>
        <w:t xml:space="preserve">                                         المطلب</w:t>
      </w:r>
      <w:r w:rsidR="0004289B">
        <w:rPr>
          <w:rFonts w:hint="cs"/>
          <w:rtl/>
        </w:rPr>
        <w:t xml:space="preserve"> </w:t>
      </w:r>
      <w:r w:rsidR="00251F48">
        <w:rPr>
          <w:rFonts w:hint="cs"/>
          <w:rtl/>
        </w:rPr>
        <w:t>الرابع</w:t>
      </w:r>
      <w:r w:rsidR="00896484">
        <w:rPr>
          <w:rFonts w:hint="eastAsia"/>
          <w:rtl/>
        </w:rPr>
        <w:t> :</w:t>
      </w:r>
      <w:r w:rsidR="00896484">
        <w:rPr>
          <w:rFonts w:hint="cs"/>
          <w:rtl/>
        </w:rPr>
        <w:br/>
      </w:r>
      <w:r>
        <w:rPr>
          <w:rFonts w:hint="cs"/>
          <w:rtl/>
        </w:rPr>
        <w:t xml:space="preserve">                                        </w:t>
      </w:r>
      <w:r w:rsidR="00251F48">
        <w:rPr>
          <w:rFonts w:hint="cs"/>
          <w:rtl/>
        </w:rPr>
        <w:t>تطبيقات القاعدة</w:t>
      </w:r>
      <w:bookmarkEnd w:id="249"/>
    </w:p>
    <w:p w:rsidR="00065E4B" w:rsidRPr="00462084" w:rsidRDefault="00251F48" w:rsidP="000A76C7">
      <w:pPr>
        <w:pStyle w:val="afc"/>
        <w:numPr>
          <w:ilvl w:val="0"/>
          <w:numId w:val="170"/>
        </w:numPr>
        <w:rPr>
          <w:rFonts w:ascii="Traditional Arabic" w:hAnsi="Traditional Arabic"/>
          <w:b/>
          <w:bCs/>
          <w:noProof w:val="0"/>
          <w:lang w:eastAsia="en-US"/>
        </w:rPr>
      </w:pPr>
      <w:r w:rsidRPr="00462084">
        <w:rPr>
          <w:rFonts w:ascii="Traditional Arabic" w:hAnsi="Traditional Arabic" w:hint="cs"/>
          <w:noProof w:val="0"/>
          <w:rtl/>
          <w:lang w:eastAsia="en-US"/>
        </w:rPr>
        <w:t>مَن باعَ بثمنٍ مُؤجَّل تَوْلِيَةً</w:t>
      </w:r>
      <w:r w:rsidR="00E0721F">
        <w:rPr>
          <w:rFonts w:ascii="Traditional Arabic" w:hAnsi="Traditional Arabic" w:hint="cs"/>
          <w:noProof w:val="0"/>
          <w:rtl/>
          <w:lang w:eastAsia="en-US"/>
        </w:rPr>
        <w:t xml:space="preserve"> </w:t>
      </w:r>
      <w:r w:rsidRPr="00462084">
        <w:rPr>
          <w:rFonts w:ascii="Traditional Arabic" w:hAnsi="Traditional Arabic" w:hint="cs"/>
          <w:noProof w:val="0"/>
          <w:rtl/>
          <w:lang w:eastAsia="en-US"/>
        </w:rPr>
        <w:t>دون أن يُبَيِّن ذلك للمشتري</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1292"/>
      </w:r>
      <w:r w:rsidRPr="00C821A1">
        <w:rPr>
          <w:rFonts w:ascii="Traditional Arabic" w:hAnsi="Traditional Arabic" w:hint="cs"/>
          <w:noProof w:val="0"/>
          <w:szCs w:val="32"/>
          <w:vertAlign w:val="superscript"/>
          <w:rtl/>
          <w:lang w:eastAsia="en-US"/>
        </w:rPr>
        <w:t>)</w:t>
      </w:r>
      <w:r w:rsidRPr="00462084">
        <w:rPr>
          <w:rFonts w:ascii="Traditional Arabic" w:hAnsi="Traditional Arabic" w:hint="cs"/>
          <w:noProof w:val="0"/>
          <w:rtl/>
          <w:lang w:eastAsia="en-US"/>
        </w:rPr>
        <w:t>، فإن للمشتري الخِيار بيْن إمْساكِ المبيع</w:t>
      </w:r>
      <w:r w:rsidR="00154102">
        <w:rPr>
          <w:rFonts w:ascii="Traditional Arabic" w:hAnsi="Traditional Arabic" w:hint="cs"/>
          <w:noProof w:val="0"/>
          <w:rtl/>
          <w:lang w:eastAsia="en-US"/>
        </w:rPr>
        <w:t xml:space="preserve"> و</w:t>
      </w:r>
      <w:r w:rsidRPr="00462084">
        <w:rPr>
          <w:rFonts w:ascii="Traditional Arabic" w:hAnsi="Traditional Arabic" w:hint="cs"/>
          <w:noProof w:val="0"/>
          <w:rtl/>
          <w:lang w:eastAsia="en-US"/>
        </w:rPr>
        <w:t>رَدِّه</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1293"/>
      </w:r>
      <w:r w:rsidRPr="00C821A1">
        <w:rPr>
          <w:rFonts w:ascii="Traditional Arabic" w:hAnsi="Traditional Arabic" w:hint="cs"/>
          <w:noProof w:val="0"/>
          <w:szCs w:val="32"/>
          <w:vertAlign w:val="superscript"/>
          <w:rtl/>
          <w:lang w:eastAsia="en-US"/>
        </w:rPr>
        <w:t>)</w:t>
      </w:r>
      <w:r w:rsidRPr="00462084">
        <w:rPr>
          <w:rFonts w:ascii="Traditional Arabic" w:hAnsi="Traditional Arabic" w:hint="cs"/>
          <w:noProof w:val="0"/>
          <w:rtl/>
          <w:lang w:eastAsia="en-US"/>
        </w:rPr>
        <w:t>.</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lastRenderedPageBreak/>
        <w:t>و</w:t>
      </w:r>
      <w:r w:rsidR="00251F48" w:rsidRPr="00D9261F">
        <w:rPr>
          <w:rFonts w:ascii="Traditional Arabic" w:hAnsi="Traditional Arabic"/>
          <w:noProof w:val="0"/>
          <w:rtl/>
          <w:lang w:eastAsia="en-US"/>
        </w:rPr>
        <w:t xml:space="preserve">المذهب </w:t>
      </w:r>
      <w:r w:rsidR="00251F48">
        <w:rPr>
          <w:rFonts w:ascii="Traditional Arabic" w:hAnsi="Traditional Arabic" w:hint="cs"/>
          <w:noProof w:val="0"/>
          <w:rtl/>
          <w:lang w:eastAsia="en-US"/>
        </w:rPr>
        <w:t xml:space="preserve">عند الحنابلة </w:t>
      </w:r>
      <w:r w:rsidR="00251F48">
        <w:rPr>
          <w:rFonts w:ascii="Traditional Arabic" w:hAnsi="Traditional Arabic"/>
          <w:noProof w:val="0"/>
          <w:rtl/>
          <w:lang w:eastAsia="en-US"/>
        </w:rPr>
        <w:t>أنه ليس ل</w:t>
      </w:r>
      <w:r w:rsidR="00251F48">
        <w:rPr>
          <w:rFonts w:ascii="Traditional Arabic" w:hAnsi="Traditional Arabic" w:hint="cs"/>
          <w:noProof w:val="0"/>
          <w:rtl/>
          <w:lang w:eastAsia="en-US"/>
        </w:rPr>
        <w:t>ه</w:t>
      </w:r>
      <w:r w:rsidR="00251F48" w:rsidRPr="00D9261F">
        <w:rPr>
          <w:rFonts w:ascii="Traditional Arabic" w:hAnsi="Traditional Arabic"/>
          <w:noProof w:val="0"/>
          <w:rtl/>
          <w:lang w:eastAsia="en-US"/>
        </w:rPr>
        <w:t xml:space="preserve"> حق</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 xml:space="preserve"> الفسخ، ولكنه يأخذه بأج</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له</w:t>
      </w:r>
      <w:r w:rsidR="00251F48" w:rsidRPr="00C821A1">
        <w:rPr>
          <w:rStyle w:val="af1"/>
          <w:szCs w:val="32"/>
          <w:rtl/>
        </w:rPr>
        <w:t>(</w:t>
      </w:r>
      <w:r w:rsidR="00251F48" w:rsidRPr="00C821A1">
        <w:rPr>
          <w:rStyle w:val="af1"/>
          <w:szCs w:val="32"/>
          <w:rtl/>
        </w:rPr>
        <w:footnoteReference w:id="1294"/>
      </w:r>
      <w:r w:rsidR="00251F48" w:rsidRPr="00C821A1">
        <w:rPr>
          <w:rStyle w:val="af1"/>
          <w:szCs w:val="32"/>
          <w:rtl/>
        </w:rPr>
        <w:t>)</w:t>
      </w:r>
      <w:r w:rsidR="00251F48" w:rsidRPr="00D9261F">
        <w:rPr>
          <w:rFonts w:ascii="Traditional Arabic" w:hAnsi="Traditional Arabic"/>
          <w:noProof w:val="0"/>
          <w:rtl/>
          <w:lang w:eastAsia="en-US"/>
        </w:rPr>
        <w:t>؛ وتعليل ذلك أنه في هذه الحا</w:t>
      </w:r>
      <w:r w:rsidR="00251F48">
        <w:rPr>
          <w:rFonts w:ascii="Traditional Arabic" w:hAnsi="Traditional Arabic"/>
          <w:noProof w:val="0"/>
          <w:rtl/>
          <w:lang w:eastAsia="en-US"/>
        </w:rPr>
        <w:t>ل لا ضرر عليه؛ إذ إنه زاده خيرا</w:t>
      </w:r>
      <w:r w:rsidR="00251F48">
        <w:rPr>
          <w:rFonts w:ascii="Traditional Arabic" w:hAnsi="Traditional Arabic" w:hint="cs"/>
          <w:noProof w:val="0"/>
          <w:rtl/>
          <w:lang w:eastAsia="en-US"/>
        </w:rPr>
        <w:t xml:space="preserve">؛ لأن </w:t>
      </w:r>
      <w:r w:rsidR="00251F48" w:rsidRPr="00D9261F">
        <w:rPr>
          <w:rFonts w:ascii="Traditional Arabic" w:hAnsi="Traditional Arabic"/>
          <w:noProof w:val="0"/>
          <w:rtl/>
          <w:lang w:eastAsia="en-US"/>
        </w:rPr>
        <w:t>التأجيل أ</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ر</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ف</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ق</w:t>
      </w:r>
      <w:r w:rsidR="00251F48">
        <w:rPr>
          <w:rFonts w:ascii="Traditional Arabic" w:hAnsi="Traditional Arabic" w:hint="cs"/>
          <w:noProof w:val="0"/>
          <w:rtl/>
          <w:lang w:eastAsia="en-US"/>
        </w:rPr>
        <w:t>ُ</w:t>
      </w:r>
      <w:r w:rsidR="00251F48">
        <w:rPr>
          <w:rFonts w:ascii="Traditional Arabic" w:hAnsi="Traditional Arabic"/>
          <w:noProof w:val="0"/>
          <w:rtl/>
          <w:lang w:eastAsia="en-US"/>
        </w:rPr>
        <w:t xml:space="preserve"> به</w:t>
      </w:r>
      <w:r w:rsidR="00251F48" w:rsidRPr="00D9261F">
        <w:rPr>
          <w:rFonts w:ascii="Traditional Arabic" w:hAnsi="Traditional Arabic"/>
          <w:noProof w:val="0"/>
          <w:rtl/>
          <w:lang w:eastAsia="en-US"/>
        </w:rPr>
        <w:t>؛ لأنه سينتفع بالثمن فيبيع به ويشتري، وإذا حل</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 xml:space="preserve"> الأجل سل</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مه للبائع</w:t>
      </w:r>
      <w:r w:rsidR="00251F48" w:rsidRPr="00C821A1">
        <w:rPr>
          <w:rStyle w:val="af1"/>
          <w:szCs w:val="32"/>
          <w:rtl/>
        </w:rPr>
        <w:t>(</w:t>
      </w:r>
      <w:r w:rsidR="00251F48" w:rsidRPr="00C821A1">
        <w:rPr>
          <w:rStyle w:val="af1"/>
          <w:szCs w:val="32"/>
          <w:rtl/>
        </w:rPr>
        <w:footnoteReference w:id="1295"/>
      </w:r>
      <w:r w:rsidR="00251F48" w:rsidRPr="00C821A1">
        <w:rPr>
          <w:rStyle w:val="af1"/>
          <w:szCs w:val="32"/>
          <w:rtl/>
        </w:rPr>
        <w:t>)</w:t>
      </w:r>
      <w:r w:rsidR="00251F48" w:rsidRPr="00D9261F">
        <w:rPr>
          <w:rFonts w:ascii="Traditional Arabic" w:hAnsi="Traditional Arabic"/>
          <w:noProof w:val="0"/>
          <w:rtl/>
          <w:lang w:eastAsia="en-US"/>
        </w:rPr>
        <w:t>.</w:t>
      </w:r>
    </w:p>
    <w:p w:rsidR="00065E4B" w:rsidRPr="00D9261F" w:rsidRDefault="00065E4B" w:rsidP="00597C20">
      <w:pPr>
        <w:widowControl/>
        <w:autoSpaceDE w:val="0"/>
        <w:autoSpaceDN w:val="0"/>
        <w:adjustRightInd w:val="0"/>
        <w:ind w:firstLine="720"/>
        <w:rPr>
          <w:rFonts w:ascii="Traditional Arabic" w:hAnsi="Traditional Arabic"/>
          <w:noProof w:val="0"/>
          <w:rtl/>
          <w:lang w:eastAsia="en-US"/>
        </w:rPr>
      </w:pPr>
      <w:r w:rsidRPr="00D9261F">
        <w:rPr>
          <w:rFonts w:ascii="Traditional Arabic" w:hAnsi="Traditional Arabic"/>
          <w:noProof w:val="0"/>
          <w:rtl/>
          <w:lang w:eastAsia="en-US"/>
        </w:rPr>
        <w:t>و</w:t>
      </w:r>
      <w:r w:rsidR="00251F48">
        <w:rPr>
          <w:rFonts w:ascii="Traditional Arabic" w:hAnsi="Traditional Arabic" w:hint="cs"/>
          <w:noProof w:val="0"/>
          <w:rtl/>
          <w:lang w:eastAsia="en-US"/>
        </w:rPr>
        <w:t xml:space="preserve">لكن </w:t>
      </w:r>
      <w:r w:rsidR="00251F48" w:rsidRPr="00D9261F">
        <w:rPr>
          <w:rFonts w:ascii="Traditional Arabic" w:hAnsi="Traditional Arabic"/>
          <w:noProof w:val="0"/>
          <w:rtl/>
          <w:lang w:eastAsia="en-US"/>
        </w:rPr>
        <w:t>ربما يقول المشتري: أنا أ</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ح</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ب</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 xml:space="preserve"> إلي أن أشتري بنقد؛ لأن الدراهم الآن معي فإن بقيت</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 xml:space="preserve"> معي إلى الأجل فربما أصرفها في أشياء غير مفيدة لي، وقد لا يرضى بالتأجيل، فلا يريد أن يبقى الشيء دينا في ذمته، وربما يكون ـ أيضا ـ في بلد ظالم</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 xml:space="preserve"> وال</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يها، فيخشى إن بقي عنده شيء من المال أن يؤخذ منه م</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صادرة</w:t>
      </w:r>
      <w:r w:rsidR="00251F48">
        <w:rPr>
          <w:rFonts w:ascii="Traditional Arabic" w:hAnsi="Traditional Arabic" w:hint="cs"/>
          <w:noProof w:val="0"/>
          <w:rtl/>
          <w:lang w:eastAsia="en-US"/>
        </w:rPr>
        <w:t>ً.</w:t>
      </w:r>
    </w:p>
    <w:p w:rsidR="00065E4B" w:rsidRDefault="00065E4B" w:rsidP="00597C20">
      <w:pPr>
        <w:widowControl/>
        <w:autoSpaceDE w:val="0"/>
        <w:autoSpaceDN w:val="0"/>
        <w:adjustRightInd w:val="0"/>
        <w:ind w:firstLine="720"/>
        <w:jc w:val="left"/>
        <w:rPr>
          <w:rFonts w:ascii="Traditional Arabic" w:hAnsi="Traditional Arabic"/>
          <w:noProof w:val="0"/>
          <w:rtl/>
          <w:lang w:eastAsia="en-US"/>
        </w:rPr>
      </w:pPr>
      <w:r w:rsidRPr="00D9261F">
        <w:rPr>
          <w:rFonts w:ascii="Traditional Arabic" w:hAnsi="Traditional Arabic"/>
          <w:noProof w:val="0"/>
          <w:rtl/>
          <w:lang w:eastAsia="en-US"/>
        </w:rPr>
        <w:t>و</w:t>
      </w:r>
      <w:r w:rsidR="00251F48" w:rsidRPr="00D9261F">
        <w:rPr>
          <w:rFonts w:ascii="Traditional Arabic" w:hAnsi="Traditional Arabic"/>
          <w:noProof w:val="0"/>
          <w:rtl/>
          <w:lang w:eastAsia="en-US"/>
        </w:rPr>
        <w:t>لكن الجواب على هذا أن يقال: إن هذه حال</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 xml:space="preserve"> نادرة، والأصل عند جميع الناس من حيث العموم أن المؤج</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ل أ</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ي</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س</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ر</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 xml:space="preserve"> على باذ</w:t>
      </w:r>
      <w:r w:rsidR="00251F48">
        <w:rPr>
          <w:rFonts w:ascii="Traditional Arabic" w:hAnsi="Traditional Arabic" w:hint="cs"/>
          <w:noProof w:val="0"/>
          <w:rtl/>
          <w:lang w:eastAsia="en-US"/>
        </w:rPr>
        <w:t>ِ</w:t>
      </w:r>
      <w:r w:rsidR="00251F48" w:rsidRPr="00D9261F">
        <w:rPr>
          <w:rFonts w:ascii="Traditional Arabic" w:hAnsi="Traditional Arabic"/>
          <w:noProof w:val="0"/>
          <w:rtl/>
          <w:lang w:eastAsia="en-US"/>
        </w:rPr>
        <w:t>له من الحال</w:t>
      </w:r>
      <w:r w:rsidR="00251F48">
        <w:rPr>
          <w:rFonts w:ascii="Traditional Arabic" w:hAnsi="Traditional Arabic" w:hint="cs"/>
          <w:noProof w:val="0"/>
          <w:rtl/>
          <w:lang w:eastAsia="en-US"/>
        </w:rPr>
        <w:t>ّ</w:t>
      </w:r>
      <w:r w:rsidR="00251F48" w:rsidRPr="00C821A1">
        <w:rPr>
          <w:rStyle w:val="af1"/>
          <w:szCs w:val="32"/>
          <w:rtl/>
        </w:rPr>
        <w:t>(</w:t>
      </w:r>
      <w:r w:rsidR="00251F48" w:rsidRPr="00C821A1">
        <w:rPr>
          <w:rStyle w:val="af1"/>
          <w:szCs w:val="32"/>
          <w:rtl/>
        </w:rPr>
        <w:footnoteReference w:id="1296"/>
      </w:r>
      <w:r w:rsidR="00251F48" w:rsidRPr="00C821A1">
        <w:rPr>
          <w:rStyle w:val="af1"/>
          <w:szCs w:val="32"/>
          <w:rtl/>
        </w:rPr>
        <w:t>)</w:t>
      </w:r>
      <w:r w:rsidR="00251F48" w:rsidRPr="00D9261F">
        <w:rPr>
          <w:rFonts w:ascii="Traditional Arabic" w:hAnsi="Traditional Arabic"/>
          <w:noProof w:val="0"/>
          <w:rtl/>
          <w:lang w:eastAsia="en-US"/>
        </w:rPr>
        <w:t>.</w:t>
      </w:r>
    </w:p>
    <w:p w:rsidR="00065E4B" w:rsidRDefault="00065E4B" w:rsidP="00597C20">
      <w:pPr>
        <w:pStyle w:val="53"/>
        <w:rPr>
          <w:rtl/>
        </w:rPr>
      </w:pPr>
      <w:r>
        <w:rPr>
          <w:rFonts w:hint="cs"/>
          <w:rtl/>
        </w:rPr>
        <w:t>و</w:t>
      </w:r>
      <w:r w:rsidR="00F228A9">
        <w:rPr>
          <w:rFonts w:hint="cs"/>
          <w:rtl/>
        </w:rPr>
        <w:t>جه اندراج الفرع تحت القاعدة:</w:t>
      </w:r>
    </w:p>
    <w:p w:rsidR="00251F48" w:rsidRDefault="0004289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إ</w:t>
      </w:r>
      <w:r w:rsidR="00251F48">
        <w:rPr>
          <w:rFonts w:ascii="Traditional Arabic" w:hAnsi="Traditional Arabic" w:hint="cs"/>
          <w:noProof w:val="0"/>
          <w:rtl/>
          <w:lang w:eastAsia="en-US"/>
        </w:rPr>
        <w:t>ن هذه الاحتمالات نادرة، والغالب عند الناس أن التأجيل أيسر على المشتري، فيكون الحكم للغالب، وأما النادر فلا حكم له.</w:t>
      </w:r>
    </w:p>
    <w:p w:rsidR="00F228A9" w:rsidRDefault="00251F48" w:rsidP="000A76C7">
      <w:pPr>
        <w:pStyle w:val="afc"/>
        <w:widowControl/>
        <w:numPr>
          <w:ilvl w:val="0"/>
          <w:numId w:val="170"/>
        </w:numPr>
        <w:autoSpaceDE w:val="0"/>
        <w:autoSpaceDN w:val="0"/>
        <w:adjustRightInd w:val="0"/>
        <w:rPr>
          <w:rFonts w:ascii="Traditional Arabic" w:hAnsi="Traditional Arabic"/>
          <w:noProof w:val="0"/>
          <w:lang w:eastAsia="en-US"/>
        </w:rPr>
      </w:pPr>
      <w:r w:rsidRPr="00462084">
        <w:rPr>
          <w:rFonts w:ascii="Traditional Arabic" w:hAnsi="Traditional Arabic"/>
          <w:noProof w:val="0"/>
          <w:rtl/>
          <w:lang w:eastAsia="en-US"/>
        </w:rPr>
        <w:t>يصح</w:t>
      </w:r>
      <w:r>
        <w:rPr>
          <w:rFonts w:ascii="Traditional Arabic" w:hAnsi="Traditional Arabic" w:hint="cs"/>
          <w:noProof w:val="0"/>
          <w:rtl/>
          <w:lang w:eastAsia="en-US"/>
        </w:rPr>
        <w:t>ُّ</w:t>
      </w:r>
      <w:r w:rsidR="00861540">
        <w:rPr>
          <w:rFonts w:ascii="Traditional Arabic" w:hAnsi="Traditional Arabic" w:hint="cs"/>
          <w:noProof w:val="0"/>
          <w:rtl/>
          <w:lang w:eastAsia="en-US"/>
        </w:rPr>
        <w:t xml:space="preserve"> </w:t>
      </w:r>
      <w:r>
        <w:rPr>
          <w:rFonts w:ascii="Traditional Arabic" w:hAnsi="Traditional Arabic" w:hint="cs"/>
          <w:noProof w:val="0"/>
          <w:rtl/>
          <w:lang w:eastAsia="en-US"/>
        </w:rPr>
        <w:t>السَّلَم</w:t>
      </w:r>
      <w:r w:rsidRPr="00462084">
        <w:rPr>
          <w:rFonts w:ascii="Traditional Arabic" w:hAnsi="Traditional Arabic"/>
          <w:noProof w:val="0"/>
          <w:rtl/>
          <w:lang w:eastAsia="en-US"/>
        </w:rPr>
        <w:t xml:space="preserve"> في بساتين</w:t>
      </w:r>
      <w:r>
        <w:rPr>
          <w:rFonts w:ascii="Traditional Arabic" w:hAnsi="Traditional Arabic" w:hint="cs"/>
          <w:noProof w:val="0"/>
          <w:rtl/>
          <w:lang w:eastAsia="en-US"/>
        </w:rPr>
        <w:t>ِ</w:t>
      </w:r>
      <w:r w:rsidRPr="00462084">
        <w:rPr>
          <w:rFonts w:ascii="Traditional Arabic" w:hAnsi="Traditional Arabic"/>
          <w:noProof w:val="0"/>
          <w:rtl/>
          <w:lang w:eastAsia="en-US"/>
        </w:rPr>
        <w:t xml:space="preserve"> القرية عام</w:t>
      </w:r>
      <w:r>
        <w:rPr>
          <w:rFonts w:ascii="Traditional Arabic" w:hAnsi="Traditional Arabic" w:hint="cs"/>
          <w:noProof w:val="0"/>
          <w:rtl/>
          <w:lang w:eastAsia="en-US"/>
        </w:rPr>
        <w:t>َّ</w:t>
      </w:r>
      <w:r w:rsidRPr="00462084">
        <w:rPr>
          <w:rFonts w:ascii="Traditional Arabic" w:hAnsi="Traditional Arabic"/>
          <w:noProof w:val="0"/>
          <w:rtl/>
          <w:lang w:eastAsia="en-US"/>
        </w:rPr>
        <w:t>ة</w:t>
      </w:r>
      <w:r>
        <w:rPr>
          <w:rFonts w:ascii="Traditional Arabic" w:hAnsi="Traditional Arabic" w:hint="cs"/>
          <w:noProof w:val="0"/>
          <w:rtl/>
          <w:lang w:eastAsia="en-US"/>
        </w:rPr>
        <w:t>ً</w:t>
      </w:r>
      <w:r w:rsidRPr="00462084">
        <w:rPr>
          <w:rFonts w:ascii="Traditional Arabic" w:hAnsi="Traditional Arabic"/>
          <w:noProof w:val="0"/>
          <w:rtl/>
          <w:lang w:eastAsia="en-US"/>
        </w:rPr>
        <w:t>، مثل أن يقول: أسلمت</w:t>
      </w:r>
      <w:r>
        <w:rPr>
          <w:rFonts w:ascii="Traditional Arabic" w:hAnsi="Traditional Arabic" w:hint="cs"/>
          <w:noProof w:val="0"/>
          <w:rtl/>
          <w:lang w:eastAsia="en-US"/>
        </w:rPr>
        <w:t>ُ</w:t>
      </w:r>
      <w:r w:rsidRPr="00462084">
        <w:rPr>
          <w:rFonts w:ascii="Traditional Arabic" w:hAnsi="Traditional Arabic"/>
          <w:noProof w:val="0"/>
          <w:rtl/>
          <w:lang w:eastAsia="en-US"/>
        </w:rPr>
        <w:t xml:space="preserve"> إليك في ثمر</w:t>
      </w:r>
      <w:r>
        <w:rPr>
          <w:rFonts w:ascii="Traditional Arabic" w:hAnsi="Traditional Arabic" w:hint="cs"/>
          <w:noProof w:val="0"/>
          <w:rtl/>
          <w:lang w:eastAsia="en-US"/>
        </w:rPr>
        <w:t>ِ</w:t>
      </w:r>
      <w:r w:rsidRPr="00462084">
        <w:rPr>
          <w:rFonts w:ascii="Traditional Arabic" w:hAnsi="Traditional Arabic"/>
          <w:noProof w:val="0"/>
          <w:rtl/>
          <w:lang w:eastAsia="en-US"/>
        </w:rPr>
        <w:t xml:space="preserve"> هذا البلد؛ لأن بعض البلدان يكون ثمره جيدا؛ وذلك لأن تخل</w:t>
      </w:r>
      <w:r>
        <w:rPr>
          <w:rFonts w:ascii="Traditional Arabic" w:hAnsi="Traditional Arabic" w:hint="cs"/>
          <w:noProof w:val="0"/>
          <w:rtl/>
          <w:lang w:eastAsia="en-US"/>
        </w:rPr>
        <w:t>ُّ</w:t>
      </w:r>
      <w:r w:rsidRPr="00462084">
        <w:rPr>
          <w:rFonts w:ascii="Traditional Arabic" w:hAnsi="Traditional Arabic"/>
          <w:noProof w:val="0"/>
          <w:rtl/>
          <w:lang w:eastAsia="en-US"/>
        </w:rPr>
        <w:t>ف الثمر في البلد</w:t>
      </w:r>
      <w:r w:rsidR="0004289B">
        <w:rPr>
          <w:rFonts w:ascii="Traditional Arabic" w:hAnsi="Traditional Arabic" w:hint="cs"/>
          <w:noProof w:val="0"/>
          <w:rtl/>
          <w:lang w:eastAsia="en-US"/>
        </w:rPr>
        <w:t xml:space="preserve"> </w:t>
      </w:r>
      <w:r w:rsidRPr="00462084">
        <w:rPr>
          <w:rFonts w:ascii="Traditional Arabic" w:hAnsi="Traditional Arabic"/>
          <w:noProof w:val="0"/>
          <w:rtl/>
          <w:lang w:eastAsia="en-US"/>
        </w:rPr>
        <w:t>أمر</w:t>
      </w:r>
      <w:r>
        <w:rPr>
          <w:rFonts w:ascii="Traditional Arabic" w:hAnsi="Traditional Arabic" w:hint="cs"/>
          <w:noProof w:val="0"/>
          <w:rtl/>
          <w:lang w:eastAsia="en-US"/>
        </w:rPr>
        <w:t>ٌ</w:t>
      </w:r>
      <w:r w:rsidRPr="00462084">
        <w:rPr>
          <w:rFonts w:ascii="Traditional Arabic" w:hAnsi="Traditional Arabic"/>
          <w:noProof w:val="0"/>
          <w:rtl/>
          <w:lang w:eastAsia="en-US"/>
        </w:rPr>
        <w:t xml:space="preserve"> نادر بعيد، والنادر لا حكم له</w:t>
      </w:r>
      <w:r w:rsidRPr="00C821A1">
        <w:rPr>
          <w:rStyle w:val="af1"/>
          <w:szCs w:val="32"/>
          <w:rtl/>
        </w:rPr>
        <w:t>(</w:t>
      </w:r>
      <w:r w:rsidRPr="00C821A1">
        <w:rPr>
          <w:rStyle w:val="af1"/>
          <w:szCs w:val="32"/>
          <w:rtl/>
        </w:rPr>
        <w:footnoteReference w:id="1297"/>
      </w:r>
      <w:r w:rsidRPr="00C821A1">
        <w:rPr>
          <w:rStyle w:val="af1"/>
          <w:szCs w:val="32"/>
          <w:rtl/>
        </w:rPr>
        <w:t>)</w:t>
      </w:r>
      <w:r>
        <w:rPr>
          <w:rFonts w:hint="cs"/>
          <w:rtl/>
        </w:rPr>
        <w:t>.</w:t>
      </w:r>
    </w:p>
    <w:p w:rsidR="00251F48" w:rsidRDefault="00251F48" w:rsidP="00597C20">
      <w:pPr>
        <w:pStyle w:val="53"/>
        <w:rPr>
          <w:rtl/>
        </w:rPr>
      </w:pPr>
      <w:r w:rsidRPr="00FA7D1D">
        <w:rPr>
          <w:rFonts w:hint="cs"/>
          <w:rtl/>
        </w:rPr>
        <w:t>وجه اندراج الفرع تحت القاعدة:</w:t>
      </w:r>
    </w:p>
    <w:p w:rsidR="00251F48" w:rsidRPr="002948BC" w:rsidRDefault="0004289B"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إ</w:t>
      </w:r>
      <w:r w:rsidR="00251F48" w:rsidRPr="002948BC">
        <w:rPr>
          <w:rFonts w:ascii="Traditional Arabic" w:hAnsi="Traditional Arabic" w:hint="cs"/>
          <w:noProof w:val="0"/>
          <w:rtl/>
          <w:lang w:eastAsia="en-US"/>
        </w:rPr>
        <w:t>ن احتمال تخلُّف الثمر في البلد كلِّه أمر نادر، والنادر لا حكم له.</w:t>
      </w:r>
    </w:p>
    <w:p w:rsidR="00251F48" w:rsidRDefault="00251F48" w:rsidP="000A76C7">
      <w:pPr>
        <w:pStyle w:val="afc"/>
        <w:widowControl/>
        <w:numPr>
          <w:ilvl w:val="0"/>
          <w:numId w:val="170"/>
        </w:numPr>
        <w:autoSpaceDE w:val="0"/>
        <w:autoSpaceDN w:val="0"/>
        <w:adjustRightInd w:val="0"/>
        <w:rPr>
          <w:rFonts w:ascii="Traditional Arabic" w:hAnsi="Traditional Arabic"/>
          <w:noProof w:val="0"/>
          <w:lang w:eastAsia="en-US"/>
        </w:rPr>
      </w:pPr>
      <w:r w:rsidRPr="0076526D">
        <w:rPr>
          <w:rFonts w:ascii="Traditional Arabic" w:hAnsi="Traditional Arabic"/>
          <w:noProof w:val="0"/>
          <w:rtl/>
          <w:lang w:eastAsia="en-US"/>
        </w:rPr>
        <w:lastRenderedPageBreak/>
        <w:t>الأ</w:t>
      </w:r>
      <w:r w:rsidR="0004289B">
        <w:rPr>
          <w:rFonts w:ascii="Traditional Arabic" w:hAnsi="Traditional Arabic" w:hint="cs"/>
          <w:noProof w:val="0"/>
          <w:rtl/>
          <w:lang w:eastAsia="en-US"/>
        </w:rPr>
        <w:t>َ</w:t>
      </w:r>
      <w:r w:rsidRPr="0076526D">
        <w:rPr>
          <w:rFonts w:ascii="Traditional Arabic" w:hAnsi="Traditional Arabic"/>
          <w:noProof w:val="0"/>
          <w:rtl/>
          <w:lang w:eastAsia="en-US"/>
        </w:rPr>
        <w:t>م</w:t>
      </w:r>
      <w:r w:rsidR="0004289B">
        <w:rPr>
          <w:rFonts w:ascii="Traditional Arabic" w:hAnsi="Traditional Arabic" w:hint="cs"/>
          <w:noProof w:val="0"/>
          <w:rtl/>
          <w:lang w:eastAsia="en-US"/>
        </w:rPr>
        <w:t>َ</w:t>
      </w:r>
      <w:r w:rsidRPr="0076526D">
        <w:rPr>
          <w:rFonts w:ascii="Traditional Arabic" w:hAnsi="Traditional Arabic"/>
          <w:noProof w:val="0"/>
          <w:rtl/>
          <w:lang w:eastAsia="en-US"/>
        </w:rPr>
        <w:t>ة الشاب</w:t>
      </w:r>
      <w:r>
        <w:rPr>
          <w:rFonts w:ascii="Traditional Arabic" w:hAnsi="Traditional Arabic" w:hint="cs"/>
          <w:noProof w:val="0"/>
          <w:rtl/>
          <w:lang w:eastAsia="en-US"/>
        </w:rPr>
        <w:t>َّ</w:t>
      </w:r>
      <w:r w:rsidRPr="0076526D">
        <w:rPr>
          <w:rFonts w:ascii="Traditional Arabic" w:hAnsi="Traditional Arabic"/>
          <w:noProof w:val="0"/>
          <w:rtl/>
          <w:lang w:eastAsia="en-US"/>
        </w:rPr>
        <w:t>ة لا تجوز إعارت</w:t>
      </w:r>
      <w:r w:rsidR="00DD31C7">
        <w:rPr>
          <w:rFonts w:ascii="Traditional Arabic" w:hAnsi="Traditional Arabic" w:hint="cs"/>
          <w:noProof w:val="0"/>
          <w:rtl/>
          <w:lang w:eastAsia="en-US"/>
        </w:rPr>
        <w:t>ُ</w:t>
      </w:r>
      <w:r w:rsidRPr="0076526D">
        <w:rPr>
          <w:rFonts w:ascii="Traditional Arabic" w:hAnsi="Traditional Arabic"/>
          <w:noProof w:val="0"/>
          <w:rtl/>
          <w:lang w:eastAsia="en-US"/>
        </w:rPr>
        <w:t>ها لرجل</w:t>
      </w:r>
      <w:r>
        <w:rPr>
          <w:rFonts w:ascii="Traditional Arabic" w:hAnsi="Traditional Arabic" w:hint="cs"/>
          <w:noProof w:val="0"/>
          <w:rtl/>
          <w:lang w:eastAsia="en-US"/>
        </w:rPr>
        <w:t>ٍ</w:t>
      </w:r>
      <w:r w:rsidRPr="0076526D">
        <w:rPr>
          <w:rFonts w:ascii="Traditional Arabic" w:hAnsi="Traditional Arabic"/>
          <w:noProof w:val="0"/>
          <w:rtl/>
          <w:lang w:eastAsia="en-US"/>
        </w:rPr>
        <w:t xml:space="preserve"> إلا أن يكون م</w:t>
      </w:r>
      <w:r>
        <w:rPr>
          <w:rFonts w:ascii="Traditional Arabic" w:hAnsi="Traditional Arabic" w:hint="cs"/>
          <w:noProof w:val="0"/>
          <w:rtl/>
          <w:lang w:eastAsia="en-US"/>
        </w:rPr>
        <w:t>َ</w:t>
      </w:r>
      <w:r w:rsidRPr="0076526D">
        <w:rPr>
          <w:rFonts w:ascii="Traditional Arabic" w:hAnsi="Traditional Arabic"/>
          <w:noProof w:val="0"/>
          <w:rtl/>
          <w:lang w:eastAsia="en-US"/>
        </w:rPr>
        <w:t>ح</w:t>
      </w:r>
      <w:r>
        <w:rPr>
          <w:rFonts w:ascii="Traditional Arabic" w:hAnsi="Traditional Arabic" w:hint="cs"/>
          <w:noProof w:val="0"/>
          <w:rtl/>
          <w:lang w:eastAsia="en-US"/>
        </w:rPr>
        <w:t>ْ</w:t>
      </w:r>
      <w:r w:rsidRPr="0076526D">
        <w:rPr>
          <w:rFonts w:ascii="Traditional Arabic" w:hAnsi="Traditional Arabic"/>
          <w:noProof w:val="0"/>
          <w:rtl/>
          <w:lang w:eastAsia="en-US"/>
        </w:rPr>
        <w:t>ر</w:t>
      </w:r>
      <w:r>
        <w:rPr>
          <w:rFonts w:ascii="Traditional Arabic" w:hAnsi="Traditional Arabic" w:hint="cs"/>
          <w:noProof w:val="0"/>
          <w:rtl/>
          <w:lang w:eastAsia="en-US"/>
        </w:rPr>
        <w:t>َ</w:t>
      </w:r>
      <w:r w:rsidRPr="0076526D">
        <w:rPr>
          <w:rFonts w:ascii="Traditional Arabic" w:hAnsi="Traditional Arabic"/>
          <w:noProof w:val="0"/>
          <w:rtl/>
          <w:lang w:eastAsia="en-US"/>
        </w:rPr>
        <w:t>ما</w:t>
      </w:r>
      <w:r>
        <w:rPr>
          <w:rFonts w:ascii="Traditional Arabic" w:hAnsi="Traditional Arabic" w:hint="cs"/>
          <w:noProof w:val="0"/>
          <w:rtl/>
          <w:lang w:eastAsia="en-US"/>
        </w:rPr>
        <w:t>ً لها</w:t>
      </w:r>
      <w:r>
        <w:rPr>
          <w:rFonts w:ascii="Traditional Arabic" w:hAnsi="Traditional Arabic"/>
          <w:noProof w:val="0"/>
          <w:rtl/>
          <w:lang w:eastAsia="en-US"/>
        </w:rPr>
        <w:t xml:space="preserve">؛ </w:t>
      </w:r>
      <w:r>
        <w:rPr>
          <w:rFonts w:ascii="Traditional Arabic" w:hAnsi="Traditional Arabic" w:hint="cs"/>
          <w:noProof w:val="0"/>
          <w:rtl/>
          <w:lang w:eastAsia="en-US"/>
        </w:rPr>
        <w:t xml:space="preserve">لأنه </w:t>
      </w:r>
      <w:r w:rsidRPr="0076526D">
        <w:rPr>
          <w:rFonts w:ascii="Traditional Arabic" w:hAnsi="Traditional Arabic"/>
          <w:noProof w:val="0"/>
          <w:rtl/>
          <w:lang w:eastAsia="en-US"/>
        </w:rPr>
        <w:t>مأمون</w:t>
      </w:r>
      <w:r>
        <w:rPr>
          <w:rFonts w:ascii="Traditional Arabic" w:hAnsi="Traditional Arabic" w:hint="cs"/>
          <w:noProof w:val="0"/>
          <w:rtl/>
          <w:lang w:eastAsia="en-US"/>
        </w:rPr>
        <w:t>ٌ</w:t>
      </w:r>
      <w:r>
        <w:rPr>
          <w:rFonts w:ascii="Traditional Arabic" w:hAnsi="Traditional Arabic"/>
          <w:noProof w:val="0"/>
          <w:rtl/>
          <w:lang w:eastAsia="en-US"/>
        </w:rPr>
        <w:t xml:space="preserve"> عليها،</w:t>
      </w:r>
      <w:r>
        <w:rPr>
          <w:rFonts w:ascii="Traditional Arabic" w:hAnsi="Traditional Arabic" w:hint="cs"/>
          <w:noProof w:val="0"/>
          <w:rtl/>
          <w:lang w:eastAsia="en-US"/>
        </w:rPr>
        <w:t xml:space="preserve"> وكذلك يجوز</w:t>
      </w:r>
      <w:r w:rsidR="0004289B">
        <w:rPr>
          <w:rFonts w:ascii="Traditional Arabic" w:hAnsi="Traditional Arabic" w:hint="cs"/>
          <w:noProof w:val="0"/>
          <w:rtl/>
          <w:lang w:eastAsia="en-US"/>
        </w:rPr>
        <w:t xml:space="preserve"> </w:t>
      </w:r>
      <w:r>
        <w:rPr>
          <w:rFonts w:ascii="Traditional Arabic" w:hAnsi="Traditional Arabic" w:hint="cs"/>
          <w:noProof w:val="0"/>
          <w:rtl/>
          <w:lang w:eastAsia="en-US"/>
        </w:rPr>
        <w:t>إ</w:t>
      </w:r>
      <w:r w:rsidRPr="0076526D">
        <w:rPr>
          <w:rFonts w:ascii="Traditional Arabic" w:hAnsi="Traditional Arabic"/>
          <w:noProof w:val="0"/>
          <w:rtl/>
          <w:lang w:eastAsia="en-US"/>
        </w:rPr>
        <w:t xml:space="preserve">عارتها </w:t>
      </w:r>
      <w:r>
        <w:rPr>
          <w:rFonts w:ascii="Traditional Arabic" w:hAnsi="Traditional Arabic" w:hint="cs"/>
          <w:noProof w:val="0"/>
          <w:rtl/>
          <w:lang w:eastAsia="en-US"/>
        </w:rPr>
        <w:t>ل</w:t>
      </w:r>
      <w:r>
        <w:rPr>
          <w:rFonts w:ascii="Traditional Arabic" w:hAnsi="Traditional Arabic"/>
          <w:noProof w:val="0"/>
          <w:rtl/>
          <w:lang w:eastAsia="en-US"/>
        </w:rPr>
        <w:t>امرأة</w:t>
      </w:r>
      <w:r w:rsidRPr="0076526D">
        <w:rPr>
          <w:rFonts w:ascii="Traditional Arabic" w:hAnsi="Traditional Arabic"/>
          <w:noProof w:val="0"/>
          <w:rtl/>
          <w:lang w:eastAsia="en-US"/>
        </w:rPr>
        <w:t>؛ لأن المرأة على المرأة مأمونة، هذا ال</w:t>
      </w:r>
      <w:r>
        <w:rPr>
          <w:rFonts w:ascii="Traditional Arabic" w:hAnsi="Traditional Arabic"/>
          <w:noProof w:val="0"/>
          <w:rtl/>
          <w:lang w:eastAsia="en-US"/>
        </w:rPr>
        <w:t>أصل، والنادر لا حكم له</w:t>
      </w:r>
      <w:r w:rsidR="00DD31C7">
        <w:rPr>
          <w:rFonts w:ascii="Traditional Arabic" w:hAnsi="Traditional Arabic" w:hint="cs"/>
          <w:noProof w:val="0"/>
          <w:rtl/>
          <w:lang w:eastAsia="en-US"/>
        </w:rPr>
        <w:t>،</w:t>
      </w:r>
      <w:r>
        <w:rPr>
          <w:rFonts w:ascii="Traditional Arabic" w:hAnsi="Traditional Arabic"/>
          <w:noProof w:val="0"/>
          <w:rtl/>
          <w:lang w:eastAsia="en-US"/>
        </w:rPr>
        <w:t xml:space="preserve"> لا في</w:t>
      </w:r>
      <w:r>
        <w:rPr>
          <w:rFonts w:ascii="Traditional Arabic" w:hAnsi="Traditional Arabic" w:hint="cs"/>
          <w:noProof w:val="0"/>
          <w:rtl/>
          <w:lang w:eastAsia="en-US"/>
        </w:rPr>
        <w:t xml:space="preserve"> المرأة</w:t>
      </w:r>
      <w:r w:rsidR="00DD31C7">
        <w:rPr>
          <w:rFonts w:ascii="Traditional Arabic" w:hAnsi="Traditional Arabic" w:hint="cs"/>
          <w:noProof w:val="0"/>
          <w:rtl/>
          <w:lang w:eastAsia="en-US"/>
        </w:rPr>
        <w:t>،</w:t>
      </w:r>
      <w:r w:rsidRPr="0076526D">
        <w:rPr>
          <w:rFonts w:ascii="Traditional Arabic" w:hAnsi="Traditional Arabic"/>
          <w:noProof w:val="0"/>
          <w:rtl/>
          <w:lang w:eastAsia="en-US"/>
        </w:rPr>
        <w:t xml:space="preserve"> و</w:t>
      </w:r>
      <w:r>
        <w:rPr>
          <w:rFonts w:ascii="Traditional Arabic" w:hAnsi="Traditional Arabic"/>
          <w:noProof w:val="0"/>
          <w:rtl/>
          <w:lang w:eastAsia="en-US"/>
        </w:rPr>
        <w:t>لا في المحرم</w:t>
      </w:r>
      <w:r w:rsidRPr="00C821A1">
        <w:rPr>
          <w:rStyle w:val="af1"/>
          <w:szCs w:val="32"/>
          <w:rtl/>
        </w:rPr>
        <w:t>(</w:t>
      </w:r>
      <w:r w:rsidRPr="00C821A1">
        <w:rPr>
          <w:rStyle w:val="af1"/>
          <w:szCs w:val="32"/>
          <w:rtl/>
        </w:rPr>
        <w:footnoteReference w:id="1298"/>
      </w:r>
      <w:r w:rsidRPr="00C821A1">
        <w:rPr>
          <w:rStyle w:val="af1"/>
          <w:szCs w:val="32"/>
          <w:rtl/>
        </w:rPr>
        <w:t>)</w:t>
      </w:r>
      <w:r>
        <w:rPr>
          <w:rFonts w:ascii="Traditional Arabic" w:hAnsi="Traditional Arabic" w:hint="cs"/>
          <w:noProof w:val="0"/>
          <w:rtl/>
          <w:lang w:eastAsia="en-US"/>
        </w:rPr>
        <w:t>.</w:t>
      </w:r>
    </w:p>
    <w:p w:rsidR="00065E4B" w:rsidRDefault="00251F48" w:rsidP="00597C20">
      <w:pPr>
        <w:pStyle w:val="53"/>
        <w:rPr>
          <w:rtl/>
        </w:rPr>
      </w:pPr>
      <w:r w:rsidRPr="00FA7D1D">
        <w:rPr>
          <w:rFonts w:hint="cs"/>
          <w:rtl/>
        </w:rPr>
        <w:t>وجه اندراج الفرع تحت القاعدة:</w:t>
      </w:r>
    </w:p>
    <w:p w:rsidR="00BD1188" w:rsidRDefault="00065E4B" w:rsidP="00597C20">
      <w:pPr>
        <w:widowControl/>
        <w:autoSpaceDE w:val="0"/>
        <w:autoSpaceDN w:val="0"/>
        <w:adjustRightInd w:val="0"/>
        <w:ind w:firstLine="720"/>
        <w:rPr>
          <w:rFonts w:ascii="Traditional Arabic" w:hAnsi="Traditional Arabic"/>
          <w:b/>
          <w:bCs/>
          <w:noProof w:val="0"/>
          <w:rtl/>
          <w:lang w:eastAsia="en-US"/>
        </w:rPr>
      </w:pPr>
      <w:r>
        <w:rPr>
          <w:rFonts w:ascii="Traditional Arabic" w:hAnsi="Traditional Arabic" w:hint="cs"/>
          <w:noProof w:val="0"/>
          <w:rtl/>
          <w:lang w:eastAsia="en-US"/>
        </w:rPr>
        <w:t>ا</w:t>
      </w:r>
      <w:r w:rsidR="00251F48">
        <w:rPr>
          <w:rFonts w:ascii="Traditional Arabic" w:hAnsi="Traditional Arabic" w:hint="cs"/>
          <w:noProof w:val="0"/>
          <w:rtl/>
          <w:lang w:eastAsia="en-US"/>
        </w:rPr>
        <w:t>لغالب أن النساء مأمونات على النساء، وكذلك الغالب في محرم المرأة أنه مأمون عليها، وأما ما خالف ذلك فهو أمرٌ نادر، والحكم للغالب والنادر لا حكم له.</w:t>
      </w:r>
    </w:p>
    <w:p w:rsidR="002226EA" w:rsidRDefault="002226EA" w:rsidP="00597C20">
      <w:pPr>
        <w:widowControl/>
        <w:autoSpaceDE w:val="0"/>
        <w:autoSpaceDN w:val="0"/>
        <w:adjustRightInd w:val="0"/>
        <w:ind w:firstLine="720"/>
        <w:rPr>
          <w:rFonts w:ascii="Traditional Arabic" w:hAnsi="Traditional Arabic"/>
          <w:b/>
          <w:bCs/>
          <w:noProof w:val="0"/>
          <w:rtl/>
          <w:lang w:eastAsia="en-US"/>
        </w:rPr>
      </w:pPr>
    </w:p>
    <w:p w:rsidR="00BD1188" w:rsidRPr="005F53FF" w:rsidRDefault="00BD1188" w:rsidP="008C4A2C">
      <w:pPr>
        <w:pStyle w:val="aff0"/>
        <w:rPr>
          <w:rtl/>
        </w:rPr>
      </w:pPr>
      <w:bookmarkStart w:id="250" w:name="_Toc334046469"/>
      <w:r w:rsidRPr="005F53FF">
        <w:rPr>
          <w:rFonts w:hint="cs"/>
          <w:rtl/>
        </w:rPr>
        <w:lastRenderedPageBreak/>
        <w:t>الفصل السابع</w:t>
      </w:r>
      <w:r w:rsidRPr="005F53FF">
        <w:rPr>
          <w:rFonts w:hint="eastAsia"/>
          <w:rtl/>
        </w:rPr>
        <w:t> :</w:t>
      </w:r>
      <w:r w:rsidRPr="005F53FF">
        <w:rPr>
          <w:rFonts w:hint="cs"/>
          <w:rtl/>
        </w:rPr>
        <w:t>القواعد المتعلقة بال</w:t>
      </w:r>
      <w:r w:rsidR="008C4A2C" w:rsidRPr="008C4A2C">
        <w:rPr>
          <w:rFonts w:hint="cs"/>
          <w:rtl/>
        </w:rPr>
        <w:t>ضمان</w:t>
      </w:r>
      <w:bookmarkEnd w:id="250"/>
    </w:p>
    <w:p w:rsidR="00BD1188" w:rsidRPr="002D7A92" w:rsidRDefault="00BD1188"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سبعة مباحث:</w:t>
      </w:r>
    </w:p>
    <w:p w:rsidR="00BD1188" w:rsidRPr="00031790" w:rsidRDefault="00BD1188"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قاعدة الأيدي المترتبة على أيدي الغاصب كلها أيدي ضمان.</w:t>
      </w:r>
    </w:p>
    <w:p w:rsidR="00BD1188" w:rsidRPr="00031790" w:rsidRDefault="00BD1188" w:rsidP="00597C20">
      <w:pPr>
        <w:tabs>
          <w:tab w:val="left" w:pos="2833"/>
        </w:tabs>
        <w:ind w:left="2833" w:hanging="2268"/>
        <w:jc w:val="left"/>
        <w:rPr>
          <w:rtl/>
        </w:rPr>
      </w:pPr>
      <w:r w:rsidRPr="00FD5687">
        <w:rPr>
          <w:rFonts w:hint="cs"/>
          <w:b/>
          <w:bCs/>
          <w:rtl/>
        </w:rPr>
        <w:t>المبحث الثاني:</w:t>
      </w:r>
      <w:r w:rsidR="002F34AD">
        <w:rPr>
          <w:rFonts w:hint="cs"/>
          <w:rtl/>
        </w:rPr>
        <w:tab/>
      </w:r>
      <w:r w:rsidR="00F46329">
        <w:rPr>
          <w:rFonts w:hint="cs"/>
          <w:rtl/>
        </w:rPr>
        <w:t>قاعدة إذا اجتمع متسبب ومباشر فالضمان على المباشر</w:t>
      </w:r>
      <w:r w:rsidRPr="00031790">
        <w:rPr>
          <w:rFonts w:hint="cs"/>
          <w:rtl/>
        </w:rPr>
        <w:t>.</w:t>
      </w:r>
    </w:p>
    <w:p w:rsidR="00BD1188" w:rsidRPr="00031790" w:rsidRDefault="00BD1188" w:rsidP="00597C20">
      <w:pPr>
        <w:tabs>
          <w:tab w:val="left" w:pos="2833"/>
        </w:tabs>
        <w:ind w:left="2833" w:hanging="2268"/>
        <w:jc w:val="left"/>
        <w:rPr>
          <w:rtl/>
        </w:rPr>
      </w:pPr>
      <w:r w:rsidRPr="00FD5687">
        <w:rPr>
          <w:rFonts w:hint="cs"/>
          <w:b/>
          <w:bCs/>
          <w:rtl/>
        </w:rPr>
        <w:t>المبحث الثالث:</w:t>
      </w:r>
      <w:r w:rsidR="002F34AD">
        <w:rPr>
          <w:rFonts w:hint="cs"/>
          <w:rtl/>
        </w:rPr>
        <w:tab/>
      </w:r>
      <w:r w:rsidRPr="00031790">
        <w:rPr>
          <w:rFonts w:hint="cs"/>
          <w:rtl/>
        </w:rPr>
        <w:t>قاعدة العجماء جبار.</w:t>
      </w:r>
    </w:p>
    <w:p w:rsidR="00BD1188" w:rsidRPr="00031790" w:rsidRDefault="00BD1188" w:rsidP="00597C20">
      <w:pPr>
        <w:tabs>
          <w:tab w:val="left" w:pos="2833"/>
        </w:tabs>
        <w:ind w:left="2833" w:hanging="2268"/>
        <w:jc w:val="left"/>
        <w:rPr>
          <w:rtl/>
        </w:rPr>
      </w:pPr>
      <w:r w:rsidRPr="00FD5687">
        <w:rPr>
          <w:rFonts w:hint="cs"/>
          <w:b/>
          <w:bCs/>
          <w:rtl/>
        </w:rPr>
        <w:t>المبحث الرابع:</w:t>
      </w:r>
      <w:r w:rsidR="002F34AD">
        <w:rPr>
          <w:rFonts w:hint="cs"/>
          <w:rtl/>
        </w:rPr>
        <w:tab/>
      </w:r>
      <w:r w:rsidRPr="00031790">
        <w:rPr>
          <w:rFonts w:hint="cs"/>
          <w:rtl/>
        </w:rPr>
        <w:t>قاعدة الخراج بالضمان.</w:t>
      </w:r>
    </w:p>
    <w:p w:rsidR="00BD1188" w:rsidRPr="00031790" w:rsidRDefault="00BD1188" w:rsidP="00597C20">
      <w:pPr>
        <w:tabs>
          <w:tab w:val="left" w:pos="2833"/>
        </w:tabs>
        <w:ind w:left="2833" w:hanging="2268"/>
        <w:jc w:val="left"/>
        <w:rPr>
          <w:rtl/>
        </w:rPr>
      </w:pPr>
      <w:r w:rsidRPr="00FD5687">
        <w:rPr>
          <w:rFonts w:hint="cs"/>
          <w:b/>
          <w:bCs/>
          <w:rtl/>
        </w:rPr>
        <w:t>المبحث الخامس:</w:t>
      </w:r>
      <w:r w:rsidR="002F34AD">
        <w:rPr>
          <w:rFonts w:hint="cs"/>
          <w:rtl/>
        </w:rPr>
        <w:tab/>
      </w:r>
      <w:r w:rsidRPr="00031790">
        <w:rPr>
          <w:rFonts w:hint="cs"/>
          <w:rtl/>
        </w:rPr>
        <w:t xml:space="preserve">قاعدة الأمين إذا لم يتعد ولم يفرط </w:t>
      </w:r>
      <w:r w:rsidR="00801B78">
        <w:rPr>
          <w:rFonts w:hint="cs"/>
          <w:rtl/>
        </w:rPr>
        <w:t xml:space="preserve">فلا </w:t>
      </w:r>
      <w:r w:rsidRPr="00031790">
        <w:rPr>
          <w:rFonts w:hint="cs"/>
          <w:rtl/>
        </w:rPr>
        <w:t>ضم</w:t>
      </w:r>
      <w:r w:rsidR="00801B78">
        <w:rPr>
          <w:rFonts w:hint="cs"/>
          <w:rtl/>
        </w:rPr>
        <w:t>ا</w:t>
      </w:r>
      <w:r w:rsidRPr="00031790">
        <w:rPr>
          <w:rFonts w:hint="cs"/>
          <w:rtl/>
        </w:rPr>
        <w:t>ن</w:t>
      </w:r>
      <w:r w:rsidR="00801B78">
        <w:rPr>
          <w:rFonts w:hint="cs"/>
          <w:rtl/>
        </w:rPr>
        <w:t xml:space="preserve"> عليه</w:t>
      </w:r>
      <w:r w:rsidRPr="00031790">
        <w:rPr>
          <w:rFonts w:hint="cs"/>
          <w:rtl/>
        </w:rPr>
        <w:t>.</w:t>
      </w:r>
    </w:p>
    <w:p w:rsidR="00BD1188" w:rsidRPr="00031790" w:rsidRDefault="00BD1188" w:rsidP="00597C20">
      <w:pPr>
        <w:tabs>
          <w:tab w:val="left" w:pos="2833"/>
        </w:tabs>
        <w:ind w:left="2833" w:hanging="2268"/>
        <w:jc w:val="left"/>
        <w:rPr>
          <w:rtl/>
        </w:rPr>
      </w:pPr>
      <w:r w:rsidRPr="00FD5687">
        <w:rPr>
          <w:rFonts w:hint="cs"/>
          <w:b/>
          <w:bCs/>
          <w:rtl/>
        </w:rPr>
        <w:t>المبحث السادس:</w:t>
      </w:r>
      <w:r w:rsidR="002F34AD">
        <w:rPr>
          <w:rFonts w:hint="cs"/>
          <w:rtl/>
        </w:rPr>
        <w:tab/>
      </w:r>
      <w:r w:rsidR="00F46329">
        <w:rPr>
          <w:rFonts w:hint="cs"/>
          <w:rtl/>
        </w:rPr>
        <w:t>قاعدة كل من أتلف شيئا</w:t>
      </w:r>
      <w:r w:rsidRPr="00031790">
        <w:rPr>
          <w:rFonts w:hint="cs"/>
          <w:rtl/>
        </w:rPr>
        <w:t xml:space="preserve"> فعليه الضمان.</w:t>
      </w:r>
    </w:p>
    <w:p w:rsidR="00BD1188" w:rsidRPr="00031790" w:rsidRDefault="00BD1188" w:rsidP="00597C20">
      <w:pPr>
        <w:tabs>
          <w:tab w:val="left" w:pos="2833"/>
        </w:tabs>
        <w:ind w:left="2833" w:hanging="2268"/>
        <w:jc w:val="left"/>
      </w:pPr>
      <w:r w:rsidRPr="00FD5687">
        <w:rPr>
          <w:rFonts w:hint="cs"/>
          <w:b/>
          <w:bCs/>
          <w:rtl/>
        </w:rPr>
        <w:t>المبحث السابع:</w:t>
      </w:r>
      <w:r w:rsidR="002F34AD">
        <w:rPr>
          <w:rFonts w:hint="cs"/>
          <w:rtl/>
        </w:rPr>
        <w:tab/>
      </w:r>
      <w:r w:rsidRPr="00031790">
        <w:rPr>
          <w:rFonts w:hint="cs"/>
          <w:rtl/>
        </w:rPr>
        <w:t>قاعدة ما ترتب على المأذون فليس بمضمون</w:t>
      </w:r>
      <w:r w:rsidR="00F46329">
        <w:rPr>
          <w:rFonts w:hint="cs"/>
          <w:rtl/>
        </w:rPr>
        <w:t>، وما ترتب على غير المأذون فهو مضمون</w:t>
      </w:r>
      <w:r w:rsidRPr="00031790">
        <w:rPr>
          <w:rFonts w:hint="cs"/>
          <w:rtl/>
        </w:rPr>
        <w:t>.</w:t>
      </w:r>
    </w:p>
    <w:p w:rsidR="00BD1188" w:rsidRPr="00C85F0F" w:rsidRDefault="00F044B9" w:rsidP="000F5C0F">
      <w:pPr>
        <w:pStyle w:val="aff2"/>
        <w:rPr>
          <w:rtl/>
        </w:rPr>
      </w:pPr>
      <w:bookmarkStart w:id="251" w:name="_Toc334046470"/>
      <w:r w:rsidRPr="00813FCE">
        <w:rPr>
          <w:rFonts w:hint="cs"/>
          <w:rtl/>
        </w:rPr>
        <w:lastRenderedPageBreak/>
        <w:t>المبحث الأول</w:t>
      </w:r>
      <w:r w:rsidRPr="00813FCE">
        <w:rPr>
          <w:rFonts w:hint="eastAsia"/>
          <w:rtl/>
        </w:rPr>
        <w:t> :</w:t>
      </w:r>
      <w:r w:rsidRPr="00813FCE">
        <w:rPr>
          <w:rFonts w:hint="cs"/>
          <w:rtl/>
        </w:rPr>
        <w:br/>
      </w:r>
      <w:r w:rsidR="00BD1188" w:rsidRPr="00BD1188">
        <w:rPr>
          <w:rFonts w:hint="cs"/>
          <w:rtl/>
        </w:rPr>
        <w:t>قاعدة</w:t>
      </w:r>
      <w:r w:rsidR="00BD1188">
        <w:rPr>
          <w:rFonts w:hint="cs"/>
          <w:rtl/>
        </w:rPr>
        <w:br/>
        <w:t>"</w:t>
      </w:r>
      <w:r w:rsidR="00BD1188" w:rsidRPr="00BD1188">
        <w:rPr>
          <w:rtl/>
        </w:rPr>
        <w:t>الأيدي المترتبة على يد الغاصب كلها أيدي ضمان</w:t>
      </w:r>
      <w:r w:rsidR="00AB0B9E" w:rsidRPr="00C85F0F">
        <w:rPr>
          <w:rtl/>
        </w:rPr>
        <w:fldChar w:fldCharType="begin"/>
      </w:r>
      <w:r w:rsidR="003504FF" w:rsidRPr="00C85F0F">
        <w:instrText>XE</w:instrText>
      </w:r>
      <w:r w:rsidR="003504FF" w:rsidRPr="00C85F0F">
        <w:rPr>
          <w:rtl/>
        </w:rPr>
        <w:instrText xml:space="preserve"> "</w:instrText>
      </w:r>
      <w:r w:rsidR="003504FF" w:rsidRPr="00C85F0F">
        <w:rPr>
          <w:rFonts w:hint="cs"/>
          <w:rtl/>
        </w:rPr>
        <w:instrText>الأيديالمترتبةعلىيدالغاصبكلهاأيديضمان</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BD1188" w:rsidRPr="00C85F0F">
        <w:rPr>
          <w:rFonts w:hint="cs"/>
          <w:rtl/>
        </w:rPr>
        <w:t>"</w:t>
      </w:r>
      <w:bookmarkEnd w:id="251"/>
    </w:p>
    <w:p w:rsidR="00065E4B" w:rsidRPr="00C85F0F" w:rsidRDefault="002226EA" w:rsidP="00A8347C">
      <w:pPr>
        <w:pStyle w:val="aff3"/>
        <w:rPr>
          <w:rtl/>
        </w:rPr>
      </w:pPr>
      <w:bookmarkStart w:id="252" w:name="_Toc334046471"/>
      <w:r>
        <w:rPr>
          <w:rFonts w:hint="cs"/>
          <w:rtl/>
        </w:rPr>
        <w:t xml:space="preserve">                                        المطلب</w:t>
      </w:r>
      <w:r w:rsidR="0004289B">
        <w:rPr>
          <w:rFonts w:hint="cs"/>
          <w:rtl/>
        </w:rPr>
        <w:t xml:space="preserve"> </w:t>
      </w:r>
      <w:r>
        <w:rPr>
          <w:rFonts w:hint="cs"/>
          <w:rtl/>
        </w:rPr>
        <w:t>الأول</w:t>
      </w:r>
      <w:r w:rsidR="00BD1188" w:rsidRPr="00C85F0F">
        <w:rPr>
          <w:rFonts w:hint="cs"/>
          <w:rtl/>
        </w:rPr>
        <w:br/>
      </w:r>
      <w:r>
        <w:rPr>
          <w:rFonts w:hint="cs"/>
          <w:rtl/>
        </w:rPr>
        <w:t xml:space="preserve">                      </w:t>
      </w:r>
      <w:r w:rsidR="00BD1188" w:rsidRPr="00C85F0F">
        <w:rPr>
          <w:rFonts w:hint="cs"/>
          <w:rtl/>
        </w:rPr>
        <w:t>صيغ القاعدة عند الشيخ وعند علماء القواعد</w:t>
      </w:r>
      <w:bookmarkEnd w:id="252"/>
    </w:p>
    <w:p w:rsidR="00065E4B" w:rsidRPr="00C85F0F" w:rsidRDefault="00065E4B" w:rsidP="0004289B">
      <w:pPr>
        <w:ind w:firstLine="0"/>
        <w:rPr>
          <w:color w:val="auto"/>
          <w:rtl/>
        </w:rPr>
      </w:pPr>
      <w:r w:rsidRPr="00C85F0F">
        <w:rPr>
          <w:rFonts w:hint="cs"/>
          <w:color w:val="auto"/>
          <w:rtl/>
        </w:rPr>
        <w:t>أ</w:t>
      </w:r>
      <w:r w:rsidR="00BD1188" w:rsidRPr="00C85F0F">
        <w:rPr>
          <w:rFonts w:hint="cs"/>
          <w:color w:val="auto"/>
          <w:rtl/>
        </w:rPr>
        <w:t xml:space="preserve">ورد الشيخ ابن عثيمين </w:t>
      </w:r>
      <w:r w:rsidR="0004289B">
        <w:rPr>
          <w:rFonts w:hint="cs"/>
          <w:color w:val="auto"/>
          <w:rtl/>
        </w:rPr>
        <w:t>_</w:t>
      </w:r>
      <w:r w:rsidR="009A0575" w:rsidRPr="005D5694">
        <w:rPr>
          <w:rFonts w:ascii="Traditional Arabic" w:hAnsi="Traditional Arabic" w:cs="CTraditional Arabic" w:hint="cs"/>
          <w:rtl/>
        </w:rPr>
        <w:t>/</w:t>
      </w:r>
      <w:r w:rsidR="0004289B">
        <w:rPr>
          <w:rFonts w:hint="cs"/>
          <w:color w:val="auto"/>
          <w:rtl/>
        </w:rPr>
        <w:t>_</w:t>
      </w:r>
      <w:r w:rsidR="00BD1188" w:rsidRPr="00C85F0F">
        <w:rPr>
          <w:rFonts w:hint="cs"/>
          <w:color w:val="auto"/>
          <w:rtl/>
        </w:rPr>
        <w:t xml:space="preserve"> هذه القاعدة نقلاً عن الحافظ ابن رجب </w:t>
      </w:r>
      <w:r w:rsidR="0004289B">
        <w:rPr>
          <w:rFonts w:hint="cs"/>
          <w:color w:val="auto"/>
          <w:rtl/>
        </w:rPr>
        <w:t>_</w:t>
      </w:r>
      <w:r w:rsidR="009A0575" w:rsidRPr="005D5694">
        <w:rPr>
          <w:rFonts w:ascii="Traditional Arabic" w:hAnsi="Traditional Arabic" w:cs="CTraditional Arabic" w:hint="cs"/>
          <w:rtl/>
        </w:rPr>
        <w:t>/</w:t>
      </w:r>
      <w:r w:rsidR="0004289B">
        <w:rPr>
          <w:rFonts w:hint="cs"/>
          <w:color w:val="auto"/>
          <w:rtl/>
        </w:rPr>
        <w:t>_</w:t>
      </w:r>
      <w:r w:rsidR="00BD1188" w:rsidRPr="00C85F0F">
        <w:rPr>
          <w:rFonts w:hint="cs"/>
          <w:color w:val="auto"/>
          <w:rtl/>
        </w:rPr>
        <w:t xml:space="preserve"> فقال: (</w:t>
      </w:r>
      <w:r w:rsidR="00BD1188" w:rsidRPr="00C85F0F">
        <w:rPr>
          <w:rFonts w:ascii="Traditional Arabic" w:hAnsi="Traditional Arabic"/>
          <w:noProof w:val="0"/>
          <w:color w:val="auto"/>
          <w:rtl/>
          <w:lang w:eastAsia="en-US"/>
        </w:rPr>
        <w:t xml:space="preserve">وقد ذكر ابن رجب ـ </w:t>
      </w:r>
      <w:r w:rsidR="009A0575" w:rsidRPr="005D5694">
        <w:rPr>
          <w:rFonts w:ascii="Traditional Arabic" w:hAnsi="Traditional Arabic" w:cs="CTraditional Arabic" w:hint="cs"/>
          <w:rtl/>
        </w:rPr>
        <w:t>/</w:t>
      </w:r>
      <w:r w:rsidR="00BD1188" w:rsidRPr="00C85F0F">
        <w:rPr>
          <w:rFonts w:ascii="Traditional Arabic" w:hAnsi="Traditional Arabic"/>
          <w:noProof w:val="0"/>
          <w:color w:val="auto"/>
          <w:rtl/>
          <w:lang w:eastAsia="en-US"/>
        </w:rPr>
        <w:t xml:space="preserve"> ـ في القواعد الفقهية : أن الأيدي المترتبة على يد الغاصب</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وهي التي انتقل إليها المغصوب من الغاصب</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عشرة، وأنها كل</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ها أيدي ضمان</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يعني</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يصح</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أن نضم</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نها</w:t>
      </w:r>
      <w:r w:rsidR="00BD1188" w:rsidRPr="00C85F0F">
        <w:rPr>
          <w:rFonts w:hint="cs"/>
          <w:color w:val="auto"/>
          <w:rtl/>
        </w:rPr>
        <w:t>)</w:t>
      </w:r>
      <w:r w:rsidR="00BD1188" w:rsidRPr="00C85F0F">
        <w:rPr>
          <w:rStyle w:val="af1"/>
          <w:szCs w:val="32"/>
          <w:rtl/>
        </w:rPr>
        <w:t>(</w:t>
      </w:r>
      <w:r w:rsidR="00BD1188" w:rsidRPr="00C85F0F">
        <w:rPr>
          <w:rStyle w:val="af1"/>
          <w:szCs w:val="32"/>
          <w:rtl/>
        </w:rPr>
        <w:footnoteReference w:id="1299"/>
      </w:r>
      <w:r w:rsidR="00BD1188" w:rsidRPr="00C85F0F">
        <w:rPr>
          <w:rStyle w:val="af1"/>
          <w:szCs w:val="32"/>
          <w:rtl/>
        </w:rPr>
        <w:t>)</w:t>
      </w:r>
      <w:r w:rsidR="00BD1188" w:rsidRPr="00C85F0F">
        <w:rPr>
          <w:rFonts w:hint="cs"/>
          <w:color w:val="auto"/>
          <w:rtl/>
        </w:rPr>
        <w:t>.</w:t>
      </w:r>
    </w:p>
    <w:p w:rsidR="00065E4B" w:rsidRPr="00C85F0F" w:rsidRDefault="00065E4B" w:rsidP="0004289B">
      <w:pPr>
        <w:ind w:firstLine="0"/>
        <w:rPr>
          <w:color w:val="auto"/>
          <w:rtl/>
        </w:rPr>
      </w:pPr>
      <w:r w:rsidRPr="00C85F0F">
        <w:rPr>
          <w:rFonts w:hint="cs"/>
          <w:color w:val="auto"/>
          <w:rtl/>
        </w:rPr>
        <w:t>و</w:t>
      </w:r>
      <w:r w:rsidR="00BD1188" w:rsidRPr="00C85F0F">
        <w:rPr>
          <w:rFonts w:hint="cs"/>
          <w:color w:val="auto"/>
          <w:rtl/>
        </w:rPr>
        <w:t xml:space="preserve">ممن أورد هذه القاعدة من علماء القواعد  تاج الدين السُّبكي </w:t>
      </w:r>
      <w:r w:rsidR="0004289B">
        <w:rPr>
          <w:rFonts w:hint="cs"/>
          <w:color w:val="auto"/>
          <w:rtl/>
        </w:rPr>
        <w:t>_</w:t>
      </w:r>
      <w:r w:rsidR="009A0575" w:rsidRPr="005D5694">
        <w:rPr>
          <w:rFonts w:ascii="Traditional Arabic" w:hAnsi="Traditional Arabic" w:cs="CTraditional Arabic" w:hint="cs"/>
          <w:rtl/>
        </w:rPr>
        <w:t>/</w:t>
      </w:r>
      <w:r w:rsidR="0004289B">
        <w:rPr>
          <w:rFonts w:hint="cs"/>
          <w:color w:val="auto"/>
          <w:rtl/>
        </w:rPr>
        <w:t>_</w:t>
      </w:r>
      <w:r w:rsidR="00BD1188" w:rsidRPr="00C85F0F">
        <w:rPr>
          <w:rFonts w:hint="cs"/>
          <w:color w:val="auto"/>
          <w:rtl/>
        </w:rPr>
        <w:t xml:space="preserve">، حيث </w:t>
      </w:r>
      <w:r w:rsidR="0004289B">
        <w:rPr>
          <w:rFonts w:hint="cs"/>
          <w:color w:val="auto"/>
          <w:rtl/>
        </w:rPr>
        <w:t xml:space="preserve">إنه </w:t>
      </w:r>
      <w:r w:rsidR="00BD1188" w:rsidRPr="00C85F0F">
        <w:rPr>
          <w:rFonts w:hint="cs"/>
          <w:color w:val="auto"/>
          <w:rtl/>
        </w:rPr>
        <w:t>قال: (</w:t>
      </w:r>
      <w:r w:rsidR="00BD1188" w:rsidRPr="00C85F0F">
        <w:rPr>
          <w:rFonts w:ascii="Traditional Arabic" w:hAnsi="Traditional Arabic"/>
          <w:noProof w:val="0"/>
          <w:color w:val="auto"/>
          <w:rtl/>
          <w:lang w:eastAsia="en-US"/>
        </w:rPr>
        <w:t>كل يد</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ترت</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ب</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ت</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على يد</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الغاصب فهي يد</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ضمان</w:t>
      </w:r>
      <w:r w:rsidR="00BD1188" w:rsidRPr="00C85F0F">
        <w:rPr>
          <w:rFonts w:ascii="Traditional Arabic" w:hAnsi="Traditional Arabic" w:hint="cs"/>
          <w:noProof w:val="0"/>
          <w:color w:val="auto"/>
          <w:rtl/>
          <w:lang w:eastAsia="en-US"/>
        </w:rPr>
        <w:t>ٍ</w:t>
      </w:r>
      <w:r w:rsidR="00BD1188" w:rsidRPr="00C85F0F">
        <w:rPr>
          <w:rFonts w:hint="cs"/>
          <w:color w:val="auto"/>
          <w:rtl/>
        </w:rPr>
        <w:t>)</w:t>
      </w:r>
      <w:r w:rsidR="00BD1188" w:rsidRPr="00C85F0F">
        <w:rPr>
          <w:rStyle w:val="af1"/>
          <w:szCs w:val="32"/>
          <w:rtl/>
        </w:rPr>
        <w:t>(</w:t>
      </w:r>
      <w:r w:rsidR="00BD1188" w:rsidRPr="00C85F0F">
        <w:rPr>
          <w:rStyle w:val="af1"/>
          <w:szCs w:val="32"/>
          <w:rtl/>
        </w:rPr>
        <w:footnoteReference w:id="1300"/>
      </w:r>
      <w:r w:rsidR="00BD1188" w:rsidRPr="00C85F0F">
        <w:rPr>
          <w:rStyle w:val="af1"/>
          <w:szCs w:val="32"/>
          <w:rtl/>
        </w:rPr>
        <w:t>)</w:t>
      </w:r>
      <w:r w:rsidR="00BD1188" w:rsidRPr="00C85F0F">
        <w:rPr>
          <w:rFonts w:hint="cs"/>
          <w:color w:val="auto"/>
          <w:rtl/>
        </w:rPr>
        <w:t>.</w:t>
      </w:r>
    </w:p>
    <w:p w:rsidR="00065E4B" w:rsidRPr="00C85F0F" w:rsidRDefault="00065E4B" w:rsidP="0004289B">
      <w:pPr>
        <w:widowControl/>
        <w:autoSpaceDE w:val="0"/>
        <w:autoSpaceDN w:val="0"/>
        <w:adjustRightInd w:val="0"/>
        <w:ind w:firstLine="0"/>
        <w:rPr>
          <w:rFonts w:ascii="Traditional Arabic" w:hAnsi="Traditional Arabic"/>
          <w:noProof w:val="0"/>
          <w:color w:val="auto"/>
          <w:rtl/>
          <w:lang w:eastAsia="en-US"/>
        </w:rPr>
      </w:pPr>
      <w:r w:rsidRPr="00C85F0F">
        <w:rPr>
          <w:rFonts w:hint="cs"/>
          <w:color w:val="auto"/>
          <w:rtl/>
        </w:rPr>
        <w:t>و</w:t>
      </w:r>
      <w:r w:rsidR="00BD1188" w:rsidRPr="00C85F0F">
        <w:rPr>
          <w:rFonts w:hint="cs"/>
          <w:color w:val="auto"/>
          <w:rtl/>
        </w:rPr>
        <w:t xml:space="preserve">أوردها الحافظ ابن رجب في </w:t>
      </w:r>
      <w:r w:rsidR="0004289B">
        <w:rPr>
          <w:rFonts w:hint="cs"/>
          <w:color w:val="auto"/>
          <w:rtl/>
        </w:rPr>
        <w:t xml:space="preserve">تقرير </w:t>
      </w:r>
      <w:r w:rsidR="00BD1188" w:rsidRPr="00C85F0F">
        <w:rPr>
          <w:rFonts w:hint="cs"/>
          <w:color w:val="auto"/>
          <w:rtl/>
        </w:rPr>
        <w:t>القواعد فقال: (</w:t>
      </w:r>
      <w:r w:rsidR="00BD1188" w:rsidRPr="00C85F0F">
        <w:rPr>
          <w:rFonts w:ascii="Traditional Arabic" w:hAnsi="Traditional Arabic"/>
          <w:noProof w:val="0"/>
          <w:color w:val="auto"/>
          <w:rtl/>
          <w:lang w:eastAsia="en-US"/>
        </w:rPr>
        <w:t>القاعدة الثالثة والتسعون</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من قبض مغصوبا من غا</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صبه ولم يعلم أنه مغصوب</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فالمشهور عن الأصحاب أنه بمنزلة الغاصب في جواز</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تضمين</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ه ما كان الغاصب</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ي</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ض</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من</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ه من عين ومنفعة</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ثم إن كان القابض قد دخل على ضمان</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عين</w:t>
      </w:r>
      <w:r w:rsidR="00BD1188" w:rsidRPr="00C85F0F">
        <w:rPr>
          <w:rFonts w:ascii="Traditional Arabic" w:hAnsi="Traditional Arabic" w:hint="cs"/>
          <w:noProof w:val="0"/>
          <w:color w:val="auto"/>
          <w:rtl/>
          <w:lang w:eastAsia="en-US"/>
        </w:rPr>
        <w:t>ٍ</w:t>
      </w:r>
      <w:r w:rsidR="0004289B">
        <w:rPr>
          <w:rFonts w:ascii="Traditional Arabic" w:hAnsi="Traditional Arabic" w:hint="cs"/>
          <w:noProof w:val="0"/>
          <w:color w:val="auto"/>
          <w:rtl/>
          <w:lang w:eastAsia="en-US"/>
        </w:rPr>
        <w:t xml:space="preserve"> </w:t>
      </w:r>
      <w:r w:rsidR="00BD1188" w:rsidRPr="00C85F0F">
        <w:rPr>
          <w:rFonts w:ascii="Traditional Arabic" w:hAnsi="Traditional Arabic"/>
          <w:noProof w:val="0"/>
          <w:color w:val="auto"/>
          <w:rtl/>
          <w:lang w:eastAsia="en-US"/>
        </w:rPr>
        <w:t>أو منفعة</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استقر</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ضمان</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ها عليه ولم يرج</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ع على الغاصب</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وإن ضم</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نه المالك</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ما لم يدخل على ضمانه ولم يكن حصل له بما ضم</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نه نفع</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رجع به على الغاصب</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وإن كان حصل له به نفع</w:t>
      </w:r>
      <w:r w:rsidR="00BD1188" w:rsidRPr="00C85F0F">
        <w:rPr>
          <w:rFonts w:ascii="Traditional Arabic" w:hAnsi="Traditional Arabic" w:hint="cs"/>
          <w:noProof w:val="0"/>
          <w:color w:val="auto"/>
          <w:rtl/>
          <w:lang w:eastAsia="en-US"/>
        </w:rPr>
        <w:t xml:space="preserve">ٌ؛ </w:t>
      </w:r>
      <w:r w:rsidR="00BD1188" w:rsidRPr="00C85F0F">
        <w:rPr>
          <w:rFonts w:ascii="Traditional Arabic" w:hAnsi="Traditional Arabic"/>
          <w:noProof w:val="0"/>
          <w:color w:val="auto"/>
          <w:rtl/>
          <w:lang w:eastAsia="en-US"/>
        </w:rPr>
        <w:t>فهل يستقر ضمان</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ه عليه</w:t>
      </w:r>
      <w:r w:rsidR="00BD1188" w:rsidRPr="00C85F0F">
        <w:rPr>
          <w:rFonts w:ascii="Traditional Arabic" w:hAnsi="Traditional Arabic" w:hint="cs"/>
          <w:noProof w:val="0"/>
          <w:color w:val="auto"/>
          <w:rtl/>
          <w:lang w:eastAsia="en-US"/>
        </w:rPr>
        <w:t>،</w:t>
      </w:r>
      <w:r w:rsidR="00BD1188" w:rsidRPr="00C85F0F">
        <w:rPr>
          <w:rFonts w:ascii="Traditional Arabic" w:hAnsi="Traditional Arabic"/>
          <w:noProof w:val="0"/>
          <w:color w:val="auto"/>
          <w:rtl/>
          <w:lang w:eastAsia="en-US"/>
        </w:rPr>
        <w:t xml:space="preserve"> أم يرجع على الغاصب</w:t>
      </w:r>
      <w:r w:rsidR="00BD1188" w:rsidRPr="00C85F0F">
        <w:rPr>
          <w:rFonts w:ascii="Traditional Arabic" w:hAnsi="Traditional Arabic" w:hint="cs"/>
          <w:noProof w:val="0"/>
          <w:color w:val="auto"/>
          <w:rtl/>
          <w:lang w:eastAsia="en-US"/>
        </w:rPr>
        <w:t>؟)</w:t>
      </w:r>
      <w:r w:rsidR="00BD1188" w:rsidRPr="00C85F0F">
        <w:rPr>
          <w:rStyle w:val="af1"/>
          <w:szCs w:val="32"/>
          <w:rtl/>
        </w:rPr>
        <w:t>(</w:t>
      </w:r>
      <w:r w:rsidR="00BD1188" w:rsidRPr="00C85F0F">
        <w:rPr>
          <w:rStyle w:val="af1"/>
          <w:szCs w:val="32"/>
          <w:rtl/>
        </w:rPr>
        <w:footnoteReference w:id="1301"/>
      </w:r>
      <w:r w:rsidR="00BD1188" w:rsidRPr="00C85F0F">
        <w:rPr>
          <w:rStyle w:val="af1"/>
          <w:szCs w:val="32"/>
          <w:rtl/>
        </w:rPr>
        <w:t>)</w:t>
      </w:r>
      <w:r w:rsidR="00BD1188" w:rsidRPr="00C85F0F">
        <w:rPr>
          <w:rFonts w:ascii="Traditional Arabic" w:hAnsi="Traditional Arabic" w:hint="cs"/>
          <w:noProof w:val="0"/>
          <w:color w:val="auto"/>
          <w:rtl/>
          <w:lang w:eastAsia="en-US"/>
        </w:rPr>
        <w:t>.</w:t>
      </w:r>
    </w:p>
    <w:p w:rsidR="00BD1188" w:rsidRPr="00C85F0F" w:rsidRDefault="00065E4B" w:rsidP="0004289B">
      <w:pPr>
        <w:widowControl/>
        <w:autoSpaceDE w:val="0"/>
        <w:autoSpaceDN w:val="0"/>
        <w:adjustRightInd w:val="0"/>
        <w:ind w:firstLine="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ث</w:t>
      </w:r>
      <w:r w:rsidR="00BD1188" w:rsidRPr="00C85F0F">
        <w:rPr>
          <w:rFonts w:ascii="Traditional Arabic" w:hAnsi="Traditional Arabic" w:hint="cs"/>
          <w:noProof w:val="0"/>
          <w:color w:val="auto"/>
          <w:rtl/>
          <w:lang w:eastAsia="en-US"/>
        </w:rPr>
        <w:t>م تكلم عن الأيدي المترتبة على يد الغاصب فقال:(</w:t>
      </w:r>
      <w:r w:rsidR="00BD1188" w:rsidRPr="00C85F0F">
        <w:rPr>
          <w:rFonts w:ascii="Traditional Arabic" w:hAnsi="Traditional Arabic"/>
          <w:noProof w:val="0"/>
          <w:color w:val="auto"/>
          <w:rtl/>
          <w:lang w:eastAsia="en-US"/>
        </w:rPr>
        <w:t>وهذه الأيدي القابضة من الغاصب مع عدم العلم بالحال عشرة</w:t>
      </w:r>
      <w:r w:rsidR="00BD1188" w:rsidRPr="00C85F0F">
        <w:rPr>
          <w:rFonts w:ascii="Traditional Arabic" w:hAnsi="Traditional Arabic" w:hint="cs"/>
          <w:noProof w:val="0"/>
          <w:color w:val="auto"/>
          <w:rtl/>
          <w:lang w:eastAsia="en-US"/>
        </w:rPr>
        <w:t>)</w:t>
      </w:r>
      <w:r w:rsidR="00BD1188" w:rsidRPr="00C85F0F">
        <w:rPr>
          <w:rStyle w:val="af1"/>
          <w:szCs w:val="32"/>
          <w:rtl/>
        </w:rPr>
        <w:t>(</w:t>
      </w:r>
      <w:r w:rsidR="00BD1188" w:rsidRPr="00C85F0F">
        <w:rPr>
          <w:rStyle w:val="af1"/>
          <w:szCs w:val="32"/>
          <w:rtl/>
        </w:rPr>
        <w:footnoteReference w:id="1302"/>
      </w:r>
      <w:r w:rsidR="00BD1188" w:rsidRPr="00C85F0F">
        <w:rPr>
          <w:rStyle w:val="af1"/>
          <w:szCs w:val="32"/>
          <w:rtl/>
        </w:rPr>
        <w:t>)</w:t>
      </w:r>
      <w:r w:rsidR="00BD1188" w:rsidRPr="00C85F0F">
        <w:rPr>
          <w:rFonts w:ascii="Traditional Arabic" w:hAnsi="Traditional Arabic" w:hint="cs"/>
          <w:noProof w:val="0"/>
          <w:color w:val="auto"/>
          <w:rtl/>
          <w:lang w:eastAsia="en-US"/>
        </w:rPr>
        <w:t>، ثم شرع في سَرْدِها والتفصيل في كل واحدة منها.</w:t>
      </w:r>
    </w:p>
    <w:p w:rsidR="00065E4B" w:rsidRPr="00C85F0F" w:rsidRDefault="004949B9" w:rsidP="00A8347C">
      <w:pPr>
        <w:pStyle w:val="aff3"/>
        <w:rPr>
          <w:rtl/>
        </w:rPr>
      </w:pPr>
      <w:bookmarkStart w:id="253" w:name="_Toc334046472"/>
      <w:r>
        <w:rPr>
          <w:rFonts w:hint="cs"/>
          <w:rtl/>
        </w:rPr>
        <w:lastRenderedPageBreak/>
        <w:t xml:space="preserve">                                          المطلب</w:t>
      </w:r>
      <w:r w:rsidR="0004289B">
        <w:rPr>
          <w:rFonts w:hint="cs"/>
          <w:rtl/>
        </w:rPr>
        <w:t xml:space="preserve"> </w:t>
      </w:r>
      <w:r w:rsidR="00BD1188" w:rsidRPr="00C85F0F">
        <w:rPr>
          <w:rFonts w:hint="cs"/>
          <w:rtl/>
        </w:rPr>
        <w:t>الثاني</w:t>
      </w:r>
      <w:r w:rsidR="00BD1188" w:rsidRPr="00C85F0F">
        <w:rPr>
          <w:rFonts w:hint="eastAsia"/>
          <w:rtl/>
        </w:rPr>
        <w:t> :</w:t>
      </w:r>
      <w:r w:rsidR="00BD1188" w:rsidRPr="00C85F0F">
        <w:rPr>
          <w:rFonts w:hint="cs"/>
          <w:rtl/>
        </w:rPr>
        <w:br/>
      </w:r>
      <w:r>
        <w:rPr>
          <w:rFonts w:hint="cs"/>
          <w:rtl/>
        </w:rPr>
        <w:t xml:space="preserve">                                           </w:t>
      </w:r>
      <w:r w:rsidR="00BD1188" w:rsidRPr="00C85F0F">
        <w:rPr>
          <w:rFonts w:hint="cs"/>
          <w:rtl/>
        </w:rPr>
        <w:t>شرح القاعدة</w:t>
      </w:r>
      <w:bookmarkEnd w:id="253"/>
    </w:p>
    <w:p w:rsidR="002948BC" w:rsidRDefault="00065E4B" w:rsidP="00EA2BD7">
      <w:pPr>
        <w:pStyle w:val="53"/>
        <w:rPr>
          <w:b w:val="0"/>
          <w:rtl/>
        </w:rPr>
      </w:pPr>
      <w:r w:rsidRPr="00EA2BD7">
        <w:rPr>
          <w:rFonts w:hint="cs"/>
          <w:rtl/>
        </w:rPr>
        <w:t>ا</w:t>
      </w:r>
      <w:r w:rsidR="00BD1188" w:rsidRPr="00EA2BD7">
        <w:rPr>
          <w:rFonts w:hint="cs"/>
          <w:rtl/>
        </w:rPr>
        <w:t>لغاصب</w:t>
      </w:r>
      <w:r w:rsidR="00AB0B9E" w:rsidRPr="00EA2BD7">
        <w:fldChar w:fldCharType="begin"/>
      </w:r>
      <w:r w:rsidR="00145ED8" w:rsidRPr="00EA2BD7">
        <w:instrText>XE</w:instrText>
      </w:r>
      <w:r w:rsidR="00145ED8" w:rsidRPr="00EA2BD7">
        <w:rPr>
          <w:rtl/>
        </w:rPr>
        <w:instrText xml:space="preserve"> "</w:instrText>
      </w:r>
      <w:r w:rsidR="00145ED8" w:rsidRPr="00EA2BD7">
        <w:rPr>
          <w:rFonts w:hint="cs"/>
          <w:rtl/>
        </w:rPr>
        <w:instrText>الغاصب</w:instrText>
      </w:r>
      <w:r w:rsidR="00145ED8" w:rsidRPr="00EA2BD7">
        <w:rPr>
          <w:rtl/>
        </w:rPr>
        <w:instrText>" \</w:instrText>
      </w:r>
      <w:r w:rsidR="00145ED8" w:rsidRPr="00EA2BD7">
        <w:instrText>fm</w:instrText>
      </w:r>
      <w:r w:rsidR="00AB0B9E" w:rsidRPr="00EA2BD7">
        <w:fldChar w:fldCharType="end"/>
      </w:r>
      <w:r w:rsidR="00BD1188" w:rsidRPr="00145ED8">
        <w:rPr>
          <w:rFonts w:hint="cs"/>
          <w:b w:val="0"/>
          <w:rtl/>
        </w:rPr>
        <w:t xml:space="preserve"> لغة:</w:t>
      </w:r>
    </w:p>
    <w:p w:rsidR="00065E4B" w:rsidRPr="00145ED8" w:rsidRDefault="00BD1188" w:rsidP="00597C20">
      <w:pPr>
        <w:widowControl/>
        <w:autoSpaceDE w:val="0"/>
        <w:autoSpaceDN w:val="0"/>
        <w:adjustRightInd w:val="0"/>
        <w:ind w:firstLine="720"/>
        <w:jc w:val="left"/>
        <w:rPr>
          <w:rFonts w:ascii="Simplified Arabic" w:hAnsi="Simplified Arabic" w:cs="Simplified Arabic"/>
          <w:noProof w:val="0"/>
          <w:color w:val="auto"/>
          <w:rtl/>
          <w:lang w:eastAsia="en-US"/>
        </w:rPr>
      </w:pPr>
      <w:r w:rsidRPr="00145ED8">
        <w:rPr>
          <w:rFonts w:ascii="Traditional Arabic" w:hAnsi="Traditional Arabic"/>
          <w:noProof w:val="0"/>
          <w:color w:val="auto"/>
          <w:rtl/>
          <w:lang w:eastAsia="en-US"/>
        </w:rPr>
        <w:t>غ</w:t>
      </w:r>
      <w:r w:rsidRPr="00145ED8">
        <w:rPr>
          <w:rFonts w:ascii="Traditional Arabic" w:hAnsi="Traditional Arabic" w:hint="cs"/>
          <w:noProof w:val="0"/>
          <w:color w:val="auto"/>
          <w:rtl/>
          <w:lang w:eastAsia="en-US"/>
        </w:rPr>
        <w:t>َ</w:t>
      </w:r>
      <w:r w:rsidRPr="00145ED8">
        <w:rPr>
          <w:rFonts w:ascii="Traditional Arabic" w:hAnsi="Traditional Arabic"/>
          <w:noProof w:val="0"/>
          <w:color w:val="auto"/>
          <w:rtl/>
          <w:lang w:eastAsia="en-US"/>
        </w:rPr>
        <w:t>ص</w:t>
      </w:r>
      <w:r w:rsidRPr="00145ED8">
        <w:rPr>
          <w:rFonts w:ascii="Traditional Arabic" w:hAnsi="Traditional Arabic" w:hint="cs"/>
          <w:noProof w:val="0"/>
          <w:color w:val="auto"/>
          <w:rtl/>
          <w:lang w:eastAsia="en-US"/>
        </w:rPr>
        <w:t>َ</w:t>
      </w:r>
      <w:r w:rsidRPr="00145ED8">
        <w:rPr>
          <w:rFonts w:ascii="Traditional Arabic" w:hAnsi="Traditional Arabic"/>
          <w:noProof w:val="0"/>
          <w:color w:val="auto"/>
          <w:rtl/>
          <w:lang w:eastAsia="en-US"/>
        </w:rPr>
        <w:t>ب</w:t>
      </w:r>
      <w:r w:rsidRPr="00145ED8">
        <w:rPr>
          <w:rFonts w:ascii="Traditional Arabic" w:hAnsi="Traditional Arabic" w:hint="cs"/>
          <w:noProof w:val="0"/>
          <w:color w:val="auto"/>
          <w:rtl/>
          <w:lang w:eastAsia="en-US"/>
        </w:rPr>
        <w:t xml:space="preserve"> الشيءَيَغْصِبه </w:t>
      </w:r>
      <w:r w:rsidRPr="00145ED8">
        <w:rPr>
          <w:rFonts w:ascii="Traditional Arabic" w:hAnsi="Traditional Arabic"/>
          <w:noProof w:val="0"/>
          <w:color w:val="auto"/>
          <w:rtl/>
          <w:lang w:eastAsia="en-US"/>
        </w:rPr>
        <w:t>غصبا</w:t>
      </w:r>
      <w:r w:rsidRPr="00145ED8">
        <w:rPr>
          <w:rFonts w:ascii="Traditional Arabic" w:hAnsi="Traditional Arabic" w:hint="cs"/>
          <w:noProof w:val="0"/>
          <w:color w:val="auto"/>
          <w:rtl/>
          <w:lang w:eastAsia="en-US"/>
        </w:rPr>
        <w:t>ً</w:t>
      </w:r>
      <w:r w:rsidRPr="00145ED8">
        <w:rPr>
          <w:rFonts w:ascii="Traditional Arabic" w:hAnsi="Traditional Arabic"/>
          <w:noProof w:val="0"/>
          <w:color w:val="auto"/>
          <w:rtl/>
          <w:lang w:eastAsia="en-US"/>
        </w:rPr>
        <w:t xml:space="preserve"> واغتصبه</w:t>
      </w:r>
      <w:r w:rsidRPr="00145ED8">
        <w:rPr>
          <w:rFonts w:ascii="Traditional Arabic" w:hAnsi="Traditional Arabic" w:hint="cs"/>
          <w:noProof w:val="0"/>
          <w:color w:val="auto"/>
          <w:rtl/>
          <w:lang w:eastAsia="en-US"/>
        </w:rPr>
        <w:t>،</w:t>
      </w:r>
      <w:r w:rsidRPr="00145ED8">
        <w:rPr>
          <w:rFonts w:ascii="Traditional Arabic" w:hAnsi="Traditional Arabic"/>
          <w:noProof w:val="0"/>
          <w:color w:val="auto"/>
          <w:rtl/>
          <w:lang w:eastAsia="en-US"/>
        </w:rPr>
        <w:t xml:space="preserve"> فهو غاص</w:t>
      </w:r>
      <w:r w:rsidRPr="00145ED8">
        <w:rPr>
          <w:rFonts w:ascii="Traditional Arabic" w:hAnsi="Traditional Arabic" w:hint="cs"/>
          <w:noProof w:val="0"/>
          <w:color w:val="auto"/>
          <w:rtl/>
          <w:lang w:eastAsia="en-US"/>
        </w:rPr>
        <w:t>ِ</w:t>
      </w:r>
      <w:r w:rsidRPr="00145ED8">
        <w:rPr>
          <w:rFonts w:ascii="Traditional Arabic" w:hAnsi="Traditional Arabic"/>
          <w:noProof w:val="0"/>
          <w:color w:val="auto"/>
          <w:rtl/>
          <w:lang w:eastAsia="en-US"/>
        </w:rPr>
        <w:t>ب</w:t>
      </w:r>
      <w:r w:rsidRPr="00145ED8">
        <w:rPr>
          <w:rFonts w:ascii="Traditional Arabic" w:hAnsi="Traditional Arabic" w:hint="cs"/>
          <w:noProof w:val="0"/>
          <w:color w:val="auto"/>
          <w:rtl/>
          <w:lang w:eastAsia="en-US"/>
        </w:rPr>
        <w:t>، أي: أخَذه قَهْراً وظلماً</w:t>
      </w:r>
      <w:r w:rsidRPr="00C821A1">
        <w:rPr>
          <w:rStyle w:val="af1"/>
          <w:color w:val="auto"/>
          <w:szCs w:val="32"/>
          <w:rtl/>
        </w:rPr>
        <w:t>(</w:t>
      </w:r>
      <w:r w:rsidRPr="00C821A1">
        <w:rPr>
          <w:rStyle w:val="af1"/>
          <w:color w:val="auto"/>
          <w:szCs w:val="32"/>
          <w:rtl/>
        </w:rPr>
        <w:footnoteReference w:id="1303"/>
      </w:r>
      <w:r w:rsidRPr="00C821A1">
        <w:rPr>
          <w:rStyle w:val="af1"/>
          <w:color w:val="auto"/>
          <w:szCs w:val="32"/>
          <w:rtl/>
        </w:rPr>
        <w:t>)</w:t>
      </w:r>
      <w:r w:rsidRPr="00145ED8">
        <w:rPr>
          <w:rFonts w:ascii="Traditional Arabic" w:hAnsi="Traditional Arabic" w:hint="cs"/>
          <w:noProof w:val="0"/>
          <w:color w:val="auto"/>
          <w:rtl/>
          <w:lang w:eastAsia="en-US"/>
        </w:rPr>
        <w:t>.</w:t>
      </w:r>
    </w:p>
    <w:p w:rsidR="00065E4B" w:rsidRDefault="00065E4B" w:rsidP="00597C20">
      <w:pPr>
        <w:ind w:firstLine="720"/>
        <w:rPr>
          <w:color w:val="auto"/>
          <w:rtl/>
        </w:rPr>
      </w:pPr>
      <w:r>
        <w:rPr>
          <w:rFonts w:hint="cs"/>
          <w:color w:val="auto"/>
          <w:rtl/>
        </w:rPr>
        <w:t>ف</w:t>
      </w:r>
      <w:r w:rsidR="00BD1188">
        <w:rPr>
          <w:rFonts w:hint="cs"/>
          <w:color w:val="auto"/>
          <w:rtl/>
        </w:rPr>
        <w:t>الغاصب إذاً هو آخِذُ الشيءِ ظلماً وقهراً.</w:t>
      </w:r>
    </w:p>
    <w:p w:rsidR="002948BC" w:rsidRDefault="00065E4B" w:rsidP="00597C20">
      <w:pPr>
        <w:pStyle w:val="53"/>
        <w:rPr>
          <w:rtl/>
        </w:rPr>
      </w:pPr>
      <w:r w:rsidRPr="009418DF">
        <w:rPr>
          <w:rFonts w:hint="cs"/>
          <w:rtl/>
        </w:rPr>
        <w:t>ا</w:t>
      </w:r>
      <w:r w:rsidR="00BD1188" w:rsidRPr="009418DF">
        <w:rPr>
          <w:rFonts w:hint="cs"/>
          <w:rtl/>
        </w:rPr>
        <w:t>لغاصب اصطلاحا:</w:t>
      </w:r>
    </w:p>
    <w:p w:rsidR="00065E4B" w:rsidRDefault="00BD1188" w:rsidP="00597C20">
      <w:pPr>
        <w:ind w:firstLine="720"/>
        <w:rPr>
          <w:color w:val="auto"/>
          <w:rtl/>
        </w:rPr>
      </w:pPr>
      <w:r>
        <w:rPr>
          <w:rFonts w:hint="cs"/>
          <w:color w:val="auto"/>
          <w:rtl/>
        </w:rPr>
        <w:t xml:space="preserve">هو المستولي </w:t>
      </w:r>
      <w:r w:rsidRPr="003974B7">
        <w:rPr>
          <w:rFonts w:ascii="Traditional Arabic" w:hAnsi="Traditional Arabic"/>
          <w:noProof w:val="0"/>
          <w:rtl/>
          <w:lang w:eastAsia="en-US"/>
        </w:rPr>
        <w:t>على مال</w:t>
      </w:r>
      <w:r>
        <w:rPr>
          <w:rFonts w:ascii="Traditional Arabic" w:hAnsi="Traditional Arabic" w:hint="cs"/>
          <w:noProof w:val="0"/>
          <w:rtl/>
          <w:lang w:eastAsia="en-US"/>
        </w:rPr>
        <w:t>ِ</w:t>
      </w:r>
      <w:r w:rsidRPr="003974B7">
        <w:rPr>
          <w:rFonts w:ascii="Traditional Arabic" w:hAnsi="Traditional Arabic"/>
          <w:noProof w:val="0"/>
          <w:rtl/>
          <w:lang w:eastAsia="en-US"/>
        </w:rPr>
        <w:t xml:space="preserve"> غير</w:t>
      </w:r>
      <w:r>
        <w:rPr>
          <w:rFonts w:ascii="Traditional Arabic" w:hAnsi="Traditional Arabic" w:hint="cs"/>
          <w:noProof w:val="0"/>
          <w:rtl/>
          <w:lang w:eastAsia="en-US"/>
        </w:rPr>
        <w:t>ِ</w:t>
      </w:r>
      <w:r w:rsidRPr="003974B7">
        <w:rPr>
          <w:rFonts w:ascii="Traditional Arabic" w:hAnsi="Traditional Arabic"/>
          <w:noProof w:val="0"/>
          <w:rtl/>
          <w:lang w:eastAsia="en-US"/>
        </w:rPr>
        <w:t>ه بغير حق</w:t>
      </w:r>
      <w:r w:rsidRPr="00C821A1">
        <w:rPr>
          <w:rStyle w:val="af1"/>
          <w:szCs w:val="32"/>
          <w:rtl/>
        </w:rPr>
        <w:t>(</w:t>
      </w:r>
      <w:r w:rsidRPr="00C821A1">
        <w:rPr>
          <w:rStyle w:val="af1"/>
          <w:szCs w:val="32"/>
          <w:rtl/>
        </w:rPr>
        <w:footnoteReference w:id="1304"/>
      </w:r>
      <w:r w:rsidRPr="00C821A1">
        <w:rPr>
          <w:rStyle w:val="af1"/>
          <w:szCs w:val="32"/>
          <w:rtl/>
        </w:rPr>
        <w:t>)</w:t>
      </w:r>
      <w:r>
        <w:rPr>
          <w:rFonts w:hint="cs"/>
          <w:color w:val="auto"/>
          <w:rtl/>
        </w:rPr>
        <w:t>.</w:t>
      </w:r>
    </w:p>
    <w:p w:rsidR="00065E4B" w:rsidRDefault="00065E4B" w:rsidP="00597C20">
      <w:pPr>
        <w:pStyle w:val="53"/>
        <w:rPr>
          <w:rtl/>
        </w:rPr>
      </w:pPr>
      <w:r>
        <w:rPr>
          <w:rFonts w:hint="cs"/>
          <w:rtl/>
        </w:rPr>
        <w:t>م</w:t>
      </w:r>
      <w:r w:rsidR="00BD1188">
        <w:rPr>
          <w:rFonts w:hint="cs"/>
          <w:rtl/>
        </w:rPr>
        <w:t>عنى القاعدة إجمالا:</w:t>
      </w:r>
    </w:p>
    <w:p w:rsidR="008957F8" w:rsidRDefault="008F17B6" w:rsidP="008957F8">
      <w:pPr>
        <w:ind w:firstLine="720"/>
        <w:rPr>
          <w:color w:val="auto"/>
          <w:rtl/>
        </w:rPr>
      </w:pPr>
      <w:r>
        <w:rPr>
          <w:rFonts w:ascii="Traditional Arabic" w:hAnsi="Traditional Arabic" w:hint="cs"/>
          <w:noProof w:val="0"/>
          <w:color w:val="auto"/>
          <w:rtl/>
          <w:lang w:eastAsia="en-US"/>
        </w:rPr>
        <w:t>إ</w:t>
      </w:r>
      <w:r w:rsidR="00BD1188" w:rsidRPr="00A4282F">
        <w:rPr>
          <w:rFonts w:ascii="Traditional Arabic" w:hAnsi="Traditional Arabic"/>
          <w:noProof w:val="0"/>
          <w:color w:val="auto"/>
          <w:rtl/>
          <w:lang w:eastAsia="en-US"/>
        </w:rPr>
        <w:t xml:space="preserve">ن </w:t>
      </w:r>
      <w:r w:rsidR="00BD1188">
        <w:rPr>
          <w:rFonts w:ascii="Traditional Arabic" w:hAnsi="Traditional Arabic"/>
          <w:noProof w:val="0"/>
          <w:color w:val="auto"/>
          <w:rtl/>
          <w:lang w:eastAsia="en-US"/>
        </w:rPr>
        <w:t>الأيدي المترتبة على يد الغاصب</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 xml:space="preserve">وهي التي </w:t>
      </w:r>
      <w:r w:rsidR="00BD1188">
        <w:rPr>
          <w:rFonts w:ascii="Traditional Arabic" w:hAnsi="Traditional Arabic"/>
          <w:noProof w:val="0"/>
          <w:color w:val="auto"/>
          <w:rtl/>
          <w:lang w:eastAsia="en-US"/>
        </w:rPr>
        <w:t>انتقل إليها المغصوب من الغاصب</w:t>
      </w:r>
      <w:r>
        <w:rPr>
          <w:rFonts w:ascii="Traditional Arabic" w:hAnsi="Traditional Arabic" w:hint="cs"/>
          <w:noProof w:val="0"/>
          <w:color w:val="auto"/>
          <w:rtl/>
          <w:lang w:eastAsia="en-US"/>
        </w:rPr>
        <w:t xml:space="preserve"> بغصب أو بيع أو وديعة أو غيرها من العقود، دون أن تستند إلى ولاية شرعية كيد الحاكم والقاضي</w:t>
      </w:r>
      <w:r>
        <w:rPr>
          <w:rFonts w:ascii="Traditional Arabic" w:hAnsi="Traditional Arabic"/>
          <w:noProof w:val="0"/>
          <w:color w:val="auto"/>
          <w:rtl/>
          <w:lang w:eastAsia="en-US"/>
        </w:rPr>
        <w:t xml:space="preserve">، </w:t>
      </w:r>
      <w:r>
        <w:rPr>
          <w:rFonts w:ascii="Traditional Arabic" w:hAnsi="Traditional Arabic" w:hint="cs"/>
          <w:noProof w:val="0"/>
          <w:color w:val="auto"/>
          <w:rtl/>
          <w:lang w:eastAsia="en-US"/>
        </w:rPr>
        <w:t>أو إذن</w:t>
      </w:r>
      <w:r w:rsidR="0004289B">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من المالك ك</w:t>
      </w:r>
      <w:r w:rsidR="0004289B">
        <w:rPr>
          <w:rFonts w:ascii="Traditional Arabic" w:hAnsi="Traditional Arabic" w:hint="cs"/>
          <w:noProof w:val="0"/>
          <w:color w:val="auto"/>
          <w:rtl/>
          <w:lang w:eastAsia="en-US"/>
        </w:rPr>
        <w:t>َ</w:t>
      </w:r>
      <w:r>
        <w:rPr>
          <w:rFonts w:ascii="Traditional Arabic" w:hAnsi="Traditional Arabic" w:hint="cs"/>
          <w:noProof w:val="0"/>
          <w:color w:val="auto"/>
          <w:rtl/>
          <w:lang w:eastAsia="en-US"/>
        </w:rPr>
        <w:t>ي</w:t>
      </w:r>
      <w:r w:rsidR="0004289B">
        <w:rPr>
          <w:rFonts w:ascii="Traditional Arabic" w:hAnsi="Traditional Arabic" w:hint="cs"/>
          <w:noProof w:val="0"/>
          <w:color w:val="auto"/>
          <w:rtl/>
          <w:lang w:eastAsia="en-US"/>
        </w:rPr>
        <w:t>َ</w:t>
      </w:r>
      <w:r>
        <w:rPr>
          <w:rFonts w:ascii="Traditional Arabic" w:hAnsi="Traditional Arabic" w:hint="cs"/>
          <w:noProof w:val="0"/>
          <w:color w:val="auto"/>
          <w:rtl/>
          <w:lang w:eastAsia="en-US"/>
        </w:rPr>
        <w:t>د</w:t>
      </w:r>
      <w:r w:rsidR="0004289B">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وكيل المالك وكفيل الغاصب في رد المغصوب، </w:t>
      </w:r>
      <w:r w:rsidR="00BD1188" w:rsidRPr="00A4282F">
        <w:rPr>
          <w:rFonts w:ascii="Traditional Arabic" w:hAnsi="Traditional Arabic"/>
          <w:noProof w:val="0"/>
          <w:color w:val="auto"/>
          <w:rtl/>
          <w:lang w:eastAsia="en-US"/>
        </w:rPr>
        <w:t>كل</w:t>
      </w:r>
      <w:r>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ها أيدي ضمان، يعني يصح أن نضم</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نها، وأما قرار الضمان</w:t>
      </w:r>
      <w:r w:rsidR="008957F8">
        <w:rPr>
          <w:rStyle w:val="af1"/>
          <w:rFonts w:hint="cs"/>
          <w:szCs w:val="32"/>
          <w:rtl/>
        </w:rPr>
        <w:t xml:space="preserve"> </w:t>
      </w:r>
      <w:r w:rsidR="00BD1188" w:rsidRPr="00A4282F">
        <w:rPr>
          <w:rFonts w:ascii="Traditional Arabic" w:hAnsi="Traditional Arabic"/>
          <w:noProof w:val="0"/>
          <w:color w:val="auto"/>
          <w:rtl/>
          <w:lang w:eastAsia="en-US"/>
        </w:rPr>
        <w:t>فإن كانت هذه اليد عالمة</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 xml:space="preserve"> ف</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ق</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رار</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 xml:space="preserve"> الضمان عليها، وإن كانت جاهلة</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 xml:space="preserve"> فقرار الضمان على الغاصب، إلا ما دخلت على أنه مضمون</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 xml:space="preserve"> عليها بكل</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 xml:space="preserve"> حال</w:t>
      </w:r>
      <w:r w:rsidR="00BD1188">
        <w:rPr>
          <w:rFonts w:ascii="Traditional Arabic" w:hAnsi="Traditional Arabic" w:hint="cs"/>
          <w:noProof w:val="0"/>
          <w:color w:val="auto"/>
          <w:rtl/>
          <w:lang w:eastAsia="en-US"/>
        </w:rPr>
        <w:t>،</w:t>
      </w:r>
      <w:r w:rsidR="00BD1188" w:rsidRPr="00A4282F">
        <w:rPr>
          <w:rFonts w:ascii="Traditional Arabic" w:hAnsi="Traditional Arabic"/>
          <w:noProof w:val="0"/>
          <w:color w:val="auto"/>
          <w:rtl/>
          <w:lang w:eastAsia="en-US"/>
        </w:rPr>
        <w:t xml:space="preserve"> فيكون قرار الضمان عليها</w:t>
      </w:r>
      <w:r w:rsidR="00BD1188" w:rsidRPr="00C821A1">
        <w:rPr>
          <w:rStyle w:val="af1"/>
          <w:szCs w:val="32"/>
          <w:rtl/>
        </w:rPr>
        <w:t>(</w:t>
      </w:r>
      <w:r w:rsidR="00BD1188" w:rsidRPr="00C821A1">
        <w:rPr>
          <w:rStyle w:val="af1"/>
          <w:szCs w:val="32"/>
          <w:rtl/>
        </w:rPr>
        <w:footnoteReference w:id="1305"/>
      </w:r>
      <w:r w:rsidR="00BD1188" w:rsidRPr="00C821A1">
        <w:rPr>
          <w:rStyle w:val="af1"/>
          <w:szCs w:val="32"/>
          <w:rtl/>
        </w:rPr>
        <w:t>)</w:t>
      </w:r>
      <w:r w:rsidR="00BD1188" w:rsidRPr="00A4282F">
        <w:rPr>
          <w:rFonts w:ascii="Traditional Arabic" w:hAnsi="Traditional Arabic"/>
          <w:noProof w:val="0"/>
          <w:color w:val="auto"/>
          <w:rtl/>
          <w:lang w:eastAsia="en-US"/>
        </w:rPr>
        <w:t>.</w:t>
      </w:r>
      <w:bookmarkStart w:id="254" w:name="_Toc334046473"/>
    </w:p>
    <w:p w:rsidR="006D6E71" w:rsidRPr="008957F8" w:rsidRDefault="008957F8" w:rsidP="00A8347C">
      <w:pPr>
        <w:pStyle w:val="aff3"/>
        <w:rPr>
          <w:rtl/>
        </w:rPr>
      </w:pPr>
      <w:r>
        <w:rPr>
          <w:rFonts w:ascii="Times New Roman" w:hAnsi="Times New Roman" w:hint="cs"/>
          <w:rtl/>
        </w:rPr>
        <w:t xml:space="preserve">                                 </w:t>
      </w:r>
      <w:r w:rsidR="009E4FB7">
        <w:rPr>
          <w:rFonts w:ascii="Times New Roman" w:hAnsi="Times New Roman" w:hint="cs"/>
          <w:rtl/>
        </w:rPr>
        <w:t xml:space="preserve">          </w:t>
      </w:r>
      <w:r w:rsidR="009E4FB7">
        <w:rPr>
          <w:rFonts w:hint="cs"/>
          <w:rtl/>
        </w:rPr>
        <w:t>المطلب</w:t>
      </w:r>
      <w:r>
        <w:rPr>
          <w:rFonts w:hint="cs"/>
          <w:rtl/>
        </w:rPr>
        <w:t xml:space="preserve"> </w:t>
      </w:r>
      <w:r w:rsidR="00BD1188" w:rsidRPr="00BD1188">
        <w:rPr>
          <w:rFonts w:hint="cs"/>
          <w:rtl/>
        </w:rPr>
        <w:t>الثالث</w:t>
      </w:r>
      <w:r w:rsidR="00BD1188">
        <w:rPr>
          <w:rFonts w:hint="eastAsia"/>
          <w:rtl/>
        </w:rPr>
        <w:t> :</w:t>
      </w:r>
      <w:r w:rsidR="00BD1188">
        <w:rPr>
          <w:rFonts w:hint="cs"/>
          <w:rtl/>
        </w:rPr>
        <w:br/>
      </w:r>
      <w:r w:rsidR="009E4FB7">
        <w:rPr>
          <w:rFonts w:hint="cs"/>
          <w:rtl/>
        </w:rPr>
        <w:t xml:space="preserve">              </w:t>
      </w:r>
      <w:r>
        <w:rPr>
          <w:rFonts w:hint="cs"/>
          <w:rtl/>
        </w:rPr>
        <w:t xml:space="preserve">  </w:t>
      </w:r>
      <w:r w:rsidR="006B4304">
        <w:rPr>
          <w:rFonts w:hint="cs"/>
          <w:rtl/>
        </w:rPr>
        <w:t xml:space="preserve">                             </w:t>
      </w:r>
      <w:r w:rsidR="00BD1188" w:rsidRPr="00BD1188">
        <w:rPr>
          <w:rFonts w:hint="cs"/>
          <w:rtl/>
        </w:rPr>
        <w:t>أدلة القاعدة</w:t>
      </w:r>
      <w:bookmarkEnd w:id="254"/>
    </w:p>
    <w:p w:rsidR="006D6E71" w:rsidRDefault="006D6E71" w:rsidP="000A76C7">
      <w:pPr>
        <w:pStyle w:val="afc"/>
        <w:numPr>
          <w:ilvl w:val="0"/>
          <w:numId w:val="171"/>
        </w:numPr>
        <w:rPr>
          <w:rFonts w:ascii="Traditional Arabic" w:hAnsi="Traditional Arabic"/>
          <w:color w:val="auto"/>
        </w:rPr>
      </w:pPr>
      <w:r>
        <w:rPr>
          <w:rFonts w:ascii="Traditional Arabic" w:hAnsi="Traditional Arabic" w:hint="cs"/>
          <w:color w:val="auto"/>
          <w:rtl/>
        </w:rPr>
        <w:t xml:space="preserve">متى انتقلت العين المغصوبة عن يد الغاصب إلى غير المالك لها، فللمالك أن يتخيَّر بين </w:t>
      </w:r>
      <w:r>
        <w:rPr>
          <w:rFonts w:ascii="Traditional Arabic" w:hAnsi="Traditional Arabic" w:hint="cs"/>
          <w:color w:val="auto"/>
          <w:rtl/>
        </w:rPr>
        <w:lastRenderedPageBreak/>
        <w:t>مطالبة الغاصب</w:t>
      </w:r>
      <w:r w:rsidR="0058728B">
        <w:rPr>
          <w:rFonts w:ascii="Traditional Arabic" w:hAnsi="Traditional Arabic" w:hint="cs"/>
          <w:color w:val="auto"/>
          <w:rtl/>
        </w:rPr>
        <w:t>،</w:t>
      </w:r>
      <w:r>
        <w:rPr>
          <w:rFonts w:ascii="Traditional Arabic" w:hAnsi="Traditional Arabic" w:hint="cs"/>
          <w:color w:val="auto"/>
          <w:rtl/>
        </w:rPr>
        <w:t xml:space="preserve"> أو م</w:t>
      </w:r>
      <w:r w:rsidR="0058728B">
        <w:rPr>
          <w:rFonts w:ascii="Traditional Arabic" w:hAnsi="Traditional Arabic" w:hint="cs"/>
          <w:color w:val="auto"/>
          <w:rtl/>
        </w:rPr>
        <w:t>َ</w:t>
      </w:r>
      <w:r>
        <w:rPr>
          <w:rFonts w:ascii="Traditional Arabic" w:hAnsi="Traditional Arabic" w:hint="cs"/>
          <w:color w:val="auto"/>
          <w:rtl/>
        </w:rPr>
        <w:t>ن صارت إليه العين</w:t>
      </w:r>
      <w:r w:rsidR="0058728B">
        <w:rPr>
          <w:rFonts w:ascii="Traditional Arabic" w:hAnsi="Traditional Arabic" w:hint="cs"/>
          <w:color w:val="auto"/>
          <w:rtl/>
        </w:rPr>
        <w:t>ُ</w:t>
      </w:r>
      <w:r>
        <w:rPr>
          <w:rFonts w:ascii="Traditional Arabic" w:hAnsi="Traditional Arabic" w:hint="cs"/>
          <w:color w:val="auto"/>
          <w:rtl/>
        </w:rPr>
        <w:t xml:space="preserve"> المغصوبة؛ لأن هذا الأخير إن كان عالما بالغصب صار غاصباً فيضمن، وإن كان جاهلاً بالغصب فإنه يضمن لعموم قوله صلى الله عليه وسلم: "على اليد ما أخذت حتى تؤديه"</w:t>
      </w:r>
      <w:r w:rsidRPr="006D6E71">
        <w:rPr>
          <w:rStyle w:val="af1"/>
          <w:rtl/>
        </w:rPr>
        <w:t>(</w:t>
      </w:r>
      <w:r>
        <w:rPr>
          <w:rStyle w:val="af1"/>
          <w:rtl/>
        </w:rPr>
        <w:footnoteReference w:id="1306"/>
      </w:r>
      <w:r w:rsidRPr="006D6E71">
        <w:rPr>
          <w:rStyle w:val="af1"/>
          <w:rtl/>
        </w:rPr>
        <w:t>)</w:t>
      </w:r>
      <w:r w:rsidR="0058728B">
        <w:rPr>
          <w:rFonts w:ascii="Traditional Arabic" w:hAnsi="Traditional Arabic" w:hint="cs"/>
          <w:color w:val="auto"/>
          <w:rtl/>
        </w:rPr>
        <w:t>؛</w:t>
      </w:r>
      <w:r>
        <w:rPr>
          <w:rFonts w:ascii="Traditional Arabic" w:hAnsi="Traditional Arabic" w:hint="cs"/>
          <w:color w:val="auto"/>
          <w:rtl/>
        </w:rPr>
        <w:t xml:space="preserve"> ولأن العين المغصوبة صارت في يده بغير حق، فم</w:t>
      </w:r>
      <w:r w:rsidR="008957F8">
        <w:rPr>
          <w:rFonts w:ascii="Traditional Arabic" w:hAnsi="Traditional Arabic" w:hint="cs"/>
          <w:color w:val="auto"/>
          <w:rtl/>
        </w:rPr>
        <w:t>َ</w:t>
      </w:r>
      <w:r>
        <w:rPr>
          <w:rFonts w:ascii="Traditional Arabic" w:hAnsi="Traditional Arabic" w:hint="cs"/>
          <w:color w:val="auto"/>
          <w:rtl/>
        </w:rPr>
        <w:t>ل</w:t>
      </w:r>
      <w:r w:rsidR="008957F8">
        <w:rPr>
          <w:rFonts w:ascii="Traditional Arabic" w:hAnsi="Traditional Arabic" w:hint="cs"/>
          <w:color w:val="auto"/>
          <w:rtl/>
        </w:rPr>
        <w:t>َ</w:t>
      </w:r>
      <w:r>
        <w:rPr>
          <w:rFonts w:ascii="Traditional Arabic" w:hAnsi="Traditional Arabic" w:hint="cs"/>
          <w:color w:val="auto"/>
          <w:rtl/>
        </w:rPr>
        <w:t>ك المالك تضمين</w:t>
      </w:r>
      <w:r w:rsidR="0058728B">
        <w:rPr>
          <w:rFonts w:ascii="Traditional Arabic" w:hAnsi="Traditional Arabic" w:hint="cs"/>
          <w:color w:val="auto"/>
          <w:rtl/>
        </w:rPr>
        <w:t>َ</w:t>
      </w:r>
      <w:r>
        <w:rPr>
          <w:rFonts w:ascii="Traditional Arabic" w:hAnsi="Traditional Arabic" w:hint="cs"/>
          <w:color w:val="auto"/>
          <w:rtl/>
        </w:rPr>
        <w:t>ه كما يملك تضمين الغاصب</w:t>
      </w:r>
      <w:r w:rsidRPr="006D6E71">
        <w:rPr>
          <w:rStyle w:val="af1"/>
          <w:rtl/>
        </w:rPr>
        <w:t>(</w:t>
      </w:r>
      <w:r>
        <w:rPr>
          <w:rStyle w:val="af1"/>
          <w:rtl/>
        </w:rPr>
        <w:footnoteReference w:id="1307"/>
      </w:r>
      <w:r w:rsidRPr="006D6E71">
        <w:rPr>
          <w:rStyle w:val="af1"/>
          <w:rtl/>
        </w:rPr>
        <w:t>)</w:t>
      </w:r>
      <w:r>
        <w:rPr>
          <w:rFonts w:ascii="Traditional Arabic" w:hAnsi="Traditional Arabic" w:hint="cs"/>
          <w:color w:val="auto"/>
          <w:rtl/>
        </w:rPr>
        <w:t>.</w:t>
      </w:r>
    </w:p>
    <w:p w:rsidR="00FA76B9" w:rsidRPr="00FA76B9" w:rsidRDefault="0058728B" w:rsidP="00FA76B9">
      <w:pPr>
        <w:ind w:left="360" w:firstLine="0"/>
        <w:rPr>
          <w:rFonts w:ascii="Traditional Arabic" w:hAnsi="Traditional Arabic"/>
          <w:color w:val="auto"/>
        </w:rPr>
      </w:pPr>
      <w:r>
        <w:rPr>
          <w:rFonts w:ascii="Traditional Arabic" w:hAnsi="Traditional Arabic" w:hint="cs"/>
          <w:color w:val="auto"/>
          <w:rtl/>
        </w:rPr>
        <w:t>أما أدلة تضمين المباشر للغ</w:t>
      </w:r>
      <w:r w:rsidR="00FA76B9">
        <w:rPr>
          <w:rFonts w:ascii="Traditional Arabic" w:hAnsi="Traditional Arabic" w:hint="cs"/>
          <w:color w:val="auto"/>
          <w:rtl/>
        </w:rPr>
        <w:t>صب</w:t>
      </w:r>
      <w:r w:rsidR="008957F8">
        <w:rPr>
          <w:rFonts w:ascii="Traditional Arabic" w:hAnsi="Traditional Arabic" w:hint="cs"/>
          <w:color w:val="auto"/>
          <w:rtl/>
        </w:rPr>
        <w:t>،</w:t>
      </w:r>
      <w:r w:rsidR="00FA76B9">
        <w:rPr>
          <w:rFonts w:ascii="Traditional Arabic" w:hAnsi="Traditional Arabic" w:hint="cs"/>
          <w:color w:val="auto"/>
          <w:rtl/>
        </w:rPr>
        <w:t xml:space="preserve"> فمنها: </w:t>
      </w:r>
    </w:p>
    <w:p w:rsidR="00BD1188" w:rsidRDefault="00BD1188" w:rsidP="000A76C7">
      <w:pPr>
        <w:pStyle w:val="afc"/>
        <w:numPr>
          <w:ilvl w:val="0"/>
          <w:numId w:val="171"/>
        </w:numPr>
        <w:rPr>
          <w:rFonts w:ascii="Traditional Arabic" w:hAnsi="Traditional Arabic"/>
          <w:color w:val="auto"/>
        </w:rPr>
      </w:pPr>
      <w:r>
        <w:rPr>
          <w:rFonts w:hint="cs"/>
          <w:color w:val="auto"/>
          <w:rtl/>
        </w:rPr>
        <w:t xml:space="preserve">قول الله تعالى: </w:t>
      </w:r>
      <w:bookmarkStart w:id="255" w:name="سورة_الشورى_42"/>
      <w:r w:rsidRPr="00DD2B5A">
        <w:rPr>
          <w:rFonts w:ascii="QCF_BSML" w:hAnsi="QCF_BSML" w:cs="QCF_BSML"/>
          <w:noProof w:val="0"/>
          <w:rtl/>
          <w:lang w:eastAsia="en-US"/>
        </w:rPr>
        <w:t xml:space="preserve">ﭽ </w:t>
      </w:r>
      <w:r w:rsidRPr="00DD2B5A">
        <w:rPr>
          <w:rFonts w:ascii="QCF_P487" w:hAnsi="QCF_P487" w:cs="QCF_P487"/>
          <w:noProof w:val="0"/>
          <w:rtl/>
          <w:lang w:eastAsia="en-US"/>
        </w:rPr>
        <w:t>ﯨ</w:t>
      </w:r>
      <w:r w:rsidR="008957F8">
        <w:rPr>
          <w:rFonts w:ascii="QCF_P487" w:hAnsi="QCF_P487" w:cs="QCF_P487" w:hint="cs"/>
          <w:noProof w:val="0"/>
          <w:rtl/>
          <w:lang w:eastAsia="en-US"/>
        </w:rPr>
        <w:t xml:space="preserve"> </w:t>
      </w:r>
      <w:r w:rsidRPr="00DD2B5A">
        <w:rPr>
          <w:rFonts w:ascii="QCF_P487" w:hAnsi="QCF_P487" w:cs="QCF_P487"/>
          <w:noProof w:val="0"/>
          <w:rtl/>
          <w:lang w:eastAsia="en-US"/>
        </w:rPr>
        <w:t>ﯩ</w:t>
      </w:r>
      <w:r w:rsidR="008957F8">
        <w:rPr>
          <w:rFonts w:ascii="QCF_P487" w:hAnsi="QCF_P487" w:cs="QCF_P487" w:hint="cs"/>
          <w:noProof w:val="0"/>
          <w:rtl/>
          <w:lang w:eastAsia="en-US"/>
        </w:rPr>
        <w:t xml:space="preserve"> </w:t>
      </w:r>
      <w:r w:rsidRPr="00DD2B5A">
        <w:rPr>
          <w:rFonts w:ascii="QCF_P487" w:hAnsi="QCF_P487" w:cs="QCF_P487"/>
          <w:noProof w:val="0"/>
          <w:rtl/>
          <w:lang w:eastAsia="en-US"/>
        </w:rPr>
        <w:t>ﯪ</w:t>
      </w:r>
      <w:r w:rsidR="008957F8">
        <w:rPr>
          <w:rFonts w:ascii="QCF_P487" w:hAnsi="QCF_P487" w:cs="QCF_P487" w:hint="cs"/>
          <w:noProof w:val="0"/>
          <w:rtl/>
          <w:lang w:eastAsia="en-US"/>
        </w:rPr>
        <w:t xml:space="preserve"> </w:t>
      </w:r>
      <w:r w:rsidRPr="00DD2B5A">
        <w:rPr>
          <w:rFonts w:ascii="QCF_P487" w:hAnsi="QCF_P487" w:cs="QCF_P487"/>
          <w:noProof w:val="0"/>
          <w:rtl/>
          <w:lang w:eastAsia="en-US"/>
        </w:rPr>
        <w:t>ﯫ</w:t>
      </w:r>
      <w:r w:rsidR="008957F8">
        <w:rPr>
          <w:rFonts w:ascii="QCF_P487" w:hAnsi="QCF_P487" w:cs="QCF_P487" w:hint="cs"/>
          <w:noProof w:val="0"/>
          <w:rtl/>
          <w:lang w:eastAsia="en-US"/>
        </w:rPr>
        <w:t xml:space="preserve"> </w:t>
      </w:r>
      <w:r w:rsidRPr="00DD2B5A">
        <w:rPr>
          <w:rFonts w:ascii="QCF_P487" w:hAnsi="QCF_P487" w:cs="QCF_P487"/>
          <w:noProof w:val="0"/>
          <w:rtl/>
          <w:lang w:eastAsia="en-US"/>
        </w:rPr>
        <w:t>ﯬ</w:t>
      </w:r>
      <w:r w:rsidR="008957F8">
        <w:rPr>
          <w:rFonts w:ascii="QCF_P487" w:hAnsi="QCF_P487" w:cs="QCF_P487" w:hint="cs"/>
          <w:noProof w:val="0"/>
          <w:rtl/>
          <w:lang w:eastAsia="en-US"/>
        </w:rPr>
        <w:t xml:space="preserve"> </w:t>
      </w:r>
      <w:r w:rsidRPr="00DD2B5A">
        <w:rPr>
          <w:rFonts w:ascii="QCF_P487" w:hAnsi="QCF_P487" w:cs="QCF_P487"/>
          <w:noProof w:val="0"/>
          <w:rtl/>
          <w:lang w:eastAsia="en-US"/>
        </w:rPr>
        <w:t>ﯭ</w:t>
      </w:r>
      <w:r w:rsidRPr="00DD2B5A">
        <w:rPr>
          <w:rFonts w:ascii="QCF_BSML" w:hAnsi="QCF_BSML" w:cs="QCF_BSML"/>
          <w:noProof w:val="0"/>
          <w:rtl/>
          <w:lang w:eastAsia="en-US"/>
        </w:rPr>
        <w:t>ﭼ</w:t>
      </w:r>
      <w:bookmarkEnd w:id="255"/>
      <w:r>
        <w:rPr>
          <w:rFonts w:ascii="Traditional Arabic" w:hAnsi="Traditional Arabic" w:hint="cs"/>
          <w:noProof w:val="0"/>
          <w:color w:val="auto"/>
          <w:rtl/>
          <w:lang w:eastAsia="en-US"/>
        </w:rPr>
        <w:t>[</w:t>
      </w:r>
      <w:r w:rsidRPr="00DD2B5A">
        <w:rPr>
          <w:rFonts w:ascii="Traditional Arabic" w:hAnsi="Traditional Arabic"/>
          <w:noProof w:val="0"/>
          <w:color w:val="auto"/>
          <w:rtl/>
          <w:lang w:eastAsia="en-US"/>
        </w:rPr>
        <w:t>الشورى: ٤٢</w:t>
      </w:r>
      <w:r>
        <w:rPr>
          <w:rFonts w:ascii="Traditional Arabic" w:hAnsi="Traditional Arabic" w:hint="cs"/>
          <w:color w:val="auto"/>
          <w:rtl/>
        </w:rPr>
        <w:t>].</w:t>
      </w:r>
    </w:p>
    <w:p w:rsidR="00BD1188" w:rsidRDefault="00BD1188" w:rsidP="00597C20">
      <w:pPr>
        <w:pStyle w:val="53"/>
        <w:rPr>
          <w:rtl/>
        </w:rPr>
      </w:pPr>
      <w:r>
        <w:rPr>
          <w:rFonts w:hint="cs"/>
          <w:rtl/>
        </w:rPr>
        <w:t>وجه الدلالة:</w:t>
      </w:r>
    </w:p>
    <w:p w:rsidR="00BD1188" w:rsidRPr="002948BC" w:rsidRDefault="00BD1188" w:rsidP="00597C20">
      <w:pPr>
        <w:ind w:firstLine="720"/>
        <w:rPr>
          <w:rFonts w:ascii="Traditional Arabic" w:hAnsi="Traditional Arabic"/>
          <w:noProof w:val="0"/>
          <w:rtl/>
          <w:lang w:eastAsia="en-US"/>
        </w:rPr>
      </w:pPr>
      <w:r w:rsidRPr="002948BC">
        <w:rPr>
          <w:rFonts w:ascii="Traditional Arabic" w:hAnsi="Traditional Arabic"/>
          <w:noProof w:val="0"/>
          <w:rtl/>
          <w:lang w:eastAsia="en-US"/>
        </w:rPr>
        <w:t xml:space="preserve">إنما تتوجه الحجة بالعقوبة الشرعية </w:t>
      </w:r>
      <w:r w:rsidRPr="002948BC">
        <w:rPr>
          <w:rFonts w:ascii="QCF_BSML" w:hAnsi="QCF_BSML" w:cs="QCF_BSML"/>
          <w:noProof w:val="0"/>
          <w:color w:val="auto"/>
          <w:rtl/>
          <w:lang w:eastAsia="en-US"/>
        </w:rPr>
        <w:t>ﭽ</w:t>
      </w:r>
      <w:r w:rsidRPr="002948BC">
        <w:rPr>
          <w:rFonts w:ascii="QCF_P487" w:hAnsi="QCF_P487" w:cs="QCF_P487"/>
          <w:noProof w:val="0"/>
          <w:color w:val="auto"/>
          <w:rtl/>
          <w:lang w:eastAsia="en-US"/>
        </w:rPr>
        <w:t>ﯨ</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ﯩ</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ﯪ</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ﯫ</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ﯬ</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ﯭ</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ﯮ</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ﯯ</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ﯰ</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ﯱ</w:t>
      </w:r>
      <w:r w:rsidR="008957F8">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ﯲ</w:t>
      </w:r>
      <w:r w:rsidRPr="002948BC">
        <w:rPr>
          <w:rFonts w:ascii="QCF_BSML" w:hAnsi="QCF_BSML" w:cs="QCF_BSML"/>
          <w:noProof w:val="0"/>
          <w:color w:val="auto"/>
          <w:rtl/>
          <w:lang w:eastAsia="en-US"/>
        </w:rPr>
        <w:t>ﭼ</w:t>
      </w:r>
      <w:r w:rsidR="003E65D8" w:rsidRPr="002948BC">
        <w:rPr>
          <w:rFonts w:ascii="Traditional Arabic" w:hAnsi="Traditional Arabic" w:hint="cs"/>
          <w:noProof w:val="0"/>
          <w:rtl/>
          <w:lang w:eastAsia="en-US"/>
        </w:rPr>
        <w:t>، و</w:t>
      </w:r>
      <w:r w:rsidRPr="002948BC">
        <w:rPr>
          <w:rFonts w:ascii="Traditional Arabic" w:hAnsi="Traditional Arabic"/>
          <w:noProof w:val="0"/>
          <w:rtl/>
          <w:lang w:eastAsia="en-US"/>
        </w:rPr>
        <w:t>هذا شامل للظلم والبغي على الناس، في دمائهم وأموالهم وأعراضهم</w:t>
      </w:r>
      <w:r w:rsidRPr="00C821A1">
        <w:rPr>
          <w:rStyle w:val="af1"/>
          <w:szCs w:val="32"/>
          <w:rtl/>
        </w:rPr>
        <w:t>(</w:t>
      </w:r>
      <w:r w:rsidRPr="00C821A1">
        <w:rPr>
          <w:rStyle w:val="af1"/>
          <w:szCs w:val="32"/>
          <w:rtl/>
        </w:rPr>
        <w:footnoteReference w:id="1308"/>
      </w:r>
      <w:r w:rsidRPr="00C821A1">
        <w:rPr>
          <w:rStyle w:val="af1"/>
          <w:szCs w:val="32"/>
          <w:rtl/>
        </w:rPr>
        <w:t>)</w:t>
      </w:r>
      <w:r w:rsidRPr="002948BC">
        <w:rPr>
          <w:rFonts w:ascii="Traditional Arabic" w:hAnsi="Traditional Arabic" w:hint="cs"/>
          <w:noProof w:val="0"/>
          <w:rtl/>
          <w:lang w:eastAsia="en-US"/>
        </w:rPr>
        <w:t>.</w:t>
      </w:r>
    </w:p>
    <w:p w:rsidR="00F228A9" w:rsidRPr="002948BC" w:rsidRDefault="00BD1188" w:rsidP="00597C20">
      <w:pPr>
        <w:ind w:firstLine="720"/>
        <w:rPr>
          <w:rFonts w:ascii="Traditional Arabic" w:hAnsi="Traditional Arabic"/>
          <w:color w:val="auto"/>
        </w:rPr>
      </w:pPr>
      <w:r w:rsidRPr="002948BC">
        <w:rPr>
          <w:rFonts w:ascii="Traditional Arabic" w:hAnsi="Traditional Arabic" w:hint="cs"/>
          <w:noProof w:val="0"/>
          <w:rtl/>
          <w:lang w:eastAsia="en-US"/>
        </w:rPr>
        <w:t>فإذا</w:t>
      </w:r>
      <w:r w:rsidRPr="002948BC">
        <w:rPr>
          <w:rFonts w:ascii="Traditional Arabic" w:hAnsi="Traditional Arabic" w:hint="cs"/>
          <w:color w:val="auto"/>
          <w:rtl/>
        </w:rPr>
        <w:t xml:space="preserve"> غصب الغاصب من شخص شيئاً ثم تل</w:t>
      </w:r>
      <w:r w:rsidR="008957F8">
        <w:rPr>
          <w:rFonts w:ascii="Traditional Arabic" w:hAnsi="Traditional Arabic" w:hint="cs"/>
          <w:color w:val="auto"/>
          <w:rtl/>
        </w:rPr>
        <w:t>ِ</w:t>
      </w:r>
      <w:r w:rsidRPr="002948BC">
        <w:rPr>
          <w:rFonts w:ascii="Traditional Arabic" w:hAnsi="Traditional Arabic" w:hint="cs"/>
          <w:color w:val="auto"/>
          <w:rtl/>
        </w:rPr>
        <w:t>ف هذا الشيء، أو حصل فيه نقصٌ فإن الغاصب يضمنه لأنه ظالم</w:t>
      </w:r>
      <w:r w:rsidRPr="00C821A1">
        <w:rPr>
          <w:rStyle w:val="af1"/>
          <w:szCs w:val="32"/>
          <w:rtl/>
        </w:rPr>
        <w:t>(</w:t>
      </w:r>
      <w:r w:rsidRPr="00C821A1">
        <w:rPr>
          <w:rStyle w:val="af1"/>
          <w:szCs w:val="32"/>
          <w:rtl/>
        </w:rPr>
        <w:footnoteReference w:id="1309"/>
      </w:r>
      <w:r w:rsidRPr="00C821A1">
        <w:rPr>
          <w:rStyle w:val="af1"/>
          <w:szCs w:val="32"/>
          <w:rtl/>
        </w:rPr>
        <w:t>)</w:t>
      </w:r>
      <w:r w:rsidRPr="002948BC">
        <w:rPr>
          <w:rFonts w:ascii="Traditional Arabic" w:hAnsi="Traditional Arabic" w:hint="cs"/>
          <w:color w:val="auto"/>
          <w:rtl/>
        </w:rPr>
        <w:t>.</w:t>
      </w:r>
    </w:p>
    <w:p w:rsidR="00BD1188" w:rsidRPr="00674836" w:rsidRDefault="00BD1188" w:rsidP="0058728B">
      <w:pPr>
        <w:pStyle w:val="afc"/>
        <w:widowControl/>
        <w:numPr>
          <w:ilvl w:val="0"/>
          <w:numId w:val="171"/>
        </w:numPr>
        <w:autoSpaceDE w:val="0"/>
        <w:autoSpaceDN w:val="0"/>
        <w:adjustRightInd w:val="0"/>
        <w:rPr>
          <w:rFonts w:ascii="Traditional Arabic" w:hAnsi="Traditional Arabic"/>
          <w:noProof w:val="0"/>
          <w:color w:val="auto"/>
          <w:rtl/>
          <w:lang w:eastAsia="en-US"/>
        </w:rPr>
      </w:pPr>
      <w:r w:rsidRPr="00674836">
        <w:rPr>
          <w:rFonts w:ascii="Traditional Arabic" w:hAnsi="Traditional Arabic" w:hint="cs"/>
          <w:color w:val="auto"/>
          <w:rtl/>
        </w:rPr>
        <w:t xml:space="preserve">حديث </w:t>
      </w:r>
      <w:r w:rsidRPr="00674836">
        <w:rPr>
          <w:rFonts w:ascii="Traditional Arabic" w:hAnsi="Traditional Arabic"/>
          <w:noProof w:val="0"/>
          <w:color w:val="auto"/>
          <w:rtl/>
          <w:lang w:eastAsia="en-US"/>
        </w:rPr>
        <w:t xml:space="preserve">سعيد بن زيد </w:t>
      </w:r>
      <w:r w:rsidR="009A0575">
        <w:rPr>
          <w:rFonts w:ascii="Traditional Arabic" w:hAnsi="Traditional Arabic" w:cs="CTraditional Arabic" w:hint="cs"/>
          <w:rtl/>
        </w:rPr>
        <w:t>ا</w:t>
      </w:r>
      <w:r w:rsidR="008957F8">
        <w:rPr>
          <w:rStyle w:val="af1"/>
          <w:rFonts w:hint="cs"/>
          <w:szCs w:val="32"/>
          <w:rtl/>
        </w:rPr>
        <w:t xml:space="preserve"> </w:t>
      </w:r>
      <w:r>
        <w:rPr>
          <w:rFonts w:ascii="Traditional Arabic" w:hAnsi="Traditional Arabic"/>
          <w:noProof w:val="0"/>
          <w:color w:val="auto"/>
          <w:rtl/>
          <w:lang w:eastAsia="en-US"/>
        </w:rPr>
        <w:t>عن النب</w:t>
      </w:r>
      <w:r w:rsidR="009E4FB7">
        <w:rPr>
          <w:rFonts w:ascii="Traditional Arabic" w:hAnsi="Traditional Arabic" w:hint="cs"/>
          <w:noProof w:val="0"/>
          <w:color w:val="auto"/>
          <w:rtl/>
          <w:lang w:eastAsia="en-US"/>
        </w:rPr>
        <w:t xml:space="preserve">ي </w:t>
      </w:r>
      <w:r w:rsidR="009E4FB7">
        <w:rPr>
          <w:rFonts w:ascii="Traditional Arabic" w:hAnsi="Traditional Arabic" w:hint="cs"/>
          <w:rtl/>
        </w:rPr>
        <w:t>صلى الله عليه وسلم</w:t>
      </w:r>
      <w:r w:rsidRPr="00674836">
        <w:rPr>
          <w:rFonts w:ascii="Traditional Arabic" w:hAnsi="Traditional Arabic"/>
          <w:noProof w:val="0"/>
          <w:color w:val="auto"/>
          <w:rtl/>
          <w:lang w:eastAsia="en-US"/>
        </w:rPr>
        <w:t xml:space="preserve"> قال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من أحيا أرضا</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م</w:t>
      </w:r>
      <w:r>
        <w:rPr>
          <w:rFonts w:ascii="Traditional Arabic" w:hAnsi="Traditional Arabic" w:hint="cs"/>
          <w:noProof w:val="0"/>
          <w:color w:val="auto"/>
          <w:rtl/>
          <w:lang w:eastAsia="en-US"/>
        </w:rPr>
        <w:t>َ</w:t>
      </w:r>
      <w:r>
        <w:rPr>
          <w:rFonts w:ascii="Traditional Arabic" w:hAnsi="Traditional Arabic"/>
          <w:noProof w:val="0"/>
          <w:color w:val="auto"/>
          <w:rtl/>
          <w:lang w:eastAsia="en-US"/>
        </w:rPr>
        <w:t>ي</w:t>
      </w:r>
      <w:r>
        <w:rPr>
          <w:rFonts w:ascii="Traditional Arabic" w:hAnsi="Traditional Arabic" w:hint="cs"/>
          <w:noProof w:val="0"/>
          <w:color w:val="auto"/>
          <w:rtl/>
          <w:lang w:eastAsia="en-US"/>
        </w:rPr>
        <w:t>ِّ</w:t>
      </w:r>
      <w:r>
        <w:rPr>
          <w:rFonts w:ascii="Traditional Arabic" w:hAnsi="Traditional Arabic"/>
          <w:noProof w:val="0"/>
          <w:color w:val="auto"/>
          <w:rtl/>
          <w:lang w:eastAsia="en-US"/>
        </w:rPr>
        <w:t>تة</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فه</w:t>
      </w:r>
      <w:r>
        <w:rPr>
          <w:rFonts w:ascii="Traditional Arabic" w:hAnsi="Traditional Arabic" w:hint="cs"/>
          <w:noProof w:val="0"/>
          <w:color w:val="auto"/>
          <w:rtl/>
          <w:lang w:eastAsia="en-US"/>
        </w:rPr>
        <w:t>ي</w:t>
      </w:r>
      <w:r w:rsidRPr="00674836">
        <w:rPr>
          <w:rFonts w:ascii="Traditional Arabic" w:hAnsi="Traditional Arabic"/>
          <w:noProof w:val="0"/>
          <w:color w:val="auto"/>
          <w:rtl/>
          <w:lang w:eastAsia="en-US"/>
        </w:rPr>
        <w:t xml:space="preserve"> له</w:t>
      </w:r>
      <w:r>
        <w:rPr>
          <w:rFonts w:ascii="Traditional Arabic" w:hAnsi="Traditional Arabic" w:hint="cs"/>
          <w:noProof w:val="0"/>
          <w:color w:val="auto"/>
          <w:rtl/>
          <w:lang w:eastAsia="en-US"/>
        </w:rPr>
        <w:t>،</w:t>
      </w:r>
      <w:r w:rsidRPr="00674836">
        <w:rPr>
          <w:rFonts w:ascii="Traditional Arabic" w:hAnsi="Traditional Arabic"/>
          <w:noProof w:val="0"/>
          <w:color w:val="auto"/>
          <w:rtl/>
          <w:lang w:eastAsia="en-US"/>
        </w:rPr>
        <w:t xml:space="preserve"> وليس ل</w:t>
      </w:r>
      <w:r>
        <w:rPr>
          <w:rFonts w:ascii="Traditional Arabic" w:hAnsi="Traditional Arabic" w:hint="cs"/>
          <w:noProof w:val="0"/>
          <w:color w:val="auto"/>
          <w:rtl/>
          <w:lang w:eastAsia="en-US"/>
        </w:rPr>
        <w:t>ِ</w:t>
      </w:r>
      <w:r w:rsidRPr="00674836">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sidRPr="00674836">
        <w:rPr>
          <w:rFonts w:ascii="Traditional Arabic" w:hAnsi="Traditional Arabic"/>
          <w:noProof w:val="0"/>
          <w:color w:val="auto"/>
          <w:rtl/>
          <w:lang w:eastAsia="en-US"/>
        </w:rPr>
        <w:t>ر</w:t>
      </w:r>
      <w:r>
        <w:rPr>
          <w:rFonts w:ascii="Traditional Arabic" w:hAnsi="Traditional Arabic" w:hint="cs"/>
          <w:noProof w:val="0"/>
          <w:color w:val="auto"/>
          <w:rtl/>
          <w:lang w:eastAsia="en-US"/>
        </w:rPr>
        <w:t>ْ</w:t>
      </w:r>
      <w:r w:rsidRPr="00674836">
        <w:rPr>
          <w:rFonts w:ascii="Traditional Arabic" w:hAnsi="Traditional Arabic"/>
          <w:noProof w:val="0"/>
          <w:color w:val="auto"/>
          <w:rtl/>
          <w:lang w:eastAsia="en-US"/>
        </w:rPr>
        <w:t>ق</w:t>
      </w:r>
      <w:r>
        <w:rPr>
          <w:rFonts w:ascii="Traditional Arabic" w:hAnsi="Traditional Arabic" w:hint="cs"/>
          <w:noProof w:val="0"/>
          <w:color w:val="auto"/>
          <w:rtl/>
          <w:lang w:eastAsia="en-US"/>
        </w:rPr>
        <w:t>ٍ</w:t>
      </w:r>
      <w:r w:rsidRPr="00674836">
        <w:rPr>
          <w:rFonts w:ascii="Traditional Arabic" w:hAnsi="Traditional Arabic"/>
          <w:noProof w:val="0"/>
          <w:color w:val="auto"/>
          <w:rtl/>
          <w:lang w:eastAsia="en-US"/>
        </w:rPr>
        <w:t xml:space="preserve"> ظالم</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حق</w:t>
      </w:r>
      <w:r>
        <w:rPr>
          <w:rFonts w:ascii="Traditional Arabic" w:hAnsi="Traditional Arabic" w:hint="cs"/>
          <w:noProof w:val="0"/>
          <w:color w:val="auto"/>
          <w:rtl/>
          <w:lang w:eastAsia="en-US"/>
        </w:rPr>
        <w:t>ٌّ</w:t>
      </w:r>
      <w:r w:rsidR="00AB0B9E">
        <w:rPr>
          <w:rFonts w:ascii="Traditional Arabic" w:hAnsi="Traditional Arabic"/>
          <w:noProof w:val="0"/>
          <w:color w:val="auto"/>
          <w:rtl/>
          <w:lang w:eastAsia="en-US"/>
        </w:rPr>
        <w:fldChar w:fldCharType="begin"/>
      </w:r>
      <w:r w:rsidR="002739B8" w:rsidRPr="00C85F0F">
        <w:instrText>XE</w:instrText>
      </w:r>
      <w:r w:rsidR="002739B8" w:rsidRPr="00C85F0F">
        <w:rPr>
          <w:rtl/>
        </w:rPr>
        <w:instrText xml:space="preserve"> "</w:instrText>
      </w:r>
      <w:r w:rsidR="002739B8" w:rsidRPr="00C85F0F">
        <w:rPr>
          <w:rFonts w:ascii="Traditional Arabic" w:hAnsi="Traditional Arabic"/>
          <w:noProof w:val="0"/>
          <w:color w:val="auto"/>
          <w:rtl/>
          <w:lang w:eastAsia="en-US"/>
        </w:rPr>
        <w:instrText>من أحيا أرضا</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 xml:space="preserve"> م</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ي</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تة</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 xml:space="preserve"> فه</w:instrText>
      </w:r>
      <w:r w:rsidR="002739B8" w:rsidRPr="00C85F0F">
        <w:rPr>
          <w:rFonts w:ascii="Traditional Arabic" w:hAnsi="Traditional Arabic" w:hint="cs"/>
          <w:noProof w:val="0"/>
          <w:color w:val="auto"/>
          <w:rtl/>
          <w:lang w:eastAsia="en-US"/>
        </w:rPr>
        <w:instrText>ي</w:instrText>
      </w:r>
      <w:r w:rsidR="002739B8" w:rsidRPr="00C85F0F">
        <w:rPr>
          <w:rFonts w:ascii="Traditional Arabic" w:hAnsi="Traditional Arabic"/>
          <w:noProof w:val="0"/>
          <w:color w:val="auto"/>
          <w:rtl/>
          <w:lang w:eastAsia="en-US"/>
        </w:rPr>
        <w:instrText xml:space="preserve"> له</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 xml:space="preserve"> وليس ل</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ع</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ر</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ق</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 xml:space="preserve"> ظالم</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 xml:space="preserve"> حق</w:instrText>
      </w:r>
      <w:r w:rsidR="002739B8" w:rsidRPr="00C85F0F">
        <w:rPr>
          <w:rFonts w:ascii="Traditional Arabic" w:hAnsi="Traditional Arabic" w:hint="cs"/>
          <w:noProof w:val="0"/>
          <w:color w:val="auto"/>
          <w:rtl/>
          <w:lang w:eastAsia="en-US"/>
        </w:rPr>
        <w:instrText>ٌّ</w:instrText>
      </w:r>
      <w:r w:rsidR="002739B8" w:rsidRPr="00C85F0F">
        <w:rPr>
          <w:rtl/>
        </w:rPr>
        <w:instrText>" \</w:instrText>
      </w:r>
      <w:r w:rsidR="002739B8" w:rsidRPr="00C85F0F">
        <w:instrText>f</w:instrText>
      </w:r>
      <w:r w:rsidR="002739B8">
        <w:instrText>h</w:instrText>
      </w:r>
      <w:r w:rsidR="00AB0B9E">
        <w:rPr>
          <w:rFonts w:ascii="Traditional Arabic" w:hAnsi="Traditional Arabic"/>
          <w:noProof w:val="0"/>
          <w:color w:val="auto"/>
          <w:rtl/>
          <w:lang w:eastAsia="en-US"/>
        </w:rPr>
        <w:fldChar w:fldCharType="end"/>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310"/>
      </w:r>
      <w:r w:rsidRPr="00C821A1">
        <w:rPr>
          <w:rStyle w:val="af1"/>
          <w:szCs w:val="32"/>
          <w:rtl/>
        </w:rPr>
        <w:t>)</w:t>
      </w:r>
      <w:r w:rsidRPr="00674836">
        <w:rPr>
          <w:rFonts w:ascii="Traditional Arabic" w:hAnsi="Traditional Arabic"/>
          <w:noProof w:val="0"/>
          <w:color w:val="auto"/>
          <w:rtl/>
          <w:lang w:eastAsia="en-US"/>
        </w:rPr>
        <w:t>.</w:t>
      </w:r>
    </w:p>
    <w:p w:rsidR="00BD1188" w:rsidRDefault="00BD1188" w:rsidP="00597C20">
      <w:pPr>
        <w:pStyle w:val="53"/>
        <w:rPr>
          <w:rtl/>
        </w:rPr>
      </w:pPr>
      <w:r>
        <w:rPr>
          <w:rFonts w:hint="cs"/>
          <w:rtl/>
        </w:rPr>
        <w:lastRenderedPageBreak/>
        <w:t>وجه الدلالة:</w:t>
      </w:r>
    </w:p>
    <w:p w:rsidR="00F228A9" w:rsidRPr="009B753E" w:rsidRDefault="00BD1188" w:rsidP="00597C20">
      <w:pPr>
        <w:ind w:firstLine="720"/>
        <w:rPr>
          <w:rFonts w:ascii="Traditional Arabic" w:hAnsi="Traditional Arabic"/>
          <w:color w:val="auto"/>
        </w:rPr>
      </w:pPr>
      <w:r w:rsidRPr="002948BC">
        <w:rPr>
          <w:rFonts w:ascii="Traditional Arabic" w:hAnsi="Traditional Arabic" w:hint="cs"/>
          <w:color w:val="auto"/>
          <w:rtl/>
        </w:rPr>
        <w:t xml:space="preserve">وجه الشاهد من الحديث قوله </w:t>
      </w:r>
      <w:r w:rsidR="009E4FB7">
        <w:rPr>
          <w:rFonts w:ascii="Traditional Arabic" w:hAnsi="Traditional Arabic" w:hint="cs"/>
          <w:rtl/>
        </w:rPr>
        <w:t>صلى الله عليه وسلم</w:t>
      </w:r>
      <w:r w:rsidRPr="002948BC">
        <w:rPr>
          <w:rFonts w:ascii="Traditional Arabic" w:hAnsi="Traditional Arabic" w:hint="cs"/>
          <w:color w:val="auto"/>
          <w:rtl/>
        </w:rPr>
        <w:t>:"ليس لعرق ظالم حق"، ومعناه</w:t>
      </w:r>
      <w:r w:rsidR="008957F8">
        <w:rPr>
          <w:rFonts w:ascii="Traditional Arabic" w:hAnsi="Traditional Arabic" w:hint="cs"/>
          <w:color w:val="auto"/>
          <w:rtl/>
        </w:rPr>
        <w:t xml:space="preserve"> </w:t>
      </w:r>
      <w:r>
        <w:rPr>
          <w:rFonts w:ascii="Traditional Arabic" w:hAnsi="Traditional Arabic" w:hint="cs"/>
          <w:color w:val="auto"/>
          <w:rtl/>
        </w:rPr>
        <w:t>أن كل إنسان استولى على زرعٍ أو نخل أو ما أشبه ذلك، فإنه ليس له حق إذا كان ظالماً، فهنا وصف العرق بالظلم؛ لأن واضعه ظالم</w:t>
      </w:r>
      <w:r w:rsidRPr="00C821A1">
        <w:rPr>
          <w:rStyle w:val="af1"/>
          <w:szCs w:val="32"/>
          <w:rtl/>
        </w:rPr>
        <w:t>(</w:t>
      </w:r>
      <w:r w:rsidRPr="00C821A1">
        <w:rPr>
          <w:rStyle w:val="af1"/>
          <w:szCs w:val="32"/>
          <w:rtl/>
        </w:rPr>
        <w:footnoteReference w:id="1311"/>
      </w:r>
      <w:r w:rsidRPr="00C821A1">
        <w:rPr>
          <w:rStyle w:val="af1"/>
          <w:szCs w:val="32"/>
          <w:rtl/>
        </w:rPr>
        <w:t>)</w:t>
      </w:r>
      <w:r>
        <w:rPr>
          <w:rFonts w:ascii="Traditional Arabic" w:hAnsi="Traditional Arabic" w:hint="cs"/>
          <w:color w:val="auto"/>
          <w:rtl/>
        </w:rPr>
        <w:t>.</w:t>
      </w:r>
    </w:p>
    <w:p w:rsidR="00F228A9" w:rsidRPr="002948BC" w:rsidRDefault="00BD1188" w:rsidP="00597C20">
      <w:pPr>
        <w:ind w:firstLine="720"/>
        <w:rPr>
          <w:rFonts w:ascii="Traditional Arabic" w:hAnsi="Traditional Arabic"/>
          <w:b/>
          <w:bCs/>
          <w:color w:val="auto"/>
          <w:rtl/>
        </w:rPr>
      </w:pPr>
      <w:r w:rsidRPr="002948BC">
        <w:rPr>
          <w:rFonts w:ascii="Traditional Arabic" w:hAnsi="Traditional Arabic" w:hint="cs"/>
          <w:noProof w:val="0"/>
          <w:rtl/>
          <w:lang w:eastAsia="en-US"/>
        </w:rPr>
        <w:t>فإذا</w:t>
      </w:r>
      <w:r w:rsidRPr="002948BC">
        <w:rPr>
          <w:rFonts w:ascii="Traditional Arabic" w:hAnsi="Traditional Arabic" w:hint="cs"/>
          <w:color w:val="auto"/>
          <w:rtl/>
        </w:rPr>
        <w:t xml:space="preserve"> غصب الغاصب من شخص شيئاً ثم تلف هذا الشيء، أو حصل فيه نقصٌ فإن الغاصب يضمنه؛ لأنه ظالم مُعتدٍ، وقد قال النبي </w:t>
      </w:r>
      <w:r w:rsidR="009E4FB7">
        <w:rPr>
          <w:rFonts w:ascii="Traditional Arabic" w:hAnsi="Traditional Arabic" w:hint="cs"/>
          <w:rtl/>
        </w:rPr>
        <w:t>صلى الله عليه وسلم</w:t>
      </w:r>
      <w:r w:rsidRPr="002948BC">
        <w:rPr>
          <w:rFonts w:ascii="Traditional Arabic" w:hAnsi="Traditional Arabic" w:hint="cs"/>
          <w:color w:val="auto"/>
          <w:rtl/>
        </w:rPr>
        <w:t>:ليس لعرق ظالم حق"</w:t>
      </w:r>
      <w:r w:rsidRPr="00C821A1">
        <w:rPr>
          <w:rStyle w:val="af1"/>
          <w:szCs w:val="32"/>
          <w:rtl/>
        </w:rPr>
        <w:t>(</w:t>
      </w:r>
      <w:r w:rsidRPr="00C821A1">
        <w:rPr>
          <w:rStyle w:val="af1"/>
          <w:szCs w:val="32"/>
          <w:rtl/>
        </w:rPr>
        <w:footnoteReference w:id="1312"/>
      </w:r>
      <w:r w:rsidRPr="00C821A1">
        <w:rPr>
          <w:rStyle w:val="af1"/>
          <w:szCs w:val="32"/>
          <w:rtl/>
        </w:rPr>
        <w:t>)</w:t>
      </w:r>
      <w:r w:rsidRPr="002948BC">
        <w:rPr>
          <w:rFonts w:ascii="Traditional Arabic" w:hAnsi="Traditional Arabic" w:hint="cs"/>
          <w:color w:val="auto"/>
          <w:rtl/>
        </w:rPr>
        <w:t>.</w:t>
      </w:r>
    </w:p>
    <w:p w:rsidR="00BD1188" w:rsidRPr="00BD1188" w:rsidRDefault="009E4FB7" w:rsidP="00A8347C">
      <w:pPr>
        <w:pStyle w:val="aff3"/>
        <w:rPr>
          <w:rtl/>
        </w:rPr>
      </w:pPr>
      <w:bookmarkStart w:id="256" w:name="_Toc334046474"/>
      <w:r>
        <w:rPr>
          <w:rFonts w:hint="cs"/>
          <w:rtl/>
        </w:rPr>
        <w:t xml:space="preserve">                                           المطلب</w:t>
      </w:r>
      <w:r w:rsidR="008957F8">
        <w:rPr>
          <w:rFonts w:hint="cs"/>
          <w:rtl/>
        </w:rPr>
        <w:t xml:space="preserve"> </w:t>
      </w:r>
      <w:r w:rsidR="00BD1188" w:rsidRPr="00BD1188">
        <w:rPr>
          <w:rFonts w:hint="cs"/>
          <w:rtl/>
        </w:rPr>
        <w:t>الرابع</w:t>
      </w:r>
      <w:r w:rsidR="00BD1188">
        <w:rPr>
          <w:rFonts w:hint="eastAsia"/>
          <w:rtl/>
        </w:rPr>
        <w:t> :</w:t>
      </w:r>
      <w:r w:rsidR="00BD1188">
        <w:rPr>
          <w:rFonts w:hint="cs"/>
          <w:rtl/>
        </w:rPr>
        <w:br/>
      </w:r>
      <w:r>
        <w:rPr>
          <w:rFonts w:hint="cs"/>
          <w:rtl/>
        </w:rPr>
        <w:t xml:space="preserve">           </w:t>
      </w:r>
      <w:r w:rsidR="00EB1405">
        <w:rPr>
          <w:rFonts w:hint="cs"/>
          <w:rtl/>
        </w:rPr>
        <w:t xml:space="preserve">                               </w:t>
      </w:r>
      <w:r w:rsidR="00BD1188" w:rsidRPr="00BD1188">
        <w:rPr>
          <w:rFonts w:hint="cs"/>
          <w:rtl/>
        </w:rPr>
        <w:t>تطبيقات القاعدة</w:t>
      </w:r>
      <w:bookmarkEnd w:id="256"/>
    </w:p>
    <w:p w:rsidR="00BD1188" w:rsidRDefault="00BD1188" w:rsidP="000A76C7">
      <w:pPr>
        <w:pStyle w:val="afc"/>
        <w:widowControl/>
        <w:numPr>
          <w:ilvl w:val="0"/>
          <w:numId w:val="172"/>
        </w:numPr>
        <w:autoSpaceDE w:val="0"/>
        <w:autoSpaceDN w:val="0"/>
        <w:adjustRightInd w:val="0"/>
        <w:rPr>
          <w:rFonts w:ascii="Traditional Arabic" w:hAnsi="Traditional Arabic"/>
          <w:noProof w:val="0"/>
          <w:color w:val="auto"/>
          <w:lang w:eastAsia="en-US"/>
        </w:rPr>
      </w:pPr>
      <w:r w:rsidRPr="0099237E">
        <w:rPr>
          <w:rFonts w:ascii="Traditional Arabic" w:hAnsi="Traditional Arabic"/>
          <w:noProof w:val="0"/>
          <w:color w:val="auto"/>
          <w:rtl/>
          <w:lang w:eastAsia="en-US"/>
        </w:rPr>
        <w:t>إذا غصب شخص من غاص</w:t>
      </w:r>
      <w:r>
        <w:rPr>
          <w:rFonts w:ascii="Traditional Arabic" w:hAnsi="Traditional Arabic" w:hint="cs"/>
          <w:noProof w:val="0"/>
          <w:color w:val="auto"/>
          <w:rtl/>
          <w:lang w:eastAsia="en-US"/>
        </w:rPr>
        <w:t>ِ</w:t>
      </w:r>
      <w:r w:rsidRPr="0099237E">
        <w:rPr>
          <w:rFonts w:ascii="Traditional Arabic" w:hAnsi="Traditional Arabic"/>
          <w:noProof w:val="0"/>
          <w:color w:val="auto"/>
          <w:rtl/>
          <w:lang w:eastAsia="en-US"/>
        </w:rPr>
        <w:t>ب، فالغاصب الثاني أخذ العين على أنها مضمونة عليه؛ لأنه متعد</w:t>
      </w:r>
      <w:r>
        <w:rPr>
          <w:rFonts w:ascii="Traditional Arabic" w:hAnsi="Traditional Arabic" w:hint="cs"/>
          <w:noProof w:val="0"/>
          <w:color w:val="auto"/>
          <w:rtl/>
          <w:lang w:eastAsia="en-US"/>
        </w:rPr>
        <w:t>ٍّ</w:t>
      </w:r>
      <w:r w:rsidRPr="0099237E">
        <w:rPr>
          <w:rFonts w:ascii="Traditional Arabic" w:hAnsi="Traditional Arabic"/>
          <w:noProof w:val="0"/>
          <w:color w:val="auto"/>
          <w:rtl/>
          <w:lang w:eastAsia="en-US"/>
        </w:rPr>
        <w:t>، ففي هذه الحال إذا ضم</w:t>
      </w:r>
      <w:r>
        <w:rPr>
          <w:rFonts w:ascii="Traditional Arabic" w:hAnsi="Traditional Arabic" w:hint="cs"/>
          <w:noProof w:val="0"/>
          <w:color w:val="auto"/>
          <w:rtl/>
          <w:lang w:eastAsia="en-US"/>
        </w:rPr>
        <w:t>َّ</w:t>
      </w:r>
      <w:r w:rsidRPr="0099237E">
        <w:rPr>
          <w:rFonts w:ascii="Traditional Arabic" w:hAnsi="Traditional Arabic"/>
          <w:noProof w:val="0"/>
          <w:color w:val="auto"/>
          <w:rtl/>
          <w:lang w:eastAsia="en-US"/>
        </w:rPr>
        <w:t>ن المالك</w:t>
      </w:r>
      <w:r>
        <w:rPr>
          <w:rFonts w:ascii="Traditional Arabic" w:hAnsi="Traditional Arabic" w:hint="cs"/>
          <w:noProof w:val="0"/>
          <w:color w:val="auto"/>
          <w:rtl/>
          <w:lang w:eastAsia="en-US"/>
        </w:rPr>
        <w:t>ُ</w:t>
      </w:r>
      <w:r w:rsidRPr="0099237E">
        <w:rPr>
          <w:rFonts w:ascii="Traditional Arabic" w:hAnsi="Traditional Arabic"/>
          <w:noProof w:val="0"/>
          <w:color w:val="auto"/>
          <w:rtl/>
          <w:lang w:eastAsia="en-US"/>
        </w:rPr>
        <w:t xml:space="preserve"> الغاصب</w:t>
      </w:r>
      <w:r>
        <w:rPr>
          <w:rFonts w:ascii="Traditional Arabic" w:hAnsi="Traditional Arabic" w:hint="cs"/>
          <w:noProof w:val="0"/>
          <w:color w:val="auto"/>
          <w:rtl/>
          <w:lang w:eastAsia="en-US"/>
        </w:rPr>
        <w:t>َ</w:t>
      </w:r>
      <w:r w:rsidRPr="0099237E">
        <w:rPr>
          <w:rFonts w:ascii="Traditional Arabic" w:hAnsi="Traditional Arabic"/>
          <w:noProof w:val="0"/>
          <w:color w:val="auto"/>
          <w:rtl/>
          <w:lang w:eastAsia="en-US"/>
        </w:rPr>
        <w:t xml:space="preserve"> الأول رجع على الثاني، وإن ضم</w:t>
      </w:r>
      <w:r>
        <w:rPr>
          <w:rFonts w:ascii="Traditional Arabic" w:hAnsi="Traditional Arabic" w:hint="cs"/>
          <w:noProof w:val="0"/>
          <w:color w:val="auto"/>
          <w:rtl/>
          <w:lang w:eastAsia="en-US"/>
        </w:rPr>
        <w:t>َّ</w:t>
      </w:r>
      <w:r w:rsidRPr="0099237E">
        <w:rPr>
          <w:rFonts w:ascii="Traditional Arabic" w:hAnsi="Traditional Arabic"/>
          <w:noProof w:val="0"/>
          <w:color w:val="auto"/>
          <w:rtl/>
          <w:lang w:eastAsia="en-US"/>
        </w:rPr>
        <w:t>ن الثاني لم يرجع على أحد بشيء</w:t>
      </w:r>
      <w:r w:rsidRPr="00C821A1">
        <w:rPr>
          <w:rStyle w:val="af1"/>
          <w:szCs w:val="32"/>
          <w:rtl/>
        </w:rPr>
        <w:t>(</w:t>
      </w:r>
      <w:r w:rsidRPr="00C821A1">
        <w:rPr>
          <w:rStyle w:val="af1"/>
          <w:szCs w:val="32"/>
          <w:rtl/>
        </w:rPr>
        <w:footnoteReference w:id="1313"/>
      </w:r>
      <w:r w:rsidRPr="00C821A1">
        <w:rPr>
          <w:rStyle w:val="af1"/>
          <w:szCs w:val="32"/>
          <w:rtl/>
        </w:rPr>
        <w:t>)</w:t>
      </w:r>
      <w:r w:rsidRPr="0099237E">
        <w:rPr>
          <w:rFonts w:ascii="Traditional Arabic" w:hAnsi="Traditional Arabic"/>
          <w:noProof w:val="0"/>
          <w:color w:val="auto"/>
          <w:rtl/>
          <w:lang w:eastAsia="en-US"/>
        </w:rPr>
        <w:t>.</w:t>
      </w:r>
    </w:p>
    <w:p w:rsidR="00BD1188" w:rsidRDefault="00BD1188" w:rsidP="00597C20">
      <w:pPr>
        <w:pStyle w:val="53"/>
        <w:rPr>
          <w:rtl/>
        </w:rPr>
      </w:pPr>
      <w:r>
        <w:rPr>
          <w:rFonts w:hint="cs"/>
          <w:rtl/>
        </w:rPr>
        <w:t>وجه اندراج الفرع تحت القاعدة:</w:t>
      </w:r>
    </w:p>
    <w:p w:rsidR="00BD1188" w:rsidRPr="00896914" w:rsidRDefault="00BD1188" w:rsidP="00597C20">
      <w:pPr>
        <w:widowControl/>
        <w:autoSpaceDE w:val="0"/>
        <w:autoSpaceDN w:val="0"/>
        <w:adjustRightInd w:val="0"/>
        <w:ind w:firstLine="72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أن يد الغاصب الثاني يد ضمان؛ لأنها مترتبة على يد الغاصب الأول</w:t>
      </w:r>
      <w:r w:rsidRPr="00C821A1">
        <w:rPr>
          <w:rStyle w:val="af1"/>
          <w:szCs w:val="32"/>
          <w:rtl/>
        </w:rPr>
        <w:t>(</w:t>
      </w:r>
      <w:r w:rsidRPr="00C821A1">
        <w:rPr>
          <w:rStyle w:val="af1"/>
          <w:szCs w:val="32"/>
          <w:rtl/>
        </w:rPr>
        <w:footnoteReference w:id="1314"/>
      </w:r>
      <w:r w:rsidRPr="00C821A1">
        <w:rPr>
          <w:rStyle w:val="af1"/>
          <w:szCs w:val="32"/>
          <w:rtl/>
        </w:rPr>
        <w:t>)</w:t>
      </w:r>
      <w:r>
        <w:rPr>
          <w:rFonts w:ascii="Traditional Arabic" w:hAnsi="Traditional Arabic" w:hint="cs"/>
          <w:noProof w:val="0"/>
          <w:color w:val="auto"/>
          <w:rtl/>
          <w:lang w:eastAsia="en-US"/>
        </w:rPr>
        <w:t>.</w:t>
      </w:r>
    </w:p>
    <w:p w:rsidR="00BD1188" w:rsidRDefault="00BD1188" w:rsidP="000A76C7">
      <w:pPr>
        <w:pStyle w:val="afc"/>
        <w:widowControl/>
        <w:numPr>
          <w:ilvl w:val="0"/>
          <w:numId w:val="172"/>
        </w:numPr>
        <w:autoSpaceDE w:val="0"/>
        <w:autoSpaceDN w:val="0"/>
        <w:adjustRightInd w:val="0"/>
        <w:rPr>
          <w:rFonts w:ascii="Traditional Arabic" w:hAnsi="Traditional Arabic"/>
          <w:noProof w:val="0"/>
          <w:color w:val="auto"/>
          <w:lang w:eastAsia="en-US"/>
        </w:rPr>
      </w:pPr>
      <w:r w:rsidRPr="00D17A02">
        <w:rPr>
          <w:rFonts w:ascii="Traditional Arabic" w:hAnsi="Traditional Arabic"/>
          <w:noProof w:val="0"/>
          <w:color w:val="auto"/>
          <w:rtl/>
          <w:lang w:eastAsia="en-US"/>
        </w:rPr>
        <w:t>غصب شخص</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xml:space="preserve"> ساعة</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xml:space="preserve"> وجعلها وديعة</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xml:space="preserve"> عند شخص</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xml:space="preserve"> آخر، ثم س</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رقت الساعة من بيت المود</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ع مع تحف</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ظه ووضع</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ها في ال</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حر</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ز، فالمود</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ع لا ضمان</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xml:space="preserve"> عليه؛ لأنه لم يتعد</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xml:space="preserve"> ولم يفر</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ط، فإذا جاء المالك وضم</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ن المود</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ع، فإنه يرجع على الغاصب بما ض</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xml:space="preserve">ن؛ لأنه أخذ الساعة </w:t>
      </w:r>
      <w:r w:rsidRPr="00D17A02">
        <w:rPr>
          <w:rFonts w:ascii="Traditional Arabic" w:hAnsi="Traditional Arabic"/>
          <w:noProof w:val="0"/>
          <w:color w:val="auto"/>
          <w:rtl/>
          <w:lang w:eastAsia="en-US"/>
        </w:rPr>
        <w:lastRenderedPageBreak/>
        <w:t>على أنها غير مضمونة</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xml:space="preserve"> عليه وأنه محسن</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وما على المحسنين من سبيل، فإن ضم</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ن المالك</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xml:space="preserve"> الغاصب</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 فإن الغاصب لا يرجع على المود</w:t>
      </w:r>
      <w:r>
        <w:rPr>
          <w:rFonts w:ascii="Traditional Arabic" w:hAnsi="Traditional Arabic" w:hint="cs"/>
          <w:noProof w:val="0"/>
          <w:color w:val="auto"/>
          <w:rtl/>
          <w:lang w:eastAsia="en-US"/>
        </w:rPr>
        <w:t>َ</w:t>
      </w:r>
      <w:r w:rsidRPr="00D17A02">
        <w:rPr>
          <w:rFonts w:ascii="Traditional Arabic" w:hAnsi="Traditional Arabic"/>
          <w:noProof w:val="0"/>
          <w:color w:val="auto"/>
          <w:rtl/>
          <w:lang w:eastAsia="en-US"/>
        </w:rPr>
        <w:t>ع؛ لأنه غير ضامن</w:t>
      </w:r>
      <w:r w:rsidRPr="00C821A1">
        <w:rPr>
          <w:rStyle w:val="af1"/>
          <w:szCs w:val="32"/>
          <w:rtl/>
        </w:rPr>
        <w:t>(</w:t>
      </w:r>
      <w:r w:rsidRPr="00C821A1">
        <w:rPr>
          <w:rStyle w:val="af1"/>
          <w:szCs w:val="32"/>
          <w:rtl/>
        </w:rPr>
        <w:footnoteReference w:id="1315"/>
      </w:r>
      <w:r w:rsidRPr="00C821A1">
        <w:rPr>
          <w:rStyle w:val="af1"/>
          <w:szCs w:val="32"/>
          <w:rtl/>
        </w:rPr>
        <w:t>)</w:t>
      </w:r>
      <w:r>
        <w:rPr>
          <w:rFonts w:ascii="Traditional Arabic" w:hAnsi="Traditional Arabic" w:hint="cs"/>
          <w:noProof w:val="0"/>
          <w:color w:val="auto"/>
          <w:rtl/>
          <w:lang w:eastAsia="en-US"/>
        </w:rPr>
        <w:t>.</w:t>
      </w:r>
    </w:p>
    <w:p w:rsidR="00BD1188" w:rsidRDefault="00BD1188" w:rsidP="00597C20">
      <w:pPr>
        <w:pStyle w:val="53"/>
        <w:rPr>
          <w:rtl/>
        </w:rPr>
      </w:pPr>
      <w:r w:rsidRPr="00896914">
        <w:rPr>
          <w:rFonts w:hint="cs"/>
          <w:rtl/>
        </w:rPr>
        <w:t>وجه اندراج الفرع تحت القاعدة:</w:t>
      </w:r>
    </w:p>
    <w:p w:rsidR="00F228A9" w:rsidRDefault="00BD1188" w:rsidP="00597C20">
      <w:pPr>
        <w:widowControl/>
        <w:autoSpaceDE w:val="0"/>
        <w:autoSpaceDN w:val="0"/>
        <w:adjustRightInd w:val="0"/>
        <w:ind w:firstLine="720"/>
        <w:jc w:val="left"/>
        <w:rPr>
          <w:rFonts w:ascii="Traditional Arabic" w:hAnsi="Traditional Arabic"/>
          <w:noProof w:val="0"/>
          <w:color w:val="auto"/>
          <w:rtl/>
          <w:lang w:eastAsia="en-US"/>
        </w:rPr>
      </w:pPr>
      <w:r w:rsidRPr="002948BC">
        <w:rPr>
          <w:rFonts w:ascii="Traditional Arabic" w:hAnsi="Traditional Arabic" w:hint="cs"/>
          <w:noProof w:val="0"/>
          <w:color w:val="auto"/>
          <w:rtl/>
          <w:lang w:eastAsia="en-US"/>
        </w:rPr>
        <w:t>للمالك أن يضمِّن المودَع؛ لأن يده يد ضمان؛ لأنها مترتبة على يد الغاصب.</w:t>
      </w:r>
    </w:p>
    <w:p w:rsidR="009E4FB7" w:rsidRDefault="009E4FB7" w:rsidP="00597C20">
      <w:pPr>
        <w:widowControl/>
        <w:autoSpaceDE w:val="0"/>
        <w:autoSpaceDN w:val="0"/>
        <w:adjustRightInd w:val="0"/>
        <w:ind w:firstLine="720"/>
        <w:jc w:val="left"/>
        <w:rPr>
          <w:rFonts w:ascii="Traditional Arabic" w:hAnsi="Traditional Arabic"/>
          <w:noProof w:val="0"/>
          <w:color w:val="auto"/>
          <w:rtl/>
          <w:lang w:eastAsia="en-US"/>
        </w:rPr>
      </w:pPr>
    </w:p>
    <w:p w:rsidR="009E4FB7" w:rsidRPr="009E4FB7" w:rsidRDefault="009E4FB7" w:rsidP="00597C20">
      <w:pPr>
        <w:widowControl/>
        <w:autoSpaceDE w:val="0"/>
        <w:autoSpaceDN w:val="0"/>
        <w:adjustRightInd w:val="0"/>
        <w:ind w:firstLine="720"/>
        <w:jc w:val="left"/>
        <w:rPr>
          <w:rFonts w:ascii="Traditional Arabic" w:hAnsi="Traditional Arabic"/>
          <w:b/>
          <w:bCs/>
          <w:noProof w:val="0"/>
          <w:color w:val="auto"/>
          <w:sz w:val="44"/>
          <w:szCs w:val="44"/>
          <w:rtl/>
          <w:lang w:eastAsia="en-US"/>
        </w:rPr>
      </w:pPr>
    </w:p>
    <w:p w:rsidR="00BD1188" w:rsidRPr="00C85F0F" w:rsidRDefault="00F044B9" w:rsidP="000F5C0F">
      <w:pPr>
        <w:pStyle w:val="aff2"/>
        <w:rPr>
          <w:rtl/>
        </w:rPr>
      </w:pPr>
      <w:bookmarkStart w:id="257" w:name="_Toc334046475"/>
      <w:r w:rsidRPr="00B9695A">
        <w:rPr>
          <w:rFonts w:hint="cs"/>
          <w:rtl/>
        </w:rPr>
        <w:lastRenderedPageBreak/>
        <w:t>المبحث الثاني</w:t>
      </w:r>
      <w:r>
        <w:rPr>
          <w:rFonts w:hint="eastAsia"/>
          <w:rtl/>
        </w:rPr>
        <w:t> :</w:t>
      </w:r>
      <w:r>
        <w:rPr>
          <w:rFonts w:hint="cs"/>
          <w:rtl/>
        </w:rPr>
        <w:br/>
      </w:r>
      <w:r w:rsidR="00BD1188" w:rsidRPr="00BD1188">
        <w:rPr>
          <w:rFonts w:hint="cs"/>
          <w:rtl/>
        </w:rPr>
        <w:t>قاعدة</w:t>
      </w:r>
      <w:r w:rsidR="00BD1188">
        <w:rPr>
          <w:rtl/>
        </w:rPr>
        <w:br/>
      </w:r>
      <w:r w:rsidR="00BD1188">
        <w:rPr>
          <w:rFonts w:hint="cs"/>
          <w:rtl/>
        </w:rPr>
        <w:t>"</w:t>
      </w:r>
      <w:r w:rsidR="00BD1188" w:rsidRPr="00BD1188">
        <w:rPr>
          <w:rFonts w:hint="cs"/>
          <w:rtl/>
        </w:rPr>
        <w:t xml:space="preserve"> </w:t>
      </w:r>
      <w:r w:rsidR="00D24526">
        <w:rPr>
          <w:rFonts w:hint="cs"/>
          <w:rtl/>
        </w:rPr>
        <w:t xml:space="preserve">إذا اجتمع </w:t>
      </w:r>
      <w:r w:rsidR="00BD1188" w:rsidRPr="00BD1188">
        <w:rPr>
          <w:rFonts w:hint="cs"/>
          <w:rtl/>
        </w:rPr>
        <w:t>متسبب و</w:t>
      </w:r>
      <w:r w:rsidR="009E4FB7">
        <w:rPr>
          <w:rFonts w:hint="cs"/>
          <w:rtl/>
        </w:rPr>
        <w:t>مباشر</w:t>
      </w:r>
      <w:r w:rsidR="00D24526">
        <w:rPr>
          <w:rFonts w:hint="cs"/>
          <w:rtl/>
        </w:rPr>
        <w:t xml:space="preserve"> فالضمان على المباشر</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إذااجتمعمتسببومباشرفالضمانعلىالمباشر</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BD1188" w:rsidRPr="00C85F0F">
        <w:rPr>
          <w:rFonts w:hint="cs"/>
          <w:rtl/>
        </w:rPr>
        <w:t>"</w:t>
      </w:r>
      <w:r w:rsidR="00BD1188" w:rsidRPr="00C85F0F">
        <w:rPr>
          <w:szCs w:val="32"/>
          <w:vertAlign w:val="superscript"/>
          <w:rtl/>
        </w:rPr>
        <w:t>(</w:t>
      </w:r>
      <w:r w:rsidR="00BD1188" w:rsidRPr="00C85F0F">
        <w:rPr>
          <w:szCs w:val="32"/>
          <w:vertAlign w:val="superscript"/>
          <w:rtl/>
        </w:rPr>
        <w:footnoteReference w:id="1316"/>
      </w:r>
      <w:r w:rsidR="00BD1188" w:rsidRPr="00C85F0F">
        <w:rPr>
          <w:szCs w:val="32"/>
          <w:vertAlign w:val="superscript"/>
          <w:rtl/>
        </w:rPr>
        <w:t>)</w:t>
      </w:r>
      <w:bookmarkEnd w:id="257"/>
    </w:p>
    <w:p w:rsidR="00BD1188" w:rsidRPr="00C85F0F" w:rsidRDefault="009E4FB7" w:rsidP="00A8347C">
      <w:pPr>
        <w:pStyle w:val="aff3"/>
        <w:rPr>
          <w:rtl/>
        </w:rPr>
      </w:pPr>
      <w:bookmarkStart w:id="258" w:name="_Toc334046476"/>
      <w:r>
        <w:rPr>
          <w:rFonts w:hint="cs"/>
          <w:rtl/>
        </w:rPr>
        <w:t xml:space="preserve">                                         </w:t>
      </w:r>
      <w:r w:rsidR="00FA7962">
        <w:rPr>
          <w:rFonts w:hint="cs"/>
          <w:rtl/>
        </w:rPr>
        <w:t xml:space="preserve">  </w:t>
      </w:r>
      <w:r>
        <w:rPr>
          <w:rFonts w:hint="cs"/>
          <w:rtl/>
        </w:rPr>
        <w:t>المطلب</w:t>
      </w:r>
      <w:r w:rsidR="00FA7962">
        <w:rPr>
          <w:rFonts w:hint="cs"/>
          <w:rtl/>
        </w:rPr>
        <w:t xml:space="preserve"> </w:t>
      </w:r>
      <w:r w:rsidR="00BD1188" w:rsidRPr="00C85F0F">
        <w:rPr>
          <w:rFonts w:hint="cs"/>
          <w:rtl/>
        </w:rPr>
        <w:t>الأول</w:t>
      </w:r>
      <w:r w:rsidR="00BD1188" w:rsidRPr="00C85F0F">
        <w:rPr>
          <w:rFonts w:hint="eastAsia"/>
          <w:rtl/>
        </w:rPr>
        <w:t> :</w:t>
      </w:r>
      <w:r w:rsidR="00BD1188" w:rsidRPr="00C85F0F">
        <w:rPr>
          <w:rFonts w:hint="cs"/>
          <w:rtl/>
        </w:rPr>
        <w:br/>
      </w:r>
      <w:r>
        <w:rPr>
          <w:rFonts w:hint="cs"/>
          <w:rtl/>
        </w:rPr>
        <w:t xml:space="preserve">                      </w:t>
      </w:r>
      <w:r w:rsidR="00FA7962">
        <w:rPr>
          <w:rFonts w:hint="cs"/>
          <w:rtl/>
        </w:rPr>
        <w:t xml:space="preserve">  </w:t>
      </w:r>
      <w:r w:rsidR="00BD1188" w:rsidRPr="00C85F0F">
        <w:rPr>
          <w:rFonts w:hint="cs"/>
          <w:rtl/>
        </w:rPr>
        <w:t>صيغ القاعدة عند الشيخ وعند علماء القواعد</w:t>
      </w:r>
      <w:bookmarkEnd w:id="258"/>
    </w:p>
    <w:p w:rsidR="00BD1188" w:rsidRPr="00C85F0F" w:rsidRDefault="001916D5" w:rsidP="00FA7962">
      <w:pPr>
        <w:ind w:firstLine="0"/>
        <w:rPr>
          <w:rtl/>
        </w:rPr>
      </w:pPr>
      <w:r>
        <w:rPr>
          <w:rFonts w:hint="cs"/>
          <w:rtl/>
        </w:rPr>
        <w:t xml:space="preserve">    </w:t>
      </w:r>
      <w:r w:rsidR="00BD1188" w:rsidRPr="00C85F0F">
        <w:rPr>
          <w:rFonts w:hint="cs"/>
          <w:rtl/>
        </w:rPr>
        <w:t xml:space="preserve">وردت هذه القاعدة عند الشيخ ابن عثيمين </w:t>
      </w:r>
      <w:r w:rsidR="00FA7962">
        <w:rPr>
          <w:rFonts w:hint="cs"/>
          <w:rtl/>
        </w:rPr>
        <w:t>_</w:t>
      </w:r>
      <w:r w:rsidR="009A0575" w:rsidRPr="005D5694">
        <w:rPr>
          <w:rFonts w:ascii="Traditional Arabic" w:hAnsi="Traditional Arabic" w:cs="CTraditional Arabic" w:hint="cs"/>
          <w:rtl/>
        </w:rPr>
        <w:t>/</w:t>
      </w:r>
      <w:r w:rsidR="00FA7962">
        <w:rPr>
          <w:rFonts w:hint="cs"/>
          <w:rtl/>
        </w:rPr>
        <w:t>_</w:t>
      </w:r>
      <w:r w:rsidR="00BD1188" w:rsidRPr="00C85F0F">
        <w:rPr>
          <w:rFonts w:hint="cs"/>
          <w:rtl/>
        </w:rPr>
        <w:t xml:space="preserve"> بعدة صيغ، منها:</w:t>
      </w:r>
    </w:p>
    <w:p w:rsidR="00BD1188" w:rsidRPr="00C85F0F" w:rsidRDefault="00BD1188" w:rsidP="000A76C7">
      <w:pPr>
        <w:numPr>
          <w:ilvl w:val="0"/>
          <w:numId w:val="173"/>
        </w:numPr>
      </w:pPr>
      <w:r w:rsidRPr="00C85F0F">
        <w:rPr>
          <w:rFonts w:ascii="Traditional Arabic" w:hAnsi="Traditional Arabic"/>
          <w:noProof w:val="0"/>
          <w:rtl/>
          <w:lang w:eastAsia="en-US"/>
        </w:rPr>
        <w:t>إذا اجتمع متسب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 ومباش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فالضمان على المباشر</w:t>
      </w:r>
      <w:r w:rsidRPr="00C85F0F">
        <w:rPr>
          <w:rStyle w:val="af1"/>
          <w:szCs w:val="32"/>
          <w:rtl/>
        </w:rPr>
        <w:t>(</w:t>
      </w:r>
      <w:r w:rsidRPr="00C85F0F">
        <w:rPr>
          <w:rStyle w:val="af1"/>
          <w:szCs w:val="32"/>
          <w:rtl/>
        </w:rPr>
        <w:footnoteReference w:id="1317"/>
      </w:r>
      <w:r w:rsidRPr="00C85F0F">
        <w:rPr>
          <w:rStyle w:val="af1"/>
          <w:szCs w:val="32"/>
          <w:rtl/>
        </w:rPr>
        <w:t>)</w:t>
      </w:r>
      <w:r w:rsidRPr="00C85F0F">
        <w:rPr>
          <w:rFonts w:hint="cs"/>
          <w:rtl/>
        </w:rPr>
        <w:t>.</w:t>
      </w:r>
    </w:p>
    <w:p w:rsidR="00BD1188" w:rsidRPr="00F46329" w:rsidRDefault="00BD1188" w:rsidP="00F46329">
      <w:pPr>
        <w:pStyle w:val="afc"/>
        <w:widowControl/>
        <w:numPr>
          <w:ilvl w:val="0"/>
          <w:numId w:val="173"/>
        </w:numPr>
        <w:autoSpaceDE w:val="0"/>
        <w:autoSpaceDN w:val="0"/>
        <w:adjustRightInd w:val="0"/>
        <w:jc w:val="left"/>
        <w:rPr>
          <w:rFonts w:ascii="Traditional Arabic" w:hAnsi="Traditional Arabic"/>
          <w:noProof w:val="0"/>
          <w:lang w:eastAsia="en-US"/>
        </w:rPr>
      </w:pPr>
      <w:r w:rsidRPr="00C85F0F">
        <w:rPr>
          <w:rFonts w:ascii="Traditional Arabic" w:hAnsi="Traditional Arabic"/>
          <w:noProof w:val="0"/>
          <w:rtl/>
          <w:lang w:eastAsia="en-US"/>
        </w:rPr>
        <w:t>لا ضمان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المتسبب مع المباشر إلا إذا كانت المباشرة مبني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السبب</w:t>
      </w:r>
      <w:r w:rsidRPr="00C85F0F">
        <w:rPr>
          <w:rStyle w:val="af1"/>
          <w:szCs w:val="32"/>
          <w:rtl/>
        </w:rPr>
        <w:t>(</w:t>
      </w:r>
      <w:r w:rsidRPr="00C85F0F">
        <w:rPr>
          <w:rStyle w:val="af1"/>
          <w:szCs w:val="32"/>
          <w:rtl/>
        </w:rPr>
        <w:footnoteReference w:id="1318"/>
      </w:r>
      <w:r w:rsidRPr="00C85F0F">
        <w:rPr>
          <w:rStyle w:val="af1"/>
          <w:szCs w:val="32"/>
          <w:rtl/>
        </w:rPr>
        <w:t>)</w:t>
      </w:r>
      <w:r w:rsidRPr="00C85F0F">
        <w:rPr>
          <w:rFonts w:ascii="Traditional Arabic" w:hAnsi="Traditional Arabic"/>
          <w:noProof w:val="0"/>
          <w:rtl/>
          <w:lang w:eastAsia="en-US"/>
        </w:rPr>
        <w:t>.</w:t>
      </w:r>
    </w:p>
    <w:p w:rsidR="00065E4B" w:rsidRPr="00C85F0F" w:rsidRDefault="00BD1188" w:rsidP="000A76C7">
      <w:pPr>
        <w:numPr>
          <w:ilvl w:val="0"/>
          <w:numId w:val="173"/>
        </w:numPr>
        <w:rPr>
          <w:color w:val="auto"/>
        </w:rPr>
      </w:pPr>
      <w:r w:rsidRPr="00C85F0F">
        <w:rPr>
          <w:rFonts w:ascii="Traditional Arabic" w:hAnsi="Traditional Arabic"/>
          <w:noProof w:val="0"/>
          <w:color w:val="auto"/>
          <w:rtl/>
          <w:lang w:eastAsia="en-US"/>
        </w:rPr>
        <w:t>إذا اجتمع متسبب ومباشر</w:t>
      </w:r>
      <w:r w:rsidRPr="00C85F0F">
        <w:rPr>
          <w:rFonts w:ascii="Traditional Arabic" w:hAnsi="Traditional Arabic" w:hint="cs"/>
          <w:noProof w:val="0"/>
          <w:color w:val="auto"/>
          <w:rtl/>
          <w:lang w:eastAsia="en-US"/>
        </w:rPr>
        <w:t>ٌ</w:t>
      </w:r>
      <w:r w:rsidR="00FA7962">
        <w:rPr>
          <w:rFonts w:ascii="Traditional Arabic" w:hAnsi="Traditional Arabic" w:hint="cs"/>
          <w:noProof w:val="0"/>
          <w:color w:val="auto"/>
          <w:rtl/>
          <w:lang w:eastAsia="en-US"/>
        </w:rPr>
        <w:t xml:space="preserve"> </w:t>
      </w:r>
      <w:r w:rsidRPr="00C85F0F">
        <w:rPr>
          <w:rFonts w:ascii="Traditional Arabic" w:hAnsi="Traditional Arabic" w:hint="cs"/>
          <w:noProof w:val="0"/>
          <w:color w:val="auto"/>
          <w:rtl/>
          <w:lang w:eastAsia="en-US"/>
        </w:rPr>
        <w:t>يم</w:t>
      </w:r>
      <w:r w:rsidRPr="00C85F0F">
        <w:rPr>
          <w:rFonts w:ascii="Traditional Arabic" w:hAnsi="Traditional Arabic"/>
          <w:noProof w:val="0"/>
          <w:color w:val="auto"/>
          <w:rtl/>
          <w:lang w:eastAsia="en-US"/>
        </w:rPr>
        <w:t>كن إحالة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الضمان عليه فالضمان على المباشر؛ وإن لم </w:t>
      </w:r>
      <w:r w:rsidRPr="00C85F0F">
        <w:rPr>
          <w:rFonts w:ascii="Traditional Arabic" w:hAnsi="Traditional Arabic" w:hint="cs"/>
          <w:noProof w:val="0"/>
          <w:color w:val="auto"/>
          <w:rtl/>
          <w:lang w:eastAsia="en-US"/>
        </w:rPr>
        <w:t>ي</w:t>
      </w:r>
      <w:r w:rsidRPr="00C85F0F">
        <w:rPr>
          <w:rFonts w:ascii="Traditional Arabic" w:hAnsi="Traditional Arabic"/>
          <w:noProof w:val="0"/>
          <w:color w:val="auto"/>
          <w:rtl/>
          <w:lang w:eastAsia="en-US"/>
        </w:rPr>
        <w:t>مكن فالضمان على المتسبب</w:t>
      </w:r>
      <w:r w:rsidRPr="00C85F0F">
        <w:rPr>
          <w:rStyle w:val="af1"/>
          <w:szCs w:val="32"/>
          <w:rtl/>
        </w:rPr>
        <w:t>(</w:t>
      </w:r>
      <w:r w:rsidRPr="00C85F0F">
        <w:rPr>
          <w:rStyle w:val="af1"/>
          <w:szCs w:val="32"/>
          <w:rtl/>
        </w:rPr>
        <w:footnoteReference w:id="1319"/>
      </w:r>
      <w:r w:rsidRPr="00C85F0F">
        <w:rPr>
          <w:rStyle w:val="af1"/>
          <w:szCs w:val="32"/>
          <w:rtl/>
        </w:rPr>
        <w:t>)</w:t>
      </w:r>
      <w:r w:rsidRPr="00C85F0F">
        <w:rPr>
          <w:rFonts w:hint="cs"/>
          <w:color w:val="auto"/>
          <w:rtl/>
        </w:rPr>
        <w:t>.</w:t>
      </w:r>
    </w:p>
    <w:p w:rsidR="00BD1188" w:rsidRPr="00C85F0F" w:rsidRDefault="001916D5" w:rsidP="00597C20">
      <w:pPr>
        <w:ind w:firstLine="0"/>
        <w:rPr>
          <w:rtl/>
        </w:rPr>
      </w:pPr>
      <w:r>
        <w:rPr>
          <w:rFonts w:hint="cs"/>
          <w:rtl/>
        </w:rPr>
        <w:t xml:space="preserve">    </w:t>
      </w:r>
      <w:r w:rsidR="00065E4B" w:rsidRPr="00C85F0F">
        <w:rPr>
          <w:rFonts w:hint="cs"/>
          <w:rtl/>
        </w:rPr>
        <w:t>و</w:t>
      </w:r>
      <w:r w:rsidR="00BD1188" w:rsidRPr="00C85F0F">
        <w:rPr>
          <w:rFonts w:hint="cs"/>
          <w:rtl/>
        </w:rPr>
        <w:t>وردت هذه الصيغة عند علماء القواعد بعدة صيغ، منها:</w:t>
      </w:r>
    </w:p>
    <w:p w:rsidR="00BD1188" w:rsidRPr="00C85F0F" w:rsidRDefault="00BD1188" w:rsidP="000A76C7">
      <w:pPr>
        <w:pStyle w:val="afc"/>
        <w:numPr>
          <w:ilvl w:val="0"/>
          <w:numId w:val="177"/>
        </w:numPr>
        <w:rPr>
          <w:rtl/>
        </w:rPr>
      </w:pPr>
      <w:r w:rsidRPr="00C85F0F">
        <w:rPr>
          <w:rFonts w:ascii="Traditional Arabic" w:hAnsi="Traditional Arabic"/>
          <w:noProof w:val="0"/>
          <w:rtl/>
          <w:lang w:eastAsia="en-US"/>
        </w:rPr>
        <w:t>إذا اجتمع التسبب والمباشرة 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بت المباشرة</w:t>
      </w:r>
      <w:r w:rsidRPr="00C85F0F">
        <w:rPr>
          <w:rStyle w:val="af1"/>
          <w:szCs w:val="32"/>
          <w:rtl/>
        </w:rPr>
        <w:t>(</w:t>
      </w:r>
      <w:r w:rsidRPr="00C85F0F">
        <w:rPr>
          <w:rStyle w:val="af1"/>
          <w:szCs w:val="32"/>
          <w:rtl/>
        </w:rPr>
        <w:footnoteReference w:id="1320"/>
      </w:r>
      <w:r w:rsidRPr="00C85F0F">
        <w:rPr>
          <w:rStyle w:val="af1"/>
          <w:szCs w:val="32"/>
          <w:rtl/>
        </w:rPr>
        <w:t>)</w:t>
      </w:r>
      <w:r w:rsidRPr="00C85F0F">
        <w:rPr>
          <w:rFonts w:hint="cs"/>
          <w:rtl/>
        </w:rPr>
        <w:t>.</w:t>
      </w:r>
    </w:p>
    <w:p w:rsidR="00BD1188" w:rsidRPr="00C85F0F" w:rsidRDefault="00BD1188" w:rsidP="000A76C7">
      <w:pPr>
        <w:pStyle w:val="afc"/>
        <w:numPr>
          <w:ilvl w:val="0"/>
          <w:numId w:val="174"/>
        </w:numPr>
      </w:pPr>
      <w:r w:rsidRPr="00C85F0F">
        <w:rPr>
          <w:rFonts w:ascii="Traditional Arabic" w:hAnsi="Traditional Arabic"/>
          <w:noProof w:val="0"/>
          <w:rtl/>
          <w:lang w:eastAsia="en-US"/>
        </w:rPr>
        <w:t>إذا استند إتلاف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أموال الآدميين ونفوسهم إلى مباش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رة وسبب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تعل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 الضمان بالمباشرة دون السبب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إلا إذا كانت المباش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رة مبنية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السبب وناشئة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عنه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ثم إن كانت المباشرة والحالة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هذه لا 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دوان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فيها بالكلي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استقل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السبب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وحد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بالضمان</w:t>
      </w:r>
      <w:r w:rsidR="00B76414" w:rsidRPr="00C85F0F">
        <w:rPr>
          <w:rFonts w:ascii="Traditional Arabic" w:hAnsi="Traditional Arabic"/>
          <w:noProof w:val="0"/>
          <w:rtl/>
          <w:lang w:eastAsia="en-US"/>
        </w:rPr>
        <w:t>،</w:t>
      </w:r>
      <w:r w:rsidRPr="00C85F0F">
        <w:rPr>
          <w:rFonts w:ascii="Traditional Arabic" w:hAnsi="Traditional Arabic"/>
          <w:noProof w:val="0"/>
          <w:rtl/>
          <w:lang w:eastAsia="en-US"/>
        </w:rPr>
        <w:t xml:space="preserve"> وإن كان </w:t>
      </w:r>
      <w:r w:rsidRPr="00C85F0F">
        <w:rPr>
          <w:rFonts w:ascii="Traditional Arabic" w:hAnsi="Traditional Arabic"/>
          <w:noProof w:val="0"/>
          <w:rtl/>
          <w:lang w:eastAsia="en-US"/>
        </w:rPr>
        <w:lastRenderedPageBreak/>
        <w:t>فيها عدوان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شار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 السبب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الضمان</w:t>
      </w:r>
      <w:r w:rsidRPr="00C85F0F">
        <w:rPr>
          <w:rStyle w:val="af1"/>
          <w:szCs w:val="32"/>
          <w:rtl/>
        </w:rPr>
        <w:t>(</w:t>
      </w:r>
      <w:r w:rsidRPr="00C85F0F">
        <w:rPr>
          <w:rStyle w:val="af1"/>
          <w:szCs w:val="32"/>
          <w:rtl/>
        </w:rPr>
        <w:footnoteReference w:id="1321"/>
      </w:r>
      <w:r w:rsidRPr="00C85F0F">
        <w:rPr>
          <w:rStyle w:val="af1"/>
          <w:szCs w:val="32"/>
          <w:rtl/>
        </w:rPr>
        <w:t>)</w:t>
      </w:r>
      <w:r w:rsidRPr="00C85F0F">
        <w:rPr>
          <w:rFonts w:hint="cs"/>
          <w:rtl/>
        </w:rPr>
        <w:t>.</w:t>
      </w:r>
    </w:p>
    <w:p w:rsidR="00BD1188" w:rsidRPr="00C85F0F" w:rsidRDefault="00BD1188" w:rsidP="000A76C7">
      <w:pPr>
        <w:pStyle w:val="afc"/>
        <w:numPr>
          <w:ilvl w:val="0"/>
          <w:numId w:val="174"/>
        </w:numPr>
      </w:pPr>
      <w:r w:rsidRPr="00C85F0F">
        <w:rPr>
          <w:rFonts w:ascii="Traditional Arabic" w:hAnsi="Traditional Arabic"/>
          <w:noProof w:val="0"/>
          <w:rtl/>
          <w:lang w:eastAsia="en-US"/>
        </w:rPr>
        <w:t>إذا اجتمع السبب والمباش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أو الغ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رور</w:t>
      </w:r>
      <w:r w:rsidRPr="00C85F0F">
        <w:rPr>
          <w:rStyle w:val="af1"/>
          <w:szCs w:val="32"/>
          <w:rtl/>
        </w:rPr>
        <w:t>(</w:t>
      </w:r>
      <w:r w:rsidRPr="00C85F0F">
        <w:rPr>
          <w:rStyle w:val="af1"/>
          <w:szCs w:val="32"/>
          <w:rtl/>
        </w:rPr>
        <w:footnoteReference w:id="1322"/>
      </w:r>
      <w:r w:rsidRPr="00C85F0F">
        <w:rPr>
          <w:rStyle w:val="af1"/>
          <w:szCs w:val="32"/>
          <w:rtl/>
        </w:rPr>
        <w:t>)</w:t>
      </w:r>
      <w:r w:rsidRPr="00C85F0F">
        <w:rPr>
          <w:rFonts w:ascii="Traditional Arabic" w:hAnsi="Traditional Arabic"/>
          <w:noProof w:val="0"/>
          <w:rtl/>
          <w:lang w:eastAsia="en-US"/>
        </w:rPr>
        <w:t xml:space="preserve"> والمباشرة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 المباشرة</w:t>
      </w:r>
      <w:r w:rsidRPr="00C85F0F">
        <w:rPr>
          <w:rStyle w:val="af1"/>
          <w:szCs w:val="32"/>
          <w:rtl/>
        </w:rPr>
        <w:t>(</w:t>
      </w:r>
      <w:r w:rsidRPr="00C85F0F">
        <w:rPr>
          <w:rStyle w:val="af1"/>
          <w:szCs w:val="32"/>
          <w:rtl/>
        </w:rPr>
        <w:footnoteReference w:id="1323"/>
      </w:r>
      <w:r w:rsidRPr="00C85F0F">
        <w:rPr>
          <w:rStyle w:val="af1"/>
          <w:szCs w:val="32"/>
          <w:rtl/>
        </w:rPr>
        <w:t>)</w:t>
      </w:r>
      <w:r w:rsidRPr="00C85F0F">
        <w:rPr>
          <w:rFonts w:ascii="Traditional Arabic" w:hAnsi="Traditional Arabic" w:hint="cs"/>
          <w:noProof w:val="0"/>
          <w:rtl/>
          <w:lang w:eastAsia="en-US"/>
        </w:rPr>
        <w:t>.</w:t>
      </w:r>
    </w:p>
    <w:p w:rsidR="00BD1188" w:rsidRPr="00C85F0F" w:rsidRDefault="00BD1188" w:rsidP="00F46329">
      <w:pPr>
        <w:pStyle w:val="afc"/>
        <w:numPr>
          <w:ilvl w:val="0"/>
          <w:numId w:val="174"/>
        </w:numPr>
      </w:pPr>
      <w:r w:rsidRPr="00C85F0F">
        <w:rPr>
          <w:rFonts w:hint="cs"/>
          <w:rtl/>
        </w:rPr>
        <w:t>الغَرامة تتعلق بالمباشرة، وبالسبب تارةً، وتارةً بهما</w:t>
      </w:r>
      <w:r w:rsidRPr="00C85F0F">
        <w:rPr>
          <w:rStyle w:val="af1"/>
          <w:szCs w:val="32"/>
          <w:rtl/>
        </w:rPr>
        <w:t>(</w:t>
      </w:r>
      <w:r w:rsidRPr="00C85F0F">
        <w:rPr>
          <w:rStyle w:val="af1"/>
          <w:szCs w:val="32"/>
          <w:rtl/>
        </w:rPr>
        <w:footnoteReference w:id="1324"/>
      </w:r>
      <w:r w:rsidRPr="00C85F0F">
        <w:rPr>
          <w:rStyle w:val="af1"/>
          <w:szCs w:val="32"/>
          <w:rtl/>
        </w:rPr>
        <w:t>)</w:t>
      </w:r>
      <w:r w:rsidRPr="00C85F0F">
        <w:rPr>
          <w:rFonts w:hint="cs"/>
          <w:rtl/>
        </w:rPr>
        <w:t>.</w:t>
      </w:r>
    </w:p>
    <w:p w:rsidR="00BD1188" w:rsidRPr="00C85F0F" w:rsidRDefault="00BD1188" w:rsidP="000A76C7">
      <w:pPr>
        <w:pStyle w:val="afc"/>
        <w:numPr>
          <w:ilvl w:val="0"/>
          <w:numId w:val="174"/>
        </w:numPr>
        <w:rPr>
          <w:color w:val="auto"/>
        </w:rPr>
      </w:pPr>
      <w:r w:rsidRPr="00C85F0F">
        <w:rPr>
          <w:rFonts w:ascii="Traditional Arabic" w:hAnsi="Traditional Arabic"/>
          <w:noProof w:val="0"/>
          <w:color w:val="auto"/>
          <w:rtl/>
          <w:lang w:eastAsia="en-US"/>
        </w:rPr>
        <w:t>إذا اجتمع المباشر والمتسبب أضيف الحكم إلى المباشر</w:t>
      </w:r>
      <w:r w:rsidRPr="00C85F0F">
        <w:rPr>
          <w:rStyle w:val="af1"/>
          <w:szCs w:val="32"/>
          <w:rtl/>
        </w:rPr>
        <w:t>(</w:t>
      </w:r>
      <w:r w:rsidRPr="00C85F0F">
        <w:rPr>
          <w:rStyle w:val="af1"/>
          <w:szCs w:val="32"/>
          <w:rtl/>
        </w:rPr>
        <w:footnoteReference w:id="1325"/>
      </w:r>
      <w:r w:rsidRPr="00C85F0F">
        <w:rPr>
          <w:rStyle w:val="af1"/>
          <w:szCs w:val="32"/>
          <w:rtl/>
        </w:rPr>
        <w:t>)</w:t>
      </w:r>
      <w:r w:rsidRPr="00C85F0F">
        <w:rPr>
          <w:rFonts w:hint="cs"/>
          <w:color w:val="auto"/>
          <w:rtl/>
        </w:rPr>
        <w:t>.</w:t>
      </w:r>
    </w:p>
    <w:p w:rsidR="00BD1188" w:rsidRPr="00C85F0F" w:rsidRDefault="00BD1188" w:rsidP="000A76C7">
      <w:pPr>
        <w:pStyle w:val="afc"/>
        <w:numPr>
          <w:ilvl w:val="0"/>
          <w:numId w:val="174"/>
        </w:numPr>
        <w:rPr>
          <w:color w:val="auto"/>
        </w:rPr>
      </w:pPr>
      <w:r w:rsidRPr="00C85F0F">
        <w:rPr>
          <w:rFonts w:ascii="Traditional Arabic" w:hAnsi="Traditional Arabic" w:hint="cs"/>
          <w:noProof w:val="0"/>
          <w:color w:val="auto"/>
          <w:rtl/>
          <w:lang w:eastAsia="en-US"/>
        </w:rPr>
        <w:t>القاعدة أن المباشر والمتسبب كلاهُما ضامن، لكن إذا اجتمعا قُدِّم تضمين المباشر، فإن تعذَّر تضمينُه فعلى المتسبب</w:t>
      </w:r>
      <w:r w:rsidRPr="00C85F0F">
        <w:rPr>
          <w:rStyle w:val="af1"/>
          <w:szCs w:val="32"/>
          <w:rtl/>
        </w:rPr>
        <w:t>(</w:t>
      </w:r>
      <w:r w:rsidRPr="00C85F0F">
        <w:rPr>
          <w:rStyle w:val="af1"/>
          <w:szCs w:val="32"/>
          <w:rtl/>
        </w:rPr>
        <w:footnoteReference w:id="1326"/>
      </w:r>
      <w:r w:rsidRPr="00C85F0F">
        <w:rPr>
          <w:rStyle w:val="af1"/>
          <w:szCs w:val="32"/>
          <w:rtl/>
        </w:rPr>
        <w:t>)</w:t>
      </w:r>
      <w:r w:rsidRPr="00C85F0F">
        <w:rPr>
          <w:rFonts w:hint="cs"/>
          <w:color w:val="auto"/>
          <w:rtl/>
        </w:rPr>
        <w:t>.</w:t>
      </w:r>
    </w:p>
    <w:p w:rsidR="00BD1188" w:rsidRPr="00C85F0F" w:rsidRDefault="00BD1188" w:rsidP="000A76C7">
      <w:pPr>
        <w:pStyle w:val="afc"/>
        <w:numPr>
          <w:ilvl w:val="0"/>
          <w:numId w:val="174"/>
        </w:numPr>
        <w:rPr>
          <w:color w:val="auto"/>
        </w:rPr>
      </w:pPr>
      <w:r w:rsidRPr="00C85F0F">
        <w:rPr>
          <w:rFonts w:ascii="Traditional Arabic" w:hAnsi="Traditional Arabic"/>
          <w:noProof w:val="0"/>
          <w:color w:val="auto"/>
          <w:rtl/>
          <w:lang w:eastAsia="en-US"/>
        </w:rPr>
        <w:t>إذا اجتمع المباش</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 والمتسب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 يضاف الح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كم إلى المباشر</w:t>
      </w:r>
      <w:r w:rsidRPr="00C85F0F">
        <w:rPr>
          <w:rStyle w:val="af1"/>
          <w:szCs w:val="32"/>
          <w:rtl/>
        </w:rPr>
        <w:t>(</w:t>
      </w:r>
      <w:r w:rsidRPr="00C85F0F">
        <w:rPr>
          <w:rStyle w:val="af1"/>
          <w:szCs w:val="32"/>
          <w:rtl/>
        </w:rPr>
        <w:footnoteReference w:id="1327"/>
      </w:r>
      <w:r w:rsidRPr="00C85F0F">
        <w:rPr>
          <w:rStyle w:val="af1"/>
          <w:szCs w:val="32"/>
          <w:rtl/>
        </w:rPr>
        <w:t>)</w:t>
      </w:r>
      <w:r w:rsidRPr="00C85F0F">
        <w:rPr>
          <w:rFonts w:hint="cs"/>
          <w:color w:val="auto"/>
          <w:rtl/>
        </w:rPr>
        <w:t>.</w:t>
      </w:r>
    </w:p>
    <w:p w:rsidR="00BD1188" w:rsidRPr="00C85F0F" w:rsidRDefault="00BD1188" w:rsidP="000A76C7">
      <w:pPr>
        <w:pStyle w:val="afc"/>
        <w:numPr>
          <w:ilvl w:val="0"/>
          <w:numId w:val="174"/>
        </w:numPr>
        <w:rPr>
          <w:color w:val="auto"/>
        </w:rPr>
      </w:pPr>
      <w:r w:rsidRPr="00C85F0F">
        <w:rPr>
          <w:rFonts w:ascii="Traditional Arabic" w:hAnsi="Traditional Arabic"/>
          <w:noProof w:val="0"/>
          <w:rtl/>
          <w:lang w:eastAsia="en-US"/>
        </w:rPr>
        <w:t>إذا اجتمع السبب والمباشرة سقط 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كم السبب</w:t>
      </w:r>
      <w:r w:rsidRPr="00C85F0F">
        <w:rPr>
          <w:rStyle w:val="af1"/>
          <w:szCs w:val="32"/>
          <w:rtl/>
        </w:rPr>
        <w:t>(</w:t>
      </w:r>
      <w:r w:rsidRPr="00C85F0F">
        <w:rPr>
          <w:rStyle w:val="af1"/>
          <w:szCs w:val="32"/>
          <w:rtl/>
        </w:rPr>
        <w:footnoteReference w:id="1328"/>
      </w:r>
      <w:r w:rsidRPr="00C85F0F">
        <w:rPr>
          <w:rStyle w:val="af1"/>
          <w:szCs w:val="32"/>
          <w:rtl/>
        </w:rPr>
        <w:t>)</w:t>
      </w:r>
      <w:r w:rsidRPr="00C85F0F">
        <w:rPr>
          <w:rFonts w:ascii="Traditional Arabic" w:hAnsi="Traditional Arabic"/>
          <w:noProof w:val="0"/>
          <w:rtl/>
          <w:lang w:eastAsia="en-US"/>
        </w:rPr>
        <w:t>.</w:t>
      </w:r>
    </w:p>
    <w:p w:rsidR="00065E4B" w:rsidRPr="00C85F0F" w:rsidRDefault="009E4FB7" w:rsidP="00A8347C">
      <w:pPr>
        <w:pStyle w:val="aff3"/>
        <w:rPr>
          <w:rtl/>
        </w:rPr>
      </w:pPr>
      <w:bookmarkStart w:id="259" w:name="_Toc334046477"/>
      <w:r>
        <w:rPr>
          <w:rFonts w:hint="cs"/>
          <w:rtl/>
        </w:rPr>
        <w:t xml:space="preserve">                                      المطلب</w:t>
      </w:r>
      <w:r w:rsidR="00EB1405">
        <w:rPr>
          <w:rFonts w:hint="cs"/>
          <w:rtl/>
        </w:rPr>
        <w:t xml:space="preserve"> </w:t>
      </w:r>
      <w:r w:rsidR="00BD1188" w:rsidRPr="00C85F0F">
        <w:rPr>
          <w:rFonts w:hint="cs"/>
          <w:rtl/>
        </w:rPr>
        <w:t>الثاني</w:t>
      </w:r>
      <w:r w:rsidR="005C704E" w:rsidRPr="00C85F0F">
        <w:rPr>
          <w:rFonts w:hint="eastAsia"/>
          <w:rtl/>
        </w:rPr>
        <w:t> :</w:t>
      </w:r>
      <w:r w:rsidR="005C704E" w:rsidRPr="00C85F0F">
        <w:rPr>
          <w:rFonts w:hint="cs"/>
          <w:rtl/>
        </w:rPr>
        <w:br/>
      </w:r>
      <w:r>
        <w:rPr>
          <w:rFonts w:hint="cs"/>
          <w:rtl/>
        </w:rPr>
        <w:t xml:space="preserve">                                       </w:t>
      </w:r>
      <w:r w:rsidR="00BD1188" w:rsidRPr="00C85F0F">
        <w:rPr>
          <w:rFonts w:hint="cs"/>
          <w:rtl/>
        </w:rPr>
        <w:t>شرح القاعدة</w:t>
      </w:r>
      <w:bookmarkEnd w:id="259"/>
    </w:p>
    <w:p w:rsidR="00616FF4" w:rsidRDefault="00065E4B" w:rsidP="00EA2BD7">
      <w:pPr>
        <w:pStyle w:val="53"/>
        <w:rPr>
          <w:rtl/>
        </w:rPr>
      </w:pPr>
      <w:r w:rsidRPr="00C85F0F">
        <w:rPr>
          <w:rFonts w:hint="cs"/>
          <w:rtl/>
        </w:rPr>
        <w:t>ا</w:t>
      </w:r>
      <w:r w:rsidR="00BD1188" w:rsidRPr="00C85F0F">
        <w:rPr>
          <w:rFonts w:hint="cs"/>
          <w:rtl/>
        </w:rPr>
        <w:t>لمتسبِّب</w:t>
      </w:r>
      <w:r w:rsidR="00AB0B9E" w:rsidRPr="00C85F0F">
        <w:fldChar w:fldCharType="begin"/>
      </w:r>
      <w:r w:rsidR="005C704E" w:rsidRPr="00C85F0F">
        <w:instrText>XE</w:instrText>
      </w:r>
      <w:r w:rsidR="005C704E" w:rsidRPr="00C85F0F">
        <w:rPr>
          <w:rtl/>
        </w:rPr>
        <w:instrText xml:space="preserve"> "</w:instrText>
      </w:r>
      <w:r w:rsidR="005C704E" w:rsidRPr="00C85F0F">
        <w:rPr>
          <w:rFonts w:hint="cs"/>
          <w:rtl/>
        </w:rPr>
        <w:instrText>المتسبِّب</w:instrText>
      </w:r>
      <w:r w:rsidR="005C704E" w:rsidRPr="00C85F0F">
        <w:rPr>
          <w:rtl/>
        </w:rPr>
        <w:instrText>" \</w:instrText>
      </w:r>
      <w:r w:rsidR="005C704E" w:rsidRPr="00C85F0F">
        <w:instrText>fm</w:instrText>
      </w:r>
      <w:r w:rsidR="00AB0B9E" w:rsidRPr="00C85F0F">
        <w:fldChar w:fldCharType="end"/>
      </w:r>
      <w:r w:rsidR="00BD1188">
        <w:rPr>
          <w:rFonts w:hint="cs"/>
          <w:b w:val="0"/>
          <w:rtl/>
        </w:rPr>
        <w:t xml:space="preserve"> لغة:</w:t>
      </w:r>
    </w:p>
    <w:p w:rsidR="00065E4B" w:rsidRDefault="00BD1188" w:rsidP="00597C20">
      <w:pPr>
        <w:ind w:firstLine="720"/>
        <w:rPr>
          <w:color w:val="auto"/>
          <w:rtl/>
        </w:rPr>
      </w:pPr>
      <w:r>
        <w:rPr>
          <w:rFonts w:hint="cs"/>
          <w:color w:val="auto"/>
          <w:rtl/>
        </w:rPr>
        <w:t>المتسبب هو فاعل السبب، وقد تقدم معنى السبب في اللغة.</w:t>
      </w:r>
    </w:p>
    <w:p w:rsidR="00616FF4" w:rsidRDefault="00065E4B" w:rsidP="00597C20">
      <w:pPr>
        <w:pStyle w:val="53"/>
        <w:rPr>
          <w:rtl/>
        </w:rPr>
      </w:pPr>
      <w:r>
        <w:rPr>
          <w:rFonts w:hint="cs"/>
          <w:rtl/>
        </w:rPr>
        <w:t>ا</w:t>
      </w:r>
      <w:r w:rsidR="00BD1188">
        <w:rPr>
          <w:rFonts w:hint="cs"/>
          <w:rtl/>
        </w:rPr>
        <w:t>لمتسبب اصطلاحا:</w:t>
      </w:r>
    </w:p>
    <w:p w:rsidR="00065E4B" w:rsidRPr="00C012BD" w:rsidRDefault="00BD1188" w:rsidP="00597C20">
      <w:pPr>
        <w:widowControl/>
        <w:autoSpaceDE w:val="0"/>
        <w:autoSpaceDN w:val="0"/>
        <w:adjustRightInd w:val="0"/>
        <w:ind w:firstLine="720"/>
        <w:jc w:val="left"/>
        <w:rPr>
          <w:rFonts w:ascii="Traditional Arabic" w:hAnsi="Traditional Arabic"/>
          <w:b/>
          <w:bCs/>
          <w:noProof w:val="0"/>
          <w:sz w:val="44"/>
          <w:szCs w:val="44"/>
          <w:rtl/>
          <w:lang w:eastAsia="en-US"/>
        </w:rPr>
      </w:pPr>
      <w:r w:rsidRPr="008A21B7">
        <w:rPr>
          <w:rFonts w:hint="cs"/>
          <w:color w:val="auto"/>
          <w:rtl/>
        </w:rPr>
        <w:t>هو الذي</w:t>
      </w:r>
      <w:r w:rsidRPr="008A21B7">
        <w:rPr>
          <w:rFonts w:ascii="Traditional Arabic" w:hAnsi="Traditional Arabic"/>
          <w:noProof w:val="0"/>
          <w:rtl/>
          <w:lang w:eastAsia="en-US"/>
        </w:rPr>
        <w:t xml:space="preserve"> هو الذي حصل الت</w:t>
      </w:r>
      <w:r>
        <w:rPr>
          <w:rFonts w:ascii="Traditional Arabic" w:hAnsi="Traditional Arabic" w:hint="cs"/>
          <w:noProof w:val="0"/>
          <w:rtl/>
          <w:lang w:eastAsia="en-US"/>
        </w:rPr>
        <w:t>َّ</w:t>
      </w:r>
      <w:r w:rsidRPr="008A21B7">
        <w:rPr>
          <w:rFonts w:ascii="Traditional Arabic" w:hAnsi="Traditional Arabic"/>
          <w:noProof w:val="0"/>
          <w:rtl/>
          <w:lang w:eastAsia="en-US"/>
        </w:rPr>
        <w:t>ل</w:t>
      </w:r>
      <w:r>
        <w:rPr>
          <w:rFonts w:ascii="Traditional Arabic" w:hAnsi="Traditional Arabic" w:hint="cs"/>
          <w:noProof w:val="0"/>
          <w:rtl/>
          <w:lang w:eastAsia="en-US"/>
        </w:rPr>
        <w:t>َ</w:t>
      </w:r>
      <w:r w:rsidRPr="008A21B7">
        <w:rPr>
          <w:rFonts w:ascii="Traditional Arabic" w:hAnsi="Traditional Arabic"/>
          <w:noProof w:val="0"/>
          <w:rtl/>
          <w:lang w:eastAsia="en-US"/>
        </w:rPr>
        <w:t>ف بف</w:t>
      </w:r>
      <w:r>
        <w:rPr>
          <w:rFonts w:ascii="Traditional Arabic" w:hAnsi="Traditional Arabic" w:hint="cs"/>
          <w:noProof w:val="0"/>
          <w:rtl/>
          <w:lang w:eastAsia="en-US"/>
        </w:rPr>
        <w:t>ِ</w:t>
      </w:r>
      <w:r w:rsidRPr="008A21B7">
        <w:rPr>
          <w:rFonts w:ascii="Traditional Arabic" w:hAnsi="Traditional Arabic"/>
          <w:noProof w:val="0"/>
          <w:rtl/>
          <w:lang w:eastAsia="en-US"/>
        </w:rPr>
        <w:t>عله</w:t>
      </w:r>
      <w:r>
        <w:rPr>
          <w:rFonts w:ascii="Traditional Arabic" w:hAnsi="Traditional Arabic" w:hint="cs"/>
          <w:noProof w:val="0"/>
          <w:rtl/>
          <w:lang w:eastAsia="en-US"/>
        </w:rPr>
        <w:t>،</w:t>
      </w:r>
      <w:r>
        <w:rPr>
          <w:rFonts w:ascii="Traditional Arabic" w:hAnsi="Traditional Arabic"/>
          <w:noProof w:val="0"/>
          <w:rtl/>
          <w:lang w:eastAsia="en-US"/>
        </w:rPr>
        <w:t xml:space="preserve"> وتخلل بين فعله</w:t>
      </w:r>
      <w:r w:rsidRPr="008A21B7">
        <w:rPr>
          <w:rFonts w:ascii="Traditional Arabic" w:hAnsi="Traditional Arabic"/>
          <w:noProof w:val="0"/>
          <w:rtl/>
          <w:lang w:eastAsia="en-US"/>
        </w:rPr>
        <w:t xml:space="preserve"> والتلف ف</w:t>
      </w:r>
      <w:r>
        <w:rPr>
          <w:rFonts w:ascii="Traditional Arabic" w:hAnsi="Traditional Arabic" w:hint="cs"/>
          <w:noProof w:val="0"/>
          <w:rtl/>
          <w:lang w:eastAsia="en-US"/>
        </w:rPr>
        <w:t>ِ</w:t>
      </w:r>
      <w:r w:rsidRPr="008A21B7">
        <w:rPr>
          <w:rFonts w:ascii="Traditional Arabic" w:hAnsi="Traditional Arabic"/>
          <w:noProof w:val="0"/>
          <w:rtl/>
          <w:lang w:eastAsia="en-US"/>
        </w:rPr>
        <w:t>عل</w:t>
      </w:r>
      <w:r>
        <w:rPr>
          <w:rFonts w:ascii="Traditional Arabic" w:hAnsi="Traditional Arabic" w:hint="cs"/>
          <w:noProof w:val="0"/>
          <w:rtl/>
          <w:lang w:eastAsia="en-US"/>
        </w:rPr>
        <w:t>ُ</w:t>
      </w:r>
      <w:r w:rsidR="009E4FB7">
        <w:rPr>
          <w:rFonts w:ascii="Traditional Arabic" w:hAnsi="Traditional Arabic" w:hint="cs"/>
          <w:noProof w:val="0"/>
          <w:rtl/>
          <w:lang w:eastAsia="en-US"/>
        </w:rPr>
        <w:t xml:space="preserve"> </w:t>
      </w:r>
      <w:r w:rsidRPr="008A21B7">
        <w:rPr>
          <w:rFonts w:ascii="Traditional Arabic" w:hAnsi="Traditional Arabic"/>
          <w:noProof w:val="0"/>
          <w:rtl/>
          <w:lang w:eastAsia="en-US"/>
        </w:rPr>
        <w:t>م</w:t>
      </w:r>
      <w:r>
        <w:rPr>
          <w:rFonts w:ascii="Traditional Arabic" w:hAnsi="Traditional Arabic" w:hint="cs"/>
          <w:noProof w:val="0"/>
          <w:rtl/>
          <w:lang w:eastAsia="en-US"/>
        </w:rPr>
        <w:t>ُ</w:t>
      </w:r>
      <w:r w:rsidRPr="008A21B7">
        <w:rPr>
          <w:rFonts w:ascii="Traditional Arabic" w:hAnsi="Traditional Arabic"/>
          <w:noProof w:val="0"/>
          <w:rtl/>
          <w:lang w:eastAsia="en-US"/>
        </w:rPr>
        <w:t>ختار</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329"/>
      </w:r>
      <w:r w:rsidRPr="00C821A1">
        <w:rPr>
          <w:rStyle w:val="af1"/>
          <w:szCs w:val="32"/>
          <w:rtl/>
        </w:rPr>
        <w:t>)</w:t>
      </w:r>
      <w:r w:rsidRPr="008A21B7">
        <w:rPr>
          <w:rFonts w:ascii="Traditional Arabic" w:hAnsi="Traditional Arabic"/>
          <w:noProof w:val="0"/>
          <w:rtl/>
          <w:lang w:eastAsia="en-US"/>
        </w:rPr>
        <w:t>.</w:t>
      </w:r>
    </w:p>
    <w:p w:rsidR="00616FF4" w:rsidRDefault="00065E4B" w:rsidP="00597C20">
      <w:pPr>
        <w:pStyle w:val="53"/>
        <w:rPr>
          <w:b w:val="0"/>
          <w:rtl/>
        </w:rPr>
      </w:pPr>
      <w:r>
        <w:rPr>
          <w:rFonts w:hint="cs"/>
          <w:b w:val="0"/>
          <w:rtl/>
        </w:rPr>
        <w:lastRenderedPageBreak/>
        <w:t>ا</w:t>
      </w:r>
      <w:r w:rsidR="00BD1188">
        <w:rPr>
          <w:rFonts w:hint="cs"/>
          <w:b w:val="0"/>
          <w:rtl/>
        </w:rPr>
        <w:t>لمباشر</w:t>
      </w:r>
      <w:r w:rsidR="00AB0B9E">
        <w:rPr>
          <w:b w:val="0"/>
          <w:rtl/>
        </w:rPr>
        <w:fldChar w:fldCharType="begin"/>
      </w:r>
      <w:r w:rsidR="005C704E" w:rsidRPr="00C85F0F">
        <w:rPr>
          <w:bCs w:val="0"/>
        </w:rPr>
        <w:instrText>XE</w:instrText>
      </w:r>
      <w:r w:rsidR="005C704E" w:rsidRPr="00C85F0F">
        <w:rPr>
          <w:bCs w:val="0"/>
          <w:rtl/>
        </w:rPr>
        <w:instrText xml:space="preserve"> "</w:instrText>
      </w:r>
      <w:r w:rsidR="005C704E" w:rsidRPr="00C85F0F">
        <w:rPr>
          <w:rFonts w:hint="cs"/>
          <w:bCs w:val="0"/>
          <w:rtl/>
        </w:rPr>
        <w:instrText>المباشر</w:instrText>
      </w:r>
      <w:r w:rsidR="005C704E" w:rsidRPr="00C85F0F">
        <w:rPr>
          <w:bCs w:val="0"/>
          <w:rtl/>
        </w:rPr>
        <w:instrText>" \</w:instrText>
      </w:r>
      <w:r w:rsidR="005C704E" w:rsidRPr="00C85F0F">
        <w:rPr>
          <w:bCs w:val="0"/>
        </w:rPr>
        <w:instrText>f</w:instrText>
      </w:r>
      <w:r w:rsidR="005C704E" w:rsidRPr="005C704E">
        <w:instrText>m</w:instrText>
      </w:r>
      <w:r w:rsidR="00AB0B9E">
        <w:rPr>
          <w:b w:val="0"/>
          <w:rtl/>
        </w:rPr>
        <w:fldChar w:fldCharType="end"/>
      </w:r>
      <w:r w:rsidR="00BD1188">
        <w:rPr>
          <w:rFonts w:hint="cs"/>
          <w:b w:val="0"/>
          <w:rtl/>
        </w:rPr>
        <w:t xml:space="preserve"> لغة:</w:t>
      </w:r>
    </w:p>
    <w:p w:rsidR="00065E4B" w:rsidRPr="00C726E0" w:rsidRDefault="00BD1188" w:rsidP="00597C20">
      <w:pPr>
        <w:ind w:firstLine="720"/>
        <w:rPr>
          <w:color w:val="auto"/>
          <w:rtl/>
        </w:rPr>
      </w:pPr>
      <w:r>
        <w:rPr>
          <w:rFonts w:hint="cs"/>
          <w:color w:val="auto"/>
          <w:rtl/>
        </w:rPr>
        <w:t>الذي يلي الأمور بنفسه</w:t>
      </w:r>
      <w:r w:rsidRPr="00C821A1">
        <w:rPr>
          <w:rStyle w:val="af1"/>
          <w:szCs w:val="32"/>
          <w:rtl/>
        </w:rPr>
        <w:t>(</w:t>
      </w:r>
      <w:r w:rsidRPr="00C821A1">
        <w:rPr>
          <w:rStyle w:val="af1"/>
          <w:szCs w:val="32"/>
          <w:rtl/>
        </w:rPr>
        <w:footnoteReference w:id="1330"/>
      </w:r>
      <w:r w:rsidRPr="00C821A1">
        <w:rPr>
          <w:rStyle w:val="af1"/>
          <w:szCs w:val="32"/>
          <w:rtl/>
        </w:rPr>
        <w:t>)</w:t>
      </w:r>
      <w:r>
        <w:rPr>
          <w:rFonts w:hint="cs"/>
          <w:color w:val="auto"/>
          <w:rtl/>
        </w:rPr>
        <w:t>.</w:t>
      </w:r>
    </w:p>
    <w:p w:rsidR="00616FF4" w:rsidRDefault="00065E4B" w:rsidP="00597C20">
      <w:pPr>
        <w:pStyle w:val="53"/>
        <w:rPr>
          <w:rtl/>
        </w:rPr>
      </w:pPr>
      <w:r>
        <w:rPr>
          <w:rFonts w:hint="cs"/>
          <w:rtl/>
        </w:rPr>
        <w:t>ا</w:t>
      </w:r>
      <w:r w:rsidR="00BD1188">
        <w:rPr>
          <w:rFonts w:hint="cs"/>
          <w:rtl/>
        </w:rPr>
        <w:t>لمباشر اصطلاحا:</w:t>
      </w:r>
    </w:p>
    <w:p w:rsidR="00065E4B" w:rsidRPr="00BF3B15" w:rsidRDefault="00BD1188" w:rsidP="00597C20">
      <w:pPr>
        <w:ind w:firstLine="720"/>
        <w:rPr>
          <w:color w:val="auto"/>
          <w:rtl/>
        </w:rPr>
      </w:pPr>
      <w:r w:rsidRPr="00C012BD">
        <w:rPr>
          <w:rFonts w:ascii="Traditional Arabic" w:hAnsi="Traditional Arabic" w:hint="cs"/>
          <w:noProof w:val="0"/>
          <w:rtl/>
          <w:lang w:eastAsia="en-US"/>
        </w:rPr>
        <w:t xml:space="preserve">هو الذي </w:t>
      </w:r>
      <w:r>
        <w:rPr>
          <w:rFonts w:ascii="Traditional Arabic" w:hAnsi="Traditional Arabic" w:hint="cs"/>
          <w:noProof w:val="0"/>
          <w:rtl/>
          <w:lang w:eastAsia="en-US"/>
        </w:rPr>
        <w:t>ح</w:t>
      </w:r>
      <w:r w:rsidRPr="00C012BD">
        <w:rPr>
          <w:rFonts w:ascii="Traditional Arabic" w:hAnsi="Traditional Arabic"/>
          <w:noProof w:val="0"/>
          <w:rtl/>
          <w:lang w:eastAsia="en-US"/>
        </w:rPr>
        <w:t>صل التلف بفعله</w:t>
      </w:r>
      <w:r>
        <w:rPr>
          <w:rFonts w:ascii="Traditional Arabic" w:hAnsi="Traditional Arabic" w:hint="cs"/>
          <w:noProof w:val="0"/>
          <w:rtl/>
          <w:lang w:eastAsia="en-US"/>
        </w:rPr>
        <w:t>،</w:t>
      </w:r>
      <w:r w:rsidRPr="00C012BD">
        <w:rPr>
          <w:rFonts w:ascii="Traditional Arabic" w:hAnsi="Traditional Arabic"/>
          <w:noProof w:val="0"/>
          <w:rtl/>
          <w:lang w:eastAsia="en-US"/>
        </w:rPr>
        <w:t xml:space="preserve"> من غير أن يتخل</w:t>
      </w:r>
      <w:r>
        <w:rPr>
          <w:rFonts w:ascii="Traditional Arabic" w:hAnsi="Traditional Arabic" w:hint="cs"/>
          <w:noProof w:val="0"/>
          <w:rtl/>
          <w:lang w:eastAsia="en-US"/>
        </w:rPr>
        <w:t>َّ</w:t>
      </w:r>
      <w:r w:rsidRPr="00C012BD">
        <w:rPr>
          <w:rFonts w:ascii="Traditional Arabic" w:hAnsi="Traditional Arabic"/>
          <w:noProof w:val="0"/>
          <w:rtl/>
          <w:lang w:eastAsia="en-US"/>
        </w:rPr>
        <w:t>ل بين فعله والتلف فعل</w:t>
      </w:r>
      <w:r>
        <w:rPr>
          <w:rFonts w:ascii="Traditional Arabic" w:hAnsi="Traditional Arabic" w:hint="cs"/>
          <w:noProof w:val="0"/>
          <w:rtl/>
          <w:lang w:eastAsia="en-US"/>
        </w:rPr>
        <w:t>ُ</w:t>
      </w:r>
      <w:r w:rsidR="00EB1405">
        <w:rPr>
          <w:rFonts w:ascii="Traditional Arabic" w:hAnsi="Traditional Arabic" w:hint="cs"/>
          <w:noProof w:val="0"/>
          <w:rtl/>
          <w:lang w:eastAsia="en-US"/>
        </w:rPr>
        <w:t xml:space="preserve"> </w:t>
      </w:r>
      <w:r w:rsidRPr="00C012BD">
        <w:rPr>
          <w:rFonts w:ascii="Traditional Arabic" w:hAnsi="Traditional Arabic"/>
          <w:noProof w:val="0"/>
          <w:rtl/>
          <w:lang w:eastAsia="en-US"/>
        </w:rPr>
        <w:t>مختار</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331"/>
      </w:r>
      <w:r w:rsidRPr="00C821A1">
        <w:rPr>
          <w:rStyle w:val="af1"/>
          <w:szCs w:val="32"/>
          <w:rtl/>
        </w:rPr>
        <w:t>)</w:t>
      </w:r>
      <w:r>
        <w:rPr>
          <w:rFonts w:ascii="Traditional Arabic" w:hAnsi="Traditional Arabic" w:hint="cs"/>
          <w:noProof w:val="0"/>
          <w:rtl/>
          <w:lang w:eastAsia="en-US"/>
        </w:rPr>
        <w:t>.</w:t>
      </w:r>
    </w:p>
    <w:p w:rsidR="00065E4B" w:rsidRDefault="00065E4B" w:rsidP="00597C20">
      <w:pPr>
        <w:pStyle w:val="53"/>
        <w:rPr>
          <w:rtl/>
        </w:rPr>
      </w:pPr>
      <w:r>
        <w:rPr>
          <w:rFonts w:hint="cs"/>
          <w:rtl/>
        </w:rPr>
        <w:t>م</w:t>
      </w:r>
      <w:r w:rsidR="00BD1188">
        <w:rPr>
          <w:rFonts w:hint="cs"/>
          <w:rtl/>
        </w:rPr>
        <w:t>عنى القاعدة إجمالا:</w:t>
      </w:r>
    </w:p>
    <w:p w:rsidR="00065E4B" w:rsidRDefault="00EB1405" w:rsidP="00EB1405">
      <w:pPr>
        <w:ind w:firstLine="0"/>
        <w:rPr>
          <w:rFonts w:ascii="Traditional Arabic" w:hAnsi="Traditional Arabic"/>
          <w:noProof w:val="0"/>
          <w:rtl/>
          <w:lang w:eastAsia="en-US"/>
        </w:rPr>
      </w:pPr>
      <w:r>
        <w:rPr>
          <w:rFonts w:hint="cs"/>
          <w:color w:val="auto"/>
          <w:rtl/>
        </w:rPr>
        <w:t xml:space="preserve">    </w:t>
      </w:r>
      <w:r w:rsidR="00BD1188">
        <w:rPr>
          <w:rFonts w:hint="cs"/>
          <w:color w:val="auto"/>
          <w:rtl/>
        </w:rPr>
        <w:t xml:space="preserve"> إذا اجتمع</w:t>
      </w:r>
      <w:r w:rsidR="00BD1188" w:rsidRPr="00010170">
        <w:rPr>
          <w:rFonts w:ascii="Traditional Arabic" w:hAnsi="Traditional Arabic"/>
          <w:noProof w:val="0"/>
          <w:rtl/>
          <w:lang w:eastAsia="en-US"/>
        </w:rPr>
        <w:t xml:space="preserve"> متسبب ومباشر فالضمان على المباشر</w:t>
      </w:r>
      <w:r w:rsidR="00BD1188">
        <w:rPr>
          <w:rFonts w:ascii="Traditional Arabic" w:hAnsi="Traditional Arabic" w:hint="cs"/>
          <w:noProof w:val="0"/>
          <w:rtl/>
          <w:lang w:eastAsia="en-US"/>
        </w:rPr>
        <w:t xml:space="preserve">، </w:t>
      </w:r>
      <w:r w:rsidR="00BD1188" w:rsidRPr="00010170">
        <w:rPr>
          <w:rFonts w:ascii="Traditional Arabic" w:hAnsi="Traditional Arabic"/>
          <w:noProof w:val="0"/>
          <w:rtl/>
          <w:lang w:eastAsia="en-US"/>
        </w:rPr>
        <w:t>ولكن إذا تعذ</w:t>
      </w:r>
      <w:r w:rsidR="00BD1188">
        <w:rPr>
          <w:rFonts w:ascii="Traditional Arabic" w:hAnsi="Traditional Arabic" w:hint="cs"/>
          <w:noProof w:val="0"/>
          <w:rtl/>
          <w:lang w:eastAsia="en-US"/>
        </w:rPr>
        <w:t>َّ</w:t>
      </w:r>
      <w:r w:rsidR="00BD1188" w:rsidRPr="00010170">
        <w:rPr>
          <w:rFonts w:ascii="Traditional Arabic" w:hAnsi="Traditional Arabic"/>
          <w:noProof w:val="0"/>
          <w:rtl/>
          <w:lang w:eastAsia="en-US"/>
        </w:rPr>
        <w:t>ر</w:t>
      </w:r>
      <w:r>
        <w:rPr>
          <w:rFonts w:ascii="Traditional Arabic" w:hAnsi="Traditional Arabic" w:hint="cs"/>
          <w:noProof w:val="0"/>
          <w:rtl/>
          <w:lang w:eastAsia="en-US"/>
        </w:rPr>
        <w:t xml:space="preserve"> </w:t>
      </w:r>
      <w:r w:rsidR="00BD1188" w:rsidRPr="00010170">
        <w:rPr>
          <w:rFonts w:ascii="Traditional Arabic" w:hAnsi="Traditional Arabic"/>
          <w:noProof w:val="0"/>
          <w:rtl/>
          <w:lang w:eastAsia="en-US"/>
        </w:rPr>
        <w:t>إحالة الضمان على المباشر</w:t>
      </w:r>
      <w:r w:rsidR="00BD1188">
        <w:rPr>
          <w:rFonts w:ascii="Traditional Arabic" w:hAnsi="Traditional Arabic" w:hint="cs"/>
          <w:noProof w:val="0"/>
          <w:rtl/>
          <w:lang w:eastAsia="en-US"/>
        </w:rPr>
        <w:t xml:space="preserve">، أو </w:t>
      </w:r>
      <w:r w:rsidR="00BD1188" w:rsidRPr="00A12690">
        <w:rPr>
          <w:rFonts w:ascii="Traditional Arabic" w:hAnsi="Traditional Arabic"/>
          <w:noProof w:val="0"/>
          <w:rtl/>
          <w:lang w:eastAsia="en-US"/>
        </w:rPr>
        <w:t>كانت المباشرة مبني</w:t>
      </w:r>
      <w:r w:rsidR="00BD1188">
        <w:rPr>
          <w:rFonts w:ascii="Traditional Arabic" w:hAnsi="Traditional Arabic" w:hint="cs"/>
          <w:noProof w:val="0"/>
          <w:rtl/>
          <w:lang w:eastAsia="en-US"/>
        </w:rPr>
        <w:t>َّ</w:t>
      </w:r>
      <w:r w:rsidR="00BD1188" w:rsidRPr="00A12690">
        <w:rPr>
          <w:rFonts w:ascii="Traditional Arabic" w:hAnsi="Traditional Arabic"/>
          <w:noProof w:val="0"/>
          <w:rtl/>
          <w:lang w:eastAsia="en-US"/>
        </w:rPr>
        <w:t>ة</w:t>
      </w:r>
      <w:r w:rsidR="00BD1188">
        <w:rPr>
          <w:rFonts w:ascii="Traditional Arabic" w:hAnsi="Traditional Arabic" w:hint="cs"/>
          <w:noProof w:val="0"/>
          <w:rtl/>
          <w:lang w:eastAsia="en-US"/>
        </w:rPr>
        <w:t>ً</w:t>
      </w:r>
      <w:r w:rsidR="00BD1188" w:rsidRPr="00A12690">
        <w:rPr>
          <w:rFonts w:ascii="Traditional Arabic" w:hAnsi="Traditional Arabic"/>
          <w:noProof w:val="0"/>
          <w:rtl/>
          <w:lang w:eastAsia="en-US"/>
        </w:rPr>
        <w:t xml:space="preserve"> على السبب</w:t>
      </w:r>
      <w:r w:rsidR="00BD1188">
        <w:rPr>
          <w:rFonts w:ascii="Traditional Arabic" w:hAnsi="Traditional Arabic" w:hint="cs"/>
          <w:noProof w:val="0"/>
          <w:rtl/>
          <w:lang w:eastAsia="en-US"/>
        </w:rPr>
        <w:t>،</w:t>
      </w:r>
      <w:r w:rsidR="009A3062">
        <w:rPr>
          <w:rFonts w:ascii="Traditional Arabic" w:hAnsi="Traditional Arabic" w:hint="cs"/>
          <w:noProof w:val="0"/>
          <w:rtl/>
          <w:lang w:eastAsia="en-US"/>
        </w:rPr>
        <w:t xml:space="preserve"> </w:t>
      </w:r>
      <w:r w:rsidR="00BD1188">
        <w:rPr>
          <w:rFonts w:ascii="Traditional Arabic" w:hAnsi="Traditional Arabic" w:hint="cs"/>
          <w:noProof w:val="0"/>
          <w:rtl/>
          <w:lang w:eastAsia="en-US"/>
        </w:rPr>
        <w:t xml:space="preserve">ولم يكن في السبب عُدوانٌ مطلقاً، فإن الضمان يكون </w:t>
      </w:r>
      <w:r w:rsidR="00BD1188" w:rsidRPr="00010170">
        <w:rPr>
          <w:rFonts w:ascii="Traditional Arabic" w:hAnsi="Traditional Arabic"/>
          <w:noProof w:val="0"/>
          <w:rtl/>
          <w:lang w:eastAsia="en-US"/>
        </w:rPr>
        <w:t>على المتسبب</w:t>
      </w:r>
      <w:r w:rsidR="00BD1188" w:rsidRPr="00C821A1">
        <w:rPr>
          <w:rStyle w:val="af1"/>
          <w:szCs w:val="32"/>
          <w:rtl/>
        </w:rPr>
        <w:t>(</w:t>
      </w:r>
      <w:r w:rsidR="00BD1188" w:rsidRPr="00C821A1">
        <w:rPr>
          <w:rStyle w:val="af1"/>
          <w:szCs w:val="32"/>
          <w:rtl/>
        </w:rPr>
        <w:footnoteReference w:id="1332"/>
      </w:r>
      <w:r w:rsidR="00BD1188" w:rsidRPr="00C821A1">
        <w:rPr>
          <w:rStyle w:val="af1"/>
          <w:szCs w:val="32"/>
          <w:rtl/>
        </w:rPr>
        <w:t>)</w:t>
      </w:r>
      <w:r w:rsidR="00BD1188">
        <w:rPr>
          <w:rFonts w:ascii="Traditional Arabic" w:hAnsi="Traditional Arabic" w:hint="cs"/>
          <w:noProof w:val="0"/>
          <w:rtl/>
          <w:lang w:eastAsia="en-US"/>
        </w:rPr>
        <w:t>.</w:t>
      </w:r>
    </w:p>
    <w:p w:rsidR="00BD1188" w:rsidRDefault="00EB1405" w:rsidP="00EB1405">
      <w:pPr>
        <w:ind w:firstLine="0"/>
        <w:rPr>
          <w:color w:val="auto"/>
          <w:rtl/>
        </w:rPr>
      </w:pPr>
      <w:r>
        <w:rPr>
          <w:rFonts w:ascii="Traditional Arabic" w:hAnsi="Traditional Arabic" w:hint="cs"/>
          <w:noProof w:val="0"/>
          <w:rtl/>
          <w:lang w:eastAsia="en-US"/>
        </w:rPr>
        <w:t xml:space="preserve">     </w:t>
      </w:r>
      <w:r w:rsidR="00065E4B">
        <w:rPr>
          <w:rFonts w:ascii="Traditional Arabic" w:hAnsi="Traditional Arabic" w:hint="cs"/>
          <w:noProof w:val="0"/>
          <w:rtl/>
          <w:lang w:eastAsia="en-US"/>
        </w:rPr>
        <w:t>أ</w:t>
      </w:r>
      <w:r w:rsidR="00BD1188">
        <w:rPr>
          <w:rFonts w:ascii="Traditional Arabic" w:hAnsi="Traditional Arabic" w:hint="cs"/>
          <w:noProof w:val="0"/>
          <w:rtl/>
          <w:lang w:eastAsia="en-US"/>
        </w:rPr>
        <w:t>ما إن كانت المباشرة مبنيَّةً على السبب، وكان في السبب نوعُ عدوانٍ</w:t>
      </w:r>
      <w:r w:rsidR="00BD1188">
        <w:rPr>
          <w:rFonts w:hint="cs"/>
          <w:color w:val="auto"/>
          <w:rtl/>
        </w:rPr>
        <w:t>، فإن المباشر والمتسبب يشتركان في الضمان</w:t>
      </w:r>
      <w:r w:rsidR="00BD1188" w:rsidRPr="00C821A1">
        <w:rPr>
          <w:rStyle w:val="af1"/>
          <w:szCs w:val="32"/>
          <w:rtl/>
        </w:rPr>
        <w:t>(</w:t>
      </w:r>
      <w:r w:rsidR="00BD1188" w:rsidRPr="00C821A1">
        <w:rPr>
          <w:rStyle w:val="af1"/>
          <w:szCs w:val="32"/>
          <w:rtl/>
        </w:rPr>
        <w:footnoteReference w:id="1333"/>
      </w:r>
      <w:r w:rsidR="00BD1188" w:rsidRPr="00C821A1">
        <w:rPr>
          <w:rStyle w:val="af1"/>
          <w:szCs w:val="32"/>
          <w:rtl/>
        </w:rPr>
        <w:t>)</w:t>
      </w:r>
      <w:r w:rsidR="00BD1188">
        <w:rPr>
          <w:rFonts w:hint="cs"/>
          <w:color w:val="auto"/>
          <w:rtl/>
        </w:rPr>
        <w:t>.</w:t>
      </w:r>
    </w:p>
    <w:p w:rsidR="00065E4B" w:rsidRPr="00C37010" w:rsidRDefault="009E4FB7" w:rsidP="00A8347C">
      <w:pPr>
        <w:pStyle w:val="aff3"/>
        <w:rPr>
          <w:rtl/>
        </w:rPr>
      </w:pPr>
      <w:bookmarkStart w:id="260" w:name="_Toc334046478"/>
      <w:r>
        <w:rPr>
          <w:rFonts w:hint="cs"/>
          <w:rtl/>
        </w:rPr>
        <w:t xml:space="preserve">                                         المطلب</w:t>
      </w:r>
      <w:r w:rsidR="00EB1405">
        <w:rPr>
          <w:rFonts w:hint="cs"/>
          <w:rtl/>
        </w:rPr>
        <w:t xml:space="preserve"> </w:t>
      </w:r>
      <w:r w:rsidR="00BD1188" w:rsidRPr="00C37010">
        <w:rPr>
          <w:rFonts w:hint="cs"/>
          <w:rtl/>
        </w:rPr>
        <w:t>الثالث</w:t>
      </w:r>
      <w:r w:rsidR="00C37010">
        <w:rPr>
          <w:rFonts w:hint="eastAsia"/>
          <w:rtl/>
        </w:rPr>
        <w:t> :</w:t>
      </w:r>
      <w:r w:rsidR="00C37010">
        <w:rPr>
          <w:rFonts w:hint="cs"/>
          <w:rtl/>
        </w:rPr>
        <w:br/>
      </w:r>
      <w:r>
        <w:rPr>
          <w:rFonts w:hint="cs"/>
          <w:rtl/>
        </w:rPr>
        <w:t xml:space="preserve">                       </w:t>
      </w:r>
      <w:r w:rsidR="00EB1405">
        <w:rPr>
          <w:rFonts w:hint="cs"/>
          <w:rtl/>
        </w:rPr>
        <w:t xml:space="preserve">                    </w:t>
      </w:r>
      <w:r w:rsidR="00BD1188" w:rsidRPr="00C37010">
        <w:rPr>
          <w:rFonts w:hint="cs"/>
          <w:rtl/>
        </w:rPr>
        <w:t>أدلة القاعدة</w:t>
      </w:r>
      <w:bookmarkEnd w:id="260"/>
    </w:p>
    <w:p w:rsidR="00BD1188" w:rsidRDefault="002B37A1" w:rsidP="00597C20">
      <w:pPr>
        <w:widowControl/>
        <w:autoSpaceDE w:val="0"/>
        <w:autoSpaceDN w:val="0"/>
        <w:adjustRightInd w:val="0"/>
        <w:ind w:firstLine="720"/>
        <w:rPr>
          <w:rFonts w:ascii="Traditional Arabic" w:hAnsi="Traditional Arabic"/>
          <w:noProof w:val="0"/>
          <w:color w:val="auto"/>
          <w:rtl/>
          <w:lang w:eastAsia="en-US"/>
        </w:rPr>
      </w:pPr>
      <w:r>
        <w:rPr>
          <w:rFonts w:hint="cs"/>
          <w:color w:val="auto"/>
          <w:rtl/>
        </w:rPr>
        <w:t>ل</w:t>
      </w:r>
      <w:r w:rsidR="00BD1188" w:rsidRPr="00B01A35">
        <w:rPr>
          <w:rFonts w:hint="cs"/>
          <w:color w:val="auto"/>
          <w:rtl/>
        </w:rPr>
        <w:t>م أجد أدلة</w:t>
      </w:r>
      <w:r w:rsidR="00EB1405">
        <w:rPr>
          <w:rFonts w:hint="cs"/>
          <w:color w:val="auto"/>
          <w:rtl/>
        </w:rPr>
        <w:t>ً</w:t>
      </w:r>
      <w:r w:rsidR="00BD1188" w:rsidRPr="00B01A35">
        <w:rPr>
          <w:rFonts w:hint="cs"/>
          <w:color w:val="auto"/>
          <w:rtl/>
        </w:rPr>
        <w:t xml:space="preserve"> على هذه القاعدة سوى ما ذكره</w:t>
      </w:r>
      <w:r w:rsidR="00BD1188">
        <w:rPr>
          <w:rFonts w:hint="cs"/>
          <w:color w:val="auto"/>
          <w:rtl/>
        </w:rPr>
        <w:t xml:space="preserve"> بعض العلماء المعاصرين من تعليل، حيث إنه</w:t>
      </w:r>
      <w:r w:rsidR="00EB1405">
        <w:rPr>
          <w:rFonts w:hint="cs"/>
          <w:color w:val="auto"/>
          <w:rtl/>
        </w:rPr>
        <w:t xml:space="preserve"> </w:t>
      </w:r>
      <w:r w:rsidR="00BD1188">
        <w:rPr>
          <w:rFonts w:hint="cs"/>
          <w:color w:val="auto"/>
          <w:rtl/>
        </w:rPr>
        <w:t>قال</w:t>
      </w:r>
      <w:r w:rsidR="00BD1188" w:rsidRPr="00B01A35">
        <w:rPr>
          <w:rFonts w:hint="cs"/>
          <w:color w:val="auto"/>
          <w:rtl/>
        </w:rPr>
        <w:t>:</w:t>
      </w:r>
      <w:r w:rsidR="00BD1188">
        <w:rPr>
          <w:rFonts w:hint="cs"/>
          <w:color w:val="auto"/>
          <w:rtl/>
        </w:rPr>
        <w:t xml:space="preserve"> (</w:t>
      </w:r>
      <w:r w:rsidR="00BD1188" w:rsidRPr="00916DDF">
        <w:rPr>
          <w:rFonts w:ascii="Traditional Arabic" w:hAnsi="Traditional Arabic"/>
          <w:noProof w:val="0"/>
          <w:color w:val="auto"/>
          <w:rtl/>
          <w:lang w:eastAsia="en-US"/>
        </w:rPr>
        <w:t>إذا اجتمع المباشر للفعل أي الفاعل له بالذات، والمتسبب له، أي</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xml:space="preserve"> المفضي</w:t>
      </w:r>
      <w:r w:rsidR="00EB1405">
        <w:rPr>
          <w:rFonts w:ascii="Traditional Arabic" w:hAnsi="Traditional Arabic" w:hint="cs"/>
          <w:noProof w:val="0"/>
          <w:color w:val="auto"/>
          <w:rtl/>
          <w:lang w:eastAsia="en-US"/>
        </w:rPr>
        <w:t xml:space="preserve"> </w:t>
      </w:r>
      <w:r w:rsidR="00BD1188" w:rsidRPr="00916DDF">
        <w:rPr>
          <w:rFonts w:ascii="Traditional Arabic" w:hAnsi="Traditional Arabic"/>
          <w:noProof w:val="0"/>
          <w:color w:val="auto"/>
          <w:rtl/>
          <w:lang w:eastAsia="en-US"/>
        </w:rPr>
        <w:t>والموص</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ل إلى</w:t>
      </w:r>
      <w:r w:rsidR="00BD1188">
        <w:rPr>
          <w:rFonts w:ascii="Traditional Arabic" w:hAnsi="Traditional Arabic"/>
          <w:noProof w:val="0"/>
          <w:color w:val="auto"/>
          <w:rtl/>
          <w:lang w:eastAsia="en-US"/>
        </w:rPr>
        <w:t xml:space="preserve"> وقوعه، فيضاف الحكم إلى المباشر</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xml:space="preserve"> لأن الفاعل هو العلة المؤث</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xml:space="preserve">رة، </w:t>
      </w:r>
      <w:r w:rsidR="00BD1188" w:rsidRPr="00EB1405">
        <w:rPr>
          <w:rFonts w:ascii="Traditional Arabic" w:hAnsi="Traditional Arabic"/>
          <w:noProof w:val="0"/>
          <w:color w:val="auto"/>
          <w:rtl/>
          <w:lang w:eastAsia="en-US"/>
        </w:rPr>
        <w:t>والأصل في الأحكام أن تضاف إلى ع</w:t>
      </w:r>
      <w:r w:rsidR="00BD1188" w:rsidRPr="00EB1405">
        <w:rPr>
          <w:rFonts w:ascii="Traditional Arabic" w:hAnsi="Traditional Arabic" w:hint="cs"/>
          <w:noProof w:val="0"/>
          <w:color w:val="auto"/>
          <w:rtl/>
          <w:lang w:eastAsia="en-US"/>
        </w:rPr>
        <w:t>ِ</w:t>
      </w:r>
      <w:r w:rsidR="00BD1188" w:rsidRPr="00EB1405">
        <w:rPr>
          <w:rFonts w:ascii="Traditional Arabic" w:hAnsi="Traditional Arabic"/>
          <w:noProof w:val="0"/>
          <w:color w:val="auto"/>
          <w:rtl/>
          <w:lang w:eastAsia="en-US"/>
        </w:rPr>
        <w:t>للها المؤث</w:t>
      </w:r>
      <w:r w:rsidR="00BD1188" w:rsidRPr="00EB1405">
        <w:rPr>
          <w:rFonts w:ascii="Traditional Arabic" w:hAnsi="Traditional Arabic" w:hint="cs"/>
          <w:noProof w:val="0"/>
          <w:color w:val="auto"/>
          <w:rtl/>
          <w:lang w:eastAsia="en-US"/>
        </w:rPr>
        <w:t>ِّ</w:t>
      </w:r>
      <w:r w:rsidR="00BD1188" w:rsidRPr="00EB1405">
        <w:rPr>
          <w:rFonts w:ascii="Traditional Arabic" w:hAnsi="Traditional Arabic"/>
          <w:noProof w:val="0"/>
          <w:color w:val="auto"/>
          <w:rtl/>
          <w:lang w:eastAsia="en-US"/>
        </w:rPr>
        <w:t>رة لا إلى أسبابها الموص</w:t>
      </w:r>
      <w:r w:rsidR="00BD1188" w:rsidRPr="00EB1405">
        <w:rPr>
          <w:rFonts w:ascii="Traditional Arabic" w:hAnsi="Traditional Arabic" w:hint="cs"/>
          <w:noProof w:val="0"/>
          <w:color w:val="auto"/>
          <w:rtl/>
          <w:lang w:eastAsia="en-US"/>
        </w:rPr>
        <w:t>ِ</w:t>
      </w:r>
      <w:r w:rsidR="00BD1188" w:rsidRPr="00EB1405">
        <w:rPr>
          <w:rFonts w:ascii="Traditional Arabic" w:hAnsi="Traditional Arabic"/>
          <w:noProof w:val="0"/>
          <w:color w:val="auto"/>
          <w:rtl/>
          <w:lang w:eastAsia="en-US"/>
        </w:rPr>
        <w:t>لة</w:t>
      </w:r>
      <w:r w:rsidR="00BD1188">
        <w:rPr>
          <w:rFonts w:ascii="Traditional Arabic" w:hAnsi="Traditional Arabic" w:hint="cs"/>
          <w:noProof w:val="0"/>
          <w:color w:val="auto"/>
          <w:rtl/>
          <w:lang w:eastAsia="en-US"/>
        </w:rPr>
        <w:t>؛</w:t>
      </w:r>
      <w:r w:rsidR="00BD1188">
        <w:rPr>
          <w:rFonts w:ascii="Traditional Arabic" w:hAnsi="Traditional Arabic"/>
          <w:noProof w:val="0"/>
          <w:color w:val="auto"/>
          <w:rtl/>
          <w:lang w:eastAsia="en-US"/>
        </w:rPr>
        <w:t xml:space="preserve"> لأن تلك أقوى وأقرب</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xml:space="preserve"> إذ المتسبب هو الذي تخل</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xml:space="preserve">ل بين </w:t>
      </w:r>
      <w:r w:rsidR="00BD1188" w:rsidRPr="00916DDF">
        <w:rPr>
          <w:rFonts w:ascii="Traditional Arabic" w:hAnsi="Traditional Arabic"/>
          <w:noProof w:val="0"/>
          <w:color w:val="auto"/>
          <w:rtl/>
          <w:lang w:eastAsia="en-US"/>
        </w:rPr>
        <w:lastRenderedPageBreak/>
        <w:t>ف</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عله والأثر</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xml:space="preserve"> المترت</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ب عليه، من تل</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ف أو غيره، ف</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عل</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xml:space="preserve"> فاعل</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xml:space="preserve"> مختار</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والمباشر هو الذي يحص</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ل الأثر بف</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عله من غير أن يتخلل بينهما فعل فاعل مختار، فكان أقرب</w:t>
      </w:r>
      <w:r w:rsidR="00BD1188">
        <w:rPr>
          <w:rFonts w:ascii="Traditional Arabic" w:hAnsi="Traditional Arabic" w:hint="cs"/>
          <w:noProof w:val="0"/>
          <w:color w:val="auto"/>
          <w:rtl/>
          <w:lang w:eastAsia="en-US"/>
        </w:rPr>
        <w:t>َ</w:t>
      </w:r>
      <w:r w:rsidR="00BD1188" w:rsidRPr="00916DDF">
        <w:rPr>
          <w:rFonts w:ascii="Traditional Arabic" w:hAnsi="Traditional Arabic"/>
          <w:noProof w:val="0"/>
          <w:color w:val="auto"/>
          <w:rtl/>
          <w:lang w:eastAsia="en-US"/>
        </w:rPr>
        <w:t xml:space="preserve"> لإضافة الحكم إليه من المتسبب</w:t>
      </w:r>
      <w:r w:rsidR="00BD1188">
        <w:rPr>
          <w:rFonts w:hint="cs"/>
          <w:color w:val="auto"/>
          <w:rtl/>
        </w:rPr>
        <w:t>)</w:t>
      </w:r>
      <w:r w:rsidR="00BD1188" w:rsidRPr="00C821A1">
        <w:rPr>
          <w:rStyle w:val="af1"/>
          <w:szCs w:val="32"/>
          <w:rtl/>
        </w:rPr>
        <w:t>(</w:t>
      </w:r>
      <w:r w:rsidR="00BD1188" w:rsidRPr="00C821A1">
        <w:rPr>
          <w:rStyle w:val="af1"/>
          <w:szCs w:val="32"/>
          <w:rtl/>
        </w:rPr>
        <w:footnoteReference w:id="1334"/>
      </w:r>
      <w:r w:rsidR="00BD1188" w:rsidRPr="00C821A1">
        <w:rPr>
          <w:rStyle w:val="af1"/>
          <w:szCs w:val="32"/>
          <w:rtl/>
        </w:rPr>
        <w:t>)</w:t>
      </w:r>
      <w:r w:rsidR="00BD1188">
        <w:rPr>
          <w:rFonts w:hint="cs"/>
          <w:color w:val="auto"/>
          <w:rtl/>
        </w:rPr>
        <w:t>.</w:t>
      </w:r>
    </w:p>
    <w:p w:rsidR="00BD1188" w:rsidRPr="00C37010" w:rsidRDefault="009E4FB7" w:rsidP="00A8347C">
      <w:pPr>
        <w:pStyle w:val="aff3"/>
        <w:rPr>
          <w:rtl/>
        </w:rPr>
      </w:pPr>
      <w:bookmarkStart w:id="261" w:name="_Toc334046479"/>
      <w:r>
        <w:rPr>
          <w:rFonts w:hint="cs"/>
          <w:rtl/>
        </w:rPr>
        <w:t xml:space="preserve">                                        المطلب</w:t>
      </w:r>
      <w:r w:rsidR="00EB1405">
        <w:rPr>
          <w:rFonts w:hint="cs"/>
          <w:rtl/>
        </w:rPr>
        <w:t xml:space="preserve"> </w:t>
      </w:r>
      <w:r w:rsidR="00BD1188" w:rsidRPr="00C37010">
        <w:rPr>
          <w:rFonts w:hint="cs"/>
          <w:rtl/>
        </w:rPr>
        <w:t>الرابع</w:t>
      </w:r>
      <w:r w:rsidR="00C37010">
        <w:rPr>
          <w:rFonts w:hint="eastAsia"/>
          <w:rtl/>
        </w:rPr>
        <w:t> :</w:t>
      </w:r>
      <w:r w:rsidR="00C37010">
        <w:rPr>
          <w:rFonts w:hint="cs"/>
          <w:rtl/>
        </w:rPr>
        <w:br/>
      </w:r>
      <w:r>
        <w:rPr>
          <w:rFonts w:hint="cs"/>
          <w:rtl/>
        </w:rPr>
        <w:t xml:space="preserve">        </w:t>
      </w:r>
      <w:r w:rsidR="00EB1405">
        <w:rPr>
          <w:rFonts w:hint="cs"/>
          <w:rtl/>
        </w:rPr>
        <w:t xml:space="preserve">                               </w:t>
      </w:r>
      <w:r w:rsidR="00BD1188" w:rsidRPr="00C37010">
        <w:rPr>
          <w:rFonts w:hint="cs"/>
          <w:rtl/>
        </w:rPr>
        <w:t>تطبيقات القاعدة</w:t>
      </w:r>
      <w:bookmarkEnd w:id="261"/>
    </w:p>
    <w:p w:rsidR="00BD1188" w:rsidRDefault="00BD1188" w:rsidP="000A76C7">
      <w:pPr>
        <w:pStyle w:val="afc"/>
        <w:widowControl/>
        <w:numPr>
          <w:ilvl w:val="0"/>
          <w:numId w:val="175"/>
        </w:numPr>
        <w:autoSpaceDE w:val="0"/>
        <w:autoSpaceDN w:val="0"/>
        <w:adjustRightInd w:val="0"/>
        <w:jc w:val="left"/>
        <w:rPr>
          <w:rFonts w:ascii="Traditional Arabic" w:hAnsi="Traditional Arabic"/>
          <w:noProof w:val="0"/>
          <w:lang w:eastAsia="en-US"/>
        </w:rPr>
      </w:pPr>
      <w:r>
        <w:rPr>
          <w:rFonts w:ascii="Traditional Arabic" w:hAnsi="Traditional Arabic"/>
          <w:noProof w:val="0"/>
          <w:rtl/>
          <w:lang w:eastAsia="en-US"/>
        </w:rPr>
        <w:t>إن أ</w:t>
      </w:r>
      <w:r>
        <w:rPr>
          <w:rFonts w:ascii="Traditional Arabic" w:hAnsi="Traditional Arabic" w:hint="cs"/>
          <w:noProof w:val="0"/>
          <w:rtl/>
          <w:lang w:eastAsia="en-US"/>
        </w:rPr>
        <w:t>َ</w:t>
      </w:r>
      <w:r>
        <w:rPr>
          <w:rFonts w:ascii="Traditional Arabic" w:hAnsi="Traditional Arabic"/>
          <w:noProof w:val="0"/>
          <w:rtl/>
          <w:lang w:eastAsia="en-US"/>
        </w:rPr>
        <w:t>ط</w:t>
      </w:r>
      <w:r>
        <w:rPr>
          <w:rFonts w:ascii="Traditional Arabic" w:hAnsi="Traditional Arabic" w:hint="cs"/>
          <w:noProof w:val="0"/>
          <w:rtl/>
          <w:lang w:eastAsia="en-US"/>
        </w:rPr>
        <w:t>ْ</w:t>
      </w:r>
      <w:r>
        <w:rPr>
          <w:rFonts w:ascii="Traditional Arabic" w:hAnsi="Traditional Arabic"/>
          <w:noProof w:val="0"/>
          <w:rtl/>
          <w:lang w:eastAsia="en-US"/>
        </w:rPr>
        <w:t>ع</w:t>
      </w:r>
      <w:r>
        <w:rPr>
          <w:rFonts w:ascii="Traditional Arabic" w:hAnsi="Traditional Arabic" w:hint="cs"/>
          <w:noProof w:val="0"/>
          <w:rtl/>
          <w:lang w:eastAsia="en-US"/>
        </w:rPr>
        <w:t>َ</w:t>
      </w:r>
      <w:r>
        <w:rPr>
          <w:rFonts w:ascii="Traditional Arabic" w:hAnsi="Traditional Arabic"/>
          <w:noProof w:val="0"/>
          <w:rtl/>
          <w:lang w:eastAsia="en-US"/>
        </w:rPr>
        <w:t>م</w:t>
      </w:r>
      <w:r w:rsidR="00EB1405">
        <w:rPr>
          <w:rFonts w:ascii="Traditional Arabic" w:hAnsi="Traditional Arabic" w:hint="cs"/>
          <w:noProof w:val="0"/>
          <w:rtl/>
          <w:lang w:eastAsia="en-US"/>
        </w:rPr>
        <w:t xml:space="preserve"> </w:t>
      </w:r>
      <w:r>
        <w:rPr>
          <w:rFonts w:ascii="Traditional Arabic" w:hAnsi="Traditional Arabic"/>
          <w:noProof w:val="0"/>
          <w:rtl/>
          <w:lang w:eastAsia="en-US"/>
        </w:rPr>
        <w:t>الغاصب</w:t>
      </w:r>
      <w:r>
        <w:rPr>
          <w:rFonts w:ascii="Traditional Arabic" w:hAnsi="Traditional Arabic" w:hint="cs"/>
          <w:noProof w:val="0"/>
          <w:rtl/>
          <w:lang w:eastAsia="en-US"/>
        </w:rPr>
        <w:t>ُ</w:t>
      </w:r>
      <w:r w:rsidRPr="00CF0029">
        <w:rPr>
          <w:rFonts w:ascii="Traditional Arabic" w:hAnsi="Traditional Arabic"/>
          <w:noProof w:val="0"/>
          <w:rtl/>
          <w:lang w:eastAsia="en-US"/>
        </w:rPr>
        <w:t xml:space="preserve"> المغصوب</w:t>
      </w:r>
      <w:r>
        <w:rPr>
          <w:rFonts w:ascii="Traditional Arabic" w:hAnsi="Traditional Arabic" w:hint="cs"/>
          <w:noProof w:val="0"/>
          <w:rtl/>
          <w:lang w:eastAsia="en-US"/>
        </w:rPr>
        <w:t xml:space="preserve">َ </w:t>
      </w:r>
      <w:r w:rsidRPr="00CF0029">
        <w:rPr>
          <w:rFonts w:ascii="Traditional Arabic" w:hAnsi="Traditional Arabic"/>
          <w:noProof w:val="0"/>
          <w:rtl/>
          <w:lang w:eastAsia="en-US"/>
        </w:rPr>
        <w:t>لعالم</w:t>
      </w:r>
      <w:r>
        <w:rPr>
          <w:rFonts w:ascii="Traditional Arabic" w:hAnsi="Traditional Arabic" w:hint="cs"/>
          <w:noProof w:val="0"/>
          <w:rtl/>
          <w:lang w:eastAsia="en-US"/>
        </w:rPr>
        <w:t>ٍ</w:t>
      </w:r>
      <w:r w:rsidRPr="00CF0029">
        <w:rPr>
          <w:rFonts w:ascii="Traditional Arabic" w:hAnsi="Traditional Arabic"/>
          <w:noProof w:val="0"/>
          <w:rtl/>
          <w:lang w:eastAsia="en-US"/>
        </w:rPr>
        <w:t xml:space="preserve"> ب</w:t>
      </w:r>
      <w:r>
        <w:rPr>
          <w:rFonts w:ascii="Traditional Arabic" w:hAnsi="Traditional Arabic" w:hint="cs"/>
          <w:noProof w:val="0"/>
          <w:rtl/>
          <w:lang w:eastAsia="en-US"/>
        </w:rPr>
        <w:t>ِ</w:t>
      </w:r>
      <w:r w:rsidRPr="00CF0029">
        <w:rPr>
          <w:rFonts w:ascii="Traditional Arabic" w:hAnsi="Traditional Arabic"/>
          <w:noProof w:val="0"/>
          <w:rtl/>
          <w:lang w:eastAsia="en-US"/>
        </w:rPr>
        <w:t>غ</w:t>
      </w:r>
      <w:r>
        <w:rPr>
          <w:rFonts w:ascii="Traditional Arabic" w:hAnsi="Traditional Arabic" w:hint="cs"/>
          <w:noProof w:val="0"/>
          <w:rtl/>
          <w:lang w:eastAsia="en-US"/>
        </w:rPr>
        <w:t>َ</w:t>
      </w:r>
      <w:r w:rsidRPr="00CF0029">
        <w:rPr>
          <w:rFonts w:ascii="Traditional Arabic" w:hAnsi="Traditional Arabic"/>
          <w:noProof w:val="0"/>
          <w:rtl/>
          <w:lang w:eastAsia="en-US"/>
        </w:rPr>
        <w:t>ص</w:t>
      </w:r>
      <w:r>
        <w:rPr>
          <w:rFonts w:ascii="Traditional Arabic" w:hAnsi="Traditional Arabic" w:hint="cs"/>
          <w:noProof w:val="0"/>
          <w:rtl/>
          <w:lang w:eastAsia="en-US"/>
        </w:rPr>
        <w:t>ْ</w:t>
      </w:r>
      <w:r>
        <w:rPr>
          <w:rFonts w:ascii="Traditional Arabic" w:hAnsi="Traditional Arabic"/>
          <w:noProof w:val="0"/>
          <w:rtl/>
          <w:lang w:eastAsia="en-US"/>
        </w:rPr>
        <w:t>به</w:t>
      </w:r>
      <w:r w:rsidRPr="00C821A1">
        <w:rPr>
          <w:rStyle w:val="af1"/>
          <w:szCs w:val="32"/>
          <w:rtl/>
        </w:rPr>
        <w:t>(</w:t>
      </w:r>
      <w:r w:rsidRPr="00C821A1">
        <w:rPr>
          <w:rStyle w:val="af1"/>
          <w:szCs w:val="32"/>
          <w:rtl/>
        </w:rPr>
        <w:footnoteReference w:id="1335"/>
      </w:r>
      <w:r w:rsidRPr="00C821A1">
        <w:rPr>
          <w:rStyle w:val="af1"/>
          <w:szCs w:val="32"/>
          <w:rtl/>
        </w:rPr>
        <w:t>)</w:t>
      </w:r>
      <w:r>
        <w:rPr>
          <w:rFonts w:ascii="Traditional Arabic" w:hAnsi="Traditional Arabic" w:hint="cs"/>
          <w:noProof w:val="0"/>
          <w:rtl/>
          <w:lang w:eastAsia="en-US"/>
        </w:rPr>
        <w:t>،</w:t>
      </w:r>
      <w:r>
        <w:rPr>
          <w:rFonts w:ascii="Traditional Arabic" w:hAnsi="Traditional Arabic"/>
          <w:noProof w:val="0"/>
          <w:rtl/>
          <w:lang w:eastAsia="en-US"/>
        </w:rPr>
        <w:t xml:space="preserve"> فالضما</w:t>
      </w:r>
      <w:r>
        <w:rPr>
          <w:rFonts w:ascii="Traditional Arabic" w:hAnsi="Traditional Arabic" w:hint="cs"/>
          <w:noProof w:val="0"/>
          <w:rtl/>
          <w:lang w:eastAsia="en-US"/>
        </w:rPr>
        <w:t>ن</w:t>
      </w:r>
      <w:r w:rsidRPr="00CF0029">
        <w:rPr>
          <w:rFonts w:ascii="Traditional Arabic" w:hAnsi="Traditional Arabic"/>
          <w:noProof w:val="0"/>
          <w:rtl/>
          <w:lang w:eastAsia="en-US"/>
        </w:rPr>
        <w:t xml:space="preserve"> على الآكل؛ لأنه أكل مال غيره وهو يعلم بغير حق.</w:t>
      </w:r>
    </w:p>
    <w:p w:rsidR="00BD1188" w:rsidRDefault="00BD1188" w:rsidP="00597C20">
      <w:pPr>
        <w:pStyle w:val="53"/>
        <w:rPr>
          <w:rtl/>
        </w:rPr>
      </w:pPr>
      <w:r>
        <w:rPr>
          <w:rFonts w:hint="cs"/>
          <w:rtl/>
        </w:rPr>
        <w:t>وجه اندراج الفرع تحت القاعدة:</w:t>
      </w:r>
    </w:p>
    <w:p w:rsidR="00BD1188" w:rsidRPr="00616FF4" w:rsidRDefault="00BD1188" w:rsidP="00597C20">
      <w:pPr>
        <w:widowControl/>
        <w:autoSpaceDE w:val="0"/>
        <w:autoSpaceDN w:val="0"/>
        <w:adjustRightInd w:val="0"/>
        <w:ind w:firstLine="720"/>
        <w:jc w:val="left"/>
        <w:rPr>
          <w:rFonts w:ascii="Traditional Arabic" w:hAnsi="Traditional Arabic"/>
          <w:noProof w:val="0"/>
          <w:rtl/>
          <w:lang w:eastAsia="en-US"/>
        </w:rPr>
      </w:pPr>
      <w:r w:rsidRPr="00616FF4">
        <w:rPr>
          <w:rFonts w:ascii="Traditional Arabic" w:hAnsi="Traditional Arabic" w:hint="cs"/>
          <w:noProof w:val="0"/>
          <w:rtl/>
          <w:lang w:eastAsia="en-US"/>
        </w:rPr>
        <w:t>أن</w:t>
      </w:r>
      <w:r w:rsidR="00EB1405">
        <w:rPr>
          <w:rFonts w:ascii="Traditional Arabic" w:hAnsi="Traditional Arabic" w:hint="cs"/>
          <w:noProof w:val="0"/>
          <w:rtl/>
          <w:lang w:eastAsia="en-US"/>
        </w:rPr>
        <w:t xml:space="preserve"> </w:t>
      </w:r>
      <w:r w:rsidRPr="00616FF4">
        <w:rPr>
          <w:rFonts w:ascii="Traditional Arabic" w:hAnsi="Traditional Arabic" w:hint="cs"/>
          <w:noProof w:val="0"/>
          <w:rtl/>
          <w:lang w:eastAsia="en-US"/>
        </w:rPr>
        <w:t xml:space="preserve">الآكل </w:t>
      </w:r>
      <w:r w:rsidRPr="00616FF4">
        <w:rPr>
          <w:rFonts w:ascii="Traditional Arabic" w:hAnsi="Traditional Arabic"/>
          <w:noProof w:val="0"/>
          <w:rtl/>
          <w:lang w:eastAsia="en-US"/>
        </w:rPr>
        <w:t>مباشر</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 xml:space="preserve"> للإتلاف والغاصب متسبب</w:t>
      </w:r>
      <w:r w:rsidRPr="00616FF4">
        <w:rPr>
          <w:rFonts w:ascii="Traditional Arabic" w:hAnsi="Traditional Arabic" w:hint="cs"/>
          <w:noProof w:val="0"/>
          <w:rtl/>
          <w:lang w:eastAsia="en-US"/>
        </w:rPr>
        <w:t xml:space="preserve"> فيه</w:t>
      </w:r>
      <w:r w:rsidRPr="00616FF4">
        <w:rPr>
          <w:rFonts w:ascii="Traditional Arabic" w:hAnsi="Traditional Arabic"/>
          <w:noProof w:val="0"/>
          <w:rtl/>
          <w:lang w:eastAsia="en-US"/>
        </w:rPr>
        <w:t>، والقاعدة الشرعية في المتلفات: (أنه إذا اجتمع متسبب ومباشر فالضمان على المباشر)</w:t>
      </w:r>
      <w:r w:rsidRPr="00C821A1">
        <w:rPr>
          <w:rStyle w:val="af1"/>
          <w:szCs w:val="32"/>
          <w:rtl/>
        </w:rPr>
        <w:t>(</w:t>
      </w:r>
      <w:r w:rsidRPr="00C821A1">
        <w:rPr>
          <w:rStyle w:val="af1"/>
          <w:szCs w:val="32"/>
          <w:rtl/>
        </w:rPr>
        <w:footnoteReference w:id="1336"/>
      </w:r>
      <w:r w:rsidRPr="00C821A1">
        <w:rPr>
          <w:rStyle w:val="af1"/>
          <w:szCs w:val="32"/>
          <w:rtl/>
        </w:rPr>
        <w:t>)</w:t>
      </w:r>
      <w:r w:rsidRPr="00616FF4">
        <w:rPr>
          <w:rFonts w:ascii="Traditional Arabic" w:hAnsi="Traditional Arabic" w:hint="cs"/>
          <w:noProof w:val="0"/>
          <w:rtl/>
          <w:lang w:eastAsia="en-US"/>
        </w:rPr>
        <w:t>.</w:t>
      </w:r>
    </w:p>
    <w:p w:rsidR="00BD1188" w:rsidRDefault="00BD1188" w:rsidP="000A76C7">
      <w:pPr>
        <w:pStyle w:val="afc"/>
        <w:widowControl/>
        <w:numPr>
          <w:ilvl w:val="0"/>
          <w:numId w:val="175"/>
        </w:numPr>
        <w:autoSpaceDE w:val="0"/>
        <w:autoSpaceDN w:val="0"/>
        <w:adjustRightInd w:val="0"/>
        <w:jc w:val="left"/>
        <w:rPr>
          <w:rFonts w:ascii="Traditional Arabic" w:hAnsi="Traditional Arabic"/>
          <w:noProof w:val="0"/>
          <w:lang w:eastAsia="en-US"/>
        </w:rPr>
      </w:pPr>
      <w:r w:rsidRPr="00AD48EE">
        <w:rPr>
          <w:rFonts w:ascii="Traditional Arabic" w:hAnsi="Traditional Arabic" w:hint="cs"/>
          <w:noProof w:val="0"/>
          <w:rtl/>
          <w:lang w:eastAsia="en-US"/>
        </w:rPr>
        <w:t xml:space="preserve">إذا </w:t>
      </w:r>
      <w:r w:rsidRPr="00AD48EE">
        <w:rPr>
          <w:rFonts w:ascii="Traditional Arabic" w:hAnsi="Traditional Arabic"/>
          <w:noProof w:val="0"/>
          <w:rtl/>
          <w:lang w:eastAsia="en-US"/>
        </w:rPr>
        <w:t xml:space="preserve">فتح </w:t>
      </w:r>
      <w:r>
        <w:rPr>
          <w:rFonts w:ascii="Traditional Arabic" w:hAnsi="Traditional Arabic" w:hint="cs"/>
          <w:noProof w:val="0"/>
          <w:rtl/>
          <w:lang w:eastAsia="en-US"/>
        </w:rPr>
        <w:t xml:space="preserve">شخص </w:t>
      </w:r>
      <w:r w:rsidRPr="00AD48EE">
        <w:rPr>
          <w:rFonts w:ascii="Traditional Arabic" w:hAnsi="Traditional Arabic"/>
          <w:noProof w:val="0"/>
          <w:rtl/>
          <w:lang w:eastAsia="en-US"/>
        </w:rPr>
        <w:t>ق</w:t>
      </w:r>
      <w:r>
        <w:rPr>
          <w:rFonts w:ascii="Traditional Arabic" w:hAnsi="Traditional Arabic" w:hint="cs"/>
          <w:noProof w:val="0"/>
          <w:rtl/>
          <w:lang w:eastAsia="en-US"/>
        </w:rPr>
        <w:t>َ</w:t>
      </w:r>
      <w:r w:rsidRPr="00AD48EE">
        <w:rPr>
          <w:rFonts w:ascii="Traditional Arabic" w:hAnsi="Traditional Arabic"/>
          <w:noProof w:val="0"/>
          <w:rtl/>
          <w:lang w:eastAsia="en-US"/>
        </w:rPr>
        <w:t>ف</w:t>
      </w:r>
      <w:r>
        <w:rPr>
          <w:rFonts w:ascii="Traditional Arabic" w:hAnsi="Traditional Arabic" w:hint="cs"/>
          <w:noProof w:val="0"/>
          <w:rtl/>
          <w:lang w:eastAsia="en-US"/>
        </w:rPr>
        <w:t>َ</w:t>
      </w:r>
      <w:r w:rsidRPr="00AD48EE">
        <w:rPr>
          <w:rFonts w:ascii="Traditional Arabic" w:hAnsi="Traditional Arabic"/>
          <w:noProof w:val="0"/>
          <w:rtl/>
          <w:lang w:eastAsia="en-US"/>
        </w:rPr>
        <w:t>ص</w:t>
      </w:r>
      <w:r w:rsidRPr="00AD48EE">
        <w:rPr>
          <w:rFonts w:ascii="Traditional Arabic" w:hAnsi="Traditional Arabic" w:hint="cs"/>
          <w:noProof w:val="0"/>
          <w:rtl/>
          <w:lang w:eastAsia="en-US"/>
        </w:rPr>
        <w:t>ا</w:t>
      </w:r>
      <w:r>
        <w:rPr>
          <w:rFonts w:ascii="Traditional Arabic" w:hAnsi="Traditional Arabic" w:hint="cs"/>
          <w:noProof w:val="0"/>
          <w:rtl/>
          <w:lang w:eastAsia="en-US"/>
        </w:rPr>
        <w:t>ً،</w:t>
      </w:r>
      <w:r w:rsidR="00EB1405">
        <w:rPr>
          <w:rFonts w:ascii="Traditional Arabic" w:hAnsi="Traditional Arabic" w:hint="cs"/>
          <w:noProof w:val="0"/>
          <w:rtl/>
          <w:lang w:eastAsia="en-US"/>
        </w:rPr>
        <w:t xml:space="preserve"> </w:t>
      </w:r>
      <w:r>
        <w:rPr>
          <w:rFonts w:ascii="Traditional Arabic" w:hAnsi="Traditional Arabic"/>
          <w:noProof w:val="0"/>
          <w:rtl/>
          <w:lang w:eastAsia="en-US"/>
        </w:rPr>
        <w:t xml:space="preserve">ثم </w:t>
      </w:r>
      <w:r>
        <w:rPr>
          <w:rFonts w:ascii="Traditional Arabic" w:hAnsi="Traditional Arabic" w:hint="cs"/>
          <w:noProof w:val="0"/>
          <w:rtl/>
          <w:lang w:eastAsia="en-US"/>
        </w:rPr>
        <w:t>جاء</w:t>
      </w:r>
      <w:r w:rsidRPr="00AD48EE">
        <w:rPr>
          <w:rFonts w:ascii="Traditional Arabic" w:hAnsi="Traditional Arabic"/>
          <w:noProof w:val="0"/>
          <w:rtl/>
          <w:lang w:eastAsia="en-US"/>
        </w:rPr>
        <w:t xml:space="preserve"> </w:t>
      </w:r>
      <w:r w:rsidR="0070211C">
        <w:rPr>
          <w:rFonts w:ascii="Traditional Arabic" w:hAnsi="Traditional Arabic" w:hint="cs"/>
          <w:noProof w:val="0"/>
          <w:rtl/>
          <w:lang w:eastAsia="en-US"/>
        </w:rPr>
        <w:t xml:space="preserve">شخص </w:t>
      </w:r>
      <w:r w:rsidRPr="00AD48EE">
        <w:rPr>
          <w:rFonts w:ascii="Traditional Arabic" w:hAnsi="Traditional Arabic"/>
          <w:noProof w:val="0"/>
          <w:rtl/>
          <w:lang w:eastAsia="en-US"/>
        </w:rPr>
        <w:t>آخر</w:t>
      </w:r>
      <w:r>
        <w:rPr>
          <w:rFonts w:ascii="Traditional Arabic" w:hAnsi="Traditional Arabic" w:hint="cs"/>
          <w:noProof w:val="0"/>
          <w:rtl/>
          <w:lang w:eastAsia="en-US"/>
        </w:rPr>
        <w:t>ُ</w:t>
      </w:r>
      <w:r w:rsidRPr="00AD48EE">
        <w:rPr>
          <w:rFonts w:ascii="Traditional Arabic" w:hAnsi="Traditional Arabic"/>
          <w:noProof w:val="0"/>
          <w:rtl/>
          <w:lang w:eastAsia="en-US"/>
        </w:rPr>
        <w:t xml:space="preserve"> فهي</w:t>
      </w:r>
      <w:r>
        <w:rPr>
          <w:rFonts w:ascii="Traditional Arabic" w:hAnsi="Traditional Arabic" w:hint="cs"/>
          <w:noProof w:val="0"/>
          <w:rtl/>
          <w:lang w:eastAsia="en-US"/>
        </w:rPr>
        <w:t>َّ</w:t>
      </w:r>
      <w:r w:rsidRPr="00AD48EE">
        <w:rPr>
          <w:rFonts w:ascii="Traditional Arabic" w:hAnsi="Traditional Arabic"/>
          <w:noProof w:val="0"/>
          <w:rtl/>
          <w:lang w:eastAsia="en-US"/>
        </w:rPr>
        <w:t>ج الطائر</w:t>
      </w:r>
      <w:r>
        <w:rPr>
          <w:rFonts w:ascii="Traditional Arabic" w:hAnsi="Traditional Arabic" w:hint="cs"/>
          <w:noProof w:val="0"/>
          <w:rtl/>
          <w:lang w:eastAsia="en-US"/>
        </w:rPr>
        <w:t>َ</w:t>
      </w:r>
      <w:r w:rsidR="00EB1405">
        <w:rPr>
          <w:rFonts w:ascii="Traditional Arabic" w:hAnsi="Traditional Arabic" w:hint="cs"/>
          <w:noProof w:val="0"/>
          <w:rtl/>
          <w:lang w:eastAsia="en-US"/>
        </w:rPr>
        <w:t xml:space="preserve"> </w:t>
      </w:r>
      <w:r>
        <w:rPr>
          <w:rFonts w:ascii="Traditional Arabic" w:hAnsi="Traditional Arabic" w:hint="cs"/>
          <w:noProof w:val="0"/>
          <w:rtl/>
          <w:lang w:eastAsia="en-US"/>
        </w:rPr>
        <w:t>الذي فيه ف</w:t>
      </w:r>
      <w:r w:rsidRPr="00AD48EE">
        <w:rPr>
          <w:rFonts w:ascii="Traditional Arabic" w:hAnsi="Traditional Arabic"/>
          <w:noProof w:val="0"/>
          <w:rtl/>
          <w:lang w:eastAsia="en-US"/>
        </w:rPr>
        <w:t>ط</w:t>
      </w:r>
      <w:r>
        <w:rPr>
          <w:rFonts w:ascii="Traditional Arabic" w:hAnsi="Traditional Arabic" w:hint="cs"/>
          <w:noProof w:val="0"/>
          <w:rtl/>
          <w:lang w:eastAsia="en-US"/>
        </w:rPr>
        <w:t>ا</w:t>
      </w:r>
      <w:r>
        <w:rPr>
          <w:rFonts w:ascii="Traditional Arabic" w:hAnsi="Traditional Arabic"/>
          <w:noProof w:val="0"/>
          <w:rtl/>
          <w:lang w:eastAsia="en-US"/>
        </w:rPr>
        <w:t>ر</w:t>
      </w:r>
      <w:r>
        <w:rPr>
          <w:rFonts w:ascii="Traditional Arabic" w:hAnsi="Traditional Arabic" w:hint="cs"/>
          <w:noProof w:val="0"/>
          <w:rtl/>
          <w:lang w:eastAsia="en-US"/>
        </w:rPr>
        <w:t>َ،</w:t>
      </w:r>
      <w:r>
        <w:rPr>
          <w:rFonts w:ascii="Traditional Arabic" w:hAnsi="Traditional Arabic"/>
          <w:noProof w:val="0"/>
          <w:rtl/>
          <w:lang w:eastAsia="en-US"/>
        </w:rPr>
        <w:t xml:space="preserve"> ف</w:t>
      </w:r>
      <w:r w:rsidR="00EB1405">
        <w:rPr>
          <w:rFonts w:ascii="Traditional Arabic" w:hAnsi="Traditional Arabic" w:hint="cs"/>
          <w:noProof w:val="0"/>
          <w:rtl/>
          <w:lang w:eastAsia="en-US"/>
        </w:rPr>
        <w:t xml:space="preserve">الضمان </w:t>
      </w:r>
      <w:r>
        <w:rPr>
          <w:rFonts w:ascii="Traditional Arabic" w:hAnsi="Traditional Arabic"/>
          <w:noProof w:val="0"/>
          <w:rtl/>
          <w:lang w:eastAsia="en-US"/>
        </w:rPr>
        <w:t>عل</w:t>
      </w:r>
      <w:r>
        <w:rPr>
          <w:rFonts w:ascii="Traditional Arabic" w:hAnsi="Traditional Arabic" w:hint="cs"/>
          <w:noProof w:val="0"/>
          <w:rtl/>
          <w:lang w:eastAsia="en-US"/>
        </w:rPr>
        <w:t>ى</w:t>
      </w:r>
      <w:r w:rsidR="00EB1405">
        <w:rPr>
          <w:rFonts w:ascii="Traditional Arabic" w:hAnsi="Traditional Arabic" w:hint="cs"/>
          <w:noProof w:val="0"/>
          <w:rtl/>
          <w:lang w:eastAsia="en-US"/>
        </w:rPr>
        <w:t xml:space="preserve"> </w:t>
      </w:r>
      <w:r w:rsidRPr="00AD48EE">
        <w:rPr>
          <w:rFonts w:ascii="Traditional Arabic" w:hAnsi="Traditional Arabic"/>
          <w:noProof w:val="0"/>
          <w:rtl/>
          <w:lang w:eastAsia="en-US"/>
        </w:rPr>
        <w:t>المباشر الذي أهاج</w:t>
      </w:r>
      <w:r>
        <w:rPr>
          <w:rFonts w:ascii="Traditional Arabic" w:hAnsi="Traditional Arabic" w:hint="cs"/>
          <w:noProof w:val="0"/>
          <w:rtl/>
          <w:lang w:eastAsia="en-US"/>
        </w:rPr>
        <w:t>َ</w:t>
      </w:r>
      <w:r w:rsidRPr="00AD48EE">
        <w:rPr>
          <w:rFonts w:ascii="Traditional Arabic" w:hAnsi="Traditional Arabic"/>
          <w:noProof w:val="0"/>
          <w:rtl/>
          <w:lang w:eastAsia="en-US"/>
        </w:rPr>
        <w:t xml:space="preserve"> الطائر</w:t>
      </w:r>
      <w:r w:rsidRPr="00C821A1">
        <w:rPr>
          <w:rStyle w:val="af1"/>
          <w:szCs w:val="32"/>
          <w:rtl/>
        </w:rPr>
        <w:t>(</w:t>
      </w:r>
      <w:r w:rsidRPr="00C821A1">
        <w:rPr>
          <w:rStyle w:val="af1"/>
          <w:szCs w:val="32"/>
          <w:rtl/>
        </w:rPr>
        <w:footnoteReference w:id="1337"/>
      </w:r>
      <w:r w:rsidRPr="00C821A1">
        <w:rPr>
          <w:rStyle w:val="af1"/>
          <w:szCs w:val="32"/>
          <w:rtl/>
        </w:rPr>
        <w:t>)</w:t>
      </w:r>
      <w:r w:rsidRPr="00AD48EE">
        <w:rPr>
          <w:rFonts w:ascii="Traditional Arabic" w:hAnsi="Traditional Arabic"/>
          <w:noProof w:val="0"/>
          <w:rtl/>
          <w:lang w:eastAsia="en-US"/>
        </w:rPr>
        <w:t>.</w:t>
      </w:r>
    </w:p>
    <w:p w:rsidR="00BD1188" w:rsidRDefault="00BD1188" w:rsidP="00597C20">
      <w:pPr>
        <w:pStyle w:val="53"/>
        <w:rPr>
          <w:rtl/>
        </w:rPr>
      </w:pPr>
      <w:r>
        <w:rPr>
          <w:rFonts w:hint="cs"/>
          <w:rtl/>
        </w:rPr>
        <w:t>وجه اندراج الفرع تحت القاعدة:</w:t>
      </w:r>
    </w:p>
    <w:p w:rsidR="00BD1188" w:rsidRPr="00616FF4" w:rsidRDefault="00BD1188" w:rsidP="00597C20">
      <w:pPr>
        <w:widowControl/>
        <w:autoSpaceDE w:val="0"/>
        <w:autoSpaceDN w:val="0"/>
        <w:adjustRightInd w:val="0"/>
        <w:ind w:firstLine="720"/>
        <w:rPr>
          <w:rFonts w:ascii="Traditional Arabic" w:hAnsi="Traditional Arabic"/>
          <w:noProof w:val="0"/>
          <w:rtl/>
          <w:lang w:eastAsia="en-US"/>
        </w:rPr>
      </w:pPr>
      <w:r w:rsidRPr="00616FF4">
        <w:rPr>
          <w:rFonts w:ascii="Traditional Arabic" w:hAnsi="Traditional Arabic" w:hint="cs"/>
          <w:noProof w:val="0"/>
          <w:rtl/>
          <w:lang w:eastAsia="en-US"/>
        </w:rPr>
        <w:t>اجتمع في هذه المسألة متسبب: وهو الذي فتح القفص، ومباشر: وهو</w:t>
      </w:r>
      <w:r w:rsidR="00EB1405">
        <w:rPr>
          <w:rFonts w:ascii="Traditional Arabic" w:hAnsi="Traditional Arabic" w:hint="cs"/>
          <w:noProof w:val="0"/>
          <w:rtl/>
          <w:lang w:eastAsia="en-US"/>
        </w:rPr>
        <w:t xml:space="preserve"> الذي هيَّج الطائر، والقاعدة تقول:</w:t>
      </w:r>
      <w:r w:rsidRPr="00616FF4">
        <w:rPr>
          <w:rFonts w:ascii="Traditional Arabic" w:hAnsi="Traditional Arabic" w:hint="cs"/>
          <w:noProof w:val="0"/>
          <w:rtl/>
          <w:lang w:eastAsia="en-US"/>
        </w:rPr>
        <w:t xml:space="preserve"> </w:t>
      </w:r>
      <w:r w:rsidR="00EB1405">
        <w:rPr>
          <w:rFonts w:ascii="Traditional Arabic" w:hAnsi="Traditional Arabic" w:hint="cs"/>
          <w:noProof w:val="0"/>
          <w:rtl/>
          <w:lang w:eastAsia="en-US"/>
        </w:rPr>
        <w:t>"</w:t>
      </w:r>
      <w:r w:rsidRPr="00616FF4">
        <w:rPr>
          <w:rFonts w:ascii="Traditional Arabic" w:hAnsi="Traditional Arabic" w:hint="cs"/>
          <w:noProof w:val="0"/>
          <w:rtl/>
          <w:lang w:eastAsia="en-US"/>
        </w:rPr>
        <w:t>إذا اجتمع متسبب ومباشر فالضمان على المباشر</w:t>
      </w:r>
      <w:r w:rsidR="00EB1405">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338"/>
      </w:r>
      <w:r w:rsidRPr="00C821A1">
        <w:rPr>
          <w:rStyle w:val="af1"/>
          <w:szCs w:val="32"/>
          <w:rtl/>
        </w:rPr>
        <w:t>)</w:t>
      </w:r>
      <w:r w:rsidRPr="00616FF4">
        <w:rPr>
          <w:rFonts w:ascii="Traditional Arabic" w:hAnsi="Traditional Arabic" w:hint="cs"/>
          <w:noProof w:val="0"/>
          <w:rtl/>
          <w:lang w:eastAsia="en-US"/>
        </w:rPr>
        <w:t>.</w:t>
      </w:r>
    </w:p>
    <w:p w:rsidR="00BD1188" w:rsidRPr="00C37010" w:rsidRDefault="009E4FB7" w:rsidP="00A8347C">
      <w:pPr>
        <w:pStyle w:val="aff3"/>
        <w:rPr>
          <w:rtl/>
        </w:rPr>
      </w:pPr>
      <w:bookmarkStart w:id="262" w:name="_Toc334046480"/>
      <w:r>
        <w:rPr>
          <w:rFonts w:hint="cs"/>
          <w:rtl/>
        </w:rPr>
        <w:lastRenderedPageBreak/>
        <w:t xml:space="preserve">                                     المطلب</w:t>
      </w:r>
      <w:r w:rsidR="0070211C">
        <w:rPr>
          <w:rFonts w:hint="cs"/>
          <w:rtl/>
        </w:rPr>
        <w:t xml:space="preserve"> </w:t>
      </w:r>
      <w:r w:rsidR="00BD1188" w:rsidRPr="00C37010">
        <w:rPr>
          <w:rFonts w:hint="cs"/>
          <w:rtl/>
        </w:rPr>
        <w:t>الخامس</w:t>
      </w:r>
      <w:r w:rsidR="00C37010">
        <w:rPr>
          <w:rFonts w:hint="eastAsia"/>
          <w:rtl/>
        </w:rPr>
        <w:t> :</w:t>
      </w:r>
      <w:r w:rsidR="00C37010">
        <w:rPr>
          <w:rFonts w:hint="cs"/>
          <w:rtl/>
        </w:rPr>
        <w:br/>
      </w:r>
      <w:r>
        <w:rPr>
          <w:rFonts w:hint="cs"/>
          <w:rtl/>
        </w:rPr>
        <w:t xml:space="preserve">                                     </w:t>
      </w:r>
      <w:r w:rsidR="00BD1188" w:rsidRPr="00C37010">
        <w:rPr>
          <w:rFonts w:hint="cs"/>
          <w:rtl/>
        </w:rPr>
        <w:t>مستثنيات القاعدة</w:t>
      </w:r>
      <w:bookmarkEnd w:id="262"/>
    </w:p>
    <w:p w:rsidR="00BD1188" w:rsidRDefault="00BD1188" w:rsidP="000A76C7">
      <w:pPr>
        <w:pStyle w:val="afc"/>
        <w:numPr>
          <w:ilvl w:val="0"/>
          <w:numId w:val="176"/>
        </w:numPr>
        <w:rPr>
          <w:color w:val="auto"/>
        </w:rPr>
      </w:pPr>
      <w:r w:rsidRPr="00C82549">
        <w:rPr>
          <w:rFonts w:ascii="Traditional Arabic" w:hAnsi="Traditional Arabic"/>
          <w:noProof w:val="0"/>
          <w:rtl/>
          <w:lang w:eastAsia="en-US"/>
        </w:rPr>
        <w:t>إذا شه</w:t>
      </w:r>
      <w:r>
        <w:rPr>
          <w:rFonts w:ascii="Traditional Arabic" w:hAnsi="Traditional Arabic" w:hint="cs"/>
          <w:noProof w:val="0"/>
          <w:rtl/>
          <w:lang w:eastAsia="en-US"/>
        </w:rPr>
        <w:t>ِ</w:t>
      </w:r>
      <w:r w:rsidRPr="00C82549">
        <w:rPr>
          <w:rFonts w:ascii="Traditional Arabic" w:hAnsi="Traditional Arabic"/>
          <w:noProof w:val="0"/>
          <w:rtl/>
          <w:lang w:eastAsia="en-US"/>
        </w:rPr>
        <w:t>د الشهود</w:t>
      </w:r>
      <w:r>
        <w:rPr>
          <w:rFonts w:ascii="Traditional Arabic" w:hAnsi="Traditional Arabic" w:hint="cs"/>
          <w:noProof w:val="0"/>
          <w:rtl/>
          <w:lang w:eastAsia="en-US"/>
        </w:rPr>
        <w:t>ُ</w:t>
      </w:r>
      <w:r w:rsidRPr="00C82549">
        <w:rPr>
          <w:rFonts w:ascii="Traditional Arabic" w:hAnsi="Traditional Arabic"/>
          <w:noProof w:val="0"/>
          <w:rtl/>
          <w:lang w:eastAsia="en-US"/>
        </w:rPr>
        <w:t xml:space="preserve"> عمداً عند الحاكم بالقتل فق</w:t>
      </w:r>
      <w:r>
        <w:rPr>
          <w:rFonts w:ascii="Traditional Arabic" w:hAnsi="Traditional Arabic" w:hint="cs"/>
          <w:noProof w:val="0"/>
          <w:rtl/>
          <w:lang w:eastAsia="en-US"/>
        </w:rPr>
        <w:t>َ</w:t>
      </w:r>
      <w:r w:rsidRPr="00C82549">
        <w:rPr>
          <w:rFonts w:ascii="Traditional Arabic" w:hAnsi="Traditional Arabic"/>
          <w:noProof w:val="0"/>
          <w:rtl/>
          <w:lang w:eastAsia="en-US"/>
        </w:rPr>
        <w:t>تل، ثم رج</w:t>
      </w:r>
      <w:r>
        <w:rPr>
          <w:rFonts w:ascii="Traditional Arabic" w:hAnsi="Traditional Arabic"/>
          <w:noProof w:val="0"/>
          <w:rtl/>
          <w:lang w:eastAsia="en-US"/>
        </w:rPr>
        <w:t>ع الشهود، فالضمان على الشهود</w:t>
      </w:r>
      <w:r w:rsidRPr="00C82549">
        <w:rPr>
          <w:rFonts w:ascii="Traditional Arabic" w:hAnsi="Traditional Arabic"/>
          <w:noProof w:val="0"/>
          <w:rtl/>
          <w:lang w:eastAsia="en-US"/>
        </w:rPr>
        <w:t>، لأنهم متسب</w:t>
      </w:r>
      <w:r>
        <w:rPr>
          <w:rFonts w:ascii="Traditional Arabic" w:hAnsi="Traditional Arabic" w:hint="cs"/>
          <w:noProof w:val="0"/>
          <w:rtl/>
          <w:lang w:eastAsia="en-US"/>
        </w:rPr>
        <w:t>ِّ</w:t>
      </w:r>
      <w:r w:rsidRPr="00C82549">
        <w:rPr>
          <w:rFonts w:ascii="Traditional Arabic" w:hAnsi="Traditional Arabic"/>
          <w:noProof w:val="0"/>
          <w:rtl/>
          <w:lang w:eastAsia="en-US"/>
        </w:rPr>
        <w:t>بون في القتل، دون الحاكم المباشر</w:t>
      </w:r>
      <w:r w:rsidRPr="00C821A1">
        <w:rPr>
          <w:rStyle w:val="af1"/>
          <w:szCs w:val="32"/>
          <w:rtl/>
        </w:rPr>
        <w:t>(</w:t>
      </w:r>
      <w:r w:rsidRPr="00C821A1">
        <w:rPr>
          <w:rStyle w:val="af1"/>
          <w:szCs w:val="32"/>
          <w:rtl/>
        </w:rPr>
        <w:footnoteReference w:id="1339"/>
      </w:r>
      <w:r w:rsidRPr="00C821A1">
        <w:rPr>
          <w:rStyle w:val="af1"/>
          <w:szCs w:val="32"/>
          <w:rtl/>
        </w:rPr>
        <w:t>)</w:t>
      </w:r>
      <w:r>
        <w:rPr>
          <w:rFonts w:ascii="Traditional Arabic" w:hAnsi="Traditional Arabic" w:hint="cs"/>
          <w:noProof w:val="0"/>
          <w:rtl/>
          <w:lang w:eastAsia="en-US"/>
        </w:rPr>
        <w:t>.</w:t>
      </w:r>
    </w:p>
    <w:p w:rsidR="00BD1188" w:rsidRPr="00BE7EEF" w:rsidRDefault="00BD1188" w:rsidP="000A76C7">
      <w:pPr>
        <w:pStyle w:val="afc"/>
        <w:numPr>
          <w:ilvl w:val="0"/>
          <w:numId w:val="176"/>
        </w:numPr>
        <w:rPr>
          <w:color w:val="auto"/>
          <w:rtl/>
        </w:rPr>
      </w:pPr>
      <w:r w:rsidRPr="00BE7EEF">
        <w:rPr>
          <w:rFonts w:ascii="Traditional Arabic" w:hAnsi="Traditional Arabic"/>
          <w:noProof w:val="0"/>
          <w:rtl/>
          <w:lang w:eastAsia="en-US"/>
        </w:rPr>
        <w:t>لو دلّ المود</w:t>
      </w:r>
      <w:r>
        <w:rPr>
          <w:rFonts w:ascii="Traditional Arabic" w:hAnsi="Traditional Arabic" w:hint="cs"/>
          <w:noProof w:val="0"/>
          <w:rtl/>
          <w:lang w:eastAsia="en-US"/>
        </w:rPr>
        <w:t>َ</w:t>
      </w:r>
      <w:r w:rsidRPr="00BE7EEF">
        <w:rPr>
          <w:rFonts w:ascii="Traditional Arabic" w:hAnsi="Traditional Arabic"/>
          <w:noProof w:val="0"/>
          <w:rtl/>
          <w:lang w:eastAsia="en-US"/>
        </w:rPr>
        <w:t>ع ل</w:t>
      </w:r>
      <w:r>
        <w:rPr>
          <w:rFonts w:ascii="Traditional Arabic" w:hAnsi="Traditional Arabic" w:hint="cs"/>
          <w:noProof w:val="0"/>
          <w:rtl/>
          <w:lang w:eastAsia="en-US"/>
        </w:rPr>
        <w:t>ِ</w:t>
      </w:r>
      <w:r w:rsidRPr="00BE7EEF">
        <w:rPr>
          <w:rFonts w:ascii="Traditional Arabic" w:hAnsi="Traditional Arabic"/>
          <w:noProof w:val="0"/>
          <w:rtl/>
          <w:lang w:eastAsia="en-US"/>
        </w:rPr>
        <w:t>ص</w:t>
      </w:r>
      <w:r>
        <w:rPr>
          <w:rFonts w:ascii="Traditional Arabic" w:hAnsi="Traditional Arabic" w:hint="cs"/>
          <w:noProof w:val="0"/>
          <w:rtl/>
          <w:lang w:eastAsia="en-US"/>
        </w:rPr>
        <w:t>ّ</w:t>
      </w:r>
      <w:r w:rsidRPr="00BE7EEF">
        <w:rPr>
          <w:rFonts w:ascii="Traditional Arabic" w:hAnsi="Traditional Arabic"/>
          <w:noProof w:val="0"/>
          <w:rtl/>
          <w:lang w:eastAsia="en-US"/>
        </w:rPr>
        <w:t>اً على الوديعة، فسرقها، فالضمان عليهما</w:t>
      </w:r>
      <w:r w:rsidRPr="00C821A1">
        <w:rPr>
          <w:rStyle w:val="af1"/>
          <w:szCs w:val="32"/>
          <w:rtl/>
        </w:rPr>
        <w:t>(</w:t>
      </w:r>
      <w:r w:rsidRPr="00C821A1">
        <w:rPr>
          <w:rStyle w:val="af1"/>
          <w:szCs w:val="32"/>
          <w:rtl/>
        </w:rPr>
        <w:footnoteReference w:id="1340"/>
      </w:r>
      <w:r w:rsidRPr="00C821A1">
        <w:rPr>
          <w:rStyle w:val="af1"/>
          <w:szCs w:val="32"/>
          <w:rtl/>
        </w:rPr>
        <w:t>)</w:t>
      </w:r>
      <w:r>
        <w:rPr>
          <w:rFonts w:hint="cs"/>
          <w:color w:val="auto"/>
          <w:rtl/>
        </w:rPr>
        <w:t>.</w:t>
      </w:r>
    </w:p>
    <w:p w:rsidR="00F0024F" w:rsidRPr="00C85F0F" w:rsidRDefault="00F044B9" w:rsidP="000F5C0F">
      <w:pPr>
        <w:pStyle w:val="aff2"/>
        <w:rPr>
          <w:rtl/>
        </w:rPr>
      </w:pPr>
      <w:bookmarkStart w:id="263" w:name="_Toc334046481"/>
      <w:r>
        <w:rPr>
          <w:rFonts w:hint="cs"/>
          <w:rtl/>
        </w:rPr>
        <w:lastRenderedPageBreak/>
        <w:t>المبحث الثالث</w:t>
      </w:r>
      <w:r>
        <w:rPr>
          <w:rFonts w:hint="eastAsia"/>
          <w:rtl/>
        </w:rPr>
        <w:t> </w:t>
      </w:r>
      <w:r>
        <w:rPr>
          <w:rFonts w:hint="cs"/>
          <w:rtl/>
        </w:rPr>
        <w:t>:</w:t>
      </w:r>
      <w:r>
        <w:rPr>
          <w:rFonts w:hint="cs"/>
          <w:rtl/>
        </w:rPr>
        <w:br/>
      </w:r>
      <w:r w:rsidR="00F0024F">
        <w:rPr>
          <w:rFonts w:hint="cs"/>
          <w:rtl/>
        </w:rPr>
        <w:t>قاعدة</w:t>
      </w:r>
      <w:r w:rsidR="00F0024F">
        <w:rPr>
          <w:rFonts w:hint="cs"/>
          <w:rtl/>
        </w:rPr>
        <w:br/>
        <w:t>"العجماء جبار</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العجماءجبار</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F0024F" w:rsidRPr="00C85F0F">
        <w:rPr>
          <w:rFonts w:hint="cs"/>
          <w:rtl/>
        </w:rPr>
        <w:t>"</w:t>
      </w:r>
      <w:r w:rsidR="00F0024F" w:rsidRPr="00C85F0F">
        <w:rPr>
          <w:rStyle w:val="af1"/>
          <w:b w:val="0"/>
          <w:bCs w:val="0"/>
          <w:szCs w:val="32"/>
          <w:rtl/>
        </w:rPr>
        <w:t>(</w:t>
      </w:r>
      <w:r w:rsidR="00F0024F" w:rsidRPr="00C85F0F">
        <w:rPr>
          <w:rStyle w:val="af1"/>
          <w:b w:val="0"/>
          <w:bCs w:val="0"/>
          <w:szCs w:val="32"/>
          <w:rtl/>
        </w:rPr>
        <w:footnoteReference w:id="1341"/>
      </w:r>
      <w:r w:rsidR="00F0024F" w:rsidRPr="00C85F0F">
        <w:rPr>
          <w:rStyle w:val="af1"/>
          <w:b w:val="0"/>
          <w:bCs w:val="0"/>
          <w:szCs w:val="32"/>
          <w:rtl/>
        </w:rPr>
        <w:t>)</w:t>
      </w:r>
      <w:bookmarkEnd w:id="263"/>
    </w:p>
    <w:p w:rsidR="00065E4B" w:rsidRPr="00C85F0F" w:rsidRDefault="00D23C82" w:rsidP="00A8347C">
      <w:pPr>
        <w:pStyle w:val="aff3"/>
        <w:rPr>
          <w:rtl/>
        </w:rPr>
      </w:pPr>
      <w:bookmarkStart w:id="264" w:name="_Toc334046482"/>
      <w:r>
        <w:rPr>
          <w:rFonts w:hint="cs"/>
          <w:rtl/>
        </w:rPr>
        <w:t xml:space="preserve">                                          المطلب</w:t>
      </w:r>
      <w:r w:rsidR="0070211C">
        <w:rPr>
          <w:rFonts w:hint="cs"/>
          <w:rtl/>
        </w:rPr>
        <w:t xml:space="preserve"> </w:t>
      </w:r>
      <w:r w:rsidR="00F0024F" w:rsidRPr="00C85F0F">
        <w:rPr>
          <w:rFonts w:hint="cs"/>
          <w:rtl/>
        </w:rPr>
        <w:t>الأول</w:t>
      </w:r>
      <w:r w:rsidR="00F0024F" w:rsidRPr="00C85F0F">
        <w:rPr>
          <w:rFonts w:hint="eastAsia"/>
          <w:rtl/>
        </w:rPr>
        <w:t> :</w:t>
      </w:r>
      <w:r w:rsidR="00F0024F" w:rsidRPr="00C85F0F">
        <w:rPr>
          <w:rFonts w:hint="cs"/>
          <w:rtl/>
        </w:rPr>
        <w:br/>
      </w:r>
      <w:r>
        <w:rPr>
          <w:rFonts w:hint="cs"/>
          <w:rtl/>
        </w:rPr>
        <w:t xml:space="preserve">                         </w:t>
      </w:r>
      <w:r w:rsidR="00F0024F" w:rsidRPr="00C85F0F">
        <w:rPr>
          <w:rFonts w:hint="cs"/>
          <w:rtl/>
        </w:rPr>
        <w:t>صيغ القاعدة عند الشيخ وعند علماء القواعد</w:t>
      </w:r>
      <w:bookmarkEnd w:id="264"/>
    </w:p>
    <w:p w:rsidR="00F0024F" w:rsidRPr="00C85F0F" w:rsidRDefault="001916D5" w:rsidP="00597C20">
      <w:pPr>
        <w:ind w:firstLine="0"/>
        <w:rPr>
          <w:rtl/>
        </w:rPr>
      </w:pPr>
      <w:r>
        <w:rPr>
          <w:rFonts w:hint="cs"/>
          <w:rtl/>
        </w:rPr>
        <w:t xml:space="preserve">    </w:t>
      </w:r>
      <w:r w:rsidR="00065E4B" w:rsidRPr="00C85F0F">
        <w:rPr>
          <w:rFonts w:hint="cs"/>
          <w:rtl/>
        </w:rPr>
        <w:t>و</w:t>
      </w:r>
      <w:r w:rsidR="00F0024F" w:rsidRPr="00C85F0F">
        <w:rPr>
          <w:rFonts w:hint="cs"/>
          <w:rtl/>
        </w:rPr>
        <w:t xml:space="preserve">ردت هذه القاعدة عند الشيخ ابن عثيمين </w:t>
      </w:r>
      <w:r w:rsidR="009A3062">
        <w:rPr>
          <w:rFonts w:hint="cs"/>
          <w:rtl/>
        </w:rPr>
        <w:t>_</w:t>
      </w:r>
      <w:r w:rsidR="009A0575" w:rsidRPr="005D5694">
        <w:rPr>
          <w:rFonts w:ascii="Traditional Arabic" w:hAnsi="Traditional Arabic" w:cs="CTraditional Arabic" w:hint="cs"/>
          <w:rtl/>
        </w:rPr>
        <w:t>/</w:t>
      </w:r>
      <w:r w:rsidR="009A3062">
        <w:rPr>
          <w:rFonts w:hint="cs"/>
          <w:rtl/>
        </w:rPr>
        <w:t>_</w:t>
      </w:r>
      <w:r w:rsidR="00F0024F" w:rsidRPr="00C85F0F">
        <w:rPr>
          <w:rFonts w:hint="cs"/>
          <w:rtl/>
        </w:rPr>
        <w:t xml:space="preserve"> بصيغتين:</w:t>
      </w:r>
    </w:p>
    <w:p w:rsidR="00F0024F" w:rsidRPr="00C85F0F" w:rsidRDefault="00F0024F" w:rsidP="000A76C7">
      <w:pPr>
        <w:numPr>
          <w:ilvl w:val="0"/>
          <w:numId w:val="178"/>
        </w:numPr>
      </w:pPr>
      <w:r w:rsidRPr="00C85F0F">
        <w:rPr>
          <w:rFonts w:hint="cs"/>
          <w:rtl/>
        </w:rPr>
        <w:t>الأصل فيما أَتْلَفَت البهيمةُ عدمُ الضمان</w:t>
      </w:r>
      <w:r w:rsidRPr="00C85F0F">
        <w:rPr>
          <w:rStyle w:val="af1"/>
          <w:szCs w:val="32"/>
          <w:rtl/>
        </w:rPr>
        <w:t>(</w:t>
      </w:r>
      <w:r w:rsidRPr="00C85F0F">
        <w:rPr>
          <w:rStyle w:val="af1"/>
          <w:szCs w:val="32"/>
          <w:rtl/>
        </w:rPr>
        <w:footnoteReference w:id="1342"/>
      </w:r>
      <w:r w:rsidRPr="00C85F0F">
        <w:rPr>
          <w:rStyle w:val="af1"/>
          <w:szCs w:val="32"/>
          <w:rtl/>
        </w:rPr>
        <w:t>)</w:t>
      </w:r>
      <w:r w:rsidRPr="00C85F0F">
        <w:rPr>
          <w:rFonts w:hint="cs"/>
          <w:rtl/>
        </w:rPr>
        <w:t>.</w:t>
      </w:r>
    </w:p>
    <w:p w:rsidR="00065E4B" w:rsidRPr="00C85F0F" w:rsidRDefault="00F0024F" w:rsidP="000A76C7">
      <w:pPr>
        <w:numPr>
          <w:ilvl w:val="0"/>
          <w:numId w:val="178"/>
        </w:numPr>
      </w:pPr>
      <w:r w:rsidRPr="00C85F0F">
        <w:rPr>
          <w:rFonts w:hint="cs"/>
          <w:rtl/>
        </w:rPr>
        <w:t>العَجْماء جُبَار</w:t>
      </w:r>
      <w:r w:rsidRPr="00C85F0F">
        <w:rPr>
          <w:rStyle w:val="af1"/>
          <w:szCs w:val="32"/>
          <w:rtl/>
        </w:rPr>
        <w:t>(</w:t>
      </w:r>
      <w:r w:rsidRPr="00C85F0F">
        <w:rPr>
          <w:rStyle w:val="af1"/>
          <w:szCs w:val="32"/>
          <w:rtl/>
        </w:rPr>
        <w:footnoteReference w:id="1343"/>
      </w:r>
      <w:r w:rsidRPr="00C85F0F">
        <w:rPr>
          <w:rStyle w:val="af1"/>
          <w:szCs w:val="32"/>
          <w:rtl/>
        </w:rPr>
        <w:t>)</w:t>
      </w:r>
      <w:r w:rsidRPr="00C85F0F">
        <w:rPr>
          <w:rFonts w:hint="cs"/>
          <w:rtl/>
        </w:rPr>
        <w:t>.</w:t>
      </w:r>
    </w:p>
    <w:p w:rsidR="00F0024F" w:rsidRPr="00C85F0F" w:rsidRDefault="001916D5" w:rsidP="00597C20">
      <w:pPr>
        <w:ind w:firstLine="0"/>
        <w:rPr>
          <w:rtl/>
        </w:rPr>
      </w:pPr>
      <w:r>
        <w:rPr>
          <w:rFonts w:hint="cs"/>
          <w:rtl/>
        </w:rPr>
        <w:t xml:space="preserve">    </w:t>
      </w:r>
      <w:r w:rsidR="00065E4B" w:rsidRPr="00C85F0F">
        <w:rPr>
          <w:rFonts w:hint="cs"/>
          <w:rtl/>
        </w:rPr>
        <w:t>و</w:t>
      </w:r>
      <w:r w:rsidR="00F0024F" w:rsidRPr="00C85F0F">
        <w:rPr>
          <w:rFonts w:hint="cs"/>
          <w:rtl/>
        </w:rPr>
        <w:t>وردت هذه القاعدة عند علماء القواعد بصيغتين:</w:t>
      </w:r>
    </w:p>
    <w:p w:rsidR="00F0024F" w:rsidRPr="00C85F0F" w:rsidRDefault="00F0024F" w:rsidP="000A76C7">
      <w:pPr>
        <w:pStyle w:val="afc"/>
        <w:numPr>
          <w:ilvl w:val="0"/>
          <w:numId w:val="182"/>
        </w:numPr>
        <w:rPr>
          <w:rtl/>
        </w:rPr>
      </w:pPr>
      <w:r w:rsidRPr="00C85F0F">
        <w:rPr>
          <w:rFonts w:hint="cs"/>
          <w:rtl/>
        </w:rPr>
        <w:t>الأصل في إتلافات البهائم أنه لا شيء فيه</w:t>
      </w:r>
      <w:r w:rsidR="001916D5">
        <w:rPr>
          <w:rFonts w:hint="cs"/>
          <w:rtl/>
        </w:rPr>
        <w:t>ا</w:t>
      </w:r>
      <w:r w:rsidRPr="00C85F0F">
        <w:rPr>
          <w:rStyle w:val="af1"/>
          <w:szCs w:val="32"/>
          <w:rtl/>
        </w:rPr>
        <w:t>(</w:t>
      </w:r>
      <w:r w:rsidRPr="00C85F0F">
        <w:rPr>
          <w:rStyle w:val="af1"/>
          <w:szCs w:val="32"/>
          <w:rtl/>
        </w:rPr>
        <w:footnoteReference w:id="1344"/>
      </w:r>
      <w:r w:rsidRPr="00C85F0F">
        <w:rPr>
          <w:rStyle w:val="af1"/>
          <w:szCs w:val="32"/>
          <w:rtl/>
        </w:rPr>
        <w:t>)</w:t>
      </w:r>
      <w:r w:rsidRPr="00C85F0F">
        <w:rPr>
          <w:rFonts w:hint="cs"/>
          <w:rtl/>
        </w:rPr>
        <w:t>.</w:t>
      </w:r>
    </w:p>
    <w:p w:rsidR="00F0024F" w:rsidRPr="00C85F0F" w:rsidRDefault="00F0024F" w:rsidP="000A76C7">
      <w:pPr>
        <w:pStyle w:val="afc"/>
        <w:numPr>
          <w:ilvl w:val="0"/>
          <w:numId w:val="180"/>
        </w:numPr>
        <w:rPr>
          <w:rtl/>
        </w:rPr>
      </w:pPr>
      <w:r w:rsidRPr="00C85F0F">
        <w:rPr>
          <w:rFonts w:hint="cs"/>
          <w:rtl/>
        </w:rPr>
        <w:t>جناية العجماء جبار</w:t>
      </w:r>
      <w:r w:rsidRPr="00C85F0F">
        <w:rPr>
          <w:rStyle w:val="af1"/>
          <w:szCs w:val="32"/>
          <w:rtl/>
        </w:rPr>
        <w:t>(</w:t>
      </w:r>
      <w:r w:rsidRPr="00C85F0F">
        <w:rPr>
          <w:rStyle w:val="af1"/>
          <w:szCs w:val="32"/>
          <w:rtl/>
        </w:rPr>
        <w:footnoteReference w:id="1345"/>
      </w:r>
      <w:r w:rsidRPr="00C85F0F">
        <w:rPr>
          <w:rStyle w:val="af1"/>
          <w:szCs w:val="32"/>
          <w:rtl/>
        </w:rPr>
        <w:t>)</w:t>
      </w:r>
      <w:r w:rsidRPr="00C85F0F">
        <w:rPr>
          <w:rFonts w:hint="cs"/>
          <w:rtl/>
        </w:rPr>
        <w:t>.</w:t>
      </w:r>
    </w:p>
    <w:p w:rsidR="00F0024F" w:rsidRPr="00C85F0F" w:rsidRDefault="00F0024F" w:rsidP="000A76C7">
      <w:pPr>
        <w:pStyle w:val="afc"/>
        <w:numPr>
          <w:ilvl w:val="0"/>
          <w:numId w:val="179"/>
        </w:numPr>
      </w:pPr>
      <w:r w:rsidRPr="00C85F0F">
        <w:rPr>
          <w:rFonts w:hint="cs"/>
          <w:rtl/>
        </w:rPr>
        <w:t>فِعل العجماء جبار</w:t>
      </w:r>
      <w:r w:rsidRPr="00C85F0F">
        <w:rPr>
          <w:rStyle w:val="af1"/>
          <w:szCs w:val="32"/>
          <w:rtl/>
        </w:rPr>
        <w:t>(</w:t>
      </w:r>
      <w:r w:rsidRPr="00C85F0F">
        <w:rPr>
          <w:rStyle w:val="af1"/>
          <w:szCs w:val="32"/>
          <w:rtl/>
        </w:rPr>
        <w:footnoteReference w:id="1346"/>
      </w:r>
      <w:r w:rsidRPr="00C85F0F">
        <w:rPr>
          <w:rStyle w:val="af1"/>
          <w:szCs w:val="32"/>
          <w:rtl/>
        </w:rPr>
        <w:t>)</w:t>
      </w:r>
      <w:r w:rsidRPr="00C85F0F">
        <w:rPr>
          <w:rFonts w:hint="cs"/>
          <w:rtl/>
        </w:rPr>
        <w:t>.</w:t>
      </w:r>
    </w:p>
    <w:p w:rsidR="00065E4B" w:rsidRPr="00C85F0F" w:rsidRDefault="00FB54E9" w:rsidP="00A8347C">
      <w:pPr>
        <w:pStyle w:val="aff3"/>
        <w:rPr>
          <w:rtl/>
        </w:rPr>
      </w:pPr>
      <w:bookmarkStart w:id="265" w:name="_Toc334046483"/>
      <w:r>
        <w:rPr>
          <w:rFonts w:hint="cs"/>
          <w:rtl/>
        </w:rPr>
        <w:lastRenderedPageBreak/>
        <w:t xml:space="preserve">                                          المطلب</w:t>
      </w:r>
      <w:r w:rsidR="009A3062">
        <w:rPr>
          <w:rFonts w:hint="cs"/>
          <w:rtl/>
        </w:rPr>
        <w:t xml:space="preserve"> </w:t>
      </w:r>
      <w:r w:rsidR="00F0024F" w:rsidRPr="00C85F0F">
        <w:rPr>
          <w:rFonts w:hint="cs"/>
          <w:rtl/>
        </w:rPr>
        <w:t>الثاني</w:t>
      </w:r>
      <w:r w:rsidR="00F0024F" w:rsidRPr="00C85F0F">
        <w:rPr>
          <w:rFonts w:hint="eastAsia"/>
          <w:rtl/>
        </w:rPr>
        <w:t> :</w:t>
      </w:r>
      <w:r w:rsidR="00F0024F" w:rsidRPr="00C85F0F">
        <w:rPr>
          <w:rFonts w:hint="cs"/>
          <w:rtl/>
        </w:rPr>
        <w:br/>
      </w:r>
      <w:r>
        <w:rPr>
          <w:rFonts w:hint="cs"/>
          <w:rtl/>
        </w:rPr>
        <w:t xml:space="preserve">                                           </w:t>
      </w:r>
      <w:r w:rsidR="00F0024F" w:rsidRPr="00C85F0F">
        <w:rPr>
          <w:rFonts w:hint="cs"/>
          <w:rtl/>
        </w:rPr>
        <w:t>شرح القاعدة</w:t>
      </w:r>
      <w:bookmarkEnd w:id="265"/>
    </w:p>
    <w:p w:rsidR="00616FF4" w:rsidRDefault="00065E4B" w:rsidP="00EA2BD7">
      <w:pPr>
        <w:pStyle w:val="53"/>
        <w:rPr>
          <w:b w:val="0"/>
          <w:rtl/>
        </w:rPr>
      </w:pPr>
      <w:r w:rsidRPr="00EA2BD7">
        <w:rPr>
          <w:rFonts w:hint="cs"/>
          <w:rtl/>
        </w:rPr>
        <w:t>ا</w:t>
      </w:r>
      <w:r w:rsidR="00F0024F" w:rsidRPr="00EA2BD7">
        <w:rPr>
          <w:rFonts w:hint="cs"/>
          <w:rtl/>
        </w:rPr>
        <w:t>لعجماء</w:t>
      </w:r>
      <w:r w:rsidR="00AB0B9E" w:rsidRPr="00EA2BD7">
        <w:fldChar w:fldCharType="begin"/>
      </w:r>
      <w:r w:rsidR="005C704E" w:rsidRPr="00EA2BD7">
        <w:instrText>XE</w:instrText>
      </w:r>
      <w:r w:rsidR="005C704E" w:rsidRPr="00EA2BD7">
        <w:rPr>
          <w:rtl/>
        </w:rPr>
        <w:instrText xml:space="preserve"> "</w:instrText>
      </w:r>
      <w:r w:rsidR="005C704E" w:rsidRPr="00EA2BD7">
        <w:rPr>
          <w:rFonts w:hint="cs"/>
          <w:rtl/>
        </w:rPr>
        <w:instrText>العجماء</w:instrText>
      </w:r>
      <w:r w:rsidR="005C704E" w:rsidRPr="00EA2BD7">
        <w:rPr>
          <w:rtl/>
        </w:rPr>
        <w:instrText>" \</w:instrText>
      </w:r>
      <w:r w:rsidR="005C704E" w:rsidRPr="00EA2BD7">
        <w:instrText>fm</w:instrText>
      </w:r>
      <w:r w:rsidR="00AB0B9E" w:rsidRPr="00EA2BD7">
        <w:fldChar w:fldCharType="end"/>
      </w:r>
      <w:r w:rsidR="00F0024F">
        <w:rPr>
          <w:rFonts w:hint="cs"/>
          <w:b w:val="0"/>
          <w:rtl/>
        </w:rPr>
        <w:t xml:space="preserve"> لغة:</w:t>
      </w:r>
    </w:p>
    <w:p w:rsidR="00065E4B" w:rsidRPr="0011335D" w:rsidRDefault="00F0024F" w:rsidP="00597C20">
      <w:pPr>
        <w:widowControl/>
        <w:autoSpaceDE w:val="0"/>
        <w:autoSpaceDN w:val="0"/>
        <w:adjustRightInd w:val="0"/>
        <w:ind w:firstLine="720"/>
        <w:rPr>
          <w:rFonts w:ascii="Traditional Arabic" w:hAnsi="Traditional Arabic"/>
          <w:noProof w:val="0"/>
          <w:rtl/>
          <w:lang w:eastAsia="en-US"/>
        </w:rPr>
      </w:pPr>
      <w:r>
        <w:rPr>
          <w:rFonts w:hint="cs"/>
          <w:rtl/>
        </w:rPr>
        <w:t xml:space="preserve">يقول </w:t>
      </w:r>
      <w:r w:rsidRPr="0011335D">
        <w:rPr>
          <w:rFonts w:hint="cs"/>
          <w:rtl/>
        </w:rPr>
        <w:t xml:space="preserve"> ابن فارس </w:t>
      </w:r>
      <w:r w:rsidR="009A3062">
        <w:rPr>
          <w:rFonts w:hint="cs"/>
          <w:rtl/>
        </w:rPr>
        <w:t>_</w:t>
      </w:r>
      <w:r w:rsidR="009A0575" w:rsidRPr="005D5694">
        <w:rPr>
          <w:rFonts w:ascii="Traditional Arabic" w:hAnsi="Traditional Arabic" w:cs="CTraditional Arabic" w:hint="cs"/>
          <w:rtl/>
        </w:rPr>
        <w:t>/</w:t>
      </w:r>
      <w:r w:rsidR="009A3062">
        <w:rPr>
          <w:rFonts w:hint="cs"/>
          <w:rtl/>
        </w:rPr>
        <w:t>_</w:t>
      </w:r>
      <w:r w:rsidRPr="0011335D">
        <w:rPr>
          <w:rFonts w:hint="cs"/>
          <w:rtl/>
        </w:rPr>
        <w:t>:</w:t>
      </w:r>
      <w:r>
        <w:rPr>
          <w:rFonts w:hint="cs"/>
          <w:b/>
          <w:bCs/>
          <w:rtl/>
        </w:rPr>
        <w:t xml:space="preserve"> (</w:t>
      </w:r>
      <w:r w:rsidRPr="0011335D">
        <w:rPr>
          <w:rFonts w:ascii="Traditional Arabic" w:hAnsi="Traditional Arabic"/>
          <w:noProof w:val="0"/>
          <w:rtl/>
          <w:lang w:eastAsia="en-US"/>
        </w:rPr>
        <w:t>العين والجيم والميم ثلاثة أصول: أحدها يدل على سكوت وصمت</w:t>
      </w:r>
      <w:r>
        <w:rPr>
          <w:rFonts w:ascii="Traditional Arabic" w:hAnsi="Traditional Arabic" w:hint="cs"/>
          <w:noProof w:val="0"/>
          <w:rtl/>
          <w:lang w:eastAsia="en-US"/>
        </w:rPr>
        <w:t xml:space="preserve">...والعجماء </w:t>
      </w:r>
      <w:r w:rsidRPr="000E4CD2">
        <w:rPr>
          <w:rFonts w:ascii="Traditional Arabic" w:hAnsi="Traditional Arabic"/>
          <w:noProof w:val="0"/>
          <w:rtl/>
          <w:lang w:eastAsia="en-US"/>
        </w:rPr>
        <w:t>البَهِيمةُ</w:t>
      </w:r>
      <w:r>
        <w:rPr>
          <w:rFonts w:ascii="Traditional Arabic" w:hAnsi="Traditional Arabic" w:hint="cs"/>
          <w:noProof w:val="0"/>
          <w:rtl/>
          <w:lang w:eastAsia="en-US"/>
        </w:rPr>
        <w:t>،</w:t>
      </w:r>
      <w:r w:rsidR="009A3062">
        <w:rPr>
          <w:rFonts w:ascii="Traditional Arabic" w:hAnsi="Traditional Arabic" w:hint="cs"/>
          <w:noProof w:val="0"/>
          <w:rtl/>
          <w:lang w:eastAsia="en-US"/>
        </w:rPr>
        <w:t xml:space="preserve"> </w:t>
      </w:r>
      <w:r>
        <w:rPr>
          <w:rFonts w:ascii="Traditional Arabic" w:hAnsi="Traditional Arabic" w:hint="cs"/>
          <w:noProof w:val="0"/>
          <w:rtl/>
          <w:lang w:eastAsia="en-US"/>
        </w:rPr>
        <w:t>و</w:t>
      </w:r>
      <w:r>
        <w:rPr>
          <w:rFonts w:ascii="Traditional Arabic" w:hAnsi="Traditional Arabic"/>
          <w:noProof w:val="0"/>
          <w:rtl/>
          <w:lang w:eastAsia="en-US"/>
        </w:rPr>
        <w:t>سُمِّيت به لأنَّها لا تَتَكل</w:t>
      </w:r>
      <w:r w:rsidR="009A3062">
        <w:rPr>
          <w:rFonts w:ascii="Traditional Arabic" w:hAnsi="Traditional Arabic" w:hint="cs"/>
          <w:noProof w:val="0"/>
          <w:rtl/>
          <w:lang w:eastAsia="en-US"/>
        </w:rPr>
        <w:t>َّ</w:t>
      </w:r>
      <w:r>
        <w:rPr>
          <w:rFonts w:ascii="Traditional Arabic" w:hAnsi="Traditional Arabic"/>
          <w:noProof w:val="0"/>
          <w:rtl/>
          <w:lang w:eastAsia="en-US"/>
        </w:rPr>
        <w:t>م</w:t>
      </w:r>
      <w:r>
        <w:rPr>
          <w:rFonts w:ascii="Traditional Arabic" w:hAnsi="Traditional Arabic" w:hint="cs"/>
          <w:noProof w:val="0"/>
          <w:rtl/>
          <w:lang w:eastAsia="en-US"/>
        </w:rPr>
        <w:t xml:space="preserve">، </w:t>
      </w:r>
      <w:r w:rsidRPr="000E4CD2">
        <w:rPr>
          <w:rFonts w:ascii="Traditional Arabic" w:hAnsi="Traditional Arabic"/>
          <w:noProof w:val="0"/>
          <w:rtl/>
          <w:lang w:eastAsia="en-US"/>
        </w:rPr>
        <w:t>وكلُّ ما لاَ يَقْدر على الكلام فهو أ</w:t>
      </w:r>
      <w:r>
        <w:rPr>
          <w:rFonts w:ascii="Traditional Arabic" w:hAnsi="Traditional Arabic" w:hint="cs"/>
          <w:noProof w:val="0"/>
          <w:rtl/>
          <w:lang w:eastAsia="en-US"/>
        </w:rPr>
        <w:t>َ</w:t>
      </w:r>
      <w:r w:rsidRPr="000E4CD2">
        <w:rPr>
          <w:rFonts w:ascii="Traditional Arabic" w:hAnsi="Traditional Arabic"/>
          <w:noProof w:val="0"/>
          <w:rtl/>
          <w:lang w:eastAsia="en-US"/>
        </w:rPr>
        <w:t>ع</w:t>
      </w:r>
      <w:r>
        <w:rPr>
          <w:rFonts w:ascii="Traditional Arabic" w:hAnsi="Traditional Arabic" w:hint="cs"/>
          <w:noProof w:val="0"/>
          <w:rtl/>
          <w:lang w:eastAsia="en-US"/>
        </w:rPr>
        <w:t>ْ</w:t>
      </w:r>
      <w:r w:rsidRPr="000E4CD2">
        <w:rPr>
          <w:rFonts w:ascii="Traditional Arabic" w:hAnsi="Traditional Arabic"/>
          <w:noProof w:val="0"/>
          <w:rtl/>
          <w:lang w:eastAsia="en-US"/>
        </w:rPr>
        <w:t>ج</w:t>
      </w:r>
      <w:r>
        <w:rPr>
          <w:rFonts w:ascii="Traditional Arabic" w:hAnsi="Traditional Arabic" w:hint="cs"/>
          <w:noProof w:val="0"/>
          <w:rtl/>
          <w:lang w:eastAsia="en-US"/>
        </w:rPr>
        <w:t>َ</w:t>
      </w:r>
      <w:r w:rsidRPr="000E4CD2">
        <w:rPr>
          <w:rFonts w:ascii="Traditional Arabic" w:hAnsi="Traditional Arabic"/>
          <w:noProof w:val="0"/>
          <w:rtl/>
          <w:lang w:eastAsia="en-US"/>
        </w:rPr>
        <w:t>م</w:t>
      </w:r>
      <w:r>
        <w:rPr>
          <w:rFonts w:ascii="Traditional Arabic" w:hAnsi="Traditional Arabic" w:hint="cs"/>
          <w:noProof w:val="0"/>
          <w:rtl/>
          <w:lang w:eastAsia="en-US"/>
        </w:rPr>
        <w:t>ُ</w:t>
      </w:r>
      <w:r w:rsidRPr="000E4CD2">
        <w:rPr>
          <w:rFonts w:ascii="Traditional Arabic" w:hAnsi="Traditional Arabic"/>
          <w:noProof w:val="0"/>
          <w:rtl/>
          <w:lang w:eastAsia="en-US"/>
        </w:rPr>
        <w:t xml:space="preserve"> ومُسْتَعْج</w:t>
      </w:r>
      <w:r>
        <w:rPr>
          <w:rFonts w:ascii="Traditional Arabic" w:hAnsi="Traditional Arabic" w:hint="cs"/>
          <w:noProof w:val="0"/>
          <w:rtl/>
          <w:lang w:eastAsia="en-US"/>
        </w:rPr>
        <w:t>ِ</w:t>
      </w:r>
      <w:r w:rsidRPr="000E4CD2">
        <w:rPr>
          <w:rFonts w:ascii="Traditional Arabic" w:hAnsi="Traditional Arabic"/>
          <w:noProof w:val="0"/>
          <w:rtl/>
          <w:lang w:eastAsia="en-US"/>
        </w:rPr>
        <w:t>م</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347"/>
      </w:r>
      <w:r w:rsidRPr="00C821A1">
        <w:rPr>
          <w:rStyle w:val="af1"/>
          <w:szCs w:val="32"/>
          <w:rtl/>
        </w:rPr>
        <w:t>)</w:t>
      </w:r>
      <w:r>
        <w:rPr>
          <w:rFonts w:ascii="Traditional Arabic" w:hAnsi="Traditional Arabic" w:hint="cs"/>
          <w:noProof w:val="0"/>
          <w:rtl/>
          <w:lang w:eastAsia="en-US"/>
        </w:rPr>
        <w:t>.</w:t>
      </w:r>
    </w:p>
    <w:p w:rsidR="00616FF4" w:rsidRDefault="00065E4B" w:rsidP="00597C20">
      <w:pPr>
        <w:pStyle w:val="53"/>
        <w:rPr>
          <w:rFonts w:ascii="Traditional Arabic" w:hAnsi="Traditional Arabic"/>
          <w:b w:val="0"/>
          <w:noProof w:val="0"/>
          <w:sz w:val="44"/>
          <w:szCs w:val="44"/>
          <w:rtl/>
        </w:rPr>
      </w:pPr>
      <w:r>
        <w:rPr>
          <w:rFonts w:hint="cs"/>
          <w:b w:val="0"/>
          <w:rtl/>
        </w:rPr>
        <w:t>ا</w:t>
      </w:r>
      <w:r w:rsidR="00F0024F">
        <w:rPr>
          <w:rFonts w:hint="cs"/>
          <w:b w:val="0"/>
          <w:rtl/>
        </w:rPr>
        <w:t>لجُبَار</w:t>
      </w:r>
      <w:r w:rsidR="00AB0B9E">
        <w:rPr>
          <w:b w:val="0"/>
          <w:rtl/>
        </w:rPr>
        <w:fldChar w:fldCharType="begin"/>
      </w:r>
      <w:r w:rsidR="005C704E" w:rsidRPr="00C85F0F">
        <w:rPr>
          <w:bCs w:val="0"/>
        </w:rPr>
        <w:instrText>XE</w:instrText>
      </w:r>
      <w:r w:rsidR="005C704E" w:rsidRPr="00C85F0F">
        <w:rPr>
          <w:bCs w:val="0"/>
          <w:rtl/>
        </w:rPr>
        <w:instrText xml:space="preserve"> "</w:instrText>
      </w:r>
      <w:r w:rsidR="005C704E" w:rsidRPr="00C85F0F">
        <w:rPr>
          <w:rFonts w:hint="cs"/>
          <w:bCs w:val="0"/>
          <w:rtl/>
        </w:rPr>
        <w:instrText>الجُبَار</w:instrText>
      </w:r>
      <w:r w:rsidR="005C704E" w:rsidRPr="00C85F0F">
        <w:rPr>
          <w:bCs w:val="0"/>
          <w:rtl/>
        </w:rPr>
        <w:instrText>" \</w:instrText>
      </w:r>
      <w:r w:rsidR="005C704E" w:rsidRPr="00C85F0F">
        <w:rPr>
          <w:bCs w:val="0"/>
        </w:rPr>
        <w:instrText>f</w:instrText>
      </w:r>
      <w:r w:rsidR="005C704E" w:rsidRPr="005C704E">
        <w:instrText>m</w:instrText>
      </w:r>
      <w:r w:rsidR="00AB0B9E">
        <w:rPr>
          <w:b w:val="0"/>
          <w:rtl/>
        </w:rPr>
        <w:fldChar w:fldCharType="end"/>
      </w:r>
      <w:r w:rsidR="00F0024F">
        <w:rPr>
          <w:rFonts w:hint="cs"/>
          <w:b w:val="0"/>
          <w:rtl/>
        </w:rPr>
        <w:t xml:space="preserve"> لغة:</w:t>
      </w:r>
    </w:p>
    <w:p w:rsidR="00065E4B" w:rsidRPr="0011335D" w:rsidRDefault="00F0024F" w:rsidP="00597C20">
      <w:pPr>
        <w:ind w:firstLine="720"/>
      </w:pPr>
      <w:r>
        <w:rPr>
          <w:rFonts w:hint="cs"/>
          <w:rtl/>
        </w:rPr>
        <w:t xml:space="preserve">يقول </w:t>
      </w:r>
      <w:r w:rsidRPr="0011335D">
        <w:rPr>
          <w:rFonts w:hint="cs"/>
          <w:rtl/>
        </w:rPr>
        <w:t xml:space="preserve"> ابن فارس </w:t>
      </w:r>
      <w:r w:rsidR="009A3062">
        <w:rPr>
          <w:rFonts w:hint="cs"/>
          <w:rtl/>
        </w:rPr>
        <w:t>_</w:t>
      </w:r>
      <w:r w:rsidR="009A0575" w:rsidRPr="005D5694">
        <w:rPr>
          <w:rFonts w:ascii="Traditional Arabic" w:hAnsi="Traditional Arabic" w:cs="CTraditional Arabic" w:hint="cs"/>
          <w:rtl/>
        </w:rPr>
        <w:t>/</w:t>
      </w:r>
      <w:r w:rsidR="009A3062">
        <w:rPr>
          <w:rFonts w:hint="cs"/>
          <w:rtl/>
        </w:rPr>
        <w:t>_</w:t>
      </w:r>
      <w:r w:rsidRPr="0011335D">
        <w:rPr>
          <w:rFonts w:hint="cs"/>
          <w:rtl/>
        </w:rPr>
        <w:t>:</w:t>
      </w:r>
      <w:r>
        <w:rPr>
          <w:rFonts w:hint="cs"/>
          <w:b/>
          <w:bCs/>
          <w:rtl/>
        </w:rPr>
        <w:t xml:space="preserve"> (</w:t>
      </w:r>
      <w:r w:rsidRPr="00B37348">
        <w:rPr>
          <w:rFonts w:ascii="Traditional Arabic" w:hAnsi="Traditional Arabic"/>
          <w:noProof w:val="0"/>
          <w:rtl/>
          <w:lang w:eastAsia="en-US"/>
        </w:rPr>
        <w:t>الجيم والباء والراء أصل واحد، وهو ج</w:t>
      </w:r>
      <w:r>
        <w:rPr>
          <w:rFonts w:ascii="Traditional Arabic" w:hAnsi="Traditional Arabic" w:hint="cs"/>
          <w:noProof w:val="0"/>
          <w:rtl/>
          <w:lang w:eastAsia="en-US"/>
        </w:rPr>
        <w:t>ِ</w:t>
      </w:r>
      <w:r w:rsidRPr="00B37348">
        <w:rPr>
          <w:rFonts w:ascii="Traditional Arabic" w:hAnsi="Traditional Arabic"/>
          <w:noProof w:val="0"/>
          <w:rtl/>
          <w:lang w:eastAsia="en-US"/>
        </w:rPr>
        <w:t>نس</w:t>
      </w:r>
      <w:r>
        <w:rPr>
          <w:rFonts w:ascii="Traditional Arabic" w:hAnsi="Traditional Arabic" w:hint="cs"/>
          <w:noProof w:val="0"/>
          <w:rtl/>
          <w:lang w:eastAsia="en-US"/>
        </w:rPr>
        <w:t>ٌ</w:t>
      </w:r>
      <w:r w:rsidRPr="00B37348">
        <w:rPr>
          <w:rFonts w:ascii="Traditional Arabic" w:hAnsi="Traditional Arabic"/>
          <w:noProof w:val="0"/>
          <w:rtl/>
          <w:lang w:eastAsia="en-US"/>
        </w:rPr>
        <w:t xml:space="preserve"> من العظ</w:t>
      </w:r>
      <w:r>
        <w:rPr>
          <w:rFonts w:ascii="Traditional Arabic" w:hAnsi="Traditional Arabic" w:hint="cs"/>
          <w:noProof w:val="0"/>
          <w:rtl/>
          <w:lang w:eastAsia="en-US"/>
        </w:rPr>
        <w:t>َ</w:t>
      </w:r>
      <w:r w:rsidRPr="00B37348">
        <w:rPr>
          <w:rFonts w:ascii="Traditional Arabic" w:hAnsi="Traditional Arabic"/>
          <w:noProof w:val="0"/>
          <w:rtl/>
          <w:lang w:eastAsia="en-US"/>
        </w:rPr>
        <w:t>مة والع</w:t>
      </w:r>
      <w:r>
        <w:rPr>
          <w:rFonts w:ascii="Traditional Arabic" w:hAnsi="Traditional Arabic" w:hint="cs"/>
          <w:noProof w:val="0"/>
          <w:rtl/>
          <w:lang w:eastAsia="en-US"/>
        </w:rPr>
        <w:t>ُ</w:t>
      </w:r>
      <w:r w:rsidRPr="00B37348">
        <w:rPr>
          <w:rFonts w:ascii="Traditional Arabic" w:hAnsi="Traditional Arabic"/>
          <w:noProof w:val="0"/>
          <w:rtl/>
          <w:lang w:eastAsia="en-US"/>
        </w:rPr>
        <w:t>لو</w:t>
      </w:r>
      <w:r>
        <w:rPr>
          <w:rFonts w:ascii="Traditional Arabic" w:hAnsi="Traditional Arabic" w:hint="cs"/>
          <w:noProof w:val="0"/>
          <w:rtl/>
          <w:lang w:eastAsia="en-US"/>
        </w:rPr>
        <w:t>ِّ</w:t>
      </w:r>
      <w:r w:rsidRPr="00B37348">
        <w:rPr>
          <w:rFonts w:ascii="Traditional Arabic" w:hAnsi="Traditional Arabic"/>
          <w:noProof w:val="0"/>
          <w:rtl/>
          <w:lang w:eastAsia="en-US"/>
        </w:rPr>
        <w:t xml:space="preserve"> والاستقامة</w:t>
      </w:r>
      <w:r>
        <w:rPr>
          <w:rFonts w:hint="cs"/>
          <w:rtl/>
        </w:rPr>
        <w:t>...</w:t>
      </w:r>
      <w:r w:rsidRPr="00B37348">
        <w:rPr>
          <w:rFonts w:ascii="Traditional Arabic" w:hAnsi="Traditional Arabic"/>
          <w:noProof w:val="0"/>
          <w:rtl/>
          <w:lang w:eastAsia="en-US"/>
        </w:rPr>
        <w:t>ومما شذ</w:t>
      </w:r>
      <w:r>
        <w:rPr>
          <w:rFonts w:ascii="Traditional Arabic" w:hAnsi="Traditional Arabic" w:hint="cs"/>
          <w:noProof w:val="0"/>
          <w:rtl/>
          <w:lang w:eastAsia="en-US"/>
        </w:rPr>
        <w:t>َّ</w:t>
      </w:r>
      <w:r w:rsidRPr="00B37348">
        <w:rPr>
          <w:rFonts w:ascii="Traditional Arabic" w:hAnsi="Traditional Arabic"/>
          <w:noProof w:val="0"/>
          <w:rtl/>
          <w:lang w:eastAsia="en-US"/>
        </w:rPr>
        <w:t xml:space="preserve"> عن الباب الج</w:t>
      </w:r>
      <w:r>
        <w:rPr>
          <w:rFonts w:ascii="Traditional Arabic" w:hAnsi="Traditional Arabic" w:hint="cs"/>
          <w:noProof w:val="0"/>
          <w:rtl/>
          <w:lang w:eastAsia="en-US"/>
        </w:rPr>
        <w:t>ُ</w:t>
      </w:r>
      <w:r w:rsidRPr="00B37348">
        <w:rPr>
          <w:rFonts w:ascii="Traditional Arabic" w:hAnsi="Traditional Arabic"/>
          <w:noProof w:val="0"/>
          <w:rtl/>
          <w:lang w:eastAsia="en-US"/>
        </w:rPr>
        <w:t>ب</w:t>
      </w:r>
      <w:r>
        <w:rPr>
          <w:rFonts w:ascii="Traditional Arabic" w:hAnsi="Traditional Arabic" w:hint="cs"/>
          <w:noProof w:val="0"/>
          <w:rtl/>
          <w:lang w:eastAsia="en-US"/>
        </w:rPr>
        <w:t>َ</w:t>
      </w:r>
      <w:r w:rsidRPr="00B37348">
        <w:rPr>
          <w:rFonts w:ascii="Traditional Arabic" w:hAnsi="Traditional Arabic"/>
          <w:noProof w:val="0"/>
          <w:rtl/>
          <w:lang w:eastAsia="en-US"/>
        </w:rPr>
        <w:t>ار</w:t>
      </w:r>
      <w:r>
        <w:rPr>
          <w:rFonts w:ascii="Traditional Arabic" w:hAnsi="Traditional Arabic" w:hint="cs"/>
          <w:noProof w:val="0"/>
          <w:rtl/>
          <w:lang w:eastAsia="en-US"/>
        </w:rPr>
        <w:t>،</w:t>
      </w:r>
      <w:r w:rsidRPr="00B37348">
        <w:rPr>
          <w:rFonts w:ascii="Traditional Arabic" w:hAnsi="Traditional Arabic"/>
          <w:noProof w:val="0"/>
          <w:rtl/>
          <w:lang w:eastAsia="en-US"/>
        </w:rPr>
        <w:t xml:space="preserve"> وهو</w:t>
      </w:r>
      <w:r w:rsidR="00A63630">
        <w:rPr>
          <w:rFonts w:ascii="Traditional Arabic" w:hAnsi="Traditional Arabic" w:hint="cs"/>
          <w:noProof w:val="0"/>
          <w:rtl/>
          <w:lang w:eastAsia="en-US"/>
        </w:rPr>
        <w:t xml:space="preserve"> </w:t>
      </w:r>
      <w:r>
        <w:rPr>
          <w:rFonts w:hint="cs"/>
          <w:rtl/>
        </w:rPr>
        <w:t>الهَدَر)</w:t>
      </w:r>
      <w:r w:rsidRPr="00C821A1">
        <w:rPr>
          <w:rStyle w:val="af1"/>
          <w:szCs w:val="32"/>
          <w:rtl/>
        </w:rPr>
        <w:t>(</w:t>
      </w:r>
      <w:r w:rsidRPr="00C821A1">
        <w:rPr>
          <w:rStyle w:val="af1"/>
          <w:szCs w:val="32"/>
          <w:rtl/>
        </w:rPr>
        <w:footnoteReference w:id="1348"/>
      </w:r>
      <w:r w:rsidRPr="00C821A1">
        <w:rPr>
          <w:rStyle w:val="af1"/>
          <w:szCs w:val="32"/>
          <w:rtl/>
        </w:rPr>
        <w:t>)</w:t>
      </w:r>
      <w:r>
        <w:rPr>
          <w:rFonts w:hint="cs"/>
          <w:rtl/>
        </w:rPr>
        <w:t>.</w:t>
      </w:r>
    </w:p>
    <w:p w:rsidR="00065E4B" w:rsidRDefault="00065E4B" w:rsidP="00597C20">
      <w:pPr>
        <w:pStyle w:val="53"/>
        <w:rPr>
          <w:rtl/>
        </w:rPr>
      </w:pPr>
      <w:r>
        <w:rPr>
          <w:rFonts w:hint="cs"/>
          <w:rtl/>
        </w:rPr>
        <w:t>م</w:t>
      </w:r>
      <w:r w:rsidR="00F0024F">
        <w:rPr>
          <w:rFonts w:hint="cs"/>
          <w:rtl/>
        </w:rPr>
        <w:t>عنى القاعدة إجمالا:</w:t>
      </w:r>
    </w:p>
    <w:p w:rsidR="00065E4B" w:rsidRDefault="00065E4B" w:rsidP="00597C20">
      <w:pPr>
        <w:widowControl/>
        <w:autoSpaceDE w:val="0"/>
        <w:autoSpaceDN w:val="0"/>
        <w:adjustRightInd w:val="0"/>
        <w:ind w:firstLine="720"/>
        <w:rPr>
          <w:rFonts w:ascii="Traditional Arabic" w:hAnsi="Traditional Arabic"/>
          <w:b/>
          <w:bCs/>
          <w:noProof w:val="0"/>
          <w:sz w:val="44"/>
          <w:szCs w:val="44"/>
          <w:rtl/>
          <w:lang w:eastAsia="en-US"/>
        </w:rPr>
      </w:pPr>
      <w:r>
        <w:rPr>
          <w:rFonts w:ascii="Traditional Arabic" w:hAnsi="Traditional Arabic" w:hint="cs"/>
          <w:noProof w:val="0"/>
          <w:rtl/>
          <w:lang w:eastAsia="en-US"/>
        </w:rPr>
        <w:t>ا</w:t>
      </w:r>
      <w:r w:rsidR="00F0024F">
        <w:rPr>
          <w:rFonts w:ascii="Traditional Arabic" w:hAnsi="Traditional Arabic" w:hint="cs"/>
          <w:noProof w:val="0"/>
          <w:rtl/>
          <w:lang w:eastAsia="en-US"/>
        </w:rPr>
        <w:t xml:space="preserve">لأصل فيما أتلفته البهيمةُ عدم الضمان، وأن </w:t>
      </w:r>
      <w:r w:rsidR="00F0024F">
        <w:rPr>
          <w:rFonts w:ascii="Traditional Arabic" w:hAnsi="Traditional Arabic"/>
          <w:noProof w:val="0"/>
          <w:rtl/>
          <w:lang w:eastAsia="en-US"/>
        </w:rPr>
        <w:t>جناي</w:t>
      </w:r>
      <w:r w:rsidR="00F0024F">
        <w:rPr>
          <w:rFonts w:ascii="Traditional Arabic" w:hAnsi="Traditional Arabic" w:hint="cs"/>
          <w:noProof w:val="0"/>
          <w:rtl/>
          <w:lang w:eastAsia="en-US"/>
        </w:rPr>
        <w:t>تها</w:t>
      </w:r>
      <w:r w:rsidR="009A3062">
        <w:rPr>
          <w:rFonts w:ascii="Traditional Arabic" w:hAnsi="Traditional Arabic" w:hint="cs"/>
          <w:noProof w:val="0"/>
          <w:rtl/>
          <w:lang w:eastAsia="en-US"/>
        </w:rPr>
        <w:t xml:space="preserve"> </w:t>
      </w:r>
      <w:r w:rsidR="00F0024F" w:rsidRPr="006E7F71">
        <w:rPr>
          <w:rFonts w:ascii="Traditional Arabic" w:hAnsi="Traditional Arabic"/>
          <w:noProof w:val="0"/>
          <w:rtl/>
          <w:lang w:eastAsia="en-US"/>
        </w:rPr>
        <w:t>وما تفعله من الأضرار بالنفس</w:t>
      </w:r>
      <w:r w:rsidR="009A3062">
        <w:rPr>
          <w:rFonts w:ascii="Traditional Arabic" w:hAnsi="Traditional Arabic" w:hint="cs"/>
          <w:noProof w:val="0"/>
          <w:rtl/>
          <w:lang w:eastAsia="en-US"/>
        </w:rPr>
        <w:t xml:space="preserve"> </w:t>
      </w:r>
      <w:r w:rsidR="00F0024F" w:rsidRPr="006E7F71">
        <w:rPr>
          <w:rFonts w:ascii="Traditional Arabic" w:hAnsi="Traditional Arabic"/>
          <w:noProof w:val="0"/>
          <w:rtl/>
          <w:lang w:eastAsia="en-US"/>
        </w:rPr>
        <w:t>أو بالمال، وما يصدر عنها من ضرر</w:t>
      </w:r>
      <w:r w:rsidR="009A3062">
        <w:rPr>
          <w:rFonts w:ascii="Traditional Arabic" w:hAnsi="Traditional Arabic" w:hint="cs"/>
          <w:noProof w:val="0"/>
          <w:rtl/>
          <w:lang w:eastAsia="en-US"/>
        </w:rPr>
        <w:t xml:space="preserve"> </w:t>
      </w:r>
      <w:r w:rsidR="00F0024F">
        <w:rPr>
          <w:rFonts w:ascii="Traditional Arabic" w:hAnsi="Traditional Arabic"/>
          <w:noProof w:val="0"/>
          <w:rtl/>
          <w:lang w:eastAsia="en-US"/>
        </w:rPr>
        <w:t>ه</w:t>
      </w:r>
      <w:r w:rsidR="00F0024F">
        <w:rPr>
          <w:rFonts w:ascii="Traditional Arabic" w:hAnsi="Traditional Arabic" w:hint="cs"/>
          <w:noProof w:val="0"/>
          <w:rtl/>
          <w:lang w:eastAsia="en-US"/>
        </w:rPr>
        <w:t>َ</w:t>
      </w:r>
      <w:r w:rsidR="00F0024F">
        <w:rPr>
          <w:rFonts w:ascii="Traditional Arabic" w:hAnsi="Traditional Arabic"/>
          <w:noProof w:val="0"/>
          <w:rtl/>
          <w:lang w:eastAsia="en-US"/>
        </w:rPr>
        <w:t>د</w:t>
      </w:r>
      <w:r w:rsidR="00F0024F">
        <w:rPr>
          <w:rFonts w:ascii="Traditional Arabic" w:hAnsi="Traditional Arabic" w:hint="cs"/>
          <w:noProof w:val="0"/>
          <w:rtl/>
          <w:lang w:eastAsia="en-US"/>
        </w:rPr>
        <w:t>َ</w:t>
      </w:r>
      <w:r w:rsidR="00F0024F">
        <w:rPr>
          <w:rFonts w:ascii="Traditional Arabic" w:hAnsi="Traditional Arabic"/>
          <w:noProof w:val="0"/>
          <w:rtl/>
          <w:lang w:eastAsia="en-US"/>
        </w:rPr>
        <w:t>ر</w:t>
      </w:r>
      <w:r w:rsidR="00F0024F">
        <w:rPr>
          <w:rFonts w:ascii="Traditional Arabic" w:hAnsi="Traditional Arabic" w:hint="cs"/>
          <w:noProof w:val="0"/>
          <w:rtl/>
          <w:lang w:eastAsia="en-US"/>
        </w:rPr>
        <w:t xml:space="preserve"> وباطل</w:t>
      </w:r>
      <w:r w:rsidR="00F0024F" w:rsidRPr="00D163C3">
        <w:rPr>
          <w:rFonts w:ascii="Traditional Arabic" w:hAnsi="Traditional Arabic"/>
          <w:noProof w:val="0"/>
          <w:rtl/>
          <w:lang w:eastAsia="en-US"/>
        </w:rPr>
        <w:t>، والتعليل أنه لا يمكن إحالة الضمان عليها؛ لأنها بهيمة</w:t>
      </w:r>
      <w:r w:rsidR="00F0024F">
        <w:rPr>
          <w:rFonts w:ascii="Traditional Arabic" w:hAnsi="Traditional Arabic" w:hint="cs"/>
          <w:noProof w:val="0"/>
          <w:rtl/>
          <w:lang w:eastAsia="en-US"/>
        </w:rPr>
        <w:t xml:space="preserve">، </w:t>
      </w:r>
      <w:r w:rsidR="00F0024F">
        <w:rPr>
          <w:rFonts w:ascii="Traditional Arabic" w:hAnsi="Traditional Arabic"/>
          <w:noProof w:val="0"/>
          <w:rtl/>
          <w:lang w:eastAsia="en-US"/>
        </w:rPr>
        <w:t>ولا على صاحبها</w:t>
      </w:r>
      <w:r w:rsidR="00F0024F">
        <w:rPr>
          <w:rFonts w:ascii="Traditional Arabic" w:hAnsi="Traditional Arabic" w:hint="cs"/>
          <w:noProof w:val="0"/>
          <w:rtl/>
          <w:lang w:eastAsia="en-US"/>
        </w:rPr>
        <w:t xml:space="preserve"> ما</w:t>
      </w:r>
      <w:r w:rsidR="00F0024F" w:rsidRPr="005F1CCF">
        <w:rPr>
          <w:rFonts w:ascii="Traditional Arabic" w:hAnsi="Traditional Arabic"/>
          <w:noProof w:val="0"/>
          <w:rtl/>
          <w:lang w:eastAsia="en-US"/>
        </w:rPr>
        <w:t xml:space="preserve"> لم يحصل منه تعد</w:t>
      </w:r>
      <w:r w:rsidR="00F0024F">
        <w:rPr>
          <w:rFonts w:ascii="Traditional Arabic" w:hAnsi="Traditional Arabic" w:hint="cs"/>
          <w:noProof w:val="0"/>
          <w:rtl/>
          <w:lang w:eastAsia="en-US"/>
        </w:rPr>
        <w:t>ٍّ</w:t>
      </w:r>
      <w:r w:rsidR="00F0024F" w:rsidRPr="005F1CCF">
        <w:rPr>
          <w:rFonts w:ascii="Traditional Arabic" w:hAnsi="Traditional Arabic"/>
          <w:noProof w:val="0"/>
          <w:rtl/>
          <w:lang w:eastAsia="en-US"/>
        </w:rPr>
        <w:t xml:space="preserve"> ولا تفريط</w:t>
      </w:r>
      <w:r w:rsidR="00F0024F" w:rsidRPr="00C821A1">
        <w:rPr>
          <w:rStyle w:val="af1"/>
          <w:szCs w:val="32"/>
          <w:rtl/>
        </w:rPr>
        <w:t>(</w:t>
      </w:r>
      <w:r w:rsidR="00F0024F" w:rsidRPr="00C821A1">
        <w:rPr>
          <w:rStyle w:val="af1"/>
          <w:szCs w:val="32"/>
          <w:rtl/>
        </w:rPr>
        <w:footnoteReference w:id="1349"/>
      </w:r>
      <w:r w:rsidR="00F0024F" w:rsidRPr="00C821A1">
        <w:rPr>
          <w:rStyle w:val="af1"/>
          <w:szCs w:val="32"/>
          <w:rtl/>
        </w:rPr>
        <w:t>)</w:t>
      </w:r>
      <w:r w:rsidR="00F0024F">
        <w:rPr>
          <w:rFonts w:ascii="Traditional Arabic" w:hAnsi="Traditional Arabic" w:hint="cs"/>
          <w:b/>
          <w:bCs/>
          <w:noProof w:val="0"/>
          <w:sz w:val="44"/>
          <w:szCs w:val="44"/>
          <w:rtl/>
          <w:lang w:eastAsia="en-US"/>
        </w:rPr>
        <w:t>.</w:t>
      </w:r>
    </w:p>
    <w:p w:rsidR="00F0024F" w:rsidRPr="00C552AD" w:rsidRDefault="00065E4B" w:rsidP="00597C20">
      <w:pPr>
        <w:widowControl/>
        <w:autoSpaceDE w:val="0"/>
        <w:autoSpaceDN w:val="0"/>
        <w:adjustRightInd w:val="0"/>
        <w:ind w:firstLine="720"/>
        <w:rPr>
          <w:rFonts w:ascii="Traditional Arabic" w:hAnsi="Traditional Arabic"/>
          <w:noProof w:val="0"/>
          <w:rtl/>
          <w:lang w:eastAsia="en-US"/>
        </w:rPr>
      </w:pPr>
      <w:r w:rsidRPr="00C552AD">
        <w:rPr>
          <w:rFonts w:ascii="Traditional Arabic" w:hAnsi="Traditional Arabic"/>
          <w:noProof w:val="0"/>
          <w:rtl/>
          <w:lang w:eastAsia="en-US"/>
        </w:rPr>
        <w:t>ف</w:t>
      </w:r>
      <w:r w:rsidR="00F0024F" w:rsidRPr="00C552AD">
        <w:rPr>
          <w:rFonts w:ascii="Traditional Arabic" w:hAnsi="Traditional Arabic"/>
          <w:noProof w:val="0"/>
          <w:rtl/>
          <w:lang w:eastAsia="en-US"/>
        </w:rPr>
        <w:t xml:space="preserve">إن كان </w:t>
      </w:r>
      <w:r w:rsidR="00F0024F">
        <w:rPr>
          <w:rFonts w:ascii="Traditional Arabic" w:hAnsi="Traditional Arabic" w:hint="cs"/>
          <w:noProof w:val="0"/>
          <w:rtl/>
          <w:lang w:eastAsia="en-US"/>
        </w:rPr>
        <w:t xml:space="preserve">منه </w:t>
      </w:r>
      <w:r w:rsidR="00F0024F" w:rsidRPr="00C552AD">
        <w:rPr>
          <w:rFonts w:ascii="Traditional Arabic" w:hAnsi="Traditional Arabic"/>
          <w:noProof w:val="0"/>
          <w:rtl/>
          <w:lang w:eastAsia="en-US"/>
        </w:rPr>
        <w:t>ع</w:t>
      </w:r>
      <w:r w:rsidR="00F0024F">
        <w:rPr>
          <w:rFonts w:ascii="Traditional Arabic" w:hAnsi="Traditional Arabic" w:hint="cs"/>
          <w:noProof w:val="0"/>
          <w:rtl/>
          <w:lang w:eastAsia="en-US"/>
        </w:rPr>
        <w:t>ُ</w:t>
      </w:r>
      <w:r w:rsidR="00F0024F" w:rsidRPr="00C552AD">
        <w:rPr>
          <w:rFonts w:ascii="Traditional Arabic" w:hAnsi="Traditional Arabic"/>
          <w:noProof w:val="0"/>
          <w:rtl/>
          <w:lang w:eastAsia="en-US"/>
        </w:rPr>
        <w:t>دوان</w:t>
      </w:r>
      <w:r w:rsidR="00F0024F">
        <w:rPr>
          <w:rFonts w:ascii="Traditional Arabic" w:hAnsi="Traditional Arabic" w:hint="cs"/>
          <w:noProof w:val="0"/>
          <w:rtl/>
          <w:lang w:eastAsia="en-US"/>
        </w:rPr>
        <w:t>ٌ</w:t>
      </w:r>
      <w:r w:rsidR="00F0024F" w:rsidRPr="00C552AD">
        <w:rPr>
          <w:rFonts w:ascii="Traditional Arabic" w:hAnsi="Traditional Arabic"/>
          <w:noProof w:val="0"/>
          <w:rtl/>
          <w:lang w:eastAsia="en-US"/>
        </w:rPr>
        <w:t xml:space="preserve"> أو تفريط ع</w:t>
      </w:r>
      <w:r w:rsidR="00F0024F">
        <w:rPr>
          <w:rFonts w:ascii="Traditional Arabic" w:hAnsi="Traditional Arabic" w:hint="cs"/>
          <w:noProof w:val="0"/>
          <w:rtl/>
          <w:lang w:eastAsia="en-US"/>
        </w:rPr>
        <w:t>ُ</w:t>
      </w:r>
      <w:r w:rsidR="00F0024F" w:rsidRPr="00C552AD">
        <w:rPr>
          <w:rFonts w:ascii="Traditional Arabic" w:hAnsi="Traditional Arabic"/>
          <w:noProof w:val="0"/>
          <w:rtl/>
          <w:lang w:eastAsia="en-US"/>
        </w:rPr>
        <w:t>وم</w:t>
      </w:r>
      <w:r w:rsidR="00F0024F">
        <w:rPr>
          <w:rFonts w:ascii="Traditional Arabic" w:hAnsi="Traditional Arabic" w:hint="cs"/>
          <w:noProof w:val="0"/>
          <w:rtl/>
          <w:lang w:eastAsia="en-US"/>
        </w:rPr>
        <w:t>ِ</w:t>
      </w:r>
      <w:r w:rsidR="00F0024F" w:rsidRPr="00C552AD">
        <w:rPr>
          <w:rFonts w:ascii="Traditional Arabic" w:hAnsi="Traditional Arabic"/>
          <w:noProof w:val="0"/>
          <w:rtl/>
          <w:lang w:eastAsia="en-US"/>
        </w:rPr>
        <w:t>ل بما يقتضيه ذلك العدوان والتفريط</w:t>
      </w:r>
      <w:r w:rsidR="00F0024F">
        <w:rPr>
          <w:rFonts w:ascii="Traditional Arabic" w:hAnsi="Traditional Arabic" w:hint="cs"/>
          <w:noProof w:val="0"/>
          <w:rtl/>
          <w:lang w:eastAsia="en-US"/>
        </w:rPr>
        <w:t xml:space="preserve"> من الضمان</w:t>
      </w:r>
      <w:r w:rsidR="00F0024F" w:rsidRPr="00C821A1">
        <w:rPr>
          <w:rStyle w:val="af1"/>
          <w:szCs w:val="32"/>
          <w:rtl/>
        </w:rPr>
        <w:t>(</w:t>
      </w:r>
      <w:r w:rsidR="00F0024F" w:rsidRPr="00C821A1">
        <w:rPr>
          <w:rStyle w:val="af1"/>
          <w:szCs w:val="32"/>
          <w:rtl/>
        </w:rPr>
        <w:footnoteReference w:id="1350"/>
      </w:r>
      <w:r w:rsidR="00F0024F" w:rsidRPr="00C821A1">
        <w:rPr>
          <w:rStyle w:val="af1"/>
          <w:szCs w:val="32"/>
          <w:rtl/>
        </w:rPr>
        <w:t>)</w:t>
      </w:r>
      <w:r w:rsidR="00F0024F" w:rsidRPr="00C552AD">
        <w:rPr>
          <w:rFonts w:ascii="Traditional Arabic" w:hAnsi="Traditional Arabic"/>
          <w:noProof w:val="0"/>
          <w:rtl/>
          <w:lang w:eastAsia="en-US"/>
        </w:rPr>
        <w:t>.</w:t>
      </w:r>
    </w:p>
    <w:p w:rsidR="00F0024F" w:rsidRPr="006264C0" w:rsidRDefault="00FB54E9" w:rsidP="00A8347C">
      <w:pPr>
        <w:pStyle w:val="aff3"/>
        <w:rPr>
          <w:rtl/>
        </w:rPr>
      </w:pPr>
      <w:bookmarkStart w:id="266" w:name="_Toc334046484"/>
      <w:r>
        <w:rPr>
          <w:rFonts w:hint="cs"/>
          <w:rtl/>
        </w:rPr>
        <w:lastRenderedPageBreak/>
        <w:t xml:space="preserve">                                          المطلب</w:t>
      </w:r>
      <w:r w:rsidR="00774363">
        <w:rPr>
          <w:rFonts w:hint="cs"/>
          <w:rtl/>
        </w:rPr>
        <w:t xml:space="preserve"> </w:t>
      </w:r>
      <w:r w:rsidR="00F0024F" w:rsidRPr="006264C0">
        <w:rPr>
          <w:rFonts w:hint="cs"/>
          <w:rtl/>
        </w:rPr>
        <w:t>الثالث</w:t>
      </w:r>
      <w:r w:rsidR="006264C0">
        <w:rPr>
          <w:rFonts w:hint="eastAsia"/>
          <w:rtl/>
        </w:rPr>
        <w:t> :</w:t>
      </w:r>
      <w:r w:rsidR="006264C0">
        <w:rPr>
          <w:rFonts w:hint="cs"/>
          <w:rtl/>
        </w:rPr>
        <w:br/>
      </w:r>
      <w:r>
        <w:rPr>
          <w:rFonts w:hint="cs"/>
          <w:rtl/>
        </w:rPr>
        <w:t xml:space="preserve">                                            </w:t>
      </w:r>
      <w:r w:rsidR="005515D0">
        <w:rPr>
          <w:rFonts w:hint="cs"/>
          <w:rtl/>
        </w:rPr>
        <w:t>دليل</w:t>
      </w:r>
      <w:r w:rsidR="00F0024F" w:rsidRPr="006264C0">
        <w:rPr>
          <w:rFonts w:hint="cs"/>
          <w:rtl/>
        </w:rPr>
        <w:t xml:space="preserve"> القاعدة</w:t>
      </w:r>
      <w:bookmarkEnd w:id="266"/>
    </w:p>
    <w:p w:rsidR="00F0024F" w:rsidRPr="00774363" w:rsidRDefault="00774363" w:rsidP="00774363">
      <w:pPr>
        <w:widowControl/>
        <w:autoSpaceDE w:val="0"/>
        <w:autoSpaceDN w:val="0"/>
        <w:adjustRightInd w:val="0"/>
        <w:ind w:firstLine="0"/>
        <w:rPr>
          <w:rFonts w:ascii="Traditional Arabic" w:hAnsi="Traditional Arabic"/>
          <w:noProof w:val="0"/>
          <w:rtl/>
          <w:lang w:eastAsia="en-US"/>
        </w:rPr>
      </w:pPr>
      <w:r>
        <w:rPr>
          <w:rFonts w:hint="cs"/>
          <w:rtl/>
        </w:rPr>
        <w:t xml:space="preserve">(1) </w:t>
      </w:r>
      <w:r w:rsidR="00F0024F" w:rsidRPr="006E7F71">
        <w:rPr>
          <w:rFonts w:hint="cs"/>
          <w:rtl/>
        </w:rPr>
        <w:t xml:space="preserve">حديث </w:t>
      </w:r>
      <w:r w:rsidR="00F0024F" w:rsidRPr="00774363">
        <w:rPr>
          <w:rFonts w:ascii="Traditional Arabic" w:hAnsi="Traditional Arabic"/>
          <w:noProof w:val="0"/>
          <w:color w:val="auto"/>
          <w:rtl/>
          <w:lang w:eastAsia="en-US"/>
        </w:rPr>
        <w:t>أبي هر</w:t>
      </w:r>
      <w:r w:rsidRPr="00774363">
        <w:rPr>
          <w:rFonts w:ascii="Traditional Arabic" w:hAnsi="Traditional Arabic"/>
          <w:noProof w:val="0"/>
          <w:color w:val="auto"/>
          <w:rtl/>
          <w:lang w:eastAsia="en-US"/>
        </w:rPr>
        <w:t>يرة</w:t>
      </w:r>
      <w:r w:rsidRPr="00774363">
        <w:rPr>
          <w:rFonts w:ascii="Traditional Arabic" w:hAnsi="Traditional Arabic" w:hint="cs"/>
          <w:noProof w:val="0"/>
          <w:color w:val="auto"/>
          <w:rtl/>
          <w:lang w:eastAsia="en-US"/>
        </w:rPr>
        <w:t>_</w:t>
      </w:r>
      <w:r w:rsidR="009A0575" w:rsidRPr="00774363">
        <w:rPr>
          <w:rFonts w:ascii="Traditional Arabic" w:hAnsi="Traditional Arabic" w:cs="CTraditional Arabic" w:hint="cs"/>
          <w:rtl/>
        </w:rPr>
        <w:t>ا</w:t>
      </w:r>
      <w:r w:rsidRPr="00774363">
        <w:rPr>
          <w:rFonts w:ascii="Traditional Arabic" w:hAnsi="Traditional Arabic" w:hint="cs"/>
          <w:noProof w:val="0"/>
          <w:rtl/>
          <w:lang w:eastAsia="en-US"/>
        </w:rPr>
        <w:t>_</w:t>
      </w:r>
      <w:r w:rsidR="00F0024F" w:rsidRPr="00774363">
        <w:rPr>
          <w:rFonts w:ascii="Traditional Arabic" w:hAnsi="Traditional Arabic"/>
          <w:noProof w:val="0"/>
          <w:rtl/>
          <w:lang w:eastAsia="en-US"/>
        </w:rPr>
        <w:t>قال</w:t>
      </w:r>
      <w:r w:rsidR="00F0024F" w:rsidRPr="00774363">
        <w:rPr>
          <w:rFonts w:ascii="Traditional Arabic" w:hAnsi="Traditional Arabic" w:hint="cs"/>
          <w:noProof w:val="0"/>
          <w:rtl/>
          <w:lang w:eastAsia="en-US"/>
        </w:rPr>
        <w:t>:</w:t>
      </w:r>
      <w:r w:rsidR="00F0024F" w:rsidRPr="00774363">
        <w:rPr>
          <w:rFonts w:ascii="Traditional Arabic" w:hAnsi="Traditional Arabic"/>
          <w:noProof w:val="0"/>
          <w:rtl/>
          <w:lang w:eastAsia="en-US"/>
        </w:rPr>
        <w:t xml:space="preserve"> قال رسول الله </w:t>
      </w:r>
      <w:r w:rsidR="00FB54E9" w:rsidRPr="00774363">
        <w:rPr>
          <w:rFonts w:ascii="Traditional Arabic" w:hAnsi="Traditional Arabic" w:hint="cs"/>
          <w:rtl/>
        </w:rPr>
        <w:t>صلى الله عليه وسلم</w:t>
      </w:r>
      <w:r w:rsidR="00F0024F" w:rsidRPr="00774363">
        <w:rPr>
          <w:rFonts w:ascii="Traditional Arabic" w:hAnsi="Traditional Arabic"/>
          <w:noProof w:val="0"/>
          <w:color w:val="auto"/>
          <w:rtl/>
          <w:lang w:eastAsia="en-US"/>
        </w:rPr>
        <w:t xml:space="preserve">:"العَجماءُ </w:t>
      </w:r>
      <w:r w:rsidRPr="00774363">
        <w:rPr>
          <w:rFonts w:ascii="Traditional Arabic" w:hAnsi="Traditional Arabic" w:hint="cs"/>
          <w:noProof w:val="0"/>
          <w:color w:val="auto"/>
          <w:rtl/>
          <w:lang w:eastAsia="en-US"/>
        </w:rPr>
        <w:t xml:space="preserve"> </w:t>
      </w:r>
      <w:r w:rsidR="00F0024F" w:rsidRPr="00774363">
        <w:rPr>
          <w:rFonts w:ascii="Traditional Arabic" w:hAnsi="Traditional Arabic"/>
          <w:noProof w:val="0"/>
          <w:color w:val="auto"/>
          <w:rtl/>
          <w:lang w:eastAsia="en-US"/>
        </w:rPr>
        <w:t>جُبار</w:t>
      </w:r>
      <w:r w:rsidR="00F0024F" w:rsidRPr="00774363">
        <w:rPr>
          <w:rFonts w:ascii="Traditional Arabic" w:hAnsi="Traditional Arabic" w:hint="cs"/>
          <w:noProof w:val="0"/>
          <w:color w:val="auto"/>
          <w:rtl/>
          <w:lang w:eastAsia="en-US"/>
        </w:rPr>
        <w:t xml:space="preserve">، </w:t>
      </w:r>
      <w:r w:rsidR="00F0024F" w:rsidRPr="00774363">
        <w:rPr>
          <w:rFonts w:ascii="Traditional Arabic" w:hAnsi="Traditional Arabic"/>
          <w:noProof w:val="0"/>
          <w:color w:val="auto"/>
          <w:rtl/>
          <w:lang w:eastAsia="en-US"/>
        </w:rPr>
        <w:t xml:space="preserve">والبئر </w:t>
      </w:r>
      <w:r w:rsidRPr="00774363">
        <w:rPr>
          <w:rFonts w:ascii="Traditional Arabic" w:hAnsi="Traditional Arabic" w:hint="cs"/>
          <w:noProof w:val="0"/>
          <w:color w:val="auto"/>
          <w:rtl/>
          <w:lang w:eastAsia="en-US"/>
        </w:rPr>
        <w:t xml:space="preserve"> </w:t>
      </w:r>
      <w:r w:rsidR="00F0024F" w:rsidRPr="00774363">
        <w:rPr>
          <w:rFonts w:ascii="Traditional Arabic" w:hAnsi="Traditional Arabic"/>
          <w:noProof w:val="0"/>
          <w:color w:val="auto"/>
          <w:rtl/>
          <w:lang w:eastAsia="en-US"/>
        </w:rPr>
        <w:t>جبار</w:t>
      </w:r>
      <w:r w:rsidR="00F0024F" w:rsidRPr="00774363">
        <w:rPr>
          <w:rFonts w:ascii="Traditional Arabic" w:hAnsi="Traditional Arabic" w:hint="cs"/>
          <w:noProof w:val="0"/>
          <w:color w:val="auto"/>
          <w:rtl/>
          <w:lang w:eastAsia="en-US"/>
        </w:rPr>
        <w:t>،</w:t>
      </w:r>
      <w:r w:rsidR="00F0024F" w:rsidRPr="00774363">
        <w:rPr>
          <w:rFonts w:ascii="Traditional Arabic" w:hAnsi="Traditional Arabic"/>
          <w:noProof w:val="0"/>
          <w:color w:val="auto"/>
          <w:rtl/>
          <w:lang w:eastAsia="en-US"/>
        </w:rPr>
        <w:t xml:space="preserve"> والمعدن </w:t>
      </w:r>
      <w:r w:rsidRPr="00774363">
        <w:rPr>
          <w:rFonts w:ascii="Traditional Arabic" w:hAnsi="Traditional Arabic" w:hint="cs"/>
          <w:noProof w:val="0"/>
          <w:color w:val="auto"/>
          <w:rtl/>
          <w:lang w:eastAsia="en-US"/>
        </w:rPr>
        <w:t xml:space="preserve"> </w:t>
      </w:r>
      <w:r w:rsidR="00F0024F" w:rsidRPr="00774363">
        <w:rPr>
          <w:rFonts w:ascii="Traditional Arabic" w:hAnsi="Traditional Arabic"/>
          <w:noProof w:val="0"/>
          <w:color w:val="auto"/>
          <w:rtl/>
          <w:lang w:eastAsia="en-US"/>
        </w:rPr>
        <w:t>جبار</w:t>
      </w:r>
      <w:r w:rsidR="00F0024F" w:rsidRPr="00774363">
        <w:rPr>
          <w:rFonts w:ascii="Traditional Arabic" w:hAnsi="Traditional Arabic" w:hint="cs"/>
          <w:noProof w:val="0"/>
          <w:color w:val="auto"/>
          <w:rtl/>
          <w:lang w:eastAsia="en-US"/>
        </w:rPr>
        <w:t>،</w:t>
      </w:r>
      <w:r w:rsidR="00F0024F" w:rsidRPr="00774363">
        <w:rPr>
          <w:rFonts w:ascii="Traditional Arabic" w:hAnsi="Traditional Arabic"/>
          <w:noProof w:val="0"/>
          <w:color w:val="auto"/>
          <w:rtl/>
          <w:lang w:eastAsia="en-US"/>
        </w:rPr>
        <w:t xml:space="preserve"> وفي </w:t>
      </w:r>
      <w:r w:rsidRPr="00774363">
        <w:rPr>
          <w:rFonts w:ascii="Traditional Arabic" w:hAnsi="Traditional Arabic" w:hint="cs"/>
          <w:noProof w:val="0"/>
          <w:color w:val="auto"/>
          <w:rtl/>
          <w:lang w:eastAsia="en-US"/>
        </w:rPr>
        <w:t xml:space="preserve"> </w:t>
      </w:r>
      <w:r w:rsidR="00F0024F" w:rsidRPr="00774363">
        <w:rPr>
          <w:rFonts w:ascii="Traditional Arabic" w:hAnsi="Traditional Arabic"/>
          <w:noProof w:val="0"/>
          <w:color w:val="auto"/>
          <w:rtl/>
          <w:lang w:eastAsia="en-US"/>
        </w:rPr>
        <w:t>الر</w:t>
      </w:r>
      <w:r w:rsidR="00F0024F" w:rsidRPr="00774363">
        <w:rPr>
          <w:rFonts w:ascii="Traditional Arabic" w:hAnsi="Traditional Arabic" w:hint="cs"/>
          <w:noProof w:val="0"/>
          <w:color w:val="auto"/>
          <w:rtl/>
          <w:lang w:eastAsia="en-US"/>
        </w:rPr>
        <w:t>ِّ</w:t>
      </w:r>
      <w:r w:rsidR="00F0024F" w:rsidRPr="00774363">
        <w:rPr>
          <w:rFonts w:ascii="Traditional Arabic" w:hAnsi="Traditional Arabic"/>
          <w:noProof w:val="0"/>
          <w:color w:val="auto"/>
          <w:rtl/>
          <w:lang w:eastAsia="en-US"/>
        </w:rPr>
        <w:t>كاز</w:t>
      </w:r>
      <w:r w:rsidR="00F0024F" w:rsidRPr="00774363">
        <w:rPr>
          <w:rStyle w:val="af1"/>
          <w:szCs w:val="32"/>
          <w:rtl/>
        </w:rPr>
        <w:t>(</w:t>
      </w:r>
      <w:r w:rsidR="00F0024F" w:rsidRPr="00C821A1">
        <w:rPr>
          <w:rStyle w:val="af1"/>
          <w:szCs w:val="32"/>
          <w:rtl/>
        </w:rPr>
        <w:footnoteReference w:id="1351"/>
      </w:r>
      <w:r w:rsidR="00F0024F" w:rsidRPr="00774363">
        <w:rPr>
          <w:rStyle w:val="af1"/>
          <w:szCs w:val="32"/>
          <w:rtl/>
        </w:rPr>
        <w:t>)</w:t>
      </w:r>
      <w:r w:rsidR="00F0024F" w:rsidRPr="00774363">
        <w:rPr>
          <w:rFonts w:ascii="Traditional Arabic" w:hAnsi="Traditional Arabic"/>
          <w:noProof w:val="0"/>
          <w:color w:val="auto"/>
          <w:rtl/>
          <w:lang w:eastAsia="en-US"/>
        </w:rPr>
        <w:t xml:space="preserve"> الخ</w:t>
      </w:r>
      <w:r w:rsidR="00F0024F" w:rsidRPr="00774363">
        <w:rPr>
          <w:rFonts w:ascii="Traditional Arabic" w:hAnsi="Traditional Arabic" w:hint="cs"/>
          <w:noProof w:val="0"/>
          <w:color w:val="auto"/>
          <w:rtl/>
          <w:lang w:eastAsia="en-US"/>
        </w:rPr>
        <w:t>ُ</w:t>
      </w:r>
      <w:r w:rsidR="00F0024F" w:rsidRPr="00774363">
        <w:rPr>
          <w:rFonts w:ascii="Traditional Arabic" w:hAnsi="Traditional Arabic"/>
          <w:noProof w:val="0"/>
          <w:color w:val="auto"/>
          <w:rtl/>
          <w:lang w:eastAsia="en-US"/>
        </w:rPr>
        <w:t>م</w:t>
      </w:r>
      <w:r w:rsidR="00F0024F" w:rsidRPr="00774363">
        <w:rPr>
          <w:rFonts w:ascii="Traditional Arabic" w:hAnsi="Traditional Arabic" w:hint="cs"/>
          <w:noProof w:val="0"/>
          <w:color w:val="auto"/>
          <w:rtl/>
          <w:lang w:eastAsia="en-US"/>
        </w:rPr>
        <w:t>ُ</w:t>
      </w:r>
      <w:r w:rsidR="00F0024F" w:rsidRPr="00774363">
        <w:rPr>
          <w:rFonts w:ascii="Traditional Arabic" w:hAnsi="Traditional Arabic"/>
          <w:noProof w:val="0"/>
          <w:color w:val="auto"/>
          <w:rtl/>
          <w:lang w:eastAsia="en-US"/>
        </w:rPr>
        <w:t>س</w:t>
      </w:r>
      <w:r w:rsidR="00AB0B9E" w:rsidRPr="00774363">
        <w:rPr>
          <w:rFonts w:ascii="Traditional Arabic" w:hAnsi="Traditional Arabic"/>
          <w:noProof w:val="0"/>
          <w:color w:val="auto"/>
          <w:rtl/>
          <w:lang w:eastAsia="en-US"/>
        </w:rPr>
        <w:fldChar w:fldCharType="begin"/>
      </w:r>
      <w:r w:rsidR="002739B8" w:rsidRPr="00C85F0F">
        <w:instrText>XE</w:instrText>
      </w:r>
      <w:r w:rsidR="002739B8" w:rsidRPr="00C85F0F">
        <w:rPr>
          <w:rtl/>
        </w:rPr>
        <w:instrText xml:space="preserve"> "</w:instrText>
      </w:r>
      <w:r w:rsidR="002739B8" w:rsidRPr="00774363">
        <w:rPr>
          <w:rFonts w:ascii="Traditional Arabic" w:hAnsi="Traditional Arabic"/>
          <w:noProof w:val="0"/>
          <w:color w:val="auto"/>
          <w:rtl/>
          <w:lang w:eastAsia="en-US"/>
        </w:rPr>
        <w:instrText>العَجماءُ جُبار</w:instrText>
      </w:r>
      <w:r w:rsidR="002739B8" w:rsidRPr="00774363">
        <w:rPr>
          <w:rFonts w:ascii="Traditional Arabic" w:hAnsi="Traditional Arabic" w:hint="cs"/>
          <w:noProof w:val="0"/>
          <w:color w:val="auto"/>
          <w:rtl/>
          <w:lang w:eastAsia="en-US"/>
        </w:rPr>
        <w:instrText xml:space="preserve">، </w:instrText>
      </w:r>
      <w:r w:rsidR="002739B8" w:rsidRPr="00774363">
        <w:rPr>
          <w:rFonts w:ascii="Traditional Arabic" w:hAnsi="Traditional Arabic"/>
          <w:noProof w:val="0"/>
          <w:color w:val="auto"/>
          <w:rtl/>
          <w:lang w:eastAsia="en-US"/>
        </w:rPr>
        <w:instrText>والبئر جبار</w:instrText>
      </w:r>
      <w:r w:rsidR="002739B8" w:rsidRPr="00774363">
        <w:rPr>
          <w:rFonts w:ascii="Traditional Arabic" w:hAnsi="Traditional Arabic" w:hint="cs"/>
          <w:noProof w:val="0"/>
          <w:color w:val="auto"/>
          <w:rtl/>
          <w:lang w:eastAsia="en-US"/>
        </w:rPr>
        <w:instrText>،</w:instrText>
      </w:r>
      <w:r w:rsidR="002739B8" w:rsidRPr="00774363">
        <w:rPr>
          <w:rFonts w:ascii="Traditional Arabic" w:hAnsi="Traditional Arabic"/>
          <w:noProof w:val="0"/>
          <w:color w:val="auto"/>
          <w:rtl/>
          <w:lang w:eastAsia="en-US"/>
        </w:rPr>
        <w:instrText xml:space="preserve"> والمعدن جبار</w:instrText>
      </w:r>
      <w:r w:rsidR="002739B8" w:rsidRPr="00774363">
        <w:rPr>
          <w:rFonts w:ascii="Traditional Arabic" w:hAnsi="Traditional Arabic" w:hint="cs"/>
          <w:noProof w:val="0"/>
          <w:color w:val="auto"/>
          <w:rtl/>
          <w:lang w:eastAsia="en-US"/>
        </w:rPr>
        <w:instrText>،</w:instrText>
      </w:r>
      <w:r w:rsidR="002739B8" w:rsidRPr="00774363">
        <w:rPr>
          <w:rFonts w:ascii="Traditional Arabic" w:hAnsi="Traditional Arabic"/>
          <w:noProof w:val="0"/>
          <w:color w:val="auto"/>
          <w:rtl/>
          <w:lang w:eastAsia="en-US"/>
        </w:rPr>
        <w:instrText xml:space="preserve"> وفي الر</w:instrText>
      </w:r>
      <w:r w:rsidR="002739B8" w:rsidRPr="00774363">
        <w:rPr>
          <w:rFonts w:ascii="Traditional Arabic" w:hAnsi="Traditional Arabic" w:hint="cs"/>
          <w:noProof w:val="0"/>
          <w:color w:val="auto"/>
          <w:rtl/>
          <w:lang w:eastAsia="en-US"/>
        </w:rPr>
        <w:instrText>ِّ</w:instrText>
      </w:r>
      <w:r w:rsidR="002739B8" w:rsidRPr="00774363">
        <w:rPr>
          <w:rFonts w:ascii="Traditional Arabic" w:hAnsi="Traditional Arabic"/>
          <w:noProof w:val="0"/>
          <w:color w:val="auto"/>
          <w:rtl/>
          <w:lang w:eastAsia="en-US"/>
        </w:rPr>
        <w:instrText>كاز الخ</w:instrText>
      </w:r>
      <w:r w:rsidR="002739B8" w:rsidRPr="00774363">
        <w:rPr>
          <w:rFonts w:ascii="Traditional Arabic" w:hAnsi="Traditional Arabic" w:hint="cs"/>
          <w:noProof w:val="0"/>
          <w:color w:val="auto"/>
          <w:rtl/>
          <w:lang w:eastAsia="en-US"/>
        </w:rPr>
        <w:instrText>ُ</w:instrText>
      </w:r>
      <w:r w:rsidR="002739B8" w:rsidRPr="00774363">
        <w:rPr>
          <w:rFonts w:ascii="Traditional Arabic" w:hAnsi="Traditional Arabic"/>
          <w:noProof w:val="0"/>
          <w:color w:val="auto"/>
          <w:rtl/>
          <w:lang w:eastAsia="en-US"/>
        </w:rPr>
        <w:instrText>م</w:instrText>
      </w:r>
      <w:r w:rsidR="002739B8" w:rsidRPr="00774363">
        <w:rPr>
          <w:rFonts w:ascii="Traditional Arabic" w:hAnsi="Traditional Arabic" w:hint="cs"/>
          <w:noProof w:val="0"/>
          <w:color w:val="auto"/>
          <w:rtl/>
          <w:lang w:eastAsia="en-US"/>
        </w:rPr>
        <w:instrText>ُ</w:instrText>
      </w:r>
      <w:r w:rsidR="002739B8" w:rsidRPr="00774363">
        <w:rPr>
          <w:rFonts w:ascii="Traditional Arabic" w:hAnsi="Traditional Arabic"/>
          <w:noProof w:val="0"/>
          <w:color w:val="auto"/>
          <w:rtl/>
          <w:lang w:eastAsia="en-US"/>
        </w:rPr>
        <w:instrText>س</w:instrText>
      </w:r>
      <w:r w:rsidR="002739B8" w:rsidRPr="00C85F0F">
        <w:rPr>
          <w:rtl/>
        </w:rPr>
        <w:instrText>" \</w:instrText>
      </w:r>
      <w:r w:rsidR="002739B8" w:rsidRPr="00C85F0F">
        <w:instrText>f</w:instrText>
      </w:r>
      <w:r w:rsidR="002739B8">
        <w:instrText>h</w:instrText>
      </w:r>
      <w:r w:rsidR="00AB0B9E" w:rsidRPr="00774363">
        <w:rPr>
          <w:rFonts w:ascii="Traditional Arabic" w:hAnsi="Traditional Arabic"/>
          <w:noProof w:val="0"/>
          <w:color w:val="auto"/>
          <w:rtl/>
          <w:lang w:eastAsia="en-US"/>
        </w:rPr>
        <w:fldChar w:fldCharType="end"/>
      </w:r>
      <w:r w:rsidR="00F0024F" w:rsidRPr="00774363">
        <w:rPr>
          <w:rFonts w:ascii="Traditional Arabic" w:hAnsi="Traditional Arabic"/>
          <w:noProof w:val="0"/>
          <w:color w:val="auto"/>
          <w:rtl/>
          <w:lang w:eastAsia="en-US"/>
        </w:rPr>
        <w:t>"</w:t>
      </w:r>
      <w:r w:rsidR="00F0024F" w:rsidRPr="00774363">
        <w:rPr>
          <w:rStyle w:val="af1"/>
          <w:szCs w:val="32"/>
          <w:rtl/>
        </w:rPr>
        <w:t>(</w:t>
      </w:r>
      <w:r w:rsidR="00F0024F" w:rsidRPr="00C821A1">
        <w:rPr>
          <w:rStyle w:val="af1"/>
          <w:szCs w:val="32"/>
          <w:rtl/>
        </w:rPr>
        <w:footnoteReference w:id="1352"/>
      </w:r>
      <w:r w:rsidR="00F0024F" w:rsidRPr="00774363">
        <w:rPr>
          <w:rStyle w:val="af1"/>
          <w:szCs w:val="32"/>
          <w:rtl/>
        </w:rPr>
        <w:t>)</w:t>
      </w:r>
      <w:r w:rsidR="00F0024F" w:rsidRPr="00774363">
        <w:rPr>
          <w:rFonts w:ascii="Traditional Arabic" w:hAnsi="Traditional Arabic" w:hint="cs"/>
          <w:noProof w:val="0"/>
          <w:rtl/>
          <w:lang w:eastAsia="en-US"/>
        </w:rPr>
        <w:t>.</w:t>
      </w:r>
    </w:p>
    <w:p w:rsidR="00F0024F" w:rsidRDefault="00FB54E9" w:rsidP="00A8347C">
      <w:pPr>
        <w:pStyle w:val="aff3"/>
        <w:rPr>
          <w:rtl/>
        </w:rPr>
      </w:pPr>
      <w:bookmarkStart w:id="267" w:name="_Toc334046485"/>
      <w:r>
        <w:rPr>
          <w:rFonts w:hint="cs"/>
          <w:rtl/>
        </w:rPr>
        <w:t xml:space="preserve">                                           المطلب</w:t>
      </w:r>
      <w:r w:rsidR="00774363">
        <w:rPr>
          <w:rFonts w:hint="cs"/>
          <w:rtl/>
        </w:rPr>
        <w:t xml:space="preserve"> </w:t>
      </w:r>
      <w:r w:rsidR="00F0024F">
        <w:rPr>
          <w:rFonts w:hint="cs"/>
          <w:rtl/>
        </w:rPr>
        <w:t>الرابع</w:t>
      </w:r>
      <w:r w:rsidR="006264C0">
        <w:rPr>
          <w:rFonts w:hint="eastAsia"/>
          <w:rtl/>
        </w:rPr>
        <w:t> :</w:t>
      </w:r>
      <w:r w:rsidR="006264C0">
        <w:rPr>
          <w:rFonts w:hint="cs"/>
          <w:rtl/>
        </w:rPr>
        <w:br/>
      </w:r>
      <w:r>
        <w:rPr>
          <w:rFonts w:hint="cs"/>
          <w:rtl/>
        </w:rPr>
        <w:t xml:space="preserve">                                          </w:t>
      </w:r>
      <w:r w:rsidR="00F0024F">
        <w:rPr>
          <w:rFonts w:hint="cs"/>
          <w:rtl/>
        </w:rPr>
        <w:t>تطبيقات القاعدة</w:t>
      </w:r>
      <w:bookmarkEnd w:id="267"/>
    </w:p>
    <w:p w:rsidR="00F228A9" w:rsidRPr="00616FF4" w:rsidRDefault="00F0024F" w:rsidP="005515D0">
      <w:pPr>
        <w:pStyle w:val="afc"/>
        <w:widowControl/>
        <w:numPr>
          <w:ilvl w:val="0"/>
          <w:numId w:val="181"/>
        </w:numPr>
        <w:autoSpaceDE w:val="0"/>
        <w:autoSpaceDN w:val="0"/>
        <w:adjustRightInd w:val="0"/>
        <w:ind w:firstLine="0"/>
        <w:rPr>
          <w:rFonts w:ascii="Traditional Arabic" w:hAnsi="Traditional Arabic"/>
          <w:noProof w:val="0"/>
          <w:rtl/>
          <w:lang w:eastAsia="en-US"/>
        </w:rPr>
      </w:pPr>
      <w:r w:rsidRPr="00616FF4">
        <w:rPr>
          <w:rFonts w:ascii="Traditional Arabic" w:hAnsi="Traditional Arabic"/>
          <w:noProof w:val="0"/>
          <w:rtl/>
          <w:lang w:eastAsia="en-US"/>
        </w:rPr>
        <w:t>الكلب الع</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ق</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ور</w:t>
      </w:r>
      <w:r w:rsidR="005515D0">
        <w:rPr>
          <w:rStyle w:val="af1"/>
          <w:rFonts w:hint="cs"/>
          <w:szCs w:val="32"/>
          <w:rtl/>
        </w:rPr>
        <w:t xml:space="preserve"> </w:t>
      </w:r>
      <w:r w:rsidRPr="00616FF4">
        <w:rPr>
          <w:rFonts w:ascii="Traditional Arabic" w:hAnsi="Traditional Arabic"/>
          <w:noProof w:val="0"/>
          <w:rtl/>
          <w:lang w:eastAsia="en-US"/>
        </w:rPr>
        <w:t>يحر</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م اقتناؤه، فإذا أتلف شيئا خارج منزل صاحبه فعليه الضمان، أما الكلب غير العقور إذا أتلف شيئا خارج منزل صاحبه، ليس فيه ضمان</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 xml:space="preserve"> ب</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ناء</w:t>
      </w:r>
      <w:r w:rsidRPr="00616FF4">
        <w:rPr>
          <w:rFonts w:ascii="Traditional Arabic" w:hAnsi="Traditional Arabic" w:hint="cs"/>
          <w:noProof w:val="0"/>
          <w:rtl/>
          <w:lang w:eastAsia="en-US"/>
        </w:rPr>
        <w:t>ً</w:t>
      </w:r>
      <w:r w:rsidR="00774363">
        <w:rPr>
          <w:rFonts w:ascii="Traditional Arabic" w:hAnsi="Traditional Arabic" w:hint="cs"/>
          <w:noProof w:val="0"/>
          <w:rtl/>
          <w:lang w:eastAsia="en-US"/>
        </w:rPr>
        <w:t xml:space="preserve"> </w:t>
      </w:r>
      <w:r w:rsidR="00774363">
        <w:rPr>
          <w:rFonts w:ascii="Traditional Arabic" w:hAnsi="Traditional Arabic"/>
          <w:noProof w:val="0"/>
          <w:rtl/>
          <w:lang w:eastAsia="en-US"/>
        </w:rPr>
        <w:t>على قاعدة</w:t>
      </w:r>
      <w:r w:rsidR="00F228A9" w:rsidRPr="00616FF4">
        <w:rPr>
          <w:rFonts w:ascii="Traditional Arabic" w:hAnsi="Traditional Arabic"/>
          <w:noProof w:val="0"/>
          <w:rtl/>
          <w:lang w:eastAsia="en-US"/>
        </w:rPr>
        <w:t xml:space="preserve"> </w:t>
      </w:r>
      <w:r w:rsidR="00774363">
        <w:rPr>
          <w:rFonts w:ascii="Traditional Arabic" w:hAnsi="Traditional Arabic" w:hint="cs"/>
          <w:noProof w:val="0"/>
          <w:rtl/>
          <w:lang w:eastAsia="en-US"/>
        </w:rPr>
        <w:t>"</w:t>
      </w:r>
      <w:r w:rsidR="00F228A9" w:rsidRPr="00616FF4">
        <w:rPr>
          <w:rFonts w:ascii="Traditional Arabic" w:hAnsi="Traditional Arabic"/>
          <w:noProof w:val="0"/>
          <w:rtl/>
          <w:lang w:eastAsia="en-US"/>
        </w:rPr>
        <w:t>الأصل فيما أتلفت البهيمة عدم الضمان</w:t>
      </w:r>
      <w:r w:rsidR="00774363">
        <w:rPr>
          <w:rFonts w:ascii="Traditional Arabic" w:hAnsi="Traditional Arabic" w:hint="cs"/>
          <w:noProof w:val="0"/>
          <w:rtl/>
          <w:lang w:eastAsia="en-US"/>
        </w:rPr>
        <w:t>"</w:t>
      </w:r>
      <w:r w:rsidR="00F228A9" w:rsidRPr="00C821A1">
        <w:rPr>
          <w:rStyle w:val="af1"/>
          <w:szCs w:val="32"/>
          <w:rtl/>
        </w:rPr>
        <w:t>(</w:t>
      </w:r>
      <w:r w:rsidR="00F228A9" w:rsidRPr="00C821A1">
        <w:rPr>
          <w:rStyle w:val="af1"/>
          <w:szCs w:val="32"/>
          <w:rtl/>
        </w:rPr>
        <w:footnoteReference w:id="1353"/>
      </w:r>
      <w:r w:rsidR="00F228A9" w:rsidRPr="00C821A1">
        <w:rPr>
          <w:rStyle w:val="af1"/>
          <w:szCs w:val="32"/>
          <w:rtl/>
        </w:rPr>
        <w:t>)</w:t>
      </w:r>
      <w:r w:rsidR="00F228A9" w:rsidRPr="00616FF4">
        <w:rPr>
          <w:rFonts w:ascii="Traditional Arabic" w:hAnsi="Traditional Arabic" w:hint="cs"/>
          <w:noProof w:val="0"/>
          <w:rtl/>
          <w:lang w:eastAsia="en-US"/>
        </w:rPr>
        <w:t>.</w:t>
      </w:r>
    </w:p>
    <w:p w:rsidR="00F0024F" w:rsidRPr="00734996" w:rsidRDefault="00F0024F" w:rsidP="00597C20">
      <w:pPr>
        <w:pStyle w:val="53"/>
        <w:rPr>
          <w:rtl/>
        </w:rPr>
      </w:pPr>
      <w:r>
        <w:rPr>
          <w:rFonts w:hint="cs"/>
          <w:rtl/>
        </w:rPr>
        <w:t>وجه اندراج الفرع تحت القاعدة:</w:t>
      </w:r>
    </w:p>
    <w:p w:rsidR="00F0024F" w:rsidRPr="00616FF4" w:rsidRDefault="00F0024F" w:rsidP="00597C20">
      <w:pPr>
        <w:widowControl/>
        <w:autoSpaceDE w:val="0"/>
        <w:autoSpaceDN w:val="0"/>
        <w:adjustRightInd w:val="0"/>
        <w:ind w:firstLine="720"/>
        <w:rPr>
          <w:rFonts w:ascii="Traditional Arabic" w:hAnsi="Traditional Arabic"/>
          <w:noProof w:val="0"/>
          <w:rtl/>
          <w:lang w:eastAsia="en-US"/>
        </w:rPr>
      </w:pPr>
      <w:r w:rsidRPr="00616FF4">
        <w:rPr>
          <w:rFonts w:ascii="Traditional Arabic" w:hAnsi="Traditional Arabic"/>
          <w:noProof w:val="0"/>
          <w:rtl/>
          <w:lang w:eastAsia="en-US"/>
        </w:rPr>
        <w:t>الكلب العقور</w:t>
      </w:r>
      <w:r w:rsidR="00774363">
        <w:rPr>
          <w:rFonts w:ascii="Traditional Arabic" w:hAnsi="Traditional Arabic" w:hint="cs"/>
          <w:noProof w:val="0"/>
          <w:rtl/>
          <w:lang w:eastAsia="en-US"/>
        </w:rPr>
        <w:t xml:space="preserve"> </w:t>
      </w:r>
      <w:r w:rsidRPr="00616FF4">
        <w:rPr>
          <w:rFonts w:ascii="Traditional Arabic" w:hAnsi="Traditional Arabic"/>
          <w:noProof w:val="0"/>
          <w:rtl/>
          <w:lang w:eastAsia="en-US"/>
        </w:rPr>
        <w:t xml:space="preserve">لا يجوز اقتناؤه بأي حال من الأحوال ويجب قتله؛ لأن النبي </w:t>
      </w:r>
      <w:r w:rsidR="00F350DE">
        <w:rPr>
          <w:color w:val="auto"/>
          <w:rtl/>
          <w:lang w:eastAsia="en-US"/>
        </w:rPr>
        <w:sym w:font="AGA Arabesque" w:char="F072"/>
      </w:r>
      <w:r w:rsidRPr="00616FF4">
        <w:rPr>
          <w:rFonts w:ascii="Traditional Arabic" w:hAnsi="Traditional Arabic"/>
          <w:noProof w:val="0"/>
          <w:rtl/>
          <w:lang w:eastAsia="en-US"/>
        </w:rPr>
        <w:t xml:space="preserve"> قال: </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خمس</w:t>
      </w:r>
      <w:r w:rsidRPr="00616FF4">
        <w:rPr>
          <w:rFonts w:ascii="Traditional Arabic" w:hAnsi="Traditional Arabic" w:hint="cs"/>
          <w:noProof w:val="0"/>
          <w:rtl/>
          <w:lang w:eastAsia="en-US"/>
        </w:rPr>
        <w:t>ٌ</w:t>
      </w:r>
      <w:r w:rsidR="00774363">
        <w:rPr>
          <w:rFonts w:ascii="Traditional Arabic" w:hAnsi="Traditional Arabic" w:hint="cs"/>
          <w:noProof w:val="0"/>
          <w:rtl/>
          <w:lang w:eastAsia="en-US"/>
        </w:rPr>
        <w:t xml:space="preserve"> </w:t>
      </w:r>
      <w:r w:rsidRPr="00616FF4">
        <w:rPr>
          <w:rFonts w:ascii="Traditional Arabic" w:hAnsi="Traditional Arabic" w:hint="cs"/>
          <w:noProof w:val="0"/>
          <w:rtl/>
          <w:lang w:eastAsia="en-US"/>
        </w:rPr>
        <w:t xml:space="preserve">من الدوابِّ كلهنَّ فاسقٌ </w:t>
      </w:r>
      <w:r w:rsidRPr="00616FF4">
        <w:rPr>
          <w:rFonts w:ascii="Traditional Arabic" w:hAnsi="Traditional Arabic"/>
          <w:noProof w:val="0"/>
          <w:rtl/>
          <w:lang w:eastAsia="en-US"/>
        </w:rPr>
        <w:t>ي</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ق</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تلن في الح</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ل</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 xml:space="preserve"> والح</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ر</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م: الغ</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راب، وال</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حد</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 xml:space="preserve">أة، والعقرب، والفأرة، </w:t>
      </w:r>
      <w:r w:rsidRPr="00616FF4">
        <w:rPr>
          <w:rFonts w:ascii="Traditional Arabic" w:hAnsi="Traditional Arabic"/>
          <w:noProof w:val="0"/>
          <w:rtl/>
          <w:lang w:eastAsia="en-US"/>
        </w:rPr>
        <w:lastRenderedPageBreak/>
        <w:t>والكلب العقور</w:t>
      </w:r>
      <w:r w:rsidR="007404BA" w:rsidRPr="007404BA">
        <w:rPr>
          <w:rFonts w:ascii="Traditional Arabic" w:hAnsi="Traditional Arabic" w:hint="cs"/>
          <w:noProof w:val="0"/>
          <w:vertAlign w:val="superscript"/>
          <w:rtl/>
          <w:lang w:eastAsia="en-US"/>
        </w:rPr>
        <w:t>(</w:t>
      </w:r>
      <w:r w:rsidR="005515D0" w:rsidRPr="007404BA">
        <w:rPr>
          <w:rStyle w:val="af1"/>
          <w:rFonts w:ascii="Traditional Arabic" w:hAnsi="Traditional Arabic"/>
          <w:noProof w:val="0"/>
          <w:rtl/>
          <w:lang w:eastAsia="en-US"/>
        </w:rPr>
        <w:footnoteReference w:id="1354"/>
      </w:r>
      <w:r w:rsidR="007404BA" w:rsidRPr="007404BA">
        <w:rPr>
          <w:rFonts w:ascii="Traditional Arabic" w:hAnsi="Traditional Arabic" w:hint="cs"/>
          <w:noProof w:val="0"/>
          <w:vertAlign w:val="superscript"/>
          <w:rtl/>
          <w:lang w:eastAsia="en-US"/>
        </w:rPr>
        <w:t>)</w:t>
      </w:r>
      <w:r w:rsidRPr="00616FF4">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355"/>
      </w:r>
      <w:r w:rsidRPr="00C821A1">
        <w:rPr>
          <w:rStyle w:val="af1"/>
          <w:szCs w:val="32"/>
          <w:rtl/>
        </w:rPr>
        <w:t>)</w:t>
      </w:r>
      <w:r w:rsidR="00774363">
        <w:rPr>
          <w:rFonts w:ascii="Traditional Arabic" w:hAnsi="Traditional Arabic"/>
          <w:noProof w:val="0"/>
          <w:rtl/>
          <w:lang w:eastAsia="en-US"/>
        </w:rPr>
        <w:t xml:space="preserve"> فاقتنا</w:t>
      </w:r>
      <w:r w:rsidR="00774363">
        <w:rPr>
          <w:rFonts w:ascii="Traditional Arabic" w:hAnsi="Traditional Arabic" w:hint="cs"/>
          <w:noProof w:val="0"/>
          <w:rtl/>
          <w:lang w:eastAsia="en-US"/>
        </w:rPr>
        <w:t>ء الكلب العقور</w:t>
      </w:r>
      <w:r w:rsidRPr="00616FF4">
        <w:rPr>
          <w:rFonts w:ascii="Traditional Arabic" w:hAnsi="Traditional Arabic"/>
          <w:noProof w:val="0"/>
          <w:rtl/>
          <w:lang w:eastAsia="en-US"/>
        </w:rPr>
        <w:t xml:space="preserve"> حرام، وعلى هذا </w:t>
      </w:r>
      <w:r w:rsidR="00774363">
        <w:rPr>
          <w:rFonts w:ascii="Traditional Arabic" w:hAnsi="Traditional Arabic" w:hint="cs"/>
          <w:noProof w:val="0"/>
          <w:rtl/>
          <w:lang w:eastAsia="en-US"/>
        </w:rPr>
        <w:t xml:space="preserve">يكون </w:t>
      </w:r>
      <w:r w:rsidRPr="00616FF4">
        <w:rPr>
          <w:rFonts w:ascii="Traditional Arabic" w:hAnsi="Traditional Arabic"/>
          <w:noProof w:val="0"/>
          <w:rtl/>
          <w:lang w:eastAsia="en-US"/>
        </w:rPr>
        <w:t>كل ما ت</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ل</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ف ب</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ع</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ق</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ره</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 xml:space="preserve"> فهو مضمون</w:t>
      </w:r>
      <w:r w:rsidRPr="00616FF4">
        <w:rPr>
          <w:rFonts w:ascii="Traditional Arabic" w:hAnsi="Traditional Arabic" w:hint="cs"/>
          <w:noProof w:val="0"/>
          <w:rtl/>
          <w:lang w:eastAsia="en-US"/>
        </w:rPr>
        <w:t>ٌ</w:t>
      </w:r>
      <w:r w:rsidRPr="00616FF4">
        <w:rPr>
          <w:rFonts w:ascii="Traditional Arabic" w:hAnsi="Traditional Arabic"/>
          <w:noProof w:val="0"/>
          <w:rtl/>
          <w:lang w:eastAsia="en-US"/>
        </w:rPr>
        <w:t xml:space="preserve"> على صاحبه</w:t>
      </w:r>
      <w:r w:rsidRPr="00C821A1">
        <w:rPr>
          <w:rStyle w:val="af1"/>
          <w:szCs w:val="32"/>
          <w:rtl/>
        </w:rPr>
        <w:t>(</w:t>
      </w:r>
      <w:r w:rsidRPr="00C821A1">
        <w:rPr>
          <w:rStyle w:val="af1"/>
          <w:szCs w:val="32"/>
          <w:rtl/>
        </w:rPr>
        <w:footnoteReference w:id="1356"/>
      </w:r>
      <w:r w:rsidRPr="00C821A1">
        <w:rPr>
          <w:rStyle w:val="af1"/>
          <w:szCs w:val="32"/>
          <w:rtl/>
        </w:rPr>
        <w:t>)</w:t>
      </w:r>
      <w:r w:rsidRPr="00616FF4">
        <w:rPr>
          <w:rFonts w:ascii="Traditional Arabic" w:hAnsi="Traditional Arabic" w:hint="cs"/>
          <w:noProof w:val="0"/>
          <w:rtl/>
          <w:lang w:eastAsia="en-US"/>
        </w:rPr>
        <w:t>.</w:t>
      </w:r>
    </w:p>
    <w:p w:rsidR="00F228A9" w:rsidRPr="00616FF4" w:rsidRDefault="00F0024F" w:rsidP="00774363">
      <w:pPr>
        <w:widowControl/>
        <w:autoSpaceDE w:val="0"/>
        <w:autoSpaceDN w:val="0"/>
        <w:adjustRightInd w:val="0"/>
        <w:ind w:firstLine="720"/>
        <w:rPr>
          <w:rFonts w:ascii="Traditional Arabic" w:hAnsi="Traditional Arabic"/>
          <w:noProof w:val="0"/>
          <w:rtl/>
          <w:lang w:eastAsia="en-US"/>
        </w:rPr>
      </w:pPr>
      <w:r w:rsidRPr="00616FF4">
        <w:rPr>
          <w:rFonts w:ascii="Traditional Arabic" w:hAnsi="Traditional Arabic" w:hint="cs"/>
          <w:noProof w:val="0"/>
          <w:rtl/>
          <w:lang w:eastAsia="en-US"/>
        </w:rPr>
        <w:t>أما الكلب غير العقور فلا يضمَّن صاحب</w:t>
      </w:r>
      <w:r w:rsidR="00774363">
        <w:rPr>
          <w:rFonts w:ascii="Traditional Arabic" w:hAnsi="Traditional Arabic" w:hint="cs"/>
          <w:noProof w:val="0"/>
          <w:rtl/>
          <w:lang w:eastAsia="en-US"/>
        </w:rPr>
        <w:t>ُ</w:t>
      </w:r>
      <w:r w:rsidRPr="00616FF4">
        <w:rPr>
          <w:rFonts w:ascii="Traditional Arabic" w:hAnsi="Traditional Arabic" w:hint="cs"/>
          <w:noProof w:val="0"/>
          <w:rtl/>
          <w:lang w:eastAsia="en-US"/>
        </w:rPr>
        <w:t>ه؛ لأنه ليس من عادة هذا الكلب العَقْرُ، فلو عقر شخصاً، فإن صاحبه ليس معتدياً في هذه الحال فلا يضمن، كما لا</w:t>
      </w:r>
      <w:r w:rsidR="00774363">
        <w:rPr>
          <w:rFonts w:ascii="Traditional Arabic" w:hAnsi="Traditional Arabic" w:hint="cs"/>
          <w:noProof w:val="0"/>
          <w:rtl/>
          <w:lang w:eastAsia="en-US"/>
        </w:rPr>
        <w:t xml:space="preserve"> </w:t>
      </w:r>
      <w:r w:rsidRPr="00616FF4">
        <w:rPr>
          <w:rFonts w:ascii="Traditional Arabic" w:hAnsi="Traditional Arabic" w:hint="cs"/>
          <w:noProof w:val="0"/>
          <w:rtl/>
          <w:lang w:eastAsia="en-US"/>
        </w:rPr>
        <w:t xml:space="preserve">يحال </w:t>
      </w:r>
      <w:r w:rsidR="00774363">
        <w:rPr>
          <w:rFonts w:ascii="Traditional Arabic" w:hAnsi="Traditional Arabic" w:hint="cs"/>
          <w:noProof w:val="0"/>
          <w:rtl/>
          <w:lang w:eastAsia="en-US"/>
        </w:rPr>
        <w:t>الضمان على الكلب؛ لأن القاعدة تقول:</w:t>
      </w:r>
      <w:r w:rsidRPr="00616FF4">
        <w:rPr>
          <w:rFonts w:ascii="Traditional Arabic" w:hAnsi="Traditional Arabic" w:hint="cs"/>
          <w:noProof w:val="0"/>
          <w:rtl/>
          <w:lang w:eastAsia="en-US"/>
        </w:rPr>
        <w:t xml:space="preserve"> </w:t>
      </w:r>
      <w:r w:rsidR="00774363">
        <w:rPr>
          <w:rFonts w:ascii="Traditional Arabic" w:hAnsi="Traditional Arabic" w:hint="cs"/>
          <w:noProof w:val="0"/>
          <w:rtl/>
          <w:lang w:eastAsia="en-US"/>
        </w:rPr>
        <w:t>"</w:t>
      </w:r>
      <w:r w:rsidRPr="00616FF4">
        <w:rPr>
          <w:rFonts w:ascii="Traditional Arabic" w:hAnsi="Traditional Arabic" w:hint="cs"/>
          <w:noProof w:val="0"/>
          <w:rtl/>
          <w:lang w:eastAsia="en-US"/>
        </w:rPr>
        <w:t>الأصل فيما أتلفت البهيمة عدم الضمان</w:t>
      </w:r>
      <w:r w:rsidR="00774363">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357"/>
      </w:r>
      <w:r w:rsidRPr="00C821A1">
        <w:rPr>
          <w:rStyle w:val="af1"/>
          <w:szCs w:val="32"/>
          <w:rtl/>
        </w:rPr>
        <w:t>)</w:t>
      </w:r>
      <w:r w:rsidRPr="00616FF4">
        <w:rPr>
          <w:rFonts w:ascii="Traditional Arabic" w:hAnsi="Traditional Arabic" w:hint="cs"/>
          <w:noProof w:val="0"/>
          <w:rtl/>
          <w:lang w:eastAsia="en-US"/>
        </w:rPr>
        <w:t>.</w:t>
      </w:r>
    </w:p>
    <w:p w:rsidR="00065E4B" w:rsidRPr="00774363" w:rsidRDefault="00F0024F" w:rsidP="000A76C7">
      <w:pPr>
        <w:pStyle w:val="afc"/>
        <w:widowControl/>
        <w:numPr>
          <w:ilvl w:val="0"/>
          <w:numId w:val="181"/>
        </w:numPr>
        <w:autoSpaceDE w:val="0"/>
        <w:autoSpaceDN w:val="0"/>
        <w:adjustRightInd w:val="0"/>
        <w:jc w:val="left"/>
        <w:rPr>
          <w:rFonts w:ascii="Traditional Arabic" w:hAnsi="Traditional Arabic"/>
          <w:noProof w:val="0"/>
          <w:rtl/>
          <w:lang w:eastAsia="en-US"/>
        </w:rPr>
      </w:pPr>
      <w:r w:rsidRPr="00774363">
        <w:rPr>
          <w:rFonts w:ascii="Traditional Arabic" w:hAnsi="Traditional Arabic"/>
          <w:noProof w:val="0"/>
          <w:rtl/>
          <w:lang w:eastAsia="en-US"/>
        </w:rPr>
        <w:t xml:space="preserve">إذا كانت </w:t>
      </w:r>
      <w:r w:rsidRPr="00774363">
        <w:rPr>
          <w:rFonts w:ascii="Traditional Arabic" w:hAnsi="Traditional Arabic" w:hint="cs"/>
          <w:noProof w:val="0"/>
          <w:rtl/>
          <w:lang w:eastAsia="en-US"/>
        </w:rPr>
        <w:t xml:space="preserve">الدابة </w:t>
      </w:r>
      <w:r w:rsidRPr="00774363">
        <w:rPr>
          <w:rFonts w:ascii="Traditional Arabic" w:hAnsi="Traditional Arabic"/>
          <w:noProof w:val="0"/>
          <w:rtl/>
          <w:lang w:eastAsia="en-US"/>
        </w:rPr>
        <w:t>بيد راكب</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 xml:space="preserve"> أو قائد</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 xml:space="preserve"> أو سائق</w:t>
      </w:r>
      <w:r w:rsidRPr="00774363">
        <w:rPr>
          <w:rFonts w:ascii="Traditional Arabic" w:hAnsi="Traditional Arabic" w:hint="cs"/>
          <w:noProof w:val="0"/>
          <w:rtl/>
          <w:lang w:eastAsia="en-US"/>
        </w:rPr>
        <w:t>ٍ</w:t>
      </w:r>
      <w:r w:rsidRPr="00774363">
        <w:rPr>
          <w:rStyle w:val="af1"/>
          <w:szCs w:val="32"/>
          <w:rtl/>
        </w:rPr>
        <w:t>(</w:t>
      </w:r>
      <w:r w:rsidRPr="00C821A1">
        <w:rPr>
          <w:rStyle w:val="af1"/>
          <w:szCs w:val="32"/>
          <w:rtl/>
        </w:rPr>
        <w:footnoteReference w:id="1358"/>
      </w:r>
      <w:r w:rsidRPr="00774363">
        <w:rPr>
          <w:rStyle w:val="af1"/>
          <w:szCs w:val="32"/>
          <w:rtl/>
        </w:rPr>
        <w:t>)</w:t>
      </w:r>
      <w:r w:rsidRPr="00774363">
        <w:rPr>
          <w:rFonts w:ascii="Traditional Arabic" w:hAnsi="Traditional Arabic"/>
          <w:noProof w:val="0"/>
          <w:rtl/>
          <w:lang w:eastAsia="en-US"/>
        </w:rPr>
        <w:t xml:space="preserve"> وأتلفت شيئا</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 xml:space="preserve"> ب</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ناء</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 xml:space="preserve"> على تفريطه</w:t>
      </w:r>
      <w:r w:rsidR="00774363">
        <w:rPr>
          <w:rFonts w:ascii="Traditional Arabic" w:hAnsi="Traditional Arabic" w:hint="cs"/>
          <w:noProof w:val="0"/>
          <w:rtl/>
          <w:lang w:eastAsia="en-US"/>
        </w:rPr>
        <w:t xml:space="preserve"> </w:t>
      </w:r>
      <w:r w:rsidRPr="00774363">
        <w:rPr>
          <w:rFonts w:ascii="Traditional Arabic" w:hAnsi="Traditional Arabic"/>
          <w:noProof w:val="0"/>
          <w:rtl/>
          <w:lang w:eastAsia="en-US"/>
        </w:rPr>
        <w:t>أو تعد</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يه</w:t>
      </w:r>
      <w:r w:rsidRPr="00774363">
        <w:rPr>
          <w:rStyle w:val="af1"/>
          <w:szCs w:val="32"/>
          <w:rtl/>
        </w:rPr>
        <w:t>(</w:t>
      </w:r>
      <w:r w:rsidRPr="00C821A1">
        <w:rPr>
          <w:rStyle w:val="af1"/>
          <w:szCs w:val="32"/>
          <w:rtl/>
        </w:rPr>
        <w:footnoteReference w:id="1359"/>
      </w:r>
      <w:r w:rsidRPr="00774363">
        <w:rPr>
          <w:rStyle w:val="af1"/>
          <w:szCs w:val="32"/>
          <w:rtl/>
        </w:rPr>
        <w:t>)</w:t>
      </w:r>
      <w:r w:rsidRPr="00774363">
        <w:rPr>
          <w:rFonts w:ascii="Traditional Arabic" w:hAnsi="Traditional Arabic"/>
          <w:noProof w:val="0"/>
          <w:rtl/>
          <w:lang w:eastAsia="en-US"/>
        </w:rPr>
        <w:t xml:space="preserve"> فعليه الضمان، وأما إذا كان بغير تعد</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 xml:space="preserve"> ولا تفريط</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 xml:space="preserve"> فلدينا قاعدة أس</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سها النبي</w:t>
      </w:r>
      <w:r w:rsidR="00FB54E9" w:rsidRPr="00774363">
        <w:rPr>
          <w:rFonts w:ascii="Traditional Arabic" w:hAnsi="Traditional Arabic" w:hint="cs"/>
          <w:noProof w:val="0"/>
          <w:color w:val="auto"/>
          <w:rtl/>
          <w:lang w:eastAsia="en-US"/>
        </w:rPr>
        <w:t xml:space="preserve"> </w:t>
      </w:r>
      <w:r w:rsidR="00FB54E9" w:rsidRPr="00774363">
        <w:rPr>
          <w:rFonts w:ascii="Traditional Arabic" w:hAnsi="Traditional Arabic" w:hint="cs"/>
          <w:rtl/>
        </w:rPr>
        <w:t>صلى الله عليه وسلم</w:t>
      </w:r>
      <w:r w:rsidRPr="00774363">
        <w:rPr>
          <w:rFonts w:ascii="Traditional Arabic" w:hAnsi="Traditional Arabic"/>
          <w:noProof w:val="0"/>
          <w:rtl/>
          <w:lang w:eastAsia="en-US"/>
        </w:rPr>
        <w:t xml:space="preserve"> وهي: </w:t>
      </w:r>
      <w:r w:rsidRPr="00774363">
        <w:rPr>
          <w:rFonts w:ascii="Traditional Arabic" w:hAnsi="Traditional Arabic" w:hint="cs"/>
          <w:noProof w:val="0"/>
          <w:rtl/>
          <w:lang w:eastAsia="en-US"/>
        </w:rPr>
        <w:t>"</w:t>
      </w:r>
      <w:r w:rsidRPr="00774363">
        <w:rPr>
          <w:rFonts w:ascii="Traditional Arabic" w:hAnsi="Traditional Arabic"/>
          <w:noProof w:val="0"/>
          <w:rtl/>
          <w:lang w:eastAsia="en-US"/>
        </w:rPr>
        <w:t>العجماء جبار</w:t>
      </w:r>
      <w:r w:rsidRPr="00774363">
        <w:rPr>
          <w:rFonts w:ascii="Traditional Arabic" w:hAnsi="Traditional Arabic" w:hint="cs"/>
          <w:noProof w:val="0"/>
          <w:rtl/>
          <w:lang w:eastAsia="en-US"/>
        </w:rPr>
        <w:t>"</w:t>
      </w:r>
      <w:r w:rsidRPr="00774363">
        <w:rPr>
          <w:rStyle w:val="af1"/>
          <w:szCs w:val="32"/>
          <w:rtl/>
        </w:rPr>
        <w:t>(</w:t>
      </w:r>
      <w:r w:rsidRPr="00C821A1">
        <w:rPr>
          <w:rStyle w:val="af1"/>
          <w:szCs w:val="32"/>
          <w:rtl/>
        </w:rPr>
        <w:footnoteReference w:id="1360"/>
      </w:r>
      <w:r w:rsidRPr="00774363">
        <w:rPr>
          <w:rStyle w:val="af1"/>
          <w:szCs w:val="32"/>
          <w:rtl/>
        </w:rPr>
        <w:t>)(</w:t>
      </w:r>
      <w:r w:rsidRPr="00C821A1">
        <w:rPr>
          <w:rStyle w:val="af1"/>
          <w:szCs w:val="32"/>
          <w:rtl/>
        </w:rPr>
        <w:footnoteReference w:id="1361"/>
      </w:r>
      <w:r w:rsidRPr="00774363">
        <w:rPr>
          <w:rStyle w:val="af1"/>
          <w:szCs w:val="32"/>
          <w:rtl/>
        </w:rPr>
        <w:t>)</w:t>
      </w:r>
      <w:r w:rsidRPr="00774363">
        <w:rPr>
          <w:rFonts w:ascii="Traditional Arabic" w:hAnsi="Traditional Arabic" w:hint="cs"/>
          <w:noProof w:val="0"/>
          <w:rtl/>
          <w:lang w:eastAsia="en-US"/>
        </w:rPr>
        <w:t>.</w:t>
      </w:r>
    </w:p>
    <w:p w:rsidR="00F228A9" w:rsidRPr="00231B07" w:rsidRDefault="00065E4B" w:rsidP="00597C20">
      <w:pPr>
        <w:pStyle w:val="53"/>
        <w:rPr>
          <w:rtl/>
        </w:rPr>
      </w:pPr>
      <w:r w:rsidRPr="00231B07">
        <w:rPr>
          <w:rFonts w:hint="cs"/>
          <w:rtl/>
        </w:rPr>
        <w:lastRenderedPageBreak/>
        <w:t>و</w:t>
      </w:r>
      <w:r w:rsidR="00F228A9" w:rsidRPr="00231B07">
        <w:rPr>
          <w:rFonts w:hint="cs"/>
          <w:rtl/>
        </w:rPr>
        <w:t>جه اندراج الفرع تحت القاعدة:</w:t>
      </w:r>
    </w:p>
    <w:p w:rsidR="00F0024F" w:rsidRPr="00616FF4" w:rsidRDefault="00F0024F" w:rsidP="00597C20">
      <w:pPr>
        <w:widowControl/>
        <w:autoSpaceDE w:val="0"/>
        <w:autoSpaceDN w:val="0"/>
        <w:adjustRightInd w:val="0"/>
        <w:ind w:firstLine="720"/>
        <w:jc w:val="left"/>
        <w:rPr>
          <w:rFonts w:ascii="Traditional Arabic" w:hAnsi="Traditional Arabic"/>
          <w:noProof w:val="0"/>
          <w:color w:val="auto"/>
          <w:rtl/>
          <w:lang w:eastAsia="en-US"/>
        </w:rPr>
      </w:pPr>
      <w:r w:rsidRPr="00616FF4">
        <w:rPr>
          <w:rFonts w:ascii="Traditional Arabic" w:hAnsi="Traditional Arabic" w:hint="cs"/>
          <w:noProof w:val="0"/>
          <w:rtl/>
          <w:lang w:eastAsia="en-US"/>
        </w:rPr>
        <w:t>إذا أتلفت البهيمة شيئاً بغير تعدٍّ ولا تفريط من الراكب أو القائد أو السائق فلا ضمان على هؤلاء</w:t>
      </w:r>
      <w:r w:rsidR="00774363">
        <w:rPr>
          <w:rFonts w:ascii="Traditional Arabic" w:hAnsi="Traditional Arabic" w:hint="cs"/>
          <w:noProof w:val="0"/>
          <w:rtl/>
          <w:lang w:eastAsia="en-US"/>
        </w:rPr>
        <w:t>؛</w:t>
      </w:r>
      <w:r w:rsidRPr="00616FF4">
        <w:rPr>
          <w:rFonts w:ascii="Traditional Arabic" w:hAnsi="Traditional Arabic" w:hint="cs"/>
          <w:noProof w:val="0"/>
          <w:rtl/>
          <w:lang w:eastAsia="en-US"/>
        </w:rPr>
        <w:t xml:space="preserve"> لأنهم لم</w:t>
      </w:r>
      <w:r w:rsidR="00774363">
        <w:rPr>
          <w:rFonts w:ascii="Traditional Arabic" w:hAnsi="Traditional Arabic" w:hint="cs"/>
          <w:noProof w:val="0"/>
          <w:color w:val="auto"/>
          <w:rtl/>
          <w:lang w:eastAsia="en-US"/>
        </w:rPr>
        <w:t xml:space="preserve"> يتعدَّوا ولم يفرِّطوا؛ ولأن القاعدة تقول:</w:t>
      </w:r>
      <w:r w:rsidRPr="00616FF4">
        <w:rPr>
          <w:rFonts w:ascii="Traditional Arabic" w:hAnsi="Traditional Arabic" w:hint="cs"/>
          <w:noProof w:val="0"/>
          <w:color w:val="auto"/>
          <w:rtl/>
          <w:lang w:eastAsia="en-US"/>
        </w:rPr>
        <w:t xml:space="preserve"> </w:t>
      </w:r>
      <w:r w:rsidR="00774363">
        <w:rPr>
          <w:rFonts w:ascii="Traditional Arabic" w:hAnsi="Traditional Arabic" w:hint="cs"/>
          <w:noProof w:val="0"/>
          <w:color w:val="auto"/>
          <w:rtl/>
          <w:lang w:eastAsia="en-US"/>
        </w:rPr>
        <w:t>"</w:t>
      </w:r>
      <w:r w:rsidRPr="00616FF4">
        <w:rPr>
          <w:rFonts w:ascii="Traditional Arabic" w:hAnsi="Traditional Arabic" w:hint="cs"/>
          <w:noProof w:val="0"/>
          <w:color w:val="auto"/>
          <w:rtl/>
          <w:lang w:eastAsia="en-US"/>
        </w:rPr>
        <w:t>الأصل فيما أتلفته البهيمة عدم الضمان</w:t>
      </w:r>
      <w:r w:rsidR="00774363">
        <w:rPr>
          <w:rFonts w:ascii="Traditional Arabic" w:hAnsi="Traditional Arabic" w:hint="cs"/>
          <w:noProof w:val="0"/>
          <w:color w:val="auto"/>
          <w:rtl/>
          <w:lang w:eastAsia="en-US"/>
        </w:rPr>
        <w:t>"</w:t>
      </w:r>
      <w:r w:rsidRPr="00616FF4">
        <w:rPr>
          <w:rFonts w:ascii="Traditional Arabic" w:hAnsi="Traditional Arabic" w:hint="cs"/>
          <w:noProof w:val="0"/>
          <w:color w:val="auto"/>
          <w:rtl/>
          <w:lang w:eastAsia="en-US"/>
        </w:rPr>
        <w:t>.</w:t>
      </w:r>
    </w:p>
    <w:p w:rsidR="00065E4B" w:rsidRDefault="00FB54E9" w:rsidP="00A8347C">
      <w:pPr>
        <w:pStyle w:val="aff3"/>
        <w:rPr>
          <w:rtl/>
        </w:rPr>
      </w:pPr>
      <w:bookmarkStart w:id="268" w:name="_Toc334046486"/>
      <w:r>
        <w:rPr>
          <w:rFonts w:hint="cs"/>
          <w:rtl/>
        </w:rPr>
        <w:t xml:space="preserve">                                       المطلب</w:t>
      </w:r>
      <w:r w:rsidR="007412D7">
        <w:rPr>
          <w:rFonts w:hint="cs"/>
          <w:rtl/>
        </w:rPr>
        <w:t xml:space="preserve"> </w:t>
      </w:r>
      <w:r w:rsidR="00F0024F">
        <w:rPr>
          <w:rFonts w:hint="cs"/>
          <w:rtl/>
        </w:rPr>
        <w:t>الخامس</w:t>
      </w:r>
      <w:r w:rsidR="006264C0">
        <w:rPr>
          <w:rFonts w:hint="eastAsia"/>
          <w:rtl/>
        </w:rPr>
        <w:t> :</w:t>
      </w:r>
      <w:r w:rsidR="006264C0">
        <w:rPr>
          <w:rFonts w:hint="cs"/>
          <w:rtl/>
        </w:rPr>
        <w:br/>
      </w:r>
      <w:r>
        <w:rPr>
          <w:rFonts w:hint="cs"/>
          <w:rtl/>
        </w:rPr>
        <w:t xml:space="preserve">                                       </w:t>
      </w:r>
      <w:r w:rsidR="00F0024F">
        <w:rPr>
          <w:rFonts w:hint="cs"/>
          <w:rtl/>
        </w:rPr>
        <w:t>مستثنيات القاعدة</w:t>
      </w:r>
      <w:bookmarkEnd w:id="268"/>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ق</w:t>
      </w:r>
      <w:r w:rsidR="00F0024F">
        <w:rPr>
          <w:rFonts w:ascii="Traditional Arabic" w:hAnsi="Traditional Arabic" w:hint="cs"/>
          <w:noProof w:val="0"/>
          <w:rtl/>
          <w:lang w:eastAsia="en-US"/>
        </w:rPr>
        <w:t xml:space="preserve">ال الشيخ عبد الرحمن السعدي </w:t>
      </w:r>
      <w:r w:rsidR="007412D7">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7412D7">
        <w:rPr>
          <w:rFonts w:ascii="Traditional Arabic" w:hAnsi="Traditional Arabic" w:hint="cs"/>
          <w:noProof w:val="0"/>
          <w:rtl/>
          <w:lang w:eastAsia="en-US"/>
        </w:rPr>
        <w:t>_</w:t>
      </w:r>
      <w:r w:rsidR="00F0024F">
        <w:rPr>
          <w:rFonts w:ascii="Traditional Arabic" w:hAnsi="Traditional Arabic" w:hint="cs"/>
          <w:noProof w:val="0"/>
          <w:rtl/>
          <w:lang w:eastAsia="en-US"/>
        </w:rPr>
        <w:t>:</w:t>
      </w:r>
      <w:r w:rsidR="007412D7">
        <w:rPr>
          <w:rFonts w:ascii="Traditional Arabic" w:hAnsi="Traditional Arabic" w:hint="cs"/>
          <w:noProof w:val="0"/>
          <w:rtl/>
          <w:lang w:eastAsia="en-US"/>
        </w:rPr>
        <w:t xml:space="preserve"> </w:t>
      </w:r>
      <w:r w:rsidR="00B76414">
        <w:rPr>
          <w:rFonts w:ascii="Traditional Arabic" w:hAnsi="Traditional Arabic" w:hint="cs"/>
          <w:noProof w:val="0"/>
          <w:rtl/>
          <w:lang w:eastAsia="en-US"/>
        </w:rPr>
        <w:t>(</w:t>
      </w:r>
      <w:r w:rsidR="00F0024F">
        <w:rPr>
          <w:rFonts w:ascii="Traditional Arabic" w:hAnsi="Traditional Arabic" w:hint="cs"/>
          <w:noProof w:val="0"/>
          <w:rtl/>
          <w:lang w:eastAsia="en-US"/>
        </w:rPr>
        <w:t>الأصل في إتلافات البهائم أنه لا شيء فيه</w:t>
      </w:r>
      <w:r w:rsidR="007404BA">
        <w:rPr>
          <w:rFonts w:ascii="Traditional Arabic" w:hAnsi="Traditional Arabic" w:hint="cs"/>
          <w:noProof w:val="0"/>
          <w:rtl/>
          <w:lang w:eastAsia="en-US"/>
        </w:rPr>
        <w:t>ا</w:t>
      </w:r>
      <w:r w:rsidR="00F0024F">
        <w:rPr>
          <w:rFonts w:ascii="Traditional Arabic" w:hAnsi="Traditional Arabic" w:hint="cs"/>
          <w:noProof w:val="0"/>
          <w:rtl/>
          <w:lang w:eastAsia="en-US"/>
        </w:rPr>
        <w:t xml:space="preserve">، كما نص النبي  </w:t>
      </w:r>
      <w:r w:rsidR="00FB54E9">
        <w:rPr>
          <w:rFonts w:ascii="Traditional Arabic" w:hAnsi="Traditional Arabic" w:hint="cs"/>
          <w:rtl/>
        </w:rPr>
        <w:t>صلى الله عليه وسلم</w:t>
      </w:r>
      <w:r w:rsidR="00FB54E9" w:rsidRPr="00B914DF">
        <w:rPr>
          <w:rFonts w:ascii="Traditional Arabic" w:hAnsi="Traditional Arabic"/>
          <w:rtl/>
        </w:rPr>
        <w:t xml:space="preserve"> </w:t>
      </w:r>
      <w:r w:rsidR="00F0024F">
        <w:rPr>
          <w:rFonts w:ascii="Traditional Arabic" w:hAnsi="Traditional Arabic" w:hint="cs"/>
          <w:noProof w:val="0"/>
          <w:rtl/>
          <w:lang w:eastAsia="en-US"/>
        </w:rPr>
        <w:t>على هذا الأصل في قوله: "والعجمار جبار"</w:t>
      </w:r>
      <w:r w:rsidR="00F0024F" w:rsidRPr="00C821A1">
        <w:rPr>
          <w:rStyle w:val="af1"/>
          <w:szCs w:val="32"/>
          <w:rtl/>
        </w:rPr>
        <w:t>(</w:t>
      </w:r>
      <w:r w:rsidR="00F0024F" w:rsidRPr="00C821A1">
        <w:rPr>
          <w:rStyle w:val="af1"/>
          <w:szCs w:val="32"/>
          <w:rtl/>
        </w:rPr>
        <w:footnoteReference w:id="1362"/>
      </w:r>
      <w:r w:rsidR="00F0024F" w:rsidRPr="00C821A1">
        <w:rPr>
          <w:rStyle w:val="af1"/>
          <w:szCs w:val="32"/>
          <w:rtl/>
        </w:rPr>
        <w:t>)</w:t>
      </w:r>
      <w:r w:rsidR="00F0024F">
        <w:rPr>
          <w:rFonts w:ascii="Traditional Arabic" w:hAnsi="Traditional Arabic" w:hint="cs"/>
          <w:noProof w:val="0"/>
          <w:rtl/>
          <w:lang w:eastAsia="en-US"/>
        </w:rPr>
        <w:t>، أي: هدر.</w:t>
      </w:r>
    </w:p>
    <w:p w:rsidR="00F0024F" w:rsidRPr="00B03815" w:rsidRDefault="00065E4B" w:rsidP="00597C20">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و</w:t>
      </w:r>
      <w:r w:rsidR="00F0024F">
        <w:rPr>
          <w:rFonts w:ascii="Traditional Arabic" w:hAnsi="Traditional Arabic" w:hint="cs"/>
          <w:noProof w:val="0"/>
          <w:rtl/>
          <w:lang w:eastAsia="en-US"/>
        </w:rPr>
        <w:t>استثنى العلماء من هذا العموم مسائل ترجع إلى تفريط صاحبها وعُدوانه</w:t>
      </w:r>
      <w:r w:rsidR="007412D7">
        <w:rPr>
          <w:rFonts w:ascii="Traditional Arabic" w:hAnsi="Traditional Arabic" w:hint="cs"/>
          <w:noProof w:val="0"/>
          <w:rtl/>
          <w:lang w:eastAsia="en-US"/>
        </w:rPr>
        <w:t>،</w:t>
      </w:r>
      <w:r w:rsidR="00F0024F">
        <w:rPr>
          <w:rFonts w:ascii="Traditional Arabic" w:hAnsi="Traditional Arabic" w:hint="cs"/>
          <w:noProof w:val="0"/>
          <w:rtl/>
          <w:lang w:eastAsia="en-US"/>
        </w:rPr>
        <w:t xml:space="preserve"> كالإتلافات الواقعة في الليل</w:t>
      </w:r>
      <w:r w:rsidR="00F0024F" w:rsidRPr="00C821A1">
        <w:rPr>
          <w:rStyle w:val="af1"/>
          <w:szCs w:val="32"/>
          <w:rtl/>
        </w:rPr>
        <w:t>(</w:t>
      </w:r>
      <w:r w:rsidR="00F0024F" w:rsidRPr="00C821A1">
        <w:rPr>
          <w:rStyle w:val="af1"/>
          <w:szCs w:val="32"/>
          <w:rtl/>
        </w:rPr>
        <w:footnoteReference w:id="1363"/>
      </w:r>
      <w:r w:rsidR="00F0024F" w:rsidRPr="00C821A1">
        <w:rPr>
          <w:rStyle w:val="af1"/>
          <w:szCs w:val="32"/>
          <w:rtl/>
        </w:rPr>
        <w:t>)</w:t>
      </w:r>
      <w:r w:rsidR="00F0024F">
        <w:rPr>
          <w:rFonts w:ascii="Traditional Arabic" w:hAnsi="Traditional Arabic" w:hint="cs"/>
          <w:noProof w:val="0"/>
          <w:rtl/>
          <w:lang w:eastAsia="en-US"/>
        </w:rPr>
        <w:t xml:space="preserve">، كما قضى النبي </w:t>
      </w:r>
      <w:r w:rsidR="00FB54E9">
        <w:rPr>
          <w:rFonts w:ascii="Traditional Arabic" w:hAnsi="Traditional Arabic" w:hint="cs"/>
          <w:rtl/>
        </w:rPr>
        <w:t>صلى الله عليه وسلم</w:t>
      </w:r>
      <w:r w:rsidR="00F0024F">
        <w:rPr>
          <w:rFonts w:ascii="Traditional Arabic" w:hAnsi="Traditional Arabic" w:hint="cs"/>
          <w:noProof w:val="0"/>
          <w:rtl/>
          <w:lang w:eastAsia="en-US"/>
        </w:rPr>
        <w:t xml:space="preserve"> أن على أهل الحوائط حفظ</w:t>
      </w:r>
      <w:r w:rsidR="007412D7">
        <w:rPr>
          <w:rFonts w:ascii="Traditional Arabic" w:hAnsi="Traditional Arabic" w:hint="cs"/>
          <w:noProof w:val="0"/>
          <w:rtl/>
          <w:lang w:eastAsia="en-US"/>
        </w:rPr>
        <w:t>َ</w:t>
      </w:r>
      <w:r w:rsidR="00F0024F">
        <w:rPr>
          <w:rFonts w:ascii="Traditional Arabic" w:hAnsi="Traditional Arabic" w:hint="cs"/>
          <w:noProof w:val="0"/>
          <w:rtl/>
          <w:lang w:eastAsia="en-US"/>
        </w:rPr>
        <w:t>ها بالنهار</w:t>
      </w:r>
      <w:r w:rsidR="007412D7">
        <w:rPr>
          <w:rFonts w:ascii="Traditional Arabic" w:hAnsi="Traditional Arabic" w:hint="cs"/>
          <w:noProof w:val="0"/>
          <w:rtl/>
          <w:lang w:eastAsia="en-US"/>
        </w:rPr>
        <w:t>،</w:t>
      </w:r>
      <w:r w:rsidR="00F0024F">
        <w:rPr>
          <w:rFonts w:ascii="Traditional Arabic" w:hAnsi="Traditional Arabic" w:hint="cs"/>
          <w:noProof w:val="0"/>
          <w:rtl/>
          <w:lang w:eastAsia="en-US"/>
        </w:rPr>
        <w:t xml:space="preserve"> وعلى أهل المواشي حفظها بالليل</w:t>
      </w:r>
      <w:r w:rsidR="00F0024F" w:rsidRPr="00C821A1">
        <w:rPr>
          <w:rStyle w:val="af1"/>
          <w:szCs w:val="32"/>
          <w:rtl/>
        </w:rPr>
        <w:t>(</w:t>
      </w:r>
      <w:r w:rsidR="00F0024F" w:rsidRPr="00C821A1">
        <w:rPr>
          <w:rStyle w:val="af1"/>
          <w:szCs w:val="32"/>
          <w:rtl/>
        </w:rPr>
        <w:footnoteReference w:id="1364"/>
      </w:r>
      <w:r w:rsidR="00F0024F" w:rsidRPr="00C821A1">
        <w:rPr>
          <w:rStyle w:val="af1"/>
          <w:szCs w:val="32"/>
          <w:rtl/>
        </w:rPr>
        <w:t>)</w:t>
      </w:r>
      <w:r w:rsidR="00F0024F">
        <w:rPr>
          <w:rFonts w:ascii="Traditional Arabic" w:hAnsi="Traditional Arabic" w:hint="cs"/>
          <w:noProof w:val="0"/>
          <w:rtl/>
          <w:lang w:eastAsia="en-US"/>
        </w:rPr>
        <w:t>، وكما إذا كان معها متصرِّف قادر عليها من راكب وسائق وقائد</w:t>
      </w:r>
      <w:r w:rsidR="00F0024F" w:rsidRPr="00C821A1">
        <w:rPr>
          <w:rStyle w:val="af1"/>
          <w:szCs w:val="32"/>
          <w:rtl/>
        </w:rPr>
        <w:t>(</w:t>
      </w:r>
      <w:r w:rsidR="00F0024F" w:rsidRPr="00C821A1">
        <w:rPr>
          <w:rStyle w:val="af1"/>
          <w:szCs w:val="32"/>
          <w:rtl/>
        </w:rPr>
        <w:footnoteReference w:id="1365"/>
      </w:r>
      <w:r w:rsidR="00F0024F" w:rsidRPr="00C821A1">
        <w:rPr>
          <w:rStyle w:val="af1"/>
          <w:szCs w:val="32"/>
          <w:rtl/>
        </w:rPr>
        <w:t>)</w:t>
      </w:r>
      <w:r w:rsidR="00F0024F">
        <w:rPr>
          <w:rFonts w:ascii="Traditional Arabic" w:hAnsi="Traditional Arabic" w:hint="cs"/>
          <w:noProof w:val="0"/>
          <w:rtl/>
          <w:lang w:eastAsia="en-US"/>
        </w:rPr>
        <w:t>، وكمن أخرج البهيمة الصائلة</w:t>
      </w:r>
      <w:r w:rsidR="00F0024F" w:rsidRPr="00C821A1">
        <w:rPr>
          <w:rStyle w:val="af1"/>
          <w:szCs w:val="32"/>
          <w:rtl/>
        </w:rPr>
        <w:t>(</w:t>
      </w:r>
      <w:r w:rsidR="00F0024F" w:rsidRPr="00C821A1">
        <w:rPr>
          <w:rStyle w:val="af1"/>
          <w:szCs w:val="32"/>
          <w:rtl/>
        </w:rPr>
        <w:footnoteReference w:id="1366"/>
      </w:r>
      <w:r w:rsidR="00F0024F" w:rsidRPr="00C821A1">
        <w:rPr>
          <w:rStyle w:val="af1"/>
          <w:szCs w:val="32"/>
          <w:rtl/>
        </w:rPr>
        <w:t>)</w:t>
      </w:r>
      <w:r w:rsidR="00F0024F">
        <w:rPr>
          <w:rFonts w:ascii="Traditional Arabic" w:hAnsi="Traditional Arabic" w:hint="cs"/>
          <w:noProof w:val="0"/>
          <w:rtl/>
          <w:lang w:eastAsia="en-US"/>
        </w:rPr>
        <w:t xml:space="preserve"> أو كان يرسلها نهاراً </w:t>
      </w:r>
      <w:r w:rsidR="007412D7">
        <w:rPr>
          <w:rFonts w:ascii="Traditional Arabic" w:hAnsi="Traditional Arabic" w:hint="cs"/>
          <w:noProof w:val="0"/>
          <w:rtl/>
          <w:lang w:eastAsia="en-US"/>
        </w:rPr>
        <w:t xml:space="preserve"> </w:t>
      </w:r>
      <w:r w:rsidR="00F0024F">
        <w:rPr>
          <w:rFonts w:ascii="Traditional Arabic" w:hAnsi="Traditional Arabic" w:hint="cs"/>
          <w:noProof w:val="0"/>
          <w:rtl/>
          <w:lang w:eastAsia="en-US"/>
        </w:rPr>
        <w:t>بقُرْبِ ما تُتْلِفُه</w:t>
      </w:r>
      <w:r w:rsidR="00F0024F" w:rsidRPr="00C821A1">
        <w:rPr>
          <w:rStyle w:val="af1"/>
          <w:szCs w:val="32"/>
          <w:rtl/>
        </w:rPr>
        <w:t>(</w:t>
      </w:r>
      <w:r w:rsidR="00F0024F" w:rsidRPr="00C821A1">
        <w:rPr>
          <w:rStyle w:val="af1"/>
          <w:szCs w:val="32"/>
          <w:rtl/>
        </w:rPr>
        <w:footnoteReference w:id="1367"/>
      </w:r>
      <w:r w:rsidR="00F0024F" w:rsidRPr="00C821A1">
        <w:rPr>
          <w:rStyle w:val="af1"/>
          <w:szCs w:val="32"/>
          <w:rtl/>
        </w:rPr>
        <w:t>)</w:t>
      </w:r>
      <w:r w:rsidR="00F0024F">
        <w:rPr>
          <w:rFonts w:ascii="Traditional Arabic" w:hAnsi="Traditional Arabic" w:hint="cs"/>
          <w:noProof w:val="0"/>
          <w:rtl/>
          <w:lang w:eastAsia="en-US"/>
        </w:rPr>
        <w:t>)</w:t>
      </w:r>
      <w:r w:rsidR="00F0024F" w:rsidRPr="00C821A1">
        <w:rPr>
          <w:rStyle w:val="af1"/>
          <w:szCs w:val="32"/>
          <w:rtl/>
        </w:rPr>
        <w:t>(</w:t>
      </w:r>
      <w:r w:rsidR="00F0024F" w:rsidRPr="00C821A1">
        <w:rPr>
          <w:rStyle w:val="af1"/>
          <w:szCs w:val="32"/>
          <w:rtl/>
        </w:rPr>
        <w:footnoteReference w:id="1368"/>
      </w:r>
      <w:r w:rsidR="00F0024F" w:rsidRPr="00C821A1">
        <w:rPr>
          <w:rStyle w:val="af1"/>
          <w:szCs w:val="32"/>
          <w:rtl/>
        </w:rPr>
        <w:t>)</w:t>
      </w:r>
      <w:r w:rsidR="00F0024F">
        <w:rPr>
          <w:rFonts w:ascii="Traditional Arabic" w:hAnsi="Traditional Arabic" w:hint="cs"/>
          <w:noProof w:val="0"/>
          <w:rtl/>
          <w:lang w:eastAsia="en-US"/>
        </w:rPr>
        <w:t>.</w:t>
      </w:r>
    </w:p>
    <w:p w:rsidR="00272836" w:rsidRPr="00C85F0F" w:rsidRDefault="00F044B9" w:rsidP="000F5C0F">
      <w:pPr>
        <w:pStyle w:val="aff2"/>
        <w:rPr>
          <w:rtl/>
        </w:rPr>
      </w:pPr>
      <w:bookmarkStart w:id="269" w:name="_Toc334046487"/>
      <w:r w:rsidRPr="00220EF0">
        <w:rPr>
          <w:rFonts w:hint="cs"/>
          <w:rtl/>
        </w:rPr>
        <w:lastRenderedPageBreak/>
        <w:t>المبحث الرابع</w:t>
      </w:r>
      <w:r w:rsidRPr="00220EF0">
        <w:rPr>
          <w:rFonts w:hint="eastAsia"/>
          <w:rtl/>
        </w:rPr>
        <w:t> :</w:t>
      </w:r>
      <w:r w:rsidRPr="00220EF0">
        <w:rPr>
          <w:rFonts w:hint="cs"/>
          <w:rtl/>
        </w:rPr>
        <w:br/>
      </w:r>
      <w:r w:rsidR="00272836" w:rsidRPr="00272836">
        <w:rPr>
          <w:rFonts w:hint="cs"/>
          <w:rtl/>
        </w:rPr>
        <w:t>قاعدة</w:t>
      </w:r>
      <w:r w:rsidR="00272836">
        <w:rPr>
          <w:rFonts w:hint="cs"/>
          <w:rtl/>
        </w:rPr>
        <w:br/>
        <w:t>"الخراج بالضمان</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الخراجبالضمان</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272836" w:rsidRPr="00C85F0F">
        <w:rPr>
          <w:rFonts w:hint="cs"/>
          <w:rtl/>
        </w:rPr>
        <w:t>"</w:t>
      </w:r>
      <w:r w:rsidR="00272836" w:rsidRPr="00C85F0F">
        <w:rPr>
          <w:rStyle w:val="af1"/>
          <w:b w:val="0"/>
          <w:bCs w:val="0"/>
          <w:szCs w:val="32"/>
          <w:rtl/>
        </w:rPr>
        <w:t>(</w:t>
      </w:r>
      <w:r w:rsidR="00272836" w:rsidRPr="00C85F0F">
        <w:rPr>
          <w:rStyle w:val="af1"/>
          <w:b w:val="0"/>
          <w:bCs w:val="0"/>
          <w:szCs w:val="32"/>
          <w:rtl/>
        </w:rPr>
        <w:footnoteReference w:id="1369"/>
      </w:r>
      <w:r w:rsidR="00272836" w:rsidRPr="00C85F0F">
        <w:rPr>
          <w:rStyle w:val="af1"/>
          <w:b w:val="0"/>
          <w:bCs w:val="0"/>
          <w:szCs w:val="32"/>
          <w:rtl/>
        </w:rPr>
        <w:t>)</w:t>
      </w:r>
      <w:bookmarkEnd w:id="269"/>
    </w:p>
    <w:p w:rsidR="00065E4B" w:rsidRPr="00C85F0F" w:rsidRDefault="00FB54E9" w:rsidP="00A8347C">
      <w:pPr>
        <w:pStyle w:val="aff3"/>
        <w:rPr>
          <w:rtl/>
        </w:rPr>
      </w:pPr>
      <w:bookmarkStart w:id="270" w:name="_Toc334046488"/>
      <w:r>
        <w:rPr>
          <w:rFonts w:hint="cs"/>
          <w:rtl/>
        </w:rPr>
        <w:t xml:space="preserve">                                         المطلب</w:t>
      </w:r>
      <w:r w:rsidR="007412D7">
        <w:rPr>
          <w:rFonts w:hint="cs"/>
          <w:rtl/>
        </w:rPr>
        <w:t xml:space="preserve"> </w:t>
      </w:r>
      <w:r w:rsidR="00272836" w:rsidRPr="00C85F0F">
        <w:rPr>
          <w:rFonts w:hint="cs"/>
          <w:rtl/>
        </w:rPr>
        <w:t>الأول</w:t>
      </w:r>
      <w:r w:rsidR="00272836" w:rsidRPr="00C85F0F">
        <w:rPr>
          <w:rFonts w:hint="eastAsia"/>
          <w:rtl/>
        </w:rPr>
        <w:t> :</w:t>
      </w:r>
      <w:r w:rsidR="00272836" w:rsidRPr="00C85F0F">
        <w:rPr>
          <w:rFonts w:hint="cs"/>
          <w:rtl/>
        </w:rPr>
        <w:br/>
      </w:r>
      <w:r>
        <w:rPr>
          <w:rFonts w:hint="cs"/>
          <w:rtl/>
        </w:rPr>
        <w:t xml:space="preserve">                      </w:t>
      </w:r>
      <w:r w:rsidR="00272836" w:rsidRPr="00C85F0F">
        <w:rPr>
          <w:rFonts w:hint="cs"/>
          <w:rtl/>
        </w:rPr>
        <w:t>صيغ القاعدة عند الشيخ وعند علماء القواعد</w:t>
      </w:r>
      <w:bookmarkEnd w:id="270"/>
    </w:p>
    <w:p w:rsidR="00272836" w:rsidRPr="00C85F0F" w:rsidRDefault="001916D5" w:rsidP="00597C20">
      <w:pPr>
        <w:ind w:firstLine="0"/>
        <w:rPr>
          <w:rtl/>
        </w:rPr>
      </w:pPr>
      <w:r>
        <w:rPr>
          <w:rFonts w:hint="cs"/>
          <w:rtl/>
        </w:rPr>
        <w:t xml:space="preserve">    </w:t>
      </w:r>
      <w:r w:rsidR="00065E4B" w:rsidRPr="00C85F0F">
        <w:rPr>
          <w:rFonts w:hint="cs"/>
          <w:rtl/>
        </w:rPr>
        <w:t>و</w:t>
      </w:r>
      <w:r w:rsidR="00272836" w:rsidRPr="00C85F0F">
        <w:rPr>
          <w:rFonts w:hint="cs"/>
          <w:rtl/>
        </w:rPr>
        <w:t xml:space="preserve">ردت هذه القاعدة عند الشيخ ابن عثيمين </w:t>
      </w:r>
      <w:r w:rsidR="007412D7">
        <w:rPr>
          <w:rFonts w:hint="cs"/>
          <w:rtl/>
        </w:rPr>
        <w:t>_</w:t>
      </w:r>
      <w:r w:rsidR="009A0575" w:rsidRPr="005D5694">
        <w:rPr>
          <w:rFonts w:ascii="Traditional Arabic" w:hAnsi="Traditional Arabic" w:cs="CTraditional Arabic" w:hint="cs"/>
          <w:rtl/>
        </w:rPr>
        <w:t>/</w:t>
      </w:r>
      <w:r w:rsidR="007412D7">
        <w:rPr>
          <w:rFonts w:hint="cs"/>
          <w:rtl/>
        </w:rPr>
        <w:t>_</w:t>
      </w:r>
      <w:r w:rsidR="00272836" w:rsidRPr="00C85F0F">
        <w:rPr>
          <w:rFonts w:hint="cs"/>
          <w:rtl/>
        </w:rPr>
        <w:t xml:space="preserve"> بعدة صيغ، منها:</w:t>
      </w:r>
    </w:p>
    <w:p w:rsidR="00272836" w:rsidRPr="00C85F0F" w:rsidRDefault="00272836" w:rsidP="000A76C7">
      <w:pPr>
        <w:numPr>
          <w:ilvl w:val="0"/>
          <w:numId w:val="183"/>
        </w:numPr>
      </w:pPr>
      <w:r w:rsidRPr="00C85F0F">
        <w:rPr>
          <w:rFonts w:hint="cs"/>
          <w:rtl/>
        </w:rPr>
        <w:t>الخَراج بالضمان</w:t>
      </w:r>
      <w:r w:rsidRPr="00C85F0F">
        <w:rPr>
          <w:rStyle w:val="af1"/>
          <w:szCs w:val="32"/>
          <w:rtl/>
        </w:rPr>
        <w:t>(</w:t>
      </w:r>
      <w:r w:rsidRPr="00C85F0F">
        <w:rPr>
          <w:rStyle w:val="af1"/>
          <w:szCs w:val="32"/>
          <w:rtl/>
        </w:rPr>
        <w:footnoteReference w:id="1370"/>
      </w:r>
      <w:r w:rsidRPr="00C85F0F">
        <w:rPr>
          <w:rStyle w:val="af1"/>
          <w:szCs w:val="32"/>
          <w:rtl/>
        </w:rPr>
        <w:t>)</w:t>
      </w:r>
      <w:r w:rsidRPr="00C85F0F">
        <w:rPr>
          <w:rFonts w:hint="cs"/>
          <w:rtl/>
        </w:rPr>
        <w:t>.</w:t>
      </w:r>
    </w:p>
    <w:p w:rsidR="00272836" w:rsidRDefault="00272836" w:rsidP="000A76C7">
      <w:pPr>
        <w:numPr>
          <w:ilvl w:val="0"/>
          <w:numId w:val="183"/>
        </w:numPr>
      </w:pPr>
      <w:r w:rsidRPr="00C85F0F">
        <w:rPr>
          <w:rFonts w:hint="cs"/>
          <w:rtl/>
        </w:rPr>
        <w:t>الغُرْم بالغُنْم</w:t>
      </w:r>
      <w:r w:rsidRPr="00C85F0F">
        <w:rPr>
          <w:rStyle w:val="af1"/>
          <w:szCs w:val="32"/>
          <w:rtl/>
        </w:rPr>
        <w:t>(</w:t>
      </w:r>
      <w:r w:rsidRPr="00C85F0F">
        <w:rPr>
          <w:rStyle w:val="af1"/>
          <w:szCs w:val="32"/>
          <w:rtl/>
        </w:rPr>
        <w:footnoteReference w:id="1371"/>
      </w:r>
      <w:r w:rsidRPr="00C85F0F">
        <w:rPr>
          <w:rStyle w:val="af1"/>
          <w:szCs w:val="32"/>
          <w:rtl/>
        </w:rPr>
        <w:t>)</w:t>
      </w:r>
      <w:r w:rsidRPr="00C85F0F">
        <w:rPr>
          <w:rFonts w:hint="cs"/>
          <w:rtl/>
        </w:rPr>
        <w:t>.</w:t>
      </w:r>
    </w:p>
    <w:p w:rsidR="00272836" w:rsidRPr="00C85F0F" w:rsidRDefault="00272836" w:rsidP="000A76C7">
      <w:pPr>
        <w:numPr>
          <w:ilvl w:val="0"/>
          <w:numId w:val="183"/>
        </w:numPr>
      </w:pPr>
      <w:r w:rsidRPr="00C85F0F">
        <w:rPr>
          <w:rFonts w:hint="cs"/>
          <w:rtl/>
        </w:rPr>
        <w:t>من كان له الغنم فعليه الغرم</w:t>
      </w:r>
      <w:r w:rsidRPr="00C85F0F">
        <w:rPr>
          <w:rStyle w:val="af1"/>
          <w:szCs w:val="32"/>
          <w:rtl/>
        </w:rPr>
        <w:t>(</w:t>
      </w:r>
      <w:r w:rsidRPr="00C85F0F">
        <w:rPr>
          <w:rStyle w:val="af1"/>
          <w:szCs w:val="32"/>
          <w:rtl/>
        </w:rPr>
        <w:footnoteReference w:id="1372"/>
      </w:r>
      <w:r w:rsidRPr="00C85F0F">
        <w:rPr>
          <w:rStyle w:val="af1"/>
          <w:szCs w:val="32"/>
          <w:rtl/>
        </w:rPr>
        <w:t>)</w:t>
      </w:r>
      <w:r w:rsidRPr="00C85F0F">
        <w:rPr>
          <w:rFonts w:hint="cs"/>
          <w:rtl/>
        </w:rPr>
        <w:t>.</w:t>
      </w:r>
    </w:p>
    <w:p w:rsidR="00065E4B" w:rsidRPr="00C85F0F" w:rsidRDefault="00272836" w:rsidP="000A76C7">
      <w:pPr>
        <w:numPr>
          <w:ilvl w:val="0"/>
          <w:numId w:val="183"/>
        </w:numPr>
      </w:pPr>
      <w:r w:rsidRPr="00C85F0F">
        <w:rPr>
          <w:rFonts w:hint="cs"/>
          <w:rtl/>
        </w:rPr>
        <w:t>الغنم بالغرم</w:t>
      </w:r>
      <w:r w:rsidRPr="00C85F0F">
        <w:rPr>
          <w:rStyle w:val="af1"/>
          <w:szCs w:val="32"/>
          <w:rtl/>
        </w:rPr>
        <w:t>(</w:t>
      </w:r>
      <w:r w:rsidRPr="00C85F0F">
        <w:rPr>
          <w:rStyle w:val="af1"/>
          <w:szCs w:val="32"/>
          <w:rtl/>
        </w:rPr>
        <w:footnoteReference w:id="1373"/>
      </w:r>
      <w:r w:rsidRPr="00C85F0F">
        <w:rPr>
          <w:rStyle w:val="af1"/>
          <w:szCs w:val="32"/>
          <w:rtl/>
        </w:rPr>
        <w:t>)</w:t>
      </w:r>
      <w:r w:rsidRPr="00C85F0F">
        <w:rPr>
          <w:rFonts w:hint="cs"/>
          <w:rtl/>
        </w:rPr>
        <w:t>.</w:t>
      </w:r>
    </w:p>
    <w:p w:rsidR="00272836" w:rsidRPr="00C85F0F" w:rsidRDefault="001916D5" w:rsidP="00597C20">
      <w:pPr>
        <w:ind w:firstLine="0"/>
        <w:rPr>
          <w:rtl/>
        </w:rPr>
      </w:pPr>
      <w:r>
        <w:rPr>
          <w:rFonts w:hint="cs"/>
          <w:rtl/>
        </w:rPr>
        <w:t xml:space="preserve">    </w:t>
      </w:r>
      <w:r w:rsidR="00065E4B" w:rsidRPr="00C85F0F">
        <w:rPr>
          <w:rFonts w:hint="cs"/>
          <w:rtl/>
        </w:rPr>
        <w:t>و</w:t>
      </w:r>
      <w:r w:rsidR="00272836" w:rsidRPr="00C85F0F">
        <w:rPr>
          <w:rFonts w:hint="cs"/>
          <w:rtl/>
        </w:rPr>
        <w:t>وردت هذه القاعدة عند علماء القواعد بعدة صيغ، منها:</w:t>
      </w:r>
    </w:p>
    <w:p w:rsidR="00272836" w:rsidRPr="00C85F0F" w:rsidRDefault="00272836" w:rsidP="000A76C7">
      <w:pPr>
        <w:numPr>
          <w:ilvl w:val="0"/>
          <w:numId w:val="184"/>
        </w:numPr>
      </w:pPr>
      <w:r w:rsidRPr="00C85F0F">
        <w:rPr>
          <w:rFonts w:hint="cs"/>
          <w:rtl/>
        </w:rPr>
        <w:t>الخراج بالضمان</w:t>
      </w:r>
      <w:r w:rsidRPr="00C85F0F">
        <w:rPr>
          <w:rStyle w:val="af1"/>
          <w:szCs w:val="32"/>
          <w:rtl/>
        </w:rPr>
        <w:t>(</w:t>
      </w:r>
      <w:r w:rsidRPr="00C85F0F">
        <w:rPr>
          <w:rStyle w:val="af1"/>
          <w:szCs w:val="32"/>
          <w:rtl/>
        </w:rPr>
        <w:footnoteReference w:id="1374"/>
      </w:r>
      <w:r w:rsidRPr="00C85F0F">
        <w:rPr>
          <w:rStyle w:val="af1"/>
          <w:szCs w:val="32"/>
          <w:rtl/>
        </w:rPr>
        <w:t>)</w:t>
      </w:r>
      <w:r w:rsidRPr="00C85F0F">
        <w:rPr>
          <w:rFonts w:hint="cs"/>
          <w:rtl/>
        </w:rPr>
        <w:t>.</w:t>
      </w:r>
    </w:p>
    <w:p w:rsidR="00272836" w:rsidRPr="00C85F0F" w:rsidRDefault="00272836" w:rsidP="000A76C7">
      <w:pPr>
        <w:numPr>
          <w:ilvl w:val="0"/>
          <w:numId w:val="184"/>
        </w:numPr>
      </w:pPr>
      <w:r w:rsidRPr="00C85F0F">
        <w:rPr>
          <w:rFonts w:hint="cs"/>
          <w:rtl/>
        </w:rPr>
        <w:t>مَن مَلَك الغُنْم كان عليه الغُرْم</w:t>
      </w:r>
      <w:r w:rsidRPr="00C85F0F">
        <w:rPr>
          <w:rStyle w:val="af1"/>
          <w:szCs w:val="32"/>
          <w:rtl/>
        </w:rPr>
        <w:t>(</w:t>
      </w:r>
      <w:r w:rsidRPr="00C85F0F">
        <w:rPr>
          <w:rStyle w:val="af1"/>
          <w:szCs w:val="32"/>
          <w:rtl/>
        </w:rPr>
        <w:footnoteReference w:id="1375"/>
      </w:r>
      <w:r w:rsidRPr="00C85F0F">
        <w:rPr>
          <w:rStyle w:val="af1"/>
          <w:szCs w:val="32"/>
          <w:rtl/>
        </w:rPr>
        <w:t>)</w:t>
      </w:r>
      <w:r w:rsidRPr="00C85F0F">
        <w:rPr>
          <w:rFonts w:hint="cs"/>
          <w:rtl/>
        </w:rPr>
        <w:t>.</w:t>
      </w:r>
    </w:p>
    <w:p w:rsidR="00272836" w:rsidRPr="00C85F0F" w:rsidRDefault="00272836" w:rsidP="000A76C7">
      <w:pPr>
        <w:widowControl/>
        <w:numPr>
          <w:ilvl w:val="0"/>
          <w:numId w:val="184"/>
        </w:numPr>
        <w:autoSpaceDE w:val="0"/>
        <w:autoSpaceDN w:val="0"/>
        <w:adjustRightInd w:val="0"/>
        <w:jc w:val="left"/>
        <w:rPr>
          <w:rFonts w:ascii="Traditional Arabic" w:hAnsi="Traditional Arabic"/>
          <w:noProof w:val="0"/>
          <w:rtl/>
          <w:lang w:eastAsia="en-US"/>
        </w:rPr>
      </w:pPr>
      <w:r w:rsidRPr="00C85F0F">
        <w:rPr>
          <w:rFonts w:ascii="Traditional Arabic" w:hAnsi="Traditional Arabic"/>
          <w:noProof w:val="0"/>
          <w:rtl/>
          <w:lang w:eastAsia="en-US"/>
        </w:rPr>
        <w:lastRenderedPageBreak/>
        <w:t>الغرم بالغنم</w:t>
      </w:r>
      <w:r w:rsidRPr="00C85F0F">
        <w:rPr>
          <w:rStyle w:val="af1"/>
          <w:szCs w:val="32"/>
          <w:rtl/>
        </w:rPr>
        <w:t>(</w:t>
      </w:r>
      <w:r w:rsidRPr="00C85F0F">
        <w:rPr>
          <w:rStyle w:val="af1"/>
          <w:szCs w:val="32"/>
          <w:rtl/>
        </w:rPr>
        <w:footnoteReference w:id="1376"/>
      </w:r>
      <w:r w:rsidRPr="00C85F0F">
        <w:rPr>
          <w:rStyle w:val="af1"/>
          <w:szCs w:val="32"/>
          <w:rtl/>
        </w:rPr>
        <w:t>)</w:t>
      </w:r>
      <w:r w:rsidRPr="00C85F0F">
        <w:rPr>
          <w:rFonts w:ascii="Traditional Arabic" w:hAnsi="Traditional Arabic"/>
          <w:noProof w:val="0"/>
          <w:rtl/>
          <w:lang w:eastAsia="en-US"/>
        </w:rPr>
        <w:t>.</w:t>
      </w:r>
    </w:p>
    <w:p w:rsidR="00272836" w:rsidRPr="00C85F0F" w:rsidRDefault="00272836" w:rsidP="000A76C7">
      <w:pPr>
        <w:numPr>
          <w:ilvl w:val="0"/>
          <w:numId w:val="184"/>
        </w:numPr>
        <w:rPr>
          <w:rtl/>
        </w:rPr>
      </w:pPr>
      <w:r w:rsidRPr="00C85F0F">
        <w:rPr>
          <w:rFonts w:ascii="Traditional Arabic" w:hAnsi="Traditional Arabic"/>
          <w:noProof w:val="0"/>
          <w:rtl/>
          <w:lang w:eastAsia="en-US"/>
        </w:rPr>
        <w:t>الن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عمة 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قمة، والنقمة بقدر النعمة</w:t>
      </w:r>
      <w:r w:rsidRPr="00C85F0F">
        <w:rPr>
          <w:rStyle w:val="af1"/>
          <w:szCs w:val="32"/>
          <w:rtl/>
        </w:rPr>
        <w:t>(</w:t>
      </w:r>
      <w:r w:rsidRPr="00C85F0F">
        <w:rPr>
          <w:rStyle w:val="af1"/>
          <w:szCs w:val="32"/>
          <w:rtl/>
        </w:rPr>
        <w:footnoteReference w:id="1377"/>
      </w:r>
      <w:r w:rsidRPr="00C85F0F">
        <w:rPr>
          <w:rStyle w:val="af1"/>
          <w:szCs w:val="32"/>
          <w:rtl/>
        </w:rPr>
        <w:t>)</w:t>
      </w:r>
      <w:r w:rsidRPr="00C85F0F">
        <w:rPr>
          <w:rFonts w:hint="cs"/>
          <w:rtl/>
        </w:rPr>
        <w:t>.</w:t>
      </w:r>
    </w:p>
    <w:p w:rsidR="00065E4B" w:rsidRPr="00C85F0F" w:rsidRDefault="00FB54E9" w:rsidP="00A8347C">
      <w:pPr>
        <w:pStyle w:val="aff3"/>
        <w:rPr>
          <w:rtl/>
        </w:rPr>
      </w:pPr>
      <w:bookmarkStart w:id="271" w:name="_Toc334046489"/>
      <w:r>
        <w:rPr>
          <w:rFonts w:hint="cs"/>
          <w:rtl/>
        </w:rPr>
        <w:t xml:space="preserve">                                      المطلب</w:t>
      </w:r>
      <w:r w:rsidR="007412D7">
        <w:rPr>
          <w:rFonts w:hint="cs"/>
          <w:rtl/>
        </w:rPr>
        <w:t xml:space="preserve"> </w:t>
      </w:r>
      <w:r w:rsidR="00272836" w:rsidRPr="00C85F0F">
        <w:rPr>
          <w:rFonts w:hint="cs"/>
          <w:rtl/>
        </w:rPr>
        <w:t>الثاني</w:t>
      </w:r>
      <w:r w:rsidR="00272836" w:rsidRPr="00C85F0F">
        <w:rPr>
          <w:rFonts w:hint="eastAsia"/>
          <w:rtl/>
        </w:rPr>
        <w:t> :</w:t>
      </w:r>
      <w:r w:rsidR="00272836" w:rsidRPr="00C85F0F">
        <w:rPr>
          <w:rFonts w:hint="cs"/>
          <w:rtl/>
        </w:rPr>
        <w:br/>
      </w:r>
      <w:r>
        <w:rPr>
          <w:rFonts w:hint="cs"/>
          <w:rtl/>
        </w:rPr>
        <w:t xml:space="preserve">                                       </w:t>
      </w:r>
      <w:r w:rsidR="00272836" w:rsidRPr="00C85F0F">
        <w:rPr>
          <w:rFonts w:hint="cs"/>
          <w:rtl/>
        </w:rPr>
        <w:t>شرح القاعدة</w:t>
      </w:r>
      <w:bookmarkEnd w:id="271"/>
    </w:p>
    <w:p w:rsidR="00A929E1" w:rsidRDefault="00065E4B" w:rsidP="00EA2BD7">
      <w:pPr>
        <w:pStyle w:val="53"/>
        <w:rPr>
          <w:b w:val="0"/>
          <w:rtl/>
        </w:rPr>
      </w:pPr>
      <w:r w:rsidRPr="00EA2BD7">
        <w:rPr>
          <w:rFonts w:hint="cs"/>
          <w:rtl/>
        </w:rPr>
        <w:t>ا</w:t>
      </w:r>
      <w:r w:rsidR="00272836" w:rsidRPr="00EA2BD7">
        <w:rPr>
          <w:rFonts w:hint="cs"/>
          <w:rtl/>
        </w:rPr>
        <w:t>لخَراج</w:t>
      </w:r>
      <w:r w:rsidR="00AB0B9E" w:rsidRPr="00EA2BD7">
        <w:fldChar w:fldCharType="begin"/>
      </w:r>
      <w:r w:rsidR="005C704E" w:rsidRPr="00EA2BD7">
        <w:instrText>XE</w:instrText>
      </w:r>
      <w:r w:rsidR="005C704E" w:rsidRPr="00EA2BD7">
        <w:rPr>
          <w:rtl/>
        </w:rPr>
        <w:instrText xml:space="preserve"> "</w:instrText>
      </w:r>
      <w:r w:rsidR="005C704E" w:rsidRPr="00EA2BD7">
        <w:rPr>
          <w:rFonts w:hint="cs"/>
          <w:rtl/>
        </w:rPr>
        <w:instrText>الخَراج</w:instrText>
      </w:r>
      <w:r w:rsidR="005C704E" w:rsidRPr="00EA2BD7">
        <w:rPr>
          <w:rtl/>
        </w:rPr>
        <w:instrText>" \</w:instrText>
      </w:r>
      <w:r w:rsidR="005C704E" w:rsidRPr="00EA2BD7">
        <w:instrText>fm</w:instrText>
      </w:r>
      <w:r w:rsidR="00AB0B9E" w:rsidRPr="00EA2BD7">
        <w:fldChar w:fldCharType="end"/>
      </w:r>
      <w:r w:rsidR="00272836">
        <w:rPr>
          <w:rFonts w:hint="cs"/>
          <w:b w:val="0"/>
          <w:rtl/>
        </w:rPr>
        <w:t xml:space="preserve"> لغة:</w:t>
      </w:r>
    </w:p>
    <w:p w:rsidR="00272836" w:rsidRPr="00610CD5" w:rsidRDefault="00272836" w:rsidP="00597C20">
      <w:pPr>
        <w:widowControl/>
        <w:autoSpaceDE w:val="0"/>
        <w:autoSpaceDN w:val="0"/>
        <w:adjustRightInd w:val="0"/>
        <w:ind w:firstLine="720"/>
        <w:jc w:val="left"/>
        <w:rPr>
          <w:rFonts w:ascii="Traditional Arabic" w:hAnsi="Traditional Arabic"/>
          <w:noProof w:val="0"/>
          <w:rtl/>
          <w:lang w:eastAsia="en-US"/>
        </w:rPr>
      </w:pPr>
      <w:r>
        <w:rPr>
          <w:rFonts w:hint="cs"/>
          <w:rtl/>
        </w:rPr>
        <w:t xml:space="preserve">يقول  ابن فارس </w:t>
      </w:r>
      <w:r w:rsidR="007412D7">
        <w:rPr>
          <w:rFonts w:hint="cs"/>
          <w:rtl/>
        </w:rPr>
        <w:t>_</w:t>
      </w:r>
      <w:r w:rsidR="009A0575" w:rsidRPr="005D5694">
        <w:rPr>
          <w:rFonts w:ascii="Traditional Arabic" w:hAnsi="Traditional Arabic" w:cs="CTraditional Arabic" w:hint="cs"/>
          <w:rtl/>
        </w:rPr>
        <w:t>/</w:t>
      </w:r>
      <w:r w:rsidR="007412D7">
        <w:rPr>
          <w:rFonts w:hint="cs"/>
          <w:rtl/>
        </w:rPr>
        <w:t>_</w:t>
      </w:r>
      <w:r>
        <w:rPr>
          <w:rFonts w:hint="cs"/>
          <w:rtl/>
        </w:rPr>
        <w:t>: (</w:t>
      </w:r>
      <w:r w:rsidRPr="00610CD5">
        <w:rPr>
          <w:rFonts w:ascii="Traditional Arabic" w:hAnsi="Traditional Arabic"/>
          <w:noProof w:val="0"/>
          <w:rtl/>
          <w:lang w:eastAsia="en-US"/>
        </w:rPr>
        <w:t>الخاء والراء والجيم أصلان، وقد يمكن الجمع بينهما، إلا أن</w:t>
      </w:r>
      <w:r>
        <w:rPr>
          <w:rFonts w:ascii="Traditional Arabic" w:hAnsi="Traditional Arabic" w:hint="cs"/>
          <w:noProof w:val="0"/>
          <w:rtl/>
          <w:lang w:eastAsia="en-US"/>
        </w:rPr>
        <w:t>ّ</w:t>
      </w:r>
      <w:r>
        <w:rPr>
          <w:rFonts w:ascii="Traditional Arabic" w:hAnsi="Traditional Arabic"/>
          <w:noProof w:val="0"/>
          <w:rtl/>
          <w:lang w:eastAsia="en-US"/>
        </w:rPr>
        <w:t>ا</w:t>
      </w:r>
      <w:r w:rsidRPr="00610CD5">
        <w:rPr>
          <w:rFonts w:ascii="Traditional Arabic" w:hAnsi="Traditional Arabic"/>
          <w:noProof w:val="0"/>
          <w:rtl/>
          <w:lang w:eastAsia="en-US"/>
        </w:rPr>
        <w:t>س</w:t>
      </w:r>
      <w:r>
        <w:rPr>
          <w:rFonts w:ascii="Traditional Arabic" w:hAnsi="Traditional Arabic" w:hint="cs"/>
          <w:noProof w:val="0"/>
          <w:rtl/>
          <w:lang w:eastAsia="en-US"/>
        </w:rPr>
        <w:t>َ</w:t>
      </w:r>
      <w:r w:rsidRPr="00610CD5">
        <w:rPr>
          <w:rFonts w:ascii="Traditional Arabic" w:hAnsi="Traditional Arabic"/>
          <w:noProof w:val="0"/>
          <w:rtl/>
          <w:lang w:eastAsia="en-US"/>
        </w:rPr>
        <w:t>لك</w:t>
      </w:r>
      <w:r>
        <w:rPr>
          <w:rFonts w:ascii="Traditional Arabic" w:hAnsi="Traditional Arabic" w:hint="cs"/>
          <w:noProof w:val="0"/>
          <w:rtl/>
          <w:lang w:eastAsia="en-US"/>
        </w:rPr>
        <w:t>ْ</w:t>
      </w:r>
      <w:r w:rsidRPr="00610CD5">
        <w:rPr>
          <w:rFonts w:ascii="Traditional Arabic" w:hAnsi="Traditional Arabic"/>
          <w:noProof w:val="0"/>
          <w:rtl/>
          <w:lang w:eastAsia="en-US"/>
        </w:rPr>
        <w:t>نا الطريق الواضح. فالأول: الن</w:t>
      </w:r>
      <w:r>
        <w:rPr>
          <w:rFonts w:ascii="Traditional Arabic" w:hAnsi="Traditional Arabic" w:hint="cs"/>
          <w:noProof w:val="0"/>
          <w:rtl/>
          <w:lang w:eastAsia="en-US"/>
        </w:rPr>
        <w:t>َّ</w:t>
      </w:r>
      <w:r w:rsidRPr="00610CD5">
        <w:rPr>
          <w:rFonts w:ascii="Traditional Arabic" w:hAnsi="Traditional Arabic"/>
          <w:noProof w:val="0"/>
          <w:rtl/>
          <w:lang w:eastAsia="en-US"/>
        </w:rPr>
        <w:t>فاذ عن الشيء. والثاني: اختلاف لونين.</w:t>
      </w:r>
    </w:p>
    <w:p w:rsidR="00065E4B" w:rsidRDefault="00272836" w:rsidP="00597C20">
      <w:pPr>
        <w:ind w:firstLine="720"/>
        <w:rPr>
          <w:rFonts w:ascii="Traditional Arabic" w:hAnsi="Traditional Arabic"/>
          <w:noProof w:val="0"/>
          <w:rtl/>
          <w:lang w:eastAsia="en-US"/>
        </w:rPr>
      </w:pPr>
      <w:r w:rsidRPr="00610CD5">
        <w:rPr>
          <w:rFonts w:ascii="Traditional Arabic" w:hAnsi="Traditional Arabic"/>
          <w:noProof w:val="0"/>
          <w:rtl/>
          <w:lang w:eastAsia="en-US"/>
        </w:rPr>
        <w:t>فأما الأول فقولنا</w:t>
      </w:r>
      <w:r w:rsidR="007412D7">
        <w:rPr>
          <w:rFonts w:ascii="Traditional Arabic" w:hAnsi="Traditional Arabic" w:hint="cs"/>
          <w:noProof w:val="0"/>
          <w:rtl/>
          <w:lang w:eastAsia="en-US"/>
        </w:rPr>
        <w:t>:</w:t>
      </w:r>
      <w:r w:rsidRPr="00610CD5">
        <w:rPr>
          <w:rFonts w:ascii="Traditional Arabic" w:hAnsi="Traditional Arabic"/>
          <w:noProof w:val="0"/>
          <w:rtl/>
          <w:lang w:eastAsia="en-US"/>
        </w:rPr>
        <w:t xml:space="preserve"> خرج يخر</w:t>
      </w:r>
      <w:r>
        <w:rPr>
          <w:rFonts w:ascii="Traditional Arabic" w:hAnsi="Traditional Arabic" w:hint="cs"/>
          <w:noProof w:val="0"/>
          <w:rtl/>
          <w:lang w:eastAsia="en-US"/>
        </w:rPr>
        <w:t>ُ</w:t>
      </w:r>
      <w:r w:rsidRPr="00610CD5">
        <w:rPr>
          <w:rFonts w:ascii="Traditional Arabic" w:hAnsi="Traditional Arabic"/>
          <w:noProof w:val="0"/>
          <w:rtl/>
          <w:lang w:eastAsia="en-US"/>
        </w:rPr>
        <w:t>ج خروجا</w:t>
      </w:r>
      <w:r>
        <w:rPr>
          <w:rFonts w:ascii="Traditional Arabic" w:hAnsi="Traditional Arabic" w:hint="cs"/>
          <w:noProof w:val="0"/>
          <w:rtl/>
          <w:lang w:eastAsia="en-US"/>
        </w:rPr>
        <w:t>ً</w:t>
      </w:r>
      <w:r w:rsidRPr="00610CD5">
        <w:rPr>
          <w:rFonts w:ascii="Traditional Arabic" w:hAnsi="Traditional Arabic"/>
          <w:noProof w:val="0"/>
          <w:rtl/>
          <w:lang w:eastAsia="en-US"/>
        </w:rPr>
        <w:t>. والخ</w:t>
      </w:r>
      <w:r>
        <w:rPr>
          <w:rFonts w:ascii="Traditional Arabic" w:hAnsi="Traditional Arabic" w:hint="cs"/>
          <w:noProof w:val="0"/>
          <w:rtl/>
          <w:lang w:eastAsia="en-US"/>
        </w:rPr>
        <w:t>ُ</w:t>
      </w:r>
      <w:r w:rsidRPr="00610CD5">
        <w:rPr>
          <w:rFonts w:ascii="Traditional Arabic" w:hAnsi="Traditional Arabic"/>
          <w:noProof w:val="0"/>
          <w:rtl/>
          <w:lang w:eastAsia="en-US"/>
        </w:rPr>
        <w:t>راج بالجسد. والخ</w:t>
      </w:r>
      <w:r>
        <w:rPr>
          <w:rFonts w:ascii="Traditional Arabic" w:hAnsi="Traditional Arabic" w:hint="cs"/>
          <w:noProof w:val="0"/>
          <w:rtl/>
          <w:lang w:eastAsia="en-US"/>
        </w:rPr>
        <w:t>َ</w:t>
      </w:r>
      <w:r w:rsidRPr="00610CD5">
        <w:rPr>
          <w:rFonts w:ascii="Traditional Arabic" w:hAnsi="Traditional Arabic"/>
          <w:noProof w:val="0"/>
          <w:rtl/>
          <w:lang w:eastAsia="en-US"/>
        </w:rPr>
        <w:t>راج والخ</w:t>
      </w:r>
      <w:r>
        <w:rPr>
          <w:rFonts w:ascii="Traditional Arabic" w:hAnsi="Traditional Arabic" w:hint="cs"/>
          <w:noProof w:val="0"/>
          <w:rtl/>
          <w:lang w:eastAsia="en-US"/>
        </w:rPr>
        <w:t>َ</w:t>
      </w:r>
      <w:r w:rsidRPr="00610CD5">
        <w:rPr>
          <w:rFonts w:ascii="Traditional Arabic" w:hAnsi="Traditional Arabic"/>
          <w:noProof w:val="0"/>
          <w:rtl/>
          <w:lang w:eastAsia="en-US"/>
        </w:rPr>
        <w:t>ر</w:t>
      </w:r>
      <w:r>
        <w:rPr>
          <w:rFonts w:ascii="Traditional Arabic" w:hAnsi="Traditional Arabic" w:hint="cs"/>
          <w:noProof w:val="0"/>
          <w:rtl/>
          <w:lang w:eastAsia="en-US"/>
        </w:rPr>
        <w:t>ْ</w:t>
      </w:r>
      <w:r>
        <w:rPr>
          <w:rFonts w:ascii="Traditional Arabic" w:hAnsi="Traditional Arabic"/>
          <w:noProof w:val="0"/>
          <w:rtl/>
          <w:lang w:eastAsia="en-US"/>
        </w:rPr>
        <w:t>ج: الإتاوة</w:t>
      </w:r>
      <w:r w:rsidRPr="00610CD5">
        <w:rPr>
          <w:rFonts w:ascii="Traditional Arabic" w:hAnsi="Traditional Arabic"/>
          <w:noProof w:val="0"/>
          <w:rtl/>
          <w:lang w:eastAsia="en-US"/>
        </w:rPr>
        <w:t>; لأنه مال</w:t>
      </w:r>
      <w:r>
        <w:rPr>
          <w:rFonts w:ascii="Traditional Arabic" w:hAnsi="Traditional Arabic" w:hint="cs"/>
          <w:noProof w:val="0"/>
          <w:rtl/>
          <w:lang w:eastAsia="en-US"/>
        </w:rPr>
        <w:t>ٌ</w:t>
      </w:r>
      <w:r w:rsidRPr="00610CD5">
        <w:rPr>
          <w:rFonts w:ascii="Traditional Arabic" w:hAnsi="Traditional Arabic"/>
          <w:noProof w:val="0"/>
          <w:rtl/>
          <w:lang w:eastAsia="en-US"/>
        </w:rPr>
        <w:t xml:space="preserve"> ي</w:t>
      </w:r>
      <w:r>
        <w:rPr>
          <w:rFonts w:ascii="Traditional Arabic" w:hAnsi="Traditional Arabic" w:hint="cs"/>
          <w:noProof w:val="0"/>
          <w:rtl/>
          <w:lang w:eastAsia="en-US"/>
        </w:rPr>
        <w:t>ُ</w:t>
      </w:r>
      <w:r w:rsidRPr="00610CD5">
        <w:rPr>
          <w:rFonts w:ascii="Traditional Arabic" w:hAnsi="Traditional Arabic"/>
          <w:noProof w:val="0"/>
          <w:rtl/>
          <w:lang w:eastAsia="en-US"/>
        </w:rPr>
        <w:t>خرجه المعطي</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378"/>
      </w:r>
      <w:r w:rsidRPr="00C821A1">
        <w:rPr>
          <w:rStyle w:val="af1"/>
          <w:szCs w:val="32"/>
          <w:rtl/>
        </w:rPr>
        <w:t>)</w:t>
      </w:r>
      <w:r w:rsidRPr="00610CD5">
        <w:rPr>
          <w:rFonts w:ascii="Traditional Arabic" w:hAnsi="Traditional Arabic"/>
          <w:noProof w:val="0"/>
          <w:rtl/>
          <w:lang w:eastAsia="en-US"/>
        </w:rPr>
        <w:t>.</w:t>
      </w:r>
    </w:p>
    <w:p w:rsidR="00065E4B" w:rsidRDefault="00065E4B" w:rsidP="00597C20">
      <w:pPr>
        <w:ind w:firstLine="720"/>
        <w:rPr>
          <w:rFonts w:ascii="Traditional Arabic" w:hAnsi="Traditional Arabic"/>
          <w:noProof w:val="0"/>
          <w:rtl/>
          <w:lang w:eastAsia="en-US"/>
        </w:rPr>
      </w:pPr>
      <w:r>
        <w:rPr>
          <w:rFonts w:ascii="Traditional Arabic" w:hAnsi="Traditional Arabic" w:hint="cs"/>
          <w:noProof w:val="0"/>
          <w:rtl/>
          <w:lang w:eastAsia="en-US"/>
        </w:rPr>
        <w:t>ق</w:t>
      </w:r>
      <w:r w:rsidR="00272836">
        <w:rPr>
          <w:rFonts w:ascii="Traditional Arabic" w:hAnsi="Traditional Arabic" w:hint="cs"/>
          <w:noProof w:val="0"/>
          <w:rtl/>
          <w:lang w:eastAsia="en-US"/>
        </w:rPr>
        <w:t xml:space="preserve">ال  أبو عبيد القاسم بن سلام </w:t>
      </w:r>
      <w:r w:rsidR="007412D7">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7412D7">
        <w:rPr>
          <w:rFonts w:ascii="Traditional Arabic" w:hAnsi="Traditional Arabic" w:hint="cs"/>
          <w:noProof w:val="0"/>
          <w:rtl/>
          <w:lang w:eastAsia="en-US"/>
        </w:rPr>
        <w:t>_</w:t>
      </w:r>
      <w:r w:rsidR="00272836">
        <w:rPr>
          <w:rFonts w:ascii="Traditional Arabic" w:hAnsi="Traditional Arabic" w:hint="cs"/>
          <w:noProof w:val="0"/>
          <w:rtl/>
          <w:lang w:eastAsia="en-US"/>
        </w:rPr>
        <w:t>: (</w:t>
      </w:r>
      <w:r w:rsidR="00272836" w:rsidRPr="004F44EB">
        <w:rPr>
          <w:rFonts w:ascii="Traditional Arabic" w:hAnsi="Traditional Arabic"/>
          <w:noProof w:val="0"/>
          <w:color w:val="auto"/>
          <w:rtl/>
          <w:lang w:eastAsia="en-US"/>
        </w:rPr>
        <w:t>معنى الخراج في كلام العرب : إنما هو الكراء والغ</w:t>
      </w:r>
      <w:r w:rsidR="007404BA">
        <w:rPr>
          <w:rFonts w:ascii="Traditional Arabic" w:hAnsi="Traditional Arabic" w:hint="cs"/>
          <w:noProof w:val="0"/>
          <w:color w:val="auto"/>
          <w:rtl/>
          <w:lang w:eastAsia="en-US"/>
        </w:rPr>
        <w:t>َ</w:t>
      </w:r>
      <w:r w:rsidR="00272836" w:rsidRPr="004F44EB">
        <w:rPr>
          <w:rFonts w:ascii="Traditional Arabic" w:hAnsi="Traditional Arabic"/>
          <w:noProof w:val="0"/>
          <w:color w:val="auto"/>
          <w:rtl/>
          <w:lang w:eastAsia="en-US"/>
        </w:rPr>
        <w:t>ل</w:t>
      </w:r>
      <w:r w:rsidR="007404BA">
        <w:rPr>
          <w:rFonts w:ascii="Traditional Arabic" w:hAnsi="Traditional Arabic" w:hint="cs"/>
          <w:noProof w:val="0"/>
          <w:color w:val="auto"/>
          <w:rtl/>
          <w:lang w:eastAsia="en-US"/>
        </w:rPr>
        <w:t>َّ</w:t>
      </w:r>
      <w:r w:rsidR="00272836" w:rsidRPr="004F44EB">
        <w:rPr>
          <w:rFonts w:ascii="Traditional Arabic" w:hAnsi="Traditional Arabic"/>
          <w:noProof w:val="0"/>
          <w:color w:val="auto"/>
          <w:rtl/>
          <w:lang w:eastAsia="en-US"/>
        </w:rPr>
        <w:t>ة</w:t>
      </w:r>
      <w:r w:rsidR="00B76414">
        <w:rPr>
          <w:rFonts w:ascii="Traditional Arabic" w:hAnsi="Traditional Arabic"/>
          <w:noProof w:val="0"/>
          <w:color w:val="auto"/>
          <w:rtl/>
          <w:lang w:eastAsia="en-US"/>
        </w:rPr>
        <w:t>،</w:t>
      </w:r>
      <w:r w:rsidR="00272836" w:rsidRPr="004F44EB">
        <w:rPr>
          <w:rFonts w:ascii="Traditional Arabic" w:hAnsi="Traditional Arabic"/>
          <w:noProof w:val="0"/>
          <w:color w:val="auto"/>
          <w:rtl/>
          <w:lang w:eastAsia="en-US"/>
        </w:rPr>
        <w:t xml:space="preserve"> ألا تراهم يسم</w:t>
      </w:r>
      <w:r w:rsidR="007412D7">
        <w:rPr>
          <w:rFonts w:ascii="Traditional Arabic" w:hAnsi="Traditional Arabic" w:hint="cs"/>
          <w:noProof w:val="0"/>
          <w:color w:val="auto"/>
          <w:rtl/>
          <w:lang w:eastAsia="en-US"/>
        </w:rPr>
        <w:t>ُّ</w:t>
      </w:r>
      <w:r w:rsidR="00272836" w:rsidRPr="004F44EB">
        <w:rPr>
          <w:rFonts w:ascii="Traditional Arabic" w:hAnsi="Traditional Arabic"/>
          <w:noProof w:val="0"/>
          <w:color w:val="auto"/>
          <w:rtl/>
          <w:lang w:eastAsia="en-US"/>
        </w:rPr>
        <w:t>ون غلة الأرض والدار والمملوك : خراجا</w:t>
      </w:r>
      <w:r w:rsidR="00272836">
        <w:rPr>
          <w:rFonts w:ascii="Traditional Arabic" w:hAnsi="Traditional Arabic" w:hint="cs"/>
          <w:noProof w:val="0"/>
          <w:rtl/>
          <w:lang w:eastAsia="en-US"/>
        </w:rPr>
        <w:t>)</w:t>
      </w:r>
      <w:r w:rsidR="00272836" w:rsidRPr="00C821A1">
        <w:rPr>
          <w:rStyle w:val="af1"/>
          <w:szCs w:val="32"/>
          <w:rtl/>
        </w:rPr>
        <w:t>(</w:t>
      </w:r>
      <w:r w:rsidR="00272836" w:rsidRPr="00C821A1">
        <w:rPr>
          <w:rStyle w:val="af1"/>
          <w:szCs w:val="32"/>
          <w:rtl/>
        </w:rPr>
        <w:footnoteReference w:id="1379"/>
      </w:r>
      <w:r w:rsidR="00272836" w:rsidRPr="00C821A1">
        <w:rPr>
          <w:rStyle w:val="af1"/>
          <w:szCs w:val="32"/>
          <w:rtl/>
        </w:rPr>
        <w:t>)</w:t>
      </w:r>
      <w:r w:rsidR="00272836">
        <w:rPr>
          <w:rFonts w:ascii="Traditional Arabic" w:hAnsi="Traditional Arabic" w:hint="cs"/>
          <w:noProof w:val="0"/>
          <w:rtl/>
          <w:lang w:eastAsia="en-US"/>
        </w:rPr>
        <w:t>.</w:t>
      </w:r>
    </w:p>
    <w:p w:rsidR="00A929E1" w:rsidRDefault="00065E4B" w:rsidP="00597C20">
      <w:pPr>
        <w:pStyle w:val="53"/>
        <w:rPr>
          <w:rtl/>
        </w:rPr>
      </w:pPr>
      <w:r>
        <w:rPr>
          <w:rFonts w:hint="cs"/>
          <w:rtl/>
        </w:rPr>
        <w:t>ا</w:t>
      </w:r>
      <w:r w:rsidR="00272836">
        <w:rPr>
          <w:rFonts w:hint="cs"/>
          <w:rtl/>
        </w:rPr>
        <w:t>لخراج اصطلاحا:</w:t>
      </w:r>
    </w:p>
    <w:p w:rsidR="00065E4B" w:rsidRDefault="00272836" w:rsidP="00597C20">
      <w:pPr>
        <w:ind w:firstLine="720"/>
        <w:rPr>
          <w:rFonts w:ascii="Traditional Arabic" w:hAnsi="Traditional Arabic"/>
          <w:noProof w:val="0"/>
          <w:rtl/>
          <w:lang w:eastAsia="en-US"/>
        </w:rPr>
      </w:pPr>
      <w:r>
        <w:rPr>
          <w:rFonts w:ascii="Traditional Arabic" w:hAnsi="Traditional Arabic" w:hint="cs"/>
          <w:noProof w:val="0"/>
          <w:rtl/>
          <w:lang w:eastAsia="en-US"/>
        </w:rPr>
        <w:t>لا يختلف تعريف الخراج اصطلاحا عنه في اللغة.</w:t>
      </w:r>
    </w:p>
    <w:p w:rsidR="00065E4B" w:rsidRDefault="00065E4B" w:rsidP="00597C20">
      <w:pPr>
        <w:ind w:firstLine="720"/>
        <w:rPr>
          <w:rFonts w:ascii="Traditional Arabic" w:hAnsi="Traditional Arabic"/>
          <w:noProof w:val="0"/>
          <w:rtl/>
          <w:lang w:eastAsia="en-US"/>
        </w:rPr>
      </w:pPr>
      <w:r>
        <w:rPr>
          <w:rFonts w:ascii="Traditional Arabic" w:hAnsi="Traditional Arabic" w:hint="cs"/>
          <w:noProof w:val="0"/>
          <w:rtl/>
          <w:lang w:eastAsia="en-US"/>
        </w:rPr>
        <w:t>ي</w:t>
      </w:r>
      <w:r w:rsidR="00272836">
        <w:rPr>
          <w:rFonts w:ascii="Traditional Arabic" w:hAnsi="Traditional Arabic" w:hint="cs"/>
          <w:noProof w:val="0"/>
          <w:rtl/>
          <w:lang w:eastAsia="en-US"/>
        </w:rPr>
        <w:t xml:space="preserve">قول  السيوطي </w:t>
      </w:r>
      <w:r w:rsidR="007412D7">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7412D7">
        <w:rPr>
          <w:rFonts w:ascii="Traditional Arabic" w:hAnsi="Traditional Arabic" w:hint="cs"/>
          <w:noProof w:val="0"/>
          <w:rtl/>
          <w:lang w:eastAsia="en-US"/>
        </w:rPr>
        <w:t>_</w:t>
      </w:r>
      <w:r w:rsidR="00272836">
        <w:rPr>
          <w:rFonts w:ascii="Traditional Arabic" w:hAnsi="Traditional Arabic" w:hint="cs"/>
          <w:noProof w:val="0"/>
          <w:rtl/>
          <w:lang w:eastAsia="en-US"/>
        </w:rPr>
        <w:t>: (</w:t>
      </w:r>
      <w:r w:rsidR="00272836" w:rsidRPr="00373DD7">
        <w:rPr>
          <w:rFonts w:ascii="Traditional Arabic" w:hAnsi="Traditional Arabic"/>
          <w:noProof w:val="0"/>
          <w:rtl/>
          <w:lang w:eastAsia="en-US"/>
        </w:rPr>
        <w:t xml:space="preserve">وكذا قال </w:t>
      </w:r>
      <w:r w:rsidR="00272836">
        <w:rPr>
          <w:rFonts w:ascii="Traditional Arabic" w:hAnsi="Traditional Arabic"/>
          <w:noProof w:val="0"/>
          <w:rtl/>
          <w:lang w:eastAsia="en-US"/>
        </w:rPr>
        <w:t>الفقهاء: معناه ما خرج من الشيء</w:t>
      </w:r>
      <w:r w:rsidR="007404BA">
        <w:rPr>
          <w:rFonts w:ascii="Traditional Arabic" w:hAnsi="Traditional Arabic" w:hint="cs"/>
          <w:noProof w:val="0"/>
          <w:rtl/>
          <w:lang w:eastAsia="en-US"/>
        </w:rPr>
        <w:t xml:space="preserve"> </w:t>
      </w:r>
      <w:r w:rsidR="00272836" w:rsidRPr="00373DD7">
        <w:rPr>
          <w:rFonts w:ascii="Traditional Arabic" w:hAnsi="Traditional Arabic"/>
          <w:noProof w:val="0"/>
          <w:rtl/>
          <w:lang w:eastAsia="en-US"/>
        </w:rPr>
        <w:t>من غ</w:t>
      </w:r>
      <w:r w:rsidR="00272836">
        <w:rPr>
          <w:rFonts w:ascii="Traditional Arabic" w:hAnsi="Traditional Arabic" w:hint="cs"/>
          <w:noProof w:val="0"/>
          <w:rtl/>
          <w:lang w:eastAsia="en-US"/>
        </w:rPr>
        <w:t>َ</w:t>
      </w:r>
      <w:r w:rsidR="00272836" w:rsidRPr="00373DD7">
        <w:rPr>
          <w:rFonts w:ascii="Traditional Arabic" w:hAnsi="Traditional Arabic"/>
          <w:noProof w:val="0"/>
          <w:rtl/>
          <w:lang w:eastAsia="en-US"/>
        </w:rPr>
        <w:t>ل</w:t>
      </w:r>
      <w:r w:rsidR="00272836">
        <w:rPr>
          <w:rFonts w:ascii="Traditional Arabic" w:hAnsi="Traditional Arabic" w:hint="cs"/>
          <w:noProof w:val="0"/>
          <w:rtl/>
          <w:lang w:eastAsia="en-US"/>
        </w:rPr>
        <w:t>ّ</w:t>
      </w:r>
      <w:r w:rsidR="00272836" w:rsidRPr="00373DD7">
        <w:rPr>
          <w:rFonts w:ascii="Traditional Arabic" w:hAnsi="Traditional Arabic"/>
          <w:noProof w:val="0"/>
          <w:rtl/>
          <w:lang w:eastAsia="en-US"/>
        </w:rPr>
        <w:t>ة</w:t>
      </w:r>
      <w:r w:rsidR="00272836">
        <w:rPr>
          <w:rFonts w:ascii="Traditional Arabic" w:hAnsi="Traditional Arabic" w:hint="cs"/>
          <w:noProof w:val="0"/>
          <w:rtl/>
          <w:lang w:eastAsia="en-US"/>
        </w:rPr>
        <w:t>ٍ</w:t>
      </w:r>
      <w:r w:rsidR="00B76414">
        <w:rPr>
          <w:rFonts w:ascii="Traditional Arabic" w:hAnsi="Traditional Arabic"/>
          <w:noProof w:val="0"/>
          <w:rtl/>
          <w:lang w:eastAsia="en-US"/>
        </w:rPr>
        <w:t>،</w:t>
      </w:r>
      <w:r w:rsidR="00272836" w:rsidRPr="00373DD7">
        <w:rPr>
          <w:rFonts w:ascii="Traditional Arabic" w:hAnsi="Traditional Arabic"/>
          <w:noProof w:val="0"/>
          <w:rtl/>
          <w:lang w:eastAsia="en-US"/>
        </w:rPr>
        <w:t xml:space="preserve"> ومنفعة</w:t>
      </w:r>
      <w:r w:rsidR="00B76414">
        <w:rPr>
          <w:rFonts w:ascii="Traditional Arabic" w:hAnsi="Traditional Arabic"/>
          <w:noProof w:val="0"/>
          <w:rtl/>
          <w:lang w:eastAsia="en-US"/>
        </w:rPr>
        <w:t>،</w:t>
      </w:r>
      <w:r w:rsidR="00272836" w:rsidRPr="00373DD7">
        <w:rPr>
          <w:rFonts w:ascii="Traditional Arabic" w:hAnsi="Traditional Arabic"/>
          <w:noProof w:val="0"/>
          <w:rtl/>
          <w:lang w:eastAsia="en-US"/>
        </w:rPr>
        <w:t xml:space="preserve"> وعين</w:t>
      </w:r>
      <w:r w:rsidR="00272836">
        <w:rPr>
          <w:rFonts w:ascii="Traditional Arabic" w:hAnsi="Traditional Arabic" w:hint="cs"/>
          <w:noProof w:val="0"/>
          <w:rtl/>
          <w:lang w:eastAsia="en-US"/>
        </w:rPr>
        <w:t>)</w:t>
      </w:r>
      <w:r w:rsidR="00272836" w:rsidRPr="00C821A1">
        <w:rPr>
          <w:rStyle w:val="af1"/>
          <w:szCs w:val="32"/>
          <w:rtl/>
        </w:rPr>
        <w:t>(</w:t>
      </w:r>
      <w:r w:rsidR="00272836" w:rsidRPr="00C821A1">
        <w:rPr>
          <w:rStyle w:val="af1"/>
          <w:szCs w:val="32"/>
          <w:rtl/>
        </w:rPr>
        <w:footnoteReference w:id="1380"/>
      </w:r>
      <w:r w:rsidR="00272836" w:rsidRPr="00C821A1">
        <w:rPr>
          <w:rStyle w:val="af1"/>
          <w:szCs w:val="32"/>
          <w:rtl/>
        </w:rPr>
        <w:t>)</w:t>
      </w:r>
      <w:r w:rsidR="00272836">
        <w:rPr>
          <w:rFonts w:ascii="Traditional Arabic" w:hAnsi="Traditional Arabic" w:hint="cs"/>
          <w:noProof w:val="0"/>
          <w:rtl/>
          <w:lang w:eastAsia="en-US"/>
        </w:rPr>
        <w:t>.</w:t>
      </w:r>
    </w:p>
    <w:p w:rsidR="00065E4B" w:rsidRDefault="00065E4B" w:rsidP="00597C20">
      <w:pPr>
        <w:ind w:firstLine="720"/>
        <w:rPr>
          <w:rFonts w:ascii="Traditional Arabic" w:hAnsi="Traditional Arabic"/>
          <w:noProof w:val="0"/>
          <w:rtl/>
          <w:lang w:eastAsia="en-US"/>
        </w:rPr>
      </w:pPr>
      <w:r>
        <w:rPr>
          <w:rFonts w:ascii="Traditional Arabic" w:hAnsi="Traditional Arabic" w:hint="cs"/>
          <w:noProof w:val="0"/>
          <w:rtl/>
          <w:lang w:eastAsia="en-US"/>
        </w:rPr>
        <w:t>و</w:t>
      </w:r>
      <w:r w:rsidR="00272836">
        <w:rPr>
          <w:rFonts w:ascii="Traditional Arabic" w:hAnsi="Traditional Arabic" w:hint="cs"/>
          <w:noProof w:val="0"/>
          <w:rtl/>
          <w:lang w:eastAsia="en-US"/>
        </w:rPr>
        <w:t xml:space="preserve">عرفه الشيخ ابن عثيمين </w:t>
      </w:r>
      <w:r w:rsidR="007412D7">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7412D7">
        <w:rPr>
          <w:rFonts w:ascii="Traditional Arabic" w:hAnsi="Traditional Arabic" w:hint="cs"/>
          <w:noProof w:val="0"/>
          <w:rtl/>
          <w:lang w:eastAsia="en-US"/>
        </w:rPr>
        <w:t>_</w:t>
      </w:r>
      <w:r w:rsidR="00272836">
        <w:rPr>
          <w:rFonts w:ascii="Traditional Arabic" w:hAnsi="Traditional Arabic" w:hint="cs"/>
          <w:noProof w:val="0"/>
          <w:rtl/>
          <w:lang w:eastAsia="en-US"/>
        </w:rPr>
        <w:t xml:space="preserve"> فقال:</w:t>
      </w:r>
      <w:r w:rsidR="00B76414">
        <w:rPr>
          <w:rFonts w:ascii="Traditional Arabic" w:hAnsi="Traditional Arabic" w:hint="cs"/>
          <w:noProof w:val="0"/>
          <w:rtl/>
          <w:lang w:eastAsia="en-US"/>
        </w:rPr>
        <w:t>(</w:t>
      </w:r>
      <w:r w:rsidR="00272836">
        <w:rPr>
          <w:rFonts w:ascii="Traditional Arabic" w:hAnsi="Traditional Arabic" w:hint="cs"/>
          <w:noProof w:val="0"/>
          <w:rtl/>
          <w:lang w:eastAsia="en-US"/>
        </w:rPr>
        <w:t xml:space="preserve">الخراج هو الغُنْم والكسب وما أَشْبَهَ ذلك، قال الله تعالى: </w:t>
      </w:r>
      <w:bookmarkStart w:id="272" w:name="سورة_المؤمنون_72"/>
      <w:r w:rsidR="00272836" w:rsidRPr="0058485A">
        <w:rPr>
          <w:rFonts w:ascii="QCF_BSML" w:hAnsi="QCF_BSML" w:cs="QCF_BSML"/>
          <w:noProof w:val="0"/>
          <w:rtl/>
          <w:lang w:eastAsia="en-US"/>
        </w:rPr>
        <w:t xml:space="preserve">ﭽ </w:t>
      </w:r>
      <w:r w:rsidR="00272836" w:rsidRPr="0058485A">
        <w:rPr>
          <w:rFonts w:ascii="QCF_P346" w:hAnsi="QCF_P346" w:cs="QCF_P346"/>
          <w:noProof w:val="0"/>
          <w:rtl/>
          <w:lang w:eastAsia="en-US"/>
        </w:rPr>
        <w:t>ﯵﯶﯷﯸﯹﯺ</w:t>
      </w:r>
      <w:r w:rsidR="00272836" w:rsidRPr="0058485A">
        <w:rPr>
          <w:rFonts w:ascii="QCF_P346" w:hAnsi="QCF_P346" w:cs="QCF_P346"/>
          <w:noProof w:val="0"/>
          <w:color w:val="0000A5"/>
          <w:rtl/>
          <w:lang w:eastAsia="en-US"/>
        </w:rPr>
        <w:t>ﯻ</w:t>
      </w:r>
      <w:r w:rsidR="00272836" w:rsidRPr="0058485A">
        <w:rPr>
          <w:rFonts w:ascii="QCF_P346" w:hAnsi="QCF_P346" w:cs="QCF_P346"/>
          <w:noProof w:val="0"/>
          <w:rtl/>
          <w:lang w:eastAsia="en-US"/>
        </w:rPr>
        <w:t>ﯼﯽﯾ</w:t>
      </w:r>
      <w:r w:rsidR="00272836" w:rsidRPr="0058485A">
        <w:rPr>
          <w:rFonts w:ascii="QCF_BSML" w:hAnsi="QCF_BSML" w:cs="QCF_BSML"/>
          <w:noProof w:val="0"/>
          <w:rtl/>
          <w:lang w:eastAsia="en-US"/>
        </w:rPr>
        <w:t>ﭼ</w:t>
      </w:r>
      <w:bookmarkEnd w:id="272"/>
      <w:r w:rsidR="00272836">
        <w:rPr>
          <w:rFonts w:ascii="Traditional Arabic" w:hAnsi="Traditional Arabic" w:hint="cs"/>
          <w:noProof w:val="0"/>
          <w:color w:val="auto"/>
          <w:rtl/>
          <w:lang w:eastAsia="en-US"/>
        </w:rPr>
        <w:t>[</w:t>
      </w:r>
      <w:r w:rsidR="00272836" w:rsidRPr="0058485A">
        <w:rPr>
          <w:rFonts w:ascii="Traditional Arabic" w:hAnsi="Traditional Arabic"/>
          <w:noProof w:val="0"/>
          <w:color w:val="auto"/>
          <w:rtl/>
          <w:lang w:eastAsia="en-US"/>
        </w:rPr>
        <w:t>المؤمنون: ٧٢</w:t>
      </w:r>
      <w:r w:rsidR="00272836">
        <w:rPr>
          <w:rFonts w:ascii="Traditional Arabic" w:hAnsi="Traditional Arabic" w:hint="cs"/>
          <w:noProof w:val="0"/>
          <w:rtl/>
          <w:lang w:eastAsia="en-US"/>
        </w:rPr>
        <w:t>].</w:t>
      </w:r>
    </w:p>
    <w:p w:rsidR="00065E4B" w:rsidRPr="0058485A" w:rsidRDefault="00065E4B" w:rsidP="00597C20">
      <w:pPr>
        <w:ind w:firstLine="720"/>
        <w:rPr>
          <w:rFonts w:ascii="Traditional Arabic" w:hAnsi="Traditional Arabic"/>
          <w:noProof w:val="0"/>
          <w:rtl/>
          <w:lang w:eastAsia="en-US"/>
        </w:rPr>
      </w:pPr>
      <w:r>
        <w:rPr>
          <w:rFonts w:ascii="Traditional Arabic" w:hAnsi="Traditional Arabic" w:hint="cs"/>
          <w:noProof w:val="0"/>
          <w:rtl/>
          <w:lang w:eastAsia="en-US"/>
        </w:rPr>
        <w:lastRenderedPageBreak/>
        <w:t>ف</w:t>
      </w:r>
      <w:r w:rsidR="00272836">
        <w:rPr>
          <w:rFonts w:ascii="Traditional Arabic" w:hAnsi="Traditional Arabic" w:hint="cs"/>
          <w:noProof w:val="0"/>
          <w:rtl/>
          <w:lang w:eastAsia="en-US"/>
        </w:rPr>
        <w:t>خراج الشيء يعني غُنمه ونماؤه وما أشبه ذلك، فخراج الدابة مثلَاً: لبنُها وصوفها وولدها، وخراج النخلة: ثمرتُها وعَسيبُها</w:t>
      </w:r>
      <w:r w:rsidR="00272836" w:rsidRPr="00C821A1">
        <w:rPr>
          <w:rStyle w:val="af1"/>
          <w:szCs w:val="32"/>
          <w:rtl/>
        </w:rPr>
        <w:t>(</w:t>
      </w:r>
      <w:r w:rsidR="00272836" w:rsidRPr="00C821A1">
        <w:rPr>
          <w:rStyle w:val="af1"/>
          <w:szCs w:val="32"/>
          <w:rtl/>
        </w:rPr>
        <w:footnoteReference w:id="1381"/>
      </w:r>
      <w:r w:rsidR="00272836" w:rsidRPr="00C821A1">
        <w:rPr>
          <w:rStyle w:val="af1"/>
          <w:szCs w:val="32"/>
          <w:rtl/>
        </w:rPr>
        <w:t>)</w:t>
      </w:r>
      <w:r w:rsidR="00272836">
        <w:rPr>
          <w:rFonts w:ascii="Traditional Arabic" w:hAnsi="Traditional Arabic" w:hint="cs"/>
          <w:noProof w:val="0"/>
          <w:rtl/>
          <w:lang w:eastAsia="en-US"/>
        </w:rPr>
        <w:t xml:space="preserve"> وفَسيلُها</w:t>
      </w:r>
      <w:r w:rsidR="00272836" w:rsidRPr="00C821A1">
        <w:rPr>
          <w:rStyle w:val="af1"/>
          <w:szCs w:val="32"/>
          <w:rtl/>
        </w:rPr>
        <w:t>(</w:t>
      </w:r>
      <w:r w:rsidR="00272836" w:rsidRPr="00C821A1">
        <w:rPr>
          <w:rStyle w:val="af1"/>
          <w:szCs w:val="32"/>
          <w:rtl/>
        </w:rPr>
        <w:footnoteReference w:id="1382"/>
      </w:r>
      <w:r w:rsidR="00272836" w:rsidRPr="00C821A1">
        <w:rPr>
          <w:rStyle w:val="af1"/>
          <w:szCs w:val="32"/>
          <w:rtl/>
        </w:rPr>
        <w:t>)</w:t>
      </w:r>
      <w:r w:rsidR="00272836">
        <w:rPr>
          <w:rFonts w:ascii="Traditional Arabic" w:hAnsi="Traditional Arabic" w:hint="cs"/>
          <w:noProof w:val="0"/>
          <w:rtl/>
          <w:lang w:eastAsia="en-US"/>
        </w:rPr>
        <w:t>، وخراج العبد: كَسْبُه ومنفعته، وعلى هذا يطَّرد هذا الباب)</w:t>
      </w:r>
      <w:r w:rsidR="00272836" w:rsidRPr="00C821A1">
        <w:rPr>
          <w:rStyle w:val="af1"/>
          <w:szCs w:val="32"/>
          <w:rtl/>
        </w:rPr>
        <w:t>(</w:t>
      </w:r>
      <w:r w:rsidR="00272836" w:rsidRPr="00C821A1">
        <w:rPr>
          <w:rStyle w:val="af1"/>
          <w:szCs w:val="32"/>
          <w:rtl/>
        </w:rPr>
        <w:footnoteReference w:id="1383"/>
      </w:r>
      <w:r w:rsidR="00272836" w:rsidRPr="00C821A1">
        <w:rPr>
          <w:rStyle w:val="af1"/>
          <w:szCs w:val="32"/>
          <w:rtl/>
        </w:rPr>
        <w:t>)</w:t>
      </w:r>
      <w:r w:rsidR="00272836">
        <w:rPr>
          <w:rFonts w:ascii="Traditional Arabic" w:hAnsi="Traditional Arabic" w:hint="cs"/>
          <w:noProof w:val="0"/>
          <w:rtl/>
          <w:lang w:eastAsia="en-US"/>
        </w:rPr>
        <w:t>.</w:t>
      </w:r>
    </w:p>
    <w:p w:rsidR="00065E4B" w:rsidRDefault="00065E4B" w:rsidP="00597C20">
      <w:pPr>
        <w:ind w:firstLine="720"/>
        <w:rPr>
          <w:rtl/>
        </w:rPr>
      </w:pPr>
      <w:r>
        <w:rPr>
          <w:rFonts w:hint="cs"/>
          <w:rtl/>
        </w:rPr>
        <w:t>و</w:t>
      </w:r>
      <w:r w:rsidR="00272836">
        <w:rPr>
          <w:rFonts w:hint="cs"/>
          <w:rtl/>
        </w:rPr>
        <w:t>المقصود بالضمان في هذه القاعدة المؤونة كالإنفاق والمصاريف وتحمُّل التلَف والخسارة والنقص</w:t>
      </w:r>
      <w:r w:rsidR="00272836" w:rsidRPr="00C821A1">
        <w:rPr>
          <w:rStyle w:val="af1"/>
          <w:szCs w:val="32"/>
          <w:rtl/>
        </w:rPr>
        <w:t>(</w:t>
      </w:r>
      <w:r w:rsidR="00272836" w:rsidRPr="00C821A1">
        <w:rPr>
          <w:rStyle w:val="af1"/>
          <w:szCs w:val="32"/>
          <w:rtl/>
        </w:rPr>
        <w:footnoteReference w:id="1384"/>
      </w:r>
      <w:r w:rsidR="00272836" w:rsidRPr="00C821A1">
        <w:rPr>
          <w:rStyle w:val="af1"/>
          <w:szCs w:val="32"/>
          <w:rtl/>
        </w:rPr>
        <w:t>)</w:t>
      </w:r>
      <w:r w:rsidR="00272836">
        <w:rPr>
          <w:rFonts w:hint="cs"/>
          <w:rtl/>
        </w:rPr>
        <w:t>.</w:t>
      </w:r>
    </w:p>
    <w:p w:rsidR="00065E4B" w:rsidRDefault="00065E4B" w:rsidP="00597C20">
      <w:pPr>
        <w:pStyle w:val="53"/>
        <w:rPr>
          <w:rtl/>
        </w:rPr>
      </w:pPr>
      <w:r>
        <w:rPr>
          <w:rFonts w:hint="cs"/>
          <w:rtl/>
        </w:rPr>
        <w:t>م</w:t>
      </w:r>
      <w:r w:rsidR="00272836">
        <w:rPr>
          <w:rFonts w:hint="cs"/>
          <w:rtl/>
        </w:rPr>
        <w:t>عنى القاعدة إجمالا:</w:t>
      </w:r>
    </w:p>
    <w:p w:rsidR="00065E4B" w:rsidRDefault="00065E4B" w:rsidP="00597C20">
      <w:pPr>
        <w:ind w:firstLine="720"/>
        <w:rPr>
          <w:rtl/>
        </w:rPr>
      </w:pPr>
      <w:r>
        <w:rPr>
          <w:rFonts w:hint="cs"/>
          <w:rtl/>
        </w:rPr>
        <w:t>أ</w:t>
      </w:r>
      <w:r w:rsidR="00272836">
        <w:rPr>
          <w:rFonts w:hint="cs"/>
          <w:rtl/>
        </w:rPr>
        <w:t>صل هذه القاعدة حديث نبويٌّ شريف</w:t>
      </w:r>
      <w:r w:rsidR="00272836" w:rsidRPr="00C821A1">
        <w:rPr>
          <w:rStyle w:val="af1"/>
          <w:szCs w:val="32"/>
          <w:rtl/>
        </w:rPr>
        <w:t>(</w:t>
      </w:r>
      <w:r w:rsidR="00272836" w:rsidRPr="00C821A1">
        <w:rPr>
          <w:rStyle w:val="af1"/>
          <w:szCs w:val="32"/>
          <w:rtl/>
        </w:rPr>
        <w:footnoteReference w:id="1385"/>
      </w:r>
      <w:r w:rsidR="00272836" w:rsidRPr="00C821A1">
        <w:rPr>
          <w:rStyle w:val="af1"/>
          <w:szCs w:val="32"/>
          <w:rtl/>
        </w:rPr>
        <w:t>)</w:t>
      </w:r>
      <w:r w:rsidR="00272836">
        <w:rPr>
          <w:rFonts w:hint="cs"/>
          <w:rtl/>
        </w:rPr>
        <w:t xml:space="preserve"> بنى عليه العلماء فروعاً كثيرة، وجعلوه قاعدة فقهيةً</w:t>
      </w:r>
      <w:r w:rsidR="00272836" w:rsidRPr="00C821A1">
        <w:rPr>
          <w:rStyle w:val="af1"/>
          <w:szCs w:val="32"/>
          <w:rtl/>
        </w:rPr>
        <w:t>(</w:t>
      </w:r>
      <w:r w:rsidR="00272836" w:rsidRPr="00C821A1">
        <w:rPr>
          <w:rStyle w:val="af1"/>
          <w:szCs w:val="32"/>
          <w:rtl/>
        </w:rPr>
        <w:footnoteReference w:id="1386"/>
      </w:r>
      <w:r w:rsidR="00272836" w:rsidRPr="00C821A1">
        <w:rPr>
          <w:rStyle w:val="af1"/>
          <w:szCs w:val="32"/>
          <w:rtl/>
        </w:rPr>
        <w:t>)</w:t>
      </w:r>
      <w:r w:rsidR="00272836">
        <w:rPr>
          <w:rFonts w:hint="cs"/>
          <w:rtl/>
        </w:rPr>
        <w:t>.</w:t>
      </w:r>
    </w:p>
    <w:p w:rsidR="00272836" w:rsidRDefault="00065E4B" w:rsidP="00597C20">
      <w:pPr>
        <w:ind w:firstLine="720"/>
        <w:rPr>
          <w:rtl/>
        </w:rPr>
      </w:pPr>
      <w:r>
        <w:rPr>
          <w:rFonts w:hint="cs"/>
          <w:rtl/>
        </w:rPr>
        <w:t>و</w:t>
      </w:r>
      <w:r w:rsidR="00272836">
        <w:rPr>
          <w:rFonts w:hint="cs"/>
          <w:rtl/>
        </w:rPr>
        <w:t>معنى القاعدة أن</w:t>
      </w:r>
      <w:r w:rsidR="00272836" w:rsidRPr="00ED084A">
        <w:rPr>
          <w:rFonts w:ascii="Traditional Arabic" w:hAnsi="Traditional Arabic"/>
          <w:noProof w:val="0"/>
          <w:rtl/>
          <w:lang w:eastAsia="en-US"/>
        </w:rPr>
        <w:t xml:space="preserve">ما خرج من الشيء </w:t>
      </w:r>
      <w:r w:rsidR="00272836">
        <w:rPr>
          <w:rFonts w:ascii="Traditional Arabic" w:hAnsi="Traditional Arabic"/>
          <w:noProof w:val="0"/>
          <w:rtl/>
          <w:lang w:eastAsia="en-US"/>
        </w:rPr>
        <w:t>من عين</w:t>
      </w:r>
      <w:r w:rsidR="00272836">
        <w:rPr>
          <w:rFonts w:ascii="Traditional Arabic" w:hAnsi="Traditional Arabic" w:hint="cs"/>
          <w:noProof w:val="0"/>
          <w:rtl/>
          <w:lang w:eastAsia="en-US"/>
        </w:rPr>
        <w:t>ٍ</w:t>
      </w:r>
      <w:r w:rsidR="00272836">
        <w:rPr>
          <w:rFonts w:ascii="Traditional Arabic" w:hAnsi="Traditional Arabic"/>
          <w:noProof w:val="0"/>
          <w:rtl/>
          <w:lang w:eastAsia="en-US"/>
        </w:rPr>
        <w:t xml:space="preserve"> ومنفعة وغ</w:t>
      </w:r>
      <w:r w:rsidR="00272836">
        <w:rPr>
          <w:rFonts w:ascii="Traditional Arabic" w:hAnsi="Traditional Arabic" w:hint="cs"/>
          <w:noProof w:val="0"/>
          <w:rtl/>
          <w:lang w:eastAsia="en-US"/>
        </w:rPr>
        <w:t>َ</w:t>
      </w:r>
      <w:r w:rsidR="00272836">
        <w:rPr>
          <w:rFonts w:ascii="Traditional Arabic" w:hAnsi="Traditional Arabic"/>
          <w:noProof w:val="0"/>
          <w:rtl/>
          <w:lang w:eastAsia="en-US"/>
        </w:rPr>
        <w:t>ل</w:t>
      </w:r>
      <w:r w:rsidR="00272836">
        <w:rPr>
          <w:rFonts w:ascii="Traditional Arabic" w:hAnsi="Traditional Arabic" w:hint="cs"/>
          <w:noProof w:val="0"/>
          <w:rtl/>
          <w:lang w:eastAsia="en-US"/>
        </w:rPr>
        <w:t>َّ</w:t>
      </w:r>
      <w:r w:rsidR="00272836">
        <w:rPr>
          <w:rFonts w:ascii="Traditional Arabic" w:hAnsi="Traditional Arabic"/>
          <w:noProof w:val="0"/>
          <w:rtl/>
          <w:lang w:eastAsia="en-US"/>
        </w:rPr>
        <w:t>ة</w:t>
      </w:r>
      <w:r w:rsidR="00272836" w:rsidRPr="00ED084A">
        <w:rPr>
          <w:rFonts w:ascii="Traditional Arabic" w:hAnsi="Traditional Arabic"/>
          <w:noProof w:val="0"/>
          <w:rtl/>
          <w:lang w:eastAsia="en-US"/>
        </w:rPr>
        <w:t xml:space="preserve"> فهو للمشتري ع</w:t>
      </w:r>
      <w:r w:rsidR="00272836">
        <w:rPr>
          <w:rFonts w:ascii="Traditional Arabic" w:hAnsi="Traditional Arabic" w:hint="cs"/>
          <w:noProof w:val="0"/>
          <w:rtl/>
          <w:lang w:eastAsia="en-US"/>
        </w:rPr>
        <w:t>ِ</w:t>
      </w:r>
      <w:r w:rsidR="00272836" w:rsidRPr="00ED084A">
        <w:rPr>
          <w:rFonts w:ascii="Traditional Arabic" w:hAnsi="Traditional Arabic"/>
          <w:noProof w:val="0"/>
          <w:rtl/>
          <w:lang w:eastAsia="en-US"/>
        </w:rPr>
        <w:t>و</w:t>
      </w:r>
      <w:r w:rsidR="00272836">
        <w:rPr>
          <w:rFonts w:ascii="Traditional Arabic" w:hAnsi="Traditional Arabic" w:hint="cs"/>
          <w:noProof w:val="0"/>
          <w:rtl/>
          <w:lang w:eastAsia="en-US"/>
        </w:rPr>
        <w:t>َ</w:t>
      </w:r>
      <w:r w:rsidR="00272836" w:rsidRPr="00ED084A">
        <w:rPr>
          <w:rFonts w:ascii="Traditional Arabic" w:hAnsi="Traditional Arabic"/>
          <w:noProof w:val="0"/>
          <w:rtl/>
          <w:lang w:eastAsia="en-US"/>
        </w:rPr>
        <w:t>ض</w:t>
      </w:r>
      <w:r w:rsidR="00272836">
        <w:rPr>
          <w:rFonts w:ascii="Traditional Arabic" w:hAnsi="Traditional Arabic" w:hint="cs"/>
          <w:noProof w:val="0"/>
          <w:rtl/>
          <w:lang w:eastAsia="en-US"/>
        </w:rPr>
        <w:t>َ</w:t>
      </w:r>
      <w:r w:rsidR="00272836" w:rsidRPr="00ED084A">
        <w:rPr>
          <w:rFonts w:ascii="Traditional Arabic" w:hAnsi="Traditional Arabic"/>
          <w:noProof w:val="0"/>
          <w:rtl/>
          <w:lang w:eastAsia="en-US"/>
        </w:rPr>
        <w:t xml:space="preserve"> ما كان عليه من ضمان</w:t>
      </w:r>
      <w:r w:rsidR="00272836">
        <w:rPr>
          <w:rFonts w:ascii="Traditional Arabic" w:hAnsi="Traditional Arabic" w:hint="cs"/>
          <w:noProof w:val="0"/>
          <w:rtl/>
          <w:lang w:eastAsia="en-US"/>
        </w:rPr>
        <w:t>ِ</w:t>
      </w:r>
      <w:r w:rsidR="00272836" w:rsidRPr="00ED084A">
        <w:rPr>
          <w:rFonts w:ascii="Traditional Arabic" w:hAnsi="Traditional Arabic"/>
          <w:noProof w:val="0"/>
          <w:rtl/>
          <w:lang w:eastAsia="en-US"/>
        </w:rPr>
        <w:t xml:space="preserve"> المل</w:t>
      </w:r>
      <w:r w:rsidR="007412D7">
        <w:rPr>
          <w:rFonts w:ascii="Traditional Arabic" w:hAnsi="Traditional Arabic" w:hint="cs"/>
          <w:noProof w:val="0"/>
          <w:rtl/>
          <w:lang w:eastAsia="en-US"/>
        </w:rPr>
        <w:t>ْ</w:t>
      </w:r>
      <w:r w:rsidR="00272836" w:rsidRPr="00ED084A">
        <w:rPr>
          <w:rFonts w:ascii="Traditional Arabic" w:hAnsi="Traditional Arabic"/>
          <w:noProof w:val="0"/>
          <w:rtl/>
          <w:lang w:eastAsia="en-US"/>
        </w:rPr>
        <w:t>ك، فإنه لو تل</w:t>
      </w:r>
      <w:r w:rsidR="00272836">
        <w:rPr>
          <w:rFonts w:ascii="Traditional Arabic" w:hAnsi="Traditional Arabic" w:hint="cs"/>
          <w:noProof w:val="0"/>
          <w:rtl/>
          <w:lang w:eastAsia="en-US"/>
        </w:rPr>
        <w:t>ِ</w:t>
      </w:r>
      <w:r w:rsidR="00272836" w:rsidRPr="00ED084A">
        <w:rPr>
          <w:rFonts w:ascii="Traditional Arabic" w:hAnsi="Traditional Arabic"/>
          <w:noProof w:val="0"/>
          <w:rtl/>
          <w:lang w:eastAsia="en-US"/>
        </w:rPr>
        <w:t>ف المبيع كان من ضمانه، فالغلة له، ليكون الغ</w:t>
      </w:r>
      <w:r w:rsidR="00272836">
        <w:rPr>
          <w:rFonts w:ascii="Traditional Arabic" w:hAnsi="Traditional Arabic" w:hint="cs"/>
          <w:noProof w:val="0"/>
          <w:rtl/>
          <w:lang w:eastAsia="en-US"/>
        </w:rPr>
        <w:t>ُ</w:t>
      </w:r>
      <w:r w:rsidR="00272836" w:rsidRPr="00ED084A">
        <w:rPr>
          <w:rFonts w:ascii="Traditional Arabic" w:hAnsi="Traditional Arabic"/>
          <w:noProof w:val="0"/>
          <w:rtl/>
          <w:lang w:eastAsia="en-US"/>
        </w:rPr>
        <w:t>نم في مقابلة الغرم</w:t>
      </w:r>
      <w:r w:rsidR="00272836" w:rsidRPr="00C821A1">
        <w:rPr>
          <w:rStyle w:val="af1"/>
          <w:szCs w:val="32"/>
          <w:rtl/>
        </w:rPr>
        <w:t>(</w:t>
      </w:r>
      <w:r w:rsidR="00272836" w:rsidRPr="00C821A1">
        <w:rPr>
          <w:rStyle w:val="af1"/>
          <w:szCs w:val="32"/>
          <w:rtl/>
        </w:rPr>
        <w:footnoteReference w:id="1387"/>
      </w:r>
      <w:r w:rsidR="00272836" w:rsidRPr="00C821A1">
        <w:rPr>
          <w:rStyle w:val="af1"/>
          <w:szCs w:val="32"/>
          <w:rtl/>
        </w:rPr>
        <w:t>)</w:t>
      </w:r>
      <w:r w:rsidR="00272836">
        <w:rPr>
          <w:rFonts w:ascii="Traditional Arabic" w:hAnsi="Traditional Arabic" w:hint="cs"/>
          <w:noProof w:val="0"/>
          <w:rtl/>
          <w:lang w:eastAsia="en-US"/>
        </w:rPr>
        <w:t>، ف</w:t>
      </w:r>
      <w:r w:rsidR="00272836" w:rsidRPr="00ED084A">
        <w:rPr>
          <w:rFonts w:ascii="Traditional Arabic" w:hAnsi="Traditional Arabic"/>
          <w:noProof w:val="0"/>
          <w:rtl/>
          <w:lang w:eastAsia="en-US"/>
        </w:rPr>
        <w:t>من</w:t>
      </w:r>
      <w:r w:rsidR="007412D7">
        <w:rPr>
          <w:rFonts w:ascii="Traditional Arabic" w:hAnsi="Traditional Arabic" w:hint="cs"/>
          <w:noProof w:val="0"/>
          <w:rtl/>
          <w:lang w:eastAsia="en-US"/>
        </w:rPr>
        <w:t xml:space="preserve"> </w:t>
      </w:r>
      <w:r w:rsidR="00272836">
        <w:rPr>
          <w:rFonts w:ascii="Traditional Arabic" w:hAnsi="Traditional Arabic" w:hint="cs"/>
          <w:noProof w:val="0"/>
          <w:rtl/>
          <w:lang w:eastAsia="en-US"/>
        </w:rPr>
        <w:t xml:space="preserve">كان </w:t>
      </w:r>
      <w:r w:rsidR="00272836" w:rsidRPr="006059FD">
        <w:rPr>
          <w:rFonts w:ascii="Traditional Arabic" w:hAnsi="Traditional Arabic"/>
          <w:noProof w:val="0"/>
          <w:rtl/>
          <w:lang w:eastAsia="en-US"/>
        </w:rPr>
        <w:t>له ر</w:t>
      </w:r>
      <w:r w:rsidR="00272836">
        <w:rPr>
          <w:rFonts w:ascii="Traditional Arabic" w:hAnsi="Traditional Arabic" w:hint="cs"/>
          <w:noProof w:val="0"/>
          <w:rtl/>
          <w:lang w:eastAsia="en-US"/>
        </w:rPr>
        <w:t>ِ</w:t>
      </w:r>
      <w:r w:rsidR="00272836" w:rsidRPr="006059FD">
        <w:rPr>
          <w:rFonts w:ascii="Traditional Arabic" w:hAnsi="Traditional Arabic"/>
          <w:noProof w:val="0"/>
          <w:rtl/>
          <w:lang w:eastAsia="en-US"/>
        </w:rPr>
        <w:t>ب</w:t>
      </w:r>
      <w:r w:rsidR="00272836">
        <w:rPr>
          <w:rFonts w:ascii="Traditional Arabic" w:hAnsi="Traditional Arabic" w:hint="cs"/>
          <w:noProof w:val="0"/>
          <w:rtl/>
          <w:lang w:eastAsia="en-US"/>
        </w:rPr>
        <w:t>ْ</w:t>
      </w:r>
      <w:r w:rsidR="00272836" w:rsidRPr="006059FD">
        <w:rPr>
          <w:rFonts w:ascii="Traditional Arabic" w:hAnsi="Traditional Arabic"/>
          <w:noProof w:val="0"/>
          <w:rtl/>
          <w:lang w:eastAsia="en-US"/>
        </w:rPr>
        <w:t>ح</w:t>
      </w:r>
      <w:r w:rsidR="00272836">
        <w:rPr>
          <w:rFonts w:ascii="Traditional Arabic" w:hAnsi="Traditional Arabic" w:hint="cs"/>
          <w:noProof w:val="0"/>
          <w:rtl/>
          <w:lang w:eastAsia="en-US"/>
        </w:rPr>
        <w:t>ُ</w:t>
      </w:r>
      <w:r w:rsidR="00272836" w:rsidRPr="006059FD">
        <w:rPr>
          <w:rFonts w:ascii="Traditional Arabic" w:hAnsi="Traditional Arabic"/>
          <w:noProof w:val="0"/>
          <w:rtl/>
          <w:lang w:eastAsia="en-US"/>
        </w:rPr>
        <w:t xml:space="preserve"> شيء</w:t>
      </w:r>
      <w:r w:rsidR="00272836">
        <w:rPr>
          <w:rFonts w:ascii="Traditional Arabic" w:hAnsi="Traditional Arabic" w:hint="cs"/>
          <w:noProof w:val="0"/>
          <w:rtl/>
          <w:lang w:eastAsia="en-US"/>
        </w:rPr>
        <w:t>ٍ</w:t>
      </w:r>
      <w:r w:rsidR="00272836" w:rsidRPr="006059FD">
        <w:rPr>
          <w:rFonts w:ascii="Traditional Arabic" w:hAnsi="Traditional Arabic"/>
          <w:noProof w:val="0"/>
          <w:rtl/>
          <w:lang w:eastAsia="en-US"/>
        </w:rPr>
        <w:t xml:space="preserve"> فعليه خسارت</w:t>
      </w:r>
      <w:r w:rsidR="007412D7">
        <w:rPr>
          <w:rFonts w:ascii="Traditional Arabic" w:hAnsi="Traditional Arabic" w:hint="cs"/>
          <w:noProof w:val="0"/>
          <w:rtl/>
          <w:lang w:eastAsia="en-US"/>
        </w:rPr>
        <w:t>ُ</w:t>
      </w:r>
      <w:r w:rsidR="00272836" w:rsidRPr="006059FD">
        <w:rPr>
          <w:rFonts w:ascii="Traditional Arabic" w:hAnsi="Traditional Arabic"/>
          <w:noProof w:val="0"/>
          <w:rtl/>
          <w:lang w:eastAsia="en-US"/>
        </w:rPr>
        <w:t>ه</w:t>
      </w:r>
      <w:r w:rsidR="00272836" w:rsidRPr="00C821A1">
        <w:rPr>
          <w:rStyle w:val="af1"/>
          <w:szCs w:val="32"/>
          <w:rtl/>
        </w:rPr>
        <w:t>(</w:t>
      </w:r>
      <w:r w:rsidR="00272836" w:rsidRPr="00C821A1">
        <w:rPr>
          <w:rStyle w:val="af1"/>
          <w:szCs w:val="32"/>
          <w:rtl/>
        </w:rPr>
        <w:footnoteReference w:id="1388"/>
      </w:r>
      <w:r w:rsidR="00272836" w:rsidRPr="00C821A1">
        <w:rPr>
          <w:rStyle w:val="af1"/>
          <w:szCs w:val="32"/>
          <w:rtl/>
        </w:rPr>
        <w:t>)</w:t>
      </w:r>
      <w:r w:rsidR="00272836">
        <w:rPr>
          <w:rFonts w:hint="cs"/>
          <w:rtl/>
        </w:rPr>
        <w:t>.</w:t>
      </w:r>
    </w:p>
    <w:p w:rsidR="00272836" w:rsidRPr="00272836" w:rsidRDefault="00FB54E9" w:rsidP="00A8347C">
      <w:pPr>
        <w:pStyle w:val="aff3"/>
        <w:rPr>
          <w:rtl/>
        </w:rPr>
      </w:pPr>
      <w:bookmarkStart w:id="273" w:name="_Toc334046490"/>
      <w:r>
        <w:rPr>
          <w:rFonts w:hint="cs"/>
          <w:rtl/>
        </w:rPr>
        <w:lastRenderedPageBreak/>
        <w:t xml:space="preserve">                                        المطلب</w:t>
      </w:r>
      <w:r w:rsidR="007412D7">
        <w:rPr>
          <w:rFonts w:hint="cs"/>
          <w:rtl/>
        </w:rPr>
        <w:t xml:space="preserve"> </w:t>
      </w:r>
      <w:r w:rsidR="00272836" w:rsidRPr="00272836">
        <w:rPr>
          <w:rFonts w:hint="cs"/>
          <w:rtl/>
        </w:rPr>
        <w:t>الثالث</w:t>
      </w:r>
      <w:r w:rsidR="00272836">
        <w:rPr>
          <w:rFonts w:hint="eastAsia"/>
          <w:rtl/>
        </w:rPr>
        <w:t> :</w:t>
      </w:r>
      <w:r w:rsidR="00272836">
        <w:rPr>
          <w:rFonts w:hint="cs"/>
          <w:rtl/>
        </w:rPr>
        <w:br/>
      </w:r>
      <w:r>
        <w:rPr>
          <w:rFonts w:hint="cs"/>
          <w:rtl/>
        </w:rPr>
        <w:t xml:space="preserve">                                      </w:t>
      </w:r>
      <w:r w:rsidR="007412D7">
        <w:rPr>
          <w:rFonts w:hint="cs"/>
          <w:rtl/>
        </w:rPr>
        <w:t xml:space="preserve">    </w:t>
      </w:r>
      <w:r w:rsidR="00272836" w:rsidRPr="00272836">
        <w:rPr>
          <w:rFonts w:hint="cs"/>
          <w:rtl/>
        </w:rPr>
        <w:t>أدلة القاعدة</w:t>
      </w:r>
      <w:bookmarkEnd w:id="273"/>
    </w:p>
    <w:p w:rsidR="00272836" w:rsidRDefault="00272836" w:rsidP="000A76C7">
      <w:pPr>
        <w:pStyle w:val="afc"/>
        <w:numPr>
          <w:ilvl w:val="0"/>
          <w:numId w:val="185"/>
        </w:numPr>
      </w:pPr>
      <w:r>
        <w:rPr>
          <w:rFonts w:hint="cs"/>
          <w:rtl/>
        </w:rPr>
        <w:t xml:space="preserve">حديث عائشة </w:t>
      </w:r>
      <w:r w:rsidR="007412D7">
        <w:rPr>
          <w:rFonts w:hint="cs"/>
          <w:rtl/>
        </w:rPr>
        <w:t>_</w:t>
      </w:r>
      <w:r w:rsidR="00154102">
        <w:rPr>
          <w:rFonts w:ascii="Traditional Arabic" w:hAnsi="Traditional Arabic" w:cs="CTraditional Arabic" w:hint="cs"/>
          <w:noProof w:val="0"/>
          <w:color w:val="auto"/>
          <w:rtl/>
          <w:lang w:eastAsia="en-US"/>
        </w:rPr>
        <w:t>ل</w:t>
      </w:r>
      <w:r w:rsidR="007412D7">
        <w:rPr>
          <w:rFonts w:hint="cs"/>
          <w:rtl/>
        </w:rPr>
        <w:t>_</w:t>
      </w:r>
      <w:r>
        <w:rPr>
          <w:rFonts w:hint="cs"/>
          <w:rtl/>
        </w:rPr>
        <w:t xml:space="preserve"> عن النبي </w:t>
      </w:r>
      <w:r w:rsidR="00FB54E9">
        <w:rPr>
          <w:rFonts w:ascii="Traditional Arabic" w:hAnsi="Traditional Arabic" w:hint="cs"/>
          <w:rtl/>
        </w:rPr>
        <w:t>صلى الله عليه وسلم</w:t>
      </w:r>
      <w:r>
        <w:rPr>
          <w:rFonts w:hint="cs"/>
          <w:rtl/>
        </w:rPr>
        <w:t xml:space="preserve"> قال:"الخراج بالضمان</w:t>
      </w:r>
      <w:r w:rsidR="00AB0B9E">
        <w:rPr>
          <w:rtl/>
        </w:rPr>
        <w:fldChar w:fldCharType="begin"/>
      </w:r>
      <w:r w:rsidR="002739B8" w:rsidRPr="00C85F0F">
        <w:instrText>XE</w:instrText>
      </w:r>
      <w:r w:rsidR="002739B8" w:rsidRPr="00C85F0F">
        <w:rPr>
          <w:rtl/>
        </w:rPr>
        <w:instrText xml:space="preserve"> "</w:instrText>
      </w:r>
      <w:r w:rsidR="002739B8" w:rsidRPr="00C85F0F">
        <w:rPr>
          <w:rFonts w:hint="cs"/>
          <w:rtl/>
        </w:rPr>
        <w:instrText>الخراج بالضمان</w:instrText>
      </w:r>
      <w:r w:rsidR="002739B8" w:rsidRPr="00C85F0F">
        <w:rPr>
          <w:rtl/>
        </w:rPr>
        <w:instrText>" \</w:instrText>
      </w:r>
      <w:r w:rsidR="002739B8" w:rsidRPr="00C85F0F">
        <w:instrText>f</w:instrText>
      </w:r>
      <w:r w:rsidR="002739B8">
        <w:instrText>h</w:instrText>
      </w:r>
      <w:r w:rsidR="00AB0B9E">
        <w:rPr>
          <w:rtl/>
        </w:rPr>
        <w:fldChar w:fldCharType="end"/>
      </w:r>
      <w:r>
        <w:rPr>
          <w:rFonts w:hint="cs"/>
          <w:rtl/>
        </w:rPr>
        <w:t>"</w:t>
      </w:r>
      <w:r w:rsidRPr="00C821A1">
        <w:rPr>
          <w:rStyle w:val="af1"/>
          <w:szCs w:val="32"/>
          <w:rtl/>
        </w:rPr>
        <w:t>(</w:t>
      </w:r>
      <w:r w:rsidRPr="00C821A1">
        <w:rPr>
          <w:rStyle w:val="af1"/>
          <w:szCs w:val="32"/>
          <w:rtl/>
        </w:rPr>
        <w:footnoteReference w:id="1389"/>
      </w:r>
      <w:r w:rsidRPr="00C821A1">
        <w:rPr>
          <w:rStyle w:val="af1"/>
          <w:szCs w:val="32"/>
          <w:rtl/>
        </w:rPr>
        <w:t>)</w:t>
      </w:r>
      <w:r>
        <w:rPr>
          <w:rFonts w:hint="cs"/>
          <w:rtl/>
        </w:rPr>
        <w:t>.</w:t>
      </w:r>
    </w:p>
    <w:p w:rsidR="00272836" w:rsidRDefault="00272836" w:rsidP="000A76C7">
      <w:pPr>
        <w:pStyle w:val="afc"/>
        <w:numPr>
          <w:ilvl w:val="0"/>
          <w:numId w:val="185"/>
        </w:numPr>
      </w:pPr>
      <w:r>
        <w:rPr>
          <w:rFonts w:hint="cs"/>
          <w:rtl/>
        </w:rPr>
        <w:t xml:space="preserve">حديث أبي هريرة </w:t>
      </w:r>
      <w:r w:rsidR="007412D7">
        <w:rPr>
          <w:rFonts w:hint="cs"/>
          <w:rtl/>
        </w:rPr>
        <w:t>_</w:t>
      </w:r>
      <w:r w:rsidR="009A0575">
        <w:rPr>
          <w:rFonts w:ascii="Traditional Arabic" w:hAnsi="Traditional Arabic" w:cs="CTraditional Arabic" w:hint="cs"/>
          <w:rtl/>
        </w:rPr>
        <w:t>ا</w:t>
      </w:r>
      <w:r w:rsidR="007412D7">
        <w:rPr>
          <w:rFonts w:hint="cs"/>
          <w:rtl/>
        </w:rPr>
        <w:t>_</w:t>
      </w:r>
      <w:r>
        <w:rPr>
          <w:rFonts w:hint="cs"/>
          <w:rtl/>
        </w:rPr>
        <w:t xml:space="preserve"> قال: قال رسول الله </w:t>
      </w:r>
      <w:r w:rsidR="00FB54E9">
        <w:rPr>
          <w:rFonts w:ascii="Traditional Arabic" w:hAnsi="Traditional Arabic" w:hint="cs"/>
          <w:rtl/>
        </w:rPr>
        <w:t>صلى الله عليه وسلم</w:t>
      </w:r>
      <w:r>
        <w:rPr>
          <w:rFonts w:hint="cs"/>
          <w:rtl/>
        </w:rPr>
        <w:t>: "</w:t>
      </w:r>
      <w:r w:rsidRPr="00702883">
        <w:rPr>
          <w:rFonts w:ascii="Traditional Arabic" w:hAnsi="Traditional Arabic"/>
          <w:noProof w:val="0"/>
          <w:color w:val="auto"/>
          <w:rtl/>
          <w:lang w:eastAsia="en-US"/>
        </w:rPr>
        <w:t>لا ي</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غ</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ق</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 xml:space="preserve"> الرهن</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 xml:space="preserve"> من صاح</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به الذي ر</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ه</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نه</w:t>
      </w:r>
      <w:r w:rsidR="00B76414">
        <w:rPr>
          <w:rFonts w:ascii="Traditional Arabic" w:hAnsi="Traditional Arabic"/>
          <w:noProof w:val="0"/>
          <w:color w:val="auto"/>
          <w:rtl/>
          <w:lang w:eastAsia="en-US"/>
        </w:rPr>
        <w:t>،</w:t>
      </w:r>
      <w:r w:rsidRPr="00702883">
        <w:rPr>
          <w:rFonts w:ascii="Traditional Arabic" w:hAnsi="Traditional Arabic"/>
          <w:noProof w:val="0"/>
          <w:color w:val="auto"/>
          <w:rtl/>
          <w:lang w:eastAsia="en-US"/>
        </w:rPr>
        <w:t xml:space="preserve"> له غ</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ن</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مه</w:t>
      </w:r>
      <w:r w:rsidR="00B76414">
        <w:rPr>
          <w:rFonts w:ascii="Traditional Arabic" w:hAnsi="Traditional Arabic"/>
          <w:noProof w:val="0"/>
          <w:color w:val="auto"/>
          <w:rtl/>
          <w:lang w:eastAsia="en-US"/>
        </w:rPr>
        <w:t>،</w:t>
      </w:r>
      <w:r w:rsidRPr="00702883">
        <w:rPr>
          <w:rFonts w:ascii="Traditional Arabic" w:hAnsi="Traditional Arabic"/>
          <w:noProof w:val="0"/>
          <w:color w:val="auto"/>
          <w:rtl/>
          <w:lang w:eastAsia="en-US"/>
        </w:rPr>
        <w:t xml:space="preserve"> وعليه غ</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ر</w:t>
      </w:r>
      <w:r>
        <w:rPr>
          <w:rFonts w:ascii="Traditional Arabic" w:hAnsi="Traditional Arabic" w:hint="cs"/>
          <w:noProof w:val="0"/>
          <w:color w:val="auto"/>
          <w:rtl/>
          <w:lang w:eastAsia="en-US"/>
        </w:rPr>
        <w:t>ْ</w:t>
      </w:r>
      <w:r w:rsidRPr="00702883">
        <w:rPr>
          <w:rFonts w:ascii="Traditional Arabic" w:hAnsi="Traditional Arabic"/>
          <w:noProof w:val="0"/>
          <w:color w:val="auto"/>
          <w:rtl/>
          <w:lang w:eastAsia="en-US"/>
        </w:rPr>
        <w:t>مه</w:t>
      </w:r>
      <w:r w:rsidR="00AB0B9E">
        <w:rPr>
          <w:rFonts w:ascii="Traditional Arabic" w:hAnsi="Traditional Arabic"/>
          <w:noProof w:val="0"/>
          <w:color w:val="auto"/>
          <w:rtl/>
          <w:lang w:eastAsia="en-US"/>
        </w:rPr>
        <w:fldChar w:fldCharType="begin"/>
      </w:r>
      <w:r w:rsidR="002739B8" w:rsidRPr="00C85F0F">
        <w:instrText>XE</w:instrText>
      </w:r>
      <w:r w:rsidR="002739B8" w:rsidRPr="00C85F0F">
        <w:rPr>
          <w:rtl/>
        </w:rPr>
        <w:instrText xml:space="preserve"> "</w:instrText>
      </w:r>
      <w:r w:rsidR="002739B8" w:rsidRPr="00C85F0F">
        <w:rPr>
          <w:rFonts w:ascii="Traditional Arabic" w:hAnsi="Traditional Arabic"/>
          <w:noProof w:val="0"/>
          <w:color w:val="auto"/>
          <w:rtl/>
          <w:lang w:eastAsia="en-US"/>
        </w:rPr>
        <w:instrText>لا ي</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غ</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ل</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ق</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 xml:space="preserve"> الرهن</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 xml:space="preserve"> من صاح</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به الذي ر</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ه</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نه، له غ</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ن</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مه، وعليه غ</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ر</w:instrText>
      </w:r>
      <w:r w:rsidR="002739B8" w:rsidRPr="00C85F0F">
        <w:rPr>
          <w:rFonts w:ascii="Traditional Arabic" w:hAnsi="Traditional Arabic" w:hint="cs"/>
          <w:noProof w:val="0"/>
          <w:color w:val="auto"/>
          <w:rtl/>
          <w:lang w:eastAsia="en-US"/>
        </w:rPr>
        <w:instrText>ْ</w:instrText>
      </w:r>
      <w:r w:rsidR="002739B8" w:rsidRPr="00C85F0F">
        <w:rPr>
          <w:rFonts w:ascii="Traditional Arabic" w:hAnsi="Traditional Arabic"/>
          <w:noProof w:val="0"/>
          <w:color w:val="auto"/>
          <w:rtl/>
          <w:lang w:eastAsia="en-US"/>
        </w:rPr>
        <w:instrText>مه</w:instrText>
      </w:r>
      <w:r w:rsidR="002739B8" w:rsidRPr="00C85F0F">
        <w:rPr>
          <w:rtl/>
        </w:rPr>
        <w:instrText>" \</w:instrText>
      </w:r>
      <w:r w:rsidR="002739B8" w:rsidRPr="00C85F0F">
        <w:instrText>f</w:instrText>
      </w:r>
      <w:r w:rsidR="002739B8">
        <w:instrText>h</w:instrText>
      </w:r>
      <w:r w:rsidR="00AB0B9E">
        <w:rPr>
          <w:rFonts w:ascii="Traditional Arabic" w:hAnsi="Traditional Arabic"/>
          <w:noProof w:val="0"/>
          <w:color w:val="auto"/>
          <w:rtl/>
          <w:lang w:eastAsia="en-US"/>
        </w:rPr>
        <w:fldChar w:fldCharType="end"/>
      </w:r>
      <w:r>
        <w:rPr>
          <w:rFonts w:hint="cs"/>
          <w:rtl/>
        </w:rPr>
        <w:t>"</w:t>
      </w:r>
      <w:r w:rsidRPr="00C821A1">
        <w:rPr>
          <w:rStyle w:val="af1"/>
          <w:szCs w:val="32"/>
          <w:rtl/>
        </w:rPr>
        <w:t>(</w:t>
      </w:r>
      <w:r w:rsidRPr="00C821A1">
        <w:rPr>
          <w:rStyle w:val="af1"/>
          <w:szCs w:val="32"/>
          <w:rtl/>
        </w:rPr>
        <w:footnoteReference w:id="1390"/>
      </w:r>
      <w:r w:rsidRPr="00C821A1">
        <w:rPr>
          <w:rStyle w:val="af1"/>
          <w:szCs w:val="32"/>
          <w:rtl/>
        </w:rPr>
        <w:t>)</w:t>
      </w:r>
      <w:r>
        <w:rPr>
          <w:rFonts w:hint="cs"/>
          <w:rtl/>
        </w:rPr>
        <w:t>.</w:t>
      </w:r>
    </w:p>
    <w:p w:rsidR="00272836" w:rsidRDefault="00272836" w:rsidP="00597C20">
      <w:pPr>
        <w:pStyle w:val="53"/>
        <w:rPr>
          <w:rtl/>
        </w:rPr>
      </w:pPr>
      <w:r>
        <w:rPr>
          <w:rFonts w:hint="cs"/>
          <w:rtl/>
        </w:rPr>
        <w:t>وجه الدلالة:</w:t>
      </w:r>
    </w:p>
    <w:p w:rsidR="00272836" w:rsidRDefault="00272836" w:rsidP="00597C20">
      <w:pPr>
        <w:ind w:firstLine="720"/>
        <w:rPr>
          <w:rtl/>
        </w:rPr>
      </w:pPr>
      <w:r w:rsidRPr="00120D77">
        <w:rPr>
          <w:rFonts w:hint="cs"/>
          <w:rtl/>
        </w:rPr>
        <w:t>معنى الحديث أنه لا يُمنع الرهن من صاحبه</w:t>
      </w:r>
      <w:r>
        <w:rPr>
          <w:rFonts w:hint="cs"/>
          <w:rtl/>
        </w:rPr>
        <w:t xml:space="preserve"> كأن يأخذ المرتهن الرهنَ ويستغلَّ</w:t>
      </w:r>
      <w:r w:rsidR="00FB54E9">
        <w:rPr>
          <w:rFonts w:hint="cs"/>
          <w:rtl/>
        </w:rPr>
        <w:t xml:space="preserve"> </w:t>
      </w:r>
      <w:r>
        <w:rPr>
          <w:rFonts w:hint="cs"/>
          <w:rtl/>
        </w:rPr>
        <w:t>منافعه</w:t>
      </w:r>
      <w:r w:rsidR="00FB54E9">
        <w:rPr>
          <w:rFonts w:hint="cs"/>
          <w:rtl/>
        </w:rPr>
        <w:t xml:space="preserve"> </w:t>
      </w:r>
      <w:r>
        <w:rPr>
          <w:rFonts w:hint="cs"/>
          <w:rtl/>
        </w:rPr>
        <w:t>ولا يكون للراهن من منافع الرهن شيء، أو يتملَّكه إذا انتهى الأجل ولم يوفِّه الراهن دَينَه.</w:t>
      </w:r>
    </w:p>
    <w:p w:rsidR="00272836" w:rsidRDefault="00272836" w:rsidP="00597C20">
      <w:pPr>
        <w:ind w:firstLine="720"/>
        <w:rPr>
          <w:rtl/>
        </w:rPr>
      </w:pPr>
      <w:r>
        <w:rPr>
          <w:rFonts w:hint="cs"/>
          <w:rtl/>
        </w:rPr>
        <w:t>ومن فوائد</w:t>
      </w:r>
      <w:r w:rsidR="007404BA">
        <w:rPr>
          <w:rFonts w:hint="cs"/>
          <w:rtl/>
        </w:rPr>
        <w:t>ه:</w:t>
      </w:r>
      <w:r>
        <w:rPr>
          <w:rFonts w:hint="cs"/>
          <w:rtl/>
        </w:rPr>
        <w:t xml:space="preserve"> الإشارة</w:t>
      </w:r>
      <w:r w:rsidR="007404BA">
        <w:rPr>
          <w:rFonts w:hint="cs"/>
          <w:rtl/>
        </w:rPr>
        <w:t>ُ</w:t>
      </w:r>
      <w:r>
        <w:rPr>
          <w:rFonts w:hint="cs"/>
          <w:rtl/>
        </w:rPr>
        <w:t xml:space="preserve"> إلى القاعدة المعروفة، وهي"أن الغُنم بالغُرم"، وهذه القاعدة مأخوذة من قوله </w:t>
      </w:r>
      <w:r w:rsidR="00FB54E9">
        <w:rPr>
          <w:rFonts w:ascii="Traditional Arabic" w:hAnsi="Traditional Arabic" w:hint="cs"/>
          <w:rtl/>
        </w:rPr>
        <w:t>صلى الله عليه وسلم</w:t>
      </w:r>
      <w:r>
        <w:rPr>
          <w:rFonts w:hint="cs"/>
          <w:rtl/>
        </w:rPr>
        <w:t>:"له غنمه وعليه غرمه"، فمَن عليه غرم شيءٍ فله غنمه، فكما يتحمَّل الراهنُ الغُرمَ فإنه يُعطى الغُنم</w:t>
      </w:r>
      <w:r w:rsidRPr="00C821A1">
        <w:rPr>
          <w:rStyle w:val="af1"/>
          <w:szCs w:val="32"/>
          <w:rtl/>
        </w:rPr>
        <w:t>(</w:t>
      </w:r>
      <w:r w:rsidRPr="00C821A1">
        <w:rPr>
          <w:rStyle w:val="af1"/>
          <w:szCs w:val="32"/>
          <w:rtl/>
        </w:rPr>
        <w:footnoteReference w:id="1391"/>
      </w:r>
      <w:r w:rsidRPr="00C821A1">
        <w:rPr>
          <w:rStyle w:val="af1"/>
          <w:szCs w:val="32"/>
          <w:rtl/>
        </w:rPr>
        <w:t>)</w:t>
      </w:r>
      <w:r>
        <w:rPr>
          <w:rFonts w:hint="cs"/>
          <w:rtl/>
        </w:rPr>
        <w:t>.</w:t>
      </w:r>
    </w:p>
    <w:p w:rsidR="00272836" w:rsidRPr="00272836" w:rsidRDefault="00FB54E9" w:rsidP="00A8347C">
      <w:pPr>
        <w:pStyle w:val="aff3"/>
        <w:rPr>
          <w:rtl/>
        </w:rPr>
      </w:pPr>
      <w:bookmarkStart w:id="274" w:name="_Toc334046491"/>
      <w:r>
        <w:rPr>
          <w:rFonts w:hint="cs"/>
          <w:rtl/>
        </w:rPr>
        <w:lastRenderedPageBreak/>
        <w:t xml:space="preserve">                                        المطلب</w:t>
      </w:r>
      <w:r w:rsidR="00DE3F96">
        <w:rPr>
          <w:rFonts w:hint="cs"/>
          <w:rtl/>
        </w:rPr>
        <w:t xml:space="preserve"> </w:t>
      </w:r>
      <w:r w:rsidR="00272836" w:rsidRPr="00272836">
        <w:rPr>
          <w:rFonts w:hint="cs"/>
          <w:rtl/>
        </w:rPr>
        <w:t>الرابع</w:t>
      </w:r>
      <w:r w:rsidR="00272836">
        <w:rPr>
          <w:rFonts w:hint="eastAsia"/>
          <w:rtl/>
        </w:rPr>
        <w:t> :</w:t>
      </w:r>
      <w:r w:rsidR="00272836">
        <w:rPr>
          <w:rFonts w:hint="cs"/>
          <w:rtl/>
        </w:rPr>
        <w:br/>
      </w:r>
      <w:r>
        <w:rPr>
          <w:rFonts w:hint="cs"/>
          <w:rtl/>
        </w:rPr>
        <w:t xml:space="preserve">        </w:t>
      </w:r>
      <w:r w:rsidR="00DE3F96">
        <w:rPr>
          <w:rFonts w:hint="cs"/>
          <w:rtl/>
        </w:rPr>
        <w:t xml:space="preserve">                               </w:t>
      </w:r>
      <w:r w:rsidR="00272836" w:rsidRPr="00272836">
        <w:rPr>
          <w:rFonts w:hint="cs"/>
          <w:rtl/>
        </w:rPr>
        <w:t>تطبيقات القاعدة</w:t>
      </w:r>
      <w:bookmarkEnd w:id="274"/>
    </w:p>
    <w:p w:rsidR="00272836" w:rsidRPr="00C21964" w:rsidRDefault="00272836" w:rsidP="000A76C7">
      <w:pPr>
        <w:pStyle w:val="afc"/>
        <w:widowControl/>
        <w:numPr>
          <w:ilvl w:val="0"/>
          <w:numId w:val="187"/>
        </w:numPr>
        <w:autoSpaceDE w:val="0"/>
        <w:autoSpaceDN w:val="0"/>
        <w:adjustRightInd w:val="0"/>
        <w:rPr>
          <w:rFonts w:ascii="Traditional Arabic" w:hAnsi="Traditional Arabic"/>
          <w:noProof w:val="0"/>
          <w:lang w:eastAsia="en-US"/>
        </w:rPr>
      </w:pPr>
      <w:r>
        <w:rPr>
          <w:rFonts w:hint="cs"/>
          <w:rtl/>
        </w:rPr>
        <w:t>نماءُ المبيع المنفصلُ في مدة الخيار يكون للمشتري؛</w:t>
      </w:r>
      <w:r w:rsidR="00DE3F96">
        <w:rPr>
          <w:rFonts w:hint="cs"/>
          <w:rtl/>
        </w:rPr>
        <w:t xml:space="preserve"> </w:t>
      </w:r>
      <w:r w:rsidRPr="006477F6">
        <w:rPr>
          <w:rFonts w:ascii="Traditional Arabic" w:hAnsi="Traditional Arabic"/>
          <w:noProof w:val="0"/>
          <w:rtl/>
          <w:lang w:eastAsia="en-US"/>
        </w:rPr>
        <w:t>لأنه نماء</w:t>
      </w:r>
      <w:r>
        <w:rPr>
          <w:rFonts w:ascii="Traditional Arabic" w:hAnsi="Traditional Arabic" w:hint="cs"/>
          <w:noProof w:val="0"/>
          <w:rtl/>
          <w:lang w:eastAsia="en-US"/>
        </w:rPr>
        <w:t>ُ</w:t>
      </w:r>
      <w:r w:rsidRPr="006477F6">
        <w:rPr>
          <w:rFonts w:ascii="Traditional Arabic" w:hAnsi="Traditional Arabic"/>
          <w:noProof w:val="0"/>
          <w:rtl/>
          <w:lang w:eastAsia="en-US"/>
        </w:rPr>
        <w:t xml:space="preserve"> م</w:t>
      </w:r>
      <w:r w:rsidR="00DE3F96">
        <w:rPr>
          <w:rFonts w:ascii="Traditional Arabic" w:hAnsi="Traditional Arabic" w:hint="cs"/>
          <w:noProof w:val="0"/>
          <w:rtl/>
          <w:lang w:eastAsia="en-US"/>
        </w:rPr>
        <w:t>ِ</w:t>
      </w:r>
      <w:r w:rsidRPr="006477F6">
        <w:rPr>
          <w:rFonts w:ascii="Traditional Arabic" w:hAnsi="Traditional Arabic"/>
          <w:noProof w:val="0"/>
          <w:rtl/>
          <w:lang w:eastAsia="en-US"/>
        </w:rPr>
        <w:t>ل</w:t>
      </w:r>
      <w:r w:rsidR="00DE3F96">
        <w:rPr>
          <w:rFonts w:ascii="Traditional Arabic" w:hAnsi="Traditional Arabic" w:hint="cs"/>
          <w:noProof w:val="0"/>
          <w:rtl/>
          <w:lang w:eastAsia="en-US"/>
        </w:rPr>
        <w:t>ْ</w:t>
      </w:r>
      <w:r w:rsidR="00DE3F96">
        <w:rPr>
          <w:rFonts w:ascii="Traditional Arabic" w:hAnsi="Traditional Arabic"/>
          <w:noProof w:val="0"/>
          <w:rtl/>
          <w:lang w:eastAsia="en-US"/>
        </w:rPr>
        <w:t>كه</w:t>
      </w:r>
      <w:r w:rsidRPr="006477F6">
        <w:rPr>
          <w:rFonts w:ascii="Traditional Arabic" w:hAnsi="Traditional Arabic"/>
          <w:noProof w:val="0"/>
          <w:rtl/>
          <w:lang w:eastAsia="en-US"/>
        </w:rPr>
        <w:t xml:space="preserve"> الداخل في ضمانه</w:t>
      </w:r>
      <w:r>
        <w:rPr>
          <w:rFonts w:hint="cs"/>
          <w:rtl/>
        </w:rPr>
        <w:t>، وأما النماء المتصل فيكون للبائع</w:t>
      </w:r>
      <w:r w:rsidRPr="00C821A1">
        <w:rPr>
          <w:rStyle w:val="af1"/>
          <w:szCs w:val="32"/>
          <w:rtl/>
        </w:rPr>
        <w:t>(</w:t>
      </w:r>
      <w:r w:rsidRPr="00C821A1">
        <w:rPr>
          <w:rStyle w:val="af1"/>
          <w:szCs w:val="32"/>
          <w:rtl/>
        </w:rPr>
        <w:footnoteReference w:id="1392"/>
      </w:r>
      <w:r w:rsidRPr="00C821A1">
        <w:rPr>
          <w:rStyle w:val="af1"/>
          <w:szCs w:val="32"/>
          <w:rtl/>
        </w:rPr>
        <w:t>)</w:t>
      </w:r>
      <w:r>
        <w:rPr>
          <w:rFonts w:hint="cs"/>
          <w:rtl/>
        </w:rPr>
        <w:t>؛</w:t>
      </w:r>
      <w:r w:rsidR="00DE3F96">
        <w:rPr>
          <w:rFonts w:ascii="Traditional Arabic" w:hAnsi="Traditional Arabic" w:hint="cs"/>
          <w:noProof w:val="0"/>
          <w:rtl/>
          <w:lang w:eastAsia="en-US"/>
        </w:rPr>
        <w:t xml:space="preserve"> </w:t>
      </w:r>
      <w:r w:rsidRPr="00C21964">
        <w:rPr>
          <w:rFonts w:ascii="Traditional Arabic" w:hAnsi="Traditional Arabic"/>
          <w:noProof w:val="0"/>
          <w:rtl/>
          <w:lang w:eastAsia="en-US"/>
        </w:rPr>
        <w:t>لأنه نماء</w:t>
      </w:r>
      <w:r>
        <w:rPr>
          <w:rFonts w:ascii="Traditional Arabic" w:hAnsi="Traditional Arabic" w:hint="cs"/>
          <w:noProof w:val="0"/>
          <w:rtl/>
          <w:lang w:eastAsia="en-US"/>
        </w:rPr>
        <w:t>ٌ</w:t>
      </w:r>
      <w:r w:rsidRPr="00C21964">
        <w:rPr>
          <w:rFonts w:ascii="Traditional Arabic" w:hAnsi="Traditional Arabic"/>
          <w:noProof w:val="0"/>
          <w:rtl/>
          <w:lang w:eastAsia="en-US"/>
        </w:rPr>
        <w:t xml:space="preserve"> متصل لا يمكن تخليصه من الأصل، فيكون تبعا له ويثبت في التابع ما لا يثبت في المستقل</w:t>
      </w:r>
      <w:r>
        <w:rPr>
          <w:rFonts w:hint="cs"/>
          <w:rtl/>
        </w:rPr>
        <w:t>، وهذا هو المذهب</w:t>
      </w:r>
      <w:r w:rsidRPr="00C821A1">
        <w:rPr>
          <w:rStyle w:val="af1"/>
          <w:szCs w:val="32"/>
          <w:rtl/>
        </w:rPr>
        <w:t>(</w:t>
      </w:r>
      <w:r w:rsidRPr="00C821A1">
        <w:rPr>
          <w:rStyle w:val="af1"/>
          <w:szCs w:val="32"/>
          <w:rtl/>
        </w:rPr>
        <w:footnoteReference w:id="1393"/>
      </w:r>
      <w:r w:rsidRPr="00C821A1">
        <w:rPr>
          <w:rStyle w:val="af1"/>
          <w:szCs w:val="32"/>
          <w:rtl/>
        </w:rPr>
        <w:t>)</w:t>
      </w:r>
      <w:r>
        <w:rPr>
          <w:rFonts w:hint="cs"/>
          <w:rtl/>
        </w:rPr>
        <w:t>.</w:t>
      </w:r>
    </w:p>
    <w:p w:rsidR="00F228A9" w:rsidRDefault="00272836" w:rsidP="00597C20">
      <w:pPr>
        <w:pStyle w:val="afc"/>
        <w:ind w:left="1080" w:firstLine="0"/>
        <w:rPr>
          <w:rtl/>
        </w:rPr>
      </w:pPr>
      <w:r w:rsidRPr="0018726B">
        <w:rPr>
          <w:rFonts w:ascii="Traditional Arabic" w:hAnsi="Traditional Arabic"/>
          <w:noProof w:val="0"/>
          <w:rtl/>
          <w:lang w:eastAsia="en-US"/>
        </w:rPr>
        <w:t xml:space="preserve">وعن  </w:t>
      </w:r>
      <w:r w:rsidR="00B41E0F">
        <w:rPr>
          <w:rFonts w:ascii="Traditional Arabic" w:hAnsi="Traditional Arabic" w:hint="cs"/>
          <w:noProof w:val="0"/>
          <w:rtl/>
          <w:lang w:eastAsia="en-US"/>
        </w:rPr>
        <w:t xml:space="preserve">الإمام </w:t>
      </w:r>
      <w:r w:rsidRPr="0018726B">
        <w:rPr>
          <w:rFonts w:ascii="Traditional Arabic" w:hAnsi="Traditional Arabic"/>
          <w:noProof w:val="0"/>
          <w:rtl/>
          <w:lang w:eastAsia="en-US"/>
        </w:rPr>
        <w:t>أحمد</w:t>
      </w:r>
      <w:r w:rsidR="00DE3F96">
        <w:rPr>
          <w:rFonts w:ascii="Traditional Arabic" w:hAnsi="Traditional Arabic" w:hint="cs"/>
          <w:noProof w:val="0"/>
          <w:rtl/>
          <w:lang w:eastAsia="en-US"/>
        </w:rPr>
        <w:t>_رحمه الله_</w:t>
      </w:r>
      <w:r w:rsidRPr="0018726B">
        <w:rPr>
          <w:rFonts w:ascii="Traditional Arabic" w:hAnsi="Traditional Arabic"/>
          <w:noProof w:val="0"/>
          <w:rtl/>
          <w:lang w:eastAsia="en-US"/>
        </w:rPr>
        <w:t xml:space="preserve"> رواية</w:t>
      </w:r>
      <w:r w:rsidRPr="00C821A1">
        <w:rPr>
          <w:rStyle w:val="af1"/>
          <w:szCs w:val="32"/>
          <w:rtl/>
        </w:rPr>
        <w:t>(</w:t>
      </w:r>
      <w:r w:rsidRPr="00C821A1">
        <w:rPr>
          <w:rStyle w:val="af1"/>
          <w:szCs w:val="32"/>
          <w:rtl/>
        </w:rPr>
        <w:footnoteReference w:id="1394"/>
      </w:r>
      <w:r w:rsidRPr="00C821A1">
        <w:rPr>
          <w:rStyle w:val="af1"/>
          <w:szCs w:val="32"/>
          <w:rtl/>
        </w:rPr>
        <w:t>)</w:t>
      </w:r>
      <w:r w:rsidRPr="0018726B">
        <w:rPr>
          <w:rFonts w:ascii="Traditional Arabic" w:hAnsi="Traditional Arabic"/>
          <w:noProof w:val="0"/>
          <w:rtl/>
          <w:lang w:eastAsia="en-US"/>
        </w:rPr>
        <w:t>، أن النماء المتصل لمن حصل في م</w:t>
      </w:r>
      <w:r>
        <w:rPr>
          <w:rFonts w:ascii="Traditional Arabic" w:hAnsi="Traditional Arabic" w:hint="cs"/>
          <w:noProof w:val="0"/>
          <w:rtl/>
          <w:lang w:eastAsia="en-US"/>
        </w:rPr>
        <w:t>ِ</w:t>
      </w:r>
      <w:r w:rsidRPr="0018726B">
        <w:rPr>
          <w:rFonts w:ascii="Traditional Arabic" w:hAnsi="Traditional Arabic"/>
          <w:noProof w:val="0"/>
          <w:rtl/>
          <w:lang w:eastAsia="en-US"/>
        </w:rPr>
        <w:t>ل</w:t>
      </w:r>
      <w:r>
        <w:rPr>
          <w:rFonts w:ascii="Traditional Arabic" w:hAnsi="Traditional Arabic" w:hint="cs"/>
          <w:noProof w:val="0"/>
          <w:rtl/>
          <w:lang w:eastAsia="en-US"/>
        </w:rPr>
        <w:t>ْ</w:t>
      </w:r>
      <w:r w:rsidRPr="0018726B">
        <w:rPr>
          <w:rFonts w:ascii="Traditional Arabic" w:hAnsi="Traditional Arabic"/>
          <w:noProof w:val="0"/>
          <w:rtl/>
          <w:lang w:eastAsia="en-US"/>
        </w:rPr>
        <w:t>ك</w:t>
      </w:r>
      <w:r>
        <w:rPr>
          <w:rFonts w:ascii="Traditional Arabic" w:hAnsi="Traditional Arabic" w:hint="cs"/>
          <w:noProof w:val="0"/>
          <w:rtl/>
          <w:lang w:eastAsia="en-US"/>
        </w:rPr>
        <w:t>ِ</w:t>
      </w:r>
      <w:r w:rsidRPr="0018726B">
        <w:rPr>
          <w:rFonts w:ascii="Traditional Arabic" w:hAnsi="Traditional Arabic"/>
          <w:noProof w:val="0"/>
          <w:rtl/>
          <w:lang w:eastAsia="en-US"/>
        </w:rPr>
        <w:t xml:space="preserve">ه، </w:t>
      </w:r>
      <w:r>
        <w:rPr>
          <w:rFonts w:ascii="Traditional Arabic" w:hAnsi="Traditional Arabic"/>
          <w:noProof w:val="0"/>
          <w:rtl/>
          <w:lang w:eastAsia="en-US"/>
        </w:rPr>
        <w:t>واختاره</w:t>
      </w:r>
      <w:r>
        <w:rPr>
          <w:rFonts w:ascii="Traditional Arabic" w:hAnsi="Traditional Arabic" w:hint="cs"/>
          <w:noProof w:val="0"/>
          <w:rtl/>
          <w:lang w:eastAsia="en-US"/>
        </w:rPr>
        <w:t>ا</w:t>
      </w:r>
      <w:r>
        <w:rPr>
          <w:rFonts w:ascii="Traditional Arabic" w:hAnsi="Traditional Arabic"/>
          <w:noProof w:val="0"/>
          <w:rtl/>
          <w:lang w:eastAsia="en-US"/>
        </w:rPr>
        <w:t xml:space="preserve"> شيخ الإسلام ابن تيمية </w:t>
      </w:r>
      <w:r w:rsidR="00DE3F96">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DE3F96">
        <w:rPr>
          <w:rStyle w:val="af1"/>
          <w:rFonts w:hint="cs"/>
          <w:szCs w:val="32"/>
          <w:vertAlign w:val="baseline"/>
          <w:rtl/>
        </w:rPr>
        <w:t>_</w:t>
      </w:r>
      <w:r w:rsidRPr="00C821A1">
        <w:rPr>
          <w:rStyle w:val="af1"/>
          <w:szCs w:val="32"/>
          <w:rtl/>
        </w:rPr>
        <w:t>(</w:t>
      </w:r>
      <w:r w:rsidRPr="00C821A1">
        <w:rPr>
          <w:rStyle w:val="af1"/>
          <w:szCs w:val="32"/>
          <w:rtl/>
        </w:rPr>
        <w:footnoteReference w:id="1395"/>
      </w:r>
      <w:r w:rsidRPr="00C821A1">
        <w:rPr>
          <w:rStyle w:val="af1"/>
          <w:szCs w:val="32"/>
          <w:rtl/>
        </w:rPr>
        <w:t>)</w:t>
      </w:r>
      <w:r w:rsidRPr="0018726B">
        <w:rPr>
          <w:rFonts w:ascii="Traditional Arabic" w:hAnsi="Traditional Arabic"/>
          <w:noProof w:val="0"/>
          <w:rtl/>
          <w:lang w:eastAsia="en-US"/>
        </w:rPr>
        <w:t>وقال: هذا حصل من عمل المشتري الذي ه</w:t>
      </w:r>
      <w:r>
        <w:rPr>
          <w:rFonts w:ascii="Traditional Arabic" w:hAnsi="Traditional Arabic"/>
          <w:noProof w:val="0"/>
          <w:rtl/>
          <w:lang w:eastAsia="en-US"/>
        </w:rPr>
        <w:t>و في ملكه</w:t>
      </w:r>
      <w:r>
        <w:rPr>
          <w:rFonts w:ascii="Traditional Arabic" w:hAnsi="Traditional Arabic" w:hint="cs"/>
          <w:noProof w:val="0"/>
          <w:rtl/>
          <w:lang w:eastAsia="en-US"/>
        </w:rPr>
        <w:t xml:space="preserve">، </w:t>
      </w:r>
      <w:r>
        <w:rPr>
          <w:rFonts w:ascii="Traditional Arabic" w:hAnsi="Traditional Arabic"/>
          <w:noProof w:val="0"/>
          <w:rtl/>
          <w:lang w:eastAsia="en-US"/>
        </w:rPr>
        <w:t>والخراج بالضمان</w:t>
      </w:r>
      <w:r w:rsidRPr="0018726B">
        <w:rPr>
          <w:rFonts w:ascii="Traditional Arabic" w:hAnsi="Traditional Arabic"/>
          <w:noProof w:val="0"/>
          <w:rtl/>
          <w:lang w:eastAsia="en-US"/>
        </w:rPr>
        <w:t>، أي: م</w:t>
      </w:r>
      <w:r>
        <w:rPr>
          <w:rFonts w:ascii="Traditional Arabic" w:hAnsi="Traditional Arabic" w:hint="cs"/>
          <w:noProof w:val="0"/>
          <w:rtl/>
          <w:lang w:eastAsia="en-US"/>
        </w:rPr>
        <w:t>َ</w:t>
      </w:r>
      <w:r w:rsidRPr="0018726B">
        <w:rPr>
          <w:rFonts w:ascii="Traditional Arabic" w:hAnsi="Traditional Arabic"/>
          <w:noProof w:val="0"/>
          <w:rtl/>
          <w:lang w:eastAsia="en-US"/>
        </w:rPr>
        <w:t>ن عليه ضمان</w:t>
      </w:r>
      <w:r>
        <w:rPr>
          <w:rFonts w:ascii="Traditional Arabic" w:hAnsi="Traditional Arabic" w:hint="cs"/>
          <w:noProof w:val="0"/>
          <w:rtl/>
          <w:lang w:eastAsia="en-US"/>
        </w:rPr>
        <w:t>ُ</w:t>
      </w:r>
      <w:r w:rsidRPr="0018726B">
        <w:rPr>
          <w:rFonts w:ascii="Traditional Arabic" w:hAnsi="Traditional Arabic"/>
          <w:noProof w:val="0"/>
          <w:rtl/>
          <w:lang w:eastAsia="en-US"/>
        </w:rPr>
        <w:t xml:space="preserve"> شيء فله خراج</w:t>
      </w:r>
      <w:r>
        <w:rPr>
          <w:rFonts w:ascii="Traditional Arabic" w:hAnsi="Traditional Arabic" w:hint="cs"/>
          <w:noProof w:val="0"/>
          <w:rtl/>
          <w:lang w:eastAsia="en-US"/>
        </w:rPr>
        <w:t>ُ</w:t>
      </w:r>
      <w:r w:rsidRPr="0018726B">
        <w:rPr>
          <w:rFonts w:ascii="Traditional Arabic" w:hAnsi="Traditional Arabic"/>
          <w:noProof w:val="0"/>
          <w:rtl/>
          <w:lang w:eastAsia="en-US"/>
        </w:rPr>
        <w:t>ه</w:t>
      </w:r>
      <w:r>
        <w:rPr>
          <w:rFonts w:ascii="Traditional Arabic" w:hAnsi="Traditional Arabic" w:hint="cs"/>
          <w:noProof w:val="0"/>
          <w:rtl/>
          <w:lang w:eastAsia="en-US"/>
        </w:rPr>
        <w:t xml:space="preserve">، </w:t>
      </w:r>
      <w:r w:rsidRPr="00B06FB0">
        <w:rPr>
          <w:rFonts w:ascii="Traditional Arabic" w:hAnsi="Traditional Arabic"/>
          <w:noProof w:val="0"/>
          <w:rtl/>
          <w:lang w:eastAsia="en-US"/>
        </w:rPr>
        <w:t>والنماء المتصل قد يكون أهم</w:t>
      </w:r>
      <w:r>
        <w:rPr>
          <w:rFonts w:ascii="Traditional Arabic" w:hAnsi="Traditional Arabic" w:hint="cs"/>
          <w:noProof w:val="0"/>
          <w:rtl/>
          <w:lang w:eastAsia="en-US"/>
        </w:rPr>
        <w:t>َّ</w:t>
      </w:r>
      <w:r w:rsidRPr="00B06FB0">
        <w:rPr>
          <w:rFonts w:ascii="Traditional Arabic" w:hAnsi="Traditional Arabic"/>
          <w:noProof w:val="0"/>
          <w:rtl/>
          <w:lang w:eastAsia="en-US"/>
        </w:rPr>
        <w:t xml:space="preserve"> من المنفصل فيكون للمشتري</w:t>
      </w:r>
      <w:r w:rsidRPr="00C821A1">
        <w:rPr>
          <w:rStyle w:val="af1"/>
          <w:szCs w:val="32"/>
          <w:rtl/>
        </w:rPr>
        <w:t>(</w:t>
      </w:r>
      <w:r w:rsidRPr="00C821A1">
        <w:rPr>
          <w:rStyle w:val="af1"/>
          <w:szCs w:val="32"/>
          <w:rtl/>
        </w:rPr>
        <w:footnoteReference w:id="1396"/>
      </w:r>
      <w:r w:rsidRPr="00C821A1">
        <w:rPr>
          <w:rStyle w:val="af1"/>
          <w:szCs w:val="32"/>
          <w:rtl/>
        </w:rPr>
        <w:t>)</w:t>
      </w:r>
      <w:r>
        <w:rPr>
          <w:rFonts w:hint="cs"/>
          <w:rtl/>
        </w:rPr>
        <w:t>.</w:t>
      </w:r>
    </w:p>
    <w:p w:rsidR="00272836" w:rsidRDefault="00272836" w:rsidP="00597C20">
      <w:pPr>
        <w:pStyle w:val="53"/>
        <w:rPr>
          <w:rtl/>
        </w:rPr>
      </w:pPr>
      <w:r>
        <w:rPr>
          <w:rFonts w:hint="cs"/>
          <w:rtl/>
        </w:rPr>
        <w:t>وجه اندراج الفرع تحت القاعدة:</w:t>
      </w:r>
    </w:p>
    <w:p w:rsidR="00F228A9" w:rsidRDefault="00272836" w:rsidP="00597C20">
      <w:pPr>
        <w:ind w:firstLine="720"/>
        <w:rPr>
          <w:rtl/>
        </w:rPr>
      </w:pPr>
      <w:r>
        <w:rPr>
          <w:rFonts w:hint="cs"/>
          <w:rtl/>
        </w:rPr>
        <w:t>أن نماء المبيع المتصل لمَّا حصل في ملك المشتري كان له؛ لأنه لوتلِف المبيع لكان من ضمانه، والخراج بالضمان.</w:t>
      </w:r>
    </w:p>
    <w:p w:rsidR="00272836" w:rsidRPr="00801B78" w:rsidRDefault="00272836" w:rsidP="00801B78">
      <w:pPr>
        <w:pStyle w:val="afc"/>
        <w:widowControl/>
        <w:numPr>
          <w:ilvl w:val="0"/>
          <w:numId w:val="187"/>
        </w:numPr>
        <w:autoSpaceDE w:val="0"/>
        <w:autoSpaceDN w:val="0"/>
        <w:adjustRightInd w:val="0"/>
        <w:jc w:val="left"/>
        <w:rPr>
          <w:rFonts w:ascii="Traditional Arabic" w:hAnsi="Traditional Arabic"/>
          <w:noProof w:val="0"/>
          <w:lang w:eastAsia="en-US"/>
        </w:rPr>
      </w:pPr>
      <w:r w:rsidRPr="00801B78">
        <w:rPr>
          <w:rFonts w:ascii="Traditional Arabic" w:hAnsi="Traditional Arabic" w:hint="cs"/>
          <w:noProof w:val="0"/>
          <w:rtl/>
          <w:lang w:eastAsia="en-US"/>
        </w:rPr>
        <w:t xml:space="preserve">غَلَّة الشِّقص في الشفعة تكون </w:t>
      </w:r>
      <w:r w:rsidRPr="00801B78">
        <w:rPr>
          <w:rFonts w:ascii="Traditional Arabic" w:hAnsi="Traditional Arabic"/>
          <w:noProof w:val="0"/>
          <w:rtl/>
          <w:lang w:eastAsia="en-US"/>
        </w:rPr>
        <w:t>ل</w:t>
      </w:r>
      <w:r w:rsidR="00801B78">
        <w:rPr>
          <w:rFonts w:ascii="Traditional Arabic" w:hAnsi="Traditional Arabic" w:hint="cs"/>
          <w:noProof w:val="0"/>
          <w:rtl/>
          <w:lang w:eastAsia="en-US"/>
        </w:rPr>
        <w:t>ِ</w:t>
      </w:r>
      <w:r w:rsidRPr="00801B78">
        <w:rPr>
          <w:rFonts w:ascii="Traditional Arabic" w:hAnsi="Traditional Arabic"/>
          <w:noProof w:val="0"/>
          <w:rtl/>
          <w:lang w:eastAsia="en-US"/>
        </w:rPr>
        <w:t>م</w:t>
      </w:r>
      <w:r w:rsidR="00801B78">
        <w:rPr>
          <w:rFonts w:ascii="Traditional Arabic" w:hAnsi="Traditional Arabic" w:hint="cs"/>
          <w:noProof w:val="0"/>
          <w:rtl/>
          <w:lang w:eastAsia="en-US"/>
        </w:rPr>
        <w:t>ُ</w:t>
      </w:r>
      <w:r w:rsidRPr="00801B78">
        <w:rPr>
          <w:rFonts w:ascii="Traditional Arabic" w:hAnsi="Traditional Arabic"/>
          <w:noProof w:val="0"/>
          <w:rtl/>
          <w:lang w:eastAsia="en-US"/>
        </w:rPr>
        <w:t>شتري</w:t>
      </w:r>
      <w:r w:rsidRPr="00801B78">
        <w:rPr>
          <w:rFonts w:ascii="Traditional Arabic" w:hAnsi="Traditional Arabic" w:hint="cs"/>
          <w:noProof w:val="0"/>
          <w:rtl/>
          <w:lang w:eastAsia="en-US"/>
        </w:rPr>
        <w:t>ه</w:t>
      </w:r>
      <w:r w:rsidRPr="00801B78">
        <w:rPr>
          <w:rFonts w:ascii="Traditional Arabic" w:hAnsi="Traditional Arabic"/>
          <w:noProof w:val="0"/>
          <w:rtl/>
          <w:lang w:eastAsia="en-US"/>
        </w:rPr>
        <w:t>.</w:t>
      </w:r>
    </w:p>
    <w:p w:rsidR="00272836" w:rsidRDefault="00272836" w:rsidP="00597C20">
      <w:pPr>
        <w:pStyle w:val="afc"/>
        <w:widowControl/>
        <w:autoSpaceDE w:val="0"/>
        <w:autoSpaceDN w:val="0"/>
        <w:adjustRightInd w:val="0"/>
        <w:ind w:left="1080" w:firstLine="0"/>
        <w:rPr>
          <w:rFonts w:ascii="Traditional Arabic" w:hAnsi="Traditional Arabic"/>
          <w:noProof w:val="0"/>
          <w:rtl/>
          <w:lang w:eastAsia="en-US"/>
        </w:rPr>
      </w:pPr>
      <w:r w:rsidRPr="00BA4675">
        <w:rPr>
          <w:rFonts w:ascii="Traditional Arabic" w:hAnsi="Traditional Arabic"/>
          <w:noProof w:val="0"/>
          <w:rtl/>
          <w:lang w:eastAsia="en-US"/>
        </w:rPr>
        <w:t>مثال ذلك: رجلان شريكان في عمارة وأج</w:t>
      </w:r>
      <w:r>
        <w:rPr>
          <w:rFonts w:ascii="Traditional Arabic" w:hAnsi="Traditional Arabic" w:hint="cs"/>
          <w:noProof w:val="0"/>
          <w:rtl/>
          <w:lang w:eastAsia="en-US"/>
        </w:rPr>
        <w:t>َّ</w:t>
      </w:r>
      <w:r w:rsidRPr="00BA4675">
        <w:rPr>
          <w:rFonts w:ascii="Traditional Arabic" w:hAnsi="Traditional Arabic"/>
          <w:noProof w:val="0"/>
          <w:rtl/>
          <w:lang w:eastAsia="en-US"/>
        </w:rPr>
        <w:t>راها السنة</w:t>
      </w:r>
      <w:r>
        <w:rPr>
          <w:rFonts w:ascii="Traditional Arabic" w:hAnsi="Traditional Arabic" w:hint="cs"/>
          <w:noProof w:val="0"/>
          <w:rtl/>
          <w:lang w:eastAsia="en-US"/>
        </w:rPr>
        <w:t>َ</w:t>
      </w:r>
      <w:r w:rsidRPr="00BA4675">
        <w:rPr>
          <w:rFonts w:ascii="Traditional Arabic" w:hAnsi="Traditional Arabic"/>
          <w:noProof w:val="0"/>
          <w:rtl/>
          <w:lang w:eastAsia="en-US"/>
        </w:rPr>
        <w:t xml:space="preserve"> بمائة</w:t>
      </w:r>
      <w:r>
        <w:rPr>
          <w:rFonts w:ascii="Traditional Arabic" w:hAnsi="Traditional Arabic" w:hint="cs"/>
          <w:noProof w:val="0"/>
          <w:rtl/>
          <w:lang w:eastAsia="en-US"/>
        </w:rPr>
        <w:t>ِ</w:t>
      </w:r>
      <w:r w:rsidRPr="00BA4675">
        <w:rPr>
          <w:rFonts w:ascii="Traditional Arabic" w:hAnsi="Traditional Arabic"/>
          <w:noProof w:val="0"/>
          <w:rtl/>
          <w:lang w:eastAsia="en-US"/>
        </w:rPr>
        <w:t xml:space="preserve"> ألف</w:t>
      </w:r>
      <w:r>
        <w:rPr>
          <w:rFonts w:ascii="Traditional Arabic" w:hAnsi="Traditional Arabic" w:hint="cs"/>
          <w:noProof w:val="0"/>
          <w:rtl/>
          <w:lang w:eastAsia="en-US"/>
        </w:rPr>
        <w:t>ٍ</w:t>
      </w:r>
      <w:r w:rsidRPr="00BA4675">
        <w:rPr>
          <w:rFonts w:ascii="Traditional Arabic" w:hAnsi="Traditional Arabic"/>
          <w:noProof w:val="0"/>
          <w:rtl/>
          <w:lang w:eastAsia="en-US"/>
        </w:rPr>
        <w:t xml:space="preserve">، ثم إن أحد الشريكين باع نصيبه على شخص، وخفي على الشريك أنه باع حتى مضى أربعة أشهر، فالغلة </w:t>
      </w:r>
      <w:r w:rsidRPr="00BA4675">
        <w:rPr>
          <w:rFonts w:ascii="Traditional Arabic" w:hAnsi="Traditional Arabic"/>
          <w:noProof w:val="0"/>
          <w:rtl/>
          <w:lang w:eastAsia="en-US"/>
        </w:rPr>
        <w:lastRenderedPageBreak/>
        <w:t>في هذه أربعة الأشهر للمشتري، وتعليل ذلك أنه نماء ملكه، وقد قال النبي</w:t>
      </w:r>
      <w:r w:rsidR="00FB54E9">
        <w:rPr>
          <w:rFonts w:ascii="Traditional Arabic" w:hAnsi="Traditional Arabic" w:hint="cs"/>
          <w:noProof w:val="0"/>
          <w:color w:val="auto"/>
          <w:rtl/>
          <w:lang w:eastAsia="en-US"/>
        </w:rPr>
        <w:t xml:space="preserve"> </w:t>
      </w:r>
      <w:r w:rsidR="00FB54E9">
        <w:rPr>
          <w:rFonts w:ascii="Traditional Arabic" w:hAnsi="Traditional Arabic" w:hint="cs"/>
          <w:rtl/>
        </w:rPr>
        <w:t>صلى الله عليه وسلم</w:t>
      </w:r>
      <w:r>
        <w:rPr>
          <w:rFonts w:ascii="Traditional Arabic" w:hAnsi="Traditional Arabic"/>
          <w:noProof w:val="0"/>
          <w:rtl/>
          <w:lang w:eastAsia="en-US"/>
        </w:rPr>
        <w:t xml:space="preserve">: </w:t>
      </w:r>
      <w:r>
        <w:rPr>
          <w:rFonts w:ascii="Traditional Arabic" w:hAnsi="Traditional Arabic" w:hint="cs"/>
          <w:noProof w:val="0"/>
          <w:rtl/>
          <w:lang w:eastAsia="en-US"/>
        </w:rPr>
        <w:t>"</w:t>
      </w:r>
      <w:r>
        <w:rPr>
          <w:rFonts w:ascii="Traditional Arabic" w:hAnsi="Traditional Arabic"/>
          <w:noProof w:val="0"/>
          <w:rtl/>
          <w:lang w:eastAsia="en-US"/>
        </w:rPr>
        <w:t>الخراج بالضمان</w:t>
      </w:r>
      <w:r w:rsidR="00AB0B9E">
        <w:rPr>
          <w:rFonts w:ascii="Traditional Arabic" w:hAnsi="Traditional Arabic"/>
          <w:noProof w:val="0"/>
          <w:rtl/>
          <w:lang w:eastAsia="en-US"/>
        </w:rPr>
        <w:fldChar w:fldCharType="begin"/>
      </w:r>
      <w:r w:rsidR="002739B8" w:rsidRPr="00C85F0F">
        <w:instrText>XE</w:instrText>
      </w:r>
      <w:r w:rsidR="002739B8" w:rsidRPr="00C85F0F">
        <w:rPr>
          <w:rtl/>
        </w:rPr>
        <w:instrText xml:space="preserve"> "</w:instrText>
      </w:r>
      <w:r w:rsidR="002739B8" w:rsidRPr="00C85F0F">
        <w:rPr>
          <w:rFonts w:ascii="Traditional Arabic" w:hAnsi="Traditional Arabic"/>
          <w:noProof w:val="0"/>
          <w:rtl/>
          <w:lang w:eastAsia="en-US"/>
        </w:rPr>
        <w:instrText>الخراج بالضمان</w:instrText>
      </w:r>
      <w:r w:rsidR="002739B8" w:rsidRPr="00C85F0F">
        <w:rPr>
          <w:rtl/>
        </w:rPr>
        <w:instrText>" \</w:instrText>
      </w:r>
      <w:r w:rsidR="002739B8" w:rsidRPr="00C85F0F">
        <w:instrText>f</w:instrText>
      </w:r>
      <w:r w:rsidR="002739B8">
        <w:instrText>h</w:instrText>
      </w:r>
      <w:r w:rsidR="00AB0B9E">
        <w:rPr>
          <w:rFonts w:ascii="Traditional Arabic" w:hAnsi="Traditional Arabic"/>
          <w:noProof w:val="0"/>
          <w:rtl/>
          <w:lang w:eastAsia="en-US"/>
        </w:rPr>
        <w:fldChar w:fldCharType="end"/>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397"/>
      </w:r>
      <w:r w:rsidRPr="00C821A1">
        <w:rPr>
          <w:rStyle w:val="af1"/>
          <w:szCs w:val="32"/>
          <w:rtl/>
        </w:rPr>
        <w:t>)</w:t>
      </w:r>
      <w:r>
        <w:rPr>
          <w:rFonts w:ascii="Traditional Arabic" w:hAnsi="Traditional Arabic" w:hint="cs"/>
          <w:noProof w:val="0"/>
          <w:rtl/>
          <w:lang w:eastAsia="en-US"/>
        </w:rPr>
        <w:t xml:space="preserve">، </w:t>
      </w:r>
      <w:r w:rsidRPr="00BA4675">
        <w:rPr>
          <w:rFonts w:ascii="Traditional Arabic" w:hAnsi="Traditional Arabic"/>
          <w:noProof w:val="0"/>
          <w:rtl/>
          <w:lang w:eastAsia="en-US"/>
        </w:rPr>
        <w:t>فهو ملكه مضمون</w:t>
      </w:r>
      <w:r>
        <w:rPr>
          <w:rFonts w:ascii="Traditional Arabic" w:hAnsi="Traditional Arabic" w:hint="cs"/>
          <w:noProof w:val="0"/>
          <w:rtl/>
          <w:lang w:eastAsia="en-US"/>
        </w:rPr>
        <w:t>ٌ</w:t>
      </w:r>
      <w:r w:rsidRPr="00BA4675">
        <w:rPr>
          <w:rFonts w:ascii="Traditional Arabic" w:hAnsi="Traditional Arabic"/>
          <w:noProof w:val="0"/>
          <w:rtl/>
          <w:lang w:eastAsia="en-US"/>
        </w:rPr>
        <w:t xml:space="preserve"> عليه</w:t>
      </w:r>
      <w:r>
        <w:rPr>
          <w:rFonts w:ascii="Traditional Arabic" w:hAnsi="Traditional Arabic" w:hint="cs"/>
          <w:noProof w:val="0"/>
          <w:rtl/>
          <w:lang w:eastAsia="en-US"/>
        </w:rPr>
        <w:t>،</w:t>
      </w:r>
      <w:r w:rsidRPr="00BA4675">
        <w:rPr>
          <w:rFonts w:ascii="Traditional Arabic" w:hAnsi="Traditional Arabic"/>
          <w:noProof w:val="0"/>
          <w:rtl/>
          <w:lang w:eastAsia="en-US"/>
        </w:rPr>
        <w:t xml:space="preserve"> فتكون له غلته</w:t>
      </w:r>
      <w:r w:rsidRPr="00C821A1">
        <w:rPr>
          <w:rStyle w:val="af1"/>
          <w:szCs w:val="32"/>
          <w:rtl/>
        </w:rPr>
        <w:t>(</w:t>
      </w:r>
      <w:r w:rsidRPr="00C821A1">
        <w:rPr>
          <w:rStyle w:val="af1"/>
          <w:szCs w:val="32"/>
          <w:rtl/>
        </w:rPr>
        <w:footnoteReference w:id="1398"/>
      </w:r>
      <w:r w:rsidRPr="00C821A1">
        <w:rPr>
          <w:rStyle w:val="af1"/>
          <w:szCs w:val="32"/>
          <w:rtl/>
        </w:rPr>
        <w:t>)</w:t>
      </w:r>
      <w:r w:rsidRPr="00BA4675">
        <w:rPr>
          <w:rFonts w:ascii="Traditional Arabic" w:hAnsi="Traditional Arabic"/>
          <w:noProof w:val="0"/>
          <w:rtl/>
          <w:lang w:eastAsia="en-US"/>
        </w:rPr>
        <w:t>.</w:t>
      </w:r>
    </w:p>
    <w:p w:rsidR="00272836" w:rsidRDefault="00272836" w:rsidP="00597C20">
      <w:pPr>
        <w:pStyle w:val="53"/>
        <w:rPr>
          <w:rtl/>
        </w:rPr>
      </w:pPr>
      <w:r>
        <w:rPr>
          <w:rFonts w:hint="cs"/>
          <w:rtl/>
        </w:rPr>
        <w:t>وجه اندراج الفرع تحت القاعدة:</w:t>
      </w:r>
    </w:p>
    <w:p w:rsidR="00272836" w:rsidRPr="00312986" w:rsidRDefault="00DE3F96"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إ</w:t>
      </w:r>
      <w:r w:rsidR="00272836" w:rsidRPr="00312986">
        <w:rPr>
          <w:rFonts w:ascii="Traditional Arabic" w:hAnsi="Traditional Arabic" w:hint="cs"/>
          <w:noProof w:val="0"/>
          <w:rtl/>
          <w:lang w:eastAsia="en-US"/>
        </w:rPr>
        <w:t>ن غلة الشقص نتجت في ملك المشتري، فتكون له؛ لأن الشقص لو تلِف لكان من ضمانه، والخراج بالضمان</w:t>
      </w:r>
      <w:r>
        <w:rPr>
          <w:rFonts w:ascii="Traditional Arabic" w:hAnsi="Traditional Arabic" w:hint="cs"/>
          <w:noProof w:val="0"/>
          <w:rtl/>
          <w:lang w:eastAsia="en-US"/>
        </w:rPr>
        <w:t>.</w:t>
      </w:r>
    </w:p>
    <w:p w:rsidR="00065E4B" w:rsidRDefault="00FB54E9" w:rsidP="00A8347C">
      <w:pPr>
        <w:pStyle w:val="aff3"/>
        <w:rPr>
          <w:rtl/>
        </w:rPr>
      </w:pPr>
      <w:bookmarkStart w:id="275" w:name="_Toc334046492"/>
      <w:r>
        <w:rPr>
          <w:rFonts w:hint="cs"/>
          <w:noProof w:val="0"/>
          <w:rtl/>
        </w:rPr>
        <w:t xml:space="preserve">                                       </w:t>
      </w:r>
      <w:r w:rsidR="00272836">
        <w:rPr>
          <w:rFonts w:hint="cs"/>
          <w:noProof w:val="0"/>
          <w:rtl/>
        </w:rPr>
        <w:t>المطلب</w:t>
      </w:r>
      <w:r w:rsidR="00DE3F96">
        <w:rPr>
          <w:rFonts w:hint="cs"/>
          <w:rtl/>
        </w:rPr>
        <w:t xml:space="preserve"> </w:t>
      </w:r>
      <w:r w:rsidR="00272836">
        <w:rPr>
          <w:rFonts w:hint="cs"/>
          <w:rtl/>
        </w:rPr>
        <w:t>الخامس</w:t>
      </w:r>
      <w:r w:rsidR="00272836">
        <w:rPr>
          <w:rFonts w:hint="eastAsia"/>
          <w:rtl/>
        </w:rPr>
        <w:t> :</w:t>
      </w:r>
      <w:r w:rsidR="00272836">
        <w:rPr>
          <w:rFonts w:hint="cs"/>
          <w:rtl/>
        </w:rPr>
        <w:br/>
      </w:r>
      <w:r>
        <w:rPr>
          <w:rFonts w:hint="cs"/>
          <w:rtl/>
        </w:rPr>
        <w:t xml:space="preserve">                                       </w:t>
      </w:r>
      <w:r w:rsidR="00272836">
        <w:rPr>
          <w:rFonts w:hint="cs"/>
          <w:rtl/>
        </w:rPr>
        <w:t>مستثنيات القاعدة</w:t>
      </w:r>
      <w:bookmarkEnd w:id="275"/>
    </w:p>
    <w:p w:rsidR="00DE3F96"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م</w:t>
      </w:r>
      <w:r w:rsidR="00272836">
        <w:rPr>
          <w:rFonts w:ascii="Traditional Arabic" w:hAnsi="Traditional Arabic" w:hint="cs"/>
          <w:noProof w:val="0"/>
          <w:rtl/>
          <w:lang w:eastAsia="en-US"/>
        </w:rPr>
        <w:t>ن المسائل المستثناة من القاعدة:</w:t>
      </w:r>
      <w:r w:rsidR="00DE3F96">
        <w:rPr>
          <w:rFonts w:ascii="Traditional Arabic" w:hAnsi="Traditional Arabic" w:hint="cs"/>
          <w:noProof w:val="0"/>
          <w:rtl/>
          <w:lang w:eastAsia="en-US"/>
        </w:rPr>
        <w:t xml:space="preserve"> </w:t>
      </w:r>
      <w:r w:rsidR="00272836">
        <w:rPr>
          <w:rFonts w:ascii="Traditional Arabic" w:hAnsi="Traditional Arabic" w:hint="cs"/>
          <w:noProof w:val="0"/>
          <w:rtl/>
          <w:lang w:eastAsia="en-US"/>
        </w:rPr>
        <w:t>إذا أعتقت امرأة عبداً فإن ولاءه يكون لابنها.</w:t>
      </w:r>
    </w:p>
    <w:p w:rsidR="00F228A9" w:rsidRPr="004B4BEC" w:rsidRDefault="00272836"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 xml:space="preserve">أما لو جنى </w:t>
      </w:r>
      <w:r w:rsidR="00801B78">
        <w:rPr>
          <w:rFonts w:ascii="Traditional Arabic" w:hAnsi="Traditional Arabic" w:hint="cs"/>
          <w:noProof w:val="0"/>
          <w:rtl/>
          <w:lang w:eastAsia="en-US"/>
        </w:rPr>
        <w:t xml:space="preserve">هذا </w:t>
      </w:r>
      <w:r>
        <w:rPr>
          <w:rFonts w:ascii="Traditional Arabic" w:hAnsi="Traditional Arabic" w:hint="cs"/>
          <w:noProof w:val="0"/>
          <w:rtl/>
          <w:lang w:eastAsia="en-US"/>
        </w:rPr>
        <w:t>العبد</w:t>
      </w:r>
      <w:r w:rsidR="00801B78">
        <w:rPr>
          <w:rFonts w:ascii="Traditional Arabic" w:hAnsi="Traditional Arabic" w:hint="cs"/>
          <w:noProof w:val="0"/>
          <w:rtl/>
          <w:lang w:eastAsia="en-US"/>
        </w:rPr>
        <w:t>ُ</w:t>
      </w:r>
      <w:r>
        <w:rPr>
          <w:rFonts w:ascii="Traditional Arabic" w:hAnsi="Traditional Arabic" w:hint="cs"/>
          <w:noProof w:val="0"/>
          <w:rtl/>
          <w:lang w:eastAsia="en-US"/>
        </w:rPr>
        <w:t xml:space="preserve"> جنايةَ خطأٍ فالدية</w:t>
      </w:r>
      <w:r w:rsidRPr="00C821A1">
        <w:rPr>
          <w:rStyle w:val="af1"/>
          <w:szCs w:val="32"/>
          <w:rtl/>
        </w:rPr>
        <w:t>(</w:t>
      </w:r>
      <w:r w:rsidRPr="00C821A1">
        <w:rPr>
          <w:rStyle w:val="af1"/>
          <w:szCs w:val="32"/>
          <w:rtl/>
        </w:rPr>
        <w:footnoteReference w:id="1399"/>
      </w:r>
      <w:r w:rsidRPr="00C821A1">
        <w:rPr>
          <w:rStyle w:val="af1"/>
          <w:szCs w:val="32"/>
          <w:rtl/>
        </w:rPr>
        <w:t>)</w:t>
      </w:r>
      <w:r>
        <w:rPr>
          <w:rFonts w:ascii="Traditional Arabic" w:hAnsi="Traditional Arabic" w:hint="cs"/>
          <w:noProof w:val="0"/>
          <w:rtl/>
          <w:lang w:eastAsia="en-US"/>
        </w:rPr>
        <w:t xml:space="preserve"> تكون على عَصَبة</w:t>
      </w:r>
      <w:r w:rsidRPr="00C821A1">
        <w:rPr>
          <w:rStyle w:val="af1"/>
          <w:szCs w:val="32"/>
          <w:rtl/>
        </w:rPr>
        <w:t>(</w:t>
      </w:r>
      <w:r w:rsidRPr="00C821A1">
        <w:rPr>
          <w:rStyle w:val="af1"/>
          <w:szCs w:val="32"/>
          <w:rtl/>
        </w:rPr>
        <w:footnoteReference w:id="1400"/>
      </w:r>
      <w:r w:rsidRPr="00C821A1">
        <w:rPr>
          <w:rStyle w:val="af1"/>
          <w:szCs w:val="32"/>
          <w:rtl/>
        </w:rPr>
        <w:t>)</w:t>
      </w:r>
      <w:r>
        <w:rPr>
          <w:rFonts w:ascii="Traditional Arabic" w:hAnsi="Traditional Arabic" w:hint="cs"/>
          <w:noProof w:val="0"/>
          <w:rtl/>
          <w:lang w:eastAsia="en-US"/>
        </w:rPr>
        <w:t xml:space="preserve"> المرأة، لا على ابنها، فعصبة المرأة هنا عليهم الدية، ولا ميراث لهم بوجود الابن</w:t>
      </w:r>
      <w:r w:rsidRPr="00C821A1">
        <w:rPr>
          <w:rStyle w:val="af1"/>
          <w:szCs w:val="32"/>
          <w:rtl/>
        </w:rPr>
        <w:t>(</w:t>
      </w:r>
      <w:r w:rsidRPr="00C821A1">
        <w:rPr>
          <w:rStyle w:val="af1"/>
          <w:szCs w:val="32"/>
          <w:rtl/>
        </w:rPr>
        <w:footnoteReference w:id="1401"/>
      </w:r>
      <w:r w:rsidRPr="00C821A1">
        <w:rPr>
          <w:rStyle w:val="af1"/>
          <w:szCs w:val="32"/>
          <w:rtl/>
        </w:rPr>
        <w:t>)</w:t>
      </w:r>
      <w:r>
        <w:rPr>
          <w:rFonts w:ascii="Traditional Arabic" w:hAnsi="Traditional Arabic" w:hint="cs"/>
          <w:noProof w:val="0"/>
          <w:rtl/>
          <w:lang w:eastAsia="en-US"/>
        </w:rPr>
        <w:t>.</w:t>
      </w:r>
    </w:p>
    <w:p w:rsidR="00546122" w:rsidRPr="00C85F0F" w:rsidRDefault="00F044B9" w:rsidP="000F5C0F">
      <w:pPr>
        <w:pStyle w:val="aff2"/>
        <w:rPr>
          <w:rtl/>
        </w:rPr>
      </w:pPr>
      <w:bookmarkStart w:id="276" w:name="_Toc334046493"/>
      <w:r w:rsidRPr="00657189">
        <w:rPr>
          <w:rFonts w:ascii="Traditional Arabic" w:hAnsi="Traditional Arabic" w:hint="cs"/>
          <w:rtl/>
        </w:rPr>
        <w:lastRenderedPageBreak/>
        <w:t>المبحث الخامس</w:t>
      </w:r>
      <w:r>
        <w:rPr>
          <w:rFonts w:ascii="Traditional Arabic" w:hAnsi="Traditional Arabic" w:hint="eastAsia"/>
          <w:rtl/>
        </w:rPr>
        <w:t> :</w:t>
      </w:r>
      <w:r>
        <w:rPr>
          <w:rFonts w:ascii="Traditional Arabic" w:hAnsi="Traditional Arabic" w:hint="cs"/>
          <w:rtl/>
        </w:rPr>
        <w:br/>
      </w:r>
      <w:r w:rsidR="00546122" w:rsidRPr="00546122">
        <w:rPr>
          <w:rFonts w:ascii="Traditional Arabic" w:hAnsi="Traditional Arabic" w:hint="cs"/>
          <w:rtl/>
        </w:rPr>
        <w:t>قاعدة</w:t>
      </w:r>
      <w:r w:rsidR="00546122">
        <w:rPr>
          <w:rFonts w:ascii="Traditional Arabic" w:hAnsi="Traditional Arabic"/>
          <w:rtl/>
        </w:rPr>
        <w:br/>
      </w:r>
      <w:r w:rsidR="00546122">
        <w:rPr>
          <w:rFonts w:hint="cs"/>
          <w:rtl/>
        </w:rPr>
        <w:t>"</w:t>
      </w:r>
      <w:r w:rsidR="00546122" w:rsidRPr="00995176">
        <w:rPr>
          <w:rFonts w:hint="cs"/>
          <w:rtl/>
        </w:rPr>
        <w:t xml:space="preserve">الأمين إذا لم يتعد ولم يفرط </w:t>
      </w:r>
      <w:r w:rsidR="00925718">
        <w:rPr>
          <w:rFonts w:hint="cs"/>
          <w:rtl/>
        </w:rPr>
        <w:t>ف</w:t>
      </w:r>
      <w:r w:rsidR="00546122">
        <w:rPr>
          <w:rFonts w:hint="cs"/>
          <w:rtl/>
        </w:rPr>
        <w:t xml:space="preserve">لا </w:t>
      </w:r>
      <w:r w:rsidR="00546122" w:rsidRPr="00995176">
        <w:rPr>
          <w:rFonts w:hint="cs"/>
          <w:rtl/>
        </w:rPr>
        <w:t>ضم</w:t>
      </w:r>
      <w:r w:rsidR="00925718">
        <w:rPr>
          <w:rFonts w:hint="cs"/>
          <w:rtl/>
        </w:rPr>
        <w:t>ا</w:t>
      </w:r>
      <w:r w:rsidR="00546122" w:rsidRPr="00995176">
        <w:rPr>
          <w:rFonts w:hint="cs"/>
          <w:rtl/>
        </w:rPr>
        <w:t>ن</w:t>
      </w:r>
      <w:r w:rsidR="00925718">
        <w:rPr>
          <w:rFonts w:hint="cs"/>
          <w:rtl/>
        </w:rPr>
        <w:t xml:space="preserve"> عليه</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الأمينإذالميتعدولميفرطفلاضمانعليه</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546122" w:rsidRPr="00C85F0F">
        <w:rPr>
          <w:rFonts w:hint="cs"/>
          <w:rtl/>
        </w:rPr>
        <w:t>"</w:t>
      </w:r>
      <w:r w:rsidR="00546122" w:rsidRPr="00C85F0F">
        <w:rPr>
          <w:rStyle w:val="af1"/>
          <w:b w:val="0"/>
          <w:bCs w:val="0"/>
          <w:szCs w:val="32"/>
          <w:rtl/>
        </w:rPr>
        <w:t>(</w:t>
      </w:r>
      <w:r w:rsidR="00546122" w:rsidRPr="00C85F0F">
        <w:rPr>
          <w:rStyle w:val="af1"/>
          <w:b w:val="0"/>
          <w:bCs w:val="0"/>
          <w:szCs w:val="32"/>
          <w:rtl/>
        </w:rPr>
        <w:footnoteReference w:id="1402"/>
      </w:r>
      <w:r w:rsidR="00546122" w:rsidRPr="00C85F0F">
        <w:rPr>
          <w:rStyle w:val="af1"/>
          <w:b w:val="0"/>
          <w:bCs w:val="0"/>
          <w:szCs w:val="32"/>
          <w:rtl/>
        </w:rPr>
        <w:t>)</w:t>
      </w:r>
      <w:bookmarkEnd w:id="276"/>
    </w:p>
    <w:p w:rsidR="00065E4B" w:rsidRPr="00C85F0F" w:rsidRDefault="00FB54E9" w:rsidP="00A8347C">
      <w:pPr>
        <w:pStyle w:val="aff3"/>
        <w:rPr>
          <w:rtl/>
        </w:rPr>
      </w:pPr>
      <w:bookmarkStart w:id="277" w:name="_Toc334046494"/>
      <w:r>
        <w:rPr>
          <w:rFonts w:hint="cs"/>
          <w:rtl/>
        </w:rPr>
        <w:t xml:space="preserve">                                         المطلب</w:t>
      </w:r>
      <w:r w:rsidR="00DE3F96">
        <w:rPr>
          <w:rFonts w:hint="cs"/>
          <w:rtl/>
        </w:rPr>
        <w:t xml:space="preserve"> </w:t>
      </w:r>
      <w:r w:rsidR="00546122" w:rsidRPr="00C85F0F">
        <w:rPr>
          <w:rFonts w:hint="cs"/>
          <w:rtl/>
        </w:rPr>
        <w:t>الأول</w:t>
      </w:r>
      <w:r w:rsidR="00546122" w:rsidRPr="00C85F0F">
        <w:rPr>
          <w:rFonts w:hint="eastAsia"/>
          <w:rtl/>
        </w:rPr>
        <w:t> :</w:t>
      </w:r>
      <w:r w:rsidR="00546122" w:rsidRPr="00C85F0F">
        <w:rPr>
          <w:rFonts w:hint="cs"/>
          <w:rtl/>
        </w:rPr>
        <w:br/>
      </w:r>
      <w:r>
        <w:rPr>
          <w:rFonts w:hint="cs"/>
          <w:rtl/>
        </w:rPr>
        <w:t xml:space="preserve">                       </w:t>
      </w:r>
      <w:r w:rsidR="00546122" w:rsidRPr="00C85F0F">
        <w:rPr>
          <w:rFonts w:hint="cs"/>
          <w:rtl/>
        </w:rPr>
        <w:t>صيغ القاعدة عند الشيخ وعند علماء القواعد</w:t>
      </w:r>
      <w:bookmarkEnd w:id="277"/>
    </w:p>
    <w:p w:rsidR="00546122" w:rsidRPr="00C85F0F" w:rsidRDefault="00801B78" w:rsidP="00597C20">
      <w:pPr>
        <w:ind w:firstLine="0"/>
        <w:rPr>
          <w:rtl/>
        </w:rPr>
      </w:pPr>
      <w:r>
        <w:rPr>
          <w:rFonts w:hint="cs"/>
          <w:rtl/>
        </w:rPr>
        <w:t xml:space="preserve">    </w:t>
      </w:r>
      <w:r w:rsidR="00065E4B" w:rsidRPr="00C85F0F">
        <w:rPr>
          <w:rFonts w:hint="cs"/>
          <w:rtl/>
        </w:rPr>
        <w:t>و</w:t>
      </w:r>
      <w:r w:rsidR="00546122" w:rsidRPr="00C85F0F">
        <w:rPr>
          <w:rFonts w:hint="cs"/>
          <w:rtl/>
        </w:rPr>
        <w:t xml:space="preserve">ردت هذه القاعدة عند الشيخ ابن عثيمين </w:t>
      </w:r>
      <w:r w:rsidR="00DE3F96">
        <w:rPr>
          <w:rFonts w:hint="cs"/>
          <w:rtl/>
        </w:rPr>
        <w:t>_</w:t>
      </w:r>
      <w:r w:rsidR="009A0575" w:rsidRPr="005D5694">
        <w:rPr>
          <w:rFonts w:ascii="Traditional Arabic" w:hAnsi="Traditional Arabic" w:cs="CTraditional Arabic" w:hint="cs"/>
          <w:rtl/>
        </w:rPr>
        <w:t>/</w:t>
      </w:r>
      <w:r w:rsidR="00DE3F96">
        <w:rPr>
          <w:rFonts w:hint="cs"/>
          <w:rtl/>
        </w:rPr>
        <w:t>_</w:t>
      </w:r>
      <w:r w:rsidR="00546122" w:rsidRPr="00C85F0F">
        <w:rPr>
          <w:rFonts w:hint="cs"/>
          <w:rtl/>
        </w:rPr>
        <w:t xml:space="preserve"> بعدة صيغ، منها:</w:t>
      </w:r>
    </w:p>
    <w:p w:rsidR="00546122" w:rsidRPr="00C85F0F" w:rsidRDefault="00546122" w:rsidP="000A76C7">
      <w:pPr>
        <w:numPr>
          <w:ilvl w:val="0"/>
          <w:numId w:val="188"/>
        </w:numPr>
        <w:rPr>
          <w:color w:val="auto"/>
        </w:rPr>
      </w:pPr>
      <w:r w:rsidRPr="00C85F0F">
        <w:rPr>
          <w:rFonts w:ascii="Traditional Arabic" w:hAnsi="Traditional Arabic"/>
          <w:noProof w:val="0"/>
          <w:color w:val="auto"/>
          <w:rtl/>
          <w:lang w:eastAsia="en-US"/>
        </w:rPr>
        <w:t>الأمين إذا لم يتعد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ولم يفر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 فلا ضمان</w:t>
      </w:r>
      <w:r w:rsidRPr="00C85F0F">
        <w:rPr>
          <w:rFonts w:ascii="Traditional Arabic" w:hAnsi="Traditional Arabic" w:hint="cs"/>
          <w:noProof w:val="0"/>
          <w:color w:val="auto"/>
          <w:rtl/>
          <w:lang w:eastAsia="en-US"/>
        </w:rPr>
        <w:t>َ</w:t>
      </w:r>
      <w:r w:rsidR="00DE3F96">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عليه</w:t>
      </w:r>
      <w:r w:rsidRPr="00C85F0F">
        <w:rPr>
          <w:rStyle w:val="af1"/>
          <w:szCs w:val="32"/>
          <w:rtl/>
        </w:rPr>
        <w:t>(</w:t>
      </w:r>
      <w:r w:rsidRPr="00C85F0F">
        <w:rPr>
          <w:rStyle w:val="af1"/>
          <w:szCs w:val="32"/>
          <w:rtl/>
        </w:rPr>
        <w:footnoteReference w:id="1403"/>
      </w:r>
      <w:r w:rsidRPr="00C85F0F">
        <w:rPr>
          <w:rStyle w:val="af1"/>
          <w:szCs w:val="32"/>
          <w:rtl/>
        </w:rPr>
        <w:t>)</w:t>
      </w:r>
      <w:r w:rsidRPr="00C85F0F">
        <w:rPr>
          <w:rFonts w:ascii="Traditional Arabic" w:hAnsi="Traditional Arabic"/>
          <w:noProof w:val="0"/>
          <w:color w:val="auto"/>
          <w:rtl/>
          <w:lang w:eastAsia="en-US"/>
        </w:rPr>
        <w:t>.</w:t>
      </w:r>
    </w:p>
    <w:p w:rsidR="00546122" w:rsidRPr="00C85F0F" w:rsidRDefault="00546122" w:rsidP="000A76C7">
      <w:pPr>
        <w:numPr>
          <w:ilvl w:val="0"/>
          <w:numId w:val="188"/>
        </w:numPr>
        <w:rPr>
          <w:color w:val="auto"/>
        </w:rPr>
      </w:pPr>
      <w:r w:rsidRPr="00C85F0F">
        <w:rPr>
          <w:rFonts w:ascii="Traditional Arabic" w:hAnsi="Traditional Arabic"/>
          <w:noProof w:val="0"/>
          <w:color w:val="auto"/>
          <w:rtl/>
          <w:lang w:eastAsia="en-US"/>
        </w:rPr>
        <w:t>الأمين لا يضمن إلا إذا تعد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ى أو فر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w:t>
      </w:r>
      <w:r w:rsidRPr="00C85F0F">
        <w:rPr>
          <w:rStyle w:val="af1"/>
          <w:szCs w:val="32"/>
          <w:rtl/>
        </w:rPr>
        <w:t>(</w:t>
      </w:r>
      <w:r w:rsidRPr="00C85F0F">
        <w:rPr>
          <w:rStyle w:val="af1"/>
          <w:szCs w:val="32"/>
          <w:rtl/>
        </w:rPr>
        <w:footnoteReference w:id="1404"/>
      </w:r>
      <w:r w:rsidRPr="00C85F0F">
        <w:rPr>
          <w:rStyle w:val="af1"/>
          <w:szCs w:val="32"/>
          <w:rtl/>
        </w:rPr>
        <w:t>)</w:t>
      </w:r>
      <w:r w:rsidRPr="00C85F0F">
        <w:rPr>
          <w:rFonts w:ascii="Traditional Arabic" w:hAnsi="Traditional Arabic"/>
          <w:noProof w:val="0"/>
          <w:color w:val="auto"/>
          <w:rtl/>
          <w:lang w:eastAsia="en-US"/>
        </w:rPr>
        <w:t>.</w:t>
      </w:r>
    </w:p>
    <w:p w:rsidR="00546122" w:rsidRPr="00C85F0F" w:rsidRDefault="00546122" w:rsidP="000A76C7">
      <w:pPr>
        <w:numPr>
          <w:ilvl w:val="0"/>
          <w:numId w:val="188"/>
        </w:numPr>
        <w:rPr>
          <w:color w:val="auto"/>
          <w:rtl/>
        </w:rPr>
      </w:pPr>
      <w:r w:rsidRPr="00C85F0F">
        <w:rPr>
          <w:rFonts w:ascii="Traditional Arabic" w:hAnsi="Traditional Arabic"/>
          <w:noProof w:val="0"/>
          <w:color w:val="auto"/>
          <w:rtl/>
          <w:lang w:eastAsia="en-US"/>
        </w:rPr>
        <w:t>الأمين لا يضمن إلا بتعد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أو تفريط</w:t>
      </w:r>
      <w:r w:rsidRPr="00C85F0F">
        <w:rPr>
          <w:rStyle w:val="af1"/>
          <w:szCs w:val="32"/>
          <w:rtl/>
        </w:rPr>
        <w:t>(</w:t>
      </w:r>
      <w:r w:rsidRPr="00C85F0F">
        <w:rPr>
          <w:rStyle w:val="af1"/>
          <w:szCs w:val="32"/>
          <w:rtl/>
        </w:rPr>
        <w:footnoteReference w:id="1405"/>
      </w:r>
      <w:r w:rsidRPr="00C85F0F">
        <w:rPr>
          <w:rStyle w:val="af1"/>
          <w:szCs w:val="32"/>
          <w:rtl/>
        </w:rPr>
        <w:t>)</w:t>
      </w:r>
      <w:r w:rsidRPr="00C85F0F">
        <w:rPr>
          <w:rFonts w:hint="cs"/>
          <w:color w:val="auto"/>
          <w:rtl/>
        </w:rPr>
        <w:t>.</w:t>
      </w:r>
    </w:p>
    <w:p w:rsidR="00546122" w:rsidRPr="00C85F0F" w:rsidRDefault="00546122" w:rsidP="000A76C7">
      <w:pPr>
        <w:numPr>
          <w:ilvl w:val="0"/>
          <w:numId w:val="188"/>
        </w:numPr>
        <w:rPr>
          <w:color w:val="auto"/>
        </w:rPr>
      </w:pPr>
      <w:r w:rsidRPr="00C85F0F">
        <w:rPr>
          <w:rFonts w:ascii="Traditional Arabic" w:hAnsi="Traditional Arabic"/>
          <w:noProof w:val="0"/>
          <w:color w:val="auto"/>
          <w:rtl/>
          <w:lang w:eastAsia="en-US"/>
        </w:rPr>
        <w:t>القاعدة في الأمين أنه لا يضمن ما تل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 تحت يده إلا بتعد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أو تفريط</w:t>
      </w:r>
      <w:r w:rsidRPr="00C85F0F">
        <w:rPr>
          <w:rStyle w:val="af1"/>
          <w:szCs w:val="32"/>
          <w:rtl/>
        </w:rPr>
        <w:t>(</w:t>
      </w:r>
      <w:r w:rsidRPr="00C85F0F">
        <w:rPr>
          <w:rStyle w:val="af1"/>
          <w:szCs w:val="32"/>
          <w:rtl/>
        </w:rPr>
        <w:footnoteReference w:id="1406"/>
      </w:r>
      <w:r w:rsidRPr="00C85F0F">
        <w:rPr>
          <w:rStyle w:val="af1"/>
          <w:szCs w:val="32"/>
          <w:rtl/>
        </w:rPr>
        <w:t>)</w:t>
      </w:r>
      <w:r w:rsidRPr="00C85F0F">
        <w:rPr>
          <w:rFonts w:ascii="Traditional Arabic" w:hAnsi="Traditional Arabic" w:hint="cs"/>
          <w:noProof w:val="0"/>
          <w:color w:val="auto"/>
          <w:rtl/>
          <w:lang w:eastAsia="en-US"/>
        </w:rPr>
        <w:t>.</w:t>
      </w:r>
    </w:p>
    <w:p w:rsidR="00546122" w:rsidRPr="00C85F0F" w:rsidRDefault="00546122" w:rsidP="000A76C7">
      <w:pPr>
        <w:numPr>
          <w:ilvl w:val="0"/>
          <w:numId w:val="188"/>
        </w:numPr>
        <w:rPr>
          <w:color w:val="auto"/>
        </w:rPr>
      </w:pPr>
      <w:r w:rsidRPr="00C85F0F">
        <w:rPr>
          <w:rFonts w:ascii="Traditional Arabic" w:hAnsi="Traditional Arabic" w:hint="cs"/>
          <w:noProof w:val="0"/>
          <w:color w:val="auto"/>
          <w:rtl/>
          <w:lang w:eastAsia="en-US"/>
        </w:rPr>
        <w:t>كل يدٍ أمينة إذا لم يحصُل منها تعدٍّ ولا تفريط فلا ضمان عليها</w:t>
      </w:r>
      <w:r w:rsidRPr="00C85F0F">
        <w:rPr>
          <w:rStyle w:val="af1"/>
          <w:szCs w:val="32"/>
          <w:rtl/>
        </w:rPr>
        <w:t>(</w:t>
      </w:r>
      <w:r w:rsidRPr="00C85F0F">
        <w:rPr>
          <w:rStyle w:val="af1"/>
          <w:szCs w:val="32"/>
          <w:rtl/>
        </w:rPr>
        <w:footnoteReference w:id="1407"/>
      </w:r>
      <w:r w:rsidRPr="00C85F0F">
        <w:rPr>
          <w:rStyle w:val="af1"/>
          <w:szCs w:val="32"/>
          <w:rtl/>
        </w:rPr>
        <w:t>)</w:t>
      </w:r>
      <w:r w:rsidRPr="00C85F0F">
        <w:rPr>
          <w:rFonts w:ascii="Traditional Arabic" w:hAnsi="Traditional Arabic" w:hint="cs"/>
          <w:noProof w:val="0"/>
          <w:color w:val="auto"/>
          <w:rtl/>
          <w:lang w:eastAsia="en-US"/>
        </w:rPr>
        <w:t>.</w:t>
      </w:r>
    </w:p>
    <w:p w:rsidR="00065E4B" w:rsidRPr="00C85F0F" w:rsidRDefault="00546122" w:rsidP="000A76C7">
      <w:pPr>
        <w:numPr>
          <w:ilvl w:val="0"/>
          <w:numId w:val="188"/>
        </w:numPr>
        <w:rPr>
          <w:color w:val="auto"/>
        </w:rPr>
      </w:pPr>
      <w:r w:rsidRPr="00C85F0F">
        <w:rPr>
          <w:rFonts w:hint="cs"/>
          <w:color w:val="auto"/>
          <w:rtl/>
        </w:rPr>
        <w:t>كل شيء أ</w:t>
      </w:r>
      <w:r w:rsidR="001916D5">
        <w:rPr>
          <w:rFonts w:hint="cs"/>
          <w:color w:val="auto"/>
          <w:rtl/>
        </w:rPr>
        <w:t>ُ</w:t>
      </w:r>
      <w:r w:rsidRPr="00C85F0F">
        <w:rPr>
          <w:rFonts w:hint="cs"/>
          <w:color w:val="auto"/>
          <w:rtl/>
        </w:rPr>
        <w:t>خذ بإذن الشرع أو بإذن مالكه فإنه غير مضمون إلا بتعد أو تفريط</w:t>
      </w:r>
      <w:r w:rsidRPr="00C85F0F">
        <w:rPr>
          <w:rStyle w:val="af1"/>
          <w:szCs w:val="32"/>
          <w:rtl/>
        </w:rPr>
        <w:t>(</w:t>
      </w:r>
      <w:r w:rsidRPr="00C85F0F">
        <w:rPr>
          <w:rStyle w:val="af1"/>
          <w:szCs w:val="32"/>
          <w:rtl/>
        </w:rPr>
        <w:footnoteReference w:id="1408"/>
      </w:r>
      <w:r w:rsidRPr="00C85F0F">
        <w:rPr>
          <w:rStyle w:val="af1"/>
          <w:szCs w:val="32"/>
          <w:rtl/>
        </w:rPr>
        <w:t>)</w:t>
      </w:r>
      <w:r w:rsidRPr="00C85F0F">
        <w:rPr>
          <w:rFonts w:hint="cs"/>
          <w:color w:val="auto"/>
          <w:rtl/>
        </w:rPr>
        <w:t>.</w:t>
      </w:r>
    </w:p>
    <w:p w:rsidR="00546122" w:rsidRPr="00C85F0F" w:rsidRDefault="00801B78" w:rsidP="00597C20">
      <w:pPr>
        <w:ind w:firstLine="0"/>
        <w:rPr>
          <w:color w:val="auto"/>
          <w:rtl/>
        </w:rPr>
      </w:pPr>
      <w:r>
        <w:rPr>
          <w:rFonts w:hint="cs"/>
          <w:color w:val="auto"/>
          <w:rtl/>
        </w:rPr>
        <w:t xml:space="preserve">    </w:t>
      </w:r>
      <w:r w:rsidR="00065E4B" w:rsidRPr="00C85F0F">
        <w:rPr>
          <w:rFonts w:hint="cs"/>
          <w:color w:val="auto"/>
          <w:rtl/>
        </w:rPr>
        <w:t>و</w:t>
      </w:r>
      <w:r w:rsidR="00546122" w:rsidRPr="00C85F0F">
        <w:rPr>
          <w:rFonts w:hint="cs"/>
          <w:color w:val="auto"/>
          <w:rtl/>
        </w:rPr>
        <w:t>مما وردت به هذه القاعدة عند علماء القواعد:</w:t>
      </w:r>
    </w:p>
    <w:p w:rsidR="00546122" w:rsidRPr="00DE3F96" w:rsidRDefault="00546122" w:rsidP="000A76C7">
      <w:pPr>
        <w:pStyle w:val="afc"/>
        <w:numPr>
          <w:ilvl w:val="0"/>
          <w:numId w:val="334"/>
        </w:numPr>
        <w:rPr>
          <w:color w:val="auto"/>
        </w:rPr>
      </w:pPr>
      <w:r w:rsidRPr="00DE3F96">
        <w:rPr>
          <w:rFonts w:hint="cs"/>
          <w:color w:val="auto"/>
          <w:rtl/>
        </w:rPr>
        <w:t>التلَف في يد الأمين غير مضمون إذا لم يتعدَّ أو يفرِّط، وفي يد الظالم مضمونٌ مطلقاً</w:t>
      </w:r>
      <w:r w:rsidRPr="00DE3F96">
        <w:rPr>
          <w:rStyle w:val="af1"/>
          <w:szCs w:val="32"/>
          <w:rtl/>
        </w:rPr>
        <w:t>(</w:t>
      </w:r>
      <w:r w:rsidRPr="00C85F0F">
        <w:rPr>
          <w:rStyle w:val="af1"/>
          <w:szCs w:val="32"/>
          <w:rtl/>
        </w:rPr>
        <w:footnoteReference w:id="1409"/>
      </w:r>
      <w:r w:rsidRPr="00DE3F96">
        <w:rPr>
          <w:rStyle w:val="af1"/>
          <w:szCs w:val="32"/>
          <w:rtl/>
        </w:rPr>
        <w:t>)</w:t>
      </w:r>
      <w:r w:rsidRPr="00DE3F96">
        <w:rPr>
          <w:rFonts w:hint="cs"/>
          <w:color w:val="auto"/>
          <w:rtl/>
        </w:rPr>
        <w:t>.</w:t>
      </w:r>
    </w:p>
    <w:p w:rsidR="00065E4B" w:rsidRPr="00C85F0F" w:rsidRDefault="00FB54E9" w:rsidP="00A8347C">
      <w:pPr>
        <w:pStyle w:val="aff3"/>
        <w:rPr>
          <w:rtl/>
        </w:rPr>
      </w:pPr>
      <w:bookmarkStart w:id="278" w:name="_Toc334046495"/>
      <w:r>
        <w:rPr>
          <w:rFonts w:hint="cs"/>
          <w:rtl/>
        </w:rPr>
        <w:lastRenderedPageBreak/>
        <w:t xml:space="preserve">                                         المطلب</w:t>
      </w:r>
      <w:r w:rsidR="00DE3F96">
        <w:rPr>
          <w:rFonts w:hint="cs"/>
          <w:rtl/>
        </w:rPr>
        <w:t xml:space="preserve"> </w:t>
      </w:r>
      <w:r w:rsidR="00546122" w:rsidRPr="00C85F0F">
        <w:rPr>
          <w:rFonts w:hint="cs"/>
          <w:rtl/>
        </w:rPr>
        <w:t>الثاني</w:t>
      </w:r>
      <w:r w:rsidR="00546122" w:rsidRPr="00C85F0F">
        <w:rPr>
          <w:rFonts w:hint="eastAsia"/>
          <w:rtl/>
        </w:rPr>
        <w:t> :</w:t>
      </w:r>
      <w:r w:rsidR="00546122" w:rsidRPr="00C85F0F">
        <w:rPr>
          <w:rFonts w:hint="cs"/>
          <w:rtl/>
        </w:rPr>
        <w:br/>
      </w:r>
      <w:r>
        <w:rPr>
          <w:rFonts w:hint="cs"/>
          <w:rtl/>
        </w:rPr>
        <w:t xml:space="preserve">                                          </w:t>
      </w:r>
      <w:r w:rsidR="00546122" w:rsidRPr="00C85F0F">
        <w:rPr>
          <w:rFonts w:hint="cs"/>
          <w:rtl/>
        </w:rPr>
        <w:t>شرح القاعدة</w:t>
      </w:r>
      <w:bookmarkEnd w:id="278"/>
    </w:p>
    <w:p w:rsidR="00312986" w:rsidRDefault="00065E4B" w:rsidP="00597C20">
      <w:pPr>
        <w:pStyle w:val="53"/>
        <w:rPr>
          <w:b w:val="0"/>
          <w:rtl/>
        </w:rPr>
      </w:pPr>
      <w:r w:rsidRPr="00531753">
        <w:rPr>
          <w:rFonts w:hint="cs"/>
          <w:rtl/>
        </w:rPr>
        <w:t>ا</w:t>
      </w:r>
      <w:r w:rsidR="00546122" w:rsidRPr="00531753">
        <w:rPr>
          <w:rFonts w:hint="cs"/>
          <w:rtl/>
        </w:rPr>
        <w:t>لتعدي</w:t>
      </w:r>
      <w:r w:rsidR="00AB0B9E" w:rsidRPr="00C85F0F">
        <w:fldChar w:fldCharType="begin"/>
      </w:r>
      <w:r w:rsidR="005C704E" w:rsidRPr="00C85F0F">
        <w:instrText>XE</w:instrText>
      </w:r>
      <w:r w:rsidR="005C704E" w:rsidRPr="00C85F0F">
        <w:rPr>
          <w:rtl/>
        </w:rPr>
        <w:instrText xml:space="preserve"> "</w:instrText>
      </w:r>
      <w:r w:rsidR="005C704E" w:rsidRPr="00531753">
        <w:rPr>
          <w:rFonts w:hint="cs"/>
          <w:b w:val="0"/>
          <w:bCs w:val="0"/>
          <w:rtl/>
        </w:rPr>
        <w:instrText>التعدي</w:instrText>
      </w:r>
      <w:r w:rsidR="005C704E" w:rsidRPr="00C85F0F">
        <w:rPr>
          <w:rtl/>
        </w:rPr>
        <w:instrText>" \</w:instrText>
      </w:r>
      <w:r w:rsidR="005C704E" w:rsidRPr="00C85F0F">
        <w:instrText>fm</w:instrText>
      </w:r>
      <w:r w:rsidR="00AB0B9E" w:rsidRPr="00C85F0F">
        <w:fldChar w:fldCharType="end"/>
      </w:r>
      <w:r w:rsidR="00546122" w:rsidRPr="00013BAA">
        <w:rPr>
          <w:rFonts w:hint="cs"/>
          <w:b w:val="0"/>
          <w:rtl/>
        </w:rPr>
        <w:t xml:space="preserve"> لغة:</w:t>
      </w:r>
    </w:p>
    <w:p w:rsidR="00065E4B" w:rsidRDefault="00546122" w:rsidP="00597C20">
      <w:pPr>
        <w:ind w:firstLine="720"/>
        <w:rPr>
          <w:color w:val="auto"/>
          <w:rtl/>
        </w:rPr>
      </w:pPr>
      <w:r w:rsidRPr="00673D65">
        <w:rPr>
          <w:rFonts w:ascii="Traditional Arabic" w:hAnsi="Traditional Arabic"/>
          <w:noProof w:val="0"/>
          <w:rtl/>
          <w:lang w:eastAsia="en-US"/>
        </w:rPr>
        <w:t>عدا عليه يعدو ع</w:t>
      </w:r>
      <w:r>
        <w:rPr>
          <w:rFonts w:ascii="Traditional Arabic" w:hAnsi="Traditional Arabic" w:hint="cs"/>
          <w:noProof w:val="0"/>
          <w:rtl/>
          <w:lang w:eastAsia="en-US"/>
        </w:rPr>
        <w:t>َ</w:t>
      </w:r>
      <w:r w:rsidRPr="00673D65">
        <w:rPr>
          <w:rFonts w:ascii="Traditional Arabic" w:hAnsi="Traditional Arabic"/>
          <w:noProof w:val="0"/>
          <w:rtl/>
          <w:lang w:eastAsia="en-US"/>
        </w:rPr>
        <w:t>د</w:t>
      </w:r>
      <w:r>
        <w:rPr>
          <w:rFonts w:ascii="Traditional Arabic" w:hAnsi="Traditional Arabic" w:hint="cs"/>
          <w:noProof w:val="0"/>
          <w:rtl/>
          <w:lang w:eastAsia="en-US"/>
        </w:rPr>
        <w:t>ْ</w:t>
      </w:r>
      <w:r w:rsidRPr="00673D65">
        <w:rPr>
          <w:rFonts w:ascii="Traditional Arabic" w:hAnsi="Traditional Arabic"/>
          <w:noProof w:val="0"/>
          <w:rtl/>
          <w:lang w:eastAsia="en-US"/>
        </w:rPr>
        <w:t>وا</w:t>
      </w:r>
      <w:r>
        <w:rPr>
          <w:rFonts w:ascii="Traditional Arabic" w:hAnsi="Traditional Arabic" w:hint="cs"/>
          <w:noProof w:val="0"/>
          <w:rtl/>
          <w:lang w:eastAsia="en-US"/>
        </w:rPr>
        <w:t>ً</w:t>
      </w:r>
      <w:r w:rsidRPr="00673D65">
        <w:rPr>
          <w:rFonts w:ascii="Traditional Arabic" w:hAnsi="Traditional Arabic"/>
          <w:noProof w:val="0"/>
          <w:rtl/>
          <w:lang w:eastAsia="en-US"/>
        </w:rPr>
        <w:t xml:space="preserve"> وع</w:t>
      </w:r>
      <w:r>
        <w:rPr>
          <w:rFonts w:ascii="Traditional Arabic" w:hAnsi="Traditional Arabic" w:hint="cs"/>
          <w:noProof w:val="0"/>
          <w:rtl/>
          <w:lang w:eastAsia="en-US"/>
        </w:rPr>
        <w:t>ُ</w:t>
      </w:r>
      <w:r w:rsidRPr="00673D65">
        <w:rPr>
          <w:rFonts w:ascii="Traditional Arabic" w:hAnsi="Traditional Arabic"/>
          <w:noProof w:val="0"/>
          <w:rtl/>
          <w:lang w:eastAsia="en-US"/>
        </w:rPr>
        <w:t>د</w:t>
      </w:r>
      <w:r>
        <w:rPr>
          <w:rFonts w:ascii="Traditional Arabic" w:hAnsi="Traditional Arabic" w:hint="cs"/>
          <w:noProof w:val="0"/>
          <w:rtl/>
          <w:lang w:eastAsia="en-US"/>
        </w:rPr>
        <w:t>ُ</w:t>
      </w:r>
      <w:r w:rsidRPr="00673D65">
        <w:rPr>
          <w:rFonts w:ascii="Traditional Arabic" w:hAnsi="Traditional Arabic"/>
          <w:noProof w:val="0"/>
          <w:rtl/>
          <w:lang w:eastAsia="en-US"/>
        </w:rPr>
        <w:t>و</w:t>
      </w:r>
      <w:r>
        <w:rPr>
          <w:rFonts w:ascii="Traditional Arabic" w:hAnsi="Traditional Arabic" w:hint="cs"/>
          <w:noProof w:val="0"/>
          <w:rtl/>
          <w:lang w:eastAsia="en-US"/>
        </w:rPr>
        <w:t>ّ</w:t>
      </w:r>
      <w:r w:rsidRPr="00673D65">
        <w:rPr>
          <w:rFonts w:ascii="Traditional Arabic" w:hAnsi="Traditional Arabic"/>
          <w:noProof w:val="0"/>
          <w:rtl/>
          <w:lang w:eastAsia="en-US"/>
        </w:rPr>
        <w:t>ا</w:t>
      </w:r>
      <w:r>
        <w:rPr>
          <w:rFonts w:ascii="Traditional Arabic" w:hAnsi="Traditional Arabic" w:hint="cs"/>
          <w:noProof w:val="0"/>
          <w:rtl/>
          <w:lang w:eastAsia="en-US"/>
        </w:rPr>
        <w:t>ً</w:t>
      </w:r>
      <w:r w:rsidRPr="00673D65">
        <w:rPr>
          <w:rFonts w:ascii="Traditional Arabic" w:hAnsi="Traditional Arabic"/>
          <w:noProof w:val="0"/>
          <w:rtl/>
          <w:lang w:eastAsia="en-US"/>
        </w:rPr>
        <w:t xml:space="preserve"> وع</w:t>
      </w:r>
      <w:r>
        <w:rPr>
          <w:rFonts w:ascii="Traditional Arabic" w:hAnsi="Traditional Arabic" w:hint="cs"/>
          <w:noProof w:val="0"/>
          <w:rtl/>
          <w:lang w:eastAsia="en-US"/>
        </w:rPr>
        <w:t>ُ</w:t>
      </w:r>
      <w:r w:rsidRPr="00673D65">
        <w:rPr>
          <w:rFonts w:ascii="Traditional Arabic" w:hAnsi="Traditional Arabic"/>
          <w:noProof w:val="0"/>
          <w:rtl/>
          <w:lang w:eastAsia="en-US"/>
        </w:rPr>
        <w:t>د</w:t>
      </w:r>
      <w:r>
        <w:rPr>
          <w:rFonts w:ascii="Traditional Arabic" w:hAnsi="Traditional Arabic" w:hint="cs"/>
          <w:noProof w:val="0"/>
          <w:rtl/>
          <w:lang w:eastAsia="en-US"/>
        </w:rPr>
        <w:t>ْ</w:t>
      </w:r>
      <w:r w:rsidRPr="00673D65">
        <w:rPr>
          <w:rFonts w:ascii="Traditional Arabic" w:hAnsi="Traditional Arabic"/>
          <w:noProof w:val="0"/>
          <w:rtl/>
          <w:lang w:eastAsia="en-US"/>
        </w:rPr>
        <w:t>وانا</w:t>
      </w:r>
      <w:r>
        <w:rPr>
          <w:rFonts w:ascii="Traditional Arabic" w:hAnsi="Traditional Arabic" w:hint="cs"/>
          <w:noProof w:val="0"/>
          <w:rtl/>
          <w:lang w:eastAsia="en-US"/>
        </w:rPr>
        <w:t>ً</w:t>
      </w:r>
      <w:r w:rsidRPr="00673D65">
        <w:rPr>
          <w:rFonts w:ascii="Traditional Arabic" w:hAnsi="Traditional Arabic"/>
          <w:noProof w:val="0"/>
          <w:rtl/>
          <w:lang w:eastAsia="en-US"/>
        </w:rPr>
        <w:t xml:space="preserve"> وع</w:t>
      </w:r>
      <w:r>
        <w:rPr>
          <w:rFonts w:ascii="Traditional Arabic" w:hAnsi="Traditional Arabic" w:hint="cs"/>
          <w:noProof w:val="0"/>
          <w:rtl/>
          <w:lang w:eastAsia="en-US"/>
        </w:rPr>
        <w:t>َ</w:t>
      </w:r>
      <w:r w:rsidRPr="00673D65">
        <w:rPr>
          <w:rFonts w:ascii="Traditional Arabic" w:hAnsi="Traditional Arabic"/>
          <w:noProof w:val="0"/>
          <w:rtl/>
          <w:lang w:eastAsia="en-US"/>
        </w:rPr>
        <w:t>داء</w:t>
      </w:r>
      <w:r>
        <w:rPr>
          <w:rFonts w:ascii="Traditional Arabic" w:hAnsi="Traditional Arabic" w:hint="cs"/>
          <w:noProof w:val="0"/>
          <w:rtl/>
          <w:lang w:eastAsia="en-US"/>
        </w:rPr>
        <w:t>ً:</w:t>
      </w:r>
      <w:r w:rsidRPr="00673D65">
        <w:rPr>
          <w:rFonts w:ascii="Traditional Arabic" w:hAnsi="Traditional Arabic"/>
          <w:noProof w:val="0"/>
          <w:rtl/>
          <w:lang w:eastAsia="en-US"/>
        </w:rPr>
        <w:t xml:space="preserve"> ظل</w:t>
      </w:r>
      <w:r>
        <w:rPr>
          <w:rFonts w:ascii="Traditional Arabic" w:hAnsi="Traditional Arabic" w:hint="cs"/>
          <w:noProof w:val="0"/>
          <w:rtl/>
          <w:lang w:eastAsia="en-US"/>
        </w:rPr>
        <w:t>َ</w:t>
      </w:r>
      <w:r w:rsidRPr="00673D65">
        <w:rPr>
          <w:rFonts w:ascii="Traditional Arabic" w:hAnsi="Traditional Arabic"/>
          <w:noProof w:val="0"/>
          <w:rtl/>
          <w:lang w:eastAsia="en-US"/>
        </w:rPr>
        <w:t>م وتجاو</w:t>
      </w:r>
      <w:r>
        <w:rPr>
          <w:rFonts w:ascii="Traditional Arabic" w:hAnsi="Traditional Arabic" w:hint="cs"/>
          <w:noProof w:val="0"/>
          <w:rtl/>
          <w:lang w:eastAsia="en-US"/>
        </w:rPr>
        <w:t>َ</w:t>
      </w:r>
      <w:r w:rsidRPr="00673D65">
        <w:rPr>
          <w:rFonts w:ascii="Traditional Arabic" w:hAnsi="Traditional Arabic"/>
          <w:noProof w:val="0"/>
          <w:rtl/>
          <w:lang w:eastAsia="en-US"/>
        </w:rPr>
        <w:t>ز الحد</w:t>
      </w:r>
      <w:r>
        <w:rPr>
          <w:rFonts w:ascii="Traditional Arabic" w:hAnsi="Traditional Arabic" w:hint="cs"/>
          <w:noProof w:val="0"/>
          <w:rtl/>
          <w:lang w:eastAsia="en-US"/>
        </w:rPr>
        <w:t>،</w:t>
      </w:r>
      <w:r w:rsidRPr="00673D65">
        <w:rPr>
          <w:rFonts w:ascii="Traditional Arabic" w:hAnsi="Traditional Arabic"/>
          <w:noProof w:val="0"/>
          <w:rtl/>
          <w:lang w:eastAsia="en-US"/>
        </w:rPr>
        <w:t xml:space="preserve"> واعتدى وتعد</w:t>
      </w:r>
      <w:r>
        <w:rPr>
          <w:rFonts w:ascii="Traditional Arabic" w:hAnsi="Traditional Arabic" w:hint="cs"/>
          <w:noProof w:val="0"/>
          <w:rtl/>
          <w:lang w:eastAsia="en-US"/>
        </w:rPr>
        <w:t>َّ</w:t>
      </w:r>
      <w:r w:rsidRPr="00673D65">
        <w:rPr>
          <w:rFonts w:ascii="Traditional Arabic" w:hAnsi="Traditional Arabic"/>
          <w:noProof w:val="0"/>
          <w:rtl/>
          <w:lang w:eastAsia="en-US"/>
        </w:rPr>
        <w:t>ى مثل</w:t>
      </w:r>
      <w:r>
        <w:rPr>
          <w:rFonts w:ascii="Traditional Arabic" w:hAnsi="Traditional Arabic" w:hint="cs"/>
          <w:noProof w:val="0"/>
          <w:rtl/>
          <w:lang w:eastAsia="en-US"/>
        </w:rPr>
        <w:t>ُ</w:t>
      </w:r>
      <w:r w:rsidRPr="00673D65">
        <w:rPr>
          <w:rFonts w:ascii="Traditional Arabic" w:hAnsi="Traditional Arabic"/>
          <w:noProof w:val="0"/>
          <w:rtl/>
          <w:lang w:eastAsia="en-US"/>
        </w:rPr>
        <w:t>ه</w:t>
      </w:r>
      <w:r w:rsidRPr="00C821A1">
        <w:rPr>
          <w:rStyle w:val="af1"/>
          <w:szCs w:val="32"/>
          <w:rtl/>
        </w:rPr>
        <w:t>(</w:t>
      </w:r>
      <w:r w:rsidRPr="00C821A1">
        <w:rPr>
          <w:rStyle w:val="af1"/>
          <w:szCs w:val="32"/>
          <w:rtl/>
        </w:rPr>
        <w:footnoteReference w:id="1410"/>
      </w:r>
      <w:r w:rsidRPr="00C821A1">
        <w:rPr>
          <w:rStyle w:val="af1"/>
          <w:szCs w:val="32"/>
          <w:rtl/>
        </w:rPr>
        <w:t>)</w:t>
      </w:r>
      <w:r w:rsidRPr="00673D65">
        <w:rPr>
          <w:rFonts w:hint="cs"/>
          <w:color w:val="auto"/>
          <w:rtl/>
        </w:rPr>
        <w:t>.</w:t>
      </w:r>
    </w:p>
    <w:p w:rsidR="00065E4B" w:rsidRDefault="00065E4B" w:rsidP="00597C20">
      <w:pPr>
        <w:ind w:firstLine="720"/>
        <w:rPr>
          <w:color w:val="auto"/>
          <w:rtl/>
        </w:rPr>
      </w:pPr>
      <w:r>
        <w:rPr>
          <w:rFonts w:hint="cs"/>
          <w:color w:val="auto"/>
          <w:rtl/>
        </w:rPr>
        <w:t>ف</w:t>
      </w:r>
      <w:r w:rsidR="00546122">
        <w:rPr>
          <w:rFonts w:hint="cs"/>
          <w:color w:val="auto"/>
          <w:rtl/>
        </w:rPr>
        <w:t>التعدي إذا هو الظُّلم وتجاوُز الحد.</w:t>
      </w:r>
    </w:p>
    <w:p w:rsidR="00065E4B" w:rsidRPr="00DD7E0A" w:rsidRDefault="00065E4B" w:rsidP="00597C20">
      <w:pPr>
        <w:ind w:firstLine="720"/>
        <w:rPr>
          <w:color w:val="auto"/>
          <w:rtl/>
        </w:rPr>
      </w:pPr>
      <w:r w:rsidRPr="00DD7E0A">
        <w:rPr>
          <w:rFonts w:hint="cs"/>
          <w:color w:val="auto"/>
          <w:rtl/>
        </w:rPr>
        <w:t>ي</w:t>
      </w:r>
      <w:r w:rsidR="00546122" w:rsidRPr="00DD7E0A">
        <w:rPr>
          <w:rFonts w:hint="cs"/>
          <w:color w:val="auto"/>
          <w:rtl/>
        </w:rPr>
        <w:t xml:space="preserve">قول </w:t>
      </w:r>
      <w:r w:rsidR="00546122">
        <w:rPr>
          <w:rFonts w:hint="cs"/>
          <w:color w:val="auto"/>
          <w:rtl/>
        </w:rPr>
        <w:t xml:space="preserve"> </w:t>
      </w:r>
      <w:r w:rsidR="00546122" w:rsidRPr="00DD7E0A">
        <w:rPr>
          <w:rFonts w:hint="cs"/>
          <w:color w:val="auto"/>
          <w:rtl/>
        </w:rPr>
        <w:t xml:space="preserve">ابن فارس </w:t>
      </w:r>
      <w:r w:rsidR="00DE3F96">
        <w:rPr>
          <w:rFonts w:hint="cs"/>
          <w:color w:val="auto"/>
          <w:rtl/>
        </w:rPr>
        <w:t>_</w:t>
      </w:r>
      <w:r w:rsidR="009A0575" w:rsidRPr="005D5694">
        <w:rPr>
          <w:rFonts w:ascii="Traditional Arabic" w:hAnsi="Traditional Arabic" w:cs="CTraditional Arabic" w:hint="cs"/>
          <w:rtl/>
        </w:rPr>
        <w:t>/</w:t>
      </w:r>
      <w:r w:rsidR="00DE3F96">
        <w:rPr>
          <w:rFonts w:hint="cs"/>
          <w:color w:val="auto"/>
          <w:rtl/>
        </w:rPr>
        <w:t>_</w:t>
      </w:r>
      <w:r w:rsidR="00546122" w:rsidRPr="00DD7E0A">
        <w:rPr>
          <w:rFonts w:hint="cs"/>
          <w:color w:val="auto"/>
          <w:rtl/>
        </w:rPr>
        <w:t>:</w:t>
      </w:r>
      <w:r w:rsidR="00546122">
        <w:rPr>
          <w:rFonts w:ascii="Traditional Arabic" w:hAnsi="Traditional Arabic" w:hint="cs"/>
          <w:noProof w:val="0"/>
          <w:rtl/>
          <w:lang w:eastAsia="en-US"/>
        </w:rPr>
        <w:t>(</w:t>
      </w:r>
      <w:r w:rsidR="00546122" w:rsidRPr="00DD7E0A">
        <w:rPr>
          <w:rFonts w:ascii="Traditional Arabic" w:hAnsi="Traditional Arabic"/>
          <w:noProof w:val="0"/>
          <w:rtl/>
          <w:lang w:eastAsia="en-US"/>
        </w:rPr>
        <w:t>العين والدال والحرف المعتل أصل واحد صحيح يرجع إليه الفروع كل</w:t>
      </w:r>
      <w:r w:rsidR="00546122">
        <w:rPr>
          <w:rFonts w:ascii="Traditional Arabic" w:hAnsi="Traditional Arabic" w:hint="cs"/>
          <w:noProof w:val="0"/>
          <w:rtl/>
          <w:lang w:eastAsia="en-US"/>
        </w:rPr>
        <w:t>ُّ</w:t>
      </w:r>
      <w:r w:rsidR="00546122" w:rsidRPr="00DD7E0A">
        <w:rPr>
          <w:rFonts w:ascii="Traditional Arabic" w:hAnsi="Traditional Arabic"/>
          <w:noProof w:val="0"/>
          <w:rtl/>
          <w:lang w:eastAsia="en-US"/>
        </w:rPr>
        <w:t>ها، وهو يدل على تجاو</w:t>
      </w:r>
      <w:r w:rsidR="00546122">
        <w:rPr>
          <w:rFonts w:ascii="Traditional Arabic" w:hAnsi="Traditional Arabic" w:hint="cs"/>
          <w:noProof w:val="0"/>
          <w:rtl/>
          <w:lang w:eastAsia="en-US"/>
        </w:rPr>
        <w:t>ُ</w:t>
      </w:r>
      <w:r w:rsidR="00546122" w:rsidRPr="00DD7E0A">
        <w:rPr>
          <w:rFonts w:ascii="Traditional Arabic" w:hAnsi="Traditional Arabic"/>
          <w:noProof w:val="0"/>
          <w:rtl/>
          <w:lang w:eastAsia="en-US"/>
        </w:rPr>
        <w:t>ز</w:t>
      </w:r>
      <w:r w:rsidR="00546122">
        <w:rPr>
          <w:rFonts w:ascii="Traditional Arabic" w:hAnsi="Traditional Arabic" w:hint="cs"/>
          <w:noProof w:val="0"/>
          <w:rtl/>
          <w:lang w:eastAsia="en-US"/>
        </w:rPr>
        <w:t>ٍ</w:t>
      </w:r>
      <w:r w:rsidR="00546122" w:rsidRPr="00DD7E0A">
        <w:rPr>
          <w:rFonts w:ascii="Traditional Arabic" w:hAnsi="Traditional Arabic"/>
          <w:noProof w:val="0"/>
          <w:rtl/>
          <w:lang w:eastAsia="en-US"/>
        </w:rPr>
        <w:t xml:space="preserve"> في الشيء وتقد</w:t>
      </w:r>
      <w:r w:rsidR="00546122">
        <w:rPr>
          <w:rFonts w:ascii="Traditional Arabic" w:hAnsi="Traditional Arabic" w:hint="cs"/>
          <w:noProof w:val="0"/>
          <w:rtl/>
          <w:lang w:eastAsia="en-US"/>
        </w:rPr>
        <w:t>ُّ</w:t>
      </w:r>
      <w:r w:rsidR="00546122" w:rsidRPr="00DD7E0A">
        <w:rPr>
          <w:rFonts w:ascii="Traditional Arabic" w:hAnsi="Traditional Arabic"/>
          <w:noProof w:val="0"/>
          <w:rtl/>
          <w:lang w:eastAsia="en-US"/>
        </w:rPr>
        <w:t>م</w:t>
      </w:r>
      <w:r w:rsidR="00546122">
        <w:rPr>
          <w:rFonts w:ascii="Traditional Arabic" w:hAnsi="Traditional Arabic" w:hint="cs"/>
          <w:noProof w:val="0"/>
          <w:rtl/>
          <w:lang w:eastAsia="en-US"/>
        </w:rPr>
        <w:t>ٍ</w:t>
      </w:r>
      <w:r w:rsidR="00546122" w:rsidRPr="00DD7E0A">
        <w:rPr>
          <w:rFonts w:ascii="Traditional Arabic" w:hAnsi="Traditional Arabic"/>
          <w:noProof w:val="0"/>
          <w:rtl/>
          <w:lang w:eastAsia="en-US"/>
        </w:rPr>
        <w:t xml:space="preserve"> لما ينبغي أن ي</w:t>
      </w:r>
      <w:r w:rsidR="00546122">
        <w:rPr>
          <w:rFonts w:ascii="Traditional Arabic" w:hAnsi="Traditional Arabic" w:hint="cs"/>
          <w:noProof w:val="0"/>
          <w:rtl/>
          <w:lang w:eastAsia="en-US"/>
        </w:rPr>
        <w:t>ُ</w:t>
      </w:r>
      <w:r w:rsidR="00546122" w:rsidRPr="00DD7E0A">
        <w:rPr>
          <w:rFonts w:ascii="Traditional Arabic" w:hAnsi="Traditional Arabic"/>
          <w:noProof w:val="0"/>
          <w:rtl/>
          <w:lang w:eastAsia="en-US"/>
        </w:rPr>
        <w:t>قتصر عليه</w:t>
      </w:r>
      <w:r w:rsidR="00546122">
        <w:rPr>
          <w:rFonts w:ascii="Traditional Arabic" w:hAnsi="Traditional Arabic" w:hint="cs"/>
          <w:noProof w:val="0"/>
          <w:rtl/>
          <w:lang w:eastAsia="en-US"/>
        </w:rPr>
        <w:t>)</w:t>
      </w:r>
      <w:r w:rsidR="00546122" w:rsidRPr="00C821A1">
        <w:rPr>
          <w:rStyle w:val="af1"/>
          <w:szCs w:val="32"/>
          <w:rtl/>
        </w:rPr>
        <w:t>(</w:t>
      </w:r>
      <w:r w:rsidR="00546122" w:rsidRPr="00C821A1">
        <w:rPr>
          <w:rStyle w:val="af1"/>
          <w:szCs w:val="32"/>
          <w:rtl/>
        </w:rPr>
        <w:footnoteReference w:id="1411"/>
      </w:r>
      <w:r w:rsidR="00546122" w:rsidRPr="00C821A1">
        <w:rPr>
          <w:rStyle w:val="af1"/>
          <w:szCs w:val="32"/>
          <w:rtl/>
        </w:rPr>
        <w:t>)</w:t>
      </w:r>
      <w:r w:rsidR="00546122" w:rsidRPr="00DD7E0A">
        <w:rPr>
          <w:rFonts w:ascii="Traditional Arabic" w:hAnsi="Traditional Arabic"/>
          <w:noProof w:val="0"/>
          <w:rtl/>
          <w:lang w:eastAsia="en-US"/>
        </w:rPr>
        <w:t>.</w:t>
      </w:r>
    </w:p>
    <w:p w:rsidR="00312986" w:rsidRDefault="00065E4B" w:rsidP="00597C20">
      <w:pPr>
        <w:pStyle w:val="53"/>
        <w:rPr>
          <w:rtl/>
        </w:rPr>
      </w:pPr>
      <w:r>
        <w:rPr>
          <w:rFonts w:hint="cs"/>
          <w:rtl/>
        </w:rPr>
        <w:t>ا</w:t>
      </w:r>
      <w:r w:rsidR="00546122">
        <w:rPr>
          <w:rFonts w:hint="cs"/>
          <w:rtl/>
        </w:rPr>
        <w:t>لتعدي اصطلاحا:</w:t>
      </w:r>
    </w:p>
    <w:p w:rsidR="00801B78" w:rsidRPr="00013BAA" w:rsidRDefault="00801B78" w:rsidP="00801B78">
      <w:pPr>
        <w:ind w:firstLine="720"/>
        <w:rPr>
          <w:b/>
          <w:bCs/>
          <w:color w:val="auto"/>
        </w:rPr>
      </w:pPr>
      <w:r w:rsidRPr="00013BAA">
        <w:rPr>
          <w:rFonts w:hint="cs"/>
          <w:color w:val="auto"/>
          <w:rtl/>
        </w:rPr>
        <w:t>ف</w:t>
      </w:r>
      <w:r>
        <w:rPr>
          <w:rFonts w:hint="cs"/>
          <w:color w:val="auto"/>
          <w:rtl/>
        </w:rPr>
        <w:t>ِ</w:t>
      </w:r>
      <w:r w:rsidRPr="00013BAA">
        <w:rPr>
          <w:rFonts w:hint="cs"/>
          <w:color w:val="auto"/>
          <w:rtl/>
        </w:rPr>
        <w:t>عل ما لا</w:t>
      </w:r>
      <w:r>
        <w:rPr>
          <w:rFonts w:hint="cs"/>
          <w:color w:val="auto"/>
          <w:rtl/>
        </w:rPr>
        <w:t xml:space="preserve"> </w:t>
      </w:r>
      <w:r w:rsidRPr="00013BAA">
        <w:rPr>
          <w:rFonts w:hint="cs"/>
          <w:color w:val="auto"/>
          <w:rtl/>
        </w:rPr>
        <w:t>يجوز من التصر</w:t>
      </w:r>
      <w:r>
        <w:rPr>
          <w:rFonts w:hint="cs"/>
          <w:color w:val="auto"/>
          <w:rtl/>
        </w:rPr>
        <w:t>ُّ</w:t>
      </w:r>
      <w:r w:rsidRPr="00013BAA">
        <w:rPr>
          <w:rFonts w:hint="cs"/>
          <w:color w:val="auto"/>
          <w:rtl/>
        </w:rPr>
        <w:t>فات أو الاستعمالات</w:t>
      </w:r>
      <w:r w:rsidRPr="00C821A1">
        <w:rPr>
          <w:rStyle w:val="af1"/>
          <w:szCs w:val="32"/>
          <w:rtl/>
        </w:rPr>
        <w:t>(</w:t>
      </w:r>
      <w:r w:rsidRPr="00C821A1">
        <w:rPr>
          <w:rStyle w:val="af1"/>
          <w:szCs w:val="32"/>
          <w:rtl/>
        </w:rPr>
        <w:footnoteReference w:id="1412"/>
      </w:r>
      <w:r w:rsidRPr="00C821A1">
        <w:rPr>
          <w:rStyle w:val="af1"/>
          <w:szCs w:val="32"/>
          <w:rtl/>
        </w:rPr>
        <w:t>)</w:t>
      </w:r>
      <w:r w:rsidRPr="00013BAA">
        <w:rPr>
          <w:rFonts w:hint="cs"/>
          <w:color w:val="auto"/>
          <w:rtl/>
        </w:rPr>
        <w:t>.</w:t>
      </w:r>
    </w:p>
    <w:p w:rsidR="00312986" w:rsidRDefault="00065E4B" w:rsidP="00597C20">
      <w:pPr>
        <w:pStyle w:val="53"/>
        <w:rPr>
          <w:b w:val="0"/>
          <w:rtl/>
        </w:rPr>
      </w:pPr>
      <w:r>
        <w:rPr>
          <w:rFonts w:hint="cs"/>
          <w:b w:val="0"/>
          <w:rtl/>
        </w:rPr>
        <w:t>ا</w:t>
      </w:r>
      <w:r w:rsidR="00546122">
        <w:rPr>
          <w:rFonts w:hint="cs"/>
          <w:b w:val="0"/>
          <w:rtl/>
        </w:rPr>
        <w:t>لتفريط</w:t>
      </w:r>
      <w:r w:rsidR="00AB0B9E">
        <w:rPr>
          <w:b w:val="0"/>
          <w:rtl/>
        </w:rPr>
        <w:fldChar w:fldCharType="begin"/>
      </w:r>
      <w:r w:rsidR="005C704E" w:rsidRPr="00C85F0F">
        <w:rPr>
          <w:bCs w:val="0"/>
        </w:rPr>
        <w:instrText>XE</w:instrText>
      </w:r>
      <w:r w:rsidR="005C704E" w:rsidRPr="00C85F0F">
        <w:rPr>
          <w:bCs w:val="0"/>
          <w:rtl/>
        </w:rPr>
        <w:instrText xml:space="preserve"> "</w:instrText>
      </w:r>
      <w:r w:rsidR="005C704E" w:rsidRPr="00C85F0F">
        <w:rPr>
          <w:rFonts w:hint="cs"/>
          <w:bCs w:val="0"/>
          <w:rtl/>
        </w:rPr>
        <w:instrText>التفريط</w:instrText>
      </w:r>
      <w:r w:rsidR="005C704E" w:rsidRPr="00C85F0F">
        <w:rPr>
          <w:bCs w:val="0"/>
          <w:rtl/>
        </w:rPr>
        <w:instrText>" \</w:instrText>
      </w:r>
      <w:r w:rsidR="005C704E" w:rsidRPr="00C85F0F">
        <w:rPr>
          <w:bCs w:val="0"/>
        </w:rPr>
        <w:instrText>f</w:instrText>
      </w:r>
      <w:r w:rsidR="005C704E" w:rsidRPr="005C704E">
        <w:instrText>m</w:instrText>
      </w:r>
      <w:r w:rsidR="00AB0B9E">
        <w:rPr>
          <w:b w:val="0"/>
          <w:rtl/>
        </w:rPr>
        <w:fldChar w:fldCharType="end"/>
      </w:r>
      <w:r w:rsidR="00546122">
        <w:rPr>
          <w:rFonts w:hint="cs"/>
          <w:b w:val="0"/>
          <w:rtl/>
        </w:rPr>
        <w:t xml:space="preserve"> لغة:</w:t>
      </w:r>
    </w:p>
    <w:p w:rsidR="00065E4B" w:rsidRDefault="00546122" w:rsidP="00597C20">
      <w:pPr>
        <w:ind w:firstLine="720"/>
        <w:rPr>
          <w:b/>
          <w:bCs/>
          <w:color w:val="auto"/>
          <w:rtl/>
        </w:rPr>
      </w:pPr>
      <w:r w:rsidRPr="00673D65">
        <w:rPr>
          <w:rFonts w:ascii="Traditional Arabic" w:hAnsi="Traditional Arabic"/>
          <w:noProof w:val="0"/>
          <w:color w:val="auto"/>
          <w:rtl/>
          <w:lang w:eastAsia="en-US"/>
        </w:rPr>
        <w:t xml:space="preserve">التفريط: مصدر </w:t>
      </w:r>
      <w:r>
        <w:rPr>
          <w:rFonts w:ascii="Traditional Arabic" w:hAnsi="Traditional Arabic" w:hint="cs"/>
          <w:noProof w:val="0"/>
          <w:color w:val="auto"/>
          <w:rtl/>
          <w:lang w:eastAsia="en-US"/>
        </w:rPr>
        <w:t xml:space="preserve">الفعل </w:t>
      </w:r>
      <w:r w:rsidRPr="00673D65">
        <w:rPr>
          <w:rFonts w:ascii="Traditional Arabic" w:hAnsi="Traditional Arabic"/>
          <w:noProof w:val="0"/>
          <w:color w:val="auto"/>
          <w:rtl/>
          <w:lang w:eastAsia="en-US"/>
        </w:rPr>
        <w:t>فر</w:t>
      </w:r>
      <w:r>
        <w:rPr>
          <w:rFonts w:ascii="Traditional Arabic" w:hAnsi="Traditional Arabic" w:hint="cs"/>
          <w:noProof w:val="0"/>
          <w:color w:val="auto"/>
          <w:rtl/>
          <w:lang w:eastAsia="en-US"/>
        </w:rPr>
        <w:t>َّ</w:t>
      </w:r>
      <w:r w:rsidRPr="00673D65">
        <w:rPr>
          <w:rFonts w:ascii="Traditional Arabic" w:hAnsi="Traditional Arabic"/>
          <w:noProof w:val="0"/>
          <w:color w:val="auto"/>
          <w:rtl/>
          <w:lang w:eastAsia="en-US"/>
        </w:rPr>
        <w:t>ط: أي: قص</w:t>
      </w:r>
      <w:r w:rsidR="00615E17">
        <w:rPr>
          <w:rFonts w:ascii="Traditional Arabic" w:hAnsi="Traditional Arabic" w:hint="cs"/>
          <w:noProof w:val="0"/>
          <w:color w:val="auto"/>
          <w:rtl/>
          <w:lang w:eastAsia="en-US"/>
        </w:rPr>
        <w:t>َّ</w:t>
      </w:r>
      <w:r w:rsidRPr="00673D65">
        <w:rPr>
          <w:rFonts w:ascii="Traditional Arabic" w:hAnsi="Traditional Arabic"/>
          <w:noProof w:val="0"/>
          <w:color w:val="auto"/>
          <w:rtl/>
          <w:lang w:eastAsia="en-US"/>
        </w:rPr>
        <w:t>ر في الشيء وضي</w:t>
      </w:r>
      <w:r>
        <w:rPr>
          <w:rFonts w:ascii="Traditional Arabic" w:hAnsi="Traditional Arabic" w:hint="cs"/>
          <w:noProof w:val="0"/>
          <w:color w:val="auto"/>
          <w:rtl/>
          <w:lang w:eastAsia="en-US"/>
        </w:rPr>
        <w:t>َّ</w:t>
      </w:r>
      <w:r w:rsidRPr="00673D65">
        <w:rPr>
          <w:rFonts w:ascii="Traditional Arabic" w:hAnsi="Traditional Arabic"/>
          <w:noProof w:val="0"/>
          <w:color w:val="auto"/>
          <w:rtl/>
          <w:lang w:eastAsia="en-US"/>
        </w:rPr>
        <w:t>عه حتى فاتَ</w:t>
      </w:r>
      <w:r w:rsidRPr="00C821A1">
        <w:rPr>
          <w:rStyle w:val="af1"/>
          <w:szCs w:val="32"/>
          <w:rtl/>
        </w:rPr>
        <w:t>(</w:t>
      </w:r>
      <w:r w:rsidRPr="00C821A1">
        <w:rPr>
          <w:rStyle w:val="af1"/>
          <w:szCs w:val="32"/>
          <w:rtl/>
        </w:rPr>
        <w:footnoteReference w:id="1413"/>
      </w:r>
      <w:r w:rsidRPr="00C821A1">
        <w:rPr>
          <w:rStyle w:val="af1"/>
          <w:szCs w:val="32"/>
          <w:rtl/>
        </w:rPr>
        <w:t>)</w:t>
      </w:r>
      <w:r w:rsidRPr="00673D65">
        <w:rPr>
          <w:rFonts w:ascii="Traditional Arabic" w:hAnsi="Traditional Arabic"/>
          <w:noProof w:val="0"/>
          <w:color w:val="auto"/>
          <w:rtl/>
          <w:lang w:eastAsia="en-US"/>
        </w:rPr>
        <w:t>.</w:t>
      </w:r>
    </w:p>
    <w:p w:rsidR="00065E4B" w:rsidRPr="009D5C07" w:rsidRDefault="00065E4B" w:rsidP="00597C20">
      <w:pPr>
        <w:ind w:firstLine="720"/>
        <w:rPr>
          <w:color w:val="auto"/>
          <w:rtl/>
        </w:rPr>
      </w:pPr>
      <w:r w:rsidRPr="00DD7E0A">
        <w:rPr>
          <w:rFonts w:hint="cs"/>
          <w:color w:val="auto"/>
          <w:rtl/>
        </w:rPr>
        <w:t>ي</w:t>
      </w:r>
      <w:r w:rsidR="00546122" w:rsidRPr="00DD7E0A">
        <w:rPr>
          <w:rFonts w:hint="cs"/>
          <w:color w:val="auto"/>
          <w:rtl/>
        </w:rPr>
        <w:t xml:space="preserve">قول </w:t>
      </w:r>
      <w:r w:rsidR="00546122">
        <w:rPr>
          <w:rFonts w:hint="cs"/>
          <w:color w:val="auto"/>
          <w:rtl/>
        </w:rPr>
        <w:t xml:space="preserve"> </w:t>
      </w:r>
      <w:r w:rsidR="00546122" w:rsidRPr="00DD7E0A">
        <w:rPr>
          <w:rFonts w:hint="cs"/>
          <w:color w:val="auto"/>
          <w:rtl/>
        </w:rPr>
        <w:t xml:space="preserve">ابن فارس </w:t>
      </w:r>
      <w:r w:rsidR="00615E17">
        <w:rPr>
          <w:rFonts w:hint="cs"/>
          <w:color w:val="auto"/>
          <w:rtl/>
        </w:rPr>
        <w:t>_</w:t>
      </w:r>
      <w:r w:rsidR="009A0575" w:rsidRPr="005D5694">
        <w:rPr>
          <w:rFonts w:ascii="Traditional Arabic" w:hAnsi="Traditional Arabic" w:cs="CTraditional Arabic" w:hint="cs"/>
          <w:rtl/>
        </w:rPr>
        <w:t>/</w:t>
      </w:r>
      <w:r w:rsidR="00615E17">
        <w:rPr>
          <w:rFonts w:ascii="Traditional Arabic" w:hAnsi="Traditional Arabic" w:hint="cs"/>
          <w:noProof w:val="0"/>
          <w:rtl/>
          <w:lang w:eastAsia="en-US"/>
        </w:rPr>
        <w:t>_</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الفاء والراء والطاء أصل صحيح يدل على إزالة شيء من مكانه وت</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ن</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ح</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ي</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ت</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ه عنه.</w:t>
      </w:r>
      <w:r w:rsidR="00546122">
        <w:rPr>
          <w:rFonts w:hint="cs"/>
          <w:color w:val="auto"/>
          <w:rtl/>
        </w:rPr>
        <w:t>..</w:t>
      </w:r>
      <w:r w:rsidR="00546122" w:rsidRPr="009D5C07">
        <w:rPr>
          <w:rFonts w:ascii="Traditional Arabic" w:hAnsi="Traditional Arabic"/>
          <w:noProof w:val="0"/>
          <w:rtl/>
          <w:lang w:eastAsia="en-US"/>
        </w:rPr>
        <w:t>فهذا هو الأصل، ثم يقال أ</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ف</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ر</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ط، إذا تجاوز الحد</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 xml:space="preserve"> في الأمر. يقولون: إياك والف</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ر</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ط، أي لا ت</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جاو</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ز الق</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د</w:t>
      </w:r>
      <w:r w:rsidR="00546122">
        <w:rPr>
          <w:rFonts w:ascii="Traditional Arabic" w:hAnsi="Traditional Arabic" w:hint="cs"/>
          <w:noProof w:val="0"/>
          <w:rtl/>
          <w:lang w:eastAsia="en-US"/>
        </w:rPr>
        <w:t>ْ</w:t>
      </w:r>
      <w:r w:rsidR="00546122">
        <w:rPr>
          <w:rFonts w:ascii="Traditional Arabic" w:hAnsi="Traditional Arabic"/>
          <w:noProof w:val="0"/>
          <w:rtl/>
          <w:lang w:eastAsia="en-US"/>
        </w:rPr>
        <w:t>ر. وهذا هو القياس</w:t>
      </w:r>
      <w:r w:rsidR="00546122">
        <w:rPr>
          <w:rFonts w:ascii="Traditional Arabic" w:hAnsi="Traditional Arabic" w:hint="cs"/>
          <w:noProof w:val="0"/>
          <w:rtl/>
          <w:lang w:eastAsia="en-US"/>
        </w:rPr>
        <w:t>؛</w:t>
      </w:r>
      <w:r w:rsidR="00546122">
        <w:rPr>
          <w:rFonts w:ascii="Traditional Arabic" w:hAnsi="Traditional Arabic"/>
          <w:noProof w:val="0"/>
          <w:rtl/>
          <w:lang w:eastAsia="en-US"/>
        </w:rPr>
        <w:t xml:space="preserve"> لأنه إذا</w:t>
      </w:r>
      <w:r w:rsidR="00546122" w:rsidRPr="009D5C07">
        <w:rPr>
          <w:rFonts w:ascii="Traditional Arabic" w:hAnsi="Traditional Arabic"/>
          <w:noProof w:val="0"/>
          <w:rtl/>
          <w:lang w:eastAsia="en-US"/>
        </w:rPr>
        <w:t xml:space="preserve"> جاوز القدر فقد أزال الشيء عن جهته. وكذلك التفريط، وهو التقصير، لأنه إذا قص</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ر فيه فقد ق</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ع</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د به عن ر</w:t>
      </w:r>
      <w:r w:rsidR="00546122">
        <w:rPr>
          <w:rFonts w:ascii="Traditional Arabic" w:hAnsi="Traditional Arabic" w:hint="cs"/>
          <w:noProof w:val="0"/>
          <w:rtl/>
          <w:lang w:eastAsia="en-US"/>
        </w:rPr>
        <w:t>ُ</w:t>
      </w:r>
      <w:r w:rsidR="00546122" w:rsidRPr="009D5C07">
        <w:rPr>
          <w:rFonts w:ascii="Traditional Arabic" w:hAnsi="Traditional Arabic"/>
          <w:noProof w:val="0"/>
          <w:rtl/>
          <w:lang w:eastAsia="en-US"/>
        </w:rPr>
        <w:t>تبته التي هي له</w:t>
      </w:r>
      <w:r w:rsidR="00546122">
        <w:rPr>
          <w:rFonts w:ascii="Traditional Arabic" w:hAnsi="Traditional Arabic" w:hint="cs"/>
          <w:noProof w:val="0"/>
          <w:rtl/>
          <w:lang w:eastAsia="en-US"/>
        </w:rPr>
        <w:t>)</w:t>
      </w:r>
      <w:r w:rsidR="00546122" w:rsidRPr="00C821A1">
        <w:rPr>
          <w:rStyle w:val="af1"/>
          <w:szCs w:val="32"/>
          <w:rtl/>
        </w:rPr>
        <w:t>(</w:t>
      </w:r>
      <w:r w:rsidR="00546122" w:rsidRPr="00C821A1">
        <w:rPr>
          <w:rStyle w:val="af1"/>
          <w:szCs w:val="32"/>
          <w:rtl/>
        </w:rPr>
        <w:footnoteReference w:id="1414"/>
      </w:r>
      <w:r w:rsidR="00546122" w:rsidRPr="00C821A1">
        <w:rPr>
          <w:rStyle w:val="af1"/>
          <w:szCs w:val="32"/>
          <w:rtl/>
        </w:rPr>
        <w:t>)</w:t>
      </w:r>
      <w:r w:rsidR="00546122" w:rsidRPr="009D5C07">
        <w:rPr>
          <w:rFonts w:ascii="Traditional Arabic" w:hAnsi="Traditional Arabic"/>
          <w:noProof w:val="0"/>
          <w:rtl/>
          <w:lang w:eastAsia="en-US"/>
        </w:rPr>
        <w:t>.</w:t>
      </w:r>
    </w:p>
    <w:p w:rsidR="00312986" w:rsidRDefault="00065E4B" w:rsidP="00597C20">
      <w:pPr>
        <w:pStyle w:val="53"/>
        <w:rPr>
          <w:rtl/>
        </w:rPr>
      </w:pPr>
      <w:r>
        <w:rPr>
          <w:rFonts w:hint="cs"/>
          <w:rtl/>
        </w:rPr>
        <w:lastRenderedPageBreak/>
        <w:t>ا</w:t>
      </w:r>
      <w:r w:rsidR="00546122">
        <w:rPr>
          <w:rFonts w:hint="cs"/>
          <w:rtl/>
        </w:rPr>
        <w:t>لتفريط اصطلاحا:</w:t>
      </w:r>
    </w:p>
    <w:p w:rsidR="00801B78" w:rsidRPr="00801B78" w:rsidRDefault="00801B78" w:rsidP="00801B78">
      <w:pPr>
        <w:ind w:firstLine="720"/>
        <w:rPr>
          <w:color w:val="auto"/>
          <w:rtl/>
        </w:rPr>
      </w:pPr>
      <w:r>
        <w:rPr>
          <w:rFonts w:hint="cs"/>
          <w:rtl/>
        </w:rPr>
        <w:t xml:space="preserve">    </w:t>
      </w:r>
      <w:r>
        <w:rPr>
          <w:rFonts w:hint="cs"/>
          <w:color w:val="auto"/>
          <w:rtl/>
        </w:rPr>
        <w:t>تَرْك ما يجب من الحِفظ</w:t>
      </w:r>
      <w:r w:rsidRPr="00C821A1">
        <w:rPr>
          <w:rStyle w:val="af1"/>
          <w:szCs w:val="32"/>
          <w:rtl/>
        </w:rPr>
        <w:t>(</w:t>
      </w:r>
      <w:r w:rsidRPr="00C821A1">
        <w:rPr>
          <w:rStyle w:val="af1"/>
          <w:szCs w:val="32"/>
          <w:rtl/>
        </w:rPr>
        <w:footnoteReference w:id="1415"/>
      </w:r>
      <w:r w:rsidRPr="00C821A1">
        <w:rPr>
          <w:rStyle w:val="af1"/>
          <w:szCs w:val="32"/>
          <w:rtl/>
        </w:rPr>
        <w:t>)</w:t>
      </w:r>
      <w:r>
        <w:rPr>
          <w:rFonts w:hint="cs"/>
          <w:color w:val="auto"/>
          <w:rtl/>
        </w:rPr>
        <w:t>.</w:t>
      </w:r>
    </w:p>
    <w:p w:rsidR="00546122" w:rsidRPr="002E6054"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Pr>
          <w:rFonts w:hint="cs"/>
          <w:color w:val="auto"/>
          <w:rtl/>
        </w:rPr>
        <w:t>ي</w:t>
      </w:r>
      <w:r w:rsidR="00546122">
        <w:rPr>
          <w:rFonts w:hint="cs"/>
          <w:color w:val="auto"/>
          <w:rtl/>
        </w:rPr>
        <w:t xml:space="preserve">قول الشيخ ابن عثيمين </w:t>
      </w:r>
      <w:r w:rsidR="00615E17">
        <w:rPr>
          <w:rFonts w:hint="cs"/>
          <w:color w:val="auto"/>
          <w:rtl/>
        </w:rPr>
        <w:t>_</w:t>
      </w:r>
      <w:r w:rsidR="009A0575" w:rsidRPr="005D5694">
        <w:rPr>
          <w:rFonts w:ascii="Traditional Arabic" w:hAnsi="Traditional Arabic" w:cs="CTraditional Arabic" w:hint="cs"/>
          <w:rtl/>
        </w:rPr>
        <w:t>/</w:t>
      </w:r>
      <w:r w:rsidR="00615E17">
        <w:rPr>
          <w:rFonts w:hint="cs"/>
          <w:color w:val="auto"/>
          <w:rtl/>
        </w:rPr>
        <w:t>_</w:t>
      </w:r>
      <w:r w:rsidR="00546122">
        <w:rPr>
          <w:rFonts w:hint="cs"/>
          <w:color w:val="auto"/>
          <w:rtl/>
        </w:rPr>
        <w:t xml:space="preserve"> مبيِّناً الفرق بين التعدي والتفريط: (</w:t>
      </w:r>
      <w:r w:rsidR="00546122">
        <w:rPr>
          <w:rFonts w:ascii="Traditional Arabic" w:hAnsi="Traditional Arabic"/>
          <w:noProof w:val="0"/>
          <w:color w:val="auto"/>
          <w:rtl/>
          <w:lang w:eastAsia="en-US"/>
        </w:rPr>
        <w:t>والفرق بين التفريط والتعدي</w:t>
      </w:r>
      <w:r w:rsidR="00546122">
        <w:rPr>
          <w:rFonts w:ascii="Traditional Arabic" w:hAnsi="Traditional Arabic" w:hint="cs"/>
          <w:noProof w:val="0"/>
          <w:color w:val="auto"/>
          <w:rtl/>
          <w:lang w:eastAsia="en-US"/>
        </w:rPr>
        <w:t xml:space="preserve"> أن </w:t>
      </w:r>
      <w:r w:rsidR="00546122" w:rsidRPr="002E6054">
        <w:rPr>
          <w:rFonts w:ascii="Traditional Arabic" w:hAnsi="Traditional Arabic"/>
          <w:noProof w:val="0"/>
          <w:color w:val="auto"/>
          <w:rtl/>
          <w:lang w:eastAsia="en-US"/>
        </w:rPr>
        <w:t>التعدي أن يفعل ما لا يجوز، والتفريط أن يترك ما يجب.</w:t>
      </w:r>
    </w:p>
    <w:p w:rsidR="00065E4B" w:rsidRDefault="00546122" w:rsidP="00597C20">
      <w:pPr>
        <w:widowControl/>
        <w:autoSpaceDE w:val="0"/>
        <w:autoSpaceDN w:val="0"/>
        <w:adjustRightInd w:val="0"/>
        <w:ind w:firstLine="720"/>
        <w:jc w:val="left"/>
        <w:rPr>
          <w:rFonts w:ascii="Traditional Arabic" w:hAnsi="Traditional Arabic"/>
          <w:noProof w:val="0"/>
          <w:color w:val="auto"/>
          <w:rtl/>
          <w:lang w:eastAsia="en-US"/>
        </w:rPr>
      </w:pPr>
      <w:r w:rsidRPr="002E6054">
        <w:rPr>
          <w:rFonts w:ascii="Traditional Arabic" w:hAnsi="Traditional Arabic"/>
          <w:noProof w:val="0"/>
          <w:color w:val="auto"/>
          <w:rtl/>
          <w:lang w:eastAsia="en-US"/>
        </w:rPr>
        <w:t>فما ط</w:t>
      </w:r>
      <w:r>
        <w:rPr>
          <w:rFonts w:ascii="Traditional Arabic" w:hAnsi="Traditional Arabic" w:hint="cs"/>
          <w:noProof w:val="0"/>
          <w:color w:val="auto"/>
          <w:rtl/>
          <w:lang w:eastAsia="en-US"/>
        </w:rPr>
        <w:t>ُ</w:t>
      </w:r>
      <w:r w:rsidRPr="002E6054">
        <w:rPr>
          <w:rFonts w:ascii="Traditional Arabic" w:hAnsi="Traditional Arabic"/>
          <w:noProof w:val="0"/>
          <w:color w:val="auto"/>
          <w:rtl/>
          <w:lang w:eastAsia="en-US"/>
        </w:rPr>
        <w:t>لب فعل</w:t>
      </w:r>
      <w:r>
        <w:rPr>
          <w:rFonts w:ascii="Traditional Arabic" w:hAnsi="Traditional Arabic" w:hint="cs"/>
          <w:noProof w:val="0"/>
          <w:color w:val="auto"/>
          <w:rtl/>
          <w:lang w:eastAsia="en-US"/>
        </w:rPr>
        <w:t>ُ</w:t>
      </w:r>
      <w:r w:rsidRPr="002E6054">
        <w:rPr>
          <w:rFonts w:ascii="Traditional Arabic" w:hAnsi="Traditional Arabic"/>
          <w:noProof w:val="0"/>
          <w:color w:val="auto"/>
          <w:rtl/>
          <w:lang w:eastAsia="en-US"/>
        </w:rPr>
        <w:t>ه فتر</w:t>
      </w:r>
      <w:r>
        <w:rPr>
          <w:rFonts w:ascii="Traditional Arabic" w:hAnsi="Traditional Arabic" w:hint="cs"/>
          <w:noProof w:val="0"/>
          <w:color w:val="auto"/>
          <w:rtl/>
          <w:lang w:eastAsia="en-US"/>
        </w:rPr>
        <w:t>ْ</w:t>
      </w:r>
      <w:r w:rsidRPr="002E6054">
        <w:rPr>
          <w:rFonts w:ascii="Traditional Arabic" w:hAnsi="Traditional Arabic"/>
          <w:noProof w:val="0"/>
          <w:color w:val="auto"/>
          <w:rtl/>
          <w:lang w:eastAsia="en-US"/>
        </w:rPr>
        <w:t>كه يسم</w:t>
      </w:r>
      <w:r>
        <w:rPr>
          <w:rFonts w:ascii="Traditional Arabic" w:hAnsi="Traditional Arabic" w:hint="cs"/>
          <w:noProof w:val="0"/>
          <w:color w:val="auto"/>
          <w:rtl/>
          <w:lang w:eastAsia="en-US"/>
        </w:rPr>
        <w:t>َّ</w:t>
      </w:r>
      <w:r w:rsidRPr="002E6054">
        <w:rPr>
          <w:rFonts w:ascii="Traditional Arabic" w:hAnsi="Traditional Arabic"/>
          <w:noProof w:val="0"/>
          <w:color w:val="auto"/>
          <w:rtl/>
          <w:lang w:eastAsia="en-US"/>
        </w:rPr>
        <w:t>ى تفريطا، وما ط</w:t>
      </w:r>
      <w:r>
        <w:rPr>
          <w:rFonts w:ascii="Traditional Arabic" w:hAnsi="Traditional Arabic" w:hint="cs"/>
          <w:noProof w:val="0"/>
          <w:color w:val="auto"/>
          <w:rtl/>
          <w:lang w:eastAsia="en-US"/>
        </w:rPr>
        <w:t>ُ</w:t>
      </w:r>
      <w:r w:rsidRPr="002E6054">
        <w:rPr>
          <w:rFonts w:ascii="Traditional Arabic" w:hAnsi="Traditional Arabic"/>
          <w:noProof w:val="0"/>
          <w:color w:val="auto"/>
          <w:rtl/>
          <w:lang w:eastAsia="en-US"/>
        </w:rPr>
        <w:t>لب الامتناع</w:t>
      </w:r>
      <w:r>
        <w:rPr>
          <w:rFonts w:ascii="Traditional Arabic" w:hAnsi="Traditional Arabic" w:hint="cs"/>
          <w:noProof w:val="0"/>
          <w:color w:val="auto"/>
          <w:rtl/>
          <w:lang w:eastAsia="en-US"/>
        </w:rPr>
        <w:t>ُ</w:t>
      </w:r>
      <w:r w:rsidRPr="002E6054">
        <w:rPr>
          <w:rFonts w:ascii="Traditional Arabic" w:hAnsi="Traditional Arabic"/>
          <w:noProof w:val="0"/>
          <w:color w:val="auto"/>
          <w:rtl/>
          <w:lang w:eastAsia="en-US"/>
        </w:rPr>
        <w:t xml:space="preserve"> منه فف</w:t>
      </w:r>
      <w:r>
        <w:rPr>
          <w:rFonts w:ascii="Traditional Arabic" w:hAnsi="Traditional Arabic" w:hint="cs"/>
          <w:noProof w:val="0"/>
          <w:color w:val="auto"/>
          <w:rtl/>
          <w:lang w:eastAsia="en-US"/>
        </w:rPr>
        <w:t>ِ</w:t>
      </w:r>
      <w:r w:rsidRPr="002E6054">
        <w:rPr>
          <w:rFonts w:ascii="Traditional Arabic" w:hAnsi="Traditional Arabic"/>
          <w:noProof w:val="0"/>
          <w:color w:val="auto"/>
          <w:rtl/>
          <w:lang w:eastAsia="en-US"/>
        </w:rPr>
        <w:t>عله يسمى تعد</w:t>
      </w:r>
      <w:r>
        <w:rPr>
          <w:rFonts w:ascii="Traditional Arabic" w:hAnsi="Traditional Arabic" w:hint="cs"/>
          <w:noProof w:val="0"/>
          <w:color w:val="auto"/>
          <w:rtl/>
          <w:lang w:eastAsia="en-US"/>
        </w:rPr>
        <w:t>ِّ</w:t>
      </w:r>
      <w:r w:rsidRPr="002E6054">
        <w:rPr>
          <w:rFonts w:ascii="Traditional Arabic" w:hAnsi="Traditional Arabic"/>
          <w:noProof w:val="0"/>
          <w:color w:val="auto"/>
          <w:rtl/>
          <w:lang w:eastAsia="en-US"/>
        </w:rPr>
        <w:t>يا</w:t>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416"/>
      </w:r>
      <w:r w:rsidRPr="00C821A1">
        <w:rPr>
          <w:rStyle w:val="af1"/>
          <w:szCs w:val="32"/>
          <w:rtl/>
        </w:rPr>
        <w:t>)</w:t>
      </w:r>
      <w:r w:rsidRPr="002E6054">
        <w:rPr>
          <w:rFonts w:ascii="Traditional Arabic" w:hAnsi="Traditional Arabic"/>
          <w:noProof w:val="0"/>
          <w:color w:val="auto"/>
          <w:rtl/>
          <w:lang w:eastAsia="en-US"/>
        </w:rPr>
        <w:t>.</w:t>
      </w:r>
    </w:p>
    <w:p w:rsidR="00065E4B" w:rsidRDefault="00065E4B" w:rsidP="00597C20">
      <w:pPr>
        <w:pStyle w:val="53"/>
        <w:rPr>
          <w:rtl/>
        </w:rPr>
      </w:pPr>
      <w:r>
        <w:rPr>
          <w:rFonts w:hint="cs"/>
          <w:rtl/>
        </w:rPr>
        <w:t>م</w:t>
      </w:r>
      <w:r w:rsidR="00F228A9">
        <w:rPr>
          <w:rFonts w:hint="cs"/>
          <w:rtl/>
        </w:rPr>
        <w:t>عنى القاعدة إجمالا:</w:t>
      </w:r>
    </w:p>
    <w:p w:rsidR="00F228A9" w:rsidRPr="00130E90" w:rsidRDefault="00615E17" w:rsidP="00597C20">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Pr>
          <w:rFonts w:ascii="Traditional Arabic" w:hAnsi="Traditional Arabic" w:hint="cs"/>
          <w:noProof w:val="0"/>
          <w:color w:val="auto"/>
          <w:rtl/>
          <w:lang w:eastAsia="en-US"/>
        </w:rPr>
        <w:t>ك</w:t>
      </w:r>
      <w:r>
        <w:rPr>
          <w:rFonts w:ascii="Traditional Arabic" w:hAnsi="Traditional Arabic" w:hint="cs"/>
          <w:noProof w:val="0"/>
          <w:color w:val="auto"/>
          <w:rtl/>
          <w:lang w:eastAsia="en-US"/>
        </w:rPr>
        <w:t>ل أمين</w:t>
      </w:r>
      <w:r w:rsidR="00546122">
        <w:rPr>
          <w:rFonts w:ascii="Traditional Arabic" w:hAnsi="Traditional Arabic" w:hint="cs"/>
          <w:noProof w:val="0"/>
          <w:color w:val="auto"/>
          <w:rtl/>
          <w:lang w:eastAsia="en-US"/>
        </w:rPr>
        <w:t xml:space="preserve"> تلِف المال بيده فإنه لا يضمن؛ لأن هذا هو معنى الائتمان؛ لأن التلَف في يديه كالتلف بِيَدِ المالك، فإن تعدّى الأمين أو فرَّط فإن وَصْف الأمانة </w:t>
      </w:r>
      <w:r w:rsidR="00546122">
        <w:rPr>
          <w:rFonts w:ascii="Traditional Arabic" w:hAnsi="Traditional Arabic" w:hint="cs"/>
          <w:noProof w:val="0"/>
          <w:rtl/>
          <w:lang w:eastAsia="en-US"/>
        </w:rPr>
        <w:t>ي</w:t>
      </w:r>
      <w:r w:rsidR="00546122" w:rsidRPr="004C6D98">
        <w:rPr>
          <w:rFonts w:ascii="Traditional Arabic" w:hAnsi="Traditional Arabic"/>
          <w:noProof w:val="0"/>
          <w:rtl/>
          <w:lang w:eastAsia="en-US"/>
        </w:rPr>
        <w:t>رتفع</w:t>
      </w:r>
      <w:r w:rsidR="00546122">
        <w:rPr>
          <w:rFonts w:ascii="Traditional Arabic" w:hAnsi="Traditional Arabic" w:hint="cs"/>
          <w:noProof w:val="0"/>
          <w:rtl/>
          <w:lang w:eastAsia="en-US"/>
        </w:rPr>
        <w:t xml:space="preserve"> عنه</w:t>
      </w:r>
      <w:r w:rsidR="00546122" w:rsidRPr="004C6D98">
        <w:rPr>
          <w:rFonts w:ascii="Traditional Arabic" w:hAnsi="Traditional Arabic"/>
          <w:noProof w:val="0"/>
          <w:rtl/>
          <w:lang w:eastAsia="en-US"/>
        </w:rPr>
        <w:t>، و</w:t>
      </w:r>
      <w:r w:rsidR="00546122">
        <w:rPr>
          <w:rFonts w:ascii="Traditional Arabic" w:hAnsi="Traditional Arabic" w:hint="cs"/>
          <w:noProof w:val="0"/>
          <w:rtl/>
          <w:lang w:eastAsia="en-US"/>
        </w:rPr>
        <w:t>ت</w:t>
      </w:r>
      <w:r w:rsidR="00546122">
        <w:rPr>
          <w:rFonts w:ascii="Traditional Arabic" w:hAnsi="Traditional Arabic"/>
          <w:noProof w:val="0"/>
          <w:rtl/>
          <w:lang w:eastAsia="en-US"/>
        </w:rPr>
        <w:t>ص</w:t>
      </w:r>
      <w:r w:rsidR="00546122">
        <w:rPr>
          <w:rFonts w:ascii="Traditional Arabic" w:hAnsi="Traditional Arabic" w:hint="cs"/>
          <w:noProof w:val="0"/>
          <w:rtl/>
          <w:lang w:eastAsia="en-US"/>
        </w:rPr>
        <w:t>ي</w:t>
      </w:r>
      <w:r w:rsidR="00546122">
        <w:rPr>
          <w:rFonts w:ascii="Traditional Arabic" w:hAnsi="Traditional Arabic"/>
          <w:noProof w:val="0"/>
          <w:rtl/>
          <w:lang w:eastAsia="en-US"/>
        </w:rPr>
        <w:t>ر</w:t>
      </w:r>
      <w:r w:rsidR="00546122" w:rsidRPr="004C6D98">
        <w:rPr>
          <w:rFonts w:ascii="Traditional Arabic" w:hAnsi="Traditional Arabic"/>
          <w:noProof w:val="0"/>
          <w:rtl/>
          <w:lang w:eastAsia="en-US"/>
        </w:rPr>
        <w:t xml:space="preserve"> يد</w:t>
      </w:r>
      <w:r w:rsidR="00546122">
        <w:rPr>
          <w:rFonts w:ascii="Traditional Arabic" w:hAnsi="Traditional Arabic" w:hint="cs"/>
          <w:noProof w:val="0"/>
          <w:rtl/>
          <w:lang w:eastAsia="en-US"/>
        </w:rPr>
        <w:t>ُ</w:t>
      </w:r>
      <w:r w:rsidR="00546122" w:rsidRPr="004C6D98">
        <w:rPr>
          <w:rFonts w:ascii="Traditional Arabic" w:hAnsi="Traditional Arabic"/>
          <w:noProof w:val="0"/>
          <w:rtl/>
          <w:lang w:eastAsia="en-US"/>
        </w:rPr>
        <w:t>ه غير أمينة</w:t>
      </w:r>
      <w:r w:rsidR="00546122">
        <w:rPr>
          <w:rFonts w:ascii="Traditional Arabic" w:hAnsi="Traditional Arabic" w:hint="cs"/>
          <w:noProof w:val="0"/>
          <w:rtl/>
          <w:lang w:eastAsia="en-US"/>
        </w:rPr>
        <w:t>،</w:t>
      </w:r>
      <w:r>
        <w:rPr>
          <w:rFonts w:ascii="Traditional Arabic" w:hAnsi="Traditional Arabic" w:hint="cs"/>
          <w:noProof w:val="0"/>
          <w:color w:val="auto"/>
          <w:rtl/>
          <w:lang w:eastAsia="en-US"/>
        </w:rPr>
        <w:t xml:space="preserve"> </w:t>
      </w:r>
      <w:r w:rsidR="00546122">
        <w:rPr>
          <w:rFonts w:ascii="Traditional Arabic" w:hAnsi="Traditional Arabic" w:hint="cs"/>
          <w:noProof w:val="0"/>
          <w:color w:val="auto"/>
          <w:rtl/>
          <w:lang w:eastAsia="en-US"/>
        </w:rPr>
        <w:t>و</w:t>
      </w:r>
      <w:r>
        <w:rPr>
          <w:rFonts w:ascii="Traditional Arabic" w:hAnsi="Traditional Arabic" w:hint="cs"/>
          <w:noProof w:val="0"/>
          <w:color w:val="auto"/>
          <w:rtl/>
          <w:lang w:eastAsia="en-US"/>
        </w:rPr>
        <w:t xml:space="preserve">على ذلك </w:t>
      </w:r>
      <w:r w:rsidR="00546122">
        <w:rPr>
          <w:rFonts w:ascii="Traditional Arabic" w:hAnsi="Traditional Arabic" w:hint="cs"/>
          <w:noProof w:val="0"/>
          <w:color w:val="auto"/>
          <w:rtl/>
          <w:lang w:eastAsia="en-US"/>
        </w:rPr>
        <w:t>يضمن ما تلِف تحت يديه</w:t>
      </w:r>
      <w:r w:rsidR="00546122" w:rsidRPr="00C821A1">
        <w:rPr>
          <w:rStyle w:val="af1"/>
          <w:szCs w:val="32"/>
          <w:rtl/>
        </w:rPr>
        <w:t>(</w:t>
      </w:r>
      <w:r w:rsidR="00546122" w:rsidRPr="00C821A1">
        <w:rPr>
          <w:rStyle w:val="af1"/>
          <w:szCs w:val="32"/>
          <w:rtl/>
        </w:rPr>
        <w:footnoteReference w:id="1417"/>
      </w:r>
      <w:r w:rsidR="00546122" w:rsidRPr="00C821A1">
        <w:rPr>
          <w:rStyle w:val="af1"/>
          <w:szCs w:val="32"/>
          <w:rtl/>
        </w:rPr>
        <w:t>)</w:t>
      </w:r>
      <w:r w:rsidR="00546122">
        <w:rPr>
          <w:rFonts w:ascii="Traditional Arabic" w:hAnsi="Traditional Arabic" w:hint="cs"/>
          <w:noProof w:val="0"/>
          <w:color w:val="auto"/>
          <w:rtl/>
          <w:lang w:eastAsia="en-US"/>
        </w:rPr>
        <w:t>.</w:t>
      </w:r>
    </w:p>
    <w:p w:rsidR="00546122" w:rsidRPr="00546122" w:rsidRDefault="00FB54E9" w:rsidP="00A8347C">
      <w:pPr>
        <w:pStyle w:val="aff3"/>
        <w:rPr>
          <w:rtl/>
        </w:rPr>
      </w:pPr>
      <w:bookmarkStart w:id="279" w:name="_Toc334046496"/>
      <w:r>
        <w:rPr>
          <w:rFonts w:hint="cs"/>
          <w:rtl/>
        </w:rPr>
        <w:t xml:space="preserve">                                        المطلب</w:t>
      </w:r>
      <w:r w:rsidR="00FA7962">
        <w:rPr>
          <w:rFonts w:hint="cs"/>
          <w:rtl/>
        </w:rPr>
        <w:t xml:space="preserve"> </w:t>
      </w:r>
      <w:r w:rsidR="00546122" w:rsidRPr="00546122">
        <w:rPr>
          <w:rFonts w:hint="cs"/>
          <w:rtl/>
        </w:rPr>
        <w:t>الثالث</w:t>
      </w:r>
      <w:r w:rsidR="00546122">
        <w:rPr>
          <w:rFonts w:hint="eastAsia"/>
          <w:rtl/>
        </w:rPr>
        <w:t> :</w:t>
      </w:r>
      <w:r w:rsidR="00546122">
        <w:rPr>
          <w:rFonts w:hint="cs"/>
          <w:rtl/>
        </w:rPr>
        <w:br/>
      </w:r>
      <w:r>
        <w:rPr>
          <w:rFonts w:hint="cs"/>
          <w:rtl/>
        </w:rPr>
        <w:t xml:space="preserve">                                          </w:t>
      </w:r>
      <w:r w:rsidR="00801B78">
        <w:rPr>
          <w:rFonts w:hint="cs"/>
          <w:rtl/>
        </w:rPr>
        <w:t>دليل</w:t>
      </w:r>
      <w:r w:rsidR="00546122" w:rsidRPr="00546122">
        <w:rPr>
          <w:rFonts w:hint="cs"/>
          <w:rtl/>
        </w:rPr>
        <w:t xml:space="preserve"> القاعدة</w:t>
      </w:r>
      <w:bookmarkEnd w:id="279"/>
    </w:p>
    <w:p w:rsidR="00546122" w:rsidRPr="00801B78" w:rsidRDefault="00546122" w:rsidP="00801B78">
      <w:pPr>
        <w:ind w:left="360" w:firstLine="0"/>
        <w:rPr>
          <w:color w:val="auto"/>
        </w:rPr>
      </w:pPr>
      <w:r w:rsidRPr="00801B78">
        <w:rPr>
          <w:rFonts w:hint="cs"/>
          <w:color w:val="auto"/>
          <w:rtl/>
        </w:rPr>
        <w:t xml:space="preserve">قول الله تعالى: </w:t>
      </w:r>
      <w:r w:rsidRPr="00801B78">
        <w:rPr>
          <w:rFonts w:ascii="QCF_BSML" w:hAnsi="QCF_BSML" w:cs="QCF_BSML"/>
          <w:noProof w:val="0"/>
          <w:color w:val="auto"/>
          <w:rtl/>
          <w:lang w:eastAsia="en-US"/>
        </w:rPr>
        <w:t xml:space="preserve">ﭽ </w:t>
      </w:r>
      <w:r w:rsidRPr="00801B78">
        <w:rPr>
          <w:rFonts w:ascii="QCF_P201" w:hAnsi="QCF_P201" w:cs="QCF_P201"/>
          <w:noProof w:val="0"/>
          <w:color w:val="auto"/>
          <w:rtl/>
          <w:lang w:eastAsia="en-US"/>
        </w:rPr>
        <w:t>ﮣﮤﮥﮦﮧ</w:t>
      </w:r>
      <w:r w:rsidRPr="00801B78">
        <w:rPr>
          <w:rFonts w:ascii="QCF_BSML" w:hAnsi="QCF_BSML" w:cs="QCF_BSML"/>
          <w:noProof w:val="0"/>
          <w:color w:val="auto"/>
          <w:rtl/>
          <w:lang w:eastAsia="en-US"/>
        </w:rPr>
        <w:t xml:space="preserve">ﭼ </w:t>
      </w:r>
      <w:r w:rsidRPr="00801B78">
        <w:rPr>
          <w:rFonts w:ascii="Traditional Arabic" w:hAnsi="Traditional Arabic" w:hint="cs"/>
          <w:noProof w:val="0"/>
          <w:color w:val="auto"/>
          <w:rtl/>
          <w:lang w:eastAsia="en-US"/>
        </w:rPr>
        <w:t>[</w:t>
      </w:r>
      <w:r w:rsidRPr="00801B78">
        <w:rPr>
          <w:rFonts w:ascii="Traditional Arabic" w:hAnsi="Traditional Arabic"/>
          <w:noProof w:val="0"/>
          <w:color w:val="auto"/>
          <w:rtl/>
          <w:lang w:eastAsia="en-US"/>
        </w:rPr>
        <w:t>التوبة: ٩١</w:t>
      </w:r>
      <w:r w:rsidRPr="00801B78">
        <w:rPr>
          <w:rFonts w:hint="cs"/>
          <w:color w:val="auto"/>
          <w:rtl/>
        </w:rPr>
        <w:t>].</w:t>
      </w:r>
    </w:p>
    <w:p w:rsidR="00546122" w:rsidRDefault="00546122" w:rsidP="00597C20">
      <w:pPr>
        <w:pStyle w:val="53"/>
        <w:rPr>
          <w:rtl/>
        </w:rPr>
      </w:pPr>
      <w:r>
        <w:rPr>
          <w:rFonts w:hint="cs"/>
          <w:rtl/>
        </w:rPr>
        <w:t>وجه الدلالة:</w:t>
      </w:r>
    </w:p>
    <w:p w:rsidR="00065E4B" w:rsidRPr="00312986" w:rsidRDefault="00546122" w:rsidP="00597C20">
      <w:pPr>
        <w:ind w:firstLine="720"/>
        <w:rPr>
          <w:color w:val="auto"/>
          <w:rtl/>
        </w:rPr>
      </w:pPr>
      <w:r w:rsidRPr="00312986">
        <w:rPr>
          <w:rFonts w:hint="cs"/>
          <w:color w:val="auto"/>
          <w:rtl/>
        </w:rPr>
        <w:t>يُقبل قول الأمين فيما ائتُمن فيه؛ لأنه محسنٌ، وكل محسن فلا سبيل عليه، أي: ليس عليه طريق يُلام به، أو يضمن به</w:t>
      </w:r>
      <w:r w:rsidRPr="00C821A1">
        <w:rPr>
          <w:rStyle w:val="af1"/>
          <w:szCs w:val="32"/>
          <w:rtl/>
        </w:rPr>
        <w:t>(</w:t>
      </w:r>
      <w:r w:rsidRPr="00C821A1">
        <w:rPr>
          <w:rStyle w:val="af1"/>
          <w:szCs w:val="32"/>
          <w:rtl/>
        </w:rPr>
        <w:footnoteReference w:id="1418"/>
      </w:r>
      <w:r w:rsidRPr="00C821A1">
        <w:rPr>
          <w:rStyle w:val="af1"/>
          <w:szCs w:val="32"/>
          <w:rtl/>
        </w:rPr>
        <w:t>)</w:t>
      </w:r>
      <w:r w:rsidRPr="00312986">
        <w:rPr>
          <w:rFonts w:hint="cs"/>
          <w:color w:val="auto"/>
          <w:rtl/>
        </w:rPr>
        <w:t>.</w:t>
      </w:r>
    </w:p>
    <w:p w:rsidR="00546122" w:rsidRPr="00130E90" w:rsidRDefault="00065E4B" w:rsidP="00597C20">
      <w:pPr>
        <w:spacing w:line="640" w:lineRule="exact"/>
        <w:ind w:firstLine="720"/>
        <w:jc w:val="lowKashida"/>
        <w:rPr>
          <w:rFonts w:ascii="Traditional Arabic" w:hAnsi="Traditional Arabic"/>
          <w:rtl/>
        </w:rPr>
      </w:pPr>
      <w:r w:rsidRPr="009E02A1">
        <w:rPr>
          <w:rFonts w:ascii="Traditional Arabic" w:hAnsi="Traditional Arabic"/>
          <w:rtl/>
        </w:rPr>
        <w:t>ي</w:t>
      </w:r>
      <w:r w:rsidR="00546122" w:rsidRPr="009E02A1">
        <w:rPr>
          <w:rFonts w:ascii="Traditional Arabic" w:hAnsi="Traditional Arabic"/>
          <w:rtl/>
        </w:rPr>
        <w:t xml:space="preserve">قول الشيخ السعدي </w:t>
      </w:r>
      <w:r w:rsidR="00615E17">
        <w:rPr>
          <w:rFonts w:ascii="Traditional Arabic" w:hAnsi="Traditional Arabic" w:hint="cs"/>
          <w:rtl/>
        </w:rPr>
        <w:t>_</w:t>
      </w:r>
      <w:r w:rsidR="009A0575" w:rsidRPr="005D5694">
        <w:rPr>
          <w:rFonts w:ascii="Traditional Arabic" w:hAnsi="Traditional Arabic" w:cs="CTraditional Arabic" w:hint="cs"/>
          <w:rtl/>
        </w:rPr>
        <w:t>/</w:t>
      </w:r>
      <w:r w:rsidR="00615E17">
        <w:rPr>
          <w:rFonts w:ascii="Traditional Arabic" w:hAnsi="Traditional Arabic" w:hint="cs"/>
          <w:rtl/>
        </w:rPr>
        <w:t>_</w:t>
      </w:r>
      <w:r w:rsidR="00546122" w:rsidRPr="009E02A1">
        <w:rPr>
          <w:rFonts w:ascii="Traditional Arabic" w:hAnsi="Traditional Arabic"/>
          <w:rtl/>
        </w:rPr>
        <w:t>: (ويُستدل بهذه الآية على قاعدة</w:t>
      </w:r>
      <w:r w:rsidR="00B76414">
        <w:rPr>
          <w:rFonts w:ascii="Traditional Arabic" w:hAnsi="Traditional Arabic"/>
          <w:rtl/>
        </w:rPr>
        <w:t>،</w:t>
      </w:r>
      <w:r w:rsidR="00546122" w:rsidRPr="009E02A1">
        <w:rPr>
          <w:rFonts w:ascii="Traditional Arabic" w:hAnsi="Traditional Arabic"/>
          <w:rtl/>
        </w:rPr>
        <w:t xml:space="preserve"> وهي : أن م</w:t>
      </w:r>
      <w:r w:rsidR="00546122">
        <w:rPr>
          <w:rFonts w:ascii="Traditional Arabic" w:hAnsi="Traditional Arabic" w:hint="cs"/>
          <w:rtl/>
        </w:rPr>
        <w:t>َ</w:t>
      </w:r>
      <w:r w:rsidR="00546122" w:rsidRPr="009E02A1">
        <w:rPr>
          <w:rFonts w:ascii="Traditional Arabic" w:hAnsi="Traditional Arabic"/>
          <w:rtl/>
        </w:rPr>
        <w:t xml:space="preserve">ن أحسن </w:t>
      </w:r>
      <w:r w:rsidR="00546122" w:rsidRPr="009E02A1">
        <w:rPr>
          <w:rFonts w:ascii="Traditional Arabic" w:hAnsi="Traditional Arabic"/>
          <w:rtl/>
        </w:rPr>
        <w:lastRenderedPageBreak/>
        <w:t>على غيره في نفسه أو في ماله</w:t>
      </w:r>
      <w:r w:rsidR="00B76414">
        <w:rPr>
          <w:rFonts w:ascii="Traditional Arabic" w:hAnsi="Traditional Arabic"/>
          <w:rtl/>
        </w:rPr>
        <w:t>،</w:t>
      </w:r>
      <w:r w:rsidR="00546122" w:rsidRPr="009E02A1">
        <w:rPr>
          <w:rFonts w:ascii="Traditional Arabic" w:hAnsi="Traditional Arabic"/>
          <w:rtl/>
        </w:rPr>
        <w:t xml:space="preserve"> ونحو ذلك</w:t>
      </w:r>
      <w:r w:rsidR="00B76414">
        <w:rPr>
          <w:rFonts w:ascii="Traditional Arabic" w:hAnsi="Traditional Arabic"/>
          <w:rtl/>
        </w:rPr>
        <w:t>،</w:t>
      </w:r>
      <w:r w:rsidR="00546122" w:rsidRPr="009E02A1">
        <w:rPr>
          <w:rFonts w:ascii="Traditional Arabic" w:hAnsi="Traditional Arabic"/>
          <w:rtl/>
        </w:rPr>
        <w:t xml:space="preserve"> ثم ترتَّب على إحسانه نقص</w:t>
      </w:r>
      <w:r w:rsidR="00546122">
        <w:rPr>
          <w:rFonts w:ascii="Traditional Arabic" w:hAnsi="Traditional Arabic" w:hint="cs"/>
          <w:rtl/>
        </w:rPr>
        <w:t>ٌ</w:t>
      </w:r>
      <w:r w:rsidR="00546122" w:rsidRPr="009E02A1">
        <w:rPr>
          <w:rFonts w:ascii="Traditional Arabic" w:hAnsi="Traditional Arabic"/>
          <w:rtl/>
        </w:rPr>
        <w:t xml:space="preserve"> أو تل</w:t>
      </w:r>
      <w:r w:rsidR="00546122">
        <w:rPr>
          <w:rFonts w:ascii="Traditional Arabic" w:hAnsi="Traditional Arabic" w:hint="cs"/>
          <w:rtl/>
        </w:rPr>
        <w:t>َ</w:t>
      </w:r>
      <w:r w:rsidR="00546122" w:rsidRPr="009E02A1">
        <w:rPr>
          <w:rFonts w:ascii="Traditional Arabic" w:hAnsi="Traditional Arabic"/>
          <w:rtl/>
        </w:rPr>
        <w:t>ف</w:t>
      </w:r>
      <w:r w:rsidR="00546122">
        <w:rPr>
          <w:rFonts w:ascii="Traditional Arabic" w:hAnsi="Traditional Arabic" w:hint="cs"/>
          <w:rtl/>
        </w:rPr>
        <w:t>ٌ</w:t>
      </w:r>
      <w:r w:rsidR="00546122" w:rsidRPr="009E02A1">
        <w:rPr>
          <w:rFonts w:ascii="Traditional Arabic" w:hAnsi="Traditional Arabic"/>
          <w:rtl/>
        </w:rPr>
        <w:t xml:space="preserve"> أنه غير ضامن ؛ لأنه محسن ولا سبيل على المحسنين</w:t>
      </w:r>
      <w:r w:rsidR="00B76414">
        <w:rPr>
          <w:rFonts w:ascii="Traditional Arabic" w:hAnsi="Traditional Arabic"/>
          <w:rtl/>
        </w:rPr>
        <w:t>،</w:t>
      </w:r>
      <w:r w:rsidR="00546122" w:rsidRPr="009E02A1">
        <w:rPr>
          <w:rFonts w:ascii="Traditional Arabic" w:hAnsi="Traditional Arabic"/>
          <w:rtl/>
        </w:rPr>
        <w:t xml:space="preserve"> كما يدل على أن غير المحسن - وهو المسيء - كالمفرِّط</w:t>
      </w:r>
      <w:r w:rsidR="00B76414">
        <w:rPr>
          <w:rFonts w:ascii="Traditional Arabic" w:hAnsi="Traditional Arabic"/>
          <w:rtl/>
        </w:rPr>
        <w:t>،</w:t>
      </w:r>
      <w:r w:rsidR="00546122" w:rsidRPr="009E02A1">
        <w:rPr>
          <w:rFonts w:ascii="Traditional Arabic" w:hAnsi="Traditional Arabic"/>
          <w:rtl/>
        </w:rPr>
        <w:t xml:space="preserve"> أنه عليه الضمان)</w:t>
      </w:r>
      <w:r w:rsidR="00546122" w:rsidRPr="00C821A1">
        <w:rPr>
          <w:rFonts w:ascii="Traditional Arabic" w:hAnsi="Traditional Arabic"/>
          <w:szCs w:val="32"/>
          <w:vertAlign w:val="superscript"/>
          <w:rtl/>
        </w:rPr>
        <w:t>(</w:t>
      </w:r>
      <w:r w:rsidR="00546122" w:rsidRPr="00C821A1">
        <w:rPr>
          <w:rStyle w:val="af1"/>
          <w:rFonts w:ascii="Traditional Arabic" w:hAnsi="Traditional Arabic"/>
          <w:szCs w:val="32"/>
          <w:rtl/>
        </w:rPr>
        <w:footnoteReference w:id="1419"/>
      </w:r>
      <w:r w:rsidR="00546122" w:rsidRPr="00C821A1">
        <w:rPr>
          <w:rFonts w:ascii="Traditional Arabic" w:hAnsi="Traditional Arabic"/>
          <w:szCs w:val="32"/>
          <w:vertAlign w:val="superscript"/>
          <w:rtl/>
        </w:rPr>
        <w:t>)</w:t>
      </w:r>
      <w:r w:rsidR="00B76414">
        <w:rPr>
          <w:rFonts w:ascii="Traditional Arabic" w:hAnsi="Traditional Arabic"/>
          <w:rtl/>
        </w:rPr>
        <w:t>.</w:t>
      </w:r>
    </w:p>
    <w:p w:rsidR="00546122" w:rsidRPr="00546122" w:rsidRDefault="00FB54E9" w:rsidP="00A8347C">
      <w:pPr>
        <w:pStyle w:val="aff3"/>
        <w:rPr>
          <w:rtl/>
        </w:rPr>
      </w:pPr>
      <w:bookmarkStart w:id="280" w:name="_Toc334046497"/>
      <w:r>
        <w:rPr>
          <w:rFonts w:hint="cs"/>
          <w:rtl/>
        </w:rPr>
        <w:t xml:space="preserve">                                          المطلب</w:t>
      </w:r>
      <w:r w:rsidR="00FA7962">
        <w:rPr>
          <w:rFonts w:hint="cs"/>
          <w:rtl/>
        </w:rPr>
        <w:t xml:space="preserve"> </w:t>
      </w:r>
      <w:r w:rsidR="00546122" w:rsidRPr="00546122">
        <w:rPr>
          <w:rFonts w:hint="cs"/>
          <w:rtl/>
        </w:rPr>
        <w:t>الرابع</w:t>
      </w:r>
      <w:r w:rsidR="00546122">
        <w:rPr>
          <w:rFonts w:hint="eastAsia"/>
          <w:rtl/>
        </w:rPr>
        <w:t> :</w:t>
      </w:r>
      <w:r w:rsidR="00546122">
        <w:rPr>
          <w:rFonts w:hint="cs"/>
          <w:rtl/>
        </w:rPr>
        <w:br/>
      </w:r>
      <w:r>
        <w:rPr>
          <w:rFonts w:hint="cs"/>
          <w:rtl/>
        </w:rPr>
        <w:t xml:space="preserve">                                         </w:t>
      </w:r>
      <w:r w:rsidR="00546122" w:rsidRPr="00546122">
        <w:rPr>
          <w:rFonts w:hint="cs"/>
          <w:rtl/>
        </w:rPr>
        <w:t>تطبيقات القاعدة</w:t>
      </w:r>
      <w:bookmarkEnd w:id="280"/>
    </w:p>
    <w:p w:rsidR="00065E4B" w:rsidRPr="00FF104F" w:rsidRDefault="00546122" w:rsidP="000A76C7">
      <w:pPr>
        <w:pStyle w:val="afc"/>
        <w:widowControl/>
        <w:numPr>
          <w:ilvl w:val="0"/>
          <w:numId w:val="190"/>
        </w:numPr>
        <w:autoSpaceDE w:val="0"/>
        <w:autoSpaceDN w:val="0"/>
        <w:adjustRightInd w:val="0"/>
        <w:jc w:val="left"/>
        <w:rPr>
          <w:rFonts w:ascii="Traditional Arabic" w:hAnsi="Traditional Arabic"/>
          <w:noProof w:val="0"/>
          <w:rtl/>
          <w:lang w:eastAsia="en-US"/>
        </w:rPr>
      </w:pPr>
      <w:r w:rsidRPr="00FF104F">
        <w:rPr>
          <w:rFonts w:ascii="Traditional Arabic" w:hAnsi="Traditional Arabic"/>
          <w:noProof w:val="0"/>
          <w:rtl/>
          <w:lang w:eastAsia="en-US"/>
        </w:rPr>
        <w:t>المقبوض على وجه الس</w:t>
      </w:r>
      <w:r>
        <w:rPr>
          <w:rFonts w:ascii="Traditional Arabic" w:hAnsi="Traditional Arabic" w:hint="cs"/>
          <w:noProof w:val="0"/>
          <w:rtl/>
          <w:lang w:eastAsia="en-US"/>
        </w:rPr>
        <w:t>َّ</w:t>
      </w:r>
      <w:r w:rsidRPr="00FF104F">
        <w:rPr>
          <w:rFonts w:ascii="Traditional Arabic" w:hAnsi="Traditional Arabic"/>
          <w:noProof w:val="0"/>
          <w:rtl/>
          <w:lang w:eastAsia="en-US"/>
        </w:rPr>
        <w:t>وم</w:t>
      </w:r>
      <w:r w:rsidRPr="00C821A1">
        <w:rPr>
          <w:rStyle w:val="af1"/>
          <w:szCs w:val="32"/>
          <w:rtl/>
        </w:rPr>
        <w:t>(</w:t>
      </w:r>
      <w:r w:rsidRPr="00C821A1">
        <w:rPr>
          <w:rStyle w:val="af1"/>
          <w:szCs w:val="32"/>
          <w:rtl/>
        </w:rPr>
        <w:footnoteReference w:id="1420"/>
      </w:r>
      <w:r w:rsidRPr="00C821A1">
        <w:rPr>
          <w:rStyle w:val="af1"/>
          <w:szCs w:val="32"/>
          <w:rtl/>
        </w:rPr>
        <w:t>)</w:t>
      </w:r>
      <w:r w:rsidRPr="00FF104F">
        <w:rPr>
          <w:rFonts w:ascii="Traditional Arabic" w:hAnsi="Traditional Arabic"/>
          <w:noProof w:val="0"/>
          <w:rtl/>
          <w:lang w:eastAsia="en-US"/>
        </w:rPr>
        <w:t xml:space="preserve"> له صور</w:t>
      </w:r>
      <w:r>
        <w:rPr>
          <w:rFonts w:ascii="Traditional Arabic" w:hAnsi="Traditional Arabic" w:hint="cs"/>
          <w:noProof w:val="0"/>
          <w:rtl/>
          <w:lang w:eastAsia="en-US"/>
        </w:rPr>
        <w:t>، منها</w:t>
      </w:r>
      <w:r w:rsidRPr="00FF104F">
        <w:rPr>
          <w:rFonts w:ascii="Traditional Arabic" w:hAnsi="Traditional Arabic"/>
          <w:noProof w:val="0"/>
          <w:rtl/>
          <w:lang w:eastAsia="en-US"/>
        </w:rPr>
        <w:t>:</w:t>
      </w:r>
    </w:p>
    <w:p w:rsidR="00546122" w:rsidRPr="00F94883" w:rsidRDefault="00615E17" w:rsidP="00597C20">
      <w:pPr>
        <w:widowControl/>
        <w:autoSpaceDE w:val="0"/>
        <w:autoSpaceDN w:val="0"/>
        <w:adjustRightInd w:val="0"/>
        <w:ind w:left="360" w:firstLine="0"/>
        <w:jc w:val="left"/>
        <w:rPr>
          <w:rFonts w:ascii="Traditional Arabic" w:hAnsi="Traditional Arabic"/>
          <w:noProof w:val="0"/>
          <w:rtl/>
          <w:lang w:eastAsia="en-US"/>
        </w:rPr>
      </w:pPr>
      <w:r>
        <w:rPr>
          <w:rFonts w:ascii="Traditional Arabic" w:hAnsi="Traditional Arabic" w:hint="cs"/>
          <w:noProof w:val="0"/>
          <w:rtl/>
          <w:lang w:eastAsia="en-US"/>
        </w:rPr>
        <w:t xml:space="preserve">  </w:t>
      </w:r>
      <w:r w:rsidR="00065E4B" w:rsidRPr="00F94883">
        <w:rPr>
          <w:rFonts w:ascii="Traditional Arabic" w:hAnsi="Traditional Arabic"/>
          <w:noProof w:val="0"/>
          <w:rtl/>
          <w:lang w:eastAsia="en-US"/>
        </w:rPr>
        <w:t>أ</w:t>
      </w:r>
      <w:r w:rsidR="00546122" w:rsidRPr="00F94883">
        <w:rPr>
          <w:rFonts w:ascii="Traditional Arabic" w:hAnsi="Traditional Arabic"/>
          <w:noProof w:val="0"/>
          <w:rtl/>
          <w:lang w:eastAsia="en-US"/>
        </w:rPr>
        <w:t>ن يساو</w:t>
      </w:r>
      <w:r w:rsidR="00546122" w:rsidRPr="00F94883">
        <w:rPr>
          <w:rFonts w:ascii="Traditional Arabic" w:hAnsi="Traditional Arabic" w:hint="cs"/>
          <w:noProof w:val="0"/>
          <w:rtl/>
          <w:lang w:eastAsia="en-US"/>
        </w:rPr>
        <w:t>ِ</w:t>
      </w:r>
      <w:r w:rsidR="00546122" w:rsidRPr="00F94883">
        <w:rPr>
          <w:rFonts w:ascii="Traditional Arabic" w:hAnsi="Traditional Arabic"/>
          <w:noProof w:val="0"/>
          <w:rtl/>
          <w:lang w:eastAsia="en-US"/>
        </w:rPr>
        <w:t>مه ويقطع الثمن.</w:t>
      </w:r>
    </w:p>
    <w:p w:rsidR="00546122" w:rsidRPr="00312986" w:rsidRDefault="00615E17" w:rsidP="00615E17">
      <w:pPr>
        <w:widowControl/>
        <w:autoSpaceDE w:val="0"/>
        <w:autoSpaceDN w:val="0"/>
        <w:adjustRightInd w:val="0"/>
        <w:ind w:firstLine="0"/>
        <w:rPr>
          <w:rFonts w:ascii="Traditional Arabic" w:hAnsi="Traditional Arabic"/>
          <w:noProof w:val="0"/>
          <w:color w:val="auto"/>
          <w:rtl/>
          <w:lang w:eastAsia="en-US"/>
        </w:rPr>
      </w:pPr>
      <w:r>
        <w:rPr>
          <w:rFonts w:ascii="Traditional Arabic" w:hAnsi="Traditional Arabic" w:hint="cs"/>
          <w:noProof w:val="0"/>
          <w:rtl/>
          <w:lang w:eastAsia="en-US"/>
        </w:rPr>
        <w:t xml:space="preserve">      </w:t>
      </w:r>
      <w:r w:rsidR="00546122" w:rsidRPr="00312986">
        <w:rPr>
          <w:rFonts w:ascii="Traditional Arabic" w:hAnsi="Traditional Arabic"/>
          <w:noProof w:val="0"/>
          <w:rtl/>
          <w:lang w:eastAsia="en-US"/>
        </w:rPr>
        <w:t>ف</w:t>
      </w:r>
      <w:r w:rsidR="00546122" w:rsidRPr="00312986">
        <w:rPr>
          <w:rFonts w:ascii="Traditional Arabic" w:hAnsi="Traditional Arabic" w:hint="cs"/>
          <w:noProof w:val="0"/>
          <w:rtl/>
          <w:lang w:eastAsia="en-US"/>
        </w:rPr>
        <w:t>في هذه الصورة إذا تلِف بعد قبضه</w:t>
      </w:r>
      <w:r w:rsidR="00546122" w:rsidRPr="00312986">
        <w:rPr>
          <w:rFonts w:ascii="Traditional Arabic" w:hAnsi="Traditional Arabic"/>
          <w:noProof w:val="0"/>
          <w:rtl/>
          <w:lang w:eastAsia="en-US"/>
        </w:rPr>
        <w:t>، ف</w:t>
      </w:r>
      <w:r w:rsidR="00546122" w:rsidRPr="00312986">
        <w:rPr>
          <w:rFonts w:ascii="Traditional Arabic" w:hAnsi="Traditional Arabic" w:hint="cs"/>
          <w:noProof w:val="0"/>
          <w:rtl/>
          <w:lang w:eastAsia="en-US"/>
        </w:rPr>
        <w:t>المذهب أنه</w:t>
      </w:r>
      <w:r w:rsidR="00546122" w:rsidRPr="00312986">
        <w:rPr>
          <w:rFonts w:ascii="Traditional Arabic" w:hAnsi="Traditional Arabic"/>
          <w:noProof w:val="0"/>
          <w:rtl/>
          <w:lang w:eastAsia="en-US"/>
        </w:rPr>
        <w:t xml:space="preserve"> مضمون</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 xml:space="preserve"> على كل حال على السائم، سواء تعد</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ى أو فر</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ط أو لم يتعد</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 xml:space="preserve"> ولم يفر</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ط</w:t>
      </w:r>
      <w:r w:rsidR="00546122" w:rsidRPr="00C821A1">
        <w:rPr>
          <w:rStyle w:val="af1"/>
          <w:szCs w:val="32"/>
          <w:rtl/>
        </w:rPr>
        <w:t>(</w:t>
      </w:r>
      <w:r w:rsidR="00546122" w:rsidRPr="00C821A1">
        <w:rPr>
          <w:rStyle w:val="af1"/>
          <w:szCs w:val="32"/>
          <w:rtl/>
        </w:rPr>
        <w:footnoteReference w:id="1421"/>
      </w:r>
      <w:r w:rsidR="00546122" w:rsidRPr="00C821A1">
        <w:rPr>
          <w:rStyle w:val="af1"/>
          <w:szCs w:val="32"/>
          <w:rtl/>
        </w:rPr>
        <w:t>)</w:t>
      </w:r>
      <w:r w:rsidR="00546122" w:rsidRPr="00312986">
        <w:rPr>
          <w:rFonts w:ascii="Traditional Arabic" w:hAnsi="Traditional Arabic"/>
          <w:noProof w:val="0"/>
          <w:rtl/>
          <w:lang w:eastAsia="en-US"/>
        </w:rPr>
        <w:t>؛ وذلك لأنه قبضه وقطع الثمن فصار كأن البيع تم</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 فه</w:t>
      </w:r>
      <w:r w:rsidR="00546122" w:rsidRPr="00312986">
        <w:rPr>
          <w:rFonts w:ascii="Traditional Arabic" w:hAnsi="Traditional Arabic" w:hint="cs"/>
          <w:noProof w:val="0"/>
          <w:rtl/>
          <w:lang w:eastAsia="en-US"/>
        </w:rPr>
        <w:t>و</w:t>
      </w:r>
      <w:r w:rsidR="00546122" w:rsidRPr="00312986">
        <w:rPr>
          <w:rFonts w:ascii="Traditional Arabic" w:hAnsi="Traditional Arabic"/>
          <w:noProof w:val="0"/>
          <w:rtl/>
          <w:lang w:eastAsia="en-US"/>
        </w:rPr>
        <w:t xml:space="preserve"> مضمون عليه بكل حال، ولهذا صح</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 xml:space="preserve"> ضمان هذ</w:t>
      </w:r>
      <w:r w:rsidR="00546122" w:rsidRPr="00312986">
        <w:rPr>
          <w:rFonts w:ascii="Traditional Arabic" w:hAnsi="Traditional Arabic" w:hint="cs"/>
          <w:noProof w:val="0"/>
          <w:rtl/>
          <w:lang w:eastAsia="en-US"/>
        </w:rPr>
        <w:t>ه</w:t>
      </w:r>
      <w:r w:rsidR="00801B78">
        <w:rPr>
          <w:rFonts w:ascii="Traditional Arabic" w:hAnsi="Traditional Arabic" w:hint="cs"/>
          <w:noProof w:val="0"/>
          <w:rtl/>
          <w:lang w:eastAsia="en-US"/>
        </w:rPr>
        <w:t xml:space="preserve"> </w:t>
      </w:r>
      <w:r w:rsidR="00546122" w:rsidRPr="00312986">
        <w:rPr>
          <w:rFonts w:ascii="Traditional Arabic" w:hAnsi="Traditional Arabic" w:hint="cs"/>
          <w:noProof w:val="0"/>
          <w:rtl/>
          <w:lang w:eastAsia="en-US"/>
        </w:rPr>
        <w:t xml:space="preserve">السلعة </w:t>
      </w:r>
      <w:r w:rsidR="00546122" w:rsidRPr="00312986">
        <w:rPr>
          <w:rFonts w:ascii="Traditional Arabic" w:hAnsi="Traditional Arabic"/>
          <w:noProof w:val="0"/>
          <w:rtl/>
          <w:lang w:eastAsia="en-US"/>
        </w:rPr>
        <w:t>المقبوضة على وجه السوم.</w:t>
      </w:r>
    </w:p>
    <w:p w:rsidR="00546122" w:rsidRPr="00312986" w:rsidRDefault="00615E17" w:rsidP="00615E17">
      <w:pPr>
        <w:widowControl/>
        <w:autoSpaceDE w:val="0"/>
        <w:autoSpaceDN w:val="0"/>
        <w:adjustRightInd w:val="0"/>
        <w:ind w:firstLine="0"/>
        <w:rPr>
          <w:rFonts w:ascii="Traditional Arabic" w:hAnsi="Traditional Arabic"/>
          <w:noProof w:val="0"/>
          <w:color w:val="auto"/>
          <w:rtl/>
          <w:lang w:eastAsia="en-US"/>
        </w:rPr>
      </w:pPr>
      <w:r>
        <w:rPr>
          <w:rFonts w:ascii="Traditional Arabic" w:hAnsi="Traditional Arabic" w:hint="cs"/>
          <w:noProof w:val="0"/>
          <w:rtl/>
          <w:lang w:eastAsia="en-US"/>
        </w:rPr>
        <w:t xml:space="preserve">      </w:t>
      </w:r>
      <w:r w:rsidR="00546122" w:rsidRPr="00312986">
        <w:rPr>
          <w:rFonts w:ascii="Traditional Arabic" w:hAnsi="Traditional Arabic"/>
          <w:noProof w:val="0"/>
          <w:rtl/>
          <w:lang w:eastAsia="en-US"/>
        </w:rPr>
        <w:t>القول الثاني: وهو الصحيح، أنه لا يضمن إلا بالتعدي أو التفريط</w:t>
      </w:r>
      <w:r w:rsidR="00546122" w:rsidRPr="00C821A1">
        <w:rPr>
          <w:rStyle w:val="af1"/>
          <w:szCs w:val="32"/>
          <w:rtl/>
        </w:rPr>
        <w:t>(</w:t>
      </w:r>
      <w:r w:rsidR="00546122" w:rsidRPr="00C821A1">
        <w:rPr>
          <w:rStyle w:val="af1"/>
          <w:szCs w:val="32"/>
          <w:rtl/>
        </w:rPr>
        <w:footnoteReference w:id="1422"/>
      </w:r>
      <w:r w:rsidR="00546122" w:rsidRPr="00C821A1">
        <w:rPr>
          <w:rStyle w:val="af1"/>
          <w:szCs w:val="32"/>
          <w:rtl/>
        </w:rPr>
        <w:t>)</w:t>
      </w:r>
      <w:r w:rsidR="00546122" w:rsidRPr="00312986">
        <w:rPr>
          <w:rFonts w:ascii="Traditional Arabic" w:hAnsi="Traditional Arabic"/>
          <w:noProof w:val="0"/>
          <w:rtl/>
          <w:lang w:eastAsia="en-US"/>
        </w:rPr>
        <w:t>؛ ووجه ذلك أن هذا المقبوض حصل بيد السائم بإذن مالكه، فيد</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ه يد</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 xml:space="preserve"> أمانة، وكونه سام</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ه</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 xml:space="preserve"> وقطع الثمن أو سامه ولم يقطع الثمن، فإنه لا أثر له في الضمان؛ لأن الرجل الذي قبضه أمين</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 xml:space="preserve"> ائتمنه صاحب</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 xml:space="preserve"> السلعة، وعلى هذا فيكون المقبوض على وجه السوم ليس مضمونا</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 xml:space="preserve"> على قاب</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ضه إلا أن يتعدى أو يفر</w:t>
      </w:r>
      <w:r w:rsidR="00546122" w:rsidRPr="00312986">
        <w:rPr>
          <w:rFonts w:ascii="Traditional Arabic" w:hAnsi="Traditional Arabic" w:hint="cs"/>
          <w:noProof w:val="0"/>
          <w:rtl/>
          <w:lang w:eastAsia="en-US"/>
        </w:rPr>
        <w:t>ِّ</w:t>
      </w:r>
      <w:r w:rsidR="00546122" w:rsidRPr="00312986">
        <w:rPr>
          <w:rFonts w:ascii="Traditional Arabic" w:hAnsi="Traditional Arabic"/>
          <w:noProof w:val="0"/>
          <w:rtl/>
          <w:lang w:eastAsia="en-US"/>
        </w:rPr>
        <w:t>ط</w:t>
      </w:r>
      <w:r w:rsidR="00546122" w:rsidRPr="00C821A1">
        <w:rPr>
          <w:rStyle w:val="af1"/>
          <w:szCs w:val="32"/>
          <w:rtl/>
        </w:rPr>
        <w:t>(</w:t>
      </w:r>
      <w:r w:rsidR="00546122" w:rsidRPr="00C821A1">
        <w:rPr>
          <w:rStyle w:val="af1"/>
          <w:szCs w:val="32"/>
          <w:rtl/>
        </w:rPr>
        <w:footnoteReference w:id="1423"/>
      </w:r>
      <w:r w:rsidR="00546122" w:rsidRPr="00C821A1">
        <w:rPr>
          <w:rStyle w:val="af1"/>
          <w:szCs w:val="32"/>
          <w:rtl/>
        </w:rPr>
        <w:t>)</w:t>
      </w:r>
      <w:r w:rsidR="00546122" w:rsidRPr="00312986">
        <w:rPr>
          <w:rFonts w:ascii="Traditional Arabic" w:hAnsi="Traditional Arabic" w:hint="cs"/>
          <w:noProof w:val="0"/>
          <w:color w:val="auto"/>
          <w:rtl/>
          <w:lang w:eastAsia="en-US"/>
        </w:rPr>
        <w:t>.</w:t>
      </w:r>
    </w:p>
    <w:p w:rsidR="00546122" w:rsidRDefault="00546122" w:rsidP="00597C20">
      <w:pPr>
        <w:pStyle w:val="53"/>
        <w:rPr>
          <w:rtl/>
        </w:rPr>
      </w:pPr>
      <w:r>
        <w:rPr>
          <w:rFonts w:hint="cs"/>
          <w:rtl/>
        </w:rPr>
        <w:lastRenderedPageBreak/>
        <w:t>وجه اندراج الفرع تحت القاعدة:</w:t>
      </w:r>
    </w:p>
    <w:p w:rsidR="00546122" w:rsidRPr="00312986" w:rsidRDefault="00546122" w:rsidP="00597C20">
      <w:pPr>
        <w:widowControl/>
        <w:autoSpaceDE w:val="0"/>
        <w:autoSpaceDN w:val="0"/>
        <w:adjustRightInd w:val="0"/>
        <w:ind w:firstLine="720"/>
        <w:rPr>
          <w:rFonts w:ascii="Traditional Arabic" w:hAnsi="Traditional Arabic"/>
          <w:noProof w:val="0"/>
          <w:color w:val="auto"/>
          <w:rtl/>
          <w:lang w:eastAsia="en-US"/>
        </w:rPr>
      </w:pPr>
      <w:r w:rsidRPr="00312986">
        <w:rPr>
          <w:rFonts w:ascii="Traditional Arabic" w:hAnsi="Traditional Arabic" w:hint="cs"/>
          <w:noProof w:val="0"/>
          <w:color w:val="auto"/>
          <w:rtl/>
          <w:lang w:eastAsia="en-US"/>
        </w:rPr>
        <w:t>المقبوض على وجه السوم ليس مضموناً على قابضه إلا إذا تع</w:t>
      </w:r>
      <w:r w:rsidR="00615E17">
        <w:rPr>
          <w:rFonts w:ascii="Traditional Arabic" w:hAnsi="Traditional Arabic" w:hint="cs"/>
          <w:noProof w:val="0"/>
          <w:color w:val="auto"/>
          <w:rtl/>
          <w:lang w:eastAsia="en-US"/>
        </w:rPr>
        <w:t>دى أو فرط؛ لأنه أمين والقاعدة تقول:</w:t>
      </w:r>
      <w:r w:rsidRPr="00312986">
        <w:rPr>
          <w:rFonts w:ascii="Traditional Arabic" w:hAnsi="Traditional Arabic" w:hint="cs"/>
          <w:noProof w:val="0"/>
          <w:color w:val="auto"/>
          <w:rtl/>
          <w:lang w:eastAsia="en-US"/>
        </w:rPr>
        <w:t xml:space="preserve"> </w:t>
      </w:r>
      <w:r w:rsidR="00615E17">
        <w:rPr>
          <w:rFonts w:ascii="Traditional Arabic" w:hAnsi="Traditional Arabic" w:hint="cs"/>
          <w:noProof w:val="0"/>
          <w:color w:val="auto"/>
          <w:rtl/>
          <w:lang w:eastAsia="en-US"/>
        </w:rPr>
        <w:t>"</w:t>
      </w:r>
      <w:r w:rsidRPr="00312986">
        <w:rPr>
          <w:rFonts w:ascii="Traditional Arabic" w:hAnsi="Traditional Arabic" w:hint="cs"/>
          <w:noProof w:val="0"/>
          <w:color w:val="auto"/>
          <w:rtl/>
          <w:lang w:eastAsia="en-US"/>
        </w:rPr>
        <w:t>الأمين لا يضمن إلا إذا تعدى أو فرط</w:t>
      </w:r>
      <w:r w:rsidR="00615E17">
        <w:rPr>
          <w:rFonts w:ascii="Traditional Arabic" w:hAnsi="Traditional Arabic" w:hint="cs"/>
          <w:noProof w:val="0"/>
          <w:rtl/>
          <w:lang w:eastAsia="en-US"/>
        </w:rPr>
        <w:t>"</w:t>
      </w:r>
      <w:r w:rsidRPr="00312986">
        <w:rPr>
          <w:rFonts w:ascii="Traditional Arabic" w:hAnsi="Traditional Arabic"/>
          <w:noProof w:val="0"/>
          <w:rtl/>
          <w:lang w:eastAsia="en-US"/>
        </w:rPr>
        <w:t>.</w:t>
      </w:r>
    </w:p>
    <w:p w:rsidR="00546122" w:rsidRDefault="00546122" w:rsidP="000A76C7">
      <w:pPr>
        <w:pStyle w:val="afc"/>
        <w:widowControl/>
        <w:numPr>
          <w:ilvl w:val="0"/>
          <w:numId w:val="190"/>
        </w:numPr>
        <w:autoSpaceDE w:val="0"/>
        <w:autoSpaceDN w:val="0"/>
        <w:adjustRightInd w:val="0"/>
        <w:rPr>
          <w:rFonts w:ascii="Traditional Arabic" w:hAnsi="Traditional Arabic"/>
          <w:noProof w:val="0"/>
          <w:lang w:eastAsia="en-US"/>
        </w:rPr>
      </w:pPr>
      <w:r w:rsidRPr="004C4A66">
        <w:rPr>
          <w:rFonts w:ascii="Traditional Arabic" w:hAnsi="Traditional Arabic"/>
          <w:noProof w:val="0"/>
          <w:rtl/>
          <w:lang w:eastAsia="en-US"/>
        </w:rPr>
        <w:t>الراعي لا يضمن إذا لم يتعد أو يفرط؛ لأنه أمين مؤتمن، والبهائم حصلت في يده بإذن مالكها فيد</w:t>
      </w:r>
      <w:r>
        <w:rPr>
          <w:rFonts w:ascii="Traditional Arabic" w:hAnsi="Traditional Arabic" w:hint="cs"/>
          <w:noProof w:val="0"/>
          <w:rtl/>
          <w:lang w:eastAsia="en-US"/>
        </w:rPr>
        <w:t>ُ</w:t>
      </w:r>
      <w:r w:rsidRPr="004C4A66">
        <w:rPr>
          <w:rFonts w:ascii="Traditional Arabic" w:hAnsi="Traditional Arabic"/>
          <w:noProof w:val="0"/>
          <w:rtl/>
          <w:lang w:eastAsia="en-US"/>
        </w:rPr>
        <w:t>ه يد</w:t>
      </w:r>
      <w:r>
        <w:rPr>
          <w:rFonts w:ascii="Traditional Arabic" w:hAnsi="Traditional Arabic" w:hint="cs"/>
          <w:noProof w:val="0"/>
          <w:rtl/>
          <w:lang w:eastAsia="en-US"/>
        </w:rPr>
        <w:t>ُ</w:t>
      </w:r>
      <w:r w:rsidR="00615E17">
        <w:rPr>
          <w:rFonts w:ascii="Traditional Arabic" w:hAnsi="Traditional Arabic" w:hint="cs"/>
          <w:noProof w:val="0"/>
          <w:rtl/>
          <w:lang w:eastAsia="en-US"/>
        </w:rPr>
        <w:t xml:space="preserve"> </w:t>
      </w:r>
      <w:r w:rsidRPr="004C4A66">
        <w:rPr>
          <w:rFonts w:ascii="Traditional Arabic" w:hAnsi="Traditional Arabic"/>
          <w:noProof w:val="0"/>
          <w:rtl/>
          <w:lang w:eastAsia="en-US"/>
        </w:rPr>
        <w:t>أمانة</w:t>
      </w:r>
      <w:r w:rsidRPr="00C821A1">
        <w:rPr>
          <w:rStyle w:val="af1"/>
          <w:szCs w:val="32"/>
          <w:rtl/>
        </w:rPr>
        <w:t>(</w:t>
      </w:r>
      <w:r w:rsidRPr="00C821A1">
        <w:rPr>
          <w:rStyle w:val="af1"/>
          <w:szCs w:val="32"/>
          <w:rtl/>
        </w:rPr>
        <w:footnoteReference w:id="1424"/>
      </w:r>
      <w:r w:rsidRPr="00C821A1">
        <w:rPr>
          <w:rStyle w:val="af1"/>
          <w:szCs w:val="32"/>
          <w:rtl/>
        </w:rPr>
        <w:t>)</w:t>
      </w:r>
      <w:r w:rsidRPr="004C4A66">
        <w:rPr>
          <w:rFonts w:ascii="Traditional Arabic" w:hAnsi="Traditional Arabic"/>
          <w:noProof w:val="0"/>
          <w:rtl/>
          <w:lang w:eastAsia="en-US"/>
        </w:rPr>
        <w:t>.</w:t>
      </w:r>
    </w:p>
    <w:p w:rsidR="00546122" w:rsidRDefault="00546122" w:rsidP="00597C20">
      <w:pPr>
        <w:pStyle w:val="53"/>
        <w:rPr>
          <w:rtl/>
        </w:rPr>
      </w:pPr>
      <w:r>
        <w:rPr>
          <w:rFonts w:hint="cs"/>
          <w:rtl/>
        </w:rPr>
        <w:t>وجه اندراج الفرع تحت القاعدة:</w:t>
      </w:r>
    </w:p>
    <w:p w:rsidR="00546122" w:rsidRPr="00312986" w:rsidRDefault="00546122" w:rsidP="00597C20">
      <w:pPr>
        <w:widowControl/>
        <w:autoSpaceDE w:val="0"/>
        <w:autoSpaceDN w:val="0"/>
        <w:adjustRightInd w:val="0"/>
        <w:ind w:firstLine="720"/>
        <w:rPr>
          <w:rFonts w:ascii="Traditional Arabic" w:hAnsi="Traditional Arabic"/>
          <w:noProof w:val="0"/>
          <w:color w:val="auto"/>
          <w:rtl/>
          <w:lang w:eastAsia="en-US"/>
        </w:rPr>
      </w:pPr>
      <w:r w:rsidRPr="00312986">
        <w:rPr>
          <w:rFonts w:ascii="Traditional Arabic" w:hAnsi="Traditional Arabic" w:hint="cs"/>
          <w:noProof w:val="0"/>
          <w:rtl/>
          <w:lang w:eastAsia="en-US"/>
        </w:rPr>
        <w:t xml:space="preserve">يد الراعي يدٌ أمينة؛ لهذا لا يضمن إذا لم يتعدَّ أو يفرِّط؛ لأن القاعدة أن كل يدٍ أمينة </w:t>
      </w:r>
      <w:r w:rsidRPr="00312986">
        <w:rPr>
          <w:rFonts w:ascii="Traditional Arabic" w:hAnsi="Traditional Arabic" w:hint="cs"/>
          <w:noProof w:val="0"/>
          <w:color w:val="auto"/>
          <w:rtl/>
          <w:lang w:eastAsia="en-US"/>
        </w:rPr>
        <w:t>إذا لم يحصُل منها تعدٍّ ولا تفريط فلا ضمان عليها.</w:t>
      </w:r>
    </w:p>
    <w:p w:rsidR="00065E4B" w:rsidRDefault="00546122" w:rsidP="000A76C7">
      <w:pPr>
        <w:pStyle w:val="afc"/>
        <w:widowControl/>
        <w:numPr>
          <w:ilvl w:val="0"/>
          <w:numId w:val="190"/>
        </w:numPr>
        <w:autoSpaceDE w:val="0"/>
        <w:autoSpaceDN w:val="0"/>
        <w:adjustRightInd w:val="0"/>
        <w:rPr>
          <w:rFonts w:ascii="Traditional Arabic" w:hAnsi="Traditional Arabic"/>
          <w:noProof w:val="0"/>
          <w:lang w:eastAsia="en-US"/>
        </w:rPr>
      </w:pPr>
      <w:r>
        <w:rPr>
          <w:rFonts w:ascii="Traditional Arabic" w:hAnsi="Traditional Arabic"/>
          <w:noProof w:val="0"/>
          <w:rtl/>
          <w:lang w:eastAsia="en-US"/>
        </w:rPr>
        <w:t>إذا تلفت الوديعة</w:t>
      </w:r>
      <w:r w:rsidR="00615E17">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من بين مال المودَع </w:t>
      </w:r>
      <w:r w:rsidRPr="004C4A66">
        <w:rPr>
          <w:rFonts w:ascii="Traditional Arabic" w:hAnsi="Traditional Arabic"/>
          <w:noProof w:val="0"/>
          <w:rtl/>
          <w:lang w:eastAsia="en-US"/>
        </w:rPr>
        <w:t>بأن احترقت أو أفسدها المطر أو س</w:t>
      </w:r>
      <w:r w:rsidR="00615E17">
        <w:rPr>
          <w:rFonts w:ascii="Traditional Arabic" w:hAnsi="Traditional Arabic" w:hint="cs"/>
          <w:noProof w:val="0"/>
          <w:rtl/>
          <w:lang w:eastAsia="en-US"/>
        </w:rPr>
        <w:t>ُ</w:t>
      </w:r>
      <w:r w:rsidR="00615E17">
        <w:rPr>
          <w:rFonts w:ascii="Traditional Arabic" w:hAnsi="Traditional Arabic"/>
          <w:noProof w:val="0"/>
          <w:rtl/>
          <w:lang w:eastAsia="en-US"/>
        </w:rPr>
        <w:t>رق</w:t>
      </w:r>
      <w:r w:rsidR="00615E17">
        <w:rPr>
          <w:rFonts w:ascii="Traditional Arabic" w:hAnsi="Traditional Arabic" w:hint="cs"/>
          <w:noProof w:val="0"/>
          <w:rtl/>
          <w:lang w:eastAsia="en-US"/>
        </w:rPr>
        <w:t>ت</w:t>
      </w:r>
      <w:r w:rsidRPr="004C4A66">
        <w:rPr>
          <w:rFonts w:ascii="Traditional Arabic" w:hAnsi="Traditional Arabic"/>
          <w:noProof w:val="0"/>
          <w:rtl/>
          <w:lang w:eastAsia="en-US"/>
        </w:rPr>
        <w:t xml:space="preserve"> دون أن يتأث</w:t>
      </w:r>
      <w:r>
        <w:rPr>
          <w:rFonts w:ascii="Traditional Arabic" w:hAnsi="Traditional Arabic" w:hint="cs"/>
          <w:noProof w:val="0"/>
          <w:rtl/>
          <w:lang w:eastAsia="en-US"/>
        </w:rPr>
        <w:t>َّ</w:t>
      </w:r>
      <w:r>
        <w:rPr>
          <w:rFonts w:ascii="Traditional Arabic" w:hAnsi="Traditional Arabic"/>
          <w:noProof w:val="0"/>
          <w:rtl/>
          <w:lang w:eastAsia="en-US"/>
        </w:rPr>
        <w:t>ر مال</w:t>
      </w:r>
      <w:r>
        <w:rPr>
          <w:rFonts w:ascii="Traditional Arabic" w:hAnsi="Traditional Arabic" w:hint="cs"/>
          <w:noProof w:val="0"/>
          <w:rtl/>
          <w:lang w:eastAsia="en-US"/>
        </w:rPr>
        <w:t>ُه</w:t>
      </w:r>
      <w:r>
        <w:rPr>
          <w:rFonts w:ascii="Traditional Arabic" w:hAnsi="Traditional Arabic"/>
          <w:noProof w:val="0"/>
          <w:rtl/>
          <w:lang w:eastAsia="en-US"/>
        </w:rPr>
        <w:t xml:space="preserve"> بذلك، فلا ضمان عل</w:t>
      </w:r>
      <w:r>
        <w:rPr>
          <w:rFonts w:ascii="Traditional Arabic" w:hAnsi="Traditional Arabic" w:hint="cs"/>
          <w:noProof w:val="0"/>
          <w:rtl/>
          <w:lang w:eastAsia="en-US"/>
        </w:rPr>
        <w:t>يه</w:t>
      </w:r>
      <w:r w:rsidRPr="00C821A1">
        <w:rPr>
          <w:rStyle w:val="af1"/>
          <w:szCs w:val="32"/>
          <w:rtl/>
        </w:rPr>
        <w:t>(</w:t>
      </w:r>
      <w:r w:rsidRPr="00C821A1">
        <w:rPr>
          <w:rStyle w:val="af1"/>
          <w:szCs w:val="32"/>
          <w:rtl/>
        </w:rPr>
        <w:footnoteReference w:id="1425"/>
      </w:r>
      <w:r w:rsidRPr="00C821A1">
        <w:rPr>
          <w:rStyle w:val="af1"/>
          <w:szCs w:val="32"/>
          <w:rtl/>
        </w:rPr>
        <w:t>)</w:t>
      </w:r>
      <w:r>
        <w:rPr>
          <w:rFonts w:ascii="Traditional Arabic" w:hAnsi="Traditional Arabic" w:hint="cs"/>
          <w:noProof w:val="0"/>
          <w:rtl/>
          <w:lang w:eastAsia="en-US"/>
        </w:rPr>
        <w:t>.</w:t>
      </w:r>
    </w:p>
    <w:p w:rsidR="00F228A9" w:rsidRPr="004D65EE" w:rsidRDefault="00065E4B" w:rsidP="00597C20">
      <w:pPr>
        <w:pStyle w:val="53"/>
      </w:pPr>
      <w:r w:rsidRPr="004D65EE">
        <w:rPr>
          <w:rFonts w:hint="cs"/>
          <w:rtl/>
        </w:rPr>
        <w:t>و</w:t>
      </w:r>
      <w:r w:rsidR="00F228A9" w:rsidRPr="004D65EE">
        <w:rPr>
          <w:rFonts w:hint="cs"/>
          <w:rtl/>
        </w:rPr>
        <w:t>جه اندراج الفرع تحت القاعدة:</w:t>
      </w:r>
    </w:p>
    <w:p w:rsidR="00546122" w:rsidRDefault="00546122" w:rsidP="00597C20">
      <w:pPr>
        <w:widowControl/>
        <w:autoSpaceDE w:val="0"/>
        <w:autoSpaceDN w:val="0"/>
        <w:adjustRightInd w:val="0"/>
        <w:ind w:firstLine="720"/>
        <w:rPr>
          <w:rFonts w:ascii="Traditional Arabic" w:hAnsi="Traditional Arabic"/>
          <w:noProof w:val="0"/>
          <w:rtl/>
          <w:lang w:eastAsia="en-US"/>
        </w:rPr>
      </w:pPr>
      <w:r w:rsidRPr="00312986">
        <w:rPr>
          <w:rFonts w:ascii="Traditional Arabic" w:hAnsi="Traditional Arabic" w:hint="cs"/>
          <w:noProof w:val="0"/>
          <w:rtl/>
          <w:lang w:eastAsia="en-US"/>
        </w:rPr>
        <w:t xml:space="preserve">لا ضمان على المودَع؛ </w:t>
      </w:r>
      <w:r w:rsidRPr="00312986">
        <w:rPr>
          <w:rFonts w:ascii="Traditional Arabic" w:hAnsi="Traditional Arabic"/>
          <w:noProof w:val="0"/>
          <w:rtl/>
          <w:lang w:eastAsia="en-US"/>
        </w:rPr>
        <w:t>لأنه أمين</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 xml:space="preserve"> قب</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ض المال بإذن</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 xml:space="preserve"> من مال</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 xml:space="preserve">كه، </w:t>
      </w:r>
      <w:r w:rsidRPr="00312986">
        <w:rPr>
          <w:rFonts w:ascii="Traditional Arabic" w:hAnsi="Traditional Arabic" w:hint="cs"/>
          <w:noProof w:val="0"/>
          <w:rtl/>
          <w:lang w:eastAsia="en-US"/>
        </w:rPr>
        <w:t>و</w:t>
      </w:r>
      <w:r w:rsidRPr="00312986">
        <w:rPr>
          <w:rFonts w:ascii="Traditional Arabic" w:hAnsi="Traditional Arabic"/>
          <w:noProof w:val="0"/>
          <w:rtl/>
          <w:lang w:eastAsia="en-US"/>
        </w:rPr>
        <w:t>كل</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 xml:space="preserve"> م</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ن قبض مال غيره بإذن منه أو من الشارع فإن</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 xml:space="preserve"> يد</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ه يد</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 xml:space="preserve"> أمانة</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 xml:space="preserve"> والقاعدة في الأمين أنه لا يضمن ما تل</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ف تحت يده إلا بتعد</w:t>
      </w:r>
      <w:r w:rsidRPr="00312986">
        <w:rPr>
          <w:rFonts w:ascii="Traditional Arabic" w:hAnsi="Traditional Arabic" w:hint="cs"/>
          <w:noProof w:val="0"/>
          <w:rtl/>
          <w:lang w:eastAsia="en-US"/>
        </w:rPr>
        <w:t>ٍّ</w:t>
      </w:r>
      <w:r w:rsidRPr="00312986">
        <w:rPr>
          <w:rFonts w:ascii="Traditional Arabic" w:hAnsi="Traditional Arabic"/>
          <w:noProof w:val="0"/>
          <w:rtl/>
          <w:lang w:eastAsia="en-US"/>
        </w:rPr>
        <w:t xml:space="preserve"> أو تفريط</w:t>
      </w:r>
      <w:r w:rsidRPr="00C821A1">
        <w:rPr>
          <w:rStyle w:val="af1"/>
          <w:szCs w:val="32"/>
          <w:rtl/>
        </w:rPr>
        <w:t>(</w:t>
      </w:r>
      <w:r w:rsidRPr="00C821A1">
        <w:rPr>
          <w:rStyle w:val="af1"/>
          <w:szCs w:val="32"/>
          <w:rtl/>
        </w:rPr>
        <w:footnoteReference w:id="1426"/>
      </w:r>
      <w:r w:rsidRPr="00C821A1">
        <w:rPr>
          <w:rStyle w:val="af1"/>
          <w:szCs w:val="32"/>
          <w:rtl/>
        </w:rPr>
        <w:t>)</w:t>
      </w:r>
      <w:r w:rsidRPr="00312986">
        <w:rPr>
          <w:rFonts w:ascii="Traditional Arabic" w:hAnsi="Traditional Arabic" w:hint="cs"/>
          <w:noProof w:val="0"/>
          <w:rtl/>
          <w:lang w:eastAsia="en-US"/>
        </w:rPr>
        <w:t>.</w:t>
      </w:r>
    </w:p>
    <w:p w:rsidR="00FB54E9" w:rsidRDefault="00FB54E9" w:rsidP="00597C20">
      <w:pPr>
        <w:widowControl/>
        <w:autoSpaceDE w:val="0"/>
        <w:autoSpaceDN w:val="0"/>
        <w:adjustRightInd w:val="0"/>
        <w:ind w:firstLine="720"/>
        <w:rPr>
          <w:rFonts w:ascii="Traditional Arabic" w:hAnsi="Traditional Arabic"/>
          <w:noProof w:val="0"/>
          <w:rtl/>
          <w:lang w:eastAsia="en-US"/>
        </w:rPr>
      </w:pPr>
    </w:p>
    <w:p w:rsidR="001D6B04" w:rsidRDefault="00F044B9" w:rsidP="000F5C0F">
      <w:pPr>
        <w:pStyle w:val="aff2"/>
        <w:rPr>
          <w:rtl/>
        </w:rPr>
      </w:pPr>
      <w:bookmarkStart w:id="281" w:name="_Toc334046498"/>
      <w:r w:rsidRPr="00335A5B">
        <w:rPr>
          <w:rFonts w:ascii="Traditional Arabic" w:hAnsi="Traditional Arabic" w:hint="cs"/>
          <w:rtl/>
        </w:rPr>
        <w:lastRenderedPageBreak/>
        <w:t>المبحث السادس</w:t>
      </w:r>
      <w:r w:rsidRPr="00335A5B">
        <w:rPr>
          <w:rFonts w:ascii="Traditional Arabic" w:hAnsi="Traditional Arabic" w:hint="eastAsia"/>
          <w:rtl/>
        </w:rPr>
        <w:t> :</w:t>
      </w:r>
      <w:r w:rsidRPr="00335A5B">
        <w:rPr>
          <w:rFonts w:ascii="Traditional Arabic" w:hAnsi="Traditional Arabic" w:hint="cs"/>
          <w:rtl/>
        </w:rPr>
        <w:br/>
      </w:r>
      <w:r w:rsidR="001D6B04">
        <w:rPr>
          <w:rFonts w:hint="cs"/>
          <w:rtl/>
        </w:rPr>
        <w:t>قاعدة</w:t>
      </w:r>
      <w:r w:rsidR="001D6B04">
        <w:rPr>
          <w:rtl/>
        </w:rPr>
        <w:br/>
      </w:r>
      <w:r w:rsidR="00D129F0">
        <w:rPr>
          <w:rFonts w:hint="cs"/>
          <w:rtl/>
        </w:rPr>
        <w:t xml:space="preserve">كل </w:t>
      </w:r>
      <w:r w:rsidR="00925718">
        <w:rPr>
          <w:rFonts w:hint="cs"/>
          <w:rtl/>
        </w:rPr>
        <w:t>من أتلف شيئا</w:t>
      </w:r>
      <w:r w:rsidR="00D129F0">
        <w:rPr>
          <w:rFonts w:hint="cs"/>
          <w:rtl/>
        </w:rPr>
        <w:t xml:space="preserve"> </w:t>
      </w:r>
      <w:r w:rsidR="001D6B04">
        <w:rPr>
          <w:rFonts w:hint="cs"/>
          <w:rtl/>
        </w:rPr>
        <w:t>فعليه الضمان</w:t>
      </w:r>
      <w:r w:rsidR="001D6B04" w:rsidRPr="00C821A1">
        <w:rPr>
          <w:rStyle w:val="af1"/>
          <w:bCs w:val="0"/>
          <w:szCs w:val="32"/>
          <w:rtl/>
        </w:rPr>
        <w:t>(</w:t>
      </w:r>
      <w:r w:rsidR="001D6B04" w:rsidRPr="00C821A1">
        <w:rPr>
          <w:rStyle w:val="af1"/>
          <w:bCs w:val="0"/>
          <w:szCs w:val="32"/>
          <w:rtl/>
        </w:rPr>
        <w:footnoteReference w:id="1427"/>
      </w:r>
      <w:r w:rsidR="001D6B04" w:rsidRPr="00C821A1">
        <w:rPr>
          <w:rStyle w:val="af1"/>
          <w:bCs w:val="0"/>
          <w:szCs w:val="32"/>
          <w:rtl/>
        </w:rPr>
        <w:t>)</w:t>
      </w:r>
      <w:bookmarkEnd w:id="281"/>
    </w:p>
    <w:p w:rsidR="00065E4B" w:rsidRPr="001D6B04" w:rsidRDefault="00D129F0" w:rsidP="00A8347C">
      <w:pPr>
        <w:pStyle w:val="aff3"/>
        <w:rPr>
          <w:rtl/>
        </w:rPr>
      </w:pPr>
      <w:bookmarkStart w:id="282" w:name="_Toc334046499"/>
      <w:r>
        <w:rPr>
          <w:rFonts w:hint="cs"/>
          <w:rtl/>
        </w:rPr>
        <w:t xml:space="preserve">                                         المطلب</w:t>
      </w:r>
      <w:r w:rsidR="00615E17">
        <w:rPr>
          <w:rFonts w:hint="cs"/>
          <w:rtl/>
        </w:rPr>
        <w:t xml:space="preserve"> </w:t>
      </w:r>
      <w:r w:rsidR="001D6B04" w:rsidRPr="001D6B04">
        <w:rPr>
          <w:rFonts w:hint="cs"/>
          <w:rtl/>
        </w:rPr>
        <w:t>الأول</w:t>
      </w:r>
      <w:r w:rsidR="001D6B04">
        <w:rPr>
          <w:rFonts w:hint="eastAsia"/>
          <w:rtl/>
        </w:rPr>
        <w:t> :</w:t>
      </w:r>
      <w:r w:rsidR="001D6B04">
        <w:rPr>
          <w:rFonts w:hint="cs"/>
          <w:rtl/>
        </w:rPr>
        <w:br/>
      </w:r>
      <w:r>
        <w:rPr>
          <w:rFonts w:hint="cs"/>
          <w:rtl/>
        </w:rPr>
        <w:t xml:space="preserve">                      </w:t>
      </w:r>
      <w:r w:rsidR="001D6B04" w:rsidRPr="001D6B04">
        <w:rPr>
          <w:rFonts w:hint="cs"/>
          <w:rtl/>
        </w:rPr>
        <w:t>صيغ القاعدة عند الشيخ وعند علماء القواعد</w:t>
      </w:r>
      <w:bookmarkEnd w:id="282"/>
    </w:p>
    <w:p w:rsidR="00065E4B" w:rsidRDefault="00065E4B" w:rsidP="00597C20">
      <w:pPr>
        <w:ind w:firstLine="0"/>
        <w:rPr>
          <w:rtl/>
        </w:rPr>
      </w:pPr>
      <w:r>
        <w:rPr>
          <w:rFonts w:hint="cs"/>
          <w:rtl/>
        </w:rPr>
        <w:t>و</w:t>
      </w:r>
      <w:r w:rsidR="001D6B04">
        <w:rPr>
          <w:rFonts w:hint="cs"/>
          <w:rtl/>
        </w:rPr>
        <w:t xml:space="preserve">ردت هذه القاعدة عند الشيخ ابن عثيمين </w:t>
      </w:r>
      <w:r w:rsidR="00615E17">
        <w:rPr>
          <w:rFonts w:hint="cs"/>
          <w:rtl/>
        </w:rPr>
        <w:t>_</w:t>
      </w:r>
      <w:r w:rsidR="009A0575" w:rsidRPr="005D5694">
        <w:rPr>
          <w:rFonts w:ascii="Traditional Arabic" w:hAnsi="Traditional Arabic" w:cs="CTraditional Arabic" w:hint="cs"/>
          <w:rtl/>
        </w:rPr>
        <w:t>/</w:t>
      </w:r>
      <w:r w:rsidR="00615E17">
        <w:rPr>
          <w:rFonts w:hint="cs"/>
          <w:rtl/>
        </w:rPr>
        <w:t>_</w:t>
      </w:r>
      <w:r w:rsidR="001D6B04">
        <w:rPr>
          <w:rFonts w:hint="cs"/>
          <w:rtl/>
        </w:rPr>
        <w:t xml:space="preserve"> بعدة صيغ:</w:t>
      </w:r>
    </w:p>
    <w:p w:rsidR="001D6B04" w:rsidRDefault="00065E4B" w:rsidP="000A76C7">
      <w:pPr>
        <w:numPr>
          <w:ilvl w:val="0"/>
          <w:numId w:val="191"/>
        </w:numPr>
        <w:rPr>
          <w:color w:val="auto"/>
        </w:rPr>
      </w:pPr>
      <w:r w:rsidRPr="00B7793F">
        <w:rPr>
          <w:rFonts w:ascii="Traditional Arabic" w:hAnsi="Traditional Arabic"/>
          <w:noProof w:val="0"/>
          <w:color w:val="auto"/>
          <w:rtl/>
          <w:lang w:eastAsia="en-US"/>
        </w:rPr>
        <w:t>ك</w:t>
      </w:r>
      <w:r w:rsidR="001D6B04" w:rsidRPr="00B7793F">
        <w:rPr>
          <w:rFonts w:ascii="Traditional Arabic" w:hAnsi="Traditional Arabic"/>
          <w:noProof w:val="0"/>
          <w:color w:val="auto"/>
          <w:rtl/>
          <w:lang w:eastAsia="en-US"/>
        </w:rPr>
        <w:t>ل من أتلف م</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حتر</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ما</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 xml:space="preserve"> فعليه الضمان</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 xml:space="preserve"> سواء</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 xml:space="preserve"> كان عالما</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 xml:space="preserve"> </w:t>
      </w:r>
      <w:r w:rsidR="00B454E3">
        <w:rPr>
          <w:rFonts w:ascii="Traditional Arabic" w:hAnsi="Traditional Arabic" w:hint="cs"/>
          <w:noProof w:val="0"/>
          <w:color w:val="auto"/>
          <w:rtl/>
          <w:lang w:eastAsia="en-US"/>
        </w:rPr>
        <w:t xml:space="preserve"> </w:t>
      </w:r>
      <w:r w:rsidR="001D6B04" w:rsidRPr="00B7793F">
        <w:rPr>
          <w:rFonts w:ascii="Traditional Arabic" w:hAnsi="Traditional Arabic"/>
          <w:noProof w:val="0"/>
          <w:color w:val="auto"/>
          <w:rtl/>
          <w:lang w:eastAsia="en-US"/>
        </w:rPr>
        <w:t>أو جاهلا</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 xml:space="preserve"> </w:t>
      </w:r>
      <w:r w:rsidR="00B454E3">
        <w:rPr>
          <w:rFonts w:ascii="Traditional Arabic" w:hAnsi="Traditional Arabic" w:hint="cs"/>
          <w:noProof w:val="0"/>
          <w:color w:val="auto"/>
          <w:rtl/>
          <w:lang w:eastAsia="en-US"/>
        </w:rPr>
        <w:t xml:space="preserve"> </w:t>
      </w:r>
      <w:r w:rsidR="001D6B04" w:rsidRPr="00B7793F">
        <w:rPr>
          <w:rFonts w:ascii="Traditional Arabic" w:hAnsi="Traditional Arabic"/>
          <w:noProof w:val="0"/>
          <w:color w:val="auto"/>
          <w:rtl/>
          <w:lang w:eastAsia="en-US"/>
        </w:rPr>
        <w:t>أو ناسيا</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 xml:space="preserve"> </w:t>
      </w:r>
      <w:r w:rsidR="00B454E3">
        <w:rPr>
          <w:rFonts w:ascii="Traditional Arabic" w:hAnsi="Traditional Arabic" w:hint="cs"/>
          <w:noProof w:val="0"/>
          <w:color w:val="auto"/>
          <w:rtl/>
          <w:lang w:eastAsia="en-US"/>
        </w:rPr>
        <w:t xml:space="preserve"> </w:t>
      </w:r>
      <w:r w:rsidR="001D6B04" w:rsidRPr="00B7793F">
        <w:rPr>
          <w:rFonts w:ascii="Traditional Arabic" w:hAnsi="Traditional Arabic"/>
          <w:noProof w:val="0"/>
          <w:color w:val="auto"/>
          <w:rtl/>
          <w:lang w:eastAsia="en-US"/>
        </w:rPr>
        <w:t>أو ذاكرا</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 xml:space="preserve"> </w:t>
      </w:r>
      <w:r w:rsidR="00B454E3">
        <w:rPr>
          <w:rFonts w:ascii="Traditional Arabic" w:hAnsi="Traditional Arabic" w:hint="cs"/>
          <w:noProof w:val="0"/>
          <w:color w:val="auto"/>
          <w:rtl/>
          <w:lang w:eastAsia="en-US"/>
        </w:rPr>
        <w:t xml:space="preserve"> </w:t>
      </w:r>
      <w:r w:rsidR="001D6B04" w:rsidRPr="00B7793F">
        <w:rPr>
          <w:rFonts w:ascii="Traditional Arabic" w:hAnsi="Traditional Arabic"/>
          <w:noProof w:val="0"/>
          <w:color w:val="auto"/>
          <w:rtl/>
          <w:lang w:eastAsia="en-US"/>
        </w:rPr>
        <w:t>أو عامدا</w:t>
      </w:r>
      <w:r w:rsidR="001D6B04">
        <w:rPr>
          <w:rFonts w:ascii="Traditional Arabic" w:hAnsi="Traditional Arabic" w:hint="cs"/>
          <w:noProof w:val="0"/>
          <w:color w:val="auto"/>
          <w:rtl/>
          <w:lang w:eastAsia="en-US"/>
        </w:rPr>
        <w:t>ً</w:t>
      </w:r>
      <w:r w:rsidR="001D6B04" w:rsidRPr="00B7793F">
        <w:rPr>
          <w:rFonts w:ascii="Traditional Arabic" w:hAnsi="Traditional Arabic"/>
          <w:noProof w:val="0"/>
          <w:color w:val="auto"/>
          <w:rtl/>
          <w:lang w:eastAsia="en-US"/>
        </w:rPr>
        <w:t xml:space="preserve"> </w:t>
      </w:r>
      <w:r w:rsidR="00B454E3">
        <w:rPr>
          <w:rFonts w:ascii="Traditional Arabic" w:hAnsi="Traditional Arabic" w:hint="cs"/>
          <w:noProof w:val="0"/>
          <w:color w:val="auto"/>
          <w:rtl/>
          <w:lang w:eastAsia="en-US"/>
        </w:rPr>
        <w:t xml:space="preserve"> </w:t>
      </w:r>
      <w:r w:rsidR="001D6B04" w:rsidRPr="00B7793F">
        <w:rPr>
          <w:rFonts w:ascii="Traditional Arabic" w:hAnsi="Traditional Arabic"/>
          <w:noProof w:val="0"/>
          <w:color w:val="auto"/>
          <w:rtl/>
          <w:lang w:eastAsia="en-US"/>
        </w:rPr>
        <w:t>أو مخطئا</w:t>
      </w:r>
      <w:r w:rsidR="001D6B04">
        <w:rPr>
          <w:rFonts w:ascii="Traditional Arabic" w:hAnsi="Traditional Arabic" w:hint="cs"/>
          <w:noProof w:val="0"/>
          <w:color w:val="auto"/>
          <w:rtl/>
          <w:lang w:eastAsia="en-US"/>
        </w:rPr>
        <w:t>ً</w:t>
      </w:r>
      <w:r w:rsidR="001D6B04" w:rsidRPr="00C821A1">
        <w:rPr>
          <w:rStyle w:val="af1"/>
          <w:szCs w:val="32"/>
          <w:rtl/>
        </w:rPr>
        <w:t>(</w:t>
      </w:r>
      <w:r w:rsidR="001D6B04" w:rsidRPr="00C821A1">
        <w:rPr>
          <w:rStyle w:val="af1"/>
          <w:szCs w:val="32"/>
          <w:rtl/>
        </w:rPr>
        <w:footnoteReference w:id="1428"/>
      </w:r>
      <w:r w:rsidR="001D6B04" w:rsidRPr="00C821A1">
        <w:rPr>
          <w:rStyle w:val="af1"/>
          <w:szCs w:val="32"/>
          <w:rtl/>
        </w:rPr>
        <w:t>)</w:t>
      </w:r>
      <w:r w:rsidR="001D6B04">
        <w:rPr>
          <w:rFonts w:ascii="Traditional Arabic" w:hAnsi="Traditional Arabic" w:hint="cs"/>
          <w:noProof w:val="0"/>
          <w:color w:val="auto"/>
          <w:rtl/>
          <w:lang w:eastAsia="en-US"/>
        </w:rPr>
        <w:t>.</w:t>
      </w:r>
    </w:p>
    <w:p w:rsidR="001D6B04" w:rsidRDefault="001D6B04" w:rsidP="000A76C7">
      <w:pPr>
        <w:numPr>
          <w:ilvl w:val="0"/>
          <w:numId w:val="191"/>
        </w:numPr>
        <w:rPr>
          <w:color w:val="auto"/>
        </w:rPr>
      </w:pPr>
      <w:r w:rsidRPr="00B7793F">
        <w:rPr>
          <w:rFonts w:ascii="Traditional Arabic" w:hAnsi="Traditional Arabic"/>
          <w:noProof w:val="0"/>
          <w:color w:val="auto"/>
          <w:rtl/>
          <w:lang w:eastAsia="en-US"/>
        </w:rPr>
        <w:t>كل من أتلف شيئا</w:t>
      </w:r>
      <w:r>
        <w:rPr>
          <w:rFonts w:ascii="Traditional Arabic" w:hAnsi="Traditional Arabic" w:hint="cs"/>
          <w:noProof w:val="0"/>
          <w:color w:val="auto"/>
          <w:rtl/>
          <w:lang w:eastAsia="en-US"/>
        </w:rPr>
        <w:t>ً</w:t>
      </w:r>
      <w:r w:rsidRPr="00B7793F">
        <w:rPr>
          <w:rFonts w:ascii="Traditional Arabic" w:hAnsi="Traditional Arabic"/>
          <w:noProof w:val="0"/>
          <w:color w:val="auto"/>
          <w:rtl/>
          <w:lang w:eastAsia="en-US"/>
        </w:rPr>
        <w:t xml:space="preserve"> فعليه الضمان</w:t>
      </w:r>
      <w:r w:rsidRPr="00C821A1">
        <w:rPr>
          <w:rStyle w:val="af1"/>
          <w:szCs w:val="32"/>
          <w:rtl/>
        </w:rPr>
        <w:t>(</w:t>
      </w:r>
      <w:r w:rsidRPr="00C821A1">
        <w:rPr>
          <w:rStyle w:val="af1"/>
          <w:szCs w:val="32"/>
          <w:rtl/>
        </w:rPr>
        <w:footnoteReference w:id="1429"/>
      </w:r>
      <w:r w:rsidRPr="00C821A1">
        <w:rPr>
          <w:rStyle w:val="af1"/>
          <w:szCs w:val="32"/>
          <w:rtl/>
        </w:rPr>
        <w:t>)</w:t>
      </w:r>
      <w:r w:rsidRPr="00B7793F">
        <w:rPr>
          <w:rFonts w:ascii="Traditional Arabic" w:hAnsi="Traditional Arabic"/>
          <w:noProof w:val="0"/>
          <w:color w:val="auto"/>
          <w:rtl/>
          <w:lang w:eastAsia="en-US"/>
        </w:rPr>
        <w:t>.</w:t>
      </w:r>
    </w:p>
    <w:p w:rsidR="001D6B04" w:rsidRDefault="001D6B04" w:rsidP="000A76C7">
      <w:pPr>
        <w:numPr>
          <w:ilvl w:val="0"/>
          <w:numId w:val="191"/>
        </w:numPr>
        <w:rPr>
          <w:color w:val="auto"/>
        </w:rPr>
      </w:pPr>
      <w:r>
        <w:rPr>
          <w:rFonts w:hint="cs"/>
          <w:color w:val="auto"/>
          <w:rtl/>
        </w:rPr>
        <w:t>كل مُتْلَفٍ فهو مضمونٌ على م</w:t>
      </w:r>
      <w:r w:rsidR="00B454E3">
        <w:rPr>
          <w:rFonts w:hint="cs"/>
          <w:color w:val="auto"/>
          <w:rtl/>
        </w:rPr>
        <w:t>ُ</w:t>
      </w:r>
      <w:r>
        <w:rPr>
          <w:rFonts w:hint="cs"/>
          <w:color w:val="auto"/>
          <w:rtl/>
        </w:rPr>
        <w:t>تلِفه</w:t>
      </w:r>
      <w:r w:rsidRPr="00C821A1">
        <w:rPr>
          <w:rStyle w:val="af1"/>
          <w:szCs w:val="32"/>
          <w:rtl/>
        </w:rPr>
        <w:t>(</w:t>
      </w:r>
      <w:r w:rsidRPr="00C821A1">
        <w:rPr>
          <w:rStyle w:val="af1"/>
          <w:szCs w:val="32"/>
          <w:rtl/>
        </w:rPr>
        <w:footnoteReference w:id="1430"/>
      </w:r>
      <w:r w:rsidRPr="00C821A1">
        <w:rPr>
          <w:rStyle w:val="af1"/>
          <w:szCs w:val="32"/>
          <w:rtl/>
        </w:rPr>
        <w:t>)</w:t>
      </w:r>
      <w:r>
        <w:rPr>
          <w:rFonts w:hint="cs"/>
          <w:color w:val="auto"/>
          <w:rtl/>
        </w:rPr>
        <w:t>.</w:t>
      </w:r>
    </w:p>
    <w:p w:rsidR="001D6B04" w:rsidRDefault="001D6B04" w:rsidP="000A76C7">
      <w:pPr>
        <w:numPr>
          <w:ilvl w:val="0"/>
          <w:numId w:val="191"/>
        </w:numPr>
        <w:rPr>
          <w:color w:val="auto"/>
        </w:rPr>
      </w:pPr>
      <w:r>
        <w:rPr>
          <w:rFonts w:hint="cs"/>
          <w:color w:val="auto"/>
          <w:rtl/>
        </w:rPr>
        <w:t>وكلُّ</w:t>
      </w:r>
      <w:r w:rsidR="00D129F0">
        <w:rPr>
          <w:rFonts w:hint="cs"/>
          <w:color w:val="auto"/>
          <w:rtl/>
        </w:rPr>
        <w:t xml:space="preserve"> </w:t>
      </w:r>
      <w:r>
        <w:rPr>
          <w:rFonts w:hint="cs"/>
          <w:color w:val="auto"/>
          <w:rtl/>
        </w:rPr>
        <w:t>متلَف</w:t>
      </w:r>
      <w:r w:rsidR="00D129F0">
        <w:rPr>
          <w:rFonts w:hint="cs"/>
          <w:color w:val="auto"/>
          <w:rtl/>
        </w:rPr>
        <w:t xml:space="preserve"> </w:t>
      </w:r>
      <w:r>
        <w:rPr>
          <w:rFonts w:hint="cs"/>
          <w:color w:val="auto"/>
          <w:rtl/>
        </w:rPr>
        <w:t>فمضمون</w:t>
      </w:r>
      <w:r w:rsidR="00D129F0">
        <w:rPr>
          <w:rFonts w:hint="cs"/>
          <w:color w:val="auto"/>
          <w:rtl/>
        </w:rPr>
        <w:t xml:space="preserve"> </w:t>
      </w:r>
      <w:r>
        <w:rPr>
          <w:rFonts w:hint="cs"/>
          <w:color w:val="auto"/>
          <w:rtl/>
        </w:rPr>
        <w:t>إذا</w:t>
      </w:r>
      <w:r w:rsidR="00D129F0">
        <w:rPr>
          <w:rFonts w:hint="cs"/>
          <w:color w:val="auto"/>
          <w:rtl/>
        </w:rPr>
        <w:t xml:space="preserve">       </w:t>
      </w:r>
      <w:r>
        <w:rPr>
          <w:rFonts w:hint="cs"/>
          <w:color w:val="auto"/>
          <w:rtl/>
        </w:rPr>
        <w:t>لم يكن الإتلافُ مِن دَفْعِ الأذى</w:t>
      </w:r>
    </w:p>
    <w:p w:rsidR="00065E4B" w:rsidRDefault="001D6B04" w:rsidP="00D129F0">
      <w:pPr>
        <w:ind w:left="1066" w:firstLine="0"/>
        <w:rPr>
          <w:color w:val="auto"/>
        </w:rPr>
      </w:pPr>
      <w:r>
        <w:rPr>
          <w:rFonts w:hint="cs"/>
          <w:color w:val="auto"/>
          <w:rtl/>
        </w:rPr>
        <w:t>أو يَكُ مأذوناً به من مالك</w:t>
      </w:r>
      <w:r w:rsidR="00D129F0">
        <w:rPr>
          <w:rFonts w:hint="cs"/>
          <w:color w:val="auto"/>
          <w:rtl/>
        </w:rPr>
        <w:t xml:space="preserve">        </w:t>
      </w:r>
      <w:r>
        <w:rPr>
          <w:rFonts w:hint="cs"/>
          <w:color w:val="auto"/>
          <w:rtl/>
        </w:rPr>
        <w:t>أو ربِّنا ذي المُلْكِ خيرِ</w:t>
      </w:r>
      <w:r w:rsidR="00B454E3">
        <w:rPr>
          <w:rFonts w:hint="cs"/>
          <w:color w:val="auto"/>
          <w:rtl/>
        </w:rPr>
        <w:t xml:space="preserve"> </w:t>
      </w:r>
      <w:r>
        <w:rPr>
          <w:rFonts w:hint="cs"/>
          <w:color w:val="auto"/>
          <w:rtl/>
        </w:rPr>
        <w:t>مالكِ</w:t>
      </w:r>
      <w:r w:rsidRPr="00C821A1">
        <w:rPr>
          <w:rStyle w:val="af1"/>
          <w:szCs w:val="32"/>
          <w:rtl/>
        </w:rPr>
        <w:t>(</w:t>
      </w:r>
      <w:r w:rsidRPr="00C821A1">
        <w:rPr>
          <w:rStyle w:val="af1"/>
          <w:szCs w:val="32"/>
          <w:rtl/>
        </w:rPr>
        <w:footnoteReference w:id="1431"/>
      </w:r>
      <w:r w:rsidRPr="00C821A1">
        <w:rPr>
          <w:rStyle w:val="af1"/>
          <w:szCs w:val="32"/>
          <w:rtl/>
        </w:rPr>
        <w:t>)</w:t>
      </w:r>
    </w:p>
    <w:p w:rsidR="001D6B04" w:rsidRDefault="00065E4B" w:rsidP="00597C20">
      <w:pPr>
        <w:ind w:firstLine="0"/>
        <w:rPr>
          <w:color w:val="auto"/>
          <w:rtl/>
        </w:rPr>
      </w:pPr>
      <w:r>
        <w:rPr>
          <w:rFonts w:hint="cs"/>
          <w:color w:val="auto"/>
          <w:rtl/>
        </w:rPr>
        <w:t>و</w:t>
      </w:r>
      <w:r w:rsidR="001D6B04">
        <w:rPr>
          <w:rFonts w:hint="cs"/>
          <w:color w:val="auto"/>
          <w:rtl/>
        </w:rPr>
        <w:t>وردت هذه القاعدة عند علماء القواعد</w:t>
      </w:r>
      <w:r w:rsidR="00D129F0">
        <w:rPr>
          <w:rFonts w:hint="cs"/>
          <w:color w:val="auto"/>
          <w:rtl/>
        </w:rPr>
        <w:t xml:space="preserve"> بصيغ، منها</w:t>
      </w:r>
      <w:r w:rsidR="001D6B04">
        <w:rPr>
          <w:rFonts w:hint="cs"/>
          <w:color w:val="auto"/>
          <w:rtl/>
        </w:rPr>
        <w:t>:</w:t>
      </w:r>
    </w:p>
    <w:p w:rsidR="001D6B04" w:rsidRPr="000769E0" w:rsidRDefault="001D6B04" w:rsidP="000A76C7">
      <w:pPr>
        <w:pStyle w:val="afc"/>
        <w:numPr>
          <w:ilvl w:val="0"/>
          <w:numId w:val="193"/>
        </w:numPr>
        <w:rPr>
          <w:color w:val="auto"/>
          <w:rtl/>
        </w:rPr>
      </w:pPr>
      <w:r w:rsidRPr="000769E0">
        <w:rPr>
          <w:rFonts w:ascii="Traditional Arabic" w:hAnsi="Traditional Arabic"/>
          <w:noProof w:val="0"/>
          <w:rtl/>
          <w:lang w:eastAsia="en-US"/>
        </w:rPr>
        <w:t xml:space="preserve">من أتلف مضمونا </w:t>
      </w:r>
      <w:r>
        <w:rPr>
          <w:rFonts w:ascii="Traditional Arabic" w:hAnsi="Traditional Arabic" w:hint="cs"/>
          <w:noProof w:val="0"/>
          <w:rtl/>
          <w:lang w:eastAsia="en-US"/>
        </w:rPr>
        <w:t>ً</w:t>
      </w:r>
      <w:r w:rsidRPr="000769E0">
        <w:rPr>
          <w:rFonts w:ascii="Traditional Arabic" w:hAnsi="Traditional Arabic"/>
          <w:noProof w:val="0"/>
          <w:rtl/>
          <w:lang w:eastAsia="en-US"/>
        </w:rPr>
        <w:t>كان ضمان</w:t>
      </w:r>
      <w:r>
        <w:rPr>
          <w:rFonts w:ascii="Traditional Arabic" w:hAnsi="Traditional Arabic" w:hint="cs"/>
          <w:noProof w:val="0"/>
          <w:rtl/>
          <w:lang w:eastAsia="en-US"/>
        </w:rPr>
        <w:t>ُ</w:t>
      </w:r>
      <w:r w:rsidRPr="000769E0">
        <w:rPr>
          <w:rFonts w:ascii="Traditional Arabic" w:hAnsi="Traditional Arabic"/>
          <w:noProof w:val="0"/>
          <w:rtl/>
          <w:lang w:eastAsia="en-US"/>
        </w:rPr>
        <w:t>ه عليه</w:t>
      </w:r>
      <w:r w:rsidRPr="00C821A1">
        <w:rPr>
          <w:rStyle w:val="af1"/>
          <w:szCs w:val="32"/>
          <w:rtl/>
        </w:rPr>
        <w:t>(</w:t>
      </w:r>
      <w:r w:rsidRPr="00C821A1">
        <w:rPr>
          <w:rStyle w:val="af1"/>
          <w:szCs w:val="32"/>
          <w:rtl/>
        </w:rPr>
        <w:footnoteReference w:id="1432"/>
      </w:r>
      <w:r w:rsidRPr="00C821A1">
        <w:rPr>
          <w:rStyle w:val="af1"/>
          <w:szCs w:val="32"/>
          <w:rtl/>
        </w:rPr>
        <w:t>)</w:t>
      </w:r>
      <w:r>
        <w:rPr>
          <w:rFonts w:hint="cs"/>
          <w:color w:val="auto"/>
          <w:rtl/>
        </w:rPr>
        <w:t>.</w:t>
      </w:r>
    </w:p>
    <w:p w:rsidR="001D6B04" w:rsidRDefault="001D6B04" w:rsidP="000A76C7">
      <w:pPr>
        <w:numPr>
          <w:ilvl w:val="0"/>
          <w:numId w:val="192"/>
        </w:numPr>
        <w:rPr>
          <w:color w:val="auto"/>
        </w:rPr>
      </w:pPr>
      <w:r>
        <w:rPr>
          <w:rFonts w:hint="cs"/>
          <w:color w:val="auto"/>
          <w:rtl/>
        </w:rPr>
        <w:lastRenderedPageBreak/>
        <w:t>الإتلاف يستوي فيه المتعمِّد والجاهل والناسي</w:t>
      </w:r>
      <w:r w:rsidRPr="00C821A1">
        <w:rPr>
          <w:rStyle w:val="af1"/>
          <w:szCs w:val="32"/>
          <w:rtl/>
        </w:rPr>
        <w:t>(</w:t>
      </w:r>
      <w:r w:rsidRPr="00C821A1">
        <w:rPr>
          <w:rStyle w:val="af1"/>
          <w:szCs w:val="32"/>
          <w:rtl/>
        </w:rPr>
        <w:footnoteReference w:id="1433"/>
      </w:r>
      <w:r w:rsidRPr="00C821A1">
        <w:rPr>
          <w:rStyle w:val="af1"/>
          <w:szCs w:val="32"/>
          <w:rtl/>
        </w:rPr>
        <w:t>)</w:t>
      </w:r>
      <w:r>
        <w:rPr>
          <w:rFonts w:hint="cs"/>
          <w:color w:val="auto"/>
          <w:rtl/>
        </w:rPr>
        <w:t>.</w:t>
      </w:r>
    </w:p>
    <w:p w:rsidR="00065E4B" w:rsidRPr="001D6B04" w:rsidRDefault="00D129F0" w:rsidP="00A8347C">
      <w:pPr>
        <w:pStyle w:val="aff3"/>
        <w:rPr>
          <w:rtl/>
        </w:rPr>
      </w:pPr>
      <w:bookmarkStart w:id="283" w:name="_Toc334046500"/>
      <w:r>
        <w:rPr>
          <w:rFonts w:hint="cs"/>
          <w:rtl/>
        </w:rPr>
        <w:t xml:space="preserve">                                       المطلب</w:t>
      </w:r>
      <w:r w:rsidR="00B454E3">
        <w:rPr>
          <w:rFonts w:hint="cs"/>
          <w:rtl/>
        </w:rPr>
        <w:t xml:space="preserve"> </w:t>
      </w:r>
      <w:r w:rsidR="001D6B04" w:rsidRPr="001D6B04">
        <w:rPr>
          <w:rFonts w:hint="cs"/>
          <w:rtl/>
        </w:rPr>
        <w:t>الثاني</w:t>
      </w:r>
      <w:r w:rsidR="001D6B04">
        <w:rPr>
          <w:rFonts w:hint="eastAsia"/>
          <w:rtl/>
        </w:rPr>
        <w:t> :</w:t>
      </w:r>
      <w:r w:rsidR="001D6B04">
        <w:rPr>
          <w:rFonts w:hint="cs"/>
          <w:rtl/>
        </w:rPr>
        <w:br/>
      </w:r>
      <w:r>
        <w:rPr>
          <w:rFonts w:hint="cs"/>
          <w:rtl/>
        </w:rPr>
        <w:t xml:space="preserve">                                       </w:t>
      </w:r>
      <w:r w:rsidR="00B454E3">
        <w:rPr>
          <w:rFonts w:hint="cs"/>
          <w:rtl/>
        </w:rPr>
        <w:t xml:space="preserve"> </w:t>
      </w:r>
      <w:r w:rsidR="001D6B04" w:rsidRPr="001D6B04">
        <w:rPr>
          <w:rFonts w:hint="cs"/>
          <w:rtl/>
        </w:rPr>
        <w:t>شرح القاعدة</w:t>
      </w:r>
      <w:bookmarkEnd w:id="283"/>
    </w:p>
    <w:p w:rsidR="00065E4B" w:rsidRPr="00B6351B" w:rsidRDefault="00065E4B" w:rsidP="00597C20">
      <w:pPr>
        <w:pStyle w:val="53"/>
        <w:rPr>
          <w:rtl/>
        </w:rPr>
      </w:pPr>
      <w:r>
        <w:rPr>
          <w:rFonts w:hint="cs"/>
          <w:rtl/>
        </w:rPr>
        <w:t>م</w:t>
      </w:r>
      <w:r w:rsidR="001D6B04">
        <w:rPr>
          <w:rFonts w:hint="cs"/>
          <w:rtl/>
        </w:rPr>
        <w:t>عنى القاعدة إجمالا:</w:t>
      </w:r>
    </w:p>
    <w:p w:rsidR="00065E4B" w:rsidRDefault="00065E4B" w:rsidP="00597C20">
      <w:pPr>
        <w:ind w:firstLine="720"/>
        <w:rPr>
          <w:color w:val="auto"/>
          <w:rtl/>
        </w:rPr>
      </w:pPr>
      <w:r>
        <w:rPr>
          <w:rFonts w:hint="cs"/>
          <w:color w:val="auto"/>
          <w:rtl/>
        </w:rPr>
        <w:t>م</w:t>
      </w:r>
      <w:r w:rsidR="001D6B04">
        <w:rPr>
          <w:rFonts w:hint="cs"/>
          <w:color w:val="auto"/>
          <w:rtl/>
        </w:rPr>
        <w:t>ن القواعد الفقهية أن كل متلَ</w:t>
      </w:r>
      <w:r w:rsidR="00B454E3">
        <w:rPr>
          <w:rFonts w:hint="cs"/>
          <w:color w:val="auto"/>
          <w:rtl/>
        </w:rPr>
        <w:t xml:space="preserve">فٍ فهو مضمونٌ على متلِفه، سواء </w:t>
      </w:r>
      <w:r w:rsidR="001D6B04">
        <w:rPr>
          <w:rFonts w:hint="cs"/>
          <w:color w:val="auto"/>
          <w:rtl/>
        </w:rPr>
        <w:t xml:space="preserve">كان ذلك </w:t>
      </w:r>
      <w:r w:rsidR="00B454E3">
        <w:rPr>
          <w:rFonts w:hint="cs"/>
          <w:color w:val="auto"/>
          <w:rtl/>
        </w:rPr>
        <w:t>في حقوق الآدميين أو</w:t>
      </w:r>
      <w:r w:rsidR="00475F59">
        <w:rPr>
          <w:rFonts w:hint="cs"/>
          <w:color w:val="auto"/>
          <w:rtl/>
        </w:rPr>
        <w:t xml:space="preserve"> </w:t>
      </w:r>
      <w:r w:rsidR="001D6B04">
        <w:rPr>
          <w:rFonts w:hint="cs"/>
          <w:color w:val="auto"/>
          <w:rtl/>
        </w:rPr>
        <w:t>تعل</w:t>
      </w:r>
      <w:r w:rsidR="00475F59">
        <w:rPr>
          <w:rFonts w:hint="cs"/>
          <w:color w:val="auto"/>
          <w:rtl/>
        </w:rPr>
        <w:t>َّ</w:t>
      </w:r>
      <w:r w:rsidR="001D6B04">
        <w:rPr>
          <w:rFonts w:hint="cs"/>
          <w:color w:val="auto"/>
          <w:rtl/>
        </w:rPr>
        <w:t>ق بحق الله تعالى كالصيد في الحرَم، أو حال الإحرام</w:t>
      </w:r>
      <w:r w:rsidR="001D6B04" w:rsidRPr="00C821A1">
        <w:rPr>
          <w:rStyle w:val="af1"/>
          <w:szCs w:val="32"/>
          <w:rtl/>
        </w:rPr>
        <w:t>(</w:t>
      </w:r>
      <w:r w:rsidR="001D6B04" w:rsidRPr="00C821A1">
        <w:rPr>
          <w:rStyle w:val="af1"/>
          <w:szCs w:val="32"/>
          <w:rtl/>
        </w:rPr>
        <w:footnoteReference w:id="1434"/>
      </w:r>
      <w:r w:rsidR="001D6B04" w:rsidRPr="00C821A1">
        <w:rPr>
          <w:rStyle w:val="af1"/>
          <w:szCs w:val="32"/>
          <w:rtl/>
        </w:rPr>
        <w:t>)</w:t>
      </w:r>
      <w:r w:rsidR="001D6B04">
        <w:rPr>
          <w:rFonts w:hint="cs"/>
          <w:color w:val="auto"/>
          <w:rtl/>
        </w:rPr>
        <w:t>.</w:t>
      </w:r>
    </w:p>
    <w:p w:rsidR="001D6B04" w:rsidRDefault="00065E4B" w:rsidP="00597C20">
      <w:pPr>
        <w:ind w:firstLine="720"/>
        <w:rPr>
          <w:color w:val="auto"/>
          <w:rtl/>
        </w:rPr>
      </w:pPr>
      <w:r>
        <w:rPr>
          <w:rFonts w:hint="cs"/>
          <w:color w:val="auto"/>
          <w:rtl/>
        </w:rPr>
        <w:t>أ</w:t>
      </w:r>
      <w:r w:rsidR="001D6B04">
        <w:rPr>
          <w:rFonts w:hint="cs"/>
          <w:color w:val="auto"/>
          <w:rtl/>
        </w:rPr>
        <w:t>ما ما</w:t>
      </w:r>
      <w:r w:rsidR="00F12748">
        <w:rPr>
          <w:rFonts w:hint="cs"/>
          <w:color w:val="auto"/>
          <w:rtl/>
        </w:rPr>
        <w:t xml:space="preserve"> يتعلق بحقوق الآدميين، فالجاهل </w:t>
      </w:r>
      <w:r w:rsidR="001D6B04">
        <w:rPr>
          <w:rFonts w:hint="cs"/>
          <w:color w:val="auto"/>
          <w:rtl/>
        </w:rPr>
        <w:t>والناسي كالعامد والذاكر، لكنه لا إثمَ عليه، فلو أن شخصاً أتلف مالَ إنسان يظنه مالَه، وتبيَّن أنه مالُ غيره، فعليه الضمان، وكذلك لو نسي فأتلف مالَ غيره فعليه الضمان، ولو أُكره فعليه الضمان أيضاً، لكنه يستوي مع المكرِه فيكون الضمان عليهما جميعاً؛ لأن المتلِف مباشر والمكرِه ملجئ</w:t>
      </w:r>
      <w:r w:rsidR="001D6B04" w:rsidRPr="00C821A1">
        <w:rPr>
          <w:rStyle w:val="af1"/>
          <w:szCs w:val="32"/>
          <w:rtl/>
        </w:rPr>
        <w:t>(</w:t>
      </w:r>
      <w:r w:rsidR="001D6B04" w:rsidRPr="00C821A1">
        <w:rPr>
          <w:rStyle w:val="af1"/>
          <w:szCs w:val="32"/>
          <w:rtl/>
        </w:rPr>
        <w:footnoteReference w:id="1435"/>
      </w:r>
      <w:r w:rsidR="001D6B04" w:rsidRPr="00C821A1">
        <w:rPr>
          <w:rStyle w:val="af1"/>
          <w:szCs w:val="32"/>
          <w:rtl/>
        </w:rPr>
        <w:t>)(</w:t>
      </w:r>
      <w:r w:rsidR="001D6B04" w:rsidRPr="00C821A1">
        <w:rPr>
          <w:rStyle w:val="af1"/>
          <w:szCs w:val="32"/>
          <w:rtl/>
        </w:rPr>
        <w:footnoteReference w:id="1436"/>
      </w:r>
      <w:r w:rsidR="001D6B04" w:rsidRPr="00C821A1">
        <w:rPr>
          <w:rStyle w:val="af1"/>
          <w:szCs w:val="32"/>
          <w:rtl/>
        </w:rPr>
        <w:t>)</w:t>
      </w:r>
      <w:r w:rsidR="001D6B04">
        <w:rPr>
          <w:rFonts w:hint="cs"/>
          <w:color w:val="auto"/>
          <w:rtl/>
        </w:rPr>
        <w:t>.</w:t>
      </w:r>
    </w:p>
    <w:p w:rsidR="001D6B04" w:rsidRPr="001D6B04" w:rsidRDefault="00D129F0" w:rsidP="00A8347C">
      <w:pPr>
        <w:pStyle w:val="aff3"/>
        <w:rPr>
          <w:rtl/>
        </w:rPr>
      </w:pPr>
      <w:bookmarkStart w:id="284" w:name="_Toc334046501"/>
      <w:r>
        <w:rPr>
          <w:rFonts w:hint="cs"/>
          <w:rtl/>
        </w:rPr>
        <w:t xml:space="preserve">                                        المطلب</w:t>
      </w:r>
      <w:r w:rsidR="00B454E3">
        <w:rPr>
          <w:rFonts w:hint="cs"/>
          <w:rtl/>
        </w:rPr>
        <w:t xml:space="preserve"> </w:t>
      </w:r>
      <w:r w:rsidR="001D6B04" w:rsidRPr="001D6B04">
        <w:rPr>
          <w:rFonts w:hint="cs"/>
          <w:rtl/>
        </w:rPr>
        <w:t>الثالث</w:t>
      </w:r>
      <w:r w:rsidR="001D6B04">
        <w:rPr>
          <w:rFonts w:hint="eastAsia"/>
          <w:rtl/>
        </w:rPr>
        <w:t> :</w:t>
      </w:r>
      <w:r w:rsidR="001D6B04">
        <w:rPr>
          <w:rFonts w:hint="cs"/>
          <w:rtl/>
        </w:rPr>
        <w:br/>
      </w:r>
      <w:r>
        <w:rPr>
          <w:rFonts w:hint="cs"/>
          <w:rtl/>
        </w:rPr>
        <w:t xml:space="preserve">                                          </w:t>
      </w:r>
      <w:r w:rsidR="001D6B04" w:rsidRPr="001D6B04">
        <w:rPr>
          <w:rFonts w:hint="cs"/>
          <w:rtl/>
        </w:rPr>
        <w:t>أدلة القاعدة</w:t>
      </w:r>
      <w:bookmarkEnd w:id="284"/>
    </w:p>
    <w:p w:rsidR="001D6B04" w:rsidRPr="00B454E3" w:rsidRDefault="00B454E3" w:rsidP="00B454E3">
      <w:pPr>
        <w:rPr>
          <w:color w:val="auto"/>
        </w:rPr>
      </w:pPr>
      <w:r>
        <w:rPr>
          <w:rFonts w:hint="cs"/>
          <w:color w:val="auto"/>
          <w:rtl/>
        </w:rPr>
        <w:t>(1)</w:t>
      </w:r>
      <w:r w:rsidR="001D6B04" w:rsidRPr="00B454E3">
        <w:rPr>
          <w:rFonts w:hint="cs"/>
          <w:color w:val="auto"/>
          <w:rtl/>
        </w:rPr>
        <w:t xml:space="preserve">قول الله تعالى: </w:t>
      </w:r>
      <w:bookmarkStart w:id="285" w:name="سورة_النساء_92"/>
      <w:r w:rsidR="001D6B04" w:rsidRPr="00B454E3">
        <w:rPr>
          <w:rFonts w:ascii="QCF_BSML" w:hAnsi="QCF_BSML" w:cs="QCF_BSML"/>
          <w:noProof w:val="0"/>
          <w:color w:val="auto"/>
          <w:rtl/>
          <w:lang w:eastAsia="en-US"/>
        </w:rPr>
        <w:t>ﭽ</w:t>
      </w:r>
      <w:r w:rsidR="001D6B04" w:rsidRPr="00B454E3">
        <w:rPr>
          <w:rFonts w:ascii="QCF_P093" w:hAnsi="QCF_P093" w:cs="QCF_P093"/>
          <w:noProof w:val="0"/>
          <w:color w:val="auto"/>
          <w:rtl/>
          <w:lang w:eastAsia="en-US"/>
        </w:rPr>
        <w:t>ﭑ</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ﭒ</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ﭓ</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ﭔ</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ﭕ</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ﭖ</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ﭗ</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ﭘ</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ﭙ</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ﭚ</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ﭛ</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ﭜ</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ﭝ</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ﭞ</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ﭟ</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ﭠ</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ﭡ</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ﭢ</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ﭣ</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 xml:space="preserve"> </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ﭤ</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ﭥ</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ﭦ</w:t>
      </w:r>
      <w:r w:rsidRPr="00B454E3">
        <w:rPr>
          <w:rFonts w:ascii="QCF_P093" w:hAnsi="QCF_P093" w:cs="QCF_P093" w:hint="cs"/>
          <w:noProof w:val="0"/>
          <w:color w:val="auto"/>
          <w:rtl/>
          <w:lang w:eastAsia="en-US"/>
        </w:rPr>
        <w:t xml:space="preserve"> </w:t>
      </w:r>
      <w:r w:rsidR="001D6B04" w:rsidRPr="00B454E3">
        <w:rPr>
          <w:rFonts w:ascii="QCF_P093" w:hAnsi="QCF_P093" w:cs="QCF_P093"/>
          <w:noProof w:val="0"/>
          <w:color w:val="auto"/>
          <w:rtl/>
          <w:lang w:eastAsia="en-US"/>
        </w:rPr>
        <w:t>ﭧ</w:t>
      </w:r>
      <w:r w:rsidR="001D6B04" w:rsidRPr="00B454E3">
        <w:rPr>
          <w:rFonts w:ascii="QCF_BSML" w:hAnsi="QCF_BSML" w:cs="QCF_BSML"/>
          <w:noProof w:val="0"/>
          <w:color w:val="auto"/>
          <w:rtl/>
          <w:lang w:eastAsia="en-US"/>
        </w:rPr>
        <w:t>ﭼ</w:t>
      </w:r>
      <w:bookmarkEnd w:id="285"/>
      <w:r w:rsidR="001D6B04" w:rsidRPr="00B454E3">
        <w:rPr>
          <w:rFonts w:ascii="Traditional Arabic" w:hAnsi="Traditional Arabic" w:hint="cs"/>
          <w:noProof w:val="0"/>
          <w:color w:val="auto"/>
          <w:rtl/>
          <w:lang w:eastAsia="en-US"/>
        </w:rPr>
        <w:t>[</w:t>
      </w:r>
      <w:r w:rsidR="001D6B04" w:rsidRPr="00B454E3">
        <w:rPr>
          <w:rFonts w:ascii="Traditional Arabic" w:hAnsi="Traditional Arabic"/>
          <w:noProof w:val="0"/>
          <w:color w:val="auto"/>
          <w:rtl/>
          <w:lang w:eastAsia="en-US"/>
        </w:rPr>
        <w:t>النساء: ٩٢</w:t>
      </w:r>
      <w:r w:rsidR="001D6B04" w:rsidRPr="00B454E3">
        <w:rPr>
          <w:rFonts w:hint="cs"/>
          <w:color w:val="auto"/>
          <w:rtl/>
        </w:rPr>
        <w:t>].</w:t>
      </w:r>
    </w:p>
    <w:p w:rsidR="001D6B04" w:rsidRDefault="001D6B04" w:rsidP="00597C20">
      <w:pPr>
        <w:pStyle w:val="53"/>
        <w:rPr>
          <w:rtl/>
        </w:rPr>
      </w:pPr>
      <w:r>
        <w:rPr>
          <w:rFonts w:hint="cs"/>
          <w:rtl/>
        </w:rPr>
        <w:lastRenderedPageBreak/>
        <w:t>وجه الدلالة:</w:t>
      </w:r>
    </w:p>
    <w:p w:rsidR="001D6B04" w:rsidRPr="00312986" w:rsidRDefault="00B454E3" w:rsidP="00597C20">
      <w:pPr>
        <w:ind w:firstLine="720"/>
        <w:rPr>
          <w:color w:val="auto"/>
          <w:rtl/>
        </w:rPr>
      </w:pPr>
      <w:r>
        <w:rPr>
          <w:rFonts w:hint="cs"/>
          <w:color w:val="auto"/>
          <w:rtl/>
        </w:rPr>
        <w:t>إ</w:t>
      </w:r>
      <w:r w:rsidR="001D6B04" w:rsidRPr="00312986">
        <w:rPr>
          <w:rFonts w:hint="cs"/>
          <w:color w:val="auto"/>
          <w:rtl/>
        </w:rPr>
        <w:t>ن الله تعالى أوجب الدية في القتل الخطأ، وهذا ضمانٌ بلا شك</w:t>
      </w:r>
      <w:r w:rsidR="001D6B04" w:rsidRPr="00C821A1">
        <w:rPr>
          <w:rStyle w:val="af1"/>
          <w:szCs w:val="32"/>
          <w:rtl/>
        </w:rPr>
        <w:t>(</w:t>
      </w:r>
      <w:r w:rsidR="001D6B04" w:rsidRPr="00C821A1">
        <w:rPr>
          <w:rStyle w:val="af1"/>
          <w:szCs w:val="32"/>
          <w:rtl/>
        </w:rPr>
        <w:footnoteReference w:id="1437"/>
      </w:r>
      <w:r w:rsidR="001D6B04" w:rsidRPr="00C821A1">
        <w:rPr>
          <w:rStyle w:val="af1"/>
          <w:szCs w:val="32"/>
          <w:rtl/>
        </w:rPr>
        <w:t>)</w:t>
      </w:r>
      <w:r w:rsidR="001D6B04" w:rsidRPr="00312986">
        <w:rPr>
          <w:rFonts w:hint="cs"/>
          <w:color w:val="auto"/>
          <w:rtl/>
        </w:rPr>
        <w:t>.</w:t>
      </w:r>
    </w:p>
    <w:p w:rsidR="001D6B04" w:rsidRPr="00B454E3" w:rsidRDefault="00B454E3" w:rsidP="00B454E3">
      <w:pPr>
        <w:widowControl/>
        <w:autoSpaceDE w:val="0"/>
        <w:autoSpaceDN w:val="0"/>
        <w:adjustRightInd w:val="0"/>
        <w:rPr>
          <w:rFonts w:ascii="Traditional Arabic" w:hAnsi="Traditional Arabic"/>
          <w:noProof w:val="0"/>
          <w:lang w:eastAsia="en-US"/>
        </w:rPr>
      </w:pPr>
      <w:r>
        <w:rPr>
          <w:rFonts w:ascii="Traditional Arabic" w:hAnsi="Traditional Arabic" w:hint="cs"/>
          <w:noProof w:val="0"/>
          <w:rtl/>
          <w:lang w:eastAsia="en-US"/>
        </w:rPr>
        <w:t>(2)</w:t>
      </w:r>
      <w:r w:rsidR="001D6B04" w:rsidRPr="00B454E3">
        <w:rPr>
          <w:rFonts w:ascii="Traditional Arabic" w:hAnsi="Traditional Arabic" w:hint="cs"/>
          <w:noProof w:val="0"/>
          <w:rtl/>
          <w:lang w:eastAsia="en-US"/>
        </w:rPr>
        <w:t>حديث</w:t>
      </w:r>
      <w:r w:rsidR="001D6B04" w:rsidRPr="00B454E3">
        <w:rPr>
          <w:rFonts w:ascii="Traditional Arabic" w:hAnsi="Traditional Arabic"/>
          <w:noProof w:val="0"/>
          <w:rtl/>
          <w:lang w:eastAsia="en-US"/>
        </w:rPr>
        <w:t xml:space="preserve"> أنس</w:t>
      </w:r>
      <w:r w:rsidR="001D6B04" w:rsidRPr="00B454E3">
        <w:rPr>
          <w:rFonts w:ascii="Traditional Arabic" w:hAnsi="Traditional Arabic" w:hint="cs"/>
          <w:noProof w:val="0"/>
          <w:rtl/>
          <w:lang w:eastAsia="en-US"/>
        </w:rPr>
        <w:t xml:space="preserve"> بن مالك </w:t>
      </w:r>
      <w:r>
        <w:rPr>
          <w:rFonts w:ascii="Traditional Arabic" w:hAnsi="Traditional Arabic" w:hint="cs"/>
          <w:noProof w:val="0"/>
          <w:rtl/>
          <w:lang w:eastAsia="en-US"/>
        </w:rPr>
        <w:t>_</w:t>
      </w:r>
      <w:r w:rsidR="009A0575" w:rsidRPr="00B454E3">
        <w:rPr>
          <w:rFonts w:ascii="Traditional Arabic" w:hAnsi="Traditional Arabic" w:cs="CTraditional Arabic" w:hint="cs"/>
          <w:rtl/>
        </w:rPr>
        <w:t>ا</w:t>
      </w:r>
      <w:r>
        <w:rPr>
          <w:rFonts w:ascii="Traditional Arabic" w:hAnsi="Traditional Arabic" w:hint="cs"/>
          <w:noProof w:val="0"/>
          <w:rtl/>
          <w:lang w:eastAsia="en-US"/>
        </w:rPr>
        <w:t>_</w:t>
      </w:r>
      <w:r w:rsidR="001D6B04" w:rsidRPr="00B454E3">
        <w:rPr>
          <w:rFonts w:ascii="Traditional Arabic" w:hAnsi="Traditional Arabic"/>
          <w:noProof w:val="0"/>
          <w:rtl/>
          <w:lang w:eastAsia="en-US"/>
        </w:rPr>
        <w:t xml:space="preserve"> قال: أ</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ه</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د</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ت</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 xml:space="preserve"> بعض</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 xml:space="preserve"> أزواج النبي </w:t>
      </w:r>
      <w:r w:rsidR="00D129F0" w:rsidRPr="00B454E3">
        <w:rPr>
          <w:rFonts w:ascii="Traditional Arabic" w:hAnsi="Traditional Arabic" w:hint="cs"/>
          <w:rtl/>
        </w:rPr>
        <w:t>صلى الله عليه وسلم</w:t>
      </w:r>
      <w:r w:rsidR="001D6B04" w:rsidRPr="00B454E3">
        <w:rPr>
          <w:rFonts w:ascii="Traditional Arabic" w:hAnsi="Traditional Arabic"/>
          <w:noProof w:val="0"/>
          <w:rtl/>
          <w:lang w:eastAsia="en-US"/>
        </w:rPr>
        <w:t xml:space="preserve"> إلى النبي </w:t>
      </w:r>
      <w:r w:rsidR="00D129F0" w:rsidRPr="00B454E3">
        <w:rPr>
          <w:rFonts w:ascii="Traditional Arabic" w:hAnsi="Traditional Arabic" w:hint="cs"/>
          <w:rtl/>
        </w:rPr>
        <w:t>صلى الله عليه وسلم</w:t>
      </w:r>
      <w:r w:rsidR="001D6B04" w:rsidRPr="00B454E3">
        <w:rPr>
          <w:rFonts w:ascii="Traditional Arabic" w:hAnsi="Traditional Arabic"/>
          <w:noProof w:val="0"/>
          <w:rtl/>
          <w:lang w:eastAsia="en-US"/>
        </w:rPr>
        <w:t xml:space="preserve"> طعاما</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 xml:space="preserve"> في ق</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ص</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ع</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ة</w:t>
      </w:r>
      <w:r w:rsidR="00B76414" w:rsidRPr="00B454E3">
        <w:rPr>
          <w:rFonts w:ascii="Traditional Arabic" w:hAnsi="Traditional Arabic"/>
          <w:noProof w:val="0"/>
          <w:rtl/>
          <w:lang w:eastAsia="en-US"/>
        </w:rPr>
        <w:t>،</w:t>
      </w:r>
      <w:r w:rsidR="00AB0B9E" w:rsidRPr="00B454E3">
        <w:rPr>
          <w:rFonts w:ascii="Traditional Arabic" w:hAnsi="Traditional Arabic"/>
          <w:noProof w:val="0"/>
          <w:rtl/>
          <w:lang w:eastAsia="en-US"/>
        </w:rPr>
        <w:fldChar w:fldCharType="begin"/>
      </w:r>
      <w:r w:rsidR="00AD758D" w:rsidRPr="00C85F0F">
        <w:instrText>XE</w:instrText>
      </w:r>
      <w:r w:rsidR="00AD758D" w:rsidRPr="00C85F0F">
        <w:rPr>
          <w:rtl/>
        </w:rPr>
        <w:instrText xml:space="preserve"> "</w:instrText>
      </w:r>
      <w:r w:rsidR="00AD758D" w:rsidRPr="00B454E3">
        <w:rPr>
          <w:rFonts w:ascii="Traditional Arabic" w:hAnsi="Traditional Arabic"/>
          <w:noProof w:val="0"/>
          <w:rtl/>
          <w:lang w:eastAsia="en-US"/>
        </w:rPr>
        <w:instrText>أ</w:instrText>
      </w:r>
      <w:r w:rsidR="00AD758D" w:rsidRPr="00B454E3">
        <w:rPr>
          <w:rFonts w:ascii="Traditional Arabic" w:hAnsi="Traditional Arabic" w:hint="cs"/>
          <w:noProof w:val="0"/>
          <w:rtl/>
          <w:lang w:eastAsia="en-US"/>
        </w:rPr>
        <w:instrText>َ</w:instrText>
      </w:r>
      <w:r w:rsidR="00AD758D" w:rsidRPr="00B454E3">
        <w:rPr>
          <w:rFonts w:ascii="Traditional Arabic" w:hAnsi="Traditional Arabic"/>
          <w:noProof w:val="0"/>
          <w:rtl/>
          <w:lang w:eastAsia="en-US"/>
        </w:rPr>
        <w:instrText>ه</w:instrText>
      </w:r>
      <w:r w:rsidR="00AD758D" w:rsidRPr="00B454E3">
        <w:rPr>
          <w:rFonts w:ascii="Traditional Arabic" w:hAnsi="Traditional Arabic" w:hint="cs"/>
          <w:noProof w:val="0"/>
          <w:rtl/>
          <w:lang w:eastAsia="en-US"/>
        </w:rPr>
        <w:instrText>ْ</w:instrText>
      </w:r>
      <w:r w:rsidR="00AD758D" w:rsidRPr="00B454E3">
        <w:rPr>
          <w:rFonts w:ascii="Traditional Arabic" w:hAnsi="Traditional Arabic"/>
          <w:noProof w:val="0"/>
          <w:rtl/>
          <w:lang w:eastAsia="en-US"/>
        </w:rPr>
        <w:instrText>د</w:instrText>
      </w:r>
      <w:r w:rsidR="00AD758D" w:rsidRPr="00B454E3">
        <w:rPr>
          <w:rFonts w:ascii="Traditional Arabic" w:hAnsi="Traditional Arabic" w:hint="cs"/>
          <w:noProof w:val="0"/>
          <w:rtl/>
          <w:lang w:eastAsia="en-US"/>
        </w:rPr>
        <w:instrText>َ</w:instrText>
      </w:r>
      <w:r w:rsidR="00AD758D" w:rsidRPr="00B454E3">
        <w:rPr>
          <w:rFonts w:ascii="Traditional Arabic" w:hAnsi="Traditional Arabic"/>
          <w:noProof w:val="0"/>
          <w:rtl/>
          <w:lang w:eastAsia="en-US"/>
        </w:rPr>
        <w:instrText>ت</w:instrText>
      </w:r>
      <w:r w:rsidR="00AD758D" w:rsidRPr="00B454E3">
        <w:rPr>
          <w:rFonts w:ascii="Traditional Arabic" w:hAnsi="Traditional Arabic" w:hint="cs"/>
          <w:noProof w:val="0"/>
          <w:rtl/>
          <w:lang w:eastAsia="en-US"/>
        </w:rPr>
        <w:instrText>ْ</w:instrText>
      </w:r>
      <w:r w:rsidR="00AD758D" w:rsidRPr="00B454E3">
        <w:rPr>
          <w:rFonts w:ascii="Traditional Arabic" w:hAnsi="Traditional Arabic"/>
          <w:noProof w:val="0"/>
          <w:rtl/>
          <w:lang w:eastAsia="en-US"/>
        </w:rPr>
        <w:instrText xml:space="preserve"> بعض</w:instrText>
      </w:r>
      <w:r w:rsidR="00AD758D" w:rsidRPr="00B454E3">
        <w:rPr>
          <w:rFonts w:ascii="Traditional Arabic" w:hAnsi="Traditional Arabic" w:hint="cs"/>
          <w:noProof w:val="0"/>
          <w:rtl/>
          <w:lang w:eastAsia="en-US"/>
        </w:rPr>
        <w:instrText>ُ</w:instrText>
      </w:r>
      <w:r w:rsidR="00AD758D" w:rsidRPr="00B454E3">
        <w:rPr>
          <w:rFonts w:ascii="Traditional Arabic" w:hAnsi="Traditional Arabic"/>
          <w:noProof w:val="0"/>
          <w:rtl/>
          <w:lang w:eastAsia="en-US"/>
        </w:rPr>
        <w:instrText xml:space="preserve"> أزواج النبي </w:instrText>
      </w:r>
      <w:r w:rsidR="00AD758D" w:rsidRPr="00C85F0F">
        <w:rPr>
          <w:color w:val="auto"/>
          <w:rtl/>
          <w:lang w:eastAsia="en-US"/>
        </w:rPr>
        <w:sym w:font="AGA Arabesque" w:char="F072"/>
      </w:r>
      <w:r w:rsidR="00AD758D" w:rsidRPr="00B454E3">
        <w:rPr>
          <w:rFonts w:ascii="Traditional Arabic" w:hAnsi="Traditional Arabic"/>
          <w:noProof w:val="0"/>
          <w:rtl/>
          <w:lang w:eastAsia="en-US"/>
        </w:rPr>
        <w:instrText xml:space="preserve"> إلى النبي </w:instrText>
      </w:r>
      <w:r w:rsidR="00AD758D" w:rsidRPr="00C85F0F">
        <w:rPr>
          <w:color w:val="auto"/>
          <w:rtl/>
          <w:lang w:eastAsia="en-US"/>
        </w:rPr>
        <w:sym w:font="AGA Arabesque" w:char="F072"/>
      </w:r>
      <w:r w:rsidR="00AD758D" w:rsidRPr="00B454E3">
        <w:rPr>
          <w:rFonts w:ascii="Traditional Arabic" w:hAnsi="Traditional Arabic"/>
          <w:noProof w:val="0"/>
          <w:rtl/>
          <w:lang w:eastAsia="en-US"/>
        </w:rPr>
        <w:instrText xml:space="preserve"> طعاما</w:instrText>
      </w:r>
      <w:r w:rsidR="00AD758D" w:rsidRPr="00B454E3">
        <w:rPr>
          <w:rFonts w:ascii="Traditional Arabic" w:hAnsi="Traditional Arabic" w:hint="cs"/>
          <w:noProof w:val="0"/>
          <w:rtl/>
          <w:lang w:eastAsia="en-US"/>
        </w:rPr>
        <w:instrText>ً</w:instrText>
      </w:r>
      <w:r w:rsidR="00AD758D" w:rsidRPr="00B454E3">
        <w:rPr>
          <w:rFonts w:ascii="Traditional Arabic" w:hAnsi="Traditional Arabic"/>
          <w:noProof w:val="0"/>
          <w:rtl/>
          <w:lang w:eastAsia="en-US"/>
        </w:rPr>
        <w:instrText xml:space="preserve"> في ق</w:instrText>
      </w:r>
      <w:r w:rsidR="00AD758D" w:rsidRPr="00B454E3">
        <w:rPr>
          <w:rFonts w:ascii="Traditional Arabic" w:hAnsi="Traditional Arabic" w:hint="cs"/>
          <w:noProof w:val="0"/>
          <w:rtl/>
          <w:lang w:eastAsia="en-US"/>
        </w:rPr>
        <w:instrText>َ</w:instrText>
      </w:r>
      <w:r w:rsidR="00AD758D" w:rsidRPr="00B454E3">
        <w:rPr>
          <w:rFonts w:ascii="Traditional Arabic" w:hAnsi="Traditional Arabic"/>
          <w:noProof w:val="0"/>
          <w:rtl/>
          <w:lang w:eastAsia="en-US"/>
        </w:rPr>
        <w:instrText>ص</w:instrText>
      </w:r>
      <w:r w:rsidR="00AD758D" w:rsidRPr="00B454E3">
        <w:rPr>
          <w:rFonts w:ascii="Traditional Arabic" w:hAnsi="Traditional Arabic" w:hint="cs"/>
          <w:noProof w:val="0"/>
          <w:rtl/>
          <w:lang w:eastAsia="en-US"/>
        </w:rPr>
        <w:instrText>ْ</w:instrText>
      </w:r>
      <w:r w:rsidR="00AD758D" w:rsidRPr="00B454E3">
        <w:rPr>
          <w:rFonts w:ascii="Traditional Arabic" w:hAnsi="Traditional Arabic"/>
          <w:noProof w:val="0"/>
          <w:rtl/>
          <w:lang w:eastAsia="en-US"/>
        </w:rPr>
        <w:instrText>ع</w:instrText>
      </w:r>
      <w:r w:rsidR="00AD758D" w:rsidRPr="00B454E3">
        <w:rPr>
          <w:rFonts w:ascii="Traditional Arabic" w:hAnsi="Traditional Arabic" w:hint="cs"/>
          <w:noProof w:val="0"/>
          <w:rtl/>
          <w:lang w:eastAsia="en-US"/>
        </w:rPr>
        <w:instrText>َ</w:instrText>
      </w:r>
      <w:r w:rsidR="00AD758D" w:rsidRPr="00B454E3">
        <w:rPr>
          <w:rFonts w:ascii="Traditional Arabic" w:hAnsi="Traditional Arabic"/>
          <w:noProof w:val="0"/>
          <w:rtl/>
          <w:lang w:eastAsia="en-US"/>
        </w:rPr>
        <w:instrText>ة،</w:instrText>
      </w:r>
      <w:r w:rsidR="00AD758D" w:rsidRPr="00C85F0F">
        <w:rPr>
          <w:rtl/>
        </w:rPr>
        <w:instrText>" \</w:instrText>
      </w:r>
      <w:r w:rsidR="00AD758D" w:rsidRPr="00C85F0F">
        <w:instrText>f</w:instrText>
      </w:r>
      <w:r w:rsidR="00AD758D">
        <w:instrText>h</w:instrText>
      </w:r>
      <w:r w:rsidR="00AB0B9E" w:rsidRPr="00B454E3">
        <w:rPr>
          <w:rFonts w:ascii="Traditional Arabic" w:hAnsi="Traditional Arabic"/>
          <w:noProof w:val="0"/>
          <w:rtl/>
          <w:lang w:eastAsia="en-US"/>
        </w:rPr>
        <w:fldChar w:fldCharType="end"/>
      </w:r>
      <w:r w:rsidR="001D6B04" w:rsidRPr="00B454E3">
        <w:rPr>
          <w:rFonts w:ascii="Traditional Arabic" w:hAnsi="Traditional Arabic"/>
          <w:noProof w:val="0"/>
          <w:rtl/>
          <w:lang w:eastAsia="en-US"/>
        </w:rPr>
        <w:t xml:space="preserve"> فضربت عائشة القصعة</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 xml:space="preserve"> بي</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د</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ها</w:t>
      </w:r>
      <w:r w:rsidR="00B76414" w:rsidRPr="00B454E3">
        <w:rPr>
          <w:rFonts w:ascii="Traditional Arabic" w:hAnsi="Traditional Arabic"/>
          <w:noProof w:val="0"/>
          <w:rtl/>
          <w:lang w:eastAsia="en-US"/>
        </w:rPr>
        <w:t>،</w:t>
      </w:r>
      <w:r w:rsidR="001D6B04" w:rsidRPr="00B454E3">
        <w:rPr>
          <w:rFonts w:ascii="Traditional Arabic" w:hAnsi="Traditional Arabic"/>
          <w:noProof w:val="0"/>
          <w:rtl/>
          <w:lang w:eastAsia="en-US"/>
        </w:rPr>
        <w:t xml:space="preserve"> فألقت ما فيها</w:t>
      </w:r>
      <w:r w:rsidR="00B76414" w:rsidRPr="00B454E3">
        <w:rPr>
          <w:rFonts w:ascii="Traditional Arabic" w:hAnsi="Traditional Arabic"/>
          <w:noProof w:val="0"/>
          <w:rtl/>
          <w:lang w:eastAsia="en-US"/>
        </w:rPr>
        <w:t>،</w:t>
      </w:r>
      <w:r w:rsidR="001D6B04" w:rsidRPr="00B454E3">
        <w:rPr>
          <w:rFonts w:ascii="Traditional Arabic" w:hAnsi="Traditional Arabic"/>
          <w:noProof w:val="0"/>
          <w:rtl/>
          <w:lang w:eastAsia="en-US"/>
        </w:rPr>
        <w:t xml:space="preserve"> فقال النبي</w:t>
      </w:r>
      <w:r w:rsidR="00D129F0" w:rsidRPr="00B454E3">
        <w:rPr>
          <w:rFonts w:ascii="Traditional Arabic" w:hAnsi="Traditional Arabic" w:hint="cs"/>
          <w:noProof w:val="0"/>
          <w:color w:val="auto"/>
          <w:rtl/>
          <w:lang w:eastAsia="en-US"/>
        </w:rPr>
        <w:t xml:space="preserve"> </w:t>
      </w:r>
      <w:r w:rsidR="00D129F0" w:rsidRPr="00B454E3">
        <w:rPr>
          <w:rFonts w:ascii="Traditional Arabic" w:hAnsi="Traditional Arabic" w:hint="cs"/>
          <w:rtl/>
        </w:rPr>
        <w:t>صلى الله عليه وسلم</w:t>
      </w:r>
      <w:r w:rsidR="001D6B04" w:rsidRPr="00B454E3">
        <w:rPr>
          <w:rFonts w:ascii="Traditional Arabic" w:hAnsi="Traditional Arabic"/>
          <w:noProof w:val="0"/>
          <w:color w:val="auto"/>
          <w:rtl/>
          <w:lang w:eastAsia="en-US"/>
        </w:rPr>
        <w:t>: طعام</w:t>
      </w:r>
      <w:r w:rsidR="001D6B04" w:rsidRPr="00B454E3">
        <w:rPr>
          <w:rFonts w:ascii="Traditional Arabic" w:hAnsi="Traditional Arabic" w:hint="cs"/>
          <w:noProof w:val="0"/>
          <w:color w:val="auto"/>
          <w:rtl/>
          <w:lang w:eastAsia="en-US"/>
        </w:rPr>
        <w:t>ٌ</w:t>
      </w:r>
      <w:r w:rsidR="001D6B04" w:rsidRPr="00B454E3">
        <w:rPr>
          <w:rFonts w:ascii="Traditional Arabic" w:hAnsi="Traditional Arabic"/>
          <w:noProof w:val="0"/>
          <w:color w:val="auto"/>
          <w:rtl/>
          <w:lang w:eastAsia="en-US"/>
        </w:rPr>
        <w:t xml:space="preserve"> بطعام</w:t>
      </w:r>
      <w:r w:rsidR="00B76414" w:rsidRPr="00B454E3">
        <w:rPr>
          <w:rFonts w:ascii="Traditional Arabic" w:hAnsi="Traditional Arabic"/>
          <w:noProof w:val="0"/>
          <w:rtl/>
          <w:lang w:eastAsia="en-US"/>
        </w:rPr>
        <w:t>،</w:t>
      </w:r>
      <w:r w:rsidR="001D6B04" w:rsidRPr="00B454E3">
        <w:rPr>
          <w:rFonts w:ascii="Traditional Arabic" w:hAnsi="Traditional Arabic"/>
          <w:noProof w:val="0"/>
          <w:rtl/>
          <w:lang w:eastAsia="en-US"/>
        </w:rPr>
        <w:t xml:space="preserve"> وإناء</w:t>
      </w:r>
      <w:r w:rsidR="001D6B04" w:rsidRPr="00B454E3">
        <w:rPr>
          <w:rFonts w:ascii="Traditional Arabic" w:hAnsi="Traditional Arabic" w:hint="cs"/>
          <w:noProof w:val="0"/>
          <w:rtl/>
          <w:lang w:eastAsia="en-US"/>
        </w:rPr>
        <w:t>ٌ</w:t>
      </w:r>
      <w:r w:rsidR="001D6B04" w:rsidRPr="00B454E3">
        <w:rPr>
          <w:rFonts w:ascii="Traditional Arabic" w:hAnsi="Traditional Arabic"/>
          <w:noProof w:val="0"/>
          <w:rtl/>
          <w:lang w:eastAsia="en-US"/>
        </w:rPr>
        <w:t xml:space="preserve"> بإناء</w:t>
      </w:r>
      <w:r w:rsidR="001D6B04" w:rsidRPr="00B454E3">
        <w:rPr>
          <w:rStyle w:val="af1"/>
          <w:szCs w:val="32"/>
          <w:rtl/>
        </w:rPr>
        <w:t>(</w:t>
      </w:r>
      <w:r w:rsidR="001D6B04" w:rsidRPr="00C821A1">
        <w:rPr>
          <w:rStyle w:val="af1"/>
          <w:szCs w:val="32"/>
          <w:rtl/>
        </w:rPr>
        <w:footnoteReference w:id="1438"/>
      </w:r>
      <w:r w:rsidR="001D6B04" w:rsidRPr="00B454E3">
        <w:rPr>
          <w:rStyle w:val="af1"/>
          <w:szCs w:val="32"/>
          <w:rtl/>
        </w:rPr>
        <w:t>)</w:t>
      </w:r>
      <w:r w:rsidR="001D6B04" w:rsidRPr="00B454E3">
        <w:rPr>
          <w:rFonts w:ascii="Traditional Arabic" w:hAnsi="Traditional Arabic"/>
          <w:noProof w:val="0"/>
          <w:rtl/>
          <w:lang w:eastAsia="en-US"/>
        </w:rPr>
        <w:t>.</w:t>
      </w:r>
    </w:p>
    <w:p w:rsidR="001D6B04" w:rsidRDefault="001D6B04" w:rsidP="00597C20">
      <w:pPr>
        <w:pStyle w:val="53"/>
        <w:rPr>
          <w:rtl/>
        </w:rPr>
      </w:pPr>
      <w:r>
        <w:rPr>
          <w:rFonts w:hint="cs"/>
          <w:rtl/>
        </w:rPr>
        <w:t>وجه الدلالة:</w:t>
      </w:r>
    </w:p>
    <w:p w:rsidR="00F228A9" w:rsidRPr="00312986" w:rsidRDefault="001D6B04" w:rsidP="00597C20">
      <w:pPr>
        <w:widowControl/>
        <w:autoSpaceDE w:val="0"/>
        <w:autoSpaceDN w:val="0"/>
        <w:adjustRightInd w:val="0"/>
        <w:ind w:firstLine="720"/>
        <w:rPr>
          <w:rFonts w:ascii="Traditional Arabic" w:hAnsi="Traditional Arabic"/>
          <w:noProof w:val="0"/>
          <w:rtl/>
          <w:lang w:eastAsia="en-US"/>
        </w:rPr>
      </w:pPr>
      <w:r w:rsidRPr="00312986">
        <w:rPr>
          <w:rFonts w:ascii="Traditional Arabic" w:hAnsi="Traditional Arabic" w:hint="cs"/>
          <w:noProof w:val="0"/>
          <w:rtl/>
          <w:lang w:eastAsia="en-US"/>
        </w:rPr>
        <w:t xml:space="preserve">يقول الشيخ ابن عثيمين </w:t>
      </w:r>
      <w:r w:rsidR="00B454E3">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B454E3">
        <w:rPr>
          <w:rFonts w:ascii="Traditional Arabic" w:hAnsi="Traditional Arabic" w:hint="cs"/>
          <w:noProof w:val="0"/>
          <w:rtl/>
          <w:lang w:eastAsia="en-US"/>
        </w:rPr>
        <w:t>_</w:t>
      </w:r>
      <w:r w:rsidRPr="00312986">
        <w:rPr>
          <w:rFonts w:ascii="Traditional Arabic" w:hAnsi="Traditional Arabic" w:hint="cs"/>
          <w:noProof w:val="0"/>
          <w:rtl/>
          <w:lang w:eastAsia="en-US"/>
        </w:rPr>
        <w:t xml:space="preserve">: </w:t>
      </w:r>
      <w:r w:rsidR="00B76414" w:rsidRPr="00312986">
        <w:rPr>
          <w:rFonts w:ascii="Traditional Arabic" w:hAnsi="Traditional Arabic" w:hint="cs"/>
          <w:noProof w:val="0"/>
          <w:rtl/>
          <w:lang w:eastAsia="en-US"/>
        </w:rPr>
        <w:t>(</w:t>
      </w:r>
      <w:r w:rsidRPr="00312986">
        <w:rPr>
          <w:rFonts w:ascii="Traditional Arabic" w:hAnsi="Traditional Arabic" w:hint="cs"/>
          <w:noProof w:val="0"/>
          <w:rtl/>
          <w:lang w:eastAsia="en-US"/>
        </w:rPr>
        <w:t>ومن فوائد الحديث: أن ما فُعل على سبيل الغيرة فإن الإنسان لا يُلام عليه.</w:t>
      </w:r>
    </w:p>
    <w:p w:rsidR="001D6B04" w:rsidRPr="00312986" w:rsidRDefault="001D6B04" w:rsidP="00D129F0">
      <w:pPr>
        <w:widowControl/>
        <w:autoSpaceDE w:val="0"/>
        <w:autoSpaceDN w:val="0"/>
        <w:adjustRightInd w:val="0"/>
        <w:ind w:firstLine="720"/>
        <w:rPr>
          <w:rFonts w:ascii="Traditional Arabic" w:hAnsi="Traditional Arabic"/>
          <w:noProof w:val="0"/>
          <w:rtl/>
          <w:lang w:eastAsia="en-US"/>
        </w:rPr>
      </w:pPr>
      <w:r w:rsidRPr="00312986">
        <w:rPr>
          <w:rFonts w:ascii="Traditional Arabic" w:hAnsi="Traditional Arabic" w:hint="cs"/>
          <w:noProof w:val="0"/>
          <w:rtl/>
          <w:lang w:eastAsia="en-US"/>
        </w:rPr>
        <w:t xml:space="preserve">وجه ذلك: أن النبي </w:t>
      </w:r>
      <w:r w:rsidR="00D129F0">
        <w:rPr>
          <w:rFonts w:ascii="Traditional Arabic" w:hAnsi="Traditional Arabic" w:hint="cs"/>
          <w:rtl/>
        </w:rPr>
        <w:t>صلى الله عليه وسلم</w:t>
      </w:r>
      <w:r w:rsidRPr="00312986">
        <w:rPr>
          <w:rFonts w:ascii="Traditional Arabic" w:hAnsi="Traditional Arabic" w:hint="cs"/>
          <w:noProof w:val="0"/>
          <w:rtl/>
          <w:lang w:eastAsia="en-US"/>
        </w:rPr>
        <w:t xml:space="preserve"> لم يَلُم الزوجة التي كسرت القصعة، ولكن ذلك لا يرفع الضمانَ، ووجه ذلك: أن النبي </w:t>
      </w:r>
      <w:r w:rsidR="00D129F0">
        <w:rPr>
          <w:rFonts w:ascii="Traditional Arabic" w:hAnsi="Traditional Arabic" w:hint="cs"/>
          <w:rtl/>
        </w:rPr>
        <w:t>صلى الله عليه وسلم</w:t>
      </w:r>
      <w:r w:rsidRPr="00312986">
        <w:rPr>
          <w:rFonts w:ascii="Traditional Arabic" w:hAnsi="Traditional Arabic" w:hint="cs"/>
          <w:noProof w:val="0"/>
          <w:rtl/>
          <w:lang w:eastAsia="en-US"/>
        </w:rPr>
        <w:t xml:space="preserve"> حبس القصعة المكسورة وأرسل القصعة الصحيحة)</w:t>
      </w:r>
      <w:r w:rsidRPr="00C821A1">
        <w:rPr>
          <w:rStyle w:val="af1"/>
          <w:szCs w:val="32"/>
          <w:rtl/>
        </w:rPr>
        <w:t>(</w:t>
      </w:r>
      <w:r w:rsidRPr="00C821A1">
        <w:rPr>
          <w:rStyle w:val="af1"/>
          <w:szCs w:val="32"/>
          <w:rtl/>
        </w:rPr>
        <w:footnoteReference w:id="1439"/>
      </w:r>
      <w:r w:rsidRPr="00C821A1">
        <w:rPr>
          <w:rStyle w:val="af1"/>
          <w:szCs w:val="32"/>
          <w:rtl/>
        </w:rPr>
        <w:t>)</w:t>
      </w:r>
      <w:r w:rsidRPr="00312986">
        <w:rPr>
          <w:rFonts w:ascii="Traditional Arabic" w:hAnsi="Traditional Arabic" w:hint="cs"/>
          <w:noProof w:val="0"/>
          <w:rtl/>
          <w:lang w:eastAsia="en-US"/>
        </w:rPr>
        <w:t>.</w:t>
      </w:r>
    </w:p>
    <w:p w:rsidR="001D6B04" w:rsidRDefault="001D6B04" w:rsidP="00597C20">
      <w:pPr>
        <w:widowControl/>
        <w:autoSpaceDE w:val="0"/>
        <w:autoSpaceDN w:val="0"/>
        <w:adjustRightInd w:val="0"/>
        <w:ind w:firstLine="720"/>
        <w:rPr>
          <w:rtl/>
        </w:rPr>
      </w:pPr>
      <w:r w:rsidRPr="00312986">
        <w:rPr>
          <w:rFonts w:ascii="Traditional Arabic" w:hAnsi="Traditional Arabic" w:hint="cs"/>
          <w:noProof w:val="0"/>
          <w:rtl/>
          <w:lang w:eastAsia="en-US"/>
        </w:rPr>
        <w:t xml:space="preserve">وقال  أبو بكر بن العربي </w:t>
      </w:r>
      <w:r w:rsidR="00B454E3">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B454E3">
        <w:rPr>
          <w:rFonts w:ascii="Traditional Arabic" w:hAnsi="Traditional Arabic" w:hint="cs"/>
          <w:noProof w:val="0"/>
          <w:rtl/>
          <w:lang w:eastAsia="en-US"/>
        </w:rPr>
        <w:t>_</w:t>
      </w:r>
      <w:r w:rsidRPr="00312986">
        <w:rPr>
          <w:rFonts w:ascii="Traditional Arabic" w:hAnsi="Traditional Arabic" w:hint="cs"/>
          <w:noProof w:val="0"/>
          <w:rtl/>
          <w:lang w:eastAsia="en-US"/>
        </w:rPr>
        <w:t xml:space="preserve"> عند كلامه عن تبويب  الترمذي </w:t>
      </w:r>
      <w:r w:rsidR="00B454E3">
        <w:rPr>
          <w:rFonts w:ascii="Traditional Arabic" w:hAnsi="Traditional Arabic" w:hint="cs"/>
          <w:noProof w:val="0"/>
          <w:rtl/>
          <w:lang w:eastAsia="en-US"/>
        </w:rPr>
        <w:t>_</w:t>
      </w:r>
      <w:r w:rsidRPr="00312986">
        <w:rPr>
          <w:rFonts w:ascii="Traditional Arabic" w:hAnsi="Traditional Arabic" w:hint="cs"/>
          <w:noProof w:val="0"/>
          <w:rtl/>
          <w:lang w:eastAsia="en-US"/>
        </w:rPr>
        <w:t>رحمه</w:t>
      </w:r>
      <w:r w:rsidR="00B454E3">
        <w:rPr>
          <w:rFonts w:ascii="Traditional Arabic" w:hAnsi="Traditional Arabic" w:hint="cs"/>
          <w:noProof w:val="0"/>
          <w:rtl/>
          <w:lang w:eastAsia="en-US"/>
        </w:rPr>
        <w:t xml:space="preserve"> </w:t>
      </w:r>
      <w:r>
        <w:rPr>
          <w:rStyle w:val="af1"/>
          <w:rFonts w:hint="cs"/>
          <w:vertAlign w:val="baseline"/>
          <w:rtl/>
        </w:rPr>
        <w:t>الله</w:t>
      </w:r>
      <w:r w:rsidR="00B454E3">
        <w:rPr>
          <w:rStyle w:val="af1"/>
          <w:rFonts w:hint="cs"/>
          <w:vertAlign w:val="baseline"/>
          <w:rtl/>
        </w:rPr>
        <w:t>_</w:t>
      </w:r>
      <w:r>
        <w:rPr>
          <w:rStyle w:val="af1"/>
          <w:rFonts w:hint="cs"/>
          <w:vertAlign w:val="baseline"/>
          <w:rtl/>
        </w:rPr>
        <w:t xml:space="preserve"> لهذا الحديث:</w:t>
      </w:r>
      <w:r w:rsidR="00B454E3">
        <w:rPr>
          <w:rStyle w:val="af1"/>
          <w:rFonts w:hint="cs"/>
          <w:vertAlign w:val="baseline"/>
          <w:rtl/>
        </w:rPr>
        <w:t xml:space="preserve"> </w:t>
      </w:r>
      <w:r>
        <w:rPr>
          <w:rStyle w:val="af1"/>
          <w:rFonts w:hint="cs"/>
          <w:vertAlign w:val="baseline"/>
          <w:rtl/>
        </w:rPr>
        <w:t>(</w:t>
      </w:r>
      <w:r w:rsidR="00B76414">
        <w:rPr>
          <w:rStyle w:val="af1"/>
          <w:rFonts w:hint="cs"/>
          <w:vertAlign w:val="baseline"/>
          <w:rtl/>
        </w:rPr>
        <w:t>.</w:t>
      </w:r>
      <w:r>
        <w:rPr>
          <w:rFonts w:hint="cs"/>
          <w:rtl/>
        </w:rPr>
        <w:t>..ليست الترجمة بمتمّمة، إنما ينبغي أن يقول بأن ما يُحكَم به على من أتلف شيئاً لغيره كان بكسرٍ أو حرقٍ أو قتلٍ، وإلا فتخصيص الكسر لا معنى له؛ لأن أحداً لا يَقْصُر الضمان على الإتلاف فيه)</w:t>
      </w:r>
      <w:r w:rsidRPr="00C821A1">
        <w:rPr>
          <w:rStyle w:val="af1"/>
          <w:szCs w:val="32"/>
          <w:rtl/>
        </w:rPr>
        <w:t>(</w:t>
      </w:r>
      <w:r w:rsidRPr="00C821A1">
        <w:rPr>
          <w:rStyle w:val="af1"/>
          <w:szCs w:val="32"/>
          <w:rtl/>
        </w:rPr>
        <w:footnoteReference w:id="1440"/>
      </w:r>
      <w:r w:rsidRPr="00C821A1">
        <w:rPr>
          <w:rStyle w:val="af1"/>
          <w:szCs w:val="32"/>
          <w:rtl/>
        </w:rPr>
        <w:t>)</w:t>
      </w:r>
      <w:r>
        <w:rPr>
          <w:rFonts w:hint="cs"/>
          <w:rtl/>
        </w:rPr>
        <w:t>.</w:t>
      </w:r>
    </w:p>
    <w:p w:rsidR="001D6B04" w:rsidRDefault="00B454E3" w:rsidP="00B454E3">
      <w:pPr>
        <w:widowControl/>
        <w:autoSpaceDE w:val="0"/>
        <w:autoSpaceDN w:val="0"/>
        <w:adjustRightInd w:val="0"/>
      </w:pPr>
      <w:r>
        <w:rPr>
          <w:rFonts w:hint="cs"/>
          <w:rtl/>
        </w:rPr>
        <w:lastRenderedPageBreak/>
        <w:t>(3)</w:t>
      </w:r>
      <w:r w:rsidR="001D6B04">
        <w:rPr>
          <w:rFonts w:hint="cs"/>
          <w:rtl/>
        </w:rPr>
        <w:t xml:space="preserve">علَّل الشيخ ابن عثيمين </w:t>
      </w:r>
      <w:r>
        <w:rPr>
          <w:rFonts w:hint="cs"/>
          <w:rtl/>
        </w:rPr>
        <w:t>_</w:t>
      </w:r>
      <w:r w:rsidR="009A0575" w:rsidRPr="00B454E3">
        <w:rPr>
          <w:rFonts w:ascii="Traditional Arabic" w:hAnsi="Traditional Arabic" w:cs="CTraditional Arabic" w:hint="cs"/>
          <w:rtl/>
        </w:rPr>
        <w:t>/</w:t>
      </w:r>
      <w:r>
        <w:rPr>
          <w:rFonts w:hint="cs"/>
          <w:rtl/>
        </w:rPr>
        <w:t>_</w:t>
      </w:r>
      <w:r w:rsidR="001D6B04">
        <w:rPr>
          <w:rFonts w:hint="cs"/>
          <w:rtl/>
        </w:rPr>
        <w:t xml:space="preserve"> وجوب الضمان على المتلِف- فيما يتعلق بحقوق العباد- بأن حق المخلوق مبني على المشاحَّة، وأن النصوص في ردِّ المظالم إلى أهلها عامة،لم تفرِّق بين الناسي والجاهل والمكرَه وغيرهم من جهة الضمان</w:t>
      </w:r>
      <w:r w:rsidR="001D6B04" w:rsidRPr="00B454E3">
        <w:rPr>
          <w:rStyle w:val="af1"/>
          <w:szCs w:val="32"/>
          <w:rtl/>
        </w:rPr>
        <w:t>(</w:t>
      </w:r>
      <w:r w:rsidR="001D6B04" w:rsidRPr="00C821A1">
        <w:rPr>
          <w:rStyle w:val="af1"/>
          <w:szCs w:val="32"/>
          <w:rtl/>
        </w:rPr>
        <w:footnoteReference w:id="1441"/>
      </w:r>
      <w:r w:rsidR="001D6B04" w:rsidRPr="00B454E3">
        <w:rPr>
          <w:rStyle w:val="af1"/>
          <w:szCs w:val="32"/>
          <w:rtl/>
        </w:rPr>
        <w:t>)</w:t>
      </w:r>
      <w:r w:rsidR="001D6B04">
        <w:rPr>
          <w:rFonts w:hint="cs"/>
          <w:rtl/>
        </w:rPr>
        <w:t>.</w:t>
      </w:r>
    </w:p>
    <w:p w:rsidR="001D6B04" w:rsidRPr="001D6B04" w:rsidRDefault="00D129F0" w:rsidP="00A8347C">
      <w:pPr>
        <w:pStyle w:val="aff3"/>
        <w:rPr>
          <w:rtl/>
        </w:rPr>
      </w:pPr>
      <w:bookmarkStart w:id="286" w:name="_Toc334046502"/>
      <w:r>
        <w:rPr>
          <w:rFonts w:hint="cs"/>
          <w:rtl/>
        </w:rPr>
        <w:t xml:space="preserve">                                         </w:t>
      </w:r>
      <w:r w:rsidR="00D624DD">
        <w:rPr>
          <w:rFonts w:hint="cs"/>
          <w:rtl/>
        </w:rPr>
        <w:t xml:space="preserve"> </w:t>
      </w:r>
      <w:r>
        <w:rPr>
          <w:rFonts w:hint="cs"/>
          <w:rtl/>
        </w:rPr>
        <w:t>المطلب</w:t>
      </w:r>
      <w:r w:rsidR="00D0482B">
        <w:rPr>
          <w:rFonts w:hint="cs"/>
          <w:rtl/>
        </w:rPr>
        <w:t xml:space="preserve"> </w:t>
      </w:r>
      <w:r w:rsidR="001D6B04" w:rsidRPr="001D6B04">
        <w:rPr>
          <w:rFonts w:hint="cs"/>
          <w:rtl/>
        </w:rPr>
        <w:t>الرابع</w:t>
      </w:r>
      <w:r w:rsidR="001D6B04">
        <w:rPr>
          <w:rFonts w:hint="eastAsia"/>
          <w:rtl/>
        </w:rPr>
        <w:t> </w:t>
      </w:r>
      <w:r w:rsidR="001D6B04">
        <w:rPr>
          <w:rFonts w:hint="cs"/>
          <w:rtl/>
        </w:rPr>
        <w:t>:</w:t>
      </w:r>
      <w:r w:rsidR="001D6B04">
        <w:rPr>
          <w:rFonts w:hint="cs"/>
          <w:rtl/>
        </w:rPr>
        <w:br/>
      </w:r>
      <w:r>
        <w:rPr>
          <w:rFonts w:hint="cs"/>
          <w:rtl/>
        </w:rPr>
        <w:t xml:space="preserve">                                         </w:t>
      </w:r>
      <w:r w:rsidR="001D6B04" w:rsidRPr="001D6B04">
        <w:rPr>
          <w:rFonts w:hint="cs"/>
          <w:rtl/>
        </w:rPr>
        <w:t>تطبيقات القاعدة</w:t>
      </w:r>
      <w:bookmarkEnd w:id="286"/>
    </w:p>
    <w:p w:rsidR="00F228A9" w:rsidRDefault="001D6B04" w:rsidP="000A76C7">
      <w:pPr>
        <w:pStyle w:val="afc"/>
        <w:widowControl/>
        <w:numPr>
          <w:ilvl w:val="0"/>
          <w:numId w:val="194"/>
        </w:numPr>
        <w:autoSpaceDE w:val="0"/>
        <w:autoSpaceDN w:val="0"/>
        <w:adjustRightInd w:val="0"/>
        <w:jc w:val="left"/>
      </w:pPr>
      <w:r w:rsidRPr="00B23576">
        <w:rPr>
          <w:rFonts w:ascii="Traditional Arabic" w:hAnsi="Traditional Arabic"/>
          <w:noProof w:val="0"/>
          <w:rtl/>
          <w:lang w:eastAsia="en-US"/>
        </w:rPr>
        <w:t>لو أتلف الإنسان مالا</w:t>
      </w:r>
      <w:r>
        <w:rPr>
          <w:rFonts w:ascii="Traditional Arabic" w:hAnsi="Traditional Arabic" w:hint="cs"/>
          <w:noProof w:val="0"/>
          <w:rtl/>
          <w:lang w:eastAsia="en-US"/>
        </w:rPr>
        <w:t>ً</w:t>
      </w:r>
      <w:r w:rsidRPr="00B23576">
        <w:rPr>
          <w:rFonts w:ascii="Traditional Arabic" w:hAnsi="Traditional Arabic"/>
          <w:noProof w:val="0"/>
          <w:rtl/>
          <w:lang w:eastAsia="en-US"/>
        </w:rPr>
        <w:t xml:space="preserve"> يظن</w:t>
      </w:r>
      <w:r>
        <w:rPr>
          <w:rFonts w:ascii="Traditional Arabic" w:hAnsi="Traditional Arabic" w:hint="cs"/>
          <w:noProof w:val="0"/>
          <w:rtl/>
          <w:lang w:eastAsia="en-US"/>
        </w:rPr>
        <w:t>ُّ</w:t>
      </w:r>
      <w:r w:rsidRPr="00B23576">
        <w:rPr>
          <w:rFonts w:ascii="Traditional Arabic" w:hAnsi="Traditional Arabic"/>
          <w:noProof w:val="0"/>
          <w:rtl/>
          <w:lang w:eastAsia="en-US"/>
        </w:rPr>
        <w:t>ه مال</w:t>
      </w:r>
      <w:r w:rsidR="00D0482B">
        <w:rPr>
          <w:rFonts w:ascii="Traditional Arabic" w:hAnsi="Traditional Arabic" w:hint="cs"/>
          <w:noProof w:val="0"/>
          <w:rtl/>
          <w:lang w:eastAsia="en-US"/>
        </w:rPr>
        <w:t>َ</w:t>
      </w:r>
      <w:r w:rsidRPr="00B23576">
        <w:rPr>
          <w:rFonts w:ascii="Traditional Arabic" w:hAnsi="Traditional Arabic"/>
          <w:noProof w:val="0"/>
          <w:rtl/>
          <w:lang w:eastAsia="en-US"/>
        </w:rPr>
        <w:t xml:space="preserve"> نفس</w:t>
      </w:r>
      <w:r w:rsidR="00D0482B">
        <w:rPr>
          <w:rFonts w:ascii="Traditional Arabic" w:hAnsi="Traditional Arabic" w:hint="cs"/>
          <w:noProof w:val="0"/>
          <w:rtl/>
          <w:lang w:eastAsia="en-US"/>
        </w:rPr>
        <w:t>ِ</w:t>
      </w:r>
      <w:r w:rsidRPr="00B23576">
        <w:rPr>
          <w:rFonts w:ascii="Traditional Arabic" w:hAnsi="Traditional Arabic"/>
          <w:noProof w:val="0"/>
          <w:rtl/>
          <w:lang w:eastAsia="en-US"/>
        </w:rPr>
        <w:t>ه، فتبي</w:t>
      </w:r>
      <w:r>
        <w:rPr>
          <w:rFonts w:ascii="Traditional Arabic" w:hAnsi="Traditional Arabic" w:hint="cs"/>
          <w:noProof w:val="0"/>
          <w:rtl/>
          <w:lang w:eastAsia="en-US"/>
        </w:rPr>
        <w:t>َّ</w:t>
      </w:r>
      <w:r w:rsidRPr="00B23576">
        <w:rPr>
          <w:rFonts w:ascii="Traditional Arabic" w:hAnsi="Traditional Arabic"/>
          <w:noProof w:val="0"/>
          <w:rtl/>
          <w:lang w:eastAsia="en-US"/>
        </w:rPr>
        <w:t>ن أنه مال</w:t>
      </w:r>
      <w:r>
        <w:rPr>
          <w:rFonts w:ascii="Traditional Arabic" w:hAnsi="Traditional Arabic" w:hint="cs"/>
          <w:noProof w:val="0"/>
          <w:rtl/>
          <w:lang w:eastAsia="en-US"/>
        </w:rPr>
        <w:t>ُ</w:t>
      </w:r>
      <w:r w:rsidRPr="00B23576">
        <w:rPr>
          <w:rFonts w:ascii="Traditional Arabic" w:hAnsi="Traditional Arabic"/>
          <w:noProof w:val="0"/>
          <w:rtl/>
          <w:lang w:eastAsia="en-US"/>
        </w:rPr>
        <w:t xml:space="preserve"> غير</w:t>
      </w:r>
      <w:r w:rsidR="00D0482B">
        <w:rPr>
          <w:rFonts w:ascii="Traditional Arabic" w:hAnsi="Traditional Arabic" w:hint="cs"/>
          <w:noProof w:val="0"/>
          <w:rtl/>
          <w:lang w:eastAsia="en-US"/>
        </w:rPr>
        <w:t>ِ</w:t>
      </w:r>
      <w:r w:rsidRPr="00B23576">
        <w:rPr>
          <w:rFonts w:ascii="Traditional Arabic" w:hAnsi="Traditional Arabic"/>
          <w:noProof w:val="0"/>
          <w:rtl/>
          <w:lang w:eastAsia="en-US"/>
        </w:rPr>
        <w:t>ه فعليه الضمان</w:t>
      </w:r>
      <w:r w:rsidRPr="00C821A1">
        <w:rPr>
          <w:rStyle w:val="af1"/>
          <w:szCs w:val="32"/>
          <w:rtl/>
        </w:rPr>
        <w:t>(</w:t>
      </w:r>
      <w:r w:rsidRPr="00C821A1">
        <w:rPr>
          <w:rStyle w:val="af1"/>
          <w:szCs w:val="32"/>
          <w:rtl/>
        </w:rPr>
        <w:footnoteReference w:id="1442"/>
      </w:r>
      <w:r w:rsidRPr="00C821A1">
        <w:rPr>
          <w:rStyle w:val="af1"/>
          <w:szCs w:val="32"/>
          <w:rtl/>
        </w:rPr>
        <w:t>)</w:t>
      </w:r>
      <w:r>
        <w:rPr>
          <w:rFonts w:ascii="Traditional Arabic" w:hAnsi="Traditional Arabic" w:hint="cs"/>
          <w:noProof w:val="0"/>
          <w:rtl/>
          <w:lang w:eastAsia="en-US"/>
        </w:rPr>
        <w:t>.</w:t>
      </w:r>
    </w:p>
    <w:p w:rsidR="00065E4B" w:rsidRPr="00B23576" w:rsidRDefault="00F228A9" w:rsidP="00597C20">
      <w:pPr>
        <w:pStyle w:val="53"/>
        <w:rPr>
          <w:rtl/>
        </w:rPr>
      </w:pPr>
      <w:r>
        <w:rPr>
          <w:rFonts w:hint="cs"/>
          <w:rtl/>
        </w:rPr>
        <w:t>وجه اندراج الفرع تحت القاعدة:</w:t>
      </w:r>
    </w:p>
    <w:p w:rsidR="001D6B04" w:rsidRDefault="00D0482B" w:rsidP="00597C20">
      <w:pPr>
        <w:ind w:firstLine="720"/>
        <w:rPr>
          <w:color w:val="auto"/>
          <w:rtl/>
        </w:rPr>
      </w:pPr>
      <w:r>
        <w:rPr>
          <w:rFonts w:hint="cs"/>
          <w:color w:val="auto"/>
          <w:rtl/>
        </w:rPr>
        <w:t>إ</w:t>
      </w:r>
      <w:r w:rsidR="001D6B04">
        <w:rPr>
          <w:rFonts w:hint="cs"/>
          <w:color w:val="auto"/>
          <w:rtl/>
        </w:rPr>
        <w:t>ن هذا المتلِف، وإن لم يتعمَّد إتلاف مالَ غيره، إلا انه</w:t>
      </w:r>
      <w:r>
        <w:rPr>
          <w:rFonts w:hint="cs"/>
          <w:color w:val="auto"/>
          <w:rtl/>
        </w:rPr>
        <w:t xml:space="preserve"> يجب عليه الضمان؛ لأن القاعدة تقول:</w:t>
      </w:r>
      <w:r w:rsidR="001D6B04">
        <w:rPr>
          <w:rFonts w:hint="cs"/>
          <w:color w:val="auto"/>
          <w:rtl/>
        </w:rPr>
        <w:t xml:space="preserve"> </w:t>
      </w:r>
      <w:r>
        <w:rPr>
          <w:rFonts w:hint="cs"/>
          <w:color w:val="auto"/>
          <w:rtl/>
        </w:rPr>
        <w:t>"</w:t>
      </w:r>
      <w:r w:rsidR="001D6B04">
        <w:rPr>
          <w:rFonts w:hint="cs"/>
          <w:color w:val="auto"/>
          <w:rtl/>
        </w:rPr>
        <w:t>من أتلف شيئاً فعليه الضمان</w:t>
      </w:r>
      <w:r>
        <w:rPr>
          <w:rFonts w:hint="cs"/>
          <w:color w:val="auto"/>
          <w:rtl/>
        </w:rPr>
        <w:t>"</w:t>
      </w:r>
      <w:r w:rsidR="001D6B04">
        <w:rPr>
          <w:rFonts w:hint="cs"/>
          <w:color w:val="auto"/>
          <w:rtl/>
        </w:rPr>
        <w:t>.</w:t>
      </w:r>
    </w:p>
    <w:p w:rsidR="00F228A9" w:rsidRPr="0082714C" w:rsidRDefault="001D6B04" w:rsidP="000A76C7">
      <w:pPr>
        <w:pStyle w:val="afc"/>
        <w:widowControl/>
        <w:numPr>
          <w:ilvl w:val="0"/>
          <w:numId w:val="194"/>
        </w:numPr>
        <w:autoSpaceDE w:val="0"/>
        <w:autoSpaceDN w:val="0"/>
        <w:adjustRightInd w:val="0"/>
        <w:rPr>
          <w:rFonts w:ascii="Traditional Arabic" w:hAnsi="Traditional Arabic"/>
          <w:noProof w:val="0"/>
          <w:lang w:eastAsia="en-US"/>
        </w:rPr>
      </w:pPr>
      <w:r w:rsidRPr="0082714C">
        <w:rPr>
          <w:rFonts w:ascii="Traditional Arabic" w:hAnsi="Traditional Arabic"/>
          <w:noProof w:val="0"/>
          <w:rtl/>
          <w:lang w:eastAsia="en-US"/>
        </w:rPr>
        <w:t>لو أن رجلا</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 xml:space="preserve"> م</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حر</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ما</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 xml:space="preserve"> قتل صيدا</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 xml:space="preserve"> مملوكا</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 xml:space="preserve"> جهلا</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 xml:space="preserve"> أو نسيانا</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 xml:space="preserve"> فعليه الضمان لصاحبه</w:t>
      </w:r>
      <w:r w:rsidRPr="0082714C">
        <w:rPr>
          <w:rFonts w:ascii="Traditional Arabic" w:hAnsi="Traditional Arabic" w:hint="cs"/>
          <w:noProof w:val="0"/>
          <w:rtl/>
          <w:lang w:eastAsia="en-US"/>
        </w:rPr>
        <w:t xml:space="preserve">، وليس عليه جزاء الصيد، </w:t>
      </w:r>
      <w:r w:rsidRPr="0082714C">
        <w:rPr>
          <w:rFonts w:ascii="Traditional Arabic" w:hAnsi="Traditional Arabic"/>
          <w:noProof w:val="0"/>
          <w:rtl/>
          <w:lang w:eastAsia="en-US"/>
        </w:rPr>
        <w:t>ولو أتلفه عمدا وهو مملوك ل</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ز</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م</w:t>
      </w:r>
      <w:r w:rsidRPr="0082714C">
        <w:rPr>
          <w:rFonts w:ascii="Traditional Arabic" w:hAnsi="Traditional Arabic" w:hint="cs"/>
          <w:noProof w:val="0"/>
          <w:rtl/>
          <w:lang w:eastAsia="en-US"/>
        </w:rPr>
        <w:t>َ</w:t>
      </w:r>
      <w:r w:rsidRPr="0082714C">
        <w:rPr>
          <w:rFonts w:ascii="Traditional Arabic" w:hAnsi="Traditional Arabic"/>
          <w:noProof w:val="0"/>
          <w:rtl/>
          <w:lang w:eastAsia="en-US"/>
        </w:rPr>
        <w:t>ه ضمانان:</w:t>
      </w:r>
      <w:r w:rsidR="00D0482B">
        <w:rPr>
          <w:rFonts w:ascii="Traditional Arabic" w:hAnsi="Traditional Arabic" w:hint="cs"/>
          <w:noProof w:val="0"/>
          <w:rtl/>
          <w:lang w:eastAsia="en-US"/>
        </w:rPr>
        <w:t xml:space="preserve"> </w:t>
      </w:r>
      <w:r w:rsidRPr="0082714C">
        <w:rPr>
          <w:rFonts w:ascii="Traditional Arabic" w:hAnsi="Traditional Arabic"/>
          <w:noProof w:val="0"/>
          <w:rtl/>
          <w:lang w:eastAsia="en-US"/>
        </w:rPr>
        <w:t>الضمان الأول: للآدمي، والضمان الثاني: الجزاء وهو حق الله</w:t>
      </w:r>
      <w:r w:rsidR="00D129F0">
        <w:rPr>
          <w:rFonts w:ascii="Traditional Arabic" w:hAnsi="Traditional Arabic" w:hint="cs"/>
          <w:noProof w:val="0"/>
          <w:color w:val="auto"/>
          <w:rtl/>
          <w:lang w:eastAsia="en-US"/>
        </w:rPr>
        <w:t xml:space="preserve"> عز وجل</w:t>
      </w:r>
      <w:r w:rsidRPr="00C821A1">
        <w:rPr>
          <w:rStyle w:val="af1"/>
          <w:szCs w:val="32"/>
          <w:rtl/>
        </w:rPr>
        <w:t>(</w:t>
      </w:r>
      <w:r w:rsidRPr="00C821A1">
        <w:rPr>
          <w:rStyle w:val="af1"/>
          <w:szCs w:val="32"/>
          <w:rtl/>
        </w:rPr>
        <w:footnoteReference w:id="1443"/>
      </w:r>
      <w:r w:rsidRPr="00C821A1">
        <w:rPr>
          <w:rStyle w:val="af1"/>
          <w:szCs w:val="32"/>
          <w:rtl/>
        </w:rPr>
        <w:t>)</w:t>
      </w:r>
      <w:r w:rsidRPr="0082714C">
        <w:rPr>
          <w:rFonts w:ascii="Traditional Arabic" w:hAnsi="Traditional Arabic" w:hint="cs"/>
          <w:noProof w:val="0"/>
          <w:rtl/>
          <w:lang w:eastAsia="en-US"/>
        </w:rPr>
        <w:t>.</w:t>
      </w:r>
    </w:p>
    <w:p w:rsidR="001D6B04" w:rsidRDefault="001D6B04" w:rsidP="00597C20">
      <w:pPr>
        <w:pStyle w:val="53"/>
        <w:rPr>
          <w:rtl/>
        </w:rPr>
      </w:pPr>
      <w:r>
        <w:rPr>
          <w:rFonts w:hint="cs"/>
          <w:rtl/>
        </w:rPr>
        <w:t>وجه اندراج الفرع تحت القاعدة:</w:t>
      </w:r>
    </w:p>
    <w:p w:rsidR="001D6B04" w:rsidRPr="00312986" w:rsidRDefault="001D6B04" w:rsidP="00597C20">
      <w:pPr>
        <w:ind w:firstLine="720"/>
        <w:rPr>
          <w:color w:val="auto"/>
          <w:rtl/>
        </w:rPr>
      </w:pPr>
      <w:r w:rsidRPr="00312986">
        <w:rPr>
          <w:rFonts w:hint="cs"/>
          <w:color w:val="auto"/>
          <w:rtl/>
        </w:rPr>
        <w:t xml:space="preserve">أن من أتلف شيئا </w:t>
      </w:r>
      <w:r w:rsidRPr="00312986">
        <w:rPr>
          <w:color w:val="auto"/>
          <w:rtl/>
        </w:rPr>
        <w:t>–</w:t>
      </w:r>
      <w:r w:rsidRPr="00312986">
        <w:rPr>
          <w:rFonts w:hint="cs"/>
          <w:color w:val="auto"/>
          <w:rtl/>
        </w:rPr>
        <w:t>فيما يتعلق بحقوق الآدميين-فعليه الضمان، سواءٌ كان المتلِف جاهلاً أو عالماً وسواءٌ كان ناسياً أو ذاكراً.</w:t>
      </w:r>
    </w:p>
    <w:p w:rsidR="00F228A9" w:rsidRPr="00312986" w:rsidRDefault="001D6B04" w:rsidP="00597C20">
      <w:pPr>
        <w:ind w:firstLine="720"/>
        <w:rPr>
          <w:color w:val="auto"/>
          <w:rtl/>
        </w:rPr>
      </w:pPr>
      <w:r w:rsidRPr="00312986">
        <w:rPr>
          <w:rFonts w:hint="cs"/>
          <w:color w:val="auto"/>
          <w:rtl/>
        </w:rPr>
        <w:t xml:space="preserve">فهذا المحرم أتلف الصيد فيضمنه لصاحبه؛ لأنه حقٌّ لآدميّ، أما الجزاء فهو حقٌّ لله؛ لهذا لا جزاء عليه إذالم يتعمد قتل الصيد، وحق الله لا ضمان فيه إذا كان الإتلاف عن خطأٍ أو جهلٍ أو </w:t>
      </w:r>
      <w:r w:rsidRPr="00312986">
        <w:rPr>
          <w:rFonts w:hint="cs"/>
          <w:color w:val="auto"/>
          <w:rtl/>
        </w:rPr>
        <w:lastRenderedPageBreak/>
        <w:t>نسيانٍ أو إكراهٍ، أما إن كان عن عمدٍ ففيه الضمان</w:t>
      </w:r>
      <w:r w:rsidRPr="00C821A1">
        <w:rPr>
          <w:rStyle w:val="af1"/>
          <w:szCs w:val="32"/>
          <w:rtl/>
        </w:rPr>
        <w:t>(</w:t>
      </w:r>
      <w:r w:rsidRPr="00C821A1">
        <w:rPr>
          <w:rStyle w:val="af1"/>
          <w:szCs w:val="32"/>
          <w:rtl/>
        </w:rPr>
        <w:footnoteReference w:id="1444"/>
      </w:r>
      <w:r w:rsidRPr="00C821A1">
        <w:rPr>
          <w:rStyle w:val="af1"/>
          <w:szCs w:val="32"/>
          <w:rtl/>
        </w:rPr>
        <w:t>)</w:t>
      </w:r>
      <w:r w:rsidRPr="00312986">
        <w:rPr>
          <w:rFonts w:hint="cs"/>
          <w:color w:val="auto"/>
          <w:rtl/>
        </w:rPr>
        <w:t>.</w:t>
      </w:r>
    </w:p>
    <w:p w:rsidR="001D6B04" w:rsidRDefault="001D6B04" w:rsidP="000A76C7">
      <w:pPr>
        <w:pStyle w:val="afc"/>
        <w:numPr>
          <w:ilvl w:val="0"/>
          <w:numId w:val="194"/>
        </w:numPr>
        <w:rPr>
          <w:color w:val="auto"/>
        </w:rPr>
      </w:pPr>
      <w:r>
        <w:rPr>
          <w:rFonts w:hint="cs"/>
          <w:color w:val="auto"/>
          <w:rtl/>
        </w:rPr>
        <w:t>لو أن رجلاً أعطاه شخص عنباً وديعةً، وقال: أعطه لأهلي، فلما وصل إلى بيته ووضع العنب على أنه سيذهب به إلى بيت صاحبه نسي فأكله، فإن عليه الضمان.</w:t>
      </w:r>
    </w:p>
    <w:p w:rsidR="001D6B04" w:rsidRDefault="001D6B04" w:rsidP="00597C20">
      <w:pPr>
        <w:pStyle w:val="53"/>
        <w:rPr>
          <w:rtl/>
        </w:rPr>
      </w:pPr>
      <w:r>
        <w:rPr>
          <w:rFonts w:hint="cs"/>
          <w:rtl/>
        </w:rPr>
        <w:t>وجه اندراج الفرع تحت القاعدة:</w:t>
      </w:r>
    </w:p>
    <w:p w:rsidR="00F228A9" w:rsidRPr="00312986" w:rsidRDefault="001D6B04" w:rsidP="00597C20">
      <w:pPr>
        <w:ind w:firstLine="720"/>
        <w:rPr>
          <w:color w:val="auto"/>
          <w:rtl/>
        </w:rPr>
      </w:pPr>
      <w:r w:rsidRPr="00312986">
        <w:rPr>
          <w:rFonts w:hint="cs"/>
          <w:color w:val="auto"/>
          <w:rtl/>
        </w:rPr>
        <w:t>إن هذا الرجل أتلف طعام غيره، فعليه الضمان، ولا فرق في ذلك بين النسيان وعدمه من حيث الضمان؛ لأن القاعدة في حقوق المخلوقين أن من أتلف شيئا فعليه الضمان مطلقا.</w:t>
      </w:r>
    </w:p>
    <w:p w:rsidR="001D6B04" w:rsidRPr="001D6B04" w:rsidRDefault="00D129F0" w:rsidP="00A8347C">
      <w:pPr>
        <w:pStyle w:val="aff3"/>
        <w:rPr>
          <w:rtl/>
        </w:rPr>
      </w:pPr>
      <w:bookmarkStart w:id="287" w:name="_Toc334046503"/>
      <w:r>
        <w:rPr>
          <w:rFonts w:hint="cs"/>
          <w:rtl/>
        </w:rPr>
        <w:t xml:space="preserve">                                        المطلب</w:t>
      </w:r>
      <w:r w:rsidR="00D0482B">
        <w:rPr>
          <w:rFonts w:hint="cs"/>
          <w:rtl/>
        </w:rPr>
        <w:t xml:space="preserve"> </w:t>
      </w:r>
      <w:r w:rsidR="001D6B04" w:rsidRPr="001D6B04">
        <w:rPr>
          <w:rFonts w:hint="cs"/>
          <w:rtl/>
        </w:rPr>
        <w:t>الخامس</w:t>
      </w:r>
      <w:r w:rsidR="001D6B04">
        <w:rPr>
          <w:rFonts w:hint="eastAsia"/>
          <w:rtl/>
        </w:rPr>
        <w:t> :</w:t>
      </w:r>
      <w:r w:rsidR="001D6B04">
        <w:rPr>
          <w:rFonts w:hint="cs"/>
          <w:rtl/>
        </w:rPr>
        <w:br/>
      </w:r>
      <w:r>
        <w:rPr>
          <w:rFonts w:hint="cs"/>
          <w:rtl/>
        </w:rPr>
        <w:t xml:space="preserve">                                        </w:t>
      </w:r>
      <w:r w:rsidR="001D6B04" w:rsidRPr="001D6B04">
        <w:rPr>
          <w:rFonts w:hint="cs"/>
          <w:rtl/>
        </w:rPr>
        <w:t>مستثنيات القاعدة</w:t>
      </w:r>
      <w:bookmarkEnd w:id="287"/>
    </w:p>
    <w:p w:rsidR="001D6B04" w:rsidRDefault="001D6B04" w:rsidP="000A76C7">
      <w:pPr>
        <w:pStyle w:val="afc"/>
        <w:numPr>
          <w:ilvl w:val="0"/>
          <w:numId w:val="195"/>
        </w:numPr>
        <w:ind w:left="565" w:hanging="489"/>
        <w:rPr>
          <w:color w:val="auto"/>
        </w:rPr>
      </w:pPr>
      <w:r>
        <w:rPr>
          <w:rFonts w:hint="cs"/>
          <w:color w:val="auto"/>
          <w:rtl/>
        </w:rPr>
        <w:t>إذا كان الإتلاف في حقوق الله عن نسيان أو جهل أو إكراه أو خطأ، فلا ضمان فيه</w:t>
      </w:r>
      <w:r w:rsidRPr="00C821A1">
        <w:rPr>
          <w:rStyle w:val="af1"/>
          <w:szCs w:val="32"/>
          <w:rtl/>
        </w:rPr>
        <w:t>(</w:t>
      </w:r>
      <w:r w:rsidRPr="00C821A1">
        <w:rPr>
          <w:rStyle w:val="af1"/>
          <w:szCs w:val="32"/>
          <w:rtl/>
        </w:rPr>
        <w:footnoteReference w:id="1445"/>
      </w:r>
      <w:r w:rsidRPr="00C821A1">
        <w:rPr>
          <w:rStyle w:val="af1"/>
          <w:szCs w:val="32"/>
          <w:rtl/>
        </w:rPr>
        <w:t>)</w:t>
      </w:r>
      <w:r>
        <w:rPr>
          <w:rFonts w:hint="cs"/>
          <w:color w:val="auto"/>
          <w:rtl/>
        </w:rPr>
        <w:t>.</w:t>
      </w:r>
    </w:p>
    <w:p w:rsidR="00F228A9" w:rsidRPr="005B75D2" w:rsidRDefault="001D6B04" w:rsidP="000A76C7">
      <w:pPr>
        <w:pStyle w:val="afc"/>
        <w:numPr>
          <w:ilvl w:val="0"/>
          <w:numId w:val="195"/>
        </w:numPr>
        <w:ind w:left="565" w:hanging="489"/>
        <w:rPr>
          <w:color w:val="auto"/>
          <w:rtl/>
        </w:rPr>
      </w:pPr>
      <w:r>
        <w:rPr>
          <w:rFonts w:hint="cs"/>
          <w:color w:val="auto"/>
          <w:rtl/>
        </w:rPr>
        <w:t>إذا كان الإتلاف بسبب دفع المتلِفِ الأذى عن نفسه فلا ضمان عليه،</w:t>
      </w:r>
      <w:r w:rsidRPr="005B75D2">
        <w:rPr>
          <w:rFonts w:hint="cs"/>
          <w:color w:val="auto"/>
          <w:rtl/>
        </w:rPr>
        <w:t xml:space="preserve"> كما لو</w:t>
      </w:r>
      <w:r>
        <w:rPr>
          <w:rFonts w:hint="cs"/>
          <w:color w:val="auto"/>
          <w:rtl/>
        </w:rPr>
        <w:t xml:space="preserve"> صالَ على المحرم صيدٌ، فانتهره فلم يرجع، ثم حذفه بحصاة فلم يرجع، ولم يندفع إلا بقتله فقتله، فإنه لا يضمن؛ لأنه قتله لدفع الأذى عن نفسه</w:t>
      </w:r>
      <w:r w:rsidRPr="00C821A1">
        <w:rPr>
          <w:rStyle w:val="af1"/>
          <w:szCs w:val="32"/>
          <w:rtl/>
        </w:rPr>
        <w:t>(</w:t>
      </w:r>
      <w:r w:rsidRPr="00C821A1">
        <w:rPr>
          <w:rStyle w:val="af1"/>
          <w:szCs w:val="32"/>
          <w:rtl/>
        </w:rPr>
        <w:footnoteReference w:id="1446"/>
      </w:r>
      <w:r w:rsidRPr="00C821A1">
        <w:rPr>
          <w:rStyle w:val="af1"/>
          <w:szCs w:val="32"/>
          <w:rtl/>
        </w:rPr>
        <w:t>)</w:t>
      </w:r>
      <w:r>
        <w:rPr>
          <w:rFonts w:hint="cs"/>
          <w:color w:val="auto"/>
          <w:rtl/>
        </w:rPr>
        <w:t>.</w:t>
      </w:r>
    </w:p>
    <w:p w:rsidR="001D6B04" w:rsidRDefault="001D6B04" w:rsidP="000A76C7">
      <w:pPr>
        <w:pStyle w:val="afc"/>
        <w:numPr>
          <w:ilvl w:val="0"/>
          <w:numId w:val="195"/>
        </w:numPr>
        <w:ind w:left="565" w:hanging="489"/>
        <w:rPr>
          <w:color w:val="auto"/>
        </w:rPr>
      </w:pPr>
      <w:r>
        <w:rPr>
          <w:rFonts w:hint="cs"/>
          <w:color w:val="auto"/>
          <w:rtl/>
        </w:rPr>
        <w:t>إذا كان الإتلاف بإذن من المالك أو م</w:t>
      </w:r>
      <w:r w:rsidR="00D0482B">
        <w:rPr>
          <w:rFonts w:hint="cs"/>
          <w:color w:val="auto"/>
          <w:rtl/>
        </w:rPr>
        <w:t>َ</w:t>
      </w:r>
      <w:r>
        <w:rPr>
          <w:rFonts w:hint="cs"/>
          <w:color w:val="auto"/>
          <w:rtl/>
        </w:rPr>
        <w:t>ن يقوم مقام</w:t>
      </w:r>
      <w:r w:rsidR="00D0482B">
        <w:rPr>
          <w:rFonts w:hint="cs"/>
          <w:color w:val="auto"/>
          <w:rtl/>
        </w:rPr>
        <w:t>َ</w:t>
      </w:r>
      <w:r>
        <w:rPr>
          <w:rFonts w:hint="cs"/>
          <w:color w:val="auto"/>
          <w:rtl/>
        </w:rPr>
        <w:t>ه كالوكيل والولي، كما لو أذ</w:t>
      </w:r>
      <w:r w:rsidR="00D0482B">
        <w:rPr>
          <w:rFonts w:hint="cs"/>
          <w:color w:val="auto"/>
          <w:rtl/>
        </w:rPr>
        <w:t>ِ</w:t>
      </w:r>
      <w:r>
        <w:rPr>
          <w:rFonts w:hint="cs"/>
          <w:color w:val="auto"/>
          <w:rtl/>
        </w:rPr>
        <w:t>ن صاحب الطعام لشخصٍ بأَكْله، فإنه لا ضمان عليه</w:t>
      </w:r>
      <w:r w:rsidRPr="00C821A1">
        <w:rPr>
          <w:rStyle w:val="af1"/>
          <w:szCs w:val="32"/>
          <w:rtl/>
        </w:rPr>
        <w:t>(</w:t>
      </w:r>
      <w:r w:rsidRPr="00C821A1">
        <w:rPr>
          <w:rStyle w:val="af1"/>
          <w:szCs w:val="32"/>
          <w:rtl/>
        </w:rPr>
        <w:footnoteReference w:id="1447"/>
      </w:r>
      <w:r w:rsidRPr="00C821A1">
        <w:rPr>
          <w:rStyle w:val="af1"/>
          <w:szCs w:val="32"/>
          <w:rtl/>
        </w:rPr>
        <w:t>)</w:t>
      </w:r>
      <w:r>
        <w:rPr>
          <w:rFonts w:hint="cs"/>
          <w:color w:val="auto"/>
          <w:rtl/>
        </w:rPr>
        <w:t>.</w:t>
      </w:r>
    </w:p>
    <w:p w:rsidR="00F228A9" w:rsidRPr="005B75D2" w:rsidRDefault="001D6B04" w:rsidP="000A76C7">
      <w:pPr>
        <w:pStyle w:val="afc"/>
        <w:numPr>
          <w:ilvl w:val="0"/>
          <w:numId w:val="195"/>
        </w:numPr>
        <w:ind w:left="565" w:hanging="489"/>
        <w:rPr>
          <w:color w:val="auto"/>
        </w:rPr>
      </w:pPr>
      <w:r>
        <w:rPr>
          <w:rFonts w:hint="cs"/>
          <w:color w:val="auto"/>
          <w:rtl/>
        </w:rPr>
        <w:t xml:space="preserve">إذا كان الإتلاف بإذنٍ من الشرع؛ ولهذا كان القول الراجح من أقوال العلماء جواز التعزير بالمال، أي: بأن يُتلَف مال الإنسان لو حصل منه ما يقتضي ذلك، كما يحرَّق رَحْلُ </w:t>
      </w:r>
      <w:r>
        <w:rPr>
          <w:rFonts w:hint="cs"/>
          <w:color w:val="auto"/>
          <w:rtl/>
        </w:rPr>
        <w:lastRenderedPageBreak/>
        <w:t>الغالِّ</w:t>
      </w:r>
      <w:r w:rsidRPr="00C821A1">
        <w:rPr>
          <w:rStyle w:val="af1"/>
          <w:szCs w:val="32"/>
          <w:rtl/>
        </w:rPr>
        <w:t>(</w:t>
      </w:r>
      <w:r w:rsidRPr="00C821A1">
        <w:rPr>
          <w:rStyle w:val="af1"/>
          <w:szCs w:val="32"/>
          <w:rtl/>
        </w:rPr>
        <w:footnoteReference w:id="1448"/>
      </w:r>
      <w:r w:rsidRPr="00C821A1">
        <w:rPr>
          <w:rStyle w:val="af1"/>
          <w:szCs w:val="32"/>
          <w:rtl/>
        </w:rPr>
        <w:t>)</w:t>
      </w:r>
      <w:r>
        <w:rPr>
          <w:rFonts w:hint="cs"/>
          <w:color w:val="auto"/>
          <w:rtl/>
        </w:rPr>
        <w:t>، وكما تُتلَف آلات اللهو وما أشبه ذلك</w:t>
      </w:r>
      <w:r w:rsidRPr="00C821A1">
        <w:rPr>
          <w:rStyle w:val="af1"/>
          <w:szCs w:val="32"/>
          <w:rtl/>
        </w:rPr>
        <w:t>(</w:t>
      </w:r>
      <w:r w:rsidRPr="00C821A1">
        <w:rPr>
          <w:rStyle w:val="af1"/>
          <w:szCs w:val="32"/>
          <w:rtl/>
        </w:rPr>
        <w:footnoteReference w:id="1449"/>
      </w:r>
      <w:r w:rsidRPr="00C821A1">
        <w:rPr>
          <w:rStyle w:val="af1"/>
          <w:szCs w:val="32"/>
          <w:rtl/>
        </w:rPr>
        <w:t>)</w:t>
      </w:r>
      <w:r>
        <w:rPr>
          <w:rFonts w:hint="cs"/>
          <w:color w:val="auto"/>
          <w:rtl/>
        </w:rPr>
        <w:t>.</w:t>
      </w:r>
    </w:p>
    <w:p w:rsidR="00F044B9" w:rsidRPr="00C85F0F" w:rsidRDefault="00F044B9" w:rsidP="000F5C0F">
      <w:pPr>
        <w:pStyle w:val="aff2"/>
        <w:rPr>
          <w:rtl/>
        </w:rPr>
      </w:pPr>
      <w:bookmarkStart w:id="288" w:name="_Toc334046504"/>
      <w:r w:rsidRPr="00335A5B">
        <w:rPr>
          <w:rFonts w:ascii="Traditional Arabic" w:hAnsi="Traditional Arabic" w:hint="cs"/>
          <w:rtl/>
        </w:rPr>
        <w:lastRenderedPageBreak/>
        <w:t>المبحث السا</w:t>
      </w:r>
      <w:r>
        <w:rPr>
          <w:rFonts w:ascii="Traditional Arabic" w:hAnsi="Traditional Arabic" w:hint="cs"/>
          <w:rtl/>
        </w:rPr>
        <w:t>بع</w:t>
      </w:r>
      <w:r w:rsidRPr="00335A5B">
        <w:rPr>
          <w:rFonts w:ascii="Traditional Arabic" w:hAnsi="Traditional Arabic" w:hint="eastAsia"/>
          <w:rtl/>
        </w:rPr>
        <w:t> :</w:t>
      </w:r>
      <w:r w:rsidRPr="00335A5B">
        <w:rPr>
          <w:rFonts w:ascii="Traditional Arabic" w:hAnsi="Traditional Arabic" w:hint="cs"/>
          <w:rtl/>
        </w:rPr>
        <w:br/>
      </w:r>
      <w:r>
        <w:rPr>
          <w:rFonts w:hint="cs"/>
          <w:rtl/>
        </w:rPr>
        <w:t>قاعدة</w:t>
      </w:r>
      <w:r>
        <w:rPr>
          <w:rtl/>
        </w:rPr>
        <w:br/>
      </w:r>
      <w:r>
        <w:rPr>
          <w:rFonts w:hint="cs"/>
          <w:rtl/>
        </w:rPr>
        <w:t xml:space="preserve">"ما </w:t>
      </w:r>
      <w:r w:rsidR="00D129F0">
        <w:rPr>
          <w:rFonts w:hint="cs"/>
          <w:rtl/>
        </w:rPr>
        <w:t>ترتب على المأذون فليس بمضمون</w:t>
      </w:r>
      <w:r w:rsidR="00925718">
        <w:rPr>
          <w:rFonts w:hint="cs"/>
          <w:rtl/>
        </w:rPr>
        <w:t>، وما ترتب على غير المأذون فهو مضمون</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ماترتبعلىالمأذونفليسبمضمون،وماترتبعلىغيرالمأذونفهومضمون</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Style w:val="af1"/>
          <w:b w:val="0"/>
          <w:bCs w:val="0"/>
          <w:szCs w:val="32"/>
          <w:rtl/>
        </w:rPr>
        <w:t>(</w:t>
      </w:r>
      <w:r w:rsidRPr="00C85F0F">
        <w:rPr>
          <w:rStyle w:val="af1"/>
          <w:b w:val="0"/>
          <w:bCs w:val="0"/>
          <w:szCs w:val="32"/>
          <w:rtl/>
        </w:rPr>
        <w:footnoteReference w:id="1450"/>
      </w:r>
      <w:r w:rsidRPr="00C85F0F">
        <w:rPr>
          <w:rStyle w:val="af1"/>
          <w:b w:val="0"/>
          <w:bCs w:val="0"/>
          <w:szCs w:val="32"/>
          <w:rtl/>
        </w:rPr>
        <w:t>)</w:t>
      </w:r>
      <w:bookmarkEnd w:id="288"/>
    </w:p>
    <w:p w:rsidR="00065E4B" w:rsidRPr="00C85F0F" w:rsidRDefault="00D129F0" w:rsidP="00A8347C">
      <w:pPr>
        <w:pStyle w:val="aff3"/>
        <w:rPr>
          <w:rtl/>
        </w:rPr>
      </w:pPr>
      <w:bookmarkStart w:id="289" w:name="_Toc334046505"/>
      <w:r>
        <w:rPr>
          <w:rFonts w:hint="cs"/>
          <w:rtl/>
        </w:rPr>
        <w:t xml:space="preserve">                                         المطلب</w:t>
      </w:r>
      <w:r w:rsidR="00D0482B">
        <w:rPr>
          <w:rFonts w:hint="cs"/>
          <w:rtl/>
        </w:rPr>
        <w:t xml:space="preserve"> </w:t>
      </w:r>
      <w:r w:rsidR="00F044B9" w:rsidRPr="00C85F0F">
        <w:rPr>
          <w:rFonts w:hint="cs"/>
          <w:rtl/>
        </w:rPr>
        <w:t>الأول</w:t>
      </w:r>
      <w:r w:rsidR="00F044B9" w:rsidRPr="00C85F0F">
        <w:rPr>
          <w:rFonts w:hint="eastAsia"/>
          <w:rtl/>
        </w:rPr>
        <w:t> :</w:t>
      </w:r>
      <w:r w:rsidR="00F044B9" w:rsidRPr="00C85F0F">
        <w:rPr>
          <w:rFonts w:hint="cs"/>
          <w:rtl/>
        </w:rPr>
        <w:br/>
      </w:r>
      <w:r>
        <w:rPr>
          <w:rFonts w:hint="cs"/>
          <w:rtl/>
        </w:rPr>
        <w:t xml:space="preserve">                      </w:t>
      </w:r>
      <w:r w:rsidR="00F044B9" w:rsidRPr="00C85F0F">
        <w:rPr>
          <w:rFonts w:hint="cs"/>
          <w:rtl/>
        </w:rPr>
        <w:t>صيغ القاعدة عند الشيخ وعند علماء القواعد</w:t>
      </w:r>
      <w:bookmarkEnd w:id="289"/>
    </w:p>
    <w:p w:rsidR="00F044B9" w:rsidRPr="00C85F0F" w:rsidRDefault="00065E4B" w:rsidP="00597C20">
      <w:pPr>
        <w:ind w:firstLine="0"/>
        <w:rPr>
          <w:rtl/>
        </w:rPr>
      </w:pPr>
      <w:r w:rsidRPr="00C85F0F">
        <w:rPr>
          <w:rFonts w:hint="cs"/>
          <w:rtl/>
        </w:rPr>
        <w:t>و</w:t>
      </w:r>
      <w:r w:rsidR="00F044B9" w:rsidRPr="00C85F0F">
        <w:rPr>
          <w:rFonts w:hint="cs"/>
          <w:rtl/>
        </w:rPr>
        <w:t xml:space="preserve">ردت هذه القاعدة عند الشيخ ابن عثيمين </w:t>
      </w:r>
      <w:r w:rsidR="00D0482B">
        <w:rPr>
          <w:rFonts w:hint="cs"/>
          <w:rtl/>
        </w:rPr>
        <w:t>_</w:t>
      </w:r>
      <w:r w:rsidR="009A0575" w:rsidRPr="005D5694">
        <w:rPr>
          <w:rFonts w:ascii="Traditional Arabic" w:hAnsi="Traditional Arabic" w:cs="CTraditional Arabic" w:hint="cs"/>
          <w:rtl/>
        </w:rPr>
        <w:t>/</w:t>
      </w:r>
      <w:r w:rsidR="00D0482B">
        <w:rPr>
          <w:rFonts w:hint="cs"/>
          <w:rtl/>
        </w:rPr>
        <w:t>_</w:t>
      </w:r>
      <w:r w:rsidR="00F044B9" w:rsidRPr="00C85F0F">
        <w:rPr>
          <w:rFonts w:hint="cs"/>
          <w:rtl/>
        </w:rPr>
        <w:t xml:space="preserve"> بعدة صيغ، منها:</w:t>
      </w:r>
    </w:p>
    <w:p w:rsidR="00F044B9" w:rsidRPr="00C85F0F" w:rsidRDefault="00F044B9" w:rsidP="000A76C7">
      <w:pPr>
        <w:numPr>
          <w:ilvl w:val="0"/>
          <w:numId w:val="196"/>
        </w:numPr>
      </w:pPr>
      <w:r w:rsidRPr="00C85F0F">
        <w:rPr>
          <w:rFonts w:hint="cs"/>
          <w:rtl/>
        </w:rPr>
        <w:t>ما ترتَّب على المأذون فليس بمضمون</w:t>
      </w:r>
      <w:r w:rsidRPr="00C85F0F">
        <w:rPr>
          <w:rStyle w:val="af1"/>
          <w:szCs w:val="32"/>
          <w:rtl/>
        </w:rPr>
        <w:t>(</w:t>
      </w:r>
      <w:r w:rsidRPr="00C85F0F">
        <w:rPr>
          <w:rStyle w:val="af1"/>
          <w:szCs w:val="32"/>
          <w:rtl/>
        </w:rPr>
        <w:footnoteReference w:id="1451"/>
      </w:r>
      <w:r w:rsidRPr="00C85F0F">
        <w:rPr>
          <w:rStyle w:val="af1"/>
          <w:szCs w:val="32"/>
          <w:rtl/>
        </w:rPr>
        <w:t>)</w:t>
      </w:r>
      <w:r w:rsidRPr="00C85F0F">
        <w:rPr>
          <w:rFonts w:hint="cs"/>
          <w:rtl/>
        </w:rPr>
        <w:t>.</w:t>
      </w:r>
    </w:p>
    <w:p w:rsidR="00F044B9" w:rsidRPr="00C85F0F" w:rsidRDefault="00F044B9" w:rsidP="000A76C7">
      <w:pPr>
        <w:numPr>
          <w:ilvl w:val="0"/>
          <w:numId w:val="196"/>
        </w:numPr>
        <w:rPr>
          <w:color w:val="auto"/>
        </w:rPr>
      </w:pPr>
      <w:r w:rsidRPr="00C85F0F">
        <w:rPr>
          <w:rFonts w:ascii="Traditional Arabic" w:hAnsi="Traditional Arabic"/>
          <w:noProof w:val="0"/>
          <w:color w:val="auto"/>
          <w:rtl/>
          <w:lang w:eastAsia="en-US"/>
        </w:rPr>
        <w:t>ما ترتب على المأذون فليس بمضمون، وما ترتب على غير المأذون فهو مضمون</w:t>
      </w:r>
      <w:r w:rsidRPr="00C85F0F">
        <w:rPr>
          <w:rStyle w:val="af1"/>
          <w:szCs w:val="32"/>
          <w:rtl/>
        </w:rPr>
        <w:t>(</w:t>
      </w:r>
      <w:r w:rsidRPr="00C85F0F">
        <w:rPr>
          <w:rStyle w:val="af1"/>
          <w:szCs w:val="32"/>
          <w:rtl/>
        </w:rPr>
        <w:footnoteReference w:id="1452"/>
      </w:r>
      <w:r w:rsidRPr="00C85F0F">
        <w:rPr>
          <w:rStyle w:val="af1"/>
          <w:szCs w:val="32"/>
          <w:rtl/>
        </w:rPr>
        <w:t>)</w:t>
      </w:r>
      <w:r w:rsidRPr="00C85F0F">
        <w:rPr>
          <w:rFonts w:hint="cs"/>
          <w:color w:val="auto"/>
          <w:rtl/>
        </w:rPr>
        <w:t>.</w:t>
      </w:r>
    </w:p>
    <w:p w:rsidR="00F044B9" w:rsidRPr="00C85F0F" w:rsidRDefault="00F044B9" w:rsidP="000A76C7">
      <w:pPr>
        <w:numPr>
          <w:ilvl w:val="0"/>
          <w:numId w:val="196"/>
        </w:numPr>
        <w:rPr>
          <w:color w:val="auto"/>
        </w:rPr>
      </w:pPr>
      <w:r w:rsidRPr="00C85F0F">
        <w:rPr>
          <w:rFonts w:ascii="Traditional Arabic" w:hAnsi="Traditional Arabic"/>
          <w:noProof w:val="0"/>
          <w:color w:val="auto"/>
          <w:rtl/>
          <w:lang w:eastAsia="en-US"/>
        </w:rPr>
        <w:t>ما ترتب على المأذون فغير مضمون</w:t>
      </w:r>
      <w:r w:rsidRPr="00C85F0F">
        <w:rPr>
          <w:rStyle w:val="af1"/>
          <w:szCs w:val="32"/>
          <w:rtl/>
        </w:rPr>
        <w:t>(</w:t>
      </w:r>
      <w:r w:rsidRPr="00C85F0F">
        <w:rPr>
          <w:rStyle w:val="af1"/>
          <w:szCs w:val="32"/>
          <w:rtl/>
        </w:rPr>
        <w:footnoteReference w:id="1453"/>
      </w:r>
      <w:r w:rsidRPr="00C85F0F">
        <w:rPr>
          <w:rStyle w:val="af1"/>
          <w:szCs w:val="32"/>
          <w:rtl/>
        </w:rPr>
        <w:t>)</w:t>
      </w:r>
      <w:r w:rsidRPr="00C85F0F">
        <w:rPr>
          <w:rFonts w:hint="cs"/>
          <w:color w:val="auto"/>
          <w:rtl/>
        </w:rPr>
        <w:t>.</w:t>
      </w:r>
    </w:p>
    <w:p w:rsidR="00F044B9" w:rsidRPr="00C85F0F" w:rsidRDefault="00F044B9" w:rsidP="000A76C7">
      <w:pPr>
        <w:numPr>
          <w:ilvl w:val="0"/>
          <w:numId w:val="196"/>
        </w:numPr>
        <w:rPr>
          <w:color w:val="auto"/>
        </w:rPr>
      </w:pPr>
      <w:r w:rsidRPr="00C85F0F">
        <w:rPr>
          <w:rFonts w:ascii="Traditional Arabic" w:hAnsi="Traditional Arabic"/>
          <w:noProof w:val="0"/>
          <w:color w:val="auto"/>
          <w:rtl/>
          <w:lang w:eastAsia="en-US"/>
        </w:rPr>
        <w:t xml:space="preserve">ما ترتب على غير </w:t>
      </w:r>
      <w:r w:rsidRPr="00C85F0F">
        <w:rPr>
          <w:rFonts w:ascii="Traditional Arabic" w:hAnsi="Traditional Arabic" w:hint="cs"/>
          <w:noProof w:val="0"/>
          <w:color w:val="auto"/>
          <w:rtl/>
          <w:lang w:eastAsia="en-US"/>
        </w:rPr>
        <w:t>ال</w:t>
      </w:r>
      <w:r w:rsidRPr="00C85F0F">
        <w:rPr>
          <w:rFonts w:ascii="Traditional Arabic" w:hAnsi="Traditional Arabic"/>
          <w:noProof w:val="0"/>
          <w:color w:val="auto"/>
          <w:rtl/>
          <w:lang w:eastAsia="en-US"/>
        </w:rPr>
        <w:t>مأذون فهو مضمون</w:t>
      </w:r>
      <w:r w:rsidRPr="00C85F0F">
        <w:rPr>
          <w:rStyle w:val="af1"/>
          <w:szCs w:val="32"/>
          <w:rtl/>
        </w:rPr>
        <w:t>(</w:t>
      </w:r>
      <w:r w:rsidRPr="00C85F0F">
        <w:rPr>
          <w:rStyle w:val="af1"/>
          <w:szCs w:val="32"/>
          <w:rtl/>
        </w:rPr>
        <w:footnoteReference w:id="1454"/>
      </w:r>
      <w:r w:rsidRPr="00C85F0F">
        <w:rPr>
          <w:rStyle w:val="af1"/>
          <w:szCs w:val="32"/>
          <w:rtl/>
        </w:rPr>
        <w:t>)</w:t>
      </w:r>
      <w:r w:rsidRPr="00C85F0F">
        <w:rPr>
          <w:rFonts w:ascii="Traditional Arabic" w:hAnsi="Traditional Arabic"/>
          <w:noProof w:val="0"/>
          <w:color w:val="auto"/>
          <w:rtl/>
          <w:lang w:eastAsia="en-US"/>
        </w:rPr>
        <w:t>.</w:t>
      </w:r>
    </w:p>
    <w:p w:rsidR="00065E4B" w:rsidRPr="00C85F0F" w:rsidRDefault="00F044B9" w:rsidP="000A76C7">
      <w:pPr>
        <w:numPr>
          <w:ilvl w:val="0"/>
          <w:numId w:val="196"/>
        </w:numPr>
        <w:rPr>
          <w:color w:val="auto"/>
        </w:rPr>
      </w:pPr>
      <w:r w:rsidRPr="00C85F0F">
        <w:rPr>
          <w:rFonts w:ascii="Traditional Arabic" w:hAnsi="Traditional Arabic" w:hint="cs"/>
          <w:noProof w:val="0"/>
          <w:color w:val="auto"/>
          <w:rtl/>
          <w:lang w:eastAsia="en-US"/>
        </w:rPr>
        <w:t>وكلُّ ما يحصُل مما قد أُذِن</w:t>
      </w:r>
      <w:r w:rsidR="00D0482B">
        <w:rPr>
          <w:rFonts w:hint="cs"/>
          <w:color w:val="auto"/>
          <w:rtl/>
        </w:rPr>
        <w:t xml:space="preserve">      </w:t>
      </w:r>
      <w:r w:rsidRPr="00C85F0F">
        <w:rPr>
          <w:rFonts w:hint="cs"/>
          <w:color w:val="auto"/>
          <w:rtl/>
        </w:rPr>
        <w:t>فليس مضموناً وعكسُه ضُمِنْ</w:t>
      </w:r>
      <w:r w:rsidRPr="00C85F0F">
        <w:rPr>
          <w:rStyle w:val="af1"/>
          <w:szCs w:val="32"/>
          <w:rtl/>
        </w:rPr>
        <w:t>(</w:t>
      </w:r>
      <w:r w:rsidRPr="00C85F0F">
        <w:rPr>
          <w:rStyle w:val="af1"/>
          <w:szCs w:val="32"/>
          <w:rtl/>
        </w:rPr>
        <w:footnoteReference w:id="1455"/>
      </w:r>
      <w:r w:rsidRPr="00C85F0F">
        <w:rPr>
          <w:rStyle w:val="af1"/>
          <w:szCs w:val="32"/>
          <w:rtl/>
        </w:rPr>
        <w:t>)</w:t>
      </w:r>
      <w:r w:rsidRPr="00C85F0F">
        <w:rPr>
          <w:rFonts w:hint="cs"/>
          <w:color w:val="auto"/>
          <w:rtl/>
        </w:rPr>
        <w:t>.</w:t>
      </w:r>
    </w:p>
    <w:p w:rsidR="00F044B9" w:rsidRPr="00C85F0F" w:rsidRDefault="00065E4B" w:rsidP="00597C20">
      <w:pPr>
        <w:ind w:firstLine="0"/>
        <w:rPr>
          <w:color w:val="auto"/>
          <w:rtl/>
        </w:rPr>
      </w:pPr>
      <w:r w:rsidRPr="00C85F0F">
        <w:rPr>
          <w:rFonts w:hint="cs"/>
          <w:color w:val="auto"/>
          <w:rtl/>
        </w:rPr>
        <w:t>و</w:t>
      </w:r>
      <w:r w:rsidR="00F044B9" w:rsidRPr="00C85F0F">
        <w:rPr>
          <w:rFonts w:hint="cs"/>
          <w:color w:val="auto"/>
          <w:rtl/>
        </w:rPr>
        <w:t xml:space="preserve">وردت </w:t>
      </w:r>
      <w:r w:rsidR="00D0482B">
        <w:rPr>
          <w:rFonts w:hint="cs"/>
          <w:color w:val="auto"/>
          <w:rtl/>
        </w:rPr>
        <w:t>هذه القاعدة عند علماء القواعد بعدة صيغ، منها</w:t>
      </w:r>
      <w:r w:rsidR="00F044B9" w:rsidRPr="00C85F0F">
        <w:rPr>
          <w:rFonts w:hint="cs"/>
          <w:color w:val="auto"/>
          <w:rtl/>
        </w:rPr>
        <w:t>:</w:t>
      </w:r>
    </w:p>
    <w:p w:rsidR="00F044B9" w:rsidRPr="00C85F0F" w:rsidRDefault="00F044B9" w:rsidP="000A76C7">
      <w:pPr>
        <w:pStyle w:val="afc"/>
        <w:numPr>
          <w:ilvl w:val="0"/>
          <w:numId w:val="198"/>
        </w:numPr>
        <w:rPr>
          <w:color w:val="auto"/>
          <w:rtl/>
        </w:rPr>
      </w:pPr>
      <w:r w:rsidRPr="00C85F0F">
        <w:rPr>
          <w:rFonts w:hint="cs"/>
          <w:color w:val="auto"/>
          <w:rtl/>
        </w:rPr>
        <w:t>ما تولَّد من مأذون فيه لم يُضْمن</w:t>
      </w:r>
      <w:r w:rsidRPr="00C85F0F">
        <w:rPr>
          <w:rStyle w:val="af1"/>
          <w:szCs w:val="32"/>
          <w:rtl/>
        </w:rPr>
        <w:t>(</w:t>
      </w:r>
      <w:r w:rsidRPr="00C85F0F">
        <w:rPr>
          <w:rStyle w:val="af1"/>
          <w:szCs w:val="32"/>
          <w:rtl/>
        </w:rPr>
        <w:footnoteReference w:id="1456"/>
      </w:r>
      <w:r w:rsidRPr="00C85F0F">
        <w:rPr>
          <w:rStyle w:val="af1"/>
          <w:szCs w:val="32"/>
          <w:rtl/>
        </w:rPr>
        <w:t>)</w:t>
      </w:r>
      <w:r w:rsidRPr="00C85F0F">
        <w:rPr>
          <w:rFonts w:hint="cs"/>
          <w:color w:val="auto"/>
          <w:rtl/>
        </w:rPr>
        <w:t>.</w:t>
      </w:r>
    </w:p>
    <w:p w:rsidR="00F044B9" w:rsidRPr="00C85F0F" w:rsidRDefault="00F044B9" w:rsidP="000A76C7">
      <w:pPr>
        <w:numPr>
          <w:ilvl w:val="0"/>
          <w:numId w:val="197"/>
        </w:numPr>
        <w:rPr>
          <w:color w:val="auto"/>
        </w:rPr>
      </w:pPr>
      <w:r w:rsidRPr="00C85F0F">
        <w:rPr>
          <w:rFonts w:hint="cs"/>
          <w:color w:val="auto"/>
          <w:rtl/>
        </w:rPr>
        <w:t>المتولِّد من مأذونٍ فيه لا أثَرَ له، بخلاف المتولد من منهيٍّ عنه</w:t>
      </w:r>
      <w:r w:rsidRPr="00C85F0F">
        <w:rPr>
          <w:rStyle w:val="af1"/>
          <w:szCs w:val="32"/>
          <w:rtl/>
        </w:rPr>
        <w:t>(</w:t>
      </w:r>
      <w:r w:rsidRPr="00C85F0F">
        <w:rPr>
          <w:rStyle w:val="af1"/>
          <w:szCs w:val="32"/>
          <w:rtl/>
        </w:rPr>
        <w:footnoteReference w:id="1457"/>
      </w:r>
      <w:r w:rsidRPr="00C85F0F">
        <w:rPr>
          <w:rStyle w:val="af1"/>
          <w:szCs w:val="32"/>
          <w:rtl/>
        </w:rPr>
        <w:t>)</w:t>
      </w:r>
      <w:r w:rsidRPr="00C85F0F">
        <w:rPr>
          <w:rFonts w:hint="cs"/>
          <w:color w:val="auto"/>
          <w:rtl/>
        </w:rPr>
        <w:t>.</w:t>
      </w:r>
    </w:p>
    <w:p w:rsidR="00F044B9" w:rsidRPr="00C85F0F" w:rsidRDefault="00F044B9" w:rsidP="000A76C7">
      <w:pPr>
        <w:numPr>
          <w:ilvl w:val="0"/>
          <w:numId w:val="197"/>
        </w:numPr>
        <w:rPr>
          <w:color w:val="auto"/>
        </w:rPr>
      </w:pPr>
      <w:r w:rsidRPr="00C85F0F">
        <w:rPr>
          <w:rFonts w:ascii="Traditional Arabic" w:hAnsi="Traditional Arabic"/>
          <w:noProof w:val="0"/>
          <w:rtl/>
          <w:lang w:eastAsia="en-US"/>
        </w:rPr>
        <w:lastRenderedPageBreak/>
        <w:t>الرضا بالشيء رضا بما يتول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منه</w:t>
      </w:r>
      <w:r w:rsidRPr="00C85F0F">
        <w:rPr>
          <w:rStyle w:val="af1"/>
          <w:szCs w:val="32"/>
          <w:rtl/>
        </w:rPr>
        <w:t>(</w:t>
      </w:r>
      <w:r w:rsidRPr="00C85F0F">
        <w:rPr>
          <w:rStyle w:val="af1"/>
          <w:szCs w:val="32"/>
          <w:rtl/>
        </w:rPr>
        <w:footnoteReference w:id="1458"/>
      </w:r>
      <w:r w:rsidRPr="00C85F0F">
        <w:rPr>
          <w:rStyle w:val="af1"/>
          <w:szCs w:val="32"/>
          <w:rtl/>
        </w:rPr>
        <w:t>)</w:t>
      </w:r>
      <w:r w:rsidRPr="00C85F0F">
        <w:rPr>
          <w:rFonts w:hint="cs"/>
          <w:color w:val="auto"/>
          <w:rtl/>
        </w:rPr>
        <w:t>.</w:t>
      </w:r>
    </w:p>
    <w:p w:rsidR="00F044B9" w:rsidRPr="00C85F0F" w:rsidRDefault="00F044B9" w:rsidP="000A76C7">
      <w:pPr>
        <w:numPr>
          <w:ilvl w:val="0"/>
          <w:numId w:val="197"/>
        </w:numPr>
        <w:rPr>
          <w:color w:val="auto"/>
        </w:rPr>
      </w:pPr>
      <w:r w:rsidRPr="00C85F0F">
        <w:rPr>
          <w:rFonts w:ascii="Traditional Arabic" w:hAnsi="Traditional Arabic"/>
          <w:noProof w:val="0"/>
          <w:color w:val="auto"/>
          <w:rtl/>
          <w:lang w:eastAsia="en-US"/>
        </w:rPr>
        <w:t>المتولد من مأذون فيه لا أثر له</w:t>
      </w:r>
      <w:r w:rsidRPr="00C85F0F">
        <w:rPr>
          <w:rStyle w:val="af1"/>
          <w:szCs w:val="32"/>
          <w:rtl/>
        </w:rPr>
        <w:t>(</w:t>
      </w:r>
      <w:r w:rsidRPr="00C85F0F">
        <w:rPr>
          <w:rStyle w:val="af1"/>
          <w:szCs w:val="32"/>
          <w:rtl/>
        </w:rPr>
        <w:footnoteReference w:id="1459"/>
      </w:r>
      <w:r w:rsidRPr="00C85F0F">
        <w:rPr>
          <w:rStyle w:val="af1"/>
          <w:szCs w:val="32"/>
          <w:rtl/>
        </w:rPr>
        <w:t>)</w:t>
      </w:r>
      <w:r w:rsidRPr="00C85F0F">
        <w:rPr>
          <w:rFonts w:hint="cs"/>
          <w:color w:val="auto"/>
          <w:rtl/>
        </w:rPr>
        <w:t>.</w:t>
      </w:r>
    </w:p>
    <w:p w:rsidR="00F228A9" w:rsidRPr="00C85F0F" w:rsidRDefault="00F044B9" w:rsidP="000A76C7">
      <w:pPr>
        <w:numPr>
          <w:ilvl w:val="0"/>
          <w:numId w:val="197"/>
        </w:numPr>
        <w:rPr>
          <w:color w:val="auto"/>
        </w:rPr>
      </w:pPr>
      <w:r w:rsidRPr="00C85F0F">
        <w:rPr>
          <w:rFonts w:hint="cs"/>
          <w:color w:val="auto"/>
          <w:rtl/>
        </w:rPr>
        <w:t>ما ترتب على المأذون فهو غير مضمون، والعكس بالعكس</w:t>
      </w:r>
      <w:r w:rsidRPr="00C85F0F">
        <w:rPr>
          <w:rStyle w:val="af1"/>
          <w:szCs w:val="32"/>
          <w:rtl/>
        </w:rPr>
        <w:t>(</w:t>
      </w:r>
      <w:r w:rsidRPr="00C85F0F">
        <w:rPr>
          <w:rStyle w:val="af1"/>
          <w:szCs w:val="32"/>
          <w:rtl/>
        </w:rPr>
        <w:footnoteReference w:id="1460"/>
      </w:r>
      <w:r w:rsidRPr="00C85F0F">
        <w:rPr>
          <w:rStyle w:val="af1"/>
          <w:szCs w:val="32"/>
          <w:rtl/>
        </w:rPr>
        <w:t>)</w:t>
      </w:r>
      <w:r w:rsidRPr="00C85F0F">
        <w:rPr>
          <w:rFonts w:hint="cs"/>
          <w:color w:val="auto"/>
          <w:rtl/>
        </w:rPr>
        <w:t>.</w:t>
      </w:r>
    </w:p>
    <w:p w:rsidR="00F228A9" w:rsidRPr="00C85F0F" w:rsidRDefault="00F228A9" w:rsidP="000A76C7">
      <w:pPr>
        <w:numPr>
          <w:ilvl w:val="0"/>
          <w:numId w:val="197"/>
        </w:numPr>
        <w:rPr>
          <w:color w:val="auto"/>
          <w:rtl/>
        </w:rPr>
      </w:pPr>
      <w:r w:rsidRPr="00C85F0F">
        <w:rPr>
          <w:rFonts w:hint="cs"/>
          <w:color w:val="auto"/>
          <w:rtl/>
        </w:rPr>
        <w:t xml:space="preserve">وكلُّما نشأ عن المأذون </w:t>
      </w:r>
      <w:r w:rsidR="00D0482B">
        <w:rPr>
          <w:rFonts w:hint="cs"/>
          <w:color w:val="auto"/>
          <w:rtl/>
        </w:rPr>
        <w:t xml:space="preserve">       </w:t>
      </w:r>
      <w:r w:rsidRPr="00C85F0F">
        <w:rPr>
          <w:rFonts w:hint="cs"/>
          <w:color w:val="auto"/>
          <w:rtl/>
        </w:rPr>
        <w:t>فذاك أمرٌ ليس بالمضمون</w:t>
      </w:r>
      <w:r w:rsidRPr="00C85F0F">
        <w:rPr>
          <w:rStyle w:val="af1"/>
          <w:szCs w:val="32"/>
          <w:rtl/>
        </w:rPr>
        <w:t>(</w:t>
      </w:r>
      <w:r w:rsidRPr="00C85F0F">
        <w:rPr>
          <w:rStyle w:val="af1"/>
          <w:szCs w:val="32"/>
          <w:rtl/>
        </w:rPr>
        <w:footnoteReference w:id="1461"/>
      </w:r>
      <w:r w:rsidRPr="00C85F0F">
        <w:rPr>
          <w:rStyle w:val="af1"/>
          <w:szCs w:val="32"/>
          <w:rtl/>
        </w:rPr>
        <w:t>)</w:t>
      </w:r>
      <w:r w:rsidRPr="00C85F0F">
        <w:rPr>
          <w:rFonts w:hint="cs"/>
          <w:color w:val="auto"/>
          <w:rtl/>
        </w:rPr>
        <w:t>.</w:t>
      </w:r>
    </w:p>
    <w:p w:rsidR="00F044B9" w:rsidRPr="00C85F0F" w:rsidRDefault="00F044B9" w:rsidP="000A76C7">
      <w:pPr>
        <w:numPr>
          <w:ilvl w:val="0"/>
          <w:numId w:val="197"/>
        </w:numPr>
        <w:rPr>
          <w:color w:val="auto"/>
        </w:rPr>
      </w:pPr>
      <w:r w:rsidRPr="00C85F0F">
        <w:rPr>
          <w:rFonts w:hint="cs"/>
          <w:color w:val="auto"/>
          <w:rtl/>
        </w:rPr>
        <w:t>الجواز الشرعي يُنافي الضمان</w:t>
      </w:r>
      <w:r w:rsidRPr="00C85F0F">
        <w:rPr>
          <w:rStyle w:val="af1"/>
          <w:szCs w:val="32"/>
          <w:rtl/>
        </w:rPr>
        <w:t>(</w:t>
      </w:r>
      <w:r w:rsidRPr="00C85F0F">
        <w:rPr>
          <w:rStyle w:val="af1"/>
          <w:szCs w:val="32"/>
          <w:rtl/>
        </w:rPr>
        <w:footnoteReference w:id="1462"/>
      </w:r>
      <w:r w:rsidRPr="00C85F0F">
        <w:rPr>
          <w:rStyle w:val="af1"/>
          <w:szCs w:val="32"/>
          <w:rtl/>
        </w:rPr>
        <w:t>)</w:t>
      </w:r>
      <w:r w:rsidRPr="00C85F0F">
        <w:rPr>
          <w:rFonts w:hint="cs"/>
          <w:color w:val="auto"/>
          <w:rtl/>
        </w:rPr>
        <w:t>.</w:t>
      </w:r>
    </w:p>
    <w:p w:rsidR="00065E4B" w:rsidRPr="00C85F0F" w:rsidRDefault="00D129F0" w:rsidP="00A8347C">
      <w:pPr>
        <w:pStyle w:val="aff3"/>
        <w:rPr>
          <w:rtl/>
        </w:rPr>
      </w:pPr>
      <w:bookmarkStart w:id="290" w:name="_Toc334046506"/>
      <w:r>
        <w:rPr>
          <w:rFonts w:hint="cs"/>
          <w:rtl/>
        </w:rPr>
        <w:t xml:space="preserve">                                      المطلب</w:t>
      </w:r>
      <w:r w:rsidR="00D0482B">
        <w:rPr>
          <w:rFonts w:hint="cs"/>
          <w:rtl/>
        </w:rPr>
        <w:t xml:space="preserve"> </w:t>
      </w:r>
      <w:r w:rsidR="00F044B9" w:rsidRPr="00C85F0F">
        <w:rPr>
          <w:rFonts w:hint="cs"/>
          <w:rtl/>
        </w:rPr>
        <w:t>الثاني</w:t>
      </w:r>
      <w:r w:rsidR="00F044B9" w:rsidRPr="00C85F0F">
        <w:rPr>
          <w:rFonts w:hint="eastAsia"/>
          <w:rtl/>
        </w:rPr>
        <w:t> :</w:t>
      </w:r>
      <w:r w:rsidR="00F044B9" w:rsidRPr="00C85F0F">
        <w:rPr>
          <w:rFonts w:hint="cs"/>
          <w:rtl/>
        </w:rPr>
        <w:br/>
      </w:r>
      <w:r>
        <w:rPr>
          <w:rFonts w:hint="cs"/>
          <w:rtl/>
        </w:rPr>
        <w:t xml:space="preserve">                                       </w:t>
      </w:r>
      <w:r w:rsidR="00F044B9" w:rsidRPr="00C85F0F">
        <w:rPr>
          <w:rFonts w:hint="cs"/>
          <w:rtl/>
        </w:rPr>
        <w:t>شرح القاعدة</w:t>
      </w:r>
      <w:bookmarkEnd w:id="290"/>
    </w:p>
    <w:p w:rsidR="00065E4B" w:rsidRPr="00C85F0F" w:rsidRDefault="00065E4B" w:rsidP="00597C20">
      <w:pPr>
        <w:pStyle w:val="53"/>
        <w:rPr>
          <w:rtl/>
        </w:rPr>
      </w:pPr>
      <w:r w:rsidRPr="00531753">
        <w:rPr>
          <w:rFonts w:hint="cs"/>
          <w:rtl/>
        </w:rPr>
        <w:t>م</w:t>
      </w:r>
      <w:r w:rsidR="00F044B9" w:rsidRPr="00531753">
        <w:rPr>
          <w:rFonts w:hint="cs"/>
          <w:rtl/>
        </w:rPr>
        <w:t>عنى</w:t>
      </w:r>
      <w:r w:rsidR="00F044B9" w:rsidRPr="00C85F0F">
        <w:rPr>
          <w:rFonts w:hint="cs"/>
          <w:rtl/>
        </w:rPr>
        <w:t xml:space="preserve"> القاعدة إجمالا:</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hint="cs"/>
          <w:color w:val="auto"/>
          <w:rtl/>
        </w:rPr>
        <w:t>ه</w:t>
      </w:r>
      <w:r w:rsidR="00F044B9" w:rsidRPr="00C85F0F">
        <w:rPr>
          <w:rFonts w:hint="cs"/>
          <w:color w:val="auto"/>
          <w:rtl/>
        </w:rPr>
        <w:t>ذه القاعدة من أحسن قواعد الفقه</w:t>
      </w:r>
      <w:r w:rsidR="00F044B9" w:rsidRPr="00C85F0F">
        <w:rPr>
          <w:rStyle w:val="af1"/>
          <w:szCs w:val="32"/>
          <w:rtl/>
        </w:rPr>
        <w:t>(</w:t>
      </w:r>
      <w:r w:rsidR="00F044B9" w:rsidRPr="00C85F0F">
        <w:rPr>
          <w:rStyle w:val="af1"/>
          <w:szCs w:val="32"/>
          <w:rtl/>
        </w:rPr>
        <w:footnoteReference w:id="1463"/>
      </w:r>
      <w:r w:rsidR="00F044B9" w:rsidRPr="00C85F0F">
        <w:rPr>
          <w:rStyle w:val="af1"/>
          <w:szCs w:val="32"/>
          <w:rtl/>
        </w:rPr>
        <w:t>)</w:t>
      </w:r>
      <w:r w:rsidR="00F044B9" w:rsidRPr="00C85F0F">
        <w:rPr>
          <w:rFonts w:hint="cs"/>
          <w:color w:val="auto"/>
          <w:rtl/>
        </w:rPr>
        <w:t>، وهي قاعدة عظيمة نافعة</w:t>
      </w:r>
      <w:r w:rsidR="00F044B9" w:rsidRPr="00C85F0F">
        <w:rPr>
          <w:rStyle w:val="af1"/>
          <w:szCs w:val="32"/>
          <w:rtl/>
        </w:rPr>
        <w:t>(</w:t>
      </w:r>
      <w:r w:rsidR="00F044B9" w:rsidRPr="00C85F0F">
        <w:rPr>
          <w:rStyle w:val="af1"/>
          <w:szCs w:val="32"/>
          <w:rtl/>
        </w:rPr>
        <w:footnoteReference w:id="1464"/>
      </w:r>
      <w:r w:rsidR="00F044B9" w:rsidRPr="00C85F0F">
        <w:rPr>
          <w:rStyle w:val="af1"/>
          <w:szCs w:val="32"/>
          <w:rtl/>
        </w:rPr>
        <w:t>)</w:t>
      </w:r>
      <w:r w:rsidR="00F044B9" w:rsidRPr="00C85F0F">
        <w:rPr>
          <w:rFonts w:hint="cs"/>
          <w:color w:val="auto"/>
          <w:rtl/>
        </w:rPr>
        <w:t xml:space="preserve"> تفيد أن كل ما حصل من المأذون فليس بمضمون سواءٌ أُذِن به شرعاً أو أُذن به من المالك</w:t>
      </w:r>
      <w:r w:rsidR="00F044B9" w:rsidRPr="00C85F0F">
        <w:rPr>
          <w:rStyle w:val="af1"/>
          <w:szCs w:val="32"/>
          <w:rtl/>
        </w:rPr>
        <w:t>(</w:t>
      </w:r>
      <w:r w:rsidR="00F044B9" w:rsidRPr="00C85F0F">
        <w:rPr>
          <w:rStyle w:val="af1"/>
          <w:szCs w:val="32"/>
          <w:rtl/>
        </w:rPr>
        <w:footnoteReference w:id="1465"/>
      </w:r>
      <w:r w:rsidR="00F044B9" w:rsidRPr="00C85F0F">
        <w:rPr>
          <w:rStyle w:val="af1"/>
          <w:szCs w:val="32"/>
          <w:rtl/>
        </w:rPr>
        <w:t>)</w:t>
      </w:r>
      <w:r w:rsidR="00F044B9" w:rsidRPr="00C85F0F">
        <w:rPr>
          <w:rFonts w:hint="cs"/>
          <w:color w:val="auto"/>
          <w:rtl/>
        </w:rPr>
        <w:t xml:space="preserve">، </w:t>
      </w:r>
      <w:r w:rsidR="00F044B9" w:rsidRPr="00C85F0F">
        <w:rPr>
          <w:rFonts w:ascii="Traditional Arabic" w:hAnsi="Traditional Arabic" w:hint="cs"/>
          <w:noProof w:val="0"/>
          <w:rtl/>
          <w:lang w:eastAsia="en-US"/>
        </w:rPr>
        <w:t>و</w:t>
      </w:r>
      <w:r w:rsidR="00F044B9" w:rsidRPr="00C85F0F">
        <w:rPr>
          <w:rFonts w:ascii="Traditional Arabic" w:hAnsi="Traditional Arabic"/>
          <w:noProof w:val="0"/>
          <w:rtl/>
          <w:lang w:eastAsia="en-US"/>
        </w:rPr>
        <w:t xml:space="preserve">كل </w:t>
      </w:r>
      <w:r w:rsidR="00F044B9" w:rsidRPr="00C85F0F">
        <w:rPr>
          <w:rFonts w:ascii="Traditional Arabic" w:hAnsi="Traditional Arabic" w:hint="cs"/>
          <w:noProof w:val="0"/>
          <w:rtl/>
          <w:lang w:eastAsia="en-US"/>
        </w:rPr>
        <w:t>ما</w:t>
      </w:r>
      <w:r w:rsidR="00F044B9" w:rsidRPr="00C85F0F">
        <w:rPr>
          <w:rFonts w:ascii="Traditional Arabic" w:hAnsi="Traditional Arabic"/>
          <w:noProof w:val="0"/>
          <w:rtl/>
          <w:lang w:eastAsia="en-US"/>
        </w:rPr>
        <w:t xml:space="preserve"> ترت</w:t>
      </w:r>
      <w:r w:rsidR="00F044B9" w:rsidRPr="00C85F0F">
        <w:rPr>
          <w:rFonts w:ascii="Traditional Arabic" w:hAnsi="Traditional Arabic" w:hint="cs"/>
          <w:noProof w:val="0"/>
          <w:rtl/>
          <w:lang w:eastAsia="en-US"/>
        </w:rPr>
        <w:t>َّ</w:t>
      </w:r>
      <w:r w:rsidR="00F044B9" w:rsidRPr="00C85F0F">
        <w:rPr>
          <w:rFonts w:ascii="Traditional Arabic" w:hAnsi="Traditional Arabic"/>
          <w:noProof w:val="0"/>
          <w:rtl/>
          <w:lang w:eastAsia="en-US"/>
        </w:rPr>
        <w:t>ب على شيء لم يؤذ</w:t>
      </w:r>
      <w:r w:rsidR="00F044B9" w:rsidRPr="00C85F0F">
        <w:rPr>
          <w:rFonts w:ascii="Traditional Arabic" w:hAnsi="Traditional Arabic" w:hint="cs"/>
          <w:noProof w:val="0"/>
          <w:rtl/>
          <w:lang w:eastAsia="en-US"/>
        </w:rPr>
        <w:t>َ</w:t>
      </w:r>
      <w:r w:rsidR="00F044B9" w:rsidRPr="00C85F0F">
        <w:rPr>
          <w:rFonts w:ascii="Traditional Arabic" w:hAnsi="Traditional Arabic"/>
          <w:noProof w:val="0"/>
          <w:rtl/>
          <w:lang w:eastAsia="en-US"/>
        </w:rPr>
        <w:t>ن فيه، لا شرعا</w:t>
      </w:r>
      <w:r w:rsidR="00F044B9" w:rsidRPr="00C85F0F">
        <w:rPr>
          <w:rFonts w:ascii="Traditional Arabic" w:hAnsi="Traditional Arabic" w:hint="cs"/>
          <w:noProof w:val="0"/>
          <w:rtl/>
          <w:lang w:eastAsia="en-US"/>
        </w:rPr>
        <w:t>ً</w:t>
      </w:r>
      <w:r w:rsidR="00F044B9" w:rsidRPr="00C85F0F">
        <w:rPr>
          <w:rFonts w:ascii="Traditional Arabic" w:hAnsi="Traditional Arabic"/>
          <w:noProof w:val="0"/>
          <w:rtl/>
          <w:lang w:eastAsia="en-US"/>
        </w:rPr>
        <w:t xml:space="preserve"> ولا ع</w:t>
      </w:r>
      <w:r w:rsidR="00F044B9" w:rsidRPr="00C85F0F">
        <w:rPr>
          <w:rFonts w:ascii="Traditional Arabic" w:hAnsi="Traditional Arabic" w:hint="cs"/>
          <w:noProof w:val="0"/>
          <w:rtl/>
          <w:lang w:eastAsia="en-US"/>
        </w:rPr>
        <w:t>ُ</w:t>
      </w:r>
      <w:r w:rsidR="00F044B9" w:rsidRPr="00C85F0F">
        <w:rPr>
          <w:rFonts w:ascii="Traditional Arabic" w:hAnsi="Traditional Arabic"/>
          <w:noProof w:val="0"/>
          <w:rtl/>
          <w:lang w:eastAsia="en-US"/>
        </w:rPr>
        <w:t>رفا</w:t>
      </w:r>
      <w:r w:rsidR="00F044B9" w:rsidRPr="00C85F0F">
        <w:rPr>
          <w:rFonts w:ascii="Traditional Arabic" w:hAnsi="Traditional Arabic" w:hint="cs"/>
          <w:noProof w:val="0"/>
          <w:rtl/>
          <w:lang w:eastAsia="en-US"/>
        </w:rPr>
        <w:t>ً</w:t>
      </w:r>
      <w:r w:rsidR="00F044B9" w:rsidRPr="00C85F0F">
        <w:rPr>
          <w:rFonts w:ascii="Traditional Arabic" w:hAnsi="Traditional Arabic"/>
          <w:noProof w:val="0"/>
          <w:rtl/>
          <w:lang w:eastAsia="en-US"/>
        </w:rPr>
        <w:t>، فإنه يكون مضمونا</w:t>
      </w:r>
      <w:r w:rsidR="00F044B9" w:rsidRPr="00C85F0F">
        <w:rPr>
          <w:rFonts w:ascii="Traditional Arabic" w:hAnsi="Traditional Arabic" w:hint="cs"/>
          <w:noProof w:val="0"/>
          <w:rtl/>
          <w:lang w:eastAsia="en-US"/>
        </w:rPr>
        <w:t xml:space="preserve">ً </w:t>
      </w:r>
      <w:r w:rsidR="00F044B9" w:rsidRPr="00C85F0F">
        <w:rPr>
          <w:rFonts w:ascii="Traditional Arabic" w:hAnsi="Traditional Arabic"/>
          <w:noProof w:val="0"/>
          <w:rtl/>
          <w:lang w:eastAsia="en-US"/>
        </w:rPr>
        <w:t>على صاحبه</w:t>
      </w:r>
      <w:r w:rsidR="00F044B9" w:rsidRPr="00C85F0F">
        <w:rPr>
          <w:rStyle w:val="af1"/>
          <w:szCs w:val="32"/>
          <w:rtl/>
        </w:rPr>
        <w:t>(</w:t>
      </w:r>
      <w:r w:rsidR="00F044B9" w:rsidRPr="00C85F0F">
        <w:rPr>
          <w:rStyle w:val="af1"/>
          <w:szCs w:val="32"/>
          <w:rtl/>
        </w:rPr>
        <w:footnoteReference w:id="1466"/>
      </w:r>
      <w:r w:rsidR="00F044B9" w:rsidRPr="00C85F0F">
        <w:rPr>
          <w:rStyle w:val="af1"/>
          <w:szCs w:val="32"/>
          <w:rtl/>
        </w:rPr>
        <w:t>)</w:t>
      </w:r>
      <w:r w:rsidR="00F044B9"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F044B9" w:rsidRPr="00C85F0F">
        <w:rPr>
          <w:rFonts w:ascii="Traditional Arabic" w:hAnsi="Traditional Arabic" w:hint="cs"/>
          <w:noProof w:val="0"/>
          <w:color w:val="auto"/>
          <w:rtl/>
          <w:lang w:eastAsia="en-US"/>
        </w:rPr>
        <w:t>هذه القاعدة لها أربع صور:</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w:t>
      </w:r>
      <w:r w:rsidR="00F044B9" w:rsidRPr="00C85F0F">
        <w:rPr>
          <w:rFonts w:ascii="Traditional Arabic" w:hAnsi="Traditional Arabic" w:hint="cs"/>
          <w:noProof w:val="0"/>
          <w:color w:val="auto"/>
          <w:rtl/>
          <w:lang w:eastAsia="en-US"/>
        </w:rPr>
        <w:t>لأولى: ما أَذِن فيه الشارع والمالك، كقَطْع عضوٍ قصاصاً من مملوكٍ أَذِن سيِّدُه بالقصاص منه، فهذا لاضمان فيه.</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lastRenderedPageBreak/>
        <w:t>ا</w:t>
      </w:r>
      <w:r w:rsidR="00F044B9" w:rsidRPr="00C85F0F">
        <w:rPr>
          <w:rFonts w:ascii="Traditional Arabic" w:hAnsi="Traditional Arabic" w:hint="cs"/>
          <w:noProof w:val="0"/>
          <w:color w:val="auto"/>
          <w:rtl/>
          <w:lang w:eastAsia="en-US"/>
        </w:rPr>
        <w:t>لثانية: ما لم يأذَن به الشارع ولا المالك، كقتل المحرم صيداً مملوكاً بلا إذْنِ مالكٍ، ففيه الإثم والضمان، فيضمن المحرم لمالك الصيد بالمثل أو بالقيمة إذا تعذَّر المثل، ويضمن جزاء الصيد في حق الله تعالى.</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w:t>
      </w:r>
      <w:r w:rsidR="00F044B9" w:rsidRPr="00C85F0F">
        <w:rPr>
          <w:rFonts w:ascii="Traditional Arabic" w:hAnsi="Traditional Arabic" w:hint="cs"/>
          <w:noProof w:val="0"/>
          <w:color w:val="auto"/>
          <w:rtl/>
          <w:lang w:eastAsia="en-US"/>
        </w:rPr>
        <w:t>لثالثة: ما أذن فيه الشارع دون المالك، كإتلاف آلات اللهو، فهذا لا ضمان فيه ولا إثم؛ لأن إذْنَ مالكه غير معتبَر لتحريم إبقائه عليه.</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w:t>
      </w:r>
      <w:r w:rsidR="00F044B9" w:rsidRPr="00C85F0F">
        <w:rPr>
          <w:rFonts w:ascii="Traditional Arabic" w:hAnsi="Traditional Arabic" w:hint="cs"/>
          <w:noProof w:val="0"/>
          <w:color w:val="auto"/>
          <w:rtl/>
          <w:lang w:eastAsia="en-US"/>
        </w:rPr>
        <w:t>لرابعة: ما أذن فيه المالك دون الشارع، مثل أن يأذن لشخصٍ بقتل نفسه، أو قطع عضوٍ منه، أو إحراق ماله، فالإذن هنا غير معتبَر، ولا يباح للمأذون له الإقدام على ما أذن له فيه المالك، فإن فعل ذلك فلا ضمان عليه للآذِن، لكن عليه الضمان لحقِّ الله، فيضمن ما يلزمه بهذه الجناية ويُصرَف إلى بيت المال.</w:t>
      </w:r>
    </w:p>
    <w:p w:rsidR="00F228A9"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ل</w:t>
      </w:r>
      <w:r w:rsidR="00F044B9" w:rsidRPr="00C85F0F">
        <w:rPr>
          <w:rFonts w:ascii="Traditional Arabic" w:hAnsi="Traditional Arabic" w:hint="cs"/>
          <w:noProof w:val="0"/>
          <w:color w:val="auto"/>
          <w:rtl/>
          <w:lang w:eastAsia="en-US"/>
        </w:rPr>
        <w:t>كن إذا أراد  أن يقتصَّ منه فيما يوجِب القصاصَ فله ذلك-فيما يظهر-إلا أن يكون الجاني جاهلا غَريراً</w:t>
      </w:r>
      <w:r w:rsidR="00F044B9" w:rsidRPr="00C85F0F">
        <w:rPr>
          <w:rStyle w:val="af1"/>
          <w:szCs w:val="32"/>
          <w:rtl/>
        </w:rPr>
        <w:t>(</w:t>
      </w:r>
      <w:r w:rsidR="00F044B9" w:rsidRPr="00C85F0F">
        <w:rPr>
          <w:rStyle w:val="af1"/>
          <w:szCs w:val="32"/>
          <w:rtl/>
        </w:rPr>
        <w:footnoteReference w:id="1467"/>
      </w:r>
      <w:r w:rsidR="00F044B9" w:rsidRPr="00C85F0F">
        <w:rPr>
          <w:rStyle w:val="af1"/>
          <w:szCs w:val="32"/>
          <w:rtl/>
        </w:rPr>
        <w:t>)</w:t>
      </w:r>
      <w:r w:rsidR="00F044B9" w:rsidRPr="00C85F0F">
        <w:rPr>
          <w:rFonts w:ascii="Traditional Arabic" w:hAnsi="Traditional Arabic" w:hint="cs"/>
          <w:noProof w:val="0"/>
          <w:color w:val="auto"/>
          <w:rtl/>
          <w:lang w:eastAsia="en-US"/>
        </w:rPr>
        <w:t xml:space="preserve"> يظن أن إذن المجني عليه يبيح ذلك، فيمتنع القصاص لقوة الشُّبهة</w:t>
      </w:r>
      <w:r w:rsidR="00F044B9" w:rsidRPr="00C85F0F">
        <w:rPr>
          <w:rStyle w:val="af1"/>
          <w:szCs w:val="32"/>
          <w:rtl/>
        </w:rPr>
        <w:t>(</w:t>
      </w:r>
      <w:r w:rsidR="00F044B9" w:rsidRPr="00C85F0F">
        <w:rPr>
          <w:rStyle w:val="af1"/>
          <w:szCs w:val="32"/>
          <w:rtl/>
        </w:rPr>
        <w:footnoteReference w:id="1468"/>
      </w:r>
      <w:r w:rsidR="00F044B9" w:rsidRPr="00C85F0F">
        <w:rPr>
          <w:rStyle w:val="af1"/>
          <w:szCs w:val="32"/>
          <w:rtl/>
        </w:rPr>
        <w:t>)</w:t>
      </w:r>
      <w:r w:rsidR="00F044B9" w:rsidRPr="00C85F0F">
        <w:rPr>
          <w:rFonts w:ascii="Traditional Arabic" w:hAnsi="Traditional Arabic" w:hint="cs"/>
          <w:noProof w:val="0"/>
          <w:color w:val="auto"/>
          <w:rtl/>
          <w:lang w:eastAsia="en-US"/>
        </w:rPr>
        <w:t>.</w:t>
      </w:r>
    </w:p>
    <w:p w:rsidR="00F044B9" w:rsidRPr="00C85F0F" w:rsidRDefault="00D129F0" w:rsidP="00A8347C">
      <w:pPr>
        <w:pStyle w:val="aff3"/>
        <w:rPr>
          <w:rtl/>
        </w:rPr>
      </w:pPr>
      <w:bookmarkStart w:id="291" w:name="_Toc334046507"/>
      <w:r>
        <w:rPr>
          <w:rFonts w:hint="cs"/>
          <w:rtl/>
        </w:rPr>
        <w:t xml:space="preserve">                                           المطلب</w:t>
      </w:r>
      <w:r w:rsidR="00D0482B">
        <w:rPr>
          <w:rFonts w:hint="cs"/>
          <w:rtl/>
        </w:rPr>
        <w:t xml:space="preserve"> </w:t>
      </w:r>
      <w:r w:rsidR="00F044B9" w:rsidRPr="00C85F0F">
        <w:rPr>
          <w:rFonts w:hint="cs"/>
          <w:rtl/>
        </w:rPr>
        <w:t>الثالث</w:t>
      </w:r>
      <w:r w:rsidR="00F044B9" w:rsidRPr="00C85F0F">
        <w:rPr>
          <w:rFonts w:hint="eastAsia"/>
          <w:rtl/>
        </w:rPr>
        <w:t> :</w:t>
      </w:r>
      <w:r w:rsidR="00F044B9" w:rsidRPr="00C85F0F">
        <w:rPr>
          <w:rFonts w:hint="cs"/>
          <w:rtl/>
        </w:rPr>
        <w:br/>
      </w:r>
      <w:r>
        <w:rPr>
          <w:rFonts w:hint="cs"/>
          <w:rtl/>
        </w:rPr>
        <w:t xml:space="preserve">              </w:t>
      </w:r>
      <w:r w:rsidR="00F12748">
        <w:rPr>
          <w:rFonts w:hint="cs"/>
          <w:rtl/>
        </w:rPr>
        <w:t xml:space="preserve">                               دليل</w:t>
      </w:r>
      <w:r w:rsidR="00F044B9" w:rsidRPr="00C85F0F">
        <w:rPr>
          <w:rFonts w:hint="cs"/>
          <w:rtl/>
        </w:rPr>
        <w:t xml:space="preserve"> القاعدة</w:t>
      </w:r>
      <w:bookmarkEnd w:id="291"/>
    </w:p>
    <w:p w:rsidR="00F044B9" w:rsidRPr="00F12748" w:rsidRDefault="00F044B9" w:rsidP="00F12748">
      <w:pPr>
        <w:widowControl/>
        <w:autoSpaceDE w:val="0"/>
        <w:autoSpaceDN w:val="0"/>
        <w:adjustRightInd w:val="0"/>
        <w:ind w:left="360" w:firstLine="0"/>
        <w:rPr>
          <w:rFonts w:ascii="Traditional Arabic" w:hAnsi="Traditional Arabic"/>
          <w:noProof w:val="0"/>
          <w:color w:val="auto"/>
          <w:sz w:val="44"/>
          <w:szCs w:val="44"/>
          <w:lang w:eastAsia="en-US"/>
        </w:rPr>
      </w:pPr>
      <w:r w:rsidRPr="00F12748">
        <w:rPr>
          <w:rFonts w:ascii="Traditional Arabic" w:hAnsi="Traditional Arabic" w:hint="cs"/>
          <w:noProof w:val="0"/>
          <w:color w:val="auto"/>
          <w:rtl/>
          <w:lang w:eastAsia="en-US"/>
        </w:rPr>
        <w:t xml:space="preserve">حديث </w:t>
      </w:r>
      <w:r w:rsidRPr="00F12748">
        <w:rPr>
          <w:rFonts w:ascii="Traditional Arabic" w:hAnsi="Traditional Arabic"/>
          <w:noProof w:val="0"/>
          <w:color w:val="auto"/>
          <w:rtl/>
          <w:lang w:eastAsia="en-US"/>
        </w:rPr>
        <w:t>أب</w:t>
      </w:r>
      <w:r w:rsidRPr="00F12748">
        <w:rPr>
          <w:rFonts w:ascii="Traditional Arabic" w:hAnsi="Traditional Arabic" w:hint="cs"/>
          <w:noProof w:val="0"/>
          <w:color w:val="auto"/>
          <w:rtl/>
          <w:lang w:eastAsia="en-US"/>
        </w:rPr>
        <w:t>ي</w:t>
      </w:r>
      <w:r w:rsidRPr="00F12748">
        <w:rPr>
          <w:rFonts w:ascii="Traditional Arabic" w:hAnsi="Traditional Arabic"/>
          <w:noProof w:val="0"/>
          <w:color w:val="auto"/>
          <w:rtl/>
          <w:lang w:eastAsia="en-US"/>
        </w:rPr>
        <w:t xml:space="preserve"> هريرة</w:t>
      </w:r>
      <w:r w:rsidR="00D0482B" w:rsidRPr="00F12748">
        <w:rPr>
          <w:rFonts w:ascii="Traditional Arabic" w:hAnsi="Traditional Arabic" w:hint="cs"/>
          <w:noProof w:val="0"/>
          <w:color w:val="auto"/>
          <w:rtl/>
          <w:lang w:eastAsia="en-US"/>
        </w:rPr>
        <w:t>_رضي الله عنه_</w:t>
      </w:r>
      <w:r w:rsidRPr="00F12748">
        <w:rPr>
          <w:rFonts w:ascii="Traditional Arabic" w:hAnsi="Traditional Arabic"/>
          <w:noProof w:val="0"/>
          <w:color w:val="auto"/>
          <w:rtl/>
          <w:lang w:eastAsia="en-US"/>
        </w:rPr>
        <w:t xml:space="preserve"> قال</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 xml:space="preserve"> جاء رجل إلى رسول الله </w:t>
      </w:r>
      <w:r w:rsidR="00D129F0" w:rsidRPr="00F12748">
        <w:rPr>
          <w:rFonts w:ascii="Traditional Arabic" w:hAnsi="Traditional Arabic" w:hint="cs"/>
          <w:rtl/>
        </w:rPr>
        <w:t>صلى الله عليه وسلم</w:t>
      </w:r>
      <w:r w:rsidR="00D129F0" w:rsidRPr="00F12748">
        <w:rPr>
          <w:rFonts w:ascii="Traditional Arabic" w:hAnsi="Traditional Arabic"/>
          <w:rtl/>
        </w:rPr>
        <w:t xml:space="preserve"> </w:t>
      </w:r>
      <w:r w:rsidRPr="00F12748">
        <w:rPr>
          <w:rFonts w:ascii="Traditional Arabic" w:hAnsi="Traditional Arabic"/>
          <w:noProof w:val="0"/>
          <w:color w:val="auto"/>
          <w:rtl/>
          <w:lang w:eastAsia="en-US"/>
        </w:rPr>
        <w:t>فقال</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 xml:space="preserve"> يا رسول الله أرأيت</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 xml:space="preserve"> إن جاء رجل يريد أ</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خ</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ذ مال</w:t>
      </w:r>
      <w:r w:rsidRPr="00F12748">
        <w:rPr>
          <w:rFonts w:ascii="Traditional Arabic" w:hAnsi="Traditional Arabic" w:hint="cs"/>
          <w:noProof w:val="0"/>
          <w:color w:val="auto"/>
          <w:rtl/>
          <w:lang w:eastAsia="en-US"/>
        </w:rPr>
        <w:t>ي؟</w:t>
      </w:r>
      <w:r w:rsidR="00AB0B9E" w:rsidRPr="00F12748">
        <w:rPr>
          <w:rFonts w:ascii="Traditional Arabic" w:hAnsi="Traditional Arabic"/>
          <w:noProof w:val="0"/>
          <w:color w:val="auto"/>
          <w:lang w:eastAsia="en-US"/>
        </w:rPr>
        <w:fldChar w:fldCharType="begin"/>
      </w:r>
      <w:r w:rsidR="00AD758D" w:rsidRPr="00F12748">
        <w:rPr>
          <w:rFonts w:ascii="Traditional Arabic" w:hAnsi="Traditional Arabic"/>
          <w:noProof w:val="0"/>
          <w:color w:val="auto"/>
          <w:lang w:eastAsia="en-US"/>
        </w:rPr>
        <w:instrText>XE</w:instrText>
      </w:r>
      <w:r w:rsidR="00AD758D" w:rsidRPr="00F12748">
        <w:rPr>
          <w:rFonts w:ascii="Traditional Arabic" w:hAnsi="Traditional Arabic"/>
          <w:noProof w:val="0"/>
          <w:color w:val="auto"/>
          <w:rtl/>
          <w:lang w:eastAsia="en-US"/>
        </w:rPr>
        <w:instrText xml:space="preserve"> "جاء رجل إلى رسول الله </w:instrText>
      </w:r>
      <w:r w:rsidR="00AD758D" w:rsidRPr="00C85F0F">
        <w:rPr>
          <w:rtl/>
          <w:lang w:eastAsia="en-US"/>
        </w:rPr>
        <w:sym w:font="AGA Arabesque" w:char="F072"/>
      </w:r>
      <w:r w:rsidR="00AD758D" w:rsidRPr="00F12748">
        <w:rPr>
          <w:rFonts w:ascii="Traditional Arabic" w:hAnsi="Traditional Arabic"/>
          <w:noProof w:val="0"/>
          <w:color w:val="auto"/>
          <w:rtl/>
          <w:lang w:eastAsia="en-US"/>
        </w:rPr>
        <w:instrText>فقال\</w:instrText>
      </w:r>
      <w:r w:rsidR="00AD758D" w:rsidRPr="00F12748">
        <w:rPr>
          <w:rFonts w:ascii="Traditional Arabic" w:hAnsi="Traditional Arabic" w:hint="cs"/>
          <w:noProof w:val="0"/>
          <w:color w:val="auto"/>
          <w:rtl/>
          <w:lang w:eastAsia="en-US"/>
        </w:rPr>
        <w:instrText>:</w:instrText>
      </w:r>
      <w:r w:rsidR="00AD758D" w:rsidRPr="00F12748">
        <w:rPr>
          <w:rFonts w:ascii="Traditional Arabic" w:hAnsi="Traditional Arabic"/>
          <w:noProof w:val="0"/>
          <w:color w:val="auto"/>
          <w:rtl/>
          <w:lang w:eastAsia="en-US"/>
        </w:rPr>
        <w:instrText xml:space="preserve"> يا رسول الله أرأيت</w:instrText>
      </w:r>
      <w:r w:rsidR="00AD758D" w:rsidRPr="00F12748">
        <w:rPr>
          <w:rFonts w:ascii="Traditional Arabic" w:hAnsi="Traditional Arabic" w:hint="cs"/>
          <w:noProof w:val="0"/>
          <w:color w:val="auto"/>
          <w:rtl/>
          <w:lang w:eastAsia="en-US"/>
        </w:rPr>
        <w:instrText>َ</w:instrText>
      </w:r>
      <w:r w:rsidR="00AD758D" w:rsidRPr="00F12748">
        <w:rPr>
          <w:rFonts w:ascii="Traditional Arabic" w:hAnsi="Traditional Arabic"/>
          <w:noProof w:val="0"/>
          <w:color w:val="auto"/>
          <w:rtl/>
          <w:lang w:eastAsia="en-US"/>
        </w:rPr>
        <w:instrText xml:space="preserve"> إن جاء رجل يريد أ</w:instrText>
      </w:r>
      <w:r w:rsidR="00AD758D" w:rsidRPr="00F12748">
        <w:rPr>
          <w:rFonts w:ascii="Traditional Arabic" w:hAnsi="Traditional Arabic" w:hint="cs"/>
          <w:noProof w:val="0"/>
          <w:color w:val="auto"/>
          <w:rtl/>
          <w:lang w:eastAsia="en-US"/>
        </w:rPr>
        <w:instrText>َ</w:instrText>
      </w:r>
      <w:r w:rsidR="00AD758D" w:rsidRPr="00F12748">
        <w:rPr>
          <w:rFonts w:ascii="Traditional Arabic" w:hAnsi="Traditional Arabic"/>
          <w:noProof w:val="0"/>
          <w:color w:val="auto"/>
          <w:rtl/>
          <w:lang w:eastAsia="en-US"/>
        </w:rPr>
        <w:instrText>خ</w:instrText>
      </w:r>
      <w:r w:rsidR="00AD758D" w:rsidRPr="00F12748">
        <w:rPr>
          <w:rFonts w:ascii="Traditional Arabic" w:hAnsi="Traditional Arabic" w:hint="cs"/>
          <w:noProof w:val="0"/>
          <w:color w:val="auto"/>
          <w:rtl/>
          <w:lang w:eastAsia="en-US"/>
        </w:rPr>
        <w:instrText>ْ</w:instrText>
      </w:r>
      <w:r w:rsidR="00AD758D" w:rsidRPr="00F12748">
        <w:rPr>
          <w:rFonts w:ascii="Traditional Arabic" w:hAnsi="Traditional Arabic"/>
          <w:noProof w:val="0"/>
          <w:color w:val="auto"/>
          <w:rtl/>
          <w:lang w:eastAsia="en-US"/>
        </w:rPr>
        <w:instrText>ذ مال</w:instrText>
      </w:r>
      <w:r w:rsidR="00AD758D" w:rsidRPr="00F12748">
        <w:rPr>
          <w:rFonts w:ascii="Traditional Arabic" w:hAnsi="Traditional Arabic" w:hint="cs"/>
          <w:noProof w:val="0"/>
          <w:color w:val="auto"/>
          <w:rtl/>
          <w:lang w:eastAsia="en-US"/>
        </w:rPr>
        <w:instrText>ي؟</w:instrText>
      </w:r>
      <w:r w:rsidR="00AD758D" w:rsidRPr="00F12748">
        <w:rPr>
          <w:rFonts w:ascii="Traditional Arabic" w:hAnsi="Traditional Arabic"/>
          <w:noProof w:val="0"/>
          <w:color w:val="auto"/>
          <w:rtl/>
          <w:lang w:eastAsia="en-US"/>
        </w:rPr>
        <w:instrText>" \</w:instrText>
      </w:r>
      <w:r w:rsidR="00AD758D" w:rsidRPr="00F12748">
        <w:rPr>
          <w:rFonts w:ascii="Traditional Arabic" w:hAnsi="Traditional Arabic"/>
          <w:noProof w:val="0"/>
          <w:color w:val="auto"/>
          <w:lang w:eastAsia="en-US"/>
        </w:rPr>
        <w:instrText>fh</w:instrText>
      </w:r>
      <w:r w:rsidR="00AB0B9E" w:rsidRPr="00F12748">
        <w:rPr>
          <w:rFonts w:ascii="Traditional Arabic" w:hAnsi="Traditional Arabic"/>
          <w:noProof w:val="0"/>
          <w:color w:val="auto"/>
          <w:lang w:eastAsia="en-US"/>
        </w:rPr>
        <w:fldChar w:fldCharType="end"/>
      </w:r>
      <w:r w:rsidRPr="00F12748">
        <w:rPr>
          <w:rFonts w:ascii="Traditional Arabic" w:hAnsi="Traditional Arabic"/>
          <w:noProof w:val="0"/>
          <w:color w:val="auto"/>
          <w:rtl/>
          <w:lang w:eastAsia="en-US"/>
        </w:rPr>
        <w:t xml:space="preserve"> قال</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فلا ت</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ع</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ط</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ه</w:t>
      </w:r>
      <w:r w:rsidRPr="00F12748">
        <w:rPr>
          <w:rFonts w:ascii="Traditional Arabic" w:hAnsi="Traditional Arabic" w:hint="cs"/>
          <w:noProof w:val="0"/>
          <w:color w:val="auto"/>
          <w:rtl/>
          <w:lang w:eastAsia="en-US"/>
        </w:rPr>
        <w:t>ِ</w:t>
      </w:r>
      <w:r w:rsidR="00D0482B" w:rsidRPr="00F12748">
        <w:rPr>
          <w:rFonts w:ascii="Traditional Arabic" w:hAnsi="Traditional Arabic" w:hint="cs"/>
          <w:noProof w:val="0"/>
          <w:color w:val="auto"/>
          <w:rtl/>
          <w:lang w:eastAsia="en-US"/>
        </w:rPr>
        <w:t xml:space="preserve"> </w:t>
      </w:r>
      <w:r w:rsidRPr="00F12748">
        <w:rPr>
          <w:rFonts w:ascii="Traditional Arabic" w:hAnsi="Traditional Arabic"/>
          <w:noProof w:val="0"/>
          <w:color w:val="auto"/>
          <w:rtl/>
          <w:lang w:eastAsia="en-US"/>
        </w:rPr>
        <w:t>مال</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ك</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 قال</w:t>
      </w:r>
      <w:r w:rsidRPr="00F12748">
        <w:rPr>
          <w:rFonts w:ascii="Traditional Arabic" w:hAnsi="Traditional Arabic" w:hint="cs"/>
          <w:noProof w:val="0"/>
          <w:color w:val="auto"/>
          <w:rtl/>
          <w:lang w:eastAsia="en-US"/>
        </w:rPr>
        <w:t>:</w:t>
      </w:r>
      <w:r w:rsidR="00D0482B" w:rsidRPr="00F12748">
        <w:rPr>
          <w:rFonts w:ascii="Traditional Arabic" w:hAnsi="Traditional Arabic" w:hint="cs"/>
          <w:noProof w:val="0"/>
          <w:color w:val="auto"/>
          <w:rtl/>
          <w:lang w:eastAsia="en-US"/>
        </w:rPr>
        <w:t xml:space="preserve"> </w:t>
      </w:r>
      <w:r w:rsidRPr="00F12748">
        <w:rPr>
          <w:rFonts w:ascii="Traditional Arabic" w:hAnsi="Traditional Arabic"/>
          <w:noProof w:val="0"/>
          <w:color w:val="auto"/>
          <w:rtl/>
          <w:lang w:eastAsia="en-US"/>
        </w:rPr>
        <w:t>أرأيت إن قاتلن</w:t>
      </w:r>
      <w:r w:rsidRPr="00F12748">
        <w:rPr>
          <w:rFonts w:ascii="Traditional Arabic" w:hAnsi="Traditional Arabic" w:hint="cs"/>
          <w:noProof w:val="0"/>
          <w:color w:val="auto"/>
          <w:rtl/>
          <w:lang w:eastAsia="en-US"/>
        </w:rPr>
        <w:t>ي؟</w:t>
      </w:r>
      <w:r w:rsidRPr="00F12748">
        <w:rPr>
          <w:rFonts w:ascii="Traditional Arabic" w:hAnsi="Traditional Arabic"/>
          <w:noProof w:val="0"/>
          <w:color w:val="auto"/>
          <w:rtl/>
          <w:lang w:eastAsia="en-US"/>
        </w:rPr>
        <w:t xml:space="preserve"> قال</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قاتله</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 قال</w:t>
      </w:r>
      <w:r w:rsidRPr="00F12748">
        <w:rPr>
          <w:rFonts w:ascii="Traditional Arabic" w:hAnsi="Traditional Arabic" w:hint="cs"/>
          <w:noProof w:val="0"/>
          <w:color w:val="auto"/>
          <w:rtl/>
          <w:lang w:eastAsia="en-US"/>
        </w:rPr>
        <w:t>:</w:t>
      </w:r>
      <w:r w:rsidR="00D0482B" w:rsidRPr="00F12748">
        <w:rPr>
          <w:rFonts w:ascii="Traditional Arabic" w:hAnsi="Traditional Arabic" w:hint="cs"/>
          <w:noProof w:val="0"/>
          <w:color w:val="auto"/>
          <w:rtl/>
          <w:lang w:eastAsia="en-US"/>
        </w:rPr>
        <w:t xml:space="preserve"> </w:t>
      </w:r>
      <w:r w:rsidRPr="00F12748">
        <w:rPr>
          <w:rFonts w:ascii="Traditional Arabic" w:hAnsi="Traditional Arabic"/>
          <w:noProof w:val="0"/>
          <w:color w:val="auto"/>
          <w:rtl/>
          <w:lang w:eastAsia="en-US"/>
        </w:rPr>
        <w:t>أرأيت إن قتلن</w:t>
      </w:r>
      <w:r w:rsidRPr="00F12748">
        <w:rPr>
          <w:rFonts w:ascii="Traditional Arabic" w:hAnsi="Traditional Arabic" w:hint="cs"/>
          <w:noProof w:val="0"/>
          <w:color w:val="auto"/>
          <w:rtl/>
          <w:lang w:eastAsia="en-US"/>
        </w:rPr>
        <w:t>ي؟</w:t>
      </w:r>
      <w:r w:rsidRPr="00F12748">
        <w:rPr>
          <w:rFonts w:ascii="Traditional Arabic" w:hAnsi="Traditional Arabic"/>
          <w:noProof w:val="0"/>
          <w:color w:val="auto"/>
          <w:rtl/>
          <w:lang w:eastAsia="en-US"/>
        </w:rPr>
        <w:t xml:space="preserve"> قال</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فأنت شهيد</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 قال</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أرأيت إن قتلت</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ه</w:t>
      </w:r>
      <w:r w:rsidRPr="00F12748">
        <w:rPr>
          <w:rFonts w:ascii="Traditional Arabic" w:hAnsi="Traditional Arabic" w:hint="cs"/>
          <w:noProof w:val="0"/>
          <w:color w:val="auto"/>
          <w:rtl/>
          <w:lang w:eastAsia="en-US"/>
        </w:rPr>
        <w:t>؟</w:t>
      </w:r>
      <w:r w:rsidRPr="00F12748">
        <w:rPr>
          <w:rFonts w:ascii="Traditional Arabic" w:hAnsi="Traditional Arabic"/>
          <w:noProof w:val="0"/>
          <w:color w:val="auto"/>
          <w:rtl/>
          <w:lang w:eastAsia="en-US"/>
        </w:rPr>
        <w:t xml:space="preserve"> قال</w:t>
      </w:r>
      <w:r w:rsidRPr="00F12748">
        <w:rPr>
          <w:rFonts w:ascii="Traditional Arabic" w:hAnsi="Traditional Arabic" w:hint="cs"/>
          <w:noProof w:val="0"/>
          <w:color w:val="auto"/>
          <w:rtl/>
          <w:lang w:eastAsia="en-US"/>
        </w:rPr>
        <w:t>: "</w:t>
      </w:r>
      <w:r w:rsidRPr="00F12748">
        <w:rPr>
          <w:rFonts w:ascii="Traditional Arabic" w:hAnsi="Traditional Arabic"/>
          <w:noProof w:val="0"/>
          <w:color w:val="auto"/>
          <w:rtl/>
          <w:lang w:eastAsia="en-US"/>
        </w:rPr>
        <w:t>هو ف</w:t>
      </w:r>
      <w:r w:rsidRPr="00F12748">
        <w:rPr>
          <w:rFonts w:ascii="Traditional Arabic" w:hAnsi="Traditional Arabic" w:hint="cs"/>
          <w:noProof w:val="0"/>
          <w:color w:val="auto"/>
          <w:rtl/>
          <w:lang w:eastAsia="en-US"/>
        </w:rPr>
        <w:t>ي</w:t>
      </w:r>
      <w:r w:rsidRPr="00F12748">
        <w:rPr>
          <w:rFonts w:ascii="Traditional Arabic" w:hAnsi="Traditional Arabic"/>
          <w:noProof w:val="0"/>
          <w:color w:val="auto"/>
          <w:rtl/>
          <w:lang w:eastAsia="en-US"/>
        </w:rPr>
        <w:t xml:space="preserve"> النار</w:t>
      </w:r>
      <w:r w:rsidRPr="00F12748">
        <w:rPr>
          <w:rFonts w:ascii="Traditional Arabic" w:hAnsi="Traditional Arabic" w:hint="cs"/>
          <w:noProof w:val="0"/>
          <w:color w:val="auto"/>
          <w:rtl/>
          <w:lang w:eastAsia="en-US"/>
        </w:rPr>
        <w:t>"</w:t>
      </w:r>
      <w:r w:rsidRPr="00F12748">
        <w:rPr>
          <w:rStyle w:val="af1"/>
          <w:szCs w:val="32"/>
          <w:rtl/>
        </w:rPr>
        <w:t>(</w:t>
      </w:r>
      <w:r w:rsidRPr="00C821A1">
        <w:rPr>
          <w:rStyle w:val="af1"/>
          <w:szCs w:val="32"/>
          <w:rtl/>
        </w:rPr>
        <w:footnoteReference w:id="1469"/>
      </w:r>
      <w:r w:rsidRPr="00F12748">
        <w:rPr>
          <w:rStyle w:val="af1"/>
          <w:szCs w:val="32"/>
          <w:rtl/>
        </w:rPr>
        <w:t>)</w:t>
      </w:r>
      <w:r w:rsidRPr="00F12748">
        <w:rPr>
          <w:rFonts w:ascii="Traditional Arabic" w:hAnsi="Traditional Arabic"/>
          <w:noProof w:val="0"/>
          <w:color w:val="auto"/>
          <w:rtl/>
          <w:lang w:eastAsia="en-US"/>
        </w:rPr>
        <w:t>.</w:t>
      </w:r>
    </w:p>
    <w:p w:rsidR="00F044B9" w:rsidRDefault="00F044B9" w:rsidP="00597C20">
      <w:pPr>
        <w:pStyle w:val="53"/>
        <w:rPr>
          <w:rtl/>
        </w:rPr>
      </w:pPr>
      <w:r>
        <w:rPr>
          <w:rFonts w:hint="cs"/>
          <w:rtl/>
        </w:rPr>
        <w:lastRenderedPageBreak/>
        <w:t>وجه الدلالة:</w:t>
      </w:r>
    </w:p>
    <w:p w:rsidR="00F044B9" w:rsidRPr="00312986" w:rsidRDefault="00F044B9" w:rsidP="00597C20">
      <w:pPr>
        <w:widowControl/>
        <w:autoSpaceDE w:val="0"/>
        <w:autoSpaceDN w:val="0"/>
        <w:adjustRightInd w:val="0"/>
        <w:ind w:firstLine="720"/>
        <w:rPr>
          <w:rFonts w:ascii="Traditional Arabic" w:hAnsi="Traditional Arabic"/>
          <w:rtl/>
        </w:rPr>
      </w:pPr>
      <w:r w:rsidRPr="00312986">
        <w:rPr>
          <w:rFonts w:ascii="Traditional Arabic" w:hAnsi="Traditional Arabic"/>
          <w:noProof w:val="0"/>
          <w:color w:val="auto"/>
          <w:rtl/>
          <w:lang w:eastAsia="en-US"/>
        </w:rPr>
        <w:t>قوله</w:t>
      </w:r>
      <w:r w:rsidR="00D129F0">
        <w:rPr>
          <w:rFonts w:hint="cs"/>
          <w:noProof w:val="0"/>
          <w:color w:val="auto"/>
          <w:rtl/>
          <w:lang w:eastAsia="en-US"/>
        </w:rPr>
        <w:t xml:space="preserve"> </w:t>
      </w:r>
      <w:r w:rsidR="00D129F0">
        <w:rPr>
          <w:rFonts w:ascii="Traditional Arabic" w:hAnsi="Traditional Arabic" w:hint="cs"/>
          <w:rtl/>
        </w:rPr>
        <w:t>صلى الله عليه وسلم</w:t>
      </w:r>
      <w:r w:rsidRPr="00312986">
        <w:rPr>
          <w:rFonts w:ascii="Traditional Arabic" w:hAnsi="Traditional Arabic"/>
          <w:noProof w:val="0"/>
          <w:color w:val="auto"/>
          <w:rtl/>
          <w:lang w:eastAsia="en-US"/>
        </w:rPr>
        <w:t>:</w:t>
      </w:r>
      <w:r w:rsidRPr="00312986">
        <w:rPr>
          <w:rFonts w:ascii="Traditional Arabic" w:hAnsi="Traditional Arabic" w:hint="cs"/>
          <w:noProof w:val="0"/>
          <w:color w:val="auto"/>
          <w:rtl/>
          <w:lang w:eastAsia="en-US"/>
        </w:rPr>
        <w:t>"</w:t>
      </w:r>
      <w:r w:rsidRPr="00312986">
        <w:rPr>
          <w:rFonts w:ascii="Traditional Arabic" w:hAnsi="Traditional Arabic"/>
          <w:noProof w:val="0"/>
          <w:color w:val="auto"/>
          <w:rtl/>
          <w:lang w:eastAsia="en-US"/>
        </w:rPr>
        <w:t>هو في النار</w:t>
      </w:r>
      <w:r w:rsidRPr="00312986">
        <w:rPr>
          <w:rFonts w:ascii="Traditional Arabic" w:hAnsi="Traditional Arabic" w:hint="cs"/>
          <w:noProof w:val="0"/>
          <w:color w:val="auto"/>
          <w:rtl/>
          <w:lang w:eastAsia="en-US"/>
        </w:rPr>
        <w:t>"</w:t>
      </w:r>
      <w:r w:rsidRPr="00312986">
        <w:rPr>
          <w:rFonts w:ascii="Traditional Arabic" w:hAnsi="Traditional Arabic"/>
          <w:noProof w:val="0"/>
          <w:color w:val="auto"/>
          <w:rtl/>
          <w:lang w:eastAsia="en-US"/>
        </w:rPr>
        <w:t xml:space="preserve"> يدل على أنه م</w:t>
      </w:r>
      <w:r w:rsidRPr="00312986">
        <w:rPr>
          <w:rFonts w:ascii="Traditional Arabic" w:hAnsi="Traditional Arabic" w:hint="cs"/>
          <w:noProof w:val="0"/>
          <w:color w:val="auto"/>
          <w:rtl/>
          <w:lang w:eastAsia="en-US"/>
        </w:rPr>
        <w:t>ُ</w:t>
      </w:r>
      <w:r w:rsidRPr="00312986">
        <w:rPr>
          <w:rFonts w:ascii="Traditional Arabic" w:hAnsi="Traditional Arabic"/>
          <w:noProof w:val="0"/>
          <w:color w:val="auto"/>
          <w:rtl/>
          <w:lang w:eastAsia="en-US"/>
        </w:rPr>
        <w:t>عتد</w:t>
      </w:r>
      <w:r w:rsidRPr="00312986">
        <w:rPr>
          <w:rFonts w:ascii="Traditional Arabic" w:hAnsi="Traditional Arabic" w:hint="cs"/>
          <w:noProof w:val="0"/>
          <w:color w:val="auto"/>
          <w:rtl/>
          <w:lang w:eastAsia="en-US"/>
        </w:rPr>
        <w:t>ٍ</w:t>
      </w:r>
      <w:r w:rsidRPr="00312986">
        <w:rPr>
          <w:rFonts w:ascii="Traditional Arabic" w:hAnsi="Traditional Arabic"/>
          <w:noProof w:val="0"/>
          <w:color w:val="auto"/>
          <w:rtl/>
          <w:lang w:eastAsia="en-US"/>
        </w:rPr>
        <w:t xml:space="preserve"> ظالم</w:t>
      </w:r>
      <w:r w:rsidRPr="00312986">
        <w:rPr>
          <w:rFonts w:ascii="Traditional Arabic" w:hAnsi="Traditional Arabic" w:hint="cs"/>
          <w:noProof w:val="0"/>
          <w:color w:val="auto"/>
          <w:rtl/>
          <w:lang w:eastAsia="en-US"/>
        </w:rPr>
        <w:t>،</w:t>
      </w:r>
      <w:r w:rsidR="00D0482B">
        <w:rPr>
          <w:rFonts w:ascii="Traditional Arabic" w:hAnsi="Traditional Arabic"/>
          <w:noProof w:val="0"/>
          <w:color w:val="auto"/>
          <w:rtl/>
          <w:lang w:eastAsia="en-US"/>
        </w:rPr>
        <w:t xml:space="preserve"> والمعتدي الظالم لا ضمان </w:t>
      </w:r>
      <w:r w:rsidR="00D0482B">
        <w:rPr>
          <w:rFonts w:ascii="Traditional Arabic" w:hAnsi="Traditional Arabic" w:hint="cs"/>
          <w:noProof w:val="0"/>
          <w:color w:val="auto"/>
          <w:rtl/>
          <w:lang w:eastAsia="en-US"/>
        </w:rPr>
        <w:t>على مُتلِفه</w:t>
      </w:r>
      <w:r w:rsidRPr="00C821A1">
        <w:rPr>
          <w:rStyle w:val="af1"/>
          <w:szCs w:val="32"/>
          <w:rtl/>
        </w:rPr>
        <w:t>(</w:t>
      </w:r>
      <w:r w:rsidRPr="00C821A1">
        <w:rPr>
          <w:rStyle w:val="af1"/>
          <w:szCs w:val="32"/>
          <w:rtl/>
        </w:rPr>
        <w:footnoteReference w:id="1470"/>
      </w:r>
      <w:r w:rsidRPr="00C821A1">
        <w:rPr>
          <w:rStyle w:val="af1"/>
          <w:szCs w:val="32"/>
          <w:rtl/>
        </w:rPr>
        <w:t>)</w:t>
      </w:r>
      <w:r w:rsidRPr="00312986">
        <w:rPr>
          <w:rFonts w:ascii="Traditional Arabic" w:hAnsi="Traditional Arabic" w:hint="cs"/>
          <w:b/>
          <w:bCs/>
          <w:noProof w:val="0"/>
          <w:color w:val="auto"/>
          <w:rtl/>
          <w:lang w:eastAsia="en-US"/>
        </w:rPr>
        <w:t xml:space="preserve">، </w:t>
      </w:r>
      <w:r w:rsidRPr="00312986">
        <w:rPr>
          <w:rFonts w:ascii="Traditional Arabic" w:hAnsi="Traditional Arabic"/>
          <w:rtl/>
        </w:rPr>
        <w:t xml:space="preserve">وعليه ؛ فإذا لم يندفع </w:t>
      </w:r>
      <w:r w:rsidRPr="00312986">
        <w:rPr>
          <w:rFonts w:ascii="Traditional Arabic" w:hAnsi="Traditional Arabic" w:hint="cs"/>
          <w:rtl/>
        </w:rPr>
        <w:t xml:space="preserve">الصائل </w:t>
      </w:r>
      <w:r w:rsidRPr="00312986">
        <w:rPr>
          <w:rFonts w:ascii="Traditional Arabic" w:hAnsi="Traditional Arabic"/>
          <w:rtl/>
        </w:rPr>
        <w:t>إلا بالقتل فليقات</w:t>
      </w:r>
      <w:r w:rsidRPr="00312986">
        <w:rPr>
          <w:rFonts w:ascii="Traditional Arabic" w:hAnsi="Traditional Arabic" w:hint="cs"/>
          <w:rtl/>
        </w:rPr>
        <w:t>ِ</w:t>
      </w:r>
      <w:r w:rsidRPr="00312986">
        <w:rPr>
          <w:rFonts w:ascii="Traditional Arabic" w:hAnsi="Traditional Arabic"/>
          <w:rtl/>
        </w:rPr>
        <w:t>ل</w:t>
      </w:r>
      <w:r w:rsidRPr="00312986">
        <w:rPr>
          <w:rFonts w:ascii="Traditional Arabic" w:hAnsi="Traditional Arabic" w:hint="cs"/>
          <w:rtl/>
        </w:rPr>
        <w:t>ه</w:t>
      </w:r>
      <w:r w:rsidR="00B76414" w:rsidRPr="00312986">
        <w:rPr>
          <w:rFonts w:ascii="Traditional Arabic" w:hAnsi="Traditional Arabic"/>
          <w:rtl/>
        </w:rPr>
        <w:t>،</w:t>
      </w:r>
      <w:r w:rsidRPr="00312986">
        <w:rPr>
          <w:rFonts w:ascii="Traditional Arabic" w:hAnsi="Traditional Arabic"/>
          <w:rtl/>
        </w:rPr>
        <w:t xml:space="preserve"> وليس عليه ضمان ولا كفارة، وأما بناؤه على القواعد؛ فلأن ما ترتَّب على المأذون ليس بمضمون</w:t>
      </w:r>
      <w:r w:rsidRPr="00312986">
        <w:rPr>
          <w:rFonts w:ascii="Traditional Arabic" w:hAnsi="Traditional Arabic" w:hint="cs"/>
          <w:rtl/>
        </w:rPr>
        <w:t>، والمصول عليه أُذن له أن يدافِع عن نفسه</w:t>
      </w:r>
      <w:r w:rsidRPr="00312986">
        <w:rPr>
          <w:rFonts w:ascii="Traditional Arabic" w:hAnsi="Traditional Arabic"/>
          <w:rtl/>
        </w:rPr>
        <w:t>)</w:t>
      </w:r>
      <w:r w:rsidRPr="00C821A1">
        <w:rPr>
          <w:rFonts w:ascii="Traditional Arabic" w:hAnsi="Traditional Arabic"/>
          <w:szCs w:val="32"/>
          <w:vertAlign w:val="superscript"/>
          <w:rtl/>
        </w:rPr>
        <w:t>(</w:t>
      </w:r>
      <w:r w:rsidRPr="00C821A1">
        <w:rPr>
          <w:rStyle w:val="af1"/>
          <w:rFonts w:ascii="Traditional Arabic" w:hAnsi="Traditional Arabic"/>
          <w:szCs w:val="32"/>
          <w:rtl/>
        </w:rPr>
        <w:footnoteReference w:id="1471"/>
      </w:r>
      <w:r w:rsidRPr="00C821A1">
        <w:rPr>
          <w:rFonts w:ascii="Traditional Arabic" w:hAnsi="Traditional Arabic"/>
          <w:szCs w:val="32"/>
          <w:vertAlign w:val="superscript"/>
          <w:rtl/>
        </w:rPr>
        <w:t>)</w:t>
      </w:r>
      <w:r w:rsidR="00B76414" w:rsidRPr="00312986">
        <w:rPr>
          <w:rFonts w:ascii="Traditional Arabic" w:hAnsi="Traditional Arabic"/>
          <w:rtl/>
        </w:rPr>
        <w:t>.</w:t>
      </w:r>
    </w:p>
    <w:p w:rsidR="00F044B9" w:rsidRPr="00F044B9" w:rsidRDefault="00D129F0" w:rsidP="00A8347C">
      <w:pPr>
        <w:pStyle w:val="aff3"/>
        <w:rPr>
          <w:rtl/>
        </w:rPr>
      </w:pPr>
      <w:bookmarkStart w:id="292" w:name="_Toc334046508"/>
      <w:r>
        <w:rPr>
          <w:rFonts w:hint="cs"/>
          <w:rtl/>
        </w:rPr>
        <w:t xml:space="preserve">                                          المطلب</w:t>
      </w:r>
      <w:r w:rsidR="00D624DD">
        <w:rPr>
          <w:rFonts w:hint="cs"/>
          <w:rtl/>
        </w:rPr>
        <w:t xml:space="preserve"> </w:t>
      </w:r>
      <w:r w:rsidR="00F044B9" w:rsidRPr="00F044B9">
        <w:rPr>
          <w:rFonts w:hint="cs"/>
          <w:rtl/>
        </w:rPr>
        <w:t>ال</w:t>
      </w:r>
      <w:r w:rsidR="003E316B">
        <w:rPr>
          <w:rFonts w:hint="cs"/>
          <w:rtl/>
        </w:rPr>
        <w:t>رابع</w:t>
      </w:r>
      <w:r w:rsidR="00F044B9">
        <w:rPr>
          <w:rFonts w:hint="eastAsia"/>
          <w:rtl/>
        </w:rPr>
        <w:t> :</w:t>
      </w:r>
      <w:r w:rsidR="00F044B9">
        <w:rPr>
          <w:rFonts w:hint="cs"/>
          <w:rtl/>
        </w:rPr>
        <w:br/>
      </w:r>
      <w:r>
        <w:rPr>
          <w:rFonts w:hint="cs"/>
          <w:rtl/>
        </w:rPr>
        <w:t xml:space="preserve">                                         </w:t>
      </w:r>
      <w:r w:rsidR="00F044B9" w:rsidRPr="00F044B9">
        <w:rPr>
          <w:rFonts w:hint="cs"/>
          <w:rtl/>
        </w:rPr>
        <w:t>تطبيقات القاعدة</w:t>
      </w:r>
      <w:bookmarkEnd w:id="292"/>
    </w:p>
    <w:p w:rsidR="00F044B9" w:rsidRDefault="00F044B9" w:rsidP="000A76C7">
      <w:pPr>
        <w:pStyle w:val="afc"/>
        <w:widowControl/>
        <w:numPr>
          <w:ilvl w:val="0"/>
          <w:numId w:val="200"/>
        </w:numPr>
        <w:autoSpaceDE w:val="0"/>
        <w:autoSpaceDN w:val="0"/>
        <w:adjustRightInd w:val="0"/>
        <w:rPr>
          <w:rFonts w:ascii="Traditional Arabic" w:hAnsi="Traditional Arabic"/>
          <w:noProof w:val="0"/>
          <w:color w:val="auto"/>
          <w:lang w:eastAsia="en-US"/>
        </w:rPr>
      </w:pPr>
      <w:r w:rsidRPr="00D36ECA">
        <w:rPr>
          <w:rFonts w:ascii="Traditional Arabic" w:hAnsi="Traditional Arabic"/>
          <w:noProof w:val="0"/>
          <w:color w:val="auto"/>
          <w:rtl/>
          <w:lang w:eastAsia="en-US"/>
        </w:rPr>
        <w:t>الصواب: أن العارية كغيرها من الأمانات؛ لأنها حصلت بيد المستعير على وجه مأذون فيه، وما ترتب على المأذون فليس بمضمون، فيد المستعير يد أمانة، ليست يد</w:t>
      </w:r>
      <w:r>
        <w:rPr>
          <w:rFonts w:ascii="Traditional Arabic" w:hAnsi="Traditional Arabic" w:hint="cs"/>
          <w:noProof w:val="0"/>
          <w:color w:val="auto"/>
          <w:rtl/>
          <w:lang w:eastAsia="en-US"/>
        </w:rPr>
        <w:t>َ</w:t>
      </w:r>
      <w:r w:rsidRPr="00D36ECA">
        <w:rPr>
          <w:rFonts w:ascii="Traditional Arabic" w:hAnsi="Traditional Arabic"/>
          <w:noProof w:val="0"/>
          <w:color w:val="auto"/>
          <w:rtl/>
          <w:lang w:eastAsia="en-US"/>
        </w:rPr>
        <w:t xml:space="preserve"> خيانة، وإذا كانت يد أمانة فلا ضمان على الأمين، ووجه كونها يد أمانة أن هذه العارية حصلت بيد</w:t>
      </w:r>
      <w:r>
        <w:rPr>
          <w:rFonts w:ascii="Traditional Arabic" w:hAnsi="Traditional Arabic" w:hint="cs"/>
          <w:noProof w:val="0"/>
          <w:color w:val="auto"/>
          <w:rtl/>
          <w:lang w:eastAsia="en-US"/>
        </w:rPr>
        <w:t>ِ</w:t>
      </w:r>
      <w:r w:rsidRPr="00D36ECA">
        <w:rPr>
          <w:rFonts w:ascii="Traditional Arabic" w:hAnsi="Traditional Arabic"/>
          <w:noProof w:val="0"/>
          <w:color w:val="auto"/>
          <w:rtl/>
          <w:lang w:eastAsia="en-US"/>
        </w:rPr>
        <w:t xml:space="preserve"> المستعير بإذن مالكها، فهو الذي سل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طه عل</w:t>
      </w:r>
      <w:r>
        <w:rPr>
          <w:rFonts w:ascii="Traditional Arabic" w:hAnsi="Traditional Arabic" w:hint="cs"/>
          <w:noProof w:val="0"/>
          <w:color w:val="auto"/>
          <w:rtl/>
          <w:lang w:eastAsia="en-US"/>
        </w:rPr>
        <w:t>ى ملكه باختياره</w:t>
      </w:r>
      <w:r w:rsidRPr="00C821A1">
        <w:rPr>
          <w:rStyle w:val="af1"/>
          <w:szCs w:val="32"/>
          <w:rtl/>
        </w:rPr>
        <w:t>(</w:t>
      </w:r>
      <w:r w:rsidRPr="00C821A1">
        <w:rPr>
          <w:rStyle w:val="af1"/>
          <w:szCs w:val="32"/>
          <w:rtl/>
        </w:rPr>
        <w:footnoteReference w:id="1472"/>
      </w:r>
      <w:r w:rsidRPr="00C821A1">
        <w:rPr>
          <w:rStyle w:val="af1"/>
          <w:szCs w:val="32"/>
          <w:rtl/>
        </w:rPr>
        <w:t>)</w:t>
      </w:r>
      <w:r w:rsidRPr="00D36ECA">
        <w:rPr>
          <w:rFonts w:ascii="Traditional Arabic" w:hAnsi="Traditional Arabic"/>
          <w:noProof w:val="0"/>
          <w:color w:val="auto"/>
          <w:rtl/>
          <w:lang w:eastAsia="en-US"/>
        </w:rPr>
        <w:t>.</w:t>
      </w:r>
    </w:p>
    <w:p w:rsidR="00F044B9" w:rsidRDefault="00F044B9" w:rsidP="00597C20">
      <w:pPr>
        <w:pStyle w:val="53"/>
        <w:rPr>
          <w:rtl/>
        </w:rPr>
      </w:pPr>
      <w:r>
        <w:rPr>
          <w:rFonts w:hint="cs"/>
          <w:rtl/>
        </w:rPr>
        <w:t>وجه اندراج الفرع تحت القاعدة:</w:t>
      </w:r>
    </w:p>
    <w:p w:rsidR="00F044B9" w:rsidRPr="00312986" w:rsidRDefault="00F044B9" w:rsidP="00597C20">
      <w:pPr>
        <w:widowControl/>
        <w:autoSpaceDE w:val="0"/>
        <w:autoSpaceDN w:val="0"/>
        <w:adjustRightInd w:val="0"/>
        <w:ind w:firstLine="720"/>
        <w:rPr>
          <w:rFonts w:ascii="Traditional Arabic" w:hAnsi="Traditional Arabic"/>
          <w:noProof w:val="0"/>
          <w:color w:val="auto"/>
          <w:rtl/>
          <w:lang w:eastAsia="en-US"/>
        </w:rPr>
      </w:pPr>
      <w:r w:rsidRPr="00312986">
        <w:rPr>
          <w:rFonts w:ascii="Traditional Arabic" w:hAnsi="Traditional Arabic" w:hint="cs"/>
          <w:noProof w:val="0"/>
          <w:color w:val="auto"/>
          <w:rtl/>
          <w:lang w:eastAsia="en-US"/>
        </w:rPr>
        <w:t>أن العارية حصلت بيد المستعير على وجه مأذون فيه، وما ترتب على المأذون فيه فليس بمضمون.</w:t>
      </w:r>
    </w:p>
    <w:p w:rsidR="00F228A9" w:rsidRDefault="00F044B9" w:rsidP="000A76C7">
      <w:pPr>
        <w:pStyle w:val="afc"/>
        <w:numPr>
          <w:ilvl w:val="0"/>
          <w:numId w:val="200"/>
        </w:numPr>
        <w:rPr>
          <w:color w:val="auto"/>
        </w:rPr>
      </w:pPr>
      <w:r w:rsidRPr="00A222D6">
        <w:rPr>
          <w:rFonts w:hint="cs"/>
          <w:color w:val="auto"/>
          <w:rtl/>
        </w:rPr>
        <w:t>من آوى ضالَّةً</w:t>
      </w:r>
      <w:r w:rsidRPr="00C821A1">
        <w:rPr>
          <w:rStyle w:val="af1"/>
          <w:szCs w:val="32"/>
          <w:rtl/>
        </w:rPr>
        <w:t>(</w:t>
      </w:r>
      <w:r w:rsidRPr="00C821A1">
        <w:rPr>
          <w:rStyle w:val="af1"/>
          <w:szCs w:val="32"/>
          <w:rtl/>
        </w:rPr>
        <w:footnoteReference w:id="1473"/>
      </w:r>
      <w:r w:rsidRPr="00C821A1">
        <w:rPr>
          <w:rStyle w:val="af1"/>
          <w:szCs w:val="32"/>
          <w:rtl/>
        </w:rPr>
        <w:t>)</w:t>
      </w:r>
      <w:r w:rsidRPr="00A222D6">
        <w:rPr>
          <w:rFonts w:hint="cs"/>
          <w:color w:val="auto"/>
          <w:rtl/>
        </w:rPr>
        <w:t xml:space="preserve"> بغير ق</w:t>
      </w:r>
      <w:r>
        <w:rPr>
          <w:rFonts w:hint="cs"/>
          <w:color w:val="auto"/>
          <w:rtl/>
        </w:rPr>
        <w:t>َ</w:t>
      </w:r>
      <w:r w:rsidRPr="00A222D6">
        <w:rPr>
          <w:rFonts w:hint="cs"/>
          <w:color w:val="auto"/>
          <w:rtl/>
        </w:rPr>
        <w:t>ص</w:t>
      </w:r>
      <w:r>
        <w:rPr>
          <w:rFonts w:hint="cs"/>
          <w:color w:val="auto"/>
          <w:rtl/>
        </w:rPr>
        <w:t>ْ</w:t>
      </w:r>
      <w:r w:rsidRPr="00A222D6">
        <w:rPr>
          <w:rFonts w:hint="cs"/>
          <w:color w:val="auto"/>
          <w:rtl/>
        </w:rPr>
        <w:t>د</w:t>
      </w:r>
      <w:r>
        <w:rPr>
          <w:rFonts w:hint="cs"/>
          <w:color w:val="auto"/>
          <w:rtl/>
        </w:rPr>
        <w:t>ِ</w:t>
      </w:r>
      <w:r w:rsidRPr="00A222D6">
        <w:rPr>
          <w:rFonts w:hint="cs"/>
          <w:color w:val="auto"/>
          <w:rtl/>
        </w:rPr>
        <w:t xml:space="preserve"> التعريف، </w:t>
      </w:r>
      <w:r>
        <w:rPr>
          <w:rFonts w:hint="cs"/>
          <w:color w:val="auto"/>
          <w:rtl/>
        </w:rPr>
        <w:t>فهو ضامن سواء تعدى وفرط أو لم يتعدَّ ولم يفرِّط؛ لأنه غير مأذون له في الأخذ، وما ترتب على غير المأذون فيه فهو</w:t>
      </w:r>
      <w:r w:rsidR="00635BEA">
        <w:rPr>
          <w:rFonts w:hint="cs"/>
          <w:color w:val="auto"/>
          <w:rtl/>
        </w:rPr>
        <w:t xml:space="preserve"> </w:t>
      </w:r>
      <w:r>
        <w:rPr>
          <w:rFonts w:hint="cs"/>
          <w:color w:val="auto"/>
          <w:rtl/>
        </w:rPr>
        <w:t>مضمون</w:t>
      </w:r>
      <w:r w:rsidRPr="00C821A1">
        <w:rPr>
          <w:rStyle w:val="af1"/>
          <w:szCs w:val="32"/>
          <w:rtl/>
        </w:rPr>
        <w:t>(</w:t>
      </w:r>
      <w:r w:rsidRPr="00C821A1">
        <w:rPr>
          <w:rStyle w:val="af1"/>
          <w:szCs w:val="32"/>
          <w:rtl/>
        </w:rPr>
        <w:footnoteReference w:id="1474"/>
      </w:r>
      <w:r w:rsidRPr="00C821A1">
        <w:rPr>
          <w:rStyle w:val="af1"/>
          <w:szCs w:val="32"/>
          <w:rtl/>
        </w:rPr>
        <w:t>)</w:t>
      </w:r>
      <w:r>
        <w:rPr>
          <w:rFonts w:hint="cs"/>
          <w:color w:val="auto"/>
          <w:rtl/>
        </w:rPr>
        <w:t>.</w:t>
      </w:r>
    </w:p>
    <w:p w:rsidR="00065E4B" w:rsidRDefault="00F044B9" w:rsidP="00597C20">
      <w:pPr>
        <w:pStyle w:val="53"/>
        <w:rPr>
          <w:rtl/>
        </w:rPr>
      </w:pPr>
      <w:r>
        <w:rPr>
          <w:rFonts w:hint="cs"/>
          <w:rtl/>
        </w:rPr>
        <w:lastRenderedPageBreak/>
        <w:t>وجه اندراج الفرع تحت القاعدة:</w:t>
      </w:r>
    </w:p>
    <w:p w:rsidR="00F228A9" w:rsidRPr="00D74890"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ل</w:t>
      </w:r>
      <w:r w:rsidR="00F044B9">
        <w:rPr>
          <w:rFonts w:ascii="Traditional Arabic" w:hAnsi="Traditional Arabic" w:hint="cs"/>
          <w:noProof w:val="0"/>
          <w:color w:val="auto"/>
          <w:rtl/>
          <w:lang w:eastAsia="en-US"/>
        </w:rPr>
        <w:t>م يؤذ</w:t>
      </w:r>
      <w:r w:rsidR="00635BEA">
        <w:rPr>
          <w:rFonts w:ascii="Traditional Arabic" w:hAnsi="Traditional Arabic" w:hint="cs"/>
          <w:noProof w:val="0"/>
          <w:color w:val="auto"/>
          <w:rtl/>
          <w:lang w:eastAsia="en-US"/>
        </w:rPr>
        <w:t>َ</w:t>
      </w:r>
      <w:r w:rsidR="00F044B9">
        <w:rPr>
          <w:rFonts w:ascii="Traditional Arabic" w:hAnsi="Traditional Arabic" w:hint="cs"/>
          <w:noProof w:val="0"/>
          <w:color w:val="auto"/>
          <w:rtl/>
          <w:lang w:eastAsia="en-US"/>
        </w:rPr>
        <w:t>ن شرعاً لمن وجد ضالة أن يؤويها إلا إذا كان يريد تعريفها، فإذا آواها بغير قصد التعريف، فعليه الضمان؛ لأنه غير مأذون له في الأخذ، وما ترتب على غير المأذون فيه فهو مضمون.</w:t>
      </w:r>
    </w:p>
    <w:p w:rsidR="00065E4B" w:rsidRPr="00F044B9" w:rsidRDefault="00D129F0" w:rsidP="00A8347C">
      <w:pPr>
        <w:pStyle w:val="aff3"/>
        <w:rPr>
          <w:rtl/>
        </w:rPr>
      </w:pPr>
      <w:bookmarkStart w:id="293" w:name="_Toc334046509"/>
      <w:r>
        <w:rPr>
          <w:rFonts w:hint="cs"/>
          <w:rtl/>
        </w:rPr>
        <w:t xml:space="preserve">                                         المطلب</w:t>
      </w:r>
      <w:r w:rsidR="00635BEA">
        <w:rPr>
          <w:rFonts w:hint="cs"/>
          <w:rtl/>
        </w:rPr>
        <w:t xml:space="preserve"> </w:t>
      </w:r>
      <w:r w:rsidR="00F044B9" w:rsidRPr="00F044B9">
        <w:rPr>
          <w:rFonts w:hint="cs"/>
          <w:rtl/>
        </w:rPr>
        <w:t>الخامس</w:t>
      </w:r>
      <w:r w:rsidR="00F044B9">
        <w:rPr>
          <w:rFonts w:hint="eastAsia"/>
          <w:rtl/>
        </w:rPr>
        <w:t> :</w:t>
      </w:r>
      <w:r w:rsidR="00F044B9">
        <w:rPr>
          <w:rFonts w:hint="cs"/>
          <w:rtl/>
        </w:rPr>
        <w:br/>
      </w:r>
      <w:r>
        <w:rPr>
          <w:rFonts w:hint="cs"/>
          <w:rtl/>
        </w:rPr>
        <w:t xml:space="preserve">                                         </w:t>
      </w:r>
      <w:r w:rsidR="00F044B9" w:rsidRPr="00F044B9">
        <w:rPr>
          <w:rFonts w:hint="cs"/>
          <w:rtl/>
        </w:rPr>
        <w:t>مستثنيات القاعدة</w:t>
      </w:r>
      <w:bookmarkEnd w:id="293"/>
    </w:p>
    <w:p w:rsidR="00F044B9" w:rsidRDefault="00065E4B" w:rsidP="00662E84">
      <w:pPr>
        <w:widowControl/>
        <w:autoSpaceDE w:val="0"/>
        <w:autoSpaceDN w:val="0"/>
        <w:adjustRightInd w:val="0"/>
        <w:ind w:firstLine="720"/>
        <w:rPr>
          <w:rFonts w:ascii="Traditional Arabic" w:hAnsi="Traditional Arabic"/>
          <w:b/>
          <w:bCs/>
          <w:noProof w:val="0"/>
          <w:sz w:val="44"/>
          <w:szCs w:val="44"/>
          <w:rtl/>
          <w:lang w:eastAsia="en-US"/>
        </w:rPr>
      </w:pPr>
      <w:r>
        <w:rPr>
          <w:rFonts w:hint="cs"/>
          <w:color w:val="auto"/>
          <w:rtl/>
        </w:rPr>
        <w:t>ق</w:t>
      </w:r>
      <w:r w:rsidR="00F044B9">
        <w:rPr>
          <w:rFonts w:hint="cs"/>
          <w:color w:val="auto"/>
          <w:rtl/>
        </w:rPr>
        <w:t xml:space="preserve">ال  السيوطي </w:t>
      </w:r>
      <w:r w:rsidR="00635BEA">
        <w:rPr>
          <w:rFonts w:hint="cs"/>
          <w:color w:val="auto"/>
          <w:rtl/>
        </w:rPr>
        <w:t>_</w:t>
      </w:r>
      <w:r w:rsidR="009A0575" w:rsidRPr="005D5694">
        <w:rPr>
          <w:rFonts w:ascii="Traditional Arabic" w:hAnsi="Traditional Arabic" w:cs="CTraditional Arabic" w:hint="cs"/>
          <w:rtl/>
        </w:rPr>
        <w:t>/</w:t>
      </w:r>
      <w:r w:rsidR="00635BEA">
        <w:rPr>
          <w:rFonts w:hint="cs"/>
          <w:color w:val="auto"/>
          <w:rtl/>
        </w:rPr>
        <w:t>_</w:t>
      </w:r>
      <w:r w:rsidR="00F044B9">
        <w:rPr>
          <w:rFonts w:hint="cs"/>
          <w:color w:val="auto"/>
          <w:rtl/>
        </w:rPr>
        <w:t>:</w:t>
      </w:r>
      <w:r w:rsidR="00635BEA">
        <w:rPr>
          <w:rFonts w:hint="cs"/>
          <w:color w:val="auto"/>
          <w:rtl/>
        </w:rPr>
        <w:t xml:space="preserve"> </w:t>
      </w:r>
      <w:r w:rsidR="00B76414">
        <w:rPr>
          <w:rFonts w:hint="cs"/>
          <w:color w:val="auto"/>
          <w:rtl/>
        </w:rPr>
        <w:t>(</w:t>
      </w:r>
      <w:r w:rsidR="00F044B9" w:rsidRPr="00D74890">
        <w:rPr>
          <w:rFonts w:ascii="Traditional Arabic" w:hAnsi="Traditional Arabic"/>
          <w:noProof w:val="0"/>
          <w:rtl/>
          <w:lang w:eastAsia="en-US"/>
        </w:rPr>
        <w:t>ويستثنى من القاعدة ما كان مشروطا</w:t>
      </w:r>
      <w:r w:rsidR="00F044B9">
        <w:rPr>
          <w:rFonts w:ascii="Traditional Arabic" w:hAnsi="Traditional Arabic" w:hint="cs"/>
          <w:noProof w:val="0"/>
          <w:rtl/>
          <w:lang w:eastAsia="en-US"/>
        </w:rPr>
        <w:t>ً</w:t>
      </w:r>
      <w:r w:rsidR="00F044B9" w:rsidRPr="00D74890">
        <w:rPr>
          <w:rFonts w:ascii="Traditional Arabic" w:hAnsi="Traditional Arabic"/>
          <w:noProof w:val="0"/>
          <w:rtl/>
          <w:lang w:eastAsia="en-US"/>
        </w:rPr>
        <w:t xml:space="preserve"> بسلامة العاقبة، كضرب المعل</w:t>
      </w:r>
      <w:r w:rsidR="00F044B9">
        <w:rPr>
          <w:rFonts w:ascii="Traditional Arabic" w:hAnsi="Traditional Arabic" w:hint="cs"/>
          <w:noProof w:val="0"/>
          <w:rtl/>
          <w:lang w:eastAsia="en-US"/>
        </w:rPr>
        <w:t>ِّ</w:t>
      </w:r>
      <w:r w:rsidR="00F044B9" w:rsidRPr="00D74890">
        <w:rPr>
          <w:rFonts w:ascii="Traditional Arabic" w:hAnsi="Traditional Arabic"/>
          <w:noProof w:val="0"/>
          <w:rtl/>
          <w:lang w:eastAsia="en-US"/>
        </w:rPr>
        <w:t>م، والزوج، والولي، وتعزير</w:t>
      </w:r>
      <w:r w:rsidR="00662E84">
        <w:rPr>
          <w:rStyle w:val="af1"/>
          <w:rFonts w:hint="cs"/>
          <w:szCs w:val="32"/>
          <w:rtl/>
        </w:rPr>
        <w:t xml:space="preserve"> </w:t>
      </w:r>
      <w:r w:rsidR="00F044B9" w:rsidRPr="00D74890">
        <w:rPr>
          <w:rFonts w:ascii="Traditional Arabic" w:hAnsi="Traditional Arabic"/>
          <w:noProof w:val="0"/>
          <w:rtl/>
          <w:lang w:eastAsia="en-US"/>
        </w:rPr>
        <w:t>الحاكم</w:t>
      </w:r>
      <w:r w:rsidR="00F044B9">
        <w:rPr>
          <w:rFonts w:ascii="Traditional Arabic" w:hAnsi="Traditional Arabic" w:hint="cs"/>
          <w:noProof w:val="0"/>
          <w:rtl/>
          <w:lang w:eastAsia="en-US"/>
        </w:rPr>
        <w:t>،</w:t>
      </w:r>
      <w:r w:rsidR="00635BEA">
        <w:rPr>
          <w:rFonts w:ascii="Traditional Arabic" w:hAnsi="Traditional Arabic" w:hint="cs"/>
          <w:noProof w:val="0"/>
          <w:rtl/>
          <w:lang w:eastAsia="en-US"/>
        </w:rPr>
        <w:t>...</w:t>
      </w:r>
      <w:r w:rsidR="00F044B9">
        <w:rPr>
          <w:rFonts w:ascii="Traditional Arabic" w:hAnsi="Traditional Arabic" w:hint="cs"/>
          <w:noProof w:val="0"/>
          <w:rtl/>
          <w:lang w:eastAsia="en-US"/>
        </w:rPr>
        <w:t xml:space="preserve"> ونحو ذلك)</w:t>
      </w:r>
      <w:r w:rsidR="00F044B9" w:rsidRPr="00C821A1">
        <w:rPr>
          <w:rStyle w:val="af1"/>
          <w:szCs w:val="32"/>
          <w:rtl/>
        </w:rPr>
        <w:t>(</w:t>
      </w:r>
      <w:r w:rsidR="00F044B9" w:rsidRPr="00C821A1">
        <w:rPr>
          <w:rStyle w:val="af1"/>
          <w:szCs w:val="32"/>
          <w:rtl/>
        </w:rPr>
        <w:footnoteReference w:id="1475"/>
      </w:r>
      <w:r w:rsidR="00F044B9" w:rsidRPr="00C821A1">
        <w:rPr>
          <w:rStyle w:val="af1"/>
          <w:szCs w:val="32"/>
          <w:rtl/>
        </w:rPr>
        <w:t>)</w:t>
      </w:r>
      <w:r w:rsidR="00F044B9" w:rsidRPr="00D74890">
        <w:rPr>
          <w:rFonts w:ascii="Traditional Arabic" w:hAnsi="Traditional Arabic"/>
          <w:noProof w:val="0"/>
          <w:rtl/>
          <w:lang w:eastAsia="en-US"/>
        </w:rPr>
        <w:t>.</w:t>
      </w:r>
    </w:p>
    <w:p w:rsidR="009840EE" w:rsidRPr="005F53FF" w:rsidRDefault="009840EE" w:rsidP="00597C20">
      <w:pPr>
        <w:pStyle w:val="aff0"/>
        <w:rPr>
          <w:rtl/>
        </w:rPr>
      </w:pPr>
      <w:bookmarkStart w:id="294" w:name="_Toc334046510"/>
      <w:r w:rsidRPr="005F53FF">
        <w:rPr>
          <w:rFonts w:hint="cs"/>
          <w:rtl/>
        </w:rPr>
        <w:lastRenderedPageBreak/>
        <w:t>الفصل الثامن</w:t>
      </w:r>
      <w:r w:rsidRPr="005F53FF">
        <w:rPr>
          <w:rFonts w:hint="eastAsia"/>
          <w:rtl/>
        </w:rPr>
        <w:t> :</w:t>
      </w:r>
      <w:r w:rsidRPr="005F53FF">
        <w:rPr>
          <w:rFonts w:hint="cs"/>
          <w:rtl/>
        </w:rPr>
        <w:t>القواعد المتعلقة بالشروط والأسباب والعقود</w:t>
      </w:r>
      <w:bookmarkEnd w:id="294"/>
    </w:p>
    <w:p w:rsidR="009840EE" w:rsidRPr="002D7A92" w:rsidRDefault="009840EE"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ثلاثة مباحث:</w:t>
      </w:r>
    </w:p>
    <w:p w:rsidR="009840EE" w:rsidRPr="00031790" w:rsidRDefault="009840EE"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 xml:space="preserve">قاعدة </w:t>
      </w:r>
      <w:r w:rsidR="00F12748">
        <w:rPr>
          <w:rFonts w:hint="cs"/>
          <w:rtl/>
        </w:rPr>
        <w:t xml:space="preserve">جميع </w:t>
      </w:r>
      <w:r w:rsidRPr="00031790">
        <w:rPr>
          <w:rFonts w:hint="cs"/>
          <w:rtl/>
        </w:rPr>
        <w:t>العقود والشروط الفاسدة</w:t>
      </w:r>
      <w:r w:rsidR="00F12748">
        <w:rPr>
          <w:rFonts w:hint="cs"/>
          <w:rtl/>
        </w:rPr>
        <w:t>:</w:t>
      </w:r>
      <w:r w:rsidRPr="00031790">
        <w:rPr>
          <w:rFonts w:hint="cs"/>
          <w:rtl/>
        </w:rPr>
        <w:t xml:space="preserve"> عقدها حرام واشتراطها حرام.</w:t>
      </w:r>
    </w:p>
    <w:p w:rsidR="009840EE" w:rsidRPr="00031790" w:rsidRDefault="009840EE" w:rsidP="00597C20">
      <w:pPr>
        <w:tabs>
          <w:tab w:val="left" w:pos="2833"/>
        </w:tabs>
        <w:ind w:left="2833" w:hanging="2268"/>
        <w:jc w:val="left"/>
        <w:rPr>
          <w:rtl/>
        </w:rPr>
      </w:pPr>
      <w:r w:rsidRPr="00FD5687">
        <w:rPr>
          <w:rFonts w:hint="cs"/>
          <w:b/>
          <w:bCs/>
          <w:rtl/>
        </w:rPr>
        <w:t>المبحث الثاني:</w:t>
      </w:r>
      <w:r w:rsidR="002F34AD">
        <w:rPr>
          <w:rFonts w:hint="cs"/>
          <w:rtl/>
        </w:rPr>
        <w:tab/>
      </w:r>
      <w:r w:rsidRPr="00031790">
        <w:rPr>
          <w:rFonts w:hint="cs"/>
          <w:rtl/>
        </w:rPr>
        <w:t>قاعدة جميع العقود والفسوخ لابد فيها من الرضا.</w:t>
      </w:r>
    </w:p>
    <w:p w:rsidR="009840EE" w:rsidRPr="00031790" w:rsidRDefault="009840EE" w:rsidP="00597C20">
      <w:pPr>
        <w:tabs>
          <w:tab w:val="left" w:pos="2833"/>
        </w:tabs>
        <w:ind w:left="2833" w:hanging="2268"/>
        <w:jc w:val="left"/>
        <w:rPr>
          <w:rtl/>
        </w:rPr>
      </w:pPr>
      <w:r w:rsidRPr="00FD5687">
        <w:rPr>
          <w:rFonts w:hint="cs"/>
          <w:b/>
          <w:bCs/>
          <w:rtl/>
        </w:rPr>
        <w:t>المبحث الثالث:</w:t>
      </w:r>
      <w:r w:rsidR="002F34AD">
        <w:rPr>
          <w:rFonts w:hint="cs"/>
          <w:rtl/>
        </w:rPr>
        <w:tab/>
      </w:r>
      <w:r w:rsidR="00F12748">
        <w:rPr>
          <w:rFonts w:hint="cs"/>
          <w:rtl/>
        </w:rPr>
        <w:t>قاعدة الحكم يدور مع علته وجودا وعدما</w:t>
      </w:r>
      <w:r w:rsidRPr="00031790">
        <w:rPr>
          <w:rFonts w:hint="cs"/>
          <w:rtl/>
        </w:rPr>
        <w:t>.</w:t>
      </w:r>
    </w:p>
    <w:p w:rsidR="009840EE" w:rsidRPr="00C85F0F" w:rsidRDefault="00D5163B" w:rsidP="000F5C0F">
      <w:pPr>
        <w:pStyle w:val="aff2"/>
        <w:rPr>
          <w:rStyle w:val="af1"/>
          <w:b w:val="0"/>
          <w:bCs w:val="0"/>
          <w:rtl/>
        </w:rPr>
      </w:pPr>
      <w:bookmarkStart w:id="295" w:name="_Toc334046511"/>
      <w:r w:rsidRPr="00813FCE">
        <w:rPr>
          <w:rFonts w:ascii="Traditional Arabic" w:hAnsi="Traditional Arabic" w:hint="cs"/>
          <w:rtl/>
        </w:rPr>
        <w:lastRenderedPageBreak/>
        <w:t>المبحث الأول</w:t>
      </w:r>
      <w:r w:rsidRPr="00813FCE">
        <w:rPr>
          <w:rFonts w:ascii="Traditional Arabic" w:hAnsi="Traditional Arabic" w:hint="eastAsia"/>
          <w:rtl/>
        </w:rPr>
        <w:t> :</w:t>
      </w:r>
      <w:r w:rsidRPr="00813FCE">
        <w:rPr>
          <w:rFonts w:ascii="Traditional Arabic" w:hAnsi="Traditional Arabic" w:hint="cs"/>
          <w:rtl/>
        </w:rPr>
        <w:br/>
      </w:r>
      <w:r w:rsidR="009840EE">
        <w:rPr>
          <w:rFonts w:hint="cs"/>
          <w:rtl/>
        </w:rPr>
        <w:t>قاعدة</w:t>
      </w:r>
      <w:r w:rsidR="009840EE">
        <w:rPr>
          <w:rtl/>
        </w:rPr>
        <w:br/>
      </w:r>
      <w:r w:rsidR="00D129F0">
        <w:rPr>
          <w:rFonts w:hint="cs"/>
          <w:rtl/>
        </w:rPr>
        <w:t>"</w:t>
      </w:r>
      <w:r w:rsidR="00925718">
        <w:rPr>
          <w:rFonts w:hint="cs"/>
          <w:rtl/>
        </w:rPr>
        <w:t xml:space="preserve">جميع </w:t>
      </w:r>
      <w:r w:rsidR="009840EE">
        <w:rPr>
          <w:rFonts w:hint="cs"/>
          <w:rtl/>
        </w:rPr>
        <w:t>العقود والشروط الفاسدة: عقدها حرام واشتراطها حرام</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جميعالعقودوالشروطالفاسدةعقدهاحرامواشتراطهاحرام</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9840EE" w:rsidRPr="00C85F0F">
        <w:rPr>
          <w:rFonts w:hint="cs"/>
          <w:rtl/>
        </w:rPr>
        <w:t>"</w:t>
      </w:r>
      <w:r w:rsidR="009840EE" w:rsidRPr="00C85F0F">
        <w:rPr>
          <w:rStyle w:val="af1"/>
          <w:b w:val="0"/>
          <w:bCs w:val="0"/>
          <w:szCs w:val="32"/>
          <w:rtl/>
        </w:rPr>
        <w:t>(</w:t>
      </w:r>
      <w:r w:rsidR="009840EE" w:rsidRPr="00C85F0F">
        <w:rPr>
          <w:rStyle w:val="af1"/>
          <w:b w:val="0"/>
          <w:bCs w:val="0"/>
          <w:szCs w:val="32"/>
          <w:rtl/>
        </w:rPr>
        <w:footnoteReference w:id="1476"/>
      </w:r>
      <w:r w:rsidR="009840EE" w:rsidRPr="00C85F0F">
        <w:rPr>
          <w:rStyle w:val="af1"/>
          <w:b w:val="0"/>
          <w:bCs w:val="0"/>
          <w:szCs w:val="32"/>
          <w:rtl/>
        </w:rPr>
        <w:t>)</w:t>
      </w:r>
      <w:bookmarkEnd w:id="295"/>
    </w:p>
    <w:p w:rsidR="009840EE" w:rsidRPr="00C85F0F" w:rsidRDefault="00D129F0" w:rsidP="00A8347C">
      <w:pPr>
        <w:pStyle w:val="aff3"/>
        <w:rPr>
          <w:rtl/>
        </w:rPr>
      </w:pPr>
      <w:bookmarkStart w:id="296" w:name="_Toc334046512"/>
      <w:r>
        <w:rPr>
          <w:rFonts w:hint="cs"/>
          <w:rtl/>
        </w:rPr>
        <w:t xml:space="preserve">                                          المطلب</w:t>
      </w:r>
      <w:r w:rsidR="00FE722E">
        <w:rPr>
          <w:rFonts w:hint="cs"/>
          <w:rtl/>
        </w:rPr>
        <w:t xml:space="preserve"> </w:t>
      </w:r>
      <w:r w:rsidR="009840EE" w:rsidRPr="00C85F0F">
        <w:rPr>
          <w:rFonts w:hint="cs"/>
          <w:rtl/>
        </w:rPr>
        <w:t>الأول</w:t>
      </w:r>
      <w:r w:rsidR="009840EE" w:rsidRPr="00C85F0F">
        <w:rPr>
          <w:rFonts w:hint="eastAsia"/>
          <w:rtl/>
        </w:rPr>
        <w:t> :</w:t>
      </w:r>
      <w:r w:rsidR="009840EE" w:rsidRPr="00C85F0F">
        <w:rPr>
          <w:rFonts w:hint="cs"/>
          <w:rtl/>
        </w:rPr>
        <w:br/>
      </w:r>
      <w:r>
        <w:rPr>
          <w:rFonts w:hint="cs"/>
          <w:rtl/>
        </w:rPr>
        <w:t xml:space="preserve">                         </w:t>
      </w:r>
      <w:r w:rsidR="009840EE" w:rsidRPr="00C85F0F">
        <w:rPr>
          <w:rFonts w:hint="cs"/>
          <w:rtl/>
        </w:rPr>
        <w:t>صيغ القاعدة عند الشيخ وعند علماء القواعد</w:t>
      </w:r>
      <w:bookmarkEnd w:id="296"/>
    </w:p>
    <w:p w:rsidR="009840EE" w:rsidRPr="00C85F0F" w:rsidRDefault="009840EE" w:rsidP="00597C20">
      <w:pPr>
        <w:ind w:firstLine="0"/>
        <w:rPr>
          <w:rStyle w:val="af1"/>
          <w:vertAlign w:val="baseline"/>
          <w:rtl/>
        </w:rPr>
      </w:pPr>
      <w:r w:rsidRPr="00C85F0F">
        <w:rPr>
          <w:rStyle w:val="af1"/>
          <w:rFonts w:hint="cs"/>
          <w:vertAlign w:val="baseline"/>
          <w:rtl/>
        </w:rPr>
        <w:t>وردت هذه القاعدة عند الشيخ ابن عثيمين بعدة صيغ، منها:</w:t>
      </w:r>
    </w:p>
    <w:p w:rsidR="00F228A9" w:rsidRPr="00C85F0F" w:rsidRDefault="009840EE" w:rsidP="000A76C7">
      <w:pPr>
        <w:numPr>
          <w:ilvl w:val="0"/>
          <w:numId w:val="201"/>
        </w:numPr>
      </w:pPr>
      <w:r w:rsidRPr="00C85F0F">
        <w:rPr>
          <w:rFonts w:hint="cs"/>
          <w:rtl/>
        </w:rPr>
        <w:t>كل عقد فاسد وكل شرط فاسد وكل عبادة فاسدة، فإنه يحرُم المُضِيُّ فيها</w:t>
      </w:r>
      <w:r w:rsidRPr="00C85F0F">
        <w:rPr>
          <w:rStyle w:val="af1"/>
          <w:szCs w:val="32"/>
          <w:rtl/>
        </w:rPr>
        <w:t>(</w:t>
      </w:r>
      <w:r w:rsidRPr="00C85F0F">
        <w:rPr>
          <w:rStyle w:val="af1"/>
          <w:szCs w:val="32"/>
          <w:rtl/>
        </w:rPr>
        <w:footnoteReference w:id="1477"/>
      </w:r>
      <w:r w:rsidRPr="00C85F0F">
        <w:rPr>
          <w:rStyle w:val="af1"/>
          <w:szCs w:val="32"/>
          <w:rtl/>
        </w:rPr>
        <w:t>)</w:t>
      </w:r>
      <w:r w:rsidRPr="00C85F0F">
        <w:rPr>
          <w:rFonts w:hint="cs"/>
          <w:rtl/>
        </w:rPr>
        <w:t>.</w:t>
      </w:r>
    </w:p>
    <w:p w:rsidR="009840EE" w:rsidRPr="00C85F0F" w:rsidRDefault="009840EE" w:rsidP="000A76C7">
      <w:pPr>
        <w:numPr>
          <w:ilvl w:val="0"/>
          <w:numId w:val="201"/>
        </w:numPr>
      </w:pPr>
      <w:r w:rsidRPr="00C85F0F">
        <w:rPr>
          <w:rFonts w:hint="cs"/>
          <w:rtl/>
        </w:rPr>
        <w:t>كل شيء لايصحّ فهو حرام</w:t>
      </w:r>
      <w:r w:rsidRPr="00C85F0F">
        <w:rPr>
          <w:rStyle w:val="af1"/>
          <w:szCs w:val="32"/>
          <w:rtl/>
        </w:rPr>
        <w:t>(</w:t>
      </w:r>
      <w:r w:rsidRPr="00C85F0F">
        <w:rPr>
          <w:rStyle w:val="af1"/>
          <w:szCs w:val="32"/>
          <w:rtl/>
        </w:rPr>
        <w:footnoteReference w:id="1478"/>
      </w:r>
      <w:r w:rsidRPr="00C85F0F">
        <w:rPr>
          <w:rStyle w:val="af1"/>
          <w:szCs w:val="32"/>
          <w:rtl/>
        </w:rPr>
        <w:t>)</w:t>
      </w:r>
      <w:r w:rsidRPr="00C85F0F">
        <w:rPr>
          <w:rFonts w:hint="cs"/>
          <w:rtl/>
        </w:rPr>
        <w:t>.</w:t>
      </w:r>
    </w:p>
    <w:p w:rsidR="009840EE" w:rsidRPr="00C85F0F" w:rsidRDefault="009840EE" w:rsidP="000A76C7">
      <w:pPr>
        <w:numPr>
          <w:ilvl w:val="0"/>
          <w:numId w:val="201"/>
        </w:numPr>
      </w:pPr>
      <w:r w:rsidRPr="00C85F0F">
        <w:rPr>
          <w:rFonts w:hint="cs"/>
          <w:rtl/>
        </w:rPr>
        <w:t>كل شرط فاسد فهو حرام</w:t>
      </w:r>
      <w:r w:rsidRPr="00C85F0F">
        <w:rPr>
          <w:rStyle w:val="af1"/>
          <w:szCs w:val="32"/>
          <w:rtl/>
        </w:rPr>
        <w:t>(</w:t>
      </w:r>
      <w:r w:rsidRPr="00C85F0F">
        <w:rPr>
          <w:rStyle w:val="af1"/>
          <w:szCs w:val="32"/>
          <w:rtl/>
        </w:rPr>
        <w:footnoteReference w:id="1479"/>
      </w:r>
      <w:r w:rsidRPr="00C85F0F">
        <w:rPr>
          <w:rStyle w:val="af1"/>
          <w:szCs w:val="32"/>
          <w:rtl/>
        </w:rPr>
        <w:t>)</w:t>
      </w:r>
      <w:r w:rsidRPr="00C85F0F">
        <w:rPr>
          <w:rFonts w:hint="cs"/>
          <w:rtl/>
        </w:rPr>
        <w:t>.</w:t>
      </w:r>
    </w:p>
    <w:p w:rsidR="009840EE" w:rsidRPr="00C85F0F" w:rsidRDefault="009840EE" w:rsidP="000A76C7">
      <w:pPr>
        <w:numPr>
          <w:ilvl w:val="0"/>
          <w:numId w:val="201"/>
        </w:numPr>
      </w:pPr>
      <w:r w:rsidRPr="00C85F0F">
        <w:rPr>
          <w:rFonts w:hint="cs"/>
          <w:rtl/>
        </w:rPr>
        <w:t>جميع العقود والشروط الفاسدة: عَقْدُها حرام واشتراطُها حرام</w:t>
      </w:r>
      <w:r w:rsidRPr="00C85F0F">
        <w:rPr>
          <w:rStyle w:val="af1"/>
          <w:szCs w:val="32"/>
          <w:rtl/>
        </w:rPr>
        <w:t>(</w:t>
      </w:r>
      <w:r w:rsidRPr="00C85F0F">
        <w:rPr>
          <w:rStyle w:val="af1"/>
          <w:szCs w:val="32"/>
          <w:rtl/>
        </w:rPr>
        <w:footnoteReference w:id="1480"/>
      </w:r>
      <w:r w:rsidRPr="00C85F0F">
        <w:rPr>
          <w:rStyle w:val="af1"/>
          <w:szCs w:val="32"/>
          <w:rtl/>
        </w:rPr>
        <w:t>)</w:t>
      </w:r>
      <w:r w:rsidRPr="00C85F0F">
        <w:rPr>
          <w:rFonts w:hint="cs"/>
          <w:rtl/>
        </w:rPr>
        <w:t>.</w:t>
      </w:r>
    </w:p>
    <w:p w:rsidR="009840EE" w:rsidRPr="00C85F0F" w:rsidRDefault="009840EE" w:rsidP="000A76C7">
      <w:pPr>
        <w:numPr>
          <w:ilvl w:val="0"/>
          <w:numId w:val="201"/>
        </w:numPr>
      </w:pPr>
      <w:r w:rsidRPr="00C85F0F">
        <w:rPr>
          <w:rFonts w:hint="cs"/>
          <w:rtl/>
        </w:rPr>
        <w:t>كل عقد فاسد، وكل شرط فاسد... فهو حرام</w:t>
      </w:r>
      <w:r w:rsidRPr="00C85F0F">
        <w:rPr>
          <w:rStyle w:val="af1"/>
          <w:szCs w:val="32"/>
          <w:rtl/>
        </w:rPr>
        <w:t>(</w:t>
      </w:r>
      <w:r w:rsidRPr="00C85F0F">
        <w:rPr>
          <w:rStyle w:val="af1"/>
          <w:szCs w:val="32"/>
          <w:rtl/>
        </w:rPr>
        <w:footnoteReference w:id="1481"/>
      </w:r>
      <w:r w:rsidRPr="00C85F0F">
        <w:rPr>
          <w:rStyle w:val="af1"/>
          <w:szCs w:val="32"/>
          <w:rtl/>
        </w:rPr>
        <w:t>)</w:t>
      </w:r>
      <w:r w:rsidRPr="00C85F0F">
        <w:rPr>
          <w:rFonts w:hint="cs"/>
          <w:rtl/>
        </w:rPr>
        <w:t>.</w:t>
      </w:r>
    </w:p>
    <w:p w:rsidR="009840EE" w:rsidRPr="00C85F0F" w:rsidRDefault="009840EE" w:rsidP="000A76C7">
      <w:pPr>
        <w:numPr>
          <w:ilvl w:val="0"/>
          <w:numId w:val="201"/>
        </w:numPr>
      </w:pPr>
      <w:r w:rsidRPr="00C85F0F">
        <w:rPr>
          <w:rFonts w:hint="cs"/>
          <w:rtl/>
        </w:rPr>
        <w:t>كل فاسد من العبادات والعقود والشروط فإنه محرَّم</w:t>
      </w:r>
      <w:r w:rsidRPr="00C85F0F">
        <w:rPr>
          <w:rStyle w:val="af1"/>
          <w:szCs w:val="32"/>
          <w:rtl/>
        </w:rPr>
        <w:t>(</w:t>
      </w:r>
      <w:r w:rsidRPr="00C85F0F">
        <w:rPr>
          <w:rStyle w:val="af1"/>
          <w:szCs w:val="32"/>
          <w:rtl/>
        </w:rPr>
        <w:footnoteReference w:id="1482"/>
      </w:r>
      <w:r w:rsidRPr="00C85F0F">
        <w:rPr>
          <w:rStyle w:val="af1"/>
          <w:szCs w:val="32"/>
          <w:rtl/>
        </w:rPr>
        <w:t>)</w:t>
      </w:r>
      <w:r w:rsidRPr="00C85F0F">
        <w:rPr>
          <w:rFonts w:hint="cs"/>
          <w:rtl/>
        </w:rPr>
        <w:t>.</w:t>
      </w:r>
    </w:p>
    <w:p w:rsidR="009840EE" w:rsidRPr="00C85F0F" w:rsidRDefault="009840EE" w:rsidP="000A76C7">
      <w:pPr>
        <w:numPr>
          <w:ilvl w:val="0"/>
          <w:numId w:val="201"/>
        </w:numPr>
      </w:pPr>
      <w:r w:rsidRPr="00C85F0F">
        <w:rPr>
          <w:rFonts w:hint="cs"/>
          <w:rtl/>
        </w:rPr>
        <w:lastRenderedPageBreak/>
        <w:t>جميع العقود الفاسدة يحرُم تَعاطيها، وجميع الشروط الفاسدة في العقود يحرم تعاطيها</w:t>
      </w:r>
      <w:r w:rsidRPr="00C85F0F">
        <w:rPr>
          <w:rStyle w:val="af1"/>
          <w:szCs w:val="32"/>
          <w:rtl/>
        </w:rPr>
        <w:t>(</w:t>
      </w:r>
      <w:r w:rsidRPr="00C85F0F">
        <w:rPr>
          <w:rStyle w:val="af1"/>
          <w:szCs w:val="32"/>
          <w:rtl/>
        </w:rPr>
        <w:footnoteReference w:id="1483"/>
      </w:r>
      <w:r w:rsidRPr="00C85F0F">
        <w:rPr>
          <w:rStyle w:val="af1"/>
          <w:szCs w:val="32"/>
          <w:rtl/>
        </w:rPr>
        <w:t>)</w:t>
      </w:r>
      <w:r w:rsidRPr="00C85F0F">
        <w:rPr>
          <w:rFonts w:hint="cs"/>
          <w:rtl/>
        </w:rPr>
        <w:t>.</w:t>
      </w:r>
    </w:p>
    <w:p w:rsidR="009840EE" w:rsidRPr="00C85F0F" w:rsidRDefault="009840EE" w:rsidP="000A76C7">
      <w:pPr>
        <w:numPr>
          <w:ilvl w:val="0"/>
          <w:numId w:val="201"/>
        </w:numPr>
      </w:pPr>
      <w:r w:rsidRPr="00C85F0F">
        <w:rPr>
          <w:rFonts w:hint="cs"/>
          <w:rtl/>
        </w:rPr>
        <w:t>ويحرُم المضيّ فيما فَسَدا</w:t>
      </w:r>
      <w:r w:rsidR="00F12748">
        <w:rPr>
          <w:rFonts w:hint="cs"/>
          <w:rtl/>
        </w:rPr>
        <w:t xml:space="preserve">     </w:t>
      </w:r>
      <w:r w:rsidRPr="00C85F0F">
        <w:rPr>
          <w:rFonts w:hint="cs"/>
          <w:rtl/>
        </w:rPr>
        <w:t>إلا بحجٍّ واعتمارٍ أبدا</w:t>
      </w:r>
      <w:r w:rsidRPr="00C85F0F">
        <w:rPr>
          <w:rStyle w:val="af1"/>
          <w:szCs w:val="32"/>
          <w:rtl/>
        </w:rPr>
        <w:t>(</w:t>
      </w:r>
      <w:r w:rsidRPr="00C85F0F">
        <w:rPr>
          <w:rStyle w:val="af1"/>
          <w:szCs w:val="32"/>
          <w:rtl/>
        </w:rPr>
        <w:footnoteReference w:id="1484"/>
      </w:r>
      <w:r w:rsidRPr="00C85F0F">
        <w:rPr>
          <w:rStyle w:val="af1"/>
          <w:szCs w:val="32"/>
          <w:rtl/>
        </w:rPr>
        <w:t>)</w:t>
      </w:r>
      <w:r w:rsidRPr="00C85F0F">
        <w:rPr>
          <w:rFonts w:hint="cs"/>
          <w:rtl/>
        </w:rPr>
        <w:t>.</w:t>
      </w:r>
    </w:p>
    <w:p w:rsidR="009840EE" w:rsidRPr="00C85F0F" w:rsidRDefault="009840EE" w:rsidP="000A76C7">
      <w:pPr>
        <w:numPr>
          <w:ilvl w:val="0"/>
          <w:numId w:val="201"/>
        </w:numPr>
      </w:pPr>
      <w:r w:rsidRPr="00C85F0F">
        <w:rPr>
          <w:rFonts w:hint="cs"/>
          <w:rtl/>
        </w:rPr>
        <w:t>إيقاع العقود الفاسدة والشروط الفاسدة حرام لا يجوز</w:t>
      </w:r>
      <w:r w:rsidRPr="00C85F0F">
        <w:rPr>
          <w:rStyle w:val="af1"/>
          <w:szCs w:val="32"/>
          <w:rtl/>
        </w:rPr>
        <w:t>(</w:t>
      </w:r>
      <w:r w:rsidRPr="00C85F0F">
        <w:rPr>
          <w:rStyle w:val="af1"/>
          <w:szCs w:val="32"/>
          <w:rtl/>
        </w:rPr>
        <w:footnoteReference w:id="1485"/>
      </w:r>
      <w:r w:rsidRPr="00C85F0F">
        <w:rPr>
          <w:rStyle w:val="af1"/>
          <w:szCs w:val="32"/>
          <w:rtl/>
        </w:rPr>
        <w:t>)</w:t>
      </w:r>
      <w:r w:rsidRPr="00C85F0F">
        <w:rPr>
          <w:rFonts w:hint="cs"/>
          <w:rtl/>
        </w:rPr>
        <w:t>.</w:t>
      </w:r>
    </w:p>
    <w:p w:rsidR="00065E4B" w:rsidRPr="00C85F0F" w:rsidRDefault="009840EE" w:rsidP="000A76C7">
      <w:pPr>
        <w:numPr>
          <w:ilvl w:val="0"/>
          <w:numId w:val="201"/>
        </w:numPr>
      </w:pPr>
      <w:r w:rsidRPr="00C85F0F">
        <w:rPr>
          <w:rFonts w:hint="cs"/>
          <w:rtl/>
        </w:rPr>
        <w:t>لا يجوز للإنسان أن يمضي في عبادة تبيَّن له أنها فاسدة، ولا في عقدٍ تبيَّن له أنه فاسد</w:t>
      </w:r>
      <w:r w:rsidRPr="00C85F0F">
        <w:rPr>
          <w:rStyle w:val="af1"/>
          <w:szCs w:val="32"/>
          <w:rtl/>
        </w:rPr>
        <w:t>(</w:t>
      </w:r>
      <w:r w:rsidRPr="00C85F0F">
        <w:rPr>
          <w:rStyle w:val="af1"/>
          <w:szCs w:val="32"/>
          <w:rtl/>
        </w:rPr>
        <w:footnoteReference w:id="1486"/>
      </w:r>
      <w:r w:rsidRPr="00C85F0F">
        <w:rPr>
          <w:rStyle w:val="af1"/>
          <w:szCs w:val="32"/>
          <w:rtl/>
        </w:rPr>
        <w:t>)</w:t>
      </w:r>
      <w:r w:rsidRPr="00C85F0F">
        <w:rPr>
          <w:rFonts w:hint="cs"/>
          <w:rtl/>
        </w:rPr>
        <w:t>.</w:t>
      </w:r>
    </w:p>
    <w:p w:rsidR="00F228A9" w:rsidRPr="00C85F0F" w:rsidRDefault="00F12748" w:rsidP="00597C20">
      <w:pPr>
        <w:widowControl/>
        <w:autoSpaceDE w:val="0"/>
        <w:autoSpaceDN w:val="0"/>
        <w:adjustRightInd w:val="0"/>
        <w:ind w:firstLine="0"/>
        <w:rPr>
          <w:rtl/>
        </w:rPr>
      </w:pPr>
      <w:r>
        <w:rPr>
          <w:rFonts w:hint="cs"/>
          <w:rtl/>
        </w:rPr>
        <w:t xml:space="preserve">    </w:t>
      </w:r>
      <w:r w:rsidR="00065E4B" w:rsidRPr="00C85F0F">
        <w:rPr>
          <w:rFonts w:hint="cs"/>
          <w:rtl/>
        </w:rPr>
        <w:t>و</w:t>
      </w:r>
      <w:r w:rsidR="009840EE" w:rsidRPr="00C85F0F">
        <w:rPr>
          <w:rFonts w:hint="cs"/>
          <w:rtl/>
        </w:rPr>
        <w:t>ممن</w:t>
      </w:r>
      <w:r w:rsidR="00FE722E">
        <w:rPr>
          <w:rFonts w:hint="cs"/>
          <w:rtl/>
        </w:rPr>
        <w:t xml:space="preserve"> </w:t>
      </w:r>
      <w:r w:rsidR="009840EE" w:rsidRPr="00C85F0F">
        <w:rPr>
          <w:rFonts w:hint="cs"/>
          <w:rtl/>
        </w:rPr>
        <w:t>تطرَّق إلى الكلام عن هذه القاعدة</w:t>
      </w:r>
      <w:r w:rsidR="009840EE" w:rsidRPr="00C85F0F">
        <w:rPr>
          <w:rStyle w:val="af1"/>
          <w:szCs w:val="32"/>
          <w:rtl/>
        </w:rPr>
        <w:t>(</w:t>
      </w:r>
      <w:r w:rsidR="009840EE" w:rsidRPr="00C85F0F">
        <w:rPr>
          <w:rStyle w:val="af1"/>
          <w:szCs w:val="32"/>
          <w:rtl/>
        </w:rPr>
        <w:footnoteReference w:id="1487"/>
      </w:r>
      <w:r w:rsidR="009840EE" w:rsidRPr="00C85F0F">
        <w:rPr>
          <w:rStyle w:val="af1"/>
          <w:szCs w:val="32"/>
          <w:rtl/>
        </w:rPr>
        <w:t>)</w:t>
      </w:r>
      <w:r w:rsidR="009840EE" w:rsidRPr="00C85F0F">
        <w:rPr>
          <w:rFonts w:hint="cs"/>
          <w:rtl/>
        </w:rPr>
        <w:t xml:space="preserve"> من علماء القواعد  تاج الدين السبكي </w:t>
      </w:r>
      <w:r w:rsidR="00FE722E">
        <w:rPr>
          <w:rFonts w:hint="cs"/>
          <w:rtl/>
        </w:rPr>
        <w:t>_</w:t>
      </w:r>
      <w:r w:rsidR="009A0575" w:rsidRPr="005D5694">
        <w:rPr>
          <w:rFonts w:ascii="Traditional Arabic" w:hAnsi="Traditional Arabic" w:cs="CTraditional Arabic" w:hint="cs"/>
          <w:rtl/>
        </w:rPr>
        <w:t>/</w:t>
      </w:r>
      <w:r w:rsidR="00FE722E">
        <w:rPr>
          <w:rFonts w:hint="cs"/>
          <w:rtl/>
        </w:rPr>
        <w:t>_</w:t>
      </w:r>
      <w:r w:rsidR="009840EE" w:rsidRPr="00C85F0F">
        <w:rPr>
          <w:rFonts w:hint="cs"/>
          <w:rtl/>
        </w:rPr>
        <w:t xml:space="preserve">، حيث </w:t>
      </w:r>
      <w:r w:rsidR="00FE722E">
        <w:rPr>
          <w:rFonts w:hint="cs"/>
          <w:rtl/>
        </w:rPr>
        <w:t xml:space="preserve">إنه </w:t>
      </w:r>
      <w:r w:rsidR="009840EE" w:rsidRPr="00C85F0F">
        <w:rPr>
          <w:rFonts w:hint="cs"/>
          <w:rtl/>
        </w:rPr>
        <w:t>قال:</w:t>
      </w:r>
    </w:p>
    <w:p w:rsidR="009840EE" w:rsidRPr="00FE722E" w:rsidRDefault="009840EE" w:rsidP="000A76C7">
      <w:pPr>
        <w:widowControl/>
        <w:numPr>
          <w:ilvl w:val="0"/>
          <w:numId w:val="203"/>
        </w:numPr>
        <w:autoSpaceDE w:val="0"/>
        <w:autoSpaceDN w:val="0"/>
        <w:adjustRightInd w:val="0"/>
        <w:rPr>
          <w:rFonts w:ascii="Traditional Arabic" w:hAnsi="Traditional Arabic"/>
          <w:noProof w:val="0"/>
          <w:color w:val="auto"/>
          <w:rtl/>
          <w:lang w:eastAsia="en-US"/>
        </w:rPr>
      </w:pPr>
      <w:r w:rsidRPr="00C85F0F">
        <w:rPr>
          <w:rFonts w:ascii="Traditional Arabic" w:hAnsi="Traditional Arabic"/>
          <w:noProof w:val="0"/>
          <w:color w:val="auto"/>
          <w:rtl/>
          <w:lang w:eastAsia="en-US"/>
        </w:rPr>
        <w:t>فصل : في الإقدام على العقود الفاسدة.</w:t>
      </w:r>
      <w:r w:rsidR="00FE722E">
        <w:rPr>
          <w:rFonts w:ascii="Traditional Arabic" w:hAnsi="Traditional Arabic" w:hint="cs"/>
          <w:noProof w:val="0"/>
          <w:color w:val="auto"/>
          <w:rtl/>
          <w:lang w:eastAsia="en-US"/>
        </w:rPr>
        <w:t xml:space="preserve"> </w:t>
      </w:r>
      <w:r w:rsidRPr="00FE722E">
        <w:rPr>
          <w:rFonts w:ascii="Traditional Arabic" w:hAnsi="Traditional Arabic"/>
          <w:noProof w:val="0"/>
          <w:color w:val="auto"/>
          <w:rtl/>
          <w:lang w:eastAsia="en-US"/>
        </w:rPr>
        <w:t>وقد ترد</w:t>
      </w:r>
      <w:r w:rsidRPr="00FE722E">
        <w:rPr>
          <w:rFonts w:ascii="Traditional Arabic" w:hAnsi="Traditional Arabic" w:hint="cs"/>
          <w:noProof w:val="0"/>
          <w:color w:val="auto"/>
          <w:rtl/>
          <w:lang w:eastAsia="en-US"/>
        </w:rPr>
        <w:t>َّ</w:t>
      </w:r>
      <w:r w:rsidRPr="00FE722E">
        <w:rPr>
          <w:rFonts w:ascii="Traditional Arabic" w:hAnsi="Traditional Arabic"/>
          <w:noProof w:val="0"/>
          <w:color w:val="auto"/>
          <w:rtl/>
          <w:lang w:eastAsia="en-US"/>
        </w:rPr>
        <w:t>د كثير من المتأخرين أهو حرام، أم حلال ؟</w:t>
      </w:r>
      <w:r w:rsidRPr="00FE722E">
        <w:rPr>
          <w:rStyle w:val="af1"/>
          <w:szCs w:val="32"/>
          <w:rtl/>
        </w:rPr>
        <w:t>(</w:t>
      </w:r>
      <w:r w:rsidRPr="00C85F0F">
        <w:rPr>
          <w:rStyle w:val="af1"/>
          <w:szCs w:val="32"/>
          <w:rtl/>
        </w:rPr>
        <w:footnoteReference w:id="1488"/>
      </w:r>
      <w:r w:rsidRPr="00FE722E">
        <w:rPr>
          <w:rStyle w:val="af1"/>
          <w:szCs w:val="32"/>
          <w:rtl/>
        </w:rPr>
        <w:t>)</w:t>
      </w:r>
    </w:p>
    <w:p w:rsidR="00065E4B" w:rsidRPr="00C85F0F" w:rsidRDefault="009840EE" w:rsidP="000A76C7">
      <w:pPr>
        <w:widowControl/>
        <w:numPr>
          <w:ilvl w:val="0"/>
          <w:numId w:val="202"/>
        </w:numPr>
        <w:autoSpaceDE w:val="0"/>
        <w:autoSpaceDN w:val="0"/>
        <w:adjustRightInd w:val="0"/>
        <w:rPr>
          <w:rtl/>
        </w:rPr>
      </w:pPr>
      <w:r w:rsidRPr="00C85F0F">
        <w:rPr>
          <w:rFonts w:hint="cs"/>
          <w:rtl/>
        </w:rPr>
        <w:t xml:space="preserve">وقال  الزركشي </w:t>
      </w:r>
      <w:r w:rsidR="00FE722E">
        <w:rPr>
          <w:rFonts w:hint="cs"/>
          <w:rtl/>
        </w:rPr>
        <w:t>_</w:t>
      </w:r>
      <w:r w:rsidR="009A0575" w:rsidRPr="005D5694">
        <w:rPr>
          <w:rFonts w:ascii="Traditional Arabic" w:hAnsi="Traditional Arabic" w:cs="CTraditional Arabic" w:hint="cs"/>
          <w:rtl/>
        </w:rPr>
        <w:t>/</w:t>
      </w:r>
      <w:r w:rsidR="00FE722E">
        <w:rPr>
          <w:rFonts w:hint="cs"/>
          <w:rtl/>
        </w:rPr>
        <w:t>_</w:t>
      </w:r>
      <w:r w:rsidRPr="00C85F0F">
        <w:rPr>
          <w:rFonts w:hint="cs"/>
          <w:rtl/>
        </w:rPr>
        <w:t xml:space="preserve">: </w:t>
      </w:r>
      <w:r w:rsidRPr="00C85F0F">
        <w:rPr>
          <w:rFonts w:ascii="Traditional Arabic" w:hAnsi="Traditional Arabic"/>
          <w:noProof w:val="0"/>
          <w:color w:val="auto"/>
          <w:rtl/>
          <w:lang w:eastAsia="en-US"/>
        </w:rPr>
        <w:t>تعاطي العقود الفاسدة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وفيه نظ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ران</w:t>
      </w:r>
      <w:r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0"/>
        <w:rPr>
          <w:rFonts w:ascii="Traditional Arabic" w:hAnsi="Traditional Arabic"/>
          <w:noProof w:val="0"/>
          <w:color w:val="auto"/>
          <w:rtl/>
          <w:lang w:eastAsia="en-US"/>
        </w:rPr>
      </w:pPr>
      <w:r w:rsidRPr="00C85F0F">
        <w:rPr>
          <w:rFonts w:ascii="Traditional Arabic" w:hAnsi="Traditional Arabic"/>
          <w:noProof w:val="0"/>
          <w:color w:val="auto"/>
          <w:rtl/>
          <w:lang w:eastAsia="en-US"/>
        </w:rPr>
        <w:t>أ</w:t>
      </w:r>
      <w:r w:rsidR="009840EE" w:rsidRPr="00C85F0F">
        <w:rPr>
          <w:rFonts w:ascii="Traditional Arabic" w:hAnsi="Traditional Arabic"/>
          <w:noProof w:val="0"/>
          <w:color w:val="auto"/>
          <w:rtl/>
          <w:lang w:eastAsia="en-US"/>
        </w:rPr>
        <w:t xml:space="preserve">حدهما </w:t>
      </w:r>
      <w:r w:rsidR="009840EE" w:rsidRPr="00C85F0F">
        <w:rPr>
          <w:rFonts w:ascii="Traditional Arabic" w:hAnsi="Traditional Arabic" w:hint="cs"/>
          <w:noProof w:val="0"/>
          <w:color w:val="auto"/>
          <w:rtl/>
          <w:lang w:eastAsia="en-US"/>
        </w:rPr>
        <w:t>:</w:t>
      </w:r>
      <w:r w:rsidR="009840EE" w:rsidRPr="00C85F0F">
        <w:rPr>
          <w:rFonts w:ascii="Traditional Arabic" w:hAnsi="Traditional Arabic"/>
          <w:noProof w:val="0"/>
          <w:color w:val="auto"/>
          <w:rtl/>
          <w:lang w:eastAsia="en-US"/>
        </w:rPr>
        <w:t>إن تعاطاها مع الجهل بالتحريم كان له ح</w:t>
      </w:r>
      <w:r w:rsidR="009840EE" w:rsidRPr="00C85F0F">
        <w:rPr>
          <w:rFonts w:ascii="Traditional Arabic" w:hAnsi="Traditional Arabic" w:hint="cs"/>
          <w:noProof w:val="0"/>
          <w:color w:val="auto"/>
          <w:rtl/>
          <w:lang w:eastAsia="en-US"/>
        </w:rPr>
        <w:t>ُ</w:t>
      </w:r>
      <w:r w:rsidR="009840EE" w:rsidRPr="00C85F0F">
        <w:rPr>
          <w:rFonts w:ascii="Traditional Arabic" w:hAnsi="Traditional Arabic"/>
          <w:noProof w:val="0"/>
          <w:color w:val="auto"/>
          <w:rtl/>
          <w:lang w:eastAsia="en-US"/>
        </w:rPr>
        <w:t>رمة</w:t>
      </w:r>
      <w:r w:rsidR="009840EE" w:rsidRPr="00C85F0F">
        <w:rPr>
          <w:rFonts w:ascii="Traditional Arabic" w:hAnsi="Traditional Arabic" w:hint="cs"/>
          <w:noProof w:val="0"/>
          <w:color w:val="auto"/>
          <w:rtl/>
          <w:lang w:eastAsia="en-US"/>
        </w:rPr>
        <w:t>،</w:t>
      </w:r>
      <w:r w:rsidR="009840EE" w:rsidRPr="00C85F0F">
        <w:rPr>
          <w:rFonts w:ascii="Traditional Arabic" w:hAnsi="Traditional Arabic"/>
          <w:noProof w:val="0"/>
          <w:color w:val="auto"/>
          <w:rtl/>
          <w:lang w:eastAsia="en-US"/>
        </w:rPr>
        <w:t xml:space="preserve"> وإن كان مع العلم بالتحريم فلا أث</w:t>
      </w:r>
      <w:r w:rsidR="009840EE" w:rsidRPr="00C85F0F">
        <w:rPr>
          <w:rFonts w:ascii="Traditional Arabic" w:hAnsi="Traditional Arabic" w:hint="cs"/>
          <w:noProof w:val="0"/>
          <w:color w:val="auto"/>
          <w:rtl/>
          <w:lang w:eastAsia="en-US"/>
        </w:rPr>
        <w:t>َ</w:t>
      </w:r>
      <w:r w:rsidR="009840EE" w:rsidRPr="00C85F0F">
        <w:rPr>
          <w:rFonts w:ascii="Traditional Arabic" w:hAnsi="Traditional Arabic"/>
          <w:noProof w:val="0"/>
          <w:color w:val="auto"/>
          <w:rtl/>
          <w:lang w:eastAsia="en-US"/>
        </w:rPr>
        <w:t>ر</w:t>
      </w:r>
      <w:r w:rsidR="009840EE" w:rsidRPr="00C85F0F">
        <w:rPr>
          <w:rFonts w:ascii="Traditional Arabic" w:hAnsi="Traditional Arabic" w:hint="cs"/>
          <w:noProof w:val="0"/>
          <w:color w:val="auto"/>
          <w:rtl/>
          <w:lang w:eastAsia="en-US"/>
        </w:rPr>
        <w:t>َ</w:t>
      </w:r>
      <w:r w:rsidR="009840EE" w:rsidRPr="00C85F0F">
        <w:rPr>
          <w:rFonts w:ascii="Traditional Arabic" w:hAnsi="Traditional Arabic"/>
          <w:noProof w:val="0"/>
          <w:color w:val="auto"/>
          <w:rtl/>
          <w:lang w:eastAsia="en-US"/>
        </w:rPr>
        <w:t xml:space="preserve"> له</w:t>
      </w:r>
      <w:r w:rsidR="009840EE"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0"/>
        <w:rPr>
          <w:rFonts w:ascii="Traditional Arabic" w:hAnsi="Traditional Arabic"/>
          <w:noProof w:val="0"/>
          <w:rtl/>
          <w:lang w:eastAsia="en-US"/>
        </w:rPr>
      </w:pPr>
      <w:r w:rsidRPr="00C85F0F">
        <w:rPr>
          <w:rFonts w:ascii="Traditional Arabic" w:hAnsi="Traditional Arabic" w:hint="cs"/>
          <w:noProof w:val="0"/>
          <w:rtl/>
          <w:lang w:eastAsia="en-US"/>
        </w:rPr>
        <w:t>.</w:t>
      </w:r>
      <w:r w:rsidR="009840EE" w:rsidRPr="00C85F0F">
        <w:rPr>
          <w:rFonts w:ascii="Traditional Arabic" w:hAnsi="Traditional Arabic" w:hint="cs"/>
          <w:noProof w:val="0"/>
          <w:rtl/>
          <w:lang w:eastAsia="en-US"/>
        </w:rPr>
        <w:t>..</w:t>
      </w:r>
      <w:r w:rsidR="009840EE" w:rsidRPr="00C85F0F">
        <w:rPr>
          <w:rFonts w:ascii="Traditional Arabic" w:hAnsi="Traditional Arabic"/>
          <w:noProof w:val="0"/>
          <w:rtl/>
          <w:lang w:eastAsia="en-US"/>
        </w:rPr>
        <w:t>النظر الثاني</w:t>
      </w:r>
      <w:r w:rsidR="009840EE" w:rsidRPr="00C85F0F">
        <w:rPr>
          <w:rFonts w:ascii="Traditional Arabic" w:hAnsi="Traditional Arabic" w:hint="cs"/>
          <w:noProof w:val="0"/>
          <w:rtl/>
          <w:lang w:eastAsia="en-US"/>
        </w:rPr>
        <w:t>:</w:t>
      </w:r>
      <w:r w:rsidR="00F12748">
        <w:rPr>
          <w:rFonts w:ascii="Traditional Arabic" w:hAnsi="Traditional Arabic" w:hint="cs"/>
          <w:noProof w:val="0"/>
          <w:rtl/>
          <w:lang w:eastAsia="en-US"/>
        </w:rPr>
        <w:t xml:space="preserve"> </w:t>
      </w:r>
      <w:r w:rsidR="009840EE" w:rsidRPr="00C85F0F">
        <w:rPr>
          <w:rFonts w:ascii="Traditional Arabic" w:hAnsi="Traditional Arabic"/>
          <w:noProof w:val="0"/>
          <w:rtl/>
          <w:lang w:eastAsia="en-US"/>
        </w:rPr>
        <w:t>في ك</w:t>
      </w:r>
      <w:r w:rsidR="009840EE" w:rsidRPr="00C85F0F">
        <w:rPr>
          <w:rFonts w:ascii="Traditional Arabic" w:hAnsi="Traditional Arabic" w:hint="cs"/>
          <w:noProof w:val="0"/>
          <w:rtl/>
          <w:lang w:eastAsia="en-US"/>
        </w:rPr>
        <w:t>َ</w:t>
      </w:r>
      <w:r w:rsidR="009840EE" w:rsidRPr="00C85F0F">
        <w:rPr>
          <w:rFonts w:ascii="Traditional Arabic" w:hAnsi="Traditional Arabic"/>
          <w:noProof w:val="0"/>
          <w:rtl/>
          <w:lang w:eastAsia="en-US"/>
        </w:rPr>
        <w:t>ون ا</w:t>
      </w:r>
      <w:r w:rsidR="009840EE" w:rsidRPr="00C85F0F">
        <w:rPr>
          <w:rFonts w:ascii="Traditional Arabic" w:hAnsi="Traditional Arabic" w:hint="cs"/>
          <w:noProof w:val="0"/>
          <w:rtl/>
          <w:lang w:eastAsia="en-US"/>
        </w:rPr>
        <w:t>لإ</w:t>
      </w:r>
      <w:r w:rsidR="009840EE" w:rsidRPr="00C85F0F">
        <w:rPr>
          <w:rFonts w:ascii="Traditional Arabic" w:hAnsi="Traditional Arabic"/>
          <w:noProof w:val="0"/>
          <w:rtl/>
          <w:lang w:eastAsia="en-US"/>
        </w:rPr>
        <w:t>قدام على العقد الفاسد حراما</w:t>
      </w:r>
      <w:r w:rsidR="009840EE" w:rsidRPr="00C85F0F">
        <w:rPr>
          <w:rFonts w:ascii="Traditional Arabic" w:hAnsi="Traditional Arabic" w:hint="cs"/>
          <w:noProof w:val="0"/>
          <w:rtl/>
          <w:lang w:eastAsia="en-US"/>
        </w:rPr>
        <w:t>ً</w:t>
      </w:r>
      <w:r w:rsidR="009840EE" w:rsidRPr="00C85F0F">
        <w:rPr>
          <w:rFonts w:ascii="Traditional Arabic" w:hAnsi="Traditional Arabic"/>
          <w:noProof w:val="0"/>
          <w:rtl/>
          <w:lang w:eastAsia="en-US"/>
        </w:rPr>
        <w:t xml:space="preserve"> أم لا</w:t>
      </w:r>
      <w:r w:rsidR="009840EE" w:rsidRPr="00C85F0F">
        <w:rPr>
          <w:rFonts w:ascii="Traditional Arabic" w:hAnsi="Traditional Arabic" w:hint="cs"/>
          <w:noProof w:val="0"/>
          <w:rtl/>
          <w:lang w:eastAsia="en-US"/>
        </w:rPr>
        <w:t>؟</w:t>
      </w:r>
      <w:r w:rsidR="009840EE" w:rsidRPr="00C85F0F">
        <w:rPr>
          <w:rStyle w:val="af1"/>
          <w:szCs w:val="32"/>
          <w:rtl/>
        </w:rPr>
        <w:t>(</w:t>
      </w:r>
      <w:r w:rsidR="009840EE" w:rsidRPr="00C85F0F">
        <w:rPr>
          <w:rStyle w:val="af1"/>
          <w:szCs w:val="32"/>
          <w:rtl/>
        </w:rPr>
        <w:footnoteReference w:id="1489"/>
      </w:r>
      <w:r w:rsidR="009840EE" w:rsidRPr="00C85F0F">
        <w:rPr>
          <w:rStyle w:val="af1"/>
          <w:szCs w:val="32"/>
          <w:rtl/>
        </w:rPr>
        <w:t>)</w:t>
      </w:r>
    </w:p>
    <w:p w:rsidR="009840EE" w:rsidRPr="00C85F0F" w:rsidRDefault="00F12748" w:rsidP="00597C20">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sidRPr="00C85F0F">
        <w:rPr>
          <w:rFonts w:ascii="Traditional Arabic" w:hAnsi="Traditional Arabic" w:hint="cs"/>
          <w:noProof w:val="0"/>
          <w:rtl/>
          <w:lang w:eastAsia="en-US"/>
        </w:rPr>
        <w:t>و</w:t>
      </w:r>
      <w:r w:rsidR="009840EE" w:rsidRPr="00C85F0F">
        <w:rPr>
          <w:rFonts w:ascii="Traditional Arabic" w:hAnsi="Traditional Arabic" w:hint="cs"/>
          <w:noProof w:val="0"/>
          <w:rtl/>
          <w:lang w:eastAsia="en-US"/>
        </w:rPr>
        <w:t>أورد  السيوطي</w:t>
      </w:r>
      <w:r w:rsidR="00FE722E">
        <w:rPr>
          <w:rFonts w:ascii="Traditional Arabic" w:hAnsi="Traditional Arabic" w:hint="cs"/>
          <w:noProof w:val="0"/>
          <w:rtl/>
          <w:lang w:eastAsia="en-US"/>
        </w:rPr>
        <w:t>_رحمه الله_</w:t>
      </w:r>
      <w:r w:rsidR="009840EE" w:rsidRPr="00C85F0F">
        <w:rPr>
          <w:rFonts w:ascii="Traditional Arabic" w:hAnsi="Traditional Arabic" w:hint="cs"/>
          <w:noProof w:val="0"/>
          <w:rtl/>
          <w:lang w:eastAsia="en-US"/>
        </w:rPr>
        <w:t xml:space="preserve"> هذه القاعدة فقال:</w:t>
      </w:r>
    </w:p>
    <w:p w:rsidR="009840EE" w:rsidRPr="00C85F0F" w:rsidRDefault="009840EE" w:rsidP="000A76C7">
      <w:pPr>
        <w:numPr>
          <w:ilvl w:val="0"/>
          <w:numId w:val="202"/>
        </w:numPr>
      </w:pPr>
      <w:r w:rsidRPr="00C85F0F">
        <w:rPr>
          <w:rFonts w:hint="cs"/>
          <w:rtl/>
        </w:rPr>
        <w:t>تعاطي العقود الفاسدة حرام</w:t>
      </w:r>
      <w:r w:rsidRPr="00C85F0F">
        <w:rPr>
          <w:rStyle w:val="af1"/>
          <w:szCs w:val="32"/>
          <w:rtl/>
        </w:rPr>
        <w:t>(</w:t>
      </w:r>
      <w:r w:rsidRPr="00C85F0F">
        <w:rPr>
          <w:rStyle w:val="af1"/>
          <w:szCs w:val="32"/>
          <w:rtl/>
        </w:rPr>
        <w:footnoteReference w:id="1490"/>
      </w:r>
      <w:r w:rsidRPr="00C85F0F">
        <w:rPr>
          <w:rStyle w:val="af1"/>
          <w:szCs w:val="32"/>
          <w:rtl/>
        </w:rPr>
        <w:t>)</w:t>
      </w:r>
      <w:r w:rsidRPr="00C85F0F">
        <w:rPr>
          <w:rFonts w:hint="cs"/>
          <w:rtl/>
        </w:rPr>
        <w:t>.</w:t>
      </w:r>
    </w:p>
    <w:p w:rsidR="00065E4B" w:rsidRPr="00C85F0F" w:rsidRDefault="00D129F0" w:rsidP="00A8347C">
      <w:pPr>
        <w:pStyle w:val="aff3"/>
        <w:rPr>
          <w:rtl/>
        </w:rPr>
      </w:pPr>
      <w:bookmarkStart w:id="297" w:name="_Toc334046513"/>
      <w:r>
        <w:rPr>
          <w:rFonts w:hint="cs"/>
          <w:rtl/>
        </w:rPr>
        <w:lastRenderedPageBreak/>
        <w:t xml:space="preserve">                                          المطلب</w:t>
      </w:r>
      <w:r w:rsidR="00FE722E">
        <w:rPr>
          <w:rFonts w:hint="cs"/>
          <w:rtl/>
        </w:rPr>
        <w:t xml:space="preserve"> </w:t>
      </w:r>
      <w:r w:rsidR="009840EE" w:rsidRPr="00C85F0F">
        <w:rPr>
          <w:rFonts w:hint="cs"/>
          <w:rtl/>
        </w:rPr>
        <w:t>الثاني</w:t>
      </w:r>
      <w:r w:rsidR="009840EE" w:rsidRPr="00C85F0F">
        <w:rPr>
          <w:rFonts w:hint="eastAsia"/>
          <w:rtl/>
        </w:rPr>
        <w:t> :</w:t>
      </w:r>
      <w:r w:rsidR="009840EE" w:rsidRPr="00C85F0F">
        <w:rPr>
          <w:rFonts w:hint="cs"/>
          <w:rtl/>
        </w:rPr>
        <w:br/>
      </w:r>
      <w:r>
        <w:rPr>
          <w:rFonts w:hint="cs"/>
          <w:rtl/>
        </w:rPr>
        <w:t xml:space="preserve">                                           </w:t>
      </w:r>
      <w:r w:rsidR="009840EE" w:rsidRPr="00C85F0F">
        <w:rPr>
          <w:rFonts w:hint="cs"/>
          <w:rtl/>
        </w:rPr>
        <w:t>شرح القاعدة</w:t>
      </w:r>
      <w:bookmarkEnd w:id="297"/>
    </w:p>
    <w:p w:rsidR="00312986" w:rsidRDefault="009840EE" w:rsidP="00597C20">
      <w:pPr>
        <w:pStyle w:val="53"/>
        <w:rPr>
          <w:b w:val="0"/>
          <w:rtl/>
        </w:rPr>
      </w:pPr>
      <w:r w:rsidRPr="00531753">
        <w:rPr>
          <w:rFonts w:hint="cs"/>
          <w:rtl/>
        </w:rPr>
        <w:t>الفاسد</w:t>
      </w:r>
      <w:r w:rsidR="00AB0B9E" w:rsidRPr="00C85F0F">
        <w:fldChar w:fldCharType="begin"/>
      </w:r>
      <w:r w:rsidR="003E316B" w:rsidRPr="00C85F0F">
        <w:instrText>XE</w:instrText>
      </w:r>
      <w:r w:rsidR="003E316B" w:rsidRPr="00C85F0F">
        <w:rPr>
          <w:rtl/>
        </w:rPr>
        <w:instrText xml:space="preserve"> "</w:instrText>
      </w:r>
      <w:r w:rsidR="003E316B" w:rsidRPr="00531753">
        <w:rPr>
          <w:rFonts w:hint="cs"/>
          <w:b w:val="0"/>
          <w:bCs w:val="0"/>
          <w:rtl/>
        </w:rPr>
        <w:instrText>الفاسد</w:instrText>
      </w:r>
      <w:r w:rsidR="003E316B" w:rsidRPr="00C85F0F">
        <w:rPr>
          <w:rtl/>
        </w:rPr>
        <w:instrText>" \</w:instrText>
      </w:r>
      <w:r w:rsidR="003E316B" w:rsidRPr="00C85F0F">
        <w:instrText>fm</w:instrText>
      </w:r>
      <w:r w:rsidR="00AB0B9E" w:rsidRPr="00C85F0F">
        <w:fldChar w:fldCharType="end"/>
      </w:r>
      <w:r w:rsidRPr="00B9009A">
        <w:rPr>
          <w:rFonts w:hint="cs"/>
          <w:b w:val="0"/>
          <w:rtl/>
        </w:rPr>
        <w:t xml:space="preserve"> لغة:</w:t>
      </w:r>
    </w:p>
    <w:p w:rsidR="009840EE" w:rsidRPr="002106F3" w:rsidRDefault="009840EE" w:rsidP="00597C20">
      <w:pPr>
        <w:ind w:firstLine="720"/>
        <w:rPr>
          <w:rtl/>
        </w:rPr>
      </w:pPr>
      <w:r>
        <w:rPr>
          <w:rFonts w:hint="cs"/>
          <w:rtl/>
        </w:rPr>
        <w:t xml:space="preserve">اسم فاعل من فَسَد يَفْسُد فَساداً وفُسوداً، فهو </w:t>
      </w:r>
      <w:r w:rsidR="00FE722E">
        <w:rPr>
          <w:rFonts w:hint="cs"/>
          <w:rtl/>
        </w:rPr>
        <w:t>فاسِد وفَسيد، بمعنى الباطل والْمُ</w:t>
      </w:r>
      <w:r>
        <w:rPr>
          <w:rFonts w:hint="cs"/>
          <w:rtl/>
        </w:rPr>
        <w:t>ضْمَحِلُّ والمتغيرِّ</w:t>
      </w:r>
      <w:r w:rsidRPr="00C821A1">
        <w:rPr>
          <w:rStyle w:val="af1"/>
          <w:szCs w:val="32"/>
          <w:rtl/>
        </w:rPr>
        <w:t>(</w:t>
      </w:r>
      <w:r w:rsidRPr="00C821A1">
        <w:rPr>
          <w:rStyle w:val="af1"/>
          <w:szCs w:val="32"/>
          <w:rtl/>
        </w:rPr>
        <w:footnoteReference w:id="1491"/>
      </w:r>
      <w:r w:rsidRPr="00C821A1">
        <w:rPr>
          <w:rStyle w:val="af1"/>
          <w:szCs w:val="32"/>
          <w:rtl/>
        </w:rPr>
        <w:t>)</w:t>
      </w:r>
      <w:r>
        <w:rPr>
          <w:rFonts w:hint="cs"/>
          <w:rtl/>
        </w:rPr>
        <w:t>.</w:t>
      </w:r>
    </w:p>
    <w:p w:rsidR="00312986" w:rsidRDefault="009840EE" w:rsidP="00597C20">
      <w:pPr>
        <w:pStyle w:val="53"/>
        <w:rPr>
          <w:rtl/>
        </w:rPr>
      </w:pPr>
      <w:r>
        <w:rPr>
          <w:rFonts w:hint="cs"/>
          <w:rtl/>
        </w:rPr>
        <w:t>الفاسد اصطلاحا:</w:t>
      </w:r>
    </w:p>
    <w:p w:rsidR="009840EE" w:rsidRDefault="009840EE" w:rsidP="00597C20">
      <w:pPr>
        <w:ind w:firstLine="720"/>
        <w:rPr>
          <w:rtl/>
        </w:rPr>
      </w:pPr>
      <w:r>
        <w:rPr>
          <w:rFonts w:hint="cs"/>
          <w:rtl/>
        </w:rPr>
        <w:t>الفاسد في المعاملات: ما لم يترتب أثرُ المعاملة عليه</w:t>
      </w:r>
      <w:r w:rsidRPr="00C821A1">
        <w:rPr>
          <w:rStyle w:val="af1"/>
          <w:szCs w:val="32"/>
          <w:rtl/>
        </w:rPr>
        <w:t>(</w:t>
      </w:r>
      <w:r w:rsidRPr="00C821A1">
        <w:rPr>
          <w:rStyle w:val="af1"/>
          <w:szCs w:val="32"/>
          <w:rtl/>
        </w:rPr>
        <w:footnoteReference w:id="1492"/>
      </w:r>
      <w:r w:rsidRPr="00C821A1">
        <w:rPr>
          <w:rStyle w:val="af1"/>
          <w:szCs w:val="32"/>
          <w:rtl/>
        </w:rPr>
        <w:t>)</w:t>
      </w:r>
      <w:r>
        <w:rPr>
          <w:rFonts w:hint="cs"/>
          <w:rtl/>
        </w:rPr>
        <w:t>.</w:t>
      </w:r>
    </w:p>
    <w:p w:rsidR="00065E4B" w:rsidRPr="00BB0384" w:rsidRDefault="009840EE" w:rsidP="00597C20">
      <w:pPr>
        <w:ind w:firstLine="720"/>
        <w:rPr>
          <w:rtl/>
        </w:rPr>
      </w:pPr>
      <w:r>
        <w:rPr>
          <w:rFonts w:hint="cs"/>
          <w:rtl/>
        </w:rPr>
        <w:t xml:space="preserve">وعرفه الشيخ ابن عثيمين </w:t>
      </w:r>
      <w:r w:rsidR="00FE722E">
        <w:rPr>
          <w:rFonts w:hint="cs"/>
          <w:rtl/>
        </w:rPr>
        <w:t>_</w:t>
      </w:r>
      <w:r w:rsidR="009A0575" w:rsidRPr="005D5694">
        <w:rPr>
          <w:rFonts w:ascii="Traditional Arabic" w:hAnsi="Traditional Arabic" w:cs="CTraditional Arabic" w:hint="cs"/>
          <w:rtl/>
        </w:rPr>
        <w:t>/</w:t>
      </w:r>
      <w:r w:rsidR="00FE722E">
        <w:rPr>
          <w:rFonts w:hint="cs"/>
          <w:rtl/>
        </w:rPr>
        <w:t>_</w:t>
      </w:r>
      <w:r>
        <w:rPr>
          <w:rFonts w:hint="cs"/>
          <w:rtl/>
        </w:rPr>
        <w:t xml:space="preserve">، فقال: </w:t>
      </w:r>
      <w:r w:rsidR="00B76414">
        <w:rPr>
          <w:rFonts w:hint="cs"/>
          <w:rtl/>
        </w:rPr>
        <w:t>(</w:t>
      </w:r>
      <w:r>
        <w:rPr>
          <w:rFonts w:hint="cs"/>
          <w:rtl/>
        </w:rPr>
        <w:t>والفاسد من العقود: ما لايترتب آثاره عليه</w:t>
      </w:r>
      <w:r w:rsidR="00FE722E">
        <w:rPr>
          <w:rFonts w:hint="cs"/>
          <w:rtl/>
        </w:rPr>
        <w:t>)</w:t>
      </w:r>
      <w:r w:rsidRPr="00C821A1">
        <w:rPr>
          <w:rStyle w:val="af1"/>
          <w:szCs w:val="32"/>
          <w:rtl/>
        </w:rPr>
        <w:t>(</w:t>
      </w:r>
      <w:r w:rsidRPr="00C821A1">
        <w:rPr>
          <w:rStyle w:val="af1"/>
          <w:szCs w:val="32"/>
          <w:rtl/>
        </w:rPr>
        <w:footnoteReference w:id="1493"/>
      </w:r>
      <w:r w:rsidRPr="00C821A1">
        <w:rPr>
          <w:rStyle w:val="af1"/>
          <w:szCs w:val="32"/>
          <w:rtl/>
        </w:rPr>
        <w:t>)</w:t>
      </w:r>
      <w:r>
        <w:rPr>
          <w:rFonts w:hint="cs"/>
          <w:rtl/>
        </w:rPr>
        <w:t>.</w:t>
      </w:r>
    </w:p>
    <w:p w:rsidR="00312986" w:rsidRDefault="00065E4B" w:rsidP="00597C20">
      <w:pPr>
        <w:pStyle w:val="53"/>
        <w:rPr>
          <w:b w:val="0"/>
          <w:rtl/>
        </w:rPr>
      </w:pPr>
      <w:r>
        <w:rPr>
          <w:rFonts w:hint="cs"/>
          <w:b w:val="0"/>
          <w:rtl/>
        </w:rPr>
        <w:t>ا</w:t>
      </w:r>
      <w:r w:rsidR="009840EE">
        <w:rPr>
          <w:rFonts w:hint="cs"/>
          <w:b w:val="0"/>
          <w:rtl/>
        </w:rPr>
        <w:t>لحرام</w:t>
      </w:r>
      <w:r w:rsidR="00AB0B9E">
        <w:rPr>
          <w:b w:val="0"/>
          <w:rtl/>
        </w:rPr>
        <w:fldChar w:fldCharType="begin"/>
      </w:r>
      <w:r w:rsidR="003E316B" w:rsidRPr="00C85F0F">
        <w:rPr>
          <w:bCs w:val="0"/>
        </w:rPr>
        <w:instrText>XE</w:instrText>
      </w:r>
      <w:r w:rsidR="003E316B" w:rsidRPr="00C85F0F">
        <w:rPr>
          <w:bCs w:val="0"/>
          <w:rtl/>
        </w:rPr>
        <w:instrText xml:space="preserve"> "</w:instrText>
      </w:r>
      <w:r w:rsidR="003E316B" w:rsidRPr="00C85F0F">
        <w:rPr>
          <w:rFonts w:hint="cs"/>
          <w:bCs w:val="0"/>
          <w:rtl/>
        </w:rPr>
        <w:instrText>الحرام</w:instrText>
      </w:r>
      <w:r w:rsidR="003E316B" w:rsidRPr="00C85F0F">
        <w:rPr>
          <w:bCs w:val="0"/>
          <w:rtl/>
        </w:rPr>
        <w:instrText>" \</w:instrText>
      </w:r>
      <w:r w:rsidR="003E316B" w:rsidRPr="00C85F0F">
        <w:rPr>
          <w:bCs w:val="0"/>
        </w:rPr>
        <w:instrText>f</w:instrText>
      </w:r>
      <w:r w:rsidR="003E316B" w:rsidRPr="003E316B">
        <w:instrText>m</w:instrText>
      </w:r>
      <w:r w:rsidR="00AB0B9E">
        <w:rPr>
          <w:b w:val="0"/>
          <w:rtl/>
        </w:rPr>
        <w:fldChar w:fldCharType="end"/>
      </w:r>
      <w:r w:rsidR="009840EE">
        <w:rPr>
          <w:rFonts w:hint="cs"/>
          <w:b w:val="0"/>
          <w:rtl/>
        </w:rPr>
        <w:t xml:space="preserve"> لغة:</w:t>
      </w:r>
    </w:p>
    <w:p w:rsidR="009840EE" w:rsidRPr="00032DA9" w:rsidRDefault="009840EE" w:rsidP="00597C20">
      <w:pPr>
        <w:widowControl/>
        <w:autoSpaceDE w:val="0"/>
        <w:autoSpaceDN w:val="0"/>
        <w:adjustRightInd w:val="0"/>
        <w:rPr>
          <w:rFonts w:ascii="Traditional Arabic" w:hAnsi="Traditional Arabic"/>
          <w:noProof w:val="0"/>
          <w:sz w:val="44"/>
          <w:szCs w:val="44"/>
          <w:rtl/>
          <w:lang w:eastAsia="en-US"/>
        </w:rPr>
      </w:pPr>
      <w:r w:rsidRPr="00415797">
        <w:rPr>
          <w:rFonts w:ascii="Traditional Arabic" w:hAnsi="Traditional Arabic" w:hint="cs"/>
          <w:noProof w:val="0"/>
          <w:rtl/>
          <w:lang w:eastAsia="en-US"/>
        </w:rPr>
        <w:t xml:space="preserve">قال </w:t>
      </w:r>
      <w:r w:rsidR="00F10FEB">
        <w:rPr>
          <w:rFonts w:ascii="Traditional Arabic" w:hAnsi="Traditional Arabic" w:hint="cs"/>
          <w:noProof w:val="0"/>
          <w:rtl/>
          <w:lang w:eastAsia="en-US"/>
        </w:rPr>
        <w:t xml:space="preserve"> </w:t>
      </w:r>
      <w:r w:rsidRPr="00415797">
        <w:rPr>
          <w:rFonts w:ascii="Traditional Arabic" w:hAnsi="Traditional Arabic" w:hint="cs"/>
          <w:noProof w:val="0"/>
          <w:rtl/>
          <w:lang w:eastAsia="en-US"/>
        </w:rPr>
        <w:t>ابن فارس</w:t>
      </w:r>
      <w:r w:rsidR="00F10FEB">
        <w:rPr>
          <w:rFonts w:ascii="Traditional Arabic" w:hAnsi="Traditional Arabic" w:hint="cs"/>
          <w:noProof w:val="0"/>
          <w:rtl/>
          <w:lang w:eastAsia="en-US"/>
        </w:rPr>
        <w:t>_</w:t>
      </w:r>
      <w:r w:rsidRPr="005D5694">
        <w:rPr>
          <w:rFonts w:ascii="Traditional Arabic" w:hAnsi="Traditional Arabic" w:cs="CTraditional Arabic" w:hint="cs"/>
          <w:noProof w:val="0"/>
          <w:color w:val="auto"/>
          <w:rtl/>
          <w:lang w:eastAsia="en-US"/>
        </w:rPr>
        <w:t>/</w:t>
      </w:r>
      <w:r w:rsidR="00F10FEB">
        <w:rPr>
          <w:rFonts w:ascii="Traditional Arabic" w:hAnsi="Traditional Arabic" w:hint="cs"/>
          <w:noProof w:val="0"/>
          <w:sz w:val="44"/>
          <w:szCs w:val="44"/>
          <w:rtl/>
          <w:lang w:eastAsia="en-US"/>
        </w:rPr>
        <w:t>_</w:t>
      </w:r>
      <w:r>
        <w:rPr>
          <w:rFonts w:ascii="Traditional Arabic" w:hAnsi="Traditional Arabic" w:hint="cs"/>
          <w:noProof w:val="0"/>
          <w:sz w:val="44"/>
          <w:szCs w:val="44"/>
          <w:rtl/>
          <w:lang w:eastAsia="en-US"/>
        </w:rPr>
        <w:t xml:space="preserve">: </w:t>
      </w:r>
      <w:r w:rsidRPr="00C2003A">
        <w:rPr>
          <w:rFonts w:ascii="Traditional Arabic" w:hAnsi="Traditional Arabic" w:hint="cs"/>
          <w:noProof w:val="0"/>
          <w:rtl/>
          <w:lang w:eastAsia="en-US"/>
        </w:rPr>
        <w:t>(</w:t>
      </w:r>
      <w:r w:rsidRPr="00C2003A">
        <w:rPr>
          <w:rFonts w:ascii="Traditional Arabic" w:hAnsi="Traditional Arabic"/>
          <w:noProof w:val="0"/>
          <w:rtl/>
          <w:lang w:eastAsia="en-US"/>
        </w:rPr>
        <w:t>الحاء والراء والميم أصل</w:t>
      </w:r>
      <w:r w:rsidRPr="00C2003A">
        <w:rPr>
          <w:rFonts w:ascii="Traditional Arabic" w:hAnsi="Traditional Arabic" w:hint="cs"/>
          <w:noProof w:val="0"/>
          <w:rtl/>
          <w:lang w:eastAsia="en-US"/>
        </w:rPr>
        <w:t>ٌ</w:t>
      </w:r>
      <w:r w:rsidRPr="00C2003A">
        <w:rPr>
          <w:rFonts w:ascii="Traditional Arabic" w:hAnsi="Traditional Arabic"/>
          <w:noProof w:val="0"/>
          <w:rtl/>
          <w:lang w:eastAsia="en-US"/>
        </w:rPr>
        <w:t xml:space="preserve"> واحد، وهو الم</w:t>
      </w:r>
      <w:r w:rsidRPr="00C2003A">
        <w:rPr>
          <w:rFonts w:ascii="Traditional Arabic" w:hAnsi="Traditional Arabic" w:hint="cs"/>
          <w:noProof w:val="0"/>
          <w:rtl/>
          <w:lang w:eastAsia="en-US"/>
        </w:rPr>
        <w:t>َ</w:t>
      </w:r>
      <w:r w:rsidRPr="00C2003A">
        <w:rPr>
          <w:rFonts w:ascii="Traditional Arabic" w:hAnsi="Traditional Arabic"/>
          <w:noProof w:val="0"/>
          <w:rtl/>
          <w:lang w:eastAsia="en-US"/>
        </w:rPr>
        <w:t>ن</w:t>
      </w:r>
      <w:r w:rsidRPr="00C2003A">
        <w:rPr>
          <w:rFonts w:ascii="Traditional Arabic" w:hAnsi="Traditional Arabic" w:hint="cs"/>
          <w:noProof w:val="0"/>
          <w:rtl/>
          <w:lang w:eastAsia="en-US"/>
        </w:rPr>
        <w:t>ْ</w:t>
      </w:r>
      <w:r w:rsidRPr="00C2003A">
        <w:rPr>
          <w:rFonts w:ascii="Traditional Arabic" w:hAnsi="Traditional Arabic"/>
          <w:noProof w:val="0"/>
          <w:rtl/>
          <w:lang w:eastAsia="en-US"/>
        </w:rPr>
        <w:t>ع والتشديد. فالحرام: ضد الحلال</w:t>
      </w:r>
      <w:r w:rsidRPr="00C2003A">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494"/>
      </w:r>
      <w:r w:rsidRPr="00C821A1">
        <w:rPr>
          <w:rStyle w:val="af1"/>
          <w:szCs w:val="32"/>
          <w:rtl/>
        </w:rPr>
        <w:t>)</w:t>
      </w:r>
      <w:r>
        <w:rPr>
          <w:rFonts w:ascii="Traditional Arabic" w:hAnsi="Traditional Arabic" w:hint="cs"/>
          <w:noProof w:val="0"/>
          <w:sz w:val="44"/>
          <w:szCs w:val="44"/>
          <w:rtl/>
          <w:lang w:eastAsia="en-US"/>
        </w:rPr>
        <w:t>.</w:t>
      </w:r>
    </w:p>
    <w:p w:rsidR="00312986" w:rsidRDefault="009840EE" w:rsidP="00597C20">
      <w:pPr>
        <w:pStyle w:val="53"/>
        <w:rPr>
          <w:rtl/>
        </w:rPr>
      </w:pPr>
      <w:r>
        <w:rPr>
          <w:rFonts w:hint="cs"/>
          <w:rtl/>
        </w:rPr>
        <w:lastRenderedPageBreak/>
        <w:t>الحرام اصطلاحا:</w:t>
      </w:r>
    </w:p>
    <w:p w:rsidR="009840EE" w:rsidRDefault="009840EE" w:rsidP="00597C20">
      <w:pPr>
        <w:ind w:firstLine="720"/>
        <w:rPr>
          <w:rtl/>
        </w:rPr>
      </w:pPr>
      <w:r>
        <w:rPr>
          <w:rFonts w:hint="cs"/>
          <w:rtl/>
        </w:rPr>
        <w:t>ما ورد فيه خطاب الشرع بطلب تركٍ معه جزمٌ مقتضٍ للوعيد على الفعل</w:t>
      </w:r>
      <w:r w:rsidRPr="00C821A1">
        <w:rPr>
          <w:rStyle w:val="af1"/>
          <w:szCs w:val="32"/>
          <w:rtl/>
        </w:rPr>
        <w:t>(</w:t>
      </w:r>
      <w:r w:rsidRPr="00C821A1">
        <w:rPr>
          <w:rStyle w:val="af1"/>
          <w:szCs w:val="32"/>
          <w:rtl/>
        </w:rPr>
        <w:footnoteReference w:id="1495"/>
      </w:r>
      <w:r w:rsidRPr="00C821A1">
        <w:rPr>
          <w:rStyle w:val="af1"/>
          <w:szCs w:val="32"/>
          <w:rtl/>
        </w:rPr>
        <w:t>)</w:t>
      </w:r>
      <w:r>
        <w:rPr>
          <w:rFonts w:hint="cs"/>
          <w:rtl/>
        </w:rPr>
        <w:t>.</w:t>
      </w:r>
    </w:p>
    <w:p w:rsidR="009840EE" w:rsidRPr="008B3427" w:rsidRDefault="009840EE" w:rsidP="00597C20">
      <w:pPr>
        <w:ind w:firstLine="720"/>
        <w:rPr>
          <w:rtl/>
        </w:rPr>
      </w:pPr>
      <w:r>
        <w:rPr>
          <w:rFonts w:hint="cs"/>
          <w:rtl/>
        </w:rPr>
        <w:t xml:space="preserve">وعرّفه الشيخ ابن عثيمين </w:t>
      </w:r>
      <w:r w:rsidR="009A0575" w:rsidRPr="005D5694">
        <w:rPr>
          <w:rFonts w:ascii="Traditional Arabic" w:hAnsi="Traditional Arabic" w:cs="CTraditional Arabic" w:hint="cs"/>
          <w:rtl/>
        </w:rPr>
        <w:t>/</w:t>
      </w:r>
      <w:r>
        <w:rPr>
          <w:rFonts w:hint="cs"/>
          <w:rtl/>
        </w:rPr>
        <w:t xml:space="preserve">، فقال: </w:t>
      </w:r>
      <w:r w:rsidR="00B76414">
        <w:rPr>
          <w:rFonts w:hint="cs"/>
          <w:rtl/>
        </w:rPr>
        <w:t>(</w:t>
      </w:r>
      <w:r>
        <w:rPr>
          <w:rFonts w:hint="cs"/>
          <w:rtl/>
        </w:rPr>
        <w:t>ما نهى عنه الشارع على وجه الإلزام بالتَّرْك)</w:t>
      </w:r>
      <w:r w:rsidRPr="00C821A1">
        <w:rPr>
          <w:rStyle w:val="af1"/>
          <w:szCs w:val="32"/>
          <w:rtl/>
        </w:rPr>
        <w:t>(</w:t>
      </w:r>
      <w:r w:rsidRPr="00C821A1">
        <w:rPr>
          <w:rStyle w:val="af1"/>
          <w:szCs w:val="32"/>
          <w:rtl/>
        </w:rPr>
        <w:footnoteReference w:id="1496"/>
      </w:r>
      <w:r w:rsidRPr="00C821A1">
        <w:rPr>
          <w:rStyle w:val="af1"/>
          <w:szCs w:val="32"/>
          <w:rtl/>
        </w:rPr>
        <w:t>)</w:t>
      </w:r>
      <w:r>
        <w:rPr>
          <w:rFonts w:hint="cs"/>
          <w:rtl/>
        </w:rPr>
        <w:t>.</w:t>
      </w:r>
    </w:p>
    <w:p w:rsidR="009840EE" w:rsidRDefault="009840EE" w:rsidP="00597C20">
      <w:pPr>
        <w:pStyle w:val="53"/>
        <w:rPr>
          <w:rtl/>
        </w:rPr>
      </w:pPr>
      <w:r>
        <w:rPr>
          <w:rFonts w:hint="cs"/>
          <w:rtl/>
        </w:rPr>
        <w:t>معنى القاعدة إجمالا:</w:t>
      </w:r>
    </w:p>
    <w:p w:rsidR="00F228A9" w:rsidRDefault="009840EE" w:rsidP="00597C20">
      <w:pPr>
        <w:ind w:firstLine="720"/>
        <w:rPr>
          <w:rtl/>
        </w:rPr>
      </w:pPr>
      <w:r>
        <w:rPr>
          <w:rFonts w:hint="cs"/>
          <w:rtl/>
        </w:rPr>
        <w:t>أن إيقاع العقود الفاسدة أو الشروط الفاسدة وتَعاطيها حرامٌ لايجوز؛ لأن الفساد نتيجةُ التحريم وثمرتُه، فلا فسادَ إلا بتحريم.</w:t>
      </w:r>
    </w:p>
    <w:p w:rsidR="00065E4B" w:rsidRPr="00DE1C5B" w:rsidRDefault="009840EE" w:rsidP="00597C20">
      <w:pPr>
        <w:ind w:firstLine="720"/>
      </w:pPr>
      <w:r>
        <w:rPr>
          <w:rFonts w:hint="cs"/>
          <w:rtl/>
        </w:rPr>
        <w:t xml:space="preserve">فكلُّ فاسد حرامٌ، ولا يَحِلُّ المضيُّ فيه، سواءٌ طَرَأَ عليه الفسادُ، أو كان فاسداً من الأصل؛ لأن المضيَّ في الفاسد فيه مُحادَّةٌ لله </w:t>
      </w:r>
      <w:r w:rsidR="00FE722E">
        <w:rPr>
          <w:rFonts w:hint="cs"/>
          <w:rtl/>
        </w:rPr>
        <w:t>_</w:t>
      </w:r>
      <w:r w:rsidR="00866D6A" w:rsidRPr="00866D6A">
        <w:rPr>
          <w:rFonts w:ascii="Traditional Arabic" w:hAnsi="Traditional Arabic" w:hint="cs"/>
          <w:noProof w:val="0"/>
          <w:color w:val="auto"/>
          <w:rtl/>
          <w:lang w:eastAsia="en-US"/>
        </w:rPr>
        <w:sym w:font="AGA Arabesque" w:char="F055"/>
      </w:r>
      <w:r w:rsidR="00FE722E">
        <w:rPr>
          <w:rFonts w:hint="cs"/>
          <w:rtl/>
        </w:rPr>
        <w:t>_</w:t>
      </w:r>
      <w:r>
        <w:rPr>
          <w:rFonts w:hint="cs"/>
          <w:rtl/>
        </w:rPr>
        <w:t xml:space="preserve"> ومُضادَّةٌ لِحُكْمِه، لأن الله تعالى إنما حرَّم هذا الشيء وأَفْسَدَه لِئَلا يَرْتَكِبَه الناس، والمضيُّ فيه ارتكابٌ له.</w:t>
      </w:r>
    </w:p>
    <w:p w:rsidR="009840EE" w:rsidRDefault="00065E4B" w:rsidP="00597C20">
      <w:pPr>
        <w:ind w:firstLine="720"/>
        <w:rPr>
          <w:rtl/>
        </w:rPr>
      </w:pPr>
      <w:r>
        <w:rPr>
          <w:rFonts w:hint="cs"/>
          <w:rtl/>
        </w:rPr>
        <w:t>ف</w:t>
      </w:r>
      <w:r w:rsidR="009840EE">
        <w:rPr>
          <w:rFonts w:hint="cs"/>
          <w:rtl/>
        </w:rPr>
        <w:t>لو تَبايَع رجلان شيئاً مجهولاً، ثم تبيَّن لهما بعد العقد أن البيع فاسد، فلا يجوز لهما أن يَمضيا في البيع، بل يجب أن يَقْطَعاه، وأن يعود لكلِّ واحد منهما مالُه الذي كان له قبل العقد؛ لأن هذا البيع فاسد</w:t>
      </w:r>
      <w:r w:rsidR="009840EE" w:rsidRPr="00C821A1">
        <w:rPr>
          <w:rStyle w:val="af1"/>
          <w:szCs w:val="32"/>
          <w:rtl/>
        </w:rPr>
        <w:t>(</w:t>
      </w:r>
      <w:r w:rsidR="009840EE" w:rsidRPr="00C821A1">
        <w:rPr>
          <w:rStyle w:val="af1"/>
          <w:szCs w:val="32"/>
          <w:rtl/>
        </w:rPr>
        <w:footnoteReference w:id="1497"/>
      </w:r>
      <w:r w:rsidR="009840EE" w:rsidRPr="00C821A1">
        <w:rPr>
          <w:rStyle w:val="af1"/>
          <w:szCs w:val="32"/>
          <w:rtl/>
        </w:rPr>
        <w:t>)</w:t>
      </w:r>
      <w:r w:rsidR="009840EE">
        <w:rPr>
          <w:rFonts w:hint="cs"/>
          <w:rtl/>
        </w:rPr>
        <w:t>.</w:t>
      </w:r>
    </w:p>
    <w:p w:rsidR="009840EE" w:rsidRDefault="00D129F0" w:rsidP="00A8347C">
      <w:pPr>
        <w:pStyle w:val="aff3"/>
        <w:rPr>
          <w:rtl/>
        </w:rPr>
      </w:pPr>
      <w:bookmarkStart w:id="298" w:name="_Toc334046514"/>
      <w:r>
        <w:rPr>
          <w:rFonts w:hint="cs"/>
          <w:rtl/>
        </w:rPr>
        <w:lastRenderedPageBreak/>
        <w:t xml:space="preserve">                                         المطلب</w:t>
      </w:r>
      <w:r w:rsidR="00FE722E">
        <w:rPr>
          <w:rFonts w:hint="cs"/>
          <w:rtl/>
        </w:rPr>
        <w:t xml:space="preserve"> </w:t>
      </w:r>
      <w:r w:rsidR="009840EE">
        <w:rPr>
          <w:rFonts w:hint="cs"/>
          <w:rtl/>
        </w:rPr>
        <w:t>الثالث</w:t>
      </w:r>
      <w:r w:rsidR="009840EE">
        <w:rPr>
          <w:rFonts w:hint="eastAsia"/>
          <w:rtl/>
        </w:rPr>
        <w:t> :</w:t>
      </w:r>
      <w:r w:rsidR="009840EE">
        <w:rPr>
          <w:rFonts w:hint="cs"/>
          <w:rtl/>
        </w:rPr>
        <w:br/>
      </w:r>
      <w:r>
        <w:rPr>
          <w:rFonts w:hint="cs"/>
          <w:rtl/>
        </w:rPr>
        <w:t xml:space="preserve">            </w:t>
      </w:r>
      <w:r w:rsidR="00FE722E">
        <w:rPr>
          <w:rFonts w:hint="cs"/>
          <w:rtl/>
        </w:rPr>
        <w:t xml:space="preserve">                               </w:t>
      </w:r>
      <w:r w:rsidR="009840EE">
        <w:rPr>
          <w:rFonts w:hint="cs"/>
          <w:rtl/>
        </w:rPr>
        <w:t xml:space="preserve">أدلة </w:t>
      </w:r>
      <w:r w:rsidR="009840EE" w:rsidRPr="009840EE">
        <w:rPr>
          <w:rFonts w:hint="cs"/>
          <w:rtl/>
        </w:rPr>
        <w:t>القاعدة</w:t>
      </w:r>
      <w:r w:rsidR="009840EE" w:rsidRPr="00C821A1">
        <w:rPr>
          <w:rStyle w:val="af1"/>
          <w:bCs w:val="0"/>
          <w:szCs w:val="32"/>
          <w:rtl/>
        </w:rPr>
        <w:t>(</w:t>
      </w:r>
      <w:r w:rsidR="009840EE" w:rsidRPr="00C821A1">
        <w:rPr>
          <w:rStyle w:val="af1"/>
          <w:bCs w:val="0"/>
          <w:szCs w:val="32"/>
          <w:rtl/>
        </w:rPr>
        <w:footnoteReference w:id="1498"/>
      </w:r>
      <w:r w:rsidR="009840EE" w:rsidRPr="00C821A1">
        <w:rPr>
          <w:rStyle w:val="af1"/>
          <w:bCs w:val="0"/>
          <w:szCs w:val="32"/>
          <w:rtl/>
        </w:rPr>
        <w:t>)</w:t>
      </w:r>
      <w:bookmarkEnd w:id="298"/>
    </w:p>
    <w:p w:rsidR="009840EE" w:rsidRDefault="009840EE" w:rsidP="000A76C7">
      <w:pPr>
        <w:pStyle w:val="afc"/>
        <w:widowControl/>
        <w:numPr>
          <w:ilvl w:val="0"/>
          <w:numId w:val="204"/>
        </w:numPr>
        <w:autoSpaceDE w:val="0"/>
        <w:autoSpaceDN w:val="0"/>
        <w:adjustRightInd w:val="0"/>
        <w:rPr>
          <w:rFonts w:ascii="Traditional Arabic" w:hAnsi="Traditional Arabic"/>
          <w:noProof w:val="0"/>
          <w:color w:val="auto"/>
          <w:lang w:eastAsia="en-US"/>
        </w:rPr>
      </w:pPr>
      <w:r>
        <w:rPr>
          <w:rFonts w:hint="cs"/>
          <w:rtl/>
        </w:rPr>
        <w:t xml:space="preserve">حديث عائشة </w:t>
      </w:r>
      <w:r w:rsidR="00FE722E">
        <w:rPr>
          <w:rFonts w:hint="cs"/>
          <w:rtl/>
        </w:rPr>
        <w:t>_</w:t>
      </w:r>
      <w:r w:rsidR="00154102">
        <w:rPr>
          <w:rFonts w:ascii="Traditional Arabic" w:hAnsi="Traditional Arabic" w:cs="CTraditional Arabic" w:hint="cs"/>
          <w:noProof w:val="0"/>
          <w:color w:val="auto"/>
          <w:rtl/>
          <w:lang w:eastAsia="en-US"/>
        </w:rPr>
        <w:t>ل</w:t>
      </w:r>
      <w:r w:rsidR="00FE722E">
        <w:rPr>
          <w:rFonts w:hint="cs"/>
          <w:rtl/>
        </w:rPr>
        <w:t>_</w:t>
      </w:r>
      <w:r>
        <w:rPr>
          <w:rFonts w:hint="cs"/>
          <w:rtl/>
        </w:rPr>
        <w:t xml:space="preserve">، وفيه: </w:t>
      </w:r>
      <w:r w:rsidRPr="007D2662">
        <w:rPr>
          <w:rFonts w:ascii="Traditional Arabic" w:hAnsi="Traditional Arabic"/>
          <w:noProof w:val="0"/>
          <w:color w:val="auto"/>
          <w:rtl/>
          <w:lang w:eastAsia="en-US"/>
        </w:rPr>
        <w:t xml:space="preserve">ثم قام رسول الله </w:t>
      </w:r>
      <w:r w:rsidR="00D129F0">
        <w:rPr>
          <w:rFonts w:ascii="Traditional Arabic" w:hAnsi="Traditional Arabic" w:hint="cs"/>
          <w:rtl/>
        </w:rPr>
        <w:t>صلى الله عليه وسلم</w:t>
      </w:r>
      <w:r w:rsidRPr="007D2662">
        <w:rPr>
          <w:rFonts w:ascii="Traditional Arabic" w:hAnsi="Traditional Arabic"/>
          <w:noProof w:val="0"/>
          <w:color w:val="auto"/>
          <w:rtl/>
          <w:lang w:eastAsia="en-US"/>
        </w:rPr>
        <w:t xml:space="preserve"> في الناس فح</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د</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الله وأثنى عليه</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ثم قال</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أما بعد</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ما بال</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ر</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جال</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يشترطون شروطا</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ليست في كتاب الله</w:t>
      </w:r>
      <w:r>
        <w:rPr>
          <w:rFonts w:ascii="Traditional Arabic" w:hAnsi="Traditional Arabic" w:hint="cs"/>
          <w:noProof w:val="0"/>
          <w:color w:val="auto"/>
          <w:rtl/>
          <w:lang w:eastAsia="en-US"/>
        </w:rPr>
        <w:t>،</w:t>
      </w:r>
      <w:r w:rsidR="00AB0B9E">
        <w:rPr>
          <w:rFonts w:ascii="Traditional Arabic" w:hAnsi="Traditional Arabic"/>
          <w:noProof w:val="0"/>
          <w:color w:val="auto"/>
          <w:rtl/>
          <w:lang w:eastAsia="en-US"/>
        </w:rPr>
        <w:fldChar w:fldCharType="begin"/>
      </w:r>
      <w:r w:rsidR="00866D6A" w:rsidRPr="00C85F0F">
        <w:instrText>XE</w:instrText>
      </w:r>
      <w:r w:rsidR="00866D6A" w:rsidRPr="00C85F0F">
        <w:rPr>
          <w:rtl/>
        </w:rPr>
        <w:instrText xml:space="preserve"> "</w:instrText>
      </w:r>
      <w:r w:rsidR="00866D6A" w:rsidRPr="00C85F0F">
        <w:rPr>
          <w:rFonts w:ascii="Traditional Arabic" w:hAnsi="Traditional Arabic"/>
          <w:noProof w:val="0"/>
          <w:color w:val="auto"/>
          <w:rtl/>
          <w:lang w:eastAsia="en-US"/>
        </w:rPr>
        <w:instrText>ما بال</w:instrText>
      </w:r>
      <w:r w:rsidR="00866D6A" w:rsidRPr="00C85F0F">
        <w:rPr>
          <w:rFonts w:ascii="Traditional Arabic" w:hAnsi="Traditional Arabic" w:hint="cs"/>
          <w:noProof w:val="0"/>
          <w:color w:val="auto"/>
          <w:rtl/>
          <w:lang w:eastAsia="en-US"/>
        </w:rPr>
        <w:instrText>ُ</w:instrText>
      </w:r>
      <w:r w:rsidR="00866D6A" w:rsidRPr="00C85F0F">
        <w:rPr>
          <w:rFonts w:ascii="Traditional Arabic" w:hAnsi="Traditional Arabic"/>
          <w:noProof w:val="0"/>
          <w:color w:val="auto"/>
          <w:rtl/>
          <w:lang w:eastAsia="en-US"/>
        </w:rPr>
        <w:instrText xml:space="preserve"> ر</w:instrText>
      </w:r>
      <w:r w:rsidR="00866D6A" w:rsidRPr="00C85F0F">
        <w:rPr>
          <w:rFonts w:ascii="Traditional Arabic" w:hAnsi="Traditional Arabic" w:hint="cs"/>
          <w:noProof w:val="0"/>
          <w:color w:val="auto"/>
          <w:rtl/>
          <w:lang w:eastAsia="en-US"/>
        </w:rPr>
        <w:instrText>ِ</w:instrText>
      </w:r>
      <w:r w:rsidR="00866D6A" w:rsidRPr="00C85F0F">
        <w:rPr>
          <w:rFonts w:ascii="Traditional Arabic" w:hAnsi="Traditional Arabic"/>
          <w:noProof w:val="0"/>
          <w:color w:val="auto"/>
          <w:rtl/>
          <w:lang w:eastAsia="en-US"/>
        </w:rPr>
        <w:instrText>جال</w:instrText>
      </w:r>
      <w:r w:rsidR="00866D6A" w:rsidRPr="00C85F0F">
        <w:rPr>
          <w:rFonts w:ascii="Traditional Arabic" w:hAnsi="Traditional Arabic" w:hint="cs"/>
          <w:noProof w:val="0"/>
          <w:color w:val="auto"/>
          <w:rtl/>
          <w:lang w:eastAsia="en-US"/>
        </w:rPr>
        <w:instrText>ٍ</w:instrText>
      </w:r>
      <w:r w:rsidR="00866D6A" w:rsidRPr="00C85F0F">
        <w:rPr>
          <w:rFonts w:ascii="Traditional Arabic" w:hAnsi="Traditional Arabic"/>
          <w:noProof w:val="0"/>
          <w:color w:val="auto"/>
          <w:rtl/>
          <w:lang w:eastAsia="en-US"/>
        </w:rPr>
        <w:instrText xml:space="preserve"> يشترطون شروطا</w:instrText>
      </w:r>
      <w:r w:rsidR="00866D6A" w:rsidRPr="00C85F0F">
        <w:rPr>
          <w:rFonts w:ascii="Traditional Arabic" w:hAnsi="Traditional Arabic" w:hint="cs"/>
          <w:noProof w:val="0"/>
          <w:color w:val="auto"/>
          <w:rtl/>
          <w:lang w:eastAsia="en-US"/>
        </w:rPr>
        <w:instrText>ً</w:instrText>
      </w:r>
      <w:r w:rsidR="00866D6A" w:rsidRPr="00C85F0F">
        <w:rPr>
          <w:rFonts w:ascii="Traditional Arabic" w:hAnsi="Traditional Arabic"/>
          <w:noProof w:val="0"/>
          <w:color w:val="auto"/>
          <w:rtl/>
          <w:lang w:eastAsia="en-US"/>
        </w:rPr>
        <w:instrText xml:space="preserve"> ليست في كتاب الله</w:instrText>
      </w:r>
      <w:r w:rsidR="00866D6A" w:rsidRPr="00C85F0F">
        <w:rPr>
          <w:rFonts w:ascii="Traditional Arabic" w:hAnsi="Traditional Arabic" w:hint="cs"/>
          <w:noProof w:val="0"/>
          <w:color w:val="auto"/>
          <w:rtl/>
          <w:lang w:eastAsia="en-US"/>
        </w:rPr>
        <w:instrText>،</w:instrText>
      </w:r>
      <w:r w:rsidR="00866D6A" w:rsidRPr="00C85F0F">
        <w:rPr>
          <w:rtl/>
        </w:rPr>
        <w:instrText xml:space="preserve">" </w:instrText>
      </w:r>
      <w:r w:rsidR="00866D6A" w:rsidRPr="00C85F0F">
        <w:rPr>
          <w:rtl/>
          <w:lang w:val="fr-FR"/>
        </w:rPr>
        <w:instrText>\</w:instrText>
      </w:r>
      <w:r w:rsidR="00866D6A" w:rsidRPr="00C85F0F">
        <w:rPr>
          <w:lang w:val="fr-FR"/>
        </w:rPr>
        <w:instrText>f</w:instrText>
      </w:r>
      <w:r w:rsidR="00866D6A">
        <w:rPr>
          <w:lang w:val="fr-FR"/>
        </w:rPr>
        <w:instrText>h</w:instrText>
      </w:r>
      <w:r w:rsidR="00AB0B9E">
        <w:rPr>
          <w:rFonts w:ascii="Traditional Arabic" w:hAnsi="Traditional Arabic"/>
          <w:noProof w:val="0"/>
          <w:color w:val="auto"/>
          <w:rtl/>
          <w:lang w:eastAsia="en-US"/>
        </w:rPr>
        <w:fldChar w:fldCharType="end"/>
      </w:r>
      <w:r w:rsidRPr="007D2662">
        <w:rPr>
          <w:rFonts w:ascii="Traditional Arabic" w:hAnsi="Traditional Arabic"/>
          <w:noProof w:val="0"/>
          <w:color w:val="auto"/>
          <w:rtl/>
          <w:lang w:eastAsia="en-US"/>
        </w:rPr>
        <w:t xml:space="preserve"> ما كان م</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ن شرط ليس في كتاب الله فهو باطل وإن كان مائة شرط</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قضاء الله أحق</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وشرط الله أ</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و</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ث</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ق</w:t>
      </w:r>
      <w:r>
        <w:rPr>
          <w:rFonts w:ascii="Traditional Arabic" w:hAnsi="Traditional Arabic" w:hint="cs"/>
          <w:noProof w:val="0"/>
          <w:color w:val="auto"/>
          <w:rtl/>
          <w:lang w:eastAsia="en-US"/>
        </w:rPr>
        <w:t>ُ،</w:t>
      </w:r>
      <w:r w:rsidRPr="007D2662">
        <w:rPr>
          <w:rFonts w:ascii="Traditional Arabic" w:hAnsi="Traditional Arabic"/>
          <w:noProof w:val="0"/>
          <w:color w:val="auto"/>
          <w:rtl/>
          <w:lang w:eastAsia="en-US"/>
        </w:rPr>
        <w:t xml:space="preserve"> وإنما الولاء لمن أعتق</w:t>
      </w:r>
      <w:r w:rsidRPr="00C821A1">
        <w:rPr>
          <w:rStyle w:val="af1"/>
          <w:szCs w:val="32"/>
          <w:rtl/>
        </w:rPr>
        <w:t>(</w:t>
      </w:r>
      <w:r w:rsidRPr="00C821A1">
        <w:rPr>
          <w:rStyle w:val="af1"/>
          <w:szCs w:val="32"/>
          <w:rtl/>
        </w:rPr>
        <w:footnoteReference w:id="1499"/>
      </w:r>
      <w:r w:rsidRPr="00C821A1">
        <w:rPr>
          <w:rStyle w:val="af1"/>
          <w:szCs w:val="32"/>
          <w:rtl/>
        </w:rPr>
        <w:t>)</w:t>
      </w:r>
      <w:r>
        <w:rPr>
          <w:rFonts w:ascii="Traditional Arabic" w:hAnsi="Traditional Arabic" w:hint="cs"/>
          <w:noProof w:val="0"/>
          <w:color w:val="auto"/>
          <w:rtl/>
          <w:lang w:eastAsia="en-US"/>
        </w:rPr>
        <w:t>.</w:t>
      </w:r>
    </w:p>
    <w:p w:rsidR="009840EE" w:rsidRDefault="009840EE" w:rsidP="00597C20">
      <w:pPr>
        <w:pStyle w:val="53"/>
        <w:rPr>
          <w:rtl/>
        </w:rPr>
      </w:pPr>
      <w:r>
        <w:rPr>
          <w:rFonts w:hint="cs"/>
          <w:rtl/>
        </w:rPr>
        <w:t>وجه الدلالة:</w:t>
      </w:r>
    </w:p>
    <w:p w:rsidR="009840EE" w:rsidRPr="00312986" w:rsidRDefault="009840EE" w:rsidP="00597C20">
      <w:pPr>
        <w:widowControl/>
        <w:autoSpaceDE w:val="0"/>
        <w:autoSpaceDN w:val="0"/>
        <w:adjustRightInd w:val="0"/>
        <w:ind w:firstLine="720"/>
        <w:rPr>
          <w:rFonts w:ascii="Traditional Arabic" w:hAnsi="Traditional Arabic"/>
          <w:noProof w:val="0"/>
          <w:color w:val="auto"/>
          <w:rtl/>
          <w:lang w:eastAsia="en-US"/>
        </w:rPr>
      </w:pPr>
      <w:r w:rsidRPr="00312986">
        <w:rPr>
          <w:rFonts w:ascii="Traditional Arabic" w:hAnsi="Traditional Arabic" w:hint="cs"/>
          <w:noProof w:val="0"/>
          <w:color w:val="auto"/>
          <w:rtl/>
          <w:lang w:eastAsia="en-US"/>
        </w:rPr>
        <w:t>حذَّر النبي</w:t>
      </w:r>
      <w:r w:rsidR="00D129F0">
        <w:rPr>
          <w:rFonts w:hint="cs"/>
          <w:rtl/>
          <w:lang w:eastAsia="en-US"/>
        </w:rPr>
        <w:t xml:space="preserve"> </w:t>
      </w:r>
      <w:r w:rsidR="00D129F0">
        <w:rPr>
          <w:rFonts w:ascii="Traditional Arabic" w:hAnsi="Traditional Arabic" w:hint="cs"/>
          <w:rtl/>
        </w:rPr>
        <w:t>صلى الله عليه وسلم</w:t>
      </w:r>
      <w:r w:rsidRPr="00312986">
        <w:rPr>
          <w:rFonts w:ascii="Traditional Arabic" w:hAnsi="Traditional Arabic" w:hint="cs"/>
          <w:noProof w:val="0"/>
          <w:color w:val="auto"/>
          <w:rtl/>
          <w:lang w:eastAsia="en-US"/>
        </w:rPr>
        <w:t xml:space="preserve"> في هذا الحديث من كل شرط ليس في كتاب الله</w:t>
      </w:r>
      <w:r w:rsidRPr="00C821A1">
        <w:rPr>
          <w:rStyle w:val="af1"/>
          <w:szCs w:val="32"/>
          <w:rtl/>
        </w:rPr>
        <w:t>(</w:t>
      </w:r>
      <w:r w:rsidRPr="00C821A1">
        <w:rPr>
          <w:rStyle w:val="af1"/>
          <w:szCs w:val="32"/>
          <w:rtl/>
        </w:rPr>
        <w:footnoteReference w:id="1500"/>
      </w:r>
      <w:r w:rsidRPr="00C821A1">
        <w:rPr>
          <w:rStyle w:val="af1"/>
          <w:szCs w:val="32"/>
          <w:rtl/>
        </w:rPr>
        <w:t>)</w:t>
      </w:r>
      <w:r w:rsidRPr="00312986">
        <w:rPr>
          <w:rFonts w:ascii="Traditional Arabic" w:hAnsi="Traditional Arabic" w:hint="cs"/>
          <w:noProof w:val="0"/>
          <w:color w:val="auto"/>
          <w:rtl/>
          <w:lang w:eastAsia="en-US"/>
        </w:rPr>
        <w:t>، وأنكر على الذين يشترطون هذه الشروط؛ لأنها شروط باطلة،ولهذا يحرُم اشتراطها؛ لأن ذلك مضادَّةٌ لله</w:t>
      </w:r>
      <w:r w:rsidR="00D129F0">
        <w:rPr>
          <w:rFonts w:hint="cs"/>
          <w:rtl/>
          <w:lang w:eastAsia="en-US"/>
        </w:rPr>
        <w:t xml:space="preserve"> </w:t>
      </w:r>
      <w:r w:rsidR="00FE722E">
        <w:rPr>
          <w:rFonts w:hint="cs"/>
          <w:rtl/>
          <w:lang w:eastAsia="en-US"/>
        </w:rPr>
        <w:t>_</w:t>
      </w:r>
      <w:r w:rsidR="00D129F0">
        <w:rPr>
          <w:rFonts w:hint="cs"/>
          <w:rtl/>
          <w:lang w:eastAsia="en-US"/>
        </w:rPr>
        <w:t>عز وجل</w:t>
      </w:r>
      <w:r w:rsidR="00FE722E">
        <w:rPr>
          <w:rFonts w:hint="cs"/>
          <w:rtl/>
          <w:lang w:eastAsia="en-US"/>
        </w:rPr>
        <w:t>_</w:t>
      </w:r>
      <w:r w:rsidRPr="00C821A1">
        <w:rPr>
          <w:rStyle w:val="af1"/>
          <w:szCs w:val="32"/>
          <w:rtl/>
        </w:rPr>
        <w:t>(</w:t>
      </w:r>
      <w:r w:rsidRPr="00C821A1">
        <w:rPr>
          <w:rStyle w:val="af1"/>
          <w:szCs w:val="32"/>
          <w:rtl/>
        </w:rPr>
        <w:footnoteReference w:id="1501"/>
      </w:r>
      <w:r w:rsidRPr="00C821A1">
        <w:rPr>
          <w:rStyle w:val="af1"/>
          <w:szCs w:val="32"/>
          <w:rtl/>
        </w:rPr>
        <w:t>)</w:t>
      </w:r>
      <w:r w:rsidRPr="00312986">
        <w:rPr>
          <w:rFonts w:ascii="Traditional Arabic" w:hAnsi="Traditional Arabic" w:hint="cs"/>
          <w:noProof w:val="0"/>
          <w:color w:val="auto"/>
          <w:rtl/>
          <w:lang w:eastAsia="en-US"/>
        </w:rPr>
        <w:t>.</w:t>
      </w:r>
    </w:p>
    <w:p w:rsidR="009840EE" w:rsidRDefault="009840EE" w:rsidP="000A76C7">
      <w:pPr>
        <w:pStyle w:val="afc"/>
        <w:widowControl/>
        <w:numPr>
          <w:ilvl w:val="0"/>
          <w:numId w:val="204"/>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حديث عائشة </w:t>
      </w:r>
      <w:r w:rsidR="00FE722E">
        <w:rPr>
          <w:rFonts w:ascii="Traditional Arabic" w:hAnsi="Traditional Arabic" w:hint="cs"/>
          <w:noProof w:val="0"/>
          <w:color w:val="auto"/>
          <w:rtl/>
          <w:lang w:eastAsia="en-US"/>
        </w:rPr>
        <w:t>_</w:t>
      </w:r>
      <w:r w:rsidR="00154102">
        <w:rPr>
          <w:rFonts w:ascii="Traditional Arabic" w:hAnsi="Traditional Arabic" w:cs="CTraditional Arabic" w:hint="cs"/>
          <w:noProof w:val="0"/>
          <w:color w:val="auto"/>
          <w:rtl/>
          <w:lang w:eastAsia="en-US"/>
        </w:rPr>
        <w:t>ل</w:t>
      </w:r>
      <w:r w:rsidR="00FE722E">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أن النبي </w:t>
      </w:r>
      <w:r w:rsidR="00D129F0">
        <w:rPr>
          <w:rFonts w:ascii="Traditional Arabic" w:hAnsi="Traditional Arabic" w:hint="cs"/>
          <w:rtl/>
        </w:rPr>
        <w:t>صلى الله عليه وسلم</w:t>
      </w:r>
      <w:r>
        <w:rPr>
          <w:rFonts w:ascii="Traditional Arabic" w:hAnsi="Traditional Arabic" w:hint="cs"/>
          <w:noProof w:val="0"/>
          <w:color w:val="auto"/>
          <w:rtl/>
          <w:lang w:eastAsia="en-US"/>
        </w:rPr>
        <w:t xml:space="preserve"> قال:"من عمل عملا ليس عليه أمرنا فهو رد</w:t>
      </w:r>
      <w:r w:rsidR="00AB0B9E">
        <w:rPr>
          <w:rFonts w:ascii="Traditional Arabic" w:hAnsi="Traditional Arabic"/>
          <w:noProof w:val="0"/>
          <w:color w:val="auto"/>
          <w:rtl/>
          <w:lang w:eastAsia="en-US"/>
        </w:rPr>
        <w:fldChar w:fldCharType="begin"/>
      </w:r>
      <w:r w:rsidR="00866D6A" w:rsidRPr="00C85F0F">
        <w:instrText>XE</w:instrText>
      </w:r>
      <w:r w:rsidR="00866D6A" w:rsidRPr="00C85F0F">
        <w:rPr>
          <w:rtl/>
        </w:rPr>
        <w:instrText xml:space="preserve"> "</w:instrText>
      </w:r>
      <w:r w:rsidR="00866D6A" w:rsidRPr="00C85F0F">
        <w:rPr>
          <w:rFonts w:ascii="Traditional Arabic" w:hAnsi="Traditional Arabic" w:hint="cs"/>
          <w:noProof w:val="0"/>
          <w:color w:val="auto"/>
          <w:rtl/>
          <w:lang w:eastAsia="en-US"/>
        </w:rPr>
        <w:instrText>من عمل عملا ليس عليه أمرنا فهو رد</w:instrText>
      </w:r>
      <w:r w:rsidR="00866D6A" w:rsidRPr="00C85F0F">
        <w:rPr>
          <w:rtl/>
        </w:rPr>
        <w:instrText>" \</w:instrText>
      </w:r>
      <w:r w:rsidR="00866D6A" w:rsidRPr="00C85F0F">
        <w:instrText>f</w:instrText>
      </w:r>
      <w:r w:rsidR="00866D6A">
        <w:instrText>h</w:instrText>
      </w:r>
      <w:r w:rsidR="00AB0B9E">
        <w:rPr>
          <w:rFonts w:ascii="Traditional Arabic" w:hAnsi="Traditional Arabic"/>
          <w:noProof w:val="0"/>
          <w:color w:val="auto"/>
          <w:rtl/>
          <w:lang w:eastAsia="en-US"/>
        </w:rPr>
        <w:fldChar w:fldCharType="end"/>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502"/>
      </w:r>
      <w:r w:rsidRPr="00C821A1">
        <w:rPr>
          <w:rStyle w:val="af1"/>
          <w:szCs w:val="32"/>
          <w:rtl/>
        </w:rPr>
        <w:t>)</w:t>
      </w:r>
      <w:r>
        <w:rPr>
          <w:rFonts w:ascii="Traditional Arabic" w:hAnsi="Traditional Arabic" w:hint="cs"/>
          <w:noProof w:val="0"/>
          <w:color w:val="auto"/>
          <w:rtl/>
          <w:lang w:eastAsia="en-US"/>
        </w:rPr>
        <w:t>.</w:t>
      </w:r>
    </w:p>
    <w:p w:rsidR="009840EE" w:rsidRDefault="009840EE" w:rsidP="00597C20">
      <w:pPr>
        <w:pStyle w:val="53"/>
        <w:rPr>
          <w:rtl/>
        </w:rPr>
      </w:pPr>
      <w:r>
        <w:rPr>
          <w:rFonts w:hint="cs"/>
          <w:rtl/>
        </w:rPr>
        <w:lastRenderedPageBreak/>
        <w:t>وجه الدلالة:</w:t>
      </w:r>
    </w:p>
    <w:p w:rsidR="009840EE" w:rsidRPr="00312986" w:rsidRDefault="009840EE" w:rsidP="00597C20">
      <w:pPr>
        <w:widowControl/>
        <w:autoSpaceDE w:val="0"/>
        <w:autoSpaceDN w:val="0"/>
        <w:adjustRightInd w:val="0"/>
        <w:ind w:firstLine="720"/>
        <w:rPr>
          <w:rFonts w:ascii="Traditional Arabic" w:hAnsi="Traditional Arabic"/>
          <w:noProof w:val="0"/>
          <w:color w:val="auto"/>
          <w:rtl/>
          <w:lang w:eastAsia="en-US"/>
        </w:rPr>
      </w:pPr>
      <w:r w:rsidRPr="00312986">
        <w:rPr>
          <w:rFonts w:ascii="Traditional Arabic" w:hAnsi="Traditional Arabic" w:hint="cs"/>
          <w:noProof w:val="0"/>
          <w:color w:val="auto"/>
          <w:rtl/>
          <w:lang w:eastAsia="en-US"/>
        </w:rPr>
        <w:t xml:space="preserve">إن المضيّ في العمل الفاسد ليس عليه أمر النبي </w:t>
      </w:r>
      <w:r w:rsidR="008A75EE">
        <w:rPr>
          <w:rFonts w:ascii="Traditional Arabic" w:hAnsi="Traditional Arabic" w:hint="cs"/>
          <w:rtl/>
        </w:rPr>
        <w:t>صلى الله عليه وسلم</w:t>
      </w:r>
      <w:r w:rsidR="008A75EE" w:rsidRPr="00B914DF">
        <w:rPr>
          <w:rFonts w:ascii="Traditional Arabic" w:hAnsi="Traditional Arabic"/>
          <w:rtl/>
        </w:rPr>
        <w:t xml:space="preserve"> </w:t>
      </w:r>
      <w:r w:rsidR="008A75EE">
        <w:rPr>
          <w:rFonts w:ascii="Traditional Arabic" w:hAnsi="Traditional Arabic" w:hint="cs"/>
          <w:rtl/>
        </w:rPr>
        <w:t>صلى الله عليه وسلم</w:t>
      </w:r>
      <w:r w:rsidR="008A75EE" w:rsidRPr="00B914DF">
        <w:rPr>
          <w:rFonts w:ascii="Traditional Arabic" w:hAnsi="Traditional Arabic"/>
          <w:rtl/>
        </w:rPr>
        <w:t xml:space="preserve"> </w:t>
      </w:r>
      <w:r w:rsidRPr="00312986">
        <w:rPr>
          <w:rFonts w:ascii="Traditional Arabic" w:hAnsi="Traditional Arabic" w:hint="cs"/>
          <w:noProof w:val="0"/>
          <w:color w:val="auto"/>
          <w:rtl/>
          <w:lang w:eastAsia="en-US"/>
        </w:rPr>
        <w:t>، فيكون مردوداً، وبالتالي يحرُم المضي في العمل الفاسد</w:t>
      </w:r>
      <w:r w:rsidRPr="00C821A1">
        <w:rPr>
          <w:rStyle w:val="af1"/>
          <w:szCs w:val="32"/>
          <w:rtl/>
        </w:rPr>
        <w:t>(</w:t>
      </w:r>
      <w:r w:rsidRPr="00C821A1">
        <w:rPr>
          <w:rStyle w:val="af1"/>
          <w:szCs w:val="32"/>
          <w:rtl/>
        </w:rPr>
        <w:footnoteReference w:id="1503"/>
      </w:r>
      <w:r w:rsidRPr="00C821A1">
        <w:rPr>
          <w:rStyle w:val="af1"/>
          <w:szCs w:val="32"/>
          <w:rtl/>
        </w:rPr>
        <w:t>)</w:t>
      </w:r>
      <w:r w:rsidRPr="00312986">
        <w:rPr>
          <w:rFonts w:ascii="Traditional Arabic" w:hAnsi="Traditional Arabic" w:hint="cs"/>
          <w:noProof w:val="0"/>
          <w:color w:val="auto"/>
          <w:rtl/>
          <w:lang w:eastAsia="en-US"/>
        </w:rPr>
        <w:t>.</w:t>
      </w:r>
    </w:p>
    <w:p w:rsidR="009840EE" w:rsidRPr="003E4755" w:rsidRDefault="00F12748" w:rsidP="000A76C7">
      <w:pPr>
        <w:pStyle w:val="afc"/>
        <w:widowControl/>
        <w:numPr>
          <w:ilvl w:val="0"/>
          <w:numId w:val="204"/>
        </w:numPr>
        <w:autoSpaceDE w:val="0"/>
        <w:autoSpaceDN w:val="0"/>
        <w:adjustRightInd w:val="0"/>
        <w:rPr>
          <w:rFonts w:ascii="Traditional Arabic" w:hAnsi="Traditional Arabic"/>
          <w:noProof w:val="0"/>
          <w:color w:val="auto"/>
          <w:lang w:eastAsia="en-US"/>
        </w:rPr>
      </w:pPr>
      <w:r>
        <w:rPr>
          <w:rFonts w:hint="cs"/>
          <w:rtl/>
        </w:rPr>
        <w:t>إ</w:t>
      </w:r>
      <w:r w:rsidR="009840EE">
        <w:rPr>
          <w:rFonts w:hint="cs"/>
          <w:rtl/>
        </w:rPr>
        <w:t>ن المض</w:t>
      </w:r>
      <w:r w:rsidR="008A75EE">
        <w:rPr>
          <w:rFonts w:hint="cs"/>
          <w:rtl/>
        </w:rPr>
        <w:t>يَّ في الفاسد فيه مُحادَّةٌ لله</w:t>
      </w:r>
      <w:r w:rsidR="008A75EE">
        <w:rPr>
          <w:rFonts w:ascii="Traditional Arabic" w:hAnsi="Traditional Arabic" w:hint="cs"/>
          <w:noProof w:val="0"/>
          <w:color w:val="auto"/>
          <w:rtl/>
          <w:lang w:eastAsia="en-US"/>
        </w:rPr>
        <w:t xml:space="preserve"> عز وجل</w:t>
      </w:r>
      <w:r w:rsidR="009840EE">
        <w:rPr>
          <w:rFonts w:hint="cs"/>
          <w:rtl/>
        </w:rPr>
        <w:t xml:space="preserve"> ومُضادَّةٌ لِحُكْمِه، لأن الله تعالى إنما يحرِّم الشيء ويُفْسِدُه لِئَلا يَرْتَكِبَه الناس، والمضيُّ فيه ارتكابٌ له</w:t>
      </w:r>
      <w:r w:rsidR="009840EE" w:rsidRPr="00C821A1">
        <w:rPr>
          <w:rStyle w:val="af1"/>
          <w:szCs w:val="32"/>
          <w:rtl/>
        </w:rPr>
        <w:t>(</w:t>
      </w:r>
      <w:r w:rsidR="009840EE" w:rsidRPr="00C821A1">
        <w:rPr>
          <w:rStyle w:val="af1"/>
          <w:szCs w:val="32"/>
          <w:rtl/>
        </w:rPr>
        <w:footnoteReference w:id="1504"/>
      </w:r>
      <w:r w:rsidR="009840EE" w:rsidRPr="00C821A1">
        <w:rPr>
          <w:rStyle w:val="af1"/>
          <w:szCs w:val="32"/>
          <w:rtl/>
        </w:rPr>
        <w:t>)</w:t>
      </w:r>
      <w:r w:rsidR="009840EE">
        <w:rPr>
          <w:rFonts w:hint="cs"/>
          <w:rtl/>
        </w:rPr>
        <w:t>.</w:t>
      </w:r>
    </w:p>
    <w:p w:rsidR="009840EE" w:rsidRPr="009840EE" w:rsidRDefault="008A75EE" w:rsidP="00A8347C">
      <w:pPr>
        <w:pStyle w:val="aff3"/>
        <w:rPr>
          <w:rtl/>
        </w:rPr>
      </w:pPr>
      <w:bookmarkStart w:id="299" w:name="_Toc334046515"/>
      <w:r>
        <w:rPr>
          <w:rFonts w:hint="cs"/>
          <w:rtl/>
        </w:rPr>
        <w:t xml:space="preserve">                                          المطلب</w:t>
      </w:r>
      <w:r w:rsidR="00FE722E">
        <w:rPr>
          <w:rFonts w:hint="cs"/>
          <w:rtl/>
        </w:rPr>
        <w:t xml:space="preserve"> </w:t>
      </w:r>
      <w:r w:rsidR="009840EE" w:rsidRPr="009840EE">
        <w:rPr>
          <w:rFonts w:hint="cs"/>
          <w:rtl/>
        </w:rPr>
        <w:t>الرابع</w:t>
      </w:r>
      <w:r w:rsidR="009840EE">
        <w:rPr>
          <w:rFonts w:hint="eastAsia"/>
          <w:rtl/>
        </w:rPr>
        <w:t> :</w:t>
      </w:r>
      <w:r w:rsidR="009840EE">
        <w:rPr>
          <w:rFonts w:hint="cs"/>
          <w:rtl/>
        </w:rPr>
        <w:br/>
      </w:r>
      <w:r>
        <w:rPr>
          <w:rFonts w:hint="cs"/>
          <w:rtl/>
        </w:rPr>
        <w:t xml:space="preserve">          </w:t>
      </w:r>
      <w:r w:rsidR="00FE722E">
        <w:rPr>
          <w:rFonts w:hint="cs"/>
          <w:rtl/>
        </w:rPr>
        <w:t xml:space="preserve">                               </w:t>
      </w:r>
      <w:r w:rsidR="009840EE" w:rsidRPr="009840EE">
        <w:rPr>
          <w:rFonts w:hint="cs"/>
          <w:rtl/>
        </w:rPr>
        <w:t>تطبيقات القاعدة</w:t>
      </w:r>
      <w:bookmarkEnd w:id="299"/>
    </w:p>
    <w:p w:rsidR="009840EE" w:rsidRPr="006C4DA0" w:rsidRDefault="00A000DE" w:rsidP="000A76C7">
      <w:pPr>
        <w:pStyle w:val="afc"/>
        <w:widowControl/>
        <w:numPr>
          <w:ilvl w:val="0"/>
          <w:numId w:val="205"/>
        </w:numPr>
        <w:autoSpaceDE w:val="0"/>
        <w:autoSpaceDN w:val="0"/>
        <w:adjustRightInd w:val="0"/>
        <w:rPr>
          <w:rFonts w:ascii="Traditional Arabic" w:hAnsi="Traditional Arabic"/>
          <w:noProof w:val="0"/>
          <w:color w:val="auto"/>
          <w:rtl/>
          <w:lang w:eastAsia="en-US"/>
        </w:rPr>
      </w:pPr>
      <w:r>
        <w:rPr>
          <w:rFonts w:ascii="Traditional Arabic" w:hAnsi="Traditional Arabic" w:hint="cs"/>
          <w:noProof w:val="0"/>
          <w:color w:val="auto"/>
          <w:rtl/>
          <w:lang w:eastAsia="en-US"/>
        </w:rPr>
        <w:t>إذا</w:t>
      </w:r>
      <w:r w:rsidR="009840EE" w:rsidRPr="00EA383E">
        <w:rPr>
          <w:rFonts w:ascii="Traditional Arabic" w:hAnsi="Traditional Arabic"/>
          <w:noProof w:val="0"/>
          <w:color w:val="auto"/>
          <w:rtl/>
          <w:lang w:eastAsia="en-US"/>
        </w:rPr>
        <w:t xml:space="preserve"> </w:t>
      </w:r>
      <w:r>
        <w:rPr>
          <w:rFonts w:ascii="Traditional Arabic" w:hAnsi="Traditional Arabic" w:hint="cs"/>
          <w:noProof w:val="0"/>
          <w:color w:val="auto"/>
          <w:rtl/>
          <w:lang w:eastAsia="en-US"/>
        </w:rPr>
        <w:t xml:space="preserve">اشترط </w:t>
      </w:r>
      <w:r w:rsidR="009840EE" w:rsidRPr="00EA383E">
        <w:rPr>
          <w:rFonts w:ascii="Traditional Arabic" w:hAnsi="Traditional Arabic"/>
          <w:noProof w:val="0"/>
          <w:color w:val="auto"/>
          <w:rtl/>
          <w:lang w:eastAsia="en-US"/>
        </w:rPr>
        <w:t>المستقر</w:t>
      </w:r>
      <w:r w:rsidR="009840EE">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ض </w:t>
      </w:r>
      <w:r>
        <w:rPr>
          <w:rFonts w:ascii="Traditional Arabic" w:hAnsi="Traditional Arabic" w:hint="cs"/>
          <w:noProof w:val="0"/>
          <w:color w:val="auto"/>
          <w:rtl/>
          <w:lang w:eastAsia="en-US"/>
        </w:rPr>
        <w:t>على ا</w:t>
      </w:r>
      <w:r w:rsidR="009840EE" w:rsidRPr="00EA383E">
        <w:rPr>
          <w:rFonts w:ascii="Traditional Arabic" w:hAnsi="Traditional Arabic"/>
          <w:noProof w:val="0"/>
          <w:color w:val="auto"/>
          <w:rtl/>
          <w:lang w:eastAsia="en-US"/>
        </w:rPr>
        <w:t>لمقر</w:t>
      </w:r>
      <w:r w:rsidR="009840EE">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ض: </w:t>
      </w:r>
      <w:r>
        <w:rPr>
          <w:rFonts w:ascii="Traditional Arabic" w:hAnsi="Traditional Arabic" w:hint="cs"/>
          <w:noProof w:val="0"/>
          <w:color w:val="auto"/>
          <w:rtl/>
          <w:lang w:eastAsia="en-US"/>
        </w:rPr>
        <w:t>أن ي</w:t>
      </w:r>
      <w:r>
        <w:rPr>
          <w:rFonts w:ascii="Traditional Arabic" w:hAnsi="Traditional Arabic"/>
          <w:noProof w:val="0"/>
          <w:color w:val="auto"/>
          <w:rtl/>
          <w:lang w:eastAsia="en-US"/>
        </w:rPr>
        <w:t>وفي</w:t>
      </w:r>
      <w:r>
        <w:rPr>
          <w:rFonts w:ascii="Traditional Arabic" w:hAnsi="Traditional Arabic" w:hint="cs"/>
          <w:noProof w:val="0"/>
          <w:color w:val="auto"/>
          <w:rtl/>
          <w:lang w:eastAsia="en-US"/>
        </w:rPr>
        <w:t>ه</w:t>
      </w:r>
      <w:r w:rsidR="009840EE" w:rsidRPr="00EA383E">
        <w:rPr>
          <w:rFonts w:ascii="Traditional Arabic" w:hAnsi="Traditional Arabic"/>
          <w:noProof w:val="0"/>
          <w:color w:val="auto"/>
          <w:rtl/>
          <w:lang w:eastAsia="en-US"/>
        </w:rPr>
        <w:t xml:space="preserve"> بعد سنة</w:t>
      </w:r>
      <w:r>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 xml:space="preserve"> </w:t>
      </w:r>
      <w:r>
        <w:rPr>
          <w:rFonts w:ascii="Traditional Arabic" w:hAnsi="Traditional Arabic" w:hint="cs"/>
          <w:noProof w:val="0"/>
          <w:color w:val="auto"/>
          <w:rtl/>
          <w:lang w:eastAsia="en-US"/>
        </w:rPr>
        <w:t>لم</w:t>
      </w:r>
      <w:r w:rsidR="00FE722E">
        <w:rPr>
          <w:rFonts w:ascii="Traditional Arabic" w:hAnsi="Traditional Arabic" w:hint="cs"/>
          <w:noProof w:val="0"/>
          <w:color w:val="auto"/>
          <w:rtl/>
          <w:lang w:eastAsia="en-US"/>
        </w:rPr>
        <w:t xml:space="preserve"> يصح</w:t>
      </w:r>
      <w:r>
        <w:rPr>
          <w:rFonts w:ascii="Traditional Arabic" w:hAnsi="Traditional Arabic" w:hint="cs"/>
          <w:noProof w:val="0"/>
          <w:color w:val="auto"/>
          <w:rtl/>
          <w:lang w:eastAsia="en-US"/>
        </w:rPr>
        <w:t xml:space="preserve"> ذلك،</w:t>
      </w:r>
      <w:r w:rsidR="00FE722E">
        <w:rPr>
          <w:rFonts w:ascii="Traditional Arabic" w:hAnsi="Traditional Arabic" w:hint="cs"/>
          <w:noProof w:val="0"/>
          <w:color w:val="auto"/>
          <w:rtl/>
          <w:lang w:eastAsia="en-US"/>
        </w:rPr>
        <w:t xml:space="preserve"> </w:t>
      </w:r>
      <w:r w:rsidR="009840EE" w:rsidRPr="00EA383E">
        <w:rPr>
          <w:rFonts w:ascii="Traditional Arabic" w:hAnsi="Traditional Arabic"/>
          <w:noProof w:val="0"/>
          <w:color w:val="auto"/>
          <w:rtl/>
          <w:lang w:eastAsia="en-US"/>
        </w:rPr>
        <w:t>وي</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 xml:space="preserve">لغى </w:t>
      </w:r>
      <w:r>
        <w:rPr>
          <w:rFonts w:ascii="Traditional Arabic" w:hAnsi="Traditional Arabic" w:hint="cs"/>
          <w:noProof w:val="0"/>
          <w:color w:val="auto"/>
          <w:rtl/>
          <w:lang w:eastAsia="en-US"/>
        </w:rPr>
        <w:t xml:space="preserve">هذا الشرط، </w:t>
      </w:r>
      <w:r w:rsidR="009840EE" w:rsidRPr="00EA383E">
        <w:rPr>
          <w:rFonts w:ascii="Traditional Arabic" w:hAnsi="Traditional Arabic"/>
          <w:noProof w:val="0"/>
          <w:color w:val="auto"/>
          <w:rtl/>
          <w:lang w:eastAsia="en-US"/>
        </w:rPr>
        <w:t>ويكون القرض حالا</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w:t>
      </w:r>
      <w:r w:rsidR="00FE722E">
        <w:rPr>
          <w:rFonts w:ascii="Traditional Arabic" w:hAnsi="Traditional Arabic" w:hint="cs"/>
          <w:noProof w:val="0"/>
          <w:color w:val="auto"/>
          <w:rtl/>
          <w:lang w:eastAsia="en-US"/>
        </w:rPr>
        <w:t xml:space="preserve"> </w:t>
      </w:r>
      <w:r w:rsidR="009840EE">
        <w:rPr>
          <w:rFonts w:ascii="Traditional Arabic" w:hAnsi="Traditional Arabic" w:hint="cs"/>
          <w:noProof w:val="0"/>
          <w:color w:val="auto"/>
          <w:rtl/>
          <w:lang w:eastAsia="en-US"/>
        </w:rPr>
        <w:t xml:space="preserve">لأن </w:t>
      </w:r>
      <w:r w:rsidR="009840EE">
        <w:rPr>
          <w:rFonts w:ascii="Traditional Arabic" w:hAnsi="Traditional Arabic"/>
          <w:noProof w:val="0"/>
          <w:color w:val="auto"/>
          <w:rtl/>
          <w:lang w:eastAsia="en-US"/>
        </w:rPr>
        <w:t>كل قرض فهو حال</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 أي: لا يقبل التأجيل، فإذا ش</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ر</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ط التأجيل كان شرطا</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 xml:space="preserve"> م</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ناف</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يا</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 xml:space="preserve"> ل</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م</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قتضى العقد</w:t>
      </w:r>
      <w:r w:rsidR="009840EE" w:rsidRPr="00C821A1">
        <w:rPr>
          <w:rStyle w:val="af1"/>
          <w:szCs w:val="32"/>
          <w:rtl/>
        </w:rPr>
        <w:t>(</w:t>
      </w:r>
      <w:r w:rsidR="009840EE" w:rsidRPr="00C821A1">
        <w:rPr>
          <w:rStyle w:val="af1"/>
          <w:szCs w:val="32"/>
          <w:rtl/>
        </w:rPr>
        <w:footnoteReference w:id="1505"/>
      </w:r>
      <w:r w:rsidR="009840EE" w:rsidRPr="00C821A1">
        <w:rPr>
          <w:rStyle w:val="af1"/>
          <w:szCs w:val="32"/>
          <w:rtl/>
        </w:rPr>
        <w:t>)</w:t>
      </w:r>
      <w:r w:rsidR="009840EE" w:rsidRPr="00EA383E">
        <w:rPr>
          <w:rFonts w:ascii="Traditional Arabic" w:hAnsi="Traditional Arabic"/>
          <w:noProof w:val="0"/>
          <w:color w:val="auto"/>
          <w:rtl/>
          <w:lang w:eastAsia="en-US"/>
        </w:rPr>
        <w:t>، وكل شرط يخالف مقتضى العقد فهو شرط فاسد</w:t>
      </w:r>
      <w:r w:rsidR="009840EE" w:rsidRPr="00C821A1">
        <w:rPr>
          <w:rStyle w:val="af1"/>
          <w:szCs w:val="32"/>
          <w:rtl/>
        </w:rPr>
        <w:t>(</w:t>
      </w:r>
      <w:r w:rsidR="009840EE" w:rsidRPr="00C821A1">
        <w:rPr>
          <w:rStyle w:val="af1"/>
          <w:szCs w:val="32"/>
          <w:rtl/>
        </w:rPr>
        <w:footnoteReference w:id="1506"/>
      </w:r>
      <w:r w:rsidR="009840EE" w:rsidRPr="00C821A1">
        <w:rPr>
          <w:rStyle w:val="af1"/>
          <w:szCs w:val="32"/>
          <w:rtl/>
        </w:rPr>
        <w:t>)</w:t>
      </w:r>
      <w:r w:rsidR="009840EE">
        <w:rPr>
          <w:rFonts w:ascii="Traditional Arabic" w:hAnsi="Traditional Arabic" w:hint="cs"/>
          <w:noProof w:val="0"/>
          <w:color w:val="auto"/>
          <w:rtl/>
          <w:lang w:eastAsia="en-US"/>
        </w:rPr>
        <w:t>،</w:t>
      </w:r>
      <w:r w:rsidR="009840EE" w:rsidRPr="00EA383E">
        <w:rPr>
          <w:rFonts w:ascii="Traditional Arabic" w:hAnsi="Traditional Arabic"/>
          <w:noProof w:val="0"/>
          <w:color w:val="auto"/>
          <w:rtl/>
          <w:lang w:eastAsia="en-US"/>
        </w:rPr>
        <w:t xml:space="preserve"> وكل شرط فاسد فهو حرام</w:t>
      </w:r>
      <w:r w:rsidR="009840EE" w:rsidRPr="00C821A1">
        <w:rPr>
          <w:rStyle w:val="af1"/>
          <w:szCs w:val="32"/>
          <w:rtl/>
        </w:rPr>
        <w:t>(</w:t>
      </w:r>
      <w:r w:rsidR="009840EE" w:rsidRPr="00C821A1">
        <w:rPr>
          <w:rStyle w:val="af1"/>
          <w:szCs w:val="32"/>
          <w:rtl/>
        </w:rPr>
        <w:footnoteReference w:id="1507"/>
      </w:r>
      <w:r w:rsidR="009840EE" w:rsidRPr="00C821A1">
        <w:rPr>
          <w:rStyle w:val="af1"/>
          <w:szCs w:val="32"/>
          <w:rtl/>
        </w:rPr>
        <w:t>)</w:t>
      </w:r>
      <w:r w:rsidR="009840EE">
        <w:rPr>
          <w:rFonts w:ascii="Traditional Arabic" w:hAnsi="Traditional Arabic" w:hint="cs"/>
          <w:noProof w:val="0"/>
          <w:color w:val="auto"/>
          <w:rtl/>
          <w:lang w:eastAsia="en-US"/>
        </w:rPr>
        <w:t>.</w:t>
      </w:r>
    </w:p>
    <w:p w:rsidR="009840EE" w:rsidRDefault="009840EE" w:rsidP="00597C20">
      <w:pPr>
        <w:pStyle w:val="53"/>
        <w:rPr>
          <w:rtl/>
        </w:rPr>
      </w:pPr>
      <w:r>
        <w:rPr>
          <w:rFonts w:hint="cs"/>
          <w:rtl/>
        </w:rPr>
        <w:lastRenderedPageBreak/>
        <w:t>وجه اندراج الفرع تحت القاعدة:</w:t>
      </w:r>
    </w:p>
    <w:p w:rsidR="009840EE" w:rsidRPr="00312986" w:rsidRDefault="009840EE" w:rsidP="00597C20">
      <w:pPr>
        <w:widowControl/>
        <w:autoSpaceDE w:val="0"/>
        <w:autoSpaceDN w:val="0"/>
        <w:adjustRightInd w:val="0"/>
        <w:ind w:firstLine="720"/>
        <w:rPr>
          <w:rFonts w:ascii="Traditional Arabic" w:hAnsi="Traditional Arabic"/>
          <w:noProof w:val="0"/>
          <w:color w:val="auto"/>
          <w:rtl/>
          <w:lang w:eastAsia="en-US"/>
        </w:rPr>
      </w:pPr>
      <w:r w:rsidRPr="00312986">
        <w:rPr>
          <w:rFonts w:ascii="Traditional Arabic" w:hAnsi="Traditional Arabic" w:hint="cs"/>
          <w:noProof w:val="0"/>
          <w:color w:val="auto"/>
          <w:rtl/>
          <w:lang w:eastAsia="en-US"/>
        </w:rPr>
        <w:t>يحرُم اشتراط التأجيل؛ لأنه شرط فاسد، والعقود والشروط الفاسدة عَقْدُها حرام واشتراطها حرام.</w:t>
      </w:r>
    </w:p>
    <w:p w:rsidR="009840EE" w:rsidRPr="004134CC" w:rsidRDefault="009840EE" w:rsidP="000A76C7">
      <w:pPr>
        <w:pStyle w:val="afc"/>
        <w:widowControl/>
        <w:numPr>
          <w:ilvl w:val="0"/>
          <w:numId w:val="205"/>
        </w:numPr>
        <w:autoSpaceDE w:val="0"/>
        <w:autoSpaceDN w:val="0"/>
        <w:adjustRightInd w:val="0"/>
        <w:rPr>
          <w:rFonts w:ascii="Traditional Arabic" w:hAnsi="Traditional Arabic"/>
          <w:noProof w:val="0"/>
          <w:color w:val="auto"/>
          <w:lang w:eastAsia="en-US"/>
        </w:rPr>
      </w:pPr>
      <w:r w:rsidRPr="00B33569">
        <w:rPr>
          <w:rFonts w:ascii="Traditional Arabic" w:hAnsi="Traditional Arabic"/>
          <w:noProof w:val="0"/>
          <w:color w:val="auto"/>
          <w:rtl/>
          <w:lang w:eastAsia="en-US"/>
        </w:rPr>
        <w:t>ي</w:t>
      </w:r>
      <w:r>
        <w:rPr>
          <w:rFonts w:ascii="Traditional Arabic" w:hAnsi="Traditional Arabic" w:hint="cs"/>
          <w:noProof w:val="0"/>
          <w:color w:val="auto"/>
          <w:rtl/>
          <w:lang w:eastAsia="en-US"/>
        </w:rPr>
        <w:t>ُ</w:t>
      </w:r>
      <w:r w:rsidRPr="00B33569">
        <w:rPr>
          <w:rFonts w:ascii="Traditional Arabic" w:hAnsi="Traditional Arabic"/>
          <w:noProof w:val="0"/>
          <w:color w:val="auto"/>
          <w:rtl/>
          <w:lang w:eastAsia="en-US"/>
        </w:rPr>
        <w:t>شترط في العين المؤج</w:t>
      </w:r>
      <w:r>
        <w:rPr>
          <w:rFonts w:ascii="Traditional Arabic" w:hAnsi="Traditional Arabic" w:hint="cs"/>
          <w:noProof w:val="0"/>
          <w:color w:val="auto"/>
          <w:rtl/>
          <w:lang w:eastAsia="en-US"/>
        </w:rPr>
        <w:t>َّ</w:t>
      </w:r>
      <w:r w:rsidRPr="00B33569">
        <w:rPr>
          <w:rFonts w:ascii="Traditional Arabic" w:hAnsi="Traditional Arabic"/>
          <w:noProof w:val="0"/>
          <w:color w:val="auto"/>
          <w:rtl/>
          <w:lang w:eastAsia="en-US"/>
        </w:rPr>
        <w:t>رة معرفت</w:t>
      </w:r>
      <w:r w:rsidRPr="00B33569">
        <w:rPr>
          <w:rFonts w:ascii="Traditional Arabic" w:hAnsi="Traditional Arabic" w:hint="cs"/>
          <w:noProof w:val="0"/>
          <w:color w:val="auto"/>
          <w:rtl/>
          <w:lang w:eastAsia="en-US"/>
        </w:rPr>
        <w:t>ُ</w:t>
      </w:r>
      <w:r>
        <w:rPr>
          <w:rFonts w:ascii="Traditional Arabic" w:hAnsi="Traditional Arabic"/>
          <w:noProof w:val="0"/>
          <w:color w:val="auto"/>
          <w:rtl/>
          <w:lang w:eastAsia="en-US"/>
        </w:rPr>
        <w:t>ها برؤية أو صفة</w:t>
      </w:r>
      <w:r>
        <w:rPr>
          <w:rFonts w:ascii="Traditional Arabic" w:hAnsi="Traditional Arabic" w:hint="cs"/>
          <w:noProof w:val="0"/>
          <w:color w:val="auto"/>
          <w:rtl/>
          <w:lang w:eastAsia="en-US"/>
        </w:rPr>
        <w:t xml:space="preserve"> إلا</w:t>
      </w:r>
      <w:r w:rsidR="00717631">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 xml:space="preserve">في استئجار </w:t>
      </w:r>
      <w:r>
        <w:rPr>
          <w:rFonts w:ascii="Traditional Arabic" w:hAnsi="Traditional Arabic"/>
          <w:noProof w:val="0"/>
          <w:color w:val="auto"/>
          <w:rtl/>
          <w:lang w:eastAsia="en-US"/>
        </w:rPr>
        <w:t>الدار و</w:t>
      </w:r>
      <w:r w:rsidRPr="00B33569">
        <w:rPr>
          <w:rFonts w:ascii="Traditional Arabic" w:hAnsi="Traditional Arabic" w:hint="cs"/>
          <w:noProof w:val="0"/>
          <w:color w:val="auto"/>
          <w:rtl/>
          <w:lang w:eastAsia="en-US"/>
        </w:rPr>
        <w:t>الأرض للزرع</w:t>
      </w:r>
      <w:r>
        <w:rPr>
          <w:rFonts w:ascii="Traditional Arabic" w:hAnsi="Traditional Arabic" w:hint="cs"/>
          <w:noProof w:val="0"/>
          <w:color w:val="auto"/>
          <w:rtl/>
          <w:lang w:eastAsia="en-US"/>
        </w:rPr>
        <w:t xml:space="preserve"> وما أَشْبَهَ ذلك،</w:t>
      </w:r>
      <w:r w:rsidRPr="00B33569">
        <w:rPr>
          <w:rFonts w:ascii="Traditional Arabic" w:hAnsi="Traditional Arabic" w:hint="cs"/>
          <w:noProof w:val="0"/>
          <w:color w:val="auto"/>
          <w:rtl/>
          <w:lang w:eastAsia="en-US"/>
        </w:rPr>
        <w:t xml:space="preserve"> فلا بد فيها من الرؤية</w:t>
      </w:r>
      <w:r>
        <w:rPr>
          <w:rFonts w:ascii="Traditional Arabic" w:hAnsi="Traditional Arabic" w:hint="cs"/>
          <w:noProof w:val="0"/>
          <w:color w:val="auto"/>
          <w:rtl/>
          <w:lang w:eastAsia="en-US"/>
        </w:rPr>
        <w:t>،</w:t>
      </w:r>
      <w:r w:rsidR="00717631">
        <w:rPr>
          <w:rFonts w:ascii="Traditional Arabic" w:hAnsi="Traditional Arabic" w:hint="cs"/>
          <w:noProof w:val="0"/>
          <w:rtl/>
          <w:lang w:eastAsia="en-US"/>
        </w:rPr>
        <w:t xml:space="preserve"> </w:t>
      </w:r>
      <w:r w:rsidRPr="00B33569">
        <w:rPr>
          <w:rFonts w:ascii="Traditional Arabic" w:hAnsi="Traditional Arabic" w:hint="cs"/>
          <w:noProof w:val="0"/>
          <w:rtl/>
          <w:lang w:eastAsia="en-US"/>
        </w:rPr>
        <w:t>و</w:t>
      </w:r>
      <w:r w:rsidRPr="00B33569">
        <w:rPr>
          <w:rFonts w:ascii="Traditional Arabic" w:hAnsi="Traditional Arabic"/>
          <w:noProof w:val="0"/>
          <w:rtl/>
          <w:lang w:eastAsia="en-US"/>
        </w:rPr>
        <w:t>لا يصح</w:t>
      </w:r>
      <w:r>
        <w:rPr>
          <w:rFonts w:ascii="Traditional Arabic" w:hAnsi="Traditional Arabic" w:hint="cs"/>
          <w:noProof w:val="0"/>
          <w:rtl/>
          <w:lang w:eastAsia="en-US"/>
        </w:rPr>
        <w:t xml:space="preserve"> عقد الإجارة عليها بمجر</w:t>
      </w:r>
      <w:r w:rsidR="00717631">
        <w:rPr>
          <w:rFonts w:ascii="Traditional Arabic" w:hAnsi="Traditional Arabic" w:hint="cs"/>
          <w:noProof w:val="0"/>
          <w:rtl/>
          <w:lang w:eastAsia="en-US"/>
        </w:rPr>
        <w:t>ّ</w:t>
      </w:r>
      <w:r>
        <w:rPr>
          <w:rFonts w:ascii="Traditional Arabic" w:hAnsi="Traditional Arabic" w:hint="cs"/>
          <w:noProof w:val="0"/>
          <w:rtl/>
          <w:lang w:eastAsia="en-US"/>
        </w:rPr>
        <w:t xml:space="preserve">د وصفها دون رؤيتها؛ لأنه </w:t>
      </w:r>
      <w:r w:rsidRPr="005B28F5">
        <w:rPr>
          <w:rFonts w:ascii="Traditional Arabic" w:hAnsi="Traditional Arabic"/>
          <w:noProof w:val="0"/>
          <w:rtl/>
          <w:lang w:eastAsia="en-US"/>
        </w:rPr>
        <w:t>لا يمكن إحاطة</w:t>
      </w:r>
      <w:r>
        <w:rPr>
          <w:rFonts w:ascii="Traditional Arabic" w:hAnsi="Traditional Arabic" w:hint="cs"/>
          <w:noProof w:val="0"/>
          <w:rtl/>
          <w:lang w:eastAsia="en-US"/>
        </w:rPr>
        <w:t>ُ</w:t>
      </w:r>
      <w:r w:rsidRPr="005B28F5">
        <w:rPr>
          <w:rFonts w:ascii="Traditional Arabic" w:hAnsi="Traditional Arabic"/>
          <w:noProof w:val="0"/>
          <w:rtl/>
          <w:lang w:eastAsia="en-US"/>
        </w:rPr>
        <w:t xml:space="preserve"> الوصف بها</w:t>
      </w:r>
      <w:r>
        <w:rPr>
          <w:rFonts w:ascii="Traditional Arabic" w:hAnsi="Traditional Arabic" w:hint="cs"/>
          <w:noProof w:val="0"/>
          <w:rtl/>
          <w:lang w:eastAsia="en-US"/>
        </w:rPr>
        <w:t xml:space="preserve">، </w:t>
      </w:r>
      <w:r>
        <w:rPr>
          <w:rFonts w:ascii="Traditional Arabic" w:hAnsi="Traditional Arabic"/>
          <w:noProof w:val="0"/>
          <w:rtl/>
          <w:lang w:eastAsia="en-US"/>
        </w:rPr>
        <w:t>و</w:t>
      </w:r>
      <w:r>
        <w:rPr>
          <w:rFonts w:ascii="Traditional Arabic" w:hAnsi="Traditional Arabic" w:hint="cs"/>
          <w:noProof w:val="0"/>
          <w:rtl/>
          <w:lang w:eastAsia="en-US"/>
        </w:rPr>
        <w:t xml:space="preserve">بناءً على ذلك </w:t>
      </w:r>
      <w:r w:rsidRPr="00B33569">
        <w:rPr>
          <w:rFonts w:ascii="Traditional Arabic" w:hAnsi="Traditional Arabic"/>
          <w:noProof w:val="0"/>
          <w:rtl/>
          <w:lang w:eastAsia="en-US"/>
        </w:rPr>
        <w:t>يحر</w:t>
      </w:r>
      <w:r>
        <w:rPr>
          <w:rFonts w:ascii="Traditional Arabic" w:hAnsi="Traditional Arabic" w:hint="cs"/>
          <w:noProof w:val="0"/>
          <w:rtl/>
          <w:lang w:eastAsia="en-US"/>
        </w:rPr>
        <w:t>ُ</w:t>
      </w:r>
      <w:r w:rsidRPr="00B33569">
        <w:rPr>
          <w:rFonts w:ascii="Traditional Arabic" w:hAnsi="Traditional Arabic"/>
          <w:noProof w:val="0"/>
          <w:rtl/>
          <w:lang w:eastAsia="en-US"/>
        </w:rPr>
        <w:t>م تعاطي هذا العقد</w:t>
      </w:r>
      <w:r w:rsidRPr="00C821A1">
        <w:rPr>
          <w:rStyle w:val="af1"/>
          <w:szCs w:val="32"/>
          <w:rtl/>
        </w:rPr>
        <w:t>(</w:t>
      </w:r>
      <w:r w:rsidRPr="00C821A1">
        <w:rPr>
          <w:rStyle w:val="af1"/>
          <w:szCs w:val="32"/>
          <w:rtl/>
        </w:rPr>
        <w:footnoteReference w:id="1508"/>
      </w:r>
      <w:r w:rsidRPr="00C821A1">
        <w:rPr>
          <w:rStyle w:val="af1"/>
          <w:szCs w:val="32"/>
          <w:rtl/>
        </w:rPr>
        <w:t>)</w:t>
      </w:r>
      <w:r w:rsidRPr="00B33569">
        <w:rPr>
          <w:rFonts w:ascii="Traditional Arabic" w:hAnsi="Traditional Arabic"/>
          <w:noProof w:val="0"/>
          <w:rtl/>
          <w:lang w:eastAsia="en-US"/>
        </w:rPr>
        <w:t>.</w:t>
      </w:r>
    </w:p>
    <w:p w:rsidR="009840EE" w:rsidRDefault="009840EE" w:rsidP="00597C20">
      <w:pPr>
        <w:pStyle w:val="53"/>
        <w:rPr>
          <w:color w:val="auto"/>
          <w:rtl/>
        </w:rPr>
      </w:pPr>
      <w:r w:rsidRPr="004134CC">
        <w:rPr>
          <w:rFonts w:hint="cs"/>
          <w:rtl/>
        </w:rPr>
        <w:t>وجه اندراج الفرع تحت القاعدة:</w:t>
      </w:r>
    </w:p>
    <w:p w:rsidR="00BC5153" w:rsidRDefault="009840EE" w:rsidP="00BC5153">
      <w:pPr>
        <w:widowControl/>
        <w:autoSpaceDE w:val="0"/>
        <w:autoSpaceDN w:val="0"/>
        <w:adjustRightInd w:val="0"/>
        <w:ind w:firstLine="720"/>
        <w:jc w:val="left"/>
        <w:rPr>
          <w:rtl/>
        </w:rPr>
      </w:pPr>
      <w:r w:rsidRPr="00312986">
        <w:rPr>
          <w:rFonts w:ascii="Traditional Arabic" w:hAnsi="Traditional Arabic" w:hint="cs"/>
          <w:noProof w:val="0"/>
          <w:color w:val="auto"/>
          <w:rtl/>
          <w:lang w:eastAsia="en-US"/>
        </w:rPr>
        <w:t>يحرُم تعاطي مثل هذه العقود؛ لعدم صحتها، والقاعدة على أن جميع العقود الفاسدة يحرم تعاطيها.</w:t>
      </w:r>
    </w:p>
    <w:p w:rsidR="00F12748" w:rsidRDefault="00F12748" w:rsidP="00F12748">
      <w:pPr>
        <w:widowControl/>
        <w:autoSpaceDE w:val="0"/>
        <w:autoSpaceDN w:val="0"/>
        <w:adjustRightInd w:val="0"/>
        <w:ind w:firstLine="0"/>
        <w:rPr>
          <w:b/>
          <w:bCs/>
          <w:rtl/>
        </w:rPr>
      </w:pPr>
      <w:r>
        <w:rPr>
          <w:rFonts w:hint="cs"/>
          <w:b/>
          <w:bCs/>
          <w:rtl/>
        </w:rPr>
        <w:t xml:space="preserve">                           </w:t>
      </w:r>
    </w:p>
    <w:p w:rsidR="00F12748" w:rsidRDefault="00F12748" w:rsidP="00F12748">
      <w:pPr>
        <w:widowControl/>
        <w:autoSpaceDE w:val="0"/>
        <w:autoSpaceDN w:val="0"/>
        <w:adjustRightInd w:val="0"/>
        <w:ind w:firstLine="0"/>
        <w:rPr>
          <w:b/>
          <w:bCs/>
          <w:rtl/>
        </w:rPr>
      </w:pPr>
    </w:p>
    <w:p w:rsidR="00F12748" w:rsidRDefault="00F12748" w:rsidP="00F12748">
      <w:pPr>
        <w:widowControl/>
        <w:autoSpaceDE w:val="0"/>
        <w:autoSpaceDN w:val="0"/>
        <w:adjustRightInd w:val="0"/>
        <w:ind w:firstLine="0"/>
        <w:rPr>
          <w:b/>
          <w:bCs/>
          <w:rtl/>
        </w:rPr>
      </w:pPr>
    </w:p>
    <w:p w:rsidR="00F12748" w:rsidRDefault="00F12748" w:rsidP="00F12748">
      <w:pPr>
        <w:widowControl/>
        <w:autoSpaceDE w:val="0"/>
        <w:autoSpaceDN w:val="0"/>
        <w:adjustRightInd w:val="0"/>
        <w:ind w:firstLine="0"/>
        <w:rPr>
          <w:b/>
          <w:bCs/>
          <w:rtl/>
        </w:rPr>
      </w:pPr>
    </w:p>
    <w:p w:rsidR="00F12748" w:rsidRDefault="00F12748" w:rsidP="00F12748">
      <w:pPr>
        <w:widowControl/>
        <w:autoSpaceDE w:val="0"/>
        <w:autoSpaceDN w:val="0"/>
        <w:adjustRightInd w:val="0"/>
        <w:ind w:firstLine="0"/>
        <w:rPr>
          <w:b/>
          <w:bCs/>
          <w:rtl/>
        </w:rPr>
      </w:pPr>
    </w:p>
    <w:p w:rsidR="00F12748" w:rsidRDefault="00F12748" w:rsidP="00F12748">
      <w:pPr>
        <w:widowControl/>
        <w:autoSpaceDE w:val="0"/>
        <w:autoSpaceDN w:val="0"/>
        <w:adjustRightInd w:val="0"/>
        <w:ind w:firstLine="0"/>
        <w:rPr>
          <w:b/>
          <w:bCs/>
          <w:rtl/>
        </w:rPr>
      </w:pPr>
    </w:p>
    <w:p w:rsidR="00F12748" w:rsidRDefault="00F12748" w:rsidP="00F12748">
      <w:pPr>
        <w:widowControl/>
        <w:autoSpaceDE w:val="0"/>
        <w:autoSpaceDN w:val="0"/>
        <w:adjustRightInd w:val="0"/>
        <w:ind w:firstLine="0"/>
        <w:rPr>
          <w:b/>
          <w:bCs/>
          <w:rtl/>
        </w:rPr>
      </w:pPr>
    </w:p>
    <w:p w:rsidR="00F12748" w:rsidRDefault="00F12748" w:rsidP="00F12748">
      <w:pPr>
        <w:widowControl/>
        <w:autoSpaceDE w:val="0"/>
        <w:autoSpaceDN w:val="0"/>
        <w:adjustRightInd w:val="0"/>
        <w:ind w:firstLine="0"/>
        <w:rPr>
          <w:b/>
          <w:bCs/>
          <w:rtl/>
        </w:rPr>
      </w:pPr>
    </w:p>
    <w:p w:rsidR="00F12748" w:rsidRDefault="00F12748" w:rsidP="00F12748">
      <w:pPr>
        <w:widowControl/>
        <w:autoSpaceDE w:val="0"/>
        <w:autoSpaceDN w:val="0"/>
        <w:adjustRightInd w:val="0"/>
        <w:ind w:firstLine="0"/>
        <w:rPr>
          <w:b/>
          <w:bCs/>
          <w:rtl/>
        </w:rPr>
      </w:pPr>
    </w:p>
    <w:p w:rsidR="00F12748" w:rsidRDefault="00F12748" w:rsidP="00F12748">
      <w:pPr>
        <w:widowControl/>
        <w:autoSpaceDE w:val="0"/>
        <w:autoSpaceDN w:val="0"/>
        <w:adjustRightInd w:val="0"/>
        <w:ind w:firstLine="0"/>
        <w:rPr>
          <w:b/>
          <w:bCs/>
          <w:rtl/>
        </w:rPr>
      </w:pPr>
    </w:p>
    <w:p w:rsidR="00F12748" w:rsidRDefault="00F12748" w:rsidP="00F12748">
      <w:pPr>
        <w:widowControl/>
        <w:autoSpaceDE w:val="0"/>
        <w:autoSpaceDN w:val="0"/>
        <w:adjustRightInd w:val="0"/>
        <w:ind w:firstLine="0"/>
        <w:rPr>
          <w:b/>
          <w:bCs/>
          <w:rtl/>
        </w:rPr>
      </w:pPr>
    </w:p>
    <w:p w:rsidR="00BC5153" w:rsidRDefault="00F12748" w:rsidP="00F12748">
      <w:pPr>
        <w:widowControl/>
        <w:autoSpaceDE w:val="0"/>
        <w:autoSpaceDN w:val="0"/>
        <w:adjustRightInd w:val="0"/>
        <w:ind w:firstLine="0"/>
        <w:rPr>
          <w:b/>
          <w:bCs/>
          <w:rtl/>
        </w:rPr>
      </w:pPr>
      <w:r>
        <w:rPr>
          <w:rFonts w:hint="cs"/>
          <w:b/>
          <w:bCs/>
          <w:rtl/>
        </w:rPr>
        <w:t xml:space="preserve">                                        </w:t>
      </w:r>
      <w:r w:rsidR="00F10FEB" w:rsidRPr="00BC5153">
        <w:rPr>
          <w:rFonts w:hint="cs"/>
          <w:b/>
          <w:bCs/>
          <w:rtl/>
        </w:rPr>
        <w:t>المطلب الخامس</w:t>
      </w:r>
    </w:p>
    <w:p w:rsidR="00F10FEB" w:rsidRPr="00BC5153" w:rsidRDefault="00F10FEB" w:rsidP="00BC5153">
      <w:pPr>
        <w:widowControl/>
        <w:autoSpaceDE w:val="0"/>
        <w:autoSpaceDN w:val="0"/>
        <w:adjustRightInd w:val="0"/>
        <w:ind w:firstLine="0"/>
        <w:jc w:val="center"/>
        <w:rPr>
          <w:b/>
          <w:bCs/>
          <w:rtl/>
        </w:rPr>
      </w:pPr>
      <w:r>
        <w:rPr>
          <w:rFonts w:hint="cs"/>
          <w:noProof w:val="0"/>
          <w:rtl/>
          <w:lang w:eastAsia="en-US"/>
        </w:rPr>
        <w:t>م</w:t>
      </w:r>
      <w:r w:rsidR="00F12748">
        <w:rPr>
          <w:rFonts w:hint="cs"/>
          <w:noProof w:val="0"/>
          <w:rtl/>
          <w:lang w:eastAsia="en-US"/>
        </w:rPr>
        <w:t>ا يستثنى</w:t>
      </w:r>
      <w:r>
        <w:rPr>
          <w:rFonts w:hint="cs"/>
          <w:noProof w:val="0"/>
          <w:rtl/>
          <w:lang w:eastAsia="en-US"/>
        </w:rPr>
        <w:t xml:space="preserve"> </w:t>
      </w:r>
      <w:r w:rsidR="00F12748">
        <w:rPr>
          <w:rFonts w:hint="cs"/>
          <w:noProof w:val="0"/>
          <w:rtl/>
          <w:lang w:eastAsia="en-US"/>
        </w:rPr>
        <w:t xml:space="preserve"> من </w:t>
      </w:r>
      <w:r>
        <w:rPr>
          <w:rFonts w:hint="cs"/>
          <w:noProof w:val="0"/>
          <w:rtl/>
          <w:lang w:eastAsia="en-US"/>
        </w:rPr>
        <w:t>القاعدة</w:t>
      </w:r>
      <w:r w:rsidRPr="00C821A1">
        <w:rPr>
          <w:rStyle w:val="af1"/>
          <w:bCs/>
          <w:szCs w:val="32"/>
          <w:rtl/>
        </w:rPr>
        <w:t>(</w:t>
      </w:r>
      <w:r w:rsidRPr="00C821A1">
        <w:rPr>
          <w:rStyle w:val="af1"/>
          <w:bCs/>
          <w:szCs w:val="32"/>
          <w:rtl/>
        </w:rPr>
        <w:footnoteReference w:id="1509"/>
      </w:r>
      <w:r w:rsidRPr="00C821A1">
        <w:rPr>
          <w:rStyle w:val="af1"/>
          <w:bCs/>
          <w:szCs w:val="32"/>
          <w:rtl/>
        </w:rPr>
        <w:t>)</w:t>
      </w:r>
    </w:p>
    <w:p w:rsidR="00F10FEB" w:rsidRDefault="00F10FEB" w:rsidP="00F10FEB">
      <w:pPr>
        <w:widowControl/>
        <w:autoSpaceDE w:val="0"/>
        <w:autoSpaceDN w:val="0"/>
        <w:adjustRightInd w:val="0"/>
        <w:ind w:firstLine="720"/>
        <w:jc w:val="left"/>
        <w:rPr>
          <w:rFonts w:ascii="Traditional Arabic" w:hAnsi="Traditional Arabic"/>
          <w:noProof w:val="0"/>
          <w:rtl/>
          <w:lang w:eastAsia="en-US"/>
        </w:rPr>
      </w:pPr>
      <w:r w:rsidRPr="00DC143E">
        <w:rPr>
          <w:rFonts w:ascii="Traditional Arabic" w:hAnsi="Traditional Arabic" w:hint="cs"/>
          <w:noProof w:val="0"/>
          <w:rtl/>
          <w:lang w:eastAsia="en-US"/>
        </w:rPr>
        <w:t>ذكر الشافعية صورة مستثناة من هذه القاعدة، وهي:</w:t>
      </w:r>
      <w:r>
        <w:rPr>
          <w:rFonts w:ascii="Traditional Arabic" w:hAnsi="Traditional Arabic" w:hint="cs"/>
          <w:noProof w:val="0"/>
          <w:rtl/>
          <w:lang w:eastAsia="en-US"/>
        </w:rPr>
        <w:t xml:space="preserve"> </w:t>
      </w:r>
    </w:p>
    <w:p w:rsidR="00F10FEB" w:rsidRPr="00717631" w:rsidRDefault="00F10FEB" w:rsidP="00F10FEB">
      <w:pPr>
        <w:widowControl/>
        <w:autoSpaceDE w:val="0"/>
        <w:autoSpaceDN w:val="0"/>
        <w:adjustRightInd w:val="0"/>
        <w:ind w:firstLine="720"/>
        <w:jc w:val="left"/>
        <w:rPr>
          <w:rFonts w:ascii="Traditional Arabic" w:hAnsi="Traditional Arabic"/>
          <w:noProof w:val="0"/>
          <w:lang w:eastAsia="en-US"/>
        </w:rPr>
      </w:pPr>
      <w:r w:rsidRPr="00DC143E">
        <w:rPr>
          <w:rFonts w:ascii="Traditional Arabic" w:hAnsi="Traditional Arabic"/>
          <w:noProof w:val="0"/>
          <w:rtl/>
          <w:lang w:eastAsia="en-US"/>
        </w:rPr>
        <w:t>المضطر</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 xml:space="preserve"> إذا لم يج</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د الطعام إلا بزيادة على ثمن</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 xml:space="preserve"> الم</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ثل</w:t>
      </w:r>
      <w:r w:rsidRPr="00DC143E">
        <w:rPr>
          <w:rFonts w:ascii="Traditional Arabic" w:hAnsi="Traditional Arabic" w:hint="cs"/>
          <w:noProof w:val="0"/>
          <w:rtl/>
          <w:lang w:eastAsia="en-US"/>
        </w:rPr>
        <w:t xml:space="preserve">، قالوا: </w:t>
      </w:r>
      <w:r w:rsidRPr="00DC143E">
        <w:rPr>
          <w:rFonts w:ascii="Traditional Arabic" w:hAnsi="Traditional Arabic"/>
          <w:noProof w:val="0"/>
          <w:rtl/>
          <w:lang w:eastAsia="en-US"/>
        </w:rPr>
        <w:t>ينبغي أن ي</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ح</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تال في أ</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خ</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ذ الطعام م</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ن صاحبه ببيع</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 xml:space="preserve"> فاسد</w:t>
      </w:r>
      <w:r>
        <w:rPr>
          <w:rFonts w:ascii="Traditional Arabic" w:hAnsi="Traditional Arabic"/>
          <w:noProof w:val="0"/>
          <w:rtl/>
          <w:lang w:eastAsia="en-US"/>
        </w:rPr>
        <w:t>،</w:t>
      </w:r>
      <w:r w:rsidRPr="00DC143E">
        <w:rPr>
          <w:rFonts w:ascii="Traditional Arabic" w:hAnsi="Traditional Arabic"/>
          <w:noProof w:val="0"/>
          <w:rtl/>
          <w:lang w:eastAsia="en-US"/>
        </w:rPr>
        <w:t xml:space="preserve"> ل</w:t>
      </w:r>
      <w:r w:rsidRPr="00DC143E">
        <w:rPr>
          <w:rFonts w:ascii="Traditional Arabic" w:hAnsi="Traditional Arabic" w:hint="cs"/>
          <w:noProof w:val="0"/>
          <w:rtl/>
          <w:lang w:eastAsia="en-US"/>
        </w:rPr>
        <w:t>ِ</w:t>
      </w:r>
      <w:r w:rsidRPr="00DC143E">
        <w:rPr>
          <w:rFonts w:ascii="Traditional Arabic" w:hAnsi="Traditional Arabic"/>
          <w:noProof w:val="0"/>
          <w:rtl/>
          <w:lang w:eastAsia="en-US"/>
        </w:rPr>
        <w:t>يكون الواجب عليه القيمة</w:t>
      </w:r>
      <w:r w:rsidRPr="00C821A1">
        <w:rPr>
          <w:rStyle w:val="af1"/>
          <w:szCs w:val="32"/>
          <w:rtl/>
        </w:rPr>
        <w:t>(</w:t>
      </w:r>
      <w:r w:rsidRPr="00C821A1">
        <w:rPr>
          <w:rStyle w:val="af1"/>
          <w:szCs w:val="32"/>
          <w:rtl/>
        </w:rPr>
        <w:footnoteReference w:id="1510"/>
      </w:r>
      <w:r w:rsidRPr="00C821A1">
        <w:rPr>
          <w:rStyle w:val="af1"/>
          <w:szCs w:val="32"/>
          <w:rtl/>
        </w:rPr>
        <w:t>)</w:t>
      </w:r>
      <w:r w:rsidRPr="00DC143E">
        <w:rPr>
          <w:rFonts w:ascii="Traditional Arabic" w:hAnsi="Traditional Arabic"/>
          <w:noProof w:val="0"/>
          <w:rtl/>
          <w:lang w:eastAsia="en-US"/>
        </w:rPr>
        <w:t>.</w:t>
      </w:r>
    </w:p>
    <w:p w:rsidR="00F10FEB" w:rsidRPr="00312986" w:rsidRDefault="00F10FEB" w:rsidP="00597C20">
      <w:pPr>
        <w:widowControl/>
        <w:autoSpaceDE w:val="0"/>
        <w:autoSpaceDN w:val="0"/>
        <w:adjustRightInd w:val="0"/>
        <w:ind w:firstLine="720"/>
        <w:rPr>
          <w:rFonts w:ascii="Traditional Arabic" w:hAnsi="Traditional Arabic"/>
          <w:noProof w:val="0"/>
          <w:color w:val="auto"/>
          <w:rtl/>
          <w:lang w:eastAsia="en-US"/>
        </w:rPr>
      </w:pPr>
    </w:p>
    <w:p w:rsidR="00F10FEB" w:rsidRPr="00717631" w:rsidRDefault="008A75EE" w:rsidP="00A8347C">
      <w:pPr>
        <w:pStyle w:val="aff3"/>
      </w:pPr>
      <w:bookmarkStart w:id="300" w:name="_Toc334046516"/>
      <w:r>
        <w:rPr>
          <w:rFonts w:hint="cs"/>
          <w:rtl/>
        </w:rPr>
        <w:t xml:space="preserve">                                     </w:t>
      </w:r>
      <w:bookmarkEnd w:id="300"/>
    </w:p>
    <w:p w:rsidR="009840EE" w:rsidRPr="00C85F0F" w:rsidRDefault="00F12748" w:rsidP="00F12748">
      <w:pPr>
        <w:pStyle w:val="aff2"/>
        <w:jc w:val="both"/>
        <w:rPr>
          <w:rStyle w:val="af1"/>
          <w:b w:val="0"/>
          <w:bCs w:val="0"/>
          <w:rtl/>
        </w:rPr>
      </w:pPr>
      <w:bookmarkStart w:id="301" w:name="_Toc334046517"/>
      <w:r>
        <w:rPr>
          <w:rFonts w:ascii="Traditional Arabic" w:hAnsi="Traditional Arabic" w:hint="cs"/>
          <w:rtl/>
        </w:rPr>
        <w:lastRenderedPageBreak/>
        <w:t xml:space="preserve">              </w:t>
      </w:r>
      <w:r w:rsidR="00AC3B57">
        <w:rPr>
          <w:rFonts w:ascii="Traditional Arabic" w:hAnsi="Traditional Arabic" w:hint="cs"/>
          <w:rtl/>
        </w:rPr>
        <w:t xml:space="preserve">                          المبحثالثاني</w:t>
      </w:r>
      <w:r w:rsidR="00D5163B">
        <w:rPr>
          <w:rFonts w:ascii="Traditional Arabic" w:hAnsi="Traditional Arabic" w:hint="eastAsia"/>
          <w:rtl/>
        </w:rPr>
        <w:t> :</w:t>
      </w:r>
      <w:r w:rsidR="00D5163B">
        <w:rPr>
          <w:rFonts w:ascii="Traditional Arabic" w:hAnsi="Traditional Arabic" w:hint="cs"/>
          <w:rtl/>
        </w:rPr>
        <w:br/>
      </w:r>
      <w:r>
        <w:rPr>
          <w:rFonts w:hint="cs"/>
          <w:rtl/>
        </w:rPr>
        <w:t xml:space="preserve">                                            </w:t>
      </w:r>
      <w:r w:rsidR="009840EE">
        <w:rPr>
          <w:rFonts w:hint="cs"/>
          <w:rtl/>
        </w:rPr>
        <w:t>قاعدة</w:t>
      </w:r>
      <w:r w:rsidR="009840EE">
        <w:rPr>
          <w:rtl/>
        </w:rPr>
        <w:br/>
      </w:r>
      <w:r>
        <w:rPr>
          <w:rFonts w:hint="cs"/>
          <w:rtl/>
        </w:rPr>
        <w:t xml:space="preserve">                         </w:t>
      </w:r>
      <w:r w:rsidR="009840EE">
        <w:rPr>
          <w:rFonts w:hint="cs"/>
          <w:rtl/>
        </w:rPr>
        <w:t>"جميع العقود والفسوخ لابد فيها من الرضا</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جميعالعقودوالفسوخلابدفيهامنالرضا</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9840EE" w:rsidRPr="00C85F0F">
        <w:rPr>
          <w:rFonts w:hint="cs"/>
          <w:rtl/>
        </w:rPr>
        <w:t>"</w:t>
      </w:r>
      <w:r w:rsidR="009840EE" w:rsidRPr="00C85F0F">
        <w:rPr>
          <w:rStyle w:val="af1"/>
          <w:b w:val="0"/>
          <w:bCs w:val="0"/>
          <w:szCs w:val="32"/>
          <w:rtl/>
        </w:rPr>
        <w:t>(</w:t>
      </w:r>
      <w:r w:rsidR="009840EE" w:rsidRPr="00C85F0F">
        <w:rPr>
          <w:rStyle w:val="af1"/>
          <w:b w:val="0"/>
          <w:bCs w:val="0"/>
          <w:szCs w:val="32"/>
          <w:rtl/>
        </w:rPr>
        <w:footnoteReference w:id="1511"/>
      </w:r>
      <w:r w:rsidR="009840EE" w:rsidRPr="00C85F0F">
        <w:rPr>
          <w:rStyle w:val="af1"/>
          <w:b w:val="0"/>
          <w:bCs w:val="0"/>
          <w:szCs w:val="32"/>
          <w:rtl/>
        </w:rPr>
        <w:t>)</w:t>
      </w:r>
      <w:bookmarkEnd w:id="301"/>
    </w:p>
    <w:p w:rsidR="009840EE" w:rsidRPr="00C85F0F" w:rsidRDefault="008A75EE" w:rsidP="00A8347C">
      <w:pPr>
        <w:pStyle w:val="aff3"/>
        <w:rPr>
          <w:rtl/>
        </w:rPr>
      </w:pPr>
      <w:bookmarkStart w:id="302" w:name="_Toc334046518"/>
      <w:r>
        <w:rPr>
          <w:rFonts w:hint="cs"/>
          <w:rtl/>
        </w:rPr>
        <w:t xml:space="preserve">                                         المطلب</w:t>
      </w:r>
      <w:r w:rsidR="00717631">
        <w:rPr>
          <w:rFonts w:hint="cs"/>
          <w:rtl/>
        </w:rPr>
        <w:t xml:space="preserve"> </w:t>
      </w:r>
      <w:r w:rsidR="009840EE" w:rsidRPr="00C85F0F">
        <w:rPr>
          <w:rFonts w:hint="cs"/>
          <w:rtl/>
        </w:rPr>
        <w:t>الأول</w:t>
      </w:r>
      <w:r w:rsidR="009840EE" w:rsidRPr="00C85F0F">
        <w:rPr>
          <w:rFonts w:hint="eastAsia"/>
          <w:rtl/>
        </w:rPr>
        <w:t> :</w:t>
      </w:r>
      <w:r w:rsidR="009840EE" w:rsidRPr="00C85F0F">
        <w:rPr>
          <w:rFonts w:hint="cs"/>
          <w:rtl/>
        </w:rPr>
        <w:br/>
      </w:r>
      <w:r>
        <w:rPr>
          <w:rFonts w:hint="cs"/>
          <w:rtl/>
        </w:rPr>
        <w:t xml:space="preserve">                      </w:t>
      </w:r>
      <w:r w:rsidR="00925718">
        <w:rPr>
          <w:rFonts w:hint="cs"/>
          <w:rtl/>
        </w:rPr>
        <w:t xml:space="preserve"> </w:t>
      </w:r>
      <w:r w:rsidR="009840EE" w:rsidRPr="00C85F0F">
        <w:rPr>
          <w:rFonts w:hint="cs"/>
          <w:rtl/>
        </w:rPr>
        <w:t>صيغ القاعدة عند الشيخ وعند علماء القواعد</w:t>
      </w:r>
      <w:bookmarkEnd w:id="302"/>
    </w:p>
    <w:p w:rsidR="009840EE" w:rsidRPr="00C85F0F" w:rsidRDefault="00F12748" w:rsidP="00717631">
      <w:pPr>
        <w:ind w:firstLine="0"/>
        <w:rPr>
          <w:rStyle w:val="af1"/>
          <w:vertAlign w:val="baseline"/>
          <w:rtl/>
        </w:rPr>
      </w:pPr>
      <w:r>
        <w:rPr>
          <w:rStyle w:val="af1"/>
          <w:rFonts w:hint="cs"/>
          <w:vertAlign w:val="baseline"/>
          <w:rtl/>
        </w:rPr>
        <w:t xml:space="preserve">    </w:t>
      </w:r>
      <w:r w:rsidR="00717631">
        <w:rPr>
          <w:rStyle w:val="af1"/>
          <w:rFonts w:hint="cs"/>
          <w:vertAlign w:val="baseline"/>
          <w:rtl/>
        </w:rPr>
        <w:t>وردت هذه القاعدة</w:t>
      </w:r>
      <w:r w:rsidR="009840EE" w:rsidRPr="00C85F0F">
        <w:rPr>
          <w:rStyle w:val="af1"/>
          <w:rFonts w:hint="cs"/>
          <w:vertAlign w:val="baseline"/>
          <w:rtl/>
        </w:rPr>
        <w:t xml:space="preserve"> عند الشيخ ابن عثيمين </w:t>
      </w:r>
      <w:r w:rsidR="00717631">
        <w:rPr>
          <w:rStyle w:val="af1"/>
          <w:rFonts w:hint="cs"/>
          <w:vertAlign w:val="baseline"/>
          <w:rtl/>
        </w:rPr>
        <w:t>_</w:t>
      </w:r>
      <w:r w:rsidR="009A0575" w:rsidRPr="005D5694">
        <w:rPr>
          <w:rFonts w:ascii="Traditional Arabic" w:hAnsi="Traditional Arabic" w:cs="CTraditional Arabic" w:hint="cs"/>
          <w:rtl/>
        </w:rPr>
        <w:t>/</w:t>
      </w:r>
      <w:r w:rsidR="00717631">
        <w:rPr>
          <w:rStyle w:val="af1"/>
          <w:rFonts w:hint="cs"/>
          <w:vertAlign w:val="baseline"/>
          <w:rtl/>
        </w:rPr>
        <w:t>_بعدة صيغ، منها</w:t>
      </w:r>
      <w:r w:rsidR="009840EE" w:rsidRPr="00C85F0F">
        <w:rPr>
          <w:rStyle w:val="af1"/>
          <w:rFonts w:hint="cs"/>
          <w:vertAlign w:val="baseline"/>
          <w:rtl/>
        </w:rPr>
        <w:t>:</w:t>
      </w:r>
    </w:p>
    <w:p w:rsidR="009840EE" w:rsidRPr="00C85F0F" w:rsidRDefault="009840EE" w:rsidP="000A76C7">
      <w:pPr>
        <w:numPr>
          <w:ilvl w:val="0"/>
          <w:numId w:val="206"/>
        </w:numPr>
      </w:pPr>
      <w:r w:rsidRPr="00C85F0F">
        <w:rPr>
          <w:rFonts w:hint="cs"/>
          <w:rtl/>
        </w:rPr>
        <w:t>جميعُ العقود والفُسوخ لابدَّ فيها من الرِّضا</w:t>
      </w:r>
      <w:r w:rsidRPr="00C85F0F">
        <w:rPr>
          <w:rStyle w:val="af1"/>
          <w:szCs w:val="32"/>
          <w:rtl/>
        </w:rPr>
        <w:t>(</w:t>
      </w:r>
      <w:r w:rsidRPr="00C85F0F">
        <w:rPr>
          <w:rStyle w:val="af1"/>
          <w:szCs w:val="32"/>
          <w:rtl/>
        </w:rPr>
        <w:footnoteReference w:id="1512"/>
      </w:r>
      <w:r w:rsidRPr="00C85F0F">
        <w:rPr>
          <w:rStyle w:val="af1"/>
          <w:szCs w:val="32"/>
          <w:rtl/>
        </w:rPr>
        <w:t>)</w:t>
      </w:r>
      <w:r w:rsidRPr="00C85F0F">
        <w:rPr>
          <w:rFonts w:hint="cs"/>
          <w:rtl/>
        </w:rPr>
        <w:t>.</w:t>
      </w:r>
    </w:p>
    <w:p w:rsidR="009840EE" w:rsidRPr="00C85F0F" w:rsidRDefault="009840EE" w:rsidP="000A76C7">
      <w:pPr>
        <w:numPr>
          <w:ilvl w:val="0"/>
          <w:numId w:val="206"/>
        </w:numPr>
      </w:pPr>
      <w:r w:rsidRPr="00C85F0F">
        <w:rPr>
          <w:rFonts w:hint="cs"/>
          <w:rtl/>
        </w:rPr>
        <w:t>الرِّضا لابدَّ منه في جميع العقود</w:t>
      </w:r>
      <w:r w:rsidRPr="00C85F0F">
        <w:rPr>
          <w:rStyle w:val="af1"/>
          <w:szCs w:val="32"/>
          <w:rtl/>
        </w:rPr>
        <w:t>(</w:t>
      </w:r>
      <w:r w:rsidRPr="00C85F0F">
        <w:rPr>
          <w:rStyle w:val="af1"/>
          <w:szCs w:val="32"/>
          <w:rtl/>
        </w:rPr>
        <w:footnoteReference w:id="1513"/>
      </w:r>
      <w:r w:rsidRPr="00C85F0F">
        <w:rPr>
          <w:rStyle w:val="af1"/>
          <w:szCs w:val="32"/>
          <w:rtl/>
        </w:rPr>
        <w:t>)</w:t>
      </w:r>
      <w:r w:rsidRPr="00C85F0F">
        <w:rPr>
          <w:rFonts w:hint="cs"/>
          <w:rtl/>
        </w:rPr>
        <w:t>.</w:t>
      </w:r>
    </w:p>
    <w:p w:rsidR="009840EE" w:rsidRPr="00C85F0F" w:rsidRDefault="009840EE" w:rsidP="000A76C7">
      <w:pPr>
        <w:numPr>
          <w:ilvl w:val="0"/>
          <w:numId w:val="206"/>
        </w:numPr>
      </w:pPr>
      <w:r w:rsidRPr="00C85F0F">
        <w:rPr>
          <w:rFonts w:hint="cs"/>
          <w:rtl/>
        </w:rPr>
        <w:t>لابدَّ في جميع العقود والفسوخ أن تكون صادِرةً عن رِضا واختيارٍ</w:t>
      </w:r>
      <w:r w:rsidRPr="00C85F0F">
        <w:rPr>
          <w:rStyle w:val="af1"/>
          <w:szCs w:val="32"/>
          <w:rtl/>
        </w:rPr>
        <w:t>(</w:t>
      </w:r>
      <w:r w:rsidRPr="00C85F0F">
        <w:rPr>
          <w:rStyle w:val="af1"/>
          <w:szCs w:val="32"/>
          <w:rtl/>
        </w:rPr>
        <w:footnoteReference w:id="1514"/>
      </w:r>
      <w:r w:rsidRPr="00C85F0F">
        <w:rPr>
          <w:rStyle w:val="af1"/>
          <w:szCs w:val="32"/>
          <w:rtl/>
        </w:rPr>
        <w:t>)</w:t>
      </w:r>
      <w:r w:rsidRPr="00C85F0F">
        <w:rPr>
          <w:rFonts w:hint="cs"/>
          <w:rtl/>
        </w:rPr>
        <w:t>.</w:t>
      </w:r>
    </w:p>
    <w:p w:rsidR="009840EE" w:rsidRPr="00C85F0F" w:rsidRDefault="009840EE" w:rsidP="00597C20">
      <w:pPr>
        <w:rPr>
          <w:rtl/>
        </w:rPr>
      </w:pPr>
      <w:r w:rsidRPr="00C85F0F">
        <w:rPr>
          <w:rFonts w:hint="cs"/>
          <w:rtl/>
        </w:rPr>
        <w:t>ومما وردت به هذه القاعدة من الصيغ عند علماء القواعد:</w:t>
      </w:r>
    </w:p>
    <w:p w:rsidR="009840EE" w:rsidRPr="00C85F0F" w:rsidRDefault="009840EE" w:rsidP="000A76C7">
      <w:pPr>
        <w:numPr>
          <w:ilvl w:val="0"/>
          <w:numId w:val="207"/>
        </w:numPr>
      </w:pPr>
      <w:r w:rsidRPr="00C85F0F">
        <w:rPr>
          <w:rFonts w:hint="cs"/>
          <w:rtl/>
        </w:rPr>
        <w:t>الأصل في العقود رِضا المتعاقِدَين ومُوجَبُها هو ما أَوْجَباهُ على أنفسهما بالتَّعاقُد</w:t>
      </w:r>
      <w:r w:rsidRPr="00C85F0F">
        <w:rPr>
          <w:rStyle w:val="af1"/>
          <w:szCs w:val="32"/>
          <w:rtl/>
        </w:rPr>
        <w:t>(</w:t>
      </w:r>
      <w:r w:rsidRPr="00C85F0F">
        <w:rPr>
          <w:rStyle w:val="af1"/>
          <w:szCs w:val="32"/>
          <w:rtl/>
        </w:rPr>
        <w:footnoteReference w:id="1515"/>
      </w:r>
      <w:r w:rsidRPr="00C85F0F">
        <w:rPr>
          <w:rStyle w:val="af1"/>
          <w:szCs w:val="32"/>
          <w:rtl/>
        </w:rPr>
        <w:t>)</w:t>
      </w:r>
      <w:r w:rsidRPr="00C85F0F">
        <w:rPr>
          <w:rFonts w:hint="cs"/>
          <w:rtl/>
        </w:rPr>
        <w:t>.</w:t>
      </w:r>
    </w:p>
    <w:p w:rsidR="009840EE" w:rsidRPr="00C85F0F" w:rsidRDefault="009840EE" w:rsidP="000A76C7">
      <w:pPr>
        <w:numPr>
          <w:ilvl w:val="0"/>
          <w:numId w:val="207"/>
        </w:numPr>
      </w:pPr>
      <w:r w:rsidRPr="00C85F0F">
        <w:rPr>
          <w:rFonts w:hint="cs"/>
          <w:rtl/>
        </w:rPr>
        <w:t>لابدَّ من التَّراضي في جميع عقود المُعاوَضات</w:t>
      </w:r>
      <w:r w:rsidRPr="00C85F0F">
        <w:rPr>
          <w:rStyle w:val="af1"/>
          <w:szCs w:val="32"/>
          <w:rtl/>
        </w:rPr>
        <w:t>(</w:t>
      </w:r>
      <w:r w:rsidRPr="00C85F0F">
        <w:rPr>
          <w:rStyle w:val="af1"/>
          <w:szCs w:val="32"/>
          <w:rtl/>
        </w:rPr>
        <w:footnoteReference w:id="1516"/>
      </w:r>
      <w:r w:rsidRPr="00C85F0F">
        <w:rPr>
          <w:rStyle w:val="af1"/>
          <w:szCs w:val="32"/>
          <w:rtl/>
        </w:rPr>
        <w:t>)</w:t>
      </w:r>
      <w:r w:rsidRPr="00C85F0F">
        <w:rPr>
          <w:rFonts w:hint="cs"/>
          <w:rtl/>
        </w:rPr>
        <w:t>، وعقود التَّبرُّعات</w:t>
      </w:r>
      <w:r w:rsidRPr="00C85F0F">
        <w:rPr>
          <w:rStyle w:val="af1"/>
          <w:szCs w:val="32"/>
          <w:rtl/>
        </w:rPr>
        <w:t>(</w:t>
      </w:r>
      <w:r w:rsidRPr="00C85F0F">
        <w:rPr>
          <w:rStyle w:val="af1"/>
          <w:szCs w:val="32"/>
          <w:rtl/>
        </w:rPr>
        <w:footnoteReference w:id="1517"/>
      </w:r>
      <w:r w:rsidRPr="00C85F0F">
        <w:rPr>
          <w:rStyle w:val="af1"/>
          <w:szCs w:val="32"/>
          <w:rtl/>
        </w:rPr>
        <w:t>)</w:t>
      </w:r>
      <w:r w:rsidRPr="00C85F0F">
        <w:rPr>
          <w:rFonts w:hint="cs"/>
          <w:rtl/>
        </w:rPr>
        <w:t xml:space="preserve">[والفسوخ </w:t>
      </w:r>
      <w:r w:rsidRPr="00C85F0F">
        <w:rPr>
          <w:rFonts w:hint="cs"/>
          <w:rtl/>
        </w:rPr>
        <w:lastRenderedPageBreak/>
        <w:t>الاختِياريَّة]</w:t>
      </w:r>
      <w:r w:rsidRPr="00C85F0F">
        <w:rPr>
          <w:rStyle w:val="af1"/>
          <w:szCs w:val="32"/>
          <w:rtl/>
        </w:rPr>
        <w:t>(</w:t>
      </w:r>
      <w:r w:rsidRPr="00C85F0F">
        <w:rPr>
          <w:rStyle w:val="af1"/>
          <w:szCs w:val="32"/>
          <w:rtl/>
        </w:rPr>
        <w:footnoteReference w:id="1518"/>
      </w:r>
      <w:r w:rsidRPr="00C85F0F">
        <w:rPr>
          <w:rStyle w:val="af1"/>
          <w:szCs w:val="32"/>
          <w:rtl/>
        </w:rPr>
        <w:t>)</w:t>
      </w:r>
      <w:r w:rsidRPr="00C85F0F">
        <w:rPr>
          <w:rFonts w:hint="cs"/>
          <w:rtl/>
        </w:rPr>
        <w:t>.</w:t>
      </w:r>
    </w:p>
    <w:p w:rsidR="009840EE" w:rsidRPr="00C85F0F" w:rsidRDefault="008A75EE" w:rsidP="00A8347C">
      <w:pPr>
        <w:pStyle w:val="aff3"/>
        <w:rPr>
          <w:rtl/>
        </w:rPr>
      </w:pPr>
      <w:bookmarkStart w:id="303" w:name="_Toc334046519"/>
      <w:r>
        <w:rPr>
          <w:rFonts w:hint="cs"/>
          <w:rtl/>
        </w:rPr>
        <w:t xml:space="preserve">                                         </w:t>
      </w:r>
      <w:r w:rsidR="00717631">
        <w:rPr>
          <w:rFonts w:hint="cs"/>
          <w:rtl/>
        </w:rPr>
        <w:t xml:space="preserve">  </w:t>
      </w:r>
      <w:r>
        <w:rPr>
          <w:rFonts w:hint="cs"/>
          <w:rtl/>
        </w:rPr>
        <w:t>المطلب</w:t>
      </w:r>
      <w:r w:rsidR="00717631">
        <w:rPr>
          <w:rFonts w:hint="cs"/>
          <w:rtl/>
        </w:rPr>
        <w:t xml:space="preserve"> </w:t>
      </w:r>
      <w:r w:rsidR="009840EE" w:rsidRPr="00C85F0F">
        <w:rPr>
          <w:rFonts w:hint="cs"/>
          <w:rtl/>
        </w:rPr>
        <w:t>الثاني</w:t>
      </w:r>
      <w:r w:rsidR="009840EE" w:rsidRPr="00C85F0F">
        <w:rPr>
          <w:rFonts w:hint="eastAsia"/>
          <w:rtl/>
        </w:rPr>
        <w:t> :</w:t>
      </w:r>
      <w:r w:rsidR="009840EE" w:rsidRPr="00C85F0F">
        <w:rPr>
          <w:rFonts w:hint="cs"/>
          <w:rtl/>
        </w:rPr>
        <w:br/>
      </w:r>
      <w:r>
        <w:rPr>
          <w:rFonts w:hint="cs"/>
          <w:rtl/>
        </w:rPr>
        <w:t xml:space="preserve">                                          </w:t>
      </w:r>
      <w:r w:rsidR="00717631">
        <w:rPr>
          <w:rFonts w:hint="cs"/>
          <w:rtl/>
        </w:rPr>
        <w:t xml:space="preserve">  </w:t>
      </w:r>
      <w:r w:rsidR="009840EE" w:rsidRPr="00C85F0F">
        <w:rPr>
          <w:rFonts w:hint="cs"/>
          <w:rtl/>
        </w:rPr>
        <w:t>شرح القاعدة</w:t>
      </w:r>
      <w:bookmarkEnd w:id="303"/>
    </w:p>
    <w:p w:rsidR="00312986" w:rsidRDefault="009840EE" w:rsidP="00597C20">
      <w:pPr>
        <w:pStyle w:val="53"/>
        <w:rPr>
          <w:rtl/>
        </w:rPr>
      </w:pPr>
      <w:r w:rsidRPr="00531753">
        <w:rPr>
          <w:rFonts w:hint="cs"/>
          <w:rtl/>
        </w:rPr>
        <w:t>الفُسوخ</w:t>
      </w:r>
      <w:r w:rsidR="00AB0B9E" w:rsidRPr="00C85F0F">
        <w:fldChar w:fldCharType="begin"/>
      </w:r>
      <w:r w:rsidR="003E316B" w:rsidRPr="00C85F0F">
        <w:instrText>XE</w:instrText>
      </w:r>
      <w:r w:rsidR="003E316B" w:rsidRPr="00C85F0F">
        <w:rPr>
          <w:rtl/>
        </w:rPr>
        <w:instrText xml:space="preserve"> "</w:instrText>
      </w:r>
      <w:r w:rsidR="003E316B" w:rsidRPr="00531753">
        <w:rPr>
          <w:rFonts w:hint="cs"/>
          <w:b w:val="0"/>
          <w:bCs w:val="0"/>
          <w:rtl/>
        </w:rPr>
        <w:instrText>الفسخ</w:instrText>
      </w:r>
      <w:r w:rsidR="003E316B" w:rsidRPr="00C85F0F">
        <w:rPr>
          <w:rtl/>
        </w:rPr>
        <w:instrText>" \</w:instrText>
      </w:r>
      <w:r w:rsidR="003E316B" w:rsidRPr="00C85F0F">
        <w:instrText>fm</w:instrText>
      </w:r>
      <w:r w:rsidR="00AB0B9E" w:rsidRPr="00C85F0F">
        <w:fldChar w:fldCharType="end"/>
      </w:r>
      <w:r>
        <w:rPr>
          <w:rFonts w:hint="cs"/>
          <w:rtl/>
        </w:rPr>
        <w:t xml:space="preserve"> لغة:</w:t>
      </w:r>
    </w:p>
    <w:p w:rsidR="009840EE" w:rsidRDefault="009840EE" w:rsidP="00597C20">
      <w:pPr>
        <w:ind w:firstLine="720"/>
        <w:rPr>
          <w:rFonts w:ascii="Traditional Arabic" w:hAnsi="Traditional Arabic"/>
          <w:noProof w:val="0"/>
          <w:rtl/>
          <w:lang w:eastAsia="en-US"/>
        </w:rPr>
      </w:pPr>
      <w:r>
        <w:rPr>
          <w:rFonts w:hint="cs"/>
          <w:rtl/>
        </w:rPr>
        <w:t xml:space="preserve">جمع فَسْخ.قال </w:t>
      </w:r>
      <w:r w:rsidR="00717631">
        <w:rPr>
          <w:rFonts w:hint="cs"/>
          <w:rtl/>
        </w:rPr>
        <w:t xml:space="preserve"> </w:t>
      </w:r>
      <w:r>
        <w:rPr>
          <w:rFonts w:hint="cs"/>
          <w:rtl/>
        </w:rPr>
        <w:t xml:space="preserve">ابن فارس </w:t>
      </w:r>
      <w:r w:rsidR="00717631">
        <w:rPr>
          <w:rFonts w:hint="cs"/>
          <w:rtl/>
        </w:rPr>
        <w:t>_</w:t>
      </w:r>
      <w:r w:rsidR="009A0575" w:rsidRPr="005D5694">
        <w:rPr>
          <w:rFonts w:ascii="Traditional Arabic" w:hAnsi="Traditional Arabic" w:cs="CTraditional Arabic" w:hint="cs"/>
          <w:rtl/>
        </w:rPr>
        <w:t>/</w:t>
      </w:r>
      <w:r w:rsidR="00717631">
        <w:rPr>
          <w:rFonts w:hint="cs"/>
          <w:rtl/>
        </w:rPr>
        <w:t>_</w:t>
      </w:r>
      <w:r>
        <w:rPr>
          <w:rFonts w:hint="cs"/>
          <w:rtl/>
        </w:rPr>
        <w:t>: (</w:t>
      </w:r>
      <w:r w:rsidRPr="006F74B4">
        <w:rPr>
          <w:rFonts w:ascii="Traditional Arabic" w:hAnsi="Traditional Arabic"/>
          <w:noProof w:val="0"/>
          <w:rtl/>
          <w:lang w:eastAsia="en-US"/>
        </w:rPr>
        <w:t>الفاء والسين والخاء كلمة</w:t>
      </w:r>
      <w:r>
        <w:rPr>
          <w:rFonts w:ascii="Traditional Arabic" w:hAnsi="Traditional Arabic" w:hint="cs"/>
          <w:noProof w:val="0"/>
          <w:rtl/>
          <w:lang w:eastAsia="en-US"/>
        </w:rPr>
        <w:t>ٌ</w:t>
      </w:r>
      <w:r w:rsidRPr="006F74B4">
        <w:rPr>
          <w:rFonts w:ascii="Traditional Arabic" w:hAnsi="Traditional Arabic"/>
          <w:noProof w:val="0"/>
          <w:rtl/>
          <w:lang w:eastAsia="en-US"/>
        </w:rPr>
        <w:t xml:space="preserve"> تدل</w:t>
      </w:r>
      <w:r>
        <w:rPr>
          <w:rFonts w:ascii="Traditional Arabic" w:hAnsi="Traditional Arabic" w:hint="cs"/>
          <w:noProof w:val="0"/>
          <w:rtl/>
          <w:lang w:eastAsia="en-US"/>
        </w:rPr>
        <w:t>ُّ</w:t>
      </w:r>
      <w:r w:rsidRPr="006F74B4">
        <w:rPr>
          <w:rFonts w:ascii="Traditional Arabic" w:hAnsi="Traditional Arabic"/>
          <w:noProof w:val="0"/>
          <w:rtl/>
          <w:lang w:eastAsia="en-US"/>
        </w:rPr>
        <w:t xml:space="preserve"> على ن</w:t>
      </w:r>
      <w:r>
        <w:rPr>
          <w:rFonts w:ascii="Traditional Arabic" w:hAnsi="Traditional Arabic" w:hint="cs"/>
          <w:noProof w:val="0"/>
          <w:rtl/>
          <w:lang w:eastAsia="en-US"/>
        </w:rPr>
        <w:t>َ</w:t>
      </w:r>
      <w:r w:rsidRPr="006F74B4">
        <w:rPr>
          <w:rFonts w:ascii="Traditional Arabic" w:hAnsi="Traditional Arabic"/>
          <w:noProof w:val="0"/>
          <w:rtl/>
          <w:lang w:eastAsia="en-US"/>
        </w:rPr>
        <w:t>ق</w:t>
      </w:r>
      <w:r>
        <w:rPr>
          <w:rFonts w:ascii="Traditional Arabic" w:hAnsi="Traditional Arabic" w:hint="cs"/>
          <w:noProof w:val="0"/>
          <w:rtl/>
          <w:lang w:eastAsia="en-US"/>
        </w:rPr>
        <w:t>ْ</w:t>
      </w:r>
      <w:r w:rsidRPr="006F74B4">
        <w:rPr>
          <w:rFonts w:ascii="Traditional Arabic" w:hAnsi="Traditional Arabic"/>
          <w:noProof w:val="0"/>
          <w:rtl/>
          <w:lang w:eastAsia="en-US"/>
        </w:rPr>
        <w:t>ض</w:t>
      </w:r>
      <w:r>
        <w:rPr>
          <w:rFonts w:ascii="Traditional Arabic" w:hAnsi="Traditional Arabic" w:hint="cs"/>
          <w:noProof w:val="0"/>
          <w:rtl/>
          <w:lang w:eastAsia="en-US"/>
        </w:rPr>
        <w:t>ِ</w:t>
      </w:r>
      <w:r w:rsidRPr="006F74B4">
        <w:rPr>
          <w:rFonts w:ascii="Traditional Arabic" w:hAnsi="Traditional Arabic"/>
          <w:noProof w:val="0"/>
          <w:rtl/>
          <w:lang w:eastAsia="en-US"/>
        </w:rPr>
        <w:t xml:space="preserve"> شيء</w:t>
      </w:r>
      <w:r>
        <w:rPr>
          <w:rFonts w:ascii="Traditional Arabic" w:hAnsi="Traditional Arabic" w:hint="cs"/>
          <w:noProof w:val="0"/>
          <w:rtl/>
          <w:lang w:eastAsia="en-US"/>
        </w:rPr>
        <w:t>ٍ</w:t>
      </w:r>
      <w:r w:rsidRPr="006F74B4">
        <w:rPr>
          <w:rFonts w:ascii="Traditional Arabic" w:hAnsi="Traditional Arabic"/>
          <w:noProof w:val="0"/>
          <w:rtl/>
          <w:lang w:eastAsia="en-US"/>
        </w:rPr>
        <w:t>. يقال: تفس</w:t>
      </w:r>
      <w:r>
        <w:rPr>
          <w:rFonts w:ascii="Traditional Arabic" w:hAnsi="Traditional Arabic" w:hint="cs"/>
          <w:noProof w:val="0"/>
          <w:rtl/>
          <w:lang w:eastAsia="en-US"/>
        </w:rPr>
        <w:t>َّ</w:t>
      </w:r>
      <w:r w:rsidRPr="006F74B4">
        <w:rPr>
          <w:rFonts w:ascii="Traditional Arabic" w:hAnsi="Traditional Arabic"/>
          <w:noProof w:val="0"/>
          <w:rtl/>
          <w:lang w:eastAsia="en-US"/>
        </w:rPr>
        <w:t>خ الشيء</w:t>
      </w:r>
      <w:r>
        <w:rPr>
          <w:rFonts w:ascii="Traditional Arabic" w:hAnsi="Traditional Arabic" w:hint="cs"/>
          <w:noProof w:val="0"/>
          <w:rtl/>
          <w:lang w:eastAsia="en-US"/>
        </w:rPr>
        <w:t>ُ</w:t>
      </w:r>
      <w:r w:rsidRPr="006F74B4">
        <w:rPr>
          <w:rFonts w:ascii="Traditional Arabic" w:hAnsi="Traditional Arabic"/>
          <w:noProof w:val="0"/>
          <w:rtl/>
          <w:lang w:eastAsia="en-US"/>
        </w:rPr>
        <w:t>: انت</w:t>
      </w:r>
      <w:r>
        <w:rPr>
          <w:rFonts w:ascii="Traditional Arabic" w:hAnsi="Traditional Arabic" w:hint="cs"/>
          <w:noProof w:val="0"/>
          <w:rtl/>
          <w:lang w:eastAsia="en-US"/>
        </w:rPr>
        <w:t>َ</w:t>
      </w:r>
      <w:r w:rsidRPr="006F74B4">
        <w:rPr>
          <w:rFonts w:ascii="Traditional Arabic" w:hAnsi="Traditional Arabic"/>
          <w:noProof w:val="0"/>
          <w:rtl/>
          <w:lang w:eastAsia="en-US"/>
        </w:rPr>
        <w:t>ق</w:t>
      </w:r>
      <w:r>
        <w:rPr>
          <w:rFonts w:ascii="Traditional Arabic" w:hAnsi="Traditional Arabic" w:hint="cs"/>
          <w:noProof w:val="0"/>
          <w:rtl/>
          <w:lang w:eastAsia="en-US"/>
        </w:rPr>
        <w:t>َ</w:t>
      </w:r>
      <w:r w:rsidRPr="006F74B4">
        <w:rPr>
          <w:rFonts w:ascii="Traditional Arabic" w:hAnsi="Traditional Arabic"/>
          <w:noProof w:val="0"/>
          <w:rtl/>
          <w:lang w:eastAsia="en-US"/>
        </w:rPr>
        <w:t>ض. ويقولون: أ</w:t>
      </w:r>
      <w:r>
        <w:rPr>
          <w:rFonts w:ascii="Traditional Arabic" w:hAnsi="Traditional Arabic" w:hint="cs"/>
          <w:noProof w:val="0"/>
          <w:rtl/>
          <w:lang w:eastAsia="en-US"/>
        </w:rPr>
        <w:t>َ</w:t>
      </w:r>
      <w:r w:rsidRPr="006F74B4">
        <w:rPr>
          <w:rFonts w:ascii="Traditional Arabic" w:hAnsi="Traditional Arabic"/>
          <w:noProof w:val="0"/>
          <w:rtl/>
          <w:lang w:eastAsia="en-US"/>
        </w:rPr>
        <w:t>ف</w:t>
      </w:r>
      <w:r>
        <w:rPr>
          <w:rFonts w:ascii="Traditional Arabic" w:hAnsi="Traditional Arabic" w:hint="cs"/>
          <w:noProof w:val="0"/>
          <w:rtl/>
          <w:lang w:eastAsia="en-US"/>
        </w:rPr>
        <w:t>ْ</w:t>
      </w:r>
      <w:r w:rsidRPr="006F74B4">
        <w:rPr>
          <w:rFonts w:ascii="Traditional Arabic" w:hAnsi="Traditional Arabic"/>
          <w:noProof w:val="0"/>
          <w:rtl/>
          <w:lang w:eastAsia="en-US"/>
        </w:rPr>
        <w:t>س</w:t>
      </w:r>
      <w:r>
        <w:rPr>
          <w:rFonts w:ascii="Traditional Arabic" w:hAnsi="Traditional Arabic" w:hint="cs"/>
          <w:noProof w:val="0"/>
          <w:rtl/>
          <w:lang w:eastAsia="en-US"/>
        </w:rPr>
        <w:t>َ</w:t>
      </w:r>
      <w:r w:rsidRPr="006F74B4">
        <w:rPr>
          <w:rFonts w:ascii="Traditional Arabic" w:hAnsi="Traditional Arabic"/>
          <w:noProof w:val="0"/>
          <w:rtl/>
          <w:lang w:eastAsia="en-US"/>
        </w:rPr>
        <w:t>خ</w:t>
      </w:r>
      <w:r>
        <w:rPr>
          <w:rFonts w:ascii="Traditional Arabic" w:hAnsi="Traditional Arabic" w:hint="cs"/>
          <w:noProof w:val="0"/>
          <w:rtl/>
          <w:lang w:eastAsia="en-US"/>
        </w:rPr>
        <w:t>ْ</w:t>
      </w:r>
      <w:r w:rsidRPr="006F74B4">
        <w:rPr>
          <w:rFonts w:ascii="Traditional Arabic" w:hAnsi="Traditional Arabic"/>
          <w:noProof w:val="0"/>
          <w:rtl/>
          <w:lang w:eastAsia="en-US"/>
        </w:rPr>
        <w:t>ت</w:t>
      </w:r>
      <w:r>
        <w:rPr>
          <w:rFonts w:ascii="Traditional Arabic" w:hAnsi="Traditional Arabic" w:hint="cs"/>
          <w:noProof w:val="0"/>
          <w:rtl/>
          <w:lang w:eastAsia="en-US"/>
        </w:rPr>
        <w:t>ُ</w:t>
      </w:r>
      <w:r w:rsidRPr="006F74B4">
        <w:rPr>
          <w:rFonts w:ascii="Traditional Arabic" w:hAnsi="Traditional Arabic"/>
          <w:noProof w:val="0"/>
          <w:rtl/>
          <w:lang w:eastAsia="en-US"/>
        </w:rPr>
        <w:t xml:space="preserve"> الشيء</w:t>
      </w:r>
      <w:r>
        <w:rPr>
          <w:rFonts w:ascii="Traditional Arabic" w:hAnsi="Traditional Arabic" w:hint="cs"/>
          <w:noProof w:val="0"/>
          <w:rtl/>
          <w:lang w:eastAsia="en-US"/>
        </w:rPr>
        <w:t>َ</w:t>
      </w:r>
      <w:r w:rsidRPr="006F74B4">
        <w:rPr>
          <w:rFonts w:ascii="Traditional Arabic" w:hAnsi="Traditional Arabic"/>
          <w:noProof w:val="0"/>
          <w:rtl/>
          <w:lang w:eastAsia="en-US"/>
        </w:rPr>
        <w:t>: ن</w:t>
      </w:r>
      <w:r>
        <w:rPr>
          <w:rFonts w:ascii="Traditional Arabic" w:hAnsi="Traditional Arabic" w:hint="cs"/>
          <w:noProof w:val="0"/>
          <w:rtl/>
          <w:lang w:eastAsia="en-US"/>
        </w:rPr>
        <w:t>َ</w:t>
      </w:r>
      <w:r w:rsidRPr="006F74B4">
        <w:rPr>
          <w:rFonts w:ascii="Traditional Arabic" w:hAnsi="Traditional Arabic"/>
          <w:noProof w:val="0"/>
          <w:rtl/>
          <w:lang w:eastAsia="en-US"/>
        </w:rPr>
        <w:t>سيت</w:t>
      </w:r>
      <w:r>
        <w:rPr>
          <w:rFonts w:ascii="Traditional Arabic" w:hAnsi="Traditional Arabic" w:hint="cs"/>
          <w:noProof w:val="0"/>
          <w:rtl/>
          <w:lang w:eastAsia="en-US"/>
        </w:rPr>
        <w:t>ُ</w:t>
      </w:r>
      <w:r w:rsidRPr="006F74B4">
        <w:rPr>
          <w:rFonts w:ascii="Traditional Arabic" w:hAnsi="Traditional Arabic"/>
          <w:noProof w:val="0"/>
          <w:rtl/>
          <w:lang w:eastAsia="en-US"/>
        </w:rPr>
        <w:t>ه. ويقولون: الفسيخ: الرجل لا يظ</w:t>
      </w:r>
      <w:r>
        <w:rPr>
          <w:rFonts w:ascii="Traditional Arabic" w:hAnsi="Traditional Arabic" w:hint="cs"/>
          <w:noProof w:val="0"/>
          <w:rtl/>
          <w:lang w:eastAsia="en-US"/>
        </w:rPr>
        <w:t>ْ</w:t>
      </w:r>
      <w:r w:rsidRPr="006F74B4">
        <w:rPr>
          <w:rFonts w:ascii="Traditional Arabic" w:hAnsi="Traditional Arabic"/>
          <w:noProof w:val="0"/>
          <w:rtl/>
          <w:lang w:eastAsia="en-US"/>
        </w:rPr>
        <w:t>ف</w:t>
      </w:r>
      <w:r>
        <w:rPr>
          <w:rFonts w:ascii="Traditional Arabic" w:hAnsi="Traditional Arabic" w:hint="cs"/>
          <w:noProof w:val="0"/>
          <w:rtl/>
          <w:lang w:eastAsia="en-US"/>
        </w:rPr>
        <w:t>َ</w:t>
      </w:r>
      <w:r w:rsidRPr="006F74B4">
        <w:rPr>
          <w:rFonts w:ascii="Traditional Arabic" w:hAnsi="Traditional Arabic"/>
          <w:noProof w:val="0"/>
          <w:rtl/>
          <w:lang w:eastAsia="en-US"/>
        </w:rPr>
        <w:t>ر بحاجته</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519"/>
      </w:r>
      <w:r w:rsidRPr="00C821A1">
        <w:rPr>
          <w:rStyle w:val="af1"/>
          <w:szCs w:val="32"/>
          <w:rtl/>
        </w:rPr>
        <w:t>)</w:t>
      </w:r>
      <w:r w:rsidRPr="006F74B4">
        <w:rPr>
          <w:rFonts w:ascii="Traditional Arabic" w:hAnsi="Traditional Arabic"/>
          <w:noProof w:val="0"/>
          <w:rtl/>
          <w:lang w:eastAsia="en-US"/>
        </w:rPr>
        <w:t>.</w:t>
      </w:r>
    </w:p>
    <w:p w:rsidR="009840EE" w:rsidRDefault="009840EE" w:rsidP="00597C20">
      <w:pPr>
        <w:ind w:firstLine="720"/>
        <w:rPr>
          <w:rtl/>
        </w:rPr>
      </w:pPr>
      <w:r>
        <w:rPr>
          <w:rFonts w:ascii="Traditional Arabic" w:hAnsi="Traditional Arabic" w:hint="cs"/>
          <w:noProof w:val="0"/>
          <w:rtl/>
          <w:lang w:eastAsia="en-US"/>
        </w:rPr>
        <w:t>وتقول: فسختُ العُودَ فسخاً، أي: أَزَلْتَه عن مَوضِعه بيدِك، وفسختُ الثوبَ: ألقَيْتُه، وفسختُ العَقْد: رَفعْته، وتفاسَخَ القومُ العقدَ: تَوافَقوا على فَسْخِه، وفسختُ البَيعَ والأمرَ: نقضتُهما</w:t>
      </w:r>
      <w:r w:rsidRPr="00C821A1">
        <w:rPr>
          <w:rStyle w:val="af1"/>
          <w:szCs w:val="32"/>
          <w:rtl/>
        </w:rPr>
        <w:t>(</w:t>
      </w:r>
      <w:r w:rsidRPr="00C821A1">
        <w:rPr>
          <w:rStyle w:val="af1"/>
          <w:szCs w:val="32"/>
          <w:rtl/>
        </w:rPr>
        <w:footnoteReference w:id="1520"/>
      </w:r>
      <w:r w:rsidRPr="00C821A1">
        <w:rPr>
          <w:rStyle w:val="af1"/>
          <w:szCs w:val="32"/>
          <w:rtl/>
        </w:rPr>
        <w:t>)</w:t>
      </w:r>
      <w:r>
        <w:rPr>
          <w:rFonts w:ascii="Traditional Arabic" w:hAnsi="Traditional Arabic" w:hint="cs"/>
          <w:noProof w:val="0"/>
          <w:rtl/>
          <w:lang w:eastAsia="en-US"/>
        </w:rPr>
        <w:t>.</w:t>
      </w:r>
    </w:p>
    <w:p w:rsidR="00312986" w:rsidRDefault="009840EE" w:rsidP="00597C20">
      <w:pPr>
        <w:pStyle w:val="53"/>
        <w:rPr>
          <w:rtl/>
        </w:rPr>
      </w:pPr>
      <w:r>
        <w:rPr>
          <w:rFonts w:hint="cs"/>
          <w:rtl/>
        </w:rPr>
        <w:t>الفسخ اصطلاحا:</w:t>
      </w:r>
    </w:p>
    <w:p w:rsidR="009840EE" w:rsidRDefault="009840EE" w:rsidP="00597C20">
      <w:pPr>
        <w:ind w:firstLine="720"/>
        <w:rPr>
          <w:rtl/>
        </w:rPr>
      </w:pPr>
      <w:r w:rsidRPr="00D82A20">
        <w:rPr>
          <w:rFonts w:hint="cs"/>
          <w:rtl/>
        </w:rPr>
        <w:t>عر</w:t>
      </w:r>
      <w:r>
        <w:rPr>
          <w:rFonts w:hint="cs"/>
          <w:rtl/>
        </w:rPr>
        <w:t>َّ</w:t>
      </w:r>
      <w:r w:rsidRPr="00D82A20">
        <w:rPr>
          <w:rFonts w:hint="cs"/>
          <w:rtl/>
        </w:rPr>
        <w:t>فه</w:t>
      </w:r>
      <w:r>
        <w:rPr>
          <w:rFonts w:hint="cs"/>
          <w:rtl/>
        </w:rPr>
        <w:t xml:space="preserve"> </w:t>
      </w:r>
      <w:r w:rsidR="00717631">
        <w:rPr>
          <w:rFonts w:hint="cs"/>
          <w:rtl/>
        </w:rPr>
        <w:t xml:space="preserve">العلامة </w:t>
      </w:r>
      <w:r>
        <w:rPr>
          <w:rFonts w:hint="cs"/>
          <w:rtl/>
        </w:rPr>
        <w:t xml:space="preserve">ابن نجيم </w:t>
      </w:r>
      <w:r w:rsidR="00717631">
        <w:rPr>
          <w:rFonts w:hint="cs"/>
          <w:rtl/>
        </w:rPr>
        <w:t>_</w:t>
      </w:r>
      <w:r w:rsidR="009A0575" w:rsidRPr="005D5694">
        <w:rPr>
          <w:rFonts w:ascii="Traditional Arabic" w:hAnsi="Traditional Arabic" w:cs="CTraditional Arabic" w:hint="cs"/>
          <w:rtl/>
        </w:rPr>
        <w:t>/</w:t>
      </w:r>
      <w:r w:rsidR="00717631">
        <w:rPr>
          <w:rFonts w:hint="cs"/>
          <w:rtl/>
        </w:rPr>
        <w:t>_</w:t>
      </w:r>
      <w:r>
        <w:rPr>
          <w:rFonts w:hint="cs"/>
          <w:rtl/>
        </w:rPr>
        <w:t xml:space="preserve"> بقوله : حَلُّ ارْتِباطِ العقد</w:t>
      </w:r>
      <w:r w:rsidRPr="00C821A1">
        <w:rPr>
          <w:rStyle w:val="af1"/>
          <w:szCs w:val="32"/>
          <w:rtl/>
        </w:rPr>
        <w:t>(</w:t>
      </w:r>
      <w:r w:rsidRPr="00C821A1">
        <w:rPr>
          <w:rStyle w:val="af1"/>
          <w:szCs w:val="32"/>
          <w:rtl/>
        </w:rPr>
        <w:footnoteReference w:id="1521"/>
      </w:r>
      <w:r w:rsidRPr="00C821A1">
        <w:rPr>
          <w:rStyle w:val="af1"/>
          <w:szCs w:val="32"/>
          <w:rtl/>
        </w:rPr>
        <w:t>)</w:t>
      </w:r>
      <w:r>
        <w:rPr>
          <w:rFonts w:hint="cs"/>
          <w:rtl/>
        </w:rPr>
        <w:t>.</w:t>
      </w:r>
    </w:p>
    <w:p w:rsidR="00D624DD" w:rsidRDefault="00D624DD" w:rsidP="00D624DD">
      <w:pPr>
        <w:pStyle w:val="53"/>
        <w:rPr>
          <w:b w:val="0"/>
          <w:rtl/>
        </w:rPr>
      </w:pPr>
      <w:r w:rsidRPr="00447F23">
        <w:rPr>
          <w:rFonts w:hint="cs"/>
          <w:b w:val="0"/>
          <w:rtl/>
        </w:rPr>
        <w:t>الر</w:t>
      </w:r>
      <w:r>
        <w:rPr>
          <w:rFonts w:hint="cs"/>
          <w:b w:val="0"/>
          <w:rtl/>
        </w:rPr>
        <w:t>ِّ</w:t>
      </w:r>
      <w:r w:rsidRPr="00447F23">
        <w:rPr>
          <w:rFonts w:hint="cs"/>
          <w:b w:val="0"/>
          <w:rtl/>
        </w:rPr>
        <w:t>ضا</w:t>
      </w:r>
      <w:r w:rsidR="00AB0B9E">
        <w:rPr>
          <w:b w:val="0"/>
          <w:rtl/>
        </w:rPr>
        <w:fldChar w:fldCharType="begin"/>
      </w:r>
      <w:r w:rsidRPr="00C85F0F">
        <w:rPr>
          <w:bCs w:val="0"/>
        </w:rPr>
        <w:instrText>XE</w:instrText>
      </w:r>
      <w:r w:rsidRPr="00C85F0F">
        <w:rPr>
          <w:bCs w:val="0"/>
          <w:rtl/>
        </w:rPr>
        <w:instrText xml:space="preserve"> "</w:instrText>
      </w:r>
      <w:r w:rsidRPr="00C85F0F">
        <w:rPr>
          <w:rFonts w:hint="cs"/>
          <w:bCs w:val="0"/>
          <w:rtl/>
        </w:rPr>
        <w:instrText>الرِّضا</w:instrText>
      </w:r>
      <w:r w:rsidRPr="00C85F0F">
        <w:rPr>
          <w:bCs w:val="0"/>
          <w:rtl/>
        </w:rPr>
        <w:instrText>" \</w:instrText>
      </w:r>
      <w:r w:rsidRPr="00C85F0F">
        <w:rPr>
          <w:bCs w:val="0"/>
        </w:rPr>
        <w:instrText>f</w:instrText>
      </w:r>
      <w:r w:rsidRPr="003E316B">
        <w:instrText>m</w:instrText>
      </w:r>
      <w:r w:rsidR="00AB0B9E">
        <w:rPr>
          <w:b w:val="0"/>
          <w:rtl/>
        </w:rPr>
        <w:fldChar w:fldCharType="end"/>
      </w:r>
      <w:r>
        <w:rPr>
          <w:rFonts w:hint="cs"/>
          <w:b w:val="0"/>
          <w:rtl/>
        </w:rPr>
        <w:t xml:space="preserve"> لغة</w:t>
      </w:r>
      <w:r w:rsidRPr="00447F23">
        <w:rPr>
          <w:rFonts w:hint="cs"/>
          <w:b w:val="0"/>
          <w:rtl/>
        </w:rPr>
        <w:t>:</w:t>
      </w:r>
    </w:p>
    <w:p w:rsidR="00D624DD" w:rsidRDefault="00647199" w:rsidP="00D624DD">
      <w:pPr>
        <w:ind w:firstLine="720"/>
        <w:rPr>
          <w:rtl/>
        </w:rPr>
      </w:pPr>
      <w:r>
        <w:rPr>
          <w:rFonts w:hint="cs"/>
          <w:rtl/>
        </w:rPr>
        <w:t xml:space="preserve">يقول </w:t>
      </w:r>
      <w:r w:rsidR="00D624DD">
        <w:rPr>
          <w:rFonts w:hint="cs"/>
          <w:rtl/>
        </w:rPr>
        <w:t>ابن فارس</w:t>
      </w:r>
      <w:r w:rsidR="00D624DD" w:rsidRPr="005D5694">
        <w:rPr>
          <w:rFonts w:cs="CTraditional Arabic" w:hint="cs"/>
          <w:color w:val="auto"/>
          <w:rtl/>
        </w:rPr>
        <w:t>/</w:t>
      </w:r>
      <w:r w:rsidR="00D624DD">
        <w:rPr>
          <w:rFonts w:hint="cs"/>
          <w:rtl/>
        </w:rPr>
        <w:t>:</w:t>
      </w:r>
      <w:r>
        <w:rPr>
          <w:rFonts w:hint="cs"/>
          <w:rtl/>
        </w:rPr>
        <w:t xml:space="preserve"> </w:t>
      </w:r>
      <w:r w:rsidR="00D624DD">
        <w:rPr>
          <w:rFonts w:hint="cs"/>
          <w:rtl/>
        </w:rPr>
        <w:t>(</w:t>
      </w:r>
      <w:r w:rsidR="00D624DD" w:rsidRPr="00D32BEF">
        <w:rPr>
          <w:rFonts w:ascii="Traditional Arabic" w:hAnsi="Traditional Arabic"/>
          <w:noProof w:val="0"/>
          <w:color w:val="auto"/>
          <w:rtl/>
          <w:lang w:eastAsia="en-US"/>
        </w:rPr>
        <w:t>الراء والضاد والحرف المعتل</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 xml:space="preserve"> أصل</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 xml:space="preserve"> واحد يدل على خلاف</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 xml:space="preserve"> الس</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خ</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ط. تقول ر</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ض</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ي ي</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ر</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ضى ر</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ضى</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 وهو راض</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 ومفعوله م</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ر</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ض</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ي</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 xml:space="preserve"> عنه. ويقال إن أصله الواو; لأنه يقال منه </w:t>
      </w:r>
      <w:r w:rsidR="00D624DD" w:rsidRPr="00D32BEF">
        <w:rPr>
          <w:rFonts w:ascii="Traditional Arabic" w:hAnsi="Traditional Arabic"/>
          <w:noProof w:val="0"/>
          <w:color w:val="auto"/>
          <w:rtl/>
          <w:lang w:eastAsia="en-US"/>
        </w:rPr>
        <w:lastRenderedPageBreak/>
        <w:t>ر</w:t>
      </w:r>
      <w:r w:rsidR="00D624DD">
        <w:rPr>
          <w:rFonts w:ascii="Traditional Arabic" w:hAnsi="Traditional Arabic" w:hint="cs"/>
          <w:noProof w:val="0"/>
          <w:color w:val="auto"/>
          <w:rtl/>
          <w:lang w:eastAsia="en-US"/>
        </w:rPr>
        <w:t>ِ</w:t>
      </w:r>
      <w:r w:rsidR="00D624DD" w:rsidRPr="00D32BEF">
        <w:rPr>
          <w:rFonts w:ascii="Traditional Arabic" w:hAnsi="Traditional Arabic"/>
          <w:noProof w:val="0"/>
          <w:color w:val="auto"/>
          <w:rtl/>
          <w:lang w:eastAsia="en-US"/>
        </w:rPr>
        <w:t>ضوان</w:t>
      </w:r>
      <w:r w:rsidR="00D624DD">
        <w:rPr>
          <w:rFonts w:ascii="Traditional Arabic" w:hAnsi="Traditional Arabic" w:hint="cs"/>
          <w:noProof w:val="0"/>
          <w:color w:val="auto"/>
          <w:rtl/>
          <w:lang w:eastAsia="en-US"/>
        </w:rPr>
        <w:t>)</w:t>
      </w:r>
      <w:r w:rsidR="00D624DD" w:rsidRPr="00C821A1">
        <w:rPr>
          <w:rStyle w:val="af1"/>
          <w:szCs w:val="32"/>
          <w:rtl/>
        </w:rPr>
        <w:t>(</w:t>
      </w:r>
      <w:r w:rsidR="00D624DD" w:rsidRPr="00C821A1">
        <w:rPr>
          <w:rStyle w:val="af1"/>
          <w:szCs w:val="32"/>
          <w:rtl/>
        </w:rPr>
        <w:footnoteReference w:id="1522"/>
      </w:r>
      <w:r w:rsidR="00D624DD" w:rsidRPr="00C821A1">
        <w:rPr>
          <w:rStyle w:val="af1"/>
          <w:szCs w:val="32"/>
          <w:rtl/>
        </w:rPr>
        <w:t>)</w:t>
      </w:r>
      <w:r w:rsidR="00D624DD">
        <w:rPr>
          <w:rFonts w:ascii="Traditional Arabic" w:hAnsi="Traditional Arabic" w:hint="cs"/>
          <w:noProof w:val="0"/>
          <w:color w:val="auto"/>
          <w:rtl/>
          <w:lang w:eastAsia="en-US"/>
        </w:rPr>
        <w:t>.</w:t>
      </w:r>
    </w:p>
    <w:p w:rsidR="00D624DD" w:rsidRDefault="00D624DD" w:rsidP="00D624DD">
      <w:pPr>
        <w:ind w:firstLine="720"/>
        <w:rPr>
          <w:rFonts w:ascii="Traditional Arabic" w:hAnsi="Traditional Arabic"/>
          <w:b/>
          <w:bCs/>
          <w:noProof w:val="0"/>
          <w:sz w:val="44"/>
          <w:szCs w:val="44"/>
          <w:rtl/>
          <w:lang w:eastAsia="en-US"/>
        </w:rPr>
      </w:pPr>
      <w:r>
        <w:rPr>
          <w:rFonts w:hint="cs"/>
          <w:rtl/>
        </w:rPr>
        <w:t xml:space="preserve">ويأتي الرضا بمعنى الاختيار، تقول: </w:t>
      </w:r>
      <w:r w:rsidRPr="00813AA8">
        <w:rPr>
          <w:rFonts w:ascii="Traditional Arabic" w:hAnsi="Traditional Arabic"/>
          <w:noProof w:val="0"/>
          <w:rtl/>
          <w:lang w:eastAsia="en-US"/>
        </w:rPr>
        <w:t>ر</w:t>
      </w:r>
      <w:r>
        <w:rPr>
          <w:rFonts w:ascii="Traditional Arabic" w:hAnsi="Traditional Arabic" w:hint="cs"/>
          <w:noProof w:val="0"/>
          <w:rtl/>
          <w:lang w:eastAsia="en-US"/>
        </w:rPr>
        <w:t>َ</w:t>
      </w:r>
      <w:r w:rsidRPr="00813AA8">
        <w:rPr>
          <w:rFonts w:ascii="Traditional Arabic" w:hAnsi="Traditional Arabic"/>
          <w:noProof w:val="0"/>
          <w:rtl/>
          <w:lang w:eastAsia="en-US"/>
        </w:rPr>
        <w:t>ض</w:t>
      </w:r>
      <w:r>
        <w:rPr>
          <w:rFonts w:ascii="Traditional Arabic" w:hAnsi="Traditional Arabic" w:hint="cs"/>
          <w:noProof w:val="0"/>
          <w:rtl/>
          <w:lang w:eastAsia="en-US"/>
        </w:rPr>
        <w:t>ِ</w:t>
      </w:r>
      <w:r w:rsidRPr="00813AA8">
        <w:rPr>
          <w:rFonts w:ascii="Traditional Arabic" w:hAnsi="Traditional Arabic"/>
          <w:noProof w:val="0"/>
          <w:rtl/>
          <w:lang w:eastAsia="en-US"/>
        </w:rPr>
        <w:t>ي</w:t>
      </w:r>
      <w:r>
        <w:rPr>
          <w:rFonts w:ascii="Traditional Arabic" w:hAnsi="Traditional Arabic" w:hint="cs"/>
          <w:noProof w:val="0"/>
          <w:rtl/>
          <w:lang w:eastAsia="en-US"/>
        </w:rPr>
        <w:t>ُ</w:t>
      </w:r>
      <w:r w:rsidRPr="00813AA8">
        <w:rPr>
          <w:rFonts w:ascii="Traditional Arabic" w:hAnsi="Traditional Arabic"/>
          <w:noProof w:val="0"/>
          <w:rtl/>
          <w:lang w:eastAsia="en-US"/>
        </w:rPr>
        <w:t>ت الشيء</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ورضيت</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به رضا</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اختر</w:t>
      </w:r>
      <w:r>
        <w:rPr>
          <w:rFonts w:ascii="Traditional Arabic" w:hAnsi="Traditional Arabic" w:hint="cs"/>
          <w:noProof w:val="0"/>
          <w:rtl/>
          <w:lang w:eastAsia="en-US"/>
        </w:rPr>
        <w:t>ْ</w:t>
      </w:r>
      <w:r w:rsidRPr="00813AA8">
        <w:rPr>
          <w:rFonts w:ascii="Traditional Arabic" w:hAnsi="Traditional Arabic"/>
          <w:noProof w:val="0"/>
          <w:rtl/>
          <w:lang w:eastAsia="en-US"/>
        </w:rPr>
        <w:t>ت</w:t>
      </w:r>
      <w:r>
        <w:rPr>
          <w:rFonts w:ascii="Traditional Arabic" w:hAnsi="Traditional Arabic" w:hint="cs"/>
          <w:noProof w:val="0"/>
          <w:rtl/>
          <w:lang w:eastAsia="en-US"/>
        </w:rPr>
        <w:t>ُ</w:t>
      </w:r>
      <w:r w:rsidRPr="00813AA8">
        <w:rPr>
          <w:rFonts w:ascii="Traditional Arabic" w:hAnsi="Traditional Arabic"/>
          <w:noProof w:val="0"/>
          <w:rtl/>
          <w:lang w:eastAsia="en-US"/>
        </w:rPr>
        <w:t>ه</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وار</w:t>
      </w:r>
      <w:r>
        <w:rPr>
          <w:rFonts w:ascii="Traditional Arabic" w:hAnsi="Traditional Arabic" w:hint="cs"/>
          <w:noProof w:val="0"/>
          <w:rtl/>
          <w:lang w:eastAsia="en-US"/>
        </w:rPr>
        <w:t>ْ</w:t>
      </w:r>
      <w:r w:rsidRPr="00813AA8">
        <w:rPr>
          <w:rFonts w:ascii="Traditional Arabic" w:hAnsi="Traditional Arabic"/>
          <w:noProof w:val="0"/>
          <w:rtl/>
          <w:lang w:eastAsia="en-US"/>
        </w:rPr>
        <w:t>ت</w:t>
      </w:r>
      <w:r>
        <w:rPr>
          <w:rFonts w:ascii="Traditional Arabic" w:hAnsi="Traditional Arabic" w:hint="cs"/>
          <w:noProof w:val="0"/>
          <w:rtl/>
          <w:lang w:eastAsia="en-US"/>
        </w:rPr>
        <w:t>َ</w:t>
      </w:r>
      <w:r w:rsidRPr="00813AA8">
        <w:rPr>
          <w:rFonts w:ascii="Traditional Arabic" w:hAnsi="Traditional Arabic"/>
          <w:noProof w:val="0"/>
          <w:rtl/>
          <w:lang w:eastAsia="en-US"/>
        </w:rPr>
        <w:t>ض</w:t>
      </w:r>
      <w:r>
        <w:rPr>
          <w:rFonts w:ascii="Traditional Arabic" w:hAnsi="Traditional Arabic" w:hint="cs"/>
          <w:noProof w:val="0"/>
          <w:rtl/>
          <w:lang w:eastAsia="en-US"/>
        </w:rPr>
        <w:t>َ</w:t>
      </w:r>
      <w:r w:rsidRPr="00813AA8">
        <w:rPr>
          <w:rFonts w:ascii="Traditional Arabic" w:hAnsi="Traditional Arabic"/>
          <w:noProof w:val="0"/>
          <w:rtl/>
          <w:lang w:eastAsia="en-US"/>
        </w:rPr>
        <w:t>ي</w:t>
      </w:r>
      <w:r>
        <w:rPr>
          <w:rFonts w:ascii="Traditional Arabic" w:hAnsi="Traditional Arabic" w:hint="cs"/>
          <w:noProof w:val="0"/>
          <w:rtl/>
          <w:lang w:eastAsia="en-US"/>
        </w:rPr>
        <w:t>ْ</w:t>
      </w:r>
      <w:r w:rsidRPr="00813AA8">
        <w:rPr>
          <w:rFonts w:ascii="Traditional Arabic" w:hAnsi="Traditional Arabic"/>
          <w:noProof w:val="0"/>
          <w:rtl/>
          <w:lang w:eastAsia="en-US"/>
        </w:rPr>
        <w:t>ت</w:t>
      </w:r>
      <w:r>
        <w:rPr>
          <w:rFonts w:ascii="Traditional Arabic" w:hAnsi="Traditional Arabic" w:hint="cs"/>
          <w:noProof w:val="0"/>
          <w:rtl/>
          <w:lang w:eastAsia="en-US"/>
        </w:rPr>
        <w:t>ُ</w:t>
      </w:r>
      <w:r w:rsidRPr="00813AA8">
        <w:rPr>
          <w:rFonts w:ascii="Traditional Arabic" w:hAnsi="Traditional Arabic"/>
          <w:noProof w:val="0"/>
          <w:rtl/>
          <w:lang w:eastAsia="en-US"/>
        </w:rPr>
        <w:t>ه</w:t>
      </w:r>
      <w:r>
        <w:rPr>
          <w:rFonts w:hint="cs"/>
          <w:rtl/>
        </w:rPr>
        <w:t xml:space="preserve"> مثلُه</w:t>
      </w:r>
      <w:r>
        <w:rPr>
          <w:rFonts w:ascii="Traditional Arabic" w:hAnsi="Traditional Arabic"/>
          <w:b/>
          <w:bCs/>
          <w:noProof w:val="0"/>
          <w:sz w:val="44"/>
          <w:szCs w:val="44"/>
          <w:rtl/>
          <w:lang w:eastAsia="en-US"/>
        </w:rPr>
        <w:t>.</w:t>
      </w:r>
    </w:p>
    <w:p w:rsidR="00D624DD" w:rsidRPr="00D82A20" w:rsidRDefault="00D624DD" w:rsidP="00D624DD">
      <w:pPr>
        <w:ind w:firstLine="0"/>
        <w:rPr>
          <w:rtl/>
        </w:rPr>
      </w:pPr>
      <w:r>
        <w:rPr>
          <w:rFonts w:ascii="Traditional Arabic" w:hAnsi="Traditional Arabic" w:hint="cs"/>
          <w:noProof w:val="0"/>
          <w:rtl/>
          <w:lang w:eastAsia="en-US"/>
        </w:rPr>
        <w:t xml:space="preserve">        </w:t>
      </w:r>
      <w:r w:rsidRPr="00813AA8">
        <w:rPr>
          <w:rFonts w:ascii="Traditional Arabic" w:hAnsi="Traditional Arabic"/>
          <w:noProof w:val="0"/>
          <w:rtl/>
          <w:lang w:eastAsia="en-US"/>
        </w:rPr>
        <w:t>وقول الفقهاء</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ت</w:t>
      </w:r>
      <w:r>
        <w:rPr>
          <w:rFonts w:ascii="Traditional Arabic" w:hAnsi="Traditional Arabic" w:hint="cs"/>
          <w:noProof w:val="0"/>
          <w:rtl/>
          <w:lang w:eastAsia="en-US"/>
        </w:rPr>
        <w:t>ُ</w:t>
      </w:r>
      <w:r w:rsidRPr="00813AA8">
        <w:rPr>
          <w:rFonts w:ascii="Traditional Arabic" w:hAnsi="Traditional Arabic"/>
          <w:noProof w:val="0"/>
          <w:rtl/>
          <w:lang w:eastAsia="en-US"/>
        </w:rPr>
        <w:t>ش</w:t>
      </w:r>
      <w:r>
        <w:rPr>
          <w:rFonts w:ascii="Traditional Arabic" w:hAnsi="Traditional Arabic" w:hint="cs"/>
          <w:noProof w:val="0"/>
          <w:rtl/>
          <w:lang w:eastAsia="en-US"/>
        </w:rPr>
        <w:t>ْ</w:t>
      </w:r>
      <w:r w:rsidRPr="00813AA8">
        <w:rPr>
          <w:rFonts w:ascii="Traditional Arabic" w:hAnsi="Traditional Arabic"/>
          <w:noProof w:val="0"/>
          <w:rtl/>
          <w:lang w:eastAsia="en-US"/>
        </w:rPr>
        <w:t>ه</w:t>
      </w:r>
      <w:r>
        <w:rPr>
          <w:rFonts w:ascii="Traditional Arabic" w:hAnsi="Traditional Arabic" w:hint="cs"/>
          <w:noProof w:val="0"/>
          <w:rtl/>
          <w:lang w:eastAsia="en-US"/>
        </w:rPr>
        <w:t>ِ</w:t>
      </w:r>
      <w:r w:rsidRPr="00813AA8">
        <w:rPr>
          <w:rFonts w:ascii="Traditional Arabic" w:hAnsi="Traditional Arabic"/>
          <w:noProof w:val="0"/>
          <w:rtl/>
          <w:lang w:eastAsia="en-US"/>
        </w:rPr>
        <w:t>د</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على رضاها</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أي</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على إ</w:t>
      </w:r>
      <w:r>
        <w:rPr>
          <w:rFonts w:ascii="Traditional Arabic" w:hAnsi="Traditional Arabic" w:hint="cs"/>
          <w:noProof w:val="0"/>
          <w:rtl/>
          <w:lang w:eastAsia="en-US"/>
        </w:rPr>
        <w:t>ِ</w:t>
      </w:r>
      <w:r w:rsidRPr="00813AA8">
        <w:rPr>
          <w:rFonts w:ascii="Traditional Arabic" w:hAnsi="Traditional Arabic"/>
          <w:noProof w:val="0"/>
          <w:rtl/>
          <w:lang w:eastAsia="en-US"/>
        </w:rPr>
        <w:t>ذ</w:t>
      </w:r>
      <w:r>
        <w:rPr>
          <w:rFonts w:ascii="Traditional Arabic" w:hAnsi="Traditional Arabic" w:hint="cs"/>
          <w:noProof w:val="0"/>
          <w:rtl/>
          <w:lang w:eastAsia="en-US"/>
        </w:rPr>
        <w:t>ْ</w:t>
      </w:r>
      <w:r w:rsidRPr="00813AA8">
        <w:rPr>
          <w:rFonts w:ascii="Traditional Arabic" w:hAnsi="Traditional Arabic"/>
          <w:noProof w:val="0"/>
          <w:rtl/>
          <w:lang w:eastAsia="en-US"/>
        </w:rPr>
        <w:t>ن</w:t>
      </w:r>
      <w:r>
        <w:rPr>
          <w:rFonts w:ascii="Traditional Arabic" w:hAnsi="Traditional Arabic" w:hint="cs"/>
          <w:noProof w:val="0"/>
          <w:rtl/>
          <w:lang w:eastAsia="en-US"/>
        </w:rPr>
        <w:t>ِ</w:t>
      </w:r>
      <w:r w:rsidRPr="00813AA8">
        <w:rPr>
          <w:rFonts w:ascii="Traditional Arabic" w:hAnsi="Traditional Arabic"/>
          <w:noProof w:val="0"/>
          <w:rtl/>
          <w:lang w:eastAsia="en-US"/>
        </w:rPr>
        <w:t>ها</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جعلوا الإذن</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رضا</w:t>
      </w:r>
      <w:r>
        <w:rPr>
          <w:rFonts w:ascii="Traditional Arabic" w:hAnsi="Traditional Arabic" w:hint="cs"/>
          <w:noProof w:val="0"/>
          <w:rtl/>
          <w:lang w:eastAsia="en-US"/>
        </w:rPr>
        <w:t>ً</w:t>
      </w:r>
      <w:r w:rsidRPr="00813AA8">
        <w:rPr>
          <w:rFonts w:ascii="Traditional Arabic" w:hAnsi="Traditional Arabic"/>
          <w:noProof w:val="0"/>
          <w:rtl/>
          <w:lang w:eastAsia="en-US"/>
        </w:rPr>
        <w:t xml:space="preserve"> ل</w:t>
      </w:r>
      <w:r>
        <w:rPr>
          <w:rFonts w:ascii="Traditional Arabic" w:hAnsi="Traditional Arabic" w:hint="cs"/>
          <w:noProof w:val="0"/>
          <w:rtl/>
          <w:lang w:eastAsia="en-US"/>
        </w:rPr>
        <w:t>ِ</w:t>
      </w:r>
      <w:r w:rsidRPr="00813AA8">
        <w:rPr>
          <w:rFonts w:ascii="Traditional Arabic" w:hAnsi="Traditional Arabic"/>
          <w:noProof w:val="0"/>
          <w:rtl/>
          <w:lang w:eastAsia="en-US"/>
        </w:rPr>
        <w:t>د</w:t>
      </w:r>
      <w:r>
        <w:rPr>
          <w:rFonts w:ascii="Traditional Arabic" w:hAnsi="Traditional Arabic" w:hint="cs"/>
          <w:noProof w:val="0"/>
          <w:rtl/>
          <w:lang w:eastAsia="en-US"/>
        </w:rPr>
        <w:t>َ</w:t>
      </w:r>
      <w:r w:rsidRPr="00813AA8">
        <w:rPr>
          <w:rFonts w:ascii="Traditional Arabic" w:hAnsi="Traditional Arabic"/>
          <w:noProof w:val="0"/>
          <w:rtl/>
          <w:lang w:eastAsia="en-US"/>
        </w:rPr>
        <w:t>لالته عليه</w:t>
      </w:r>
      <w:r w:rsidRPr="00C821A1">
        <w:rPr>
          <w:rStyle w:val="af1"/>
          <w:szCs w:val="32"/>
          <w:rtl/>
        </w:rPr>
        <w:t>(</w:t>
      </w:r>
      <w:r w:rsidRPr="00C821A1">
        <w:rPr>
          <w:rStyle w:val="af1"/>
          <w:szCs w:val="32"/>
          <w:rtl/>
        </w:rPr>
        <w:footnoteReference w:id="1523"/>
      </w:r>
      <w:r w:rsidRPr="00C821A1">
        <w:rPr>
          <w:rStyle w:val="af1"/>
          <w:szCs w:val="32"/>
          <w:rtl/>
        </w:rPr>
        <w:t>)</w:t>
      </w:r>
      <w:r>
        <w:rPr>
          <w:rFonts w:ascii="Traditional Arabic" w:hAnsi="Traditional Arabic" w:hint="cs"/>
          <w:noProof w:val="0"/>
          <w:rtl/>
          <w:lang w:eastAsia="en-US"/>
        </w:rPr>
        <w:t>.</w:t>
      </w:r>
    </w:p>
    <w:p w:rsidR="00312986" w:rsidRDefault="009840EE" w:rsidP="00597C20">
      <w:pPr>
        <w:pStyle w:val="53"/>
        <w:rPr>
          <w:rtl/>
        </w:rPr>
      </w:pPr>
      <w:r>
        <w:rPr>
          <w:rFonts w:hint="cs"/>
          <w:rtl/>
        </w:rPr>
        <w:t>الرِّضا شرعا:</w:t>
      </w:r>
    </w:p>
    <w:p w:rsidR="009840EE" w:rsidRDefault="009840EE" w:rsidP="00597C20">
      <w:pPr>
        <w:ind w:firstLine="720"/>
        <w:rPr>
          <w:rtl/>
        </w:rPr>
      </w:pPr>
      <w:r>
        <w:rPr>
          <w:rFonts w:hint="cs"/>
          <w:rtl/>
        </w:rPr>
        <w:t>قَصْدُ الفعل دون أن يَشُوبَه إكراهٌ</w:t>
      </w:r>
      <w:r w:rsidRPr="00C821A1">
        <w:rPr>
          <w:rStyle w:val="af1"/>
          <w:szCs w:val="32"/>
          <w:rtl/>
        </w:rPr>
        <w:t>(</w:t>
      </w:r>
      <w:r w:rsidRPr="00C821A1">
        <w:rPr>
          <w:rStyle w:val="af1"/>
          <w:szCs w:val="32"/>
          <w:rtl/>
        </w:rPr>
        <w:footnoteReference w:id="1524"/>
      </w:r>
      <w:r w:rsidRPr="00C821A1">
        <w:rPr>
          <w:rStyle w:val="af1"/>
          <w:szCs w:val="32"/>
          <w:rtl/>
        </w:rPr>
        <w:t>)</w:t>
      </w:r>
      <w:r>
        <w:rPr>
          <w:rFonts w:hint="cs"/>
          <w:rtl/>
        </w:rPr>
        <w:t>.</w:t>
      </w:r>
    </w:p>
    <w:p w:rsidR="00065E4B" w:rsidRPr="006763E5" w:rsidRDefault="009840EE" w:rsidP="00597C20">
      <w:pPr>
        <w:pStyle w:val="53"/>
        <w:rPr>
          <w:color w:val="auto"/>
          <w:rtl/>
        </w:rPr>
      </w:pPr>
      <w:r>
        <w:rPr>
          <w:rFonts w:hint="cs"/>
          <w:rtl/>
        </w:rPr>
        <w:t>معنى القاعدة إجمالا:</w:t>
      </w:r>
    </w:p>
    <w:p w:rsidR="00065E4B" w:rsidRPr="006763E5" w:rsidRDefault="00065E4B" w:rsidP="00597C20">
      <w:pPr>
        <w:widowControl/>
        <w:autoSpaceDE w:val="0"/>
        <w:autoSpaceDN w:val="0"/>
        <w:adjustRightInd w:val="0"/>
        <w:ind w:firstLine="720"/>
        <w:rPr>
          <w:rFonts w:ascii="Traditional Arabic" w:hAnsi="Traditional Arabic"/>
          <w:noProof w:val="0"/>
          <w:color w:val="auto"/>
          <w:rtl/>
          <w:lang w:eastAsia="en-US"/>
        </w:rPr>
      </w:pPr>
      <w:r w:rsidRPr="006763E5">
        <w:rPr>
          <w:rFonts w:ascii="Traditional Arabic" w:hAnsi="Traditional Arabic"/>
          <w:noProof w:val="0"/>
          <w:color w:val="auto"/>
          <w:rtl/>
          <w:lang w:eastAsia="en-US"/>
        </w:rPr>
        <w:t>ل</w:t>
      </w:r>
      <w:r w:rsidR="009840EE" w:rsidRPr="006763E5">
        <w:rPr>
          <w:rFonts w:ascii="Traditional Arabic" w:hAnsi="Traditional Arabic"/>
          <w:noProof w:val="0"/>
          <w:color w:val="auto"/>
          <w:rtl/>
          <w:lang w:eastAsia="en-US"/>
        </w:rPr>
        <w:t>ابُدَّ مِنَ التراضي في عقودِ المعاو</w:t>
      </w:r>
      <w:r w:rsidR="009840EE">
        <w:rPr>
          <w:rFonts w:ascii="Traditional Arabic" w:hAnsi="Traditional Arabic" w:hint="cs"/>
          <w:noProof w:val="0"/>
          <w:color w:val="auto"/>
          <w:rtl/>
          <w:lang w:eastAsia="en-US"/>
        </w:rPr>
        <w:t>َ</w:t>
      </w:r>
      <w:r w:rsidR="009840EE" w:rsidRPr="006763E5">
        <w:rPr>
          <w:rFonts w:ascii="Traditional Arabic" w:hAnsi="Traditional Arabic"/>
          <w:noProof w:val="0"/>
          <w:color w:val="auto"/>
          <w:rtl/>
          <w:lang w:eastAsia="en-US"/>
        </w:rPr>
        <w:t>ضاتِ، والتبر</w:t>
      </w:r>
      <w:r w:rsidR="009840EE">
        <w:rPr>
          <w:rFonts w:ascii="Traditional Arabic" w:hAnsi="Traditional Arabic" w:hint="cs"/>
          <w:noProof w:val="0"/>
          <w:color w:val="auto"/>
          <w:rtl/>
          <w:lang w:eastAsia="en-US"/>
        </w:rPr>
        <w:t>ُّ</w:t>
      </w:r>
      <w:r w:rsidR="009840EE" w:rsidRPr="006763E5">
        <w:rPr>
          <w:rFonts w:ascii="Traditional Arabic" w:hAnsi="Traditional Arabic"/>
          <w:noProof w:val="0"/>
          <w:color w:val="auto"/>
          <w:rtl/>
          <w:lang w:eastAsia="en-US"/>
        </w:rPr>
        <w:t>عاتِ، والفُسوخِ الا</w:t>
      </w:r>
      <w:r w:rsidR="008A75EE">
        <w:rPr>
          <w:rFonts w:ascii="Traditional Arabic" w:hAnsi="Traditional Arabic"/>
          <w:noProof w:val="0"/>
          <w:color w:val="auto"/>
          <w:rtl/>
          <w:lang w:eastAsia="en-US"/>
        </w:rPr>
        <w:t>ختيارية</w:t>
      </w:r>
      <w:r w:rsidR="0027446A">
        <w:rPr>
          <w:rFonts w:ascii="Traditional Arabic" w:hAnsi="Traditional Arabic" w:hint="cs"/>
          <w:noProof w:val="0"/>
          <w:color w:val="auto"/>
          <w:rtl/>
          <w:lang w:eastAsia="en-US"/>
        </w:rPr>
        <w:t xml:space="preserve">، </w:t>
      </w:r>
      <w:r w:rsidR="008A75EE">
        <w:rPr>
          <w:rFonts w:ascii="Traditional Arabic" w:hAnsi="Traditional Arabic"/>
          <w:noProof w:val="0"/>
          <w:color w:val="auto"/>
          <w:rtl/>
          <w:lang w:eastAsia="en-US"/>
        </w:rPr>
        <w:t>وقد دلّ على ذلك: الكتابُ</w:t>
      </w:r>
      <w:r w:rsidR="008A75EE">
        <w:rPr>
          <w:rFonts w:ascii="Traditional Arabic" w:hAnsi="Traditional Arabic" w:hint="cs"/>
          <w:noProof w:val="0"/>
          <w:color w:val="auto"/>
          <w:rtl/>
          <w:lang w:eastAsia="en-US"/>
        </w:rPr>
        <w:t xml:space="preserve"> </w:t>
      </w:r>
      <w:r w:rsidR="009840EE" w:rsidRPr="006763E5">
        <w:rPr>
          <w:rFonts w:ascii="Traditional Arabic" w:hAnsi="Traditional Arabic"/>
          <w:noProof w:val="0"/>
          <w:color w:val="auto"/>
          <w:rtl/>
          <w:lang w:eastAsia="en-US"/>
        </w:rPr>
        <w:t>والسنةُ والإجماعُ. كم</w:t>
      </w:r>
      <w:r w:rsidR="009840EE">
        <w:rPr>
          <w:rFonts w:ascii="Traditional Arabic" w:hAnsi="Traditional Arabic"/>
          <w:noProof w:val="0"/>
          <w:color w:val="auto"/>
          <w:rtl/>
          <w:lang w:eastAsia="en-US"/>
        </w:rPr>
        <w:t>ا قال تعالى في عقودِ المعاو</w:t>
      </w:r>
      <w:r w:rsidR="009840EE">
        <w:rPr>
          <w:rFonts w:ascii="Traditional Arabic" w:hAnsi="Traditional Arabic" w:hint="cs"/>
          <w:noProof w:val="0"/>
          <w:color w:val="auto"/>
          <w:rtl/>
          <w:lang w:eastAsia="en-US"/>
        </w:rPr>
        <w:t>َ</w:t>
      </w:r>
      <w:r w:rsidR="009840EE">
        <w:rPr>
          <w:rFonts w:ascii="Traditional Arabic" w:hAnsi="Traditional Arabic"/>
          <w:noProof w:val="0"/>
          <w:color w:val="auto"/>
          <w:rtl/>
          <w:lang w:eastAsia="en-US"/>
        </w:rPr>
        <w:t>ضاتِ</w:t>
      </w:r>
      <w:r w:rsidR="009840EE">
        <w:rPr>
          <w:rFonts w:ascii="Traditional Arabic" w:hAnsi="Traditional Arabic" w:hint="cs"/>
          <w:noProof w:val="0"/>
          <w:color w:val="auto"/>
          <w:rtl/>
          <w:lang w:eastAsia="en-US"/>
        </w:rPr>
        <w:t xml:space="preserve">: </w:t>
      </w:r>
      <w:bookmarkStart w:id="304" w:name="سورة_النساء_29_3"/>
      <w:r w:rsidR="009840EE" w:rsidRPr="00195656">
        <w:rPr>
          <w:rFonts w:ascii="QCF_BSML" w:hAnsi="QCF_BSML" w:cs="QCF_BSML"/>
          <w:noProof w:val="0"/>
          <w:rtl/>
          <w:lang w:eastAsia="en-US"/>
        </w:rPr>
        <w:t>ﭽ</w:t>
      </w:r>
      <w:r w:rsidR="009840EE" w:rsidRPr="00195656">
        <w:rPr>
          <w:rFonts w:ascii="QCF_P083" w:hAnsi="QCF_P083" w:cs="QCF_P083"/>
          <w:noProof w:val="0"/>
          <w:rtl/>
          <w:lang w:eastAsia="en-US"/>
        </w:rPr>
        <w:t>ﭩ</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ﭪ</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ﭫ</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ﭬ</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ﭭ</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ﭮ</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ﭯ</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ﭰ</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ﭱ</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ﭲ</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ﭳ</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ﭴ</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ﭵ</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ﭶ</w:t>
      </w:r>
      <w:r w:rsidR="00393AF0">
        <w:rPr>
          <w:rFonts w:ascii="QCF_P083" w:hAnsi="QCF_P083" w:cs="QCF_P083" w:hint="cs"/>
          <w:noProof w:val="0"/>
          <w:rtl/>
          <w:lang w:eastAsia="en-US"/>
        </w:rPr>
        <w:t xml:space="preserve"> </w:t>
      </w:r>
      <w:r w:rsidR="009840EE" w:rsidRPr="00195656">
        <w:rPr>
          <w:rFonts w:ascii="QCF_P083" w:hAnsi="QCF_P083" w:cs="QCF_P083"/>
          <w:noProof w:val="0"/>
          <w:rtl/>
          <w:lang w:eastAsia="en-US"/>
        </w:rPr>
        <w:t>ﭷ</w:t>
      </w:r>
      <w:r w:rsidR="009840EE" w:rsidRPr="00195656">
        <w:rPr>
          <w:rFonts w:ascii="QCF_BSML" w:hAnsi="QCF_BSML" w:cs="QCF_BSML"/>
          <w:noProof w:val="0"/>
          <w:rtl/>
          <w:lang w:eastAsia="en-US"/>
        </w:rPr>
        <w:t>ﭼ</w:t>
      </w:r>
      <w:bookmarkEnd w:id="304"/>
      <w:r w:rsidR="009840EE" w:rsidRPr="006763E5">
        <w:rPr>
          <w:rFonts w:ascii="Traditional Arabic" w:hAnsi="Traditional Arabic"/>
          <w:noProof w:val="0"/>
          <w:color w:val="auto"/>
          <w:rtl/>
          <w:lang w:eastAsia="en-US"/>
        </w:rPr>
        <w:t>[النساء:29]؛ لأن التجارةَ اسمٌ جامعٌ لكلِّ ما يُقص</w:t>
      </w:r>
      <w:r w:rsidR="009840EE">
        <w:rPr>
          <w:rFonts w:ascii="Traditional Arabic" w:hAnsi="Traditional Arabic" w:hint="cs"/>
          <w:noProof w:val="0"/>
          <w:color w:val="auto"/>
          <w:rtl/>
          <w:lang w:eastAsia="en-US"/>
        </w:rPr>
        <w:t>َ</w:t>
      </w:r>
      <w:r w:rsidR="009840EE" w:rsidRPr="006763E5">
        <w:rPr>
          <w:rFonts w:ascii="Traditional Arabic" w:hAnsi="Traditional Arabic"/>
          <w:noProof w:val="0"/>
          <w:color w:val="auto"/>
          <w:rtl/>
          <w:lang w:eastAsia="en-US"/>
        </w:rPr>
        <w:t>دُ به الربحُ والكسبُ. فلابدّ فيها من التراضي بين الطرفين. وقال تعالى في عقودِ التبر</w:t>
      </w:r>
      <w:r w:rsidR="009840EE">
        <w:rPr>
          <w:rFonts w:ascii="Traditional Arabic" w:hAnsi="Traditional Arabic" w:hint="cs"/>
          <w:noProof w:val="0"/>
          <w:color w:val="auto"/>
          <w:rtl/>
          <w:lang w:eastAsia="en-US"/>
        </w:rPr>
        <w:t>ُّ</w:t>
      </w:r>
      <w:r w:rsidR="009840EE" w:rsidRPr="006763E5">
        <w:rPr>
          <w:rFonts w:ascii="Traditional Arabic" w:hAnsi="Traditional Arabic"/>
          <w:noProof w:val="0"/>
          <w:color w:val="auto"/>
          <w:rtl/>
          <w:lang w:eastAsia="en-US"/>
        </w:rPr>
        <w:t>عاتِ</w:t>
      </w:r>
      <w:r w:rsidR="009840EE">
        <w:rPr>
          <w:rFonts w:ascii="Traditional Arabic" w:hAnsi="Traditional Arabic" w:hint="cs"/>
          <w:noProof w:val="0"/>
          <w:color w:val="auto"/>
          <w:rtl/>
          <w:lang w:eastAsia="en-US"/>
        </w:rPr>
        <w:t xml:space="preserve">: </w:t>
      </w:r>
      <w:bookmarkStart w:id="305" w:name="سورة_النساء_4"/>
      <w:r w:rsidR="009840EE" w:rsidRPr="00195656">
        <w:rPr>
          <w:rFonts w:ascii="QCF_BSML" w:hAnsi="QCF_BSML" w:cs="QCF_BSML"/>
          <w:noProof w:val="0"/>
          <w:rtl/>
          <w:lang w:eastAsia="en-US"/>
        </w:rPr>
        <w:t>ﭽ</w:t>
      </w:r>
      <w:r w:rsidR="009840EE" w:rsidRPr="00195656">
        <w:rPr>
          <w:rFonts w:ascii="QCF_P077" w:hAnsi="QCF_P077" w:cs="QCF_P077"/>
          <w:noProof w:val="0"/>
          <w:rtl/>
          <w:lang w:eastAsia="en-US"/>
        </w:rPr>
        <w:t>ﮨ</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ﮩ</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ﮪ</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ﮫ</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ﮬ</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ﮭ</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ﮮ</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ﮯ</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ﮰ</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ﮱ</w:t>
      </w:r>
      <w:r w:rsidR="009840EE" w:rsidRPr="00195656">
        <w:rPr>
          <w:rFonts w:ascii="QCF_BSML" w:hAnsi="QCF_BSML" w:cs="QCF_BSML"/>
          <w:noProof w:val="0"/>
          <w:rtl/>
          <w:lang w:eastAsia="en-US"/>
        </w:rPr>
        <w:t>ﭼ</w:t>
      </w:r>
      <w:bookmarkEnd w:id="305"/>
      <w:r w:rsidR="009840EE" w:rsidRPr="006763E5">
        <w:rPr>
          <w:rFonts w:ascii="Traditional Arabic" w:hAnsi="Traditional Arabic"/>
          <w:noProof w:val="0"/>
          <w:color w:val="auto"/>
          <w:rtl/>
          <w:lang w:eastAsia="en-US"/>
        </w:rPr>
        <w:t>[ النساء:4].</w:t>
      </w:r>
    </w:p>
    <w:p w:rsidR="009840EE" w:rsidRPr="006763E5"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noProof w:val="0"/>
          <w:color w:val="auto"/>
          <w:rtl/>
          <w:lang w:eastAsia="en-US"/>
        </w:rPr>
        <w:t>ف</w:t>
      </w:r>
      <w:r w:rsidR="009840EE">
        <w:rPr>
          <w:rFonts w:ascii="Traditional Arabic" w:hAnsi="Traditional Arabic"/>
          <w:noProof w:val="0"/>
          <w:color w:val="auto"/>
          <w:rtl/>
          <w:lang w:eastAsia="en-US"/>
        </w:rPr>
        <w:t>هذا التبر</w:t>
      </w:r>
      <w:r w:rsidR="009840EE">
        <w:rPr>
          <w:rFonts w:ascii="Traditional Arabic" w:hAnsi="Traditional Arabic" w:hint="cs"/>
          <w:noProof w:val="0"/>
          <w:color w:val="auto"/>
          <w:rtl/>
          <w:lang w:eastAsia="en-US"/>
        </w:rPr>
        <w:t>ُّع</w:t>
      </w:r>
      <w:r w:rsidR="009840EE" w:rsidRPr="006763E5">
        <w:rPr>
          <w:rFonts w:ascii="Traditional Arabic" w:hAnsi="Traditional Arabic"/>
          <w:noProof w:val="0"/>
          <w:color w:val="auto"/>
          <w:rtl/>
          <w:lang w:eastAsia="en-US"/>
        </w:rPr>
        <w:t xml:space="preserve"> مِن الزوجةِ الرشيدةِ ل</w:t>
      </w:r>
      <w:r w:rsidR="009840EE">
        <w:rPr>
          <w:rFonts w:ascii="Traditional Arabic" w:hAnsi="Traditional Arabic" w:hint="cs"/>
          <w:noProof w:val="0"/>
          <w:color w:val="auto"/>
          <w:rtl/>
          <w:lang w:eastAsia="en-US"/>
        </w:rPr>
        <w:t>ِ</w:t>
      </w:r>
      <w:r w:rsidR="009840EE" w:rsidRPr="006763E5">
        <w:rPr>
          <w:rFonts w:ascii="Traditional Arabic" w:hAnsi="Traditional Arabic"/>
          <w:noProof w:val="0"/>
          <w:color w:val="auto"/>
          <w:rtl/>
          <w:lang w:eastAsia="en-US"/>
        </w:rPr>
        <w:t>زوجها بالمهر أو ببعضِه</w:t>
      </w:r>
      <w:r w:rsidR="009840EE">
        <w:rPr>
          <w:rFonts w:ascii="Traditional Arabic" w:hAnsi="Traditional Arabic" w:hint="cs"/>
          <w:noProof w:val="0"/>
          <w:color w:val="auto"/>
          <w:rtl/>
          <w:lang w:eastAsia="en-US"/>
        </w:rPr>
        <w:t>،</w:t>
      </w:r>
      <w:r w:rsidR="009840EE" w:rsidRPr="006763E5">
        <w:rPr>
          <w:rFonts w:ascii="Traditional Arabic" w:hAnsi="Traditional Arabic"/>
          <w:noProof w:val="0"/>
          <w:color w:val="auto"/>
          <w:rtl/>
          <w:lang w:eastAsia="en-US"/>
        </w:rPr>
        <w:t xml:space="preserve"> شرَط اللهُ </w:t>
      </w:r>
      <w:r w:rsidR="009840EE">
        <w:rPr>
          <w:rFonts w:ascii="Traditional Arabic" w:hAnsi="Traditional Arabic"/>
          <w:noProof w:val="0"/>
          <w:color w:val="auto"/>
          <w:rtl/>
          <w:lang w:eastAsia="en-US"/>
        </w:rPr>
        <w:t>فيه طِيبَ نفسِها، وهذا هو ال</w:t>
      </w:r>
      <w:r w:rsidR="009840EE">
        <w:rPr>
          <w:rFonts w:ascii="Traditional Arabic" w:hAnsi="Traditional Arabic" w:hint="cs"/>
          <w:noProof w:val="0"/>
          <w:color w:val="auto"/>
          <w:rtl/>
          <w:lang w:eastAsia="en-US"/>
        </w:rPr>
        <w:t>رِّ</w:t>
      </w:r>
      <w:r w:rsidR="009840EE">
        <w:rPr>
          <w:rFonts w:ascii="Traditional Arabic" w:hAnsi="Traditional Arabic"/>
          <w:noProof w:val="0"/>
          <w:color w:val="auto"/>
          <w:rtl/>
          <w:lang w:eastAsia="en-US"/>
        </w:rPr>
        <w:t>ض</w:t>
      </w:r>
      <w:r w:rsidR="009840EE">
        <w:rPr>
          <w:rFonts w:ascii="Traditional Arabic" w:hAnsi="Traditional Arabic" w:hint="cs"/>
          <w:noProof w:val="0"/>
          <w:color w:val="auto"/>
          <w:rtl/>
          <w:lang w:eastAsia="en-US"/>
        </w:rPr>
        <w:t>ا</w:t>
      </w:r>
      <w:r w:rsidR="009840EE" w:rsidRPr="006763E5">
        <w:rPr>
          <w:rFonts w:ascii="Traditional Arabic" w:hAnsi="Traditional Arabic"/>
          <w:noProof w:val="0"/>
          <w:color w:val="auto"/>
          <w:rtl/>
          <w:lang w:eastAsia="en-US"/>
        </w:rPr>
        <w:t>. فجميعُ التبر</w:t>
      </w:r>
      <w:r w:rsidR="009840EE">
        <w:rPr>
          <w:rFonts w:ascii="Traditional Arabic" w:hAnsi="Traditional Arabic" w:hint="cs"/>
          <w:noProof w:val="0"/>
          <w:color w:val="auto"/>
          <w:rtl/>
          <w:lang w:eastAsia="en-US"/>
        </w:rPr>
        <w:t>ُّ</w:t>
      </w:r>
      <w:r w:rsidR="009840EE" w:rsidRPr="006763E5">
        <w:rPr>
          <w:rFonts w:ascii="Traditional Arabic" w:hAnsi="Traditional Arabic"/>
          <w:noProof w:val="0"/>
          <w:color w:val="auto"/>
          <w:rtl/>
          <w:lang w:eastAsia="en-US"/>
        </w:rPr>
        <w:t>عاتِ نظيرُ الص</w:t>
      </w:r>
      <w:r w:rsidR="009840EE">
        <w:rPr>
          <w:rFonts w:ascii="Traditional Arabic" w:hAnsi="Traditional Arabic" w:hint="cs"/>
          <w:noProof w:val="0"/>
          <w:color w:val="auto"/>
          <w:rtl/>
          <w:lang w:eastAsia="en-US"/>
        </w:rPr>
        <w:t>َّ</w:t>
      </w:r>
      <w:r w:rsidR="009840EE" w:rsidRPr="006763E5">
        <w:rPr>
          <w:rFonts w:ascii="Traditional Arabic" w:hAnsi="Traditional Arabic"/>
          <w:noProof w:val="0"/>
          <w:color w:val="auto"/>
          <w:rtl/>
          <w:lang w:eastAsia="en-US"/>
        </w:rPr>
        <w:t>داق. فالبيع بأنواعه، والوثائق</w:t>
      </w:r>
      <w:r w:rsidR="009840EE" w:rsidRPr="00C821A1">
        <w:rPr>
          <w:rStyle w:val="af1"/>
          <w:szCs w:val="32"/>
          <w:rtl/>
        </w:rPr>
        <w:t>(</w:t>
      </w:r>
      <w:r w:rsidR="009840EE" w:rsidRPr="00C821A1">
        <w:rPr>
          <w:rStyle w:val="af1"/>
          <w:szCs w:val="32"/>
          <w:rtl/>
        </w:rPr>
        <w:footnoteReference w:id="1525"/>
      </w:r>
      <w:r w:rsidR="009840EE" w:rsidRPr="00C821A1">
        <w:rPr>
          <w:rStyle w:val="af1"/>
          <w:szCs w:val="32"/>
          <w:rtl/>
        </w:rPr>
        <w:t>)</w:t>
      </w:r>
      <w:r w:rsidR="009840EE" w:rsidRPr="006763E5">
        <w:rPr>
          <w:rFonts w:ascii="Traditional Arabic" w:hAnsi="Traditional Arabic"/>
          <w:noProof w:val="0"/>
          <w:color w:val="auto"/>
          <w:rtl/>
          <w:lang w:eastAsia="en-US"/>
        </w:rPr>
        <w:t>، والإيجارات، والمشارَكات، والوقف</w:t>
      </w:r>
      <w:r w:rsidR="009840EE" w:rsidRPr="00C821A1">
        <w:rPr>
          <w:rStyle w:val="af1"/>
          <w:szCs w:val="32"/>
          <w:rtl/>
        </w:rPr>
        <w:t>(</w:t>
      </w:r>
      <w:r w:rsidR="009840EE" w:rsidRPr="00C821A1">
        <w:rPr>
          <w:rStyle w:val="af1"/>
          <w:szCs w:val="32"/>
          <w:rtl/>
        </w:rPr>
        <w:footnoteReference w:id="1526"/>
      </w:r>
      <w:r w:rsidR="009840EE" w:rsidRPr="00C821A1">
        <w:rPr>
          <w:rStyle w:val="af1"/>
          <w:szCs w:val="32"/>
          <w:rtl/>
        </w:rPr>
        <w:t>)</w:t>
      </w:r>
      <w:r w:rsidR="009840EE" w:rsidRPr="006763E5">
        <w:rPr>
          <w:rFonts w:ascii="Traditional Arabic" w:hAnsi="Traditional Arabic"/>
          <w:noProof w:val="0"/>
          <w:color w:val="auto"/>
          <w:rtl/>
          <w:lang w:eastAsia="en-US"/>
        </w:rPr>
        <w:t>، وال</w:t>
      </w:r>
      <w:r w:rsidR="009840EE">
        <w:rPr>
          <w:rFonts w:ascii="Traditional Arabic" w:hAnsi="Traditional Arabic"/>
          <w:noProof w:val="0"/>
          <w:color w:val="auto"/>
          <w:rtl/>
          <w:lang w:eastAsia="en-US"/>
        </w:rPr>
        <w:t>وصايا</w:t>
      </w:r>
      <w:r w:rsidR="009840EE" w:rsidRPr="00C821A1">
        <w:rPr>
          <w:rStyle w:val="af1"/>
          <w:szCs w:val="32"/>
          <w:rtl/>
        </w:rPr>
        <w:t>(</w:t>
      </w:r>
      <w:r w:rsidR="009840EE" w:rsidRPr="00C821A1">
        <w:rPr>
          <w:rStyle w:val="af1"/>
          <w:szCs w:val="32"/>
          <w:rtl/>
        </w:rPr>
        <w:footnoteReference w:id="1527"/>
      </w:r>
      <w:r w:rsidR="009840EE" w:rsidRPr="00C821A1">
        <w:rPr>
          <w:rStyle w:val="af1"/>
          <w:szCs w:val="32"/>
          <w:rtl/>
        </w:rPr>
        <w:t>)</w:t>
      </w:r>
      <w:r w:rsidR="009840EE">
        <w:rPr>
          <w:rFonts w:ascii="Traditional Arabic" w:hAnsi="Traditional Arabic"/>
          <w:noProof w:val="0"/>
          <w:color w:val="auto"/>
          <w:rtl/>
          <w:lang w:eastAsia="en-US"/>
        </w:rPr>
        <w:t>، واله</w:t>
      </w:r>
      <w:r w:rsidR="009840EE">
        <w:rPr>
          <w:rFonts w:ascii="Traditional Arabic" w:hAnsi="Traditional Arabic" w:hint="cs"/>
          <w:noProof w:val="0"/>
          <w:color w:val="auto"/>
          <w:rtl/>
          <w:lang w:eastAsia="en-US"/>
        </w:rPr>
        <w:t>ِ</w:t>
      </w:r>
      <w:r w:rsidR="009840EE">
        <w:rPr>
          <w:rFonts w:ascii="Traditional Arabic" w:hAnsi="Traditional Arabic"/>
          <w:noProof w:val="0"/>
          <w:color w:val="auto"/>
          <w:rtl/>
          <w:lang w:eastAsia="en-US"/>
        </w:rPr>
        <w:t>بة؛ لابدّ فيها من رض</w:t>
      </w:r>
      <w:r w:rsidR="009840EE">
        <w:rPr>
          <w:rFonts w:ascii="Traditional Arabic" w:hAnsi="Traditional Arabic" w:hint="cs"/>
          <w:noProof w:val="0"/>
          <w:color w:val="auto"/>
          <w:rtl/>
          <w:lang w:eastAsia="en-US"/>
        </w:rPr>
        <w:t>ا</w:t>
      </w:r>
      <w:r w:rsidR="009840EE" w:rsidRPr="006763E5">
        <w:rPr>
          <w:rFonts w:ascii="Traditional Arabic" w:hAnsi="Traditional Arabic"/>
          <w:noProof w:val="0"/>
          <w:color w:val="auto"/>
          <w:rtl/>
          <w:lang w:eastAsia="en-US"/>
        </w:rPr>
        <w:t xml:space="preserve"> المتعاقدَينِ.</w:t>
      </w:r>
    </w:p>
    <w:p w:rsidR="00065E4B" w:rsidRDefault="009840EE" w:rsidP="00597C20">
      <w:pPr>
        <w:ind w:firstLine="720"/>
        <w:rPr>
          <w:color w:val="auto"/>
          <w:rtl/>
        </w:rPr>
      </w:pPr>
      <w:r w:rsidRPr="006763E5">
        <w:rPr>
          <w:rFonts w:ascii="Traditional Arabic" w:hAnsi="Traditional Arabic"/>
          <w:noProof w:val="0"/>
          <w:color w:val="auto"/>
          <w:rtl/>
          <w:lang w:eastAsia="en-US"/>
        </w:rPr>
        <w:lastRenderedPageBreak/>
        <w:t>وكذلك؛ النكاحُ وغيرُه من جمي</w:t>
      </w:r>
      <w:r>
        <w:rPr>
          <w:rFonts w:ascii="Traditional Arabic" w:hAnsi="Traditional Arabic"/>
          <w:noProof w:val="0"/>
          <w:color w:val="auto"/>
          <w:rtl/>
          <w:lang w:eastAsia="en-US"/>
        </w:rPr>
        <w:t>ع العقود والفسوخ لا تتم إلا بر</w:t>
      </w:r>
      <w:r>
        <w:rPr>
          <w:rFonts w:ascii="Traditional Arabic" w:hAnsi="Traditional Arabic" w:hint="cs"/>
          <w:noProof w:val="0"/>
          <w:color w:val="auto"/>
          <w:rtl/>
          <w:lang w:eastAsia="en-US"/>
        </w:rPr>
        <w:t>ِ</w:t>
      </w:r>
      <w:r>
        <w:rPr>
          <w:rFonts w:ascii="Traditional Arabic" w:hAnsi="Traditional Arabic"/>
          <w:noProof w:val="0"/>
          <w:color w:val="auto"/>
          <w:rtl/>
          <w:lang w:eastAsia="en-US"/>
        </w:rPr>
        <w:t>ض</w:t>
      </w:r>
      <w:r>
        <w:rPr>
          <w:rFonts w:ascii="Traditional Arabic" w:hAnsi="Traditional Arabic" w:hint="cs"/>
          <w:noProof w:val="0"/>
          <w:color w:val="auto"/>
          <w:rtl/>
          <w:lang w:eastAsia="en-US"/>
        </w:rPr>
        <w:t>ا</w:t>
      </w:r>
      <w:r w:rsidRPr="006763E5">
        <w:rPr>
          <w:rFonts w:ascii="Traditional Arabic" w:hAnsi="Traditional Arabic"/>
          <w:noProof w:val="0"/>
          <w:color w:val="auto"/>
          <w:rtl/>
          <w:lang w:eastAsia="en-US"/>
        </w:rPr>
        <w:t xml:space="preserve"> المتصر</w:t>
      </w:r>
      <w:r>
        <w:rPr>
          <w:rFonts w:ascii="Traditional Arabic" w:hAnsi="Traditional Arabic" w:hint="cs"/>
          <w:noProof w:val="0"/>
          <w:color w:val="auto"/>
          <w:rtl/>
          <w:lang w:eastAsia="en-US"/>
        </w:rPr>
        <w:t>ِّ</w:t>
      </w:r>
      <w:r>
        <w:rPr>
          <w:rFonts w:ascii="Traditional Arabic" w:hAnsi="Traditional Arabic"/>
          <w:noProof w:val="0"/>
          <w:color w:val="auto"/>
          <w:rtl/>
          <w:lang w:eastAsia="en-US"/>
        </w:rPr>
        <w:t>ف فيها؛ لأنها تنق</w:t>
      </w:r>
      <w:r>
        <w:rPr>
          <w:rFonts w:ascii="Traditional Arabic" w:hAnsi="Traditional Arabic" w:hint="cs"/>
          <w:noProof w:val="0"/>
          <w:color w:val="auto"/>
          <w:rtl/>
          <w:lang w:eastAsia="en-US"/>
        </w:rPr>
        <w:t>ُ</w:t>
      </w:r>
      <w:r>
        <w:rPr>
          <w:rFonts w:ascii="Traditional Arabic" w:hAnsi="Traditional Arabic"/>
          <w:noProof w:val="0"/>
          <w:color w:val="auto"/>
          <w:rtl/>
          <w:lang w:eastAsia="en-US"/>
        </w:rPr>
        <w:t>ل</w:t>
      </w:r>
      <w:r w:rsidRPr="006763E5">
        <w:rPr>
          <w:rFonts w:ascii="Traditional Arabic" w:hAnsi="Traditional Arabic"/>
          <w:noProof w:val="0"/>
          <w:color w:val="auto"/>
          <w:rtl/>
          <w:lang w:eastAsia="en-US"/>
        </w:rPr>
        <w:t xml:space="preserve"> الأم</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لاك</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 xml:space="preserve"> من شخص</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 xml:space="preserve"> إلى آخ</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ر، أو تنق</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ل الحقوق</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 xml:space="preserve">، أو تُغيِّر </w:t>
      </w:r>
      <w:r>
        <w:rPr>
          <w:rFonts w:ascii="Traditional Arabic" w:hAnsi="Traditional Arabic"/>
          <w:noProof w:val="0"/>
          <w:color w:val="auto"/>
          <w:rtl/>
          <w:lang w:eastAsia="en-US"/>
        </w:rPr>
        <w:t>الحالَ السابقة، وذلك يقتضي الرض</w:t>
      </w:r>
      <w:r>
        <w:rPr>
          <w:rFonts w:ascii="Traditional Arabic" w:hAnsi="Traditional Arabic" w:hint="cs"/>
          <w:noProof w:val="0"/>
          <w:color w:val="auto"/>
          <w:rtl/>
          <w:lang w:eastAsia="en-US"/>
        </w:rPr>
        <w:t>ا</w:t>
      </w:r>
      <w:r w:rsidRPr="006763E5">
        <w:rPr>
          <w:rFonts w:ascii="Traditional Arabic" w:hAnsi="Traditional Arabic"/>
          <w:noProof w:val="0"/>
          <w:color w:val="auto"/>
          <w:rtl/>
          <w:lang w:eastAsia="en-US"/>
        </w:rPr>
        <w:t>. فمن أ</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ك</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ر</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ه على عقد</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 xml:space="preserve"> أو على فسخ</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 xml:space="preserve"> بغير</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 xml:space="preserve"> حق</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 فع</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ق</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ده وف</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س</w:t>
      </w:r>
      <w:r>
        <w:rPr>
          <w:rFonts w:ascii="Traditional Arabic" w:hAnsi="Traditional Arabic" w:hint="cs"/>
          <w:noProof w:val="0"/>
          <w:color w:val="auto"/>
          <w:rtl/>
          <w:lang w:eastAsia="en-US"/>
        </w:rPr>
        <w:t>ْ</w:t>
      </w:r>
      <w:r>
        <w:rPr>
          <w:rFonts w:ascii="Traditional Arabic" w:hAnsi="Traditional Arabic"/>
          <w:noProof w:val="0"/>
          <w:color w:val="auto"/>
          <w:rtl/>
          <w:lang w:eastAsia="en-US"/>
        </w:rPr>
        <w:t>خه لاغٍ، و</w:t>
      </w:r>
      <w:r>
        <w:rPr>
          <w:rFonts w:ascii="Traditional Arabic" w:hAnsi="Traditional Arabic" w:hint="cs"/>
          <w:noProof w:val="0"/>
          <w:color w:val="auto"/>
          <w:rtl/>
          <w:lang w:eastAsia="en-US"/>
        </w:rPr>
        <w:t>ُ</w:t>
      </w:r>
      <w:r>
        <w:rPr>
          <w:rFonts w:ascii="Traditional Arabic" w:hAnsi="Traditional Arabic"/>
          <w:noProof w:val="0"/>
          <w:color w:val="auto"/>
          <w:rtl/>
          <w:lang w:eastAsia="en-US"/>
        </w:rPr>
        <w:t>جود</w:t>
      </w:r>
      <w:r>
        <w:rPr>
          <w:rFonts w:ascii="Traditional Arabic" w:hAnsi="Traditional Arabic" w:hint="cs"/>
          <w:noProof w:val="0"/>
          <w:color w:val="auto"/>
          <w:rtl/>
          <w:lang w:eastAsia="en-US"/>
        </w:rPr>
        <w:t>ُ</w:t>
      </w:r>
      <w:r>
        <w:rPr>
          <w:rFonts w:ascii="Traditional Arabic" w:hAnsi="Traditional Arabic"/>
          <w:noProof w:val="0"/>
          <w:color w:val="auto"/>
          <w:rtl/>
          <w:lang w:eastAsia="en-US"/>
        </w:rPr>
        <w:t>ه مثل</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 xml:space="preserve"> ع</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د</w:t>
      </w:r>
      <w:r>
        <w:rPr>
          <w:rFonts w:ascii="Traditional Arabic" w:hAnsi="Traditional Arabic" w:hint="cs"/>
          <w:noProof w:val="0"/>
          <w:color w:val="auto"/>
          <w:rtl/>
          <w:lang w:eastAsia="en-US"/>
        </w:rPr>
        <w:t>َ</w:t>
      </w:r>
      <w:r w:rsidRPr="006763E5">
        <w:rPr>
          <w:rFonts w:ascii="Traditional Arabic" w:hAnsi="Traditional Arabic"/>
          <w:noProof w:val="0"/>
          <w:color w:val="auto"/>
          <w:rtl/>
          <w:lang w:eastAsia="en-US"/>
        </w:rPr>
        <w:t>مه</w:t>
      </w:r>
      <w:r w:rsidRPr="00C821A1">
        <w:rPr>
          <w:rStyle w:val="af1"/>
          <w:szCs w:val="32"/>
          <w:rtl/>
        </w:rPr>
        <w:t>(</w:t>
      </w:r>
      <w:r w:rsidRPr="00C821A1">
        <w:rPr>
          <w:rStyle w:val="af1"/>
          <w:szCs w:val="32"/>
          <w:rtl/>
        </w:rPr>
        <w:footnoteReference w:id="1528"/>
      </w:r>
      <w:r w:rsidRPr="00C821A1">
        <w:rPr>
          <w:rStyle w:val="af1"/>
          <w:szCs w:val="32"/>
          <w:rtl/>
        </w:rPr>
        <w:t>)</w:t>
      </w:r>
      <w:r w:rsidRPr="006763E5">
        <w:rPr>
          <w:rFonts w:ascii="Traditional Arabic" w:hAnsi="Traditional Arabic"/>
          <w:noProof w:val="0"/>
          <w:color w:val="auto"/>
          <w:rtl/>
          <w:lang w:eastAsia="en-US"/>
        </w:rPr>
        <w:t>.</w:t>
      </w:r>
    </w:p>
    <w:p w:rsidR="009840EE" w:rsidRDefault="00065E4B" w:rsidP="00597C20">
      <w:pPr>
        <w:ind w:firstLine="720"/>
        <w:rPr>
          <w:color w:val="auto"/>
          <w:rtl/>
        </w:rPr>
      </w:pPr>
      <w:r>
        <w:rPr>
          <w:rFonts w:hint="cs"/>
          <w:color w:val="auto"/>
          <w:rtl/>
        </w:rPr>
        <w:t>و</w:t>
      </w:r>
      <w:r w:rsidR="009840EE">
        <w:rPr>
          <w:rFonts w:hint="cs"/>
          <w:color w:val="auto"/>
          <w:rtl/>
        </w:rPr>
        <w:t>مما يجب أن يُعلَم أن الرِّضا المعتبَر من المتعاملين ونحوِهم شَرْطُه أن يكون بعد رضا الشارع، وأن يكون ذلك الذي وقع عليه التراضي منهما قد أجازه الشارع وأباحه، وأما إذا لم يُجِزْهُ الشارع فلا عِبْرة بِرِضاهُما</w:t>
      </w:r>
      <w:r w:rsidR="009840EE" w:rsidRPr="00C821A1">
        <w:rPr>
          <w:rStyle w:val="af1"/>
          <w:szCs w:val="32"/>
          <w:rtl/>
        </w:rPr>
        <w:t>(</w:t>
      </w:r>
      <w:r w:rsidR="009840EE" w:rsidRPr="00C821A1">
        <w:rPr>
          <w:rStyle w:val="af1"/>
          <w:szCs w:val="32"/>
          <w:rtl/>
        </w:rPr>
        <w:footnoteReference w:id="1529"/>
      </w:r>
      <w:r w:rsidR="009840EE" w:rsidRPr="00C821A1">
        <w:rPr>
          <w:rStyle w:val="af1"/>
          <w:szCs w:val="32"/>
          <w:rtl/>
        </w:rPr>
        <w:t>)</w:t>
      </w:r>
      <w:r w:rsidR="009840EE">
        <w:rPr>
          <w:rFonts w:hint="cs"/>
          <w:color w:val="auto"/>
          <w:rtl/>
        </w:rPr>
        <w:t>.</w:t>
      </w:r>
    </w:p>
    <w:p w:rsidR="00065E4B" w:rsidRPr="009840EE" w:rsidRDefault="008A75EE" w:rsidP="00A8347C">
      <w:pPr>
        <w:pStyle w:val="aff3"/>
        <w:rPr>
          <w:rtl/>
        </w:rPr>
      </w:pPr>
      <w:bookmarkStart w:id="306" w:name="_Toc334046520"/>
      <w:r>
        <w:rPr>
          <w:rFonts w:hint="cs"/>
          <w:rtl/>
        </w:rPr>
        <w:lastRenderedPageBreak/>
        <w:t xml:space="preserve">                                        المطلب</w:t>
      </w:r>
      <w:r w:rsidR="00393AF0">
        <w:rPr>
          <w:rFonts w:hint="cs"/>
          <w:rtl/>
        </w:rPr>
        <w:t xml:space="preserve"> </w:t>
      </w:r>
      <w:r w:rsidR="009840EE" w:rsidRPr="009840EE">
        <w:rPr>
          <w:rFonts w:hint="cs"/>
          <w:rtl/>
        </w:rPr>
        <w:t>الثالث</w:t>
      </w:r>
      <w:r w:rsidR="009840EE">
        <w:rPr>
          <w:rFonts w:hint="eastAsia"/>
          <w:rtl/>
        </w:rPr>
        <w:t> :</w:t>
      </w:r>
      <w:r w:rsidR="009840EE">
        <w:rPr>
          <w:rFonts w:hint="cs"/>
          <w:rtl/>
        </w:rPr>
        <w:br/>
      </w:r>
      <w:r>
        <w:rPr>
          <w:rFonts w:hint="cs"/>
          <w:rtl/>
        </w:rPr>
        <w:t xml:space="preserve">           </w:t>
      </w:r>
      <w:r w:rsidR="00647199">
        <w:rPr>
          <w:rFonts w:hint="cs"/>
          <w:rtl/>
        </w:rPr>
        <w:t xml:space="preserve">                               </w:t>
      </w:r>
      <w:r w:rsidR="009840EE" w:rsidRPr="009840EE">
        <w:rPr>
          <w:rFonts w:hint="cs"/>
          <w:rtl/>
        </w:rPr>
        <w:t>أدلة القاعدة</w:t>
      </w:r>
      <w:bookmarkEnd w:id="306"/>
    </w:p>
    <w:p w:rsidR="009840EE" w:rsidRPr="00195656" w:rsidRDefault="00065E4B" w:rsidP="000A76C7">
      <w:pPr>
        <w:pStyle w:val="afc"/>
        <w:numPr>
          <w:ilvl w:val="0"/>
          <w:numId w:val="208"/>
        </w:numPr>
      </w:pPr>
      <w:r>
        <w:rPr>
          <w:rFonts w:hint="cs"/>
          <w:rtl/>
        </w:rPr>
        <w:t>ق</w:t>
      </w:r>
      <w:r w:rsidR="009840EE">
        <w:rPr>
          <w:rFonts w:hint="cs"/>
          <w:rtl/>
        </w:rPr>
        <w:t xml:space="preserve">ول الله </w:t>
      </w:r>
      <w:r w:rsidR="00393AF0">
        <w:rPr>
          <w:rFonts w:ascii="Traditional Arabic" w:hAnsi="Traditional Arabic" w:hint="cs"/>
          <w:noProof w:val="0"/>
          <w:color w:val="auto"/>
          <w:rtl/>
          <w:lang w:eastAsia="en-US"/>
        </w:rPr>
        <w:t>_</w:t>
      </w:r>
      <w:r w:rsidR="008A75EE">
        <w:rPr>
          <w:rFonts w:ascii="Traditional Arabic" w:hAnsi="Traditional Arabic" w:hint="cs"/>
          <w:noProof w:val="0"/>
          <w:color w:val="auto"/>
          <w:rtl/>
          <w:lang w:eastAsia="en-US"/>
        </w:rPr>
        <w:t>عز وجل</w:t>
      </w:r>
      <w:r w:rsidR="00393AF0">
        <w:rPr>
          <w:rFonts w:ascii="Traditional Arabic" w:hAnsi="Traditional Arabic" w:hint="cs"/>
          <w:noProof w:val="0"/>
          <w:color w:val="auto"/>
          <w:rtl/>
          <w:lang w:eastAsia="en-US"/>
        </w:rPr>
        <w:t>_</w:t>
      </w:r>
      <w:r w:rsidR="009840EE">
        <w:rPr>
          <w:rFonts w:hint="cs"/>
          <w:rtl/>
        </w:rPr>
        <w:t>:</w:t>
      </w:r>
      <w:r w:rsidR="00393AF0">
        <w:rPr>
          <w:rFonts w:hint="cs"/>
          <w:rtl/>
        </w:rPr>
        <w:t xml:space="preserve"> </w:t>
      </w:r>
      <w:r w:rsidR="009840EE" w:rsidRPr="00195656">
        <w:rPr>
          <w:rFonts w:ascii="QCF_BSML" w:hAnsi="QCF_BSML" w:cs="QCF_BSML"/>
          <w:noProof w:val="0"/>
          <w:rtl/>
          <w:lang w:eastAsia="en-US"/>
        </w:rPr>
        <w:t>ﭽ</w:t>
      </w:r>
      <w:r w:rsidR="009840EE" w:rsidRPr="00195656">
        <w:rPr>
          <w:rFonts w:ascii="QCF_P077" w:hAnsi="QCF_P077" w:cs="QCF_P077"/>
          <w:noProof w:val="0"/>
          <w:rtl/>
          <w:lang w:eastAsia="en-US"/>
        </w:rPr>
        <w:t>ﮨ</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ﮩ</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ﮪ</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ﮫ</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ﮬ</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ﮭ</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ﮮ</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ﮯ</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ﮰ</w:t>
      </w:r>
      <w:r w:rsidR="00393AF0">
        <w:rPr>
          <w:rFonts w:ascii="QCF_P077" w:hAnsi="QCF_P077" w:cs="QCF_P077" w:hint="cs"/>
          <w:noProof w:val="0"/>
          <w:rtl/>
          <w:lang w:eastAsia="en-US"/>
        </w:rPr>
        <w:t xml:space="preserve"> </w:t>
      </w:r>
      <w:r w:rsidR="009840EE" w:rsidRPr="00195656">
        <w:rPr>
          <w:rFonts w:ascii="QCF_P077" w:hAnsi="QCF_P077" w:cs="QCF_P077"/>
          <w:noProof w:val="0"/>
          <w:rtl/>
          <w:lang w:eastAsia="en-US"/>
        </w:rPr>
        <w:t>ﮱ</w:t>
      </w:r>
      <w:r w:rsidR="009840EE" w:rsidRPr="00195656">
        <w:rPr>
          <w:rFonts w:ascii="QCF_BSML" w:hAnsi="QCF_BSML" w:cs="QCF_BSML"/>
          <w:noProof w:val="0"/>
          <w:rtl/>
          <w:lang w:eastAsia="en-US"/>
        </w:rPr>
        <w:t>ﭼ</w:t>
      </w:r>
      <w:r w:rsidR="009840EE">
        <w:rPr>
          <w:rFonts w:ascii="Traditional Arabic" w:hAnsi="Traditional Arabic" w:hint="cs"/>
          <w:noProof w:val="0"/>
          <w:color w:val="auto"/>
          <w:rtl/>
          <w:lang w:eastAsia="en-US"/>
        </w:rPr>
        <w:t>[</w:t>
      </w:r>
      <w:r w:rsidR="009840EE" w:rsidRPr="00195656">
        <w:rPr>
          <w:rFonts w:ascii="Traditional Arabic" w:hAnsi="Traditional Arabic"/>
          <w:noProof w:val="0"/>
          <w:color w:val="auto"/>
          <w:rtl/>
          <w:lang w:eastAsia="en-US"/>
        </w:rPr>
        <w:t>النساء: ٤</w:t>
      </w:r>
      <w:r w:rsidR="009840EE">
        <w:rPr>
          <w:rFonts w:ascii="Traditional Arabic" w:hAnsi="Traditional Arabic" w:hint="cs"/>
          <w:noProof w:val="0"/>
          <w:color w:val="auto"/>
          <w:rtl/>
          <w:lang w:eastAsia="en-US"/>
        </w:rPr>
        <w:t>].</w:t>
      </w:r>
    </w:p>
    <w:p w:rsidR="009840EE" w:rsidRPr="00195656" w:rsidRDefault="009840EE" w:rsidP="000A76C7">
      <w:pPr>
        <w:pStyle w:val="afc"/>
        <w:numPr>
          <w:ilvl w:val="0"/>
          <w:numId w:val="208"/>
        </w:numPr>
      </w:pPr>
      <w:r>
        <w:rPr>
          <w:rFonts w:ascii="Traditional Arabic" w:hAnsi="Traditional Arabic" w:hint="cs"/>
          <w:noProof w:val="0"/>
          <w:color w:val="auto"/>
          <w:rtl/>
          <w:lang w:eastAsia="en-US"/>
        </w:rPr>
        <w:t xml:space="preserve">قول الله </w:t>
      </w:r>
      <w:r w:rsidR="00393AF0">
        <w:rPr>
          <w:rFonts w:ascii="Traditional Arabic" w:hAnsi="Traditional Arabic" w:hint="cs"/>
          <w:noProof w:val="0"/>
          <w:color w:val="auto"/>
          <w:rtl/>
          <w:lang w:eastAsia="en-US"/>
        </w:rPr>
        <w:t>_</w:t>
      </w:r>
      <w:r w:rsidR="008A75EE">
        <w:rPr>
          <w:rFonts w:ascii="Traditional Arabic" w:hAnsi="Traditional Arabic" w:hint="cs"/>
          <w:noProof w:val="0"/>
          <w:color w:val="auto"/>
          <w:rtl/>
          <w:lang w:eastAsia="en-US"/>
        </w:rPr>
        <w:t>عز وجل</w:t>
      </w:r>
      <w:r w:rsidR="00393AF0">
        <w:rPr>
          <w:rFonts w:ascii="Traditional Arabic" w:hAnsi="Traditional Arabic" w:hint="cs"/>
          <w:noProof w:val="0"/>
          <w:color w:val="auto"/>
          <w:rtl/>
          <w:lang w:eastAsia="en-US"/>
        </w:rPr>
        <w:t xml:space="preserve"> _</w:t>
      </w:r>
      <w:r>
        <w:rPr>
          <w:rFonts w:ascii="Traditional Arabic" w:hAnsi="Traditional Arabic" w:hint="cs"/>
          <w:noProof w:val="0"/>
          <w:color w:val="auto"/>
          <w:rtl/>
          <w:lang w:eastAsia="en-US"/>
        </w:rPr>
        <w:t>:</w:t>
      </w:r>
      <w:r w:rsidR="00393AF0">
        <w:rPr>
          <w:rFonts w:ascii="Traditional Arabic" w:hAnsi="Traditional Arabic" w:hint="cs"/>
          <w:noProof w:val="0"/>
          <w:color w:val="auto"/>
          <w:rtl/>
          <w:lang w:eastAsia="en-US"/>
        </w:rPr>
        <w:t xml:space="preserve"> </w:t>
      </w:r>
      <w:r w:rsidRPr="00195656">
        <w:rPr>
          <w:rFonts w:ascii="QCF_BSML" w:hAnsi="QCF_BSML" w:cs="QCF_BSML"/>
          <w:noProof w:val="0"/>
          <w:rtl/>
          <w:lang w:eastAsia="en-US"/>
        </w:rPr>
        <w:t>ﭽ</w:t>
      </w:r>
      <w:r>
        <w:rPr>
          <w:rFonts w:ascii="QCF_P083" w:hAnsi="QCF_P083" w:cs="QCF_P083"/>
          <w:noProof w:val="0"/>
          <w:rtl/>
          <w:lang w:eastAsia="en-US"/>
        </w:rPr>
        <w:t>ﭩ</w:t>
      </w:r>
      <w:r w:rsidR="00393AF0">
        <w:rPr>
          <w:rFonts w:ascii="QCF_P083" w:hAnsi="QCF_P083" w:cs="QCF_P083" w:hint="cs"/>
          <w:noProof w:val="0"/>
          <w:rtl/>
          <w:lang w:eastAsia="en-US"/>
        </w:rPr>
        <w:t xml:space="preserve"> </w:t>
      </w:r>
      <w:r>
        <w:rPr>
          <w:rFonts w:ascii="QCF_P083" w:hAnsi="QCF_P083" w:cs="QCF_P083"/>
          <w:noProof w:val="0"/>
          <w:rtl/>
          <w:lang w:eastAsia="en-US"/>
        </w:rPr>
        <w:t>ﭪ</w:t>
      </w:r>
      <w:r w:rsidR="00393AF0">
        <w:rPr>
          <w:rFonts w:ascii="QCF_P083" w:hAnsi="QCF_P083" w:cs="QCF_P083" w:hint="cs"/>
          <w:noProof w:val="0"/>
          <w:rtl/>
          <w:lang w:eastAsia="en-US"/>
        </w:rPr>
        <w:t xml:space="preserve"> </w:t>
      </w:r>
      <w:r>
        <w:rPr>
          <w:rFonts w:ascii="QCF_P083" w:hAnsi="QCF_P083" w:cs="QCF_P083"/>
          <w:noProof w:val="0"/>
          <w:rtl/>
          <w:lang w:eastAsia="en-US"/>
        </w:rPr>
        <w:t xml:space="preserve"> </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ﭫ</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ﭬ</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ﭭ</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ﭮ</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ﭯ</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ﭰ</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ﭱ</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ﭲ</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ﭳ</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ﭴ</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ﭵ</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ﭶ</w:t>
      </w:r>
      <w:r w:rsidR="00393AF0">
        <w:rPr>
          <w:rFonts w:ascii="QCF_P083" w:hAnsi="QCF_P083" w:cs="QCF_P083" w:hint="cs"/>
          <w:noProof w:val="0"/>
          <w:rtl/>
          <w:lang w:eastAsia="en-US"/>
        </w:rPr>
        <w:t xml:space="preserve"> </w:t>
      </w:r>
      <w:r w:rsidRPr="00195656">
        <w:rPr>
          <w:rFonts w:ascii="QCF_P083" w:hAnsi="QCF_P083" w:cs="QCF_P083"/>
          <w:noProof w:val="0"/>
          <w:rtl/>
          <w:lang w:eastAsia="en-US"/>
        </w:rPr>
        <w:t>ﭷ</w:t>
      </w:r>
      <w:r w:rsidRPr="00195656">
        <w:rPr>
          <w:rFonts w:ascii="QCF_BSML" w:hAnsi="QCF_BSML" w:cs="QCF_BSML"/>
          <w:noProof w:val="0"/>
          <w:rtl/>
          <w:lang w:eastAsia="en-US"/>
        </w:rPr>
        <w:t>ﭼ</w:t>
      </w:r>
      <w:r>
        <w:rPr>
          <w:rFonts w:ascii="Traditional Arabic" w:hAnsi="Traditional Arabic" w:hint="cs"/>
          <w:noProof w:val="0"/>
          <w:color w:val="auto"/>
          <w:rtl/>
          <w:lang w:eastAsia="en-US"/>
        </w:rPr>
        <w:t>[</w:t>
      </w:r>
      <w:r w:rsidRPr="00195656">
        <w:rPr>
          <w:rFonts w:ascii="Traditional Arabic" w:hAnsi="Traditional Arabic"/>
          <w:noProof w:val="0"/>
          <w:color w:val="auto"/>
          <w:rtl/>
          <w:lang w:eastAsia="en-US"/>
        </w:rPr>
        <w:t>النساء: ٢٩</w:t>
      </w:r>
      <w:r>
        <w:rPr>
          <w:rFonts w:ascii="Traditional Arabic" w:hAnsi="Traditional Arabic" w:hint="cs"/>
          <w:noProof w:val="0"/>
          <w:color w:val="auto"/>
          <w:rtl/>
          <w:lang w:eastAsia="en-US"/>
        </w:rPr>
        <w:t>].</w:t>
      </w:r>
    </w:p>
    <w:p w:rsidR="00065E4B" w:rsidRPr="00424CE5" w:rsidRDefault="009840EE" w:rsidP="00597C20">
      <w:pPr>
        <w:pStyle w:val="53"/>
      </w:pPr>
      <w:r>
        <w:rPr>
          <w:rFonts w:hint="cs"/>
          <w:rtl/>
        </w:rPr>
        <w:t>وجه الدلالة من الآيتين:</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ق</w:t>
      </w:r>
      <w:r w:rsidR="009840EE">
        <w:rPr>
          <w:rFonts w:ascii="Traditional Arabic" w:hAnsi="Traditional Arabic" w:hint="cs"/>
          <w:noProof w:val="0"/>
          <w:color w:val="auto"/>
          <w:rtl/>
          <w:lang w:eastAsia="en-US"/>
        </w:rPr>
        <w:t xml:space="preserve">ال شيخ الإسلام ابن تيمية </w:t>
      </w:r>
      <w:r w:rsidR="00393AF0">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393AF0">
        <w:rPr>
          <w:rFonts w:ascii="Traditional Arabic" w:hAnsi="Traditional Arabic" w:hint="cs"/>
          <w:noProof w:val="0"/>
          <w:color w:val="auto"/>
          <w:rtl/>
          <w:lang w:eastAsia="en-US"/>
        </w:rPr>
        <w:t>_</w:t>
      </w:r>
      <w:r w:rsidR="009840EE">
        <w:rPr>
          <w:rFonts w:ascii="Traditional Arabic" w:hAnsi="Traditional Arabic" w:hint="cs"/>
          <w:noProof w:val="0"/>
          <w:color w:val="auto"/>
          <w:rtl/>
          <w:lang w:eastAsia="en-US"/>
        </w:rPr>
        <w:t>: (</w:t>
      </w:r>
      <w:r w:rsidR="009840EE" w:rsidRPr="007907B7">
        <w:rPr>
          <w:rFonts w:ascii="Traditional Arabic" w:hAnsi="Traditional Arabic"/>
          <w:noProof w:val="0"/>
          <w:color w:val="auto"/>
          <w:rtl/>
          <w:lang w:eastAsia="en-US"/>
        </w:rPr>
        <w:t>فعل</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ق جواز الأكل بطيب النفس تعليق</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الجزاء</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بشر</w:t>
      </w:r>
      <w:r w:rsidR="009840EE">
        <w:rPr>
          <w:rFonts w:ascii="Traditional Arabic" w:hAnsi="Traditional Arabic" w:hint="cs"/>
          <w:noProof w:val="0"/>
          <w:color w:val="auto"/>
          <w:rtl/>
          <w:lang w:eastAsia="en-US"/>
        </w:rPr>
        <w:t>ْ</w:t>
      </w:r>
      <w:r w:rsidR="009840EE">
        <w:rPr>
          <w:rFonts w:ascii="Traditional Arabic" w:hAnsi="Traditional Arabic"/>
          <w:noProof w:val="0"/>
          <w:color w:val="auto"/>
          <w:rtl/>
          <w:lang w:eastAsia="en-US"/>
        </w:rPr>
        <w:t>طه</w:t>
      </w:r>
      <w:r w:rsidR="009840EE" w:rsidRPr="007907B7">
        <w:rPr>
          <w:rFonts w:ascii="Traditional Arabic" w:hAnsi="Traditional Arabic"/>
          <w:noProof w:val="0"/>
          <w:color w:val="auto"/>
          <w:rtl/>
          <w:lang w:eastAsia="en-US"/>
        </w:rPr>
        <w:t>. فدل</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على أنه سبب</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له، وهو ح</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ك</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م</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م</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عل</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ق</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على وص</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ف</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م</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شتق</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م</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ناس</w:t>
      </w:r>
      <w:r w:rsidR="009840EE">
        <w:rPr>
          <w:rFonts w:ascii="Traditional Arabic" w:hAnsi="Traditional Arabic" w:hint="cs"/>
          <w:noProof w:val="0"/>
          <w:color w:val="auto"/>
          <w:rtl/>
          <w:lang w:eastAsia="en-US"/>
        </w:rPr>
        <w:t>ِ</w:t>
      </w:r>
      <w:r w:rsidR="009840EE">
        <w:rPr>
          <w:rFonts w:ascii="Traditional Arabic" w:hAnsi="Traditional Arabic"/>
          <w:noProof w:val="0"/>
          <w:color w:val="auto"/>
          <w:rtl/>
          <w:lang w:eastAsia="en-US"/>
        </w:rPr>
        <w:t>ب</w:t>
      </w:r>
      <w:r w:rsidR="009840EE">
        <w:rPr>
          <w:rFonts w:ascii="Traditional Arabic" w:hAnsi="Traditional Arabic" w:hint="cs"/>
          <w:noProof w:val="0"/>
          <w:color w:val="auto"/>
          <w:rtl/>
          <w:lang w:eastAsia="en-US"/>
        </w:rPr>
        <w:t xml:space="preserve">، </w:t>
      </w:r>
      <w:r w:rsidR="009840EE" w:rsidRPr="007907B7">
        <w:rPr>
          <w:rFonts w:ascii="Traditional Arabic" w:hAnsi="Traditional Arabic"/>
          <w:noProof w:val="0"/>
          <w:color w:val="auto"/>
          <w:rtl/>
          <w:lang w:eastAsia="en-US"/>
        </w:rPr>
        <w:t>فدل</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على أن ذلك الوصف سبب</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لذلك الحكم</w:t>
      </w:r>
      <w:r w:rsidR="00B76414">
        <w:rPr>
          <w:rFonts w:ascii="Traditional Arabic" w:hAnsi="Traditional Arabic"/>
          <w:noProof w:val="0"/>
          <w:color w:val="auto"/>
          <w:rtl/>
          <w:lang w:eastAsia="en-US"/>
        </w:rPr>
        <w:t>.</w:t>
      </w:r>
      <w:r w:rsidR="009840EE" w:rsidRPr="00393AF0">
        <w:rPr>
          <w:rFonts w:ascii="Traditional Arabic" w:hAnsi="Traditional Arabic"/>
          <w:noProof w:val="0"/>
          <w:color w:val="auto"/>
          <w:rtl/>
          <w:lang w:eastAsia="en-US"/>
        </w:rPr>
        <w:t>وإذا كان ط</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يب</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 xml:space="preserve"> الن</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ف</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س هو المبيح لأكل الصداق، فكذلك سائر التبر</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عات</w:t>
      </w:r>
      <w:r w:rsidR="009840EE" w:rsidRPr="007907B7">
        <w:rPr>
          <w:rFonts w:ascii="Traditional Arabic" w:hAnsi="Traditional Arabic"/>
          <w:noProof w:val="0"/>
          <w:color w:val="auto"/>
          <w:rtl/>
          <w:lang w:eastAsia="en-US"/>
        </w:rPr>
        <w:t>، قياسًا عليه بالعلة المنصوصة التي دل عليها القرآن</w:t>
      </w:r>
      <w:r w:rsidR="00B76414">
        <w:rPr>
          <w:rFonts w:ascii="Traditional Arabic" w:hAnsi="Traditional Arabic"/>
          <w:noProof w:val="0"/>
          <w:color w:val="auto"/>
          <w:rtl/>
          <w:lang w:eastAsia="en-US"/>
        </w:rPr>
        <w:t>.</w:t>
      </w:r>
    </w:p>
    <w:p w:rsidR="009840EE"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sidRPr="007907B7">
        <w:rPr>
          <w:rFonts w:ascii="Traditional Arabic" w:hAnsi="Traditional Arabic"/>
          <w:noProof w:val="0"/>
          <w:color w:val="auto"/>
          <w:rtl/>
          <w:lang w:eastAsia="en-US"/>
        </w:rPr>
        <w:t>و</w:t>
      </w:r>
      <w:r w:rsidR="009840EE">
        <w:rPr>
          <w:rFonts w:ascii="Traditional Arabic" w:hAnsi="Traditional Arabic"/>
          <w:noProof w:val="0"/>
          <w:color w:val="auto"/>
          <w:rtl/>
          <w:lang w:eastAsia="en-US"/>
        </w:rPr>
        <w:t>كذلك قوله :</w:t>
      </w:r>
      <w:r w:rsidR="00F10FEB">
        <w:rPr>
          <w:rFonts w:ascii="QCF_BSML" w:hAnsi="QCF_BSML" w:cs="QCF_BSML" w:hint="cs"/>
          <w:noProof w:val="0"/>
          <w:rtl/>
          <w:lang w:eastAsia="en-US"/>
        </w:rPr>
        <w:t xml:space="preserve">  </w:t>
      </w:r>
      <w:r w:rsidR="009840EE" w:rsidRPr="00424CE5">
        <w:rPr>
          <w:rFonts w:ascii="QCF_BSML" w:hAnsi="QCF_BSML" w:cs="QCF_BSML"/>
          <w:noProof w:val="0"/>
          <w:rtl/>
          <w:lang w:eastAsia="en-US"/>
        </w:rPr>
        <w:t xml:space="preserve">ﭽ </w:t>
      </w:r>
      <w:r w:rsidR="009840EE" w:rsidRPr="00424CE5">
        <w:rPr>
          <w:rFonts w:ascii="QCF_P083" w:hAnsi="QCF_P083" w:cs="QCF_P083"/>
          <w:noProof w:val="0"/>
          <w:rtl/>
          <w:lang w:eastAsia="en-US"/>
        </w:rPr>
        <w:t>ﭱﭲ</w:t>
      </w:r>
      <w:r w:rsidR="00F10FEB">
        <w:rPr>
          <w:rFonts w:ascii="QCF_P083" w:hAnsi="QCF_P083" w:cs="QCF_P083" w:hint="cs"/>
          <w:noProof w:val="0"/>
          <w:rtl/>
          <w:lang w:eastAsia="en-US"/>
        </w:rPr>
        <w:t xml:space="preserve">      </w:t>
      </w:r>
      <w:r w:rsidR="009840EE" w:rsidRPr="00424CE5">
        <w:rPr>
          <w:rFonts w:ascii="QCF_P083" w:hAnsi="QCF_P083" w:cs="QCF_P083"/>
          <w:noProof w:val="0"/>
          <w:rtl/>
          <w:lang w:eastAsia="en-US"/>
        </w:rPr>
        <w:t>ﭳ</w:t>
      </w:r>
      <w:r w:rsidR="00F10FEB">
        <w:rPr>
          <w:rFonts w:ascii="QCF_P083" w:hAnsi="QCF_P083" w:cs="QCF_P083" w:hint="cs"/>
          <w:noProof w:val="0"/>
          <w:rtl/>
          <w:lang w:eastAsia="en-US"/>
        </w:rPr>
        <w:t xml:space="preserve"> </w:t>
      </w:r>
      <w:r w:rsidR="009840EE" w:rsidRPr="00424CE5">
        <w:rPr>
          <w:rFonts w:ascii="QCF_P083" w:hAnsi="QCF_P083" w:cs="QCF_P083"/>
          <w:noProof w:val="0"/>
          <w:rtl/>
          <w:lang w:eastAsia="en-US"/>
        </w:rPr>
        <w:t>ﭴ</w:t>
      </w:r>
      <w:r w:rsidR="00F10FEB">
        <w:rPr>
          <w:rFonts w:ascii="QCF_P083" w:hAnsi="QCF_P083" w:cs="QCF_P083" w:hint="cs"/>
          <w:noProof w:val="0"/>
          <w:rtl/>
          <w:lang w:eastAsia="en-US"/>
        </w:rPr>
        <w:t xml:space="preserve"> </w:t>
      </w:r>
      <w:r w:rsidR="009840EE" w:rsidRPr="00424CE5">
        <w:rPr>
          <w:rFonts w:ascii="QCF_P083" w:hAnsi="QCF_P083" w:cs="QCF_P083"/>
          <w:noProof w:val="0"/>
          <w:rtl/>
          <w:lang w:eastAsia="en-US"/>
        </w:rPr>
        <w:t>ﭵ</w:t>
      </w:r>
      <w:r w:rsidR="00F10FEB">
        <w:rPr>
          <w:rFonts w:ascii="QCF_P083" w:hAnsi="QCF_P083" w:cs="QCF_P083" w:hint="cs"/>
          <w:noProof w:val="0"/>
          <w:rtl/>
          <w:lang w:eastAsia="en-US"/>
        </w:rPr>
        <w:t xml:space="preserve">   </w:t>
      </w:r>
      <w:r w:rsidR="009840EE" w:rsidRPr="00424CE5">
        <w:rPr>
          <w:rFonts w:ascii="QCF_P083" w:hAnsi="QCF_P083" w:cs="QCF_P083"/>
          <w:noProof w:val="0"/>
          <w:rtl/>
          <w:lang w:eastAsia="en-US"/>
        </w:rPr>
        <w:t>ﭶ</w:t>
      </w:r>
      <w:r w:rsidR="00F10FEB">
        <w:rPr>
          <w:rFonts w:ascii="QCF_P083" w:hAnsi="QCF_P083" w:cs="QCF_P083" w:hint="cs"/>
          <w:noProof w:val="0"/>
          <w:rtl/>
          <w:lang w:eastAsia="en-US"/>
        </w:rPr>
        <w:t xml:space="preserve"> </w:t>
      </w:r>
      <w:r w:rsidR="009840EE" w:rsidRPr="00424CE5">
        <w:rPr>
          <w:rFonts w:ascii="QCF_P083" w:hAnsi="QCF_P083" w:cs="QCF_P083"/>
          <w:noProof w:val="0"/>
          <w:rtl/>
          <w:lang w:eastAsia="en-US"/>
        </w:rPr>
        <w:t>ﭷ</w:t>
      </w:r>
      <w:r w:rsidR="009840EE" w:rsidRPr="00424CE5">
        <w:rPr>
          <w:rFonts w:ascii="QCF_BSML" w:hAnsi="QCF_BSML" w:cs="QCF_BSML"/>
          <w:noProof w:val="0"/>
          <w:rtl/>
          <w:lang w:eastAsia="en-US"/>
        </w:rPr>
        <w:t>ﭼ</w:t>
      </w:r>
      <w:r w:rsidR="009840EE">
        <w:rPr>
          <w:rFonts w:ascii="Traditional Arabic" w:hAnsi="Traditional Arabic"/>
          <w:noProof w:val="0"/>
          <w:color w:val="auto"/>
          <w:rtl/>
          <w:lang w:eastAsia="en-US"/>
        </w:rPr>
        <w:t>[ النساء : 29 ]</w:t>
      </w:r>
      <w:r w:rsidR="009840EE" w:rsidRPr="007907B7">
        <w:rPr>
          <w:rFonts w:ascii="Traditional Arabic" w:hAnsi="Traditional Arabic"/>
          <w:noProof w:val="0"/>
          <w:color w:val="auto"/>
          <w:rtl/>
          <w:lang w:eastAsia="en-US"/>
        </w:rPr>
        <w:t>، لم يشترط في التجارة إلا التراضي، وذلك يقت</w:t>
      </w:r>
      <w:r w:rsidR="009840EE">
        <w:rPr>
          <w:rFonts w:ascii="Traditional Arabic" w:hAnsi="Traditional Arabic"/>
          <w:noProof w:val="0"/>
          <w:color w:val="auto"/>
          <w:rtl/>
          <w:lang w:eastAsia="en-US"/>
        </w:rPr>
        <w:t xml:space="preserve">ضي أن التراضي هو المبيح للتجارة. </w:t>
      </w:r>
      <w:r w:rsidR="009840EE" w:rsidRPr="00393AF0">
        <w:rPr>
          <w:rFonts w:ascii="Traditional Arabic" w:hAnsi="Traditional Arabic"/>
          <w:noProof w:val="0"/>
          <w:color w:val="auto"/>
          <w:rtl/>
          <w:lang w:eastAsia="en-US"/>
        </w:rPr>
        <w:t>وإذا كان كذلك فإذا تراض</w:t>
      </w:r>
      <w:r w:rsidR="009840EE" w:rsidRPr="00393AF0">
        <w:rPr>
          <w:rFonts w:ascii="Traditional Arabic" w:hAnsi="Traditional Arabic" w:hint="cs"/>
          <w:noProof w:val="0"/>
          <w:color w:val="auto"/>
          <w:rtl/>
          <w:lang w:eastAsia="en-US"/>
        </w:rPr>
        <w:t>ى</w:t>
      </w:r>
      <w:r w:rsidR="009840EE" w:rsidRPr="00393AF0">
        <w:rPr>
          <w:rFonts w:ascii="Traditional Arabic" w:hAnsi="Traditional Arabic"/>
          <w:noProof w:val="0"/>
          <w:color w:val="auto"/>
          <w:rtl/>
          <w:lang w:eastAsia="en-US"/>
        </w:rPr>
        <w:t xml:space="preserve"> المتعاقدان بتجارة</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 أو طاب</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ت</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 xml:space="preserve"> نفس المتبر</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ع بتبر</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ع</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 ث</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ب</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ت</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 xml:space="preserve"> ح</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ل</w:t>
      </w:r>
      <w:r w:rsidR="009840EE" w:rsidRPr="00393AF0">
        <w:rPr>
          <w:rFonts w:ascii="Traditional Arabic" w:hAnsi="Traditional Arabic" w:hint="cs"/>
          <w:noProof w:val="0"/>
          <w:color w:val="auto"/>
          <w:rtl/>
          <w:lang w:eastAsia="en-US"/>
        </w:rPr>
        <w:t>ُّ</w:t>
      </w:r>
      <w:r w:rsidR="009840EE" w:rsidRPr="00393AF0">
        <w:rPr>
          <w:rFonts w:ascii="Traditional Arabic" w:hAnsi="Traditional Arabic"/>
          <w:noProof w:val="0"/>
          <w:color w:val="auto"/>
          <w:rtl/>
          <w:lang w:eastAsia="en-US"/>
        </w:rPr>
        <w:t>ه بدلالة القرآن</w:t>
      </w:r>
      <w:r w:rsidR="009840EE" w:rsidRPr="007907B7">
        <w:rPr>
          <w:rFonts w:ascii="Traditional Arabic" w:hAnsi="Traditional Arabic"/>
          <w:noProof w:val="0"/>
          <w:color w:val="auto"/>
          <w:rtl/>
          <w:lang w:eastAsia="en-US"/>
        </w:rPr>
        <w:t>؛ إلا أن يتضم</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ن ما حر</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مه الله</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 xml:space="preserve"> ورسول</w:t>
      </w:r>
      <w:r w:rsidR="009840EE">
        <w:rPr>
          <w:rFonts w:ascii="Traditional Arabic" w:hAnsi="Traditional Arabic" w:hint="cs"/>
          <w:noProof w:val="0"/>
          <w:color w:val="auto"/>
          <w:rtl/>
          <w:lang w:eastAsia="en-US"/>
        </w:rPr>
        <w:t>ُ</w:t>
      </w:r>
      <w:r w:rsidR="009840EE" w:rsidRPr="007907B7">
        <w:rPr>
          <w:rFonts w:ascii="Traditional Arabic" w:hAnsi="Traditional Arabic"/>
          <w:noProof w:val="0"/>
          <w:color w:val="auto"/>
          <w:rtl/>
          <w:lang w:eastAsia="en-US"/>
        </w:rPr>
        <w:t>ه؛ كالتجارة في الخمر، ونحو ذلك</w:t>
      </w:r>
      <w:r w:rsidR="00B76414">
        <w:rPr>
          <w:rFonts w:ascii="Traditional Arabic" w:hAnsi="Traditional Arabic"/>
          <w:noProof w:val="0"/>
          <w:color w:val="auto"/>
          <w:rtl/>
          <w:lang w:eastAsia="en-US"/>
        </w:rPr>
        <w:t>)</w:t>
      </w:r>
      <w:r w:rsidR="009840EE" w:rsidRPr="00C821A1">
        <w:rPr>
          <w:rStyle w:val="af1"/>
          <w:szCs w:val="32"/>
          <w:rtl/>
        </w:rPr>
        <w:t>(</w:t>
      </w:r>
      <w:r w:rsidR="009840EE" w:rsidRPr="00C821A1">
        <w:rPr>
          <w:rStyle w:val="af1"/>
          <w:szCs w:val="32"/>
          <w:rtl/>
        </w:rPr>
        <w:footnoteReference w:id="1530"/>
      </w:r>
      <w:r w:rsidR="009840EE" w:rsidRPr="00C821A1">
        <w:rPr>
          <w:rStyle w:val="af1"/>
          <w:szCs w:val="32"/>
          <w:rtl/>
        </w:rPr>
        <w:t>)</w:t>
      </w:r>
      <w:r w:rsidR="009840EE" w:rsidRPr="007907B7">
        <w:rPr>
          <w:rFonts w:ascii="Traditional Arabic" w:hAnsi="Traditional Arabic"/>
          <w:noProof w:val="0"/>
          <w:color w:val="auto"/>
          <w:rtl/>
          <w:lang w:eastAsia="en-US"/>
        </w:rPr>
        <w:t>.</w:t>
      </w:r>
    </w:p>
    <w:p w:rsidR="009840EE" w:rsidRPr="009840EE" w:rsidRDefault="008A75EE" w:rsidP="00A8347C">
      <w:pPr>
        <w:pStyle w:val="aff3"/>
        <w:rPr>
          <w:rtl/>
        </w:rPr>
      </w:pPr>
      <w:bookmarkStart w:id="307" w:name="_Toc334046521"/>
      <w:r>
        <w:rPr>
          <w:rFonts w:hint="cs"/>
          <w:rtl/>
        </w:rPr>
        <w:t xml:space="preserve">                                      </w:t>
      </w:r>
      <w:r w:rsidR="009840EE" w:rsidRPr="009840EE">
        <w:rPr>
          <w:rFonts w:hint="cs"/>
          <w:rtl/>
        </w:rPr>
        <w:t>الم</w:t>
      </w:r>
      <w:r>
        <w:rPr>
          <w:rFonts w:hint="cs"/>
          <w:rtl/>
        </w:rPr>
        <w:t>طلب</w:t>
      </w:r>
      <w:r w:rsidR="00393AF0">
        <w:rPr>
          <w:rFonts w:hint="cs"/>
          <w:rtl/>
        </w:rPr>
        <w:t xml:space="preserve"> </w:t>
      </w:r>
      <w:r w:rsidR="009840EE" w:rsidRPr="009840EE">
        <w:rPr>
          <w:rFonts w:hint="cs"/>
          <w:rtl/>
        </w:rPr>
        <w:t>الرابع</w:t>
      </w:r>
      <w:r w:rsidR="009840EE">
        <w:rPr>
          <w:rFonts w:hint="eastAsia"/>
          <w:rtl/>
        </w:rPr>
        <w:t> :</w:t>
      </w:r>
      <w:r w:rsidR="009840EE">
        <w:rPr>
          <w:rFonts w:hint="cs"/>
          <w:rtl/>
        </w:rPr>
        <w:br/>
      </w:r>
      <w:r>
        <w:rPr>
          <w:rFonts w:hint="cs"/>
          <w:rtl/>
        </w:rPr>
        <w:t xml:space="preserve">                                     </w:t>
      </w:r>
      <w:r w:rsidR="009840EE" w:rsidRPr="009840EE">
        <w:rPr>
          <w:rFonts w:hint="cs"/>
          <w:rtl/>
        </w:rPr>
        <w:t>تطبيقات القاعدة</w:t>
      </w:r>
      <w:bookmarkEnd w:id="307"/>
    </w:p>
    <w:p w:rsidR="00F228A9" w:rsidRPr="0073034E" w:rsidRDefault="009840EE" w:rsidP="00684200">
      <w:pPr>
        <w:pStyle w:val="afc"/>
        <w:numPr>
          <w:ilvl w:val="0"/>
          <w:numId w:val="209"/>
        </w:numPr>
        <w:rPr>
          <w:b/>
          <w:bCs/>
          <w:color w:val="auto"/>
        </w:rPr>
      </w:pPr>
      <w:r w:rsidRPr="0073034E">
        <w:rPr>
          <w:rFonts w:ascii="Traditional Arabic" w:hAnsi="Traditional Arabic" w:hint="cs"/>
          <w:noProof w:val="0"/>
          <w:rtl/>
          <w:lang w:eastAsia="en-US"/>
        </w:rPr>
        <w:t>لابدَّ من</w:t>
      </w:r>
      <w:r w:rsidR="00C87D15">
        <w:rPr>
          <w:rFonts w:ascii="Traditional Arabic" w:hAnsi="Traditional Arabic" w:hint="cs"/>
          <w:noProof w:val="0"/>
          <w:rtl/>
          <w:lang w:eastAsia="en-US"/>
        </w:rPr>
        <w:t xml:space="preserve"> </w:t>
      </w:r>
      <w:r w:rsidRPr="0073034E">
        <w:rPr>
          <w:rFonts w:ascii="Traditional Arabic" w:hAnsi="Traditional Arabic"/>
          <w:noProof w:val="0"/>
          <w:rtl/>
          <w:lang w:eastAsia="en-US"/>
        </w:rPr>
        <w:t>رضا الضامن</w:t>
      </w:r>
      <w:r w:rsidRPr="0073034E">
        <w:rPr>
          <w:rFonts w:ascii="Traditional Arabic" w:hAnsi="Traditional Arabic" w:hint="cs"/>
          <w:noProof w:val="0"/>
          <w:rtl/>
          <w:lang w:eastAsia="en-US"/>
        </w:rPr>
        <w:t xml:space="preserve"> في الضمان،</w:t>
      </w:r>
      <w:r w:rsidR="00393AF0">
        <w:rPr>
          <w:rFonts w:ascii="Traditional Arabic" w:hAnsi="Traditional Arabic" w:hint="cs"/>
          <w:noProof w:val="0"/>
          <w:rtl/>
          <w:lang w:eastAsia="en-US"/>
        </w:rPr>
        <w:t xml:space="preserve"> </w:t>
      </w:r>
      <w:r w:rsidRPr="0073034E">
        <w:rPr>
          <w:rFonts w:ascii="Traditional Arabic" w:hAnsi="Traditional Arabic" w:hint="cs"/>
          <w:noProof w:val="0"/>
          <w:rtl/>
          <w:lang w:eastAsia="en-US"/>
        </w:rPr>
        <w:t>ف</w:t>
      </w:r>
      <w:r w:rsidRPr="0073034E">
        <w:rPr>
          <w:rFonts w:ascii="Traditional Arabic" w:hAnsi="Traditional Arabic"/>
          <w:noProof w:val="0"/>
          <w:rtl/>
          <w:lang w:eastAsia="en-US"/>
        </w:rPr>
        <w:t xml:space="preserve">لا </w:t>
      </w:r>
      <w:r w:rsidRPr="0073034E">
        <w:rPr>
          <w:rFonts w:ascii="Traditional Arabic" w:hAnsi="Traditional Arabic" w:hint="cs"/>
          <w:noProof w:val="0"/>
          <w:rtl/>
          <w:lang w:eastAsia="en-US"/>
        </w:rPr>
        <w:t>يُ</w:t>
      </w:r>
      <w:r w:rsidRPr="0073034E">
        <w:rPr>
          <w:rFonts w:ascii="Traditional Arabic" w:hAnsi="Traditional Arabic"/>
          <w:noProof w:val="0"/>
          <w:rtl/>
          <w:lang w:eastAsia="en-US"/>
        </w:rPr>
        <w:t>كر</w:t>
      </w:r>
      <w:r w:rsidRPr="0073034E">
        <w:rPr>
          <w:rFonts w:ascii="Traditional Arabic" w:hAnsi="Traditional Arabic" w:hint="cs"/>
          <w:noProof w:val="0"/>
          <w:rtl/>
          <w:lang w:eastAsia="en-US"/>
        </w:rPr>
        <w:t>َ</w:t>
      </w:r>
      <w:r w:rsidRPr="0073034E">
        <w:rPr>
          <w:rFonts w:ascii="Traditional Arabic" w:hAnsi="Traditional Arabic"/>
          <w:noProof w:val="0"/>
          <w:rtl/>
          <w:lang w:eastAsia="en-US"/>
        </w:rPr>
        <w:t>ه أحد</w:t>
      </w:r>
      <w:r w:rsidRPr="0073034E">
        <w:rPr>
          <w:rFonts w:ascii="Traditional Arabic" w:hAnsi="Traditional Arabic" w:hint="cs"/>
          <w:noProof w:val="0"/>
          <w:rtl/>
          <w:lang w:eastAsia="en-US"/>
        </w:rPr>
        <w:t>ٌ</w:t>
      </w:r>
      <w:r w:rsidRPr="0073034E">
        <w:rPr>
          <w:rFonts w:ascii="Traditional Arabic" w:hAnsi="Traditional Arabic"/>
          <w:noProof w:val="0"/>
          <w:rtl/>
          <w:lang w:eastAsia="en-US"/>
        </w:rPr>
        <w:t xml:space="preserve"> على أن يضم</w:t>
      </w:r>
      <w:r w:rsidRPr="0073034E">
        <w:rPr>
          <w:rFonts w:ascii="Traditional Arabic" w:hAnsi="Traditional Arabic" w:hint="cs"/>
          <w:noProof w:val="0"/>
          <w:rtl/>
          <w:lang w:eastAsia="en-US"/>
        </w:rPr>
        <w:t>َ</w:t>
      </w:r>
      <w:r w:rsidRPr="0073034E">
        <w:rPr>
          <w:rFonts w:ascii="Traditional Arabic" w:hAnsi="Traditional Arabic"/>
          <w:noProof w:val="0"/>
          <w:rtl/>
          <w:lang w:eastAsia="en-US"/>
        </w:rPr>
        <w:t>ن</w:t>
      </w:r>
      <w:r w:rsidRPr="0073034E">
        <w:rPr>
          <w:rFonts w:ascii="Traditional Arabic" w:hAnsi="Traditional Arabic" w:hint="cs"/>
          <w:noProof w:val="0"/>
          <w:rtl/>
          <w:lang w:eastAsia="en-US"/>
        </w:rPr>
        <w:t xml:space="preserve"> بغير رِضاه؛</w:t>
      </w:r>
      <w:r w:rsidR="00393AF0">
        <w:rPr>
          <w:rFonts w:ascii="Traditional Arabic" w:hAnsi="Traditional Arabic" w:hint="cs"/>
          <w:noProof w:val="0"/>
          <w:rtl/>
          <w:lang w:eastAsia="en-US"/>
        </w:rPr>
        <w:t xml:space="preserve"> </w:t>
      </w:r>
      <w:r w:rsidRPr="0073034E">
        <w:rPr>
          <w:rFonts w:ascii="Traditional Arabic" w:hAnsi="Traditional Arabic" w:hint="cs"/>
          <w:noProof w:val="0"/>
          <w:rtl/>
          <w:lang w:eastAsia="en-US"/>
        </w:rPr>
        <w:t xml:space="preserve">لأن </w:t>
      </w:r>
      <w:r w:rsidRPr="0073034E">
        <w:rPr>
          <w:rFonts w:ascii="Traditional Arabic" w:hAnsi="Traditional Arabic" w:hint="cs"/>
          <w:noProof w:val="0"/>
          <w:rtl/>
          <w:lang w:eastAsia="en-US"/>
        </w:rPr>
        <w:lastRenderedPageBreak/>
        <w:t xml:space="preserve">الضامن مُتبرِّعٌ بالحق، ولهذا </w:t>
      </w:r>
      <w:r w:rsidRPr="0073034E">
        <w:rPr>
          <w:rFonts w:ascii="Traditional Arabic" w:hAnsi="Traditional Arabic"/>
          <w:noProof w:val="0"/>
          <w:rtl/>
          <w:lang w:eastAsia="en-US"/>
        </w:rPr>
        <w:t>إ</w:t>
      </w:r>
      <w:r w:rsidRPr="0073034E">
        <w:rPr>
          <w:rFonts w:ascii="Traditional Arabic" w:hAnsi="Traditional Arabic" w:hint="cs"/>
          <w:noProof w:val="0"/>
          <w:rtl/>
          <w:lang w:eastAsia="en-US"/>
        </w:rPr>
        <w:t>ذا</w:t>
      </w:r>
      <w:r w:rsidRPr="0073034E">
        <w:rPr>
          <w:rFonts w:ascii="Traditional Arabic" w:hAnsi="Traditional Arabic"/>
          <w:noProof w:val="0"/>
          <w:rtl/>
          <w:lang w:eastAsia="en-US"/>
        </w:rPr>
        <w:t xml:space="preserve"> لم ي</w:t>
      </w:r>
      <w:r w:rsidRPr="0073034E">
        <w:rPr>
          <w:rFonts w:ascii="Traditional Arabic" w:hAnsi="Traditional Arabic" w:hint="cs"/>
          <w:noProof w:val="0"/>
          <w:rtl/>
          <w:lang w:eastAsia="en-US"/>
        </w:rPr>
        <w:t>َ</w:t>
      </w:r>
      <w:r w:rsidRPr="0073034E">
        <w:rPr>
          <w:rFonts w:ascii="Traditional Arabic" w:hAnsi="Traditional Arabic"/>
          <w:noProof w:val="0"/>
          <w:rtl/>
          <w:lang w:eastAsia="en-US"/>
        </w:rPr>
        <w:t>ر</w:t>
      </w:r>
      <w:r w:rsidRPr="0073034E">
        <w:rPr>
          <w:rFonts w:ascii="Traditional Arabic" w:hAnsi="Traditional Arabic" w:hint="cs"/>
          <w:noProof w:val="0"/>
          <w:rtl/>
          <w:lang w:eastAsia="en-US"/>
        </w:rPr>
        <w:t>ْ</w:t>
      </w:r>
      <w:r w:rsidRPr="0073034E">
        <w:rPr>
          <w:rFonts w:ascii="Traditional Arabic" w:hAnsi="Traditional Arabic"/>
          <w:noProof w:val="0"/>
          <w:rtl/>
          <w:lang w:eastAsia="en-US"/>
        </w:rPr>
        <w:t>ض</w:t>
      </w:r>
      <w:r w:rsidRPr="0073034E">
        <w:rPr>
          <w:rFonts w:ascii="Traditional Arabic" w:hAnsi="Traditional Arabic" w:hint="cs"/>
          <w:noProof w:val="0"/>
          <w:rtl/>
          <w:lang w:eastAsia="en-US"/>
        </w:rPr>
        <w:t>َ</w:t>
      </w:r>
      <w:r w:rsidRPr="0073034E">
        <w:rPr>
          <w:rFonts w:ascii="Traditional Arabic" w:hAnsi="Traditional Arabic"/>
          <w:noProof w:val="0"/>
          <w:rtl/>
          <w:lang w:eastAsia="en-US"/>
        </w:rPr>
        <w:t xml:space="preserve"> فإنه لا ي</w:t>
      </w:r>
      <w:r w:rsidRPr="0073034E">
        <w:rPr>
          <w:rFonts w:ascii="Traditional Arabic" w:hAnsi="Traditional Arabic" w:hint="cs"/>
          <w:noProof w:val="0"/>
          <w:rtl/>
          <w:lang w:eastAsia="en-US"/>
        </w:rPr>
        <w:t>ُ</w:t>
      </w:r>
      <w:r w:rsidRPr="0073034E">
        <w:rPr>
          <w:rFonts w:ascii="Traditional Arabic" w:hAnsi="Traditional Arabic"/>
          <w:noProof w:val="0"/>
          <w:rtl/>
          <w:lang w:eastAsia="en-US"/>
        </w:rPr>
        <w:t>ل</w:t>
      </w:r>
      <w:r w:rsidRPr="0073034E">
        <w:rPr>
          <w:rFonts w:ascii="Traditional Arabic" w:hAnsi="Traditional Arabic" w:hint="cs"/>
          <w:noProof w:val="0"/>
          <w:rtl/>
          <w:lang w:eastAsia="en-US"/>
        </w:rPr>
        <w:t>ْزَ</w:t>
      </w:r>
      <w:r w:rsidRPr="0073034E">
        <w:rPr>
          <w:rFonts w:ascii="Traditional Arabic" w:hAnsi="Traditional Arabic"/>
          <w:noProof w:val="0"/>
          <w:rtl/>
          <w:lang w:eastAsia="en-US"/>
        </w:rPr>
        <w:t>م بالحق</w:t>
      </w:r>
      <w:r w:rsidRPr="00C821A1">
        <w:rPr>
          <w:rStyle w:val="af1"/>
          <w:szCs w:val="32"/>
          <w:rtl/>
        </w:rPr>
        <w:t>(</w:t>
      </w:r>
      <w:r w:rsidRPr="00C821A1">
        <w:rPr>
          <w:rStyle w:val="af1"/>
          <w:szCs w:val="32"/>
          <w:rtl/>
        </w:rPr>
        <w:footnoteReference w:id="1531"/>
      </w:r>
      <w:r w:rsidRPr="00C821A1">
        <w:rPr>
          <w:rStyle w:val="af1"/>
          <w:szCs w:val="32"/>
          <w:rtl/>
        </w:rPr>
        <w:t>)</w:t>
      </w:r>
      <w:r w:rsidRPr="0073034E">
        <w:rPr>
          <w:rFonts w:ascii="Traditional Arabic" w:hAnsi="Traditional Arabic" w:hint="cs"/>
          <w:noProof w:val="0"/>
          <w:rtl/>
          <w:lang w:eastAsia="en-US"/>
        </w:rPr>
        <w:t>.</w:t>
      </w:r>
    </w:p>
    <w:p w:rsidR="009840EE" w:rsidRPr="0073034E" w:rsidRDefault="009840EE" w:rsidP="00597C20">
      <w:pPr>
        <w:pStyle w:val="53"/>
        <w:rPr>
          <w:rtl/>
        </w:rPr>
      </w:pPr>
      <w:r w:rsidRPr="0073034E">
        <w:rPr>
          <w:rFonts w:hint="cs"/>
          <w:rtl/>
        </w:rPr>
        <w:t>وجه اندراج الفرع تحت القاعدة:</w:t>
      </w:r>
    </w:p>
    <w:p w:rsidR="009840EE" w:rsidRPr="00312986" w:rsidRDefault="009840EE" w:rsidP="00597C20">
      <w:pPr>
        <w:ind w:firstLine="720"/>
        <w:rPr>
          <w:color w:val="auto"/>
          <w:rtl/>
        </w:rPr>
      </w:pPr>
      <w:r w:rsidRPr="00312986">
        <w:rPr>
          <w:rFonts w:hint="cs"/>
          <w:color w:val="auto"/>
          <w:rtl/>
        </w:rPr>
        <w:t>عقد الضمان</w:t>
      </w:r>
      <w:r w:rsidR="00393AF0">
        <w:rPr>
          <w:rFonts w:hint="cs"/>
          <w:color w:val="auto"/>
          <w:rtl/>
        </w:rPr>
        <w:t xml:space="preserve"> </w:t>
      </w:r>
      <w:r w:rsidRPr="00312986">
        <w:rPr>
          <w:rFonts w:hint="cs"/>
          <w:color w:val="auto"/>
          <w:rtl/>
        </w:rPr>
        <w:t>من عقود التوثيقات</w:t>
      </w:r>
      <w:r w:rsidRPr="00C821A1">
        <w:rPr>
          <w:rStyle w:val="af1"/>
          <w:szCs w:val="32"/>
          <w:rtl/>
        </w:rPr>
        <w:t>(</w:t>
      </w:r>
      <w:r w:rsidRPr="00C821A1">
        <w:rPr>
          <w:rStyle w:val="af1"/>
          <w:szCs w:val="32"/>
          <w:rtl/>
        </w:rPr>
        <w:footnoteReference w:id="1532"/>
      </w:r>
      <w:r w:rsidRPr="00C821A1">
        <w:rPr>
          <w:rStyle w:val="af1"/>
          <w:szCs w:val="32"/>
          <w:rtl/>
        </w:rPr>
        <w:t>)</w:t>
      </w:r>
      <w:r w:rsidRPr="00312986">
        <w:rPr>
          <w:rFonts w:hint="cs"/>
          <w:color w:val="auto"/>
          <w:rtl/>
        </w:rPr>
        <w:t>، وجميع العقود لابد فيها من الرِّضا؛ لهذا اشتُرط رضا الضامن.</w:t>
      </w:r>
    </w:p>
    <w:p w:rsidR="009840EE" w:rsidRPr="0073034E" w:rsidRDefault="009840EE" w:rsidP="000A76C7">
      <w:pPr>
        <w:pStyle w:val="afc"/>
        <w:numPr>
          <w:ilvl w:val="0"/>
          <w:numId w:val="209"/>
        </w:numPr>
        <w:rPr>
          <w:color w:val="auto"/>
        </w:rPr>
      </w:pPr>
      <w:r w:rsidRPr="0073034E">
        <w:rPr>
          <w:rFonts w:hint="cs"/>
          <w:color w:val="auto"/>
          <w:rtl/>
        </w:rPr>
        <w:t>يُعتبَر لِصحة الحَوالة</w:t>
      </w:r>
      <w:r w:rsidRPr="00C821A1">
        <w:rPr>
          <w:rStyle w:val="af1"/>
          <w:szCs w:val="32"/>
          <w:rtl/>
        </w:rPr>
        <w:t>(</w:t>
      </w:r>
      <w:r w:rsidRPr="00C821A1">
        <w:rPr>
          <w:rStyle w:val="af1"/>
          <w:szCs w:val="32"/>
          <w:rtl/>
        </w:rPr>
        <w:footnoteReference w:id="1533"/>
      </w:r>
      <w:r w:rsidRPr="00C821A1">
        <w:rPr>
          <w:rStyle w:val="af1"/>
          <w:szCs w:val="32"/>
          <w:rtl/>
        </w:rPr>
        <w:t>)</w:t>
      </w:r>
      <w:r w:rsidRPr="0073034E">
        <w:rPr>
          <w:rFonts w:hint="cs"/>
          <w:color w:val="auto"/>
          <w:rtl/>
        </w:rPr>
        <w:t xml:space="preserve"> رِضا الْمُحال؛ لأن الحق ثَبَت في ذِمَّة الْمُحِيل، فلا يُنْقَل إلا برِضا صاحِب الحق، وهو المحال</w:t>
      </w:r>
      <w:r w:rsidRPr="00C821A1">
        <w:rPr>
          <w:rStyle w:val="af1"/>
          <w:szCs w:val="32"/>
          <w:rtl/>
        </w:rPr>
        <w:t>(</w:t>
      </w:r>
      <w:r w:rsidRPr="00C821A1">
        <w:rPr>
          <w:rStyle w:val="af1"/>
          <w:szCs w:val="32"/>
          <w:rtl/>
        </w:rPr>
        <w:footnoteReference w:id="1534"/>
      </w:r>
      <w:r w:rsidRPr="00C821A1">
        <w:rPr>
          <w:rStyle w:val="af1"/>
          <w:szCs w:val="32"/>
          <w:rtl/>
        </w:rPr>
        <w:t>)</w:t>
      </w:r>
      <w:r w:rsidRPr="0073034E">
        <w:rPr>
          <w:rFonts w:hint="cs"/>
          <w:color w:val="auto"/>
          <w:rtl/>
        </w:rPr>
        <w:t>.</w:t>
      </w:r>
    </w:p>
    <w:p w:rsidR="009840EE" w:rsidRDefault="009840EE" w:rsidP="00597C20">
      <w:pPr>
        <w:pStyle w:val="53"/>
        <w:rPr>
          <w:rtl/>
        </w:rPr>
      </w:pPr>
      <w:r>
        <w:rPr>
          <w:rFonts w:hint="cs"/>
          <w:rtl/>
        </w:rPr>
        <w:t>وجه اندراج الفرع تحت القاعدة:</w:t>
      </w:r>
    </w:p>
    <w:p w:rsidR="009840EE" w:rsidRPr="00312986" w:rsidRDefault="009840EE" w:rsidP="00597C20">
      <w:pPr>
        <w:ind w:firstLine="720"/>
        <w:rPr>
          <w:color w:val="auto"/>
          <w:rtl/>
        </w:rPr>
      </w:pPr>
      <w:r w:rsidRPr="00312986">
        <w:rPr>
          <w:rFonts w:hint="cs"/>
          <w:color w:val="auto"/>
          <w:rtl/>
        </w:rPr>
        <w:t>الحوالة من عقود الإرْفاق</w:t>
      </w:r>
      <w:r w:rsidRPr="00C821A1">
        <w:rPr>
          <w:rStyle w:val="af1"/>
          <w:szCs w:val="32"/>
          <w:rtl/>
        </w:rPr>
        <w:t>(</w:t>
      </w:r>
      <w:r w:rsidRPr="00C821A1">
        <w:rPr>
          <w:rStyle w:val="af1"/>
          <w:szCs w:val="32"/>
          <w:rtl/>
        </w:rPr>
        <w:footnoteReference w:id="1535"/>
      </w:r>
      <w:r w:rsidRPr="00C821A1">
        <w:rPr>
          <w:rStyle w:val="af1"/>
          <w:szCs w:val="32"/>
          <w:rtl/>
        </w:rPr>
        <w:t>)</w:t>
      </w:r>
      <w:r w:rsidRPr="00312986">
        <w:rPr>
          <w:rFonts w:hint="cs"/>
          <w:color w:val="auto"/>
          <w:rtl/>
        </w:rPr>
        <w:t>، وجميع العقود لابد فيها من الرضا؛ ولهذا اشتُرط رضا المحال.</w:t>
      </w:r>
    </w:p>
    <w:p w:rsidR="00065E4B" w:rsidRPr="009840EE" w:rsidRDefault="008A75EE" w:rsidP="00A8347C">
      <w:pPr>
        <w:pStyle w:val="aff3"/>
        <w:rPr>
          <w:rtl/>
        </w:rPr>
      </w:pPr>
      <w:bookmarkStart w:id="308" w:name="_Toc334046522"/>
      <w:r>
        <w:rPr>
          <w:rFonts w:hint="cs"/>
          <w:rtl/>
        </w:rPr>
        <w:lastRenderedPageBreak/>
        <w:t xml:space="preserve">                                       المطلب</w:t>
      </w:r>
      <w:r w:rsidR="00393AF0">
        <w:rPr>
          <w:rFonts w:hint="cs"/>
          <w:rtl/>
        </w:rPr>
        <w:t xml:space="preserve"> </w:t>
      </w:r>
      <w:r w:rsidR="009840EE" w:rsidRPr="009840EE">
        <w:rPr>
          <w:rFonts w:hint="cs"/>
          <w:rtl/>
        </w:rPr>
        <w:t>الخامس</w:t>
      </w:r>
      <w:r w:rsidR="009840EE">
        <w:rPr>
          <w:rFonts w:hint="eastAsia"/>
          <w:rtl/>
        </w:rPr>
        <w:t> :</w:t>
      </w:r>
      <w:r w:rsidR="009840EE">
        <w:rPr>
          <w:rFonts w:hint="cs"/>
          <w:rtl/>
        </w:rPr>
        <w:br/>
      </w:r>
      <w:r>
        <w:rPr>
          <w:rFonts w:hint="cs"/>
          <w:rtl/>
        </w:rPr>
        <w:t xml:space="preserve">                                       </w:t>
      </w:r>
      <w:r w:rsidR="009840EE" w:rsidRPr="009840EE">
        <w:rPr>
          <w:rFonts w:hint="cs"/>
          <w:rtl/>
        </w:rPr>
        <w:t>مستثنيات القاعدة</w:t>
      </w:r>
      <w:bookmarkEnd w:id="308"/>
    </w:p>
    <w:p w:rsidR="00065E4B" w:rsidRPr="00424CE5" w:rsidRDefault="00065E4B" w:rsidP="00597C20">
      <w:pPr>
        <w:widowControl/>
        <w:autoSpaceDE w:val="0"/>
        <w:autoSpaceDN w:val="0"/>
        <w:adjustRightInd w:val="0"/>
        <w:ind w:firstLine="720"/>
        <w:rPr>
          <w:rFonts w:ascii="Traditional Arabic" w:hAnsi="Traditional Arabic"/>
          <w:noProof w:val="0"/>
          <w:rtl/>
          <w:lang w:eastAsia="en-US"/>
        </w:rPr>
      </w:pPr>
      <w:r w:rsidRPr="00424CE5">
        <w:rPr>
          <w:rFonts w:ascii="Traditional Arabic" w:hAnsi="Traditional Arabic"/>
          <w:noProof w:val="0"/>
          <w:rtl/>
          <w:lang w:eastAsia="en-US"/>
        </w:rPr>
        <w:t>ي</w:t>
      </w:r>
      <w:r w:rsidR="009840EE">
        <w:rPr>
          <w:rFonts w:ascii="Traditional Arabic" w:hAnsi="Traditional Arabic" w:hint="cs"/>
          <w:noProof w:val="0"/>
          <w:rtl/>
          <w:lang w:eastAsia="en-US"/>
        </w:rPr>
        <w:t>ُ</w:t>
      </w:r>
      <w:r w:rsidR="009840EE">
        <w:rPr>
          <w:rFonts w:ascii="Traditional Arabic" w:hAnsi="Traditional Arabic"/>
          <w:noProof w:val="0"/>
          <w:rtl/>
          <w:lang w:eastAsia="en-US"/>
        </w:rPr>
        <w:t>ستثنى من هذ</w:t>
      </w:r>
      <w:r w:rsidR="009840EE">
        <w:rPr>
          <w:rFonts w:ascii="Traditional Arabic" w:hAnsi="Traditional Arabic" w:hint="cs"/>
          <w:noProof w:val="0"/>
          <w:rtl/>
          <w:lang w:eastAsia="en-US"/>
        </w:rPr>
        <w:t>ا الأصل</w:t>
      </w:r>
      <w:r w:rsidR="009840EE" w:rsidRPr="00424CE5">
        <w:rPr>
          <w:rFonts w:ascii="Traditional Arabic" w:hAnsi="Traditional Arabic"/>
          <w:noProof w:val="0"/>
          <w:rtl/>
          <w:lang w:eastAsia="en-US"/>
        </w:rPr>
        <w:t xml:space="preserve"> م</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ن أ</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ك</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ر</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ه</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 xml:space="preserve"> على عقد</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 xml:space="preserve"> أو فسخ</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 xml:space="preserve"> بحق</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و</w:t>
      </w:r>
      <w:r w:rsidR="009840EE">
        <w:rPr>
          <w:rFonts w:ascii="Traditional Arabic" w:hAnsi="Traditional Arabic"/>
          <w:noProof w:val="0"/>
          <w:rtl/>
          <w:lang w:eastAsia="en-US"/>
        </w:rPr>
        <w:t xml:space="preserve">ضابطُ ذلك: </w:t>
      </w:r>
      <w:r w:rsidR="009840EE">
        <w:rPr>
          <w:rFonts w:ascii="Traditional Arabic" w:hAnsi="Traditional Arabic" w:hint="cs"/>
          <w:noProof w:val="0"/>
          <w:rtl/>
          <w:lang w:eastAsia="en-US"/>
        </w:rPr>
        <w:t>أن مَن</w:t>
      </w:r>
      <w:r w:rsidR="009840EE">
        <w:rPr>
          <w:rFonts w:ascii="Traditional Arabic" w:hAnsi="Traditional Arabic"/>
          <w:noProof w:val="0"/>
          <w:rtl/>
          <w:lang w:eastAsia="en-US"/>
        </w:rPr>
        <w:t xml:space="preserve"> امتنع</w:t>
      </w:r>
      <w:r w:rsidR="008A75EE">
        <w:rPr>
          <w:rFonts w:ascii="Traditional Arabic" w:hAnsi="Traditional Arabic" w:hint="cs"/>
          <w:noProof w:val="0"/>
          <w:rtl/>
          <w:lang w:eastAsia="en-US"/>
        </w:rPr>
        <w:t xml:space="preserve"> </w:t>
      </w:r>
      <w:r w:rsidR="009840EE">
        <w:rPr>
          <w:rFonts w:ascii="Traditional Arabic" w:hAnsi="Traditional Arabic" w:hint="cs"/>
          <w:noProof w:val="0"/>
          <w:rtl/>
          <w:lang w:eastAsia="en-US"/>
        </w:rPr>
        <w:t xml:space="preserve">مِن </w:t>
      </w:r>
      <w:r w:rsidR="009840EE" w:rsidRPr="00424CE5">
        <w:rPr>
          <w:rFonts w:ascii="Traditional Arabic" w:hAnsi="Traditional Arabic"/>
          <w:noProof w:val="0"/>
          <w:rtl/>
          <w:lang w:eastAsia="en-US"/>
        </w:rPr>
        <w:t>و</w:t>
      </w:r>
      <w:r w:rsidR="009840EE">
        <w:rPr>
          <w:rFonts w:ascii="Traditional Arabic" w:hAnsi="Traditional Arabic" w:hint="cs"/>
          <w:noProof w:val="0"/>
          <w:rtl/>
          <w:lang w:eastAsia="en-US"/>
        </w:rPr>
        <w:t>ا</w:t>
      </w:r>
      <w:r w:rsidR="009840EE" w:rsidRPr="00424CE5">
        <w:rPr>
          <w:rFonts w:ascii="Traditional Arabic" w:hAnsi="Traditional Arabic"/>
          <w:noProof w:val="0"/>
          <w:rtl/>
          <w:lang w:eastAsia="en-US"/>
        </w:rPr>
        <w:t>جب</w:t>
      </w:r>
      <w:r w:rsidR="009840EE">
        <w:rPr>
          <w:rFonts w:ascii="Traditional Arabic" w:hAnsi="Traditional Arabic" w:hint="cs"/>
          <w:noProof w:val="0"/>
          <w:rtl/>
          <w:lang w:eastAsia="en-US"/>
        </w:rPr>
        <w:t>ٍ</w:t>
      </w:r>
      <w:r w:rsidR="009840EE">
        <w:rPr>
          <w:rFonts w:ascii="Traditional Arabic" w:hAnsi="Traditional Arabic"/>
          <w:noProof w:val="0"/>
          <w:rtl/>
          <w:lang w:eastAsia="en-US"/>
        </w:rPr>
        <w:t xml:space="preserve"> عليه </w:t>
      </w:r>
      <w:r w:rsidR="009840EE">
        <w:rPr>
          <w:rFonts w:ascii="Traditional Arabic" w:hAnsi="Traditional Arabic" w:hint="cs"/>
          <w:noProof w:val="0"/>
          <w:rtl/>
          <w:lang w:eastAsia="en-US"/>
        </w:rPr>
        <w:t>وأُكره</w:t>
      </w:r>
      <w:r w:rsidR="008A75EE">
        <w:rPr>
          <w:rFonts w:ascii="Traditional Arabic" w:hAnsi="Traditional Arabic" w:hint="cs"/>
          <w:noProof w:val="0"/>
          <w:rtl/>
          <w:lang w:eastAsia="en-US"/>
        </w:rPr>
        <w:t xml:space="preserve"> </w:t>
      </w:r>
      <w:r w:rsidR="009840EE">
        <w:rPr>
          <w:rFonts w:ascii="Traditional Arabic" w:hAnsi="Traditional Arabic" w:hint="cs"/>
          <w:noProof w:val="0"/>
          <w:rtl/>
          <w:lang w:eastAsia="en-US"/>
        </w:rPr>
        <w:t xml:space="preserve">فإنَّ </w:t>
      </w:r>
      <w:r w:rsidR="009840EE" w:rsidRPr="00424CE5">
        <w:rPr>
          <w:rFonts w:ascii="Traditional Arabic" w:hAnsi="Traditional Arabic"/>
          <w:noProof w:val="0"/>
          <w:rtl/>
          <w:lang w:eastAsia="en-US"/>
        </w:rPr>
        <w:t>إكراه</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ه</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 xml:space="preserve"> بحق</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w:t>
      </w:r>
    </w:p>
    <w:p w:rsidR="00065E4B" w:rsidRPr="00424CE5" w:rsidRDefault="00065E4B" w:rsidP="00597C20">
      <w:pPr>
        <w:widowControl/>
        <w:autoSpaceDE w:val="0"/>
        <w:autoSpaceDN w:val="0"/>
        <w:adjustRightInd w:val="0"/>
        <w:ind w:firstLine="720"/>
        <w:rPr>
          <w:rFonts w:ascii="Traditional Arabic" w:hAnsi="Traditional Arabic"/>
          <w:noProof w:val="0"/>
          <w:rtl/>
          <w:lang w:eastAsia="en-US"/>
        </w:rPr>
      </w:pPr>
      <w:r w:rsidRPr="00424CE5">
        <w:rPr>
          <w:rFonts w:ascii="Traditional Arabic" w:hAnsi="Traditional Arabic"/>
          <w:noProof w:val="0"/>
          <w:rtl/>
          <w:lang w:eastAsia="en-US"/>
        </w:rPr>
        <w:t>ف</w:t>
      </w:r>
      <w:r w:rsidR="009840EE" w:rsidRPr="00424CE5">
        <w:rPr>
          <w:rFonts w:ascii="Traditional Arabic" w:hAnsi="Traditional Arabic"/>
          <w:noProof w:val="0"/>
          <w:rtl/>
          <w:lang w:eastAsia="en-US"/>
        </w:rPr>
        <w:t>إذا أ</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كره على بيع</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 xml:space="preserve"> مال</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ه ل</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وفاء دَينِه، أو ل</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شراءِ ما يجبُ شراؤه من نفقةٍ أو كِسوةٍ، أو نحوِها؛ فهو إكراهٌ بحق</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sidRPr="00424CE5">
        <w:rPr>
          <w:rFonts w:ascii="Traditional Arabic" w:hAnsi="Traditional Arabic"/>
          <w:noProof w:val="0"/>
          <w:rtl/>
          <w:lang w:eastAsia="en-US"/>
        </w:rPr>
        <w:t>و</w:t>
      </w:r>
      <w:r w:rsidR="009840EE">
        <w:rPr>
          <w:rFonts w:ascii="Traditional Arabic" w:hAnsi="Traditional Arabic"/>
          <w:noProof w:val="0"/>
          <w:rtl/>
          <w:lang w:eastAsia="en-US"/>
        </w:rPr>
        <w:t>كذلك؛ المشتر</w:t>
      </w:r>
      <w:r w:rsidR="009840EE">
        <w:rPr>
          <w:rFonts w:ascii="Traditional Arabic" w:hAnsi="Traditional Arabic" w:hint="cs"/>
          <w:noProof w:val="0"/>
          <w:rtl/>
          <w:lang w:eastAsia="en-US"/>
        </w:rPr>
        <w:t>َ</w:t>
      </w:r>
      <w:r w:rsidR="009840EE">
        <w:rPr>
          <w:rFonts w:ascii="Traditional Arabic" w:hAnsi="Traditional Arabic"/>
          <w:noProof w:val="0"/>
          <w:rtl/>
          <w:lang w:eastAsia="en-US"/>
        </w:rPr>
        <w:t>ك</w:t>
      </w:r>
      <w:r w:rsidR="009840EE" w:rsidRPr="00424CE5">
        <w:rPr>
          <w:rFonts w:ascii="Traditional Arabic" w:hAnsi="Traditional Arabic"/>
          <w:noProof w:val="0"/>
          <w:rtl/>
          <w:lang w:eastAsia="en-US"/>
        </w:rPr>
        <w:t xml:space="preserve"> الذي لا ينقس</w:t>
      </w:r>
      <w:r w:rsidR="009840EE">
        <w:rPr>
          <w:rFonts w:ascii="Traditional Arabic" w:hAnsi="Traditional Arabic" w:hint="cs"/>
          <w:noProof w:val="0"/>
          <w:rtl/>
          <w:lang w:eastAsia="en-US"/>
        </w:rPr>
        <w:t>ِ</w:t>
      </w:r>
      <w:r w:rsidR="009840EE">
        <w:rPr>
          <w:rFonts w:ascii="Traditional Arabic" w:hAnsi="Traditional Arabic"/>
          <w:noProof w:val="0"/>
          <w:rtl/>
          <w:lang w:eastAsia="en-US"/>
        </w:rPr>
        <w:t>م</w:t>
      </w:r>
      <w:r w:rsidR="009840EE" w:rsidRPr="00424CE5">
        <w:rPr>
          <w:rFonts w:ascii="Traditional Arabic" w:hAnsi="Traditional Arabic"/>
          <w:noProof w:val="0"/>
          <w:rtl/>
          <w:lang w:eastAsia="en-US"/>
        </w:rPr>
        <w:t xml:space="preserve"> إلا بضررٍ</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 xml:space="preserve"> إذا امتنع أحدُ الشريكين من بيعه أُج</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ب</w:t>
      </w:r>
      <w:r w:rsidR="009840EE">
        <w:rPr>
          <w:rFonts w:ascii="Traditional Arabic" w:hAnsi="Traditional Arabic" w:hint="cs"/>
          <w:noProof w:val="0"/>
          <w:rtl/>
          <w:lang w:eastAsia="en-US"/>
        </w:rPr>
        <w:t>ِ</w:t>
      </w:r>
      <w:r w:rsidR="009840EE" w:rsidRPr="00424CE5">
        <w:rPr>
          <w:rFonts w:ascii="Traditional Arabic" w:hAnsi="Traditional Arabic"/>
          <w:noProof w:val="0"/>
          <w:rtl/>
          <w:lang w:eastAsia="en-US"/>
        </w:rPr>
        <w:t>ر على بيعه بحق</w:t>
      </w:r>
      <w:r w:rsidR="009840EE">
        <w:rPr>
          <w:rFonts w:ascii="Traditional Arabic" w:hAnsi="Traditional Arabic" w:hint="cs"/>
          <w:noProof w:val="0"/>
          <w:rtl/>
          <w:lang w:eastAsia="en-US"/>
        </w:rPr>
        <w:t>ٍّ</w:t>
      </w:r>
      <w:r w:rsidR="009840EE" w:rsidRPr="00C821A1">
        <w:rPr>
          <w:rStyle w:val="af1"/>
          <w:szCs w:val="32"/>
          <w:rtl/>
        </w:rPr>
        <w:t>(</w:t>
      </w:r>
      <w:r w:rsidR="009840EE" w:rsidRPr="00C821A1">
        <w:rPr>
          <w:rStyle w:val="af1"/>
          <w:szCs w:val="32"/>
          <w:rtl/>
        </w:rPr>
        <w:footnoteReference w:id="1536"/>
      </w:r>
      <w:r w:rsidR="009840EE" w:rsidRPr="00C821A1">
        <w:rPr>
          <w:rStyle w:val="af1"/>
          <w:szCs w:val="32"/>
          <w:rtl/>
        </w:rPr>
        <w:t>)</w:t>
      </w:r>
      <w:r w:rsidR="009840EE" w:rsidRPr="00424CE5">
        <w:rPr>
          <w:rFonts w:ascii="Traditional Arabic" w:hAnsi="Traditional Arabic"/>
          <w:noProof w:val="0"/>
          <w:rtl/>
          <w:lang w:eastAsia="en-US"/>
        </w:rPr>
        <w:t>.</w:t>
      </w:r>
    </w:p>
    <w:p w:rsidR="009840EE"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و</w:t>
      </w:r>
      <w:r w:rsidR="009840EE">
        <w:rPr>
          <w:rFonts w:ascii="Traditional Arabic" w:hAnsi="Traditional Arabic" w:hint="cs"/>
          <w:noProof w:val="0"/>
          <w:rtl/>
          <w:lang w:eastAsia="en-US"/>
        </w:rPr>
        <w:t>كذلك الشُّرَكاءُ في الأمْلاك إذا احتِيجَ إلى تعميره</w:t>
      </w:r>
      <w:r w:rsidR="009840EE" w:rsidRPr="00C821A1">
        <w:rPr>
          <w:rStyle w:val="af1"/>
          <w:szCs w:val="32"/>
          <w:rtl/>
        </w:rPr>
        <w:t>(</w:t>
      </w:r>
      <w:r w:rsidR="009840EE" w:rsidRPr="00C821A1">
        <w:rPr>
          <w:rStyle w:val="af1"/>
          <w:szCs w:val="32"/>
          <w:rtl/>
        </w:rPr>
        <w:footnoteReference w:id="1537"/>
      </w:r>
      <w:r w:rsidR="009840EE" w:rsidRPr="00C821A1">
        <w:rPr>
          <w:rStyle w:val="af1"/>
          <w:szCs w:val="32"/>
          <w:rtl/>
        </w:rPr>
        <w:t>)</w:t>
      </w:r>
      <w:r w:rsidR="009840EE">
        <w:rPr>
          <w:rFonts w:ascii="Traditional Arabic" w:hAnsi="Traditional Arabic" w:hint="cs"/>
          <w:noProof w:val="0"/>
          <w:rtl/>
          <w:lang w:eastAsia="en-US"/>
        </w:rPr>
        <w:t xml:space="preserve"> وامتنع أحدُ الشُّرَكاء أُجبِر بالحق</w:t>
      </w:r>
      <w:r w:rsidR="009840EE" w:rsidRPr="00C821A1">
        <w:rPr>
          <w:rStyle w:val="af1"/>
          <w:szCs w:val="32"/>
          <w:rtl/>
        </w:rPr>
        <w:t>(</w:t>
      </w:r>
      <w:r w:rsidR="009840EE" w:rsidRPr="00C821A1">
        <w:rPr>
          <w:rStyle w:val="af1"/>
          <w:szCs w:val="32"/>
          <w:rtl/>
        </w:rPr>
        <w:footnoteReference w:id="1538"/>
      </w:r>
      <w:r w:rsidR="009840EE" w:rsidRPr="00C821A1">
        <w:rPr>
          <w:rStyle w:val="af1"/>
          <w:szCs w:val="32"/>
          <w:rtl/>
        </w:rPr>
        <w:t>)</w:t>
      </w:r>
      <w:r w:rsidR="009840EE">
        <w:rPr>
          <w:rFonts w:ascii="Traditional Arabic" w:hAnsi="Traditional Arabic" w:hint="cs"/>
          <w:noProof w:val="0"/>
          <w:rtl/>
          <w:lang w:eastAsia="en-US"/>
        </w:rPr>
        <w:t>.</w:t>
      </w:r>
    </w:p>
    <w:p w:rsidR="008A75EE" w:rsidRPr="00424CE5" w:rsidRDefault="008A75EE" w:rsidP="00597C20">
      <w:pPr>
        <w:widowControl/>
        <w:autoSpaceDE w:val="0"/>
        <w:autoSpaceDN w:val="0"/>
        <w:adjustRightInd w:val="0"/>
        <w:ind w:firstLine="720"/>
        <w:rPr>
          <w:rFonts w:ascii="Traditional Arabic" w:hAnsi="Traditional Arabic"/>
          <w:noProof w:val="0"/>
          <w:rtl/>
          <w:lang w:eastAsia="en-US"/>
        </w:rPr>
      </w:pPr>
    </w:p>
    <w:p w:rsidR="009840EE" w:rsidRPr="00C85F0F" w:rsidRDefault="00D5163B" w:rsidP="000F5C0F">
      <w:pPr>
        <w:pStyle w:val="aff2"/>
        <w:rPr>
          <w:rtl/>
        </w:rPr>
      </w:pPr>
      <w:bookmarkStart w:id="309" w:name="_Toc334046523"/>
      <w:r>
        <w:rPr>
          <w:rFonts w:hint="cs"/>
          <w:rtl/>
        </w:rPr>
        <w:lastRenderedPageBreak/>
        <w:t>المبحث الثالث</w:t>
      </w:r>
      <w:r>
        <w:rPr>
          <w:rFonts w:hint="eastAsia"/>
          <w:rtl/>
        </w:rPr>
        <w:t> </w:t>
      </w:r>
      <w:r>
        <w:rPr>
          <w:rFonts w:hint="cs"/>
          <w:rtl/>
        </w:rPr>
        <w:t>:</w:t>
      </w:r>
      <w:r>
        <w:rPr>
          <w:rFonts w:hint="cs"/>
          <w:rtl/>
        </w:rPr>
        <w:br/>
      </w:r>
      <w:r w:rsidR="009840EE">
        <w:rPr>
          <w:rFonts w:hint="cs"/>
          <w:rtl/>
        </w:rPr>
        <w:t>قاعدة</w:t>
      </w:r>
      <w:r w:rsidR="009840EE">
        <w:rPr>
          <w:rtl/>
        </w:rPr>
        <w:br/>
      </w:r>
      <w:r w:rsidR="00925718">
        <w:rPr>
          <w:rFonts w:hint="cs"/>
          <w:rtl/>
        </w:rPr>
        <w:t>"الحكم يدور مع علته وجودا وعدما</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الحكميدورمععلتهوجوداوعدما</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9840EE" w:rsidRPr="00C85F0F">
        <w:rPr>
          <w:rFonts w:hint="cs"/>
          <w:rtl/>
        </w:rPr>
        <w:t>"</w:t>
      </w:r>
      <w:r w:rsidR="009840EE" w:rsidRPr="00C85F0F">
        <w:rPr>
          <w:rStyle w:val="af1"/>
          <w:b w:val="0"/>
          <w:bCs w:val="0"/>
          <w:szCs w:val="32"/>
          <w:rtl/>
        </w:rPr>
        <w:t>(</w:t>
      </w:r>
      <w:r w:rsidR="009840EE" w:rsidRPr="00C85F0F">
        <w:rPr>
          <w:rStyle w:val="af1"/>
          <w:b w:val="0"/>
          <w:bCs w:val="0"/>
          <w:szCs w:val="32"/>
          <w:rtl/>
        </w:rPr>
        <w:footnoteReference w:id="1539"/>
      </w:r>
      <w:r w:rsidR="009840EE" w:rsidRPr="00C85F0F">
        <w:rPr>
          <w:rStyle w:val="af1"/>
          <w:b w:val="0"/>
          <w:bCs w:val="0"/>
          <w:szCs w:val="32"/>
          <w:rtl/>
        </w:rPr>
        <w:t>)</w:t>
      </w:r>
      <w:bookmarkEnd w:id="309"/>
    </w:p>
    <w:p w:rsidR="00065E4B" w:rsidRPr="00C85F0F" w:rsidRDefault="00D564C3" w:rsidP="00A8347C">
      <w:pPr>
        <w:pStyle w:val="aff3"/>
        <w:rPr>
          <w:rtl/>
        </w:rPr>
      </w:pPr>
      <w:bookmarkStart w:id="310" w:name="_Toc334046524"/>
      <w:r>
        <w:rPr>
          <w:rFonts w:hint="cs"/>
          <w:rtl/>
        </w:rPr>
        <w:t xml:space="preserve">                                         المطلب</w:t>
      </w:r>
      <w:r w:rsidR="00393AF0">
        <w:rPr>
          <w:rFonts w:hint="cs"/>
          <w:rtl/>
        </w:rPr>
        <w:t xml:space="preserve"> </w:t>
      </w:r>
      <w:r w:rsidR="009840EE" w:rsidRPr="00C85F0F">
        <w:rPr>
          <w:rFonts w:hint="cs"/>
          <w:rtl/>
        </w:rPr>
        <w:t>الأول</w:t>
      </w:r>
      <w:r w:rsidR="009840EE" w:rsidRPr="00C85F0F">
        <w:rPr>
          <w:rFonts w:hint="eastAsia"/>
          <w:rtl/>
        </w:rPr>
        <w:t> :</w:t>
      </w:r>
      <w:r w:rsidR="009840EE" w:rsidRPr="00C85F0F">
        <w:rPr>
          <w:rFonts w:hint="cs"/>
          <w:rtl/>
        </w:rPr>
        <w:br/>
      </w:r>
      <w:r>
        <w:rPr>
          <w:rFonts w:hint="cs"/>
          <w:rtl/>
        </w:rPr>
        <w:t xml:space="preserve">                       </w:t>
      </w:r>
      <w:r w:rsidR="009840EE" w:rsidRPr="00C85F0F">
        <w:rPr>
          <w:rFonts w:hint="cs"/>
          <w:rtl/>
        </w:rPr>
        <w:t>صيغ القاعدة عند الشيخ وعند علماء القواعد</w:t>
      </w:r>
      <w:bookmarkEnd w:id="310"/>
    </w:p>
    <w:p w:rsidR="009840EE" w:rsidRPr="00C85F0F" w:rsidRDefault="00065E4B" w:rsidP="00597C20">
      <w:pPr>
        <w:ind w:firstLine="0"/>
        <w:rPr>
          <w:rtl/>
        </w:rPr>
      </w:pPr>
      <w:r w:rsidRPr="00C85F0F">
        <w:rPr>
          <w:rFonts w:hint="cs"/>
          <w:rtl/>
        </w:rPr>
        <w:t>و</w:t>
      </w:r>
      <w:r w:rsidR="009840EE" w:rsidRPr="00C85F0F">
        <w:rPr>
          <w:rFonts w:hint="cs"/>
          <w:rtl/>
        </w:rPr>
        <w:t xml:space="preserve">ردت هذه القاعدة عند الشيخ ابن عثيمين </w:t>
      </w:r>
      <w:r w:rsidR="00393AF0">
        <w:rPr>
          <w:rFonts w:hint="cs"/>
          <w:rtl/>
        </w:rPr>
        <w:t>_</w:t>
      </w:r>
      <w:r w:rsidR="009A0575" w:rsidRPr="005D5694">
        <w:rPr>
          <w:rFonts w:ascii="Traditional Arabic" w:hAnsi="Traditional Arabic" w:cs="CTraditional Arabic" w:hint="cs"/>
          <w:rtl/>
        </w:rPr>
        <w:t>/</w:t>
      </w:r>
      <w:r w:rsidR="00393AF0">
        <w:rPr>
          <w:rFonts w:hint="cs"/>
          <w:rtl/>
        </w:rPr>
        <w:t>_</w:t>
      </w:r>
      <w:r w:rsidR="009840EE" w:rsidRPr="00C85F0F">
        <w:rPr>
          <w:rFonts w:hint="cs"/>
          <w:rtl/>
        </w:rPr>
        <w:t xml:space="preserve"> بصيغ متعددة، منها:</w:t>
      </w:r>
    </w:p>
    <w:p w:rsidR="009840EE" w:rsidRPr="00C85F0F" w:rsidRDefault="009840EE" w:rsidP="000A76C7">
      <w:pPr>
        <w:numPr>
          <w:ilvl w:val="0"/>
          <w:numId w:val="210"/>
        </w:numPr>
      </w:pPr>
      <w:r w:rsidRPr="00C85F0F">
        <w:rPr>
          <w:rFonts w:hint="cs"/>
          <w:rtl/>
        </w:rPr>
        <w:t>إذا زالت العلة زال المعلول</w:t>
      </w:r>
      <w:r w:rsidRPr="00C85F0F">
        <w:rPr>
          <w:rStyle w:val="af1"/>
          <w:szCs w:val="32"/>
          <w:rtl/>
        </w:rPr>
        <w:t>(</w:t>
      </w:r>
      <w:r w:rsidRPr="00C85F0F">
        <w:rPr>
          <w:rStyle w:val="af1"/>
          <w:szCs w:val="32"/>
          <w:rtl/>
        </w:rPr>
        <w:footnoteReference w:id="1540"/>
      </w:r>
      <w:r w:rsidRPr="00C85F0F">
        <w:rPr>
          <w:rStyle w:val="af1"/>
          <w:szCs w:val="32"/>
          <w:rtl/>
        </w:rPr>
        <w:t>)</w:t>
      </w:r>
      <w:r w:rsidRPr="00C85F0F">
        <w:rPr>
          <w:rFonts w:hint="cs"/>
          <w:rtl/>
        </w:rPr>
        <w:t>.</w:t>
      </w:r>
    </w:p>
    <w:p w:rsidR="009840EE" w:rsidRPr="00C85F0F" w:rsidRDefault="009840EE" w:rsidP="000A76C7">
      <w:pPr>
        <w:numPr>
          <w:ilvl w:val="0"/>
          <w:numId w:val="210"/>
        </w:numPr>
      </w:pPr>
      <w:r w:rsidRPr="00C85F0F">
        <w:rPr>
          <w:rFonts w:hint="cs"/>
          <w:rtl/>
        </w:rPr>
        <w:t>الحكم يدور مع علته وجوداً وعدماً</w:t>
      </w:r>
      <w:r w:rsidRPr="00C85F0F">
        <w:rPr>
          <w:rStyle w:val="af1"/>
          <w:szCs w:val="32"/>
          <w:rtl/>
        </w:rPr>
        <w:t>(</w:t>
      </w:r>
      <w:r w:rsidRPr="00C85F0F">
        <w:rPr>
          <w:rStyle w:val="af1"/>
          <w:szCs w:val="32"/>
          <w:rtl/>
        </w:rPr>
        <w:footnoteReference w:id="1541"/>
      </w:r>
      <w:r w:rsidRPr="00C85F0F">
        <w:rPr>
          <w:rStyle w:val="af1"/>
          <w:szCs w:val="32"/>
          <w:rtl/>
        </w:rPr>
        <w:t>)</w:t>
      </w:r>
      <w:r w:rsidRPr="00C85F0F">
        <w:rPr>
          <w:rFonts w:hint="cs"/>
          <w:rtl/>
        </w:rPr>
        <w:t>.</w:t>
      </w:r>
    </w:p>
    <w:p w:rsidR="009840EE" w:rsidRPr="00C85F0F" w:rsidRDefault="009840EE" w:rsidP="000A76C7">
      <w:pPr>
        <w:numPr>
          <w:ilvl w:val="0"/>
          <w:numId w:val="210"/>
        </w:numPr>
      </w:pPr>
      <w:r w:rsidRPr="00C85F0F">
        <w:rPr>
          <w:rFonts w:hint="cs"/>
          <w:rtl/>
        </w:rPr>
        <w:t>الحكم يدور مع علته</w:t>
      </w:r>
      <w:r w:rsidRPr="00C85F0F">
        <w:rPr>
          <w:rStyle w:val="af1"/>
          <w:szCs w:val="32"/>
          <w:rtl/>
        </w:rPr>
        <w:t>(</w:t>
      </w:r>
      <w:r w:rsidRPr="00C85F0F">
        <w:rPr>
          <w:rStyle w:val="af1"/>
          <w:szCs w:val="32"/>
          <w:rtl/>
        </w:rPr>
        <w:footnoteReference w:id="1542"/>
      </w:r>
      <w:r w:rsidRPr="00C85F0F">
        <w:rPr>
          <w:rStyle w:val="af1"/>
          <w:szCs w:val="32"/>
          <w:rtl/>
        </w:rPr>
        <w:t>)</w:t>
      </w:r>
      <w:r w:rsidRPr="00C85F0F">
        <w:rPr>
          <w:rFonts w:hint="cs"/>
          <w:rtl/>
        </w:rPr>
        <w:t>.</w:t>
      </w:r>
    </w:p>
    <w:p w:rsidR="00065E4B" w:rsidRPr="00C85F0F" w:rsidRDefault="009840EE" w:rsidP="000A76C7">
      <w:pPr>
        <w:numPr>
          <w:ilvl w:val="0"/>
          <w:numId w:val="210"/>
        </w:numPr>
      </w:pPr>
      <w:r w:rsidRPr="00C85F0F">
        <w:rPr>
          <w:rFonts w:hint="cs"/>
          <w:rtl/>
        </w:rPr>
        <w:t>وكل حكمٍ فلِعلةٍ تَبِعْ</w:t>
      </w:r>
      <w:r w:rsidR="00393AF0">
        <w:rPr>
          <w:rFonts w:hint="cs"/>
          <w:rtl/>
        </w:rPr>
        <w:t xml:space="preserve">      </w:t>
      </w:r>
      <w:r w:rsidRPr="00C85F0F">
        <w:rPr>
          <w:rFonts w:hint="cs"/>
          <w:rtl/>
        </w:rPr>
        <w:t>إن وُجدتْ يوجد وإلا يمتن</w:t>
      </w:r>
      <w:r w:rsidR="0027446A">
        <w:rPr>
          <w:rFonts w:hint="cs"/>
          <w:rtl/>
        </w:rPr>
        <w:t>ِ</w:t>
      </w:r>
      <w:r w:rsidRPr="00C85F0F">
        <w:rPr>
          <w:rFonts w:hint="cs"/>
          <w:rtl/>
        </w:rPr>
        <w:t>ع</w:t>
      </w:r>
      <w:r w:rsidRPr="00C85F0F">
        <w:rPr>
          <w:rStyle w:val="af1"/>
          <w:szCs w:val="32"/>
          <w:rtl/>
        </w:rPr>
        <w:t>(</w:t>
      </w:r>
      <w:r w:rsidRPr="00C85F0F">
        <w:rPr>
          <w:rStyle w:val="af1"/>
          <w:szCs w:val="32"/>
          <w:rtl/>
        </w:rPr>
        <w:footnoteReference w:id="1543"/>
      </w:r>
      <w:r w:rsidRPr="00C85F0F">
        <w:rPr>
          <w:rStyle w:val="af1"/>
          <w:szCs w:val="32"/>
          <w:rtl/>
        </w:rPr>
        <w:t>)</w:t>
      </w:r>
      <w:r w:rsidRPr="00C85F0F">
        <w:rPr>
          <w:rFonts w:hint="cs"/>
          <w:rtl/>
        </w:rPr>
        <w:t>.</w:t>
      </w:r>
    </w:p>
    <w:p w:rsidR="009840EE" w:rsidRPr="00C85F0F" w:rsidRDefault="00065E4B" w:rsidP="00597C20">
      <w:pPr>
        <w:ind w:firstLine="0"/>
        <w:rPr>
          <w:rtl/>
        </w:rPr>
      </w:pPr>
      <w:r w:rsidRPr="00C85F0F">
        <w:rPr>
          <w:rFonts w:hint="cs"/>
          <w:rtl/>
        </w:rPr>
        <w:t>و</w:t>
      </w:r>
      <w:r w:rsidR="009840EE" w:rsidRPr="00C85F0F">
        <w:rPr>
          <w:rFonts w:hint="cs"/>
          <w:rtl/>
        </w:rPr>
        <w:t>وردت هذه القاعدة عند علماء القواعد</w:t>
      </w:r>
      <w:r w:rsidR="00D564C3">
        <w:rPr>
          <w:rFonts w:hint="cs"/>
          <w:rtl/>
        </w:rPr>
        <w:t xml:space="preserve"> بصيغ عديدة، منها</w:t>
      </w:r>
      <w:r w:rsidR="009840EE" w:rsidRPr="00C85F0F">
        <w:rPr>
          <w:rFonts w:hint="cs"/>
          <w:rtl/>
        </w:rPr>
        <w:t>:</w:t>
      </w:r>
    </w:p>
    <w:p w:rsidR="009840EE" w:rsidRPr="00C85F0F" w:rsidRDefault="009840EE" w:rsidP="000A76C7">
      <w:pPr>
        <w:pStyle w:val="afc"/>
        <w:numPr>
          <w:ilvl w:val="0"/>
          <w:numId w:val="212"/>
        </w:numPr>
        <w:rPr>
          <w:rtl/>
        </w:rPr>
      </w:pPr>
      <w:r w:rsidRPr="00C85F0F">
        <w:rPr>
          <w:rFonts w:hint="cs"/>
          <w:rtl/>
        </w:rPr>
        <w:lastRenderedPageBreak/>
        <w:t>الأصل أن تزول الأحكام بِزوال عِلَلِها</w:t>
      </w:r>
      <w:r w:rsidRPr="00C85F0F">
        <w:rPr>
          <w:rStyle w:val="af1"/>
          <w:szCs w:val="32"/>
          <w:rtl/>
        </w:rPr>
        <w:t>(</w:t>
      </w:r>
      <w:r w:rsidRPr="00C85F0F">
        <w:rPr>
          <w:rStyle w:val="af1"/>
          <w:szCs w:val="32"/>
          <w:rtl/>
        </w:rPr>
        <w:footnoteReference w:id="1544"/>
      </w:r>
      <w:r w:rsidRPr="00C85F0F">
        <w:rPr>
          <w:rStyle w:val="af1"/>
          <w:szCs w:val="32"/>
          <w:rtl/>
        </w:rPr>
        <w:t>)</w:t>
      </w:r>
      <w:r w:rsidRPr="00C85F0F">
        <w:rPr>
          <w:rFonts w:hint="cs"/>
          <w:rtl/>
        </w:rPr>
        <w:t>.</w:t>
      </w:r>
    </w:p>
    <w:p w:rsidR="009840EE" w:rsidRPr="00C85F0F" w:rsidRDefault="009840EE" w:rsidP="000A76C7">
      <w:pPr>
        <w:pStyle w:val="afc"/>
        <w:numPr>
          <w:ilvl w:val="0"/>
          <w:numId w:val="211"/>
        </w:numPr>
      </w:pPr>
      <w:r w:rsidRPr="00C85F0F">
        <w:rPr>
          <w:rFonts w:hint="cs"/>
          <w:rtl/>
        </w:rPr>
        <w:t>الحكم إذا ثبت بِعِلةٍ يزول بزوالها</w:t>
      </w:r>
      <w:r w:rsidRPr="00C85F0F">
        <w:rPr>
          <w:rStyle w:val="af1"/>
          <w:szCs w:val="32"/>
          <w:rtl/>
        </w:rPr>
        <w:t>(</w:t>
      </w:r>
      <w:r w:rsidRPr="00C85F0F">
        <w:rPr>
          <w:rStyle w:val="af1"/>
          <w:szCs w:val="32"/>
          <w:rtl/>
        </w:rPr>
        <w:footnoteReference w:id="1545"/>
      </w:r>
      <w:r w:rsidRPr="00C85F0F">
        <w:rPr>
          <w:rStyle w:val="af1"/>
          <w:szCs w:val="32"/>
          <w:rtl/>
        </w:rPr>
        <w:t>)</w:t>
      </w:r>
      <w:r w:rsidRPr="00C85F0F">
        <w:rPr>
          <w:rFonts w:hint="cs"/>
          <w:rtl/>
        </w:rPr>
        <w:t>.</w:t>
      </w:r>
    </w:p>
    <w:p w:rsidR="009840EE" w:rsidRPr="00C85F0F" w:rsidRDefault="009840EE" w:rsidP="000A76C7">
      <w:pPr>
        <w:pStyle w:val="afc"/>
        <w:numPr>
          <w:ilvl w:val="0"/>
          <w:numId w:val="211"/>
        </w:numPr>
      </w:pPr>
      <w:r w:rsidRPr="00C85F0F">
        <w:rPr>
          <w:rFonts w:hint="cs"/>
          <w:rtl/>
        </w:rPr>
        <w:t>إذا علَّق الشارع حكماً بسبب أو علة زال ذلك الحكم بزوالها</w:t>
      </w:r>
      <w:r w:rsidRPr="00C85F0F">
        <w:rPr>
          <w:rStyle w:val="af1"/>
          <w:szCs w:val="32"/>
          <w:rtl/>
        </w:rPr>
        <w:t>(</w:t>
      </w:r>
      <w:r w:rsidRPr="00C85F0F">
        <w:rPr>
          <w:rStyle w:val="af1"/>
          <w:szCs w:val="32"/>
          <w:rtl/>
        </w:rPr>
        <w:footnoteReference w:id="1546"/>
      </w:r>
      <w:r w:rsidRPr="00C85F0F">
        <w:rPr>
          <w:rStyle w:val="af1"/>
          <w:szCs w:val="32"/>
          <w:rtl/>
        </w:rPr>
        <w:t>)</w:t>
      </w:r>
      <w:r w:rsidRPr="00C85F0F">
        <w:rPr>
          <w:rFonts w:hint="cs"/>
          <w:rtl/>
        </w:rPr>
        <w:t>.</w:t>
      </w:r>
    </w:p>
    <w:p w:rsidR="009840EE" w:rsidRPr="00C85F0F" w:rsidRDefault="009840EE" w:rsidP="000A76C7">
      <w:pPr>
        <w:pStyle w:val="afc"/>
        <w:numPr>
          <w:ilvl w:val="0"/>
          <w:numId w:val="211"/>
        </w:numPr>
      </w:pPr>
      <w:r w:rsidRPr="00C85F0F">
        <w:rPr>
          <w:rFonts w:hint="cs"/>
          <w:rtl/>
        </w:rPr>
        <w:t>الحكم يدور مع علته وجودا وعدما</w:t>
      </w:r>
      <w:r w:rsidRPr="00C85F0F">
        <w:rPr>
          <w:rStyle w:val="af1"/>
          <w:szCs w:val="32"/>
          <w:rtl/>
        </w:rPr>
        <w:t>(</w:t>
      </w:r>
      <w:r w:rsidRPr="00C85F0F">
        <w:rPr>
          <w:rStyle w:val="af1"/>
          <w:szCs w:val="32"/>
          <w:rtl/>
        </w:rPr>
        <w:footnoteReference w:id="1547"/>
      </w:r>
      <w:r w:rsidRPr="00C85F0F">
        <w:rPr>
          <w:rStyle w:val="af1"/>
          <w:szCs w:val="32"/>
          <w:rtl/>
        </w:rPr>
        <w:t>)</w:t>
      </w:r>
      <w:r w:rsidRPr="00C85F0F">
        <w:rPr>
          <w:rFonts w:hint="cs"/>
          <w:rtl/>
        </w:rPr>
        <w:t>.</w:t>
      </w:r>
    </w:p>
    <w:p w:rsidR="009840EE" w:rsidRPr="00C85F0F" w:rsidRDefault="009840EE" w:rsidP="000A76C7">
      <w:pPr>
        <w:pStyle w:val="afc"/>
        <w:numPr>
          <w:ilvl w:val="0"/>
          <w:numId w:val="211"/>
        </w:numPr>
      </w:pPr>
      <w:r w:rsidRPr="00C85F0F">
        <w:rPr>
          <w:rFonts w:hint="cs"/>
          <w:rtl/>
        </w:rPr>
        <w:t>العلة إذا زالت هل يزول الحكم بِزَوالها أم لا؟</w:t>
      </w:r>
      <w:r w:rsidRPr="00C85F0F">
        <w:rPr>
          <w:rStyle w:val="af1"/>
          <w:szCs w:val="32"/>
          <w:rtl/>
        </w:rPr>
        <w:t>(</w:t>
      </w:r>
      <w:r w:rsidRPr="00C85F0F">
        <w:rPr>
          <w:rStyle w:val="af1"/>
          <w:szCs w:val="32"/>
          <w:rtl/>
        </w:rPr>
        <w:footnoteReference w:id="1548"/>
      </w:r>
      <w:r w:rsidRPr="00C85F0F">
        <w:rPr>
          <w:rStyle w:val="af1"/>
          <w:szCs w:val="32"/>
          <w:rtl/>
        </w:rPr>
        <w:t>)</w:t>
      </w:r>
    </w:p>
    <w:p w:rsidR="009840EE" w:rsidRPr="00C85F0F" w:rsidRDefault="009840EE" w:rsidP="000A76C7">
      <w:pPr>
        <w:pStyle w:val="afc"/>
        <w:numPr>
          <w:ilvl w:val="0"/>
          <w:numId w:val="211"/>
        </w:numPr>
      </w:pPr>
      <w:r w:rsidRPr="00C85F0F">
        <w:rPr>
          <w:rFonts w:hint="cs"/>
          <w:rtl/>
        </w:rPr>
        <w:t>وكلُّ حكم دائرٌ معْ علته</w:t>
      </w:r>
      <w:r w:rsidR="00393AF0">
        <w:rPr>
          <w:rFonts w:hint="cs"/>
          <w:rtl/>
        </w:rPr>
        <w:t xml:space="preserve">     </w:t>
      </w:r>
      <w:r w:rsidRPr="00C85F0F">
        <w:rPr>
          <w:rFonts w:hint="cs"/>
          <w:rtl/>
        </w:rPr>
        <w:t>وهي التي قد أوجبت لِشِرْعَتِه</w:t>
      </w:r>
      <w:r w:rsidRPr="00C85F0F">
        <w:rPr>
          <w:rStyle w:val="af1"/>
          <w:szCs w:val="32"/>
          <w:rtl/>
        </w:rPr>
        <w:t>(</w:t>
      </w:r>
      <w:r w:rsidRPr="00C85F0F">
        <w:rPr>
          <w:rStyle w:val="af1"/>
          <w:szCs w:val="32"/>
          <w:rtl/>
        </w:rPr>
        <w:footnoteReference w:id="1549"/>
      </w:r>
      <w:r w:rsidRPr="00C85F0F">
        <w:rPr>
          <w:rStyle w:val="af1"/>
          <w:szCs w:val="32"/>
          <w:rtl/>
        </w:rPr>
        <w:t>)</w:t>
      </w:r>
      <w:r w:rsidRPr="00C85F0F">
        <w:rPr>
          <w:rFonts w:hint="cs"/>
          <w:rtl/>
        </w:rPr>
        <w:t>.</w:t>
      </w:r>
    </w:p>
    <w:p w:rsidR="00065E4B" w:rsidRPr="00C85F0F" w:rsidRDefault="00D564C3" w:rsidP="00A8347C">
      <w:pPr>
        <w:pStyle w:val="aff3"/>
        <w:rPr>
          <w:rtl/>
        </w:rPr>
      </w:pPr>
      <w:bookmarkStart w:id="311" w:name="_Toc334046525"/>
      <w:r>
        <w:rPr>
          <w:rFonts w:hint="cs"/>
          <w:rtl/>
        </w:rPr>
        <w:t xml:space="preserve">                                      المطلب</w:t>
      </w:r>
      <w:r w:rsidR="00393AF0">
        <w:rPr>
          <w:rFonts w:hint="cs"/>
          <w:rtl/>
        </w:rPr>
        <w:t xml:space="preserve"> </w:t>
      </w:r>
      <w:r w:rsidR="009840EE" w:rsidRPr="00C85F0F">
        <w:rPr>
          <w:rFonts w:hint="cs"/>
          <w:rtl/>
        </w:rPr>
        <w:t>الثاني</w:t>
      </w:r>
      <w:r w:rsidR="009840EE" w:rsidRPr="00C85F0F">
        <w:rPr>
          <w:rFonts w:hint="eastAsia"/>
          <w:rtl/>
        </w:rPr>
        <w:t> :</w:t>
      </w:r>
      <w:r w:rsidR="009840EE" w:rsidRPr="00C85F0F">
        <w:rPr>
          <w:rFonts w:hint="cs"/>
          <w:rtl/>
        </w:rPr>
        <w:br/>
      </w:r>
      <w:r>
        <w:rPr>
          <w:rFonts w:hint="cs"/>
          <w:rtl/>
        </w:rPr>
        <w:t xml:space="preserve">                                       </w:t>
      </w:r>
      <w:r w:rsidR="009840EE" w:rsidRPr="00C85F0F">
        <w:rPr>
          <w:rFonts w:hint="cs"/>
          <w:rtl/>
        </w:rPr>
        <w:t>شرح القاعدة</w:t>
      </w:r>
      <w:bookmarkEnd w:id="311"/>
    </w:p>
    <w:p w:rsidR="00312986" w:rsidRDefault="00065E4B" w:rsidP="00EA2BD7">
      <w:pPr>
        <w:pStyle w:val="53"/>
        <w:rPr>
          <w:b w:val="0"/>
          <w:rtl/>
        </w:rPr>
      </w:pPr>
      <w:r w:rsidRPr="00EA2BD7">
        <w:rPr>
          <w:rFonts w:hint="cs"/>
          <w:rtl/>
        </w:rPr>
        <w:t>ا</w:t>
      </w:r>
      <w:r w:rsidR="009840EE" w:rsidRPr="00EA2BD7">
        <w:rPr>
          <w:rFonts w:hint="cs"/>
          <w:rtl/>
        </w:rPr>
        <w:t>لحكم</w:t>
      </w:r>
      <w:r w:rsidR="00AB0B9E" w:rsidRPr="00EA2BD7">
        <w:fldChar w:fldCharType="begin"/>
      </w:r>
      <w:r w:rsidR="003E316B" w:rsidRPr="00EA2BD7">
        <w:instrText>XE</w:instrText>
      </w:r>
      <w:r w:rsidR="003E316B" w:rsidRPr="00EA2BD7">
        <w:rPr>
          <w:rtl/>
        </w:rPr>
        <w:instrText xml:space="preserve"> "</w:instrText>
      </w:r>
      <w:r w:rsidR="003E316B" w:rsidRPr="00EA2BD7">
        <w:rPr>
          <w:rFonts w:hint="cs"/>
          <w:rtl/>
        </w:rPr>
        <w:instrText>الحكم</w:instrText>
      </w:r>
      <w:r w:rsidR="003E316B" w:rsidRPr="00EA2BD7">
        <w:rPr>
          <w:rtl/>
        </w:rPr>
        <w:instrText>" \</w:instrText>
      </w:r>
      <w:r w:rsidR="003E316B" w:rsidRPr="00EA2BD7">
        <w:instrText>fm</w:instrText>
      </w:r>
      <w:r w:rsidR="00AB0B9E" w:rsidRPr="00EA2BD7">
        <w:fldChar w:fldCharType="end"/>
      </w:r>
      <w:r w:rsidR="009840EE">
        <w:rPr>
          <w:rFonts w:hint="cs"/>
          <w:b w:val="0"/>
          <w:rtl/>
        </w:rPr>
        <w:t xml:space="preserve"> لغة:</w:t>
      </w:r>
    </w:p>
    <w:p w:rsidR="00065E4B" w:rsidRPr="00BC3A1A" w:rsidRDefault="009840EE" w:rsidP="00597C20">
      <w:pPr>
        <w:ind w:firstLine="720"/>
        <w:rPr>
          <w:rtl/>
        </w:rPr>
      </w:pPr>
      <w:r>
        <w:rPr>
          <w:rFonts w:hint="cs"/>
          <w:rtl/>
        </w:rPr>
        <w:t xml:space="preserve">قال </w:t>
      </w:r>
      <w:r w:rsidR="00393AF0">
        <w:rPr>
          <w:rFonts w:hint="cs"/>
          <w:rtl/>
        </w:rPr>
        <w:t xml:space="preserve"> </w:t>
      </w:r>
      <w:r>
        <w:rPr>
          <w:rFonts w:hint="cs"/>
          <w:rtl/>
        </w:rPr>
        <w:t xml:space="preserve">ابن فارس </w:t>
      </w:r>
      <w:r w:rsidR="00393AF0">
        <w:rPr>
          <w:rFonts w:hint="cs"/>
          <w:rtl/>
        </w:rPr>
        <w:t>_</w:t>
      </w:r>
      <w:r w:rsidR="009A0575" w:rsidRPr="005D5694">
        <w:rPr>
          <w:rFonts w:ascii="Traditional Arabic" w:hAnsi="Traditional Arabic" w:cs="CTraditional Arabic" w:hint="cs"/>
          <w:rtl/>
        </w:rPr>
        <w:t>/</w:t>
      </w:r>
      <w:r w:rsidR="00393AF0">
        <w:rPr>
          <w:rFonts w:hint="cs"/>
          <w:rtl/>
        </w:rPr>
        <w:t>_</w:t>
      </w:r>
      <w:r>
        <w:rPr>
          <w:rFonts w:hint="cs"/>
          <w:rtl/>
        </w:rPr>
        <w:t>: (</w:t>
      </w:r>
      <w:r w:rsidRPr="00BC3A1A">
        <w:rPr>
          <w:rFonts w:ascii="Traditional Arabic" w:hAnsi="Traditional Arabic"/>
          <w:noProof w:val="0"/>
          <w:rtl/>
          <w:lang w:eastAsia="en-US"/>
        </w:rPr>
        <w:t>الحاء والكاف والميم أصل</w:t>
      </w:r>
      <w:r>
        <w:rPr>
          <w:rFonts w:ascii="Traditional Arabic" w:hAnsi="Traditional Arabic" w:hint="cs"/>
          <w:noProof w:val="0"/>
          <w:rtl/>
          <w:lang w:eastAsia="en-US"/>
        </w:rPr>
        <w:t>ٌ</w:t>
      </w:r>
      <w:r w:rsidRPr="00BC3A1A">
        <w:rPr>
          <w:rFonts w:ascii="Traditional Arabic" w:hAnsi="Traditional Arabic"/>
          <w:noProof w:val="0"/>
          <w:rtl/>
          <w:lang w:eastAsia="en-US"/>
        </w:rPr>
        <w:t xml:space="preserve"> واحد، وهو المن</w:t>
      </w:r>
      <w:r>
        <w:rPr>
          <w:rFonts w:ascii="Traditional Arabic" w:hAnsi="Traditional Arabic" w:hint="cs"/>
          <w:noProof w:val="0"/>
          <w:rtl/>
          <w:lang w:eastAsia="en-US"/>
        </w:rPr>
        <w:t>ْ</w:t>
      </w:r>
      <w:r w:rsidRPr="00BC3A1A">
        <w:rPr>
          <w:rFonts w:ascii="Traditional Arabic" w:hAnsi="Traditional Arabic"/>
          <w:noProof w:val="0"/>
          <w:rtl/>
          <w:lang w:eastAsia="en-US"/>
        </w:rPr>
        <w:t>ع. وأو</w:t>
      </w:r>
      <w:r>
        <w:rPr>
          <w:rFonts w:ascii="Traditional Arabic" w:hAnsi="Traditional Arabic" w:hint="cs"/>
          <w:noProof w:val="0"/>
          <w:rtl/>
          <w:lang w:eastAsia="en-US"/>
        </w:rPr>
        <w:t>َّ</w:t>
      </w:r>
      <w:r w:rsidRPr="00BC3A1A">
        <w:rPr>
          <w:rFonts w:ascii="Traditional Arabic" w:hAnsi="Traditional Arabic"/>
          <w:noProof w:val="0"/>
          <w:rtl/>
          <w:lang w:eastAsia="en-US"/>
        </w:rPr>
        <w:t>ل</w:t>
      </w:r>
      <w:r>
        <w:rPr>
          <w:rFonts w:ascii="Traditional Arabic" w:hAnsi="Traditional Arabic" w:hint="cs"/>
          <w:noProof w:val="0"/>
          <w:rtl/>
          <w:lang w:eastAsia="en-US"/>
        </w:rPr>
        <w:t>ُ</w:t>
      </w:r>
      <w:r w:rsidRPr="00BC3A1A">
        <w:rPr>
          <w:rFonts w:ascii="Traditional Arabic" w:hAnsi="Traditional Arabic"/>
          <w:noProof w:val="0"/>
          <w:rtl/>
          <w:lang w:eastAsia="en-US"/>
        </w:rPr>
        <w:t xml:space="preserve"> ذلك الح</w:t>
      </w:r>
      <w:r>
        <w:rPr>
          <w:rFonts w:ascii="Traditional Arabic" w:hAnsi="Traditional Arabic" w:hint="cs"/>
          <w:noProof w:val="0"/>
          <w:rtl/>
          <w:lang w:eastAsia="en-US"/>
        </w:rPr>
        <w:t>ُ</w:t>
      </w:r>
      <w:r w:rsidRPr="00BC3A1A">
        <w:rPr>
          <w:rFonts w:ascii="Traditional Arabic" w:hAnsi="Traditional Arabic"/>
          <w:noProof w:val="0"/>
          <w:rtl/>
          <w:lang w:eastAsia="en-US"/>
        </w:rPr>
        <w:t>كم، وهو المنع من الظلم. وس</w:t>
      </w:r>
      <w:r>
        <w:rPr>
          <w:rFonts w:ascii="Traditional Arabic" w:hAnsi="Traditional Arabic" w:hint="cs"/>
          <w:noProof w:val="0"/>
          <w:rtl/>
          <w:lang w:eastAsia="en-US"/>
        </w:rPr>
        <w:t>ُ</w:t>
      </w:r>
      <w:r w:rsidRPr="00BC3A1A">
        <w:rPr>
          <w:rFonts w:ascii="Traditional Arabic" w:hAnsi="Traditional Arabic"/>
          <w:noProof w:val="0"/>
          <w:rtl/>
          <w:lang w:eastAsia="en-US"/>
        </w:rPr>
        <w:t>م</w:t>
      </w:r>
      <w:r>
        <w:rPr>
          <w:rFonts w:ascii="Traditional Arabic" w:hAnsi="Traditional Arabic" w:hint="cs"/>
          <w:noProof w:val="0"/>
          <w:rtl/>
          <w:lang w:eastAsia="en-US"/>
        </w:rPr>
        <w:t>ِّ</w:t>
      </w:r>
      <w:r w:rsidRPr="00BC3A1A">
        <w:rPr>
          <w:rFonts w:ascii="Traditional Arabic" w:hAnsi="Traditional Arabic"/>
          <w:noProof w:val="0"/>
          <w:rtl/>
          <w:lang w:eastAsia="en-US"/>
        </w:rPr>
        <w:t>ي</w:t>
      </w:r>
      <w:r>
        <w:rPr>
          <w:rFonts w:ascii="Traditional Arabic" w:hAnsi="Traditional Arabic" w:hint="cs"/>
          <w:noProof w:val="0"/>
          <w:rtl/>
          <w:lang w:eastAsia="en-US"/>
        </w:rPr>
        <w:t>َ</w:t>
      </w:r>
      <w:r w:rsidRPr="00BC3A1A">
        <w:rPr>
          <w:rFonts w:ascii="Traditional Arabic" w:hAnsi="Traditional Arabic"/>
          <w:noProof w:val="0"/>
          <w:rtl/>
          <w:lang w:eastAsia="en-US"/>
        </w:rPr>
        <w:t>ت</w:t>
      </w:r>
      <w:r>
        <w:rPr>
          <w:rFonts w:ascii="Traditional Arabic" w:hAnsi="Traditional Arabic" w:hint="cs"/>
          <w:noProof w:val="0"/>
          <w:rtl/>
          <w:lang w:eastAsia="en-US"/>
        </w:rPr>
        <w:t>ْ</w:t>
      </w:r>
      <w:r w:rsidRPr="00BC3A1A">
        <w:rPr>
          <w:rFonts w:ascii="Traditional Arabic" w:hAnsi="Traditional Arabic"/>
          <w:noProof w:val="0"/>
          <w:rtl/>
          <w:lang w:eastAsia="en-US"/>
        </w:rPr>
        <w:t xml:space="preserve"> ح</w:t>
      </w:r>
      <w:r>
        <w:rPr>
          <w:rFonts w:ascii="Traditional Arabic" w:hAnsi="Traditional Arabic" w:hint="cs"/>
          <w:noProof w:val="0"/>
          <w:rtl/>
          <w:lang w:eastAsia="en-US"/>
        </w:rPr>
        <w:t>َ</w:t>
      </w:r>
      <w:r w:rsidRPr="00BC3A1A">
        <w:rPr>
          <w:rFonts w:ascii="Traditional Arabic" w:hAnsi="Traditional Arabic"/>
          <w:noProof w:val="0"/>
          <w:rtl/>
          <w:lang w:eastAsia="en-US"/>
        </w:rPr>
        <w:t>ك</w:t>
      </w:r>
      <w:r>
        <w:rPr>
          <w:rFonts w:ascii="Traditional Arabic" w:hAnsi="Traditional Arabic" w:hint="cs"/>
          <w:noProof w:val="0"/>
          <w:rtl/>
          <w:lang w:eastAsia="en-US"/>
        </w:rPr>
        <w:t>َ</w:t>
      </w:r>
      <w:r w:rsidRPr="00BC3A1A">
        <w:rPr>
          <w:rFonts w:ascii="Traditional Arabic" w:hAnsi="Traditional Arabic"/>
          <w:noProof w:val="0"/>
          <w:rtl/>
          <w:lang w:eastAsia="en-US"/>
        </w:rPr>
        <w:t>مة</w:t>
      </w:r>
      <w:r>
        <w:rPr>
          <w:rFonts w:ascii="Traditional Arabic" w:hAnsi="Traditional Arabic" w:hint="cs"/>
          <w:noProof w:val="0"/>
          <w:rtl/>
          <w:lang w:eastAsia="en-US"/>
        </w:rPr>
        <w:t>ُ</w:t>
      </w:r>
      <w:r w:rsidRPr="00BC3A1A">
        <w:rPr>
          <w:rFonts w:ascii="Traditional Arabic" w:hAnsi="Traditional Arabic"/>
          <w:noProof w:val="0"/>
          <w:rtl/>
          <w:lang w:eastAsia="en-US"/>
        </w:rPr>
        <w:t xml:space="preserve"> الدابة لأنها تمنع</w:t>
      </w:r>
      <w:r>
        <w:rPr>
          <w:rFonts w:ascii="Traditional Arabic" w:hAnsi="Traditional Arabic" w:hint="cs"/>
          <w:noProof w:val="0"/>
          <w:rtl/>
          <w:lang w:eastAsia="en-US"/>
        </w:rPr>
        <w:t>ُ</w:t>
      </w:r>
      <w:r w:rsidRPr="00BC3A1A">
        <w:rPr>
          <w:rFonts w:ascii="Traditional Arabic" w:hAnsi="Traditional Arabic"/>
          <w:noProof w:val="0"/>
          <w:rtl/>
          <w:lang w:eastAsia="en-US"/>
        </w:rPr>
        <w:t>ها، يقال ح</w:t>
      </w:r>
      <w:r>
        <w:rPr>
          <w:rFonts w:ascii="Traditional Arabic" w:hAnsi="Traditional Arabic" w:hint="cs"/>
          <w:noProof w:val="0"/>
          <w:rtl/>
          <w:lang w:eastAsia="en-US"/>
        </w:rPr>
        <w:t>َ</w:t>
      </w:r>
      <w:r w:rsidRPr="00BC3A1A">
        <w:rPr>
          <w:rFonts w:ascii="Traditional Arabic" w:hAnsi="Traditional Arabic"/>
          <w:noProof w:val="0"/>
          <w:rtl/>
          <w:lang w:eastAsia="en-US"/>
        </w:rPr>
        <w:t>ك</w:t>
      </w:r>
      <w:r>
        <w:rPr>
          <w:rFonts w:ascii="Traditional Arabic" w:hAnsi="Traditional Arabic" w:hint="cs"/>
          <w:noProof w:val="0"/>
          <w:rtl/>
          <w:lang w:eastAsia="en-US"/>
        </w:rPr>
        <w:t>َ</w:t>
      </w:r>
      <w:r w:rsidRPr="00BC3A1A">
        <w:rPr>
          <w:rFonts w:ascii="Traditional Arabic" w:hAnsi="Traditional Arabic"/>
          <w:noProof w:val="0"/>
          <w:rtl/>
          <w:lang w:eastAsia="en-US"/>
        </w:rPr>
        <w:t>م</w:t>
      </w:r>
      <w:r>
        <w:rPr>
          <w:rFonts w:ascii="Traditional Arabic" w:hAnsi="Traditional Arabic" w:hint="cs"/>
          <w:noProof w:val="0"/>
          <w:rtl/>
          <w:lang w:eastAsia="en-US"/>
        </w:rPr>
        <w:t>ْ</w:t>
      </w:r>
      <w:r w:rsidRPr="00BC3A1A">
        <w:rPr>
          <w:rFonts w:ascii="Traditional Arabic" w:hAnsi="Traditional Arabic"/>
          <w:noProof w:val="0"/>
          <w:rtl/>
          <w:lang w:eastAsia="en-US"/>
        </w:rPr>
        <w:t>ت</w:t>
      </w:r>
      <w:r>
        <w:rPr>
          <w:rFonts w:ascii="Traditional Arabic" w:hAnsi="Traditional Arabic" w:hint="cs"/>
          <w:noProof w:val="0"/>
          <w:rtl/>
          <w:lang w:eastAsia="en-US"/>
        </w:rPr>
        <w:t>ُ</w:t>
      </w:r>
      <w:r w:rsidRPr="00BC3A1A">
        <w:rPr>
          <w:rFonts w:ascii="Traditional Arabic" w:hAnsi="Traditional Arabic"/>
          <w:noProof w:val="0"/>
          <w:rtl/>
          <w:lang w:eastAsia="en-US"/>
        </w:rPr>
        <w:t xml:space="preserve"> الدابة</w:t>
      </w:r>
      <w:r>
        <w:rPr>
          <w:rFonts w:ascii="Traditional Arabic" w:hAnsi="Traditional Arabic" w:hint="cs"/>
          <w:noProof w:val="0"/>
          <w:rtl/>
          <w:lang w:eastAsia="en-US"/>
        </w:rPr>
        <w:t>َ</w:t>
      </w:r>
      <w:r w:rsidRPr="00BC3A1A">
        <w:rPr>
          <w:rFonts w:ascii="Traditional Arabic" w:hAnsi="Traditional Arabic"/>
          <w:noProof w:val="0"/>
          <w:rtl/>
          <w:lang w:eastAsia="en-US"/>
        </w:rPr>
        <w:t xml:space="preserve"> وأ</w:t>
      </w:r>
      <w:r>
        <w:rPr>
          <w:rFonts w:ascii="Traditional Arabic" w:hAnsi="Traditional Arabic" w:hint="cs"/>
          <w:noProof w:val="0"/>
          <w:rtl/>
          <w:lang w:eastAsia="en-US"/>
        </w:rPr>
        <w:t>َ</w:t>
      </w:r>
      <w:r w:rsidRPr="00BC3A1A">
        <w:rPr>
          <w:rFonts w:ascii="Traditional Arabic" w:hAnsi="Traditional Arabic"/>
          <w:noProof w:val="0"/>
          <w:rtl/>
          <w:lang w:eastAsia="en-US"/>
        </w:rPr>
        <w:t>ح</w:t>
      </w:r>
      <w:r>
        <w:rPr>
          <w:rFonts w:ascii="Traditional Arabic" w:hAnsi="Traditional Arabic" w:hint="cs"/>
          <w:noProof w:val="0"/>
          <w:rtl/>
          <w:lang w:eastAsia="en-US"/>
        </w:rPr>
        <w:t>ْ</w:t>
      </w:r>
      <w:r w:rsidRPr="00BC3A1A">
        <w:rPr>
          <w:rFonts w:ascii="Traditional Arabic" w:hAnsi="Traditional Arabic"/>
          <w:noProof w:val="0"/>
          <w:rtl/>
          <w:lang w:eastAsia="en-US"/>
        </w:rPr>
        <w:t>ك</w:t>
      </w:r>
      <w:r>
        <w:rPr>
          <w:rFonts w:ascii="Traditional Arabic" w:hAnsi="Traditional Arabic" w:hint="cs"/>
          <w:noProof w:val="0"/>
          <w:rtl/>
          <w:lang w:eastAsia="en-US"/>
        </w:rPr>
        <w:t>َ</w:t>
      </w:r>
      <w:r w:rsidRPr="00BC3A1A">
        <w:rPr>
          <w:rFonts w:ascii="Traditional Arabic" w:hAnsi="Traditional Arabic"/>
          <w:noProof w:val="0"/>
          <w:rtl/>
          <w:lang w:eastAsia="en-US"/>
        </w:rPr>
        <w:t>م</w:t>
      </w:r>
      <w:r>
        <w:rPr>
          <w:rFonts w:ascii="Traditional Arabic" w:hAnsi="Traditional Arabic" w:hint="cs"/>
          <w:noProof w:val="0"/>
          <w:rtl/>
          <w:lang w:eastAsia="en-US"/>
        </w:rPr>
        <w:t>ْ</w:t>
      </w:r>
      <w:r w:rsidRPr="00BC3A1A">
        <w:rPr>
          <w:rFonts w:ascii="Traditional Arabic" w:hAnsi="Traditional Arabic"/>
          <w:noProof w:val="0"/>
          <w:rtl/>
          <w:lang w:eastAsia="en-US"/>
        </w:rPr>
        <w:t>ت</w:t>
      </w:r>
      <w:r>
        <w:rPr>
          <w:rFonts w:ascii="Traditional Arabic" w:hAnsi="Traditional Arabic" w:hint="cs"/>
          <w:noProof w:val="0"/>
          <w:rtl/>
          <w:lang w:eastAsia="en-US"/>
        </w:rPr>
        <w:t>ُ</w:t>
      </w:r>
      <w:r w:rsidRPr="00BC3A1A">
        <w:rPr>
          <w:rFonts w:ascii="Traditional Arabic" w:hAnsi="Traditional Arabic"/>
          <w:noProof w:val="0"/>
          <w:rtl/>
          <w:lang w:eastAsia="en-US"/>
        </w:rPr>
        <w:t>ها. ويقال: ح</w:t>
      </w:r>
      <w:r>
        <w:rPr>
          <w:rFonts w:ascii="Traditional Arabic" w:hAnsi="Traditional Arabic" w:hint="cs"/>
          <w:noProof w:val="0"/>
          <w:rtl/>
          <w:lang w:eastAsia="en-US"/>
        </w:rPr>
        <w:t>َ</w:t>
      </w:r>
      <w:r w:rsidRPr="00BC3A1A">
        <w:rPr>
          <w:rFonts w:ascii="Traditional Arabic" w:hAnsi="Traditional Arabic"/>
          <w:noProof w:val="0"/>
          <w:rtl/>
          <w:lang w:eastAsia="en-US"/>
        </w:rPr>
        <w:t>ك</w:t>
      </w:r>
      <w:r>
        <w:rPr>
          <w:rFonts w:ascii="Traditional Arabic" w:hAnsi="Traditional Arabic" w:hint="cs"/>
          <w:noProof w:val="0"/>
          <w:rtl/>
          <w:lang w:eastAsia="en-US"/>
        </w:rPr>
        <w:t>َ</w:t>
      </w:r>
      <w:r w:rsidRPr="00BC3A1A">
        <w:rPr>
          <w:rFonts w:ascii="Traditional Arabic" w:hAnsi="Traditional Arabic"/>
          <w:noProof w:val="0"/>
          <w:rtl/>
          <w:lang w:eastAsia="en-US"/>
        </w:rPr>
        <w:t>م</w:t>
      </w:r>
      <w:r>
        <w:rPr>
          <w:rFonts w:ascii="Traditional Arabic" w:hAnsi="Traditional Arabic" w:hint="cs"/>
          <w:noProof w:val="0"/>
          <w:rtl/>
          <w:lang w:eastAsia="en-US"/>
        </w:rPr>
        <w:t>ْ</w:t>
      </w:r>
      <w:r w:rsidRPr="00BC3A1A">
        <w:rPr>
          <w:rFonts w:ascii="Traditional Arabic" w:hAnsi="Traditional Arabic"/>
          <w:noProof w:val="0"/>
          <w:rtl/>
          <w:lang w:eastAsia="en-US"/>
        </w:rPr>
        <w:t>ت</w:t>
      </w:r>
      <w:r>
        <w:rPr>
          <w:rFonts w:ascii="Traditional Arabic" w:hAnsi="Traditional Arabic" w:hint="cs"/>
          <w:noProof w:val="0"/>
          <w:rtl/>
          <w:lang w:eastAsia="en-US"/>
        </w:rPr>
        <w:t>ُ</w:t>
      </w:r>
      <w:r w:rsidRPr="00BC3A1A">
        <w:rPr>
          <w:rFonts w:ascii="Traditional Arabic" w:hAnsi="Traditional Arabic"/>
          <w:noProof w:val="0"/>
          <w:rtl/>
          <w:lang w:eastAsia="en-US"/>
        </w:rPr>
        <w:t xml:space="preserve"> السفيه</w:t>
      </w:r>
      <w:r>
        <w:rPr>
          <w:rFonts w:ascii="Traditional Arabic" w:hAnsi="Traditional Arabic" w:hint="cs"/>
          <w:noProof w:val="0"/>
          <w:rtl/>
          <w:lang w:eastAsia="en-US"/>
        </w:rPr>
        <w:t>َ</w:t>
      </w:r>
      <w:r w:rsidRPr="00BC3A1A">
        <w:rPr>
          <w:rFonts w:ascii="Traditional Arabic" w:hAnsi="Traditional Arabic"/>
          <w:noProof w:val="0"/>
          <w:rtl/>
          <w:lang w:eastAsia="en-US"/>
        </w:rPr>
        <w:t xml:space="preserve"> وأ</w:t>
      </w:r>
      <w:r>
        <w:rPr>
          <w:rFonts w:ascii="Traditional Arabic" w:hAnsi="Traditional Arabic" w:hint="cs"/>
          <w:noProof w:val="0"/>
          <w:rtl/>
          <w:lang w:eastAsia="en-US"/>
        </w:rPr>
        <w:t>َ</w:t>
      </w:r>
      <w:r w:rsidRPr="00BC3A1A">
        <w:rPr>
          <w:rFonts w:ascii="Traditional Arabic" w:hAnsi="Traditional Arabic"/>
          <w:noProof w:val="0"/>
          <w:rtl/>
          <w:lang w:eastAsia="en-US"/>
        </w:rPr>
        <w:t>ح</w:t>
      </w:r>
      <w:r>
        <w:rPr>
          <w:rFonts w:ascii="Traditional Arabic" w:hAnsi="Traditional Arabic" w:hint="cs"/>
          <w:noProof w:val="0"/>
          <w:rtl/>
          <w:lang w:eastAsia="en-US"/>
        </w:rPr>
        <w:t>ْ</w:t>
      </w:r>
      <w:r w:rsidRPr="00BC3A1A">
        <w:rPr>
          <w:rFonts w:ascii="Traditional Arabic" w:hAnsi="Traditional Arabic"/>
          <w:noProof w:val="0"/>
          <w:rtl/>
          <w:lang w:eastAsia="en-US"/>
        </w:rPr>
        <w:t>ك</w:t>
      </w:r>
      <w:r>
        <w:rPr>
          <w:rFonts w:ascii="Traditional Arabic" w:hAnsi="Traditional Arabic" w:hint="cs"/>
          <w:noProof w:val="0"/>
          <w:rtl/>
          <w:lang w:eastAsia="en-US"/>
        </w:rPr>
        <w:t>َ</w:t>
      </w:r>
      <w:r w:rsidRPr="00BC3A1A">
        <w:rPr>
          <w:rFonts w:ascii="Traditional Arabic" w:hAnsi="Traditional Arabic"/>
          <w:noProof w:val="0"/>
          <w:rtl/>
          <w:lang w:eastAsia="en-US"/>
        </w:rPr>
        <w:t>م</w:t>
      </w:r>
      <w:r>
        <w:rPr>
          <w:rFonts w:ascii="Traditional Arabic" w:hAnsi="Traditional Arabic" w:hint="cs"/>
          <w:noProof w:val="0"/>
          <w:rtl/>
          <w:lang w:eastAsia="en-US"/>
        </w:rPr>
        <w:t>ْ</w:t>
      </w:r>
      <w:r w:rsidRPr="00BC3A1A">
        <w:rPr>
          <w:rFonts w:ascii="Traditional Arabic" w:hAnsi="Traditional Arabic"/>
          <w:noProof w:val="0"/>
          <w:rtl/>
          <w:lang w:eastAsia="en-US"/>
        </w:rPr>
        <w:t>ت</w:t>
      </w:r>
      <w:r>
        <w:rPr>
          <w:rFonts w:ascii="Traditional Arabic" w:hAnsi="Traditional Arabic" w:hint="cs"/>
          <w:noProof w:val="0"/>
          <w:rtl/>
          <w:lang w:eastAsia="en-US"/>
        </w:rPr>
        <w:t>ُ</w:t>
      </w:r>
      <w:r w:rsidRPr="00BC3A1A">
        <w:rPr>
          <w:rFonts w:ascii="Traditional Arabic" w:hAnsi="Traditional Arabic"/>
          <w:noProof w:val="0"/>
          <w:rtl/>
          <w:lang w:eastAsia="en-US"/>
        </w:rPr>
        <w:t>ه، إذا أخذت</w:t>
      </w:r>
      <w:r>
        <w:rPr>
          <w:rFonts w:ascii="Traditional Arabic" w:hAnsi="Traditional Arabic" w:hint="cs"/>
          <w:noProof w:val="0"/>
          <w:rtl/>
          <w:lang w:eastAsia="en-US"/>
        </w:rPr>
        <w:t>َ</w:t>
      </w:r>
      <w:r w:rsidRPr="00BC3A1A">
        <w:rPr>
          <w:rFonts w:ascii="Traditional Arabic" w:hAnsi="Traditional Arabic"/>
          <w:noProof w:val="0"/>
          <w:rtl/>
          <w:lang w:eastAsia="en-US"/>
        </w:rPr>
        <w:t xml:space="preserve"> على يديه</w:t>
      </w:r>
      <w:r>
        <w:rPr>
          <w:rFonts w:hint="cs"/>
          <w:rtl/>
        </w:rPr>
        <w:t>)</w:t>
      </w:r>
      <w:r w:rsidRPr="00C821A1">
        <w:rPr>
          <w:rStyle w:val="af1"/>
          <w:szCs w:val="32"/>
          <w:rtl/>
        </w:rPr>
        <w:t>(</w:t>
      </w:r>
      <w:r w:rsidRPr="00C821A1">
        <w:rPr>
          <w:rStyle w:val="af1"/>
          <w:szCs w:val="32"/>
          <w:rtl/>
        </w:rPr>
        <w:footnoteReference w:id="1550"/>
      </w:r>
      <w:r w:rsidRPr="00C821A1">
        <w:rPr>
          <w:rStyle w:val="af1"/>
          <w:szCs w:val="32"/>
          <w:rtl/>
        </w:rPr>
        <w:t>)</w:t>
      </w:r>
      <w:r>
        <w:rPr>
          <w:rFonts w:hint="cs"/>
          <w:rtl/>
        </w:rPr>
        <w:t>.</w:t>
      </w:r>
    </w:p>
    <w:p w:rsidR="00312986" w:rsidRDefault="00065E4B" w:rsidP="00597C20">
      <w:pPr>
        <w:pStyle w:val="53"/>
        <w:rPr>
          <w:rtl/>
        </w:rPr>
      </w:pPr>
      <w:r>
        <w:rPr>
          <w:rFonts w:hint="cs"/>
          <w:rtl/>
        </w:rPr>
        <w:lastRenderedPageBreak/>
        <w:t>ا</w:t>
      </w:r>
      <w:r w:rsidR="009840EE">
        <w:rPr>
          <w:rFonts w:hint="cs"/>
          <w:rtl/>
        </w:rPr>
        <w:t>لحكم اصطلاحا:</w:t>
      </w:r>
    </w:p>
    <w:p w:rsidR="00065E4B" w:rsidRDefault="009840EE"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إ</w:t>
      </w:r>
      <w:r w:rsidRPr="00887C27">
        <w:rPr>
          <w:rFonts w:ascii="Traditional Arabic" w:hAnsi="Traditional Arabic"/>
          <w:noProof w:val="0"/>
          <w:rtl/>
          <w:lang w:eastAsia="en-US"/>
        </w:rPr>
        <w:t>ثبات</w:t>
      </w:r>
      <w:r>
        <w:rPr>
          <w:rFonts w:ascii="Traditional Arabic" w:hAnsi="Traditional Arabic" w:hint="cs"/>
          <w:noProof w:val="0"/>
          <w:rtl/>
          <w:lang w:eastAsia="en-US"/>
        </w:rPr>
        <w:t>ُ</w:t>
      </w:r>
      <w:r w:rsidRPr="00887C27">
        <w:rPr>
          <w:rFonts w:ascii="Traditional Arabic" w:hAnsi="Traditional Arabic"/>
          <w:noProof w:val="0"/>
          <w:rtl/>
          <w:lang w:eastAsia="en-US"/>
        </w:rPr>
        <w:t xml:space="preserve"> أمر</w:t>
      </w:r>
      <w:r>
        <w:rPr>
          <w:rFonts w:ascii="Traditional Arabic" w:hAnsi="Traditional Arabic" w:hint="cs"/>
          <w:noProof w:val="0"/>
          <w:rtl/>
          <w:lang w:eastAsia="en-US"/>
        </w:rPr>
        <w:t>ٍ</w:t>
      </w:r>
      <w:r w:rsidRPr="00887C27">
        <w:rPr>
          <w:rFonts w:ascii="Traditional Arabic" w:hAnsi="Traditional Arabic"/>
          <w:noProof w:val="0"/>
          <w:rtl/>
          <w:lang w:eastAsia="en-US"/>
        </w:rPr>
        <w:t xml:space="preserve"> لأمر</w:t>
      </w:r>
      <w:r>
        <w:rPr>
          <w:rFonts w:ascii="Traditional Arabic" w:hAnsi="Traditional Arabic" w:hint="cs"/>
          <w:noProof w:val="0"/>
          <w:rtl/>
          <w:lang w:eastAsia="en-US"/>
        </w:rPr>
        <w:t>ٍ</w:t>
      </w:r>
      <w:r w:rsidRPr="00887C27">
        <w:rPr>
          <w:rFonts w:ascii="Traditional Arabic" w:hAnsi="Traditional Arabic"/>
          <w:noProof w:val="0"/>
          <w:rtl/>
          <w:lang w:eastAsia="en-US"/>
        </w:rPr>
        <w:t xml:space="preserve"> أو نفي</w:t>
      </w:r>
      <w:r>
        <w:rPr>
          <w:rFonts w:ascii="Traditional Arabic" w:hAnsi="Traditional Arabic" w:hint="cs"/>
          <w:noProof w:val="0"/>
          <w:rtl/>
          <w:lang w:eastAsia="en-US"/>
        </w:rPr>
        <w:t>ُ</w:t>
      </w:r>
      <w:r>
        <w:rPr>
          <w:rFonts w:ascii="Traditional Arabic" w:hAnsi="Traditional Arabic"/>
          <w:noProof w:val="0"/>
          <w:rtl/>
          <w:lang w:eastAsia="en-US"/>
        </w:rPr>
        <w:t>ه عنه</w:t>
      </w:r>
      <w:r>
        <w:rPr>
          <w:rFonts w:ascii="Traditional Arabic" w:hAnsi="Traditional Arabic" w:hint="cs"/>
          <w:noProof w:val="0"/>
          <w:rtl/>
          <w:lang w:eastAsia="en-US"/>
        </w:rPr>
        <w:t xml:space="preserve">، </w:t>
      </w:r>
      <w:r w:rsidRPr="00887C27">
        <w:rPr>
          <w:rFonts w:ascii="Traditional Arabic" w:hAnsi="Traditional Arabic"/>
          <w:noProof w:val="0"/>
          <w:rtl/>
          <w:lang w:eastAsia="en-US"/>
        </w:rPr>
        <w:t>نحو</w:t>
      </w:r>
      <w:r>
        <w:rPr>
          <w:rFonts w:ascii="Traditional Arabic" w:hAnsi="Traditional Arabic" w:hint="cs"/>
          <w:noProof w:val="0"/>
          <w:rtl/>
          <w:lang w:eastAsia="en-US"/>
        </w:rPr>
        <w:t>:</w:t>
      </w:r>
      <w:r w:rsidRPr="00887C27">
        <w:rPr>
          <w:rFonts w:ascii="Traditional Arabic" w:hAnsi="Traditional Arabic"/>
          <w:noProof w:val="0"/>
          <w:rtl/>
          <w:lang w:eastAsia="en-US"/>
        </w:rPr>
        <w:t xml:space="preserve"> زياد قائم وعمرو ليس بقائم</w:t>
      </w:r>
      <w:r>
        <w:rPr>
          <w:rFonts w:ascii="Traditional Arabic" w:hAnsi="Traditional Arabic" w:hint="cs"/>
          <w:noProof w:val="0"/>
          <w:rtl/>
          <w:lang w:eastAsia="en-US"/>
        </w:rPr>
        <w:t>.</w:t>
      </w:r>
    </w:p>
    <w:p w:rsidR="00065E4B" w:rsidRPr="00887C27" w:rsidRDefault="00065E4B" w:rsidP="00597C20">
      <w:pPr>
        <w:widowControl/>
        <w:autoSpaceDE w:val="0"/>
        <w:autoSpaceDN w:val="0"/>
        <w:adjustRightInd w:val="0"/>
        <w:ind w:firstLine="0"/>
        <w:jc w:val="left"/>
        <w:rPr>
          <w:rFonts w:ascii="Traditional Arabic" w:hAnsi="Traditional Arabic"/>
          <w:noProof w:val="0"/>
          <w:rtl/>
          <w:lang w:eastAsia="en-US"/>
        </w:rPr>
      </w:pPr>
      <w:r w:rsidRPr="00887C27">
        <w:rPr>
          <w:rFonts w:ascii="Traditional Arabic" w:hAnsi="Traditional Arabic"/>
          <w:noProof w:val="0"/>
          <w:rtl/>
          <w:lang w:eastAsia="en-US"/>
        </w:rPr>
        <w:t>و</w:t>
      </w:r>
      <w:r w:rsidR="009840EE" w:rsidRPr="00887C27">
        <w:rPr>
          <w:rFonts w:ascii="Traditional Arabic" w:hAnsi="Traditional Arabic"/>
          <w:noProof w:val="0"/>
          <w:rtl/>
          <w:lang w:eastAsia="en-US"/>
        </w:rPr>
        <w:t>ه</w:t>
      </w:r>
      <w:r w:rsidR="00C87D15">
        <w:rPr>
          <w:rFonts w:ascii="Traditional Arabic" w:hAnsi="Traditional Arabic" w:hint="cs"/>
          <w:noProof w:val="0"/>
          <w:rtl/>
          <w:lang w:eastAsia="en-US"/>
        </w:rPr>
        <w:t>ذا تعريف لمطلق الحكم؛ إذ إ</w:t>
      </w:r>
      <w:r w:rsidR="00983B3F">
        <w:rPr>
          <w:rFonts w:ascii="Traditional Arabic" w:hAnsi="Traditional Arabic" w:hint="cs"/>
          <w:noProof w:val="0"/>
          <w:rtl/>
          <w:lang w:eastAsia="en-US"/>
        </w:rPr>
        <w:t>ن الحكم</w:t>
      </w:r>
      <w:r w:rsidR="009840EE" w:rsidRPr="00887C27">
        <w:rPr>
          <w:rFonts w:ascii="Traditional Arabic" w:hAnsi="Traditional Arabic"/>
          <w:noProof w:val="0"/>
          <w:rtl/>
          <w:lang w:eastAsia="en-US"/>
        </w:rPr>
        <w:t xml:space="preserve"> </w:t>
      </w:r>
      <w:r w:rsidR="00983B3F">
        <w:rPr>
          <w:rFonts w:ascii="Traditional Arabic" w:hAnsi="Traditional Arabic" w:hint="cs"/>
          <w:noProof w:val="0"/>
          <w:rtl/>
          <w:lang w:eastAsia="en-US"/>
        </w:rPr>
        <w:t>ب</w:t>
      </w:r>
      <w:r w:rsidR="009840EE" w:rsidRPr="00887C27">
        <w:rPr>
          <w:rFonts w:ascii="Traditional Arabic" w:hAnsi="Traditional Arabic"/>
          <w:noProof w:val="0"/>
          <w:rtl/>
          <w:lang w:eastAsia="en-US"/>
        </w:rPr>
        <w:t xml:space="preserve">الاستقراء </w:t>
      </w:r>
      <w:r w:rsidR="00983B3F">
        <w:rPr>
          <w:rFonts w:ascii="Traditional Arabic" w:hAnsi="Traditional Arabic" w:hint="cs"/>
          <w:noProof w:val="0"/>
          <w:rtl/>
          <w:lang w:eastAsia="en-US"/>
        </w:rPr>
        <w:t xml:space="preserve">ينقسم </w:t>
      </w:r>
      <w:r w:rsidR="009840EE" w:rsidRPr="00887C27">
        <w:rPr>
          <w:rFonts w:ascii="Traditional Arabic" w:hAnsi="Traditional Arabic"/>
          <w:noProof w:val="0"/>
          <w:rtl/>
          <w:lang w:eastAsia="en-US"/>
        </w:rPr>
        <w:t>إلى ثلاثة أقسام:</w:t>
      </w:r>
    </w:p>
    <w:p w:rsidR="00312986" w:rsidRDefault="00065E4B" w:rsidP="00597C20">
      <w:pPr>
        <w:pStyle w:val="53"/>
        <w:rPr>
          <w:rtl/>
        </w:rPr>
      </w:pPr>
      <w:r w:rsidRPr="00887C27">
        <w:rPr>
          <w:b w:val="0"/>
          <w:rtl/>
        </w:rPr>
        <w:t>ح</w:t>
      </w:r>
      <w:r w:rsidR="009840EE" w:rsidRPr="00887C27">
        <w:rPr>
          <w:b w:val="0"/>
          <w:rtl/>
        </w:rPr>
        <w:t>كم عقل</w:t>
      </w:r>
      <w:r w:rsidR="009840EE" w:rsidRPr="00887C27">
        <w:rPr>
          <w:rFonts w:hint="cs"/>
          <w:b w:val="0"/>
          <w:rtl/>
        </w:rPr>
        <w:t>ي</w:t>
      </w:r>
      <w:r w:rsidR="00AB0B9E">
        <w:rPr>
          <w:b w:val="0"/>
          <w:rtl/>
        </w:rPr>
        <w:fldChar w:fldCharType="begin"/>
      </w:r>
      <w:r w:rsidR="003E316B" w:rsidRPr="00C85F0F">
        <w:rPr>
          <w:bCs w:val="0"/>
        </w:rPr>
        <w:instrText>XE</w:instrText>
      </w:r>
      <w:r w:rsidR="003E316B" w:rsidRPr="00C85F0F">
        <w:rPr>
          <w:bCs w:val="0"/>
          <w:rtl/>
        </w:rPr>
        <w:instrText xml:space="preserve"> "</w:instrText>
      </w:r>
      <w:r w:rsidR="003E316B" w:rsidRPr="00C85F0F">
        <w:rPr>
          <w:rFonts w:hint="cs"/>
          <w:bCs w:val="0"/>
          <w:rtl/>
        </w:rPr>
        <w:instrText>ال</w:instrText>
      </w:r>
      <w:r w:rsidR="003E316B" w:rsidRPr="00C85F0F">
        <w:rPr>
          <w:bCs w:val="0"/>
          <w:rtl/>
        </w:rPr>
        <w:instrText xml:space="preserve">حكم </w:instrText>
      </w:r>
      <w:r w:rsidR="003E316B" w:rsidRPr="00C85F0F">
        <w:rPr>
          <w:rFonts w:hint="cs"/>
          <w:bCs w:val="0"/>
          <w:rtl/>
        </w:rPr>
        <w:instrText>ال</w:instrText>
      </w:r>
      <w:r w:rsidR="003E316B" w:rsidRPr="00C85F0F">
        <w:rPr>
          <w:bCs w:val="0"/>
          <w:rtl/>
        </w:rPr>
        <w:instrText>عقل</w:instrText>
      </w:r>
      <w:r w:rsidR="003E316B" w:rsidRPr="00C85F0F">
        <w:rPr>
          <w:rFonts w:hint="cs"/>
          <w:bCs w:val="0"/>
          <w:rtl/>
        </w:rPr>
        <w:instrText>ي</w:instrText>
      </w:r>
      <w:r w:rsidR="003E316B" w:rsidRPr="00C85F0F">
        <w:rPr>
          <w:bCs w:val="0"/>
          <w:rtl/>
        </w:rPr>
        <w:instrText>" \</w:instrText>
      </w:r>
      <w:r w:rsidR="003E316B" w:rsidRPr="00C85F0F">
        <w:rPr>
          <w:bCs w:val="0"/>
        </w:rPr>
        <w:instrText>f</w:instrText>
      </w:r>
      <w:r w:rsidR="003E316B" w:rsidRPr="003E316B">
        <w:instrText>m</w:instrText>
      </w:r>
      <w:r w:rsidR="00AB0B9E">
        <w:rPr>
          <w:b w:val="0"/>
          <w:rtl/>
        </w:rPr>
        <w:fldChar w:fldCharType="end"/>
      </w:r>
      <w:r w:rsidR="009840EE" w:rsidRPr="00887C27">
        <w:rPr>
          <w:rFonts w:hint="cs"/>
          <w:b w:val="0"/>
          <w:rtl/>
        </w:rPr>
        <w:t>:</w:t>
      </w:r>
    </w:p>
    <w:p w:rsidR="00065E4B" w:rsidRPr="00887C27" w:rsidRDefault="009840EE" w:rsidP="00597C20">
      <w:pPr>
        <w:widowControl/>
        <w:autoSpaceDE w:val="0"/>
        <w:autoSpaceDN w:val="0"/>
        <w:adjustRightInd w:val="0"/>
        <w:ind w:firstLine="720"/>
        <w:rPr>
          <w:rFonts w:ascii="Traditional Arabic" w:hAnsi="Traditional Arabic"/>
          <w:noProof w:val="0"/>
          <w:rtl/>
          <w:lang w:eastAsia="en-US"/>
        </w:rPr>
      </w:pPr>
      <w:r w:rsidRPr="00887C27">
        <w:rPr>
          <w:rFonts w:ascii="Traditional Arabic" w:hAnsi="Traditional Arabic"/>
          <w:noProof w:val="0"/>
          <w:rtl/>
          <w:lang w:eastAsia="en-US"/>
        </w:rPr>
        <w:t>وهو ما يعر</w:t>
      </w:r>
      <w:r>
        <w:rPr>
          <w:rFonts w:ascii="Traditional Arabic" w:hAnsi="Traditional Arabic"/>
          <w:noProof w:val="0"/>
          <w:rtl/>
          <w:lang w:eastAsia="en-US"/>
        </w:rPr>
        <w:t>ف فيه العقل</w:t>
      </w:r>
      <w:r>
        <w:rPr>
          <w:rFonts w:ascii="Traditional Arabic" w:hAnsi="Traditional Arabic" w:hint="cs"/>
          <w:noProof w:val="0"/>
          <w:rtl/>
          <w:lang w:eastAsia="en-US"/>
        </w:rPr>
        <w:t>ُ</w:t>
      </w:r>
      <w:r>
        <w:rPr>
          <w:rFonts w:ascii="Traditional Arabic" w:hAnsi="Traditional Arabic"/>
          <w:noProof w:val="0"/>
          <w:rtl/>
          <w:lang w:eastAsia="en-US"/>
        </w:rPr>
        <w:t xml:space="preserve"> النسبة </w:t>
      </w:r>
      <w:r>
        <w:rPr>
          <w:rFonts w:ascii="Traditional Arabic" w:hAnsi="Traditional Arabic" w:hint="cs"/>
          <w:noProof w:val="0"/>
          <w:rtl/>
          <w:lang w:eastAsia="en-US"/>
        </w:rPr>
        <w:t>إ</w:t>
      </w:r>
      <w:r>
        <w:rPr>
          <w:rFonts w:ascii="Traditional Arabic" w:hAnsi="Traditional Arabic"/>
          <w:noProof w:val="0"/>
          <w:rtl/>
          <w:lang w:eastAsia="en-US"/>
        </w:rPr>
        <w:t>يجاباً أو</w:t>
      </w:r>
      <w:r w:rsidRPr="00887C27">
        <w:rPr>
          <w:rFonts w:ascii="Traditional Arabic" w:hAnsi="Traditional Arabic"/>
          <w:noProof w:val="0"/>
          <w:rtl/>
          <w:lang w:eastAsia="en-US"/>
        </w:rPr>
        <w:t>س</w:t>
      </w:r>
      <w:r>
        <w:rPr>
          <w:rFonts w:ascii="Traditional Arabic" w:hAnsi="Traditional Arabic" w:hint="cs"/>
          <w:noProof w:val="0"/>
          <w:rtl/>
          <w:lang w:eastAsia="en-US"/>
        </w:rPr>
        <w:t>َ</w:t>
      </w:r>
      <w:r w:rsidRPr="00887C27">
        <w:rPr>
          <w:rFonts w:ascii="Traditional Arabic" w:hAnsi="Traditional Arabic"/>
          <w:noProof w:val="0"/>
          <w:rtl/>
          <w:lang w:eastAsia="en-US"/>
        </w:rPr>
        <w:t>ل</w:t>
      </w:r>
      <w:r>
        <w:rPr>
          <w:rFonts w:ascii="Traditional Arabic" w:hAnsi="Traditional Arabic" w:hint="cs"/>
          <w:noProof w:val="0"/>
          <w:rtl/>
          <w:lang w:eastAsia="en-US"/>
        </w:rPr>
        <w:t>ْ</w:t>
      </w:r>
      <w:r w:rsidRPr="00887C27">
        <w:rPr>
          <w:rFonts w:ascii="Traditional Arabic" w:hAnsi="Traditional Arabic"/>
          <w:noProof w:val="0"/>
          <w:rtl/>
          <w:lang w:eastAsia="en-US"/>
        </w:rPr>
        <w:t>باً</w:t>
      </w:r>
      <w:r>
        <w:rPr>
          <w:rFonts w:ascii="Traditional Arabic" w:hAnsi="Traditional Arabic"/>
          <w:noProof w:val="0"/>
          <w:rtl/>
          <w:lang w:eastAsia="en-US"/>
        </w:rPr>
        <w:t xml:space="preserve"> نحو</w:t>
      </w:r>
      <w:r>
        <w:rPr>
          <w:rFonts w:ascii="Traditional Arabic" w:hAnsi="Traditional Arabic" w:hint="cs"/>
          <w:noProof w:val="0"/>
          <w:rtl/>
          <w:lang w:eastAsia="en-US"/>
        </w:rPr>
        <w:t>:</w:t>
      </w:r>
      <w:r>
        <w:rPr>
          <w:rFonts w:ascii="Traditional Arabic" w:hAnsi="Traditional Arabic"/>
          <w:noProof w:val="0"/>
          <w:rtl/>
          <w:lang w:eastAsia="en-US"/>
        </w:rPr>
        <w:t xml:space="preserve"> الكل</w:t>
      </w:r>
      <w:r>
        <w:rPr>
          <w:rFonts w:ascii="Traditional Arabic" w:hAnsi="Traditional Arabic" w:hint="cs"/>
          <w:noProof w:val="0"/>
          <w:rtl/>
          <w:lang w:eastAsia="en-US"/>
        </w:rPr>
        <w:t>ُّ</w:t>
      </w:r>
      <w:r>
        <w:rPr>
          <w:rFonts w:ascii="Traditional Arabic" w:hAnsi="Traditional Arabic"/>
          <w:noProof w:val="0"/>
          <w:rtl/>
          <w:lang w:eastAsia="en-US"/>
        </w:rPr>
        <w:t xml:space="preserve"> أكبر من الجزء </w:t>
      </w:r>
      <w:r>
        <w:rPr>
          <w:rFonts w:ascii="Traditional Arabic" w:hAnsi="Traditional Arabic" w:hint="cs"/>
          <w:noProof w:val="0"/>
          <w:rtl/>
          <w:lang w:eastAsia="en-US"/>
        </w:rPr>
        <w:t>إ</w:t>
      </w:r>
      <w:r>
        <w:rPr>
          <w:rFonts w:ascii="Traditional Arabic" w:hAnsi="Traditional Arabic"/>
          <w:noProof w:val="0"/>
          <w:rtl/>
          <w:lang w:eastAsia="en-US"/>
        </w:rPr>
        <w:t>يجاباً</w:t>
      </w:r>
      <w:r>
        <w:rPr>
          <w:rFonts w:ascii="Traditional Arabic" w:hAnsi="Traditional Arabic" w:hint="cs"/>
          <w:noProof w:val="0"/>
          <w:rtl/>
          <w:lang w:eastAsia="en-US"/>
        </w:rPr>
        <w:t>، و</w:t>
      </w:r>
      <w:r w:rsidRPr="00887C27">
        <w:rPr>
          <w:rFonts w:ascii="Traditional Arabic" w:hAnsi="Traditional Arabic"/>
          <w:noProof w:val="0"/>
          <w:rtl/>
          <w:lang w:eastAsia="en-US"/>
        </w:rPr>
        <w:t>الجزء ليس أكبر</w:t>
      </w:r>
      <w:r>
        <w:rPr>
          <w:rFonts w:ascii="Traditional Arabic" w:hAnsi="Traditional Arabic" w:hint="cs"/>
          <w:noProof w:val="0"/>
          <w:rtl/>
          <w:lang w:eastAsia="en-US"/>
        </w:rPr>
        <w:t>َ</w:t>
      </w:r>
      <w:r w:rsidRPr="00887C27">
        <w:rPr>
          <w:rFonts w:ascii="Traditional Arabic" w:hAnsi="Traditional Arabic"/>
          <w:noProof w:val="0"/>
          <w:rtl/>
          <w:lang w:eastAsia="en-US"/>
        </w:rPr>
        <w:t xml:space="preserve"> من الكل سلباً.</w:t>
      </w:r>
    </w:p>
    <w:p w:rsidR="00312986" w:rsidRDefault="00065E4B" w:rsidP="00597C20">
      <w:pPr>
        <w:pStyle w:val="53"/>
        <w:rPr>
          <w:rtl/>
        </w:rPr>
      </w:pPr>
      <w:r>
        <w:rPr>
          <w:b w:val="0"/>
          <w:rtl/>
        </w:rPr>
        <w:t>ح</w:t>
      </w:r>
      <w:r w:rsidR="009840EE">
        <w:rPr>
          <w:b w:val="0"/>
          <w:rtl/>
        </w:rPr>
        <w:t>كم عاد</w:t>
      </w:r>
      <w:r w:rsidR="009840EE">
        <w:rPr>
          <w:rFonts w:hint="cs"/>
          <w:b w:val="0"/>
          <w:rtl/>
        </w:rPr>
        <w:t>ي</w:t>
      </w:r>
      <w:r w:rsidR="00AB0B9E">
        <w:rPr>
          <w:b w:val="0"/>
          <w:rtl/>
        </w:rPr>
        <w:fldChar w:fldCharType="begin"/>
      </w:r>
      <w:r w:rsidR="003E316B" w:rsidRPr="00C85F0F">
        <w:rPr>
          <w:bCs w:val="0"/>
        </w:rPr>
        <w:instrText>XE</w:instrText>
      </w:r>
      <w:r w:rsidR="003E316B" w:rsidRPr="00C85F0F">
        <w:rPr>
          <w:bCs w:val="0"/>
          <w:rtl/>
        </w:rPr>
        <w:instrText xml:space="preserve"> "</w:instrText>
      </w:r>
      <w:r w:rsidR="003E316B" w:rsidRPr="00C85F0F">
        <w:rPr>
          <w:rFonts w:hint="cs"/>
          <w:bCs w:val="0"/>
          <w:rtl/>
        </w:rPr>
        <w:instrText>ال</w:instrText>
      </w:r>
      <w:r w:rsidR="003E316B" w:rsidRPr="00C85F0F">
        <w:rPr>
          <w:bCs w:val="0"/>
          <w:rtl/>
        </w:rPr>
        <w:instrText xml:space="preserve">حكم </w:instrText>
      </w:r>
      <w:r w:rsidR="003E316B" w:rsidRPr="00C85F0F">
        <w:rPr>
          <w:rFonts w:hint="cs"/>
          <w:bCs w:val="0"/>
          <w:rtl/>
        </w:rPr>
        <w:instrText>ال</w:instrText>
      </w:r>
      <w:r w:rsidR="003E316B" w:rsidRPr="00C85F0F">
        <w:rPr>
          <w:bCs w:val="0"/>
          <w:rtl/>
        </w:rPr>
        <w:instrText>عاد</w:instrText>
      </w:r>
      <w:r w:rsidR="003E316B" w:rsidRPr="00C85F0F">
        <w:rPr>
          <w:rFonts w:hint="cs"/>
          <w:bCs w:val="0"/>
          <w:rtl/>
        </w:rPr>
        <w:instrText>ي</w:instrText>
      </w:r>
      <w:r w:rsidR="003E316B" w:rsidRPr="00C85F0F">
        <w:rPr>
          <w:bCs w:val="0"/>
          <w:rtl/>
        </w:rPr>
        <w:instrText>" \</w:instrText>
      </w:r>
      <w:r w:rsidR="003E316B" w:rsidRPr="00C85F0F">
        <w:rPr>
          <w:bCs w:val="0"/>
        </w:rPr>
        <w:instrText>f</w:instrText>
      </w:r>
      <w:r w:rsidR="003E316B" w:rsidRPr="003E316B">
        <w:instrText>m</w:instrText>
      </w:r>
      <w:r w:rsidR="00AB0B9E">
        <w:rPr>
          <w:b w:val="0"/>
          <w:rtl/>
        </w:rPr>
        <w:fldChar w:fldCharType="end"/>
      </w:r>
      <w:r w:rsidR="009840EE" w:rsidRPr="00887C27">
        <w:rPr>
          <w:b w:val="0"/>
          <w:rtl/>
        </w:rPr>
        <w:t>:</w:t>
      </w:r>
    </w:p>
    <w:p w:rsidR="00065E4B" w:rsidRPr="00887C27" w:rsidRDefault="009840EE" w:rsidP="00597C20">
      <w:pPr>
        <w:widowControl/>
        <w:autoSpaceDE w:val="0"/>
        <w:autoSpaceDN w:val="0"/>
        <w:adjustRightInd w:val="0"/>
        <w:ind w:firstLine="720"/>
        <w:jc w:val="left"/>
        <w:rPr>
          <w:rFonts w:ascii="Traditional Arabic" w:hAnsi="Traditional Arabic"/>
          <w:noProof w:val="0"/>
          <w:rtl/>
          <w:lang w:eastAsia="en-US"/>
        </w:rPr>
      </w:pPr>
      <w:r w:rsidRPr="00887C27">
        <w:rPr>
          <w:rFonts w:ascii="Traditional Arabic" w:hAnsi="Traditional Arabic"/>
          <w:noProof w:val="0"/>
          <w:rtl/>
          <w:lang w:eastAsia="en-US"/>
        </w:rPr>
        <w:t>وهو ما ع</w:t>
      </w:r>
      <w:r>
        <w:rPr>
          <w:rFonts w:ascii="Traditional Arabic" w:hAnsi="Traditional Arabic" w:hint="cs"/>
          <w:noProof w:val="0"/>
          <w:rtl/>
          <w:lang w:eastAsia="en-US"/>
        </w:rPr>
        <w:t>ُ</w:t>
      </w:r>
      <w:r w:rsidRPr="00887C27">
        <w:rPr>
          <w:rFonts w:ascii="Traditional Arabic" w:hAnsi="Traditional Arabic"/>
          <w:noProof w:val="0"/>
          <w:rtl/>
          <w:lang w:eastAsia="en-US"/>
        </w:rPr>
        <w:t>رفت فيه النسبة بالعادة</w:t>
      </w:r>
      <w:r>
        <w:rPr>
          <w:rFonts w:ascii="Traditional Arabic" w:hAnsi="Traditional Arabic" w:hint="cs"/>
          <w:noProof w:val="0"/>
          <w:rtl/>
          <w:lang w:eastAsia="en-US"/>
        </w:rPr>
        <w:t>، مثل: الماء مُرْوٍ.</w:t>
      </w:r>
    </w:p>
    <w:p w:rsidR="00312986" w:rsidRDefault="00065E4B" w:rsidP="00597C20">
      <w:pPr>
        <w:pStyle w:val="53"/>
        <w:rPr>
          <w:b w:val="0"/>
          <w:rtl/>
        </w:rPr>
      </w:pPr>
      <w:r w:rsidRPr="00887C27">
        <w:rPr>
          <w:b w:val="0"/>
          <w:rtl/>
        </w:rPr>
        <w:t>ح</w:t>
      </w:r>
      <w:r w:rsidR="009840EE" w:rsidRPr="00887C27">
        <w:rPr>
          <w:b w:val="0"/>
          <w:rtl/>
        </w:rPr>
        <w:t>كم شرع</w:t>
      </w:r>
      <w:r w:rsidR="009840EE" w:rsidRPr="00887C27">
        <w:rPr>
          <w:rFonts w:hint="cs"/>
          <w:b w:val="0"/>
          <w:rtl/>
        </w:rPr>
        <w:t>ي</w:t>
      </w:r>
      <w:r w:rsidR="00AB0B9E">
        <w:rPr>
          <w:b w:val="0"/>
          <w:rtl/>
        </w:rPr>
        <w:fldChar w:fldCharType="begin"/>
      </w:r>
      <w:r w:rsidR="003E316B" w:rsidRPr="00C85F0F">
        <w:rPr>
          <w:bCs w:val="0"/>
        </w:rPr>
        <w:instrText>XE</w:instrText>
      </w:r>
      <w:r w:rsidR="003E316B" w:rsidRPr="00C85F0F">
        <w:rPr>
          <w:bCs w:val="0"/>
          <w:rtl/>
        </w:rPr>
        <w:instrText xml:space="preserve"> "</w:instrText>
      </w:r>
      <w:r w:rsidR="003E316B" w:rsidRPr="00C85F0F">
        <w:rPr>
          <w:rFonts w:hint="cs"/>
          <w:bCs w:val="0"/>
          <w:rtl/>
        </w:rPr>
        <w:instrText>ال</w:instrText>
      </w:r>
      <w:r w:rsidR="003E316B" w:rsidRPr="00C85F0F">
        <w:rPr>
          <w:bCs w:val="0"/>
          <w:rtl/>
        </w:rPr>
        <w:instrText xml:space="preserve">حكم </w:instrText>
      </w:r>
      <w:r w:rsidR="003E316B" w:rsidRPr="00C85F0F">
        <w:rPr>
          <w:rFonts w:hint="cs"/>
          <w:bCs w:val="0"/>
          <w:rtl/>
        </w:rPr>
        <w:instrText>ال</w:instrText>
      </w:r>
      <w:r w:rsidR="003E316B" w:rsidRPr="00C85F0F">
        <w:rPr>
          <w:bCs w:val="0"/>
          <w:rtl/>
        </w:rPr>
        <w:instrText>شرع</w:instrText>
      </w:r>
      <w:r w:rsidR="003E316B" w:rsidRPr="00C85F0F">
        <w:rPr>
          <w:rFonts w:hint="cs"/>
          <w:bCs w:val="0"/>
          <w:rtl/>
        </w:rPr>
        <w:instrText>ي</w:instrText>
      </w:r>
      <w:r w:rsidR="003E316B" w:rsidRPr="00C85F0F">
        <w:rPr>
          <w:bCs w:val="0"/>
          <w:rtl/>
        </w:rPr>
        <w:instrText>" \</w:instrText>
      </w:r>
      <w:r w:rsidR="003E316B" w:rsidRPr="00C85F0F">
        <w:rPr>
          <w:bCs w:val="0"/>
        </w:rPr>
        <w:instrText>f</w:instrText>
      </w:r>
      <w:r w:rsidR="003E316B" w:rsidRPr="003E316B">
        <w:instrText>m</w:instrText>
      </w:r>
      <w:r w:rsidR="00AB0B9E">
        <w:rPr>
          <w:b w:val="0"/>
          <w:rtl/>
        </w:rPr>
        <w:fldChar w:fldCharType="end"/>
      </w:r>
      <w:r w:rsidR="009840EE" w:rsidRPr="00887C27">
        <w:rPr>
          <w:b w:val="0"/>
          <w:rtl/>
        </w:rPr>
        <w:t>:</w:t>
      </w:r>
    </w:p>
    <w:p w:rsidR="00065E4B" w:rsidRDefault="009840EE" w:rsidP="00597C20">
      <w:pPr>
        <w:ind w:firstLine="720"/>
        <w:rPr>
          <w:rFonts w:ascii="Traditional Arabic" w:hAnsi="Traditional Arabic"/>
          <w:noProof w:val="0"/>
          <w:rtl/>
          <w:lang w:eastAsia="en-US"/>
        </w:rPr>
      </w:pPr>
      <w:r>
        <w:rPr>
          <w:rFonts w:ascii="Traditional Arabic" w:hAnsi="Traditional Arabic"/>
          <w:noProof w:val="0"/>
          <w:rtl/>
          <w:lang w:eastAsia="en-US"/>
        </w:rPr>
        <w:t>و</w:t>
      </w:r>
      <w:r>
        <w:rPr>
          <w:rFonts w:ascii="Traditional Arabic" w:hAnsi="Traditional Arabic" w:hint="cs"/>
          <w:noProof w:val="0"/>
          <w:rtl/>
          <w:lang w:eastAsia="en-US"/>
        </w:rPr>
        <w:t xml:space="preserve">هو </w:t>
      </w:r>
      <w:r w:rsidRPr="00887C27">
        <w:rPr>
          <w:rFonts w:ascii="Traditional Arabic" w:hAnsi="Traditional Arabic"/>
          <w:noProof w:val="0"/>
          <w:rtl/>
          <w:lang w:eastAsia="en-US"/>
        </w:rPr>
        <w:t xml:space="preserve">خطاب الله المتعلق </w:t>
      </w:r>
      <w:r>
        <w:rPr>
          <w:rFonts w:ascii="Traditional Arabic" w:hAnsi="Traditional Arabic"/>
          <w:noProof w:val="0"/>
          <w:rtl/>
          <w:lang w:eastAsia="en-US"/>
        </w:rPr>
        <w:t>ب</w:t>
      </w:r>
      <w:r>
        <w:rPr>
          <w:rFonts w:ascii="Traditional Arabic" w:hAnsi="Traditional Arabic" w:hint="cs"/>
          <w:noProof w:val="0"/>
          <w:rtl/>
          <w:lang w:eastAsia="en-US"/>
        </w:rPr>
        <w:t>أ</w:t>
      </w:r>
      <w:r>
        <w:rPr>
          <w:rFonts w:ascii="Traditional Arabic" w:hAnsi="Traditional Arabic"/>
          <w:noProof w:val="0"/>
          <w:rtl/>
          <w:lang w:eastAsia="en-US"/>
        </w:rPr>
        <w:t>فع</w:t>
      </w:r>
      <w:r>
        <w:rPr>
          <w:rFonts w:ascii="Traditional Arabic" w:hAnsi="Traditional Arabic" w:hint="cs"/>
          <w:noProof w:val="0"/>
          <w:rtl/>
          <w:lang w:eastAsia="en-US"/>
        </w:rPr>
        <w:t>ا</w:t>
      </w:r>
      <w:r>
        <w:rPr>
          <w:rFonts w:ascii="Traditional Arabic" w:hAnsi="Traditional Arabic"/>
          <w:noProof w:val="0"/>
          <w:rtl/>
          <w:lang w:eastAsia="en-US"/>
        </w:rPr>
        <w:t>ل المكل</w:t>
      </w:r>
      <w:r>
        <w:rPr>
          <w:rFonts w:ascii="Traditional Arabic" w:hAnsi="Traditional Arabic" w:hint="cs"/>
          <w:noProof w:val="0"/>
          <w:rtl/>
          <w:lang w:eastAsia="en-US"/>
        </w:rPr>
        <w:t>َّ</w:t>
      </w:r>
      <w:r>
        <w:rPr>
          <w:rFonts w:ascii="Traditional Arabic" w:hAnsi="Traditional Arabic"/>
          <w:noProof w:val="0"/>
          <w:rtl/>
          <w:lang w:eastAsia="en-US"/>
        </w:rPr>
        <w:t>ف</w:t>
      </w:r>
      <w:r>
        <w:rPr>
          <w:rFonts w:ascii="Traditional Arabic" w:hAnsi="Traditional Arabic" w:hint="cs"/>
          <w:noProof w:val="0"/>
          <w:rtl/>
          <w:lang w:eastAsia="en-US"/>
        </w:rPr>
        <w:t>ين بالاقتضاء أو التخيير أو الوضع</w:t>
      </w:r>
      <w:r w:rsidRPr="00C821A1">
        <w:rPr>
          <w:rStyle w:val="af1"/>
          <w:szCs w:val="32"/>
          <w:rtl/>
        </w:rPr>
        <w:t>(</w:t>
      </w:r>
      <w:r w:rsidRPr="00C821A1">
        <w:rPr>
          <w:rStyle w:val="af1"/>
          <w:szCs w:val="32"/>
          <w:rtl/>
        </w:rPr>
        <w:footnoteReference w:id="1551"/>
      </w:r>
      <w:r w:rsidRPr="00C821A1">
        <w:rPr>
          <w:rStyle w:val="af1"/>
          <w:szCs w:val="32"/>
          <w:rtl/>
        </w:rPr>
        <w:t>)</w:t>
      </w:r>
      <w:r>
        <w:rPr>
          <w:rFonts w:ascii="Traditional Arabic" w:hAnsi="Traditional Arabic" w:hint="cs"/>
          <w:noProof w:val="0"/>
          <w:rtl/>
          <w:lang w:eastAsia="en-US"/>
        </w:rPr>
        <w:t>، وهذا هو المقصود في القاعدة</w:t>
      </w:r>
      <w:r w:rsidRPr="00887C27">
        <w:rPr>
          <w:rFonts w:ascii="Traditional Arabic" w:hAnsi="Traditional Arabic"/>
          <w:noProof w:val="0"/>
          <w:rtl/>
          <w:lang w:eastAsia="en-US"/>
        </w:rPr>
        <w:t>.</w:t>
      </w:r>
    </w:p>
    <w:p w:rsidR="00065E4B" w:rsidRDefault="00647199" w:rsidP="00597C20">
      <w:pPr>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Pr>
          <w:rFonts w:ascii="Traditional Arabic" w:hAnsi="Traditional Arabic" w:hint="cs"/>
          <w:noProof w:val="0"/>
          <w:rtl/>
          <w:lang w:eastAsia="en-US"/>
        </w:rPr>
        <w:t>و</w:t>
      </w:r>
      <w:r w:rsidR="009840EE">
        <w:rPr>
          <w:rFonts w:ascii="Traditional Arabic" w:hAnsi="Traditional Arabic" w:hint="cs"/>
          <w:noProof w:val="0"/>
          <w:rtl/>
          <w:lang w:eastAsia="en-US"/>
        </w:rPr>
        <w:t xml:space="preserve">عرف الشيخ ابن عثيمين </w:t>
      </w:r>
      <w:r w:rsidR="007155F8">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7155F8">
        <w:rPr>
          <w:rFonts w:ascii="Traditional Arabic" w:hAnsi="Traditional Arabic" w:hint="cs"/>
          <w:noProof w:val="0"/>
          <w:rtl/>
          <w:lang w:eastAsia="en-US"/>
        </w:rPr>
        <w:t>_</w:t>
      </w:r>
      <w:r w:rsidR="009840EE">
        <w:rPr>
          <w:rFonts w:ascii="Traditional Arabic" w:hAnsi="Traditional Arabic" w:hint="cs"/>
          <w:noProof w:val="0"/>
          <w:rtl/>
          <w:lang w:eastAsia="en-US"/>
        </w:rPr>
        <w:t xml:space="preserve"> الحكم الشرعي بقوله: </w:t>
      </w:r>
      <w:r w:rsidR="00B76414">
        <w:rPr>
          <w:rFonts w:ascii="Traditional Arabic" w:hAnsi="Traditional Arabic" w:hint="cs"/>
          <w:noProof w:val="0"/>
          <w:rtl/>
          <w:lang w:eastAsia="en-US"/>
        </w:rPr>
        <w:t>(</w:t>
      </w:r>
      <w:r w:rsidR="009840EE">
        <w:rPr>
          <w:rFonts w:ascii="Traditional Arabic" w:hAnsi="Traditional Arabic" w:hint="cs"/>
          <w:noProof w:val="0"/>
          <w:rtl/>
          <w:lang w:eastAsia="en-US"/>
        </w:rPr>
        <w:t>ما اقتضاه خطاب الشرع المتعلق بأفعال المكلفين من طلب أو تخيير أو وضع</w:t>
      </w:r>
      <w:r w:rsidR="009840EE" w:rsidRPr="00C821A1">
        <w:rPr>
          <w:rStyle w:val="af1"/>
          <w:szCs w:val="32"/>
          <w:rtl/>
        </w:rPr>
        <w:t>(</w:t>
      </w:r>
      <w:r w:rsidR="009840EE" w:rsidRPr="00C821A1">
        <w:rPr>
          <w:rStyle w:val="af1"/>
          <w:szCs w:val="32"/>
          <w:rtl/>
        </w:rPr>
        <w:footnoteReference w:id="1552"/>
      </w:r>
      <w:r w:rsidR="009840EE" w:rsidRPr="00C821A1">
        <w:rPr>
          <w:rStyle w:val="af1"/>
          <w:szCs w:val="32"/>
          <w:rtl/>
        </w:rPr>
        <w:t>)</w:t>
      </w:r>
      <w:r w:rsidR="009840EE">
        <w:rPr>
          <w:rFonts w:ascii="Traditional Arabic" w:hAnsi="Traditional Arabic" w:hint="cs"/>
          <w:noProof w:val="0"/>
          <w:rtl/>
          <w:lang w:eastAsia="en-US"/>
        </w:rPr>
        <w:t>.</w:t>
      </w:r>
    </w:p>
    <w:p w:rsidR="00065E4B" w:rsidRDefault="00647199" w:rsidP="00597C20">
      <w:pPr>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Pr>
          <w:rFonts w:ascii="Traditional Arabic" w:hAnsi="Traditional Arabic" w:hint="cs"/>
          <w:noProof w:val="0"/>
          <w:rtl/>
          <w:lang w:eastAsia="en-US"/>
        </w:rPr>
        <w:t>و</w:t>
      </w:r>
      <w:r w:rsidR="009840EE">
        <w:rPr>
          <w:rFonts w:ascii="Traditional Arabic" w:hAnsi="Traditional Arabic" w:hint="cs"/>
          <w:noProof w:val="0"/>
          <w:rtl/>
          <w:lang w:eastAsia="en-US"/>
        </w:rPr>
        <w:t>المراد بالحكم في باب القياس حكم الأصل الذي هو أحد أركان القياس</w:t>
      </w:r>
      <w:r w:rsidR="009840EE" w:rsidRPr="00C821A1">
        <w:rPr>
          <w:rStyle w:val="af1"/>
          <w:szCs w:val="32"/>
          <w:rtl/>
        </w:rPr>
        <w:t>(</w:t>
      </w:r>
      <w:r w:rsidR="009840EE" w:rsidRPr="00C821A1">
        <w:rPr>
          <w:rStyle w:val="af1"/>
          <w:szCs w:val="32"/>
          <w:rtl/>
        </w:rPr>
        <w:footnoteReference w:id="1553"/>
      </w:r>
      <w:r w:rsidR="009840EE" w:rsidRPr="00C821A1">
        <w:rPr>
          <w:rStyle w:val="af1"/>
          <w:szCs w:val="32"/>
          <w:rtl/>
        </w:rPr>
        <w:t>)</w:t>
      </w:r>
      <w:r w:rsidR="009840EE">
        <w:rPr>
          <w:rFonts w:ascii="Traditional Arabic" w:hAnsi="Traditional Arabic" w:hint="cs"/>
          <w:noProof w:val="0"/>
          <w:rtl/>
          <w:lang w:eastAsia="en-US"/>
        </w:rPr>
        <w:t xml:space="preserve">؛ ولهذا عرفه الشيخ ابن عثيمين </w:t>
      </w:r>
      <w:r w:rsidR="007155F8">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7155F8">
        <w:rPr>
          <w:rFonts w:ascii="Traditional Arabic" w:hAnsi="Traditional Arabic" w:hint="cs"/>
          <w:noProof w:val="0"/>
          <w:rtl/>
          <w:lang w:eastAsia="en-US"/>
        </w:rPr>
        <w:t>_</w:t>
      </w:r>
      <w:r w:rsidR="009840EE">
        <w:rPr>
          <w:rFonts w:ascii="Traditional Arabic" w:hAnsi="Traditional Arabic" w:hint="cs"/>
          <w:noProof w:val="0"/>
          <w:rtl/>
          <w:lang w:eastAsia="en-US"/>
        </w:rPr>
        <w:t xml:space="preserve"> بقوله: ما اقتضاه الدليل الشرعي من وجوب</w:t>
      </w:r>
      <w:r w:rsidR="00343083">
        <w:rPr>
          <w:rFonts w:ascii="Traditional Arabic" w:hAnsi="Traditional Arabic" w:hint="cs"/>
          <w:noProof w:val="0"/>
          <w:rtl/>
          <w:lang w:eastAsia="en-US"/>
        </w:rPr>
        <w:t>،</w:t>
      </w:r>
      <w:r w:rsidR="009840EE">
        <w:rPr>
          <w:rFonts w:ascii="Traditional Arabic" w:hAnsi="Traditional Arabic" w:hint="cs"/>
          <w:noProof w:val="0"/>
          <w:rtl/>
          <w:lang w:eastAsia="en-US"/>
        </w:rPr>
        <w:t xml:space="preserve"> أو تحريم</w:t>
      </w:r>
      <w:r w:rsidR="00343083">
        <w:rPr>
          <w:rFonts w:ascii="Traditional Arabic" w:hAnsi="Traditional Arabic" w:hint="cs"/>
          <w:noProof w:val="0"/>
          <w:rtl/>
          <w:lang w:eastAsia="en-US"/>
        </w:rPr>
        <w:t>،</w:t>
      </w:r>
      <w:r w:rsidR="009840EE">
        <w:rPr>
          <w:rFonts w:ascii="Traditional Arabic" w:hAnsi="Traditional Arabic" w:hint="cs"/>
          <w:noProof w:val="0"/>
          <w:rtl/>
          <w:lang w:eastAsia="en-US"/>
        </w:rPr>
        <w:t xml:space="preserve"> أو صحة</w:t>
      </w:r>
      <w:r w:rsidR="00343083">
        <w:rPr>
          <w:rFonts w:ascii="Traditional Arabic" w:hAnsi="Traditional Arabic" w:hint="cs"/>
          <w:noProof w:val="0"/>
          <w:rtl/>
          <w:lang w:eastAsia="en-US"/>
        </w:rPr>
        <w:t>،</w:t>
      </w:r>
      <w:r w:rsidR="009840EE">
        <w:rPr>
          <w:rFonts w:ascii="Traditional Arabic" w:hAnsi="Traditional Arabic" w:hint="cs"/>
          <w:noProof w:val="0"/>
          <w:rtl/>
          <w:lang w:eastAsia="en-US"/>
        </w:rPr>
        <w:t xml:space="preserve"> أو فساد</w:t>
      </w:r>
      <w:r w:rsidR="00343083">
        <w:rPr>
          <w:rFonts w:ascii="Traditional Arabic" w:hAnsi="Traditional Arabic" w:hint="cs"/>
          <w:noProof w:val="0"/>
          <w:rtl/>
          <w:lang w:eastAsia="en-US"/>
        </w:rPr>
        <w:t>،</w:t>
      </w:r>
      <w:r w:rsidR="009840EE">
        <w:rPr>
          <w:rFonts w:ascii="Traditional Arabic" w:hAnsi="Traditional Arabic" w:hint="cs"/>
          <w:noProof w:val="0"/>
          <w:rtl/>
          <w:lang w:eastAsia="en-US"/>
        </w:rPr>
        <w:t xml:space="preserve"> أو غيرها)</w:t>
      </w:r>
      <w:r w:rsidR="009840EE" w:rsidRPr="00C821A1">
        <w:rPr>
          <w:rStyle w:val="af1"/>
          <w:szCs w:val="32"/>
          <w:rtl/>
        </w:rPr>
        <w:t>(</w:t>
      </w:r>
      <w:r w:rsidR="009840EE" w:rsidRPr="00C821A1">
        <w:rPr>
          <w:rStyle w:val="af1"/>
          <w:szCs w:val="32"/>
          <w:rtl/>
        </w:rPr>
        <w:footnoteReference w:id="1554"/>
      </w:r>
      <w:r w:rsidR="009840EE" w:rsidRPr="00C821A1">
        <w:rPr>
          <w:rStyle w:val="af1"/>
          <w:szCs w:val="32"/>
          <w:rtl/>
        </w:rPr>
        <w:t>)</w:t>
      </w:r>
      <w:r w:rsidR="009840EE">
        <w:rPr>
          <w:rFonts w:ascii="Traditional Arabic" w:hAnsi="Traditional Arabic" w:hint="cs"/>
          <w:noProof w:val="0"/>
          <w:rtl/>
          <w:lang w:eastAsia="en-US"/>
        </w:rPr>
        <w:t>.</w:t>
      </w:r>
    </w:p>
    <w:p w:rsidR="00312986" w:rsidRDefault="00065E4B" w:rsidP="00597C20">
      <w:pPr>
        <w:pStyle w:val="53"/>
        <w:rPr>
          <w:rtl/>
        </w:rPr>
      </w:pPr>
      <w:r>
        <w:rPr>
          <w:rFonts w:hint="cs"/>
          <w:b w:val="0"/>
          <w:rtl/>
        </w:rPr>
        <w:lastRenderedPageBreak/>
        <w:t>ا</w:t>
      </w:r>
      <w:r w:rsidR="009840EE">
        <w:rPr>
          <w:rFonts w:hint="cs"/>
          <w:b w:val="0"/>
          <w:rtl/>
        </w:rPr>
        <w:t>لعلة</w:t>
      </w:r>
      <w:r w:rsidR="00AB0B9E">
        <w:rPr>
          <w:b w:val="0"/>
          <w:rtl/>
        </w:rPr>
        <w:fldChar w:fldCharType="begin"/>
      </w:r>
      <w:r w:rsidR="003E316B" w:rsidRPr="00C85F0F">
        <w:rPr>
          <w:bCs w:val="0"/>
        </w:rPr>
        <w:instrText>XE</w:instrText>
      </w:r>
      <w:r w:rsidR="003E316B" w:rsidRPr="00C85F0F">
        <w:rPr>
          <w:bCs w:val="0"/>
          <w:rtl/>
        </w:rPr>
        <w:instrText xml:space="preserve"> "</w:instrText>
      </w:r>
      <w:r w:rsidR="003E316B" w:rsidRPr="00C85F0F">
        <w:rPr>
          <w:rFonts w:hint="cs"/>
          <w:bCs w:val="0"/>
          <w:rtl/>
        </w:rPr>
        <w:instrText>العلة</w:instrText>
      </w:r>
      <w:r w:rsidR="003E316B" w:rsidRPr="00C85F0F">
        <w:rPr>
          <w:bCs w:val="0"/>
          <w:rtl/>
        </w:rPr>
        <w:instrText>" \</w:instrText>
      </w:r>
      <w:r w:rsidR="003E316B" w:rsidRPr="00C85F0F">
        <w:rPr>
          <w:bCs w:val="0"/>
        </w:rPr>
        <w:instrText>f</w:instrText>
      </w:r>
      <w:r w:rsidR="003E316B" w:rsidRPr="003E316B">
        <w:instrText>m</w:instrText>
      </w:r>
      <w:r w:rsidR="00AB0B9E">
        <w:rPr>
          <w:b w:val="0"/>
          <w:rtl/>
        </w:rPr>
        <w:fldChar w:fldCharType="end"/>
      </w:r>
      <w:r w:rsidR="009840EE">
        <w:rPr>
          <w:rFonts w:hint="cs"/>
          <w:b w:val="0"/>
          <w:rtl/>
        </w:rPr>
        <w:t xml:space="preserve"> لغة:</w:t>
      </w:r>
    </w:p>
    <w:p w:rsidR="00065E4B" w:rsidRPr="00F97013" w:rsidRDefault="009840EE"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 xml:space="preserve">قال </w:t>
      </w:r>
      <w:r w:rsidR="007155F8">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ابن فارس </w:t>
      </w:r>
      <w:r w:rsidR="007155F8">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7155F8">
        <w:rPr>
          <w:rFonts w:ascii="Traditional Arabic" w:hAnsi="Traditional Arabic" w:hint="cs"/>
          <w:noProof w:val="0"/>
          <w:rtl/>
          <w:lang w:eastAsia="en-US"/>
        </w:rPr>
        <w:t>_</w:t>
      </w:r>
      <w:r>
        <w:rPr>
          <w:rFonts w:ascii="Traditional Arabic" w:hAnsi="Traditional Arabic" w:hint="cs"/>
          <w:noProof w:val="0"/>
          <w:rtl/>
          <w:lang w:eastAsia="en-US"/>
        </w:rPr>
        <w:t>: (</w:t>
      </w:r>
      <w:r w:rsidRPr="00F97013">
        <w:rPr>
          <w:rFonts w:ascii="Traditional Arabic" w:hAnsi="Traditional Arabic"/>
          <w:noProof w:val="0"/>
          <w:rtl/>
          <w:lang w:eastAsia="en-US"/>
        </w:rPr>
        <w:t>العين واللام أصول ثلاثة صحيحة: أحد</w:t>
      </w:r>
      <w:r>
        <w:rPr>
          <w:rFonts w:ascii="Traditional Arabic" w:hAnsi="Traditional Arabic" w:hint="cs"/>
          <w:noProof w:val="0"/>
          <w:rtl/>
          <w:lang w:eastAsia="en-US"/>
        </w:rPr>
        <w:t>ُ</w:t>
      </w:r>
      <w:r w:rsidRPr="00F97013">
        <w:rPr>
          <w:rFonts w:ascii="Traditional Arabic" w:hAnsi="Traditional Arabic"/>
          <w:noProof w:val="0"/>
          <w:rtl/>
          <w:lang w:eastAsia="en-US"/>
        </w:rPr>
        <w:t>ها تكر</w:t>
      </w:r>
      <w:r>
        <w:rPr>
          <w:rFonts w:ascii="Traditional Arabic" w:hAnsi="Traditional Arabic" w:hint="cs"/>
          <w:noProof w:val="0"/>
          <w:rtl/>
          <w:lang w:eastAsia="en-US"/>
        </w:rPr>
        <w:t>ُّ</w:t>
      </w:r>
      <w:r w:rsidRPr="00F97013">
        <w:rPr>
          <w:rFonts w:ascii="Traditional Arabic" w:hAnsi="Traditional Arabic"/>
          <w:noProof w:val="0"/>
          <w:rtl/>
          <w:lang w:eastAsia="en-US"/>
        </w:rPr>
        <w:t>ر أو تكرير، والآخر عائق</w:t>
      </w:r>
      <w:r>
        <w:rPr>
          <w:rFonts w:ascii="Traditional Arabic" w:hAnsi="Traditional Arabic" w:hint="cs"/>
          <w:noProof w:val="0"/>
          <w:rtl/>
          <w:lang w:eastAsia="en-US"/>
        </w:rPr>
        <w:t>ٌ</w:t>
      </w:r>
      <w:r w:rsidRPr="00F97013">
        <w:rPr>
          <w:rFonts w:ascii="Traditional Arabic" w:hAnsi="Traditional Arabic"/>
          <w:noProof w:val="0"/>
          <w:rtl/>
          <w:lang w:eastAsia="en-US"/>
        </w:rPr>
        <w:t xml:space="preserve"> يع</w:t>
      </w:r>
      <w:r>
        <w:rPr>
          <w:rFonts w:ascii="Traditional Arabic" w:hAnsi="Traditional Arabic" w:hint="cs"/>
          <w:noProof w:val="0"/>
          <w:rtl/>
          <w:lang w:eastAsia="en-US"/>
        </w:rPr>
        <w:t>ُ</w:t>
      </w:r>
      <w:r w:rsidRPr="00F97013">
        <w:rPr>
          <w:rFonts w:ascii="Traditional Arabic" w:hAnsi="Traditional Arabic"/>
          <w:noProof w:val="0"/>
          <w:rtl/>
          <w:lang w:eastAsia="en-US"/>
        </w:rPr>
        <w:t>وق، والثالث ض</w:t>
      </w:r>
      <w:r>
        <w:rPr>
          <w:rFonts w:ascii="Traditional Arabic" w:hAnsi="Traditional Arabic" w:hint="cs"/>
          <w:noProof w:val="0"/>
          <w:rtl/>
          <w:lang w:eastAsia="en-US"/>
        </w:rPr>
        <w:t>َ</w:t>
      </w:r>
      <w:r w:rsidRPr="00F97013">
        <w:rPr>
          <w:rFonts w:ascii="Traditional Arabic" w:hAnsi="Traditional Arabic"/>
          <w:noProof w:val="0"/>
          <w:rtl/>
          <w:lang w:eastAsia="en-US"/>
        </w:rPr>
        <w:t>عف</w:t>
      </w:r>
      <w:r>
        <w:rPr>
          <w:rFonts w:ascii="Traditional Arabic" w:hAnsi="Traditional Arabic" w:hint="cs"/>
          <w:noProof w:val="0"/>
          <w:rtl/>
          <w:lang w:eastAsia="en-US"/>
        </w:rPr>
        <w:t>ٌ</w:t>
      </w:r>
      <w:r w:rsidRPr="00F97013">
        <w:rPr>
          <w:rFonts w:ascii="Traditional Arabic" w:hAnsi="Traditional Arabic"/>
          <w:noProof w:val="0"/>
          <w:rtl/>
          <w:lang w:eastAsia="en-US"/>
        </w:rPr>
        <w:t xml:space="preserve"> في الشيء.</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sidRPr="00F97013">
        <w:rPr>
          <w:rFonts w:ascii="Traditional Arabic" w:hAnsi="Traditional Arabic"/>
          <w:noProof w:val="0"/>
          <w:rtl/>
          <w:lang w:eastAsia="en-US"/>
        </w:rPr>
        <w:t>ف</w:t>
      </w:r>
      <w:r w:rsidR="009840EE" w:rsidRPr="00F97013">
        <w:rPr>
          <w:rFonts w:ascii="Traditional Arabic" w:hAnsi="Traditional Arabic"/>
          <w:noProof w:val="0"/>
          <w:rtl/>
          <w:lang w:eastAsia="en-US"/>
        </w:rPr>
        <w:t>الأول الع</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ل</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ل، وهي الش</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ر</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بة الثانية.</w:t>
      </w:r>
      <w:r w:rsidR="009840EE" w:rsidRPr="00F97013">
        <w:rPr>
          <w:rFonts w:ascii="Traditional Arabic" w:hAnsi="Traditional Arabic" w:hint="cs"/>
          <w:noProof w:val="0"/>
          <w:rtl/>
          <w:lang w:eastAsia="en-US"/>
        </w:rPr>
        <w:t>..</w:t>
      </w:r>
      <w:r w:rsidR="009840EE" w:rsidRPr="00F97013">
        <w:rPr>
          <w:rFonts w:ascii="Traditional Arabic" w:hAnsi="Traditional Arabic"/>
          <w:noProof w:val="0"/>
          <w:rtl/>
          <w:lang w:eastAsia="en-US"/>
        </w:rPr>
        <w:t>والأصل الآخر: العائق يعوق.</w:t>
      </w:r>
      <w:r w:rsidR="009840EE" w:rsidRPr="00F97013">
        <w:rPr>
          <w:rFonts w:ascii="Traditional Arabic" w:hAnsi="Traditional Arabic" w:hint="cs"/>
          <w:noProof w:val="0"/>
          <w:rtl/>
          <w:lang w:eastAsia="en-US"/>
        </w:rPr>
        <w:t>..</w:t>
      </w:r>
      <w:r w:rsidR="009840EE" w:rsidRPr="00F97013">
        <w:rPr>
          <w:rFonts w:ascii="Traditional Arabic" w:hAnsi="Traditional Arabic"/>
          <w:noProof w:val="0"/>
          <w:rtl/>
          <w:lang w:eastAsia="en-US"/>
        </w:rPr>
        <w:t>والأصل الثالث: العلة: المرض، وصاحب</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ها م</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ع</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تل</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w:t>
      </w:r>
      <w:r w:rsidR="009840EE" w:rsidRPr="00F97013">
        <w:rPr>
          <w:rFonts w:ascii="Traditional Arabic" w:hAnsi="Traditional Arabic" w:hint="cs"/>
          <w:noProof w:val="0"/>
          <w:rtl/>
          <w:lang w:eastAsia="en-US"/>
        </w:rPr>
        <w:t>..</w:t>
      </w:r>
      <w:r w:rsidR="009840EE" w:rsidRPr="00F97013">
        <w:rPr>
          <w:rFonts w:ascii="Traditional Arabic" w:hAnsi="Traditional Arabic"/>
          <w:noProof w:val="0"/>
          <w:rtl/>
          <w:lang w:eastAsia="en-US"/>
        </w:rPr>
        <w:t xml:space="preserve"> ومن هذا الباب وهو باب الض</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عف: الع</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ل</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 xml:space="preserve"> من الرجال: الم</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س</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ن</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 xml:space="preserve"> الذي ت</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ضاءل وصغ</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ر ج</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سم</w:t>
      </w:r>
      <w:r w:rsidR="009840EE">
        <w:rPr>
          <w:rFonts w:ascii="Traditional Arabic" w:hAnsi="Traditional Arabic" w:hint="cs"/>
          <w:noProof w:val="0"/>
          <w:rtl/>
          <w:lang w:eastAsia="en-US"/>
        </w:rPr>
        <w:t>ُ</w:t>
      </w:r>
      <w:r w:rsidR="009840EE" w:rsidRPr="00F97013">
        <w:rPr>
          <w:rFonts w:ascii="Traditional Arabic" w:hAnsi="Traditional Arabic"/>
          <w:noProof w:val="0"/>
          <w:rtl/>
          <w:lang w:eastAsia="en-US"/>
        </w:rPr>
        <w:t>ه</w:t>
      </w:r>
      <w:r w:rsidR="009840EE">
        <w:rPr>
          <w:rFonts w:ascii="Traditional Arabic" w:hAnsi="Traditional Arabic" w:hint="cs"/>
          <w:noProof w:val="0"/>
          <w:rtl/>
          <w:lang w:eastAsia="en-US"/>
        </w:rPr>
        <w:t>)</w:t>
      </w:r>
      <w:r w:rsidR="009840EE" w:rsidRPr="00C821A1">
        <w:rPr>
          <w:rStyle w:val="af1"/>
          <w:szCs w:val="32"/>
          <w:rtl/>
        </w:rPr>
        <w:t>(</w:t>
      </w:r>
      <w:r w:rsidR="009840EE" w:rsidRPr="00C821A1">
        <w:rPr>
          <w:rStyle w:val="af1"/>
          <w:szCs w:val="32"/>
          <w:rtl/>
        </w:rPr>
        <w:footnoteReference w:id="1555"/>
      </w:r>
      <w:r w:rsidR="009840EE" w:rsidRPr="00C821A1">
        <w:rPr>
          <w:rStyle w:val="af1"/>
          <w:szCs w:val="32"/>
          <w:rtl/>
        </w:rPr>
        <w:t>)</w:t>
      </w:r>
      <w:r w:rsidR="009840EE" w:rsidRPr="00F97013">
        <w:rPr>
          <w:rFonts w:ascii="Traditional Arabic" w:hAnsi="Traditional Arabic"/>
          <w:noProof w:val="0"/>
          <w:rtl/>
          <w:lang w:eastAsia="en-US"/>
        </w:rPr>
        <w:t>.</w:t>
      </w:r>
    </w:p>
    <w:p w:rsidR="00312986" w:rsidRDefault="00065E4B" w:rsidP="00597C20">
      <w:pPr>
        <w:pStyle w:val="53"/>
        <w:rPr>
          <w:rtl/>
        </w:rPr>
      </w:pPr>
      <w:r>
        <w:rPr>
          <w:rFonts w:hint="cs"/>
          <w:rtl/>
        </w:rPr>
        <w:t>ا</w:t>
      </w:r>
      <w:r w:rsidR="009840EE">
        <w:rPr>
          <w:rFonts w:hint="cs"/>
          <w:rtl/>
        </w:rPr>
        <w:t>لعلة اصطلاحا:</w:t>
      </w:r>
    </w:p>
    <w:p w:rsidR="00065E4B" w:rsidRDefault="009840EE"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هي الجامع بين الأصل والفرع، وهو الوصف المشتمل على الحكمة الباعثة على تشريع الحكم</w:t>
      </w:r>
      <w:r w:rsidRPr="00C821A1">
        <w:rPr>
          <w:rStyle w:val="af1"/>
          <w:szCs w:val="32"/>
          <w:rtl/>
        </w:rPr>
        <w:t>(</w:t>
      </w:r>
      <w:r w:rsidRPr="00C821A1">
        <w:rPr>
          <w:rStyle w:val="af1"/>
          <w:szCs w:val="32"/>
          <w:rtl/>
        </w:rPr>
        <w:footnoteReference w:id="1556"/>
      </w:r>
      <w:r w:rsidRPr="00C821A1">
        <w:rPr>
          <w:rStyle w:val="af1"/>
          <w:szCs w:val="32"/>
          <w:rtl/>
        </w:rPr>
        <w:t>)</w:t>
      </w:r>
      <w:r>
        <w:rPr>
          <w:rFonts w:ascii="Traditional Arabic" w:hAnsi="Traditional Arabic" w:hint="cs"/>
          <w:noProof w:val="0"/>
          <w:rtl/>
          <w:lang w:eastAsia="en-US"/>
        </w:rPr>
        <w:t>.</w:t>
      </w:r>
    </w:p>
    <w:p w:rsidR="00065E4B" w:rsidRDefault="00065E4B"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و</w:t>
      </w:r>
      <w:r w:rsidR="009840EE">
        <w:rPr>
          <w:rFonts w:ascii="Traditional Arabic" w:hAnsi="Traditional Arabic" w:hint="cs"/>
          <w:noProof w:val="0"/>
          <w:rtl/>
          <w:lang w:eastAsia="en-US"/>
        </w:rPr>
        <w:t xml:space="preserve">عرفها الشيخ ابن عثيمين بقوله: </w:t>
      </w:r>
      <w:r w:rsidR="00B76414">
        <w:rPr>
          <w:rFonts w:ascii="Traditional Arabic" w:hAnsi="Traditional Arabic" w:hint="cs"/>
          <w:noProof w:val="0"/>
          <w:rtl/>
          <w:lang w:eastAsia="en-US"/>
        </w:rPr>
        <w:t>(</w:t>
      </w:r>
      <w:r w:rsidR="009840EE">
        <w:rPr>
          <w:rFonts w:ascii="Traditional Arabic" w:hAnsi="Traditional Arabic" w:hint="cs"/>
          <w:noProof w:val="0"/>
          <w:rtl/>
          <w:lang w:eastAsia="en-US"/>
        </w:rPr>
        <w:t>المعنى الذي ثبت بسببه حكمُ الأصل)</w:t>
      </w:r>
      <w:r w:rsidR="009840EE" w:rsidRPr="00C821A1">
        <w:rPr>
          <w:rStyle w:val="af1"/>
          <w:szCs w:val="32"/>
          <w:rtl/>
        </w:rPr>
        <w:t>(</w:t>
      </w:r>
      <w:r w:rsidR="009840EE" w:rsidRPr="00C821A1">
        <w:rPr>
          <w:rStyle w:val="af1"/>
          <w:szCs w:val="32"/>
          <w:rtl/>
        </w:rPr>
        <w:footnoteReference w:id="1557"/>
      </w:r>
      <w:r w:rsidR="009840EE" w:rsidRPr="00C821A1">
        <w:rPr>
          <w:rStyle w:val="af1"/>
          <w:szCs w:val="32"/>
          <w:rtl/>
        </w:rPr>
        <w:t>)</w:t>
      </w:r>
      <w:r w:rsidR="009840EE">
        <w:rPr>
          <w:rFonts w:ascii="Traditional Arabic" w:hAnsi="Traditional Arabic" w:hint="cs"/>
          <w:noProof w:val="0"/>
          <w:rtl/>
          <w:lang w:eastAsia="en-US"/>
        </w:rPr>
        <w:t>.</w:t>
      </w:r>
    </w:p>
    <w:p w:rsidR="00065E4B" w:rsidRDefault="00065E4B" w:rsidP="00597C20">
      <w:pPr>
        <w:pStyle w:val="53"/>
        <w:rPr>
          <w:rtl/>
        </w:rPr>
      </w:pPr>
      <w:r w:rsidRPr="007F3E72">
        <w:rPr>
          <w:rFonts w:hint="cs"/>
          <w:rtl/>
        </w:rPr>
        <w:t>م</w:t>
      </w:r>
      <w:r w:rsidR="009840EE" w:rsidRPr="007F3E72">
        <w:rPr>
          <w:rFonts w:hint="cs"/>
          <w:rtl/>
        </w:rPr>
        <w:t>عنى القاعدة إجمالا:</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ه</w:t>
      </w:r>
      <w:r w:rsidR="009840EE">
        <w:rPr>
          <w:rFonts w:ascii="Traditional Arabic" w:hAnsi="Traditional Arabic" w:hint="cs"/>
          <w:noProof w:val="0"/>
          <w:rtl/>
          <w:lang w:eastAsia="en-US"/>
        </w:rPr>
        <w:t>ذه القاعدة من القواعد المهمة المفيدة</w:t>
      </w:r>
      <w:r w:rsidR="009840EE" w:rsidRPr="00C821A1">
        <w:rPr>
          <w:rStyle w:val="af1"/>
          <w:szCs w:val="32"/>
          <w:rtl/>
        </w:rPr>
        <w:t>(</w:t>
      </w:r>
      <w:r w:rsidR="009840EE" w:rsidRPr="00C821A1">
        <w:rPr>
          <w:rStyle w:val="af1"/>
          <w:szCs w:val="32"/>
          <w:rtl/>
        </w:rPr>
        <w:footnoteReference w:id="1558"/>
      </w:r>
      <w:r w:rsidR="009840EE" w:rsidRPr="00C821A1">
        <w:rPr>
          <w:rStyle w:val="af1"/>
          <w:szCs w:val="32"/>
          <w:rtl/>
        </w:rPr>
        <w:t>)</w:t>
      </w:r>
      <w:r w:rsidR="009840EE">
        <w:rPr>
          <w:rFonts w:ascii="Traditional Arabic" w:hAnsi="Traditional Arabic" w:hint="cs"/>
          <w:noProof w:val="0"/>
          <w:rtl/>
          <w:lang w:eastAsia="en-US"/>
        </w:rPr>
        <w:t>، وهي قاعدة عظيمة واسعة تحيط أو تكاد تحيط</w:t>
      </w:r>
      <w:r w:rsidR="007155F8">
        <w:rPr>
          <w:rFonts w:ascii="Traditional Arabic" w:hAnsi="Traditional Arabic" w:hint="cs"/>
          <w:noProof w:val="0"/>
          <w:rtl/>
          <w:lang w:eastAsia="en-US"/>
        </w:rPr>
        <w:t xml:space="preserve"> </w:t>
      </w:r>
      <w:r w:rsidR="00F228A9">
        <w:rPr>
          <w:rFonts w:ascii="Traditional Arabic" w:hAnsi="Traditional Arabic" w:hint="cs"/>
          <w:noProof w:val="0"/>
          <w:rtl/>
          <w:lang w:eastAsia="en-US"/>
        </w:rPr>
        <w:t>بالأحكام الشرعية</w:t>
      </w:r>
      <w:r w:rsidR="00F228A9" w:rsidRPr="00C821A1">
        <w:rPr>
          <w:rStyle w:val="af1"/>
          <w:szCs w:val="32"/>
          <w:rtl/>
        </w:rPr>
        <w:t>(</w:t>
      </w:r>
      <w:r w:rsidR="00F228A9" w:rsidRPr="00C821A1">
        <w:rPr>
          <w:rStyle w:val="af1"/>
          <w:szCs w:val="32"/>
          <w:rtl/>
        </w:rPr>
        <w:footnoteReference w:id="1559"/>
      </w:r>
      <w:r w:rsidR="00F228A9" w:rsidRPr="00C821A1">
        <w:rPr>
          <w:rStyle w:val="af1"/>
          <w:szCs w:val="32"/>
          <w:rtl/>
        </w:rPr>
        <w:t>)</w:t>
      </w:r>
      <w:r w:rsidR="00F228A9">
        <w:rPr>
          <w:rFonts w:ascii="Traditional Arabic" w:hAnsi="Traditional Arabic" w:hint="cs"/>
          <w:noProof w:val="0"/>
          <w:rtl/>
          <w:lang w:eastAsia="en-US"/>
        </w:rPr>
        <w:t>.</w:t>
      </w:r>
    </w:p>
    <w:p w:rsidR="00065E4B" w:rsidRDefault="00065E4B" w:rsidP="00597C20">
      <w:pPr>
        <w:widowControl/>
        <w:autoSpaceDE w:val="0"/>
        <w:autoSpaceDN w:val="0"/>
        <w:adjustRightInd w:val="0"/>
        <w:ind w:firstLine="720"/>
        <w:rPr>
          <w:rtl/>
        </w:rPr>
      </w:pPr>
      <w:r>
        <w:rPr>
          <w:rFonts w:ascii="Traditional Arabic" w:hAnsi="Traditional Arabic" w:hint="cs"/>
          <w:noProof w:val="0"/>
          <w:rtl/>
          <w:lang w:eastAsia="en-US"/>
        </w:rPr>
        <w:t>و</w:t>
      </w:r>
      <w:r w:rsidR="009840EE">
        <w:rPr>
          <w:rFonts w:ascii="Traditional Arabic" w:hAnsi="Traditional Arabic" w:hint="cs"/>
          <w:noProof w:val="0"/>
          <w:rtl/>
          <w:lang w:eastAsia="en-US"/>
        </w:rPr>
        <w:t>هذه القاعدة أصولية فقهية</w:t>
      </w:r>
      <w:r w:rsidR="009840EE" w:rsidRPr="00C821A1">
        <w:rPr>
          <w:rStyle w:val="af1"/>
          <w:szCs w:val="32"/>
          <w:rtl/>
        </w:rPr>
        <w:t>(</w:t>
      </w:r>
      <w:r w:rsidR="009840EE" w:rsidRPr="00C821A1">
        <w:rPr>
          <w:rStyle w:val="af1"/>
          <w:szCs w:val="32"/>
          <w:rtl/>
        </w:rPr>
        <w:footnoteReference w:id="1560"/>
      </w:r>
      <w:r w:rsidR="009840EE" w:rsidRPr="00C821A1">
        <w:rPr>
          <w:rStyle w:val="af1"/>
          <w:szCs w:val="32"/>
          <w:rtl/>
        </w:rPr>
        <w:t>)</w:t>
      </w:r>
      <w:r w:rsidR="009840EE">
        <w:rPr>
          <w:rStyle w:val="af1"/>
          <w:rFonts w:hint="cs"/>
          <w:vertAlign w:val="baseline"/>
          <w:rtl/>
        </w:rPr>
        <w:t xml:space="preserve">؛ إذ هي من القواعد المشتركة بين </w:t>
      </w:r>
      <w:r w:rsidR="009840EE">
        <w:rPr>
          <w:rFonts w:hint="cs"/>
          <w:rtl/>
        </w:rPr>
        <w:t xml:space="preserve">عِلمي </w:t>
      </w:r>
      <w:r w:rsidR="009840EE">
        <w:rPr>
          <w:rStyle w:val="af1"/>
          <w:rFonts w:hint="cs"/>
          <w:vertAlign w:val="baseline"/>
          <w:rtl/>
        </w:rPr>
        <w:t xml:space="preserve">أصول الفقه وقواعد الفقه؛ فهي </w:t>
      </w:r>
      <w:r w:rsidR="009840EE">
        <w:rPr>
          <w:rFonts w:hint="cs"/>
          <w:rtl/>
        </w:rPr>
        <w:t>من حيث الأ</w:t>
      </w:r>
      <w:r w:rsidR="009840EE">
        <w:rPr>
          <w:rStyle w:val="af1"/>
          <w:rFonts w:hint="cs"/>
          <w:vertAlign w:val="baseline"/>
          <w:rtl/>
        </w:rPr>
        <w:t>صل أصولية</w:t>
      </w:r>
      <w:r w:rsidR="009840EE">
        <w:rPr>
          <w:rFonts w:hint="cs"/>
          <w:rtl/>
        </w:rPr>
        <w:t>؛ لِتعلُّقها بالأدلة، من جهة أن الحكم والعلة ركنان من أركان القياس الذي هو أحد الأدلة الشرعية</w:t>
      </w:r>
      <w:r w:rsidR="009840EE" w:rsidRPr="00C821A1">
        <w:rPr>
          <w:rStyle w:val="af1"/>
          <w:szCs w:val="32"/>
          <w:rtl/>
        </w:rPr>
        <w:t>(</w:t>
      </w:r>
      <w:r w:rsidR="009840EE" w:rsidRPr="00C821A1">
        <w:rPr>
          <w:rStyle w:val="af1"/>
          <w:szCs w:val="32"/>
          <w:rtl/>
        </w:rPr>
        <w:footnoteReference w:id="1561"/>
      </w:r>
      <w:r w:rsidR="009840EE" w:rsidRPr="00C821A1">
        <w:rPr>
          <w:rStyle w:val="af1"/>
          <w:szCs w:val="32"/>
          <w:rtl/>
        </w:rPr>
        <w:t>)</w:t>
      </w:r>
      <w:r w:rsidR="009840EE">
        <w:rPr>
          <w:rFonts w:hint="cs"/>
          <w:rtl/>
        </w:rPr>
        <w:t>.</w:t>
      </w:r>
    </w:p>
    <w:p w:rsidR="00065E4B" w:rsidRDefault="00065E4B" w:rsidP="00597C20">
      <w:pPr>
        <w:widowControl/>
        <w:autoSpaceDE w:val="0"/>
        <w:autoSpaceDN w:val="0"/>
        <w:adjustRightInd w:val="0"/>
        <w:ind w:firstLine="720"/>
        <w:rPr>
          <w:rtl/>
        </w:rPr>
      </w:pPr>
      <w:r>
        <w:rPr>
          <w:rFonts w:hint="cs"/>
          <w:rtl/>
        </w:rPr>
        <w:lastRenderedPageBreak/>
        <w:t>و</w:t>
      </w:r>
      <w:r w:rsidR="009840EE">
        <w:rPr>
          <w:rFonts w:hint="cs"/>
          <w:rtl/>
        </w:rPr>
        <w:t>يمكن أن تكون فقهية؛ لتعلقها بموضوع القواعد الفقهية، وهو أفعال المكلفين؛ وذلك من جهة أن أحكام أفعالهم توجد عند وجود عِللها وتنتفي بانتفائها</w:t>
      </w:r>
      <w:r w:rsidR="009840EE" w:rsidRPr="00C821A1">
        <w:rPr>
          <w:rStyle w:val="af1"/>
          <w:szCs w:val="32"/>
          <w:rtl/>
        </w:rPr>
        <w:t>(</w:t>
      </w:r>
      <w:r w:rsidR="009840EE" w:rsidRPr="00C821A1">
        <w:rPr>
          <w:rStyle w:val="af1"/>
          <w:szCs w:val="32"/>
          <w:rtl/>
        </w:rPr>
        <w:footnoteReference w:id="1562"/>
      </w:r>
      <w:r w:rsidR="009840EE" w:rsidRPr="00C821A1">
        <w:rPr>
          <w:rStyle w:val="af1"/>
          <w:szCs w:val="32"/>
          <w:rtl/>
        </w:rPr>
        <w:t>)</w:t>
      </w:r>
      <w:r w:rsidR="009840EE">
        <w:rPr>
          <w:rFonts w:hint="cs"/>
          <w:rtl/>
        </w:rPr>
        <w:t>.</w:t>
      </w:r>
    </w:p>
    <w:p w:rsidR="00065E4B" w:rsidRDefault="00065E4B" w:rsidP="00597C20">
      <w:pPr>
        <w:widowControl/>
        <w:autoSpaceDE w:val="0"/>
        <w:autoSpaceDN w:val="0"/>
        <w:adjustRightInd w:val="0"/>
        <w:ind w:firstLine="720"/>
        <w:rPr>
          <w:rtl/>
        </w:rPr>
      </w:pPr>
      <w:r>
        <w:rPr>
          <w:rFonts w:hint="cs"/>
          <w:rtl/>
        </w:rPr>
        <w:t>و</w:t>
      </w:r>
      <w:r w:rsidR="009840EE">
        <w:rPr>
          <w:rFonts w:hint="cs"/>
          <w:rtl/>
        </w:rPr>
        <w:t>معنى القاعدة أن الحكم يدور مع علته وجودا وعدما، فإذا وُجدت العلة وُجد الحكم، وإن لم توجد العلة امتنع الحكم</w:t>
      </w:r>
      <w:r w:rsidR="009840EE" w:rsidRPr="00C821A1">
        <w:rPr>
          <w:rStyle w:val="af1"/>
          <w:szCs w:val="32"/>
          <w:rtl/>
        </w:rPr>
        <w:t>(</w:t>
      </w:r>
      <w:r w:rsidR="009840EE" w:rsidRPr="00C821A1">
        <w:rPr>
          <w:rStyle w:val="af1"/>
          <w:szCs w:val="32"/>
          <w:rtl/>
        </w:rPr>
        <w:footnoteReference w:id="1563"/>
      </w:r>
      <w:r w:rsidR="009840EE" w:rsidRPr="00C821A1">
        <w:rPr>
          <w:rStyle w:val="af1"/>
          <w:szCs w:val="32"/>
          <w:rtl/>
        </w:rPr>
        <w:t>)</w:t>
      </w:r>
      <w:r w:rsidR="009840EE">
        <w:rPr>
          <w:rFonts w:hint="cs"/>
          <w:rtl/>
        </w:rPr>
        <w:t>.</w:t>
      </w:r>
    </w:p>
    <w:p w:rsidR="00F228A9" w:rsidRDefault="00065E4B" w:rsidP="00597C20">
      <w:pPr>
        <w:widowControl/>
        <w:autoSpaceDE w:val="0"/>
        <w:autoSpaceDN w:val="0"/>
        <w:adjustRightInd w:val="0"/>
        <w:ind w:firstLine="720"/>
        <w:rPr>
          <w:rtl/>
        </w:rPr>
      </w:pPr>
      <w:r>
        <w:rPr>
          <w:rFonts w:hint="cs"/>
          <w:rtl/>
        </w:rPr>
        <w:t>و</w:t>
      </w:r>
      <w:r w:rsidR="009840EE">
        <w:rPr>
          <w:rFonts w:hint="cs"/>
          <w:rtl/>
        </w:rPr>
        <w:t>يدخل في هذه القاعدة مسائل كثيرة</w:t>
      </w:r>
      <w:r w:rsidR="009840EE" w:rsidRPr="00C821A1">
        <w:rPr>
          <w:rStyle w:val="af1"/>
          <w:szCs w:val="32"/>
          <w:rtl/>
        </w:rPr>
        <w:t>(</w:t>
      </w:r>
      <w:r w:rsidR="009840EE" w:rsidRPr="00C821A1">
        <w:rPr>
          <w:rStyle w:val="af1"/>
          <w:szCs w:val="32"/>
          <w:rtl/>
        </w:rPr>
        <w:footnoteReference w:id="1564"/>
      </w:r>
      <w:r w:rsidR="009840EE" w:rsidRPr="00C821A1">
        <w:rPr>
          <w:rStyle w:val="af1"/>
          <w:szCs w:val="32"/>
          <w:rtl/>
        </w:rPr>
        <w:t>)</w:t>
      </w:r>
      <w:r w:rsidR="009840EE">
        <w:rPr>
          <w:rFonts w:hint="cs"/>
          <w:rtl/>
        </w:rPr>
        <w:t>، ومن ذلك كثير من الأحكام المبنية على القواعد، وقد تكون نفس القاعدة هي العلة، مثل قولنا: المشقة تجلب التيسير، لاضرر ولا ضرار،... العبادات والمعاملات تفسد بوجود موانعها أو بفقد شرط من شروطها، وما أشبه ذلك من الأصول التي إذا وُجدت وُجدت الأحكام</w:t>
      </w:r>
      <w:r w:rsidR="009840EE" w:rsidRPr="00C821A1">
        <w:rPr>
          <w:rStyle w:val="af1"/>
          <w:szCs w:val="32"/>
          <w:rtl/>
        </w:rPr>
        <w:t>(</w:t>
      </w:r>
      <w:r w:rsidR="009840EE" w:rsidRPr="00C821A1">
        <w:rPr>
          <w:rStyle w:val="af1"/>
          <w:szCs w:val="32"/>
          <w:rtl/>
        </w:rPr>
        <w:footnoteReference w:id="1565"/>
      </w:r>
      <w:r w:rsidR="009840EE" w:rsidRPr="00C821A1">
        <w:rPr>
          <w:rStyle w:val="af1"/>
          <w:szCs w:val="32"/>
          <w:rtl/>
        </w:rPr>
        <w:t>)</w:t>
      </w:r>
      <w:r w:rsidR="009840EE">
        <w:rPr>
          <w:rFonts w:hint="cs"/>
          <w:rtl/>
        </w:rPr>
        <w:t>.</w:t>
      </w:r>
    </w:p>
    <w:p w:rsidR="009840EE" w:rsidRPr="009840EE" w:rsidRDefault="00D564C3" w:rsidP="00A8347C">
      <w:pPr>
        <w:pStyle w:val="aff3"/>
        <w:rPr>
          <w:rtl/>
        </w:rPr>
      </w:pPr>
      <w:bookmarkStart w:id="312" w:name="_Toc334046526"/>
      <w:r>
        <w:rPr>
          <w:rFonts w:hint="cs"/>
          <w:rtl/>
        </w:rPr>
        <w:t xml:space="preserve">                                         المطلب</w:t>
      </w:r>
      <w:r w:rsidR="007155F8">
        <w:rPr>
          <w:rFonts w:hint="cs"/>
          <w:rtl/>
        </w:rPr>
        <w:t xml:space="preserve"> </w:t>
      </w:r>
      <w:r w:rsidR="009840EE" w:rsidRPr="009840EE">
        <w:rPr>
          <w:rFonts w:hint="cs"/>
          <w:rtl/>
        </w:rPr>
        <w:t>الثالث</w:t>
      </w:r>
      <w:r w:rsidR="009840EE">
        <w:rPr>
          <w:rFonts w:hint="eastAsia"/>
          <w:rtl/>
        </w:rPr>
        <w:t> :</w:t>
      </w:r>
      <w:r w:rsidR="009840EE">
        <w:rPr>
          <w:rFonts w:hint="cs"/>
          <w:rtl/>
        </w:rPr>
        <w:br/>
      </w:r>
      <w:r>
        <w:rPr>
          <w:rFonts w:hint="cs"/>
          <w:rtl/>
        </w:rPr>
        <w:t xml:space="preserve">                                            </w:t>
      </w:r>
      <w:r w:rsidR="009840EE" w:rsidRPr="009840EE">
        <w:rPr>
          <w:rFonts w:hint="cs"/>
          <w:rtl/>
        </w:rPr>
        <w:t>أدلة القاعدة</w:t>
      </w:r>
      <w:bookmarkEnd w:id="312"/>
    </w:p>
    <w:p w:rsidR="009840EE" w:rsidRDefault="009840EE" w:rsidP="000A76C7">
      <w:pPr>
        <w:pStyle w:val="afc"/>
        <w:widowControl/>
        <w:numPr>
          <w:ilvl w:val="0"/>
          <w:numId w:val="213"/>
        </w:numPr>
        <w:autoSpaceDE w:val="0"/>
        <w:autoSpaceDN w:val="0"/>
        <w:adjustRightInd w:val="0"/>
      </w:pPr>
      <w:r>
        <w:rPr>
          <w:rStyle w:val="af1"/>
          <w:rFonts w:hint="cs"/>
          <w:vertAlign w:val="baseline"/>
          <w:rtl/>
        </w:rPr>
        <w:t>قول الله تعال</w:t>
      </w:r>
      <w:r w:rsidR="00936AB3">
        <w:rPr>
          <w:rStyle w:val="af1"/>
          <w:rFonts w:hint="cs"/>
          <w:vertAlign w:val="baseline"/>
          <w:rtl/>
        </w:rPr>
        <w:t>ى</w:t>
      </w:r>
      <w:r w:rsidR="004E79DA">
        <w:rPr>
          <w:rFonts w:hint="cs"/>
          <w:rtl/>
        </w:rPr>
        <w:t>:</w:t>
      </w:r>
      <w:bookmarkStart w:id="313" w:name="سورة_البقرة_239"/>
      <w:r w:rsidR="00936AB3">
        <w:rPr>
          <w:rFonts w:hint="cs"/>
          <w:rtl/>
        </w:rPr>
        <w:t xml:space="preserve"> </w:t>
      </w:r>
      <w:r w:rsidRPr="0082684D">
        <w:rPr>
          <w:rFonts w:ascii="QCF_BSML" w:hAnsi="QCF_BSML" w:cs="QCF_BSML"/>
          <w:noProof w:val="0"/>
          <w:rtl/>
          <w:lang w:eastAsia="en-US"/>
        </w:rPr>
        <w:t>ﭽ</w:t>
      </w:r>
      <w:r w:rsidRPr="0082684D">
        <w:rPr>
          <w:rFonts w:ascii="QCF_P039" w:hAnsi="QCF_P039" w:cs="QCF_P039"/>
          <w:noProof w:val="0"/>
          <w:rtl/>
          <w:lang w:eastAsia="en-US"/>
        </w:rPr>
        <w:t>ﭚ</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ﭛ</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ﭜ</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ﭝ</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ﭞ</w:t>
      </w:r>
      <w:r w:rsidR="007155F8">
        <w:rPr>
          <w:rFonts w:ascii="QCF_P039" w:hAnsi="QCF_P039" w:cs="QCF_P039" w:hint="cs"/>
          <w:noProof w:val="0"/>
          <w:rtl/>
          <w:lang w:eastAsia="en-US"/>
        </w:rPr>
        <w:t xml:space="preserve"> </w:t>
      </w:r>
      <w:r w:rsidRPr="0082684D">
        <w:rPr>
          <w:rFonts w:ascii="QCF_P039" w:hAnsi="QCF_P039" w:cs="QCF_P039"/>
          <w:noProof w:val="0"/>
          <w:color w:val="0000A5"/>
          <w:rtl/>
          <w:lang w:eastAsia="en-US"/>
        </w:rPr>
        <w:t>ﭟ</w:t>
      </w:r>
      <w:r w:rsidR="007155F8">
        <w:rPr>
          <w:rFonts w:ascii="QCF_P039" w:hAnsi="QCF_P039" w:cs="QCF_P039" w:hint="cs"/>
          <w:noProof w:val="0"/>
          <w:color w:val="0000A5"/>
          <w:rtl/>
          <w:lang w:eastAsia="en-US"/>
        </w:rPr>
        <w:t xml:space="preserve"> </w:t>
      </w:r>
      <w:r w:rsidRPr="0082684D">
        <w:rPr>
          <w:rFonts w:ascii="QCF_P039" w:hAnsi="QCF_P039" w:cs="QCF_P039"/>
          <w:noProof w:val="0"/>
          <w:rtl/>
          <w:lang w:eastAsia="en-US"/>
        </w:rPr>
        <w:t>ﭠ</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ﭡ</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ﭢ</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ﭣ</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ﭤ</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ﭥ</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ﭦ</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ﭧ</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ﭨ</w:t>
      </w:r>
      <w:r w:rsidR="007155F8">
        <w:rPr>
          <w:rFonts w:ascii="QCF_P039" w:hAnsi="QCF_P039" w:cs="QCF_P039" w:hint="cs"/>
          <w:noProof w:val="0"/>
          <w:rtl/>
          <w:lang w:eastAsia="en-US"/>
        </w:rPr>
        <w:t xml:space="preserve"> </w:t>
      </w:r>
      <w:r w:rsidRPr="0082684D">
        <w:rPr>
          <w:rFonts w:ascii="QCF_P039" w:hAnsi="QCF_P039" w:cs="QCF_P039"/>
          <w:noProof w:val="0"/>
          <w:rtl/>
          <w:lang w:eastAsia="en-US"/>
        </w:rPr>
        <w:t>ﭩ</w:t>
      </w:r>
      <w:r w:rsidRPr="0082684D">
        <w:rPr>
          <w:rFonts w:ascii="QCF_BSML" w:hAnsi="QCF_BSML" w:cs="QCF_BSML"/>
          <w:noProof w:val="0"/>
          <w:rtl/>
          <w:lang w:eastAsia="en-US"/>
        </w:rPr>
        <w:t>ﭼ</w:t>
      </w:r>
      <w:bookmarkEnd w:id="313"/>
      <w:r>
        <w:rPr>
          <w:rFonts w:ascii="Traditional Arabic" w:hAnsi="Traditional Arabic" w:hint="cs"/>
          <w:noProof w:val="0"/>
          <w:color w:val="auto"/>
          <w:rtl/>
          <w:lang w:eastAsia="en-US"/>
        </w:rPr>
        <w:t>[</w:t>
      </w:r>
      <w:r w:rsidRPr="0082684D">
        <w:rPr>
          <w:rFonts w:ascii="Traditional Arabic" w:hAnsi="Traditional Arabic"/>
          <w:noProof w:val="0"/>
          <w:color w:val="auto"/>
          <w:rtl/>
          <w:lang w:eastAsia="en-US"/>
        </w:rPr>
        <w:t>البقرة: ٢٣٩</w:t>
      </w:r>
      <w:r>
        <w:rPr>
          <w:rFonts w:hint="cs"/>
          <w:rtl/>
        </w:rPr>
        <w:t>].</w:t>
      </w:r>
    </w:p>
    <w:p w:rsidR="009840EE" w:rsidRDefault="009840EE" w:rsidP="00597C20">
      <w:pPr>
        <w:pStyle w:val="53"/>
        <w:rPr>
          <w:rtl/>
        </w:rPr>
      </w:pPr>
      <w:r>
        <w:rPr>
          <w:rFonts w:hint="cs"/>
          <w:rtl/>
        </w:rPr>
        <w:lastRenderedPageBreak/>
        <w:t>وجه الدلالة:</w:t>
      </w:r>
    </w:p>
    <w:p w:rsidR="009840EE" w:rsidRDefault="009840EE" w:rsidP="00597C20">
      <w:pPr>
        <w:widowControl/>
        <w:autoSpaceDE w:val="0"/>
        <w:autoSpaceDN w:val="0"/>
        <w:adjustRightInd w:val="0"/>
        <w:ind w:firstLine="720"/>
        <w:rPr>
          <w:rtl/>
        </w:rPr>
      </w:pPr>
      <w:r>
        <w:rPr>
          <w:rFonts w:hint="cs"/>
          <w:rtl/>
        </w:rPr>
        <w:t>معنى الآية: إن كنتم في خوف، من عدو</w:t>
      </w:r>
      <w:r w:rsidR="00936AB3">
        <w:rPr>
          <w:rFonts w:hint="cs"/>
          <w:rtl/>
        </w:rPr>
        <w:t>ّ</w:t>
      </w:r>
      <w:r>
        <w:rPr>
          <w:rFonts w:hint="cs"/>
          <w:rtl/>
        </w:rPr>
        <w:t xml:space="preserve"> أو س</w:t>
      </w:r>
      <w:r w:rsidR="00936AB3">
        <w:rPr>
          <w:rFonts w:hint="cs"/>
          <w:rtl/>
        </w:rPr>
        <w:t>َ</w:t>
      </w:r>
      <w:r>
        <w:rPr>
          <w:rFonts w:hint="cs"/>
          <w:rtl/>
        </w:rPr>
        <w:t>ب</w:t>
      </w:r>
      <w:r w:rsidR="00936AB3">
        <w:rPr>
          <w:rFonts w:hint="cs"/>
          <w:rtl/>
        </w:rPr>
        <w:t>ُ</w:t>
      </w:r>
      <w:r>
        <w:rPr>
          <w:rFonts w:hint="cs"/>
          <w:rtl/>
        </w:rPr>
        <w:t>ع أو حريق أو غرَق، فصلوا الصلاة ساع</w:t>
      </w:r>
      <w:r w:rsidR="00936AB3">
        <w:rPr>
          <w:rFonts w:hint="cs"/>
          <w:rtl/>
        </w:rPr>
        <w:t>ِ</w:t>
      </w:r>
      <w:r>
        <w:rPr>
          <w:rFonts w:hint="cs"/>
          <w:rtl/>
        </w:rPr>
        <w:t>ين على أرجلكم أو راكبين على رَواحِلكم، فإذا زال الخوف فاذكروا الله</w:t>
      </w:r>
      <w:r w:rsidR="00B76414">
        <w:rPr>
          <w:rFonts w:hint="cs"/>
          <w:rtl/>
        </w:rPr>
        <w:t>،</w:t>
      </w:r>
      <w:r>
        <w:rPr>
          <w:rFonts w:hint="cs"/>
          <w:rtl/>
        </w:rPr>
        <w:t xml:space="preserve"> ومِن ذِكره</w:t>
      </w:r>
      <w:r w:rsidR="007155F8">
        <w:rPr>
          <w:rFonts w:hint="cs"/>
          <w:rtl/>
        </w:rPr>
        <w:t xml:space="preserve"> -</w:t>
      </w:r>
      <w:r>
        <w:rPr>
          <w:rFonts w:hint="cs"/>
          <w:rtl/>
        </w:rPr>
        <w:t xml:space="preserve"> </w:t>
      </w:r>
      <w:r w:rsidR="00866D6A" w:rsidRPr="00866D6A">
        <w:rPr>
          <w:rFonts w:ascii="Traditional Arabic" w:hAnsi="Traditional Arabic" w:hint="cs"/>
          <w:noProof w:val="0"/>
          <w:color w:val="auto"/>
          <w:rtl/>
          <w:lang w:eastAsia="en-US"/>
        </w:rPr>
        <w:sym w:font="AGA Arabesque" w:char="F055"/>
      </w:r>
      <w:r w:rsidR="007155F8">
        <w:rPr>
          <w:rFonts w:hint="cs"/>
          <w:rtl/>
        </w:rPr>
        <w:t xml:space="preserve"> -</w:t>
      </w:r>
      <w:r>
        <w:rPr>
          <w:rFonts w:hint="cs"/>
          <w:rtl/>
        </w:rPr>
        <w:t xml:space="preserve"> أداء الصلاة على الوجه الذي علَّم</w:t>
      </w:r>
      <w:r w:rsidR="00983B3F">
        <w:rPr>
          <w:rFonts w:hint="cs"/>
          <w:rtl/>
        </w:rPr>
        <w:t>َ</w:t>
      </w:r>
      <w:r>
        <w:rPr>
          <w:rFonts w:hint="cs"/>
          <w:rtl/>
        </w:rPr>
        <w:t>نا إياه.</w:t>
      </w:r>
    </w:p>
    <w:p w:rsidR="00936AB3" w:rsidRPr="00C87D15" w:rsidRDefault="009840EE" w:rsidP="00C87D15">
      <w:pPr>
        <w:widowControl/>
        <w:autoSpaceDE w:val="0"/>
        <w:autoSpaceDN w:val="0"/>
        <w:adjustRightInd w:val="0"/>
        <w:ind w:firstLine="720"/>
        <w:rPr>
          <w:rtl/>
        </w:rPr>
      </w:pPr>
      <w:r>
        <w:rPr>
          <w:rFonts w:hint="cs"/>
          <w:rtl/>
        </w:rPr>
        <w:t xml:space="preserve">ويستفاد من هذه الآية أن الحكم يدور مع علته وجودا وعدما، فما دام سبب الحكم باقياً فالحكم باقٍ، وإذا زال السبب زال الحكم؛ لقوله تعالى: </w:t>
      </w:r>
      <w:r w:rsidRPr="00312986">
        <w:rPr>
          <w:rFonts w:ascii="QCF_BSML" w:hAnsi="QCF_BSML" w:cs="QCF_BSML"/>
          <w:noProof w:val="0"/>
          <w:rtl/>
          <w:lang w:eastAsia="en-US"/>
        </w:rPr>
        <w:t>ﭽ</w:t>
      </w:r>
      <w:r w:rsidRPr="00312986">
        <w:rPr>
          <w:rFonts w:ascii="QCF_P039" w:hAnsi="QCF_P039" w:cs="QCF_P039"/>
          <w:noProof w:val="0"/>
          <w:rtl/>
          <w:lang w:eastAsia="en-US"/>
        </w:rPr>
        <w:t>ﭠ</w:t>
      </w:r>
      <w:r w:rsidR="007155F8">
        <w:rPr>
          <w:rFonts w:ascii="QCF_P039" w:hAnsi="QCF_P039" w:cs="QCF_P039" w:hint="cs"/>
          <w:noProof w:val="0"/>
          <w:rtl/>
          <w:lang w:eastAsia="en-US"/>
        </w:rPr>
        <w:t xml:space="preserve"> </w:t>
      </w:r>
      <w:r w:rsidRPr="00312986">
        <w:rPr>
          <w:rFonts w:ascii="QCF_P039" w:hAnsi="QCF_P039" w:cs="QCF_P039"/>
          <w:noProof w:val="0"/>
          <w:rtl/>
          <w:lang w:eastAsia="en-US"/>
        </w:rPr>
        <w:t>ﭡ</w:t>
      </w:r>
      <w:r w:rsidR="007155F8">
        <w:rPr>
          <w:rFonts w:ascii="QCF_P039" w:hAnsi="QCF_P039" w:cs="QCF_P039" w:hint="cs"/>
          <w:noProof w:val="0"/>
          <w:rtl/>
          <w:lang w:eastAsia="en-US"/>
        </w:rPr>
        <w:t xml:space="preserve"> </w:t>
      </w:r>
      <w:r w:rsidRPr="00312986">
        <w:rPr>
          <w:rFonts w:ascii="QCF_P039" w:hAnsi="QCF_P039" w:cs="QCF_P039"/>
          <w:noProof w:val="0"/>
          <w:rtl/>
          <w:lang w:eastAsia="en-US"/>
        </w:rPr>
        <w:t>ﭢ</w:t>
      </w:r>
      <w:r w:rsidR="007155F8">
        <w:rPr>
          <w:rFonts w:ascii="QCF_P039" w:hAnsi="QCF_P039" w:cs="QCF_P039" w:hint="cs"/>
          <w:noProof w:val="0"/>
          <w:rtl/>
          <w:lang w:eastAsia="en-US"/>
        </w:rPr>
        <w:t xml:space="preserve"> </w:t>
      </w:r>
      <w:r w:rsidRPr="00312986">
        <w:rPr>
          <w:rFonts w:ascii="QCF_P039" w:hAnsi="QCF_P039" w:cs="QCF_P039"/>
          <w:noProof w:val="0"/>
          <w:rtl/>
          <w:lang w:eastAsia="en-US"/>
        </w:rPr>
        <w:t>ﭣ</w:t>
      </w:r>
      <w:r w:rsidR="007155F8">
        <w:rPr>
          <w:rFonts w:ascii="QCF_P039" w:hAnsi="QCF_P039" w:cs="QCF_P039" w:hint="cs"/>
          <w:noProof w:val="0"/>
          <w:rtl/>
          <w:lang w:eastAsia="en-US"/>
        </w:rPr>
        <w:t xml:space="preserve"> </w:t>
      </w:r>
      <w:r w:rsidRPr="00312986">
        <w:rPr>
          <w:rFonts w:ascii="QCF_P039" w:hAnsi="QCF_P039" w:cs="QCF_P039"/>
          <w:noProof w:val="0"/>
          <w:rtl/>
          <w:lang w:eastAsia="en-US"/>
        </w:rPr>
        <w:t>ﭤ</w:t>
      </w:r>
      <w:r w:rsidR="007155F8">
        <w:rPr>
          <w:rFonts w:ascii="QCF_P039" w:hAnsi="QCF_P039" w:cs="QCF_P039" w:hint="cs"/>
          <w:noProof w:val="0"/>
          <w:rtl/>
          <w:lang w:eastAsia="en-US"/>
        </w:rPr>
        <w:t xml:space="preserve"> </w:t>
      </w:r>
      <w:r w:rsidRPr="00312986">
        <w:rPr>
          <w:rFonts w:ascii="QCF_P039" w:hAnsi="QCF_P039" w:cs="QCF_P039"/>
          <w:noProof w:val="0"/>
          <w:rtl/>
          <w:lang w:eastAsia="en-US"/>
        </w:rPr>
        <w:t>ﭥ</w:t>
      </w:r>
      <w:r w:rsidR="007155F8">
        <w:rPr>
          <w:rFonts w:ascii="QCF_P039" w:hAnsi="QCF_P039" w:cs="QCF_P039" w:hint="cs"/>
          <w:noProof w:val="0"/>
          <w:rtl/>
          <w:lang w:eastAsia="en-US"/>
        </w:rPr>
        <w:t xml:space="preserve"> </w:t>
      </w:r>
      <w:r w:rsidRPr="00312986">
        <w:rPr>
          <w:rFonts w:ascii="QCF_P039" w:hAnsi="QCF_P039" w:cs="QCF_P039"/>
          <w:noProof w:val="0"/>
          <w:rtl/>
          <w:lang w:eastAsia="en-US"/>
        </w:rPr>
        <w:t>ﭦ</w:t>
      </w:r>
      <w:r w:rsidR="007155F8">
        <w:rPr>
          <w:rFonts w:ascii="QCF_P039" w:hAnsi="QCF_P039" w:cs="QCF_P039" w:hint="cs"/>
          <w:noProof w:val="0"/>
          <w:rtl/>
          <w:lang w:eastAsia="en-US"/>
        </w:rPr>
        <w:t xml:space="preserve"> </w:t>
      </w:r>
      <w:r w:rsidRPr="00312986">
        <w:rPr>
          <w:rFonts w:ascii="QCF_P039" w:hAnsi="QCF_P039" w:cs="QCF_P039"/>
          <w:noProof w:val="0"/>
          <w:rtl/>
          <w:lang w:eastAsia="en-US"/>
        </w:rPr>
        <w:t>ﭧ</w:t>
      </w:r>
      <w:r w:rsidR="007155F8">
        <w:rPr>
          <w:rFonts w:ascii="QCF_P039" w:hAnsi="QCF_P039" w:cs="QCF_P039" w:hint="cs"/>
          <w:noProof w:val="0"/>
          <w:rtl/>
          <w:lang w:eastAsia="en-US"/>
        </w:rPr>
        <w:t xml:space="preserve"> </w:t>
      </w:r>
      <w:r w:rsidRPr="00312986">
        <w:rPr>
          <w:rFonts w:ascii="QCF_P039" w:hAnsi="QCF_P039" w:cs="QCF_P039"/>
          <w:noProof w:val="0"/>
          <w:rtl/>
          <w:lang w:eastAsia="en-US"/>
        </w:rPr>
        <w:t>ﭨ</w:t>
      </w:r>
      <w:r w:rsidR="007155F8">
        <w:rPr>
          <w:rFonts w:ascii="QCF_P039" w:hAnsi="QCF_P039" w:cs="QCF_P039" w:hint="cs"/>
          <w:noProof w:val="0"/>
          <w:rtl/>
          <w:lang w:eastAsia="en-US"/>
        </w:rPr>
        <w:t xml:space="preserve"> </w:t>
      </w:r>
      <w:r w:rsidRPr="00312986">
        <w:rPr>
          <w:rFonts w:ascii="QCF_P039" w:hAnsi="QCF_P039" w:cs="QCF_P039"/>
          <w:noProof w:val="0"/>
          <w:rtl/>
          <w:lang w:eastAsia="en-US"/>
        </w:rPr>
        <w:t>ﭩ</w:t>
      </w:r>
      <w:r w:rsidRPr="00312986">
        <w:rPr>
          <w:rFonts w:ascii="QCF_BSML" w:hAnsi="QCF_BSML" w:cs="QCF_BSML"/>
          <w:noProof w:val="0"/>
          <w:rtl/>
          <w:lang w:eastAsia="en-US"/>
        </w:rPr>
        <w:t>ﭼ</w:t>
      </w:r>
      <w:r w:rsidRPr="00C821A1">
        <w:rPr>
          <w:rStyle w:val="af1"/>
          <w:szCs w:val="32"/>
          <w:rtl/>
        </w:rPr>
        <w:t>(</w:t>
      </w:r>
      <w:r w:rsidRPr="00C821A1">
        <w:rPr>
          <w:rStyle w:val="af1"/>
          <w:szCs w:val="32"/>
          <w:rtl/>
        </w:rPr>
        <w:footnoteReference w:id="1566"/>
      </w:r>
      <w:r w:rsidRPr="00C821A1">
        <w:rPr>
          <w:rStyle w:val="af1"/>
          <w:szCs w:val="32"/>
          <w:rtl/>
        </w:rPr>
        <w:t>)</w:t>
      </w:r>
      <w:r>
        <w:rPr>
          <w:rFonts w:hint="cs"/>
          <w:rtl/>
        </w:rPr>
        <w:t>.</w:t>
      </w:r>
      <w:r w:rsidR="007155F8">
        <w:rPr>
          <w:rFonts w:ascii="Traditional Arabic" w:hAnsi="Traditional Arabic" w:hint="cs"/>
          <w:noProof w:val="0"/>
          <w:rtl/>
          <w:lang w:eastAsia="en-US"/>
        </w:rPr>
        <w:t xml:space="preserve">        </w:t>
      </w:r>
    </w:p>
    <w:p w:rsidR="009840EE" w:rsidRPr="0059733B" w:rsidRDefault="00C87D15" w:rsidP="00597C20">
      <w:pPr>
        <w:widowControl/>
        <w:autoSpaceDE w:val="0"/>
        <w:autoSpaceDN w:val="0"/>
        <w:adjustRightInd w:val="0"/>
        <w:ind w:firstLine="0"/>
        <w:jc w:val="left"/>
        <w:rPr>
          <w:rFonts w:ascii="Traditional Arabic" w:hAnsi="Traditional Arabic"/>
          <w:b/>
          <w:bCs/>
          <w:noProof w:val="0"/>
          <w:color w:val="000000" w:themeColor="text1"/>
          <w:sz w:val="44"/>
          <w:szCs w:val="44"/>
          <w:rtl/>
          <w:lang w:eastAsia="en-US"/>
        </w:rPr>
      </w:pPr>
      <w:r>
        <w:rPr>
          <w:rFonts w:ascii="Traditional Arabic" w:hAnsi="Traditional Arabic" w:hint="cs"/>
          <w:noProof w:val="0"/>
          <w:rtl/>
          <w:lang w:eastAsia="en-US"/>
        </w:rPr>
        <w:t xml:space="preserve">    </w:t>
      </w:r>
      <w:r w:rsidR="00065E4B">
        <w:rPr>
          <w:rFonts w:ascii="Traditional Arabic" w:hAnsi="Traditional Arabic" w:hint="cs"/>
          <w:noProof w:val="0"/>
          <w:rtl/>
          <w:lang w:eastAsia="en-US"/>
        </w:rPr>
        <w:t>و</w:t>
      </w:r>
      <w:r w:rsidR="009840EE">
        <w:rPr>
          <w:rFonts w:ascii="Traditional Arabic" w:hAnsi="Traditional Arabic" w:hint="cs"/>
          <w:noProof w:val="0"/>
          <w:rtl/>
          <w:lang w:eastAsia="en-US"/>
        </w:rPr>
        <w:t>يستفاد من ذلك أن الحكم يدور مع علته وجودا وعدما</w:t>
      </w:r>
      <w:r w:rsidR="009840EE" w:rsidRPr="00C821A1">
        <w:rPr>
          <w:rStyle w:val="af1"/>
          <w:szCs w:val="32"/>
          <w:rtl/>
        </w:rPr>
        <w:t>(</w:t>
      </w:r>
      <w:r w:rsidR="009840EE" w:rsidRPr="00C821A1">
        <w:rPr>
          <w:rStyle w:val="af1"/>
          <w:szCs w:val="32"/>
          <w:rtl/>
        </w:rPr>
        <w:footnoteReference w:id="1567"/>
      </w:r>
      <w:r w:rsidR="009840EE" w:rsidRPr="00C821A1">
        <w:rPr>
          <w:rStyle w:val="af1"/>
          <w:szCs w:val="32"/>
          <w:rtl/>
        </w:rPr>
        <w:t>)</w:t>
      </w:r>
      <w:r w:rsidR="009840EE" w:rsidRPr="009A334C">
        <w:rPr>
          <w:rFonts w:ascii="Traditional Arabic" w:hAnsi="Traditional Arabic"/>
          <w:noProof w:val="0"/>
          <w:rtl/>
          <w:lang w:eastAsia="en-US"/>
        </w:rPr>
        <w:t>.</w:t>
      </w:r>
    </w:p>
    <w:p w:rsidR="009840EE" w:rsidRPr="001F090D" w:rsidRDefault="009840EE" w:rsidP="000A76C7">
      <w:pPr>
        <w:pStyle w:val="afc"/>
        <w:widowControl/>
        <w:numPr>
          <w:ilvl w:val="0"/>
          <w:numId w:val="213"/>
        </w:numPr>
        <w:autoSpaceDE w:val="0"/>
        <w:autoSpaceDN w:val="0"/>
        <w:adjustRightInd w:val="0"/>
        <w:rPr>
          <w:rStyle w:val="af1"/>
          <w:rFonts w:ascii="Traditional Arabic" w:hAnsi="Traditional Arabic"/>
          <w:color w:val="auto"/>
          <w:vertAlign w:val="baseline"/>
          <w:rtl/>
        </w:rPr>
      </w:pPr>
      <w:r>
        <w:rPr>
          <w:rStyle w:val="af1"/>
          <w:rFonts w:hint="cs"/>
          <w:vertAlign w:val="baseline"/>
          <w:rtl/>
        </w:rPr>
        <w:t xml:space="preserve">قول الله تعالى: </w:t>
      </w:r>
      <w:bookmarkStart w:id="314" w:name="سورة_البقرة_280"/>
      <w:r w:rsidRPr="001F090D">
        <w:rPr>
          <w:rFonts w:ascii="QCF_BSML" w:hAnsi="QCF_BSML" w:cs="QCF_BSML"/>
          <w:noProof w:val="0"/>
          <w:rtl/>
          <w:lang w:eastAsia="en-US"/>
        </w:rPr>
        <w:t>ﭽ</w:t>
      </w:r>
      <w:r w:rsidRPr="001F090D">
        <w:rPr>
          <w:rFonts w:ascii="QCF_P047" w:hAnsi="QCF_P047" w:cs="QCF_P047"/>
          <w:noProof w:val="0"/>
          <w:rtl/>
          <w:lang w:eastAsia="en-US"/>
        </w:rPr>
        <w:t>ﯧ</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ﯨ</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ﯩ</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ﯪ</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ﯫ</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ﯬ</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ﯭ</w:t>
      </w:r>
      <w:r w:rsidR="007155F8">
        <w:rPr>
          <w:rFonts w:ascii="QCF_P047" w:hAnsi="QCF_P047" w:cs="QCF_P047" w:hint="cs"/>
          <w:noProof w:val="0"/>
          <w:rtl/>
          <w:lang w:eastAsia="en-US"/>
        </w:rPr>
        <w:t xml:space="preserve"> </w:t>
      </w:r>
      <w:r w:rsidRPr="001F090D">
        <w:rPr>
          <w:rFonts w:ascii="QCF_P047" w:hAnsi="QCF_P047" w:cs="QCF_P047"/>
          <w:noProof w:val="0"/>
          <w:color w:val="0000A5"/>
          <w:rtl/>
          <w:lang w:eastAsia="en-US"/>
        </w:rPr>
        <w:t>ﯮ</w:t>
      </w:r>
      <w:r w:rsidR="007155F8">
        <w:rPr>
          <w:rFonts w:ascii="QCF_P047" w:hAnsi="QCF_P047" w:cs="QCF_P047" w:hint="cs"/>
          <w:noProof w:val="0"/>
          <w:color w:val="0000A5"/>
          <w:rtl/>
          <w:lang w:eastAsia="en-US"/>
        </w:rPr>
        <w:t xml:space="preserve"> </w:t>
      </w:r>
      <w:r w:rsidRPr="001F090D">
        <w:rPr>
          <w:rFonts w:ascii="QCF_P047" w:hAnsi="QCF_P047" w:cs="QCF_P047"/>
          <w:noProof w:val="0"/>
          <w:rtl/>
          <w:lang w:eastAsia="en-US"/>
        </w:rPr>
        <w:t>ﯯ</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ﯰ</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ﯱ</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ﯲ</w:t>
      </w:r>
      <w:r w:rsidR="007155F8">
        <w:rPr>
          <w:rFonts w:ascii="QCF_P047" w:hAnsi="QCF_P047" w:cs="QCF_P047" w:hint="cs"/>
          <w:noProof w:val="0"/>
          <w:rtl/>
          <w:lang w:eastAsia="en-US"/>
        </w:rPr>
        <w:t xml:space="preserve"> </w:t>
      </w:r>
      <w:r w:rsidRPr="001F090D">
        <w:rPr>
          <w:rFonts w:ascii="QCF_P047" w:hAnsi="QCF_P047" w:cs="QCF_P047"/>
          <w:noProof w:val="0"/>
          <w:color w:val="0000A5"/>
          <w:rtl/>
          <w:lang w:eastAsia="en-US"/>
        </w:rPr>
        <w:t>ﯳ</w:t>
      </w:r>
      <w:r w:rsidR="007155F8">
        <w:rPr>
          <w:rFonts w:ascii="QCF_P047" w:hAnsi="QCF_P047" w:cs="QCF_P047" w:hint="cs"/>
          <w:noProof w:val="0"/>
          <w:color w:val="0000A5"/>
          <w:rtl/>
          <w:lang w:eastAsia="en-US"/>
        </w:rPr>
        <w:t xml:space="preserve"> </w:t>
      </w:r>
      <w:r w:rsidRPr="001F090D">
        <w:rPr>
          <w:rFonts w:ascii="QCF_P047" w:hAnsi="QCF_P047" w:cs="QCF_P047"/>
          <w:noProof w:val="0"/>
          <w:rtl/>
          <w:lang w:eastAsia="en-US"/>
        </w:rPr>
        <w:t>ﯴ</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ﯵ</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 xml:space="preserve"> </w:t>
      </w:r>
      <w:r w:rsidR="007155F8">
        <w:rPr>
          <w:rFonts w:ascii="QCF_P047" w:hAnsi="QCF_P047" w:cs="QCF_P047" w:hint="cs"/>
          <w:noProof w:val="0"/>
          <w:rtl/>
          <w:lang w:eastAsia="en-US"/>
        </w:rPr>
        <w:t xml:space="preserve"> </w:t>
      </w:r>
      <w:r w:rsidRPr="001F090D">
        <w:rPr>
          <w:rFonts w:ascii="QCF_P047" w:hAnsi="QCF_P047" w:cs="QCF_P047"/>
          <w:noProof w:val="0"/>
          <w:rtl/>
          <w:lang w:eastAsia="en-US"/>
        </w:rPr>
        <w:t>ﯶ</w:t>
      </w:r>
      <w:r w:rsidRPr="001F090D">
        <w:rPr>
          <w:rFonts w:ascii="QCF_BSML" w:hAnsi="QCF_BSML" w:cs="QCF_BSML"/>
          <w:noProof w:val="0"/>
          <w:rtl/>
          <w:lang w:eastAsia="en-US"/>
        </w:rPr>
        <w:t>ﭼ</w:t>
      </w:r>
      <w:bookmarkEnd w:id="314"/>
      <w:r>
        <w:rPr>
          <w:rFonts w:ascii="Traditional Arabic" w:hAnsi="Traditional Arabic" w:hint="cs"/>
          <w:noProof w:val="0"/>
          <w:color w:val="auto"/>
          <w:rtl/>
          <w:lang w:eastAsia="en-US"/>
        </w:rPr>
        <w:t>[</w:t>
      </w:r>
      <w:r w:rsidRPr="001F090D">
        <w:rPr>
          <w:rFonts w:ascii="Traditional Arabic" w:hAnsi="Traditional Arabic"/>
          <w:noProof w:val="0"/>
          <w:color w:val="auto"/>
          <w:rtl/>
          <w:lang w:eastAsia="en-US"/>
        </w:rPr>
        <w:t>البقرة: ٢٨٠</w:t>
      </w:r>
      <w:r>
        <w:rPr>
          <w:rFonts w:ascii="Traditional Arabic" w:hAnsi="Traditional Arabic" w:hint="cs"/>
          <w:color w:val="auto"/>
          <w:rtl/>
        </w:rPr>
        <w:t>].</w:t>
      </w:r>
    </w:p>
    <w:p w:rsidR="00065E4B" w:rsidRDefault="009840EE" w:rsidP="00597C20">
      <w:pPr>
        <w:pStyle w:val="53"/>
        <w:rPr>
          <w:rtl/>
        </w:rPr>
      </w:pPr>
      <w:r>
        <w:rPr>
          <w:rFonts w:hint="cs"/>
          <w:rtl/>
        </w:rPr>
        <w:t>وجه الدلالة:</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م</w:t>
      </w:r>
      <w:r w:rsidR="009840EE">
        <w:rPr>
          <w:rFonts w:ascii="Traditional Arabic" w:hAnsi="Traditional Arabic" w:hint="cs"/>
          <w:noProof w:val="0"/>
          <w:rtl/>
          <w:lang w:eastAsia="en-US"/>
        </w:rPr>
        <w:t xml:space="preserve">عنى الآية أنه </w:t>
      </w:r>
      <w:r w:rsidR="009840EE" w:rsidRPr="00534BEA">
        <w:rPr>
          <w:rFonts w:ascii="Traditional Arabic" w:hAnsi="Traditional Arabic"/>
          <w:noProof w:val="0"/>
          <w:rtl/>
          <w:lang w:eastAsia="en-US"/>
        </w:rPr>
        <w:t>إن كان الذي عليه الدين</w:t>
      </w:r>
      <w:r w:rsidR="009840EE">
        <w:rPr>
          <w:rFonts w:ascii="Traditional Arabic" w:hAnsi="Traditional Arabic" w:hint="cs"/>
          <w:noProof w:val="0"/>
          <w:rtl/>
          <w:lang w:eastAsia="en-US"/>
        </w:rPr>
        <w:t>ُ</w:t>
      </w:r>
      <w:r w:rsidR="009840EE" w:rsidRPr="00534BEA">
        <w:rPr>
          <w:rFonts w:ascii="Traditional Arabic" w:hAnsi="Traditional Arabic"/>
          <w:noProof w:val="0"/>
          <w:rtl/>
          <w:lang w:eastAsia="en-US"/>
        </w:rPr>
        <w:t xml:space="preserve"> م</w:t>
      </w:r>
      <w:r w:rsidR="009840EE">
        <w:rPr>
          <w:rFonts w:ascii="Traditional Arabic" w:hAnsi="Traditional Arabic" w:hint="cs"/>
          <w:noProof w:val="0"/>
          <w:rtl/>
          <w:lang w:eastAsia="en-US"/>
        </w:rPr>
        <w:t>ُ</w:t>
      </w:r>
      <w:r w:rsidR="009840EE" w:rsidRPr="00534BEA">
        <w:rPr>
          <w:rFonts w:ascii="Traditional Arabic" w:hAnsi="Traditional Arabic"/>
          <w:noProof w:val="0"/>
          <w:rtl/>
          <w:lang w:eastAsia="en-US"/>
        </w:rPr>
        <w:t>ع</w:t>
      </w:r>
      <w:r w:rsidR="009840EE">
        <w:rPr>
          <w:rFonts w:ascii="Traditional Arabic" w:hAnsi="Traditional Arabic" w:hint="cs"/>
          <w:noProof w:val="0"/>
          <w:rtl/>
          <w:lang w:eastAsia="en-US"/>
        </w:rPr>
        <w:t>ْ</w:t>
      </w:r>
      <w:r w:rsidR="009840EE" w:rsidRPr="00534BEA">
        <w:rPr>
          <w:rFonts w:ascii="Traditional Arabic" w:hAnsi="Traditional Arabic"/>
          <w:noProof w:val="0"/>
          <w:rtl/>
          <w:lang w:eastAsia="en-US"/>
        </w:rPr>
        <w:t>سرا</w:t>
      </w:r>
      <w:r w:rsidR="009840EE">
        <w:rPr>
          <w:rFonts w:ascii="Traditional Arabic" w:hAnsi="Traditional Arabic" w:hint="cs"/>
          <w:noProof w:val="0"/>
          <w:rtl/>
          <w:lang w:eastAsia="en-US"/>
        </w:rPr>
        <w:t>ً</w:t>
      </w:r>
      <w:r w:rsidR="009840EE" w:rsidRPr="00534BEA">
        <w:rPr>
          <w:rFonts w:ascii="Traditional Arabic" w:hAnsi="Traditional Arabic"/>
          <w:noProof w:val="0"/>
          <w:rtl/>
          <w:lang w:eastAsia="en-US"/>
        </w:rPr>
        <w:t>، لا يقدر على الوفاء، وجب على غريمه أن ي</w:t>
      </w:r>
      <w:r w:rsidR="009840EE">
        <w:rPr>
          <w:rFonts w:ascii="Traditional Arabic" w:hAnsi="Traditional Arabic" w:hint="cs"/>
          <w:noProof w:val="0"/>
          <w:rtl/>
          <w:lang w:eastAsia="en-US"/>
        </w:rPr>
        <w:t>ُ</w:t>
      </w:r>
      <w:r w:rsidR="009840EE" w:rsidRPr="00534BEA">
        <w:rPr>
          <w:rFonts w:ascii="Traditional Arabic" w:hAnsi="Traditional Arabic"/>
          <w:noProof w:val="0"/>
          <w:rtl/>
          <w:lang w:eastAsia="en-US"/>
        </w:rPr>
        <w:t>ن</w:t>
      </w:r>
      <w:r w:rsidR="009840EE">
        <w:rPr>
          <w:rFonts w:ascii="Traditional Arabic" w:hAnsi="Traditional Arabic" w:hint="cs"/>
          <w:noProof w:val="0"/>
          <w:rtl/>
          <w:lang w:eastAsia="en-US"/>
        </w:rPr>
        <w:t>ْ</w:t>
      </w:r>
      <w:r w:rsidR="009840EE">
        <w:rPr>
          <w:rFonts w:ascii="Traditional Arabic" w:hAnsi="Traditional Arabic"/>
          <w:noProof w:val="0"/>
          <w:rtl/>
          <w:lang w:eastAsia="en-US"/>
        </w:rPr>
        <w:t xml:space="preserve">ظره إلى </w:t>
      </w:r>
      <w:r w:rsidR="009840EE">
        <w:rPr>
          <w:rFonts w:ascii="Traditional Arabic" w:hAnsi="Traditional Arabic" w:hint="cs"/>
          <w:noProof w:val="0"/>
          <w:rtl/>
          <w:lang w:eastAsia="en-US"/>
        </w:rPr>
        <w:t>أن ييسِّر الله عليه</w:t>
      </w:r>
      <w:r w:rsidR="009840EE" w:rsidRPr="00534BEA">
        <w:rPr>
          <w:rFonts w:ascii="Traditional Arabic" w:hAnsi="Traditional Arabic"/>
          <w:noProof w:val="0"/>
          <w:rtl/>
          <w:lang w:eastAsia="en-US"/>
        </w:rPr>
        <w:t>.</w:t>
      </w:r>
    </w:p>
    <w:p w:rsidR="009840EE" w:rsidRDefault="00065E4B" w:rsidP="00597C20">
      <w:pPr>
        <w:widowControl/>
        <w:autoSpaceDE w:val="0"/>
        <w:autoSpaceDN w:val="0"/>
        <w:adjustRightInd w:val="0"/>
        <w:ind w:firstLine="360"/>
        <w:rPr>
          <w:rFonts w:ascii="Traditional Arabic" w:hAnsi="Traditional Arabic"/>
          <w:noProof w:val="0"/>
          <w:rtl/>
          <w:lang w:eastAsia="en-US"/>
        </w:rPr>
      </w:pPr>
      <w:r>
        <w:rPr>
          <w:rFonts w:ascii="Traditional Arabic" w:hAnsi="Traditional Arabic" w:hint="cs"/>
          <w:noProof w:val="0"/>
          <w:rtl/>
          <w:lang w:eastAsia="en-US"/>
        </w:rPr>
        <w:t>و</w:t>
      </w:r>
      <w:r w:rsidR="009840EE">
        <w:rPr>
          <w:rFonts w:ascii="Traditional Arabic" w:hAnsi="Traditional Arabic" w:hint="cs"/>
          <w:noProof w:val="0"/>
          <w:rtl/>
          <w:lang w:eastAsia="en-US"/>
        </w:rPr>
        <w:t xml:space="preserve">يستفاد من الآية أن الحكم يدور مع علته وجودا وعدما؛ </w:t>
      </w:r>
      <w:r w:rsidR="009840EE" w:rsidRPr="000D1C6C">
        <w:rPr>
          <w:rFonts w:ascii="Traditional Arabic" w:hAnsi="Traditional Arabic"/>
          <w:noProof w:val="0"/>
          <w:rtl/>
          <w:lang w:eastAsia="en-US"/>
        </w:rPr>
        <w:t>لأنه لما كان وجوب الإنظار م</w:t>
      </w:r>
      <w:r w:rsidR="009840EE">
        <w:rPr>
          <w:rFonts w:ascii="Traditional Arabic" w:hAnsi="Traditional Arabic" w:hint="cs"/>
          <w:noProof w:val="0"/>
          <w:rtl/>
          <w:lang w:eastAsia="en-US"/>
        </w:rPr>
        <w:t>ُ</w:t>
      </w:r>
      <w:r w:rsidR="009840EE" w:rsidRPr="000D1C6C">
        <w:rPr>
          <w:rFonts w:ascii="Traditional Arabic" w:hAnsi="Traditional Arabic"/>
          <w:noProof w:val="0"/>
          <w:rtl/>
          <w:lang w:eastAsia="en-US"/>
        </w:rPr>
        <w:t>عل</w:t>
      </w:r>
      <w:r w:rsidR="009840EE">
        <w:rPr>
          <w:rFonts w:ascii="Traditional Arabic" w:hAnsi="Traditional Arabic" w:hint="cs"/>
          <w:noProof w:val="0"/>
          <w:rtl/>
          <w:lang w:eastAsia="en-US"/>
        </w:rPr>
        <w:t>َّ</w:t>
      </w:r>
      <w:r w:rsidR="009840EE">
        <w:rPr>
          <w:rFonts w:ascii="Traditional Arabic" w:hAnsi="Traditional Arabic"/>
          <w:noProof w:val="0"/>
          <w:rtl/>
          <w:lang w:eastAsia="en-US"/>
        </w:rPr>
        <w:t>ل</w:t>
      </w:r>
      <w:r w:rsidR="009840EE" w:rsidRPr="000D1C6C">
        <w:rPr>
          <w:rFonts w:ascii="Traditional Arabic" w:hAnsi="Traditional Arabic"/>
          <w:noProof w:val="0"/>
          <w:rtl/>
          <w:lang w:eastAsia="en-US"/>
        </w:rPr>
        <w:t>ا</w:t>
      </w:r>
      <w:r w:rsidR="009840EE">
        <w:rPr>
          <w:rFonts w:ascii="Traditional Arabic" w:hAnsi="Traditional Arabic" w:hint="cs"/>
          <w:noProof w:val="0"/>
          <w:rtl/>
          <w:lang w:eastAsia="en-US"/>
        </w:rPr>
        <w:t>ً</w:t>
      </w:r>
      <w:r w:rsidR="009840EE" w:rsidRPr="000D1C6C">
        <w:rPr>
          <w:rFonts w:ascii="Traditional Arabic" w:hAnsi="Traditional Arabic"/>
          <w:noProof w:val="0"/>
          <w:rtl/>
          <w:lang w:eastAsia="en-US"/>
        </w:rPr>
        <w:t xml:space="preserve"> بالإعسار صار مستمراً إلى أن تزول العلة - وهي الع</w:t>
      </w:r>
      <w:r w:rsidR="009840EE">
        <w:rPr>
          <w:rFonts w:ascii="Traditional Arabic" w:hAnsi="Traditional Arabic" w:hint="cs"/>
          <w:noProof w:val="0"/>
          <w:rtl/>
          <w:lang w:eastAsia="en-US"/>
        </w:rPr>
        <w:t>ُ</w:t>
      </w:r>
      <w:r w:rsidR="009840EE" w:rsidRPr="000D1C6C">
        <w:rPr>
          <w:rFonts w:ascii="Traditional Arabic" w:hAnsi="Traditional Arabic"/>
          <w:noProof w:val="0"/>
          <w:rtl/>
          <w:lang w:eastAsia="en-US"/>
        </w:rPr>
        <w:t>سرة - حتى تجوز مطالبت</w:t>
      </w:r>
      <w:r w:rsidR="009840EE">
        <w:rPr>
          <w:rFonts w:ascii="Traditional Arabic" w:hAnsi="Traditional Arabic" w:hint="cs"/>
          <w:noProof w:val="0"/>
          <w:rtl/>
          <w:lang w:eastAsia="en-US"/>
        </w:rPr>
        <w:t>ُ</w:t>
      </w:r>
      <w:r w:rsidR="009840EE" w:rsidRPr="000D1C6C">
        <w:rPr>
          <w:rFonts w:ascii="Traditional Arabic" w:hAnsi="Traditional Arabic"/>
          <w:noProof w:val="0"/>
          <w:rtl/>
          <w:lang w:eastAsia="en-US"/>
        </w:rPr>
        <w:t>ه</w:t>
      </w:r>
      <w:r w:rsidR="009840EE" w:rsidRPr="00C821A1">
        <w:rPr>
          <w:rStyle w:val="af1"/>
          <w:szCs w:val="32"/>
          <w:rtl/>
        </w:rPr>
        <w:t>(</w:t>
      </w:r>
      <w:r w:rsidR="009840EE" w:rsidRPr="00C821A1">
        <w:rPr>
          <w:rStyle w:val="af1"/>
          <w:szCs w:val="32"/>
          <w:rtl/>
        </w:rPr>
        <w:footnoteReference w:id="1568"/>
      </w:r>
      <w:r w:rsidR="009840EE" w:rsidRPr="00C821A1">
        <w:rPr>
          <w:rStyle w:val="af1"/>
          <w:szCs w:val="32"/>
          <w:rtl/>
        </w:rPr>
        <w:t>)</w:t>
      </w:r>
      <w:r w:rsidR="009840EE" w:rsidRPr="000D1C6C">
        <w:rPr>
          <w:rFonts w:ascii="Traditional Arabic" w:hAnsi="Traditional Arabic"/>
          <w:noProof w:val="0"/>
          <w:rtl/>
          <w:lang w:eastAsia="en-US"/>
        </w:rPr>
        <w:t>.</w:t>
      </w:r>
    </w:p>
    <w:p w:rsidR="009840EE" w:rsidRDefault="00D564C3" w:rsidP="00A8347C">
      <w:pPr>
        <w:pStyle w:val="aff3"/>
        <w:rPr>
          <w:rtl/>
        </w:rPr>
      </w:pPr>
      <w:bookmarkStart w:id="315" w:name="_Toc334046527"/>
      <w:r>
        <w:rPr>
          <w:rFonts w:hint="cs"/>
          <w:rtl/>
        </w:rPr>
        <w:lastRenderedPageBreak/>
        <w:t xml:space="preserve">                                         </w:t>
      </w:r>
      <w:r w:rsidR="007155F8">
        <w:rPr>
          <w:rFonts w:hint="cs"/>
          <w:rtl/>
        </w:rPr>
        <w:t xml:space="preserve"> </w:t>
      </w:r>
      <w:r>
        <w:rPr>
          <w:rFonts w:hint="cs"/>
          <w:rtl/>
        </w:rPr>
        <w:t>المطلب</w:t>
      </w:r>
      <w:r w:rsidR="007155F8">
        <w:rPr>
          <w:rFonts w:hint="cs"/>
          <w:rtl/>
        </w:rPr>
        <w:t xml:space="preserve"> </w:t>
      </w:r>
      <w:r w:rsidR="009840EE">
        <w:rPr>
          <w:rFonts w:hint="cs"/>
          <w:rtl/>
        </w:rPr>
        <w:t>الرابع</w:t>
      </w:r>
      <w:r w:rsidR="009840EE">
        <w:rPr>
          <w:rFonts w:hint="eastAsia"/>
          <w:rtl/>
        </w:rPr>
        <w:t> </w:t>
      </w:r>
      <w:r w:rsidR="009840EE">
        <w:rPr>
          <w:rFonts w:hint="cs"/>
          <w:rtl/>
        </w:rPr>
        <w:t>:</w:t>
      </w:r>
      <w:r w:rsidR="009840EE">
        <w:rPr>
          <w:rFonts w:hint="cs"/>
          <w:rtl/>
        </w:rPr>
        <w:br/>
      </w:r>
      <w:r>
        <w:rPr>
          <w:rFonts w:hint="cs"/>
          <w:rtl/>
        </w:rPr>
        <w:t xml:space="preserve">                                         </w:t>
      </w:r>
      <w:r w:rsidR="009840EE" w:rsidRPr="00327F2A">
        <w:rPr>
          <w:rFonts w:hint="cs"/>
          <w:rtl/>
        </w:rPr>
        <w:t>تطبيقات القاعدة</w:t>
      </w:r>
      <w:bookmarkEnd w:id="315"/>
    </w:p>
    <w:p w:rsidR="009840EE" w:rsidRPr="00E05A18" w:rsidRDefault="009840EE" w:rsidP="000A76C7">
      <w:pPr>
        <w:pStyle w:val="afc"/>
        <w:widowControl/>
        <w:numPr>
          <w:ilvl w:val="0"/>
          <w:numId w:val="214"/>
        </w:numPr>
        <w:autoSpaceDE w:val="0"/>
        <w:autoSpaceDN w:val="0"/>
        <w:adjustRightInd w:val="0"/>
        <w:rPr>
          <w:rFonts w:ascii="Traditional Arabic" w:hAnsi="Traditional Arabic"/>
          <w:noProof w:val="0"/>
          <w:rtl/>
          <w:lang w:eastAsia="en-US"/>
        </w:rPr>
      </w:pPr>
      <w:r>
        <w:rPr>
          <w:rFonts w:ascii="Traditional Arabic" w:hAnsi="Traditional Arabic" w:hint="cs"/>
          <w:noProof w:val="0"/>
          <w:rtl/>
          <w:lang w:eastAsia="en-US"/>
        </w:rPr>
        <w:t>من صور</w:t>
      </w:r>
      <w:r w:rsidRPr="00E05A18">
        <w:rPr>
          <w:rFonts w:ascii="Traditional Arabic" w:hAnsi="Traditional Arabic"/>
          <w:noProof w:val="0"/>
          <w:rtl/>
          <w:lang w:eastAsia="en-US"/>
        </w:rPr>
        <w:t xml:space="preserve"> بيع الدين</w:t>
      </w:r>
      <w:r>
        <w:rPr>
          <w:rFonts w:ascii="Traditional Arabic" w:hAnsi="Traditional Arabic"/>
          <w:noProof w:val="0"/>
          <w:rtl/>
          <w:lang w:eastAsia="en-US"/>
        </w:rPr>
        <w:t xml:space="preserve"> بالدي</w:t>
      </w:r>
      <w:r>
        <w:rPr>
          <w:rFonts w:ascii="Traditional Arabic" w:hAnsi="Traditional Arabic" w:hint="cs"/>
          <w:noProof w:val="0"/>
          <w:rtl/>
          <w:lang w:eastAsia="en-US"/>
        </w:rPr>
        <w:t>ن:</w:t>
      </w:r>
      <w:r w:rsidR="004D15E3">
        <w:rPr>
          <w:rFonts w:ascii="Traditional Arabic" w:hAnsi="Traditional Arabic" w:hint="cs"/>
          <w:noProof w:val="0"/>
          <w:rtl/>
          <w:lang w:eastAsia="en-US"/>
        </w:rPr>
        <w:t xml:space="preserve"> </w:t>
      </w:r>
      <w:r w:rsidRPr="00E05A18">
        <w:rPr>
          <w:rFonts w:ascii="Traditional Arabic" w:hAnsi="Traditional Arabic"/>
          <w:noProof w:val="0"/>
          <w:rtl/>
          <w:lang w:eastAsia="en-US"/>
        </w:rPr>
        <w:t>بيع الدين على الغير</w:t>
      </w:r>
      <w:r w:rsidRPr="00C821A1">
        <w:rPr>
          <w:rStyle w:val="af1"/>
          <w:szCs w:val="32"/>
          <w:rtl/>
        </w:rPr>
        <w:t>(</w:t>
      </w:r>
      <w:r w:rsidRPr="00C821A1">
        <w:rPr>
          <w:rStyle w:val="af1"/>
          <w:szCs w:val="32"/>
          <w:rtl/>
        </w:rPr>
        <w:footnoteReference w:id="1569"/>
      </w:r>
      <w:r w:rsidRPr="00C821A1">
        <w:rPr>
          <w:rStyle w:val="af1"/>
          <w:szCs w:val="32"/>
          <w:rtl/>
        </w:rPr>
        <w:t>)</w:t>
      </w:r>
      <w:r w:rsidRPr="00E05A18">
        <w:rPr>
          <w:rFonts w:ascii="Traditional Arabic" w:hAnsi="Traditional Arabic"/>
          <w:noProof w:val="0"/>
          <w:rtl/>
          <w:lang w:eastAsia="en-US"/>
        </w:rPr>
        <w:t>، فلا يجوز أن يباع بالدين، بل ولا ب</w:t>
      </w:r>
      <w:r>
        <w:rPr>
          <w:rFonts w:ascii="Traditional Arabic" w:hAnsi="Traditional Arabic" w:hint="cs"/>
          <w:noProof w:val="0"/>
          <w:rtl/>
          <w:lang w:eastAsia="en-US"/>
        </w:rPr>
        <w:t>ِ</w:t>
      </w:r>
      <w:r w:rsidRPr="00E05A18">
        <w:rPr>
          <w:rFonts w:ascii="Traditional Arabic" w:hAnsi="Traditional Arabic"/>
          <w:noProof w:val="0"/>
          <w:rtl/>
          <w:lang w:eastAsia="en-US"/>
        </w:rPr>
        <w:t>الع</w:t>
      </w:r>
      <w:r>
        <w:rPr>
          <w:rFonts w:ascii="Traditional Arabic" w:hAnsi="Traditional Arabic" w:hint="cs"/>
          <w:noProof w:val="0"/>
          <w:rtl/>
          <w:lang w:eastAsia="en-US"/>
        </w:rPr>
        <w:t>َ</w:t>
      </w:r>
      <w:r w:rsidRPr="00E05A18">
        <w:rPr>
          <w:rFonts w:ascii="Traditional Arabic" w:hAnsi="Traditional Arabic"/>
          <w:noProof w:val="0"/>
          <w:rtl/>
          <w:lang w:eastAsia="en-US"/>
        </w:rPr>
        <w:t>ي</w:t>
      </w:r>
      <w:r>
        <w:rPr>
          <w:rFonts w:ascii="Traditional Arabic" w:hAnsi="Traditional Arabic" w:hint="cs"/>
          <w:noProof w:val="0"/>
          <w:rtl/>
          <w:lang w:eastAsia="en-US"/>
        </w:rPr>
        <w:t>ْ</w:t>
      </w:r>
      <w:r w:rsidRPr="00E05A18">
        <w:rPr>
          <w:rFonts w:ascii="Traditional Arabic" w:hAnsi="Traditional Arabic"/>
          <w:noProof w:val="0"/>
          <w:rtl/>
          <w:lang w:eastAsia="en-US"/>
        </w:rPr>
        <w:t>ن على المذهب مطلقا</w:t>
      </w:r>
      <w:r w:rsidRPr="00C821A1">
        <w:rPr>
          <w:rStyle w:val="af1"/>
          <w:szCs w:val="32"/>
          <w:rtl/>
        </w:rPr>
        <w:t>(</w:t>
      </w:r>
      <w:r w:rsidRPr="00C821A1">
        <w:rPr>
          <w:rStyle w:val="af1"/>
          <w:szCs w:val="32"/>
          <w:rtl/>
        </w:rPr>
        <w:footnoteReference w:id="1570"/>
      </w:r>
      <w:r w:rsidRPr="00C821A1">
        <w:rPr>
          <w:rStyle w:val="af1"/>
          <w:szCs w:val="32"/>
          <w:rtl/>
        </w:rPr>
        <w:t>)</w:t>
      </w:r>
      <w:r w:rsidRPr="00E05A18">
        <w:rPr>
          <w:rFonts w:ascii="Traditional Arabic" w:hAnsi="Traditional Arabic"/>
          <w:noProof w:val="0"/>
          <w:rtl/>
          <w:lang w:eastAsia="en-US"/>
        </w:rPr>
        <w:t>.</w:t>
      </w:r>
    </w:p>
    <w:p w:rsidR="009840EE" w:rsidRPr="00F60BF3" w:rsidRDefault="009840EE" w:rsidP="00597C20">
      <w:pPr>
        <w:widowControl/>
        <w:autoSpaceDE w:val="0"/>
        <w:autoSpaceDN w:val="0"/>
        <w:adjustRightInd w:val="0"/>
        <w:ind w:firstLine="720"/>
        <w:rPr>
          <w:rFonts w:ascii="Traditional Arabic" w:hAnsi="Traditional Arabic"/>
          <w:noProof w:val="0"/>
          <w:rtl/>
          <w:lang w:eastAsia="en-US"/>
        </w:rPr>
      </w:pPr>
      <w:r w:rsidRPr="00F60BF3">
        <w:rPr>
          <w:rFonts w:ascii="Traditional Arabic" w:hAnsi="Traditional Arabic"/>
          <w:noProof w:val="0"/>
          <w:rtl/>
          <w:lang w:eastAsia="en-US"/>
        </w:rPr>
        <w:t>مثال ذلك: إنسان في ذمته لشخص مائة صاع ب</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ر</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 فجعل هذا الرجل يطلبه يقول: أعطني يا فلان، وهو يماطل به، فقيل للرجل الذي له الحق: نعطيك عنها مائة درهم، ونحن نأخذها من المطلوب</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 xml:space="preserve"> ف</w:t>
      </w:r>
      <w:r w:rsidRPr="00F60BF3">
        <w:rPr>
          <w:rFonts w:ascii="Traditional Arabic" w:hAnsi="Traditional Arabic" w:hint="cs"/>
          <w:noProof w:val="0"/>
          <w:rtl/>
          <w:lang w:eastAsia="en-US"/>
        </w:rPr>
        <w:t xml:space="preserve">هذا </w:t>
      </w:r>
      <w:r w:rsidRPr="00F60BF3">
        <w:rPr>
          <w:rFonts w:ascii="Traditional Arabic" w:hAnsi="Traditional Arabic"/>
          <w:noProof w:val="0"/>
          <w:rtl/>
          <w:lang w:eastAsia="en-US"/>
        </w:rPr>
        <w:t xml:space="preserve">لا يجوز، حتى وإن كان بعين فإنه لا يجوز، فلو قيل لهذا الرجل الذي له مائة الصاع في ذمة فلان: سوف نعطيك عنها مائة  تأخذها نقدا، فإنه لا يجوز؛ لأنه يشبه أن يكون غير مقدور على تسليمه، وإذا كان كذلك فإنه يكون فيه غرر، إذ إن المطلوب قد يوفي </w:t>
      </w:r>
      <w:r w:rsidRPr="00F60BF3">
        <w:rPr>
          <w:rFonts w:ascii="Traditional Arabic" w:hAnsi="Traditional Arabic" w:hint="cs"/>
          <w:noProof w:val="0"/>
          <w:rtl/>
          <w:lang w:eastAsia="en-US"/>
        </w:rPr>
        <w:t xml:space="preserve">وفاءً </w:t>
      </w:r>
      <w:r w:rsidRPr="00F60BF3">
        <w:rPr>
          <w:rFonts w:ascii="Traditional Arabic" w:hAnsi="Traditional Arabic"/>
          <w:noProof w:val="0"/>
          <w:rtl/>
          <w:lang w:eastAsia="en-US"/>
        </w:rPr>
        <w:t xml:space="preserve">كاملا وقد لا يوفي، وقد يوفي </w:t>
      </w:r>
      <w:r w:rsidRPr="00F60BF3">
        <w:rPr>
          <w:rFonts w:ascii="Traditional Arabic" w:hAnsi="Traditional Arabic" w:hint="cs"/>
          <w:noProof w:val="0"/>
          <w:rtl/>
          <w:lang w:eastAsia="en-US"/>
        </w:rPr>
        <w:t xml:space="preserve">وفاءً </w:t>
      </w:r>
      <w:r w:rsidRPr="00F60BF3">
        <w:rPr>
          <w:rFonts w:ascii="Traditional Arabic" w:hAnsi="Traditional Arabic"/>
          <w:noProof w:val="0"/>
          <w:rtl/>
          <w:lang w:eastAsia="en-US"/>
        </w:rPr>
        <w:t>ناقصا، فل</w:t>
      </w:r>
      <w:r w:rsidRPr="00F60BF3">
        <w:rPr>
          <w:rFonts w:ascii="Traditional Arabic" w:hAnsi="Traditional Arabic" w:hint="cs"/>
          <w:noProof w:val="0"/>
          <w:rtl/>
          <w:lang w:eastAsia="en-US"/>
        </w:rPr>
        <w:t>هذا ل</w:t>
      </w:r>
      <w:r w:rsidRPr="00F60BF3">
        <w:rPr>
          <w:rFonts w:ascii="Traditional Arabic" w:hAnsi="Traditional Arabic"/>
          <w:noProof w:val="0"/>
          <w:rtl/>
          <w:lang w:eastAsia="en-US"/>
        </w:rPr>
        <w:t>ا يصح</w:t>
      </w:r>
      <w:r w:rsidRPr="00F60BF3">
        <w:rPr>
          <w:rFonts w:ascii="Traditional Arabic" w:hAnsi="Traditional Arabic" w:hint="cs"/>
          <w:noProof w:val="0"/>
          <w:rtl/>
          <w:lang w:eastAsia="en-US"/>
        </w:rPr>
        <w:t xml:space="preserve"> هذا البيع</w:t>
      </w:r>
      <w:r w:rsidRPr="00F60BF3">
        <w:rPr>
          <w:rFonts w:ascii="Traditional Arabic" w:hAnsi="Traditional Arabic"/>
          <w:noProof w:val="0"/>
          <w:rtl/>
          <w:lang w:eastAsia="en-US"/>
        </w:rPr>
        <w:t>.</w:t>
      </w:r>
    </w:p>
    <w:p w:rsidR="009840EE" w:rsidRPr="00F60BF3" w:rsidRDefault="009840EE" w:rsidP="00597C20">
      <w:pPr>
        <w:widowControl/>
        <w:autoSpaceDE w:val="0"/>
        <w:autoSpaceDN w:val="0"/>
        <w:adjustRightInd w:val="0"/>
        <w:ind w:firstLine="720"/>
        <w:rPr>
          <w:rFonts w:ascii="Traditional Arabic" w:hAnsi="Traditional Arabic"/>
          <w:noProof w:val="0"/>
          <w:rtl/>
          <w:lang w:eastAsia="en-US"/>
        </w:rPr>
      </w:pPr>
      <w:r w:rsidRPr="00F60BF3">
        <w:rPr>
          <w:rFonts w:ascii="Traditional Arabic" w:hAnsi="Traditional Arabic"/>
          <w:noProof w:val="0"/>
          <w:rtl/>
          <w:lang w:eastAsia="en-US"/>
        </w:rPr>
        <w:t>لكن لو كان الذي اشترى دين فلان قادرا على أخذه منه، كرجل له سلطة يستطيع أن يأخذ هذا المال الذي في ذمة الرجل، فالصحيح أنه يجوز</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 xml:space="preserve"> وهو اختيار شيخ الإسلام ابن تيميةـ</w:t>
      </w:r>
      <w:r w:rsidRPr="00C821A1">
        <w:rPr>
          <w:rStyle w:val="af1"/>
          <w:szCs w:val="32"/>
          <w:rtl/>
        </w:rPr>
        <w:t>(</w:t>
      </w:r>
      <w:r w:rsidRPr="00C821A1">
        <w:rPr>
          <w:rStyle w:val="af1"/>
          <w:szCs w:val="32"/>
          <w:rtl/>
        </w:rPr>
        <w:footnoteReference w:id="1571"/>
      </w:r>
      <w:r w:rsidRPr="00C821A1">
        <w:rPr>
          <w:rStyle w:val="af1"/>
          <w:szCs w:val="32"/>
          <w:rtl/>
        </w:rPr>
        <w:t>)</w:t>
      </w:r>
      <w:r w:rsidR="007155F8">
        <w:rPr>
          <w:rStyle w:val="af1"/>
          <w:rFonts w:hint="cs"/>
          <w:szCs w:val="32"/>
          <w:vertAlign w:val="baseline"/>
          <w:rtl/>
        </w:rPr>
        <w:t>_</w:t>
      </w:r>
      <w:r w:rsidR="009A0575" w:rsidRPr="005D5694">
        <w:rPr>
          <w:rFonts w:ascii="Traditional Arabic" w:hAnsi="Traditional Arabic" w:cs="CTraditional Arabic" w:hint="cs"/>
          <w:rtl/>
        </w:rPr>
        <w:t>/</w:t>
      </w:r>
      <w:r w:rsidR="007155F8">
        <w:rPr>
          <w:rStyle w:val="af1"/>
          <w:rFonts w:hint="cs"/>
          <w:szCs w:val="32"/>
          <w:vertAlign w:val="baseline"/>
          <w:rtl/>
        </w:rPr>
        <w:t>_</w:t>
      </w:r>
      <w:r w:rsidRPr="00C821A1">
        <w:rPr>
          <w:rStyle w:val="af1"/>
          <w:szCs w:val="32"/>
          <w:rtl/>
        </w:rPr>
        <w:t>(</w:t>
      </w:r>
      <w:r w:rsidRPr="00C821A1">
        <w:rPr>
          <w:rStyle w:val="af1"/>
          <w:szCs w:val="32"/>
          <w:rtl/>
        </w:rPr>
        <w:footnoteReference w:id="1572"/>
      </w:r>
      <w:r w:rsidRPr="00C821A1">
        <w:rPr>
          <w:rStyle w:val="af1"/>
          <w:szCs w:val="32"/>
          <w:rtl/>
        </w:rPr>
        <w:t>)</w:t>
      </w:r>
      <w:r w:rsidR="00B76414" w:rsidRPr="00F60BF3">
        <w:rPr>
          <w:rFonts w:ascii="Traditional Arabic" w:hAnsi="Traditional Arabic"/>
          <w:noProof w:val="0"/>
          <w:vertAlign w:val="superscript"/>
          <w:rtl/>
          <w:lang w:eastAsia="en-US"/>
        </w:rPr>
        <w:t>.</w:t>
      </w:r>
    </w:p>
    <w:p w:rsidR="009840EE" w:rsidRDefault="009840EE" w:rsidP="00597C20">
      <w:pPr>
        <w:pStyle w:val="53"/>
        <w:rPr>
          <w:rtl/>
        </w:rPr>
      </w:pPr>
      <w:r>
        <w:rPr>
          <w:rFonts w:hint="cs"/>
          <w:rtl/>
        </w:rPr>
        <w:lastRenderedPageBreak/>
        <w:t>وجه اندراج الفرع تحت القاعدة:</w:t>
      </w:r>
    </w:p>
    <w:p w:rsidR="00065E4B" w:rsidRPr="00F60BF3" w:rsidRDefault="009840EE" w:rsidP="00597C20">
      <w:pPr>
        <w:widowControl/>
        <w:autoSpaceDE w:val="0"/>
        <w:autoSpaceDN w:val="0"/>
        <w:adjustRightInd w:val="0"/>
        <w:ind w:firstLine="720"/>
        <w:rPr>
          <w:rFonts w:ascii="Traditional Arabic" w:hAnsi="Traditional Arabic"/>
          <w:noProof w:val="0"/>
          <w:color w:val="auto"/>
          <w:rtl/>
          <w:lang w:eastAsia="en-US"/>
        </w:rPr>
      </w:pPr>
      <w:r w:rsidRPr="00F60BF3">
        <w:rPr>
          <w:rFonts w:ascii="Traditional Arabic" w:hAnsi="Traditional Arabic" w:hint="cs"/>
          <w:noProof w:val="0"/>
          <w:color w:val="auto"/>
          <w:rtl/>
          <w:lang w:eastAsia="en-US"/>
        </w:rPr>
        <w:t>علة تحريم بيع الدين بالدين على الغير</w:t>
      </w:r>
      <w:r w:rsidR="003739DF">
        <w:rPr>
          <w:rFonts w:ascii="Traditional Arabic" w:hAnsi="Traditional Arabic" w:hint="cs"/>
          <w:noProof w:val="0"/>
          <w:color w:val="auto"/>
          <w:rtl/>
          <w:lang w:eastAsia="en-US"/>
        </w:rPr>
        <w:t>،</w:t>
      </w:r>
      <w:r w:rsidRPr="00F60BF3">
        <w:rPr>
          <w:rFonts w:ascii="Traditional Arabic" w:hAnsi="Traditional Arabic" w:hint="cs"/>
          <w:noProof w:val="0"/>
          <w:color w:val="auto"/>
          <w:rtl/>
          <w:lang w:eastAsia="en-US"/>
        </w:rPr>
        <w:t xml:space="preserve"> </w:t>
      </w:r>
      <w:r w:rsidR="003739DF">
        <w:rPr>
          <w:rFonts w:ascii="Traditional Arabic" w:hAnsi="Traditional Arabic" w:hint="cs"/>
          <w:noProof w:val="0"/>
          <w:color w:val="auto"/>
          <w:rtl/>
          <w:lang w:eastAsia="en-US"/>
        </w:rPr>
        <w:t xml:space="preserve">هي </w:t>
      </w:r>
      <w:r w:rsidRPr="00F60BF3">
        <w:rPr>
          <w:rFonts w:ascii="Traditional Arabic" w:hAnsi="Traditional Arabic" w:hint="cs"/>
          <w:noProof w:val="0"/>
          <w:color w:val="auto"/>
          <w:rtl/>
          <w:lang w:eastAsia="en-US"/>
        </w:rPr>
        <w:t>الخوف من الغرر</w:t>
      </w:r>
      <w:r w:rsidRPr="00F60BF3">
        <w:rPr>
          <w:rFonts w:ascii="Traditional Arabic" w:hAnsi="Traditional Arabic" w:hint="cs"/>
          <w:noProof w:val="0"/>
          <w:rtl/>
          <w:lang w:eastAsia="en-US"/>
        </w:rPr>
        <w:t xml:space="preserve"> وعدم التسليم</w:t>
      </w:r>
      <w:r w:rsidRPr="00F60BF3">
        <w:rPr>
          <w:rFonts w:ascii="Traditional Arabic" w:hAnsi="Traditional Arabic"/>
          <w:noProof w:val="0"/>
          <w:rtl/>
          <w:lang w:eastAsia="en-US"/>
        </w:rPr>
        <w:t>،</w:t>
      </w:r>
      <w:r w:rsidRPr="00F60BF3">
        <w:rPr>
          <w:rFonts w:ascii="Traditional Arabic" w:hAnsi="Traditional Arabic" w:hint="cs"/>
          <w:noProof w:val="0"/>
          <w:rtl/>
          <w:lang w:eastAsia="en-US"/>
        </w:rPr>
        <w:t xml:space="preserve"> فإذا </w:t>
      </w:r>
      <w:r w:rsidRPr="00F60BF3">
        <w:rPr>
          <w:rFonts w:ascii="Traditional Arabic" w:hAnsi="Traditional Arabic"/>
          <w:noProof w:val="0"/>
          <w:rtl/>
          <w:lang w:eastAsia="en-US"/>
        </w:rPr>
        <w:t xml:space="preserve">كان الذي اشترى دين </w:t>
      </w:r>
      <w:r w:rsidRPr="00F60BF3">
        <w:rPr>
          <w:rFonts w:ascii="Traditional Arabic" w:hAnsi="Traditional Arabic" w:hint="cs"/>
          <w:noProof w:val="0"/>
          <w:rtl/>
          <w:lang w:eastAsia="en-US"/>
        </w:rPr>
        <w:t>الغير</w:t>
      </w:r>
      <w:r w:rsidRPr="00F60BF3">
        <w:rPr>
          <w:rFonts w:ascii="Traditional Arabic" w:hAnsi="Traditional Arabic"/>
          <w:noProof w:val="0"/>
          <w:rtl/>
          <w:lang w:eastAsia="en-US"/>
        </w:rPr>
        <w:t xml:space="preserve"> قادرا على أخذه منه</w:t>
      </w:r>
      <w:r w:rsidRPr="00F60BF3">
        <w:rPr>
          <w:rFonts w:ascii="Traditional Arabic" w:hAnsi="Traditional Arabic" w:hint="cs"/>
          <w:noProof w:val="0"/>
          <w:rtl/>
          <w:lang w:eastAsia="en-US"/>
        </w:rPr>
        <w:t xml:space="preserve"> جاز ذلك؛ لزوال علة التحريم، و</w:t>
      </w:r>
      <w:r w:rsidRPr="00F60BF3">
        <w:rPr>
          <w:rFonts w:ascii="Traditional Arabic" w:hAnsi="Traditional Arabic"/>
          <w:noProof w:val="0"/>
          <w:rtl/>
          <w:lang w:eastAsia="en-US"/>
        </w:rPr>
        <w:t>إذا زالت العلة زال المعلول وزال الحكم</w:t>
      </w:r>
      <w:r w:rsidRPr="00F60BF3">
        <w:rPr>
          <w:rFonts w:ascii="Traditional Arabic" w:hAnsi="Traditional Arabic" w:hint="cs"/>
          <w:noProof w:val="0"/>
          <w:rtl/>
          <w:lang w:eastAsia="en-US"/>
        </w:rPr>
        <w:t>؛ لأن الحكم يدور مع علته وجودا وعدما</w:t>
      </w:r>
      <w:r w:rsidRPr="00C821A1">
        <w:rPr>
          <w:rStyle w:val="af1"/>
          <w:szCs w:val="32"/>
          <w:rtl/>
        </w:rPr>
        <w:t>(</w:t>
      </w:r>
      <w:r w:rsidRPr="00C821A1">
        <w:rPr>
          <w:rStyle w:val="af1"/>
          <w:szCs w:val="32"/>
          <w:rtl/>
        </w:rPr>
        <w:footnoteReference w:id="1573"/>
      </w:r>
      <w:r w:rsidRPr="00C821A1">
        <w:rPr>
          <w:rStyle w:val="af1"/>
          <w:szCs w:val="32"/>
          <w:rtl/>
        </w:rPr>
        <w:t>)</w:t>
      </w:r>
      <w:r w:rsidRPr="00F60BF3">
        <w:rPr>
          <w:rFonts w:ascii="Traditional Arabic" w:hAnsi="Traditional Arabic" w:hint="cs"/>
          <w:noProof w:val="0"/>
          <w:rtl/>
          <w:lang w:eastAsia="en-US"/>
        </w:rPr>
        <w:t>.</w:t>
      </w:r>
    </w:p>
    <w:p w:rsidR="009840EE" w:rsidRDefault="00065E4B" w:rsidP="000A76C7">
      <w:pPr>
        <w:pStyle w:val="afc"/>
        <w:widowControl/>
        <w:numPr>
          <w:ilvl w:val="0"/>
          <w:numId w:val="214"/>
        </w:numPr>
        <w:autoSpaceDE w:val="0"/>
        <w:autoSpaceDN w:val="0"/>
        <w:adjustRightInd w:val="0"/>
        <w:jc w:val="left"/>
        <w:rPr>
          <w:rFonts w:ascii="Traditional Arabic" w:hAnsi="Traditional Arabic"/>
          <w:noProof w:val="0"/>
          <w:color w:val="auto"/>
          <w:lang w:eastAsia="en-US"/>
        </w:rPr>
      </w:pPr>
      <w:r>
        <w:rPr>
          <w:rFonts w:ascii="Traditional Arabic" w:hAnsi="Traditional Arabic"/>
          <w:noProof w:val="0"/>
          <w:color w:val="auto"/>
          <w:rtl/>
          <w:lang w:eastAsia="en-US"/>
        </w:rPr>
        <w:t>ل</w:t>
      </w:r>
      <w:r w:rsidR="009840EE">
        <w:rPr>
          <w:rFonts w:ascii="Traditional Arabic" w:hAnsi="Traditional Arabic"/>
          <w:noProof w:val="0"/>
          <w:color w:val="auto"/>
          <w:rtl/>
          <w:lang w:eastAsia="en-US"/>
        </w:rPr>
        <w:t>ا يصح بيع</w:t>
      </w:r>
      <w:r w:rsidR="009840EE">
        <w:rPr>
          <w:rFonts w:ascii="Traditional Arabic" w:hAnsi="Traditional Arabic" w:hint="cs"/>
          <w:noProof w:val="0"/>
          <w:color w:val="auto"/>
          <w:rtl/>
          <w:lang w:eastAsia="en-US"/>
        </w:rPr>
        <w:t xml:space="preserve"> الحشرات</w:t>
      </w:r>
      <w:r w:rsidR="009840EE" w:rsidRPr="00B3614D">
        <w:rPr>
          <w:rFonts w:ascii="Traditional Arabic" w:hAnsi="Traditional Arabic"/>
          <w:noProof w:val="0"/>
          <w:color w:val="auto"/>
          <w:rtl/>
          <w:lang w:eastAsia="en-US"/>
        </w:rPr>
        <w:t xml:space="preserve">، والعلة </w:t>
      </w:r>
      <w:r w:rsidR="009840EE">
        <w:rPr>
          <w:rFonts w:ascii="Traditional Arabic" w:hAnsi="Traditional Arabic" w:hint="cs"/>
          <w:noProof w:val="0"/>
          <w:color w:val="auto"/>
          <w:rtl/>
          <w:lang w:eastAsia="en-US"/>
        </w:rPr>
        <w:t xml:space="preserve">في ذلك </w:t>
      </w:r>
      <w:r w:rsidR="009840EE" w:rsidRPr="00B3614D">
        <w:rPr>
          <w:rFonts w:ascii="Traditional Arabic" w:hAnsi="Traditional Arabic"/>
          <w:noProof w:val="0"/>
          <w:color w:val="auto"/>
          <w:rtl/>
          <w:lang w:eastAsia="en-US"/>
        </w:rPr>
        <w:t>أنه ليس فيها نفع</w:t>
      </w:r>
      <w:r w:rsidR="009840EE">
        <w:rPr>
          <w:rFonts w:ascii="Traditional Arabic" w:hAnsi="Traditional Arabic" w:hint="cs"/>
          <w:noProof w:val="0"/>
          <w:color w:val="auto"/>
          <w:rtl/>
          <w:lang w:eastAsia="en-US"/>
        </w:rPr>
        <w:t>ٌ</w:t>
      </w:r>
      <w:r w:rsidR="009840EE" w:rsidRPr="00B3614D">
        <w:rPr>
          <w:rFonts w:ascii="Traditional Arabic" w:hAnsi="Traditional Arabic"/>
          <w:noProof w:val="0"/>
          <w:color w:val="auto"/>
          <w:rtl/>
          <w:lang w:eastAsia="en-US"/>
        </w:rPr>
        <w:t>، فب</w:t>
      </w:r>
      <w:r w:rsidR="009840EE">
        <w:rPr>
          <w:rFonts w:ascii="Traditional Arabic" w:hAnsi="Traditional Arabic" w:hint="cs"/>
          <w:noProof w:val="0"/>
          <w:color w:val="auto"/>
          <w:rtl/>
          <w:lang w:eastAsia="en-US"/>
        </w:rPr>
        <w:t>َ</w:t>
      </w:r>
      <w:r w:rsidR="009840EE" w:rsidRPr="00B3614D">
        <w:rPr>
          <w:rFonts w:ascii="Traditional Arabic" w:hAnsi="Traditional Arabic"/>
          <w:noProof w:val="0"/>
          <w:color w:val="auto"/>
          <w:rtl/>
          <w:lang w:eastAsia="en-US"/>
        </w:rPr>
        <w:t>ذ</w:t>
      </w:r>
      <w:r w:rsidR="009840EE">
        <w:rPr>
          <w:rFonts w:ascii="Traditional Arabic" w:hAnsi="Traditional Arabic" w:hint="cs"/>
          <w:noProof w:val="0"/>
          <w:color w:val="auto"/>
          <w:rtl/>
          <w:lang w:eastAsia="en-US"/>
        </w:rPr>
        <w:t>ْ</w:t>
      </w:r>
      <w:r w:rsidR="009840EE" w:rsidRPr="00B3614D">
        <w:rPr>
          <w:rFonts w:ascii="Traditional Arabic" w:hAnsi="Traditional Arabic"/>
          <w:noProof w:val="0"/>
          <w:color w:val="auto"/>
          <w:rtl/>
          <w:lang w:eastAsia="en-US"/>
        </w:rPr>
        <w:t>ل</w:t>
      </w:r>
      <w:r w:rsidR="009840EE">
        <w:rPr>
          <w:rFonts w:ascii="Traditional Arabic" w:hAnsi="Traditional Arabic" w:hint="cs"/>
          <w:noProof w:val="0"/>
          <w:color w:val="auto"/>
          <w:rtl/>
          <w:lang w:eastAsia="en-US"/>
        </w:rPr>
        <w:t>ُ</w:t>
      </w:r>
      <w:r w:rsidR="009840EE" w:rsidRPr="00B3614D">
        <w:rPr>
          <w:rFonts w:ascii="Traditional Arabic" w:hAnsi="Traditional Arabic"/>
          <w:noProof w:val="0"/>
          <w:color w:val="auto"/>
          <w:rtl/>
          <w:lang w:eastAsia="en-US"/>
        </w:rPr>
        <w:t xml:space="preserve"> المال فيها إضاعة له، وقد نهى </w:t>
      </w:r>
      <w:r w:rsidR="00D564C3">
        <w:rPr>
          <w:rFonts w:ascii="Traditional Arabic" w:hAnsi="Traditional Arabic" w:hint="cs"/>
          <w:rtl/>
        </w:rPr>
        <w:t>صلى الله عليه وسلم</w:t>
      </w:r>
      <w:r w:rsidR="009840EE">
        <w:rPr>
          <w:rFonts w:ascii="Traditional Arabic" w:hAnsi="Traditional Arabic"/>
          <w:noProof w:val="0"/>
          <w:color w:val="auto"/>
          <w:rtl/>
          <w:lang w:eastAsia="en-US"/>
        </w:rPr>
        <w:t xml:space="preserve"> عن إضاعة المال</w:t>
      </w:r>
      <w:r w:rsidR="009840EE" w:rsidRPr="00C821A1">
        <w:rPr>
          <w:rStyle w:val="af1"/>
          <w:szCs w:val="32"/>
          <w:rtl/>
        </w:rPr>
        <w:t>(</w:t>
      </w:r>
      <w:r w:rsidR="009840EE" w:rsidRPr="00C821A1">
        <w:rPr>
          <w:rStyle w:val="af1"/>
          <w:szCs w:val="32"/>
          <w:rtl/>
        </w:rPr>
        <w:footnoteReference w:id="1574"/>
      </w:r>
      <w:r w:rsidR="009840EE" w:rsidRPr="00C821A1">
        <w:rPr>
          <w:rStyle w:val="af1"/>
          <w:szCs w:val="32"/>
          <w:rtl/>
        </w:rPr>
        <w:t>)</w:t>
      </w:r>
      <w:r w:rsidR="009840EE">
        <w:rPr>
          <w:rFonts w:ascii="Traditional Arabic" w:hAnsi="Traditional Arabic" w:hint="cs"/>
          <w:noProof w:val="0"/>
          <w:color w:val="auto"/>
          <w:rtl/>
          <w:lang w:eastAsia="en-US"/>
        </w:rPr>
        <w:t>.</w:t>
      </w:r>
    </w:p>
    <w:p w:rsidR="009840EE" w:rsidRDefault="009840EE" w:rsidP="00597C20">
      <w:pPr>
        <w:pStyle w:val="afc"/>
        <w:widowControl/>
        <w:autoSpaceDE w:val="0"/>
        <w:autoSpaceDN w:val="0"/>
        <w:adjustRightInd w:val="0"/>
        <w:ind w:left="1080" w:firstLine="0"/>
        <w:rPr>
          <w:rFonts w:ascii="Traditional Arabic" w:hAnsi="Traditional Arabic"/>
          <w:noProof w:val="0"/>
          <w:color w:val="auto"/>
          <w:rtl/>
          <w:lang w:eastAsia="en-US"/>
        </w:rPr>
      </w:pPr>
      <w:r w:rsidRPr="00B3614D">
        <w:rPr>
          <w:rFonts w:ascii="Traditional Arabic" w:hAnsi="Traditional Arabic"/>
          <w:noProof w:val="0"/>
          <w:color w:val="auto"/>
          <w:rtl/>
          <w:lang w:eastAsia="en-US"/>
        </w:rPr>
        <w:t>وع</w:t>
      </w:r>
      <w:r>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لم من هذا التعليل أنه لو كان فيها نفع</w:t>
      </w:r>
      <w:r w:rsidR="00AE48CB">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 xml:space="preserve"> جاز بيعها؛ لأن الحكم يدور مع علته وجودا وعدما، ومن النفع الع</w:t>
      </w:r>
      <w:r>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ق</w:t>
      </w:r>
      <w:r w:rsidRPr="00C821A1">
        <w:rPr>
          <w:rStyle w:val="af1"/>
          <w:szCs w:val="32"/>
          <w:rtl/>
        </w:rPr>
        <w:t>(</w:t>
      </w:r>
      <w:r w:rsidRPr="00C821A1">
        <w:rPr>
          <w:rStyle w:val="af1"/>
          <w:szCs w:val="32"/>
          <w:rtl/>
        </w:rPr>
        <w:footnoteReference w:id="1575"/>
      </w:r>
      <w:r w:rsidRPr="00C821A1">
        <w:rPr>
          <w:rStyle w:val="af1"/>
          <w:szCs w:val="32"/>
          <w:rtl/>
        </w:rPr>
        <w:t>)</w:t>
      </w:r>
      <w:r w:rsidRPr="00B3614D">
        <w:rPr>
          <w:rFonts w:ascii="Traditional Arabic" w:hAnsi="Traditional Arabic"/>
          <w:noProof w:val="0"/>
          <w:color w:val="auto"/>
          <w:rtl/>
          <w:lang w:eastAsia="en-US"/>
        </w:rPr>
        <w:t xml:space="preserve"> ل</w:t>
      </w:r>
      <w:r>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ص</w:t>
      </w:r>
      <w:r>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 xml:space="preserve"> الدم، والد</w:t>
      </w:r>
      <w:r>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يدان ل</w:t>
      </w:r>
      <w:r>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ص</w:t>
      </w:r>
      <w:r>
        <w:rPr>
          <w:rFonts w:ascii="Traditional Arabic" w:hAnsi="Traditional Arabic" w:hint="cs"/>
          <w:noProof w:val="0"/>
          <w:color w:val="auto"/>
          <w:rtl/>
          <w:lang w:eastAsia="en-US"/>
        </w:rPr>
        <w:t>َ</w:t>
      </w:r>
      <w:r w:rsidRPr="00B3614D">
        <w:rPr>
          <w:rFonts w:ascii="Traditional Arabic" w:hAnsi="Traditional Arabic"/>
          <w:noProof w:val="0"/>
          <w:color w:val="auto"/>
          <w:rtl/>
          <w:lang w:eastAsia="en-US"/>
        </w:rPr>
        <w:t>يد السمك</w:t>
      </w:r>
      <w:r w:rsidRPr="00C821A1">
        <w:rPr>
          <w:rStyle w:val="af1"/>
          <w:szCs w:val="32"/>
          <w:rtl/>
        </w:rPr>
        <w:t>(</w:t>
      </w:r>
      <w:r w:rsidRPr="00C821A1">
        <w:rPr>
          <w:rStyle w:val="af1"/>
          <w:szCs w:val="32"/>
          <w:rtl/>
        </w:rPr>
        <w:footnoteReference w:id="1576"/>
      </w:r>
      <w:r w:rsidRPr="00C821A1">
        <w:rPr>
          <w:rStyle w:val="af1"/>
          <w:szCs w:val="32"/>
          <w:rtl/>
        </w:rPr>
        <w:t>)</w:t>
      </w:r>
      <w:r w:rsidRPr="00B3614D">
        <w:rPr>
          <w:rFonts w:ascii="Traditional Arabic" w:hAnsi="Traditional Arabic"/>
          <w:noProof w:val="0"/>
          <w:color w:val="auto"/>
          <w:rtl/>
          <w:lang w:eastAsia="en-US"/>
        </w:rPr>
        <w:t>.</w:t>
      </w:r>
    </w:p>
    <w:p w:rsidR="009840EE" w:rsidRDefault="009840EE" w:rsidP="00597C20">
      <w:pPr>
        <w:pStyle w:val="53"/>
        <w:rPr>
          <w:rtl/>
        </w:rPr>
      </w:pPr>
      <w:r>
        <w:rPr>
          <w:rFonts w:hint="cs"/>
          <w:rtl/>
        </w:rPr>
        <w:t>وجه اندراج الفرع تحت القاعدة:</w:t>
      </w:r>
    </w:p>
    <w:p w:rsidR="009840EE" w:rsidRPr="00F60BF3" w:rsidRDefault="009840EE" w:rsidP="00597C20">
      <w:pPr>
        <w:widowControl/>
        <w:autoSpaceDE w:val="0"/>
        <w:autoSpaceDN w:val="0"/>
        <w:adjustRightInd w:val="0"/>
        <w:ind w:firstLine="720"/>
        <w:jc w:val="left"/>
        <w:rPr>
          <w:rFonts w:ascii="Traditional Arabic" w:hAnsi="Traditional Arabic"/>
          <w:noProof w:val="0"/>
          <w:color w:val="auto"/>
          <w:rtl/>
          <w:lang w:eastAsia="en-US"/>
        </w:rPr>
      </w:pPr>
      <w:r w:rsidRPr="00F60BF3">
        <w:rPr>
          <w:rFonts w:ascii="Traditional Arabic" w:hAnsi="Traditional Arabic" w:hint="cs"/>
          <w:noProof w:val="0"/>
          <w:color w:val="auto"/>
          <w:rtl/>
          <w:lang w:eastAsia="en-US"/>
        </w:rPr>
        <w:t>العلة في تحريم بيع الحشرات أنها لا نفع فيها، وبيع ما لا نفع فيه إضاعة للمال، فإذا زالت هذه العلة وكان في بعض الحشرات نفعٌ، جاز بيعها؛ لأن الحكم يدور مع علته وجودا وعدما.</w:t>
      </w:r>
    </w:p>
    <w:p w:rsidR="009840EE" w:rsidRPr="00F05E83" w:rsidRDefault="009840EE" w:rsidP="000A76C7">
      <w:pPr>
        <w:pStyle w:val="afc"/>
        <w:widowControl/>
        <w:numPr>
          <w:ilvl w:val="0"/>
          <w:numId w:val="214"/>
        </w:numPr>
        <w:autoSpaceDE w:val="0"/>
        <w:autoSpaceDN w:val="0"/>
        <w:adjustRightInd w:val="0"/>
        <w:rPr>
          <w:rFonts w:ascii="Traditional Arabic" w:hAnsi="Traditional Arabic"/>
          <w:noProof w:val="0"/>
          <w:color w:val="auto"/>
          <w:rtl/>
          <w:lang w:eastAsia="en-US"/>
        </w:rPr>
      </w:pPr>
      <w:r w:rsidRPr="00832F93">
        <w:rPr>
          <w:rFonts w:ascii="Traditional Arabic" w:hAnsi="Traditional Arabic"/>
          <w:noProof w:val="0"/>
          <w:color w:val="auto"/>
          <w:rtl/>
          <w:lang w:eastAsia="en-US"/>
        </w:rPr>
        <w:t>الفقهاء يقولون: لا يجوز</w:t>
      </w:r>
      <w:r w:rsidRPr="00832F93">
        <w:rPr>
          <w:rFonts w:ascii="Traditional Arabic" w:hAnsi="Traditional Arabic" w:hint="cs"/>
          <w:noProof w:val="0"/>
          <w:color w:val="auto"/>
          <w:rtl/>
          <w:lang w:eastAsia="en-US"/>
        </w:rPr>
        <w:t xml:space="preserve"> ق</w:t>
      </w:r>
      <w:r>
        <w:rPr>
          <w:rFonts w:ascii="Traditional Arabic" w:hAnsi="Traditional Arabic" w:hint="cs"/>
          <w:noProof w:val="0"/>
          <w:color w:val="auto"/>
          <w:rtl/>
          <w:lang w:eastAsia="en-US"/>
        </w:rPr>
        <w:t>َ</w:t>
      </w:r>
      <w:r w:rsidRPr="00832F93">
        <w:rPr>
          <w:rFonts w:ascii="Traditional Arabic" w:hAnsi="Traditional Arabic" w:hint="cs"/>
          <w:noProof w:val="0"/>
          <w:color w:val="auto"/>
          <w:rtl/>
          <w:lang w:eastAsia="en-US"/>
        </w:rPr>
        <w:t>ط</w:t>
      </w:r>
      <w:r>
        <w:rPr>
          <w:rFonts w:ascii="Traditional Arabic" w:hAnsi="Traditional Arabic" w:hint="cs"/>
          <w:noProof w:val="0"/>
          <w:color w:val="auto"/>
          <w:rtl/>
          <w:lang w:eastAsia="en-US"/>
        </w:rPr>
        <w:t>ْ</w:t>
      </w:r>
      <w:r w:rsidRPr="00832F93">
        <w:rPr>
          <w:rFonts w:ascii="Traditional Arabic" w:hAnsi="Traditional Arabic" w:hint="cs"/>
          <w:noProof w:val="0"/>
          <w:color w:val="auto"/>
          <w:rtl/>
          <w:lang w:eastAsia="en-US"/>
        </w:rPr>
        <w:t>ع</w:t>
      </w:r>
      <w:r>
        <w:rPr>
          <w:rFonts w:ascii="Traditional Arabic" w:hAnsi="Traditional Arabic" w:hint="cs"/>
          <w:noProof w:val="0"/>
          <w:color w:val="auto"/>
          <w:rtl/>
          <w:lang w:eastAsia="en-US"/>
        </w:rPr>
        <w:t>ُ</w:t>
      </w:r>
      <w:r w:rsidRPr="00832F93">
        <w:rPr>
          <w:rFonts w:ascii="Traditional Arabic" w:hAnsi="Traditional Arabic" w:hint="cs"/>
          <w:noProof w:val="0"/>
          <w:color w:val="auto"/>
          <w:rtl/>
          <w:lang w:eastAsia="en-US"/>
        </w:rPr>
        <w:t xml:space="preserve"> الأ</w:t>
      </w:r>
      <w:r>
        <w:rPr>
          <w:rFonts w:ascii="Traditional Arabic" w:hAnsi="Traditional Arabic" w:hint="cs"/>
          <w:noProof w:val="0"/>
          <w:color w:val="auto"/>
          <w:rtl/>
          <w:lang w:eastAsia="en-US"/>
        </w:rPr>
        <w:t>ُ</w:t>
      </w:r>
      <w:r w:rsidRPr="00832F93">
        <w:rPr>
          <w:rFonts w:ascii="Traditional Arabic" w:hAnsi="Traditional Arabic" w:hint="cs"/>
          <w:noProof w:val="0"/>
          <w:color w:val="auto"/>
          <w:rtl/>
          <w:lang w:eastAsia="en-US"/>
        </w:rPr>
        <w:t>صبع الزائدة</w:t>
      </w:r>
      <w:r w:rsidRPr="00832F93">
        <w:rPr>
          <w:rFonts w:ascii="Traditional Arabic" w:hAnsi="Traditional Arabic"/>
          <w:noProof w:val="0"/>
          <w:color w:val="auto"/>
          <w:rtl/>
          <w:lang w:eastAsia="en-US"/>
        </w:rPr>
        <w:t>، ويعل</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لون ذلك بالخ</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ط</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ر، ولكن بناء على تقد</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م الطب الآن فإن الصحيح جواز ذلك؛ لأن هذا إزالة</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 xml:space="preserve"> عيب، وليس من باب التجميل، ول</w:t>
      </w:r>
      <w:r>
        <w:rPr>
          <w:rFonts w:ascii="Traditional Arabic" w:hAnsi="Traditional Arabic"/>
          <w:noProof w:val="0"/>
          <w:color w:val="auto"/>
          <w:rtl/>
          <w:lang w:eastAsia="en-US"/>
        </w:rPr>
        <w:t>و كان من باب التجميل لكان حراما</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 xml:space="preserve"> ولهذا </w:t>
      </w:r>
      <w:r w:rsidR="0059733B">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 xml:space="preserve">لعن النبي </w:t>
      </w:r>
      <w:r w:rsidR="00D564C3">
        <w:rPr>
          <w:rFonts w:ascii="Traditional Arabic" w:hAnsi="Traditional Arabic" w:hint="cs"/>
          <w:rtl/>
        </w:rPr>
        <w:t>صلى الله عليه وسلم</w:t>
      </w:r>
      <w:r w:rsidR="00D564C3" w:rsidRPr="00B914DF">
        <w:rPr>
          <w:rFonts w:ascii="Traditional Arabic" w:hAnsi="Traditional Arabic"/>
          <w:rtl/>
        </w:rPr>
        <w:t xml:space="preserve"> </w:t>
      </w:r>
      <w:r>
        <w:rPr>
          <w:rFonts w:ascii="Traditional Arabic" w:hAnsi="Traditional Arabic"/>
          <w:noProof w:val="0"/>
          <w:color w:val="auto"/>
          <w:rtl/>
          <w:lang w:eastAsia="en-US"/>
        </w:rPr>
        <w:t>النام</w:t>
      </w:r>
      <w:r>
        <w:rPr>
          <w:rFonts w:ascii="Traditional Arabic" w:hAnsi="Traditional Arabic" w:hint="cs"/>
          <w:noProof w:val="0"/>
          <w:color w:val="auto"/>
          <w:rtl/>
          <w:lang w:eastAsia="en-US"/>
        </w:rPr>
        <w:t>ِ</w:t>
      </w:r>
      <w:r>
        <w:rPr>
          <w:rFonts w:ascii="Traditional Arabic" w:hAnsi="Traditional Arabic"/>
          <w:noProof w:val="0"/>
          <w:color w:val="auto"/>
          <w:rtl/>
          <w:lang w:eastAsia="en-US"/>
        </w:rPr>
        <w:t>صة والمتنم</w:t>
      </w:r>
      <w:r>
        <w:rPr>
          <w:rFonts w:ascii="Traditional Arabic" w:hAnsi="Traditional Arabic" w:hint="cs"/>
          <w:noProof w:val="0"/>
          <w:color w:val="auto"/>
          <w:rtl/>
          <w:lang w:eastAsia="en-US"/>
        </w:rPr>
        <w:t>ِّ</w:t>
      </w:r>
      <w:r>
        <w:rPr>
          <w:rFonts w:ascii="Traditional Arabic" w:hAnsi="Traditional Arabic"/>
          <w:noProof w:val="0"/>
          <w:color w:val="auto"/>
          <w:rtl/>
          <w:lang w:eastAsia="en-US"/>
        </w:rPr>
        <w:t>ص</w:t>
      </w:r>
      <w:r>
        <w:rPr>
          <w:rFonts w:ascii="Traditional Arabic" w:hAnsi="Traditional Arabic" w:hint="cs"/>
          <w:noProof w:val="0"/>
          <w:color w:val="auto"/>
          <w:rtl/>
          <w:lang w:eastAsia="en-US"/>
        </w:rPr>
        <w:t>ة</w:t>
      </w:r>
      <w:r w:rsidR="00AB0B9E">
        <w:rPr>
          <w:rFonts w:ascii="Traditional Arabic" w:hAnsi="Traditional Arabic"/>
          <w:noProof w:val="0"/>
          <w:color w:val="auto"/>
          <w:rtl/>
          <w:lang w:eastAsia="en-US"/>
        </w:rPr>
        <w:fldChar w:fldCharType="begin"/>
      </w:r>
      <w:r w:rsidR="0059733B" w:rsidRPr="00C85F0F">
        <w:instrText>XE</w:instrText>
      </w:r>
      <w:r w:rsidR="0059733B" w:rsidRPr="00C85F0F">
        <w:rPr>
          <w:rtl/>
        </w:rPr>
        <w:instrText xml:space="preserve"> "</w:instrText>
      </w:r>
      <w:r w:rsidR="0059733B" w:rsidRPr="00C85F0F">
        <w:rPr>
          <w:rFonts w:ascii="Traditional Arabic" w:hAnsi="Traditional Arabic"/>
          <w:noProof w:val="0"/>
          <w:color w:val="auto"/>
          <w:rtl/>
          <w:lang w:eastAsia="en-US"/>
        </w:rPr>
        <w:instrText xml:space="preserve">لعن النبي </w:instrText>
      </w:r>
      <w:r w:rsidR="0059733B" w:rsidRPr="00C85F0F">
        <w:rPr>
          <w:rFonts w:ascii="Traditional Arabic" w:hAnsi="Traditional Arabic"/>
          <w:noProof w:val="0"/>
          <w:color w:val="auto"/>
          <w:rtl/>
          <w:lang w:eastAsia="en-US"/>
        </w:rPr>
        <w:sym w:font="AGA Arabesque" w:char="F072"/>
      </w:r>
      <w:r w:rsidR="0059733B" w:rsidRPr="00C85F0F">
        <w:rPr>
          <w:rFonts w:ascii="Traditional Arabic" w:hAnsi="Traditional Arabic"/>
          <w:noProof w:val="0"/>
          <w:color w:val="auto"/>
          <w:rtl/>
          <w:lang w:eastAsia="en-US"/>
        </w:rPr>
        <w:instrText>النام</w:instrText>
      </w:r>
      <w:r w:rsidR="0059733B" w:rsidRPr="00C85F0F">
        <w:rPr>
          <w:rFonts w:ascii="Traditional Arabic" w:hAnsi="Traditional Arabic" w:hint="cs"/>
          <w:noProof w:val="0"/>
          <w:color w:val="auto"/>
          <w:rtl/>
          <w:lang w:eastAsia="en-US"/>
        </w:rPr>
        <w:instrText>ِ</w:instrText>
      </w:r>
      <w:r w:rsidR="0059733B" w:rsidRPr="00C85F0F">
        <w:rPr>
          <w:rFonts w:ascii="Traditional Arabic" w:hAnsi="Traditional Arabic"/>
          <w:noProof w:val="0"/>
          <w:color w:val="auto"/>
          <w:rtl/>
          <w:lang w:eastAsia="en-US"/>
        </w:rPr>
        <w:instrText>صة والمتنم</w:instrText>
      </w:r>
      <w:r w:rsidR="0059733B" w:rsidRPr="00C85F0F">
        <w:rPr>
          <w:rFonts w:ascii="Traditional Arabic" w:hAnsi="Traditional Arabic" w:hint="cs"/>
          <w:noProof w:val="0"/>
          <w:color w:val="auto"/>
          <w:rtl/>
          <w:lang w:eastAsia="en-US"/>
        </w:rPr>
        <w:instrText>ِّ</w:instrText>
      </w:r>
      <w:r w:rsidR="0059733B" w:rsidRPr="00C85F0F">
        <w:rPr>
          <w:rFonts w:ascii="Traditional Arabic" w:hAnsi="Traditional Arabic"/>
          <w:noProof w:val="0"/>
          <w:color w:val="auto"/>
          <w:rtl/>
          <w:lang w:eastAsia="en-US"/>
        </w:rPr>
        <w:instrText>ص</w:instrText>
      </w:r>
      <w:r w:rsidR="0059733B" w:rsidRPr="00C85F0F">
        <w:rPr>
          <w:rFonts w:ascii="Traditional Arabic" w:hAnsi="Traditional Arabic" w:hint="cs"/>
          <w:noProof w:val="0"/>
          <w:color w:val="auto"/>
          <w:rtl/>
          <w:lang w:eastAsia="en-US"/>
        </w:rPr>
        <w:instrText>ة</w:instrText>
      </w:r>
      <w:r w:rsidR="0059733B" w:rsidRPr="00C85F0F">
        <w:rPr>
          <w:rtl/>
        </w:rPr>
        <w:instrText xml:space="preserve">" </w:instrText>
      </w:r>
      <w:r w:rsidR="0059733B" w:rsidRPr="00C85F0F">
        <w:rPr>
          <w:rtl/>
          <w:lang w:val="fr-FR"/>
        </w:rPr>
        <w:instrText>\</w:instrText>
      </w:r>
      <w:r w:rsidR="0059733B" w:rsidRPr="00C85F0F">
        <w:rPr>
          <w:lang w:val="fr-FR"/>
        </w:rPr>
        <w:instrText>f</w:instrText>
      </w:r>
      <w:r w:rsidR="0059733B">
        <w:rPr>
          <w:lang w:val="fr-FR"/>
        </w:rPr>
        <w:instrText>h</w:instrText>
      </w:r>
      <w:r w:rsidR="00AB0B9E">
        <w:rPr>
          <w:rFonts w:ascii="Traditional Arabic" w:hAnsi="Traditional Arabic"/>
          <w:noProof w:val="0"/>
          <w:color w:val="auto"/>
          <w:rtl/>
          <w:lang w:eastAsia="en-US"/>
        </w:rPr>
        <w:fldChar w:fldCharType="end"/>
      </w:r>
      <w:r w:rsidR="0059733B">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577"/>
      </w:r>
      <w:r w:rsidRPr="00C821A1">
        <w:rPr>
          <w:rStyle w:val="af1"/>
          <w:szCs w:val="32"/>
          <w:rtl/>
        </w:rPr>
        <w:t>)</w:t>
      </w:r>
      <w:r w:rsidRPr="00832F93">
        <w:rPr>
          <w:rFonts w:ascii="Traditional Arabic" w:hAnsi="Traditional Arabic"/>
          <w:noProof w:val="0"/>
          <w:color w:val="auto"/>
          <w:rtl/>
          <w:lang w:eastAsia="en-US"/>
        </w:rPr>
        <w:t xml:space="preserve">، لأنها تزيل شيئا خلقه الله للتجميل، وأما هذا فيقطع </w:t>
      </w:r>
      <w:r>
        <w:rPr>
          <w:rFonts w:ascii="Traditional Arabic" w:hAnsi="Traditional Arabic"/>
          <w:noProof w:val="0"/>
          <w:color w:val="auto"/>
          <w:rtl/>
          <w:lang w:eastAsia="en-US"/>
        </w:rPr>
        <w:lastRenderedPageBreak/>
        <w:t>أصبعا زائدة من باب إزالة العيب</w:t>
      </w:r>
      <w:r w:rsidRPr="00832F93">
        <w:rPr>
          <w:rFonts w:ascii="Traditional Arabic" w:hAnsi="Traditional Arabic"/>
          <w:noProof w:val="0"/>
          <w:color w:val="auto"/>
          <w:rtl/>
          <w:lang w:eastAsia="en-US"/>
        </w:rPr>
        <w:t>، وهذا نظير</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 xml:space="preserve"> ما قال العلماء في البواسير</w:t>
      </w:r>
      <w:r w:rsidRPr="00C821A1">
        <w:rPr>
          <w:rStyle w:val="af1"/>
          <w:szCs w:val="32"/>
          <w:rtl/>
        </w:rPr>
        <w:t>(</w:t>
      </w:r>
      <w:r w:rsidRPr="00C821A1">
        <w:rPr>
          <w:rStyle w:val="af1"/>
          <w:szCs w:val="32"/>
          <w:rtl/>
        </w:rPr>
        <w:footnoteReference w:id="1578"/>
      </w:r>
      <w:r w:rsidRPr="00C821A1">
        <w:rPr>
          <w:rStyle w:val="af1"/>
          <w:szCs w:val="32"/>
          <w:rtl/>
        </w:rPr>
        <w:t>)</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إن ق</w:t>
      </w:r>
      <w:r>
        <w:rPr>
          <w:rFonts w:ascii="Traditional Arabic" w:hAnsi="Traditional Arabic" w:hint="cs"/>
          <w:noProof w:val="0"/>
          <w:color w:val="auto"/>
          <w:rtl/>
          <w:lang w:eastAsia="en-US"/>
        </w:rPr>
        <w:t>َ</w:t>
      </w:r>
      <w:r>
        <w:rPr>
          <w:rFonts w:ascii="Traditional Arabic" w:hAnsi="Traditional Arabic"/>
          <w:noProof w:val="0"/>
          <w:color w:val="auto"/>
          <w:rtl/>
          <w:lang w:eastAsia="en-US"/>
        </w:rPr>
        <w:t>ط</w:t>
      </w:r>
      <w:r>
        <w:rPr>
          <w:rFonts w:ascii="Traditional Arabic" w:hAnsi="Traditional Arabic" w:hint="cs"/>
          <w:noProof w:val="0"/>
          <w:color w:val="auto"/>
          <w:rtl/>
          <w:lang w:eastAsia="en-US"/>
        </w:rPr>
        <w:t>ْ</w:t>
      </w:r>
      <w:r>
        <w:rPr>
          <w:rFonts w:ascii="Traditional Arabic" w:hAnsi="Traditional Arabic"/>
          <w:noProof w:val="0"/>
          <w:color w:val="auto"/>
          <w:rtl/>
          <w:lang w:eastAsia="en-US"/>
        </w:rPr>
        <w:t>ع</w:t>
      </w:r>
      <w:r>
        <w:rPr>
          <w:rFonts w:ascii="Traditional Arabic" w:hAnsi="Traditional Arabic" w:hint="cs"/>
          <w:noProof w:val="0"/>
          <w:color w:val="auto"/>
          <w:rtl/>
          <w:lang w:eastAsia="en-US"/>
        </w:rPr>
        <w:t>َها</w:t>
      </w:r>
      <w:r w:rsidRPr="00832F93">
        <w:rPr>
          <w:rFonts w:ascii="Traditional Arabic" w:hAnsi="Traditional Arabic"/>
          <w:noProof w:val="0"/>
          <w:color w:val="auto"/>
          <w:rtl/>
          <w:lang w:eastAsia="en-US"/>
        </w:rPr>
        <w:t xml:space="preserve"> حرام؛ لأنه يمكن أن ي</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ن</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ز</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ف الدم حتى يموت، فيكون متسب</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با</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 xml:space="preserve"> في قتل نفسه، ولكنه في الوقت الحاضر أصبحت هذه العملية عملية</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 xml:space="preserve"> بسيطة</w:t>
      </w:r>
      <w:r w:rsidR="003F25B1">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 xml:space="preserve"> وليس فيها أي</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 xml:space="preserve"> نوع</w:t>
      </w:r>
      <w:r>
        <w:rPr>
          <w:rFonts w:ascii="Traditional Arabic" w:hAnsi="Traditional Arabic" w:hint="cs"/>
          <w:noProof w:val="0"/>
          <w:color w:val="auto"/>
          <w:rtl/>
          <w:lang w:eastAsia="en-US"/>
        </w:rPr>
        <w:t>ٍ</w:t>
      </w:r>
      <w:r w:rsidRPr="00832F93">
        <w:rPr>
          <w:rFonts w:ascii="Traditional Arabic" w:hAnsi="Traditional Arabic"/>
          <w:noProof w:val="0"/>
          <w:color w:val="auto"/>
          <w:rtl/>
          <w:lang w:eastAsia="en-US"/>
        </w:rPr>
        <w:t xml:space="preserve"> م</w:t>
      </w:r>
      <w:r>
        <w:rPr>
          <w:rFonts w:ascii="Traditional Arabic" w:hAnsi="Traditional Arabic"/>
          <w:noProof w:val="0"/>
          <w:color w:val="auto"/>
          <w:rtl/>
          <w:lang w:eastAsia="en-US"/>
        </w:rPr>
        <w:t>ن الخطر</w:t>
      </w:r>
      <w:r w:rsidRPr="00C821A1">
        <w:rPr>
          <w:rStyle w:val="af1"/>
          <w:szCs w:val="32"/>
          <w:rtl/>
        </w:rPr>
        <w:t>(</w:t>
      </w:r>
      <w:r w:rsidRPr="00C821A1">
        <w:rPr>
          <w:rStyle w:val="af1"/>
          <w:szCs w:val="32"/>
          <w:rtl/>
        </w:rPr>
        <w:footnoteReference w:id="1579"/>
      </w:r>
      <w:r w:rsidRPr="00C821A1">
        <w:rPr>
          <w:rStyle w:val="af1"/>
          <w:szCs w:val="32"/>
          <w:rtl/>
        </w:rPr>
        <w:t>)</w:t>
      </w:r>
    </w:p>
    <w:p w:rsidR="009840EE" w:rsidRDefault="009840EE" w:rsidP="00597C20">
      <w:pPr>
        <w:pStyle w:val="53"/>
        <w:rPr>
          <w:rtl/>
        </w:rPr>
      </w:pPr>
      <w:r>
        <w:rPr>
          <w:rFonts w:hint="cs"/>
          <w:rtl/>
        </w:rPr>
        <w:t>وجه اندراج الفرع تحت القاعدة:</w:t>
      </w:r>
    </w:p>
    <w:p w:rsidR="009840EE" w:rsidRPr="00F60BF3" w:rsidRDefault="009840EE" w:rsidP="00597C20">
      <w:pPr>
        <w:widowControl/>
        <w:autoSpaceDE w:val="0"/>
        <w:autoSpaceDN w:val="0"/>
        <w:adjustRightInd w:val="0"/>
        <w:ind w:firstLine="720"/>
        <w:rPr>
          <w:rFonts w:ascii="Traditional Arabic" w:hAnsi="Traditional Arabic"/>
          <w:noProof w:val="0"/>
          <w:color w:val="auto"/>
          <w:rtl/>
          <w:lang w:eastAsia="en-US"/>
        </w:rPr>
      </w:pPr>
      <w:r w:rsidRPr="00F60BF3">
        <w:rPr>
          <w:rFonts w:ascii="Traditional Arabic" w:hAnsi="Traditional Arabic" w:hint="cs"/>
          <w:noProof w:val="0"/>
          <w:color w:val="auto"/>
          <w:rtl/>
          <w:lang w:eastAsia="en-US"/>
        </w:rPr>
        <w:t>حرَّم الفقهاء قطع الأصبع الزائدة، وقطع البواسير؛ ل</w:t>
      </w:r>
      <w:r w:rsidR="00647199">
        <w:rPr>
          <w:rFonts w:ascii="Traditional Arabic" w:hAnsi="Traditional Arabic" w:hint="cs"/>
          <w:noProof w:val="0"/>
          <w:color w:val="auto"/>
          <w:rtl/>
          <w:lang w:eastAsia="en-US"/>
        </w:rPr>
        <w:t>ِ</w:t>
      </w:r>
      <w:r w:rsidRPr="00F60BF3">
        <w:rPr>
          <w:rFonts w:ascii="Traditional Arabic" w:hAnsi="Traditional Arabic" w:hint="cs"/>
          <w:noProof w:val="0"/>
          <w:color w:val="auto"/>
          <w:rtl/>
          <w:lang w:eastAsia="en-US"/>
        </w:rPr>
        <w:t>ما في ذلك من خطر الموت على صاحبه، فلما زالت هذه العلة بتقدّ</w:t>
      </w:r>
      <w:r w:rsidR="00647199">
        <w:rPr>
          <w:rFonts w:ascii="Traditional Arabic" w:hAnsi="Traditional Arabic" w:hint="cs"/>
          <w:noProof w:val="0"/>
          <w:color w:val="auto"/>
          <w:rtl/>
          <w:lang w:eastAsia="en-US"/>
        </w:rPr>
        <w:t>ُم الطب في العصر الحاضر، جاز قطعها</w:t>
      </w:r>
      <w:r w:rsidRPr="00F60BF3">
        <w:rPr>
          <w:rFonts w:ascii="Traditional Arabic" w:hAnsi="Traditional Arabic" w:hint="cs"/>
          <w:noProof w:val="0"/>
          <w:color w:val="auto"/>
          <w:rtl/>
          <w:lang w:eastAsia="en-US"/>
        </w:rPr>
        <w:t>؛ لأن الحكم يدور مع علته وجودا وعدما</w:t>
      </w:r>
      <w:r w:rsidRPr="00C821A1">
        <w:rPr>
          <w:rStyle w:val="af1"/>
          <w:szCs w:val="32"/>
          <w:rtl/>
        </w:rPr>
        <w:t>(</w:t>
      </w:r>
      <w:r w:rsidRPr="00C821A1">
        <w:rPr>
          <w:rStyle w:val="af1"/>
          <w:szCs w:val="32"/>
          <w:rtl/>
        </w:rPr>
        <w:footnoteReference w:id="1580"/>
      </w:r>
      <w:r w:rsidRPr="00C821A1">
        <w:rPr>
          <w:rStyle w:val="af1"/>
          <w:szCs w:val="32"/>
          <w:rtl/>
        </w:rPr>
        <w:t>)</w:t>
      </w:r>
      <w:r w:rsidRPr="00F60BF3">
        <w:rPr>
          <w:rFonts w:ascii="Traditional Arabic" w:hAnsi="Traditional Arabic" w:hint="cs"/>
          <w:noProof w:val="0"/>
          <w:color w:val="auto"/>
          <w:rtl/>
          <w:lang w:eastAsia="en-US"/>
        </w:rPr>
        <w:t>.</w:t>
      </w:r>
    </w:p>
    <w:p w:rsidR="009840EE" w:rsidRDefault="009840EE" w:rsidP="000A76C7">
      <w:pPr>
        <w:pStyle w:val="afc"/>
        <w:widowControl/>
        <w:numPr>
          <w:ilvl w:val="0"/>
          <w:numId w:val="214"/>
        </w:numPr>
        <w:autoSpaceDE w:val="0"/>
        <w:autoSpaceDN w:val="0"/>
        <w:adjustRightInd w:val="0"/>
        <w:jc w:val="left"/>
        <w:rPr>
          <w:rFonts w:ascii="Traditional Arabic" w:hAnsi="Traditional Arabic"/>
          <w:noProof w:val="0"/>
          <w:color w:val="auto"/>
          <w:lang w:eastAsia="en-US"/>
        </w:rPr>
      </w:pPr>
      <w:r>
        <w:rPr>
          <w:rFonts w:ascii="Traditional Arabic" w:hAnsi="Traditional Arabic" w:hint="cs"/>
          <w:noProof w:val="0"/>
          <w:color w:val="auto"/>
          <w:rtl/>
          <w:lang w:eastAsia="en-US"/>
        </w:rPr>
        <w:t>إذا بلغ الصغير ورشد</w:t>
      </w:r>
      <w:r w:rsidRPr="00EF1B37">
        <w:rPr>
          <w:rFonts w:ascii="Traditional Arabic" w:hAnsi="Traditional Arabic"/>
          <w:noProof w:val="0"/>
          <w:color w:val="auto"/>
          <w:rtl/>
          <w:lang w:eastAsia="en-US"/>
        </w:rPr>
        <w:t xml:space="preserve">، أو عقل </w:t>
      </w:r>
      <w:r>
        <w:rPr>
          <w:rFonts w:ascii="Traditional Arabic" w:hAnsi="Traditional Arabic" w:hint="cs"/>
          <w:noProof w:val="0"/>
          <w:color w:val="auto"/>
          <w:rtl/>
          <w:lang w:eastAsia="en-US"/>
        </w:rPr>
        <w:t>ال</w:t>
      </w:r>
      <w:r w:rsidRPr="00EF1B37">
        <w:rPr>
          <w:rFonts w:ascii="Traditional Arabic" w:hAnsi="Traditional Arabic"/>
          <w:noProof w:val="0"/>
          <w:color w:val="auto"/>
          <w:rtl/>
          <w:lang w:eastAsia="en-US"/>
        </w:rPr>
        <w:t xml:space="preserve">مجنون ورشد، أو رشد </w:t>
      </w:r>
      <w:r>
        <w:rPr>
          <w:rFonts w:ascii="Traditional Arabic" w:hAnsi="Traditional Arabic" w:hint="cs"/>
          <w:noProof w:val="0"/>
          <w:color w:val="auto"/>
          <w:rtl/>
          <w:lang w:eastAsia="en-US"/>
        </w:rPr>
        <w:t>ال</w:t>
      </w:r>
      <w:r w:rsidRPr="00EF1B37">
        <w:rPr>
          <w:rFonts w:ascii="Traditional Arabic" w:hAnsi="Traditional Arabic"/>
          <w:noProof w:val="0"/>
          <w:color w:val="auto"/>
          <w:rtl/>
          <w:lang w:eastAsia="en-US"/>
        </w:rPr>
        <w:t>سفي</w:t>
      </w:r>
      <w:r>
        <w:rPr>
          <w:rFonts w:ascii="Traditional Arabic" w:hAnsi="Traditional Arabic"/>
          <w:noProof w:val="0"/>
          <w:color w:val="auto"/>
          <w:rtl/>
          <w:lang w:eastAsia="en-US"/>
        </w:rPr>
        <w:t xml:space="preserve">ه زال </w:t>
      </w:r>
      <w:r w:rsidR="0085257E">
        <w:rPr>
          <w:rFonts w:ascii="Traditional Arabic" w:hAnsi="Traditional Arabic" w:hint="cs"/>
          <w:noProof w:val="0"/>
          <w:color w:val="auto"/>
          <w:rtl/>
          <w:lang w:eastAsia="en-US"/>
        </w:rPr>
        <w:t>ال</w:t>
      </w:r>
      <w:r>
        <w:rPr>
          <w:rFonts w:ascii="Traditional Arabic" w:hAnsi="Traditional Arabic"/>
          <w:noProof w:val="0"/>
          <w:color w:val="auto"/>
          <w:rtl/>
          <w:lang w:eastAsia="en-US"/>
        </w:rPr>
        <w:t>ح</w:t>
      </w:r>
      <w:r>
        <w:rPr>
          <w:rFonts w:ascii="Traditional Arabic" w:hAnsi="Traditional Arabic" w:hint="cs"/>
          <w:noProof w:val="0"/>
          <w:color w:val="auto"/>
          <w:rtl/>
          <w:lang w:eastAsia="en-US"/>
        </w:rPr>
        <w:t>َ</w:t>
      </w:r>
      <w:r>
        <w:rPr>
          <w:rFonts w:ascii="Traditional Arabic" w:hAnsi="Traditional Arabic"/>
          <w:noProof w:val="0"/>
          <w:color w:val="auto"/>
          <w:rtl/>
          <w:lang w:eastAsia="en-US"/>
        </w:rPr>
        <w:t>ج</w:t>
      </w:r>
      <w:r>
        <w:rPr>
          <w:rFonts w:ascii="Traditional Arabic" w:hAnsi="Traditional Arabic" w:hint="cs"/>
          <w:noProof w:val="0"/>
          <w:color w:val="auto"/>
          <w:rtl/>
          <w:lang w:eastAsia="en-US"/>
        </w:rPr>
        <w:t>ْ</w:t>
      </w:r>
      <w:r>
        <w:rPr>
          <w:rFonts w:ascii="Traditional Arabic" w:hAnsi="Traditional Arabic"/>
          <w:noProof w:val="0"/>
          <w:color w:val="auto"/>
          <w:rtl/>
          <w:lang w:eastAsia="en-US"/>
        </w:rPr>
        <w:t>ر</w:t>
      </w:r>
      <w:r>
        <w:rPr>
          <w:rFonts w:ascii="Traditional Arabic" w:hAnsi="Traditional Arabic" w:hint="cs"/>
          <w:noProof w:val="0"/>
          <w:color w:val="auto"/>
          <w:rtl/>
          <w:lang w:eastAsia="en-US"/>
        </w:rPr>
        <w:t>ُ</w:t>
      </w:r>
      <w:r w:rsidR="0085257E">
        <w:rPr>
          <w:rFonts w:ascii="Traditional Arabic" w:hAnsi="Traditional Arabic" w:hint="cs"/>
          <w:noProof w:val="0"/>
          <w:color w:val="auto"/>
          <w:rtl/>
          <w:lang w:eastAsia="en-US"/>
        </w:rPr>
        <w:t xml:space="preserve"> عن</w:t>
      </w:r>
      <w:r>
        <w:rPr>
          <w:rFonts w:ascii="Traditional Arabic" w:hAnsi="Traditional Arabic"/>
          <w:noProof w:val="0"/>
          <w:color w:val="auto"/>
          <w:rtl/>
          <w:lang w:eastAsia="en-US"/>
        </w:rPr>
        <w:t>هم</w:t>
      </w:r>
      <w:r w:rsidRPr="00C821A1">
        <w:rPr>
          <w:rStyle w:val="af1"/>
          <w:szCs w:val="32"/>
          <w:rtl/>
        </w:rPr>
        <w:t>(</w:t>
      </w:r>
      <w:r w:rsidRPr="00C821A1">
        <w:rPr>
          <w:rStyle w:val="af1"/>
          <w:szCs w:val="32"/>
          <w:rtl/>
        </w:rPr>
        <w:footnoteReference w:id="1581"/>
      </w:r>
      <w:r w:rsidRPr="00C821A1">
        <w:rPr>
          <w:rStyle w:val="af1"/>
          <w:szCs w:val="32"/>
          <w:rtl/>
        </w:rPr>
        <w:t>)</w:t>
      </w:r>
      <w:r>
        <w:rPr>
          <w:rFonts w:ascii="Traditional Arabic" w:hAnsi="Traditional Arabic" w:hint="cs"/>
          <w:noProof w:val="0"/>
          <w:color w:val="auto"/>
          <w:rtl/>
          <w:lang w:eastAsia="en-US"/>
        </w:rPr>
        <w:t>.</w:t>
      </w:r>
    </w:p>
    <w:p w:rsidR="009840EE" w:rsidRDefault="009840EE" w:rsidP="00597C20">
      <w:pPr>
        <w:pStyle w:val="53"/>
        <w:rPr>
          <w:rtl/>
        </w:rPr>
      </w:pPr>
      <w:r>
        <w:rPr>
          <w:rFonts w:hint="cs"/>
          <w:rtl/>
        </w:rPr>
        <w:t>وجه اندراج الفرع تحت القاعدة:</w:t>
      </w:r>
    </w:p>
    <w:p w:rsidR="009840EE" w:rsidRPr="00F60BF3" w:rsidRDefault="009840EE" w:rsidP="00597C20">
      <w:pPr>
        <w:widowControl/>
        <w:autoSpaceDE w:val="0"/>
        <w:autoSpaceDN w:val="0"/>
        <w:adjustRightInd w:val="0"/>
        <w:ind w:firstLine="720"/>
        <w:rPr>
          <w:rFonts w:ascii="Traditional Arabic" w:hAnsi="Traditional Arabic"/>
          <w:noProof w:val="0"/>
          <w:color w:val="auto"/>
          <w:rtl/>
          <w:lang w:eastAsia="en-US"/>
        </w:rPr>
      </w:pPr>
      <w:r w:rsidRPr="00F60BF3">
        <w:rPr>
          <w:rFonts w:ascii="Traditional Arabic" w:hAnsi="Traditional Arabic" w:hint="cs"/>
          <w:noProof w:val="0"/>
          <w:color w:val="auto"/>
          <w:rtl/>
          <w:lang w:eastAsia="en-US"/>
        </w:rPr>
        <w:t xml:space="preserve">العلة في الحَجْر على الصغير هي عدم البلوغ وعدم الرشد، فلما بلغ ورشد زال سبب الحجر، فزال الحجر </w:t>
      </w:r>
      <w:r w:rsidR="0085257E">
        <w:rPr>
          <w:rFonts w:ascii="Traditional Arabic" w:hAnsi="Traditional Arabic" w:hint="cs"/>
          <w:noProof w:val="0"/>
          <w:color w:val="auto"/>
          <w:rtl/>
          <w:lang w:eastAsia="en-US"/>
        </w:rPr>
        <w:t xml:space="preserve">عنه </w:t>
      </w:r>
      <w:r w:rsidRPr="00F60BF3">
        <w:rPr>
          <w:rFonts w:ascii="Traditional Arabic" w:hAnsi="Traditional Arabic" w:hint="cs"/>
          <w:noProof w:val="0"/>
          <w:color w:val="auto"/>
          <w:rtl/>
          <w:lang w:eastAsia="en-US"/>
        </w:rPr>
        <w:t>بذلك؛ لأن الحكم يدور علته وجودا وعدما.</w:t>
      </w:r>
    </w:p>
    <w:p w:rsidR="009840EE" w:rsidRPr="00F60BF3" w:rsidRDefault="009840EE" w:rsidP="00597C20">
      <w:pPr>
        <w:widowControl/>
        <w:autoSpaceDE w:val="0"/>
        <w:autoSpaceDN w:val="0"/>
        <w:adjustRightInd w:val="0"/>
        <w:ind w:firstLine="720"/>
        <w:rPr>
          <w:rFonts w:ascii="Traditional Arabic" w:hAnsi="Traditional Arabic"/>
          <w:noProof w:val="0"/>
          <w:color w:val="auto"/>
          <w:rtl/>
          <w:lang w:eastAsia="en-US"/>
        </w:rPr>
      </w:pPr>
      <w:r w:rsidRPr="00F60BF3">
        <w:rPr>
          <w:rFonts w:ascii="Traditional Arabic" w:hAnsi="Traditional Arabic" w:hint="cs"/>
          <w:noProof w:val="0"/>
          <w:color w:val="auto"/>
          <w:rtl/>
          <w:lang w:eastAsia="en-US"/>
        </w:rPr>
        <w:lastRenderedPageBreak/>
        <w:t>والعلة في الحجر على المجنون عدم العقل وعدم الرشد، فإذا عقل وعاد إلى رشده زال سبب الحجر، فزال الحجر عنه بذلك؛ لأن الحكم يدور مع علته وجودا وعدما.</w:t>
      </w:r>
    </w:p>
    <w:p w:rsidR="00F228A9" w:rsidRPr="00F60BF3" w:rsidRDefault="009840EE" w:rsidP="00597C20">
      <w:pPr>
        <w:widowControl/>
        <w:autoSpaceDE w:val="0"/>
        <w:autoSpaceDN w:val="0"/>
        <w:adjustRightInd w:val="0"/>
        <w:ind w:firstLine="720"/>
        <w:rPr>
          <w:rFonts w:ascii="Traditional Arabic" w:hAnsi="Traditional Arabic"/>
          <w:noProof w:val="0"/>
          <w:color w:val="auto"/>
          <w:rtl/>
          <w:lang w:eastAsia="en-US"/>
        </w:rPr>
      </w:pPr>
      <w:r w:rsidRPr="00F60BF3">
        <w:rPr>
          <w:rFonts w:ascii="Traditional Arabic" w:hAnsi="Traditional Arabic" w:hint="cs"/>
          <w:noProof w:val="0"/>
          <w:color w:val="auto"/>
          <w:rtl/>
          <w:lang w:eastAsia="en-US"/>
        </w:rPr>
        <w:t>والعلة في الحجر على السفيه هي السَّفَه، فلما رشد وزال عنه السفه، زال الحجر عنه؛ لأن الحكم يدور مع علته وجودا وعدما</w:t>
      </w:r>
      <w:r w:rsidRPr="00C821A1">
        <w:rPr>
          <w:rStyle w:val="af1"/>
          <w:szCs w:val="32"/>
          <w:rtl/>
        </w:rPr>
        <w:t>(</w:t>
      </w:r>
      <w:r w:rsidRPr="00C821A1">
        <w:rPr>
          <w:rStyle w:val="af1"/>
          <w:szCs w:val="32"/>
          <w:rtl/>
        </w:rPr>
        <w:footnoteReference w:id="1582"/>
      </w:r>
      <w:r w:rsidRPr="00C821A1">
        <w:rPr>
          <w:rStyle w:val="af1"/>
          <w:szCs w:val="32"/>
          <w:rtl/>
        </w:rPr>
        <w:t>)</w:t>
      </w:r>
      <w:r w:rsidRPr="00F60BF3">
        <w:rPr>
          <w:rFonts w:ascii="Traditional Arabic" w:hAnsi="Traditional Arabic" w:hint="cs"/>
          <w:noProof w:val="0"/>
          <w:color w:val="auto"/>
          <w:rtl/>
          <w:lang w:eastAsia="en-US"/>
        </w:rPr>
        <w:t>.</w:t>
      </w:r>
    </w:p>
    <w:p w:rsidR="009840EE" w:rsidRPr="006478F4" w:rsidRDefault="009840EE" w:rsidP="000A76C7">
      <w:pPr>
        <w:pStyle w:val="afc"/>
        <w:widowControl/>
        <w:numPr>
          <w:ilvl w:val="0"/>
          <w:numId w:val="214"/>
        </w:numPr>
        <w:autoSpaceDE w:val="0"/>
        <w:autoSpaceDN w:val="0"/>
        <w:adjustRightInd w:val="0"/>
        <w:jc w:val="left"/>
        <w:rPr>
          <w:rFonts w:ascii="Traditional Arabic" w:hAnsi="Traditional Arabic"/>
          <w:noProof w:val="0"/>
          <w:color w:val="auto"/>
          <w:lang w:eastAsia="en-US"/>
        </w:rPr>
      </w:pPr>
      <w:r>
        <w:rPr>
          <w:rFonts w:ascii="Traditional Arabic" w:hAnsi="Traditional Arabic" w:hint="cs"/>
          <w:noProof w:val="0"/>
          <w:color w:val="auto"/>
          <w:rtl/>
          <w:lang w:eastAsia="en-US"/>
        </w:rPr>
        <w:t>لا يجوز بيع السمك في الماء؛ لأن غير مقدور على تسليمه، فيؤدي إلى الغرر</w:t>
      </w:r>
      <w:r>
        <w:rPr>
          <w:rFonts w:ascii="Traditional Arabic" w:hAnsi="Traditional Arabic" w:hint="cs"/>
          <w:b/>
          <w:bCs/>
          <w:noProof w:val="0"/>
          <w:color w:val="auto"/>
          <w:rtl/>
          <w:lang w:eastAsia="en-US"/>
        </w:rPr>
        <w:t>.</w:t>
      </w:r>
    </w:p>
    <w:p w:rsidR="00F228A9" w:rsidRPr="009F0D48" w:rsidRDefault="009840EE" w:rsidP="00597C20">
      <w:pPr>
        <w:pStyle w:val="afc"/>
        <w:widowControl/>
        <w:autoSpaceDE w:val="0"/>
        <w:autoSpaceDN w:val="0"/>
        <w:adjustRightInd w:val="0"/>
        <w:ind w:left="1080" w:firstLine="0"/>
        <w:rPr>
          <w:rFonts w:ascii="Traditional Arabic" w:hAnsi="Traditional Arabic"/>
          <w:noProof w:val="0"/>
          <w:color w:val="auto"/>
          <w:rtl/>
          <w:lang w:eastAsia="en-US"/>
        </w:rPr>
      </w:pPr>
      <w:r>
        <w:rPr>
          <w:rFonts w:ascii="Traditional Arabic" w:hAnsi="Traditional Arabic" w:hint="cs"/>
          <w:noProof w:val="0"/>
          <w:color w:val="auto"/>
          <w:rtl/>
          <w:lang w:eastAsia="en-US"/>
        </w:rPr>
        <w:t>لكن إذا كان السمك في مكان يحيط به العلم بأن كان في مكان ضيق يرى السمك فيه لكون الماء صافياً، ويمكن السيطرة عليه بحيث لا يخرج إلى النهر أو إلى البحر الواسع، فإن بيع السمك حينئذ جائز</w:t>
      </w:r>
      <w:r w:rsidRPr="00C821A1">
        <w:rPr>
          <w:rStyle w:val="af1"/>
          <w:szCs w:val="32"/>
          <w:rtl/>
        </w:rPr>
        <w:t>(</w:t>
      </w:r>
      <w:r w:rsidRPr="00C821A1">
        <w:rPr>
          <w:rStyle w:val="af1"/>
          <w:szCs w:val="32"/>
          <w:rtl/>
        </w:rPr>
        <w:footnoteReference w:id="1583"/>
      </w:r>
      <w:r w:rsidRPr="00C821A1">
        <w:rPr>
          <w:rStyle w:val="af1"/>
          <w:szCs w:val="32"/>
          <w:rtl/>
        </w:rPr>
        <w:t>)</w:t>
      </w:r>
      <w:r>
        <w:rPr>
          <w:rFonts w:ascii="Traditional Arabic" w:hAnsi="Traditional Arabic" w:hint="cs"/>
          <w:noProof w:val="0"/>
          <w:color w:val="auto"/>
          <w:rtl/>
          <w:lang w:eastAsia="en-US"/>
        </w:rPr>
        <w:t>.</w:t>
      </w:r>
    </w:p>
    <w:p w:rsidR="009840EE" w:rsidRDefault="009840EE" w:rsidP="00597C20">
      <w:pPr>
        <w:pStyle w:val="53"/>
        <w:rPr>
          <w:rtl/>
        </w:rPr>
      </w:pPr>
      <w:r>
        <w:rPr>
          <w:rFonts w:hint="cs"/>
          <w:rtl/>
        </w:rPr>
        <w:t>وجه اندراج الفرع تحت القاعدة:</w:t>
      </w:r>
    </w:p>
    <w:p w:rsidR="009840EE" w:rsidRPr="00F60BF3" w:rsidRDefault="009840EE" w:rsidP="00597C20">
      <w:pPr>
        <w:widowControl/>
        <w:autoSpaceDE w:val="0"/>
        <w:autoSpaceDN w:val="0"/>
        <w:adjustRightInd w:val="0"/>
        <w:ind w:firstLine="720"/>
        <w:jc w:val="left"/>
        <w:rPr>
          <w:rFonts w:ascii="Traditional Arabic" w:hAnsi="Traditional Arabic"/>
          <w:noProof w:val="0"/>
          <w:color w:val="auto"/>
          <w:rtl/>
          <w:lang w:eastAsia="en-US"/>
        </w:rPr>
      </w:pPr>
      <w:r w:rsidRPr="00F60BF3">
        <w:rPr>
          <w:rFonts w:ascii="Traditional Arabic" w:hAnsi="Traditional Arabic" w:hint="cs"/>
          <w:noProof w:val="0"/>
          <w:color w:val="auto"/>
          <w:rtl/>
          <w:lang w:eastAsia="en-US"/>
        </w:rPr>
        <w:t>العلة في تحريم بيع السمك في الماء هي كونه يؤدي إلى الغرر، فإذا انتفى الغرر جاز البيع؛ لأن الحكم يدور مع علته وجودا وعدما</w:t>
      </w:r>
      <w:r w:rsidRPr="00C821A1">
        <w:rPr>
          <w:rStyle w:val="af1"/>
          <w:szCs w:val="32"/>
          <w:rtl/>
        </w:rPr>
        <w:t>(</w:t>
      </w:r>
      <w:r w:rsidRPr="00C821A1">
        <w:rPr>
          <w:rStyle w:val="af1"/>
          <w:szCs w:val="32"/>
          <w:rtl/>
        </w:rPr>
        <w:footnoteReference w:id="1584"/>
      </w:r>
      <w:r w:rsidRPr="00C821A1">
        <w:rPr>
          <w:rStyle w:val="af1"/>
          <w:szCs w:val="32"/>
          <w:rtl/>
        </w:rPr>
        <w:t>)</w:t>
      </w:r>
      <w:r w:rsidRPr="00F60BF3">
        <w:rPr>
          <w:rFonts w:ascii="Traditional Arabic" w:hAnsi="Traditional Arabic" w:hint="cs"/>
          <w:noProof w:val="0"/>
          <w:color w:val="auto"/>
          <w:rtl/>
          <w:lang w:eastAsia="en-US"/>
        </w:rPr>
        <w:t>.</w:t>
      </w:r>
    </w:p>
    <w:p w:rsidR="00647199" w:rsidRDefault="00D564C3" w:rsidP="00452EAC">
      <w:pPr>
        <w:pStyle w:val="aff3"/>
        <w:rPr>
          <w:rtl/>
        </w:rPr>
      </w:pPr>
      <w:bookmarkStart w:id="317" w:name="_Toc334046528"/>
      <w:r>
        <w:rPr>
          <w:rFonts w:hint="cs"/>
          <w:rtl/>
        </w:rPr>
        <w:t xml:space="preserve">                                  </w:t>
      </w:r>
    </w:p>
    <w:p w:rsidR="009840EE" w:rsidRPr="009840EE" w:rsidRDefault="00647199" w:rsidP="00647199">
      <w:pPr>
        <w:pStyle w:val="aff3"/>
        <w:rPr>
          <w:rtl/>
        </w:rPr>
      </w:pPr>
      <w:r>
        <w:rPr>
          <w:rFonts w:hint="cs"/>
          <w:rtl/>
        </w:rPr>
        <w:t xml:space="preserve">                                           </w:t>
      </w:r>
      <w:r w:rsidR="00D564C3">
        <w:rPr>
          <w:rFonts w:hint="cs"/>
          <w:rtl/>
        </w:rPr>
        <w:t>المطلب</w:t>
      </w:r>
      <w:r w:rsidR="0085257E">
        <w:rPr>
          <w:rFonts w:hint="cs"/>
          <w:rtl/>
        </w:rPr>
        <w:t xml:space="preserve"> </w:t>
      </w:r>
      <w:r w:rsidR="009840EE" w:rsidRPr="009840EE">
        <w:rPr>
          <w:rFonts w:hint="cs"/>
          <w:rtl/>
        </w:rPr>
        <w:t>الخامس</w:t>
      </w:r>
      <w:r w:rsidR="009840EE">
        <w:rPr>
          <w:rFonts w:hint="eastAsia"/>
          <w:rtl/>
        </w:rPr>
        <w:t> :</w:t>
      </w:r>
      <w:r w:rsidR="009840EE">
        <w:rPr>
          <w:rFonts w:hint="cs"/>
          <w:rtl/>
        </w:rPr>
        <w:br/>
      </w:r>
      <w:r w:rsidR="00D564C3">
        <w:rPr>
          <w:rFonts w:hint="cs"/>
          <w:rtl/>
        </w:rPr>
        <w:t xml:space="preserve">                                          </w:t>
      </w:r>
      <w:r w:rsidR="009840EE" w:rsidRPr="009840EE">
        <w:rPr>
          <w:rFonts w:hint="cs"/>
          <w:rtl/>
        </w:rPr>
        <w:t>مستثنيات القاعدة</w:t>
      </w:r>
      <w:bookmarkEnd w:id="317"/>
    </w:p>
    <w:p w:rsidR="009840EE" w:rsidRPr="00454265" w:rsidRDefault="009840EE" w:rsidP="00597C20">
      <w:pPr>
        <w:pStyle w:val="afc"/>
        <w:widowControl/>
        <w:autoSpaceDE w:val="0"/>
        <w:autoSpaceDN w:val="0"/>
        <w:adjustRightInd w:val="0"/>
        <w:ind w:left="1080" w:firstLine="0"/>
        <w:jc w:val="left"/>
        <w:rPr>
          <w:rFonts w:ascii="Traditional Arabic" w:hAnsi="Traditional Arabic"/>
          <w:noProof w:val="0"/>
          <w:rtl/>
          <w:lang w:eastAsia="en-US"/>
        </w:rPr>
      </w:pPr>
      <w:r w:rsidRPr="00454265">
        <w:rPr>
          <w:rFonts w:ascii="Traditional Arabic" w:hAnsi="Traditional Arabic" w:hint="cs"/>
          <w:noProof w:val="0"/>
          <w:rtl/>
          <w:lang w:eastAsia="en-US"/>
        </w:rPr>
        <w:t>هذه</w:t>
      </w:r>
      <w:r w:rsidRPr="00454265">
        <w:rPr>
          <w:rFonts w:ascii="Traditional Arabic" w:hAnsi="Traditional Arabic"/>
          <w:noProof w:val="0"/>
          <w:rtl/>
          <w:lang w:eastAsia="en-US"/>
        </w:rPr>
        <w:t xml:space="preserve"> القاعدة</w:t>
      </w:r>
      <w:r>
        <w:rPr>
          <w:rFonts w:ascii="Traditional Arabic" w:hAnsi="Traditional Arabic"/>
          <w:noProof w:val="0"/>
          <w:rtl/>
          <w:lang w:eastAsia="en-US"/>
        </w:rPr>
        <w:t xml:space="preserve"> أغلبية؛ لأن لها استثناءات</w:t>
      </w:r>
      <w:r>
        <w:rPr>
          <w:rFonts w:ascii="Traditional Arabic" w:hAnsi="Traditional Arabic" w:hint="cs"/>
          <w:noProof w:val="0"/>
          <w:rtl/>
          <w:lang w:eastAsia="en-US"/>
        </w:rPr>
        <w:t xml:space="preserve">، </w:t>
      </w:r>
      <w:r w:rsidRPr="00454265">
        <w:rPr>
          <w:rFonts w:ascii="Traditional Arabic" w:hAnsi="Traditional Arabic"/>
          <w:noProof w:val="0"/>
          <w:rtl/>
          <w:lang w:eastAsia="en-US"/>
        </w:rPr>
        <w:t>وهي ترجع إلى مجموعة أمور</w:t>
      </w:r>
      <w:r>
        <w:rPr>
          <w:rFonts w:ascii="Traditional Arabic" w:hAnsi="Traditional Arabic" w:hint="cs"/>
          <w:noProof w:val="0"/>
          <w:rtl/>
          <w:lang w:eastAsia="en-US"/>
        </w:rPr>
        <w:t>، منها</w:t>
      </w:r>
      <w:r w:rsidRPr="00C821A1">
        <w:rPr>
          <w:rStyle w:val="af1"/>
          <w:szCs w:val="32"/>
          <w:rtl/>
        </w:rPr>
        <w:t>(</w:t>
      </w:r>
      <w:r w:rsidRPr="00C821A1">
        <w:rPr>
          <w:rStyle w:val="af1"/>
          <w:szCs w:val="32"/>
          <w:rtl/>
        </w:rPr>
        <w:footnoteReference w:id="1585"/>
      </w:r>
      <w:r w:rsidRPr="00C821A1">
        <w:rPr>
          <w:rStyle w:val="af1"/>
          <w:szCs w:val="32"/>
          <w:rtl/>
        </w:rPr>
        <w:t>)</w:t>
      </w:r>
      <w:r w:rsidRPr="00454265">
        <w:rPr>
          <w:rFonts w:ascii="Traditional Arabic" w:hAnsi="Traditional Arabic"/>
          <w:noProof w:val="0"/>
          <w:rtl/>
          <w:lang w:eastAsia="en-US"/>
        </w:rPr>
        <w:t xml:space="preserve"> :</w:t>
      </w:r>
    </w:p>
    <w:p w:rsidR="009840EE" w:rsidRPr="00454265" w:rsidRDefault="009840EE" w:rsidP="000A76C7">
      <w:pPr>
        <w:pStyle w:val="afc"/>
        <w:widowControl/>
        <w:numPr>
          <w:ilvl w:val="0"/>
          <w:numId w:val="215"/>
        </w:numPr>
        <w:autoSpaceDE w:val="0"/>
        <w:autoSpaceDN w:val="0"/>
        <w:adjustRightInd w:val="0"/>
        <w:rPr>
          <w:rFonts w:ascii="Traditional Arabic" w:hAnsi="Traditional Arabic"/>
          <w:noProof w:val="0"/>
          <w:rtl/>
          <w:lang w:eastAsia="en-US"/>
        </w:rPr>
      </w:pPr>
      <w:r w:rsidRPr="00454265">
        <w:rPr>
          <w:rFonts w:ascii="Traditional Arabic" w:hAnsi="Traditional Arabic"/>
          <w:noProof w:val="0"/>
          <w:rtl/>
          <w:lang w:eastAsia="en-US"/>
        </w:rPr>
        <w:lastRenderedPageBreak/>
        <w:t>ما كان له - يعني الحكم - أكثر من علة</w:t>
      </w:r>
      <w:r w:rsidRPr="00454265">
        <w:rPr>
          <w:rFonts w:ascii="Traditional Arabic" w:hAnsi="Traditional Arabic" w:hint="cs"/>
          <w:noProof w:val="0"/>
          <w:rtl/>
          <w:lang w:eastAsia="en-US"/>
        </w:rPr>
        <w:t>،</w:t>
      </w:r>
      <w:r w:rsidRPr="00454265">
        <w:rPr>
          <w:rFonts w:ascii="Traditional Arabic" w:hAnsi="Traditional Arabic"/>
          <w:noProof w:val="0"/>
          <w:rtl/>
          <w:lang w:eastAsia="en-US"/>
        </w:rPr>
        <w:t xml:space="preserve"> فإن انتفاء بعض العلل لا يوجب انتفاء الحكم، كالحدث ببول وغائط</w:t>
      </w:r>
      <w:r w:rsidRPr="00454265">
        <w:rPr>
          <w:rFonts w:ascii="Traditional Arabic" w:hAnsi="Traditional Arabic" w:hint="cs"/>
          <w:noProof w:val="0"/>
          <w:rtl/>
          <w:lang w:eastAsia="en-US"/>
        </w:rPr>
        <w:t>،</w:t>
      </w:r>
      <w:r w:rsidRPr="00454265">
        <w:rPr>
          <w:rFonts w:ascii="Traditional Arabic" w:hAnsi="Traditional Arabic"/>
          <w:noProof w:val="0"/>
          <w:rtl/>
          <w:lang w:eastAsia="en-US"/>
        </w:rPr>
        <w:t xml:space="preserve"> فإنه يوجب عدم الصلاة حتى يرتفع الحدث، فلو انتفت علة البول فلا يعني جواز مباشرة الصلاة وصحتها؛ لأنه قد </w:t>
      </w:r>
      <w:r w:rsidRPr="00454265">
        <w:rPr>
          <w:rFonts w:ascii="Traditional Arabic" w:hAnsi="Traditional Arabic" w:hint="cs"/>
          <w:noProof w:val="0"/>
          <w:rtl/>
          <w:lang w:eastAsia="en-US"/>
        </w:rPr>
        <w:t>ت</w:t>
      </w:r>
      <w:r w:rsidRPr="00454265">
        <w:rPr>
          <w:rFonts w:ascii="Traditional Arabic" w:hAnsi="Traditional Arabic"/>
          <w:noProof w:val="0"/>
          <w:rtl/>
          <w:lang w:eastAsia="en-US"/>
        </w:rPr>
        <w:t>وجد علة أخرى تمنع الصلاة</w:t>
      </w:r>
      <w:r w:rsidRPr="00454265">
        <w:rPr>
          <w:rFonts w:ascii="Traditional Arabic" w:hAnsi="Traditional Arabic" w:hint="cs"/>
          <w:noProof w:val="0"/>
          <w:rtl/>
          <w:lang w:eastAsia="en-US"/>
        </w:rPr>
        <w:t xml:space="preserve"> كالغائط</w:t>
      </w:r>
      <w:r w:rsidRPr="00454265">
        <w:rPr>
          <w:rFonts w:ascii="Traditional Arabic" w:hAnsi="Traditional Arabic"/>
          <w:noProof w:val="0"/>
          <w:rtl/>
          <w:lang w:eastAsia="en-US"/>
        </w:rPr>
        <w:t>.</w:t>
      </w:r>
    </w:p>
    <w:p w:rsidR="009840EE" w:rsidRPr="00D5149C" w:rsidRDefault="009840EE" w:rsidP="000A76C7">
      <w:pPr>
        <w:pStyle w:val="afc"/>
        <w:widowControl/>
        <w:numPr>
          <w:ilvl w:val="0"/>
          <w:numId w:val="215"/>
        </w:numPr>
        <w:autoSpaceDE w:val="0"/>
        <w:autoSpaceDN w:val="0"/>
        <w:adjustRightInd w:val="0"/>
        <w:rPr>
          <w:rFonts w:ascii="Traditional Arabic" w:hAnsi="Traditional Arabic"/>
          <w:noProof w:val="0"/>
          <w:rtl/>
          <w:lang w:eastAsia="en-US"/>
        </w:rPr>
      </w:pPr>
      <w:r w:rsidRPr="00D5149C">
        <w:rPr>
          <w:rFonts w:ascii="Traditional Arabic" w:hAnsi="Traditional Arabic"/>
          <w:noProof w:val="0"/>
          <w:rtl/>
          <w:lang w:eastAsia="en-US"/>
        </w:rPr>
        <w:t>الحكم الذي بقي مع انتفاء علته مثل الرَّمَل</w:t>
      </w:r>
      <w:r w:rsidRPr="00C821A1">
        <w:rPr>
          <w:rStyle w:val="af1"/>
          <w:szCs w:val="32"/>
          <w:rtl/>
        </w:rPr>
        <w:t>(</w:t>
      </w:r>
      <w:r w:rsidRPr="00C821A1">
        <w:rPr>
          <w:rStyle w:val="af1"/>
          <w:szCs w:val="32"/>
          <w:rtl/>
        </w:rPr>
        <w:footnoteReference w:id="1586"/>
      </w:r>
      <w:r w:rsidRPr="00C821A1">
        <w:rPr>
          <w:rStyle w:val="af1"/>
          <w:szCs w:val="32"/>
          <w:rtl/>
        </w:rPr>
        <w:t>)</w:t>
      </w:r>
      <w:r w:rsidRPr="00D5149C">
        <w:rPr>
          <w:rFonts w:ascii="Traditional Arabic" w:hAnsi="Traditional Arabic"/>
          <w:noProof w:val="0"/>
          <w:rtl/>
          <w:lang w:eastAsia="en-US"/>
        </w:rPr>
        <w:t>، فإن العلة انتفت وهي إظهار النشاط للكفار</w:t>
      </w:r>
      <w:r w:rsidRPr="00C821A1">
        <w:rPr>
          <w:rStyle w:val="af1"/>
          <w:szCs w:val="32"/>
          <w:rtl/>
        </w:rPr>
        <w:t>(</w:t>
      </w:r>
      <w:r w:rsidRPr="00C821A1">
        <w:rPr>
          <w:rStyle w:val="af1"/>
          <w:szCs w:val="32"/>
          <w:rtl/>
        </w:rPr>
        <w:footnoteReference w:id="1587"/>
      </w:r>
      <w:r w:rsidRPr="00C821A1">
        <w:rPr>
          <w:rStyle w:val="af1"/>
          <w:szCs w:val="32"/>
          <w:rtl/>
        </w:rPr>
        <w:t>)</w:t>
      </w:r>
      <w:r w:rsidRPr="00D5149C">
        <w:rPr>
          <w:rFonts w:ascii="Traditional Arabic" w:hAnsi="Traditional Arabic" w:hint="cs"/>
          <w:noProof w:val="0"/>
          <w:rtl/>
          <w:lang w:eastAsia="en-US"/>
        </w:rPr>
        <w:t>،</w:t>
      </w:r>
      <w:r w:rsidRPr="00D5149C">
        <w:rPr>
          <w:rFonts w:ascii="Traditional Arabic" w:hAnsi="Traditional Arabic"/>
          <w:noProof w:val="0"/>
          <w:rtl/>
          <w:lang w:eastAsia="en-US"/>
        </w:rPr>
        <w:t xml:space="preserve"> وبقي الحكم</w:t>
      </w:r>
      <w:r>
        <w:rPr>
          <w:rFonts w:ascii="Traditional Arabic" w:hAnsi="Traditional Arabic" w:hint="cs"/>
          <w:noProof w:val="0"/>
          <w:rtl/>
          <w:lang w:eastAsia="en-US"/>
        </w:rPr>
        <w:t xml:space="preserve"> الذي هو الرمل؛</w:t>
      </w:r>
      <w:r w:rsidRPr="00D5149C">
        <w:rPr>
          <w:rFonts w:ascii="Traditional Arabic" w:hAnsi="Traditional Arabic"/>
          <w:noProof w:val="0"/>
          <w:rtl/>
          <w:lang w:eastAsia="en-US"/>
        </w:rPr>
        <w:t xml:space="preserve"> ل</w:t>
      </w:r>
      <w:r>
        <w:rPr>
          <w:rFonts w:ascii="Traditional Arabic" w:hAnsi="Traditional Arabic" w:hint="cs"/>
          <w:noProof w:val="0"/>
          <w:rtl/>
          <w:lang w:eastAsia="en-US"/>
        </w:rPr>
        <w:t>ِ</w:t>
      </w:r>
      <w:r w:rsidRPr="00D5149C">
        <w:rPr>
          <w:rFonts w:ascii="Traditional Arabic" w:hAnsi="Traditional Arabic"/>
          <w:noProof w:val="0"/>
          <w:rtl/>
          <w:lang w:eastAsia="en-US"/>
        </w:rPr>
        <w:t xml:space="preserve">فعل النبي </w:t>
      </w:r>
      <w:r w:rsidR="00F350DE">
        <w:rPr>
          <w:rFonts w:ascii="Traditional Arabic" w:hAnsi="Traditional Arabic"/>
          <w:noProof w:val="0"/>
          <w:color w:val="auto"/>
          <w:rtl/>
          <w:lang w:eastAsia="en-US"/>
        </w:rPr>
        <w:sym w:font="AGA Arabesque" w:char="F072"/>
      </w:r>
      <w:r w:rsidRPr="00D5149C">
        <w:rPr>
          <w:rFonts w:ascii="Traditional Arabic" w:hAnsi="Traditional Arabic"/>
          <w:noProof w:val="0"/>
          <w:rtl/>
          <w:lang w:eastAsia="en-US"/>
        </w:rPr>
        <w:t xml:space="preserve"> ذلك في حجة الوداع</w:t>
      </w:r>
      <w:r w:rsidRPr="00C821A1">
        <w:rPr>
          <w:rStyle w:val="af1"/>
          <w:szCs w:val="32"/>
          <w:rtl/>
        </w:rPr>
        <w:t>(</w:t>
      </w:r>
      <w:r w:rsidRPr="00C821A1">
        <w:rPr>
          <w:rStyle w:val="af1"/>
          <w:szCs w:val="32"/>
          <w:rtl/>
        </w:rPr>
        <w:footnoteReference w:id="1588"/>
      </w:r>
      <w:r w:rsidRPr="00C821A1">
        <w:rPr>
          <w:rStyle w:val="af1"/>
          <w:szCs w:val="32"/>
          <w:rtl/>
        </w:rPr>
        <w:t>)</w:t>
      </w:r>
      <w:r w:rsidRPr="00D5149C">
        <w:rPr>
          <w:rFonts w:ascii="Traditional Arabic" w:hAnsi="Traditional Arabic" w:hint="cs"/>
          <w:noProof w:val="0"/>
          <w:rtl/>
          <w:lang w:eastAsia="en-US"/>
        </w:rPr>
        <w:t>.</w:t>
      </w:r>
    </w:p>
    <w:p w:rsidR="00D5163B" w:rsidRPr="005F53FF" w:rsidRDefault="00D5163B" w:rsidP="00597C20">
      <w:pPr>
        <w:pStyle w:val="aff0"/>
        <w:rPr>
          <w:rtl/>
        </w:rPr>
      </w:pPr>
      <w:bookmarkStart w:id="318" w:name="_Toc334046529"/>
      <w:r w:rsidRPr="005F53FF">
        <w:rPr>
          <w:rFonts w:hint="cs"/>
          <w:rtl/>
        </w:rPr>
        <w:lastRenderedPageBreak/>
        <w:t>الفصل التاسع</w:t>
      </w:r>
      <w:r w:rsidRPr="005F53FF">
        <w:rPr>
          <w:rFonts w:hint="eastAsia"/>
          <w:rtl/>
        </w:rPr>
        <w:t> :</w:t>
      </w:r>
      <w:r w:rsidRPr="005F53FF">
        <w:rPr>
          <w:rFonts w:hint="cs"/>
          <w:rtl/>
        </w:rPr>
        <w:t>القواعد المتعلقة بالحقوق</w:t>
      </w:r>
      <w:bookmarkEnd w:id="318"/>
    </w:p>
    <w:p w:rsidR="00D5163B" w:rsidRPr="002D7A92" w:rsidRDefault="00D5163B"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مبحثان:</w:t>
      </w:r>
    </w:p>
    <w:p w:rsidR="00D5163B" w:rsidRPr="00031790" w:rsidRDefault="00D5163B"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قاعدة الأصل أن كل من ثبت له حق فإنه لا يسقط إلا بما يدل على رضاه.</w:t>
      </w:r>
    </w:p>
    <w:p w:rsidR="00D5163B" w:rsidRDefault="00AB4313" w:rsidP="00597C20">
      <w:pPr>
        <w:tabs>
          <w:tab w:val="left" w:pos="2833"/>
        </w:tabs>
        <w:ind w:left="2833" w:hanging="2268"/>
        <w:jc w:val="left"/>
        <w:rPr>
          <w:b/>
          <w:bCs/>
          <w:rtl/>
        </w:rPr>
      </w:pPr>
      <w:r>
        <w:rPr>
          <w:rFonts w:hint="cs"/>
          <w:b/>
          <w:bCs/>
          <w:rtl/>
        </w:rPr>
        <w:t>ا</w:t>
      </w:r>
      <w:r w:rsidR="00D5163B" w:rsidRPr="00FD5687">
        <w:rPr>
          <w:rFonts w:hint="cs"/>
          <w:b/>
          <w:bCs/>
          <w:rtl/>
        </w:rPr>
        <w:t>لمبحث الثاني:</w:t>
      </w:r>
      <w:r w:rsidR="002F34AD">
        <w:rPr>
          <w:rFonts w:hint="cs"/>
          <w:rtl/>
        </w:rPr>
        <w:tab/>
      </w:r>
      <w:r w:rsidR="00D5163B" w:rsidRPr="00031790">
        <w:rPr>
          <w:rFonts w:hint="cs"/>
          <w:rtl/>
        </w:rPr>
        <w:t>قاعدة القرعة طريق شرع</w:t>
      </w:r>
      <w:r w:rsidR="00C87D15">
        <w:rPr>
          <w:rFonts w:hint="cs"/>
          <w:rtl/>
        </w:rPr>
        <w:t>ي للتمييز بين المتساويات</w:t>
      </w:r>
      <w:r w:rsidR="002F34AD">
        <w:rPr>
          <w:rFonts w:hint="cs"/>
          <w:rtl/>
        </w:rPr>
        <w:t>.</w:t>
      </w:r>
    </w:p>
    <w:p w:rsidR="00C97663" w:rsidRPr="00C85F0F" w:rsidRDefault="00C97663" w:rsidP="000F5C0F">
      <w:pPr>
        <w:pStyle w:val="aff2"/>
        <w:rPr>
          <w:rtl/>
        </w:rPr>
      </w:pPr>
      <w:bookmarkStart w:id="319" w:name="_Toc334046530"/>
      <w:r w:rsidRPr="00C97663">
        <w:rPr>
          <w:rFonts w:ascii="Traditional Arabic" w:hAnsi="Traditional Arabic" w:hint="cs"/>
          <w:rtl/>
        </w:rPr>
        <w:lastRenderedPageBreak/>
        <w:t>المبحث ال</w:t>
      </w:r>
      <w:r>
        <w:rPr>
          <w:rFonts w:ascii="Traditional Arabic" w:hAnsi="Traditional Arabic" w:hint="cs"/>
          <w:rtl/>
        </w:rPr>
        <w:t>أول</w:t>
      </w:r>
      <w:r>
        <w:rPr>
          <w:rFonts w:ascii="Traditional Arabic" w:hAnsi="Traditional Arabic" w:hint="eastAsia"/>
          <w:rtl/>
        </w:rPr>
        <w:t> :</w:t>
      </w:r>
      <w:r>
        <w:rPr>
          <w:rFonts w:ascii="Traditional Arabic" w:hAnsi="Traditional Arabic" w:hint="cs"/>
          <w:rtl/>
        </w:rPr>
        <w:br/>
      </w:r>
      <w:r>
        <w:rPr>
          <w:rFonts w:hint="cs"/>
          <w:rtl/>
        </w:rPr>
        <w:t>قاعدة</w:t>
      </w:r>
      <w:r>
        <w:rPr>
          <w:rtl/>
        </w:rPr>
        <w:br/>
      </w:r>
      <w:r>
        <w:rPr>
          <w:rFonts w:hint="cs"/>
          <w:rtl/>
        </w:rPr>
        <w:t>"الأصل أن كل من ثبت له حق فإنه لا يسقط إلا بما يدل على رضاه</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الأصلأنكلمنثبتلهحقفإنهلايسقطإلابمايدلعلىرضاه</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Style w:val="af1"/>
          <w:b w:val="0"/>
          <w:bCs w:val="0"/>
          <w:szCs w:val="32"/>
          <w:rtl/>
        </w:rPr>
        <w:t>(</w:t>
      </w:r>
      <w:r w:rsidRPr="00C85F0F">
        <w:rPr>
          <w:rStyle w:val="af1"/>
          <w:b w:val="0"/>
          <w:bCs w:val="0"/>
          <w:szCs w:val="32"/>
          <w:rtl/>
        </w:rPr>
        <w:footnoteReference w:id="1589"/>
      </w:r>
      <w:r w:rsidRPr="00C85F0F">
        <w:rPr>
          <w:rStyle w:val="af1"/>
          <w:b w:val="0"/>
          <w:bCs w:val="0"/>
          <w:szCs w:val="32"/>
          <w:rtl/>
        </w:rPr>
        <w:t>)</w:t>
      </w:r>
      <w:bookmarkEnd w:id="319"/>
    </w:p>
    <w:p w:rsidR="00065E4B" w:rsidRPr="00C85F0F" w:rsidRDefault="00D564C3" w:rsidP="00A8347C">
      <w:pPr>
        <w:pStyle w:val="aff3"/>
        <w:rPr>
          <w:rtl/>
        </w:rPr>
      </w:pPr>
      <w:bookmarkStart w:id="320" w:name="_Toc334046531"/>
      <w:r>
        <w:rPr>
          <w:rFonts w:hint="cs"/>
          <w:rtl/>
        </w:rPr>
        <w:t xml:space="preserve">                                         المطلب</w:t>
      </w:r>
      <w:r w:rsidR="00182638">
        <w:rPr>
          <w:rFonts w:hint="cs"/>
          <w:rtl/>
        </w:rPr>
        <w:t xml:space="preserve"> </w:t>
      </w:r>
      <w:r w:rsidR="00C97663" w:rsidRPr="00C85F0F">
        <w:rPr>
          <w:rFonts w:hint="cs"/>
          <w:rtl/>
        </w:rPr>
        <w:t>الأول</w:t>
      </w:r>
      <w:r w:rsidR="00C97663" w:rsidRPr="00C85F0F">
        <w:rPr>
          <w:rFonts w:hint="eastAsia"/>
          <w:rtl/>
        </w:rPr>
        <w:t> :</w:t>
      </w:r>
      <w:r w:rsidR="00C97663" w:rsidRPr="00C85F0F">
        <w:rPr>
          <w:rFonts w:hint="cs"/>
          <w:rtl/>
        </w:rPr>
        <w:br/>
      </w:r>
      <w:r>
        <w:rPr>
          <w:rFonts w:hint="cs"/>
          <w:rtl/>
        </w:rPr>
        <w:t xml:space="preserve">                     </w:t>
      </w:r>
      <w:r w:rsidR="00182638">
        <w:rPr>
          <w:rFonts w:hint="cs"/>
          <w:rtl/>
        </w:rPr>
        <w:t xml:space="preserve">  </w:t>
      </w:r>
      <w:r w:rsidR="00C97663" w:rsidRPr="00C85F0F">
        <w:rPr>
          <w:rFonts w:hint="cs"/>
          <w:rtl/>
        </w:rPr>
        <w:t>صيغ القاعدة عند الشيخ وعند علماء القواعد</w:t>
      </w:r>
      <w:bookmarkEnd w:id="320"/>
    </w:p>
    <w:p w:rsidR="00065E4B" w:rsidRPr="00C85F0F" w:rsidRDefault="00065E4B" w:rsidP="00597C20">
      <w:pPr>
        <w:rPr>
          <w:rtl/>
        </w:rPr>
      </w:pPr>
      <w:r w:rsidRPr="00C85F0F">
        <w:rPr>
          <w:rFonts w:hint="cs"/>
          <w:rtl/>
        </w:rPr>
        <w:t>و</w:t>
      </w:r>
      <w:r w:rsidR="00C97663" w:rsidRPr="00C85F0F">
        <w:rPr>
          <w:rFonts w:hint="cs"/>
          <w:rtl/>
        </w:rPr>
        <w:t xml:space="preserve">ردت هذه القاعدة عند الشيخ ابن عثيمين </w:t>
      </w:r>
      <w:r w:rsidR="00182638">
        <w:rPr>
          <w:rFonts w:hint="cs"/>
          <w:rtl/>
        </w:rPr>
        <w:t>_</w:t>
      </w:r>
      <w:r w:rsidR="00C97663" w:rsidRPr="005D5694">
        <w:rPr>
          <w:rFonts w:cs="CTraditional Arabic" w:hint="cs"/>
          <w:color w:val="auto"/>
          <w:rtl/>
        </w:rPr>
        <w:t>/</w:t>
      </w:r>
      <w:r w:rsidR="00182638">
        <w:rPr>
          <w:rFonts w:hint="cs"/>
          <w:rtl/>
        </w:rPr>
        <w:t>_</w:t>
      </w:r>
      <w:r w:rsidR="00C97663" w:rsidRPr="00C85F0F">
        <w:rPr>
          <w:rFonts w:hint="cs"/>
          <w:rtl/>
        </w:rPr>
        <w:t xml:space="preserve"> بعدة صيغ، منها:</w:t>
      </w:r>
    </w:p>
    <w:p w:rsidR="00065E4B" w:rsidRPr="00C85F0F" w:rsidRDefault="00065E4B" w:rsidP="000A76C7">
      <w:pPr>
        <w:numPr>
          <w:ilvl w:val="0"/>
          <w:numId w:val="216"/>
        </w:numPr>
      </w:pPr>
      <w:r w:rsidRPr="00C85F0F">
        <w:rPr>
          <w:rFonts w:hint="cs"/>
          <w:rtl/>
        </w:rPr>
        <w:t>ح</w:t>
      </w:r>
      <w:r w:rsidR="00C97663" w:rsidRPr="00C85F0F">
        <w:rPr>
          <w:rFonts w:hint="cs"/>
          <w:rtl/>
        </w:rPr>
        <w:t>قُّ الآدَميِّ له إسقاطُه إذا لم يتضمَّن شيئاً محرَّماً</w:t>
      </w:r>
      <w:r w:rsidR="00C97663" w:rsidRPr="00C85F0F">
        <w:rPr>
          <w:rStyle w:val="af1"/>
          <w:szCs w:val="32"/>
          <w:rtl/>
        </w:rPr>
        <w:t>(</w:t>
      </w:r>
      <w:r w:rsidR="00C97663" w:rsidRPr="00C85F0F">
        <w:rPr>
          <w:rStyle w:val="af1"/>
          <w:szCs w:val="32"/>
          <w:rtl/>
        </w:rPr>
        <w:footnoteReference w:id="1590"/>
      </w:r>
      <w:r w:rsidR="00C97663" w:rsidRPr="00C85F0F">
        <w:rPr>
          <w:rStyle w:val="af1"/>
          <w:szCs w:val="32"/>
          <w:rtl/>
        </w:rPr>
        <w:t>)</w:t>
      </w:r>
      <w:r w:rsidR="00C97663" w:rsidRPr="00C85F0F">
        <w:rPr>
          <w:rFonts w:hint="cs"/>
          <w:rtl/>
        </w:rPr>
        <w:t>.</w:t>
      </w:r>
    </w:p>
    <w:p w:rsidR="00065E4B" w:rsidRPr="00C85F0F" w:rsidRDefault="00065E4B" w:rsidP="000A76C7">
      <w:pPr>
        <w:numPr>
          <w:ilvl w:val="0"/>
          <w:numId w:val="216"/>
        </w:numPr>
      </w:pPr>
      <w:r w:rsidRPr="00C85F0F">
        <w:rPr>
          <w:rFonts w:hint="cs"/>
          <w:rtl/>
        </w:rPr>
        <w:t>ك</w:t>
      </w:r>
      <w:r w:rsidR="00C97663" w:rsidRPr="00C85F0F">
        <w:rPr>
          <w:rFonts w:hint="cs"/>
          <w:rtl/>
        </w:rPr>
        <w:t>لُّ ذي حقٍّ فَلَهُ أن يُسْقِط حقَّه</w:t>
      </w:r>
      <w:r w:rsidR="00C97663" w:rsidRPr="00C85F0F">
        <w:rPr>
          <w:rStyle w:val="af1"/>
          <w:szCs w:val="32"/>
          <w:rtl/>
        </w:rPr>
        <w:t>(</w:t>
      </w:r>
      <w:r w:rsidR="00C97663" w:rsidRPr="00C85F0F">
        <w:rPr>
          <w:rStyle w:val="af1"/>
          <w:szCs w:val="32"/>
          <w:rtl/>
        </w:rPr>
        <w:footnoteReference w:id="1591"/>
      </w:r>
      <w:r w:rsidR="00C97663" w:rsidRPr="00C85F0F">
        <w:rPr>
          <w:rStyle w:val="af1"/>
          <w:szCs w:val="32"/>
          <w:rtl/>
        </w:rPr>
        <w:t>)</w:t>
      </w:r>
      <w:r w:rsidR="00C97663" w:rsidRPr="00C85F0F">
        <w:rPr>
          <w:rFonts w:hint="cs"/>
          <w:rtl/>
        </w:rPr>
        <w:t>.</w:t>
      </w:r>
    </w:p>
    <w:p w:rsidR="00065E4B" w:rsidRPr="00C85F0F" w:rsidRDefault="00065E4B" w:rsidP="000A76C7">
      <w:pPr>
        <w:numPr>
          <w:ilvl w:val="0"/>
          <w:numId w:val="216"/>
        </w:numPr>
        <w:rPr>
          <w:rtl/>
        </w:rPr>
      </w:pPr>
      <w:r w:rsidRPr="00C85F0F">
        <w:rPr>
          <w:rFonts w:hint="cs"/>
          <w:rtl/>
        </w:rPr>
        <w:t>ح</w:t>
      </w:r>
      <w:r w:rsidR="00C97663" w:rsidRPr="00C85F0F">
        <w:rPr>
          <w:rFonts w:hint="cs"/>
          <w:rtl/>
        </w:rPr>
        <w:t>قُّ الآدَميِّ مَبْنيٌّ على الْمُشاحَّة</w:t>
      </w:r>
      <w:r w:rsidR="00C97663" w:rsidRPr="00C85F0F">
        <w:rPr>
          <w:rStyle w:val="af1"/>
          <w:szCs w:val="32"/>
          <w:rtl/>
        </w:rPr>
        <w:t>(</w:t>
      </w:r>
      <w:r w:rsidR="00C97663" w:rsidRPr="00C85F0F">
        <w:rPr>
          <w:rStyle w:val="af1"/>
          <w:szCs w:val="32"/>
          <w:rtl/>
        </w:rPr>
        <w:footnoteReference w:id="1592"/>
      </w:r>
      <w:r w:rsidR="00C97663" w:rsidRPr="00C85F0F">
        <w:rPr>
          <w:rStyle w:val="af1"/>
          <w:szCs w:val="32"/>
          <w:rtl/>
        </w:rPr>
        <w:t>)</w:t>
      </w:r>
      <w:r w:rsidR="00C97663" w:rsidRPr="00C85F0F">
        <w:rPr>
          <w:rFonts w:hint="cs"/>
          <w:rtl/>
        </w:rPr>
        <w:t>.</w:t>
      </w:r>
    </w:p>
    <w:p w:rsidR="00C97663" w:rsidRPr="00C85F0F" w:rsidRDefault="00065E4B" w:rsidP="000A76C7">
      <w:pPr>
        <w:numPr>
          <w:ilvl w:val="0"/>
          <w:numId w:val="216"/>
        </w:numPr>
      </w:pPr>
      <w:r w:rsidRPr="00C85F0F">
        <w:rPr>
          <w:rFonts w:hint="cs"/>
          <w:rtl/>
        </w:rPr>
        <w:t>ا</w:t>
      </w:r>
      <w:r w:rsidR="00C97663" w:rsidRPr="00C85F0F">
        <w:rPr>
          <w:rFonts w:hint="cs"/>
          <w:rtl/>
        </w:rPr>
        <w:t>لأصل أن كلَّ مَن ثَبَتَ له حقٌّ فإنه لا يَسقط إلا بما يدلُّ على رِضاه</w:t>
      </w:r>
      <w:r w:rsidR="00C97663" w:rsidRPr="00C85F0F">
        <w:rPr>
          <w:rStyle w:val="af1"/>
          <w:szCs w:val="32"/>
          <w:rtl/>
        </w:rPr>
        <w:t>(</w:t>
      </w:r>
      <w:r w:rsidR="00C97663" w:rsidRPr="00C85F0F">
        <w:rPr>
          <w:rStyle w:val="af1"/>
          <w:szCs w:val="32"/>
          <w:rtl/>
        </w:rPr>
        <w:footnoteReference w:id="1593"/>
      </w:r>
      <w:r w:rsidR="00C97663" w:rsidRPr="00C85F0F">
        <w:rPr>
          <w:rStyle w:val="af1"/>
          <w:szCs w:val="32"/>
          <w:rtl/>
        </w:rPr>
        <w:t>)</w:t>
      </w:r>
      <w:r w:rsidR="00C97663" w:rsidRPr="00C85F0F">
        <w:rPr>
          <w:rFonts w:hint="cs"/>
          <w:rtl/>
        </w:rPr>
        <w:t>.</w:t>
      </w:r>
    </w:p>
    <w:p w:rsidR="00C97663" w:rsidRPr="00C85F0F" w:rsidRDefault="00C97663" w:rsidP="000A76C7">
      <w:pPr>
        <w:numPr>
          <w:ilvl w:val="0"/>
          <w:numId w:val="216"/>
        </w:numPr>
      </w:pPr>
      <w:r w:rsidRPr="00C85F0F">
        <w:rPr>
          <w:rFonts w:hint="cs"/>
          <w:rtl/>
        </w:rPr>
        <w:t xml:space="preserve">ما أَوْجَبَه اللهُ </w:t>
      </w:r>
      <w:r w:rsidR="00647199">
        <w:rPr>
          <w:rFonts w:ascii="Traditional Arabic" w:hAnsi="Traditional Arabic" w:hint="cs"/>
          <w:noProof w:val="0"/>
          <w:color w:val="auto"/>
          <w:rtl/>
          <w:lang w:eastAsia="en-US"/>
        </w:rPr>
        <w:t>عز وجل</w:t>
      </w:r>
      <w:r w:rsidRPr="00C85F0F">
        <w:rPr>
          <w:rFonts w:hint="cs"/>
          <w:rtl/>
        </w:rPr>
        <w:t xml:space="preserve"> لِحَقِّ الإنسان وأَسْقَطَ حقَّه، فلا إثْمَ على مَن لم يَقُمْ به</w:t>
      </w:r>
      <w:r w:rsidRPr="00C85F0F">
        <w:rPr>
          <w:rStyle w:val="af1"/>
          <w:szCs w:val="32"/>
          <w:rtl/>
        </w:rPr>
        <w:t>(</w:t>
      </w:r>
      <w:r w:rsidRPr="00C85F0F">
        <w:rPr>
          <w:rStyle w:val="af1"/>
          <w:szCs w:val="32"/>
          <w:rtl/>
        </w:rPr>
        <w:footnoteReference w:id="1594"/>
      </w:r>
      <w:r w:rsidRPr="00C85F0F">
        <w:rPr>
          <w:rStyle w:val="af1"/>
          <w:szCs w:val="32"/>
          <w:rtl/>
        </w:rPr>
        <w:t>)</w:t>
      </w:r>
      <w:r w:rsidRPr="00C85F0F">
        <w:rPr>
          <w:rFonts w:hint="cs"/>
          <w:rtl/>
        </w:rPr>
        <w:t>.</w:t>
      </w:r>
    </w:p>
    <w:p w:rsidR="00065E4B" w:rsidRPr="00C85F0F" w:rsidRDefault="00C97663" w:rsidP="000A76C7">
      <w:pPr>
        <w:numPr>
          <w:ilvl w:val="0"/>
          <w:numId w:val="216"/>
        </w:numPr>
      </w:pPr>
      <w:r w:rsidRPr="00C85F0F">
        <w:rPr>
          <w:rFonts w:hint="cs"/>
          <w:rtl/>
        </w:rPr>
        <w:t xml:space="preserve">الشيءُ الذي أَوْجبه اللهُ مِن باب الحقوق على الناس بعضِهم لبعضٍ إذا أَسْقَطه </w:t>
      </w:r>
      <w:r w:rsidRPr="00C85F0F">
        <w:rPr>
          <w:rFonts w:hint="cs"/>
          <w:rtl/>
        </w:rPr>
        <w:lastRenderedPageBreak/>
        <w:t>مَن له الحقُّ سَقط</w:t>
      </w:r>
      <w:r w:rsidRPr="00C85F0F">
        <w:rPr>
          <w:rStyle w:val="af1"/>
          <w:szCs w:val="32"/>
          <w:rtl/>
        </w:rPr>
        <w:t>(</w:t>
      </w:r>
      <w:r w:rsidRPr="00C85F0F">
        <w:rPr>
          <w:rStyle w:val="af1"/>
          <w:szCs w:val="32"/>
          <w:rtl/>
        </w:rPr>
        <w:footnoteReference w:id="1595"/>
      </w:r>
      <w:r w:rsidRPr="00C85F0F">
        <w:rPr>
          <w:rStyle w:val="af1"/>
          <w:szCs w:val="32"/>
          <w:rtl/>
        </w:rPr>
        <w:t>)</w:t>
      </w:r>
      <w:r w:rsidRPr="00C85F0F">
        <w:rPr>
          <w:rFonts w:hint="cs"/>
          <w:rtl/>
        </w:rPr>
        <w:t>.</w:t>
      </w:r>
    </w:p>
    <w:p w:rsidR="00C97663" w:rsidRPr="00C85F0F" w:rsidRDefault="00065E4B" w:rsidP="00597C20">
      <w:pPr>
        <w:rPr>
          <w:rtl/>
        </w:rPr>
      </w:pPr>
      <w:r w:rsidRPr="00C85F0F">
        <w:rPr>
          <w:rFonts w:hint="cs"/>
          <w:rtl/>
        </w:rPr>
        <w:t>و</w:t>
      </w:r>
      <w:r w:rsidR="00C97663" w:rsidRPr="00C85F0F">
        <w:rPr>
          <w:rFonts w:hint="cs"/>
          <w:rtl/>
        </w:rPr>
        <w:t>وردت هذه القاعدة عند علماء القواعد بعدة صيغ، منها:</w:t>
      </w:r>
    </w:p>
    <w:p w:rsidR="00C97663" w:rsidRPr="00C85F0F" w:rsidRDefault="00C97663" w:rsidP="000A76C7">
      <w:pPr>
        <w:pStyle w:val="afc"/>
        <w:numPr>
          <w:ilvl w:val="0"/>
          <w:numId w:val="217"/>
        </w:numPr>
      </w:pPr>
      <w:r w:rsidRPr="00C85F0F">
        <w:rPr>
          <w:rFonts w:hint="cs"/>
          <w:rtl/>
        </w:rPr>
        <w:t>حقوق العباد إنما تسقط بإذن العباد</w:t>
      </w:r>
      <w:r w:rsidRPr="00C85F0F">
        <w:rPr>
          <w:rStyle w:val="af1"/>
          <w:szCs w:val="32"/>
          <w:rtl/>
        </w:rPr>
        <w:t>(</w:t>
      </w:r>
      <w:r w:rsidRPr="00C85F0F">
        <w:rPr>
          <w:rStyle w:val="af1"/>
          <w:szCs w:val="32"/>
          <w:rtl/>
        </w:rPr>
        <w:footnoteReference w:id="1596"/>
      </w:r>
      <w:r w:rsidRPr="00C85F0F">
        <w:rPr>
          <w:rStyle w:val="af1"/>
          <w:szCs w:val="32"/>
          <w:rtl/>
        </w:rPr>
        <w:t>)</w:t>
      </w:r>
      <w:r w:rsidRPr="00C85F0F">
        <w:rPr>
          <w:rFonts w:hint="cs"/>
          <w:rtl/>
        </w:rPr>
        <w:t>.</w:t>
      </w:r>
    </w:p>
    <w:p w:rsidR="00C97663" w:rsidRPr="00C85F0F" w:rsidRDefault="00C97663" w:rsidP="000A76C7">
      <w:pPr>
        <w:pStyle w:val="afc"/>
        <w:numPr>
          <w:ilvl w:val="0"/>
          <w:numId w:val="217"/>
        </w:numPr>
      </w:pPr>
      <w:r w:rsidRPr="00C85F0F">
        <w:rPr>
          <w:rFonts w:hint="cs"/>
          <w:rtl/>
        </w:rPr>
        <w:t>الأصل عدم انتزاع ملك الإنسان منه إلا برِضاه</w:t>
      </w:r>
      <w:r w:rsidRPr="00C85F0F">
        <w:rPr>
          <w:rStyle w:val="af1"/>
          <w:szCs w:val="32"/>
          <w:rtl/>
        </w:rPr>
        <w:t>(</w:t>
      </w:r>
      <w:r w:rsidRPr="00C85F0F">
        <w:rPr>
          <w:rStyle w:val="af1"/>
          <w:szCs w:val="32"/>
          <w:rtl/>
        </w:rPr>
        <w:footnoteReference w:id="1597"/>
      </w:r>
      <w:r w:rsidRPr="00C85F0F">
        <w:rPr>
          <w:rStyle w:val="af1"/>
          <w:szCs w:val="32"/>
          <w:rtl/>
        </w:rPr>
        <w:t>)</w:t>
      </w:r>
      <w:r w:rsidRPr="00C85F0F">
        <w:rPr>
          <w:rFonts w:hint="cs"/>
          <w:rtl/>
        </w:rPr>
        <w:t>.</w:t>
      </w:r>
    </w:p>
    <w:p w:rsidR="00C97663" w:rsidRPr="00C85F0F" w:rsidRDefault="00C97663" w:rsidP="000A76C7">
      <w:pPr>
        <w:pStyle w:val="afc"/>
        <w:numPr>
          <w:ilvl w:val="0"/>
          <w:numId w:val="217"/>
        </w:numPr>
      </w:pPr>
      <w:r w:rsidRPr="00C85F0F">
        <w:rPr>
          <w:rFonts w:hint="cs"/>
          <w:rtl/>
        </w:rPr>
        <w:t>الأصل أن حق الغير لا ينتقل عنه إلى غيره إلا برضاه</w:t>
      </w:r>
      <w:r w:rsidRPr="00C85F0F">
        <w:rPr>
          <w:rStyle w:val="af1"/>
          <w:szCs w:val="32"/>
          <w:rtl/>
        </w:rPr>
        <w:t>(</w:t>
      </w:r>
      <w:r w:rsidRPr="00C85F0F">
        <w:rPr>
          <w:rStyle w:val="af1"/>
          <w:szCs w:val="32"/>
          <w:rtl/>
        </w:rPr>
        <w:footnoteReference w:id="1598"/>
      </w:r>
      <w:r w:rsidRPr="00C85F0F">
        <w:rPr>
          <w:rStyle w:val="af1"/>
          <w:szCs w:val="32"/>
          <w:rtl/>
        </w:rPr>
        <w:t>)</w:t>
      </w:r>
      <w:r w:rsidRPr="00C85F0F">
        <w:rPr>
          <w:rFonts w:hint="cs"/>
          <w:rtl/>
        </w:rPr>
        <w:t>.</w:t>
      </w:r>
    </w:p>
    <w:p w:rsidR="00C97663" w:rsidRPr="00C85F0F" w:rsidRDefault="00C97663" w:rsidP="000A76C7">
      <w:pPr>
        <w:pStyle w:val="afc"/>
        <w:numPr>
          <w:ilvl w:val="0"/>
          <w:numId w:val="217"/>
        </w:numPr>
      </w:pPr>
      <w:r w:rsidRPr="00C85F0F">
        <w:rPr>
          <w:rFonts w:hint="cs"/>
          <w:rtl/>
        </w:rPr>
        <w:t>الأصل أنه لا يُنتزَعَ مِن الإنسان ما هو ملْكُه إلا بطِيبِ نفسه</w:t>
      </w:r>
      <w:r w:rsidRPr="00C85F0F">
        <w:rPr>
          <w:rStyle w:val="af1"/>
          <w:szCs w:val="32"/>
          <w:rtl/>
        </w:rPr>
        <w:t>(</w:t>
      </w:r>
      <w:r w:rsidRPr="00C85F0F">
        <w:rPr>
          <w:rStyle w:val="af1"/>
          <w:szCs w:val="32"/>
          <w:rtl/>
        </w:rPr>
        <w:footnoteReference w:id="1599"/>
      </w:r>
      <w:r w:rsidRPr="00C85F0F">
        <w:rPr>
          <w:rStyle w:val="af1"/>
          <w:szCs w:val="32"/>
          <w:rtl/>
        </w:rPr>
        <w:t>)</w:t>
      </w:r>
      <w:r w:rsidRPr="00C85F0F">
        <w:rPr>
          <w:rFonts w:hint="cs"/>
          <w:rtl/>
        </w:rPr>
        <w:t>.</w:t>
      </w:r>
    </w:p>
    <w:p w:rsidR="00C97663" w:rsidRPr="00C85F0F" w:rsidRDefault="00C97663" w:rsidP="000A76C7">
      <w:pPr>
        <w:pStyle w:val="afc"/>
        <w:numPr>
          <w:ilvl w:val="0"/>
          <w:numId w:val="217"/>
        </w:numPr>
      </w:pPr>
      <w:r w:rsidRPr="00C85F0F">
        <w:rPr>
          <w:rFonts w:hint="cs"/>
          <w:rtl/>
        </w:rPr>
        <w:t>الحقُّ بعد ما يثبُت لا يسقط إلا بإسقاطِ صاحِبِ الحق صريحاً أو دلالةً</w:t>
      </w:r>
      <w:r w:rsidRPr="00C85F0F">
        <w:rPr>
          <w:rStyle w:val="af1"/>
          <w:szCs w:val="32"/>
          <w:rtl/>
        </w:rPr>
        <w:t>(</w:t>
      </w:r>
      <w:r w:rsidRPr="00C85F0F">
        <w:rPr>
          <w:rStyle w:val="af1"/>
          <w:szCs w:val="32"/>
          <w:rtl/>
        </w:rPr>
        <w:footnoteReference w:id="1600"/>
      </w:r>
      <w:r w:rsidRPr="00C85F0F">
        <w:rPr>
          <w:rStyle w:val="af1"/>
          <w:szCs w:val="32"/>
          <w:rtl/>
        </w:rPr>
        <w:t>)</w:t>
      </w:r>
      <w:r w:rsidRPr="00C85F0F">
        <w:rPr>
          <w:rFonts w:hint="cs"/>
          <w:rtl/>
        </w:rPr>
        <w:t>.</w:t>
      </w:r>
    </w:p>
    <w:p w:rsidR="00C97663" w:rsidRPr="00C85F0F" w:rsidRDefault="00C97663" w:rsidP="000A76C7">
      <w:pPr>
        <w:pStyle w:val="afc"/>
        <w:numPr>
          <w:ilvl w:val="0"/>
          <w:numId w:val="217"/>
        </w:numPr>
      </w:pPr>
      <w:r w:rsidRPr="00C85F0F">
        <w:rPr>
          <w:rFonts w:hint="cs"/>
          <w:rtl/>
        </w:rPr>
        <w:t>حقُّ الآدمي لا يسقط بالشُّبهة وهو مبنيٌّ على المضايَقة</w:t>
      </w:r>
      <w:r w:rsidRPr="00C85F0F">
        <w:rPr>
          <w:rStyle w:val="af1"/>
          <w:szCs w:val="32"/>
          <w:rtl/>
        </w:rPr>
        <w:t>(</w:t>
      </w:r>
      <w:r w:rsidRPr="00C85F0F">
        <w:rPr>
          <w:rStyle w:val="af1"/>
          <w:szCs w:val="32"/>
          <w:rtl/>
        </w:rPr>
        <w:footnoteReference w:id="1601"/>
      </w:r>
      <w:r w:rsidRPr="00C85F0F">
        <w:rPr>
          <w:rStyle w:val="af1"/>
          <w:szCs w:val="32"/>
          <w:rtl/>
        </w:rPr>
        <w:t>)</w:t>
      </w:r>
      <w:r w:rsidRPr="00C85F0F">
        <w:rPr>
          <w:rFonts w:hint="cs"/>
          <w:rtl/>
        </w:rPr>
        <w:t>.</w:t>
      </w:r>
    </w:p>
    <w:p w:rsidR="00C97663" w:rsidRPr="00C85F0F" w:rsidRDefault="00C97663" w:rsidP="000A76C7">
      <w:pPr>
        <w:pStyle w:val="afc"/>
        <w:numPr>
          <w:ilvl w:val="0"/>
          <w:numId w:val="217"/>
        </w:numPr>
      </w:pPr>
      <w:r w:rsidRPr="00C85F0F">
        <w:rPr>
          <w:rFonts w:hint="cs"/>
          <w:rtl/>
        </w:rPr>
        <w:t>حقُّ الإنسان لا يجوز إبطالُه عليه مِن غير رضاه</w:t>
      </w:r>
      <w:r w:rsidRPr="00C85F0F">
        <w:rPr>
          <w:rStyle w:val="af1"/>
          <w:szCs w:val="32"/>
          <w:rtl/>
        </w:rPr>
        <w:t>(</w:t>
      </w:r>
      <w:r w:rsidRPr="00C85F0F">
        <w:rPr>
          <w:rStyle w:val="af1"/>
          <w:szCs w:val="32"/>
          <w:rtl/>
        </w:rPr>
        <w:footnoteReference w:id="1602"/>
      </w:r>
      <w:r w:rsidRPr="00C85F0F">
        <w:rPr>
          <w:rStyle w:val="af1"/>
          <w:szCs w:val="32"/>
          <w:rtl/>
        </w:rPr>
        <w:t>)</w:t>
      </w:r>
      <w:r w:rsidRPr="00C85F0F">
        <w:rPr>
          <w:rFonts w:hint="cs"/>
          <w:rtl/>
        </w:rPr>
        <w:t>.</w:t>
      </w:r>
    </w:p>
    <w:p w:rsidR="00F228A9" w:rsidRPr="00C85F0F" w:rsidRDefault="00C97663" w:rsidP="000A76C7">
      <w:pPr>
        <w:pStyle w:val="afc"/>
        <w:numPr>
          <w:ilvl w:val="0"/>
          <w:numId w:val="217"/>
        </w:numPr>
      </w:pPr>
      <w:r w:rsidRPr="00C85F0F">
        <w:rPr>
          <w:rFonts w:hint="cs"/>
          <w:rtl/>
        </w:rPr>
        <w:t>حقُّ الله مبنيٌّ على السُّهولة والمسامَحة</w:t>
      </w:r>
      <w:r w:rsidR="008179F4">
        <w:rPr>
          <w:rFonts w:hint="cs"/>
          <w:rtl/>
        </w:rPr>
        <w:t>،</w:t>
      </w:r>
      <w:r w:rsidRPr="00C85F0F">
        <w:rPr>
          <w:rFonts w:hint="cs"/>
          <w:rtl/>
        </w:rPr>
        <w:t xml:space="preserve"> بِخِلافِ حق الآدمي فإنه مبنيٌّ على الشُّحِّ والضَّيْق</w:t>
      </w:r>
      <w:r w:rsidRPr="00C85F0F">
        <w:rPr>
          <w:rStyle w:val="af1"/>
          <w:szCs w:val="32"/>
          <w:rtl/>
        </w:rPr>
        <w:t>(</w:t>
      </w:r>
      <w:r w:rsidRPr="00C85F0F">
        <w:rPr>
          <w:rStyle w:val="af1"/>
          <w:szCs w:val="32"/>
          <w:rtl/>
        </w:rPr>
        <w:footnoteReference w:id="1603"/>
      </w:r>
      <w:r w:rsidRPr="00C85F0F">
        <w:rPr>
          <w:rStyle w:val="af1"/>
          <w:szCs w:val="32"/>
          <w:rtl/>
        </w:rPr>
        <w:t>)</w:t>
      </w:r>
      <w:r w:rsidRPr="00C85F0F">
        <w:rPr>
          <w:rFonts w:hint="cs"/>
          <w:rtl/>
        </w:rPr>
        <w:t>.</w:t>
      </w:r>
    </w:p>
    <w:p w:rsidR="00065E4B" w:rsidRPr="00C85F0F" w:rsidRDefault="00D564C3" w:rsidP="00A8347C">
      <w:pPr>
        <w:pStyle w:val="aff3"/>
        <w:rPr>
          <w:rtl/>
        </w:rPr>
      </w:pPr>
      <w:bookmarkStart w:id="321" w:name="_Toc334046532"/>
      <w:r>
        <w:rPr>
          <w:rFonts w:hint="cs"/>
          <w:rtl/>
        </w:rPr>
        <w:lastRenderedPageBreak/>
        <w:t xml:space="preserve">                                        المطلب</w:t>
      </w:r>
      <w:r w:rsidR="00182638">
        <w:rPr>
          <w:rFonts w:hint="cs"/>
          <w:rtl/>
        </w:rPr>
        <w:t xml:space="preserve"> </w:t>
      </w:r>
      <w:r w:rsidR="00F228A9" w:rsidRPr="00C85F0F">
        <w:rPr>
          <w:rFonts w:hint="cs"/>
          <w:rtl/>
        </w:rPr>
        <w:t>الثاني</w:t>
      </w:r>
      <w:r w:rsidR="00F228A9" w:rsidRPr="00C85F0F">
        <w:rPr>
          <w:rFonts w:hint="eastAsia"/>
          <w:rtl/>
        </w:rPr>
        <w:t> :</w:t>
      </w:r>
      <w:r w:rsidR="00F228A9" w:rsidRPr="00C85F0F">
        <w:rPr>
          <w:rFonts w:hint="cs"/>
          <w:rtl/>
        </w:rPr>
        <w:br/>
      </w:r>
      <w:r>
        <w:rPr>
          <w:rFonts w:hint="cs"/>
          <w:rtl/>
        </w:rPr>
        <w:t xml:space="preserve">                                         </w:t>
      </w:r>
      <w:r w:rsidR="00F228A9" w:rsidRPr="00C85F0F">
        <w:rPr>
          <w:rFonts w:hint="cs"/>
          <w:rtl/>
        </w:rPr>
        <w:t>شرح القاعدة</w:t>
      </w:r>
      <w:bookmarkEnd w:id="321"/>
    </w:p>
    <w:p w:rsidR="00F60BF3" w:rsidRDefault="00065E4B" w:rsidP="00EA2BD7">
      <w:pPr>
        <w:pStyle w:val="53"/>
        <w:rPr>
          <w:b w:val="0"/>
          <w:rtl/>
        </w:rPr>
      </w:pPr>
      <w:r w:rsidRPr="00EA2BD7">
        <w:rPr>
          <w:rFonts w:hint="cs"/>
          <w:rtl/>
        </w:rPr>
        <w:t>ا</w:t>
      </w:r>
      <w:r w:rsidR="00C97663" w:rsidRPr="00EA2BD7">
        <w:rPr>
          <w:rFonts w:hint="cs"/>
          <w:rtl/>
        </w:rPr>
        <w:t>لحق</w:t>
      </w:r>
      <w:r w:rsidR="00AB0B9E" w:rsidRPr="00EA2BD7">
        <w:fldChar w:fldCharType="begin"/>
      </w:r>
      <w:r w:rsidR="003E316B" w:rsidRPr="00EA2BD7">
        <w:instrText xml:space="preserve"> XE "</w:instrText>
      </w:r>
      <w:r w:rsidR="003E316B" w:rsidRPr="00EA2BD7">
        <w:rPr>
          <w:rFonts w:hint="cs"/>
          <w:rtl/>
        </w:rPr>
        <w:instrText>الحق</w:instrText>
      </w:r>
      <w:r w:rsidR="003E316B" w:rsidRPr="00EA2BD7">
        <w:instrText>" \fm</w:instrText>
      </w:r>
      <w:r w:rsidR="00AB0B9E" w:rsidRPr="00EA2BD7">
        <w:fldChar w:fldCharType="end"/>
      </w:r>
      <w:r w:rsidR="00C97663">
        <w:rPr>
          <w:rFonts w:hint="cs"/>
          <w:b w:val="0"/>
          <w:rtl/>
        </w:rPr>
        <w:t xml:space="preserve"> لغة:</w:t>
      </w:r>
    </w:p>
    <w:p w:rsidR="00065E4B" w:rsidRDefault="00C97663" w:rsidP="00597C20">
      <w:pPr>
        <w:ind w:firstLine="720"/>
        <w:rPr>
          <w:b/>
          <w:bCs/>
          <w:rtl/>
        </w:rPr>
      </w:pPr>
      <w:r w:rsidRPr="00447F23">
        <w:rPr>
          <w:rFonts w:hint="cs"/>
          <w:rtl/>
        </w:rPr>
        <w:t>مصدر ح</w:t>
      </w:r>
      <w:r>
        <w:rPr>
          <w:rFonts w:hint="cs"/>
          <w:rtl/>
        </w:rPr>
        <w:t>َ</w:t>
      </w:r>
      <w:r w:rsidRPr="00447F23">
        <w:rPr>
          <w:rFonts w:hint="cs"/>
          <w:rtl/>
        </w:rPr>
        <w:t>قَّ الشيءُ يحِقُّ: إذا ث</w:t>
      </w:r>
      <w:r>
        <w:rPr>
          <w:rFonts w:hint="cs"/>
          <w:rtl/>
        </w:rPr>
        <w:t>َ</w:t>
      </w:r>
      <w:r w:rsidRPr="00447F23">
        <w:rPr>
          <w:rFonts w:hint="cs"/>
          <w:rtl/>
        </w:rPr>
        <w:t>ب</w:t>
      </w:r>
      <w:r>
        <w:rPr>
          <w:rFonts w:hint="cs"/>
          <w:rtl/>
        </w:rPr>
        <w:t>َ</w:t>
      </w:r>
      <w:r w:rsidRPr="00447F23">
        <w:rPr>
          <w:rFonts w:hint="cs"/>
          <w:rtl/>
        </w:rPr>
        <w:t>ت</w:t>
      </w:r>
      <w:r>
        <w:rPr>
          <w:rFonts w:hint="cs"/>
          <w:rtl/>
        </w:rPr>
        <w:t>َ</w:t>
      </w:r>
      <w:r w:rsidRPr="00447F23">
        <w:rPr>
          <w:rFonts w:hint="cs"/>
          <w:rtl/>
        </w:rPr>
        <w:t xml:space="preserve"> وو</w:t>
      </w:r>
      <w:r>
        <w:rPr>
          <w:rFonts w:hint="cs"/>
          <w:rtl/>
        </w:rPr>
        <w:t>َ</w:t>
      </w:r>
      <w:r w:rsidRPr="00447F23">
        <w:rPr>
          <w:rFonts w:hint="cs"/>
          <w:rtl/>
        </w:rPr>
        <w:t>ج</w:t>
      </w:r>
      <w:r>
        <w:rPr>
          <w:rFonts w:hint="cs"/>
          <w:rtl/>
        </w:rPr>
        <w:t>َ</w:t>
      </w:r>
      <w:r w:rsidRPr="00447F23">
        <w:rPr>
          <w:rFonts w:hint="cs"/>
          <w:rtl/>
        </w:rPr>
        <w:t>ب</w:t>
      </w:r>
      <w:r>
        <w:rPr>
          <w:rFonts w:hint="cs"/>
          <w:rtl/>
        </w:rPr>
        <w:t>َ</w:t>
      </w:r>
      <w:r w:rsidRPr="00C821A1">
        <w:rPr>
          <w:rStyle w:val="af1"/>
          <w:szCs w:val="32"/>
          <w:rtl/>
        </w:rPr>
        <w:t>(</w:t>
      </w:r>
      <w:r w:rsidRPr="00C821A1">
        <w:rPr>
          <w:rStyle w:val="af1"/>
          <w:szCs w:val="32"/>
          <w:rtl/>
        </w:rPr>
        <w:footnoteReference w:id="1604"/>
      </w:r>
      <w:r w:rsidRPr="00C821A1">
        <w:rPr>
          <w:rStyle w:val="af1"/>
          <w:szCs w:val="32"/>
          <w:rtl/>
        </w:rPr>
        <w:t>)</w:t>
      </w:r>
      <w:r>
        <w:rPr>
          <w:rFonts w:hint="cs"/>
          <w:b/>
          <w:bCs/>
          <w:rtl/>
        </w:rPr>
        <w:t xml:space="preserve">، </w:t>
      </w:r>
      <w:r w:rsidRPr="009B4BA2">
        <w:rPr>
          <w:rFonts w:hint="cs"/>
          <w:rtl/>
        </w:rPr>
        <w:t>وهو</w:t>
      </w:r>
      <w:r w:rsidR="00182638">
        <w:rPr>
          <w:rFonts w:hint="cs"/>
          <w:rtl/>
        </w:rPr>
        <w:t xml:space="preserve"> </w:t>
      </w:r>
      <w:r w:rsidRPr="00447F23">
        <w:rPr>
          <w:rFonts w:hint="cs"/>
          <w:rtl/>
        </w:rPr>
        <w:t>الثاب</w:t>
      </w:r>
      <w:r>
        <w:rPr>
          <w:rFonts w:hint="cs"/>
          <w:rtl/>
        </w:rPr>
        <w:t>ِ</w:t>
      </w:r>
      <w:r w:rsidRPr="00447F23">
        <w:rPr>
          <w:rFonts w:hint="cs"/>
          <w:rtl/>
        </w:rPr>
        <w:t>ت الذي لا ي</w:t>
      </w:r>
      <w:r>
        <w:rPr>
          <w:rFonts w:hint="cs"/>
          <w:rtl/>
        </w:rPr>
        <w:t>َ</w:t>
      </w:r>
      <w:r w:rsidRPr="00447F23">
        <w:rPr>
          <w:rFonts w:hint="cs"/>
          <w:rtl/>
        </w:rPr>
        <w:t>س</w:t>
      </w:r>
      <w:r>
        <w:rPr>
          <w:rFonts w:hint="cs"/>
          <w:rtl/>
        </w:rPr>
        <w:t>ُ</w:t>
      </w:r>
      <w:r w:rsidRPr="00447F23">
        <w:rPr>
          <w:rFonts w:hint="cs"/>
          <w:rtl/>
        </w:rPr>
        <w:t>وغ إنكار</w:t>
      </w:r>
      <w:r>
        <w:rPr>
          <w:rFonts w:hint="cs"/>
          <w:rtl/>
        </w:rPr>
        <w:t>ُ</w:t>
      </w:r>
      <w:r w:rsidRPr="00447F23">
        <w:rPr>
          <w:rFonts w:hint="cs"/>
          <w:rtl/>
        </w:rPr>
        <w:t>ه</w:t>
      </w:r>
      <w:r w:rsidRPr="00C821A1">
        <w:rPr>
          <w:rStyle w:val="af1"/>
          <w:szCs w:val="32"/>
          <w:rtl/>
        </w:rPr>
        <w:t>(</w:t>
      </w:r>
      <w:r w:rsidRPr="00C821A1">
        <w:rPr>
          <w:rStyle w:val="af1"/>
          <w:szCs w:val="32"/>
          <w:rtl/>
        </w:rPr>
        <w:footnoteReference w:id="1605"/>
      </w:r>
      <w:r w:rsidRPr="00C821A1">
        <w:rPr>
          <w:rStyle w:val="af1"/>
          <w:szCs w:val="32"/>
          <w:rtl/>
        </w:rPr>
        <w:t>)</w:t>
      </w:r>
      <w:r w:rsidRPr="00447F23">
        <w:rPr>
          <w:rFonts w:hint="cs"/>
          <w:rtl/>
        </w:rPr>
        <w:t>.</w:t>
      </w:r>
    </w:p>
    <w:p w:rsidR="00F60BF3" w:rsidRDefault="00065E4B" w:rsidP="00597C20">
      <w:pPr>
        <w:pStyle w:val="53"/>
        <w:rPr>
          <w:rtl/>
        </w:rPr>
      </w:pPr>
      <w:r>
        <w:rPr>
          <w:rFonts w:hint="cs"/>
          <w:rtl/>
        </w:rPr>
        <w:t>ا</w:t>
      </w:r>
      <w:r w:rsidR="00C97663">
        <w:rPr>
          <w:rFonts w:hint="cs"/>
          <w:rtl/>
        </w:rPr>
        <w:t>لحق اصطلاحا:</w:t>
      </w:r>
    </w:p>
    <w:p w:rsidR="00065E4B" w:rsidRDefault="00C97663" w:rsidP="00597C20">
      <w:pPr>
        <w:ind w:firstLine="720"/>
        <w:rPr>
          <w:rtl/>
        </w:rPr>
      </w:pPr>
      <w:r>
        <w:rPr>
          <w:rFonts w:hint="cs"/>
          <w:rtl/>
        </w:rPr>
        <w:t>يستعمله الفقهاء بمعانٍ عديدة ومواضعَ مختلفة، وكلُّها ترجع إلى المعنى اللُّغوي للحقِّ.</w:t>
      </w:r>
    </w:p>
    <w:p w:rsidR="00065E4B" w:rsidRPr="00D624DD" w:rsidRDefault="00065E4B" w:rsidP="00D624DD">
      <w:pPr>
        <w:ind w:firstLine="720"/>
        <w:rPr>
          <w:rtl/>
        </w:rPr>
      </w:pPr>
      <w:r>
        <w:rPr>
          <w:rFonts w:hint="cs"/>
          <w:rtl/>
        </w:rPr>
        <w:t>و</w:t>
      </w:r>
      <w:r w:rsidR="00C97663">
        <w:rPr>
          <w:rFonts w:hint="cs"/>
          <w:rtl/>
        </w:rPr>
        <w:t>الذي يظهر والله أعلم أن أَقْرَب هذه الاستعمالات إلى موضوع القاعدة</w:t>
      </w:r>
      <w:r w:rsidR="00C97663" w:rsidRPr="00C821A1">
        <w:rPr>
          <w:rStyle w:val="af1"/>
          <w:szCs w:val="32"/>
          <w:rtl/>
        </w:rPr>
        <w:t>(</w:t>
      </w:r>
      <w:r w:rsidR="00C97663" w:rsidRPr="00C821A1">
        <w:rPr>
          <w:rStyle w:val="af1"/>
          <w:szCs w:val="32"/>
          <w:rtl/>
        </w:rPr>
        <w:footnoteReference w:id="1606"/>
      </w:r>
      <w:r w:rsidR="00C97663" w:rsidRPr="00C821A1">
        <w:rPr>
          <w:rStyle w:val="af1"/>
          <w:szCs w:val="32"/>
          <w:rtl/>
        </w:rPr>
        <w:t>)</w:t>
      </w:r>
      <w:r w:rsidR="00C97663">
        <w:rPr>
          <w:rFonts w:hint="cs"/>
          <w:rtl/>
        </w:rPr>
        <w:t xml:space="preserve"> استعمالُه في مُقابِل الأعيان والمنافع المملوكة، بمعنى المصالح الاعتبارية الشرعية التي لا</w:t>
      </w:r>
      <w:r w:rsidR="008179F4">
        <w:rPr>
          <w:rFonts w:hint="cs"/>
          <w:rtl/>
        </w:rPr>
        <w:t xml:space="preserve"> </w:t>
      </w:r>
      <w:r w:rsidR="00C97663">
        <w:rPr>
          <w:rFonts w:hint="cs"/>
          <w:rtl/>
        </w:rPr>
        <w:t>وُجود لها إلا باعتبار الشارع، كحقِّ الشُّفْعة</w:t>
      </w:r>
      <w:r w:rsidR="00022B3E">
        <w:rPr>
          <w:rStyle w:val="af1"/>
          <w:rFonts w:hint="cs"/>
          <w:szCs w:val="32"/>
          <w:rtl/>
        </w:rPr>
        <w:t xml:space="preserve"> </w:t>
      </w:r>
      <w:r w:rsidR="00C97663">
        <w:rPr>
          <w:rFonts w:hint="cs"/>
          <w:rtl/>
        </w:rPr>
        <w:t>وحق الحَضانة</w:t>
      </w:r>
      <w:r w:rsidR="00C97663" w:rsidRPr="00C821A1">
        <w:rPr>
          <w:rStyle w:val="af1"/>
          <w:szCs w:val="32"/>
          <w:rtl/>
        </w:rPr>
        <w:t>(</w:t>
      </w:r>
      <w:r w:rsidR="00C97663" w:rsidRPr="00C821A1">
        <w:rPr>
          <w:rStyle w:val="af1"/>
          <w:szCs w:val="32"/>
          <w:rtl/>
        </w:rPr>
        <w:footnoteReference w:id="1607"/>
      </w:r>
      <w:r w:rsidR="00C97663" w:rsidRPr="00C821A1">
        <w:rPr>
          <w:rStyle w:val="af1"/>
          <w:szCs w:val="32"/>
          <w:rtl/>
        </w:rPr>
        <w:t>)</w:t>
      </w:r>
      <w:r w:rsidR="00C97663">
        <w:rPr>
          <w:rFonts w:hint="cs"/>
          <w:rtl/>
        </w:rPr>
        <w:t>.</w:t>
      </w:r>
    </w:p>
    <w:p w:rsidR="00065E4B" w:rsidRDefault="00065E4B" w:rsidP="00597C20">
      <w:pPr>
        <w:pStyle w:val="53"/>
        <w:rPr>
          <w:rtl/>
        </w:rPr>
      </w:pPr>
      <w:r w:rsidRPr="00991A0A">
        <w:rPr>
          <w:rFonts w:hint="cs"/>
          <w:rtl/>
        </w:rPr>
        <w:t>م</w:t>
      </w:r>
      <w:r w:rsidR="00C97663" w:rsidRPr="00991A0A">
        <w:rPr>
          <w:rFonts w:hint="cs"/>
          <w:rtl/>
        </w:rPr>
        <w:t>عنى القاعدة إجمالا</w:t>
      </w:r>
      <w:r w:rsidR="00C97663">
        <w:rPr>
          <w:rFonts w:hint="cs"/>
          <w:rtl/>
        </w:rPr>
        <w:t>:</w:t>
      </w:r>
    </w:p>
    <w:p w:rsidR="00F228A9" w:rsidRPr="000B759E" w:rsidRDefault="00065E4B" w:rsidP="00597C20">
      <w:pPr>
        <w:ind w:firstLine="720"/>
        <w:rPr>
          <w:rtl/>
        </w:rPr>
      </w:pPr>
      <w:r>
        <w:rPr>
          <w:rFonts w:hint="cs"/>
          <w:rtl/>
        </w:rPr>
        <w:t>ا</w:t>
      </w:r>
      <w:r w:rsidR="00C97663">
        <w:rPr>
          <w:rFonts w:hint="cs"/>
          <w:rtl/>
        </w:rPr>
        <w:t xml:space="preserve">لأصل أنه لا يُنتزَع من الإنسان ما هو ملكه إلا بطيب نفسه؛ ولهذا اشتُرط الرضا في المعاوضات والتبرعات، وهذا من محاسن الشريعة أنها حفظتْ حقوق الخلْق ولم تَقْهَرهُم على </w:t>
      </w:r>
      <w:r w:rsidR="00C97663">
        <w:rPr>
          <w:rFonts w:hint="cs"/>
          <w:rtl/>
        </w:rPr>
        <w:lastRenderedPageBreak/>
        <w:t>أَخْذها منهم إلا بحقٍّ</w:t>
      </w:r>
      <w:r w:rsidR="00C97663" w:rsidRPr="00C821A1">
        <w:rPr>
          <w:rStyle w:val="af1"/>
          <w:szCs w:val="32"/>
          <w:rtl/>
        </w:rPr>
        <w:t>(</w:t>
      </w:r>
      <w:r w:rsidR="00C97663" w:rsidRPr="00C821A1">
        <w:rPr>
          <w:rStyle w:val="af1"/>
          <w:szCs w:val="32"/>
          <w:rtl/>
        </w:rPr>
        <w:footnoteReference w:id="1608"/>
      </w:r>
      <w:r w:rsidR="00C97663" w:rsidRPr="00C821A1">
        <w:rPr>
          <w:rStyle w:val="af1"/>
          <w:szCs w:val="32"/>
          <w:rtl/>
        </w:rPr>
        <w:t>)</w:t>
      </w:r>
      <w:r w:rsidR="00C97663">
        <w:rPr>
          <w:rFonts w:hint="cs"/>
          <w:rtl/>
        </w:rPr>
        <w:t xml:space="preserve">؛ ولهذا كانت القاعدة المستمرّة أن ما أَوْجبه الله </w:t>
      </w:r>
      <w:r w:rsidR="00D564C3">
        <w:rPr>
          <w:rFonts w:ascii="Traditional Arabic" w:hAnsi="Traditional Arabic" w:hint="cs"/>
          <w:noProof w:val="0"/>
          <w:color w:val="auto"/>
          <w:rtl/>
          <w:lang w:eastAsia="en-US"/>
        </w:rPr>
        <w:t>عز وجل</w:t>
      </w:r>
      <w:r w:rsidR="00C97663">
        <w:rPr>
          <w:rFonts w:hint="cs"/>
          <w:rtl/>
        </w:rPr>
        <w:t xml:space="preserve"> من حقوق الناس بعضِهم على بعضٍ، فإنه ثابتٌ لهم لايسقط إلا برِضا صاحبِه واختيارٍ منه، فإذا أسقط صاحبُ الحق حقَّه عن رِضا، ولم يتضمَّن هذا الإسقاط أمراً محرَّماً،</w:t>
      </w:r>
      <w:r w:rsidR="00022B3E">
        <w:rPr>
          <w:rFonts w:hint="cs"/>
          <w:rtl/>
        </w:rPr>
        <w:t xml:space="preserve"> سقط هذا الحق وانتفى الإثم عمَّ</w:t>
      </w:r>
      <w:r w:rsidR="00C97663">
        <w:rPr>
          <w:rFonts w:hint="cs"/>
          <w:rtl/>
        </w:rPr>
        <w:t>ن لم يؤدِّه</w:t>
      </w:r>
      <w:r w:rsidR="00C97663" w:rsidRPr="00C821A1">
        <w:rPr>
          <w:rStyle w:val="af1"/>
          <w:szCs w:val="32"/>
          <w:rtl/>
        </w:rPr>
        <w:t>(</w:t>
      </w:r>
      <w:r w:rsidR="00C97663" w:rsidRPr="00C821A1">
        <w:rPr>
          <w:rStyle w:val="af1"/>
          <w:szCs w:val="32"/>
          <w:rtl/>
        </w:rPr>
        <w:footnoteReference w:id="1609"/>
      </w:r>
      <w:r w:rsidR="00C97663" w:rsidRPr="00C821A1">
        <w:rPr>
          <w:rStyle w:val="af1"/>
          <w:szCs w:val="32"/>
          <w:rtl/>
        </w:rPr>
        <w:t>)</w:t>
      </w:r>
      <w:r w:rsidR="00C97663">
        <w:rPr>
          <w:rFonts w:hint="cs"/>
          <w:rtl/>
        </w:rPr>
        <w:t>.</w:t>
      </w:r>
    </w:p>
    <w:p w:rsidR="00C97663" w:rsidRPr="00C97663" w:rsidRDefault="00D564C3" w:rsidP="00A8347C">
      <w:pPr>
        <w:pStyle w:val="aff3"/>
        <w:rPr>
          <w:rtl/>
        </w:rPr>
      </w:pPr>
      <w:bookmarkStart w:id="322" w:name="_Toc334046533"/>
      <w:r>
        <w:rPr>
          <w:rFonts w:hint="cs"/>
          <w:rtl/>
        </w:rPr>
        <w:t xml:space="preserve">                                       المطلب</w:t>
      </w:r>
      <w:r w:rsidR="00022B3E">
        <w:rPr>
          <w:rFonts w:hint="cs"/>
          <w:rtl/>
        </w:rPr>
        <w:t xml:space="preserve"> </w:t>
      </w:r>
      <w:r w:rsidR="00C97663" w:rsidRPr="00C97663">
        <w:rPr>
          <w:rFonts w:hint="cs"/>
          <w:rtl/>
        </w:rPr>
        <w:t>الثالث</w:t>
      </w:r>
      <w:r w:rsidR="00C97663">
        <w:rPr>
          <w:rFonts w:hint="eastAsia"/>
          <w:rtl/>
        </w:rPr>
        <w:t> :</w:t>
      </w:r>
      <w:r w:rsidR="00C97663">
        <w:rPr>
          <w:rFonts w:hint="cs"/>
          <w:rtl/>
        </w:rPr>
        <w:br/>
      </w:r>
      <w:r>
        <w:rPr>
          <w:rFonts w:hint="cs"/>
          <w:rtl/>
        </w:rPr>
        <w:t xml:space="preserve">          </w:t>
      </w:r>
      <w:r w:rsidR="00022B3E">
        <w:rPr>
          <w:rFonts w:hint="cs"/>
          <w:rtl/>
        </w:rPr>
        <w:t xml:space="preserve">                               </w:t>
      </w:r>
      <w:r w:rsidR="0027446A">
        <w:rPr>
          <w:rFonts w:hint="cs"/>
          <w:rtl/>
        </w:rPr>
        <w:t xml:space="preserve"> </w:t>
      </w:r>
      <w:r w:rsidR="00C97663" w:rsidRPr="00C97663">
        <w:rPr>
          <w:rFonts w:hint="cs"/>
          <w:rtl/>
        </w:rPr>
        <w:t>أدلة القاعدة</w:t>
      </w:r>
      <w:bookmarkEnd w:id="322"/>
    </w:p>
    <w:p w:rsidR="00C97663" w:rsidRDefault="00C97663" w:rsidP="000A76C7">
      <w:pPr>
        <w:pStyle w:val="afc"/>
        <w:numPr>
          <w:ilvl w:val="0"/>
          <w:numId w:val="219"/>
        </w:numPr>
        <w:rPr>
          <w:rFonts w:ascii="Traditional Arabic" w:hAnsi="Traditional Arabic"/>
          <w:noProof w:val="0"/>
          <w:color w:val="auto"/>
          <w:lang w:eastAsia="en-US"/>
        </w:rPr>
      </w:pPr>
      <w:r>
        <w:rPr>
          <w:rFonts w:ascii="Traditional Arabic" w:hAnsi="Traditional Arabic" w:hint="cs"/>
          <w:noProof w:val="0"/>
          <w:color w:val="auto"/>
          <w:rtl/>
          <w:lang w:eastAsia="en-US"/>
        </w:rPr>
        <w:t>قوله تعال</w:t>
      </w:r>
      <w:r w:rsidR="00746096">
        <w:rPr>
          <w:rFonts w:ascii="Traditional Arabic" w:hAnsi="Traditional Arabic" w:hint="cs"/>
          <w:noProof w:val="0"/>
          <w:color w:val="auto"/>
          <w:rtl/>
          <w:lang w:eastAsia="en-US"/>
        </w:rPr>
        <w:t>ى :</w:t>
      </w:r>
      <w:bookmarkStart w:id="323" w:name="سورة_البقرة_182"/>
      <w:r w:rsidR="0027446A">
        <w:rPr>
          <w:rFonts w:ascii="Traditional Arabic" w:hAnsi="Traditional Arabic" w:hint="cs"/>
          <w:noProof w:val="0"/>
          <w:color w:val="auto"/>
          <w:rtl/>
          <w:lang w:eastAsia="en-US"/>
        </w:rPr>
        <w:t xml:space="preserve"> </w:t>
      </w:r>
      <w:r w:rsidR="00022B3E">
        <w:rPr>
          <w:rFonts w:ascii="QCF_BSML" w:hAnsi="QCF_BSML" w:cs="QCF_BSML" w:hint="cs"/>
          <w:noProof w:val="0"/>
          <w:rtl/>
          <w:lang w:eastAsia="en-US"/>
        </w:rPr>
        <w:t xml:space="preserve"> </w:t>
      </w:r>
      <w:r w:rsidRPr="00CF2E38">
        <w:rPr>
          <w:rFonts w:ascii="QCF_BSML" w:hAnsi="QCF_BSML" w:cs="QCF_BSML"/>
          <w:noProof w:val="0"/>
          <w:rtl/>
          <w:lang w:eastAsia="en-US"/>
        </w:rPr>
        <w:t>ﭽ</w:t>
      </w:r>
      <w:r w:rsidRPr="00CF2E38">
        <w:rPr>
          <w:rFonts w:ascii="QCF_P027" w:hAnsi="QCF_P027" w:cs="QCF_P027"/>
          <w:noProof w:val="0"/>
          <w:rtl/>
          <w:lang w:eastAsia="en-US"/>
        </w:rPr>
        <w:t>ﮉ</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ﮊ</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ﮋ</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ﮌ</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ﮍ</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ﮎ</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ﮏ</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ﮐ</w:t>
      </w:r>
      <w:r w:rsidR="00022B3E">
        <w:rPr>
          <w:rFonts w:ascii="QCF_P027" w:hAnsi="QCF_P027" w:cs="QCF_P027" w:hint="cs"/>
          <w:noProof w:val="0"/>
          <w:rtl/>
          <w:lang w:eastAsia="en-US"/>
        </w:rPr>
        <w:t xml:space="preserve"> </w:t>
      </w:r>
      <w:r w:rsidRPr="00CF2E38">
        <w:rPr>
          <w:rFonts w:ascii="QCF_P027" w:hAnsi="QCF_P027" w:cs="QCF_P027"/>
          <w:noProof w:val="0"/>
          <w:color w:val="0000A5"/>
          <w:rtl/>
          <w:lang w:eastAsia="en-US"/>
        </w:rPr>
        <w:t>ﮑ</w:t>
      </w:r>
      <w:r w:rsidR="00022B3E">
        <w:rPr>
          <w:rFonts w:ascii="QCF_P027" w:hAnsi="QCF_P027" w:cs="QCF_P027" w:hint="cs"/>
          <w:noProof w:val="0"/>
          <w:color w:val="0000A5"/>
          <w:rtl/>
          <w:lang w:eastAsia="en-US"/>
        </w:rPr>
        <w:t xml:space="preserve"> </w:t>
      </w:r>
      <w:r w:rsidRPr="00CF2E38">
        <w:rPr>
          <w:rFonts w:ascii="QCF_P027" w:hAnsi="QCF_P027" w:cs="QCF_P027"/>
          <w:noProof w:val="0"/>
          <w:rtl/>
          <w:lang w:eastAsia="en-US"/>
        </w:rPr>
        <w:t>ﮒ</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ﮓ</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ﮔ</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ﮕ</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ﮖ</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ﮗ</w:t>
      </w:r>
      <w:r w:rsidR="00022B3E">
        <w:rPr>
          <w:rFonts w:ascii="QCF_P027" w:hAnsi="QCF_P027" w:cs="QCF_P027" w:hint="cs"/>
          <w:noProof w:val="0"/>
          <w:rtl/>
          <w:lang w:eastAsia="en-US"/>
        </w:rPr>
        <w:t xml:space="preserve"> </w:t>
      </w:r>
      <w:r w:rsidRPr="00CF2E38">
        <w:rPr>
          <w:rFonts w:ascii="QCF_P027" w:hAnsi="QCF_P027" w:cs="QCF_P027"/>
          <w:noProof w:val="0"/>
          <w:color w:val="0000A5"/>
          <w:rtl/>
          <w:lang w:eastAsia="en-US"/>
        </w:rPr>
        <w:t>ﮘ</w:t>
      </w:r>
      <w:r w:rsidR="00022B3E">
        <w:rPr>
          <w:rFonts w:ascii="QCF_P027" w:hAnsi="QCF_P027" w:cs="QCF_P027" w:hint="cs"/>
          <w:noProof w:val="0"/>
          <w:color w:val="0000A5"/>
          <w:rtl/>
          <w:lang w:eastAsia="en-US"/>
        </w:rPr>
        <w:t xml:space="preserve"> </w:t>
      </w:r>
      <w:r w:rsidRPr="00CF2E38">
        <w:rPr>
          <w:rFonts w:ascii="QCF_P027" w:hAnsi="QCF_P027" w:cs="QCF_P027"/>
          <w:noProof w:val="0"/>
          <w:rtl/>
          <w:lang w:eastAsia="en-US"/>
        </w:rPr>
        <w:t>ﮙ</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ﮚ</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ﮛ</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ﮜ</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ﮝ</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ﮞ</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ﮟ</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ﮠ</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ﮡ</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ﮢ</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ﮣ</w:t>
      </w:r>
      <w:r w:rsidR="00022B3E">
        <w:rPr>
          <w:rFonts w:ascii="QCF_P027" w:hAnsi="QCF_P027" w:cs="QCF_P027" w:hint="cs"/>
          <w:noProof w:val="0"/>
          <w:rtl/>
          <w:lang w:eastAsia="en-US"/>
        </w:rPr>
        <w:t xml:space="preserve"> </w:t>
      </w:r>
      <w:r w:rsidRPr="00CF2E38">
        <w:rPr>
          <w:rFonts w:ascii="QCF_P027" w:hAnsi="QCF_P027" w:cs="QCF_P027"/>
          <w:noProof w:val="0"/>
          <w:color w:val="0000A5"/>
          <w:rtl/>
          <w:lang w:eastAsia="en-US"/>
        </w:rPr>
        <w:t>ﮤ</w:t>
      </w:r>
      <w:r w:rsidR="00022B3E">
        <w:rPr>
          <w:rFonts w:ascii="QCF_P027" w:hAnsi="QCF_P027" w:cs="QCF_P027" w:hint="cs"/>
          <w:noProof w:val="0"/>
          <w:color w:val="0000A5"/>
          <w:rtl/>
          <w:lang w:eastAsia="en-US"/>
        </w:rPr>
        <w:t xml:space="preserve"> </w:t>
      </w:r>
      <w:r w:rsidRPr="00CF2E38">
        <w:rPr>
          <w:rFonts w:ascii="QCF_P027" w:hAnsi="QCF_P027" w:cs="QCF_P027"/>
          <w:noProof w:val="0"/>
          <w:rtl/>
          <w:lang w:eastAsia="en-US"/>
        </w:rPr>
        <w:t>ﮥ</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ﮦ</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ﮧ</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ﮨ</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ﮩ</w:t>
      </w:r>
      <w:r w:rsidR="00022B3E">
        <w:rPr>
          <w:rFonts w:ascii="QCF_P027" w:hAnsi="QCF_P027" w:cs="QCF_P027" w:hint="cs"/>
          <w:noProof w:val="0"/>
          <w:rtl/>
          <w:lang w:eastAsia="en-US"/>
        </w:rPr>
        <w:t xml:space="preserve"> </w:t>
      </w:r>
      <w:r w:rsidRPr="00CF2E38">
        <w:rPr>
          <w:rFonts w:ascii="QCF_P027" w:hAnsi="QCF_P027" w:cs="QCF_P027"/>
          <w:noProof w:val="0"/>
          <w:color w:val="0000A5"/>
          <w:rtl/>
          <w:lang w:eastAsia="en-US"/>
        </w:rPr>
        <w:t>ﮪ</w:t>
      </w:r>
      <w:r w:rsidR="00022B3E">
        <w:rPr>
          <w:rFonts w:ascii="QCF_P027" w:hAnsi="QCF_P027" w:cs="QCF_P027" w:hint="cs"/>
          <w:noProof w:val="0"/>
          <w:color w:val="0000A5"/>
          <w:rtl/>
          <w:lang w:eastAsia="en-US"/>
        </w:rPr>
        <w:t xml:space="preserve"> </w:t>
      </w:r>
      <w:r w:rsidRPr="00CF2E38">
        <w:rPr>
          <w:rFonts w:ascii="QCF_P027" w:hAnsi="QCF_P027" w:cs="QCF_P027"/>
          <w:noProof w:val="0"/>
          <w:rtl/>
          <w:lang w:eastAsia="en-US"/>
        </w:rPr>
        <w:t>ﮫ</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ﮬ</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ﮭ</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ﮮ</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ﮯ</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ﮰ</w:t>
      </w:r>
      <w:r w:rsidR="00022B3E">
        <w:rPr>
          <w:rFonts w:ascii="QCF_P027" w:hAnsi="QCF_P027" w:cs="QCF_P027" w:hint="cs"/>
          <w:noProof w:val="0"/>
          <w:rtl/>
          <w:lang w:eastAsia="en-US"/>
        </w:rPr>
        <w:t xml:space="preserve"> </w:t>
      </w:r>
      <w:r w:rsidRPr="00CF2E38">
        <w:rPr>
          <w:rFonts w:ascii="QCF_P027" w:hAnsi="QCF_P027" w:cs="QCF_P027"/>
          <w:noProof w:val="0"/>
          <w:rtl/>
          <w:lang w:eastAsia="en-US"/>
        </w:rPr>
        <w:t>ﮱ</w:t>
      </w:r>
      <w:r w:rsidRPr="00CF2E38">
        <w:rPr>
          <w:rFonts w:ascii="QCF_BSML" w:hAnsi="QCF_BSML" w:cs="QCF_BSML"/>
          <w:noProof w:val="0"/>
          <w:rtl/>
          <w:lang w:eastAsia="en-US"/>
        </w:rPr>
        <w:t>ﭼ</w:t>
      </w:r>
      <w:bookmarkEnd w:id="323"/>
      <w:r>
        <w:rPr>
          <w:rFonts w:ascii="Traditional Arabic" w:hAnsi="Traditional Arabic" w:hint="cs"/>
          <w:noProof w:val="0"/>
          <w:color w:val="auto"/>
          <w:rtl/>
          <w:lang w:eastAsia="en-US"/>
        </w:rPr>
        <w:t>[</w:t>
      </w:r>
      <w:r w:rsidRPr="00CF2E38">
        <w:rPr>
          <w:rFonts w:ascii="Traditional Arabic" w:hAnsi="Traditional Arabic"/>
          <w:noProof w:val="0"/>
          <w:color w:val="auto"/>
          <w:rtl/>
          <w:lang w:eastAsia="en-US"/>
        </w:rPr>
        <w:t>البقرة: ١٧٨</w:t>
      </w:r>
      <w:r>
        <w:rPr>
          <w:rFonts w:ascii="Traditional Arabic" w:hAnsi="Traditional Arabic" w:hint="cs"/>
          <w:noProof w:val="0"/>
          <w:color w:val="auto"/>
          <w:rtl/>
          <w:lang w:eastAsia="en-US"/>
        </w:rPr>
        <w:t>].</w:t>
      </w:r>
    </w:p>
    <w:p w:rsidR="00065E4B" w:rsidRDefault="00C97663" w:rsidP="00597C20">
      <w:pPr>
        <w:pStyle w:val="53"/>
        <w:rPr>
          <w:rtl/>
        </w:rPr>
      </w:pPr>
      <w:r w:rsidRPr="00CF2E38">
        <w:rPr>
          <w:rFonts w:hint="cs"/>
          <w:rtl/>
        </w:rPr>
        <w:t>وجه الدلالة:</w:t>
      </w:r>
    </w:p>
    <w:p w:rsidR="00C97663" w:rsidRPr="00B05721" w:rsidRDefault="00065E4B" w:rsidP="00597C20">
      <w:pPr>
        <w:rPr>
          <w:rFonts w:ascii="Traditional Arabic" w:hAnsi="Traditional Arabic"/>
          <w:b/>
          <w:bCs/>
          <w:noProof w:val="0"/>
          <w:color w:val="auto"/>
          <w:lang w:eastAsia="en-US"/>
        </w:rPr>
      </w:pPr>
      <w:r>
        <w:rPr>
          <w:rFonts w:ascii="Traditional Arabic" w:hAnsi="Traditional Arabic" w:hint="cs"/>
          <w:noProof w:val="0"/>
          <w:color w:val="auto"/>
          <w:rtl/>
          <w:lang w:eastAsia="en-US"/>
        </w:rPr>
        <w:t>ق</w:t>
      </w:r>
      <w:r w:rsidR="00C97663">
        <w:rPr>
          <w:rFonts w:ascii="Traditional Arabic" w:hAnsi="Traditional Arabic" w:hint="cs"/>
          <w:noProof w:val="0"/>
          <w:color w:val="auto"/>
          <w:rtl/>
          <w:lang w:eastAsia="en-US"/>
        </w:rPr>
        <w:t xml:space="preserve">وله تعالى: </w:t>
      </w:r>
      <w:r w:rsidR="00C97663" w:rsidRPr="00B05721">
        <w:rPr>
          <w:rFonts w:ascii="QCF_BSML" w:hAnsi="QCF_BSML" w:cs="QCF_BSML"/>
          <w:noProof w:val="0"/>
          <w:rtl/>
          <w:lang w:eastAsia="en-US"/>
        </w:rPr>
        <w:t xml:space="preserve">ﭽ </w:t>
      </w:r>
      <w:r w:rsidR="00C97663" w:rsidRPr="00B05721">
        <w:rPr>
          <w:rFonts w:ascii="QCF_P027" w:hAnsi="QCF_P027" w:cs="QCF_P027"/>
          <w:noProof w:val="0"/>
          <w:rtl/>
          <w:lang w:eastAsia="en-US"/>
        </w:rPr>
        <w:t>ﮙﮚﮛ</w:t>
      </w:r>
      <w:r w:rsidR="00C97663" w:rsidRPr="00B05721">
        <w:rPr>
          <w:rFonts w:ascii="QCF_BSML" w:hAnsi="QCF_BSML" w:cs="QCF_BSML"/>
          <w:noProof w:val="0"/>
          <w:rtl/>
          <w:lang w:eastAsia="en-US"/>
        </w:rPr>
        <w:t>ﭼ</w:t>
      </w:r>
      <w:r w:rsidR="00C97663">
        <w:rPr>
          <w:rFonts w:ascii="Traditional Arabic" w:hAnsi="Traditional Arabic" w:hint="cs"/>
          <w:b/>
          <w:bCs/>
          <w:noProof w:val="0"/>
          <w:color w:val="auto"/>
          <w:rtl/>
          <w:lang w:eastAsia="en-US"/>
        </w:rPr>
        <w:t xml:space="preserve">: </w:t>
      </w:r>
      <w:r w:rsidR="00C97663">
        <w:rPr>
          <w:rFonts w:ascii="Traditional Arabic" w:hAnsi="Traditional Arabic" w:hint="cs"/>
          <w:noProof w:val="0"/>
          <w:color w:val="auto"/>
          <w:rtl/>
          <w:lang w:eastAsia="en-US"/>
        </w:rPr>
        <w:t>المعْفُوُّ القاتل؛</w:t>
      </w:r>
      <w:r w:rsidR="00154102">
        <w:rPr>
          <w:rFonts w:ascii="Traditional Arabic" w:hAnsi="Traditional Arabic" w:hint="cs"/>
          <w:noProof w:val="0"/>
          <w:color w:val="auto"/>
          <w:rtl/>
          <w:lang w:eastAsia="en-US"/>
        </w:rPr>
        <w:t xml:space="preserve"> و</w:t>
      </w:r>
      <w:r w:rsidR="00C97663" w:rsidRPr="00B05721">
        <w:rPr>
          <w:rFonts w:ascii="QCF_BSML" w:hAnsi="QCF_BSML" w:cs="QCF_BSML"/>
          <w:noProof w:val="0"/>
          <w:rtl/>
          <w:lang w:eastAsia="en-US"/>
        </w:rPr>
        <w:t xml:space="preserve">ﭽ </w:t>
      </w:r>
      <w:r w:rsidR="00C97663" w:rsidRPr="00B05721">
        <w:rPr>
          <w:rFonts w:ascii="QCF_P027" w:hAnsi="QCF_P027" w:cs="QCF_P027"/>
          <w:noProof w:val="0"/>
          <w:rtl/>
          <w:lang w:eastAsia="en-US"/>
        </w:rPr>
        <w:t>ﮜﮝ</w:t>
      </w:r>
      <w:r w:rsidR="00C97663" w:rsidRPr="00B05721">
        <w:rPr>
          <w:rFonts w:ascii="QCF_BSML" w:hAnsi="QCF_BSML" w:cs="QCF_BSML"/>
          <w:noProof w:val="0"/>
          <w:rtl/>
          <w:lang w:eastAsia="en-US"/>
        </w:rPr>
        <w:t>ﭼ</w:t>
      </w:r>
      <w:r w:rsidR="00C97663" w:rsidRPr="00F33E30">
        <w:rPr>
          <w:rFonts w:ascii="Traditional Arabic" w:hAnsi="Traditional Arabic" w:hint="cs"/>
          <w:noProof w:val="0"/>
          <w:rtl/>
          <w:lang w:eastAsia="en-US"/>
        </w:rPr>
        <w:t>:</w:t>
      </w:r>
      <w:r w:rsidR="00C97663">
        <w:rPr>
          <w:rFonts w:ascii="Traditional Arabic" w:hAnsi="Traditional Arabic" w:hint="cs"/>
          <w:noProof w:val="0"/>
          <w:rtl/>
          <w:lang w:eastAsia="en-US"/>
        </w:rPr>
        <w:t xml:space="preserve"> المراد به </w:t>
      </w:r>
      <w:r w:rsidR="008179F4">
        <w:rPr>
          <w:rFonts w:ascii="Traditional Arabic" w:hAnsi="Traditional Arabic" w:hint="cs"/>
          <w:noProof w:val="0"/>
          <w:rtl/>
          <w:lang w:eastAsia="en-US"/>
        </w:rPr>
        <w:t xml:space="preserve">دم </w:t>
      </w:r>
      <w:r w:rsidR="00C97663">
        <w:rPr>
          <w:rFonts w:ascii="Traditional Arabic" w:hAnsi="Traditional Arabic" w:hint="cs"/>
          <w:noProof w:val="0"/>
          <w:rtl/>
          <w:lang w:eastAsia="en-US"/>
        </w:rPr>
        <w:t>المقتول، فأي قاتل عُفي له من دم أخيه شيء سقط القصاص، فالواجب لحقِّ الإنسان إذا أسقطه من له الحق سَقَطَ.</w:t>
      </w:r>
      <w:r w:rsidR="00C97663" w:rsidRPr="00C821A1">
        <w:rPr>
          <w:rStyle w:val="af1"/>
          <w:szCs w:val="32"/>
          <w:rtl/>
        </w:rPr>
        <w:t>(</w:t>
      </w:r>
      <w:r w:rsidR="00C97663" w:rsidRPr="00C821A1">
        <w:rPr>
          <w:rStyle w:val="af1"/>
          <w:szCs w:val="32"/>
          <w:rtl/>
        </w:rPr>
        <w:footnoteReference w:id="1610"/>
      </w:r>
      <w:r w:rsidR="00C97663" w:rsidRPr="00C821A1">
        <w:rPr>
          <w:rStyle w:val="af1"/>
          <w:szCs w:val="32"/>
          <w:rtl/>
        </w:rPr>
        <w:t>)</w:t>
      </w:r>
    </w:p>
    <w:p w:rsidR="00065E4B" w:rsidRPr="00AF14CD" w:rsidRDefault="00C97663" w:rsidP="000A76C7">
      <w:pPr>
        <w:pStyle w:val="afc"/>
        <w:numPr>
          <w:ilvl w:val="0"/>
          <w:numId w:val="219"/>
        </w:numPr>
        <w:rPr>
          <w:rFonts w:ascii="Traditional Arabic" w:hAnsi="Traditional Arabic"/>
          <w:noProof w:val="0"/>
          <w:color w:val="auto"/>
          <w:rtl/>
          <w:lang w:eastAsia="en-US"/>
        </w:rPr>
      </w:pPr>
      <w:r>
        <w:rPr>
          <w:rFonts w:hint="cs"/>
          <w:rtl/>
        </w:rPr>
        <w:t>قوله تعالى:</w:t>
      </w:r>
      <w:bookmarkStart w:id="324" w:name="سورة_النساء_24"/>
      <w:r w:rsidR="00022B3E">
        <w:rPr>
          <w:rFonts w:hint="cs"/>
          <w:rtl/>
        </w:rPr>
        <w:t xml:space="preserve"> </w:t>
      </w:r>
      <w:r w:rsidRPr="00AF14CD">
        <w:rPr>
          <w:rFonts w:ascii="QCF_BSML" w:hAnsi="QCF_BSML" w:cs="QCF_BSML"/>
          <w:noProof w:val="0"/>
          <w:rtl/>
          <w:lang w:eastAsia="en-US"/>
        </w:rPr>
        <w:t>ﭽ</w:t>
      </w:r>
      <w:r w:rsidRPr="00AF14CD">
        <w:rPr>
          <w:rFonts w:ascii="QCF_P082" w:hAnsi="QCF_P082" w:cs="QCF_P082"/>
          <w:noProof w:val="0"/>
          <w:rtl/>
          <w:lang w:eastAsia="en-US"/>
        </w:rPr>
        <w:t>ﭲ</w:t>
      </w:r>
      <w:r w:rsidR="00022B3E">
        <w:rPr>
          <w:rFonts w:ascii="QCF_P082" w:hAnsi="QCF_P082" w:cs="QCF_P082" w:hint="cs"/>
          <w:noProof w:val="0"/>
          <w:rtl/>
          <w:lang w:eastAsia="en-US"/>
        </w:rPr>
        <w:t xml:space="preserve"> </w:t>
      </w:r>
      <w:r w:rsidRPr="00AF14CD">
        <w:rPr>
          <w:rFonts w:ascii="QCF_P082" w:hAnsi="QCF_P082" w:cs="QCF_P082"/>
          <w:noProof w:val="0"/>
          <w:rtl/>
          <w:lang w:eastAsia="en-US"/>
        </w:rPr>
        <w:t>ﭳﭴ</w:t>
      </w:r>
      <w:r w:rsidR="00022B3E">
        <w:rPr>
          <w:rFonts w:ascii="QCF_P082" w:hAnsi="QCF_P082" w:cs="QCF_P082" w:hint="cs"/>
          <w:noProof w:val="0"/>
          <w:rtl/>
          <w:lang w:eastAsia="en-US"/>
        </w:rPr>
        <w:t xml:space="preserve"> </w:t>
      </w:r>
      <w:r w:rsidRPr="00AF14CD">
        <w:rPr>
          <w:rFonts w:ascii="QCF_P082" w:hAnsi="QCF_P082" w:cs="QCF_P082"/>
          <w:noProof w:val="0"/>
          <w:rtl/>
          <w:lang w:eastAsia="en-US"/>
        </w:rPr>
        <w:t>ﭵ</w:t>
      </w:r>
      <w:r w:rsidR="00022B3E">
        <w:rPr>
          <w:rFonts w:ascii="QCF_P082" w:hAnsi="QCF_P082" w:cs="QCF_P082" w:hint="cs"/>
          <w:noProof w:val="0"/>
          <w:rtl/>
          <w:lang w:eastAsia="en-US"/>
        </w:rPr>
        <w:t xml:space="preserve"> </w:t>
      </w:r>
      <w:r w:rsidRPr="00AF14CD">
        <w:rPr>
          <w:rFonts w:ascii="QCF_P082" w:hAnsi="QCF_P082" w:cs="QCF_P082"/>
          <w:noProof w:val="0"/>
          <w:rtl/>
          <w:lang w:eastAsia="en-US"/>
        </w:rPr>
        <w:t>ﭶ</w:t>
      </w:r>
      <w:r w:rsidR="00022B3E">
        <w:rPr>
          <w:rFonts w:ascii="QCF_P082" w:hAnsi="QCF_P082" w:cs="QCF_P082" w:hint="cs"/>
          <w:noProof w:val="0"/>
          <w:rtl/>
          <w:lang w:eastAsia="en-US"/>
        </w:rPr>
        <w:t xml:space="preserve"> </w:t>
      </w:r>
      <w:r w:rsidRPr="00AF14CD">
        <w:rPr>
          <w:rFonts w:ascii="QCF_P082" w:hAnsi="QCF_P082" w:cs="QCF_P082"/>
          <w:noProof w:val="0"/>
          <w:rtl/>
          <w:lang w:eastAsia="en-US"/>
        </w:rPr>
        <w:t>ﭷ</w:t>
      </w:r>
      <w:r w:rsidR="00022B3E">
        <w:rPr>
          <w:rFonts w:ascii="QCF_P082" w:hAnsi="QCF_P082" w:cs="QCF_P082" w:hint="cs"/>
          <w:noProof w:val="0"/>
          <w:rtl/>
          <w:lang w:eastAsia="en-US"/>
        </w:rPr>
        <w:t xml:space="preserve"> </w:t>
      </w:r>
      <w:r w:rsidRPr="00AF14CD">
        <w:rPr>
          <w:rFonts w:ascii="QCF_P082" w:hAnsi="QCF_P082" w:cs="QCF_P082"/>
          <w:noProof w:val="0"/>
          <w:rtl/>
          <w:lang w:eastAsia="en-US"/>
        </w:rPr>
        <w:t>ﭸ</w:t>
      </w:r>
      <w:r w:rsidR="00022B3E">
        <w:rPr>
          <w:rFonts w:ascii="QCF_P082" w:hAnsi="QCF_P082" w:cs="QCF_P082" w:hint="cs"/>
          <w:noProof w:val="0"/>
          <w:rtl/>
          <w:lang w:eastAsia="en-US"/>
        </w:rPr>
        <w:t xml:space="preserve"> </w:t>
      </w:r>
      <w:r w:rsidRPr="00AF14CD">
        <w:rPr>
          <w:rFonts w:ascii="QCF_P082" w:hAnsi="QCF_P082" w:cs="QCF_P082"/>
          <w:noProof w:val="0"/>
          <w:rtl/>
          <w:lang w:eastAsia="en-US"/>
        </w:rPr>
        <w:t>ﭹ</w:t>
      </w:r>
      <w:r w:rsidR="00022B3E">
        <w:rPr>
          <w:rFonts w:ascii="QCF_P082" w:hAnsi="QCF_P082" w:cs="QCF_P082" w:hint="cs"/>
          <w:noProof w:val="0"/>
          <w:rtl/>
          <w:lang w:eastAsia="en-US"/>
        </w:rPr>
        <w:t xml:space="preserve"> </w:t>
      </w:r>
      <w:r w:rsidRPr="00AF14CD">
        <w:rPr>
          <w:rFonts w:ascii="QCF_P082" w:hAnsi="QCF_P082" w:cs="QCF_P082"/>
          <w:noProof w:val="0"/>
          <w:rtl/>
          <w:lang w:eastAsia="en-US"/>
        </w:rPr>
        <w:t>ﭺ</w:t>
      </w:r>
      <w:r w:rsidR="00022B3E">
        <w:rPr>
          <w:rFonts w:ascii="QCF_P082" w:hAnsi="QCF_P082" w:cs="QCF_P082" w:hint="cs"/>
          <w:noProof w:val="0"/>
          <w:rtl/>
          <w:lang w:eastAsia="en-US"/>
        </w:rPr>
        <w:t xml:space="preserve"> </w:t>
      </w:r>
      <w:r w:rsidRPr="00AF14CD">
        <w:rPr>
          <w:rFonts w:ascii="QCF_BSML" w:hAnsi="QCF_BSML" w:cs="QCF_BSML"/>
          <w:noProof w:val="0"/>
          <w:rtl/>
          <w:lang w:eastAsia="en-US"/>
        </w:rPr>
        <w:t>ﭼ</w:t>
      </w:r>
      <w:bookmarkEnd w:id="324"/>
      <w:r>
        <w:rPr>
          <w:rFonts w:hint="cs"/>
          <w:rtl/>
        </w:rPr>
        <w:t>[النساء24].</w:t>
      </w:r>
    </w:p>
    <w:p w:rsidR="00065E4B" w:rsidRDefault="00065E4B" w:rsidP="00597C20">
      <w:pPr>
        <w:pStyle w:val="53"/>
        <w:rPr>
          <w:rtl/>
        </w:rPr>
      </w:pPr>
      <w:r>
        <w:rPr>
          <w:rFonts w:hint="cs"/>
          <w:rtl/>
        </w:rPr>
        <w:lastRenderedPageBreak/>
        <w:t>و</w:t>
      </w:r>
      <w:r w:rsidR="00C97663">
        <w:rPr>
          <w:rFonts w:hint="cs"/>
          <w:rtl/>
        </w:rPr>
        <w:t>جه الدلالة:</w:t>
      </w:r>
    </w:p>
    <w:p w:rsidR="00065E4B" w:rsidRDefault="00065E4B" w:rsidP="00597C20">
      <w:pPr>
        <w:ind w:firstLine="720"/>
        <w:rPr>
          <w:rFonts w:ascii="Traditional Arabic" w:hAnsi="Traditional Arabic"/>
          <w:color w:val="auto"/>
          <w:rtl/>
        </w:rPr>
      </w:pPr>
      <w:r>
        <w:rPr>
          <w:rFonts w:ascii="Traditional Arabic" w:hAnsi="Traditional Arabic" w:hint="cs"/>
          <w:noProof w:val="0"/>
          <w:color w:val="auto"/>
          <w:rtl/>
          <w:lang w:eastAsia="en-US"/>
        </w:rPr>
        <w:t>ل</w:t>
      </w:r>
      <w:r w:rsidR="00C97663">
        <w:rPr>
          <w:rFonts w:ascii="Traditional Arabic" w:hAnsi="Traditional Arabic" w:hint="cs"/>
          <w:noProof w:val="0"/>
          <w:color w:val="auto"/>
          <w:rtl/>
          <w:lang w:eastAsia="en-US"/>
        </w:rPr>
        <w:t xml:space="preserve">ا إثْمَ على الزوج ولا على الزوجة فيما تراضَيا به من بعد ما فرض لها من المهر بزيادةٍ أو </w:t>
      </w:r>
      <w:r w:rsidR="00C97663" w:rsidRPr="00022B3E">
        <w:rPr>
          <w:rFonts w:ascii="Traditional Arabic" w:hAnsi="Traditional Arabic" w:hint="cs"/>
          <w:noProof w:val="0"/>
          <w:color w:val="auto"/>
          <w:rtl/>
          <w:lang w:eastAsia="en-US"/>
        </w:rPr>
        <w:t>نَقْصٍ أوإسقاطٍ، فقد تعفو الزوجة عن شيء مما فرض لها، أو عن كل ما فرض لها،</w:t>
      </w:r>
      <w:r w:rsidR="00C97663">
        <w:rPr>
          <w:rFonts w:ascii="Traditional Arabic" w:hAnsi="Traditional Arabic" w:hint="cs"/>
          <w:noProof w:val="0"/>
          <w:color w:val="auto"/>
          <w:rtl/>
          <w:lang w:eastAsia="en-US"/>
        </w:rPr>
        <w:t xml:space="preserve"> وقد تطلب الزيادة ويعطيها الزوجُ، فكلُّ ذلك لا بأس به.</w:t>
      </w:r>
    </w:p>
    <w:p w:rsidR="00C97663" w:rsidRDefault="00065E4B" w:rsidP="00597C20">
      <w:pPr>
        <w:ind w:firstLine="720"/>
        <w:rPr>
          <w:rFonts w:ascii="Traditional Arabic" w:hAnsi="Traditional Arabic"/>
          <w:color w:val="auto"/>
          <w:rtl/>
        </w:rPr>
      </w:pPr>
      <w:r>
        <w:rPr>
          <w:rFonts w:ascii="Traditional Arabic" w:hAnsi="Traditional Arabic" w:hint="cs"/>
          <w:color w:val="auto"/>
          <w:rtl/>
        </w:rPr>
        <w:t>و</w:t>
      </w:r>
      <w:r w:rsidR="00C97663">
        <w:rPr>
          <w:rFonts w:ascii="Traditional Arabic" w:hAnsi="Traditional Arabic" w:hint="cs"/>
          <w:color w:val="auto"/>
          <w:rtl/>
        </w:rPr>
        <w:t>يُؤْخَذ من ذلك قاعدةٌ مهمَّة</w:t>
      </w:r>
      <w:r w:rsidR="00D564C3">
        <w:rPr>
          <w:rFonts w:ascii="Traditional Arabic" w:hAnsi="Traditional Arabic" w:hint="cs"/>
          <w:color w:val="auto"/>
          <w:rtl/>
        </w:rPr>
        <w:t xml:space="preserve"> </w:t>
      </w:r>
      <w:r w:rsidR="00C97663">
        <w:rPr>
          <w:rFonts w:ascii="Traditional Arabic" w:hAnsi="Traditional Arabic" w:hint="cs"/>
          <w:color w:val="auto"/>
          <w:rtl/>
        </w:rPr>
        <w:t xml:space="preserve">وهي: </w:t>
      </w:r>
      <w:r w:rsidR="00022B3E">
        <w:rPr>
          <w:rFonts w:ascii="Traditional Arabic" w:hAnsi="Traditional Arabic" w:hint="cs"/>
          <w:color w:val="auto"/>
          <w:rtl/>
        </w:rPr>
        <w:t>"</w:t>
      </w:r>
      <w:r w:rsidR="00C97663">
        <w:rPr>
          <w:rFonts w:ascii="Traditional Arabic" w:hAnsi="Traditional Arabic" w:hint="cs"/>
          <w:color w:val="auto"/>
          <w:rtl/>
        </w:rPr>
        <w:t xml:space="preserve">أن </w:t>
      </w:r>
      <w:r w:rsidR="00C97663">
        <w:rPr>
          <w:rFonts w:hint="cs"/>
          <w:rtl/>
        </w:rPr>
        <w:t xml:space="preserve">ما أَوْجَبَه اللهُ </w:t>
      </w:r>
      <w:r w:rsidR="00D564C3">
        <w:rPr>
          <w:rFonts w:ascii="Traditional Arabic" w:hAnsi="Traditional Arabic" w:hint="cs"/>
          <w:noProof w:val="0"/>
          <w:color w:val="auto"/>
          <w:rtl/>
          <w:lang w:eastAsia="en-US"/>
        </w:rPr>
        <w:t>عز وجل</w:t>
      </w:r>
      <w:r w:rsidR="00C97663">
        <w:rPr>
          <w:rFonts w:hint="cs"/>
          <w:rtl/>
        </w:rPr>
        <w:t xml:space="preserve"> لِحَقِّ الإنسان وأَسْقَطَ حقَّه، فلا إثْمَ على مَن لم يَقُمْ به</w:t>
      </w:r>
      <w:r w:rsidR="00022B3E">
        <w:rPr>
          <w:rFonts w:ascii="Traditional Arabic" w:hAnsi="Traditional Arabic" w:hint="cs"/>
          <w:color w:val="auto"/>
          <w:rtl/>
        </w:rPr>
        <w:t>"</w:t>
      </w:r>
      <w:r w:rsidR="00C97663">
        <w:rPr>
          <w:rFonts w:ascii="Traditional Arabic" w:hAnsi="Traditional Arabic" w:hint="cs"/>
          <w:color w:val="auto"/>
          <w:rtl/>
        </w:rPr>
        <w:t>، و</w:t>
      </w:r>
      <w:r w:rsidR="00C97663">
        <w:rPr>
          <w:rFonts w:hint="cs"/>
          <w:rtl/>
        </w:rPr>
        <w:t>الشيءُ الذي أَوْجَبه اللهُ مِن باب الحقوق على الناس بعضِهم لبعضٍ إذا أَسْقَطه مَن له الحقُّ سَقط</w:t>
      </w:r>
      <w:r w:rsidR="00C97663" w:rsidRPr="00C821A1">
        <w:rPr>
          <w:rStyle w:val="af1"/>
          <w:szCs w:val="32"/>
          <w:rtl/>
        </w:rPr>
        <w:t>(</w:t>
      </w:r>
      <w:r w:rsidR="00C97663" w:rsidRPr="00C821A1">
        <w:rPr>
          <w:rStyle w:val="af1"/>
          <w:szCs w:val="32"/>
          <w:rtl/>
        </w:rPr>
        <w:footnoteReference w:id="1611"/>
      </w:r>
      <w:r w:rsidR="00C97663" w:rsidRPr="00C821A1">
        <w:rPr>
          <w:rStyle w:val="af1"/>
          <w:szCs w:val="32"/>
          <w:rtl/>
        </w:rPr>
        <w:t>)</w:t>
      </w:r>
      <w:r w:rsidR="00C97663">
        <w:rPr>
          <w:rFonts w:ascii="Traditional Arabic" w:hAnsi="Traditional Arabic" w:hint="cs"/>
          <w:color w:val="auto"/>
          <w:rtl/>
        </w:rPr>
        <w:t>.</w:t>
      </w:r>
    </w:p>
    <w:p w:rsidR="00C97663" w:rsidRPr="000B759E" w:rsidRDefault="00022B3E" w:rsidP="000A76C7">
      <w:pPr>
        <w:pStyle w:val="afc"/>
        <w:widowControl/>
        <w:numPr>
          <w:ilvl w:val="0"/>
          <w:numId w:val="219"/>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حديث</w:t>
      </w:r>
      <w:r w:rsidR="00C97663" w:rsidRPr="000B759E">
        <w:rPr>
          <w:rFonts w:ascii="Traditional Arabic" w:hAnsi="Traditional Arabic" w:hint="cs"/>
          <w:noProof w:val="0"/>
          <w:color w:val="auto"/>
          <w:rtl/>
          <w:lang w:eastAsia="en-US"/>
        </w:rPr>
        <w:t xml:space="preserve"> ابن عمر </w:t>
      </w:r>
      <w:r>
        <w:rPr>
          <w:rFonts w:ascii="Traditional Arabic" w:hAnsi="Traditional Arabic" w:hint="cs"/>
          <w:noProof w:val="0"/>
          <w:color w:val="auto"/>
          <w:rtl/>
          <w:lang w:eastAsia="en-US"/>
        </w:rPr>
        <w:t>_</w:t>
      </w:r>
      <w:r w:rsidR="00C97663" w:rsidRPr="000B759E">
        <w:rPr>
          <w:rFonts w:ascii="Traditional Arabic" w:hAnsi="Traditional Arabic" w:cs="CTraditional Arabic" w:hint="cs"/>
          <w:noProof w:val="0"/>
          <w:color w:val="auto"/>
          <w:rtl/>
          <w:lang w:eastAsia="en-US"/>
        </w:rPr>
        <w:t>ب</w:t>
      </w:r>
      <w:r>
        <w:rPr>
          <w:rFonts w:ascii="Traditional Arabic" w:hAnsi="Traditional Arabic" w:hint="cs"/>
          <w:noProof w:val="0"/>
          <w:color w:val="auto"/>
          <w:rtl/>
          <w:lang w:eastAsia="en-US"/>
        </w:rPr>
        <w:t>_</w:t>
      </w:r>
      <w:r w:rsidR="00C97663" w:rsidRPr="000B759E">
        <w:rPr>
          <w:rFonts w:ascii="Traditional Arabic" w:hAnsi="Traditional Arabic" w:hint="cs"/>
          <w:noProof w:val="0"/>
          <w:color w:val="auto"/>
          <w:rtl/>
          <w:lang w:eastAsia="en-US"/>
        </w:rPr>
        <w:t xml:space="preserve">، عن رسول الله </w:t>
      </w:r>
      <w:r w:rsidR="00C97663" w:rsidRPr="000B759E">
        <w:rPr>
          <w:rFonts w:ascii="Traditional Arabic" w:hAnsi="Traditional Arabic" w:cs="CTraditional Arabic" w:hint="cs"/>
          <w:noProof w:val="0"/>
          <w:color w:val="auto"/>
          <w:rtl/>
          <w:lang w:eastAsia="en-US"/>
        </w:rPr>
        <w:t>&gt;</w:t>
      </w:r>
      <w:r w:rsidR="00C97663" w:rsidRPr="000B759E">
        <w:rPr>
          <w:rFonts w:ascii="Traditional Arabic" w:hAnsi="Traditional Arabic" w:hint="cs"/>
          <w:noProof w:val="0"/>
          <w:color w:val="auto"/>
          <w:rtl/>
          <w:lang w:eastAsia="en-US"/>
        </w:rPr>
        <w:t xml:space="preserve"> قال:"</w:t>
      </w:r>
      <w:r w:rsidR="00C97663" w:rsidRPr="000B759E">
        <w:rPr>
          <w:rFonts w:ascii="Traditional Arabic" w:hAnsi="Traditional Arabic"/>
          <w:noProof w:val="0"/>
          <w:color w:val="auto"/>
          <w:rtl/>
          <w:lang w:eastAsia="en-US"/>
        </w:rPr>
        <w:t>إذا ت</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باي</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ع الرجلان</w:t>
      </w:r>
      <w:r w:rsidR="00B76414">
        <w:rPr>
          <w:rFonts w:ascii="Traditional Arabic" w:hAnsi="Traditional Arabic"/>
          <w:noProof w:val="0"/>
          <w:color w:val="auto"/>
          <w:rtl/>
          <w:lang w:eastAsia="en-US"/>
        </w:rPr>
        <w:t>،</w:t>
      </w:r>
      <w:r w:rsidR="00C97663" w:rsidRPr="000B759E">
        <w:rPr>
          <w:rFonts w:ascii="Traditional Arabic" w:hAnsi="Traditional Arabic"/>
          <w:noProof w:val="0"/>
          <w:color w:val="auto"/>
          <w:rtl/>
          <w:lang w:eastAsia="en-US"/>
        </w:rPr>
        <w:t xml:space="preserve"> فكل</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 xml:space="preserve"> واحد</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 xml:space="preserve"> منهما بالخ</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 xml:space="preserve">يار ما </w:t>
      </w:r>
      <w:r w:rsidR="006A4CA1">
        <w:rPr>
          <w:rFonts w:ascii="Traditional Arabic" w:hAnsi="Traditional Arabic" w:hint="cs"/>
          <w:noProof w:val="0"/>
          <w:color w:val="auto"/>
          <w:rtl/>
          <w:lang w:eastAsia="en-US" w:bidi="ar-DZ"/>
        </w:rPr>
        <w:t>ل</w:t>
      </w:r>
      <w:r w:rsidR="00C97663" w:rsidRPr="000B759E">
        <w:rPr>
          <w:rFonts w:ascii="Traditional Arabic" w:hAnsi="Traditional Arabic"/>
          <w:noProof w:val="0"/>
          <w:color w:val="auto"/>
          <w:rtl/>
          <w:lang w:eastAsia="en-US"/>
        </w:rPr>
        <w:t>م يتفر</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قا وكانا جميعا</w:t>
      </w:r>
      <w:r w:rsidR="00B76414">
        <w:rPr>
          <w:rFonts w:ascii="Traditional Arabic" w:hAnsi="Traditional Arabic"/>
          <w:noProof w:val="0"/>
          <w:color w:val="auto"/>
          <w:rtl/>
          <w:lang w:eastAsia="en-US"/>
        </w:rPr>
        <w:t>،</w:t>
      </w:r>
      <w:r w:rsidR="00AB0B9E">
        <w:rPr>
          <w:rFonts w:ascii="Traditional Arabic" w:hAnsi="Traditional Arabic"/>
          <w:noProof w:val="0"/>
          <w:color w:val="auto"/>
          <w:rtl/>
          <w:lang w:eastAsia="en-US"/>
        </w:rPr>
        <w:fldChar w:fldCharType="begin"/>
      </w:r>
      <w:r w:rsidR="006A4CA1" w:rsidRPr="00C85F0F">
        <w:instrText>XE</w:instrText>
      </w:r>
      <w:r w:rsidR="006A4CA1" w:rsidRPr="00C85F0F">
        <w:rPr>
          <w:rtl/>
        </w:rPr>
        <w:instrText xml:space="preserve"> "</w:instrText>
      </w:r>
      <w:r w:rsidR="006A4CA1" w:rsidRPr="00C85F0F">
        <w:rPr>
          <w:rFonts w:ascii="Traditional Arabic" w:hAnsi="Traditional Arabic"/>
          <w:noProof w:val="0"/>
          <w:color w:val="auto"/>
          <w:rtl/>
          <w:lang w:eastAsia="en-US"/>
        </w:rPr>
        <w:instrText>إذا ت</w:instrText>
      </w:r>
      <w:r w:rsidR="006A4CA1" w:rsidRPr="00C85F0F">
        <w:rPr>
          <w:rFonts w:ascii="Traditional Arabic" w:hAnsi="Traditional Arabic" w:hint="cs"/>
          <w:noProof w:val="0"/>
          <w:color w:val="auto"/>
          <w:rtl/>
          <w:lang w:eastAsia="en-US"/>
        </w:rPr>
        <w:instrText>َ</w:instrText>
      </w:r>
      <w:r w:rsidR="006A4CA1" w:rsidRPr="00C85F0F">
        <w:rPr>
          <w:rFonts w:ascii="Traditional Arabic" w:hAnsi="Traditional Arabic"/>
          <w:noProof w:val="0"/>
          <w:color w:val="auto"/>
          <w:rtl/>
          <w:lang w:eastAsia="en-US"/>
        </w:rPr>
        <w:instrText>باي</w:instrText>
      </w:r>
      <w:r w:rsidR="006A4CA1" w:rsidRPr="00C85F0F">
        <w:rPr>
          <w:rFonts w:ascii="Traditional Arabic" w:hAnsi="Traditional Arabic" w:hint="cs"/>
          <w:noProof w:val="0"/>
          <w:color w:val="auto"/>
          <w:rtl/>
          <w:lang w:eastAsia="en-US"/>
        </w:rPr>
        <w:instrText>َ</w:instrText>
      </w:r>
      <w:r w:rsidR="006A4CA1" w:rsidRPr="00C85F0F">
        <w:rPr>
          <w:rFonts w:ascii="Traditional Arabic" w:hAnsi="Traditional Arabic"/>
          <w:noProof w:val="0"/>
          <w:color w:val="auto"/>
          <w:rtl/>
          <w:lang w:eastAsia="en-US"/>
        </w:rPr>
        <w:instrText>ع الرجلان، فكل</w:instrText>
      </w:r>
      <w:r w:rsidR="006A4CA1" w:rsidRPr="00C85F0F">
        <w:rPr>
          <w:rFonts w:ascii="Traditional Arabic" w:hAnsi="Traditional Arabic" w:hint="cs"/>
          <w:noProof w:val="0"/>
          <w:color w:val="auto"/>
          <w:rtl/>
          <w:lang w:eastAsia="en-US"/>
        </w:rPr>
        <w:instrText>ُّ</w:instrText>
      </w:r>
      <w:r w:rsidR="006A4CA1" w:rsidRPr="00C85F0F">
        <w:rPr>
          <w:rFonts w:ascii="Traditional Arabic" w:hAnsi="Traditional Arabic"/>
          <w:noProof w:val="0"/>
          <w:color w:val="auto"/>
          <w:rtl/>
          <w:lang w:eastAsia="en-US"/>
        </w:rPr>
        <w:instrText xml:space="preserve"> واحد</w:instrText>
      </w:r>
      <w:r w:rsidR="006A4CA1" w:rsidRPr="00C85F0F">
        <w:rPr>
          <w:rFonts w:ascii="Traditional Arabic" w:hAnsi="Traditional Arabic" w:hint="cs"/>
          <w:noProof w:val="0"/>
          <w:color w:val="auto"/>
          <w:rtl/>
          <w:lang w:eastAsia="en-US"/>
        </w:rPr>
        <w:instrText>ٍ</w:instrText>
      </w:r>
      <w:r w:rsidR="006A4CA1" w:rsidRPr="00C85F0F">
        <w:rPr>
          <w:rFonts w:ascii="Traditional Arabic" w:hAnsi="Traditional Arabic"/>
          <w:noProof w:val="0"/>
          <w:color w:val="auto"/>
          <w:rtl/>
          <w:lang w:eastAsia="en-US"/>
        </w:rPr>
        <w:instrText xml:space="preserve"> منهما بالخ</w:instrText>
      </w:r>
      <w:r w:rsidR="006A4CA1" w:rsidRPr="00C85F0F">
        <w:rPr>
          <w:rFonts w:ascii="Traditional Arabic" w:hAnsi="Traditional Arabic" w:hint="cs"/>
          <w:noProof w:val="0"/>
          <w:color w:val="auto"/>
          <w:rtl/>
          <w:lang w:eastAsia="en-US"/>
        </w:rPr>
        <w:instrText>ِ</w:instrText>
      </w:r>
      <w:r w:rsidR="006A4CA1" w:rsidRPr="00C85F0F">
        <w:rPr>
          <w:rFonts w:ascii="Traditional Arabic" w:hAnsi="Traditional Arabic"/>
          <w:noProof w:val="0"/>
          <w:color w:val="auto"/>
          <w:rtl/>
          <w:lang w:eastAsia="en-US"/>
        </w:rPr>
        <w:instrText xml:space="preserve">يار ما </w:instrText>
      </w:r>
      <w:r w:rsidR="006A4CA1" w:rsidRPr="00C85F0F">
        <w:rPr>
          <w:rFonts w:ascii="Traditional Arabic" w:hAnsi="Traditional Arabic" w:hint="cs"/>
          <w:noProof w:val="0"/>
          <w:color w:val="auto"/>
          <w:rtl/>
          <w:lang w:eastAsia="en-US"/>
        </w:rPr>
        <w:instrText>ل</w:instrText>
      </w:r>
      <w:r w:rsidR="006A4CA1" w:rsidRPr="00C85F0F">
        <w:rPr>
          <w:rFonts w:ascii="Traditional Arabic" w:hAnsi="Traditional Arabic"/>
          <w:noProof w:val="0"/>
          <w:color w:val="auto"/>
          <w:rtl/>
          <w:lang w:eastAsia="en-US"/>
        </w:rPr>
        <w:instrText>م يتفر</w:instrText>
      </w:r>
      <w:r w:rsidR="006A4CA1" w:rsidRPr="00C85F0F">
        <w:rPr>
          <w:rFonts w:ascii="Traditional Arabic" w:hAnsi="Traditional Arabic" w:hint="cs"/>
          <w:noProof w:val="0"/>
          <w:color w:val="auto"/>
          <w:rtl/>
          <w:lang w:eastAsia="en-US"/>
        </w:rPr>
        <w:instrText>َّ</w:instrText>
      </w:r>
      <w:r w:rsidR="006A4CA1" w:rsidRPr="00C85F0F">
        <w:rPr>
          <w:rFonts w:ascii="Traditional Arabic" w:hAnsi="Traditional Arabic"/>
          <w:noProof w:val="0"/>
          <w:color w:val="auto"/>
          <w:rtl/>
          <w:lang w:eastAsia="en-US"/>
        </w:rPr>
        <w:instrText>قا وكانا جميعا،</w:instrText>
      </w:r>
      <w:r w:rsidR="006A4CA1" w:rsidRPr="00C85F0F">
        <w:rPr>
          <w:rtl/>
        </w:rPr>
        <w:instrText xml:space="preserve">" </w:instrText>
      </w:r>
      <w:r w:rsidR="006A4CA1" w:rsidRPr="00C85F0F">
        <w:rPr>
          <w:rtl/>
          <w:lang w:val="fr-FR"/>
        </w:rPr>
        <w:instrText>\</w:instrText>
      </w:r>
      <w:r w:rsidR="006A4CA1" w:rsidRPr="00C85F0F">
        <w:rPr>
          <w:lang w:val="fr-FR"/>
        </w:rPr>
        <w:instrText>f</w:instrText>
      </w:r>
      <w:r w:rsidR="006A4CA1">
        <w:rPr>
          <w:lang w:val="fr-FR"/>
        </w:rPr>
        <w:instrText>h</w:instrText>
      </w:r>
      <w:r w:rsidR="00AB0B9E">
        <w:rPr>
          <w:rFonts w:ascii="Traditional Arabic" w:hAnsi="Traditional Arabic"/>
          <w:noProof w:val="0"/>
          <w:color w:val="auto"/>
          <w:rtl/>
          <w:lang w:eastAsia="en-US"/>
        </w:rPr>
        <w:fldChar w:fldCharType="end"/>
      </w:r>
      <w:r w:rsidR="00C97663" w:rsidRPr="000B759E">
        <w:rPr>
          <w:rFonts w:ascii="Traditional Arabic" w:hAnsi="Traditional Arabic"/>
          <w:noProof w:val="0"/>
          <w:color w:val="auto"/>
          <w:rtl/>
          <w:lang w:eastAsia="en-US"/>
        </w:rPr>
        <w:t xml:space="preserve"> أو يخي</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ر</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 xml:space="preserve"> أحد</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هما الآخر</w:t>
      </w:r>
      <w:r w:rsidR="00B76414">
        <w:rPr>
          <w:rFonts w:ascii="Traditional Arabic" w:hAnsi="Traditional Arabic"/>
          <w:noProof w:val="0"/>
          <w:color w:val="auto"/>
          <w:rtl/>
          <w:lang w:eastAsia="en-US"/>
        </w:rPr>
        <w:t>،</w:t>
      </w:r>
      <w:r w:rsidR="00C97663" w:rsidRPr="000B759E">
        <w:rPr>
          <w:rFonts w:ascii="Traditional Arabic" w:hAnsi="Traditional Arabic"/>
          <w:noProof w:val="0"/>
          <w:color w:val="auto"/>
          <w:rtl/>
          <w:lang w:eastAsia="en-US"/>
        </w:rPr>
        <w:t xml:space="preserve"> فإن خي</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ر أحدهما الآخر فتبايعا على ذلك فقد و</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ج</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ب البيع</w:t>
      </w:r>
      <w:r w:rsidR="00B76414">
        <w:rPr>
          <w:rFonts w:ascii="Traditional Arabic" w:hAnsi="Traditional Arabic"/>
          <w:noProof w:val="0"/>
          <w:color w:val="auto"/>
          <w:rtl/>
          <w:lang w:eastAsia="en-US"/>
        </w:rPr>
        <w:t>،</w:t>
      </w:r>
      <w:r w:rsidR="00C97663" w:rsidRPr="000B759E">
        <w:rPr>
          <w:rFonts w:ascii="Traditional Arabic" w:hAnsi="Traditional Arabic"/>
          <w:noProof w:val="0"/>
          <w:color w:val="auto"/>
          <w:rtl/>
          <w:lang w:eastAsia="en-US"/>
        </w:rPr>
        <w:t xml:space="preserve"> وإن تفر</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قا بعد أن تباي</w:t>
      </w:r>
      <w:r w:rsidR="00C97663">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عا</w:t>
      </w:r>
      <w:r w:rsidR="00B76414">
        <w:rPr>
          <w:rFonts w:ascii="Traditional Arabic" w:hAnsi="Traditional Arabic"/>
          <w:noProof w:val="0"/>
          <w:color w:val="auto"/>
          <w:rtl/>
          <w:lang w:eastAsia="en-US"/>
        </w:rPr>
        <w:t>،</w:t>
      </w:r>
      <w:r w:rsidR="00C97663" w:rsidRPr="000B759E">
        <w:rPr>
          <w:rFonts w:ascii="Traditional Arabic" w:hAnsi="Traditional Arabic"/>
          <w:noProof w:val="0"/>
          <w:color w:val="auto"/>
          <w:rtl/>
          <w:lang w:eastAsia="en-US"/>
        </w:rPr>
        <w:t xml:space="preserve"> ولم يترك واحد</w:t>
      </w:r>
      <w:r w:rsidR="00C97663" w:rsidRPr="000B759E">
        <w:rPr>
          <w:rFonts w:ascii="Traditional Arabic" w:hAnsi="Traditional Arabic" w:hint="cs"/>
          <w:noProof w:val="0"/>
          <w:color w:val="auto"/>
          <w:rtl/>
          <w:lang w:eastAsia="en-US"/>
        </w:rPr>
        <w:t>ٌ</w:t>
      </w:r>
      <w:r w:rsidR="00C97663" w:rsidRPr="000B759E">
        <w:rPr>
          <w:rFonts w:ascii="Traditional Arabic" w:hAnsi="Traditional Arabic"/>
          <w:noProof w:val="0"/>
          <w:color w:val="auto"/>
          <w:rtl/>
          <w:lang w:eastAsia="en-US"/>
        </w:rPr>
        <w:t xml:space="preserve"> منهما البيع فقد وجب البيع</w:t>
      </w:r>
      <w:r w:rsidR="00C97663" w:rsidRPr="000B759E">
        <w:rPr>
          <w:rFonts w:ascii="Traditional Arabic" w:hAnsi="Traditional Arabic" w:hint="cs"/>
          <w:noProof w:val="0"/>
          <w:color w:val="auto"/>
          <w:rtl/>
          <w:lang w:eastAsia="en-US"/>
        </w:rPr>
        <w:t>"</w:t>
      </w:r>
      <w:r w:rsidR="00C97663" w:rsidRPr="00C821A1">
        <w:rPr>
          <w:rStyle w:val="af1"/>
          <w:szCs w:val="32"/>
          <w:rtl/>
        </w:rPr>
        <w:t>(</w:t>
      </w:r>
      <w:r w:rsidR="00C97663" w:rsidRPr="00C821A1">
        <w:rPr>
          <w:rStyle w:val="af1"/>
          <w:szCs w:val="32"/>
          <w:rtl/>
        </w:rPr>
        <w:footnoteReference w:id="1612"/>
      </w:r>
      <w:r w:rsidR="00C97663" w:rsidRPr="00C821A1">
        <w:rPr>
          <w:rStyle w:val="af1"/>
          <w:szCs w:val="32"/>
          <w:rtl/>
        </w:rPr>
        <w:t>)</w:t>
      </w:r>
      <w:r w:rsidR="00C97663" w:rsidRPr="000B759E">
        <w:rPr>
          <w:rFonts w:ascii="Traditional Arabic" w:hAnsi="Traditional Arabic" w:hint="cs"/>
          <w:noProof w:val="0"/>
          <w:color w:val="auto"/>
          <w:rtl/>
          <w:lang w:eastAsia="en-US"/>
        </w:rPr>
        <w:t>.</w:t>
      </w:r>
    </w:p>
    <w:p w:rsidR="00F228A9" w:rsidRDefault="00C97663" w:rsidP="00597C20">
      <w:pPr>
        <w:pStyle w:val="53"/>
        <w:rPr>
          <w:rtl/>
        </w:rPr>
      </w:pPr>
      <w:r w:rsidRPr="0000527D">
        <w:rPr>
          <w:rFonts w:hint="cs"/>
          <w:rtl/>
        </w:rPr>
        <w:t>وجه الدلالة:</w:t>
      </w:r>
    </w:p>
    <w:p w:rsidR="00065E4B" w:rsidRPr="00F60BF3" w:rsidRDefault="00C97663" w:rsidP="00597C20">
      <w:pPr>
        <w:widowControl/>
        <w:autoSpaceDE w:val="0"/>
        <w:autoSpaceDN w:val="0"/>
        <w:adjustRightInd w:val="0"/>
        <w:ind w:firstLine="720"/>
        <w:rPr>
          <w:rFonts w:ascii="Traditional Arabic" w:hAnsi="Traditional Arabic"/>
          <w:noProof w:val="0"/>
          <w:color w:val="auto"/>
          <w:rtl/>
          <w:lang w:eastAsia="en-US"/>
        </w:rPr>
      </w:pPr>
      <w:r w:rsidRPr="00F60BF3">
        <w:rPr>
          <w:rFonts w:ascii="Traditional Arabic" w:hAnsi="Traditional Arabic" w:hint="cs"/>
          <w:noProof w:val="0"/>
          <w:color w:val="auto"/>
          <w:rtl/>
          <w:lang w:eastAsia="en-US"/>
        </w:rPr>
        <w:t xml:space="preserve">يُستفاد من قوله </w:t>
      </w:r>
      <w:r w:rsidRPr="00F60BF3">
        <w:rPr>
          <w:rFonts w:ascii="Traditional Arabic" w:hAnsi="Traditional Arabic" w:cs="CTraditional Arabic" w:hint="cs"/>
          <w:noProof w:val="0"/>
          <w:color w:val="auto"/>
          <w:rtl/>
          <w:lang w:eastAsia="en-US"/>
        </w:rPr>
        <w:t>&gt;</w:t>
      </w:r>
      <w:r w:rsidRPr="00F60BF3">
        <w:rPr>
          <w:rFonts w:ascii="Traditional Arabic" w:hAnsi="Traditional Arabic" w:hint="cs"/>
          <w:noProof w:val="0"/>
          <w:color w:val="auto"/>
          <w:rtl/>
          <w:lang w:eastAsia="en-US"/>
        </w:rPr>
        <w:t xml:space="preserve">:"أو يخير أحدهما الآخر" </w:t>
      </w:r>
      <w:r w:rsidRPr="00022B3E">
        <w:rPr>
          <w:rFonts w:ascii="Traditional Arabic" w:hAnsi="Traditional Arabic" w:hint="cs"/>
          <w:noProof w:val="0"/>
          <w:color w:val="auto"/>
          <w:rtl/>
          <w:lang w:eastAsia="en-US"/>
        </w:rPr>
        <w:t>أن الحقَّ الخاصَّ لآدَمِيٍّ يجوز له إسقاطُه</w:t>
      </w:r>
      <w:r w:rsidRPr="00F60BF3">
        <w:rPr>
          <w:rFonts w:ascii="Traditional Arabic" w:hAnsi="Traditional Arabic" w:hint="cs"/>
          <w:noProof w:val="0"/>
          <w:color w:val="auto"/>
          <w:rtl/>
          <w:lang w:eastAsia="en-US"/>
        </w:rPr>
        <w:t>؛ إذ معنى أن يخير أحدهما الآخر: أن يقول: الخيار لك وحدك، وذلك بأن يَتنازَل عن حقه في الخيار</w:t>
      </w:r>
      <w:r w:rsidRPr="00C821A1">
        <w:rPr>
          <w:rStyle w:val="af1"/>
          <w:szCs w:val="32"/>
          <w:rtl/>
        </w:rPr>
        <w:t>(</w:t>
      </w:r>
      <w:r w:rsidRPr="00C821A1">
        <w:rPr>
          <w:rStyle w:val="af1"/>
          <w:szCs w:val="32"/>
          <w:rtl/>
        </w:rPr>
        <w:footnoteReference w:id="1613"/>
      </w:r>
      <w:r w:rsidRPr="00C821A1">
        <w:rPr>
          <w:rStyle w:val="af1"/>
          <w:szCs w:val="32"/>
          <w:rtl/>
        </w:rPr>
        <w:t>)</w:t>
      </w:r>
      <w:r w:rsidRPr="00F60BF3">
        <w:rPr>
          <w:rFonts w:ascii="Traditional Arabic" w:hAnsi="Traditional Arabic" w:hint="cs"/>
          <w:noProof w:val="0"/>
          <w:color w:val="auto"/>
          <w:rtl/>
          <w:lang w:eastAsia="en-US"/>
        </w:rPr>
        <w:t>.</w:t>
      </w:r>
    </w:p>
    <w:p w:rsidR="00022B3E" w:rsidRDefault="00065E4B" w:rsidP="00597C20">
      <w:pPr>
        <w:ind w:firstLine="720"/>
        <w:rPr>
          <w:rtl/>
        </w:rPr>
      </w:pPr>
      <w:r>
        <w:rPr>
          <w:rFonts w:hint="cs"/>
          <w:b/>
          <w:bCs/>
          <w:rtl/>
        </w:rPr>
        <w:t>و</w:t>
      </w:r>
      <w:r w:rsidR="00C97663">
        <w:rPr>
          <w:rFonts w:hint="cs"/>
          <w:rtl/>
        </w:rPr>
        <w:t>يبدو- والله أعلم- أن النصوص الدالة على اشتراط الرضا تصلح دليلاً لهذه القاعدة</w:t>
      </w:r>
      <w:r w:rsidR="00C97663" w:rsidRPr="00C821A1">
        <w:rPr>
          <w:rStyle w:val="af1"/>
          <w:szCs w:val="32"/>
          <w:rtl/>
        </w:rPr>
        <w:t>(</w:t>
      </w:r>
      <w:r w:rsidR="00C97663" w:rsidRPr="00C821A1">
        <w:rPr>
          <w:rStyle w:val="af1"/>
          <w:szCs w:val="32"/>
          <w:rtl/>
        </w:rPr>
        <w:footnoteReference w:id="1614"/>
      </w:r>
      <w:r w:rsidR="00C97663" w:rsidRPr="00C821A1">
        <w:rPr>
          <w:rStyle w:val="af1"/>
          <w:szCs w:val="32"/>
          <w:rtl/>
        </w:rPr>
        <w:t>)</w:t>
      </w:r>
      <w:r w:rsidR="00022B3E">
        <w:rPr>
          <w:rFonts w:hint="cs"/>
          <w:rtl/>
        </w:rPr>
        <w:t>.</w:t>
      </w:r>
    </w:p>
    <w:p w:rsidR="00065E4B" w:rsidRPr="0038761A" w:rsidRDefault="00C97663" w:rsidP="00597C20">
      <w:pPr>
        <w:ind w:firstLine="720"/>
        <w:rPr>
          <w:rtl/>
        </w:rPr>
      </w:pPr>
      <w:r w:rsidRPr="00022B3E">
        <w:rPr>
          <w:rFonts w:ascii="Traditional Arabic" w:hAnsi="Traditional Arabic" w:hint="cs"/>
          <w:noProof w:val="0"/>
          <w:color w:val="auto"/>
          <w:rtl/>
          <w:lang w:eastAsia="en-US"/>
        </w:rPr>
        <w:t xml:space="preserve">كما يمكن أن يُستأنَس كذلك بما ذكره العلماء تعليلاً لِعدَم سقوط الحقوق إلا برضا </w:t>
      </w:r>
      <w:r w:rsidRPr="00022B3E">
        <w:rPr>
          <w:rFonts w:ascii="Traditional Arabic" w:hAnsi="Traditional Arabic" w:hint="cs"/>
          <w:noProof w:val="0"/>
          <w:color w:val="auto"/>
          <w:rtl/>
          <w:lang w:eastAsia="en-US"/>
        </w:rPr>
        <w:lastRenderedPageBreak/>
        <w:t>أصحابها</w:t>
      </w:r>
      <w:r w:rsidRPr="000B759E">
        <w:rPr>
          <w:rFonts w:ascii="Traditional Arabic" w:hAnsi="Traditional Arabic" w:hint="cs"/>
          <w:b/>
          <w:bCs/>
          <w:noProof w:val="0"/>
          <w:color w:val="auto"/>
          <w:rtl/>
          <w:lang w:eastAsia="en-US"/>
        </w:rPr>
        <w:t>،</w:t>
      </w:r>
      <w:r>
        <w:rPr>
          <w:rFonts w:ascii="Traditional Arabic" w:hAnsi="Traditional Arabic" w:hint="cs"/>
          <w:noProof w:val="0"/>
          <w:color w:val="auto"/>
          <w:rtl/>
          <w:lang w:eastAsia="en-US"/>
        </w:rPr>
        <w:t xml:space="preserve"> ومن ذلك ما ذكره  القرافي </w:t>
      </w:r>
      <w:r w:rsidR="00022B3E">
        <w:rPr>
          <w:rFonts w:ascii="Traditional Arabic" w:hAnsi="Traditional Arabic" w:hint="cs"/>
          <w:noProof w:val="0"/>
          <w:color w:val="auto"/>
          <w:rtl/>
          <w:lang w:eastAsia="en-US"/>
        </w:rPr>
        <w:t>_</w:t>
      </w:r>
      <w:r w:rsidRPr="005D5694">
        <w:rPr>
          <w:rFonts w:ascii="Traditional Arabic" w:hAnsi="Traditional Arabic" w:cs="CTraditional Arabic" w:hint="cs"/>
          <w:noProof w:val="0"/>
          <w:color w:val="auto"/>
          <w:rtl/>
          <w:lang w:eastAsia="en-US"/>
        </w:rPr>
        <w:t>/</w:t>
      </w:r>
      <w:r w:rsidR="00022B3E">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عند</w:t>
      </w:r>
      <w:r w:rsidR="00D564C3">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بيانه </w:t>
      </w:r>
      <w:r w:rsidR="00D564C3">
        <w:rPr>
          <w:rFonts w:ascii="Traditional Arabic" w:hAnsi="Traditional Arabic" w:hint="cs"/>
          <w:noProof w:val="0"/>
          <w:rtl/>
          <w:lang w:eastAsia="en-US"/>
        </w:rPr>
        <w:t>ل</w:t>
      </w:r>
      <w:r>
        <w:rPr>
          <w:rFonts w:ascii="Traditional Arabic" w:hAnsi="Traditional Arabic" w:hint="cs"/>
          <w:noProof w:val="0"/>
          <w:rtl/>
          <w:lang w:eastAsia="en-US"/>
        </w:rPr>
        <w:t>أ</w:t>
      </w:r>
      <w:r>
        <w:rPr>
          <w:rFonts w:ascii="Traditional Arabic" w:hAnsi="Traditional Arabic"/>
          <w:noProof w:val="0"/>
          <w:rtl/>
          <w:lang w:eastAsia="en-US"/>
        </w:rPr>
        <w:t>وج</w:t>
      </w:r>
      <w:r w:rsidR="00D564C3">
        <w:rPr>
          <w:rFonts w:ascii="Traditional Arabic" w:hAnsi="Traditional Arabic" w:hint="cs"/>
          <w:noProof w:val="0"/>
          <w:rtl/>
          <w:lang w:eastAsia="en-US"/>
        </w:rPr>
        <w:t>ُ</w:t>
      </w:r>
      <w:r>
        <w:rPr>
          <w:rFonts w:ascii="Traditional Arabic" w:hAnsi="Traditional Arabic"/>
          <w:noProof w:val="0"/>
          <w:rtl/>
          <w:lang w:eastAsia="en-US"/>
        </w:rPr>
        <w:t>ه الفر</w:t>
      </w:r>
      <w:r w:rsidR="00D564C3">
        <w:rPr>
          <w:rFonts w:ascii="Traditional Arabic" w:hAnsi="Traditional Arabic" w:hint="cs"/>
          <w:noProof w:val="0"/>
          <w:rtl/>
          <w:lang w:eastAsia="en-US"/>
        </w:rPr>
        <w:t>ْ</w:t>
      </w:r>
      <w:r>
        <w:rPr>
          <w:rFonts w:ascii="Traditional Arabic" w:hAnsi="Traditional Arabic"/>
          <w:noProof w:val="0"/>
          <w:rtl/>
          <w:lang w:eastAsia="en-US"/>
        </w:rPr>
        <w:t>ق</w:t>
      </w:r>
      <w:r w:rsidRPr="00E122A8">
        <w:rPr>
          <w:rFonts w:ascii="Traditional Arabic" w:hAnsi="Traditional Arabic"/>
          <w:noProof w:val="0"/>
          <w:rtl/>
          <w:lang w:eastAsia="en-US"/>
        </w:rPr>
        <w:t xml:space="preserve"> بين حق ا</w:t>
      </w:r>
      <w:r>
        <w:rPr>
          <w:rFonts w:ascii="Traditional Arabic" w:hAnsi="Traditional Arabic"/>
          <w:noProof w:val="0"/>
          <w:rtl/>
          <w:lang w:eastAsia="en-US"/>
        </w:rPr>
        <w:t>لله تعالى وحق الآدميين</w:t>
      </w:r>
      <w:r>
        <w:rPr>
          <w:rFonts w:ascii="Traditional Arabic" w:hAnsi="Traditional Arabic" w:hint="cs"/>
          <w:noProof w:val="0"/>
          <w:rtl/>
          <w:lang w:eastAsia="en-US"/>
        </w:rPr>
        <w:t xml:space="preserve">، حيث </w:t>
      </w:r>
      <w:r w:rsidR="00022B3E">
        <w:rPr>
          <w:rFonts w:ascii="Traditional Arabic" w:hAnsi="Traditional Arabic" w:hint="cs"/>
          <w:noProof w:val="0"/>
          <w:rtl/>
          <w:lang w:eastAsia="en-US"/>
        </w:rPr>
        <w:t xml:space="preserve">إنه </w:t>
      </w:r>
      <w:r>
        <w:rPr>
          <w:rFonts w:ascii="Traditional Arabic" w:hAnsi="Traditional Arabic" w:hint="cs"/>
          <w:noProof w:val="0"/>
          <w:rtl/>
          <w:lang w:eastAsia="en-US"/>
        </w:rPr>
        <w:t>قال: (</w:t>
      </w:r>
      <w:r>
        <w:rPr>
          <w:rFonts w:ascii="Traditional Arabic" w:hAnsi="Traditional Arabic"/>
          <w:noProof w:val="0"/>
          <w:rtl/>
          <w:lang w:eastAsia="en-US"/>
        </w:rPr>
        <w:t>و</w:t>
      </w:r>
      <w:r w:rsidRPr="00E122A8">
        <w:rPr>
          <w:rFonts w:ascii="Traditional Arabic" w:hAnsi="Traditional Arabic"/>
          <w:noProof w:val="0"/>
          <w:rtl/>
          <w:lang w:eastAsia="en-US"/>
        </w:rPr>
        <w:t>ثاني</w:t>
      </w:r>
      <w:r>
        <w:rPr>
          <w:rFonts w:ascii="Traditional Arabic" w:hAnsi="Traditional Arabic" w:hint="cs"/>
          <w:noProof w:val="0"/>
          <w:rtl/>
          <w:lang w:eastAsia="en-US"/>
        </w:rPr>
        <w:t>هما</w:t>
      </w:r>
      <w:r w:rsidRPr="00E122A8">
        <w:rPr>
          <w:rFonts w:ascii="Traditional Arabic" w:hAnsi="Traditional Arabic"/>
          <w:noProof w:val="0"/>
          <w:rtl/>
          <w:lang w:eastAsia="en-US"/>
        </w:rPr>
        <w:t>: أن الله تعالى كريم جواد</w:t>
      </w:r>
      <w:r>
        <w:rPr>
          <w:rFonts w:ascii="Traditional Arabic" w:hAnsi="Traditional Arabic" w:hint="cs"/>
          <w:noProof w:val="0"/>
          <w:rtl/>
          <w:lang w:eastAsia="en-US"/>
        </w:rPr>
        <w:t>ٌ</w:t>
      </w:r>
      <w:r w:rsidRPr="00E122A8">
        <w:rPr>
          <w:rFonts w:ascii="Traditional Arabic" w:hAnsi="Traditional Arabic"/>
          <w:noProof w:val="0"/>
          <w:rtl/>
          <w:lang w:eastAsia="en-US"/>
        </w:rPr>
        <w:t xml:space="preserve"> ت</w:t>
      </w:r>
      <w:r>
        <w:rPr>
          <w:rFonts w:ascii="Traditional Arabic" w:hAnsi="Traditional Arabic" w:hint="cs"/>
          <w:noProof w:val="0"/>
          <w:rtl/>
          <w:lang w:eastAsia="en-US"/>
        </w:rPr>
        <w:t>ُ</w:t>
      </w:r>
      <w:r w:rsidRPr="00E122A8">
        <w:rPr>
          <w:rFonts w:ascii="Traditional Arabic" w:hAnsi="Traditional Arabic"/>
          <w:noProof w:val="0"/>
          <w:rtl/>
          <w:lang w:eastAsia="en-US"/>
        </w:rPr>
        <w:t>ناس</w:t>
      </w:r>
      <w:r>
        <w:rPr>
          <w:rFonts w:ascii="Traditional Arabic" w:hAnsi="Traditional Arabic" w:hint="cs"/>
          <w:noProof w:val="0"/>
          <w:rtl/>
          <w:lang w:eastAsia="en-US"/>
        </w:rPr>
        <w:t>ِ</w:t>
      </w:r>
      <w:r w:rsidRPr="00E122A8">
        <w:rPr>
          <w:rFonts w:ascii="Traditional Arabic" w:hAnsi="Traditional Arabic"/>
          <w:noProof w:val="0"/>
          <w:rtl/>
          <w:lang w:eastAsia="en-US"/>
        </w:rPr>
        <w:t>ب رحمت</w:t>
      </w:r>
      <w:r>
        <w:rPr>
          <w:rFonts w:ascii="Traditional Arabic" w:hAnsi="Traditional Arabic" w:hint="cs"/>
          <w:noProof w:val="0"/>
          <w:rtl/>
          <w:lang w:eastAsia="en-US"/>
        </w:rPr>
        <w:t>ُ</w:t>
      </w:r>
      <w:r w:rsidRPr="00E122A8">
        <w:rPr>
          <w:rFonts w:ascii="Traditional Arabic" w:hAnsi="Traditional Arabic"/>
          <w:noProof w:val="0"/>
          <w:rtl/>
          <w:lang w:eastAsia="en-US"/>
        </w:rPr>
        <w:t>ه المسام</w:t>
      </w:r>
      <w:r>
        <w:rPr>
          <w:rFonts w:ascii="Traditional Arabic" w:hAnsi="Traditional Arabic" w:hint="cs"/>
          <w:noProof w:val="0"/>
          <w:rtl/>
          <w:lang w:eastAsia="en-US"/>
        </w:rPr>
        <w:t>َ</w:t>
      </w:r>
      <w:r w:rsidRPr="00E122A8">
        <w:rPr>
          <w:rFonts w:ascii="Traditional Arabic" w:hAnsi="Traditional Arabic"/>
          <w:noProof w:val="0"/>
          <w:rtl/>
          <w:lang w:eastAsia="en-US"/>
        </w:rPr>
        <w:t>حة</w:t>
      </w:r>
      <w:r>
        <w:rPr>
          <w:rFonts w:ascii="Traditional Arabic" w:hAnsi="Traditional Arabic" w:hint="cs"/>
          <w:noProof w:val="0"/>
          <w:rtl/>
          <w:lang w:eastAsia="en-US"/>
        </w:rPr>
        <w:t>َ</w:t>
      </w:r>
      <w:r w:rsidRPr="00E122A8">
        <w:rPr>
          <w:rFonts w:ascii="Traditional Arabic" w:hAnsi="Traditional Arabic"/>
          <w:noProof w:val="0"/>
          <w:rtl/>
          <w:lang w:eastAsia="en-US"/>
        </w:rPr>
        <w:t xml:space="preserve">، </w:t>
      </w:r>
      <w:r w:rsidRPr="00022B3E">
        <w:rPr>
          <w:rFonts w:ascii="Traditional Arabic" w:hAnsi="Traditional Arabic"/>
          <w:noProof w:val="0"/>
          <w:rtl/>
          <w:lang w:eastAsia="en-US"/>
        </w:rPr>
        <w:t>والعبد بخيل</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 xml:space="preserve"> ضعيف</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 xml:space="preserve"> فناس</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ب ذلك التمس</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ك</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 xml:space="preserve"> بحق</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ه</w:t>
      </w:r>
      <w:r>
        <w:rPr>
          <w:rFonts w:ascii="Traditional Arabic" w:hAnsi="Traditional Arabic" w:hint="cs"/>
          <w:noProof w:val="0"/>
          <w:rtl/>
          <w:lang w:eastAsia="en-US"/>
        </w:rPr>
        <w:t xml:space="preserve">، </w:t>
      </w:r>
      <w:r w:rsidRPr="008A2FD6">
        <w:rPr>
          <w:rFonts w:ascii="Traditional Arabic" w:hAnsi="Traditional Arabic"/>
          <w:noProof w:val="0"/>
          <w:rtl/>
          <w:lang w:eastAsia="en-US"/>
        </w:rPr>
        <w:t>فسقطت حقوق الله تعالى مطلقا</w:t>
      </w:r>
      <w:r>
        <w:rPr>
          <w:rFonts w:ascii="Traditional Arabic" w:hAnsi="Traditional Arabic" w:hint="cs"/>
          <w:noProof w:val="0"/>
          <w:rtl/>
          <w:lang w:eastAsia="en-US"/>
        </w:rPr>
        <w:t>...</w:t>
      </w:r>
      <w:r w:rsidRPr="00022B3E">
        <w:rPr>
          <w:rFonts w:ascii="Traditional Arabic" w:hAnsi="Traditional Arabic"/>
          <w:noProof w:val="0"/>
          <w:rtl/>
          <w:lang w:eastAsia="en-US"/>
        </w:rPr>
        <w:t>ولا يسقط م</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ن حقوق العباد إلا ما تقد</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م</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 xml:space="preserve"> الر</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ض</w:t>
      </w:r>
      <w:r w:rsidRPr="00022B3E">
        <w:rPr>
          <w:rFonts w:ascii="Traditional Arabic" w:hAnsi="Traditional Arabic" w:hint="cs"/>
          <w:noProof w:val="0"/>
          <w:rtl/>
          <w:lang w:eastAsia="en-US"/>
        </w:rPr>
        <w:t>ا</w:t>
      </w:r>
      <w:r w:rsidRPr="00022B3E">
        <w:rPr>
          <w:rFonts w:ascii="Traditional Arabic" w:hAnsi="Traditional Arabic"/>
          <w:noProof w:val="0"/>
          <w:rtl/>
          <w:lang w:eastAsia="en-US"/>
        </w:rPr>
        <w:t xml:space="preserve"> به</w:t>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615"/>
      </w:r>
      <w:r w:rsidRPr="00C821A1">
        <w:rPr>
          <w:rStyle w:val="af1"/>
          <w:szCs w:val="32"/>
          <w:rtl/>
        </w:rPr>
        <w:t>)</w:t>
      </w:r>
      <w:r>
        <w:rPr>
          <w:rFonts w:ascii="Traditional Arabic" w:hAnsi="Traditional Arabic" w:hint="cs"/>
          <w:noProof w:val="0"/>
          <w:color w:val="auto"/>
          <w:rtl/>
          <w:lang w:eastAsia="en-US"/>
        </w:rPr>
        <w:t>.</w:t>
      </w:r>
    </w:p>
    <w:p w:rsidR="00022B3E"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و</w:t>
      </w:r>
      <w:r w:rsidR="00C97663">
        <w:rPr>
          <w:rFonts w:ascii="Traditional Arabic" w:hAnsi="Traditional Arabic" w:hint="cs"/>
          <w:noProof w:val="0"/>
          <w:color w:val="auto"/>
          <w:rtl/>
          <w:lang w:eastAsia="en-US"/>
        </w:rPr>
        <w:t xml:space="preserve">يقول الشيخ ابن عثيمين </w:t>
      </w:r>
      <w:r w:rsidR="00022B3E">
        <w:rPr>
          <w:rFonts w:ascii="Traditional Arabic" w:hAnsi="Traditional Arabic" w:hint="cs"/>
          <w:noProof w:val="0"/>
          <w:color w:val="auto"/>
          <w:rtl/>
          <w:lang w:eastAsia="en-US"/>
        </w:rPr>
        <w:t>_</w:t>
      </w:r>
      <w:r w:rsidR="00C97663" w:rsidRPr="005D5694">
        <w:rPr>
          <w:rFonts w:ascii="Traditional Arabic" w:hAnsi="Traditional Arabic" w:cs="CTraditional Arabic" w:hint="cs"/>
          <w:noProof w:val="0"/>
          <w:color w:val="auto"/>
          <w:rtl/>
          <w:lang w:eastAsia="en-US"/>
        </w:rPr>
        <w:t>/</w:t>
      </w:r>
      <w:r w:rsidR="00022B3E">
        <w:rPr>
          <w:rFonts w:ascii="Traditional Arabic" w:hAnsi="Traditional Arabic" w:hint="cs"/>
          <w:noProof w:val="0"/>
          <w:color w:val="auto"/>
          <w:rtl/>
          <w:lang w:eastAsia="en-US"/>
        </w:rPr>
        <w:t>_</w:t>
      </w:r>
      <w:r w:rsidR="00C97663">
        <w:rPr>
          <w:rFonts w:ascii="Traditional Arabic" w:hAnsi="Traditional Arabic" w:hint="cs"/>
          <w:noProof w:val="0"/>
          <w:color w:val="auto"/>
          <w:rtl/>
          <w:lang w:eastAsia="en-US"/>
        </w:rPr>
        <w:t xml:space="preserve"> في مَعْرِض حديثه عن الشُّفعة</w:t>
      </w:r>
      <w:r w:rsidR="00022B3E">
        <w:rPr>
          <w:rFonts w:ascii="Traditional Arabic" w:hAnsi="Traditional Arabic" w:hint="cs"/>
          <w:noProof w:val="0"/>
          <w:color w:val="auto"/>
          <w:rtl/>
          <w:lang w:eastAsia="en-US"/>
        </w:rPr>
        <w:t>:</w:t>
      </w:r>
      <w:r w:rsidR="00C97663">
        <w:rPr>
          <w:rFonts w:ascii="Traditional Arabic" w:hAnsi="Traditional Arabic" w:hint="cs"/>
          <w:noProof w:val="0"/>
          <w:color w:val="auto"/>
          <w:rtl/>
          <w:lang w:eastAsia="en-US"/>
        </w:rPr>
        <w:t xml:space="preserve"> </w:t>
      </w:r>
    </w:p>
    <w:p w:rsidR="00022B3E" w:rsidRDefault="00B76414"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color w:val="auto"/>
          <w:rtl/>
          <w:lang w:eastAsia="en-US"/>
        </w:rPr>
        <w:t>(</w:t>
      </w:r>
      <w:r w:rsidR="00C97663" w:rsidRPr="00DF2289">
        <w:rPr>
          <w:rFonts w:ascii="Traditional Arabic" w:hAnsi="Traditional Arabic"/>
          <w:noProof w:val="0"/>
          <w:rtl/>
          <w:lang w:eastAsia="en-US"/>
        </w:rPr>
        <w:t>الشفعة حق</w:t>
      </w:r>
      <w:r w:rsidR="00C97663">
        <w:rPr>
          <w:rFonts w:ascii="Traditional Arabic" w:hAnsi="Traditional Arabic" w:hint="cs"/>
          <w:noProof w:val="0"/>
          <w:rtl/>
          <w:lang w:eastAsia="en-US"/>
        </w:rPr>
        <w:t>ٌّ</w:t>
      </w:r>
      <w:r w:rsidR="00C97663" w:rsidRPr="00DF2289">
        <w:rPr>
          <w:rFonts w:ascii="Traditional Arabic" w:hAnsi="Traditional Arabic"/>
          <w:noProof w:val="0"/>
          <w:rtl/>
          <w:lang w:eastAsia="en-US"/>
        </w:rPr>
        <w:t xml:space="preserve"> للشف</w:t>
      </w:r>
      <w:r w:rsidR="00C97663">
        <w:rPr>
          <w:rFonts w:ascii="Traditional Arabic" w:hAnsi="Traditional Arabic"/>
          <w:noProof w:val="0"/>
          <w:rtl/>
          <w:lang w:eastAsia="en-US"/>
        </w:rPr>
        <w:t>يع لا تسقط إلا بما يدل على رضاه</w:t>
      </w:r>
      <w:r w:rsidR="00C97663">
        <w:rPr>
          <w:rFonts w:ascii="Traditional Arabic" w:hAnsi="Traditional Arabic" w:hint="cs"/>
          <w:noProof w:val="0"/>
          <w:rtl/>
          <w:lang w:eastAsia="en-US"/>
        </w:rPr>
        <w:t>.</w:t>
      </w:r>
    </w:p>
    <w:p w:rsidR="00022B3E" w:rsidRDefault="00C97663" w:rsidP="00597C20">
      <w:pPr>
        <w:widowControl/>
        <w:autoSpaceDE w:val="0"/>
        <w:autoSpaceDN w:val="0"/>
        <w:adjustRightInd w:val="0"/>
        <w:ind w:firstLine="720"/>
        <w:rPr>
          <w:rFonts w:ascii="Traditional Arabic" w:hAnsi="Traditional Arabic"/>
          <w:noProof w:val="0"/>
          <w:rtl/>
          <w:lang w:eastAsia="en-US"/>
        </w:rPr>
      </w:pPr>
      <w:r w:rsidRPr="00DF2289">
        <w:rPr>
          <w:rFonts w:ascii="Traditional Arabic" w:hAnsi="Traditional Arabic"/>
          <w:noProof w:val="0"/>
          <w:rtl/>
          <w:lang w:eastAsia="en-US"/>
        </w:rPr>
        <w:t>أما كونها حقا للشفيع فهو قضاء ن</w:t>
      </w:r>
      <w:r>
        <w:rPr>
          <w:rFonts w:ascii="Traditional Arabic" w:hAnsi="Traditional Arabic"/>
          <w:noProof w:val="0"/>
          <w:rtl/>
          <w:lang w:eastAsia="en-US"/>
        </w:rPr>
        <w:t>بوي:</w:t>
      </w:r>
      <w:r>
        <w:rPr>
          <w:rFonts w:ascii="Traditional Arabic" w:hAnsi="Traditional Arabic" w:hint="cs"/>
          <w:noProof w:val="0"/>
          <w:rtl/>
          <w:lang w:eastAsia="en-US"/>
        </w:rPr>
        <w:t>"</w:t>
      </w:r>
      <w:r>
        <w:rPr>
          <w:rFonts w:ascii="Traditional Arabic" w:hAnsi="Traditional Arabic"/>
          <w:noProof w:val="0"/>
          <w:rtl/>
          <w:lang w:eastAsia="en-US"/>
        </w:rPr>
        <w:t>قضى</w:t>
      </w:r>
      <w:r>
        <w:rPr>
          <w:rFonts w:ascii="Traditional Arabic" w:hAnsi="Traditional Arabic" w:hint="cs"/>
          <w:noProof w:val="0"/>
          <w:rtl/>
          <w:lang w:eastAsia="en-US"/>
        </w:rPr>
        <w:t xml:space="preserve"> النبي </w:t>
      </w:r>
      <w:r w:rsidRPr="00151CAB">
        <w:rPr>
          <w:rFonts w:ascii="Traditional Arabic" w:hAnsi="Traditional Arabic" w:cs="CTraditional Arabic" w:hint="cs"/>
          <w:noProof w:val="0"/>
          <w:color w:val="auto"/>
          <w:rtl/>
          <w:lang w:eastAsia="en-US"/>
        </w:rPr>
        <w:t>&gt;</w:t>
      </w:r>
      <w:r>
        <w:rPr>
          <w:rFonts w:ascii="Traditional Arabic" w:hAnsi="Traditional Arabic"/>
          <w:noProof w:val="0"/>
          <w:rtl/>
          <w:lang w:eastAsia="en-US"/>
        </w:rPr>
        <w:t xml:space="preserve">بالشفعة في كل ما </w:t>
      </w:r>
      <w:r>
        <w:rPr>
          <w:rFonts w:ascii="Traditional Arabic" w:hAnsi="Traditional Arabic" w:hint="cs"/>
          <w:noProof w:val="0"/>
          <w:rtl/>
          <w:lang w:eastAsia="en-US"/>
        </w:rPr>
        <w:t xml:space="preserve">لم </w:t>
      </w:r>
      <w:r>
        <w:rPr>
          <w:rFonts w:ascii="Traditional Arabic" w:hAnsi="Traditional Arabic"/>
          <w:noProof w:val="0"/>
          <w:rtl/>
          <w:lang w:eastAsia="en-US"/>
        </w:rPr>
        <w:t>ي</w:t>
      </w:r>
      <w:r>
        <w:rPr>
          <w:rFonts w:ascii="Traditional Arabic" w:hAnsi="Traditional Arabic" w:hint="cs"/>
          <w:noProof w:val="0"/>
          <w:rtl/>
          <w:lang w:eastAsia="en-US"/>
        </w:rPr>
        <w:t>ُ</w:t>
      </w:r>
      <w:r>
        <w:rPr>
          <w:rFonts w:ascii="Traditional Arabic" w:hAnsi="Traditional Arabic"/>
          <w:noProof w:val="0"/>
          <w:rtl/>
          <w:lang w:eastAsia="en-US"/>
        </w:rPr>
        <w:t>ق</w:t>
      </w:r>
      <w:r>
        <w:rPr>
          <w:rFonts w:ascii="Traditional Arabic" w:hAnsi="Traditional Arabic" w:hint="cs"/>
          <w:noProof w:val="0"/>
          <w:rtl/>
          <w:lang w:eastAsia="en-US"/>
        </w:rPr>
        <w:t>ْ</w:t>
      </w:r>
      <w:r>
        <w:rPr>
          <w:rFonts w:ascii="Traditional Arabic" w:hAnsi="Traditional Arabic"/>
          <w:noProof w:val="0"/>
          <w:rtl/>
          <w:lang w:eastAsia="en-US"/>
        </w:rPr>
        <w:t>س</w:t>
      </w:r>
      <w:r>
        <w:rPr>
          <w:rFonts w:ascii="Traditional Arabic" w:hAnsi="Traditional Arabic" w:hint="cs"/>
          <w:noProof w:val="0"/>
          <w:rtl/>
          <w:lang w:eastAsia="en-US"/>
        </w:rPr>
        <w:t>َ</w:t>
      </w:r>
      <w:r>
        <w:rPr>
          <w:rFonts w:ascii="Traditional Arabic" w:hAnsi="Traditional Arabic"/>
          <w:noProof w:val="0"/>
          <w:rtl/>
          <w:lang w:eastAsia="en-US"/>
        </w:rPr>
        <w:t>م</w:t>
      </w:r>
      <w:r w:rsidR="00AB0B9E">
        <w:rPr>
          <w:rFonts w:ascii="Traditional Arabic" w:hAnsi="Traditional Arabic"/>
          <w:noProof w:val="0"/>
          <w:rtl/>
          <w:lang w:eastAsia="en-US"/>
        </w:rPr>
        <w:fldChar w:fldCharType="begin"/>
      </w:r>
      <w:r w:rsidR="006A4CA1" w:rsidRPr="00C85F0F">
        <w:instrText>XE</w:instrText>
      </w:r>
      <w:r w:rsidR="006A4CA1" w:rsidRPr="00C85F0F">
        <w:rPr>
          <w:rtl/>
        </w:rPr>
        <w:instrText xml:space="preserve"> "</w:instrText>
      </w:r>
      <w:r w:rsidR="006A4CA1" w:rsidRPr="00C85F0F">
        <w:rPr>
          <w:rFonts w:ascii="Traditional Arabic" w:hAnsi="Traditional Arabic"/>
          <w:noProof w:val="0"/>
          <w:rtl/>
          <w:lang w:eastAsia="en-US"/>
        </w:rPr>
        <w:instrText>قضى</w:instrText>
      </w:r>
      <w:r w:rsidR="006A4CA1" w:rsidRPr="00C85F0F">
        <w:rPr>
          <w:rFonts w:ascii="Traditional Arabic" w:hAnsi="Traditional Arabic" w:hint="cs"/>
          <w:noProof w:val="0"/>
          <w:rtl/>
          <w:lang w:eastAsia="en-US"/>
        </w:rPr>
        <w:instrText xml:space="preserve"> النبي </w:instrText>
      </w:r>
      <w:r w:rsidR="006A4CA1" w:rsidRPr="00C85F0F">
        <w:rPr>
          <w:rFonts w:ascii="Traditional Arabic" w:hAnsi="Traditional Arabic" w:hint="cs"/>
          <w:noProof w:val="0"/>
          <w:color w:val="auto"/>
          <w:rtl/>
          <w:lang w:eastAsia="en-US"/>
        </w:rPr>
        <w:instrText>&gt;</w:instrText>
      </w:r>
      <w:r w:rsidR="006A4CA1" w:rsidRPr="00C85F0F">
        <w:rPr>
          <w:rFonts w:ascii="Traditional Arabic" w:hAnsi="Traditional Arabic"/>
          <w:noProof w:val="0"/>
          <w:rtl/>
          <w:lang w:eastAsia="en-US"/>
        </w:rPr>
        <w:instrText xml:space="preserve">بالشفعة في كل ما </w:instrText>
      </w:r>
      <w:r w:rsidR="006A4CA1" w:rsidRPr="00C85F0F">
        <w:rPr>
          <w:rFonts w:ascii="Traditional Arabic" w:hAnsi="Traditional Arabic" w:hint="cs"/>
          <w:noProof w:val="0"/>
          <w:rtl/>
          <w:lang w:eastAsia="en-US"/>
        </w:rPr>
        <w:instrText xml:space="preserve">لم </w:instrText>
      </w:r>
      <w:r w:rsidR="006A4CA1" w:rsidRPr="00C85F0F">
        <w:rPr>
          <w:rFonts w:ascii="Traditional Arabic" w:hAnsi="Traditional Arabic"/>
          <w:noProof w:val="0"/>
          <w:rtl/>
          <w:lang w:eastAsia="en-US"/>
        </w:rPr>
        <w:instrText>ي</w:instrText>
      </w:r>
      <w:r w:rsidR="006A4CA1" w:rsidRPr="00C85F0F">
        <w:rPr>
          <w:rFonts w:ascii="Traditional Arabic" w:hAnsi="Traditional Arabic" w:hint="cs"/>
          <w:noProof w:val="0"/>
          <w:rtl/>
          <w:lang w:eastAsia="en-US"/>
        </w:rPr>
        <w:instrText>ُ</w:instrText>
      </w:r>
      <w:r w:rsidR="006A4CA1" w:rsidRPr="00C85F0F">
        <w:rPr>
          <w:rFonts w:ascii="Traditional Arabic" w:hAnsi="Traditional Arabic"/>
          <w:noProof w:val="0"/>
          <w:rtl/>
          <w:lang w:eastAsia="en-US"/>
        </w:rPr>
        <w:instrText>ق</w:instrText>
      </w:r>
      <w:r w:rsidR="006A4CA1" w:rsidRPr="00C85F0F">
        <w:rPr>
          <w:rFonts w:ascii="Traditional Arabic" w:hAnsi="Traditional Arabic" w:hint="cs"/>
          <w:noProof w:val="0"/>
          <w:rtl/>
          <w:lang w:eastAsia="en-US"/>
        </w:rPr>
        <w:instrText>ْ</w:instrText>
      </w:r>
      <w:r w:rsidR="006A4CA1" w:rsidRPr="00C85F0F">
        <w:rPr>
          <w:rFonts w:ascii="Traditional Arabic" w:hAnsi="Traditional Arabic"/>
          <w:noProof w:val="0"/>
          <w:rtl/>
          <w:lang w:eastAsia="en-US"/>
        </w:rPr>
        <w:instrText>س</w:instrText>
      </w:r>
      <w:r w:rsidR="006A4CA1" w:rsidRPr="00C85F0F">
        <w:rPr>
          <w:rFonts w:ascii="Traditional Arabic" w:hAnsi="Traditional Arabic" w:hint="cs"/>
          <w:noProof w:val="0"/>
          <w:rtl/>
          <w:lang w:eastAsia="en-US"/>
        </w:rPr>
        <w:instrText>َ</w:instrText>
      </w:r>
      <w:r w:rsidR="006A4CA1" w:rsidRPr="00C85F0F">
        <w:rPr>
          <w:rFonts w:ascii="Traditional Arabic" w:hAnsi="Traditional Arabic"/>
          <w:noProof w:val="0"/>
          <w:rtl/>
          <w:lang w:eastAsia="en-US"/>
        </w:rPr>
        <w:instrText>م</w:instrText>
      </w:r>
      <w:r w:rsidR="006A4CA1" w:rsidRPr="00C85F0F">
        <w:rPr>
          <w:rtl/>
        </w:rPr>
        <w:instrText>" \</w:instrText>
      </w:r>
      <w:r w:rsidR="006A4CA1" w:rsidRPr="00C85F0F">
        <w:instrText>f</w:instrText>
      </w:r>
      <w:r w:rsidR="006A4CA1">
        <w:instrText>h</w:instrText>
      </w:r>
      <w:r w:rsidR="00AB0B9E">
        <w:rPr>
          <w:rFonts w:ascii="Traditional Arabic" w:hAnsi="Traditional Arabic"/>
          <w:noProof w:val="0"/>
          <w:rtl/>
          <w:lang w:eastAsia="en-US"/>
        </w:rPr>
        <w:fldChar w:fldCharType="end"/>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616"/>
      </w:r>
      <w:r w:rsidRPr="00C821A1">
        <w:rPr>
          <w:rStyle w:val="af1"/>
          <w:szCs w:val="32"/>
          <w:rtl/>
        </w:rPr>
        <w:t>)</w:t>
      </w:r>
      <w:r>
        <w:rPr>
          <w:rFonts w:ascii="Traditional Arabic" w:hAnsi="Traditional Arabic" w:hint="cs"/>
          <w:noProof w:val="0"/>
          <w:rtl/>
          <w:lang w:eastAsia="en-US"/>
        </w:rPr>
        <w:t>.</w:t>
      </w:r>
    </w:p>
    <w:p w:rsidR="00C97663" w:rsidRPr="000B759E" w:rsidRDefault="00C97663" w:rsidP="00597C20">
      <w:pPr>
        <w:widowControl/>
        <w:autoSpaceDE w:val="0"/>
        <w:autoSpaceDN w:val="0"/>
        <w:adjustRightInd w:val="0"/>
        <w:ind w:firstLine="720"/>
        <w:rPr>
          <w:rFonts w:ascii="Traditional Arabic" w:hAnsi="Traditional Arabic"/>
          <w:noProof w:val="0"/>
          <w:rtl/>
          <w:lang w:eastAsia="en-US"/>
        </w:rPr>
      </w:pPr>
      <w:r w:rsidRPr="00022B3E">
        <w:rPr>
          <w:rFonts w:ascii="Traditional Arabic" w:hAnsi="Traditional Arabic"/>
          <w:noProof w:val="0"/>
          <w:rtl/>
          <w:lang w:eastAsia="en-US"/>
        </w:rPr>
        <w:t>وأما ك</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و</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ن</w:t>
      </w:r>
      <w:r w:rsidRPr="00022B3E">
        <w:rPr>
          <w:rFonts w:ascii="Traditional Arabic" w:hAnsi="Traditional Arabic" w:hint="cs"/>
          <w:noProof w:val="0"/>
          <w:rtl/>
          <w:lang w:eastAsia="en-US"/>
        </w:rPr>
        <w:t>ُ</w:t>
      </w:r>
      <w:r w:rsidRPr="00022B3E">
        <w:rPr>
          <w:rFonts w:ascii="Traditional Arabic" w:hAnsi="Traditional Arabic"/>
          <w:noProof w:val="0"/>
          <w:rtl/>
          <w:lang w:eastAsia="en-US"/>
        </w:rPr>
        <w:t>ها لا تسقط إلا برضاه؛</w:t>
      </w:r>
      <w:r w:rsidR="00022B3E" w:rsidRPr="00022B3E">
        <w:rPr>
          <w:rFonts w:ascii="Traditional Arabic" w:hAnsi="Traditional Arabic" w:hint="cs"/>
          <w:noProof w:val="0"/>
          <w:color w:val="auto"/>
          <w:rtl/>
          <w:lang w:eastAsia="en-US"/>
        </w:rPr>
        <w:t xml:space="preserve"> </w:t>
      </w:r>
      <w:r w:rsidRPr="00022B3E">
        <w:rPr>
          <w:rFonts w:ascii="Traditional Arabic" w:hAnsi="Traditional Arabic"/>
          <w:noProof w:val="0"/>
          <w:color w:val="auto"/>
          <w:rtl/>
          <w:lang w:eastAsia="en-US"/>
        </w:rPr>
        <w:t>فلأنها ح</w:t>
      </w:r>
      <w:r w:rsidRPr="00022B3E">
        <w:rPr>
          <w:rFonts w:ascii="Traditional Arabic" w:hAnsi="Traditional Arabic" w:hint="cs"/>
          <w:noProof w:val="0"/>
          <w:color w:val="auto"/>
          <w:rtl/>
          <w:lang w:eastAsia="en-US"/>
        </w:rPr>
        <w:t>َ</w:t>
      </w:r>
      <w:r w:rsidRPr="00022B3E">
        <w:rPr>
          <w:rFonts w:ascii="Traditional Arabic" w:hAnsi="Traditional Arabic"/>
          <w:noProof w:val="0"/>
          <w:color w:val="auto"/>
          <w:rtl/>
          <w:lang w:eastAsia="en-US"/>
        </w:rPr>
        <w:t>ق</w:t>
      </w:r>
      <w:r w:rsidRPr="00022B3E">
        <w:rPr>
          <w:rFonts w:ascii="Traditional Arabic" w:hAnsi="Traditional Arabic" w:hint="cs"/>
          <w:noProof w:val="0"/>
          <w:color w:val="auto"/>
          <w:rtl/>
          <w:lang w:eastAsia="en-US"/>
        </w:rPr>
        <w:t>ُّ</w:t>
      </w:r>
      <w:r w:rsidRPr="00022B3E">
        <w:rPr>
          <w:rFonts w:ascii="Traditional Arabic" w:hAnsi="Traditional Arabic"/>
          <w:noProof w:val="0"/>
          <w:color w:val="auto"/>
          <w:rtl/>
          <w:lang w:eastAsia="en-US"/>
        </w:rPr>
        <w:t>ه، ولا يمكن أن تؤخ</w:t>
      </w:r>
      <w:r w:rsidRPr="00022B3E">
        <w:rPr>
          <w:rFonts w:ascii="Traditional Arabic" w:hAnsi="Traditional Arabic" w:hint="cs"/>
          <w:noProof w:val="0"/>
          <w:color w:val="auto"/>
          <w:rtl/>
          <w:lang w:eastAsia="en-US"/>
        </w:rPr>
        <w:t>َ</w:t>
      </w:r>
      <w:r w:rsidRPr="00022B3E">
        <w:rPr>
          <w:rFonts w:ascii="Traditional Arabic" w:hAnsi="Traditional Arabic"/>
          <w:noProof w:val="0"/>
          <w:color w:val="auto"/>
          <w:rtl/>
          <w:lang w:eastAsia="en-US"/>
        </w:rPr>
        <w:t>ذ الحقوق من أصحابها ك</w:t>
      </w:r>
      <w:r w:rsidRPr="00022B3E">
        <w:rPr>
          <w:rFonts w:ascii="Traditional Arabic" w:hAnsi="Traditional Arabic" w:hint="cs"/>
          <w:noProof w:val="0"/>
          <w:color w:val="auto"/>
          <w:rtl/>
          <w:lang w:eastAsia="en-US"/>
        </w:rPr>
        <w:t>ُ</w:t>
      </w:r>
      <w:r w:rsidRPr="00022B3E">
        <w:rPr>
          <w:rFonts w:ascii="Traditional Arabic" w:hAnsi="Traditional Arabic"/>
          <w:noProof w:val="0"/>
          <w:color w:val="auto"/>
          <w:rtl/>
          <w:lang w:eastAsia="en-US"/>
        </w:rPr>
        <w:t>ر</w:t>
      </w:r>
      <w:r w:rsidRPr="00022B3E">
        <w:rPr>
          <w:rFonts w:ascii="Traditional Arabic" w:hAnsi="Traditional Arabic" w:hint="cs"/>
          <w:noProof w:val="0"/>
          <w:color w:val="auto"/>
          <w:rtl/>
          <w:lang w:eastAsia="en-US"/>
        </w:rPr>
        <w:t>ْ</w:t>
      </w:r>
      <w:r w:rsidRPr="00022B3E">
        <w:rPr>
          <w:rFonts w:ascii="Traditional Arabic" w:hAnsi="Traditional Arabic"/>
          <w:noProof w:val="0"/>
          <w:color w:val="auto"/>
          <w:rtl/>
          <w:lang w:eastAsia="en-US"/>
        </w:rPr>
        <w:t>ها</w:t>
      </w:r>
      <w:r w:rsidRPr="00022B3E">
        <w:rPr>
          <w:rFonts w:ascii="Traditional Arabic" w:hAnsi="Traditional Arabic" w:hint="cs"/>
          <w:noProof w:val="0"/>
          <w:color w:val="auto"/>
          <w:rtl/>
          <w:lang w:eastAsia="en-US"/>
        </w:rPr>
        <w:t>ً</w:t>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617"/>
      </w:r>
      <w:r w:rsidRPr="00C821A1">
        <w:rPr>
          <w:rStyle w:val="af1"/>
          <w:szCs w:val="32"/>
          <w:rtl/>
        </w:rPr>
        <w:t>)</w:t>
      </w:r>
      <w:r>
        <w:rPr>
          <w:rFonts w:ascii="Traditional Arabic" w:hAnsi="Traditional Arabic" w:hint="cs"/>
          <w:noProof w:val="0"/>
          <w:color w:val="auto"/>
          <w:rtl/>
          <w:lang w:eastAsia="en-US"/>
        </w:rPr>
        <w:t>.</w:t>
      </w:r>
    </w:p>
    <w:p w:rsidR="00C97663" w:rsidRPr="00C97663" w:rsidRDefault="00D564C3" w:rsidP="00A8347C">
      <w:pPr>
        <w:pStyle w:val="aff3"/>
        <w:rPr>
          <w:rtl/>
        </w:rPr>
      </w:pPr>
      <w:bookmarkStart w:id="325" w:name="_Toc334046534"/>
      <w:r>
        <w:rPr>
          <w:rFonts w:hint="cs"/>
          <w:rtl/>
        </w:rPr>
        <w:t xml:space="preserve">                                       المطلب</w:t>
      </w:r>
      <w:r w:rsidR="004D15E3">
        <w:rPr>
          <w:rFonts w:hint="cs"/>
          <w:rtl/>
        </w:rPr>
        <w:t xml:space="preserve"> </w:t>
      </w:r>
      <w:r w:rsidR="00C97663" w:rsidRPr="00C97663">
        <w:rPr>
          <w:rFonts w:hint="cs"/>
          <w:rtl/>
        </w:rPr>
        <w:t>الرابع</w:t>
      </w:r>
      <w:r w:rsidR="00C97663">
        <w:rPr>
          <w:rFonts w:hint="eastAsia"/>
          <w:rtl/>
        </w:rPr>
        <w:t> :</w:t>
      </w:r>
      <w:r w:rsidR="00C97663">
        <w:rPr>
          <w:rFonts w:hint="cs"/>
          <w:rtl/>
        </w:rPr>
        <w:br/>
      </w:r>
      <w:r>
        <w:rPr>
          <w:rFonts w:hint="cs"/>
          <w:rtl/>
        </w:rPr>
        <w:t xml:space="preserve">       </w:t>
      </w:r>
      <w:r w:rsidR="004D15E3">
        <w:rPr>
          <w:rFonts w:hint="cs"/>
          <w:rtl/>
        </w:rPr>
        <w:t xml:space="preserve">                               </w:t>
      </w:r>
      <w:r w:rsidR="00C97663" w:rsidRPr="00C97663">
        <w:rPr>
          <w:rFonts w:hint="cs"/>
          <w:rtl/>
        </w:rPr>
        <w:t>تطبيقات القاعدة</w:t>
      </w:r>
      <w:bookmarkEnd w:id="325"/>
    </w:p>
    <w:p w:rsidR="00F228A9" w:rsidRPr="00317BBD" w:rsidRDefault="00C97663" w:rsidP="000A76C7">
      <w:pPr>
        <w:pStyle w:val="afc"/>
        <w:widowControl/>
        <w:numPr>
          <w:ilvl w:val="0"/>
          <w:numId w:val="218"/>
        </w:numPr>
        <w:autoSpaceDE w:val="0"/>
        <w:autoSpaceDN w:val="0"/>
        <w:adjustRightInd w:val="0"/>
        <w:jc w:val="left"/>
        <w:rPr>
          <w:rFonts w:ascii="Traditional Arabic" w:hAnsi="Traditional Arabic"/>
          <w:b/>
          <w:bCs/>
          <w:noProof w:val="0"/>
          <w:color w:val="auto"/>
          <w:lang w:eastAsia="en-US"/>
        </w:rPr>
      </w:pPr>
      <w:r w:rsidRPr="00317BBD">
        <w:rPr>
          <w:rFonts w:ascii="Traditional Arabic" w:hAnsi="Traditional Arabic" w:hint="cs"/>
          <w:noProof w:val="0"/>
          <w:rtl/>
          <w:lang w:eastAsia="en-US"/>
        </w:rPr>
        <w:t xml:space="preserve">إذا </w:t>
      </w:r>
      <w:r w:rsidRPr="00317BBD">
        <w:rPr>
          <w:rFonts w:ascii="Traditional Arabic" w:hAnsi="Traditional Arabic"/>
          <w:noProof w:val="0"/>
          <w:rtl/>
          <w:lang w:eastAsia="en-US"/>
        </w:rPr>
        <w:t>اتفق</w:t>
      </w:r>
      <w:r w:rsidRPr="00317BBD">
        <w:rPr>
          <w:rFonts w:ascii="Traditional Arabic" w:hAnsi="Traditional Arabic" w:hint="cs"/>
          <w:noProof w:val="0"/>
          <w:rtl/>
          <w:lang w:eastAsia="en-US"/>
        </w:rPr>
        <w:t xml:space="preserve"> المتباي</w:t>
      </w:r>
      <w:r>
        <w:rPr>
          <w:rFonts w:ascii="Traditional Arabic" w:hAnsi="Traditional Arabic" w:hint="cs"/>
          <w:noProof w:val="0"/>
          <w:rtl/>
          <w:lang w:eastAsia="en-US"/>
        </w:rPr>
        <w:t>ِ</w:t>
      </w:r>
      <w:r w:rsidRPr="00317BBD">
        <w:rPr>
          <w:rFonts w:ascii="Traditional Arabic" w:hAnsi="Traditional Arabic" w:hint="cs"/>
          <w:noProof w:val="0"/>
          <w:rtl/>
          <w:lang w:eastAsia="en-US"/>
        </w:rPr>
        <w:t>عان</w:t>
      </w:r>
      <w:r w:rsidRPr="00317BBD">
        <w:rPr>
          <w:rFonts w:ascii="Traditional Arabic" w:hAnsi="Traditional Arabic"/>
          <w:noProof w:val="0"/>
          <w:rtl/>
          <w:lang w:eastAsia="en-US"/>
        </w:rPr>
        <w:t xml:space="preserve"> على إسقاط</w:t>
      </w:r>
      <w:r>
        <w:rPr>
          <w:rFonts w:ascii="Traditional Arabic" w:hAnsi="Traditional Arabic" w:hint="cs"/>
          <w:noProof w:val="0"/>
          <w:rtl/>
          <w:lang w:eastAsia="en-US"/>
        </w:rPr>
        <w:t>ِ</w:t>
      </w:r>
      <w:r w:rsidRPr="00317BBD">
        <w:rPr>
          <w:rFonts w:ascii="Traditional Arabic" w:hAnsi="Traditional Arabic"/>
          <w:noProof w:val="0"/>
          <w:rtl/>
          <w:lang w:eastAsia="en-US"/>
        </w:rPr>
        <w:t xml:space="preserve"> الخ</w:t>
      </w:r>
      <w:r>
        <w:rPr>
          <w:rFonts w:ascii="Traditional Arabic" w:hAnsi="Traditional Arabic" w:hint="cs"/>
          <w:noProof w:val="0"/>
          <w:rtl/>
          <w:lang w:eastAsia="en-US"/>
        </w:rPr>
        <w:t>ِ</w:t>
      </w:r>
      <w:r w:rsidRPr="00317BBD">
        <w:rPr>
          <w:rFonts w:ascii="Traditional Arabic" w:hAnsi="Traditional Arabic"/>
          <w:noProof w:val="0"/>
          <w:rtl/>
          <w:lang w:eastAsia="en-US"/>
        </w:rPr>
        <w:t>يار فإنه يسق</w:t>
      </w:r>
      <w:r>
        <w:rPr>
          <w:rFonts w:ascii="Traditional Arabic" w:hAnsi="Traditional Arabic" w:hint="cs"/>
          <w:noProof w:val="0"/>
          <w:rtl/>
          <w:lang w:eastAsia="en-US"/>
        </w:rPr>
        <w:t>ُ</w:t>
      </w:r>
      <w:r w:rsidRPr="00317BBD">
        <w:rPr>
          <w:rFonts w:ascii="Traditional Arabic" w:hAnsi="Traditional Arabic"/>
          <w:noProof w:val="0"/>
          <w:rtl/>
          <w:lang w:eastAsia="en-US"/>
        </w:rPr>
        <w:t>ط</w:t>
      </w:r>
      <w:r w:rsidRPr="00C821A1">
        <w:rPr>
          <w:rStyle w:val="af1"/>
          <w:szCs w:val="32"/>
          <w:rtl/>
        </w:rPr>
        <w:t>(</w:t>
      </w:r>
      <w:r w:rsidRPr="00C821A1">
        <w:rPr>
          <w:rStyle w:val="af1"/>
          <w:szCs w:val="32"/>
          <w:rtl/>
        </w:rPr>
        <w:footnoteReference w:id="1618"/>
      </w:r>
      <w:r w:rsidRPr="00C821A1">
        <w:rPr>
          <w:rStyle w:val="af1"/>
          <w:szCs w:val="32"/>
          <w:rtl/>
        </w:rPr>
        <w:t>)</w:t>
      </w:r>
      <w:r w:rsidRPr="00317BBD">
        <w:rPr>
          <w:rFonts w:ascii="Traditional Arabic" w:hAnsi="Traditional Arabic" w:hint="cs"/>
          <w:noProof w:val="0"/>
          <w:rtl/>
          <w:lang w:eastAsia="en-US"/>
        </w:rPr>
        <w:t>.</w:t>
      </w:r>
    </w:p>
    <w:p w:rsidR="00065E4B" w:rsidRPr="00D62A83" w:rsidRDefault="00C97663" w:rsidP="00597C20">
      <w:pPr>
        <w:pStyle w:val="53"/>
      </w:pPr>
      <w:r>
        <w:rPr>
          <w:rFonts w:hint="cs"/>
          <w:rtl/>
        </w:rPr>
        <w:t xml:space="preserve">وجه </w:t>
      </w:r>
      <w:r w:rsidRPr="00D62A83">
        <w:rPr>
          <w:rFonts w:hint="cs"/>
          <w:rtl/>
        </w:rPr>
        <w:t>اندراج الفرع تحت القاعدة:</w:t>
      </w:r>
    </w:p>
    <w:p w:rsidR="00F228A9" w:rsidRPr="00D62A83" w:rsidRDefault="00065E4B" w:rsidP="00597C20">
      <w:pPr>
        <w:widowControl/>
        <w:autoSpaceDE w:val="0"/>
        <w:autoSpaceDN w:val="0"/>
        <w:adjustRightInd w:val="0"/>
        <w:ind w:firstLine="720"/>
        <w:rPr>
          <w:rFonts w:ascii="Traditional Arabic" w:hAnsi="Traditional Arabic"/>
          <w:noProof w:val="0"/>
          <w:color w:val="auto"/>
          <w:rtl/>
          <w:lang w:eastAsia="en-US"/>
        </w:rPr>
      </w:pPr>
      <w:r w:rsidRPr="00D62A83">
        <w:rPr>
          <w:rFonts w:ascii="Traditional Arabic" w:hAnsi="Traditional Arabic" w:hint="cs"/>
          <w:noProof w:val="0"/>
          <w:color w:val="auto"/>
          <w:rtl/>
          <w:lang w:eastAsia="en-US"/>
        </w:rPr>
        <w:t>ا</w:t>
      </w:r>
      <w:r w:rsidR="00C97663" w:rsidRPr="00D62A83">
        <w:rPr>
          <w:rFonts w:ascii="Traditional Arabic" w:hAnsi="Traditional Arabic" w:hint="cs"/>
          <w:noProof w:val="0"/>
          <w:color w:val="auto"/>
          <w:rtl/>
          <w:lang w:eastAsia="en-US"/>
        </w:rPr>
        <w:t>لخيار حقٌّ لِكلٍّ من البائع والمشتري</w:t>
      </w:r>
      <w:r w:rsidR="00C97663" w:rsidRPr="00D62A83">
        <w:rPr>
          <w:rFonts w:ascii="Traditional Arabic" w:hAnsi="Traditional Arabic"/>
          <w:noProof w:val="0"/>
          <w:rtl/>
          <w:lang w:eastAsia="en-US"/>
        </w:rPr>
        <w:t xml:space="preserve">، </w:t>
      </w:r>
      <w:r w:rsidR="00C97663" w:rsidRPr="004D15E3">
        <w:rPr>
          <w:rFonts w:ascii="Traditional Arabic" w:hAnsi="Traditional Arabic"/>
          <w:noProof w:val="0"/>
          <w:rtl/>
          <w:lang w:eastAsia="en-US"/>
        </w:rPr>
        <w:t>فإذا رض</w:t>
      </w:r>
      <w:r w:rsidR="004D15E3">
        <w:rPr>
          <w:rFonts w:ascii="Traditional Arabic" w:hAnsi="Traditional Arabic" w:hint="cs"/>
          <w:noProof w:val="0"/>
          <w:rtl/>
          <w:lang w:eastAsia="en-US"/>
        </w:rPr>
        <w:t>ِ</w:t>
      </w:r>
      <w:r w:rsidR="00C97663" w:rsidRPr="004D15E3">
        <w:rPr>
          <w:rFonts w:ascii="Traditional Arabic" w:hAnsi="Traditional Arabic"/>
          <w:noProof w:val="0"/>
          <w:rtl/>
          <w:lang w:eastAsia="en-US"/>
        </w:rPr>
        <w:t>يا بإسقاطه سقط</w:t>
      </w:r>
      <w:r w:rsidR="00C97663" w:rsidRPr="00D62A83">
        <w:rPr>
          <w:rFonts w:ascii="Traditional Arabic" w:hAnsi="Traditional Arabic" w:hint="cs"/>
          <w:noProof w:val="0"/>
          <w:rtl/>
          <w:lang w:eastAsia="en-US"/>
        </w:rPr>
        <w:t>؛ لأن كل من ثبت له حق فإنه لا يسقط إلا بما يدل</w:t>
      </w:r>
      <w:r w:rsidR="00C97663">
        <w:rPr>
          <w:rFonts w:ascii="Traditional Arabic" w:hAnsi="Traditional Arabic" w:hint="cs"/>
          <w:noProof w:val="0"/>
          <w:rtl/>
          <w:lang w:eastAsia="en-US"/>
        </w:rPr>
        <w:t>ُّ</w:t>
      </w:r>
      <w:r w:rsidR="00C97663" w:rsidRPr="00D62A83">
        <w:rPr>
          <w:rFonts w:ascii="Traditional Arabic" w:hAnsi="Traditional Arabic" w:hint="cs"/>
          <w:noProof w:val="0"/>
          <w:rtl/>
          <w:lang w:eastAsia="en-US"/>
        </w:rPr>
        <w:t xml:space="preserve"> على رضاه</w:t>
      </w:r>
      <w:r w:rsidR="00C97663" w:rsidRPr="00C821A1">
        <w:rPr>
          <w:rStyle w:val="af1"/>
          <w:szCs w:val="32"/>
          <w:rtl/>
        </w:rPr>
        <w:t>(</w:t>
      </w:r>
      <w:r w:rsidR="00C97663" w:rsidRPr="00C821A1">
        <w:rPr>
          <w:rStyle w:val="af1"/>
          <w:szCs w:val="32"/>
          <w:rtl/>
        </w:rPr>
        <w:footnoteReference w:id="1619"/>
      </w:r>
      <w:r w:rsidR="00C97663" w:rsidRPr="00C821A1">
        <w:rPr>
          <w:rStyle w:val="af1"/>
          <w:szCs w:val="32"/>
          <w:rtl/>
        </w:rPr>
        <w:t>)</w:t>
      </w:r>
      <w:r w:rsidR="00C97663" w:rsidRPr="00D62A83">
        <w:rPr>
          <w:rFonts w:ascii="Traditional Arabic" w:hAnsi="Traditional Arabic"/>
          <w:noProof w:val="0"/>
          <w:rtl/>
          <w:lang w:eastAsia="en-US"/>
        </w:rPr>
        <w:t>.</w:t>
      </w:r>
    </w:p>
    <w:p w:rsidR="00C97663" w:rsidRPr="00317BBD" w:rsidRDefault="00C97663" w:rsidP="000A76C7">
      <w:pPr>
        <w:pStyle w:val="afc"/>
        <w:widowControl/>
        <w:numPr>
          <w:ilvl w:val="0"/>
          <w:numId w:val="218"/>
        </w:numPr>
        <w:autoSpaceDE w:val="0"/>
        <w:autoSpaceDN w:val="0"/>
        <w:adjustRightInd w:val="0"/>
        <w:rPr>
          <w:rFonts w:ascii="Traditional Arabic" w:hAnsi="Traditional Arabic"/>
          <w:noProof w:val="0"/>
          <w:color w:val="auto"/>
          <w:lang w:eastAsia="en-US"/>
        </w:rPr>
      </w:pPr>
      <w:r w:rsidRPr="00317BBD">
        <w:rPr>
          <w:rFonts w:ascii="Traditional Arabic" w:hAnsi="Traditional Arabic" w:hint="cs"/>
          <w:noProof w:val="0"/>
          <w:color w:val="auto"/>
          <w:rtl/>
          <w:lang w:eastAsia="en-US"/>
        </w:rPr>
        <w:lastRenderedPageBreak/>
        <w:t>لا يُشترَط أن يُبادِر الشفيع في الأخذ بالشفعة، ولا يَسقُط حقُّه في الشفعة إذا لم يطالِب بها فَو</w:t>
      </w:r>
      <w:r>
        <w:rPr>
          <w:rFonts w:ascii="Traditional Arabic" w:hAnsi="Traditional Arabic" w:hint="cs"/>
          <w:noProof w:val="0"/>
          <w:color w:val="auto"/>
          <w:rtl/>
          <w:lang w:eastAsia="en-US"/>
        </w:rPr>
        <w:t>ْ</w:t>
      </w:r>
      <w:r w:rsidRPr="00317BBD">
        <w:rPr>
          <w:rFonts w:ascii="Traditional Arabic" w:hAnsi="Traditional Arabic" w:hint="cs"/>
          <w:noProof w:val="0"/>
          <w:color w:val="auto"/>
          <w:rtl/>
          <w:lang w:eastAsia="en-US"/>
        </w:rPr>
        <w:t>رَ ب</w:t>
      </w:r>
      <w:r>
        <w:rPr>
          <w:rFonts w:ascii="Traditional Arabic" w:hAnsi="Traditional Arabic" w:hint="cs"/>
          <w:noProof w:val="0"/>
          <w:color w:val="auto"/>
          <w:rtl/>
          <w:lang w:eastAsia="en-US"/>
        </w:rPr>
        <w:t>ُ</w:t>
      </w:r>
      <w:r w:rsidRPr="00317BBD">
        <w:rPr>
          <w:rFonts w:ascii="Traditional Arabic" w:hAnsi="Traditional Arabic" w:hint="cs"/>
          <w:noProof w:val="0"/>
          <w:color w:val="auto"/>
          <w:rtl/>
          <w:lang w:eastAsia="en-US"/>
        </w:rPr>
        <w:t>لوغِه خبرَ بيعِ شريكه</w:t>
      </w:r>
      <w:r>
        <w:rPr>
          <w:rStyle w:val="af1"/>
          <w:rFonts w:hint="cs"/>
          <w:vertAlign w:val="baseline"/>
          <w:rtl/>
        </w:rPr>
        <w:t xml:space="preserve"> لحِصَّته</w:t>
      </w:r>
      <w:r w:rsidRPr="00317BBD">
        <w:rPr>
          <w:rStyle w:val="af1"/>
          <w:rFonts w:hint="cs"/>
          <w:vertAlign w:val="baseline"/>
          <w:rtl/>
        </w:rPr>
        <w:t>؛</w:t>
      </w:r>
      <w:r w:rsidR="004D15E3">
        <w:rPr>
          <w:rStyle w:val="af1"/>
          <w:rFonts w:hint="cs"/>
          <w:vertAlign w:val="baseline"/>
          <w:rtl/>
        </w:rPr>
        <w:t xml:space="preserve"> </w:t>
      </w:r>
      <w:r w:rsidRPr="00317BBD">
        <w:rPr>
          <w:rFonts w:ascii="Traditional Arabic" w:hAnsi="Traditional Arabic" w:hint="cs"/>
          <w:noProof w:val="0"/>
          <w:rtl/>
          <w:lang w:eastAsia="en-US"/>
        </w:rPr>
        <w:t>لأن</w:t>
      </w:r>
      <w:r w:rsidR="004D15E3">
        <w:rPr>
          <w:rFonts w:ascii="Traditional Arabic" w:hAnsi="Traditional Arabic" w:hint="cs"/>
          <w:noProof w:val="0"/>
          <w:rtl/>
          <w:lang w:eastAsia="en-US"/>
        </w:rPr>
        <w:t xml:space="preserve"> </w:t>
      </w:r>
      <w:r>
        <w:rPr>
          <w:rFonts w:ascii="Traditional Arabic" w:hAnsi="Traditional Arabic" w:hint="cs"/>
          <w:noProof w:val="0"/>
          <w:rtl/>
          <w:lang w:eastAsia="en-US"/>
        </w:rPr>
        <w:t>في إلزامه ب</w:t>
      </w:r>
      <w:r w:rsidRPr="00317BBD">
        <w:rPr>
          <w:rFonts w:ascii="Traditional Arabic" w:hAnsi="Traditional Arabic"/>
          <w:noProof w:val="0"/>
          <w:rtl/>
          <w:lang w:eastAsia="en-US"/>
        </w:rPr>
        <w:t>المطالبة على الفور</w:t>
      </w:r>
      <w:r w:rsidR="004D15E3">
        <w:rPr>
          <w:rFonts w:ascii="Traditional Arabic" w:hAnsi="Traditional Arabic" w:hint="cs"/>
          <w:noProof w:val="0"/>
          <w:rtl/>
          <w:lang w:eastAsia="en-US"/>
        </w:rPr>
        <w:t xml:space="preserve"> </w:t>
      </w:r>
      <w:r w:rsidRPr="00317BBD">
        <w:rPr>
          <w:rFonts w:ascii="Traditional Arabic" w:hAnsi="Traditional Arabic"/>
          <w:noProof w:val="0"/>
          <w:rtl/>
          <w:lang w:eastAsia="en-US"/>
        </w:rPr>
        <w:t>مشق</w:t>
      </w:r>
      <w:r>
        <w:rPr>
          <w:rFonts w:ascii="Traditional Arabic" w:hAnsi="Traditional Arabic" w:hint="cs"/>
          <w:noProof w:val="0"/>
          <w:rtl/>
          <w:lang w:eastAsia="en-US"/>
        </w:rPr>
        <w:t>َّ</w:t>
      </w:r>
      <w:r w:rsidRPr="00317BBD">
        <w:rPr>
          <w:rFonts w:ascii="Traditional Arabic" w:hAnsi="Traditional Arabic"/>
          <w:noProof w:val="0"/>
          <w:rtl/>
          <w:lang w:eastAsia="en-US"/>
        </w:rPr>
        <w:t>ة</w:t>
      </w:r>
      <w:r>
        <w:rPr>
          <w:rFonts w:ascii="Traditional Arabic" w:hAnsi="Traditional Arabic" w:hint="cs"/>
          <w:noProof w:val="0"/>
          <w:rtl/>
          <w:lang w:eastAsia="en-US"/>
        </w:rPr>
        <w:t>ٌ</w:t>
      </w:r>
      <w:r w:rsidRPr="00317BBD">
        <w:rPr>
          <w:rFonts w:ascii="Traditional Arabic" w:hAnsi="Traditional Arabic"/>
          <w:noProof w:val="0"/>
          <w:rtl/>
          <w:lang w:eastAsia="en-US"/>
        </w:rPr>
        <w:t xml:space="preserve">؛ لأن الشفيع </w:t>
      </w:r>
      <w:r w:rsidRPr="00317BBD">
        <w:rPr>
          <w:rFonts w:ascii="Traditional Arabic" w:hAnsi="Traditional Arabic" w:hint="cs"/>
          <w:noProof w:val="0"/>
          <w:rtl/>
          <w:lang w:eastAsia="en-US"/>
        </w:rPr>
        <w:t>يحتاج</w:t>
      </w:r>
      <w:r w:rsidRPr="00317BBD">
        <w:rPr>
          <w:rFonts w:ascii="Traditional Arabic" w:hAnsi="Traditional Arabic"/>
          <w:noProof w:val="0"/>
          <w:rtl/>
          <w:lang w:eastAsia="en-US"/>
        </w:rPr>
        <w:t xml:space="preserve"> م</w:t>
      </w:r>
      <w:r w:rsidRPr="00317BBD">
        <w:rPr>
          <w:rFonts w:ascii="Traditional Arabic" w:hAnsi="Traditional Arabic" w:hint="cs"/>
          <w:noProof w:val="0"/>
          <w:rtl/>
          <w:lang w:eastAsia="en-US"/>
        </w:rPr>
        <w:t>ُ</w:t>
      </w:r>
      <w:r w:rsidRPr="00317BBD">
        <w:rPr>
          <w:rFonts w:ascii="Traditional Arabic" w:hAnsi="Traditional Arabic"/>
          <w:noProof w:val="0"/>
          <w:rtl/>
          <w:lang w:eastAsia="en-US"/>
        </w:rPr>
        <w:t>ه</w:t>
      </w:r>
      <w:r w:rsidRPr="00317BBD">
        <w:rPr>
          <w:rFonts w:ascii="Traditional Arabic" w:hAnsi="Traditional Arabic" w:hint="cs"/>
          <w:noProof w:val="0"/>
          <w:rtl/>
          <w:lang w:eastAsia="en-US"/>
        </w:rPr>
        <w:t>ْ</w:t>
      </w:r>
      <w:r w:rsidRPr="00317BBD">
        <w:rPr>
          <w:rFonts w:ascii="Traditional Arabic" w:hAnsi="Traditional Arabic"/>
          <w:noProof w:val="0"/>
          <w:rtl/>
          <w:lang w:eastAsia="en-US"/>
        </w:rPr>
        <w:t>ل</w:t>
      </w:r>
      <w:r w:rsidRPr="00317BBD">
        <w:rPr>
          <w:rFonts w:ascii="Traditional Arabic" w:hAnsi="Traditional Arabic" w:hint="cs"/>
          <w:noProof w:val="0"/>
          <w:rtl/>
          <w:lang w:eastAsia="en-US"/>
        </w:rPr>
        <w:t>َ</w:t>
      </w:r>
      <w:r w:rsidRPr="00317BBD">
        <w:rPr>
          <w:rFonts w:ascii="Traditional Arabic" w:hAnsi="Traditional Arabic"/>
          <w:noProof w:val="0"/>
          <w:rtl/>
          <w:lang w:eastAsia="en-US"/>
        </w:rPr>
        <w:t>ة</w:t>
      </w:r>
      <w:r w:rsidRPr="00317BBD">
        <w:rPr>
          <w:rFonts w:ascii="Traditional Arabic" w:hAnsi="Traditional Arabic" w:hint="cs"/>
          <w:noProof w:val="0"/>
          <w:rtl/>
          <w:lang w:eastAsia="en-US"/>
        </w:rPr>
        <w:t>ً</w:t>
      </w:r>
      <w:r w:rsidR="004D15E3">
        <w:rPr>
          <w:rFonts w:ascii="Traditional Arabic" w:hAnsi="Traditional Arabic" w:hint="cs"/>
          <w:noProof w:val="0"/>
          <w:rtl/>
          <w:lang w:eastAsia="en-US"/>
        </w:rPr>
        <w:t xml:space="preserve"> </w:t>
      </w:r>
      <w:r w:rsidRPr="00317BBD">
        <w:rPr>
          <w:rFonts w:ascii="Traditional Arabic" w:hAnsi="Traditional Arabic" w:hint="cs"/>
          <w:noProof w:val="0"/>
          <w:rtl/>
          <w:lang w:eastAsia="en-US"/>
        </w:rPr>
        <w:t>للت</w:t>
      </w:r>
      <w:r w:rsidRPr="00317BBD">
        <w:rPr>
          <w:rFonts w:ascii="Traditional Arabic" w:hAnsi="Traditional Arabic"/>
          <w:noProof w:val="0"/>
          <w:rtl/>
          <w:lang w:eastAsia="en-US"/>
        </w:rPr>
        <w:t>فك</w:t>
      </w:r>
      <w:r w:rsidRPr="00317BBD">
        <w:rPr>
          <w:rFonts w:ascii="Traditional Arabic" w:hAnsi="Traditional Arabic" w:hint="cs"/>
          <w:noProof w:val="0"/>
          <w:rtl/>
          <w:lang w:eastAsia="en-US"/>
        </w:rPr>
        <w:t>ي</w:t>
      </w:r>
      <w:r w:rsidRPr="00317BBD">
        <w:rPr>
          <w:rFonts w:ascii="Traditional Arabic" w:hAnsi="Traditional Arabic"/>
          <w:noProof w:val="0"/>
          <w:rtl/>
          <w:lang w:eastAsia="en-US"/>
        </w:rPr>
        <w:t>ر في الأمر، مع أن الشفعة حق</w:t>
      </w:r>
      <w:r w:rsidRPr="00317BBD">
        <w:rPr>
          <w:rFonts w:ascii="Traditional Arabic" w:hAnsi="Traditional Arabic" w:hint="cs"/>
          <w:noProof w:val="0"/>
          <w:rtl/>
          <w:lang w:eastAsia="en-US"/>
        </w:rPr>
        <w:t>ٌّ</w:t>
      </w:r>
      <w:r w:rsidRPr="00317BBD">
        <w:rPr>
          <w:rFonts w:ascii="Traditional Arabic" w:hAnsi="Traditional Arabic"/>
          <w:noProof w:val="0"/>
          <w:rtl/>
          <w:lang w:eastAsia="en-US"/>
        </w:rPr>
        <w:t xml:space="preserve"> من حقوقه لا يمكن أن يسقط إلا بما يدل</w:t>
      </w:r>
      <w:r>
        <w:rPr>
          <w:rFonts w:ascii="Traditional Arabic" w:hAnsi="Traditional Arabic" w:hint="cs"/>
          <w:noProof w:val="0"/>
          <w:rtl/>
          <w:lang w:eastAsia="en-US"/>
        </w:rPr>
        <w:t>ُّ</w:t>
      </w:r>
      <w:r w:rsidRPr="00317BBD">
        <w:rPr>
          <w:rFonts w:ascii="Traditional Arabic" w:hAnsi="Traditional Arabic"/>
          <w:noProof w:val="0"/>
          <w:rtl/>
          <w:lang w:eastAsia="en-US"/>
        </w:rPr>
        <w:t xml:space="preserve"> على رضاه</w:t>
      </w:r>
      <w:r w:rsidRPr="00C821A1">
        <w:rPr>
          <w:rStyle w:val="af1"/>
          <w:szCs w:val="32"/>
          <w:rtl/>
        </w:rPr>
        <w:t>(</w:t>
      </w:r>
      <w:r w:rsidRPr="00C821A1">
        <w:rPr>
          <w:rStyle w:val="af1"/>
          <w:szCs w:val="32"/>
          <w:rtl/>
        </w:rPr>
        <w:footnoteReference w:id="1620"/>
      </w:r>
      <w:r w:rsidRPr="00C821A1">
        <w:rPr>
          <w:rStyle w:val="af1"/>
          <w:szCs w:val="32"/>
          <w:rtl/>
        </w:rPr>
        <w:t>)</w:t>
      </w:r>
      <w:r w:rsidRPr="00317BBD">
        <w:rPr>
          <w:rFonts w:ascii="Traditional Arabic" w:hAnsi="Traditional Arabic" w:hint="cs"/>
          <w:noProof w:val="0"/>
          <w:color w:val="auto"/>
          <w:rtl/>
          <w:lang w:eastAsia="en-US"/>
        </w:rPr>
        <w:t>.</w:t>
      </w:r>
    </w:p>
    <w:p w:rsidR="00C97663" w:rsidRDefault="00C97663" w:rsidP="00597C20">
      <w:pPr>
        <w:pStyle w:val="53"/>
        <w:rPr>
          <w:rtl/>
        </w:rPr>
      </w:pPr>
      <w:r>
        <w:rPr>
          <w:rFonts w:hint="cs"/>
          <w:rtl/>
        </w:rPr>
        <w:t xml:space="preserve">وجه </w:t>
      </w:r>
      <w:r w:rsidRPr="00D62A83">
        <w:rPr>
          <w:rFonts w:hint="cs"/>
          <w:rtl/>
        </w:rPr>
        <w:t>اندراج الفرع تحت القاعدة:</w:t>
      </w:r>
    </w:p>
    <w:p w:rsidR="00C97663" w:rsidRDefault="00C97663" w:rsidP="00597C20">
      <w:pPr>
        <w:widowControl/>
        <w:autoSpaceDE w:val="0"/>
        <w:autoSpaceDN w:val="0"/>
        <w:adjustRightInd w:val="0"/>
        <w:ind w:firstLine="720"/>
        <w:jc w:val="left"/>
        <w:rPr>
          <w:rFonts w:ascii="Traditional Arabic" w:hAnsi="Traditional Arabic"/>
          <w:noProof w:val="0"/>
          <w:color w:val="auto"/>
          <w:rtl/>
          <w:lang w:eastAsia="en-US"/>
        </w:rPr>
      </w:pPr>
      <w:r w:rsidRPr="00F60BF3">
        <w:rPr>
          <w:rFonts w:ascii="Traditional Arabic" w:hAnsi="Traditional Arabic"/>
          <w:noProof w:val="0"/>
          <w:rtl/>
          <w:lang w:eastAsia="en-US"/>
        </w:rPr>
        <w:t>أن الشفعة حق</w:t>
      </w:r>
      <w:r w:rsidRPr="00F60BF3">
        <w:rPr>
          <w:rFonts w:ascii="Traditional Arabic" w:hAnsi="Traditional Arabic" w:hint="cs"/>
          <w:noProof w:val="0"/>
          <w:rtl/>
          <w:lang w:eastAsia="en-US"/>
        </w:rPr>
        <w:t xml:space="preserve">ٌّ جعله الشارعُ </w:t>
      </w:r>
      <w:r w:rsidRPr="00F60BF3">
        <w:rPr>
          <w:rFonts w:ascii="Traditional Arabic" w:hAnsi="Traditional Arabic"/>
          <w:noProof w:val="0"/>
          <w:rtl/>
          <w:lang w:eastAsia="en-US"/>
        </w:rPr>
        <w:t>للش</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فيع</w:t>
      </w:r>
      <w:r w:rsidRPr="00F60BF3">
        <w:rPr>
          <w:rFonts w:ascii="Traditional Arabic" w:hAnsi="Traditional Arabic" w:hint="cs"/>
          <w:noProof w:val="0"/>
          <w:rtl/>
          <w:lang w:eastAsia="en-US"/>
        </w:rPr>
        <w:t>، وكل مَن ثبت له حقٌّ فلا يسقط إلا بما يدل على رضاه</w:t>
      </w:r>
      <w:r w:rsidRPr="00C821A1">
        <w:rPr>
          <w:rStyle w:val="af1"/>
          <w:szCs w:val="32"/>
          <w:rtl/>
        </w:rPr>
        <w:t>(</w:t>
      </w:r>
      <w:r w:rsidRPr="00C821A1">
        <w:rPr>
          <w:rStyle w:val="af1"/>
          <w:szCs w:val="32"/>
          <w:rtl/>
        </w:rPr>
        <w:footnoteReference w:id="1621"/>
      </w:r>
      <w:r w:rsidRPr="00C821A1">
        <w:rPr>
          <w:rStyle w:val="af1"/>
          <w:szCs w:val="32"/>
          <w:rtl/>
        </w:rPr>
        <w:t>)</w:t>
      </w:r>
      <w:r w:rsidRPr="00F60BF3">
        <w:rPr>
          <w:rFonts w:ascii="Traditional Arabic" w:hAnsi="Traditional Arabic" w:hint="cs"/>
          <w:noProof w:val="0"/>
          <w:rtl/>
          <w:lang w:eastAsia="en-US"/>
        </w:rPr>
        <w:t>.</w:t>
      </w:r>
    </w:p>
    <w:p w:rsidR="00D564C3" w:rsidRDefault="00D564C3" w:rsidP="00597C20">
      <w:pPr>
        <w:widowControl/>
        <w:autoSpaceDE w:val="0"/>
        <w:autoSpaceDN w:val="0"/>
        <w:adjustRightInd w:val="0"/>
        <w:ind w:firstLine="720"/>
        <w:jc w:val="left"/>
        <w:rPr>
          <w:rFonts w:ascii="Traditional Arabic" w:hAnsi="Traditional Arabic"/>
          <w:noProof w:val="0"/>
          <w:color w:val="auto"/>
          <w:rtl/>
          <w:lang w:eastAsia="en-US"/>
        </w:rPr>
      </w:pPr>
    </w:p>
    <w:p w:rsidR="00C97663" w:rsidRPr="00C85F0F" w:rsidRDefault="00C97663" w:rsidP="000F5C0F">
      <w:pPr>
        <w:pStyle w:val="aff2"/>
        <w:rPr>
          <w:rtl/>
        </w:rPr>
      </w:pPr>
      <w:bookmarkStart w:id="326" w:name="_Toc334046535"/>
      <w:r w:rsidRPr="00C97663">
        <w:rPr>
          <w:rFonts w:ascii="Traditional Arabic" w:hAnsi="Traditional Arabic" w:hint="cs"/>
          <w:rtl/>
        </w:rPr>
        <w:lastRenderedPageBreak/>
        <w:t>المبحث ال</w:t>
      </w:r>
      <w:r>
        <w:rPr>
          <w:rFonts w:ascii="Traditional Arabic" w:hAnsi="Traditional Arabic" w:hint="cs"/>
          <w:rtl/>
        </w:rPr>
        <w:t>ثاني</w:t>
      </w:r>
      <w:r>
        <w:rPr>
          <w:rFonts w:ascii="Traditional Arabic" w:hAnsi="Traditional Arabic" w:hint="eastAsia"/>
          <w:rtl/>
        </w:rPr>
        <w:t> :</w:t>
      </w:r>
      <w:r>
        <w:rPr>
          <w:rFonts w:ascii="Traditional Arabic" w:hAnsi="Traditional Arabic" w:hint="cs"/>
          <w:rtl/>
        </w:rPr>
        <w:br/>
      </w:r>
      <w:r>
        <w:rPr>
          <w:rFonts w:hint="cs"/>
          <w:rtl/>
        </w:rPr>
        <w:t>قاعدة</w:t>
      </w:r>
      <w:r>
        <w:rPr>
          <w:rtl/>
        </w:rPr>
        <w:br/>
      </w:r>
      <w:r>
        <w:rPr>
          <w:rFonts w:hint="cs"/>
          <w:rtl/>
        </w:rPr>
        <w:t>"القرعة طريق شرعي [للتمييز بين] المتساويات</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القرعةطريقشرعي</w:instrText>
      </w:r>
      <w:r w:rsidR="003504FF" w:rsidRPr="00C85F0F">
        <w:rPr>
          <w:rtl/>
        </w:rPr>
        <w:instrText xml:space="preserve"> [</w:instrText>
      </w:r>
      <w:r w:rsidR="003504FF" w:rsidRPr="00C85F0F">
        <w:rPr>
          <w:rFonts w:hint="cs"/>
          <w:rtl/>
        </w:rPr>
        <w:instrText>للتمييزبين</w:instrText>
      </w:r>
      <w:r w:rsidR="003504FF" w:rsidRPr="00C85F0F">
        <w:rPr>
          <w:rtl/>
        </w:rPr>
        <w:instrText xml:space="preserve">] </w:instrText>
      </w:r>
      <w:r w:rsidR="003504FF" w:rsidRPr="00C85F0F">
        <w:rPr>
          <w:rFonts w:hint="cs"/>
          <w:rtl/>
        </w:rPr>
        <w:instrText>المتساويات</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Fonts w:hint="cs"/>
          <w:szCs w:val="32"/>
          <w:vertAlign w:val="superscript"/>
          <w:rtl/>
        </w:rPr>
        <w:t>(</w:t>
      </w:r>
      <w:r w:rsidRPr="00C85F0F">
        <w:rPr>
          <w:rStyle w:val="af1"/>
          <w:b w:val="0"/>
          <w:bCs w:val="0"/>
          <w:szCs w:val="32"/>
          <w:rtl/>
        </w:rPr>
        <w:footnoteReference w:id="1622"/>
      </w:r>
      <w:r w:rsidRPr="00C85F0F">
        <w:rPr>
          <w:rFonts w:hint="cs"/>
          <w:szCs w:val="32"/>
          <w:vertAlign w:val="superscript"/>
          <w:rtl/>
        </w:rPr>
        <w:t>)</w:t>
      </w:r>
      <w:bookmarkEnd w:id="326"/>
    </w:p>
    <w:p w:rsidR="00065E4B" w:rsidRPr="00C85F0F" w:rsidRDefault="007B191B" w:rsidP="00A8347C">
      <w:pPr>
        <w:pStyle w:val="aff3"/>
        <w:rPr>
          <w:rtl/>
        </w:rPr>
      </w:pPr>
      <w:bookmarkStart w:id="327" w:name="_Toc334046536"/>
      <w:r>
        <w:rPr>
          <w:rFonts w:hint="cs"/>
          <w:rtl/>
        </w:rPr>
        <w:t xml:space="preserve">                                           المطلب</w:t>
      </w:r>
      <w:r w:rsidR="004D15E3">
        <w:rPr>
          <w:rFonts w:hint="cs"/>
          <w:rtl/>
        </w:rPr>
        <w:t xml:space="preserve"> </w:t>
      </w:r>
      <w:r w:rsidR="00C97663" w:rsidRPr="00C85F0F">
        <w:rPr>
          <w:rFonts w:hint="cs"/>
          <w:rtl/>
        </w:rPr>
        <w:t>الأول</w:t>
      </w:r>
      <w:r w:rsidR="00C97663" w:rsidRPr="00C85F0F">
        <w:rPr>
          <w:rFonts w:hint="eastAsia"/>
          <w:rtl/>
        </w:rPr>
        <w:t> :</w:t>
      </w:r>
      <w:r w:rsidR="00C97663" w:rsidRPr="00C85F0F">
        <w:rPr>
          <w:rFonts w:hint="cs"/>
          <w:rtl/>
        </w:rPr>
        <w:br/>
      </w:r>
      <w:r>
        <w:rPr>
          <w:rFonts w:hint="cs"/>
          <w:rtl/>
        </w:rPr>
        <w:t xml:space="preserve">                       </w:t>
      </w:r>
      <w:r w:rsidR="001910BC" w:rsidRPr="00C85F0F">
        <w:rPr>
          <w:rFonts w:hint="cs"/>
          <w:rtl/>
        </w:rPr>
        <w:t>صيغ القاعدة عند الشيخ و</w:t>
      </w:r>
      <w:r w:rsidR="00C97663" w:rsidRPr="00C85F0F">
        <w:rPr>
          <w:rFonts w:hint="cs"/>
          <w:rtl/>
        </w:rPr>
        <w:t>عند علماء القواعد</w:t>
      </w:r>
      <w:bookmarkEnd w:id="327"/>
    </w:p>
    <w:p w:rsidR="00C97663" w:rsidRPr="00C85F0F" w:rsidRDefault="008B573F" w:rsidP="00597C20">
      <w:pPr>
        <w:ind w:firstLine="0"/>
        <w:rPr>
          <w:rtl/>
        </w:rPr>
      </w:pPr>
      <w:r>
        <w:rPr>
          <w:rFonts w:hint="cs"/>
          <w:rtl/>
        </w:rPr>
        <w:t xml:space="preserve">    </w:t>
      </w:r>
      <w:r w:rsidR="00065E4B" w:rsidRPr="00C85F0F">
        <w:rPr>
          <w:rFonts w:hint="cs"/>
          <w:rtl/>
        </w:rPr>
        <w:t>ع</w:t>
      </w:r>
      <w:r w:rsidR="00C97663" w:rsidRPr="00C85F0F">
        <w:rPr>
          <w:rFonts w:hint="cs"/>
          <w:rtl/>
        </w:rPr>
        <w:t xml:space="preserve">بَّر الشيخ ابن عثيمين </w:t>
      </w:r>
      <w:r w:rsidR="004D15E3">
        <w:rPr>
          <w:rFonts w:hint="cs"/>
          <w:rtl/>
        </w:rPr>
        <w:t>_</w:t>
      </w:r>
      <w:r w:rsidR="009A0575" w:rsidRPr="005D5694">
        <w:rPr>
          <w:rFonts w:ascii="Traditional Arabic" w:hAnsi="Traditional Arabic" w:cs="CTraditional Arabic" w:hint="cs"/>
          <w:rtl/>
        </w:rPr>
        <w:t>/</w:t>
      </w:r>
      <w:r w:rsidR="004D15E3">
        <w:rPr>
          <w:rFonts w:hint="cs"/>
          <w:rtl/>
        </w:rPr>
        <w:t>_ عن هذه القاعدة بجملة</w:t>
      </w:r>
      <w:r w:rsidR="00C97663" w:rsidRPr="00C85F0F">
        <w:rPr>
          <w:rFonts w:hint="cs"/>
          <w:rtl/>
        </w:rPr>
        <w:t xml:space="preserve"> من الصيغ، منها:</w:t>
      </w:r>
    </w:p>
    <w:p w:rsidR="00C97663" w:rsidRPr="00C85F0F" w:rsidRDefault="00C97663" w:rsidP="000A76C7">
      <w:pPr>
        <w:pStyle w:val="afc"/>
        <w:numPr>
          <w:ilvl w:val="0"/>
          <w:numId w:val="220"/>
        </w:numPr>
      </w:pPr>
      <w:r w:rsidRPr="00C85F0F">
        <w:rPr>
          <w:rFonts w:hint="cs"/>
          <w:rtl/>
        </w:rPr>
        <w:t>إذا تَساوَت الحقوقُ نُقْرِع،</w:t>
      </w:r>
      <w:r w:rsidR="00154102" w:rsidRPr="00C85F0F">
        <w:rPr>
          <w:rFonts w:hint="cs"/>
          <w:rtl/>
        </w:rPr>
        <w:t xml:space="preserve"> و</w:t>
      </w:r>
      <w:r w:rsidRPr="00C85F0F">
        <w:rPr>
          <w:rFonts w:hint="cs"/>
          <w:rtl/>
        </w:rPr>
        <w:t>القُرْعة طريقٌ شرعي لِلْمُتَساوِيات</w:t>
      </w:r>
      <w:r w:rsidRPr="00C85F0F">
        <w:rPr>
          <w:rFonts w:hint="cs"/>
          <w:szCs w:val="32"/>
          <w:vertAlign w:val="superscript"/>
          <w:rtl/>
        </w:rPr>
        <w:t>(</w:t>
      </w:r>
      <w:r w:rsidRPr="00C85F0F">
        <w:rPr>
          <w:rStyle w:val="af1"/>
          <w:szCs w:val="32"/>
          <w:rtl/>
        </w:rPr>
        <w:footnoteReference w:id="1623"/>
      </w:r>
      <w:r w:rsidRPr="00C85F0F">
        <w:rPr>
          <w:rFonts w:hint="cs"/>
          <w:szCs w:val="32"/>
          <w:vertAlign w:val="superscript"/>
          <w:rtl/>
        </w:rPr>
        <w:t>)</w:t>
      </w:r>
      <w:r w:rsidRPr="00C85F0F">
        <w:rPr>
          <w:rFonts w:hint="cs"/>
          <w:rtl/>
        </w:rPr>
        <w:t>.</w:t>
      </w:r>
    </w:p>
    <w:p w:rsidR="00C97663" w:rsidRPr="00C85F0F" w:rsidRDefault="00C97663" w:rsidP="000A76C7">
      <w:pPr>
        <w:pStyle w:val="afc"/>
        <w:numPr>
          <w:ilvl w:val="0"/>
          <w:numId w:val="220"/>
        </w:numPr>
        <w:rPr>
          <w:rtl/>
        </w:rPr>
      </w:pPr>
      <w:r w:rsidRPr="00C85F0F">
        <w:rPr>
          <w:rFonts w:hint="cs"/>
          <w:rtl/>
        </w:rPr>
        <w:t>[القُرْعة] طريق شرعي لتعيين الْمُبْهَم</w:t>
      </w:r>
      <w:r w:rsidRPr="00C85F0F">
        <w:rPr>
          <w:rFonts w:hint="cs"/>
          <w:szCs w:val="32"/>
          <w:vertAlign w:val="superscript"/>
          <w:rtl/>
        </w:rPr>
        <w:t>(</w:t>
      </w:r>
      <w:r w:rsidRPr="00C85F0F">
        <w:rPr>
          <w:rStyle w:val="af1"/>
          <w:szCs w:val="32"/>
          <w:rtl/>
        </w:rPr>
        <w:footnoteReference w:id="1624"/>
      </w:r>
      <w:r w:rsidRPr="00C85F0F">
        <w:rPr>
          <w:rFonts w:hint="cs"/>
          <w:szCs w:val="32"/>
          <w:vertAlign w:val="superscript"/>
          <w:rtl/>
        </w:rPr>
        <w:t>)</w:t>
      </w:r>
      <w:r w:rsidRPr="00C85F0F">
        <w:rPr>
          <w:rFonts w:hint="cs"/>
          <w:rtl/>
        </w:rPr>
        <w:t>.</w:t>
      </w:r>
    </w:p>
    <w:p w:rsidR="00C97663" w:rsidRPr="00C85F0F" w:rsidRDefault="00C97663" w:rsidP="000A76C7">
      <w:pPr>
        <w:widowControl/>
        <w:numPr>
          <w:ilvl w:val="0"/>
          <w:numId w:val="220"/>
        </w:numPr>
        <w:autoSpaceDE w:val="0"/>
        <w:autoSpaceDN w:val="0"/>
        <w:adjustRightInd w:val="0"/>
        <w:jc w:val="left"/>
        <w:rPr>
          <w:rFonts w:ascii="Traditional Arabic" w:hAnsi="Traditional Arabic"/>
          <w:noProof w:val="0"/>
          <w:sz w:val="44"/>
          <w:szCs w:val="44"/>
          <w:lang w:eastAsia="en-US"/>
        </w:rPr>
      </w:pPr>
      <w:r w:rsidRPr="00C85F0F">
        <w:rPr>
          <w:rFonts w:ascii="Traditional Arabic" w:hAnsi="Traditional Arabic"/>
          <w:noProof w:val="0"/>
          <w:color w:val="auto"/>
          <w:rtl/>
          <w:lang w:eastAsia="en-US"/>
        </w:rPr>
        <w:t>القرعة سبيل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للت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عيين إذا لم 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جد غير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w:t>
      </w:r>
      <w:r w:rsidRPr="00C85F0F">
        <w:rPr>
          <w:rFonts w:ascii="Traditional Arabic" w:hAnsi="Traditional Arabic" w:hint="cs"/>
          <w:noProof w:val="0"/>
          <w:sz w:val="44"/>
          <w:szCs w:val="32"/>
          <w:vertAlign w:val="superscript"/>
          <w:rtl/>
          <w:lang w:eastAsia="en-US"/>
        </w:rPr>
        <w:t>(</w:t>
      </w:r>
      <w:r w:rsidRPr="00C85F0F">
        <w:rPr>
          <w:rStyle w:val="af1"/>
          <w:szCs w:val="32"/>
          <w:rtl/>
        </w:rPr>
        <w:footnoteReference w:id="1625"/>
      </w:r>
      <w:r w:rsidRPr="00C85F0F">
        <w:rPr>
          <w:rFonts w:ascii="Traditional Arabic" w:hAnsi="Traditional Arabic" w:hint="cs"/>
          <w:noProof w:val="0"/>
          <w:sz w:val="44"/>
          <w:szCs w:val="32"/>
          <w:vertAlign w:val="superscript"/>
          <w:rtl/>
          <w:lang w:eastAsia="en-US"/>
        </w:rPr>
        <w:t>)</w:t>
      </w:r>
      <w:r w:rsidRPr="00C85F0F">
        <w:rPr>
          <w:rFonts w:ascii="Traditional Arabic" w:hAnsi="Traditional Arabic" w:hint="cs"/>
          <w:noProof w:val="0"/>
          <w:sz w:val="44"/>
          <w:szCs w:val="44"/>
          <w:rtl/>
          <w:lang w:eastAsia="en-US"/>
        </w:rPr>
        <w:t>.</w:t>
      </w:r>
    </w:p>
    <w:p w:rsidR="00C97663" w:rsidRPr="00C85F0F" w:rsidRDefault="00C97663" w:rsidP="000A76C7">
      <w:pPr>
        <w:widowControl/>
        <w:numPr>
          <w:ilvl w:val="0"/>
          <w:numId w:val="220"/>
        </w:numPr>
        <w:autoSpaceDE w:val="0"/>
        <w:autoSpaceDN w:val="0"/>
        <w:adjustRightInd w:val="0"/>
        <w:jc w:val="left"/>
        <w:rPr>
          <w:rFonts w:ascii="Traditional Arabic" w:hAnsi="Traditional Arabic"/>
          <w:noProof w:val="0"/>
          <w:lang w:eastAsia="en-US"/>
        </w:rPr>
      </w:pPr>
      <w:r w:rsidRPr="00C85F0F">
        <w:rPr>
          <w:rFonts w:ascii="Traditional Arabic" w:hAnsi="Traditional Arabic"/>
          <w:noProof w:val="0"/>
          <w:rtl/>
          <w:lang w:eastAsia="en-US"/>
        </w:rPr>
        <w:t>القرعة ثابتة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كل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حق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ين متساوي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 xml:space="preserve"> لا يمكن التمييز بينهما</w:t>
      </w:r>
      <w:r w:rsidRPr="00C85F0F">
        <w:rPr>
          <w:rFonts w:ascii="Traditional Arabic" w:hAnsi="Traditional Arabic" w:hint="cs"/>
          <w:noProof w:val="0"/>
          <w:szCs w:val="32"/>
          <w:vertAlign w:val="superscript"/>
          <w:rtl/>
          <w:lang w:eastAsia="en-US"/>
        </w:rPr>
        <w:t>(</w:t>
      </w:r>
      <w:r w:rsidRPr="00C85F0F">
        <w:rPr>
          <w:rStyle w:val="af1"/>
          <w:rFonts w:ascii="Traditional Arabic" w:hAnsi="Traditional Arabic"/>
          <w:noProof w:val="0"/>
          <w:szCs w:val="32"/>
          <w:rtl/>
          <w:lang w:eastAsia="en-US"/>
        </w:rPr>
        <w:footnoteReference w:id="1626"/>
      </w:r>
      <w:r w:rsidRPr="00C85F0F">
        <w:rPr>
          <w:rFonts w:ascii="Traditional Arabic" w:hAnsi="Traditional Arabic" w:hint="cs"/>
          <w:noProof w:val="0"/>
          <w:szCs w:val="32"/>
          <w:vertAlign w:val="superscript"/>
          <w:rtl/>
          <w:lang w:eastAsia="en-US"/>
        </w:rPr>
        <w:t>)</w:t>
      </w:r>
      <w:r w:rsidRPr="00C85F0F">
        <w:rPr>
          <w:rFonts w:ascii="Traditional Arabic" w:hAnsi="Traditional Arabic" w:hint="cs"/>
          <w:noProof w:val="0"/>
          <w:rtl/>
          <w:lang w:eastAsia="en-US"/>
        </w:rPr>
        <w:t>.</w:t>
      </w:r>
    </w:p>
    <w:p w:rsidR="00C97663" w:rsidRPr="00C85F0F" w:rsidRDefault="00C97663" w:rsidP="000A76C7">
      <w:pPr>
        <w:widowControl/>
        <w:numPr>
          <w:ilvl w:val="0"/>
          <w:numId w:val="220"/>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t>القرعة طريق شرعي لإثبات المستحق</w:t>
      </w:r>
      <w:r w:rsidRPr="00C85F0F">
        <w:rPr>
          <w:rFonts w:ascii="Traditional Arabic" w:hAnsi="Traditional Arabic" w:hint="cs"/>
          <w:noProof w:val="0"/>
          <w:szCs w:val="32"/>
          <w:vertAlign w:val="superscript"/>
          <w:rtl/>
          <w:lang w:eastAsia="en-US"/>
        </w:rPr>
        <w:t>(</w:t>
      </w:r>
      <w:r w:rsidRPr="00C85F0F">
        <w:rPr>
          <w:rStyle w:val="af1"/>
          <w:rFonts w:ascii="Traditional Arabic" w:hAnsi="Traditional Arabic"/>
          <w:noProof w:val="0"/>
          <w:szCs w:val="32"/>
          <w:rtl/>
          <w:lang w:eastAsia="en-US"/>
        </w:rPr>
        <w:footnoteReference w:id="1627"/>
      </w:r>
      <w:r w:rsidRPr="00C85F0F">
        <w:rPr>
          <w:rFonts w:ascii="Traditional Arabic" w:hAnsi="Traditional Arabic" w:hint="cs"/>
          <w:noProof w:val="0"/>
          <w:szCs w:val="32"/>
          <w:vertAlign w:val="superscript"/>
          <w:rtl/>
          <w:lang w:eastAsia="en-US"/>
        </w:rPr>
        <w:t>)</w:t>
      </w:r>
      <w:r w:rsidRPr="00C85F0F">
        <w:rPr>
          <w:rFonts w:ascii="Traditional Arabic" w:hAnsi="Traditional Arabic" w:hint="cs"/>
          <w:noProof w:val="0"/>
          <w:rtl/>
          <w:lang w:eastAsia="en-US"/>
        </w:rPr>
        <w:t>.</w:t>
      </w:r>
    </w:p>
    <w:p w:rsidR="0027446A" w:rsidRDefault="0027446A" w:rsidP="0027446A">
      <w:pPr>
        <w:widowControl/>
        <w:autoSpaceDE w:val="0"/>
        <w:autoSpaceDN w:val="0"/>
        <w:adjustRightInd w:val="0"/>
        <w:ind w:left="1891" w:firstLine="0"/>
        <w:jc w:val="left"/>
        <w:rPr>
          <w:rFonts w:ascii="Traditional Arabic" w:hAnsi="Traditional Arabic"/>
          <w:noProof w:val="0"/>
          <w:lang w:eastAsia="en-US"/>
        </w:rPr>
      </w:pPr>
    </w:p>
    <w:p w:rsidR="00065E4B" w:rsidRPr="00C85F0F" w:rsidRDefault="00C97663" w:rsidP="000A76C7">
      <w:pPr>
        <w:widowControl/>
        <w:numPr>
          <w:ilvl w:val="0"/>
          <w:numId w:val="220"/>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lastRenderedPageBreak/>
        <w:t>كلُّ ما اشتَبَه فيه الأمرُ بدون تمييز،</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بدون أن يخرُج مخرَج الميسِر، فإن القرعة تجري فيه</w:t>
      </w:r>
      <w:r w:rsidRPr="00C85F0F">
        <w:rPr>
          <w:rFonts w:ascii="Traditional Arabic" w:hAnsi="Traditional Arabic" w:hint="cs"/>
          <w:noProof w:val="0"/>
          <w:szCs w:val="32"/>
          <w:vertAlign w:val="superscript"/>
          <w:rtl/>
          <w:lang w:eastAsia="en-US"/>
        </w:rPr>
        <w:t>(</w:t>
      </w:r>
      <w:r w:rsidRPr="00C85F0F">
        <w:rPr>
          <w:rStyle w:val="af1"/>
          <w:rFonts w:ascii="Traditional Arabic" w:hAnsi="Traditional Arabic"/>
          <w:noProof w:val="0"/>
          <w:szCs w:val="32"/>
          <w:rtl/>
          <w:lang w:eastAsia="en-US"/>
        </w:rPr>
        <w:footnoteReference w:id="1628"/>
      </w:r>
      <w:r w:rsidRPr="00C85F0F">
        <w:rPr>
          <w:rFonts w:ascii="Traditional Arabic" w:hAnsi="Traditional Arabic" w:hint="cs"/>
          <w:noProof w:val="0"/>
          <w:szCs w:val="32"/>
          <w:vertAlign w:val="superscript"/>
          <w:rtl/>
          <w:lang w:eastAsia="en-US"/>
        </w:rPr>
        <w:t>)</w:t>
      </w:r>
      <w:r w:rsidRPr="00C85F0F">
        <w:rPr>
          <w:rFonts w:ascii="Traditional Arabic" w:hAnsi="Traditional Arabic" w:hint="cs"/>
          <w:noProof w:val="0"/>
          <w:rtl/>
          <w:lang w:eastAsia="en-US"/>
        </w:rPr>
        <w:t>.</w:t>
      </w:r>
    </w:p>
    <w:p w:rsidR="00C97663" w:rsidRPr="00C85F0F" w:rsidRDefault="00065E4B" w:rsidP="00597C20">
      <w:pPr>
        <w:widowControl/>
        <w:autoSpaceDE w:val="0"/>
        <w:autoSpaceDN w:val="0"/>
        <w:adjustRightInd w:val="0"/>
        <w:jc w:val="left"/>
        <w:rPr>
          <w:rFonts w:ascii="Traditional Arabic" w:hAnsi="Traditional Arabic"/>
          <w:noProof w:val="0"/>
          <w:rtl/>
          <w:lang w:eastAsia="en-US"/>
        </w:rPr>
      </w:pPr>
      <w:r w:rsidRPr="00C85F0F">
        <w:rPr>
          <w:rFonts w:ascii="Traditional Arabic" w:hAnsi="Traditional Arabic" w:hint="cs"/>
          <w:noProof w:val="0"/>
          <w:rtl/>
          <w:lang w:eastAsia="en-US"/>
        </w:rPr>
        <w:t>و</w:t>
      </w:r>
      <w:r w:rsidR="00C97663" w:rsidRPr="00C85F0F">
        <w:rPr>
          <w:rFonts w:ascii="Traditional Arabic" w:hAnsi="Traditional Arabic" w:hint="cs"/>
          <w:noProof w:val="0"/>
          <w:rtl/>
          <w:lang w:eastAsia="en-US"/>
        </w:rPr>
        <w:t>من الصيغ التي وردت بها القاعدة عند علماء القواعد</w:t>
      </w:r>
      <w:r w:rsidR="00C97663" w:rsidRPr="00C85F0F">
        <w:rPr>
          <w:rFonts w:ascii="Traditional Arabic" w:hAnsi="Traditional Arabic" w:hint="cs"/>
          <w:noProof w:val="0"/>
          <w:szCs w:val="32"/>
          <w:vertAlign w:val="superscript"/>
          <w:rtl/>
          <w:lang w:eastAsia="en-US"/>
        </w:rPr>
        <w:t>(</w:t>
      </w:r>
      <w:r w:rsidR="00C97663" w:rsidRPr="00C85F0F">
        <w:rPr>
          <w:rStyle w:val="af1"/>
          <w:rFonts w:ascii="Traditional Arabic" w:hAnsi="Traditional Arabic"/>
          <w:noProof w:val="0"/>
          <w:szCs w:val="32"/>
          <w:rtl/>
          <w:lang w:eastAsia="en-US"/>
        </w:rPr>
        <w:footnoteReference w:id="1629"/>
      </w:r>
      <w:r w:rsidR="00C97663" w:rsidRPr="00C85F0F">
        <w:rPr>
          <w:rFonts w:ascii="Traditional Arabic" w:hAnsi="Traditional Arabic" w:hint="cs"/>
          <w:noProof w:val="0"/>
          <w:szCs w:val="32"/>
          <w:vertAlign w:val="superscript"/>
          <w:rtl/>
          <w:lang w:eastAsia="en-US"/>
        </w:rPr>
        <w:t>)</w:t>
      </w:r>
      <w:r w:rsidR="00C97663" w:rsidRPr="00C85F0F">
        <w:rPr>
          <w:rFonts w:ascii="Traditional Arabic" w:hAnsi="Traditional Arabic" w:hint="cs"/>
          <w:noProof w:val="0"/>
          <w:rtl/>
          <w:lang w:eastAsia="en-US"/>
        </w:rPr>
        <w:t>:</w:t>
      </w:r>
    </w:p>
    <w:p w:rsidR="00C97663" w:rsidRPr="00C85F0F" w:rsidRDefault="00C97663" w:rsidP="000A76C7">
      <w:pPr>
        <w:pStyle w:val="afc"/>
        <w:widowControl/>
        <w:numPr>
          <w:ilvl w:val="0"/>
          <w:numId w:val="222"/>
        </w:numPr>
        <w:autoSpaceDE w:val="0"/>
        <w:autoSpaceDN w:val="0"/>
        <w:adjustRightInd w:val="0"/>
        <w:jc w:val="left"/>
        <w:rPr>
          <w:rFonts w:ascii="Traditional Arabic" w:hAnsi="Traditional Arabic"/>
          <w:noProof w:val="0"/>
          <w:color w:val="auto"/>
          <w:rtl/>
          <w:lang w:eastAsia="en-US"/>
        </w:rPr>
      </w:pPr>
      <w:r w:rsidRPr="00C85F0F">
        <w:rPr>
          <w:rFonts w:ascii="Traditional Arabic" w:hAnsi="Traditional Arabic"/>
          <w:noProof w:val="0"/>
          <w:color w:val="auto"/>
          <w:rtl/>
          <w:lang w:eastAsia="en-US"/>
        </w:rPr>
        <w:t>كل حق</w:t>
      </w:r>
      <w:r w:rsidRPr="00C85F0F">
        <w:rPr>
          <w:rFonts w:ascii="Traditional Arabic" w:hAnsi="Traditional Arabic" w:hint="cs"/>
          <w:noProof w:val="0"/>
          <w:color w:val="auto"/>
          <w:rtl/>
          <w:lang w:eastAsia="en-US"/>
        </w:rPr>
        <w:t>ٍّ</w:t>
      </w:r>
      <w:r w:rsidR="008179F4">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اخت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لط بغير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وجه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لنا الق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 في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szCs w:val="32"/>
          <w:vertAlign w:val="superscript"/>
          <w:rtl/>
          <w:lang w:eastAsia="en-US"/>
        </w:rPr>
        <w:t>(</w:t>
      </w:r>
      <w:r w:rsidRPr="00C85F0F">
        <w:rPr>
          <w:rStyle w:val="af1"/>
          <w:rFonts w:ascii="Traditional Arabic" w:hAnsi="Traditional Arabic"/>
          <w:noProof w:val="0"/>
          <w:color w:val="auto"/>
          <w:szCs w:val="32"/>
          <w:rtl/>
          <w:lang w:eastAsia="en-US"/>
        </w:rPr>
        <w:footnoteReference w:id="1630"/>
      </w:r>
      <w:r w:rsidRPr="00C85F0F">
        <w:rPr>
          <w:rFonts w:ascii="Traditional Arabic" w:hAnsi="Traditional Arabic" w:hint="cs"/>
          <w:noProof w:val="0"/>
          <w:color w:val="auto"/>
          <w:szCs w:val="32"/>
          <w:vertAlign w:val="superscript"/>
          <w:rtl/>
          <w:lang w:eastAsia="en-US"/>
        </w:rPr>
        <w:t>)</w:t>
      </w:r>
      <w:r w:rsidRPr="00C85F0F">
        <w:rPr>
          <w:rFonts w:ascii="Traditional Arabic" w:hAnsi="Traditional Arabic" w:hint="cs"/>
          <w:noProof w:val="0"/>
          <w:color w:val="auto"/>
          <w:rtl/>
          <w:lang w:eastAsia="en-US"/>
        </w:rPr>
        <w:t>.</w:t>
      </w:r>
    </w:p>
    <w:p w:rsidR="00C97663" w:rsidRPr="00C85F0F" w:rsidRDefault="00C97663" w:rsidP="000A76C7">
      <w:pPr>
        <w:pStyle w:val="afc"/>
        <w:widowControl/>
        <w:numPr>
          <w:ilvl w:val="0"/>
          <w:numId w:val="221"/>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t>القرعة طريق شرعي للتمييز بين المستحِقِّين</w:t>
      </w:r>
      <w:r w:rsidRPr="00C85F0F">
        <w:rPr>
          <w:rFonts w:ascii="Traditional Arabic" w:hAnsi="Traditional Arabic" w:hint="cs"/>
          <w:noProof w:val="0"/>
          <w:szCs w:val="32"/>
          <w:vertAlign w:val="superscript"/>
          <w:rtl/>
          <w:lang w:eastAsia="en-US"/>
        </w:rPr>
        <w:t>(</w:t>
      </w:r>
      <w:r w:rsidRPr="00C85F0F">
        <w:rPr>
          <w:rStyle w:val="af1"/>
          <w:rFonts w:ascii="Traditional Arabic" w:hAnsi="Traditional Arabic"/>
          <w:noProof w:val="0"/>
          <w:szCs w:val="32"/>
          <w:rtl/>
          <w:lang w:eastAsia="en-US"/>
        </w:rPr>
        <w:footnoteReference w:id="1631"/>
      </w:r>
      <w:r w:rsidRPr="00C85F0F">
        <w:rPr>
          <w:rFonts w:ascii="Traditional Arabic" w:hAnsi="Traditional Arabic" w:hint="cs"/>
          <w:noProof w:val="0"/>
          <w:szCs w:val="32"/>
          <w:vertAlign w:val="superscript"/>
          <w:rtl/>
          <w:lang w:eastAsia="en-US"/>
        </w:rPr>
        <w:t>)</w:t>
      </w:r>
      <w:r w:rsidRPr="00C85F0F">
        <w:rPr>
          <w:rFonts w:ascii="Traditional Arabic" w:hAnsi="Traditional Arabic" w:hint="cs"/>
          <w:noProof w:val="0"/>
          <w:rtl/>
          <w:lang w:eastAsia="en-US"/>
        </w:rPr>
        <w:t>.</w:t>
      </w:r>
    </w:p>
    <w:p w:rsidR="00C97663" w:rsidRPr="00C85F0F" w:rsidRDefault="00C97663" w:rsidP="000A76C7">
      <w:pPr>
        <w:pStyle w:val="afc"/>
        <w:widowControl/>
        <w:numPr>
          <w:ilvl w:val="0"/>
          <w:numId w:val="221"/>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noProof w:val="0"/>
          <w:color w:val="auto"/>
          <w:rtl/>
          <w:lang w:eastAsia="en-US"/>
        </w:rPr>
        <w:t>الحقوق إذا 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ساو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 على وجه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لا يمكن التمييز بينها إلا </w:t>
      </w:r>
      <w:r w:rsidRPr="00C85F0F">
        <w:rPr>
          <w:rFonts w:ascii="Traditional Arabic" w:hAnsi="Traditional Arabic" w:hint="cs"/>
          <w:noProof w:val="0"/>
          <w:color w:val="auto"/>
          <w:rtl/>
          <w:lang w:eastAsia="en-US"/>
        </w:rPr>
        <w:t>با</w:t>
      </w:r>
      <w:r w:rsidRPr="00C85F0F">
        <w:rPr>
          <w:rFonts w:ascii="Traditional Arabic" w:hAnsi="Traditional Arabic"/>
          <w:noProof w:val="0"/>
          <w:color w:val="auto"/>
          <w:rtl/>
          <w:lang w:eastAsia="en-US"/>
        </w:rPr>
        <w:t>لقرعة صح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استعمال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 فيها</w:t>
      </w:r>
      <w:r w:rsidRPr="00C85F0F">
        <w:rPr>
          <w:rFonts w:ascii="Traditional Arabic" w:hAnsi="Traditional Arabic" w:hint="cs"/>
          <w:noProof w:val="0"/>
          <w:color w:val="auto"/>
          <w:szCs w:val="32"/>
          <w:vertAlign w:val="superscript"/>
          <w:rtl/>
          <w:lang w:eastAsia="en-US"/>
        </w:rPr>
        <w:t>(</w:t>
      </w:r>
      <w:r w:rsidRPr="00C85F0F">
        <w:rPr>
          <w:rStyle w:val="af1"/>
          <w:rFonts w:ascii="Traditional Arabic" w:hAnsi="Traditional Arabic"/>
          <w:noProof w:val="0"/>
          <w:color w:val="auto"/>
          <w:szCs w:val="32"/>
          <w:rtl/>
          <w:lang w:eastAsia="en-US"/>
        </w:rPr>
        <w:footnoteReference w:id="1632"/>
      </w:r>
      <w:r w:rsidRPr="00C85F0F">
        <w:rPr>
          <w:rFonts w:ascii="Traditional Arabic" w:hAnsi="Traditional Arabic" w:hint="cs"/>
          <w:noProof w:val="0"/>
          <w:color w:val="auto"/>
          <w:szCs w:val="32"/>
          <w:vertAlign w:val="superscript"/>
          <w:rtl/>
          <w:lang w:eastAsia="en-US"/>
        </w:rPr>
        <w:t>)</w:t>
      </w:r>
      <w:r w:rsidRPr="00C85F0F">
        <w:rPr>
          <w:rFonts w:ascii="Traditional Arabic" w:hAnsi="Traditional Arabic" w:hint="cs"/>
          <w:noProof w:val="0"/>
          <w:color w:val="auto"/>
          <w:rtl/>
          <w:lang w:eastAsia="en-US"/>
        </w:rPr>
        <w:t>.</w:t>
      </w:r>
    </w:p>
    <w:p w:rsidR="00065E4B" w:rsidRPr="00C85F0F" w:rsidRDefault="00C97663" w:rsidP="000A76C7">
      <w:pPr>
        <w:pStyle w:val="afc"/>
        <w:widowControl/>
        <w:numPr>
          <w:ilvl w:val="0"/>
          <w:numId w:val="221"/>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t>تُستعمَل القرعة في تمييز المستحق إذا ثبت الاستحقاق ابتداءً لِمُبْهَمٍ غيرِ معيَّن عند تساوي أهلِ الاستحقاق،</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يُستعمل أيضا في تمييز المستحق</w:t>
      </w:r>
    </w:p>
    <w:p w:rsidR="00C97663" w:rsidRPr="00C85F0F" w:rsidRDefault="00065E4B" w:rsidP="00597C20">
      <w:pPr>
        <w:widowControl/>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t>ا</w:t>
      </w:r>
      <w:r w:rsidR="00C97663" w:rsidRPr="00C85F0F">
        <w:rPr>
          <w:rFonts w:ascii="Traditional Arabic" w:hAnsi="Traditional Arabic" w:hint="cs"/>
          <w:noProof w:val="0"/>
          <w:rtl/>
          <w:lang w:eastAsia="en-US"/>
        </w:rPr>
        <w:t>لمعيَّن في نفس الأمر عند اشتباهِه</w:t>
      </w:r>
      <w:r w:rsidR="00154102" w:rsidRPr="00C85F0F">
        <w:rPr>
          <w:rFonts w:ascii="Traditional Arabic" w:hAnsi="Traditional Arabic" w:hint="cs"/>
          <w:noProof w:val="0"/>
          <w:rtl/>
          <w:lang w:eastAsia="en-US"/>
        </w:rPr>
        <w:t xml:space="preserve"> و</w:t>
      </w:r>
      <w:r w:rsidR="00C97663" w:rsidRPr="00C85F0F">
        <w:rPr>
          <w:rFonts w:ascii="Traditional Arabic" w:hAnsi="Traditional Arabic" w:hint="cs"/>
          <w:noProof w:val="0"/>
          <w:rtl/>
          <w:lang w:eastAsia="en-US"/>
        </w:rPr>
        <w:t>العجز عن الاطلاع عليه</w:t>
      </w:r>
      <w:r w:rsidR="00C97663" w:rsidRPr="00C85F0F">
        <w:rPr>
          <w:rFonts w:ascii="Traditional Arabic" w:hAnsi="Traditional Arabic" w:hint="cs"/>
          <w:noProof w:val="0"/>
          <w:szCs w:val="32"/>
          <w:vertAlign w:val="superscript"/>
          <w:rtl/>
          <w:lang w:eastAsia="en-US"/>
        </w:rPr>
        <w:t>(</w:t>
      </w:r>
      <w:r w:rsidR="00C97663" w:rsidRPr="00C85F0F">
        <w:rPr>
          <w:rStyle w:val="af1"/>
          <w:rFonts w:ascii="Traditional Arabic" w:hAnsi="Traditional Arabic"/>
          <w:noProof w:val="0"/>
          <w:szCs w:val="32"/>
          <w:rtl/>
          <w:lang w:eastAsia="en-US"/>
        </w:rPr>
        <w:footnoteReference w:id="1633"/>
      </w:r>
      <w:r w:rsidR="00C97663" w:rsidRPr="00C85F0F">
        <w:rPr>
          <w:rFonts w:ascii="Traditional Arabic" w:hAnsi="Traditional Arabic" w:hint="cs"/>
          <w:noProof w:val="0"/>
          <w:szCs w:val="32"/>
          <w:vertAlign w:val="superscript"/>
          <w:rtl/>
          <w:lang w:eastAsia="en-US"/>
        </w:rPr>
        <w:t>)</w:t>
      </w:r>
      <w:r w:rsidR="00C97663" w:rsidRPr="00C85F0F">
        <w:rPr>
          <w:rFonts w:ascii="Traditional Arabic" w:hAnsi="Traditional Arabic" w:hint="cs"/>
          <w:noProof w:val="0"/>
          <w:rtl/>
          <w:lang w:eastAsia="en-US"/>
        </w:rPr>
        <w:t>.</w:t>
      </w:r>
    </w:p>
    <w:p w:rsidR="00C97663" w:rsidRPr="00C85F0F" w:rsidRDefault="00C97663" w:rsidP="000A76C7">
      <w:pPr>
        <w:pStyle w:val="afc"/>
        <w:widowControl/>
        <w:numPr>
          <w:ilvl w:val="0"/>
          <w:numId w:val="221"/>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t>تُستعمل القرعة عند التَّزاحُم</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لا مُمَيِّزَ لأحدهما، أو إذا علِمنا أن الشيء لأحدهما</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جهِلناه</w:t>
      </w:r>
      <w:r w:rsidRPr="00C85F0F">
        <w:rPr>
          <w:rFonts w:ascii="Traditional Arabic" w:hAnsi="Traditional Arabic" w:hint="cs"/>
          <w:noProof w:val="0"/>
          <w:szCs w:val="32"/>
          <w:vertAlign w:val="superscript"/>
          <w:rtl/>
          <w:lang w:eastAsia="en-US"/>
        </w:rPr>
        <w:t>(</w:t>
      </w:r>
      <w:r w:rsidRPr="00C85F0F">
        <w:rPr>
          <w:rStyle w:val="af1"/>
          <w:rFonts w:ascii="Traditional Arabic" w:hAnsi="Traditional Arabic"/>
          <w:noProof w:val="0"/>
          <w:szCs w:val="32"/>
          <w:rtl/>
          <w:lang w:eastAsia="en-US"/>
        </w:rPr>
        <w:footnoteReference w:id="1634"/>
      </w:r>
      <w:r w:rsidRPr="00C85F0F">
        <w:rPr>
          <w:rFonts w:ascii="Traditional Arabic" w:hAnsi="Traditional Arabic" w:hint="cs"/>
          <w:noProof w:val="0"/>
          <w:szCs w:val="32"/>
          <w:vertAlign w:val="superscript"/>
          <w:rtl/>
          <w:lang w:eastAsia="en-US"/>
        </w:rPr>
        <w:t>)</w:t>
      </w:r>
      <w:r w:rsidRPr="00C85F0F">
        <w:rPr>
          <w:rFonts w:ascii="Traditional Arabic" w:hAnsi="Traditional Arabic" w:hint="cs"/>
          <w:noProof w:val="0"/>
          <w:rtl/>
          <w:lang w:eastAsia="en-US"/>
        </w:rPr>
        <w:t>.</w:t>
      </w:r>
    </w:p>
    <w:p w:rsidR="00C97663" w:rsidRPr="00C85F0F" w:rsidRDefault="00C97663" w:rsidP="000A76C7">
      <w:pPr>
        <w:pStyle w:val="afc"/>
        <w:widowControl/>
        <w:numPr>
          <w:ilvl w:val="0"/>
          <w:numId w:val="221"/>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t>استعمال القرعة لِتمييز المستحق أصلٌ في الشرع</w:t>
      </w:r>
      <w:r w:rsidRPr="00C85F0F">
        <w:rPr>
          <w:rFonts w:ascii="Traditional Arabic" w:hAnsi="Traditional Arabic" w:hint="cs"/>
          <w:noProof w:val="0"/>
          <w:szCs w:val="32"/>
          <w:vertAlign w:val="superscript"/>
          <w:rtl/>
          <w:lang w:eastAsia="en-US"/>
        </w:rPr>
        <w:t>(</w:t>
      </w:r>
      <w:r w:rsidRPr="00C85F0F">
        <w:rPr>
          <w:rStyle w:val="af1"/>
          <w:rFonts w:ascii="Traditional Arabic" w:hAnsi="Traditional Arabic"/>
          <w:noProof w:val="0"/>
          <w:szCs w:val="32"/>
          <w:rtl/>
          <w:lang w:eastAsia="en-US"/>
        </w:rPr>
        <w:footnoteReference w:id="1635"/>
      </w:r>
      <w:r w:rsidRPr="00C85F0F">
        <w:rPr>
          <w:rFonts w:ascii="Traditional Arabic" w:hAnsi="Traditional Arabic" w:hint="cs"/>
          <w:noProof w:val="0"/>
          <w:szCs w:val="32"/>
          <w:vertAlign w:val="superscript"/>
          <w:rtl/>
          <w:lang w:eastAsia="en-US"/>
        </w:rPr>
        <w:t>)</w:t>
      </w:r>
      <w:r w:rsidRPr="00C85F0F">
        <w:rPr>
          <w:rFonts w:ascii="Traditional Arabic" w:hAnsi="Traditional Arabic" w:hint="cs"/>
          <w:noProof w:val="0"/>
          <w:rtl/>
          <w:lang w:eastAsia="en-US"/>
        </w:rPr>
        <w:t>.</w:t>
      </w:r>
    </w:p>
    <w:p w:rsidR="00C97663" w:rsidRPr="00C85F0F" w:rsidRDefault="00C97663" w:rsidP="000A76C7">
      <w:pPr>
        <w:pStyle w:val="afc"/>
        <w:widowControl/>
        <w:numPr>
          <w:ilvl w:val="0"/>
          <w:numId w:val="221"/>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lastRenderedPageBreak/>
        <w:t>الحقوق إذا تَساوَتْ مِن غير تمييزٍ استُعملتْ القرعة</w:t>
      </w:r>
      <w:r w:rsidRPr="00C85F0F">
        <w:rPr>
          <w:rStyle w:val="af1"/>
          <w:szCs w:val="32"/>
          <w:rtl/>
        </w:rPr>
        <w:t>(</w:t>
      </w:r>
      <w:r w:rsidRPr="00C85F0F">
        <w:rPr>
          <w:rStyle w:val="af1"/>
          <w:szCs w:val="32"/>
          <w:rtl/>
        </w:rPr>
        <w:footnoteReference w:id="1636"/>
      </w:r>
      <w:r w:rsidRPr="00C85F0F">
        <w:rPr>
          <w:rStyle w:val="af1"/>
          <w:szCs w:val="32"/>
          <w:rtl/>
        </w:rPr>
        <w:t>)</w:t>
      </w:r>
      <w:r w:rsidRPr="00C85F0F">
        <w:rPr>
          <w:rFonts w:ascii="Traditional Arabic" w:hAnsi="Traditional Arabic" w:hint="cs"/>
          <w:noProof w:val="0"/>
          <w:rtl/>
          <w:lang w:eastAsia="en-US"/>
        </w:rPr>
        <w:t>.</w:t>
      </w:r>
    </w:p>
    <w:p w:rsidR="00C97663" w:rsidRPr="00C85F0F" w:rsidRDefault="007B191B" w:rsidP="00A8347C">
      <w:pPr>
        <w:pStyle w:val="aff3"/>
        <w:rPr>
          <w:rtl/>
        </w:rPr>
      </w:pPr>
      <w:bookmarkStart w:id="328" w:name="_Toc334046537"/>
      <w:r>
        <w:rPr>
          <w:rFonts w:hint="cs"/>
          <w:rtl/>
        </w:rPr>
        <w:t xml:space="preserve">                                        المطلب</w:t>
      </w:r>
      <w:r w:rsidR="0027446A">
        <w:rPr>
          <w:rFonts w:hint="cs"/>
          <w:rtl/>
        </w:rPr>
        <w:t xml:space="preserve"> </w:t>
      </w:r>
      <w:r w:rsidR="00C97663" w:rsidRPr="00C85F0F">
        <w:rPr>
          <w:rFonts w:hint="cs"/>
          <w:rtl/>
        </w:rPr>
        <w:t>الثاني</w:t>
      </w:r>
      <w:r w:rsidR="00C97663" w:rsidRPr="00C85F0F">
        <w:rPr>
          <w:rFonts w:hint="eastAsia"/>
          <w:rtl/>
        </w:rPr>
        <w:t> :</w:t>
      </w:r>
      <w:r w:rsidR="00C97663" w:rsidRPr="00C85F0F">
        <w:rPr>
          <w:rFonts w:hint="cs"/>
          <w:rtl/>
        </w:rPr>
        <w:br/>
      </w:r>
      <w:r>
        <w:rPr>
          <w:rFonts w:hint="cs"/>
          <w:rtl/>
        </w:rPr>
        <w:t xml:space="preserve">                                         </w:t>
      </w:r>
      <w:r w:rsidR="00C97663" w:rsidRPr="00C85F0F">
        <w:rPr>
          <w:rFonts w:hint="cs"/>
          <w:rtl/>
        </w:rPr>
        <w:t>شرح القاعدة</w:t>
      </w:r>
      <w:bookmarkEnd w:id="328"/>
    </w:p>
    <w:p w:rsidR="00F60BF3" w:rsidRDefault="00C97663" w:rsidP="00EA2BD7">
      <w:pPr>
        <w:pStyle w:val="53"/>
        <w:rPr>
          <w:b w:val="0"/>
          <w:rtl/>
        </w:rPr>
      </w:pPr>
      <w:r w:rsidRPr="00EA2BD7">
        <w:rPr>
          <w:rFonts w:hint="cs"/>
          <w:rtl/>
        </w:rPr>
        <w:t>القُرْعَة</w:t>
      </w:r>
      <w:r w:rsidR="00AB0B9E" w:rsidRPr="00EA2BD7">
        <w:fldChar w:fldCharType="begin"/>
      </w:r>
      <w:r w:rsidR="004E2D02" w:rsidRPr="00EA2BD7">
        <w:instrText>XE</w:instrText>
      </w:r>
      <w:r w:rsidR="004E2D02" w:rsidRPr="00EA2BD7">
        <w:rPr>
          <w:rtl/>
        </w:rPr>
        <w:instrText xml:space="preserve"> "</w:instrText>
      </w:r>
      <w:r w:rsidR="004E2D02" w:rsidRPr="00EA2BD7">
        <w:rPr>
          <w:rFonts w:hint="cs"/>
          <w:rtl/>
        </w:rPr>
        <w:instrText>القُرْعَة</w:instrText>
      </w:r>
      <w:r w:rsidR="004E2D02" w:rsidRPr="00EA2BD7">
        <w:rPr>
          <w:rtl/>
        </w:rPr>
        <w:instrText>" \</w:instrText>
      </w:r>
      <w:r w:rsidR="004E2D02" w:rsidRPr="00EA2BD7">
        <w:instrText>fm</w:instrText>
      </w:r>
      <w:r w:rsidR="00AB0B9E" w:rsidRPr="00EA2BD7">
        <w:fldChar w:fldCharType="end"/>
      </w:r>
      <w:r>
        <w:rPr>
          <w:rFonts w:hint="cs"/>
          <w:b w:val="0"/>
          <w:rtl/>
        </w:rPr>
        <w:t xml:space="preserve"> لغة :</w:t>
      </w:r>
    </w:p>
    <w:p w:rsidR="00F228A9" w:rsidRPr="00F60BF3" w:rsidRDefault="00C97663" w:rsidP="00597C20">
      <w:pPr>
        <w:widowControl/>
        <w:autoSpaceDE w:val="0"/>
        <w:autoSpaceDN w:val="0"/>
        <w:adjustRightInd w:val="0"/>
        <w:ind w:firstLine="720"/>
        <w:rPr>
          <w:rFonts w:ascii="Traditional Arabic" w:hAnsi="Traditional Arabic"/>
          <w:noProof w:val="0"/>
          <w:rtl/>
          <w:lang w:eastAsia="en-US"/>
        </w:rPr>
      </w:pPr>
      <w:r w:rsidRPr="00F60BF3">
        <w:rPr>
          <w:rFonts w:ascii="Traditional Arabic" w:hAnsi="Traditional Arabic" w:hint="cs"/>
          <w:noProof w:val="0"/>
          <w:rtl/>
          <w:lang w:eastAsia="en-US"/>
        </w:rPr>
        <w:t xml:space="preserve">يقول </w:t>
      </w:r>
      <w:r w:rsidR="002511EE">
        <w:rPr>
          <w:rFonts w:ascii="Traditional Arabic" w:hAnsi="Traditional Arabic" w:hint="cs"/>
          <w:noProof w:val="0"/>
          <w:rtl/>
          <w:lang w:eastAsia="en-US"/>
        </w:rPr>
        <w:t xml:space="preserve"> </w:t>
      </w:r>
      <w:r w:rsidRPr="00F60BF3">
        <w:rPr>
          <w:rFonts w:ascii="Traditional Arabic" w:hAnsi="Traditional Arabic" w:hint="cs"/>
          <w:noProof w:val="0"/>
          <w:rtl/>
          <w:lang w:eastAsia="en-US"/>
        </w:rPr>
        <w:t xml:space="preserve">ابن فارس </w:t>
      </w:r>
      <w:r w:rsidR="002511EE">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2511EE">
        <w:rPr>
          <w:rFonts w:ascii="Traditional Arabic" w:hAnsi="Traditional Arabic" w:hint="cs"/>
          <w:noProof w:val="0"/>
          <w:rtl/>
          <w:lang w:eastAsia="en-US"/>
        </w:rPr>
        <w:t>_</w:t>
      </w:r>
      <w:r w:rsidRPr="00F60BF3">
        <w:rPr>
          <w:rFonts w:ascii="Traditional Arabic" w:hAnsi="Traditional Arabic" w:hint="cs"/>
          <w:noProof w:val="0"/>
          <w:rtl/>
          <w:lang w:eastAsia="en-US"/>
        </w:rPr>
        <w:t xml:space="preserve"> :</w:t>
      </w:r>
      <w:r w:rsidR="00B76414" w:rsidRPr="00F60BF3">
        <w:rPr>
          <w:rFonts w:ascii="Traditional Arabic" w:hAnsi="Traditional Arabic" w:hint="cs"/>
          <w:noProof w:val="0"/>
          <w:rtl/>
          <w:lang w:eastAsia="en-US"/>
        </w:rPr>
        <w:t>(</w:t>
      </w:r>
      <w:r w:rsidRPr="00F60BF3">
        <w:rPr>
          <w:rFonts w:ascii="Traditional Arabic" w:hAnsi="Traditional Arabic"/>
          <w:noProof w:val="0"/>
          <w:rtl/>
          <w:lang w:eastAsia="en-US"/>
        </w:rPr>
        <w:t>القاف والراء والعين</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 xml:space="preserve"> م</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ع</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ظ</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مُ البابِ ضربُ الشيء. يقال قَرَعْتُ الشيءَ أقرَعُه: ضربتُه..</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 xml:space="preserve"> والإق</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راع وال</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مُقارَعة: هي ال</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م</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ساه</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مة</w:t>
      </w:r>
      <w:r w:rsidRPr="00F60BF3">
        <w:rPr>
          <w:rFonts w:ascii="Traditional Arabic" w:hAnsi="Traditional Arabic" w:hint="cs"/>
          <w:noProof w:val="0"/>
          <w:rtl/>
          <w:lang w:eastAsia="en-US"/>
        </w:rPr>
        <w:t>،</w:t>
      </w:r>
      <w:r w:rsidR="002511EE">
        <w:rPr>
          <w:rFonts w:ascii="Traditional Arabic" w:hAnsi="Traditional Arabic" w:hint="cs"/>
          <w:noProof w:val="0"/>
          <w:rtl/>
          <w:lang w:eastAsia="en-US"/>
        </w:rPr>
        <w:t xml:space="preserve"> </w:t>
      </w:r>
      <w:r w:rsidRPr="00F60BF3">
        <w:rPr>
          <w:rFonts w:ascii="Traditional Arabic" w:hAnsi="Traditional Arabic"/>
          <w:noProof w:val="0"/>
          <w:rtl/>
          <w:lang w:eastAsia="en-US"/>
        </w:rPr>
        <w:t>و</w:t>
      </w:r>
      <w:r w:rsidRPr="00F60BF3">
        <w:rPr>
          <w:rFonts w:ascii="Traditional Arabic" w:hAnsi="Traditional Arabic" w:hint="cs"/>
          <w:noProof w:val="0"/>
          <w:rtl/>
          <w:lang w:eastAsia="en-US"/>
        </w:rPr>
        <w:t>سُ</w:t>
      </w:r>
      <w:r w:rsidRPr="00F60BF3">
        <w:rPr>
          <w:rFonts w:ascii="Traditional Arabic" w:hAnsi="Traditional Arabic"/>
          <w:noProof w:val="0"/>
          <w:rtl/>
          <w:lang w:eastAsia="en-US"/>
        </w:rPr>
        <w:t>مِّيت بذلك</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 xml:space="preserve"> لأنَّها شيءٌ كأنَّه يُضرَب. وقار</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ع</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تُ فلاناً فق</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ر</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ع</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تُه، أي</w:t>
      </w:r>
      <w:r w:rsidRPr="00F60BF3">
        <w:rPr>
          <w:rFonts w:ascii="Traditional Arabic" w:hAnsi="Traditional Arabic" w:hint="cs"/>
          <w:noProof w:val="0"/>
          <w:rtl/>
          <w:lang w:eastAsia="en-US"/>
        </w:rPr>
        <w:t>:</w:t>
      </w:r>
      <w:r w:rsidRPr="00F60BF3">
        <w:rPr>
          <w:rFonts w:ascii="Traditional Arabic" w:hAnsi="Traditional Arabic"/>
          <w:noProof w:val="0"/>
          <w:rtl/>
          <w:lang w:eastAsia="en-US"/>
        </w:rPr>
        <w:t xml:space="preserve"> أصابتني القُرعةُ دونَه</w:t>
      </w:r>
      <w:r w:rsidR="00B76414" w:rsidRPr="00F60BF3">
        <w:rPr>
          <w:rFonts w:ascii="Traditional Arabic" w:hAnsi="Traditional Arabic" w:hint="cs"/>
          <w:noProof w:val="0"/>
          <w:rtl/>
          <w:lang w:eastAsia="en-US"/>
        </w:rPr>
        <w:t>)</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1637"/>
      </w:r>
      <w:r w:rsidRPr="00C821A1">
        <w:rPr>
          <w:rFonts w:ascii="Traditional Arabic" w:hAnsi="Traditional Arabic" w:hint="cs"/>
          <w:noProof w:val="0"/>
          <w:szCs w:val="32"/>
          <w:vertAlign w:val="superscript"/>
          <w:rtl/>
          <w:lang w:eastAsia="en-US"/>
        </w:rPr>
        <w:t>)</w:t>
      </w:r>
      <w:r w:rsidRPr="00F60BF3">
        <w:rPr>
          <w:rFonts w:ascii="Traditional Arabic" w:hAnsi="Traditional Arabic" w:hint="cs"/>
          <w:noProof w:val="0"/>
          <w:rtl/>
          <w:lang w:eastAsia="en-US"/>
        </w:rPr>
        <w:t>.</w:t>
      </w:r>
    </w:p>
    <w:p w:rsidR="00F228A9" w:rsidRDefault="00C97663" w:rsidP="00597C20">
      <w:pPr>
        <w:pStyle w:val="53"/>
        <w:rPr>
          <w:rtl/>
        </w:rPr>
      </w:pPr>
      <w:r>
        <w:rPr>
          <w:rFonts w:hint="cs"/>
          <w:rtl/>
        </w:rPr>
        <w:t>القرعة اصطلاحا:</w:t>
      </w:r>
    </w:p>
    <w:p w:rsidR="00C97663" w:rsidRPr="00F60BF3" w:rsidRDefault="00C97663" w:rsidP="00597C20">
      <w:pPr>
        <w:widowControl/>
        <w:autoSpaceDE w:val="0"/>
        <w:autoSpaceDN w:val="0"/>
        <w:adjustRightInd w:val="0"/>
        <w:ind w:firstLine="720"/>
        <w:rPr>
          <w:rFonts w:ascii="Traditional Arabic" w:hAnsi="Traditional Arabic"/>
          <w:noProof w:val="0"/>
          <w:rtl/>
          <w:lang w:eastAsia="en-US"/>
        </w:rPr>
      </w:pPr>
      <w:r w:rsidRPr="00F60BF3">
        <w:rPr>
          <w:rFonts w:ascii="Traditional Arabic" w:hAnsi="Traditional Arabic" w:hint="cs"/>
          <w:noProof w:val="0"/>
          <w:rtl/>
          <w:lang w:eastAsia="en-US"/>
        </w:rPr>
        <w:t>تُستعمل القرعة على لسان أهل الفقه بنفس المدلول اللغوي، حيث إنها في نظرهم طريقة من طُرق قِسمة الأعيان المشترَكة غير المِثْلِيَّة</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1638"/>
      </w:r>
      <w:r w:rsidRPr="00C821A1">
        <w:rPr>
          <w:rFonts w:ascii="Traditional Arabic" w:hAnsi="Traditional Arabic" w:hint="cs"/>
          <w:noProof w:val="0"/>
          <w:szCs w:val="32"/>
          <w:vertAlign w:val="superscript"/>
          <w:rtl/>
          <w:lang w:eastAsia="en-US"/>
        </w:rPr>
        <w:t>)</w:t>
      </w:r>
      <w:r w:rsidRPr="00F60BF3">
        <w:rPr>
          <w:rFonts w:ascii="Traditional Arabic" w:hAnsi="Traditional Arabic" w:hint="cs"/>
          <w:noProof w:val="0"/>
          <w:rtl/>
          <w:lang w:eastAsia="en-US"/>
        </w:rPr>
        <w:t>.</w:t>
      </w:r>
    </w:p>
    <w:p w:rsidR="00C97663" w:rsidRPr="00F60BF3" w:rsidRDefault="00C97663" w:rsidP="00597C20">
      <w:pPr>
        <w:widowControl/>
        <w:autoSpaceDE w:val="0"/>
        <w:autoSpaceDN w:val="0"/>
        <w:adjustRightInd w:val="0"/>
        <w:ind w:firstLine="720"/>
        <w:rPr>
          <w:rFonts w:ascii="Traditional Arabic" w:hAnsi="Traditional Arabic"/>
          <w:noProof w:val="0"/>
          <w:rtl/>
          <w:lang w:eastAsia="en-US"/>
        </w:rPr>
      </w:pPr>
      <w:r w:rsidRPr="00F60BF3">
        <w:rPr>
          <w:rFonts w:ascii="Traditional Arabic" w:hAnsi="Traditional Arabic" w:hint="cs"/>
          <w:noProof w:val="0"/>
          <w:rtl/>
          <w:lang w:eastAsia="en-US"/>
        </w:rPr>
        <w:t xml:space="preserve">وعرَّفها بعض المعاصرين بأنها </w:t>
      </w:r>
      <w:r w:rsidRPr="002511EE">
        <w:rPr>
          <w:rFonts w:ascii="Traditional Arabic" w:hAnsi="Traditional Arabic" w:hint="cs"/>
          <w:noProof w:val="0"/>
          <w:rtl/>
          <w:lang w:eastAsia="en-US"/>
        </w:rPr>
        <w:t>اسْتِهامٌ يتعيَّن به نَصيبُ الإنسان</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1639"/>
      </w:r>
      <w:r w:rsidRPr="00C821A1">
        <w:rPr>
          <w:rFonts w:ascii="Traditional Arabic" w:hAnsi="Traditional Arabic" w:hint="cs"/>
          <w:noProof w:val="0"/>
          <w:szCs w:val="32"/>
          <w:vertAlign w:val="superscript"/>
          <w:rtl/>
          <w:lang w:eastAsia="en-US"/>
        </w:rPr>
        <w:t>)</w:t>
      </w:r>
      <w:r w:rsidRPr="00F60BF3">
        <w:rPr>
          <w:rFonts w:ascii="Traditional Arabic" w:hAnsi="Traditional Arabic" w:hint="cs"/>
          <w:noProof w:val="0"/>
          <w:rtl/>
          <w:lang w:eastAsia="en-US"/>
        </w:rPr>
        <w:t>.</w:t>
      </w:r>
    </w:p>
    <w:p w:rsidR="00C97663" w:rsidRDefault="00C97663" w:rsidP="00597C20">
      <w:pPr>
        <w:pStyle w:val="53"/>
        <w:rPr>
          <w:rtl/>
        </w:rPr>
      </w:pPr>
      <w:r>
        <w:rPr>
          <w:rFonts w:hint="cs"/>
          <w:rtl/>
        </w:rPr>
        <w:t>معنى القاعدة إجمالا:</w:t>
      </w:r>
    </w:p>
    <w:p w:rsidR="00F228A9" w:rsidRPr="00F60BF3" w:rsidRDefault="00C97663" w:rsidP="00597C20">
      <w:pPr>
        <w:widowControl/>
        <w:autoSpaceDE w:val="0"/>
        <w:autoSpaceDN w:val="0"/>
        <w:adjustRightInd w:val="0"/>
        <w:ind w:firstLine="720"/>
        <w:rPr>
          <w:rFonts w:ascii="Traditional Arabic" w:hAnsi="Traditional Arabic"/>
          <w:noProof w:val="0"/>
          <w:rtl/>
          <w:lang w:eastAsia="en-US"/>
        </w:rPr>
      </w:pPr>
      <w:r w:rsidRPr="00F60BF3">
        <w:rPr>
          <w:rFonts w:ascii="Traditional Arabic" w:hAnsi="Traditional Arabic" w:hint="cs"/>
          <w:noProof w:val="0"/>
          <w:rtl/>
          <w:lang w:eastAsia="en-US"/>
        </w:rPr>
        <w:t>عند الاشْتِباه</w:t>
      </w:r>
      <w:r w:rsidR="00154102" w:rsidRPr="00F60BF3">
        <w:rPr>
          <w:rFonts w:ascii="Traditional Arabic" w:hAnsi="Traditional Arabic" w:hint="cs"/>
          <w:noProof w:val="0"/>
          <w:rtl/>
          <w:lang w:eastAsia="en-US"/>
        </w:rPr>
        <w:t xml:space="preserve"> و</w:t>
      </w:r>
      <w:r w:rsidRPr="00F60BF3">
        <w:rPr>
          <w:rFonts w:ascii="Traditional Arabic" w:hAnsi="Traditional Arabic" w:hint="cs"/>
          <w:noProof w:val="0"/>
          <w:rtl/>
          <w:lang w:eastAsia="en-US"/>
        </w:rPr>
        <w:t>تَساوي الحقوق من غير إمكان التمييز بينها</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1640"/>
      </w:r>
      <w:r w:rsidRPr="00C821A1">
        <w:rPr>
          <w:rFonts w:ascii="Traditional Arabic" w:hAnsi="Traditional Arabic" w:hint="cs"/>
          <w:noProof w:val="0"/>
          <w:szCs w:val="32"/>
          <w:vertAlign w:val="superscript"/>
          <w:rtl/>
          <w:lang w:eastAsia="en-US"/>
        </w:rPr>
        <w:t>)</w:t>
      </w:r>
      <w:r w:rsidRPr="00F60BF3">
        <w:rPr>
          <w:rFonts w:ascii="Traditional Arabic" w:hAnsi="Traditional Arabic" w:hint="cs"/>
          <w:noProof w:val="0"/>
          <w:rtl/>
          <w:lang w:eastAsia="en-US"/>
        </w:rPr>
        <w:t>، يُلْجأ إلى القرعة، ما لم تَخرُج مَخرَج الميسِر</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1641"/>
      </w:r>
      <w:r w:rsidRPr="00C821A1">
        <w:rPr>
          <w:rFonts w:ascii="Traditional Arabic" w:hAnsi="Traditional Arabic" w:hint="cs"/>
          <w:noProof w:val="0"/>
          <w:szCs w:val="32"/>
          <w:vertAlign w:val="superscript"/>
          <w:rtl/>
          <w:lang w:eastAsia="en-US"/>
        </w:rPr>
        <w:t>)</w:t>
      </w:r>
      <w:r w:rsidRPr="00F60BF3">
        <w:rPr>
          <w:rFonts w:ascii="Traditional Arabic" w:hAnsi="Traditional Arabic" w:hint="cs"/>
          <w:noProof w:val="0"/>
          <w:rtl/>
          <w:lang w:eastAsia="en-US"/>
        </w:rPr>
        <w:t>.فالقرعة طريق شرعي لِفَكِّ النِّزاع والخُصومة، وتمييز المشتبِه</w:t>
      </w:r>
    </w:p>
    <w:p w:rsidR="00C97663" w:rsidRDefault="00C97663" w:rsidP="00597C20">
      <w:pPr>
        <w:widowControl/>
        <w:autoSpaceDE w:val="0"/>
        <w:autoSpaceDN w:val="0"/>
        <w:adjustRightInd w:val="0"/>
        <w:ind w:firstLine="720"/>
        <w:rPr>
          <w:rFonts w:ascii="Traditional Arabic" w:hAnsi="Traditional Arabic"/>
          <w:noProof w:val="0"/>
          <w:rtl/>
          <w:lang w:eastAsia="en-US"/>
        </w:rPr>
      </w:pPr>
      <w:r w:rsidRPr="00F60BF3">
        <w:rPr>
          <w:rFonts w:ascii="Traditional Arabic" w:hAnsi="Traditional Arabic" w:hint="cs"/>
          <w:noProof w:val="0"/>
          <w:rtl/>
          <w:lang w:eastAsia="en-US"/>
        </w:rPr>
        <w:lastRenderedPageBreak/>
        <w:t>وتعيين الْمُبْهَم إذا لم نجد غيرَها</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1642"/>
      </w:r>
      <w:r w:rsidRPr="00C821A1">
        <w:rPr>
          <w:rFonts w:ascii="Traditional Arabic" w:hAnsi="Traditional Arabic" w:hint="cs"/>
          <w:noProof w:val="0"/>
          <w:szCs w:val="32"/>
          <w:vertAlign w:val="superscript"/>
          <w:rtl/>
          <w:lang w:eastAsia="en-US"/>
        </w:rPr>
        <w:t>)</w:t>
      </w:r>
      <w:r w:rsidRPr="00F60BF3">
        <w:rPr>
          <w:rFonts w:ascii="Traditional Arabic" w:hAnsi="Traditional Arabic" w:hint="cs"/>
          <w:noProof w:val="0"/>
          <w:rtl/>
          <w:lang w:eastAsia="en-US"/>
        </w:rPr>
        <w:t>، كما أن القرعة ليس لها طريق معيَّن، بل أيُّ طريقٍ</w:t>
      </w:r>
      <w:r w:rsidR="002511EE">
        <w:rPr>
          <w:rFonts w:ascii="Traditional Arabic" w:hAnsi="Traditional Arabic" w:hint="cs"/>
          <w:noProof w:val="0"/>
          <w:rtl/>
          <w:lang w:eastAsia="en-US"/>
        </w:rPr>
        <w:t xml:space="preserve"> </w:t>
      </w:r>
      <w:r w:rsidRPr="00A25E5D">
        <w:rPr>
          <w:rFonts w:ascii="Traditional Arabic" w:hAnsi="Traditional Arabic" w:hint="cs"/>
          <w:noProof w:val="0"/>
          <w:rtl/>
          <w:lang w:eastAsia="en-US"/>
        </w:rPr>
        <w:t>أ</w:t>
      </w:r>
      <w:r>
        <w:rPr>
          <w:rFonts w:ascii="Traditional Arabic" w:hAnsi="Traditional Arabic" w:hint="cs"/>
          <w:noProof w:val="0"/>
          <w:rtl/>
          <w:lang w:eastAsia="en-US"/>
        </w:rPr>
        <w:t>ُ</w:t>
      </w:r>
      <w:r w:rsidRPr="00A25E5D">
        <w:rPr>
          <w:rFonts w:ascii="Traditional Arabic" w:hAnsi="Traditional Arabic" w:hint="cs"/>
          <w:noProof w:val="0"/>
          <w:rtl/>
          <w:lang w:eastAsia="en-US"/>
        </w:rPr>
        <w:t>قر</w:t>
      </w:r>
      <w:r>
        <w:rPr>
          <w:rFonts w:ascii="Traditional Arabic" w:hAnsi="Traditional Arabic" w:hint="cs"/>
          <w:noProof w:val="0"/>
          <w:rtl/>
          <w:lang w:eastAsia="en-US"/>
        </w:rPr>
        <w:t>ِ</w:t>
      </w:r>
      <w:r w:rsidRPr="00A25E5D">
        <w:rPr>
          <w:rFonts w:ascii="Traditional Arabic" w:hAnsi="Traditional Arabic" w:hint="cs"/>
          <w:noProof w:val="0"/>
          <w:rtl/>
          <w:lang w:eastAsia="en-US"/>
        </w:rPr>
        <w:t>ع به</w:t>
      </w:r>
      <w:r w:rsidR="00154102">
        <w:rPr>
          <w:rFonts w:ascii="Traditional Arabic" w:hAnsi="Traditional Arabic" w:hint="cs"/>
          <w:noProof w:val="0"/>
          <w:rtl/>
          <w:lang w:eastAsia="en-US"/>
        </w:rPr>
        <w:t xml:space="preserve"> و</w:t>
      </w:r>
      <w:r w:rsidRPr="00A25E5D">
        <w:rPr>
          <w:rFonts w:ascii="Traditional Arabic" w:hAnsi="Traditional Arabic" w:hint="cs"/>
          <w:noProof w:val="0"/>
          <w:rtl/>
          <w:lang w:eastAsia="en-US"/>
        </w:rPr>
        <w:t>ح</w:t>
      </w:r>
      <w:r>
        <w:rPr>
          <w:rFonts w:ascii="Traditional Arabic" w:hAnsi="Traditional Arabic" w:hint="cs"/>
          <w:noProof w:val="0"/>
          <w:rtl/>
          <w:lang w:eastAsia="en-US"/>
        </w:rPr>
        <w:t>َ</w:t>
      </w:r>
      <w:r w:rsidRPr="00A25E5D">
        <w:rPr>
          <w:rFonts w:ascii="Traditional Arabic" w:hAnsi="Traditional Arabic" w:hint="cs"/>
          <w:noProof w:val="0"/>
          <w:rtl/>
          <w:lang w:eastAsia="en-US"/>
        </w:rPr>
        <w:t>صل به التمييز، فهو جائز</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1643"/>
      </w:r>
      <w:r w:rsidRPr="00C821A1">
        <w:rPr>
          <w:rFonts w:ascii="Traditional Arabic" w:hAnsi="Traditional Arabic" w:hint="cs"/>
          <w:noProof w:val="0"/>
          <w:szCs w:val="32"/>
          <w:vertAlign w:val="superscript"/>
          <w:rtl/>
          <w:lang w:eastAsia="en-US"/>
        </w:rPr>
        <w:t>)</w:t>
      </w:r>
      <w:r w:rsidRPr="00A25E5D">
        <w:rPr>
          <w:rFonts w:ascii="Traditional Arabic" w:hAnsi="Traditional Arabic" w:hint="cs"/>
          <w:noProof w:val="0"/>
          <w:rtl/>
          <w:lang w:eastAsia="en-US"/>
        </w:rPr>
        <w:t>.</w:t>
      </w:r>
    </w:p>
    <w:p w:rsidR="00C97663" w:rsidRPr="002511EE" w:rsidRDefault="007B191B" w:rsidP="00A8347C">
      <w:pPr>
        <w:pStyle w:val="aff3"/>
      </w:pPr>
      <w:bookmarkStart w:id="329" w:name="_Toc334046538"/>
      <w:r>
        <w:rPr>
          <w:rFonts w:hint="cs"/>
          <w:rtl/>
        </w:rPr>
        <w:t xml:space="preserve">                                         المطلب</w:t>
      </w:r>
      <w:r w:rsidR="002511EE">
        <w:rPr>
          <w:rFonts w:hint="cs"/>
          <w:rtl/>
        </w:rPr>
        <w:t xml:space="preserve"> </w:t>
      </w:r>
      <w:r w:rsidR="00C97663" w:rsidRPr="00717B5E">
        <w:rPr>
          <w:rFonts w:hint="cs"/>
          <w:rtl/>
        </w:rPr>
        <w:t>الثالث</w:t>
      </w:r>
      <w:r w:rsidR="00C97663">
        <w:rPr>
          <w:rFonts w:hint="eastAsia"/>
          <w:rtl/>
        </w:rPr>
        <w:t> :</w:t>
      </w:r>
      <w:r w:rsidR="00C97663">
        <w:rPr>
          <w:rFonts w:hint="cs"/>
          <w:rtl/>
        </w:rPr>
        <w:br/>
      </w:r>
      <w:r>
        <w:rPr>
          <w:rFonts w:hint="cs"/>
          <w:rtl/>
        </w:rPr>
        <w:t xml:space="preserve">            </w:t>
      </w:r>
      <w:r w:rsidR="008179F4">
        <w:rPr>
          <w:rFonts w:hint="cs"/>
          <w:rtl/>
        </w:rPr>
        <w:t xml:space="preserve">                               </w:t>
      </w:r>
      <w:r w:rsidR="00C97663">
        <w:rPr>
          <w:rFonts w:hint="cs"/>
          <w:rtl/>
        </w:rPr>
        <w:t>أدلة القاعدة</w:t>
      </w:r>
      <w:bookmarkEnd w:id="329"/>
    </w:p>
    <w:p w:rsidR="00C97663" w:rsidRPr="002511EE" w:rsidRDefault="002511EE" w:rsidP="002511EE">
      <w:pPr>
        <w:widowControl/>
        <w:autoSpaceDE w:val="0"/>
        <w:autoSpaceDN w:val="0"/>
        <w:adjustRightInd w:val="0"/>
        <w:ind w:firstLine="0"/>
        <w:rPr>
          <w:rFonts w:ascii="Traditional Arabic" w:hAnsi="Traditional Arabic"/>
          <w:b/>
          <w:bCs/>
          <w:noProof w:val="0"/>
          <w:lang w:eastAsia="en-US"/>
        </w:rPr>
      </w:pPr>
      <w:r>
        <w:rPr>
          <w:rFonts w:ascii="Traditional Arabic" w:hAnsi="Traditional Arabic" w:hint="cs"/>
          <w:noProof w:val="0"/>
          <w:rtl/>
          <w:lang w:eastAsia="en-US"/>
        </w:rPr>
        <w:t xml:space="preserve">(1)    </w:t>
      </w:r>
      <w:r w:rsidR="00C97663" w:rsidRPr="002511EE">
        <w:rPr>
          <w:rFonts w:ascii="Traditional Arabic" w:hAnsi="Traditional Arabic" w:hint="cs"/>
          <w:noProof w:val="0"/>
          <w:rtl/>
          <w:lang w:eastAsia="en-US"/>
        </w:rPr>
        <w:t>قوله تعالى :</w:t>
      </w:r>
      <w:bookmarkStart w:id="330" w:name="سورة_آل_عمران_44"/>
      <w:r w:rsidR="00C97663" w:rsidRPr="002511EE">
        <w:rPr>
          <w:rFonts w:ascii="QCF_BSML" w:hAnsi="QCF_BSML" w:cs="QCF_BSML"/>
          <w:noProof w:val="0"/>
          <w:rtl/>
          <w:lang w:eastAsia="en-US"/>
        </w:rPr>
        <w:t>ﭽ</w:t>
      </w:r>
      <w:r w:rsidR="00C97663" w:rsidRPr="002511EE">
        <w:rPr>
          <w:rFonts w:ascii="QCF_P055" w:hAnsi="QCF_P055" w:cs="QCF_P055"/>
          <w:noProof w:val="0"/>
          <w:rtl/>
          <w:lang w:eastAsia="en-US"/>
        </w:rPr>
        <w:t>ﯟ</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ﯠ</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ﯡ</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ﯢ</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ﯣ</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ﯤ</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ﯥ</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ﯦ</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ﯧ</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ﯨ</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ﯩ</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ﯪ</w:t>
      </w:r>
      <w:r w:rsidRPr="002511EE">
        <w:rPr>
          <w:rFonts w:ascii="QCF_P055" w:hAnsi="QCF_P055" w:cs="QCF_P055" w:hint="cs"/>
          <w:noProof w:val="0"/>
          <w:rtl/>
          <w:lang w:eastAsia="en-US"/>
        </w:rPr>
        <w:t xml:space="preserve">  </w:t>
      </w:r>
      <w:r w:rsidR="00C97663" w:rsidRPr="002511EE">
        <w:rPr>
          <w:rFonts w:ascii="QCF_P055" w:hAnsi="QCF_P055" w:cs="QCF_P055"/>
          <w:noProof w:val="0"/>
          <w:rtl/>
          <w:lang w:eastAsia="en-US"/>
        </w:rPr>
        <w:t>ﯫﯬ</w:t>
      </w:r>
      <w:r w:rsidR="00C97663" w:rsidRPr="002511EE">
        <w:rPr>
          <w:rFonts w:ascii="QCF_BSML" w:hAnsi="QCF_BSML" w:cs="QCF_BSML"/>
          <w:noProof w:val="0"/>
          <w:rtl/>
          <w:lang w:eastAsia="en-US"/>
        </w:rPr>
        <w:t>ﭼ</w:t>
      </w:r>
      <w:bookmarkEnd w:id="330"/>
      <w:r w:rsidR="00C97663" w:rsidRPr="002511EE">
        <w:rPr>
          <w:rFonts w:ascii="Traditional Arabic" w:hAnsi="Traditional Arabic" w:hint="cs"/>
          <w:noProof w:val="0"/>
          <w:color w:val="auto"/>
          <w:rtl/>
          <w:lang w:eastAsia="en-US"/>
        </w:rPr>
        <w:t>[</w:t>
      </w:r>
      <w:r w:rsidR="00C97663" w:rsidRPr="002511EE">
        <w:rPr>
          <w:rFonts w:ascii="Traditional Arabic" w:hAnsi="Traditional Arabic"/>
          <w:noProof w:val="0"/>
          <w:color w:val="auto"/>
          <w:rtl/>
          <w:lang w:eastAsia="en-US"/>
        </w:rPr>
        <w:t>آل عمران: ٤٤</w:t>
      </w:r>
      <w:r w:rsidR="00C97663" w:rsidRPr="002511EE">
        <w:rPr>
          <w:rFonts w:ascii="Traditional Arabic" w:hAnsi="Traditional Arabic" w:hint="cs"/>
          <w:noProof w:val="0"/>
          <w:rtl/>
          <w:lang w:eastAsia="en-US"/>
        </w:rPr>
        <w:t>].</w:t>
      </w:r>
    </w:p>
    <w:p w:rsidR="00065E4B" w:rsidRPr="002511EE" w:rsidRDefault="002511EE" w:rsidP="002511EE">
      <w:pPr>
        <w:widowControl/>
        <w:autoSpaceDE w:val="0"/>
        <w:autoSpaceDN w:val="0"/>
        <w:adjustRightInd w:val="0"/>
        <w:ind w:firstLine="0"/>
        <w:jc w:val="left"/>
        <w:rPr>
          <w:rFonts w:ascii="Traditional Arabic" w:hAnsi="Traditional Arabic"/>
          <w:noProof w:val="0"/>
          <w:color w:val="auto"/>
          <w:lang w:eastAsia="en-US"/>
        </w:rPr>
      </w:pPr>
      <w:r>
        <w:rPr>
          <w:rFonts w:ascii="Traditional Arabic" w:hAnsi="Traditional Arabic" w:hint="cs"/>
          <w:noProof w:val="0"/>
          <w:color w:val="auto"/>
          <w:rtl/>
          <w:lang w:eastAsia="en-US"/>
        </w:rPr>
        <w:t xml:space="preserve">(2)    </w:t>
      </w:r>
      <w:r w:rsidRPr="002511EE">
        <w:rPr>
          <w:rFonts w:ascii="Traditional Arabic" w:hAnsi="Traditional Arabic" w:hint="cs"/>
          <w:noProof w:val="0"/>
          <w:color w:val="auto"/>
          <w:rtl/>
          <w:lang w:eastAsia="en-US"/>
        </w:rPr>
        <w:t>قوله تعالى</w:t>
      </w:r>
      <w:r w:rsidR="00C97663" w:rsidRPr="002511EE">
        <w:rPr>
          <w:rFonts w:ascii="Traditional Arabic" w:hAnsi="Traditional Arabic" w:hint="cs"/>
          <w:noProof w:val="0"/>
          <w:color w:val="auto"/>
          <w:rtl/>
          <w:lang w:eastAsia="en-US"/>
        </w:rPr>
        <w:t>:</w:t>
      </w:r>
      <w:bookmarkStart w:id="331" w:name="سورة_الصافات_139إلى141"/>
      <w:r w:rsidRPr="002511EE">
        <w:rPr>
          <w:rFonts w:ascii="Traditional Arabic" w:hAnsi="Traditional Arabic" w:hint="cs"/>
          <w:noProof w:val="0"/>
          <w:color w:val="auto"/>
          <w:rtl/>
          <w:lang w:eastAsia="en-US"/>
        </w:rPr>
        <w:t xml:space="preserve"> </w:t>
      </w:r>
      <w:r w:rsidR="00C97663" w:rsidRPr="002511EE">
        <w:rPr>
          <w:rFonts w:ascii="QCF_BSML" w:hAnsi="QCF_BSML" w:cs="QCF_BSML"/>
          <w:noProof w:val="0"/>
          <w:rtl/>
          <w:lang w:eastAsia="en-US"/>
        </w:rPr>
        <w:t>ﭽ</w:t>
      </w:r>
      <w:r w:rsidRPr="002511EE">
        <w:rPr>
          <w:rFonts w:ascii="QCF_BSML" w:hAnsi="QCF_BSML" w:cs="QCF_BSML" w:hint="cs"/>
          <w:noProof w:val="0"/>
          <w:rtl/>
          <w:lang w:eastAsia="en-US"/>
        </w:rPr>
        <w:t xml:space="preserve"> </w:t>
      </w:r>
      <w:r w:rsidR="00C97663" w:rsidRPr="002511EE">
        <w:rPr>
          <w:rFonts w:ascii="QCF_P451" w:hAnsi="QCF_P451" w:cs="QCF_P451"/>
          <w:noProof w:val="0"/>
          <w:rtl/>
          <w:lang w:eastAsia="en-US"/>
        </w:rPr>
        <w:t>ﮋ</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ﮌ</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ﮍ</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ﮎ</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ﮏ</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ﮐ</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ﮑ</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ﮒ</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ﮓ</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ﮔ</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ﮕ</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ﮖ</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ﮗ</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ﮘ</w:t>
      </w:r>
      <w:r w:rsidRPr="002511EE">
        <w:rPr>
          <w:rFonts w:ascii="QCF_P451" w:hAnsi="QCF_P451" w:cs="QCF_P451" w:hint="cs"/>
          <w:noProof w:val="0"/>
          <w:rtl/>
          <w:lang w:eastAsia="en-US"/>
        </w:rPr>
        <w:t xml:space="preserve">    </w:t>
      </w:r>
      <w:r w:rsidR="00C97663" w:rsidRPr="002511EE">
        <w:rPr>
          <w:rFonts w:ascii="QCF_P451" w:hAnsi="QCF_P451" w:cs="QCF_P451"/>
          <w:noProof w:val="0"/>
          <w:rtl/>
          <w:lang w:eastAsia="en-US"/>
        </w:rPr>
        <w:t>ﮙ</w:t>
      </w:r>
      <w:r w:rsidR="00C97663" w:rsidRPr="002511EE">
        <w:rPr>
          <w:rFonts w:ascii="QCF_BSML" w:hAnsi="QCF_BSML" w:cs="QCF_BSML"/>
          <w:noProof w:val="0"/>
          <w:rtl/>
          <w:lang w:eastAsia="en-US"/>
        </w:rPr>
        <w:t>ﭼ</w:t>
      </w:r>
      <w:bookmarkEnd w:id="331"/>
      <w:r w:rsidR="00F06593">
        <w:rPr>
          <w:rFonts w:ascii="QCF_BSML" w:hAnsi="QCF_BSML" w:cs="QCF_BSML" w:hint="cs"/>
          <w:noProof w:val="0"/>
          <w:rtl/>
          <w:lang w:eastAsia="en-US"/>
        </w:rPr>
        <w:t xml:space="preserve"> </w:t>
      </w:r>
      <w:r w:rsidR="00C97663" w:rsidRPr="002511EE">
        <w:rPr>
          <w:rFonts w:ascii="Traditional Arabic" w:hAnsi="Traditional Arabic"/>
          <w:noProof w:val="0"/>
          <w:color w:val="auto"/>
          <w:rtl/>
          <w:lang w:eastAsia="en-US"/>
        </w:rPr>
        <w:t>الصافات:</w:t>
      </w:r>
      <w:r w:rsidR="00C97663" w:rsidRPr="002511EE">
        <w:rPr>
          <w:rFonts w:ascii="Traditional Arabic" w:hAnsi="Traditional Arabic" w:hint="cs"/>
          <w:noProof w:val="0"/>
          <w:color w:val="auto"/>
          <w:rtl/>
          <w:lang w:eastAsia="en-US"/>
        </w:rPr>
        <w:t>[</w:t>
      </w:r>
      <w:r w:rsidR="00C97663" w:rsidRPr="002511EE">
        <w:rPr>
          <w:rFonts w:ascii="Traditional Arabic" w:hAnsi="Traditional Arabic"/>
          <w:noProof w:val="0"/>
          <w:color w:val="auto"/>
          <w:rtl/>
          <w:lang w:eastAsia="en-US"/>
        </w:rPr>
        <w:t xml:space="preserve"> ١٣٩ – ١٤١</w:t>
      </w:r>
      <w:r w:rsidR="00C97663" w:rsidRPr="002511EE">
        <w:rPr>
          <w:rFonts w:ascii="Traditional Arabic" w:hAnsi="Traditional Arabic" w:hint="cs"/>
          <w:noProof w:val="0"/>
          <w:color w:val="auto"/>
          <w:rtl/>
          <w:lang w:eastAsia="en-US"/>
        </w:rPr>
        <w:t>].</w:t>
      </w:r>
    </w:p>
    <w:p w:rsidR="00065E4B" w:rsidRPr="00A00D29" w:rsidRDefault="00065E4B" w:rsidP="00597C20">
      <w:pPr>
        <w:pStyle w:val="53"/>
        <w:rPr>
          <w:rtl/>
        </w:rPr>
      </w:pPr>
      <w:r w:rsidRPr="00A00D29">
        <w:rPr>
          <w:rFonts w:hint="cs"/>
          <w:rtl/>
        </w:rPr>
        <w:t>و</w:t>
      </w:r>
      <w:r w:rsidR="00C97663" w:rsidRPr="00A00D29">
        <w:rPr>
          <w:rFonts w:hint="cs"/>
          <w:rtl/>
        </w:rPr>
        <w:t>جه الدلالة</w:t>
      </w:r>
      <w:r w:rsidR="00C97663">
        <w:rPr>
          <w:rFonts w:hint="cs"/>
          <w:rtl/>
        </w:rPr>
        <w:t xml:space="preserve"> من الآيتين</w:t>
      </w:r>
      <w:r w:rsidR="00C97663" w:rsidRPr="00A00D29">
        <w:rPr>
          <w:rFonts w:hint="cs"/>
          <w:rtl/>
        </w:rPr>
        <w:t xml:space="preserve"> :</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sidRPr="00C20764">
        <w:rPr>
          <w:rFonts w:ascii="Traditional Arabic" w:hAnsi="Traditional Arabic" w:hint="cs"/>
          <w:noProof w:val="0"/>
          <w:color w:val="auto"/>
          <w:rtl/>
          <w:lang w:eastAsia="en-US"/>
        </w:rPr>
        <w:t>ث</w:t>
      </w:r>
      <w:r w:rsidR="00C97663" w:rsidRPr="00C20764">
        <w:rPr>
          <w:rFonts w:ascii="Traditional Arabic" w:hAnsi="Traditional Arabic" w:hint="cs"/>
          <w:noProof w:val="0"/>
          <w:color w:val="auto"/>
          <w:rtl/>
          <w:lang w:eastAsia="en-US"/>
        </w:rPr>
        <w:t>َبتتْ القرعة</w:t>
      </w:r>
      <w:r w:rsidR="006254F0">
        <w:rPr>
          <w:rFonts w:ascii="Traditional Arabic" w:hAnsi="Traditional Arabic" w:hint="cs"/>
          <w:noProof w:val="0"/>
          <w:color w:val="auto"/>
          <w:rtl/>
          <w:lang w:eastAsia="en-US"/>
        </w:rPr>
        <w:t xml:space="preserve"> </w:t>
      </w:r>
      <w:r w:rsidR="00C97663" w:rsidRPr="00C20764">
        <w:rPr>
          <w:rFonts w:ascii="Traditional Arabic" w:hAnsi="Traditional Arabic" w:hint="cs"/>
          <w:noProof w:val="0"/>
          <w:color w:val="auto"/>
          <w:rtl/>
          <w:lang w:eastAsia="en-US"/>
        </w:rPr>
        <w:t>طريقا</w:t>
      </w:r>
      <w:r w:rsidR="00C97663">
        <w:rPr>
          <w:rFonts w:ascii="Traditional Arabic" w:hAnsi="Traditional Arabic" w:hint="cs"/>
          <w:noProof w:val="0"/>
          <w:color w:val="auto"/>
          <w:rtl/>
          <w:lang w:eastAsia="en-US"/>
        </w:rPr>
        <w:t>ً</w:t>
      </w:r>
      <w:r w:rsidR="00C97663" w:rsidRPr="00C20764">
        <w:rPr>
          <w:rFonts w:ascii="Traditional Arabic" w:hAnsi="Traditional Arabic" w:hint="cs"/>
          <w:noProof w:val="0"/>
          <w:color w:val="auto"/>
          <w:rtl/>
          <w:lang w:eastAsia="en-US"/>
        </w:rPr>
        <w:t xml:space="preserve"> لإثبات المستحق في القرآن في موضعين</w:t>
      </w:r>
      <w:r w:rsidR="00C97663" w:rsidRPr="00C821A1">
        <w:rPr>
          <w:rFonts w:ascii="Traditional Arabic" w:hAnsi="Traditional Arabic" w:hint="cs"/>
          <w:noProof w:val="0"/>
          <w:color w:val="auto"/>
          <w:szCs w:val="32"/>
          <w:vertAlign w:val="superscript"/>
          <w:rtl/>
          <w:lang w:eastAsia="en-US"/>
        </w:rPr>
        <w:t>(</w:t>
      </w:r>
      <w:r w:rsidR="00C97663" w:rsidRPr="00C821A1">
        <w:rPr>
          <w:rStyle w:val="af1"/>
          <w:rFonts w:ascii="Traditional Arabic" w:hAnsi="Traditional Arabic"/>
          <w:noProof w:val="0"/>
          <w:color w:val="auto"/>
          <w:szCs w:val="32"/>
          <w:rtl/>
          <w:lang w:eastAsia="en-US"/>
        </w:rPr>
        <w:footnoteReference w:id="1644"/>
      </w:r>
      <w:r w:rsidR="00C97663" w:rsidRPr="00C821A1">
        <w:rPr>
          <w:rFonts w:ascii="Traditional Arabic" w:hAnsi="Traditional Arabic" w:hint="cs"/>
          <w:noProof w:val="0"/>
          <w:color w:val="auto"/>
          <w:szCs w:val="32"/>
          <w:vertAlign w:val="superscript"/>
          <w:rtl/>
          <w:lang w:eastAsia="en-US"/>
        </w:rPr>
        <w:t>)</w:t>
      </w:r>
      <w:r w:rsidR="00C97663">
        <w:rPr>
          <w:rFonts w:ascii="Traditional Arabic" w:hAnsi="Traditional Arabic" w:hint="cs"/>
          <w:noProof w:val="0"/>
          <w:color w:val="auto"/>
          <w:rtl/>
          <w:lang w:eastAsia="en-US"/>
        </w:rPr>
        <w:t>:</w:t>
      </w:r>
    </w:p>
    <w:p w:rsidR="00552768"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ا</w:t>
      </w:r>
      <w:r w:rsidR="00C97663">
        <w:rPr>
          <w:rFonts w:ascii="Traditional Arabic" w:hAnsi="Traditional Arabic" w:hint="cs"/>
          <w:noProof w:val="0"/>
          <w:color w:val="auto"/>
          <w:rtl/>
          <w:lang w:eastAsia="en-US"/>
        </w:rPr>
        <w:t>لموضع الأول :في قصة مريم</w:t>
      </w:r>
      <w:r w:rsidR="00B76414">
        <w:rPr>
          <w:rFonts w:ascii="Traditional Arabic" w:hAnsi="Traditional Arabic" w:hint="cs"/>
          <w:noProof w:val="0"/>
          <w:color w:val="auto"/>
          <w:rtl/>
          <w:lang w:eastAsia="en-US"/>
        </w:rPr>
        <w:t>،</w:t>
      </w:r>
      <w:r w:rsidR="00C97663">
        <w:rPr>
          <w:rFonts w:ascii="Traditional Arabic" w:hAnsi="Traditional Arabic" w:hint="cs"/>
          <w:noProof w:val="0"/>
          <w:color w:val="auto"/>
          <w:rtl/>
          <w:lang w:eastAsia="en-US"/>
        </w:rPr>
        <w:t xml:space="preserve"> حيث</w:t>
      </w:r>
      <w:r w:rsidR="00C97663" w:rsidRPr="00C20764">
        <w:rPr>
          <w:rFonts w:ascii="Traditional Arabic" w:hAnsi="Traditional Arabic" w:hint="cs"/>
          <w:noProof w:val="0"/>
          <w:color w:val="auto"/>
          <w:rtl/>
          <w:lang w:eastAsia="en-US"/>
        </w:rPr>
        <w:t xml:space="preserve"> أ</w:t>
      </w:r>
      <w:r w:rsidR="00C97663">
        <w:rPr>
          <w:rFonts w:ascii="Traditional Arabic" w:hAnsi="Traditional Arabic" w:hint="cs"/>
          <w:noProof w:val="0"/>
          <w:color w:val="auto"/>
          <w:rtl/>
          <w:lang w:eastAsia="en-US"/>
        </w:rPr>
        <w:t>َلقى بنو إسرائيل أقلامَهم</w:t>
      </w:r>
      <w:r w:rsidR="00C97663" w:rsidRPr="00C20764">
        <w:rPr>
          <w:rFonts w:ascii="Traditional Arabic" w:hAnsi="Traditional Arabic" w:hint="cs"/>
          <w:noProof w:val="0"/>
          <w:color w:val="auto"/>
          <w:rtl/>
          <w:lang w:eastAsia="en-US"/>
        </w:rPr>
        <w:t>، من باب الاقتراع</w:t>
      </w:r>
      <w:r w:rsidR="00C97663">
        <w:rPr>
          <w:rFonts w:ascii="Traditional Arabic" w:hAnsi="Traditional Arabic" w:hint="cs"/>
          <w:noProof w:val="0"/>
          <w:color w:val="auto"/>
          <w:rtl/>
          <w:lang w:eastAsia="en-US"/>
        </w:rPr>
        <w:t>،</w:t>
      </w:r>
      <w:r w:rsidR="00C97663" w:rsidRPr="00C20764">
        <w:rPr>
          <w:rFonts w:ascii="Traditional Arabic" w:hAnsi="Traditional Arabic" w:hint="cs"/>
          <w:noProof w:val="0"/>
          <w:color w:val="auto"/>
          <w:rtl/>
          <w:lang w:eastAsia="en-US"/>
        </w:rPr>
        <w:t xml:space="preserve"> أي</w:t>
      </w:r>
      <w:r w:rsidR="00C97663">
        <w:rPr>
          <w:rFonts w:ascii="Traditional Arabic" w:hAnsi="Traditional Arabic" w:hint="cs"/>
          <w:noProof w:val="0"/>
          <w:color w:val="auto"/>
          <w:rtl/>
          <w:lang w:eastAsia="en-US"/>
        </w:rPr>
        <w:t>ُّ</w:t>
      </w:r>
      <w:r w:rsidR="00C97663" w:rsidRPr="00C20764">
        <w:rPr>
          <w:rFonts w:ascii="Traditional Arabic" w:hAnsi="Traditional Arabic" w:hint="cs"/>
          <w:noProof w:val="0"/>
          <w:color w:val="auto"/>
          <w:rtl/>
          <w:lang w:eastAsia="en-US"/>
        </w:rPr>
        <w:t xml:space="preserve">هم </w:t>
      </w:r>
    </w:p>
    <w:p w:rsidR="00552768" w:rsidRDefault="00552768" w:rsidP="00597C20">
      <w:pPr>
        <w:widowControl/>
        <w:autoSpaceDE w:val="0"/>
        <w:autoSpaceDN w:val="0"/>
        <w:adjustRightInd w:val="0"/>
        <w:ind w:firstLine="720"/>
        <w:rPr>
          <w:rFonts w:ascii="Traditional Arabic" w:hAnsi="Traditional Arabic"/>
          <w:noProof w:val="0"/>
          <w:color w:val="auto"/>
          <w:rtl/>
          <w:lang w:eastAsia="en-US"/>
        </w:rPr>
      </w:pPr>
    </w:p>
    <w:p w:rsidR="00065E4B" w:rsidRDefault="00C97663" w:rsidP="00597C20">
      <w:pPr>
        <w:widowControl/>
        <w:autoSpaceDE w:val="0"/>
        <w:autoSpaceDN w:val="0"/>
        <w:adjustRightInd w:val="0"/>
        <w:ind w:firstLine="720"/>
        <w:rPr>
          <w:rFonts w:ascii="Traditional Arabic" w:hAnsi="Traditional Arabic"/>
          <w:noProof w:val="0"/>
          <w:color w:val="auto"/>
          <w:rtl/>
          <w:lang w:eastAsia="en-US"/>
        </w:rPr>
      </w:pPr>
      <w:r w:rsidRPr="00C20764">
        <w:rPr>
          <w:rFonts w:ascii="Traditional Arabic" w:hAnsi="Traditional Arabic" w:hint="cs"/>
          <w:noProof w:val="0"/>
          <w:color w:val="auto"/>
          <w:rtl/>
          <w:lang w:eastAsia="en-US"/>
        </w:rPr>
        <w:t>يكف</w:t>
      </w:r>
      <w:r>
        <w:rPr>
          <w:rFonts w:ascii="Traditional Arabic" w:hAnsi="Traditional Arabic" w:hint="cs"/>
          <w:noProof w:val="0"/>
          <w:color w:val="auto"/>
          <w:rtl/>
          <w:lang w:eastAsia="en-US"/>
        </w:rPr>
        <w:t>ُ</w:t>
      </w:r>
      <w:r w:rsidRPr="00C20764">
        <w:rPr>
          <w:rFonts w:ascii="Traditional Arabic" w:hAnsi="Traditional Arabic" w:hint="cs"/>
          <w:noProof w:val="0"/>
          <w:color w:val="auto"/>
          <w:rtl/>
          <w:lang w:eastAsia="en-US"/>
        </w:rPr>
        <w:t>ل مريم، فخر</w:t>
      </w:r>
      <w:r w:rsidR="00552768">
        <w:rPr>
          <w:rFonts w:ascii="Traditional Arabic" w:hAnsi="Traditional Arabic" w:hint="cs"/>
          <w:noProof w:val="0"/>
          <w:color w:val="auto"/>
          <w:rtl/>
          <w:lang w:eastAsia="en-US"/>
        </w:rPr>
        <w:t>َ</w:t>
      </w:r>
      <w:r w:rsidRPr="00C20764">
        <w:rPr>
          <w:rFonts w:ascii="Traditional Arabic" w:hAnsi="Traditional Arabic" w:hint="cs"/>
          <w:noProof w:val="0"/>
          <w:color w:val="auto"/>
          <w:rtl/>
          <w:lang w:eastAsia="en-US"/>
        </w:rPr>
        <w:t>جت القرعة</w:t>
      </w:r>
      <w:r w:rsidR="00552768">
        <w:rPr>
          <w:rFonts w:ascii="Traditional Arabic" w:hAnsi="Traditional Arabic" w:hint="cs"/>
          <w:noProof w:val="0"/>
          <w:color w:val="auto"/>
          <w:rtl/>
          <w:lang w:eastAsia="en-US"/>
        </w:rPr>
        <w:t>ُ</w:t>
      </w:r>
      <w:r w:rsidRPr="00C20764">
        <w:rPr>
          <w:rFonts w:ascii="Traditional Arabic" w:hAnsi="Traditional Arabic" w:hint="cs"/>
          <w:noProof w:val="0"/>
          <w:color w:val="auto"/>
          <w:rtl/>
          <w:lang w:eastAsia="en-US"/>
        </w:rPr>
        <w:t xml:space="preserve"> على زكريا عليه السلام</w:t>
      </w:r>
      <w:r w:rsidRPr="00C821A1">
        <w:rPr>
          <w:rFonts w:ascii="Traditional Arabic" w:hAnsi="Traditional Arabic" w:hint="cs"/>
          <w:noProof w:val="0"/>
          <w:color w:val="auto"/>
          <w:sz w:val="44"/>
          <w:szCs w:val="32"/>
          <w:vertAlign w:val="superscript"/>
          <w:rtl/>
          <w:lang w:eastAsia="en-US"/>
        </w:rPr>
        <w:t>(</w:t>
      </w:r>
      <w:r w:rsidRPr="00C821A1">
        <w:rPr>
          <w:rStyle w:val="af1"/>
          <w:rFonts w:ascii="Traditional Arabic" w:hAnsi="Traditional Arabic"/>
          <w:noProof w:val="0"/>
          <w:color w:val="auto"/>
          <w:sz w:val="44"/>
          <w:szCs w:val="32"/>
          <w:rtl/>
          <w:lang w:eastAsia="en-US"/>
        </w:rPr>
        <w:footnoteReference w:id="1645"/>
      </w:r>
      <w:r w:rsidRPr="00C821A1">
        <w:rPr>
          <w:rFonts w:ascii="Traditional Arabic" w:hAnsi="Traditional Arabic" w:hint="cs"/>
          <w:noProof w:val="0"/>
          <w:color w:val="auto"/>
          <w:sz w:val="44"/>
          <w:szCs w:val="32"/>
          <w:vertAlign w:val="superscript"/>
          <w:rtl/>
          <w:lang w:eastAsia="en-US"/>
        </w:rPr>
        <w:t>)</w:t>
      </w:r>
      <w:r>
        <w:rPr>
          <w:rFonts w:ascii="Traditional Arabic" w:hAnsi="Traditional Arabic" w:hint="cs"/>
          <w:noProof w:val="0"/>
          <w:color w:val="auto"/>
          <w:rtl/>
          <w:lang w:eastAsia="en-US"/>
        </w:rPr>
        <w:t>.</w:t>
      </w:r>
    </w:p>
    <w:p w:rsidR="00F228A9" w:rsidRPr="00552768" w:rsidRDefault="00065E4B" w:rsidP="00552768">
      <w:pPr>
        <w:widowControl/>
        <w:autoSpaceDE w:val="0"/>
        <w:autoSpaceDN w:val="0"/>
        <w:adjustRightInd w:val="0"/>
        <w:ind w:firstLine="720"/>
        <w:rPr>
          <w:rFonts w:ascii="Traditional Arabic" w:hAnsi="Traditional Arabic"/>
          <w:noProof w:val="0"/>
          <w:color w:val="auto"/>
          <w:lang w:eastAsia="en-US"/>
        </w:rPr>
      </w:pPr>
      <w:r>
        <w:rPr>
          <w:rFonts w:ascii="Traditional Arabic" w:hAnsi="Traditional Arabic" w:hint="cs"/>
          <w:noProof w:val="0"/>
          <w:color w:val="auto"/>
          <w:rtl/>
          <w:lang w:eastAsia="en-US"/>
        </w:rPr>
        <w:t>ا</w:t>
      </w:r>
      <w:r w:rsidR="00C97663">
        <w:rPr>
          <w:rFonts w:ascii="Traditional Arabic" w:hAnsi="Traditional Arabic" w:hint="cs"/>
          <w:noProof w:val="0"/>
          <w:color w:val="auto"/>
          <w:rtl/>
          <w:lang w:eastAsia="en-US"/>
        </w:rPr>
        <w:t>لموضع الثاني :في قصة يونس عليه السلام لما خرج مُغاضِباً لقومه حين لم يؤمنوا به ولم ينزل بهم العذاب الذي وعدهم به، فركب البحر، حتى إذا كانوا في عرض البحر،</w:t>
      </w:r>
      <w:r w:rsidR="00154102">
        <w:rPr>
          <w:rFonts w:ascii="Traditional Arabic" w:hAnsi="Traditional Arabic" w:hint="cs"/>
          <w:noProof w:val="0"/>
          <w:color w:val="auto"/>
          <w:rtl/>
          <w:lang w:eastAsia="en-US"/>
        </w:rPr>
        <w:t xml:space="preserve"> و</w:t>
      </w:r>
      <w:r w:rsidR="00C97663">
        <w:rPr>
          <w:rFonts w:ascii="Traditional Arabic" w:hAnsi="Traditional Arabic" w:hint="cs"/>
          <w:noProof w:val="0"/>
          <w:color w:val="auto"/>
          <w:rtl/>
          <w:lang w:eastAsia="en-US"/>
        </w:rPr>
        <w:t>ثقُلت بهم السفينة، اقترعوا على إلقاء بعض الركَّاب، فكان يونس عليه السلام من المغلوبين بالقرعة، فألقوه في البحر</w:t>
      </w:r>
      <w:r w:rsidR="00C97663" w:rsidRPr="00C821A1">
        <w:rPr>
          <w:rFonts w:ascii="Traditional Arabic" w:hAnsi="Traditional Arabic" w:hint="cs"/>
          <w:noProof w:val="0"/>
          <w:color w:val="auto"/>
          <w:szCs w:val="32"/>
          <w:vertAlign w:val="superscript"/>
          <w:rtl/>
          <w:lang w:eastAsia="en-US"/>
        </w:rPr>
        <w:t>(</w:t>
      </w:r>
      <w:r w:rsidR="00C97663" w:rsidRPr="00C821A1">
        <w:rPr>
          <w:rStyle w:val="af1"/>
          <w:rFonts w:ascii="Traditional Arabic" w:hAnsi="Traditional Arabic"/>
          <w:noProof w:val="0"/>
          <w:color w:val="auto"/>
          <w:szCs w:val="32"/>
          <w:rtl/>
          <w:lang w:eastAsia="en-US"/>
        </w:rPr>
        <w:footnoteReference w:id="1646"/>
      </w:r>
      <w:r w:rsidR="00C97663" w:rsidRPr="00C821A1">
        <w:rPr>
          <w:rFonts w:ascii="Traditional Arabic" w:hAnsi="Traditional Arabic" w:hint="cs"/>
          <w:noProof w:val="0"/>
          <w:color w:val="auto"/>
          <w:szCs w:val="32"/>
          <w:vertAlign w:val="superscript"/>
          <w:rtl/>
          <w:lang w:eastAsia="en-US"/>
        </w:rPr>
        <w:t>)</w:t>
      </w:r>
      <w:r w:rsidR="00C97663">
        <w:rPr>
          <w:rFonts w:ascii="Traditional Arabic" w:hAnsi="Traditional Arabic" w:hint="cs"/>
          <w:noProof w:val="0"/>
          <w:color w:val="auto"/>
          <w:rtl/>
          <w:lang w:eastAsia="en-US"/>
        </w:rPr>
        <w:t>.</w:t>
      </w:r>
      <w:r w:rsidR="00C97663" w:rsidRPr="007809AD">
        <w:rPr>
          <w:rFonts w:ascii="Traditional Arabic" w:hAnsi="Traditional Arabic" w:hint="cs"/>
          <w:noProof w:val="0"/>
          <w:color w:val="auto"/>
          <w:rtl/>
          <w:lang w:eastAsia="en-US"/>
        </w:rPr>
        <w:t>و ش</w:t>
      </w:r>
      <w:r w:rsidR="00C97663">
        <w:rPr>
          <w:rFonts w:ascii="Traditional Arabic" w:hAnsi="Traditional Arabic" w:hint="cs"/>
          <w:noProof w:val="0"/>
          <w:color w:val="auto"/>
          <w:rtl/>
          <w:lang w:eastAsia="en-US"/>
        </w:rPr>
        <w:t>َ</w:t>
      </w:r>
      <w:r w:rsidR="00C97663" w:rsidRPr="007809AD">
        <w:rPr>
          <w:rFonts w:ascii="Traditional Arabic" w:hAnsi="Traditional Arabic" w:hint="cs"/>
          <w:noProof w:val="0"/>
          <w:color w:val="auto"/>
          <w:rtl/>
          <w:lang w:eastAsia="en-US"/>
        </w:rPr>
        <w:t>ر</w:t>
      </w:r>
      <w:r w:rsidR="00C97663">
        <w:rPr>
          <w:rFonts w:ascii="Traditional Arabic" w:hAnsi="Traditional Arabic" w:hint="cs"/>
          <w:noProof w:val="0"/>
          <w:color w:val="auto"/>
          <w:rtl/>
          <w:lang w:eastAsia="en-US"/>
        </w:rPr>
        <w:t>ْ</w:t>
      </w:r>
      <w:r w:rsidR="00C97663" w:rsidRPr="007809AD">
        <w:rPr>
          <w:rFonts w:ascii="Traditional Arabic" w:hAnsi="Traditional Arabic" w:hint="cs"/>
          <w:noProof w:val="0"/>
          <w:color w:val="auto"/>
          <w:rtl/>
          <w:lang w:eastAsia="en-US"/>
        </w:rPr>
        <w:t>ع</w:t>
      </w:r>
      <w:r w:rsidR="00C97663">
        <w:rPr>
          <w:rFonts w:ascii="Traditional Arabic" w:hAnsi="Traditional Arabic" w:hint="cs"/>
          <w:noProof w:val="0"/>
          <w:color w:val="auto"/>
          <w:rtl/>
          <w:lang w:eastAsia="en-US"/>
        </w:rPr>
        <w:t>ُ</w:t>
      </w:r>
      <w:r w:rsidR="00C97663" w:rsidRPr="007809AD">
        <w:rPr>
          <w:rFonts w:ascii="Traditional Arabic" w:hAnsi="Traditional Arabic" w:hint="cs"/>
          <w:noProof w:val="0"/>
          <w:color w:val="auto"/>
          <w:rtl/>
          <w:lang w:eastAsia="en-US"/>
        </w:rPr>
        <w:t xml:space="preserve"> م</w:t>
      </w:r>
      <w:r w:rsidR="00C97663">
        <w:rPr>
          <w:rFonts w:ascii="Traditional Arabic" w:hAnsi="Traditional Arabic" w:hint="cs"/>
          <w:noProof w:val="0"/>
          <w:color w:val="auto"/>
          <w:rtl/>
          <w:lang w:eastAsia="en-US"/>
        </w:rPr>
        <w:t>َ</w:t>
      </w:r>
      <w:r w:rsidR="00C97663" w:rsidRPr="007809AD">
        <w:rPr>
          <w:rFonts w:ascii="Traditional Arabic" w:hAnsi="Traditional Arabic" w:hint="cs"/>
          <w:noProof w:val="0"/>
          <w:color w:val="auto"/>
          <w:rtl/>
          <w:lang w:eastAsia="en-US"/>
        </w:rPr>
        <w:t>ن ق</w:t>
      </w:r>
      <w:r w:rsidR="00C97663">
        <w:rPr>
          <w:rFonts w:ascii="Traditional Arabic" w:hAnsi="Traditional Arabic" w:hint="cs"/>
          <w:noProof w:val="0"/>
          <w:color w:val="auto"/>
          <w:rtl/>
          <w:lang w:eastAsia="en-US"/>
        </w:rPr>
        <w:t>َ</w:t>
      </w:r>
      <w:r w:rsidR="00C97663" w:rsidRPr="007809AD">
        <w:rPr>
          <w:rFonts w:ascii="Traditional Arabic" w:hAnsi="Traditional Arabic" w:hint="cs"/>
          <w:noProof w:val="0"/>
          <w:color w:val="auto"/>
          <w:rtl/>
          <w:lang w:eastAsia="en-US"/>
        </w:rPr>
        <w:t>بلنا شرع</w:t>
      </w:r>
      <w:r w:rsidR="00C97663">
        <w:rPr>
          <w:rFonts w:ascii="Traditional Arabic" w:hAnsi="Traditional Arabic" w:hint="cs"/>
          <w:noProof w:val="0"/>
          <w:color w:val="auto"/>
          <w:rtl/>
          <w:lang w:eastAsia="en-US"/>
        </w:rPr>
        <w:t>ٌ</w:t>
      </w:r>
      <w:r w:rsidR="00C97663" w:rsidRPr="007809AD">
        <w:rPr>
          <w:rFonts w:ascii="Traditional Arabic" w:hAnsi="Traditional Arabic" w:hint="cs"/>
          <w:noProof w:val="0"/>
          <w:color w:val="auto"/>
          <w:rtl/>
          <w:lang w:eastAsia="en-US"/>
        </w:rPr>
        <w:t xml:space="preserve"> لنا</w:t>
      </w:r>
      <w:r w:rsidR="00B76414">
        <w:rPr>
          <w:rFonts w:ascii="Traditional Arabic" w:hAnsi="Traditional Arabic" w:hint="cs"/>
          <w:noProof w:val="0"/>
          <w:color w:val="auto"/>
          <w:rtl/>
          <w:lang w:eastAsia="en-US"/>
        </w:rPr>
        <w:t>،</w:t>
      </w:r>
      <w:r w:rsidR="00C97663" w:rsidRPr="007809AD">
        <w:rPr>
          <w:rFonts w:ascii="Traditional Arabic" w:hAnsi="Traditional Arabic" w:hint="cs"/>
          <w:noProof w:val="0"/>
          <w:color w:val="auto"/>
          <w:rtl/>
          <w:lang w:eastAsia="en-US"/>
        </w:rPr>
        <w:t xml:space="preserve"> ما لم يَرِد شرعُنا</w:t>
      </w:r>
      <w:r w:rsidR="00C97663">
        <w:rPr>
          <w:rFonts w:ascii="Traditional Arabic" w:hAnsi="Traditional Arabic" w:hint="cs"/>
          <w:noProof w:val="0"/>
          <w:color w:val="auto"/>
          <w:rtl/>
          <w:lang w:eastAsia="en-US"/>
        </w:rPr>
        <w:t xml:space="preserve"> بِخِلافِه، فكيف</w:t>
      </w:r>
      <w:r w:rsidR="00154102">
        <w:rPr>
          <w:rFonts w:ascii="Traditional Arabic" w:hAnsi="Traditional Arabic" w:hint="cs"/>
          <w:noProof w:val="0"/>
          <w:color w:val="auto"/>
          <w:rtl/>
          <w:lang w:eastAsia="en-US"/>
        </w:rPr>
        <w:t xml:space="preserve"> و</w:t>
      </w:r>
      <w:r w:rsidR="00C97663">
        <w:rPr>
          <w:rFonts w:ascii="Traditional Arabic" w:hAnsi="Traditional Arabic" w:hint="cs"/>
          <w:noProof w:val="0"/>
          <w:color w:val="auto"/>
          <w:rtl/>
          <w:lang w:eastAsia="en-US"/>
        </w:rPr>
        <w:t>قد ورد شرعُنا بِوِفاقه</w:t>
      </w:r>
      <w:r w:rsidR="00C97663" w:rsidRPr="00C821A1">
        <w:rPr>
          <w:rFonts w:ascii="Traditional Arabic" w:hAnsi="Traditional Arabic" w:hint="cs"/>
          <w:noProof w:val="0"/>
          <w:color w:val="auto"/>
          <w:szCs w:val="32"/>
          <w:vertAlign w:val="superscript"/>
          <w:rtl/>
          <w:lang w:eastAsia="en-US"/>
        </w:rPr>
        <w:t>(</w:t>
      </w:r>
      <w:r w:rsidR="00C97663" w:rsidRPr="00C821A1">
        <w:rPr>
          <w:rStyle w:val="af1"/>
          <w:rFonts w:ascii="Traditional Arabic" w:hAnsi="Traditional Arabic"/>
          <w:noProof w:val="0"/>
          <w:color w:val="auto"/>
          <w:szCs w:val="32"/>
          <w:rtl/>
          <w:lang w:eastAsia="en-US"/>
        </w:rPr>
        <w:footnoteReference w:id="1647"/>
      </w:r>
      <w:r w:rsidR="00C97663" w:rsidRPr="00C821A1">
        <w:rPr>
          <w:rFonts w:ascii="Traditional Arabic" w:hAnsi="Traditional Arabic" w:hint="cs"/>
          <w:noProof w:val="0"/>
          <w:color w:val="auto"/>
          <w:szCs w:val="32"/>
          <w:vertAlign w:val="superscript"/>
          <w:rtl/>
          <w:lang w:eastAsia="en-US"/>
        </w:rPr>
        <w:t>)</w:t>
      </w:r>
      <w:r w:rsidR="00552768">
        <w:rPr>
          <w:rFonts w:ascii="Traditional Arabic" w:hAnsi="Traditional Arabic" w:hint="cs"/>
          <w:noProof w:val="0"/>
          <w:color w:val="auto"/>
          <w:rtl/>
          <w:lang w:eastAsia="en-US"/>
        </w:rPr>
        <w:t>.</w:t>
      </w:r>
    </w:p>
    <w:p w:rsidR="00F228A9" w:rsidRPr="00552768" w:rsidRDefault="00552768" w:rsidP="00552768">
      <w:pPr>
        <w:spacing w:line="640" w:lineRule="exact"/>
        <w:ind w:firstLine="0"/>
        <w:jc w:val="lowKashida"/>
        <w:rPr>
          <w:rFonts w:ascii="Traditional Arabic" w:hAnsi="Traditional Arabic"/>
          <w:rtl/>
        </w:rPr>
      </w:pPr>
      <w:r>
        <w:rPr>
          <w:rFonts w:ascii="Traditional Arabic" w:hAnsi="Traditional Arabic" w:hint="cs"/>
          <w:rtl/>
        </w:rPr>
        <w:t xml:space="preserve">(3)    </w:t>
      </w:r>
      <w:r w:rsidR="00C97663" w:rsidRPr="00552768">
        <w:rPr>
          <w:rFonts w:ascii="Traditional Arabic" w:hAnsi="Traditional Arabic"/>
          <w:rtl/>
        </w:rPr>
        <w:t xml:space="preserve">حديث أبي هريرة </w:t>
      </w:r>
      <w:r w:rsidR="007B191B">
        <w:rPr>
          <w:rFonts w:hint="cs"/>
          <w:rtl/>
        </w:rPr>
        <w:t>رضي الله عنه</w:t>
      </w:r>
      <w:r w:rsidR="00C97663" w:rsidRPr="00552768">
        <w:rPr>
          <w:rFonts w:ascii="Traditional Arabic" w:hAnsi="Traditional Arabic"/>
          <w:rtl/>
        </w:rPr>
        <w:t xml:space="preserve"> أن الرسول </w:t>
      </w:r>
      <w:r w:rsidR="007B191B">
        <w:rPr>
          <w:rFonts w:hint="cs"/>
          <w:rtl/>
        </w:rPr>
        <w:t>صلى الله عليه وسلم</w:t>
      </w:r>
      <w:r w:rsidR="00C97663" w:rsidRPr="00552768">
        <w:rPr>
          <w:rFonts w:ascii="Traditional Arabic" w:hAnsi="Traditional Arabic"/>
          <w:rtl/>
        </w:rPr>
        <w:t xml:space="preserve"> قال : "لو يعلم الناس ما في النداء والصف الأول</w:t>
      </w:r>
      <w:r w:rsidR="00B76414" w:rsidRPr="00552768">
        <w:rPr>
          <w:rFonts w:ascii="Traditional Arabic" w:hAnsi="Traditional Arabic"/>
          <w:rtl/>
        </w:rPr>
        <w:t>،</w:t>
      </w:r>
      <w:r>
        <w:rPr>
          <w:rFonts w:ascii="Traditional Arabic" w:hAnsi="Traditional Arabic" w:hint="cs"/>
          <w:rtl/>
        </w:rPr>
        <w:t xml:space="preserve"> </w:t>
      </w:r>
      <w:r w:rsidR="00AB0B9E" w:rsidRPr="00552768">
        <w:rPr>
          <w:rFonts w:ascii="Traditional Arabic" w:hAnsi="Traditional Arabic"/>
          <w:rtl/>
        </w:rPr>
        <w:fldChar w:fldCharType="begin"/>
      </w:r>
      <w:r w:rsidR="00155CDC" w:rsidRPr="00C85F0F">
        <w:instrText>XE</w:instrText>
      </w:r>
      <w:r w:rsidR="00155CDC" w:rsidRPr="00C85F0F">
        <w:rPr>
          <w:rtl/>
        </w:rPr>
        <w:instrText xml:space="preserve"> "</w:instrText>
      </w:r>
      <w:r w:rsidR="00155CDC" w:rsidRPr="00552768">
        <w:rPr>
          <w:rFonts w:ascii="Traditional Arabic" w:hAnsi="Traditional Arabic"/>
          <w:rtl/>
        </w:rPr>
        <w:instrText>لو يعلم الناس ما في النداء والصف الأول،</w:instrText>
      </w:r>
      <w:r w:rsidR="00155CDC" w:rsidRPr="00C85F0F">
        <w:rPr>
          <w:rtl/>
        </w:rPr>
        <w:instrText>" \</w:instrText>
      </w:r>
      <w:r w:rsidR="00155CDC" w:rsidRPr="00C85F0F">
        <w:instrText>f</w:instrText>
      </w:r>
      <w:r w:rsidR="00155CDC">
        <w:instrText>h</w:instrText>
      </w:r>
      <w:r w:rsidR="00AB0B9E" w:rsidRPr="00552768">
        <w:rPr>
          <w:rFonts w:ascii="Traditional Arabic" w:hAnsi="Traditional Arabic"/>
          <w:rtl/>
        </w:rPr>
        <w:fldChar w:fldCharType="end"/>
      </w:r>
      <w:r w:rsidR="00C97663" w:rsidRPr="00552768">
        <w:rPr>
          <w:rFonts w:ascii="Traditional Arabic" w:hAnsi="Traditional Arabic"/>
          <w:rtl/>
        </w:rPr>
        <w:t>ثم لم يجدوا إلا أن ي</w:t>
      </w:r>
      <w:r w:rsidR="00F25C3C">
        <w:rPr>
          <w:rFonts w:ascii="Traditional Arabic" w:hAnsi="Traditional Arabic" w:hint="cs"/>
          <w:rtl/>
        </w:rPr>
        <w:t>َ</w:t>
      </w:r>
      <w:r w:rsidR="00C97663" w:rsidRPr="00552768">
        <w:rPr>
          <w:rFonts w:ascii="Traditional Arabic" w:hAnsi="Traditional Arabic"/>
          <w:rtl/>
        </w:rPr>
        <w:t>س</w:t>
      </w:r>
      <w:r w:rsidR="00F25C3C">
        <w:rPr>
          <w:rFonts w:ascii="Traditional Arabic" w:hAnsi="Traditional Arabic" w:hint="cs"/>
          <w:rtl/>
        </w:rPr>
        <w:t>ْ</w:t>
      </w:r>
      <w:r w:rsidR="00C97663" w:rsidRPr="00552768">
        <w:rPr>
          <w:rFonts w:ascii="Traditional Arabic" w:hAnsi="Traditional Arabic"/>
          <w:rtl/>
        </w:rPr>
        <w:t>ت</w:t>
      </w:r>
      <w:r w:rsidR="00F25C3C">
        <w:rPr>
          <w:rFonts w:ascii="Traditional Arabic" w:hAnsi="Traditional Arabic" w:hint="cs"/>
          <w:rtl/>
        </w:rPr>
        <w:t>َ</w:t>
      </w:r>
      <w:r w:rsidR="00C97663" w:rsidRPr="00552768">
        <w:rPr>
          <w:rFonts w:ascii="Traditional Arabic" w:hAnsi="Traditional Arabic"/>
          <w:rtl/>
        </w:rPr>
        <w:t>ه</w:t>
      </w:r>
      <w:r w:rsidR="00F25C3C">
        <w:rPr>
          <w:rFonts w:ascii="Traditional Arabic" w:hAnsi="Traditional Arabic" w:hint="cs"/>
          <w:rtl/>
        </w:rPr>
        <w:t>ِ</w:t>
      </w:r>
      <w:r w:rsidR="00C97663" w:rsidRPr="00552768">
        <w:rPr>
          <w:rFonts w:ascii="Traditional Arabic" w:hAnsi="Traditional Arabic"/>
          <w:rtl/>
        </w:rPr>
        <w:t>موا</w:t>
      </w:r>
      <w:r>
        <w:rPr>
          <w:rFonts w:ascii="Traditional Arabic" w:hAnsi="Traditional Arabic" w:hint="cs"/>
          <w:rtl/>
        </w:rPr>
        <w:t xml:space="preserve"> </w:t>
      </w:r>
      <w:r w:rsidR="00C97663" w:rsidRPr="00552768">
        <w:rPr>
          <w:rFonts w:ascii="Traditional Arabic" w:hAnsi="Traditional Arabic"/>
          <w:rtl/>
        </w:rPr>
        <w:t>عليه لاس</w:t>
      </w:r>
      <w:r w:rsidR="00C97663" w:rsidRPr="00552768">
        <w:rPr>
          <w:rFonts w:ascii="Traditional Arabic" w:hAnsi="Traditional Arabic" w:hint="cs"/>
          <w:rtl/>
        </w:rPr>
        <w:t>ْ</w:t>
      </w:r>
      <w:r w:rsidR="00C97663" w:rsidRPr="00552768">
        <w:rPr>
          <w:rFonts w:ascii="Traditional Arabic" w:hAnsi="Traditional Arabic"/>
          <w:rtl/>
        </w:rPr>
        <w:t>ت</w:t>
      </w:r>
      <w:r w:rsidR="00C97663" w:rsidRPr="00552768">
        <w:rPr>
          <w:rFonts w:ascii="Traditional Arabic" w:hAnsi="Traditional Arabic" w:hint="cs"/>
          <w:rtl/>
        </w:rPr>
        <w:t>َ</w:t>
      </w:r>
      <w:r w:rsidR="00C97663" w:rsidRPr="00552768">
        <w:rPr>
          <w:rFonts w:ascii="Traditional Arabic" w:hAnsi="Traditional Arabic"/>
          <w:rtl/>
        </w:rPr>
        <w:t>ه</w:t>
      </w:r>
      <w:r w:rsidR="00C97663" w:rsidRPr="00552768">
        <w:rPr>
          <w:rFonts w:ascii="Traditional Arabic" w:hAnsi="Traditional Arabic" w:hint="cs"/>
          <w:rtl/>
        </w:rPr>
        <w:t>َ</w:t>
      </w:r>
      <w:r w:rsidR="00C97663" w:rsidRPr="00552768">
        <w:rPr>
          <w:rFonts w:ascii="Traditional Arabic" w:hAnsi="Traditional Arabic"/>
          <w:rtl/>
        </w:rPr>
        <w:t>م</w:t>
      </w:r>
      <w:r w:rsidR="00C97663" w:rsidRPr="00552768">
        <w:rPr>
          <w:rFonts w:ascii="Traditional Arabic" w:hAnsi="Traditional Arabic" w:hint="cs"/>
          <w:rtl/>
        </w:rPr>
        <w:t>ُ</w:t>
      </w:r>
      <w:r w:rsidR="00C97663" w:rsidRPr="00552768">
        <w:rPr>
          <w:rFonts w:ascii="Traditional Arabic" w:hAnsi="Traditional Arabic"/>
          <w:rtl/>
        </w:rPr>
        <w:t>وا"</w:t>
      </w:r>
      <w:r w:rsidR="00C97663" w:rsidRPr="00552768">
        <w:rPr>
          <w:rFonts w:ascii="Traditional Arabic" w:hAnsi="Traditional Arabic"/>
          <w:szCs w:val="32"/>
          <w:vertAlign w:val="superscript"/>
          <w:rtl/>
        </w:rPr>
        <w:t>(</w:t>
      </w:r>
      <w:r w:rsidR="00C97663" w:rsidRPr="00C821A1">
        <w:rPr>
          <w:rStyle w:val="af1"/>
          <w:rFonts w:ascii="Traditional Arabic" w:hAnsi="Traditional Arabic"/>
          <w:szCs w:val="32"/>
          <w:rtl/>
        </w:rPr>
        <w:footnoteReference w:id="1648"/>
      </w:r>
      <w:r w:rsidR="00C97663" w:rsidRPr="00552768">
        <w:rPr>
          <w:rFonts w:ascii="Traditional Arabic" w:hAnsi="Traditional Arabic"/>
          <w:szCs w:val="32"/>
          <w:vertAlign w:val="superscript"/>
          <w:rtl/>
        </w:rPr>
        <w:t>)</w:t>
      </w:r>
      <w:r w:rsidR="00B76414" w:rsidRPr="00552768">
        <w:rPr>
          <w:rFonts w:ascii="Traditional Arabic" w:hAnsi="Traditional Arabic"/>
          <w:rtl/>
        </w:rPr>
        <w:t>.</w:t>
      </w:r>
    </w:p>
    <w:p w:rsidR="00065E4B" w:rsidRDefault="00F228A9" w:rsidP="00597C20">
      <w:pPr>
        <w:pStyle w:val="53"/>
        <w:rPr>
          <w:rtl/>
        </w:rPr>
      </w:pPr>
      <w:r w:rsidRPr="00015670">
        <w:rPr>
          <w:rtl/>
        </w:rPr>
        <w:lastRenderedPageBreak/>
        <w:t>وجه الدلالة :</w:t>
      </w:r>
    </w:p>
    <w:p w:rsidR="00C97663" w:rsidRPr="00F60BF3" w:rsidRDefault="00065E4B" w:rsidP="00597C20">
      <w:pPr>
        <w:widowControl/>
        <w:autoSpaceDE w:val="0"/>
        <w:autoSpaceDN w:val="0"/>
        <w:adjustRightInd w:val="0"/>
        <w:ind w:firstLine="720"/>
        <w:rPr>
          <w:rFonts w:ascii="Traditional Arabic" w:hAnsi="Traditional Arabic"/>
          <w:rtl/>
        </w:rPr>
      </w:pPr>
      <w:r w:rsidRPr="00F60BF3">
        <w:rPr>
          <w:rFonts w:ascii="Traditional Arabic" w:hAnsi="Traditional Arabic"/>
          <w:rtl/>
        </w:rPr>
        <w:t>ه</w:t>
      </w:r>
      <w:r w:rsidR="00C97663" w:rsidRPr="00F60BF3">
        <w:rPr>
          <w:rFonts w:ascii="Traditional Arabic" w:hAnsi="Traditional Arabic"/>
          <w:rtl/>
        </w:rPr>
        <w:t>ذا</w:t>
      </w:r>
      <w:r w:rsidR="00C97663" w:rsidRPr="00F60BF3">
        <w:rPr>
          <w:rFonts w:ascii="Traditional Arabic" w:hAnsi="Traditional Arabic" w:hint="cs"/>
          <w:rtl/>
        </w:rPr>
        <w:t xml:space="preserve"> الحديث</w:t>
      </w:r>
      <w:r w:rsidR="00C97663" w:rsidRPr="00F60BF3">
        <w:rPr>
          <w:rFonts w:ascii="Traditional Arabic" w:hAnsi="Traditional Arabic"/>
          <w:rtl/>
        </w:rPr>
        <w:t xml:space="preserve"> نصٌّ واضح في أن القرعة تدخل في الأذان والصف الأول إذا تشاح</w:t>
      </w:r>
      <w:r w:rsidR="00C97663" w:rsidRPr="00F60BF3">
        <w:rPr>
          <w:rFonts w:ascii="Traditional Arabic" w:hAnsi="Traditional Arabic" w:hint="cs"/>
          <w:rtl/>
        </w:rPr>
        <w:t>َّ الناس</w:t>
      </w:r>
      <w:r w:rsidR="00C97663" w:rsidRPr="00F60BF3">
        <w:rPr>
          <w:rFonts w:ascii="Traditional Arabic" w:hAnsi="Traditional Arabic"/>
          <w:rtl/>
        </w:rPr>
        <w:t xml:space="preserve"> فيهما</w:t>
      </w:r>
      <w:r w:rsidR="00C97663" w:rsidRPr="00C821A1">
        <w:rPr>
          <w:rFonts w:ascii="Traditional Arabic" w:hAnsi="Traditional Arabic" w:hint="cs"/>
          <w:szCs w:val="32"/>
          <w:vertAlign w:val="superscript"/>
          <w:rtl/>
        </w:rPr>
        <w:t>(</w:t>
      </w:r>
      <w:r w:rsidR="00C97663" w:rsidRPr="00C821A1">
        <w:rPr>
          <w:rStyle w:val="af1"/>
          <w:rFonts w:ascii="Traditional Arabic" w:hAnsi="Traditional Arabic"/>
          <w:szCs w:val="32"/>
          <w:rtl/>
        </w:rPr>
        <w:footnoteReference w:id="1649"/>
      </w:r>
      <w:r w:rsidR="00C97663" w:rsidRPr="00C821A1">
        <w:rPr>
          <w:rFonts w:ascii="Traditional Arabic" w:hAnsi="Traditional Arabic" w:hint="cs"/>
          <w:szCs w:val="32"/>
          <w:vertAlign w:val="superscript"/>
          <w:rtl/>
        </w:rPr>
        <w:t>)</w:t>
      </w:r>
      <w:r w:rsidR="00C97663" w:rsidRPr="00F60BF3">
        <w:rPr>
          <w:rFonts w:ascii="Traditional Arabic" w:hAnsi="Traditional Arabic" w:hint="cs"/>
          <w:rtl/>
        </w:rPr>
        <w:t>.</w:t>
      </w:r>
    </w:p>
    <w:p w:rsidR="00C97663" w:rsidRPr="00F25C3C" w:rsidRDefault="00F25C3C" w:rsidP="00F25C3C">
      <w:pPr>
        <w:widowControl/>
        <w:autoSpaceDE w:val="0"/>
        <w:autoSpaceDN w:val="0"/>
        <w:adjustRightInd w:val="0"/>
        <w:ind w:firstLine="0"/>
        <w:rPr>
          <w:rFonts w:ascii="Traditional Arabic" w:hAnsi="Traditional Arabic"/>
          <w:rtl/>
        </w:rPr>
      </w:pPr>
      <w:r>
        <w:rPr>
          <w:rFonts w:ascii="Traditional Arabic" w:hAnsi="Traditional Arabic" w:hint="cs"/>
          <w:rtl/>
        </w:rPr>
        <w:t xml:space="preserve">(4)    </w:t>
      </w:r>
      <w:r w:rsidR="00C97663" w:rsidRPr="00F25C3C">
        <w:rPr>
          <w:rFonts w:ascii="Traditional Arabic" w:hAnsi="Traditional Arabic"/>
          <w:rtl/>
        </w:rPr>
        <w:t>حديث النعمان بن بشي</w:t>
      </w:r>
      <w:r w:rsidR="00FB1694" w:rsidRPr="00F25C3C">
        <w:rPr>
          <w:rFonts w:ascii="Traditional Arabic" w:hAnsi="Traditional Arabic" w:hint="cs"/>
          <w:rtl/>
        </w:rPr>
        <w:t>ر</w:t>
      </w:r>
      <w:r w:rsidRPr="00F25C3C">
        <w:rPr>
          <w:rFonts w:ascii="Traditional Arabic" w:hAnsi="Traditional Arabic" w:hint="cs"/>
          <w:rtl/>
        </w:rPr>
        <w:t>_</w:t>
      </w:r>
      <w:r w:rsidR="00C97663" w:rsidRPr="00F25C3C">
        <w:rPr>
          <w:rFonts w:ascii="Traditional Arabic" w:hAnsi="Traditional Arabic" w:cs="CTraditional Arabic"/>
          <w:color w:val="auto"/>
          <w:rtl/>
        </w:rPr>
        <w:t>ب</w:t>
      </w:r>
      <w:r w:rsidRPr="00F25C3C">
        <w:rPr>
          <w:rFonts w:ascii="Traditional Arabic" w:hAnsi="Traditional Arabic" w:hint="cs"/>
          <w:rtl/>
        </w:rPr>
        <w:t>_</w:t>
      </w:r>
      <w:r w:rsidR="00C97663" w:rsidRPr="00F25C3C">
        <w:rPr>
          <w:rFonts w:ascii="Traditional Arabic" w:hAnsi="Traditional Arabic"/>
          <w:rtl/>
        </w:rPr>
        <w:t>عن النبي</w:t>
      </w:r>
      <w:r w:rsidR="007B191B" w:rsidRPr="00F25C3C">
        <w:rPr>
          <w:rFonts w:ascii="Traditional Arabic" w:hAnsi="Traditional Arabic" w:hint="cs"/>
          <w:rtl/>
        </w:rPr>
        <w:t xml:space="preserve"> </w:t>
      </w:r>
      <w:r w:rsidR="00C97663" w:rsidRPr="00F25C3C">
        <w:rPr>
          <w:rFonts w:ascii="Traditional Arabic" w:hAnsi="Traditional Arabic"/>
          <w:rtl/>
        </w:rPr>
        <w:t xml:space="preserve"> </w:t>
      </w:r>
      <w:r w:rsidR="007B191B" w:rsidRPr="00F25C3C">
        <w:rPr>
          <w:rFonts w:ascii="Traditional Arabic" w:hAnsi="Traditional Arabic" w:hint="cs"/>
          <w:rtl/>
        </w:rPr>
        <w:t>صلى الله عليه وسلم</w:t>
      </w:r>
      <w:r w:rsidR="00C97663" w:rsidRPr="00F25C3C">
        <w:rPr>
          <w:rFonts w:ascii="Traditional Arabic" w:hAnsi="Traditional Arabic"/>
          <w:rtl/>
        </w:rPr>
        <w:t xml:space="preserve"> قال : "م</w:t>
      </w:r>
      <w:r w:rsidR="00C97663" w:rsidRPr="00F25C3C">
        <w:rPr>
          <w:rFonts w:ascii="Traditional Arabic" w:hAnsi="Traditional Arabic" w:hint="cs"/>
          <w:rtl/>
        </w:rPr>
        <w:t>َ</w:t>
      </w:r>
      <w:r w:rsidR="00C97663" w:rsidRPr="00F25C3C">
        <w:rPr>
          <w:rFonts w:ascii="Traditional Arabic" w:hAnsi="Traditional Arabic"/>
          <w:rtl/>
        </w:rPr>
        <w:t>ث</w:t>
      </w:r>
      <w:r w:rsidR="00C97663" w:rsidRPr="00F25C3C">
        <w:rPr>
          <w:rFonts w:ascii="Traditional Arabic" w:hAnsi="Traditional Arabic" w:hint="cs"/>
          <w:rtl/>
        </w:rPr>
        <w:t>َ</w:t>
      </w:r>
      <w:r w:rsidR="00C97663" w:rsidRPr="00F25C3C">
        <w:rPr>
          <w:rFonts w:ascii="Traditional Arabic" w:hAnsi="Traditional Arabic"/>
          <w:rtl/>
        </w:rPr>
        <w:t>ل القائم على حدود الله والواقع فيها</w:t>
      </w:r>
      <w:r w:rsidR="00B76414" w:rsidRPr="00F25C3C">
        <w:rPr>
          <w:rFonts w:ascii="Traditional Arabic" w:hAnsi="Traditional Arabic"/>
          <w:rtl/>
        </w:rPr>
        <w:t>،</w:t>
      </w:r>
      <w:r w:rsidR="00C97663" w:rsidRPr="00F25C3C">
        <w:rPr>
          <w:rFonts w:ascii="Traditional Arabic" w:hAnsi="Traditional Arabic"/>
          <w:rtl/>
        </w:rPr>
        <w:t>كمثل قوم اس</w:t>
      </w:r>
      <w:r w:rsidR="00C97663" w:rsidRPr="00F25C3C">
        <w:rPr>
          <w:rFonts w:ascii="Traditional Arabic" w:hAnsi="Traditional Arabic" w:hint="cs"/>
          <w:rtl/>
        </w:rPr>
        <w:t>ْ</w:t>
      </w:r>
      <w:r w:rsidR="00C97663" w:rsidRPr="00F25C3C">
        <w:rPr>
          <w:rFonts w:ascii="Traditional Arabic" w:hAnsi="Traditional Arabic"/>
          <w:rtl/>
        </w:rPr>
        <w:t>ت</w:t>
      </w:r>
      <w:r w:rsidR="00C97663" w:rsidRPr="00F25C3C">
        <w:rPr>
          <w:rFonts w:ascii="Traditional Arabic" w:hAnsi="Traditional Arabic" w:hint="cs"/>
          <w:rtl/>
        </w:rPr>
        <w:t>َ</w:t>
      </w:r>
      <w:r w:rsidR="00C97663" w:rsidRPr="00F25C3C">
        <w:rPr>
          <w:rFonts w:ascii="Traditional Arabic" w:hAnsi="Traditional Arabic"/>
          <w:rtl/>
        </w:rPr>
        <w:t>ه</w:t>
      </w:r>
      <w:r w:rsidR="00C97663" w:rsidRPr="00F25C3C">
        <w:rPr>
          <w:rFonts w:ascii="Traditional Arabic" w:hAnsi="Traditional Arabic" w:hint="cs"/>
          <w:rtl/>
        </w:rPr>
        <w:t>َ</w:t>
      </w:r>
      <w:r w:rsidR="00C97663" w:rsidRPr="00F25C3C">
        <w:rPr>
          <w:rFonts w:ascii="Traditional Arabic" w:hAnsi="Traditional Arabic"/>
          <w:rtl/>
        </w:rPr>
        <w:t>موا على سفينة</w:t>
      </w:r>
      <w:r w:rsidR="00B76414" w:rsidRPr="00F25C3C">
        <w:rPr>
          <w:rFonts w:ascii="Traditional Arabic" w:hAnsi="Traditional Arabic"/>
          <w:rtl/>
        </w:rPr>
        <w:t>،</w:t>
      </w:r>
      <w:r w:rsidR="00AB0B9E" w:rsidRPr="00F25C3C">
        <w:rPr>
          <w:rFonts w:ascii="Traditional Arabic" w:hAnsi="Traditional Arabic"/>
          <w:rtl/>
        </w:rPr>
        <w:fldChar w:fldCharType="begin"/>
      </w:r>
      <w:r w:rsidR="00155CDC" w:rsidRPr="00C85F0F">
        <w:instrText>XE</w:instrText>
      </w:r>
      <w:r w:rsidR="00155CDC" w:rsidRPr="00C85F0F">
        <w:rPr>
          <w:rtl/>
        </w:rPr>
        <w:instrText xml:space="preserve"> "</w:instrText>
      </w:r>
      <w:r w:rsidR="00155CDC" w:rsidRPr="00F25C3C">
        <w:rPr>
          <w:rFonts w:ascii="Traditional Arabic" w:hAnsi="Traditional Arabic"/>
          <w:rtl/>
        </w:rPr>
        <w:instrText>م</w:instrText>
      </w:r>
      <w:r w:rsidR="00155CDC" w:rsidRPr="00F25C3C">
        <w:rPr>
          <w:rFonts w:ascii="Traditional Arabic" w:hAnsi="Traditional Arabic" w:hint="cs"/>
          <w:rtl/>
        </w:rPr>
        <w:instrText>َ</w:instrText>
      </w:r>
      <w:r w:rsidR="00155CDC" w:rsidRPr="00F25C3C">
        <w:rPr>
          <w:rFonts w:ascii="Traditional Arabic" w:hAnsi="Traditional Arabic"/>
          <w:rtl/>
        </w:rPr>
        <w:instrText>ث</w:instrText>
      </w:r>
      <w:r w:rsidR="00155CDC" w:rsidRPr="00F25C3C">
        <w:rPr>
          <w:rFonts w:ascii="Traditional Arabic" w:hAnsi="Traditional Arabic" w:hint="cs"/>
          <w:rtl/>
        </w:rPr>
        <w:instrText>َ</w:instrText>
      </w:r>
      <w:r w:rsidR="00155CDC" w:rsidRPr="00F25C3C">
        <w:rPr>
          <w:rFonts w:ascii="Traditional Arabic" w:hAnsi="Traditional Arabic"/>
          <w:rtl/>
        </w:rPr>
        <w:instrText>ل القائم على حدود الله والواقع فيها،كمثل قوم اس</w:instrText>
      </w:r>
      <w:r w:rsidR="00155CDC" w:rsidRPr="00F25C3C">
        <w:rPr>
          <w:rFonts w:ascii="Traditional Arabic" w:hAnsi="Traditional Arabic" w:hint="cs"/>
          <w:rtl/>
        </w:rPr>
        <w:instrText>ْ</w:instrText>
      </w:r>
      <w:r w:rsidR="00155CDC" w:rsidRPr="00F25C3C">
        <w:rPr>
          <w:rFonts w:ascii="Traditional Arabic" w:hAnsi="Traditional Arabic"/>
          <w:rtl/>
        </w:rPr>
        <w:instrText>ت</w:instrText>
      </w:r>
      <w:r w:rsidR="00155CDC" w:rsidRPr="00F25C3C">
        <w:rPr>
          <w:rFonts w:ascii="Traditional Arabic" w:hAnsi="Traditional Arabic" w:hint="cs"/>
          <w:rtl/>
        </w:rPr>
        <w:instrText>َ</w:instrText>
      </w:r>
      <w:r w:rsidR="00155CDC" w:rsidRPr="00F25C3C">
        <w:rPr>
          <w:rFonts w:ascii="Traditional Arabic" w:hAnsi="Traditional Arabic"/>
          <w:rtl/>
        </w:rPr>
        <w:instrText>ه</w:instrText>
      </w:r>
      <w:r w:rsidR="00155CDC" w:rsidRPr="00F25C3C">
        <w:rPr>
          <w:rFonts w:ascii="Traditional Arabic" w:hAnsi="Traditional Arabic" w:hint="cs"/>
          <w:rtl/>
        </w:rPr>
        <w:instrText>َ</w:instrText>
      </w:r>
      <w:r w:rsidR="00155CDC" w:rsidRPr="00F25C3C">
        <w:rPr>
          <w:rFonts w:ascii="Traditional Arabic" w:hAnsi="Traditional Arabic"/>
          <w:rtl/>
        </w:rPr>
        <w:instrText>موا على سفينة،</w:instrText>
      </w:r>
      <w:r w:rsidR="00155CDC" w:rsidRPr="00C85F0F">
        <w:rPr>
          <w:rtl/>
        </w:rPr>
        <w:instrText>" \</w:instrText>
      </w:r>
      <w:r w:rsidR="00155CDC" w:rsidRPr="00C85F0F">
        <w:instrText>f</w:instrText>
      </w:r>
      <w:r w:rsidR="00155CDC">
        <w:instrText>h</w:instrText>
      </w:r>
      <w:r w:rsidR="00AB0B9E" w:rsidRPr="00F25C3C">
        <w:rPr>
          <w:rFonts w:ascii="Traditional Arabic" w:hAnsi="Traditional Arabic"/>
          <w:rtl/>
        </w:rPr>
        <w:fldChar w:fldCharType="end"/>
      </w:r>
      <w:r w:rsidR="00C97663" w:rsidRPr="00F25C3C">
        <w:rPr>
          <w:rFonts w:ascii="Traditional Arabic" w:hAnsi="Traditional Arabic"/>
          <w:rtl/>
        </w:rPr>
        <w:t xml:space="preserve"> فأصاب </w:t>
      </w:r>
      <w:r w:rsidR="00C97663" w:rsidRPr="00F25C3C">
        <w:rPr>
          <w:rFonts w:ascii="Traditional Arabic" w:hAnsi="Traditional Arabic" w:hint="cs"/>
          <w:rtl/>
        </w:rPr>
        <w:t>ب</w:t>
      </w:r>
      <w:r w:rsidR="00C97663" w:rsidRPr="00F25C3C">
        <w:rPr>
          <w:rFonts w:ascii="Traditional Arabic" w:hAnsi="Traditional Arabic"/>
          <w:rtl/>
        </w:rPr>
        <w:t>عضهم أعلاها وبعضهم أسفل</w:t>
      </w:r>
      <w:r w:rsidR="00C97663" w:rsidRPr="00F25C3C">
        <w:rPr>
          <w:rFonts w:ascii="Traditional Arabic" w:hAnsi="Traditional Arabic" w:hint="cs"/>
          <w:rtl/>
        </w:rPr>
        <w:t>َ</w:t>
      </w:r>
      <w:r w:rsidR="00C97663" w:rsidRPr="00F25C3C">
        <w:rPr>
          <w:rFonts w:ascii="Traditional Arabic" w:hAnsi="Traditional Arabic"/>
          <w:rtl/>
        </w:rPr>
        <w:t>ها</w:t>
      </w:r>
      <w:r w:rsidR="00B76414" w:rsidRPr="00F25C3C">
        <w:rPr>
          <w:rFonts w:ascii="Traditional Arabic" w:hAnsi="Traditional Arabic"/>
          <w:rtl/>
        </w:rPr>
        <w:t>.</w:t>
      </w:r>
      <w:r w:rsidR="00C97663" w:rsidRPr="00F25C3C">
        <w:rPr>
          <w:rFonts w:ascii="Traditional Arabic" w:hAnsi="Traditional Arabic"/>
          <w:rtl/>
        </w:rPr>
        <w:t>.</w:t>
      </w:r>
      <w:r w:rsidR="00C97663" w:rsidRPr="00F25C3C">
        <w:rPr>
          <w:rFonts w:ascii="Traditional Arabic" w:hAnsi="Traditional Arabic" w:hint="cs"/>
          <w:rtl/>
        </w:rPr>
        <w:t xml:space="preserve">. الحديث </w:t>
      </w:r>
      <w:r w:rsidR="00C97663" w:rsidRPr="00F25C3C">
        <w:rPr>
          <w:rFonts w:ascii="Traditional Arabic" w:hAnsi="Traditional Arabic"/>
          <w:rtl/>
        </w:rPr>
        <w:t>"</w:t>
      </w:r>
      <w:r w:rsidR="00C97663" w:rsidRPr="00F25C3C">
        <w:rPr>
          <w:rFonts w:ascii="Traditional Arabic" w:hAnsi="Traditional Arabic" w:hint="cs"/>
          <w:szCs w:val="32"/>
          <w:vertAlign w:val="superscript"/>
          <w:rtl/>
        </w:rPr>
        <w:t>(</w:t>
      </w:r>
      <w:r w:rsidR="00C97663" w:rsidRPr="00C821A1">
        <w:rPr>
          <w:szCs w:val="32"/>
          <w:vertAlign w:val="superscript"/>
          <w:rtl/>
        </w:rPr>
        <w:footnoteReference w:id="1650"/>
      </w:r>
      <w:r w:rsidR="00C97663" w:rsidRPr="00F25C3C">
        <w:rPr>
          <w:rFonts w:ascii="Traditional Arabic" w:hAnsi="Traditional Arabic" w:hint="cs"/>
          <w:szCs w:val="32"/>
          <w:vertAlign w:val="superscript"/>
          <w:rtl/>
        </w:rPr>
        <w:t>)</w:t>
      </w:r>
      <w:r w:rsidR="00B76414" w:rsidRPr="00F25C3C">
        <w:rPr>
          <w:rFonts w:ascii="Traditional Arabic" w:hAnsi="Traditional Arabic"/>
          <w:rtl/>
        </w:rPr>
        <w:t>.</w:t>
      </w:r>
    </w:p>
    <w:p w:rsidR="00F228A9" w:rsidRDefault="00C97663" w:rsidP="00597C20">
      <w:pPr>
        <w:pStyle w:val="53"/>
        <w:rPr>
          <w:rtl/>
        </w:rPr>
      </w:pPr>
      <w:r w:rsidRPr="00B37191">
        <w:rPr>
          <w:rFonts w:hint="cs"/>
          <w:rtl/>
        </w:rPr>
        <w:t>وجـه الدلالة :</w:t>
      </w:r>
    </w:p>
    <w:p w:rsidR="00C97663" w:rsidRPr="00F60BF3" w:rsidRDefault="00C97663" w:rsidP="00597C20">
      <w:pPr>
        <w:widowControl/>
        <w:autoSpaceDE w:val="0"/>
        <w:autoSpaceDN w:val="0"/>
        <w:adjustRightInd w:val="0"/>
        <w:ind w:firstLine="720"/>
        <w:rPr>
          <w:rFonts w:ascii="Traditional Arabic" w:hAnsi="Traditional Arabic"/>
          <w:rtl/>
        </w:rPr>
      </w:pPr>
      <w:r w:rsidRPr="00F60BF3">
        <w:rPr>
          <w:rFonts w:ascii="Traditional Arabic" w:hAnsi="Traditional Arabic" w:hint="cs"/>
          <w:rtl/>
        </w:rPr>
        <w:t>في الحديث أن مثَل الذي استقام على دين الله،</w:t>
      </w:r>
      <w:r w:rsidR="00154102" w:rsidRPr="00F60BF3">
        <w:rPr>
          <w:rFonts w:ascii="Traditional Arabic" w:hAnsi="Traditional Arabic" w:hint="cs"/>
          <w:rtl/>
        </w:rPr>
        <w:t xml:space="preserve"> و</w:t>
      </w:r>
      <w:r w:rsidRPr="00F60BF3">
        <w:rPr>
          <w:rFonts w:ascii="Traditional Arabic" w:hAnsi="Traditional Arabic" w:hint="cs"/>
          <w:rtl/>
        </w:rPr>
        <w:t>الواقع في حدود الله، الفاعل للمحرم أو التارك للواجب</w:t>
      </w:r>
      <w:r w:rsidR="00B76414" w:rsidRPr="00F60BF3">
        <w:rPr>
          <w:rFonts w:ascii="Traditional Arabic" w:hAnsi="Traditional Arabic" w:hint="cs"/>
          <w:rtl/>
        </w:rPr>
        <w:t>،</w:t>
      </w:r>
      <w:r w:rsidRPr="00F60BF3">
        <w:rPr>
          <w:rFonts w:ascii="Traditional Arabic" w:hAnsi="Traditional Arabic" w:hint="cs"/>
          <w:rtl/>
        </w:rPr>
        <w:t xml:space="preserve"> كمثَل قومٍ استهموا على سفينة، يعني ضربوا سهما</w:t>
      </w:r>
      <w:r w:rsidR="00F25C3C">
        <w:rPr>
          <w:rFonts w:ascii="Traditional Arabic" w:hAnsi="Traditional Arabic" w:hint="cs"/>
          <w:rtl/>
        </w:rPr>
        <w:t>ً</w:t>
      </w:r>
      <w:r w:rsidRPr="00F60BF3">
        <w:rPr>
          <w:rFonts w:ascii="Traditional Arabic" w:hAnsi="Traditional Arabic" w:hint="cs"/>
          <w:rtl/>
        </w:rPr>
        <w:t>،</w:t>
      </w:r>
      <w:r w:rsidR="00154102" w:rsidRPr="00F60BF3">
        <w:rPr>
          <w:rFonts w:ascii="Traditional Arabic" w:hAnsi="Traditional Arabic" w:hint="cs"/>
          <w:rtl/>
        </w:rPr>
        <w:t xml:space="preserve"> و</w:t>
      </w:r>
      <w:r w:rsidRPr="00F60BF3">
        <w:rPr>
          <w:rFonts w:ascii="Traditional Arabic" w:hAnsi="Traditional Arabic" w:hint="cs"/>
          <w:rtl/>
        </w:rPr>
        <w:t>هو ما يسمى بالقرعة، أيهم يكون الأعلى...ففي الحديث إثبات القرعة،</w:t>
      </w:r>
      <w:r w:rsidR="00154102" w:rsidRPr="00F60BF3">
        <w:rPr>
          <w:rFonts w:ascii="Traditional Arabic" w:hAnsi="Traditional Arabic" w:hint="cs"/>
          <w:rtl/>
        </w:rPr>
        <w:t xml:space="preserve"> و</w:t>
      </w:r>
      <w:r w:rsidRPr="00F60BF3">
        <w:rPr>
          <w:rFonts w:ascii="Traditional Arabic" w:hAnsi="Traditional Arabic" w:hint="cs"/>
          <w:rtl/>
        </w:rPr>
        <w:t>أنها جائزة</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1651"/>
      </w:r>
      <w:r w:rsidRPr="00C821A1">
        <w:rPr>
          <w:rFonts w:ascii="Traditional Arabic" w:hAnsi="Traditional Arabic" w:hint="cs"/>
          <w:szCs w:val="32"/>
          <w:vertAlign w:val="superscript"/>
          <w:rtl/>
        </w:rPr>
        <w:t>)</w:t>
      </w:r>
      <w:r w:rsidRPr="00F60BF3">
        <w:rPr>
          <w:rFonts w:ascii="Traditional Arabic" w:hAnsi="Traditional Arabic" w:hint="cs"/>
          <w:rtl/>
        </w:rPr>
        <w:t>.</w:t>
      </w:r>
    </w:p>
    <w:p w:rsidR="00C97663" w:rsidRPr="00F25C3C" w:rsidRDefault="00F25C3C" w:rsidP="00F25C3C">
      <w:pPr>
        <w:widowControl/>
        <w:autoSpaceDE w:val="0"/>
        <w:autoSpaceDN w:val="0"/>
        <w:adjustRightInd w:val="0"/>
        <w:ind w:firstLine="0"/>
        <w:rPr>
          <w:rFonts w:ascii="Traditional Arabic" w:hAnsi="Traditional Arabic"/>
          <w:rtl/>
        </w:rPr>
      </w:pPr>
      <w:r>
        <w:rPr>
          <w:rFonts w:ascii="Traditional Arabic" w:hAnsi="Traditional Arabic" w:hint="cs"/>
          <w:rtl/>
        </w:rPr>
        <w:t xml:space="preserve">(5)    </w:t>
      </w:r>
      <w:r w:rsidR="00C97663" w:rsidRPr="00F25C3C">
        <w:rPr>
          <w:rFonts w:ascii="Traditional Arabic" w:hAnsi="Traditional Arabic"/>
          <w:rtl/>
        </w:rPr>
        <w:t xml:space="preserve">حديث عائشة </w:t>
      </w:r>
      <w:r w:rsidRPr="00F25C3C">
        <w:rPr>
          <w:rFonts w:ascii="Traditional Arabic" w:hAnsi="Traditional Arabic" w:hint="cs"/>
          <w:rtl/>
        </w:rPr>
        <w:t>_</w:t>
      </w:r>
      <w:r w:rsidR="00C97663" w:rsidRPr="00F25C3C">
        <w:rPr>
          <w:rFonts w:ascii="Traditional Arabic" w:hAnsi="Traditional Arabic" w:cs="CTraditional Arabic"/>
          <w:color w:val="auto"/>
          <w:rtl/>
        </w:rPr>
        <w:t>ك</w:t>
      </w:r>
      <w:r w:rsidRPr="00F25C3C">
        <w:rPr>
          <w:rFonts w:ascii="Traditional Arabic" w:hAnsi="Traditional Arabic" w:hint="cs"/>
          <w:rtl/>
        </w:rPr>
        <w:t>_</w:t>
      </w:r>
      <w:r w:rsidR="007B191B" w:rsidRPr="00F25C3C">
        <w:rPr>
          <w:rFonts w:ascii="Traditional Arabic" w:hAnsi="Traditional Arabic" w:hint="cs"/>
          <w:rtl/>
        </w:rPr>
        <w:t xml:space="preserve"> </w:t>
      </w:r>
      <w:r w:rsidRPr="00F25C3C">
        <w:rPr>
          <w:rFonts w:ascii="Traditional Arabic" w:hAnsi="Traditional Arabic"/>
          <w:rtl/>
        </w:rPr>
        <w:t>قالت</w:t>
      </w:r>
      <w:r w:rsidR="00C97663" w:rsidRPr="00F25C3C">
        <w:rPr>
          <w:rFonts w:ascii="Traditional Arabic" w:hAnsi="Traditional Arabic"/>
          <w:rtl/>
        </w:rPr>
        <w:t xml:space="preserve">: "كان رسول الله </w:t>
      </w:r>
      <w:r w:rsidR="007B191B" w:rsidRPr="00F25C3C">
        <w:rPr>
          <w:rFonts w:ascii="Traditional Arabic" w:hAnsi="Traditional Arabic" w:hint="cs"/>
          <w:rtl/>
        </w:rPr>
        <w:t>صلى الله عليه وسلم</w:t>
      </w:r>
      <w:r w:rsidR="00C97663" w:rsidRPr="00F25C3C">
        <w:rPr>
          <w:rFonts w:ascii="Traditional Arabic" w:hAnsi="Traditional Arabic"/>
          <w:rtl/>
        </w:rPr>
        <w:t xml:space="preserve"> إذا أراد س</w:t>
      </w:r>
      <w:r w:rsidR="00C97663" w:rsidRPr="00F25C3C">
        <w:rPr>
          <w:rFonts w:ascii="Traditional Arabic" w:hAnsi="Traditional Arabic" w:hint="cs"/>
          <w:rtl/>
        </w:rPr>
        <w:t>ف</w:t>
      </w:r>
      <w:r w:rsidR="00C97663" w:rsidRPr="00F25C3C">
        <w:rPr>
          <w:rFonts w:ascii="Traditional Arabic" w:hAnsi="Traditional Arabic"/>
          <w:rtl/>
        </w:rPr>
        <w:t>راً أ</w:t>
      </w:r>
      <w:r w:rsidR="00C97663" w:rsidRPr="00F25C3C">
        <w:rPr>
          <w:rFonts w:ascii="Traditional Arabic" w:hAnsi="Traditional Arabic" w:hint="cs"/>
          <w:rtl/>
        </w:rPr>
        <w:t>َ</w:t>
      </w:r>
      <w:r w:rsidR="00C97663" w:rsidRPr="00F25C3C">
        <w:rPr>
          <w:rFonts w:ascii="Traditional Arabic" w:hAnsi="Traditional Arabic"/>
          <w:rtl/>
        </w:rPr>
        <w:t>ق</w:t>
      </w:r>
      <w:r w:rsidR="00C97663" w:rsidRPr="00F25C3C">
        <w:rPr>
          <w:rFonts w:ascii="Traditional Arabic" w:hAnsi="Traditional Arabic" w:hint="cs"/>
          <w:rtl/>
        </w:rPr>
        <w:t>ْ</w:t>
      </w:r>
      <w:r w:rsidR="00C97663" w:rsidRPr="00F25C3C">
        <w:rPr>
          <w:rFonts w:ascii="Traditional Arabic" w:hAnsi="Traditional Arabic"/>
          <w:rtl/>
        </w:rPr>
        <w:t>ر</w:t>
      </w:r>
      <w:r w:rsidR="00C97663" w:rsidRPr="00F25C3C">
        <w:rPr>
          <w:rFonts w:ascii="Traditional Arabic" w:hAnsi="Traditional Arabic" w:hint="cs"/>
          <w:rtl/>
        </w:rPr>
        <w:t>َ</w:t>
      </w:r>
      <w:r w:rsidR="00C97663" w:rsidRPr="00F25C3C">
        <w:rPr>
          <w:rFonts w:ascii="Traditional Arabic" w:hAnsi="Traditional Arabic"/>
          <w:rtl/>
        </w:rPr>
        <w:t>ع بين نسائه</w:t>
      </w:r>
      <w:r w:rsidR="00B76414" w:rsidRPr="00F25C3C">
        <w:rPr>
          <w:rFonts w:ascii="Traditional Arabic" w:hAnsi="Traditional Arabic"/>
          <w:rtl/>
        </w:rPr>
        <w:t>،</w:t>
      </w:r>
      <w:r w:rsidR="00AB0B9E" w:rsidRPr="00F25C3C">
        <w:rPr>
          <w:rFonts w:ascii="Traditional Arabic" w:hAnsi="Traditional Arabic"/>
          <w:rtl/>
        </w:rPr>
        <w:fldChar w:fldCharType="begin"/>
      </w:r>
      <w:r w:rsidR="00155CDC" w:rsidRPr="00C85F0F">
        <w:instrText>XE</w:instrText>
      </w:r>
      <w:r w:rsidR="00155CDC" w:rsidRPr="00C85F0F">
        <w:rPr>
          <w:rtl/>
        </w:rPr>
        <w:instrText xml:space="preserve"> "</w:instrText>
      </w:r>
      <w:r w:rsidR="00155CDC" w:rsidRPr="00F25C3C">
        <w:rPr>
          <w:rFonts w:ascii="Traditional Arabic" w:hAnsi="Traditional Arabic"/>
          <w:rtl/>
        </w:rPr>
        <w:instrText xml:space="preserve">كان رسول الله </w:instrText>
      </w:r>
      <w:r w:rsidR="00155CDC" w:rsidRPr="00C85F0F">
        <w:rPr>
          <w:rtl/>
        </w:rPr>
        <w:sym w:font="AGA Arabesque" w:char="F065"/>
      </w:r>
      <w:r w:rsidR="00155CDC" w:rsidRPr="00F25C3C">
        <w:rPr>
          <w:rFonts w:ascii="Traditional Arabic" w:hAnsi="Traditional Arabic"/>
          <w:rtl/>
        </w:rPr>
        <w:instrText xml:space="preserve"> إذا أراد س</w:instrText>
      </w:r>
      <w:r w:rsidR="00155CDC" w:rsidRPr="00F25C3C">
        <w:rPr>
          <w:rFonts w:ascii="Traditional Arabic" w:hAnsi="Traditional Arabic" w:hint="cs"/>
          <w:rtl/>
        </w:rPr>
        <w:instrText>ف</w:instrText>
      </w:r>
      <w:r w:rsidR="00155CDC" w:rsidRPr="00F25C3C">
        <w:rPr>
          <w:rFonts w:ascii="Traditional Arabic" w:hAnsi="Traditional Arabic"/>
          <w:rtl/>
        </w:rPr>
        <w:instrText>راً أ</w:instrText>
      </w:r>
      <w:r w:rsidR="00155CDC" w:rsidRPr="00F25C3C">
        <w:rPr>
          <w:rFonts w:ascii="Traditional Arabic" w:hAnsi="Traditional Arabic" w:hint="cs"/>
          <w:rtl/>
        </w:rPr>
        <w:instrText>َ</w:instrText>
      </w:r>
      <w:r w:rsidR="00155CDC" w:rsidRPr="00F25C3C">
        <w:rPr>
          <w:rFonts w:ascii="Traditional Arabic" w:hAnsi="Traditional Arabic"/>
          <w:rtl/>
        </w:rPr>
        <w:instrText>ق</w:instrText>
      </w:r>
      <w:r w:rsidR="00155CDC" w:rsidRPr="00F25C3C">
        <w:rPr>
          <w:rFonts w:ascii="Traditional Arabic" w:hAnsi="Traditional Arabic" w:hint="cs"/>
          <w:rtl/>
        </w:rPr>
        <w:instrText>ْ</w:instrText>
      </w:r>
      <w:r w:rsidR="00155CDC" w:rsidRPr="00F25C3C">
        <w:rPr>
          <w:rFonts w:ascii="Traditional Arabic" w:hAnsi="Traditional Arabic"/>
          <w:rtl/>
        </w:rPr>
        <w:instrText>ر</w:instrText>
      </w:r>
      <w:r w:rsidR="00155CDC" w:rsidRPr="00F25C3C">
        <w:rPr>
          <w:rFonts w:ascii="Traditional Arabic" w:hAnsi="Traditional Arabic" w:hint="cs"/>
          <w:rtl/>
        </w:rPr>
        <w:instrText>َ</w:instrText>
      </w:r>
      <w:r w:rsidR="00155CDC" w:rsidRPr="00F25C3C">
        <w:rPr>
          <w:rFonts w:ascii="Traditional Arabic" w:hAnsi="Traditional Arabic"/>
          <w:rtl/>
        </w:rPr>
        <w:instrText>ع بين نسائه،</w:instrText>
      </w:r>
      <w:r w:rsidR="00155CDC" w:rsidRPr="00C85F0F">
        <w:rPr>
          <w:rtl/>
        </w:rPr>
        <w:instrText>" \</w:instrText>
      </w:r>
      <w:r w:rsidR="00155CDC" w:rsidRPr="00C85F0F">
        <w:instrText>f</w:instrText>
      </w:r>
      <w:r w:rsidR="00155CDC">
        <w:instrText>h</w:instrText>
      </w:r>
      <w:r w:rsidR="00AB0B9E" w:rsidRPr="00F25C3C">
        <w:rPr>
          <w:rFonts w:ascii="Traditional Arabic" w:hAnsi="Traditional Arabic"/>
          <w:rtl/>
        </w:rPr>
        <w:fldChar w:fldCharType="end"/>
      </w:r>
      <w:r w:rsidR="00C97663" w:rsidRPr="00F25C3C">
        <w:rPr>
          <w:rFonts w:ascii="Traditional Arabic" w:hAnsi="Traditional Arabic"/>
          <w:rtl/>
        </w:rPr>
        <w:t xml:space="preserve"> فأيته</w:t>
      </w:r>
      <w:r w:rsidR="00C97663" w:rsidRPr="00F25C3C">
        <w:rPr>
          <w:rFonts w:ascii="Traditional Arabic" w:hAnsi="Traditional Arabic" w:hint="cs"/>
          <w:rtl/>
        </w:rPr>
        <w:t>نَّ</w:t>
      </w:r>
      <w:r w:rsidR="00C97663" w:rsidRPr="00F25C3C">
        <w:rPr>
          <w:rFonts w:ascii="Traditional Arabic" w:hAnsi="Traditional Arabic"/>
          <w:rtl/>
        </w:rPr>
        <w:t xml:space="preserve"> خرج س</w:t>
      </w:r>
      <w:r w:rsidR="00C97663" w:rsidRPr="00F25C3C">
        <w:rPr>
          <w:rFonts w:ascii="Traditional Arabic" w:hAnsi="Traditional Arabic" w:hint="cs"/>
          <w:rtl/>
        </w:rPr>
        <w:t>َ</w:t>
      </w:r>
      <w:r w:rsidR="00C97663" w:rsidRPr="00F25C3C">
        <w:rPr>
          <w:rFonts w:ascii="Traditional Arabic" w:hAnsi="Traditional Arabic"/>
          <w:rtl/>
        </w:rPr>
        <w:t>ه</w:t>
      </w:r>
      <w:r w:rsidR="00C97663" w:rsidRPr="00F25C3C">
        <w:rPr>
          <w:rFonts w:ascii="Traditional Arabic" w:hAnsi="Traditional Arabic" w:hint="cs"/>
          <w:rtl/>
        </w:rPr>
        <w:t>ْ</w:t>
      </w:r>
      <w:r w:rsidR="00C97663" w:rsidRPr="00F25C3C">
        <w:rPr>
          <w:rFonts w:ascii="Traditional Arabic" w:hAnsi="Traditional Arabic"/>
          <w:rtl/>
        </w:rPr>
        <w:t>م</w:t>
      </w:r>
      <w:r w:rsidR="00C97663" w:rsidRPr="00F25C3C">
        <w:rPr>
          <w:rFonts w:ascii="Traditional Arabic" w:hAnsi="Traditional Arabic" w:hint="cs"/>
          <w:rtl/>
        </w:rPr>
        <w:t>ُ</w:t>
      </w:r>
      <w:r w:rsidR="00C97663" w:rsidRPr="00F25C3C">
        <w:rPr>
          <w:rFonts w:ascii="Traditional Arabic" w:hAnsi="Traditional Arabic"/>
          <w:rtl/>
        </w:rPr>
        <w:t>ها</w:t>
      </w:r>
      <w:r w:rsidR="00B76414" w:rsidRPr="00F25C3C">
        <w:rPr>
          <w:rFonts w:ascii="Traditional Arabic" w:hAnsi="Traditional Arabic"/>
          <w:rtl/>
        </w:rPr>
        <w:t>،</w:t>
      </w:r>
      <w:r w:rsidR="00C97663" w:rsidRPr="00F25C3C">
        <w:rPr>
          <w:rFonts w:ascii="Traditional Arabic" w:hAnsi="Traditional Arabic"/>
          <w:rtl/>
        </w:rPr>
        <w:t>خرج بها معه"</w:t>
      </w:r>
      <w:r w:rsidR="00C97663" w:rsidRPr="00F25C3C">
        <w:rPr>
          <w:rFonts w:ascii="Traditional Arabic" w:hAnsi="Traditional Arabic" w:hint="cs"/>
          <w:szCs w:val="32"/>
          <w:vertAlign w:val="superscript"/>
          <w:rtl/>
        </w:rPr>
        <w:t>(</w:t>
      </w:r>
      <w:r w:rsidR="00C97663" w:rsidRPr="00C821A1">
        <w:rPr>
          <w:szCs w:val="32"/>
          <w:vertAlign w:val="superscript"/>
          <w:rtl/>
        </w:rPr>
        <w:footnoteReference w:id="1652"/>
      </w:r>
      <w:r w:rsidR="00C97663" w:rsidRPr="00F25C3C">
        <w:rPr>
          <w:rFonts w:ascii="Traditional Arabic" w:hAnsi="Traditional Arabic" w:hint="cs"/>
          <w:szCs w:val="32"/>
          <w:vertAlign w:val="superscript"/>
          <w:rtl/>
        </w:rPr>
        <w:t>)</w:t>
      </w:r>
      <w:r w:rsidR="00B76414" w:rsidRPr="00F25C3C">
        <w:rPr>
          <w:rFonts w:ascii="Traditional Arabic" w:hAnsi="Traditional Arabic"/>
          <w:rtl/>
        </w:rPr>
        <w:t>.</w:t>
      </w:r>
    </w:p>
    <w:p w:rsidR="00C97663" w:rsidRDefault="00C97663" w:rsidP="00597C20">
      <w:pPr>
        <w:pStyle w:val="53"/>
        <w:rPr>
          <w:rtl/>
        </w:rPr>
      </w:pPr>
      <w:r>
        <w:rPr>
          <w:rFonts w:hint="cs"/>
          <w:rtl/>
        </w:rPr>
        <w:t>وجه الدلالة :</w:t>
      </w:r>
    </w:p>
    <w:p w:rsidR="00C97663" w:rsidRPr="00F60BF3" w:rsidRDefault="00C97663" w:rsidP="00597C20">
      <w:pPr>
        <w:widowControl/>
        <w:autoSpaceDE w:val="0"/>
        <w:autoSpaceDN w:val="0"/>
        <w:adjustRightInd w:val="0"/>
        <w:ind w:firstLine="720"/>
        <w:rPr>
          <w:rFonts w:ascii="Traditional Arabic" w:hAnsi="Traditional Arabic"/>
          <w:rtl/>
        </w:rPr>
      </w:pPr>
      <w:r w:rsidRPr="00F60BF3">
        <w:rPr>
          <w:rFonts w:ascii="Traditional Arabic" w:hAnsi="Traditional Arabic" w:hint="cs"/>
          <w:rtl/>
        </w:rPr>
        <w:t xml:space="preserve">ذكر الشيخ ابن عثيمين </w:t>
      </w:r>
      <w:r w:rsidR="00F25C3C">
        <w:rPr>
          <w:rFonts w:ascii="Traditional Arabic" w:hAnsi="Traditional Arabic" w:hint="cs"/>
          <w:rtl/>
        </w:rPr>
        <w:t>_</w:t>
      </w:r>
      <w:r w:rsidR="009A0575" w:rsidRPr="005D5694">
        <w:rPr>
          <w:rFonts w:ascii="Traditional Arabic" w:hAnsi="Traditional Arabic" w:cs="CTraditional Arabic" w:hint="cs"/>
          <w:rtl/>
        </w:rPr>
        <w:t>/</w:t>
      </w:r>
      <w:r w:rsidR="00F25C3C">
        <w:rPr>
          <w:rFonts w:ascii="Traditional Arabic" w:hAnsi="Traditional Arabic" w:hint="cs"/>
          <w:rtl/>
        </w:rPr>
        <w:t>_</w:t>
      </w:r>
      <w:r w:rsidRPr="00F60BF3">
        <w:rPr>
          <w:rFonts w:ascii="Traditional Arabic" w:hAnsi="Traditional Arabic" w:hint="cs"/>
          <w:rtl/>
        </w:rPr>
        <w:t xml:space="preserve"> من فوائد الحديث أن القرعة طريق شرعي لإثبات المستحق،</w:t>
      </w:r>
      <w:r w:rsidR="00154102" w:rsidRPr="00F60BF3">
        <w:rPr>
          <w:rFonts w:ascii="Traditional Arabic" w:hAnsi="Traditional Arabic" w:hint="cs"/>
          <w:rtl/>
        </w:rPr>
        <w:t xml:space="preserve"> و</w:t>
      </w:r>
      <w:r w:rsidRPr="00F60BF3">
        <w:rPr>
          <w:rFonts w:ascii="Traditional Arabic" w:hAnsi="Traditional Arabic" w:hint="cs"/>
          <w:rtl/>
        </w:rPr>
        <w:t>أن دليله</w:t>
      </w:r>
      <w:r w:rsidR="00F25C3C">
        <w:rPr>
          <w:rFonts w:ascii="Traditional Arabic" w:hAnsi="Traditional Arabic" w:hint="cs"/>
          <w:rtl/>
        </w:rPr>
        <w:t>ا</w:t>
      </w:r>
      <w:r w:rsidRPr="00F60BF3">
        <w:rPr>
          <w:rFonts w:ascii="Traditional Arabic" w:hAnsi="Traditional Arabic" w:hint="cs"/>
          <w:rtl/>
        </w:rPr>
        <w:t xml:space="preserve"> استعمال النبي </w:t>
      </w:r>
      <w:r w:rsidR="007B191B">
        <w:rPr>
          <w:rFonts w:ascii="Traditional Arabic" w:hAnsi="Traditional Arabic" w:hint="cs"/>
          <w:rtl/>
        </w:rPr>
        <w:t>صلى الله عليه وسلم</w:t>
      </w:r>
      <w:r w:rsidRPr="00F60BF3">
        <w:rPr>
          <w:rFonts w:ascii="Traditional Arabic" w:hAnsi="Traditional Arabic" w:hint="cs"/>
          <w:rtl/>
        </w:rPr>
        <w:t xml:space="preserve"> لها</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1653"/>
      </w:r>
      <w:r w:rsidRPr="00C821A1">
        <w:rPr>
          <w:rFonts w:ascii="Traditional Arabic" w:hAnsi="Traditional Arabic" w:hint="cs"/>
          <w:szCs w:val="32"/>
          <w:vertAlign w:val="superscript"/>
          <w:rtl/>
        </w:rPr>
        <w:t>)</w:t>
      </w:r>
      <w:r w:rsidRPr="00F60BF3">
        <w:rPr>
          <w:rFonts w:ascii="Traditional Arabic" w:hAnsi="Traditional Arabic" w:hint="cs"/>
          <w:rtl/>
        </w:rPr>
        <w:t>.</w:t>
      </w:r>
    </w:p>
    <w:p w:rsidR="00C97663" w:rsidRDefault="007B191B" w:rsidP="00A8347C">
      <w:pPr>
        <w:pStyle w:val="aff3"/>
        <w:rPr>
          <w:rtl/>
        </w:rPr>
      </w:pPr>
      <w:bookmarkStart w:id="332" w:name="_Toc334046539"/>
      <w:r>
        <w:rPr>
          <w:rFonts w:hint="cs"/>
          <w:rtl/>
        </w:rPr>
        <w:lastRenderedPageBreak/>
        <w:t xml:space="preserve">                                         المطلب</w:t>
      </w:r>
      <w:r w:rsidR="00F25C3C">
        <w:rPr>
          <w:rFonts w:hint="cs"/>
          <w:rtl/>
        </w:rPr>
        <w:t xml:space="preserve"> </w:t>
      </w:r>
      <w:r w:rsidR="00C97663" w:rsidRPr="00447B53">
        <w:rPr>
          <w:rFonts w:hint="cs"/>
          <w:rtl/>
        </w:rPr>
        <w:t>الرابع</w:t>
      </w:r>
      <w:r w:rsidR="00C97663">
        <w:rPr>
          <w:rFonts w:hint="eastAsia"/>
          <w:rtl/>
        </w:rPr>
        <w:t> :</w:t>
      </w:r>
      <w:r w:rsidR="00C97663">
        <w:rPr>
          <w:rFonts w:hint="cs"/>
          <w:rtl/>
        </w:rPr>
        <w:br/>
      </w:r>
      <w:r>
        <w:rPr>
          <w:rFonts w:hint="cs"/>
          <w:rtl/>
        </w:rPr>
        <w:t xml:space="preserve">         </w:t>
      </w:r>
      <w:r w:rsidR="008179F4">
        <w:rPr>
          <w:rFonts w:hint="cs"/>
          <w:rtl/>
        </w:rPr>
        <w:t xml:space="preserve">                            التطبيق</w:t>
      </w:r>
      <w:r w:rsidR="00C97663">
        <w:rPr>
          <w:rFonts w:hint="cs"/>
          <w:rtl/>
        </w:rPr>
        <w:t xml:space="preserve"> </w:t>
      </w:r>
      <w:r w:rsidR="008179F4">
        <w:rPr>
          <w:rFonts w:hint="cs"/>
          <w:rtl/>
        </w:rPr>
        <w:t xml:space="preserve">على </w:t>
      </w:r>
      <w:r w:rsidR="00C97663">
        <w:rPr>
          <w:rFonts w:hint="cs"/>
          <w:rtl/>
        </w:rPr>
        <w:t>القاعدة</w:t>
      </w:r>
      <w:bookmarkEnd w:id="332"/>
    </w:p>
    <w:p w:rsidR="00C97663" w:rsidRPr="008179F4" w:rsidRDefault="00C97663" w:rsidP="008179F4">
      <w:pPr>
        <w:widowControl/>
        <w:autoSpaceDE w:val="0"/>
        <w:autoSpaceDN w:val="0"/>
        <w:adjustRightInd w:val="0"/>
        <w:ind w:left="454" w:firstLine="0"/>
        <w:rPr>
          <w:rFonts w:ascii="Traditional Arabic" w:hAnsi="Traditional Arabic"/>
        </w:rPr>
      </w:pPr>
      <w:r w:rsidRPr="008179F4">
        <w:rPr>
          <w:rFonts w:ascii="Traditional Arabic" w:hAnsi="Traditional Arabic" w:hint="cs"/>
          <w:rtl/>
        </w:rPr>
        <w:t>لو سَبَق اثنان إلى مكان لِيبيعا فيه</w:t>
      </w:r>
      <w:r w:rsidR="00B76414" w:rsidRPr="008179F4">
        <w:rPr>
          <w:rFonts w:ascii="Traditional Arabic" w:hAnsi="Traditional Arabic" w:hint="cs"/>
          <w:rtl/>
        </w:rPr>
        <w:t>،</w:t>
      </w:r>
      <w:r w:rsidRPr="008179F4">
        <w:rPr>
          <w:rFonts w:ascii="Traditional Arabic" w:hAnsi="Traditional Arabic" w:hint="cs"/>
          <w:rtl/>
        </w:rPr>
        <w:t xml:space="preserve"> بأن يكون كل واحد وصل إلى المكان في نفس الوقت</w:t>
      </w:r>
      <w:r w:rsidR="00B76414" w:rsidRPr="008179F4">
        <w:rPr>
          <w:rFonts w:ascii="Traditional Arabic" w:hAnsi="Traditional Arabic" w:hint="cs"/>
          <w:rtl/>
        </w:rPr>
        <w:t>،</w:t>
      </w:r>
      <w:r w:rsidRPr="008179F4">
        <w:rPr>
          <w:rFonts w:ascii="Traditional Arabic" w:hAnsi="Traditional Arabic" w:hint="cs"/>
          <w:rtl/>
        </w:rPr>
        <w:t xml:space="preserve"> ولم يمكن توزيع الأرض بينهما</w:t>
      </w:r>
      <w:r w:rsidR="00B76414" w:rsidRPr="008179F4">
        <w:rPr>
          <w:rFonts w:ascii="Traditional Arabic" w:hAnsi="Traditional Arabic" w:hint="cs"/>
          <w:rtl/>
        </w:rPr>
        <w:t>،</w:t>
      </w:r>
      <w:r w:rsidRPr="008179F4">
        <w:rPr>
          <w:rFonts w:ascii="Traditional Arabic" w:hAnsi="Traditional Arabic" w:hint="cs"/>
          <w:rtl/>
        </w:rPr>
        <w:t xml:space="preserve"> بحيث لا تتَّسع إلا لمتجر واحد</w:t>
      </w:r>
      <w:r w:rsidR="00B76414" w:rsidRPr="008179F4">
        <w:rPr>
          <w:rFonts w:ascii="Traditional Arabic" w:hAnsi="Traditional Arabic" w:hint="cs"/>
          <w:rtl/>
        </w:rPr>
        <w:t>،</w:t>
      </w:r>
      <w:r w:rsidRPr="008179F4">
        <w:rPr>
          <w:rFonts w:ascii="Traditional Arabic" w:hAnsi="Traditional Arabic" w:hint="cs"/>
          <w:rtl/>
        </w:rPr>
        <w:t xml:space="preserve"> فإنه لا طريق إلى التمييز والحالة هذه إلا بالقرعة</w:t>
      </w:r>
      <w:r w:rsidRPr="008179F4">
        <w:rPr>
          <w:rFonts w:ascii="Traditional Arabic" w:hAnsi="Traditional Arabic" w:hint="cs"/>
          <w:szCs w:val="32"/>
          <w:vertAlign w:val="superscript"/>
          <w:rtl/>
        </w:rPr>
        <w:t>(</w:t>
      </w:r>
      <w:r w:rsidRPr="00C821A1">
        <w:rPr>
          <w:szCs w:val="32"/>
          <w:vertAlign w:val="superscript"/>
          <w:rtl/>
        </w:rPr>
        <w:footnoteReference w:id="1654"/>
      </w:r>
      <w:r w:rsidRPr="008179F4">
        <w:rPr>
          <w:rFonts w:ascii="Traditional Arabic" w:hAnsi="Traditional Arabic" w:hint="cs"/>
          <w:szCs w:val="32"/>
          <w:vertAlign w:val="superscript"/>
          <w:rtl/>
        </w:rPr>
        <w:t>)</w:t>
      </w:r>
      <w:r w:rsidR="00B76414" w:rsidRPr="008179F4">
        <w:rPr>
          <w:rFonts w:ascii="Traditional Arabic" w:hAnsi="Traditional Arabic" w:hint="cs"/>
          <w:rtl/>
        </w:rPr>
        <w:t>.</w:t>
      </w:r>
    </w:p>
    <w:p w:rsidR="00C97663" w:rsidRDefault="00C97663" w:rsidP="00597C20">
      <w:pPr>
        <w:pStyle w:val="53"/>
        <w:rPr>
          <w:rtl/>
        </w:rPr>
      </w:pPr>
      <w:r>
        <w:rPr>
          <w:rFonts w:hint="cs"/>
          <w:rtl/>
        </w:rPr>
        <w:t>وجه اندراج الفرع تحت القاعدة :</w:t>
      </w:r>
    </w:p>
    <w:p w:rsidR="00886717" w:rsidRDefault="00C97663" w:rsidP="00597C20">
      <w:pPr>
        <w:widowControl/>
        <w:autoSpaceDE w:val="0"/>
        <w:autoSpaceDN w:val="0"/>
        <w:adjustRightInd w:val="0"/>
        <w:ind w:firstLine="720"/>
        <w:rPr>
          <w:rFonts w:ascii="Traditional Arabic" w:hAnsi="Traditional Arabic"/>
          <w:rtl/>
        </w:rPr>
      </w:pPr>
      <w:r w:rsidRPr="00F60BF3">
        <w:rPr>
          <w:rFonts w:ascii="Traditional Arabic" w:hAnsi="Traditional Arabic" w:hint="cs"/>
          <w:rtl/>
        </w:rPr>
        <w:t>لما تساو</w:t>
      </w:r>
      <w:r w:rsidR="00F25C3C">
        <w:rPr>
          <w:rFonts w:ascii="Traditional Arabic" w:hAnsi="Traditional Arabic" w:hint="cs"/>
          <w:rtl/>
        </w:rPr>
        <w:t>َ</w:t>
      </w:r>
      <w:r w:rsidRPr="00F60BF3">
        <w:rPr>
          <w:rFonts w:ascii="Traditional Arabic" w:hAnsi="Traditional Arabic" w:hint="cs"/>
          <w:rtl/>
        </w:rPr>
        <w:t>يا في الوصول إلى المكان،</w:t>
      </w:r>
      <w:r w:rsidR="00154102" w:rsidRPr="00F60BF3">
        <w:rPr>
          <w:rFonts w:ascii="Traditional Arabic" w:hAnsi="Traditional Arabic" w:hint="cs"/>
          <w:rtl/>
        </w:rPr>
        <w:t xml:space="preserve"> و</w:t>
      </w:r>
      <w:r w:rsidRPr="00F60BF3">
        <w:rPr>
          <w:rFonts w:ascii="Traditional Arabic" w:hAnsi="Traditional Arabic" w:hint="cs"/>
          <w:rtl/>
        </w:rPr>
        <w:t>لم يمكن توزيع الأرض بينهما،</w:t>
      </w:r>
      <w:r w:rsidR="00154102" w:rsidRPr="00F60BF3">
        <w:rPr>
          <w:rFonts w:ascii="Traditional Arabic" w:hAnsi="Traditional Arabic" w:hint="cs"/>
          <w:rtl/>
        </w:rPr>
        <w:t xml:space="preserve"> و</w:t>
      </w:r>
      <w:r w:rsidRPr="00F60BF3">
        <w:rPr>
          <w:rFonts w:ascii="Traditional Arabic" w:hAnsi="Traditional Arabic" w:hint="cs"/>
          <w:rtl/>
        </w:rPr>
        <w:t>لم يوجد طريق غير القرعة للتمييز بينهما، تعيَّنت القرعة لإثبات المستحق.</w:t>
      </w:r>
    </w:p>
    <w:p w:rsidR="00886717" w:rsidRDefault="00886717">
      <w:pPr>
        <w:widowControl/>
        <w:bidi w:val="0"/>
        <w:ind w:firstLine="0"/>
        <w:jc w:val="left"/>
        <w:rPr>
          <w:rFonts w:ascii="Traditional Arabic" w:hAnsi="Traditional Arabic"/>
        </w:rPr>
      </w:pPr>
      <w:r>
        <w:rPr>
          <w:rFonts w:ascii="Traditional Arabic" w:hAnsi="Traditional Arabic"/>
          <w:rtl/>
        </w:rPr>
        <w:br w:type="page"/>
      </w:r>
    </w:p>
    <w:p w:rsidR="00C97663" w:rsidRPr="00C97663" w:rsidRDefault="007B191B" w:rsidP="00A8347C">
      <w:pPr>
        <w:pStyle w:val="aff3"/>
        <w:rPr>
          <w:rtl/>
        </w:rPr>
      </w:pPr>
      <w:bookmarkStart w:id="333" w:name="_Toc334046540"/>
      <w:r>
        <w:rPr>
          <w:rFonts w:hint="cs"/>
          <w:rtl/>
        </w:rPr>
        <w:lastRenderedPageBreak/>
        <w:t xml:space="preserve">                                       المطلب</w:t>
      </w:r>
      <w:r w:rsidR="00F25C3C">
        <w:rPr>
          <w:rFonts w:hint="cs"/>
          <w:rtl/>
        </w:rPr>
        <w:t xml:space="preserve"> </w:t>
      </w:r>
      <w:r w:rsidR="00C97663" w:rsidRPr="00512C4C">
        <w:rPr>
          <w:rFonts w:hint="cs"/>
          <w:rtl/>
        </w:rPr>
        <w:t>الخامس</w:t>
      </w:r>
      <w:r w:rsidR="00C97663">
        <w:rPr>
          <w:rFonts w:hint="eastAsia"/>
          <w:rtl/>
        </w:rPr>
        <w:t> :</w:t>
      </w:r>
      <w:r w:rsidR="00C97663">
        <w:rPr>
          <w:rFonts w:hint="cs"/>
          <w:rtl/>
        </w:rPr>
        <w:br/>
      </w:r>
      <w:r>
        <w:rPr>
          <w:rFonts w:hint="cs"/>
          <w:rtl/>
        </w:rPr>
        <w:t xml:space="preserve">                                       </w:t>
      </w:r>
      <w:r w:rsidR="00C97663">
        <w:rPr>
          <w:rFonts w:hint="cs"/>
          <w:rtl/>
        </w:rPr>
        <w:t>مستثنيات القاعدة</w:t>
      </w:r>
      <w:bookmarkEnd w:id="333"/>
    </w:p>
    <w:p w:rsidR="00C97663" w:rsidRPr="003C11C1" w:rsidRDefault="00C97663" w:rsidP="000A76C7">
      <w:pPr>
        <w:pStyle w:val="afc"/>
        <w:widowControl/>
        <w:numPr>
          <w:ilvl w:val="0"/>
          <w:numId w:val="223"/>
        </w:numPr>
        <w:autoSpaceDE w:val="0"/>
        <w:autoSpaceDN w:val="0"/>
        <w:adjustRightInd w:val="0"/>
        <w:rPr>
          <w:rFonts w:ascii="Traditional Arabic" w:hAnsi="Traditional Arabic"/>
          <w:color w:val="auto"/>
        </w:rPr>
      </w:pPr>
      <w:r w:rsidRPr="003C11C1">
        <w:rPr>
          <w:rFonts w:ascii="Traditional Arabic" w:hAnsi="Traditional Arabic"/>
          <w:noProof w:val="0"/>
          <w:color w:val="auto"/>
          <w:rtl/>
          <w:lang w:eastAsia="en-US"/>
        </w:rPr>
        <w:t>الأيمان لا ت</w:t>
      </w:r>
      <w:r>
        <w:rPr>
          <w:rFonts w:ascii="Traditional Arabic" w:hAnsi="Traditional Arabic" w:hint="cs"/>
          <w:noProof w:val="0"/>
          <w:color w:val="auto"/>
          <w:rtl/>
          <w:lang w:eastAsia="en-US"/>
        </w:rPr>
        <w:t>َ</w:t>
      </w:r>
      <w:r w:rsidRPr="003C11C1">
        <w:rPr>
          <w:rFonts w:ascii="Traditional Arabic" w:hAnsi="Traditional Arabic"/>
          <w:noProof w:val="0"/>
          <w:color w:val="auto"/>
          <w:rtl/>
          <w:lang w:eastAsia="en-US"/>
        </w:rPr>
        <w:t>دخل</w:t>
      </w:r>
      <w:r>
        <w:rPr>
          <w:rFonts w:ascii="Traditional Arabic" w:hAnsi="Traditional Arabic" w:hint="cs"/>
          <w:noProof w:val="0"/>
          <w:color w:val="auto"/>
          <w:rtl/>
          <w:lang w:eastAsia="en-US"/>
        </w:rPr>
        <w:t>ُ</w:t>
      </w:r>
      <w:r w:rsidRPr="003C11C1">
        <w:rPr>
          <w:rFonts w:ascii="Traditional Arabic" w:hAnsi="Traditional Arabic"/>
          <w:noProof w:val="0"/>
          <w:color w:val="auto"/>
          <w:rtl/>
          <w:lang w:eastAsia="en-US"/>
        </w:rPr>
        <w:t>ها القرعة</w:t>
      </w:r>
      <w:r w:rsidRPr="00C821A1">
        <w:rPr>
          <w:rFonts w:ascii="Traditional Arabic" w:hAnsi="Traditional Arabic" w:hint="cs"/>
          <w:noProof w:val="0"/>
          <w:color w:val="auto"/>
          <w:szCs w:val="32"/>
          <w:vertAlign w:val="superscript"/>
          <w:rtl/>
          <w:lang w:eastAsia="en-US"/>
        </w:rPr>
        <w:t>(</w:t>
      </w:r>
      <w:r w:rsidRPr="00C821A1">
        <w:rPr>
          <w:rStyle w:val="af1"/>
          <w:rFonts w:ascii="Traditional Arabic" w:hAnsi="Traditional Arabic"/>
          <w:color w:val="auto"/>
          <w:szCs w:val="32"/>
          <w:rtl/>
        </w:rPr>
        <w:footnoteReference w:id="1655"/>
      </w:r>
      <w:r w:rsidRPr="00C821A1">
        <w:rPr>
          <w:rFonts w:ascii="Traditional Arabic" w:hAnsi="Traditional Arabic" w:hint="cs"/>
          <w:noProof w:val="0"/>
          <w:color w:val="auto"/>
          <w:szCs w:val="32"/>
          <w:vertAlign w:val="superscript"/>
          <w:rtl/>
          <w:lang w:eastAsia="en-US"/>
        </w:rPr>
        <w:t>)</w:t>
      </w:r>
      <w:r>
        <w:rPr>
          <w:rFonts w:ascii="Traditional Arabic" w:hAnsi="Traditional Arabic" w:hint="cs"/>
          <w:color w:val="auto"/>
          <w:rtl/>
        </w:rPr>
        <w:t>.</w:t>
      </w:r>
    </w:p>
    <w:p w:rsidR="004D2319" w:rsidRPr="005F53FF" w:rsidRDefault="004D2319" w:rsidP="00597C20">
      <w:pPr>
        <w:pStyle w:val="aff0"/>
        <w:rPr>
          <w:rtl/>
        </w:rPr>
      </w:pPr>
      <w:bookmarkStart w:id="334" w:name="_Toc334046541"/>
      <w:r w:rsidRPr="005F53FF">
        <w:rPr>
          <w:rFonts w:hint="cs"/>
          <w:rtl/>
        </w:rPr>
        <w:lastRenderedPageBreak/>
        <w:t>الفصل العاشر</w:t>
      </w:r>
      <w:r w:rsidRPr="005F53FF">
        <w:rPr>
          <w:rFonts w:hint="eastAsia"/>
          <w:rtl/>
        </w:rPr>
        <w:t> :</w:t>
      </w:r>
      <w:r w:rsidRPr="005F53FF">
        <w:rPr>
          <w:rFonts w:hint="cs"/>
          <w:rtl/>
        </w:rPr>
        <w:t>القواعد المتعلقة بفصل منازعات البيوع</w:t>
      </w:r>
      <w:bookmarkEnd w:id="334"/>
    </w:p>
    <w:p w:rsidR="004D2319" w:rsidRPr="002D7A92" w:rsidRDefault="004D2319"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ستة مباحث:</w:t>
      </w:r>
    </w:p>
    <w:p w:rsidR="004D2319" w:rsidRPr="00031790" w:rsidRDefault="004D2319"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قاعدة كل غارم فالقول قوله.</w:t>
      </w:r>
    </w:p>
    <w:p w:rsidR="004D2319" w:rsidRPr="00031790" w:rsidRDefault="004D2319" w:rsidP="00597C20">
      <w:pPr>
        <w:tabs>
          <w:tab w:val="left" w:pos="2833"/>
        </w:tabs>
        <w:ind w:left="2833" w:hanging="2268"/>
        <w:jc w:val="left"/>
        <w:rPr>
          <w:rtl/>
        </w:rPr>
      </w:pPr>
      <w:r w:rsidRPr="00FD5687">
        <w:rPr>
          <w:rFonts w:hint="cs"/>
          <w:b/>
          <w:bCs/>
          <w:rtl/>
        </w:rPr>
        <w:t>المبحث الثاني:</w:t>
      </w:r>
      <w:r w:rsidR="002F34AD">
        <w:rPr>
          <w:rFonts w:hint="cs"/>
          <w:rtl/>
        </w:rPr>
        <w:tab/>
      </w:r>
      <w:r w:rsidRPr="00031790">
        <w:rPr>
          <w:rFonts w:hint="cs"/>
          <w:rtl/>
        </w:rPr>
        <w:t xml:space="preserve">قاعدة كل </w:t>
      </w:r>
      <w:r w:rsidR="00501C5E">
        <w:rPr>
          <w:rFonts w:hint="cs"/>
          <w:rtl/>
        </w:rPr>
        <w:t xml:space="preserve">إنسان </w:t>
      </w:r>
      <w:r w:rsidRPr="00031790">
        <w:rPr>
          <w:rFonts w:hint="cs"/>
          <w:rtl/>
        </w:rPr>
        <w:t xml:space="preserve">أمين </w:t>
      </w:r>
      <w:r w:rsidR="00501C5E">
        <w:rPr>
          <w:rFonts w:hint="cs"/>
          <w:rtl/>
        </w:rPr>
        <w:t>يقبل قوله فيما ائتمن فيه</w:t>
      </w:r>
      <w:r w:rsidRPr="00031790">
        <w:rPr>
          <w:rFonts w:hint="cs"/>
          <w:rtl/>
        </w:rPr>
        <w:t>.</w:t>
      </w:r>
    </w:p>
    <w:p w:rsidR="004D2319" w:rsidRPr="00031790" w:rsidRDefault="004D2319" w:rsidP="00597C20">
      <w:pPr>
        <w:tabs>
          <w:tab w:val="left" w:pos="2833"/>
        </w:tabs>
        <w:ind w:left="2833" w:hanging="2268"/>
        <w:jc w:val="left"/>
        <w:rPr>
          <w:rtl/>
        </w:rPr>
      </w:pPr>
      <w:r w:rsidRPr="00FD5687">
        <w:rPr>
          <w:rFonts w:hint="cs"/>
          <w:b/>
          <w:bCs/>
          <w:rtl/>
        </w:rPr>
        <w:t>المبحث الثالث:</w:t>
      </w:r>
      <w:r w:rsidR="002F34AD">
        <w:rPr>
          <w:rFonts w:hint="cs"/>
          <w:rtl/>
        </w:rPr>
        <w:tab/>
      </w:r>
      <w:r w:rsidRPr="00031790">
        <w:rPr>
          <w:rFonts w:hint="cs"/>
          <w:rtl/>
        </w:rPr>
        <w:t>قاعدة الأصل أن من قبض الشيء لحظ نفسه لم يقبل قوله في الرد، ومن قبضه لحظ مالكه قبل قوله في الرد، ومن قبضه ل</w:t>
      </w:r>
      <w:r w:rsidR="008179F4">
        <w:rPr>
          <w:rFonts w:hint="cs"/>
          <w:rtl/>
        </w:rPr>
        <w:t>ح</w:t>
      </w:r>
      <w:r w:rsidRPr="00031790">
        <w:rPr>
          <w:rFonts w:hint="cs"/>
          <w:rtl/>
        </w:rPr>
        <w:t>ظهما جميعا لم يقبل قوله في الرد.</w:t>
      </w:r>
    </w:p>
    <w:p w:rsidR="004D2319" w:rsidRPr="00031790" w:rsidRDefault="004D2319" w:rsidP="00597C20">
      <w:pPr>
        <w:tabs>
          <w:tab w:val="left" w:pos="2833"/>
        </w:tabs>
        <w:ind w:left="2833" w:hanging="2268"/>
        <w:jc w:val="left"/>
        <w:rPr>
          <w:rtl/>
        </w:rPr>
      </w:pPr>
      <w:r w:rsidRPr="00FD5687">
        <w:rPr>
          <w:rFonts w:hint="cs"/>
          <w:b/>
          <w:bCs/>
          <w:rtl/>
        </w:rPr>
        <w:t>المبحث الرابع:</w:t>
      </w:r>
      <w:r w:rsidR="002F34AD">
        <w:rPr>
          <w:rFonts w:hint="cs"/>
          <w:rtl/>
        </w:rPr>
        <w:tab/>
      </w:r>
      <w:r w:rsidRPr="00031790">
        <w:rPr>
          <w:rFonts w:hint="cs"/>
          <w:rtl/>
        </w:rPr>
        <w:t>قاعدة البينة على المدعي واليمين على من أنكر.</w:t>
      </w:r>
    </w:p>
    <w:p w:rsidR="004D2319" w:rsidRPr="00031790" w:rsidRDefault="004D2319" w:rsidP="00597C20">
      <w:pPr>
        <w:tabs>
          <w:tab w:val="left" w:pos="2833"/>
        </w:tabs>
        <w:ind w:left="2833" w:hanging="2268"/>
        <w:jc w:val="left"/>
        <w:rPr>
          <w:rtl/>
        </w:rPr>
      </w:pPr>
      <w:r w:rsidRPr="00FD5687">
        <w:rPr>
          <w:rFonts w:hint="cs"/>
          <w:b/>
          <w:bCs/>
          <w:rtl/>
        </w:rPr>
        <w:t>المبحث الخامس:</w:t>
      </w:r>
      <w:r w:rsidR="002F34AD">
        <w:rPr>
          <w:rFonts w:hint="cs"/>
          <w:rtl/>
        </w:rPr>
        <w:tab/>
      </w:r>
      <w:r w:rsidRPr="00031790">
        <w:rPr>
          <w:rFonts w:hint="cs"/>
          <w:rtl/>
        </w:rPr>
        <w:t>قاعدة قرائن الأحوال شواهد بمنزلة البينة.</w:t>
      </w:r>
    </w:p>
    <w:p w:rsidR="004D2319" w:rsidRPr="00031790" w:rsidRDefault="004D2319" w:rsidP="00597C20">
      <w:pPr>
        <w:tabs>
          <w:tab w:val="left" w:pos="2833"/>
        </w:tabs>
        <w:ind w:left="2833" w:hanging="2268"/>
        <w:jc w:val="left"/>
      </w:pPr>
      <w:r w:rsidRPr="00FD5687">
        <w:rPr>
          <w:rFonts w:hint="cs"/>
          <w:b/>
          <w:bCs/>
          <w:rtl/>
        </w:rPr>
        <w:t>المبحث السادس:</w:t>
      </w:r>
      <w:r w:rsidR="002F34AD">
        <w:rPr>
          <w:rFonts w:hint="cs"/>
          <w:rtl/>
        </w:rPr>
        <w:tab/>
      </w:r>
      <w:r w:rsidRPr="00031790">
        <w:rPr>
          <w:rFonts w:hint="cs"/>
          <w:rtl/>
        </w:rPr>
        <w:t>قاعدة كل ما أوجب العداوة والبغضاء بين المسلمين فهو حرام.</w:t>
      </w:r>
    </w:p>
    <w:p w:rsidR="004D2319" w:rsidRPr="00C85F0F" w:rsidRDefault="004D2319" w:rsidP="000F5C0F">
      <w:pPr>
        <w:pStyle w:val="aff2"/>
        <w:rPr>
          <w:rtl/>
        </w:rPr>
      </w:pPr>
      <w:bookmarkStart w:id="335" w:name="_Toc334046542"/>
      <w:r w:rsidRPr="004D2319">
        <w:rPr>
          <w:rFonts w:hint="cs"/>
          <w:rtl/>
        </w:rPr>
        <w:lastRenderedPageBreak/>
        <w:t>المبحث الأول</w:t>
      </w:r>
      <w:r w:rsidR="00D816CC">
        <w:rPr>
          <w:rFonts w:hint="eastAsia"/>
          <w:rtl/>
        </w:rPr>
        <w:t> </w:t>
      </w:r>
      <w:r w:rsidRPr="004D2319">
        <w:rPr>
          <w:rFonts w:hint="cs"/>
          <w:rtl/>
        </w:rPr>
        <w:t>:</w:t>
      </w:r>
      <w:r w:rsidRPr="004D2319">
        <w:rPr>
          <w:rtl/>
        </w:rPr>
        <w:br/>
      </w:r>
      <w:r w:rsidRPr="004D2319">
        <w:rPr>
          <w:rFonts w:hint="cs"/>
          <w:rtl/>
        </w:rPr>
        <w:t>قاعدة</w:t>
      </w:r>
      <w:r w:rsidRPr="004D2319">
        <w:rPr>
          <w:rtl/>
        </w:rPr>
        <w:br/>
      </w:r>
      <w:r w:rsidRPr="004D2319">
        <w:rPr>
          <w:rFonts w:hint="cs"/>
          <w:rtl/>
        </w:rPr>
        <w:t>"كل غارم فالقول قوله</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كلغارمفالقولقوله</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Pr="00C85F0F">
        <w:rPr>
          <w:rFonts w:hint="cs"/>
          <w:rtl/>
        </w:rPr>
        <w:t>"</w:t>
      </w:r>
      <w:r w:rsidRPr="00C85F0F">
        <w:rPr>
          <w:rStyle w:val="af1"/>
          <w:b w:val="0"/>
          <w:bCs w:val="0"/>
          <w:szCs w:val="32"/>
          <w:rtl/>
        </w:rPr>
        <w:t>(</w:t>
      </w:r>
      <w:r w:rsidRPr="00C85F0F">
        <w:rPr>
          <w:rStyle w:val="af1"/>
          <w:b w:val="0"/>
          <w:bCs w:val="0"/>
          <w:szCs w:val="32"/>
          <w:rtl/>
        </w:rPr>
        <w:footnoteReference w:id="1656"/>
      </w:r>
      <w:r w:rsidRPr="00C85F0F">
        <w:rPr>
          <w:rStyle w:val="af1"/>
          <w:b w:val="0"/>
          <w:bCs w:val="0"/>
          <w:szCs w:val="32"/>
          <w:rtl/>
        </w:rPr>
        <w:t>)</w:t>
      </w:r>
      <w:bookmarkEnd w:id="335"/>
    </w:p>
    <w:p w:rsidR="00065E4B" w:rsidRPr="00C85F0F" w:rsidRDefault="0014726A" w:rsidP="00A8347C">
      <w:pPr>
        <w:pStyle w:val="aff3"/>
        <w:rPr>
          <w:rtl/>
        </w:rPr>
      </w:pPr>
      <w:bookmarkStart w:id="336" w:name="_Toc334046543"/>
      <w:r>
        <w:rPr>
          <w:rFonts w:hint="cs"/>
          <w:rtl/>
        </w:rPr>
        <w:t xml:space="preserve">                                           المطلب</w:t>
      </w:r>
      <w:r w:rsidR="00F25C3C">
        <w:rPr>
          <w:rFonts w:hint="cs"/>
          <w:rtl/>
        </w:rPr>
        <w:t xml:space="preserve"> </w:t>
      </w:r>
      <w:r w:rsidR="004D2319" w:rsidRPr="00C85F0F">
        <w:rPr>
          <w:rFonts w:hint="cs"/>
          <w:rtl/>
        </w:rPr>
        <w:t>الأول</w:t>
      </w:r>
      <w:r w:rsidR="004D2319" w:rsidRPr="00C85F0F">
        <w:rPr>
          <w:rFonts w:hint="eastAsia"/>
          <w:rtl/>
        </w:rPr>
        <w:t> </w:t>
      </w:r>
      <w:r w:rsidR="004D2319" w:rsidRPr="00C85F0F">
        <w:rPr>
          <w:rFonts w:hint="cs"/>
          <w:rtl/>
        </w:rPr>
        <w:t>:</w:t>
      </w:r>
      <w:r w:rsidR="004D2319" w:rsidRPr="00C85F0F">
        <w:rPr>
          <w:rFonts w:hint="cs"/>
          <w:rtl/>
        </w:rPr>
        <w:br/>
      </w:r>
      <w:r>
        <w:rPr>
          <w:rFonts w:hint="cs"/>
          <w:rtl/>
        </w:rPr>
        <w:t xml:space="preserve">                        </w:t>
      </w:r>
      <w:r w:rsidR="004D2319" w:rsidRPr="00C85F0F">
        <w:rPr>
          <w:rFonts w:hint="cs"/>
          <w:rtl/>
        </w:rPr>
        <w:t>صيغ القاعدة عند الشيخ وعند علماء القواعد</w:t>
      </w:r>
      <w:bookmarkEnd w:id="336"/>
    </w:p>
    <w:p w:rsidR="004D2319" w:rsidRPr="00C85F0F" w:rsidRDefault="00065E4B" w:rsidP="00597C20">
      <w:pPr>
        <w:ind w:firstLine="0"/>
        <w:rPr>
          <w:rtl/>
        </w:rPr>
      </w:pPr>
      <w:r w:rsidRPr="00C85F0F">
        <w:rPr>
          <w:rFonts w:hint="cs"/>
          <w:rtl/>
        </w:rPr>
        <w:t>و</w:t>
      </w:r>
      <w:r w:rsidR="004D2319" w:rsidRPr="00C85F0F">
        <w:rPr>
          <w:rFonts w:hint="cs"/>
          <w:rtl/>
        </w:rPr>
        <w:t xml:space="preserve">ردت هذه القاعدة عند الشيخ ابن عثيمين </w:t>
      </w:r>
      <w:r w:rsidR="00F25C3C">
        <w:rPr>
          <w:rFonts w:hint="cs"/>
          <w:rtl/>
        </w:rPr>
        <w:t>_</w:t>
      </w:r>
      <w:r w:rsidR="009A0575" w:rsidRPr="005D5694">
        <w:rPr>
          <w:rFonts w:ascii="Traditional Arabic" w:hAnsi="Traditional Arabic" w:cs="CTraditional Arabic" w:hint="cs"/>
          <w:rtl/>
        </w:rPr>
        <w:t>/</w:t>
      </w:r>
      <w:r w:rsidR="00F25C3C">
        <w:rPr>
          <w:rFonts w:hint="cs"/>
          <w:rtl/>
        </w:rPr>
        <w:t>_</w:t>
      </w:r>
      <w:r w:rsidR="004D2319" w:rsidRPr="00C85F0F">
        <w:rPr>
          <w:rFonts w:hint="cs"/>
          <w:rtl/>
        </w:rPr>
        <w:t xml:space="preserve"> بعدة صيغ، منها:</w:t>
      </w:r>
    </w:p>
    <w:p w:rsidR="004D2319" w:rsidRPr="00C85F0F" w:rsidRDefault="004D2319" w:rsidP="000A76C7">
      <w:pPr>
        <w:numPr>
          <w:ilvl w:val="0"/>
          <w:numId w:val="225"/>
        </w:numPr>
        <w:rPr>
          <w:rtl/>
        </w:rPr>
      </w:pPr>
      <w:r w:rsidRPr="00C85F0F">
        <w:rPr>
          <w:rFonts w:hint="cs"/>
          <w:rtl/>
        </w:rPr>
        <w:t>كل غارِمٍ فالقولُ قولُه</w:t>
      </w:r>
      <w:r w:rsidRPr="00C85F0F">
        <w:rPr>
          <w:rStyle w:val="af1"/>
          <w:szCs w:val="32"/>
          <w:rtl/>
        </w:rPr>
        <w:t>(</w:t>
      </w:r>
      <w:r w:rsidRPr="00C85F0F">
        <w:rPr>
          <w:rStyle w:val="af1"/>
          <w:szCs w:val="32"/>
          <w:rtl/>
        </w:rPr>
        <w:footnoteReference w:id="1657"/>
      </w:r>
      <w:r w:rsidRPr="00C85F0F">
        <w:rPr>
          <w:rStyle w:val="af1"/>
          <w:szCs w:val="32"/>
          <w:rtl/>
        </w:rPr>
        <w:t>)</w:t>
      </w:r>
      <w:r w:rsidRPr="00C85F0F">
        <w:rPr>
          <w:rFonts w:hint="cs"/>
          <w:rtl/>
        </w:rPr>
        <w:t>.</w:t>
      </w:r>
    </w:p>
    <w:p w:rsidR="004D2319" w:rsidRPr="00C85F0F" w:rsidRDefault="004D2319" w:rsidP="000A76C7">
      <w:pPr>
        <w:pStyle w:val="afc"/>
        <w:numPr>
          <w:ilvl w:val="0"/>
          <w:numId w:val="225"/>
        </w:numPr>
        <w:rPr>
          <w:rtl/>
        </w:rPr>
      </w:pPr>
      <w:r w:rsidRPr="00C85F0F">
        <w:rPr>
          <w:rFonts w:hint="cs"/>
          <w:rtl/>
        </w:rPr>
        <w:t>الأصل أن الغارم يُقبل قوله</w:t>
      </w:r>
      <w:r w:rsidRPr="00C85F0F">
        <w:rPr>
          <w:rStyle w:val="af1"/>
          <w:szCs w:val="32"/>
          <w:rtl/>
        </w:rPr>
        <w:t>(</w:t>
      </w:r>
      <w:r w:rsidRPr="00C85F0F">
        <w:rPr>
          <w:rStyle w:val="af1"/>
          <w:szCs w:val="32"/>
          <w:rtl/>
        </w:rPr>
        <w:footnoteReference w:id="1658"/>
      </w:r>
      <w:r w:rsidRPr="00C85F0F">
        <w:rPr>
          <w:rStyle w:val="af1"/>
          <w:szCs w:val="32"/>
          <w:rtl/>
        </w:rPr>
        <w:t>)</w:t>
      </w:r>
      <w:r w:rsidRPr="00C85F0F">
        <w:rPr>
          <w:rFonts w:hint="cs"/>
          <w:rtl/>
        </w:rPr>
        <w:t>.</w:t>
      </w:r>
    </w:p>
    <w:p w:rsidR="004D2319" w:rsidRPr="00C85F0F" w:rsidRDefault="004D2319" w:rsidP="000A76C7">
      <w:pPr>
        <w:numPr>
          <w:ilvl w:val="0"/>
          <w:numId w:val="225"/>
        </w:numPr>
      </w:pPr>
      <w:r w:rsidRPr="00C85F0F">
        <w:rPr>
          <w:rFonts w:hint="cs"/>
          <w:rtl/>
        </w:rPr>
        <w:t>كل غارم فإنه يُقبل قوله فيما غَرِم مع يمينه</w:t>
      </w:r>
      <w:r w:rsidRPr="00C85F0F">
        <w:rPr>
          <w:rStyle w:val="af1"/>
          <w:szCs w:val="32"/>
          <w:rtl/>
        </w:rPr>
        <w:t>(</w:t>
      </w:r>
      <w:r w:rsidRPr="00C85F0F">
        <w:rPr>
          <w:rStyle w:val="af1"/>
          <w:szCs w:val="32"/>
          <w:rtl/>
        </w:rPr>
        <w:footnoteReference w:id="1659"/>
      </w:r>
      <w:r w:rsidRPr="00C85F0F">
        <w:rPr>
          <w:rStyle w:val="af1"/>
          <w:szCs w:val="32"/>
          <w:rtl/>
        </w:rPr>
        <w:t>)</w:t>
      </w:r>
      <w:r w:rsidRPr="00C85F0F">
        <w:rPr>
          <w:rFonts w:hint="cs"/>
          <w:rtl/>
        </w:rPr>
        <w:t>.</w:t>
      </w:r>
    </w:p>
    <w:p w:rsidR="00065E4B" w:rsidRPr="00C85F0F" w:rsidRDefault="004D2319" w:rsidP="000A76C7">
      <w:pPr>
        <w:numPr>
          <w:ilvl w:val="0"/>
          <w:numId w:val="225"/>
        </w:numPr>
      </w:pPr>
      <w:r w:rsidRPr="00C85F0F">
        <w:rPr>
          <w:rFonts w:hint="cs"/>
          <w:rtl/>
        </w:rPr>
        <w:t>الغارم قولهُ مقبول</w:t>
      </w:r>
      <w:r w:rsidRPr="00C85F0F">
        <w:rPr>
          <w:rStyle w:val="af1"/>
          <w:szCs w:val="32"/>
          <w:rtl/>
        </w:rPr>
        <w:t>(</w:t>
      </w:r>
      <w:r w:rsidRPr="00C85F0F">
        <w:rPr>
          <w:rStyle w:val="af1"/>
          <w:szCs w:val="32"/>
          <w:rtl/>
        </w:rPr>
        <w:footnoteReference w:id="1660"/>
      </w:r>
      <w:r w:rsidRPr="00C85F0F">
        <w:rPr>
          <w:rStyle w:val="af1"/>
          <w:szCs w:val="32"/>
          <w:rtl/>
        </w:rPr>
        <w:t>)</w:t>
      </w:r>
      <w:r w:rsidRPr="00C85F0F">
        <w:rPr>
          <w:rFonts w:hint="cs"/>
          <w:rtl/>
        </w:rPr>
        <w:t>.</w:t>
      </w:r>
    </w:p>
    <w:p w:rsidR="004D2319" w:rsidRPr="00C85F0F" w:rsidRDefault="00065E4B" w:rsidP="00597C20">
      <w:pPr>
        <w:widowControl/>
        <w:autoSpaceDE w:val="0"/>
        <w:autoSpaceDN w:val="0"/>
        <w:adjustRightInd w:val="0"/>
        <w:ind w:firstLine="706"/>
        <w:rPr>
          <w:rFonts w:ascii="Traditional Arabic" w:hAnsi="Traditional Arabic"/>
          <w:noProof w:val="0"/>
          <w:color w:val="auto"/>
          <w:rtl/>
          <w:lang w:eastAsia="en-US"/>
        </w:rPr>
      </w:pPr>
      <w:r w:rsidRPr="00C85F0F">
        <w:rPr>
          <w:rFonts w:hint="cs"/>
          <w:rtl/>
        </w:rPr>
        <w:t>و</w:t>
      </w:r>
      <w:r w:rsidR="004D2319" w:rsidRPr="00C85F0F">
        <w:rPr>
          <w:rFonts w:hint="cs"/>
          <w:rtl/>
        </w:rPr>
        <w:t xml:space="preserve">لم أجد-فيما اطلعت عليه- مَن ذكر هذه القاعدة من علماء القواعد، والذي يظهر والعلم عند الله أنها تتعلق بالشطر الثاني من قاعدة "البينة على المدعي واليمين على من أنكر"، حيث إن المنكِر يُقبل قوله مع يمينه ولا يُطالَب ببينة؛ ولهذا قال الشيخ ابن عثيمين </w:t>
      </w:r>
      <w:r w:rsidR="00F25C3C">
        <w:rPr>
          <w:rFonts w:hint="cs"/>
          <w:rtl/>
        </w:rPr>
        <w:t>_</w:t>
      </w:r>
      <w:r w:rsidR="009A0575" w:rsidRPr="005D5694">
        <w:rPr>
          <w:rFonts w:ascii="Traditional Arabic" w:hAnsi="Traditional Arabic" w:cs="CTraditional Arabic" w:hint="cs"/>
          <w:rtl/>
        </w:rPr>
        <w:t>/</w:t>
      </w:r>
      <w:r w:rsidR="00F25C3C">
        <w:rPr>
          <w:rFonts w:hint="cs"/>
          <w:rtl/>
        </w:rPr>
        <w:t>_</w:t>
      </w:r>
      <w:r w:rsidR="004D2319" w:rsidRPr="00C85F0F">
        <w:rPr>
          <w:rFonts w:hint="cs"/>
          <w:rtl/>
        </w:rPr>
        <w:t>: (</w:t>
      </w:r>
      <w:r w:rsidR="004D2319" w:rsidRPr="00C85F0F">
        <w:rPr>
          <w:rFonts w:ascii="Traditional Arabic" w:hAnsi="Traditional Arabic"/>
          <w:noProof w:val="0"/>
          <w:color w:val="auto"/>
          <w:rtl/>
          <w:lang w:eastAsia="en-US"/>
        </w:rPr>
        <w:t>كل غارم فالقول قوله، وهذه القاعدة أخذها العلماء من الحديث السابق وهو:</w:t>
      </w:r>
      <w:r w:rsidR="004D2319" w:rsidRPr="00C85F0F">
        <w:rPr>
          <w:rFonts w:ascii="Traditional Arabic" w:hAnsi="Traditional Arabic" w:hint="cs"/>
          <w:noProof w:val="0"/>
          <w:color w:val="auto"/>
          <w:rtl/>
          <w:lang w:eastAsia="en-US"/>
        </w:rPr>
        <w:t>"</w:t>
      </w:r>
      <w:r w:rsidR="004D2319" w:rsidRPr="00C85F0F">
        <w:rPr>
          <w:rFonts w:ascii="Traditional Arabic" w:hAnsi="Traditional Arabic"/>
          <w:noProof w:val="0"/>
          <w:color w:val="auto"/>
          <w:rtl/>
          <w:lang w:eastAsia="en-US"/>
        </w:rPr>
        <w:t>البينة على المدعي واليمين على من أنكر</w:t>
      </w:r>
      <w:r w:rsidR="004D2319" w:rsidRPr="00C85F0F">
        <w:rPr>
          <w:rFonts w:ascii="Traditional Arabic" w:hAnsi="Traditional Arabic" w:hint="cs"/>
          <w:noProof w:val="0"/>
          <w:color w:val="auto"/>
          <w:rtl/>
          <w:lang w:eastAsia="en-US"/>
        </w:rPr>
        <w:t>"</w:t>
      </w:r>
      <w:r w:rsidR="004D2319" w:rsidRPr="00C85F0F">
        <w:rPr>
          <w:rStyle w:val="af1"/>
          <w:szCs w:val="32"/>
          <w:rtl/>
        </w:rPr>
        <w:t>(</w:t>
      </w:r>
      <w:r w:rsidR="004D2319" w:rsidRPr="00C85F0F">
        <w:rPr>
          <w:rStyle w:val="af1"/>
          <w:szCs w:val="32"/>
          <w:rtl/>
        </w:rPr>
        <w:footnoteReference w:id="1661"/>
      </w:r>
      <w:r w:rsidR="004D2319" w:rsidRPr="00C85F0F">
        <w:rPr>
          <w:rStyle w:val="af1"/>
          <w:szCs w:val="32"/>
          <w:rtl/>
        </w:rPr>
        <w:t>)</w:t>
      </w:r>
      <w:r w:rsidR="004D2319" w:rsidRPr="00C85F0F">
        <w:rPr>
          <w:rFonts w:ascii="Traditional Arabic" w:hAnsi="Traditional Arabic" w:hint="cs"/>
          <w:noProof w:val="0"/>
          <w:color w:val="auto"/>
          <w:rtl/>
          <w:lang w:eastAsia="en-US"/>
        </w:rPr>
        <w:t xml:space="preserve">، </w:t>
      </w:r>
      <w:r w:rsidR="004D2319" w:rsidRPr="00C85F0F">
        <w:rPr>
          <w:rFonts w:ascii="Traditional Arabic" w:hAnsi="Traditional Arabic"/>
          <w:noProof w:val="0"/>
          <w:rtl/>
          <w:lang w:eastAsia="en-US"/>
        </w:rPr>
        <w:t>لكن كل</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 xml:space="preserve"> م</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ن ق</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ل</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نا القول قوله</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وهو يتعلق بحق الآدميين</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 xml:space="preserve">فإنه لا بد </w:t>
      </w:r>
      <w:r w:rsidR="004D2319" w:rsidRPr="00C85F0F">
        <w:rPr>
          <w:rFonts w:ascii="Traditional Arabic" w:hAnsi="Traditional Arabic"/>
          <w:noProof w:val="0"/>
          <w:rtl/>
          <w:lang w:eastAsia="en-US"/>
        </w:rPr>
        <w:lastRenderedPageBreak/>
        <w:t>من اليمين</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 xml:space="preserve"> لقوله </w:t>
      </w:r>
      <w:r w:rsidR="0014726A">
        <w:rPr>
          <w:rFonts w:ascii="Traditional Arabic" w:hAnsi="Traditional Arabic" w:hint="cs"/>
          <w:rtl/>
        </w:rPr>
        <w:t>صلى الله عليه وسلم</w:t>
      </w:r>
      <w:r w:rsidR="004D2319" w:rsidRPr="00C85F0F">
        <w:rPr>
          <w:rFonts w:ascii="Traditional Arabic" w:hAnsi="Traditional Arabic"/>
          <w:noProof w:val="0"/>
          <w:rtl/>
          <w:lang w:eastAsia="en-US"/>
        </w:rPr>
        <w:t>:</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واليمين على من أنكر</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 أما الذي يتعلق بحق الله فالقول</w:t>
      </w:r>
      <w:r w:rsidR="00F25C3C">
        <w:rPr>
          <w:rFonts w:ascii="Traditional Arabic" w:hAnsi="Traditional Arabic" w:hint="cs"/>
          <w:noProof w:val="0"/>
          <w:rtl/>
          <w:lang w:eastAsia="en-US"/>
        </w:rPr>
        <w:t>ُ</w:t>
      </w:r>
      <w:r w:rsidR="004D2319" w:rsidRPr="00C85F0F">
        <w:rPr>
          <w:rFonts w:ascii="Traditional Arabic" w:hAnsi="Traditional Arabic"/>
          <w:noProof w:val="0"/>
          <w:rtl/>
          <w:lang w:eastAsia="en-US"/>
        </w:rPr>
        <w:t xml:space="preserve"> قول</w:t>
      </w:r>
      <w:r w:rsidR="00F25C3C">
        <w:rPr>
          <w:rFonts w:ascii="Traditional Arabic" w:hAnsi="Traditional Arabic" w:hint="cs"/>
          <w:noProof w:val="0"/>
          <w:rtl/>
          <w:lang w:eastAsia="en-US"/>
        </w:rPr>
        <w:t>ُ</w:t>
      </w:r>
      <w:r w:rsidR="004D2319" w:rsidRPr="00C85F0F">
        <w:rPr>
          <w:rFonts w:ascii="Traditional Arabic" w:hAnsi="Traditional Arabic"/>
          <w:noProof w:val="0"/>
          <w:rtl/>
          <w:lang w:eastAsia="en-US"/>
        </w:rPr>
        <w:t xml:space="preserve"> المنك</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ر بلا يمين</w:t>
      </w:r>
      <w:r w:rsidR="004D2319" w:rsidRPr="00C85F0F">
        <w:rPr>
          <w:rFonts w:hint="cs"/>
          <w:rtl/>
        </w:rPr>
        <w:t>)</w:t>
      </w:r>
      <w:r w:rsidR="004D2319" w:rsidRPr="00C85F0F">
        <w:rPr>
          <w:rStyle w:val="af1"/>
          <w:szCs w:val="32"/>
          <w:rtl/>
        </w:rPr>
        <w:t>(</w:t>
      </w:r>
      <w:r w:rsidR="004D2319" w:rsidRPr="00C85F0F">
        <w:rPr>
          <w:rStyle w:val="af1"/>
          <w:szCs w:val="32"/>
          <w:rtl/>
        </w:rPr>
        <w:footnoteReference w:id="1662"/>
      </w:r>
      <w:r w:rsidR="004D2319" w:rsidRPr="00C85F0F">
        <w:rPr>
          <w:rStyle w:val="af1"/>
          <w:szCs w:val="32"/>
          <w:rtl/>
        </w:rPr>
        <w:t>)</w:t>
      </w:r>
      <w:r w:rsidR="004D2319" w:rsidRPr="00C85F0F">
        <w:rPr>
          <w:rFonts w:hint="cs"/>
          <w:rtl/>
        </w:rPr>
        <w:t>.</w:t>
      </w:r>
    </w:p>
    <w:p w:rsidR="00065E4B" w:rsidRPr="009A2D7D" w:rsidRDefault="0014726A" w:rsidP="00A8347C">
      <w:pPr>
        <w:pStyle w:val="aff3"/>
        <w:rPr>
          <w:rtl/>
        </w:rPr>
      </w:pPr>
      <w:bookmarkStart w:id="337" w:name="_Toc334046544"/>
      <w:r>
        <w:rPr>
          <w:rFonts w:hint="cs"/>
          <w:rtl/>
        </w:rPr>
        <w:t xml:space="preserve">                                        المطلب</w:t>
      </w:r>
      <w:r w:rsidR="00F25C3C">
        <w:rPr>
          <w:rFonts w:hint="cs"/>
          <w:rtl/>
        </w:rPr>
        <w:t xml:space="preserve"> </w:t>
      </w:r>
      <w:r w:rsidR="004D2319" w:rsidRPr="009A2D7D">
        <w:rPr>
          <w:rFonts w:hint="cs"/>
          <w:rtl/>
        </w:rPr>
        <w:t>الثاني</w:t>
      </w:r>
      <w:r w:rsidR="004D2319" w:rsidRPr="009A2D7D">
        <w:rPr>
          <w:rFonts w:hint="eastAsia"/>
          <w:rtl/>
        </w:rPr>
        <w:t> :</w:t>
      </w:r>
      <w:r w:rsidR="004D2319" w:rsidRPr="009A2D7D">
        <w:rPr>
          <w:rFonts w:hint="cs"/>
          <w:rtl/>
        </w:rPr>
        <w:br/>
      </w:r>
      <w:r>
        <w:rPr>
          <w:rFonts w:hint="cs"/>
          <w:rtl/>
        </w:rPr>
        <w:t xml:space="preserve">          </w:t>
      </w:r>
      <w:r w:rsidR="008179F4">
        <w:rPr>
          <w:rFonts w:hint="cs"/>
          <w:rtl/>
        </w:rPr>
        <w:t xml:space="preserve">                               </w:t>
      </w:r>
      <w:r w:rsidR="004D2319" w:rsidRPr="009A2D7D">
        <w:rPr>
          <w:rFonts w:hint="cs"/>
          <w:rtl/>
        </w:rPr>
        <w:t>شرح القاعدة</w:t>
      </w:r>
      <w:bookmarkEnd w:id="337"/>
    </w:p>
    <w:p w:rsidR="00F60BF3" w:rsidRPr="009A2D7D" w:rsidRDefault="00065E4B" w:rsidP="00597C20">
      <w:pPr>
        <w:pStyle w:val="53"/>
        <w:rPr>
          <w:rtl/>
        </w:rPr>
      </w:pPr>
      <w:r w:rsidRPr="009A2D7D">
        <w:rPr>
          <w:rFonts w:hint="cs"/>
          <w:rtl/>
        </w:rPr>
        <w:t>ا</w:t>
      </w:r>
      <w:r w:rsidR="004D2319" w:rsidRPr="009A2D7D">
        <w:rPr>
          <w:rFonts w:hint="cs"/>
          <w:rtl/>
        </w:rPr>
        <w:t>لغارم</w:t>
      </w:r>
      <w:r w:rsidR="00AB0B9E">
        <w:rPr>
          <w:rtl/>
        </w:rPr>
        <w:fldChar w:fldCharType="begin"/>
      </w:r>
      <w:r w:rsidR="009A2D7D">
        <w:instrText xml:space="preserve"> XE "</w:instrText>
      </w:r>
      <w:r w:rsidR="009A2D7D" w:rsidRPr="009A2D7D">
        <w:rPr>
          <w:rFonts w:hint="cs"/>
          <w:b w:val="0"/>
          <w:bCs w:val="0"/>
          <w:rtl/>
        </w:rPr>
        <w:instrText>الغارم</w:instrText>
      </w:r>
      <w:r w:rsidR="009A2D7D">
        <w:instrText>" \fm</w:instrText>
      </w:r>
      <w:r w:rsidR="00AB0B9E">
        <w:rPr>
          <w:rtl/>
        </w:rPr>
        <w:fldChar w:fldCharType="end"/>
      </w:r>
      <w:r w:rsidR="004D2319" w:rsidRPr="009A2D7D">
        <w:rPr>
          <w:rFonts w:hint="cs"/>
          <w:rtl/>
        </w:rPr>
        <w:t xml:space="preserve"> لغة:</w:t>
      </w:r>
    </w:p>
    <w:p w:rsidR="00065E4B" w:rsidRPr="00C85F0F" w:rsidRDefault="004D2319" w:rsidP="00597C20">
      <w:pPr>
        <w:widowControl/>
        <w:autoSpaceDE w:val="0"/>
        <w:autoSpaceDN w:val="0"/>
        <w:adjustRightInd w:val="0"/>
        <w:ind w:firstLine="720"/>
        <w:jc w:val="left"/>
        <w:rPr>
          <w:rFonts w:ascii="Traditional Arabic" w:hAnsi="Traditional Arabic"/>
          <w:noProof w:val="0"/>
          <w:color w:val="auto"/>
          <w:rtl/>
          <w:lang w:eastAsia="en-US"/>
        </w:rPr>
      </w:pPr>
      <w:r w:rsidRPr="00C85F0F">
        <w:rPr>
          <w:rFonts w:ascii="Traditional Arabic" w:hAnsi="Traditional Arabic"/>
          <w:noProof w:val="0"/>
          <w:rtl/>
          <w:lang w:eastAsia="en-US"/>
        </w:rPr>
        <w:t>الَّذِي يَلْتَزِم مَا ضَمِنَه وتكَفَّل بِهِ ويُؤدِّيه</w:t>
      </w:r>
      <w:r w:rsidRPr="00C85F0F">
        <w:rPr>
          <w:rStyle w:val="af1"/>
          <w:szCs w:val="32"/>
          <w:rtl/>
        </w:rPr>
        <w:t>(</w:t>
      </w:r>
      <w:r w:rsidRPr="00C85F0F">
        <w:rPr>
          <w:rStyle w:val="af1"/>
          <w:szCs w:val="32"/>
          <w:rtl/>
        </w:rPr>
        <w:footnoteReference w:id="1663"/>
      </w:r>
      <w:r w:rsidRPr="00C85F0F">
        <w:rPr>
          <w:rStyle w:val="af1"/>
          <w:szCs w:val="32"/>
          <w:rtl/>
        </w:rPr>
        <w:t>)</w:t>
      </w:r>
      <w:r w:rsidRPr="00C85F0F">
        <w:rPr>
          <w:rFonts w:ascii="Traditional Arabic" w:hAnsi="Traditional Arabic"/>
          <w:noProof w:val="0"/>
          <w:rtl/>
          <w:lang w:eastAsia="en-US"/>
        </w:rPr>
        <w:t>.</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4D2319" w:rsidRPr="00C85F0F">
        <w:rPr>
          <w:rFonts w:ascii="Traditional Arabic" w:hAnsi="Traditional Arabic" w:hint="cs"/>
          <w:noProof w:val="0"/>
          <w:color w:val="auto"/>
          <w:rtl/>
          <w:lang w:eastAsia="en-US"/>
        </w:rPr>
        <w:t>عرفه الشيخ ابن عثيمين بقوله: (</w:t>
      </w:r>
      <w:r w:rsidR="004D2319" w:rsidRPr="00C85F0F">
        <w:rPr>
          <w:rFonts w:ascii="Traditional Arabic" w:hAnsi="Traditional Arabic" w:hint="cs"/>
          <w:noProof w:val="0"/>
          <w:rtl/>
          <w:lang w:eastAsia="en-US"/>
        </w:rPr>
        <w:t xml:space="preserve">الغارم: </w:t>
      </w:r>
      <w:r w:rsidR="004D2319" w:rsidRPr="00C85F0F">
        <w:rPr>
          <w:rFonts w:ascii="Traditional Arabic" w:hAnsi="Traditional Arabic"/>
          <w:noProof w:val="0"/>
          <w:rtl/>
          <w:lang w:eastAsia="en-US"/>
        </w:rPr>
        <w:t>هو م</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ن ل</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ح</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ق</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ه الغ</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ر</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م، وهو الضمان والإلزام بالمال، وما أشبه ذلك</w:t>
      </w:r>
      <w:r w:rsidR="004D2319" w:rsidRPr="00C85F0F">
        <w:rPr>
          <w:rFonts w:ascii="Traditional Arabic" w:hAnsi="Traditional Arabic" w:hint="cs"/>
          <w:noProof w:val="0"/>
          <w:rtl/>
          <w:lang w:eastAsia="en-US"/>
        </w:rPr>
        <w:t>)</w:t>
      </w:r>
      <w:r w:rsidR="004D2319" w:rsidRPr="00C85F0F">
        <w:rPr>
          <w:rStyle w:val="af1"/>
          <w:szCs w:val="32"/>
          <w:rtl/>
        </w:rPr>
        <w:t>(</w:t>
      </w:r>
      <w:r w:rsidR="004D2319" w:rsidRPr="00C85F0F">
        <w:rPr>
          <w:rStyle w:val="af1"/>
          <w:szCs w:val="32"/>
          <w:rtl/>
        </w:rPr>
        <w:footnoteReference w:id="1664"/>
      </w:r>
      <w:r w:rsidR="004D2319" w:rsidRPr="00C85F0F">
        <w:rPr>
          <w:rStyle w:val="af1"/>
          <w:szCs w:val="32"/>
          <w:rtl/>
        </w:rPr>
        <w:t>)</w:t>
      </w:r>
      <w:r w:rsidR="004D2319" w:rsidRPr="00C85F0F">
        <w:rPr>
          <w:rFonts w:ascii="Traditional Arabic" w:hAnsi="Traditional Arabic"/>
          <w:noProof w:val="0"/>
          <w:rtl/>
          <w:lang w:eastAsia="en-US"/>
        </w:rPr>
        <w:t>.</w:t>
      </w:r>
    </w:p>
    <w:p w:rsidR="00065E4B" w:rsidRPr="009A2D7D" w:rsidRDefault="00F25C3C" w:rsidP="00597C20">
      <w:pPr>
        <w:pStyle w:val="53"/>
        <w:rPr>
          <w:rtl/>
        </w:rPr>
      </w:pPr>
      <w:r>
        <w:rPr>
          <w:rFonts w:hint="cs"/>
          <w:rtl/>
        </w:rPr>
        <w:t>معنى ا</w:t>
      </w:r>
      <w:r w:rsidR="004D2319" w:rsidRPr="009A2D7D">
        <w:rPr>
          <w:rFonts w:hint="cs"/>
          <w:rtl/>
        </w:rPr>
        <w:t>لقاعدة</w:t>
      </w:r>
      <w:r>
        <w:rPr>
          <w:rFonts w:hint="cs"/>
          <w:rtl/>
        </w:rPr>
        <w:t xml:space="preserve"> إجمالا</w:t>
      </w:r>
      <w:r w:rsidR="004D2319" w:rsidRPr="009A2D7D">
        <w:rPr>
          <w:rFonts w:hint="cs"/>
          <w:rtl/>
        </w:rPr>
        <w:t>:</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ت</w:t>
      </w:r>
      <w:r w:rsidR="004D2319" w:rsidRPr="00C85F0F">
        <w:rPr>
          <w:rFonts w:ascii="Traditional Arabic" w:hAnsi="Traditional Arabic" w:hint="cs"/>
          <w:noProof w:val="0"/>
          <w:color w:val="auto"/>
          <w:rtl/>
          <w:lang w:eastAsia="en-US"/>
        </w:rPr>
        <w:t>فيد هذه القاعدة أنه يُقبل قول الغارم فيما غرِم؛ لأنه مدعى عليه، ولأن ما زاد على غُرْمه</w:t>
      </w:r>
      <w:r w:rsidR="008179F4">
        <w:rPr>
          <w:rFonts w:ascii="Traditional Arabic" w:hAnsi="Traditional Arabic" w:hint="cs"/>
          <w:noProof w:val="0"/>
          <w:color w:val="auto"/>
          <w:rtl/>
          <w:lang w:eastAsia="en-US"/>
        </w:rPr>
        <w:t xml:space="preserve"> </w:t>
      </w:r>
      <w:r w:rsidR="004D2319" w:rsidRPr="00C85F0F">
        <w:rPr>
          <w:rFonts w:ascii="Traditional Arabic" w:hAnsi="Traditional Arabic"/>
          <w:noProof w:val="0"/>
          <w:color w:val="auto"/>
          <w:rtl/>
          <w:lang w:eastAsia="en-US"/>
        </w:rPr>
        <w:t>دعوى تحتاج إلى بينة</w:t>
      </w:r>
      <w:r w:rsidR="004D2319" w:rsidRPr="00C85F0F">
        <w:rPr>
          <w:rStyle w:val="af1"/>
          <w:szCs w:val="32"/>
          <w:rtl/>
        </w:rPr>
        <w:t>(</w:t>
      </w:r>
      <w:r w:rsidR="004D2319" w:rsidRPr="00C85F0F">
        <w:rPr>
          <w:rStyle w:val="af1"/>
          <w:szCs w:val="32"/>
          <w:rtl/>
        </w:rPr>
        <w:footnoteReference w:id="1665"/>
      </w:r>
      <w:r w:rsidR="004D2319" w:rsidRPr="00C85F0F">
        <w:rPr>
          <w:rStyle w:val="af1"/>
          <w:szCs w:val="32"/>
          <w:rtl/>
        </w:rPr>
        <w:t>)</w:t>
      </w:r>
      <w:r w:rsidR="004D2319" w:rsidRPr="00C85F0F">
        <w:rPr>
          <w:rFonts w:ascii="Traditional Arabic" w:hAnsi="Traditional Arabic"/>
          <w:noProof w:val="0"/>
          <w:color w:val="auto"/>
          <w:rtl/>
          <w:lang w:eastAsia="en-US"/>
        </w:rPr>
        <w:t>.</w:t>
      </w:r>
    </w:p>
    <w:p w:rsidR="004D2319"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noProof w:val="0"/>
          <w:rtl/>
          <w:lang w:eastAsia="en-US"/>
        </w:rPr>
        <w:t>ل</w:t>
      </w:r>
      <w:r w:rsidR="004D2319" w:rsidRPr="00C85F0F">
        <w:rPr>
          <w:rFonts w:ascii="Traditional Arabic" w:hAnsi="Traditional Arabic"/>
          <w:noProof w:val="0"/>
          <w:rtl/>
          <w:lang w:eastAsia="en-US"/>
        </w:rPr>
        <w:t>كن كل</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 xml:space="preserve"> من قلنا القول قول</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ه</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وهو يتعلق بحق الآدميين</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فإنه لا بد من اليمين</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 xml:space="preserve"> لقوله </w:t>
      </w:r>
      <w:r w:rsidR="00E77E3B">
        <w:rPr>
          <w:rFonts w:ascii="Traditional Arabic" w:hAnsi="Traditional Arabic" w:hint="cs"/>
          <w:rtl/>
        </w:rPr>
        <w:t>صلى الله عليه وسلم</w:t>
      </w:r>
      <w:r w:rsidR="004D2319" w:rsidRPr="00C85F0F">
        <w:rPr>
          <w:rFonts w:ascii="Traditional Arabic" w:hAnsi="Traditional Arabic"/>
          <w:noProof w:val="0"/>
          <w:rtl/>
          <w:lang w:eastAsia="en-US"/>
        </w:rPr>
        <w:t>:</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واليمين على من أنكر</w:t>
      </w:r>
      <w:r w:rsidR="004D2319" w:rsidRPr="00C85F0F">
        <w:rPr>
          <w:rFonts w:ascii="Traditional Arabic" w:hAnsi="Traditional Arabic" w:hint="cs"/>
          <w:noProof w:val="0"/>
          <w:rtl/>
          <w:lang w:eastAsia="en-US"/>
        </w:rPr>
        <w:t>"</w:t>
      </w:r>
      <w:r w:rsidR="004D2319" w:rsidRPr="00C85F0F">
        <w:rPr>
          <w:rStyle w:val="af1"/>
          <w:szCs w:val="32"/>
          <w:rtl/>
        </w:rPr>
        <w:t>(</w:t>
      </w:r>
      <w:r w:rsidR="004D2319" w:rsidRPr="00C85F0F">
        <w:rPr>
          <w:rStyle w:val="af1"/>
          <w:szCs w:val="32"/>
          <w:rtl/>
        </w:rPr>
        <w:footnoteReference w:id="1666"/>
      </w:r>
      <w:r w:rsidR="004D2319" w:rsidRPr="00C85F0F">
        <w:rPr>
          <w:rStyle w:val="af1"/>
          <w:szCs w:val="32"/>
          <w:rtl/>
        </w:rPr>
        <w:t>)</w:t>
      </w:r>
      <w:r w:rsidR="004D2319" w:rsidRPr="00C85F0F">
        <w:rPr>
          <w:rFonts w:ascii="Traditional Arabic" w:hAnsi="Traditional Arabic"/>
          <w:noProof w:val="0"/>
          <w:rtl/>
          <w:lang w:eastAsia="en-US"/>
        </w:rPr>
        <w:t>، أما الذي يتعلق بحق الله فالقول قول المنكر بلا يمين</w:t>
      </w:r>
      <w:r w:rsidR="004D2319" w:rsidRPr="00C85F0F">
        <w:rPr>
          <w:rFonts w:ascii="Traditional Arabic" w:hAnsi="Traditional Arabic" w:hint="cs"/>
          <w:noProof w:val="0"/>
          <w:rtl/>
          <w:lang w:eastAsia="en-US"/>
        </w:rPr>
        <w:t xml:space="preserve">؛ </w:t>
      </w:r>
      <w:r w:rsidR="004D2319" w:rsidRPr="00C85F0F">
        <w:rPr>
          <w:rFonts w:ascii="Traditional Arabic" w:hAnsi="Traditional Arabic"/>
          <w:noProof w:val="0"/>
          <w:rtl/>
          <w:lang w:eastAsia="en-US"/>
        </w:rPr>
        <w:t>لأن هذا الحق بين الإنسان وبين ربه</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 xml:space="preserve"> والناس مؤتم</w:t>
      </w:r>
      <w:r w:rsidR="004D2319" w:rsidRPr="00C85F0F">
        <w:rPr>
          <w:rFonts w:ascii="Traditional Arabic" w:hAnsi="Traditional Arabic" w:hint="cs"/>
          <w:noProof w:val="0"/>
          <w:rtl/>
          <w:lang w:eastAsia="en-US"/>
        </w:rPr>
        <w:t>َ</w:t>
      </w:r>
      <w:r w:rsidR="004D2319" w:rsidRPr="00C85F0F">
        <w:rPr>
          <w:rFonts w:ascii="Traditional Arabic" w:hAnsi="Traditional Arabic"/>
          <w:noProof w:val="0"/>
          <w:rtl/>
          <w:lang w:eastAsia="en-US"/>
        </w:rPr>
        <w:t>نون على أديانهم</w:t>
      </w:r>
      <w:r w:rsidR="004D2319" w:rsidRPr="00C85F0F">
        <w:rPr>
          <w:rStyle w:val="af1"/>
          <w:szCs w:val="32"/>
          <w:rtl/>
        </w:rPr>
        <w:t>(</w:t>
      </w:r>
      <w:r w:rsidR="004D2319" w:rsidRPr="00C85F0F">
        <w:rPr>
          <w:rStyle w:val="af1"/>
          <w:szCs w:val="32"/>
          <w:rtl/>
        </w:rPr>
        <w:footnoteReference w:id="1667"/>
      </w:r>
      <w:r w:rsidR="004D2319" w:rsidRPr="00C85F0F">
        <w:rPr>
          <w:rStyle w:val="af1"/>
          <w:szCs w:val="32"/>
          <w:rtl/>
        </w:rPr>
        <w:t>)</w:t>
      </w:r>
      <w:r w:rsidR="004D2319" w:rsidRPr="00C85F0F">
        <w:rPr>
          <w:rFonts w:ascii="Traditional Arabic" w:hAnsi="Traditional Arabic" w:hint="cs"/>
          <w:noProof w:val="0"/>
          <w:color w:val="auto"/>
          <w:rtl/>
          <w:lang w:eastAsia="en-US"/>
        </w:rPr>
        <w:t>.</w:t>
      </w:r>
    </w:p>
    <w:p w:rsidR="004D2319" w:rsidRPr="00C85F0F" w:rsidRDefault="00E77E3B" w:rsidP="00A8347C">
      <w:pPr>
        <w:pStyle w:val="aff3"/>
        <w:rPr>
          <w:rtl/>
        </w:rPr>
      </w:pPr>
      <w:bookmarkStart w:id="338" w:name="_Toc334046545"/>
      <w:r>
        <w:rPr>
          <w:rFonts w:hint="cs"/>
          <w:rtl/>
        </w:rPr>
        <w:lastRenderedPageBreak/>
        <w:t xml:space="preserve">                                       المطلب</w:t>
      </w:r>
      <w:r w:rsidR="00F25C3C">
        <w:rPr>
          <w:rFonts w:hint="cs"/>
          <w:rtl/>
        </w:rPr>
        <w:t xml:space="preserve"> </w:t>
      </w:r>
      <w:r w:rsidR="004D2319" w:rsidRPr="00C85F0F">
        <w:rPr>
          <w:rFonts w:hint="cs"/>
          <w:rtl/>
        </w:rPr>
        <w:t>الثالث</w:t>
      </w:r>
      <w:r w:rsidR="004D2319" w:rsidRPr="00C85F0F">
        <w:rPr>
          <w:rFonts w:hint="eastAsia"/>
          <w:rtl/>
        </w:rPr>
        <w:t> :</w:t>
      </w:r>
      <w:r w:rsidR="004D2319" w:rsidRPr="00C85F0F">
        <w:rPr>
          <w:rFonts w:hint="cs"/>
          <w:rtl/>
        </w:rPr>
        <w:br/>
      </w:r>
      <w:r>
        <w:rPr>
          <w:rFonts w:hint="cs"/>
          <w:rtl/>
        </w:rPr>
        <w:t xml:space="preserve">          </w:t>
      </w:r>
      <w:r w:rsidR="008179F4">
        <w:rPr>
          <w:rFonts w:hint="cs"/>
          <w:rtl/>
        </w:rPr>
        <w:t xml:space="preserve">                              دليل</w:t>
      </w:r>
      <w:r w:rsidR="004D2319" w:rsidRPr="00C85F0F">
        <w:rPr>
          <w:rFonts w:hint="cs"/>
          <w:rtl/>
        </w:rPr>
        <w:t xml:space="preserve"> القاعدة</w:t>
      </w:r>
      <w:bookmarkEnd w:id="338"/>
    </w:p>
    <w:p w:rsidR="004D2319" w:rsidRPr="008179F4" w:rsidRDefault="004D2319" w:rsidP="008179F4">
      <w:pPr>
        <w:ind w:left="360" w:firstLine="0"/>
        <w:rPr>
          <w:color w:val="auto"/>
        </w:rPr>
      </w:pPr>
      <w:r w:rsidRPr="00C85F0F">
        <w:rPr>
          <w:rFonts w:hint="cs"/>
          <w:rtl/>
        </w:rPr>
        <w:t>حديث عبد الله بن عباس</w:t>
      </w:r>
      <w:r w:rsidR="00F25C3C">
        <w:rPr>
          <w:rFonts w:hint="cs"/>
          <w:rtl/>
        </w:rPr>
        <w:t>_رضي الله عنهما_</w:t>
      </w:r>
      <w:r w:rsidRPr="00C85F0F">
        <w:rPr>
          <w:rFonts w:hint="cs"/>
          <w:rtl/>
        </w:rPr>
        <w:t xml:space="preserve"> </w:t>
      </w:r>
      <w:r w:rsidRPr="008179F4">
        <w:rPr>
          <w:rFonts w:ascii="Traditional Arabic" w:hAnsi="Traditional Arabic"/>
          <w:noProof w:val="0"/>
          <w:color w:val="auto"/>
          <w:rtl/>
          <w:lang w:eastAsia="en-US"/>
        </w:rPr>
        <w:t xml:space="preserve">أن رسول الله </w:t>
      </w:r>
      <w:r w:rsidR="00E77E3B" w:rsidRPr="008179F4">
        <w:rPr>
          <w:rFonts w:ascii="Traditional Arabic" w:hAnsi="Traditional Arabic" w:hint="cs"/>
          <w:noProof w:val="0"/>
          <w:color w:val="auto"/>
          <w:rtl/>
          <w:lang w:eastAsia="en-US"/>
        </w:rPr>
        <w:t>صلى الله عليه وسلم</w:t>
      </w:r>
      <w:r w:rsidRPr="008179F4">
        <w:rPr>
          <w:rFonts w:ascii="Traditional Arabic" w:hAnsi="Traditional Arabic"/>
          <w:noProof w:val="0"/>
          <w:color w:val="auto"/>
          <w:rtl/>
          <w:lang w:eastAsia="en-US"/>
        </w:rPr>
        <w:t xml:space="preserve"> قال: </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لو ي</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عطى الناس ب</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د</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ع</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واهم لاد</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عى رجال</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 xml:space="preserve"> أموال</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 xml:space="preserve"> قوم</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 xml:space="preserve"> ود</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ماء</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هم</w:t>
      </w:r>
      <w:r w:rsidR="004E2EB7" w:rsidRPr="008179F4">
        <w:rPr>
          <w:rFonts w:ascii="Traditional Arabic" w:hAnsi="Traditional Arabic"/>
          <w:noProof w:val="0"/>
          <w:color w:val="auto"/>
          <w:rtl/>
          <w:lang w:eastAsia="en-US"/>
        </w:rPr>
        <w:t>،</w:t>
      </w:r>
      <w:r w:rsidR="00AB0B9E" w:rsidRPr="008179F4">
        <w:rPr>
          <w:rFonts w:ascii="Traditional Arabic" w:hAnsi="Traditional Arabic"/>
          <w:noProof w:val="0"/>
          <w:color w:val="auto"/>
          <w:lang w:eastAsia="en-US"/>
        </w:rPr>
        <w:fldChar w:fldCharType="begin"/>
      </w:r>
      <w:r w:rsidR="004E2EB7" w:rsidRPr="008179F4">
        <w:rPr>
          <w:rFonts w:ascii="Traditional Arabic" w:hAnsi="Traditional Arabic"/>
          <w:noProof w:val="0"/>
          <w:color w:val="auto"/>
          <w:lang w:eastAsia="en-US"/>
        </w:rPr>
        <w:instrText>XE</w:instrText>
      </w:r>
      <w:r w:rsidR="004E2EB7" w:rsidRPr="008179F4">
        <w:rPr>
          <w:rFonts w:ascii="Traditional Arabic" w:hAnsi="Traditional Arabic"/>
          <w:noProof w:val="0"/>
          <w:color w:val="auto"/>
          <w:rtl/>
          <w:lang w:eastAsia="en-US"/>
        </w:rPr>
        <w:instrText xml:space="preserve"> "لو يُعطى الناس بدعواهم لادَّعى ناس</w:instrText>
      </w:r>
      <w:r w:rsidR="004E2EB7" w:rsidRPr="008179F4">
        <w:rPr>
          <w:rFonts w:ascii="Traditional Arabic" w:hAnsi="Traditional Arabic" w:hint="cs"/>
          <w:noProof w:val="0"/>
          <w:color w:val="auto"/>
          <w:rtl/>
          <w:lang w:eastAsia="en-US"/>
        </w:rPr>
        <w:instrText>ٌ</w:instrText>
      </w:r>
      <w:r w:rsidR="004E2EB7" w:rsidRPr="008179F4">
        <w:rPr>
          <w:rFonts w:ascii="Traditional Arabic" w:hAnsi="Traditional Arabic"/>
          <w:noProof w:val="0"/>
          <w:color w:val="auto"/>
          <w:rtl/>
          <w:lang w:eastAsia="en-US"/>
        </w:rPr>
        <w:instrText xml:space="preserve"> دماء</w:instrText>
      </w:r>
      <w:r w:rsidR="004E2EB7" w:rsidRPr="008179F4">
        <w:rPr>
          <w:rFonts w:ascii="Traditional Arabic" w:hAnsi="Traditional Arabic" w:hint="cs"/>
          <w:noProof w:val="0"/>
          <w:color w:val="auto"/>
          <w:rtl/>
          <w:lang w:eastAsia="en-US"/>
        </w:rPr>
        <w:instrText>َ</w:instrText>
      </w:r>
      <w:r w:rsidR="004E2EB7" w:rsidRPr="008179F4">
        <w:rPr>
          <w:rFonts w:ascii="Traditional Arabic" w:hAnsi="Traditional Arabic"/>
          <w:noProof w:val="0"/>
          <w:color w:val="auto"/>
          <w:rtl/>
          <w:lang w:eastAsia="en-US"/>
        </w:rPr>
        <w:instrText xml:space="preserve"> ر</w:instrText>
      </w:r>
      <w:r w:rsidR="004E2EB7" w:rsidRPr="008179F4">
        <w:rPr>
          <w:rFonts w:ascii="Traditional Arabic" w:hAnsi="Traditional Arabic" w:hint="cs"/>
          <w:noProof w:val="0"/>
          <w:color w:val="auto"/>
          <w:rtl/>
          <w:lang w:eastAsia="en-US"/>
        </w:rPr>
        <w:instrText>ِ</w:instrText>
      </w:r>
      <w:r w:rsidR="004E2EB7" w:rsidRPr="008179F4">
        <w:rPr>
          <w:rFonts w:ascii="Traditional Arabic" w:hAnsi="Traditional Arabic"/>
          <w:noProof w:val="0"/>
          <w:color w:val="auto"/>
          <w:rtl/>
          <w:lang w:eastAsia="en-US"/>
        </w:rPr>
        <w:instrText>جالٍ وأموالهم،" \</w:instrText>
      </w:r>
      <w:r w:rsidR="004E2EB7" w:rsidRPr="008179F4">
        <w:rPr>
          <w:rFonts w:ascii="Traditional Arabic" w:hAnsi="Traditional Arabic"/>
          <w:noProof w:val="0"/>
          <w:color w:val="auto"/>
          <w:lang w:eastAsia="en-US"/>
        </w:rPr>
        <w:instrText>fh</w:instrText>
      </w:r>
      <w:r w:rsidR="00AB0B9E" w:rsidRPr="008179F4">
        <w:rPr>
          <w:rFonts w:ascii="Traditional Arabic" w:hAnsi="Traditional Arabic"/>
          <w:noProof w:val="0"/>
          <w:color w:val="auto"/>
          <w:lang w:eastAsia="en-US"/>
        </w:rPr>
        <w:fldChar w:fldCharType="end"/>
      </w:r>
      <w:r w:rsidRPr="008179F4">
        <w:rPr>
          <w:rFonts w:ascii="Traditional Arabic" w:hAnsi="Traditional Arabic"/>
          <w:noProof w:val="0"/>
          <w:color w:val="auto"/>
          <w:rtl/>
          <w:lang w:eastAsia="en-US"/>
        </w:rPr>
        <w:t xml:space="preserve"> ولكن البينة على المدعي واليمين على م</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ن أ</w:t>
      </w:r>
      <w:r w:rsidRPr="008179F4">
        <w:rPr>
          <w:rFonts w:ascii="Traditional Arabic" w:hAnsi="Traditional Arabic" w:hint="cs"/>
          <w:noProof w:val="0"/>
          <w:color w:val="auto"/>
          <w:rtl/>
          <w:lang w:eastAsia="en-US"/>
        </w:rPr>
        <w:t>َ</w:t>
      </w:r>
      <w:r w:rsidRPr="008179F4">
        <w:rPr>
          <w:rFonts w:ascii="Traditional Arabic" w:hAnsi="Traditional Arabic"/>
          <w:noProof w:val="0"/>
          <w:color w:val="auto"/>
          <w:rtl/>
          <w:lang w:eastAsia="en-US"/>
        </w:rPr>
        <w:t>نكر</w:t>
      </w:r>
      <w:r w:rsidRPr="008179F4">
        <w:rPr>
          <w:rFonts w:ascii="Traditional Arabic" w:hAnsi="Traditional Arabic" w:hint="cs"/>
          <w:noProof w:val="0"/>
          <w:color w:val="auto"/>
          <w:rtl/>
          <w:lang w:eastAsia="en-US"/>
        </w:rPr>
        <w:t>"</w:t>
      </w:r>
      <w:r w:rsidR="00413B63" w:rsidRPr="008179F4">
        <w:rPr>
          <w:rFonts w:ascii="Traditional Arabic" w:hAnsi="Traditional Arabic" w:hint="cs"/>
          <w:noProof w:val="0"/>
          <w:color w:val="auto"/>
          <w:vertAlign w:val="superscript"/>
          <w:rtl/>
          <w:lang w:eastAsia="en-US"/>
        </w:rPr>
        <w:t>(</w:t>
      </w:r>
      <w:r w:rsidR="00F25C3C" w:rsidRPr="00413B63">
        <w:rPr>
          <w:rStyle w:val="af1"/>
          <w:rFonts w:ascii="Traditional Arabic" w:hAnsi="Traditional Arabic"/>
          <w:noProof w:val="0"/>
          <w:color w:val="auto"/>
          <w:rtl/>
          <w:lang w:eastAsia="en-US"/>
        </w:rPr>
        <w:footnoteReference w:id="1668"/>
      </w:r>
      <w:r w:rsidR="00413B63" w:rsidRPr="008179F4">
        <w:rPr>
          <w:rFonts w:ascii="Traditional Arabic" w:hAnsi="Traditional Arabic" w:hint="cs"/>
          <w:noProof w:val="0"/>
          <w:color w:val="auto"/>
          <w:vertAlign w:val="superscript"/>
          <w:rtl/>
          <w:lang w:eastAsia="en-US"/>
        </w:rPr>
        <w:t>)</w:t>
      </w:r>
      <w:r w:rsidRPr="008179F4">
        <w:rPr>
          <w:rFonts w:ascii="Traditional Arabic" w:hAnsi="Traditional Arabic" w:hint="cs"/>
          <w:noProof w:val="0"/>
          <w:color w:val="auto"/>
          <w:rtl/>
          <w:lang w:eastAsia="en-US"/>
        </w:rPr>
        <w:t>.</w:t>
      </w:r>
    </w:p>
    <w:p w:rsidR="004D2319" w:rsidRDefault="004D2319" w:rsidP="00597C20">
      <w:pPr>
        <w:pStyle w:val="53"/>
        <w:rPr>
          <w:rtl/>
        </w:rPr>
      </w:pPr>
      <w:r>
        <w:rPr>
          <w:rFonts w:hint="cs"/>
          <w:rtl/>
        </w:rPr>
        <w:t>وجه الدلالة:</w:t>
      </w:r>
    </w:p>
    <w:p w:rsidR="00F228A9" w:rsidRPr="00F60BF3" w:rsidRDefault="004D2319" w:rsidP="00597C20">
      <w:pPr>
        <w:ind w:firstLine="720"/>
        <w:rPr>
          <w:color w:val="auto"/>
          <w:rtl/>
        </w:rPr>
      </w:pPr>
      <w:r w:rsidRPr="00F60BF3">
        <w:rPr>
          <w:rFonts w:ascii="Traditional Arabic" w:hAnsi="Traditional Arabic" w:hint="cs"/>
          <w:noProof w:val="0"/>
          <w:color w:val="auto"/>
          <w:rtl/>
          <w:lang w:eastAsia="en-US"/>
        </w:rPr>
        <w:t>لما كان الغارم مد</w:t>
      </w:r>
      <w:r w:rsidR="00F25C3C">
        <w:rPr>
          <w:rFonts w:ascii="Traditional Arabic" w:hAnsi="Traditional Arabic" w:hint="cs"/>
          <w:noProof w:val="0"/>
          <w:color w:val="auto"/>
          <w:rtl/>
          <w:lang w:eastAsia="en-US"/>
        </w:rPr>
        <w:t>َّ</w:t>
      </w:r>
      <w:r w:rsidRPr="00F60BF3">
        <w:rPr>
          <w:rFonts w:ascii="Traditional Arabic" w:hAnsi="Traditional Arabic" w:hint="cs"/>
          <w:noProof w:val="0"/>
          <w:color w:val="auto"/>
          <w:rtl/>
          <w:lang w:eastAsia="en-US"/>
        </w:rPr>
        <w:t>عى</w:t>
      </w:r>
      <w:r w:rsidR="00F25C3C">
        <w:rPr>
          <w:rFonts w:ascii="Traditional Arabic" w:hAnsi="Traditional Arabic" w:hint="cs"/>
          <w:noProof w:val="0"/>
          <w:color w:val="auto"/>
          <w:rtl/>
          <w:lang w:eastAsia="en-US"/>
        </w:rPr>
        <w:t>ً</w:t>
      </w:r>
      <w:r w:rsidRPr="00F60BF3">
        <w:rPr>
          <w:rFonts w:ascii="Traditional Arabic" w:hAnsi="Traditional Arabic" w:hint="cs"/>
          <w:noProof w:val="0"/>
          <w:color w:val="auto"/>
          <w:rtl/>
          <w:lang w:eastAsia="en-US"/>
        </w:rPr>
        <w:t xml:space="preserve"> عليه فإنه ي</w:t>
      </w:r>
      <w:r w:rsidR="00413B63">
        <w:rPr>
          <w:rFonts w:ascii="Traditional Arabic" w:hAnsi="Traditional Arabic" w:hint="cs"/>
          <w:noProof w:val="0"/>
          <w:color w:val="auto"/>
          <w:rtl/>
          <w:lang w:eastAsia="en-US"/>
        </w:rPr>
        <w:t>ُ</w:t>
      </w:r>
      <w:r w:rsidRPr="00F60BF3">
        <w:rPr>
          <w:rFonts w:ascii="Traditional Arabic" w:hAnsi="Traditional Arabic" w:hint="cs"/>
          <w:noProof w:val="0"/>
          <w:color w:val="auto"/>
          <w:rtl/>
          <w:lang w:eastAsia="en-US"/>
        </w:rPr>
        <w:t>قبل قوله فيما غر</w:t>
      </w:r>
      <w:r w:rsidR="00413B63">
        <w:rPr>
          <w:rFonts w:ascii="Traditional Arabic" w:hAnsi="Traditional Arabic" w:hint="cs"/>
          <w:noProof w:val="0"/>
          <w:color w:val="auto"/>
          <w:rtl/>
          <w:lang w:eastAsia="en-US"/>
        </w:rPr>
        <w:t>ِ</w:t>
      </w:r>
      <w:r w:rsidRPr="00F60BF3">
        <w:rPr>
          <w:rFonts w:ascii="Traditional Arabic" w:hAnsi="Traditional Arabic" w:hint="cs"/>
          <w:noProof w:val="0"/>
          <w:color w:val="auto"/>
          <w:rtl/>
          <w:lang w:eastAsia="en-US"/>
        </w:rPr>
        <w:t>م، وما زاد على غرمه</w:t>
      </w:r>
      <w:r w:rsidRPr="00F60BF3">
        <w:rPr>
          <w:rFonts w:hint="cs"/>
          <w:color w:val="auto"/>
          <w:rtl/>
        </w:rPr>
        <w:t xml:space="preserve"> دعوى تحتاج إلى بينة</w:t>
      </w:r>
      <w:r w:rsidR="008179F4" w:rsidRPr="008179F4">
        <w:rPr>
          <w:rFonts w:hint="cs"/>
          <w:color w:val="auto"/>
          <w:vertAlign w:val="superscript"/>
          <w:rtl/>
        </w:rPr>
        <w:t>(</w:t>
      </w:r>
      <w:r w:rsidR="008179F4" w:rsidRPr="008179F4">
        <w:rPr>
          <w:rStyle w:val="af1"/>
          <w:color w:val="auto"/>
          <w:rtl/>
        </w:rPr>
        <w:footnoteReference w:id="1669"/>
      </w:r>
      <w:r w:rsidR="008179F4" w:rsidRPr="008179F4">
        <w:rPr>
          <w:rFonts w:hint="cs"/>
          <w:color w:val="auto"/>
          <w:vertAlign w:val="superscript"/>
          <w:rtl/>
        </w:rPr>
        <w:t>)</w:t>
      </w:r>
      <w:r w:rsidRPr="00F60BF3">
        <w:rPr>
          <w:rFonts w:hint="cs"/>
          <w:color w:val="auto"/>
          <w:rtl/>
        </w:rPr>
        <w:t>.</w:t>
      </w:r>
    </w:p>
    <w:p w:rsidR="00F228A9" w:rsidRPr="004D2319" w:rsidRDefault="00E77E3B" w:rsidP="00A8347C">
      <w:pPr>
        <w:pStyle w:val="aff3"/>
        <w:rPr>
          <w:rtl/>
        </w:rPr>
      </w:pPr>
      <w:bookmarkStart w:id="339" w:name="_Toc334046546"/>
      <w:r>
        <w:rPr>
          <w:rFonts w:hint="cs"/>
          <w:rtl/>
        </w:rPr>
        <w:t xml:space="preserve">                                       المطلب</w:t>
      </w:r>
      <w:r w:rsidR="00F25C3C">
        <w:rPr>
          <w:rFonts w:hint="cs"/>
          <w:rtl/>
        </w:rPr>
        <w:t xml:space="preserve"> </w:t>
      </w:r>
      <w:r w:rsidR="00F228A9" w:rsidRPr="004D2319">
        <w:rPr>
          <w:rFonts w:hint="cs"/>
          <w:rtl/>
        </w:rPr>
        <w:t>الرابع</w:t>
      </w:r>
      <w:r w:rsidR="00F228A9">
        <w:rPr>
          <w:rFonts w:hint="eastAsia"/>
          <w:rtl/>
        </w:rPr>
        <w:t> :</w:t>
      </w:r>
      <w:r w:rsidR="00F228A9">
        <w:rPr>
          <w:rFonts w:hint="cs"/>
          <w:rtl/>
        </w:rPr>
        <w:br/>
      </w:r>
      <w:r>
        <w:rPr>
          <w:rFonts w:hint="cs"/>
          <w:rtl/>
        </w:rPr>
        <w:t xml:space="preserve">                            </w:t>
      </w:r>
      <w:r w:rsidR="00DB450C">
        <w:rPr>
          <w:rFonts w:hint="cs"/>
          <w:rtl/>
        </w:rPr>
        <w:t xml:space="preserve">          </w:t>
      </w:r>
      <w:r w:rsidR="00F228A9" w:rsidRPr="004D2319">
        <w:rPr>
          <w:rFonts w:hint="cs"/>
          <w:rtl/>
        </w:rPr>
        <w:t>تطبيقات القاعدة</w:t>
      </w:r>
      <w:bookmarkEnd w:id="339"/>
    </w:p>
    <w:p w:rsidR="004D2319" w:rsidRPr="0096231E" w:rsidRDefault="004D2319" w:rsidP="000A76C7">
      <w:pPr>
        <w:pStyle w:val="afc"/>
        <w:widowControl/>
        <w:numPr>
          <w:ilvl w:val="0"/>
          <w:numId w:val="227"/>
        </w:numPr>
        <w:autoSpaceDE w:val="0"/>
        <w:autoSpaceDN w:val="0"/>
        <w:adjustRightInd w:val="0"/>
        <w:jc w:val="left"/>
        <w:rPr>
          <w:rFonts w:ascii="Traditional Arabic" w:hAnsi="Traditional Arabic"/>
          <w:noProof w:val="0"/>
          <w:rtl/>
          <w:lang w:eastAsia="en-US"/>
        </w:rPr>
      </w:pPr>
      <w:r w:rsidRPr="0096231E">
        <w:rPr>
          <w:rFonts w:ascii="Traditional Arabic" w:hAnsi="Traditional Arabic" w:hint="cs"/>
          <w:noProof w:val="0"/>
          <w:rtl/>
          <w:lang w:eastAsia="en-US"/>
        </w:rPr>
        <w:t>إذا</w:t>
      </w:r>
      <w:r w:rsidRPr="0096231E">
        <w:rPr>
          <w:rFonts w:ascii="Traditional Arabic" w:hAnsi="Traditional Arabic"/>
          <w:noProof w:val="0"/>
          <w:rtl/>
          <w:lang w:eastAsia="en-US"/>
        </w:rPr>
        <w:t xml:space="preserve"> اختلف</w:t>
      </w:r>
      <w:r w:rsidRPr="0096231E">
        <w:rPr>
          <w:rFonts w:ascii="Traditional Arabic" w:hAnsi="Traditional Arabic" w:hint="cs"/>
          <w:noProof w:val="0"/>
          <w:rtl/>
          <w:lang w:eastAsia="en-US"/>
        </w:rPr>
        <w:t xml:space="preserve"> البائع والمشتري</w:t>
      </w:r>
      <w:r w:rsidRPr="0096231E">
        <w:rPr>
          <w:rFonts w:ascii="Traditional Arabic" w:hAnsi="Traditional Arabic"/>
          <w:noProof w:val="0"/>
          <w:rtl/>
          <w:lang w:eastAsia="en-US"/>
        </w:rPr>
        <w:t xml:space="preserve"> في صف</w:t>
      </w:r>
      <w:r w:rsidRPr="0096231E">
        <w:rPr>
          <w:rFonts w:ascii="Traditional Arabic" w:hAnsi="Traditional Arabic" w:hint="cs"/>
          <w:noProof w:val="0"/>
          <w:rtl/>
          <w:lang w:eastAsia="en-US"/>
        </w:rPr>
        <w:t>ةالسلعة التال</w:t>
      </w:r>
      <w:r w:rsidR="00413B63">
        <w:rPr>
          <w:rFonts w:ascii="Traditional Arabic" w:hAnsi="Traditional Arabic" w:hint="cs"/>
          <w:noProof w:val="0"/>
          <w:rtl/>
          <w:lang w:eastAsia="en-US"/>
        </w:rPr>
        <w:t>ِ</w:t>
      </w:r>
      <w:r w:rsidRPr="0096231E">
        <w:rPr>
          <w:rFonts w:ascii="Traditional Arabic" w:hAnsi="Traditional Arabic" w:hint="cs"/>
          <w:noProof w:val="0"/>
          <w:rtl/>
          <w:lang w:eastAsia="en-US"/>
        </w:rPr>
        <w:t>فة،</w:t>
      </w:r>
      <w:r w:rsidR="00413B63">
        <w:rPr>
          <w:rFonts w:ascii="Traditional Arabic" w:hAnsi="Traditional Arabic" w:hint="cs"/>
          <w:noProof w:val="0"/>
          <w:rtl/>
          <w:lang w:eastAsia="en-US"/>
        </w:rPr>
        <w:t xml:space="preserve"> </w:t>
      </w:r>
      <w:r w:rsidRPr="0096231E">
        <w:rPr>
          <w:rFonts w:ascii="Traditional Arabic" w:hAnsi="Traditional Arabic"/>
          <w:noProof w:val="0"/>
          <w:rtl/>
          <w:lang w:eastAsia="en-US"/>
        </w:rPr>
        <w:t>ف</w:t>
      </w:r>
      <w:r w:rsidRPr="0096231E">
        <w:rPr>
          <w:rFonts w:ascii="Traditional Arabic" w:hAnsi="Traditional Arabic" w:hint="cs"/>
          <w:noProof w:val="0"/>
          <w:rtl/>
          <w:lang w:eastAsia="en-US"/>
        </w:rPr>
        <w:t>ال</w:t>
      </w:r>
      <w:r w:rsidRPr="0096231E">
        <w:rPr>
          <w:rFonts w:ascii="Traditional Arabic" w:hAnsi="Traditional Arabic"/>
          <w:noProof w:val="0"/>
          <w:rtl/>
          <w:lang w:eastAsia="en-US"/>
        </w:rPr>
        <w:t>قول</w:t>
      </w:r>
      <w:r w:rsidRPr="0096231E">
        <w:rPr>
          <w:rFonts w:ascii="Traditional Arabic" w:hAnsi="Traditional Arabic" w:hint="cs"/>
          <w:noProof w:val="0"/>
          <w:rtl/>
          <w:lang w:eastAsia="en-US"/>
        </w:rPr>
        <w:t xml:space="preserve"> قول المشتري.</w:t>
      </w:r>
    </w:p>
    <w:p w:rsidR="00F228A9" w:rsidRDefault="004D2319" w:rsidP="00597C20">
      <w:pPr>
        <w:pStyle w:val="afc"/>
        <w:widowControl/>
        <w:autoSpaceDE w:val="0"/>
        <w:autoSpaceDN w:val="0"/>
        <w:adjustRightInd w:val="0"/>
        <w:ind w:left="1080" w:firstLine="0"/>
        <w:rPr>
          <w:rFonts w:ascii="Traditional Arabic" w:hAnsi="Traditional Arabic"/>
          <w:b/>
          <w:bCs/>
          <w:noProof w:val="0"/>
          <w:color w:val="auto"/>
          <w:rtl/>
          <w:lang w:eastAsia="en-US"/>
        </w:rPr>
      </w:pPr>
      <w:r w:rsidRPr="0096231E">
        <w:rPr>
          <w:rFonts w:ascii="Traditional Arabic" w:hAnsi="Traditional Arabic"/>
          <w:noProof w:val="0"/>
          <w:rtl/>
          <w:lang w:eastAsia="en-US"/>
        </w:rPr>
        <w:t>مثاله: أن يقول البائع: إن العبد الذي هلك كان كاتبا، و</w:t>
      </w:r>
      <w:r w:rsidR="00413B63">
        <w:rPr>
          <w:rFonts w:ascii="Traditional Arabic" w:hAnsi="Traditional Arabic" w:hint="cs"/>
          <w:noProof w:val="0"/>
          <w:rtl/>
          <w:lang w:eastAsia="en-US"/>
        </w:rPr>
        <w:t>ي</w:t>
      </w:r>
      <w:r w:rsidR="00413B63">
        <w:rPr>
          <w:rFonts w:ascii="Traditional Arabic" w:hAnsi="Traditional Arabic"/>
          <w:noProof w:val="0"/>
          <w:rtl/>
          <w:lang w:eastAsia="en-US"/>
        </w:rPr>
        <w:t>ق</w:t>
      </w:r>
      <w:r w:rsidR="00413B63">
        <w:rPr>
          <w:rFonts w:ascii="Traditional Arabic" w:hAnsi="Traditional Arabic" w:hint="cs"/>
          <w:noProof w:val="0"/>
          <w:rtl/>
          <w:lang w:eastAsia="en-US"/>
        </w:rPr>
        <w:t>و</w:t>
      </w:r>
      <w:r w:rsidRPr="0096231E">
        <w:rPr>
          <w:rFonts w:ascii="Traditional Arabic" w:hAnsi="Traditional Arabic"/>
          <w:noProof w:val="0"/>
          <w:rtl/>
          <w:lang w:eastAsia="en-US"/>
        </w:rPr>
        <w:t>ل المشتري: بل كان غير كاتب، فالقول قول ا</w:t>
      </w:r>
      <w:r>
        <w:rPr>
          <w:rFonts w:ascii="Traditional Arabic" w:hAnsi="Traditional Arabic"/>
          <w:noProof w:val="0"/>
          <w:rtl/>
          <w:lang w:eastAsia="en-US"/>
        </w:rPr>
        <w:t>لمشتري</w:t>
      </w:r>
      <w:r w:rsidRPr="00C821A1">
        <w:rPr>
          <w:rStyle w:val="af1"/>
          <w:szCs w:val="32"/>
          <w:rtl/>
        </w:rPr>
        <w:t>(</w:t>
      </w:r>
      <w:r w:rsidRPr="00C821A1">
        <w:rPr>
          <w:rStyle w:val="af1"/>
          <w:szCs w:val="32"/>
          <w:rtl/>
        </w:rPr>
        <w:footnoteReference w:id="1670"/>
      </w:r>
      <w:r w:rsidRPr="00C821A1">
        <w:rPr>
          <w:rStyle w:val="af1"/>
          <w:szCs w:val="32"/>
          <w:rtl/>
        </w:rPr>
        <w:t>)</w:t>
      </w:r>
      <w:r>
        <w:rPr>
          <w:rFonts w:ascii="Traditional Arabic" w:hAnsi="Traditional Arabic" w:hint="cs"/>
          <w:noProof w:val="0"/>
          <w:rtl/>
          <w:lang w:eastAsia="en-US"/>
        </w:rPr>
        <w:t>.</w:t>
      </w:r>
    </w:p>
    <w:p w:rsidR="004D2319" w:rsidRDefault="004D2319" w:rsidP="00597C20">
      <w:pPr>
        <w:pStyle w:val="53"/>
        <w:rPr>
          <w:rtl/>
        </w:rPr>
      </w:pPr>
      <w:r>
        <w:rPr>
          <w:rFonts w:hint="cs"/>
          <w:rtl/>
        </w:rPr>
        <w:t>وجه اندراج الفرع تحت القاعدة:</w:t>
      </w:r>
    </w:p>
    <w:p w:rsidR="004D2319" w:rsidRPr="006E5B27" w:rsidRDefault="004D2319" w:rsidP="00597C20">
      <w:pPr>
        <w:widowControl/>
        <w:autoSpaceDE w:val="0"/>
        <w:autoSpaceDN w:val="0"/>
        <w:adjustRightInd w:val="0"/>
        <w:ind w:firstLine="720"/>
        <w:rPr>
          <w:rFonts w:ascii="Traditional Arabic" w:hAnsi="Traditional Arabic"/>
          <w:noProof w:val="0"/>
          <w:color w:val="auto"/>
          <w:rtl/>
          <w:lang w:eastAsia="en-US"/>
        </w:rPr>
      </w:pPr>
      <w:r w:rsidRPr="006E5B27">
        <w:rPr>
          <w:rFonts w:ascii="Traditional Arabic" w:hAnsi="Traditional Arabic" w:hint="cs"/>
          <w:noProof w:val="0"/>
          <w:rtl/>
          <w:lang w:eastAsia="en-US"/>
        </w:rPr>
        <w:t>إنما كان القول قول المشتري</w:t>
      </w:r>
      <w:r w:rsidRPr="006E5B27">
        <w:rPr>
          <w:rFonts w:ascii="Traditional Arabic" w:hAnsi="Traditional Arabic"/>
          <w:noProof w:val="0"/>
          <w:rtl/>
          <w:lang w:eastAsia="en-US"/>
        </w:rPr>
        <w:t xml:space="preserve"> بناء على القاعدة:</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أن كل </w:t>
      </w:r>
      <w:r w:rsidRPr="006E5B27">
        <w:rPr>
          <w:rFonts w:ascii="Traditional Arabic" w:hAnsi="Traditional Arabic"/>
          <w:noProof w:val="0"/>
          <w:color w:val="auto"/>
          <w:rtl/>
          <w:lang w:eastAsia="en-US"/>
        </w:rPr>
        <w:t xml:space="preserve">غارم </w:t>
      </w:r>
      <w:r w:rsidRPr="006E5B27">
        <w:rPr>
          <w:rFonts w:ascii="Traditional Arabic" w:hAnsi="Traditional Arabic"/>
          <w:noProof w:val="0"/>
          <w:rtl/>
          <w:lang w:eastAsia="en-US"/>
        </w:rPr>
        <w:t>فالقول قوله</w:t>
      </w:r>
      <w:r w:rsidRPr="006E5B27">
        <w:rPr>
          <w:rFonts w:ascii="Traditional Arabic" w:hAnsi="Traditional Arabic" w:hint="cs"/>
          <w:noProof w:val="0"/>
          <w:rtl/>
          <w:lang w:eastAsia="en-US"/>
        </w:rPr>
        <w:t xml:space="preserve">"، والمشتري غارم، </w:t>
      </w:r>
      <w:r w:rsidRPr="006E5B27">
        <w:rPr>
          <w:rFonts w:ascii="Traditional Arabic" w:hAnsi="Traditional Arabic"/>
          <w:noProof w:val="0"/>
          <w:rtl/>
          <w:lang w:eastAsia="en-US"/>
        </w:rPr>
        <w:t>والغارم لا ي</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لزم بأكثر مما أقر</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به؛ لأن ال</w:t>
      </w:r>
      <w:r w:rsidRPr="006E5B27">
        <w:rPr>
          <w:rFonts w:ascii="Traditional Arabic" w:hAnsi="Traditional Arabic" w:hint="cs"/>
          <w:noProof w:val="0"/>
          <w:rtl/>
          <w:lang w:eastAsia="en-US"/>
        </w:rPr>
        <w:t>زائد على</w:t>
      </w:r>
      <w:r w:rsidR="00501C5E">
        <w:rPr>
          <w:rFonts w:ascii="Traditional Arabic" w:hAnsi="Traditional Arabic" w:hint="cs"/>
          <w:noProof w:val="0"/>
          <w:rtl/>
          <w:lang w:eastAsia="en-US"/>
        </w:rPr>
        <w:t xml:space="preserve"> </w:t>
      </w:r>
      <w:r w:rsidRPr="006E5B27">
        <w:rPr>
          <w:rFonts w:ascii="Traditional Arabic" w:hAnsi="Traditional Arabic"/>
          <w:noProof w:val="0"/>
          <w:rtl/>
          <w:lang w:eastAsia="en-US"/>
        </w:rPr>
        <w:t>ما أقر</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به دعوى تحتاج إلى بينة</w:t>
      </w:r>
      <w:r w:rsidRPr="006E5B27">
        <w:rPr>
          <w:rFonts w:ascii="Traditional Arabic" w:hAnsi="Traditional Arabic" w:hint="cs"/>
          <w:noProof w:val="0"/>
          <w:rtl/>
          <w:lang w:eastAsia="en-US"/>
        </w:rPr>
        <w:t xml:space="preserve">؛ ولهذا تقدَّر قيمة العبد على أنه غير كاتب </w:t>
      </w:r>
      <w:r w:rsidRPr="00C821A1">
        <w:rPr>
          <w:rStyle w:val="af1"/>
          <w:szCs w:val="32"/>
          <w:rtl/>
        </w:rPr>
        <w:t>(</w:t>
      </w:r>
      <w:r w:rsidRPr="00C821A1">
        <w:rPr>
          <w:rStyle w:val="af1"/>
          <w:szCs w:val="32"/>
          <w:rtl/>
        </w:rPr>
        <w:footnoteReference w:id="1671"/>
      </w:r>
      <w:r w:rsidRPr="00C821A1">
        <w:rPr>
          <w:rStyle w:val="af1"/>
          <w:szCs w:val="32"/>
          <w:rtl/>
        </w:rPr>
        <w:t>)</w:t>
      </w:r>
      <w:r w:rsidRPr="006E5B27">
        <w:rPr>
          <w:rFonts w:ascii="Traditional Arabic" w:hAnsi="Traditional Arabic"/>
          <w:noProof w:val="0"/>
          <w:rtl/>
          <w:lang w:eastAsia="en-US"/>
        </w:rPr>
        <w:t>.</w:t>
      </w:r>
    </w:p>
    <w:p w:rsidR="004D2319" w:rsidRDefault="004D2319" w:rsidP="000A76C7">
      <w:pPr>
        <w:pStyle w:val="afc"/>
        <w:widowControl/>
        <w:numPr>
          <w:ilvl w:val="0"/>
          <w:numId w:val="227"/>
        </w:numPr>
        <w:autoSpaceDE w:val="0"/>
        <w:autoSpaceDN w:val="0"/>
        <w:adjustRightInd w:val="0"/>
        <w:rPr>
          <w:rFonts w:ascii="Traditional Arabic" w:hAnsi="Traditional Arabic"/>
          <w:noProof w:val="0"/>
          <w:color w:val="auto"/>
          <w:lang w:eastAsia="en-US"/>
        </w:rPr>
      </w:pPr>
      <w:r w:rsidRPr="00D04484">
        <w:rPr>
          <w:rFonts w:ascii="Traditional Arabic" w:hAnsi="Traditional Arabic" w:hint="cs"/>
          <w:noProof w:val="0"/>
          <w:rtl/>
          <w:lang w:eastAsia="en-US"/>
        </w:rPr>
        <w:lastRenderedPageBreak/>
        <w:t>ا</w:t>
      </w:r>
      <w:r w:rsidRPr="00D04484">
        <w:rPr>
          <w:rFonts w:ascii="Traditional Arabic" w:hAnsi="Traditional Arabic"/>
          <w:noProof w:val="0"/>
          <w:rtl/>
          <w:lang w:eastAsia="en-US"/>
        </w:rPr>
        <w:t xml:space="preserve">لقول في قيمة </w:t>
      </w:r>
      <w:r w:rsidRPr="00D04484">
        <w:rPr>
          <w:rFonts w:ascii="Traditional Arabic" w:hAnsi="Traditional Arabic" w:hint="cs"/>
          <w:noProof w:val="0"/>
          <w:rtl/>
          <w:lang w:eastAsia="en-US"/>
        </w:rPr>
        <w:t xml:space="preserve">العين المغصوبة إذا </w:t>
      </w:r>
      <w:r w:rsidRPr="00D04484">
        <w:rPr>
          <w:rFonts w:ascii="Traditional Arabic" w:hAnsi="Traditional Arabic"/>
          <w:noProof w:val="0"/>
          <w:rtl/>
          <w:lang w:eastAsia="en-US"/>
        </w:rPr>
        <w:t>ت</w:t>
      </w:r>
      <w:r w:rsidRPr="00D04484">
        <w:rPr>
          <w:rFonts w:ascii="Traditional Arabic" w:hAnsi="Traditional Arabic" w:hint="cs"/>
          <w:noProof w:val="0"/>
          <w:rtl/>
          <w:lang w:eastAsia="en-US"/>
        </w:rPr>
        <w:t>َ</w:t>
      </w:r>
      <w:r w:rsidRPr="00D04484">
        <w:rPr>
          <w:rFonts w:ascii="Traditional Arabic" w:hAnsi="Traditional Arabic"/>
          <w:noProof w:val="0"/>
          <w:rtl/>
          <w:lang w:eastAsia="en-US"/>
        </w:rPr>
        <w:t>ل</w:t>
      </w:r>
      <w:r w:rsidRPr="00D04484">
        <w:rPr>
          <w:rFonts w:ascii="Traditional Arabic" w:hAnsi="Traditional Arabic" w:hint="cs"/>
          <w:noProof w:val="0"/>
          <w:rtl/>
          <w:lang w:eastAsia="en-US"/>
        </w:rPr>
        <w:t>ِ</w:t>
      </w:r>
      <w:r w:rsidRPr="00D04484">
        <w:rPr>
          <w:rFonts w:ascii="Traditional Arabic" w:hAnsi="Traditional Arabic"/>
          <w:noProof w:val="0"/>
          <w:rtl/>
          <w:lang w:eastAsia="en-US"/>
        </w:rPr>
        <w:t>ف</w:t>
      </w:r>
      <w:r w:rsidRPr="00D04484">
        <w:rPr>
          <w:rFonts w:ascii="Traditional Arabic" w:hAnsi="Traditional Arabic" w:hint="cs"/>
          <w:noProof w:val="0"/>
          <w:rtl/>
          <w:lang w:eastAsia="en-US"/>
        </w:rPr>
        <w:t>ت</w:t>
      </w:r>
      <w:r w:rsidRPr="00D04484">
        <w:rPr>
          <w:rFonts w:ascii="Traditional Arabic" w:hAnsi="Traditional Arabic"/>
          <w:noProof w:val="0"/>
          <w:rtl/>
          <w:lang w:eastAsia="en-US"/>
        </w:rPr>
        <w:t xml:space="preserve"> قو</w:t>
      </w:r>
      <w:r w:rsidRPr="00D04484">
        <w:rPr>
          <w:rFonts w:ascii="Traditional Arabic" w:hAnsi="Traditional Arabic" w:hint="cs"/>
          <w:noProof w:val="0"/>
          <w:rtl/>
          <w:lang w:eastAsia="en-US"/>
        </w:rPr>
        <w:t>لُ</w:t>
      </w:r>
      <w:r w:rsidRPr="00D04484">
        <w:rPr>
          <w:rFonts w:ascii="Traditional Arabic" w:hAnsi="Traditional Arabic"/>
          <w:noProof w:val="0"/>
          <w:rtl/>
          <w:lang w:eastAsia="en-US"/>
        </w:rPr>
        <w:t xml:space="preserve"> الغاصب، فلو غصب شيئا فتل</w:t>
      </w:r>
      <w:r>
        <w:rPr>
          <w:rFonts w:ascii="Traditional Arabic" w:hAnsi="Traditional Arabic" w:hint="cs"/>
          <w:noProof w:val="0"/>
          <w:rtl/>
          <w:lang w:eastAsia="en-US"/>
        </w:rPr>
        <w:t>ِ</w:t>
      </w:r>
      <w:r w:rsidRPr="00D04484">
        <w:rPr>
          <w:rFonts w:ascii="Traditional Arabic" w:hAnsi="Traditional Arabic"/>
          <w:noProof w:val="0"/>
          <w:rtl/>
          <w:lang w:eastAsia="en-US"/>
        </w:rPr>
        <w:t>ف</w:t>
      </w:r>
      <w:r w:rsidRPr="00D04484">
        <w:rPr>
          <w:rFonts w:ascii="Traditional Arabic" w:hAnsi="Traditional Arabic" w:hint="cs"/>
          <w:noProof w:val="0"/>
          <w:rtl/>
          <w:lang w:eastAsia="en-US"/>
        </w:rPr>
        <w:t>_</w:t>
      </w:r>
      <w:r w:rsidRPr="00D04484">
        <w:rPr>
          <w:rFonts w:ascii="Traditional Arabic" w:hAnsi="Traditional Arabic"/>
          <w:noProof w:val="0"/>
          <w:rtl/>
          <w:lang w:eastAsia="en-US"/>
        </w:rPr>
        <w:t xml:space="preserve"> وكان متقو</w:t>
      </w:r>
      <w:r w:rsidRPr="00D04484">
        <w:rPr>
          <w:rFonts w:ascii="Traditional Arabic" w:hAnsi="Traditional Arabic" w:hint="cs"/>
          <w:noProof w:val="0"/>
          <w:rtl/>
          <w:lang w:eastAsia="en-US"/>
        </w:rPr>
        <w:t>َّ</w:t>
      </w:r>
      <w:r w:rsidRPr="00D04484">
        <w:rPr>
          <w:rFonts w:ascii="Traditional Arabic" w:hAnsi="Traditional Arabic"/>
          <w:noProof w:val="0"/>
          <w:rtl/>
          <w:lang w:eastAsia="en-US"/>
        </w:rPr>
        <w:t>ما</w:t>
      </w:r>
      <w:r w:rsidRPr="00D04484">
        <w:rPr>
          <w:rFonts w:ascii="Traditional Arabic" w:hAnsi="Traditional Arabic" w:hint="cs"/>
          <w:noProof w:val="0"/>
          <w:rtl/>
          <w:lang w:eastAsia="en-US"/>
        </w:rPr>
        <w:t>ً_</w:t>
      </w:r>
      <w:r w:rsidRPr="00D04484">
        <w:rPr>
          <w:rFonts w:ascii="Traditional Arabic" w:hAnsi="Traditional Arabic"/>
          <w:noProof w:val="0"/>
          <w:rtl/>
          <w:lang w:eastAsia="en-US"/>
        </w:rPr>
        <w:t>فقال المالك: ق</w:t>
      </w:r>
      <w:r>
        <w:rPr>
          <w:rFonts w:ascii="Traditional Arabic" w:hAnsi="Traditional Arabic" w:hint="cs"/>
          <w:noProof w:val="0"/>
          <w:rtl/>
          <w:lang w:eastAsia="en-US"/>
        </w:rPr>
        <w:t>ِ</w:t>
      </w:r>
      <w:r w:rsidRPr="00D04484">
        <w:rPr>
          <w:rFonts w:ascii="Traditional Arabic" w:hAnsi="Traditional Arabic"/>
          <w:noProof w:val="0"/>
          <w:rtl/>
          <w:lang w:eastAsia="en-US"/>
        </w:rPr>
        <w:t>يمت</w:t>
      </w:r>
      <w:r>
        <w:rPr>
          <w:rFonts w:ascii="Traditional Arabic" w:hAnsi="Traditional Arabic" w:hint="cs"/>
          <w:noProof w:val="0"/>
          <w:rtl/>
          <w:lang w:eastAsia="en-US"/>
        </w:rPr>
        <w:t>ُ</w:t>
      </w:r>
      <w:r w:rsidRPr="00D04484">
        <w:rPr>
          <w:rFonts w:ascii="Traditional Arabic" w:hAnsi="Traditional Arabic"/>
          <w:noProof w:val="0"/>
          <w:rtl/>
          <w:lang w:eastAsia="en-US"/>
        </w:rPr>
        <w:t>ه ألف، وقال الغاصب: قيمته خمسمائة، فالقول قول الغاص</w:t>
      </w:r>
      <w:r w:rsidRPr="00D04484">
        <w:rPr>
          <w:rFonts w:ascii="Traditional Arabic" w:hAnsi="Traditional Arabic" w:hint="cs"/>
          <w:noProof w:val="0"/>
          <w:rtl/>
          <w:lang w:eastAsia="en-US"/>
        </w:rPr>
        <w:t>ب</w:t>
      </w:r>
      <w:r w:rsidRPr="00D04484">
        <w:rPr>
          <w:rFonts w:ascii="Traditional Arabic" w:hAnsi="Traditional Arabic"/>
          <w:noProof w:val="0"/>
          <w:color w:val="auto"/>
          <w:rtl/>
          <w:lang w:eastAsia="en-US"/>
        </w:rPr>
        <w:t xml:space="preserve">؛ لقول النبي </w:t>
      </w:r>
      <w:r w:rsidR="00E77E3B">
        <w:rPr>
          <w:rFonts w:ascii="Traditional Arabic" w:hAnsi="Traditional Arabic" w:hint="cs"/>
          <w:rtl/>
        </w:rPr>
        <w:t>صلى الله عليه وسلم</w:t>
      </w:r>
      <w:r w:rsidRPr="00D04484">
        <w:rPr>
          <w:rFonts w:ascii="Traditional Arabic" w:hAnsi="Traditional Arabic"/>
          <w:noProof w:val="0"/>
          <w:color w:val="auto"/>
          <w:rtl/>
          <w:lang w:eastAsia="en-US"/>
        </w:rPr>
        <w:t>:</w:t>
      </w:r>
      <w:r w:rsidRPr="00D04484">
        <w:rPr>
          <w:rFonts w:ascii="Traditional Arabic" w:hAnsi="Traditional Arabic" w:hint="cs"/>
          <w:noProof w:val="0"/>
          <w:color w:val="auto"/>
          <w:rtl/>
          <w:lang w:eastAsia="en-US"/>
        </w:rPr>
        <w:t>"</w:t>
      </w:r>
      <w:r w:rsidRPr="00D04484">
        <w:rPr>
          <w:rFonts w:ascii="Traditional Arabic" w:hAnsi="Traditional Arabic"/>
          <w:noProof w:val="0"/>
          <w:color w:val="auto"/>
          <w:rtl/>
          <w:lang w:eastAsia="en-US"/>
        </w:rPr>
        <w:t>البينة على المدعي واليمين على من أنكر</w:t>
      </w:r>
      <w:r w:rsidRPr="00D04484">
        <w:rPr>
          <w:rFonts w:ascii="Traditional Arabic" w:hAnsi="Traditional Arabic" w:hint="cs"/>
          <w:noProof w:val="0"/>
          <w:color w:val="auto"/>
          <w:rtl/>
          <w:lang w:eastAsia="en-US"/>
        </w:rPr>
        <w:t>"</w:t>
      </w:r>
      <w:r w:rsidR="00413B63" w:rsidRPr="00413B63">
        <w:rPr>
          <w:rFonts w:ascii="Traditional Arabic" w:hAnsi="Traditional Arabic" w:hint="cs"/>
          <w:noProof w:val="0"/>
          <w:color w:val="auto"/>
          <w:vertAlign w:val="superscript"/>
          <w:rtl/>
          <w:lang w:eastAsia="en-US"/>
        </w:rPr>
        <w:t>(</w:t>
      </w:r>
      <w:r w:rsidR="00413B63" w:rsidRPr="00413B63">
        <w:rPr>
          <w:rStyle w:val="af1"/>
          <w:rFonts w:ascii="Traditional Arabic" w:hAnsi="Traditional Arabic"/>
          <w:noProof w:val="0"/>
          <w:color w:val="auto"/>
          <w:rtl/>
          <w:lang w:eastAsia="en-US"/>
        </w:rPr>
        <w:footnoteReference w:id="1672"/>
      </w:r>
      <w:r w:rsidR="00413B63" w:rsidRPr="00413B63">
        <w:rPr>
          <w:rFonts w:ascii="Traditional Arabic" w:hAnsi="Traditional Arabic" w:hint="cs"/>
          <w:noProof w:val="0"/>
          <w:color w:val="auto"/>
          <w:vertAlign w:val="superscript"/>
          <w:rtl/>
          <w:lang w:eastAsia="en-US"/>
        </w:rPr>
        <w:t>)</w:t>
      </w:r>
      <w:r w:rsidRPr="00D04484">
        <w:rPr>
          <w:rFonts w:ascii="Traditional Arabic" w:hAnsi="Traditional Arabic" w:hint="cs"/>
          <w:noProof w:val="0"/>
          <w:color w:val="auto"/>
          <w:rtl/>
          <w:lang w:eastAsia="en-US"/>
        </w:rPr>
        <w:t>،</w:t>
      </w:r>
      <w:r w:rsidRPr="00D04484">
        <w:rPr>
          <w:rFonts w:ascii="Traditional Arabic" w:hAnsi="Traditional Arabic"/>
          <w:noProof w:val="0"/>
          <w:color w:val="auto"/>
          <w:rtl/>
          <w:lang w:eastAsia="en-US"/>
        </w:rPr>
        <w:t xml:space="preserve"> والآن المالك والغاصب اتفقا على أن القيمة خمسمائة</w:t>
      </w:r>
      <w:r>
        <w:rPr>
          <w:rFonts w:ascii="Traditional Arabic" w:hAnsi="Traditional Arabic" w:hint="cs"/>
          <w:noProof w:val="0"/>
          <w:color w:val="auto"/>
          <w:rtl/>
          <w:lang w:eastAsia="en-US"/>
        </w:rPr>
        <w:t>،</w:t>
      </w:r>
      <w:r w:rsidRPr="00D04484">
        <w:rPr>
          <w:rFonts w:ascii="Traditional Arabic" w:hAnsi="Traditional Arabic"/>
          <w:noProof w:val="0"/>
          <w:color w:val="auto"/>
          <w:rtl/>
          <w:lang w:eastAsia="en-US"/>
        </w:rPr>
        <w:t xml:space="preserve"> واد</w:t>
      </w:r>
      <w:r>
        <w:rPr>
          <w:rFonts w:ascii="Traditional Arabic" w:hAnsi="Traditional Arabic" w:hint="cs"/>
          <w:noProof w:val="0"/>
          <w:color w:val="auto"/>
          <w:rtl/>
          <w:lang w:eastAsia="en-US"/>
        </w:rPr>
        <w:t>َّ</w:t>
      </w:r>
      <w:r w:rsidRPr="00D04484">
        <w:rPr>
          <w:rFonts w:ascii="Traditional Arabic" w:hAnsi="Traditional Arabic"/>
          <w:noProof w:val="0"/>
          <w:color w:val="auto"/>
          <w:rtl/>
          <w:lang w:eastAsia="en-US"/>
        </w:rPr>
        <w:t>عى المالك الزيادة، فيكون المالك مد</w:t>
      </w:r>
      <w:r w:rsidR="00E77E3B">
        <w:rPr>
          <w:rFonts w:ascii="Traditional Arabic" w:hAnsi="Traditional Arabic" w:hint="cs"/>
          <w:noProof w:val="0"/>
          <w:color w:val="auto"/>
          <w:rtl/>
          <w:lang w:eastAsia="en-US"/>
        </w:rPr>
        <w:t>َّ</w:t>
      </w:r>
      <w:r w:rsidRPr="00D04484">
        <w:rPr>
          <w:rFonts w:ascii="Traditional Arabic" w:hAnsi="Traditional Arabic"/>
          <w:noProof w:val="0"/>
          <w:color w:val="auto"/>
          <w:rtl/>
          <w:lang w:eastAsia="en-US"/>
        </w:rPr>
        <w:t>عيا</w:t>
      </w:r>
      <w:r w:rsidR="00E77E3B">
        <w:rPr>
          <w:rFonts w:ascii="Traditional Arabic" w:hAnsi="Traditional Arabic" w:hint="cs"/>
          <w:noProof w:val="0"/>
          <w:color w:val="auto"/>
          <w:rtl/>
          <w:lang w:eastAsia="en-US"/>
        </w:rPr>
        <w:t>ً</w:t>
      </w:r>
      <w:r w:rsidRPr="00D04484">
        <w:rPr>
          <w:rFonts w:ascii="Traditional Arabic" w:hAnsi="Traditional Arabic"/>
          <w:noProof w:val="0"/>
          <w:color w:val="auto"/>
          <w:rtl/>
          <w:lang w:eastAsia="en-US"/>
        </w:rPr>
        <w:t>، والبينة على المدعي واليمين على من أنكر، ومن التعليل أن الغاصب غارم، وكل غارم فالقول قوله</w:t>
      </w:r>
      <w:r w:rsidRPr="00C821A1">
        <w:rPr>
          <w:rStyle w:val="af1"/>
          <w:szCs w:val="32"/>
          <w:rtl/>
        </w:rPr>
        <w:t>(</w:t>
      </w:r>
      <w:r w:rsidRPr="00C821A1">
        <w:rPr>
          <w:rStyle w:val="af1"/>
          <w:szCs w:val="32"/>
          <w:rtl/>
        </w:rPr>
        <w:footnoteReference w:id="1673"/>
      </w:r>
      <w:r w:rsidRPr="00C821A1">
        <w:rPr>
          <w:rStyle w:val="af1"/>
          <w:szCs w:val="32"/>
          <w:rtl/>
        </w:rPr>
        <w:t>)</w:t>
      </w:r>
      <w:r w:rsidRPr="00D04484">
        <w:rPr>
          <w:rFonts w:ascii="Traditional Arabic" w:hAnsi="Traditional Arabic" w:hint="cs"/>
          <w:noProof w:val="0"/>
          <w:color w:val="auto"/>
          <w:rtl/>
          <w:lang w:eastAsia="en-US"/>
        </w:rPr>
        <w:t>.</w:t>
      </w:r>
    </w:p>
    <w:p w:rsidR="004D2319" w:rsidRDefault="004D2319" w:rsidP="00597C20">
      <w:pPr>
        <w:pStyle w:val="53"/>
        <w:rPr>
          <w:rtl/>
        </w:rPr>
      </w:pPr>
      <w:r>
        <w:rPr>
          <w:rFonts w:hint="cs"/>
          <w:rtl/>
        </w:rPr>
        <w:t>وجه اندراج الفرع تحت القاعدة:</w:t>
      </w:r>
    </w:p>
    <w:p w:rsidR="004D2319" w:rsidRPr="006E5B27" w:rsidRDefault="004D2319" w:rsidP="00597C20">
      <w:pPr>
        <w:widowControl/>
        <w:autoSpaceDE w:val="0"/>
        <w:autoSpaceDN w:val="0"/>
        <w:adjustRightInd w:val="0"/>
        <w:ind w:firstLine="720"/>
        <w:jc w:val="left"/>
        <w:rPr>
          <w:rFonts w:ascii="Traditional Arabic" w:hAnsi="Traditional Arabic"/>
          <w:noProof w:val="0"/>
          <w:color w:val="auto"/>
          <w:lang w:eastAsia="en-US"/>
        </w:rPr>
      </w:pPr>
      <w:r w:rsidRPr="006E5B27">
        <w:rPr>
          <w:rFonts w:ascii="Traditional Arabic" w:hAnsi="Traditional Arabic" w:hint="cs"/>
          <w:noProof w:val="0"/>
          <w:color w:val="auto"/>
          <w:rtl/>
          <w:lang w:eastAsia="en-US"/>
        </w:rPr>
        <w:t>إنما كان القول قولَ الغاصب؛ لأنه غارم، والقاعدة أن كل غارم فالقول قوله.</w:t>
      </w:r>
    </w:p>
    <w:p w:rsidR="00F228A9" w:rsidRDefault="004D2319" w:rsidP="000A76C7">
      <w:pPr>
        <w:pStyle w:val="afc"/>
        <w:widowControl/>
        <w:numPr>
          <w:ilvl w:val="0"/>
          <w:numId w:val="227"/>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إذا </w:t>
      </w:r>
      <w:r w:rsidRPr="00D04484">
        <w:rPr>
          <w:rFonts w:ascii="Traditional Arabic" w:hAnsi="Traditional Arabic"/>
          <w:noProof w:val="0"/>
          <w:color w:val="auto"/>
          <w:rtl/>
          <w:lang w:eastAsia="en-US"/>
        </w:rPr>
        <w:t>اختلف العامل والجاع</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ل في </w:t>
      </w:r>
      <w:r>
        <w:rPr>
          <w:rFonts w:ascii="Traditional Arabic" w:hAnsi="Traditional Arabic" w:hint="cs"/>
          <w:noProof w:val="0"/>
          <w:color w:val="auto"/>
          <w:rtl/>
          <w:lang w:eastAsia="en-US"/>
        </w:rPr>
        <w:t>قَدْر</w:t>
      </w:r>
      <w:r w:rsidR="00413B63">
        <w:rPr>
          <w:rFonts w:ascii="Traditional Arabic" w:hAnsi="Traditional Arabic" w:hint="cs"/>
          <w:noProof w:val="0"/>
          <w:color w:val="auto"/>
          <w:rtl/>
          <w:lang w:eastAsia="en-US"/>
        </w:rPr>
        <w:t xml:space="preserve"> </w:t>
      </w:r>
      <w:r w:rsidRPr="00D04484">
        <w:rPr>
          <w:rFonts w:ascii="Traditional Arabic" w:hAnsi="Traditional Arabic"/>
          <w:noProof w:val="0"/>
          <w:color w:val="auto"/>
          <w:rtl/>
          <w:lang w:eastAsia="en-US"/>
        </w:rPr>
        <w:t>الج</w:t>
      </w:r>
      <w:r>
        <w:rPr>
          <w:rFonts w:ascii="Traditional Arabic" w:hAnsi="Traditional Arabic" w:hint="cs"/>
          <w:noProof w:val="0"/>
          <w:color w:val="auto"/>
          <w:rtl/>
          <w:lang w:eastAsia="en-US"/>
        </w:rPr>
        <w:t>ُ</w:t>
      </w:r>
      <w:r w:rsidRPr="00D04484">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Pr>
          <w:rFonts w:ascii="Traditional Arabic" w:hAnsi="Traditional Arabic"/>
          <w:noProof w:val="0"/>
          <w:color w:val="auto"/>
          <w:rtl/>
          <w:lang w:eastAsia="en-US"/>
        </w:rPr>
        <w:t>ل</w:t>
      </w:r>
      <w:r w:rsidRPr="00C821A1">
        <w:rPr>
          <w:rStyle w:val="af1"/>
          <w:szCs w:val="32"/>
          <w:rtl/>
        </w:rPr>
        <w:t>(</w:t>
      </w:r>
      <w:r w:rsidRPr="00C821A1">
        <w:rPr>
          <w:rStyle w:val="af1"/>
          <w:szCs w:val="32"/>
          <w:rtl/>
        </w:rPr>
        <w:footnoteReference w:id="1674"/>
      </w:r>
      <w:r w:rsidRPr="00C821A1">
        <w:rPr>
          <w:rStyle w:val="af1"/>
          <w:szCs w:val="32"/>
          <w:rtl/>
        </w:rPr>
        <w:t>)</w:t>
      </w:r>
      <w:r>
        <w:rPr>
          <w:rFonts w:ascii="Traditional Arabic" w:hAnsi="Traditional Arabic"/>
          <w:noProof w:val="0"/>
          <w:color w:val="auto"/>
          <w:rtl/>
          <w:lang w:eastAsia="en-US"/>
        </w:rPr>
        <w:t>، فالقول قول الجاعل</w:t>
      </w:r>
      <w:r w:rsidRPr="00D04484">
        <w:rPr>
          <w:rFonts w:ascii="Traditional Arabic" w:hAnsi="Traditional Arabic"/>
          <w:noProof w:val="0"/>
          <w:color w:val="auto"/>
          <w:rtl/>
          <w:lang w:eastAsia="en-US"/>
        </w:rPr>
        <w:t>، ف</w:t>
      </w:r>
      <w:r>
        <w:rPr>
          <w:rFonts w:ascii="Traditional Arabic" w:hAnsi="Traditional Arabic" w:hint="cs"/>
          <w:noProof w:val="0"/>
          <w:color w:val="auto"/>
          <w:rtl/>
          <w:lang w:eastAsia="en-US"/>
        </w:rPr>
        <w:t xml:space="preserve">لو </w:t>
      </w:r>
      <w:r w:rsidRPr="00D04484">
        <w:rPr>
          <w:rFonts w:ascii="Traditional Arabic" w:hAnsi="Traditional Arabic"/>
          <w:noProof w:val="0"/>
          <w:color w:val="auto"/>
          <w:rtl/>
          <w:lang w:eastAsia="en-US"/>
        </w:rPr>
        <w:t>قال الجاعل: القدر مائة، وقال العامل: القدر مائتان</w:t>
      </w:r>
      <w:r>
        <w:rPr>
          <w:rFonts w:ascii="Traditional Arabic" w:hAnsi="Traditional Arabic" w:hint="cs"/>
          <w:noProof w:val="0"/>
          <w:color w:val="auto"/>
          <w:rtl/>
          <w:lang w:eastAsia="en-US"/>
        </w:rPr>
        <w:t>،</w:t>
      </w:r>
      <w:r w:rsidRPr="00D04484">
        <w:rPr>
          <w:rFonts w:ascii="Traditional Arabic" w:hAnsi="Traditional Arabic"/>
          <w:noProof w:val="0"/>
          <w:color w:val="auto"/>
          <w:rtl/>
          <w:lang w:eastAsia="en-US"/>
        </w:rPr>
        <w:t xml:space="preserve"> فالقول قول الجاعل؛ لأنه غارم</w:t>
      </w:r>
      <w:r w:rsidRPr="00C821A1">
        <w:rPr>
          <w:rStyle w:val="af1"/>
          <w:szCs w:val="32"/>
          <w:rtl/>
        </w:rPr>
        <w:t>(</w:t>
      </w:r>
      <w:r w:rsidRPr="00C821A1">
        <w:rPr>
          <w:rStyle w:val="af1"/>
          <w:szCs w:val="32"/>
          <w:rtl/>
        </w:rPr>
        <w:footnoteReference w:id="1675"/>
      </w:r>
      <w:r w:rsidRPr="00C821A1">
        <w:rPr>
          <w:rStyle w:val="af1"/>
          <w:szCs w:val="32"/>
          <w:rtl/>
        </w:rPr>
        <w:t>)</w:t>
      </w:r>
      <w:r>
        <w:rPr>
          <w:rFonts w:ascii="Traditional Arabic" w:hAnsi="Traditional Arabic" w:hint="cs"/>
          <w:noProof w:val="0"/>
          <w:color w:val="auto"/>
          <w:rtl/>
          <w:lang w:eastAsia="en-US"/>
        </w:rPr>
        <w:t>.</w:t>
      </w:r>
    </w:p>
    <w:p w:rsidR="004D2319" w:rsidRDefault="004D2319" w:rsidP="00597C20">
      <w:pPr>
        <w:pStyle w:val="53"/>
        <w:rPr>
          <w:rtl/>
        </w:rPr>
      </w:pPr>
      <w:r>
        <w:rPr>
          <w:rFonts w:hint="cs"/>
          <w:rtl/>
        </w:rPr>
        <w:t>وجه اندراج الفرع تحت القاعدة:</w:t>
      </w:r>
    </w:p>
    <w:p w:rsidR="00F228A9" w:rsidRDefault="004D2319" w:rsidP="00597C20">
      <w:pPr>
        <w:widowControl/>
        <w:autoSpaceDE w:val="0"/>
        <w:autoSpaceDN w:val="0"/>
        <w:adjustRightInd w:val="0"/>
        <w:ind w:firstLine="720"/>
        <w:jc w:val="left"/>
        <w:rPr>
          <w:rFonts w:ascii="Traditional Arabic" w:hAnsi="Traditional Arabic"/>
          <w:noProof w:val="0"/>
          <w:color w:val="auto"/>
          <w:rtl/>
          <w:lang w:eastAsia="en-US"/>
        </w:rPr>
      </w:pPr>
      <w:r w:rsidRPr="00D04484">
        <w:rPr>
          <w:rFonts w:ascii="Traditional Arabic" w:hAnsi="Traditional Arabic" w:hint="cs"/>
          <w:noProof w:val="0"/>
          <w:color w:val="auto"/>
          <w:rtl/>
          <w:lang w:eastAsia="en-US"/>
        </w:rPr>
        <w:t>إنما كان القول قول الجاعل؛ لأنه غارم والقاعدة أن كل غارم فالقول قوله.</w:t>
      </w:r>
    </w:p>
    <w:p w:rsidR="00602B85" w:rsidRPr="00C85F0F" w:rsidRDefault="004D2319" w:rsidP="000F5C0F">
      <w:pPr>
        <w:pStyle w:val="aff2"/>
        <w:rPr>
          <w:rtl/>
        </w:rPr>
      </w:pPr>
      <w:bookmarkStart w:id="340" w:name="_Toc334046547"/>
      <w:r w:rsidRPr="004D2319">
        <w:rPr>
          <w:rFonts w:ascii="Traditional Arabic" w:hAnsi="Traditional Arabic" w:hint="cs"/>
          <w:rtl/>
        </w:rPr>
        <w:lastRenderedPageBreak/>
        <w:t>المبحث الثاني</w:t>
      </w:r>
      <w:r w:rsidR="00D816CC">
        <w:rPr>
          <w:rFonts w:ascii="Traditional Arabic" w:hAnsi="Traditional Arabic" w:hint="eastAsia"/>
          <w:rtl/>
        </w:rPr>
        <w:t> </w:t>
      </w:r>
      <w:r w:rsidRPr="004D2319">
        <w:rPr>
          <w:rFonts w:ascii="Traditional Arabic" w:hAnsi="Traditional Arabic" w:hint="cs"/>
          <w:rtl/>
        </w:rPr>
        <w:t>:</w:t>
      </w:r>
      <w:r w:rsidRPr="004D2319">
        <w:rPr>
          <w:rFonts w:ascii="Traditional Arabic" w:hAnsi="Traditional Arabic"/>
          <w:rtl/>
        </w:rPr>
        <w:br/>
      </w:r>
      <w:r w:rsidRPr="004D2319">
        <w:rPr>
          <w:rFonts w:ascii="Traditional Arabic" w:hAnsi="Traditional Arabic" w:hint="cs"/>
          <w:rtl/>
        </w:rPr>
        <w:t>قاعدة</w:t>
      </w:r>
      <w:r w:rsidRPr="004D2319">
        <w:rPr>
          <w:rFonts w:ascii="Traditional Arabic" w:hAnsi="Traditional Arabic"/>
          <w:rtl/>
        </w:rPr>
        <w:br/>
      </w:r>
      <w:r w:rsidR="00602B85">
        <w:rPr>
          <w:rFonts w:hint="cs"/>
          <w:rtl/>
        </w:rPr>
        <w:t>"</w:t>
      </w:r>
      <w:r w:rsidR="00602B85" w:rsidRPr="006B0C7A">
        <w:rPr>
          <w:rFonts w:hint="cs"/>
          <w:rtl/>
        </w:rPr>
        <w:t xml:space="preserve">كل </w:t>
      </w:r>
      <w:r w:rsidR="00DB450C">
        <w:rPr>
          <w:rFonts w:hint="cs"/>
          <w:rtl/>
        </w:rPr>
        <w:t>إنسان أمين يقبل قوله فيما ائتمن فيه</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كلإنسانأمينفإنهيُقبلقولهفيماائتُمنفيه</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602B85" w:rsidRPr="00C85F0F">
        <w:rPr>
          <w:rFonts w:hint="cs"/>
          <w:rtl/>
        </w:rPr>
        <w:t>"</w:t>
      </w:r>
      <w:r w:rsidR="00602B85" w:rsidRPr="00C85F0F">
        <w:rPr>
          <w:rStyle w:val="af1"/>
          <w:b w:val="0"/>
          <w:bCs w:val="0"/>
          <w:szCs w:val="32"/>
          <w:rtl/>
        </w:rPr>
        <w:t>(</w:t>
      </w:r>
      <w:r w:rsidR="00602B85" w:rsidRPr="00C85F0F">
        <w:rPr>
          <w:rStyle w:val="af1"/>
          <w:b w:val="0"/>
          <w:bCs w:val="0"/>
          <w:szCs w:val="32"/>
          <w:rtl/>
        </w:rPr>
        <w:footnoteReference w:id="1676"/>
      </w:r>
      <w:r w:rsidR="00602B85" w:rsidRPr="00C85F0F">
        <w:rPr>
          <w:rStyle w:val="af1"/>
          <w:b w:val="0"/>
          <w:bCs w:val="0"/>
          <w:szCs w:val="32"/>
          <w:rtl/>
        </w:rPr>
        <w:t>)</w:t>
      </w:r>
      <w:bookmarkEnd w:id="340"/>
    </w:p>
    <w:p w:rsidR="00065E4B" w:rsidRPr="00C85F0F" w:rsidRDefault="00E77E3B" w:rsidP="00A8347C">
      <w:pPr>
        <w:pStyle w:val="aff3"/>
        <w:rPr>
          <w:rtl/>
        </w:rPr>
      </w:pPr>
      <w:bookmarkStart w:id="341" w:name="_Toc334046548"/>
      <w:r>
        <w:rPr>
          <w:rFonts w:hint="cs"/>
          <w:rtl/>
        </w:rPr>
        <w:t xml:space="preserve">                                         المطلب</w:t>
      </w:r>
      <w:r w:rsidR="00413B63">
        <w:rPr>
          <w:rFonts w:hint="cs"/>
          <w:rtl/>
        </w:rPr>
        <w:t xml:space="preserve"> </w:t>
      </w:r>
      <w:r w:rsidR="00602B85" w:rsidRPr="00C85F0F">
        <w:rPr>
          <w:rFonts w:hint="cs"/>
          <w:rtl/>
        </w:rPr>
        <w:t>الأول</w:t>
      </w:r>
      <w:r w:rsidR="00602B85" w:rsidRPr="00C85F0F">
        <w:rPr>
          <w:rFonts w:hint="eastAsia"/>
          <w:rtl/>
        </w:rPr>
        <w:t> :</w:t>
      </w:r>
      <w:r w:rsidR="00602B85" w:rsidRPr="00C85F0F">
        <w:rPr>
          <w:rFonts w:hint="cs"/>
          <w:rtl/>
        </w:rPr>
        <w:br/>
      </w:r>
      <w:r>
        <w:rPr>
          <w:rFonts w:hint="cs"/>
          <w:rtl/>
        </w:rPr>
        <w:t xml:space="preserve">                     </w:t>
      </w:r>
      <w:r w:rsidR="006254F0">
        <w:rPr>
          <w:rFonts w:hint="cs"/>
          <w:rtl/>
        </w:rPr>
        <w:t xml:space="preserve"> </w:t>
      </w:r>
      <w:r>
        <w:rPr>
          <w:rFonts w:hint="cs"/>
          <w:rtl/>
        </w:rPr>
        <w:t xml:space="preserve"> </w:t>
      </w:r>
      <w:r w:rsidR="00602B85" w:rsidRPr="00C85F0F">
        <w:rPr>
          <w:rFonts w:hint="cs"/>
          <w:rtl/>
        </w:rPr>
        <w:t>صيغة القاعدة عند الشيخ وعند علماء القواعد</w:t>
      </w:r>
      <w:bookmarkEnd w:id="341"/>
    </w:p>
    <w:p w:rsidR="00602B85" w:rsidRPr="00C85F0F" w:rsidRDefault="00065E4B" w:rsidP="00597C20">
      <w:pPr>
        <w:ind w:firstLine="0"/>
        <w:rPr>
          <w:rtl/>
        </w:rPr>
      </w:pPr>
      <w:r w:rsidRPr="00C85F0F">
        <w:rPr>
          <w:rFonts w:hint="cs"/>
          <w:rtl/>
        </w:rPr>
        <w:t>و</w:t>
      </w:r>
      <w:r w:rsidR="00602B85" w:rsidRPr="00C85F0F">
        <w:rPr>
          <w:rFonts w:hint="cs"/>
          <w:rtl/>
        </w:rPr>
        <w:t xml:space="preserve">ردت هذه القاعدة عند الشيخ ابن عثيمين </w:t>
      </w:r>
      <w:r w:rsidR="00413B63">
        <w:rPr>
          <w:rFonts w:hint="cs"/>
          <w:rtl/>
        </w:rPr>
        <w:t>_</w:t>
      </w:r>
      <w:r w:rsidR="009A0575" w:rsidRPr="005D5694">
        <w:rPr>
          <w:rFonts w:ascii="Traditional Arabic" w:hAnsi="Traditional Arabic" w:cs="CTraditional Arabic" w:hint="cs"/>
          <w:rtl/>
        </w:rPr>
        <w:t>/</w:t>
      </w:r>
      <w:r w:rsidR="00413B63">
        <w:rPr>
          <w:rFonts w:hint="cs"/>
          <w:rtl/>
        </w:rPr>
        <w:t>_</w:t>
      </w:r>
      <w:r w:rsidR="00602B85" w:rsidRPr="00C85F0F">
        <w:rPr>
          <w:rFonts w:hint="cs"/>
          <w:rtl/>
        </w:rPr>
        <w:t xml:space="preserve"> بعدة صيغ، منها:</w:t>
      </w:r>
    </w:p>
    <w:p w:rsidR="00602B85" w:rsidRPr="00C85F0F" w:rsidRDefault="00602B85" w:rsidP="000A76C7">
      <w:pPr>
        <w:numPr>
          <w:ilvl w:val="0"/>
          <w:numId w:val="228"/>
        </w:numPr>
      </w:pPr>
      <w:r w:rsidRPr="00C85F0F">
        <w:rPr>
          <w:rFonts w:hint="cs"/>
          <w:rtl/>
        </w:rPr>
        <w:t>كل أمين يدَّعي الردَّ قُبل</w:t>
      </w:r>
      <w:r w:rsidRPr="00C85F0F">
        <w:rPr>
          <w:rStyle w:val="af1"/>
          <w:szCs w:val="32"/>
          <w:rtl/>
        </w:rPr>
        <w:t>(</w:t>
      </w:r>
      <w:r w:rsidRPr="00C85F0F">
        <w:rPr>
          <w:rStyle w:val="af1"/>
          <w:szCs w:val="32"/>
          <w:rtl/>
        </w:rPr>
        <w:footnoteReference w:id="1677"/>
      </w:r>
      <w:r w:rsidRPr="00C85F0F">
        <w:rPr>
          <w:rStyle w:val="af1"/>
          <w:szCs w:val="32"/>
          <w:rtl/>
        </w:rPr>
        <w:t>)</w:t>
      </w:r>
      <w:r w:rsidRPr="00C85F0F">
        <w:rPr>
          <w:rFonts w:hint="cs"/>
          <w:rtl/>
        </w:rPr>
        <w:t>.</w:t>
      </w:r>
    </w:p>
    <w:p w:rsidR="00602B85" w:rsidRPr="00C85F0F" w:rsidRDefault="00DB450C" w:rsidP="000A76C7">
      <w:pPr>
        <w:numPr>
          <w:ilvl w:val="0"/>
          <w:numId w:val="228"/>
        </w:numPr>
      </w:pPr>
      <w:r>
        <w:rPr>
          <w:rFonts w:hint="cs"/>
          <w:rtl/>
        </w:rPr>
        <w:t>كل إنسان أمين</w:t>
      </w:r>
      <w:r w:rsidR="00602B85" w:rsidRPr="00C85F0F">
        <w:rPr>
          <w:rFonts w:hint="cs"/>
          <w:rtl/>
        </w:rPr>
        <w:t xml:space="preserve"> يُقبل قوله فيما ائتُمن فيه</w:t>
      </w:r>
      <w:r w:rsidR="00602B85" w:rsidRPr="00C85F0F">
        <w:rPr>
          <w:rStyle w:val="af1"/>
          <w:szCs w:val="32"/>
          <w:rtl/>
        </w:rPr>
        <w:t>(</w:t>
      </w:r>
      <w:r w:rsidR="00602B85" w:rsidRPr="00C85F0F">
        <w:rPr>
          <w:rStyle w:val="af1"/>
          <w:szCs w:val="32"/>
          <w:rtl/>
        </w:rPr>
        <w:footnoteReference w:id="1678"/>
      </w:r>
      <w:r w:rsidR="00602B85" w:rsidRPr="00C85F0F">
        <w:rPr>
          <w:rStyle w:val="af1"/>
          <w:szCs w:val="32"/>
          <w:rtl/>
        </w:rPr>
        <w:t>)</w:t>
      </w:r>
      <w:r w:rsidR="00602B85" w:rsidRPr="00C85F0F">
        <w:rPr>
          <w:rFonts w:hint="cs"/>
          <w:rtl/>
        </w:rPr>
        <w:t>.</w:t>
      </w:r>
    </w:p>
    <w:p w:rsidR="00602B85" w:rsidRPr="00C85F0F" w:rsidRDefault="00602B85" w:rsidP="000A76C7">
      <w:pPr>
        <w:numPr>
          <w:ilvl w:val="0"/>
          <w:numId w:val="228"/>
        </w:numPr>
        <w:rPr>
          <w:color w:val="auto"/>
        </w:rPr>
      </w:pPr>
      <w:r w:rsidRPr="00C85F0F">
        <w:rPr>
          <w:rFonts w:ascii="Traditional Arabic" w:hAnsi="Traditional Arabic"/>
          <w:noProof w:val="0"/>
          <w:color w:val="auto"/>
          <w:rtl/>
          <w:lang w:eastAsia="en-US"/>
        </w:rPr>
        <w:t>الأمين يقبل قوله فيما أ</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نفقه على ما ائتمن فيه</w:t>
      </w:r>
      <w:r w:rsidRPr="00C85F0F">
        <w:rPr>
          <w:rStyle w:val="af1"/>
          <w:szCs w:val="32"/>
          <w:rtl/>
        </w:rPr>
        <w:t>(</w:t>
      </w:r>
      <w:r w:rsidRPr="00C85F0F">
        <w:rPr>
          <w:rStyle w:val="af1"/>
          <w:szCs w:val="32"/>
          <w:rtl/>
        </w:rPr>
        <w:footnoteReference w:id="1679"/>
      </w:r>
      <w:r w:rsidRPr="00C85F0F">
        <w:rPr>
          <w:rStyle w:val="af1"/>
          <w:szCs w:val="32"/>
          <w:rtl/>
        </w:rPr>
        <w:t>)</w:t>
      </w:r>
      <w:r w:rsidRPr="00C85F0F">
        <w:rPr>
          <w:rFonts w:ascii="Traditional Arabic" w:hAnsi="Traditional Arabic"/>
          <w:noProof w:val="0"/>
          <w:color w:val="auto"/>
          <w:rtl/>
          <w:lang w:eastAsia="en-US"/>
        </w:rPr>
        <w:t>.</w:t>
      </w:r>
    </w:p>
    <w:p w:rsidR="00602B85" w:rsidRPr="00C85F0F" w:rsidRDefault="00602B85" w:rsidP="000A76C7">
      <w:pPr>
        <w:numPr>
          <w:ilvl w:val="0"/>
          <w:numId w:val="228"/>
        </w:numPr>
        <w:rPr>
          <w:color w:val="auto"/>
        </w:rPr>
      </w:pPr>
      <w:r w:rsidRPr="00C85F0F">
        <w:rPr>
          <w:rFonts w:ascii="Traditional Arabic" w:hAnsi="Traditional Arabic" w:hint="cs"/>
          <w:noProof w:val="0"/>
          <w:color w:val="auto"/>
          <w:rtl/>
          <w:lang w:eastAsia="en-US"/>
        </w:rPr>
        <w:t>كل أمين إذا ادعى التلف فإنه يقبل قوله بيمينه</w:t>
      </w:r>
      <w:r w:rsidRPr="00C85F0F">
        <w:rPr>
          <w:rStyle w:val="af1"/>
          <w:szCs w:val="32"/>
          <w:rtl/>
        </w:rPr>
        <w:t>(</w:t>
      </w:r>
      <w:r w:rsidRPr="00C85F0F">
        <w:rPr>
          <w:rStyle w:val="af1"/>
          <w:szCs w:val="32"/>
          <w:rtl/>
        </w:rPr>
        <w:footnoteReference w:id="1680"/>
      </w:r>
      <w:r w:rsidRPr="00C85F0F">
        <w:rPr>
          <w:rStyle w:val="af1"/>
          <w:szCs w:val="32"/>
          <w:rtl/>
        </w:rPr>
        <w:t>)</w:t>
      </w:r>
      <w:r w:rsidRPr="00C85F0F">
        <w:rPr>
          <w:rFonts w:ascii="Traditional Arabic" w:hAnsi="Traditional Arabic" w:hint="cs"/>
          <w:noProof w:val="0"/>
          <w:color w:val="auto"/>
          <w:rtl/>
          <w:lang w:eastAsia="en-US"/>
        </w:rPr>
        <w:t>.</w:t>
      </w:r>
    </w:p>
    <w:p w:rsidR="00602B85" w:rsidRPr="00C85F0F" w:rsidRDefault="00602B85" w:rsidP="000A76C7">
      <w:pPr>
        <w:numPr>
          <w:ilvl w:val="0"/>
          <w:numId w:val="228"/>
        </w:numPr>
        <w:rPr>
          <w:color w:val="auto"/>
        </w:rPr>
      </w:pPr>
      <w:r w:rsidRPr="00C85F0F">
        <w:rPr>
          <w:rFonts w:hint="cs"/>
          <w:color w:val="auto"/>
          <w:rtl/>
        </w:rPr>
        <w:t xml:space="preserve">كل </w:t>
      </w:r>
      <w:r w:rsidR="00413B63">
        <w:rPr>
          <w:rFonts w:hint="cs"/>
          <w:color w:val="auto"/>
          <w:rtl/>
        </w:rPr>
        <w:t xml:space="preserve"> </w:t>
      </w:r>
      <w:r w:rsidRPr="00C85F0F">
        <w:rPr>
          <w:rFonts w:hint="cs"/>
          <w:color w:val="auto"/>
          <w:rtl/>
        </w:rPr>
        <w:t xml:space="preserve">أمين </w:t>
      </w:r>
      <w:r w:rsidR="00413B63">
        <w:rPr>
          <w:rFonts w:hint="cs"/>
          <w:color w:val="auto"/>
          <w:rtl/>
        </w:rPr>
        <w:t xml:space="preserve"> </w:t>
      </w:r>
      <w:r w:rsidRPr="00C85F0F">
        <w:rPr>
          <w:rFonts w:hint="cs"/>
          <w:color w:val="auto"/>
          <w:rtl/>
        </w:rPr>
        <w:t xml:space="preserve">يدَّعي </w:t>
      </w:r>
      <w:r w:rsidR="00413B63">
        <w:rPr>
          <w:rFonts w:hint="cs"/>
          <w:color w:val="auto"/>
          <w:rtl/>
        </w:rPr>
        <w:t xml:space="preserve"> </w:t>
      </w:r>
      <w:r w:rsidRPr="00C85F0F">
        <w:rPr>
          <w:rFonts w:hint="cs"/>
          <w:color w:val="auto"/>
          <w:rtl/>
        </w:rPr>
        <w:t xml:space="preserve">الردَّ </w:t>
      </w:r>
      <w:r w:rsidR="00413B63">
        <w:rPr>
          <w:rFonts w:hint="cs"/>
          <w:color w:val="auto"/>
          <w:rtl/>
        </w:rPr>
        <w:t xml:space="preserve">   </w:t>
      </w:r>
      <w:r w:rsidRPr="00C85F0F">
        <w:rPr>
          <w:rFonts w:hint="cs"/>
          <w:color w:val="auto"/>
          <w:rtl/>
        </w:rPr>
        <w:t>قُبِلْ</w:t>
      </w:r>
      <w:r w:rsidR="00413B63">
        <w:rPr>
          <w:rFonts w:hint="cs"/>
          <w:color w:val="auto"/>
          <w:rtl/>
        </w:rPr>
        <w:t xml:space="preserve">          </w:t>
      </w:r>
      <w:r w:rsidRPr="00C85F0F">
        <w:rPr>
          <w:rFonts w:hint="cs"/>
          <w:color w:val="auto"/>
          <w:rtl/>
        </w:rPr>
        <w:t>ما لم يكن فيما له حظٌّ حَصَلْ</w:t>
      </w:r>
    </w:p>
    <w:p w:rsidR="00602B85" w:rsidRPr="00C85F0F" w:rsidRDefault="00602B85" w:rsidP="00597C20">
      <w:pPr>
        <w:ind w:left="1066" w:firstLine="0"/>
        <w:rPr>
          <w:color w:val="auto"/>
          <w:rtl/>
        </w:rPr>
      </w:pPr>
      <w:r w:rsidRPr="00C85F0F">
        <w:rPr>
          <w:rFonts w:hint="cs"/>
          <w:color w:val="auto"/>
          <w:rtl/>
        </w:rPr>
        <w:t>وأَطْلِقِ القبولَ في دعوى التلَفْ</w:t>
      </w:r>
      <w:r w:rsidR="00413B63">
        <w:rPr>
          <w:rFonts w:hint="cs"/>
          <w:color w:val="auto"/>
          <w:rtl/>
        </w:rPr>
        <w:t xml:space="preserve">          </w:t>
      </w:r>
      <w:r w:rsidRPr="00C85F0F">
        <w:rPr>
          <w:rFonts w:hint="cs"/>
          <w:color w:val="auto"/>
          <w:rtl/>
        </w:rPr>
        <w:t xml:space="preserve">وكلُّ </w:t>
      </w:r>
      <w:r w:rsidR="00413B63">
        <w:rPr>
          <w:rFonts w:hint="cs"/>
          <w:color w:val="auto"/>
          <w:rtl/>
        </w:rPr>
        <w:t xml:space="preserve"> </w:t>
      </w:r>
      <w:r w:rsidRPr="00C85F0F">
        <w:rPr>
          <w:rFonts w:hint="cs"/>
          <w:color w:val="auto"/>
          <w:rtl/>
        </w:rPr>
        <w:t xml:space="preserve">مَن </w:t>
      </w:r>
      <w:r w:rsidR="00413B63">
        <w:rPr>
          <w:rFonts w:hint="cs"/>
          <w:color w:val="auto"/>
          <w:rtl/>
        </w:rPr>
        <w:t xml:space="preserve"> </w:t>
      </w:r>
      <w:r w:rsidRPr="00C85F0F">
        <w:rPr>
          <w:rFonts w:hint="cs"/>
          <w:color w:val="auto"/>
          <w:rtl/>
        </w:rPr>
        <w:t xml:space="preserve">يُقبل </w:t>
      </w:r>
      <w:r w:rsidR="00413B63">
        <w:rPr>
          <w:rFonts w:hint="cs"/>
          <w:color w:val="auto"/>
          <w:rtl/>
        </w:rPr>
        <w:t xml:space="preserve"> </w:t>
      </w:r>
      <w:r w:rsidRPr="00C85F0F">
        <w:rPr>
          <w:rFonts w:hint="cs"/>
          <w:color w:val="auto"/>
          <w:rtl/>
        </w:rPr>
        <w:t xml:space="preserve">قوله </w:t>
      </w:r>
      <w:r w:rsidR="00413B63">
        <w:rPr>
          <w:rFonts w:hint="cs"/>
          <w:color w:val="auto"/>
          <w:rtl/>
        </w:rPr>
        <w:t xml:space="preserve"> </w:t>
      </w:r>
      <w:r w:rsidRPr="00C85F0F">
        <w:rPr>
          <w:rFonts w:hint="cs"/>
          <w:color w:val="auto"/>
          <w:rtl/>
        </w:rPr>
        <w:t>حَلَفْ</w:t>
      </w:r>
      <w:r w:rsidRPr="00C85F0F">
        <w:rPr>
          <w:rStyle w:val="af1"/>
          <w:szCs w:val="32"/>
          <w:rtl/>
        </w:rPr>
        <w:t>(</w:t>
      </w:r>
      <w:r w:rsidRPr="00C85F0F">
        <w:rPr>
          <w:rStyle w:val="af1"/>
          <w:szCs w:val="32"/>
          <w:rtl/>
        </w:rPr>
        <w:footnoteReference w:id="1681"/>
      </w:r>
      <w:r w:rsidRPr="00C85F0F">
        <w:rPr>
          <w:rStyle w:val="af1"/>
          <w:szCs w:val="32"/>
          <w:rtl/>
        </w:rPr>
        <w:t>)</w:t>
      </w:r>
      <w:r w:rsidRPr="00C85F0F">
        <w:rPr>
          <w:rFonts w:hint="cs"/>
          <w:color w:val="auto"/>
          <w:rtl/>
        </w:rPr>
        <w:t>.</w:t>
      </w:r>
    </w:p>
    <w:p w:rsidR="00065E4B" w:rsidRPr="00C85F0F" w:rsidRDefault="00602B85" w:rsidP="000A76C7">
      <w:pPr>
        <w:pStyle w:val="afc"/>
        <w:numPr>
          <w:ilvl w:val="0"/>
          <w:numId w:val="230"/>
        </w:numPr>
        <w:rPr>
          <w:color w:val="auto"/>
        </w:rPr>
      </w:pPr>
      <w:r w:rsidRPr="00C85F0F">
        <w:rPr>
          <w:rFonts w:hint="cs"/>
          <w:color w:val="auto"/>
          <w:rtl/>
        </w:rPr>
        <w:t>كل أمين فقوله مقبول في التلف</w:t>
      </w:r>
      <w:r w:rsidRPr="00C85F0F">
        <w:rPr>
          <w:rStyle w:val="af1"/>
          <w:szCs w:val="32"/>
          <w:rtl/>
        </w:rPr>
        <w:t>(</w:t>
      </w:r>
      <w:r w:rsidRPr="00C85F0F">
        <w:rPr>
          <w:rStyle w:val="af1"/>
          <w:szCs w:val="32"/>
          <w:rtl/>
        </w:rPr>
        <w:footnoteReference w:id="1682"/>
      </w:r>
      <w:r w:rsidRPr="00C85F0F">
        <w:rPr>
          <w:rStyle w:val="af1"/>
          <w:szCs w:val="32"/>
          <w:rtl/>
        </w:rPr>
        <w:t>)</w:t>
      </w:r>
      <w:r w:rsidRPr="00C85F0F">
        <w:rPr>
          <w:rFonts w:hint="cs"/>
          <w:color w:val="auto"/>
          <w:rtl/>
        </w:rPr>
        <w:t>.</w:t>
      </w:r>
    </w:p>
    <w:p w:rsidR="00602B85" w:rsidRPr="00C85F0F" w:rsidRDefault="00065E4B" w:rsidP="00597C20">
      <w:pPr>
        <w:ind w:firstLine="0"/>
        <w:rPr>
          <w:color w:val="auto"/>
          <w:rtl/>
        </w:rPr>
      </w:pPr>
      <w:r w:rsidRPr="00C85F0F">
        <w:rPr>
          <w:rFonts w:hint="cs"/>
          <w:color w:val="auto"/>
          <w:rtl/>
        </w:rPr>
        <w:lastRenderedPageBreak/>
        <w:t>و</w:t>
      </w:r>
      <w:r w:rsidR="00602B85" w:rsidRPr="00C85F0F">
        <w:rPr>
          <w:rFonts w:hint="cs"/>
          <w:color w:val="auto"/>
          <w:rtl/>
        </w:rPr>
        <w:t>مما وردت به هذه القاعدة عند علماء القواعد من الصيغ:</w:t>
      </w:r>
    </w:p>
    <w:p w:rsidR="00602B85" w:rsidRPr="00C85F0F" w:rsidRDefault="00602B85" w:rsidP="000A76C7">
      <w:pPr>
        <w:pStyle w:val="afc"/>
        <w:numPr>
          <w:ilvl w:val="0"/>
          <w:numId w:val="230"/>
        </w:numPr>
        <w:rPr>
          <w:color w:val="auto"/>
          <w:rtl/>
        </w:rPr>
      </w:pPr>
      <w:r w:rsidRPr="00C85F0F">
        <w:rPr>
          <w:rFonts w:ascii="Traditional Arabic" w:hAnsi="Traditional Arabic"/>
          <w:noProof w:val="0"/>
          <w:color w:val="auto"/>
          <w:rtl/>
          <w:lang w:eastAsia="en-US"/>
        </w:rPr>
        <w:t>كل أمين فالقول قول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في الرد على من ائتمنه</w:t>
      </w:r>
      <w:r w:rsidRPr="00C85F0F">
        <w:rPr>
          <w:rStyle w:val="af1"/>
          <w:szCs w:val="32"/>
          <w:rtl/>
        </w:rPr>
        <w:t>(</w:t>
      </w:r>
      <w:r w:rsidRPr="00C85F0F">
        <w:rPr>
          <w:rStyle w:val="af1"/>
          <w:szCs w:val="32"/>
          <w:rtl/>
        </w:rPr>
        <w:footnoteReference w:id="1683"/>
      </w:r>
      <w:r w:rsidRPr="00C85F0F">
        <w:rPr>
          <w:rStyle w:val="af1"/>
          <w:szCs w:val="32"/>
          <w:rtl/>
        </w:rPr>
        <w:t>)</w:t>
      </w:r>
      <w:r w:rsidRPr="00C85F0F">
        <w:rPr>
          <w:rFonts w:hint="cs"/>
          <w:color w:val="auto"/>
          <w:rtl/>
        </w:rPr>
        <w:t>.</w:t>
      </w:r>
    </w:p>
    <w:p w:rsidR="00602B85" w:rsidRPr="00C85F0F" w:rsidRDefault="00602B85" w:rsidP="000A76C7">
      <w:pPr>
        <w:pStyle w:val="afc"/>
        <w:numPr>
          <w:ilvl w:val="0"/>
          <w:numId w:val="229"/>
        </w:numPr>
        <w:rPr>
          <w:color w:val="auto"/>
        </w:rPr>
      </w:pPr>
      <w:r w:rsidRPr="00C85F0F">
        <w:rPr>
          <w:rFonts w:hint="cs"/>
          <w:color w:val="auto"/>
          <w:rtl/>
        </w:rPr>
        <w:t>القاعدة الرابعة والأربعون: في قبول قول الأُمَناء في الرد والتلَف</w:t>
      </w:r>
      <w:r w:rsidRPr="00C85F0F">
        <w:rPr>
          <w:rStyle w:val="af1"/>
          <w:szCs w:val="32"/>
          <w:rtl/>
        </w:rPr>
        <w:t>(</w:t>
      </w:r>
      <w:r w:rsidRPr="00C85F0F">
        <w:rPr>
          <w:rStyle w:val="af1"/>
          <w:szCs w:val="32"/>
          <w:rtl/>
        </w:rPr>
        <w:footnoteReference w:id="1684"/>
      </w:r>
      <w:r w:rsidRPr="00C85F0F">
        <w:rPr>
          <w:rStyle w:val="af1"/>
          <w:szCs w:val="32"/>
          <w:rtl/>
        </w:rPr>
        <w:t>)</w:t>
      </w:r>
      <w:r w:rsidRPr="00C85F0F">
        <w:rPr>
          <w:rFonts w:hint="cs"/>
          <w:color w:val="auto"/>
          <w:rtl/>
        </w:rPr>
        <w:t>.</w:t>
      </w:r>
    </w:p>
    <w:p w:rsidR="00602B85" w:rsidRPr="00C85F0F" w:rsidRDefault="00602B85" w:rsidP="000A76C7">
      <w:pPr>
        <w:pStyle w:val="afc"/>
        <w:numPr>
          <w:ilvl w:val="0"/>
          <w:numId w:val="229"/>
        </w:numPr>
        <w:rPr>
          <w:color w:val="auto"/>
        </w:rPr>
      </w:pPr>
      <w:r w:rsidRPr="00C85F0F">
        <w:rPr>
          <w:rFonts w:hint="cs"/>
          <w:color w:val="auto"/>
          <w:rtl/>
        </w:rPr>
        <w:t>يُقبل قول الأمناء في الذي تحت أيديهم من التصرُّفات والإتلاف وغيرها، إلا ما خالَف الحِسَّ والعادة</w:t>
      </w:r>
      <w:r w:rsidRPr="00C85F0F">
        <w:rPr>
          <w:rStyle w:val="af1"/>
          <w:szCs w:val="32"/>
          <w:rtl/>
        </w:rPr>
        <w:t>(</w:t>
      </w:r>
      <w:r w:rsidRPr="00C85F0F">
        <w:rPr>
          <w:rStyle w:val="af1"/>
          <w:szCs w:val="32"/>
          <w:rtl/>
        </w:rPr>
        <w:footnoteReference w:id="1685"/>
      </w:r>
      <w:r w:rsidRPr="00C85F0F">
        <w:rPr>
          <w:rStyle w:val="af1"/>
          <w:szCs w:val="32"/>
          <w:rtl/>
        </w:rPr>
        <w:t>)</w:t>
      </w:r>
      <w:r w:rsidRPr="00C85F0F">
        <w:rPr>
          <w:rFonts w:hint="cs"/>
          <w:color w:val="auto"/>
          <w:rtl/>
        </w:rPr>
        <w:t>.</w:t>
      </w:r>
    </w:p>
    <w:p w:rsidR="00065E4B" w:rsidRPr="00C85F0F" w:rsidRDefault="00184ADA" w:rsidP="00A8347C">
      <w:pPr>
        <w:pStyle w:val="aff3"/>
        <w:rPr>
          <w:rtl/>
        </w:rPr>
      </w:pPr>
      <w:bookmarkStart w:id="342" w:name="_Toc334046549"/>
      <w:r>
        <w:rPr>
          <w:rFonts w:hint="cs"/>
          <w:rtl/>
        </w:rPr>
        <w:t xml:space="preserve">                                          المطلب</w:t>
      </w:r>
      <w:r w:rsidR="00413B63">
        <w:rPr>
          <w:rFonts w:hint="cs"/>
          <w:rtl/>
        </w:rPr>
        <w:t xml:space="preserve"> </w:t>
      </w:r>
      <w:r w:rsidR="00602B85" w:rsidRPr="00C85F0F">
        <w:rPr>
          <w:rFonts w:hint="cs"/>
          <w:rtl/>
        </w:rPr>
        <w:t>الثاني</w:t>
      </w:r>
      <w:r w:rsidR="00602B85" w:rsidRPr="00C85F0F">
        <w:rPr>
          <w:rFonts w:hint="eastAsia"/>
          <w:rtl/>
        </w:rPr>
        <w:t> :</w:t>
      </w:r>
      <w:r w:rsidR="00602B85" w:rsidRPr="00C85F0F">
        <w:rPr>
          <w:rFonts w:hint="cs"/>
          <w:rtl/>
        </w:rPr>
        <w:br/>
      </w:r>
      <w:r>
        <w:rPr>
          <w:rFonts w:hint="cs"/>
          <w:rtl/>
        </w:rPr>
        <w:t xml:space="preserve">                                           </w:t>
      </w:r>
      <w:r w:rsidR="00602B85" w:rsidRPr="00C85F0F">
        <w:rPr>
          <w:rFonts w:hint="cs"/>
          <w:rtl/>
        </w:rPr>
        <w:t>شرح القاعدة</w:t>
      </w:r>
      <w:bookmarkEnd w:id="342"/>
    </w:p>
    <w:p w:rsidR="006E5B27" w:rsidRPr="009A2D7D" w:rsidRDefault="00065E4B" w:rsidP="00597C20">
      <w:pPr>
        <w:pStyle w:val="53"/>
        <w:rPr>
          <w:rtl/>
        </w:rPr>
      </w:pPr>
      <w:r w:rsidRPr="009A2D7D">
        <w:rPr>
          <w:rFonts w:hint="cs"/>
          <w:rtl/>
        </w:rPr>
        <w:t>ا</w:t>
      </w:r>
      <w:r w:rsidR="00602B85" w:rsidRPr="009A2D7D">
        <w:rPr>
          <w:rFonts w:hint="cs"/>
          <w:rtl/>
        </w:rPr>
        <w:t>لأمين</w:t>
      </w:r>
      <w:r w:rsidR="00AB0B9E">
        <w:rPr>
          <w:rtl/>
        </w:rPr>
        <w:fldChar w:fldCharType="begin"/>
      </w:r>
      <w:r w:rsidR="009A2D7D">
        <w:instrText xml:space="preserve"> XE "</w:instrText>
      </w:r>
      <w:r w:rsidR="009A2D7D" w:rsidRPr="009A2D7D">
        <w:rPr>
          <w:rFonts w:hint="cs"/>
          <w:b w:val="0"/>
          <w:bCs w:val="0"/>
          <w:rtl/>
        </w:rPr>
        <w:instrText>الأمين</w:instrText>
      </w:r>
      <w:r w:rsidR="009A2D7D">
        <w:instrText>" \fm</w:instrText>
      </w:r>
      <w:r w:rsidR="00AB0B9E">
        <w:rPr>
          <w:rtl/>
        </w:rPr>
        <w:fldChar w:fldCharType="end"/>
      </w:r>
      <w:r w:rsidR="00602B85" w:rsidRPr="009A2D7D">
        <w:rPr>
          <w:rFonts w:hint="cs"/>
          <w:rtl/>
        </w:rPr>
        <w:t xml:space="preserve"> لغة:</w:t>
      </w:r>
    </w:p>
    <w:p w:rsidR="00065E4B" w:rsidRPr="00C85F0F" w:rsidRDefault="00602B85" w:rsidP="00597C20">
      <w:pPr>
        <w:widowControl/>
        <w:autoSpaceDE w:val="0"/>
        <w:autoSpaceDN w:val="0"/>
        <w:adjustRightInd w:val="0"/>
        <w:ind w:firstLine="720"/>
        <w:jc w:val="left"/>
        <w:rPr>
          <w:rFonts w:ascii="Traditional Arabic" w:hAnsi="Traditional Arabic"/>
          <w:noProof w:val="0"/>
          <w:color w:val="auto"/>
          <w:rtl/>
          <w:lang w:eastAsia="en-US"/>
        </w:rPr>
      </w:pPr>
      <w:r w:rsidRPr="00C85F0F">
        <w:rPr>
          <w:rFonts w:ascii="Traditional Arabic" w:hAnsi="Traditional Arabic"/>
          <w:noProof w:val="0"/>
          <w:rtl/>
          <w:lang w:eastAsia="en-US"/>
        </w:rPr>
        <w:t>أم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ن </w:t>
      </w:r>
      <w:r w:rsidRPr="00C85F0F">
        <w:rPr>
          <w:rFonts w:ascii="Traditional Arabic" w:hAnsi="Traditional Arabic" w:hint="cs"/>
          <w:noProof w:val="0"/>
          <w:rtl/>
          <w:lang w:eastAsia="en-US"/>
        </w:rPr>
        <w:t>يَأمن</w:t>
      </w:r>
      <w:r w:rsidRPr="00C85F0F">
        <w:rPr>
          <w:rFonts w:ascii="Traditional Arabic" w:hAnsi="Traditional Arabic"/>
          <w:noProof w:val="0"/>
          <w:rtl/>
          <w:lang w:eastAsia="en-US"/>
        </w:rPr>
        <w:t xml:space="preserve"> أمانة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فهو أمين</w:t>
      </w:r>
      <w:r w:rsidRPr="00C85F0F">
        <w:rPr>
          <w:rStyle w:val="af1"/>
          <w:szCs w:val="32"/>
          <w:rtl/>
        </w:rPr>
        <w:t>(</w:t>
      </w:r>
      <w:r w:rsidRPr="00C85F0F">
        <w:rPr>
          <w:rStyle w:val="af1"/>
          <w:szCs w:val="32"/>
          <w:rtl/>
        </w:rPr>
        <w:footnoteReference w:id="1686"/>
      </w:r>
      <w:r w:rsidRPr="00C85F0F">
        <w:rPr>
          <w:rStyle w:val="af1"/>
          <w:szCs w:val="32"/>
          <w:rtl/>
        </w:rPr>
        <w:t>)</w:t>
      </w:r>
      <w:r w:rsidRPr="00C85F0F">
        <w:rPr>
          <w:rFonts w:ascii="Traditional Arabic" w:hAnsi="Traditional Arabic" w:hint="cs"/>
          <w:noProof w:val="0"/>
          <w:rtl/>
          <w:lang w:eastAsia="en-US"/>
        </w:rPr>
        <w:t>.</w:t>
      </w:r>
    </w:p>
    <w:p w:rsidR="00065E4B" w:rsidRPr="00C85F0F" w:rsidRDefault="00065E4B" w:rsidP="00597C20">
      <w:pPr>
        <w:ind w:firstLine="720"/>
        <w:rPr>
          <w:color w:val="auto"/>
          <w:rtl/>
        </w:rPr>
      </w:pPr>
      <w:r w:rsidRPr="00C85F0F">
        <w:rPr>
          <w:rFonts w:ascii="Traditional Arabic" w:hAnsi="Traditional Arabic" w:hint="cs"/>
          <w:noProof w:val="0"/>
          <w:rtl/>
          <w:lang w:eastAsia="en-US"/>
        </w:rPr>
        <w:t>ي</w:t>
      </w:r>
      <w:r w:rsidR="00602B85" w:rsidRPr="00C85F0F">
        <w:rPr>
          <w:rFonts w:ascii="Traditional Arabic" w:hAnsi="Traditional Arabic" w:hint="cs"/>
          <w:noProof w:val="0"/>
          <w:rtl/>
          <w:lang w:eastAsia="en-US"/>
        </w:rPr>
        <w:t xml:space="preserve">قول  ابن فارس </w:t>
      </w:r>
      <w:r w:rsidR="00413B63">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413B63">
        <w:rPr>
          <w:rFonts w:ascii="Traditional Arabic" w:hAnsi="Traditional Arabic" w:hint="cs"/>
          <w:noProof w:val="0"/>
          <w:rtl/>
          <w:lang w:eastAsia="en-US"/>
        </w:rPr>
        <w:t>_</w:t>
      </w:r>
      <w:r w:rsidR="00602B85" w:rsidRPr="00C85F0F">
        <w:rPr>
          <w:rFonts w:ascii="Traditional Arabic" w:hAnsi="Traditional Arabic" w:hint="cs"/>
          <w:noProof w:val="0"/>
          <w:rtl/>
          <w:lang w:eastAsia="en-US"/>
        </w:rPr>
        <w:t>:</w:t>
      </w:r>
      <w:r w:rsidR="00413B63">
        <w:rPr>
          <w:rFonts w:ascii="Traditional Arabic" w:hAnsi="Traditional Arabic" w:hint="cs"/>
          <w:noProof w:val="0"/>
          <w:rtl/>
          <w:lang w:eastAsia="en-US"/>
        </w:rPr>
        <w:t xml:space="preserve"> </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الهمزة والميم والنون أصلان متقاربان: أحدهما الأمانة التي هي ضد الخيانة، ومعناها سكون القلب، والآخر التصديق. والمعنيان كما قلنا م</w:t>
      </w:r>
      <w:r w:rsidR="00413B63">
        <w:rPr>
          <w:rFonts w:ascii="Traditional Arabic" w:hAnsi="Traditional Arabic" w:hint="cs"/>
          <w:noProof w:val="0"/>
          <w:rtl/>
          <w:lang w:eastAsia="en-US"/>
        </w:rPr>
        <w:t>ُ</w:t>
      </w:r>
      <w:r w:rsidR="00602B85" w:rsidRPr="00C85F0F">
        <w:rPr>
          <w:rFonts w:ascii="Traditional Arabic" w:hAnsi="Traditional Arabic"/>
          <w:noProof w:val="0"/>
          <w:rtl/>
          <w:lang w:eastAsia="en-US"/>
        </w:rPr>
        <w:t>تدان</w:t>
      </w:r>
      <w:r w:rsidR="00413B63">
        <w:rPr>
          <w:rFonts w:ascii="Traditional Arabic" w:hAnsi="Traditional Arabic" w:hint="cs"/>
          <w:noProof w:val="0"/>
          <w:rtl/>
          <w:lang w:eastAsia="en-US"/>
        </w:rPr>
        <w:t>ِ</w:t>
      </w:r>
      <w:r w:rsidR="00602B85" w:rsidRPr="00C85F0F">
        <w:rPr>
          <w:rFonts w:ascii="Traditional Arabic" w:hAnsi="Traditional Arabic"/>
          <w:noProof w:val="0"/>
          <w:rtl/>
          <w:lang w:eastAsia="en-US"/>
        </w:rPr>
        <w:t>يان</w:t>
      </w:r>
      <w:r w:rsidR="00602B85" w:rsidRPr="00C85F0F">
        <w:rPr>
          <w:rFonts w:ascii="Traditional Arabic" w:hAnsi="Traditional Arabic" w:hint="cs"/>
          <w:noProof w:val="0"/>
          <w:rtl/>
          <w:lang w:eastAsia="en-US"/>
        </w:rPr>
        <w:t>)</w:t>
      </w:r>
      <w:r w:rsidR="00602B85" w:rsidRPr="00C85F0F">
        <w:rPr>
          <w:rStyle w:val="af1"/>
          <w:szCs w:val="32"/>
          <w:rtl/>
        </w:rPr>
        <w:t>(</w:t>
      </w:r>
      <w:r w:rsidR="00602B85" w:rsidRPr="00C85F0F">
        <w:rPr>
          <w:rStyle w:val="af1"/>
          <w:szCs w:val="32"/>
          <w:rtl/>
        </w:rPr>
        <w:footnoteReference w:id="1687"/>
      </w:r>
      <w:r w:rsidR="00602B85" w:rsidRPr="00C85F0F">
        <w:rPr>
          <w:rStyle w:val="af1"/>
          <w:szCs w:val="32"/>
          <w:rtl/>
        </w:rPr>
        <w:t>)</w:t>
      </w:r>
      <w:r w:rsidR="00602B85" w:rsidRPr="00C85F0F">
        <w:rPr>
          <w:rFonts w:ascii="Traditional Arabic" w:hAnsi="Traditional Arabic"/>
          <w:noProof w:val="0"/>
          <w:rtl/>
          <w:lang w:eastAsia="en-US"/>
        </w:rPr>
        <w:t>.</w:t>
      </w:r>
    </w:p>
    <w:p w:rsidR="006E5B27" w:rsidRPr="009A2D7D" w:rsidRDefault="00065E4B" w:rsidP="00597C20">
      <w:pPr>
        <w:pStyle w:val="53"/>
        <w:rPr>
          <w:rtl/>
        </w:rPr>
      </w:pPr>
      <w:r w:rsidRPr="009A2D7D">
        <w:rPr>
          <w:rFonts w:hint="cs"/>
          <w:rtl/>
        </w:rPr>
        <w:t>ا</w:t>
      </w:r>
      <w:r w:rsidR="00602B85" w:rsidRPr="009A2D7D">
        <w:rPr>
          <w:rFonts w:hint="cs"/>
          <w:rtl/>
        </w:rPr>
        <w:t>لأمين اصطلاحا:</w:t>
      </w:r>
    </w:p>
    <w:p w:rsidR="00065E4B" w:rsidRPr="00C85F0F" w:rsidRDefault="00602B85" w:rsidP="00597C20">
      <w:pPr>
        <w:ind w:firstLine="720"/>
        <w:rPr>
          <w:color w:val="auto"/>
          <w:rtl/>
        </w:rPr>
      </w:pPr>
      <w:r w:rsidRPr="00C85F0F">
        <w:rPr>
          <w:rFonts w:hint="cs"/>
          <w:color w:val="auto"/>
          <w:rtl/>
        </w:rPr>
        <w:t>هو الذي في يده مالُ غيره برضى المالك، أو برضى الشارع، أو برضى مَن له الولاية عليه</w:t>
      </w:r>
      <w:r w:rsidRPr="00C85F0F">
        <w:rPr>
          <w:rStyle w:val="af1"/>
          <w:szCs w:val="32"/>
          <w:rtl/>
        </w:rPr>
        <w:t>(</w:t>
      </w:r>
      <w:r w:rsidRPr="00C85F0F">
        <w:rPr>
          <w:rStyle w:val="af1"/>
          <w:szCs w:val="32"/>
          <w:rtl/>
        </w:rPr>
        <w:footnoteReference w:id="1688"/>
      </w:r>
      <w:r w:rsidRPr="00C85F0F">
        <w:rPr>
          <w:rStyle w:val="af1"/>
          <w:szCs w:val="32"/>
          <w:rtl/>
        </w:rPr>
        <w:t>)</w:t>
      </w:r>
      <w:r w:rsidRPr="00C85F0F">
        <w:rPr>
          <w:rFonts w:hint="cs"/>
          <w:color w:val="auto"/>
          <w:rtl/>
        </w:rPr>
        <w:t>.</w:t>
      </w:r>
    </w:p>
    <w:p w:rsidR="00065E4B" w:rsidRPr="00C85F0F" w:rsidRDefault="00065E4B" w:rsidP="00597C20">
      <w:pPr>
        <w:ind w:firstLine="720"/>
        <w:rPr>
          <w:color w:val="auto"/>
          <w:rtl/>
        </w:rPr>
      </w:pPr>
      <w:r w:rsidRPr="00C85F0F">
        <w:rPr>
          <w:rFonts w:hint="cs"/>
          <w:color w:val="auto"/>
          <w:rtl/>
        </w:rPr>
        <w:t>و</w:t>
      </w:r>
      <w:r w:rsidR="00602B85" w:rsidRPr="00C85F0F">
        <w:rPr>
          <w:rFonts w:hint="cs"/>
          <w:color w:val="auto"/>
          <w:rtl/>
        </w:rPr>
        <w:t xml:space="preserve">عرفه الشيخ ابن عثيمين </w:t>
      </w:r>
      <w:r w:rsidR="00413B63">
        <w:rPr>
          <w:rFonts w:hint="cs"/>
          <w:color w:val="auto"/>
          <w:rtl/>
        </w:rPr>
        <w:t>_</w:t>
      </w:r>
      <w:r w:rsidR="009A0575" w:rsidRPr="005D5694">
        <w:rPr>
          <w:rFonts w:ascii="Traditional Arabic" w:hAnsi="Traditional Arabic" w:cs="CTraditional Arabic" w:hint="cs"/>
          <w:rtl/>
        </w:rPr>
        <w:t>/</w:t>
      </w:r>
      <w:r w:rsidR="00413B63">
        <w:rPr>
          <w:rFonts w:hint="cs"/>
          <w:color w:val="auto"/>
          <w:rtl/>
        </w:rPr>
        <w:t>_</w:t>
      </w:r>
      <w:r w:rsidR="00602B85" w:rsidRPr="00C85F0F">
        <w:rPr>
          <w:rFonts w:hint="cs"/>
          <w:color w:val="auto"/>
          <w:rtl/>
        </w:rPr>
        <w:t xml:space="preserve"> بقوله:(الأمين: هو كل م</w:t>
      </w:r>
      <w:r w:rsidR="00413B63">
        <w:rPr>
          <w:rFonts w:hint="cs"/>
          <w:color w:val="auto"/>
          <w:rtl/>
        </w:rPr>
        <w:t>َ</w:t>
      </w:r>
      <w:r w:rsidR="00602B85" w:rsidRPr="00C85F0F">
        <w:rPr>
          <w:rFonts w:hint="cs"/>
          <w:color w:val="auto"/>
          <w:rtl/>
        </w:rPr>
        <w:t xml:space="preserve">ن حصلت العين بيده بإذنٍ </w:t>
      </w:r>
      <w:r w:rsidR="00602B85" w:rsidRPr="00C85F0F">
        <w:rPr>
          <w:rFonts w:hint="cs"/>
          <w:color w:val="auto"/>
          <w:rtl/>
        </w:rPr>
        <w:lastRenderedPageBreak/>
        <w:t>من الشرع أو بإذن من المالك)</w:t>
      </w:r>
      <w:r w:rsidR="00602B85" w:rsidRPr="00C85F0F">
        <w:rPr>
          <w:rStyle w:val="af1"/>
          <w:szCs w:val="32"/>
          <w:rtl/>
        </w:rPr>
        <w:t>(</w:t>
      </w:r>
      <w:r w:rsidR="00602B85" w:rsidRPr="00C85F0F">
        <w:rPr>
          <w:rStyle w:val="af1"/>
          <w:szCs w:val="32"/>
          <w:rtl/>
        </w:rPr>
        <w:footnoteReference w:id="1689"/>
      </w:r>
      <w:r w:rsidR="00602B85" w:rsidRPr="00C85F0F">
        <w:rPr>
          <w:rStyle w:val="af1"/>
          <w:szCs w:val="32"/>
          <w:rtl/>
        </w:rPr>
        <w:t>)</w:t>
      </w:r>
      <w:r w:rsidR="00602B85" w:rsidRPr="00C85F0F">
        <w:rPr>
          <w:rFonts w:hint="cs"/>
          <w:color w:val="auto"/>
          <w:rtl/>
        </w:rPr>
        <w:t>.</w:t>
      </w:r>
    </w:p>
    <w:p w:rsidR="00065E4B" w:rsidRPr="00C85F0F" w:rsidRDefault="00065E4B" w:rsidP="00597C20">
      <w:pPr>
        <w:ind w:firstLine="720"/>
        <w:rPr>
          <w:rFonts w:ascii="Traditional Arabic" w:hAnsi="Traditional Arabic"/>
          <w:noProof w:val="0"/>
          <w:color w:val="auto"/>
          <w:rtl/>
          <w:lang w:eastAsia="en-US"/>
        </w:rPr>
      </w:pPr>
      <w:r w:rsidRPr="00C85F0F">
        <w:rPr>
          <w:rFonts w:hint="cs"/>
          <w:color w:val="auto"/>
          <w:rtl/>
        </w:rPr>
        <w:t>و</w:t>
      </w:r>
      <w:r w:rsidR="00602B85" w:rsidRPr="00C85F0F">
        <w:rPr>
          <w:rFonts w:hint="cs"/>
          <w:color w:val="auto"/>
          <w:rtl/>
        </w:rPr>
        <w:t xml:space="preserve">التعريفان متوافقان؛ وذلك أن الولاية على الشخص مصدرها الشرع؛ ولذلك يقول الشيخ ابن عثيمين </w:t>
      </w:r>
      <w:r w:rsidR="009C4E53">
        <w:rPr>
          <w:rFonts w:hint="cs"/>
          <w:color w:val="auto"/>
          <w:rtl/>
        </w:rPr>
        <w:t>_</w:t>
      </w:r>
      <w:r w:rsidR="009A0575" w:rsidRPr="005D5694">
        <w:rPr>
          <w:rFonts w:ascii="Traditional Arabic" w:hAnsi="Traditional Arabic" w:cs="CTraditional Arabic" w:hint="cs"/>
          <w:rtl/>
        </w:rPr>
        <w:t>/</w:t>
      </w:r>
      <w:r w:rsidR="009C4E53">
        <w:rPr>
          <w:rFonts w:hint="cs"/>
          <w:color w:val="auto"/>
          <w:rtl/>
        </w:rPr>
        <w:t>_</w:t>
      </w:r>
      <w:r w:rsidR="00602B85" w:rsidRPr="00C85F0F">
        <w:rPr>
          <w:rFonts w:hint="cs"/>
          <w:color w:val="auto"/>
          <w:rtl/>
        </w:rPr>
        <w:t>: (</w:t>
      </w:r>
      <w:r w:rsidR="00602B85" w:rsidRPr="00C85F0F">
        <w:rPr>
          <w:rFonts w:ascii="Traditional Arabic" w:hAnsi="Traditional Arabic"/>
          <w:noProof w:val="0"/>
          <w:color w:val="auto"/>
          <w:rtl/>
          <w:lang w:eastAsia="en-US"/>
        </w:rPr>
        <w:t>الولي: هو من يتصرف لغيره بإذن الشارع</w:t>
      </w:r>
      <w:r w:rsidR="00602B85" w:rsidRPr="00C85F0F">
        <w:rPr>
          <w:rFonts w:ascii="Traditional Arabic" w:hAnsi="Traditional Arabic" w:hint="cs"/>
          <w:noProof w:val="0"/>
          <w:color w:val="auto"/>
          <w:rtl/>
          <w:lang w:eastAsia="en-US"/>
        </w:rPr>
        <w:t>)</w:t>
      </w:r>
      <w:r w:rsidR="00602B85" w:rsidRPr="00C85F0F">
        <w:rPr>
          <w:rStyle w:val="af1"/>
          <w:szCs w:val="32"/>
          <w:rtl/>
        </w:rPr>
        <w:t>(</w:t>
      </w:r>
      <w:r w:rsidR="00602B85" w:rsidRPr="00C85F0F">
        <w:rPr>
          <w:rStyle w:val="af1"/>
          <w:szCs w:val="32"/>
          <w:rtl/>
        </w:rPr>
        <w:footnoteReference w:id="1690"/>
      </w:r>
      <w:r w:rsidR="00602B85" w:rsidRPr="00C85F0F">
        <w:rPr>
          <w:rStyle w:val="af1"/>
          <w:szCs w:val="32"/>
          <w:rtl/>
        </w:rPr>
        <w:t>)</w:t>
      </w:r>
      <w:r w:rsidR="00602B85" w:rsidRPr="00C85F0F">
        <w:rPr>
          <w:rFonts w:ascii="Traditional Arabic" w:hAnsi="Traditional Arabic"/>
          <w:noProof w:val="0"/>
          <w:color w:val="auto"/>
          <w:rtl/>
          <w:lang w:eastAsia="en-US"/>
        </w:rPr>
        <w:t>.</w:t>
      </w:r>
    </w:p>
    <w:p w:rsidR="00065E4B" w:rsidRPr="00C85F0F" w:rsidRDefault="00065E4B" w:rsidP="00FD3233">
      <w:pPr>
        <w:pStyle w:val="53"/>
        <w:rPr>
          <w:rtl/>
        </w:rPr>
      </w:pPr>
      <w:r w:rsidRPr="00C85F0F">
        <w:rPr>
          <w:rFonts w:hint="cs"/>
          <w:rtl/>
        </w:rPr>
        <w:t>م</w:t>
      </w:r>
      <w:r w:rsidR="00602B85" w:rsidRPr="00C85F0F">
        <w:rPr>
          <w:rFonts w:hint="cs"/>
          <w:rtl/>
        </w:rPr>
        <w:t>عنى القاعدة إجمالا:</w:t>
      </w:r>
    </w:p>
    <w:p w:rsidR="00F228A9"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ه</w:t>
      </w:r>
      <w:r w:rsidR="00602B85" w:rsidRPr="00C85F0F">
        <w:rPr>
          <w:rFonts w:ascii="Traditional Arabic" w:hAnsi="Traditional Arabic" w:hint="cs"/>
          <w:noProof w:val="0"/>
          <w:color w:val="auto"/>
          <w:rtl/>
          <w:lang w:eastAsia="en-US"/>
        </w:rPr>
        <w:t>ذه قاعدة نافعة تَحُلُّ الاختلافا</w:t>
      </w:r>
      <w:r w:rsidR="009C4E53">
        <w:rPr>
          <w:rFonts w:ascii="Traditional Arabic" w:hAnsi="Traditional Arabic" w:hint="cs"/>
          <w:noProof w:val="0"/>
          <w:color w:val="auto"/>
          <w:rtl/>
          <w:lang w:eastAsia="en-US"/>
        </w:rPr>
        <w:t>ت الواقعة بين الْمُ</w:t>
      </w:r>
      <w:r w:rsidR="00602B85" w:rsidRPr="00C85F0F">
        <w:rPr>
          <w:rFonts w:ascii="Traditional Arabic" w:hAnsi="Traditional Arabic" w:hint="cs"/>
          <w:noProof w:val="0"/>
          <w:color w:val="auto"/>
          <w:rtl/>
          <w:lang w:eastAsia="en-US"/>
        </w:rPr>
        <w:t>لاَّك وبين الأُمناء في متعلَّقات الأمانات، وأهلُ الأموال والحقوقِ ائتمنوهم عليها، وفوَّضوهم على التصرُّفات المتعلقة بها.</w:t>
      </w:r>
    </w:p>
    <w:p w:rsidR="00065E4B" w:rsidRPr="00C85F0F" w:rsidRDefault="00602B85"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فإذا اختلفوا في شيء من ذلك كان القول قولَ الأمين؛ لأن صاحبه ائتمنه ونزَّله منزلةَ نفسِه، فإذا ادَّعى تلَفاً أو تصرُّفا معيَّناً وخالَفه صاحبُ المال فالقول قول الأمين</w:t>
      </w:r>
      <w:r w:rsidRPr="00C85F0F">
        <w:rPr>
          <w:rStyle w:val="af1"/>
          <w:szCs w:val="32"/>
          <w:rtl/>
        </w:rPr>
        <w:t>(</w:t>
      </w:r>
      <w:r w:rsidRPr="00C85F0F">
        <w:rPr>
          <w:rStyle w:val="af1"/>
          <w:szCs w:val="32"/>
          <w:rtl/>
        </w:rPr>
        <w:footnoteReference w:id="1691"/>
      </w:r>
      <w:r w:rsidRPr="00C85F0F">
        <w:rPr>
          <w:rStyle w:val="af1"/>
          <w:szCs w:val="32"/>
          <w:rtl/>
        </w:rPr>
        <w:t>)</w:t>
      </w:r>
      <w:r w:rsidRPr="00C85F0F">
        <w:rPr>
          <w:rFonts w:ascii="Traditional Arabic" w:hAnsi="Traditional Arabic" w:hint="cs"/>
          <w:noProof w:val="0"/>
          <w:color w:val="auto"/>
          <w:rtl/>
          <w:lang w:eastAsia="en-US"/>
        </w:rPr>
        <w:t>.</w:t>
      </w:r>
    </w:p>
    <w:p w:rsidR="00065E4B"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602B85" w:rsidRPr="00C85F0F">
        <w:rPr>
          <w:rFonts w:ascii="Traditional Arabic" w:hAnsi="Traditional Arabic" w:hint="cs"/>
          <w:noProof w:val="0"/>
          <w:color w:val="auto"/>
          <w:rtl/>
          <w:lang w:eastAsia="en-US"/>
        </w:rPr>
        <w:t>إذا ادعى الأمين ردَّ ما ائتُمن عليه قُبل قوله في الرد فيما إذا قبض العين لمصلحة مالكها، وأما إذ اقبض العين لمصلحته أو مصلحة مشتركة بينه وبين المالك، فإنه لا يُقبل قوله في الرد حتى يأتي ببينة على ذلك</w:t>
      </w:r>
      <w:r w:rsidR="00602B85" w:rsidRPr="00C85F0F">
        <w:rPr>
          <w:rStyle w:val="af1"/>
          <w:szCs w:val="32"/>
          <w:rtl/>
        </w:rPr>
        <w:t>(</w:t>
      </w:r>
      <w:r w:rsidR="00602B85" w:rsidRPr="00C85F0F">
        <w:rPr>
          <w:rStyle w:val="af1"/>
          <w:szCs w:val="32"/>
          <w:rtl/>
        </w:rPr>
        <w:footnoteReference w:id="1692"/>
      </w:r>
      <w:r w:rsidR="00602B85" w:rsidRPr="00C85F0F">
        <w:rPr>
          <w:rStyle w:val="af1"/>
          <w:szCs w:val="32"/>
          <w:rtl/>
        </w:rPr>
        <w:t>)</w:t>
      </w:r>
      <w:r w:rsidR="00602B85" w:rsidRPr="00C85F0F">
        <w:rPr>
          <w:rFonts w:ascii="Traditional Arabic" w:hAnsi="Traditional Arabic" w:hint="cs"/>
          <w:noProof w:val="0"/>
          <w:color w:val="auto"/>
          <w:rtl/>
          <w:lang w:eastAsia="en-US"/>
        </w:rPr>
        <w:t>.</w:t>
      </w:r>
    </w:p>
    <w:p w:rsidR="00065E4B"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602B85" w:rsidRPr="00C85F0F">
        <w:rPr>
          <w:rFonts w:ascii="Traditional Arabic" w:hAnsi="Traditional Arabic" w:hint="cs"/>
          <w:noProof w:val="0"/>
          <w:color w:val="auto"/>
          <w:rtl/>
          <w:lang w:eastAsia="en-US"/>
        </w:rPr>
        <w:t>مفهوم ذلك أن غير الأمين</w:t>
      </w:r>
      <w:r w:rsidR="009C4E53">
        <w:rPr>
          <w:rFonts w:ascii="Traditional Arabic" w:hAnsi="Traditional Arabic" w:hint="cs"/>
          <w:noProof w:val="0"/>
          <w:color w:val="auto"/>
          <w:rtl/>
          <w:lang w:eastAsia="en-US"/>
        </w:rPr>
        <w:t>_</w:t>
      </w:r>
      <w:r w:rsidR="00602B85" w:rsidRPr="00C85F0F">
        <w:rPr>
          <w:rFonts w:ascii="Traditional Arabic" w:hAnsi="Traditional Arabic" w:hint="cs"/>
          <w:noProof w:val="0"/>
          <w:color w:val="auto"/>
          <w:rtl/>
          <w:lang w:eastAsia="en-US"/>
        </w:rPr>
        <w:t xml:space="preserve"> كالغاصب</w:t>
      </w:r>
      <w:r w:rsidR="009C4E53">
        <w:rPr>
          <w:rFonts w:ascii="Traditional Arabic" w:hAnsi="Traditional Arabic" w:hint="cs"/>
          <w:noProof w:val="0"/>
          <w:color w:val="auto"/>
          <w:rtl/>
          <w:lang w:eastAsia="en-US"/>
        </w:rPr>
        <w:t>_</w:t>
      </w:r>
      <w:r w:rsidR="00602B85" w:rsidRPr="00C85F0F">
        <w:rPr>
          <w:rFonts w:ascii="Traditional Arabic" w:hAnsi="Traditional Arabic" w:hint="cs"/>
          <w:noProof w:val="0"/>
          <w:color w:val="auto"/>
          <w:rtl/>
          <w:lang w:eastAsia="en-US"/>
        </w:rPr>
        <w:t xml:space="preserve"> لا يُقبل قوله في الرد</w:t>
      </w:r>
      <w:r w:rsidR="00602B85" w:rsidRPr="00C85F0F">
        <w:rPr>
          <w:rStyle w:val="af1"/>
          <w:szCs w:val="32"/>
          <w:rtl/>
        </w:rPr>
        <w:t>(</w:t>
      </w:r>
      <w:r w:rsidR="00602B85" w:rsidRPr="00C85F0F">
        <w:rPr>
          <w:rStyle w:val="af1"/>
          <w:szCs w:val="32"/>
          <w:rtl/>
        </w:rPr>
        <w:footnoteReference w:id="1693"/>
      </w:r>
      <w:r w:rsidR="00602B85" w:rsidRPr="00C85F0F">
        <w:rPr>
          <w:rStyle w:val="af1"/>
          <w:szCs w:val="32"/>
          <w:rtl/>
        </w:rPr>
        <w:t>)</w:t>
      </w:r>
      <w:r w:rsidR="00602B85" w:rsidRPr="00C85F0F">
        <w:rPr>
          <w:rFonts w:ascii="Traditional Arabic" w:hAnsi="Traditional Arabic" w:hint="cs"/>
          <w:noProof w:val="0"/>
          <w:color w:val="auto"/>
          <w:rtl/>
          <w:lang w:eastAsia="en-US"/>
        </w:rPr>
        <w:t>.</w:t>
      </w:r>
    </w:p>
    <w:p w:rsidR="00F228A9" w:rsidRPr="00C85F0F" w:rsidRDefault="00065E4B" w:rsidP="00597C20">
      <w:pPr>
        <w:ind w:firstLine="720"/>
        <w:rPr>
          <w:color w:val="auto"/>
        </w:rPr>
      </w:pPr>
      <w:r w:rsidRPr="00C85F0F">
        <w:rPr>
          <w:rFonts w:ascii="Traditional Arabic" w:hAnsi="Traditional Arabic" w:hint="cs"/>
          <w:noProof w:val="0"/>
          <w:color w:val="auto"/>
          <w:rtl/>
          <w:lang w:eastAsia="en-US"/>
        </w:rPr>
        <w:t>و</w:t>
      </w:r>
      <w:r w:rsidR="00602B85" w:rsidRPr="00C85F0F">
        <w:rPr>
          <w:rFonts w:ascii="Traditional Arabic" w:hAnsi="Traditional Arabic" w:hint="cs"/>
          <w:noProof w:val="0"/>
          <w:color w:val="auto"/>
          <w:rtl/>
          <w:lang w:eastAsia="en-US"/>
        </w:rPr>
        <w:t xml:space="preserve">كل من يُقبل قوله من الأمناء يلزمه اليمين على ما ادَّعاه؛ لقول النبي </w:t>
      </w:r>
      <w:r w:rsidR="00F350DE" w:rsidRPr="00C85F0F">
        <w:rPr>
          <w:rFonts w:ascii="Traditional Arabic" w:hAnsi="Traditional Arabic"/>
          <w:noProof w:val="0"/>
          <w:color w:val="auto"/>
          <w:rtl/>
          <w:lang w:eastAsia="en-US"/>
        </w:rPr>
        <w:sym w:font="AGA Arabesque" w:char="F072"/>
      </w:r>
      <w:r w:rsidR="00602B85" w:rsidRPr="00C85F0F">
        <w:rPr>
          <w:rFonts w:ascii="Traditional Arabic" w:hAnsi="Traditional Arabic" w:hint="cs"/>
          <w:noProof w:val="0"/>
          <w:color w:val="auto"/>
          <w:rtl/>
          <w:lang w:eastAsia="en-US"/>
        </w:rPr>
        <w:t>:"البينة على المدعي واليمين على من أنكر"</w:t>
      </w:r>
      <w:r w:rsidR="00602B85" w:rsidRPr="00C85F0F">
        <w:rPr>
          <w:rStyle w:val="af1"/>
          <w:szCs w:val="32"/>
          <w:rtl/>
        </w:rPr>
        <w:t>(</w:t>
      </w:r>
      <w:r w:rsidR="00602B85" w:rsidRPr="00C85F0F">
        <w:rPr>
          <w:rStyle w:val="af1"/>
          <w:szCs w:val="32"/>
          <w:rtl/>
        </w:rPr>
        <w:footnoteReference w:id="1694"/>
      </w:r>
      <w:r w:rsidR="00602B85" w:rsidRPr="00C85F0F">
        <w:rPr>
          <w:rStyle w:val="af1"/>
          <w:szCs w:val="32"/>
          <w:rtl/>
        </w:rPr>
        <w:t>)</w:t>
      </w:r>
      <w:r w:rsidR="009C4E53">
        <w:rPr>
          <w:rFonts w:ascii="Traditional Arabic" w:hAnsi="Traditional Arabic" w:hint="cs"/>
          <w:noProof w:val="0"/>
          <w:color w:val="auto"/>
          <w:rtl/>
          <w:lang w:eastAsia="en-US"/>
        </w:rPr>
        <w:t>)</w:t>
      </w:r>
      <w:r w:rsidR="00DA5406" w:rsidRPr="00DA5406">
        <w:rPr>
          <w:rFonts w:ascii="Traditional Arabic" w:hAnsi="Traditional Arabic" w:hint="cs"/>
          <w:noProof w:val="0"/>
          <w:color w:val="auto"/>
          <w:vertAlign w:val="superscript"/>
          <w:rtl/>
          <w:lang w:eastAsia="en-US"/>
        </w:rPr>
        <w:t>(</w:t>
      </w:r>
      <w:r w:rsidR="009C4E53" w:rsidRPr="00DA5406">
        <w:rPr>
          <w:rStyle w:val="af1"/>
          <w:rFonts w:ascii="Traditional Arabic" w:hAnsi="Traditional Arabic"/>
          <w:noProof w:val="0"/>
          <w:color w:val="auto"/>
          <w:rtl/>
          <w:lang w:eastAsia="en-US"/>
        </w:rPr>
        <w:footnoteReference w:id="1695"/>
      </w:r>
      <w:r w:rsidR="00DA5406" w:rsidRPr="00DA5406">
        <w:rPr>
          <w:rFonts w:ascii="Traditional Arabic" w:hAnsi="Traditional Arabic" w:hint="cs"/>
          <w:noProof w:val="0"/>
          <w:color w:val="auto"/>
          <w:vertAlign w:val="superscript"/>
          <w:rtl/>
          <w:lang w:eastAsia="en-US"/>
        </w:rPr>
        <w:t>)</w:t>
      </w:r>
      <w:r w:rsidR="00602B85" w:rsidRPr="00C85F0F">
        <w:rPr>
          <w:rFonts w:ascii="Traditional Arabic" w:hAnsi="Traditional Arabic" w:hint="cs"/>
          <w:noProof w:val="0"/>
          <w:color w:val="auto"/>
          <w:rtl/>
          <w:lang w:eastAsia="en-US"/>
        </w:rPr>
        <w:t>.</w:t>
      </w:r>
    </w:p>
    <w:p w:rsidR="00602B85" w:rsidRPr="00C85F0F" w:rsidRDefault="00184ADA" w:rsidP="00A8347C">
      <w:pPr>
        <w:pStyle w:val="aff3"/>
        <w:rPr>
          <w:rtl/>
        </w:rPr>
      </w:pPr>
      <w:bookmarkStart w:id="343" w:name="_Toc334046550"/>
      <w:r>
        <w:rPr>
          <w:rFonts w:hint="cs"/>
          <w:rtl/>
        </w:rPr>
        <w:lastRenderedPageBreak/>
        <w:t xml:space="preserve">                                        المطلب</w:t>
      </w:r>
      <w:r w:rsidR="009C4E53">
        <w:rPr>
          <w:rFonts w:hint="cs"/>
          <w:rtl/>
        </w:rPr>
        <w:t xml:space="preserve"> </w:t>
      </w:r>
      <w:r w:rsidR="00602B85" w:rsidRPr="00C85F0F">
        <w:rPr>
          <w:rFonts w:hint="cs"/>
          <w:rtl/>
        </w:rPr>
        <w:t>الثالث</w:t>
      </w:r>
      <w:r w:rsidR="00602B85" w:rsidRPr="00C85F0F">
        <w:rPr>
          <w:rFonts w:hint="eastAsia"/>
          <w:rtl/>
        </w:rPr>
        <w:t> :</w:t>
      </w:r>
      <w:r w:rsidR="00602B85" w:rsidRPr="00C85F0F">
        <w:rPr>
          <w:rFonts w:hint="cs"/>
          <w:rtl/>
        </w:rPr>
        <w:br/>
      </w:r>
      <w:r>
        <w:rPr>
          <w:rFonts w:hint="cs"/>
          <w:rtl/>
        </w:rPr>
        <w:t xml:space="preserve">           </w:t>
      </w:r>
      <w:r w:rsidR="00DB450C">
        <w:rPr>
          <w:rFonts w:hint="cs"/>
          <w:rtl/>
        </w:rPr>
        <w:t xml:space="preserve">                               </w:t>
      </w:r>
      <w:r w:rsidR="005E1944">
        <w:rPr>
          <w:rFonts w:hint="cs"/>
          <w:rtl/>
        </w:rPr>
        <w:t>دليل</w:t>
      </w:r>
      <w:r w:rsidR="00602B85" w:rsidRPr="00C85F0F">
        <w:rPr>
          <w:rFonts w:hint="cs"/>
          <w:rtl/>
        </w:rPr>
        <w:t xml:space="preserve"> القاعدة</w:t>
      </w:r>
      <w:bookmarkEnd w:id="343"/>
    </w:p>
    <w:p w:rsidR="00602B85" w:rsidRPr="00C85F0F" w:rsidRDefault="00602B85" w:rsidP="000A76C7">
      <w:pPr>
        <w:pStyle w:val="afc"/>
        <w:numPr>
          <w:ilvl w:val="0"/>
          <w:numId w:val="189"/>
        </w:numPr>
        <w:rPr>
          <w:color w:val="auto"/>
        </w:rPr>
      </w:pPr>
      <w:r w:rsidRPr="00C85F0F">
        <w:rPr>
          <w:rFonts w:hint="cs"/>
          <w:color w:val="auto"/>
          <w:rtl/>
        </w:rPr>
        <w:t xml:space="preserve">قول الله تعالى: </w:t>
      </w:r>
      <w:bookmarkStart w:id="344" w:name="سورة_التوبة_91_2"/>
      <w:r w:rsidR="007F6583" w:rsidRPr="0090198F">
        <w:rPr>
          <w:rFonts w:ascii="QCF_BSML" w:hAnsi="QCF_BSML" w:cs="QCF_BSML"/>
          <w:noProof w:val="0"/>
          <w:rtl/>
          <w:lang w:eastAsia="en-US"/>
        </w:rPr>
        <w:t xml:space="preserve">ﭽ </w:t>
      </w:r>
      <w:r w:rsidR="007F6583" w:rsidRPr="0090198F">
        <w:rPr>
          <w:rFonts w:ascii="QCF_P201" w:hAnsi="QCF_P201" w:cs="QCF_P201"/>
          <w:noProof w:val="0"/>
          <w:rtl/>
          <w:lang w:eastAsia="en-US"/>
        </w:rPr>
        <w:t>ﮣﮤﮥﮦﮧ</w:t>
      </w:r>
      <w:r w:rsidR="007F6583" w:rsidRPr="0090198F">
        <w:rPr>
          <w:rFonts w:ascii="QCF_BSML" w:hAnsi="QCF_BSML" w:cs="QCF_BSML"/>
          <w:noProof w:val="0"/>
          <w:rtl/>
          <w:lang w:eastAsia="en-US"/>
        </w:rPr>
        <w:t>ﭼ</w:t>
      </w:r>
      <w:bookmarkEnd w:id="344"/>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التوبة: ٩١</w:t>
      </w:r>
      <w:r w:rsidRPr="00C85F0F">
        <w:rPr>
          <w:rFonts w:hint="cs"/>
          <w:color w:val="auto"/>
          <w:rtl/>
        </w:rPr>
        <w:t>].</w:t>
      </w:r>
    </w:p>
    <w:p w:rsidR="00602B85" w:rsidRPr="00C85F0F" w:rsidRDefault="00602B85" w:rsidP="00FD3233">
      <w:pPr>
        <w:pStyle w:val="53"/>
        <w:rPr>
          <w:rtl/>
        </w:rPr>
      </w:pPr>
      <w:r w:rsidRPr="00C85F0F">
        <w:rPr>
          <w:rFonts w:hint="cs"/>
          <w:rtl/>
        </w:rPr>
        <w:t>وجه الدلالة:</w:t>
      </w:r>
    </w:p>
    <w:p w:rsidR="00602B85" w:rsidRPr="00C85F0F" w:rsidRDefault="00602B85" w:rsidP="00597C20">
      <w:pPr>
        <w:ind w:firstLine="720"/>
        <w:rPr>
          <w:color w:val="auto"/>
          <w:rtl/>
        </w:rPr>
      </w:pPr>
      <w:r w:rsidRPr="00C85F0F">
        <w:rPr>
          <w:rFonts w:hint="cs"/>
          <w:color w:val="auto"/>
          <w:rtl/>
        </w:rPr>
        <w:t>يقبل قول الأمين فيما ائتُمن فيه؛ لأنه محسنٌ، وكل محسن فلا سبيل عليه، أي: ليس عليه طريق يُلام به، أو يضمن به</w:t>
      </w:r>
      <w:r w:rsidRPr="00C85F0F">
        <w:rPr>
          <w:rStyle w:val="af1"/>
          <w:szCs w:val="32"/>
          <w:rtl/>
        </w:rPr>
        <w:t>(</w:t>
      </w:r>
      <w:r w:rsidRPr="00C85F0F">
        <w:rPr>
          <w:rStyle w:val="af1"/>
          <w:szCs w:val="32"/>
          <w:rtl/>
        </w:rPr>
        <w:footnoteReference w:id="1696"/>
      </w:r>
      <w:r w:rsidRPr="00C85F0F">
        <w:rPr>
          <w:rStyle w:val="af1"/>
          <w:szCs w:val="32"/>
          <w:rtl/>
        </w:rPr>
        <w:t>)</w:t>
      </w:r>
      <w:r w:rsidRPr="00C85F0F">
        <w:rPr>
          <w:rFonts w:hint="cs"/>
          <w:color w:val="auto"/>
          <w:rtl/>
        </w:rPr>
        <w:t>.</w:t>
      </w:r>
    </w:p>
    <w:p w:rsidR="00602B85" w:rsidRPr="00C85F0F" w:rsidRDefault="00184ADA" w:rsidP="00A8347C">
      <w:pPr>
        <w:pStyle w:val="aff3"/>
        <w:rPr>
          <w:rtl/>
        </w:rPr>
      </w:pPr>
      <w:bookmarkStart w:id="345" w:name="_Toc334046551"/>
      <w:r>
        <w:rPr>
          <w:rFonts w:hint="cs"/>
          <w:rtl/>
        </w:rPr>
        <w:t xml:space="preserve">                                          المطلب</w:t>
      </w:r>
      <w:r w:rsidR="009C4E53">
        <w:rPr>
          <w:rFonts w:hint="cs"/>
          <w:rtl/>
        </w:rPr>
        <w:t xml:space="preserve"> </w:t>
      </w:r>
      <w:r w:rsidR="00602B85" w:rsidRPr="00C85F0F">
        <w:rPr>
          <w:rFonts w:hint="cs"/>
          <w:rtl/>
        </w:rPr>
        <w:t>الرابع</w:t>
      </w:r>
      <w:r w:rsidR="00602B85" w:rsidRPr="00C85F0F">
        <w:rPr>
          <w:rFonts w:hint="eastAsia"/>
          <w:rtl/>
        </w:rPr>
        <w:t> :</w:t>
      </w:r>
      <w:r w:rsidR="00602B85" w:rsidRPr="00C85F0F">
        <w:rPr>
          <w:rFonts w:hint="cs"/>
          <w:rtl/>
        </w:rPr>
        <w:br/>
      </w:r>
      <w:r>
        <w:rPr>
          <w:rFonts w:hint="cs"/>
          <w:rtl/>
        </w:rPr>
        <w:t xml:space="preserve">                         </w:t>
      </w:r>
      <w:r w:rsidR="00DB450C">
        <w:rPr>
          <w:rFonts w:hint="cs"/>
          <w:rtl/>
        </w:rPr>
        <w:t xml:space="preserve">                </w:t>
      </w:r>
      <w:r w:rsidR="00602B85" w:rsidRPr="00C85F0F">
        <w:rPr>
          <w:rFonts w:hint="cs"/>
          <w:rtl/>
        </w:rPr>
        <w:t>تطبيقات القاعدة</w:t>
      </w:r>
      <w:bookmarkEnd w:id="345"/>
    </w:p>
    <w:p w:rsidR="00602B85" w:rsidRPr="00C85F0F" w:rsidRDefault="00602B85" w:rsidP="000A76C7">
      <w:pPr>
        <w:pStyle w:val="afc"/>
        <w:numPr>
          <w:ilvl w:val="0"/>
          <w:numId w:val="231"/>
        </w:numPr>
        <w:rPr>
          <w:color w:val="auto"/>
          <w:rtl/>
        </w:rPr>
      </w:pPr>
      <w:r w:rsidRPr="00C85F0F">
        <w:rPr>
          <w:rFonts w:ascii="Traditional Arabic" w:hAnsi="Traditional Arabic"/>
          <w:noProof w:val="0"/>
          <w:rtl/>
          <w:lang w:eastAsia="en-US"/>
        </w:rPr>
        <w:t>لو ادعى المرتهن أن الرهن تل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بل قوله؛ لأنه أمين</w:t>
      </w:r>
      <w:r w:rsidRPr="00C85F0F">
        <w:rPr>
          <w:rStyle w:val="af1"/>
          <w:szCs w:val="32"/>
          <w:rtl/>
        </w:rPr>
        <w:t>(</w:t>
      </w:r>
      <w:r w:rsidRPr="00C85F0F">
        <w:rPr>
          <w:rStyle w:val="af1"/>
          <w:szCs w:val="32"/>
          <w:rtl/>
        </w:rPr>
        <w:footnoteReference w:id="1697"/>
      </w:r>
      <w:r w:rsidRPr="00C85F0F">
        <w:rPr>
          <w:rStyle w:val="af1"/>
          <w:szCs w:val="32"/>
          <w:rtl/>
        </w:rPr>
        <w:t>)</w:t>
      </w:r>
      <w:r w:rsidRPr="00C85F0F">
        <w:rPr>
          <w:rFonts w:ascii="Traditional Arabic" w:hAnsi="Traditional Arabic" w:hint="cs"/>
          <w:noProof w:val="0"/>
          <w:rtl/>
          <w:lang w:eastAsia="en-US"/>
        </w:rPr>
        <w:t>.</w:t>
      </w:r>
    </w:p>
    <w:p w:rsidR="00602B85" w:rsidRPr="00C85F0F" w:rsidRDefault="00602B85" w:rsidP="00FD3233">
      <w:pPr>
        <w:pStyle w:val="53"/>
        <w:rPr>
          <w:rtl/>
        </w:rPr>
      </w:pPr>
      <w:r w:rsidRPr="00C85F0F">
        <w:rPr>
          <w:rFonts w:hint="cs"/>
          <w:rtl/>
        </w:rPr>
        <w:t xml:space="preserve">وجه اندراج </w:t>
      </w:r>
      <w:r w:rsidRPr="00FD3233">
        <w:rPr>
          <w:rFonts w:hint="cs"/>
          <w:rtl/>
        </w:rPr>
        <w:t>الفرع</w:t>
      </w:r>
      <w:r w:rsidRPr="00C85F0F">
        <w:rPr>
          <w:rFonts w:hint="cs"/>
          <w:rtl/>
        </w:rPr>
        <w:t xml:space="preserve"> تحت القاعدة:</w:t>
      </w:r>
    </w:p>
    <w:p w:rsidR="00065E4B" w:rsidRPr="00C85F0F" w:rsidRDefault="00602B85" w:rsidP="00597C20">
      <w:pPr>
        <w:ind w:firstLine="720"/>
        <w:rPr>
          <w:color w:val="auto"/>
        </w:rPr>
      </w:pPr>
      <w:r w:rsidRPr="00C85F0F">
        <w:rPr>
          <w:rFonts w:ascii="Traditional Arabic" w:hAnsi="Traditional Arabic" w:hint="cs"/>
          <w:noProof w:val="0"/>
          <w:rtl/>
          <w:lang w:eastAsia="en-US"/>
        </w:rPr>
        <w:t>ي</w:t>
      </w:r>
      <w:r w:rsidR="009C4E53">
        <w:rPr>
          <w:rFonts w:ascii="Traditional Arabic" w:hAnsi="Traditional Arabic" w:hint="cs"/>
          <w:noProof w:val="0"/>
          <w:rtl/>
          <w:lang w:eastAsia="en-US"/>
        </w:rPr>
        <w:t>ُ</w:t>
      </w:r>
      <w:r w:rsidRPr="00C85F0F">
        <w:rPr>
          <w:rFonts w:ascii="Traditional Arabic" w:hAnsi="Traditional Arabic" w:hint="cs"/>
          <w:noProof w:val="0"/>
          <w:rtl/>
          <w:lang w:eastAsia="en-US"/>
        </w:rPr>
        <w:t xml:space="preserve">قبل قول الراهن في دعوى التلف؛ لأنه أمين، والقاعدة </w:t>
      </w:r>
      <w:r w:rsidR="009C4E53">
        <w:rPr>
          <w:rFonts w:ascii="Traditional Arabic" w:hAnsi="Traditional Arabic" w:hint="cs"/>
          <w:noProof w:val="0"/>
          <w:rtl/>
          <w:lang w:eastAsia="en-US"/>
        </w:rPr>
        <w:t>تقول:"</w:t>
      </w:r>
      <w:r w:rsidRPr="00C85F0F">
        <w:rPr>
          <w:rFonts w:hint="cs"/>
          <w:color w:val="auto"/>
          <w:rtl/>
        </w:rPr>
        <w:t xml:space="preserve"> كل أمين إذا ادعى التلف فإنه يقبل قوله</w:t>
      </w:r>
      <w:r w:rsidR="009C4E53">
        <w:rPr>
          <w:rFonts w:hint="cs"/>
          <w:color w:val="auto"/>
          <w:rtl/>
        </w:rPr>
        <w:t>"</w:t>
      </w:r>
      <w:r w:rsidRPr="00C85F0F">
        <w:rPr>
          <w:rFonts w:hint="cs"/>
          <w:color w:val="auto"/>
          <w:rtl/>
        </w:rPr>
        <w:t>.</w:t>
      </w:r>
    </w:p>
    <w:p w:rsidR="00065E4B" w:rsidRPr="00C85F0F" w:rsidRDefault="00065E4B" w:rsidP="000A76C7">
      <w:pPr>
        <w:pStyle w:val="afc"/>
        <w:numPr>
          <w:ilvl w:val="0"/>
          <w:numId w:val="231"/>
        </w:numPr>
        <w:rPr>
          <w:color w:val="auto"/>
        </w:rPr>
      </w:pPr>
      <w:r w:rsidRPr="00C85F0F">
        <w:rPr>
          <w:rFonts w:ascii="Traditional Arabic" w:hAnsi="Traditional Arabic" w:hint="cs"/>
          <w:noProof w:val="0"/>
          <w:rtl/>
          <w:lang w:eastAsia="en-US"/>
        </w:rPr>
        <w:t>إ</w:t>
      </w:r>
      <w:r w:rsidR="00602B85" w:rsidRPr="00C85F0F">
        <w:rPr>
          <w:rFonts w:ascii="Traditional Arabic" w:hAnsi="Traditional Arabic" w:hint="cs"/>
          <w:noProof w:val="0"/>
          <w:rtl/>
          <w:lang w:eastAsia="en-US"/>
        </w:rPr>
        <w:t xml:space="preserve">ذا ذبح </w:t>
      </w:r>
      <w:r w:rsidR="00602B85" w:rsidRPr="00C85F0F">
        <w:rPr>
          <w:rFonts w:ascii="Traditional Arabic" w:hAnsi="Traditional Arabic"/>
          <w:noProof w:val="0"/>
          <w:rtl/>
          <w:lang w:eastAsia="en-US"/>
        </w:rPr>
        <w:t>المستأج</w:t>
      </w:r>
      <w:r w:rsidR="009C4E53">
        <w:rPr>
          <w:rFonts w:ascii="Traditional Arabic" w:hAnsi="Traditional Arabic" w:hint="cs"/>
          <w:noProof w:val="0"/>
          <w:rtl/>
          <w:lang w:eastAsia="en-US"/>
        </w:rPr>
        <w:t>ِ</w:t>
      </w:r>
      <w:r w:rsidR="00602B85" w:rsidRPr="00C85F0F">
        <w:rPr>
          <w:rFonts w:ascii="Traditional Arabic" w:hAnsi="Traditional Arabic"/>
          <w:noProof w:val="0"/>
          <w:rtl/>
          <w:lang w:eastAsia="en-US"/>
        </w:rPr>
        <w:t xml:space="preserve">ر </w:t>
      </w:r>
      <w:r w:rsidR="00602B85" w:rsidRPr="00C85F0F">
        <w:rPr>
          <w:rFonts w:ascii="Traditional Arabic" w:hAnsi="Traditional Arabic" w:hint="cs"/>
          <w:noProof w:val="0"/>
          <w:rtl/>
          <w:lang w:eastAsia="en-US"/>
        </w:rPr>
        <w:t xml:space="preserve">الدابة التي استأجرها </w:t>
      </w:r>
      <w:r w:rsidR="00602B85" w:rsidRPr="00C85F0F">
        <w:rPr>
          <w:rFonts w:ascii="Traditional Arabic" w:hAnsi="Traditional Arabic"/>
          <w:noProof w:val="0"/>
          <w:rtl/>
          <w:lang w:eastAsia="en-US"/>
        </w:rPr>
        <w:t>واحتفظ بلحمها ل</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صاحبها، واد</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عى صاحب</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ها أنها لم ت</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ص</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ل إلى حال</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 xml:space="preserve"> يضطر</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 xml:space="preserve"> فيها إلى ذبحها، </w:t>
      </w:r>
      <w:r w:rsidR="00602B85" w:rsidRPr="00C85F0F">
        <w:rPr>
          <w:rFonts w:ascii="Traditional Arabic" w:hAnsi="Traditional Arabic" w:hint="cs"/>
          <w:noProof w:val="0"/>
          <w:rtl/>
          <w:lang w:eastAsia="en-US"/>
        </w:rPr>
        <w:t>وادعى المستأجر أ</w:t>
      </w:r>
      <w:r w:rsidR="00602B85" w:rsidRPr="00C85F0F">
        <w:rPr>
          <w:rFonts w:ascii="Traditional Arabic" w:hAnsi="Traditional Arabic"/>
          <w:noProof w:val="0"/>
          <w:rtl/>
          <w:lang w:eastAsia="en-US"/>
        </w:rPr>
        <w:t>نه ذبحها بعد أن خاف أن تموت فتف</w:t>
      </w:r>
      <w:r w:rsidR="009C4E53">
        <w:rPr>
          <w:rFonts w:ascii="Traditional Arabic" w:hAnsi="Traditional Arabic" w:hint="cs"/>
          <w:noProof w:val="0"/>
          <w:rtl/>
          <w:lang w:eastAsia="en-US"/>
        </w:rPr>
        <w:t>ُ</w:t>
      </w:r>
      <w:r w:rsidR="00602B85" w:rsidRPr="00C85F0F">
        <w:rPr>
          <w:rFonts w:ascii="Traditional Arabic" w:hAnsi="Traditional Arabic"/>
          <w:noProof w:val="0"/>
          <w:rtl/>
          <w:lang w:eastAsia="en-US"/>
        </w:rPr>
        <w:t>وت، فالقول قول المستأج</w:t>
      </w:r>
      <w:r w:rsidR="00602B85" w:rsidRPr="00C85F0F">
        <w:rPr>
          <w:rFonts w:ascii="Traditional Arabic" w:hAnsi="Traditional Arabic" w:hint="cs"/>
          <w:noProof w:val="0"/>
          <w:rtl/>
          <w:lang w:eastAsia="en-US"/>
        </w:rPr>
        <w:t>ر</w:t>
      </w:r>
      <w:r w:rsidR="00602B85" w:rsidRPr="00C85F0F">
        <w:rPr>
          <w:rStyle w:val="af1"/>
          <w:szCs w:val="32"/>
          <w:rtl/>
        </w:rPr>
        <w:t>(</w:t>
      </w:r>
      <w:r w:rsidR="00602B85" w:rsidRPr="00C85F0F">
        <w:rPr>
          <w:rStyle w:val="af1"/>
          <w:szCs w:val="32"/>
          <w:rtl/>
        </w:rPr>
        <w:footnoteReference w:id="1698"/>
      </w:r>
      <w:r w:rsidR="00602B85" w:rsidRPr="00C85F0F">
        <w:rPr>
          <w:rStyle w:val="af1"/>
          <w:szCs w:val="32"/>
          <w:rtl/>
        </w:rPr>
        <w:t>)</w:t>
      </w:r>
      <w:r w:rsidR="00602B85" w:rsidRPr="00C85F0F">
        <w:rPr>
          <w:rFonts w:ascii="Traditional Arabic" w:hAnsi="Traditional Arabic" w:hint="cs"/>
          <w:noProof w:val="0"/>
          <w:rtl/>
          <w:lang w:eastAsia="en-US"/>
        </w:rPr>
        <w:t>.</w:t>
      </w:r>
    </w:p>
    <w:p w:rsidR="00602B85" w:rsidRPr="00C85F0F" w:rsidRDefault="00065E4B" w:rsidP="00FD3233">
      <w:pPr>
        <w:pStyle w:val="53"/>
        <w:rPr>
          <w:rtl/>
        </w:rPr>
      </w:pPr>
      <w:r w:rsidRPr="00C85F0F">
        <w:rPr>
          <w:rFonts w:hint="cs"/>
          <w:rtl/>
        </w:rPr>
        <w:t>و</w:t>
      </w:r>
      <w:r w:rsidR="00602B85" w:rsidRPr="00C85F0F">
        <w:rPr>
          <w:rFonts w:hint="cs"/>
          <w:rtl/>
        </w:rPr>
        <w:t xml:space="preserve">جه اندراج الفرع </w:t>
      </w:r>
      <w:r w:rsidR="00602B85" w:rsidRPr="00FD3233">
        <w:rPr>
          <w:rFonts w:hint="cs"/>
          <w:rtl/>
        </w:rPr>
        <w:t>تحت</w:t>
      </w:r>
      <w:r w:rsidR="00602B85" w:rsidRPr="00C85F0F">
        <w:rPr>
          <w:rFonts w:hint="cs"/>
          <w:rtl/>
        </w:rPr>
        <w:t xml:space="preserve"> القاعدة:</w:t>
      </w:r>
    </w:p>
    <w:p w:rsidR="00602B85" w:rsidRPr="00C85F0F" w:rsidRDefault="00602B85" w:rsidP="00597C20">
      <w:pPr>
        <w:ind w:firstLine="720"/>
        <w:rPr>
          <w:color w:val="auto"/>
          <w:rtl/>
        </w:rPr>
      </w:pPr>
      <w:r w:rsidRPr="00C85F0F">
        <w:rPr>
          <w:rFonts w:ascii="Traditional Arabic" w:hAnsi="Traditional Arabic" w:hint="cs"/>
          <w:noProof w:val="0"/>
          <w:rtl/>
          <w:lang w:eastAsia="en-US"/>
        </w:rPr>
        <w:t xml:space="preserve">إنما كان القول قولَ المستأجر؛ </w:t>
      </w:r>
      <w:r w:rsidRPr="00C85F0F">
        <w:rPr>
          <w:rFonts w:ascii="Traditional Arabic" w:hAnsi="Traditional Arabic"/>
          <w:noProof w:val="0"/>
          <w:rtl/>
          <w:lang w:eastAsia="en-US"/>
        </w:rPr>
        <w:t>لأنه أمين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والقاعدة</w:t>
      </w:r>
      <w:r w:rsidR="009C4E53">
        <w:rPr>
          <w:rFonts w:ascii="Traditional Arabic" w:hAnsi="Traditional Arabic" w:hint="cs"/>
          <w:noProof w:val="0"/>
          <w:rtl/>
          <w:lang w:eastAsia="en-US"/>
        </w:rPr>
        <w:t xml:space="preserve"> تقول</w:t>
      </w:r>
      <w:r w:rsidRPr="00C85F0F">
        <w:rPr>
          <w:rFonts w:ascii="Traditional Arabic" w:hAnsi="Traditional Arabic"/>
          <w:noProof w:val="0"/>
          <w:rtl/>
          <w:lang w:eastAsia="en-US"/>
        </w:rPr>
        <w:t xml:space="preserve">: </w:t>
      </w:r>
      <w:r w:rsidR="009C4E53">
        <w:rPr>
          <w:rFonts w:ascii="Traditional Arabic" w:hAnsi="Traditional Arabic" w:hint="cs"/>
          <w:noProof w:val="0"/>
          <w:rtl/>
          <w:lang w:eastAsia="en-US"/>
        </w:rPr>
        <w:t>"</w:t>
      </w:r>
      <w:r w:rsidRPr="00C85F0F">
        <w:rPr>
          <w:rFonts w:ascii="Traditional Arabic" w:hAnsi="Traditional Arabic"/>
          <w:noProof w:val="0"/>
          <w:rtl/>
          <w:lang w:eastAsia="en-US"/>
        </w:rPr>
        <w:t xml:space="preserve">كل إنسان أمين فإنه يقبل قوله </w:t>
      </w:r>
      <w:r w:rsidRPr="00C85F0F">
        <w:rPr>
          <w:rFonts w:ascii="Traditional Arabic" w:hAnsi="Traditional Arabic"/>
          <w:noProof w:val="0"/>
          <w:rtl/>
          <w:lang w:eastAsia="en-US"/>
        </w:rPr>
        <w:lastRenderedPageBreak/>
        <w:t>فيما ائتمن فيه</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1699"/>
      </w:r>
      <w:r w:rsidRPr="00C85F0F">
        <w:rPr>
          <w:rStyle w:val="af1"/>
          <w:szCs w:val="32"/>
          <w:rtl/>
        </w:rPr>
        <w:t>)</w:t>
      </w:r>
      <w:r w:rsidRPr="00C85F0F">
        <w:rPr>
          <w:rFonts w:ascii="Traditional Arabic" w:hAnsi="Traditional Arabic" w:hint="cs"/>
          <w:noProof w:val="0"/>
          <w:rtl/>
          <w:lang w:eastAsia="en-US"/>
        </w:rPr>
        <w:t>.</w:t>
      </w:r>
    </w:p>
    <w:p w:rsidR="00065E4B" w:rsidRPr="00C85F0F" w:rsidRDefault="00602B85" w:rsidP="000A76C7">
      <w:pPr>
        <w:pStyle w:val="afc"/>
        <w:numPr>
          <w:ilvl w:val="0"/>
          <w:numId w:val="231"/>
        </w:numPr>
        <w:rPr>
          <w:color w:val="auto"/>
        </w:rPr>
      </w:pPr>
      <w:r w:rsidRPr="00C85F0F">
        <w:rPr>
          <w:rFonts w:ascii="Traditional Arabic" w:hAnsi="Traditional Arabic" w:hint="cs"/>
          <w:noProof w:val="0"/>
          <w:rtl/>
          <w:lang w:eastAsia="en-US"/>
        </w:rPr>
        <w:t>ي</w:t>
      </w:r>
      <w:r w:rsidR="009C4E53">
        <w:rPr>
          <w:rFonts w:ascii="Traditional Arabic" w:hAnsi="Traditional Arabic" w:hint="cs"/>
          <w:noProof w:val="0"/>
          <w:rtl/>
          <w:lang w:eastAsia="en-US"/>
        </w:rPr>
        <w:t>ُ</w:t>
      </w:r>
      <w:r w:rsidRPr="00C85F0F">
        <w:rPr>
          <w:rFonts w:ascii="Traditional Arabic" w:hAnsi="Traditional Arabic" w:hint="cs"/>
          <w:noProof w:val="0"/>
          <w:rtl/>
          <w:lang w:eastAsia="en-US"/>
        </w:rPr>
        <w:t>قبل قول ال</w:t>
      </w:r>
      <w:r w:rsidR="009C4E53">
        <w:rPr>
          <w:rFonts w:ascii="Traditional Arabic" w:hAnsi="Traditional Arabic" w:hint="cs"/>
          <w:noProof w:val="0"/>
          <w:rtl/>
          <w:lang w:eastAsia="en-US"/>
        </w:rPr>
        <w:t>ولي</w:t>
      </w:r>
      <w:r w:rsidRPr="00C85F0F">
        <w:rPr>
          <w:rFonts w:ascii="Traditional Arabic" w:hAnsi="Traditional Arabic" w:hint="cs"/>
          <w:noProof w:val="0"/>
          <w:rtl/>
          <w:lang w:eastAsia="en-US"/>
        </w:rPr>
        <w:t xml:space="preserve"> بعد فكِّ الحجر في النفقة: في قَدْرِها وأصلها.</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ف</w:t>
      </w:r>
      <w:r w:rsidR="00602B85" w:rsidRPr="00C85F0F">
        <w:rPr>
          <w:rFonts w:ascii="Traditional Arabic" w:hAnsi="Traditional Arabic"/>
          <w:noProof w:val="0"/>
          <w:rtl/>
          <w:lang w:eastAsia="en-US"/>
        </w:rPr>
        <w:t>إذا ف</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ك</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 xml:space="preserve"> الحجر، وقال المحجور عليه: أنا مالي عشرة آلاف، والآن لا يوجد إلا ثمانية آلاف، فأين الباقي؟ فقال الولي: أنفقتها عليك، </w:t>
      </w:r>
      <w:r w:rsidR="00602B85" w:rsidRPr="00C85F0F">
        <w:rPr>
          <w:rFonts w:ascii="Traditional Arabic" w:hAnsi="Traditional Arabic" w:hint="cs"/>
          <w:noProof w:val="0"/>
          <w:rtl/>
          <w:lang w:eastAsia="en-US"/>
        </w:rPr>
        <w:t xml:space="preserve">فإذا كان </w:t>
      </w:r>
      <w:r w:rsidR="00602B85" w:rsidRPr="00C85F0F">
        <w:rPr>
          <w:rFonts w:ascii="Traditional Arabic" w:hAnsi="Traditional Arabic"/>
          <w:noProof w:val="0"/>
          <w:rtl/>
          <w:lang w:eastAsia="en-US"/>
        </w:rPr>
        <w:t>قوله محتمل</w:t>
      </w:r>
      <w:r w:rsidR="00602B85" w:rsidRPr="00C85F0F">
        <w:rPr>
          <w:rFonts w:ascii="Traditional Arabic" w:hAnsi="Traditional Arabic" w:hint="cs"/>
          <w:noProof w:val="0"/>
          <w:rtl/>
          <w:lang w:eastAsia="en-US"/>
        </w:rPr>
        <w:t>ا</w:t>
      </w:r>
      <w:r w:rsidR="00602B85" w:rsidRPr="00C85F0F">
        <w:rPr>
          <w:rFonts w:ascii="Traditional Arabic" w:hAnsi="Traditional Arabic"/>
          <w:noProof w:val="0"/>
          <w:rtl/>
          <w:lang w:eastAsia="en-US"/>
        </w:rPr>
        <w:t xml:space="preserve"> أنه</w:t>
      </w:r>
      <w:r w:rsidR="00501C5E">
        <w:rPr>
          <w:rFonts w:ascii="Traditional Arabic" w:hAnsi="Traditional Arabic" w:hint="cs"/>
          <w:noProof w:val="0"/>
          <w:rtl/>
          <w:lang w:eastAsia="en-US"/>
        </w:rPr>
        <w:t xml:space="preserve"> </w:t>
      </w:r>
      <w:r w:rsidR="00602B85" w:rsidRPr="00C85F0F">
        <w:rPr>
          <w:rFonts w:ascii="Traditional Arabic" w:hAnsi="Traditional Arabic"/>
          <w:noProof w:val="0"/>
          <w:rtl/>
          <w:lang w:eastAsia="en-US"/>
        </w:rPr>
        <w:t>أنفق في هذه المدة ألفي ، فهنا ي</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 xml:space="preserve">قبل </w:t>
      </w:r>
      <w:r w:rsidR="00602B85" w:rsidRPr="00C85F0F">
        <w:rPr>
          <w:rFonts w:ascii="Traditional Arabic" w:hAnsi="Traditional Arabic" w:hint="cs"/>
          <w:noProof w:val="0"/>
          <w:rtl/>
          <w:lang w:eastAsia="en-US"/>
        </w:rPr>
        <w:t xml:space="preserve">قوله </w:t>
      </w:r>
      <w:r w:rsidR="00602B85" w:rsidRPr="00C85F0F">
        <w:rPr>
          <w:rFonts w:ascii="Traditional Arabic" w:hAnsi="Traditional Arabic"/>
          <w:noProof w:val="0"/>
          <w:rtl/>
          <w:lang w:eastAsia="en-US"/>
        </w:rPr>
        <w:t>بيمينه، وكذلك إذا قال: إني أنفقت، وقال المحجور عليه: لم تنفق إطلاقا، فالذي ي</w:t>
      </w:r>
      <w:r w:rsidR="00602B85" w:rsidRPr="00C85F0F">
        <w:rPr>
          <w:rFonts w:ascii="Traditional Arabic" w:hAnsi="Traditional Arabic" w:hint="cs"/>
          <w:noProof w:val="0"/>
          <w:rtl/>
          <w:lang w:eastAsia="en-US"/>
        </w:rPr>
        <w:t>ُ</w:t>
      </w:r>
      <w:r w:rsidR="00602B85" w:rsidRPr="00C85F0F">
        <w:rPr>
          <w:rFonts w:ascii="Traditional Arabic" w:hAnsi="Traditional Arabic"/>
          <w:noProof w:val="0"/>
          <w:rtl/>
          <w:lang w:eastAsia="en-US"/>
        </w:rPr>
        <w:t>قبل قوله هو الولي</w:t>
      </w:r>
      <w:r w:rsidR="00602B85" w:rsidRPr="00C85F0F">
        <w:rPr>
          <w:rStyle w:val="af1"/>
          <w:szCs w:val="32"/>
          <w:rtl/>
        </w:rPr>
        <w:t>(</w:t>
      </w:r>
      <w:r w:rsidR="00602B85" w:rsidRPr="00C85F0F">
        <w:rPr>
          <w:rStyle w:val="af1"/>
          <w:szCs w:val="32"/>
          <w:rtl/>
        </w:rPr>
        <w:footnoteReference w:id="1700"/>
      </w:r>
      <w:r w:rsidR="00602B85" w:rsidRPr="00C85F0F">
        <w:rPr>
          <w:rStyle w:val="af1"/>
          <w:szCs w:val="32"/>
          <w:rtl/>
        </w:rPr>
        <w:t>)</w:t>
      </w:r>
      <w:r w:rsidR="00602B85" w:rsidRPr="00C85F0F">
        <w:rPr>
          <w:rFonts w:ascii="Traditional Arabic" w:hAnsi="Traditional Arabic" w:hint="cs"/>
          <w:noProof w:val="0"/>
          <w:rtl/>
          <w:lang w:eastAsia="en-US"/>
        </w:rPr>
        <w:t>.</w:t>
      </w:r>
    </w:p>
    <w:p w:rsidR="00065E4B" w:rsidRPr="00C85F0F" w:rsidRDefault="00065E4B" w:rsidP="00FD3233">
      <w:pPr>
        <w:pStyle w:val="53"/>
        <w:rPr>
          <w:rtl/>
        </w:rPr>
      </w:pPr>
      <w:r w:rsidRPr="00C85F0F">
        <w:rPr>
          <w:rFonts w:hint="cs"/>
          <w:rtl/>
        </w:rPr>
        <w:t>و</w:t>
      </w:r>
      <w:r w:rsidR="00F228A9" w:rsidRPr="00C85F0F">
        <w:rPr>
          <w:rFonts w:hint="cs"/>
          <w:rtl/>
        </w:rPr>
        <w:t>جه اندراج ا</w:t>
      </w:r>
      <w:r w:rsidR="00F228A9" w:rsidRPr="00FD3233">
        <w:rPr>
          <w:rFonts w:hint="cs"/>
          <w:rtl/>
        </w:rPr>
        <w:t>ل</w:t>
      </w:r>
      <w:r w:rsidR="00F228A9" w:rsidRPr="00C85F0F">
        <w:rPr>
          <w:rFonts w:hint="cs"/>
          <w:rtl/>
        </w:rPr>
        <w:t>فرع تحت القاعدة:</w:t>
      </w:r>
    </w:p>
    <w:p w:rsidR="00602B85"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إ</w:t>
      </w:r>
      <w:r w:rsidR="00602B85" w:rsidRPr="00C85F0F">
        <w:rPr>
          <w:rFonts w:ascii="Traditional Arabic" w:hAnsi="Traditional Arabic" w:hint="cs"/>
          <w:noProof w:val="0"/>
          <w:rtl/>
          <w:lang w:eastAsia="en-US"/>
        </w:rPr>
        <w:t>نما قُبل قول الولي في هذه المسألة؛</w:t>
      </w:r>
      <w:r w:rsidR="009C4E53">
        <w:rPr>
          <w:rFonts w:ascii="Traditional Arabic" w:hAnsi="Traditional Arabic" w:hint="cs"/>
          <w:noProof w:val="0"/>
          <w:rtl/>
          <w:lang w:eastAsia="en-US"/>
        </w:rPr>
        <w:t xml:space="preserve"> </w:t>
      </w:r>
      <w:r w:rsidR="00602B85" w:rsidRPr="00C85F0F">
        <w:rPr>
          <w:rFonts w:ascii="Traditional Arabic" w:hAnsi="Traditional Arabic" w:hint="cs"/>
          <w:noProof w:val="0"/>
          <w:rtl/>
          <w:lang w:eastAsia="en-US"/>
        </w:rPr>
        <w:t>لأ</w:t>
      </w:r>
      <w:r w:rsidR="00602B85" w:rsidRPr="00C85F0F">
        <w:rPr>
          <w:rFonts w:ascii="Traditional Arabic" w:hAnsi="Traditional Arabic"/>
          <w:noProof w:val="0"/>
          <w:rtl/>
          <w:lang w:eastAsia="en-US"/>
        </w:rPr>
        <w:t>نه أمين، والأمين ي</w:t>
      </w:r>
      <w:r w:rsidR="009C4E53">
        <w:rPr>
          <w:rFonts w:ascii="Traditional Arabic" w:hAnsi="Traditional Arabic" w:hint="cs"/>
          <w:noProof w:val="0"/>
          <w:rtl/>
          <w:lang w:eastAsia="en-US"/>
        </w:rPr>
        <w:t>ُ</w:t>
      </w:r>
      <w:r w:rsidR="00602B85" w:rsidRPr="00C85F0F">
        <w:rPr>
          <w:rFonts w:ascii="Traditional Arabic" w:hAnsi="Traditional Arabic"/>
          <w:noProof w:val="0"/>
          <w:rtl/>
          <w:lang w:eastAsia="en-US"/>
        </w:rPr>
        <w:t>قبل قوله فيما أنفقه على ما ائتمن فيه</w:t>
      </w:r>
      <w:r w:rsidR="00602B85" w:rsidRPr="00C85F0F">
        <w:rPr>
          <w:rStyle w:val="af1"/>
          <w:szCs w:val="32"/>
          <w:rtl/>
        </w:rPr>
        <w:t>(</w:t>
      </w:r>
      <w:r w:rsidR="00602B85" w:rsidRPr="00C85F0F">
        <w:rPr>
          <w:rStyle w:val="af1"/>
          <w:szCs w:val="32"/>
          <w:rtl/>
        </w:rPr>
        <w:footnoteReference w:id="1701"/>
      </w:r>
      <w:r w:rsidR="00602B85" w:rsidRPr="00C85F0F">
        <w:rPr>
          <w:rStyle w:val="af1"/>
          <w:szCs w:val="32"/>
          <w:rtl/>
        </w:rPr>
        <w:t>)</w:t>
      </w:r>
      <w:r w:rsidR="00602B85" w:rsidRPr="00C85F0F">
        <w:rPr>
          <w:rFonts w:ascii="Traditional Arabic" w:hAnsi="Traditional Arabic"/>
          <w:noProof w:val="0"/>
          <w:rtl/>
          <w:lang w:eastAsia="en-US"/>
        </w:rPr>
        <w:t>.</w:t>
      </w:r>
    </w:p>
    <w:p w:rsidR="00602B85" w:rsidRPr="00C85F0F" w:rsidRDefault="00602B85" w:rsidP="000A76C7">
      <w:pPr>
        <w:pStyle w:val="afc"/>
        <w:widowControl/>
        <w:numPr>
          <w:ilvl w:val="0"/>
          <w:numId w:val="231"/>
        </w:numPr>
        <w:autoSpaceDE w:val="0"/>
        <w:autoSpaceDN w:val="0"/>
        <w:adjustRightInd w:val="0"/>
        <w:rPr>
          <w:rFonts w:ascii="Traditional Arabic" w:hAnsi="Traditional Arabic"/>
          <w:noProof w:val="0"/>
          <w:color w:val="auto"/>
          <w:rtl/>
          <w:lang w:eastAsia="en-US"/>
        </w:rPr>
      </w:pPr>
      <w:r w:rsidRPr="00C85F0F">
        <w:rPr>
          <w:rFonts w:ascii="Traditional Arabic" w:hAnsi="Traditional Arabic"/>
          <w:noProof w:val="0"/>
          <w:rtl/>
          <w:lang w:eastAsia="en-US"/>
        </w:rPr>
        <w:t>لو ادعى الولي أن مال اليتيم تلف، و</w:t>
      </w:r>
      <w:r w:rsidRPr="00C85F0F">
        <w:rPr>
          <w:rFonts w:ascii="Traditional Arabic" w:hAnsi="Traditional Arabic" w:hint="cs"/>
          <w:noProof w:val="0"/>
          <w:rtl/>
          <w:lang w:eastAsia="en-US"/>
        </w:rPr>
        <w:t xml:space="preserve">ادعى اليتيم أنه لم يَتلف، </w:t>
      </w:r>
      <w:r w:rsidRPr="00C85F0F">
        <w:rPr>
          <w:rFonts w:ascii="Traditional Arabic" w:hAnsi="Traditional Arabic"/>
          <w:noProof w:val="0"/>
          <w:rtl/>
          <w:lang w:eastAsia="en-US"/>
        </w:rPr>
        <w:t>فإن القول قول الولي</w:t>
      </w:r>
      <w:r w:rsidRPr="00C85F0F">
        <w:rPr>
          <w:rStyle w:val="af1"/>
          <w:szCs w:val="32"/>
          <w:rtl/>
        </w:rPr>
        <w:t>(</w:t>
      </w:r>
      <w:r w:rsidRPr="00C85F0F">
        <w:rPr>
          <w:rStyle w:val="af1"/>
          <w:szCs w:val="32"/>
          <w:rtl/>
        </w:rPr>
        <w:footnoteReference w:id="1702"/>
      </w:r>
      <w:r w:rsidRPr="00C85F0F">
        <w:rPr>
          <w:rStyle w:val="af1"/>
          <w:szCs w:val="32"/>
          <w:rtl/>
        </w:rPr>
        <w:t>)</w:t>
      </w:r>
      <w:r w:rsidRPr="00C85F0F">
        <w:rPr>
          <w:rFonts w:ascii="Traditional Arabic" w:hAnsi="Traditional Arabic" w:hint="cs"/>
          <w:noProof w:val="0"/>
          <w:color w:val="auto"/>
          <w:rtl/>
          <w:lang w:eastAsia="en-US"/>
        </w:rPr>
        <w:t>.</w:t>
      </w:r>
    </w:p>
    <w:p w:rsidR="00602B85" w:rsidRPr="00C85F0F" w:rsidRDefault="00602B85" w:rsidP="00FD3233">
      <w:pPr>
        <w:pStyle w:val="53"/>
        <w:rPr>
          <w:rtl/>
        </w:rPr>
      </w:pPr>
      <w:r w:rsidRPr="00C85F0F">
        <w:rPr>
          <w:rFonts w:hint="cs"/>
          <w:rtl/>
        </w:rPr>
        <w:t xml:space="preserve">وجه اندراج </w:t>
      </w:r>
      <w:r w:rsidRPr="00FD3233">
        <w:rPr>
          <w:rFonts w:hint="cs"/>
          <w:rtl/>
        </w:rPr>
        <w:t>الفرع</w:t>
      </w:r>
      <w:r w:rsidRPr="00C85F0F">
        <w:rPr>
          <w:rFonts w:hint="cs"/>
          <w:rtl/>
        </w:rPr>
        <w:t xml:space="preserve"> تحت القاعدة:</w:t>
      </w:r>
    </w:p>
    <w:p w:rsidR="00602B85" w:rsidRPr="00C85F0F" w:rsidRDefault="00602B85"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 xml:space="preserve">يقبل قول الولي في دعوى تَلَف مالِ اليتيم؛ لأنه مؤتمن، وكل أمين ادعى </w:t>
      </w:r>
      <w:r w:rsidRPr="00C85F0F">
        <w:rPr>
          <w:rFonts w:ascii="Traditional Arabic" w:hAnsi="Traditional Arabic"/>
          <w:noProof w:val="0"/>
          <w:rtl/>
          <w:lang w:eastAsia="en-US"/>
        </w:rPr>
        <w:t>التلف، فإنه يقبل قوله</w:t>
      </w:r>
      <w:r w:rsidRPr="00C85F0F">
        <w:rPr>
          <w:rStyle w:val="af1"/>
          <w:szCs w:val="32"/>
          <w:rtl/>
        </w:rPr>
        <w:t>(</w:t>
      </w:r>
      <w:r w:rsidRPr="00C85F0F">
        <w:rPr>
          <w:rStyle w:val="af1"/>
          <w:szCs w:val="32"/>
          <w:rtl/>
        </w:rPr>
        <w:footnoteReference w:id="1703"/>
      </w:r>
      <w:r w:rsidRPr="00C85F0F">
        <w:rPr>
          <w:rStyle w:val="af1"/>
          <w:szCs w:val="32"/>
          <w:rtl/>
        </w:rPr>
        <w:t>)</w:t>
      </w:r>
      <w:r w:rsidRPr="00C85F0F">
        <w:rPr>
          <w:rFonts w:ascii="Traditional Arabic" w:hAnsi="Traditional Arabic" w:hint="cs"/>
          <w:noProof w:val="0"/>
          <w:rtl/>
          <w:lang w:eastAsia="en-US"/>
        </w:rPr>
        <w:t>.</w:t>
      </w:r>
    </w:p>
    <w:p w:rsidR="00602B85" w:rsidRPr="00C85F0F" w:rsidRDefault="00602B85" w:rsidP="000A76C7">
      <w:pPr>
        <w:pStyle w:val="afc"/>
        <w:widowControl/>
        <w:numPr>
          <w:ilvl w:val="0"/>
          <w:numId w:val="231"/>
        </w:numPr>
        <w:autoSpaceDE w:val="0"/>
        <w:autoSpaceDN w:val="0"/>
        <w:adjustRightInd w:val="0"/>
        <w:rPr>
          <w:rFonts w:ascii="Traditional Arabic" w:hAnsi="Traditional Arabic"/>
          <w:noProof w:val="0"/>
          <w:lang w:eastAsia="en-US"/>
        </w:rPr>
      </w:pPr>
      <w:r w:rsidRPr="00C85F0F">
        <w:rPr>
          <w:rFonts w:ascii="Traditional Arabic" w:hAnsi="Traditional Arabic" w:hint="cs"/>
          <w:noProof w:val="0"/>
          <w:rtl/>
          <w:lang w:eastAsia="en-US"/>
        </w:rPr>
        <w:t>لو ادَّعى المودَع أنه ردَّ الوديعة إلى المودِع، فإنه يُقبل قوله، ولا يُطالَب بالبينة على الرد</w:t>
      </w:r>
      <w:r w:rsidRPr="00C85F0F">
        <w:rPr>
          <w:rStyle w:val="af1"/>
          <w:szCs w:val="32"/>
          <w:rtl/>
        </w:rPr>
        <w:t>(</w:t>
      </w:r>
      <w:r w:rsidRPr="00C85F0F">
        <w:rPr>
          <w:rStyle w:val="af1"/>
          <w:szCs w:val="32"/>
          <w:rtl/>
        </w:rPr>
        <w:footnoteReference w:id="1704"/>
      </w:r>
      <w:r w:rsidRPr="00C85F0F">
        <w:rPr>
          <w:rStyle w:val="af1"/>
          <w:szCs w:val="32"/>
          <w:rtl/>
        </w:rPr>
        <w:t>)</w:t>
      </w:r>
      <w:r w:rsidRPr="00C85F0F">
        <w:rPr>
          <w:rFonts w:ascii="Traditional Arabic" w:hAnsi="Traditional Arabic" w:hint="cs"/>
          <w:noProof w:val="0"/>
          <w:rtl/>
          <w:lang w:eastAsia="en-US"/>
        </w:rPr>
        <w:t>.</w:t>
      </w:r>
    </w:p>
    <w:p w:rsidR="00602B85" w:rsidRPr="00C85F0F" w:rsidRDefault="00602B85" w:rsidP="00FD3233">
      <w:pPr>
        <w:pStyle w:val="53"/>
        <w:rPr>
          <w:rtl/>
        </w:rPr>
      </w:pPr>
      <w:r w:rsidRPr="00C85F0F">
        <w:rPr>
          <w:rFonts w:hint="cs"/>
          <w:rtl/>
        </w:rPr>
        <w:lastRenderedPageBreak/>
        <w:t xml:space="preserve">وجه اندراج </w:t>
      </w:r>
      <w:r w:rsidRPr="00FD3233">
        <w:rPr>
          <w:rFonts w:hint="cs"/>
          <w:rtl/>
        </w:rPr>
        <w:t>الفرع</w:t>
      </w:r>
      <w:r w:rsidRPr="00C85F0F">
        <w:rPr>
          <w:rFonts w:hint="cs"/>
          <w:rtl/>
        </w:rPr>
        <w:t xml:space="preserve"> تحت القاعدة:</w:t>
      </w:r>
    </w:p>
    <w:p w:rsidR="00602B85" w:rsidRDefault="00602B85"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يقبل قول المودَع؛ لأنه أمين، وكل أمين يدعي الرد قبل قوله في الرد</w:t>
      </w:r>
      <w:r w:rsidRPr="00C85F0F">
        <w:rPr>
          <w:rStyle w:val="af1"/>
          <w:szCs w:val="32"/>
          <w:rtl/>
        </w:rPr>
        <w:t>(</w:t>
      </w:r>
      <w:r w:rsidRPr="00C85F0F">
        <w:rPr>
          <w:rStyle w:val="af1"/>
          <w:szCs w:val="32"/>
          <w:rtl/>
        </w:rPr>
        <w:footnoteReference w:id="1705"/>
      </w:r>
      <w:r w:rsidRPr="00C85F0F">
        <w:rPr>
          <w:rStyle w:val="af1"/>
          <w:szCs w:val="32"/>
          <w:rtl/>
        </w:rPr>
        <w:t>)</w:t>
      </w:r>
      <w:r w:rsidRPr="00C85F0F">
        <w:rPr>
          <w:rFonts w:ascii="Traditional Arabic" w:hAnsi="Traditional Arabic" w:hint="cs"/>
          <w:noProof w:val="0"/>
          <w:rtl/>
          <w:lang w:eastAsia="en-US"/>
        </w:rPr>
        <w:t>.</w:t>
      </w:r>
    </w:p>
    <w:p w:rsidR="00184ADA" w:rsidRDefault="00184ADA" w:rsidP="00597C20">
      <w:pPr>
        <w:widowControl/>
        <w:autoSpaceDE w:val="0"/>
        <w:autoSpaceDN w:val="0"/>
        <w:adjustRightInd w:val="0"/>
        <w:ind w:firstLine="720"/>
        <w:rPr>
          <w:rFonts w:ascii="Traditional Arabic" w:hAnsi="Traditional Arabic"/>
          <w:noProof w:val="0"/>
          <w:rtl/>
          <w:lang w:eastAsia="en-US"/>
        </w:rPr>
      </w:pPr>
    </w:p>
    <w:p w:rsidR="00184ADA" w:rsidRDefault="00184ADA" w:rsidP="00597C20">
      <w:pPr>
        <w:widowControl/>
        <w:autoSpaceDE w:val="0"/>
        <w:autoSpaceDN w:val="0"/>
        <w:adjustRightInd w:val="0"/>
        <w:ind w:firstLine="720"/>
        <w:rPr>
          <w:rFonts w:ascii="Traditional Arabic" w:hAnsi="Traditional Arabic"/>
          <w:b/>
          <w:bCs/>
          <w:noProof w:val="0"/>
          <w:rtl/>
          <w:lang w:eastAsia="en-US"/>
        </w:rPr>
      </w:pPr>
      <w:r>
        <w:rPr>
          <w:rFonts w:ascii="Traditional Arabic" w:hAnsi="Traditional Arabic" w:hint="cs"/>
          <w:b/>
          <w:bCs/>
          <w:noProof w:val="0"/>
          <w:rtl/>
          <w:lang w:eastAsia="en-US"/>
        </w:rPr>
        <w:t xml:space="preserve">                               المطلب الخامس:</w:t>
      </w:r>
    </w:p>
    <w:p w:rsidR="00184ADA" w:rsidRDefault="00184ADA" w:rsidP="00597C20">
      <w:pPr>
        <w:widowControl/>
        <w:autoSpaceDE w:val="0"/>
        <w:autoSpaceDN w:val="0"/>
        <w:adjustRightInd w:val="0"/>
        <w:ind w:firstLine="720"/>
        <w:rPr>
          <w:rFonts w:ascii="Traditional Arabic" w:hAnsi="Traditional Arabic"/>
          <w:b/>
          <w:bCs/>
          <w:noProof w:val="0"/>
          <w:rtl/>
          <w:lang w:eastAsia="en-US"/>
        </w:rPr>
      </w:pPr>
      <w:r>
        <w:rPr>
          <w:rFonts w:ascii="Traditional Arabic" w:hAnsi="Traditional Arabic" w:hint="cs"/>
          <w:b/>
          <w:bCs/>
          <w:noProof w:val="0"/>
          <w:rtl/>
          <w:lang w:eastAsia="en-US"/>
        </w:rPr>
        <w:t xml:space="preserve">                               مستثنيات القاعدة</w:t>
      </w:r>
    </w:p>
    <w:p w:rsidR="009C4E53" w:rsidRPr="00501C5E" w:rsidRDefault="00501C5E" w:rsidP="00501C5E">
      <w:pPr>
        <w:ind w:firstLine="0"/>
        <w:rPr>
          <w:rFonts w:ascii="Traditional Arabic" w:hAnsi="Traditional Arabic"/>
          <w:noProof w:val="0"/>
          <w:rtl/>
          <w:lang w:eastAsia="en-US"/>
        </w:rPr>
      </w:pPr>
      <w:r>
        <w:rPr>
          <w:rFonts w:ascii="Traditional Arabic" w:hAnsi="Traditional Arabic" w:hint="cs"/>
          <w:noProof w:val="0"/>
          <w:color w:val="auto"/>
          <w:rtl/>
          <w:lang w:eastAsia="en-US"/>
        </w:rPr>
        <w:t xml:space="preserve">    (1)</w:t>
      </w:r>
      <w:r w:rsidR="009C4E53" w:rsidRPr="00501C5E">
        <w:rPr>
          <w:rFonts w:ascii="Traditional Arabic" w:hAnsi="Traditional Arabic" w:hint="cs"/>
          <w:noProof w:val="0"/>
          <w:color w:val="auto"/>
          <w:rtl/>
          <w:lang w:eastAsia="en-US"/>
        </w:rPr>
        <w:t>إذا ادعى الأمين التلَف بسببٍ ظاهر لا يخفى عادةً</w:t>
      </w:r>
      <w:r w:rsidR="009C4E53" w:rsidRPr="00501C5E">
        <w:rPr>
          <w:rFonts w:ascii="Traditional Arabic" w:hAnsi="Traditional Arabic"/>
          <w:noProof w:val="0"/>
          <w:rtl/>
          <w:lang w:eastAsia="en-US"/>
        </w:rPr>
        <w:t>، كالحريق والغر</w:t>
      </w:r>
      <w:r w:rsidR="009C4E53" w:rsidRPr="00501C5E">
        <w:rPr>
          <w:rFonts w:ascii="Traditional Arabic" w:hAnsi="Traditional Arabic" w:hint="cs"/>
          <w:noProof w:val="0"/>
          <w:rtl/>
          <w:lang w:eastAsia="en-US"/>
        </w:rPr>
        <w:t>َ</w:t>
      </w:r>
      <w:r w:rsidR="009C4E53" w:rsidRPr="00501C5E">
        <w:rPr>
          <w:rFonts w:ascii="Traditional Arabic" w:hAnsi="Traditional Arabic"/>
          <w:noProof w:val="0"/>
          <w:rtl/>
          <w:lang w:eastAsia="en-US"/>
        </w:rPr>
        <w:t>ق والجنود التي احتل</w:t>
      </w:r>
      <w:r w:rsidR="009C4E53" w:rsidRPr="00501C5E">
        <w:rPr>
          <w:rFonts w:ascii="Traditional Arabic" w:hAnsi="Traditional Arabic" w:hint="cs"/>
          <w:noProof w:val="0"/>
          <w:rtl/>
          <w:lang w:eastAsia="en-US"/>
        </w:rPr>
        <w:t>َّ</w:t>
      </w:r>
      <w:r w:rsidR="009C4E53" w:rsidRPr="00501C5E">
        <w:rPr>
          <w:rFonts w:ascii="Traditional Arabic" w:hAnsi="Traditional Arabic"/>
          <w:noProof w:val="0"/>
          <w:rtl/>
          <w:lang w:eastAsia="en-US"/>
        </w:rPr>
        <w:t>ت البلاد، وما أشبه ذلك، فلا بد أن ي</w:t>
      </w:r>
      <w:r w:rsidR="009C4E53" w:rsidRPr="00501C5E">
        <w:rPr>
          <w:rFonts w:ascii="Traditional Arabic" w:hAnsi="Traditional Arabic" w:hint="cs"/>
          <w:noProof w:val="0"/>
          <w:rtl/>
          <w:lang w:eastAsia="en-US"/>
        </w:rPr>
        <w:t>ُ</w:t>
      </w:r>
      <w:r>
        <w:rPr>
          <w:rFonts w:ascii="Traditional Arabic" w:hAnsi="Traditional Arabic"/>
          <w:noProof w:val="0"/>
          <w:rtl/>
          <w:lang w:eastAsia="en-US"/>
        </w:rPr>
        <w:t>قيم البينة على</w:t>
      </w:r>
      <w:r w:rsidR="009C4E53" w:rsidRPr="00501C5E">
        <w:rPr>
          <w:rFonts w:ascii="Traditional Arabic" w:hAnsi="Traditional Arabic"/>
          <w:noProof w:val="0"/>
          <w:rtl/>
          <w:lang w:eastAsia="en-US"/>
        </w:rPr>
        <w:t xml:space="preserve"> هذا الحادث الظاهر، ثم ي</w:t>
      </w:r>
      <w:r w:rsidR="009C4E53" w:rsidRPr="00501C5E">
        <w:rPr>
          <w:rFonts w:ascii="Traditional Arabic" w:hAnsi="Traditional Arabic" w:hint="cs"/>
          <w:noProof w:val="0"/>
          <w:rtl/>
          <w:lang w:eastAsia="en-US"/>
        </w:rPr>
        <w:t>ُ</w:t>
      </w:r>
      <w:r w:rsidR="009C4E53" w:rsidRPr="00501C5E">
        <w:rPr>
          <w:rFonts w:ascii="Traditional Arabic" w:hAnsi="Traditional Arabic"/>
          <w:noProof w:val="0"/>
          <w:rtl/>
          <w:lang w:eastAsia="en-US"/>
        </w:rPr>
        <w:t>قبل قوله في التل</w:t>
      </w:r>
      <w:r w:rsidR="009C4E53" w:rsidRPr="00501C5E">
        <w:rPr>
          <w:rFonts w:ascii="Traditional Arabic" w:hAnsi="Traditional Arabic" w:hint="cs"/>
          <w:noProof w:val="0"/>
          <w:rtl/>
          <w:lang w:eastAsia="en-US"/>
        </w:rPr>
        <w:t>َ</w:t>
      </w:r>
      <w:r w:rsidR="009C4E53" w:rsidRPr="00501C5E">
        <w:rPr>
          <w:rFonts w:ascii="Traditional Arabic" w:hAnsi="Traditional Arabic"/>
          <w:noProof w:val="0"/>
          <w:rtl/>
          <w:lang w:eastAsia="en-US"/>
        </w:rPr>
        <w:t>ف</w:t>
      </w:r>
      <w:r w:rsidR="009C4E53" w:rsidRPr="00501C5E">
        <w:rPr>
          <w:rStyle w:val="af1"/>
          <w:szCs w:val="32"/>
          <w:rtl/>
        </w:rPr>
        <w:t>(</w:t>
      </w:r>
      <w:r w:rsidR="009C4E53" w:rsidRPr="00C85F0F">
        <w:rPr>
          <w:rStyle w:val="af1"/>
          <w:szCs w:val="32"/>
          <w:rtl/>
        </w:rPr>
        <w:footnoteReference w:id="1706"/>
      </w:r>
      <w:r w:rsidR="009C4E53" w:rsidRPr="00501C5E">
        <w:rPr>
          <w:rStyle w:val="af1"/>
          <w:szCs w:val="32"/>
          <w:rtl/>
        </w:rPr>
        <w:t>)</w:t>
      </w:r>
      <w:r w:rsidR="009C4E53" w:rsidRPr="00501C5E">
        <w:rPr>
          <w:rFonts w:ascii="Traditional Arabic" w:hAnsi="Traditional Arabic" w:hint="cs"/>
          <w:noProof w:val="0"/>
          <w:rtl/>
          <w:lang w:eastAsia="en-US"/>
        </w:rPr>
        <w:t>.</w:t>
      </w:r>
    </w:p>
    <w:p w:rsidR="009C4E53" w:rsidRDefault="00501C5E" w:rsidP="00501C5E">
      <w:pPr>
        <w:ind w:firstLine="0"/>
        <w:rPr>
          <w:rFonts w:ascii="Traditional Arabic" w:hAnsi="Traditional Arabic"/>
          <w:noProof w:val="0"/>
          <w:rtl/>
          <w:lang w:eastAsia="en-US"/>
        </w:rPr>
      </w:pPr>
      <w:r>
        <w:rPr>
          <w:rFonts w:ascii="Traditional Arabic" w:hAnsi="Traditional Arabic" w:hint="cs"/>
          <w:noProof w:val="0"/>
          <w:color w:val="auto"/>
          <w:rtl/>
          <w:lang w:eastAsia="en-US"/>
        </w:rPr>
        <w:t xml:space="preserve">    (2)</w:t>
      </w:r>
      <w:r w:rsidR="00DA5406">
        <w:rPr>
          <w:rFonts w:ascii="Traditional Arabic" w:hAnsi="Traditional Arabic" w:hint="cs"/>
          <w:noProof w:val="0"/>
          <w:color w:val="auto"/>
          <w:rtl/>
          <w:lang w:eastAsia="en-US"/>
        </w:rPr>
        <w:t>إذ</w:t>
      </w:r>
      <w:r w:rsidR="009C4E53" w:rsidRPr="00C85F0F">
        <w:rPr>
          <w:rFonts w:ascii="Traditional Arabic" w:hAnsi="Traditional Arabic" w:hint="cs"/>
          <w:noProof w:val="0"/>
          <w:color w:val="auto"/>
          <w:rtl/>
          <w:lang w:eastAsia="en-US"/>
        </w:rPr>
        <w:t>ا</w:t>
      </w:r>
      <w:r w:rsidR="00DA5406">
        <w:rPr>
          <w:rFonts w:ascii="Traditional Arabic" w:hAnsi="Traditional Arabic" w:hint="cs"/>
          <w:noProof w:val="0"/>
          <w:color w:val="auto"/>
          <w:rtl/>
          <w:lang w:eastAsia="en-US"/>
        </w:rPr>
        <w:t xml:space="preserve"> </w:t>
      </w:r>
      <w:r w:rsidR="009C4E53" w:rsidRPr="00C85F0F">
        <w:rPr>
          <w:rFonts w:ascii="Traditional Arabic" w:hAnsi="Traditional Arabic" w:hint="cs"/>
          <w:noProof w:val="0"/>
          <w:color w:val="auto"/>
          <w:rtl/>
          <w:lang w:eastAsia="en-US"/>
        </w:rPr>
        <w:t xml:space="preserve">قبض </w:t>
      </w:r>
      <w:r w:rsidR="00DA5406">
        <w:rPr>
          <w:rFonts w:ascii="Traditional Arabic" w:hAnsi="Traditional Arabic" w:hint="cs"/>
          <w:noProof w:val="0"/>
          <w:color w:val="auto"/>
          <w:rtl/>
          <w:lang w:eastAsia="en-US"/>
        </w:rPr>
        <w:t xml:space="preserve">الأمين </w:t>
      </w:r>
      <w:r w:rsidR="009C4E53" w:rsidRPr="00C85F0F">
        <w:rPr>
          <w:rFonts w:ascii="Traditional Arabic" w:hAnsi="Traditional Arabic" w:hint="cs"/>
          <w:noProof w:val="0"/>
          <w:color w:val="auto"/>
          <w:rtl/>
          <w:lang w:eastAsia="en-US"/>
        </w:rPr>
        <w:t>العين لمصلحته أو مصلحة مشتركة بينه وبين المالك، فإنه لا يُقبل قوله في الرد حتى يأتي ببينة على ذلك</w:t>
      </w:r>
      <w:r w:rsidR="00DA5406" w:rsidRPr="00DA5406">
        <w:rPr>
          <w:rFonts w:ascii="Traditional Arabic" w:hAnsi="Traditional Arabic" w:hint="cs"/>
          <w:noProof w:val="0"/>
          <w:color w:val="auto"/>
          <w:vertAlign w:val="superscript"/>
          <w:rtl/>
          <w:lang w:eastAsia="en-US"/>
        </w:rPr>
        <w:t>(</w:t>
      </w:r>
      <w:r w:rsidR="009C4E53" w:rsidRPr="00DA5406">
        <w:rPr>
          <w:rStyle w:val="af1"/>
          <w:rFonts w:ascii="Traditional Arabic" w:hAnsi="Traditional Arabic"/>
          <w:noProof w:val="0"/>
          <w:rtl/>
          <w:lang w:eastAsia="en-US"/>
        </w:rPr>
        <w:footnoteReference w:id="1707"/>
      </w:r>
      <w:r w:rsidR="00DA5406" w:rsidRPr="00DA5406">
        <w:rPr>
          <w:rFonts w:ascii="Traditional Arabic" w:hAnsi="Traditional Arabic" w:hint="cs"/>
          <w:noProof w:val="0"/>
          <w:color w:val="auto"/>
          <w:vertAlign w:val="superscript"/>
          <w:rtl/>
          <w:lang w:eastAsia="en-US"/>
        </w:rPr>
        <w:t>)</w:t>
      </w:r>
      <w:r w:rsidR="009C4E53">
        <w:rPr>
          <w:rFonts w:ascii="Traditional Arabic" w:hAnsi="Traditional Arabic" w:hint="cs"/>
          <w:noProof w:val="0"/>
          <w:rtl/>
          <w:lang w:eastAsia="en-US"/>
        </w:rPr>
        <w:t>.</w:t>
      </w:r>
    </w:p>
    <w:p w:rsidR="009C4E53" w:rsidRPr="00C85F0F" w:rsidRDefault="009C4E53" w:rsidP="009C4E53">
      <w:pPr>
        <w:ind w:firstLine="720"/>
        <w:rPr>
          <w:rFonts w:ascii="Traditional Arabic" w:hAnsi="Traditional Arabic"/>
          <w:noProof w:val="0"/>
          <w:color w:val="auto"/>
          <w:rtl/>
          <w:lang w:eastAsia="en-US"/>
        </w:rPr>
      </w:pPr>
    </w:p>
    <w:p w:rsidR="00184ADA" w:rsidRPr="00184ADA" w:rsidRDefault="00184ADA" w:rsidP="00184ADA">
      <w:pPr>
        <w:widowControl/>
        <w:autoSpaceDE w:val="0"/>
        <w:autoSpaceDN w:val="0"/>
        <w:adjustRightInd w:val="0"/>
        <w:rPr>
          <w:rFonts w:ascii="Traditional Arabic" w:hAnsi="Traditional Arabic"/>
          <w:noProof w:val="0"/>
          <w:rtl/>
          <w:lang w:eastAsia="en-US"/>
        </w:rPr>
      </w:pPr>
    </w:p>
    <w:p w:rsidR="00DF7D27" w:rsidRPr="00DB450C" w:rsidRDefault="004D2319" w:rsidP="00DB450C">
      <w:pPr>
        <w:pStyle w:val="aff2"/>
        <w:rPr>
          <w:rStyle w:val="af1"/>
          <w:vertAlign w:val="baseline"/>
        </w:rPr>
      </w:pPr>
      <w:bookmarkStart w:id="346" w:name="_Toc334046552"/>
      <w:r w:rsidRPr="00C85F0F">
        <w:rPr>
          <w:rFonts w:ascii="Traditional Arabic" w:hAnsi="Traditional Arabic" w:hint="cs"/>
          <w:rtl/>
        </w:rPr>
        <w:lastRenderedPageBreak/>
        <w:t>المبحث الثالث</w:t>
      </w:r>
      <w:r w:rsidR="00D816CC" w:rsidRPr="00C85F0F">
        <w:rPr>
          <w:rFonts w:ascii="Traditional Arabic" w:hAnsi="Traditional Arabic" w:hint="eastAsia"/>
          <w:rtl/>
        </w:rPr>
        <w:t> </w:t>
      </w:r>
      <w:r w:rsidRPr="00C85F0F">
        <w:rPr>
          <w:rFonts w:ascii="Traditional Arabic" w:hAnsi="Traditional Arabic" w:hint="cs"/>
          <w:rtl/>
        </w:rPr>
        <w:t>:</w:t>
      </w:r>
      <w:r w:rsidRPr="00C85F0F">
        <w:rPr>
          <w:rFonts w:ascii="Traditional Arabic" w:hAnsi="Traditional Arabic"/>
          <w:rtl/>
        </w:rPr>
        <w:br/>
      </w:r>
      <w:r w:rsidRPr="00C85F0F">
        <w:rPr>
          <w:rFonts w:ascii="Traditional Arabic" w:hAnsi="Traditional Arabic" w:hint="cs"/>
          <w:rtl/>
        </w:rPr>
        <w:t>قاعدة</w:t>
      </w:r>
      <w:r w:rsidRPr="00C85F0F">
        <w:rPr>
          <w:rFonts w:ascii="Traditional Arabic" w:hAnsi="Traditional Arabic"/>
          <w:rtl/>
        </w:rPr>
        <w:br/>
      </w:r>
      <w:r w:rsidR="00DF7D27" w:rsidRPr="00C85F0F">
        <w:rPr>
          <w:rFonts w:hint="cs"/>
          <w:rtl/>
        </w:rPr>
        <w:t>"من قبض الشيء لحظ نفسه لم يقبل قوله في الرد</w:t>
      </w:r>
      <w:r w:rsidR="00B76414" w:rsidRPr="00C85F0F">
        <w:rPr>
          <w:rFonts w:hint="cs"/>
          <w:rtl/>
        </w:rPr>
        <w:t>،</w:t>
      </w:r>
      <w:r w:rsidR="00DF7D27" w:rsidRPr="00C85F0F">
        <w:rPr>
          <w:rFonts w:hint="cs"/>
          <w:rtl/>
        </w:rPr>
        <w:t xml:space="preserve"> ومن قبضه</w:t>
      </w:r>
      <w:bookmarkEnd w:id="346"/>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منقبضالشيءلحظنفسهلميقبلقولهفيالرد،ومنقبضه</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DB450C">
        <w:rPr>
          <w:rFonts w:hint="cs"/>
          <w:rtl/>
        </w:rPr>
        <w:t xml:space="preserve"> </w:t>
      </w:r>
      <w:r w:rsidR="00DF7D27" w:rsidRPr="00DB450C">
        <w:rPr>
          <w:rFonts w:hint="cs"/>
          <w:rtl/>
        </w:rPr>
        <w:t>لحظ مالكه قبل قوله في الرد، ومن قبضها لحظهما جميعا لم يقبل قوله في الرد</w:t>
      </w:r>
      <w:r w:rsidR="00DF7D27" w:rsidRPr="00C85F0F">
        <w:rPr>
          <w:rFonts w:hint="cs"/>
          <w:rtl/>
        </w:rPr>
        <w:t>"</w:t>
      </w:r>
      <w:r w:rsidR="00DF7D27" w:rsidRPr="00C85F0F">
        <w:rPr>
          <w:rStyle w:val="af1"/>
          <w:szCs w:val="32"/>
          <w:rtl/>
        </w:rPr>
        <w:t>(</w:t>
      </w:r>
      <w:r w:rsidR="00DF7D27" w:rsidRPr="00C85F0F">
        <w:rPr>
          <w:rStyle w:val="af1"/>
          <w:szCs w:val="32"/>
          <w:rtl/>
        </w:rPr>
        <w:footnoteReference w:id="1708"/>
      </w:r>
      <w:r w:rsidR="00DF7D27" w:rsidRPr="00C85F0F">
        <w:rPr>
          <w:rStyle w:val="af1"/>
          <w:szCs w:val="32"/>
          <w:rtl/>
        </w:rPr>
        <w:t>)</w:t>
      </w:r>
    </w:p>
    <w:p w:rsidR="00065E4B" w:rsidRPr="00C85F0F" w:rsidRDefault="00184ADA" w:rsidP="00A8347C">
      <w:pPr>
        <w:pStyle w:val="aff3"/>
        <w:rPr>
          <w:rtl/>
        </w:rPr>
      </w:pPr>
      <w:bookmarkStart w:id="347" w:name="_Toc334046553"/>
      <w:r>
        <w:rPr>
          <w:rFonts w:hint="cs"/>
          <w:rtl/>
        </w:rPr>
        <w:t xml:space="preserve">                                         المطلب</w:t>
      </w:r>
      <w:r w:rsidR="00DA5406">
        <w:rPr>
          <w:rFonts w:hint="cs"/>
          <w:rtl/>
        </w:rPr>
        <w:t xml:space="preserve"> </w:t>
      </w:r>
      <w:r w:rsidR="00DF7D27" w:rsidRPr="00C85F0F">
        <w:rPr>
          <w:rFonts w:hint="cs"/>
          <w:rtl/>
        </w:rPr>
        <w:t>الأول</w:t>
      </w:r>
      <w:r w:rsidR="00DF7D27" w:rsidRPr="00C85F0F">
        <w:rPr>
          <w:rFonts w:hint="eastAsia"/>
          <w:rtl/>
        </w:rPr>
        <w:t> :</w:t>
      </w:r>
      <w:r w:rsidR="00DF7D27" w:rsidRPr="00C85F0F">
        <w:rPr>
          <w:rFonts w:hint="cs"/>
          <w:rtl/>
        </w:rPr>
        <w:br/>
      </w:r>
      <w:r>
        <w:rPr>
          <w:rFonts w:hint="cs"/>
          <w:rtl/>
        </w:rPr>
        <w:t xml:space="preserve">                     </w:t>
      </w:r>
      <w:r w:rsidR="00DB450C">
        <w:rPr>
          <w:rFonts w:hint="cs"/>
          <w:rtl/>
        </w:rPr>
        <w:t xml:space="preserve"> </w:t>
      </w:r>
      <w:r w:rsidR="00DF7D27" w:rsidRPr="00C85F0F">
        <w:rPr>
          <w:rFonts w:hint="cs"/>
          <w:rtl/>
        </w:rPr>
        <w:t>صيغ القاعدة عند الشيخ وعند علماء القواعد</w:t>
      </w:r>
      <w:bookmarkEnd w:id="347"/>
    </w:p>
    <w:p w:rsidR="00DF7D27" w:rsidRPr="00C85F0F" w:rsidRDefault="00065E4B" w:rsidP="00597C20">
      <w:pPr>
        <w:ind w:firstLine="0"/>
        <w:rPr>
          <w:rtl/>
        </w:rPr>
      </w:pPr>
      <w:r w:rsidRPr="00C85F0F">
        <w:rPr>
          <w:rFonts w:hint="cs"/>
          <w:rtl/>
        </w:rPr>
        <w:t>و</w:t>
      </w:r>
      <w:r w:rsidR="00DF7D27" w:rsidRPr="00C85F0F">
        <w:rPr>
          <w:rFonts w:hint="cs"/>
          <w:rtl/>
        </w:rPr>
        <w:t xml:space="preserve">ردت هذه القاعدة عند الشيخ ابن عثيمين </w:t>
      </w:r>
      <w:r w:rsidR="00395E3B">
        <w:rPr>
          <w:rFonts w:hint="cs"/>
          <w:rtl/>
        </w:rPr>
        <w:t>_</w:t>
      </w:r>
      <w:r w:rsidR="009A0575" w:rsidRPr="005D5694">
        <w:rPr>
          <w:rFonts w:ascii="Traditional Arabic" w:hAnsi="Traditional Arabic" w:cs="CTraditional Arabic" w:hint="cs"/>
          <w:rtl/>
        </w:rPr>
        <w:t>/</w:t>
      </w:r>
      <w:r w:rsidR="00395E3B">
        <w:rPr>
          <w:rFonts w:hint="cs"/>
          <w:rtl/>
        </w:rPr>
        <w:t>_</w:t>
      </w:r>
      <w:r w:rsidR="00DF7D27" w:rsidRPr="00C85F0F">
        <w:rPr>
          <w:rFonts w:hint="cs"/>
          <w:rtl/>
        </w:rPr>
        <w:t xml:space="preserve"> بعدة صيغ، منها:</w:t>
      </w:r>
    </w:p>
    <w:p w:rsidR="00DF7D27" w:rsidRPr="00C85F0F" w:rsidRDefault="00DF7D27" w:rsidP="000A76C7">
      <w:pPr>
        <w:numPr>
          <w:ilvl w:val="0"/>
          <w:numId w:val="232"/>
        </w:numPr>
        <w:rPr>
          <w:color w:val="auto"/>
        </w:rPr>
      </w:pP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قبض الشيء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نفس</w:t>
      </w:r>
      <w:r w:rsidRPr="00C85F0F">
        <w:rPr>
          <w:rFonts w:ascii="Traditional Arabic" w:hAnsi="Traditional Arabic" w:hint="cs"/>
          <w:noProof w:val="0"/>
          <w:color w:val="auto"/>
          <w:rtl/>
          <w:lang w:eastAsia="en-US"/>
        </w:rPr>
        <w:t>ه</w:t>
      </w:r>
      <w:r w:rsidRPr="00C85F0F">
        <w:rPr>
          <w:rFonts w:ascii="Traditional Arabic" w:hAnsi="Traditional Arabic"/>
          <w:noProof w:val="0"/>
          <w:color w:val="auto"/>
          <w:rtl/>
          <w:lang w:eastAsia="en-US"/>
        </w:rPr>
        <w:t xml:space="preserve"> لم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قبل قول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في الرد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ومن قبضه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كه 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بل قوله في الرد، ومن قبضه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هما جميعا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لم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قبل قوله في الرد</w:t>
      </w:r>
      <w:r w:rsidRPr="00C85F0F">
        <w:rPr>
          <w:rStyle w:val="af1"/>
          <w:szCs w:val="32"/>
          <w:rtl/>
        </w:rPr>
        <w:t>(</w:t>
      </w:r>
      <w:r w:rsidRPr="00C85F0F">
        <w:rPr>
          <w:rStyle w:val="af1"/>
          <w:szCs w:val="32"/>
          <w:rtl/>
        </w:rPr>
        <w:footnoteReference w:id="1709"/>
      </w:r>
      <w:r w:rsidRPr="00C85F0F">
        <w:rPr>
          <w:rStyle w:val="af1"/>
          <w:szCs w:val="32"/>
          <w:rtl/>
        </w:rPr>
        <w:t>)</w:t>
      </w:r>
      <w:r w:rsidRPr="00C85F0F">
        <w:rPr>
          <w:rFonts w:hint="cs"/>
          <w:color w:val="auto"/>
          <w:rtl/>
        </w:rPr>
        <w:t>.</w:t>
      </w:r>
    </w:p>
    <w:p w:rsidR="00DF7D27" w:rsidRPr="00C85F0F" w:rsidRDefault="00DF7D27" w:rsidP="000A76C7">
      <w:pPr>
        <w:numPr>
          <w:ilvl w:val="0"/>
          <w:numId w:val="232"/>
        </w:numPr>
        <w:rPr>
          <w:color w:val="auto"/>
        </w:rPr>
      </w:pPr>
      <w:r w:rsidRPr="00C85F0F">
        <w:rPr>
          <w:rFonts w:ascii="Traditional Arabic" w:hAnsi="Traditional Arabic"/>
          <w:noProof w:val="0"/>
          <w:color w:val="auto"/>
          <w:rtl/>
          <w:lang w:eastAsia="en-US"/>
        </w:rPr>
        <w:t>من قبض العين لمصلحة نفسه لم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قبل قوله في الرد</w:t>
      </w:r>
      <w:r w:rsidRPr="00C85F0F">
        <w:rPr>
          <w:rStyle w:val="af1"/>
          <w:szCs w:val="32"/>
          <w:rtl/>
        </w:rPr>
        <w:t>(</w:t>
      </w:r>
      <w:r w:rsidRPr="00C85F0F">
        <w:rPr>
          <w:rStyle w:val="af1"/>
          <w:szCs w:val="32"/>
          <w:rtl/>
        </w:rPr>
        <w:footnoteReference w:id="1710"/>
      </w:r>
      <w:r w:rsidRPr="00C85F0F">
        <w:rPr>
          <w:rStyle w:val="af1"/>
          <w:szCs w:val="32"/>
          <w:rtl/>
        </w:rPr>
        <w:t>)</w:t>
      </w:r>
      <w:r w:rsidRPr="00C85F0F">
        <w:rPr>
          <w:rFonts w:hint="cs"/>
          <w:color w:val="auto"/>
          <w:rtl/>
        </w:rPr>
        <w:t>.</w:t>
      </w:r>
    </w:p>
    <w:p w:rsidR="00065E4B" w:rsidRPr="00C85F0F" w:rsidRDefault="00DF7D27" w:rsidP="000A76C7">
      <w:pPr>
        <w:widowControl/>
        <w:numPr>
          <w:ilvl w:val="0"/>
          <w:numId w:val="232"/>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noProof w:val="0"/>
          <w:color w:val="auto"/>
          <w:rtl/>
          <w:lang w:eastAsia="en-US"/>
        </w:rPr>
        <w:t>من قبض العين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مالكها 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بل قوله في الرد</w:t>
      </w:r>
      <w:r w:rsidRPr="00C85F0F">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ومن قبض العين لمصلحته لم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قبل قوله في الرد</w:t>
      </w:r>
      <w:r w:rsidRPr="00C85F0F">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ومن قبض العين لمصلحته ومصلحة مالكها لم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قبل ـ أيضا ـ تغليبا لجانب الضمان</w:t>
      </w:r>
      <w:r w:rsidRPr="00C85F0F">
        <w:rPr>
          <w:rStyle w:val="af1"/>
          <w:szCs w:val="32"/>
          <w:rtl/>
        </w:rPr>
        <w:t>(</w:t>
      </w:r>
      <w:r w:rsidRPr="00C85F0F">
        <w:rPr>
          <w:rStyle w:val="af1"/>
          <w:szCs w:val="32"/>
          <w:rtl/>
        </w:rPr>
        <w:footnoteReference w:id="1711"/>
      </w:r>
      <w:r w:rsidRPr="00C85F0F">
        <w:rPr>
          <w:rStyle w:val="af1"/>
          <w:szCs w:val="32"/>
          <w:rtl/>
        </w:rPr>
        <w:t>)</w:t>
      </w:r>
      <w:r w:rsidRPr="00C85F0F">
        <w:rPr>
          <w:rFonts w:ascii="Traditional Arabic" w:hAnsi="Traditional Arabic"/>
          <w:noProof w:val="0"/>
          <w:color w:val="auto"/>
          <w:rtl/>
          <w:lang w:eastAsia="en-US"/>
        </w:rPr>
        <w:t>.</w:t>
      </w:r>
    </w:p>
    <w:p w:rsidR="00DF7D27" w:rsidRPr="00C85F0F" w:rsidRDefault="00065E4B" w:rsidP="00597C20">
      <w:pPr>
        <w:widowControl/>
        <w:autoSpaceDE w:val="0"/>
        <w:autoSpaceDN w:val="0"/>
        <w:adjustRightInd w:val="0"/>
        <w:ind w:firstLine="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DF7D27" w:rsidRPr="00C85F0F">
        <w:rPr>
          <w:rFonts w:ascii="Traditional Arabic" w:hAnsi="Traditional Arabic" w:hint="cs"/>
          <w:noProof w:val="0"/>
          <w:color w:val="auto"/>
          <w:rtl/>
          <w:lang w:eastAsia="en-US"/>
        </w:rPr>
        <w:t>مما وردت به هذه القاعدة عند علماء القواعد من الصيغ:</w:t>
      </w:r>
    </w:p>
    <w:p w:rsidR="00395E3B" w:rsidRPr="00DB450C" w:rsidRDefault="00DF7D27" w:rsidP="00DB450C">
      <w:pPr>
        <w:pStyle w:val="afc"/>
        <w:widowControl/>
        <w:numPr>
          <w:ilvl w:val="0"/>
          <w:numId w:val="233"/>
        </w:numPr>
        <w:autoSpaceDE w:val="0"/>
        <w:autoSpaceDN w:val="0"/>
        <w:adjustRightInd w:val="0"/>
        <w:rPr>
          <w:rFonts w:ascii="Traditional Arabic" w:hAnsi="Traditional Arabic"/>
          <w:noProof w:val="0"/>
          <w:color w:val="auto"/>
          <w:lang w:eastAsia="en-US"/>
        </w:rPr>
      </w:pPr>
      <w:r w:rsidRPr="00C85F0F">
        <w:rPr>
          <w:rFonts w:ascii="Traditional Arabic" w:hAnsi="Traditional Arabic"/>
          <w:noProof w:val="0"/>
          <w:rtl/>
          <w:lang w:eastAsia="en-US"/>
        </w:rPr>
        <w:t>من قبض شيئا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ضه لا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قبل قوله في الرد إلى المالك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ومن قبضه لغرض المالك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بل </w:t>
      </w:r>
    </w:p>
    <w:p w:rsidR="00DF7D27" w:rsidRPr="00C85F0F" w:rsidRDefault="00DF7D27" w:rsidP="00395E3B">
      <w:pPr>
        <w:pStyle w:val="afc"/>
        <w:widowControl/>
        <w:autoSpaceDE w:val="0"/>
        <w:autoSpaceDN w:val="0"/>
        <w:adjustRightInd w:val="0"/>
        <w:ind w:left="1066" w:firstLine="0"/>
        <w:rPr>
          <w:rFonts w:ascii="Traditional Arabic" w:hAnsi="Traditional Arabic"/>
          <w:noProof w:val="0"/>
          <w:color w:val="auto"/>
          <w:lang w:eastAsia="en-US"/>
        </w:rPr>
      </w:pPr>
      <w:r w:rsidRPr="00C85F0F">
        <w:rPr>
          <w:rFonts w:ascii="Traditional Arabic" w:hAnsi="Traditional Arabic"/>
          <w:noProof w:val="0"/>
          <w:rtl/>
          <w:lang w:eastAsia="en-US"/>
        </w:rPr>
        <w:t>قوله في الرد إلى المالك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لا إلى غيره</w:t>
      </w:r>
      <w:r w:rsidRPr="00C85F0F">
        <w:rPr>
          <w:rStyle w:val="af1"/>
          <w:szCs w:val="32"/>
          <w:rtl/>
        </w:rPr>
        <w:t>(</w:t>
      </w:r>
      <w:r w:rsidRPr="00C85F0F">
        <w:rPr>
          <w:rStyle w:val="af1"/>
          <w:szCs w:val="32"/>
          <w:rtl/>
        </w:rPr>
        <w:footnoteReference w:id="1712"/>
      </w:r>
      <w:r w:rsidRPr="00C85F0F">
        <w:rPr>
          <w:rStyle w:val="af1"/>
          <w:szCs w:val="32"/>
          <w:rtl/>
        </w:rPr>
        <w:t>)</w:t>
      </w:r>
      <w:r w:rsidRPr="00C85F0F">
        <w:rPr>
          <w:rFonts w:ascii="Traditional Arabic" w:hAnsi="Traditional Arabic" w:hint="cs"/>
          <w:noProof w:val="0"/>
          <w:color w:val="auto"/>
          <w:rtl/>
          <w:lang w:eastAsia="en-US"/>
        </w:rPr>
        <w:t>.</w:t>
      </w:r>
    </w:p>
    <w:p w:rsidR="00DF7D27" w:rsidRPr="00C85F0F" w:rsidRDefault="00DF7D27" w:rsidP="000A76C7">
      <w:pPr>
        <w:pStyle w:val="afc"/>
        <w:widowControl/>
        <w:numPr>
          <w:ilvl w:val="0"/>
          <w:numId w:val="233"/>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noProof w:val="0"/>
          <w:color w:val="auto"/>
          <w:rtl/>
          <w:lang w:eastAsia="en-US"/>
        </w:rPr>
        <w:lastRenderedPageBreak/>
        <w:t>من قبض العين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نفسه لم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قبل قوله في الرد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w:t>
      </w:r>
      <w:r w:rsidRPr="00C85F0F">
        <w:rPr>
          <w:rFonts w:ascii="Traditional Arabic" w:hAnsi="Traditional Arabic" w:hint="cs"/>
          <w:noProof w:val="0"/>
          <w:color w:val="auto"/>
          <w:rtl/>
          <w:lang w:eastAsia="en-US"/>
        </w:rPr>
        <w:t>إ</w:t>
      </w:r>
      <w:r w:rsidRPr="00C85F0F">
        <w:rPr>
          <w:rFonts w:ascii="Traditional Arabic" w:hAnsi="Traditional Arabic"/>
          <w:noProof w:val="0"/>
          <w:color w:val="auto"/>
          <w:rtl/>
          <w:lang w:eastAsia="en-US"/>
        </w:rPr>
        <w:t>ن قبضها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مالكها 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بل</w:t>
      </w:r>
      <w:r w:rsidRPr="00C85F0F">
        <w:rPr>
          <w:rStyle w:val="af1"/>
          <w:szCs w:val="32"/>
          <w:rtl/>
        </w:rPr>
        <w:t>(</w:t>
      </w:r>
      <w:r w:rsidRPr="00C85F0F">
        <w:rPr>
          <w:rStyle w:val="af1"/>
          <w:szCs w:val="32"/>
          <w:rtl/>
        </w:rPr>
        <w:footnoteReference w:id="1713"/>
      </w:r>
      <w:r w:rsidRPr="00C85F0F">
        <w:rPr>
          <w:rStyle w:val="af1"/>
          <w:szCs w:val="32"/>
          <w:rtl/>
        </w:rPr>
        <w:t>)</w:t>
      </w:r>
      <w:r w:rsidRPr="00C85F0F">
        <w:rPr>
          <w:rFonts w:ascii="Traditional Arabic" w:hAnsi="Traditional Arabic"/>
          <w:noProof w:val="0"/>
          <w:color w:val="auto"/>
          <w:rtl/>
          <w:lang w:eastAsia="en-US"/>
        </w:rPr>
        <w:t>.</w:t>
      </w:r>
    </w:p>
    <w:p w:rsidR="00065E4B" w:rsidRPr="00C85F0F" w:rsidRDefault="00184ADA" w:rsidP="00A8347C">
      <w:pPr>
        <w:pStyle w:val="aff3"/>
        <w:rPr>
          <w:rtl/>
        </w:rPr>
      </w:pPr>
      <w:bookmarkStart w:id="348" w:name="_Toc334046554"/>
      <w:r>
        <w:rPr>
          <w:rFonts w:hint="cs"/>
          <w:rtl/>
        </w:rPr>
        <w:t xml:space="preserve">                                      المطلب</w:t>
      </w:r>
      <w:r w:rsidR="00DA5406">
        <w:rPr>
          <w:rFonts w:hint="cs"/>
          <w:rtl/>
        </w:rPr>
        <w:t xml:space="preserve"> </w:t>
      </w:r>
      <w:r w:rsidR="00DF7D27" w:rsidRPr="00C85F0F">
        <w:rPr>
          <w:rFonts w:hint="cs"/>
          <w:rtl/>
        </w:rPr>
        <w:t>الثاني</w:t>
      </w:r>
      <w:r w:rsidR="00DF7D27" w:rsidRPr="00C85F0F">
        <w:rPr>
          <w:rFonts w:hint="eastAsia"/>
          <w:rtl/>
        </w:rPr>
        <w:t> :</w:t>
      </w:r>
      <w:r w:rsidR="00DF7D27" w:rsidRPr="00C85F0F">
        <w:rPr>
          <w:rFonts w:hint="cs"/>
          <w:rtl/>
        </w:rPr>
        <w:br/>
      </w:r>
      <w:r>
        <w:rPr>
          <w:rFonts w:hint="cs"/>
          <w:rtl/>
        </w:rPr>
        <w:t xml:space="preserve">                                       </w:t>
      </w:r>
      <w:r w:rsidR="00DF7D27" w:rsidRPr="00C85F0F">
        <w:rPr>
          <w:rFonts w:hint="cs"/>
          <w:rtl/>
        </w:rPr>
        <w:t>شرح القاعدة</w:t>
      </w:r>
      <w:bookmarkEnd w:id="348"/>
    </w:p>
    <w:p w:rsidR="00065E4B" w:rsidRPr="00C85F0F" w:rsidRDefault="00065E4B" w:rsidP="00FD3233">
      <w:pPr>
        <w:pStyle w:val="53"/>
        <w:rPr>
          <w:rtl/>
        </w:rPr>
      </w:pPr>
      <w:r w:rsidRPr="00C85F0F">
        <w:rPr>
          <w:rFonts w:hint="cs"/>
          <w:rtl/>
        </w:rPr>
        <w:t>م</w:t>
      </w:r>
      <w:r w:rsidR="00DF7D27" w:rsidRPr="00C85F0F">
        <w:rPr>
          <w:rFonts w:hint="cs"/>
          <w:rtl/>
        </w:rPr>
        <w:t xml:space="preserve">عنى القاعدة </w:t>
      </w:r>
      <w:r w:rsidR="00DF7D27" w:rsidRPr="00FD3233">
        <w:rPr>
          <w:rFonts w:hint="cs"/>
          <w:rtl/>
        </w:rPr>
        <w:t>إجمالا</w:t>
      </w:r>
      <w:r w:rsidR="00DF7D27" w:rsidRPr="00C85F0F">
        <w:rPr>
          <w:rFonts w:hint="cs"/>
          <w:rtl/>
        </w:rPr>
        <w:t>:</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w:t>
      </w:r>
      <w:r w:rsidR="00DF7D27" w:rsidRPr="00C85F0F">
        <w:rPr>
          <w:rFonts w:ascii="Traditional Arabic" w:hAnsi="Traditional Arabic" w:hint="cs"/>
          <w:noProof w:val="0"/>
          <w:color w:val="auto"/>
          <w:rtl/>
          <w:lang w:eastAsia="en-US"/>
        </w:rPr>
        <w:t>لقاعدة المعروفة عند الفقهاء أن من قبض العين لمصلحة نفسه لم يُقبل قوله في الرد؛</w:t>
      </w:r>
      <w:r w:rsidR="00395E3B">
        <w:rPr>
          <w:rFonts w:ascii="Traditional Arabic" w:hAnsi="Traditional Arabic" w:hint="cs"/>
          <w:noProof w:val="0"/>
          <w:color w:val="auto"/>
          <w:rtl/>
          <w:lang w:eastAsia="en-US"/>
        </w:rPr>
        <w:t xml:space="preserve"> </w:t>
      </w:r>
      <w:r w:rsidR="00DF7D27" w:rsidRPr="00C85F0F">
        <w:rPr>
          <w:rFonts w:ascii="Traditional Arabic" w:hAnsi="Traditional Arabic" w:hint="cs"/>
          <w:noProof w:val="0"/>
          <w:color w:val="auto"/>
          <w:rtl/>
          <w:lang w:eastAsia="en-US"/>
        </w:rPr>
        <w:t>لأن الأصل عدم الرد، فلا ي</w:t>
      </w:r>
      <w:r w:rsidR="00395E3B">
        <w:rPr>
          <w:rFonts w:ascii="Traditional Arabic" w:hAnsi="Traditional Arabic" w:hint="cs"/>
          <w:noProof w:val="0"/>
          <w:color w:val="auto"/>
          <w:rtl/>
          <w:lang w:eastAsia="en-US"/>
        </w:rPr>
        <w:t>ُ</w:t>
      </w:r>
      <w:r w:rsidR="00DF7D27" w:rsidRPr="00C85F0F">
        <w:rPr>
          <w:rFonts w:ascii="Traditional Arabic" w:hAnsi="Traditional Arabic" w:hint="cs"/>
          <w:noProof w:val="0"/>
          <w:color w:val="auto"/>
          <w:rtl/>
          <w:lang w:eastAsia="en-US"/>
        </w:rPr>
        <w:t>قبل قوله إلا ببينة</w:t>
      </w:r>
      <w:r w:rsidR="00DF7D27" w:rsidRPr="00C85F0F">
        <w:rPr>
          <w:rStyle w:val="af1"/>
          <w:szCs w:val="32"/>
          <w:rtl/>
        </w:rPr>
        <w:t>(</w:t>
      </w:r>
      <w:r w:rsidR="00DF7D27" w:rsidRPr="00C85F0F">
        <w:rPr>
          <w:rStyle w:val="af1"/>
          <w:szCs w:val="32"/>
          <w:rtl/>
        </w:rPr>
        <w:footnoteReference w:id="1714"/>
      </w:r>
      <w:r w:rsidR="00DF7D27" w:rsidRPr="00C85F0F">
        <w:rPr>
          <w:rStyle w:val="af1"/>
          <w:szCs w:val="32"/>
          <w:rtl/>
        </w:rPr>
        <w:t>)</w:t>
      </w:r>
      <w:r w:rsidR="00DF7D27"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720"/>
        <w:rPr>
          <w:color w:val="auto"/>
          <w:rtl/>
        </w:rPr>
      </w:pPr>
      <w:r w:rsidRPr="00C85F0F">
        <w:rPr>
          <w:rFonts w:ascii="Traditional Arabic" w:hAnsi="Traditional Arabic" w:hint="cs"/>
          <w:noProof w:val="0"/>
          <w:color w:val="auto"/>
          <w:rtl/>
          <w:lang w:eastAsia="en-US"/>
        </w:rPr>
        <w:t>ف</w:t>
      </w:r>
      <w:r w:rsidR="00DF7D27" w:rsidRPr="00C85F0F">
        <w:rPr>
          <w:rFonts w:ascii="Traditional Arabic" w:hAnsi="Traditional Arabic" w:hint="cs"/>
          <w:noProof w:val="0"/>
          <w:color w:val="auto"/>
          <w:rtl/>
          <w:lang w:eastAsia="en-US"/>
        </w:rPr>
        <w:t xml:space="preserve">إن قبض العينَ لمصلحة مالكها قُبل قوله في الرد؛ لأنه محسن، والله </w:t>
      </w:r>
      <w:r w:rsidR="00395E3B">
        <w:rPr>
          <w:rFonts w:ascii="Traditional Arabic" w:hAnsi="Traditional Arabic" w:hint="cs"/>
          <w:noProof w:val="0"/>
          <w:color w:val="auto"/>
          <w:rtl/>
          <w:lang w:eastAsia="en-US"/>
        </w:rPr>
        <w:t>_</w:t>
      </w:r>
      <w:r w:rsidR="00866D6A" w:rsidRPr="00C85F0F">
        <w:rPr>
          <w:rFonts w:ascii="Traditional Arabic" w:hAnsi="Traditional Arabic" w:hint="cs"/>
          <w:noProof w:val="0"/>
          <w:color w:val="auto"/>
          <w:rtl/>
          <w:lang w:eastAsia="en-US"/>
        </w:rPr>
        <w:sym w:font="AGA Arabesque" w:char="F055"/>
      </w:r>
      <w:r w:rsidR="00395E3B">
        <w:rPr>
          <w:rFonts w:ascii="Traditional Arabic" w:hAnsi="Traditional Arabic" w:hint="cs"/>
          <w:noProof w:val="0"/>
          <w:color w:val="auto"/>
          <w:rtl/>
          <w:lang w:eastAsia="en-US"/>
        </w:rPr>
        <w:t>_ يقول</w:t>
      </w:r>
      <w:r w:rsidR="00DF7D27" w:rsidRPr="00C85F0F">
        <w:rPr>
          <w:rFonts w:ascii="Traditional Arabic" w:hAnsi="Traditional Arabic" w:hint="cs"/>
          <w:noProof w:val="0"/>
          <w:color w:val="auto"/>
          <w:rtl/>
          <w:lang w:eastAsia="en-US"/>
        </w:rPr>
        <w:t xml:space="preserve">: </w:t>
      </w:r>
      <w:r w:rsidR="00FA577A" w:rsidRPr="0090198F">
        <w:rPr>
          <w:rFonts w:ascii="QCF_BSML" w:hAnsi="QCF_BSML" w:cs="QCF_BSML"/>
          <w:noProof w:val="0"/>
          <w:rtl/>
          <w:lang w:eastAsia="en-US"/>
        </w:rPr>
        <w:t>ﭽ</w:t>
      </w:r>
      <w:r w:rsidR="00FA577A" w:rsidRPr="0090198F">
        <w:rPr>
          <w:rFonts w:ascii="QCF_P201" w:hAnsi="QCF_P201" w:cs="QCF_P201"/>
          <w:noProof w:val="0"/>
          <w:rtl/>
          <w:lang w:eastAsia="en-US"/>
        </w:rPr>
        <w:t>ﮣﮤﮥﮦﮧ</w:t>
      </w:r>
      <w:r w:rsidR="00FA577A" w:rsidRPr="0090198F">
        <w:rPr>
          <w:rFonts w:ascii="QCF_BSML" w:hAnsi="QCF_BSML" w:cs="QCF_BSML"/>
          <w:noProof w:val="0"/>
          <w:rtl/>
          <w:lang w:eastAsia="en-US"/>
        </w:rPr>
        <w:t>ﭼ</w:t>
      </w:r>
      <w:r w:rsidR="00DF7D27" w:rsidRPr="00C85F0F">
        <w:rPr>
          <w:rFonts w:ascii="Traditional Arabic" w:hAnsi="Traditional Arabic" w:hint="cs"/>
          <w:noProof w:val="0"/>
          <w:color w:val="auto"/>
          <w:rtl/>
          <w:lang w:eastAsia="en-US"/>
        </w:rPr>
        <w:t>[</w:t>
      </w:r>
      <w:r w:rsidR="00DF7D27" w:rsidRPr="00C85F0F">
        <w:rPr>
          <w:rFonts w:ascii="Traditional Arabic" w:hAnsi="Traditional Arabic"/>
          <w:noProof w:val="0"/>
          <w:color w:val="auto"/>
          <w:rtl/>
          <w:lang w:eastAsia="en-US"/>
        </w:rPr>
        <w:t>التوبة: ٩١</w:t>
      </w:r>
      <w:r w:rsidR="00DF7D27" w:rsidRPr="00C85F0F">
        <w:rPr>
          <w:rFonts w:hint="cs"/>
          <w:color w:val="auto"/>
          <w:rtl/>
        </w:rPr>
        <w:t>]، ولولا ذلك لقلنا: لايقبل قوله في الرد أيضا؛ لأن الأصل عدم الرد</w:t>
      </w:r>
      <w:r w:rsidR="00DF7D27" w:rsidRPr="00C85F0F">
        <w:rPr>
          <w:rStyle w:val="af1"/>
          <w:szCs w:val="32"/>
          <w:rtl/>
        </w:rPr>
        <w:t>(</w:t>
      </w:r>
      <w:r w:rsidR="00DF7D27" w:rsidRPr="00C85F0F">
        <w:rPr>
          <w:rStyle w:val="af1"/>
          <w:szCs w:val="32"/>
          <w:rtl/>
        </w:rPr>
        <w:footnoteReference w:id="1715"/>
      </w:r>
      <w:r w:rsidR="00DF7D27" w:rsidRPr="00C85F0F">
        <w:rPr>
          <w:rStyle w:val="af1"/>
          <w:szCs w:val="32"/>
          <w:rtl/>
        </w:rPr>
        <w:t>)</w:t>
      </w:r>
      <w:r w:rsidR="00DF7D27" w:rsidRPr="00C85F0F">
        <w:rPr>
          <w:rFonts w:hint="cs"/>
          <w:color w:val="auto"/>
          <w:rtl/>
        </w:rPr>
        <w:t>.</w:t>
      </w:r>
    </w:p>
    <w:p w:rsidR="00DF7D27"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DF7D27" w:rsidRPr="00C85F0F">
        <w:rPr>
          <w:rFonts w:ascii="Traditional Arabic" w:hAnsi="Traditional Arabic" w:hint="cs"/>
          <w:noProof w:val="0"/>
          <w:color w:val="auto"/>
          <w:rtl/>
          <w:lang w:eastAsia="en-US"/>
        </w:rPr>
        <w:t>أما من قبض العين لمصلحة نفسه ومصلحة مالكها فلا يقبل قوله في الرد إلا ببينة؛ لأنه حصل له فيها نفعٌ، وتغليباً لجانب الضمان والاحتياط</w:t>
      </w:r>
      <w:r w:rsidR="00DF7D27" w:rsidRPr="00C85F0F">
        <w:rPr>
          <w:rStyle w:val="af1"/>
          <w:szCs w:val="32"/>
          <w:rtl/>
        </w:rPr>
        <w:t>(</w:t>
      </w:r>
      <w:r w:rsidR="00DF7D27" w:rsidRPr="00C85F0F">
        <w:rPr>
          <w:rStyle w:val="af1"/>
          <w:szCs w:val="32"/>
          <w:rtl/>
        </w:rPr>
        <w:footnoteReference w:id="1716"/>
      </w:r>
      <w:r w:rsidR="00DF7D27" w:rsidRPr="00C85F0F">
        <w:rPr>
          <w:rStyle w:val="af1"/>
          <w:szCs w:val="32"/>
          <w:rtl/>
        </w:rPr>
        <w:t>)</w:t>
      </w:r>
      <w:r w:rsidR="00DF7D27" w:rsidRPr="00C85F0F">
        <w:rPr>
          <w:rFonts w:ascii="Traditional Arabic" w:hAnsi="Traditional Arabic" w:hint="cs"/>
          <w:noProof w:val="0"/>
          <w:color w:val="auto"/>
          <w:rtl/>
          <w:lang w:eastAsia="en-US"/>
        </w:rPr>
        <w:t>.</w:t>
      </w:r>
    </w:p>
    <w:p w:rsidR="00DF7D27" w:rsidRPr="00C85F0F" w:rsidRDefault="00184ADA" w:rsidP="00A8347C">
      <w:pPr>
        <w:pStyle w:val="aff3"/>
        <w:rPr>
          <w:rtl/>
        </w:rPr>
      </w:pPr>
      <w:bookmarkStart w:id="349" w:name="_Toc334046555"/>
      <w:r>
        <w:rPr>
          <w:rFonts w:hint="cs"/>
          <w:rtl/>
        </w:rPr>
        <w:t xml:space="preserve">                                      المطلب</w:t>
      </w:r>
      <w:r w:rsidR="00793C74">
        <w:rPr>
          <w:rFonts w:hint="cs"/>
          <w:rtl/>
        </w:rPr>
        <w:t xml:space="preserve"> </w:t>
      </w:r>
      <w:r w:rsidR="00DF7D27" w:rsidRPr="00C85F0F">
        <w:rPr>
          <w:rFonts w:hint="cs"/>
          <w:rtl/>
        </w:rPr>
        <w:t>الثالث</w:t>
      </w:r>
      <w:r w:rsidR="00DF7D27" w:rsidRPr="00C85F0F">
        <w:rPr>
          <w:rFonts w:hint="eastAsia"/>
          <w:rtl/>
        </w:rPr>
        <w:t> :</w:t>
      </w:r>
      <w:r w:rsidR="00DF7D27" w:rsidRPr="00C85F0F">
        <w:rPr>
          <w:rFonts w:hint="cs"/>
          <w:rtl/>
        </w:rPr>
        <w:br/>
      </w:r>
      <w:r>
        <w:rPr>
          <w:rFonts w:hint="cs"/>
          <w:rtl/>
        </w:rPr>
        <w:t xml:space="preserve">                                        </w:t>
      </w:r>
      <w:r w:rsidR="00DF7D27" w:rsidRPr="00C85F0F">
        <w:rPr>
          <w:rFonts w:hint="cs"/>
          <w:rtl/>
        </w:rPr>
        <w:t>أدلة القاعدة</w:t>
      </w:r>
      <w:bookmarkEnd w:id="349"/>
    </w:p>
    <w:p w:rsidR="00DF7D27" w:rsidRPr="00C85F0F" w:rsidRDefault="00DF7D27" w:rsidP="000A76C7">
      <w:pPr>
        <w:pStyle w:val="afc"/>
        <w:widowControl/>
        <w:numPr>
          <w:ilvl w:val="0"/>
          <w:numId w:val="234"/>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hint="cs"/>
          <w:noProof w:val="0"/>
          <w:color w:val="auto"/>
          <w:rtl/>
          <w:lang w:eastAsia="en-US"/>
        </w:rPr>
        <w:t xml:space="preserve">قول الله تعالى: </w:t>
      </w:r>
      <w:bookmarkStart w:id="350" w:name="سورة_التوبة_91_3"/>
      <w:r w:rsidR="005D5694" w:rsidRPr="009C479F">
        <w:rPr>
          <w:rFonts w:ascii="QCF_BSML" w:hAnsi="QCF_BSML" w:cs="QCF_BSML"/>
          <w:noProof w:val="0"/>
          <w:color w:val="auto"/>
          <w:rtl/>
          <w:lang w:eastAsia="en-US"/>
        </w:rPr>
        <w:t xml:space="preserve">ﭽ </w:t>
      </w:r>
      <w:r w:rsidR="005D5694" w:rsidRPr="009C479F">
        <w:rPr>
          <w:rFonts w:ascii="QCF_P201" w:hAnsi="QCF_P201" w:cs="QCF_P201"/>
          <w:noProof w:val="0"/>
          <w:color w:val="auto"/>
          <w:rtl/>
          <w:lang w:eastAsia="en-US"/>
        </w:rPr>
        <w:t>ﮣﮤﮥﮦﮧ</w:t>
      </w:r>
      <w:r w:rsidR="005D5694" w:rsidRPr="009C479F">
        <w:rPr>
          <w:rFonts w:ascii="QCF_BSML" w:hAnsi="QCF_BSML" w:cs="QCF_BSML"/>
          <w:noProof w:val="0"/>
          <w:color w:val="auto"/>
          <w:rtl/>
          <w:lang w:eastAsia="en-US"/>
        </w:rPr>
        <w:t xml:space="preserve">ﭼ </w:t>
      </w:r>
      <w:bookmarkEnd w:id="350"/>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التوبة: ٩١</w:t>
      </w:r>
      <w:r w:rsidRPr="00C85F0F">
        <w:rPr>
          <w:rFonts w:hint="cs"/>
          <w:color w:val="auto"/>
          <w:rtl/>
        </w:rPr>
        <w:t>].</w:t>
      </w:r>
    </w:p>
    <w:p w:rsidR="00DF7D27" w:rsidRPr="005D5694" w:rsidRDefault="00DF7D27" w:rsidP="00597C20">
      <w:pPr>
        <w:pStyle w:val="53"/>
        <w:rPr>
          <w:rtl/>
        </w:rPr>
      </w:pPr>
      <w:r w:rsidRPr="005D5694">
        <w:rPr>
          <w:rFonts w:hint="cs"/>
          <w:rtl/>
        </w:rPr>
        <w:lastRenderedPageBreak/>
        <w:t>وجه الدلالة:</w:t>
      </w:r>
    </w:p>
    <w:p w:rsidR="00DF7D27" w:rsidRPr="00C85F0F" w:rsidRDefault="00DF7D27" w:rsidP="00597C20">
      <w:pPr>
        <w:ind w:firstLine="720"/>
        <w:rPr>
          <w:color w:val="auto"/>
          <w:rtl/>
        </w:rPr>
      </w:pPr>
      <w:r w:rsidRPr="00C85F0F">
        <w:rPr>
          <w:rFonts w:ascii="Traditional Arabic" w:hAnsi="Traditional Arabic" w:hint="cs"/>
          <w:noProof w:val="0"/>
          <w:color w:val="auto"/>
          <w:rtl/>
          <w:lang w:eastAsia="en-US"/>
        </w:rPr>
        <w:t>من قبض العين لمصلحة مالكها ي</w:t>
      </w:r>
      <w:r w:rsidR="00793C74">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 xml:space="preserve">قبل قوله في الرد؛ لأنه محسن، </w:t>
      </w:r>
      <w:r w:rsidRPr="00C85F0F">
        <w:rPr>
          <w:rFonts w:hint="cs"/>
          <w:color w:val="auto"/>
          <w:rtl/>
        </w:rPr>
        <w:t>وكل محسن فلا سبيل عليه، أي: ليس عليه طريق يُلام به، أو يضمن به</w:t>
      </w:r>
      <w:r w:rsidRPr="00C85F0F">
        <w:rPr>
          <w:rStyle w:val="af1"/>
          <w:szCs w:val="32"/>
          <w:rtl/>
        </w:rPr>
        <w:t>(</w:t>
      </w:r>
      <w:r w:rsidRPr="00C85F0F">
        <w:rPr>
          <w:rStyle w:val="af1"/>
          <w:szCs w:val="32"/>
          <w:rtl/>
        </w:rPr>
        <w:footnoteReference w:id="1717"/>
      </w:r>
      <w:r w:rsidRPr="00C85F0F">
        <w:rPr>
          <w:rStyle w:val="af1"/>
          <w:szCs w:val="32"/>
          <w:rtl/>
        </w:rPr>
        <w:t>)</w:t>
      </w:r>
      <w:r w:rsidRPr="00C85F0F">
        <w:rPr>
          <w:rFonts w:hint="cs"/>
          <w:color w:val="auto"/>
          <w:rtl/>
        </w:rPr>
        <w:t>.</w:t>
      </w:r>
    </w:p>
    <w:p w:rsidR="00DF7D27" w:rsidRPr="00C85F0F" w:rsidRDefault="00DF7D27" w:rsidP="000A76C7">
      <w:pPr>
        <w:pStyle w:val="afc"/>
        <w:numPr>
          <w:ilvl w:val="0"/>
          <w:numId w:val="234"/>
        </w:numPr>
        <w:rPr>
          <w:color w:val="auto"/>
        </w:rPr>
      </w:pPr>
      <w:r w:rsidRPr="00C85F0F">
        <w:rPr>
          <w:rFonts w:hint="cs"/>
          <w:color w:val="auto"/>
          <w:rtl/>
        </w:rPr>
        <w:t>ومن التعليل:</w:t>
      </w:r>
    </w:p>
    <w:p w:rsidR="00DF7D27" w:rsidRPr="00C85F0F" w:rsidRDefault="00DF7D27" w:rsidP="000A76C7">
      <w:pPr>
        <w:pStyle w:val="afc"/>
        <w:numPr>
          <w:ilvl w:val="0"/>
          <w:numId w:val="236"/>
        </w:numPr>
        <w:rPr>
          <w:color w:val="auto"/>
        </w:rPr>
      </w:pPr>
      <w:r w:rsidRPr="00C85F0F">
        <w:rPr>
          <w:rFonts w:hint="cs"/>
          <w:color w:val="auto"/>
          <w:rtl/>
        </w:rPr>
        <w:t>من قبض العين لمصلحة نفسه فلا يقبل قوله في الرد؛ لأن الأصل عدم الرد، فلا يقبل قوله إلا ببينة؛ لأنه يدعي خلاف الأصل</w:t>
      </w:r>
      <w:r w:rsidRPr="00C85F0F">
        <w:rPr>
          <w:rStyle w:val="af1"/>
          <w:szCs w:val="32"/>
          <w:rtl/>
        </w:rPr>
        <w:t>(</w:t>
      </w:r>
      <w:r w:rsidRPr="00C85F0F">
        <w:rPr>
          <w:rStyle w:val="af1"/>
          <w:szCs w:val="32"/>
          <w:rtl/>
        </w:rPr>
        <w:footnoteReference w:id="1718"/>
      </w:r>
      <w:r w:rsidRPr="00C85F0F">
        <w:rPr>
          <w:rStyle w:val="af1"/>
          <w:szCs w:val="32"/>
          <w:rtl/>
        </w:rPr>
        <w:t>)</w:t>
      </w:r>
      <w:r w:rsidRPr="00C85F0F">
        <w:rPr>
          <w:rFonts w:hint="cs"/>
          <w:color w:val="auto"/>
          <w:rtl/>
        </w:rPr>
        <w:t>.</w:t>
      </w:r>
    </w:p>
    <w:p w:rsidR="00DF7D27" w:rsidRPr="00C85F0F" w:rsidRDefault="00DF7D27" w:rsidP="000A76C7">
      <w:pPr>
        <w:pStyle w:val="afc"/>
        <w:numPr>
          <w:ilvl w:val="0"/>
          <w:numId w:val="236"/>
        </w:numPr>
        <w:rPr>
          <w:color w:val="auto"/>
          <w:rtl/>
        </w:rPr>
      </w:pPr>
      <w:r w:rsidRPr="00C85F0F">
        <w:rPr>
          <w:rFonts w:hint="cs"/>
          <w:color w:val="auto"/>
          <w:rtl/>
        </w:rPr>
        <w:t>من قبض العين لمصلحة نفسه ومصلحة مالكها لم يقبل قوله في الرد؛ لأن الأصل عدم الرد، وتغليبا لجانب الاحتياط والضمان</w:t>
      </w:r>
      <w:r w:rsidRPr="00C85F0F">
        <w:rPr>
          <w:rStyle w:val="af1"/>
          <w:szCs w:val="32"/>
          <w:rtl/>
        </w:rPr>
        <w:t>(</w:t>
      </w:r>
      <w:r w:rsidRPr="00C85F0F">
        <w:rPr>
          <w:rStyle w:val="af1"/>
          <w:szCs w:val="32"/>
          <w:rtl/>
        </w:rPr>
        <w:footnoteReference w:id="1719"/>
      </w:r>
      <w:r w:rsidRPr="00C85F0F">
        <w:rPr>
          <w:rStyle w:val="af1"/>
          <w:szCs w:val="32"/>
          <w:rtl/>
        </w:rPr>
        <w:t>)</w:t>
      </w:r>
      <w:r w:rsidRPr="00C85F0F">
        <w:rPr>
          <w:rFonts w:hint="cs"/>
          <w:color w:val="auto"/>
          <w:rtl/>
        </w:rPr>
        <w:t>.</w:t>
      </w:r>
    </w:p>
    <w:p w:rsidR="00DF7D27" w:rsidRPr="00C85F0F" w:rsidRDefault="00184ADA" w:rsidP="00A8347C">
      <w:pPr>
        <w:pStyle w:val="aff3"/>
        <w:rPr>
          <w:rtl/>
        </w:rPr>
      </w:pPr>
      <w:bookmarkStart w:id="351" w:name="_Toc334046556"/>
      <w:r>
        <w:rPr>
          <w:rFonts w:hint="cs"/>
          <w:rtl/>
        </w:rPr>
        <w:t xml:space="preserve">                                        المطلب</w:t>
      </w:r>
      <w:r w:rsidR="00793C74">
        <w:rPr>
          <w:rFonts w:hint="cs"/>
          <w:rtl/>
        </w:rPr>
        <w:t xml:space="preserve"> </w:t>
      </w:r>
      <w:r w:rsidR="00DF7D27" w:rsidRPr="00C85F0F">
        <w:rPr>
          <w:rFonts w:hint="cs"/>
          <w:rtl/>
        </w:rPr>
        <w:t>الرابع</w:t>
      </w:r>
      <w:r w:rsidR="00DF7D27" w:rsidRPr="00C85F0F">
        <w:rPr>
          <w:rFonts w:hint="eastAsia"/>
          <w:rtl/>
        </w:rPr>
        <w:t> :</w:t>
      </w:r>
      <w:r w:rsidR="00DF7D27" w:rsidRPr="00C85F0F">
        <w:rPr>
          <w:rFonts w:hint="cs"/>
          <w:rtl/>
        </w:rPr>
        <w:br/>
      </w:r>
      <w:r>
        <w:rPr>
          <w:rFonts w:hint="cs"/>
          <w:rtl/>
        </w:rPr>
        <w:t xml:space="preserve">                                       </w:t>
      </w:r>
      <w:r w:rsidR="00DF7D27" w:rsidRPr="00C85F0F">
        <w:rPr>
          <w:rFonts w:hint="cs"/>
          <w:rtl/>
        </w:rPr>
        <w:t>تطبيقات القاعدة</w:t>
      </w:r>
      <w:bookmarkEnd w:id="351"/>
    </w:p>
    <w:p w:rsidR="00065E4B" w:rsidRPr="00C85F0F" w:rsidRDefault="00DF7D27" w:rsidP="000A76C7">
      <w:pPr>
        <w:pStyle w:val="afc"/>
        <w:widowControl/>
        <w:numPr>
          <w:ilvl w:val="0"/>
          <w:numId w:val="235"/>
        </w:numPr>
        <w:autoSpaceDE w:val="0"/>
        <w:autoSpaceDN w:val="0"/>
        <w:adjustRightInd w:val="0"/>
        <w:jc w:val="left"/>
        <w:rPr>
          <w:rFonts w:ascii="Traditional Arabic" w:hAnsi="Traditional Arabic"/>
          <w:noProof w:val="0"/>
          <w:color w:val="auto"/>
          <w:lang w:eastAsia="en-US"/>
        </w:rPr>
      </w:pPr>
      <w:r w:rsidRPr="00C85F0F">
        <w:rPr>
          <w:rFonts w:ascii="Traditional Arabic" w:hAnsi="Traditional Arabic" w:hint="cs"/>
          <w:noProof w:val="0"/>
          <w:rtl/>
          <w:lang w:eastAsia="en-US"/>
        </w:rPr>
        <w:t xml:space="preserve">إذا </w:t>
      </w:r>
      <w:r w:rsidRPr="00C85F0F">
        <w:rPr>
          <w:rFonts w:ascii="Traditional Arabic" w:hAnsi="Traditional Arabic"/>
          <w:noProof w:val="0"/>
          <w:rtl/>
          <w:lang w:eastAsia="en-US"/>
        </w:rPr>
        <w:t>اختلف ال</w:t>
      </w:r>
      <w:r w:rsidR="00793C74">
        <w:rPr>
          <w:rFonts w:ascii="Traditional Arabic" w:hAnsi="Traditional Arabic" w:hint="cs"/>
          <w:noProof w:val="0"/>
          <w:rtl/>
          <w:lang w:eastAsia="en-US"/>
        </w:rPr>
        <w:t>ْ</w:t>
      </w:r>
      <w:r w:rsidRPr="00C85F0F">
        <w:rPr>
          <w:rFonts w:ascii="Traditional Arabic" w:hAnsi="Traditional Arabic"/>
          <w:noProof w:val="0"/>
          <w:rtl/>
          <w:lang w:eastAsia="en-US"/>
        </w:rPr>
        <w:t>م</w:t>
      </w:r>
      <w:r w:rsidR="00793C74">
        <w:rPr>
          <w:rFonts w:ascii="Traditional Arabic" w:hAnsi="Traditional Arabic" w:hint="cs"/>
          <w:noProof w:val="0"/>
          <w:rtl/>
          <w:lang w:eastAsia="en-US"/>
        </w:rPr>
        <w:t>ُ</w:t>
      </w:r>
      <w:r w:rsidRPr="00C85F0F">
        <w:rPr>
          <w:rFonts w:ascii="Traditional Arabic" w:hAnsi="Traditional Arabic"/>
          <w:noProof w:val="0"/>
          <w:rtl/>
          <w:lang w:eastAsia="en-US"/>
        </w:rPr>
        <w:t>عير والمستعير في رد العارية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فالقول قول الم</w:t>
      </w:r>
      <w:r w:rsidRPr="00C85F0F">
        <w:rPr>
          <w:rFonts w:ascii="Traditional Arabic" w:hAnsi="Traditional Arabic" w:hint="cs"/>
          <w:noProof w:val="0"/>
          <w:rtl/>
          <w:lang w:eastAsia="en-US"/>
        </w:rPr>
        <w:t>عير.</w:t>
      </w:r>
    </w:p>
    <w:p w:rsidR="00DF7D27"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noProof w:val="0"/>
          <w:rtl/>
          <w:lang w:eastAsia="en-US"/>
        </w:rPr>
        <w:t>م</w:t>
      </w:r>
      <w:r w:rsidR="00DF7D27" w:rsidRPr="00C85F0F">
        <w:rPr>
          <w:rFonts w:ascii="Traditional Arabic" w:hAnsi="Traditional Arabic"/>
          <w:noProof w:val="0"/>
          <w:rtl/>
          <w:lang w:eastAsia="en-US"/>
        </w:rPr>
        <w:t>ثاله: أعار إناء</w:t>
      </w:r>
      <w:r w:rsidR="00DF7D27" w:rsidRPr="00C85F0F">
        <w:rPr>
          <w:rFonts w:ascii="Traditional Arabic" w:hAnsi="Traditional Arabic" w:hint="cs"/>
          <w:noProof w:val="0"/>
          <w:rtl/>
          <w:lang w:eastAsia="en-US"/>
        </w:rPr>
        <w:t>ً</w:t>
      </w:r>
      <w:r w:rsidR="00DF7D27" w:rsidRPr="00C85F0F">
        <w:rPr>
          <w:rFonts w:ascii="Traditional Arabic" w:hAnsi="Traditional Arabic"/>
          <w:noProof w:val="0"/>
          <w:rtl/>
          <w:lang w:eastAsia="en-US"/>
        </w:rPr>
        <w:t xml:space="preserve"> لشخص، ثم جاء يطلبه منه، فقال المستعير: رددت</w:t>
      </w:r>
      <w:r w:rsidR="00DF7D27" w:rsidRPr="00C85F0F">
        <w:rPr>
          <w:rFonts w:ascii="Traditional Arabic" w:hAnsi="Traditional Arabic" w:hint="cs"/>
          <w:noProof w:val="0"/>
          <w:rtl/>
          <w:lang w:eastAsia="en-US"/>
        </w:rPr>
        <w:t>ُ</w:t>
      </w:r>
      <w:r w:rsidR="00DF7D27" w:rsidRPr="00C85F0F">
        <w:rPr>
          <w:rFonts w:ascii="Traditional Arabic" w:hAnsi="Traditional Arabic"/>
          <w:noProof w:val="0"/>
          <w:rtl/>
          <w:lang w:eastAsia="en-US"/>
        </w:rPr>
        <w:t>ه، وقال المعير: لم ترد</w:t>
      </w:r>
      <w:r w:rsidR="00793C74">
        <w:rPr>
          <w:rFonts w:ascii="Traditional Arabic" w:hAnsi="Traditional Arabic" w:hint="cs"/>
          <w:noProof w:val="0"/>
          <w:rtl/>
          <w:lang w:eastAsia="en-US"/>
        </w:rPr>
        <w:t>َّ</w:t>
      </w:r>
      <w:r w:rsidR="00DF7D27" w:rsidRPr="00C85F0F">
        <w:rPr>
          <w:rFonts w:ascii="Traditional Arabic" w:hAnsi="Traditional Arabic"/>
          <w:noProof w:val="0"/>
          <w:rtl/>
          <w:lang w:eastAsia="en-US"/>
        </w:rPr>
        <w:t xml:space="preserve">ه، فالقول قول المالك؛ لأن الأصل </w:t>
      </w:r>
      <w:r w:rsidR="00DF7D27" w:rsidRPr="00C85F0F">
        <w:rPr>
          <w:rFonts w:ascii="Traditional Arabic" w:hAnsi="Traditional Arabic"/>
          <w:noProof w:val="0"/>
          <w:color w:val="auto"/>
          <w:rtl/>
          <w:lang w:eastAsia="en-US"/>
        </w:rPr>
        <w:t>عدم الرد</w:t>
      </w:r>
      <w:r w:rsidR="00DF7D27" w:rsidRPr="00C85F0F">
        <w:rPr>
          <w:rFonts w:ascii="Traditional Arabic" w:hAnsi="Traditional Arabic"/>
          <w:noProof w:val="0"/>
          <w:rtl/>
          <w:lang w:eastAsia="en-US"/>
        </w:rPr>
        <w:t>، وبناء على القاعدة المعروفة عند الفقهاء: أن من قبض العين لمصلحة نفسه لم يقبل قوله في الرد، والمستعير العين في يده لمصلحته، فإذا قال: رددتها عليك، قلنا: لا نقبل قولك إلا إذا أتيت ببينة بأنك رددتها، فلو أتى المستعير ببينة أنه رد العارية فإنه يقبل قوله بالبينة</w:t>
      </w:r>
      <w:r w:rsidR="00DF7D27" w:rsidRPr="00C85F0F">
        <w:rPr>
          <w:rStyle w:val="af1"/>
          <w:szCs w:val="32"/>
          <w:rtl/>
        </w:rPr>
        <w:t>(</w:t>
      </w:r>
      <w:r w:rsidR="00DF7D27" w:rsidRPr="00C85F0F">
        <w:rPr>
          <w:rStyle w:val="af1"/>
          <w:szCs w:val="32"/>
          <w:rtl/>
        </w:rPr>
        <w:footnoteReference w:id="1720"/>
      </w:r>
      <w:r w:rsidR="00DF7D27" w:rsidRPr="00C85F0F">
        <w:rPr>
          <w:rStyle w:val="af1"/>
          <w:szCs w:val="32"/>
          <w:rtl/>
        </w:rPr>
        <w:t>)</w:t>
      </w:r>
      <w:r w:rsidR="00DF7D27" w:rsidRPr="00C85F0F">
        <w:rPr>
          <w:rFonts w:ascii="Traditional Arabic" w:hAnsi="Traditional Arabic" w:hint="cs"/>
          <w:noProof w:val="0"/>
          <w:rtl/>
          <w:lang w:eastAsia="en-US"/>
        </w:rPr>
        <w:t>.</w:t>
      </w:r>
    </w:p>
    <w:p w:rsidR="00DF7D27" w:rsidRPr="00C85F0F" w:rsidRDefault="00DF7D27" w:rsidP="00FD3233">
      <w:pPr>
        <w:pStyle w:val="53"/>
        <w:rPr>
          <w:rtl/>
        </w:rPr>
      </w:pPr>
      <w:r w:rsidRPr="00C85F0F">
        <w:rPr>
          <w:rFonts w:hint="cs"/>
          <w:rtl/>
        </w:rPr>
        <w:lastRenderedPageBreak/>
        <w:t xml:space="preserve">وجه اندراج </w:t>
      </w:r>
      <w:r w:rsidRPr="00FD3233">
        <w:rPr>
          <w:rFonts w:hint="cs"/>
          <w:rtl/>
        </w:rPr>
        <w:t>الفرع</w:t>
      </w:r>
      <w:r w:rsidRPr="00C85F0F">
        <w:rPr>
          <w:rFonts w:hint="cs"/>
          <w:rtl/>
        </w:rPr>
        <w:t xml:space="preserve"> تحت القاعدة:</w:t>
      </w:r>
    </w:p>
    <w:p w:rsidR="00DF7D27" w:rsidRPr="00C85F0F" w:rsidRDefault="00DF7D27"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المستعير قبض العين لمصلحة نفسه، فلا يقبل قوله في الرد؛ لأن القاعدة أن من قبض العين لمصلحة نفسه لم يقبل قوله في الرد.</w:t>
      </w:r>
    </w:p>
    <w:p w:rsidR="00DF7D27" w:rsidRPr="00C85F0F" w:rsidRDefault="00DF7D27" w:rsidP="000A76C7">
      <w:pPr>
        <w:pStyle w:val="afc"/>
        <w:widowControl/>
        <w:numPr>
          <w:ilvl w:val="0"/>
          <w:numId w:val="235"/>
        </w:numPr>
        <w:autoSpaceDE w:val="0"/>
        <w:autoSpaceDN w:val="0"/>
        <w:adjustRightInd w:val="0"/>
        <w:rPr>
          <w:rFonts w:ascii="Traditional Arabic" w:hAnsi="Traditional Arabic"/>
          <w:noProof w:val="0"/>
          <w:color w:val="auto"/>
          <w:lang w:eastAsia="en-US"/>
        </w:rPr>
      </w:pPr>
      <w:r w:rsidRPr="00C85F0F">
        <w:rPr>
          <w:rFonts w:ascii="Traditional Arabic" w:hAnsi="Traditional Arabic"/>
          <w:noProof w:val="0"/>
          <w:rtl/>
          <w:lang w:eastAsia="en-US"/>
        </w:rPr>
        <w:t>إذا كانت المنفعة لصاحب العين لا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هي بيده، ف</w:t>
      </w:r>
      <w:r w:rsidRPr="00C85F0F">
        <w:rPr>
          <w:rFonts w:ascii="Traditional Arabic" w:hAnsi="Traditional Arabic" w:hint="cs"/>
          <w:noProof w:val="0"/>
          <w:rtl/>
          <w:lang w:eastAsia="en-US"/>
        </w:rPr>
        <w:t>إنه</w:t>
      </w:r>
      <w:r w:rsidRPr="00C85F0F">
        <w:rPr>
          <w:rFonts w:ascii="Traditional Arabic" w:hAnsi="Traditional Arabic"/>
          <w:noProof w:val="0"/>
          <w:rtl/>
          <w:lang w:eastAsia="en-US"/>
        </w:rPr>
        <w:t xml:space="preserve"> يقبل قول</w:t>
      </w:r>
      <w:r w:rsidRPr="00C85F0F">
        <w:rPr>
          <w:rFonts w:ascii="Traditional Arabic" w:hAnsi="Traditional Arabic" w:hint="cs"/>
          <w:noProof w:val="0"/>
          <w:rtl/>
          <w:lang w:eastAsia="en-US"/>
        </w:rPr>
        <w:t xml:space="preserve"> من قبض هذه العين</w:t>
      </w:r>
      <w:r w:rsidRPr="00C85F0F">
        <w:rPr>
          <w:rFonts w:ascii="Traditional Arabic" w:hAnsi="Traditional Arabic"/>
          <w:noProof w:val="0"/>
          <w:rtl/>
          <w:lang w:eastAsia="en-US"/>
        </w:rPr>
        <w:t xml:space="preserve"> في الرد، مثل: الوديعة، كرجل أودع عند إنسان شيئا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ثم جاء يطلبه، فقال المود</w:t>
      </w:r>
      <w:r w:rsidRPr="00C85F0F">
        <w:rPr>
          <w:rFonts w:ascii="Traditional Arabic" w:hAnsi="Traditional Arabic" w:hint="cs"/>
          <w:noProof w:val="0"/>
          <w:rtl/>
          <w:lang w:eastAsia="en-US"/>
        </w:rPr>
        <w:t>َ</w:t>
      </w:r>
      <w:r w:rsidR="00793C74">
        <w:rPr>
          <w:rFonts w:ascii="Traditional Arabic" w:hAnsi="Traditional Arabic"/>
          <w:noProof w:val="0"/>
          <w:rtl/>
          <w:lang w:eastAsia="en-US"/>
        </w:rPr>
        <w:t>ع: إني قد رددته عليك، ف</w:t>
      </w:r>
      <w:r w:rsidRPr="00C85F0F">
        <w:rPr>
          <w:rFonts w:ascii="Traditional Arabic" w:hAnsi="Traditional Arabic"/>
          <w:noProof w:val="0"/>
          <w:rtl/>
          <w:lang w:eastAsia="en-US"/>
        </w:rPr>
        <w:t xml:space="preserve">القول </w:t>
      </w:r>
      <w:r w:rsidR="00793C74">
        <w:rPr>
          <w:rFonts w:ascii="Traditional Arabic" w:hAnsi="Traditional Arabic" w:hint="cs"/>
          <w:noProof w:val="0"/>
          <w:rtl/>
          <w:lang w:eastAsia="en-US"/>
        </w:rPr>
        <w:t xml:space="preserve">في هذه الحالة </w:t>
      </w:r>
      <w:r w:rsidRPr="00C85F0F">
        <w:rPr>
          <w:rFonts w:ascii="Traditional Arabic" w:hAnsi="Traditional Arabic"/>
          <w:noProof w:val="0"/>
          <w:rtl/>
          <w:lang w:eastAsia="en-US"/>
        </w:rPr>
        <w:t>قول</w:t>
      </w:r>
      <w:r w:rsidR="00793C74">
        <w:rPr>
          <w:rFonts w:ascii="Traditional Arabic" w:hAnsi="Traditional Arabic" w:hint="cs"/>
          <w:noProof w:val="0"/>
          <w:rtl/>
          <w:lang w:eastAsia="en-US"/>
        </w:rPr>
        <w:t>ُ</w:t>
      </w:r>
      <w:r w:rsidRPr="00C85F0F">
        <w:rPr>
          <w:rFonts w:ascii="Traditional Arabic" w:hAnsi="Traditional Arabic"/>
          <w:noProof w:val="0"/>
          <w:rtl/>
          <w:lang w:eastAsia="en-US"/>
        </w:rPr>
        <w:t xml:space="preserve"> المود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w:t>
      </w:r>
      <w:r w:rsidRPr="00C85F0F">
        <w:rPr>
          <w:rStyle w:val="af1"/>
          <w:szCs w:val="32"/>
          <w:rtl/>
        </w:rPr>
        <w:t>(</w:t>
      </w:r>
      <w:r w:rsidRPr="00C85F0F">
        <w:rPr>
          <w:rStyle w:val="af1"/>
          <w:szCs w:val="32"/>
          <w:rtl/>
        </w:rPr>
        <w:footnoteReference w:id="1721"/>
      </w:r>
      <w:r w:rsidRPr="00C85F0F">
        <w:rPr>
          <w:rStyle w:val="af1"/>
          <w:szCs w:val="32"/>
          <w:rtl/>
        </w:rPr>
        <w:t>)</w:t>
      </w:r>
      <w:r w:rsidRPr="00C85F0F">
        <w:rPr>
          <w:rFonts w:ascii="Traditional Arabic" w:hAnsi="Traditional Arabic" w:hint="cs"/>
          <w:noProof w:val="0"/>
          <w:color w:val="auto"/>
          <w:rtl/>
          <w:lang w:eastAsia="en-US"/>
        </w:rPr>
        <w:t>.</w:t>
      </w:r>
    </w:p>
    <w:p w:rsidR="00DF7D27" w:rsidRPr="00C85F0F" w:rsidRDefault="00DF7D27" w:rsidP="00FD3233">
      <w:pPr>
        <w:pStyle w:val="53"/>
        <w:rPr>
          <w:rtl/>
        </w:rPr>
      </w:pPr>
      <w:r w:rsidRPr="00C85F0F">
        <w:rPr>
          <w:rFonts w:hint="cs"/>
          <w:rtl/>
        </w:rPr>
        <w:t xml:space="preserve">وجه اندراج </w:t>
      </w:r>
      <w:r w:rsidRPr="00FD3233">
        <w:rPr>
          <w:rFonts w:hint="cs"/>
          <w:rtl/>
        </w:rPr>
        <w:t>الفرع</w:t>
      </w:r>
      <w:r w:rsidRPr="00C85F0F">
        <w:rPr>
          <w:rFonts w:hint="cs"/>
          <w:rtl/>
        </w:rPr>
        <w:t xml:space="preserve"> تحت القاعدة:</w:t>
      </w:r>
    </w:p>
    <w:p w:rsidR="00F228A9" w:rsidRPr="00C85F0F" w:rsidRDefault="00DF7D27"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المودعَ قبض العين لمصلحة نفسه فيقبل قوله في الرد؛ لأن القاعدة أن من قبض العين لمصلحة نفسه قُبل قوله في الرد.</w:t>
      </w:r>
    </w:p>
    <w:p w:rsidR="00DF7D27" w:rsidRPr="00C85F0F" w:rsidRDefault="00DF7D27" w:rsidP="000A76C7">
      <w:pPr>
        <w:pStyle w:val="afc"/>
        <w:widowControl/>
        <w:numPr>
          <w:ilvl w:val="0"/>
          <w:numId w:val="235"/>
        </w:numPr>
        <w:autoSpaceDE w:val="0"/>
        <w:autoSpaceDN w:val="0"/>
        <w:adjustRightInd w:val="0"/>
        <w:rPr>
          <w:rFonts w:ascii="Traditional Arabic" w:hAnsi="Traditional Arabic"/>
          <w:noProof w:val="0"/>
          <w:color w:val="auto"/>
          <w:lang w:eastAsia="en-US"/>
        </w:rPr>
      </w:pPr>
      <w:r w:rsidRPr="00C85F0F">
        <w:rPr>
          <w:rFonts w:ascii="Traditional Arabic" w:hAnsi="Traditional Arabic"/>
          <w:noProof w:val="0"/>
          <w:rtl/>
          <w:lang w:eastAsia="en-US"/>
        </w:rPr>
        <w:t xml:space="preserve">إذا كانت المنفعة </w:t>
      </w:r>
      <w:r w:rsidRPr="00C85F0F">
        <w:rPr>
          <w:rFonts w:ascii="Traditional Arabic" w:hAnsi="Traditional Arabic" w:hint="cs"/>
          <w:noProof w:val="0"/>
          <w:rtl/>
          <w:lang w:eastAsia="en-US"/>
        </w:rPr>
        <w:t xml:space="preserve">في العين </w:t>
      </w:r>
      <w:r w:rsidRPr="00C85F0F">
        <w:rPr>
          <w:rFonts w:ascii="Traditional Arabic" w:hAnsi="Traditional Arabic"/>
          <w:noProof w:val="0"/>
          <w:rtl/>
          <w:lang w:eastAsia="en-US"/>
        </w:rPr>
        <w:t>لمصلح</w:t>
      </w:r>
      <w:r w:rsidRPr="00C85F0F">
        <w:rPr>
          <w:rFonts w:ascii="Traditional Arabic" w:hAnsi="Traditional Arabic" w:hint="cs"/>
          <w:noProof w:val="0"/>
          <w:rtl/>
          <w:lang w:eastAsia="en-US"/>
        </w:rPr>
        <w:t>ة</w:t>
      </w:r>
      <w:r w:rsidR="00793C74">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 xml:space="preserve">الطرفين </w:t>
      </w:r>
      <w:r w:rsidRPr="00C85F0F">
        <w:rPr>
          <w:rFonts w:ascii="Traditional Arabic" w:hAnsi="Traditional Arabic"/>
          <w:noProof w:val="0"/>
          <w:rtl/>
          <w:lang w:eastAsia="en-US"/>
        </w:rPr>
        <w:t>جميعا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كالعين المستأج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رة، فإن</w:t>
      </w:r>
      <w:r w:rsidRPr="00C85F0F">
        <w:rPr>
          <w:rFonts w:ascii="Traditional Arabic" w:hAnsi="Traditional Arabic" w:hint="cs"/>
          <w:noProof w:val="0"/>
          <w:rtl/>
          <w:lang w:eastAsia="en-US"/>
        </w:rPr>
        <w:t>ها</w:t>
      </w:r>
      <w:r w:rsidRPr="00C85F0F">
        <w:rPr>
          <w:rFonts w:ascii="Traditional Arabic" w:hAnsi="Traditional Arabic"/>
          <w:noProof w:val="0"/>
          <w:rtl/>
          <w:lang w:eastAsia="en-US"/>
        </w:rPr>
        <w:t xml:space="preserve"> ب</w:t>
      </w:r>
      <w:r w:rsidR="00793C74">
        <w:rPr>
          <w:rFonts w:ascii="Traditional Arabic" w:hAnsi="Traditional Arabic" w:hint="cs"/>
          <w:noProof w:val="0"/>
          <w:rtl/>
          <w:lang w:eastAsia="en-US"/>
        </w:rPr>
        <w:t>ِ</w:t>
      </w:r>
      <w:r w:rsidRPr="00C85F0F">
        <w:rPr>
          <w:rFonts w:ascii="Traditional Arabic" w:hAnsi="Traditional Arabic"/>
          <w:noProof w:val="0"/>
          <w:rtl/>
          <w:lang w:eastAsia="en-US"/>
        </w:rPr>
        <w:t>يد</w:t>
      </w:r>
      <w:r w:rsidR="00793C74">
        <w:rPr>
          <w:rFonts w:ascii="Traditional Arabic" w:hAnsi="Traditional Arabic" w:hint="cs"/>
          <w:noProof w:val="0"/>
          <w:rtl/>
          <w:lang w:eastAsia="en-US"/>
        </w:rPr>
        <w:t>ِ</w:t>
      </w:r>
      <w:r w:rsidRPr="00C85F0F">
        <w:rPr>
          <w:rFonts w:ascii="Traditional Arabic" w:hAnsi="Traditional Arabic"/>
          <w:noProof w:val="0"/>
          <w:rtl/>
          <w:lang w:eastAsia="en-US"/>
        </w:rPr>
        <w:t xml:space="preserve"> المستأج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لمصلحته من أجل استيفاء المنفعة التي تم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العقد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عليها، ولمصلحة مالكها من أجل الأجرة المتفق عليها،</w:t>
      </w:r>
      <w:r w:rsidRPr="00C85F0F">
        <w:rPr>
          <w:rFonts w:ascii="Traditional Arabic" w:hAnsi="Traditional Arabic" w:hint="cs"/>
          <w:noProof w:val="0"/>
          <w:rtl/>
          <w:lang w:eastAsia="en-US"/>
        </w:rPr>
        <w:t xml:space="preserve"> ففي هذه الحال لا يقبل قول المستأجر في الرد إلا ببينة</w:t>
      </w:r>
      <w:r w:rsidRPr="00C85F0F">
        <w:rPr>
          <w:rStyle w:val="af1"/>
          <w:szCs w:val="32"/>
          <w:rtl/>
        </w:rPr>
        <w:t>(</w:t>
      </w:r>
      <w:r w:rsidRPr="00C85F0F">
        <w:rPr>
          <w:rStyle w:val="af1"/>
          <w:szCs w:val="32"/>
          <w:rtl/>
        </w:rPr>
        <w:footnoteReference w:id="1722"/>
      </w:r>
      <w:r w:rsidRPr="00C85F0F">
        <w:rPr>
          <w:rStyle w:val="af1"/>
          <w:szCs w:val="32"/>
          <w:rtl/>
        </w:rPr>
        <w:t>)</w:t>
      </w:r>
      <w:r w:rsidRPr="00C85F0F">
        <w:rPr>
          <w:rFonts w:ascii="Traditional Arabic" w:hAnsi="Traditional Arabic" w:hint="cs"/>
          <w:noProof w:val="0"/>
          <w:rtl/>
          <w:lang w:eastAsia="en-US"/>
        </w:rPr>
        <w:t>.</w:t>
      </w:r>
    </w:p>
    <w:p w:rsidR="00DF7D27" w:rsidRPr="00C85F0F" w:rsidRDefault="00DF7D27" w:rsidP="00FD3233">
      <w:pPr>
        <w:pStyle w:val="53"/>
        <w:rPr>
          <w:rtl/>
        </w:rPr>
      </w:pPr>
      <w:r w:rsidRPr="00C85F0F">
        <w:rPr>
          <w:rFonts w:hint="cs"/>
          <w:rtl/>
        </w:rPr>
        <w:t xml:space="preserve">وجه اندراج </w:t>
      </w:r>
      <w:r w:rsidRPr="00FD3233">
        <w:rPr>
          <w:rFonts w:hint="cs"/>
          <w:rtl/>
        </w:rPr>
        <w:t>الفرع</w:t>
      </w:r>
      <w:r w:rsidRPr="00C85F0F">
        <w:rPr>
          <w:rFonts w:hint="cs"/>
          <w:rtl/>
        </w:rPr>
        <w:t xml:space="preserve"> تحت القاعدة:</w:t>
      </w:r>
    </w:p>
    <w:p w:rsidR="00DF7D27" w:rsidRDefault="00DF7D27"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المستأجر قبض العين المؤجَّرة لمصلحته ومصلحة المالك، فلا يُقبل قوله في الرد؛ لأن القاعدة أن من قبض العين لمصلحة نفسه ومصلحة المالك لم يُقبل قوله في الرد.</w:t>
      </w:r>
    </w:p>
    <w:p w:rsidR="00D569FA" w:rsidRPr="00C85F0F" w:rsidRDefault="004D2319" w:rsidP="000F5C0F">
      <w:pPr>
        <w:pStyle w:val="aff2"/>
        <w:rPr>
          <w:rtl/>
        </w:rPr>
      </w:pPr>
      <w:bookmarkStart w:id="352" w:name="_Toc334046557"/>
      <w:r w:rsidRPr="00C85F0F">
        <w:rPr>
          <w:rFonts w:ascii="Traditional Arabic" w:hAnsi="Traditional Arabic" w:hint="cs"/>
          <w:rtl/>
        </w:rPr>
        <w:lastRenderedPageBreak/>
        <w:t>المبحث الرابع</w:t>
      </w:r>
      <w:r w:rsidR="00D816CC" w:rsidRPr="00C85F0F">
        <w:rPr>
          <w:rFonts w:ascii="Traditional Arabic" w:hAnsi="Traditional Arabic" w:hint="eastAsia"/>
          <w:rtl/>
        </w:rPr>
        <w:t> </w:t>
      </w:r>
      <w:r w:rsidRPr="00C85F0F">
        <w:rPr>
          <w:rFonts w:ascii="Traditional Arabic" w:hAnsi="Traditional Arabic" w:hint="cs"/>
          <w:rtl/>
        </w:rPr>
        <w:t>:</w:t>
      </w:r>
      <w:r w:rsidRPr="00C85F0F">
        <w:rPr>
          <w:rFonts w:ascii="Traditional Arabic" w:hAnsi="Traditional Arabic"/>
          <w:rtl/>
        </w:rPr>
        <w:br/>
      </w:r>
      <w:r w:rsidRPr="00C85F0F">
        <w:rPr>
          <w:rFonts w:ascii="Traditional Arabic" w:hAnsi="Traditional Arabic" w:hint="cs"/>
          <w:rtl/>
        </w:rPr>
        <w:t>قاعدة</w:t>
      </w:r>
      <w:r w:rsidRPr="00C85F0F">
        <w:rPr>
          <w:rFonts w:ascii="Traditional Arabic" w:hAnsi="Traditional Arabic"/>
          <w:rtl/>
        </w:rPr>
        <w:br/>
      </w:r>
      <w:r w:rsidR="00D569FA" w:rsidRPr="00C85F0F">
        <w:rPr>
          <w:rFonts w:hint="cs"/>
          <w:rtl/>
        </w:rPr>
        <w:t>"البينة على المدعي واليمين على من أنكر</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المبحثالرابع</w:instrText>
      </w:r>
      <w:r w:rsidR="003504FF" w:rsidRPr="00C85F0F">
        <w:rPr>
          <w:rtl/>
        </w:rPr>
        <w:instrText xml:space="preserve"> : </w:instrText>
      </w:r>
      <w:r w:rsidR="003504FF" w:rsidRPr="00C85F0F">
        <w:rPr>
          <w:rFonts w:hint="cs"/>
          <w:rtl/>
        </w:rPr>
        <w:instrText>قاعدة</w:instrText>
      </w:r>
      <w:r w:rsidR="003504FF" w:rsidRPr="00C85F0F">
        <w:rPr>
          <w:rtl/>
        </w:rPr>
        <w:instrText xml:space="preserve"> "</w:instrText>
      </w:r>
      <w:r w:rsidR="003504FF" w:rsidRPr="00C85F0F">
        <w:rPr>
          <w:rFonts w:hint="cs"/>
          <w:rtl/>
        </w:rPr>
        <w:instrText>البينةعلىالمدعيواليمينعلىمنأنكر</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D569FA" w:rsidRPr="00C85F0F">
        <w:rPr>
          <w:rFonts w:hint="cs"/>
          <w:rtl/>
        </w:rPr>
        <w:t>"</w:t>
      </w:r>
      <w:bookmarkEnd w:id="352"/>
    </w:p>
    <w:p w:rsidR="00D569FA" w:rsidRPr="00C85F0F" w:rsidRDefault="00184ADA" w:rsidP="00A8347C">
      <w:pPr>
        <w:pStyle w:val="aff3"/>
        <w:rPr>
          <w:rtl/>
        </w:rPr>
      </w:pPr>
      <w:bookmarkStart w:id="353" w:name="_Toc334046558"/>
      <w:r>
        <w:rPr>
          <w:rFonts w:hint="cs"/>
          <w:rtl/>
        </w:rPr>
        <w:t xml:space="preserve">                                        المطلب</w:t>
      </w:r>
      <w:r w:rsidR="00793C74">
        <w:rPr>
          <w:rFonts w:hint="cs"/>
          <w:rtl/>
        </w:rPr>
        <w:t xml:space="preserve"> </w:t>
      </w:r>
      <w:r w:rsidR="00D569FA" w:rsidRPr="00C85F0F">
        <w:rPr>
          <w:rFonts w:hint="cs"/>
          <w:rtl/>
        </w:rPr>
        <w:t>الأول</w:t>
      </w:r>
      <w:r w:rsidR="00D569FA" w:rsidRPr="00C85F0F">
        <w:rPr>
          <w:rFonts w:hint="eastAsia"/>
          <w:rtl/>
        </w:rPr>
        <w:t> :</w:t>
      </w:r>
      <w:r w:rsidR="00D569FA" w:rsidRPr="00C85F0F">
        <w:rPr>
          <w:rFonts w:hint="cs"/>
          <w:rtl/>
        </w:rPr>
        <w:br/>
      </w:r>
      <w:r>
        <w:rPr>
          <w:rFonts w:hint="cs"/>
          <w:rtl/>
        </w:rPr>
        <w:t xml:space="preserve">                    </w:t>
      </w:r>
      <w:r w:rsidR="00793C74">
        <w:rPr>
          <w:rFonts w:hint="cs"/>
          <w:rtl/>
        </w:rPr>
        <w:t xml:space="preserve"> </w:t>
      </w:r>
      <w:r w:rsidR="00D569FA" w:rsidRPr="00C85F0F">
        <w:rPr>
          <w:rFonts w:hint="cs"/>
          <w:rtl/>
        </w:rPr>
        <w:t>صيغ القاعدة عند الشيخ وعند علماء القواعد</w:t>
      </w:r>
      <w:bookmarkEnd w:id="353"/>
    </w:p>
    <w:p w:rsidR="00D569FA" w:rsidRPr="00C85F0F" w:rsidRDefault="00D569FA" w:rsidP="00597C20">
      <w:pPr>
        <w:ind w:firstLine="720"/>
      </w:pPr>
      <w:r w:rsidRPr="00C85F0F">
        <w:rPr>
          <w:rFonts w:hint="cs"/>
          <w:rtl/>
        </w:rPr>
        <w:t>اشتهرت هذه القاعدة عند العلماء بصيغة</w:t>
      </w:r>
      <w:r w:rsidR="00793C74">
        <w:rPr>
          <w:rFonts w:hint="cs"/>
          <w:rtl/>
        </w:rPr>
        <w:t xml:space="preserve"> "</w:t>
      </w:r>
      <w:r w:rsidRPr="00C85F0F">
        <w:rPr>
          <w:rFonts w:hint="cs"/>
          <w:rtl/>
        </w:rPr>
        <w:t>البينة على المدعي واليمين على من أنكر"</w:t>
      </w:r>
      <w:r w:rsidRPr="00C85F0F">
        <w:rPr>
          <w:rStyle w:val="af1"/>
          <w:szCs w:val="32"/>
          <w:rtl/>
        </w:rPr>
        <w:t>(</w:t>
      </w:r>
      <w:r w:rsidRPr="00C85F0F">
        <w:rPr>
          <w:rStyle w:val="af1"/>
          <w:szCs w:val="32"/>
          <w:rtl/>
        </w:rPr>
        <w:footnoteReference w:id="1723"/>
      </w:r>
      <w:r w:rsidRPr="00C85F0F">
        <w:rPr>
          <w:rStyle w:val="af1"/>
          <w:szCs w:val="32"/>
          <w:rtl/>
        </w:rPr>
        <w:t>)</w:t>
      </w:r>
      <w:r w:rsidRPr="00C85F0F">
        <w:rPr>
          <w:rFonts w:hint="cs"/>
          <w:rtl/>
        </w:rPr>
        <w:t xml:space="preserve">، وقد سار الشيخ ابن عثيمين </w:t>
      </w:r>
      <w:r w:rsidR="00793C74">
        <w:rPr>
          <w:rFonts w:hint="cs"/>
          <w:rtl/>
        </w:rPr>
        <w:t>_</w:t>
      </w:r>
      <w:r w:rsidR="009A0575" w:rsidRPr="005D5694">
        <w:rPr>
          <w:rFonts w:ascii="Traditional Arabic" w:hAnsi="Traditional Arabic" w:cs="CTraditional Arabic" w:hint="cs"/>
          <w:rtl/>
        </w:rPr>
        <w:t>/</w:t>
      </w:r>
      <w:r w:rsidR="00793C74">
        <w:rPr>
          <w:rFonts w:hint="cs"/>
          <w:rtl/>
        </w:rPr>
        <w:t>_</w:t>
      </w:r>
      <w:r w:rsidRPr="00C85F0F">
        <w:rPr>
          <w:rFonts w:hint="cs"/>
          <w:rtl/>
        </w:rPr>
        <w:t xml:space="preserve"> في ذلك على م</w:t>
      </w:r>
      <w:r w:rsidR="00793C74">
        <w:rPr>
          <w:rFonts w:hint="cs"/>
          <w:rtl/>
        </w:rPr>
        <w:t>ِ</w:t>
      </w:r>
      <w:r w:rsidRPr="00C85F0F">
        <w:rPr>
          <w:rFonts w:hint="cs"/>
          <w:rtl/>
        </w:rPr>
        <w:t>نوالهم فأوردها بهذه الصيغة المشهورة</w:t>
      </w:r>
      <w:r w:rsidRPr="00C85F0F">
        <w:rPr>
          <w:rStyle w:val="af1"/>
          <w:szCs w:val="32"/>
          <w:rtl/>
        </w:rPr>
        <w:t>(</w:t>
      </w:r>
      <w:r w:rsidRPr="00C85F0F">
        <w:rPr>
          <w:rStyle w:val="af1"/>
          <w:szCs w:val="32"/>
          <w:rtl/>
        </w:rPr>
        <w:footnoteReference w:id="1724"/>
      </w:r>
      <w:r w:rsidRPr="00C85F0F">
        <w:rPr>
          <w:rStyle w:val="af1"/>
          <w:szCs w:val="32"/>
          <w:rtl/>
        </w:rPr>
        <w:t>)</w:t>
      </w:r>
      <w:r w:rsidR="00793C74">
        <w:rPr>
          <w:rFonts w:hint="cs"/>
          <w:rtl/>
        </w:rPr>
        <w:t>، وعبَّر  عن</w:t>
      </w:r>
      <w:r w:rsidRPr="00C85F0F">
        <w:rPr>
          <w:rFonts w:hint="cs"/>
          <w:rtl/>
        </w:rPr>
        <w:t>ها ف</w:t>
      </w:r>
      <w:r w:rsidR="00793C74">
        <w:rPr>
          <w:rFonts w:hint="cs"/>
          <w:rtl/>
        </w:rPr>
        <w:t>ي منظومة أصول الفقه وقواعده بقو</w:t>
      </w:r>
      <w:r w:rsidRPr="00C85F0F">
        <w:rPr>
          <w:rFonts w:hint="cs"/>
          <w:rtl/>
        </w:rPr>
        <w:t>ل</w:t>
      </w:r>
      <w:r w:rsidR="00793C74">
        <w:rPr>
          <w:rFonts w:hint="cs"/>
          <w:rtl/>
        </w:rPr>
        <w:t>ه</w:t>
      </w:r>
      <w:r w:rsidRPr="00C85F0F">
        <w:rPr>
          <w:rFonts w:hint="cs"/>
          <w:rtl/>
        </w:rPr>
        <w:t>:</w:t>
      </w:r>
    </w:p>
    <w:p w:rsidR="00D569FA" w:rsidRPr="00C85F0F" w:rsidRDefault="00D569FA" w:rsidP="00597C20">
      <w:pPr>
        <w:ind w:firstLine="720"/>
      </w:pPr>
      <w:r w:rsidRPr="00C85F0F">
        <w:rPr>
          <w:rFonts w:hint="cs"/>
          <w:rtl/>
        </w:rPr>
        <w:t>بينةً ألزِمْ لكلِّ مُدَّعٍ</w:t>
      </w:r>
      <w:r w:rsidR="00793C74">
        <w:rPr>
          <w:rFonts w:hint="cs"/>
          <w:rtl/>
        </w:rPr>
        <w:t xml:space="preserve">        </w:t>
      </w:r>
      <w:r w:rsidRPr="00C85F0F">
        <w:rPr>
          <w:rFonts w:hint="cs"/>
          <w:rtl/>
        </w:rPr>
        <w:t xml:space="preserve">ومُنكِراً </w:t>
      </w:r>
      <w:r w:rsidR="00793C74">
        <w:rPr>
          <w:rFonts w:hint="cs"/>
          <w:rtl/>
        </w:rPr>
        <w:t xml:space="preserve"> </w:t>
      </w:r>
      <w:r w:rsidRPr="00C85F0F">
        <w:rPr>
          <w:rFonts w:hint="cs"/>
          <w:rtl/>
        </w:rPr>
        <w:t xml:space="preserve">ألزِم </w:t>
      </w:r>
      <w:r w:rsidR="00793C74">
        <w:rPr>
          <w:rFonts w:hint="cs"/>
          <w:rtl/>
        </w:rPr>
        <w:t xml:space="preserve"> </w:t>
      </w:r>
      <w:r w:rsidRPr="00C85F0F">
        <w:rPr>
          <w:rFonts w:hint="cs"/>
          <w:rtl/>
        </w:rPr>
        <w:t>يميناً</w:t>
      </w:r>
      <w:r w:rsidR="00793C74">
        <w:rPr>
          <w:rFonts w:hint="cs"/>
          <w:rtl/>
        </w:rPr>
        <w:t xml:space="preserve"> </w:t>
      </w:r>
      <w:r w:rsidRPr="00C85F0F">
        <w:rPr>
          <w:rFonts w:hint="cs"/>
          <w:rtl/>
        </w:rPr>
        <w:t xml:space="preserve"> تُطِعِ</w:t>
      </w:r>
      <w:r w:rsidRPr="00C85F0F">
        <w:rPr>
          <w:rStyle w:val="af1"/>
          <w:szCs w:val="32"/>
          <w:rtl/>
        </w:rPr>
        <w:t>(</w:t>
      </w:r>
      <w:r w:rsidRPr="00C85F0F">
        <w:rPr>
          <w:rStyle w:val="af1"/>
          <w:szCs w:val="32"/>
          <w:rtl/>
        </w:rPr>
        <w:footnoteReference w:id="1725"/>
      </w:r>
      <w:r w:rsidRPr="00C85F0F">
        <w:rPr>
          <w:rStyle w:val="af1"/>
          <w:szCs w:val="32"/>
          <w:rtl/>
        </w:rPr>
        <w:t>)</w:t>
      </w:r>
      <w:r w:rsidRPr="00C85F0F">
        <w:rPr>
          <w:rFonts w:hint="cs"/>
          <w:rtl/>
        </w:rPr>
        <w:t>.</w:t>
      </w:r>
    </w:p>
    <w:p w:rsidR="00065E4B" w:rsidRPr="00C85F0F" w:rsidRDefault="00184ADA" w:rsidP="00A8347C">
      <w:pPr>
        <w:pStyle w:val="aff3"/>
      </w:pPr>
      <w:bookmarkStart w:id="354" w:name="_Toc334046559"/>
      <w:r>
        <w:rPr>
          <w:rFonts w:hint="cs"/>
          <w:rtl/>
        </w:rPr>
        <w:t xml:space="preserve">         </w:t>
      </w:r>
      <w:r w:rsidR="00793C74">
        <w:rPr>
          <w:rFonts w:hint="cs"/>
          <w:rtl/>
        </w:rPr>
        <w:t xml:space="preserve">                             </w:t>
      </w:r>
      <w:r>
        <w:rPr>
          <w:rFonts w:hint="cs"/>
          <w:rtl/>
        </w:rPr>
        <w:t>المطلب</w:t>
      </w:r>
      <w:r w:rsidR="00793C74">
        <w:rPr>
          <w:rFonts w:hint="cs"/>
          <w:rtl/>
        </w:rPr>
        <w:t xml:space="preserve"> </w:t>
      </w:r>
      <w:r w:rsidR="00D569FA" w:rsidRPr="00C85F0F">
        <w:rPr>
          <w:rFonts w:hint="cs"/>
          <w:rtl/>
        </w:rPr>
        <w:t>الثاني</w:t>
      </w:r>
      <w:r w:rsidR="00D569FA" w:rsidRPr="00C85F0F">
        <w:rPr>
          <w:rFonts w:hint="eastAsia"/>
          <w:rtl/>
        </w:rPr>
        <w:t> :</w:t>
      </w:r>
      <w:r w:rsidR="00D569FA" w:rsidRPr="00C85F0F">
        <w:rPr>
          <w:rFonts w:hint="cs"/>
          <w:rtl/>
        </w:rPr>
        <w:br/>
      </w:r>
      <w:r>
        <w:rPr>
          <w:rFonts w:hint="cs"/>
          <w:rtl/>
        </w:rPr>
        <w:t xml:space="preserve">          </w:t>
      </w:r>
      <w:r w:rsidR="00793C74">
        <w:rPr>
          <w:rFonts w:hint="cs"/>
          <w:rtl/>
        </w:rPr>
        <w:t xml:space="preserve">                             </w:t>
      </w:r>
      <w:r w:rsidR="00D569FA" w:rsidRPr="00C85F0F">
        <w:rPr>
          <w:rFonts w:hint="cs"/>
          <w:rtl/>
        </w:rPr>
        <w:t>شرح القاعدة</w:t>
      </w:r>
      <w:bookmarkEnd w:id="354"/>
    </w:p>
    <w:p w:rsidR="006E5B27" w:rsidRPr="009A2D7D" w:rsidRDefault="00065E4B" w:rsidP="00597C20">
      <w:pPr>
        <w:pStyle w:val="53"/>
        <w:rPr>
          <w:rtl/>
        </w:rPr>
      </w:pPr>
      <w:r w:rsidRPr="009A2D7D">
        <w:rPr>
          <w:rFonts w:hint="cs"/>
          <w:rtl/>
        </w:rPr>
        <w:t>ا</w:t>
      </w:r>
      <w:r w:rsidR="00D569FA" w:rsidRPr="009A2D7D">
        <w:rPr>
          <w:rFonts w:hint="cs"/>
          <w:rtl/>
        </w:rPr>
        <w:t>لبيِّنة</w:t>
      </w:r>
      <w:r w:rsidR="00AB0B9E">
        <w:rPr>
          <w:rtl/>
        </w:rPr>
        <w:fldChar w:fldCharType="begin"/>
      </w:r>
      <w:r w:rsidR="009A2D7D">
        <w:instrText xml:space="preserve"> XE "</w:instrText>
      </w:r>
      <w:r w:rsidR="009A2D7D" w:rsidRPr="009A2D7D">
        <w:rPr>
          <w:rFonts w:hint="cs"/>
          <w:b w:val="0"/>
          <w:bCs w:val="0"/>
          <w:rtl/>
        </w:rPr>
        <w:instrText>البيِّنة</w:instrText>
      </w:r>
      <w:r w:rsidR="009A2D7D">
        <w:instrText xml:space="preserve">" </w:instrText>
      </w:r>
      <w:r w:rsidR="009A2D7D" w:rsidRPr="009A2D7D">
        <w:instrText>\fm</w:instrText>
      </w:r>
      <w:r w:rsidR="00AB0B9E">
        <w:rPr>
          <w:rtl/>
        </w:rPr>
        <w:fldChar w:fldCharType="end"/>
      </w:r>
      <w:r w:rsidR="00D569FA" w:rsidRPr="009A2D7D">
        <w:rPr>
          <w:rFonts w:hint="cs"/>
          <w:rtl/>
        </w:rPr>
        <w:t xml:space="preserve"> لغة:</w:t>
      </w:r>
    </w:p>
    <w:p w:rsidR="00065E4B" w:rsidRPr="00C85F0F" w:rsidRDefault="00D569FA"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يقال: بانَ يَبِينُ فهو بيِّنٌ، ومؤنَّثه بيِّنة، أي: واضحة</w:t>
      </w:r>
      <w:r w:rsidRPr="00C85F0F">
        <w:rPr>
          <w:rStyle w:val="af1"/>
          <w:szCs w:val="32"/>
          <w:rtl/>
        </w:rPr>
        <w:t>(</w:t>
      </w:r>
      <w:r w:rsidRPr="00C85F0F">
        <w:rPr>
          <w:rStyle w:val="af1"/>
          <w:szCs w:val="32"/>
          <w:rtl/>
        </w:rPr>
        <w:footnoteReference w:id="1726"/>
      </w:r>
      <w:r w:rsidRPr="00C85F0F">
        <w:rPr>
          <w:rStyle w:val="af1"/>
          <w:szCs w:val="32"/>
          <w:rtl/>
        </w:rPr>
        <w:t>)</w:t>
      </w:r>
      <w:r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720"/>
        <w:rPr>
          <w:rFonts w:ascii="Traditional Arabic" w:hAnsi="Traditional Arabic"/>
          <w:noProof w:val="0"/>
          <w:color w:val="auto"/>
          <w:sz w:val="44"/>
          <w:szCs w:val="44"/>
          <w:rtl/>
          <w:lang w:eastAsia="en-US"/>
        </w:rPr>
      </w:pPr>
      <w:r w:rsidRPr="00C85F0F">
        <w:rPr>
          <w:rFonts w:hint="cs"/>
          <w:rtl/>
        </w:rPr>
        <w:lastRenderedPageBreak/>
        <w:t>ي</w:t>
      </w:r>
      <w:r w:rsidR="00D569FA" w:rsidRPr="00C85F0F">
        <w:rPr>
          <w:rFonts w:hint="cs"/>
          <w:rtl/>
        </w:rPr>
        <w:t xml:space="preserve">قول  ابن فارس </w:t>
      </w:r>
      <w:r w:rsidR="00793C74">
        <w:rPr>
          <w:rFonts w:hint="cs"/>
          <w:rtl/>
        </w:rPr>
        <w:t>_</w:t>
      </w:r>
      <w:r w:rsidR="009A0575" w:rsidRPr="005D5694">
        <w:rPr>
          <w:rFonts w:ascii="Traditional Arabic" w:hAnsi="Traditional Arabic" w:cs="CTraditional Arabic" w:hint="cs"/>
          <w:rtl/>
        </w:rPr>
        <w:t>/</w:t>
      </w:r>
      <w:r w:rsidR="00793C74">
        <w:rPr>
          <w:rFonts w:hint="cs"/>
          <w:rtl/>
        </w:rPr>
        <w:t>_</w:t>
      </w:r>
      <w:r w:rsidR="00D569FA" w:rsidRPr="00C85F0F">
        <w:rPr>
          <w:rFonts w:hint="cs"/>
          <w:rtl/>
        </w:rPr>
        <w:t>: (</w:t>
      </w:r>
      <w:r w:rsidR="00D569FA" w:rsidRPr="00C85F0F">
        <w:rPr>
          <w:rFonts w:ascii="Traditional Arabic" w:hAnsi="Traditional Arabic"/>
          <w:noProof w:val="0"/>
          <w:rtl/>
          <w:lang w:eastAsia="en-US"/>
        </w:rPr>
        <w:t>الباء والياء والنون أصل واحد، وهو ب</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عد الشيء وانكشاف</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ه. فالب</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ي</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ن الف</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راق; يقال بان</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ي</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ب</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ين ب</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ي</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نا</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وب</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ي</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نونة</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وبان</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الشيء</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وأبان</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إذا ات</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ضح وانكشف</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وفلان أ</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ب</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ي</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ن</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من فلان</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أي</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أوضح</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كلاما</w:t>
      </w:r>
      <w:r w:rsidR="00D569FA" w:rsidRPr="00C85F0F">
        <w:rPr>
          <w:rFonts w:ascii="Traditional Arabic" w:hAnsi="Traditional Arabic" w:hint="cs"/>
          <w:noProof w:val="0"/>
          <w:rtl/>
          <w:lang w:eastAsia="en-US"/>
        </w:rPr>
        <w:t>ً</w:t>
      </w:r>
      <w:r w:rsidR="00793C74">
        <w:rPr>
          <w:rFonts w:ascii="Traditional Arabic" w:hAnsi="Traditional Arabic" w:hint="cs"/>
          <w:noProof w:val="0"/>
          <w:rtl/>
          <w:lang w:eastAsia="en-US"/>
        </w:rPr>
        <w:t xml:space="preserve"> </w:t>
      </w:r>
      <w:r w:rsidR="00D569FA" w:rsidRPr="00C85F0F">
        <w:rPr>
          <w:rFonts w:ascii="Traditional Arabic" w:hAnsi="Traditional Arabic"/>
          <w:noProof w:val="0"/>
          <w:rtl/>
          <w:lang w:eastAsia="en-US"/>
        </w:rPr>
        <w:t>منه</w:t>
      </w:r>
      <w:r w:rsidR="00D569FA" w:rsidRPr="00C85F0F">
        <w:rPr>
          <w:rFonts w:ascii="Traditional Arabic" w:hAnsi="Traditional Arabic" w:hint="cs"/>
          <w:noProof w:val="0"/>
          <w:rtl/>
          <w:lang w:eastAsia="en-US"/>
        </w:rPr>
        <w:t>)</w:t>
      </w:r>
      <w:r w:rsidR="00D569FA" w:rsidRPr="00C85F0F">
        <w:rPr>
          <w:rStyle w:val="af1"/>
          <w:szCs w:val="32"/>
          <w:rtl/>
        </w:rPr>
        <w:t>(</w:t>
      </w:r>
      <w:r w:rsidR="00D569FA" w:rsidRPr="00C85F0F">
        <w:rPr>
          <w:rStyle w:val="af1"/>
          <w:szCs w:val="32"/>
          <w:rtl/>
        </w:rPr>
        <w:footnoteReference w:id="1727"/>
      </w:r>
      <w:r w:rsidR="00D569FA" w:rsidRPr="00C85F0F">
        <w:rPr>
          <w:rStyle w:val="af1"/>
          <w:szCs w:val="32"/>
          <w:rtl/>
        </w:rPr>
        <w:t>)</w:t>
      </w:r>
      <w:r w:rsidR="00D569FA" w:rsidRPr="00C85F0F">
        <w:rPr>
          <w:rFonts w:ascii="Traditional Arabic" w:hAnsi="Traditional Arabic"/>
          <w:noProof w:val="0"/>
          <w:rtl/>
          <w:lang w:eastAsia="en-US"/>
        </w:rPr>
        <w:t>.</w:t>
      </w:r>
    </w:p>
    <w:p w:rsidR="00065E4B" w:rsidRPr="009A2D7D" w:rsidRDefault="00065E4B" w:rsidP="00597C20">
      <w:pPr>
        <w:pStyle w:val="53"/>
        <w:rPr>
          <w:rtl/>
        </w:rPr>
      </w:pPr>
      <w:r w:rsidRPr="009A2D7D">
        <w:rPr>
          <w:rFonts w:hint="cs"/>
          <w:rtl/>
        </w:rPr>
        <w:t>ا</w:t>
      </w:r>
      <w:r w:rsidR="00184ADA">
        <w:rPr>
          <w:rFonts w:hint="cs"/>
          <w:rtl/>
        </w:rPr>
        <w:t>لبينة شرع</w:t>
      </w:r>
      <w:r w:rsidR="00D569FA" w:rsidRPr="009A2D7D">
        <w:rPr>
          <w:rFonts w:hint="cs"/>
          <w:rtl/>
        </w:rPr>
        <w:t>ا:</w:t>
      </w:r>
    </w:p>
    <w:p w:rsidR="00065E4B" w:rsidRPr="00C85F0F" w:rsidRDefault="00065E4B" w:rsidP="00597C20">
      <w:pPr>
        <w:ind w:firstLine="720"/>
        <w:rPr>
          <w:rtl/>
        </w:rPr>
      </w:pPr>
      <w:r w:rsidRPr="00C85F0F">
        <w:rPr>
          <w:rFonts w:hint="cs"/>
          <w:rtl/>
        </w:rPr>
        <w:t>ي</w:t>
      </w:r>
      <w:r w:rsidR="00D569FA" w:rsidRPr="00C85F0F">
        <w:rPr>
          <w:rFonts w:hint="cs"/>
          <w:rtl/>
        </w:rPr>
        <w:t xml:space="preserve">قول  ابن القيم </w:t>
      </w:r>
      <w:r w:rsidR="00793C74">
        <w:rPr>
          <w:rFonts w:hint="cs"/>
          <w:rtl/>
        </w:rPr>
        <w:t>_</w:t>
      </w:r>
      <w:r w:rsidR="009A0575" w:rsidRPr="005D5694">
        <w:rPr>
          <w:rFonts w:ascii="Traditional Arabic" w:hAnsi="Traditional Arabic" w:cs="CTraditional Arabic" w:hint="cs"/>
          <w:rtl/>
        </w:rPr>
        <w:t>/</w:t>
      </w:r>
      <w:r w:rsidR="00793C74">
        <w:rPr>
          <w:rFonts w:hint="cs"/>
          <w:rtl/>
        </w:rPr>
        <w:t>_</w:t>
      </w:r>
      <w:r w:rsidR="00D569FA" w:rsidRPr="00C85F0F">
        <w:rPr>
          <w:rFonts w:hint="cs"/>
          <w:rtl/>
        </w:rPr>
        <w:t>: (</w:t>
      </w:r>
      <w:r w:rsidR="00D569FA" w:rsidRPr="00C85F0F">
        <w:rPr>
          <w:rFonts w:ascii="Traditional Arabic" w:hAnsi="Traditional Arabic"/>
          <w:noProof w:val="0"/>
          <w:rtl/>
          <w:lang w:eastAsia="en-US"/>
        </w:rPr>
        <w:t>وبالجملة : فالبينة اسم</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لكل ما يبي</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ن الحق</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وي</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ظهره</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ومن خص</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ها بالشاهدين، أو الأربعة، أو الشاهد</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لم يوف</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م</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سم</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اها حق</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ه</w:t>
      </w:r>
      <w:r w:rsidR="00D569FA" w:rsidRPr="00C85F0F">
        <w:rPr>
          <w:rFonts w:ascii="Traditional Arabic" w:hAnsi="Traditional Arabic" w:hint="cs"/>
          <w:noProof w:val="0"/>
          <w:rtl/>
          <w:lang w:eastAsia="en-US"/>
        </w:rPr>
        <w:t>)</w:t>
      </w:r>
      <w:r w:rsidR="00D569FA" w:rsidRPr="00C85F0F">
        <w:rPr>
          <w:rStyle w:val="af1"/>
          <w:szCs w:val="32"/>
          <w:rtl/>
        </w:rPr>
        <w:t>(</w:t>
      </w:r>
      <w:r w:rsidR="00D569FA" w:rsidRPr="00C85F0F">
        <w:rPr>
          <w:rStyle w:val="af1"/>
          <w:szCs w:val="32"/>
          <w:rtl/>
        </w:rPr>
        <w:footnoteReference w:id="1728"/>
      </w:r>
      <w:r w:rsidR="00D569FA" w:rsidRPr="00C85F0F">
        <w:rPr>
          <w:rStyle w:val="af1"/>
          <w:szCs w:val="32"/>
          <w:rtl/>
        </w:rPr>
        <w:t>)</w:t>
      </w:r>
      <w:r w:rsidR="00D569FA" w:rsidRPr="00C85F0F">
        <w:rPr>
          <w:rFonts w:ascii="Traditional Arabic" w:hAnsi="Traditional Arabic"/>
          <w:noProof w:val="0"/>
          <w:rtl/>
          <w:lang w:eastAsia="en-US"/>
        </w:rPr>
        <w:t>.</w:t>
      </w:r>
    </w:p>
    <w:p w:rsidR="00065E4B" w:rsidRPr="00C85F0F" w:rsidRDefault="00065E4B" w:rsidP="00597C20">
      <w:pPr>
        <w:ind w:firstLine="720"/>
        <w:rPr>
          <w:rtl/>
        </w:rPr>
      </w:pPr>
      <w:r w:rsidRPr="00C85F0F">
        <w:rPr>
          <w:rFonts w:hint="cs"/>
          <w:rtl/>
        </w:rPr>
        <w:t>و</w:t>
      </w:r>
      <w:r w:rsidR="00D569FA" w:rsidRPr="00C85F0F">
        <w:rPr>
          <w:rFonts w:hint="cs"/>
          <w:rtl/>
        </w:rPr>
        <w:t>يقول: (</w:t>
      </w:r>
      <w:r w:rsidR="00D569FA" w:rsidRPr="00C85F0F">
        <w:rPr>
          <w:rFonts w:ascii="Traditional Arabic" w:hAnsi="Traditional Arabic"/>
          <w:noProof w:val="0"/>
          <w:rtl/>
          <w:lang w:eastAsia="en-US"/>
        </w:rPr>
        <w:t>البينة في كلام الله ورسوله وكلام الصحابة اسم</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لكل ما يبي</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ن الحق</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فهي أعم</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 xml:space="preserve"> من البينة في اصطلاح الفقهاء</w:t>
      </w:r>
      <w:r w:rsidR="00D569FA" w:rsidRPr="00C85F0F">
        <w:rPr>
          <w:rStyle w:val="af1"/>
          <w:szCs w:val="32"/>
          <w:rtl/>
        </w:rPr>
        <w:t>(</w:t>
      </w:r>
      <w:r w:rsidR="00D569FA" w:rsidRPr="00C85F0F">
        <w:rPr>
          <w:rStyle w:val="af1"/>
          <w:szCs w:val="32"/>
          <w:rtl/>
        </w:rPr>
        <w:footnoteReference w:id="1729"/>
      </w:r>
      <w:r w:rsidR="00D569FA" w:rsidRPr="00C85F0F">
        <w:rPr>
          <w:rStyle w:val="af1"/>
          <w:szCs w:val="32"/>
          <w:rtl/>
        </w:rPr>
        <w:t>)</w:t>
      </w:r>
      <w:r w:rsidR="00D569FA" w:rsidRPr="00C85F0F">
        <w:rPr>
          <w:rFonts w:ascii="Traditional Arabic" w:hAnsi="Traditional Arabic"/>
          <w:noProof w:val="0"/>
          <w:rtl/>
          <w:lang w:eastAsia="en-US"/>
        </w:rPr>
        <w:t>، حيث خص</w:t>
      </w:r>
      <w:r w:rsidR="00D569FA" w:rsidRPr="00C85F0F">
        <w:rPr>
          <w:rFonts w:ascii="Traditional Arabic" w:hAnsi="Traditional Arabic" w:hint="cs"/>
          <w:noProof w:val="0"/>
          <w:rtl/>
          <w:lang w:eastAsia="en-US"/>
        </w:rPr>
        <w:t>ُّ</w:t>
      </w:r>
      <w:r w:rsidR="00D569FA" w:rsidRPr="00C85F0F">
        <w:rPr>
          <w:rFonts w:ascii="Traditional Arabic" w:hAnsi="Traditional Arabic"/>
          <w:noProof w:val="0"/>
          <w:rtl/>
          <w:lang w:eastAsia="en-US"/>
        </w:rPr>
        <w:t>وها بالشاهدين أو الشاهد واليمين</w:t>
      </w:r>
      <w:r w:rsidR="00D569FA" w:rsidRPr="00C85F0F">
        <w:rPr>
          <w:rFonts w:hint="cs"/>
          <w:rtl/>
        </w:rPr>
        <w:t>)</w:t>
      </w:r>
      <w:r w:rsidR="00D569FA" w:rsidRPr="00C85F0F">
        <w:rPr>
          <w:rStyle w:val="af1"/>
          <w:szCs w:val="32"/>
          <w:rtl/>
        </w:rPr>
        <w:t>(</w:t>
      </w:r>
      <w:r w:rsidR="00D569FA" w:rsidRPr="00C85F0F">
        <w:rPr>
          <w:rStyle w:val="af1"/>
          <w:szCs w:val="32"/>
          <w:rtl/>
        </w:rPr>
        <w:footnoteReference w:id="1730"/>
      </w:r>
      <w:r w:rsidR="00D569FA" w:rsidRPr="00C85F0F">
        <w:rPr>
          <w:rStyle w:val="af1"/>
          <w:szCs w:val="32"/>
          <w:rtl/>
        </w:rPr>
        <w:t>)</w:t>
      </w:r>
      <w:r w:rsidR="00D569FA" w:rsidRPr="00C85F0F">
        <w:rPr>
          <w:rFonts w:hint="cs"/>
          <w:rtl/>
        </w:rPr>
        <w:t>.</w:t>
      </w:r>
    </w:p>
    <w:p w:rsidR="00065E4B" w:rsidRPr="00C85F0F" w:rsidRDefault="00065E4B" w:rsidP="00597C20">
      <w:pPr>
        <w:ind w:firstLine="720"/>
        <w:rPr>
          <w:rtl/>
        </w:rPr>
      </w:pPr>
      <w:r w:rsidRPr="00C85F0F">
        <w:rPr>
          <w:rFonts w:hint="cs"/>
          <w:rtl/>
        </w:rPr>
        <w:t>و</w:t>
      </w:r>
      <w:r w:rsidR="00EE1A85">
        <w:rPr>
          <w:rFonts w:hint="cs"/>
          <w:rtl/>
        </w:rPr>
        <w:t>قد نحا</w:t>
      </w:r>
      <w:r w:rsidR="00D569FA" w:rsidRPr="00C85F0F">
        <w:rPr>
          <w:rFonts w:hint="cs"/>
          <w:rtl/>
        </w:rPr>
        <w:t xml:space="preserve"> الشيخ ابن عثيمين </w:t>
      </w:r>
      <w:r w:rsidR="00793C74">
        <w:rPr>
          <w:rFonts w:hint="cs"/>
          <w:rtl/>
        </w:rPr>
        <w:t>_</w:t>
      </w:r>
      <w:r w:rsidR="009A0575" w:rsidRPr="005D5694">
        <w:rPr>
          <w:rFonts w:ascii="Traditional Arabic" w:hAnsi="Traditional Arabic" w:cs="CTraditional Arabic" w:hint="cs"/>
          <w:rtl/>
        </w:rPr>
        <w:t>/</w:t>
      </w:r>
      <w:r w:rsidR="00793C74">
        <w:rPr>
          <w:rFonts w:hint="cs"/>
          <w:rtl/>
        </w:rPr>
        <w:t>_</w:t>
      </w:r>
      <w:r w:rsidR="00D569FA" w:rsidRPr="00C85F0F">
        <w:rPr>
          <w:rFonts w:hint="cs"/>
          <w:rtl/>
        </w:rPr>
        <w:t xml:space="preserve"> هذا المنحى</w:t>
      </w:r>
      <w:r w:rsidR="00793C74">
        <w:rPr>
          <w:rFonts w:hint="cs"/>
          <w:rtl/>
        </w:rPr>
        <w:t xml:space="preserve"> </w:t>
      </w:r>
      <w:r w:rsidR="00D569FA" w:rsidRPr="00C85F0F">
        <w:rPr>
          <w:rFonts w:hint="cs"/>
          <w:rtl/>
        </w:rPr>
        <w:t xml:space="preserve">في تعريفه للبينة، حيث </w:t>
      </w:r>
      <w:r w:rsidR="00793C74">
        <w:rPr>
          <w:rFonts w:hint="cs"/>
          <w:rtl/>
        </w:rPr>
        <w:t xml:space="preserve">إنه </w:t>
      </w:r>
      <w:r w:rsidR="00D569FA" w:rsidRPr="00C85F0F">
        <w:rPr>
          <w:rFonts w:hint="cs"/>
          <w:rtl/>
        </w:rPr>
        <w:t xml:space="preserve">قال: </w:t>
      </w:r>
      <w:r w:rsidR="00B76414" w:rsidRPr="00C85F0F">
        <w:rPr>
          <w:rFonts w:hint="cs"/>
          <w:rtl/>
        </w:rPr>
        <w:t>(</w:t>
      </w:r>
      <w:r w:rsidR="00D569FA" w:rsidRPr="00C85F0F">
        <w:rPr>
          <w:rFonts w:hint="cs"/>
          <w:rtl/>
        </w:rPr>
        <w:t>الصواب أن البينة اسمٌ لما يبيِّن الحقَّ ويُوضِّحه بأيِّ وسيلةٍ كانت)</w:t>
      </w:r>
      <w:r w:rsidR="00D569FA" w:rsidRPr="00C85F0F">
        <w:rPr>
          <w:rStyle w:val="af1"/>
          <w:szCs w:val="32"/>
          <w:rtl/>
        </w:rPr>
        <w:t>(</w:t>
      </w:r>
      <w:r w:rsidR="00D569FA" w:rsidRPr="00C85F0F">
        <w:rPr>
          <w:rStyle w:val="af1"/>
          <w:szCs w:val="32"/>
          <w:rtl/>
        </w:rPr>
        <w:footnoteReference w:id="1731"/>
      </w:r>
      <w:r w:rsidR="00D569FA" w:rsidRPr="00C85F0F">
        <w:rPr>
          <w:rStyle w:val="af1"/>
          <w:szCs w:val="32"/>
          <w:rtl/>
        </w:rPr>
        <w:t>)</w:t>
      </w:r>
      <w:r w:rsidR="00D569FA" w:rsidRPr="00C85F0F">
        <w:rPr>
          <w:rFonts w:hint="cs"/>
          <w:rtl/>
        </w:rPr>
        <w:t>.</w:t>
      </w:r>
    </w:p>
    <w:p w:rsidR="00065E4B" w:rsidRPr="00C85F0F" w:rsidRDefault="00065E4B" w:rsidP="00597C20">
      <w:pPr>
        <w:ind w:firstLine="720"/>
        <w:rPr>
          <w:rtl/>
        </w:rPr>
      </w:pPr>
      <w:r w:rsidRPr="00C85F0F">
        <w:rPr>
          <w:rFonts w:hint="cs"/>
          <w:rtl/>
        </w:rPr>
        <w:t>و</w:t>
      </w:r>
      <w:r w:rsidR="00D569FA" w:rsidRPr="00C85F0F">
        <w:rPr>
          <w:rFonts w:hint="cs"/>
          <w:rtl/>
        </w:rPr>
        <w:t xml:space="preserve">قال توضيحاً لكلام شيخه عبد الرحمن السعدي </w:t>
      </w:r>
      <w:r w:rsidR="00793C74">
        <w:rPr>
          <w:rFonts w:hint="cs"/>
          <w:rtl/>
        </w:rPr>
        <w:t>_</w:t>
      </w:r>
      <w:r w:rsidR="009A0575" w:rsidRPr="005D5694">
        <w:rPr>
          <w:rFonts w:ascii="Traditional Arabic" w:hAnsi="Traditional Arabic" w:cs="CTraditional Arabic" w:hint="cs"/>
          <w:rtl/>
        </w:rPr>
        <w:t>/</w:t>
      </w:r>
      <w:r w:rsidR="00793C74">
        <w:rPr>
          <w:rFonts w:hint="cs"/>
          <w:rtl/>
        </w:rPr>
        <w:t>_:</w:t>
      </w:r>
      <w:r w:rsidR="00D569FA" w:rsidRPr="00C85F0F">
        <w:rPr>
          <w:rFonts w:hint="cs"/>
          <w:rtl/>
        </w:rPr>
        <w:t xml:space="preserve"> (...فعليه البينة، وهي: كل ما أبانَ الحقَّ)</w:t>
      </w:r>
      <w:r w:rsidR="00D569FA" w:rsidRPr="00C85F0F">
        <w:rPr>
          <w:rStyle w:val="af1"/>
          <w:szCs w:val="32"/>
          <w:rtl/>
        </w:rPr>
        <w:t>(</w:t>
      </w:r>
      <w:r w:rsidR="00D569FA" w:rsidRPr="00C85F0F">
        <w:rPr>
          <w:rStyle w:val="af1"/>
          <w:szCs w:val="32"/>
          <w:rtl/>
        </w:rPr>
        <w:footnoteReference w:id="1732"/>
      </w:r>
      <w:r w:rsidR="00D569FA" w:rsidRPr="00C85F0F">
        <w:rPr>
          <w:rStyle w:val="af1"/>
          <w:szCs w:val="32"/>
          <w:rtl/>
        </w:rPr>
        <w:t>)</w:t>
      </w:r>
      <w:r w:rsidR="00D569FA" w:rsidRPr="00C85F0F">
        <w:rPr>
          <w:rFonts w:hint="cs"/>
          <w:rtl/>
        </w:rPr>
        <w:t>: (يعني ليست الشهودَ فقط، بل كل ما أبان الحق فهو بينة)</w:t>
      </w:r>
      <w:r w:rsidR="00D569FA" w:rsidRPr="00C85F0F">
        <w:rPr>
          <w:rStyle w:val="af1"/>
          <w:szCs w:val="32"/>
          <w:rtl/>
        </w:rPr>
        <w:t>(</w:t>
      </w:r>
      <w:r w:rsidR="00D569FA" w:rsidRPr="00C85F0F">
        <w:rPr>
          <w:rStyle w:val="af1"/>
          <w:szCs w:val="32"/>
          <w:rtl/>
        </w:rPr>
        <w:footnoteReference w:id="1733"/>
      </w:r>
      <w:r w:rsidR="00D569FA" w:rsidRPr="00C85F0F">
        <w:rPr>
          <w:rStyle w:val="af1"/>
          <w:szCs w:val="32"/>
          <w:rtl/>
        </w:rPr>
        <w:t>)</w:t>
      </w:r>
      <w:r w:rsidR="00D569FA" w:rsidRPr="00C85F0F">
        <w:rPr>
          <w:rFonts w:hint="cs"/>
          <w:rtl/>
        </w:rPr>
        <w:t>.</w:t>
      </w:r>
    </w:p>
    <w:p w:rsidR="00065E4B" w:rsidRPr="009A2D7D" w:rsidRDefault="00065E4B" w:rsidP="00597C20">
      <w:pPr>
        <w:pStyle w:val="53"/>
        <w:rPr>
          <w:rtl/>
        </w:rPr>
      </w:pPr>
      <w:r w:rsidRPr="009A2D7D">
        <w:rPr>
          <w:rFonts w:hint="cs"/>
          <w:rtl/>
        </w:rPr>
        <w:t>م</w:t>
      </w:r>
      <w:r w:rsidR="00D569FA" w:rsidRPr="009A2D7D">
        <w:rPr>
          <w:rFonts w:hint="cs"/>
          <w:rtl/>
        </w:rPr>
        <w:t>عنى القاعدة إجمالا:</w:t>
      </w:r>
    </w:p>
    <w:p w:rsidR="00065E4B" w:rsidRPr="008E3230" w:rsidRDefault="00065E4B" w:rsidP="008E3230">
      <w:pPr>
        <w:ind w:firstLine="720"/>
        <w:rPr>
          <w:rtl/>
        </w:rPr>
      </w:pPr>
      <w:r w:rsidRPr="00C85F0F">
        <w:rPr>
          <w:rFonts w:hint="cs"/>
          <w:rtl/>
        </w:rPr>
        <w:t>ت</w:t>
      </w:r>
      <w:r w:rsidR="00D569FA" w:rsidRPr="00C85F0F">
        <w:rPr>
          <w:rFonts w:hint="cs"/>
          <w:rtl/>
        </w:rPr>
        <w:t>ُ</w:t>
      </w:r>
      <w:r w:rsidR="00501C5E">
        <w:rPr>
          <w:rFonts w:hint="cs"/>
          <w:rtl/>
        </w:rPr>
        <w:t>عدُّ هذه القاعدة من القواعد المه</w:t>
      </w:r>
      <w:r w:rsidR="00D569FA" w:rsidRPr="00C85F0F">
        <w:rPr>
          <w:rFonts w:hint="cs"/>
          <w:rtl/>
        </w:rPr>
        <w:t>مة في الدعاوى</w:t>
      </w:r>
      <w:r w:rsidR="00D569FA" w:rsidRPr="00C85F0F">
        <w:rPr>
          <w:rStyle w:val="af1"/>
          <w:szCs w:val="32"/>
          <w:rtl/>
        </w:rPr>
        <w:t>(</w:t>
      </w:r>
      <w:r w:rsidR="00D569FA" w:rsidRPr="00C85F0F">
        <w:rPr>
          <w:rStyle w:val="af1"/>
          <w:szCs w:val="32"/>
          <w:rtl/>
        </w:rPr>
        <w:footnoteReference w:id="1734"/>
      </w:r>
      <w:r w:rsidR="00D569FA" w:rsidRPr="00C85F0F">
        <w:rPr>
          <w:rStyle w:val="af1"/>
          <w:szCs w:val="32"/>
          <w:rtl/>
        </w:rPr>
        <w:t>)</w:t>
      </w:r>
      <w:r w:rsidR="00D569FA" w:rsidRPr="00C85F0F">
        <w:rPr>
          <w:rFonts w:hint="cs"/>
          <w:rtl/>
        </w:rPr>
        <w:t xml:space="preserve">، وهي أصلٌ نبَّه عليه النبي </w:t>
      </w:r>
      <w:r w:rsidR="00184ADA">
        <w:rPr>
          <w:rFonts w:ascii="Traditional Arabic" w:hAnsi="Traditional Arabic" w:hint="cs"/>
          <w:rtl/>
        </w:rPr>
        <w:t xml:space="preserve">صلى الله </w:t>
      </w:r>
      <w:r w:rsidR="00184ADA">
        <w:rPr>
          <w:rFonts w:ascii="Traditional Arabic" w:hAnsi="Traditional Arabic" w:hint="cs"/>
          <w:rtl/>
        </w:rPr>
        <w:lastRenderedPageBreak/>
        <w:t>عليه وسلم</w:t>
      </w:r>
      <w:r w:rsidR="00D569FA" w:rsidRPr="00C85F0F">
        <w:rPr>
          <w:rFonts w:hint="cs"/>
          <w:rtl/>
        </w:rPr>
        <w:t xml:space="preserve"> حيث قال: "البينة على المدعي واليمين على من أنكر</w:t>
      </w:r>
      <w:r w:rsidR="00AB0B9E" w:rsidRPr="00C85F0F">
        <w:fldChar w:fldCharType="begin"/>
      </w:r>
      <w:r w:rsidR="00155CDC" w:rsidRPr="00C85F0F">
        <w:instrText>XE</w:instrText>
      </w:r>
      <w:r w:rsidR="00155CDC" w:rsidRPr="00C85F0F">
        <w:rPr>
          <w:rtl/>
        </w:rPr>
        <w:instrText xml:space="preserve"> "</w:instrText>
      </w:r>
      <w:r w:rsidR="00155CDC" w:rsidRPr="00C85F0F">
        <w:rPr>
          <w:rFonts w:hint="cs"/>
          <w:rtl/>
        </w:rPr>
        <w:instrText>البينة على المدعي واليمين على من أنكر</w:instrText>
      </w:r>
      <w:r w:rsidR="00155CDC" w:rsidRPr="00C85F0F">
        <w:rPr>
          <w:rtl/>
        </w:rPr>
        <w:instrText>" \</w:instrText>
      </w:r>
      <w:r w:rsidR="00155CDC" w:rsidRPr="00C85F0F">
        <w:instrText>fh</w:instrText>
      </w:r>
      <w:r w:rsidR="00AB0B9E" w:rsidRPr="00C85F0F">
        <w:fldChar w:fldCharType="end"/>
      </w:r>
      <w:r w:rsidR="00D569FA">
        <w:rPr>
          <w:rFonts w:hint="cs"/>
          <w:rtl/>
        </w:rPr>
        <w:t>"</w:t>
      </w:r>
      <w:r w:rsidR="00D569FA" w:rsidRPr="00C821A1">
        <w:rPr>
          <w:rStyle w:val="af1"/>
          <w:szCs w:val="32"/>
          <w:rtl/>
        </w:rPr>
        <w:t>(</w:t>
      </w:r>
      <w:r w:rsidR="00D569FA" w:rsidRPr="00C821A1">
        <w:rPr>
          <w:rStyle w:val="af1"/>
          <w:szCs w:val="32"/>
          <w:rtl/>
        </w:rPr>
        <w:footnoteReference w:id="1735"/>
      </w:r>
      <w:r w:rsidR="00D569FA" w:rsidRPr="00C821A1">
        <w:rPr>
          <w:rStyle w:val="af1"/>
          <w:szCs w:val="32"/>
          <w:rtl/>
        </w:rPr>
        <w:t>)</w:t>
      </w:r>
      <w:r w:rsidR="00D569FA">
        <w:rPr>
          <w:rFonts w:hint="cs"/>
          <w:rtl/>
        </w:rPr>
        <w:t>، وقد أجمع أهل العلم على هذا الأصل الذي يحتاجه القاضي والمفتي وكلُّ أحد، فكلُّ مَن ادَّعى عَيناً عند غيره،</w:t>
      </w:r>
      <w:r w:rsidR="008E3230">
        <w:rPr>
          <w:rFonts w:hint="cs"/>
          <w:rtl/>
        </w:rPr>
        <w:t xml:space="preserve"> </w:t>
      </w:r>
      <w:r w:rsidR="00D569FA">
        <w:rPr>
          <w:rFonts w:hint="cs"/>
          <w:rtl/>
        </w:rPr>
        <w:t>أو ديناً على غيره، أو حقّاً من الحقوق على غيره، فعليه البينة، وهي كل ما أبان الحقَّ، فإن لم يأت ببينة تشهد بصحة دعواه، فعلى الآخَر اليمينُ التي تنفي ما ادَّعاه المدعي</w:t>
      </w:r>
      <w:r w:rsidR="00D569FA" w:rsidRPr="00C821A1">
        <w:rPr>
          <w:rStyle w:val="af1"/>
          <w:szCs w:val="32"/>
          <w:rtl/>
        </w:rPr>
        <w:t>(</w:t>
      </w:r>
      <w:r w:rsidR="00D569FA" w:rsidRPr="00C821A1">
        <w:rPr>
          <w:rStyle w:val="af1"/>
          <w:szCs w:val="32"/>
          <w:rtl/>
        </w:rPr>
        <w:footnoteReference w:id="1736"/>
      </w:r>
      <w:r w:rsidR="00D569FA" w:rsidRPr="00C821A1">
        <w:rPr>
          <w:rStyle w:val="af1"/>
          <w:szCs w:val="32"/>
          <w:rtl/>
        </w:rPr>
        <w:t>)</w:t>
      </w:r>
      <w:r w:rsidR="00D569FA">
        <w:rPr>
          <w:rFonts w:hint="cs"/>
          <w:rtl/>
        </w:rPr>
        <w:t>.</w:t>
      </w:r>
    </w:p>
    <w:p w:rsidR="00065E4B" w:rsidRDefault="00065E4B" w:rsidP="00597C20">
      <w:pPr>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و</w:t>
      </w:r>
      <w:r w:rsidR="00D569FA">
        <w:rPr>
          <w:rFonts w:ascii="Traditional Arabic" w:hAnsi="Traditional Arabic" w:hint="cs"/>
          <w:noProof w:val="0"/>
          <w:color w:val="auto"/>
          <w:rtl/>
          <w:lang w:eastAsia="en-US"/>
        </w:rPr>
        <w:t>الدعوى تنقسم إلى قسمين:</w:t>
      </w:r>
    </w:p>
    <w:p w:rsidR="00065E4B" w:rsidRDefault="00065E4B" w:rsidP="00597C20">
      <w:pPr>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د</w:t>
      </w:r>
      <w:r w:rsidR="00D569FA">
        <w:rPr>
          <w:rFonts w:ascii="Traditional Arabic" w:hAnsi="Traditional Arabic" w:hint="cs"/>
          <w:noProof w:val="0"/>
          <w:color w:val="auto"/>
          <w:rtl/>
          <w:lang w:eastAsia="en-US"/>
        </w:rPr>
        <w:t>عوى شيء مستحيل: وهذه لا تُسمع أصلاً، ولا يلتفت إليها القاضي، ويصرف المدعي عنها فوراً دون أن يطالبه ببينة.</w:t>
      </w:r>
    </w:p>
    <w:p w:rsidR="00D569FA" w:rsidRDefault="00065E4B" w:rsidP="00597C20">
      <w:pPr>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د</w:t>
      </w:r>
      <w:r w:rsidR="00D569FA">
        <w:rPr>
          <w:rFonts w:ascii="Traditional Arabic" w:hAnsi="Traditional Arabic" w:hint="cs"/>
          <w:noProof w:val="0"/>
          <w:color w:val="auto"/>
          <w:rtl/>
          <w:lang w:eastAsia="en-US"/>
        </w:rPr>
        <w:t>عوى شيء ممكن، لكن الأصل عدمُه: وهذه هي التي يسمعها القاضي، وهي المقصودة بالقاعدة</w:t>
      </w:r>
      <w:r w:rsidR="00D569FA" w:rsidRPr="00C821A1">
        <w:rPr>
          <w:rStyle w:val="af1"/>
          <w:szCs w:val="32"/>
          <w:rtl/>
        </w:rPr>
        <w:t>(</w:t>
      </w:r>
      <w:r w:rsidR="00D569FA" w:rsidRPr="00C821A1">
        <w:rPr>
          <w:rStyle w:val="af1"/>
          <w:szCs w:val="32"/>
          <w:rtl/>
        </w:rPr>
        <w:footnoteReference w:id="1737"/>
      </w:r>
      <w:r w:rsidR="00D569FA" w:rsidRPr="00C821A1">
        <w:rPr>
          <w:rStyle w:val="af1"/>
          <w:szCs w:val="32"/>
          <w:rtl/>
        </w:rPr>
        <w:t>)</w:t>
      </w:r>
      <w:r w:rsidR="00D569FA">
        <w:rPr>
          <w:rFonts w:ascii="Traditional Arabic" w:hAnsi="Traditional Arabic" w:hint="cs"/>
          <w:noProof w:val="0"/>
          <w:color w:val="auto"/>
          <w:rtl/>
          <w:lang w:eastAsia="en-US"/>
        </w:rPr>
        <w:t>.</w:t>
      </w:r>
    </w:p>
    <w:p w:rsidR="00065E4B" w:rsidRPr="009E4428" w:rsidRDefault="00D569FA" w:rsidP="00597C20">
      <w:pPr>
        <w:ind w:firstLine="720"/>
        <w:rPr>
          <w:rtl/>
        </w:rPr>
      </w:pPr>
      <w:r w:rsidRPr="009E4428">
        <w:rPr>
          <w:rFonts w:ascii="Traditional Arabic" w:hAnsi="Traditional Arabic"/>
          <w:noProof w:val="0"/>
          <w:color w:val="auto"/>
          <w:rtl/>
          <w:lang w:eastAsia="en-US"/>
        </w:rPr>
        <w:t>والقاعدة العامة أن ما كان من حقوق الآدميين فإنه يحل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ف فيه</w:t>
      </w:r>
      <w:r w:rsidRPr="009E4428">
        <w:rPr>
          <w:rFonts w:ascii="Traditional Arabic" w:hAnsi="Traditional Arabic"/>
          <w:noProof w:val="0"/>
          <w:color w:val="auto"/>
          <w:rtl/>
          <w:lang w:eastAsia="en-US"/>
        </w:rPr>
        <w:t>؛ لأن حقوق الآدميين فيها خصم</w:t>
      </w:r>
      <w:r>
        <w:rPr>
          <w:rFonts w:ascii="Traditional Arabic" w:hAnsi="Traditional Arabic" w:hint="cs"/>
          <w:noProof w:val="0"/>
          <w:color w:val="auto"/>
          <w:rtl/>
          <w:lang w:eastAsia="en-US"/>
        </w:rPr>
        <w:t>ٌ</w:t>
      </w:r>
      <w:r w:rsidRPr="009E4428">
        <w:rPr>
          <w:rFonts w:ascii="Traditional Arabic" w:hAnsi="Traditional Arabic"/>
          <w:noProof w:val="0"/>
          <w:color w:val="auto"/>
          <w:rtl/>
          <w:lang w:eastAsia="en-US"/>
        </w:rPr>
        <w:t xml:space="preserve"> وهو الآد</w:t>
      </w:r>
      <w:r>
        <w:rPr>
          <w:rFonts w:ascii="Traditional Arabic" w:hAnsi="Traditional Arabic" w:hint="cs"/>
          <w:noProof w:val="0"/>
          <w:color w:val="auto"/>
          <w:rtl/>
          <w:lang w:eastAsia="en-US"/>
        </w:rPr>
        <w:t>َ</w:t>
      </w:r>
      <w:r w:rsidRPr="009E4428">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sidRPr="009E4428">
        <w:rPr>
          <w:rFonts w:ascii="Traditional Arabic" w:hAnsi="Traditional Arabic"/>
          <w:noProof w:val="0"/>
          <w:color w:val="auto"/>
          <w:rtl/>
          <w:lang w:eastAsia="en-US"/>
        </w:rPr>
        <w:t>ي</w:t>
      </w:r>
      <w:r>
        <w:rPr>
          <w:rFonts w:ascii="Traditional Arabic" w:hAnsi="Traditional Arabic" w:hint="cs"/>
          <w:noProof w:val="0"/>
          <w:color w:val="auto"/>
          <w:rtl/>
          <w:lang w:eastAsia="en-US"/>
        </w:rPr>
        <w:t>ّ</w:t>
      </w:r>
      <w:r w:rsidRPr="009E4428">
        <w:rPr>
          <w:rFonts w:ascii="Traditional Arabic" w:hAnsi="Traditional Arabic"/>
          <w:noProof w:val="0"/>
          <w:color w:val="auto"/>
          <w:rtl/>
          <w:lang w:eastAsia="en-US"/>
        </w:rPr>
        <w:t>، فيحتاج إلى ال</w:t>
      </w:r>
      <w:r>
        <w:rPr>
          <w:rFonts w:ascii="Traditional Arabic" w:hAnsi="Traditional Arabic"/>
          <w:noProof w:val="0"/>
          <w:color w:val="auto"/>
          <w:rtl/>
          <w:lang w:eastAsia="en-US"/>
        </w:rPr>
        <w:t>ت</w:t>
      </w:r>
      <w:r>
        <w:rPr>
          <w:rFonts w:ascii="Traditional Arabic" w:hAnsi="Traditional Arabic" w:hint="cs"/>
          <w:noProof w:val="0"/>
          <w:color w:val="auto"/>
          <w:rtl/>
          <w:lang w:eastAsia="en-US"/>
        </w:rPr>
        <w:t>َ</w:t>
      </w:r>
      <w:r>
        <w:rPr>
          <w:rFonts w:ascii="Traditional Arabic" w:hAnsi="Traditional Arabic"/>
          <w:noProof w:val="0"/>
          <w:color w:val="auto"/>
          <w:rtl/>
          <w:lang w:eastAsia="en-US"/>
        </w:rPr>
        <w:t>ب</w:t>
      </w:r>
      <w:r>
        <w:rPr>
          <w:rFonts w:ascii="Traditional Arabic" w:hAnsi="Traditional Arabic" w:hint="cs"/>
          <w:noProof w:val="0"/>
          <w:color w:val="auto"/>
          <w:rtl/>
          <w:lang w:eastAsia="en-US"/>
        </w:rPr>
        <w:t>ْ</w:t>
      </w:r>
      <w:r>
        <w:rPr>
          <w:rFonts w:ascii="Traditional Arabic" w:hAnsi="Traditional Arabic"/>
          <w:noProof w:val="0"/>
          <w:color w:val="auto"/>
          <w:rtl/>
          <w:lang w:eastAsia="en-US"/>
        </w:rPr>
        <w:t>ر</w:t>
      </w:r>
      <w:r>
        <w:rPr>
          <w:rFonts w:ascii="Traditional Arabic" w:hAnsi="Traditional Arabic" w:hint="cs"/>
          <w:noProof w:val="0"/>
          <w:color w:val="auto"/>
          <w:rtl/>
          <w:lang w:eastAsia="en-US"/>
        </w:rPr>
        <w:t>ِ</w:t>
      </w:r>
      <w:r>
        <w:rPr>
          <w:rFonts w:ascii="Traditional Arabic" w:hAnsi="Traditional Arabic"/>
          <w:noProof w:val="0"/>
          <w:color w:val="auto"/>
          <w:rtl/>
          <w:lang w:eastAsia="en-US"/>
        </w:rPr>
        <w:t>ئة إن كان مدعى عليه وهو ي</w:t>
      </w:r>
      <w:r>
        <w:rPr>
          <w:rFonts w:ascii="Traditional Arabic" w:hAnsi="Traditional Arabic" w:hint="cs"/>
          <w:noProof w:val="0"/>
          <w:color w:val="auto"/>
          <w:rtl/>
          <w:lang w:eastAsia="en-US"/>
        </w:rPr>
        <w:t>ُ</w:t>
      </w:r>
      <w:r>
        <w:rPr>
          <w:rFonts w:ascii="Traditional Arabic" w:hAnsi="Traditional Arabic"/>
          <w:noProof w:val="0"/>
          <w:color w:val="auto"/>
          <w:rtl/>
          <w:lang w:eastAsia="en-US"/>
        </w:rPr>
        <w:t>نك</w:t>
      </w:r>
      <w:r>
        <w:rPr>
          <w:rFonts w:ascii="Traditional Arabic" w:hAnsi="Traditional Arabic" w:hint="cs"/>
          <w:noProof w:val="0"/>
          <w:color w:val="auto"/>
          <w:rtl/>
          <w:lang w:eastAsia="en-US"/>
        </w:rPr>
        <w:t>ِ</w:t>
      </w:r>
      <w:r>
        <w:rPr>
          <w:rFonts w:ascii="Traditional Arabic" w:hAnsi="Traditional Arabic"/>
          <w:noProof w:val="0"/>
          <w:color w:val="auto"/>
          <w:rtl/>
          <w:lang w:eastAsia="en-US"/>
        </w:rPr>
        <w:t>ر</w:t>
      </w:r>
      <w:r>
        <w:rPr>
          <w:rFonts w:ascii="Traditional Arabic" w:hAnsi="Traditional Arabic" w:hint="cs"/>
          <w:noProof w:val="0"/>
          <w:color w:val="auto"/>
          <w:rtl/>
          <w:lang w:eastAsia="en-US"/>
        </w:rPr>
        <w:t xml:space="preserve">، وأما </w:t>
      </w:r>
      <w:r w:rsidRPr="009E4428">
        <w:rPr>
          <w:rFonts w:ascii="Traditional Arabic" w:hAnsi="Traditional Arabic"/>
          <w:noProof w:val="0"/>
          <w:rtl/>
          <w:lang w:eastAsia="en-US"/>
        </w:rPr>
        <w:t>الذي يتعلق بحق الله فالقول قول المنك</w:t>
      </w:r>
      <w:r>
        <w:rPr>
          <w:rFonts w:ascii="Traditional Arabic" w:hAnsi="Traditional Arabic" w:hint="cs"/>
          <w:noProof w:val="0"/>
          <w:rtl/>
          <w:lang w:eastAsia="en-US"/>
        </w:rPr>
        <w:t>ِ</w:t>
      </w:r>
      <w:r w:rsidRPr="009E4428">
        <w:rPr>
          <w:rFonts w:ascii="Traditional Arabic" w:hAnsi="Traditional Arabic"/>
          <w:noProof w:val="0"/>
          <w:rtl/>
          <w:lang w:eastAsia="en-US"/>
        </w:rPr>
        <w:t>ر بلا يمين</w:t>
      </w:r>
      <w:r>
        <w:rPr>
          <w:rFonts w:hint="cs"/>
          <w:b/>
          <w:bCs/>
          <w:rtl/>
        </w:rPr>
        <w:t xml:space="preserve">؛ </w:t>
      </w:r>
      <w:r w:rsidRPr="006909BA">
        <w:rPr>
          <w:rFonts w:ascii="Traditional Arabic" w:hAnsi="Traditional Arabic"/>
          <w:noProof w:val="0"/>
          <w:rtl/>
          <w:lang w:eastAsia="en-US"/>
        </w:rPr>
        <w:t>لأن هذا الحق بين الإنسان وبين ربه</w:t>
      </w:r>
      <w:r>
        <w:rPr>
          <w:rFonts w:ascii="Traditional Arabic" w:hAnsi="Traditional Arabic" w:hint="cs"/>
          <w:noProof w:val="0"/>
          <w:rtl/>
          <w:lang w:eastAsia="en-US"/>
        </w:rPr>
        <w:t>،</w:t>
      </w:r>
      <w:r w:rsidRPr="009E4428">
        <w:rPr>
          <w:rFonts w:ascii="Traditional Arabic" w:hAnsi="Traditional Arabic"/>
          <w:noProof w:val="0"/>
          <w:rtl/>
          <w:lang w:eastAsia="en-US"/>
        </w:rPr>
        <w:t xml:space="preserve"> والناس مؤتم</w:t>
      </w:r>
      <w:r>
        <w:rPr>
          <w:rFonts w:ascii="Traditional Arabic" w:hAnsi="Traditional Arabic" w:hint="cs"/>
          <w:noProof w:val="0"/>
          <w:rtl/>
          <w:lang w:eastAsia="en-US"/>
        </w:rPr>
        <w:t>َ</w:t>
      </w:r>
      <w:r w:rsidRPr="009E4428">
        <w:rPr>
          <w:rFonts w:ascii="Traditional Arabic" w:hAnsi="Traditional Arabic"/>
          <w:noProof w:val="0"/>
          <w:rtl/>
          <w:lang w:eastAsia="en-US"/>
        </w:rPr>
        <w:t>نون على أديانهم</w:t>
      </w:r>
      <w:r w:rsidRPr="00C821A1">
        <w:rPr>
          <w:rStyle w:val="af1"/>
          <w:szCs w:val="32"/>
          <w:rtl/>
        </w:rPr>
        <w:t>(</w:t>
      </w:r>
      <w:r w:rsidRPr="00C821A1">
        <w:rPr>
          <w:rStyle w:val="af1"/>
          <w:szCs w:val="32"/>
          <w:rtl/>
        </w:rPr>
        <w:footnoteReference w:id="1738"/>
      </w:r>
      <w:r w:rsidRPr="00C821A1">
        <w:rPr>
          <w:rStyle w:val="af1"/>
          <w:szCs w:val="32"/>
          <w:rtl/>
        </w:rPr>
        <w:t>)</w:t>
      </w:r>
      <w:r>
        <w:rPr>
          <w:rFonts w:ascii="Traditional Arabic" w:hAnsi="Traditional Arabic" w:hint="cs"/>
          <w:noProof w:val="0"/>
          <w:rtl/>
          <w:lang w:eastAsia="en-US"/>
        </w:rPr>
        <w:t>.</w:t>
      </w:r>
    </w:p>
    <w:p w:rsidR="00D569FA" w:rsidRDefault="00065E4B" w:rsidP="00597C20">
      <w:pPr>
        <w:ind w:firstLine="720"/>
        <w:rPr>
          <w:rtl/>
        </w:rPr>
      </w:pPr>
      <w:r>
        <w:rPr>
          <w:rFonts w:hint="cs"/>
          <w:rtl/>
        </w:rPr>
        <w:t>و</w:t>
      </w:r>
      <w:r w:rsidR="00D569FA">
        <w:rPr>
          <w:rFonts w:hint="cs"/>
          <w:rtl/>
        </w:rPr>
        <w:t>الضابط في تمييزِ المدعي من المدعى عليه أن كل من ادعى خلافَ الأصل فهو مُدَّعٍ يحتاج إلى بينة، وكل من تمسَّك بالأصل فهو مدعى عليه ومُنكِرٌ، عليه اليمين</w:t>
      </w:r>
      <w:r w:rsidR="00D569FA" w:rsidRPr="00C821A1">
        <w:rPr>
          <w:rStyle w:val="af1"/>
          <w:szCs w:val="32"/>
          <w:rtl/>
        </w:rPr>
        <w:t>(</w:t>
      </w:r>
      <w:r w:rsidR="00D569FA" w:rsidRPr="00C821A1">
        <w:rPr>
          <w:rStyle w:val="af1"/>
          <w:szCs w:val="32"/>
          <w:rtl/>
        </w:rPr>
        <w:footnoteReference w:id="1739"/>
      </w:r>
      <w:r w:rsidR="00D569FA" w:rsidRPr="00C821A1">
        <w:rPr>
          <w:rStyle w:val="af1"/>
          <w:szCs w:val="32"/>
          <w:rtl/>
        </w:rPr>
        <w:t>)</w:t>
      </w:r>
      <w:r w:rsidR="00D569FA">
        <w:rPr>
          <w:rFonts w:hint="cs"/>
          <w:rtl/>
        </w:rPr>
        <w:t>.</w:t>
      </w:r>
    </w:p>
    <w:p w:rsidR="00D569FA" w:rsidRPr="00D569FA" w:rsidRDefault="00184ADA" w:rsidP="00A8347C">
      <w:pPr>
        <w:pStyle w:val="aff3"/>
        <w:rPr>
          <w:rtl/>
        </w:rPr>
      </w:pPr>
      <w:bookmarkStart w:id="355" w:name="_Toc334046560"/>
      <w:r>
        <w:rPr>
          <w:rFonts w:hint="cs"/>
          <w:rtl/>
        </w:rPr>
        <w:lastRenderedPageBreak/>
        <w:t xml:space="preserve">                                         المطلب</w:t>
      </w:r>
      <w:r w:rsidR="009565AB">
        <w:rPr>
          <w:rFonts w:hint="cs"/>
          <w:rtl/>
        </w:rPr>
        <w:t xml:space="preserve"> </w:t>
      </w:r>
      <w:r w:rsidR="00D569FA" w:rsidRPr="00D569FA">
        <w:rPr>
          <w:rFonts w:hint="cs"/>
          <w:rtl/>
        </w:rPr>
        <w:t>الثالث</w:t>
      </w:r>
      <w:r w:rsidR="00D569FA">
        <w:rPr>
          <w:rFonts w:hint="eastAsia"/>
          <w:rtl/>
        </w:rPr>
        <w:t> :</w:t>
      </w:r>
      <w:r w:rsidR="00D569FA">
        <w:rPr>
          <w:rFonts w:hint="cs"/>
          <w:rtl/>
        </w:rPr>
        <w:br/>
      </w:r>
      <w:r>
        <w:rPr>
          <w:rFonts w:hint="cs"/>
          <w:rtl/>
        </w:rPr>
        <w:t xml:space="preserve">                                           </w:t>
      </w:r>
      <w:r w:rsidR="00D569FA" w:rsidRPr="00D569FA">
        <w:rPr>
          <w:rFonts w:hint="cs"/>
          <w:rtl/>
        </w:rPr>
        <w:t>أدلة القاعدة</w:t>
      </w:r>
      <w:bookmarkEnd w:id="355"/>
    </w:p>
    <w:p w:rsidR="00D569FA" w:rsidRPr="009565AB" w:rsidRDefault="009565AB" w:rsidP="009565AB">
      <w:pPr>
        <w:ind w:firstLine="0"/>
        <w:rPr>
          <w:color w:val="auto"/>
        </w:rPr>
      </w:pPr>
      <w:r>
        <w:rPr>
          <w:rFonts w:hint="cs"/>
          <w:rtl/>
        </w:rPr>
        <w:t xml:space="preserve">(1)    </w:t>
      </w:r>
      <w:r w:rsidR="00D569FA">
        <w:rPr>
          <w:rFonts w:hint="cs"/>
          <w:rtl/>
        </w:rPr>
        <w:t xml:space="preserve">حديث عبد الله بن عباس </w:t>
      </w:r>
      <w:r w:rsidR="003A639A">
        <w:rPr>
          <w:rFonts w:hint="cs"/>
          <w:rtl/>
        </w:rPr>
        <w:t>_</w:t>
      </w:r>
      <w:r w:rsidR="00154102" w:rsidRPr="009565AB">
        <w:rPr>
          <w:rFonts w:ascii="Traditional Arabic" w:hAnsi="Traditional Arabic" w:cs="CTraditional Arabic" w:hint="cs"/>
          <w:noProof w:val="0"/>
          <w:color w:val="auto"/>
          <w:rtl/>
          <w:lang w:eastAsia="en-US"/>
        </w:rPr>
        <w:t>ب</w:t>
      </w:r>
      <w:r w:rsidR="003A639A">
        <w:rPr>
          <w:rFonts w:ascii="Traditional Arabic" w:hAnsi="Traditional Arabic" w:hint="cs"/>
          <w:noProof w:val="0"/>
          <w:color w:val="auto"/>
          <w:rtl/>
          <w:lang w:eastAsia="en-US"/>
        </w:rPr>
        <w:t>_</w:t>
      </w:r>
      <w:r w:rsidR="00D569FA" w:rsidRPr="009565AB">
        <w:rPr>
          <w:rFonts w:ascii="Traditional Arabic" w:hAnsi="Traditional Arabic"/>
          <w:noProof w:val="0"/>
          <w:color w:val="auto"/>
          <w:rtl/>
          <w:lang w:eastAsia="en-US"/>
        </w:rPr>
        <w:t xml:space="preserve">أن رسول الله </w:t>
      </w:r>
      <w:r w:rsidR="004E2EB7" w:rsidRPr="009565AB">
        <w:rPr>
          <w:rFonts w:ascii="Traditional Arabic" w:hAnsi="Traditional Arabic" w:cs="CTraditional Arabic" w:hint="cs"/>
          <w:noProof w:val="0"/>
          <w:color w:val="auto"/>
          <w:rtl/>
          <w:lang w:eastAsia="en-US"/>
        </w:rPr>
        <w:t>غ</w:t>
      </w:r>
      <w:r w:rsidR="00D569FA" w:rsidRPr="009565AB">
        <w:rPr>
          <w:rFonts w:ascii="Traditional Arabic" w:hAnsi="Traditional Arabic"/>
          <w:noProof w:val="0"/>
          <w:color w:val="auto"/>
          <w:rtl/>
          <w:lang w:eastAsia="en-US"/>
        </w:rPr>
        <w:t xml:space="preserve"> قال: </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لو ي</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عطى الناس ب</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د</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ع</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واهم لاد</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عى رجال</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 xml:space="preserve"> أموال</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 xml:space="preserve"> قوم</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 xml:space="preserve"> ود</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ماء</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هم</w:t>
      </w:r>
      <w:r w:rsidR="004E2EB7" w:rsidRPr="009565AB">
        <w:rPr>
          <w:rFonts w:ascii="Traditional Arabic" w:hAnsi="Traditional Arabic"/>
          <w:noProof w:val="0"/>
          <w:color w:val="auto"/>
          <w:rtl/>
          <w:lang w:eastAsia="en-US"/>
        </w:rPr>
        <w:t>،</w:t>
      </w:r>
      <w:r w:rsidR="00AB0B9E" w:rsidRPr="009565AB">
        <w:rPr>
          <w:rFonts w:ascii="Traditional Arabic" w:hAnsi="Traditional Arabic"/>
          <w:noProof w:val="0"/>
          <w:color w:val="auto"/>
          <w:rtl/>
          <w:lang w:eastAsia="en-US"/>
        </w:rPr>
        <w:fldChar w:fldCharType="begin"/>
      </w:r>
      <w:r w:rsidR="004E2EB7" w:rsidRPr="009565AB">
        <w:rPr>
          <w:rFonts w:ascii="Traditional Arabic" w:hAnsi="Traditional Arabic"/>
          <w:noProof w:val="0"/>
          <w:color w:val="auto"/>
          <w:lang w:eastAsia="en-US"/>
        </w:rPr>
        <w:instrText>XE</w:instrText>
      </w:r>
      <w:r w:rsidR="004E2EB7" w:rsidRPr="009565AB">
        <w:rPr>
          <w:rFonts w:ascii="Traditional Arabic" w:hAnsi="Traditional Arabic"/>
          <w:noProof w:val="0"/>
          <w:color w:val="auto"/>
          <w:rtl/>
          <w:lang w:eastAsia="en-US"/>
        </w:rPr>
        <w:instrText xml:space="preserve"> "لو يُعطى الناس بدعواهم لادَّعى ناس</w:instrText>
      </w:r>
      <w:r w:rsidR="004E2EB7" w:rsidRPr="009565AB">
        <w:rPr>
          <w:rFonts w:ascii="Traditional Arabic" w:hAnsi="Traditional Arabic" w:hint="cs"/>
          <w:noProof w:val="0"/>
          <w:color w:val="auto"/>
          <w:rtl/>
          <w:lang w:eastAsia="en-US"/>
        </w:rPr>
        <w:instrText>ٌ</w:instrText>
      </w:r>
      <w:r w:rsidR="004E2EB7" w:rsidRPr="009565AB">
        <w:rPr>
          <w:rFonts w:ascii="Traditional Arabic" w:hAnsi="Traditional Arabic"/>
          <w:noProof w:val="0"/>
          <w:color w:val="auto"/>
          <w:rtl/>
          <w:lang w:eastAsia="en-US"/>
        </w:rPr>
        <w:instrText xml:space="preserve"> دماء</w:instrText>
      </w:r>
      <w:r w:rsidR="004E2EB7" w:rsidRPr="009565AB">
        <w:rPr>
          <w:rFonts w:ascii="Traditional Arabic" w:hAnsi="Traditional Arabic" w:hint="cs"/>
          <w:noProof w:val="0"/>
          <w:color w:val="auto"/>
          <w:rtl/>
          <w:lang w:eastAsia="en-US"/>
        </w:rPr>
        <w:instrText>َ</w:instrText>
      </w:r>
      <w:r w:rsidR="004E2EB7" w:rsidRPr="009565AB">
        <w:rPr>
          <w:rFonts w:ascii="Traditional Arabic" w:hAnsi="Traditional Arabic"/>
          <w:noProof w:val="0"/>
          <w:color w:val="auto"/>
          <w:rtl/>
          <w:lang w:eastAsia="en-US"/>
        </w:rPr>
        <w:instrText xml:space="preserve"> ر</w:instrText>
      </w:r>
      <w:r w:rsidR="004E2EB7" w:rsidRPr="009565AB">
        <w:rPr>
          <w:rFonts w:ascii="Traditional Arabic" w:hAnsi="Traditional Arabic" w:hint="cs"/>
          <w:noProof w:val="0"/>
          <w:color w:val="auto"/>
          <w:rtl/>
          <w:lang w:eastAsia="en-US"/>
        </w:rPr>
        <w:instrText>ِ</w:instrText>
      </w:r>
      <w:r w:rsidR="004E2EB7" w:rsidRPr="009565AB">
        <w:rPr>
          <w:rFonts w:ascii="Traditional Arabic" w:hAnsi="Traditional Arabic"/>
          <w:noProof w:val="0"/>
          <w:color w:val="auto"/>
          <w:rtl/>
          <w:lang w:eastAsia="en-US"/>
        </w:rPr>
        <w:instrText>جالٍ وأموالهم،" \</w:instrText>
      </w:r>
      <w:r w:rsidR="004E2EB7" w:rsidRPr="009565AB">
        <w:rPr>
          <w:rFonts w:ascii="Traditional Arabic" w:hAnsi="Traditional Arabic"/>
          <w:noProof w:val="0"/>
          <w:color w:val="auto"/>
          <w:lang w:eastAsia="en-US"/>
        </w:rPr>
        <w:instrText>fh</w:instrText>
      </w:r>
      <w:r w:rsidR="00AB0B9E" w:rsidRPr="009565AB">
        <w:rPr>
          <w:rFonts w:ascii="Traditional Arabic" w:hAnsi="Traditional Arabic"/>
          <w:noProof w:val="0"/>
          <w:color w:val="auto"/>
          <w:rtl/>
          <w:lang w:eastAsia="en-US"/>
        </w:rPr>
        <w:fldChar w:fldCharType="end"/>
      </w:r>
      <w:r w:rsidR="00D569FA" w:rsidRPr="009565AB">
        <w:rPr>
          <w:rFonts w:ascii="Traditional Arabic" w:hAnsi="Traditional Arabic"/>
          <w:noProof w:val="0"/>
          <w:color w:val="auto"/>
          <w:rtl/>
          <w:lang w:eastAsia="en-US"/>
        </w:rPr>
        <w:t xml:space="preserve"> ولكن البينة على المدعي واليمين على م</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ن أ</w:t>
      </w:r>
      <w:r w:rsidR="00D569FA" w:rsidRPr="009565AB">
        <w:rPr>
          <w:rFonts w:ascii="Traditional Arabic" w:hAnsi="Traditional Arabic" w:hint="cs"/>
          <w:noProof w:val="0"/>
          <w:color w:val="auto"/>
          <w:rtl/>
          <w:lang w:eastAsia="en-US"/>
        </w:rPr>
        <w:t>َ</w:t>
      </w:r>
      <w:r w:rsidR="00D569FA" w:rsidRPr="009565AB">
        <w:rPr>
          <w:rFonts w:ascii="Traditional Arabic" w:hAnsi="Traditional Arabic"/>
          <w:noProof w:val="0"/>
          <w:color w:val="auto"/>
          <w:rtl/>
          <w:lang w:eastAsia="en-US"/>
        </w:rPr>
        <w:t>نكر</w:t>
      </w:r>
      <w:r w:rsidR="00D569FA" w:rsidRPr="009565AB">
        <w:rPr>
          <w:rFonts w:ascii="Traditional Arabic" w:hAnsi="Traditional Arabic" w:hint="cs"/>
          <w:noProof w:val="0"/>
          <w:color w:val="auto"/>
          <w:rtl/>
          <w:lang w:eastAsia="en-US"/>
        </w:rPr>
        <w:t>"</w:t>
      </w:r>
      <w:r w:rsidR="00D569FA" w:rsidRPr="009565AB">
        <w:rPr>
          <w:rStyle w:val="af1"/>
          <w:szCs w:val="32"/>
          <w:rtl/>
        </w:rPr>
        <w:t>(</w:t>
      </w:r>
      <w:r w:rsidR="00D569FA" w:rsidRPr="00C821A1">
        <w:rPr>
          <w:rStyle w:val="af1"/>
          <w:szCs w:val="32"/>
          <w:rtl/>
        </w:rPr>
        <w:footnoteReference w:id="1740"/>
      </w:r>
      <w:r w:rsidR="00D569FA" w:rsidRPr="009565AB">
        <w:rPr>
          <w:rStyle w:val="af1"/>
          <w:szCs w:val="32"/>
          <w:rtl/>
        </w:rPr>
        <w:t>)</w:t>
      </w:r>
      <w:r w:rsidR="00D569FA" w:rsidRPr="009565AB">
        <w:rPr>
          <w:rFonts w:ascii="Traditional Arabic" w:hAnsi="Traditional Arabic" w:hint="cs"/>
          <w:noProof w:val="0"/>
          <w:color w:val="auto"/>
          <w:rtl/>
          <w:lang w:eastAsia="en-US"/>
        </w:rPr>
        <w:t>.</w:t>
      </w:r>
    </w:p>
    <w:p w:rsidR="00D569FA" w:rsidRPr="006E5B27" w:rsidRDefault="00D569FA" w:rsidP="00597C20">
      <w:pPr>
        <w:ind w:firstLine="720"/>
        <w:rPr>
          <w:color w:val="auto"/>
          <w:rtl/>
        </w:rPr>
      </w:pPr>
      <w:r w:rsidRPr="006E5B27">
        <w:rPr>
          <w:rFonts w:hint="cs"/>
          <w:color w:val="auto"/>
          <w:rtl/>
        </w:rPr>
        <w:t xml:space="preserve">قال  النووي </w:t>
      </w:r>
      <w:r w:rsidR="003A639A">
        <w:rPr>
          <w:rFonts w:hint="cs"/>
          <w:color w:val="auto"/>
          <w:rtl/>
        </w:rPr>
        <w:t>_</w:t>
      </w:r>
      <w:r w:rsidR="009A0575" w:rsidRPr="005D5694">
        <w:rPr>
          <w:rFonts w:ascii="Traditional Arabic" w:hAnsi="Traditional Arabic" w:cs="CTraditional Arabic" w:hint="cs"/>
          <w:rtl/>
        </w:rPr>
        <w:t>/</w:t>
      </w:r>
      <w:r w:rsidR="003A639A">
        <w:rPr>
          <w:rFonts w:hint="cs"/>
          <w:color w:val="auto"/>
          <w:rtl/>
        </w:rPr>
        <w:t>_</w:t>
      </w:r>
      <w:r w:rsidRPr="006E5B27">
        <w:rPr>
          <w:rFonts w:hint="cs"/>
          <w:color w:val="auto"/>
          <w:rtl/>
        </w:rPr>
        <w:t>: (</w:t>
      </w:r>
      <w:r w:rsidRPr="006E5B27">
        <w:rPr>
          <w:rFonts w:ascii="Traditional Arabic" w:hAnsi="Traditional Arabic"/>
          <w:noProof w:val="0"/>
          <w:rtl/>
          <w:lang w:eastAsia="en-US"/>
        </w:rPr>
        <w:t>هذا الحديث قاعدة كبيرة من قواعد أحكام الشرع</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ففيه أنه لا ي</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قبل قول الإنسان فيما يد</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عيه بمجر</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د دعواه</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بل يحتاج إلى بينة</w:t>
      </w:r>
      <w:r w:rsidR="00066653">
        <w:rPr>
          <w:rFonts w:ascii="Traditional Arabic" w:hAnsi="Traditional Arabic" w:hint="cs"/>
          <w:noProof w:val="0"/>
          <w:rtl/>
          <w:lang w:eastAsia="en-US"/>
        </w:rPr>
        <w:t xml:space="preserve"> </w:t>
      </w:r>
      <w:r w:rsidRPr="006E5B27">
        <w:rPr>
          <w:rFonts w:ascii="Traditional Arabic" w:hAnsi="Traditional Arabic"/>
          <w:noProof w:val="0"/>
          <w:rtl/>
          <w:lang w:eastAsia="en-US"/>
        </w:rPr>
        <w:t>أو</w:t>
      </w:r>
      <w:r w:rsidR="00066653">
        <w:rPr>
          <w:rFonts w:ascii="Traditional Arabic" w:hAnsi="Traditional Arabic" w:hint="cs"/>
          <w:noProof w:val="0"/>
          <w:rtl/>
          <w:lang w:eastAsia="en-US"/>
        </w:rPr>
        <w:t xml:space="preserve"> </w:t>
      </w:r>
      <w:r w:rsidRPr="006E5B27">
        <w:rPr>
          <w:rFonts w:ascii="Traditional Arabic" w:hAnsi="Traditional Arabic"/>
          <w:noProof w:val="0"/>
          <w:rtl/>
          <w:lang w:eastAsia="en-US"/>
        </w:rPr>
        <w:t>تصديق المدعى عليه</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فإن طلب يمين المدعى عليه فله ذلك</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وقد بي</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ن </w:t>
      </w:r>
      <w:r w:rsidR="00184ADA">
        <w:rPr>
          <w:rFonts w:ascii="Traditional Arabic" w:hAnsi="Traditional Arabic" w:hint="cs"/>
          <w:rtl/>
        </w:rPr>
        <w:t>صلى الله عليه وسلم</w:t>
      </w:r>
      <w:r w:rsidRPr="006E5B27">
        <w:rPr>
          <w:rFonts w:ascii="Traditional Arabic" w:hAnsi="Traditional Arabic"/>
          <w:noProof w:val="0"/>
          <w:rtl/>
          <w:lang w:eastAsia="en-US"/>
        </w:rPr>
        <w:t xml:space="preserve"> الحكمة في كونه لا ي</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عطى بمجر</w:t>
      </w:r>
      <w:r w:rsidR="00066653">
        <w:rPr>
          <w:rFonts w:ascii="Traditional Arabic" w:hAnsi="Traditional Arabic" w:hint="cs"/>
          <w:noProof w:val="0"/>
          <w:rtl/>
          <w:lang w:eastAsia="en-US"/>
        </w:rPr>
        <w:t>ّ</w:t>
      </w:r>
      <w:r w:rsidRPr="006E5B27">
        <w:rPr>
          <w:rFonts w:ascii="Traditional Arabic" w:hAnsi="Traditional Arabic"/>
          <w:noProof w:val="0"/>
          <w:rtl/>
          <w:lang w:eastAsia="en-US"/>
        </w:rPr>
        <w:t>د دعواه</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لأنه لو كان أ</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عط</w:t>
      </w:r>
      <w:r w:rsidRPr="006E5B27">
        <w:rPr>
          <w:rFonts w:ascii="Traditional Arabic" w:hAnsi="Traditional Arabic" w:hint="cs"/>
          <w:noProof w:val="0"/>
          <w:rtl/>
          <w:lang w:eastAsia="en-US"/>
        </w:rPr>
        <w:t>ي</w:t>
      </w:r>
      <w:r w:rsidRPr="006E5B27">
        <w:rPr>
          <w:rFonts w:ascii="Traditional Arabic" w:hAnsi="Traditional Arabic"/>
          <w:noProof w:val="0"/>
          <w:rtl/>
          <w:lang w:eastAsia="en-US"/>
        </w:rPr>
        <w:t xml:space="preserve"> بمجر</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دها لاد</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عى قوم</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دماء</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قوم</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وأموالهم واست</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بيح</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ولا يمكن المدعى عليه أن ي</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ص</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ون مال</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ه ودم</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ه</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وأما المدعي في</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م</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ك</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نه صيانت</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هما بالبينة</w:t>
      </w:r>
      <w:r w:rsidRPr="006E5B27">
        <w:rPr>
          <w:rFonts w:hint="cs"/>
          <w:color w:val="auto"/>
          <w:rtl/>
        </w:rPr>
        <w:t>)</w:t>
      </w:r>
      <w:r w:rsidRPr="00C821A1">
        <w:rPr>
          <w:rStyle w:val="af1"/>
          <w:szCs w:val="32"/>
          <w:rtl/>
        </w:rPr>
        <w:t>(</w:t>
      </w:r>
      <w:r w:rsidRPr="00C821A1">
        <w:rPr>
          <w:rStyle w:val="af1"/>
          <w:szCs w:val="32"/>
          <w:rtl/>
        </w:rPr>
        <w:footnoteReference w:id="1741"/>
      </w:r>
      <w:r w:rsidRPr="00C821A1">
        <w:rPr>
          <w:rStyle w:val="af1"/>
          <w:szCs w:val="32"/>
          <w:rtl/>
        </w:rPr>
        <w:t>)</w:t>
      </w:r>
      <w:r w:rsidRPr="006E5B27">
        <w:rPr>
          <w:rFonts w:hint="cs"/>
          <w:color w:val="auto"/>
          <w:rtl/>
        </w:rPr>
        <w:t>.</w:t>
      </w:r>
    </w:p>
    <w:p w:rsidR="00D569FA" w:rsidRDefault="00D569FA" w:rsidP="000A76C7">
      <w:pPr>
        <w:pStyle w:val="afc"/>
        <w:numPr>
          <w:ilvl w:val="0"/>
          <w:numId w:val="226"/>
        </w:numPr>
        <w:rPr>
          <w:color w:val="auto"/>
        </w:rPr>
      </w:pPr>
      <w:r>
        <w:rPr>
          <w:rFonts w:hint="cs"/>
          <w:b/>
          <w:bCs/>
          <w:color w:val="auto"/>
          <w:rtl/>
        </w:rPr>
        <w:t xml:space="preserve">الإجماع: </w:t>
      </w:r>
      <w:r>
        <w:rPr>
          <w:rFonts w:hint="cs"/>
          <w:color w:val="auto"/>
          <w:rtl/>
        </w:rPr>
        <w:t xml:space="preserve">قال  ابن المنذر </w:t>
      </w:r>
      <w:r w:rsidR="00066653">
        <w:rPr>
          <w:rFonts w:hint="cs"/>
          <w:color w:val="auto"/>
          <w:rtl/>
        </w:rPr>
        <w:t>_</w:t>
      </w:r>
      <w:r w:rsidR="009A0575" w:rsidRPr="005D5694">
        <w:rPr>
          <w:rFonts w:ascii="Traditional Arabic" w:hAnsi="Traditional Arabic" w:cs="CTraditional Arabic" w:hint="cs"/>
          <w:rtl/>
        </w:rPr>
        <w:t>/</w:t>
      </w:r>
      <w:r w:rsidR="00066653">
        <w:rPr>
          <w:rFonts w:hint="cs"/>
          <w:color w:val="auto"/>
          <w:rtl/>
        </w:rPr>
        <w:t>_</w:t>
      </w:r>
      <w:r>
        <w:rPr>
          <w:rFonts w:hint="cs"/>
          <w:color w:val="auto"/>
          <w:rtl/>
        </w:rPr>
        <w:t>: (</w:t>
      </w:r>
      <w:r w:rsidRPr="00664E49">
        <w:rPr>
          <w:rFonts w:ascii="Traditional Arabic" w:hAnsi="Traditional Arabic"/>
          <w:noProof w:val="0"/>
          <w:rtl/>
          <w:lang w:eastAsia="en-US"/>
        </w:rPr>
        <w:t xml:space="preserve">وأجمعوا على أن </w:t>
      </w:r>
      <w:r w:rsidRPr="00664E49">
        <w:rPr>
          <w:rFonts w:ascii="Traditional Arabic" w:hAnsi="Traditional Arabic"/>
          <w:noProof w:val="0"/>
          <w:color w:val="auto"/>
          <w:rtl/>
          <w:lang w:eastAsia="en-US"/>
        </w:rPr>
        <w:t xml:space="preserve">البينة </w:t>
      </w:r>
      <w:r w:rsidRPr="00664E49">
        <w:rPr>
          <w:rFonts w:ascii="Traditional Arabic" w:hAnsi="Traditional Arabic"/>
          <w:noProof w:val="0"/>
          <w:rtl/>
          <w:lang w:eastAsia="en-US"/>
        </w:rPr>
        <w:t>على المدعي، واليمين على المدعى عليه</w:t>
      </w:r>
      <w:r>
        <w:rPr>
          <w:rFonts w:hint="cs"/>
          <w:color w:val="auto"/>
          <w:rtl/>
        </w:rPr>
        <w:t>)</w:t>
      </w:r>
      <w:r w:rsidRPr="00C821A1">
        <w:rPr>
          <w:rStyle w:val="af1"/>
          <w:szCs w:val="32"/>
          <w:rtl/>
        </w:rPr>
        <w:t>(</w:t>
      </w:r>
      <w:r w:rsidRPr="00C821A1">
        <w:rPr>
          <w:rStyle w:val="af1"/>
          <w:szCs w:val="32"/>
          <w:rtl/>
        </w:rPr>
        <w:footnoteReference w:id="1742"/>
      </w:r>
      <w:r w:rsidRPr="00C821A1">
        <w:rPr>
          <w:rStyle w:val="af1"/>
          <w:szCs w:val="32"/>
          <w:rtl/>
        </w:rPr>
        <w:t>)</w:t>
      </w:r>
      <w:r>
        <w:rPr>
          <w:rFonts w:hint="cs"/>
          <w:color w:val="auto"/>
          <w:rtl/>
        </w:rPr>
        <w:t>.</w:t>
      </w:r>
    </w:p>
    <w:p w:rsidR="00D569FA" w:rsidRPr="00D569FA" w:rsidRDefault="00184ADA" w:rsidP="00A8347C">
      <w:pPr>
        <w:pStyle w:val="aff3"/>
        <w:rPr>
          <w:rtl/>
        </w:rPr>
      </w:pPr>
      <w:bookmarkStart w:id="356" w:name="_Toc334046561"/>
      <w:r>
        <w:rPr>
          <w:rFonts w:hint="cs"/>
          <w:rtl/>
        </w:rPr>
        <w:t xml:space="preserve">                                          المطلب</w:t>
      </w:r>
      <w:r w:rsidR="003A639A">
        <w:rPr>
          <w:rFonts w:hint="cs"/>
          <w:rtl/>
        </w:rPr>
        <w:t xml:space="preserve"> </w:t>
      </w:r>
      <w:r w:rsidR="00D569FA" w:rsidRPr="00D569FA">
        <w:rPr>
          <w:rFonts w:hint="cs"/>
          <w:rtl/>
        </w:rPr>
        <w:t>الرابع</w:t>
      </w:r>
      <w:r w:rsidR="00D569FA">
        <w:rPr>
          <w:rFonts w:hint="cs"/>
          <w:rtl/>
        </w:rPr>
        <w:t xml:space="preserve"> :</w:t>
      </w:r>
      <w:r w:rsidR="00D569FA">
        <w:rPr>
          <w:rtl/>
        </w:rPr>
        <w:br/>
      </w:r>
      <w:r>
        <w:rPr>
          <w:rFonts w:hint="cs"/>
          <w:rtl/>
        </w:rPr>
        <w:t xml:space="preserve">          </w:t>
      </w:r>
      <w:r w:rsidR="003A639A">
        <w:rPr>
          <w:rFonts w:hint="cs"/>
          <w:rtl/>
        </w:rPr>
        <w:t xml:space="preserve">                               </w:t>
      </w:r>
      <w:r w:rsidR="00D569FA" w:rsidRPr="00D569FA">
        <w:rPr>
          <w:rFonts w:hint="cs"/>
          <w:rtl/>
        </w:rPr>
        <w:t>تطبيقات القاعدة</w:t>
      </w:r>
      <w:bookmarkEnd w:id="356"/>
    </w:p>
    <w:p w:rsidR="00F228A9" w:rsidRPr="00912D6E" w:rsidRDefault="00D569FA" w:rsidP="000A76C7">
      <w:pPr>
        <w:pStyle w:val="afc"/>
        <w:numPr>
          <w:ilvl w:val="0"/>
          <w:numId w:val="237"/>
        </w:numPr>
        <w:rPr>
          <w:color w:val="auto"/>
        </w:rPr>
      </w:pPr>
      <w:r>
        <w:rPr>
          <w:rFonts w:ascii="Traditional Arabic" w:hAnsi="Traditional Arabic" w:hint="cs"/>
          <w:noProof w:val="0"/>
          <w:rtl/>
          <w:lang w:eastAsia="en-US"/>
        </w:rPr>
        <w:t>إذا اختلف البائع والمشتري في قَدْرِ</w:t>
      </w:r>
      <w:r>
        <w:rPr>
          <w:rFonts w:ascii="Traditional Arabic" w:hAnsi="Traditional Arabic"/>
          <w:noProof w:val="0"/>
          <w:rtl/>
          <w:lang w:eastAsia="en-US"/>
        </w:rPr>
        <w:t xml:space="preserve"> السلعة</w:t>
      </w:r>
      <w:r>
        <w:rPr>
          <w:rFonts w:ascii="Traditional Arabic" w:hAnsi="Traditional Arabic" w:hint="cs"/>
          <w:noProof w:val="0"/>
          <w:rtl/>
          <w:lang w:eastAsia="en-US"/>
        </w:rPr>
        <w:t xml:space="preserve"> التالِفة،</w:t>
      </w:r>
      <w:r w:rsidRPr="00912D6E">
        <w:rPr>
          <w:rFonts w:ascii="Traditional Arabic" w:hAnsi="Traditional Arabic"/>
          <w:noProof w:val="0"/>
          <w:rtl/>
          <w:lang w:eastAsia="en-US"/>
        </w:rPr>
        <w:t>بأن قال البائع</w:t>
      </w:r>
      <w:r>
        <w:rPr>
          <w:rFonts w:ascii="Traditional Arabic" w:hAnsi="Traditional Arabic" w:hint="cs"/>
          <w:noProof w:val="0"/>
          <w:rtl/>
          <w:lang w:eastAsia="en-US"/>
        </w:rPr>
        <w:t xml:space="preserve"> مثلاً</w:t>
      </w:r>
      <w:r w:rsidRPr="00912D6E">
        <w:rPr>
          <w:rFonts w:ascii="Traditional Arabic" w:hAnsi="Traditional Arabic"/>
          <w:noProof w:val="0"/>
          <w:rtl/>
          <w:lang w:eastAsia="en-US"/>
        </w:rPr>
        <w:t>: إني قد ب</w:t>
      </w:r>
      <w:r>
        <w:rPr>
          <w:rFonts w:ascii="Traditional Arabic" w:hAnsi="Traditional Arabic" w:hint="cs"/>
          <w:noProof w:val="0"/>
          <w:rtl/>
          <w:lang w:eastAsia="en-US"/>
        </w:rPr>
        <w:t>ِ</w:t>
      </w:r>
      <w:r w:rsidRPr="00912D6E">
        <w:rPr>
          <w:rFonts w:ascii="Traditional Arabic" w:hAnsi="Traditional Arabic"/>
          <w:noProof w:val="0"/>
          <w:rtl/>
          <w:lang w:eastAsia="en-US"/>
        </w:rPr>
        <w:t>ع</w:t>
      </w:r>
      <w:r>
        <w:rPr>
          <w:rFonts w:ascii="Traditional Arabic" w:hAnsi="Traditional Arabic" w:hint="cs"/>
          <w:noProof w:val="0"/>
          <w:rtl/>
          <w:lang w:eastAsia="en-US"/>
        </w:rPr>
        <w:t>ْ</w:t>
      </w:r>
      <w:r w:rsidRPr="00912D6E">
        <w:rPr>
          <w:rFonts w:ascii="Traditional Arabic" w:hAnsi="Traditional Arabic"/>
          <w:noProof w:val="0"/>
          <w:rtl/>
          <w:lang w:eastAsia="en-US"/>
        </w:rPr>
        <w:t>ت</w:t>
      </w:r>
      <w:r>
        <w:rPr>
          <w:rFonts w:ascii="Traditional Arabic" w:hAnsi="Traditional Arabic" w:hint="cs"/>
          <w:noProof w:val="0"/>
          <w:rtl/>
          <w:lang w:eastAsia="en-US"/>
        </w:rPr>
        <w:t>ُ</w:t>
      </w:r>
      <w:r w:rsidRPr="00912D6E">
        <w:rPr>
          <w:rFonts w:ascii="Traditional Arabic" w:hAnsi="Traditional Arabic"/>
          <w:noProof w:val="0"/>
          <w:rtl/>
          <w:lang w:eastAsia="en-US"/>
        </w:rPr>
        <w:t xml:space="preserve"> عليك شاتين، وقال المشتري: بل</w:t>
      </w:r>
      <w:r>
        <w:rPr>
          <w:rFonts w:ascii="Traditional Arabic" w:hAnsi="Traditional Arabic" w:hint="cs"/>
          <w:noProof w:val="0"/>
          <w:rtl/>
          <w:lang w:eastAsia="en-US"/>
        </w:rPr>
        <w:t xml:space="preserve"> بعتَ عليَّ</w:t>
      </w:r>
      <w:r w:rsidRPr="00912D6E">
        <w:rPr>
          <w:rFonts w:ascii="Traditional Arabic" w:hAnsi="Traditional Arabic"/>
          <w:noProof w:val="0"/>
          <w:rtl/>
          <w:lang w:eastAsia="en-US"/>
        </w:rPr>
        <w:t xml:space="preserve"> واحدة، وقد ت</w:t>
      </w:r>
      <w:r>
        <w:rPr>
          <w:rFonts w:ascii="Traditional Arabic" w:hAnsi="Traditional Arabic" w:hint="cs"/>
          <w:noProof w:val="0"/>
          <w:rtl/>
          <w:lang w:eastAsia="en-US"/>
        </w:rPr>
        <w:t>َ</w:t>
      </w:r>
      <w:r w:rsidRPr="00912D6E">
        <w:rPr>
          <w:rFonts w:ascii="Traditional Arabic" w:hAnsi="Traditional Arabic"/>
          <w:noProof w:val="0"/>
          <w:rtl/>
          <w:lang w:eastAsia="en-US"/>
        </w:rPr>
        <w:t>ل</w:t>
      </w:r>
      <w:r>
        <w:rPr>
          <w:rFonts w:ascii="Traditional Arabic" w:hAnsi="Traditional Arabic" w:hint="cs"/>
          <w:noProof w:val="0"/>
          <w:rtl/>
          <w:lang w:eastAsia="en-US"/>
        </w:rPr>
        <w:t>ِ</w:t>
      </w:r>
      <w:r w:rsidRPr="00912D6E">
        <w:rPr>
          <w:rFonts w:ascii="Traditional Arabic" w:hAnsi="Traditional Arabic"/>
          <w:noProof w:val="0"/>
          <w:rtl/>
          <w:lang w:eastAsia="en-US"/>
        </w:rPr>
        <w:t>ف</w:t>
      </w:r>
      <w:r>
        <w:rPr>
          <w:rFonts w:ascii="Traditional Arabic" w:hAnsi="Traditional Arabic" w:hint="cs"/>
          <w:noProof w:val="0"/>
          <w:rtl/>
          <w:lang w:eastAsia="en-US"/>
        </w:rPr>
        <w:t>َ</w:t>
      </w:r>
      <w:r w:rsidRPr="00912D6E">
        <w:rPr>
          <w:rFonts w:ascii="Traditional Arabic" w:hAnsi="Traditional Arabic"/>
          <w:noProof w:val="0"/>
          <w:rtl/>
          <w:lang w:eastAsia="en-US"/>
        </w:rPr>
        <w:t xml:space="preserve">ت الشاتان، فالقول قول </w:t>
      </w:r>
      <w:r>
        <w:rPr>
          <w:rFonts w:ascii="Traditional Arabic" w:hAnsi="Traditional Arabic" w:hint="cs"/>
          <w:noProof w:val="0"/>
          <w:rtl/>
          <w:lang w:eastAsia="en-US"/>
        </w:rPr>
        <w:t>ال</w:t>
      </w:r>
      <w:r w:rsidRPr="00912D6E">
        <w:rPr>
          <w:rFonts w:ascii="Traditional Arabic" w:hAnsi="Traditional Arabic"/>
          <w:noProof w:val="0"/>
          <w:rtl/>
          <w:lang w:eastAsia="en-US"/>
        </w:rPr>
        <w:t>مشتر</w:t>
      </w:r>
      <w:r>
        <w:rPr>
          <w:rFonts w:ascii="Traditional Arabic" w:hAnsi="Traditional Arabic" w:hint="cs"/>
          <w:noProof w:val="0"/>
          <w:rtl/>
          <w:lang w:eastAsia="en-US"/>
        </w:rPr>
        <w:t>ي</w:t>
      </w:r>
      <w:r>
        <w:rPr>
          <w:rFonts w:ascii="Traditional Arabic" w:hAnsi="Traditional Arabic"/>
          <w:noProof w:val="0"/>
          <w:rtl/>
          <w:lang w:eastAsia="en-US"/>
        </w:rPr>
        <w:t>؛ لأن البائع يدعي</w:t>
      </w:r>
      <w:r w:rsidRPr="00912D6E">
        <w:rPr>
          <w:rFonts w:ascii="Traditional Arabic" w:hAnsi="Traditional Arabic"/>
          <w:noProof w:val="0"/>
          <w:rtl/>
          <w:lang w:eastAsia="en-US"/>
        </w:rPr>
        <w:t xml:space="preserve"> أن المبيع اثنتان والمشتري لم يقر</w:t>
      </w:r>
      <w:r>
        <w:rPr>
          <w:rFonts w:ascii="Traditional Arabic" w:hAnsi="Traditional Arabic" w:hint="cs"/>
          <w:noProof w:val="0"/>
          <w:rtl/>
          <w:lang w:eastAsia="en-US"/>
        </w:rPr>
        <w:t>َّ</w:t>
      </w:r>
      <w:r w:rsidRPr="00912D6E">
        <w:rPr>
          <w:rFonts w:ascii="Traditional Arabic" w:hAnsi="Traditional Arabic"/>
          <w:noProof w:val="0"/>
          <w:rtl/>
          <w:lang w:eastAsia="en-US"/>
        </w:rPr>
        <w:t xml:space="preserve"> باثنتين، بل أقر</w:t>
      </w:r>
      <w:r>
        <w:rPr>
          <w:rFonts w:ascii="Traditional Arabic" w:hAnsi="Traditional Arabic" w:hint="cs"/>
          <w:noProof w:val="0"/>
          <w:rtl/>
          <w:lang w:eastAsia="en-US"/>
        </w:rPr>
        <w:t>َّ</w:t>
      </w:r>
      <w:r w:rsidRPr="00912D6E">
        <w:rPr>
          <w:rFonts w:ascii="Traditional Arabic" w:hAnsi="Traditional Arabic"/>
          <w:noProof w:val="0"/>
          <w:rtl/>
          <w:lang w:eastAsia="en-US"/>
        </w:rPr>
        <w:t xml:space="preserve"> بواحدة وأنكر الثانية، والبين</w:t>
      </w:r>
      <w:r>
        <w:rPr>
          <w:rFonts w:ascii="Traditional Arabic" w:hAnsi="Traditional Arabic"/>
          <w:noProof w:val="0"/>
          <w:rtl/>
          <w:lang w:eastAsia="en-US"/>
        </w:rPr>
        <w:t>ة على المدعي واليمين على من أنك</w:t>
      </w:r>
      <w:r>
        <w:rPr>
          <w:rFonts w:ascii="Traditional Arabic" w:hAnsi="Traditional Arabic" w:hint="cs"/>
          <w:noProof w:val="0"/>
          <w:rtl/>
          <w:lang w:eastAsia="en-US"/>
        </w:rPr>
        <w:t>ر</w:t>
      </w:r>
      <w:r w:rsidRPr="00C821A1">
        <w:rPr>
          <w:rStyle w:val="af1"/>
          <w:szCs w:val="32"/>
          <w:rtl/>
        </w:rPr>
        <w:t>(</w:t>
      </w:r>
      <w:r w:rsidRPr="00C821A1">
        <w:rPr>
          <w:rStyle w:val="af1"/>
          <w:szCs w:val="32"/>
          <w:rtl/>
        </w:rPr>
        <w:footnoteReference w:id="1743"/>
      </w:r>
      <w:r w:rsidRPr="00C821A1">
        <w:rPr>
          <w:rStyle w:val="af1"/>
          <w:szCs w:val="32"/>
          <w:rtl/>
        </w:rPr>
        <w:t>)</w:t>
      </w:r>
      <w:r>
        <w:rPr>
          <w:rFonts w:ascii="Traditional Arabic" w:hAnsi="Traditional Arabic" w:hint="cs"/>
          <w:noProof w:val="0"/>
          <w:rtl/>
          <w:lang w:eastAsia="en-US"/>
        </w:rPr>
        <w:t>.</w:t>
      </w:r>
    </w:p>
    <w:p w:rsidR="00065E4B" w:rsidRDefault="00D569FA" w:rsidP="00597C20">
      <w:pPr>
        <w:pStyle w:val="53"/>
        <w:rPr>
          <w:rtl/>
        </w:rPr>
      </w:pPr>
      <w:r>
        <w:rPr>
          <w:rFonts w:hint="cs"/>
          <w:rtl/>
        </w:rPr>
        <w:lastRenderedPageBreak/>
        <w:t>وجه اندراج الفرع تحت القاعدة:</w:t>
      </w:r>
    </w:p>
    <w:p w:rsidR="00D569FA" w:rsidRDefault="00065E4B" w:rsidP="00597C20">
      <w:pPr>
        <w:widowControl/>
        <w:autoSpaceDE w:val="0"/>
        <w:autoSpaceDN w:val="0"/>
        <w:adjustRightInd w:val="0"/>
        <w:ind w:firstLine="720"/>
        <w:rPr>
          <w:rFonts w:ascii="Traditional Arabic" w:hAnsi="Traditional Arabic"/>
          <w:noProof w:val="0"/>
          <w:rtl/>
          <w:lang w:eastAsia="en-US"/>
        </w:rPr>
      </w:pPr>
      <w:r w:rsidRPr="00912D6E">
        <w:rPr>
          <w:rFonts w:ascii="Traditional Arabic" w:hAnsi="Traditional Arabic" w:hint="cs"/>
          <w:noProof w:val="0"/>
          <w:rtl/>
          <w:lang w:eastAsia="en-US"/>
        </w:rPr>
        <w:t>إ</w:t>
      </w:r>
      <w:r w:rsidR="00D569FA" w:rsidRPr="00912D6E">
        <w:rPr>
          <w:rFonts w:ascii="Traditional Arabic" w:hAnsi="Traditional Arabic" w:hint="cs"/>
          <w:noProof w:val="0"/>
          <w:rtl/>
          <w:lang w:eastAsia="en-US"/>
        </w:rPr>
        <w:t xml:space="preserve">نما كان القول قولَ المشتري؛ </w:t>
      </w:r>
      <w:r w:rsidR="00D569FA" w:rsidRPr="00912D6E">
        <w:rPr>
          <w:rFonts w:ascii="Traditional Arabic" w:hAnsi="Traditional Arabic"/>
          <w:noProof w:val="0"/>
          <w:rtl/>
          <w:lang w:eastAsia="en-US"/>
        </w:rPr>
        <w:t>لأن</w:t>
      </w:r>
      <w:r w:rsidR="00D569FA">
        <w:rPr>
          <w:rFonts w:ascii="Traditional Arabic" w:hAnsi="Traditional Arabic" w:hint="cs"/>
          <w:noProof w:val="0"/>
          <w:rtl/>
          <w:lang w:eastAsia="en-US"/>
        </w:rPr>
        <w:t>ه أقرَّ بواحدة،و</w:t>
      </w:r>
      <w:r w:rsidR="00D569FA">
        <w:rPr>
          <w:rFonts w:ascii="Traditional Arabic" w:hAnsi="Traditional Arabic"/>
          <w:noProof w:val="0"/>
          <w:rtl/>
          <w:lang w:eastAsia="en-US"/>
        </w:rPr>
        <w:t>ما زاد عل</w:t>
      </w:r>
      <w:r w:rsidR="00D569FA">
        <w:rPr>
          <w:rFonts w:ascii="Traditional Arabic" w:hAnsi="Traditional Arabic" w:hint="cs"/>
          <w:noProof w:val="0"/>
          <w:rtl/>
          <w:lang w:eastAsia="en-US"/>
        </w:rPr>
        <w:t>يها</w:t>
      </w:r>
      <w:r w:rsidR="00D569FA">
        <w:rPr>
          <w:rFonts w:ascii="Traditional Arabic" w:hAnsi="Traditional Arabic"/>
          <w:noProof w:val="0"/>
          <w:rtl/>
          <w:lang w:eastAsia="en-US"/>
        </w:rPr>
        <w:t xml:space="preserve">دعوى </w:t>
      </w:r>
      <w:r w:rsidR="00D569FA">
        <w:rPr>
          <w:rFonts w:ascii="Traditional Arabic" w:hAnsi="Traditional Arabic" w:hint="cs"/>
          <w:noProof w:val="0"/>
          <w:rtl/>
          <w:lang w:eastAsia="en-US"/>
        </w:rPr>
        <w:t>ت</w:t>
      </w:r>
      <w:r w:rsidR="00D569FA" w:rsidRPr="00BC1F00">
        <w:rPr>
          <w:rFonts w:ascii="Traditional Arabic" w:hAnsi="Traditional Arabic"/>
          <w:noProof w:val="0"/>
          <w:rtl/>
          <w:lang w:eastAsia="en-US"/>
        </w:rPr>
        <w:t>حتاج إلى بينة</w:t>
      </w:r>
      <w:r w:rsidR="00D569FA">
        <w:rPr>
          <w:rFonts w:ascii="Traditional Arabic" w:hAnsi="Traditional Arabic" w:hint="cs"/>
          <w:noProof w:val="0"/>
          <w:rtl/>
          <w:lang w:eastAsia="en-US"/>
        </w:rPr>
        <w:t>؛ لهذا يطالب البائع بالبينة على تَلَفِ الشاة الثانية، ولا يُلزَم المشتري إلا بما أقر به.</w:t>
      </w:r>
    </w:p>
    <w:p w:rsidR="00D569FA" w:rsidRPr="002E64B3" w:rsidRDefault="00D569FA" w:rsidP="000A76C7">
      <w:pPr>
        <w:pStyle w:val="afc"/>
        <w:widowControl/>
        <w:numPr>
          <w:ilvl w:val="0"/>
          <w:numId w:val="237"/>
        </w:numPr>
        <w:autoSpaceDE w:val="0"/>
        <w:autoSpaceDN w:val="0"/>
        <w:adjustRightInd w:val="0"/>
        <w:rPr>
          <w:rFonts w:ascii="Traditional Arabic" w:hAnsi="Traditional Arabic"/>
          <w:noProof w:val="0"/>
          <w:color w:val="auto"/>
          <w:lang w:eastAsia="en-US"/>
        </w:rPr>
      </w:pPr>
      <w:r w:rsidRPr="00C11E5F">
        <w:rPr>
          <w:rFonts w:ascii="Traditional Arabic" w:hAnsi="Traditional Arabic"/>
          <w:noProof w:val="0"/>
          <w:rtl/>
          <w:lang w:eastAsia="en-US"/>
        </w:rPr>
        <w:t>ي</w:t>
      </w:r>
      <w:r>
        <w:rPr>
          <w:rFonts w:ascii="Traditional Arabic" w:hAnsi="Traditional Arabic" w:hint="cs"/>
          <w:noProof w:val="0"/>
          <w:rtl/>
          <w:lang w:eastAsia="en-US"/>
        </w:rPr>
        <w:t>ُ</w:t>
      </w:r>
      <w:r w:rsidRPr="00C11E5F">
        <w:rPr>
          <w:rFonts w:ascii="Traditional Arabic" w:hAnsi="Traditional Arabic"/>
          <w:noProof w:val="0"/>
          <w:rtl/>
          <w:lang w:eastAsia="en-US"/>
        </w:rPr>
        <w:t>قبل قول الراهن في ق</w:t>
      </w:r>
      <w:r w:rsidRPr="00C11E5F">
        <w:rPr>
          <w:rFonts w:ascii="Traditional Arabic" w:hAnsi="Traditional Arabic" w:hint="cs"/>
          <w:noProof w:val="0"/>
          <w:rtl/>
          <w:lang w:eastAsia="en-US"/>
        </w:rPr>
        <w:t>َ</w:t>
      </w:r>
      <w:r w:rsidRPr="00C11E5F">
        <w:rPr>
          <w:rFonts w:ascii="Traditional Arabic" w:hAnsi="Traditional Arabic"/>
          <w:noProof w:val="0"/>
          <w:rtl/>
          <w:lang w:eastAsia="en-US"/>
        </w:rPr>
        <w:t>د</w:t>
      </w:r>
      <w:r w:rsidRPr="00C11E5F">
        <w:rPr>
          <w:rFonts w:ascii="Traditional Arabic" w:hAnsi="Traditional Arabic" w:hint="cs"/>
          <w:noProof w:val="0"/>
          <w:rtl/>
          <w:lang w:eastAsia="en-US"/>
        </w:rPr>
        <w:t>ْ</w:t>
      </w:r>
      <w:r w:rsidRPr="00C11E5F">
        <w:rPr>
          <w:rFonts w:ascii="Traditional Arabic" w:hAnsi="Traditional Arabic"/>
          <w:noProof w:val="0"/>
          <w:rtl/>
          <w:lang w:eastAsia="en-US"/>
        </w:rPr>
        <w:t>ر الدين</w:t>
      </w:r>
      <w:r>
        <w:rPr>
          <w:rFonts w:ascii="Traditional Arabic" w:hAnsi="Traditional Arabic" w:hint="cs"/>
          <w:noProof w:val="0"/>
          <w:rtl/>
          <w:lang w:eastAsia="en-US"/>
        </w:rPr>
        <w:t>، فإذا</w:t>
      </w:r>
      <w:r w:rsidRPr="00C11E5F">
        <w:rPr>
          <w:rFonts w:ascii="Traditional Arabic" w:hAnsi="Traditional Arabic"/>
          <w:noProof w:val="0"/>
          <w:rtl/>
          <w:lang w:eastAsia="en-US"/>
        </w:rPr>
        <w:t xml:space="preserve"> حل</w:t>
      </w:r>
      <w:r>
        <w:rPr>
          <w:rFonts w:ascii="Traditional Arabic" w:hAnsi="Traditional Arabic" w:hint="cs"/>
          <w:noProof w:val="0"/>
          <w:rtl/>
          <w:lang w:eastAsia="en-US"/>
        </w:rPr>
        <w:t>َّ</w:t>
      </w:r>
      <w:r w:rsidRPr="00C11E5F">
        <w:rPr>
          <w:rFonts w:ascii="Traditional Arabic" w:hAnsi="Traditional Arabic"/>
          <w:noProof w:val="0"/>
          <w:rtl/>
          <w:lang w:eastAsia="en-US"/>
        </w:rPr>
        <w:t xml:space="preserve"> الدين</w:t>
      </w:r>
      <w:r>
        <w:rPr>
          <w:rFonts w:ascii="Traditional Arabic" w:hAnsi="Traditional Arabic" w:hint="cs"/>
          <w:noProof w:val="0"/>
          <w:rtl/>
          <w:lang w:eastAsia="en-US"/>
        </w:rPr>
        <w:t>ُ</w:t>
      </w:r>
      <w:r w:rsidR="003A639A">
        <w:rPr>
          <w:rFonts w:ascii="Traditional Arabic" w:hAnsi="Traditional Arabic" w:hint="cs"/>
          <w:noProof w:val="0"/>
          <w:rtl/>
          <w:lang w:eastAsia="en-US"/>
        </w:rPr>
        <w:t xml:space="preserve"> </w:t>
      </w:r>
      <w:r>
        <w:rPr>
          <w:rFonts w:ascii="Traditional Arabic" w:hAnsi="Traditional Arabic" w:hint="cs"/>
          <w:noProof w:val="0"/>
          <w:rtl/>
          <w:lang w:eastAsia="en-US"/>
        </w:rPr>
        <w:t>و</w:t>
      </w:r>
      <w:r w:rsidRPr="00C11E5F">
        <w:rPr>
          <w:rFonts w:ascii="Traditional Arabic" w:hAnsi="Traditional Arabic"/>
          <w:noProof w:val="0"/>
          <w:rtl/>
          <w:lang w:eastAsia="en-US"/>
        </w:rPr>
        <w:t>أتى الراهن بألف</w:t>
      </w:r>
      <w:r w:rsidRPr="009A3A72">
        <w:rPr>
          <w:rFonts w:ascii="Traditional Arabic" w:hAnsi="Traditional Arabic"/>
          <w:noProof w:val="0"/>
          <w:sz w:val="48"/>
          <w:szCs w:val="48"/>
          <w:rtl/>
          <w:lang w:eastAsia="en-US"/>
        </w:rPr>
        <w:t xml:space="preserve"> </w:t>
      </w:r>
      <w:r w:rsidR="009A3A72">
        <w:rPr>
          <w:rFonts w:ascii="Traditional Arabic" w:hAnsi="Traditional Arabic" w:hint="cs"/>
          <w:noProof w:val="0"/>
          <w:sz w:val="48"/>
          <w:szCs w:val="48"/>
          <w:rtl/>
          <w:lang w:eastAsia="en-US"/>
        </w:rPr>
        <w:t>ريال</w:t>
      </w:r>
      <w:r w:rsidRPr="00C11E5F">
        <w:rPr>
          <w:rFonts w:ascii="Traditional Arabic" w:hAnsi="Traditional Arabic"/>
          <w:noProof w:val="0"/>
          <w:rtl/>
          <w:lang w:eastAsia="en-US"/>
        </w:rPr>
        <w:t>، وقال للم</w:t>
      </w:r>
      <w:r>
        <w:rPr>
          <w:rFonts w:ascii="Traditional Arabic" w:hAnsi="Traditional Arabic"/>
          <w:noProof w:val="0"/>
          <w:rtl/>
          <w:lang w:eastAsia="en-US"/>
        </w:rPr>
        <w:t>رتهن:</w:t>
      </w:r>
      <w:r w:rsidRPr="00C11E5F">
        <w:rPr>
          <w:rFonts w:ascii="Traditional Arabic" w:hAnsi="Traditional Arabic"/>
          <w:noProof w:val="0"/>
          <w:rtl/>
          <w:lang w:eastAsia="en-US"/>
        </w:rPr>
        <w:t xml:space="preserve">الدين خمسة آلاف </w:t>
      </w:r>
      <w:r w:rsidR="009A3A72" w:rsidRPr="009A3A72">
        <w:rPr>
          <w:rFonts w:ascii="Traditional Arabic" w:hAnsi="Traditional Arabic" w:hint="cs"/>
          <w:noProof w:val="0"/>
          <w:sz w:val="48"/>
          <w:szCs w:val="48"/>
          <w:rtl/>
          <w:lang w:eastAsia="en-US"/>
        </w:rPr>
        <w:t>ريال</w:t>
      </w:r>
      <w:r w:rsidRPr="00C11E5F">
        <w:rPr>
          <w:rFonts w:ascii="Traditional Arabic" w:hAnsi="Traditional Arabic"/>
          <w:noProof w:val="0"/>
          <w:rtl/>
          <w:lang w:eastAsia="en-US"/>
        </w:rPr>
        <w:t xml:space="preserve">، فقال الراهن: بل هو ألف </w:t>
      </w:r>
      <w:r w:rsidR="009A3A72" w:rsidRPr="009A3A72">
        <w:rPr>
          <w:rFonts w:ascii="Traditional Arabic" w:hAnsi="Traditional Arabic" w:hint="cs"/>
          <w:noProof w:val="0"/>
          <w:sz w:val="48"/>
          <w:szCs w:val="48"/>
          <w:rtl/>
          <w:lang w:eastAsia="en-US"/>
        </w:rPr>
        <w:t>ريال</w:t>
      </w:r>
      <w:r>
        <w:rPr>
          <w:rFonts w:ascii="Traditional Arabic" w:hAnsi="Traditional Arabic"/>
          <w:noProof w:val="0"/>
          <w:rtl/>
          <w:lang w:eastAsia="en-US"/>
        </w:rPr>
        <w:t xml:space="preserve">، </w:t>
      </w:r>
      <w:r>
        <w:rPr>
          <w:rFonts w:ascii="Traditional Arabic" w:hAnsi="Traditional Arabic" w:hint="cs"/>
          <w:noProof w:val="0"/>
          <w:rtl/>
          <w:lang w:eastAsia="en-US"/>
        </w:rPr>
        <w:t>فال</w:t>
      </w:r>
      <w:r>
        <w:rPr>
          <w:rFonts w:ascii="Traditional Arabic" w:hAnsi="Traditional Arabic"/>
          <w:noProof w:val="0"/>
          <w:rtl/>
          <w:lang w:eastAsia="en-US"/>
        </w:rPr>
        <w:t>قول</w:t>
      </w:r>
      <w:r>
        <w:rPr>
          <w:rFonts w:ascii="Traditional Arabic" w:hAnsi="Traditional Arabic" w:hint="cs"/>
          <w:noProof w:val="0"/>
          <w:rtl/>
          <w:lang w:eastAsia="en-US"/>
        </w:rPr>
        <w:t>ُ</w:t>
      </w:r>
      <w:r w:rsidR="003A639A">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قولُ </w:t>
      </w:r>
      <w:r>
        <w:rPr>
          <w:rFonts w:ascii="Traditional Arabic" w:hAnsi="Traditional Arabic"/>
          <w:noProof w:val="0"/>
          <w:rtl/>
          <w:lang w:eastAsia="en-US"/>
        </w:rPr>
        <w:t>الراهن</w:t>
      </w:r>
      <w:r>
        <w:rPr>
          <w:rFonts w:ascii="Traditional Arabic" w:hAnsi="Traditional Arabic" w:hint="cs"/>
          <w:noProof w:val="0"/>
          <w:rtl/>
          <w:lang w:eastAsia="en-US"/>
        </w:rPr>
        <w:t xml:space="preserve"> مع يمينه.</w:t>
      </w:r>
    </w:p>
    <w:p w:rsidR="00D569FA" w:rsidRPr="0002027F" w:rsidRDefault="00D569FA" w:rsidP="00597C20">
      <w:pPr>
        <w:pStyle w:val="afc"/>
        <w:widowControl/>
        <w:autoSpaceDE w:val="0"/>
        <w:autoSpaceDN w:val="0"/>
        <w:adjustRightInd w:val="0"/>
        <w:ind w:left="1080" w:firstLine="0"/>
        <w:jc w:val="left"/>
        <w:rPr>
          <w:rFonts w:ascii="Traditional Arabic" w:hAnsi="Traditional Arabic"/>
          <w:noProof w:val="0"/>
          <w:color w:val="auto"/>
          <w:rtl/>
          <w:lang w:eastAsia="en-US"/>
        </w:rPr>
      </w:pPr>
      <w:r w:rsidRPr="00C11E5F">
        <w:rPr>
          <w:rFonts w:ascii="Traditional Arabic" w:hAnsi="Traditional Arabic"/>
          <w:noProof w:val="0"/>
          <w:rtl/>
          <w:lang w:eastAsia="en-US"/>
        </w:rPr>
        <w:t>وهذا مقي</w:t>
      </w:r>
      <w:r>
        <w:rPr>
          <w:rFonts w:ascii="Traditional Arabic" w:hAnsi="Traditional Arabic" w:hint="cs"/>
          <w:noProof w:val="0"/>
          <w:rtl/>
          <w:lang w:eastAsia="en-US"/>
        </w:rPr>
        <w:t>َّ</w:t>
      </w:r>
      <w:r w:rsidRPr="00C11E5F">
        <w:rPr>
          <w:rFonts w:ascii="Traditional Arabic" w:hAnsi="Traditional Arabic"/>
          <w:noProof w:val="0"/>
          <w:rtl/>
          <w:lang w:eastAsia="en-US"/>
        </w:rPr>
        <w:t>د بما إذا لم يكن للمرتهن بينة، أما إذا كان للمرتهن بينة، فالقول قول</w:t>
      </w:r>
      <w:r>
        <w:rPr>
          <w:rFonts w:ascii="Traditional Arabic" w:hAnsi="Traditional Arabic" w:hint="cs"/>
          <w:noProof w:val="0"/>
          <w:rtl/>
          <w:lang w:eastAsia="en-US"/>
        </w:rPr>
        <w:t>ُ</w:t>
      </w:r>
      <w:r w:rsidRPr="00C11E5F">
        <w:rPr>
          <w:rFonts w:ascii="Traditional Arabic" w:hAnsi="Traditional Arabic"/>
          <w:noProof w:val="0"/>
          <w:rtl/>
          <w:lang w:eastAsia="en-US"/>
        </w:rPr>
        <w:t xml:space="preserve"> م</w:t>
      </w:r>
      <w:r>
        <w:rPr>
          <w:rFonts w:ascii="Traditional Arabic" w:hAnsi="Traditional Arabic" w:hint="cs"/>
          <w:noProof w:val="0"/>
          <w:rtl/>
          <w:lang w:eastAsia="en-US"/>
        </w:rPr>
        <w:t>َ</w:t>
      </w:r>
      <w:r w:rsidRPr="00C11E5F">
        <w:rPr>
          <w:rFonts w:ascii="Traditional Arabic" w:hAnsi="Traditional Arabic"/>
          <w:noProof w:val="0"/>
          <w:rtl/>
          <w:lang w:eastAsia="en-US"/>
        </w:rPr>
        <w:t>ن شهدت</w:t>
      </w:r>
      <w:r>
        <w:rPr>
          <w:rFonts w:ascii="Traditional Arabic" w:hAnsi="Traditional Arabic" w:hint="cs"/>
          <w:noProof w:val="0"/>
          <w:rtl/>
          <w:lang w:eastAsia="en-US"/>
        </w:rPr>
        <w:t>ْ</w:t>
      </w:r>
      <w:r w:rsidR="003A639A">
        <w:rPr>
          <w:rFonts w:ascii="Traditional Arabic" w:hAnsi="Traditional Arabic"/>
          <w:noProof w:val="0"/>
          <w:rtl/>
          <w:lang w:eastAsia="en-US"/>
        </w:rPr>
        <w:t xml:space="preserve"> له البينة، و</w:t>
      </w:r>
      <w:r w:rsidR="00EC5622">
        <w:rPr>
          <w:rFonts w:ascii="Traditional Arabic" w:hAnsi="Traditional Arabic" w:hint="cs"/>
          <w:noProof w:val="0"/>
          <w:rtl/>
          <w:lang w:eastAsia="en-US"/>
        </w:rPr>
        <w:t>هي</w:t>
      </w:r>
      <w:r w:rsidRPr="00C11E5F">
        <w:rPr>
          <w:rFonts w:ascii="Traditional Arabic" w:hAnsi="Traditional Arabic"/>
          <w:noProof w:val="0"/>
          <w:rtl/>
          <w:lang w:eastAsia="en-US"/>
        </w:rPr>
        <w:t xml:space="preserve"> شهدت</w:t>
      </w:r>
      <w:r w:rsidR="009A3A72">
        <w:rPr>
          <w:rFonts w:ascii="Traditional Arabic" w:hAnsi="Traditional Arabic" w:hint="cs"/>
          <w:noProof w:val="0"/>
          <w:rtl/>
          <w:lang w:eastAsia="en-US"/>
        </w:rPr>
        <w:t>ْ</w:t>
      </w:r>
      <w:r w:rsidRPr="00C11E5F">
        <w:rPr>
          <w:rFonts w:ascii="Traditional Arabic" w:hAnsi="Traditional Arabic"/>
          <w:noProof w:val="0"/>
          <w:rtl/>
          <w:lang w:eastAsia="en-US"/>
        </w:rPr>
        <w:t xml:space="preserve"> للمرتهن</w:t>
      </w:r>
      <w:r>
        <w:rPr>
          <w:rFonts w:ascii="Traditional Arabic" w:hAnsi="Traditional Arabic" w:hint="cs"/>
          <w:noProof w:val="0"/>
          <w:rtl/>
          <w:lang w:eastAsia="en-US"/>
        </w:rPr>
        <w:t>،</w:t>
      </w:r>
      <w:r w:rsidRPr="00C11E5F">
        <w:rPr>
          <w:rFonts w:ascii="Traditional Arabic" w:hAnsi="Traditional Arabic"/>
          <w:noProof w:val="0"/>
          <w:rtl/>
          <w:lang w:eastAsia="en-US"/>
        </w:rPr>
        <w:t xml:space="preserve"> فيلزمه في </w:t>
      </w:r>
      <w:r>
        <w:rPr>
          <w:rFonts w:ascii="Traditional Arabic" w:hAnsi="Traditional Arabic" w:hint="cs"/>
          <w:noProof w:val="0"/>
          <w:rtl/>
          <w:lang w:eastAsia="en-US"/>
        </w:rPr>
        <w:t xml:space="preserve">هذا </w:t>
      </w:r>
      <w:r w:rsidRPr="00C11E5F">
        <w:rPr>
          <w:rFonts w:ascii="Traditional Arabic" w:hAnsi="Traditional Arabic"/>
          <w:noProof w:val="0"/>
          <w:rtl/>
          <w:lang w:eastAsia="en-US"/>
        </w:rPr>
        <w:t>المثال خمسة آلاف</w:t>
      </w:r>
      <w:r w:rsidRPr="00C821A1">
        <w:rPr>
          <w:rStyle w:val="af1"/>
          <w:szCs w:val="32"/>
          <w:rtl/>
        </w:rPr>
        <w:t>(</w:t>
      </w:r>
      <w:r w:rsidRPr="00C821A1">
        <w:rPr>
          <w:rStyle w:val="af1"/>
          <w:szCs w:val="32"/>
          <w:rtl/>
        </w:rPr>
        <w:footnoteReference w:id="1744"/>
      </w:r>
      <w:r w:rsidRPr="00C821A1">
        <w:rPr>
          <w:rStyle w:val="af1"/>
          <w:szCs w:val="32"/>
          <w:rtl/>
        </w:rPr>
        <w:t>)</w:t>
      </w:r>
      <w:r w:rsidRPr="00C11E5F">
        <w:rPr>
          <w:rFonts w:ascii="Traditional Arabic" w:hAnsi="Traditional Arabic"/>
          <w:noProof w:val="0"/>
          <w:rtl/>
          <w:lang w:eastAsia="en-US"/>
        </w:rPr>
        <w:t>.</w:t>
      </w:r>
    </w:p>
    <w:p w:rsidR="00065E4B" w:rsidRDefault="00D569FA" w:rsidP="00597C20">
      <w:pPr>
        <w:pStyle w:val="53"/>
        <w:rPr>
          <w:rtl/>
        </w:rPr>
      </w:pPr>
      <w:r>
        <w:rPr>
          <w:rFonts w:hint="cs"/>
          <w:rtl/>
        </w:rPr>
        <w:t>وجه اندراج الفرع تحت القاعدة:</w:t>
      </w:r>
    </w:p>
    <w:p w:rsidR="00D569FA" w:rsidRPr="00A147F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ف</w:t>
      </w:r>
      <w:r w:rsidR="00D569FA">
        <w:rPr>
          <w:rFonts w:ascii="Traditional Arabic" w:hAnsi="Traditional Arabic" w:hint="cs"/>
          <w:noProof w:val="0"/>
          <w:rtl/>
          <w:lang w:eastAsia="en-US"/>
        </w:rPr>
        <w:t>ي هذه المسألة</w:t>
      </w:r>
      <w:r w:rsidR="00D569FA" w:rsidRPr="002E64B3">
        <w:rPr>
          <w:rFonts w:ascii="Traditional Arabic" w:hAnsi="Traditional Arabic"/>
          <w:noProof w:val="0"/>
          <w:rtl/>
          <w:lang w:eastAsia="en-US"/>
        </w:rPr>
        <w:t xml:space="preserve"> طر</w:t>
      </w:r>
      <w:r w:rsidR="00D569FA">
        <w:rPr>
          <w:rFonts w:ascii="Traditional Arabic" w:hAnsi="Traditional Arabic" w:hint="cs"/>
          <w:noProof w:val="0"/>
          <w:rtl/>
          <w:lang w:eastAsia="en-US"/>
        </w:rPr>
        <w:t>َ</w:t>
      </w:r>
      <w:r w:rsidR="00D569FA" w:rsidRPr="002E64B3">
        <w:rPr>
          <w:rFonts w:ascii="Traditional Arabic" w:hAnsi="Traditional Arabic"/>
          <w:noProof w:val="0"/>
          <w:rtl/>
          <w:lang w:eastAsia="en-US"/>
        </w:rPr>
        <w:t>فان، الطرف الأول</w:t>
      </w:r>
      <w:r w:rsidR="00D569FA">
        <w:rPr>
          <w:rFonts w:ascii="Traditional Arabic" w:hAnsi="Traditional Arabic"/>
          <w:noProof w:val="0"/>
          <w:rtl/>
          <w:lang w:eastAsia="en-US"/>
        </w:rPr>
        <w:t xml:space="preserve"> الراهن ينك</w:t>
      </w:r>
      <w:r w:rsidR="00D569FA">
        <w:rPr>
          <w:rFonts w:ascii="Traditional Arabic" w:hAnsi="Traditional Arabic" w:hint="cs"/>
          <w:noProof w:val="0"/>
          <w:rtl/>
          <w:lang w:eastAsia="en-US"/>
        </w:rPr>
        <w:t>ِ</w:t>
      </w:r>
      <w:r w:rsidR="00D569FA">
        <w:rPr>
          <w:rFonts w:ascii="Traditional Arabic" w:hAnsi="Traditional Arabic"/>
          <w:noProof w:val="0"/>
          <w:rtl/>
          <w:lang w:eastAsia="en-US"/>
        </w:rPr>
        <w:t>ر أن يلزمه خمسة آلاف</w:t>
      </w:r>
      <w:r w:rsidR="00D569FA">
        <w:rPr>
          <w:rFonts w:ascii="Traditional Arabic" w:hAnsi="Traditional Arabic" w:hint="cs"/>
          <w:noProof w:val="0"/>
          <w:rtl/>
          <w:lang w:eastAsia="en-US"/>
        </w:rPr>
        <w:t xml:space="preserve">، </w:t>
      </w:r>
      <w:r w:rsidR="00D569FA" w:rsidRPr="002E64B3">
        <w:rPr>
          <w:rFonts w:ascii="Traditional Arabic" w:hAnsi="Traditional Arabic"/>
          <w:noProof w:val="0"/>
          <w:rtl/>
          <w:lang w:eastAsia="en-US"/>
        </w:rPr>
        <w:t>والطرف الثا</w:t>
      </w:r>
      <w:r w:rsidR="00D569FA">
        <w:rPr>
          <w:rFonts w:ascii="Traditional Arabic" w:hAnsi="Traditional Arabic"/>
          <w:noProof w:val="0"/>
          <w:rtl/>
          <w:lang w:eastAsia="en-US"/>
        </w:rPr>
        <w:t>ني المرتهن يدعي أن له خمسة آلاف</w:t>
      </w:r>
      <w:r w:rsidR="00D569FA">
        <w:rPr>
          <w:rFonts w:ascii="Traditional Arabic" w:hAnsi="Traditional Arabic" w:hint="cs"/>
          <w:noProof w:val="0"/>
          <w:rtl/>
          <w:lang w:eastAsia="en-US"/>
        </w:rPr>
        <w:t>، وبالتطبيق</w:t>
      </w:r>
      <w:r w:rsidR="00D569FA">
        <w:rPr>
          <w:rFonts w:ascii="Traditional Arabic" w:hAnsi="Traditional Arabic"/>
          <w:noProof w:val="0"/>
          <w:rtl/>
          <w:lang w:eastAsia="en-US"/>
        </w:rPr>
        <w:t xml:space="preserve"> على ال</w:t>
      </w:r>
      <w:r w:rsidR="00D569FA">
        <w:rPr>
          <w:rFonts w:ascii="Traditional Arabic" w:hAnsi="Traditional Arabic" w:hint="cs"/>
          <w:noProof w:val="0"/>
          <w:rtl/>
          <w:lang w:eastAsia="en-US"/>
        </w:rPr>
        <w:t>قاعدة</w:t>
      </w:r>
      <w:r w:rsidR="00D569FA">
        <w:rPr>
          <w:rFonts w:ascii="Traditional Arabic" w:hAnsi="Traditional Arabic"/>
          <w:noProof w:val="0"/>
          <w:rtl/>
          <w:lang w:eastAsia="en-US"/>
        </w:rPr>
        <w:t>:</w:t>
      </w:r>
      <w:r w:rsidR="00D569FA">
        <w:rPr>
          <w:rFonts w:ascii="Traditional Arabic" w:hAnsi="Traditional Arabic" w:hint="cs"/>
          <w:noProof w:val="0"/>
          <w:rtl/>
          <w:lang w:eastAsia="en-US"/>
        </w:rPr>
        <w:t>"</w:t>
      </w:r>
      <w:r w:rsidR="00D569FA" w:rsidRPr="002E64B3">
        <w:rPr>
          <w:rFonts w:ascii="Traditional Arabic" w:hAnsi="Traditional Arabic"/>
          <w:noProof w:val="0"/>
          <w:rtl/>
          <w:lang w:eastAsia="en-US"/>
        </w:rPr>
        <w:t>البينة</w:t>
      </w:r>
      <w:r w:rsidR="00D569FA">
        <w:rPr>
          <w:rFonts w:ascii="Traditional Arabic" w:hAnsi="Traditional Arabic"/>
          <w:noProof w:val="0"/>
          <w:rtl/>
          <w:lang w:eastAsia="en-US"/>
        </w:rPr>
        <w:t xml:space="preserve"> على المدعي واليمين على من أنكر</w:t>
      </w:r>
      <w:r w:rsidR="00D569FA">
        <w:rPr>
          <w:rFonts w:ascii="Traditional Arabic" w:hAnsi="Traditional Arabic" w:hint="cs"/>
          <w:noProof w:val="0"/>
          <w:rtl/>
          <w:lang w:eastAsia="en-US"/>
        </w:rPr>
        <w:t>"</w:t>
      </w:r>
      <w:r w:rsidR="00D569FA">
        <w:rPr>
          <w:rFonts w:ascii="Traditional Arabic" w:hAnsi="Traditional Arabic"/>
          <w:noProof w:val="0"/>
          <w:rtl/>
          <w:lang w:eastAsia="en-US"/>
        </w:rPr>
        <w:t xml:space="preserve">، </w:t>
      </w:r>
      <w:r w:rsidR="00D569FA" w:rsidRPr="002E64B3">
        <w:rPr>
          <w:rFonts w:ascii="Traditional Arabic" w:hAnsi="Traditional Arabic"/>
          <w:noProof w:val="0"/>
          <w:rtl/>
          <w:lang w:eastAsia="en-US"/>
        </w:rPr>
        <w:t>نقول: القول</w:t>
      </w:r>
      <w:r w:rsidR="00D569FA">
        <w:rPr>
          <w:rFonts w:ascii="Traditional Arabic" w:hAnsi="Traditional Arabic" w:hint="cs"/>
          <w:noProof w:val="0"/>
          <w:rtl/>
          <w:lang w:eastAsia="en-US"/>
        </w:rPr>
        <w:t>ُ</w:t>
      </w:r>
      <w:r w:rsidR="00D569FA" w:rsidRPr="002E64B3">
        <w:rPr>
          <w:rFonts w:ascii="Traditional Arabic" w:hAnsi="Traditional Arabic"/>
          <w:noProof w:val="0"/>
          <w:rtl/>
          <w:lang w:eastAsia="en-US"/>
        </w:rPr>
        <w:t xml:space="preserve"> قول</w:t>
      </w:r>
      <w:r w:rsidR="00D569FA">
        <w:rPr>
          <w:rFonts w:ascii="Traditional Arabic" w:hAnsi="Traditional Arabic" w:hint="cs"/>
          <w:noProof w:val="0"/>
          <w:rtl/>
          <w:lang w:eastAsia="en-US"/>
        </w:rPr>
        <w:t>ُ</w:t>
      </w:r>
      <w:r w:rsidR="00D569FA" w:rsidRPr="002E64B3">
        <w:rPr>
          <w:rFonts w:ascii="Traditional Arabic" w:hAnsi="Traditional Arabic"/>
          <w:noProof w:val="0"/>
          <w:rtl/>
          <w:lang w:eastAsia="en-US"/>
        </w:rPr>
        <w:t xml:space="preserve"> الراهن بيمينه، وأما المرتهن فلا نقبل قوله إلا بالبينة</w:t>
      </w:r>
      <w:r w:rsidR="00D569FA" w:rsidRPr="00C821A1">
        <w:rPr>
          <w:rStyle w:val="af1"/>
          <w:szCs w:val="32"/>
          <w:rtl/>
        </w:rPr>
        <w:t>(</w:t>
      </w:r>
      <w:r w:rsidR="00D569FA" w:rsidRPr="00C821A1">
        <w:rPr>
          <w:rStyle w:val="af1"/>
          <w:szCs w:val="32"/>
          <w:rtl/>
        </w:rPr>
        <w:footnoteReference w:id="1745"/>
      </w:r>
      <w:r w:rsidR="00D569FA" w:rsidRPr="00C821A1">
        <w:rPr>
          <w:rStyle w:val="af1"/>
          <w:szCs w:val="32"/>
          <w:rtl/>
        </w:rPr>
        <w:t>)</w:t>
      </w:r>
      <w:r w:rsidR="00D569FA" w:rsidRPr="002E64B3">
        <w:rPr>
          <w:rFonts w:ascii="Traditional Arabic" w:hAnsi="Traditional Arabic"/>
          <w:noProof w:val="0"/>
          <w:rtl/>
          <w:lang w:eastAsia="en-US"/>
        </w:rPr>
        <w:t>.</w:t>
      </w:r>
    </w:p>
    <w:p w:rsidR="00D569FA" w:rsidRPr="00FC35C0" w:rsidRDefault="00D569FA" w:rsidP="000A76C7">
      <w:pPr>
        <w:pStyle w:val="afc"/>
        <w:widowControl/>
        <w:numPr>
          <w:ilvl w:val="0"/>
          <w:numId w:val="237"/>
        </w:numPr>
        <w:autoSpaceDE w:val="0"/>
        <w:autoSpaceDN w:val="0"/>
        <w:adjustRightInd w:val="0"/>
        <w:rPr>
          <w:rFonts w:ascii="Traditional Arabic" w:hAnsi="Traditional Arabic"/>
          <w:noProof w:val="0"/>
          <w:color w:val="auto"/>
          <w:lang w:eastAsia="en-US"/>
        </w:rPr>
      </w:pPr>
      <w:r w:rsidRPr="00A147FB">
        <w:rPr>
          <w:rFonts w:ascii="Traditional Arabic" w:hAnsi="Traditional Arabic" w:hint="cs"/>
          <w:noProof w:val="0"/>
          <w:rtl/>
          <w:lang w:eastAsia="en-US"/>
        </w:rPr>
        <w:t xml:space="preserve">إذا </w:t>
      </w:r>
      <w:r w:rsidRPr="00A147FB">
        <w:rPr>
          <w:rFonts w:ascii="Traditional Arabic" w:hAnsi="Traditional Arabic"/>
          <w:noProof w:val="0"/>
          <w:rtl/>
          <w:lang w:eastAsia="en-US"/>
        </w:rPr>
        <w:t xml:space="preserve">اختلف </w:t>
      </w:r>
      <w:r w:rsidRPr="00A147FB">
        <w:rPr>
          <w:rFonts w:ascii="Traditional Arabic" w:hAnsi="Traditional Arabic" w:hint="cs"/>
          <w:noProof w:val="0"/>
          <w:rtl/>
          <w:lang w:eastAsia="en-US"/>
        </w:rPr>
        <w:t xml:space="preserve">رب المال والعامل </w:t>
      </w:r>
      <w:r w:rsidRPr="00A147FB">
        <w:rPr>
          <w:rFonts w:ascii="Traditional Arabic" w:hAnsi="Traditional Arabic"/>
          <w:noProof w:val="0"/>
          <w:rtl/>
          <w:lang w:eastAsia="en-US"/>
        </w:rPr>
        <w:t>في ق</w:t>
      </w:r>
      <w:r>
        <w:rPr>
          <w:rFonts w:ascii="Traditional Arabic" w:hAnsi="Traditional Arabic" w:hint="cs"/>
          <w:noProof w:val="0"/>
          <w:rtl/>
          <w:lang w:eastAsia="en-US"/>
        </w:rPr>
        <w:t>َ</w:t>
      </w:r>
      <w:r w:rsidRPr="00A147FB">
        <w:rPr>
          <w:rFonts w:ascii="Traditional Arabic" w:hAnsi="Traditional Arabic"/>
          <w:noProof w:val="0"/>
          <w:rtl/>
          <w:lang w:eastAsia="en-US"/>
        </w:rPr>
        <w:t>د</w:t>
      </w:r>
      <w:r>
        <w:rPr>
          <w:rFonts w:ascii="Traditional Arabic" w:hAnsi="Traditional Arabic" w:hint="cs"/>
          <w:noProof w:val="0"/>
          <w:rtl/>
          <w:lang w:eastAsia="en-US"/>
        </w:rPr>
        <w:t>ْ</w:t>
      </w:r>
      <w:r w:rsidRPr="00A147FB">
        <w:rPr>
          <w:rFonts w:ascii="Traditional Arabic" w:hAnsi="Traditional Arabic"/>
          <w:noProof w:val="0"/>
          <w:rtl/>
          <w:lang w:eastAsia="en-US"/>
        </w:rPr>
        <w:t>ر</w:t>
      </w:r>
      <w:r>
        <w:rPr>
          <w:rFonts w:ascii="Traditional Arabic" w:hAnsi="Traditional Arabic" w:hint="cs"/>
          <w:noProof w:val="0"/>
          <w:rtl/>
          <w:lang w:eastAsia="en-US"/>
        </w:rPr>
        <w:t>ِ</w:t>
      </w:r>
      <w:r w:rsidRPr="00A147FB">
        <w:rPr>
          <w:rFonts w:ascii="Traditional Arabic" w:hAnsi="Traditional Arabic"/>
          <w:noProof w:val="0"/>
          <w:rtl/>
          <w:lang w:eastAsia="en-US"/>
        </w:rPr>
        <w:t xml:space="preserve"> المشروط</w:t>
      </w:r>
      <w:r w:rsidRPr="00A147FB">
        <w:rPr>
          <w:rFonts w:ascii="Traditional Arabic" w:hAnsi="Traditional Arabic" w:hint="cs"/>
          <w:noProof w:val="0"/>
          <w:rtl/>
          <w:lang w:eastAsia="en-US"/>
        </w:rPr>
        <w:t xml:space="preserve"> في </w:t>
      </w:r>
      <w:r>
        <w:rPr>
          <w:rFonts w:ascii="Traditional Arabic" w:hAnsi="Traditional Arabic" w:hint="cs"/>
          <w:noProof w:val="0"/>
          <w:rtl/>
          <w:lang w:eastAsia="en-US"/>
        </w:rPr>
        <w:t xml:space="preserve">شركة </w:t>
      </w:r>
      <w:r w:rsidRPr="00A147FB">
        <w:rPr>
          <w:rFonts w:ascii="Traditional Arabic" w:hAnsi="Traditional Arabic" w:hint="cs"/>
          <w:noProof w:val="0"/>
          <w:rtl/>
          <w:lang w:eastAsia="en-US"/>
        </w:rPr>
        <w:t>المضاربة</w:t>
      </w:r>
      <w:r w:rsidRPr="00C821A1">
        <w:rPr>
          <w:rStyle w:val="af1"/>
          <w:szCs w:val="32"/>
          <w:rtl/>
        </w:rPr>
        <w:t>(</w:t>
      </w:r>
      <w:r w:rsidRPr="00C821A1">
        <w:rPr>
          <w:rStyle w:val="af1"/>
          <w:szCs w:val="32"/>
          <w:rtl/>
        </w:rPr>
        <w:footnoteReference w:id="1746"/>
      </w:r>
      <w:r w:rsidRPr="00C821A1">
        <w:rPr>
          <w:rStyle w:val="af1"/>
          <w:szCs w:val="32"/>
          <w:rtl/>
        </w:rPr>
        <w:t>)</w:t>
      </w:r>
      <w:r>
        <w:rPr>
          <w:rFonts w:ascii="Traditional Arabic" w:hAnsi="Traditional Arabic" w:hint="cs"/>
          <w:noProof w:val="0"/>
          <w:rtl/>
          <w:lang w:eastAsia="en-US"/>
        </w:rPr>
        <w:t>،</w:t>
      </w:r>
      <w:r>
        <w:rPr>
          <w:rFonts w:ascii="Traditional Arabic" w:hAnsi="Traditional Arabic"/>
          <w:noProof w:val="0"/>
          <w:rtl/>
          <w:lang w:eastAsia="en-US"/>
        </w:rPr>
        <w:t xml:space="preserve"> فالقول قول رب المال، </w:t>
      </w:r>
      <w:r>
        <w:rPr>
          <w:rFonts w:ascii="Traditional Arabic" w:hAnsi="Traditional Arabic" w:hint="cs"/>
          <w:noProof w:val="0"/>
          <w:rtl/>
          <w:lang w:eastAsia="en-US"/>
        </w:rPr>
        <w:t>فلو</w:t>
      </w:r>
      <w:r w:rsidRPr="00A147FB">
        <w:rPr>
          <w:rFonts w:ascii="Traditional Arabic" w:hAnsi="Traditional Arabic"/>
          <w:noProof w:val="0"/>
          <w:rtl/>
          <w:lang w:eastAsia="en-US"/>
        </w:rPr>
        <w:t xml:space="preserve"> قال العامل: شر</w:t>
      </w:r>
      <w:r>
        <w:rPr>
          <w:rFonts w:ascii="Traditional Arabic" w:hAnsi="Traditional Arabic" w:hint="cs"/>
          <w:noProof w:val="0"/>
          <w:rtl/>
          <w:lang w:eastAsia="en-US"/>
        </w:rPr>
        <w:t>َ</w:t>
      </w:r>
      <w:r w:rsidRPr="00A147FB">
        <w:rPr>
          <w:rFonts w:ascii="Traditional Arabic" w:hAnsi="Traditional Arabic"/>
          <w:noProof w:val="0"/>
          <w:rtl/>
          <w:lang w:eastAsia="en-US"/>
        </w:rPr>
        <w:t>طنا لك ث</w:t>
      </w:r>
      <w:r>
        <w:rPr>
          <w:rFonts w:ascii="Traditional Arabic" w:hAnsi="Traditional Arabic" w:hint="cs"/>
          <w:noProof w:val="0"/>
          <w:rtl/>
          <w:lang w:eastAsia="en-US"/>
        </w:rPr>
        <w:t>ُ</w:t>
      </w:r>
      <w:r w:rsidRPr="00A147FB">
        <w:rPr>
          <w:rFonts w:ascii="Traditional Arabic" w:hAnsi="Traditional Arabic"/>
          <w:noProof w:val="0"/>
          <w:rtl/>
          <w:lang w:eastAsia="en-US"/>
        </w:rPr>
        <w:t>ل</w:t>
      </w:r>
      <w:r>
        <w:rPr>
          <w:rFonts w:ascii="Traditional Arabic" w:hAnsi="Traditional Arabic" w:hint="cs"/>
          <w:noProof w:val="0"/>
          <w:rtl/>
          <w:lang w:eastAsia="en-US"/>
        </w:rPr>
        <w:t>ُ</w:t>
      </w:r>
      <w:r w:rsidRPr="00A147FB">
        <w:rPr>
          <w:rFonts w:ascii="Traditional Arabic" w:hAnsi="Traditional Arabic"/>
          <w:noProof w:val="0"/>
          <w:rtl/>
          <w:lang w:eastAsia="en-US"/>
        </w:rPr>
        <w:t>ث الربح، وقال صاحب المال: بل</w:t>
      </w:r>
      <w:r w:rsidR="00EC5622">
        <w:rPr>
          <w:rFonts w:ascii="Traditional Arabic" w:hAnsi="Traditional Arabic" w:hint="cs"/>
          <w:noProof w:val="0"/>
          <w:rtl/>
          <w:lang w:eastAsia="en-US"/>
        </w:rPr>
        <w:t xml:space="preserve"> </w:t>
      </w:r>
      <w:r>
        <w:rPr>
          <w:rFonts w:ascii="Traditional Arabic" w:hAnsi="Traditional Arabic"/>
          <w:noProof w:val="0"/>
          <w:rtl/>
          <w:lang w:eastAsia="en-US"/>
        </w:rPr>
        <w:t xml:space="preserve">نصف </w:t>
      </w:r>
      <w:r>
        <w:rPr>
          <w:rFonts w:ascii="Traditional Arabic" w:hAnsi="Traditional Arabic"/>
          <w:noProof w:val="0"/>
          <w:rtl/>
          <w:lang w:eastAsia="en-US"/>
        </w:rPr>
        <w:lastRenderedPageBreak/>
        <w:t>الربح</w:t>
      </w:r>
      <w:r>
        <w:rPr>
          <w:rFonts w:ascii="Traditional Arabic" w:hAnsi="Traditional Arabic" w:hint="cs"/>
          <w:noProof w:val="0"/>
          <w:rtl/>
          <w:lang w:eastAsia="en-US"/>
        </w:rPr>
        <w:t xml:space="preserve">، فالقول قول رب المال؛ </w:t>
      </w:r>
      <w:r w:rsidRPr="00A147FB">
        <w:rPr>
          <w:rFonts w:ascii="Traditional Arabic" w:hAnsi="Traditional Arabic"/>
          <w:noProof w:val="0"/>
          <w:rtl/>
          <w:lang w:eastAsia="en-US"/>
        </w:rPr>
        <w:t>لأن الربح له، لكن اختلفا في قدره</w:t>
      </w:r>
      <w:r>
        <w:rPr>
          <w:rFonts w:ascii="Traditional Arabic" w:hAnsi="Traditional Arabic" w:hint="cs"/>
          <w:noProof w:val="0"/>
          <w:rtl/>
          <w:lang w:eastAsia="en-US"/>
        </w:rPr>
        <w:t>،</w:t>
      </w:r>
      <w:r w:rsidRPr="00A147FB">
        <w:rPr>
          <w:rFonts w:ascii="Traditional Arabic" w:hAnsi="Traditional Arabic"/>
          <w:noProof w:val="0"/>
          <w:rtl/>
          <w:lang w:eastAsia="en-US"/>
        </w:rPr>
        <w:t xml:space="preserve"> فالربح تابع للأصل، وإذا ادعى العامل أنه النصف، قلنا: اتفقتما على الثلث، فأنت أيها العامل اد</w:t>
      </w:r>
      <w:r>
        <w:rPr>
          <w:rFonts w:ascii="Traditional Arabic" w:hAnsi="Traditional Arabic" w:hint="cs"/>
          <w:noProof w:val="0"/>
          <w:rtl/>
          <w:lang w:eastAsia="en-US"/>
        </w:rPr>
        <w:t>َّ</w:t>
      </w:r>
      <w:r w:rsidRPr="00A147FB">
        <w:rPr>
          <w:rFonts w:ascii="Traditional Arabic" w:hAnsi="Traditional Arabic"/>
          <w:noProof w:val="0"/>
          <w:rtl/>
          <w:lang w:eastAsia="en-US"/>
        </w:rPr>
        <w:t>عيت الزائد وهو السد</w:t>
      </w:r>
      <w:r>
        <w:rPr>
          <w:rFonts w:ascii="Traditional Arabic" w:hAnsi="Traditional Arabic" w:hint="cs"/>
          <w:noProof w:val="0"/>
          <w:rtl/>
          <w:lang w:eastAsia="en-US"/>
        </w:rPr>
        <w:t>ُ</w:t>
      </w:r>
      <w:r w:rsidRPr="00A147FB">
        <w:rPr>
          <w:rFonts w:ascii="Traditional Arabic" w:hAnsi="Traditional Arabic"/>
          <w:noProof w:val="0"/>
          <w:rtl/>
          <w:lang w:eastAsia="en-US"/>
        </w:rPr>
        <w:t>س</w:t>
      </w:r>
      <w:r>
        <w:rPr>
          <w:rFonts w:ascii="Traditional Arabic" w:hAnsi="Traditional Arabic" w:hint="cs"/>
          <w:noProof w:val="0"/>
          <w:rtl/>
          <w:lang w:eastAsia="en-US"/>
        </w:rPr>
        <w:t>،</w:t>
      </w:r>
      <w:r w:rsidR="00EC5622">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فعليك البينة؛ لأن </w:t>
      </w:r>
      <w:r w:rsidRPr="00A147FB">
        <w:rPr>
          <w:rFonts w:ascii="Traditional Arabic" w:hAnsi="Traditional Arabic"/>
          <w:noProof w:val="0"/>
          <w:rtl/>
          <w:lang w:eastAsia="en-US"/>
        </w:rPr>
        <w:t>البينة على المدعي</w:t>
      </w:r>
      <w:r w:rsidRPr="00C821A1">
        <w:rPr>
          <w:rStyle w:val="af1"/>
          <w:szCs w:val="32"/>
          <w:rtl/>
        </w:rPr>
        <w:t>(</w:t>
      </w:r>
      <w:r w:rsidRPr="00C821A1">
        <w:rPr>
          <w:rStyle w:val="af1"/>
          <w:szCs w:val="32"/>
          <w:rtl/>
        </w:rPr>
        <w:footnoteReference w:id="1747"/>
      </w:r>
      <w:r w:rsidRPr="00C821A1">
        <w:rPr>
          <w:rStyle w:val="af1"/>
          <w:szCs w:val="32"/>
          <w:rtl/>
        </w:rPr>
        <w:t>)</w:t>
      </w:r>
      <w:r w:rsidRPr="00A147FB">
        <w:rPr>
          <w:rFonts w:ascii="Traditional Arabic" w:hAnsi="Traditional Arabic"/>
          <w:noProof w:val="0"/>
          <w:rtl/>
          <w:lang w:eastAsia="en-US"/>
        </w:rPr>
        <w:t>.</w:t>
      </w:r>
    </w:p>
    <w:p w:rsidR="00D569FA" w:rsidRDefault="00D569FA" w:rsidP="00597C20">
      <w:pPr>
        <w:pStyle w:val="53"/>
        <w:rPr>
          <w:rtl/>
        </w:rPr>
      </w:pPr>
      <w:r>
        <w:rPr>
          <w:rFonts w:hint="cs"/>
          <w:rtl/>
        </w:rPr>
        <w:t>وجه اندراج الفرع تحت القاعدة:</w:t>
      </w:r>
    </w:p>
    <w:p w:rsidR="00D569FA" w:rsidRPr="006E5B27" w:rsidRDefault="00EC5622" w:rsidP="00597C20">
      <w:pPr>
        <w:ind w:firstLine="720"/>
        <w:rPr>
          <w:rFonts w:ascii="Traditional Arabic" w:hAnsi="Traditional Arabic"/>
          <w:noProof w:val="0"/>
          <w:rtl/>
          <w:lang w:eastAsia="en-US"/>
        </w:rPr>
      </w:pPr>
      <w:r>
        <w:rPr>
          <w:rFonts w:ascii="Traditional Arabic" w:hAnsi="Traditional Arabic" w:hint="cs"/>
          <w:noProof w:val="0"/>
          <w:rtl/>
          <w:lang w:eastAsia="en-US"/>
        </w:rPr>
        <w:t>لما اتفق</w:t>
      </w:r>
      <w:r w:rsidR="00D569FA" w:rsidRPr="006E5B27">
        <w:rPr>
          <w:rFonts w:ascii="Traditional Arabic" w:hAnsi="Traditional Arabic" w:hint="cs"/>
          <w:noProof w:val="0"/>
          <w:rtl/>
          <w:lang w:eastAsia="en-US"/>
        </w:rPr>
        <w:t xml:space="preserve"> العامل ورب المال على الثلث، صار العامل بادعائه أكثر من الثلث مدعيا تلزمه البينة على الزائد؛ لأن البينة على المدعي.</w:t>
      </w:r>
    </w:p>
    <w:p w:rsidR="00D569FA" w:rsidRPr="00604A18" w:rsidRDefault="00D569FA" w:rsidP="000A76C7">
      <w:pPr>
        <w:pStyle w:val="afc"/>
        <w:widowControl/>
        <w:numPr>
          <w:ilvl w:val="0"/>
          <w:numId w:val="237"/>
        </w:numPr>
        <w:autoSpaceDE w:val="0"/>
        <w:autoSpaceDN w:val="0"/>
        <w:adjustRightInd w:val="0"/>
        <w:rPr>
          <w:rFonts w:ascii="Traditional Arabic" w:hAnsi="Traditional Arabic"/>
          <w:noProof w:val="0"/>
          <w:rtl/>
          <w:lang w:eastAsia="en-US"/>
        </w:rPr>
      </w:pPr>
      <w:r>
        <w:rPr>
          <w:rFonts w:ascii="Traditional Arabic" w:hAnsi="Traditional Arabic" w:hint="cs"/>
          <w:noProof w:val="0"/>
          <w:rtl/>
          <w:lang w:eastAsia="en-US"/>
        </w:rPr>
        <w:t>ا</w:t>
      </w:r>
      <w:r w:rsidRPr="00ED0A0C">
        <w:rPr>
          <w:rFonts w:ascii="Traditional Arabic" w:hAnsi="Traditional Arabic"/>
          <w:noProof w:val="0"/>
          <w:rtl/>
          <w:lang w:eastAsia="en-US"/>
        </w:rPr>
        <w:t>لقو</w:t>
      </w:r>
      <w:r>
        <w:rPr>
          <w:rFonts w:ascii="Traditional Arabic" w:hAnsi="Traditional Arabic"/>
          <w:noProof w:val="0"/>
          <w:rtl/>
          <w:lang w:eastAsia="en-US"/>
        </w:rPr>
        <w:t xml:space="preserve">ل في قيمة </w:t>
      </w:r>
      <w:r>
        <w:rPr>
          <w:rFonts w:ascii="Traditional Arabic" w:hAnsi="Traditional Arabic" w:hint="cs"/>
          <w:noProof w:val="0"/>
          <w:rtl/>
          <w:lang w:eastAsia="en-US"/>
        </w:rPr>
        <w:t xml:space="preserve">العين المغصوبة إذا </w:t>
      </w:r>
      <w:r>
        <w:rPr>
          <w:rFonts w:ascii="Traditional Arabic" w:hAnsi="Traditional Arabic"/>
          <w:noProof w:val="0"/>
          <w:rtl/>
          <w:lang w:eastAsia="en-US"/>
        </w:rPr>
        <w:t>ت</w:t>
      </w:r>
      <w:r>
        <w:rPr>
          <w:rFonts w:ascii="Traditional Arabic" w:hAnsi="Traditional Arabic" w:hint="cs"/>
          <w:noProof w:val="0"/>
          <w:rtl/>
          <w:lang w:eastAsia="en-US"/>
        </w:rPr>
        <w:t>َ</w:t>
      </w:r>
      <w:r>
        <w:rPr>
          <w:rFonts w:ascii="Traditional Arabic" w:hAnsi="Traditional Arabic"/>
          <w:noProof w:val="0"/>
          <w:rtl/>
          <w:lang w:eastAsia="en-US"/>
        </w:rPr>
        <w:t>ل</w:t>
      </w:r>
      <w:r>
        <w:rPr>
          <w:rFonts w:ascii="Traditional Arabic" w:hAnsi="Traditional Arabic" w:hint="cs"/>
          <w:noProof w:val="0"/>
          <w:rtl/>
          <w:lang w:eastAsia="en-US"/>
        </w:rPr>
        <w:t>ِ</w:t>
      </w:r>
      <w:r>
        <w:rPr>
          <w:rFonts w:ascii="Traditional Arabic" w:hAnsi="Traditional Arabic"/>
          <w:noProof w:val="0"/>
          <w:rtl/>
          <w:lang w:eastAsia="en-US"/>
        </w:rPr>
        <w:t>ف</w:t>
      </w:r>
      <w:r>
        <w:rPr>
          <w:rFonts w:ascii="Traditional Arabic" w:hAnsi="Traditional Arabic" w:hint="cs"/>
          <w:noProof w:val="0"/>
          <w:rtl/>
          <w:lang w:eastAsia="en-US"/>
        </w:rPr>
        <w:t>ت</w:t>
      </w:r>
      <w:r>
        <w:rPr>
          <w:rFonts w:ascii="Traditional Arabic" w:hAnsi="Traditional Arabic"/>
          <w:noProof w:val="0"/>
          <w:rtl/>
          <w:lang w:eastAsia="en-US"/>
        </w:rPr>
        <w:t xml:space="preserve"> قو</w:t>
      </w:r>
      <w:r>
        <w:rPr>
          <w:rFonts w:ascii="Traditional Arabic" w:hAnsi="Traditional Arabic" w:hint="cs"/>
          <w:noProof w:val="0"/>
          <w:rtl/>
          <w:lang w:eastAsia="en-US"/>
        </w:rPr>
        <w:t>لُ</w:t>
      </w:r>
      <w:r>
        <w:rPr>
          <w:rFonts w:ascii="Traditional Arabic" w:hAnsi="Traditional Arabic"/>
          <w:noProof w:val="0"/>
          <w:rtl/>
          <w:lang w:eastAsia="en-US"/>
        </w:rPr>
        <w:t xml:space="preserve"> الغاصب، فلو غصب شيئا فتلف</w:t>
      </w:r>
      <w:r w:rsidR="006E5B27">
        <w:rPr>
          <w:rFonts w:ascii="Traditional Arabic" w:hAnsi="Traditional Arabic" w:hint="cs"/>
          <w:noProof w:val="0"/>
          <w:rtl/>
          <w:lang w:eastAsia="en-US"/>
        </w:rPr>
        <w:t xml:space="preserve"> -</w:t>
      </w:r>
      <w:r>
        <w:rPr>
          <w:rFonts w:ascii="Traditional Arabic" w:hAnsi="Traditional Arabic"/>
          <w:noProof w:val="0"/>
          <w:rtl/>
          <w:lang w:eastAsia="en-US"/>
        </w:rPr>
        <w:t>وكان متقو</w:t>
      </w:r>
      <w:r>
        <w:rPr>
          <w:rFonts w:ascii="Traditional Arabic" w:hAnsi="Traditional Arabic" w:hint="cs"/>
          <w:noProof w:val="0"/>
          <w:rtl/>
          <w:lang w:eastAsia="en-US"/>
        </w:rPr>
        <w:t>َّ</w:t>
      </w:r>
      <w:r>
        <w:rPr>
          <w:rFonts w:ascii="Traditional Arabic" w:hAnsi="Traditional Arabic"/>
          <w:noProof w:val="0"/>
          <w:rtl/>
          <w:lang w:eastAsia="en-US"/>
        </w:rPr>
        <w:t>ما</w:t>
      </w:r>
      <w:r>
        <w:rPr>
          <w:rFonts w:ascii="Traditional Arabic" w:hAnsi="Traditional Arabic" w:hint="cs"/>
          <w:noProof w:val="0"/>
          <w:rtl/>
          <w:lang w:eastAsia="en-US"/>
        </w:rPr>
        <w:t>ً</w:t>
      </w:r>
      <w:r w:rsidR="006E5B27">
        <w:rPr>
          <w:rFonts w:ascii="Traditional Arabic" w:hAnsi="Traditional Arabic" w:hint="cs"/>
          <w:noProof w:val="0"/>
          <w:rtl/>
          <w:lang w:eastAsia="en-US"/>
        </w:rPr>
        <w:t xml:space="preserve">- </w:t>
      </w:r>
      <w:r w:rsidRPr="00ED0A0C">
        <w:rPr>
          <w:rFonts w:ascii="Traditional Arabic" w:hAnsi="Traditional Arabic"/>
          <w:noProof w:val="0"/>
          <w:rtl/>
          <w:lang w:eastAsia="en-US"/>
        </w:rPr>
        <w:t>فقال المالك: قيمته ألف، وقال الغاصب: قيمته</w:t>
      </w:r>
      <w:r>
        <w:rPr>
          <w:rFonts w:ascii="Traditional Arabic" w:hAnsi="Traditional Arabic"/>
          <w:noProof w:val="0"/>
          <w:rtl/>
          <w:lang w:eastAsia="en-US"/>
        </w:rPr>
        <w:t xml:space="preserve"> خمسمائة، فالقول قول الغاص</w:t>
      </w:r>
      <w:r>
        <w:rPr>
          <w:rFonts w:ascii="Traditional Arabic" w:hAnsi="Traditional Arabic" w:hint="cs"/>
          <w:noProof w:val="0"/>
          <w:rtl/>
          <w:lang w:eastAsia="en-US"/>
        </w:rPr>
        <w:t>ب</w:t>
      </w:r>
      <w:r w:rsidRPr="00C821A1">
        <w:rPr>
          <w:rStyle w:val="af1"/>
          <w:szCs w:val="32"/>
          <w:rtl/>
        </w:rPr>
        <w:t>(</w:t>
      </w:r>
      <w:r w:rsidRPr="00C821A1">
        <w:rPr>
          <w:rStyle w:val="af1"/>
          <w:szCs w:val="32"/>
          <w:rtl/>
        </w:rPr>
        <w:footnoteReference w:id="1748"/>
      </w:r>
      <w:r w:rsidRPr="00C821A1">
        <w:rPr>
          <w:rStyle w:val="af1"/>
          <w:szCs w:val="32"/>
          <w:rtl/>
        </w:rPr>
        <w:t>)</w:t>
      </w:r>
      <w:r>
        <w:rPr>
          <w:rFonts w:ascii="Traditional Arabic" w:hAnsi="Traditional Arabic" w:hint="cs"/>
          <w:noProof w:val="0"/>
          <w:rtl/>
          <w:lang w:eastAsia="en-US"/>
        </w:rPr>
        <w:t>.</w:t>
      </w:r>
    </w:p>
    <w:p w:rsidR="00D569FA" w:rsidRPr="00ED0A0C" w:rsidRDefault="00D569FA" w:rsidP="00597C20">
      <w:pPr>
        <w:pStyle w:val="53"/>
      </w:pPr>
      <w:r>
        <w:rPr>
          <w:rFonts w:hint="cs"/>
          <w:rtl/>
        </w:rPr>
        <w:t>وجه اندراج الفرع تحت القاعدة:</w:t>
      </w:r>
    </w:p>
    <w:p w:rsidR="00D569FA" w:rsidRPr="006E5B27" w:rsidRDefault="00D569FA" w:rsidP="00597C20">
      <w:pPr>
        <w:widowControl/>
        <w:autoSpaceDE w:val="0"/>
        <w:autoSpaceDN w:val="0"/>
        <w:adjustRightInd w:val="0"/>
        <w:ind w:firstLine="720"/>
        <w:rPr>
          <w:rFonts w:ascii="Traditional Arabic" w:hAnsi="Traditional Arabic"/>
          <w:noProof w:val="0"/>
          <w:rtl/>
          <w:lang w:eastAsia="en-US"/>
        </w:rPr>
      </w:pPr>
      <w:r w:rsidRPr="006E5B27">
        <w:rPr>
          <w:rFonts w:ascii="Traditional Arabic" w:hAnsi="Traditional Arabic"/>
          <w:noProof w:val="0"/>
          <w:rtl/>
          <w:lang w:eastAsia="en-US"/>
        </w:rPr>
        <w:t>المالك والغاصب اتفق</w:t>
      </w:r>
      <w:r w:rsidRPr="006E5B27">
        <w:rPr>
          <w:rFonts w:ascii="Traditional Arabic" w:hAnsi="Traditional Arabic" w:hint="cs"/>
          <w:noProof w:val="0"/>
          <w:rtl/>
          <w:lang w:eastAsia="en-US"/>
        </w:rPr>
        <w:t>ا</w:t>
      </w:r>
      <w:r w:rsidRPr="006E5B27">
        <w:rPr>
          <w:rFonts w:ascii="Traditional Arabic" w:hAnsi="Traditional Arabic"/>
          <w:noProof w:val="0"/>
          <w:rtl/>
          <w:lang w:eastAsia="en-US"/>
        </w:rPr>
        <w:t xml:space="preserve"> على أن القيمة خمسمائة</w:t>
      </w:r>
      <w:r w:rsidRPr="006E5B27">
        <w:rPr>
          <w:rFonts w:ascii="Traditional Arabic" w:hAnsi="Traditional Arabic" w:hint="cs"/>
          <w:noProof w:val="0"/>
          <w:rtl/>
          <w:lang w:eastAsia="en-US"/>
        </w:rPr>
        <w:t xml:space="preserve">، </w:t>
      </w:r>
      <w:r w:rsidRPr="006E5B27">
        <w:rPr>
          <w:rFonts w:ascii="Traditional Arabic" w:hAnsi="Traditional Arabic"/>
          <w:noProof w:val="0"/>
          <w:rtl/>
          <w:lang w:eastAsia="en-US"/>
        </w:rPr>
        <w:t>وادعى المالك الزيادة، فيكون المالك مد</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عيا</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w:t>
      </w:r>
      <w:r w:rsidRPr="006E5B27">
        <w:rPr>
          <w:rFonts w:ascii="Traditional Arabic" w:hAnsi="Traditional Arabic" w:hint="cs"/>
          <w:noProof w:val="0"/>
          <w:rtl/>
          <w:lang w:eastAsia="en-US"/>
        </w:rPr>
        <w:t xml:space="preserve">وتلزمه البينة على الزيادة؛ لأن </w:t>
      </w:r>
      <w:r w:rsidRPr="006E5B27">
        <w:rPr>
          <w:rFonts w:ascii="Traditional Arabic" w:hAnsi="Traditional Arabic"/>
          <w:noProof w:val="0"/>
          <w:rtl/>
          <w:lang w:eastAsia="en-US"/>
        </w:rPr>
        <w:t>البينة على المدعي</w:t>
      </w:r>
      <w:r w:rsidRPr="006E5B27">
        <w:rPr>
          <w:rFonts w:ascii="Traditional Arabic" w:hAnsi="Traditional Arabic" w:hint="cs"/>
          <w:noProof w:val="0"/>
          <w:rtl/>
          <w:lang w:eastAsia="en-US"/>
        </w:rPr>
        <w:t>، أما الغاصب فلا يلزمه إلا اليمين؛ لأنه ينكر الزيادة،</w:t>
      </w:r>
      <w:r w:rsidRPr="006E5B27">
        <w:rPr>
          <w:rFonts w:ascii="Traditional Arabic" w:hAnsi="Traditional Arabic"/>
          <w:noProof w:val="0"/>
          <w:rtl/>
          <w:lang w:eastAsia="en-US"/>
        </w:rPr>
        <w:t xml:space="preserve"> واليمين على من أن</w:t>
      </w:r>
      <w:r w:rsidRPr="006E5B27">
        <w:rPr>
          <w:rFonts w:ascii="Traditional Arabic" w:hAnsi="Traditional Arabic" w:hint="cs"/>
          <w:noProof w:val="0"/>
          <w:rtl/>
          <w:lang w:eastAsia="en-US"/>
        </w:rPr>
        <w:t>كر</w:t>
      </w:r>
      <w:r w:rsidRPr="00C821A1">
        <w:rPr>
          <w:rStyle w:val="af1"/>
          <w:szCs w:val="32"/>
          <w:rtl/>
        </w:rPr>
        <w:t>(</w:t>
      </w:r>
      <w:r w:rsidRPr="00C821A1">
        <w:rPr>
          <w:rStyle w:val="af1"/>
          <w:szCs w:val="32"/>
          <w:rtl/>
        </w:rPr>
        <w:footnoteReference w:id="1749"/>
      </w:r>
      <w:r w:rsidRPr="00C821A1">
        <w:rPr>
          <w:rStyle w:val="af1"/>
          <w:szCs w:val="32"/>
          <w:rtl/>
        </w:rPr>
        <w:t>)</w:t>
      </w:r>
      <w:r w:rsidRPr="006E5B27">
        <w:rPr>
          <w:rFonts w:ascii="Traditional Arabic" w:hAnsi="Traditional Arabic" w:hint="cs"/>
          <w:noProof w:val="0"/>
          <w:rtl/>
          <w:lang w:eastAsia="en-US"/>
        </w:rPr>
        <w:t>.</w:t>
      </w:r>
    </w:p>
    <w:p w:rsidR="00D569FA" w:rsidRPr="00AE24BD" w:rsidRDefault="00184ADA" w:rsidP="00A8347C">
      <w:pPr>
        <w:pStyle w:val="aff3"/>
        <w:rPr>
          <w:rtl/>
        </w:rPr>
      </w:pPr>
      <w:bookmarkStart w:id="358" w:name="_Toc334046562"/>
      <w:r>
        <w:rPr>
          <w:rFonts w:hint="cs"/>
          <w:rtl/>
        </w:rPr>
        <w:t xml:space="preserve">                                          المطلب</w:t>
      </w:r>
      <w:r w:rsidR="00EC5622">
        <w:rPr>
          <w:rFonts w:hint="cs"/>
          <w:rtl/>
        </w:rPr>
        <w:t xml:space="preserve"> </w:t>
      </w:r>
      <w:r w:rsidR="00D569FA" w:rsidRPr="0002027F">
        <w:rPr>
          <w:rFonts w:hint="cs"/>
          <w:rtl/>
        </w:rPr>
        <w:t>الخامس</w:t>
      </w:r>
      <w:r w:rsidR="00D569FA">
        <w:rPr>
          <w:rFonts w:hint="eastAsia"/>
          <w:rtl/>
        </w:rPr>
        <w:t> :</w:t>
      </w:r>
      <w:r w:rsidR="00D569FA">
        <w:rPr>
          <w:rFonts w:hint="cs"/>
          <w:rtl/>
        </w:rPr>
        <w:br/>
      </w:r>
      <w:r>
        <w:rPr>
          <w:rFonts w:hint="cs"/>
          <w:rtl/>
        </w:rPr>
        <w:t xml:space="preserve">                                          </w:t>
      </w:r>
      <w:r w:rsidR="00D569FA">
        <w:rPr>
          <w:rFonts w:hint="cs"/>
          <w:rtl/>
        </w:rPr>
        <w:t>مستثنيات القاعدة</w:t>
      </w:r>
      <w:bookmarkEnd w:id="358"/>
    </w:p>
    <w:p w:rsidR="00D569FA" w:rsidRDefault="00D569FA" w:rsidP="000A76C7">
      <w:pPr>
        <w:pStyle w:val="afc"/>
        <w:numPr>
          <w:ilvl w:val="0"/>
          <w:numId w:val="238"/>
        </w:numPr>
        <w:rPr>
          <w:rFonts w:ascii="Traditional Arabic" w:hAnsi="Traditional Arabic"/>
          <w:noProof w:val="0"/>
          <w:lang w:eastAsia="en-US"/>
        </w:rPr>
      </w:pPr>
      <w:r>
        <w:rPr>
          <w:rFonts w:ascii="Traditional Arabic" w:hAnsi="Traditional Arabic" w:hint="cs"/>
          <w:noProof w:val="0"/>
          <w:rtl/>
          <w:lang w:eastAsia="en-US"/>
        </w:rPr>
        <w:t xml:space="preserve">يقول الشيخ ابن عثيمين </w:t>
      </w:r>
      <w:r w:rsidR="00EC5622">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EC5622">
        <w:rPr>
          <w:rFonts w:ascii="Traditional Arabic" w:hAnsi="Traditional Arabic" w:hint="cs"/>
          <w:noProof w:val="0"/>
          <w:rtl/>
          <w:lang w:eastAsia="en-US"/>
        </w:rPr>
        <w:t>_</w:t>
      </w:r>
      <w:r>
        <w:rPr>
          <w:rFonts w:ascii="Traditional Arabic" w:hAnsi="Traditional Arabic" w:hint="cs"/>
          <w:noProof w:val="0"/>
          <w:rtl/>
          <w:lang w:eastAsia="en-US"/>
        </w:rPr>
        <w:t xml:space="preserve">: </w:t>
      </w:r>
      <w:r w:rsidR="00B76414">
        <w:rPr>
          <w:rFonts w:ascii="Traditional Arabic" w:hAnsi="Traditional Arabic" w:hint="cs"/>
          <w:noProof w:val="0"/>
          <w:rtl/>
          <w:lang w:eastAsia="en-US"/>
        </w:rPr>
        <w:t>(</w:t>
      </w:r>
      <w:r>
        <w:rPr>
          <w:rFonts w:ascii="Traditional Arabic" w:hAnsi="Traditional Arabic" w:hint="cs"/>
          <w:noProof w:val="0"/>
          <w:rtl/>
          <w:lang w:eastAsia="en-US"/>
        </w:rPr>
        <w:t>فتبي</w:t>
      </w:r>
      <w:r w:rsidR="00EC5622">
        <w:rPr>
          <w:rFonts w:ascii="Traditional Arabic" w:hAnsi="Traditional Arabic" w:hint="cs"/>
          <w:noProof w:val="0"/>
          <w:rtl/>
          <w:lang w:eastAsia="en-US"/>
        </w:rPr>
        <w:t>َّ</w:t>
      </w:r>
      <w:r>
        <w:rPr>
          <w:rFonts w:ascii="Traditional Arabic" w:hAnsi="Traditional Arabic" w:hint="cs"/>
          <w:noProof w:val="0"/>
          <w:rtl/>
          <w:lang w:eastAsia="en-US"/>
        </w:rPr>
        <w:t xml:space="preserve">ن أن القاعدة هي:"أن البينة على المدعي، واليمين على من أنكر"، وأنه يستثنى من ذلك إذا كان الظاهر أقوى من الأصل، فإننا </w:t>
      </w:r>
      <w:r>
        <w:rPr>
          <w:rFonts w:ascii="Traditional Arabic" w:hAnsi="Traditional Arabic" w:hint="cs"/>
          <w:noProof w:val="0"/>
          <w:rtl/>
          <w:lang w:eastAsia="en-US"/>
        </w:rPr>
        <w:lastRenderedPageBreak/>
        <w:t>لا نقبل حينئذ يمين المدعى عليه)</w:t>
      </w:r>
      <w:r w:rsidRPr="00C821A1">
        <w:rPr>
          <w:rStyle w:val="af1"/>
          <w:szCs w:val="32"/>
          <w:rtl/>
        </w:rPr>
        <w:t>(</w:t>
      </w:r>
      <w:r w:rsidRPr="00C821A1">
        <w:rPr>
          <w:rStyle w:val="af1"/>
          <w:szCs w:val="32"/>
          <w:rtl/>
        </w:rPr>
        <w:footnoteReference w:id="1750"/>
      </w:r>
      <w:r w:rsidRPr="00C821A1">
        <w:rPr>
          <w:rStyle w:val="af1"/>
          <w:szCs w:val="32"/>
          <w:rtl/>
        </w:rPr>
        <w:t>)</w:t>
      </w:r>
      <w:r>
        <w:rPr>
          <w:rFonts w:ascii="Traditional Arabic" w:hAnsi="Traditional Arabic" w:hint="cs"/>
          <w:noProof w:val="0"/>
          <w:rtl/>
          <w:lang w:eastAsia="en-US"/>
        </w:rPr>
        <w:t>.</w:t>
      </w:r>
    </w:p>
    <w:p w:rsidR="00F228A9" w:rsidRPr="009A3A72" w:rsidRDefault="00D569FA" w:rsidP="009A3A72">
      <w:pPr>
        <w:pStyle w:val="afc"/>
        <w:ind w:left="1080" w:firstLine="0"/>
        <w:rPr>
          <w:rFonts w:ascii="Traditional Arabic" w:hAnsi="Traditional Arabic"/>
          <w:noProof w:val="0"/>
          <w:rtl/>
          <w:lang w:eastAsia="en-US"/>
        </w:rPr>
      </w:pPr>
      <w:r>
        <w:rPr>
          <w:rFonts w:ascii="Traditional Arabic" w:hAnsi="Traditional Arabic" w:hint="cs"/>
          <w:noProof w:val="0"/>
          <w:rtl/>
          <w:lang w:eastAsia="en-US"/>
        </w:rPr>
        <w:t>مثالُه: إذا ادعى رجل غُتْرةً</w:t>
      </w:r>
      <w:r w:rsidRPr="00C821A1">
        <w:rPr>
          <w:rStyle w:val="af1"/>
          <w:szCs w:val="32"/>
          <w:rtl/>
        </w:rPr>
        <w:t>(</w:t>
      </w:r>
      <w:r w:rsidRPr="00C821A1">
        <w:rPr>
          <w:rStyle w:val="af1"/>
          <w:szCs w:val="32"/>
          <w:rtl/>
        </w:rPr>
        <w:footnoteReference w:id="1751"/>
      </w:r>
      <w:r w:rsidRPr="00C821A1">
        <w:rPr>
          <w:rStyle w:val="af1"/>
          <w:szCs w:val="32"/>
          <w:rtl/>
        </w:rPr>
        <w:t>)</w:t>
      </w:r>
      <w:r>
        <w:rPr>
          <w:rFonts w:ascii="Traditional Arabic" w:hAnsi="Traditional Arabic" w:hint="cs"/>
          <w:noProof w:val="0"/>
          <w:rtl/>
          <w:lang w:eastAsia="en-US"/>
        </w:rPr>
        <w:t xml:space="preserve"> بيد رجل آخر هاربٍ عليه غترة، فهنا لا نقبل قول الهارب؛ لأن القرائن</w:t>
      </w:r>
      <w:r w:rsidRPr="00C821A1">
        <w:rPr>
          <w:rStyle w:val="af1"/>
          <w:szCs w:val="32"/>
          <w:rtl/>
        </w:rPr>
        <w:t>(</w:t>
      </w:r>
      <w:r w:rsidRPr="00C821A1">
        <w:rPr>
          <w:rStyle w:val="af1"/>
          <w:szCs w:val="32"/>
          <w:rtl/>
        </w:rPr>
        <w:footnoteReference w:id="1752"/>
      </w:r>
      <w:r w:rsidRPr="00C821A1">
        <w:rPr>
          <w:rStyle w:val="af1"/>
          <w:szCs w:val="32"/>
          <w:rtl/>
        </w:rPr>
        <w:t>)</w:t>
      </w:r>
      <w:r>
        <w:rPr>
          <w:rFonts w:ascii="Traditional Arabic" w:hAnsi="Traditional Arabic" w:hint="cs"/>
          <w:noProof w:val="0"/>
          <w:rtl/>
          <w:lang w:eastAsia="en-US"/>
        </w:rPr>
        <w:t xml:space="preserve"> تدل على صِدق المدعي، إذ المدعى عليه هارب، وعليه غترة</w:t>
      </w:r>
      <w:r w:rsidRPr="009A3A72">
        <w:rPr>
          <w:rFonts w:ascii="Traditional Arabic" w:hAnsi="Traditional Arabic" w:hint="cs"/>
          <w:noProof w:val="0"/>
          <w:rtl/>
          <w:lang w:eastAsia="en-US"/>
        </w:rPr>
        <w:t>، وبيده غترة أخرى، فمجموع ذلك يدل أن الغترة التي بِيدِ الرجل الهارب هي للمدعي</w:t>
      </w:r>
      <w:r w:rsidRPr="009A3A72">
        <w:rPr>
          <w:rStyle w:val="af1"/>
          <w:szCs w:val="32"/>
          <w:rtl/>
        </w:rPr>
        <w:t>(</w:t>
      </w:r>
      <w:r w:rsidRPr="00C821A1">
        <w:rPr>
          <w:rStyle w:val="af1"/>
          <w:szCs w:val="32"/>
          <w:rtl/>
        </w:rPr>
        <w:footnoteReference w:id="1753"/>
      </w:r>
      <w:r w:rsidRPr="009A3A72">
        <w:rPr>
          <w:rStyle w:val="af1"/>
          <w:szCs w:val="32"/>
          <w:rtl/>
        </w:rPr>
        <w:t>)</w:t>
      </w:r>
      <w:r w:rsidRPr="009A3A72">
        <w:rPr>
          <w:rFonts w:ascii="Traditional Arabic" w:hAnsi="Traditional Arabic" w:hint="cs"/>
          <w:noProof w:val="0"/>
          <w:rtl/>
          <w:lang w:eastAsia="en-US"/>
        </w:rPr>
        <w:t>.</w:t>
      </w:r>
    </w:p>
    <w:p w:rsidR="009A2D9B" w:rsidRPr="00C85F0F" w:rsidRDefault="004D2319" w:rsidP="000F5C0F">
      <w:pPr>
        <w:pStyle w:val="aff2"/>
        <w:rPr>
          <w:rtl/>
        </w:rPr>
      </w:pPr>
      <w:bookmarkStart w:id="359" w:name="_Toc334046563"/>
      <w:r w:rsidRPr="004D2319">
        <w:rPr>
          <w:rFonts w:ascii="Traditional Arabic" w:hAnsi="Traditional Arabic" w:hint="cs"/>
          <w:rtl/>
        </w:rPr>
        <w:lastRenderedPageBreak/>
        <w:t>المبحث الخامس</w:t>
      </w:r>
      <w:r w:rsidR="00D816CC">
        <w:rPr>
          <w:rFonts w:ascii="Traditional Arabic" w:hAnsi="Traditional Arabic" w:hint="eastAsia"/>
          <w:rtl/>
        </w:rPr>
        <w:t> </w:t>
      </w:r>
      <w:r w:rsidRPr="004D2319">
        <w:rPr>
          <w:rFonts w:ascii="Traditional Arabic" w:hAnsi="Traditional Arabic" w:hint="cs"/>
          <w:rtl/>
        </w:rPr>
        <w:t>:</w:t>
      </w:r>
      <w:r w:rsidRPr="004D2319">
        <w:rPr>
          <w:rFonts w:ascii="Traditional Arabic" w:hAnsi="Traditional Arabic"/>
          <w:rtl/>
        </w:rPr>
        <w:br/>
      </w:r>
      <w:r w:rsidRPr="004D2319">
        <w:rPr>
          <w:rFonts w:ascii="Traditional Arabic" w:hAnsi="Traditional Arabic" w:hint="cs"/>
          <w:rtl/>
        </w:rPr>
        <w:t>قاعدة</w:t>
      </w:r>
      <w:r w:rsidRPr="004D2319">
        <w:rPr>
          <w:rFonts w:ascii="Traditional Arabic" w:hAnsi="Traditional Arabic"/>
          <w:rtl/>
        </w:rPr>
        <w:br/>
      </w:r>
      <w:r w:rsidR="009A2D9B">
        <w:rPr>
          <w:rFonts w:hint="cs"/>
          <w:rtl/>
        </w:rPr>
        <w:t>"قرائن الأحوال شواهد بمنزلة البينة</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قرائنالأحوالشواهدبمنزلةالبينة</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9A2D9B" w:rsidRPr="00C85F0F">
        <w:rPr>
          <w:rFonts w:hint="cs"/>
          <w:rtl/>
        </w:rPr>
        <w:t>"</w:t>
      </w:r>
      <w:r w:rsidR="009A2D9B" w:rsidRPr="00C85F0F">
        <w:rPr>
          <w:rStyle w:val="af1"/>
          <w:b w:val="0"/>
          <w:bCs w:val="0"/>
          <w:szCs w:val="32"/>
          <w:rtl/>
        </w:rPr>
        <w:t>(</w:t>
      </w:r>
      <w:r w:rsidR="009A2D9B" w:rsidRPr="00C85F0F">
        <w:rPr>
          <w:rStyle w:val="af1"/>
          <w:b w:val="0"/>
          <w:bCs w:val="0"/>
          <w:szCs w:val="32"/>
          <w:rtl/>
        </w:rPr>
        <w:footnoteReference w:id="1754"/>
      </w:r>
      <w:r w:rsidR="009A2D9B" w:rsidRPr="00C85F0F">
        <w:rPr>
          <w:rStyle w:val="af1"/>
          <w:b w:val="0"/>
          <w:bCs w:val="0"/>
          <w:szCs w:val="32"/>
          <w:rtl/>
        </w:rPr>
        <w:t>)</w:t>
      </w:r>
      <w:bookmarkEnd w:id="359"/>
    </w:p>
    <w:p w:rsidR="009A2D9B" w:rsidRPr="00C85F0F" w:rsidRDefault="00184ADA" w:rsidP="00A8347C">
      <w:pPr>
        <w:pStyle w:val="aff3"/>
        <w:rPr>
          <w:rtl/>
        </w:rPr>
      </w:pPr>
      <w:bookmarkStart w:id="360" w:name="_Toc334046564"/>
      <w:r>
        <w:rPr>
          <w:rFonts w:hint="cs"/>
          <w:rtl/>
        </w:rPr>
        <w:t xml:space="preserve">                                        المطلب</w:t>
      </w:r>
      <w:r w:rsidR="00EC5622">
        <w:rPr>
          <w:rFonts w:hint="cs"/>
          <w:rtl/>
        </w:rPr>
        <w:t xml:space="preserve"> </w:t>
      </w:r>
      <w:r w:rsidR="009A2D9B" w:rsidRPr="00C85F0F">
        <w:rPr>
          <w:rFonts w:hint="cs"/>
          <w:rtl/>
        </w:rPr>
        <w:t>الأول</w:t>
      </w:r>
      <w:r w:rsidR="009A2D9B" w:rsidRPr="00C85F0F">
        <w:rPr>
          <w:rFonts w:hint="eastAsia"/>
          <w:rtl/>
        </w:rPr>
        <w:t> :</w:t>
      </w:r>
      <w:r w:rsidR="009A2D9B" w:rsidRPr="00C85F0F">
        <w:rPr>
          <w:rFonts w:hint="cs"/>
          <w:rtl/>
        </w:rPr>
        <w:br/>
      </w:r>
      <w:r w:rsidR="00DB450C">
        <w:rPr>
          <w:rFonts w:hint="cs"/>
          <w:rtl/>
        </w:rPr>
        <w:t xml:space="preserve">                       </w:t>
      </w:r>
      <w:r w:rsidR="009A2D9B" w:rsidRPr="00C85F0F">
        <w:rPr>
          <w:rFonts w:hint="cs"/>
          <w:rtl/>
        </w:rPr>
        <w:t>صيغ القاعدة عند الشيخ وعند علماء القواعد</w:t>
      </w:r>
      <w:bookmarkEnd w:id="360"/>
    </w:p>
    <w:p w:rsidR="009A2D9B" w:rsidRPr="00C85F0F" w:rsidRDefault="009A3A72" w:rsidP="00790FDA">
      <w:pPr>
        <w:ind w:firstLine="0"/>
        <w:rPr>
          <w:rtl/>
        </w:rPr>
      </w:pPr>
      <w:r>
        <w:rPr>
          <w:rFonts w:hint="cs"/>
          <w:rtl/>
        </w:rPr>
        <w:t xml:space="preserve">    </w:t>
      </w:r>
      <w:r w:rsidR="009A2D9B" w:rsidRPr="00C85F0F">
        <w:rPr>
          <w:rFonts w:hint="cs"/>
          <w:rtl/>
        </w:rPr>
        <w:t xml:space="preserve">وردت هذه القاعدة عند الشيخ ابن عثيمين </w:t>
      </w:r>
      <w:r w:rsidR="00790FDA">
        <w:rPr>
          <w:rFonts w:hint="cs"/>
          <w:rtl/>
        </w:rPr>
        <w:t>_</w:t>
      </w:r>
      <w:r w:rsidR="009A0575" w:rsidRPr="005D5694">
        <w:rPr>
          <w:rFonts w:ascii="Traditional Arabic" w:hAnsi="Traditional Arabic" w:cs="CTraditional Arabic" w:hint="cs"/>
          <w:rtl/>
        </w:rPr>
        <w:t>/</w:t>
      </w:r>
      <w:r w:rsidR="00790FDA">
        <w:rPr>
          <w:rFonts w:hint="cs"/>
          <w:rtl/>
        </w:rPr>
        <w:t>_</w:t>
      </w:r>
      <w:r w:rsidR="009A2D9B" w:rsidRPr="00C85F0F">
        <w:rPr>
          <w:rFonts w:hint="cs"/>
          <w:rtl/>
        </w:rPr>
        <w:t xml:space="preserve"> بعدة صيغ، منها:</w:t>
      </w:r>
    </w:p>
    <w:p w:rsidR="009A2D9B" w:rsidRPr="00C85F0F" w:rsidRDefault="009A2D9B" w:rsidP="000A76C7">
      <w:pPr>
        <w:pStyle w:val="afc"/>
        <w:numPr>
          <w:ilvl w:val="0"/>
          <w:numId w:val="239"/>
        </w:numPr>
      </w:pPr>
      <w:r w:rsidRPr="00C85F0F">
        <w:rPr>
          <w:rFonts w:hint="cs"/>
          <w:rtl/>
        </w:rPr>
        <w:t>القرائن دلائل</w:t>
      </w:r>
      <w:r w:rsidRPr="00C85F0F">
        <w:rPr>
          <w:rStyle w:val="af1"/>
          <w:szCs w:val="32"/>
          <w:rtl/>
        </w:rPr>
        <w:t>(</w:t>
      </w:r>
      <w:r w:rsidRPr="00C85F0F">
        <w:rPr>
          <w:rStyle w:val="af1"/>
          <w:szCs w:val="32"/>
          <w:rtl/>
        </w:rPr>
        <w:footnoteReference w:id="1755"/>
      </w:r>
      <w:r w:rsidRPr="00C85F0F">
        <w:rPr>
          <w:rStyle w:val="af1"/>
          <w:szCs w:val="32"/>
          <w:rtl/>
        </w:rPr>
        <w:t>)</w:t>
      </w:r>
      <w:r w:rsidRPr="00C85F0F">
        <w:rPr>
          <w:rFonts w:hint="cs"/>
          <w:rtl/>
        </w:rPr>
        <w:t>.</w:t>
      </w:r>
    </w:p>
    <w:p w:rsidR="009A2D9B" w:rsidRPr="00C85F0F" w:rsidRDefault="009A2D9B" w:rsidP="000A76C7">
      <w:pPr>
        <w:pStyle w:val="afc"/>
        <w:numPr>
          <w:ilvl w:val="0"/>
          <w:numId w:val="239"/>
        </w:numPr>
      </w:pPr>
      <w:r w:rsidRPr="00C85F0F">
        <w:rPr>
          <w:rFonts w:hint="cs"/>
          <w:rtl/>
        </w:rPr>
        <w:t>قرائن الأحوال شواهدُ بمنزلة البينة</w:t>
      </w:r>
      <w:r w:rsidRPr="00C85F0F">
        <w:rPr>
          <w:rStyle w:val="af1"/>
          <w:szCs w:val="32"/>
          <w:rtl/>
        </w:rPr>
        <w:t>(</w:t>
      </w:r>
      <w:r w:rsidRPr="00C85F0F">
        <w:rPr>
          <w:rStyle w:val="af1"/>
          <w:szCs w:val="32"/>
          <w:rtl/>
        </w:rPr>
        <w:footnoteReference w:id="1756"/>
      </w:r>
      <w:r w:rsidRPr="00C85F0F">
        <w:rPr>
          <w:rStyle w:val="af1"/>
          <w:szCs w:val="32"/>
          <w:rtl/>
        </w:rPr>
        <w:t>)</w:t>
      </w:r>
      <w:r w:rsidRPr="00C85F0F">
        <w:rPr>
          <w:rFonts w:hint="cs"/>
          <w:rtl/>
        </w:rPr>
        <w:t>.</w:t>
      </w:r>
    </w:p>
    <w:p w:rsidR="00065E4B" w:rsidRPr="00C85F0F" w:rsidRDefault="009A2D9B" w:rsidP="000A76C7">
      <w:pPr>
        <w:pStyle w:val="afc"/>
        <w:numPr>
          <w:ilvl w:val="0"/>
          <w:numId w:val="239"/>
        </w:numPr>
      </w:pPr>
      <w:r w:rsidRPr="00C85F0F">
        <w:rPr>
          <w:rFonts w:hint="cs"/>
          <w:rtl/>
        </w:rPr>
        <w:t>القرائن تُقدَّم على الأصل</w:t>
      </w:r>
      <w:r w:rsidRPr="00C85F0F">
        <w:rPr>
          <w:rStyle w:val="af1"/>
          <w:szCs w:val="32"/>
          <w:rtl/>
        </w:rPr>
        <w:t>(</w:t>
      </w:r>
      <w:r w:rsidRPr="00C85F0F">
        <w:rPr>
          <w:rStyle w:val="af1"/>
          <w:szCs w:val="32"/>
          <w:rtl/>
        </w:rPr>
        <w:footnoteReference w:id="1757"/>
      </w:r>
      <w:r w:rsidRPr="00C85F0F">
        <w:rPr>
          <w:rStyle w:val="af1"/>
          <w:szCs w:val="32"/>
          <w:rtl/>
        </w:rPr>
        <w:t>)</w:t>
      </w:r>
      <w:r w:rsidRPr="00C85F0F">
        <w:rPr>
          <w:rFonts w:hint="cs"/>
          <w:rtl/>
        </w:rPr>
        <w:t>.</w:t>
      </w:r>
    </w:p>
    <w:p w:rsidR="009A2D9B" w:rsidRPr="00C85F0F" w:rsidRDefault="009A3A72" w:rsidP="00597C20">
      <w:pPr>
        <w:ind w:firstLine="0"/>
        <w:rPr>
          <w:rtl/>
        </w:rPr>
      </w:pPr>
      <w:r>
        <w:rPr>
          <w:rFonts w:hint="cs"/>
          <w:rtl/>
        </w:rPr>
        <w:t xml:space="preserve">    </w:t>
      </w:r>
      <w:r w:rsidR="00065E4B" w:rsidRPr="00C85F0F">
        <w:rPr>
          <w:rFonts w:hint="cs"/>
          <w:rtl/>
        </w:rPr>
        <w:t>و</w:t>
      </w:r>
      <w:r w:rsidR="009A2D9B" w:rsidRPr="00C85F0F">
        <w:rPr>
          <w:rFonts w:hint="cs"/>
          <w:rtl/>
        </w:rPr>
        <w:t>من الصيغ التي وردت بها هذه القاعدة عند علماء القواعد:</w:t>
      </w:r>
    </w:p>
    <w:p w:rsidR="009A2D9B" w:rsidRPr="00C85F0F" w:rsidRDefault="009A2D9B" w:rsidP="000A76C7">
      <w:pPr>
        <w:pStyle w:val="afc"/>
        <w:numPr>
          <w:ilvl w:val="0"/>
          <w:numId w:val="240"/>
        </w:numPr>
        <w:rPr>
          <w:color w:val="auto"/>
        </w:rPr>
      </w:pPr>
      <w:r w:rsidRPr="00C85F0F">
        <w:rPr>
          <w:rFonts w:ascii="Traditional Arabic" w:hAnsi="Traditional Arabic"/>
          <w:noProof w:val="0"/>
          <w:color w:val="auto"/>
          <w:rtl/>
          <w:lang w:eastAsia="en-US"/>
        </w:rPr>
        <w:t>الأحكام المترتبة على القرائن تدور معها كيفما دارت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وتبط</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ل معها </w:t>
      </w:r>
      <w:r w:rsidRPr="00C85F0F">
        <w:rPr>
          <w:rFonts w:ascii="Traditional Arabic" w:hAnsi="Traditional Arabic" w:hint="cs"/>
          <w:noProof w:val="0"/>
          <w:color w:val="auto"/>
          <w:rtl/>
          <w:lang w:eastAsia="en-US"/>
        </w:rPr>
        <w:t>إ</w:t>
      </w:r>
      <w:r w:rsidRPr="00C85F0F">
        <w:rPr>
          <w:rFonts w:ascii="Traditional Arabic" w:hAnsi="Traditional Arabic"/>
          <w:noProof w:val="0"/>
          <w:color w:val="auto"/>
          <w:rtl/>
          <w:lang w:eastAsia="en-US"/>
        </w:rPr>
        <w:t>ذا بطلت</w:t>
      </w:r>
      <w:r w:rsidRPr="00C85F0F">
        <w:rPr>
          <w:rStyle w:val="af1"/>
          <w:szCs w:val="32"/>
          <w:rtl/>
        </w:rPr>
        <w:t>(</w:t>
      </w:r>
      <w:r w:rsidRPr="00C85F0F">
        <w:rPr>
          <w:rStyle w:val="af1"/>
          <w:szCs w:val="32"/>
          <w:rtl/>
        </w:rPr>
        <w:footnoteReference w:id="1758"/>
      </w:r>
      <w:r w:rsidRPr="00C85F0F">
        <w:rPr>
          <w:rStyle w:val="af1"/>
          <w:szCs w:val="32"/>
          <w:rtl/>
        </w:rPr>
        <w:t>)</w:t>
      </w:r>
      <w:r w:rsidRPr="00C85F0F">
        <w:rPr>
          <w:rFonts w:hint="cs"/>
          <w:color w:val="auto"/>
          <w:rtl/>
        </w:rPr>
        <w:t>.</w:t>
      </w:r>
    </w:p>
    <w:p w:rsidR="009A2D9B" w:rsidRPr="00C85F0F" w:rsidRDefault="009A2D9B" w:rsidP="000A76C7">
      <w:pPr>
        <w:pStyle w:val="afc"/>
        <w:numPr>
          <w:ilvl w:val="0"/>
          <w:numId w:val="240"/>
        </w:numPr>
        <w:rPr>
          <w:color w:val="auto"/>
        </w:rPr>
      </w:pPr>
      <w:r w:rsidRPr="00C85F0F">
        <w:rPr>
          <w:rFonts w:ascii="Traditional Arabic" w:hAnsi="Traditional Arabic" w:hint="cs"/>
          <w:noProof w:val="0"/>
          <w:color w:val="auto"/>
          <w:rtl/>
          <w:lang w:eastAsia="en-US"/>
        </w:rPr>
        <w:t>إذا قَوِيَت القرائنُ قُدِّمَت على الأصل</w:t>
      </w:r>
      <w:r w:rsidRPr="00C85F0F">
        <w:rPr>
          <w:rStyle w:val="af1"/>
          <w:szCs w:val="32"/>
          <w:rtl/>
        </w:rPr>
        <w:t>(</w:t>
      </w:r>
      <w:r w:rsidRPr="00C85F0F">
        <w:rPr>
          <w:rStyle w:val="af1"/>
          <w:szCs w:val="32"/>
          <w:rtl/>
        </w:rPr>
        <w:footnoteReference w:id="1759"/>
      </w:r>
      <w:r w:rsidRPr="00C85F0F">
        <w:rPr>
          <w:rStyle w:val="af1"/>
          <w:szCs w:val="32"/>
          <w:rtl/>
        </w:rPr>
        <w:t>)</w:t>
      </w:r>
      <w:r w:rsidRPr="00C85F0F">
        <w:rPr>
          <w:rFonts w:ascii="Traditional Arabic" w:hAnsi="Traditional Arabic" w:hint="cs"/>
          <w:rtl/>
          <w:lang w:eastAsia="en-US"/>
        </w:rPr>
        <w:t>.</w:t>
      </w:r>
    </w:p>
    <w:p w:rsidR="00065E4B" w:rsidRPr="00C85F0F" w:rsidRDefault="00184ADA" w:rsidP="00A8347C">
      <w:pPr>
        <w:pStyle w:val="aff3"/>
        <w:rPr>
          <w:rtl/>
        </w:rPr>
      </w:pPr>
      <w:bookmarkStart w:id="361" w:name="_Toc334046565"/>
      <w:r>
        <w:rPr>
          <w:rFonts w:hint="cs"/>
          <w:rtl/>
        </w:rPr>
        <w:lastRenderedPageBreak/>
        <w:t xml:space="preserve">                                      المطلب</w:t>
      </w:r>
      <w:r w:rsidR="00790FDA">
        <w:rPr>
          <w:rFonts w:hint="cs"/>
          <w:rtl/>
        </w:rPr>
        <w:t xml:space="preserve"> </w:t>
      </w:r>
      <w:r w:rsidR="009A2D9B" w:rsidRPr="00C85F0F">
        <w:rPr>
          <w:rFonts w:hint="cs"/>
          <w:rtl/>
        </w:rPr>
        <w:t>الثاني</w:t>
      </w:r>
      <w:r w:rsidR="009A2D9B" w:rsidRPr="00C85F0F">
        <w:rPr>
          <w:rFonts w:hint="eastAsia"/>
          <w:rtl/>
        </w:rPr>
        <w:t> :</w:t>
      </w:r>
      <w:r w:rsidR="009A2D9B" w:rsidRPr="00C85F0F">
        <w:rPr>
          <w:rFonts w:hint="cs"/>
          <w:rtl/>
        </w:rPr>
        <w:br/>
      </w:r>
      <w:r>
        <w:rPr>
          <w:rFonts w:hint="cs"/>
          <w:rtl/>
        </w:rPr>
        <w:t xml:space="preserve">                                       </w:t>
      </w:r>
      <w:r w:rsidR="009A2D9B" w:rsidRPr="00C85F0F">
        <w:rPr>
          <w:rFonts w:hint="cs"/>
          <w:rtl/>
        </w:rPr>
        <w:t>شرح القاعدة</w:t>
      </w:r>
      <w:bookmarkEnd w:id="361"/>
    </w:p>
    <w:p w:rsidR="00065E4B" w:rsidRPr="00C85F0F" w:rsidRDefault="00065E4B" w:rsidP="00FD3233">
      <w:pPr>
        <w:pStyle w:val="53"/>
        <w:rPr>
          <w:rtl/>
        </w:rPr>
      </w:pPr>
      <w:r w:rsidRPr="00C85F0F">
        <w:rPr>
          <w:rFonts w:hint="cs"/>
          <w:rtl/>
        </w:rPr>
        <w:t>م</w:t>
      </w:r>
      <w:r w:rsidR="009A2D9B" w:rsidRPr="00C85F0F">
        <w:rPr>
          <w:rFonts w:hint="cs"/>
          <w:rtl/>
        </w:rPr>
        <w:t xml:space="preserve">عنى </w:t>
      </w:r>
      <w:r w:rsidR="009A2D9B" w:rsidRPr="00FD3233">
        <w:rPr>
          <w:rFonts w:hint="cs"/>
          <w:rtl/>
        </w:rPr>
        <w:t>القاعدة</w:t>
      </w:r>
      <w:r w:rsidR="009A2D9B" w:rsidRPr="00C85F0F">
        <w:rPr>
          <w:rFonts w:hint="cs"/>
          <w:rtl/>
        </w:rPr>
        <w:t xml:space="preserve"> إجمالا:</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hint="cs"/>
          <w:color w:val="auto"/>
          <w:rtl/>
        </w:rPr>
        <w:t>ه</w:t>
      </w:r>
      <w:r w:rsidR="009A2D9B" w:rsidRPr="00C85F0F">
        <w:rPr>
          <w:rFonts w:hint="cs"/>
          <w:color w:val="auto"/>
          <w:rtl/>
        </w:rPr>
        <w:t>ذه القاعدة يمكن اعتبارُها مندرجةً تحت قاعدة</w:t>
      </w:r>
      <w:r w:rsidR="00790FDA">
        <w:rPr>
          <w:rFonts w:hint="cs"/>
          <w:color w:val="auto"/>
          <w:rtl/>
        </w:rPr>
        <w:t xml:space="preserve"> </w:t>
      </w:r>
      <w:r w:rsidR="009A2D9B" w:rsidRPr="00C85F0F">
        <w:rPr>
          <w:rFonts w:hint="cs"/>
          <w:color w:val="auto"/>
          <w:rtl/>
        </w:rPr>
        <w:t>"البينة على المدعي واليمين على من أنكر"، بِناءً على أن البينة هي كل ما يبيِّن الحقَّ ويُظهره</w:t>
      </w:r>
      <w:r w:rsidR="009A2D9B" w:rsidRPr="00C85F0F">
        <w:rPr>
          <w:rFonts w:ascii="Traditional Arabic" w:hAnsi="Traditional Arabic" w:hint="cs"/>
          <w:noProof w:val="0"/>
          <w:rtl/>
          <w:lang w:eastAsia="en-US"/>
        </w:rPr>
        <w:t>،</w:t>
      </w:r>
      <w:r w:rsidR="00790FDA">
        <w:rPr>
          <w:rFonts w:ascii="Traditional Arabic" w:hAnsi="Traditional Arabic" w:hint="cs"/>
          <w:noProof w:val="0"/>
          <w:rtl/>
          <w:lang w:eastAsia="en-US"/>
        </w:rPr>
        <w:t xml:space="preserve"> </w:t>
      </w:r>
      <w:r w:rsidR="009A2D9B" w:rsidRPr="00C85F0F">
        <w:rPr>
          <w:rFonts w:ascii="Traditional Arabic" w:hAnsi="Traditional Arabic" w:hint="cs"/>
          <w:noProof w:val="0"/>
          <w:rtl/>
          <w:lang w:eastAsia="en-US"/>
        </w:rPr>
        <w:t>فقرائن الأحوال شواهد بمنزلة البينة، ف</w:t>
      </w:r>
      <w:r w:rsidR="009A2D9B" w:rsidRPr="00C85F0F">
        <w:rPr>
          <w:rFonts w:ascii="Traditional Arabic" w:hAnsi="Traditional Arabic"/>
          <w:noProof w:val="0"/>
          <w:rtl/>
          <w:lang w:eastAsia="en-US"/>
        </w:rPr>
        <w:t>الحاكم الذي حكم بين يوسف عليه السلام وبين امرأة العزيز، حينما داف</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ع يوسف</w:t>
      </w:r>
      <w:r w:rsidR="00790FDA">
        <w:rPr>
          <w:rFonts w:ascii="Traditional Arabic" w:hAnsi="Traditional Arabic" w:hint="cs"/>
          <w:noProof w:val="0"/>
          <w:rtl/>
          <w:lang w:eastAsia="en-US"/>
        </w:rPr>
        <w:t xml:space="preserve"> </w:t>
      </w:r>
      <w:r w:rsidR="009A2D9B" w:rsidRPr="00C85F0F">
        <w:rPr>
          <w:rFonts w:ascii="Traditional Arabic" w:hAnsi="Traditional Arabic"/>
          <w:noProof w:val="0"/>
          <w:rtl/>
          <w:lang w:eastAsia="en-US"/>
        </w:rPr>
        <w:t>عليه السلام عن نفسه</w:t>
      </w:r>
      <w:r w:rsidR="009A2D9B" w:rsidRPr="00C85F0F">
        <w:rPr>
          <w:rFonts w:ascii="Traditional Arabic" w:hAnsi="Traditional Arabic" w:hint="cs"/>
          <w:noProof w:val="0"/>
          <w:rtl/>
          <w:lang w:eastAsia="en-US"/>
        </w:rPr>
        <w:t>، و</w:t>
      </w:r>
      <w:bookmarkStart w:id="362" w:name="سورة_يوسف_26"/>
      <w:r w:rsidR="009A2D7D" w:rsidRPr="00E90490">
        <w:rPr>
          <w:rFonts w:ascii="QCF_BSML" w:hAnsi="QCF_BSML" w:cs="QCF_BSML"/>
          <w:noProof w:val="0"/>
          <w:rtl/>
          <w:lang w:eastAsia="en-US"/>
        </w:rPr>
        <w:t>ﭽ</w:t>
      </w:r>
      <w:r w:rsidR="009A2D7D" w:rsidRPr="00E90490">
        <w:rPr>
          <w:rFonts w:ascii="QCF_P238" w:hAnsi="QCF_P238" w:cs="QCF_P238"/>
          <w:noProof w:val="0"/>
          <w:rtl/>
          <w:lang w:eastAsia="en-US"/>
        </w:rPr>
        <w:t>ﮜ ﮝ ﮞ ﮟ ﮠ</w:t>
      </w:r>
      <w:r w:rsidR="009A2D7D" w:rsidRPr="00E90490">
        <w:rPr>
          <w:rFonts w:ascii="QCF_BSML" w:hAnsi="QCF_BSML" w:cs="QCF_BSML"/>
          <w:noProof w:val="0"/>
          <w:rtl/>
          <w:lang w:eastAsia="en-US"/>
        </w:rPr>
        <w:t>ﭼ</w:t>
      </w:r>
      <w:bookmarkEnd w:id="362"/>
      <w:r w:rsidR="009A2D9B" w:rsidRPr="00C85F0F">
        <w:rPr>
          <w:rFonts w:ascii="Traditional Arabic" w:hAnsi="Traditional Arabic"/>
          <w:noProof w:val="0"/>
          <w:rtl/>
          <w:lang w:eastAsia="en-US"/>
        </w:rPr>
        <w:t xml:space="preserve"> [يوسف: 26]</w:t>
      </w:r>
      <w:r w:rsidR="009A2D9B" w:rsidRPr="00C85F0F">
        <w:rPr>
          <w:rFonts w:ascii="Traditional Arabic" w:hAnsi="Traditional Arabic" w:hint="cs"/>
          <w:noProof w:val="0"/>
          <w:rtl/>
          <w:lang w:eastAsia="en-US"/>
        </w:rPr>
        <w:t>،</w:t>
      </w:r>
      <w:r w:rsidR="00790FDA">
        <w:rPr>
          <w:rFonts w:ascii="Traditional Arabic" w:hAnsi="Traditional Arabic" w:hint="cs"/>
          <w:noProof w:val="0"/>
          <w:rtl/>
          <w:lang w:eastAsia="en-US"/>
        </w:rPr>
        <w:t xml:space="preserve"> </w:t>
      </w:r>
      <w:r w:rsidR="009A2D9B" w:rsidRPr="00C85F0F">
        <w:rPr>
          <w:rFonts w:ascii="Traditional Arabic" w:hAnsi="Traditional Arabic" w:hint="cs"/>
          <w:noProof w:val="0"/>
          <w:rtl/>
          <w:lang w:eastAsia="en-US"/>
        </w:rPr>
        <w:t>و</w:t>
      </w:r>
      <w:r w:rsidR="009A2D9B" w:rsidRPr="00C85F0F">
        <w:rPr>
          <w:rFonts w:ascii="Traditional Arabic" w:hAnsi="Traditional Arabic"/>
          <w:noProof w:val="0"/>
          <w:rtl/>
          <w:lang w:eastAsia="en-US"/>
        </w:rPr>
        <w:t>اد</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 xml:space="preserve">عت </w:t>
      </w:r>
      <w:r w:rsidR="009A2D9B" w:rsidRPr="00C85F0F">
        <w:rPr>
          <w:rFonts w:ascii="Traditional Arabic" w:hAnsi="Traditional Arabic" w:hint="cs"/>
          <w:noProof w:val="0"/>
          <w:rtl/>
          <w:lang w:eastAsia="en-US"/>
        </w:rPr>
        <w:t xml:space="preserve">هي </w:t>
      </w:r>
      <w:r w:rsidR="00790FDA">
        <w:rPr>
          <w:rFonts w:ascii="Traditional Arabic" w:hAnsi="Traditional Arabic"/>
          <w:noProof w:val="0"/>
          <w:rtl/>
          <w:lang w:eastAsia="en-US"/>
        </w:rPr>
        <w:t>أنه أراد بها سوء</w:t>
      </w:r>
      <w:r w:rsidR="00790FDA">
        <w:rPr>
          <w:rFonts w:ascii="Traditional Arabic" w:hAnsi="Traditional Arabic" w:hint="cs"/>
          <w:noProof w:val="0"/>
          <w:rtl/>
          <w:lang w:eastAsia="en-US"/>
        </w:rPr>
        <w:t>اً</w:t>
      </w:r>
      <w:r w:rsidR="009A2D9B" w:rsidRPr="00C85F0F">
        <w:rPr>
          <w:rFonts w:ascii="Traditional Arabic" w:hAnsi="Traditional Arabic" w:hint="cs"/>
          <w:noProof w:val="0"/>
          <w:rtl/>
          <w:lang w:eastAsia="en-US"/>
        </w:rPr>
        <w:t>،</w:t>
      </w:r>
      <w:r w:rsidR="00790FDA">
        <w:rPr>
          <w:rFonts w:ascii="Traditional Arabic" w:hAnsi="Traditional Arabic" w:hint="cs"/>
          <w:noProof w:val="0"/>
          <w:rtl/>
          <w:lang w:eastAsia="en-US"/>
        </w:rPr>
        <w:t xml:space="preserve"> </w:t>
      </w:r>
      <w:r w:rsidR="009A2D9B" w:rsidRPr="00C85F0F">
        <w:rPr>
          <w:rFonts w:ascii="Traditional Arabic" w:hAnsi="Traditional Arabic" w:hint="cs"/>
          <w:noProof w:val="0"/>
          <w:rtl/>
          <w:lang w:eastAsia="en-US"/>
        </w:rPr>
        <w:t xml:space="preserve">فهذا الحاكم </w:t>
      </w:r>
      <w:r w:rsidR="009A2D9B" w:rsidRPr="00C85F0F">
        <w:rPr>
          <w:rFonts w:ascii="Traditional Arabic" w:hAnsi="Traditional Arabic"/>
          <w:noProof w:val="0"/>
          <w:rtl/>
          <w:lang w:eastAsia="en-US"/>
        </w:rPr>
        <w:t>حك</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م بالقرينة، ولم يحكم بالبراءة للمرأة، ولا ليوسف عليه الصلاة والسلام</w:t>
      </w:r>
      <w:r w:rsidR="009A2D9B" w:rsidRPr="00C85F0F">
        <w:rPr>
          <w:rFonts w:ascii="Traditional Arabic" w:hAnsi="Traditional Arabic" w:hint="cs"/>
          <w:noProof w:val="0"/>
          <w:rtl/>
          <w:lang w:eastAsia="en-US"/>
        </w:rPr>
        <w:t>،</w:t>
      </w:r>
      <w:r w:rsidR="00790FDA">
        <w:rPr>
          <w:rFonts w:ascii="Traditional Arabic" w:hAnsi="Traditional Arabic" w:hint="cs"/>
          <w:noProof w:val="0"/>
          <w:rtl/>
          <w:lang w:eastAsia="en-US"/>
        </w:rPr>
        <w:t xml:space="preserve"> </w:t>
      </w:r>
      <w:r w:rsidR="009A2D9B" w:rsidRPr="00C85F0F">
        <w:rPr>
          <w:rFonts w:ascii="Traditional Arabic" w:hAnsi="Traditional Arabic"/>
          <w:noProof w:val="0"/>
          <w:rtl/>
          <w:lang w:eastAsia="en-US"/>
        </w:rPr>
        <w:t>ولكن قال:</w:t>
      </w:r>
      <w:bookmarkStart w:id="363" w:name="سورة_يوسف_26إلى27"/>
      <w:r w:rsidR="00790FDA">
        <w:rPr>
          <w:rFonts w:ascii="Traditional Arabic" w:hAnsi="Traditional Arabic" w:hint="cs"/>
          <w:noProof w:val="0"/>
          <w:rtl/>
          <w:lang w:eastAsia="en-US"/>
        </w:rPr>
        <w:t xml:space="preserve"> </w:t>
      </w:r>
      <w:r w:rsidR="009A2D7D" w:rsidRPr="00E90490">
        <w:rPr>
          <w:rFonts w:ascii="QCF_BSML" w:hAnsi="QCF_BSML" w:cs="QCF_BSML"/>
          <w:noProof w:val="0"/>
          <w:rtl/>
          <w:lang w:eastAsia="en-US"/>
        </w:rPr>
        <w:t xml:space="preserve">ﭽ </w:t>
      </w:r>
      <w:r w:rsidR="009A2D7D" w:rsidRPr="00E90490">
        <w:rPr>
          <w:rFonts w:ascii="QCF_P238" w:hAnsi="QCF_P238" w:cs="QCF_P238"/>
          <w:noProof w:val="0"/>
          <w:rtl/>
          <w:lang w:eastAsia="en-US"/>
        </w:rPr>
        <w:t xml:space="preserve">ﮦ ﮧ  ﮨ ﮩ ﮪ ﮫ ﮬ ﮭ ﮮ ﮯ ﮰ ﮱ ﯓ  ﯔ ﯕ ﯖ ﯗ ﯘ ﯙ ﯚ ﯛ </w:t>
      </w:r>
      <w:r w:rsidR="009A2D7D" w:rsidRPr="00E90490">
        <w:rPr>
          <w:rFonts w:ascii="QCF_BSML" w:hAnsi="QCF_BSML" w:cs="QCF_BSML"/>
          <w:noProof w:val="0"/>
          <w:rtl/>
          <w:lang w:eastAsia="en-US"/>
        </w:rPr>
        <w:t>ﭼ</w:t>
      </w:r>
      <w:bookmarkEnd w:id="363"/>
      <w:r w:rsidR="009A2D9B" w:rsidRPr="00C85F0F">
        <w:rPr>
          <w:rFonts w:ascii="Traditional Arabic" w:hAnsi="Traditional Arabic"/>
          <w:noProof w:val="0"/>
          <w:rtl/>
          <w:lang w:eastAsia="en-US"/>
        </w:rPr>
        <w:t>[يوسف</w:t>
      </w:r>
      <w:r w:rsidR="009A2D9B" w:rsidRPr="00C85F0F">
        <w:rPr>
          <w:rFonts w:ascii="Traditional Arabic" w:hAnsi="Traditional Arabic" w:hint="cs"/>
          <w:noProof w:val="0"/>
          <w:rtl/>
          <w:lang w:eastAsia="en-US"/>
        </w:rPr>
        <w:t xml:space="preserve"> 26</w:t>
      </w:r>
      <w:r w:rsidR="00932036" w:rsidRPr="00C85F0F">
        <w:rPr>
          <w:rFonts w:ascii="Traditional Arabic" w:hAnsi="Traditional Arabic" w:hint="cs"/>
          <w:noProof w:val="0"/>
          <w:rtl/>
          <w:lang w:eastAsia="en-US"/>
        </w:rPr>
        <w:t>-27</w:t>
      </w:r>
      <w:r w:rsidR="009A2D9B" w:rsidRPr="00C85F0F">
        <w:rPr>
          <w:rFonts w:ascii="Traditional Arabic" w:hAnsi="Traditional Arabic"/>
          <w:noProof w:val="0"/>
          <w:rtl/>
          <w:lang w:eastAsia="en-US"/>
        </w:rPr>
        <w:t>]</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 xml:space="preserve"> لأنه إذا كان </w:t>
      </w:r>
      <w:r w:rsidR="009A2D9B" w:rsidRPr="00C85F0F">
        <w:rPr>
          <w:rFonts w:ascii="Traditional Arabic" w:hAnsi="Traditional Arabic" w:hint="cs"/>
          <w:noProof w:val="0"/>
          <w:rtl/>
          <w:lang w:eastAsia="en-US"/>
        </w:rPr>
        <w:t xml:space="preserve">قّدَّ </w:t>
      </w:r>
      <w:r w:rsidR="009A2D9B" w:rsidRPr="00C85F0F">
        <w:rPr>
          <w:rFonts w:ascii="Traditional Arabic" w:hAnsi="Traditional Arabic"/>
          <w:noProof w:val="0"/>
          <w:rtl/>
          <w:lang w:eastAsia="en-US"/>
        </w:rPr>
        <w:t>من د</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بر فمعناه أن الرجل هرب منها ول</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ح</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ق</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ت</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 xml:space="preserve">ه فأمسكت بقميصه، وإذا كان </w:t>
      </w:r>
      <w:r w:rsidR="009A2D9B" w:rsidRPr="00C85F0F">
        <w:rPr>
          <w:rFonts w:ascii="Traditional Arabic" w:hAnsi="Traditional Arabic" w:hint="cs"/>
          <w:noProof w:val="0"/>
          <w:rtl/>
          <w:lang w:eastAsia="en-US"/>
        </w:rPr>
        <w:t xml:space="preserve">قميصُه قدَّ </w:t>
      </w:r>
      <w:r w:rsidR="009A2D9B" w:rsidRPr="00C85F0F">
        <w:rPr>
          <w:rFonts w:ascii="Traditional Arabic" w:hAnsi="Traditional Arabic"/>
          <w:noProof w:val="0"/>
          <w:rtl/>
          <w:lang w:eastAsia="en-US"/>
        </w:rPr>
        <w:t>من ق</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ب</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ل فالمرأة هي المداف</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عة عن نفسها حتى مز</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قت القميص، فهذ</w:t>
      </w:r>
      <w:r w:rsidR="009A2D9B" w:rsidRPr="00C85F0F">
        <w:rPr>
          <w:rFonts w:ascii="Traditional Arabic" w:hAnsi="Traditional Arabic" w:hint="cs"/>
          <w:noProof w:val="0"/>
          <w:rtl/>
          <w:lang w:eastAsia="en-US"/>
        </w:rPr>
        <w:t>ا حكمٌ</w:t>
      </w:r>
      <w:r w:rsidR="00790FDA">
        <w:rPr>
          <w:rFonts w:ascii="Traditional Arabic" w:hAnsi="Traditional Arabic" w:hint="cs"/>
          <w:noProof w:val="0"/>
          <w:rtl/>
          <w:lang w:eastAsia="en-US"/>
        </w:rPr>
        <w:t xml:space="preserve"> </w:t>
      </w:r>
      <w:r w:rsidR="009A2D9B" w:rsidRPr="00C85F0F">
        <w:rPr>
          <w:rFonts w:ascii="Traditional Arabic" w:hAnsi="Traditional Arabic" w:hint="cs"/>
          <w:noProof w:val="0"/>
          <w:rtl/>
          <w:lang w:eastAsia="en-US"/>
        </w:rPr>
        <w:t>بال</w:t>
      </w:r>
      <w:r w:rsidR="009A2D9B" w:rsidRPr="00C85F0F">
        <w:rPr>
          <w:rFonts w:ascii="Traditional Arabic" w:hAnsi="Traditional Arabic"/>
          <w:noProof w:val="0"/>
          <w:rtl/>
          <w:lang w:eastAsia="en-US"/>
        </w:rPr>
        <w:t>قرينة.</w:t>
      </w:r>
    </w:p>
    <w:p w:rsidR="00065E4B" w:rsidRPr="00C85F0F" w:rsidRDefault="00065E4B" w:rsidP="00597C20">
      <w:pPr>
        <w:ind w:firstLine="720"/>
        <w:rPr>
          <w:color w:val="auto"/>
          <w:rtl/>
        </w:rPr>
      </w:pPr>
      <w:r w:rsidRPr="00C85F0F">
        <w:rPr>
          <w:rFonts w:ascii="Traditional Arabic" w:hAnsi="Traditional Arabic"/>
          <w:noProof w:val="0"/>
          <w:rtl/>
          <w:lang w:eastAsia="en-US"/>
        </w:rPr>
        <w:t>ك</w:t>
      </w:r>
      <w:r w:rsidR="009A2D9B" w:rsidRPr="00C85F0F">
        <w:rPr>
          <w:rFonts w:ascii="Traditional Arabic" w:hAnsi="Traditional Arabic"/>
          <w:noProof w:val="0"/>
          <w:rtl/>
          <w:lang w:eastAsia="en-US"/>
        </w:rPr>
        <w:t>ذلك الق</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سامة في القتل</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 xml:space="preserve"> ي</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ح</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ك</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م فيها بالقرينة وي</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ه</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د</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ر الأصل، والقسامة أن يدعي جماعة على قبيلة أنهم قتلوا صاحبهم، وكان بينهم عداوات، وأولياء القتيل ليس عندهم بينة، لكن حلفوا أن فلانا من هذه القبيلة هو الذي قتل قتيلهم، فالأصل عدم ذلك</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 xml:space="preserve"> وهذا قتل نفس، لكن ل</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وجود القرينة</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 xml:space="preserve"> وهي العداوة الظاهرة بين القبيلتين</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 xml:space="preserve"> تجر</w:t>
      </w:r>
      <w:r w:rsidR="009A2D9B" w:rsidRPr="00C85F0F">
        <w:rPr>
          <w:rFonts w:ascii="Traditional Arabic" w:hAnsi="Traditional Arabic" w:hint="cs"/>
          <w:noProof w:val="0"/>
          <w:rtl/>
          <w:lang w:eastAsia="en-US"/>
        </w:rPr>
        <w:t>ي</w:t>
      </w:r>
      <w:r w:rsidR="009A2D9B" w:rsidRPr="00C85F0F">
        <w:rPr>
          <w:rFonts w:ascii="Traditional Arabic" w:hAnsi="Traditional Arabic"/>
          <w:noProof w:val="0"/>
          <w:rtl/>
          <w:lang w:eastAsia="en-US"/>
        </w:rPr>
        <w:t xml:space="preserve"> القسامة، وإذا حلف أولياء المقتول خمسين يمينا أن هذا الرجل هو الذي قتل صاحب</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هم ق</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تل، فهذا حكم</w:t>
      </w:r>
      <w:r w:rsidR="00790FDA">
        <w:rPr>
          <w:rFonts w:ascii="Traditional Arabic" w:hAnsi="Traditional Arabic" w:hint="cs"/>
          <w:noProof w:val="0"/>
          <w:rtl/>
          <w:lang w:eastAsia="en-US"/>
        </w:rPr>
        <w:t>ٌ</w:t>
      </w:r>
      <w:r w:rsidR="009A2D9B" w:rsidRPr="00C85F0F">
        <w:rPr>
          <w:rFonts w:ascii="Traditional Arabic" w:hAnsi="Traditional Arabic"/>
          <w:noProof w:val="0"/>
          <w:rtl/>
          <w:lang w:eastAsia="en-US"/>
        </w:rPr>
        <w:t xml:space="preserve"> بالقرينة</w:t>
      </w:r>
      <w:r w:rsidR="009A2D9B" w:rsidRPr="00C85F0F">
        <w:rPr>
          <w:rFonts w:hint="cs"/>
          <w:color w:val="auto"/>
          <w:rtl/>
        </w:rPr>
        <w:t>.</w:t>
      </w:r>
    </w:p>
    <w:p w:rsidR="009A2D9B" w:rsidRPr="00C85F0F" w:rsidRDefault="00065E4B" w:rsidP="00597C20">
      <w:pPr>
        <w:ind w:firstLine="720"/>
        <w:rPr>
          <w:color w:val="auto"/>
          <w:rtl/>
        </w:rPr>
      </w:pPr>
      <w:r w:rsidRPr="00C85F0F">
        <w:rPr>
          <w:rFonts w:ascii="Traditional Arabic" w:hAnsi="Traditional Arabic" w:hint="cs"/>
          <w:noProof w:val="0"/>
          <w:rtl/>
          <w:lang w:eastAsia="en-US"/>
        </w:rPr>
        <w:t>و</w:t>
      </w:r>
      <w:r w:rsidR="009A2D9B" w:rsidRPr="00C85F0F">
        <w:rPr>
          <w:rFonts w:ascii="Traditional Arabic" w:hAnsi="Traditional Arabic"/>
          <w:noProof w:val="0"/>
          <w:rtl/>
          <w:lang w:eastAsia="en-US"/>
        </w:rPr>
        <w:t>قد تكون القرينة أقوى م</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 xml:space="preserve">ن أن يأتي </w:t>
      </w:r>
      <w:r w:rsidR="009A2D9B" w:rsidRPr="00C85F0F">
        <w:rPr>
          <w:rFonts w:ascii="Traditional Arabic" w:hAnsi="Traditional Arabic" w:hint="cs"/>
          <w:noProof w:val="0"/>
          <w:rtl/>
          <w:lang w:eastAsia="en-US"/>
        </w:rPr>
        <w:t xml:space="preserve">المدعي </w:t>
      </w:r>
      <w:r w:rsidR="009A2D9B" w:rsidRPr="00C85F0F">
        <w:rPr>
          <w:rFonts w:ascii="Traditional Arabic" w:hAnsi="Traditional Arabic"/>
          <w:noProof w:val="0"/>
          <w:rtl/>
          <w:lang w:eastAsia="en-US"/>
        </w:rPr>
        <w:t>بشاهد واحد ويحل</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ف معه، أو يأتي بشاهدين</w:t>
      </w:r>
      <w:r w:rsidR="00790FDA">
        <w:rPr>
          <w:rFonts w:ascii="Traditional Arabic" w:hAnsi="Traditional Arabic" w:hint="cs"/>
          <w:noProof w:val="0"/>
          <w:rtl/>
          <w:lang w:eastAsia="en-US"/>
        </w:rPr>
        <w:t xml:space="preserve"> </w:t>
      </w:r>
      <w:r w:rsidR="009A2D9B" w:rsidRPr="00C85F0F">
        <w:rPr>
          <w:rFonts w:ascii="Traditional Arabic" w:hAnsi="Traditional Arabic"/>
          <w:noProof w:val="0"/>
          <w:rtl/>
          <w:lang w:eastAsia="en-US"/>
        </w:rPr>
        <w:t xml:space="preserve">أو </w:t>
      </w:r>
      <w:r w:rsidR="009A2D9B" w:rsidRPr="00C85F0F">
        <w:rPr>
          <w:rFonts w:ascii="Traditional Arabic" w:hAnsi="Traditional Arabic" w:hint="cs"/>
          <w:noProof w:val="0"/>
          <w:rtl/>
          <w:lang w:eastAsia="en-US"/>
        </w:rPr>
        <w:t>يأتي ب</w:t>
      </w:r>
      <w:r w:rsidR="009A2D9B" w:rsidRPr="00C85F0F">
        <w:rPr>
          <w:rFonts w:ascii="Traditional Arabic" w:hAnsi="Traditional Arabic"/>
          <w:noProof w:val="0"/>
          <w:rtl/>
          <w:lang w:eastAsia="en-US"/>
        </w:rPr>
        <w:t>شاهد وامرأتين</w:t>
      </w:r>
      <w:r w:rsidR="009A2D9B" w:rsidRPr="00C85F0F">
        <w:rPr>
          <w:rFonts w:ascii="Traditional Arabic" w:hAnsi="Traditional Arabic" w:hint="cs"/>
          <w:noProof w:val="0"/>
          <w:rtl/>
          <w:lang w:eastAsia="en-US"/>
        </w:rPr>
        <w:t xml:space="preserve">، والقرينة قد تَقْوى وقد تضعُف، </w:t>
      </w:r>
      <w:r w:rsidR="009A2D9B" w:rsidRPr="00C85F0F">
        <w:rPr>
          <w:rFonts w:ascii="Traditional Arabic" w:hAnsi="Traditional Arabic"/>
          <w:noProof w:val="0"/>
          <w:rtl/>
          <w:lang w:eastAsia="en-US"/>
        </w:rPr>
        <w:t>فإذا و</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جد</w:t>
      </w:r>
      <w:r w:rsidR="009A2D9B" w:rsidRPr="00C85F0F">
        <w:rPr>
          <w:rFonts w:ascii="Traditional Arabic" w:hAnsi="Traditional Arabic" w:hint="cs"/>
          <w:noProof w:val="0"/>
          <w:rtl/>
          <w:lang w:eastAsia="en-US"/>
        </w:rPr>
        <w:t>ت</w:t>
      </w:r>
      <w:r w:rsidR="009A2D9B" w:rsidRPr="00C85F0F">
        <w:rPr>
          <w:rFonts w:ascii="Traditional Arabic" w:hAnsi="Traditional Arabic"/>
          <w:noProof w:val="0"/>
          <w:rtl/>
          <w:lang w:eastAsia="en-US"/>
        </w:rPr>
        <w:t xml:space="preserve"> قرينة قوي</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ة تغل</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ب على الأصل فإنه ي</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عم</w:t>
      </w:r>
      <w:r w:rsidR="009A2D9B" w:rsidRPr="00C85F0F">
        <w:rPr>
          <w:rFonts w:ascii="Traditional Arabic" w:hAnsi="Traditional Arabic" w:hint="cs"/>
          <w:noProof w:val="0"/>
          <w:rtl/>
          <w:lang w:eastAsia="en-US"/>
        </w:rPr>
        <w:t>َ</w:t>
      </w:r>
      <w:r w:rsidR="009A2D9B" w:rsidRPr="00C85F0F">
        <w:rPr>
          <w:rFonts w:ascii="Traditional Arabic" w:hAnsi="Traditional Arabic"/>
          <w:noProof w:val="0"/>
          <w:rtl/>
          <w:lang w:eastAsia="en-US"/>
        </w:rPr>
        <w:t>ل بها</w:t>
      </w:r>
      <w:r w:rsidR="009A2D9B" w:rsidRPr="00C85F0F">
        <w:rPr>
          <w:rStyle w:val="af1"/>
          <w:szCs w:val="32"/>
          <w:rtl/>
        </w:rPr>
        <w:t>(</w:t>
      </w:r>
      <w:r w:rsidR="009A2D9B" w:rsidRPr="00C85F0F">
        <w:rPr>
          <w:rStyle w:val="af1"/>
          <w:szCs w:val="32"/>
          <w:rtl/>
        </w:rPr>
        <w:footnoteReference w:id="1760"/>
      </w:r>
      <w:r w:rsidR="009A2D9B" w:rsidRPr="00C85F0F">
        <w:rPr>
          <w:rStyle w:val="af1"/>
          <w:szCs w:val="32"/>
          <w:rtl/>
        </w:rPr>
        <w:t>)</w:t>
      </w:r>
      <w:r w:rsidR="009A2D9B" w:rsidRPr="00C85F0F">
        <w:rPr>
          <w:rFonts w:ascii="Traditional Arabic" w:hAnsi="Traditional Arabic"/>
          <w:noProof w:val="0"/>
          <w:rtl/>
          <w:lang w:eastAsia="en-US"/>
        </w:rPr>
        <w:t>.</w:t>
      </w:r>
    </w:p>
    <w:p w:rsidR="009A2D9B" w:rsidRPr="00C85F0F" w:rsidRDefault="00184ADA" w:rsidP="00A8347C">
      <w:pPr>
        <w:pStyle w:val="aff3"/>
        <w:rPr>
          <w:rtl/>
        </w:rPr>
      </w:pPr>
      <w:bookmarkStart w:id="364" w:name="_Toc334046566"/>
      <w:r>
        <w:rPr>
          <w:rFonts w:hint="cs"/>
          <w:rtl/>
        </w:rPr>
        <w:lastRenderedPageBreak/>
        <w:t xml:space="preserve">                                          المطلب</w:t>
      </w:r>
      <w:r w:rsidR="00790FDA">
        <w:rPr>
          <w:rFonts w:hint="cs"/>
          <w:rtl/>
        </w:rPr>
        <w:t xml:space="preserve"> </w:t>
      </w:r>
      <w:r w:rsidR="009A2D9B" w:rsidRPr="00C85F0F">
        <w:rPr>
          <w:rFonts w:hint="cs"/>
          <w:rtl/>
        </w:rPr>
        <w:t>الثالث</w:t>
      </w:r>
      <w:r w:rsidR="009A2D9B" w:rsidRPr="00C85F0F">
        <w:rPr>
          <w:rFonts w:hint="eastAsia"/>
          <w:rtl/>
        </w:rPr>
        <w:t> :</w:t>
      </w:r>
      <w:r w:rsidR="009A2D9B" w:rsidRPr="00C85F0F">
        <w:rPr>
          <w:rFonts w:hint="cs"/>
          <w:rtl/>
        </w:rPr>
        <w:br/>
      </w:r>
      <w:r>
        <w:rPr>
          <w:rFonts w:hint="cs"/>
          <w:rtl/>
        </w:rPr>
        <w:t xml:space="preserve">             </w:t>
      </w:r>
      <w:r w:rsidR="009A3A72">
        <w:rPr>
          <w:rFonts w:hint="cs"/>
          <w:rtl/>
        </w:rPr>
        <w:t xml:space="preserve">                               </w:t>
      </w:r>
      <w:r w:rsidR="009A2D9B" w:rsidRPr="00C85F0F">
        <w:rPr>
          <w:rFonts w:hint="cs"/>
          <w:rtl/>
        </w:rPr>
        <w:t>أدلة القاعدة</w:t>
      </w:r>
      <w:bookmarkEnd w:id="364"/>
    </w:p>
    <w:p w:rsidR="009A2D9B" w:rsidRPr="00C85F0F" w:rsidRDefault="009A2D9B" w:rsidP="000A76C7">
      <w:pPr>
        <w:pStyle w:val="afc"/>
        <w:widowControl/>
        <w:numPr>
          <w:ilvl w:val="0"/>
          <w:numId w:val="241"/>
        </w:numPr>
        <w:autoSpaceDE w:val="0"/>
        <w:autoSpaceDN w:val="0"/>
        <w:adjustRightInd w:val="0"/>
        <w:rPr>
          <w:rFonts w:ascii="Traditional Arabic" w:hAnsi="Traditional Arabic"/>
          <w:noProof w:val="0"/>
          <w:rtl/>
          <w:lang w:eastAsia="en-US"/>
        </w:rPr>
      </w:pPr>
      <w:r w:rsidRPr="00C85F0F">
        <w:rPr>
          <w:rFonts w:ascii="Traditional Arabic" w:hAnsi="Traditional Arabic" w:hint="cs"/>
          <w:noProof w:val="0"/>
          <w:rtl/>
          <w:lang w:eastAsia="en-US"/>
        </w:rPr>
        <w:t>ما ورد في قصة يوسف عليه السلام مع امرأة العزيز</w:t>
      </w:r>
      <w:r w:rsidRPr="00C85F0F">
        <w:rPr>
          <w:rFonts w:ascii="Traditional Arabic" w:hAnsi="Traditional Arabic"/>
          <w:noProof w:val="0"/>
          <w:rtl/>
          <w:lang w:eastAsia="en-US"/>
        </w:rPr>
        <w:t>، حينما داف</w:t>
      </w:r>
      <w:r w:rsidR="009A3A72">
        <w:rPr>
          <w:rFonts w:ascii="Traditional Arabic" w:hAnsi="Traditional Arabic" w:hint="cs"/>
          <w:noProof w:val="0"/>
          <w:rtl/>
          <w:lang w:eastAsia="en-US"/>
        </w:rPr>
        <w:t>َ</w:t>
      </w:r>
      <w:r w:rsidRPr="00C85F0F">
        <w:rPr>
          <w:rFonts w:ascii="Traditional Arabic" w:hAnsi="Traditional Arabic"/>
          <w:noProof w:val="0"/>
          <w:rtl/>
          <w:lang w:eastAsia="en-US"/>
        </w:rPr>
        <w:t>ع يوسف</w:t>
      </w:r>
      <w:r w:rsidR="009A3A72">
        <w:rPr>
          <w:rFonts w:ascii="Traditional Arabic" w:hAnsi="Traditional Arabic" w:hint="cs"/>
          <w:noProof w:val="0"/>
          <w:rtl/>
          <w:lang w:eastAsia="en-US"/>
        </w:rPr>
        <w:t xml:space="preserve"> </w:t>
      </w:r>
      <w:r w:rsidRPr="00C85F0F">
        <w:rPr>
          <w:rFonts w:ascii="Traditional Arabic" w:hAnsi="Traditional Arabic"/>
          <w:noProof w:val="0"/>
          <w:rtl/>
          <w:lang w:eastAsia="en-US"/>
        </w:rPr>
        <w:t>عليه السلام عن نفسه</w:t>
      </w:r>
      <w:r w:rsidRPr="00C85F0F">
        <w:rPr>
          <w:rFonts w:ascii="Traditional Arabic" w:hAnsi="Traditional Arabic" w:hint="cs"/>
          <w:noProof w:val="0"/>
          <w:rtl/>
          <w:lang w:eastAsia="en-US"/>
        </w:rPr>
        <w:t>، و</w:t>
      </w:r>
      <w:r w:rsidR="009A2D7D" w:rsidRPr="00E90490">
        <w:rPr>
          <w:rFonts w:ascii="QCF_BSML" w:hAnsi="QCF_BSML" w:cs="QCF_BSML"/>
          <w:noProof w:val="0"/>
          <w:rtl/>
          <w:lang w:eastAsia="en-US"/>
        </w:rPr>
        <w:t>ﭽ</w:t>
      </w:r>
      <w:r w:rsidR="009A2D7D" w:rsidRPr="00E90490">
        <w:rPr>
          <w:rFonts w:ascii="QCF_P238" w:hAnsi="QCF_P238" w:cs="QCF_P238"/>
          <w:noProof w:val="0"/>
          <w:rtl/>
          <w:lang w:eastAsia="en-US"/>
        </w:rPr>
        <w:t>ﮜ ﮝ ﮞ ﮟ ﮠ</w:t>
      </w:r>
      <w:r w:rsidR="009A2D7D" w:rsidRPr="00E90490">
        <w:rPr>
          <w:rFonts w:ascii="QCF_BSML" w:hAnsi="QCF_BSML" w:cs="QCF_BSML"/>
          <w:noProof w:val="0"/>
          <w:rtl/>
          <w:lang w:eastAsia="en-US"/>
        </w:rPr>
        <w:t>ﭼ</w:t>
      </w:r>
      <w:r w:rsidRPr="00C85F0F">
        <w:rPr>
          <w:rFonts w:ascii="Traditional Arabic" w:hAnsi="Traditional Arabic"/>
          <w:noProof w:val="0"/>
          <w:rtl/>
          <w:lang w:eastAsia="en-US"/>
        </w:rPr>
        <w:t xml:space="preserve"> [يوسف: 26]</w:t>
      </w:r>
      <w:r w:rsidRPr="00C85F0F">
        <w:rPr>
          <w:rFonts w:ascii="Traditional Arabic" w:hAnsi="Traditional Arabic" w:hint="cs"/>
          <w:noProof w:val="0"/>
          <w:rtl/>
          <w:lang w:eastAsia="en-US"/>
        </w:rPr>
        <w:t>،و</w:t>
      </w:r>
      <w:r w:rsidRPr="00C85F0F">
        <w:rPr>
          <w:rFonts w:ascii="Traditional Arabic" w:hAnsi="Traditional Arabic"/>
          <w:noProof w:val="0"/>
          <w:rtl/>
          <w:lang w:eastAsia="en-US"/>
        </w:rPr>
        <w:t>اد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عت </w:t>
      </w:r>
      <w:r w:rsidRPr="00C85F0F">
        <w:rPr>
          <w:rFonts w:ascii="Traditional Arabic" w:hAnsi="Traditional Arabic" w:hint="cs"/>
          <w:noProof w:val="0"/>
          <w:rtl/>
          <w:lang w:eastAsia="en-US"/>
        </w:rPr>
        <w:t xml:space="preserve">هي </w:t>
      </w:r>
      <w:r w:rsidRPr="00C85F0F">
        <w:rPr>
          <w:rFonts w:ascii="Traditional Arabic" w:hAnsi="Traditional Arabic"/>
          <w:noProof w:val="0"/>
          <w:rtl/>
          <w:lang w:eastAsia="en-US"/>
        </w:rPr>
        <w:t>أنه أراد بها سوءا</w:t>
      </w:r>
      <w:r w:rsidRPr="00C85F0F">
        <w:rPr>
          <w:rFonts w:ascii="Traditional Arabic" w:hAnsi="Traditional Arabic" w:hint="cs"/>
          <w:noProof w:val="0"/>
          <w:rtl/>
          <w:lang w:eastAsia="en-US"/>
        </w:rPr>
        <w:t>ً،فحكَم الحاكم بينهما</w:t>
      </w:r>
      <w:r w:rsidR="00790FDA">
        <w:rPr>
          <w:rFonts w:ascii="Traditional Arabic" w:hAnsi="Traditional Arabic" w:hint="cs"/>
          <w:noProof w:val="0"/>
          <w:rtl/>
          <w:lang w:eastAsia="en-US"/>
        </w:rPr>
        <w:t xml:space="preserve"> بناءً</w:t>
      </w:r>
      <w:r w:rsidRPr="00C85F0F">
        <w:rPr>
          <w:rFonts w:ascii="Traditional Arabic" w:hAnsi="Traditional Arabic" w:hint="cs"/>
          <w:noProof w:val="0"/>
          <w:rtl/>
          <w:lang w:eastAsia="en-US"/>
        </w:rPr>
        <w:t xml:space="preserve"> على </w:t>
      </w:r>
      <w:r w:rsidRPr="00C85F0F">
        <w:rPr>
          <w:rFonts w:ascii="Traditional Arabic" w:hAnsi="Traditional Arabic"/>
          <w:noProof w:val="0"/>
          <w:rtl/>
          <w:lang w:eastAsia="en-US"/>
        </w:rPr>
        <w:t>القرينة، ولم يحكم بالبراءة للمرأة، ولا ليوسف عليه الصلاة والسلام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ولكن قال:</w:t>
      </w:r>
      <w:bookmarkStart w:id="365" w:name="سورة_يوسف_26_2"/>
      <w:bookmarkStart w:id="366" w:name="سورة_يوسف_26إلى27_2"/>
      <w:r w:rsidR="009A2D7D" w:rsidRPr="00E90490">
        <w:rPr>
          <w:rFonts w:ascii="QCF_BSML" w:hAnsi="QCF_BSML" w:cs="QCF_BSML"/>
          <w:noProof w:val="0"/>
          <w:rtl/>
          <w:lang w:eastAsia="en-US"/>
        </w:rPr>
        <w:t xml:space="preserve">ﭽ </w:t>
      </w:r>
      <w:r w:rsidR="009A2D7D" w:rsidRPr="00E90490">
        <w:rPr>
          <w:rFonts w:ascii="QCF_P238" w:hAnsi="QCF_P238" w:cs="QCF_P238"/>
          <w:noProof w:val="0"/>
          <w:rtl/>
          <w:lang w:eastAsia="en-US"/>
        </w:rPr>
        <w:t xml:space="preserve">ﮦ ﮧ  ﮨ ﮩ ﮪ ﮫ ﮬ ﮭ ﮮ ﮯ ﮰ ﮱ ﯓ  ﯔ ﯕ ﯖ ﯗ ﯘ ﯙ ﯚ ﯛ </w:t>
      </w:r>
      <w:r w:rsidR="009A2D7D" w:rsidRPr="00E90490">
        <w:rPr>
          <w:rFonts w:ascii="QCF_BSML" w:hAnsi="QCF_BSML" w:cs="QCF_BSML"/>
          <w:noProof w:val="0"/>
          <w:rtl/>
          <w:lang w:eastAsia="en-US"/>
        </w:rPr>
        <w:t>ﭼ</w:t>
      </w:r>
      <w:bookmarkEnd w:id="365"/>
      <w:bookmarkEnd w:id="366"/>
      <w:r w:rsidRPr="00C85F0F">
        <w:rPr>
          <w:rFonts w:ascii="Traditional Arabic" w:hAnsi="Traditional Arabic"/>
          <w:noProof w:val="0"/>
          <w:rtl/>
          <w:lang w:eastAsia="en-US"/>
        </w:rPr>
        <w:t>[يوسف</w:t>
      </w:r>
      <w:r w:rsidRPr="00C85F0F">
        <w:rPr>
          <w:rFonts w:ascii="Traditional Arabic" w:hAnsi="Traditional Arabic" w:hint="cs"/>
          <w:noProof w:val="0"/>
          <w:rtl/>
          <w:lang w:eastAsia="en-US"/>
        </w:rPr>
        <w:t xml:space="preserve"> 26</w:t>
      </w:r>
      <w:r w:rsidR="001E5C2F" w:rsidRPr="00C85F0F">
        <w:rPr>
          <w:rFonts w:ascii="Traditional Arabic" w:hAnsi="Traditional Arabic" w:hint="cs"/>
          <w:noProof w:val="0"/>
          <w:rtl/>
          <w:lang w:eastAsia="en-US"/>
        </w:rPr>
        <w:t>-27</w:t>
      </w:r>
      <w:r w:rsidRPr="00C85F0F">
        <w:rPr>
          <w:rFonts w:ascii="Traditional Arabic" w:hAnsi="Traditional Arabic"/>
          <w:noProof w:val="0"/>
          <w:rtl/>
          <w:lang w:eastAsia="en-US"/>
        </w:rPr>
        <w:t>]</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لأنه إذا كان </w:t>
      </w:r>
      <w:r w:rsidRPr="00C85F0F">
        <w:rPr>
          <w:rFonts w:ascii="Traditional Arabic" w:hAnsi="Traditional Arabic" w:hint="cs"/>
          <w:noProof w:val="0"/>
          <w:rtl/>
          <w:lang w:eastAsia="en-US"/>
        </w:rPr>
        <w:t xml:space="preserve">قّدَّ </w:t>
      </w:r>
      <w:r w:rsidRPr="00C85F0F">
        <w:rPr>
          <w:rFonts w:ascii="Traditional Arabic" w:hAnsi="Traditional Arabic"/>
          <w:noProof w:val="0"/>
          <w:rtl/>
          <w:lang w:eastAsia="en-US"/>
        </w:rPr>
        <w:t>من 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بر فمعناه أن الرجل هرب منها ول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ه فأمسكت بقميصه، وإذا كان </w:t>
      </w:r>
      <w:r w:rsidRPr="00C85F0F">
        <w:rPr>
          <w:rFonts w:ascii="Traditional Arabic" w:hAnsi="Traditional Arabic" w:hint="cs"/>
          <w:noProof w:val="0"/>
          <w:rtl/>
          <w:lang w:eastAsia="en-US"/>
        </w:rPr>
        <w:t xml:space="preserve">قميصُه قدَّ </w:t>
      </w:r>
      <w:r w:rsidRPr="00C85F0F">
        <w:rPr>
          <w:rFonts w:ascii="Traditional Arabic" w:hAnsi="Traditional Arabic"/>
          <w:noProof w:val="0"/>
          <w:rtl/>
          <w:lang w:eastAsia="en-US"/>
        </w:rPr>
        <w:t>من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فالمرأة هي المداف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عة عن نفسها حتى مز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قت القميص، فهذ</w:t>
      </w:r>
      <w:r w:rsidRPr="00C85F0F">
        <w:rPr>
          <w:rFonts w:ascii="Traditional Arabic" w:hAnsi="Traditional Arabic" w:hint="cs"/>
          <w:noProof w:val="0"/>
          <w:rtl/>
          <w:lang w:eastAsia="en-US"/>
        </w:rPr>
        <w:t>ا حكمٌ</w:t>
      </w:r>
      <w:r w:rsidR="00790FDA">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بال</w:t>
      </w:r>
      <w:r w:rsidRPr="00C85F0F">
        <w:rPr>
          <w:rFonts w:ascii="Traditional Arabic" w:hAnsi="Traditional Arabic"/>
          <w:noProof w:val="0"/>
          <w:rtl/>
          <w:lang w:eastAsia="en-US"/>
        </w:rPr>
        <w:t>قرينة</w:t>
      </w:r>
      <w:r w:rsidRPr="00C85F0F">
        <w:rPr>
          <w:rStyle w:val="af1"/>
          <w:szCs w:val="32"/>
          <w:rtl/>
        </w:rPr>
        <w:t>(</w:t>
      </w:r>
      <w:r w:rsidRPr="00C85F0F">
        <w:rPr>
          <w:rStyle w:val="af1"/>
          <w:szCs w:val="32"/>
          <w:rtl/>
        </w:rPr>
        <w:footnoteReference w:id="1761"/>
      </w:r>
      <w:r w:rsidRPr="00C85F0F">
        <w:rPr>
          <w:rStyle w:val="af1"/>
          <w:szCs w:val="32"/>
          <w:rtl/>
        </w:rPr>
        <w:t>)</w:t>
      </w:r>
      <w:r w:rsidRPr="00C85F0F">
        <w:rPr>
          <w:rFonts w:ascii="Traditional Arabic" w:hAnsi="Traditional Arabic"/>
          <w:noProof w:val="0"/>
          <w:rtl/>
          <w:lang w:eastAsia="en-US"/>
        </w:rPr>
        <w:t>.</w:t>
      </w:r>
    </w:p>
    <w:p w:rsidR="009A2D9B" w:rsidRDefault="009A2D9B" w:rsidP="000A76C7">
      <w:pPr>
        <w:pStyle w:val="afc"/>
        <w:widowControl/>
        <w:numPr>
          <w:ilvl w:val="0"/>
          <w:numId w:val="241"/>
        </w:numPr>
        <w:autoSpaceDE w:val="0"/>
        <w:autoSpaceDN w:val="0"/>
        <w:adjustRightInd w:val="0"/>
        <w:rPr>
          <w:rFonts w:ascii="Traditional Arabic" w:hAnsi="Traditional Arabic"/>
          <w:noProof w:val="0"/>
          <w:lang w:eastAsia="en-US"/>
        </w:rPr>
      </w:pPr>
      <w:r w:rsidRPr="00C85F0F">
        <w:rPr>
          <w:rFonts w:ascii="Traditional Arabic" w:hAnsi="Traditional Arabic" w:hint="cs"/>
          <w:noProof w:val="0"/>
          <w:rtl/>
          <w:lang w:eastAsia="en-US"/>
        </w:rPr>
        <w:t xml:space="preserve">حديث </w:t>
      </w:r>
      <w:r w:rsidR="00790FDA">
        <w:rPr>
          <w:rFonts w:ascii="Traditional Arabic" w:hAnsi="Traditional Arabic"/>
          <w:noProof w:val="0"/>
          <w:rtl/>
          <w:lang w:eastAsia="en-US"/>
        </w:rPr>
        <w:t>أبي هريرة</w:t>
      </w:r>
      <w:r w:rsidR="00790FDA">
        <w:rPr>
          <w:rFonts w:ascii="Traditional Arabic" w:hAnsi="Traditional Arabic" w:hint="cs"/>
          <w:noProof w:val="0"/>
          <w:rtl/>
          <w:lang w:eastAsia="en-US"/>
        </w:rPr>
        <w:t>_رضي الله عنه_</w:t>
      </w:r>
      <w:r w:rsidRPr="00C85F0F">
        <w:rPr>
          <w:rFonts w:ascii="Traditional Arabic" w:hAnsi="Traditional Arabic"/>
          <w:noProof w:val="0"/>
          <w:rtl/>
          <w:lang w:eastAsia="en-US"/>
        </w:rPr>
        <w:t xml:space="preserve"> أن رسول الله </w:t>
      </w:r>
      <w:r w:rsidR="00184ADA">
        <w:rPr>
          <w:rFonts w:ascii="Traditional Arabic" w:hAnsi="Traditional Arabic" w:hint="cs"/>
          <w:rtl/>
        </w:rPr>
        <w:t>صلى الله عليه وسلم</w:t>
      </w:r>
      <w:r w:rsidRPr="00C85F0F">
        <w:rPr>
          <w:rFonts w:ascii="Traditional Arabic" w:hAnsi="Traditional Arabic"/>
          <w:noProof w:val="0"/>
          <w:rtl/>
          <w:lang w:eastAsia="en-US"/>
        </w:rPr>
        <w:t xml:space="preserve"> قال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كانت امرأتان معهما ابناهما جاء الذئب فذهب بابن إحداهما</w:t>
      </w:r>
      <w:r w:rsidR="00AB0B9E" w:rsidRPr="00C85F0F">
        <w:rPr>
          <w:rFonts w:ascii="Traditional Arabic" w:hAnsi="Traditional Arabic"/>
          <w:noProof w:val="0"/>
          <w:lang w:eastAsia="en-US"/>
        </w:rPr>
        <w:fldChar w:fldCharType="begin"/>
      </w:r>
      <w:r w:rsidR="007E70B1" w:rsidRPr="00C85F0F">
        <w:instrText>XE</w:instrText>
      </w:r>
      <w:r w:rsidR="007E70B1" w:rsidRPr="00C85F0F">
        <w:rPr>
          <w:rtl/>
        </w:rPr>
        <w:instrText xml:space="preserve"> "</w:instrText>
      </w:r>
      <w:r w:rsidR="007E70B1" w:rsidRPr="00C85F0F">
        <w:rPr>
          <w:rFonts w:ascii="Traditional Arabic" w:hAnsi="Traditional Arabic"/>
          <w:noProof w:val="0"/>
          <w:rtl/>
          <w:lang w:eastAsia="en-US"/>
        </w:rPr>
        <w:instrText>كانت امرأتان معهما ابناهما جاء الذئب فذهب بابن إحداهما</w:instrText>
      </w:r>
      <w:r w:rsidR="007E70B1" w:rsidRPr="00C85F0F">
        <w:rPr>
          <w:rtl/>
        </w:rPr>
        <w:instrText>" \</w:instrText>
      </w:r>
      <w:r w:rsidR="007E70B1" w:rsidRPr="00C85F0F">
        <w:instrText>fh</w:instrText>
      </w:r>
      <w:r w:rsidR="00AB0B9E" w:rsidRPr="00C85F0F">
        <w:rPr>
          <w:rFonts w:ascii="Traditional Arabic" w:hAnsi="Traditional Arabic"/>
          <w:noProof w:val="0"/>
          <w:lang w:eastAsia="en-US"/>
        </w:rPr>
        <w:fldChar w:fldCharType="end"/>
      </w:r>
      <w:r w:rsidRPr="00393AAA">
        <w:rPr>
          <w:rFonts w:ascii="Traditional Arabic" w:hAnsi="Traditional Arabic"/>
          <w:noProof w:val="0"/>
          <w:rtl/>
          <w:lang w:eastAsia="en-US"/>
        </w:rPr>
        <w:t xml:space="preserve"> فقالت لصاحبتها</w:t>
      </w:r>
      <w:r>
        <w:rPr>
          <w:rFonts w:ascii="Traditional Arabic" w:hAnsi="Traditional Arabic" w:hint="cs"/>
          <w:noProof w:val="0"/>
          <w:rtl/>
          <w:lang w:eastAsia="en-US"/>
        </w:rPr>
        <w:t>:</w:t>
      </w:r>
      <w:r w:rsidRPr="00393AAA">
        <w:rPr>
          <w:rFonts w:ascii="Traditional Arabic" w:hAnsi="Traditional Arabic"/>
          <w:noProof w:val="0"/>
          <w:rtl/>
          <w:lang w:eastAsia="en-US"/>
        </w:rPr>
        <w:t xml:space="preserve"> إنما ذهب بابنك</w:t>
      </w:r>
      <w:r>
        <w:rPr>
          <w:rFonts w:ascii="Traditional Arabic" w:hAnsi="Traditional Arabic" w:hint="cs"/>
          <w:noProof w:val="0"/>
          <w:rtl/>
          <w:lang w:eastAsia="en-US"/>
        </w:rPr>
        <w:t xml:space="preserve">، </w:t>
      </w:r>
      <w:r w:rsidRPr="00393AAA">
        <w:rPr>
          <w:rFonts w:ascii="Traditional Arabic" w:hAnsi="Traditional Arabic"/>
          <w:noProof w:val="0"/>
          <w:rtl/>
          <w:lang w:eastAsia="en-US"/>
        </w:rPr>
        <w:t>وقالت الأخرى</w:t>
      </w:r>
      <w:r>
        <w:rPr>
          <w:rFonts w:ascii="Traditional Arabic" w:hAnsi="Traditional Arabic" w:hint="cs"/>
          <w:noProof w:val="0"/>
          <w:rtl/>
          <w:lang w:eastAsia="en-US"/>
        </w:rPr>
        <w:t>:</w:t>
      </w:r>
      <w:r w:rsidRPr="00393AAA">
        <w:rPr>
          <w:rFonts w:ascii="Traditional Arabic" w:hAnsi="Traditional Arabic"/>
          <w:noProof w:val="0"/>
          <w:rtl/>
          <w:lang w:eastAsia="en-US"/>
        </w:rPr>
        <w:t xml:space="preserve"> إنما ذهب بابنك</w:t>
      </w:r>
      <w:r>
        <w:rPr>
          <w:rFonts w:ascii="Traditional Arabic" w:hAnsi="Traditional Arabic" w:hint="cs"/>
          <w:noProof w:val="0"/>
          <w:rtl/>
          <w:lang w:eastAsia="en-US"/>
        </w:rPr>
        <w:t>،</w:t>
      </w:r>
      <w:r w:rsidRPr="00393AAA">
        <w:rPr>
          <w:rFonts w:ascii="Traditional Arabic" w:hAnsi="Traditional Arabic"/>
          <w:noProof w:val="0"/>
          <w:rtl/>
          <w:lang w:eastAsia="en-US"/>
        </w:rPr>
        <w:t xml:space="preserve"> فتحاكمتا إلى داود عليه السلام فقضى به للكبرى</w:t>
      </w:r>
      <w:r>
        <w:rPr>
          <w:rFonts w:ascii="Traditional Arabic" w:hAnsi="Traditional Arabic" w:hint="cs"/>
          <w:noProof w:val="0"/>
          <w:rtl/>
          <w:lang w:eastAsia="en-US"/>
        </w:rPr>
        <w:t>،</w:t>
      </w:r>
      <w:r w:rsidRPr="00393AAA">
        <w:rPr>
          <w:rFonts w:ascii="Traditional Arabic" w:hAnsi="Traditional Arabic"/>
          <w:noProof w:val="0"/>
          <w:rtl/>
          <w:lang w:eastAsia="en-US"/>
        </w:rPr>
        <w:t xml:space="preserve"> فخرجتا على </w:t>
      </w:r>
      <w:r w:rsidRPr="0090573B">
        <w:rPr>
          <w:rFonts w:ascii="Traditional Arabic" w:hAnsi="Traditional Arabic"/>
          <w:noProof w:val="0"/>
          <w:color w:val="auto"/>
          <w:rtl/>
          <w:lang w:eastAsia="en-US"/>
        </w:rPr>
        <w:t>سليمان بن داود</w:t>
      </w:r>
      <w:r w:rsidRPr="00393AAA">
        <w:rPr>
          <w:rFonts w:ascii="Traditional Arabic" w:hAnsi="Traditional Arabic"/>
          <w:noProof w:val="0"/>
          <w:rtl/>
          <w:lang w:eastAsia="en-US"/>
        </w:rPr>
        <w:t xml:space="preserve"> عليهما السلام فأخبرتاه فقال</w:t>
      </w:r>
      <w:r>
        <w:rPr>
          <w:rFonts w:ascii="Traditional Arabic" w:hAnsi="Traditional Arabic" w:hint="cs"/>
          <w:noProof w:val="0"/>
          <w:rtl/>
          <w:lang w:eastAsia="en-US"/>
        </w:rPr>
        <w:t>:</w:t>
      </w:r>
      <w:r w:rsidRPr="00393AAA">
        <w:rPr>
          <w:rFonts w:ascii="Traditional Arabic" w:hAnsi="Traditional Arabic"/>
          <w:noProof w:val="0"/>
          <w:rtl/>
          <w:lang w:eastAsia="en-US"/>
        </w:rPr>
        <w:t xml:space="preserve"> ائتوني بالسك</w:t>
      </w:r>
      <w:r>
        <w:rPr>
          <w:rFonts w:ascii="Traditional Arabic" w:hAnsi="Traditional Arabic" w:hint="cs"/>
          <w:noProof w:val="0"/>
          <w:rtl/>
          <w:lang w:eastAsia="en-US"/>
        </w:rPr>
        <w:t>ِّ</w:t>
      </w:r>
      <w:r w:rsidRPr="00393AAA">
        <w:rPr>
          <w:rFonts w:ascii="Traditional Arabic" w:hAnsi="Traditional Arabic"/>
          <w:noProof w:val="0"/>
          <w:rtl/>
          <w:lang w:eastAsia="en-US"/>
        </w:rPr>
        <w:t>ين أشق</w:t>
      </w:r>
      <w:r>
        <w:rPr>
          <w:rFonts w:ascii="Traditional Arabic" w:hAnsi="Traditional Arabic" w:hint="cs"/>
          <w:noProof w:val="0"/>
          <w:rtl/>
          <w:lang w:eastAsia="en-US"/>
        </w:rPr>
        <w:t>ُّ</w:t>
      </w:r>
      <w:r w:rsidRPr="00393AAA">
        <w:rPr>
          <w:rFonts w:ascii="Traditional Arabic" w:hAnsi="Traditional Arabic"/>
          <w:noProof w:val="0"/>
          <w:rtl/>
          <w:lang w:eastAsia="en-US"/>
        </w:rPr>
        <w:t>ه بينهما</w:t>
      </w:r>
      <w:r>
        <w:rPr>
          <w:rFonts w:ascii="Traditional Arabic" w:hAnsi="Traditional Arabic" w:hint="cs"/>
          <w:noProof w:val="0"/>
          <w:rtl/>
          <w:lang w:eastAsia="en-US"/>
        </w:rPr>
        <w:t>،</w:t>
      </w:r>
      <w:r w:rsidRPr="00393AAA">
        <w:rPr>
          <w:rFonts w:ascii="Traditional Arabic" w:hAnsi="Traditional Arabic"/>
          <w:noProof w:val="0"/>
          <w:rtl/>
          <w:lang w:eastAsia="en-US"/>
        </w:rPr>
        <w:t xml:space="preserve"> فقالت الصغرى</w:t>
      </w:r>
      <w:r>
        <w:rPr>
          <w:rFonts w:ascii="Traditional Arabic" w:hAnsi="Traditional Arabic" w:hint="cs"/>
          <w:noProof w:val="0"/>
          <w:rtl/>
          <w:lang w:eastAsia="en-US"/>
        </w:rPr>
        <w:t>:</w:t>
      </w:r>
      <w:r w:rsidRPr="00393AAA">
        <w:rPr>
          <w:rFonts w:ascii="Traditional Arabic" w:hAnsi="Traditional Arabic"/>
          <w:noProof w:val="0"/>
          <w:rtl/>
          <w:lang w:eastAsia="en-US"/>
        </w:rPr>
        <w:t xml:space="preserve"> لا تفعل يرحمك الله هو ابنها</w:t>
      </w:r>
      <w:r>
        <w:rPr>
          <w:rFonts w:ascii="Traditional Arabic" w:hAnsi="Traditional Arabic" w:hint="cs"/>
          <w:noProof w:val="0"/>
          <w:rtl/>
          <w:lang w:eastAsia="en-US"/>
        </w:rPr>
        <w:t>،</w:t>
      </w:r>
      <w:r w:rsidRPr="00393AAA">
        <w:rPr>
          <w:rFonts w:ascii="Traditional Arabic" w:hAnsi="Traditional Arabic"/>
          <w:noProof w:val="0"/>
          <w:rtl/>
          <w:lang w:eastAsia="en-US"/>
        </w:rPr>
        <w:t xml:space="preserve"> فقضى به للصغرى</w:t>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1762"/>
      </w:r>
      <w:r w:rsidRPr="00C821A1">
        <w:rPr>
          <w:rStyle w:val="af1"/>
          <w:szCs w:val="32"/>
          <w:rtl/>
        </w:rPr>
        <w:t>)</w:t>
      </w:r>
      <w:r>
        <w:rPr>
          <w:rFonts w:ascii="Traditional Arabic" w:hAnsi="Traditional Arabic" w:hint="cs"/>
          <w:noProof w:val="0"/>
          <w:rtl/>
          <w:lang w:eastAsia="en-US"/>
        </w:rPr>
        <w:t>.</w:t>
      </w:r>
    </w:p>
    <w:p w:rsidR="00065E4B" w:rsidRDefault="009A2D9B" w:rsidP="00597C20">
      <w:pPr>
        <w:pStyle w:val="53"/>
        <w:rPr>
          <w:rtl/>
        </w:rPr>
      </w:pPr>
      <w:r>
        <w:rPr>
          <w:rFonts w:hint="cs"/>
          <w:rtl/>
        </w:rPr>
        <w:lastRenderedPageBreak/>
        <w:t>وجه الدلالة:</w:t>
      </w:r>
    </w:p>
    <w:p w:rsidR="009A2D9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ق</w:t>
      </w:r>
      <w:r w:rsidR="009A2D9B">
        <w:rPr>
          <w:rFonts w:ascii="Traditional Arabic" w:hAnsi="Traditional Arabic" w:hint="cs"/>
          <w:noProof w:val="0"/>
          <w:rtl/>
          <w:lang w:eastAsia="en-US"/>
        </w:rPr>
        <w:t xml:space="preserve">ال ابن القيم </w:t>
      </w:r>
      <w:r w:rsidR="00790FDA">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790FDA">
        <w:rPr>
          <w:rFonts w:ascii="Traditional Arabic" w:hAnsi="Traditional Arabic" w:hint="cs"/>
          <w:noProof w:val="0"/>
          <w:rtl/>
          <w:lang w:eastAsia="en-US"/>
        </w:rPr>
        <w:t>_</w:t>
      </w:r>
      <w:r w:rsidR="009A2D9B">
        <w:rPr>
          <w:rFonts w:ascii="Traditional Arabic" w:hAnsi="Traditional Arabic" w:hint="cs"/>
          <w:noProof w:val="0"/>
          <w:rtl/>
          <w:lang w:eastAsia="en-US"/>
        </w:rPr>
        <w:t>: (</w:t>
      </w:r>
      <w:r w:rsidR="009A2D9B" w:rsidRPr="00B85F0D">
        <w:rPr>
          <w:rFonts w:ascii="Traditional Arabic" w:hAnsi="Traditional Arabic"/>
          <w:noProof w:val="0"/>
          <w:rtl/>
          <w:lang w:eastAsia="en-US"/>
        </w:rPr>
        <w:t>فأ</w:t>
      </w:r>
      <w:r w:rsidR="009A2D9B" w:rsidRPr="00B85F0D">
        <w:rPr>
          <w:rFonts w:ascii="Traditional Arabic" w:hAnsi="Traditional Arabic" w:hint="cs"/>
          <w:noProof w:val="0"/>
          <w:rtl/>
          <w:lang w:eastAsia="en-US"/>
        </w:rPr>
        <w:t>ي</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شيء</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أحسن</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من اعتبار هذه القرينة الظاهرة</w:t>
      </w:r>
      <w:r w:rsidR="009A2D9B">
        <w:rPr>
          <w:rFonts w:ascii="Traditional Arabic" w:hAnsi="Traditional Arabic" w:hint="cs"/>
          <w:noProof w:val="0"/>
          <w:rtl/>
          <w:lang w:eastAsia="en-US"/>
        </w:rPr>
        <w:t>،</w:t>
      </w:r>
      <w:r w:rsidR="00790FDA">
        <w:rPr>
          <w:rFonts w:ascii="Traditional Arabic" w:hAnsi="Traditional Arabic" w:hint="cs"/>
          <w:noProof w:val="0"/>
          <w:rtl/>
          <w:lang w:eastAsia="en-US"/>
        </w:rPr>
        <w:t xml:space="preserve"> </w:t>
      </w:r>
      <w:r w:rsidR="009A2D9B" w:rsidRPr="00B85F0D">
        <w:rPr>
          <w:rFonts w:ascii="Traditional Arabic" w:hAnsi="Traditional Arabic"/>
          <w:noProof w:val="0"/>
          <w:rtl/>
          <w:lang w:eastAsia="en-US"/>
        </w:rPr>
        <w:t>فاستدل برضا الكبرى بذلك وأنها قصد</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ت الاست</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رواح إلى التأسي بمساواة الصغرى في ف</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ق</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د</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ولدها</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وبشفقة الصغرى عليه</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وامتناعها من الرضا بذلك</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على أنها هي أمه</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وأن الحامل لها على الامتناع هو ما قام بقلبها من الرحمة والشفقة التي وضعها الله تعالى في قلب الأم</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وق</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و</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ي</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ت هذه القرينة عنده حتى قد</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مها على إقرارها</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 xml:space="preserve"> فإنه حك</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م به لها مع قولها</w:t>
      </w:r>
      <w:r w:rsidR="009A2D9B">
        <w:rPr>
          <w:rFonts w:ascii="Traditional Arabic" w:hAnsi="Traditional Arabic" w:hint="cs"/>
          <w:noProof w:val="0"/>
          <w:rtl/>
          <w:lang w:eastAsia="en-US"/>
        </w:rPr>
        <w:t>:"</w:t>
      </w:r>
      <w:r w:rsidR="009A2D9B" w:rsidRPr="00B85F0D">
        <w:rPr>
          <w:rFonts w:ascii="Traditional Arabic" w:hAnsi="Traditional Arabic"/>
          <w:noProof w:val="0"/>
          <w:rtl/>
          <w:lang w:eastAsia="en-US"/>
        </w:rPr>
        <w:t>هو ابنها</w:t>
      </w:r>
      <w:r w:rsidR="009A2D9B">
        <w:rPr>
          <w:rFonts w:ascii="Traditional Arabic" w:hAnsi="Traditional Arabic" w:hint="cs"/>
          <w:noProof w:val="0"/>
          <w:rtl/>
          <w:lang w:eastAsia="en-US"/>
        </w:rPr>
        <w:t>")</w:t>
      </w:r>
      <w:r w:rsidR="009A2D9B" w:rsidRPr="00C821A1">
        <w:rPr>
          <w:rStyle w:val="af1"/>
          <w:szCs w:val="32"/>
          <w:rtl/>
        </w:rPr>
        <w:t>(</w:t>
      </w:r>
      <w:r w:rsidR="009A2D9B" w:rsidRPr="00C821A1">
        <w:rPr>
          <w:rStyle w:val="af1"/>
          <w:szCs w:val="32"/>
          <w:rtl/>
        </w:rPr>
        <w:footnoteReference w:id="1763"/>
      </w:r>
      <w:r w:rsidR="009A2D9B" w:rsidRPr="00C821A1">
        <w:rPr>
          <w:rStyle w:val="af1"/>
          <w:szCs w:val="32"/>
          <w:rtl/>
        </w:rPr>
        <w:t>)</w:t>
      </w:r>
      <w:r w:rsidR="009A2D9B">
        <w:rPr>
          <w:rFonts w:ascii="Traditional Arabic" w:hAnsi="Traditional Arabic" w:hint="cs"/>
          <w:noProof w:val="0"/>
          <w:rtl/>
          <w:lang w:eastAsia="en-US"/>
        </w:rPr>
        <w:t>.</w:t>
      </w:r>
    </w:p>
    <w:p w:rsidR="009A2D9B" w:rsidRDefault="00184ADA" w:rsidP="00A8347C">
      <w:pPr>
        <w:pStyle w:val="aff3"/>
        <w:rPr>
          <w:rtl/>
        </w:rPr>
      </w:pPr>
      <w:bookmarkStart w:id="368" w:name="_Toc334046567"/>
      <w:r>
        <w:rPr>
          <w:rFonts w:hint="cs"/>
          <w:rtl/>
        </w:rPr>
        <w:t xml:space="preserve">                                           المطلب</w:t>
      </w:r>
      <w:r w:rsidR="0005244C">
        <w:rPr>
          <w:rFonts w:hint="cs"/>
          <w:rtl/>
        </w:rPr>
        <w:t xml:space="preserve"> </w:t>
      </w:r>
      <w:r w:rsidR="009A2D9B">
        <w:rPr>
          <w:rFonts w:hint="cs"/>
          <w:rtl/>
        </w:rPr>
        <w:t>الرابع</w:t>
      </w:r>
      <w:r w:rsidR="009A2D9B">
        <w:rPr>
          <w:rFonts w:hint="eastAsia"/>
          <w:rtl/>
        </w:rPr>
        <w:t> :</w:t>
      </w:r>
      <w:r w:rsidR="009A2D9B">
        <w:rPr>
          <w:rFonts w:hint="cs"/>
          <w:rtl/>
        </w:rPr>
        <w:br/>
      </w:r>
      <w:r>
        <w:rPr>
          <w:rFonts w:hint="cs"/>
          <w:rtl/>
        </w:rPr>
        <w:t xml:space="preserve">           </w:t>
      </w:r>
      <w:r w:rsidR="005E1944">
        <w:rPr>
          <w:rFonts w:hint="cs"/>
          <w:rtl/>
        </w:rPr>
        <w:t xml:space="preserve">                               </w:t>
      </w:r>
      <w:r w:rsidR="009A2D9B">
        <w:rPr>
          <w:rFonts w:hint="cs"/>
          <w:rtl/>
        </w:rPr>
        <w:t>تطبيقات القاعدة</w:t>
      </w:r>
      <w:bookmarkEnd w:id="368"/>
    </w:p>
    <w:p w:rsidR="009A2D9B" w:rsidRPr="00EF3D00" w:rsidRDefault="009A2D9B" w:rsidP="000A76C7">
      <w:pPr>
        <w:pStyle w:val="afc"/>
        <w:widowControl/>
        <w:numPr>
          <w:ilvl w:val="0"/>
          <w:numId w:val="242"/>
        </w:numPr>
        <w:autoSpaceDE w:val="0"/>
        <w:autoSpaceDN w:val="0"/>
        <w:adjustRightInd w:val="0"/>
        <w:rPr>
          <w:rFonts w:ascii="Traditional Arabic" w:hAnsi="Traditional Arabic"/>
          <w:noProof w:val="0"/>
          <w:lang w:eastAsia="en-US"/>
        </w:rPr>
      </w:pPr>
      <w:r>
        <w:rPr>
          <w:rFonts w:ascii="Traditional Arabic" w:hAnsi="Traditional Arabic"/>
          <w:noProof w:val="0"/>
          <w:rtl/>
          <w:lang w:eastAsia="en-US"/>
        </w:rPr>
        <w:t>إذا اختلف</w:t>
      </w:r>
      <w:r w:rsidR="00E53CE8">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البائع والمشتري </w:t>
      </w:r>
      <w:r>
        <w:rPr>
          <w:rFonts w:ascii="Traditional Arabic" w:hAnsi="Traditional Arabic"/>
          <w:noProof w:val="0"/>
          <w:rtl/>
          <w:lang w:eastAsia="en-US"/>
        </w:rPr>
        <w:t>في الأجل</w:t>
      </w:r>
      <w:r w:rsidR="0005244C">
        <w:rPr>
          <w:rFonts w:ascii="Traditional Arabic" w:hAnsi="Traditional Arabic" w:hint="cs"/>
          <w:noProof w:val="0"/>
          <w:rtl/>
          <w:lang w:eastAsia="en-US"/>
        </w:rPr>
        <w:t xml:space="preserve"> </w:t>
      </w:r>
      <w:r>
        <w:rPr>
          <w:rFonts w:ascii="Traditional Arabic" w:hAnsi="Traditional Arabic" w:hint="cs"/>
          <w:noProof w:val="0"/>
          <w:rtl/>
          <w:lang w:eastAsia="en-US"/>
        </w:rPr>
        <w:t>ب</w:t>
      </w:r>
      <w:r>
        <w:rPr>
          <w:rFonts w:ascii="Traditional Arabic" w:hAnsi="Traditional Arabic"/>
          <w:noProof w:val="0"/>
          <w:rtl/>
          <w:lang w:eastAsia="en-US"/>
        </w:rPr>
        <w:t>أن ق</w:t>
      </w:r>
      <w:r>
        <w:rPr>
          <w:rFonts w:ascii="Traditional Arabic" w:hAnsi="Traditional Arabic" w:hint="cs"/>
          <w:noProof w:val="0"/>
          <w:rtl/>
          <w:lang w:eastAsia="en-US"/>
        </w:rPr>
        <w:t>ا</w:t>
      </w:r>
      <w:r w:rsidRPr="00EF3D00">
        <w:rPr>
          <w:rFonts w:ascii="Traditional Arabic" w:hAnsi="Traditional Arabic"/>
          <w:noProof w:val="0"/>
          <w:rtl/>
          <w:lang w:eastAsia="en-US"/>
        </w:rPr>
        <w:t>ل البائع: بعت</w:t>
      </w:r>
      <w:r>
        <w:rPr>
          <w:rFonts w:ascii="Traditional Arabic" w:hAnsi="Traditional Arabic" w:hint="cs"/>
          <w:noProof w:val="0"/>
          <w:rtl/>
          <w:lang w:eastAsia="en-US"/>
        </w:rPr>
        <w:t>ُ</w:t>
      </w:r>
      <w:r w:rsidRPr="00EF3D00">
        <w:rPr>
          <w:rFonts w:ascii="Traditional Arabic" w:hAnsi="Traditional Arabic"/>
          <w:noProof w:val="0"/>
          <w:rtl/>
          <w:lang w:eastAsia="en-US"/>
        </w:rPr>
        <w:t>ك هذا الشيء نقدا</w:t>
      </w:r>
      <w:r>
        <w:rPr>
          <w:rFonts w:ascii="Traditional Arabic" w:hAnsi="Traditional Arabic" w:hint="cs"/>
          <w:noProof w:val="0"/>
          <w:rtl/>
          <w:lang w:eastAsia="en-US"/>
        </w:rPr>
        <w:t>ً</w:t>
      </w:r>
      <w:r w:rsidRPr="00EF3D00">
        <w:rPr>
          <w:rFonts w:ascii="Traditional Arabic" w:hAnsi="Traditional Arabic"/>
          <w:noProof w:val="0"/>
          <w:rtl/>
          <w:lang w:eastAsia="en-US"/>
        </w:rPr>
        <w:t xml:space="preserve"> غير مؤج</w:t>
      </w:r>
      <w:r>
        <w:rPr>
          <w:rFonts w:ascii="Traditional Arabic" w:hAnsi="Traditional Arabic" w:hint="cs"/>
          <w:noProof w:val="0"/>
          <w:rtl/>
          <w:lang w:eastAsia="en-US"/>
        </w:rPr>
        <w:t>َّ</w:t>
      </w:r>
      <w:r w:rsidRPr="00EF3D00">
        <w:rPr>
          <w:rFonts w:ascii="Traditional Arabic" w:hAnsi="Traditional Arabic"/>
          <w:noProof w:val="0"/>
          <w:rtl/>
          <w:lang w:eastAsia="en-US"/>
        </w:rPr>
        <w:t>ل، فقال المشتري: بل بعتن</w:t>
      </w:r>
      <w:r>
        <w:rPr>
          <w:rFonts w:ascii="Traditional Arabic" w:hAnsi="Traditional Arabic" w:hint="cs"/>
          <w:noProof w:val="0"/>
          <w:rtl/>
          <w:lang w:eastAsia="en-US"/>
        </w:rPr>
        <w:t>ِ</w:t>
      </w:r>
      <w:r w:rsidRPr="00EF3D00">
        <w:rPr>
          <w:rFonts w:ascii="Traditional Arabic" w:hAnsi="Traditional Arabic"/>
          <w:noProof w:val="0"/>
          <w:rtl/>
          <w:lang w:eastAsia="en-US"/>
        </w:rPr>
        <w:t>يه مؤج</w:t>
      </w:r>
      <w:r>
        <w:rPr>
          <w:rFonts w:ascii="Traditional Arabic" w:hAnsi="Traditional Arabic" w:hint="cs"/>
          <w:noProof w:val="0"/>
          <w:rtl/>
          <w:lang w:eastAsia="en-US"/>
        </w:rPr>
        <w:t>َّ</w:t>
      </w:r>
      <w:r w:rsidRPr="00EF3D00">
        <w:rPr>
          <w:rFonts w:ascii="Traditional Arabic" w:hAnsi="Traditional Arabic"/>
          <w:noProof w:val="0"/>
          <w:rtl/>
          <w:lang w:eastAsia="en-US"/>
        </w:rPr>
        <w:t>لا</w:t>
      </w:r>
      <w:r>
        <w:rPr>
          <w:rFonts w:ascii="Traditional Arabic" w:hAnsi="Traditional Arabic" w:hint="cs"/>
          <w:noProof w:val="0"/>
          <w:rtl/>
          <w:lang w:eastAsia="en-US"/>
        </w:rPr>
        <w:t>ً</w:t>
      </w:r>
      <w:r w:rsidRPr="00EF3D00">
        <w:rPr>
          <w:rFonts w:ascii="Traditional Arabic" w:hAnsi="Traditional Arabic"/>
          <w:noProof w:val="0"/>
          <w:rtl/>
          <w:lang w:eastAsia="en-US"/>
        </w:rPr>
        <w:t>، فالقول قول البائع، أي: قول م</w:t>
      </w:r>
      <w:r>
        <w:rPr>
          <w:rFonts w:ascii="Traditional Arabic" w:hAnsi="Traditional Arabic" w:hint="cs"/>
          <w:noProof w:val="0"/>
          <w:rtl/>
          <w:lang w:eastAsia="en-US"/>
        </w:rPr>
        <w:t>َ</w:t>
      </w:r>
      <w:r w:rsidRPr="00EF3D00">
        <w:rPr>
          <w:rFonts w:ascii="Traditional Arabic" w:hAnsi="Traditional Arabic"/>
          <w:noProof w:val="0"/>
          <w:rtl/>
          <w:lang w:eastAsia="en-US"/>
        </w:rPr>
        <w:t>ن ينفيه، في</w:t>
      </w:r>
      <w:r>
        <w:rPr>
          <w:rFonts w:ascii="Traditional Arabic" w:hAnsi="Traditional Arabic" w:hint="cs"/>
          <w:noProof w:val="0"/>
          <w:rtl/>
          <w:lang w:eastAsia="en-US"/>
        </w:rPr>
        <w:t>ُ</w:t>
      </w:r>
      <w:r w:rsidRPr="00EF3D00">
        <w:rPr>
          <w:rFonts w:ascii="Traditional Arabic" w:hAnsi="Traditional Arabic"/>
          <w:noProof w:val="0"/>
          <w:rtl/>
          <w:lang w:eastAsia="en-US"/>
        </w:rPr>
        <w:t>لزم المشتري بدفعه نقدا</w:t>
      </w:r>
      <w:r>
        <w:rPr>
          <w:rFonts w:ascii="Traditional Arabic" w:hAnsi="Traditional Arabic" w:hint="cs"/>
          <w:noProof w:val="0"/>
          <w:rtl/>
          <w:lang w:eastAsia="en-US"/>
        </w:rPr>
        <w:t>ً</w:t>
      </w:r>
      <w:r w:rsidRPr="00EF3D00">
        <w:rPr>
          <w:rFonts w:ascii="Traditional Arabic" w:hAnsi="Traditional Arabic"/>
          <w:noProof w:val="0"/>
          <w:rtl/>
          <w:lang w:eastAsia="en-US"/>
        </w:rPr>
        <w:t xml:space="preserve">؛ لأن الأصل عدم </w:t>
      </w:r>
      <w:r>
        <w:rPr>
          <w:rFonts w:ascii="Traditional Arabic" w:hAnsi="Traditional Arabic" w:hint="cs"/>
          <w:noProof w:val="0"/>
          <w:rtl/>
          <w:lang w:eastAsia="en-US"/>
        </w:rPr>
        <w:t>التأجيل</w:t>
      </w:r>
      <w:r>
        <w:rPr>
          <w:rFonts w:ascii="Traditional Arabic" w:hAnsi="Traditional Arabic"/>
          <w:b/>
          <w:bCs/>
          <w:noProof w:val="0"/>
          <w:sz w:val="44"/>
          <w:szCs w:val="44"/>
          <w:rtl/>
          <w:lang w:eastAsia="en-US"/>
        </w:rPr>
        <w:t>.</w:t>
      </w:r>
    </w:p>
    <w:p w:rsidR="009A2D9B" w:rsidRDefault="009A2D9B" w:rsidP="00597C20">
      <w:pPr>
        <w:pStyle w:val="afc"/>
        <w:widowControl/>
        <w:autoSpaceDE w:val="0"/>
        <w:autoSpaceDN w:val="0"/>
        <w:adjustRightInd w:val="0"/>
        <w:ind w:left="1080" w:firstLine="0"/>
        <w:jc w:val="left"/>
        <w:rPr>
          <w:rFonts w:ascii="Traditional Arabic" w:hAnsi="Traditional Arabic"/>
          <w:noProof w:val="0"/>
          <w:rtl/>
          <w:lang w:eastAsia="en-US"/>
        </w:rPr>
      </w:pPr>
      <w:r w:rsidRPr="00EF3D00">
        <w:rPr>
          <w:rFonts w:ascii="Traditional Arabic" w:hAnsi="Traditional Arabic" w:hint="cs"/>
          <w:noProof w:val="0"/>
          <w:rtl/>
          <w:lang w:eastAsia="en-US"/>
        </w:rPr>
        <w:t>لكن إذا</w:t>
      </w:r>
      <w:r w:rsidRPr="00EF3D00">
        <w:rPr>
          <w:rFonts w:ascii="Traditional Arabic" w:hAnsi="Traditional Arabic"/>
          <w:noProof w:val="0"/>
          <w:rtl/>
          <w:lang w:eastAsia="en-US"/>
        </w:rPr>
        <w:t xml:space="preserve"> ق</w:t>
      </w:r>
      <w:r w:rsidRPr="00EF3D00">
        <w:rPr>
          <w:rFonts w:ascii="Traditional Arabic" w:hAnsi="Traditional Arabic" w:hint="cs"/>
          <w:noProof w:val="0"/>
          <w:rtl/>
          <w:lang w:eastAsia="en-US"/>
        </w:rPr>
        <w:t>ا</w:t>
      </w:r>
      <w:r w:rsidRPr="00EF3D00">
        <w:rPr>
          <w:rFonts w:ascii="Traditional Arabic" w:hAnsi="Traditional Arabic"/>
          <w:noProof w:val="0"/>
          <w:rtl/>
          <w:lang w:eastAsia="en-US"/>
        </w:rPr>
        <w:t>م</w:t>
      </w:r>
      <w:r w:rsidRPr="00EF3D00">
        <w:rPr>
          <w:rFonts w:ascii="Traditional Arabic" w:hAnsi="Traditional Arabic" w:hint="cs"/>
          <w:noProof w:val="0"/>
          <w:rtl/>
          <w:lang w:eastAsia="en-US"/>
        </w:rPr>
        <w:t>ت</w:t>
      </w:r>
      <w:r w:rsidRPr="00EF3D00">
        <w:rPr>
          <w:rFonts w:ascii="Traditional Arabic" w:hAnsi="Traditional Arabic"/>
          <w:noProof w:val="0"/>
          <w:rtl/>
          <w:lang w:eastAsia="en-US"/>
        </w:rPr>
        <w:t xml:space="preserve"> قرينة على أن القول قول</w:t>
      </w:r>
      <w:r>
        <w:rPr>
          <w:rFonts w:ascii="Traditional Arabic" w:hAnsi="Traditional Arabic" w:hint="cs"/>
          <w:noProof w:val="0"/>
          <w:rtl/>
          <w:lang w:eastAsia="en-US"/>
        </w:rPr>
        <w:t>ُ</w:t>
      </w:r>
      <w:r w:rsidRPr="00EF3D00">
        <w:rPr>
          <w:rFonts w:ascii="Traditional Arabic" w:hAnsi="Traditional Arabic"/>
          <w:noProof w:val="0"/>
          <w:rtl/>
          <w:lang w:eastAsia="en-US"/>
        </w:rPr>
        <w:t xml:space="preserve"> م</w:t>
      </w:r>
      <w:r>
        <w:rPr>
          <w:rFonts w:ascii="Traditional Arabic" w:hAnsi="Traditional Arabic" w:hint="cs"/>
          <w:noProof w:val="0"/>
          <w:rtl/>
          <w:lang w:eastAsia="en-US"/>
        </w:rPr>
        <w:t>َ</w:t>
      </w:r>
      <w:r w:rsidRPr="00EF3D00">
        <w:rPr>
          <w:rFonts w:ascii="Traditional Arabic" w:hAnsi="Traditional Arabic"/>
          <w:noProof w:val="0"/>
          <w:rtl/>
          <w:lang w:eastAsia="en-US"/>
        </w:rPr>
        <w:t>ن ي</w:t>
      </w:r>
      <w:r>
        <w:rPr>
          <w:rFonts w:ascii="Traditional Arabic" w:hAnsi="Traditional Arabic" w:hint="cs"/>
          <w:noProof w:val="0"/>
          <w:rtl/>
          <w:lang w:eastAsia="en-US"/>
        </w:rPr>
        <w:t>ُ</w:t>
      </w:r>
      <w:r w:rsidRPr="00EF3D00">
        <w:rPr>
          <w:rFonts w:ascii="Traditional Arabic" w:hAnsi="Traditional Arabic"/>
          <w:noProof w:val="0"/>
          <w:rtl/>
          <w:lang w:eastAsia="en-US"/>
        </w:rPr>
        <w:t>ثبته في</w:t>
      </w:r>
      <w:r>
        <w:rPr>
          <w:rFonts w:ascii="Traditional Arabic" w:hAnsi="Traditional Arabic" w:hint="cs"/>
          <w:noProof w:val="0"/>
          <w:rtl/>
          <w:lang w:eastAsia="en-US"/>
        </w:rPr>
        <w:t>ُ</w:t>
      </w:r>
      <w:r w:rsidRPr="00EF3D00">
        <w:rPr>
          <w:rFonts w:ascii="Traditional Arabic" w:hAnsi="Traditional Arabic"/>
          <w:noProof w:val="0"/>
          <w:rtl/>
          <w:lang w:eastAsia="en-US"/>
        </w:rPr>
        <w:t>حكم بهذه القرينة</w:t>
      </w:r>
      <w:r w:rsidRPr="00C821A1">
        <w:rPr>
          <w:rStyle w:val="af1"/>
          <w:szCs w:val="32"/>
          <w:rtl/>
        </w:rPr>
        <w:t>(</w:t>
      </w:r>
      <w:r w:rsidRPr="00C821A1">
        <w:rPr>
          <w:rStyle w:val="af1"/>
          <w:szCs w:val="32"/>
          <w:rtl/>
        </w:rPr>
        <w:footnoteReference w:id="1764"/>
      </w:r>
      <w:r w:rsidRPr="00C821A1">
        <w:rPr>
          <w:rStyle w:val="af1"/>
          <w:szCs w:val="32"/>
          <w:rtl/>
        </w:rPr>
        <w:t>)</w:t>
      </w:r>
      <w:r w:rsidRPr="00EF3D00">
        <w:rPr>
          <w:rFonts w:ascii="Traditional Arabic" w:hAnsi="Traditional Arabic"/>
          <w:noProof w:val="0"/>
          <w:rtl/>
          <w:lang w:eastAsia="en-US"/>
        </w:rPr>
        <w:t>.</w:t>
      </w:r>
    </w:p>
    <w:p w:rsidR="009A2D9B" w:rsidRDefault="009A2D9B" w:rsidP="00597C20">
      <w:pPr>
        <w:pStyle w:val="53"/>
        <w:rPr>
          <w:rtl/>
        </w:rPr>
      </w:pPr>
      <w:r>
        <w:rPr>
          <w:rFonts w:hint="cs"/>
          <w:rtl/>
        </w:rPr>
        <w:t>وجه اندراج الفرع تحت القاعدة:</w:t>
      </w:r>
    </w:p>
    <w:p w:rsidR="009A2D9B" w:rsidRPr="006E5B27" w:rsidRDefault="009A2D9B" w:rsidP="00597C20">
      <w:pPr>
        <w:widowControl/>
        <w:autoSpaceDE w:val="0"/>
        <w:autoSpaceDN w:val="0"/>
        <w:adjustRightInd w:val="0"/>
        <w:ind w:firstLine="720"/>
        <w:jc w:val="left"/>
        <w:rPr>
          <w:rFonts w:ascii="Traditional Arabic" w:hAnsi="Traditional Arabic"/>
          <w:noProof w:val="0"/>
          <w:rtl/>
          <w:lang w:eastAsia="en-US"/>
        </w:rPr>
      </w:pPr>
      <w:r w:rsidRPr="006E5B27">
        <w:rPr>
          <w:rFonts w:ascii="Traditional Arabic" w:hAnsi="Traditional Arabic" w:hint="cs"/>
          <w:noProof w:val="0"/>
          <w:rtl/>
          <w:lang w:eastAsia="en-US"/>
        </w:rPr>
        <w:t>إذا قامت قرينة تؤيد قول المشتري فإنه يُحكم بها؛ لأن القرائن شواهد بمنزلة البينة.</w:t>
      </w:r>
    </w:p>
    <w:p w:rsidR="00065E4B" w:rsidRPr="00D819CC" w:rsidRDefault="009A2D9B" w:rsidP="000A76C7">
      <w:pPr>
        <w:pStyle w:val="afc"/>
        <w:widowControl/>
        <w:numPr>
          <w:ilvl w:val="0"/>
          <w:numId w:val="242"/>
        </w:numPr>
        <w:autoSpaceDE w:val="0"/>
        <w:autoSpaceDN w:val="0"/>
        <w:adjustRightInd w:val="0"/>
        <w:jc w:val="left"/>
        <w:rPr>
          <w:rFonts w:ascii="Traditional Arabic" w:hAnsi="Traditional Arabic"/>
          <w:noProof w:val="0"/>
          <w:color w:val="auto"/>
          <w:lang w:eastAsia="en-US"/>
        </w:rPr>
      </w:pPr>
      <w:r w:rsidRPr="00D819CC">
        <w:rPr>
          <w:rFonts w:ascii="Traditional Arabic" w:hAnsi="Traditional Arabic" w:hint="cs"/>
          <w:noProof w:val="0"/>
          <w:rtl/>
          <w:lang w:eastAsia="en-US"/>
        </w:rPr>
        <w:t xml:space="preserve">إذا </w:t>
      </w:r>
      <w:r w:rsidRPr="00D819CC">
        <w:rPr>
          <w:rFonts w:ascii="Traditional Arabic" w:hAnsi="Traditional Arabic"/>
          <w:noProof w:val="0"/>
          <w:rtl/>
          <w:lang w:eastAsia="en-US"/>
        </w:rPr>
        <w:t>اختلف المعير والمستعير في رد العارية</w:t>
      </w:r>
      <w:r w:rsidRPr="00D819CC">
        <w:rPr>
          <w:rFonts w:ascii="Traditional Arabic" w:hAnsi="Traditional Arabic" w:hint="cs"/>
          <w:noProof w:val="0"/>
          <w:rtl/>
          <w:lang w:eastAsia="en-US"/>
        </w:rPr>
        <w:t>،</w:t>
      </w:r>
      <w:r w:rsidRPr="00D819CC">
        <w:rPr>
          <w:rFonts w:ascii="Traditional Arabic" w:hAnsi="Traditional Arabic"/>
          <w:noProof w:val="0"/>
          <w:rtl/>
          <w:lang w:eastAsia="en-US"/>
        </w:rPr>
        <w:t xml:space="preserve"> فالقول قول الم</w:t>
      </w:r>
      <w:r w:rsidRPr="00D819CC">
        <w:rPr>
          <w:rFonts w:ascii="Traditional Arabic" w:hAnsi="Traditional Arabic" w:hint="cs"/>
          <w:noProof w:val="0"/>
          <w:rtl/>
          <w:lang w:eastAsia="en-US"/>
        </w:rPr>
        <w:t>عير.</w:t>
      </w:r>
    </w:p>
    <w:p w:rsidR="00065E4B" w:rsidRDefault="00065E4B" w:rsidP="0005244C">
      <w:pPr>
        <w:pStyle w:val="afc"/>
        <w:widowControl/>
        <w:autoSpaceDE w:val="0"/>
        <w:autoSpaceDN w:val="0"/>
        <w:adjustRightInd w:val="0"/>
        <w:ind w:left="1080" w:firstLine="0"/>
        <w:rPr>
          <w:rFonts w:ascii="Traditional Arabic" w:hAnsi="Traditional Arabic"/>
          <w:noProof w:val="0"/>
          <w:color w:val="auto"/>
          <w:rtl/>
          <w:lang w:eastAsia="en-US"/>
        </w:rPr>
      </w:pPr>
      <w:r w:rsidRPr="008F1F5E">
        <w:rPr>
          <w:rFonts w:ascii="Traditional Arabic" w:hAnsi="Traditional Arabic"/>
          <w:noProof w:val="0"/>
          <w:rtl/>
          <w:lang w:eastAsia="en-US"/>
        </w:rPr>
        <w:t>م</w:t>
      </w:r>
      <w:r w:rsidR="009A2D9B" w:rsidRPr="008F1F5E">
        <w:rPr>
          <w:rFonts w:ascii="Traditional Arabic" w:hAnsi="Traditional Arabic"/>
          <w:noProof w:val="0"/>
          <w:rtl/>
          <w:lang w:eastAsia="en-US"/>
        </w:rPr>
        <w:t>ثاله: أعار إناء</w:t>
      </w:r>
      <w:r w:rsidR="009A2D9B">
        <w:rPr>
          <w:rFonts w:ascii="Traditional Arabic" w:hAnsi="Traditional Arabic" w:hint="cs"/>
          <w:noProof w:val="0"/>
          <w:rtl/>
          <w:lang w:eastAsia="en-US"/>
        </w:rPr>
        <w:t>ً</w:t>
      </w:r>
      <w:r w:rsidR="009A2D9B" w:rsidRPr="008F1F5E">
        <w:rPr>
          <w:rFonts w:ascii="Traditional Arabic" w:hAnsi="Traditional Arabic"/>
          <w:noProof w:val="0"/>
          <w:rtl/>
          <w:lang w:eastAsia="en-US"/>
        </w:rPr>
        <w:t xml:space="preserve"> لشخص، ثم جاء يطلبه منه، فقال المستعير: رددت</w:t>
      </w:r>
      <w:r w:rsidR="009A2D9B">
        <w:rPr>
          <w:rFonts w:ascii="Traditional Arabic" w:hAnsi="Traditional Arabic" w:hint="cs"/>
          <w:noProof w:val="0"/>
          <w:rtl/>
          <w:lang w:eastAsia="en-US"/>
        </w:rPr>
        <w:t>ُ</w:t>
      </w:r>
      <w:r w:rsidR="009A2D9B" w:rsidRPr="008F1F5E">
        <w:rPr>
          <w:rFonts w:ascii="Traditional Arabic" w:hAnsi="Traditional Arabic"/>
          <w:noProof w:val="0"/>
          <w:rtl/>
          <w:lang w:eastAsia="en-US"/>
        </w:rPr>
        <w:t>ه، وقال المعير: لم ترد</w:t>
      </w:r>
      <w:r w:rsidR="009A2D9B">
        <w:rPr>
          <w:rFonts w:ascii="Traditional Arabic" w:hAnsi="Traditional Arabic" w:hint="cs"/>
          <w:noProof w:val="0"/>
          <w:rtl/>
          <w:lang w:eastAsia="en-US"/>
        </w:rPr>
        <w:t>َّ</w:t>
      </w:r>
      <w:r w:rsidR="009A2D9B" w:rsidRPr="008F1F5E">
        <w:rPr>
          <w:rFonts w:ascii="Traditional Arabic" w:hAnsi="Traditional Arabic"/>
          <w:noProof w:val="0"/>
          <w:rtl/>
          <w:lang w:eastAsia="en-US"/>
        </w:rPr>
        <w:t xml:space="preserve">ه، فالقول قول المالك؛ لأن الأصل </w:t>
      </w:r>
      <w:r w:rsidR="009A2D9B" w:rsidRPr="008F1F5E">
        <w:rPr>
          <w:rFonts w:ascii="Traditional Arabic" w:hAnsi="Traditional Arabic"/>
          <w:noProof w:val="0"/>
          <w:color w:val="auto"/>
          <w:rtl/>
          <w:lang w:eastAsia="en-US"/>
        </w:rPr>
        <w:t>عدم الرد</w:t>
      </w:r>
      <w:r w:rsidR="009A2D9B" w:rsidRPr="008F1F5E">
        <w:rPr>
          <w:rFonts w:ascii="Traditional Arabic" w:hAnsi="Traditional Arabic"/>
          <w:noProof w:val="0"/>
          <w:rtl/>
          <w:lang w:eastAsia="en-US"/>
        </w:rPr>
        <w:t xml:space="preserve">، وبناء على القاعدة المعروفة عند الفقهاء: </w:t>
      </w:r>
      <w:r w:rsidR="009A2D9B">
        <w:rPr>
          <w:rFonts w:ascii="Traditional Arabic" w:hAnsi="Traditional Arabic" w:hint="cs"/>
          <w:noProof w:val="0"/>
          <w:rtl/>
          <w:lang w:eastAsia="en-US"/>
        </w:rPr>
        <w:t>"</w:t>
      </w:r>
      <w:r w:rsidR="009A2D9B" w:rsidRPr="008F1F5E">
        <w:rPr>
          <w:rFonts w:ascii="Traditional Arabic" w:hAnsi="Traditional Arabic"/>
          <w:noProof w:val="0"/>
          <w:rtl/>
          <w:lang w:eastAsia="en-US"/>
        </w:rPr>
        <w:t>أن من قبض العين لمصلحة نفسه لم يقبل قوله في الرد</w:t>
      </w:r>
      <w:r w:rsidR="009A2D9B">
        <w:rPr>
          <w:rFonts w:ascii="Traditional Arabic" w:hAnsi="Traditional Arabic" w:hint="cs"/>
          <w:noProof w:val="0"/>
          <w:rtl/>
          <w:lang w:eastAsia="en-US"/>
        </w:rPr>
        <w:t>"</w:t>
      </w:r>
      <w:r w:rsidR="009A2D9B" w:rsidRPr="008F1F5E">
        <w:rPr>
          <w:rFonts w:ascii="Traditional Arabic" w:hAnsi="Traditional Arabic"/>
          <w:noProof w:val="0"/>
          <w:rtl/>
          <w:lang w:eastAsia="en-US"/>
        </w:rPr>
        <w:t xml:space="preserve">، والمستعير العين في </w:t>
      </w:r>
      <w:r w:rsidR="009A2D9B" w:rsidRPr="008F1F5E">
        <w:rPr>
          <w:rFonts w:ascii="Traditional Arabic" w:hAnsi="Traditional Arabic"/>
          <w:noProof w:val="0"/>
          <w:rtl/>
          <w:lang w:eastAsia="en-US"/>
        </w:rPr>
        <w:lastRenderedPageBreak/>
        <w:t>يده لمصلحته، فإذا قال: رددتها عليك، قلنا: لا نقبل قولك إلا إذا أتيت ببينة بأنك رددتها، فلو أتى المستعير ببينة أنه رد العارية فإنه يقبل قوله بالبينة</w:t>
      </w:r>
      <w:r w:rsidR="009A2D9B">
        <w:rPr>
          <w:rFonts w:ascii="Traditional Arabic" w:hAnsi="Traditional Arabic" w:hint="cs"/>
          <w:noProof w:val="0"/>
          <w:rtl/>
          <w:lang w:eastAsia="en-US"/>
        </w:rPr>
        <w:t>.</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sidRPr="0044114F">
        <w:rPr>
          <w:rFonts w:ascii="Traditional Arabic" w:hAnsi="Traditional Arabic"/>
          <w:noProof w:val="0"/>
          <w:rtl/>
          <w:lang w:eastAsia="en-US"/>
        </w:rPr>
        <w:t>و</w:t>
      </w:r>
      <w:r w:rsidR="009A2D9B" w:rsidRPr="0044114F">
        <w:rPr>
          <w:rFonts w:ascii="Traditional Arabic" w:hAnsi="Traditional Arabic"/>
          <w:noProof w:val="0"/>
          <w:rtl/>
          <w:lang w:eastAsia="en-US"/>
        </w:rPr>
        <w:t>لكن لو قيل بأنه يجب النظر إلى القرائن أولا</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فإذا لم يكن قرينة</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xml:space="preserve"> فالقول ما</w:t>
      </w:r>
      <w:r w:rsidR="009A2D9B">
        <w:rPr>
          <w:rFonts w:ascii="Traditional Arabic" w:hAnsi="Traditional Arabic"/>
          <w:noProof w:val="0"/>
          <w:rtl/>
          <w:lang w:eastAsia="en-US"/>
        </w:rPr>
        <w:t xml:space="preserve"> ذهب إليه الفقهاء </w:t>
      </w:r>
      <w:r w:rsidR="009A2D9B">
        <w:rPr>
          <w:rFonts w:ascii="Traditional Arabic" w:hAnsi="Traditional Arabic" w:hint="cs"/>
          <w:noProof w:val="0"/>
          <w:rtl/>
          <w:lang w:eastAsia="en-US"/>
        </w:rPr>
        <w:t>-</w:t>
      </w:r>
      <w:r w:rsidR="009A2D9B">
        <w:rPr>
          <w:rFonts w:ascii="Traditional Arabic" w:hAnsi="Traditional Arabic"/>
          <w:noProof w:val="0"/>
          <w:rtl/>
          <w:lang w:eastAsia="en-US"/>
        </w:rPr>
        <w:t>رحمهم الله</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أما مع القرينة فلا ينبغي أن يقال: إ</w:t>
      </w:r>
      <w:r w:rsidR="009A2D9B">
        <w:rPr>
          <w:rFonts w:ascii="Traditional Arabic" w:hAnsi="Traditional Arabic"/>
          <w:noProof w:val="0"/>
          <w:rtl/>
          <w:lang w:eastAsia="en-US"/>
        </w:rPr>
        <w:t>ن القول قول المالك، أو قول من</w:t>
      </w:r>
      <w:r w:rsidR="009A2D9B" w:rsidRPr="0044114F">
        <w:rPr>
          <w:rFonts w:ascii="Traditional Arabic" w:hAnsi="Traditional Arabic"/>
          <w:noProof w:val="0"/>
          <w:rtl/>
          <w:lang w:eastAsia="en-US"/>
        </w:rPr>
        <w:t xml:space="preserve"> بيده</w:t>
      </w:r>
      <w:r w:rsidR="009A2D9B">
        <w:rPr>
          <w:rFonts w:ascii="Traditional Arabic" w:hAnsi="Traditional Arabic" w:hint="cs"/>
          <w:noProof w:val="0"/>
          <w:rtl/>
          <w:lang w:eastAsia="en-US"/>
        </w:rPr>
        <w:t xml:space="preserve"> العين المؤجرة</w:t>
      </w:r>
      <w:r w:rsidR="009A2D9B" w:rsidRPr="0044114F">
        <w:rPr>
          <w:rFonts w:ascii="Traditional Arabic" w:hAnsi="Traditional Arabic"/>
          <w:noProof w:val="0"/>
          <w:rtl/>
          <w:lang w:eastAsia="en-US"/>
        </w:rPr>
        <w:t>، بل يرجع إلى ما تقتضيه القرينة، وهذا هو الأقرب للصواب؛ لأن قرائن الأحوال شواهد بمنزلة البينة، فلو أن شخصا</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xml:space="preserve"> أعار</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xml:space="preserve"> رجلا</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xml:space="preserve"> أمينا صدوقا حافظا، ثم جاء يطلبه</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xml:space="preserve"> فقال المستعير: قد رددته عليك، وقال المعير: لم ترد</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ه علي</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والمعير معروف</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xml:space="preserve"> بالنسيان، فهنا لا يسوغ أن نقول: إن القول قول المعير؛ لأن هذا الذي</w:t>
      </w:r>
      <w:r w:rsidR="0005244C">
        <w:rPr>
          <w:rFonts w:ascii="Traditional Arabic" w:hAnsi="Traditional Arabic" w:hint="cs"/>
          <w:noProof w:val="0"/>
          <w:rtl/>
          <w:lang w:eastAsia="en-US"/>
        </w:rPr>
        <w:t xml:space="preserve"> </w:t>
      </w:r>
      <w:r w:rsidR="009A2D9B" w:rsidRPr="0044114F">
        <w:rPr>
          <w:rFonts w:ascii="Traditional Arabic" w:hAnsi="Traditional Arabic"/>
          <w:noProof w:val="0"/>
          <w:rtl/>
          <w:lang w:eastAsia="en-US"/>
        </w:rPr>
        <w:t>ادعى الرد ثقة</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xml:space="preserve"> صدوق حافظ، فيكون القول قول</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ه</w:t>
      </w:r>
      <w:r w:rsidR="009A2D9B">
        <w:rPr>
          <w:rFonts w:ascii="Traditional Arabic" w:hAnsi="Traditional Arabic" w:hint="cs"/>
          <w:noProof w:val="0"/>
          <w:rtl/>
          <w:lang w:eastAsia="en-US"/>
        </w:rPr>
        <w:t>،</w:t>
      </w:r>
      <w:r w:rsidR="009A2D9B" w:rsidRPr="0044114F">
        <w:rPr>
          <w:rFonts w:ascii="Traditional Arabic" w:hAnsi="Traditional Arabic"/>
          <w:noProof w:val="0"/>
          <w:rtl/>
          <w:lang w:eastAsia="en-US"/>
        </w:rPr>
        <w:t xml:space="preserve"> لكن لا بد من اليمين</w:t>
      </w:r>
      <w:r w:rsidR="009A2D9B" w:rsidRPr="00C821A1">
        <w:rPr>
          <w:rStyle w:val="af1"/>
          <w:szCs w:val="32"/>
          <w:rtl/>
        </w:rPr>
        <w:t>(</w:t>
      </w:r>
      <w:r w:rsidR="009A2D9B" w:rsidRPr="00C821A1">
        <w:rPr>
          <w:rStyle w:val="af1"/>
          <w:szCs w:val="32"/>
          <w:rtl/>
        </w:rPr>
        <w:footnoteReference w:id="1765"/>
      </w:r>
      <w:r w:rsidR="009A2D9B" w:rsidRPr="00C821A1">
        <w:rPr>
          <w:rStyle w:val="af1"/>
          <w:szCs w:val="32"/>
          <w:rtl/>
        </w:rPr>
        <w:t>)</w:t>
      </w:r>
      <w:r w:rsidR="009A2D9B" w:rsidRPr="0044114F">
        <w:rPr>
          <w:rFonts w:ascii="Traditional Arabic" w:hAnsi="Traditional Arabic"/>
          <w:noProof w:val="0"/>
          <w:rtl/>
          <w:lang w:eastAsia="en-US"/>
        </w:rPr>
        <w:t>.</w:t>
      </w:r>
    </w:p>
    <w:p w:rsidR="00065E4B" w:rsidRDefault="00065E4B" w:rsidP="00597C20">
      <w:pPr>
        <w:pStyle w:val="53"/>
        <w:rPr>
          <w:rtl/>
        </w:rPr>
      </w:pPr>
      <w:r>
        <w:rPr>
          <w:rFonts w:hint="cs"/>
          <w:rtl/>
        </w:rPr>
        <w:t>و</w:t>
      </w:r>
      <w:r w:rsidR="009A2D9B">
        <w:rPr>
          <w:rFonts w:hint="cs"/>
          <w:rtl/>
        </w:rPr>
        <w:t>جه اندراج الفرع تحت القاعدة:</w:t>
      </w:r>
    </w:p>
    <w:p w:rsidR="009A2D9B" w:rsidRPr="00D819CC"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9A2D9B">
        <w:rPr>
          <w:rFonts w:ascii="Traditional Arabic" w:hAnsi="Traditional Arabic" w:hint="cs"/>
          <w:noProof w:val="0"/>
          <w:color w:val="auto"/>
          <w:rtl/>
          <w:lang w:eastAsia="en-US"/>
        </w:rPr>
        <w:t>ذا دلت القرائن على قبول قول المستعير في الرد فإن القول قوله؛ لأن قرائن الأحوال شواهد بمنزلة البينة.</w:t>
      </w:r>
    </w:p>
    <w:p w:rsidR="00065E4B" w:rsidRPr="00573B00" w:rsidRDefault="009A2D9B" w:rsidP="000A76C7">
      <w:pPr>
        <w:pStyle w:val="afc"/>
        <w:widowControl/>
        <w:numPr>
          <w:ilvl w:val="0"/>
          <w:numId w:val="242"/>
        </w:numPr>
        <w:autoSpaceDE w:val="0"/>
        <w:autoSpaceDN w:val="0"/>
        <w:adjustRightInd w:val="0"/>
        <w:rPr>
          <w:rFonts w:ascii="Traditional Arabic" w:hAnsi="Traditional Arabic"/>
          <w:noProof w:val="0"/>
          <w:rtl/>
          <w:lang w:eastAsia="en-US"/>
        </w:rPr>
      </w:pPr>
      <w:r>
        <w:rPr>
          <w:rFonts w:ascii="Traditional Arabic" w:hAnsi="Traditional Arabic"/>
          <w:noProof w:val="0"/>
          <w:rtl/>
          <w:lang w:eastAsia="en-US"/>
        </w:rPr>
        <w:t>من ترك حيوانا بفلاة</w:t>
      </w:r>
      <w:r>
        <w:rPr>
          <w:rFonts w:ascii="Traditional Arabic" w:hAnsi="Traditional Arabic" w:hint="cs"/>
          <w:noProof w:val="0"/>
          <w:rtl/>
          <w:lang w:eastAsia="en-US"/>
        </w:rPr>
        <w:t>ٍ</w:t>
      </w:r>
      <w:r w:rsidR="0005244C">
        <w:rPr>
          <w:rFonts w:ascii="Traditional Arabic" w:hAnsi="Traditional Arabic" w:hint="cs"/>
          <w:noProof w:val="0"/>
          <w:rtl/>
          <w:lang w:eastAsia="en-US"/>
        </w:rPr>
        <w:t xml:space="preserve"> </w:t>
      </w:r>
      <w:r>
        <w:rPr>
          <w:rFonts w:ascii="Traditional Arabic" w:hAnsi="Traditional Arabic" w:hint="cs"/>
          <w:noProof w:val="0"/>
          <w:rtl/>
          <w:lang w:eastAsia="en-US"/>
        </w:rPr>
        <w:t>لانقطاعه</w:t>
      </w:r>
      <w:r w:rsidRPr="00573B00">
        <w:rPr>
          <w:rFonts w:ascii="Traditional Arabic" w:hAnsi="Traditional Arabic"/>
          <w:noProof w:val="0"/>
          <w:rtl/>
          <w:lang w:eastAsia="en-US"/>
        </w:rPr>
        <w:t>، فهو لمن وجده،</w:t>
      </w:r>
      <w:r w:rsidR="0005244C">
        <w:rPr>
          <w:rFonts w:ascii="Traditional Arabic" w:hAnsi="Traditional Arabic" w:hint="cs"/>
          <w:noProof w:val="0"/>
          <w:rtl/>
          <w:lang w:eastAsia="en-US"/>
        </w:rPr>
        <w:t xml:space="preserve"> </w:t>
      </w:r>
      <w:r w:rsidRPr="00573B00">
        <w:rPr>
          <w:rFonts w:ascii="Traditional Arabic" w:hAnsi="Traditional Arabic"/>
          <w:noProof w:val="0"/>
          <w:rtl/>
          <w:lang w:eastAsia="en-US"/>
        </w:rPr>
        <w:t>ولكن لو اد</w:t>
      </w:r>
      <w:r>
        <w:rPr>
          <w:rFonts w:ascii="Traditional Arabic" w:hAnsi="Traditional Arabic" w:hint="cs"/>
          <w:noProof w:val="0"/>
          <w:rtl/>
          <w:lang w:eastAsia="en-US"/>
        </w:rPr>
        <w:t>َّ</w:t>
      </w:r>
      <w:r w:rsidRPr="00573B00">
        <w:rPr>
          <w:rFonts w:ascii="Traditional Arabic" w:hAnsi="Traditional Arabic"/>
          <w:noProof w:val="0"/>
          <w:rtl/>
          <w:lang w:eastAsia="en-US"/>
        </w:rPr>
        <w:t>عى مالك</w:t>
      </w:r>
      <w:r w:rsidRPr="00573B00">
        <w:rPr>
          <w:rFonts w:ascii="Traditional Arabic" w:hAnsi="Traditional Arabic" w:hint="cs"/>
          <w:noProof w:val="0"/>
          <w:rtl/>
          <w:lang w:eastAsia="en-US"/>
        </w:rPr>
        <w:t>ُ</w:t>
      </w:r>
      <w:r w:rsidRPr="00573B00">
        <w:rPr>
          <w:rFonts w:ascii="Traditional Arabic" w:hAnsi="Traditional Arabic"/>
          <w:noProof w:val="0"/>
          <w:rtl/>
          <w:lang w:eastAsia="en-US"/>
        </w:rPr>
        <w:t>ه أنه لم يتركه رغبة</w:t>
      </w:r>
      <w:r>
        <w:rPr>
          <w:rFonts w:ascii="Traditional Arabic" w:hAnsi="Traditional Arabic" w:hint="cs"/>
          <w:noProof w:val="0"/>
          <w:rtl/>
          <w:lang w:eastAsia="en-US"/>
        </w:rPr>
        <w:t>ً</w:t>
      </w:r>
      <w:r>
        <w:rPr>
          <w:rFonts w:ascii="Traditional Arabic" w:hAnsi="Traditional Arabic"/>
          <w:noProof w:val="0"/>
          <w:rtl/>
          <w:lang w:eastAsia="en-US"/>
        </w:rPr>
        <w:t xml:space="preserve"> عنه، </w:t>
      </w:r>
      <w:r>
        <w:rPr>
          <w:rFonts w:ascii="Traditional Arabic" w:hAnsi="Traditional Arabic" w:hint="cs"/>
          <w:noProof w:val="0"/>
          <w:rtl/>
          <w:lang w:eastAsia="en-US"/>
        </w:rPr>
        <w:t>وإنما</w:t>
      </w:r>
      <w:r w:rsidRPr="00573B00">
        <w:rPr>
          <w:rFonts w:ascii="Traditional Arabic" w:hAnsi="Traditional Arabic"/>
          <w:noProof w:val="0"/>
          <w:rtl/>
          <w:lang w:eastAsia="en-US"/>
        </w:rPr>
        <w:t xml:space="preserve"> تر</w:t>
      </w:r>
      <w:r>
        <w:rPr>
          <w:rFonts w:ascii="Traditional Arabic" w:hAnsi="Traditional Arabic" w:hint="cs"/>
          <w:noProof w:val="0"/>
          <w:rtl/>
          <w:lang w:eastAsia="en-US"/>
        </w:rPr>
        <w:t>َ</w:t>
      </w:r>
      <w:r w:rsidRPr="00573B00">
        <w:rPr>
          <w:rFonts w:ascii="Traditional Arabic" w:hAnsi="Traditional Arabic"/>
          <w:noProof w:val="0"/>
          <w:rtl/>
          <w:lang w:eastAsia="en-US"/>
        </w:rPr>
        <w:t>كه ليرجع إليه، بأن يعالجه حتى يقوى ويسير بنفسه، فالأصل ح</w:t>
      </w:r>
      <w:r>
        <w:rPr>
          <w:rFonts w:ascii="Traditional Arabic" w:hAnsi="Traditional Arabic" w:hint="cs"/>
          <w:noProof w:val="0"/>
          <w:rtl/>
          <w:lang w:eastAsia="en-US"/>
        </w:rPr>
        <w:t>ُ</w:t>
      </w:r>
      <w:r w:rsidRPr="00573B00">
        <w:rPr>
          <w:rFonts w:ascii="Traditional Arabic" w:hAnsi="Traditional Arabic"/>
          <w:noProof w:val="0"/>
          <w:rtl/>
          <w:lang w:eastAsia="en-US"/>
        </w:rPr>
        <w:t>رمة المال، وعلى هذا فم</w:t>
      </w:r>
      <w:r>
        <w:rPr>
          <w:rFonts w:ascii="Traditional Arabic" w:hAnsi="Traditional Arabic" w:hint="cs"/>
          <w:noProof w:val="0"/>
          <w:rtl/>
          <w:lang w:eastAsia="en-US"/>
        </w:rPr>
        <w:t>َ</w:t>
      </w:r>
      <w:r w:rsidRPr="00573B00">
        <w:rPr>
          <w:rFonts w:ascii="Traditional Arabic" w:hAnsi="Traditional Arabic"/>
          <w:noProof w:val="0"/>
          <w:rtl/>
          <w:lang w:eastAsia="en-US"/>
        </w:rPr>
        <w:t>ن وجده وأخ</w:t>
      </w:r>
      <w:r>
        <w:rPr>
          <w:rFonts w:ascii="Traditional Arabic" w:hAnsi="Traditional Arabic" w:hint="cs"/>
          <w:noProof w:val="0"/>
          <w:rtl/>
          <w:lang w:eastAsia="en-US"/>
        </w:rPr>
        <w:t>َ</w:t>
      </w:r>
      <w:r w:rsidRPr="00573B00">
        <w:rPr>
          <w:rFonts w:ascii="Traditional Arabic" w:hAnsi="Traditional Arabic"/>
          <w:noProof w:val="0"/>
          <w:rtl/>
          <w:lang w:eastAsia="en-US"/>
        </w:rPr>
        <w:t>ذه على أنه م</w:t>
      </w:r>
      <w:r w:rsidR="0005244C">
        <w:rPr>
          <w:rFonts w:ascii="Traditional Arabic" w:hAnsi="Traditional Arabic" w:hint="cs"/>
          <w:noProof w:val="0"/>
          <w:rtl/>
          <w:lang w:eastAsia="en-US"/>
        </w:rPr>
        <w:t>ِ</w:t>
      </w:r>
      <w:r w:rsidRPr="00573B00">
        <w:rPr>
          <w:rFonts w:ascii="Traditional Arabic" w:hAnsi="Traditional Arabic"/>
          <w:noProof w:val="0"/>
          <w:rtl/>
          <w:lang w:eastAsia="en-US"/>
        </w:rPr>
        <w:t>ل</w:t>
      </w:r>
      <w:r w:rsidR="0005244C">
        <w:rPr>
          <w:rFonts w:ascii="Traditional Arabic" w:hAnsi="Traditional Arabic" w:hint="cs"/>
          <w:noProof w:val="0"/>
          <w:rtl/>
          <w:lang w:eastAsia="en-US"/>
        </w:rPr>
        <w:t>ْ</w:t>
      </w:r>
      <w:r w:rsidRPr="00573B00">
        <w:rPr>
          <w:rFonts w:ascii="Traditional Arabic" w:hAnsi="Traditional Arabic"/>
          <w:noProof w:val="0"/>
          <w:rtl/>
          <w:lang w:eastAsia="en-US"/>
        </w:rPr>
        <w:t>كه يضمن إذا ادعى صاحب</w:t>
      </w:r>
      <w:r>
        <w:rPr>
          <w:rFonts w:ascii="Traditional Arabic" w:hAnsi="Traditional Arabic" w:hint="cs"/>
          <w:noProof w:val="0"/>
          <w:rtl/>
          <w:lang w:eastAsia="en-US"/>
        </w:rPr>
        <w:t>ُ</w:t>
      </w:r>
      <w:r w:rsidRPr="00573B00">
        <w:rPr>
          <w:rFonts w:ascii="Traditional Arabic" w:hAnsi="Traditional Arabic"/>
          <w:noProof w:val="0"/>
          <w:rtl/>
          <w:lang w:eastAsia="en-US"/>
        </w:rPr>
        <w:t>ه أنه تركه ليرجع إليه.</w:t>
      </w:r>
    </w:p>
    <w:p w:rsidR="009A2D9B" w:rsidRDefault="00065E4B" w:rsidP="00597C20">
      <w:pPr>
        <w:widowControl/>
        <w:autoSpaceDE w:val="0"/>
        <w:autoSpaceDN w:val="0"/>
        <w:adjustRightInd w:val="0"/>
        <w:ind w:left="360" w:firstLine="360"/>
        <w:rPr>
          <w:rFonts w:ascii="Traditional Arabic" w:hAnsi="Traditional Arabic"/>
          <w:noProof w:val="0"/>
          <w:rtl/>
          <w:lang w:eastAsia="en-US"/>
        </w:rPr>
      </w:pPr>
      <w:r w:rsidRPr="00573B00">
        <w:rPr>
          <w:rFonts w:ascii="Traditional Arabic" w:hAnsi="Traditional Arabic"/>
          <w:noProof w:val="0"/>
          <w:rtl/>
          <w:lang w:eastAsia="en-US"/>
        </w:rPr>
        <w:t>ل</w:t>
      </w:r>
      <w:r w:rsidR="009A2D9B" w:rsidRPr="00573B00">
        <w:rPr>
          <w:rFonts w:ascii="Traditional Arabic" w:hAnsi="Traditional Arabic"/>
          <w:noProof w:val="0"/>
          <w:rtl/>
          <w:lang w:eastAsia="en-US"/>
        </w:rPr>
        <w:t>كن إذا علمنا بالقرائن القوية أنه تركه رغبة</w:t>
      </w:r>
      <w:r w:rsidR="009A2D9B">
        <w:rPr>
          <w:rFonts w:ascii="Traditional Arabic" w:hAnsi="Traditional Arabic" w:hint="cs"/>
          <w:noProof w:val="0"/>
          <w:rtl/>
          <w:lang w:eastAsia="en-US"/>
        </w:rPr>
        <w:t>ً</w:t>
      </w:r>
      <w:r w:rsidR="009A2D9B" w:rsidRPr="00573B00">
        <w:rPr>
          <w:rFonts w:ascii="Traditional Arabic" w:hAnsi="Traditional Arabic"/>
          <w:noProof w:val="0"/>
          <w:rtl/>
          <w:lang w:eastAsia="en-US"/>
        </w:rPr>
        <w:t xml:space="preserve"> عنه، وأنه لا حاجة له فيه، كما لو كان الحيوان هزيلا جدا، لا يصلح للذبح ولا للركوب إن كان من المركوبات، ولا يصلح لشيء أبدا، فهنا نقول: يملكه آخ</w:t>
      </w:r>
      <w:r w:rsidR="009A2D9B">
        <w:rPr>
          <w:rFonts w:ascii="Traditional Arabic" w:hAnsi="Traditional Arabic" w:hint="cs"/>
          <w:noProof w:val="0"/>
          <w:rtl/>
          <w:lang w:eastAsia="en-US"/>
        </w:rPr>
        <w:t>ِ</w:t>
      </w:r>
      <w:r w:rsidR="009A2D9B" w:rsidRPr="00573B00">
        <w:rPr>
          <w:rFonts w:ascii="Traditional Arabic" w:hAnsi="Traditional Arabic"/>
          <w:noProof w:val="0"/>
          <w:rtl/>
          <w:lang w:eastAsia="en-US"/>
        </w:rPr>
        <w:t>ذ</w:t>
      </w:r>
      <w:r w:rsidR="009A2D9B">
        <w:rPr>
          <w:rFonts w:ascii="Traditional Arabic" w:hAnsi="Traditional Arabic" w:hint="cs"/>
          <w:noProof w:val="0"/>
          <w:rtl/>
          <w:lang w:eastAsia="en-US"/>
        </w:rPr>
        <w:t>ُ</w:t>
      </w:r>
      <w:r w:rsidR="009A2D9B" w:rsidRPr="00573B00">
        <w:rPr>
          <w:rFonts w:ascii="Traditional Arabic" w:hAnsi="Traditional Arabic"/>
          <w:noProof w:val="0"/>
          <w:rtl/>
          <w:lang w:eastAsia="en-US"/>
        </w:rPr>
        <w:t>ه</w:t>
      </w:r>
      <w:r w:rsidR="009A2D9B" w:rsidRPr="00C821A1">
        <w:rPr>
          <w:rStyle w:val="af1"/>
          <w:szCs w:val="32"/>
          <w:rtl/>
        </w:rPr>
        <w:t>(</w:t>
      </w:r>
      <w:r w:rsidR="009A2D9B" w:rsidRPr="00C821A1">
        <w:rPr>
          <w:rStyle w:val="af1"/>
          <w:szCs w:val="32"/>
          <w:rtl/>
        </w:rPr>
        <w:footnoteReference w:id="1766"/>
      </w:r>
      <w:r w:rsidR="009A2D9B" w:rsidRPr="00C821A1">
        <w:rPr>
          <w:rStyle w:val="af1"/>
          <w:szCs w:val="32"/>
          <w:rtl/>
        </w:rPr>
        <w:t>)</w:t>
      </w:r>
      <w:r w:rsidR="009A2D9B" w:rsidRPr="00573B00">
        <w:rPr>
          <w:rFonts w:ascii="Traditional Arabic" w:hAnsi="Traditional Arabic"/>
          <w:noProof w:val="0"/>
          <w:rtl/>
          <w:lang w:eastAsia="en-US"/>
        </w:rPr>
        <w:t>.</w:t>
      </w:r>
    </w:p>
    <w:p w:rsidR="009A2D9B" w:rsidRDefault="009A2D9B" w:rsidP="00597C20">
      <w:pPr>
        <w:pStyle w:val="53"/>
        <w:rPr>
          <w:rtl/>
        </w:rPr>
      </w:pPr>
      <w:r>
        <w:rPr>
          <w:rFonts w:hint="cs"/>
          <w:rtl/>
        </w:rPr>
        <w:lastRenderedPageBreak/>
        <w:t>وجه اندراج الفرع تحت القاعدة:</w:t>
      </w:r>
    </w:p>
    <w:p w:rsidR="009A2D9B" w:rsidRPr="006E5B27" w:rsidRDefault="009A2D9B" w:rsidP="00597C20">
      <w:pPr>
        <w:widowControl/>
        <w:autoSpaceDE w:val="0"/>
        <w:autoSpaceDN w:val="0"/>
        <w:adjustRightInd w:val="0"/>
        <w:ind w:firstLine="720"/>
        <w:rPr>
          <w:rFonts w:ascii="Traditional Arabic" w:hAnsi="Traditional Arabic"/>
          <w:noProof w:val="0"/>
          <w:rtl/>
          <w:lang w:eastAsia="en-US"/>
        </w:rPr>
      </w:pPr>
      <w:r w:rsidRPr="006E5B27">
        <w:rPr>
          <w:rFonts w:ascii="Traditional Arabic" w:hAnsi="Traditional Arabic" w:hint="cs"/>
          <w:noProof w:val="0"/>
          <w:rtl/>
          <w:lang w:eastAsia="en-US"/>
        </w:rPr>
        <w:t>إذا قامت القرائن وقويت على أن صاحب الحيوان تركه رغبة عنه، فإنها تقدَّم على الأصل الذي هو حرمة المال، ويصير الحيوان ملكا لمن وجده؛ لأن القرائن إذا قويت قدِّمت على الأصل.</w:t>
      </w:r>
    </w:p>
    <w:p w:rsidR="009A2D9B" w:rsidRPr="00D819CC" w:rsidRDefault="009A2D9B" w:rsidP="000A76C7">
      <w:pPr>
        <w:pStyle w:val="afc"/>
        <w:widowControl/>
        <w:numPr>
          <w:ilvl w:val="0"/>
          <w:numId w:val="242"/>
        </w:numPr>
        <w:autoSpaceDE w:val="0"/>
        <w:autoSpaceDN w:val="0"/>
        <w:adjustRightInd w:val="0"/>
        <w:jc w:val="left"/>
        <w:rPr>
          <w:rFonts w:ascii="Traditional Arabic" w:hAnsi="Traditional Arabic"/>
          <w:noProof w:val="0"/>
          <w:rtl/>
          <w:lang w:eastAsia="en-US"/>
        </w:rPr>
      </w:pPr>
      <w:r w:rsidRPr="00271C46">
        <w:rPr>
          <w:rFonts w:ascii="Traditional Arabic" w:hAnsi="Traditional Arabic"/>
          <w:noProof w:val="0"/>
          <w:rtl/>
          <w:lang w:eastAsia="en-US"/>
        </w:rPr>
        <w:t>من أ</w:t>
      </w:r>
      <w:r>
        <w:rPr>
          <w:rFonts w:ascii="Traditional Arabic" w:hAnsi="Traditional Arabic" w:hint="cs"/>
          <w:noProof w:val="0"/>
          <w:rtl/>
          <w:lang w:eastAsia="en-US"/>
        </w:rPr>
        <w:t>ُ</w:t>
      </w:r>
      <w:r w:rsidRPr="00271C46">
        <w:rPr>
          <w:rFonts w:ascii="Traditional Arabic" w:hAnsi="Traditional Arabic"/>
          <w:noProof w:val="0"/>
          <w:rtl/>
          <w:lang w:eastAsia="en-US"/>
        </w:rPr>
        <w:t>خذ نعل</w:t>
      </w:r>
      <w:r>
        <w:rPr>
          <w:rFonts w:ascii="Traditional Arabic" w:hAnsi="Traditional Arabic" w:hint="cs"/>
          <w:noProof w:val="0"/>
          <w:rtl/>
          <w:lang w:eastAsia="en-US"/>
        </w:rPr>
        <w:t>ُ</w:t>
      </w:r>
      <w:r w:rsidRPr="00271C46">
        <w:rPr>
          <w:rFonts w:ascii="Traditional Arabic" w:hAnsi="Traditional Arabic"/>
          <w:noProof w:val="0"/>
          <w:rtl/>
          <w:lang w:eastAsia="en-US"/>
        </w:rPr>
        <w:t>ه ونحوه</w:t>
      </w:r>
      <w:r>
        <w:rPr>
          <w:rFonts w:ascii="Traditional Arabic" w:hAnsi="Traditional Arabic" w:hint="cs"/>
          <w:noProof w:val="0"/>
          <w:rtl/>
          <w:lang w:eastAsia="en-US"/>
        </w:rPr>
        <w:t>،</w:t>
      </w:r>
      <w:r w:rsidRPr="00271C46">
        <w:rPr>
          <w:rFonts w:ascii="Traditional Arabic" w:hAnsi="Traditional Arabic"/>
          <w:noProof w:val="0"/>
          <w:rtl/>
          <w:lang w:eastAsia="en-US"/>
        </w:rPr>
        <w:t xml:space="preserve"> ووجد موضع</w:t>
      </w:r>
      <w:r>
        <w:rPr>
          <w:rFonts w:ascii="Traditional Arabic" w:hAnsi="Traditional Arabic" w:hint="cs"/>
          <w:noProof w:val="0"/>
          <w:rtl/>
          <w:lang w:eastAsia="en-US"/>
        </w:rPr>
        <w:t>َ</w:t>
      </w:r>
      <w:r w:rsidRPr="00271C46">
        <w:rPr>
          <w:rFonts w:ascii="Traditional Arabic" w:hAnsi="Traditional Arabic"/>
          <w:noProof w:val="0"/>
          <w:rtl/>
          <w:lang w:eastAsia="en-US"/>
        </w:rPr>
        <w:t>ه غير</w:t>
      </w:r>
      <w:r>
        <w:rPr>
          <w:rFonts w:ascii="Traditional Arabic" w:hAnsi="Traditional Arabic" w:hint="cs"/>
          <w:noProof w:val="0"/>
          <w:rtl/>
          <w:lang w:eastAsia="en-US"/>
        </w:rPr>
        <w:t>َ</w:t>
      </w:r>
      <w:r w:rsidRPr="00271C46">
        <w:rPr>
          <w:rFonts w:ascii="Traditional Arabic" w:hAnsi="Traditional Arabic"/>
          <w:noProof w:val="0"/>
          <w:rtl/>
          <w:lang w:eastAsia="en-US"/>
        </w:rPr>
        <w:t>ه ف</w:t>
      </w:r>
      <w:r>
        <w:rPr>
          <w:rFonts w:ascii="Traditional Arabic" w:hAnsi="Traditional Arabic" w:hint="cs"/>
          <w:noProof w:val="0"/>
          <w:rtl/>
          <w:lang w:eastAsia="en-US"/>
        </w:rPr>
        <w:t xml:space="preserve">المذهب أنه </w:t>
      </w:r>
      <w:r w:rsidRPr="00271C46">
        <w:rPr>
          <w:rFonts w:ascii="Traditional Arabic" w:hAnsi="Traditional Arabic"/>
          <w:noProof w:val="0"/>
          <w:rtl/>
          <w:lang w:eastAsia="en-US"/>
        </w:rPr>
        <w:t>ل</w:t>
      </w:r>
      <w:r>
        <w:rPr>
          <w:rFonts w:ascii="Traditional Arabic" w:hAnsi="Traditional Arabic" w:hint="cs"/>
          <w:noProof w:val="0"/>
          <w:rtl/>
          <w:lang w:eastAsia="en-US"/>
        </w:rPr>
        <w:t>ُ</w:t>
      </w:r>
      <w:r w:rsidRPr="00271C46">
        <w:rPr>
          <w:rFonts w:ascii="Traditional Arabic" w:hAnsi="Traditional Arabic"/>
          <w:noProof w:val="0"/>
          <w:rtl/>
          <w:lang w:eastAsia="en-US"/>
        </w:rPr>
        <w:t>ق</w:t>
      </w:r>
      <w:r>
        <w:rPr>
          <w:rFonts w:ascii="Traditional Arabic" w:hAnsi="Traditional Arabic" w:hint="cs"/>
          <w:noProof w:val="0"/>
          <w:rtl/>
          <w:lang w:eastAsia="en-US"/>
        </w:rPr>
        <w:t>َ</w:t>
      </w:r>
      <w:r w:rsidRPr="00271C46">
        <w:rPr>
          <w:rFonts w:ascii="Traditional Arabic" w:hAnsi="Traditional Arabic"/>
          <w:noProof w:val="0"/>
          <w:rtl/>
          <w:lang w:eastAsia="en-US"/>
        </w:rPr>
        <w:t>ط</w:t>
      </w:r>
      <w:r>
        <w:rPr>
          <w:rFonts w:ascii="Traditional Arabic" w:hAnsi="Traditional Arabic" w:hint="cs"/>
          <w:noProof w:val="0"/>
          <w:rtl/>
          <w:lang w:eastAsia="en-US"/>
        </w:rPr>
        <w:t>َ</w:t>
      </w:r>
      <w:r w:rsidRPr="00271C46">
        <w:rPr>
          <w:rFonts w:ascii="Traditional Arabic" w:hAnsi="Traditional Arabic"/>
          <w:noProof w:val="0"/>
          <w:rtl/>
          <w:lang w:eastAsia="en-US"/>
        </w:rPr>
        <w:t>ة</w:t>
      </w:r>
      <w:r w:rsidRPr="00C821A1">
        <w:rPr>
          <w:rStyle w:val="af1"/>
          <w:szCs w:val="32"/>
          <w:rtl/>
        </w:rPr>
        <w:t>(</w:t>
      </w:r>
      <w:r w:rsidRPr="00C821A1">
        <w:rPr>
          <w:rStyle w:val="af1"/>
          <w:szCs w:val="32"/>
          <w:rtl/>
        </w:rPr>
        <w:footnoteReference w:id="1767"/>
      </w:r>
      <w:r w:rsidRPr="00C821A1">
        <w:rPr>
          <w:rStyle w:val="af1"/>
          <w:szCs w:val="32"/>
          <w:rtl/>
        </w:rPr>
        <w:t>)</w:t>
      </w:r>
      <w:r>
        <w:rPr>
          <w:rFonts w:ascii="Traditional Arabic" w:hAnsi="Traditional Arabic" w:hint="cs"/>
          <w:noProof w:val="0"/>
          <w:rtl/>
          <w:lang w:eastAsia="en-US"/>
        </w:rPr>
        <w:t>.</w:t>
      </w:r>
    </w:p>
    <w:p w:rsidR="00065E4B" w:rsidRPr="00271C46" w:rsidRDefault="009A2D9B" w:rsidP="00597C20">
      <w:pPr>
        <w:pStyle w:val="afc"/>
        <w:widowControl/>
        <w:autoSpaceDE w:val="0"/>
        <w:autoSpaceDN w:val="0"/>
        <w:adjustRightInd w:val="0"/>
        <w:ind w:left="1080" w:firstLine="0"/>
        <w:rPr>
          <w:rFonts w:ascii="Traditional Arabic" w:hAnsi="Traditional Arabic"/>
          <w:noProof w:val="0"/>
          <w:rtl/>
          <w:lang w:eastAsia="en-US"/>
        </w:rPr>
      </w:pPr>
      <w:r w:rsidRPr="00271C46">
        <w:rPr>
          <w:rFonts w:ascii="Traditional Arabic" w:hAnsi="Traditional Arabic"/>
          <w:noProof w:val="0"/>
          <w:rtl/>
          <w:lang w:eastAsia="en-US"/>
        </w:rPr>
        <w:t>والقول الثاني: أنه ي</w:t>
      </w:r>
      <w:r>
        <w:rPr>
          <w:rFonts w:ascii="Traditional Arabic" w:hAnsi="Traditional Arabic" w:hint="cs"/>
          <w:noProof w:val="0"/>
          <w:rtl/>
          <w:lang w:eastAsia="en-US"/>
        </w:rPr>
        <w:t>ُ</w:t>
      </w:r>
      <w:r w:rsidRPr="00271C46">
        <w:rPr>
          <w:rFonts w:ascii="Traditional Arabic" w:hAnsi="Traditional Arabic"/>
          <w:noProof w:val="0"/>
          <w:rtl/>
          <w:lang w:eastAsia="en-US"/>
        </w:rPr>
        <w:t>نظر للقرائن، فإذا و</w:t>
      </w:r>
      <w:r>
        <w:rPr>
          <w:rFonts w:ascii="Traditional Arabic" w:hAnsi="Traditional Arabic" w:hint="cs"/>
          <w:noProof w:val="0"/>
          <w:rtl/>
          <w:lang w:eastAsia="en-US"/>
        </w:rPr>
        <w:t>ُ</w:t>
      </w:r>
      <w:r w:rsidRPr="00271C46">
        <w:rPr>
          <w:rFonts w:ascii="Traditional Arabic" w:hAnsi="Traditional Arabic"/>
          <w:noProof w:val="0"/>
          <w:rtl/>
          <w:lang w:eastAsia="en-US"/>
        </w:rPr>
        <w:t>جدت قرائن</w:t>
      </w:r>
      <w:r>
        <w:rPr>
          <w:rFonts w:ascii="Traditional Arabic" w:hAnsi="Traditional Arabic" w:hint="cs"/>
          <w:noProof w:val="0"/>
          <w:rtl/>
          <w:lang w:eastAsia="en-US"/>
        </w:rPr>
        <w:t>ُ</w:t>
      </w:r>
      <w:r w:rsidRPr="00271C46">
        <w:rPr>
          <w:rFonts w:ascii="Traditional Arabic" w:hAnsi="Traditional Arabic"/>
          <w:noProof w:val="0"/>
          <w:rtl/>
          <w:lang w:eastAsia="en-US"/>
        </w:rPr>
        <w:t xml:space="preserve"> تدل على أن صاحب النعل أخذ </w:t>
      </w:r>
      <w:r>
        <w:rPr>
          <w:rFonts w:ascii="Traditional Arabic" w:hAnsi="Traditional Arabic" w:hint="cs"/>
          <w:noProof w:val="0"/>
          <w:rtl/>
          <w:lang w:eastAsia="en-US"/>
        </w:rPr>
        <w:t>هذا ال</w:t>
      </w:r>
      <w:r>
        <w:rPr>
          <w:rFonts w:ascii="Traditional Arabic" w:hAnsi="Traditional Arabic"/>
          <w:noProof w:val="0"/>
          <w:rtl/>
          <w:lang w:eastAsia="en-US"/>
        </w:rPr>
        <w:t>نعل، وأبقى</w:t>
      </w:r>
      <w:r w:rsidRPr="00271C46">
        <w:rPr>
          <w:rFonts w:ascii="Traditional Arabic" w:hAnsi="Traditional Arabic"/>
          <w:noProof w:val="0"/>
          <w:rtl/>
          <w:lang w:eastAsia="en-US"/>
        </w:rPr>
        <w:t xml:space="preserve"> النعل</w:t>
      </w:r>
      <w:r>
        <w:rPr>
          <w:rFonts w:ascii="Traditional Arabic" w:hAnsi="Traditional Arabic" w:hint="cs"/>
          <w:noProof w:val="0"/>
          <w:rtl/>
          <w:lang w:eastAsia="en-US"/>
        </w:rPr>
        <w:t xml:space="preserve"> الآخر</w:t>
      </w:r>
      <w:r w:rsidRPr="00271C46">
        <w:rPr>
          <w:rFonts w:ascii="Traditional Arabic" w:hAnsi="Traditional Arabic"/>
          <w:noProof w:val="0"/>
          <w:rtl/>
          <w:lang w:eastAsia="en-US"/>
        </w:rPr>
        <w:t>، فإنه لا يكون لقطة</w:t>
      </w:r>
      <w:r>
        <w:rPr>
          <w:rFonts w:ascii="Traditional Arabic" w:hAnsi="Traditional Arabic" w:hint="cs"/>
          <w:noProof w:val="0"/>
          <w:rtl/>
          <w:lang w:eastAsia="en-US"/>
        </w:rPr>
        <w:t>ً</w:t>
      </w:r>
      <w:r w:rsidRPr="00271C46">
        <w:rPr>
          <w:rFonts w:ascii="Traditional Arabic" w:hAnsi="Traditional Arabic"/>
          <w:noProof w:val="0"/>
          <w:rtl/>
          <w:lang w:eastAsia="en-US"/>
        </w:rPr>
        <w:t xml:space="preserve"> وإنما يكون ل</w:t>
      </w:r>
      <w:r>
        <w:rPr>
          <w:rFonts w:ascii="Traditional Arabic" w:hAnsi="Traditional Arabic" w:hint="cs"/>
          <w:noProof w:val="0"/>
          <w:rtl/>
          <w:lang w:eastAsia="en-US"/>
        </w:rPr>
        <w:t>ِ</w:t>
      </w:r>
      <w:r w:rsidRPr="00271C46">
        <w:rPr>
          <w:rFonts w:ascii="Traditional Arabic" w:hAnsi="Traditional Arabic"/>
          <w:noProof w:val="0"/>
          <w:rtl/>
          <w:lang w:eastAsia="en-US"/>
        </w:rPr>
        <w:t>واج</w:t>
      </w:r>
      <w:r>
        <w:rPr>
          <w:rFonts w:ascii="Traditional Arabic" w:hAnsi="Traditional Arabic" w:hint="cs"/>
          <w:noProof w:val="0"/>
          <w:rtl/>
          <w:lang w:eastAsia="en-US"/>
        </w:rPr>
        <w:t>ِ</w:t>
      </w:r>
      <w:r w:rsidRPr="00271C46">
        <w:rPr>
          <w:rFonts w:ascii="Traditional Arabic" w:hAnsi="Traditional Arabic"/>
          <w:noProof w:val="0"/>
          <w:rtl/>
          <w:lang w:eastAsia="en-US"/>
        </w:rPr>
        <w:t>ده</w:t>
      </w:r>
      <w:r w:rsidRPr="00C821A1">
        <w:rPr>
          <w:rStyle w:val="af1"/>
          <w:szCs w:val="32"/>
          <w:rtl/>
        </w:rPr>
        <w:t>(</w:t>
      </w:r>
      <w:r w:rsidRPr="00C821A1">
        <w:rPr>
          <w:rStyle w:val="af1"/>
          <w:szCs w:val="32"/>
          <w:rtl/>
        </w:rPr>
        <w:footnoteReference w:id="1768"/>
      </w:r>
      <w:r w:rsidRPr="00C821A1">
        <w:rPr>
          <w:rStyle w:val="af1"/>
          <w:szCs w:val="32"/>
          <w:rtl/>
        </w:rPr>
        <w:t>)</w:t>
      </w:r>
      <w:r>
        <w:rPr>
          <w:rFonts w:ascii="Traditional Arabic" w:hAnsi="Traditional Arabic" w:hint="cs"/>
          <w:noProof w:val="0"/>
          <w:rtl/>
          <w:lang w:eastAsia="en-US"/>
        </w:rPr>
        <w:t>.</w:t>
      </w:r>
    </w:p>
    <w:p w:rsidR="00065E4B" w:rsidRDefault="00065E4B" w:rsidP="00597C20">
      <w:pPr>
        <w:pStyle w:val="53"/>
        <w:rPr>
          <w:rtl/>
        </w:rPr>
      </w:pPr>
      <w:r>
        <w:rPr>
          <w:rFonts w:hint="cs"/>
          <w:rtl/>
        </w:rPr>
        <w:t>و</w:t>
      </w:r>
      <w:r w:rsidR="009A2D9B">
        <w:rPr>
          <w:rFonts w:hint="cs"/>
          <w:rtl/>
        </w:rPr>
        <w:t>جه اندراج الفرع تحت القاعدة:</w:t>
      </w:r>
    </w:p>
    <w:p w:rsidR="00F228A9"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ا</w:t>
      </w:r>
      <w:r w:rsidR="009A2D9B">
        <w:rPr>
          <w:rFonts w:ascii="Traditional Arabic" w:hAnsi="Traditional Arabic" w:hint="cs"/>
          <w:noProof w:val="0"/>
          <w:rtl/>
          <w:lang w:eastAsia="en-US"/>
        </w:rPr>
        <w:t>لرجوع إلى القرائن في تحديد عدم كون هذا النعل لقطةً، وإعمالها وتقديمها على أصلِ حُرمة مال المسلم؛ لأن القرائن شواهد بمنزلة البينة</w:t>
      </w:r>
      <w:r w:rsidR="009A2D9B" w:rsidRPr="00C821A1">
        <w:rPr>
          <w:rStyle w:val="af1"/>
          <w:szCs w:val="32"/>
          <w:rtl/>
        </w:rPr>
        <w:t>(</w:t>
      </w:r>
      <w:r w:rsidR="009A2D9B" w:rsidRPr="00C821A1">
        <w:rPr>
          <w:rStyle w:val="af1"/>
          <w:szCs w:val="32"/>
          <w:rtl/>
        </w:rPr>
        <w:footnoteReference w:id="1769"/>
      </w:r>
      <w:r w:rsidR="009A2D9B" w:rsidRPr="00C821A1">
        <w:rPr>
          <w:rStyle w:val="af1"/>
          <w:szCs w:val="32"/>
          <w:rtl/>
        </w:rPr>
        <w:t>)</w:t>
      </w:r>
      <w:r w:rsidR="009A2D9B">
        <w:rPr>
          <w:rFonts w:ascii="Traditional Arabic" w:hAnsi="Traditional Arabic" w:hint="cs"/>
          <w:noProof w:val="0"/>
          <w:rtl/>
          <w:lang w:eastAsia="en-US"/>
        </w:rPr>
        <w:t>.</w:t>
      </w:r>
    </w:p>
    <w:p w:rsidR="00184ADA" w:rsidRDefault="00184ADA" w:rsidP="00597C20">
      <w:pPr>
        <w:widowControl/>
        <w:autoSpaceDE w:val="0"/>
        <w:autoSpaceDN w:val="0"/>
        <w:adjustRightInd w:val="0"/>
        <w:ind w:firstLine="720"/>
        <w:rPr>
          <w:rFonts w:ascii="Traditional Arabic" w:hAnsi="Traditional Arabic"/>
          <w:noProof w:val="0"/>
          <w:rtl/>
          <w:lang w:eastAsia="en-US"/>
        </w:rPr>
      </w:pPr>
    </w:p>
    <w:p w:rsidR="00315C1E" w:rsidRPr="00C85F0F" w:rsidRDefault="004D2319" w:rsidP="000F5C0F">
      <w:pPr>
        <w:pStyle w:val="aff2"/>
        <w:rPr>
          <w:rtl/>
        </w:rPr>
      </w:pPr>
      <w:bookmarkStart w:id="369" w:name="_Toc334046568"/>
      <w:r w:rsidRPr="004D2319">
        <w:rPr>
          <w:rFonts w:hint="cs"/>
          <w:rtl/>
        </w:rPr>
        <w:lastRenderedPageBreak/>
        <w:t>المبحث السادس</w:t>
      </w:r>
      <w:r w:rsidR="00D816CC">
        <w:rPr>
          <w:rFonts w:hint="eastAsia"/>
          <w:rtl/>
        </w:rPr>
        <w:t> </w:t>
      </w:r>
      <w:r w:rsidRPr="004D2319">
        <w:rPr>
          <w:rFonts w:hint="cs"/>
          <w:rtl/>
        </w:rPr>
        <w:t>:</w:t>
      </w:r>
      <w:r w:rsidRPr="004D2319">
        <w:rPr>
          <w:rtl/>
        </w:rPr>
        <w:br/>
      </w:r>
      <w:r w:rsidRPr="004D2319">
        <w:rPr>
          <w:rFonts w:hint="cs"/>
          <w:rtl/>
        </w:rPr>
        <w:t>قاعدة</w:t>
      </w:r>
      <w:r w:rsidRPr="004D2319">
        <w:rPr>
          <w:rtl/>
        </w:rPr>
        <w:br/>
      </w:r>
      <w:r w:rsidR="00315C1E">
        <w:rPr>
          <w:rFonts w:hint="cs"/>
          <w:rtl/>
        </w:rPr>
        <w:t>"</w:t>
      </w:r>
      <w:r w:rsidR="00315C1E" w:rsidRPr="00BA4033">
        <w:rPr>
          <w:rFonts w:hint="cs"/>
          <w:rtl/>
        </w:rPr>
        <w:t xml:space="preserve">كل ما أوجب </w:t>
      </w:r>
      <w:r w:rsidR="00315C1E" w:rsidRPr="00BA4033">
        <w:rPr>
          <w:rtl/>
        </w:rPr>
        <w:t>العداوة والبغضاء بين المسلمين فإ</w:t>
      </w:r>
      <w:r w:rsidR="00460314">
        <w:rPr>
          <w:rtl/>
        </w:rPr>
        <w:t xml:space="preserve">نه </w:t>
      </w:r>
      <w:r w:rsidR="00DB450C">
        <w:rPr>
          <w:rFonts w:hint="cs"/>
          <w:rtl/>
        </w:rPr>
        <w:t>م</w:t>
      </w:r>
      <w:r w:rsidR="00315C1E" w:rsidRPr="00BA4033">
        <w:rPr>
          <w:rtl/>
        </w:rPr>
        <w:t>حرم</w:t>
      </w:r>
      <w:r w:rsidR="00AB0B9E" w:rsidRPr="00C85F0F">
        <w:rPr>
          <w:rtl/>
        </w:rPr>
        <w:fldChar w:fldCharType="begin"/>
      </w:r>
      <w:r w:rsidR="003504FF" w:rsidRPr="00C85F0F">
        <w:instrText>XE</w:instrText>
      </w:r>
      <w:r w:rsidR="003504FF" w:rsidRPr="00C85F0F">
        <w:rPr>
          <w:rtl/>
        </w:rPr>
        <w:instrText xml:space="preserve"> "</w:instrText>
      </w:r>
      <w:r w:rsidR="003504FF" w:rsidRPr="00C85F0F">
        <w:rPr>
          <w:rFonts w:hint="cs"/>
          <w:rtl/>
        </w:rPr>
        <w:instrText>كلماأوجبالعداوةوالبغضاءبينالمسلمينفإنهمحرم</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315C1E" w:rsidRPr="00C85F0F">
        <w:rPr>
          <w:rFonts w:hint="cs"/>
          <w:rtl/>
        </w:rPr>
        <w:t>"</w:t>
      </w:r>
      <w:r w:rsidR="00315C1E" w:rsidRPr="00C85F0F">
        <w:rPr>
          <w:rStyle w:val="af1"/>
          <w:b w:val="0"/>
          <w:bCs w:val="0"/>
          <w:szCs w:val="32"/>
          <w:rtl/>
        </w:rPr>
        <w:t>(</w:t>
      </w:r>
      <w:r w:rsidR="00315C1E" w:rsidRPr="00C85F0F">
        <w:rPr>
          <w:rStyle w:val="af1"/>
          <w:b w:val="0"/>
          <w:bCs w:val="0"/>
          <w:szCs w:val="32"/>
          <w:rtl/>
        </w:rPr>
        <w:footnoteReference w:id="1770"/>
      </w:r>
      <w:r w:rsidR="00315C1E" w:rsidRPr="00C85F0F">
        <w:rPr>
          <w:rStyle w:val="af1"/>
          <w:b w:val="0"/>
          <w:bCs w:val="0"/>
          <w:szCs w:val="32"/>
          <w:rtl/>
        </w:rPr>
        <w:t>)</w:t>
      </w:r>
      <w:bookmarkEnd w:id="369"/>
    </w:p>
    <w:p w:rsidR="00065E4B" w:rsidRPr="00C85F0F" w:rsidRDefault="00460314" w:rsidP="00A8347C">
      <w:pPr>
        <w:pStyle w:val="aff3"/>
        <w:rPr>
          <w:rtl/>
        </w:rPr>
      </w:pPr>
      <w:bookmarkStart w:id="370" w:name="_Toc334046569"/>
      <w:r>
        <w:rPr>
          <w:rFonts w:hint="cs"/>
          <w:rtl/>
        </w:rPr>
        <w:t xml:space="preserve">                                         المطلب</w:t>
      </w:r>
      <w:r w:rsidR="0005244C">
        <w:rPr>
          <w:rFonts w:hint="cs"/>
          <w:rtl/>
        </w:rPr>
        <w:t xml:space="preserve"> </w:t>
      </w:r>
      <w:r w:rsidR="00315C1E" w:rsidRPr="00C85F0F">
        <w:rPr>
          <w:rFonts w:hint="cs"/>
          <w:rtl/>
        </w:rPr>
        <w:t>الأول</w:t>
      </w:r>
      <w:r w:rsidR="00315C1E" w:rsidRPr="00C85F0F">
        <w:rPr>
          <w:rFonts w:hint="eastAsia"/>
          <w:rtl/>
        </w:rPr>
        <w:t> :</w:t>
      </w:r>
      <w:r w:rsidR="00315C1E" w:rsidRPr="00C85F0F">
        <w:rPr>
          <w:rFonts w:hint="cs"/>
          <w:rtl/>
        </w:rPr>
        <w:br/>
      </w:r>
      <w:r>
        <w:rPr>
          <w:rFonts w:hint="cs"/>
          <w:rtl/>
        </w:rPr>
        <w:t xml:space="preserve">                      </w:t>
      </w:r>
      <w:r w:rsidR="0005244C">
        <w:rPr>
          <w:rFonts w:hint="cs"/>
          <w:rtl/>
        </w:rPr>
        <w:t xml:space="preserve"> </w:t>
      </w:r>
      <w:r w:rsidR="00315C1E" w:rsidRPr="00C85F0F">
        <w:rPr>
          <w:rFonts w:hint="cs"/>
          <w:rtl/>
        </w:rPr>
        <w:t>صيغ القاعدة عند الشيخ وعند علماء القواعد</w:t>
      </w:r>
      <w:bookmarkEnd w:id="370"/>
    </w:p>
    <w:p w:rsidR="00315C1E" w:rsidRPr="00C85F0F" w:rsidRDefault="00065E4B" w:rsidP="00597C20">
      <w:pPr>
        <w:ind w:firstLine="0"/>
        <w:rPr>
          <w:rtl/>
        </w:rPr>
      </w:pPr>
      <w:r w:rsidRPr="00C85F0F">
        <w:rPr>
          <w:rFonts w:hint="cs"/>
          <w:rtl/>
        </w:rPr>
        <w:t>و</w:t>
      </w:r>
      <w:r w:rsidR="00315C1E" w:rsidRPr="00C85F0F">
        <w:rPr>
          <w:rFonts w:hint="cs"/>
          <w:rtl/>
        </w:rPr>
        <w:t xml:space="preserve">ردت هذه القاعدة عند الشيخ ابن عثيمين </w:t>
      </w:r>
      <w:r w:rsidR="0005244C">
        <w:rPr>
          <w:rFonts w:hint="cs"/>
          <w:rtl/>
        </w:rPr>
        <w:t>_</w:t>
      </w:r>
      <w:r w:rsidR="009A0575" w:rsidRPr="005D5694">
        <w:rPr>
          <w:rFonts w:ascii="Traditional Arabic" w:hAnsi="Traditional Arabic" w:cs="CTraditional Arabic" w:hint="cs"/>
          <w:rtl/>
        </w:rPr>
        <w:t>/</w:t>
      </w:r>
      <w:r w:rsidR="0005244C">
        <w:rPr>
          <w:rFonts w:hint="cs"/>
          <w:rtl/>
        </w:rPr>
        <w:t>_</w:t>
      </w:r>
      <w:r w:rsidR="00315C1E" w:rsidRPr="00C85F0F">
        <w:rPr>
          <w:rFonts w:hint="cs"/>
          <w:rtl/>
        </w:rPr>
        <w:t xml:space="preserve"> بعدة صيغ، منها:</w:t>
      </w:r>
    </w:p>
    <w:p w:rsidR="00315C1E" w:rsidRPr="00C85F0F" w:rsidRDefault="00315C1E" w:rsidP="000A76C7">
      <w:pPr>
        <w:numPr>
          <w:ilvl w:val="0"/>
          <w:numId w:val="243"/>
        </w:numPr>
        <w:rPr>
          <w:rFonts w:ascii="Traditional Arabic" w:hAnsi="Traditional Arabic"/>
        </w:rPr>
      </w:pPr>
      <w:r w:rsidRPr="00C85F0F">
        <w:rPr>
          <w:rFonts w:ascii="Traditional Arabic" w:hAnsi="Traditional Arabic"/>
          <w:rtl/>
        </w:rPr>
        <w:t>كل ما أد</w:t>
      </w:r>
      <w:r w:rsidRPr="00C85F0F">
        <w:rPr>
          <w:rFonts w:ascii="Traditional Arabic" w:hAnsi="Traditional Arabic" w:hint="cs"/>
          <w:rtl/>
        </w:rPr>
        <w:t>َّ</w:t>
      </w:r>
      <w:r w:rsidRPr="00C85F0F">
        <w:rPr>
          <w:rFonts w:ascii="Traditional Arabic" w:hAnsi="Traditional Arabic"/>
          <w:rtl/>
        </w:rPr>
        <w:t>ى إلى البغضاء والعداوة فإن الشرع يمنع</w:t>
      </w:r>
      <w:r w:rsidRPr="00C85F0F">
        <w:rPr>
          <w:rFonts w:ascii="Traditional Arabic" w:hAnsi="Traditional Arabic" w:hint="cs"/>
          <w:rtl/>
        </w:rPr>
        <w:t>ُ</w:t>
      </w:r>
      <w:r w:rsidRPr="00C85F0F">
        <w:rPr>
          <w:rFonts w:ascii="Traditional Arabic" w:hAnsi="Traditional Arabic"/>
          <w:rtl/>
        </w:rPr>
        <w:t>ه</w:t>
      </w:r>
      <w:r w:rsidRPr="00C85F0F">
        <w:rPr>
          <w:rStyle w:val="af1"/>
          <w:szCs w:val="32"/>
          <w:rtl/>
        </w:rPr>
        <w:t>(</w:t>
      </w:r>
      <w:r w:rsidRPr="00C85F0F">
        <w:rPr>
          <w:rStyle w:val="af1"/>
          <w:szCs w:val="32"/>
          <w:rtl/>
        </w:rPr>
        <w:footnoteReference w:id="1771"/>
      </w:r>
      <w:r w:rsidRPr="00C85F0F">
        <w:rPr>
          <w:rStyle w:val="af1"/>
          <w:szCs w:val="32"/>
          <w:rtl/>
        </w:rPr>
        <w:t>)</w:t>
      </w:r>
      <w:r w:rsidRPr="00C85F0F">
        <w:rPr>
          <w:rFonts w:ascii="Traditional Arabic" w:hAnsi="Traditional Arabic" w:hint="cs"/>
          <w:rtl/>
        </w:rPr>
        <w:t>.</w:t>
      </w:r>
    </w:p>
    <w:p w:rsidR="00315C1E" w:rsidRPr="00C85F0F" w:rsidRDefault="00315C1E" w:rsidP="000A76C7">
      <w:pPr>
        <w:numPr>
          <w:ilvl w:val="0"/>
          <w:numId w:val="243"/>
        </w:numPr>
        <w:rPr>
          <w:rFonts w:ascii="Traditional Arabic" w:hAnsi="Traditional Arabic"/>
          <w:color w:val="auto"/>
        </w:rPr>
      </w:pPr>
      <w:r w:rsidRPr="00C85F0F">
        <w:rPr>
          <w:rFonts w:ascii="Traditional Arabic" w:hAnsi="Traditional Arabic"/>
          <w:color w:val="auto"/>
          <w:rtl/>
        </w:rPr>
        <w:t>كل ما أوجب العداوة والبغضاء بين المسلمين فإنه محرم</w:t>
      </w:r>
      <w:r w:rsidRPr="00C85F0F">
        <w:rPr>
          <w:rStyle w:val="af1"/>
          <w:szCs w:val="32"/>
          <w:rtl/>
        </w:rPr>
        <w:t>(</w:t>
      </w:r>
      <w:r w:rsidRPr="00C85F0F">
        <w:rPr>
          <w:rStyle w:val="af1"/>
          <w:szCs w:val="32"/>
          <w:rtl/>
        </w:rPr>
        <w:footnoteReference w:id="1772"/>
      </w:r>
      <w:r w:rsidRPr="00C85F0F">
        <w:rPr>
          <w:rStyle w:val="af1"/>
          <w:szCs w:val="32"/>
          <w:rtl/>
        </w:rPr>
        <w:t>)</w:t>
      </w:r>
      <w:r w:rsidRPr="00C85F0F">
        <w:rPr>
          <w:rFonts w:ascii="Traditional Arabic" w:hAnsi="Traditional Arabic" w:hint="cs"/>
          <w:color w:val="auto"/>
          <w:rtl/>
        </w:rPr>
        <w:t>.</w:t>
      </w:r>
    </w:p>
    <w:p w:rsidR="00315C1E" w:rsidRPr="00C85F0F" w:rsidRDefault="00315C1E" w:rsidP="000A76C7">
      <w:pPr>
        <w:numPr>
          <w:ilvl w:val="0"/>
          <w:numId w:val="243"/>
        </w:numPr>
        <w:rPr>
          <w:rFonts w:ascii="Traditional Arabic" w:hAnsi="Traditional Arabic"/>
          <w:color w:val="auto"/>
        </w:rPr>
      </w:pPr>
      <w:r w:rsidRPr="00C85F0F">
        <w:rPr>
          <w:rFonts w:ascii="Traditional Arabic" w:hAnsi="Traditional Arabic"/>
          <w:rtl/>
        </w:rPr>
        <w:t>الشريعة تقطع كل شيء يكون سبباً للن</w:t>
      </w:r>
      <w:r w:rsidRPr="00C85F0F">
        <w:rPr>
          <w:rFonts w:ascii="Traditional Arabic" w:hAnsi="Traditional Arabic" w:hint="cs"/>
          <w:rtl/>
        </w:rPr>
        <w:t>ِّ</w:t>
      </w:r>
      <w:r w:rsidRPr="00C85F0F">
        <w:rPr>
          <w:rFonts w:ascii="Traditional Arabic" w:hAnsi="Traditional Arabic"/>
          <w:rtl/>
        </w:rPr>
        <w:t>زاع والبغضاء والف</w:t>
      </w:r>
      <w:r w:rsidRPr="00C85F0F">
        <w:rPr>
          <w:rFonts w:ascii="Traditional Arabic" w:hAnsi="Traditional Arabic" w:hint="cs"/>
          <w:rtl/>
        </w:rPr>
        <w:t>ُ</w:t>
      </w:r>
      <w:r w:rsidRPr="00C85F0F">
        <w:rPr>
          <w:rFonts w:ascii="Traditional Arabic" w:hAnsi="Traditional Arabic"/>
          <w:rtl/>
        </w:rPr>
        <w:t>رقة</w:t>
      </w:r>
      <w:r w:rsidRPr="00C85F0F">
        <w:rPr>
          <w:rStyle w:val="af1"/>
          <w:szCs w:val="32"/>
          <w:rtl/>
        </w:rPr>
        <w:t>(</w:t>
      </w:r>
      <w:r w:rsidRPr="00C85F0F">
        <w:rPr>
          <w:rStyle w:val="af1"/>
          <w:szCs w:val="32"/>
          <w:rtl/>
        </w:rPr>
        <w:footnoteReference w:id="1773"/>
      </w:r>
      <w:r w:rsidRPr="00C85F0F">
        <w:rPr>
          <w:rStyle w:val="af1"/>
          <w:szCs w:val="32"/>
          <w:rtl/>
        </w:rPr>
        <w:t>)</w:t>
      </w:r>
      <w:r w:rsidRPr="00C85F0F">
        <w:rPr>
          <w:rFonts w:ascii="Traditional Arabic" w:hAnsi="Traditional Arabic" w:hint="cs"/>
          <w:rtl/>
        </w:rPr>
        <w:t>.</w:t>
      </w:r>
    </w:p>
    <w:p w:rsidR="00315C1E" w:rsidRPr="00C85F0F" w:rsidRDefault="00315C1E" w:rsidP="000A76C7">
      <w:pPr>
        <w:numPr>
          <w:ilvl w:val="0"/>
          <w:numId w:val="243"/>
        </w:numPr>
        <w:rPr>
          <w:rFonts w:ascii="Traditional Arabic" w:hAnsi="Traditional Arabic"/>
          <w:color w:val="auto"/>
        </w:rPr>
      </w:pPr>
      <w:r w:rsidRPr="00C85F0F">
        <w:rPr>
          <w:rFonts w:ascii="Traditional Arabic" w:hAnsi="Traditional Arabic"/>
          <w:rtl/>
        </w:rPr>
        <w:t>الشارع ينه</w:t>
      </w:r>
      <w:r w:rsidRPr="00C85F0F">
        <w:rPr>
          <w:rFonts w:ascii="Traditional Arabic" w:hAnsi="Traditional Arabic" w:hint="cs"/>
          <w:rtl/>
        </w:rPr>
        <w:t>ى</w:t>
      </w:r>
      <w:r w:rsidRPr="00C85F0F">
        <w:rPr>
          <w:rFonts w:ascii="Traditional Arabic" w:hAnsi="Traditional Arabic"/>
          <w:rtl/>
        </w:rPr>
        <w:t xml:space="preserve"> عن كل ما </w:t>
      </w:r>
      <w:r w:rsidRPr="00C85F0F">
        <w:rPr>
          <w:rFonts w:ascii="Traditional Arabic" w:hAnsi="Traditional Arabic" w:hint="cs"/>
          <w:rtl/>
        </w:rPr>
        <w:t>ي</w:t>
      </w:r>
      <w:r w:rsidRPr="00C85F0F">
        <w:rPr>
          <w:rFonts w:ascii="Traditional Arabic" w:hAnsi="Traditional Arabic"/>
          <w:rtl/>
        </w:rPr>
        <w:t>وج</w:t>
      </w:r>
      <w:r w:rsidRPr="00C85F0F">
        <w:rPr>
          <w:rFonts w:ascii="Traditional Arabic" w:hAnsi="Traditional Arabic" w:hint="cs"/>
          <w:rtl/>
        </w:rPr>
        <w:t>ِ</w:t>
      </w:r>
      <w:r w:rsidRPr="00C85F0F">
        <w:rPr>
          <w:rFonts w:ascii="Traditional Arabic" w:hAnsi="Traditional Arabic"/>
          <w:rtl/>
        </w:rPr>
        <w:t>ب الخ</w:t>
      </w:r>
      <w:r w:rsidRPr="00C85F0F">
        <w:rPr>
          <w:rFonts w:ascii="Traditional Arabic" w:hAnsi="Traditional Arabic" w:hint="cs"/>
          <w:rtl/>
        </w:rPr>
        <w:t>ُ</w:t>
      </w:r>
      <w:r w:rsidRPr="00C85F0F">
        <w:rPr>
          <w:rFonts w:ascii="Traditional Arabic" w:hAnsi="Traditional Arabic"/>
          <w:rtl/>
        </w:rPr>
        <w:t>صومة والبغضاء والعداوة</w:t>
      </w:r>
      <w:r w:rsidRPr="00C85F0F">
        <w:rPr>
          <w:rStyle w:val="af1"/>
          <w:szCs w:val="32"/>
          <w:rtl/>
        </w:rPr>
        <w:t>(</w:t>
      </w:r>
      <w:r w:rsidRPr="00C85F0F">
        <w:rPr>
          <w:rStyle w:val="af1"/>
          <w:szCs w:val="32"/>
          <w:rtl/>
        </w:rPr>
        <w:footnoteReference w:id="1774"/>
      </w:r>
      <w:r w:rsidRPr="00C85F0F">
        <w:rPr>
          <w:rStyle w:val="af1"/>
          <w:szCs w:val="32"/>
          <w:rtl/>
        </w:rPr>
        <w:t>)</w:t>
      </w:r>
      <w:r w:rsidRPr="00C85F0F">
        <w:rPr>
          <w:rFonts w:ascii="Traditional Arabic" w:hAnsi="Traditional Arabic" w:hint="cs"/>
          <w:color w:val="auto"/>
          <w:rtl/>
        </w:rPr>
        <w:t>.</w:t>
      </w:r>
    </w:p>
    <w:p w:rsidR="00315C1E" w:rsidRPr="00C85F0F" w:rsidRDefault="00315C1E" w:rsidP="000A76C7">
      <w:pPr>
        <w:pStyle w:val="afc"/>
        <w:widowControl/>
        <w:numPr>
          <w:ilvl w:val="0"/>
          <w:numId w:val="243"/>
        </w:numPr>
        <w:autoSpaceDE w:val="0"/>
        <w:autoSpaceDN w:val="0"/>
        <w:adjustRightInd w:val="0"/>
        <w:jc w:val="left"/>
        <w:rPr>
          <w:rFonts w:ascii="Traditional Arabic" w:hAnsi="Traditional Arabic"/>
          <w:noProof w:val="0"/>
          <w:sz w:val="32"/>
          <w:szCs w:val="32"/>
          <w:lang w:eastAsia="en-US"/>
        </w:rPr>
      </w:pPr>
      <w:r w:rsidRPr="00C85F0F">
        <w:rPr>
          <w:rFonts w:ascii="Traditional Arabic" w:hAnsi="Traditional Arabic"/>
          <w:noProof w:val="0"/>
          <w:rtl/>
          <w:lang w:eastAsia="en-US"/>
        </w:rPr>
        <w:t>الشرع جاء بسد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كل ما يوج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 النزاع</w:t>
      </w:r>
      <w:r w:rsidRPr="00C85F0F">
        <w:rPr>
          <w:rStyle w:val="af1"/>
          <w:szCs w:val="32"/>
          <w:rtl/>
        </w:rPr>
        <w:t>(</w:t>
      </w:r>
      <w:r w:rsidRPr="00C85F0F">
        <w:rPr>
          <w:rStyle w:val="af1"/>
          <w:szCs w:val="32"/>
          <w:rtl/>
        </w:rPr>
        <w:footnoteReference w:id="1775"/>
      </w:r>
      <w:r w:rsidRPr="00C85F0F">
        <w:rPr>
          <w:rStyle w:val="af1"/>
          <w:szCs w:val="32"/>
          <w:rtl/>
        </w:rPr>
        <w:t>)</w:t>
      </w:r>
      <w:r w:rsidRPr="00C85F0F">
        <w:rPr>
          <w:rFonts w:ascii="Traditional Arabic" w:hAnsi="Traditional Arabic"/>
          <w:noProof w:val="0"/>
          <w:sz w:val="32"/>
          <w:szCs w:val="32"/>
          <w:rtl/>
          <w:lang w:eastAsia="en-US"/>
        </w:rPr>
        <w:t>.</w:t>
      </w:r>
    </w:p>
    <w:p w:rsidR="00065E4B" w:rsidRPr="00C85F0F" w:rsidRDefault="00315C1E" w:rsidP="000A76C7">
      <w:pPr>
        <w:numPr>
          <w:ilvl w:val="0"/>
          <w:numId w:val="243"/>
        </w:numPr>
        <w:rPr>
          <w:rFonts w:ascii="Traditional Arabic" w:hAnsi="Traditional Arabic"/>
          <w:color w:val="auto"/>
        </w:rPr>
      </w:pPr>
      <w:r w:rsidRPr="00C85F0F">
        <w:rPr>
          <w:rFonts w:ascii="Traditional Arabic" w:hAnsi="Traditional Arabic"/>
          <w:rtl/>
        </w:rPr>
        <w:t>الشارع يمنع كل ما ي</w:t>
      </w:r>
      <w:r w:rsidRPr="00C85F0F">
        <w:rPr>
          <w:rFonts w:ascii="Traditional Arabic" w:hAnsi="Traditional Arabic" w:hint="cs"/>
          <w:rtl/>
        </w:rPr>
        <w:t>ُ</w:t>
      </w:r>
      <w:r w:rsidRPr="00C85F0F">
        <w:rPr>
          <w:rFonts w:ascii="Traditional Arabic" w:hAnsi="Traditional Arabic"/>
          <w:rtl/>
        </w:rPr>
        <w:t>ح</w:t>
      </w:r>
      <w:r w:rsidRPr="00C85F0F">
        <w:rPr>
          <w:rFonts w:ascii="Traditional Arabic" w:hAnsi="Traditional Arabic" w:hint="cs"/>
          <w:rtl/>
        </w:rPr>
        <w:t>ْ</w:t>
      </w:r>
      <w:r w:rsidRPr="00C85F0F">
        <w:rPr>
          <w:rFonts w:ascii="Traditional Arabic" w:hAnsi="Traditional Arabic"/>
          <w:rtl/>
        </w:rPr>
        <w:t>د</w:t>
      </w:r>
      <w:r w:rsidRPr="00C85F0F">
        <w:rPr>
          <w:rFonts w:ascii="Traditional Arabic" w:hAnsi="Traditional Arabic" w:hint="cs"/>
          <w:rtl/>
        </w:rPr>
        <w:t>ِ</w:t>
      </w:r>
      <w:r w:rsidRPr="00C85F0F">
        <w:rPr>
          <w:rFonts w:ascii="Traditional Arabic" w:hAnsi="Traditional Arabic"/>
          <w:rtl/>
        </w:rPr>
        <w:t>ث البغضاء والعداوة</w:t>
      </w:r>
      <w:r w:rsidRPr="00C85F0F">
        <w:rPr>
          <w:rStyle w:val="af1"/>
          <w:szCs w:val="32"/>
          <w:rtl/>
        </w:rPr>
        <w:t>(</w:t>
      </w:r>
      <w:r w:rsidRPr="00C85F0F">
        <w:rPr>
          <w:rStyle w:val="af1"/>
          <w:szCs w:val="32"/>
          <w:rtl/>
        </w:rPr>
        <w:footnoteReference w:id="1776"/>
      </w:r>
      <w:r w:rsidRPr="00C85F0F">
        <w:rPr>
          <w:rStyle w:val="af1"/>
          <w:szCs w:val="32"/>
          <w:rtl/>
        </w:rPr>
        <w:t>)</w:t>
      </w:r>
      <w:r w:rsidRPr="00C85F0F">
        <w:rPr>
          <w:rFonts w:ascii="Traditional Arabic" w:hAnsi="Traditional Arabic" w:hint="cs"/>
          <w:color w:val="auto"/>
          <w:rtl/>
        </w:rPr>
        <w:t>.</w:t>
      </w:r>
    </w:p>
    <w:p w:rsidR="00065E4B" w:rsidRPr="00C85F0F" w:rsidRDefault="00065E4B" w:rsidP="00597C20">
      <w:pPr>
        <w:ind w:firstLine="706"/>
        <w:rPr>
          <w:rFonts w:ascii="Traditional Arabic" w:hAnsi="Traditional Arabic"/>
          <w:color w:val="auto"/>
          <w:rtl/>
        </w:rPr>
      </w:pPr>
      <w:r w:rsidRPr="00C85F0F">
        <w:rPr>
          <w:rFonts w:ascii="Traditional Arabic" w:hAnsi="Traditional Arabic" w:hint="cs"/>
          <w:color w:val="auto"/>
          <w:rtl/>
        </w:rPr>
        <w:t>و</w:t>
      </w:r>
      <w:r w:rsidR="00315C1E" w:rsidRPr="00C85F0F">
        <w:rPr>
          <w:rFonts w:ascii="Traditional Arabic" w:hAnsi="Traditional Arabic" w:hint="cs"/>
          <w:color w:val="auto"/>
          <w:rtl/>
        </w:rPr>
        <w:t xml:space="preserve">لم أجد-بحسب اطلاعي- من العلماء مَن ذكر هذه القاعدة، غير أني وجدت بعض </w:t>
      </w:r>
      <w:r w:rsidR="00315C1E" w:rsidRPr="00C85F0F">
        <w:rPr>
          <w:rFonts w:ascii="Traditional Arabic" w:hAnsi="Traditional Arabic" w:hint="cs"/>
          <w:color w:val="auto"/>
          <w:rtl/>
        </w:rPr>
        <w:lastRenderedPageBreak/>
        <w:t>العلماء يعلِّلون تحريم بعض المعاملات كالميسر والغرر بكونها تُوقِع العداوة والبغضاء</w:t>
      </w:r>
      <w:r w:rsidR="00315C1E" w:rsidRPr="00C85F0F">
        <w:rPr>
          <w:rStyle w:val="af1"/>
          <w:szCs w:val="32"/>
          <w:rtl/>
        </w:rPr>
        <w:t>(</w:t>
      </w:r>
      <w:r w:rsidR="00315C1E" w:rsidRPr="00C85F0F">
        <w:rPr>
          <w:rStyle w:val="af1"/>
          <w:szCs w:val="32"/>
          <w:rtl/>
        </w:rPr>
        <w:footnoteReference w:id="1777"/>
      </w:r>
      <w:r w:rsidR="00315C1E" w:rsidRPr="00C85F0F">
        <w:rPr>
          <w:rStyle w:val="af1"/>
          <w:szCs w:val="32"/>
          <w:rtl/>
        </w:rPr>
        <w:t>)</w:t>
      </w:r>
      <w:r w:rsidR="00315C1E" w:rsidRPr="00C85F0F">
        <w:rPr>
          <w:rFonts w:ascii="Traditional Arabic" w:hAnsi="Traditional Arabic" w:hint="cs"/>
          <w:color w:val="auto"/>
          <w:rtl/>
        </w:rPr>
        <w:t>.</w:t>
      </w:r>
    </w:p>
    <w:p w:rsidR="00F228A9" w:rsidRPr="00C85F0F" w:rsidRDefault="00065E4B" w:rsidP="00597C20">
      <w:pPr>
        <w:ind w:firstLine="706"/>
        <w:rPr>
          <w:rFonts w:ascii="Traditional Arabic" w:hAnsi="Traditional Arabic"/>
          <w:color w:val="auto"/>
          <w:rtl/>
        </w:rPr>
      </w:pPr>
      <w:r w:rsidRPr="00C85F0F">
        <w:rPr>
          <w:rFonts w:ascii="Traditional Arabic" w:hAnsi="Traditional Arabic" w:hint="cs"/>
          <w:color w:val="auto"/>
          <w:rtl/>
        </w:rPr>
        <w:t>ك</w:t>
      </w:r>
      <w:r w:rsidR="00315C1E" w:rsidRPr="00C85F0F">
        <w:rPr>
          <w:rFonts w:ascii="Traditional Arabic" w:hAnsi="Traditional Arabic" w:hint="cs"/>
          <w:color w:val="auto"/>
          <w:rtl/>
        </w:rPr>
        <w:t xml:space="preserve">ما أني وجدت الشيخ عبد الرحمن السعدي </w:t>
      </w:r>
      <w:r w:rsidR="0005244C">
        <w:rPr>
          <w:rFonts w:ascii="Traditional Arabic" w:hAnsi="Traditional Arabic" w:hint="cs"/>
          <w:color w:val="auto"/>
          <w:rtl/>
        </w:rPr>
        <w:t>_</w:t>
      </w:r>
      <w:r w:rsidR="009A0575" w:rsidRPr="005D5694">
        <w:rPr>
          <w:rFonts w:ascii="Traditional Arabic" w:hAnsi="Traditional Arabic" w:cs="CTraditional Arabic" w:hint="cs"/>
          <w:rtl/>
        </w:rPr>
        <w:t>/</w:t>
      </w:r>
      <w:r w:rsidR="0005244C">
        <w:rPr>
          <w:rFonts w:ascii="Traditional Arabic" w:hAnsi="Traditional Arabic" w:hint="cs"/>
          <w:color w:val="auto"/>
          <w:rtl/>
        </w:rPr>
        <w:t>_</w:t>
      </w:r>
      <w:r w:rsidR="00315C1E" w:rsidRPr="00C85F0F">
        <w:rPr>
          <w:rFonts w:ascii="Traditional Arabic" w:hAnsi="Traditional Arabic" w:hint="cs"/>
          <w:color w:val="auto"/>
          <w:rtl/>
        </w:rPr>
        <w:t xml:space="preserve"> جعل النهي عن كل ما يُحدِث العداوة والبغضاء من فروع قاعدة "الوسائل لها أحكام المقاصد" من جهة أن الوسائل المؤدية إلى العداوة والبغضاء تكون محرَّمة لأنها وسيلة إلى أمر محرَّم</w:t>
      </w:r>
      <w:r w:rsidR="00315C1E" w:rsidRPr="00C85F0F">
        <w:rPr>
          <w:rStyle w:val="af1"/>
          <w:szCs w:val="32"/>
          <w:rtl/>
        </w:rPr>
        <w:t>(</w:t>
      </w:r>
      <w:r w:rsidR="00315C1E" w:rsidRPr="00C85F0F">
        <w:rPr>
          <w:rStyle w:val="af1"/>
          <w:szCs w:val="32"/>
          <w:rtl/>
        </w:rPr>
        <w:footnoteReference w:id="1778"/>
      </w:r>
      <w:r w:rsidR="00315C1E" w:rsidRPr="00C85F0F">
        <w:rPr>
          <w:rStyle w:val="af1"/>
          <w:szCs w:val="32"/>
          <w:rtl/>
        </w:rPr>
        <w:t>)</w:t>
      </w:r>
      <w:r w:rsidR="00315C1E" w:rsidRPr="00C85F0F">
        <w:rPr>
          <w:rFonts w:ascii="Traditional Arabic" w:hAnsi="Traditional Arabic" w:hint="cs"/>
          <w:color w:val="auto"/>
          <w:rtl/>
        </w:rPr>
        <w:t>.</w:t>
      </w:r>
    </w:p>
    <w:p w:rsidR="00065E4B" w:rsidRPr="00C85F0F" w:rsidRDefault="00460314" w:rsidP="00A8347C">
      <w:pPr>
        <w:pStyle w:val="aff3"/>
        <w:rPr>
          <w:rtl/>
        </w:rPr>
      </w:pPr>
      <w:bookmarkStart w:id="371" w:name="_Toc334046570"/>
      <w:r>
        <w:rPr>
          <w:rFonts w:hint="cs"/>
          <w:rtl/>
        </w:rPr>
        <w:t xml:space="preserve">                                        المطلب</w:t>
      </w:r>
      <w:r w:rsidR="0005244C">
        <w:rPr>
          <w:rFonts w:hint="cs"/>
          <w:rtl/>
        </w:rPr>
        <w:t xml:space="preserve"> </w:t>
      </w:r>
      <w:r w:rsidR="00315C1E" w:rsidRPr="00C85F0F">
        <w:rPr>
          <w:rFonts w:hint="cs"/>
          <w:rtl/>
        </w:rPr>
        <w:t>الثاني</w:t>
      </w:r>
      <w:r w:rsidR="00315C1E" w:rsidRPr="00C85F0F">
        <w:rPr>
          <w:rFonts w:hint="eastAsia"/>
          <w:rtl/>
        </w:rPr>
        <w:t> :</w:t>
      </w:r>
      <w:r w:rsidR="00315C1E" w:rsidRPr="00C85F0F">
        <w:rPr>
          <w:rFonts w:hint="cs"/>
          <w:rtl/>
        </w:rPr>
        <w:br/>
      </w:r>
      <w:r>
        <w:rPr>
          <w:rFonts w:hint="cs"/>
          <w:rtl/>
        </w:rPr>
        <w:t xml:space="preserve">                                         </w:t>
      </w:r>
      <w:r w:rsidR="00315C1E" w:rsidRPr="00C85F0F">
        <w:rPr>
          <w:rFonts w:hint="cs"/>
          <w:rtl/>
        </w:rPr>
        <w:t>شرح القاعدة</w:t>
      </w:r>
      <w:bookmarkEnd w:id="371"/>
    </w:p>
    <w:p w:rsidR="00315C1E" w:rsidRPr="00C85F0F" w:rsidRDefault="00065E4B" w:rsidP="00597C20">
      <w:pPr>
        <w:ind w:firstLine="720"/>
        <w:rPr>
          <w:rFonts w:ascii="Traditional Arabic" w:hAnsi="Traditional Arabic"/>
          <w:noProof w:val="0"/>
          <w:rtl/>
          <w:lang w:eastAsia="en-US"/>
        </w:rPr>
      </w:pPr>
      <w:r w:rsidRPr="00C85F0F">
        <w:rPr>
          <w:rFonts w:ascii="Traditional Arabic" w:hAnsi="Traditional Arabic"/>
          <w:noProof w:val="0"/>
          <w:rtl/>
          <w:lang w:eastAsia="en-US"/>
        </w:rPr>
        <w:t>ه</w:t>
      </w:r>
      <w:r w:rsidR="00315C1E" w:rsidRPr="00C85F0F">
        <w:rPr>
          <w:rFonts w:ascii="Traditional Arabic" w:hAnsi="Traditional Arabic"/>
          <w:noProof w:val="0"/>
          <w:rtl/>
          <w:lang w:eastAsia="en-US"/>
        </w:rPr>
        <w:t xml:space="preserve">ذه </w:t>
      </w:r>
      <w:r w:rsidR="00315C1E" w:rsidRPr="00C85F0F">
        <w:rPr>
          <w:rFonts w:ascii="Traditional Arabic" w:hAnsi="Traditional Arabic" w:hint="cs"/>
          <w:noProof w:val="0"/>
          <w:rtl/>
          <w:lang w:eastAsia="en-US"/>
        </w:rPr>
        <w:t>ال</w:t>
      </w:r>
      <w:r w:rsidR="00315C1E" w:rsidRPr="00C85F0F">
        <w:rPr>
          <w:rFonts w:ascii="Traditional Arabic" w:hAnsi="Traditional Arabic"/>
          <w:noProof w:val="0"/>
          <w:rtl/>
          <w:lang w:eastAsia="en-US"/>
        </w:rPr>
        <w:t>قاعدة عامة</w:t>
      </w:r>
      <w:r w:rsidR="00315C1E" w:rsidRPr="00C85F0F">
        <w:rPr>
          <w:rFonts w:ascii="Traditional Arabic" w:hAnsi="Traditional Arabic" w:hint="cs"/>
          <w:noProof w:val="0"/>
          <w:rtl/>
          <w:lang w:eastAsia="en-US"/>
        </w:rPr>
        <w:t xml:space="preserve"> شاملة، سواء في البيع، أو في النكاح، أو في الولايات، أو غير ذلك، فكل ما أوجب العداوة والبغضاء بين المسلمين فهو محرم؛ وذلك </w:t>
      </w:r>
      <w:r w:rsidR="00315C1E" w:rsidRPr="00C85F0F">
        <w:rPr>
          <w:rFonts w:ascii="Traditional Arabic" w:hAnsi="Traditional Arabic"/>
          <w:noProof w:val="0"/>
          <w:rtl/>
          <w:lang w:eastAsia="en-US"/>
        </w:rPr>
        <w:t>لأن الدين</w:t>
      </w:r>
      <w:r w:rsidR="00315C1E" w:rsidRPr="00C85F0F">
        <w:rPr>
          <w:rFonts w:ascii="Traditional Arabic" w:hAnsi="Traditional Arabic" w:hint="cs"/>
          <w:noProof w:val="0"/>
          <w:rtl/>
          <w:lang w:eastAsia="en-US"/>
        </w:rPr>
        <w:t xml:space="preserve"> الإسلامي</w:t>
      </w:r>
      <w:r w:rsidR="00315C1E" w:rsidRPr="00C85F0F">
        <w:rPr>
          <w:rFonts w:ascii="Traditional Arabic" w:hAnsi="Traditional Arabic"/>
          <w:noProof w:val="0"/>
          <w:rtl/>
          <w:lang w:eastAsia="en-US"/>
        </w:rPr>
        <w:t xml:space="preserve"> دين التآلف، ودين الأخوة والمحبة</w:t>
      </w:r>
      <w:r w:rsidR="00315C1E" w:rsidRPr="00C85F0F">
        <w:rPr>
          <w:rFonts w:ascii="Traditional Arabic" w:hAnsi="Traditional Arabic" w:hint="cs"/>
          <w:noProof w:val="0"/>
          <w:rtl/>
          <w:lang w:eastAsia="en-US"/>
        </w:rPr>
        <w:t>، ولا يريد من أهله إلا أن يكونوا</w:t>
      </w:r>
      <w:r w:rsidR="0005244C">
        <w:rPr>
          <w:rFonts w:ascii="Traditional Arabic" w:hAnsi="Traditional Arabic" w:hint="cs"/>
          <w:noProof w:val="0"/>
          <w:rtl/>
          <w:lang w:eastAsia="en-US"/>
        </w:rPr>
        <w:t xml:space="preserve"> </w:t>
      </w:r>
      <w:r w:rsidR="00315C1E" w:rsidRPr="00C85F0F">
        <w:rPr>
          <w:rFonts w:ascii="Traditional Arabic" w:hAnsi="Traditional Arabic" w:hint="cs"/>
          <w:noProof w:val="0"/>
          <w:rtl/>
          <w:lang w:eastAsia="en-US"/>
        </w:rPr>
        <w:t>أحِبَّة متعارِفين متواف</w:t>
      </w:r>
      <w:r w:rsidR="0005244C">
        <w:rPr>
          <w:rFonts w:ascii="Traditional Arabic" w:hAnsi="Traditional Arabic" w:hint="cs"/>
          <w:noProof w:val="0"/>
          <w:rtl/>
          <w:lang w:eastAsia="en-US"/>
        </w:rPr>
        <w:t>ِ</w:t>
      </w:r>
      <w:r w:rsidR="00315C1E" w:rsidRPr="00C85F0F">
        <w:rPr>
          <w:rFonts w:ascii="Traditional Arabic" w:hAnsi="Traditional Arabic" w:hint="cs"/>
          <w:noProof w:val="0"/>
          <w:rtl/>
          <w:lang w:eastAsia="en-US"/>
        </w:rPr>
        <w:t xml:space="preserve">قين، وكل شيء يهدِم هذا الأصل الأصيل في الدين الإسلامي، فإنه يكون منهيّاً عنه؛ ولهذا جاءت </w:t>
      </w:r>
      <w:r w:rsidR="00315C1E" w:rsidRPr="00C85F0F">
        <w:rPr>
          <w:rFonts w:ascii="Traditional Arabic" w:hAnsi="Traditional Arabic"/>
          <w:rtl/>
        </w:rPr>
        <w:t xml:space="preserve">الشريعة </w:t>
      </w:r>
      <w:r w:rsidR="00315C1E" w:rsidRPr="00C85F0F">
        <w:rPr>
          <w:rFonts w:ascii="Traditional Arabic" w:hAnsi="Traditional Arabic" w:hint="cs"/>
          <w:rtl/>
        </w:rPr>
        <w:t>ل</w:t>
      </w:r>
      <w:r w:rsidR="00315C1E" w:rsidRPr="00C85F0F">
        <w:rPr>
          <w:rFonts w:ascii="Traditional Arabic" w:hAnsi="Traditional Arabic"/>
          <w:rtl/>
        </w:rPr>
        <w:t>تقطع كل شيء يكون سبباً للنزاع والبغضاء والف</w:t>
      </w:r>
      <w:r w:rsidR="00315C1E" w:rsidRPr="00C85F0F">
        <w:rPr>
          <w:rFonts w:ascii="Traditional Arabic" w:hAnsi="Traditional Arabic" w:hint="cs"/>
          <w:rtl/>
        </w:rPr>
        <w:t>ُ</w:t>
      </w:r>
      <w:r w:rsidR="00315C1E" w:rsidRPr="00C85F0F">
        <w:rPr>
          <w:rFonts w:ascii="Traditional Arabic" w:hAnsi="Traditional Arabic"/>
          <w:rtl/>
        </w:rPr>
        <w:t>رقة</w:t>
      </w:r>
      <w:r w:rsidR="00315C1E" w:rsidRPr="00C85F0F">
        <w:rPr>
          <w:rFonts w:ascii="Traditional Arabic" w:hAnsi="Traditional Arabic" w:hint="cs"/>
          <w:rtl/>
        </w:rPr>
        <w:t xml:space="preserve"> بين المسلمين</w:t>
      </w:r>
      <w:r w:rsidR="00315C1E" w:rsidRPr="00C85F0F">
        <w:rPr>
          <w:rStyle w:val="af1"/>
          <w:szCs w:val="32"/>
          <w:rtl/>
        </w:rPr>
        <w:t>(</w:t>
      </w:r>
      <w:r w:rsidR="00315C1E" w:rsidRPr="00C85F0F">
        <w:rPr>
          <w:rStyle w:val="af1"/>
          <w:szCs w:val="32"/>
          <w:rtl/>
        </w:rPr>
        <w:footnoteReference w:id="1779"/>
      </w:r>
      <w:r w:rsidR="00315C1E" w:rsidRPr="00C85F0F">
        <w:rPr>
          <w:rStyle w:val="af1"/>
          <w:szCs w:val="32"/>
          <w:rtl/>
        </w:rPr>
        <w:t>)</w:t>
      </w:r>
      <w:r w:rsidR="00315C1E" w:rsidRPr="00C85F0F">
        <w:rPr>
          <w:rFonts w:ascii="Traditional Arabic" w:hAnsi="Traditional Arabic" w:hint="cs"/>
          <w:noProof w:val="0"/>
          <w:rtl/>
          <w:lang w:eastAsia="en-US"/>
        </w:rPr>
        <w:t>.</w:t>
      </w:r>
    </w:p>
    <w:p w:rsidR="00315C1E" w:rsidRPr="00C85F0F" w:rsidRDefault="00460314" w:rsidP="00A8347C">
      <w:pPr>
        <w:pStyle w:val="aff3"/>
        <w:rPr>
          <w:rtl/>
        </w:rPr>
      </w:pPr>
      <w:bookmarkStart w:id="372" w:name="_Toc334046571"/>
      <w:r>
        <w:rPr>
          <w:rFonts w:hint="cs"/>
          <w:rtl/>
        </w:rPr>
        <w:t xml:space="preserve">                                        المطلب</w:t>
      </w:r>
      <w:r w:rsidR="0005244C">
        <w:rPr>
          <w:rFonts w:hint="cs"/>
          <w:rtl/>
        </w:rPr>
        <w:t xml:space="preserve"> </w:t>
      </w:r>
      <w:r w:rsidR="00315C1E" w:rsidRPr="00C85F0F">
        <w:rPr>
          <w:rFonts w:hint="cs"/>
          <w:rtl/>
        </w:rPr>
        <w:t>الثالث</w:t>
      </w:r>
      <w:r w:rsidR="00315C1E" w:rsidRPr="00C85F0F">
        <w:rPr>
          <w:rFonts w:hint="eastAsia"/>
          <w:rtl/>
        </w:rPr>
        <w:t> :</w:t>
      </w:r>
      <w:r w:rsidR="00315C1E" w:rsidRPr="00C85F0F">
        <w:rPr>
          <w:rFonts w:hint="cs"/>
          <w:rtl/>
        </w:rPr>
        <w:br/>
      </w:r>
      <w:r>
        <w:rPr>
          <w:rFonts w:hint="cs"/>
          <w:rtl/>
        </w:rPr>
        <w:t xml:space="preserve">                                          </w:t>
      </w:r>
      <w:r w:rsidR="00315C1E" w:rsidRPr="00C85F0F">
        <w:rPr>
          <w:rFonts w:hint="cs"/>
          <w:rtl/>
        </w:rPr>
        <w:t>أدلة القاعدة</w:t>
      </w:r>
      <w:bookmarkEnd w:id="372"/>
    </w:p>
    <w:p w:rsidR="00315C1E" w:rsidRPr="00C85F0F" w:rsidRDefault="00315C1E" w:rsidP="000A76C7">
      <w:pPr>
        <w:pStyle w:val="afc"/>
        <w:numPr>
          <w:ilvl w:val="0"/>
          <w:numId w:val="244"/>
        </w:numPr>
        <w:rPr>
          <w:rFonts w:ascii="Traditional Arabic" w:hAnsi="Traditional Arabic"/>
          <w:color w:val="auto"/>
        </w:rPr>
      </w:pPr>
      <w:r w:rsidRPr="00C85F0F">
        <w:rPr>
          <w:rFonts w:ascii="Traditional Arabic" w:hAnsi="Traditional Arabic" w:hint="cs"/>
          <w:color w:val="auto"/>
          <w:rtl/>
        </w:rPr>
        <w:t xml:space="preserve">قوله تعالى: </w:t>
      </w:r>
      <w:bookmarkStart w:id="373" w:name="سورة_المائدة_91"/>
      <w:r w:rsidR="00735180" w:rsidRPr="00427B84">
        <w:rPr>
          <w:rFonts w:ascii="QCF_BSML" w:hAnsi="QCF_BSML" w:cs="QCF_BSML"/>
          <w:noProof w:val="0"/>
          <w:rtl/>
          <w:lang w:eastAsia="en-US"/>
        </w:rPr>
        <w:t>ﭽ</w:t>
      </w:r>
      <w:r w:rsidR="00735180" w:rsidRPr="00427B84">
        <w:rPr>
          <w:rFonts w:ascii="QCF_P123" w:hAnsi="QCF_P123" w:cs="QCF_P123"/>
          <w:noProof w:val="0"/>
          <w:rtl/>
          <w:lang w:eastAsia="en-US"/>
        </w:rPr>
        <w:t>ﭡ</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ﭢ</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ﭣ</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ﭤ</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ﭥ</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ﭦ</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ﭧ</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ﭨ</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ﭩ</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ﭪ</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ﭫ</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lastRenderedPageBreak/>
        <w:t>ﭬ</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ﭭ</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ﭮ</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ﭯ</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ﭰ</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ﭱ</w:t>
      </w:r>
      <w:r w:rsidR="0005244C">
        <w:rPr>
          <w:rFonts w:ascii="QCF_P123" w:hAnsi="QCF_P123" w:cs="QCF_P123" w:hint="cs"/>
          <w:noProof w:val="0"/>
          <w:rtl/>
          <w:lang w:eastAsia="en-US"/>
        </w:rPr>
        <w:t xml:space="preserve">  </w:t>
      </w:r>
      <w:r w:rsidR="00735180" w:rsidRPr="00427B84">
        <w:rPr>
          <w:rFonts w:ascii="QCF_P123" w:hAnsi="QCF_P123" w:cs="QCF_P123"/>
          <w:noProof w:val="0"/>
          <w:color w:val="0000A5"/>
          <w:rtl/>
          <w:lang w:eastAsia="en-US"/>
        </w:rPr>
        <w:t>ﭲ</w:t>
      </w:r>
      <w:r w:rsidR="0005244C">
        <w:rPr>
          <w:rFonts w:ascii="QCF_P123" w:hAnsi="QCF_P123" w:cs="QCF_P123" w:hint="cs"/>
          <w:noProof w:val="0"/>
          <w:color w:val="0000A5"/>
          <w:rtl/>
          <w:lang w:eastAsia="en-US"/>
        </w:rPr>
        <w:t xml:space="preserve"> </w:t>
      </w:r>
      <w:r w:rsidR="00735180" w:rsidRPr="00427B84">
        <w:rPr>
          <w:rFonts w:ascii="QCF_P123" w:hAnsi="QCF_P123" w:cs="QCF_P123"/>
          <w:noProof w:val="0"/>
          <w:rtl/>
          <w:lang w:eastAsia="en-US"/>
        </w:rPr>
        <w:t>ﭳ</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ﭴ</w:t>
      </w:r>
      <w:r w:rsidR="0005244C">
        <w:rPr>
          <w:rFonts w:ascii="QCF_P123" w:hAnsi="QCF_P123" w:cs="QCF_P123" w:hint="cs"/>
          <w:noProof w:val="0"/>
          <w:rtl/>
          <w:lang w:eastAsia="en-US"/>
        </w:rPr>
        <w:t xml:space="preserve">   </w:t>
      </w:r>
      <w:r w:rsidR="00735180" w:rsidRPr="00427B84">
        <w:rPr>
          <w:rFonts w:ascii="QCF_P123" w:hAnsi="QCF_P123" w:cs="QCF_P123"/>
          <w:noProof w:val="0"/>
          <w:rtl/>
          <w:lang w:eastAsia="en-US"/>
        </w:rPr>
        <w:t>ﭵ</w:t>
      </w:r>
      <w:r w:rsidR="00735180" w:rsidRPr="00427B84">
        <w:rPr>
          <w:rFonts w:ascii="QCF_BSML" w:hAnsi="QCF_BSML" w:cs="QCF_BSML"/>
          <w:noProof w:val="0"/>
          <w:rtl/>
          <w:lang w:eastAsia="en-US"/>
        </w:rPr>
        <w:t>ﭼ</w:t>
      </w:r>
      <w:bookmarkEnd w:id="373"/>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المائدة: ٩١</w:t>
      </w:r>
      <w:r w:rsidRPr="00C85F0F">
        <w:rPr>
          <w:rFonts w:ascii="Traditional Arabic" w:hAnsi="Traditional Arabic" w:hint="cs"/>
          <w:noProof w:val="0"/>
          <w:color w:val="auto"/>
          <w:rtl/>
          <w:lang w:eastAsia="en-US"/>
        </w:rPr>
        <w:t>].</w:t>
      </w:r>
    </w:p>
    <w:p w:rsidR="00315C1E" w:rsidRPr="00460314" w:rsidRDefault="00315C1E" w:rsidP="00597C20">
      <w:pPr>
        <w:pStyle w:val="53"/>
        <w:rPr>
          <w:b w:val="0"/>
          <w:rtl/>
        </w:rPr>
      </w:pPr>
      <w:r w:rsidRPr="00460314">
        <w:rPr>
          <w:rFonts w:hint="cs"/>
          <w:b w:val="0"/>
          <w:rtl/>
        </w:rPr>
        <w:t>وجه الدلالة:</w:t>
      </w:r>
    </w:p>
    <w:p w:rsidR="00315C1E" w:rsidRPr="00C85F0F" w:rsidRDefault="00315C1E" w:rsidP="00597C20">
      <w:pPr>
        <w:ind w:firstLine="720"/>
        <w:rPr>
          <w:rFonts w:ascii="Traditional Arabic" w:hAnsi="Traditional Arabic"/>
          <w:color w:val="auto"/>
          <w:rtl/>
        </w:rPr>
      </w:pPr>
      <w:r w:rsidRPr="00C85F0F">
        <w:rPr>
          <w:rFonts w:ascii="Traditional Arabic" w:hAnsi="Traditional Arabic" w:hint="cs"/>
          <w:color w:val="auto"/>
          <w:rtl/>
        </w:rPr>
        <w:t>من العِلل التي من أجلها حرَّم الله</w:t>
      </w:r>
      <w:r w:rsidR="00460314">
        <w:rPr>
          <w:rFonts w:hint="cs"/>
          <w:noProof w:val="0"/>
          <w:rtl/>
          <w:lang w:eastAsia="en-US"/>
        </w:rPr>
        <w:t xml:space="preserve"> عز وجل</w:t>
      </w:r>
      <w:r w:rsidRPr="00C85F0F">
        <w:rPr>
          <w:rFonts w:ascii="Traditional Arabic" w:hAnsi="Traditional Arabic" w:hint="cs"/>
          <w:color w:val="auto"/>
          <w:rtl/>
        </w:rPr>
        <w:t xml:space="preserve"> الخمر والميسر ما يوقعه الشيطان بسببهما من العداوة والبغضاء بين المسلمين، والآية عامة في كل ما يوجب العداوة والبغضاء بين المسلمين، وأنه من أمر الشيطان، وأنه محرم</w:t>
      </w:r>
      <w:r w:rsidRPr="00C85F0F">
        <w:rPr>
          <w:rStyle w:val="af1"/>
          <w:szCs w:val="32"/>
          <w:rtl/>
        </w:rPr>
        <w:t>(</w:t>
      </w:r>
      <w:r w:rsidRPr="00C85F0F">
        <w:rPr>
          <w:rStyle w:val="af1"/>
          <w:szCs w:val="32"/>
          <w:rtl/>
        </w:rPr>
        <w:footnoteReference w:id="1780"/>
      </w:r>
      <w:r w:rsidRPr="00C85F0F">
        <w:rPr>
          <w:rStyle w:val="af1"/>
          <w:szCs w:val="32"/>
          <w:rtl/>
        </w:rPr>
        <w:t>)</w:t>
      </w:r>
      <w:r w:rsidRPr="00C85F0F">
        <w:rPr>
          <w:rFonts w:ascii="Traditional Arabic" w:hAnsi="Traditional Arabic" w:hint="cs"/>
          <w:color w:val="auto"/>
          <w:rtl/>
        </w:rPr>
        <w:t>.</w:t>
      </w:r>
    </w:p>
    <w:p w:rsidR="00315C1E" w:rsidRPr="005F6671" w:rsidRDefault="00315C1E" w:rsidP="000A76C7">
      <w:pPr>
        <w:pStyle w:val="afc"/>
        <w:numPr>
          <w:ilvl w:val="0"/>
          <w:numId w:val="244"/>
        </w:numPr>
        <w:spacing w:line="640" w:lineRule="exact"/>
        <w:jc w:val="lowKashida"/>
        <w:rPr>
          <w:rFonts w:ascii="Traditional Arabic" w:hAnsi="Traditional Arabic"/>
          <w:color w:val="auto"/>
          <w:rtl/>
        </w:rPr>
      </w:pPr>
      <w:r w:rsidRPr="00C85F0F">
        <w:rPr>
          <w:rFonts w:ascii="Traditional Arabic" w:hAnsi="Traditional Arabic"/>
          <w:color w:val="auto"/>
          <w:rtl/>
        </w:rPr>
        <w:t>حديث أبي هريرة</w:t>
      </w:r>
      <w:r w:rsidR="00460314">
        <w:rPr>
          <w:rFonts w:hint="cs"/>
          <w:rtl/>
        </w:rPr>
        <w:t xml:space="preserve"> </w:t>
      </w:r>
      <w:r w:rsidR="0005244C">
        <w:rPr>
          <w:rFonts w:hint="cs"/>
          <w:rtl/>
        </w:rPr>
        <w:t>_</w:t>
      </w:r>
      <w:r w:rsidR="00460314">
        <w:rPr>
          <w:rFonts w:hint="cs"/>
          <w:rtl/>
        </w:rPr>
        <w:t>رضي الله عنه</w:t>
      </w:r>
      <w:r w:rsidR="0005244C">
        <w:rPr>
          <w:rFonts w:hint="cs"/>
          <w:rtl/>
        </w:rPr>
        <w:t>_</w:t>
      </w:r>
      <w:r w:rsidR="00460314">
        <w:rPr>
          <w:rFonts w:hint="cs"/>
          <w:rtl/>
        </w:rPr>
        <w:t xml:space="preserve"> </w:t>
      </w:r>
      <w:r w:rsidRPr="00C85F0F">
        <w:rPr>
          <w:rFonts w:ascii="Traditional Arabic" w:hAnsi="Traditional Arabic" w:hint="cs"/>
          <w:color w:val="auto"/>
          <w:rtl/>
        </w:rPr>
        <w:t xml:space="preserve">قال: </w:t>
      </w:r>
      <w:r w:rsidRPr="00C85F0F">
        <w:rPr>
          <w:rFonts w:ascii="Traditional Arabic" w:hAnsi="Traditional Arabic"/>
          <w:color w:val="auto"/>
          <w:rtl/>
        </w:rPr>
        <w:t xml:space="preserve">قال رسول الله </w:t>
      </w:r>
      <w:r w:rsidR="00460314">
        <w:rPr>
          <w:rFonts w:ascii="Traditional Arabic" w:hAnsi="Traditional Arabic" w:hint="cs"/>
          <w:rtl/>
        </w:rPr>
        <w:t>صلى الله عليه وسلم</w:t>
      </w:r>
      <w:r w:rsidRPr="00C85F0F">
        <w:rPr>
          <w:rFonts w:ascii="Traditional Arabic" w:hAnsi="Traditional Arabic"/>
          <w:color w:val="auto"/>
          <w:rtl/>
        </w:rPr>
        <w:t xml:space="preserve"> : "لا ت</w:t>
      </w:r>
      <w:r w:rsidRPr="00C85F0F">
        <w:rPr>
          <w:rFonts w:ascii="Traditional Arabic" w:hAnsi="Traditional Arabic" w:hint="cs"/>
          <w:color w:val="auto"/>
          <w:rtl/>
        </w:rPr>
        <w:t>َ</w:t>
      </w:r>
      <w:r w:rsidRPr="00C85F0F">
        <w:rPr>
          <w:rFonts w:ascii="Traditional Arabic" w:hAnsi="Traditional Arabic"/>
          <w:color w:val="auto"/>
          <w:rtl/>
        </w:rPr>
        <w:t>حاس</w:t>
      </w:r>
      <w:r w:rsidRPr="00C85F0F">
        <w:rPr>
          <w:rFonts w:ascii="Traditional Arabic" w:hAnsi="Traditional Arabic" w:hint="cs"/>
          <w:color w:val="auto"/>
          <w:rtl/>
        </w:rPr>
        <w:t>َ</w:t>
      </w:r>
      <w:r w:rsidRPr="00C85F0F">
        <w:rPr>
          <w:rFonts w:ascii="Traditional Arabic" w:hAnsi="Traditional Arabic"/>
          <w:color w:val="auto"/>
          <w:rtl/>
        </w:rPr>
        <w:t>دوا</w:t>
      </w:r>
      <w:r w:rsidR="00B76414" w:rsidRPr="00C85F0F">
        <w:rPr>
          <w:rFonts w:ascii="Traditional Arabic" w:hAnsi="Traditional Arabic"/>
          <w:color w:val="auto"/>
          <w:rtl/>
        </w:rPr>
        <w:t>،</w:t>
      </w:r>
      <w:r w:rsidRPr="00C85F0F">
        <w:rPr>
          <w:rFonts w:ascii="Traditional Arabic" w:hAnsi="Traditional Arabic"/>
          <w:color w:val="auto"/>
          <w:rtl/>
        </w:rPr>
        <w:t xml:space="preserve"> ولا ت</w:t>
      </w:r>
      <w:r w:rsidRPr="00C85F0F">
        <w:rPr>
          <w:rFonts w:ascii="Traditional Arabic" w:hAnsi="Traditional Arabic" w:hint="cs"/>
          <w:color w:val="auto"/>
          <w:rtl/>
        </w:rPr>
        <w:t>َ</w:t>
      </w:r>
      <w:r w:rsidRPr="00C85F0F">
        <w:rPr>
          <w:rFonts w:ascii="Traditional Arabic" w:hAnsi="Traditional Arabic"/>
          <w:color w:val="auto"/>
          <w:rtl/>
        </w:rPr>
        <w:t>ناجشوا</w:t>
      </w:r>
      <w:r w:rsidRPr="00C85F0F">
        <w:rPr>
          <w:rStyle w:val="af1"/>
          <w:szCs w:val="32"/>
          <w:rtl/>
        </w:rPr>
        <w:t>(</w:t>
      </w:r>
      <w:r w:rsidRPr="00C85F0F">
        <w:rPr>
          <w:rStyle w:val="af1"/>
          <w:szCs w:val="32"/>
          <w:rtl/>
        </w:rPr>
        <w:footnoteReference w:id="1781"/>
      </w:r>
      <w:r w:rsidRPr="00C85F0F">
        <w:rPr>
          <w:rStyle w:val="af1"/>
          <w:szCs w:val="32"/>
          <w:rtl/>
        </w:rPr>
        <w:t>)</w:t>
      </w:r>
      <w:r w:rsidRPr="00C85F0F">
        <w:rPr>
          <w:rFonts w:ascii="Traditional Arabic" w:hAnsi="Traditional Arabic"/>
          <w:color w:val="auto"/>
          <w:rtl/>
        </w:rPr>
        <w:t>، ولا ت</w:t>
      </w:r>
      <w:r w:rsidRPr="00C85F0F">
        <w:rPr>
          <w:rFonts w:ascii="Traditional Arabic" w:hAnsi="Traditional Arabic" w:hint="cs"/>
          <w:color w:val="auto"/>
          <w:rtl/>
        </w:rPr>
        <w:t>َ</w:t>
      </w:r>
      <w:r w:rsidRPr="00C85F0F">
        <w:rPr>
          <w:rFonts w:ascii="Traditional Arabic" w:hAnsi="Traditional Arabic"/>
          <w:color w:val="auto"/>
          <w:rtl/>
        </w:rPr>
        <w:t>باغضوا، ولا ت</w:t>
      </w:r>
      <w:r w:rsidRPr="00C85F0F">
        <w:rPr>
          <w:rFonts w:ascii="Traditional Arabic" w:hAnsi="Traditional Arabic" w:hint="cs"/>
          <w:color w:val="auto"/>
          <w:rtl/>
        </w:rPr>
        <w:t>َ</w:t>
      </w:r>
      <w:r w:rsidRPr="00C85F0F">
        <w:rPr>
          <w:rFonts w:ascii="Traditional Arabic" w:hAnsi="Traditional Arabic"/>
          <w:color w:val="auto"/>
          <w:rtl/>
        </w:rPr>
        <w:t>دابروا</w:t>
      </w:r>
      <w:r w:rsidRPr="00C85F0F">
        <w:rPr>
          <w:rStyle w:val="af1"/>
          <w:szCs w:val="32"/>
          <w:rtl/>
        </w:rPr>
        <w:t>(</w:t>
      </w:r>
      <w:r w:rsidRPr="00C85F0F">
        <w:rPr>
          <w:rStyle w:val="af1"/>
          <w:szCs w:val="32"/>
          <w:rtl/>
        </w:rPr>
        <w:footnoteReference w:id="1782"/>
      </w:r>
      <w:r w:rsidRPr="00C85F0F">
        <w:rPr>
          <w:rStyle w:val="af1"/>
          <w:szCs w:val="32"/>
          <w:rtl/>
        </w:rPr>
        <w:t>)</w:t>
      </w:r>
      <w:r w:rsidRPr="00C85F0F">
        <w:rPr>
          <w:rFonts w:ascii="Traditional Arabic" w:hAnsi="Traditional Arabic"/>
          <w:color w:val="auto"/>
          <w:rtl/>
        </w:rPr>
        <w:t>،</w:t>
      </w:r>
      <w:r w:rsidR="00AB0B9E" w:rsidRPr="00C85F0F">
        <w:rPr>
          <w:rFonts w:ascii="Traditional Arabic" w:hAnsi="Traditional Arabic"/>
          <w:color w:val="auto"/>
        </w:rPr>
        <w:fldChar w:fldCharType="begin"/>
      </w:r>
      <w:r w:rsidR="007E70B1" w:rsidRPr="00C85F0F">
        <w:instrText>XE</w:instrText>
      </w:r>
      <w:r w:rsidR="007E70B1" w:rsidRPr="00C85F0F">
        <w:rPr>
          <w:rtl/>
        </w:rPr>
        <w:instrText xml:space="preserve"> "</w:instrText>
      </w:r>
      <w:r w:rsidR="007E70B1" w:rsidRPr="00C85F0F">
        <w:rPr>
          <w:rFonts w:ascii="Traditional Arabic" w:hAnsi="Traditional Arabic"/>
          <w:color w:val="auto"/>
          <w:rtl/>
        </w:rPr>
        <w:instrText>لا ت</w:instrText>
      </w:r>
      <w:r w:rsidR="007E70B1" w:rsidRPr="00C85F0F">
        <w:rPr>
          <w:rFonts w:ascii="Traditional Arabic" w:hAnsi="Traditional Arabic" w:hint="cs"/>
          <w:color w:val="auto"/>
          <w:rtl/>
        </w:rPr>
        <w:instrText>َ</w:instrText>
      </w:r>
      <w:r w:rsidR="007E70B1" w:rsidRPr="00C85F0F">
        <w:rPr>
          <w:rFonts w:ascii="Traditional Arabic" w:hAnsi="Traditional Arabic"/>
          <w:color w:val="auto"/>
          <w:rtl/>
        </w:rPr>
        <w:instrText>حاس</w:instrText>
      </w:r>
      <w:r w:rsidR="007E70B1" w:rsidRPr="00C85F0F">
        <w:rPr>
          <w:rFonts w:ascii="Traditional Arabic" w:hAnsi="Traditional Arabic" w:hint="cs"/>
          <w:color w:val="auto"/>
          <w:rtl/>
        </w:rPr>
        <w:instrText>َ</w:instrText>
      </w:r>
      <w:r w:rsidR="007E70B1" w:rsidRPr="00C85F0F">
        <w:rPr>
          <w:rFonts w:ascii="Traditional Arabic" w:hAnsi="Traditional Arabic"/>
          <w:color w:val="auto"/>
          <w:rtl/>
        </w:rPr>
        <w:instrText>دوا، ولا ت</w:instrText>
      </w:r>
      <w:r w:rsidR="007E70B1" w:rsidRPr="00C85F0F">
        <w:rPr>
          <w:rFonts w:ascii="Traditional Arabic" w:hAnsi="Traditional Arabic" w:hint="cs"/>
          <w:color w:val="auto"/>
          <w:rtl/>
        </w:rPr>
        <w:instrText>َ</w:instrText>
      </w:r>
      <w:r w:rsidR="007E70B1" w:rsidRPr="00C85F0F">
        <w:rPr>
          <w:rFonts w:ascii="Traditional Arabic" w:hAnsi="Traditional Arabic"/>
          <w:color w:val="auto"/>
          <w:rtl/>
        </w:rPr>
        <w:instrText>ناجشوا، ولا ت</w:instrText>
      </w:r>
      <w:r w:rsidR="007E70B1" w:rsidRPr="00C85F0F">
        <w:rPr>
          <w:rFonts w:ascii="Traditional Arabic" w:hAnsi="Traditional Arabic" w:hint="cs"/>
          <w:color w:val="auto"/>
          <w:rtl/>
        </w:rPr>
        <w:instrText>َ</w:instrText>
      </w:r>
      <w:r w:rsidR="007E70B1" w:rsidRPr="00C85F0F">
        <w:rPr>
          <w:rFonts w:ascii="Traditional Arabic" w:hAnsi="Traditional Arabic"/>
          <w:color w:val="auto"/>
          <w:rtl/>
        </w:rPr>
        <w:instrText>باغضوا، ولا ت</w:instrText>
      </w:r>
      <w:r w:rsidR="007E70B1" w:rsidRPr="00C85F0F">
        <w:rPr>
          <w:rFonts w:ascii="Traditional Arabic" w:hAnsi="Traditional Arabic" w:hint="cs"/>
          <w:color w:val="auto"/>
          <w:rtl/>
        </w:rPr>
        <w:instrText>َ</w:instrText>
      </w:r>
      <w:r w:rsidR="007E70B1" w:rsidRPr="00C85F0F">
        <w:rPr>
          <w:rFonts w:ascii="Traditional Arabic" w:hAnsi="Traditional Arabic"/>
          <w:color w:val="auto"/>
          <w:rtl/>
        </w:rPr>
        <w:instrText>دابروا،</w:instrText>
      </w:r>
      <w:r w:rsidR="007E70B1" w:rsidRPr="00C85F0F">
        <w:rPr>
          <w:rtl/>
        </w:rPr>
        <w:instrText>" \</w:instrText>
      </w:r>
      <w:r w:rsidR="007E70B1" w:rsidRPr="00C85F0F">
        <w:instrText>fh</w:instrText>
      </w:r>
      <w:r w:rsidR="00AB0B9E" w:rsidRPr="00C85F0F">
        <w:rPr>
          <w:rFonts w:ascii="Traditional Arabic" w:hAnsi="Traditional Arabic"/>
          <w:color w:val="auto"/>
        </w:rPr>
        <w:fldChar w:fldCharType="end"/>
      </w:r>
      <w:r w:rsidRPr="005F6671">
        <w:rPr>
          <w:rFonts w:ascii="Traditional Arabic" w:hAnsi="Traditional Arabic"/>
          <w:color w:val="auto"/>
          <w:rtl/>
        </w:rPr>
        <w:t xml:space="preserve"> ولا ي</w:t>
      </w:r>
      <w:r>
        <w:rPr>
          <w:rFonts w:ascii="Traditional Arabic" w:hAnsi="Traditional Arabic" w:hint="cs"/>
          <w:color w:val="auto"/>
          <w:rtl/>
        </w:rPr>
        <w:t>َ</w:t>
      </w:r>
      <w:r w:rsidRPr="005F6671">
        <w:rPr>
          <w:rFonts w:ascii="Traditional Arabic" w:hAnsi="Traditional Arabic"/>
          <w:color w:val="auto"/>
          <w:rtl/>
        </w:rPr>
        <w:t>ب</w:t>
      </w:r>
      <w:r>
        <w:rPr>
          <w:rFonts w:ascii="Traditional Arabic" w:hAnsi="Traditional Arabic" w:hint="cs"/>
          <w:color w:val="auto"/>
          <w:rtl/>
        </w:rPr>
        <w:t>ِ</w:t>
      </w:r>
      <w:r w:rsidRPr="005F6671">
        <w:rPr>
          <w:rFonts w:ascii="Traditional Arabic" w:hAnsi="Traditional Arabic"/>
          <w:color w:val="auto"/>
          <w:rtl/>
        </w:rPr>
        <w:t>ع</w:t>
      </w:r>
      <w:r>
        <w:rPr>
          <w:rFonts w:ascii="Traditional Arabic" w:hAnsi="Traditional Arabic" w:hint="cs"/>
          <w:color w:val="auto"/>
          <w:rtl/>
        </w:rPr>
        <w:t>ْ</w:t>
      </w:r>
      <w:r w:rsidRPr="005F6671">
        <w:rPr>
          <w:rFonts w:ascii="Traditional Arabic" w:hAnsi="Traditional Arabic"/>
          <w:color w:val="auto"/>
          <w:rtl/>
        </w:rPr>
        <w:t xml:space="preserve"> بعضكم على بيع</w:t>
      </w:r>
      <w:r>
        <w:rPr>
          <w:rFonts w:ascii="Traditional Arabic" w:hAnsi="Traditional Arabic" w:hint="cs"/>
          <w:color w:val="auto"/>
          <w:rtl/>
        </w:rPr>
        <w:t>ِ</w:t>
      </w:r>
      <w:r>
        <w:rPr>
          <w:rFonts w:ascii="Traditional Arabic" w:hAnsi="Traditional Arabic"/>
          <w:color w:val="auto"/>
          <w:rtl/>
        </w:rPr>
        <w:t xml:space="preserve"> بعض</w:t>
      </w:r>
      <w:r w:rsidRPr="005F6671">
        <w:rPr>
          <w:rFonts w:ascii="Traditional Arabic" w:hAnsi="Traditional Arabic"/>
          <w:color w:val="auto"/>
          <w:rtl/>
        </w:rPr>
        <w:t>، وكونوا عباد الله إخواناً</w:t>
      </w:r>
      <w:r w:rsidR="00B76414">
        <w:rPr>
          <w:rFonts w:ascii="Traditional Arabic" w:hAnsi="Traditional Arabic"/>
          <w:color w:val="auto"/>
          <w:rtl/>
        </w:rPr>
        <w:t>،</w:t>
      </w:r>
      <w:r>
        <w:rPr>
          <w:rFonts w:ascii="Traditional Arabic" w:hAnsi="Traditional Arabic"/>
          <w:color w:val="auto"/>
          <w:rtl/>
        </w:rPr>
        <w:t xml:space="preserve"> المسلم أخو المسلم لا يظلمه</w:t>
      </w:r>
      <w:r w:rsidRPr="005F6671">
        <w:rPr>
          <w:rFonts w:ascii="Traditional Arabic" w:hAnsi="Traditional Arabic"/>
          <w:color w:val="auto"/>
          <w:rtl/>
        </w:rPr>
        <w:t>، ولا يخــــــ</w:t>
      </w:r>
      <w:r>
        <w:rPr>
          <w:rFonts w:ascii="Traditional Arabic" w:hAnsi="Traditional Arabic"/>
          <w:color w:val="auto"/>
          <w:rtl/>
        </w:rPr>
        <w:t>ذ</w:t>
      </w:r>
      <w:r>
        <w:rPr>
          <w:rFonts w:ascii="Traditional Arabic" w:hAnsi="Traditional Arabic" w:hint="cs"/>
          <w:color w:val="auto"/>
          <w:rtl/>
        </w:rPr>
        <w:t>ُ</w:t>
      </w:r>
      <w:r>
        <w:rPr>
          <w:rFonts w:ascii="Traditional Arabic" w:hAnsi="Traditional Arabic"/>
          <w:color w:val="auto"/>
          <w:rtl/>
        </w:rPr>
        <w:t>له</w:t>
      </w:r>
      <w:r w:rsidRPr="005F6671">
        <w:rPr>
          <w:rFonts w:ascii="Traditional Arabic" w:hAnsi="Traditional Arabic"/>
          <w:color w:val="auto"/>
          <w:rtl/>
        </w:rPr>
        <w:t>، ولا يحق</w:t>
      </w:r>
      <w:r>
        <w:rPr>
          <w:rFonts w:ascii="Traditional Arabic" w:hAnsi="Traditional Arabic" w:hint="cs"/>
          <w:color w:val="auto"/>
          <w:rtl/>
        </w:rPr>
        <w:t>ِ</w:t>
      </w:r>
      <w:r>
        <w:rPr>
          <w:rFonts w:ascii="Traditional Arabic" w:hAnsi="Traditional Arabic"/>
          <w:color w:val="auto"/>
          <w:rtl/>
        </w:rPr>
        <w:t>ره</w:t>
      </w:r>
      <w:r w:rsidRPr="005F6671">
        <w:rPr>
          <w:rFonts w:ascii="Traditional Arabic" w:hAnsi="Traditional Arabic"/>
          <w:color w:val="auto"/>
          <w:rtl/>
        </w:rPr>
        <w:t>، التقوى ها هنا – ويشير إلى صدره ثلاث مرات – ب</w:t>
      </w:r>
      <w:r>
        <w:rPr>
          <w:rFonts w:ascii="Traditional Arabic" w:hAnsi="Traditional Arabic" w:hint="cs"/>
          <w:color w:val="auto"/>
          <w:rtl/>
        </w:rPr>
        <w:t>ِ</w:t>
      </w:r>
      <w:r w:rsidRPr="005F6671">
        <w:rPr>
          <w:rFonts w:ascii="Traditional Arabic" w:hAnsi="Traditional Arabic"/>
          <w:color w:val="auto"/>
          <w:rtl/>
        </w:rPr>
        <w:t>ح</w:t>
      </w:r>
      <w:r>
        <w:rPr>
          <w:rFonts w:ascii="Traditional Arabic" w:hAnsi="Traditional Arabic" w:hint="cs"/>
          <w:color w:val="auto"/>
          <w:rtl/>
        </w:rPr>
        <w:t>َ</w:t>
      </w:r>
      <w:r w:rsidRPr="005F6671">
        <w:rPr>
          <w:rFonts w:ascii="Traditional Arabic" w:hAnsi="Traditional Arabic"/>
          <w:color w:val="auto"/>
          <w:rtl/>
        </w:rPr>
        <w:t>س</w:t>
      </w:r>
      <w:r>
        <w:rPr>
          <w:rFonts w:ascii="Traditional Arabic" w:hAnsi="Traditional Arabic" w:hint="cs"/>
          <w:color w:val="auto"/>
          <w:rtl/>
        </w:rPr>
        <w:t>ْ</w:t>
      </w:r>
      <w:r w:rsidRPr="005F6671">
        <w:rPr>
          <w:rFonts w:ascii="Traditional Arabic" w:hAnsi="Traditional Arabic"/>
          <w:color w:val="auto"/>
          <w:rtl/>
        </w:rPr>
        <w:t>ب امرىء</w:t>
      </w:r>
      <w:r>
        <w:rPr>
          <w:rFonts w:ascii="Traditional Arabic" w:hAnsi="Traditional Arabic" w:hint="cs"/>
          <w:color w:val="auto"/>
          <w:rtl/>
        </w:rPr>
        <w:t>ٍ</w:t>
      </w:r>
      <w:r>
        <w:rPr>
          <w:rFonts w:ascii="Traditional Arabic" w:hAnsi="Traditional Arabic"/>
          <w:color w:val="auto"/>
          <w:rtl/>
        </w:rPr>
        <w:t xml:space="preserve"> من الشر أن يحق</w:t>
      </w:r>
      <w:r>
        <w:rPr>
          <w:rFonts w:ascii="Traditional Arabic" w:hAnsi="Traditional Arabic" w:hint="cs"/>
          <w:color w:val="auto"/>
          <w:rtl/>
        </w:rPr>
        <w:t>ِ</w:t>
      </w:r>
      <w:r>
        <w:rPr>
          <w:rFonts w:ascii="Traditional Arabic" w:hAnsi="Traditional Arabic"/>
          <w:color w:val="auto"/>
          <w:rtl/>
        </w:rPr>
        <w:t>ر أخاه المسلم</w:t>
      </w:r>
      <w:r w:rsidRPr="005F6671">
        <w:rPr>
          <w:rFonts w:ascii="Traditional Arabic" w:hAnsi="Traditional Arabic"/>
          <w:color w:val="auto"/>
          <w:rtl/>
        </w:rPr>
        <w:t>، كل</w:t>
      </w:r>
      <w:r>
        <w:rPr>
          <w:rFonts w:ascii="Traditional Arabic" w:hAnsi="Traditional Arabic" w:hint="cs"/>
          <w:color w:val="auto"/>
          <w:rtl/>
        </w:rPr>
        <w:t>ُّ</w:t>
      </w:r>
      <w:r w:rsidRPr="005F6671">
        <w:rPr>
          <w:rFonts w:ascii="Traditional Arabic" w:hAnsi="Traditional Arabic"/>
          <w:color w:val="auto"/>
          <w:rtl/>
        </w:rPr>
        <w:t xml:space="preserve"> المسلم على </w:t>
      </w:r>
      <w:r>
        <w:rPr>
          <w:rFonts w:ascii="Traditional Arabic" w:hAnsi="Traditional Arabic"/>
          <w:color w:val="auto"/>
          <w:rtl/>
        </w:rPr>
        <w:t>المسلم حرام</w:t>
      </w:r>
      <w:r w:rsidRPr="005F6671">
        <w:rPr>
          <w:rFonts w:ascii="Traditional Arabic" w:hAnsi="Traditional Arabic"/>
          <w:color w:val="auto"/>
          <w:rtl/>
        </w:rPr>
        <w:t>، دم</w:t>
      </w:r>
      <w:r>
        <w:rPr>
          <w:rFonts w:ascii="Traditional Arabic" w:hAnsi="Traditional Arabic" w:hint="cs"/>
          <w:color w:val="auto"/>
          <w:rtl/>
        </w:rPr>
        <w:t>ُ</w:t>
      </w:r>
      <w:r w:rsidRPr="005F6671">
        <w:rPr>
          <w:rFonts w:ascii="Traditional Arabic" w:hAnsi="Traditional Arabic"/>
          <w:color w:val="auto"/>
          <w:rtl/>
        </w:rPr>
        <w:t>ه وماله وع</w:t>
      </w:r>
      <w:r>
        <w:rPr>
          <w:rFonts w:ascii="Traditional Arabic" w:hAnsi="Traditional Arabic" w:hint="cs"/>
          <w:color w:val="auto"/>
          <w:rtl/>
        </w:rPr>
        <w:t>ِ</w:t>
      </w:r>
      <w:r w:rsidRPr="005F6671">
        <w:rPr>
          <w:rFonts w:ascii="Traditional Arabic" w:hAnsi="Traditional Arabic"/>
          <w:color w:val="auto"/>
          <w:rtl/>
        </w:rPr>
        <w:t>رضه"</w:t>
      </w:r>
      <w:r w:rsidRPr="00C821A1">
        <w:rPr>
          <w:rFonts w:ascii="Traditional Arabic" w:hAnsi="Traditional Arabic"/>
          <w:color w:val="auto"/>
          <w:szCs w:val="32"/>
          <w:vertAlign w:val="superscript"/>
          <w:rtl/>
        </w:rPr>
        <w:t>(</w:t>
      </w:r>
      <w:r w:rsidRPr="00C821A1">
        <w:rPr>
          <w:rStyle w:val="af1"/>
          <w:rFonts w:ascii="Traditional Arabic" w:hAnsi="Traditional Arabic"/>
          <w:color w:val="auto"/>
          <w:szCs w:val="32"/>
          <w:rtl/>
        </w:rPr>
        <w:footnoteReference w:id="1783"/>
      </w:r>
      <w:r w:rsidRPr="00C821A1">
        <w:rPr>
          <w:rFonts w:ascii="Traditional Arabic" w:hAnsi="Traditional Arabic"/>
          <w:color w:val="auto"/>
          <w:szCs w:val="32"/>
          <w:vertAlign w:val="superscript"/>
          <w:rtl/>
        </w:rPr>
        <w:t>)</w:t>
      </w:r>
      <w:r w:rsidRPr="005F6671">
        <w:rPr>
          <w:rFonts w:ascii="Traditional Arabic" w:hAnsi="Traditional Arabic"/>
          <w:color w:val="auto"/>
          <w:rtl/>
        </w:rPr>
        <w:t>.</w:t>
      </w:r>
    </w:p>
    <w:p w:rsidR="00F228A9" w:rsidRDefault="00315C1E" w:rsidP="00597C20">
      <w:pPr>
        <w:pStyle w:val="53"/>
        <w:rPr>
          <w:rtl/>
        </w:rPr>
      </w:pPr>
      <w:r>
        <w:rPr>
          <w:rtl/>
        </w:rPr>
        <w:t>وجه الدلالة</w:t>
      </w:r>
      <w:r w:rsidRPr="00585873">
        <w:rPr>
          <w:rtl/>
        </w:rPr>
        <w:t>:</w:t>
      </w:r>
    </w:p>
    <w:p w:rsidR="00315C1E" w:rsidRPr="006E5B27" w:rsidRDefault="0005244C" w:rsidP="00597C20">
      <w:pPr>
        <w:ind w:firstLine="720"/>
        <w:rPr>
          <w:rFonts w:ascii="Traditional Arabic" w:hAnsi="Traditional Arabic"/>
          <w:color w:val="auto"/>
          <w:rtl/>
        </w:rPr>
      </w:pPr>
      <w:r>
        <w:rPr>
          <w:rFonts w:ascii="Traditional Arabic" w:hAnsi="Traditional Arabic"/>
          <w:color w:val="auto"/>
          <w:rtl/>
        </w:rPr>
        <w:t>دلَّ الحديث على</w:t>
      </w:r>
      <w:r w:rsidR="00315C1E" w:rsidRPr="006E5B27">
        <w:rPr>
          <w:rFonts w:ascii="Traditional Arabic" w:hAnsi="Traditional Arabic"/>
          <w:color w:val="auto"/>
          <w:rtl/>
        </w:rPr>
        <w:t xml:space="preserve"> النهي عن كل ذريعة ومعاملة تكون سبباً للتعادي والتباغ</w:t>
      </w:r>
      <w:r w:rsidR="00315C1E" w:rsidRPr="006E5B27">
        <w:rPr>
          <w:rFonts w:ascii="Traditional Arabic" w:hAnsi="Traditional Arabic" w:hint="cs"/>
          <w:color w:val="auto"/>
          <w:rtl/>
        </w:rPr>
        <w:t>ُ</w:t>
      </w:r>
      <w:r w:rsidR="00315C1E" w:rsidRPr="006E5B27">
        <w:rPr>
          <w:rFonts w:ascii="Traditional Arabic" w:hAnsi="Traditional Arabic"/>
          <w:color w:val="auto"/>
          <w:rtl/>
        </w:rPr>
        <w:t xml:space="preserve">ض، فنهى  </w:t>
      </w:r>
      <w:r w:rsidR="00460314">
        <w:rPr>
          <w:rFonts w:ascii="Traditional Arabic" w:hAnsi="Traditional Arabic" w:hint="cs"/>
          <w:rtl/>
        </w:rPr>
        <w:t>صلى الله عليه وسلم</w:t>
      </w:r>
      <w:r w:rsidR="00460314" w:rsidRPr="00B914DF">
        <w:rPr>
          <w:rFonts w:ascii="Traditional Arabic" w:hAnsi="Traditional Arabic"/>
          <w:rtl/>
        </w:rPr>
        <w:t xml:space="preserve"> </w:t>
      </w:r>
      <w:r w:rsidR="00315C1E" w:rsidRPr="006E5B27">
        <w:rPr>
          <w:rFonts w:ascii="Traditional Arabic" w:hAnsi="Traditional Arabic"/>
          <w:color w:val="auto"/>
          <w:rtl/>
        </w:rPr>
        <w:t xml:space="preserve">عن الحسد، </w:t>
      </w:r>
      <w:r w:rsidR="00315C1E" w:rsidRPr="006E5B27">
        <w:rPr>
          <w:rFonts w:ascii="Traditional Arabic" w:hAnsi="Traditional Arabic" w:hint="cs"/>
          <w:color w:val="auto"/>
          <w:rtl/>
        </w:rPr>
        <w:t xml:space="preserve">والنجش، </w:t>
      </w:r>
      <w:r w:rsidR="00315C1E" w:rsidRPr="006E5B27">
        <w:rPr>
          <w:rFonts w:ascii="Traditional Arabic" w:hAnsi="Traditional Arabic"/>
          <w:color w:val="auto"/>
          <w:rtl/>
        </w:rPr>
        <w:t>وعن البيع على بيع المسلم، ونهى عن الخ</w:t>
      </w:r>
      <w:r w:rsidR="00315C1E" w:rsidRPr="006E5B27">
        <w:rPr>
          <w:rFonts w:ascii="Traditional Arabic" w:hAnsi="Traditional Arabic" w:hint="cs"/>
          <w:color w:val="auto"/>
          <w:rtl/>
        </w:rPr>
        <w:t>ِ</w:t>
      </w:r>
      <w:r w:rsidR="00315C1E" w:rsidRPr="006E5B27">
        <w:rPr>
          <w:rFonts w:ascii="Traditional Arabic" w:hAnsi="Traditional Arabic"/>
          <w:color w:val="auto"/>
          <w:rtl/>
        </w:rPr>
        <w:t>طبة على خطبة المسلم، ونهى عن أشياء كثيرة</w:t>
      </w:r>
      <w:r w:rsidR="00B76414" w:rsidRPr="006E5B27">
        <w:rPr>
          <w:rFonts w:ascii="Traditional Arabic" w:hAnsi="Traditional Arabic"/>
          <w:color w:val="auto"/>
          <w:rtl/>
        </w:rPr>
        <w:t>،</w:t>
      </w:r>
      <w:r w:rsidR="00315C1E" w:rsidRPr="006E5B27">
        <w:rPr>
          <w:rFonts w:ascii="Traditional Arabic" w:hAnsi="Traditional Arabic"/>
          <w:color w:val="auto"/>
          <w:rtl/>
        </w:rPr>
        <w:t xml:space="preserve"> مما يدلّ</w:t>
      </w:r>
      <w:r w:rsidR="00315C1E" w:rsidRPr="006E5B27">
        <w:rPr>
          <w:rFonts w:ascii="Traditional Arabic" w:hAnsi="Traditional Arabic" w:hint="cs"/>
          <w:color w:val="auto"/>
          <w:rtl/>
        </w:rPr>
        <w:t>ُ</w:t>
      </w:r>
      <w:r w:rsidR="00315C1E" w:rsidRPr="006E5B27">
        <w:rPr>
          <w:rFonts w:ascii="Traditional Arabic" w:hAnsi="Traditional Arabic"/>
          <w:color w:val="auto"/>
          <w:rtl/>
        </w:rPr>
        <w:t xml:space="preserve"> على أن النبي</w:t>
      </w:r>
      <w:r w:rsidR="00460314" w:rsidRPr="00460314">
        <w:rPr>
          <w:rFonts w:ascii="Traditional Arabic" w:hAnsi="Traditional Arabic" w:hint="cs"/>
          <w:rtl/>
        </w:rPr>
        <w:t xml:space="preserve"> </w:t>
      </w:r>
      <w:r w:rsidR="00460314">
        <w:rPr>
          <w:rFonts w:ascii="Traditional Arabic" w:hAnsi="Traditional Arabic" w:hint="cs"/>
          <w:rtl/>
        </w:rPr>
        <w:t>صلى الله عليه وسلم</w:t>
      </w:r>
      <w:r w:rsidR="00460314">
        <w:t xml:space="preserve">  </w:t>
      </w:r>
      <w:r w:rsidR="00315C1E" w:rsidRPr="006E5B27">
        <w:rPr>
          <w:rFonts w:ascii="Traditional Arabic" w:hAnsi="Traditional Arabic"/>
          <w:color w:val="auto"/>
          <w:rtl/>
        </w:rPr>
        <w:t xml:space="preserve">لا يريد من أمته </w:t>
      </w:r>
      <w:r w:rsidR="00315C1E" w:rsidRPr="006E5B27">
        <w:rPr>
          <w:rFonts w:ascii="Traditional Arabic" w:hAnsi="Traditional Arabic"/>
          <w:color w:val="auto"/>
          <w:rtl/>
        </w:rPr>
        <w:lastRenderedPageBreak/>
        <w:t>أن تتفرَّق وتتمزَّق</w:t>
      </w:r>
      <w:r w:rsidR="00315C1E" w:rsidRPr="00C821A1">
        <w:rPr>
          <w:rFonts w:ascii="Traditional Arabic" w:hAnsi="Traditional Arabic"/>
          <w:color w:val="auto"/>
          <w:szCs w:val="32"/>
          <w:vertAlign w:val="superscript"/>
          <w:rtl/>
        </w:rPr>
        <w:t>(</w:t>
      </w:r>
      <w:r w:rsidR="00315C1E" w:rsidRPr="00C821A1">
        <w:rPr>
          <w:rStyle w:val="af1"/>
          <w:rFonts w:ascii="Traditional Arabic" w:hAnsi="Traditional Arabic"/>
          <w:color w:val="auto"/>
          <w:szCs w:val="32"/>
          <w:rtl/>
        </w:rPr>
        <w:footnoteReference w:id="1784"/>
      </w:r>
      <w:r w:rsidR="00315C1E" w:rsidRPr="00C821A1">
        <w:rPr>
          <w:rFonts w:ascii="Traditional Arabic" w:hAnsi="Traditional Arabic"/>
          <w:color w:val="auto"/>
          <w:szCs w:val="32"/>
          <w:vertAlign w:val="superscript"/>
          <w:rtl/>
        </w:rPr>
        <w:t>)</w:t>
      </w:r>
      <w:r w:rsidR="00315C1E" w:rsidRPr="006E5B27">
        <w:rPr>
          <w:rFonts w:ascii="Traditional Arabic" w:hAnsi="Traditional Arabic" w:hint="cs"/>
          <w:color w:val="auto"/>
          <w:rtl/>
        </w:rPr>
        <w:t>.</w:t>
      </w:r>
    </w:p>
    <w:p w:rsidR="00315C1E" w:rsidRDefault="00315C1E" w:rsidP="000A76C7">
      <w:pPr>
        <w:pStyle w:val="afc"/>
        <w:numPr>
          <w:ilvl w:val="0"/>
          <w:numId w:val="244"/>
        </w:numPr>
        <w:rPr>
          <w:rFonts w:ascii="Traditional Arabic" w:hAnsi="Traditional Arabic"/>
          <w:color w:val="auto"/>
        </w:rPr>
      </w:pPr>
      <w:r>
        <w:rPr>
          <w:rFonts w:ascii="Traditional Arabic" w:hAnsi="Traditional Arabic" w:hint="cs"/>
          <w:color w:val="auto"/>
          <w:rtl/>
        </w:rPr>
        <w:t xml:space="preserve">حديث أبي هريرة </w:t>
      </w:r>
      <w:r w:rsidR="0005244C">
        <w:rPr>
          <w:rFonts w:ascii="Traditional Arabic" w:hAnsi="Traditional Arabic" w:hint="cs"/>
          <w:color w:val="auto"/>
          <w:rtl/>
        </w:rPr>
        <w:t>_</w:t>
      </w:r>
      <w:r w:rsidR="009A0575">
        <w:rPr>
          <w:rFonts w:ascii="Traditional Arabic" w:hAnsi="Traditional Arabic" w:cs="CTraditional Arabic" w:hint="cs"/>
          <w:rtl/>
        </w:rPr>
        <w:t>ا</w:t>
      </w:r>
      <w:r w:rsidR="00897F65">
        <w:rPr>
          <w:rFonts w:ascii="Traditional Arabic" w:hAnsi="Traditional Arabic" w:hint="cs"/>
          <w:color w:val="auto"/>
          <w:rtl/>
        </w:rPr>
        <w:t>_</w:t>
      </w:r>
      <w:r>
        <w:rPr>
          <w:rFonts w:ascii="Traditional Arabic" w:hAnsi="Traditional Arabic" w:hint="cs"/>
          <w:color w:val="auto"/>
          <w:rtl/>
        </w:rPr>
        <w:t xml:space="preserve"> قال: نهى </w:t>
      </w:r>
      <w:r w:rsidRPr="00863277">
        <w:rPr>
          <w:rFonts w:ascii="Traditional Arabic" w:hAnsi="Traditional Arabic"/>
          <w:rtl/>
        </w:rPr>
        <w:t>رسول الله</w:t>
      </w:r>
      <w:r w:rsidR="00460314">
        <w:rPr>
          <w:rFonts w:ascii="Traditional Arabic" w:hAnsi="Traditional Arabic" w:hint="cs"/>
          <w:noProof w:val="0"/>
          <w:color w:val="auto"/>
          <w:rtl/>
          <w:lang w:eastAsia="en-US"/>
        </w:rPr>
        <w:t xml:space="preserve"> </w:t>
      </w:r>
      <w:r w:rsidRPr="00863277">
        <w:rPr>
          <w:rFonts w:ascii="Traditional Arabic" w:hAnsi="Traditional Arabic"/>
          <w:rtl/>
        </w:rPr>
        <w:t xml:space="preserve"> </w:t>
      </w:r>
      <w:r w:rsidR="00460314">
        <w:rPr>
          <w:rFonts w:ascii="Traditional Arabic" w:hAnsi="Traditional Arabic" w:hint="cs"/>
          <w:rtl/>
        </w:rPr>
        <w:t>صلى الله عليه وسلم</w:t>
      </w:r>
      <w:r w:rsidR="00460314" w:rsidRPr="00B914DF">
        <w:rPr>
          <w:rFonts w:ascii="Traditional Arabic" w:hAnsi="Traditional Arabic"/>
          <w:rtl/>
        </w:rPr>
        <w:t xml:space="preserve"> </w:t>
      </w:r>
      <w:r w:rsidRPr="00863277">
        <w:rPr>
          <w:rFonts w:ascii="Traditional Arabic" w:hAnsi="Traditional Arabic"/>
          <w:rtl/>
        </w:rPr>
        <w:t>عن بيع الح</w:t>
      </w:r>
      <w:r>
        <w:rPr>
          <w:rFonts w:ascii="Traditional Arabic" w:hAnsi="Traditional Arabic" w:hint="cs"/>
          <w:rtl/>
        </w:rPr>
        <w:t>َ</w:t>
      </w:r>
      <w:r w:rsidR="00460314">
        <w:rPr>
          <w:rFonts w:ascii="Traditional Arabic" w:hAnsi="Traditional Arabic"/>
          <w:rtl/>
        </w:rPr>
        <w:t>ص</w:t>
      </w:r>
      <w:r w:rsidR="00460314">
        <w:rPr>
          <w:rFonts w:ascii="Traditional Arabic" w:hAnsi="Traditional Arabic" w:hint="cs"/>
          <w:rtl/>
        </w:rPr>
        <w:t>اة</w:t>
      </w:r>
      <w:r w:rsidR="00460314" w:rsidRPr="00460314">
        <w:rPr>
          <w:rFonts w:ascii="Traditional Arabic" w:hAnsi="Traditional Arabic" w:hint="cs"/>
          <w:vertAlign w:val="superscript"/>
          <w:rtl/>
        </w:rPr>
        <w:t>(</w:t>
      </w:r>
      <w:r w:rsidR="00460314" w:rsidRPr="00460314">
        <w:rPr>
          <w:rStyle w:val="af1"/>
          <w:rFonts w:ascii="Traditional Arabic" w:hAnsi="Traditional Arabic"/>
          <w:rtl/>
        </w:rPr>
        <w:footnoteReference w:id="1785"/>
      </w:r>
      <w:r w:rsidR="00460314" w:rsidRPr="00460314">
        <w:rPr>
          <w:rFonts w:ascii="Traditional Arabic" w:hAnsi="Traditional Arabic" w:hint="cs"/>
          <w:vertAlign w:val="superscript"/>
          <w:rtl/>
        </w:rPr>
        <w:t>)</w:t>
      </w:r>
      <w:r w:rsidR="00460314">
        <w:rPr>
          <w:rFonts w:ascii="Traditional Arabic" w:hAnsi="Traditional Arabic" w:hint="cs"/>
        </w:rPr>
        <w:t xml:space="preserve"> </w:t>
      </w:r>
      <w:r w:rsidRPr="00863277">
        <w:rPr>
          <w:rFonts w:ascii="Traditional Arabic" w:hAnsi="Traditional Arabic"/>
          <w:rtl/>
        </w:rPr>
        <w:t>وعن بيع الغرر</w:t>
      </w:r>
      <w:r w:rsidR="00AB0B9E">
        <w:rPr>
          <w:rFonts w:ascii="Traditional Arabic" w:hAnsi="Traditional Arabic"/>
          <w:rtl/>
        </w:rPr>
        <w:fldChar w:fldCharType="begin"/>
      </w:r>
      <w:r w:rsidR="00E35B26" w:rsidRPr="00C85F0F">
        <w:instrText>XE</w:instrText>
      </w:r>
      <w:r w:rsidR="00E35B26" w:rsidRPr="00C85F0F">
        <w:rPr>
          <w:rtl/>
        </w:rPr>
        <w:instrText xml:space="preserve"> "</w:instrText>
      </w:r>
      <w:r w:rsidR="00E35B26" w:rsidRPr="00C85F0F">
        <w:rPr>
          <w:rFonts w:ascii="Traditional Arabic" w:hAnsi="Traditional Arabic" w:hint="cs"/>
          <w:color w:val="auto"/>
          <w:rtl/>
        </w:rPr>
        <w:instrText xml:space="preserve">نهى </w:instrText>
      </w:r>
      <w:r w:rsidR="00E35B26" w:rsidRPr="00C85F0F">
        <w:rPr>
          <w:rFonts w:ascii="Traditional Arabic" w:hAnsi="Traditional Arabic"/>
          <w:rtl/>
        </w:rPr>
        <w:instrText xml:space="preserve">رسول الله </w:instrText>
      </w:r>
      <w:r w:rsidR="00E35B26" w:rsidRPr="00C85F0F">
        <w:rPr>
          <w:rFonts w:ascii="Traditional Arabic" w:hAnsi="Traditional Arabic"/>
          <w:noProof w:val="0"/>
          <w:color w:val="auto"/>
          <w:rtl/>
          <w:lang w:eastAsia="en-US"/>
        </w:rPr>
        <w:sym w:font="AGA Arabesque" w:char="F072"/>
      </w:r>
      <w:r w:rsidR="00E35B26" w:rsidRPr="00C85F0F">
        <w:rPr>
          <w:rFonts w:ascii="Traditional Arabic" w:hAnsi="Traditional Arabic"/>
          <w:rtl/>
        </w:rPr>
        <w:instrText xml:space="preserve"> عن بيع الح</w:instrText>
      </w:r>
      <w:r w:rsidR="00E35B26" w:rsidRPr="00C85F0F">
        <w:rPr>
          <w:rFonts w:ascii="Traditional Arabic" w:hAnsi="Traditional Arabic" w:hint="cs"/>
          <w:rtl/>
        </w:rPr>
        <w:instrText>َ</w:instrText>
      </w:r>
      <w:r w:rsidR="00E35B26" w:rsidRPr="00C85F0F">
        <w:rPr>
          <w:rFonts w:ascii="Traditional Arabic" w:hAnsi="Traditional Arabic"/>
          <w:rtl/>
        </w:rPr>
        <w:instrText>صاة وعن بيع الغرر</w:instrText>
      </w:r>
      <w:r w:rsidR="00E35B26" w:rsidRPr="00C85F0F">
        <w:rPr>
          <w:rtl/>
        </w:rPr>
        <w:instrText>" \</w:instrText>
      </w:r>
      <w:r w:rsidR="00E35B26" w:rsidRPr="00C85F0F">
        <w:instrText>f</w:instrText>
      </w:r>
      <w:r w:rsidR="00E35B26">
        <w:instrText>h</w:instrText>
      </w:r>
      <w:r w:rsidR="00AB0B9E">
        <w:rPr>
          <w:rFonts w:ascii="Traditional Arabic" w:hAnsi="Traditional Arabic"/>
          <w:rtl/>
        </w:rPr>
        <w:fldChar w:fldCharType="end"/>
      </w:r>
      <w:r w:rsidRPr="00863277">
        <w:rPr>
          <w:rFonts w:ascii="Traditional Arabic" w:hAnsi="Traditional Arabic"/>
          <w:rtl/>
        </w:rPr>
        <w:t>"</w:t>
      </w:r>
      <w:r w:rsidRPr="00C821A1">
        <w:rPr>
          <w:rStyle w:val="af1"/>
          <w:szCs w:val="32"/>
          <w:rtl/>
        </w:rPr>
        <w:t>(</w:t>
      </w:r>
      <w:r w:rsidRPr="00C821A1">
        <w:rPr>
          <w:rStyle w:val="af1"/>
          <w:szCs w:val="32"/>
          <w:rtl/>
        </w:rPr>
        <w:footnoteReference w:id="1786"/>
      </w:r>
      <w:r w:rsidRPr="00C821A1">
        <w:rPr>
          <w:rStyle w:val="af1"/>
          <w:szCs w:val="32"/>
          <w:rtl/>
        </w:rPr>
        <w:t>)</w:t>
      </w:r>
      <w:r w:rsidRPr="00863277">
        <w:rPr>
          <w:rFonts w:ascii="Traditional Arabic" w:hAnsi="Traditional Arabic"/>
          <w:rtl/>
        </w:rPr>
        <w:t>.</w:t>
      </w:r>
    </w:p>
    <w:p w:rsidR="00065E4B" w:rsidRDefault="00315C1E" w:rsidP="00597C20">
      <w:pPr>
        <w:pStyle w:val="53"/>
        <w:rPr>
          <w:rtl/>
        </w:rPr>
      </w:pPr>
      <w:r>
        <w:rPr>
          <w:rtl/>
        </w:rPr>
        <w:t>وجه الدلالة</w:t>
      </w:r>
      <w:r w:rsidRPr="00585873">
        <w:rPr>
          <w:rtl/>
        </w:rPr>
        <w:t>:</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ق</w:t>
      </w:r>
      <w:r w:rsidR="00315C1E">
        <w:rPr>
          <w:rFonts w:ascii="Traditional Arabic" w:hAnsi="Traditional Arabic" w:hint="cs"/>
          <w:noProof w:val="0"/>
          <w:color w:val="auto"/>
          <w:rtl/>
          <w:lang w:eastAsia="en-US"/>
        </w:rPr>
        <w:t xml:space="preserve">ال شيخ الإسلام ابن تيمية </w:t>
      </w:r>
      <w:r w:rsidR="0005244C">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05244C">
        <w:rPr>
          <w:rFonts w:ascii="Traditional Arabic" w:hAnsi="Traditional Arabic" w:hint="cs"/>
          <w:noProof w:val="0"/>
          <w:color w:val="auto"/>
          <w:rtl/>
          <w:lang w:eastAsia="en-US"/>
        </w:rPr>
        <w:t>_</w:t>
      </w:r>
      <w:r w:rsidR="00315C1E">
        <w:rPr>
          <w:rFonts w:ascii="Traditional Arabic" w:hAnsi="Traditional Arabic" w:hint="cs"/>
          <w:noProof w:val="0"/>
          <w:color w:val="auto"/>
          <w:rtl/>
          <w:lang w:eastAsia="en-US"/>
        </w:rPr>
        <w:t xml:space="preserve">: </w:t>
      </w:r>
      <w:r w:rsidR="00B76414">
        <w:rPr>
          <w:rFonts w:ascii="Traditional Arabic" w:hAnsi="Traditional Arabic" w:hint="cs"/>
          <w:noProof w:val="0"/>
          <w:color w:val="auto"/>
          <w:rtl/>
          <w:lang w:eastAsia="en-US"/>
        </w:rPr>
        <w:t>(</w:t>
      </w:r>
      <w:r w:rsidR="00315C1E" w:rsidRPr="000F72B2">
        <w:rPr>
          <w:rFonts w:ascii="Traditional Arabic" w:hAnsi="Traditional Arabic"/>
          <w:noProof w:val="0"/>
          <w:rtl/>
          <w:lang w:eastAsia="en-US"/>
        </w:rPr>
        <w:t>والغرر هو المجهول</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العاقبة</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فإن</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ب</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يعه من الميسر الذي هو الق</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مار</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وذلك أن العبد إذا أ</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ب</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ق</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أو الف</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ر</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س أو البعير إذا ش</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ر</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د</w:t>
      </w:r>
      <w:r w:rsidR="00315C1E" w:rsidRPr="00C821A1">
        <w:rPr>
          <w:rStyle w:val="af1"/>
          <w:szCs w:val="32"/>
          <w:rtl/>
        </w:rPr>
        <w:t>(</w:t>
      </w:r>
      <w:r w:rsidR="00315C1E" w:rsidRPr="00C821A1">
        <w:rPr>
          <w:rStyle w:val="af1"/>
          <w:szCs w:val="32"/>
          <w:rtl/>
        </w:rPr>
        <w:footnoteReference w:id="1787"/>
      </w:r>
      <w:r w:rsidR="00315C1E" w:rsidRPr="00C821A1">
        <w:rPr>
          <w:rStyle w:val="af1"/>
          <w:szCs w:val="32"/>
          <w:rtl/>
        </w:rPr>
        <w:t>)</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فإن صاحبه إذا باعه فإنما يبيعه م</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خاطرة</w:t>
      </w:r>
      <w:r w:rsidR="00315C1E">
        <w:rPr>
          <w:rFonts w:ascii="Traditional Arabic" w:hAnsi="Traditional Arabic" w:hint="cs"/>
          <w:noProof w:val="0"/>
          <w:rtl/>
          <w:lang w:eastAsia="en-US"/>
        </w:rPr>
        <w:t>ً</w:t>
      </w:r>
      <w:r w:rsidR="00315C1E" w:rsidRPr="00C821A1">
        <w:rPr>
          <w:rStyle w:val="af1"/>
          <w:szCs w:val="32"/>
          <w:rtl/>
        </w:rPr>
        <w:t>(</w:t>
      </w:r>
      <w:r w:rsidR="00315C1E" w:rsidRPr="00C821A1">
        <w:rPr>
          <w:rStyle w:val="af1"/>
          <w:szCs w:val="32"/>
          <w:rtl/>
        </w:rPr>
        <w:footnoteReference w:id="1788"/>
      </w:r>
      <w:r w:rsidR="00315C1E" w:rsidRPr="00C821A1">
        <w:rPr>
          <w:rStyle w:val="af1"/>
          <w:szCs w:val="32"/>
          <w:rtl/>
        </w:rPr>
        <w:t>)</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فيشتريه المشتري بدون ثمنه بكثير</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فإن حصل له قال البائع</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ق</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م</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ر</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ت</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ني </w:t>
      </w:r>
      <w:r w:rsidR="00315C1E" w:rsidRPr="000F72B2">
        <w:rPr>
          <w:rFonts w:ascii="Traditional Arabic" w:hAnsi="Traditional Arabic"/>
          <w:noProof w:val="0"/>
          <w:rtl/>
          <w:lang w:eastAsia="en-US"/>
        </w:rPr>
        <w:lastRenderedPageBreak/>
        <w:t>وأخذت</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مالي بثمن قليل</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وإن لم يحصل قال المشتري</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قمرتني وأخذت الثمن مني بلا عوض</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 xml:space="preserve"> في</w:t>
      </w:r>
      <w:r w:rsidR="00315C1E">
        <w:rPr>
          <w:rFonts w:ascii="Traditional Arabic" w:hAnsi="Traditional Arabic" w:hint="cs"/>
          <w:noProof w:val="0"/>
          <w:rtl/>
          <w:lang w:eastAsia="en-US"/>
        </w:rPr>
        <w:t>ُ</w:t>
      </w:r>
      <w:r w:rsidR="00315C1E" w:rsidRPr="000F72B2">
        <w:rPr>
          <w:rFonts w:ascii="Traditional Arabic" w:hAnsi="Traditional Arabic"/>
          <w:noProof w:val="0"/>
          <w:rtl/>
          <w:lang w:eastAsia="en-US"/>
        </w:rPr>
        <w:t>فضي إلى مفسدة الميسر التي هي إيقاع العداوة والبغضاء</w:t>
      </w:r>
      <w:r w:rsidR="00315C1E">
        <w:rPr>
          <w:rFonts w:ascii="Traditional Arabic" w:hAnsi="Traditional Arabic" w:hint="cs"/>
          <w:noProof w:val="0"/>
          <w:rtl/>
          <w:lang w:eastAsia="en-US"/>
        </w:rPr>
        <w:t>)</w:t>
      </w:r>
      <w:r w:rsidR="00315C1E" w:rsidRPr="00C821A1">
        <w:rPr>
          <w:rStyle w:val="af1"/>
          <w:szCs w:val="32"/>
          <w:rtl/>
        </w:rPr>
        <w:t>(</w:t>
      </w:r>
      <w:r w:rsidR="00315C1E" w:rsidRPr="00C821A1">
        <w:rPr>
          <w:rStyle w:val="af1"/>
          <w:szCs w:val="32"/>
          <w:rtl/>
        </w:rPr>
        <w:footnoteReference w:id="1789"/>
      </w:r>
      <w:r w:rsidR="00315C1E" w:rsidRPr="00C821A1">
        <w:rPr>
          <w:rStyle w:val="af1"/>
          <w:szCs w:val="32"/>
          <w:rtl/>
        </w:rPr>
        <w:t>)</w:t>
      </w:r>
      <w:r w:rsidR="00315C1E">
        <w:rPr>
          <w:rFonts w:ascii="Traditional Arabic" w:hAnsi="Traditional Arabic" w:hint="cs"/>
          <w:noProof w:val="0"/>
          <w:rtl/>
          <w:lang w:eastAsia="en-US"/>
        </w:rPr>
        <w:t>.</w:t>
      </w:r>
    </w:p>
    <w:p w:rsidR="00315C1E"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و</w:t>
      </w:r>
      <w:r w:rsidR="00315C1E">
        <w:rPr>
          <w:rFonts w:ascii="Traditional Arabic" w:hAnsi="Traditional Arabic" w:hint="cs"/>
          <w:noProof w:val="0"/>
          <w:color w:val="auto"/>
          <w:rtl/>
          <w:lang w:eastAsia="en-US"/>
        </w:rPr>
        <w:t>الغرر محرم؛ لأنه إنما ن</w:t>
      </w:r>
      <w:r w:rsidR="00315C1E">
        <w:rPr>
          <w:rFonts w:ascii="Traditional Arabic" w:hAnsi="Traditional Arabic"/>
          <w:noProof w:val="0"/>
          <w:color w:val="auto"/>
          <w:rtl/>
          <w:lang w:eastAsia="en-US"/>
        </w:rPr>
        <w:t>هي عن الغرر</w:t>
      </w:r>
      <w:r w:rsidR="00315C1E" w:rsidRPr="00863277">
        <w:rPr>
          <w:rFonts w:ascii="Traditional Arabic" w:hAnsi="Traditional Arabic"/>
          <w:noProof w:val="0"/>
          <w:color w:val="auto"/>
          <w:rtl/>
          <w:lang w:eastAsia="en-US"/>
        </w:rPr>
        <w:t xml:space="preserve"> ل</w:t>
      </w:r>
      <w:r w:rsidR="00315C1E">
        <w:rPr>
          <w:rFonts w:ascii="Traditional Arabic" w:hAnsi="Traditional Arabic" w:hint="cs"/>
          <w:noProof w:val="0"/>
          <w:color w:val="auto"/>
          <w:rtl/>
          <w:lang w:eastAsia="en-US"/>
        </w:rPr>
        <w:t>ِ</w:t>
      </w:r>
      <w:r w:rsidR="00315C1E" w:rsidRPr="00863277">
        <w:rPr>
          <w:rFonts w:ascii="Traditional Arabic" w:hAnsi="Traditional Arabic"/>
          <w:noProof w:val="0"/>
          <w:color w:val="auto"/>
          <w:rtl/>
          <w:lang w:eastAsia="en-US"/>
        </w:rPr>
        <w:t>ما يحصل به من العداوة والبغضاء والكراهية؛ لأن المغلوب منهما سوف ي</w:t>
      </w:r>
      <w:r w:rsidR="00315C1E">
        <w:rPr>
          <w:rFonts w:ascii="Traditional Arabic" w:hAnsi="Traditional Arabic" w:hint="cs"/>
          <w:noProof w:val="0"/>
          <w:color w:val="auto"/>
          <w:rtl/>
          <w:lang w:eastAsia="en-US"/>
        </w:rPr>
        <w:t>َ</w:t>
      </w:r>
      <w:r w:rsidR="00315C1E" w:rsidRPr="00863277">
        <w:rPr>
          <w:rFonts w:ascii="Traditional Arabic" w:hAnsi="Traditional Arabic"/>
          <w:noProof w:val="0"/>
          <w:color w:val="auto"/>
          <w:rtl/>
          <w:lang w:eastAsia="en-US"/>
        </w:rPr>
        <w:t>كره الغالب</w:t>
      </w:r>
      <w:r w:rsidR="00315C1E">
        <w:rPr>
          <w:rFonts w:ascii="Traditional Arabic" w:hAnsi="Traditional Arabic" w:hint="cs"/>
          <w:noProof w:val="0"/>
          <w:color w:val="auto"/>
          <w:rtl/>
          <w:lang w:eastAsia="en-US"/>
        </w:rPr>
        <w:t>َ</w:t>
      </w:r>
      <w:r w:rsidR="00315C1E" w:rsidRPr="00C821A1">
        <w:rPr>
          <w:rStyle w:val="af1"/>
          <w:szCs w:val="32"/>
          <w:rtl/>
        </w:rPr>
        <w:t>(</w:t>
      </w:r>
      <w:r w:rsidR="00315C1E" w:rsidRPr="00C821A1">
        <w:rPr>
          <w:rStyle w:val="af1"/>
          <w:szCs w:val="32"/>
          <w:rtl/>
        </w:rPr>
        <w:footnoteReference w:id="1790"/>
      </w:r>
      <w:r w:rsidR="00315C1E" w:rsidRPr="00C821A1">
        <w:rPr>
          <w:rStyle w:val="af1"/>
          <w:szCs w:val="32"/>
          <w:rtl/>
        </w:rPr>
        <w:t>)</w:t>
      </w:r>
      <w:r w:rsidR="00315C1E">
        <w:rPr>
          <w:rFonts w:ascii="Traditional Arabic" w:hAnsi="Traditional Arabic" w:hint="cs"/>
          <w:noProof w:val="0"/>
          <w:color w:val="auto"/>
          <w:rtl/>
          <w:lang w:eastAsia="en-US"/>
        </w:rPr>
        <w:t>،</w:t>
      </w:r>
      <w:r w:rsidR="00152CB1">
        <w:rPr>
          <w:rFonts w:ascii="Traditional Arabic" w:hAnsi="Traditional Arabic" w:hint="cs"/>
          <w:noProof w:val="0"/>
          <w:color w:val="auto"/>
          <w:rtl/>
          <w:lang w:eastAsia="en-US"/>
        </w:rPr>
        <w:t xml:space="preserve"> </w:t>
      </w:r>
      <w:r w:rsidR="00315C1E" w:rsidRPr="005D770D">
        <w:rPr>
          <w:rFonts w:ascii="Traditional Arabic" w:hAnsi="Traditional Arabic"/>
          <w:noProof w:val="0"/>
          <w:color w:val="auto"/>
          <w:rtl/>
          <w:lang w:eastAsia="en-US"/>
        </w:rPr>
        <w:t>و</w:t>
      </w:r>
      <w:r w:rsidR="00315C1E">
        <w:rPr>
          <w:rFonts w:ascii="Traditional Arabic" w:hAnsi="Traditional Arabic" w:hint="cs"/>
          <w:noProof w:val="0"/>
          <w:color w:val="auto"/>
          <w:rtl/>
          <w:lang w:eastAsia="en-US"/>
        </w:rPr>
        <w:t xml:space="preserve">هذه قاعدة عامة: </w:t>
      </w:r>
      <w:r w:rsidR="00152CB1">
        <w:rPr>
          <w:rFonts w:ascii="Traditional Arabic" w:hAnsi="Traditional Arabic" w:hint="cs"/>
          <w:noProof w:val="0"/>
          <w:color w:val="auto"/>
          <w:rtl/>
          <w:lang w:eastAsia="en-US"/>
        </w:rPr>
        <w:t>"</w:t>
      </w:r>
      <w:r w:rsidR="00315C1E">
        <w:rPr>
          <w:rFonts w:ascii="Traditional Arabic" w:hAnsi="Traditional Arabic" w:hint="cs"/>
          <w:noProof w:val="0"/>
          <w:color w:val="auto"/>
          <w:rtl/>
          <w:lang w:eastAsia="en-US"/>
        </w:rPr>
        <w:t xml:space="preserve">أن </w:t>
      </w:r>
      <w:r w:rsidR="00315C1E" w:rsidRPr="005D770D">
        <w:rPr>
          <w:rFonts w:ascii="Traditional Arabic" w:hAnsi="Traditional Arabic"/>
          <w:noProof w:val="0"/>
          <w:color w:val="auto"/>
          <w:rtl/>
          <w:lang w:eastAsia="en-US"/>
        </w:rPr>
        <w:t>كل ما أوجب العداوة</w:t>
      </w:r>
      <w:r w:rsidR="00315C1E">
        <w:rPr>
          <w:rFonts w:ascii="Traditional Arabic" w:hAnsi="Traditional Arabic"/>
          <w:noProof w:val="0"/>
          <w:color w:val="auto"/>
          <w:rtl/>
          <w:lang w:eastAsia="en-US"/>
        </w:rPr>
        <w:t xml:space="preserve"> والبغضاء بين المسلمين ف</w:t>
      </w:r>
      <w:r w:rsidR="00315C1E" w:rsidRPr="005D770D">
        <w:rPr>
          <w:rFonts w:ascii="Traditional Arabic" w:hAnsi="Traditional Arabic"/>
          <w:noProof w:val="0"/>
          <w:color w:val="auto"/>
          <w:rtl/>
          <w:lang w:eastAsia="en-US"/>
        </w:rPr>
        <w:t>ه</w:t>
      </w:r>
      <w:r w:rsidR="00315C1E">
        <w:rPr>
          <w:rFonts w:ascii="Traditional Arabic" w:hAnsi="Traditional Arabic" w:hint="cs"/>
          <w:noProof w:val="0"/>
          <w:color w:val="auto"/>
          <w:rtl/>
          <w:lang w:eastAsia="en-US"/>
        </w:rPr>
        <w:t>و</w:t>
      </w:r>
      <w:r w:rsidR="00315C1E" w:rsidRPr="005D770D">
        <w:rPr>
          <w:rFonts w:ascii="Traditional Arabic" w:hAnsi="Traditional Arabic"/>
          <w:noProof w:val="0"/>
          <w:color w:val="auto"/>
          <w:rtl/>
          <w:lang w:eastAsia="en-US"/>
        </w:rPr>
        <w:t xml:space="preserve"> محرم</w:t>
      </w:r>
      <w:r w:rsidR="00152CB1">
        <w:rPr>
          <w:rFonts w:ascii="Traditional Arabic" w:hAnsi="Traditional Arabic" w:hint="cs"/>
          <w:noProof w:val="0"/>
          <w:color w:val="auto"/>
          <w:rtl/>
          <w:lang w:eastAsia="en-US"/>
        </w:rPr>
        <w:t>"</w:t>
      </w:r>
      <w:r w:rsidR="00315C1E" w:rsidRPr="00C821A1">
        <w:rPr>
          <w:rStyle w:val="af1"/>
          <w:szCs w:val="32"/>
          <w:rtl/>
        </w:rPr>
        <w:t>(</w:t>
      </w:r>
      <w:r w:rsidR="00315C1E" w:rsidRPr="00C821A1">
        <w:rPr>
          <w:rStyle w:val="af1"/>
          <w:szCs w:val="32"/>
          <w:rtl/>
        </w:rPr>
        <w:footnoteReference w:id="1791"/>
      </w:r>
      <w:r w:rsidR="00315C1E" w:rsidRPr="00C821A1">
        <w:rPr>
          <w:rStyle w:val="af1"/>
          <w:szCs w:val="32"/>
          <w:rtl/>
        </w:rPr>
        <w:t>)</w:t>
      </w:r>
      <w:r w:rsidR="00315C1E">
        <w:rPr>
          <w:rFonts w:ascii="Traditional Arabic" w:hAnsi="Traditional Arabic" w:hint="cs"/>
          <w:noProof w:val="0"/>
          <w:color w:val="auto"/>
          <w:rtl/>
          <w:lang w:eastAsia="en-US"/>
        </w:rPr>
        <w:t>.</w:t>
      </w:r>
    </w:p>
    <w:p w:rsidR="00315C1E" w:rsidRPr="00315C1E" w:rsidRDefault="001873E8" w:rsidP="00A8347C">
      <w:pPr>
        <w:pStyle w:val="aff3"/>
        <w:rPr>
          <w:rtl/>
        </w:rPr>
      </w:pPr>
      <w:bookmarkStart w:id="374" w:name="_Toc334046572"/>
      <w:r>
        <w:rPr>
          <w:rFonts w:hint="cs"/>
          <w:rtl/>
        </w:rPr>
        <w:t xml:space="preserve">                                          المطلب</w:t>
      </w:r>
      <w:r w:rsidR="004C48C2">
        <w:rPr>
          <w:rFonts w:hint="cs"/>
          <w:rtl/>
        </w:rPr>
        <w:t xml:space="preserve"> </w:t>
      </w:r>
      <w:r w:rsidR="00315C1E" w:rsidRPr="00315C1E">
        <w:rPr>
          <w:rFonts w:hint="cs"/>
          <w:rtl/>
        </w:rPr>
        <w:t>الرابع</w:t>
      </w:r>
      <w:r w:rsidR="00315C1E">
        <w:rPr>
          <w:rFonts w:hint="cs"/>
          <w:rtl/>
        </w:rPr>
        <w:t>:</w:t>
      </w:r>
      <w:r w:rsidR="00315C1E">
        <w:rPr>
          <w:rtl/>
        </w:rPr>
        <w:br/>
      </w:r>
      <w:r>
        <w:rPr>
          <w:rFonts w:hint="cs"/>
          <w:rtl/>
        </w:rPr>
        <w:t xml:space="preserve">                                         </w:t>
      </w:r>
      <w:r w:rsidR="00315C1E" w:rsidRPr="00315C1E">
        <w:rPr>
          <w:rFonts w:hint="cs"/>
          <w:rtl/>
        </w:rPr>
        <w:t>تطبيقات القاعدة</w:t>
      </w:r>
      <w:bookmarkEnd w:id="374"/>
    </w:p>
    <w:p w:rsidR="00315C1E" w:rsidRDefault="00315C1E" w:rsidP="000A76C7">
      <w:pPr>
        <w:pStyle w:val="afc"/>
        <w:widowControl/>
        <w:numPr>
          <w:ilvl w:val="0"/>
          <w:numId w:val="245"/>
        </w:numPr>
        <w:autoSpaceDE w:val="0"/>
        <w:autoSpaceDN w:val="0"/>
        <w:adjustRightInd w:val="0"/>
        <w:rPr>
          <w:rFonts w:ascii="Traditional Arabic" w:hAnsi="Traditional Arabic"/>
          <w:noProof w:val="0"/>
          <w:color w:val="auto"/>
          <w:lang w:eastAsia="en-US"/>
        </w:rPr>
      </w:pPr>
      <w:r w:rsidRPr="002B0A3F">
        <w:rPr>
          <w:rFonts w:ascii="Traditional Arabic" w:hAnsi="Traditional Arabic"/>
          <w:noProof w:val="0"/>
          <w:rtl/>
          <w:lang w:eastAsia="en-US"/>
        </w:rPr>
        <w:t xml:space="preserve">لا </w:t>
      </w:r>
      <w:r w:rsidRPr="002B0A3F">
        <w:rPr>
          <w:rFonts w:ascii="Traditional Arabic" w:hAnsi="Traditional Arabic" w:hint="cs"/>
          <w:noProof w:val="0"/>
          <w:rtl/>
          <w:lang w:eastAsia="en-US"/>
        </w:rPr>
        <w:t xml:space="preserve">يجوز </w:t>
      </w:r>
      <w:r w:rsidRPr="002B0A3F">
        <w:rPr>
          <w:rFonts w:ascii="Traditional Arabic" w:hAnsi="Traditional Arabic"/>
          <w:noProof w:val="0"/>
          <w:rtl/>
          <w:lang w:eastAsia="en-US"/>
        </w:rPr>
        <w:t>ب</w:t>
      </w:r>
      <w:r w:rsidRPr="002B0A3F">
        <w:rPr>
          <w:rFonts w:ascii="Traditional Arabic" w:hAnsi="Traditional Arabic" w:hint="cs"/>
          <w:noProof w:val="0"/>
          <w:rtl/>
          <w:lang w:eastAsia="en-US"/>
        </w:rPr>
        <w:t>ي</w:t>
      </w:r>
      <w:r w:rsidRPr="002B0A3F">
        <w:rPr>
          <w:rFonts w:ascii="Traditional Arabic" w:hAnsi="Traditional Arabic"/>
          <w:noProof w:val="0"/>
          <w:rtl/>
          <w:lang w:eastAsia="en-US"/>
        </w:rPr>
        <w:t xml:space="preserve">ع </w:t>
      </w:r>
      <w:r w:rsidRPr="002B0A3F">
        <w:rPr>
          <w:rFonts w:ascii="Traditional Arabic" w:hAnsi="Traditional Arabic" w:hint="cs"/>
          <w:noProof w:val="0"/>
          <w:rtl/>
          <w:lang w:eastAsia="en-US"/>
        </w:rPr>
        <w:t>ال</w:t>
      </w:r>
      <w:r w:rsidRPr="002B0A3F">
        <w:rPr>
          <w:rFonts w:ascii="Traditional Arabic" w:hAnsi="Traditional Arabic"/>
          <w:noProof w:val="0"/>
          <w:rtl/>
          <w:lang w:eastAsia="en-US"/>
        </w:rPr>
        <w:t>ثمر قبل بدو</w:t>
      </w:r>
      <w:r w:rsidRPr="002B0A3F">
        <w:rPr>
          <w:rFonts w:ascii="Traditional Arabic" w:hAnsi="Traditional Arabic" w:hint="cs"/>
          <w:noProof w:val="0"/>
          <w:rtl/>
          <w:lang w:eastAsia="en-US"/>
        </w:rPr>
        <w:t>ِّ</w:t>
      </w:r>
      <w:r w:rsidRPr="002B0A3F">
        <w:rPr>
          <w:rFonts w:ascii="Traditional Arabic" w:hAnsi="Traditional Arabic"/>
          <w:noProof w:val="0"/>
          <w:rtl/>
          <w:lang w:eastAsia="en-US"/>
        </w:rPr>
        <w:t xml:space="preserve"> صلاحه</w:t>
      </w:r>
      <w:r>
        <w:rPr>
          <w:rFonts w:ascii="Traditional Arabic" w:hAnsi="Traditional Arabic" w:hint="cs"/>
          <w:noProof w:val="0"/>
          <w:rtl/>
          <w:lang w:eastAsia="en-US"/>
        </w:rPr>
        <w:t>، ولا بيع الزرع قبل اشتِداد حَبِّه</w:t>
      </w:r>
      <w:r w:rsidRPr="00C821A1">
        <w:rPr>
          <w:rStyle w:val="af1"/>
          <w:szCs w:val="32"/>
          <w:rtl/>
        </w:rPr>
        <w:t>(</w:t>
      </w:r>
      <w:r w:rsidRPr="00C821A1">
        <w:rPr>
          <w:rStyle w:val="af1"/>
          <w:szCs w:val="32"/>
          <w:rtl/>
        </w:rPr>
        <w:footnoteReference w:id="1792"/>
      </w:r>
      <w:r w:rsidRPr="00C821A1">
        <w:rPr>
          <w:rStyle w:val="af1"/>
          <w:szCs w:val="32"/>
          <w:rtl/>
        </w:rPr>
        <w:t>)</w:t>
      </w:r>
      <w:r w:rsidRPr="002B0A3F">
        <w:rPr>
          <w:rFonts w:ascii="Traditional Arabic" w:hAnsi="Traditional Arabic" w:hint="cs"/>
          <w:noProof w:val="0"/>
          <w:rtl/>
          <w:lang w:eastAsia="en-US"/>
        </w:rPr>
        <w:t>؛</w:t>
      </w:r>
      <w:r w:rsidR="004C48C2">
        <w:rPr>
          <w:rFonts w:ascii="Traditional Arabic" w:hAnsi="Traditional Arabic" w:hint="cs"/>
          <w:noProof w:val="0"/>
          <w:rtl/>
          <w:lang w:eastAsia="en-US"/>
        </w:rPr>
        <w:t xml:space="preserve"> </w:t>
      </w:r>
      <w:r w:rsidRPr="002B0A3F">
        <w:rPr>
          <w:rFonts w:ascii="Traditional Arabic" w:hAnsi="Traditional Arabic" w:hint="cs"/>
          <w:noProof w:val="0"/>
          <w:rtl/>
          <w:lang w:eastAsia="en-US"/>
        </w:rPr>
        <w:t>ل</w:t>
      </w:r>
      <w:r>
        <w:rPr>
          <w:rFonts w:ascii="Traditional Arabic" w:hAnsi="Traditional Arabic"/>
          <w:noProof w:val="0"/>
          <w:rtl/>
          <w:lang w:eastAsia="en-US"/>
        </w:rPr>
        <w:t xml:space="preserve">أنه لا </w:t>
      </w:r>
      <w:r>
        <w:rPr>
          <w:rFonts w:ascii="Traditional Arabic" w:hAnsi="Traditional Arabic" w:hint="cs"/>
          <w:noProof w:val="0"/>
          <w:rtl/>
          <w:lang w:eastAsia="en-US"/>
        </w:rPr>
        <w:t>ي</w:t>
      </w:r>
      <w:r w:rsidRPr="002B0A3F">
        <w:rPr>
          <w:rFonts w:ascii="Traditional Arabic" w:hAnsi="Traditional Arabic"/>
          <w:noProof w:val="0"/>
          <w:rtl/>
          <w:lang w:eastAsia="en-US"/>
        </w:rPr>
        <w:t>صل</w:t>
      </w:r>
      <w:r>
        <w:rPr>
          <w:rFonts w:ascii="Traditional Arabic" w:hAnsi="Traditional Arabic" w:hint="cs"/>
          <w:noProof w:val="0"/>
          <w:rtl/>
          <w:lang w:eastAsia="en-US"/>
        </w:rPr>
        <w:t>ُ</w:t>
      </w:r>
      <w:r>
        <w:rPr>
          <w:rFonts w:ascii="Traditional Arabic" w:hAnsi="Traditional Arabic"/>
          <w:noProof w:val="0"/>
          <w:rtl/>
          <w:lang w:eastAsia="en-US"/>
        </w:rPr>
        <w:t>ح للأكل و</w:t>
      </w:r>
      <w:r>
        <w:rPr>
          <w:rFonts w:ascii="Traditional Arabic" w:hAnsi="Traditional Arabic" w:hint="cs"/>
          <w:noProof w:val="0"/>
          <w:rtl/>
          <w:lang w:eastAsia="en-US"/>
        </w:rPr>
        <w:t>ي</w:t>
      </w:r>
      <w:r w:rsidRPr="002B0A3F">
        <w:rPr>
          <w:rFonts w:ascii="Traditional Arabic" w:hAnsi="Traditional Arabic"/>
          <w:noProof w:val="0"/>
          <w:rtl/>
          <w:lang w:eastAsia="en-US"/>
        </w:rPr>
        <w:t>كون ع</w:t>
      </w:r>
      <w:r w:rsidRPr="002B0A3F">
        <w:rPr>
          <w:rFonts w:ascii="Traditional Arabic" w:hAnsi="Traditional Arabic" w:hint="cs"/>
          <w:noProof w:val="0"/>
          <w:rtl/>
          <w:lang w:eastAsia="en-US"/>
        </w:rPr>
        <w:t>ُ</w:t>
      </w:r>
      <w:r w:rsidRPr="002B0A3F">
        <w:rPr>
          <w:rFonts w:ascii="Traditional Arabic" w:hAnsi="Traditional Arabic"/>
          <w:noProof w:val="0"/>
          <w:rtl/>
          <w:lang w:eastAsia="en-US"/>
        </w:rPr>
        <w:t>رضة</w:t>
      </w:r>
      <w:r w:rsidRPr="002B0A3F">
        <w:rPr>
          <w:rFonts w:ascii="Traditional Arabic" w:hAnsi="Traditional Arabic" w:hint="cs"/>
          <w:noProof w:val="0"/>
          <w:rtl/>
          <w:lang w:eastAsia="en-US"/>
        </w:rPr>
        <w:t>ً</w:t>
      </w:r>
      <w:r>
        <w:rPr>
          <w:rFonts w:ascii="Traditional Arabic" w:hAnsi="Traditional Arabic"/>
          <w:noProof w:val="0"/>
          <w:rtl/>
          <w:lang w:eastAsia="en-US"/>
        </w:rPr>
        <w:t xml:space="preserve"> للآفات والفساد، وإذا حصل ذ</w:t>
      </w:r>
      <w:r>
        <w:rPr>
          <w:rFonts w:ascii="Traditional Arabic" w:hAnsi="Traditional Arabic" w:hint="cs"/>
          <w:noProof w:val="0"/>
          <w:rtl/>
          <w:lang w:eastAsia="en-US"/>
        </w:rPr>
        <w:t>لك</w:t>
      </w:r>
      <w:r w:rsidR="004C48C2">
        <w:rPr>
          <w:rFonts w:ascii="Traditional Arabic" w:hAnsi="Traditional Arabic" w:hint="cs"/>
          <w:noProof w:val="0"/>
          <w:rtl/>
          <w:lang w:eastAsia="en-US"/>
        </w:rPr>
        <w:t xml:space="preserve"> </w:t>
      </w:r>
      <w:r w:rsidRPr="002B0A3F">
        <w:rPr>
          <w:rFonts w:ascii="Traditional Arabic" w:hAnsi="Traditional Arabic" w:hint="cs"/>
          <w:noProof w:val="0"/>
          <w:rtl/>
          <w:lang w:eastAsia="en-US"/>
        </w:rPr>
        <w:t>أدى إلى</w:t>
      </w:r>
      <w:r w:rsidR="004C48C2">
        <w:rPr>
          <w:rFonts w:ascii="Traditional Arabic" w:hAnsi="Traditional Arabic" w:hint="cs"/>
          <w:noProof w:val="0"/>
          <w:rtl/>
          <w:lang w:eastAsia="en-US"/>
        </w:rPr>
        <w:t xml:space="preserve"> </w:t>
      </w:r>
      <w:r w:rsidRPr="002B0A3F">
        <w:rPr>
          <w:rFonts w:ascii="Traditional Arabic" w:hAnsi="Traditional Arabic"/>
          <w:noProof w:val="0"/>
          <w:rtl/>
          <w:lang w:eastAsia="en-US"/>
        </w:rPr>
        <w:t>ن</w:t>
      </w:r>
      <w:r w:rsidRPr="002B0A3F">
        <w:rPr>
          <w:rFonts w:ascii="Traditional Arabic" w:hAnsi="Traditional Arabic" w:hint="cs"/>
          <w:noProof w:val="0"/>
          <w:rtl/>
          <w:lang w:eastAsia="en-US"/>
        </w:rPr>
        <w:t>ِ</w:t>
      </w:r>
      <w:r w:rsidRPr="002B0A3F">
        <w:rPr>
          <w:rFonts w:ascii="Traditional Arabic" w:hAnsi="Traditional Arabic"/>
          <w:noProof w:val="0"/>
          <w:rtl/>
          <w:lang w:eastAsia="en-US"/>
        </w:rPr>
        <w:t>زاع بين البائع والمشتري</w:t>
      </w:r>
      <w:r w:rsidRPr="00C821A1">
        <w:rPr>
          <w:rStyle w:val="af1"/>
          <w:szCs w:val="32"/>
          <w:rtl/>
        </w:rPr>
        <w:t>(</w:t>
      </w:r>
      <w:r w:rsidRPr="00C821A1">
        <w:rPr>
          <w:rStyle w:val="af1"/>
          <w:szCs w:val="32"/>
          <w:rtl/>
        </w:rPr>
        <w:footnoteReference w:id="1793"/>
      </w:r>
      <w:r w:rsidRPr="00C821A1">
        <w:rPr>
          <w:rStyle w:val="af1"/>
          <w:szCs w:val="32"/>
          <w:rtl/>
        </w:rPr>
        <w:t>)</w:t>
      </w:r>
      <w:r w:rsidRPr="002B0A3F">
        <w:rPr>
          <w:rFonts w:ascii="Traditional Arabic" w:hAnsi="Traditional Arabic"/>
          <w:noProof w:val="0"/>
          <w:rtl/>
          <w:lang w:eastAsia="en-US"/>
        </w:rPr>
        <w:t>.</w:t>
      </w:r>
    </w:p>
    <w:p w:rsidR="00315C1E" w:rsidRDefault="00315C1E" w:rsidP="00597C20">
      <w:pPr>
        <w:pStyle w:val="53"/>
        <w:rPr>
          <w:rtl/>
        </w:rPr>
      </w:pPr>
      <w:r>
        <w:rPr>
          <w:rFonts w:hint="cs"/>
          <w:rtl/>
        </w:rPr>
        <w:t>وجه اندراج الفرع تحت القاعدة:</w:t>
      </w:r>
    </w:p>
    <w:p w:rsidR="00315C1E" w:rsidRPr="006E5B27" w:rsidRDefault="00315C1E" w:rsidP="00597C20">
      <w:pPr>
        <w:widowControl/>
        <w:autoSpaceDE w:val="0"/>
        <w:autoSpaceDN w:val="0"/>
        <w:adjustRightInd w:val="0"/>
        <w:ind w:firstLine="720"/>
        <w:rPr>
          <w:rFonts w:ascii="Traditional Arabic" w:hAnsi="Traditional Arabic"/>
          <w:noProof w:val="0"/>
          <w:color w:val="auto"/>
          <w:rtl/>
          <w:lang w:eastAsia="en-US"/>
        </w:rPr>
      </w:pPr>
      <w:r w:rsidRPr="006E5B27">
        <w:rPr>
          <w:rFonts w:ascii="Traditional Arabic" w:hAnsi="Traditional Arabic" w:hint="cs"/>
          <w:noProof w:val="0"/>
          <w:color w:val="auto"/>
          <w:rtl/>
          <w:lang w:eastAsia="en-US"/>
        </w:rPr>
        <w:t xml:space="preserve">يحرُم بيع الثمار قبل بدو صلاحها، كما يحرُم بيع الزرع قبل أن يشتد حبُّه؛ لأنه يؤدي إلى النزاع بين البائع والمشتري، والشريعة </w:t>
      </w:r>
      <w:r w:rsidRPr="006E5B27">
        <w:rPr>
          <w:rFonts w:ascii="Traditional Arabic" w:hAnsi="Traditional Arabic"/>
          <w:noProof w:val="0"/>
          <w:rtl/>
          <w:lang w:eastAsia="en-US"/>
        </w:rPr>
        <w:t>تقطع كل</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شيء يكون سببا</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للنزاع والبغضاء والف</w:t>
      </w:r>
      <w:r w:rsidR="004C48C2">
        <w:rPr>
          <w:rFonts w:ascii="Traditional Arabic" w:hAnsi="Traditional Arabic" w:hint="cs"/>
          <w:noProof w:val="0"/>
          <w:rtl/>
          <w:lang w:eastAsia="en-US"/>
        </w:rPr>
        <w:t>ُ</w:t>
      </w:r>
      <w:r w:rsidRPr="006E5B27">
        <w:rPr>
          <w:rFonts w:ascii="Traditional Arabic" w:hAnsi="Traditional Arabic"/>
          <w:noProof w:val="0"/>
          <w:rtl/>
          <w:lang w:eastAsia="en-US"/>
        </w:rPr>
        <w:t>رقة</w:t>
      </w:r>
      <w:r w:rsidRPr="006E5B27">
        <w:rPr>
          <w:rFonts w:ascii="Traditional Arabic" w:hAnsi="Traditional Arabic" w:hint="cs"/>
          <w:noProof w:val="0"/>
          <w:rtl/>
          <w:lang w:eastAsia="en-US"/>
        </w:rPr>
        <w:t xml:space="preserve"> بين المسلمين</w:t>
      </w:r>
      <w:r w:rsidRPr="00C821A1">
        <w:rPr>
          <w:rStyle w:val="af1"/>
          <w:szCs w:val="32"/>
          <w:rtl/>
        </w:rPr>
        <w:t>(</w:t>
      </w:r>
      <w:r w:rsidRPr="00C821A1">
        <w:rPr>
          <w:rStyle w:val="af1"/>
          <w:szCs w:val="32"/>
          <w:rtl/>
        </w:rPr>
        <w:footnoteReference w:id="1794"/>
      </w:r>
      <w:r w:rsidRPr="00C821A1">
        <w:rPr>
          <w:rStyle w:val="af1"/>
          <w:szCs w:val="32"/>
          <w:rtl/>
        </w:rPr>
        <w:t>)</w:t>
      </w:r>
      <w:r w:rsidRPr="006E5B27">
        <w:rPr>
          <w:rFonts w:ascii="Traditional Arabic" w:hAnsi="Traditional Arabic" w:hint="cs"/>
          <w:noProof w:val="0"/>
          <w:rtl/>
          <w:lang w:eastAsia="en-US"/>
        </w:rPr>
        <w:t>.</w:t>
      </w:r>
    </w:p>
    <w:p w:rsidR="00315C1E" w:rsidRPr="006E5B27" w:rsidRDefault="00315C1E" w:rsidP="000A76C7">
      <w:pPr>
        <w:pStyle w:val="afc"/>
        <w:widowControl/>
        <w:numPr>
          <w:ilvl w:val="0"/>
          <w:numId w:val="245"/>
        </w:numPr>
        <w:autoSpaceDE w:val="0"/>
        <w:autoSpaceDN w:val="0"/>
        <w:adjustRightInd w:val="0"/>
        <w:rPr>
          <w:rFonts w:ascii="Simplified Arabic" w:hAnsi="Simplified Arabic" w:cs="Simplified Arabic"/>
          <w:noProof w:val="0"/>
          <w:color w:val="auto"/>
          <w:lang w:eastAsia="en-US"/>
        </w:rPr>
      </w:pPr>
      <w:r w:rsidRPr="005E351E">
        <w:rPr>
          <w:rFonts w:ascii="Traditional Arabic" w:hAnsi="Traditional Arabic" w:hint="cs"/>
          <w:noProof w:val="0"/>
          <w:color w:val="auto"/>
          <w:rtl/>
          <w:lang w:eastAsia="en-US"/>
        </w:rPr>
        <w:lastRenderedPageBreak/>
        <w:t>ي</w:t>
      </w:r>
      <w:r>
        <w:rPr>
          <w:rFonts w:ascii="Traditional Arabic" w:hAnsi="Traditional Arabic" w:hint="cs"/>
          <w:noProof w:val="0"/>
          <w:color w:val="auto"/>
          <w:rtl/>
          <w:lang w:eastAsia="en-US"/>
        </w:rPr>
        <w:t>ُ</w:t>
      </w:r>
      <w:r w:rsidRPr="005E351E">
        <w:rPr>
          <w:rFonts w:ascii="Traditional Arabic" w:hAnsi="Traditional Arabic" w:hint="cs"/>
          <w:noProof w:val="0"/>
          <w:color w:val="auto"/>
          <w:rtl/>
          <w:lang w:eastAsia="en-US"/>
        </w:rPr>
        <w:t>شتر</w:t>
      </w:r>
      <w:r>
        <w:rPr>
          <w:rFonts w:ascii="Traditional Arabic" w:hAnsi="Traditional Arabic" w:hint="cs"/>
          <w:noProof w:val="0"/>
          <w:color w:val="auto"/>
          <w:rtl/>
          <w:lang w:eastAsia="en-US"/>
        </w:rPr>
        <w:t>َ</w:t>
      </w:r>
      <w:r w:rsidRPr="005E351E">
        <w:rPr>
          <w:rFonts w:ascii="Traditional Arabic" w:hAnsi="Traditional Arabic" w:hint="cs"/>
          <w:noProof w:val="0"/>
          <w:color w:val="auto"/>
          <w:rtl/>
          <w:lang w:eastAsia="en-US"/>
        </w:rPr>
        <w:t>ط في السَّ</w:t>
      </w:r>
      <w:r>
        <w:rPr>
          <w:rFonts w:ascii="Traditional Arabic" w:hAnsi="Traditional Arabic" w:hint="cs"/>
          <w:noProof w:val="0"/>
          <w:color w:val="auto"/>
          <w:rtl/>
          <w:lang w:eastAsia="en-US"/>
        </w:rPr>
        <w:t>لَم</w:t>
      </w:r>
      <w:r w:rsidRPr="005E351E">
        <w:rPr>
          <w:rFonts w:ascii="Traditional Arabic" w:hAnsi="Traditional Arabic" w:hint="cs"/>
          <w:noProof w:val="0"/>
          <w:color w:val="auto"/>
          <w:rtl/>
          <w:lang w:eastAsia="en-US"/>
        </w:rPr>
        <w:t xml:space="preserve"> أن ي</w:t>
      </w:r>
      <w:r>
        <w:rPr>
          <w:rFonts w:ascii="Traditional Arabic" w:hAnsi="Traditional Arabic" w:hint="cs"/>
          <w:noProof w:val="0"/>
          <w:color w:val="auto"/>
          <w:rtl/>
          <w:lang w:eastAsia="en-US"/>
        </w:rPr>
        <w:t>كون بِكَيلٍ أو وزنٍ أو ذَرْعٍ</w:t>
      </w:r>
      <w:r w:rsidRPr="005E351E">
        <w:rPr>
          <w:rFonts w:ascii="Traditional Arabic" w:hAnsi="Traditional Arabic" w:hint="cs"/>
          <w:noProof w:val="0"/>
          <w:color w:val="auto"/>
          <w:rtl/>
          <w:lang w:eastAsia="en-US"/>
        </w:rPr>
        <w:t xml:space="preserve"> يُعلم بين الناس</w:t>
      </w:r>
      <w:r w:rsidRPr="005E351E">
        <w:rPr>
          <w:rFonts w:ascii="Traditional Arabic" w:hAnsi="Traditional Arabic" w:hint="cs"/>
          <w:noProof w:val="0"/>
          <w:rtl/>
          <w:lang w:eastAsia="en-US"/>
        </w:rPr>
        <w:t xml:space="preserve">، </w:t>
      </w:r>
      <w:r>
        <w:rPr>
          <w:rFonts w:ascii="Traditional Arabic" w:hAnsi="Traditional Arabic" w:hint="cs"/>
          <w:noProof w:val="0"/>
          <w:rtl/>
          <w:lang w:eastAsia="en-US"/>
        </w:rPr>
        <w:t>فلا يجوز أن يُسْلِم مثلا في إناء غير معهود بين الناس؛</w:t>
      </w:r>
      <w:r w:rsidR="004C48C2">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لأن هذا الإناء قد يضيع، </w:t>
      </w:r>
      <w:r w:rsidRPr="005E351E">
        <w:rPr>
          <w:rFonts w:ascii="Traditional Arabic" w:hAnsi="Traditional Arabic"/>
          <w:noProof w:val="0"/>
          <w:rtl/>
          <w:lang w:eastAsia="en-US"/>
        </w:rPr>
        <w:t xml:space="preserve">وحينئذ لايبقى شيء </w:t>
      </w:r>
      <w:r w:rsidRPr="005E351E">
        <w:rPr>
          <w:rFonts w:ascii="Traditional Arabic" w:hAnsi="Traditional Arabic" w:hint="cs"/>
          <w:noProof w:val="0"/>
          <w:rtl/>
          <w:lang w:eastAsia="en-US"/>
        </w:rPr>
        <w:t>ي</w:t>
      </w:r>
      <w:r>
        <w:rPr>
          <w:rFonts w:ascii="Traditional Arabic" w:hAnsi="Traditional Arabic" w:hint="cs"/>
          <w:noProof w:val="0"/>
          <w:rtl/>
          <w:lang w:eastAsia="en-US"/>
        </w:rPr>
        <w:t>ُ</w:t>
      </w:r>
      <w:r w:rsidRPr="005E351E">
        <w:rPr>
          <w:rFonts w:ascii="Traditional Arabic" w:hAnsi="Traditional Arabic"/>
          <w:noProof w:val="0"/>
          <w:rtl/>
          <w:lang w:eastAsia="en-US"/>
        </w:rPr>
        <w:t>رجع إلي</w:t>
      </w:r>
      <w:r w:rsidRPr="005E351E">
        <w:rPr>
          <w:rFonts w:ascii="Traditional Arabic" w:hAnsi="Traditional Arabic" w:hint="cs"/>
          <w:noProof w:val="0"/>
          <w:rtl/>
          <w:lang w:eastAsia="en-US"/>
        </w:rPr>
        <w:t xml:space="preserve">ه </w:t>
      </w:r>
      <w:r>
        <w:rPr>
          <w:rFonts w:ascii="Traditional Arabic" w:hAnsi="Traditional Arabic" w:hint="cs"/>
          <w:noProof w:val="0"/>
          <w:rtl/>
          <w:lang w:eastAsia="en-US"/>
        </w:rPr>
        <w:t>في معرفة قد</w:t>
      </w:r>
      <w:r w:rsidRPr="005E351E">
        <w:rPr>
          <w:rFonts w:ascii="Traditional Arabic" w:hAnsi="Traditional Arabic" w:hint="cs"/>
          <w:noProof w:val="0"/>
          <w:rtl/>
          <w:lang w:eastAsia="en-US"/>
        </w:rPr>
        <w:t>ر</w:t>
      </w:r>
      <w:r>
        <w:rPr>
          <w:rFonts w:ascii="Traditional Arabic" w:hAnsi="Traditional Arabic" w:hint="cs"/>
          <w:noProof w:val="0"/>
          <w:rtl/>
          <w:lang w:eastAsia="en-US"/>
        </w:rPr>
        <w:t xml:space="preserve"> السلم، فيؤدي</w:t>
      </w:r>
      <w:r w:rsidR="004C48C2">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إلى </w:t>
      </w:r>
      <w:r w:rsidRPr="005E351E">
        <w:rPr>
          <w:rFonts w:ascii="Traditional Arabic" w:hAnsi="Traditional Arabic" w:hint="cs"/>
          <w:noProof w:val="0"/>
          <w:rtl/>
          <w:lang w:eastAsia="en-US"/>
        </w:rPr>
        <w:t>النزاع</w:t>
      </w:r>
      <w:r>
        <w:rPr>
          <w:rFonts w:ascii="Traditional Arabic" w:hAnsi="Traditional Arabic" w:hint="cs"/>
          <w:noProof w:val="0"/>
          <w:rtl/>
          <w:lang w:eastAsia="en-US"/>
        </w:rPr>
        <w:t xml:space="preserve"> بين المسلِم والمسلَم إليه</w:t>
      </w:r>
      <w:r w:rsidRPr="00C821A1">
        <w:rPr>
          <w:rStyle w:val="af1"/>
          <w:szCs w:val="32"/>
          <w:rtl/>
        </w:rPr>
        <w:t>(</w:t>
      </w:r>
      <w:r w:rsidRPr="00C821A1">
        <w:rPr>
          <w:rStyle w:val="af1"/>
          <w:szCs w:val="32"/>
          <w:rtl/>
        </w:rPr>
        <w:footnoteReference w:id="1795"/>
      </w:r>
      <w:r w:rsidRPr="00C821A1">
        <w:rPr>
          <w:rStyle w:val="af1"/>
          <w:szCs w:val="32"/>
          <w:rtl/>
        </w:rPr>
        <w:t>)</w:t>
      </w:r>
      <w:r>
        <w:rPr>
          <w:rFonts w:ascii="Traditional Arabic" w:hAnsi="Traditional Arabic" w:hint="cs"/>
          <w:noProof w:val="0"/>
          <w:rtl/>
          <w:lang w:eastAsia="en-US"/>
        </w:rPr>
        <w:t>.</w:t>
      </w:r>
    </w:p>
    <w:p w:rsidR="00315C1E" w:rsidRDefault="00315C1E" w:rsidP="00597C20">
      <w:pPr>
        <w:pStyle w:val="53"/>
        <w:rPr>
          <w:rtl/>
        </w:rPr>
      </w:pPr>
      <w:r>
        <w:rPr>
          <w:rFonts w:hint="cs"/>
          <w:rtl/>
        </w:rPr>
        <w:t>وجه اندراج الفرع تحت القاعدة:</w:t>
      </w:r>
    </w:p>
    <w:p w:rsidR="001873E8" w:rsidRDefault="00315C1E" w:rsidP="00152CB1">
      <w:pPr>
        <w:widowControl/>
        <w:autoSpaceDE w:val="0"/>
        <w:autoSpaceDN w:val="0"/>
        <w:adjustRightInd w:val="0"/>
        <w:ind w:firstLine="720"/>
        <w:rPr>
          <w:rFonts w:ascii="Traditional Arabic" w:hAnsi="Traditional Arabic"/>
          <w:noProof w:val="0"/>
          <w:sz w:val="32"/>
          <w:szCs w:val="32"/>
          <w:rtl/>
          <w:lang w:eastAsia="en-US"/>
        </w:rPr>
      </w:pPr>
      <w:r w:rsidRPr="00347150">
        <w:rPr>
          <w:rFonts w:ascii="Traditional Arabic" w:hAnsi="Traditional Arabic" w:hint="cs"/>
          <w:noProof w:val="0"/>
          <w:rtl/>
          <w:lang w:eastAsia="en-US"/>
        </w:rPr>
        <w:t>إذا كان الكيل أو الوزن أو الذرع غير معهود بين الناس، أدى ذلك إلى النزاع بين</w:t>
      </w:r>
      <w:r w:rsidR="004C48C2">
        <w:rPr>
          <w:rFonts w:ascii="Traditional Arabic" w:hAnsi="Traditional Arabic" w:hint="cs"/>
          <w:noProof w:val="0"/>
          <w:rtl/>
          <w:lang w:eastAsia="en-US"/>
        </w:rPr>
        <w:t xml:space="preserve"> </w:t>
      </w:r>
      <w:r w:rsidRPr="00347150">
        <w:rPr>
          <w:rFonts w:ascii="Traditional Arabic" w:hAnsi="Traditional Arabic" w:hint="cs"/>
          <w:noProof w:val="0"/>
          <w:rtl/>
          <w:lang w:eastAsia="en-US"/>
        </w:rPr>
        <w:t>المسلم والمسلم إليه، و</w:t>
      </w:r>
      <w:r w:rsidRPr="00347150">
        <w:rPr>
          <w:rFonts w:ascii="Traditional Arabic" w:hAnsi="Traditional Arabic"/>
          <w:noProof w:val="0"/>
          <w:rtl/>
          <w:lang w:eastAsia="en-US"/>
        </w:rPr>
        <w:t>الشرع جاء بسد</w:t>
      </w:r>
      <w:r w:rsidRPr="00347150">
        <w:rPr>
          <w:rFonts w:ascii="Traditional Arabic" w:hAnsi="Traditional Arabic" w:hint="cs"/>
          <w:noProof w:val="0"/>
          <w:rtl/>
          <w:lang w:eastAsia="en-US"/>
        </w:rPr>
        <w:t>ِّ</w:t>
      </w:r>
      <w:r w:rsidRPr="00347150">
        <w:rPr>
          <w:rFonts w:ascii="Traditional Arabic" w:hAnsi="Traditional Arabic"/>
          <w:noProof w:val="0"/>
          <w:rtl/>
          <w:lang w:eastAsia="en-US"/>
        </w:rPr>
        <w:t xml:space="preserve"> كل ما يوجب النزاع</w:t>
      </w:r>
      <w:r>
        <w:rPr>
          <w:rFonts w:hint="cs"/>
          <w:rtl/>
        </w:rPr>
        <w:t xml:space="preserve">؛ </w:t>
      </w:r>
      <w:r w:rsidRPr="00347150">
        <w:rPr>
          <w:rFonts w:ascii="Traditional Arabic" w:hAnsi="Traditional Arabic"/>
          <w:noProof w:val="0"/>
          <w:rtl/>
          <w:lang w:eastAsia="en-US"/>
        </w:rPr>
        <w:t>لأنه إذا حصل اختلاف ومنازعات صار هناك عداوة وبغضاء وخصومة</w:t>
      </w:r>
      <w:r>
        <w:rPr>
          <w:rFonts w:hint="cs"/>
          <w:rtl/>
        </w:rPr>
        <w:t>، وكل ما يوجب العداوة والبغضاء بين المسلمين فإنه محر</w:t>
      </w:r>
      <w:r w:rsidR="001873E8">
        <w:rPr>
          <w:rFonts w:hint="cs"/>
          <w:rtl/>
        </w:rPr>
        <w:t>َّ</w:t>
      </w:r>
      <w:r>
        <w:rPr>
          <w:rFonts w:hint="cs"/>
          <w:rtl/>
        </w:rPr>
        <w:t>م</w:t>
      </w:r>
      <w:r w:rsidRPr="00C821A1">
        <w:rPr>
          <w:rStyle w:val="af1"/>
          <w:szCs w:val="32"/>
          <w:rtl/>
        </w:rPr>
        <w:t>(</w:t>
      </w:r>
      <w:r w:rsidRPr="00C821A1">
        <w:rPr>
          <w:rStyle w:val="af1"/>
          <w:szCs w:val="32"/>
          <w:rtl/>
        </w:rPr>
        <w:footnoteReference w:id="1796"/>
      </w:r>
      <w:r w:rsidRPr="00C821A1">
        <w:rPr>
          <w:rStyle w:val="af1"/>
          <w:szCs w:val="32"/>
          <w:rtl/>
        </w:rPr>
        <w:t>)</w:t>
      </w:r>
      <w:r w:rsidRPr="00347150">
        <w:rPr>
          <w:rFonts w:ascii="Traditional Arabic" w:hAnsi="Traditional Arabic"/>
          <w:noProof w:val="0"/>
          <w:sz w:val="32"/>
          <w:szCs w:val="32"/>
          <w:rtl/>
          <w:lang w:eastAsia="en-US"/>
        </w:rPr>
        <w:t>.</w:t>
      </w:r>
    </w:p>
    <w:p w:rsidR="001873E8" w:rsidRPr="001873E8" w:rsidRDefault="001873E8" w:rsidP="009A3A72">
      <w:pPr>
        <w:widowControl/>
        <w:autoSpaceDE w:val="0"/>
        <w:autoSpaceDN w:val="0"/>
        <w:adjustRightInd w:val="0"/>
        <w:ind w:firstLine="720"/>
        <w:rPr>
          <w:rFonts w:ascii="Traditional Arabic" w:hAnsi="Traditional Arabic"/>
          <w:noProof w:val="0"/>
          <w:lang w:eastAsia="en-US"/>
        </w:rPr>
      </w:pPr>
      <w:r>
        <w:rPr>
          <w:rFonts w:ascii="Traditional Arabic" w:hAnsi="Traditional Arabic" w:hint="cs"/>
          <w:b/>
          <w:bCs/>
          <w:noProof w:val="0"/>
          <w:sz w:val="32"/>
          <w:szCs w:val="32"/>
          <w:rtl/>
          <w:lang w:eastAsia="en-US"/>
        </w:rPr>
        <w:t xml:space="preserve">                                  </w:t>
      </w:r>
    </w:p>
    <w:p w:rsidR="00D816CC" w:rsidRPr="003368A0" w:rsidRDefault="00D816CC" w:rsidP="00597C20">
      <w:pPr>
        <w:pStyle w:val="aff0"/>
        <w:rPr>
          <w:rtl/>
        </w:rPr>
      </w:pPr>
      <w:bookmarkStart w:id="375" w:name="_Toc334046573"/>
      <w:r w:rsidRPr="003368A0">
        <w:rPr>
          <w:rFonts w:hint="cs"/>
          <w:rtl/>
        </w:rPr>
        <w:lastRenderedPageBreak/>
        <w:t>الفصل الحادي عشر</w:t>
      </w:r>
      <w:r w:rsidRPr="003368A0">
        <w:rPr>
          <w:rFonts w:hint="eastAsia"/>
          <w:rtl/>
        </w:rPr>
        <w:t> :</w:t>
      </w:r>
      <w:r w:rsidRPr="003368A0">
        <w:rPr>
          <w:rFonts w:hint="cs"/>
          <w:rtl/>
        </w:rPr>
        <w:t>قواعد متفرقة</w:t>
      </w:r>
      <w:bookmarkEnd w:id="375"/>
    </w:p>
    <w:p w:rsidR="00D816CC" w:rsidRPr="002D7A92" w:rsidRDefault="00D816CC"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عشرة مباحث:</w:t>
      </w:r>
    </w:p>
    <w:p w:rsidR="00D816CC" w:rsidRPr="00031790" w:rsidRDefault="00D816CC"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قاعدة الأحكام تتبعض.</w:t>
      </w:r>
    </w:p>
    <w:p w:rsidR="00D816CC" w:rsidRPr="00031790" w:rsidRDefault="00D816CC" w:rsidP="00597C20">
      <w:pPr>
        <w:tabs>
          <w:tab w:val="left" w:pos="2833"/>
        </w:tabs>
        <w:ind w:left="2833" w:hanging="2268"/>
        <w:jc w:val="left"/>
        <w:rPr>
          <w:rtl/>
        </w:rPr>
      </w:pPr>
      <w:r w:rsidRPr="00FD5687">
        <w:rPr>
          <w:rFonts w:hint="cs"/>
          <w:b/>
          <w:bCs/>
          <w:rtl/>
        </w:rPr>
        <w:t>المبحث الثاني:</w:t>
      </w:r>
      <w:r w:rsidR="002F34AD">
        <w:rPr>
          <w:rFonts w:hint="cs"/>
          <w:rtl/>
        </w:rPr>
        <w:tab/>
      </w:r>
      <w:r w:rsidRPr="00031790">
        <w:rPr>
          <w:rFonts w:hint="cs"/>
          <w:rtl/>
        </w:rPr>
        <w:t>قاعدة الاحتياط.</w:t>
      </w:r>
    </w:p>
    <w:p w:rsidR="00D816CC" w:rsidRPr="00031790" w:rsidRDefault="002F34AD" w:rsidP="00597C20">
      <w:pPr>
        <w:tabs>
          <w:tab w:val="left" w:pos="2833"/>
        </w:tabs>
        <w:ind w:left="2833" w:hanging="2268"/>
        <w:jc w:val="left"/>
        <w:rPr>
          <w:rtl/>
        </w:rPr>
      </w:pPr>
      <w:r w:rsidRPr="00FD5687">
        <w:rPr>
          <w:rFonts w:hint="cs"/>
          <w:b/>
          <w:bCs/>
          <w:rtl/>
        </w:rPr>
        <w:t>المبحث الثالث:</w:t>
      </w:r>
      <w:r>
        <w:rPr>
          <w:rFonts w:hint="cs"/>
          <w:rtl/>
        </w:rPr>
        <w:tab/>
      </w:r>
      <w:r w:rsidR="00D816CC" w:rsidRPr="00031790">
        <w:rPr>
          <w:rFonts w:hint="cs"/>
          <w:rtl/>
        </w:rPr>
        <w:t xml:space="preserve">قاعدة </w:t>
      </w:r>
      <w:r w:rsidR="00AE71F7">
        <w:rPr>
          <w:rFonts w:hint="cs"/>
          <w:rtl/>
        </w:rPr>
        <w:t xml:space="preserve">مدار </w:t>
      </w:r>
      <w:r w:rsidR="00D816CC" w:rsidRPr="00031790">
        <w:rPr>
          <w:rFonts w:hint="cs"/>
          <w:rtl/>
        </w:rPr>
        <w:t xml:space="preserve">المعاملات المحرمة مبناها على </w:t>
      </w:r>
      <w:r w:rsidR="00AE71F7">
        <w:rPr>
          <w:rFonts w:hint="cs"/>
          <w:rtl/>
        </w:rPr>
        <w:t>الربا والظلم والغرر</w:t>
      </w:r>
      <w:r w:rsidR="00D816CC" w:rsidRPr="00031790">
        <w:rPr>
          <w:rFonts w:hint="cs"/>
          <w:rtl/>
        </w:rPr>
        <w:t>.</w:t>
      </w:r>
    </w:p>
    <w:p w:rsidR="00D816CC" w:rsidRPr="00031790" w:rsidRDefault="002F34AD" w:rsidP="00597C20">
      <w:pPr>
        <w:tabs>
          <w:tab w:val="left" w:pos="2833"/>
        </w:tabs>
        <w:ind w:left="2833" w:hanging="2268"/>
        <w:jc w:val="left"/>
        <w:rPr>
          <w:rtl/>
        </w:rPr>
      </w:pPr>
      <w:r w:rsidRPr="00FD5687">
        <w:rPr>
          <w:rFonts w:hint="cs"/>
          <w:b/>
          <w:bCs/>
          <w:rtl/>
        </w:rPr>
        <w:t>المبحث الرابع:</w:t>
      </w:r>
      <w:r>
        <w:rPr>
          <w:rFonts w:hint="cs"/>
          <w:rtl/>
        </w:rPr>
        <w:tab/>
      </w:r>
      <w:r w:rsidR="00D816CC" w:rsidRPr="00031790">
        <w:rPr>
          <w:rFonts w:hint="cs"/>
          <w:rtl/>
        </w:rPr>
        <w:t>قاعدة من يتصر</w:t>
      </w:r>
      <w:r w:rsidR="00AE71F7">
        <w:rPr>
          <w:rFonts w:hint="cs"/>
          <w:rtl/>
        </w:rPr>
        <w:t>ف لغيره يجب عليه أن يتصرف بالأصلح</w:t>
      </w:r>
      <w:r w:rsidR="00B76414" w:rsidRPr="00031790">
        <w:rPr>
          <w:rFonts w:hint="cs"/>
          <w:rtl/>
        </w:rPr>
        <w:t>،</w:t>
      </w:r>
      <w:r w:rsidR="00D816CC" w:rsidRPr="00031790">
        <w:rPr>
          <w:rFonts w:hint="cs"/>
          <w:rtl/>
        </w:rPr>
        <w:t xml:space="preserve"> ومن يتصرف لنفسه يتصرف بما شاء.</w:t>
      </w:r>
    </w:p>
    <w:p w:rsidR="00D816CC" w:rsidRPr="00031790" w:rsidRDefault="002F34AD" w:rsidP="00597C20">
      <w:pPr>
        <w:tabs>
          <w:tab w:val="left" w:pos="2833"/>
        </w:tabs>
        <w:ind w:left="2833" w:hanging="2268"/>
        <w:jc w:val="left"/>
        <w:rPr>
          <w:rtl/>
        </w:rPr>
      </w:pPr>
      <w:r w:rsidRPr="00FD5687">
        <w:rPr>
          <w:rFonts w:hint="cs"/>
          <w:b/>
          <w:bCs/>
          <w:rtl/>
        </w:rPr>
        <w:t>المبحث الخامس:</w:t>
      </w:r>
      <w:r>
        <w:rPr>
          <w:rFonts w:hint="cs"/>
          <w:rtl/>
        </w:rPr>
        <w:tab/>
      </w:r>
      <w:r w:rsidR="00D816CC" w:rsidRPr="00031790">
        <w:rPr>
          <w:rFonts w:hint="cs"/>
          <w:rtl/>
        </w:rPr>
        <w:t>قاعدة إذا تعذر الأصل رجعنا إلى البدل.</w:t>
      </w:r>
    </w:p>
    <w:p w:rsidR="00D816CC" w:rsidRPr="00031790" w:rsidRDefault="00D816CC" w:rsidP="00597C20">
      <w:pPr>
        <w:tabs>
          <w:tab w:val="left" w:pos="2833"/>
        </w:tabs>
        <w:ind w:left="2833" w:hanging="2268"/>
        <w:jc w:val="left"/>
        <w:rPr>
          <w:rtl/>
        </w:rPr>
      </w:pPr>
      <w:r w:rsidRPr="00FD5687">
        <w:rPr>
          <w:rFonts w:hint="cs"/>
          <w:b/>
          <w:bCs/>
          <w:rtl/>
        </w:rPr>
        <w:t>المبحث السادس:</w:t>
      </w:r>
      <w:r w:rsidR="002F34AD">
        <w:rPr>
          <w:rFonts w:hint="cs"/>
          <w:rtl/>
        </w:rPr>
        <w:tab/>
      </w:r>
      <w:r w:rsidRPr="00031790">
        <w:rPr>
          <w:rFonts w:hint="cs"/>
          <w:rtl/>
        </w:rPr>
        <w:t>قاعدة المشغول لا يشغل.</w:t>
      </w:r>
    </w:p>
    <w:p w:rsidR="00D816CC" w:rsidRPr="00031790" w:rsidRDefault="002F34AD" w:rsidP="00597C20">
      <w:pPr>
        <w:tabs>
          <w:tab w:val="left" w:pos="2833"/>
        </w:tabs>
        <w:ind w:left="2833" w:hanging="2268"/>
        <w:jc w:val="left"/>
        <w:rPr>
          <w:rtl/>
        </w:rPr>
      </w:pPr>
      <w:r w:rsidRPr="00FD5687">
        <w:rPr>
          <w:rFonts w:hint="cs"/>
          <w:b/>
          <w:bCs/>
          <w:rtl/>
        </w:rPr>
        <w:t>المبحث السابع:</w:t>
      </w:r>
      <w:r>
        <w:rPr>
          <w:rFonts w:hint="cs"/>
          <w:rtl/>
        </w:rPr>
        <w:tab/>
      </w:r>
      <w:r w:rsidR="00AE71F7">
        <w:rPr>
          <w:rFonts w:hint="cs"/>
          <w:rtl/>
        </w:rPr>
        <w:t>قاعدة</w:t>
      </w:r>
      <w:r w:rsidR="00D816CC" w:rsidRPr="00031790">
        <w:rPr>
          <w:rFonts w:hint="cs"/>
          <w:rtl/>
        </w:rPr>
        <w:t xml:space="preserve"> لا تتم </w:t>
      </w:r>
      <w:r w:rsidR="00AE71F7">
        <w:rPr>
          <w:rFonts w:hint="cs"/>
          <w:rtl/>
        </w:rPr>
        <w:t>الأمور حتى توجد</w:t>
      </w:r>
      <w:r w:rsidR="00D816CC" w:rsidRPr="00031790">
        <w:rPr>
          <w:rFonts w:hint="cs"/>
          <w:rtl/>
        </w:rPr>
        <w:t xml:space="preserve"> </w:t>
      </w:r>
      <w:r w:rsidR="00AE71F7">
        <w:rPr>
          <w:rFonts w:hint="cs"/>
          <w:rtl/>
        </w:rPr>
        <w:t>أسبابها و</w:t>
      </w:r>
      <w:r w:rsidR="00D816CC" w:rsidRPr="00031790">
        <w:rPr>
          <w:rFonts w:hint="cs"/>
          <w:rtl/>
        </w:rPr>
        <w:t>شروط</w:t>
      </w:r>
      <w:r w:rsidR="00AE71F7">
        <w:rPr>
          <w:rFonts w:hint="cs"/>
          <w:rtl/>
        </w:rPr>
        <w:t xml:space="preserve">ها وتنتفي </w:t>
      </w:r>
      <w:r w:rsidR="00D816CC" w:rsidRPr="00031790">
        <w:rPr>
          <w:rFonts w:hint="cs"/>
          <w:rtl/>
        </w:rPr>
        <w:t>موانع</w:t>
      </w:r>
      <w:r w:rsidR="00AE71F7">
        <w:rPr>
          <w:rFonts w:hint="cs"/>
          <w:rtl/>
        </w:rPr>
        <w:t>ها</w:t>
      </w:r>
      <w:r w:rsidR="00D816CC" w:rsidRPr="00031790">
        <w:rPr>
          <w:rFonts w:hint="cs"/>
          <w:rtl/>
        </w:rPr>
        <w:t>.</w:t>
      </w:r>
    </w:p>
    <w:p w:rsidR="00D816CC" w:rsidRPr="00031790" w:rsidRDefault="002F34AD" w:rsidP="00597C20">
      <w:pPr>
        <w:tabs>
          <w:tab w:val="left" w:pos="2833"/>
        </w:tabs>
        <w:ind w:left="2833" w:hanging="2268"/>
        <w:jc w:val="left"/>
        <w:rPr>
          <w:rtl/>
        </w:rPr>
      </w:pPr>
      <w:r w:rsidRPr="00FD5687">
        <w:rPr>
          <w:rFonts w:hint="cs"/>
          <w:b/>
          <w:bCs/>
          <w:rtl/>
        </w:rPr>
        <w:t>المبحث الثامن:</w:t>
      </w:r>
      <w:r>
        <w:rPr>
          <w:rFonts w:hint="cs"/>
          <w:rtl/>
        </w:rPr>
        <w:tab/>
      </w:r>
      <w:r w:rsidR="00D816CC" w:rsidRPr="00031790">
        <w:rPr>
          <w:rFonts w:hint="cs"/>
          <w:rtl/>
        </w:rPr>
        <w:t>قاعدة المشقة تجلب التيسير.</w:t>
      </w:r>
    </w:p>
    <w:p w:rsidR="00D816CC" w:rsidRPr="00031790" w:rsidRDefault="002F34AD" w:rsidP="00597C20">
      <w:pPr>
        <w:tabs>
          <w:tab w:val="left" w:pos="2833"/>
        </w:tabs>
        <w:ind w:left="2833" w:hanging="2268"/>
        <w:jc w:val="left"/>
        <w:rPr>
          <w:rtl/>
        </w:rPr>
      </w:pPr>
      <w:r w:rsidRPr="00FD5687">
        <w:rPr>
          <w:rFonts w:hint="cs"/>
          <w:b/>
          <w:bCs/>
          <w:rtl/>
        </w:rPr>
        <w:t>المبحث التاسع:</w:t>
      </w:r>
      <w:r>
        <w:rPr>
          <w:rFonts w:hint="cs"/>
          <w:rtl/>
        </w:rPr>
        <w:tab/>
      </w:r>
      <w:r w:rsidR="00D816CC" w:rsidRPr="00031790">
        <w:rPr>
          <w:rFonts w:hint="cs"/>
          <w:rtl/>
        </w:rPr>
        <w:t>قاعدة السلطان ولي من لا ولي له.</w:t>
      </w:r>
    </w:p>
    <w:p w:rsidR="00D816CC" w:rsidRPr="00031790" w:rsidRDefault="002F34AD" w:rsidP="00597C20">
      <w:pPr>
        <w:tabs>
          <w:tab w:val="left" w:pos="2833"/>
        </w:tabs>
        <w:ind w:left="2833" w:hanging="2268"/>
        <w:jc w:val="left"/>
        <w:rPr>
          <w:rtl/>
        </w:rPr>
      </w:pPr>
      <w:r w:rsidRPr="00FD5687">
        <w:rPr>
          <w:rFonts w:hint="cs"/>
          <w:b/>
          <w:bCs/>
          <w:rtl/>
        </w:rPr>
        <w:t>المبحث العاشر:</w:t>
      </w:r>
      <w:r>
        <w:rPr>
          <w:rFonts w:hint="cs"/>
          <w:rtl/>
        </w:rPr>
        <w:tab/>
      </w:r>
      <w:r w:rsidR="00AE71F7">
        <w:rPr>
          <w:rFonts w:hint="cs"/>
          <w:rtl/>
        </w:rPr>
        <w:t>قاعدة الأعيان التي تحدث شيئا فشيئا</w:t>
      </w:r>
      <w:r w:rsidR="00D816CC" w:rsidRPr="00031790">
        <w:rPr>
          <w:rFonts w:hint="cs"/>
          <w:rtl/>
        </w:rPr>
        <w:t xml:space="preserve"> </w:t>
      </w:r>
      <w:r w:rsidR="00AE71F7">
        <w:rPr>
          <w:rFonts w:hint="cs"/>
          <w:rtl/>
        </w:rPr>
        <w:t>ك</w:t>
      </w:r>
      <w:r w:rsidR="00D816CC" w:rsidRPr="00031790">
        <w:rPr>
          <w:rFonts w:hint="cs"/>
          <w:rtl/>
        </w:rPr>
        <w:t>المنافع.</w:t>
      </w:r>
    </w:p>
    <w:p w:rsidR="00F101FD" w:rsidRPr="00C85F0F" w:rsidRDefault="00D816CC" w:rsidP="000F5C0F">
      <w:pPr>
        <w:pStyle w:val="aff2"/>
        <w:rPr>
          <w:rtl/>
        </w:rPr>
      </w:pPr>
      <w:bookmarkStart w:id="376" w:name="_Toc334046574"/>
      <w:r w:rsidRPr="00D816CC">
        <w:rPr>
          <w:rFonts w:hint="cs"/>
          <w:rtl/>
        </w:rPr>
        <w:lastRenderedPageBreak/>
        <w:t>المبحث الأول</w:t>
      </w:r>
      <w:r>
        <w:rPr>
          <w:rFonts w:hint="eastAsia"/>
          <w:rtl/>
        </w:rPr>
        <w:t> </w:t>
      </w:r>
      <w:r w:rsidRPr="00D816CC">
        <w:rPr>
          <w:rFonts w:hint="cs"/>
          <w:rtl/>
        </w:rPr>
        <w:t>:</w:t>
      </w:r>
      <w:r>
        <w:rPr>
          <w:rtl/>
        </w:rPr>
        <w:br/>
      </w:r>
      <w:r w:rsidRPr="00D816CC">
        <w:rPr>
          <w:rFonts w:hint="cs"/>
          <w:rtl/>
        </w:rPr>
        <w:t>قاعدة</w:t>
      </w:r>
      <w:r>
        <w:rPr>
          <w:rtl/>
        </w:rPr>
        <w:br/>
      </w:r>
      <w:r w:rsidR="00F101FD">
        <w:rPr>
          <w:rFonts w:hint="cs"/>
          <w:rtl/>
        </w:rPr>
        <w:t>"الأح</w:t>
      </w:r>
      <w:r w:rsidR="001873E8">
        <w:rPr>
          <w:rFonts w:hint="cs"/>
          <w:rtl/>
        </w:rPr>
        <w:t>كام</w:t>
      </w:r>
      <w:r w:rsidR="00F101FD">
        <w:rPr>
          <w:rFonts w:hint="cs"/>
          <w:rtl/>
        </w:rPr>
        <w:t xml:space="preserve"> </w:t>
      </w:r>
      <w:r w:rsidR="00B40770">
        <w:rPr>
          <w:rFonts w:hint="cs"/>
          <w:rtl/>
        </w:rPr>
        <w:t xml:space="preserve">قد </w:t>
      </w:r>
      <w:r w:rsidR="00F101FD">
        <w:rPr>
          <w:rFonts w:hint="cs"/>
          <w:rtl/>
        </w:rPr>
        <w:t>تتبعض</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الأحكامقدتتبعض</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F101FD" w:rsidRPr="00C85F0F">
        <w:rPr>
          <w:rFonts w:hint="cs"/>
          <w:rtl/>
        </w:rPr>
        <w:t>"</w:t>
      </w:r>
      <w:r w:rsidR="00F101FD" w:rsidRPr="00C85F0F">
        <w:rPr>
          <w:rStyle w:val="af1"/>
          <w:b w:val="0"/>
          <w:bCs w:val="0"/>
          <w:szCs w:val="32"/>
          <w:rtl/>
        </w:rPr>
        <w:t>(</w:t>
      </w:r>
      <w:r w:rsidR="00F101FD" w:rsidRPr="00C85F0F">
        <w:rPr>
          <w:rStyle w:val="af1"/>
          <w:b w:val="0"/>
          <w:bCs w:val="0"/>
          <w:szCs w:val="32"/>
          <w:rtl/>
        </w:rPr>
        <w:footnoteReference w:id="1797"/>
      </w:r>
      <w:r w:rsidR="00F101FD" w:rsidRPr="00C85F0F">
        <w:rPr>
          <w:rStyle w:val="af1"/>
          <w:b w:val="0"/>
          <w:bCs w:val="0"/>
          <w:szCs w:val="32"/>
          <w:rtl/>
        </w:rPr>
        <w:t>)</w:t>
      </w:r>
      <w:bookmarkEnd w:id="376"/>
    </w:p>
    <w:p w:rsidR="00065E4B" w:rsidRPr="00C85F0F" w:rsidRDefault="001873E8" w:rsidP="00A8347C">
      <w:pPr>
        <w:pStyle w:val="aff3"/>
        <w:rPr>
          <w:rtl/>
        </w:rPr>
      </w:pPr>
      <w:bookmarkStart w:id="377" w:name="_Toc334046575"/>
      <w:r>
        <w:rPr>
          <w:rFonts w:hint="cs"/>
          <w:rtl/>
        </w:rPr>
        <w:t xml:space="preserve">                                         المطلب</w:t>
      </w:r>
      <w:r w:rsidR="004C48C2">
        <w:rPr>
          <w:rFonts w:hint="cs"/>
          <w:rtl/>
        </w:rPr>
        <w:t xml:space="preserve"> </w:t>
      </w:r>
      <w:r w:rsidR="00F101FD" w:rsidRPr="00C85F0F">
        <w:rPr>
          <w:rFonts w:hint="cs"/>
          <w:rtl/>
        </w:rPr>
        <w:t>الأول</w:t>
      </w:r>
      <w:r w:rsidR="00F101FD" w:rsidRPr="00C85F0F">
        <w:rPr>
          <w:rFonts w:hint="eastAsia"/>
          <w:rtl/>
        </w:rPr>
        <w:t> :</w:t>
      </w:r>
      <w:r w:rsidR="00F101FD" w:rsidRPr="00C85F0F">
        <w:rPr>
          <w:rFonts w:hint="cs"/>
          <w:rtl/>
        </w:rPr>
        <w:br/>
      </w:r>
      <w:r>
        <w:rPr>
          <w:rFonts w:hint="cs"/>
          <w:rtl/>
        </w:rPr>
        <w:t xml:space="preserve">                     </w:t>
      </w:r>
      <w:r w:rsidR="004C48C2">
        <w:rPr>
          <w:rFonts w:hint="cs"/>
          <w:rtl/>
        </w:rPr>
        <w:t xml:space="preserve"> </w:t>
      </w:r>
      <w:r w:rsidR="00F101FD" w:rsidRPr="00C85F0F">
        <w:rPr>
          <w:rFonts w:hint="cs"/>
          <w:rtl/>
        </w:rPr>
        <w:t>صيغ القاعدة عند الشيخ وعند علماء القواعد</w:t>
      </w:r>
      <w:bookmarkEnd w:id="377"/>
    </w:p>
    <w:p w:rsidR="00F101FD" w:rsidRPr="00C85F0F" w:rsidRDefault="00065E4B" w:rsidP="00597C20">
      <w:pPr>
        <w:ind w:firstLine="0"/>
        <w:rPr>
          <w:rtl/>
        </w:rPr>
      </w:pPr>
      <w:r w:rsidRPr="00C85F0F">
        <w:rPr>
          <w:rFonts w:hint="cs"/>
          <w:rtl/>
        </w:rPr>
        <w:t>و</w:t>
      </w:r>
      <w:r w:rsidR="00F101FD" w:rsidRPr="00C85F0F">
        <w:rPr>
          <w:rFonts w:hint="cs"/>
          <w:rtl/>
        </w:rPr>
        <w:t xml:space="preserve">ردت هذه القاعدة عند الشيخ ابن عثيمين </w:t>
      </w:r>
      <w:r w:rsidR="004C48C2">
        <w:rPr>
          <w:rFonts w:hint="cs"/>
          <w:rtl/>
        </w:rPr>
        <w:t>_</w:t>
      </w:r>
      <w:r w:rsidR="009A0575" w:rsidRPr="005D5694">
        <w:rPr>
          <w:rFonts w:ascii="Traditional Arabic" w:hAnsi="Traditional Arabic" w:cs="CTraditional Arabic" w:hint="cs"/>
          <w:rtl/>
        </w:rPr>
        <w:t>/</w:t>
      </w:r>
      <w:r w:rsidR="004C48C2">
        <w:rPr>
          <w:rFonts w:hint="cs"/>
          <w:rtl/>
        </w:rPr>
        <w:t>_</w:t>
      </w:r>
      <w:r w:rsidR="00F101FD" w:rsidRPr="00C85F0F">
        <w:rPr>
          <w:rFonts w:hint="cs"/>
          <w:rtl/>
        </w:rPr>
        <w:t xml:space="preserve"> بصيغتين:</w:t>
      </w:r>
    </w:p>
    <w:p w:rsidR="00F101FD" w:rsidRPr="00C85F0F" w:rsidRDefault="00F101FD" w:rsidP="000A76C7">
      <w:pPr>
        <w:pStyle w:val="afc"/>
        <w:numPr>
          <w:ilvl w:val="0"/>
          <w:numId w:val="246"/>
        </w:numPr>
      </w:pPr>
      <w:r w:rsidRPr="00C85F0F">
        <w:rPr>
          <w:rFonts w:hint="cs"/>
          <w:rtl/>
        </w:rPr>
        <w:t>الأحكام تتبعَّض</w:t>
      </w:r>
      <w:r w:rsidRPr="00C85F0F">
        <w:rPr>
          <w:rStyle w:val="af1"/>
          <w:szCs w:val="32"/>
          <w:rtl/>
        </w:rPr>
        <w:t>(</w:t>
      </w:r>
      <w:r w:rsidRPr="00C85F0F">
        <w:rPr>
          <w:rStyle w:val="af1"/>
          <w:szCs w:val="32"/>
          <w:rtl/>
        </w:rPr>
        <w:footnoteReference w:id="1798"/>
      </w:r>
      <w:r w:rsidRPr="00C85F0F">
        <w:rPr>
          <w:rStyle w:val="af1"/>
          <w:szCs w:val="32"/>
          <w:rtl/>
        </w:rPr>
        <w:t>)</w:t>
      </w:r>
      <w:r w:rsidRPr="00C85F0F">
        <w:rPr>
          <w:rFonts w:hint="cs"/>
          <w:rtl/>
        </w:rPr>
        <w:t>.</w:t>
      </w:r>
    </w:p>
    <w:p w:rsidR="00065E4B" w:rsidRPr="00C85F0F" w:rsidRDefault="00F101FD" w:rsidP="000A76C7">
      <w:pPr>
        <w:pStyle w:val="afc"/>
        <w:numPr>
          <w:ilvl w:val="0"/>
          <w:numId w:val="246"/>
        </w:numPr>
      </w:pPr>
      <w:r w:rsidRPr="00C85F0F">
        <w:rPr>
          <w:rFonts w:hint="cs"/>
          <w:rtl/>
        </w:rPr>
        <w:t>الأحكام قد تتبعَّض</w:t>
      </w:r>
      <w:r w:rsidRPr="00C85F0F">
        <w:rPr>
          <w:rStyle w:val="af1"/>
          <w:szCs w:val="32"/>
          <w:rtl/>
        </w:rPr>
        <w:t>(</w:t>
      </w:r>
      <w:r w:rsidRPr="00C85F0F">
        <w:rPr>
          <w:rStyle w:val="af1"/>
          <w:szCs w:val="32"/>
          <w:rtl/>
        </w:rPr>
        <w:footnoteReference w:id="1799"/>
      </w:r>
      <w:r w:rsidRPr="00C85F0F">
        <w:rPr>
          <w:rStyle w:val="af1"/>
          <w:szCs w:val="32"/>
          <w:rtl/>
        </w:rPr>
        <w:t>)</w:t>
      </w:r>
      <w:r w:rsidRPr="00C85F0F">
        <w:rPr>
          <w:rFonts w:hint="cs"/>
          <w:rtl/>
        </w:rPr>
        <w:t>.</w:t>
      </w:r>
    </w:p>
    <w:p w:rsidR="00F101FD" w:rsidRPr="00C85F0F" w:rsidRDefault="00065E4B" w:rsidP="00597C20">
      <w:pPr>
        <w:ind w:firstLine="0"/>
        <w:rPr>
          <w:rtl/>
        </w:rPr>
      </w:pPr>
      <w:r w:rsidRPr="00C85F0F">
        <w:rPr>
          <w:rFonts w:hint="cs"/>
          <w:rtl/>
        </w:rPr>
        <w:t>و</w:t>
      </w:r>
      <w:r w:rsidR="00F101FD" w:rsidRPr="00C85F0F">
        <w:rPr>
          <w:rFonts w:hint="cs"/>
          <w:rtl/>
        </w:rPr>
        <w:t>ومما وردت به هذه القاعدة عند علماء القواعد من صيغ ما يلي:</w:t>
      </w:r>
    </w:p>
    <w:p w:rsidR="00F101FD" w:rsidRPr="00C85F0F" w:rsidRDefault="00F101FD" w:rsidP="000A76C7">
      <w:pPr>
        <w:pStyle w:val="afc"/>
        <w:numPr>
          <w:ilvl w:val="0"/>
          <w:numId w:val="247"/>
        </w:numPr>
      </w:pPr>
      <w:r w:rsidRPr="00C85F0F">
        <w:rPr>
          <w:rFonts w:hint="cs"/>
          <w:rtl/>
        </w:rPr>
        <w:t>الأحكام تتبعض</w:t>
      </w:r>
      <w:r w:rsidRPr="00C85F0F">
        <w:rPr>
          <w:rStyle w:val="af1"/>
          <w:szCs w:val="32"/>
          <w:rtl/>
        </w:rPr>
        <w:t>(</w:t>
      </w:r>
      <w:r w:rsidRPr="00C85F0F">
        <w:rPr>
          <w:rStyle w:val="af1"/>
          <w:szCs w:val="32"/>
          <w:rtl/>
        </w:rPr>
        <w:footnoteReference w:id="1800"/>
      </w:r>
      <w:r w:rsidRPr="00C85F0F">
        <w:rPr>
          <w:rStyle w:val="af1"/>
          <w:szCs w:val="32"/>
          <w:rtl/>
        </w:rPr>
        <w:t>)</w:t>
      </w:r>
      <w:r w:rsidRPr="00C85F0F">
        <w:rPr>
          <w:rFonts w:hint="cs"/>
          <w:rtl/>
        </w:rPr>
        <w:t>.</w:t>
      </w:r>
    </w:p>
    <w:p w:rsidR="00F101FD" w:rsidRPr="00C85F0F" w:rsidRDefault="00F101FD" w:rsidP="000A76C7">
      <w:pPr>
        <w:pStyle w:val="afc"/>
        <w:numPr>
          <w:ilvl w:val="0"/>
          <w:numId w:val="247"/>
        </w:numPr>
        <w:rPr>
          <w:color w:val="auto"/>
        </w:rPr>
      </w:pPr>
      <w:r w:rsidRPr="00C85F0F">
        <w:rPr>
          <w:rFonts w:ascii="Traditional Arabic" w:hAnsi="Traditional Arabic"/>
          <w:noProof w:val="0"/>
          <w:color w:val="auto"/>
          <w:rtl/>
          <w:lang w:eastAsia="en-US"/>
        </w:rPr>
        <w:t>قد تتبعَّض الأحكامُ بحسَب تفاو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 أسبابها</w:t>
      </w:r>
      <w:r w:rsidRPr="00C85F0F">
        <w:rPr>
          <w:rStyle w:val="af1"/>
          <w:szCs w:val="32"/>
          <w:rtl/>
        </w:rPr>
        <w:t>(</w:t>
      </w:r>
      <w:r w:rsidRPr="00C85F0F">
        <w:rPr>
          <w:rStyle w:val="af1"/>
          <w:szCs w:val="32"/>
          <w:rtl/>
        </w:rPr>
        <w:footnoteReference w:id="1801"/>
      </w:r>
      <w:r w:rsidRPr="00C85F0F">
        <w:rPr>
          <w:rStyle w:val="af1"/>
          <w:szCs w:val="32"/>
          <w:rtl/>
        </w:rPr>
        <w:t>)</w:t>
      </w:r>
      <w:r w:rsidRPr="00C85F0F">
        <w:rPr>
          <w:rFonts w:ascii="Traditional Arabic" w:hAnsi="Traditional Arabic" w:hint="cs"/>
          <w:noProof w:val="0"/>
          <w:color w:val="auto"/>
          <w:rtl/>
          <w:lang w:eastAsia="en-US"/>
        </w:rPr>
        <w:t>.</w:t>
      </w:r>
    </w:p>
    <w:p w:rsidR="00065E4B" w:rsidRPr="00C85F0F" w:rsidRDefault="001873E8" w:rsidP="00A8347C">
      <w:pPr>
        <w:pStyle w:val="aff3"/>
        <w:rPr>
          <w:rtl/>
        </w:rPr>
      </w:pPr>
      <w:bookmarkStart w:id="378" w:name="_Toc334046576"/>
      <w:r>
        <w:rPr>
          <w:rFonts w:hint="cs"/>
          <w:rtl/>
        </w:rPr>
        <w:lastRenderedPageBreak/>
        <w:t xml:space="preserve">                                        المطلب</w:t>
      </w:r>
      <w:r w:rsidR="004C48C2">
        <w:rPr>
          <w:rFonts w:hint="cs"/>
          <w:rtl/>
        </w:rPr>
        <w:t xml:space="preserve"> </w:t>
      </w:r>
      <w:r w:rsidR="00F101FD" w:rsidRPr="00C85F0F">
        <w:rPr>
          <w:rFonts w:hint="cs"/>
          <w:rtl/>
        </w:rPr>
        <w:t>الثاني</w:t>
      </w:r>
      <w:r w:rsidR="00F101FD" w:rsidRPr="00C85F0F">
        <w:rPr>
          <w:rFonts w:hint="eastAsia"/>
          <w:rtl/>
        </w:rPr>
        <w:t> :</w:t>
      </w:r>
      <w:r w:rsidR="00F101FD" w:rsidRPr="00C85F0F">
        <w:rPr>
          <w:rFonts w:hint="cs"/>
          <w:rtl/>
        </w:rPr>
        <w:br/>
      </w:r>
      <w:r>
        <w:rPr>
          <w:rFonts w:hint="cs"/>
          <w:rtl/>
        </w:rPr>
        <w:t xml:space="preserve">          </w:t>
      </w:r>
      <w:r w:rsidR="0095241C">
        <w:rPr>
          <w:rFonts w:hint="cs"/>
          <w:rtl/>
        </w:rPr>
        <w:t xml:space="preserve">                               </w:t>
      </w:r>
      <w:r w:rsidR="00F101FD" w:rsidRPr="00C85F0F">
        <w:rPr>
          <w:rFonts w:hint="cs"/>
          <w:rtl/>
        </w:rPr>
        <w:t>شرح القاعدة</w:t>
      </w:r>
      <w:bookmarkEnd w:id="378"/>
    </w:p>
    <w:p w:rsidR="006E5B27" w:rsidRPr="001A744D" w:rsidRDefault="00065E4B" w:rsidP="00597C20">
      <w:pPr>
        <w:pStyle w:val="53"/>
        <w:rPr>
          <w:rtl/>
        </w:rPr>
      </w:pPr>
      <w:r w:rsidRPr="001A744D">
        <w:rPr>
          <w:rFonts w:hint="cs"/>
          <w:rtl/>
        </w:rPr>
        <w:t>ت</w:t>
      </w:r>
      <w:r w:rsidR="00F101FD" w:rsidRPr="001A744D">
        <w:rPr>
          <w:rFonts w:hint="cs"/>
          <w:rtl/>
        </w:rPr>
        <w:t>تبعض</w:t>
      </w:r>
      <w:r w:rsidR="00AB0B9E">
        <w:rPr>
          <w:rtl/>
        </w:rPr>
        <w:fldChar w:fldCharType="begin"/>
      </w:r>
      <w:r w:rsidR="00F967A6">
        <w:instrText xml:space="preserve"> XE "</w:instrText>
      </w:r>
      <w:r w:rsidR="00F967A6" w:rsidRPr="00F967A6">
        <w:rPr>
          <w:rFonts w:hint="cs"/>
          <w:b w:val="0"/>
          <w:bCs w:val="0"/>
          <w:rtl/>
        </w:rPr>
        <w:instrText>تتبعض</w:instrText>
      </w:r>
      <w:r w:rsidR="00F967A6">
        <w:instrText xml:space="preserve">" </w:instrText>
      </w:r>
      <w:r w:rsidR="00F967A6" w:rsidRPr="00F967A6">
        <w:instrText xml:space="preserve">\fm </w:instrText>
      </w:r>
      <w:r w:rsidR="00AB0B9E">
        <w:rPr>
          <w:rtl/>
        </w:rPr>
        <w:fldChar w:fldCharType="end"/>
      </w:r>
      <w:r w:rsidR="00F101FD" w:rsidRPr="001A744D">
        <w:rPr>
          <w:rFonts w:hint="cs"/>
          <w:rtl/>
        </w:rPr>
        <w:t xml:space="preserve"> لغة:</w:t>
      </w:r>
    </w:p>
    <w:p w:rsidR="00065E4B" w:rsidRPr="00C85F0F" w:rsidRDefault="00F101FD" w:rsidP="00597C20">
      <w:pPr>
        <w:ind w:firstLine="720"/>
        <w:rPr>
          <w:color w:val="auto"/>
          <w:rtl/>
        </w:rPr>
      </w:pPr>
      <w:r w:rsidRPr="00C85F0F">
        <w:rPr>
          <w:rFonts w:hint="cs"/>
          <w:color w:val="auto"/>
          <w:rtl/>
        </w:rPr>
        <w:t xml:space="preserve">قال </w:t>
      </w:r>
      <w:r w:rsidR="004C48C2">
        <w:rPr>
          <w:rFonts w:hint="cs"/>
          <w:color w:val="auto"/>
          <w:rtl/>
        </w:rPr>
        <w:t xml:space="preserve"> </w:t>
      </w:r>
      <w:r w:rsidRPr="00C85F0F">
        <w:rPr>
          <w:rFonts w:hint="cs"/>
          <w:color w:val="auto"/>
          <w:rtl/>
        </w:rPr>
        <w:t xml:space="preserve">ابن فارس </w:t>
      </w:r>
      <w:r w:rsidR="004C48C2">
        <w:rPr>
          <w:rFonts w:hint="cs"/>
          <w:color w:val="auto"/>
          <w:rtl/>
        </w:rPr>
        <w:t>_</w:t>
      </w:r>
      <w:r w:rsidR="009A0575" w:rsidRPr="005D5694">
        <w:rPr>
          <w:rFonts w:ascii="Traditional Arabic" w:hAnsi="Traditional Arabic" w:cs="CTraditional Arabic" w:hint="cs"/>
          <w:rtl/>
        </w:rPr>
        <w:t>/</w:t>
      </w:r>
      <w:r w:rsidR="004C48C2">
        <w:rPr>
          <w:rFonts w:hint="cs"/>
          <w:color w:val="auto"/>
          <w:rtl/>
        </w:rPr>
        <w:t>_</w:t>
      </w:r>
      <w:r w:rsidRPr="00C85F0F">
        <w:rPr>
          <w:rFonts w:hint="cs"/>
          <w:color w:val="auto"/>
          <w:rtl/>
        </w:rPr>
        <w:t>: (</w:t>
      </w:r>
      <w:r w:rsidRPr="00C85F0F">
        <w:rPr>
          <w:rFonts w:ascii="Traditional Arabic" w:hAnsi="Traditional Arabic"/>
          <w:noProof w:val="0"/>
          <w:color w:val="auto"/>
          <w:rtl/>
          <w:lang w:eastAsia="en-US"/>
        </w:rPr>
        <w:t>الباء والعين والضاد أصل واحد، وهو تجزئة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للشيء..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وبع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ضت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الشيء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تبعيضا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إذا فر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أجزاء</w:t>
      </w:r>
      <w:r w:rsidRPr="00C85F0F">
        <w:rPr>
          <w:rFonts w:ascii="Traditional Arabic" w:hAnsi="Traditional Arabic" w:hint="cs"/>
          <w:noProof w:val="0"/>
          <w:color w:val="auto"/>
          <w:rtl/>
          <w:lang w:eastAsia="en-US"/>
        </w:rPr>
        <w:t>ً)</w:t>
      </w:r>
      <w:r w:rsidRPr="00C85F0F">
        <w:rPr>
          <w:rStyle w:val="af1"/>
          <w:szCs w:val="32"/>
          <w:rtl/>
        </w:rPr>
        <w:t>(</w:t>
      </w:r>
      <w:r w:rsidRPr="00C85F0F">
        <w:rPr>
          <w:rStyle w:val="af1"/>
          <w:szCs w:val="32"/>
          <w:rtl/>
        </w:rPr>
        <w:footnoteReference w:id="1802"/>
      </w:r>
      <w:r w:rsidRPr="00C85F0F">
        <w:rPr>
          <w:rStyle w:val="af1"/>
          <w:szCs w:val="32"/>
          <w:rtl/>
        </w:rPr>
        <w:t>)</w:t>
      </w:r>
      <w:r w:rsidRPr="00C85F0F">
        <w:rPr>
          <w:rFonts w:ascii="Traditional Arabic" w:hAnsi="Traditional Arabic"/>
          <w:noProof w:val="0"/>
          <w:color w:val="auto"/>
          <w:rtl/>
          <w:lang w:eastAsia="en-US"/>
        </w:rPr>
        <w:t>.</w:t>
      </w:r>
    </w:p>
    <w:p w:rsidR="00065E4B" w:rsidRPr="001A744D" w:rsidRDefault="00065E4B" w:rsidP="00597C20">
      <w:pPr>
        <w:pStyle w:val="53"/>
        <w:rPr>
          <w:rtl/>
        </w:rPr>
      </w:pPr>
      <w:r w:rsidRPr="001A744D">
        <w:rPr>
          <w:rFonts w:hint="cs"/>
          <w:rtl/>
        </w:rPr>
        <w:t>م</w:t>
      </w:r>
      <w:r w:rsidR="00F101FD" w:rsidRPr="001A744D">
        <w:rPr>
          <w:rFonts w:hint="cs"/>
          <w:rtl/>
        </w:rPr>
        <w:t>عنى القاعدة إجمالا:</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ه</w:t>
      </w:r>
      <w:r w:rsidR="00F101FD" w:rsidRPr="00C85F0F">
        <w:rPr>
          <w:rFonts w:ascii="Traditional Arabic" w:hAnsi="Traditional Arabic"/>
          <w:noProof w:val="0"/>
          <w:rtl/>
          <w:lang w:eastAsia="en-US"/>
        </w:rPr>
        <w:t>ذه قاعدة فقهية مفيدة ن</w:t>
      </w:r>
      <w:r w:rsidR="00F101FD" w:rsidRPr="00C85F0F">
        <w:rPr>
          <w:rFonts w:ascii="Traditional Arabic" w:hAnsi="Traditional Arabic" w:hint="cs"/>
          <w:noProof w:val="0"/>
          <w:rtl/>
          <w:lang w:eastAsia="en-US"/>
        </w:rPr>
        <w:t>ا</w:t>
      </w:r>
      <w:r w:rsidR="00F101FD" w:rsidRPr="00C85F0F">
        <w:rPr>
          <w:rFonts w:ascii="Traditional Arabic" w:hAnsi="Traditional Arabic"/>
          <w:noProof w:val="0"/>
          <w:rtl/>
          <w:lang w:eastAsia="en-US"/>
        </w:rPr>
        <w:t>فع</w:t>
      </w:r>
      <w:r w:rsidR="00F101FD" w:rsidRPr="00C85F0F">
        <w:rPr>
          <w:rFonts w:ascii="Traditional Arabic" w:hAnsi="Traditional Arabic" w:hint="cs"/>
          <w:noProof w:val="0"/>
          <w:rtl/>
          <w:lang w:eastAsia="en-US"/>
        </w:rPr>
        <w:t>ة</w:t>
      </w:r>
      <w:r w:rsidR="00F101FD" w:rsidRPr="00C85F0F">
        <w:rPr>
          <w:rFonts w:ascii="Traditional Arabic" w:hAnsi="Traditional Arabic"/>
          <w:noProof w:val="0"/>
          <w:rtl/>
          <w:lang w:eastAsia="en-US"/>
        </w:rPr>
        <w:t xml:space="preserve"> في مسائل عديدة، </w:t>
      </w:r>
      <w:r w:rsidR="00F101FD" w:rsidRPr="00C85F0F">
        <w:rPr>
          <w:rFonts w:ascii="Traditional Arabic" w:hAnsi="Traditional Arabic" w:hint="cs"/>
          <w:noProof w:val="0"/>
          <w:rtl/>
          <w:lang w:eastAsia="en-US"/>
        </w:rPr>
        <w:t>و</w:t>
      </w:r>
      <w:r w:rsidR="00F101FD" w:rsidRPr="00C85F0F">
        <w:rPr>
          <w:rFonts w:ascii="Traditional Arabic" w:hAnsi="Traditional Arabic"/>
          <w:noProof w:val="0"/>
          <w:rtl/>
          <w:lang w:eastAsia="en-US"/>
        </w:rPr>
        <w:t>معن</w:t>
      </w:r>
      <w:r w:rsidR="00F101FD" w:rsidRPr="00C85F0F">
        <w:rPr>
          <w:rFonts w:ascii="Traditional Arabic" w:hAnsi="Traditional Arabic" w:hint="cs"/>
          <w:noProof w:val="0"/>
          <w:rtl/>
          <w:lang w:eastAsia="en-US"/>
        </w:rPr>
        <w:t>اها</w:t>
      </w:r>
      <w:r w:rsidR="00F101FD" w:rsidRPr="00C85F0F">
        <w:rPr>
          <w:rFonts w:ascii="Traditional Arabic" w:hAnsi="Traditional Arabic"/>
          <w:noProof w:val="0"/>
          <w:rtl/>
          <w:lang w:eastAsia="en-US"/>
        </w:rPr>
        <w:t xml:space="preserve"> أنه إذا و</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جد ما ي</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ثبت أحد</w:t>
      </w:r>
      <w:r w:rsidR="00F101FD" w:rsidRPr="00C85F0F">
        <w:rPr>
          <w:rFonts w:ascii="Traditional Arabic" w:hAnsi="Traditional Arabic" w:hint="cs"/>
          <w:noProof w:val="0"/>
          <w:rtl/>
          <w:lang w:eastAsia="en-US"/>
        </w:rPr>
        <w:t>َ الأحكام</w:t>
      </w:r>
      <w:r w:rsidR="00F101FD" w:rsidRPr="00C85F0F">
        <w:rPr>
          <w:rFonts w:ascii="Traditional Arabic" w:hAnsi="Traditional Arabic"/>
          <w:noProof w:val="0"/>
          <w:rtl/>
          <w:lang w:eastAsia="en-US"/>
        </w:rPr>
        <w:t xml:space="preserve"> من وجه</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 xml:space="preserve"> دون الآخ</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ر، ح</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كمنا بالوجه الثابت وت</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ر</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ك</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نا الوجه الذي لم يثب</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ت</w:t>
      </w:r>
      <w:r w:rsidR="00F101FD" w:rsidRPr="00C85F0F">
        <w:rPr>
          <w:rFonts w:ascii="Traditional Arabic" w:hAnsi="Traditional Arabic" w:hint="cs"/>
          <w:noProof w:val="0"/>
          <w:rtl/>
          <w:lang w:eastAsia="en-US"/>
        </w:rPr>
        <w:t>.</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ن</w:t>
      </w:r>
      <w:r w:rsidR="00F101FD" w:rsidRPr="00C85F0F">
        <w:rPr>
          <w:rFonts w:ascii="Traditional Arabic" w:hAnsi="Traditional Arabic"/>
          <w:noProof w:val="0"/>
          <w:rtl/>
          <w:lang w:eastAsia="en-US"/>
        </w:rPr>
        <w:t>ظير</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 xml:space="preserve"> ذلك رجل ادعى على آخر أنه سرق منه مالا من بيته</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 xml:space="preserve"> وأتى بشاهد على ذلك</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 xml:space="preserve"> رجل</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 xml:space="preserve"> وامرأتين، فهذه الصورة تضمنت ح</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كمين</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 xml:space="preserve"> ضمان المال، وقطع اليد</w:t>
      </w:r>
      <w:r w:rsidR="00F101FD" w:rsidRPr="00C85F0F">
        <w:rPr>
          <w:rFonts w:ascii="Traditional Arabic" w:hAnsi="Traditional Arabic" w:hint="cs"/>
          <w:noProof w:val="0"/>
          <w:rtl/>
          <w:lang w:eastAsia="en-US"/>
        </w:rPr>
        <w:t>، و</w:t>
      </w:r>
      <w:r w:rsidR="00F101FD" w:rsidRPr="00C85F0F">
        <w:rPr>
          <w:rFonts w:ascii="Traditional Arabic" w:hAnsi="Traditional Arabic"/>
          <w:noProof w:val="0"/>
          <w:rtl/>
          <w:lang w:eastAsia="en-US"/>
        </w:rPr>
        <w:t>الحد لا يثب</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ت برجل وامرأتين، وإنما يثبت بشهادة رجلين، والمال يثبت بشهادة رجل وامرأتين، ففي هذه الحال نقول: ي</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ضمن السارق المال ولا ت</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قطع يده، فهذه صورة واحدة تضمنت حكمين مختلفين لوجود مقتضي أحد</w:t>
      </w:r>
      <w:r w:rsidR="00F101FD" w:rsidRPr="00C85F0F">
        <w:rPr>
          <w:rFonts w:ascii="Traditional Arabic" w:hAnsi="Traditional Arabic" w:hint="cs"/>
          <w:noProof w:val="0"/>
          <w:rtl/>
          <w:lang w:eastAsia="en-US"/>
        </w:rPr>
        <w:t>ِ</w:t>
      </w:r>
      <w:r w:rsidR="00F101FD" w:rsidRPr="00C85F0F">
        <w:rPr>
          <w:rFonts w:ascii="Traditional Arabic" w:hAnsi="Traditional Arabic"/>
          <w:noProof w:val="0"/>
          <w:rtl/>
          <w:lang w:eastAsia="en-US"/>
        </w:rPr>
        <w:t>هما دون الآخر، فتتبعض الأحكام</w:t>
      </w:r>
      <w:r w:rsidR="00F101FD" w:rsidRPr="00C85F0F">
        <w:rPr>
          <w:rFonts w:ascii="Traditional Arabic" w:hAnsi="Traditional Arabic" w:hint="cs"/>
          <w:noProof w:val="0"/>
          <w:rtl/>
          <w:lang w:eastAsia="en-US"/>
        </w:rPr>
        <w:t xml:space="preserve"> لاختلاف أسبابها</w:t>
      </w:r>
      <w:r w:rsidR="00F101FD" w:rsidRPr="00C85F0F">
        <w:rPr>
          <w:rStyle w:val="af1"/>
          <w:szCs w:val="32"/>
          <w:rtl/>
        </w:rPr>
        <w:t>(</w:t>
      </w:r>
      <w:r w:rsidR="00F101FD" w:rsidRPr="00C85F0F">
        <w:rPr>
          <w:rStyle w:val="af1"/>
          <w:szCs w:val="32"/>
          <w:rtl/>
        </w:rPr>
        <w:footnoteReference w:id="1803"/>
      </w:r>
      <w:r w:rsidR="00F101FD" w:rsidRPr="00C85F0F">
        <w:rPr>
          <w:rStyle w:val="af1"/>
          <w:szCs w:val="32"/>
          <w:rtl/>
        </w:rPr>
        <w:t>)</w:t>
      </w:r>
      <w:r w:rsidR="00F101FD" w:rsidRPr="00C85F0F">
        <w:rPr>
          <w:rFonts w:ascii="Traditional Arabic" w:hAnsi="Traditional Arabic"/>
          <w:noProof w:val="0"/>
          <w:rtl/>
          <w:lang w:eastAsia="en-US"/>
        </w:rPr>
        <w:t>.</w:t>
      </w:r>
    </w:p>
    <w:p w:rsidR="00F228A9"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و</w:t>
      </w:r>
      <w:r w:rsidR="00F101FD" w:rsidRPr="00C85F0F">
        <w:rPr>
          <w:rFonts w:ascii="Traditional Arabic" w:hAnsi="Traditional Arabic" w:hint="cs"/>
          <w:noProof w:val="0"/>
          <w:rtl/>
          <w:lang w:eastAsia="en-US"/>
        </w:rPr>
        <w:t>من أمثلة ذلك أيضا: مسائل تفريق الصَّفْقَة</w:t>
      </w:r>
      <w:r w:rsidR="00F101FD" w:rsidRPr="00C85F0F">
        <w:rPr>
          <w:rStyle w:val="af1"/>
          <w:szCs w:val="32"/>
          <w:rtl/>
        </w:rPr>
        <w:t>(</w:t>
      </w:r>
      <w:r w:rsidR="00F101FD" w:rsidRPr="00C85F0F">
        <w:rPr>
          <w:rStyle w:val="af1"/>
          <w:szCs w:val="32"/>
          <w:rtl/>
        </w:rPr>
        <w:footnoteReference w:id="1804"/>
      </w:r>
      <w:r w:rsidR="00F101FD" w:rsidRPr="00C85F0F">
        <w:rPr>
          <w:rStyle w:val="af1"/>
          <w:szCs w:val="32"/>
          <w:rtl/>
        </w:rPr>
        <w:t>)</w:t>
      </w:r>
      <w:r w:rsidR="00F101FD" w:rsidRPr="00C85F0F">
        <w:rPr>
          <w:rStyle w:val="af1"/>
          <w:rFonts w:hint="cs"/>
          <w:vertAlign w:val="baseline"/>
          <w:rtl/>
        </w:rPr>
        <w:t>، في البيوع والإجارات والشرِكات والتبرُّعات وغيرها من العقود، إذا جَمع العقدُ بين مباح ومحرم، أو بين ما يملك العقدَ عليه وما لا يملك، صحَّ في المباح وما يملك العقدَ عليه، وبطل وفي الآخر</w:t>
      </w:r>
      <w:r w:rsidR="00F101FD" w:rsidRPr="00C85F0F">
        <w:rPr>
          <w:rStyle w:val="af1"/>
          <w:szCs w:val="32"/>
          <w:rtl/>
        </w:rPr>
        <w:t>(</w:t>
      </w:r>
      <w:r w:rsidR="00F101FD" w:rsidRPr="00C85F0F">
        <w:rPr>
          <w:rStyle w:val="af1"/>
          <w:szCs w:val="32"/>
          <w:rtl/>
        </w:rPr>
        <w:footnoteReference w:id="1805"/>
      </w:r>
      <w:r w:rsidR="00F101FD" w:rsidRPr="00C85F0F">
        <w:rPr>
          <w:rStyle w:val="af1"/>
          <w:szCs w:val="32"/>
          <w:rtl/>
        </w:rPr>
        <w:t>)</w:t>
      </w:r>
      <w:r w:rsidR="00F101FD" w:rsidRPr="00C85F0F">
        <w:rPr>
          <w:rStyle w:val="af1"/>
          <w:rFonts w:hint="cs"/>
          <w:vertAlign w:val="baseline"/>
          <w:rtl/>
        </w:rPr>
        <w:t>.</w:t>
      </w:r>
    </w:p>
    <w:p w:rsidR="00F101FD" w:rsidRPr="00C85F0F" w:rsidRDefault="001873E8" w:rsidP="00A8347C">
      <w:pPr>
        <w:pStyle w:val="aff3"/>
        <w:rPr>
          <w:rtl/>
        </w:rPr>
      </w:pPr>
      <w:bookmarkStart w:id="379" w:name="_Toc334046577"/>
      <w:r>
        <w:rPr>
          <w:rFonts w:hint="cs"/>
          <w:rtl/>
        </w:rPr>
        <w:lastRenderedPageBreak/>
        <w:t xml:space="preserve">                                        المطلب</w:t>
      </w:r>
      <w:r w:rsidR="003E06B0">
        <w:rPr>
          <w:rFonts w:hint="cs"/>
          <w:rtl/>
        </w:rPr>
        <w:t xml:space="preserve"> </w:t>
      </w:r>
      <w:r w:rsidR="00F101FD" w:rsidRPr="00C85F0F">
        <w:rPr>
          <w:rFonts w:hint="cs"/>
          <w:rtl/>
        </w:rPr>
        <w:t>الثالث</w:t>
      </w:r>
      <w:r w:rsidR="00F101FD" w:rsidRPr="00C85F0F">
        <w:rPr>
          <w:rFonts w:hint="eastAsia"/>
          <w:rtl/>
        </w:rPr>
        <w:t> :</w:t>
      </w:r>
      <w:r w:rsidR="00F101FD" w:rsidRPr="00C85F0F">
        <w:rPr>
          <w:rFonts w:hint="cs"/>
          <w:rtl/>
        </w:rPr>
        <w:br/>
      </w:r>
      <w:r>
        <w:rPr>
          <w:rFonts w:hint="cs"/>
          <w:rtl/>
        </w:rPr>
        <w:t xml:space="preserve">           </w:t>
      </w:r>
      <w:r w:rsidR="00B714D0">
        <w:rPr>
          <w:rFonts w:hint="cs"/>
          <w:rtl/>
        </w:rPr>
        <w:t xml:space="preserve">                              </w:t>
      </w:r>
      <w:r w:rsidR="00F101FD" w:rsidRPr="00C85F0F">
        <w:rPr>
          <w:rFonts w:hint="cs"/>
          <w:rtl/>
        </w:rPr>
        <w:t>أدلة القاعدة</w:t>
      </w:r>
      <w:bookmarkEnd w:id="379"/>
    </w:p>
    <w:p w:rsidR="00F228A9" w:rsidRDefault="00F101FD" w:rsidP="000A76C7">
      <w:pPr>
        <w:pStyle w:val="afc"/>
        <w:widowControl/>
        <w:numPr>
          <w:ilvl w:val="0"/>
          <w:numId w:val="248"/>
        </w:numPr>
        <w:autoSpaceDE w:val="0"/>
        <w:autoSpaceDN w:val="0"/>
        <w:adjustRightInd w:val="0"/>
        <w:rPr>
          <w:rFonts w:ascii="Traditional Arabic" w:hAnsi="Traditional Arabic"/>
          <w:noProof w:val="0"/>
          <w:lang w:eastAsia="en-US"/>
        </w:rPr>
      </w:pPr>
      <w:r w:rsidRPr="00C85F0F">
        <w:rPr>
          <w:rFonts w:ascii="Traditional Arabic" w:hAnsi="Traditional Arabic" w:hint="cs"/>
          <w:noProof w:val="0"/>
          <w:rtl/>
          <w:lang w:eastAsia="en-US"/>
        </w:rPr>
        <w:t xml:space="preserve">حديث عائشة </w:t>
      </w:r>
      <w:r w:rsidR="00154102" w:rsidRPr="00C85F0F">
        <w:rPr>
          <w:rFonts w:ascii="Traditional Arabic" w:hAnsi="Traditional Arabic" w:hint="cs"/>
          <w:noProof w:val="0"/>
          <w:color w:val="auto"/>
          <w:rtl/>
          <w:lang w:eastAsia="en-US"/>
        </w:rPr>
        <w:t>ل</w:t>
      </w:r>
      <w:r w:rsidRPr="00C85F0F">
        <w:rPr>
          <w:rFonts w:ascii="Traditional Arabic" w:hAnsi="Traditional Arabic"/>
          <w:noProof w:val="0"/>
          <w:color w:val="auto"/>
          <w:rtl/>
          <w:lang w:eastAsia="en-US"/>
        </w:rPr>
        <w:t>أنها قالت اختصم سعد بن أبي وقاص وعبد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بن ز</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ة في غ</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لام</w:t>
      </w:r>
      <w:r w:rsidRPr="00C85F0F">
        <w:rPr>
          <w:rFonts w:ascii="Traditional Arabic" w:hAnsi="Traditional Arabic" w:hint="cs"/>
          <w:noProof w:val="0"/>
          <w:color w:val="auto"/>
          <w:rtl/>
          <w:lang w:eastAsia="en-US"/>
        </w:rPr>
        <w:t>ٍ</w:t>
      </w:r>
      <w:r w:rsidRPr="00C85F0F">
        <w:rPr>
          <w:rStyle w:val="af1"/>
          <w:szCs w:val="32"/>
          <w:rtl/>
        </w:rPr>
        <w:t>(</w:t>
      </w:r>
      <w:r w:rsidRPr="00C85F0F">
        <w:rPr>
          <w:rStyle w:val="af1"/>
          <w:szCs w:val="32"/>
          <w:rtl/>
        </w:rPr>
        <w:footnoteReference w:id="1806"/>
      </w:r>
      <w:r w:rsidRPr="00C85F0F">
        <w:rPr>
          <w:rStyle w:val="af1"/>
          <w:szCs w:val="32"/>
          <w:rtl/>
        </w:rPr>
        <w:t>)</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فقال سعد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هذا يا رسول الله ابن أخي 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تبة بن أبي وقاص</w:t>
      </w:r>
      <w:r w:rsidRPr="00C85F0F">
        <w:rPr>
          <w:rStyle w:val="af1"/>
          <w:szCs w:val="32"/>
          <w:rtl/>
        </w:rPr>
        <w:t>(</w:t>
      </w:r>
      <w:r w:rsidRPr="00C85F0F">
        <w:rPr>
          <w:rStyle w:val="af1"/>
          <w:szCs w:val="32"/>
          <w:rtl/>
        </w:rPr>
        <w:footnoteReference w:id="1807"/>
      </w:r>
      <w:r w:rsidRPr="00C85F0F">
        <w:rPr>
          <w:rStyle w:val="af1"/>
          <w:szCs w:val="32"/>
          <w:rtl/>
        </w:rPr>
        <w:t>)</w:t>
      </w:r>
      <w:r w:rsidRPr="00C85F0F">
        <w:rPr>
          <w:rFonts w:ascii="Traditional Arabic" w:hAnsi="Traditional Arabic"/>
          <w:noProof w:val="0"/>
          <w:color w:val="auto"/>
          <w:rtl/>
          <w:lang w:eastAsia="en-US"/>
        </w:rPr>
        <w:t xml:space="preserve"> 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إلي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أنه ابن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انظر إلى ش</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وقال عبد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بن ز</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ة</w:t>
      </w:r>
      <w:r w:rsidRPr="00C85F0F">
        <w:rPr>
          <w:rStyle w:val="af1"/>
          <w:szCs w:val="32"/>
          <w:rtl/>
        </w:rPr>
        <w:t>(</w:t>
      </w:r>
      <w:r w:rsidRPr="00C85F0F">
        <w:rPr>
          <w:rStyle w:val="af1"/>
          <w:szCs w:val="32"/>
          <w:rtl/>
        </w:rPr>
        <w:footnoteReference w:id="1808"/>
      </w:r>
      <w:r w:rsidRPr="00C85F0F">
        <w:rPr>
          <w:rStyle w:val="af1"/>
          <w:szCs w:val="32"/>
          <w:rtl/>
        </w:rPr>
        <w:t>)</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هذا أخي يا رسول الله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لد على فراش أبي من 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يدته</w:t>
      </w:r>
      <w:r w:rsidRPr="00C85F0F">
        <w:rPr>
          <w:rStyle w:val="af1"/>
          <w:szCs w:val="32"/>
          <w:rtl/>
        </w:rPr>
        <w:t>(</w:t>
      </w:r>
      <w:r w:rsidRPr="00C85F0F">
        <w:rPr>
          <w:rStyle w:val="af1"/>
          <w:szCs w:val="32"/>
          <w:rtl/>
        </w:rPr>
        <w:footnoteReference w:id="1809"/>
      </w:r>
      <w:r w:rsidRPr="00C85F0F">
        <w:rPr>
          <w:rStyle w:val="af1"/>
          <w:szCs w:val="32"/>
          <w:rtl/>
        </w:rPr>
        <w:t>)</w:t>
      </w:r>
      <w:r w:rsidRPr="00C85F0F">
        <w:rPr>
          <w:rFonts w:ascii="Traditional Arabic" w:hAnsi="Traditional Arabic" w:hint="cs"/>
          <w:noProof w:val="0"/>
          <w:color w:val="auto"/>
          <w:rtl/>
          <w:lang w:eastAsia="en-US"/>
        </w:rPr>
        <w:t>،</w:t>
      </w:r>
      <w:r w:rsidR="001873E8">
        <w:rPr>
          <w:rFonts w:ascii="Traditional Arabic" w:hAnsi="Traditional Arabic"/>
          <w:noProof w:val="0"/>
          <w:color w:val="auto"/>
          <w:rtl/>
          <w:lang w:eastAsia="en-US"/>
        </w:rPr>
        <w:t xml:space="preserve"> فنظر رسول الله</w:t>
      </w:r>
      <w:r w:rsidR="001873E8">
        <w:rPr>
          <w:rFonts w:ascii="Traditional Arabic" w:hAnsi="Traditional Arabic" w:hint="cs"/>
          <w:noProof w:val="0"/>
          <w:color w:val="auto"/>
          <w:rtl/>
          <w:lang w:eastAsia="en-US"/>
        </w:rPr>
        <w:t xml:space="preserve"> صلى الله عليه وسلم</w:t>
      </w:r>
      <w:r w:rsidRPr="00C85F0F">
        <w:rPr>
          <w:rFonts w:ascii="Traditional Arabic" w:hAnsi="Traditional Arabic"/>
          <w:noProof w:val="0"/>
          <w:color w:val="auto"/>
          <w:rtl/>
          <w:lang w:eastAsia="en-US"/>
        </w:rPr>
        <w:t xml:space="preserve"> إلى شبهه فرأى شبها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تبة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w:t>
      </w:r>
      <w:r w:rsidRPr="00C85F0F">
        <w:rPr>
          <w:rFonts w:ascii="Traditional Arabic" w:hAnsi="Traditional Arabic"/>
          <w:noProof w:val="0"/>
          <w:color w:val="auto"/>
          <w:rtl/>
          <w:lang w:eastAsia="en-US"/>
        </w:rPr>
        <w:lastRenderedPageBreak/>
        <w:t>فقال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هو لك يا عبد</w:t>
      </w:r>
      <w:r w:rsidRPr="00C85F0F">
        <w:rPr>
          <w:rFonts w:ascii="Traditional Arabic" w:hAnsi="Traditional Arabic" w:hint="cs"/>
          <w:noProof w:val="0"/>
          <w:color w:val="auto"/>
          <w:rtl/>
          <w:lang w:eastAsia="en-US"/>
        </w:rPr>
        <w:t xml:space="preserve">بن زمعة، </w:t>
      </w:r>
      <w:r w:rsidR="00AB0B9E" w:rsidRPr="00C85F0F">
        <w:rPr>
          <w:rFonts w:ascii="Traditional Arabic" w:hAnsi="Traditional Arabic"/>
          <w:noProof w:val="0"/>
          <w:color w:val="auto"/>
          <w:lang w:eastAsia="en-US"/>
        </w:rPr>
        <w:fldChar w:fldCharType="begin"/>
      </w:r>
      <w:r w:rsidR="00E35B26" w:rsidRPr="00C85F0F">
        <w:instrText>XE</w:instrText>
      </w:r>
      <w:r w:rsidR="00E35B26" w:rsidRPr="00C85F0F">
        <w:rPr>
          <w:rtl/>
        </w:rPr>
        <w:instrText xml:space="preserve"> "</w:instrText>
      </w:r>
      <w:r w:rsidR="00E35B26" w:rsidRPr="00C85F0F">
        <w:rPr>
          <w:rFonts w:ascii="Traditional Arabic" w:hAnsi="Traditional Arabic" w:hint="cs"/>
          <w:noProof w:val="0"/>
          <w:color w:val="auto"/>
          <w:rtl/>
          <w:lang w:eastAsia="en-US"/>
        </w:rPr>
        <w:instrText>الولد للفِراش وللعاهِر الحَجَر،</w:instrText>
      </w:r>
      <w:r w:rsidR="00E35B26" w:rsidRPr="00C85F0F">
        <w:rPr>
          <w:rtl/>
        </w:rPr>
        <w:instrText>" \</w:instrText>
      </w:r>
      <w:r w:rsidR="00E35B26" w:rsidRPr="00C85F0F">
        <w:instrText>fh</w:instrText>
      </w:r>
      <w:r w:rsidR="00AB0B9E" w:rsidRPr="00C85F0F">
        <w:rPr>
          <w:rFonts w:ascii="Traditional Arabic" w:hAnsi="Traditional Arabic"/>
          <w:noProof w:val="0"/>
          <w:color w:val="auto"/>
          <w:lang w:eastAsia="en-US"/>
        </w:rPr>
        <w:fldChar w:fldCharType="end"/>
      </w:r>
      <w:r>
        <w:rPr>
          <w:rFonts w:ascii="Traditional Arabic" w:hAnsi="Traditional Arabic" w:hint="cs"/>
          <w:noProof w:val="0"/>
          <w:color w:val="auto"/>
          <w:rtl/>
          <w:lang w:eastAsia="en-US"/>
        </w:rPr>
        <w:t>الولد للفِراش وللعاهِر</w:t>
      </w:r>
      <w:r w:rsidRPr="00C821A1">
        <w:rPr>
          <w:rStyle w:val="af1"/>
          <w:szCs w:val="32"/>
          <w:rtl/>
        </w:rPr>
        <w:t>(</w:t>
      </w:r>
      <w:r w:rsidRPr="00C821A1">
        <w:rPr>
          <w:rStyle w:val="af1"/>
          <w:szCs w:val="32"/>
          <w:rtl/>
        </w:rPr>
        <w:footnoteReference w:id="1810"/>
      </w:r>
      <w:r w:rsidRPr="00C821A1">
        <w:rPr>
          <w:rStyle w:val="af1"/>
          <w:szCs w:val="32"/>
          <w:rtl/>
        </w:rPr>
        <w:t>)</w:t>
      </w:r>
      <w:r>
        <w:rPr>
          <w:rFonts w:ascii="Traditional Arabic" w:hAnsi="Traditional Arabic" w:hint="cs"/>
          <w:noProof w:val="0"/>
          <w:color w:val="auto"/>
          <w:rtl/>
          <w:lang w:eastAsia="en-US"/>
        </w:rPr>
        <w:t xml:space="preserve"> الحَجَر</w:t>
      </w:r>
      <w:r w:rsidRPr="00C821A1">
        <w:rPr>
          <w:rStyle w:val="af1"/>
          <w:szCs w:val="32"/>
          <w:rtl/>
        </w:rPr>
        <w:t>(</w:t>
      </w:r>
      <w:r w:rsidRPr="00C821A1">
        <w:rPr>
          <w:rStyle w:val="af1"/>
          <w:szCs w:val="32"/>
          <w:rtl/>
        </w:rPr>
        <w:footnoteReference w:id="1811"/>
      </w:r>
      <w:r w:rsidRPr="00C821A1">
        <w:rPr>
          <w:rStyle w:val="af1"/>
          <w:szCs w:val="32"/>
          <w:rtl/>
        </w:rPr>
        <w:t>)</w:t>
      </w:r>
      <w:r>
        <w:rPr>
          <w:rFonts w:ascii="Traditional Arabic" w:hAnsi="Traditional Arabic" w:hint="cs"/>
          <w:noProof w:val="0"/>
          <w:color w:val="auto"/>
          <w:rtl/>
          <w:lang w:eastAsia="en-US"/>
        </w:rPr>
        <w:t>،واحتجبي منه يا سَودةُ بنتَ زمعة</w:t>
      </w:r>
      <w:r w:rsidRPr="00C821A1">
        <w:rPr>
          <w:rStyle w:val="af1"/>
          <w:szCs w:val="32"/>
          <w:rtl/>
        </w:rPr>
        <w:t>(</w:t>
      </w:r>
      <w:r w:rsidRPr="00C821A1">
        <w:rPr>
          <w:rStyle w:val="af1"/>
          <w:szCs w:val="32"/>
          <w:rtl/>
        </w:rPr>
        <w:footnoteReference w:id="1812"/>
      </w:r>
      <w:r w:rsidRPr="00C821A1">
        <w:rPr>
          <w:rStyle w:val="af1"/>
          <w:szCs w:val="32"/>
          <w:rtl/>
        </w:rPr>
        <w:t>)</w:t>
      </w:r>
      <w:r>
        <w:rPr>
          <w:rFonts w:ascii="Traditional Arabic" w:hAnsi="Traditional Arabic" w:hint="cs"/>
          <w:noProof w:val="0"/>
          <w:color w:val="auto"/>
          <w:rtl/>
          <w:lang w:eastAsia="en-US"/>
        </w:rPr>
        <w:t>، فلم تَرَهُ سودةُ قط"</w:t>
      </w:r>
      <w:r w:rsidRPr="00C821A1">
        <w:rPr>
          <w:rStyle w:val="af1"/>
          <w:szCs w:val="32"/>
          <w:rtl/>
        </w:rPr>
        <w:t>(</w:t>
      </w:r>
      <w:r w:rsidRPr="00C821A1">
        <w:rPr>
          <w:rStyle w:val="af1"/>
          <w:szCs w:val="32"/>
          <w:rtl/>
        </w:rPr>
        <w:footnoteReference w:id="1813"/>
      </w:r>
      <w:r w:rsidRPr="00C821A1">
        <w:rPr>
          <w:rStyle w:val="af1"/>
          <w:szCs w:val="32"/>
          <w:rtl/>
        </w:rPr>
        <w:t>)</w:t>
      </w:r>
      <w:r>
        <w:rPr>
          <w:rFonts w:ascii="Traditional Arabic" w:hAnsi="Traditional Arabic" w:hint="cs"/>
          <w:noProof w:val="0"/>
          <w:color w:val="auto"/>
          <w:rtl/>
          <w:lang w:eastAsia="en-US"/>
        </w:rPr>
        <w:t>.</w:t>
      </w:r>
    </w:p>
    <w:p w:rsidR="00F228A9" w:rsidRDefault="00F228A9" w:rsidP="00597C20">
      <w:pPr>
        <w:pStyle w:val="53"/>
        <w:rPr>
          <w:rtl/>
        </w:rPr>
      </w:pPr>
      <w:r>
        <w:rPr>
          <w:rFonts w:hint="cs"/>
          <w:rtl/>
        </w:rPr>
        <w:t>وجه الدلالة:</w:t>
      </w:r>
    </w:p>
    <w:p w:rsidR="00F101FD" w:rsidRPr="006E5B27" w:rsidRDefault="00AA3F7A"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إ</w:t>
      </w:r>
      <w:r w:rsidR="00F101FD" w:rsidRPr="006E5B27">
        <w:rPr>
          <w:rFonts w:ascii="Traditional Arabic" w:hAnsi="Traditional Arabic" w:hint="cs"/>
          <w:noProof w:val="0"/>
          <w:rtl/>
          <w:lang w:eastAsia="en-US"/>
        </w:rPr>
        <w:t>ن الفراش مُقتضٍ لإلحاق الولد بزمعة، والشبه البيّن مقتضٍ لإلحاقه بعتبة، فأُعطي النَّسبَ بمقتضى الفراش، وأُلحق بزمعة، وروعيَ أمرُ الشبه، فأمر سودةَ بالاحتجاب منه، فأعطى الفرعَ حُكماً بين حكمين، ولم يمحِّض أمرَ الفراش فتثبُت المَحْرميَّة بينه وبين سودة، ولم يَرْعَ أمر الشبه مطلقاً فيُلحق بعتبة</w:t>
      </w:r>
      <w:r w:rsidR="00F101FD" w:rsidRPr="00C821A1">
        <w:rPr>
          <w:rStyle w:val="af1"/>
          <w:szCs w:val="32"/>
          <w:rtl/>
        </w:rPr>
        <w:t>(</w:t>
      </w:r>
      <w:r w:rsidR="00F101FD" w:rsidRPr="00C821A1">
        <w:rPr>
          <w:rStyle w:val="af1"/>
          <w:szCs w:val="32"/>
          <w:rtl/>
        </w:rPr>
        <w:footnoteReference w:id="1814"/>
      </w:r>
      <w:r w:rsidR="00F101FD" w:rsidRPr="00C821A1">
        <w:rPr>
          <w:rStyle w:val="af1"/>
          <w:szCs w:val="32"/>
          <w:rtl/>
        </w:rPr>
        <w:t>)</w:t>
      </w:r>
      <w:r w:rsidR="00F101FD" w:rsidRPr="006E5B27">
        <w:rPr>
          <w:rFonts w:ascii="Traditional Arabic" w:hAnsi="Traditional Arabic" w:hint="cs"/>
          <w:noProof w:val="0"/>
          <w:rtl/>
          <w:lang w:eastAsia="en-US"/>
        </w:rPr>
        <w:t>.</w:t>
      </w:r>
    </w:p>
    <w:p w:rsidR="00F101FD" w:rsidRPr="006E5B27" w:rsidRDefault="00F101FD" w:rsidP="00597C20">
      <w:pPr>
        <w:widowControl/>
        <w:autoSpaceDE w:val="0"/>
        <w:autoSpaceDN w:val="0"/>
        <w:adjustRightInd w:val="0"/>
        <w:ind w:firstLine="720"/>
        <w:rPr>
          <w:rFonts w:ascii="Traditional Arabic" w:hAnsi="Traditional Arabic"/>
          <w:noProof w:val="0"/>
          <w:color w:val="auto"/>
          <w:rtl/>
          <w:lang w:eastAsia="en-US"/>
        </w:rPr>
      </w:pPr>
      <w:r w:rsidRPr="006E5B27">
        <w:rPr>
          <w:rFonts w:ascii="Traditional Arabic" w:hAnsi="Traditional Arabic"/>
          <w:noProof w:val="0"/>
          <w:color w:val="auto"/>
          <w:rtl/>
          <w:lang w:eastAsia="en-US"/>
        </w:rPr>
        <w:t>فتضمنت فتواه</w:t>
      </w:r>
      <w:r w:rsidR="001873E8">
        <w:rPr>
          <w:rFonts w:hint="cs"/>
          <w:rtl/>
          <w:lang w:eastAsia="en-US"/>
        </w:rPr>
        <w:t xml:space="preserve"> </w:t>
      </w:r>
      <w:r w:rsidR="001873E8">
        <w:rPr>
          <w:rFonts w:ascii="Traditional Arabic" w:hAnsi="Traditional Arabic" w:hint="cs"/>
          <w:noProof w:val="0"/>
          <w:color w:val="auto"/>
          <w:rtl/>
          <w:lang w:eastAsia="en-US"/>
        </w:rPr>
        <w:t>صلى الله عليه وسلم</w:t>
      </w:r>
      <w:r w:rsidRPr="006E5B27">
        <w:rPr>
          <w:rFonts w:ascii="Traditional Arabic" w:hAnsi="Traditional Arabic"/>
          <w:noProof w:val="0"/>
          <w:color w:val="auto"/>
          <w:rtl/>
          <w:lang w:eastAsia="en-US"/>
        </w:rPr>
        <w:t xml:space="preserve"> أن الأ</w:t>
      </w:r>
      <w:r w:rsidRPr="006E5B27">
        <w:rPr>
          <w:rFonts w:ascii="Traditional Arabic" w:hAnsi="Traditional Arabic" w:hint="cs"/>
          <w:noProof w:val="0"/>
          <w:color w:val="auto"/>
          <w:rtl/>
          <w:lang w:eastAsia="en-US"/>
        </w:rPr>
        <w:t>َ</w:t>
      </w:r>
      <w:r w:rsidRPr="006E5B27">
        <w:rPr>
          <w:rFonts w:ascii="Traditional Arabic" w:hAnsi="Traditional Arabic"/>
          <w:noProof w:val="0"/>
          <w:color w:val="auto"/>
          <w:rtl/>
          <w:lang w:eastAsia="en-US"/>
        </w:rPr>
        <w:t>مة فراش، وأن الأحكام تتبعض في العين الواحدة عملا بالاشتباه كما تتبعض في الرضاعة، وثبوت</w:t>
      </w:r>
      <w:r w:rsidRPr="006E5B27">
        <w:rPr>
          <w:rFonts w:ascii="Traditional Arabic" w:hAnsi="Traditional Arabic" w:hint="cs"/>
          <w:noProof w:val="0"/>
          <w:color w:val="auto"/>
          <w:rtl/>
          <w:lang w:eastAsia="en-US"/>
        </w:rPr>
        <w:t>ُ</w:t>
      </w:r>
      <w:r w:rsidRPr="006E5B27">
        <w:rPr>
          <w:rFonts w:ascii="Traditional Arabic" w:hAnsi="Traditional Arabic"/>
          <w:noProof w:val="0"/>
          <w:color w:val="auto"/>
          <w:rtl/>
          <w:lang w:eastAsia="en-US"/>
        </w:rPr>
        <w:t>ها يثبت بها الح</w:t>
      </w:r>
      <w:r w:rsidRPr="006E5B27">
        <w:rPr>
          <w:rFonts w:ascii="Traditional Arabic" w:hAnsi="Traditional Arabic" w:hint="cs"/>
          <w:noProof w:val="0"/>
          <w:color w:val="auto"/>
          <w:rtl/>
          <w:lang w:eastAsia="en-US"/>
        </w:rPr>
        <w:t>ُ</w:t>
      </w:r>
      <w:r w:rsidRPr="006E5B27">
        <w:rPr>
          <w:rFonts w:ascii="Traditional Arabic" w:hAnsi="Traditional Arabic"/>
          <w:noProof w:val="0"/>
          <w:color w:val="auto"/>
          <w:rtl/>
          <w:lang w:eastAsia="en-US"/>
        </w:rPr>
        <w:t>رمة والم</w:t>
      </w:r>
      <w:r w:rsidRPr="006E5B27">
        <w:rPr>
          <w:rFonts w:ascii="Traditional Arabic" w:hAnsi="Traditional Arabic" w:hint="cs"/>
          <w:noProof w:val="0"/>
          <w:color w:val="auto"/>
          <w:rtl/>
          <w:lang w:eastAsia="en-US"/>
        </w:rPr>
        <w:t>َ</w:t>
      </w:r>
      <w:r w:rsidRPr="006E5B27">
        <w:rPr>
          <w:rFonts w:ascii="Traditional Arabic" w:hAnsi="Traditional Arabic"/>
          <w:noProof w:val="0"/>
          <w:color w:val="auto"/>
          <w:rtl/>
          <w:lang w:eastAsia="en-US"/>
        </w:rPr>
        <w:t xml:space="preserve">حرمية دون الميراث </w:t>
      </w:r>
      <w:r w:rsidRPr="006E5B27">
        <w:rPr>
          <w:rFonts w:ascii="Traditional Arabic" w:hAnsi="Traditional Arabic"/>
          <w:noProof w:val="0"/>
          <w:color w:val="auto"/>
          <w:rtl/>
          <w:lang w:eastAsia="en-US"/>
        </w:rPr>
        <w:lastRenderedPageBreak/>
        <w:t>والنفقة، وكما في ولد الزنا، هو ولد في التحريم، وليس ولدا</w:t>
      </w:r>
      <w:r w:rsidRPr="006E5B27">
        <w:rPr>
          <w:rFonts w:ascii="Traditional Arabic" w:hAnsi="Traditional Arabic" w:hint="cs"/>
          <w:noProof w:val="0"/>
          <w:color w:val="auto"/>
          <w:rtl/>
          <w:lang w:eastAsia="en-US"/>
        </w:rPr>
        <w:t>ً</w:t>
      </w:r>
      <w:r w:rsidRPr="006E5B27">
        <w:rPr>
          <w:rFonts w:ascii="Traditional Arabic" w:hAnsi="Traditional Arabic"/>
          <w:noProof w:val="0"/>
          <w:color w:val="auto"/>
          <w:rtl/>
          <w:lang w:eastAsia="en-US"/>
        </w:rPr>
        <w:t xml:space="preserve"> في الميراث</w:t>
      </w:r>
      <w:r w:rsidRPr="006E5B27">
        <w:rPr>
          <w:rFonts w:ascii="Traditional Arabic" w:hAnsi="Traditional Arabic" w:hint="cs"/>
          <w:noProof w:val="0"/>
          <w:color w:val="auto"/>
          <w:rtl/>
          <w:lang w:eastAsia="en-US"/>
        </w:rPr>
        <w:t>،</w:t>
      </w:r>
      <w:r w:rsidRPr="006E5B27">
        <w:rPr>
          <w:rFonts w:ascii="Traditional Arabic" w:hAnsi="Traditional Arabic"/>
          <w:noProof w:val="0"/>
          <w:color w:val="auto"/>
          <w:rtl/>
          <w:lang w:eastAsia="en-US"/>
        </w:rPr>
        <w:t xml:space="preserve"> ونظائر ذلك أكثر من أن ت</w:t>
      </w:r>
      <w:r w:rsidRPr="006E5B27">
        <w:rPr>
          <w:rFonts w:ascii="Traditional Arabic" w:hAnsi="Traditional Arabic" w:hint="cs"/>
          <w:noProof w:val="0"/>
          <w:color w:val="auto"/>
          <w:rtl/>
          <w:lang w:eastAsia="en-US"/>
        </w:rPr>
        <w:t>ُ</w:t>
      </w:r>
      <w:r w:rsidRPr="006E5B27">
        <w:rPr>
          <w:rFonts w:ascii="Traditional Arabic" w:hAnsi="Traditional Arabic"/>
          <w:noProof w:val="0"/>
          <w:color w:val="auto"/>
          <w:rtl/>
          <w:lang w:eastAsia="en-US"/>
        </w:rPr>
        <w:t>ذكر</w:t>
      </w:r>
      <w:r w:rsidRPr="00C821A1">
        <w:rPr>
          <w:rStyle w:val="af1"/>
          <w:szCs w:val="32"/>
          <w:rtl/>
        </w:rPr>
        <w:t>(</w:t>
      </w:r>
      <w:r w:rsidRPr="00C821A1">
        <w:rPr>
          <w:rStyle w:val="af1"/>
          <w:szCs w:val="32"/>
          <w:rtl/>
        </w:rPr>
        <w:footnoteReference w:id="1815"/>
      </w:r>
      <w:r w:rsidRPr="00C821A1">
        <w:rPr>
          <w:rStyle w:val="af1"/>
          <w:szCs w:val="32"/>
          <w:rtl/>
        </w:rPr>
        <w:t>)</w:t>
      </w:r>
      <w:r w:rsidRPr="006E5B27">
        <w:rPr>
          <w:rFonts w:ascii="Traditional Arabic" w:hAnsi="Traditional Arabic" w:hint="cs"/>
          <w:noProof w:val="0"/>
          <w:color w:val="auto"/>
          <w:rtl/>
          <w:lang w:eastAsia="en-US"/>
        </w:rPr>
        <w:t>.</w:t>
      </w:r>
    </w:p>
    <w:p w:rsidR="00F101FD" w:rsidRPr="00997F48" w:rsidRDefault="001873E8" w:rsidP="00A8347C">
      <w:pPr>
        <w:pStyle w:val="aff3"/>
        <w:rPr>
          <w:rtl/>
        </w:rPr>
      </w:pPr>
      <w:bookmarkStart w:id="380" w:name="_Toc334046578"/>
      <w:r>
        <w:rPr>
          <w:rFonts w:hint="cs"/>
          <w:rtl/>
        </w:rPr>
        <w:t xml:space="preserve">                                          المطلب</w:t>
      </w:r>
      <w:r w:rsidR="003E06B0">
        <w:rPr>
          <w:rFonts w:hint="cs"/>
          <w:rtl/>
        </w:rPr>
        <w:t xml:space="preserve"> </w:t>
      </w:r>
      <w:r w:rsidR="00F101FD">
        <w:rPr>
          <w:rFonts w:hint="cs"/>
          <w:rtl/>
        </w:rPr>
        <w:t>الرابع</w:t>
      </w:r>
      <w:r w:rsidR="00F101FD">
        <w:rPr>
          <w:rFonts w:hint="eastAsia"/>
          <w:rtl/>
        </w:rPr>
        <w:t> :</w:t>
      </w:r>
      <w:r w:rsidR="00F101FD">
        <w:rPr>
          <w:rFonts w:hint="cs"/>
          <w:rtl/>
        </w:rPr>
        <w:br/>
      </w:r>
      <w:r>
        <w:rPr>
          <w:rFonts w:hint="cs"/>
          <w:rtl/>
        </w:rPr>
        <w:t xml:space="preserve">          </w:t>
      </w:r>
      <w:r w:rsidR="003E06B0">
        <w:rPr>
          <w:rFonts w:hint="cs"/>
          <w:rtl/>
        </w:rPr>
        <w:t xml:space="preserve">                               </w:t>
      </w:r>
      <w:r w:rsidR="00F101FD">
        <w:rPr>
          <w:rFonts w:hint="cs"/>
          <w:rtl/>
        </w:rPr>
        <w:t>تطبيقات القاعدة</w:t>
      </w:r>
      <w:bookmarkEnd w:id="380"/>
    </w:p>
    <w:p w:rsidR="00F101FD" w:rsidRPr="00997F48" w:rsidRDefault="00F101FD" w:rsidP="000A76C7">
      <w:pPr>
        <w:pStyle w:val="afc"/>
        <w:widowControl/>
        <w:numPr>
          <w:ilvl w:val="0"/>
          <w:numId w:val="249"/>
        </w:numPr>
        <w:autoSpaceDE w:val="0"/>
        <w:autoSpaceDN w:val="0"/>
        <w:adjustRightInd w:val="0"/>
        <w:rPr>
          <w:rFonts w:ascii="Traditional Arabic" w:hAnsi="Traditional Arabic"/>
          <w:noProof w:val="0"/>
          <w:sz w:val="44"/>
          <w:szCs w:val="44"/>
          <w:lang w:eastAsia="en-US"/>
        </w:rPr>
      </w:pPr>
      <w:r>
        <w:rPr>
          <w:rFonts w:ascii="Traditional Arabic" w:hAnsi="Traditional Arabic" w:hint="cs"/>
          <w:noProof w:val="0"/>
          <w:rtl/>
          <w:lang w:eastAsia="en-US"/>
        </w:rPr>
        <w:t>إذا اختلف المالك والذي بيده العين</w:t>
      </w:r>
      <w:r w:rsidRPr="00997F48">
        <w:rPr>
          <w:rFonts w:ascii="Traditional Arabic" w:hAnsi="Traditional Arabic" w:hint="cs"/>
          <w:noProof w:val="0"/>
          <w:rtl/>
          <w:lang w:eastAsia="en-US"/>
        </w:rPr>
        <w:t xml:space="preserve"> بعد مُضِيِّ </w:t>
      </w:r>
      <w:r>
        <w:rPr>
          <w:rFonts w:ascii="Traditional Arabic" w:hAnsi="Traditional Arabic" w:hint="cs"/>
          <w:noProof w:val="0"/>
          <w:rtl/>
          <w:lang w:eastAsia="en-US"/>
        </w:rPr>
        <w:t>مدة لها أجرة بعد العقد، ف</w:t>
      </w:r>
      <w:r w:rsidRPr="00997F48">
        <w:rPr>
          <w:rFonts w:ascii="Traditional Arabic" w:hAnsi="Traditional Arabic"/>
          <w:noProof w:val="0"/>
          <w:rtl/>
          <w:lang w:eastAsia="en-US"/>
        </w:rPr>
        <w:t>قال</w:t>
      </w:r>
      <w:r>
        <w:rPr>
          <w:rFonts w:ascii="Traditional Arabic" w:hAnsi="Traditional Arabic" w:hint="cs"/>
          <w:noProof w:val="0"/>
          <w:rtl/>
          <w:lang w:eastAsia="en-US"/>
        </w:rPr>
        <w:t xml:space="preserve"> من بيده العين</w:t>
      </w:r>
      <w:r>
        <w:rPr>
          <w:rFonts w:ascii="Traditional Arabic" w:hAnsi="Traditional Arabic"/>
          <w:noProof w:val="0"/>
          <w:rtl/>
          <w:lang w:eastAsia="en-US"/>
        </w:rPr>
        <w:t>: إنك أ</w:t>
      </w:r>
      <w:r>
        <w:rPr>
          <w:rFonts w:ascii="Traditional Arabic" w:hAnsi="Traditional Arabic" w:hint="cs"/>
          <w:noProof w:val="0"/>
          <w:rtl/>
          <w:lang w:eastAsia="en-US"/>
        </w:rPr>
        <w:t>َ</w:t>
      </w:r>
      <w:r>
        <w:rPr>
          <w:rFonts w:ascii="Traditional Arabic" w:hAnsi="Traditional Arabic"/>
          <w:noProof w:val="0"/>
          <w:rtl/>
          <w:lang w:eastAsia="en-US"/>
        </w:rPr>
        <w:t>ع</w:t>
      </w:r>
      <w:r>
        <w:rPr>
          <w:rFonts w:ascii="Traditional Arabic" w:hAnsi="Traditional Arabic" w:hint="cs"/>
          <w:noProof w:val="0"/>
          <w:rtl/>
          <w:lang w:eastAsia="en-US"/>
        </w:rPr>
        <w:t>َ</w:t>
      </w:r>
      <w:r>
        <w:rPr>
          <w:rFonts w:ascii="Traditional Arabic" w:hAnsi="Traditional Arabic"/>
          <w:noProof w:val="0"/>
          <w:rtl/>
          <w:lang w:eastAsia="en-US"/>
        </w:rPr>
        <w:t>ر</w:t>
      </w:r>
      <w:r>
        <w:rPr>
          <w:rFonts w:ascii="Traditional Arabic" w:hAnsi="Traditional Arabic" w:hint="cs"/>
          <w:noProof w:val="0"/>
          <w:rtl/>
          <w:lang w:eastAsia="en-US"/>
        </w:rPr>
        <w:t>ْ</w:t>
      </w:r>
      <w:r>
        <w:rPr>
          <w:rFonts w:ascii="Traditional Arabic" w:hAnsi="Traditional Arabic"/>
          <w:noProof w:val="0"/>
          <w:rtl/>
          <w:lang w:eastAsia="en-US"/>
        </w:rPr>
        <w:t>ت</w:t>
      </w:r>
      <w:r>
        <w:rPr>
          <w:rFonts w:ascii="Traditional Arabic" w:hAnsi="Traditional Arabic" w:hint="cs"/>
          <w:noProof w:val="0"/>
          <w:rtl/>
          <w:lang w:eastAsia="en-US"/>
        </w:rPr>
        <w:t>َ</w:t>
      </w:r>
      <w:r>
        <w:rPr>
          <w:rFonts w:ascii="Traditional Arabic" w:hAnsi="Traditional Arabic"/>
          <w:noProof w:val="0"/>
          <w:rtl/>
          <w:lang w:eastAsia="en-US"/>
        </w:rPr>
        <w:t xml:space="preserve">ني، </w:t>
      </w:r>
      <w:r>
        <w:rPr>
          <w:rFonts w:ascii="Traditional Arabic" w:hAnsi="Traditional Arabic" w:hint="cs"/>
          <w:noProof w:val="0"/>
          <w:rtl/>
          <w:lang w:eastAsia="en-US"/>
        </w:rPr>
        <w:t>و</w:t>
      </w:r>
      <w:r w:rsidRPr="00997F48">
        <w:rPr>
          <w:rFonts w:ascii="Traditional Arabic" w:hAnsi="Traditional Arabic"/>
          <w:noProof w:val="0"/>
          <w:rtl/>
          <w:lang w:eastAsia="en-US"/>
        </w:rPr>
        <w:t xml:space="preserve">قال </w:t>
      </w:r>
      <w:r>
        <w:rPr>
          <w:rFonts w:ascii="Traditional Arabic" w:hAnsi="Traditional Arabic" w:hint="cs"/>
          <w:noProof w:val="0"/>
          <w:rtl/>
          <w:lang w:eastAsia="en-US"/>
        </w:rPr>
        <w:t xml:space="preserve">المالك </w:t>
      </w:r>
      <w:r w:rsidRPr="00997F48">
        <w:rPr>
          <w:rFonts w:ascii="Traditional Arabic" w:hAnsi="Traditional Arabic"/>
          <w:noProof w:val="0"/>
          <w:rtl/>
          <w:lang w:eastAsia="en-US"/>
        </w:rPr>
        <w:t xml:space="preserve">له: بل </w:t>
      </w:r>
      <w:r>
        <w:rPr>
          <w:rFonts w:ascii="Traditional Arabic" w:hAnsi="Traditional Arabic" w:hint="cs"/>
          <w:noProof w:val="0"/>
          <w:rtl/>
          <w:lang w:eastAsia="en-US"/>
        </w:rPr>
        <w:t>أ</w:t>
      </w:r>
      <w:r w:rsidRPr="00997F48">
        <w:rPr>
          <w:rFonts w:ascii="Traditional Arabic" w:hAnsi="Traditional Arabic"/>
          <w:noProof w:val="0"/>
          <w:rtl/>
          <w:lang w:eastAsia="en-US"/>
        </w:rPr>
        <w:t>ج</w:t>
      </w:r>
      <w:r>
        <w:rPr>
          <w:rFonts w:ascii="Traditional Arabic" w:hAnsi="Traditional Arabic" w:hint="cs"/>
          <w:noProof w:val="0"/>
          <w:rtl/>
          <w:lang w:eastAsia="en-US"/>
        </w:rPr>
        <w:t>َّ</w:t>
      </w:r>
      <w:r w:rsidRPr="00997F48">
        <w:rPr>
          <w:rFonts w:ascii="Traditional Arabic" w:hAnsi="Traditional Arabic"/>
          <w:noProof w:val="0"/>
          <w:rtl/>
          <w:lang w:eastAsia="en-US"/>
        </w:rPr>
        <w:t>رت</w:t>
      </w:r>
      <w:r w:rsidRPr="00997F48">
        <w:rPr>
          <w:rFonts w:ascii="Traditional Arabic" w:hAnsi="Traditional Arabic" w:hint="cs"/>
          <w:noProof w:val="0"/>
          <w:rtl/>
          <w:lang w:eastAsia="en-US"/>
        </w:rPr>
        <w:t>ُ</w:t>
      </w:r>
      <w:r w:rsidRPr="00997F48">
        <w:rPr>
          <w:rFonts w:ascii="Traditional Arabic" w:hAnsi="Traditional Arabic"/>
          <w:noProof w:val="0"/>
          <w:rtl/>
          <w:lang w:eastAsia="en-US"/>
        </w:rPr>
        <w:t>ك، ف</w:t>
      </w:r>
      <w:r w:rsidRPr="00997F48">
        <w:rPr>
          <w:rFonts w:ascii="Traditional Arabic" w:hAnsi="Traditional Arabic" w:hint="cs"/>
          <w:noProof w:val="0"/>
          <w:rtl/>
          <w:lang w:eastAsia="en-US"/>
        </w:rPr>
        <w:t xml:space="preserve">يُقبَل </w:t>
      </w:r>
      <w:r w:rsidRPr="00997F48">
        <w:rPr>
          <w:rFonts w:ascii="Traditional Arabic" w:hAnsi="Traditional Arabic"/>
          <w:noProof w:val="0"/>
          <w:rtl/>
          <w:lang w:eastAsia="en-US"/>
        </w:rPr>
        <w:t xml:space="preserve">قول </w:t>
      </w:r>
      <w:r w:rsidRPr="00997F48">
        <w:rPr>
          <w:rFonts w:ascii="Traditional Arabic" w:hAnsi="Traditional Arabic" w:hint="cs"/>
          <w:noProof w:val="0"/>
          <w:rtl/>
          <w:lang w:eastAsia="en-US"/>
        </w:rPr>
        <w:t>المالك</w:t>
      </w:r>
      <w:r w:rsidRPr="00997F48">
        <w:rPr>
          <w:rFonts w:ascii="Traditional Arabic" w:hAnsi="Traditional Arabic"/>
          <w:noProof w:val="0"/>
          <w:rtl/>
          <w:lang w:eastAsia="en-US"/>
        </w:rPr>
        <w:t xml:space="preserve"> مع </w:t>
      </w:r>
      <w:r w:rsidRPr="00997F48">
        <w:rPr>
          <w:rFonts w:ascii="Traditional Arabic" w:hAnsi="Traditional Arabic"/>
          <w:noProof w:val="0"/>
          <w:color w:val="auto"/>
          <w:rtl/>
          <w:lang w:eastAsia="en-US"/>
        </w:rPr>
        <w:t>يمينه</w:t>
      </w:r>
      <w:r w:rsidR="003E06B0">
        <w:rPr>
          <w:rFonts w:ascii="Traditional Arabic" w:hAnsi="Traditional Arabic" w:hint="cs"/>
          <w:noProof w:val="0"/>
          <w:color w:val="auto"/>
          <w:rtl/>
          <w:lang w:eastAsia="en-US"/>
        </w:rPr>
        <w:t xml:space="preserve"> </w:t>
      </w:r>
      <w:r w:rsidRPr="00997F48">
        <w:rPr>
          <w:rFonts w:ascii="Traditional Arabic" w:hAnsi="Traditional Arabic"/>
          <w:noProof w:val="0"/>
          <w:color w:val="auto"/>
          <w:rtl/>
          <w:lang w:eastAsia="en-US"/>
        </w:rPr>
        <w:t>بالنسبة للمدة الماضية</w:t>
      </w:r>
      <w:r>
        <w:rPr>
          <w:rFonts w:ascii="Traditional Arabic" w:hAnsi="Traditional Arabic" w:hint="cs"/>
          <w:noProof w:val="0"/>
          <w:color w:val="auto"/>
          <w:rtl/>
          <w:lang w:eastAsia="en-US"/>
        </w:rPr>
        <w:t>؛</w:t>
      </w:r>
      <w:r w:rsidR="003E06B0">
        <w:rPr>
          <w:rFonts w:ascii="Traditional Arabic" w:hAnsi="Traditional Arabic" w:hint="cs"/>
          <w:noProof w:val="0"/>
          <w:color w:val="auto"/>
          <w:rtl/>
          <w:lang w:eastAsia="en-US"/>
        </w:rPr>
        <w:t xml:space="preserve"> </w:t>
      </w:r>
      <w:r w:rsidRPr="00997F48">
        <w:rPr>
          <w:rFonts w:ascii="Traditional Arabic" w:hAnsi="Traditional Arabic"/>
          <w:noProof w:val="0"/>
          <w:color w:val="auto"/>
          <w:rtl/>
          <w:lang w:eastAsia="en-US"/>
        </w:rPr>
        <w:t>ولا ي</w:t>
      </w:r>
      <w:r w:rsidRPr="00997F48">
        <w:rPr>
          <w:rFonts w:ascii="Traditional Arabic" w:hAnsi="Traditional Arabic" w:hint="cs"/>
          <w:noProof w:val="0"/>
          <w:color w:val="auto"/>
          <w:rtl/>
          <w:lang w:eastAsia="en-US"/>
        </w:rPr>
        <w:t>ُ</w:t>
      </w:r>
      <w:r w:rsidRPr="00997F48">
        <w:rPr>
          <w:rFonts w:ascii="Traditional Arabic" w:hAnsi="Traditional Arabic"/>
          <w:noProof w:val="0"/>
          <w:color w:val="auto"/>
          <w:rtl/>
          <w:lang w:eastAsia="en-US"/>
        </w:rPr>
        <w:t>قب</w:t>
      </w:r>
      <w:r w:rsidRPr="00997F48">
        <w:rPr>
          <w:rFonts w:ascii="Traditional Arabic" w:hAnsi="Traditional Arabic" w:hint="cs"/>
          <w:noProof w:val="0"/>
          <w:color w:val="auto"/>
          <w:rtl/>
          <w:lang w:eastAsia="en-US"/>
        </w:rPr>
        <w:t>َ</w:t>
      </w:r>
      <w:r w:rsidRPr="00997F48">
        <w:rPr>
          <w:rFonts w:ascii="Traditional Arabic" w:hAnsi="Traditional Arabic"/>
          <w:noProof w:val="0"/>
          <w:color w:val="auto"/>
          <w:rtl/>
          <w:lang w:eastAsia="en-US"/>
        </w:rPr>
        <w:t xml:space="preserve">ل </w:t>
      </w:r>
      <w:r>
        <w:rPr>
          <w:rFonts w:ascii="Traditional Arabic" w:hAnsi="Traditional Arabic" w:hint="cs"/>
          <w:noProof w:val="0"/>
          <w:color w:val="auto"/>
          <w:rtl/>
          <w:lang w:eastAsia="en-US"/>
        </w:rPr>
        <w:t xml:space="preserve">قول المالك </w:t>
      </w:r>
      <w:r w:rsidRPr="00997F48">
        <w:rPr>
          <w:rFonts w:ascii="Traditional Arabic" w:hAnsi="Traditional Arabic"/>
          <w:noProof w:val="0"/>
          <w:color w:val="auto"/>
          <w:rtl/>
          <w:lang w:eastAsia="en-US"/>
        </w:rPr>
        <w:t>بالنسبة للمدة المستقبلة</w:t>
      </w:r>
      <w:r w:rsidRPr="00997F48">
        <w:rPr>
          <w:rFonts w:ascii="Traditional Arabic" w:hAnsi="Traditional Arabic" w:hint="cs"/>
          <w:noProof w:val="0"/>
          <w:color w:val="auto"/>
          <w:rtl/>
          <w:lang w:eastAsia="en-US"/>
        </w:rPr>
        <w:t xml:space="preserve">؛ </w:t>
      </w:r>
      <w:r w:rsidRPr="00997F48">
        <w:rPr>
          <w:rFonts w:ascii="Traditional Arabic" w:hAnsi="Traditional Arabic"/>
          <w:noProof w:val="0"/>
          <w:rtl/>
          <w:lang w:eastAsia="en-US"/>
        </w:rPr>
        <w:t>لأن خ</w:t>
      </w:r>
      <w:r w:rsidRPr="00997F48">
        <w:rPr>
          <w:rFonts w:ascii="Traditional Arabic" w:hAnsi="Traditional Arabic" w:hint="cs"/>
          <w:noProof w:val="0"/>
          <w:rtl/>
          <w:lang w:eastAsia="en-US"/>
        </w:rPr>
        <w:t>َ</w:t>
      </w:r>
      <w:r w:rsidRPr="00997F48">
        <w:rPr>
          <w:rFonts w:ascii="Traditional Arabic" w:hAnsi="Traditional Arabic"/>
          <w:noProof w:val="0"/>
          <w:rtl/>
          <w:lang w:eastAsia="en-US"/>
        </w:rPr>
        <w:t>ص</w:t>
      </w:r>
      <w:r w:rsidRPr="00997F48">
        <w:rPr>
          <w:rFonts w:ascii="Traditional Arabic" w:hAnsi="Traditional Arabic" w:hint="cs"/>
          <w:noProof w:val="0"/>
          <w:rtl/>
          <w:lang w:eastAsia="en-US"/>
        </w:rPr>
        <w:t>ْ</w:t>
      </w:r>
      <w:r w:rsidRPr="00997F48">
        <w:rPr>
          <w:rFonts w:ascii="Traditional Arabic" w:hAnsi="Traditional Arabic"/>
          <w:noProof w:val="0"/>
          <w:rtl/>
          <w:lang w:eastAsia="en-US"/>
        </w:rPr>
        <w:t>مه ي</w:t>
      </w:r>
      <w:r w:rsidRPr="00997F48">
        <w:rPr>
          <w:rFonts w:ascii="Traditional Arabic" w:hAnsi="Traditional Arabic" w:hint="cs"/>
          <w:noProof w:val="0"/>
          <w:rtl/>
          <w:lang w:eastAsia="en-US"/>
        </w:rPr>
        <w:t>ُ</w:t>
      </w:r>
      <w:r w:rsidRPr="00997F48">
        <w:rPr>
          <w:rFonts w:ascii="Traditional Arabic" w:hAnsi="Traditional Arabic"/>
          <w:noProof w:val="0"/>
          <w:rtl/>
          <w:lang w:eastAsia="en-US"/>
        </w:rPr>
        <w:t>نكره</w:t>
      </w:r>
      <w:r w:rsidRPr="00C821A1">
        <w:rPr>
          <w:rStyle w:val="af1"/>
          <w:szCs w:val="32"/>
          <w:rtl/>
        </w:rPr>
        <w:t>(</w:t>
      </w:r>
      <w:r w:rsidRPr="00C821A1">
        <w:rPr>
          <w:rStyle w:val="af1"/>
          <w:szCs w:val="32"/>
          <w:rtl/>
        </w:rPr>
        <w:footnoteReference w:id="1816"/>
      </w:r>
      <w:r w:rsidRPr="00C821A1">
        <w:rPr>
          <w:rStyle w:val="af1"/>
          <w:szCs w:val="32"/>
          <w:rtl/>
        </w:rPr>
        <w:t>)</w:t>
      </w:r>
      <w:r w:rsidRPr="00997F48">
        <w:rPr>
          <w:rFonts w:ascii="Traditional Arabic" w:hAnsi="Traditional Arabic"/>
          <w:noProof w:val="0"/>
          <w:rtl/>
          <w:lang w:eastAsia="en-US"/>
        </w:rPr>
        <w:t>.</w:t>
      </w:r>
    </w:p>
    <w:p w:rsidR="00065E4B" w:rsidRDefault="00F101FD" w:rsidP="00597C20">
      <w:pPr>
        <w:pStyle w:val="53"/>
        <w:rPr>
          <w:rtl/>
        </w:rPr>
      </w:pPr>
      <w:r>
        <w:rPr>
          <w:rFonts w:hint="cs"/>
          <w:rtl/>
        </w:rPr>
        <w:t>وجه اندراج الفرع تحت القاعدة:</w:t>
      </w:r>
    </w:p>
    <w:p w:rsidR="00065E4B"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ف</w:t>
      </w:r>
      <w:r w:rsidR="00F101FD">
        <w:rPr>
          <w:rFonts w:ascii="Traditional Arabic" w:hAnsi="Traditional Arabic" w:hint="cs"/>
          <w:noProof w:val="0"/>
          <w:color w:val="auto"/>
          <w:rtl/>
          <w:lang w:eastAsia="en-US"/>
        </w:rPr>
        <w:t>ي هذه الصورة تبعَّضت الأحكام لاختلاف أسبابها:</w:t>
      </w:r>
    </w:p>
    <w:p w:rsidR="00065E4B" w:rsidRDefault="00065E4B"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ف</w:t>
      </w:r>
      <w:r w:rsidR="00F101FD">
        <w:rPr>
          <w:rFonts w:ascii="Traditional Arabic" w:hAnsi="Traditional Arabic" w:hint="cs"/>
          <w:noProof w:val="0"/>
          <w:color w:val="auto"/>
          <w:rtl/>
          <w:lang w:eastAsia="en-US"/>
        </w:rPr>
        <w:t xml:space="preserve">قُبل قول المالك في المدة الماضية؛ </w:t>
      </w:r>
      <w:r w:rsidR="00F101FD" w:rsidRPr="00F7054C">
        <w:rPr>
          <w:rFonts w:ascii="Traditional Arabic" w:hAnsi="Traditional Arabic"/>
          <w:noProof w:val="0"/>
          <w:rtl/>
          <w:lang w:eastAsia="en-US"/>
        </w:rPr>
        <w:t>ل</w:t>
      </w:r>
      <w:r w:rsidR="00F101FD">
        <w:rPr>
          <w:rFonts w:ascii="Traditional Arabic" w:hAnsi="Traditional Arabic"/>
          <w:noProof w:val="0"/>
          <w:rtl/>
          <w:lang w:eastAsia="en-US"/>
        </w:rPr>
        <w:t>أن</w:t>
      </w:r>
      <w:r w:rsidR="00F101FD" w:rsidRPr="00F7054C">
        <w:rPr>
          <w:rFonts w:ascii="Traditional Arabic" w:hAnsi="Traditional Arabic"/>
          <w:noProof w:val="0"/>
          <w:rtl/>
          <w:lang w:eastAsia="en-US"/>
        </w:rPr>
        <w:t xml:space="preserve"> الأصل فيمن قبض ملك غيره أنه مضمون</w:t>
      </w:r>
      <w:r w:rsidR="00F101FD">
        <w:rPr>
          <w:rFonts w:ascii="Traditional Arabic" w:hAnsi="Traditional Arabic" w:hint="cs"/>
          <w:noProof w:val="0"/>
          <w:rtl/>
          <w:lang w:eastAsia="en-US"/>
        </w:rPr>
        <w:t>ٌ</w:t>
      </w:r>
      <w:r w:rsidR="00F101FD" w:rsidRPr="00F7054C">
        <w:rPr>
          <w:rFonts w:ascii="Traditional Arabic" w:hAnsi="Traditional Arabic"/>
          <w:noProof w:val="0"/>
          <w:rtl/>
          <w:lang w:eastAsia="en-US"/>
        </w:rPr>
        <w:t xml:space="preserve"> عليه؛ ولأن الأصل أن الإنسان لا يسل</w:t>
      </w:r>
      <w:r w:rsidR="00F101FD">
        <w:rPr>
          <w:rFonts w:ascii="Traditional Arabic" w:hAnsi="Traditional Arabic" w:hint="cs"/>
          <w:noProof w:val="0"/>
          <w:rtl/>
          <w:lang w:eastAsia="en-US"/>
        </w:rPr>
        <w:t>ِّ</w:t>
      </w:r>
      <w:r w:rsidR="00F101FD">
        <w:rPr>
          <w:rFonts w:ascii="Traditional Arabic" w:hAnsi="Traditional Arabic"/>
          <w:noProof w:val="0"/>
          <w:rtl/>
          <w:lang w:eastAsia="en-US"/>
        </w:rPr>
        <w:t>طك على ملكه إلا بعوض</w:t>
      </w:r>
      <w:r w:rsidR="00F101FD" w:rsidRPr="00F7054C">
        <w:rPr>
          <w:rFonts w:ascii="Traditional Arabic" w:hAnsi="Traditional Arabic"/>
          <w:noProof w:val="0"/>
          <w:rtl/>
          <w:lang w:eastAsia="en-US"/>
        </w:rPr>
        <w:t xml:space="preserve"> والتبرع</w:t>
      </w:r>
      <w:r w:rsidR="00F101FD">
        <w:rPr>
          <w:rFonts w:ascii="Traditional Arabic" w:hAnsi="Traditional Arabic" w:hint="cs"/>
          <w:noProof w:val="0"/>
          <w:rtl/>
          <w:lang w:eastAsia="en-US"/>
        </w:rPr>
        <w:t>ُّ</w:t>
      </w:r>
      <w:r w:rsidR="00F101FD" w:rsidRPr="00F7054C">
        <w:rPr>
          <w:rFonts w:ascii="Traditional Arabic" w:hAnsi="Traditional Arabic"/>
          <w:noProof w:val="0"/>
          <w:rtl/>
          <w:lang w:eastAsia="en-US"/>
        </w:rPr>
        <w:t xml:space="preserve"> أمر</w:t>
      </w:r>
      <w:r w:rsidR="00F101FD">
        <w:rPr>
          <w:rFonts w:ascii="Traditional Arabic" w:hAnsi="Traditional Arabic" w:hint="cs"/>
          <w:noProof w:val="0"/>
          <w:rtl/>
          <w:lang w:eastAsia="en-US"/>
        </w:rPr>
        <w:t>ٌ</w:t>
      </w:r>
      <w:r w:rsidR="00F101FD" w:rsidRPr="00F7054C">
        <w:rPr>
          <w:rFonts w:ascii="Traditional Arabic" w:hAnsi="Traditional Arabic"/>
          <w:noProof w:val="0"/>
          <w:rtl/>
          <w:lang w:eastAsia="en-US"/>
        </w:rPr>
        <w:t xml:space="preserve"> طارئ</w:t>
      </w:r>
      <w:r w:rsidR="00F101FD">
        <w:rPr>
          <w:rFonts w:ascii="Traditional Arabic" w:hAnsi="Traditional Arabic" w:hint="cs"/>
          <w:noProof w:val="0"/>
          <w:color w:val="auto"/>
          <w:rtl/>
          <w:lang w:eastAsia="en-US"/>
        </w:rPr>
        <w:t>.</w:t>
      </w:r>
    </w:p>
    <w:p w:rsidR="00F101FD"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و</w:t>
      </w:r>
      <w:r w:rsidR="00F101FD">
        <w:rPr>
          <w:rFonts w:ascii="Traditional Arabic" w:hAnsi="Traditional Arabic" w:hint="cs"/>
          <w:noProof w:val="0"/>
          <w:color w:val="auto"/>
          <w:rtl/>
          <w:lang w:eastAsia="en-US"/>
        </w:rPr>
        <w:t>لم يُقبل</w:t>
      </w:r>
      <w:r w:rsidR="003E06B0">
        <w:rPr>
          <w:rFonts w:ascii="Traditional Arabic" w:hAnsi="Traditional Arabic" w:hint="cs"/>
          <w:noProof w:val="0"/>
          <w:color w:val="auto"/>
          <w:rtl/>
          <w:lang w:eastAsia="en-US"/>
        </w:rPr>
        <w:t xml:space="preserve"> </w:t>
      </w:r>
      <w:r w:rsidR="00F101FD">
        <w:rPr>
          <w:rFonts w:ascii="Traditional Arabic" w:hAnsi="Traditional Arabic" w:hint="cs"/>
          <w:noProof w:val="0"/>
          <w:color w:val="auto"/>
          <w:rtl/>
          <w:lang w:eastAsia="en-US"/>
        </w:rPr>
        <w:t>قوله بالنسبة للمدة المستقبلة؛ لأن خَصمه يُنكره</w:t>
      </w:r>
      <w:r w:rsidR="00F101FD" w:rsidRPr="00C821A1">
        <w:rPr>
          <w:rStyle w:val="af1"/>
          <w:szCs w:val="32"/>
          <w:rtl/>
        </w:rPr>
        <w:t>(</w:t>
      </w:r>
      <w:r w:rsidR="00F101FD" w:rsidRPr="00C821A1">
        <w:rPr>
          <w:rStyle w:val="af1"/>
          <w:szCs w:val="32"/>
          <w:rtl/>
        </w:rPr>
        <w:footnoteReference w:id="1817"/>
      </w:r>
      <w:r w:rsidR="00F101FD" w:rsidRPr="00C821A1">
        <w:rPr>
          <w:rStyle w:val="af1"/>
          <w:szCs w:val="32"/>
          <w:rtl/>
        </w:rPr>
        <w:t>)</w:t>
      </w:r>
      <w:r w:rsidR="00F101FD">
        <w:rPr>
          <w:rFonts w:ascii="Traditional Arabic" w:hAnsi="Traditional Arabic" w:hint="cs"/>
          <w:noProof w:val="0"/>
          <w:color w:val="auto"/>
          <w:rtl/>
          <w:lang w:eastAsia="en-US"/>
        </w:rPr>
        <w:t>.</w:t>
      </w:r>
    </w:p>
    <w:p w:rsidR="00F101FD" w:rsidRPr="001B7763" w:rsidRDefault="00F101FD" w:rsidP="000A76C7">
      <w:pPr>
        <w:pStyle w:val="afc"/>
        <w:widowControl/>
        <w:numPr>
          <w:ilvl w:val="0"/>
          <w:numId w:val="249"/>
        </w:numPr>
        <w:autoSpaceDE w:val="0"/>
        <w:autoSpaceDN w:val="0"/>
        <w:adjustRightInd w:val="0"/>
        <w:rPr>
          <w:rFonts w:ascii="Traditional Arabic" w:hAnsi="Traditional Arabic"/>
          <w:noProof w:val="0"/>
          <w:color w:val="auto"/>
          <w:rtl/>
          <w:lang w:eastAsia="en-US"/>
        </w:rPr>
      </w:pPr>
      <w:r w:rsidRPr="001713C9">
        <w:rPr>
          <w:rFonts w:ascii="Traditional Arabic" w:hAnsi="Traditional Arabic"/>
          <w:noProof w:val="0"/>
          <w:rtl/>
          <w:lang w:eastAsia="en-US"/>
        </w:rPr>
        <w:t>إن قال</w:t>
      </w:r>
      <w:r w:rsidR="003E06B0">
        <w:rPr>
          <w:rFonts w:ascii="Traditional Arabic" w:hAnsi="Traditional Arabic" w:hint="cs"/>
          <w:noProof w:val="0"/>
          <w:rtl/>
          <w:lang w:eastAsia="en-US"/>
        </w:rPr>
        <w:t xml:space="preserve"> </w:t>
      </w:r>
      <w:r w:rsidRPr="001713C9">
        <w:rPr>
          <w:rFonts w:ascii="Traditional Arabic" w:hAnsi="Traditional Arabic"/>
          <w:noProof w:val="0"/>
          <w:rtl/>
          <w:lang w:eastAsia="en-US"/>
        </w:rPr>
        <w:t>المشتري</w:t>
      </w:r>
      <w:r w:rsidRPr="001713C9">
        <w:rPr>
          <w:rFonts w:ascii="Traditional Arabic" w:hAnsi="Traditional Arabic" w:hint="cs"/>
          <w:noProof w:val="0"/>
          <w:rtl/>
          <w:lang w:eastAsia="en-US"/>
        </w:rPr>
        <w:t xml:space="preserve">: </w:t>
      </w:r>
      <w:r w:rsidRPr="001713C9">
        <w:rPr>
          <w:rFonts w:ascii="Traditional Arabic" w:hAnsi="Traditional Arabic"/>
          <w:noProof w:val="0"/>
          <w:rtl/>
          <w:lang w:eastAsia="en-US"/>
        </w:rPr>
        <w:t>اشتريته بألف أخذ الشفيع به ولو أثبت البائع أكثر</w:t>
      </w:r>
      <w:r w:rsidRPr="001713C9">
        <w:rPr>
          <w:rFonts w:ascii="Traditional Arabic" w:hAnsi="Traditional Arabic" w:hint="cs"/>
          <w:noProof w:val="0"/>
          <w:rtl/>
          <w:lang w:eastAsia="en-US"/>
        </w:rPr>
        <w:t>؛ لأنه لا يلزمه إلا ما أقر به المشتري،</w:t>
      </w:r>
      <w:r>
        <w:rPr>
          <w:rFonts w:ascii="Traditional Arabic" w:hAnsi="Traditional Arabic" w:hint="cs"/>
          <w:noProof w:val="0"/>
          <w:rtl/>
          <w:lang w:eastAsia="en-US"/>
        </w:rPr>
        <w:t>فإن قال البائع</w:t>
      </w:r>
      <w:r w:rsidRPr="001713C9">
        <w:rPr>
          <w:rFonts w:ascii="Traditional Arabic" w:hAnsi="Traditional Arabic"/>
          <w:noProof w:val="0"/>
          <w:rtl/>
          <w:lang w:eastAsia="en-US"/>
        </w:rPr>
        <w:t xml:space="preserve"> للمشتري: قد بعته عليك بألفين وأقام</w:t>
      </w:r>
      <w:r w:rsidR="003E06B0">
        <w:rPr>
          <w:rFonts w:ascii="Traditional Arabic" w:hAnsi="Traditional Arabic" w:hint="cs"/>
          <w:noProof w:val="0"/>
          <w:rtl/>
          <w:lang w:eastAsia="en-US"/>
        </w:rPr>
        <w:t xml:space="preserve"> </w:t>
      </w:r>
      <w:r w:rsidRPr="001713C9">
        <w:rPr>
          <w:rFonts w:ascii="Traditional Arabic" w:hAnsi="Traditional Arabic"/>
          <w:noProof w:val="0"/>
          <w:rtl/>
          <w:lang w:eastAsia="en-US"/>
        </w:rPr>
        <w:t>بينة، فهنا يثبت على المشتري ألفان، بمقتضى دعوى البائع الثابتة بالشهود</w:t>
      </w:r>
      <w:r w:rsidRPr="00C821A1">
        <w:rPr>
          <w:rStyle w:val="af1"/>
          <w:szCs w:val="32"/>
          <w:rtl/>
        </w:rPr>
        <w:t>(</w:t>
      </w:r>
      <w:r w:rsidRPr="00C821A1">
        <w:rPr>
          <w:rStyle w:val="af1"/>
          <w:szCs w:val="32"/>
          <w:rtl/>
        </w:rPr>
        <w:footnoteReference w:id="1818"/>
      </w:r>
      <w:r w:rsidRPr="00C821A1">
        <w:rPr>
          <w:rStyle w:val="af1"/>
          <w:szCs w:val="32"/>
          <w:rtl/>
        </w:rPr>
        <w:t>)</w:t>
      </w:r>
      <w:r>
        <w:rPr>
          <w:rFonts w:ascii="Traditional Arabic" w:hAnsi="Traditional Arabic" w:hint="cs"/>
          <w:noProof w:val="0"/>
          <w:rtl/>
          <w:lang w:eastAsia="en-US"/>
        </w:rPr>
        <w:t>.</w:t>
      </w:r>
    </w:p>
    <w:p w:rsidR="00065E4B" w:rsidRDefault="00F101FD" w:rsidP="00597C20">
      <w:pPr>
        <w:pStyle w:val="53"/>
        <w:rPr>
          <w:rtl/>
        </w:rPr>
      </w:pPr>
      <w:r>
        <w:rPr>
          <w:rFonts w:hint="cs"/>
          <w:rtl/>
        </w:rPr>
        <w:lastRenderedPageBreak/>
        <w:t>وجه اندراج الفرع تحت القاعدة:</w:t>
      </w:r>
    </w:p>
    <w:p w:rsidR="00065E4B" w:rsidRPr="00C45DDD" w:rsidRDefault="00065E4B" w:rsidP="00597C20">
      <w:pPr>
        <w:widowControl/>
        <w:autoSpaceDE w:val="0"/>
        <w:autoSpaceDN w:val="0"/>
        <w:adjustRightInd w:val="0"/>
        <w:ind w:firstLine="720"/>
        <w:jc w:val="left"/>
        <w:rPr>
          <w:rFonts w:ascii="Traditional Arabic" w:hAnsi="Traditional Arabic"/>
          <w:noProof w:val="0"/>
          <w:rtl/>
          <w:lang w:eastAsia="en-US"/>
        </w:rPr>
      </w:pPr>
      <w:r w:rsidRPr="00C45DDD">
        <w:rPr>
          <w:rFonts w:ascii="Traditional Arabic" w:hAnsi="Traditional Arabic"/>
          <w:noProof w:val="0"/>
          <w:rtl/>
          <w:lang w:eastAsia="en-US"/>
        </w:rPr>
        <w:t>ف</w:t>
      </w:r>
      <w:r w:rsidR="00F101FD">
        <w:rPr>
          <w:rFonts w:ascii="Traditional Arabic" w:hAnsi="Traditional Arabic" w:hint="cs"/>
          <w:noProof w:val="0"/>
          <w:rtl/>
          <w:lang w:eastAsia="en-US"/>
        </w:rPr>
        <w:t xml:space="preserve">ي هذه الصورة </w:t>
      </w:r>
      <w:r w:rsidR="00F101FD" w:rsidRPr="00C45DDD">
        <w:rPr>
          <w:rFonts w:ascii="Traditional Arabic" w:hAnsi="Traditional Arabic"/>
          <w:noProof w:val="0"/>
          <w:rtl/>
          <w:lang w:eastAsia="en-US"/>
        </w:rPr>
        <w:t>صار لدينا حق</w:t>
      </w:r>
      <w:r w:rsidR="00F101FD">
        <w:rPr>
          <w:rFonts w:ascii="Traditional Arabic" w:hAnsi="Traditional Arabic" w:hint="cs"/>
          <w:noProof w:val="0"/>
          <w:rtl/>
          <w:lang w:eastAsia="en-US"/>
        </w:rPr>
        <w:t>ّ</w:t>
      </w:r>
      <w:r w:rsidR="00F101FD" w:rsidRPr="00C45DDD">
        <w:rPr>
          <w:rFonts w:ascii="Traditional Arabic" w:hAnsi="Traditional Arabic"/>
          <w:noProof w:val="0"/>
          <w:rtl/>
          <w:lang w:eastAsia="en-US"/>
        </w:rPr>
        <w:t>ان:</w:t>
      </w:r>
    </w:p>
    <w:p w:rsidR="00F101FD" w:rsidRPr="00C45DDD" w:rsidRDefault="00065E4B" w:rsidP="00597C20">
      <w:pPr>
        <w:widowControl/>
        <w:autoSpaceDE w:val="0"/>
        <w:autoSpaceDN w:val="0"/>
        <w:adjustRightInd w:val="0"/>
        <w:ind w:firstLine="720"/>
        <w:jc w:val="left"/>
        <w:rPr>
          <w:rFonts w:ascii="Traditional Arabic" w:hAnsi="Traditional Arabic"/>
          <w:noProof w:val="0"/>
          <w:rtl/>
          <w:lang w:eastAsia="en-US"/>
        </w:rPr>
      </w:pPr>
      <w:r w:rsidRPr="00C45DDD">
        <w:rPr>
          <w:rFonts w:ascii="Traditional Arabic" w:hAnsi="Traditional Arabic"/>
          <w:noProof w:val="0"/>
          <w:rtl/>
          <w:lang w:eastAsia="en-US"/>
        </w:rPr>
        <w:t>ا</w:t>
      </w:r>
      <w:r w:rsidR="00F101FD" w:rsidRPr="00C45DDD">
        <w:rPr>
          <w:rFonts w:ascii="Traditional Arabic" w:hAnsi="Traditional Arabic"/>
          <w:noProof w:val="0"/>
          <w:rtl/>
          <w:lang w:eastAsia="en-US"/>
        </w:rPr>
        <w:t>لأول: حق البائع على المشتري</w:t>
      </w:r>
      <w:r w:rsidR="00F101FD">
        <w:rPr>
          <w:rFonts w:ascii="Traditional Arabic" w:hAnsi="Traditional Arabic" w:hint="cs"/>
          <w:noProof w:val="0"/>
          <w:rtl/>
          <w:lang w:eastAsia="en-US"/>
        </w:rPr>
        <w:t>،</w:t>
      </w:r>
      <w:r w:rsidR="00F101FD" w:rsidRPr="00C45DDD">
        <w:rPr>
          <w:rFonts w:ascii="Traditional Arabic" w:hAnsi="Traditional Arabic"/>
          <w:noProof w:val="0"/>
          <w:rtl/>
          <w:lang w:eastAsia="en-US"/>
        </w:rPr>
        <w:t xml:space="preserve"> وثبت </w:t>
      </w:r>
      <w:r w:rsidR="00F101FD">
        <w:rPr>
          <w:rFonts w:ascii="Traditional Arabic" w:hAnsi="Traditional Arabic" w:hint="cs"/>
          <w:noProof w:val="0"/>
          <w:rtl/>
          <w:lang w:eastAsia="en-US"/>
        </w:rPr>
        <w:t xml:space="preserve">بالبينة </w:t>
      </w:r>
      <w:r w:rsidR="00F101FD" w:rsidRPr="00C45DDD">
        <w:rPr>
          <w:rFonts w:ascii="Traditional Arabic" w:hAnsi="Traditional Arabic"/>
          <w:noProof w:val="0"/>
          <w:rtl/>
          <w:lang w:eastAsia="en-US"/>
        </w:rPr>
        <w:t>أنه ألفان.</w:t>
      </w:r>
    </w:p>
    <w:p w:rsidR="00F101FD" w:rsidRPr="006E5B27" w:rsidRDefault="00F101FD" w:rsidP="00597C20">
      <w:pPr>
        <w:widowControl/>
        <w:autoSpaceDE w:val="0"/>
        <w:autoSpaceDN w:val="0"/>
        <w:adjustRightInd w:val="0"/>
        <w:ind w:firstLine="720"/>
        <w:rPr>
          <w:rFonts w:ascii="Traditional Arabic" w:hAnsi="Traditional Arabic"/>
          <w:noProof w:val="0"/>
          <w:color w:val="auto"/>
          <w:rtl/>
          <w:lang w:eastAsia="en-US"/>
        </w:rPr>
      </w:pPr>
      <w:r w:rsidRPr="006E5B27">
        <w:rPr>
          <w:rFonts w:ascii="Traditional Arabic" w:hAnsi="Traditional Arabic"/>
          <w:noProof w:val="0"/>
          <w:rtl/>
          <w:lang w:eastAsia="en-US"/>
        </w:rPr>
        <w:t>الثاني: حق المشتري على الشفيع</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وثبت بأنه بألف</w:t>
      </w:r>
      <w:r w:rsidRPr="006E5B27">
        <w:rPr>
          <w:rFonts w:ascii="Traditional Arabic" w:hAnsi="Traditional Arabic" w:hint="cs"/>
          <w:noProof w:val="0"/>
          <w:rtl/>
          <w:lang w:eastAsia="en-US"/>
        </w:rPr>
        <w:t>ٍ</w:t>
      </w:r>
      <w:r w:rsidRPr="006E5B27">
        <w:rPr>
          <w:rFonts w:ascii="Traditional Arabic" w:hAnsi="Traditional Arabic"/>
          <w:noProof w:val="0"/>
          <w:rtl/>
          <w:lang w:eastAsia="en-US"/>
        </w:rPr>
        <w:t xml:space="preserve"> بإقرار المشتري، وهنا تتبعض الأحكام؛ لاختلاف أسبابها</w:t>
      </w:r>
      <w:r w:rsidRPr="00C821A1">
        <w:rPr>
          <w:rStyle w:val="af1"/>
          <w:szCs w:val="32"/>
          <w:rtl/>
        </w:rPr>
        <w:t>(</w:t>
      </w:r>
      <w:r w:rsidRPr="00C821A1">
        <w:rPr>
          <w:rStyle w:val="af1"/>
          <w:szCs w:val="32"/>
          <w:rtl/>
        </w:rPr>
        <w:footnoteReference w:id="1819"/>
      </w:r>
      <w:r w:rsidRPr="00C821A1">
        <w:rPr>
          <w:rStyle w:val="af1"/>
          <w:szCs w:val="32"/>
          <w:rtl/>
        </w:rPr>
        <w:t>)</w:t>
      </w:r>
      <w:r w:rsidRPr="006E5B27">
        <w:rPr>
          <w:rFonts w:ascii="Traditional Arabic" w:hAnsi="Traditional Arabic" w:hint="cs"/>
          <w:noProof w:val="0"/>
          <w:rtl/>
          <w:lang w:eastAsia="en-US"/>
        </w:rPr>
        <w:t>.</w:t>
      </w:r>
    </w:p>
    <w:p w:rsidR="00F101FD" w:rsidRPr="00924C33" w:rsidRDefault="00F101FD" w:rsidP="000A76C7">
      <w:pPr>
        <w:pStyle w:val="afc"/>
        <w:widowControl/>
        <w:numPr>
          <w:ilvl w:val="0"/>
          <w:numId w:val="249"/>
        </w:numPr>
        <w:autoSpaceDE w:val="0"/>
        <w:autoSpaceDN w:val="0"/>
        <w:adjustRightInd w:val="0"/>
        <w:rPr>
          <w:rFonts w:ascii="Traditional Arabic" w:hAnsi="Traditional Arabic"/>
          <w:noProof w:val="0"/>
          <w:sz w:val="44"/>
          <w:szCs w:val="44"/>
          <w:lang w:eastAsia="en-US"/>
        </w:rPr>
      </w:pPr>
      <w:r w:rsidRPr="00924C33">
        <w:rPr>
          <w:rFonts w:ascii="Traditional Arabic" w:hAnsi="Traditional Arabic" w:hint="cs"/>
          <w:noProof w:val="0"/>
          <w:color w:val="auto"/>
          <w:rtl/>
          <w:lang w:eastAsia="en-US"/>
        </w:rPr>
        <w:t xml:space="preserve">من </w:t>
      </w:r>
      <w:r w:rsidRPr="00924C33">
        <w:rPr>
          <w:rFonts w:ascii="Traditional Arabic" w:hAnsi="Traditional Arabic"/>
          <w:noProof w:val="0"/>
          <w:color w:val="auto"/>
          <w:rtl/>
          <w:lang w:eastAsia="en-US"/>
        </w:rPr>
        <w:t>باع معلوما</w:t>
      </w:r>
      <w:r w:rsidRPr="00924C33">
        <w:rPr>
          <w:rFonts w:ascii="Traditional Arabic" w:hAnsi="Traditional Arabic" w:hint="cs"/>
          <w:noProof w:val="0"/>
          <w:color w:val="auto"/>
          <w:rtl/>
          <w:lang w:eastAsia="en-US"/>
        </w:rPr>
        <w:t>ً</w:t>
      </w:r>
      <w:r w:rsidRPr="00924C33">
        <w:rPr>
          <w:rFonts w:ascii="Traditional Arabic" w:hAnsi="Traditional Arabic"/>
          <w:noProof w:val="0"/>
          <w:color w:val="auto"/>
          <w:rtl/>
          <w:lang w:eastAsia="en-US"/>
        </w:rPr>
        <w:t xml:space="preserve"> ومجهولا</w:t>
      </w:r>
      <w:r w:rsidRPr="00924C33">
        <w:rPr>
          <w:rFonts w:ascii="Traditional Arabic" w:hAnsi="Traditional Arabic" w:hint="cs"/>
          <w:noProof w:val="0"/>
          <w:color w:val="auto"/>
          <w:rtl/>
          <w:lang w:eastAsia="en-US"/>
        </w:rPr>
        <w:t>ً</w:t>
      </w:r>
      <w:r w:rsidRPr="00924C33">
        <w:rPr>
          <w:rFonts w:ascii="Traditional Arabic" w:hAnsi="Traditional Arabic"/>
          <w:noProof w:val="0"/>
          <w:color w:val="auto"/>
          <w:rtl/>
          <w:lang w:eastAsia="en-US"/>
        </w:rPr>
        <w:t xml:space="preserve"> لم يتعذ</w:t>
      </w:r>
      <w:r w:rsidRPr="00924C33">
        <w:rPr>
          <w:rFonts w:ascii="Traditional Arabic" w:hAnsi="Traditional Arabic" w:hint="cs"/>
          <w:noProof w:val="0"/>
          <w:color w:val="auto"/>
          <w:rtl/>
          <w:lang w:eastAsia="en-US"/>
        </w:rPr>
        <w:t>َّ</w:t>
      </w:r>
      <w:r w:rsidRPr="00924C33">
        <w:rPr>
          <w:rFonts w:ascii="Traditional Arabic" w:hAnsi="Traditional Arabic"/>
          <w:noProof w:val="0"/>
          <w:color w:val="auto"/>
          <w:rtl/>
          <w:lang w:eastAsia="en-US"/>
        </w:rPr>
        <w:t xml:space="preserve">ر </w:t>
      </w:r>
      <w:r w:rsidRPr="00924C33">
        <w:rPr>
          <w:rFonts w:ascii="Traditional Arabic" w:hAnsi="Traditional Arabic" w:hint="cs"/>
          <w:noProof w:val="0"/>
          <w:color w:val="auto"/>
          <w:rtl/>
          <w:lang w:eastAsia="en-US"/>
        </w:rPr>
        <w:t xml:space="preserve">عِلمُه </w:t>
      </w:r>
      <w:r w:rsidRPr="00924C33">
        <w:rPr>
          <w:rFonts w:ascii="Traditional Arabic" w:hAnsi="Traditional Arabic"/>
          <w:noProof w:val="0"/>
          <w:color w:val="auto"/>
          <w:rtl/>
          <w:lang w:eastAsia="en-US"/>
        </w:rPr>
        <w:t>صح</w:t>
      </w:r>
      <w:r w:rsidRPr="00924C33">
        <w:rPr>
          <w:rFonts w:ascii="Traditional Arabic" w:hAnsi="Traditional Arabic" w:hint="cs"/>
          <w:noProof w:val="0"/>
          <w:color w:val="auto"/>
          <w:rtl/>
          <w:lang w:eastAsia="en-US"/>
        </w:rPr>
        <w:t>َّ</w:t>
      </w:r>
      <w:r w:rsidR="001C5656">
        <w:rPr>
          <w:rFonts w:ascii="Traditional Arabic" w:hAnsi="Traditional Arabic" w:hint="cs"/>
          <w:noProof w:val="0"/>
          <w:color w:val="auto"/>
          <w:rtl/>
          <w:lang w:eastAsia="en-US"/>
        </w:rPr>
        <w:t xml:space="preserve"> </w:t>
      </w:r>
      <w:r w:rsidRPr="00924C33">
        <w:rPr>
          <w:rFonts w:ascii="Traditional Arabic" w:hAnsi="Traditional Arabic" w:hint="cs"/>
          <w:noProof w:val="0"/>
          <w:color w:val="auto"/>
          <w:rtl/>
          <w:lang w:eastAsia="en-US"/>
        </w:rPr>
        <w:t xml:space="preserve">البيع </w:t>
      </w:r>
      <w:r w:rsidRPr="00924C33">
        <w:rPr>
          <w:rFonts w:ascii="Traditional Arabic" w:hAnsi="Traditional Arabic"/>
          <w:noProof w:val="0"/>
          <w:color w:val="auto"/>
          <w:rtl/>
          <w:lang w:eastAsia="en-US"/>
        </w:rPr>
        <w:t>في المعلوم بق</w:t>
      </w:r>
      <w:r w:rsidRPr="00924C33">
        <w:rPr>
          <w:rFonts w:ascii="Traditional Arabic" w:hAnsi="Traditional Arabic" w:hint="cs"/>
          <w:noProof w:val="0"/>
          <w:color w:val="auto"/>
          <w:rtl/>
          <w:lang w:eastAsia="en-US"/>
        </w:rPr>
        <w:t>ِ</w:t>
      </w:r>
      <w:r w:rsidRPr="00924C33">
        <w:rPr>
          <w:rFonts w:ascii="Traditional Arabic" w:hAnsi="Traditional Arabic"/>
          <w:noProof w:val="0"/>
          <w:color w:val="auto"/>
          <w:rtl/>
          <w:lang w:eastAsia="en-US"/>
        </w:rPr>
        <w:t>سطه</w:t>
      </w:r>
      <w:r w:rsidRPr="00924C33">
        <w:rPr>
          <w:rFonts w:ascii="Traditional Arabic" w:hAnsi="Traditional Arabic"/>
          <w:noProof w:val="0"/>
          <w:sz w:val="44"/>
          <w:szCs w:val="44"/>
          <w:rtl/>
          <w:lang w:eastAsia="en-US"/>
        </w:rPr>
        <w:t xml:space="preserve">؛ </w:t>
      </w:r>
      <w:r w:rsidRPr="00924C33">
        <w:rPr>
          <w:rFonts w:ascii="Traditional Arabic" w:hAnsi="Traditional Arabic"/>
          <w:noProof w:val="0"/>
          <w:rtl/>
          <w:lang w:eastAsia="en-US"/>
        </w:rPr>
        <w:t>لأنه يمكن أن يقس</w:t>
      </w:r>
      <w:r>
        <w:rPr>
          <w:rFonts w:ascii="Traditional Arabic" w:hAnsi="Traditional Arabic" w:hint="cs"/>
          <w:noProof w:val="0"/>
          <w:rtl/>
          <w:lang w:eastAsia="en-US"/>
        </w:rPr>
        <w:t>َّ</w:t>
      </w:r>
      <w:r w:rsidRPr="00924C33">
        <w:rPr>
          <w:rFonts w:ascii="Traditional Arabic" w:hAnsi="Traditional Arabic"/>
          <w:noProof w:val="0"/>
          <w:rtl/>
          <w:lang w:eastAsia="en-US"/>
        </w:rPr>
        <w:t>ط الثمن على المعلوم وعلى المجهول، وي</w:t>
      </w:r>
      <w:r>
        <w:rPr>
          <w:rFonts w:ascii="Traditional Arabic" w:hAnsi="Traditional Arabic" w:hint="cs"/>
          <w:noProof w:val="0"/>
          <w:rtl/>
          <w:lang w:eastAsia="en-US"/>
        </w:rPr>
        <w:t>ُ</w:t>
      </w:r>
      <w:r w:rsidRPr="00924C33">
        <w:rPr>
          <w:rFonts w:ascii="Traditional Arabic" w:hAnsi="Traditional Arabic"/>
          <w:noProof w:val="0"/>
          <w:rtl/>
          <w:lang w:eastAsia="en-US"/>
        </w:rPr>
        <w:t>عر</w:t>
      </w:r>
      <w:r>
        <w:rPr>
          <w:rFonts w:ascii="Traditional Arabic" w:hAnsi="Traditional Arabic" w:hint="cs"/>
          <w:noProof w:val="0"/>
          <w:rtl/>
          <w:lang w:eastAsia="en-US"/>
        </w:rPr>
        <w:t>َ</w:t>
      </w:r>
      <w:r w:rsidRPr="00924C33">
        <w:rPr>
          <w:rFonts w:ascii="Traditional Arabic" w:hAnsi="Traditional Arabic"/>
          <w:noProof w:val="0"/>
          <w:rtl/>
          <w:lang w:eastAsia="en-US"/>
        </w:rPr>
        <w:t>ف ثمن المعلوم</w:t>
      </w:r>
      <w:r w:rsidRPr="00C821A1">
        <w:rPr>
          <w:rStyle w:val="af1"/>
          <w:szCs w:val="32"/>
          <w:rtl/>
        </w:rPr>
        <w:t>(</w:t>
      </w:r>
      <w:r w:rsidRPr="00C821A1">
        <w:rPr>
          <w:rStyle w:val="af1"/>
          <w:szCs w:val="32"/>
          <w:rtl/>
        </w:rPr>
        <w:footnoteReference w:id="1820"/>
      </w:r>
      <w:r w:rsidRPr="00C821A1">
        <w:rPr>
          <w:rStyle w:val="af1"/>
          <w:szCs w:val="32"/>
          <w:rtl/>
        </w:rPr>
        <w:t>)</w:t>
      </w:r>
      <w:r w:rsidRPr="00924C33">
        <w:rPr>
          <w:rFonts w:ascii="Traditional Arabic" w:hAnsi="Traditional Arabic"/>
          <w:noProof w:val="0"/>
          <w:rtl/>
          <w:lang w:eastAsia="en-US"/>
        </w:rPr>
        <w:t>.</w:t>
      </w:r>
    </w:p>
    <w:p w:rsidR="00F101FD" w:rsidRDefault="00F101FD" w:rsidP="00597C20">
      <w:pPr>
        <w:pStyle w:val="afc"/>
        <w:widowControl/>
        <w:autoSpaceDE w:val="0"/>
        <w:autoSpaceDN w:val="0"/>
        <w:adjustRightInd w:val="0"/>
        <w:ind w:left="1080" w:firstLine="0"/>
        <w:rPr>
          <w:rFonts w:ascii="Traditional Arabic" w:hAnsi="Traditional Arabic"/>
          <w:noProof w:val="0"/>
          <w:color w:val="auto"/>
          <w:rtl/>
          <w:lang w:eastAsia="en-US"/>
        </w:rPr>
      </w:pPr>
      <w:r w:rsidRPr="00924C33">
        <w:rPr>
          <w:rFonts w:ascii="Traditional Arabic" w:hAnsi="Traditional Arabic"/>
          <w:noProof w:val="0"/>
          <w:rtl/>
          <w:lang w:eastAsia="en-US"/>
        </w:rPr>
        <w:t>مثال ذلك: با</w:t>
      </w:r>
      <w:r w:rsidR="00DD7DD4">
        <w:rPr>
          <w:rFonts w:ascii="Traditional Arabic" w:hAnsi="Traditional Arabic"/>
          <w:noProof w:val="0"/>
          <w:rtl/>
          <w:lang w:eastAsia="en-US"/>
        </w:rPr>
        <w:t xml:space="preserve">ع عليه </w:t>
      </w:r>
      <w:r w:rsidR="001C5656">
        <w:rPr>
          <w:rFonts w:ascii="Traditional Arabic" w:hAnsi="Traditional Arabic" w:hint="cs"/>
          <w:noProof w:val="0"/>
          <w:rtl/>
          <w:lang w:eastAsia="en-US"/>
        </w:rPr>
        <w:t>سيارتين بعشرة آلاف: ال</w:t>
      </w:r>
      <w:r w:rsidR="00DD7DD4">
        <w:rPr>
          <w:rFonts w:ascii="Traditional Arabic" w:hAnsi="Traditional Arabic"/>
          <w:noProof w:val="0"/>
          <w:rtl/>
          <w:lang w:eastAsia="en-US"/>
        </w:rPr>
        <w:t xml:space="preserve">سيارة الموجودة الآن </w:t>
      </w:r>
      <w:r w:rsidR="00DD7DD4">
        <w:rPr>
          <w:rFonts w:ascii="Traditional Arabic" w:hAnsi="Traditional Arabic" w:hint="cs"/>
          <w:noProof w:val="0"/>
          <w:rtl/>
          <w:lang w:eastAsia="en-US"/>
        </w:rPr>
        <w:t>في هذا المكان</w:t>
      </w:r>
      <w:r w:rsidR="001C5656">
        <w:rPr>
          <w:rFonts w:ascii="Traditional Arabic" w:hAnsi="Traditional Arabic"/>
          <w:noProof w:val="0"/>
          <w:rtl/>
          <w:lang w:eastAsia="en-US"/>
        </w:rPr>
        <w:t>، وسيارة أخرى غائبة</w:t>
      </w:r>
      <w:r w:rsidRPr="00924C33">
        <w:rPr>
          <w:rFonts w:ascii="Traditional Arabic" w:hAnsi="Traditional Arabic"/>
          <w:noProof w:val="0"/>
          <w:rtl/>
          <w:lang w:eastAsia="en-US"/>
        </w:rPr>
        <w:t>، ف</w:t>
      </w:r>
      <w:r w:rsidR="001C5656">
        <w:rPr>
          <w:rFonts w:ascii="Traditional Arabic" w:hAnsi="Traditional Arabic" w:hint="cs"/>
          <w:noProof w:val="0"/>
          <w:rtl/>
          <w:lang w:eastAsia="en-US"/>
        </w:rPr>
        <w:t xml:space="preserve">هنا </w:t>
      </w:r>
      <w:r w:rsidRPr="00924C33">
        <w:rPr>
          <w:rFonts w:ascii="Traditional Arabic" w:hAnsi="Traditional Arabic"/>
          <w:noProof w:val="0"/>
          <w:rtl/>
          <w:lang w:eastAsia="en-US"/>
        </w:rPr>
        <w:t xml:space="preserve">يصح </w:t>
      </w:r>
      <w:r w:rsidRPr="00924C33">
        <w:rPr>
          <w:rFonts w:ascii="Traditional Arabic" w:hAnsi="Traditional Arabic" w:hint="cs"/>
          <w:noProof w:val="0"/>
          <w:rtl/>
          <w:lang w:eastAsia="en-US"/>
        </w:rPr>
        <w:t xml:space="preserve">البيع </w:t>
      </w:r>
      <w:r w:rsidRPr="00924C33">
        <w:rPr>
          <w:rFonts w:ascii="Traditional Arabic" w:hAnsi="Traditional Arabic"/>
          <w:noProof w:val="0"/>
          <w:rtl/>
          <w:lang w:eastAsia="en-US"/>
        </w:rPr>
        <w:t>في الحاضرة، و</w:t>
      </w:r>
      <w:r w:rsidRPr="00924C33">
        <w:rPr>
          <w:rFonts w:ascii="Traditional Arabic" w:hAnsi="Traditional Arabic" w:hint="cs"/>
          <w:noProof w:val="0"/>
          <w:rtl/>
          <w:lang w:eastAsia="en-US"/>
        </w:rPr>
        <w:t xml:space="preserve">لا يصح في </w:t>
      </w:r>
      <w:r w:rsidRPr="00924C33">
        <w:rPr>
          <w:rFonts w:ascii="Traditional Arabic" w:hAnsi="Traditional Arabic"/>
          <w:noProof w:val="0"/>
          <w:rtl/>
          <w:lang w:eastAsia="en-US"/>
        </w:rPr>
        <w:t>الغائبة؛ لأنها مجهولة</w:t>
      </w:r>
      <w:r w:rsidRPr="00C821A1">
        <w:rPr>
          <w:rStyle w:val="af1"/>
          <w:szCs w:val="32"/>
          <w:rtl/>
        </w:rPr>
        <w:t>(</w:t>
      </w:r>
      <w:r w:rsidRPr="00C821A1">
        <w:rPr>
          <w:rStyle w:val="af1"/>
          <w:szCs w:val="32"/>
          <w:rtl/>
        </w:rPr>
        <w:footnoteReference w:id="1821"/>
      </w:r>
      <w:r w:rsidRPr="00C821A1">
        <w:rPr>
          <w:rStyle w:val="af1"/>
          <w:szCs w:val="32"/>
          <w:rtl/>
        </w:rPr>
        <w:t>)</w:t>
      </w:r>
      <w:r w:rsidRPr="00924C33">
        <w:rPr>
          <w:rFonts w:ascii="Traditional Arabic" w:hAnsi="Traditional Arabic"/>
          <w:noProof w:val="0"/>
          <w:rtl/>
          <w:lang w:eastAsia="en-US"/>
        </w:rPr>
        <w:t>.</w:t>
      </w:r>
    </w:p>
    <w:p w:rsidR="00065E4B" w:rsidRDefault="00F101FD" w:rsidP="00597C20">
      <w:pPr>
        <w:pStyle w:val="53"/>
        <w:rPr>
          <w:rtl/>
        </w:rPr>
      </w:pPr>
      <w:r>
        <w:rPr>
          <w:rFonts w:hint="cs"/>
          <w:rtl/>
        </w:rPr>
        <w:t>وجه اندراج الفرع تحت القاعدة:</w:t>
      </w:r>
    </w:p>
    <w:p w:rsidR="00F101FD" w:rsidRDefault="00065E4B" w:rsidP="00597C20">
      <w:pPr>
        <w:widowControl/>
        <w:autoSpaceDE w:val="0"/>
        <w:autoSpaceDN w:val="0"/>
        <w:adjustRightInd w:val="0"/>
        <w:ind w:firstLine="720"/>
        <w:rPr>
          <w:rFonts w:ascii="Traditional Arabic" w:hAnsi="Traditional Arabic"/>
          <w:noProof w:val="0"/>
          <w:rtl/>
          <w:lang w:eastAsia="en-US"/>
        </w:rPr>
      </w:pPr>
      <w:r w:rsidRPr="00CD3A23">
        <w:rPr>
          <w:rFonts w:ascii="Traditional Arabic" w:hAnsi="Traditional Arabic"/>
          <w:noProof w:val="0"/>
          <w:rtl/>
          <w:lang w:eastAsia="en-US"/>
        </w:rPr>
        <w:t>و</w:t>
      </w:r>
      <w:r w:rsidR="00F101FD" w:rsidRPr="00CD3A23">
        <w:rPr>
          <w:rFonts w:ascii="Traditional Arabic" w:hAnsi="Traditional Arabic"/>
          <w:noProof w:val="0"/>
          <w:rtl/>
          <w:lang w:eastAsia="en-US"/>
        </w:rPr>
        <w:t>هذه</w:t>
      </w:r>
      <w:r w:rsidR="00F101FD" w:rsidRPr="00CD3A23">
        <w:rPr>
          <w:rFonts w:ascii="Traditional Arabic" w:hAnsi="Traditional Arabic" w:hint="cs"/>
          <w:noProof w:val="0"/>
          <w:rtl/>
          <w:lang w:eastAsia="en-US"/>
        </w:rPr>
        <w:t xml:space="preserve"> المسألة هي إحدى</w:t>
      </w:r>
      <w:r w:rsidR="00F101FD" w:rsidRPr="00CD3A23">
        <w:rPr>
          <w:rFonts w:ascii="Traditional Arabic" w:hAnsi="Traditional Arabic"/>
          <w:noProof w:val="0"/>
          <w:rtl/>
          <w:lang w:eastAsia="en-US"/>
        </w:rPr>
        <w:t xml:space="preserve"> </w:t>
      </w:r>
      <w:r w:rsidR="00F101FD" w:rsidRPr="00CD3A23">
        <w:rPr>
          <w:rFonts w:ascii="Traditional Arabic" w:hAnsi="Traditional Arabic" w:hint="cs"/>
          <w:noProof w:val="0"/>
          <w:rtl/>
          <w:lang w:eastAsia="en-US"/>
        </w:rPr>
        <w:t>مسائل تفريق الصفقة</w:t>
      </w:r>
      <w:r w:rsidR="00F101FD">
        <w:rPr>
          <w:rFonts w:ascii="Traditional Arabic" w:hAnsi="Traditional Arabic"/>
          <w:noProof w:val="0"/>
          <w:rtl/>
          <w:lang w:eastAsia="en-US"/>
        </w:rPr>
        <w:t xml:space="preserve">، </w:t>
      </w:r>
      <w:r w:rsidR="00F101FD">
        <w:rPr>
          <w:rFonts w:ascii="Traditional Arabic" w:hAnsi="Traditional Arabic" w:hint="cs"/>
          <w:noProof w:val="0"/>
          <w:rtl/>
          <w:lang w:eastAsia="en-US"/>
        </w:rPr>
        <w:t>التي تتبعض فيها الأحكام،</w:t>
      </w:r>
      <w:r w:rsidR="001C5656">
        <w:rPr>
          <w:rFonts w:ascii="Traditional Arabic" w:hAnsi="Traditional Arabic" w:hint="cs"/>
          <w:noProof w:val="0"/>
          <w:rtl/>
          <w:lang w:eastAsia="en-US"/>
        </w:rPr>
        <w:t xml:space="preserve"> </w:t>
      </w:r>
      <w:r w:rsidR="00F101FD">
        <w:rPr>
          <w:rFonts w:ascii="Traditional Arabic" w:hAnsi="Traditional Arabic" w:hint="cs"/>
          <w:noProof w:val="0"/>
          <w:rtl/>
          <w:lang w:eastAsia="en-US"/>
        </w:rPr>
        <w:t>ف</w:t>
      </w:r>
      <w:r w:rsidR="00F101FD" w:rsidRPr="00CD3A23">
        <w:rPr>
          <w:rFonts w:ascii="Traditional Arabic" w:hAnsi="Traditional Arabic"/>
          <w:noProof w:val="0"/>
          <w:rtl/>
          <w:lang w:eastAsia="en-US"/>
        </w:rPr>
        <w:t>يصح</w:t>
      </w:r>
      <w:r w:rsidR="00F101FD">
        <w:rPr>
          <w:rFonts w:ascii="Traditional Arabic" w:hAnsi="Traditional Arabic" w:hint="cs"/>
          <w:noProof w:val="0"/>
          <w:rtl/>
          <w:lang w:eastAsia="en-US"/>
        </w:rPr>
        <w:t>ُّ</w:t>
      </w:r>
      <w:r w:rsidR="00F101FD" w:rsidRPr="00CD3A23">
        <w:rPr>
          <w:rFonts w:ascii="Traditional Arabic" w:hAnsi="Traditional Arabic"/>
          <w:noProof w:val="0"/>
          <w:rtl/>
          <w:lang w:eastAsia="en-US"/>
        </w:rPr>
        <w:t xml:space="preserve"> البيع فيها بما يصح عقد</w:t>
      </w:r>
      <w:r w:rsidR="00F101FD">
        <w:rPr>
          <w:rFonts w:ascii="Traditional Arabic" w:hAnsi="Traditional Arabic" w:hint="cs"/>
          <w:noProof w:val="0"/>
          <w:rtl/>
          <w:lang w:eastAsia="en-US"/>
        </w:rPr>
        <w:t>ُ</w:t>
      </w:r>
      <w:r w:rsidR="00F101FD" w:rsidRPr="00CD3A23">
        <w:rPr>
          <w:rFonts w:ascii="Traditional Arabic" w:hAnsi="Traditional Arabic"/>
          <w:noProof w:val="0"/>
          <w:rtl/>
          <w:lang w:eastAsia="en-US"/>
        </w:rPr>
        <w:t xml:space="preserve"> البيع عليه</w:t>
      </w:r>
      <w:r w:rsidR="00F101FD">
        <w:rPr>
          <w:rFonts w:ascii="Traditional Arabic" w:hAnsi="Traditional Arabic" w:hint="cs"/>
          <w:noProof w:val="0"/>
          <w:rtl/>
          <w:lang w:eastAsia="en-US"/>
        </w:rPr>
        <w:t xml:space="preserve"> لِكَون المبيع معلوما،</w:t>
      </w:r>
      <w:r w:rsidR="00F101FD" w:rsidRPr="00CD3A23">
        <w:rPr>
          <w:rFonts w:ascii="Traditional Arabic" w:hAnsi="Traditional Arabic" w:hint="cs"/>
          <w:noProof w:val="0"/>
          <w:rtl/>
          <w:lang w:eastAsia="en-US"/>
        </w:rPr>
        <w:t xml:space="preserve"> ولم يصح</w:t>
      </w:r>
      <w:r w:rsidR="00F101FD">
        <w:rPr>
          <w:rFonts w:ascii="Traditional Arabic" w:hAnsi="Traditional Arabic" w:hint="cs"/>
          <w:noProof w:val="0"/>
          <w:rtl/>
          <w:lang w:eastAsia="en-US"/>
        </w:rPr>
        <w:t>َّ</w:t>
      </w:r>
      <w:r w:rsidR="00F101FD" w:rsidRPr="00CD3A23">
        <w:rPr>
          <w:rFonts w:ascii="Traditional Arabic" w:hAnsi="Traditional Arabic" w:hint="cs"/>
          <w:noProof w:val="0"/>
          <w:rtl/>
          <w:lang w:eastAsia="en-US"/>
        </w:rPr>
        <w:t xml:space="preserve"> البيع في الباقي ل</w:t>
      </w:r>
      <w:r w:rsidR="00F101FD">
        <w:rPr>
          <w:rFonts w:ascii="Traditional Arabic" w:hAnsi="Traditional Arabic" w:hint="cs"/>
          <w:noProof w:val="0"/>
          <w:rtl/>
          <w:lang w:eastAsia="en-US"/>
        </w:rPr>
        <w:t>ِ</w:t>
      </w:r>
      <w:r w:rsidR="00F101FD" w:rsidRPr="00CD3A23">
        <w:rPr>
          <w:rFonts w:ascii="Traditional Arabic" w:hAnsi="Traditional Arabic" w:hint="cs"/>
          <w:noProof w:val="0"/>
          <w:rtl/>
          <w:lang w:eastAsia="en-US"/>
        </w:rPr>
        <w:t>ك</w:t>
      </w:r>
      <w:r w:rsidR="00F101FD">
        <w:rPr>
          <w:rFonts w:ascii="Traditional Arabic" w:hAnsi="Traditional Arabic" w:hint="cs"/>
          <w:noProof w:val="0"/>
          <w:rtl/>
          <w:lang w:eastAsia="en-US"/>
        </w:rPr>
        <w:t>َ</w:t>
      </w:r>
      <w:r w:rsidR="00F101FD" w:rsidRPr="00CD3A23">
        <w:rPr>
          <w:rFonts w:ascii="Traditional Arabic" w:hAnsi="Traditional Arabic" w:hint="cs"/>
          <w:noProof w:val="0"/>
          <w:rtl/>
          <w:lang w:eastAsia="en-US"/>
        </w:rPr>
        <w:t>ونه مجهولا</w:t>
      </w:r>
      <w:r w:rsidR="00F101FD">
        <w:rPr>
          <w:rFonts w:ascii="Traditional Arabic" w:hAnsi="Traditional Arabic" w:hint="cs"/>
          <w:noProof w:val="0"/>
          <w:rtl/>
          <w:lang w:eastAsia="en-US"/>
        </w:rPr>
        <w:t>ً</w:t>
      </w:r>
      <w:r w:rsidR="00F101FD" w:rsidRPr="00C821A1">
        <w:rPr>
          <w:rStyle w:val="af1"/>
          <w:szCs w:val="32"/>
          <w:rtl/>
        </w:rPr>
        <w:t>(</w:t>
      </w:r>
      <w:r w:rsidR="00F101FD" w:rsidRPr="00C821A1">
        <w:rPr>
          <w:rStyle w:val="af1"/>
          <w:szCs w:val="32"/>
          <w:rtl/>
        </w:rPr>
        <w:footnoteReference w:id="1822"/>
      </w:r>
      <w:r w:rsidR="00F101FD" w:rsidRPr="00C821A1">
        <w:rPr>
          <w:rStyle w:val="af1"/>
          <w:szCs w:val="32"/>
          <w:rtl/>
        </w:rPr>
        <w:t>)</w:t>
      </w:r>
      <w:r w:rsidR="00F101FD" w:rsidRPr="00CD3A23">
        <w:rPr>
          <w:rFonts w:ascii="Traditional Arabic" w:hAnsi="Traditional Arabic" w:hint="cs"/>
          <w:noProof w:val="0"/>
          <w:rtl/>
          <w:lang w:eastAsia="en-US"/>
        </w:rPr>
        <w:t>.</w:t>
      </w:r>
    </w:p>
    <w:p w:rsidR="00F101FD" w:rsidRPr="00C85F0F" w:rsidRDefault="00D816CC" w:rsidP="000F5C0F">
      <w:pPr>
        <w:pStyle w:val="aff2"/>
        <w:rPr>
          <w:rtl/>
        </w:rPr>
      </w:pPr>
      <w:bookmarkStart w:id="381" w:name="_Toc334046579"/>
      <w:r w:rsidRPr="00D816CC">
        <w:rPr>
          <w:rFonts w:hint="cs"/>
          <w:rtl/>
        </w:rPr>
        <w:lastRenderedPageBreak/>
        <w:t>المبحث الثاني</w:t>
      </w:r>
      <w:r>
        <w:rPr>
          <w:rFonts w:hint="eastAsia"/>
          <w:rtl/>
        </w:rPr>
        <w:t> </w:t>
      </w:r>
      <w:r w:rsidRPr="00D816CC">
        <w:rPr>
          <w:rFonts w:hint="cs"/>
          <w:rtl/>
        </w:rPr>
        <w:t>:</w:t>
      </w:r>
      <w:r>
        <w:rPr>
          <w:rtl/>
        </w:rPr>
        <w:br/>
      </w:r>
      <w:r w:rsidRPr="00D816CC">
        <w:rPr>
          <w:rFonts w:hint="cs"/>
          <w:rtl/>
        </w:rPr>
        <w:t>قاعدة</w:t>
      </w:r>
      <w:r>
        <w:rPr>
          <w:rtl/>
        </w:rPr>
        <w:br/>
      </w:r>
      <w:r w:rsidR="00F101FD">
        <w:rPr>
          <w:rFonts w:hint="cs"/>
          <w:rtl/>
        </w:rPr>
        <w:t>"</w:t>
      </w:r>
      <w:r w:rsidRPr="00D816CC">
        <w:rPr>
          <w:rFonts w:hint="cs"/>
          <w:rtl/>
        </w:rPr>
        <w:t>الاحتياط</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الاحتياط</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F101FD" w:rsidRPr="00C85F0F">
        <w:rPr>
          <w:rFonts w:hint="cs"/>
          <w:rtl/>
        </w:rPr>
        <w:t>"</w:t>
      </w:r>
      <w:r w:rsidR="00F101FD" w:rsidRPr="00C85F0F">
        <w:rPr>
          <w:rStyle w:val="af1"/>
          <w:b w:val="0"/>
          <w:bCs w:val="0"/>
          <w:szCs w:val="32"/>
          <w:rtl/>
        </w:rPr>
        <w:t>(</w:t>
      </w:r>
      <w:r w:rsidR="00F101FD" w:rsidRPr="00C85F0F">
        <w:rPr>
          <w:rStyle w:val="af1"/>
          <w:b w:val="0"/>
          <w:bCs w:val="0"/>
          <w:szCs w:val="32"/>
          <w:rtl/>
        </w:rPr>
        <w:footnoteReference w:id="1823"/>
      </w:r>
      <w:r w:rsidR="00F101FD" w:rsidRPr="00C85F0F">
        <w:rPr>
          <w:rStyle w:val="af1"/>
          <w:b w:val="0"/>
          <w:bCs w:val="0"/>
          <w:szCs w:val="32"/>
          <w:rtl/>
        </w:rPr>
        <w:t>)</w:t>
      </w:r>
      <w:bookmarkEnd w:id="381"/>
    </w:p>
    <w:p w:rsidR="00F101FD" w:rsidRPr="00C85F0F" w:rsidRDefault="00E53CE8" w:rsidP="00A8347C">
      <w:pPr>
        <w:pStyle w:val="aff3"/>
        <w:rPr>
          <w:rtl/>
        </w:rPr>
      </w:pPr>
      <w:bookmarkStart w:id="382" w:name="_Toc334046580"/>
      <w:r>
        <w:rPr>
          <w:rFonts w:hint="cs"/>
          <w:rtl/>
        </w:rPr>
        <w:t xml:space="preserve">                      </w:t>
      </w:r>
      <w:r w:rsidR="003E06B0">
        <w:rPr>
          <w:rFonts w:hint="cs"/>
          <w:rtl/>
        </w:rPr>
        <w:t xml:space="preserve">                   </w:t>
      </w:r>
      <w:r>
        <w:rPr>
          <w:rFonts w:hint="cs"/>
          <w:rtl/>
        </w:rPr>
        <w:t>المطلب</w:t>
      </w:r>
      <w:r w:rsidR="003E06B0">
        <w:rPr>
          <w:rFonts w:hint="cs"/>
          <w:rtl/>
        </w:rPr>
        <w:t xml:space="preserve"> </w:t>
      </w:r>
      <w:r w:rsidR="00F101FD" w:rsidRPr="00C85F0F">
        <w:rPr>
          <w:rFonts w:hint="cs"/>
          <w:rtl/>
        </w:rPr>
        <w:t>الأول</w:t>
      </w:r>
      <w:r w:rsidR="00F101FD" w:rsidRPr="00C85F0F">
        <w:rPr>
          <w:rFonts w:hint="eastAsia"/>
          <w:rtl/>
        </w:rPr>
        <w:t> :</w:t>
      </w:r>
      <w:r w:rsidR="00F101FD" w:rsidRPr="00C85F0F">
        <w:rPr>
          <w:rFonts w:hint="cs"/>
          <w:rtl/>
        </w:rPr>
        <w:br/>
      </w:r>
      <w:r>
        <w:rPr>
          <w:rFonts w:hint="cs"/>
          <w:rtl/>
        </w:rPr>
        <w:t xml:space="preserve">                  </w:t>
      </w:r>
      <w:r w:rsidR="0095241C">
        <w:rPr>
          <w:rFonts w:hint="cs"/>
          <w:rtl/>
        </w:rPr>
        <w:t xml:space="preserve">     </w:t>
      </w:r>
      <w:r w:rsidR="00F101FD" w:rsidRPr="00C85F0F">
        <w:rPr>
          <w:rFonts w:hint="cs"/>
          <w:rtl/>
        </w:rPr>
        <w:t>صيغ القاعدة عند الشيخ وعند علماء القواعد</w:t>
      </w:r>
      <w:bookmarkEnd w:id="382"/>
    </w:p>
    <w:p w:rsidR="00065E4B" w:rsidRPr="00C85F0F" w:rsidRDefault="00F101FD" w:rsidP="00597C20">
      <w:pPr>
        <w:ind w:firstLine="720"/>
        <w:rPr>
          <w:rtl/>
        </w:rPr>
      </w:pPr>
      <w:r w:rsidRPr="00C85F0F">
        <w:rPr>
          <w:rFonts w:hint="cs"/>
          <w:rtl/>
        </w:rPr>
        <w:t xml:space="preserve">لم يذكر الشيخ ابن عثيمين </w:t>
      </w:r>
      <w:r w:rsidR="00CD5DFD">
        <w:rPr>
          <w:rFonts w:hint="cs"/>
          <w:rtl/>
        </w:rPr>
        <w:t>_</w:t>
      </w:r>
      <w:r w:rsidR="009A0575" w:rsidRPr="005D5694">
        <w:rPr>
          <w:rFonts w:ascii="Traditional Arabic" w:hAnsi="Traditional Arabic" w:cs="CTraditional Arabic" w:hint="cs"/>
          <w:rtl/>
        </w:rPr>
        <w:t>/</w:t>
      </w:r>
      <w:r w:rsidR="00CD5DFD">
        <w:rPr>
          <w:rFonts w:hint="cs"/>
          <w:rtl/>
        </w:rPr>
        <w:t>_ح</w:t>
      </w:r>
      <w:r w:rsidRPr="00C85F0F">
        <w:rPr>
          <w:rFonts w:hint="cs"/>
          <w:rtl/>
        </w:rPr>
        <w:t>سب ما اطلعت عليه-</w:t>
      </w:r>
      <w:r w:rsidR="009A3A72">
        <w:rPr>
          <w:rFonts w:hint="cs"/>
          <w:rtl/>
        </w:rPr>
        <w:t xml:space="preserve"> في كتاب البيع من الشرح الممتع </w:t>
      </w:r>
      <w:r w:rsidRPr="00C85F0F">
        <w:rPr>
          <w:rFonts w:hint="cs"/>
          <w:rtl/>
        </w:rPr>
        <w:t>هذه القاعدة بصيغة معينة، وإنما أشار إلى معناها، فإنه أحيانا يرجِّح قولا ويعلِّل ذلك بكونه أَحْوَطَ</w:t>
      </w:r>
      <w:r w:rsidRPr="00C85F0F">
        <w:rPr>
          <w:rStyle w:val="af1"/>
          <w:szCs w:val="32"/>
          <w:rtl/>
        </w:rPr>
        <w:t>(</w:t>
      </w:r>
      <w:r w:rsidRPr="00C85F0F">
        <w:rPr>
          <w:rStyle w:val="af1"/>
          <w:szCs w:val="32"/>
          <w:rtl/>
        </w:rPr>
        <w:footnoteReference w:id="1824"/>
      </w:r>
      <w:r w:rsidRPr="00C85F0F">
        <w:rPr>
          <w:rStyle w:val="af1"/>
          <w:szCs w:val="32"/>
          <w:rtl/>
        </w:rPr>
        <w:t>)</w:t>
      </w:r>
      <w:r w:rsidRPr="00C85F0F">
        <w:rPr>
          <w:rFonts w:hint="cs"/>
          <w:rtl/>
        </w:rPr>
        <w:t>، وفي بعض الأحيان يرجِّح قولا من الأقوال أو يذكر أنه قول وَجيهٌ ثم يعقِّب على ذلك بذِكر قول آخرَ ويذكُر أنه الأحوط</w:t>
      </w:r>
      <w:r w:rsidRPr="00C85F0F">
        <w:rPr>
          <w:rStyle w:val="af1"/>
          <w:szCs w:val="32"/>
          <w:rtl/>
        </w:rPr>
        <w:t>(</w:t>
      </w:r>
      <w:r w:rsidRPr="00C85F0F">
        <w:rPr>
          <w:rStyle w:val="af1"/>
          <w:szCs w:val="32"/>
          <w:rtl/>
        </w:rPr>
        <w:footnoteReference w:id="1825"/>
      </w:r>
      <w:r w:rsidRPr="00C85F0F">
        <w:rPr>
          <w:rStyle w:val="af1"/>
          <w:szCs w:val="32"/>
          <w:rtl/>
        </w:rPr>
        <w:t>)</w:t>
      </w:r>
      <w:r w:rsidRPr="00C85F0F">
        <w:rPr>
          <w:rFonts w:hint="cs"/>
          <w:rtl/>
        </w:rPr>
        <w:t>، وفي بعض المسائل يفرِّق بين ما قبل وقوع الفعل</w:t>
      </w:r>
      <w:r w:rsidR="00CD5DFD">
        <w:rPr>
          <w:rFonts w:hint="cs"/>
          <w:rtl/>
        </w:rPr>
        <w:t xml:space="preserve"> </w:t>
      </w:r>
      <w:r w:rsidRPr="00C85F0F">
        <w:rPr>
          <w:rFonts w:hint="cs"/>
          <w:rtl/>
        </w:rPr>
        <w:t xml:space="preserve">وما بعد وقوعه، ويقول بما هو الأحوط في كل حالة، وذلك في </w:t>
      </w:r>
      <w:r w:rsidRPr="00C85F0F">
        <w:rPr>
          <w:rFonts w:ascii="Traditional Arabic" w:hAnsi="Traditional Arabic"/>
          <w:noProof w:val="0"/>
          <w:rtl/>
          <w:lang w:eastAsia="en-US"/>
        </w:rPr>
        <w:t>ال</w:t>
      </w:r>
      <w:r w:rsidRPr="00C85F0F">
        <w:rPr>
          <w:rFonts w:ascii="Traditional Arabic" w:hAnsi="Traditional Arabic" w:hint="cs"/>
          <w:noProof w:val="0"/>
          <w:rtl/>
          <w:lang w:eastAsia="en-US"/>
        </w:rPr>
        <w:t>مسائل</w:t>
      </w:r>
      <w:r w:rsidRPr="00C85F0F">
        <w:rPr>
          <w:rFonts w:ascii="Traditional Arabic" w:hAnsi="Traditional Arabic"/>
          <w:noProof w:val="0"/>
          <w:rtl/>
          <w:lang w:eastAsia="en-US"/>
        </w:rPr>
        <w:t xml:space="preserve"> المشتب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هة التي </w:t>
      </w:r>
      <w:r w:rsidRPr="00C85F0F">
        <w:rPr>
          <w:rFonts w:ascii="Traditional Arabic" w:hAnsi="Traditional Arabic" w:hint="cs"/>
          <w:noProof w:val="0"/>
          <w:rtl/>
          <w:lang w:eastAsia="en-US"/>
        </w:rPr>
        <w:t>ت</w:t>
      </w:r>
      <w:r w:rsidRPr="00C85F0F">
        <w:rPr>
          <w:rFonts w:ascii="Traditional Arabic" w:hAnsi="Traditional Arabic"/>
          <w:noProof w:val="0"/>
          <w:rtl/>
          <w:lang w:eastAsia="en-US"/>
        </w:rPr>
        <w:t>تعار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ض فيها الأدلة، أو </w:t>
      </w:r>
      <w:r w:rsidRPr="00C85F0F">
        <w:rPr>
          <w:rFonts w:ascii="Traditional Arabic" w:hAnsi="Traditional Arabic" w:hint="cs"/>
          <w:noProof w:val="0"/>
          <w:rtl/>
          <w:lang w:eastAsia="en-US"/>
        </w:rPr>
        <w:t>ت</w:t>
      </w:r>
      <w:r w:rsidRPr="00C85F0F">
        <w:rPr>
          <w:rFonts w:ascii="Traditional Arabic" w:hAnsi="Traditional Arabic"/>
          <w:noProof w:val="0"/>
          <w:rtl/>
          <w:lang w:eastAsia="en-US"/>
        </w:rPr>
        <w:t>تكاف</w:t>
      </w:r>
      <w:r w:rsidRPr="00C85F0F">
        <w:rPr>
          <w:rFonts w:ascii="Traditional Arabic" w:hAnsi="Traditional Arabic" w:hint="cs"/>
          <w:noProof w:val="0"/>
          <w:rtl/>
          <w:lang w:eastAsia="en-US"/>
        </w:rPr>
        <w:t>أ</w:t>
      </w:r>
      <w:r w:rsidRPr="00C85F0F">
        <w:rPr>
          <w:rFonts w:ascii="Traditional Arabic" w:hAnsi="Traditional Arabic"/>
          <w:noProof w:val="0"/>
          <w:rtl/>
          <w:lang w:eastAsia="en-US"/>
        </w:rPr>
        <w:t xml:space="preserve"> فيها أقوال العلماء </w:t>
      </w:r>
      <w:r w:rsidRPr="00C85F0F">
        <w:rPr>
          <w:rFonts w:ascii="Traditional Arabic" w:hAnsi="Traditional Arabic" w:hint="cs"/>
          <w:noProof w:val="0"/>
          <w:rtl/>
          <w:lang w:eastAsia="en-US"/>
        </w:rPr>
        <w:t>و</w:t>
      </w:r>
      <w:r w:rsidRPr="00C85F0F">
        <w:rPr>
          <w:rFonts w:ascii="Traditional Arabic" w:hAnsi="Traditional Arabic"/>
          <w:noProof w:val="0"/>
          <w:rtl/>
          <w:lang w:eastAsia="en-US"/>
        </w:rPr>
        <w:t>لم يكن هناك دليل</w:t>
      </w:r>
      <w:r w:rsidRPr="00C85F0F">
        <w:rPr>
          <w:rFonts w:hint="cs"/>
          <w:rtl/>
        </w:rPr>
        <w:t xml:space="preserve"> يَفصِل النزاع</w:t>
      </w:r>
      <w:r w:rsidRPr="00C85F0F">
        <w:rPr>
          <w:rStyle w:val="af1"/>
          <w:szCs w:val="32"/>
          <w:rtl/>
        </w:rPr>
        <w:t>(</w:t>
      </w:r>
      <w:r w:rsidRPr="00C85F0F">
        <w:rPr>
          <w:rStyle w:val="af1"/>
          <w:szCs w:val="32"/>
          <w:rtl/>
        </w:rPr>
        <w:footnoteReference w:id="1826"/>
      </w:r>
      <w:r w:rsidRPr="00C85F0F">
        <w:rPr>
          <w:rStyle w:val="af1"/>
          <w:szCs w:val="32"/>
          <w:rtl/>
        </w:rPr>
        <w:t>)</w:t>
      </w:r>
      <w:r w:rsidRPr="00C85F0F">
        <w:rPr>
          <w:rFonts w:hint="cs"/>
          <w:rtl/>
        </w:rPr>
        <w:t>.</w:t>
      </w:r>
    </w:p>
    <w:p w:rsidR="00F228A9" w:rsidRPr="00C85F0F" w:rsidRDefault="00065E4B" w:rsidP="00597C20">
      <w:pPr>
        <w:ind w:firstLine="720"/>
        <w:rPr>
          <w:rtl/>
        </w:rPr>
      </w:pPr>
      <w:r w:rsidRPr="00C85F0F">
        <w:rPr>
          <w:rFonts w:hint="cs"/>
          <w:rtl/>
        </w:rPr>
        <w:t>و</w:t>
      </w:r>
      <w:r w:rsidR="00F101FD" w:rsidRPr="00C85F0F">
        <w:rPr>
          <w:rFonts w:hint="cs"/>
          <w:rtl/>
        </w:rPr>
        <w:t>لقد تكلم علماء القواعد عن الاحتياط في كتبهم، وبعضهم صاغ قواعد متعلقة بذلك، ومما اطلعت عليه في هذا الباب ما يلي :</w:t>
      </w:r>
    </w:p>
    <w:p w:rsidR="00F101FD" w:rsidRPr="00C85F0F" w:rsidRDefault="00F101FD" w:rsidP="000A76C7">
      <w:pPr>
        <w:pStyle w:val="afc"/>
        <w:numPr>
          <w:ilvl w:val="0"/>
          <w:numId w:val="250"/>
        </w:numPr>
        <w:rPr>
          <w:rtl/>
        </w:rPr>
      </w:pPr>
      <w:r w:rsidRPr="00C85F0F">
        <w:rPr>
          <w:rFonts w:ascii="Traditional Arabic" w:hAnsi="Traditional Arabic"/>
          <w:noProof w:val="0"/>
          <w:rtl/>
          <w:lang w:eastAsia="en-US"/>
        </w:rPr>
        <w:lastRenderedPageBreak/>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حتاط الشرع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الخروج من 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رمة إلى الإباحة أكثر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من الخروج من الإباحة إلى 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w:t>
      </w:r>
      <w:r w:rsidRPr="00C85F0F">
        <w:rPr>
          <w:rStyle w:val="af1"/>
          <w:szCs w:val="32"/>
          <w:rtl/>
        </w:rPr>
        <w:t>(</w:t>
      </w:r>
      <w:r w:rsidRPr="00C85F0F">
        <w:rPr>
          <w:rStyle w:val="af1"/>
          <w:szCs w:val="32"/>
          <w:rtl/>
        </w:rPr>
        <w:footnoteReference w:id="1827"/>
      </w:r>
      <w:r w:rsidRPr="00C85F0F">
        <w:rPr>
          <w:rStyle w:val="af1"/>
          <w:szCs w:val="32"/>
          <w:rtl/>
        </w:rPr>
        <w:t>)</w:t>
      </w:r>
      <w:r w:rsidRPr="00C85F0F">
        <w:rPr>
          <w:rFonts w:hint="cs"/>
          <w:rtl/>
        </w:rPr>
        <w:t>.</w:t>
      </w:r>
    </w:p>
    <w:p w:rsidR="00F101FD" w:rsidRPr="00C85F0F" w:rsidRDefault="00F101FD" w:rsidP="000A76C7">
      <w:pPr>
        <w:pStyle w:val="afc"/>
        <w:numPr>
          <w:ilvl w:val="0"/>
          <w:numId w:val="250"/>
        </w:numPr>
        <w:rPr>
          <w:color w:val="auto"/>
        </w:rPr>
      </w:pPr>
      <w:r w:rsidRPr="00C85F0F">
        <w:rPr>
          <w:rFonts w:ascii="Traditional Arabic" w:hAnsi="Traditional Arabic"/>
          <w:noProof w:val="0"/>
          <w:color w:val="auto"/>
          <w:rtl/>
          <w:lang w:eastAsia="en-US"/>
        </w:rPr>
        <w:t>الاحتياط</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أن نجعل المعدوم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كالموجود والموهوم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كالمحق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 وما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رى على بعض الوجوه لا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رى إلا على كل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w:t>
      </w:r>
      <w:r w:rsidRPr="00C85F0F">
        <w:rPr>
          <w:rStyle w:val="af1"/>
          <w:szCs w:val="32"/>
          <w:rtl/>
        </w:rPr>
        <w:t>(</w:t>
      </w:r>
      <w:r w:rsidRPr="00C85F0F">
        <w:rPr>
          <w:rStyle w:val="af1"/>
          <w:szCs w:val="32"/>
          <w:rtl/>
        </w:rPr>
        <w:footnoteReference w:id="1828"/>
      </w:r>
      <w:r w:rsidRPr="00C85F0F">
        <w:rPr>
          <w:rStyle w:val="af1"/>
          <w:szCs w:val="32"/>
          <w:rtl/>
        </w:rPr>
        <w:t>)</w:t>
      </w:r>
      <w:r w:rsidRPr="00C85F0F">
        <w:rPr>
          <w:rFonts w:ascii="Traditional Arabic" w:hAnsi="Traditional Arabic"/>
          <w:noProof w:val="0"/>
          <w:color w:val="auto"/>
          <w:rtl/>
          <w:lang w:eastAsia="en-US"/>
        </w:rPr>
        <w:t>.</w:t>
      </w:r>
    </w:p>
    <w:p w:rsidR="00F101FD" w:rsidRPr="00C85F0F" w:rsidRDefault="00F101FD" w:rsidP="000A76C7">
      <w:pPr>
        <w:pStyle w:val="afc"/>
        <w:numPr>
          <w:ilvl w:val="0"/>
          <w:numId w:val="250"/>
        </w:numPr>
        <w:rPr>
          <w:color w:val="auto"/>
        </w:rPr>
      </w:pPr>
      <w:r w:rsidRPr="00C85F0F">
        <w:rPr>
          <w:rFonts w:ascii="Traditional Arabic" w:hAnsi="Traditional Arabic"/>
          <w:noProof w:val="0"/>
          <w:color w:val="auto"/>
          <w:rtl/>
          <w:lang w:eastAsia="en-US"/>
        </w:rPr>
        <w:t>ارتفاع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الواقع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شرعا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حال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ارتفاعه في الزمن الماضي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وأما تقدير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ارتفاع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w:t>
      </w:r>
      <w:r w:rsidR="009A3A72">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مع 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جوده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w:t>
      </w:r>
      <w:r w:rsidRPr="00C85F0F">
        <w:rPr>
          <w:rFonts w:ascii="Traditional Arabic" w:hAnsi="Traditional Arabic" w:hint="cs"/>
          <w:noProof w:val="0"/>
          <w:color w:val="auto"/>
          <w:rtl/>
          <w:lang w:eastAsia="en-US"/>
        </w:rPr>
        <w:t>ٌ</w:t>
      </w:r>
      <w:r w:rsidRPr="00C85F0F">
        <w:rPr>
          <w:rStyle w:val="af1"/>
          <w:szCs w:val="32"/>
          <w:rtl/>
        </w:rPr>
        <w:t>(</w:t>
      </w:r>
      <w:r w:rsidRPr="00C85F0F">
        <w:rPr>
          <w:rStyle w:val="af1"/>
          <w:szCs w:val="32"/>
          <w:rtl/>
        </w:rPr>
        <w:footnoteReference w:id="1829"/>
      </w:r>
      <w:r w:rsidRPr="00C85F0F">
        <w:rPr>
          <w:rStyle w:val="af1"/>
          <w:szCs w:val="32"/>
          <w:rtl/>
        </w:rPr>
        <w:t>)</w:t>
      </w:r>
      <w:r w:rsidRPr="00C85F0F">
        <w:rPr>
          <w:rFonts w:hint="cs"/>
          <w:color w:val="auto"/>
          <w:rtl/>
        </w:rPr>
        <w:t>.</w:t>
      </w:r>
    </w:p>
    <w:p w:rsidR="00F101FD" w:rsidRPr="00C85F0F" w:rsidRDefault="00F101FD" w:rsidP="000A76C7">
      <w:pPr>
        <w:pStyle w:val="afc"/>
        <w:numPr>
          <w:ilvl w:val="0"/>
          <w:numId w:val="250"/>
        </w:numPr>
        <w:rPr>
          <w:color w:val="auto"/>
        </w:rPr>
      </w:pPr>
      <w:r w:rsidRPr="00C85F0F">
        <w:rPr>
          <w:rFonts w:hint="cs"/>
          <w:color w:val="auto"/>
          <w:rtl/>
        </w:rPr>
        <w:t>قاعدة</w:t>
      </w:r>
      <w:r w:rsidR="0095241C">
        <w:rPr>
          <w:rFonts w:hint="cs"/>
          <w:color w:val="auto"/>
          <w:rtl/>
        </w:rPr>
        <w:t xml:space="preserve"> </w:t>
      </w:r>
      <w:r w:rsidRPr="00C85F0F">
        <w:rPr>
          <w:rFonts w:hint="cs"/>
          <w:color w:val="auto"/>
          <w:rtl/>
        </w:rPr>
        <w:t>العمل بالاحتياط</w:t>
      </w:r>
      <w:r w:rsidRPr="00C85F0F">
        <w:rPr>
          <w:rStyle w:val="af1"/>
          <w:szCs w:val="32"/>
          <w:rtl/>
        </w:rPr>
        <w:t>(</w:t>
      </w:r>
      <w:r w:rsidRPr="00C85F0F">
        <w:rPr>
          <w:rStyle w:val="af1"/>
          <w:szCs w:val="32"/>
          <w:rtl/>
        </w:rPr>
        <w:footnoteReference w:id="1830"/>
      </w:r>
      <w:r w:rsidRPr="00C85F0F">
        <w:rPr>
          <w:rStyle w:val="af1"/>
          <w:szCs w:val="32"/>
          <w:rtl/>
        </w:rPr>
        <w:t>)</w:t>
      </w:r>
      <w:r w:rsidRPr="00C85F0F">
        <w:rPr>
          <w:rFonts w:hint="cs"/>
          <w:color w:val="auto"/>
          <w:rtl/>
        </w:rPr>
        <w:t>.</w:t>
      </w:r>
    </w:p>
    <w:p w:rsidR="00F101FD" w:rsidRPr="00C85F0F" w:rsidRDefault="00F101FD" w:rsidP="000A76C7">
      <w:pPr>
        <w:pStyle w:val="afc"/>
        <w:numPr>
          <w:ilvl w:val="0"/>
          <w:numId w:val="250"/>
        </w:numPr>
        <w:rPr>
          <w:color w:val="auto"/>
        </w:rPr>
      </w:pPr>
      <w:r w:rsidRPr="00C85F0F">
        <w:rPr>
          <w:rFonts w:hint="cs"/>
          <w:color w:val="auto"/>
          <w:rtl/>
        </w:rPr>
        <w:t>قاعدة الاحتياط</w:t>
      </w:r>
      <w:r w:rsidRPr="00C85F0F">
        <w:rPr>
          <w:rStyle w:val="af1"/>
          <w:szCs w:val="32"/>
          <w:rtl/>
        </w:rPr>
        <w:t>(</w:t>
      </w:r>
      <w:r w:rsidRPr="00C85F0F">
        <w:rPr>
          <w:rStyle w:val="af1"/>
          <w:szCs w:val="32"/>
          <w:rtl/>
        </w:rPr>
        <w:footnoteReference w:id="1831"/>
      </w:r>
      <w:r w:rsidRPr="00C85F0F">
        <w:rPr>
          <w:rStyle w:val="af1"/>
          <w:szCs w:val="32"/>
          <w:rtl/>
        </w:rPr>
        <w:t>)</w:t>
      </w:r>
      <w:r w:rsidRPr="00C85F0F">
        <w:rPr>
          <w:rFonts w:hint="cs"/>
          <w:color w:val="auto"/>
          <w:rtl/>
        </w:rPr>
        <w:t>.</w:t>
      </w:r>
    </w:p>
    <w:p w:rsidR="00065E4B" w:rsidRPr="00C85F0F" w:rsidRDefault="00CD5DFD" w:rsidP="00A8347C">
      <w:pPr>
        <w:pStyle w:val="aff3"/>
        <w:rPr>
          <w:rtl/>
        </w:rPr>
      </w:pPr>
      <w:bookmarkStart w:id="383" w:name="_Toc334046581"/>
      <w:r>
        <w:rPr>
          <w:rFonts w:hint="cs"/>
          <w:rtl/>
        </w:rPr>
        <w:t xml:space="preserve">                                         </w:t>
      </w:r>
      <w:r w:rsidR="00F101FD" w:rsidRPr="00C85F0F">
        <w:rPr>
          <w:rFonts w:hint="cs"/>
          <w:rtl/>
        </w:rPr>
        <w:t>المطلب الثاني</w:t>
      </w:r>
      <w:r w:rsidR="00F101FD" w:rsidRPr="00C85F0F">
        <w:rPr>
          <w:rFonts w:hint="eastAsia"/>
          <w:rtl/>
        </w:rPr>
        <w:t> :</w:t>
      </w:r>
      <w:r w:rsidR="00F101FD" w:rsidRPr="00C85F0F">
        <w:rPr>
          <w:rFonts w:hint="cs"/>
          <w:rtl/>
        </w:rPr>
        <w:br/>
      </w:r>
      <w:r>
        <w:rPr>
          <w:rFonts w:hint="cs"/>
          <w:rtl/>
        </w:rPr>
        <w:t xml:space="preserve">                                          </w:t>
      </w:r>
      <w:r w:rsidR="00F101FD" w:rsidRPr="00C85F0F">
        <w:rPr>
          <w:rFonts w:hint="cs"/>
          <w:rtl/>
        </w:rPr>
        <w:t>شرح القاعدة</w:t>
      </w:r>
      <w:bookmarkEnd w:id="383"/>
    </w:p>
    <w:p w:rsidR="00CB6849" w:rsidRPr="00F967A6" w:rsidRDefault="00065E4B" w:rsidP="00597C20">
      <w:pPr>
        <w:pStyle w:val="53"/>
        <w:rPr>
          <w:rtl/>
        </w:rPr>
      </w:pPr>
      <w:r w:rsidRPr="00F967A6">
        <w:rPr>
          <w:rFonts w:hint="cs"/>
          <w:rtl/>
        </w:rPr>
        <w:t>ا</w:t>
      </w:r>
      <w:r w:rsidR="00F101FD" w:rsidRPr="00F967A6">
        <w:rPr>
          <w:rFonts w:hint="cs"/>
          <w:rtl/>
        </w:rPr>
        <w:t>لاحتياط لغة :</w:t>
      </w:r>
    </w:p>
    <w:p w:rsidR="00CD5DFD" w:rsidRDefault="00F101FD" w:rsidP="00597C20">
      <w:pPr>
        <w:widowControl/>
        <w:autoSpaceDE w:val="0"/>
        <w:autoSpaceDN w:val="0"/>
        <w:adjustRightInd w:val="0"/>
        <w:ind w:firstLine="720"/>
        <w:rPr>
          <w:color w:val="auto"/>
          <w:rtl/>
        </w:rPr>
      </w:pPr>
      <w:r w:rsidRPr="00C85F0F">
        <w:rPr>
          <w:rFonts w:hint="cs"/>
          <w:color w:val="auto"/>
          <w:rtl/>
        </w:rPr>
        <w:t xml:space="preserve">مصدر الفعل احتاط يحتاط احتياطا، والاحتياط في اللغة افتعال من (الحَوْط). </w:t>
      </w:r>
    </w:p>
    <w:p w:rsidR="00CD5DFD" w:rsidRDefault="00F101FD" w:rsidP="00C1436D">
      <w:pPr>
        <w:widowControl/>
        <w:autoSpaceDE w:val="0"/>
        <w:autoSpaceDN w:val="0"/>
        <w:adjustRightInd w:val="0"/>
        <w:ind w:firstLine="720"/>
        <w:rPr>
          <w:rFonts w:ascii="Traditional Arabic" w:hAnsi="Traditional Arabic"/>
          <w:noProof w:val="0"/>
          <w:rtl/>
          <w:lang w:eastAsia="en-US"/>
        </w:rPr>
      </w:pPr>
      <w:r w:rsidRPr="00C85F0F">
        <w:rPr>
          <w:rFonts w:hint="cs"/>
          <w:color w:val="auto"/>
          <w:rtl/>
        </w:rPr>
        <w:t>و</w:t>
      </w:r>
      <w:r w:rsidRPr="00C85F0F">
        <w:rPr>
          <w:rFonts w:ascii="Traditional Arabic" w:hAnsi="Traditional Arabic"/>
          <w:noProof w:val="0"/>
          <w:rtl/>
          <w:lang w:eastAsia="en-US"/>
        </w:rPr>
        <w:t>ال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حاط</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وطه حوطا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يطة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ياطة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w:t>
      </w:r>
      <w:r w:rsidR="00C1436D">
        <w:rPr>
          <w:rFonts w:ascii="Traditional Arabic" w:hAnsi="Traditional Arabic" w:hint="cs"/>
          <w:noProof w:val="0"/>
          <w:rtl/>
          <w:lang w:eastAsia="en-US"/>
        </w:rPr>
        <w:t xml:space="preserve"> </w:t>
      </w:r>
      <w:r w:rsidRPr="00C85F0F">
        <w:rPr>
          <w:rFonts w:ascii="Traditional Arabic" w:hAnsi="Traditional Arabic"/>
          <w:noProof w:val="0"/>
          <w:rtl/>
          <w:lang w:eastAsia="en-US"/>
        </w:rPr>
        <w:t>ح</w:t>
      </w:r>
      <w:r w:rsidR="00C1436D">
        <w:rPr>
          <w:rFonts w:ascii="Traditional Arabic" w:hAnsi="Traditional Arabic" w:hint="cs"/>
          <w:noProof w:val="0"/>
          <w:rtl/>
          <w:lang w:eastAsia="en-US"/>
        </w:rPr>
        <w:t>َ</w:t>
      </w:r>
      <w:r w:rsidRPr="00C85F0F">
        <w:rPr>
          <w:rFonts w:ascii="Traditional Arabic" w:hAnsi="Traditional Arabic"/>
          <w:noProof w:val="0"/>
          <w:rtl/>
          <w:lang w:eastAsia="en-US"/>
        </w:rPr>
        <w:t>ف</w:t>
      </w:r>
      <w:r w:rsidR="00C1436D">
        <w:rPr>
          <w:rFonts w:ascii="Traditional Arabic" w:hAnsi="Traditional Arabic" w:hint="cs"/>
          <w:noProof w:val="0"/>
          <w:rtl/>
          <w:lang w:eastAsia="en-US"/>
        </w:rPr>
        <w:t>ِ</w:t>
      </w:r>
      <w:r w:rsidRPr="00C85F0F">
        <w:rPr>
          <w:rFonts w:ascii="Traditional Arabic" w:hAnsi="Traditional Arabic"/>
          <w:noProof w:val="0"/>
          <w:rtl/>
          <w:lang w:eastAsia="en-US"/>
        </w:rPr>
        <w:t>ظ</w:t>
      </w:r>
      <w:r w:rsidR="00C1436D">
        <w:rPr>
          <w:rFonts w:ascii="Traditional Arabic" w:hAnsi="Traditional Arabic" w:hint="cs"/>
          <w:noProof w:val="0"/>
          <w:rtl/>
          <w:lang w:eastAsia="en-US"/>
        </w:rPr>
        <w:t>َ</w:t>
      </w:r>
      <w:r w:rsidRPr="00C85F0F">
        <w:rPr>
          <w:rFonts w:ascii="Traditional Arabic" w:hAnsi="Traditional Arabic"/>
          <w:noProof w:val="0"/>
          <w:rtl/>
          <w:lang w:eastAsia="en-US"/>
        </w:rPr>
        <w:t>ه وتعه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ده</w:t>
      </w:r>
      <w:r w:rsidRPr="00C85F0F">
        <w:rPr>
          <w:rStyle w:val="af1"/>
          <w:rFonts w:hint="cs"/>
          <w:vertAlign w:val="baseline"/>
          <w:rtl/>
        </w:rPr>
        <w:t>،</w:t>
      </w:r>
      <w:r w:rsidR="00C1436D">
        <w:rPr>
          <w:rStyle w:val="af1"/>
          <w:rFonts w:hint="cs"/>
          <w:vertAlign w:val="baseline"/>
          <w:rtl/>
        </w:rPr>
        <w:t xml:space="preserve"> </w:t>
      </w:r>
      <w:r w:rsidRPr="00C85F0F">
        <w:rPr>
          <w:rFonts w:ascii="Traditional Arabic" w:hAnsi="Traditional Arabic"/>
          <w:noProof w:val="0"/>
          <w:rtl/>
          <w:lang w:eastAsia="en-US"/>
        </w:rPr>
        <w:t>والح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طة والح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يطة: الاحتياط</w:t>
      </w:r>
      <w:r w:rsidRPr="00C85F0F">
        <w:rPr>
          <w:rFonts w:ascii="Traditional Arabic" w:hAnsi="Traditional Arabic" w:hint="cs"/>
          <w:noProof w:val="0"/>
          <w:rtl/>
          <w:lang w:eastAsia="en-US"/>
        </w:rPr>
        <w:t>،</w:t>
      </w:r>
      <w:r w:rsidR="00CD5DFD">
        <w:rPr>
          <w:rFonts w:ascii="Traditional Arabic" w:hAnsi="Traditional Arabic" w:hint="cs"/>
          <w:noProof w:val="0"/>
          <w:rtl/>
          <w:lang w:eastAsia="en-US"/>
        </w:rPr>
        <w:t xml:space="preserve"> </w:t>
      </w:r>
      <w:r w:rsidRPr="00C85F0F">
        <w:rPr>
          <w:rFonts w:ascii="Traditional Arabic" w:hAnsi="Traditional Arabic"/>
          <w:noProof w:val="0"/>
          <w:rtl/>
          <w:lang w:eastAsia="en-US"/>
        </w:rPr>
        <w:t>وهو طلب الأح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ظ</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والأخذ بأ</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ث</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الوجوه</w:t>
      </w:r>
      <w:r w:rsidRPr="00C85F0F">
        <w:rPr>
          <w:rFonts w:ascii="Traditional Arabic" w:hAnsi="Traditional Arabic" w:hint="cs"/>
          <w:noProof w:val="0"/>
          <w:rtl/>
          <w:lang w:eastAsia="en-US"/>
        </w:rPr>
        <w:t>، تقول:</w:t>
      </w:r>
      <w:r w:rsidRPr="00C85F0F">
        <w:rPr>
          <w:rFonts w:ascii="Traditional Arabic" w:hAnsi="Traditional Arabic"/>
          <w:noProof w:val="0"/>
          <w:rtl/>
          <w:lang w:eastAsia="en-US"/>
        </w:rPr>
        <w:t>احتاط الرجل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أ</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خذ في أموره بالأح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م. </w:t>
      </w:r>
    </w:p>
    <w:p w:rsidR="00065E4B" w:rsidRPr="00C85F0F" w:rsidRDefault="00F101FD"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واحتاط الرجل</w:t>
      </w:r>
      <w:r w:rsidRPr="00C85F0F">
        <w:rPr>
          <w:rFonts w:ascii="Traditional Arabic" w:hAnsi="Traditional Arabic" w:hint="cs"/>
          <w:noProof w:val="0"/>
          <w:rtl/>
          <w:lang w:eastAsia="en-US"/>
        </w:rPr>
        <w:t xml:space="preserve">ُ </w:t>
      </w:r>
      <w:r w:rsidRPr="00C85F0F">
        <w:rPr>
          <w:rFonts w:ascii="Traditional Arabic" w:hAnsi="Traditional Arabic"/>
          <w:noProof w:val="0"/>
          <w:rtl/>
          <w:lang w:eastAsia="en-US"/>
        </w:rPr>
        <w:t>لنفسه أي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خذ بالث</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قة</w:t>
      </w:r>
      <w:r w:rsidRPr="00C85F0F">
        <w:rPr>
          <w:rStyle w:val="af1"/>
          <w:szCs w:val="32"/>
          <w:rtl/>
        </w:rPr>
        <w:t>(</w:t>
      </w:r>
      <w:r w:rsidRPr="00C85F0F">
        <w:rPr>
          <w:rStyle w:val="af1"/>
          <w:szCs w:val="32"/>
          <w:rtl/>
        </w:rPr>
        <w:footnoteReference w:id="1832"/>
      </w:r>
      <w:r w:rsidRPr="00C85F0F">
        <w:rPr>
          <w:rStyle w:val="af1"/>
          <w:szCs w:val="32"/>
          <w:rtl/>
        </w:rPr>
        <w:t>)</w:t>
      </w:r>
      <w:r w:rsidRPr="00C85F0F">
        <w:rPr>
          <w:rFonts w:ascii="Traditional Arabic" w:hAnsi="Traditional Arabic" w:hint="cs"/>
          <w:noProof w:val="0"/>
          <w:rtl/>
          <w:lang w:eastAsia="en-US"/>
        </w:rPr>
        <w:t>.</w:t>
      </w:r>
    </w:p>
    <w:p w:rsidR="00CB6849" w:rsidRPr="00F967A6" w:rsidRDefault="00065E4B" w:rsidP="00597C20">
      <w:pPr>
        <w:pStyle w:val="53"/>
        <w:rPr>
          <w:rtl/>
        </w:rPr>
      </w:pPr>
      <w:r w:rsidRPr="00F967A6">
        <w:rPr>
          <w:rFonts w:hint="cs"/>
          <w:rtl/>
        </w:rPr>
        <w:lastRenderedPageBreak/>
        <w:t>ا</w:t>
      </w:r>
      <w:r w:rsidR="00F101FD" w:rsidRPr="00F967A6">
        <w:rPr>
          <w:rFonts w:hint="cs"/>
          <w:rtl/>
        </w:rPr>
        <w:t>لاحتياط اصطلاحا:</w:t>
      </w:r>
    </w:p>
    <w:p w:rsidR="00065E4B" w:rsidRPr="00C85F0F" w:rsidRDefault="00F101FD" w:rsidP="00597C20">
      <w:pPr>
        <w:widowControl/>
        <w:autoSpaceDE w:val="0"/>
        <w:autoSpaceDN w:val="0"/>
        <w:adjustRightInd w:val="0"/>
        <w:ind w:firstLine="720"/>
        <w:jc w:val="left"/>
        <w:rPr>
          <w:rFonts w:ascii="Traditional Arabic" w:hAnsi="Traditional Arabic"/>
          <w:noProof w:val="0"/>
          <w:rtl/>
          <w:lang w:eastAsia="en-US"/>
        </w:rPr>
      </w:pPr>
      <w:r w:rsidRPr="00C85F0F">
        <w:rPr>
          <w:rFonts w:ascii="Traditional Arabic" w:hAnsi="Traditional Arabic" w:hint="cs"/>
          <w:noProof w:val="0"/>
          <w:rtl/>
          <w:lang w:eastAsia="en-US"/>
        </w:rPr>
        <w:t>الاحتِراز من الوقوع في مَنهيٍّ، أو تَرْكِ مأمورٍ عند الاشتِباه</w:t>
      </w:r>
      <w:r w:rsidRPr="00C85F0F">
        <w:rPr>
          <w:rStyle w:val="af1"/>
          <w:szCs w:val="32"/>
          <w:rtl/>
        </w:rPr>
        <w:t>(</w:t>
      </w:r>
      <w:r w:rsidRPr="00C85F0F">
        <w:rPr>
          <w:rStyle w:val="af1"/>
          <w:szCs w:val="32"/>
          <w:rtl/>
        </w:rPr>
        <w:footnoteReference w:id="1833"/>
      </w:r>
      <w:r w:rsidRPr="00C85F0F">
        <w:rPr>
          <w:rStyle w:val="af1"/>
          <w:szCs w:val="32"/>
          <w:rtl/>
        </w:rPr>
        <w:t>)</w:t>
      </w:r>
      <w:r w:rsidRPr="00C85F0F">
        <w:rPr>
          <w:rFonts w:ascii="Traditional Arabic" w:hAnsi="Traditional Arabic" w:hint="cs"/>
          <w:noProof w:val="0"/>
          <w:rtl/>
          <w:lang w:eastAsia="en-US"/>
        </w:rPr>
        <w:t>.</w:t>
      </w:r>
    </w:p>
    <w:p w:rsidR="00065E4B" w:rsidRPr="00F967A6" w:rsidRDefault="00065E4B" w:rsidP="00597C20">
      <w:pPr>
        <w:pStyle w:val="53"/>
        <w:rPr>
          <w:rtl/>
        </w:rPr>
      </w:pPr>
      <w:r w:rsidRPr="00F967A6">
        <w:rPr>
          <w:rFonts w:hint="cs"/>
          <w:rtl/>
        </w:rPr>
        <w:t>م</w:t>
      </w:r>
      <w:r w:rsidR="00F101FD" w:rsidRPr="00F967A6">
        <w:rPr>
          <w:rFonts w:hint="cs"/>
          <w:rtl/>
        </w:rPr>
        <w:t>عنى القاعدة إجمالا :</w:t>
      </w:r>
    </w:p>
    <w:p w:rsidR="00065E4B" w:rsidRPr="00C85F0F" w:rsidRDefault="00065E4B" w:rsidP="00597C20">
      <w:pPr>
        <w:spacing w:line="620" w:lineRule="exact"/>
        <w:ind w:firstLine="720"/>
        <w:jc w:val="lowKashida"/>
        <w:rPr>
          <w:rFonts w:ascii="Traditional Arabic" w:hAnsi="Traditional Arabic"/>
          <w:rtl/>
        </w:rPr>
      </w:pPr>
      <w:r w:rsidRPr="00C85F0F">
        <w:rPr>
          <w:rFonts w:ascii="Traditional Arabic" w:hAnsi="Traditional Arabic" w:hint="cs"/>
          <w:noProof w:val="0"/>
          <w:rtl/>
          <w:lang w:eastAsia="en-US"/>
        </w:rPr>
        <w:t>ق</w:t>
      </w:r>
      <w:r w:rsidR="00F101FD" w:rsidRPr="00C85F0F">
        <w:rPr>
          <w:rFonts w:ascii="Traditional Arabic" w:hAnsi="Traditional Arabic" w:hint="cs"/>
          <w:noProof w:val="0"/>
          <w:rtl/>
          <w:lang w:eastAsia="en-US"/>
        </w:rPr>
        <w:t xml:space="preserve">ال الشيخ ابن عثيمين </w:t>
      </w:r>
      <w:r w:rsidR="00CD5DFD">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CD5DFD">
        <w:rPr>
          <w:rFonts w:ascii="Traditional Arabic" w:hAnsi="Traditional Arabic" w:hint="cs"/>
          <w:noProof w:val="0"/>
          <w:rtl/>
          <w:lang w:eastAsia="en-US"/>
        </w:rPr>
        <w:t>_</w:t>
      </w:r>
      <w:r w:rsidR="00F101FD" w:rsidRPr="00C85F0F">
        <w:rPr>
          <w:rFonts w:ascii="Traditional Arabic" w:hAnsi="Traditional Arabic" w:hint="cs"/>
          <w:noProof w:val="0"/>
          <w:rtl/>
          <w:lang w:eastAsia="en-US"/>
        </w:rPr>
        <w:t>:</w:t>
      </w:r>
      <w:r w:rsidR="00CD5DFD">
        <w:rPr>
          <w:rFonts w:ascii="Traditional Arabic" w:hAnsi="Traditional Arabic" w:hint="cs"/>
          <w:noProof w:val="0"/>
          <w:rtl/>
          <w:lang w:eastAsia="en-US"/>
        </w:rPr>
        <w:t xml:space="preserve"> </w:t>
      </w:r>
      <w:r w:rsidR="00F101FD" w:rsidRPr="00C85F0F">
        <w:rPr>
          <w:rFonts w:ascii="Traditional Arabic" w:hAnsi="Traditional Arabic" w:hint="cs"/>
          <w:noProof w:val="0"/>
          <w:rtl/>
          <w:lang w:eastAsia="en-US"/>
        </w:rPr>
        <w:t>(</w:t>
      </w:r>
      <w:r w:rsidR="00F101FD" w:rsidRPr="00C85F0F">
        <w:rPr>
          <w:rFonts w:ascii="Traditional Arabic" w:hAnsi="Traditional Arabic"/>
          <w:rtl/>
        </w:rPr>
        <w:t>ومدار المسائل التي يتعلَّق بها الاحتياط</w:t>
      </w:r>
      <w:r w:rsidR="00B76414" w:rsidRPr="00C85F0F">
        <w:rPr>
          <w:rFonts w:ascii="Traditional Arabic" w:hAnsi="Traditional Arabic"/>
          <w:rtl/>
        </w:rPr>
        <w:t>،</w:t>
      </w:r>
      <w:r w:rsidR="00C1436D">
        <w:rPr>
          <w:rFonts w:ascii="Traditional Arabic" w:hAnsi="Traditional Arabic"/>
          <w:rtl/>
        </w:rPr>
        <w:t xml:space="preserve"> ترجع إلى ثلاث</w:t>
      </w:r>
      <w:r w:rsidR="00F101FD" w:rsidRPr="00C85F0F">
        <w:rPr>
          <w:rFonts w:ascii="Traditional Arabic" w:hAnsi="Traditional Arabic"/>
          <w:rtl/>
        </w:rPr>
        <w:t xml:space="preserve"> قواعد</w:t>
      </w:r>
      <w:r w:rsidR="00CD5DFD">
        <w:rPr>
          <w:rFonts w:ascii="Traditional Arabic" w:hAnsi="Traditional Arabic" w:hint="cs"/>
          <w:rtl/>
        </w:rPr>
        <w:t>،</w:t>
      </w:r>
      <w:r w:rsidR="00F101FD" w:rsidRPr="00C85F0F">
        <w:rPr>
          <w:rFonts w:ascii="Traditional Arabic" w:hAnsi="Traditional Arabic"/>
          <w:rtl/>
        </w:rPr>
        <w:t xml:space="preserve"> وهي كما يلي :</w:t>
      </w:r>
    </w:p>
    <w:p w:rsidR="00065E4B" w:rsidRPr="00C85F0F" w:rsidRDefault="00065E4B" w:rsidP="00597C20">
      <w:pPr>
        <w:spacing w:line="620" w:lineRule="exact"/>
        <w:jc w:val="lowKashida"/>
        <w:rPr>
          <w:rFonts w:ascii="Traditional Arabic" w:hAnsi="Traditional Arabic"/>
          <w:rtl/>
        </w:rPr>
      </w:pPr>
      <w:r w:rsidRPr="00F967A6">
        <w:rPr>
          <w:rFonts w:ascii="Traditional Arabic" w:hAnsi="Traditional Arabic"/>
          <w:b/>
          <w:bCs/>
          <w:rtl/>
        </w:rPr>
        <w:t>ا</w:t>
      </w:r>
      <w:r w:rsidR="00F101FD" w:rsidRPr="00F967A6">
        <w:rPr>
          <w:rFonts w:ascii="Traditional Arabic" w:hAnsi="Traditional Arabic"/>
          <w:b/>
          <w:bCs/>
          <w:rtl/>
        </w:rPr>
        <w:t xml:space="preserve">لقاعدة الأولى : </w:t>
      </w:r>
      <w:r w:rsidR="00F101FD" w:rsidRPr="00C85F0F">
        <w:rPr>
          <w:rFonts w:ascii="Traditional Arabic" w:hAnsi="Traditional Arabic"/>
          <w:rtl/>
        </w:rPr>
        <w:t>اختلاط المباح بالمحظور حِسَّاً : وهي قسمان :</w:t>
      </w:r>
    </w:p>
    <w:p w:rsidR="00065E4B" w:rsidRPr="00C85F0F" w:rsidRDefault="00065E4B" w:rsidP="00597C20">
      <w:pPr>
        <w:spacing w:line="580" w:lineRule="exact"/>
        <w:ind w:left="1483" w:hanging="1029"/>
        <w:jc w:val="lowKashida"/>
        <w:rPr>
          <w:rFonts w:ascii="Traditional Arabic" w:hAnsi="Traditional Arabic"/>
          <w:rtl/>
        </w:rPr>
      </w:pPr>
      <w:r w:rsidRPr="00C85F0F">
        <w:rPr>
          <w:rFonts w:ascii="Traditional Arabic" w:hAnsi="Traditional Arabic"/>
          <w:rtl/>
        </w:rPr>
        <w:t>ا</w:t>
      </w:r>
      <w:r w:rsidR="00F101FD" w:rsidRPr="00C85F0F">
        <w:rPr>
          <w:rFonts w:ascii="Traditional Arabic" w:hAnsi="Traditional Arabic"/>
          <w:rtl/>
        </w:rPr>
        <w:t xml:space="preserve">لأول : </w:t>
      </w:r>
      <w:r w:rsidR="00F101FD" w:rsidRPr="00C85F0F">
        <w:rPr>
          <w:rFonts w:ascii="Traditional Arabic" w:hAnsi="Traditional Arabic"/>
          <w:rtl/>
        </w:rPr>
        <w:tab/>
        <w:t>أن يكون المحظــور محرَّماً ل</w:t>
      </w:r>
      <w:r w:rsidR="00F101FD" w:rsidRPr="00C85F0F">
        <w:rPr>
          <w:rFonts w:ascii="Traditional Arabic" w:hAnsi="Traditional Arabic" w:hint="cs"/>
          <w:rtl/>
        </w:rPr>
        <w:t>ِ</w:t>
      </w:r>
      <w:r w:rsidR="00F101FD" w:rsidRPr="00C85F0F">
        <w:rPr>
          <w:rFonts w:ascii="Traditional Arabic" w:hAnsi="Traditional Arabic"/>
          <w:rtl/>
        </w:rPr>
        <w:t>عينه : كالدم</w:t>
      </w:r>
      <w:r w:rsidR="00B76414" w:rsidRPr="00C85F0F">
        <w:rPr>
          <w:rFonts w:ascii="Traditional Arabic" w:hAnsi="Traditional Arabic"/>
          <w:rtl/>
        </w:rPr>
        <w:t>،</w:t>
      </w:r>
      <w:r w:rsidR="00F101FD" w:rsidRPr="00C85F0F">
        <w:rPr>
          <w:rFonts w:ascii="Traditional Arabic" w:hAnsi="Traditional Arabic"/>
          <w:rtl/>
        </w:rPr>
        <w:t xml:space="preserve"> فهذا إذا ظهر أثر المحرَّم بالمباح</w:t>
      </w:r>
      <w:r w:rsidR="00B76414" w:rsidRPr="00C85F0F">
        <w:rPr>
          <w:rFonts w:ascii="Traditional Arabic" w:hAnsi="Traditional Arabic"/>
          <w:rtl/>
        </w:rPr>
        <w:t>،</w:t>
      </w:r>
      <w:r w:rsidR="00F101FD" w:rsidRPr="00C85F0F">
        <w:rPr>
          <w:rFonts w:ascii="Traditional Arabic" w:hAnsi="Traditional Arabic"/>
          <w:rtl/>
        </w:rPr>
        <w:t xml:space="preserve"> حَرُم تناول الحلال ؛ لأنه يتعذَّر الوصول إليه</w:t>
      </w:r>
      <w:r w:rsidR="00B76414" w:rsidRPr="00C85F0F">
        <w:rPr>
          <w:rFonts w:ascii="Traditional Arabic" w:hAnsi="Traditional Arabic"/>
          <w:rtl/>
        </w:rPr>
        <w:t>،</w:t>
      </w:r>
      <w:r w:rsidR="00F101FD" w:rsidRPr="00C85F0F">
        <w:rPr>
          <w:rFonts w:ascii="Traditional Arabic" w:hAnsi="Traditional Arabic"/>
          <w:rtl/>
        </w:rPr>
        <w:t xml:space="preserve"> إلا بمناولة الحرام</w:t>
      </w:r>
      <w:r w:rsidR="00B76414" w:rsidRPr="00C85F0F">
        <w:rPr>
          <w:rFonts w:ascii="Traditional Arabic" w:hAnsi="Traditional Arabic"/>
          <w:rtl/>
        </w:rPr>
        <w:t>،</w:t>
      </w:r>
      <w:r w:rsidR="00F101FD" w:rsidRPr="00C85F0F">
        <w:rPr>
          <w:rFonts w:ascii="Traditional Arabic" w:hAnsi="Traditional Arabic"/>
          <w:rtl/>
        </w:rPr>
        <w:t xml:space="preserve"> فلم يج</w:t>
      </w:r>
      <w:r w:rsidR="00F101FD" w:rsidRPr="00C85F0F">
        <w:rPr>
          <w:rFonts w:ascii="Traditional Arabic" w:hAnsi="Traditional Arabic" w:hint="cs"/>
          <w:rtl/>
        </w:rPr>
        <w:t>ُ</w:t>
      </w:r>
      <w:r w:rsidR="00F101FD" w:rsidRPr="00C85F0F">
        <w:rPr>
          <w:rFonts w:ascii="Traditional Arabic" w:hAnsi="Traditional Arabic"/>
          <w:rtl/>
        </w:rPr>
        <w:t>ز تناو</w:t>
      </w:r>
      <w:r w:rsidR="00F101FD" w:rsidRPr="00C85F0F">
        <w:rPr>
          <w:rFonts w:ascii="Traditional Arabic" w:hAnsi="Traditional Arabic" w:hint="cs"/>
          <w:rtl/>
        </w:rPr>
        <w:t>ُ</w:t>
      </w:r>
      <w:r w:rsidR="00F101FD" w:rsidRPr="00C85F0F">
        <w:rPr>
          <w:rFonts w:ascii="Traditional Arabic" w:hAnsi="Traditional Arabic"/>
          <w:rtl/>
        </w:rPr>
        <w:t>ل</w:t>
      </w:r>
      <w:r w:rsidR="00F101FD" w:rsidRPr="00C85F0F">
        <w:rPr>
          <w:rFonts w:ascii="Traditional Arabic" w:hAnsi="Traditional Arabic" w:hint="cs"/>
          <w:rtl/>
        </w:rPr>
        <w:t>ُ</w:t>
      </w:r>
      <w:r w:rsidR="00F101FD" w:rsidRPr="00C85F0F">
        <w:rPr>
          <w:rFonts w:ascii="Traditional Arabic" w:hAnsi="Traditional Arabic"/>
          <w:rtl/>
        </w:rPr>
        <w:t>ه</w:t>
      </w:r>
      <w:r w:rsidR="00B76414" w:rsidRPr="00C85F0F">
        <w:rPr>
          <w:rFonts w:ascii="Traditional Arabic" w:hAnsi="Traditional Arabic"/>
          <w:rtl/>
        </w:rPr>
        <w:t>.</w:t>
      </w:r>
    </w:p>
    <w:p w:rsidR="00065E4B" w:rsidRPr="00C85F0F" w:rsidRDefault="00065E4B" w:rsidP="00597C20">
      <w:pPr>
        <w:spacing w:line="580" w:lineRule="exact"/>
        <w:ind w:left="1483" w:hanging="1029"/>
        <w:jc w:val="lowKashida"/>
        <w:rPr>
          <w:rFonts w:ascii="Traditional Arabic" w:hAnsi="Traditional Arabic"/>
          <w:rtl/>
        </w:rPr>
      </w:pPr>
      <w:r w:rsidRPr="00C85F0F">
        <w:rPr>
          <w:rFonts w:ascii="Traditional Arabic" w:hAnsi="Traditional Arabic"/>
          <w:rtl/>
        </w:rPr>
        <w:t>ا</w:t>
      </w:r>
      <w:r w:rsidR="00F101FD" w:rsidRPr="00C85F0F">
        <w:rPr>
          <w:rFonts w:ascii="Traditional Arabic" w:hAnsi="Traditional Arabic"/>
          <w:rtl/>
        </w:rPr>
        <w:t xml:space="preserve">لثاني : </w:t>
      </w:r>
      <w:r w:rsidR="00F101FD" w:rsidRPr="00C85F0F">
        <w:rPr>
          <w:rFonts w:ascii="Traditional Arabic" w:hAnsi="Traditional Arabic"/>
          <w:rtl/>
        </w:rPr>
        <w:tab/>
        <w:t>أن يكون مُحر</w:t>
      </w:r>
      <w:r w:rsidR="00F101FD" w:rsidRPr="00C85F0F">
        <w:rPr>
          <w:rFonts w:ascii="Traditional Arabic" w:hAnsi="Traditional Arabic" w:hint="cs"/>
          <w:rtl/>
        </w:rPr>
        <w:t>َّ</w:t>
      </w:r>
      <w:r w:rsidR="00F101FD" w:rsidRPr="00C85F0F">
        <w:rPr>
          <w:rFonts w:ascii="Traditional Arabic" w:hAnsi="Traditional Arabic"/>
          <w:rtl/>
        </w:rPr>
        <w:t>ماً ل</w:t>
      </w:r>
      <w:r w:rsidR="00F101FD" w:rsidRPr="00C85F0F">
        <w:rPr>
          <w:rFonts w:ascii="Traditional Arabic" w:hAnsi="Traditional Arabic" w:hint="cs"/>
          <w:rtl/>
        </w:rPr>
        <w:t>ِ</w:t>
      </w:r>
      <w:r w:rsidR="00F101FD" w:rsidRPr="00C85F0F">
        <w:rPr>
          <w:rFonts w:ascii="Traditional Arabic" w:hAnsi="Traditional Arabic"/>
          <w:rtl/>
        </w:rPr>
        <w:t>كسبه لا ل</w:t>
      </w:r>
      <w:r w:rsidR="00F101FD" w:rsidRPr="00C85F0F">
        <w:rPr>
          <w:rFonts w:ascii="Traditional Arabic" w:hAnsi="Traditional Arabic" w:hint="cs"/>
          <w:rtl/>
        </w:rPr>
        <w:t>ِ</w:t>
      </w:r>
      <w:r w:rsidR="00F101FD" w:rsidRPr="00C85F0F">
        <w:rPr>
          <w:rFonts w:ascii="Traditional Arabic" w:hAnsi="Traditional Arabic"/>
          <w:rtl/>
        </w:rPr>
        <w:t>عينه : كالمغصوب، فهذا لا يحرم عليه الحلال إذا أخرج منه مقدار الحرام، فمتى أخرج مقدار الحرام حلَّ له الباقي بلا كراهة، سواء كان عين الحرام أو نظيره، وهذا هو الصحيح في هذا الفرع</w:t>
      </w:r>
      <w:r w:rsidR="00B76414" w:rsidRPr="00C85F0F">
        <w:rPr>
          <w:rFonts w:ascii="Traditional Arabic" w:hAnsi="Traditional Arabic"/>
          <w:rtl/>
        </w:rPr>
        <w:t>.</w:t>
      </w:r>
    </w:p>
    <w:p w:rsidR="00F228A9" w:rsidRPr="00C85F0F" w:rsidRDefault="00065E4B" w:rsidP="00597C20">
      <w:pPr>
        <w:spacing w:line="580" w:lineRule="exact"/>
        <w:jc w:val="lowKashida"/>
        <w:rPr>
          <w:rFonts w:ascii="Traditional Arabic" w:hAnsi="Traditional Arabic"/>
          <w:rtl/>
        </w:rPr>
      </w:pPr>
      <w:r w:rsidRPr="00F967A6">
        <w:rPr>
          <w:rFonts w:ascii="Traditional Arabic" w:hAnsi="Traditional Arabic"/>
          <w:b/>
          <w:bCs/>
          <w:rtl/>
        </w:rPr>
        <w:t>ا</w:t>
      </w:r>
      <w:r w:rsidR="00F101FD" w:rsidRPr="00F967A6">
        <w:rPr>
          <w:rFonts w:ascii="Traditional Arabic" w:hAnsi="Traditional Arabic"/>
          <w:b/>
          <w:bCs/>
          <w:rtl/>
        </w:rPr>
        <w:t>لقاعدة الثانية :</w:t>
      </w:r>
      <w:r w:rsidR="00F101FD" w:rsidRPr="00C85F0F">
        <w:rPr>
          <w:rFonts w:ascii="Traditional Arabic" w:hAnsi="Traditional Arabic"/>
          <w:rtl/>
        </w:rPr>
        <w:t xml:space="preserve"> اشتباه المباح بالمحظور : فإن كان للمحظور بد</w:t>
      </w:r>
      <w:r w:rsidR="00F101FD" w:rsidRPr="00C85F0F">
        <w:rPr>
          <w:rFonts w:ascii="Traditional Arabic" w:hAnsi="Traditional Arabic" w:hint="cs"/>
          <w:rtl/>
        </w:rPr>
        <w:t>َ</w:t>
      </w:r>
      <w:r w:rsidR="00F101FD" w:rsidRPr="00C85F0F">
        <w:rPr>
          <w:rFonts w:ascii="Traditional Arabic" w:hAnsi="Traditional Arabic"/>
          <w:rtl/>
        </w:rPr>
        <w:t>ل</w:t>
      </w:r>
      <w:r w:rsidR="00F101FD" w:rsidRPr="00C85F0F">
        <w:rPr>
          <w:rFonts w:ascii="Traditional Arabic" w:hAnsi="Traditional Arabic" w:hint="cs"/>
          <w:rtl/>
        </w:rPr>
        <w:t>ٌ</w:t>
      </w:r>
      <w:r w:rsidR="00F101FD" w:rsidRPr="00C85F0F">
        <w:rPr>
          <w:rFonts w:ascii="Traditional Arabic" w:hAnsi="Traditional Arabic"/>
          <w:rtl/>
        </w:rPr>
        <w:t xml:space="preserve"> انتقل إليه، وإلا فإن دعت الضرورة إليه اجتهد.</w:t>
      </w:r>
    </w:p>
    <w:p w:rsidR="00065E4B" w:rsidRPr="00C85F0F" w:rsidRDefault="00F101FD" w:rsidP="00597C20">
      <w:pPr>
        <w:spacing w:line="580" w:lineRule="exact"/>
        <w:jc w:val="lowKashida"/>
        <w:rPr>
          <w:rFonts w:ascii="Traditional Arabic" w:hAnsi="Traditional Arabic"/>
          <w:rtl/>
        </w:rPr>
      </w:pPr>
      <w:r w:rsidRPr="00C85F0F">
        <w:rPr>
          <w:rFonts w:ascii="Traditional Arabic" w:hAnsi="Traditional Arabic"/>
          <w:rtl/>
        </w:rPr>
        <w:t>مثال ذلك : إذا اشتبه ط</w:t>
      </w:r>
      <w:r w:rsidRPr="00C85F0F">
        <w:rPr>
          <w:rFonts w:ascii="Traditional Arabic" w:hAnsi="Traditional Arabic" w:hint="cs"/>
          <w:rtl/>
        </w:rPr>
        <w:t>َ</w:t>
      </w:r>
      <w:r w:rsidRPr="00C85F0F">
        <w:rPr>
          <w:rFonts w:ascii="Traditional Arabic" w:hAnsi="Traditional Arabic"/>
          <w:rtl/>
        </w:rPr>
        <w:t>هور بنج</w:t>
      </w:r>
      <w:r w:rsidRPr="00C85F0F">
        <w:rPr>
          <w:rFonts w:ascii="Traditional Arabic" w:hAnsi="Traditional Arabic" w:hint="cs"/>
          <w:rtl/>
        </w:rPr>
        <w:t>ِ</w:t>
      </w:r>
      <w:r w:rsidRPr="00C85F0F">
        <w:rPr>
          <w:rFonts w:ascii="Traditional Arabic" w:hAnsi="Traditional Arabic"/>
          <w:rtl/>
        </w:rPr>
        <w:t>س</w:t>
      </w:r>
      <w:r w:rsidR="00B76414" w:rsidRPr="00C85F0F">
        <w:rPr>
          <w:rFonts w:ascii="Traditional Arabic" w:hAnsi="Traditional Arabic"/>
          <w:rtl/>
        </w:rPr>
        <w:t>،</w:t>
      </w:r>
      <w:r w:rsidRPr="00C85F0F">
        <w:rPr>
          <w:rFonts w:ascii="Traditional Arabic" w:hAnsi="Traditional Arabic"/>
          <w:rtl/>
        </w:rPr>
        <w:t xml:space="preserve"> فلا يجتهد فيهما للطهارة لوجود البدل</w:t>
      </w:r>
      <w:r w:rsidR="00B76414" w:rsidRPr="00C85F0F">
        <w:rPr>
          <w:rFonts w:ascii="Traditional Arabic" w:hAnsi="Traditional Arabic"/>
          <w:rtl/>
        </w:rPr>
        <w:t>،</w:t>
      </w:r>
      <w:r w:rsidRPr="00C85F0F">
        <w:rPr>
          <w:rFonts w:ascii="Traditional Arabic" w:hAnsi="Traditional Arabic"/>
          <w:rtl/>
        </w:rPr>
        <w:t xml:space="preserve"> ويجتهد ل</w:t>
      </w:r>
      <w:r w:rsidRPr="00C85F0F">
        <w:rPr>
          <w:rFonts w:ascii="Traditional Arabic" w:hAnsi="Traditional Arabic" w:hint="cs"/>
          <w:rtl/>
        </w:rPr>
        <w:t>ِ</w:t>
      </w:r>
      <w:r w:rsidRPr="00C85F0F">
        <w:rPr>
          <w:rFonts w:ascii="Traditional Arabic" w:hAnsi="Traditional Arabic"/>
          <w:rtl/>
        </w:rPr>
        <w:t>لش</w:t>
      </w:r>
      <w:r w:rsidRPr="00C85F0F">
        <w:rPr>
          <w:rFonts w:ascii="Traditional Arabic" w:hAnsi="Traditional Arabic" w:hint="cs"/>
          <w:rtl/>
        </w:rPr>
        <w:t>ُّ</w:t>
      </w:r>
      <w:r w:rsidRPr="00C85F0F">
        <w:rPr>
          <w:rFonts w:ascii="Traditional Arabic" w:hAnsi="Traditional Arabic"/>
          <w:rtl/>
        </w:rPr>
        <w:t>رب للضرورة</w:t>
      </w:r>
      <w:r w:rsidR="00B76414" w:rsidRPr="00C85F0F">
        <w:rPr>
          <w:rFonts w:ascii="Traditional Arabic" w:hAnsi="Traditional Arabic"/>
          <w:rtl/>
        </w:rPr>
        <w:t>.</w:t>
      </w:r>
    </w:p>
    <w:p w:rsidR="00F101FD" w:rsidRPr="00C85F0F" w:rsidRDefault="00065E4B" w:rsidP="00597C20">
      <w:pPr>
        <w:spacing w:line="580" w:lineRule="exact"/>
        <w:jc w:val="lowKashida"/>
        <w:rPr>
          <w:rFonts w:ascii="Traditional Arabic" w:hAnsi="Traditional Arabic"/>
          <w:rtl/>
        </w:rPr>
      </w:pPr>
      <w:r w:rsidRPr="00F967A6">
        <w:rPr>
          <w:rFonts w:ascii="Traditional Arabic" w:hAnsi="Traditional Arabic"/>
          <w:b/>
          <w:bCs/>
          <w:rtl/>
        </w:rPr>
        <w:t>ا</w:t>
      </w:r>
      <w:r w:rsidR="00F101FD" w:rsidRPr="00F967A6">
        <w:rPr>
          <w:rFonts w:ascii="Traditional Arabic" w:hAnsi="Traditional Arabic"/>
          <w:b/>
          <w:bCs/>
          <w:rtl/>
        </w:rPr>
        <w:t>لقاعدة الثالثة :</w:t>
      </w:r>
      <w:r w:rsidR="00F101FD" w:rsidRPr="00C85F0F">
        <w:rPr>
          <w:rFonts w:ascii="Traditional Arabic" w:hAnsi="Traditional Arabic"/>
          <w:rtl/>
        </w:rPr>
        <w:t xml:space="preserve"> الشكّ في المباح والمحظور : وليس في الشريعة شيء مشكوك فيه ألبتَّة</w:t>
      </w:r>
      <w:r w:rsidR="00B76414" w:rsidRPr="00C85F0F">
        <w:rPr>
          <w:rFonts w:ascii="Traditional Arabic" w:hAnsi="Traditional Arabic"/>
          <w:rtl/>
        </w:rPr>
        <w:t>،</w:t>
      </w:r>
      <w:r w:rsidR="00F101FD" w:rsidRPr="00C85F0F">
        <w:rPr>
          <w:rFonts w:ascii="Traditional Arabic" w:hAnsi="Traditional Arabic"/>
          <w:rtl/>
        </w:rPr>
        <w:t xml:space="preserve"> وإنما ي</w:t>
      </w:r>
      <w:r w:rsidR="00F101FD" w:rsidRPr="00C85F0F">
        <w:rPr>
          <w:rFonts w:ascii="Traditional Arabic" w:hAnsi="Traditional Arabic" w:hint="cs"/>
          <w:rtl/>
        </w:rPr>
        <w:t>َ</w:t>
      </w:r>
      <w:r w:rsidR="00F101FD" w:rsidRPr="00C85F0F">
        <w:rPr>
          <w:rFonts w:ascii="Traditional Arabic" w:hAnsi="Traditional Arabic"/>
          <w:rtl/>
        </w:rPr>
        <w:t>ع</w:t>
      </w:r>
      <w:r w:rsidR="00F101FD" w:rsidRPr="00C85F0F">
        <w:rPr>
          <w:rFonts w:ascii="Traditional Arabic" w:hAnsi="Traditional Arabic" w:hint="cs"/>
          <w:rtl/>
        </w:rPr>
        <w:t>ْ</w:t>
      </w:r>
      <w:r w:rsidR="00F101FD" w:rsidRPr="00C85F0F">
        <w:rPr>
          <w:rFonts w:ascii="Traditional Arabic" w:hAnsi="Traditional Arabic"/>
          <w:rtl/>
        </w:rPr>
        <w:t>ر</w:t>
      </w:r>
      <w:r w:rsidR="00F101FD" w:rsidRPr="00C85F0F">
        <w:rPr>
          <w:rFonts w:ascii="Traditional Arabic" w:hAnsi="Traditional Arabic" w:hint="cs"/>
          <w:rtl/>
        </w:rPr>
        <w:t>ِ</w:t>
      </w:r>
      <w:r w:rsidR="00F101FD" w:rsidRPr="00C85F0F">
        <w:rPr>
          <w:rFonts w:ascii="Traditional Arabic" w:hAnsi="Traditional Arabic"/>
          <w:rtl/>
        </w:rPr>
        <w:t>ض الشكّ للمكلَّف بسبب تعارض الأمارتين فصاعداً عنده</w:t>
      </w:r>
      <w:r w:rsidR="00B76414" w:rsidRPr="00C85F0F">
        <w:rPr>
          <w:rFonts w:ascii="Traditional Arabic" w:hAnsi="Traditional Arabic"/>
          <w:rtl/>
        </w:rPr>
        <w:t>،</w:t>
      </w:r>
      <w:r w:rsidR="00F101FD" w:rsidRPr="00C85F0F">
        <w:rPr>
          <w:rFonts w:ascii="Traditional Arabic" w:hAnsi="Traditional Arabic"/>
          <w:rtl/>
        </w:rPr>
        <w:t xml:space="preserve"> ولذلك قد يزول هذا الشكّ إلى يقين أو ظن)</w:t>
      </w:r>
      <w:r w:rsidR="00F101FD" w:rsidRPr="00C85F0F">
        <w:rPr>
          <w:rFonts w:ascii="Traditional Arabic" w:hAnsi="Traditional Arabic"/>
          <w:szCs w:val="32"/>
          <w:vertAlign w:val="superscript"/>
          <w:rtl/>
        </w:rPr>
        <w:t>(</w:t>
      </w:r>
      <w:r w:rsidR="00F101FD" w:rsidRPr="00C85F0F">
        <w:rPr>
          <w:rStyle w:val="af1"/>
          <w:rFonts w:ascii="Traditional Arabic" w:hAnsi="Traditional Arabic"/>
          <w:szCs w:val="32"/>
          <w:rtl/>
        </w:rPr>
        <w:footnoteReference w:id="1834"/>
      </w:r>
      <w:r w:rsidR="00F101FD" w:rsidRPr="00C85F0F">
        <w:rPr>
          <w:rFonts w:ascii="Traditional Arabic" w:hAnsi="Traditional Arabic"/>
          <w:szCs w:val="32"/>
          <w:vertAlign w:val="superscript"/>
          <w:rtl/>
        </w:rPr>
        <w:t>)</w:t>
      </w:r>
      <w:r w:rsidR="00F101FD" w:rsidRPr="00C85F0F">
        <w:rPr>
          <w:rFonts w:ascii="Traditional Arabic" w:hAnsi="Traditional Arabic"/>
          <w:rtl/>
        </w:rPr>
        <w:t>.</w:t>
      </w:r>
    </w:p>
    <w:p w:rsidR="00F101FD" w:rsidRPr="00C85F0F" w:rsidRDefault="00F101FD" w:rsidP="00597C20">
      <w:pPr>
        <w:spacing w:line="580" w:lineRule="exact"/>
        <w:jc w:val="lowKashida"/>
        <w:rPr>
          <w:rFonts w:ascii="Traditional Arabic" w:hAnsi="Traditional Arabic"/>
          <w:rtl/>
        </w:rPr>
      </w:pPr>
      <w:r w:rsidRPr="00C85F0F">
        <w:rPr>
          <w:rFonts w:ascii="Traditional Arabic" w:hAnsi="Traditional Arabic" w:hint="cs"/>
          <w:rtl/>
        </w:rPr>
        <w:t xml:space="preserve">وقال </w:t>
      </w:r>
      <w:r w:rsidR="00CD5DFD">
        <w:rPr>
          <w:rFonts w:ascii="Traditional Arabic" w:hAnsi="Traditional Arabic" w:hint="cs"/>
          <w:rtl/>
        </w:rPr>
        <w:t>_</w:t>
      </w:r>
      <w:r w:rsidR="009A0575" w:rsidRPr="005D5694">
        <w:rPr>
          <w:rFonts w:ascii="Traditional Arabic" w:hAnsi="Traditional Arabic" w:cs="CTraditional Arabic" w:hint="cs"/>
          <w:rtl/>
        </w:rPr>
        <w:t>/</w:t>
      </w:r>
      <w:r w:rsidR="00CD5DFD">
        <w:rPr>
          <w:rFonts w:ascii="Traditional Arabic" w:hAnsi="Traditional Arabic" w:hint="cs"/>
          <w:rtl/>
        </w:rPr>
        <w:t>_</w:t>
      </w:r>
      <w:r w:rsidRPr="00C85F0F">
        <w:rPr>
          <w:rFonts w:ascii="Traditional Arabic" w:hAnsi="Traditional Arabic" w:hint="cs"/>
          <w:rtl/>
        </w:rPr>
        <w:t>: (</w:t>
      </w:r>
      <w:r w:rsidR="00B76414" w:rsidRPr="00C85F0F">
        <w:rPr>
          <w:rFonts w:ascii="Traditional Arabic" w:hAnsi="Traditional Arabic" w:hint="cs"/>
          <w:rtl/>
        </w:rPr>
        <w:t>.</w:t>
      </w:r>
      <w:r w:rsidRPr="00C85F0F">
        <w:rPr>
          <w:rFonts w:ascii="Traditional Arabic" w:hAnsi="Traditional Arabic" w:hint="cs"/>
          <w:rtl/>
        </w:rPr>
        <w:t xml:space="preserve">..لأن المسائل الخلافية_ لاسيَّما إذا لم يكن الدليل واضحا_الأولى فيها </w:t>
      </w:r>
      <w:r w:rsidRPr="00C85F0F">
        <w:rPr>
          <w:rFonts w:ascii="Traditional Arabic" w:hAnsi="Traditional Arabic" w:hint="cs"/>
          <w:rtl/>
        </w:rPr>
        <w:lastRenderedPageBreak/>
        <w:t>مراعاةُ الخلاف والأخذ بالاحتياط)</w:t>
      </w:r>
      <w:r w:rsidRPr="00C85F0F">
        <w:rPr>
          <w:rStyle w:val="af1"/>
          <w:szCs w:val="32"/>
          <w:rtl/>
        </w:rPr>
        <w:t>(</w:t>
      </w:r>
      <w:r w:rsidRPr="00C85F0F">
        <w:rPr>
          <w:rStyle w:val="af1"/>
          <w:szCs w:val="32"/>
          <w:rtl/>
        </w:rPr>
        <w:footnoteReference w:id="1835"/>
      </w:r>
      <w:r w:rsidRPr="00C85F0F">
        <w:rPr>
          <w:rStyle w:val="af1"/>
          <w:szCs w:val="32"/>
          <w:rtl/>
        </w:rPr>
        <w:t>)</w:t>
      </w:r>
      <w:r w:rsidRPr="00C85F0F">
        <w:rPr>
          <w:rFonts w:ascii="Traditional Arabic" w:hAnsi="Traditional Arabic" w:hint="cs"/>
          <w:rtl/>
        </w:rPr>
        <w:t>.</w:t>
      </w:r>
    </w:p>
    <w:p w:rsidR="00F101FD" w:rsidRPr="00C85F0F" w:rsidRDefault="00CD5DFD" w:rsidP="00A8347C">
      <w:pPr>
        <w:pStyle w:val="aff3"/>
        <w:rPr>
          <w:rtl/>
        </w:rPr>
      </w:pPr>
      <w:bookmarkStart w:id="384" w:name="_Toc334046582"/>
      <w:r>
        <w:rPr>
          <w:rFonts w:hint="cs"/>
          <w:rtl/>
        </w:rPr>
        <w:t xml:space="preserve">                                           </w:t>
      </w:r>
      <w:r w:rsidR="00F101FD" w:rsidRPr="00C85F0F">
        <w:rPr>
          <w:rFonts w:hint="cs"/>
          <w:rtl/>
        </w:rPr>
        <w:t>المطلب الثالث</w:t>
      </w:r>
      <w:r w:rsidR="00F101FD" w:rsidRPr="00C85F0F">
        <w:rPr>
          <w:rFonts w:hint="eastAsia"/>
          <w:rtl/>
        </w:rPr>
        <w:t> :</w:t>
      </w:r>
      <w:r w:rsidR="00F101FD" w:rsidRPr="00C85F0F">
        <w:rPr>
          <w:rFonts w:hint="cs"/>
          <w:rtl/>
        </w:rPr>
        <w:br/>
      </w:r>
      <w:r>
        <w:rPr>
          <w:rFonts w:hint="cs"/>
          <w:rtl/>
        </w:rPr>
        <w:t xml:space="preserve">              </w:t>
      </w:r>
      <w:r w:rsidR="00AE71F7">
        <w:rPr>
          <w:rFonts w:hint="cs"/>
          <w:rtl/>
        </w:rPr>
        <w:t xml:space="preserve">                               </w:t>
      </w:r>
      <w:r w:rsidR="00F101FD" w:rsidRPr="00C85F0F">
        <w:rPr>
          <w:rFonts w:hint="cs"/>
          <w:rtl/>
        </w:rPr>
        <w:t>أدلة القاعدة</w:t>
      </w:r>
      <w:bookmarkEnd w:id="384"/>
    </w:p>
    <w:p w:rsidR="00F101FD" w:rsidRPr="00C85F0F" w:rsidRDefault="00F101FD" w:rsidP="000A76C7">
      <w:pPr>
        <w:pStyle w:val="afc"/>
        <w:widowControl/>
        <w:numPr>
          <w:ilvl w:val="0"/>
          <w:numId w:val="251"/>
        </w:numPr>
        <w:autoSpaceDE w:val="0"/>
        <w:autoSpaceDN w:val="0"/>
        <w:adjustRightInd w:val="0"/>
        <w:rPr>
          <w:rFonts w:ascii="Traditional Arabic" w:hAnsi="Traditional Arabic"/>
          <w:noProof w:val="0"/>
          <w:color w:val="auto"/>
          <w:lang w:eastAsia="en-US"/>
        </w:rPr>
      </w:pPr>
      <w:r w:rsidRPr="00C85F0F">
        <w:rPr>
          <w:rFonts w:ascii="Traditional Arabic" w:hAnsi="Traditional Arabic" w:hint="cs"/>
          <w:noProof w:val="0"/>
          <w:rtl/>
          <w:lang w:eastAsia="en-US"/>
        </w:rPr>
        <w:t xml:space="preserve">قوله تعالى: </w:t>
      </w:r>
      <w:bookmarkStart w:id="385" w:name="سورة_الحجرات_12"/>
      <w:r w:rsidR="007A6CF4" w:rsidRPr="007F56CD">
        <w:rPr>
          <w:rFonts w:ascii="QCF_BSML" w:hAnsi="QCF_BSML" w:cs="QCF_BSML"/>
          <w:noProof w:val="0"/>
          <w:rtl/>
          <w:lang w:eastAsia="en-US"/>
        </w:rPr>
        <w:t xml:space="preserve">ﭽ </w:t>
      </w:r>
      <w:r w:rsidR="007A6CF4" w:rsidRPr="007F56CD">
        <w:rPr>
          <w:rFonts w:ascii="QCF_P517" w:hAnsi="QCF_P517" w:cs="QCF_P517"/>
          <w:noProof w:val="0"/>
          <w:rtl/>
          <w:lang w:eastAsia="en-US"/>
        </w:rPr>
        <w:t>ﭑﭒﭓﭔﭕﭖﭗﭘ ﭙﭚﭛ</w:t>
      </w:r>
      <w:r w:rsidR="007A6CF4" w:rsidRPr="007F56CD">
        <w:rPr>
          <w:rFonts w:ascii="QCF_BSML" w:hAnsi="QCF_BSML" w:cs="QCF_BSML"/>
          <w:noProof w:val="0"/>
          <w:rtl/>
          <w:lang w:eastAsia="en-US"/>
        </w:rPr>
        <w:t>ﭼ</w:t>
      </w:r>
      <w:bookmarkEnd w:id="385"/>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الحجرات: ١٢</w:t>
      </w:r>
      <w:r w:rsidRPr="00C85F0F">
        <w:rPr>
          <w:rFonts w:ascii="Traditional Arabic" w:hAnsi="Traditional Arabic" w:hint="cs"/>
          <w:noProof w:val="0"/>
          <w:color w:val="auto"/>
          <w:rtl/>
          <w:lang w:eastAsia="en-US"/>
        </w:rPr>
        <w:t>].</w:t>
      </w:r>
    </w:p>
    <w:p w:rsidR="00F101FD" w:rsidRPr="00F967A6" w:rsidRDefault="00F101FD" w:rsidP="00597C20">
      <w:pPr>
        <w:pStyle w:val="53"/>
        <w:rPr>
          <w:rtl/>
        </w:rPr>
      </w:pPr>
      <w:r w:rsidRPr="00F967A6">
        <w:rPr>
          <w:rFonts w:hint="cs"/>
          <w:rtl/>
        </w:rPr>
        <w:t>وجه الدلالة:</w:t>
      </w:r>
    </w:p>
    <w:p w:rsidR="00F101FD" w:rsidRPr="00C85F0F" w:rsidRDefault="00F101FD" w:rsidP="00597C20">
      <w:pPr>
        <w:widowControl/>
        <w:autoSpaceDE w:val="0"/>
        <w:autoSpaceDN w:val="0"/>
        <w:adjustRightInd w:val="0"/>
        <w:ind w:firstLine="720"/>
        <w:rPr>
          <w:rFonts w:ascii="Traditional Arabic" w:hAnsi="Traditional Arabic"/>
          <w:noProof w:val="0"/>
          <w:color w:val="auto"/>
          <w:lang w:eastAsia="en-US"/>
        </w:rPr>
      </w:pPr>
      <w:r w:rsidRPr="00C85F0F">
        <w:rPr>
          <w:rFonts w:ascii="Traditional Arabic" w:hAnsi="Traditional Arabic"/>
          <w:noProof w:val="0"/>
          <w:color w:val="auto"/>
          <w:rtl/>
          <w:lang w:eastAsia="en-US"/>
        </w:rPr>
        <w:t>أ</w:t>
      </w:r>
      <w:r w:rsidRPr="00C85F0F">
        <w:rPr>
          <w:rFonts w:ascii="Traditional Arabic" w:hAnsi="Traditional Arabic" w:hint="cs"/>
          <w:noProof w:val="0"/>
          <w:color w:val="auto"/>
          <w:rtl/>
          <w:lang w:eastAsia="en-US"/>
        </w:rPr>
        <w:t>مر الله تعالى</w:t>
      </w:r>
      <w:r w:rsidRPr="00C85F0F">
        <w:rPr>
          <w:rFonts w:ascii="Traditional Arabic" w:hAnsi="Traditional Arabic"/>
          <w:noProof w:val="0"/>
          <w:color w:val="auto"/>
          <w:rtl/>
          <w:lang w:eastAsia="en-US"/>
        </w:rPr>
        <w:t xml:space="preserve"> باجتناب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بعض</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 ليس بإثم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خشية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من الوقوع فيما هو إثم ؛ وذلك هو الاحتياط</w:t>
      </w:r>
      <w:r w:rsidRPr="00C85F0F">
        <w:rPr>
          <w:rStyle w:val="af1"/>
          <w:szCs w:val="32"/>
          <w:rtl/>
        </w:rPr>
        <w:t>(</w:t>
      </w:r>
      <w:r w:rsidRPr="00C85F0F">
        <w:rPr>
          <w:rStyle w:val="af1"/>
          <w:szCs w:val="32"/>
          <w:rtl/>
        </w:rPr>
        <w:footnoteReference w:id="1836"/>
      </w:r>
      <w:r w:rsidRPr="00C85F0F">
        <w:rPr>
          <w:rStyle w:val="af1"/>
          <w:szCs w:val="32"/>
          <w:rtl/>
        </w:rPr>
        <w:t>)</w:t>
      </w:r>
      <w:r w:rsidRPr="00C85F0F">
        <w:rPr>
          <w:rFonts w:ascii="Traditional Arabic" w:hAnsi="Traditional Arabic" w:hint="cs"/>
          <w:noProof w:val="0"/>
          <w:color w:val="auto"/>
          <w:rtl/>
          <w:lang w:eastAsia="en-US"/>
        </w:rPr>
        <w:t>.</w:t>
      </w:r>
    </w:p>
    <w:p w:rsidR="00F101FD" w:rsidRDefault="00F101FD" w:rsidP="000A76C7">
      <w:pPr>
        <w:pStyle w:val="afc"/>
        <w:widowControl/>
        <w:numPr>
          <w:ilvl w:val="0"/>
          <w:numId w:val="251"/>
        </w:numPr>
        <w:autoSpaceDE w:val="0"/>
        <w:autoSpaceDN w:val="0"/>
        <w:adjustRightInd w:val="0"/>
        <w:rPr>
          <w:rFonts w:ascii="Traditional Arabic" w:hAnsi="Traditional Arabic"/>
          <w:noProof w:val="0"/>
          <w:lang w:eastAsia="en-US"/>
        </w:rPr>
      </w:pPr>
      <w:r w:rsidRPr="00C85F0F">
        <w:rPr>
          <w:rFonts w:ascii="Traditional Arabic" w:hAnsi="Traditional Arabic" w:hint="cs"/>
          <w:rtl/>
        </w:rPr>
        <w:t>عن</w:t>
      </w:r>
      <w:r w:rsidRPr="00C85F0F">
        <w:rPr>
          <w:rFonts w:ascii="Traditional Arabic" w:hAnsi="Traditional Arabic"/>
          <w:rtl/>
        </w:rPr>
        <w:t xml:space="preserve"> النعمان بن بشير </w:t>
      </w:r>
      <w:r w:rsidR="00CD5DFD">
        <w:rPr>
          <w:rFonts w:ascii="Traditional Arabic" w:hAnsi="Traditional Arabic" w:hint="cs"/>
          <w:rtl/>
        </w:rPr>
        <w:t>_</w:t>
      </w:r>
      <w:r w:rsidRPr="00C85F0F">
        <w:rPr>
          <w:rFonts w:ascii="Traditional Arabic" w:hAnsi="Traditional Arabic"/>
          <w:rtl/>
        </w:rPr>
        <w:sym w:font="AGA Arabesque" w:char="F074"/>
      </w:r>
      <w:r w:rsidR="00CD5DFD">
        <w:rPr>
          <w:rFonts w:ascii="Traditional Arabic" w:hAnsi="Traditional Arabic" w:hint="cs"/>
          <w:rtl/>
        </w:rPr>
        <w:t>_</w:t>
      </w:r>
      <w:r w:rsidRPr="00C85F0F">
        <w:rPr>
          <w:rFonts w:ascii="Traditional Arabic" w:hAnsi="Traditional Arabic"/>
          <w:rtl/>
        </w:rPr>
        <w:t xml:space="preserve"> قال : سمعت رسول الله </w:t>
      </w:r>
      <w:r w:rsidRPr="00C85F0F">
        <w:rPr>
          <w:rFonts w:ascii="Traditional Arabic" w:hAnsi="Traditional Arabic"/>
          <w:rtl/>
        </w:rPr>
        <w:sym w:font="AGA Arabesque" w:char="F065"/>
      </w:r>
      <w:r w:rsidRPr="00C85F0F">
        <w:rPr>
          <w:rFonts w:ascii="Traditional Arabic" w:hAnsi="Traditional Arabic"/>
          <w:rtl/>
        </w:rPr>
        <w:t xml:space="preserve"> يقول : "إن الحلال بيِّن وإن الحرام بيِّن</w:t>
      </w:r>
      <w:r w:rsidR="00B76414" w:rsidRPr="00C85F0F">
        <w:rPr>
          <w:rFonts w:ascii="Traditional Arabic" w:hAnsi="Traditional Arabic"/>
          <w:rtl/>
        </w:rPr>
        <w:t>،</w:t>
      </w:r>
      <w:r w:rsidR="00AB0B9E" w:rsidRPr="00C85F0F">
        <w:rPr>
          <w:rFonts w:ascii="Traditional Arabic" w:hAnsi="Traditional Arabic"/>
        </w:rPr>
        <w:fldChar w:fldCharType="begin"/>
      </w:r>
      <w:r w:rsidR="00E35B26" w:rsidRPr="00C85F0F">
        <w:instrText>XE</w:instrText>
      </w:r>
      <w:r w:rsidR="00E35B26" w:rsidRPr="00C85F0F">
        <w:rPr>
          <w:rtl/>
        </w:rPr>
        <w:instrText xml:space="preserve"> "</w:instrText>
      </w:r>
      <w:r w:rsidR="00E35B26" w:rsidRPr="00C85F0F">
        <w:rPr>
          <w:rFonts w:ascii="Traditional Arabic" w:hAnsi="Traditional Arabic"/>
          <w:rtl/>
        </w:rPr>
        <w:instrText>إن الحلال بيِّن وإن الحرام بيِّن،</w:instrText>
      </w:r>
      <w:r w:rsidR="00E35B26" w:rsidRPr="00C85F0F">
        <w:rPr>
          <w:rtl/>
        </w:rPr>
        <w:instrText>" \</w:instrText>
      </w:r>
      <w:r w:rsidR="00E35B26" w:rsidRPr="00C85F0F">
        <w:instrText>fh</w:instrText>
      </w:r>
      <w:r w:rsidR="00AB0B9E" w:rsidRPr="00C85F0F">
        <w:rPr>
          <w:rFonts w:ascii="Traditional Arabic" w:hAnsi="Traditional Arabic"/>
        </w:rPr>
        <w:fldChar w:fldCharType="end"/>
      </w:r>
      <w:r w:rsidRPr="00067951">
        <w:rPr>
          <w:rFonts w:ascii="Traditional Arabic" w:hAnsi="Traditional Arabic"/>
          <w:rtl/>
        </w:rPr>
        <w:t xml:space="preserve"> وبينهما م</w:t>
      </w:r>
      <w:r>
        <w:rPr>
          <w:rFonts w:ascii="Traditional Arabic" w:hAnsi="Traditional Arabic" w:hint="cs"/>
          <w:rtl/>
        </w:rPr>
        <w:t>ُ</w:t>
      </w:r>
      <w:r w:rsidRPr="00067951">
        <w:rPr>
          <w:rFonts w:ascii="Traditional Arabic" w:hAnsi="Traditional Arabic"/>
          <w:rtl/>
        </w:rPr>
        <w:t>ش</w:t>
      </w:r>
      <w:r>
        <w:rPr>
          <w:rFonts w:ascii="Traditional Arabic" w:hAnsi="Traditional Arabic" w:hint="cs"/>
          <w:rtl/>
        </w:rPr>
        <w:t>ْ</w:t>
      </w:r>
      <w:r w:rsidRPr="00067951">
        <w:rPr>
          <w:rFonts w:ascii="Traditional Arabic" w:hAnsi="Traditional Arabic"/>
          <w:rtl/>
        </w:rPr>
        <w:t>ت</w:t>
      </w:r>
      <w:r>
        <w:rPr>
          <w:rFonts w:ascii="Traditional Arabic" w:hAnsi="Traditional Arabic" w:hint="cs"/>
          <w:rtl/>
        </w:rPr>
        <w:t>َ</w:t>
      </w:r>
      <w:r w:rsidRPr="00067951">
        <w:rPr>
          <w:rFonts w:ascii="Traditional Arabic" w:hAnsi="Traditional Arabic"/>
          <w:rtl/>
        </w:rPr>
        <w:t>ب</w:t>
      </w:r>
      <w:r>
        <w:rPr>
          <w:rFonts w:ascii="Traditional Arabic" w:hAnsi="Traditional Arabic" w:hint="cs"/>
          <w:rtl/>
        </w:rPr>
        <w:t>ِ</w:t>
      </w:r>
      <w:r w:rsidRPr="00067951">
        <w:rPr>
          <w:rFonts w:ascii="Traditional Arabic" w:hAnsi="Traditional Arabic"/>
          <w:rtl/>
        </w:rPr>
        <w:t>هات لا يعلمهن</w:t>
      </w:r>
      <w:r>
        <w:rPr>
          <w:rFonts w:ascii="Traditional Arabic" w:hAnsi="Traditional Arabic" w:hint="cs"/>
          <w:rtl/>
        </w:rPr>
        <w:t>َّ</w:t>
      </w:r>
      <w:r w:rsidRPr="00067951">
        <w:rPr>
          <w:rFonts w:ascii="Traditional Arabic" w:hAnsi="Traditional Arabic"/>
          <w:rtl/>
        </w:rPr>
        <w:t xml:space="preserve"> كثير من الناس</w:t>
      </w:r>
      <w:r w:rsidR="00B76414">
        <w:rPr>
          <w:rFonts w:ascii="Traditional Arabic" w:hAnsi="Traditional Arabic"/>
          <w:rtl/>
        </w:rPr>
        <w:t>،</w:t>
      </w:r>
      <w:r w:rsidRPr="00067951">
        <w:rPr>
          <w:rFonts w:ascii="Traditional Arabic" w:hAnsi="Traditional Arabic"/>
          <w:rtl/>
        </w:rPr>
        <w:t xml:space="preserve"> فمن اتقى الش</w:t>
      </w:r>
      <w:r>
        <w:rPr>
          <w:rFonts w:ascii="Traditional Arabic" w:hAnsi="Traditional Arabic" w:hint="cs"/>
          <w:rtl/>
        </w:rPr>
        <w:t>ُّ</w:t>
      </w:r>
      <w:r w:rsidRPr="00067951">
        <w:rPr>
          <w:rFonts w:ascii="Traditional Arabic" w:hAnsi="Traditional Arabic"/>
          <w:rtl/>
        </w:rPr>
        <w:t>ب</w:t>
      </w:r>
      <w:r>
        <w:rPr>
          <w:rFonts w:ascii="Traditional Arabic" w:hAnsi="Traditional Arabic" w:hint="cs"/>
          <w:rtl/>
        </w:rPr>
        <w:t>ُ</w:t>
      </w:r>
      <w:r w:rsidRPr="00067951">
        <w:rPr>
          <w:rFonts w:ascii="Traditional Arabic" w:hAnsi="Traditional Arabic"/>
          <w:rtl/>
        </w:rPr>
        <w:t>هات استبرأ لدينه وعرضه</w:t>
      </w:r>
      <w:r w:rsidR="00B76414">
        <w:rPr>
          <w:rFonts w:ascii="Traditional Arabic" w:hAnsi="Traditional Arabic"/>
          <w:rtl/>
        </w:rPr>
        <w:t>،</w:t>
      </w:r>
      <w:r w:rsidRPr="00067951">
        <w:rPr>
          <w:rFonts w:ascii="Traditional Arabic" w:hAnsi="Traditional Arabic"/>
          <w:rtl/>
        </w:rPr>
        <w:t xml:space="preserve"> ومن وقع في الشبهات وقع في الحرام</w:t>
      </w:r>
      <w:r w:rsidR="00B76414">
        <w:rPr>
          <w:rFonts w:ascii="Traditional Arabic" w:hAnsi="Traditional Arabic"/>
          <w:rtl/>
        </w:rPr>
        <w:t>،</w:t>
      </w:r>
      <w:r w:rsidRPr="00067951">
        <w:rPr>
          <w:rFonts w:ascii="Traditional Arabic" w:hAnsi="Traditional Arabic"/>
          <w:rtl/>
        </w:rPr>
        <w:t xml:space="preserve"> كالراعي يرعى حول الحمى</w:t>
      </w:r>
      <w:r w:rsidR="00B76414">
        <w:rPr>
          <w:rFonts w:ascii="Traditional Arabic" w:hAnsi="Traditional Arabic"/>
          <w:rtl/>
        </w:rPr>
        <w:t>،</w:t>
      </w:r>
      <w:r w:rsidRPr="00067951">
        <w:rPr>
          <w:rFonts w:ascii="Traditional Arabic" w:hAnsi="Traditional Arabic"/>
          <w:rtl/>
        </w:rPr>
        <w:t xml:space="preserve"> يوشك أن ي</w:t>
      </w:r>
      <w:r>
        <w:rPr>
          <w:rFonts w:ascii="Traditional Arabic" w:hAnsi="Traditional Arabic" w:hint="cs"/>
          <w:rtl/>
        </w:rPr>
        <w:t>َ</w:t>
      </w:r>
      <w:r w:rsidRPr="00067951">
        <w:rPr>
          <w:rFonts w:ascii="Traditional Arabic" w:hAnsi="Traditional Arabic"/>
          <w:rtl/>
        </w:rPr>
        <w:t>ر</w:t>
      </w:r>
      <w:r>
        <w:rPr>
          <w:rFonts w:ascii="Traditional Arabic" w:hAnsi="Traditional Arabic" w:hint="cs"/>
          <w:rtl/>
        </w:rPr>
        <w:t>ْ</w:t>
      </w:r>
      <w:r w:rsidRPr="00067951">
        <w:rPr>
          <w:rFonts w:ascii="Traditional Arabic" w:hAnsi="Traditional Arabic"/>
          <w:rtl/>
        </w:rPr>
        <w:t>ت</w:t>
      </w:r>
      <w:r>
        <w:rPr>
          <w:rFonts w:ascii="Traditional Arabic" w:hAnsi="Traditional Arabic" w:hint="cs"/>
          <w:rtl/>
        </w:rPr>
        <w:t>َ</w:t>
      </w:r>
      <w:r w:rsidRPr="00067951">
        <w:rPr>
          <w:rFonts w:ascii="Traditional Arabic" w:hAnsi="Traditional Arabic"/>
          <w:rtl/>
        </w:rPr>
        <w:t>ع فيه"</w:t>
      </w:r>
      <w:r w:rsidRPr="00C821A1">
        <w:rPr>
          <w:rStyle w:val="af1"/>
          <w:szCs w:val="32"/>
          <w:rtl/>
        </w:rPr>
        <w:t>(</w:t>
      </w:r>
      <w:r w:rsidRPr="00C821A1">
        <w:rPr>
          <w:rStyle w:val="af1"/>
          <w:szCs w:val="32"/>
          <w:rtl/>
        </w:rPr>
        <w:footnoteReference w:id="1837"/>
      </w:r>
      <w:r w:rsidRPr="00C821A1">
        <w:rPr>
          <w:rStyle w:val="af1"/>
          <w:szCs w:val="32"/>
          <w:rtl/>
        </w:rPr>
        <w:t>)</w:t>
      </w:r>
      <w:r>
        <w:rPr>
          <w:rFonts w:ascii="Traditional Arabic" w:hAnsi="Traditional Arabic" w:hint="cs"/>
          <w:noProof w:val="0"/>
          <w:rtl/>
          <w:lang w:eastAsia="en-US"/>
        </w:rPr>
        <w:t>.</w:t>
      </w:r>
    </w:p>
    <w:p w:rsidR="00065E4B" w:rsidRDefault="00F101FD" w:rsidP="00597C20">
      <w:pPr>
        <w:pStyle w:val="53"/>
        <w:rPr>
          <w:rtl/>
        </w:rPr>
      </w:pPr>
      <w:r>
        <w:rPr>
          <w:rFonts w:hint="cs"/>
          <w:rtl/>
        </w:rPr>
        <w:t>وجه الدلالة:</w:t>
      </w:r>
    </w:p>
    <w:p w:rsidR="00065E4B" w:rsidRPr="00E03F0C" w:rsidRDefault="00065E4B" w:rsidP="00597C20">
      <w:pPr>
        <w:widowControl/>
        <w:autoSpaceDE w:val="0"/>
        <w:autoSpaceDN w:val="0"/>
        <w:adjustRightInd w:val="0"/>
        <w:ind w:firstLine="720"/>
        <w:jc w:val="left"/>
        <w:rPr>
          <w:rFonts w:ascii="Traditional Arabic" w:hAnsi="Traditional Arabic"/>
          <w:noProof w:val="0"/>
          <w:rtl/>
          <w:lang w:eastAsia="en-US"/>
        </w:rPr>
      </w:pPr>
      <w:r w:rsidRPr="00E03F0C">
        <w:rPr>
          <w:rFonts w:ascii="Traditional Arabic" w:hAnsi="Traditional Arabic"/>
          <w:noProof w:val="0"/>
          <w:rtl/>
          <w:lang w:eastAsia="en-US"/>
        </w:rPr>
        <w:t>ف</w:t>
      </w:r>
      <w:r w:rsidR="00F101FD" w:rsidRPr="00E03F0C">
        <w:rPr>
          <w:rFonts w:ascii="Traditional Arabic" w:hAnsi="Traditional Arabic"/>
          <w:noProof w:val="0"/>
          <w:rtl/>
          <w:lang w:eastAsia="en-US"/>
        </w:rPr>
        <w:t>ي هذا الحديث تقسيم</w:t>
      </w:r>
      <w:r w:rsidR="00F101FD">
        <w:rPr>
          <w:rFonts w:ascii="Traditional Arabic" w:hAnsi="Traditional Arabic" w:hint="cs"/>
          <w:noProof w:val="0"/>
          <w:rtl/>
          <w:lang w:eastAsia="en-US"/>
        </w:rPr>
        <w:t>ٌ</w:t>
      </w:r>
      <w:r w:rsidR="00F101FD" w:rsidRPr="00E03F0C">
        <w:rPr>
          <w:rFonts w:ascii="Traditional Arabic" w:hAnsi="Traditional Arabic"/>
          <w:noProof w:val="0"/>
          <w:rtl/>
          <w:lang w:eastAsia="en-US"/>
        </w:rPr>
        <w:t xml:space="preserve"> للأحكام إلى ثلاثة أقسام:</w:t>
      </w:r>
    </w:p>
    <w:p w:rsidR="00065E4B" w:rsidRDefault="00CB6849" w:rsidP="00597C20">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 xml:space="preserve">1. </w:t>
      </w:r>
      <w:r w:rsidR="00F101FD" w:rsidRPr="00E03F0C">
        <w:rPr>
          <w:rFonts w:ascii="Traditional Arabic" w:hAnsi="Traditional Arabic"/>
          <w:noProof w:val="0"/>
          <w:rtl/>
          <w:lang w:eastAsia="en-US"/>
        </w:rPr>
        <w:t>حلال بيّن كلٌّ يعرفه.</w:t>
      </w:r>
    </w:p>
    <w:p w:rsidR="00F228A9" w:rsidRPr="00E03F0C" w:rsidRDefault="00CB6849" w:rsidP="00597C20">
      <w:pPr>
        <w:widowControl/>
        <w:autoSpaceDE w:val="0"/>
        <w:autoSpaceDN w:val="0"/>
        <w:adjustRightInd w:val="0"/>
        <w:ind w:firstLine="0"/>
        <w:jc w:val="left"/>
        <w:rPr>
          <w:rFonts w:ascii="Traditional Arabic" w:hAnsi="Traditional Arabic"/>
          <w:noProof w:val="0"/>
          <w:rtl/>
          <w:lang w:eastAsia="en-US"/>
        </w:rPr>
      </w:pPr>
      <w:r>
        <w:rPr>
          <w:rFonts w:ascii="Traditional Arabic" w:hAnsi="Traditional Arabic" w:hint="cs"/>
          <w:noProof w:val="0"/>
          <w:rtl/>
          <w:lang w:eastAsia="en-US"/>
        </w:rPr>
        <w:t>2.</w:t>
      </w:r>
      <w:r w:rsidR="00F101FD" w:rsidRPr="00E03F0C">
        <w:rPr>
          <w:rFonts w:ascii="Traditional Arabic" w:hAnsi="Traditional Arabic"/>
          <w:noProof w:val="0"/>
          <w:rtl/>
          <w:lang w:eastAsia="en-US"/>
        </w:rPr>
        <w:t>حرامٌ بيّن كلٌّ يعرفه.</w:t>
      </w:r>
    </w:p>
    <w:p w:rsidR="00065E4B" w:rsidRPr="00CB6849" w:rsidRDefault="00CB6849" w:rsidP="00597C20">
      <w:pPr>
        <w:widowControl/>
        <w:autoSpaceDE w:val="0"/>
        <w:autoSpaceDN w:val="0"/>
        <w:adjustRightInd w:val="0"/>
        <w:ind w:left="282" w:hanging="282"/>
        <w:rPr>
          <w:rFonts w:ascii="Traditional Arabic" w:hAnsi="Traditional Arabic"/>
          <w:noProof w:val="0"/>
          <w:rtl/>
          <w:lang w:eastAsia="en-US"/>
        </w:rPr>
      </w:pPr>
      <w:r w:rsidRPr="00CB6849">
        <w:rPr>
          <w:rFonts w:ascii="Traditional Arabic" w:hAnsi="Traditional Arabic" w:hint="cs"/>
          <w:noProof w:val="0"/>
          <w:rtl/>
          <w:lang w:eastAsia="en-US"/>
        </w:rPr>
        <w:lastRenderedPageBreak/>
        <w:t>3.</w:t>
      </w:r>
      <w:r w:rsidR="00F101FD" w:rsidRPr="00CB6849">
        <w:rPr>
          <w:rFonts w:ascii="Traditional Arabic" w:hAnsi="Traditional Arabic"/>
          <w:noProof w:val="0"/>
          <w:rtl/>
          <w:lang w:eastAsia="en-US"/>
        </w:rPr>
        <w:t xml:space="preserve"> مشتب</w:t>
      </w:r>
      <w:r w:rsidR="00F101FD" w:rsidRPr="00CB6849">
        <w:rPr>
          <w:rFonts w:ascii="Traditional Arabic" w:hAnsi="Traditional Arabic" w:hint="cs"/>
          <w:noProof w:val="0"/>
          <w:rtl/>
          <w:lang w:eastAsia="en-US"/>
        </w:rPr>
        <w:t>ِ</w:t>
      </w:r>
      <w:r w:rsidR="00F101FD" w:rsidRPr="00CB6849">
        <w:rPr>
          <w:rFonts w:ascii="Traditional Arabic" w:hAnsi="Traditional Arabic"/>
          <w:noProof w:val="0"/>
          <w:rtl/>
          <w:lang w:eastAsia="en-US"/>
        </w:rPr>
        <w:t>ه</w:t>
      </w:r>
      <w:r w:rsidR="00F101FD" w:rsidRPr="00CB6849">
        <w:rPr>
          <w:rFonts w:ascii="Traditional Arabic" w:hAnsi="Traditional Arabic" w:hint="cs"/>
          <w:noProof w:val="0"/>
          <w:rtl/>
          <w:lang w:eastAsia="en-US"/>
        </w:rPr>
        <w:t>ٌ</w:t>
      </w:r>
      <w:r w:rsidR="00F101FD" w:rsidRPr="00CB6849">
        <w:rPr>
          <w:rFonts w:ascii="Traditional Arabic" w:hAnsi="Traditional Arabic"/>
          <w:noProof w:val="0"/>
          <w:rtl/>
          <w:lang w:eastAsia="en-US"/>
        </w:rPr>
        <w:t xml:space="preserve"> لا ي</w:t>
      </w:r>
      <w:r w:rsidR="00F101FD" w:rsidRPr="00CB6849">
        <w:rPr>
          <w:rFonts w:ascii="Traditional Arabic" w:hAnsi="Traditional Arabic" w:hint="cs"/>
          <w:noProof w:val="0"/>
          <w:rtl/>
          <w:lang w:eastAsia="en-US"/>
        </w:rPr>
        <w:t>ُ</w:t>
      </w:r>
      <w:r w:rsidR="00F101FD" w:rsidRPr="00CB6849">
        <w:rPr>
          <w:rFonts w:ascii="Traditional Arabic" w:hAnsi="Traditional Arabic"/>
          <w:noProof w:val="0"/>
          <w:rtl/>
          <w:lang w:eastAsia="en-US"/>
        </w:rPr>
        <w:t>عر</w:t>
      </w:r>
      <w:r w:rsidR="00F101FD" w:rsidRPr="00CB6849">
        <w:rPr>
          <w:rFonts w:ascii="Traditional Arabic" w:hAnsi="Traditional Arabic" w:hint="cs"/>
          <w:noProof w:val="0"/>
          <w:rtl/>
          <w:lang w:eastAsia="en-US"/>
        </w:rPr>
        <w:t>َ</w:t>
      </w:r>
      <w:r w:rsidR="00F101FD" w:rsidRPr="00CB6849">
        <w:rPr>
          <w:rFonts w:ascii="Traditional Arabic" w:hAnsi="Traditional Arabic"/>
          <w:noProof w:val="0"/>
          <w:rtl/>
          <w:lang w:eastAsia="en-US"/>
        </w:rPr>
        <w:t>ف هل هو حلال أوحرام؟ وسبب الاشتباه فيها إما: الاشتباه في الدليل، وإما الاشتباه في انطباق الدليل على المسألة</w:t>
      </w:r>
      <w:r w:rsidR="00F101FD" w:rsidRPr="00CB6849">
        <w:rPr>
          <w:rFonts w:ascii="Traditional Arabic" w:hAnsi="Traditional Arabic" w:hint="cs"/>
          <w:noProof w:val="0"/>
          <w:rtl/>
          <w:lang w:eastAsia="en-US"/>
        </w:rPr>
        <w:t>،و</w:t>
      </w:r>
      <w:r w:rsidR="00F101FD" w:rsidRPr="00CB6849">
        <w:rPr>
          <w:rFonts w:ascii="Traditional Arabic" w:hAnsi="Traditional Arabic"/>
          <w:noProof w:val="0"/>
          <w:rtl/>
          <w:lang w:eastAsia="en-US"/>
        </w:rPr>
        <w:t xml:space="preserve">النبيَّ </w:t>
      </w:r>
      <w:r w:rsidR="00F350DE">
        <w:rPr>
          <w:color w:val="auto"/>
          <w:rtl/>
          <w:lang w:eastAsia="en-US"/>
        </w:rPr>
        <w:sym w:font="AGA Arabesque" w:char="F072"/>
      </w:r>
      <w:r w:rsidR="00F101FD" w:rsidRPr="00CB6849">
        <w:rPr>
          <w:rFonts w:ascii="Traditional Arabic" w:hAnsi="Traditional Arabic"/>
          <w:noProof w:val="0"/>
          <w:rtl/>
          <w:lang w:eastAsia="en-US"/>
        </w:rPr>
        <w:t xml:space="preserve"> أمر بالاحتياط </w:t>
      </w:r>
      <w:r w:rsidR="00F101FD" w:rsidRPr="00CB6849">
        <w:rPr>
          <w:rFonts w:ascii="Traditional Arabic" w:hAnsi="Traditional Arabic" w:hint="cs"/>
          <w:noProof w:val="0"/>
          <w:rtl/>
          <w:lang w:eastAsia="en-US"/>
        </w:rPr>
        <w:t>عند حصول الاشتباه</w:t>
      </w:r>
      <w:r w:rsidR="00F101FD" w:rsidRPr="00C821A1">
        <w:rPr>
          <w:rStyle w:val="af1"/>
          <w:szCs w:val="32"/>
          <w:rtl/>
        </w:rPr>
        <w:t>(</w:t>
      </w:r>
      <w:r w:rsidR="00F101FD" w:rsidRPr="00C821A1">
        <w:rPr>
          <w:rStyle w:val="af1"/>
          <w:szCs w:val="32"/>
          <w:rtl/>
        </w:rPr>
        <w:footnoteReference w:id="1838"/>
      </w:r>
      <w:r w:rsidR="00F101FD" w:rsidRPr="00C821A1">
        <w:rPr>
          <w:rStyle w:val="af1"/>
          <w:szCs w:val="32"/>
          <w:rtl/>
        </w:rPr>
        <w:t>)</w:t>
      </w:r>
      <w:r w:rsidR="00F101FD" w:rsidRPr="00CB6849">
        <w:rPr>
          <w:rFonts w:ascii="Traditional Arabic" w:hAnsi="Traditional Arabic" w:hint="cs"/>
          <w:noProof w:val="0"/>
          <w:rtl/>
          <w:lang w:eastAsia="en-US"/>
        </w:rPr>
        <w:t>.</w:t>
      </w:r>
    </w:p>
    <w:p w:rsidR="00F101FD" w:rsidRDefault="00065E4B" w:rsidP="000A76C7">
      <w:pPr>
        <w:pStyle w:val="afc"/>
        <w:widowControl/>
        <w:numPr>
          <w:ilvl w:val="0"/>
          <w:numId w:val="251"/>
        </w:numPr>
        <w:autoSpaceDE w:val="0"/>
        <w:autoSpaceDN w:val="0"/>
        <w:adjustRightInd w:val="0"/>
        <w:rPr>
          <w:rFonts w:ascii="Traditional Arabic" w:hAnsi="Traditional Arabic"/>
          <w:noProof w:val="0"/>
          <w:lang w:eastAsia="en-US"/>
        </w:rPr>
      </w:pPr>
      <w:r>
        <w:rPr>
          <w:rFonts w:ascii="Traditional Arabic" w:hAnsi="Traditional Arabic" w:hint="cs"/>
          <w:noProof w:val="0"/>
          <w:rtl/>
          <w:lang w:eastAsia="en-US"/>
        </w:rPr>
        <w:t>ع</w:t>
      </w:r>
      <w:r w:rsidR="00F101FD">
        <w:rPr>
          <w:rFonts w:ascii="Traditional Arabic" w:hAnsi="Traditional Arabic" w:hint="cs"/>
          <w:noProof w:val="0"/>
          <w:rtl/>
          <w:lang w:eastAsia="en-US"/>
        </w:rPr>
        <w:t xml:space="preserve">ن الحسن بن علي </w:t>
      </w:r>
      <w:r w:rsidR="00CD5DFD">
        <w:rPr>
          <w:rFonts w:ascii="Traditional Arabic" w:hAnsi="Traditional Arabic" w:hint="cs"/>
          <w:noProof w:val="0"/>
          <w:rtl/>
          <w:lang w:eastAsia="en-US"/>
        </w:rPr>
        <w:t>_</w:t>
      </w:r>
      <w:r w:rsidR="00154102">
        <w:rPr>
          <w:rFonts w:ascii="Traditional Arabic" w:hAnsi="Traditional Arabic" w:cs="CTraditional Arabic" w:hint="cs"/>
          <w:noProof w:val="0"/>
          <w:color w:val="auto"/>
          <w:rtl/>
          <w:lang w:eastAsia="en-US"/>
        </w:rPr>
        <w:t>ب</w:t>
      </w:r>
      <w:r w:rsidR="00CD5DFD">
        <w:rPr>
          <w:rFonts w:ascii="Traditional Arabic" w:hAnsi="Traditional Arabic" w:hint="cs"/>
          <w:noProof w:val="0"/>
          <w:rtl/>
          <w:lang w:eastAsia="en-US"/>
        </w:rPr>
        <w:t>_</w:t>
      </w:r>
      <w:r w:rsidR="00F101FD">
        <w:rPr>
          <w:rFonts w:ascii="Traditional Arabic" w:hAnsi="Traditional Arabic" w:hint="cs"/>
          <w:noProof w:val="0"/>
          <w:rtl/>
          <w:lang w:eastAsia="en-US"/>
        </w:rPr>
        <w:t xml:space="preserve"> أنه قال : حفظتُ من رسول الله </w:t>
      </w:r>
      <w:r w:rsidR="00F350DE">
        <w:rPr>
          <w:rFonts w:ascii="Traditional Arabic" w:hAnsi="Traditional Arabic"/>
          <w:noProof w:val="0"/>
          <w:color w:val="auto"/>
          <w:rtl/>
          <w:lang w:eastAsia="en-US"/>
        </w:rPr>
        <w:sym w:font="AGA Arabesque" w:char="F072"/>
      </w:r>
      <w:r w:rsidR="00F101FD">
        <w:rPr>
          <w:rFonts w:ascii="Traditional Arabic" w:hAnsi="Traditional Arabic" w:hint="cs"/>
          <w:noProof w:val="0"/>
          <w:rtl/>
          <w:lang w:eastAsia="en-US"/>
        </w:rPr>
        <w:t>: "دع ما يريبك إلى ما لا يريبك</w:t>
      </w:r>
      <w:r w:rsidR="00AB0B9E">
        <w:rPr>
          <w:rFonts w:ascii="Traditional Arabic" w:hAnsi="Traditional Arabic"/>
          <w:noProof w:val="0"/>
          <w:rtl/>
          <w:lang w:eastAsia="en-US"/>
        </w:rPr>
        <w:fldChar w:fldCharType="begin"/>
      </w:r>
      <w:r w:rsidR="00E35B26" w:rsidRPr="00C85F0F">
        <w:instrText>XE</w:instrText>
      </w:r>
      <w:r w:rsidR="00E35B26" w:rsidRPr="00C85F0F">
        <w:rPr>
          <w:rtl/>
        </w:rPr>
        <w:instrText xml:space="preserve"> "</w:instrText>
      </w:r>
      <w:r w:rsidR="00E35B26" w:rsidRPr="00C85F0F">
        <w:rPr>
          <w:rFonts w:ascii="Traditional Arabic" w:hAnsi="Traditional Arabic" w:hint="cs"/>
          <w:noProof w:val="0"/>
          <w:rtl/>
          <w:lang w:eastAsia="en-US"/>
        </w:rPr>
        <w:instrText>دع ما يريبك إلى ما لا يريبك</w:instrText>
      </w:r>
      <w:r w:rsidR="00E35B26" w:rsidRPr="00C85F0F">
        <w:rPr>
          <w:rtl/>
        </w:rPr>
        <w:instrText>" \</w:instrText>
      </w:r>
      <w:r w:rsidR="00E35B26" w:rsidRPr="00C85F0F">
        <w:instrText>f</w:instrText>
      </w:r>
      <w:r w:rsidR="00E35B26">
        <w:instrText>h</w:instrText>
      </w:r>
      <w:r w:rsidR="00AB0B9E">
        <w:rPr>
          <w:rFonts w:ascii="Traditional Arabic" w:hAnsi="Traditional Arabic"/>
          <w:noProof w:val="0"/>
          <w:rtl/>
          <w:lang w:eastAsia="en-US"/>
        </w:rPr>
        <w:fldChar w:fldCharType="end"/>
      </w:r>
      <w:r w:rsidR="00F101FD">
        <w:rPr>
          <w:rFonts w:ascii="Traditional Arabic" w:hAnsi="Traditional Arabic" w:hint="cs"/>
          <w:noProof w:val="0"/>
          <w:rtl/>
          <w:lang w:eastAsia="en-US"/>
        </w:rPr>
        <w:t>"</w:t>
      </w:r>
      <w:r w:rsidR="00F101FD" w:rsidRPr="00C821A1">
        <w:rPr>
          <w:rStyle w:val="af1"/>
          <w:szCs w:val="32"/>
          <w:rtl/>
        </w:rPr>
        <w:t>(</w:t>
      </w:r>
      <w:r w:rsidR="00F101FD" w:rsidRPr="00C821A1">
        <w:rPr>
          <w:rStyle w:val="af1"/>
          <w:szCs w:val="32"/>
          <w:rtl/>
        </w:rPr>
        <w:footnoteReference w:id="1839"/>
      </w:r>
      <w:r w:rsidR="00F101FD" w:rsidRPr="00C821A1">
        <w:rPr>
          <w:rStyle w:val="af1"/>
          <w:szCs w:val="32"/>
          <w:rtl/>
        </w:rPr>
        <w:t>)</w:t>
      </w:r>
      <w:r w:rsidR="00F101FD">
        <w:rPr>
          <w:rFonts w:ascii="Traditional Arabic" w:hAnsi="Traditional Arabic" w:hint="cs"/>
          <w:noProof w:val="0"/>
          <w:rtl/>
          <w:lang w:eastAsia="en-US"/>
        </w:rPr>
        <w:t>.</w:t>
      </w:r>
    </w:p>
    <w:p w:rsidR="00F101FD" w:rsidRDefault="00F101FD" w:rsidP="00597C20">
      <w:pPr>
        <w:pStyle w:val="53"/>
        <w:rPr>
          <w:rtl/>
        </w:rPr>
      </w:pPr>
      <w:r>
        <w:rPr>
          <w:rFonts w:hint="cs"/>
          <w:rtl/>
        </w:rPr>
        <w:t>وجه الدلالة:</w:t>
      </w:r>
    </w:p>
    <w:p w:rsidR="00F101FD" w:rsidRPr="00CB6849" w:rsidRDefault="00F101FD" w:rsidP="00597C20">
      <w:pPr>
        <w:widowControl/>
        <w:autoSpaceDE w:val="0"/>
        <w:autoSpaceDN w:val="0"/>
        <w:adjustRightInd w:val="0"/>
        <w:ind w:firstLine="720"/>
        <w:jc w:val="left"/>
        <w:rPr>
          <w:rFonts w:ascii="Traditional Arabic" w:hAnsi="Traditional Arabic"/>
          <w:noProof w:val="0"/>
          <w:rtl/>
          <w:lang w:eastAsia="en-US"/>
        </w:rPr>
      </w:pPr>
      <w:r w:rsidRPr="00CB6849">
        <w:rPr>
          <w:rFonts w:ascii="Traditional Arabic" w:hAnsi="Traditional Arabic" w:hint="cs"/>
          <w:noProof w:val="0"/>
          <w:rtl/>
          <w:lang w:eastAsia="en-US"/>
        </w:rPr>
        <w:t xml:space="preserve">أمر النبي </w:t>
      </w:r>
      <w:r w:rsidR="00F350DE">
        <w:rPr>
          <w:color w:val="auto"/>
          <w:rtl/>
          <w:lang w:eastAsia="en-US"/>
        </w:rPr>
        <w:sym w:font="AGA Arabesque" w:char="F072"/>
      </w:r>
      <w:r w:rsidRPr="00CB6849">
        <w:rPr>
          <w:rFonts w:ascii="Traditional Arabic" w:hAnsi="Traditional Arabic" w:hint="cs"/>
          <w:noProof w:val="0"/>
          <w:rtl/>
          <w:lang w:eastAsia="en-US"/>
        </w:rPr>
        <w:t xml:space="preserve"> بِتَرْك ما يوقِع في التُّهمة والشك، وتجاوُز ذلك إلى ما لا يوقع فيهما، وهذا هو معنى الاحتياط</w:t>
      </w:r>
      <w:r w:rsidRPr="00C821A1">
        <w:rPr>
          <w:rStyle w:val="af1"/>
          <w:szCs w:val="32"/>
          <w:rtl/>
        </w:rPr>
        <w:t>(</w:t>
      </w:r>
      <w:r w:rsidRPr="00C821A1">
        <w:rPr>
          <w:rStyle w:val="af1"/>
          <w:szCs w:val="32"/>
          <w:rtl/>
        </w:rPr>
        <w:footnoteReference w:id="1840"/>
      </w:r>
      <w:r w:rsidRPr="00C821A1">
        <w:rPr>
          <w:rStyle w:val="af1"/>
          <w:szCs w:val="32"/>
          <w:rtl/>
        </w:rPr>
        <w:t>)</w:t>
      </w:r>
      <w:r w:rsidRPr="00CB6849">
        <w:rPr>
          <w:rFonts w:ascii="Traditional Arabic" w:hAnsi="Traditional Arabic" w:hint="cs"/>
          <w:noProof w:val="0"/>
          <w:rtl/>
          <w:lang w:eastAsia="en-US"/>
        </w:rPr>
        <w:t>.</w:t>
      </w:r>
    </w:p>
    <w:p w:rsidR="00F101FD" w:rsidRDefault="00F101FD" w:rsidP="000A76C7">
      <w:pPr>
        <w:pStyle w:val="afc"/>
        <w:widowControl/>
        <w:numPr>
          <w:ilvl w:val="0"/>
          <w:numId w:val="251"/>
        </w:numPr>
        <w:autoSpaceDE w:val="0"/>
        <w:autoSpaceDN w:val="0"/>
        <w:adjustRightInd w:val="0"/>
        <w:rPr>
          <w:rFonts w:ascii="Traditional Arabic" w:hAnsi="Traditional Arabic"/>
          <w:noProof w:val="0"/>
          <w:lang w:eastAsia="en-US"/>
        </w:rPr>
      </w:pPr>
      <w:r>
        <w:rPr>
          <w:rFonts w:ascii="Traditional Arabic" w:hAnsi="Traditional Arabic" w:hint="cs"/>
          <w:noProof w:val="0"/>
          <w:rtl/>
          <w:lang w:eastAsia="en-US"/>
        </w:rPr>
        <w:t xml:space="preserve">حديث عائشة </w:t>
      </w:r>
      <w:r w:rsidR="00CD5DFD">
        <w:rPr>
          <w:rFonts w:ascii="Traditional Arabic" w:hAnsi="Traditional Arabic" w:hint="cs"/>
          <w:noProof w:val="0"/>
          <w:rtl/>
          <w:lang w:eastAsia="en-US"/>
        </w:rPr>
        <w:t>_</w:t>
      </w:r>
      <w:r w:rsidR="00154102">
        <w:rPr>
          <w:rFonts w:ascii="Traditional Arabic" w:hAnsi="Traditional Arabic" w:cs="CTraditional Arabic" w:hint="cs"/>
          <w:noProof w:val="0"/>
          <w:color w:val="auto"/>
          <w:rtl/>
          <w:lang w:eastAsia="en-US"/>
        </w:rPr>
        <w:t>ل</w:t>
      </w:r>
      <w:r w:rsidR="00CD5DFD">
        <w:rPr>
          <w:rFonts w:ascii="Traditional Arabic" w:hAnsi="Traditional Arabic" w:hint="cs"/>
          <w:noProof w:val="0"/>
          <w:color w:val="auto"/>
          <w:rtl/>
          <w:lang w:eastAsia="en-US"/>
        </w:rPr>
        <w:t>_</w:t>
      </w:r>
      <w:r w:rsidRPr="00C3548B">
        <w:rPr>
          <w:rFonts w:ascii="Traditional Arabic" w:hAnsi="Traditional Arabic"/>
          <w:noProof w:val="0"/>
          <w:color w:val="auto"/>
          <w:rtl/>
          <w:lang w:eastAsia="en-US"/>
        </w:rPr>
        <w:t>أنها قالت اختصم سعد بن أبي وقاص وعبد</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بن ز</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ة في غ</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لام</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فقال سعد</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هذا يا رسول الله ابن أخي ع</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تبة بن أبي وقاص</w:t>
      </w:r>
      <w:r w:rsidR="00CD5DFD">
        <w:rPr>
          <w:rFonts w:ascii="Traditional Arabic" w:hAnsi="Traditional Arabic" w:hint="cs"/>
          <w:noProof w:val="0"/>
          <w:color w:val="auto"/>
          <w:rtl/>
          <w:lang w:eastAsia="en-US"/>
        </w:rPr>
        <w:t xml:space="preserve"> </w:t>
      </w:r>
      <w:r w:rsidRPr="00C3548B">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ه</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د</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إلي</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أنه ابن</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ه</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انظر </w:t>
      </w:r>
      <w:r>
        <w:rPr>
          <w:rFonts w:ascii="Traditional Arabic" w:hAnsi="Traditional Arabic"/>
          <w:noProof w:val="0"/>
          <w:color w:val="auto"/>
          <w:rtl/>
          <w:lang w:eastAsia="en-US"/>
        </w:rPr>
        <w:t>إلى ش</w:t>
      </w:r>
      <w:r>
        <w:rPr>
          <w:rFonts w:ascii="Traditional Arabic" w:hAnsi="Traditional Arabic" w:hint="cs"/>
          <w:noProof w:val="0"/>
          <w:color w:val="auto"/>
          <w:rtl/>
          <w:lang w:eastAsia="en-US"/>
        </w:rPr>
        <w:t>َ</w:t>
      </w:r>
      <w:r>
        <w:rPr>
          <w:rFonts w:ascii="Traditional Arabic" w:hAnsi="Traditional Arabic"/>
          <w:noProof w:val="0"/>
          <w:color w:val="auto"/>
          <w:rtl/>
          <w:lang w:eastAsia="en-US"/>
        </w:rPr>
        <w:t>ب</w:t>
      </w:r>
      <w:r>
        <w:rPr>
          <w:rFonts w:ascii="Traditional Arabic" w:hAnsi="Traditional Arabic" w:hint="cs"/>
          <w:noProof w:val="0"/>
          <w:color w:val="auto"/>
          <w:rtl/>
          <w:lang w:eastAsia="en-US"/>
        </w:rPr>
        <w:t>َ</w:t>
      </w:r>
      <w:r>
        <w:rPr>
          <w:rFonts w:ascii="Traditional Arabic" w:hAnsi="Traditional Arabic"/>
          <w:noProof w:val="0"/>
          <w:color w:val="auto"/>
          <w:rtl/>
          <w:lang w:eastAsia="en-US"/>
        </w:rPr>
        <w:t>ه</w:t>
      </w:r>
      <w:r>
        <w:rPr>
          <w:rFonts w:ascii="Traditional Arabic" w:hAnsi="Traditional Arabic" w:hint="cs"/>
          <w:noProof w:val="0"/>
          <w:color w:val="auto"/>
          <w:rtl/>
          <w:lang w:eastAsia="en-US"/>
        </w:rPr>
        <w:t>ِ</w:t>
      </w:r>
      <w:r>
        <w:rPr>
          <w:rFonts w:ascii="Traditional Arabic" w:hAnsi="Traditional Arabic"/>
          <w:noProof w:val="0"/>
          <w:color w:val="auto"/>
          <w:rtl/>
          <w:lang w:eastAsia="en-US"/>
        </w:rPr>
        <w:t>ه</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وقال عبد</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بن ز</w:t>
      </w:r>
      <w:r>
        <w:rPr>
          <w:rFonts w:ascii="Traditional Arabic" w:hAnsi="Traditional Arabic" w:hint="cs"/>
          <w:noProof w:val="0"/>
          <w:color w:val="auto"/>
          <w:rtl/>
          <w:lang w:eastAsia="en-US"/>
        </w:rPr>
        <w:t>َ</w:t>
      </w:r>
      <w:r>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Pr>
          <w:rFonts w:ascii="Traditional Arabic" w:hAnsi="Traditional Arabic"/>
          <w:noProof w:val="0"/>
          <w:color w:val="auto"/>
          <w:rtl/>
          <w:lang w:eastAsia="en-US"/>
        </w:rPr>
        <w:t>ة</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هذا أخي يا رسول الله</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و</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لد على فراش أبي من و</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يدته</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فنظر رسول الله </w:t>
      </w:r>
      <w:r w:rsidR="00F350DE">
        <w:rPr>
          <w:rFonts w:ascii="Traditional Arabic" w:hAnsi="Traditional Arabic"/>
          <w:noProof w:val="0"/>
          <w:color w:val="auto"/>
          <w:rtl/>
          <w:lang w:eastAsia="en-US"/>
        </w:rPr>
        <w:sym w:font="AGA Arabesque" w:char="F072"/>
      </w:r>
      <w:r w:rsidRPr="00C3548B">
        <w:rPr>
          <w:rFonts w:ascii="Traditional Arabic" w:hAnsi="Traditional Arabic"/>
          <w:noProof w:val="0"/>
          <w:color w:val="auto"/>
          <w:rtl/>
          <w:lang w:eastAsia="en-US"/>
        </w:rPr>
        <w:t xml:space="preserve"> إلى شبهه فرأى شبها</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بي</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نا</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بع</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تبة</w:t>
      </w:r>
      <w:r>
        <w:rPr>
          <w:rFonts w:ascii="Traditional Arabic" w:hAnsi="Traditional Arabic" w:hint="cs"/>
          <w:noProof w:val="0"/>
          <w:color w:val="auto"/>
          <w:rtl/>
          <w:lang w:eastAsia="en-US"/>
        </w:rPr>
        <w:t>،</w:t>
      </w:r>
      <w:r w:rsidRPr="00C3548B">
        <w:rPr>
          <w:rFonts w:ascii="Traditional Arabic" w:hAnsi="Traditional Arabic"/>
          <w:noProof w:val="0"/>
          <w:color w:val="auto"/>
          <w:rtl/>
          <w:lang w:eastAsia="en-US"/>
        </w:rPr>
        <w:t xml:space="preserve"> فقال</w:t>
      </w:r>
      <w:r>
        <w:rPr>
          <w:rFonts w:ascii="Traditional Arabic" w:hAnsi="Traditional Arabic" w:hint="cs"/>
          <w:noProof w:val="0"/>
          <w:color w:val="auto"/>
          <w:rtl/>
          <w:lang w:eastAsia="en-US"/>
        </w:rPr>
        <w:t>:"</w:t>
      </w:r>
      <w:r>
        <w:rPr>
          <w:rFonts w:ascii="Traditional Arabic" w:hAnsi="Traditional Arabic"/>
          <w:noProof w:val="0"/>
          <w:color w:val="auto"/>
          <w:rtl/>
          <w:lang w:eastAsia="en-US"/>
        </w:rPr>
        <w:t>هو لك يا عبد</w:t>
      </w:r>
      <w:r>
        <w:rPr>
          <w:rFonts w:ascii="Traditional Arabic" w:hAnsi="Traditional Arabic" w:hint="cs"/>
          <w:noProof w:val="0"/>
          <w:color w:val="auto"/>
          <w:rtl/>
          <w:lang w:eastAsia="en-US"/>
        </w:rPr>
        <w:t xml:space="preserve"> بن زمعة، </w:t>
      </w:r>
      <w:r w:rsidR="00AB0B9E">
        <w:rPr>
          <w:rFonts w:ascii="Traditional Arabic" w:hAnsi="Traditional Arabic"/>
          <w:noProof w:val="0"/>
          <w:color w:val="auto"/>
          <w:rtl/>
          <w:lang w:eastAsia="en-US"/>
        </w:rPr>
        <w:fldChar w:fldCharType="begin"/>
      </w:r>
      <w:r w:rsidR="00E35B26" w:rsidRPr="00C85F0F">
        <w:instrText>XE</w:instrText>
      </w:r>
      <w:r w:rsidR="00E35B26" w:rsidRPr="00C85F0F">
        <w:rPr>
          <w:rtl/>
        </w:rPr>
        <w:instrText xml:space="preserve"> "</w:instrText>
      </w:r>
      <w:r w:rsidR="00E35B26" w:rsidRPr="00C85F0F">
        <w:rPr>
          <w:rFonts w:ascii="Traditional Arabic" w:hAnsi="Traditional Arabic" w:hint="cs"/>
          <w:noProof w:val="0"/>
          <w:color w:val="auto"/>
          <w:rtl/>
          <w:lang w:eastAsia="en-US"/>
        </w:rPr>
        <w:instrText>الولد للفِراش وللعاهِر الحَجَر،</w:instrText>
      </w:r>
      <w:r w:rsidR="00E35B26" w:rsidRPr="00C85F0F">
        <w:rPr>
          <w:rtl/>
        </w:rPr>
        <w:instrText>" \</w:instrText>
      </w:r>
      <w:r w:rsidR="00E35B26" w:rsidRPr="00C85F0F">
        <w:instrText>f</w:instrText>
      </w:r>
      <w:r w:rsidR="00E35B26">
        <w:instrText>h</w:instrText>
      </w:r>
      <w:r w:rsidR="00AB0B9E">
        <w:rPr>
          <w:rFonts w:ascii="Traditional Arabic" w:hAnsi="Traditional Arabic"/>
          <w:noProof w:val="0"/>
          <w:color w:val="auto"/>
          <w:rtl/>
          <w:lang w:eastAsia="en-US"/>
        </w:rPr>
        <w:fldChar w:fldCharType="end"/>
      </w:r>
      <w:r>
        <w:rPr>
          <w:rFonts w:ascii="Traditional Arabic" w:hAnsi="Traditional Arabic" w:hint="cs"/>
          <w:noProof w:val="0"/>
          <w:color w:val="auto"/>
          <w:rtl/>
          <w:lang w:eastAsia="en-US"/>
        </w:rPr>
        <w:t>الولد للفِراش وللعاهِر الحَجَر، واحتجبي منه يا سَودةَ بنتَ زمعة، فلم تَرَهُ سودةُ قط"</w:t>
      </w:r>
      <w:r w:rsidRPr="00C821A1">
        <w:rPr>
          <w:rStyle w:val="af1"/>
          <w:szCs w:val="32"/>
          <w:rtl/>
        </w:rPr>
        <w:t>(</w:t>
      </w:r>
      <w:r w:rsidRPr="00C821A1">
        <w:rPr>
          <w:rStyle w:val="af1"/>
          <w:szCs w:val="32"/>
          <w:rtl/>
        </w:rPr>
        <w:footnoteReference w:id="1841"/>
      </w:r>
      <w:r w:rsidRPr="00C821A1">
        <w:rPr>
          <w:rStyle w:val="af1"/>
          <w:szCs w:val="32"/>
          <w:rtl/>
        </w:rPr>
        <w:t>)</w:t>
      </w:r>
      <w:r>
        <w:rPr>
          <w:rFonts w:ascii="Traditional Arabic" w:hAnsi="Traditional Arabic" w:hint="cs"/>
          <w:noProof w:val="0"/>
          <w:color w:val="auto"/>
          <w:rtl/>
          <w:lang w:eastAsia="en-US"/>
        </w:rPr>
        <w:t>.</w:t>
      </w:r>
    </w:p>
    <w:p w:rsidR="00F101FD" w:rsidRDefault="00F101FD" w:rsidP="00597C20">
      <w:pPr>
        <w:pStyle w:val="53"/>
        <w:rPr>
          <w:rtl/>
        </w:rPr>
      </w:pPr>
      <w:r>
        <w:rPr>
          <w:rFonts w:hint="cs"/>
          <w:rtl/>
        </w:rPr>
        <w:t>وجه الدلالة:</w:t>
      </w:r>
    </w:p>
    <w:p w:rsidR="00F228A9" w:rsidRPr="00CB6849" w:rsidRDefault="00F101FD" w:rsidP="00597C20">
      <w:pPr>
        <w:widowControl/>
        <w:autoSpaceDE w:val="0"/>
        <w:autoSpaceDN w:val="0"/>
        <w:adjustRightInd w:val="0"/>
        <w:ind w:firstLine="720"/>
        <w:rPr>
          <w:rFonts w:ascii="Traditional Arabic" w:hAnsi="Traditional Arabic"/>
          <w:noProof w:val="0"/>
          <w:rtl/>
          <w:lang w:eastAsia="en-US"/>
        </w:rPr>
      </w:pPr>
      <w:r w:rsidRPr="00CB6849">
        <w:rPr>
          <w:rFonts w:ascii="Traditional Arabic" w:hAnsi="Traditional Arabic" w:hint="cs"/>
          <w:noProof w:val="0"/>
          <w:rtl/>
          <w:lang w:eastAsia="en-US"/>
        </w:rPr>
        <w:t>يستفاد من الحديث استعمال الورَع في الأمر الثابت في ظاهر الشرع والأمر للاحتياط.</w:t>
      </w:r>
    </w:p>
    <w:p w:rsidR="00F228A9" w:rsidRPr="00CB6849" w:rsidRDefault="00F101FD" w:rsidP="00597C20">
      <w:pPr>
        <w:widowControl/>
        <w:autoSpaceDE w:val="0"/>
        <w:autoSpaceDN w:val="0"/>
        <w:adjustRightInd w:val="0"/>
        <w:ind w:firstLine="720"/>
        <w:rPr>
          <w:rFonts w:ascii="Traditional Arabic" w:hAnsi="Traditional Arabic"/>
          <w:noProof w:val="0"/>
          <w:rtl/>
          <w:lang w:eastAsia="en-US"/>
        </w:rPr>
      </w:pPr>
      <w:r w:rsidRPr="00CB6849">
        <w:rPr>
          <w:rFonts w:ascii="Traditional Arabic" w:hAnsi="Traditional Arabic" w:hint="cs"/>
          <w:noProof w:val="0"/>
          <w:rtl/>
          <w:lang w:eastAsia="en-US"/>
        </w:rPr>
        <w:lastRenderedPageBreak/>
        <w:t>وجه ذلك أنه عليه الصلاة والسلام أمرَ سودة بالاحتجاب من ولد</w:t>
      </w:r>
      <w:r w:rsidR="00CD5DFD">
        <w:rPr>
          <w:rFonts w:ascii="Traditional Arabic" w:hAnsi="Traditional Arabic" w:hint="cs"/>
          <w:noProof w:val="0"/>
          <w:rtl/>
          <w:lang w:eastAsia="en-US"/>
        </w:rPr>
        <w:t xml:space="preserve"> أبيها الذي حَكم بإلحاقه بها لَمَّا</w:t>
      </w:r>
      <w:r w:rsidRPr="00CB6849">
        <w:rPr>
          <w:rFonts w:ascii="Traditional Arabic" w:hAnsi="Traditional Arabic" w:hint="cs"/>
          <w:noProof w:val="0"/>
          <w:rtl/>
          <w:lang w:eastAsia="en-US"/>
        </w:rPr>
        <w:t xml:space="preserve"> رأى الشبه البيّن بعُتبة، وخشي أن يكون من مائه ويكون أجنبيّاً منها باطناً، فحَكم بظاهر الشرع في إلحاق النَّسَب، وبالورع في الاحتجاب</w:t>
      </w:r>
      <w:r w:rsidRPr="00C821A1">
        <w:rPr>
          <w:rStyle w:val="af1"/>
          <w:szCs w:val="32"/>
          <w:rtl/>
        </w:rPr>
        <w:t>(</w:t>
      </w:r>
      <w:r w:rsidRPr="00C821A1">
        <w:rPr>
          <w:rStyle w:val="af1"/>
          <w:szCs w:val="32"/>
          <w:rtl/>
        </w:rPr>
        <w:footnoteReference w:id="1842"/>
      </w:r>
      <w:r w:rsidRPr="00C821A1">
        <w:rPr>
          <w:rStyle w:val="af1"/>
          <w:szCs w:val="32"/>
          <w:rtl/>
        </w:rPr>
        <w:t>)</w:t>
      </w:r>
      <w:r w:rsidRPr="00CB6849">
        <w:rPr>
          <w:rFonts w:ascii="Traditional Arabic" w:hAnsi="Traditional Arabic" w:hint="cs"/>
          <w:noProof w:val="0"/>
          <w:rtl/>
          <w:lang w:eastAsia="en-US"/>
        </w:rPr>
        <w:t>.</w:t>
      </w:r>
    </w:p>
    <w:p w:rsidR="00F101FD" w:rsidRPr="00756AFB" w:rsidRDefault="00CD5DFD" w:rsidP="00A8347C">
      <w:pPr>
        <w:pStyle w:val="aff3"/>
        <w:rPr>
          <w:rtl/>
        </w:rPr>
      </w:pPr>
      <w:bookmarkStart w:id="386" w:name="_Toc334046583"/>
      <w:r>
        <w:rPr>
          <w:rFonts w:hint="cs"/>
          <w:rtl/>
        </w:rPr>
        <w:t xml:space="preserve">                                          </w:t>
      </w:r>
      <w:r w:rsidR="00F101FD">
        <w:rPr>
          <w:rFonts w:hint="cs"/>
          <w:rtl/>
        </w:rPr>
        <w:t>المطلب الرابع</w:t>
      </w:r>
      <w:r w:rsidR="00F101FD">
        <w:rPr>
          <w:rFonts w:hint="eastAsia"/>
          <w:rtl/>
        </w:rPr>
        <w:t> :</w:t>
      </w:r>
      <w:r w:rsidR="00F101FD">
        <w:rPr>
          <w:rFonts w:hint="cs"/>
          <w:rtl/>
        </w:rPr>
        <w:br/>
      </w:r>
      <w:r>
        <w:rPr>
          <w:rFonts w:hint="cs"/>
          <w:rtl/>
        </w:rPr>
        <w:t xml:space="preserve">          </w:t>
      </w:r>
      <w:r w:rsidR="00B40770">
        <w:rPr>
          <w:rFonts w:hint="cs"/>
          <w:rtl/>
        </w:rPr>
        <w:t xml:space="preserve">                               </w:t>
      </w:r>
      <w:r w:rsidR="00F101FD">
        <w:rPr>
          <w:rFonts w:hint="cs"/>
          <w:rtl/>
        </w:rPr>
        <w:t>تطبيقات القاعدة</w:t>
      </w:r>
      <w:bookmarkEnd w:id="386"/>
    </w:p>
    <w:p w:rsidR="00F101FD" w:rsidRDefault="00F101FD" w:rsidP="00CD5DFD">
      <w:pPr>
        <w:pStyle w:val="afc"/>
        <w:ind w:firstLine="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(1) </w:t>
      </w:r>
      <w:r w:rsidRPr="000C5272">
        <w:rPr>
          <w:rFonts w:ascii="Traditional Arabic" w:hAnsi="Traditional Arabic"/>
          <w:noProof w:val="0"/>
          <w:color w:val="auto"/>
          <w:rtl/>
          <w:lang w:eastAsia="en-US"/>
        </w:rPr>
        <w:t>يحر</w:t>
      </w:r>
      <w:r>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م ربا الفضل</w:t>
      </w:r>
      <w:r w:rsidR="00CD5DFD">
        <w:rPr>
          <w:rStyle w:val="af1"/>
          <w:rFonts w:hint="cs"/>
          <w:szCs w:val="32"/>
          <w:rtl/>
        </w:rPr>
        <w:t xml:space="preserve"> </w:t>
      </w:r>
      <w:r w:rsidRPr="000C5272">
        <w:rPr>
          <w:rFonts w:ascii="Traditional Arabic" w:hAnsi="Traditional Arabic"/>
          <w:noProof w:val="0"/>
          <w:color w:val="auto"/>
          <w:rtl/>
          <w:lang w:eastAsia="en-US"/>
        </w:rPr>
        <w:t>في كل</w:t>
      </w:r>
      <w:r w:rsidRPr="000C5272">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 xml:space="preserve"> م</w:t>
      </w:r>
      <w:r w:rsidRPr="000C5272">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كيل</w:t>
      </w:r>
      <w:r w:rsidRPr="000C5272">
        <w:rPr>
          <w:rFonts w:ascii="Traditional Arabic" w:hAnsi="Traditional Arabic" w:hint="cs"/>
          <w:noProof w:val="0"/>
          <w:color w:val="auto"/>
          <w:rtl/>
          <w:lang w:eastAsia="en-US"/>
        </w:rPr>
        <w:t>ٍ</w:t>
      </w:r>
      <w:r w:rsidR="00CD5DFD">
        <w:rPr>
          <w:rFonts w:ascii="Traditional Arabic" w:hAnsi="Traditional Arabic" w:hint="cs"/>
          <w:noProof w:val="0"/>
          <w:color w:val="auto"/>
          <w:rtl/>
          <w:lang w:eastAsia="en-US"/>
        </w:rPr>
        <w:t xml:space="preserve"> </w:t>
      </w:r>
      <w:r w:rsidRPr="000C5272">
        <w:rPr>
          <w:rFonts w:ascii="Traditional Arabic" w:hAnsi="Traditional Arabic"/>
          <w:noProof w:val="0"/>
          <w:color w:val="auto"/>
          <w:rtl/>
          <w:lang w:eastAsia="en-US"/>
        </w:rPr>
        <w:t>وم</w:t>
      </w:r>
      <w:r w:rsidRPr="000C5272">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وزون</w:t>
      </w:r>
      <w:r w:rsidRPr="000C5272">
        <w:rPr>
          <w:rFonts w:ascii="Traditional Arabic" w:hAnsi="Traditional Arabic" w:hint="cs"/>
          <w:noProof w:val="0"/>
          <w:color w:val="auto"/>
          <w:rtl/>
          <w:lang w:eastAsia="en-US"/>
        </w:rPr>
        <w:t>ٍ</w:t>
      </w:r>
      <w:r w:rsidR="00CD5DFD">
        <w:rPr>
          <w:rFonts w:ascii="Traditional Arabic" w:hAnsi="Traditional Arabic" w:hint="cs"/>
          <w:noProof w:val="0"/>
          <w:color w:val="auto"/>
          <w:rtl/>
          <w:lang w:eastAsia="en-US"/>
        </w:rPr>
        <w:t xml:space="preserve"> </w:t>
      </w:r>
      <w:r w:rsidRPr="000C5272">
        <w:rPr>
          <w:rFonts w:ascii="Traditional Arabic" w:hAnsi="Traditional Arabic"/>
          <w:noProof w:val="0"/>
          <w:color w:val="auto"/>
          <w:rtl/>
          <w:lang w:eastAsia="en-US"/>
        </w:rPr>
        <w:t>ب</w:t>
      </w:r>
      <w:r w:rsidRPr="000C5272">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يع</w:t>
      </w:r>
      <w:r>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 xml:space="preserve"> بج</w:t>
      </w:r>
      <w:r>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نسه</w:t>
      </w:r>
      <w:r w:rsidRPr="00C821A1">
        <w:rPr>
          <w:rStyle w:val="af1"/>
          <w:szCs w:val="32"/>
          <w:rtl/>
        </w:rPr>
        <w:t>(</w:t>
      </w:r>
      <w:r w:rsidRPr="00C821A1">
        <w:rPr>
          <w:rStyle w:val="af1"/>
          <w:szCs w:val="32"/>
          <w:rtl/>
        </w:rPr>
        <w:footnoteReference w:id="1843"/>
      </w:r>
      <w:r w:rsidRPr="00C821A1">
        <w:rPr>
          <w:rStyle w:val="af1"/>
          <w:szCs w:val="32"/>
          <w:rtl/>
        </w:rPr>
        <w:t>)</w:t>
      </w:r>
      <w:r w:rsidRPr="000C5272">
        <w:rPr>
          <w:rFonts w:ascii="Traditional Arabic" w:hAnsi="Traditional Arabic"/>
          <w:noProof w:val="0"/>
          <w:color w:val="auto"/>
          <w:rtl/>
          <w:lang w:eastAsia="en-US"/>
        </w:rPr>
        <w:t>،</w:t>
      </w:r>
      <w:r w:rsidR="00CD5DFD">
        <w:rPr>
          <w:rFonts w:ascii="Traditional Arabic" w:hAnsi="Traditional Arabic" w:hint="cs"/>
          <w:noProof w:val="0"/>
          <w:color w:val="auto"/>
          <w:rtl/>
          <w:lang w:eastAsia="en-US"/>
        </w:rPr>
        <w:t xml:space="preserve"> </w:t>
      </w:r>
      <w:r w:rsidRPr="000C5272">
        <w:rPr>
          <w:rFonts w:ascii="Traditional Arabic" w:hAnsi="Traditional Arabic"/>
          <w:noProof w:val="0"/>
          <w:color w:val="auto"/>
          <w:rtl/>
          <w:lang w:eastAsia="en-US"/>
        </w:rPr>
        <w:t>ولا يباع مكيل بجنسه إلا ك</w:t>
      </w:r>
      <w:r w:rsidRPr="000C5272">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ي</w:t>
      </w:r>
      <w:r w:rsidRPr="000C5272">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لا</w:t>
      </w:r>
      <w:r w:rsidRPr="000C5272">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 ولا موزون بجنسه إلا و</w:t>
      </w:r>
      <w:r w:rsidRPr="000C5272">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ز</w:t>
      </w:r>
      <w:r w:rsidRPr="000C5272">
        <w:rPr>
          <w:rFonts w:ascii="Traditional Arabic" w:hAnsi="Traditional Arabic" w:hint="cs"/>
          <w:noProof w:val="0"/>
          <w:color w:val="auto"/>
          <w:rtl/>
          <w:lang w:eastAsia="en-US"/>
        </w:rPr>
        <w:t>ْ</w:t>
      </w:r>
      <w:r w:rsidRPr="000C5272">
        <w:rPr>
          <w:rFonts w:ascii="Traditional Arabic" w:hAnsi="Traditional Arabic"/>
          <w:noProof w:val="0"/>
          <w:color w:val="auto"/>
          <w:rtl/>
          <w:lang w:eastAsia="en-US"/>
        </w:rPr>
        <w:t>نا</w:t>
      </w:r>
      <w:r w:rsidRPr="000C5272">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1844"/>
      </w:r>
      <w:r w:rsidRPr="00C821A1">
        <w:rPr>
          <w:rStyle w:val="af1"/>
          <w:szCs w:val="32"/>
          <w:rtl/>
        </w:rPr>
        <w:t>)</w:t>
      </w:r>
      <w:r w:rsidRPr="000C5272">
        <w:rPr>
          <w:rFonts w:ascii="Traditional Arabic" w:hAnsi="Traditional Arabic" w:hint="cs"/>
          <w:noProof w:val="0"/>
          <w:color w:val="auto"/>
          <w:rtl/>
          <w:lang w:eastAsia="en-US"/>
        </w:rPr>
        <w:t xml:space="preserve">، وقال بعض العلماء: يجوز أن يباع </w:t>
      </w:r>
      <w:r>
        <w:rPr>
          <w:rFonts w:ascii="Traditional Arabic" w:hAnsi="Traditional Arabic" w:hint="cs"/>
          <w:noProof w:val="0"/>
          <w:color w:val="auto"/>
          <w:rtl/>
          <w:lang w:eastAsia="en-US"/>
        </w:rPr>
        <w:t>المكيل</w:t>
      </w:r>
      <w:r w:rsidRPr="000C5272">
        <w:rPr>
          <w:rFonts w:ascii="Traditional Arabic" w:hAnsi="Traditional Arabic" w:hint="cs"/>
          <w:noProof w:val="0"/>
          <w:color w:val="auto"/>
          <w:rtl/>
          <w:lang w:eastAsia="en-US"/>
        </w:rPr>
        <w:t xml:space="preserve"> وزنا</w:t>
      </w:r>
      <w:r>
        <w:rPr>
          <w:rFonts w:ascii="Traditional Arabic" w:hAnsi="Traditional Arabic" w:hint="cs"/>
          <w:noProof w:val="0"/>
          <w:color w:val="auto"/>
          <w:rtl/>
          <w:lang w:eastAsia="en-US"/>
        </w:rPr>
        <w:t>ً</w:t>
      </w:r>
      <w:r w:rsidRPr="000C5272">
        <w:rPr>
          <w:rFonts w:ascii="Traditional Arabic" w:hAnsi="Traditional Arabic" w:hint="cs"/>
          <w:noProof w:val="0"/>
          <w:color w:val="auto"/>
          <w:rtl/>
          <w:lang w:eastAsia="en-US"/>
        </w:rPr>
        <w:t xml:space="preserve"> في</w:t>
      </w:r>
      <w:r>
        <w:rPr>
          <w:rFonts w:ascii="Traditional Arabic" w:hAnsi="Traditional Arabic" w:hint="cs"/>
          <w:noProof w:val="0"/>
          <w:color w:val="auto"/>
          <w:rtl/>
          <w:lang w:eastAsia="en-US"/>
        </w:rPr>
        <w:t>ُ</w:t>
      </w:r>
      <w:r w:rsidRPr="000C5272">
        <w:rPr>
          <w:rFonts w:ascii="Traditional Arabic" w:hAnsi="Traditional Arabic" w:hint="cs"/>
          <w:noProof w:val="0"/>
          <w:color w:val="auto"/>
          <w:rtl/>
          <w:lang w:eastAsia="en-US"/>
        </w:rPr>
        <w:t>عتب</w:t>
      </w:r>
      <w:r>
        <w:rPr>
          <w:rFonts w:ascii="Traditional Arabic" w:hAnsi="Traditional Arabic" w:hint="cs"/>
          <w:noProof w:val="0"/>
          <w:color w:val="auto"/>
          <w:rtl/>
          <w:lang w:eastAsia="en-US"/>
        </w:rPr>
        <w:t>َ</w:t>
      </w:r>
      <w:r w:rsidRPr="000C5272">
        <w:rPr>
          <w:rFonts w:ascii="Traditional Arabic" w:hAnsi="Traditional Arabic" w:hint="cs"/>
          <w:noProof w:val="0"/>
          <w:color w:val="auto"/>
          <w:rtl/>
          <w:lang w:eastAsia="en-US"/>
        </w:rPr>
        <w:t>ر بالوزن</w:t>
      </w:r>
      <w:r w:rsidRPr="00C821A1">
        <w:rPr>
          <w:rStyle w:val="af1"/>
          <w:szCs w:val="32"/>
          <w:rtl/>
        </w:rPr>
        <w:t>(</w:t>
      </w:r>
      <w:r w:rsidRPr="00C821A1">
        <w:rPr>
          <w:rStyle w:val="af1"/>
          <w:szCs w:val="32"/>
          <w:rtl/>
        </w:rPr>
        <w:footnoteReference w:id="1845"/>
      </w:r>
      <w:r w:rsidRPr="00C821A1">
        <w:rPr>
          <w:rStyle w:val="af1"/>
          <w:szCs w:val="32"/>
          <w:rtl/>
        </w:rPr>
        <w:t>)</w:t>
      </w:r>
      <w:r w:rsidRPr="000C5272">
        <w:rPr>
          <w:rFonts w:ascii="Traditional Arabic" w:hAnsi="Traditional Arabic" w:hint="cs"/>
          <w:noProof w:val="0"/>
          <w:color w:val="auto"/>
          <w:rtl/>
          <w:lang w:eastAsia="en-US"/>
        </w:rPr>
        <w:t>، لكن الاحتياط ألا يباع المكيل إلاكيلاً</w:t>
      </w:r>
      <w:r w:rsidRPr="00C821A1">
        <w:rPr>
          <w:rStyle w:val="af1"/>
          <w:szCs w:val="32"/>
          <w:rtl/>
        </w:rPr>
        <w:t>(</w:t>
      </w:r>
      <w:r w:rsidRPr="00C821A1">
        <w:rPr>
          <w:rStyle w:val="af1"/>
          <w:szCs w:val="32"/>
          <w:rtl/>
        </w:rPr>
        <w:footnoteReference w:id="1846"/>
      </w:r>
      <w:r w:rsidRPr="00C821A1">
        <w:rPr>
          <w:rStyle w:val="af1"/>
          <w:szCs w:val="32"/>
          <w:rtl/>
        </w:rPr>
        <w:t>)</w:t>
      </w:r>
      <w:r w:rsidRPr="000C5272">
        <w:rPr>
          <w:rFonts w:ascii="Traditional Arabic" w:hAnsi="Traditional Arabic" w:hint="cs"/>
          <w:noProof w:val="0"/>
          <w:color w:val="auto"/>
          <w:rtl/>
          <w:lang w:eastAsia="en-US"/>
        </w:rPr>
        <w:t>.</w:t>
      </w:r>
    </w:p>
    <w:p w:rsidR="00F101FD" w:rsidRDefault="00F101FD" w:rsidP="00597C20">
      <w:pPr>
        <w:pStyle w:val="53"/>
        <w:rPr>
          <w:rtl/>
        </w:rPr>
      </w:pPr>
      <w:r>
        <w:rPr>
          <w:rFonts w:hint="cs"/>
          <w:rtl/>
        </w:rPr>
        <w:lastRenderedPageBreak/>
        <w:t>وجه اندراج الفرع تحت القاعدة :</w:t>
      </w:r>
    </w:p>
    <w:p w:rsidR="00F101FD" w:rsidRPr="00CB6849" w:rsidRDefault="00F101FD" w:rsidP="00597C20">
      <w:pPr>
        <w:ind w:firstLine="720"/>
        <w:rPr>
          <w:rFonts w:ascii="Traditional Arabic" w:hAnsi="Traditional Arabic"/>
          <w:noProof w:val="0"/>
          <w:color w:val="auto"/>
          <w:rtl/>
          <w:lang w:eastAsia="en-US"/>
        </w:rPr>
      </w:pPr>
      <w:r w:rsidRPr="00CB6849">
        <w:rPr>
          <w:rFonts w:ascii="Traditional Arabic" w:hAnsi="Traditional Arabic" w:hint="cs"/>
          <w:noProof w:val="0"/>
          <w:color w:val="auto"/>
          <w:rtl/>
          <w:lang w:eastAsia="en-US"/>
        </w:rPr>
        <w:t>بيع المكيل وزنا</w:t>
      </w:r>
      <w:r w:rsidR="000D04E7">
        <w:rPr>
          <w:rFonts w:ascii="Traditional Arabic" w:hAnsi="Traditional Arabic" w:hint="cs"/>
          <w:noProof w:val="0"/>
          <w:color w:val="auto"/>
          <w:rtl/>
          <w:lang w:eastAsia="en-US"/>
        </w:rPr>
        <w:t>ً</w:t>
      </w:r>
      <w:r w:rsidRPr="00CB6849">
        <w:rPr>
          <w:rFonts w:ascii="Traditional Arabic" w:hAnsi="Traditional Arabic" w:hint="cs"/>
          <w:noProof w:val="0"/>
          <w:color w:val="auto"/>
          <w:rtl/>
          <w:lang w:eastAsia="en-US"/>
        </w:rPr>
        <w:t xml:space="preserve"> قد يُؤدّي إلى التفاضُل في الكيل، فلو باع رِطْلاً من المكيل بِرطلٍ</w:t>
      </w:r>
      <w:r w:rsidR="000D04E7">
        <w:rPr>
          <w:rFonts w:ascii="Traditional Arabic" w:hAnsi="Traditional Arabic" w:hint="cs"/>
          <w:noProof w:val="0"/>
          <w:color w:val="auto"/>
          <w:rtl/>
          <w:lang w:eastAsia="en-US"/>
        </w:rPr>
        <w:t xml:space="preserve"> </w:t>
      </w:r>
      <w:r w:rsidRPr="00CB6849">
        <w:rPr>
          <w:rFonts w:ascii="Traditional Arabic" w:hAnsi="Traditional Arabic" w:hint="cs"/>
          <w:noProof w:val="0"/>
          <w:color w:val="auto"/>
          <w:rtl/>
          <w:lang w:eastAsia="en-US"/>
        </w:rPr>
        <w:t xml:space="preserve">حصل في الرطل من الخفيف أكثر مما يحصل من الثقيل، فيختلفان في الكيل، ولو لم يُعلم التفاضل لكن يُجهل التساوي، والجهل بالتساوي كالعلم بالتفاضل؛ </w:t>
      </w:r>
      <w:r w:rsidRPr="000D04E7">
        <w:rPr>
          <w:rFonts w:ascii="Traditional Arabic" w:hAnsi="Traditional Arabic" w:hint="cs"/>
          <w:noProof w:val="0"/>
          <w:color w:val="auto"/>
          <w:rtl/>
          <w:lang w:eastAsia="en-US"/>
        </w:rPr>
        <w:t>ولهذا كان الاحتياط في عدم بيع المكيل إلا كيلا</w:t>
      </w:r>
      <w:r w:rsidR="000D04E7">
        <w:rPr>
          <w:rFonts w:ascii="Traditional Arabic" w:hAnsi="Traditional Arabic" w:hint="cs"/>
          <w:noProof w:val="0"/>
          <w:color w:val="auto"/>
          <w:rtl/>
          <w:lang w:eastAsia="en-US"/>
        </w:rPr>
        <w:t>ً</w:t>
      </w:r>
      <w:r w:rsidRPr="000D04E7">
        <w:rPr>
          <w:rFonts w:ascii="Traditional Arabic" w:hAnsi="Traditional Arabic" w:hint="cs"/>
          <w:noProof w:val="0"/>
          <w:color w:val="auto"/>
          <w:rtl/>
          <w:lang w:eastAsia="en-US"/>
        </w:rPr>
        <w:t>، حيث إن فيه احتياطاً من الوقوع في الربا</w:t>
      </w:r>
      <w:r w:rsidRPr="00C821A1">
        <w:rPr>
          <w:rStyle w:val="af1"/>
          <w:szCs w:val="32"/>
          <w:rtl/>
        </w:rPr>
        <w:t>(</w:t>
      </w:r>
      <w:r w:rsidRPr="00C821A1">
        <w:rPr>
          <w:rStyle w:val="af1"/>
          <w:szCs w:val="32"/>
          <w:rtl/>
        </w:rPr>
        <w:footnoteReference w:id="1847"/>
      </w:r>
      <w:r w:rsidRPr="00C821A1">
        <w:rPr>
          <w:rStyle w:val="af1"/>
          <w:szCs w:val="32"/>
          <w:rtl/>
        </w:rPr>
        <w:t>)</w:t>
      </w:r>
      <w:r w:rsidRPr="00CB6849">
        <w:rPr>
          <w:rFonts w:ascii="Traditional Arabic" w:hAnsi="Traditional Arabic" w:hint="cs"/>
          <w:noProof w:val="0"/>
          <w:color w:val="auto"/>
          <w:rtl/>
          <w:lang w:eastAsia="en-US"/>
        </w:rPr>
        <w:t>.</w:t>
      </w:r>
    </w:p>
    <w:p w:rsidR="00F101FD" w:rsidRDefault="00F101FD" w:rsidP="00861540">
      <w:pPr>
        <w:pStyle w:val="afc"/>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(2) م</w:t>
      </w:r>
      <w:r w:rsidR="00861540">
        <w:rPr>
          <w:rFonts w:ascii="Traditional Arabic" w:hAnsi="Traditional Arabic" w:hint="cs"/>
          <w:noProof w:val="0"/>
          <w:color w:val="auto"/>
          <w:rtl/>
          <w:lang w:eastAsia="en-US"/>
        </w:rPr>
        <w:t>ِ</w:t>
      </w:r>
      <w:r>
        <w:rPr>
          <w:rFonts w:ascii="Traditional Arabic" w:hAnsi="Traditional Arabic" w:hint="cs"/>
          <w:noProof w:val="0"/>
          <w:color w:val="auto"/>
          <w:rtl/>
          <w:lang w:eastAsia="en-US"/>
        </w:rPr>
        <w:t>ن شرط الأجل في السَّلَم</w:t>
      </w:r>
      <w:r w:rsidR="00861540">
        <w:rPr>
          <w:rStyle w:val="af1"/>
          <w:rFonts w:hint="cs"/>
          <w:szCs w:val="32"/>
          <w:rtl/>
        </w:rPr>
        <w:t xml:space="preserve"> </w:t>
      </w:r>
      <w:r>
        <w:rPr>
          <w:rFonts w:ascii="Traditional Arabic" w:hAnsi="Traditional Arabic" w:hint="cs"/>
          <w:noProof w:val="0"/>
          <w:color w:val="auto"/>
          <w:rtl/>
          <w:lang w:eastAsia="en-US"/>
        </w:rPr>
        <w:t>أن يكون له وَقْعٌ في الثمن</w:t>
      </w:r>
      <w:r w:rsidRPr="00C821A1">
        <w:rPr>
          <w:rStyle w:val="af1"/>
          <w:szCs w:val="32"/>
          <w:rtl/>
        </w:rPr>
        <w:t>(</w:t>
      </w:r>
      <w:r w:rsidRPr="00C821A1">
        <w:rPr>
          <w:rStyle w:val="af1"/>
          <w:szCs w:val="32"/>
          <w:rtl/>
        </w:rPr>
        <w:footnoteReference w:id="1848"/>
      </w:r>
      <w:r w:rsidRPr="00C821A1">
        <w:rPr>
          <w:rStyle w:val="af1"/>
          <w:szCs w:val="32"/>
          <w:rtl/>
        </w:rPr>
        <w:t>)</w:t>
      </w:r>
      <w:r>
        <w:rPr>
          <w:rFonts w:ascii="Traditional Arabic" w:hAnsi="Traditional Arabic" w:hint="cs"/>
          <w:noProof w:val="0"/>
          <w:color w:val="auto"/>
          <w:rtl/>
          <w:lang w:eastAsia="en-US"/>
        </w:rPr>
        <w:t>؛ لأن العلة التي من أجلها شُرع السلم انتفاعُ المسلَم إليه بتعجيل الثمن، وانتفاع المسلِم بالاستِرْخاص</w:t>
      </w:r>
      <w:r w:rsidRPr="00C821A1">
        <w:rPr>
          <w:rStyle w:val="af1"/>
          <w:szCs w:val="32"/>
          <w:rtl/>
        </w:rPr>
        <w:t>(</w:t>
      </w:r>
      <w:r w:rsidRPr="00C821A1">
        <w:rPr>
          <w:rStyle w:val="af1"/>
          <w:szCs w:val="32"/>
          <w:rtl/>
        </w:rPr>
        <w:footnoteReference w:id="1849"/>
      </w:r>
      <w:r w:rsidRPr="00C821A1">
        <w:rPr>
          <w:rStyle w:val="af1"/>
          <w:szCs w:val="32"/>
          <w:rtl/>
        </w:rPr>
        <w:t>)</w:t>
      </w:r>
      <w:r>
        <w:rPr>
          <w:rFonts w:ascii="Traditional Arabic" w:hAnsi="Traditional Arabic" w:hint="cs"/>
          <w:noProof w:val="0"/>
          <w:color w:val="auto"/>
          <w:rtl/>
          <w:lang w:eastAsia="en-US"/>
        </w:rPr>
        <w:t xml:space="preserve">، فإذا لم يكن للأجل تأثير في الثمن فاتت فائدة السلم، لكن بالنظر إلى ظاهر الحديث يتبين أنه ليس فيه اشتراط ذلك، حيث قال النبي </w:t>
      </w:r>
      <w:r w:rsidR="00F350DE">
        <w:rPr>
          <w:rFonts w:ascii="Traditional Arabic" w:hAnsi="Traditional Arabic"/>
          <w:noProof w:val="0"/>
          <w:color w:val="auto"/>
          <w:rtl/>
          <w:lang w:eastAsia="en-US"/>
        </w:rPr>
        <w:sym w:font="AGA Arabesque" w:char="F072"/>
      </w:r>
      <w:r>
        <w:rPr>
          <w:rFonts w:ascii="Traditional Arabic" w:hAnsi="Traditional Arabic" w:hint="cs"/>
          <w:noProof w:val="0"/>
          <w:color w:val="auto"/>
          <w:rtl/>
          <w:lang w:eastAsia="en-US"/>
        </w:rPr>
        <w:t xml:space="preserve"> :"</w:t>
      </w:r>
      <w:r w:rsidRPr="00DA524E">
        <w:rPr>
          <w:rFonts w:ascii="Traditional Arabic" w:hAnsi="Traditional Arabic"/>
          <w:noProof w:val="0"/>
          <w:color w:val="auto"/>
          <w:rtl/>
          <w:lang w:eastAsia="en-US"/>
        </w:rPr>
        <w:t>م</w:t>
      </w:r>
      <w:r>
        <w:rPr>
          <w:rFonts w:ascii="Traditional Arabic" w:hAnsi="Traditional Arabic" w:hint="cs"/>
          <w:noProof w:val="0"/>
          <w:color w:val="auto"/>
          <w:rtl/>
          <w:lang w:eastAsia="en-US"/>
        </w:rPr>
        <w:t>َ</w:t>
      </w:r>
      <w:r>
        <w:rPr>
          <w:rFonts w:ascii="Traditional Arabic" w:hAnsi="Traditional Arabic"/>
          <w:noProof w:val="0"/>
          <w:color w:val="auto"/>
          <w:rtl/>
          <w:lang w:eastAsia="en-US"/>
        </w:rPr>
        <w:t>ن</w:t>
      </w:r>
      <w:r w:rsidR="00AE71F7">
        <w:rPr>
          <w:rFonts w:ascii="Traditional Arabic" w:hAnsi="Traditional Arabic" w:hint="cs"/>
          <w:noProof w:val="0"/>
          <w:color w:val="auto"/>
          <w:rtl/>
          <w:lang w:eastAsia="en-US"/>
        </w:rPr>
        <w:t xml:space="preserve"> </w:t>
      </w:r>
      <w:r w:rsidRPr="00DA524E">
        <w:rPr>
          <w:rFonts w:ascii="Traditional Arabic" w:hAnsi="Traditional Arabic"/>
          <w:noProof w:val="0"/>
          <w:color w:val="auto"/>
          <w:rtl/>
          <w:lang w:eastAsia="en-US"/>
        </w:rPr>
        <w:t>أسلف في شيء فلي</w:t>
      </w:r>
      <w:r>
        <w:rPr>
          <w:rFonts w:ascii="Traditional Arabic" w:hAnsi="Traditional Arabic" w:hint="cs"/>
          <w:noProof w:val="0"/>
          <w:color w:val="auto"/>
          <w:rtl/>
          <w:lang w:eastAsia="en-US"/>
        </w:rPr>
        <w:t>ُ</w:t>
      </w:r>
      <w:r w:rsidRPr="00DA524E">
        <w:rPr>
          <w:rFonts w:ascii="Traditional Arabic" w:hAnsi="Traditional Arabic"/>
          <w:noProof w:val="0"/>
          <w:color w:val="auto"/>
          <w:rtl/>
          <w:lang w:eastAsia="en-US"/>
        </w:rPr>
        <w:t>س</w:t>
      </w:r>
      <w:r>
        <w:rPr>
          <w:rFonts w:ascii="Traditional Arabic" w:hAnsi="Traditional Arabic" w:hint="cs"/>
          <w:noProof w:val="0"/>
          <w:color w:val="auto"/>
          <w:rtl/>
          <w:lang w:eastAsia="en-US"/>
        </w:rPr>
        <w:t>ْ</w:t>
      </w:r>
      <w:r w:rsidRPr="00DA524E">
        <w:rPr>
          <w:rFonts w:ascii="Traditional Arabic" w:hAnsi="Traditional Arabic"/>
          <w:noProof w:val="0"/>
          <w:color w:val="auto"/>
          <w:rtl/>
          <w:lang w:eastAsia="en-US"/>
        </w:rPr>
        <w:t>ل</w:t>
      </w:r>
      <w:r>
        <w:rPr>
          <w:rFonts w:ascii="Traditional Arabic" w:hAnsi="Traditional Arabic" w:hint="cs"/>
          <w:noProof w:val="0"/>
          <w:color w:val="auto"/>
          <w:rtl/>
          <w:lang w:eastAsia="en-US"/>
        </w:rPr>
        <w:t>ِ</w:t>
      </w:r>
      <w:r w:rsidRPr="00DA524E">
        <w:rPr>
          <w:rFonts w:ascii="Traditional Arabic" w:hAnsi="Traditional Arabic"/>
          <w:noProof w:val="0"/>
          <w:color w:val="auto"/>
          <w:rtl/>
          <w:lang w:eastAsia="en-US"/>
        </w:rPr>
        <w:t>ف في كيل معلوم، وو</w:t>
      </w:r>
      <w:r>
        <w:rPr>
          <w:rFonts w:ascii="Traditional Arabic" w:hAnsi="Traditional Arabic" w:hint="cs"/>
          <w:noProof w:val="0"/>
          <w:color w:val="auto"/>
          <w:rtl/>
          <w:lang w:eastAsia="en-US"/>
        </w:rPr>
        <w:t>َ</w:t>
      </w:r>
      <w:r w:rsidRPr="00DA524E">
        <w:rPr>
          <w:rFonts w:ascii="Traditional Arabic" w:hAnsi="Traditional Arabic"/>
          <w:noProof w:val="0"/>
          <w:color w:val="auto"/>
          <w:rtl/>
          <w:lang w:eastAsia="en-US"/>
        </w:rPr>
        <w:t>زن</w:t>
      </w:r>
      <w:r>
        <w:rPr>
          <w:rFonts w:ascii="Traditional Arabic" w:hAnsi="Traditional Arabic" w:hint="cs"/>
          <w:noProof w:val="0"/>
          <w:color w:val="auto"/>
          <w:rtl/>
          <w:lang w:eastAsia="en-US"/>
        </w:rPr>
        <w:t>ٍ</w:t>
      </w:r>
      <w:r w:rsidRPr="00DA524E">
        <w:rPr>
          <w:rFonts w:ascii="Traditional Arabic" w:hAnsi="Traditional Arabic"/>
          <w:noProof w:val="0"/>
          <w:color w:val="auto"/>
          <w:rtl/>
          <w:lang w:eastAsia="en-US"/>
        </w:rPr>
        <w:t xml:space="preserve"> معلوم، إلى أجل معلوم</w:t>
      </w:r>
      <w:r>
        <w:rPr>
          <w:rFonts w:ascii="Traditional Arabic" w:hAnsi="Traditional Arabic" w:hint="cs"/>
          <w:b/>
          <w:bCs/>
          <w:noProof w:val="0"/>
          <w:sz w:val="44"/>
          <w:szCs w:val="44"/>
          <w:rtl/>
          <w:lang w:eastAsia="en-US"/>
        </w:rPr>
        <w:t>"</w:t>
      </w:r>
      <w:r w:rsidRPr="00C821A1">
        <w:rPr>
          <w:rStyle w:val="af1"/>
          <w:szCs w:val="32"/>
          <w:rtl/>
        </w:rPr>
        <w:t>(</w:t>
      </w:r>
      <w:r w:rsidRPr="00C821A1">
        <w:rPr>
          <w:rStyle w:val="af1"/>
          <w:szCs w:val="32"/>
          <w:rtl/>
        </w:rPr>
        <w:footnoteReference w:id="1850"/>
      </w:r>
      <w:r w:rsidRPr="00C821A1">
        <w:rPr>
          <w:rStyle w:val="af1"/>
          <w:szCs w:val="32"/>
          <w:rtl/>
        </w:rPr>
        <w:t>)</w:t>
      </w:r>
      <w:r w:rsidRPr="00DA524E">
        <w:rPr>
          <w:rFonts w:ascii="Traditional Arabic" w:hAnsi="Traditional Arabic" w:hint="cs"/>
          <w:noProof w:val="0"/>
          <w:rtl/>
          <w:lang w:eastAsia="en-US"/>
        </w:rPr>
        <w:t>؛</w:t>
      </w:r>
      <w:r w:rsidR="000D04E7">
        <w:rPr>
          <w:rFonts w:ascii="Traditional Arabic" w:hAnsi="Traditional Arabic" w:hint="cs"/>
          <w:noProof w:val="0"/>
          <w:rtl/>
          <w:lang w:eastAsia="en-US"/>
        </w:rPr>
        <w:t xml:space="preserve"> </w:t>
      </w:r>
      <w:r>
        <w:rPr>
          <w:rFonts w:ascii="Traditional Arabic" w:hAnsi="Traditional Arabic" w:hint="cs"/>
          <w:noProof w:val="0"/>
          <w:color w:val="auto"/>
          <w:rtl/>
          <w:lang w:eastAsia="en-US"/>
        </w:rPr>
        <w:t>ولذلك لم يشترطه كثير من الفقهاء</w:t>
      </w:r>
      <w:r w:rsidRPr="00C821A1">
        <w:rPr>
          <w:rStyle w:val="af1"/>
          <w:szCs w:val="32"/>
          <w:rtl/>
        </w:rPr>
        <w:t>(</w:t>
      </w:r>
      <w:r w:rsidRPr="00C821A1">
        <w:rPr>
          <w:rStyle w:val="af1"/>
          <w:szCs w:val="32"/>
          <w:rtl/>
        </w:rPr>
        <w:footnoteReference w:id="1851"/>
      </w:r>
      <w:r w:rsidRPr="00C821A1">
        <w:rPr>
          <w:rStyle w:val="af1"/>
          <w:szCs w:val="32"/>
          <w:rtl/>
        </w:rPr>
        <w:t>)</w:t>
      </w:r>
      <w:r>
        <w:rPr>
          <w:rFonts w:ascii="Traditional Arabic" w:hAnsi="Traditional Arabic" w:hint="cs"/>
          <w:noProof w:val="0"/>
          <w:color w:val="auto"/>
          <w:rtl/>
          <w:lang w:eastAsia="en-US"/>
        </w:rPr>
        <w:t>.</w:t>
      </w:r>
      <w:r w:rsidR="000D04E7">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ومثل هذه المسائل التي لم يتبيَّن فيها الدليل من الجانبين الأولى أن يراعى فيها الأحْوَط، لا سيما إذا كان هذا الأحوط هو الذي يكون فيه الحكم إذا رُفعتْ القضية إلى المحكمة</w:t>
      </w:r>
      <w:r w:rsidRPr="00C821A1">
        <w:rPr>
          <w:rStyle w:val="af1"/>
          <w:szCs w:val="32"/>
          <w:rtl/>
        </w:rPr>
        <w:t>(</w:t>
      </w:r>
      <w:r w:rsidRPr="00C821A1">
        <w:rPr>
          <w:rStyle w:val="af1"/>
          <w:szCs w:val="32"/>
          <w:rtl/>
        </w:rPr>
        <w:footnoteReference w:id="1852"/>
      </w:r>
      <w:r w:rsidRPr="00C821A1">
        <w:rPr>
          <w:rStyle w:val="af1"/>
          <w:szCs w:val="32"/>
          <w:rtl/>
        </w:rPr>
        <w:t>)</w:t>
      </w:r>
      <w:r>
        <w:rPr>
          <w:rFonts w:ascii="Traditional Arabic" w:hAnsi="Traditional Arabic" w:hint="cs"/>
          <w:noProof w:val="0"/>
          <w:color w:val="auto"/>
          <w:rtl/>
          <w:lang w:eastAsia="en-US"/>
        </w:rPr>
        <w:t>.</w:t>
      </w:r>
    </w:p>
    <w:p w:rsidR="00F101FD" w:rsidRDefault="00F101FD" w:rsidP="00597C20">
      <w:pPr>
        <w:pStyle w:val="53"/>
        <w:rPr>
          <w:rtl/>
        </w:rPr>
      </w:pPr>
      <w:r>
        <w:rPr>
          <w:rFonts w:hint="cs"/>
          <w:rtl/>
        </w:rPr>
        <w:lastRenderedPageBreak/>
        <w:t>وجه اندراج الفرع تحت القاعدة :</w:t>
      </w:r>
    </w:p>
    <w:p w:rsidR="00F101FD" w:rsidRPr="000D04E7" w:rsidRDefault="00F101FD" w:rsidP="00597C20">
      <w:pPr>
        <w:ind w:firstLine="720"/>
        <w:rPr>
          <w:rFonts w:ascii="Traditional Arabic" w:hAnsi="Traditional Arabic"/>
          <w:noProof w:val="0"/>
          <w:color w:val="auto"/>
          <w:rtl/>
          <w:lang w:eastAsia="en-US"/>
        </w:rPr>
      </w:pPr>
      <w:r w:rsidRPr="000D04E7">
        <w:rPr>
          <w:rFonts w:ascii="Traditional Arabic" w:hAnsi="Traditional Arabic" w:hint="cs"/>
          <w:noProof w:val="0"/>
          <w:color w:val="auto"/>
          <w:rtl/>
          <w:lang w:eastAsia="en-US"/>
        </w:rPr>
        <w:t>مراعاة الاحتياط في هذه المسألة ترجع-والله أعلم- إلى سببين:</w:t>
      </w:r>
    </w:p>
    <w:p w:rsidR="00F101FD" w:rsidRDefault="00F101FD" w:rsidP="000A76C7">
      <w:pPr>
        <w:pStyle w:val="afc"/>
        <w:numPr>
          <w:ilvl w:val="0"/>
          <w:numId w:val="252"/>
        </w:numPr>
        <w:rPr>
          <w:rFonts w:ascii="Traditional Arabic" w:hAnsi="Traditional Arabic"/>
          <w:noProof w:val="0"/>
          <w:color w:val="auto"/>
          <w:lang w:eastAsia="en-US"/>
        </w:rPr>
      </w:pPr>
      <w:r>
        <w:rPr>
          <w:rFonts w:ascii="Traditional Arabic" w:hAnsi="Traditional Arabic" w:hint="cs"/>
          <w:noProof w:val="0"/>
          <w:color w:val="auto"/>
          <w:rtl/>
          <w:lang w:eastAsia="en-US"/>
        </w:rPr>
        <w:t>الاشتباه في الدليل، هل يُ</w:t>
      </w:r>
      <w:r w:rsidRPr="0031190B">
        <w:rPr>
          <w:rFonts w:ascii="Traditional Arabic" w:hAnsi="Traditional Arabic" w:hint="cs"/>
          <w:noProof w:val="0"/>
          <w:color w:val="auto"/>
          <w:rtl/>
          <w:lang w:eastAsia="en-US"/>
        </w:rPr>
        <w:t>قتص</w:t>
      </w:r>
      <w:r>
        <w:rPr>
          <w:rFonts w:ascii="Traditional Arabic" w:hAnsi="Traditional Arabic" w:hint="cs"/>
          <w:noProof w:val="0"/>
          <w:color w:val="auto"/>
          <w:rtl/>
          <w:lang w:eastAsia="en-US"/>
        </w:rPr>
        <w:t>َ</w:t>
      </w:r>
      <w:r w:rsidRPr="0031190B">
        <w:rPr>
          <w:rFonts w:ascii="Traditional Arabic" w:hAnsi="Traditional Arabic" w:hint="cs"/>
          <w:noProof w:val="0"/>
          <w:color w:val="auto"/>
          <w:rtl/>
          <w:lang w:eastAsia="en-US"/>
        </w:rPr>
        <w:t>ر على ظاهر الحديث أو ي</w:t>
      </w:r>
      <w:r>
        <w:rPr>
          <w:rFonts w:ascii="Traditional Arabic" w:hAnsi="Traditional Arabic" w:hint="cs"/>
          <w:noProof w:val="0"/>
          <w:color w:val="auto"/>
          <w:rtl/>
          <w:lang w:eastAsia="en-US"/>
        </w:rPr>
        <w:t>ُ</w:t>
      </w:r>
      <w:r w:rsidRPr="0031190B">
        <w:rPr>
          <w:rFonts w:ascii="Traditional Arabic" w:hAnsi="Traditional Arabic" w:hint="cs"/>
          <w:noProof w:val="0"/>
          <w:color w:val="auto"/>
          <w:rtl/>
          <w:lang w:eastAsia="en-US"/>
        </w:rPr>
        <w:t>نظر إلى العلة التي من أجلها ش</w:t>
      </w:r>
      <w:r>
        <w:rPr>
          <w:rFonts w:ascii="Traditional Arabic" w:hAnsi="Traditional Arabic" w:hint="cs"/>
          <w:noProof w:val="0"/>
          <w:color w:val="auto"/>
          <w:rtl/>
          <w:lang w:eastAsia="en-US"/>
        </w:rPr>
        <w:t>ُ</w:t>
      </w:r>
      <w:r w:rsidRPr="0031190B">
        <w:rPr>
          <w:rFonts w:ascii="Traditional Arabic" w:hAnsi="Traditional Arabic" w:hint="cs"/>
          <w:noProof w:val="0"/>
          <w:color w:val="auto"/>
          <w:rtl/>
          <w:lang w:eastAsia="en-US"/>
        </w:rPr>
        <w:t>رع السلم؟</w:t>
      </w:r>
      <w:r w:rsidR="000D04E7">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 xml:space="preserve">والنبي </w:t>
      </w:r>
      <w:r w:rsidR="00F350DE">
        <w:rPr>
          <w:rFonts w:ascii="Traditional Arabic" w:hAnsi="Traditional Arabic"/>
          <w:noProof w:val="0"/>
          <w:color w:val="auto"/>
          <w:rtl/>
          <w:lang w:eastAsia="en-US"/>
        </w:rPr>
        <w:sym w:font="AGA Arabesque" w:char="F072"/>
      </w:r>
      <w:r>
        <w:rPr>
          <w:rFonts w:ascii="Traditional Arabic" w:hAnsi="Traditional Arabic" w:hint="cs"/>
          <w:noProof w:val="0"/>
          <w:color w:val="auto"/>
          <w:rtl/>
          <w:lang w:eastAsia="en-US"/>
        </w:rPr>
        <w:t xml:space="preserve"> أرشد إلى الاحتياط عند حصول الاشتباه.</w:t>
      </w:r>
    </w:p>
    <w:p w:rsidR="00F228A9" w:rsidRDefault="00F101FD" w:rsidP="000A76C7">
      <w:pPr>
        <w:pStyle w:val="afc"/>
        <w:numPr>
          <w:ilvl w:val="0"/>
          <w:numId w:val="252"/>
        </w:numPr>
        <w:rPr>
          <w:rFonts w:ascii="Traditional Arabic" w:hAnsi="Traditional Arabic"/>
          <w:noProof w:val="0"/>
          <w:color w:val="auto"/>
          <w:lang w:eastAsia="en-US"/>
        </w:rPr>
      </w:pPr>
      <w:r>
        <w:rPr>
          <w:rFonts w:ascii="Traditional Arabic" w:hAnsi="Traditional Arabic" w:hint="cs"/>
          <w:noProof w:val="0"/>
          <w:color w:val="auto"/>
          <w:rtl/>
          <w:lang w:eastAsia="en-US"/>
        </w:rPr>
        <w:t>كون القول بالأحوط موافقا ل</w:t>
      </w:r>
      <w:r w:rsidR="00C1436D">
        <w:rPr>
          <w:rFonts w:ascii="Traditional Arabic" w:hAnsi="Traditional Arabic" w:hint="cs"/>
          <w:noProof w:val="0"/>
          <w:color w:val="auto"/>
          <w:rtl/>
          <w:lang w:eastAsia="en-US"/>
        </w:rPr>
        <w:t>ِ</w:t>
      </w:r>
      <w:r>
        <w:rPr>
          <w:rFonts w:ascii="Traditional Arabic" w:hAnsi="Traditional Arabic" w:hint="cs"/>
          <w:noProof w:val="0"/>
          <w:color w:val="auto"/>
          <w:rtl/>
          <w:lang w:eastAsia="en-US"/>
        </w:rPr>
        <w:t>ما هو المحكوم به في المحاكم؛ لأن المفتي إذا أفتى بخلاف ذلك فإنه قد يُتَّهَمُ بقُصورٍ في العلم لأن المحكمة أبطلت فتواه ولم تأخذ بها، وقد يكون المتَّهَم هو القاضي سواء</w:t>
      </w:r>
      <w:r w:rsidR="000D04E7">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من جهة القصور في العلم أو من جهة الميل إلى أحد الخصمين في الحكم، ولا شك أن الأحوط اجتناب هذه المفاسد</w:t>
      </w:r>
      <w:r w:rsidRPr="00C821A1">
        <w:rPr>
          <w:rStyle w:val="af1"/>
          <w:szCs w:val="32"/>
          <w:rtl/>
        </w:rPr>
        <w:t>(</w:t>
      </w:r>
      <w:r w:rsidRPr="00C821A1">
        <w:rPr>
          <w:rStyle w:val="af1"/>
          <w:szCs w:val="32"/>
          <w:rtl/>
        </w:rPr>
        <w:footnoteReference w:id="1853"/>
      </w:r>
      <w:r w:rsidRPr="00C821A1">
        <w:rPr>
          <w:rStyle w:val="af1"/>
          <w:szCs w:val="32"/>
          <w:rtl/>
        </w:rPr>
        <w:t>)</w:t>
      </w:r>
      <w:r>
        <w:rPr>
          <w:rFonts w:ascii="Traditional Arabic" w:hAnsi="Traditional Arabic" w:hint="cs"/>
          <w:noProof w:val="0"/>
          <w:color w:val="auto"/>
          <w:rtl/>
          <w:lang w:eastAsia="en-US"/>
        </w:rPr>
        <w:t>.</w:t>
      </w:r>
    </w:p>
    <w:p w:rsidR="00E53CE8" w:rsidRDefault="00E53CE8" w:rsidP="00E53CE8">
      <w:pPr>
        <w:pStyle w:val="afc"/>
        <w:ind w:firstLine="0"/>
        <w:rPr>
          <w:rFonts w:ascii="Traditional Arabic" w:hAnsi="Traditional Arabic"/>
          <w:noProof w:val="0"/>
          <w:color w:val="auto"/>
          <w:rtl/>
          <w:lang w:eastAsia="en-US"/>
        </w:rPr>
      </w:pPr>
    </w:p>
    <w:p w:rsidR="00E269AD" w:rsidRPr="00C85F0F" w:rsidRDefault="00D816CC" w:rsidP="000F5C0F">
      <w:pPr>
        <w:pStyle w:val="aff2"/>
        <w:rPr>
          <w:rtl/>
        </w:rPr>
      </w:pPr>
      <w:bookmarkStart w:id="387" w:name="_Toc334046584"/>
      <w:r w:rsidRPr="00D816CC">
        <w:rPr>
          <w:rFonts w:ascii="Traditional Arabic" w:hAnsi="Traditional Arabic" w:hint="cs"/>
          <w:rtl/>
        </w:rPr>
        <w:lastRenderedPageBreak/>
        <w:t>المبحث الثالث</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Pr="00D816CC">
        <w:rPr>
          <w:rFonts w:ascii="Traditional Arabic" w:hAnsi="Traditional Arabic" w:hint="cs"/>
          <w:rtl/>
        </w:rPr>
        <w:t>قاعدة</w:t>
      </w:r>
      <w:r>
        <w:rPr>
          <w:rFonts w:ascii="Traditional Arabic" w:hAnsi="Traditional Arabic"/>
          <w:rtl/>
        </w:rPr>
        <w:br/>
      </w:r>
      <w:r w:rsidR="00E269AD">
        <w:rPr>
          <w:rFonts w:hint="cs"/>
          <w:rtl/>
        </w:rPr>
        <w:t>"</w:t>
      </w:r>
      <w:r w:rsidR="00E53CE8">
        <w:rPr>
          <w:rFonts w:hint="cs"/>
          <w:rtl/>
        </w:rPr>
        <w:t xml:space="preserve">مدار المعاملات المحرمة على </w:t>
      </w:r>
      <w:r w:rsidR="00B40770">
        <w:rPr>
          <w:rFonts w:hint="cs"/>
          <w:rtl/>
        </w:rPr>
        <w:t>الربا و</w:t>
      </w:r>
      <w:r w:rsidR="00E269AD">
        <w:rPr>
          <w:rFonts w:hint="cs"/>
          <w:rtl/>
        </w:rPr>
        <w:t>الظلم والغرر</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مدارالمعاملاتالمحرمةعلىالرباوالظلموالغرر</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E269AD" w:rsidRPr="00C85F0F">
        <w:rPr>
          <w:rFonts w:hint="cs"/>
          <w:rtl/>
        </w:rPr>
        <w:t>"</w:t>
      </w:r>
      <w:r w:rsidR="00E269AD" w:rsidRPr="00C85F0F">
        <w:rPr>
          <w:rStyle w:val="af1"/>
          <w:b w:val="0"/>
          <w:bCs w:val="0"/>
          <w:szCs w:val="32"/>
          <w:rtl/>
        </w:rPr>
        <w:t>(</w:t>
      </w:r>
      <w:r w:rsidR="00E269AD" w:rsidRPr="00C85F0F">
        <w:rPr>
          <w:rStyle w:val="af1"/>
          <w:b w:val="0"/>
          <w:bCs w:val="0"/>
          <w:szCs w:val="32"/>
          <w:rtl/>
        </w:rPr>
        <w:footnoteReference w:id="1854"/>
      </w:r>
      <w:r w:rsidR="00E269AD" w:rsidRPr="00C85F0F">
        <w:rPr>
          <w:rStyle w:val="af1"/>
          <w:b w:val="0"/>
          <w:bCs w:val="0"/>
          <w:szCs w:val="32"/>
          <w:rtl/>
        </w:rPr>
        <w:t>)</w:t>
      </w:r>
      <w:bookmarkEnd w:id="387"/>
    </w:p>
    <w:p w:rsidR="00065E4B" w:rsidRPr="00C85F0F" w:rsidRDefault="005D56CB" w:rsidP="00A8347C">
      <w:pPr>
        <w:pStyle w:val="aff3"/>
        <w:rPr>
          <w:rtl/>
        </w:rPr>
      </w:pPr>
      <w:bookmarkStart w:id="388" w:name="_Toc334046585"/>
      <w:r>
        <w:rPr>
          <w:rFonts w:hint="cs"/>
          <w:rtl/>
        </w:rPr>
        <w:t xml:space="preserve">                                         </w:t>
      </w:r>
      <w:r w:rsidR="00E269AD" w:rsidRPr="00C85F0F">
        <w:rPr>
          <w:rFonts w:hint="cs"/>
          <w:rtl/>
        </w:rPr>
        <w:t>المطلب الأول</w:t>
      </w:r>
      <w:r w:rsidR="00E269AD" w:rsidRPr="00C85F0F">
        <w:rPr>
          <w:rFonts w:hint="eastAsia"/>
          <w:rtl/>
        </w:rPr>
        <w:t> :</w:t>
      </w:r>
      <w:r w:rsidR="00E269AD" w:rsidRPr="00C85F0F">
        <w:rPr>
          <w:rFonts w:hint="cs"/>
          <w:rtl/>
        </w:rPr>
        <w:br/>
      </w:r>
      <w:r>
        <w:rPr>
          <w:rFonts w:hint="cs"/>
          <w:rtl/>
        </w:rPr>
        <w:t xml:space="preserve">                       </w:t>
      </w:r>
      <w:r w:rsidR="00E269AD" w:rsidRPr="00C85F0F">
        <w:rPr>
          <w:rFonts w:hint="cs"/>
          <w:rtl/>
        </w:rPr>
        <w:t>صيغ القاعدة عند الشيخ وعند علماء القواعد</w:t>
      </w:r>
      <w:bookmarkEnd w:id="388"/>
    </w:p>
    <w:p w:rsidR="00E269AD" w:rsidRPr="00C85F0F" w:rsidRDefault="00B40770" w:rsidP="00597C20">
      <w:pPr>
        <w:ind w:firstLine="0"/>
        <w:rPr>
          <w:rtl/>
        </w:rPr>
      </w:pPr>
      <w:r>
        <w:rPr>
          <w:rFonts w:hint="cs"/>
          <w:rtl/>
        </w:rPr>
        <w:t xml:space="preserve">    </w:t>
      </w:r>
      <w:r w:rsidR="00065E4B" w:rsidRPr="00C85F0F">
        <w:rPr>
          <w:rFonts w:hint="cs"/>
          <w:rtl/>
        </w:rPr>
        <w:t>و</w:t>
      </w:r>
      <w:r w:rsidR="00E269AD" w:rsidRPr="00C85F0F">
        <w:rPr>
          <w:rFonts w:hint="cs"/>
          <w:rtl/>
        </w:rPr>
        <w:t>ردت هذه القاعدة عند الشيخ ابن عثيمين</w:t>
      </w:r>
      <w:r w:rsidR="005D56CB">
        <w:rPr>
          <w:rFonts w:hint="cs"/>
          <w:rtl/>
        </w:rPr>
        <w:t>_رحمه الله_</w:t>
      </w:r>
      <w:r w:rsidR="00E269AD" w:rsidRPr="00C85F0F">
        <w:rPr>
          <w:rFonts w:hint="cs"/>
          <w:rtl/>
        </w:rPr>
        <w:t xml:space="preserve"> بصيغتين، هما:</w:t>
      </w:r>
    </w:p>
    <w:p w:rsidR="00E269AD" w:rsidRPr="00C85F0F" w:rsidRDefault="00E269AD" w:rsidP="000A76C7">
      <w:pPr>
        <w:numPr>
          <w:ilvl w:val="0"/>
          <w:numId w:val="253"/>
        </w:numPr>
      </w:pPr>
      <w:r w:rsidRPr="00C85F0F">
        <w:rPr>
          <w:rFonts w:hint="cs"/>
          <w:rtl/>
        </w:rPr>
        <w:t>مَدار المعاملات المحرَّمة</w:t>
      </w:r>
      <w:r w:rsidR="005D56CB">
        <w:rPr>
          <w:rFonts w:hint="cs"/>
          <w:rtl/>
        </w:rPr>
        <w:t xml:space="preserve"> </w:t>
      </w:r>
      <w:r w:rsidRPr="00C85F0F">
        <w:rPr>
          <w:rFonts w:hint="cs"/>
          <w:rtl/>
        </w:rPr>
        <w:t>على الربا والظلم والغَرَر</w:t>
      </w:r>
      <w:r w:rsidRPr="00C85F0F">
        <w:rPr>
          <w:rStyle w:val="af1"/>
          <w:szCs w:val="32"/>
          <w:rtl/>
        </w:rPr>
        <w:t>(</w:t>
      </w:r>
      <w:r w:rsidRPr="00C85F0F">
        <w:rPr>
          <w:rStyle w:val="af1"/>
          <w:szCs w:val="32"/>
          <w:rtl/>
        </w:rPr>
        <w:footnoteReference w:id="1855"/>
      </w:r>
      <w:r w:rsidRPr="00C85F0F">
        <w:rPr>
          <w:rStyle w:val="af1"/>
          <w:szCs w:val="32"/>
          <w:rtl/>
        </w:rPr>
        <w:t>)</w:t>
      </w:r>
      <w:r w:rsidRPr="00C85F0F">
        <w:rPr>
          <w:rFonts w:hint="cs"/>
          <w:rtl/>
        </w:rPr>
        <w:t>.</w:t>
      </w:r>
    </w:p>
    <w:p w:rsidR="00065E4B" w:rsidRPr="00C85F0F" w:rsidRDefault="00E269AD" w:rsidP="000A76C7">
      <w:pPr>
        <w:numPr>
          <w:ilvl w:val="0"/>
          <w:numId w:val="253"/>
        </w:numPr>
      </w:pPr>
      <w:r w:rsidRPr="00C85F0F">
        <w:rPr>
          <w:rFonts w:hint="cs"/>
          <w:rtl/>
        </w:rPr>
        <w:t>المعاملات الممنوعة مَبْناها على ثلاثة أشياء: الظلم والغرر والمَيْسِر</w:t>
      </w:r>
      <w:r w:rsidRPr="00C85F0F">
        <w:rPr>
          <w:rStyle w:val="af1"/>
          <w:szCs w:val="32"/>
          <w:rtl/>
        </w:rPr>
        <w:t>(</w:t>
      </w:r>
      <w:r w:rsidRPr="00C85F0F">
        <w:rPr>
          <w:rStyle w:val="af1"/>
          <w:szCs w:val="32"/>
          <w:rtl/>
        </w:rPr>
        <w:footnoteReference w:id="1856"/>
      </w:r>
      <w:r w:rsidRPr="00C85F0F">
        <w:rPr>
          <w:rStyle w:val="af1"/>
          <w:szCs w:val="32"/>
          <w:rtl/>
        </w:rPr>
        <w:t>)</w:t>
      </w:r>
      <w:r w:rsidRPr="00C85F0F">
        <w:rPr>
          <w:rFonts w:hint="cs"/>
          <w:rtl/>
        </w:rPr>
        <w:t>.</w:t>
      </w:r>
    </w:p>
    <w:p w:rsidR="00E269AD" w:rsidRPr="00C85F0F" w:rsidRDefault="00B40770" w:rsidP="00597C20">
      <w:pPr>
        <w:ind w:firstLine="0"/>
        <w:rPr>
          <w:rtl/>
        </w:rPr>
      </w:pPr>
      <w:r>
        <w:rPr>
          <w:rFonts w:hint="cs"/>
          <w:rtl/>
        </w:rPr>
        <w:t xml:space="preserve">    </w:t>
      </w:r>
      <w:r w:rsidR="00065E4B" w:rsidRPr="00C85F0F">
        <w:rPr>
          <w:rFonts w:hint="cs"/>
          <w:rtl/>
        </w:rPr>
        <w:t>و</w:t>
      </w:r>
      <w:r w:rsidR="005D56CB">
        <w:rPr>
          <w:rFonts w:hint="cs"/>
          <w:rtl/>
        </w:rPr>
        <w:t>لم أجد-فيما اطلعت عليه-</w:t>
      </w:r>
      <w:r w:rsidR="00E269AD" w:rsidRPr="00C85F0F">
        <w:rPr>
          <w:rFonts w:hint="cs"/>
          <w:rtl/>
        </w:rPr>
        <w:t xml:space="preserve"> مَن ذكر هذه القاعدة </w:t>
      </w:r>
      <w:r w:rsidR="005D56CB">
        <w:rPr>
          <w:rFonts w:hint="cs"/>
          <w:rtl/>
        </w:rPr>
        <w:t xml:space="preserve">من علماء القواعد </w:t>
      </w:r>
      <w:r w:rsidR="00E269AD" w:rsidRPr="00C85F0F">
        <w:rPr>
          <w:rFonts w:hint="cs"/>
          <w:rtl/>
        </w:rPr>
        <w:t xml:space="preserve">سوى شيخ الإسلام ابن تيمية والشيخ عبد الرحمن السعدي </w:t>
      </w:r>
      <w:r w:rsidR="005D56CB">
        <w:rPr>
          <w:rFonts w:hint="cs"/>
          <w:rtl/>
        </w:rPr>
        <w:t>_</w:t>
      </w:r>
      <w:r w:rsidR="00E269AD" w:rsidRPr="00C85F0F">
        <w:rPr>
          <w:rFonts w:hint="cs"/>
          <w:rtl/>
        </w:rPr>
        <w:t>رحمة الله عليهما</w:t>
      </w:r>
      <w:r w:rsidR="005D56CB">
        <w:rPr>
          <w:rFonts w:hint="cs"/>
          <w:rtl/>
        </w:rPr>
        <w:t>_</w:t>
      </w:r>
      <w:r w:rsidR="00E269AD" w:rsidRPr="00C85F0F">
        <w:rPr>
          <w:rFonts w:hint="cs"/>
          <w:rtl/>
        </w:rPr>
        <w:t>.</w:t>
      </w:r>
    </w:p>
    <w:p w:rsidR="00E269AD" w:rsidRPr="00C85F0F" w:rsidRDefault="00E269AD" w:rsidP="000A76C7">
      <w:pPr>
        <w:pStyle w:val="afc"/>
        <w:widowControl/>
        <w:numPr>
          <w:ilvl w:val="0"/>
          <w:numId w:val="254"/>
        </w:numPr>
        <w:autoSpaceDE w:val="0"/>
        <w:autoSpaceDN w:val="0"/>
        <w:adjustRightInd w:val="0"/>
        <w:rPr>
          <w:rFonts w:ascii="Traditional Arabic" w:hAnsi="Traditional Arabic"/>
          <w:noProof w:val="0"/>
          <w:lang w:eastAsia="en-US"/>
        </w:rPr>
      </w:pPr>
      <w:r w:rsidRPr="00C85F0F">
        <w:rPr>
          <w:rFonts w:hint="cs"/>
          <w:rtl/>
        </w:rPr>
        <w:t>أما شيخ الإسلام ابن تيمية فلم يذكرها بلفظ معيَّن، وإنما ل</w:t>
      </w:r>
      <w:r w:rsidR="00C1436D">
        <w:rPr>
          <w:rFonts w:hint="cs"/>
          <w:rtl/>
        </w:rPr>
        <w:t>َ</w:t>
      </w:r>
      <w:r w:rsidRPr="00C85F0F">
        <w:rPr>
          <w:rFonts w:hint="cs"/>
          <w:rtl/>
        </w:rPr>
        <w:t>م</w:t>
      </w:r>
      <w:r w:rsidR="00C1436D">
        <w:rPr>
          <w:rFonts w:hint="cs"/>
          <w:rtl/>
        </w:rPr>
        <w:t>َّ</w:t>
      </w:r>
      <w:r w:rsidRPr="00C85F0F">
        <w:rPr>
          <w:rFonts w:hint="cs"/>
          <w:rtl/>
        </w:rPr>
        <w:t xml:space="preserve">ا تطرَّق إلى الكلام عن العقود حلالِها وحرامِها، ذكر أن </w:t>
      </w:r>
      <w:r w:rsidRPr="00C85F0F">
        <w:rPr>
          <w:rtl/>
        </w:rPr>
        <w:t xml:space="preserve">أن </w:t>
      </w:r>
      <w:r w:rsidRPr="00C85F0F">
        <w:rPr>
          <w:rFonts w:ascii="Traditional Arabic" w:hAnsi="Traditional Arabic"/>
          <w:noProof w:val="0"/>
          <w:color w:val="auto"/>
          <w:rtl/>
          <w:lang w:eastAsia="en-US"/>
        </w:rPr>
        <w:t>العقود التي ورد في الشرع تحريم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 ترجع إلى أسباب وهي: الربا والميسر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w:t>
      </w:r>
      <w:r w:rsidRPr="00C85F0F">
        <w:rPr>
          <w:rFonts w:ascii="Traditional Arabic" w:hAnsi="Traditional Arabic" w:hint="cs"/>
          <w:noProof w:val="0"/>
          <w:color w:val="auto"/>
          <w:rtl/>
          <w:lang w:eastAsia="en-US"/>
        </w:rPr>
        <w:t xml:space="preserve">أنه يُلْحَق بالميسر </w:t>
      </w:r>
      <w:r w:rsidRPr="00C85F0F">
        <w:rPr>
          <w:rFonts w:ascii="Traditional Arabic" w:hAnsi="Traditional Arabic"/>
          <w:noProof w:val="0"/>
          <w:color w:val="auto"/>
          <w:rtl/>
          <w:lang w:eastAsia="en-US"/>
        </w:rPr>
        <w:t>الغرر</w:t>
      </w:r>
      <w:r w:rsidRPr="00C85F0F">
        <w:rPr>
          <w:rFonts w:ascii="Traditional Arabic" w:hAnsi="Traditional Arabic" w:hint="cs"/>
          <w:noProof w:val="0"/>
          <w:color w:val="auto"/>
          <w:rtl/>
          <w:lang w:eastAsia="en-US"/>
        </w:rPr>
        <w:t xml:space="preserve">؛ لأنه يفضي إلى مفسدة الميسر التي هي </w:t>
      </w:r>
      <w:r w:rsidRPr="00C85F0F">
        <w:rPr>
          <w:rFonts w:ascii="Traditional Arabic" w:hAnsi="Traditional Arabic" w:hint="cs"/>
          <w:noProof w:val="0"/>
          <w:color w:val="auto"/>
          <w:rtl/>
          <w:lang w:eastAsia="en-US"/>
        </w:rPr>
        <w:lastRenderedPageBreak/>
        <w:t>إيقاع العداوة والبغضاء،</w:t>
      </w:r>
      <w:r w:rsidRPr="00C85F0F">
        <w:rPr>
          <w:rFonts w:ascii="Traditional Arabic" w:hAnsi="Traditional Arabic"/>
          <w:noProof w:val="0"/>
          <w:color w:val="auto"/>
          <w:rtl/>
          <w:lang w:eastAsia="en-US"/>
        </w:rPr>
        <w:t xml:space="preserve"> و</w:t>
      </w:r>
      <w:r w:rsidRPr="00C85F0F">
        <w:rPr>
          <w:rFonts w:ascii="Traditional Arabic" w:hAnsi="Traditional Arabic" w:hint="cs"/>
          <w:noProof w:val="0"/>
          <w:color w:val="auto"/>
          <w:rtl/>
          <w:lang w:eastAsia="en-US"/>
        </w:rPr>
        <w:t xml:space="preserve">ذكر أنه </w:t>
      </w:r>
      <w:r w:rsidRPr="00C85F0F">
        <w:rPr>
          <w:rFonts w:ascii="Traditional Arabic" w:hAnsi="Traditional Arabic"/>
          <w:noProof w:val="0"/>
          <w:color w:val="auto"/>
          <w:rtl/>
          <w:lang w:eastAsia="en-US"/>
        </w:rPr>
        <w:t>يجمع</w:t>
      </w:r>
      <w:r w:rsidRPr="00C85F0F">
        <w:rPr>
          <w:rFonts w:ascii="Traditional Arabic" w:hAnsi="Traditional Arabic" w:hint="cs"/>
          <w:noProof w:val="0"/>
          <w:color w:val="auto"/>
          <w:rtl/>
          <w:lang w:eastAsia="en-US"/>
        </w:rPr>
        <w:t xml:space="preserve"> هذه الأسباب كلَّها</w:t>
      </w:r>
      <w:r w:rsidRPr="00C85F0F">
        <w:rPr>
          <w:rFonts w:ascii="Traditional Arabic" w:hAnsi="Traditional Arabic"/>
          <w:noProof w:val="0"/>
          <w:color w:val="auto"/>
          <w:rtl/>
          <w:lang w:eastAsia="en-US"/>
        </w:rPr>
        <w:t xml:space="preserve"> أنها ظلم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وأكل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لأموال الناس بالباطل</w:t>
      </w:r>
      <w:r w:rsidRPr="00C85F0F">
        <w:rPr>
          <w:rStyle w:val="af1"/>
          <w:szCs w:val="32"/>
          <w:rtl/>
        </w:rPr>
        <w:t>(</w:t>
      </w:r>
      <w:r w:rsidRPr="00C85F0F">
        <w:rPr>
          <w:rStyle w:val="af1"/>
          <w:szCs w:val="32"/>
          <w:rtl/>
        </w:rPr>
        <w:footnoteReference w:id="1857"/>
      </w:r>
      <w:r w:rsidRPr="00C85F0F">
        <w:rPr>
          <w:rStyle w:val="af1"/>
          <w:szCs w:val="32"/>
          <w:rtl/>
        </w:rPr>
        <w:t>)</w:t>
      </w:r>
      <w:r w:rsidRPr="00C85F0F">
        <w:rPr>
          <w:rFonts w:ascii="Traditional Arabic" w:hAnsi="Traditional Arabic"/>
          <w:noProof w:val="0"/>
          <w:color w:val="auto"/>
          <w:rtl/>
          <w:lang w:eastAsia="en-US"/>
        </w:rPr>
        <w:t>.</w:t>
      </w:r>
    </w:p>
    <w:p w:rsidR="00F228A9" w:rsidRPr="00C85F0F" w:rsidRDefault="00E269AD" w:rsidP="000A76C7">
      <w:pPr>
        <w:pStyle w:val="afc"/>
        <w:widowControl/>
        <w:numPr>
          <w:ilvl w:val="0"/>
          <w:numId w:val="254"/>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t>أما الشيخ عبد الرحمن السعدي</w:t>
      </w:r>
      <w:r w:rsidR="005D56CB">
        <w:rPr>
          <w:rFonts w:ascii="Traditional Arabic" w:hAnsi="Traditional Arabic" w:hint="cs"/>
          <w:noProof w:val="0"/>
          <w:rtl/>
          <w:lang w:eastAsia="en-US"/>
        </w:rPr>
        <w:t>_رحمه الله_، فقد أورد القاعدة بلفظ</w:t>
      </w:r>
      <w:r w:rsidRPr="00C85F0F">
        <w:rPr>
          <w:rFonts w:ascii="Traditional Arabic" w:hAnsi="Traditional Arabic" w:hint="cs"/>
          <w:noProof w:val="0"/>
          <w:rtl/>
          <w:lang w:eastAsia="en-US"/>
        </w:rPr>
        <w:t>:</w:t>
      </w:r>
    </w:p>
    <w:p w:rsidR="00065E4B" w:rsidRPr="00C85F0F" w:rsidRDefault="00E269AD" w:rsidP="00597C20">
      <w:pPr>
        <w:pStyle w:val="afc"/>
        <w:widowControl/>
        <w:autoSpaceDE w:val="0"/>
        <w:autoSpaceDN w:val="0"/>
        <w:adjustRightInd w:val="0"/>
        <w:ind w:left="1085" w:firstLine="0"/>
        <w:jc w:val="left"/>
        <w:rPr>
          <w:rFonts w:ascii="Traditional Arabic" w:hAnsi="Traditional Arabic"/>
          <w:noProof w:val="0"/>
          <w:rtl/>
          <w:lang w:eastAsia="en-US"/>
        </w:rPr>
      </w:pPr>
      <w:r w:rsidRPr="00C85F0F">
        <w:rPr>
          <w:rFonts w:ascii="Traditional Arabic" w:hAnsi="Traditional Arabic" w:hint="cs"/>
          <w:noProof w:val="0"/>
          <w:rtl/>
          <w:lang w:eastAsia="en-US"/>
        </w:rPr>
        <w:t>الغرر والمي</w:t>
      </w:r>
      <w:r w:rsidR="005D56CB">
        <w:rPr>
          <w:rFonts w:ascii="Traditional Arabic" w:hAnsi="Traditional Arabic" w:hint="cs"/>
          <w:noProof w:val="0"/>
          <w:rtl/>
          <w:lang w:eastAsia="en-US"/>
        </w:rPr>
        <w:t>سر محظور في المُعاوَضات والْمُ</w:t>
      </w:r>
      <w:r w:rsidRPr="00C85F0F">
        <w:rPr>
          <w:rFonts w:ascii="Traditional Arabic" w:hAnsi="Traditional Arabic" w:hint="cs"/>
          <w:noProof w:val="0"/>
          <w:rtl/>
          <w:lang w:eastAsia="en-US"/>
        </w:rPr>
        <w:t>غالَبات</w:t>
      </w:r>
      <w:r w:rsidRPr="00C85F0F">
        <w:rPr>
          <w:rStyle w:val="af1"/>
          <w:szCs w:val="32"/>
          <w:rtl/>
        </w:rPr>
        <w:t>(</w:t>
      </w:r>
      <w:r w:rsidRPr="00C85F0F">
        <w:rPr>
          <w:rStyle w:val="af1"/>
          <w:szCs w:val="32"/>
          <w:rtl/>
        </w:rPr>
        <w:footnoteReference w:id="1858"/>
      </w:r>
      <w:r w:rsidRPr="00C85F0F">
        <w:rPr>
          <w:rStyle w:val="af1"/>
          <w:szCs w:val="32"/>
          <w:rtl/>
        </w:rPr>
        <w:t>)</w:t>
      </w:r>
      <w:r w:rsidRPr="00C85F0F">
        <w:rPr>
          <w:rFonts w:ascii="Traditional Arabic" w:hAnsi="Traditional Arabic" w:hint="cs"/>
          <w:noProof w:val="0"/>
          <w:rtl/>
          <w:lang w:eastAsia="en-US"/>
        </w:rPr>
        <w:t>.</w:t>
      </w:r>
    </w:p>
    <w:p w:rsidR="00F228A9"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ك</w:t>
      </w:r>
      <w:r w:rsidR="00E269AD" w:rsidRPr="00C85F0F">
        <w:rPr>
          <w:rFonts w:ascii="Traditional Arabic" w:hAnsi="Traditional Arabic" w:hint="cs"/>
          <w:noProof w:val="0"/>
          <w:rtl/>
          <w:lang w:eastAsia="en-US"/>
        </w:rPr>
        <w:t>ما أنه أشار إلى هذه القاعدة في كتابه تيسير اللطيف المنان في خلاصة تفسير القرآن، فقال</w:t>
      </w:r>
      <w:r w:rsidR="00E269AD" w:rsidRPr="00C85F0F">
        <w:rPr>
          <w:rStyle w:val="af1"/>
          <w:szCs w:val="32"/>
          <w:rtl/>
        </w:rPr>
        <w:t>(</w:t>
      </w:r>
      <w:r w:rsidR="00E269AD" w:rsidRPr="00C85F0F">
        <w:rPr>
          <w:rStyle w:val="af1"/>
          <w:szCs w:val="32"/>
          <w:rtl/>
        </w:rPr>
        <w:footnoteReference w:id="1859"/>
      </w:r>
      <w:r w:rsidR="00E269AD" w:rsidRPr="00C85F0F">
        <w:rPr>
          <w:rStyle w:val="af1"/>
          <w:szCs w:val="32"/>
          <w:rtl/>
        </w:rPr>
        <w:t>)</w:t>
      </w:r>
      <w:r w:rsidR="00E269AD" w:rsidRPr="00C85F0F">
        <w:rPr>
          <w:rFonts w:ascii="Traditional Arabic" w:hAnsi="Traditional Arabic" w:hint="cs"/>
          <w:noProof w:val="0"/>
          <w:rtl/>
          <w:lang w:eastAsia="en-US"/>
        </w:rPr>
        <w:t>:</w:t>
      </w:r>
    </w:p>
    <w:p w:rsidR="00E269AD" w:rsidRPr="00C85F0F" w:rsidRDefault="00E269AD" w:rsidP="000A76C7">
      <w:pPr>
        <w:pStyle w:val="afc"/>
        <w:widowControl/>
        <w:numPr>
          <w:ilvl w:val="0"/>
          <w:numId w:val="255"/>
        </w:numPr>
        <w:autoSpaceDE w:val="0"/>
        <w:autoSpaceDN w:val="0"/>
        <w:adjustRightInd w:val="0"/>
        <w:jc w:val="left"/>
        <w:rPr>
          <w:rFonts w:ascii="Traditional Arabic" w:hAnsi="Traditional Arabic"/>
          <w:noProof w:val="0"/>
          <w:lang w:eastAsia="en-US"/>
        </w:rPr>
      </w:pPr>
      <w:r w:rsidRPr="00C85F0F">
        <w:rPr>
          <w:rFonts w:ascii="Traditional Arabic" w:hAnsi="Traditional Arabic" w:hint="cs"/>
          <w:noProof w:val="0"/>
          <w:rtl/>
          <w:lang w:eastAsia="en-US"/>
        </w:rPr>
        <w:t>أعظم المحاذير المانعة من صحة المعاملات: الربا والغرر والظلم.</w:t>
      </w:r>
    </w:p>
    <w:p w:rsidR="00065E4B" w:rsidRPr="00C85F0F" w:rsidRDefault="005D56CB" w:rsidP="00A8347C">
      <w:pPr>
        <w:pStyle w:val="aff3"/>
        <w:rPr>
          <w:rtl/>
        </w:rPr>
      </w:pPr>
      <w:bookmarkStart w:id="389" w:name="_Toc334046586"/>
      <w:r>
        <w:rPr>
          <w:rFonts w:hint="cs"/>
          <w:rtl/>
        </w:rPr>
        <w:t xml:space="preserve">                                           </w:t>
      </w:r>
      <w:r w:rsidR="00E269AD" w:rsidRPr="00C85F0F">
        <w:rPr>
          <w:rFonts w:hint="cs"/>
          <w:rtl/>
        </w:rPr>
        <w:t>المطلب الثاني</w:t>
      </w:r>
      <w:r w:rsidR="00E269AD" w:rsidRPr="00C85F0F">
        <w:rPr>
          <w:rFonts w:hint="eastAsia"/>
          <w:rtl/>
        </w:rPr>
        <w:t> :</w:t>
      </w:r>
      <w:r w:rsidR="00E269AD" w:rsidRPr="00C85F0F">
        <w:rPr>
          <w:rFonts w:hint="cs"/>
          <w:rtl/>
        </w:rPr>
        <w:br/>
      </w:r>
      <w:r>
        <w:rPr>
          <w:rFonts w:hint="cs"/>
          <w:rtl/>
        </w:rPr>
        <w:t xml:space="preserve">                                            </w:t>
      </w:r>
      <w:r w:rsidR="00E269AD" w:rsidRPr="00C85F0F">
        <w:rPr>
          <w:rFonts w:hint="cs"/>
          <w:rtl/>
        </w:rPr>
        <w:t>شرح القاعدة</w:t>
      </w:r>
      <w:bookmarkEnd w:id="389"/>
    </w:p>
    <w:p w:rsidR="00CB6849" w:rsidRPr="00F967A6" w:rsidRDefault="00065E4B" w:rsidP="00597C20">
      <w:pPr>
        <w:pStyle w:val="53"/>
        <w:rPr>
          <w:rtl/>
        </w:rPr>
      </w:pPr>
      <w:r w:rsidRPr="00F967A6">
        <w:rPr>
          <w:rFonts w:hint="cs"/>
          <w:rtl/>
        </w:rPr>
        <w:t>ا</w:t>
      </w:r>
      <w:r w:rsidR="00E269AD" w:rsidRPr="00F967A6">
        <w:rPr>
          <w:rFonts w:hint="cs"/>
          <w:rtl/>
        </w:rPr>
        <w:t>لغرر</w:t>
      </w:r>
      <w:r w:rsidR="00AB0B9E">
        <w:rPr>
          <w:rtl/>
        </w:rPr>
        <w:fldChar w:fldCharType="begin"/>
      </w:r>
      <w:r w:rsidR="00F967A6">
        <w:instrText xml:space="preserve"> XE "</w:instrText>
      </w:r>
      <w:r w:rsidR="00F967A6" w:rsidRPr="00F967A6">
        <w:rPr>
          <w:rFonts w:hint="cs"/>
          <w:b w:val="0"/>
          <w:bCs w:val="0"/>
          <w:rtl/>
        </w:rPr>
        <w:instrText>الغرر</w:instrText>
      </w:r>
      <w:r w:rsidR="00F967A6">
        <w:instrText xml:space="preserve">" </w:instrText>
      </w:r>
      <w:r w:rsidR="00F967A6" w:rsidRPr="00F967A6">
        <w:instrText xml:space="preserve">\fm </w:instrText>
      </w:r>
      <w:r w:rsidR="00AB0B9E">
        <w:rPr>
          <w:rtl/>
        </w:rPr>
        <w:fldChar w:fldCharType="end"/>
      </w:r>
      <w:r w:rsidR="00E269AD" w:rsidRPr="00F967A6">
        <w:rPr>
          <w:rFonts w:hint="cs"/>
          <w:rtl/>
        </w:rPr>
        <w:t xml:space="preserve"> لغة:</w:t>
      </w:r>
    </w:p>
    <w:p w:rsidR="00065E4B" w:rsidRPr="00C85F0F" w:rsidRDefault="00E269AD"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 xml:space="preserve">يقول </w:t>
      </w:r>
      <w:r w:rsidR="005D56CB">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 xml:space="preserve">ابن فارس </w:t>
      </w:r>
      <w:r w:rsidR="005D56CB">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5D56CB">
        <w:rPr>
          <w:rFonts w:ascii="Traditional Arabic" w:hAnsi="Traditional Arabic" w:hint="cs"/>
          <w:noProof w:val="0"/>
          <w:rtl/>
          <w:lang w:eastAsia="en-US"/>
        </w:rPr>
        <w:t>_</w:t>
      </w:r>
      <w:r w:rsidRPr="00C85F0F">
        <w:rPr>
          <w:rFonts w:ascii="Traditional Arabic" w:hAnsi="Traditional Arabic" w:hint="cs"/>
          <w:noProof w:val="0"/>
          <w:rtl/>
          <w:lang w:eastAsia="en-US"/>
        </w:rPr>
        <w:t>: (</w:t>
      </w:r>
      <w:r w:rsidRPr="00C85F0F">
        <w:rPr>
          <w:rFonts w:ascii="Traditional Arabic" w:hAnsi="Traditional Arabic"/>
          <w:noProof w:val="0"/>
          <w:rtl/>
          <w:lang w:eastAsia="en-US"/>
        </w:rPr>
        <w:t>الغين والراء أصول ثلاثة صحيحة: الأول المثال، والثاني النقصان، والثالث الع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تق والب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ياض والكر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وأما النقصان فيقال: غار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 الناقة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غار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رارا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إذا نقص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ومن الباب: بيع الغرر، وهو الخ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الذي لا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رى أيكون أم لا، كبيع العبد الآب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Style w:val="af1"/>
          <w:szCs w:val="32"/>
          <w:rtl/>
        </w:rPr>
        <w:t>(</w:t>
      </w:r>
      <w:r w:rsidRPr="00C85F0F">
        <w:rPr>
          <w:rStyle w:val="af1"/>
          <w:szCs w:val="32"/>
          <w:rtl/>
        </w:rPr>
        <w:footnoteReference w:id="1860"/>
      </w:r>
      <w:r w:rsidRPr="00C85F0F">
        <w:rPr>
          <w:rStyle w:val="af1"/>
          <w:szCs w:val="32"/>
          <w:rtl/>
        </w:rPr>
        <w:t>)</w:t>
      </w:r>
      <w:r w:rsidRPr="00C85F0F">
        <w:rPr>
          <w:rFonts w:ascii="Traditional Arabic" w:hAnsi="Traditional Arabic"/>
          <w:noProof w:val="0"/>
          <w:rtl/>
          <w:lang w:eastAsia="en-US"/>
        </w:rPr>
        <w:t>، والطائر في الهواء. فهذا ناقص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البيع فيه أبدا</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1861"/>
      </w:r>
      <w:r w:rsidRPr="00C85F0F">
        <w:rPr>
          <w:rStyle w:val="af1"/>
          <w:szCs w:val="32"/>
          <w:rtl/>
        </w:rPr>
        <w:t>)</w:t>
      </w:r>
      <w:r w:rsidRPr="00C85F0F">
        <w:rPr>
          <w:rFonts w:ascii="Traditional Arabic" w:hAnsi="Traditional Arabic"/>
          <w:noProof w:val="0"/>
          <w:rtl/>
          <w:lang w:eastAsia="en-US"/>
        </w:rPr>
        <w:t>.</w:t>
      </w:r>
    </w:p>
    <w:p w:rsidR="00CB6849" w:rsidRPr="00F967A6" w:rsidRDefault="00065E4B" w:rsidP="00597C20">
      <w:pPr>
        <w:pStyle w:val="53"/>
        <w:rPr>
          <w:rtl/>
        </w:rPr>
      </w:pPr>
      <w:r w:rsidRPr="00F967A6">
        <w:rPr>
          <w:rFonts w:hint="cs"/>
          <w:rtl/>
        </w:rPr>
        <w:t>ا</w:t>
      </w:r>
      <w:r w:rsidR="00E269AD" w:rsidRPr="00F967A6">
        <w:rPr>
          <w:rFonts w:hint="cs"/>
          <w:rtl/>
        </w:rPr>
        <w:t>لغرر شرعا:</w:t>
      </w:r>
    </w:p>
    <w:p w:rsidR="00065E4B" w:rsidRPr="00C85F0F" w:rsidRDefault="00E269AD" w:rsidP="00597C20">
      <w:pPr>
        <w:widowControl/>
        <w:autoSpaceDE w:val="0"/>
        <w:autoSpaceDN w:val="0"/>
        <w:adjustRightInd w:val="0"/>
        <w:ind w:firstLine="720"/>
        <w:jc w:val="left"/>
        <w:rPr>
          <w:rFonts w:ascii="Traditional Arabic" w:hAnsi="Traditional Arabic"/>
          <w:rtl/>
        </w:rPr>
      </w:pPr>
      <w:r w:rsidRPr="00C85F0F">
        <w:rPr>
          <w:rFonts w:ascii="Traditional Arabic" w:hAnsi="Traditional Arabic" w:hint="cs"/>
          <w:rtl/>
        </w:rPr>
        <w:t xml:space="preserve">قال شيخ الإسلام ابن تيمية </w:t>
      </w:r>
      <w:r w:rsidR="00D936AB">
        <w:rPr>
          <w:rFonts w:ascii="Traditional Arabic" w:hAnsi="Traditional Arabic" w:hint="cs"/>
          <w:rtl/>
        </w:rPr>
        <w:t>_</w:t>
      </w:r>
      <w:r w:rsidR="009A0575" w:rsidRPr="005D5694">
        <w:rPr>
          <w:rFonts w:ascii="Traditional Arabic" w:hAnsi="Traditional Arabic" w:cs="CTraditional Arabic" w:hint="cs"/>
          <w:rtl/>
        </w:rPr>
        <w:t>/</w:t>
      </w:r>
      <w:r w:rsidR="00D936AB">
        <w:rPr>
          <w:rFonts w:ascii="Traditional Arabic" w:hAnsi="Traditional Arabic" w:hint="cs"/>
          <w:rtl/>
        </w:rPr>
        <w:t>_</w:t>
      </w:r>
      <w:r w:rsidRPr="00C85F0F">
        <w:rPr>
          <w:rFonts w:ascii="Traditional Arabic" w:hAnsi="Traditional Arabic" w:hint="cs"/>
          <w:rtl/>
        </w:rPr>
        <w:t>:</w:t>
      </w:r>
    </w:p>
    <w:p w:rsidR="00065E4B" w:rsidRPr="00C85F0F" w:rsidRDefault="00065E4B" w:rsidP="00597C20">
      <w:pPr>
        <w:widowControl/>
        <w:autoSpaceDE w:val="0"/>
        <w:autoSpaceDN w:val="0"/>
        <w:adjustRightInd w:val="0"/>
        <w:ind w:firstLine="720"/>
        <w:jc w:val="left"/>
        <w:rPr>
          <w:rFonts w:ascii="Traditional Arabic" w:hAnsi="Traditional Arabic"/>
          <w:rtl/>
        </w:rPr>
      </w:pPr>
      <w:r w:rsidRPr="00C85F0F">
        <w:rPr>
          <w:rFonts w:ascii="Traditional Arabic" w:hAnsi="Traditional Arabic" w:hint="cs"/>
          <w:rtl/>
        </w:rPr>
        <w:t>و</w:t>
      </w:r>
      <w:r w:rsidR="00E269AD" w:rsidRPr="00C85F0F">
        <w:rPr>
          <w:rFonts w:ascii="Traditional Arabic" w:hAnsi="Traditional Arabic" w:hint="cs"/>
          <w:rtl/>
        </w:rPr>
        <w:t>الغرر قيل في معناه: هو ما خَفِيَتْ عاقِبَتُه، وطُوِيَتْ مَغَبَّتُه أو انطوى أمرُه.</w:t>
      </w:r>
    </w:p>
    <w:p w:rsidR="00065E4B" w:rsidRPr="00C85F0F" w:rsidRDefault="00065E4B" w:rsidP="00597C20">
      <w:pPr>
        <w:widowControl/>
        <w:autoSpaceDE w:val="0"/>
        <w:autoSpaceDN w:val="0"/>
        <w:adjustRightInd w:val="0"/>
        <w:ind w:firstLine="720"/>
        <w:jc w:val="left"/>
        <w:rPr>
          <w:rFonts w:ascii="Traditional Arabic" w:hAnsi="Traditional Arabic"/>
          <w:rtl/>
        </w:rPr>
      </w:pPr>
      <w:r w:rsidRPr="00C85F0F">
        <w:rPr>
          <w:rFonts w:ascii="Traditional Arabic" w:hAnsi="Traditional Arabic" w:hint="cs"/>
          <w:rtl/>
        </w:rPr>
        <w:lastRenderedPageBreak/>
        <w:t>و</w:t>
      </w:r>
      <w:r w:rsidR="00E269AD" w:rsidRPr="00C85F0F">
        <w:rPr>
          <w:rFonts w:ascii="Traditional Arabic" w:hAnsi="Traditional Arabic" w:hint="cs"/>
          <w:rtl/>
        </w:rPr>
        <w:t>قيل: ما تردَّد بين السلامة والعَطَب.</w:t>
      </w:r>
    </w:p>
    <w:p w:rsidR="00065E4B" w:rsidRPr="00C85F0F" w:rsidRDefault="00065E4B" w:rsidP="00597C20">
      <w:pPr>
        <w:widowControl/>
        <w:autoSpaceDE w:val="0"/>
        <w:autoSpaceDN w:val="0"/>
        <w:adjustRightInd w:val="0"/>
        <w:ind w:firstLine="720"/>
        <w:rPr>
          <w:rFonts w:ascii="Traditional Arabic" w:hAnsi="Traditional Arabic"/>
          <w:rtl/>
        </w:rPr>
      </w:pPr>
      <w:r w:rsidRPr="00C85F0F">
        <w:rPr>
          <w:rFonts w:ascii="Traditional Arabic" w:hAnsi="Traditional Arabic" w:hint="cs"/>
          <w:rtl/>
        </w:rPr>
        <w:t>و</w:t>
      </w:r>
      <w:r w:rsidR="00E269AD" w:rsidRPr="00C85F0F">
        <w:rPr>
          <w:rFonts w:ascii="Traditional Arabic" w:hAnsi="Traditional Arabic" w:hint="cs"/>
          <w:rtl/>
        </w:rPr>
        <w:t>معنى هذا: ما كان متردِّداً بين أن يَسْلَم للمشتري فيحصل المقصود بالعقد، وبين أن يعطب فلا يحصل المقصود بالعقد.</w:t>
      </w:r>
    </w:p>
    <w:p w:rsidR="00065E4B" w:rsidRPr="00C85F0F" w:rsidRDefault="00065E4B" w:rsidP="00597C20">
      <w:pPr>
        <w:widowControl/>
        <w:autoSpaceDE w:val="0"/>
        <w:autoSpaceDN w:val="0"/>
        <w:adjustRightInd w:val="0"/>
        <w:ind w:firstLine="720"/>
        <w:rPr>
          <w:rFonts w:ascii="Traditional Arabic" w:hAnsi="Traditional Arabic"/>
          <w:rtl/>
        </w:rPr>
      </w:pPr>
      <w:r w:rsidRPr="00C85F0F">
        <w:rPr>
          <w:rFonts w:ascii="Traditional Arabic" w:hAnsi="Traditional Arabic" w:hint="cs"/>
          <w:rtl/>
        </w:rPr>
        <w:t>و</w:t>
      </w:r>
      <w:r w:rsidR="00E269AD" w:rsidRPr="00C85F0F">
        <w:rPr>
          <w:rFonts w:ascii="Traditional Arabic" w:hAnsi="Traditional Arabic" w:hint="cs"/>
          <w:rtl/>
        </w:rPr>
        <w:t>هذا التفسير أوضحُ من الأول، فإن الغرر من التغرير، وال</w:t>
      </w:r>
      <w:r w:rsidR="00D936AB">
        <w:rPr>
          <w:rFonts w:ascii="Traditional Arabic" w:hAnsi="Traditional Arabic" w:hint="cs"/>
          <w:rtl/>
        </w:rPr>
        <w:t>ْ</w:t>
      </w:r>
      <w:r w:rsidR="00E269AD" w:rsidRPr="00C85F0F">
        <w:rPr>
          <w:rFonts w:ascii="Traditional Arabic" w:hAnsi="Traditional Arabic" w:hint="cs"/>
          <w:rtl/>
        </w:rPr>
        <w:t>م</w:t>
      </w:r>
      <w:r w:rsidR="00D936AB">
        <w:rPr>
          <w:rFonts w:ascii="Traditional Arabic" w:hAnsi="Traditional Arabic" w:hint="cs"/>
          <w:rtl/>
        </w:rPr>
        <w:t>ُ</w:t>
      </w:r>
      <w:r w:rsidR="00E269AD" w:rsidRPr="00C85F0F">
        <w:rPr>
          <w:rFonts w:ascii="Traditional Arabic" w:hAnsi="Traditional Arabic" w:hint="cs"/>
          <w:rtl/>
        </w:rPr>
        <w:t>غرِّر بالشيء: ال</w:t>
      </w:r>
      <w:r w:rsidR="00D936AB">
        <w:rPr>
          <w:rFonts w:ascii="Traditional Arabic" w:hAnsi="Traditional Arabic" w:hint="cs"/>
          <w:rtl/>
        </w:rPr>
        <w:t>ْ</w:t>
      </w:r>
      <w:r w:rsidR="00E269AD" w:rsidRPr="00C85F0F">
        <w:rPr>
          <w:rFonts w:ascii="Traditional Arabic" w:hAnsi="Traditional Arabic" w:hint="cs"/>
          <w:rtl/>
        </w:rPr>
        <w:t>م</w:t>
      </w:r>
      <w:r w:rsidR="00D936AB">
        <w:rPr>
          <w:rFonts w:ascii="Traditional Arabic" w:hAnsi="Traditional Arabic" w:hint="cs"/>
          <w:rtl/>
        </w:rPr>
        <w:t>ُ</w:t>
      </w:r>
      <w:r w:rsidR="00E269AD" w:rsidRPr="00C85F0F">
        <w:rPr>
          <w:rFonts w:ascii="Traditional Arabic" w:hAnsi="Traditional Arabic" w:hint="cs"/>
          <w:rtl/>
        </w:rPr>
        <w:t>خاطِر، والمخاطر: المتردِّد بين السلامة والعطب، وهذا هو الذي خفيت عاقبتُه، فهذا كلُّه يعود إلى سلامة المبيع للمشتري، وحصوله...وإنما يسمى غرراً ما لا يُدرى أيحصُل أم لا يحصل؟</w:t>
      </w:r>
      <w:r w:rsidR="00E269AD" w:rsidRPr="00C85F0F">
        <w:rPr>
          <w:rStyle w:val="af1"/>
          <w:szCs w:val="32"/>
          <w:rtl/>
        </w:rPr>
        <w:t>(</w:t>
      </w:r>
      <w:r w:rsidR="00E269AD" w:rsidRPr="00C85F0F">
        <w:rPr>
          <w:rStyle w:val="af1"/>
          <w:szCs w:val="32"/>
          <w:rtl/>
        </w:rPr>
        <w:footnoteReference w:id="1862"/>
      </w:r>
      <w:r w:rsidR="00E269AD" w:rsidRPr="00C85F0F">
        <w:rPr>
          <w:rStyle w:val="af1"/>
          <w:szCs w:val="32"/>
          <w:rtl/>
        </w:rPr>
        <w:t>)</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و</w:t>
      </w:r>
      <w:r w:rsidR="00E269AD" w:rsidRPr="00C85F0F">
        <w:rPr>
          <w:rFonts w:ascii="Traditional Arabic" w:hAnsi="Traditional Arabic" w:hint="cs"/>
          <w:noProof w:val="0"/>
          <w:rtl/>
          <w:lang w:eastAsia="en-US"/>
        </w:rPr>
        <w:t xml:space="preserve">قد عرّف الشيخ ابن عثيمين </w:t>
      </w:r>
      <w:r w:rsidR="00D936AB">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D936AB">
        <w:rPr>
          <w:rFonts w:ascii="Traditional Arabic" w:hAnsi="Traditional Arabic" w:hint="cs"/>
          <w:noProof w:val="0"/>
          <w:rtl/>
          <w:lang w:eastAsia="en-US"/>
        </w:rPr>
        <w:t>_</w:t>
      </w:r>
      <w:r w:rsidR="00E269AD" w:rsidRPr="00C85F0F">
        <w:rPr>
          <w:rFonts w:ascii="Traditional Arabic" w:hAnsi="Traditional Arabic" w:hint="cs"/>
          <w:noProof w:val="0"/>
          <w:rtl/>
          <w:lang w:eastAsia="en-US"/>
        </w:rPr>
        <w:t xml:space="preserve"> الغرر فقال: (الغرر كل ما فيه جَهالة واحتمالٌ للغُنْم والغُرْم)</w:t>
      </w:r>
      <w:r w:rsidR="00E269AD" w:rsidRPr="00C85F0F">
        <w:rPr>
          <w:rStyle w:val="af1"/>
          <w:szCs w:val="32"/>
          <w:rtl/>
        </w:rPr>
        <w:t>(</w:t>
      </w:r>
      <w:r w:rsidR="00E269AD" w:rsidRPr="00C85F0F">
        <w:rPr>
          <w:rStyle w:val="af1"/>
          <w:szCs w:val="32"/>
          <w:rtl/>
        </w:rPr>
        <w:footnoteReference w:id="1863"/>
      </w:r>
      <w:r w:rsidR="00E269AD" w:rsidRPr="00C85F0F">
        <w:rPr>
          <w:rStyle w:val="af1"/>
          <w:szCs w:val="32"/>
          <w:rtl/>
        </w:rPr>
        <w:t>)</w:t>
      </w:r>
      <w:r w:rsidR="00E269AD" w:rsidRPr="00C85F0F">
        <w:rPr>
          <w:rFonts w:ascii="Traditional Arabic" w:hAnsi="Traditional Arabic" w:hint="cs"/>
          <w:noProof w:val="0"/>
          <w:rtl/>
          <w:lang w:eastAsia="en-US"/>
        </w:rPr>
        <w:t>.</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و</w:t>
      </w:r>
      <w:r w:rsidR="00E269AD" w:rsidRPr="00C85F0F">
        <w:rPr>
          <w:rFonts w:ascii="Traditional Arabic" w:hAnsi="Traditional Arabic" w:hint="cs"/>
          <w:noProof w:val="0"/>
          <w:rtl/>
          <w:lang w:eastAsia="en-US"/>
        </w:rPr>
        <w:t>هذا التعريف قريب مما ذكره شيخ الإسلام ابن تيمية</w:t>
      </w:r>
      <w:r w:rsidR="00D936AB">
        <w:rPr>
          <w:rFonts w:ascii="Traditional Arabic" w:hAnsi="Traditional Arabic" w:hint="cs"/>
          <w:noProof w:val="0"/>
          <w:rtl/>
          <w:lang w:eastAsia="en-US"/>
        </w:rPr>
        <w:t>_رحمه الله_</w:t>
      </w:r>
      <w:r w:rsidR="00E269AD" w:rsidRPr="00C85F0F">
        <w:rPr>
          <w:rFonts w:ascii="Traditional Arabic" w:hAnsi="Traditional Arabic" w:hint="cs"/>
          <w:noProof w:val="0"/>
          <w:rtl/>
          <w:lang w:eastAsia="en-US"/>
        </w:rPr>
        <w:t xml:space="preserve">؛ ولهذا قال الشيخ عبد الرحمن السعدي </w:t>
      </w:r>
      <w:r w:rsidR="00D936AB">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D936AB">
        <w:rPr>
          <w:rFonts w:ascii="Traditional Arabic" w:hAnsi="Traditional Arabic" w:hint="cs"/>
          <w:noProof w:val="0"/>
          <w:rtl/>
          <w:lang w:eastAsia="en-US"/>
        </w:rPr>
        <w:t>_</w:t>
      </w:r>
      <w:r w:rsidR="00E269AD" w:rsidRPr="00C85F0F">
        <w:rPr>
          <w:rFonts w:ascii="Traditional Arabic" w:hAnsi="Traditional Arabic" w:hint="cs"/>
          <w:noProof w:val="0"/>
          <w:rtl/>
          <w:lang w:eastAsia="en-US"/>
        </w:rPr>
        <w:t xml:space="preserve">: </w:t>
      </w:r>
      <w:r w:rsidR="00B76414" w:rsidRPr="00C85F0F">
        <w:rPr>
          <w:rFonts w:ascii="Traditional Arabic" w:hAnsi="Traditional Arabic" w:hint="cs"/>
          <w:noProof w:val="0"/>
          <w:rtl/>
          <w:lang w:eastAsia="en-US"/>
        </w:rPr>
        <w:t>(</w:t>
      </w:r>
      <w:r w:rsidR="00E269AD" w:rsidRPr="00C85F0F">
        <w:rPr>
          <w:rFonts w:ascii="Traditional Arabic" w:hAnsi="Traditional Arabic" w:hint="cs"/>
          <w:noProof w:val="0"/>
          <w:rtl/>
          <w:lang w:eastAsia="en-US"/>
        </w:rPr>
        <w:t>فالشيء الذي يُشَكُّ في حصوله أو تُجْهل حاله وصفاته المقصودة داخلٌ في الغرر؛ لأن أحد المتعاقدين إما أن يَغْنَم أو يَغْرَم، فهو مُخاطِر كالرِّهان</w:t>
      </w:r>
      <w:r w:rsidR="00D936AB">
        <w:rPr>
          <w:rStyle w:val="af1"/>
          <w:rFonts w:ascii="Traditional Arabic" w:hAnsi="Traditional Arabic"/>
          <w:noProof w:val="0"/>
          <w:rtl/>
          <w:lang w:eastAsia="en-US"/>
        </w:rPr>
        <w:footnoteReference w:id="1864"/>
      </w:r>
      <w:r w:rsidR="00E269AD" w:rsidRPr="00C85F0F">
        <w:rPr>
          <w:rFonts w:ascii="Traditional Arabic" w:hAnsi="Traditional Arabic" w:hint="cs"/>
          <w:noProof w:val="0"/>
          <w:rtl/>
          <w:lang w:eastAsia="en-US"/>
        </w:rPr>
        <w:t>)</w:t>
      </w:r>
      <w:r w:rsidR="00E269AD" w:rsidRPr="00C85F0F">
        <w:rPr>
          <w:rStyle w:val="af1"/>
          <w:szCs w:val="32"/>
          <w:rtl/>
        </w:rPr>
        <w:t>(</w:t>
      </w:r>
      <w:r w:rsidR="00E269AD" w:rsidRPr="00C85F0F">
        <w:rPr>
          <w:rStyle w:val="af1"/>
          <w:szCs w:val="32"/>
          <w:rtl/>
        </w:rPr>
        <w:footnoteReference w:id="1865"/>
      </w:r>
      <w:r w:rsidR="00E269AD" w:rsidRPr="00C85F0F">
        <w:rPr>
          <w:rStyle w:val="af1"/>
          <w:szCs w:val="32"/>
          <w:rtl/>
        </w:rPr>
        <w:t>)</w:t>
      </w:r>
      <w:r w:rsidR="00E269AD" w:rsidRPr="00C85F0F">
        <w:rPr>
          <w:rFonts w:ascii="Traditional Arabic" w:hAnsi="Traditional Arabic" w:hint="cs"/>
          <w:noProof w:val="0"/>
          <w:rtl/>
          <w:lang w:eastAsia="en-US"/>
        </w:rPr>
        <w:t>.</w:t>
      </w:r>
    </w:p>
    <w:p w:rsidR="00CB6849" w:rsidRPr="00D564C0" w:rsidRDefault="00065E4B" w:rsidP="00597C20">
      <w:pPr>
        <w:pStyle w:val="53"/>
        <w:rPr>
          <w:rtl/>
        </w:rPr>
      </w:pPr>
      <w:r w:rsidRPr="00D564C0">
        <w:rPr>
          <w:rFonts w:hint="cs"/>
          <w:rtl/>
        </w:rPr>
        <w:t>ا</w:t>
      </w:r>
      <w:r w:rsidR="00E269AD" w:rsidRPr="00D564C0">
        <w:rPr>
          <w:rFonts w:hint="cs"/>
          <w:rtl/>
        </w:rPr>
        <w:t>لربا</w:t>
      </w:r>
      <w:r w:rsidR="00AB0B9E">
        <w:rPr>
          <w:rtl/>
        </w:rPr>
        <w:fldChar w:fldCharType="begin"/>
      </w:r>
      <w:r w:rsidR="00D564C0">
        <w:instrText xml:space="preserve"> XE "</w:instrText>
      </w:r>
      <w:r w:rsidR="00D564C0" w:rsidRPr="00D564C0">
        <w:rPr>
          <w:rFonts w:hint="cs"/>
          <w:b w:val="0"/>
          <w:bCs w:val="0"/>
          <w:rtl/>
        </w:rPr>
        <w:instrText>الربا</w:instrText>
      </w:r>
      <w:r w:rsidR="00D564C0">
        <w:instrText xml:space="preserve">" </w:instrText>
      </w:r>
      <w:r w:rsidR="00D564C0" w:rsidRPr="00D564C0">
        <w:instrText>\fm</w:instrText>
      </w:r>
      <w:r w:rsidR="00AB0B9E">
        <w:rPr>
          <w:rtl/>
        </w:rPr>
        <w:fldChar w:fldCharType="end"/>
      </w:r>
      <w:r w:rsidR="00E269AD" w:rsidRPr="00D564C0">
        <w:rPr>
          <w:rFonts w:hint="cs"/>
          <w:rtl/>
        </w:rPr>
        <w:t xml:space="preserve"> لغة:</w:t>
      </w:r>
    </w:p>
    <w:p w:rsidR="00065E4B" w:rsidRPr="00C85F0F" w:rsidRDefault="00E269AD" w:rsidP="00597C20">
      <w:pPr>
        <w:widowControl/>
        <w:autoSpaceDE w:val="0"/>
        <w:autoSpaceDN w:val="0"/>
        <w:adjustRightInd w:val="0"/>
        <w:ind w:firstLine="720"/>
        <w:rPr>
          <w:rtl/>
        </w:rPr>
      </w:pPr>
      <w:r w:rsidRPr="00C85F0F">
        <w:rPr>
          <w:rFonts w:ascii="Traditional Arabic" w:hAnsi="Traditional Arabic" w:hint="cs"/>
          <w:noProof w:val="0"/>
          <w:rtl/>
          <w:lang w:eastAsia="en-US"/>
        </w:rPr>
        <w:t xml:space="preserve">يقول </w:t>
      </w:r>
      <w:r w:rsidR="00723228">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 xml:space="preserve">ابن فارس </w:t>
      </w:r>
      <w:r w:rsidR="00D936AB">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D936AB">
        <w:rPr>
          <w:rFonts w:ascii="Traditional Arabic" w:hAnsi="Traditional Arabic" w:hint="cs"/>
          <w:noProof w:val="0"/>
          <w:rtl/>
          <w:lang w:eastAsia="en-US"/>
        </w:rPr>
        <w:t>_</w:t>
      </w:r>
      <w:r w:rsidRPr="00C85F0F">
        <w:rPr>
          <w:rFonts w:ascii="Traditional Arabic" w:hAnsi="Traditional Arabic" w:hint="cs"/>
          <w:noProof w:val="0"/>
          <w:rtl/>
          <w:lang w:eastAsia="en-US"/>
        </w:rPr>
        <w:t>: (</w:t>
      </w:r>
      <w:r w:rsidRPr="00C85F0F">
        <w:rPr>
          <w:rFonts w:ascii="Traditional Arabic" w:hAnsi="Traditional Arabic"/>
          <w:noProof w:val="0"/>
          <w:rtl/>
          <w:lang w:eastAsia="en-US"/>
        </w:rPr>
        <w:t>الراء والباء والحرف المعتل وكذلك المهموز منه يدل على أصل واحد، وهو الزيادة والن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ماء والع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تقول من ذلك: 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با الشيء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 إذا زاد. و</w:t>
      </w:r>
      <w:r w:rsidR="00723228">
        <w:rPr>
          <w:rFonts w:ascii="Traditional Arabic" w:hAnsi="Traditional Arabic" w:hint="cs"/>
          <w:noProof w:val="0"/>
          <w:rtl/>
          <w:lang w:eastAsia="en-US"/>
        </w:rPr>
        <w:t xml:space="preserve"> </w:t>
      </w:r>
      <w:r w:rsidRPr="00C85F0F">
        <w:rPr>
          <w:rFonts w:ascii="Traditional Arabic" w:hAnsi="Traditional Arabic"/>
          <w:noProof w:val="0"/>
          <w:rtl/>
          <w:lang w:eastAsia="en-US"/>
        </w:rPr>
        <w:t>ر</w:t>
      </w:r>
      <w:r w:rsidR="00723228">
        <w:rPr>
          <w:rFonts w:ascii="Traditional Arabic" w:hAnsi="Traditional Arabic" w:hint="cs"/>
          <w:noProof w:val="0"/>
          <w:rtl/>
          <w:lang w:eastAsia="en-US"/>
        </w:rPr>
        <w:t>َ</w:t>
      </w:r>
      <w:r w:rsidRPr="00C85F0F">
        <w:rPr>
          <w:rFonts w:ascii="Traditional Arabic" w:hAnsi="Traditional Arabic"/>
          <w:noProof w:val="0"/>
          <w:rtl/>
          <w:lang w:eastAsia="en-US"/>
        </w:rPr>
        <w:t>با الرابية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يربوها، إذا علاها. ور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با: أصابه الر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والربو: علو</w:t>
      </w:r>
      <w:r w:rsidRPr="00C85F0F">
        <w:rPr>
          <w:rFonts w:ascii="Traditional Arabic" w:hAnsi="Traditional Arabic" w:hint="cs"/>
          <w:noProof w:val="0"/>
          <w:rtl/>
          <w:lang w:eastAsia="en-US"/>
        </w:rPr>
        <w:t>ُّ</w:t>
      </w:r>
      <w:r w:rsidR="00723228">
        <w:rPr>
          <w:rFonts w:ascii="Traditional Arabic" w:hAnsi="Traditional Arabic" w:hint="cs"/>
          <w:noProof w:val="0"/>
          <w:rtl/>
          <w:lang w:eastAsia="en-US"/>
        </w:rPr>
        <w:t xml:space="preserve"> </w:t>
      </w:r>
      <w:r w:rsidRPr="00C85F0F">
        <w:rPr>
          <w:rFonts w:ascii="Traditional Arabic" w:hAnsi="Traditional Arabic"/>
          <w:noProof w:val="0"/>
          <w:rtl/>
          <w:lang w:eastAsia="en-US"/>
        </w:rPr>
        <w:t>الن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س</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1866"/>
      </w:r>
      <w:r w:rsidRPr="00C85F0F">
        <w:rPr>
          <w:rStyle w:val="af1"/>
          <w:szCs w:val="32"/>
          <w:rtl/>
        </w:rPr>
        <w:t>)</w:t>
      </w:r>
      <w:r w:rsidRPr="00C85F0F">
        <w:rPr>
          <w:rFonts w:ascii="Traditional Arabic" w:hAnsi="Traditional Arabic"/>
          <w:noProof w:val="0"/>
          <w:rtl/>
          <w:lang w:eastAsia="en-US"/>
        </w:rPr>
        <w:t>.</w:t>
      </w:r>
    </w:p>
    <w:p w:rsidR="00065E4B" w:rsidRPr="00C85F0F" w:rsidRDefault="00065E4B" w:rsidP="00597C20">
      <w:pPr>
        <w:widowControl/>
        <w:autoSpaceDE w:val="0"/>
        <w:autoSpaceDN w:val="0"/>
        <w:adjustRightInd w:val="0"/>
        <w:ind w:firstLine="720"/>
        <w:jc w:val="left"/>
        <w:rPr>
          <w:rtl/>
        </w:rPr>
      </w:pPr>
      <w:r w:rsidRPr="00C85F0F">
        <w:rPr>
          <w:rFonts w:hint="cs"/>
          <w:rtl/>
        </w:rPr>
        <w:t>و</w:t>
      </w:r>
      <w:r w:rsidR="00E269AD" w:rsidRPr="00C85F0F">
        <w:rPr>
          <w:rFonts w:hint="cs"/>
          <w:rtl/>
        </w:rPr>
        <w:t>أقرب هذه المعاني إلى المعنى الشرعي هو الزيادة.</w:t>
      </w:r>
    </w:p>
    <w:p w:rsidR="00CB6849" w:rsidRPr="00D564C0" w:rsidRDefault="00065E4B" w:rsidP="00597C20">
      <w:pPr>
        <w:pStyle w:val="53"/>
        <w:rPr>
          <w:rtl/>
        </w:rPr>
      </w:pPr>
      <w:r w:rsidRPr="00D564C0">
        <w:rPr>
          <w:rFonts w:hint="cs"/>
          <w:rtl/>
        </w:rPr>
        <w:lastRenderedPageBreak/>
        <w:t>ا</w:t>
      </w:r>
      <w:r w:rsidR="00E269AD" w:rsidRPr="00D564C0">
        <w:rPr>
          <w:rFonts w:hint="cs"/>
          <w:rtl/>
        </w:rPr>
        <w:t>لربا شرعا:</w:t>
      </w:r>
    </w:p>
    <w:p w:rsidR="00065E4B" w:rsidRPr="00C85F0F" w:rsidRDefault="00E269AD"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هو الزيادة المشروطة مُقابِل الأجَل في قرضٍ، وعند كل تأجيلٍ لاحِقٍ للدَّين بعد حُلوله، سواء كان موجِبه قرضاً أو بيعا بالنسيئة أو غير ذلك، وهو المسمى بربا الديون والربا الجَلِيّ، وكذا الزيادة في بيع الأموال الرِّبَوِيَّة ببعضها</w:t>
      </w:r>
      <w:r w:rsidRPr="00C85F0F">
        <w:rPr>
          <w:rStyle w:val="af1"/>
          <w:szCs w:val="32"/>
          <w:rtl/>
        </w:rPr>
        <w:t>(</w:t>
      </w:r>
      <w:r w:rsidRPr="00C85F0F">
        <w:rPr>
          <w:rStyle w:val="af1"/>
          <w:szCs w:val="32"/>
          <w:rtl/>
        </w:rPr>
        <w:footnoteReference w:id="1867"/>
      </w:r>
      <w:r w:rsidRPr="00C85F0F">
        <w:rPr>
          <w:rStyle w:val="af1"/>
          <w:szCs w:val="32"/>
          <w:rtl/>
        </w:rPr>
        <w:t>)</w:t>
      </w:r>
      <w:r w:rsidRPr="00C85F0F">
        <w:rPr>
          <w:rFonts w:ascii="Traditional Arabic" w:hAnsi="Traditional Arabic" w:hint="cs"/>
          <w:noProof w:val="0"/>
          <w:color w:val="auto"/>
          <w:rtl/>
          <w:lang w:eastAsia="en-US"/>
        </w:rPr>
        <w:t>، وهو المسمى بربا البيوع، والربا الخَفِيّ بنوعيه ربا الفضل وربا النَّساء</w:t>
      </w:r>
      <w:r w:rsidRPr="00C85F0F">
        <w:rPr>
          <w:rStyle w:val="af1"/>
          <w:szCs w:val="32"/>
          <w:rtl/>
        </w:rPr>
        <w:t>(</w:t>
      </w:r>
      <w:r w:rsidRPr="00C85F0F">
        <w:rPr>
          <w:rStyle w:val="af1"/>
          <w:szCs w:val="32"/>
          <w:rtl/>
        </w:rPr>
        <w:footnoteReference w:id="1868"/>
      </w:r>
      <w:r w:rsidRPr="00C85F0F">
        <w:rPr>
          <w:rStyle w:val="af1"/>
          <w:szCs w:val="32"/>
          <w:rtl/>
        </w:rPr>
        <w:t>)</w:t>
      </w:r>
      <w:r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E269AD" w:rsidRPr="00C85F0F">
        <w:rPr>
          <w:rFonts w:ascii="Traditional Arabic" w:hAnsi="Traditional Arabic" w:hint="cs"/>
          <w:noProof w:val="0"/>
          <w:color w:val="auto"/>
          <w:rtl/>
          <w:lang w:eastAsia="en-US"/>
        </w:rPr>
        <w:t xml:space="preserve">قد تعرض الشيخ ابن عثيمين </w:t>
      </w:r>
      <w:r w:rsidR="00723228">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723228">
        <w:rPr>
          <w:rFonts w:ascii="Traditional Arabic" w:hAnsi="Traditional Arabic" w:hint="cs"/>
          <w:noProof w:val="0"/>
          <w:color w:val="auto"/>
          <w:rtl/>
          <w:lang w:eastAsia="en-US"/>
        </w:rPr>
        <w:t>_</w:t>
      </w:r>
      <w:r w:rsidR="00E269AD" w:rsidRPr="00C85F0F">
        <w:rPr>
          <w:rFonts w:ascii="Traditional Arabic" w:hAnsi="Traditional Arabic" w:hint="cs"/>
          <w:noProof w:val="0"/>
          <w:color w:val="auto"/>
          <w:rtl/>
          <w:lang w:eastAsia="en-US"/>
        </w:rPr>
        <w:t xml:space="preserve"> لتعريف الربا فقال:</w:t>
      </w:r>
    </w:p>
    <w:p w:rsidR="00065E4B" w:rsidRPr="00C85F0F" w:rsidRDefault="00723228" w:rsidP="00723228">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sidRPr="00C85F0F">
        <w:rPr>
          <w:rFonts w:ascii="Traditional Arabic" w:hAnsi="Traditional Arabic" w:hint="cs"/>
          <w:noProof w:val="0"/>
          <w:color w:val="auto"/>
          <w:rtl/>
          <w:lang w:eastAsia="en-US"/>
        </w:rPr>
        <w:t>(</w:t>
      </w:r>
      <w:r w:rsidR="00E269AD" w:rsidRPr="00C85F0F">
        <w:rPr>
          <w:rFonts w:ascii="Traditional Arabic" w:hAnsi="Traditional Arabic" w:hint="cs"/>
          <w:noProof w:val="0"/>
          <w:color w:val="auto"/>
          <w:rtl/>
          <w:lang w:eastAsia="en-US"/>
        </w:rPr>
        <w:t>الربا في اللغة الزيادة، ومنه قوله تعالى:</w:t>
      </w:r>
      <w:bookmarkStart w:id="390" w:name="سورة_الحج_5"/>
      <w:r w:rsidR="00D17979" w:rsidRPr="00C70F52">
        <w:rPr>
          <w:rFonts w:ascii="QCF_BSML" w:hAnsi="QCF_BSML" w:cs="QCF_BSML"/>
          <w:noProof w:val="0"/>
          <w:rtl/>
          <w:lang w:eastAsia="en-US"/>
        </w:rPr>
        <w:t>ﭽ</w:t>
      </w:r>
      <w:r w:rsidR="00D17979" w:rsidRPr="00C70F52">
        <w:rPr>
          <w:rFonts w:ascii="QCF_P332" w:hAnsi="QCF_P332" w:cs="QCF_P332"/>
          <w:noProof w:val="0"/>
          <w:rtl/>
          <w:lang w:eastAsia="en-US"/>
        </w:rPr>
        <w:t>ﯪﯫﯬﯭﯮﯯ</w:t>
      </w:r>
      <w:r w:rsidR="00D17979" w:rsidRPr="00C70F52">
        <w:rPr>
          <w:rFonts w:ascii="QCF_BSML" w:hAnsi="QCF_BSML" w:cs="QCF_BSML"/>
          <w:noProof w:val="0"/>
          <w:rtl/>
          <w:lang w:eastAsia="en-US"/>
        </w:rPr>
        <w:t>ﭼ</w:t>
      </w:r>
      <w:bookmarkEnd w:id="390"/>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الحج: ٥</w:t>
      </w:r>
      <w:r w:rsidR="00E269AD" w:rsidRPr="00C85F0F">
        <w:rPr>
          <w:rFonts w:ascii="Traditional Arabic" w:hAnsi="Traditional Arabic" w:hint="cs"/>
          <w:noProof w:val="0"/>
          <w:color w:val="auto"/>
          <w:rtl/>
          <w:lang w:eastAsia="en-US"/>
        </w:rPr>
        <w:t>].</w:t>
      </w:r>
    </w:p>
    <w:p w:rsidR="00065E4B" w:rsidRPr="00C85F0F" w:rsidRDefault="00723228" w:rsidP="00597C20">
      <w:pPr>
        <w:widowControl/>
        <w:autoSpaceDE w:val="0"/>
        <w:autoSpaceDN w:val="0"/>
        <w:adjustRightInd w:val="0"/>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065E4B" w:rsidRPr="00C85F0F">
        <w:rPr>
          <w:rFonts w:ascii="Traditional Arabic" w:hAnsi="Traditional Arabic" w:hint="cs"/>
          <w:noProof w:val="0"/>
          <w:color w:val="auto"/>
          <w:rtl/>
          <w:lang w:eastAsia="en-US"/>
        </w:rPr>
        <w:t>أ</w:t>
      </w:r>
      <w:r w:rsidR="00E269AD" w:rsidRPr="00C85F0F">
        <w:rPr>
          <w:rFonts w:ascii="Traditional Arabic" w:hAnsi="Traditional Arabic" w:hint="cs"/>
          <w:noProof w:val="0"/>
          <w:color w:val="auto"/>
          <w:rtl/>
          <w:lang w:eastAsia="en-US"/>
        </w:rPr>
        <w:t>ما في الشرع:</w:t>
      </w:r>
      <w:r>
        <w:rPr>
          <w:rFonts w:ascii="Traditional Arabic" w:hAnsi="Traditional Arabic" w:hint="cs"/>
          <w:noProof w:val="0"/>
          <w:color w:val="auto"/>
          <w:rtl/>
          <w:lang w:eastAsia="en-US"/>
        </w:rPr>
        <w:t xml:space="preserve"> </w:t>
      </w:r>
      <w:r w:rsidR="00E269AD" w:rsidRPr="00C85F0F">
        <w:rPr>
          <w:rFonts w:ascii="Traditional Arabic" w:hAnsi="Traditional Arabic" w:hint="cs"/>
          <w:noProof w:val="0"/>
          <w:color w:val="auto"/>
          <w:rtl/>
          <w:lang w:eastAsia="en-US"/>
        </w:rPr>
        <w:t>فهو زيادة في أشياء مخصوصة، منع الشارع من الزيادة فيها حين التبادُل، أو تأخيرُ القبض حين يجب فيها القبض قبل التفرُّق؛ ولهذا يقول أهل العلم:</w:t>
      </w:r>
      <w:r>
        <w:rPr>
          <w:rFonts w:ascii="Traditional Arabic" w:hAnsi="Traditional Arabic" w:hint="cs"/>
          <w:noProof w:val="0"/>
          <w:color w:val="auto"/>
          <w:rtl/>
          <w:lang w:eastAsia="en-US"/>
        </w:rPr>
        <w:t xml:space="preserve"> </w:t>
      </w:r>
      <w:r w:rsidR="00E269AD" w:rsidRPr="00C85F0F">
        <w:rPr>
          <w:rFonts w:ascii="Traditional Arabic" w:hAnsi="Traditional Arabic" w:hint="cs"/>
          <w:noProof w:val="0"/>
          <w:color w:val="auto"/>
          <w:rtl/>
          <w:lang w:eastAsia="en-US"/>
        </w:rPr>
        <w:t>إن الربا نوعان:</w:t>
      </w:r>
    </w:p>
    <w:p w:rsidR="00065E4B" w:rsidRPr="00C85F0F"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ر</w:t>
      </w:r>
      <w:r w:rsidR="00E269AD" w:rsidRPr="00C85F0F">
        <w:rPr>
          <w:rFonts w:ascii="Traditional Arabic" w:hAnsi="Traditional Arabic" w:hint="cs"/>
          <w:noProof w:val="0"/>
          <w:color w:val="auto"/>
          <w:rtl/>
          <w:lang w:eastAsia="en-US"/>
        </w:rPr>
        <w:t>با الفضل: يعني ربا الزيادة.</w:t>
      </w:r>
    </w:p>
    <w:p w:rsidR="00065E4B" w:rsidRPr="00C85F0F"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E269AD" w:rsidRPr="00C85F0F">
        <w:rPr>
          <w:rFonts w:ascii="Traditional Arabic" w:hAnsi="Traditional Arabic" w:hint="cs"/>
          <w:noProof w:val="0"/>
          <w:color w:val="auto"/>
          <w:rtl/>
          <w:lang w:eastAsia="en-US"/>
        </w:rPr>
        <w:t>ربا النسيئة: يعني ربا التأخير)</w:t>
      </w:r>
      <w:r w:rsidR="00E269AD" w:rsidRPr="00C85F0F">
        <w:rPr>
          <w:rStyle w:val="af1"/>
          <w:szCs w:val="32"/>
          <w:rtl/>
        </w:rPr>
        <w:t>(</w:t>
      </w:r>
      <w:r w:rsidR="00E269AD" w:rsidRPr="00C85F0F">
        <w:rPr>
          <w:rStyle w:val="af1"/>
          <w:szCs w:val="32"/>
          <w:rtl/>
        </w:rPr>
        <w:footnoteReference w:id="1869"/>
      </w:r>
      <w:r w:rsidR="00E269AD" w:rsidRPr="00C85F0F">
        <w:rPr>
          <w:rStyle w:val="af1"/>
          <w:szCs w:val="32"/>
          <w:rtl/>
        </w:rPr>
        <w:t>)</w:t>
      </w:r>
      <w:r w:rsidR="00E269AD" w:rsidRPr="00C85F0F">
        <w:rPr>
          <w:rFonts w:ascii="Traditional Arabic" w:hAnsi="Traditional Arabic" w:hint="cs"/>
          <w:noProof w:val="0"/>
          <w:color w:val="auto"/>
          <w:rtl/>
          <w:lang w:eastAsia="en-US"/>
        </w:rPr>
        <w:t>.</w:t>
      </w:r>
    </w:p>
    <w:p w:rsidR="00065E4B" w:rsidRPr="00D564C0" w:rsidRDefault="00065E4B" w:rsidP="00597C20">
      <w:pPr>
        <w:pStyle w:val="53"/>
        <w:rPr>
          <w:rtl/>
        </w:rPr>
      </w:pPr>
      <w:r w:rsidRPr="00D564C0">
        <w:rPr>
          <w:rFonts w:hint="cs"/>
          <w:rtl/>
        </w:rPr>
        <w:lastRenderedPageBreak/>
        <w:t>م</w:t>
      </w:r>
      <w:r w:rsidR="00E269AD" w:rsidRPr="00D564C0">
        <w:rPr>
          <w:rFonts w:hint="cs"/>
          <w:rtl/>
        </w:rPr>
        <w:t>عنى القاعدة إجمالا:</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ظ</w:t>
      </w:r>
      <w:r w:rsidR="00E269AD" w:rsidRPr="00C85F0F">
        <w:rPr>
          <w:rFonts w:ascii="Traditional Arabic" w:hAnsi="Traditional Arabic" w:hint="cs"/>
          <w:noProof w:val="0"/>
          <w:color w:val="auto"/>
          <w:rtl/>
          <w:lang w:eastAsia="en-US"/>
        </w:rPr>
        <w:t xml:space="preserve">هر أثر هذه القاعدة بوضوح في تقريرات الشيخ ابن عثيمين </w:t>
      </w:r>
      <w:r w:rsidR="00723228">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723228">
        <w:rPr>
          <w:rFonts w:ascii="Traditional Arabic" w:hAnsi="Traditional Arabic" w:hint="cs"/>
          <w:noProof w:val="0"/>
          <w:color w:val="auto"/>
          <w:rtl/>
          <w:lang w:eastAsia="en-US"/>
        </w:rPr>
        <w:t>_</w:t>
      </w:r>
      <w:r w:rsidR="00E269AD" w:rsidRPr="00C85F0F">
        <w:rPr>
          <w:rFonts w:ascii="Traditional Arabic" w:hAnsi="Traditional Arabic" w:hint="cs"/>
          <w:noProof w:val="0"/>
          <w:color w:val="auto"/>
          <w:rtl/>
          <w:lang w:eastAsia="en-US"/>
        </w:rPr>
        <w:t xml:space="preserve"> في فقه المعاملات، فكثيرا ما يحكم بتحريم أو فساد بعض العقود لاشتمالها على الغرر أو الربا أو الظلم</w:t>
      </w:r>
      <w:r w:rsidR="00E269AD" w:rsidRPr="00C85F0F">
        <w:rPr>
          <w:rStyle w:val="af1"/>
          <w:szCs w:val="32"/>
          <w:rtl/>
        </w:rPr>
        <w:t>(</w:t>
      </w:r>
      <w:r w:rsidR="00E269AD" w:rsidRPr="00C85F0F">
        <w:rPr>
          <w:rStyle w:val="af1"/>
          <w:szCs w:val="32"/>
          <w:rtl/>
        </w:rPr>
        <w:footnoteReference w:id="1870"/>
      </w:r>
      <w:r w:rsidR="00E269AD" w:rsidRPr="00C85F0F">
        <w:rPr>
          <w:rStyle w:val="af1"/>
          <w:szCs w:val="32"/>
          <w:rtl/>
        </w:rPr>
        <w:t>)</w:t>
      </w:r>
      <w:r w:rsidR="00E269AD" w:rsidRPr="00C85F0F">
        <w:rPr>
          <w:rFonts w:ascii="Traditional Arabic" w:hAnsi="Traditional Arabic" w:hint="cs"/>
          <w:noProof w:val="0"/>
          <w:color w:val="auto"/>
          <w:rtl/>
          <w:lang w:eastAsia="en-US"/>
        </w:rPr>
        <w:t>، وكثيرا ما يقول بصحة بعض المعاملات، ويعلِّل ذلك بخُلُوِّها من هذه المحاذير الثلاث أو من بعضها</w:t>
      </w:r>
      <w:r w:rsidR="00E269AD" w:rsidRPr="00C85F0F">
        <w:rPr>
          <w:rStyle w:val="af1"/>
          <w:szCs w:val="32"/>
          <w:rtl/>
        </w:rPr>
        <w:t>(</w:t>
      </w:r>
      <w:r w:rsidR="00E269AD" w:rsidRPr="00C85F0F">
        <w:rPr>
          <w:rStyle w:val="af1"/>
          <w:szCs w:val="32"/>
          <w:rtl/>
        </w:rPr>
        <w:footnoteReference w:id="1871"/>
      </w:r>
      <w:r w:rsidR="00E269AD" w:rsidRPr="00C85F0F">
        <w:rPr>
          <w:rStyle w:val="af1"/>
          <w:szCs w:val="32"/>
          <w:rtl/>
        </w:rPr>
        <w:t>)</w:t>
      </w:r>
      <w:r w:rsidR="00E269AD" w:rsidRPr="00C85F0F">
        <w:rPr>
          <w:rFonts w:ascii="Traditional Arabic" w:hAnsi="Traditional Arabic" w:hint="cs"/>
          <w:noProof w:val="0"/>
          <w:color w:val="auto"/>
          <w:rtl/>
          <w:lang w:eastAsia="en-US"/>
        </w:rPr>
        <w:t>، بل إنه ردَّ كل شروط صحة البيع إليها</w:t>
      </w:r>
      <w:r w:rsidR="00E269AD" w:rsidRPr="00C85F0F">
        <w:rPr>
          <w:rStyle w:val="af1"/>
          <w:szCs w:val="32"/>
          <w:rtl/>
        </w:rPr>
        <w:t>(</w:t>
      </w:r>
      <w:r w:rsidR="00E269AD" w:rsidRPr="00C85F0F">
        <w:rPr>
          <w:rStyle w:val="af1"/>
          <w:szCs w:val="32"/>
          <w:rtl/>
        </w:rPr>
        <w:footnoteReference w:id="1872"/>
      </w:r>
      <w:r w:rsidR="00E269AD" w:rsidRPr="00C85F0F">
        <w:rPr>
          <w:rStyle w:val="af1"/>
          <w:szCs w:val="32"/>
          <w:rtl/>
        </w:rPr>
        <w:t>)</w:t>
      </w:r>
      <w:r w:rsidR="00E269AD"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ف</w:t>
      </w:r>
      <w:r w:rsidR="00E269AD" w:rsidRPr="00C85F0F">
        <w:rPr>
          <w:rFonts w:ascii="Traditional Arabic" w:hAnsi="Traditional Arabic" w:hint="cs"/>
          <w:noProof w:val="0"/>
          <w:color w:val="auto"/>
          <w:rtl/>
          <w:lang w:eastAsia="en-US"/>
        </w:rPr>
        <w:t>الأصل العام المتقرِّر في المعاملات هو الجواز والصحة، إلا أنه مما استثناه الشارع من ذلك ما ي</w:t>
      </w:r>
      <w:r w:rsidR="00DF244D">
        <w:rPr>
          <w:rFonts w:ascii="Traditional Arabic" w:hAnsi="Traditional Arabic" w:hint="cs"/>
          <w:noProof w:val="0"/>
          <w:color w:val="auto"/>
          <w:rtl/>
          <w:lang w:eastAsia="en-US"/>
        </w:rPr>
        <w:t>ُ</w:t>
      </w:r>
      <w:r w:rsidR="00E269AD" w:rsidRPr="00C85F0F">
        <w:rPr>
          <w:rFonts w:ascii="Traditional Arabic" w:hAnsi="Traditional Arabic" w:hint="cs"/>
          <w:noProof w:val="0"/>
          <w:color w:val="auto"/>
          <w:rtl/>
          <w:lang w:eastAsia="en-US"/>
        </w:rPr>
        <w:t>ف</w:t>
      </w:r>
      <w:r w:rsidR="00DF244D">
        <w:rPr>
          <w:rFonts w:ascii="Traditional Arabic" w:hAnsi="Traditional Arabic" w:hint="cs"/>
          <w:noProof w:val="0"/>
          <w:color w:val="auto"/>
          <w:rtl/>
          <w:lang w:eastAsia="en-US"/>
        </w:rPr>
        <w:t>ْ</w:t>
      </w:r>
      <w:r w:rsidR="00E269AD" w:rsidRPr="00C85F0F">
        <w:rPr>
          <w:rFonts w:ascii="Traditional Arabic" w:hAnsi="Traditional Arabic" w:hint="cs"/>
          <w:noProof w:val="0"/>
          <w:color w:val="auto"/>
          <w:rtl/>
          <w:lang w:eastAsia="en-US"/>
        </w:rPr>
        <w:t>ضي إلى العداوة والن</w:t>
      </w:r>
      <w:r w:rsidR="00DF244D">
        <w:rPr>
          <w:rFonts w:ascii="Traditional Arabic" w:hAnsi="Traditional Arabic" w:hint="cs"/>
          <w:noProof w:val="0"/>
          <w:color w:val="auto"/>
          <w:rtl/>
          <w:lang w:eastAsia="en-US"/>
        </w:rPr>
        <w:t>ِّ</w:t>
      </w:r>
      <w:r w:rsidR="00E269AD" w:rsidRPr="00C85F0F">
        <w:rPr>
          <w:rFonts w:ascii="Traditional Arabic" w:hAnsi="Traditional Arabic" w:hint="cs"/>
          <w:noProof w:val="0"/>
          <w:color w:val="auto"/>
          <w:rtl/>
          <w:lang w:eastAsia="en-US"/>
        </w:rPr>
        <w:t>زاع بين المسلمين، ويترتب عليه ظُلمُ الناس</w:t>
      </w:r>
      <w:r w:rsidR="00DF244D">
        <w:rPr>
          <w:rFonts w:ascii="Traditional Arabic" w:hAnsi="Traditional Arabic" w:hint="cs"/>
          <w:noProof w:val="0"/>
          <w:color w:val="auto"/>
          <w:rtl/>
          <w:lang w:eastAsia="en-US"/>
        </w:rPr>
        <w:t>ِ</w:t>
      </w:r>
      <w:r w:rsidR="00E269AD" w:rsidRPr="00C85F0F">
        <w:rPr>
          <w:rFonts w:ascii="Traditional Arabic" w:hAnsi="Traditional Arabic" w:hint="cs"/>
          <w:noProof w:val="0"/>
          <w:color w:val="auto"/>
          <w:rtl/>
          <w:lang w:eastAsia="en-US"/>
        </w:rPr>
        <w:t xml:space="preserve"> وأكلُ أموال</w:t>
      </w:r>
      <w:r w:rsidR="00DF244D">
        <w:rPr>
          <w:rFonts w:ascii="Traditional Arabic" w:hAnsi="Traditional Arabic" w:hint="cs"/>
          <w:noProof w:val="0"/>
          <w:color w:val="auto"/>
          <w:rtl/>
          <w:lang w:eastAsia="en-US"/>
        </w:rPr>
        <w:t>ِ</w:t>
      </w:r>
      <w:r w:rsidR="00E269AD" w:rsidRPr="00C85F0F">
        <w:rPr>
          <w:rFonts w:ascii="Traditional Arabic" w:hAnsi="Traditional Arabic" w:hint="cs"/>
          <w:noProof w:val="0"/>
          <w:color w:val="auto"/>
          <w:rtl/>
          <w:lang w:eastAsia="en-US"/>
        </w:rPr>
        <w:t>هم بالباطل.</w:t>
      </w:r>
    </w:p>
    <w:p w:rsidR="00F228A9"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E269AD" w:rsidRPr="00C85F0F">
        <w:rPr>
          <w:rFonts w:ascii="Traditional Arabic" w:hAnsi="Traditional Arabic" w:hint="cs"/>
          <w:noProof w:val="0"/>
          <w:color w:val="auto"/>
          <w:rtl/>
          <w:lang w:eastAsia="en-US"/>
        </w:rPr>
        <w:t>غالب العقود المحرَّمة تعود إلى هذه الأمور الثلاثة: الربا والغرر والظلم</w:t>
      </w:r>
      <w:r w:rsidR="00E269AD" w:rsidRPr="00C85F0F">
        <w:rPr>
          <w:rStyle w:val="af1"/>
          <w:szCs w:val="32"/>
          <w:rtl/>
        </w:rPr>
        <w:t>(</w:t>
      </w:r>
      <w:r w:rsidR="00E269AD" w:rsidRPr="00C85F0F">
        <w:rPr>
          <w:rStyle w:val="af1"/>
          <w:szCs w:val="32"/>
          <w:rtl/>
        </w:rPr>
        <w:footnoteReference w:id="1873"/>
      </w:r>
      <w:r w:rsidR="00E269AD" w:rsidRPr="00C85F0F">
        <w:rPr>
          <w:rStyle w:val="af1"/>
          <w:szCs w:val="32"/>
          <w:rtl/>
        </w:rPr>
        <w:t>)</w:t>
      </w:r>
      <w:r w:rsidR="00E269AD" w:rsidRPr="00C85F0F">
        <w:rPr>
          <w:rFonts w:ascii="Traditional Arabic" w:hAnsi="Traditional Arabic" w:hint="cs"/>
          <w:noProof w:val="0"/>
          <w:color w:val="auto"/>
          <w:rtl/>
          <w:lang w:eastAsia="en-US"/>
        </w:rPr>
        <w:t>.</w:t>
      </w:r>
    </w:p>
    <w:p w:rsidR="00065E4B" w:rsidRPr="00C85F0F" w:rsidRDefault="00723228" w:rsidP="00A8347C">
      <w:pPr>
        <w:pStyle w:val="aff3"/>
        <w:rPr>
          <w:rtl/>
        </w:rPr>
      </w:pPr>
      <w:bookmarkStart w:id="391" w:name="_Toc334046587"/>
      <w:r>
        <w:rPr>
          <w:rFonts w:hint="cs"/>
          <w:rtl/>
        </w:rPr>
        <w:lastRenderedPageBreak/>
        <w:t xml:space="preserve">                                         </w:t>
      </w:r>
      <w:r w:rsidR="00F228A9" w:rsidRPr="00C85F0F">
        <w:rPr>
          <w:rFonts w:hint="cs"/>
          <w:rtl/>
        </w:rPr>
        <w:t>المطلب الثالث</w:t>
      </w:r>
      <w:r w:rsidR="00F228A9" w:rsidRPr="00C85F0F">
        <w:rPr>
          <w:rFonts w:hint="eastAsia"/>
          <w:rtl/>
        </w:rPr>
        <w:t> :</w:t>
      </w:r>
      <w:r w:rsidR="00F228A9" w:rsidRPr="00C85F0F">
        <w:rPr>
          <w:rFonts w:hint="cs"/>
          <w:rtl/>
        </w:rPr>
        <w:br/>
      </w:r>
      <w:r>
        <w:rPr>
          <w:rFonts w:hint="cs"/>
          <w:rtl/>
        </w:rPr>
        <w:t xml:space="preserve">                                           </w:t>
      </w:r>
      <w:r w:rsidR="00F228A9" w:rsidRPr="00C85F0F">
        <w:rPr>
          <w:rFonts w:hint="cs"/>
          <w:rtl/>
        </w:rPr>
        <w:t>أدلة القاعدة</w:t>
      </w:r>
      <w:bookmarkEnd w:id="391"/>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ي</w:t>
      </w:r>
      <w:r w:rsidR="00E269AD" w:rsidRPr="00C85F0F">
        <w:rPr>
          <w:rFonts w:ascii="Traditional Arabic" w:hAnsi="Traditional Arabic" w:hint="cs"/>
          <w:noProof w:val="0"/>
          <w:color w:val="auto"/>
          <w:rtl/>
          <w:lang w:eastAsia="en-US"/>
        </w:rPr>
        <w:t>مكن أن يُستدَل لهذه القاعدة بعموم النصوص الدالة على تحريم أكل أموال الناس بالباطل، وتحريم الظلم، كما يستدل لها بالأدلة المحرِّمة للربا والغرر</w:t>
      </w:r>
      <w:r w:rsidR="00E269AD" w:rsidRPr="00C85F0F">
        <w:rPr>
          <w:rStyle w:val="af1"/>
          <w:szCs w:val="32"/>
          <w:rtl/>
        </w:rPr>
        <w:t>(</w:t>
      </w:r>
      <w:r w:rsidR="00E269AD" w:rsidRPr="00C85F0F">
        <w:rPr>
          <w:rStyle w:val="af1"/>
          <w:szCs w:val="32"/>
          <w:rtl/>
        </w:rPr>
        <w:footnoteReference w:id="1874"/>
      </w:r>
      <w:r w:rsidR="00E269AD" w:rsidRPr="00C85F0F">
        <w:rPr>
          <w:rStyle w:val="af1"/>
          <w:szCs w:val="32"/>
          <w:rtl/>
        </w:rPr>
        <w:t>)</w:t>
      </w:r>
      <w:r w:rsidR="00E269AD"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w:t>
      </w:r>
      <w:r w:rsidR="00E269AD" w:rsidRPr="00C85F0F">
        <w:rPr>
          <w:rFonts w:ascii="Traditional Arabic" w:hAnsi="Traditional Arabic" w:hint="cs"/>
          <w:noProof w:val="0"/>
          <w:color w:val="auto"/>
          <w:rtl/>
          <w:lang w:eastAsia="en-US"/>
        </w:rPr>
        <w:t>لما كان شيخ الإسلام ابن تيمية</w:t>
      </w:r>
      <w:r w:rsidR="00723228">
        <w:rPr>
          <w:rFonts w:ascii="Traditional Arabic" w:hAnsi="Traditional Arabic" w:hint="cs"/>
          <w:noProof w:val="0"/>
          <w:color w:val="auto"/>
          <w:rtl/>
          <w:lang w:eastAsia="en-US"/>
        </w:rPr>
        <w:t>_رحمه الله_</w:t>
      </w:r>
      <w:r w:rsidR="00E269AD" w:rsidRPr="00C85F0F">
        <w:rPr>
          <w:rFonts w:ascii="Traditional Arabic" w:hAnsi="Traditional Arabic" w:hint="cs"/>
          <w:noProof w:val="0"/>
          <w:color w:val="auto"/>
          <w:rtl/>
          <w:lang w:eastAsia="en-US"/>
        </w:rPr>
        <w:t xml:space="preserve"> قد ذكر كثيرا من هذه الأدلة مع إشارته إلى وجه الاستدلال منها، كان من المستحسَن نَقْلُ كلامه ههنا.</w:t>
      </w:r>
    </w:p>
    <w:p w:rsidR="00065E4B" w:rsidRPr="00C85F0F" w:rsidRDefault="00065E4B" w:rsidP="00597C20">
      <w:pPr>
        <w:widowControl/>
        <w:autoSpaceDE w:val="0"/>
        <w:autoSpaceDN w:val="0"/>
        <w:adjustRightInd w:val="0"/>
        <w:ind w:firstLine="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ق</w:t>
      </w:r>
      <w:r w:rsidR="00E269AD" w:rsidRPr="00C85F0F">
        <w:rPr>
          <w:rFonts w:ascii="Traditional Arabic" w:hAnsi="Traditional Arabic" w:hint="cs"/>
          <w:noProof w:val="0"/>
          <w:color w:val="auto"/>
          <w:rtl/>
          <w:lang w:eastAsia="en-US"/>
        </w:rPr>
        <w:t>ال</w:t>
      </w:r>
      <w:r w:rsidR="00723228">
        <w:rPr>
          <w:rFonts w:ascii="Traditional Arabic" w:hAnsi="Traditional Arabic" w:hint="cs"/>
          <w:noProof w:val="0"/>
          <w:color w:val="auto"/>
          <w:rtl/>
          <w:lang w:eastAsia="en-US"/>
        </w:rPr>
        <w:t>_</w:t>
      </w:r>
      <w:r w:rsidR="00E269AD" w:rsidRPr="00C85F0F">
        <w:rPr>
          <w:rFonts w:ascii="Traditional Arabic" w:hAnsi="Traditional Arabic" w:hint="cs"/>
          <w:noProof w:val="0"/>
          <w:color w:val="auto"/>
          <w:rtl/>
          <w:lang w:eastAsia="en-US"/>
        </w:rPr>
        <w:t xml:space="preserve"> </w:t>
      </w:r>
      <w:r w:rsidR="009A0575" w:rsidRPr="005D5694">
        <w:rPr>
          <w:rFonts w:ascii="Traditional Arabic" w:hAnsi="Traditional Arabic" w:cs="CTraditional Arabic" w:hint="cs"/>
          <w:rtl/>
        </w:rPr>
        <w:t>/</w:t>
      </w:r>
      <w:r w:rsidR="00723228">
        <w:rPr>
          <w:rFonts w:ascii="Traditional Arabic" w:hAnsi="Traditional Arabic" w:hint="cs"/>
          <w:noProof w:val="0"/>
          <w:color w:val="auto"/>
          <w:rtl/>
          <w:lang w:eastAsia="en-US"/>
        </w:rPr>
        <w:t>_</w:t>
      </w:r>
      <w:r w:rsidR="00E269AD"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القاعدة الثانية: في المعاق</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د حلال</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ها وحرام</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ها</w:t>
      </w:r>
      <w:r w:rsidR="00E269AD" w:rsidRPr="00C85F0F">
        <w:rPr>
          <w:rFonts w:ascii="Traditional Arabic" w:hAnsi="Traditional Arabic" w:hint="cs"/>
          <w:noProof w:val="0"/>
          <w:color w:val="auto"/>
          <w:rtl/>
          <w:lang w:eastAsia="en-US"/>
        </w:rPr>
        <w:t>.</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noProof w:val="0"/>
          <w:color w:val="auto"/>
          <w:rtl/>
          <w:lang w:eastAsia="en-US"/>
        </w:rPr>
        <w:t>و</w:t>
      </w:r>
      <w:r w:rsidR="00E269AD" w:rsidRPr="00C85F0F">
        <w:rPr>
          <w:rFonts w:ascii="Traditional Arabic" w:hAnsi="Traditional Arabic"/>
          <w:noProof w:val="0"/>
          <w:color w:val="auto"/>
          <w:rtl/>
          <w:lang w:eastAsia="en-US"/>
        </w:rPr>
        <w:t>الأصل في ذلك أن الله حر</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م في كتابه أكل أموالنا بيننا بالباطل</w:t>
      </w:r>
      <w:r w:rsidR="00E269AD" w:rsidRPr="00C85F0F">
        <w:rPr>
          <w:rStyle w:val="af1"/>
          <w:szCs w:val="32"/>
          <w:rtl/>
        </w:rPr>
        <w:t>(</w:t>
      </w:r>
      <w:r w:rsidR="00E269AD" w:rsidRPr="00C85F0F">
        <w:rPr>
          <w:rStyle w:val="af1"/>
          <w:szCs w:val="32"/>
          <w:rtl/>
        </w:rPr>
        <w:footnoteReference w:id="1875"/>
      </w:r>
      <w:r w:rsidR="00E269AD" w:rsidRPr="00C85F0F">
        <w:rPr>
          <w:rStyle w:val="af1"/>
          <w:szCs w:val="32"/>
          <w:rtl/>
        </w:rPr>
        <w:t>)</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 xml:space="preserve"> وذم</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 xml:space="preserve"> الأحبار والرهبان الذين يأكلون أموال الناس بالباطل</w:t>
      </w:r>
      <w:r w:rsidR="00E269AD" w:rsidRPr="00C85F0F">
        <w:rPr>
          <w:rStyle w:val="af1"/>
          <w:szCs w:val="32"/>
          <w:rtl/>
        </w:rPr>
        <w:t>(</w:t>
      </w:r>
      <w:r w:rsidR="00E269AD" w:rsidRPr="00C85F0F">
        <w:rPr>
          <w:rStyle w:val="af1"/>
          <w:szCs w:val="32"/>
          <w:rtl/>
        </w:rPr>
        <w:footnoteReference w:id="1876"/>
      </w:r>
      <w:r w:rsidR="00E269AD" w:rsidRPr="00C85F0F">
        <w:rPr>
          <w:rStyle w:val="af1"/>
          <w:szCs w:val="32"/>
          <w:rtl/>
        </w:rPr>
        <w:t>)</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 xml:space="preserve"> وذم</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 xml:space="preserve"> اليهود على أ</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خ</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 xml:space="preserve">ذهم الربا وقد نهوا عنه وأكلهم أموال </w:t>
      </w:r>
      <w:r w:rsidR="00E269AD" w:rsidRPr="00C85F0F">
        <w:rPr>
          <w:rFonts w:ascii="Traditional Arabic" w:hAnsi="Traditional Arabic"/>
          <w:noProof w:val="0"/>
          <w:color w:val="auto"/>
          <w:rtl/>
          <w:lang w:eastAsia="en-US"/>
        </w:rPr>
        <w:lastRenderedPageBreak/>
        <w:t>الناس بالباطل</w:t>
      </w:r>
      <w:r w:rsidR="00E269AD" w:rsidRPr="00C85F0F">
        <w:rPr>
          <w:rStyle w:val="af1"/>
          <w:szCs w:val="32"/>
          <w:rtl/>
        </w:rPr>
        <w:t>(</w:t>
      </w:r>
      <w:r w:rsidR="00E269AD" w:rsidRPr="00C85F0F">
        <w:rPr>
          <w:rStyle w:val="af1"/>
          <w:szCs w:val="32"/>
          <w:rtl/>
        </w:rPr>
        <w:footnoteReference w:id="1877"/>
      </w:r>
      <w:r w:rsidR="00E269AD" w:rsidRPr="00C85F0F">
        <w:rPr>
          <w:rStyle w:val="af1"/>
          <w:szCs w:val="32"/>
          <w:rtl/>
        </w:rPr>
        <w:t>)</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 xml:space="preserve"> وهذا يع</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م</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 xml:space="preserve"> كل ما يؤك</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ل بالباطل في المعاو</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ضات والتبر</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عات</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 xml:space="preserve"> وما يؤخذ بغير رضا المستح</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ق والاستحقاق</w:t>
      </w:r>
      <w:r w:rsidR="00E269AD" w:rsidRPr="00C85F0F">
        <w:rPr>
          <w:rFonts w:ascii="Traditional Arabic" w:hAnsi="Traditional Arabic" w:hint="cs"/>
          <w:noProof w:val="0"/>
          <w:color w:val="auto"/>
          <w:rtl/>
          <w:lang w:eastAsia="en-US"/>
        </w:rPr>
        <w:t>.</w:t>
      </w:r>
    </w:p>
    <w:p w:rsidR="00065E4B" w:rsidRPr="00C85F0F" w:rsidRDefault="00065E4B" w:rsidP="0033591E">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color w:val="auto"/>
          <w:rtl/>
          <w:lang w:eastAsia="en-US"/>
        </w:rPr>
        <w:t>و</w:t>
      </w:r>
      <w:r w:rsidR="00E269AD" w:rsidRPr="00C85F0F">
        <w:rPr>
          <w:rFonts w:ascii="Traditional Arabic" w:hAnsi="Traditional Arabic"/>
          <w:noProof w:val="0"/>
          <w:color w:val="auto"/>
          <w:rtl/>
          <w:lang w:eastAsia="en-US"/>
        </w:rPr>
        <w:t>أكل المال بالباطل في المعاوضة نوعان ذ</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كرهما الله في كتابه</w:t>
      </w:r>
      <w:r w:rsidR="00E269AD" w:rsidRPr="00C85F0F">
        <w:rPr>
          <w:rFonts w:ascii="Traditional Arabic" w:hAnsi="Traditional Arabic" w:hint="cs"/>
          <w:noProof w:val="0"/>
          <w:color w:val="auto"/>
          <w:rtl/>
          <w:lang w:eastAsia="en-US"/>
        </w:rPr>
        <w:t>،</w:t>
      </w:r>
      <w:r w:rsidR="00E269AD" w:rsidRPr="00C85F0F">
        <w:rPr>
          <w:rFonts w:ascii="Traditional Arabic" w:hAnsi="Traditional Arabic"/>
          <w:noProof w:val="0"/>
          <w:color w:val="auto"/>
          <w:rtl/>
          <w:lang w:eastAsia="en-US"/>
        </w:rPr>
        <w:t xml:space="preserve"> هما الربا</w:t>
      </w:r>
      <w:r w:rsidR="0033591E">
        <w:rPr>
          <w:rFonts w:ascii="Traditional Arabic" w:hAnsi="Traditional Arabic" w:hint="cs"/>
          <w:noProof w:val="0"/>
          <w:color w:val="auto"/>
          <w:rtl/>
          <w:lang w:eastAsia="en-US"/>
        </w:rPr>
        <w:t xml:space="preserve"> </w:t>
      </w:r>
      <w:r w:rsidR="00E269AD" w:rsidRPr="00C85F0F">
        <w:rPr>
          <w:rFonts w:ascii="Traditional Arabic" w:hAnsi="Traditional Arabic"/>
          <w:noProof w:val="0"/>
          <w:rtl/>
          <w:lang w:eastAsia="en-US"/>
        </w:rPr>
        <w:t>والميسر</w:t>
      </w:r>
      <w:r w:rsidR="00E269AD" w:rsidRPr="00C85F0F">
        <w:rPr>
          <w:rFonts w:ascii="Traditional Arabic" w:hAnsi="Traditional Arabic" w:hint="cs"/>
          <w:noProof w:val="0"/>
          <w:rtl/>
          <w:lang w:eastAsia="en-US"/>
        </w:rPr>
        <w:t>.</w:t>
      </w:r>
      <w:r w:rsidR="00E269AD" w:rsidRPr="00C85F0F">
        <w:rPr>
          <w:rFonts w:ascii="Traditional Arabic" w:hAnsi="Traditional Arabic"/>
          <w:noProof w:val="0"/>
          <w:rtl/>
          <w:lang w:eastAsia="en-US"/>
        </w:rPr>
        <w:t xml:space="preserve"> فذ</w:t>
      </w:r>
      <w:r w:rsidR="00E269AD" w:rsidRPr="00C85F0F">
        <w:rPr>
          <w:rFonts w:ascii="Traditional Arabic" w:hAnsi="Traditional Arabic" w:hint="cs"/>
          <w:noProof w:val="0"/>
          <w:rtl/>
          <w:lang w:eastAsia="en-US"/>
        </w:rPr>
        <w:t>َ</w:t>
      </w:r>
      <w:r w:rsidR="00E269AD" w:rsidRPr="00C85F0F">
        <w:rPr>
          <w:rFonts w:ascii="Traditional Arabic" w:hAnsi="Traditional Arabic"/>
          <w:noProof w:val="0"/>
          <w:rtl/>
          <w:lang w:eastAsia="en-US"/>
        </w:rPr>
        <w:t>كر تحريم الربا الذي هو ضد</w:t>
      </w:r>
      <w:r w:rsidR="00E269AD" w:rsidRPr="00C85F0F">
        <w:rPr>
          <w:rFonts w:ascii="Traditional Arabic" w:hAnsi="Traditional Arabic" w:hint="cs"/>
          <w:noProof w:val="0"/>
          <w:rtl/>
          <w:lang w:eastAsia="en-US"/>
        </w:rPr>
        <w:t>ُّ</w:t>
      </w:r>
      <w:r w:rsidR="00E269AD" w:rsidRPr="00C85F0F">
        <w:rPr>
          <w:rFonts w:ascii="Traditional Arabic" w:hAnsi="Traditional Arabic"/>
          <w:noProof w:val="0"/>
          <w:rtl/>
          <w:lang w:eastAsia="en-US"/>
        </w:rPr>
        <w:t xml:space="preserve"> الصدقة في آخر سورة البقرة</w:t>
      </w:r>
      <w:r w:rsidR="00E269AD" w:rsidRPr="00C85F0F">
        <w:rPr>
          <w:rStyle w:val="af1"/>
          <w:rFonts w:hint="cs"/>
          <w:vertAlign w:val="baseline"/>
          <w:rtl/>
        </w:rPr>
        <w:t xml:space="preserve">، </w:t>
      </w:r>
      <w:r w:rsidR="00E269AD" w:rsidRPr="00C85F0F">
        <w:rPr>
          <w:rFonts w:ascii="Traditional Arabic" w:hAnsi="Traditional Arabic"/>
          <w:noProof w:val="0"/>
          <w:rtl/>
          <w:lang w:eastAsia="en-US"/>
        </w:rPr>
        <w:t>وسور آل عمران</w:t>
      </w:r>
      <w:r w:rsidR="00E269AD" w:rsidRPr="00C85F0F">
        <w:rPr>
          <w:rStyle w:val="af1"/>
          <w:rFonts w:hint="cs"/>
          <w:vertAlign w:val="baseline"/>
          <w:rtl/>
        </w:rPr>
        <w:t xml:space="preserve">، </w:t>
      </w:r>
      <w:r w:rsidR="00E269AD" w:rsidRPr="00C85F0F">
        <w:rPr>
          <w:rFonts w:ascii="Traditional Arabic" w:hAnsi="Traditional Arabic"/>
          <w:noProof w:val="0"/>
          <w:rtl/>
          <w:lang w:eastAsia="en-US"/>
        </w:rPr>
        <w:t>والروم</w:t>
      </w:r>
      <w:r w:rsidR="00E269AD" w:rsidRPr="00C85F0F">
        <w:rPr>
          <w:rStyle w:val="af1"/>
          <w:rFonts w:hint="cs"/>
          <w:vertAlign w:val="baseline"/>
          <w:rtl/>
        </w:rPr>
        <w:t xml:space="preserve">، </w:t>
      </w:r>
      <w:r w:rsidR="00E269AD" w:rsidRPr="00C85F0F">
        <w:rPr>
          <w:rFonts w:ascii="Traditional Arabic" w:hAnsi="Traditional Arabic"/>
          <w:noProof w:val="0"/>
          <w:rtl/>
          <w:lang w:eastAsia="en-US"/>
        </w:rPr>
        <w:t>والمدثر</w:t>
      </w:r>
      <w:r w:rsidR="00E269AD" w:rsidRPr="00C85F0F">
        <w:rPr>
          <w:rFonts w:ascii="Traditional Arabic" w:hAnsi="Traditional Arabic" w:hint="cs"/>
          <w:noProof w:val="0"/>
          <w:rtl/>
          <w:lang w:eastAsia="en-US"/>
        </w:rPr>
        <w:t>،</w:t>
      </w:r>
      <w:r w:rsidR="00E269AD" w:rsidRPr="00C85F0F">
        <w:rPr>
          <w:rFonts w:ascii="Traditional Arabic" w:hAnsi="Traditional Arabic"/>
          <w:noProof w:val="0"/>
          <w:rtl/>
          <w:lang w:eastAsia="en-US"/>
        </w:rPr>
        <w:t xml:space="preserve"> وذم</w:t>
      </w:r>
      <w:r w:rsidR="00E269AD" w:rsidRPr="00C85F0F">
        <w:rPr>
          <w:rFonts w:ascii="Traditional Arabic" w:hAnsi="Traditional Arabic" w:hint="cs"/>
          <w:noProof w:val="0"/>
          <w:rtl/>
          <w:lang w:eastAsia="en-US"/>
        </w:rPr>
        <w:t>َّ</w:t>
      </w:r>
      <w:r w:rsidR="00E269AD" w:rsidRPr="00C85F0F">
        <w:rPr>
          <w:rFonts w:ascii="Traditional Arabic" w:hAnsi="Traditional Arabic"/>
          <w:noProof w:val="0"/>
          <w:rtl/>
          <w:lang w:eastAsia="en-US"/>
        </w:rPr>
        <w:t xml:space="preserve"> اليهود عليه في سورة النساء</w:t>
      </w:r>
      <w:r w:rsidR="00E269AD" w:rsidRPr="00C85F0F">
        <w:rPr>
          <w:rFonts w:ascii="Traditional Arabic" w:hAnsi="Traditional Arabic" w:hint="cs"/>
          <w:noProof w:val="0"/>
          <w:rtl/>
          <w:lang w:eastAsia="en-US"/>
        </w:rPr>
        <w:t>،</w:t>
      </w:r>
      <w:r w:rsidR="00E269AD" w:rsidRPr="00C85F0F">
        <w:rPr>
          <w:rFonts w:ascii="Traditional Arabic" w:hAnsi="Traditional Arabic"/>
          <w:noProof w:val="0"/>
          <w:rtl/>
          <w:lang w:eastAsia="en-US"/>
        </w:rPr>
        <w:t xml:space="preserve"> وذكر تحريم الميسر في المائدة</w:t>
      </w:r>
      <w:r w:rsidR="00E269AD" w:rsidRPr="00C85F0F">
        <w:rPr>
          <w:rFonts w:ascii="Traditional Arabic" w:hAnsi="Traditional Arabic" w:hint="cs"/>
          <w:noProof w:val="0"/>
          <w:rtl/>
          <w:lang w:eastAsia="en-US"/>
        </w:rPr>
        <w:t>.</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ث</w:t>
      </w:r>
      <w:r w:rsidR="00E269AD" w:rsidRPr="00C85F0F">
        <w:rPr>
          <w:rFonts w:ascii="Traditional Arabic" w:hAnsi="Traditional Arabic"/>
          <w:noProof w:val="0"/>
          <w:rtl/>
          <w:lang w:eastAsia="en-US"/>
        </w:rPr>
        <w:t xml:space="preserve">م إن رسول الله </w:t>
      </w:r>
      <w:r w:rsidR="00F350DE" w:rsidRPr="00C85F0F">
        <w:rPr>
          <w:rFonts w:ascii="Traditional Arabic" w:hAnsi="Traditional Arabic"/>
          <w:noProof w:val="0"/>
          <w:color w:val="auto"/>
          <w:rtl/>
          <w:lang w:eastAsia="en-US"/>
        </w:rPr>
        <w:sym w:font="AGA Arabesque" w:char="F072"/>
      </w:r>
      <w:r w:rsidR="00E269AD" w:rsidRPr="00C85F0F">
        <w:rPr>
          <w:rFonts w:ascii="Traditional Arabic" w:hAnsi="Traditional Arabic"/>
          <w:noProof w:val="0"/>
          <w:rtl/>
          <w:lang w:eastAsia="en-US"/>
        </w:rPr>
        <w:t xml:space="preserve"> فص</w:t>
      </w:r>
      <w:r w:rsidR="00E269AD" w:rsidRPr="00C85F0F">
        <w:rPr>
          <w:rFonts w:ascii="Traditional Arabic" w:hAnsi="Traditional Arabic" w:hint="cs"/>
          <w:noProof w:val="0"/>
          <w:rtl/>
          <w:lang w:eastAsia="en-US"/>
        </w:rPr>
        <w:t>َّ</w:t>
      </w:r>
      <w:r w:rsidR="00E269AD" w:rsidRPr="00C85F0F">
        <w:rPr>
          <w:rFonts w:ascii="Traditional Arabic" w:hAnsi="Traditional Arabic"/>
          <w:noProof w:val="0"/>
          <w:rtl/>
          <w:lang w:eastAsia="en-US"/>
        </w:rPr>
        <w:t>ل ما جمعه الله في كتابه</w:t>
      </w:r>
      <w:r w:rsidR="00E269AD" w:rsidRPr="00C85F0F">
        <w:rPr>
          <w:rFonts w:ascii="Traditional Arabic" w:hAnsi="Traditional Arabic" w:hint="cs"/>
          <w:noProof w:val="0"/>
          <w:rtl/>
          <w:lang w:eastAsia="en-US"/>
        </w:rPr>
        <w:t>،</w:t>
      </w:r>
      <w:r w:rsidR="00E269AD" w:rsidRPr="00C85F0F">
        <w:rPr>
          <w:rFonts w:ascii="Traditional Arabic" w:hAnsi="Traditional Arabic"/>
          <w:noProof w:val="0"/>
          <w:rtl/>
          <w:lang w:eastAsia="en-US"/>
        </w:rPr>
        <w:t xml:space="preserve"> فنهى </w:t>
      </w:r>
      <w:r w:rsidR="00F350DE" w:rsidRPr="00C85F0F">
        <w:rPr>
          <w:rFonts w:ascii="Traditional Arabic" w:hAnsi="Traditional Arabic"/>
          <w:noProof w:val="0"/>
          <w:color w:val="auto"/>
          <w:rtl/>
          <w:lang w:eastAsia="en-US"/>
        </w:rPr>
        <w:sym w:font="AGA Arabesque" w:char="F072"/>
      </w:r>
      <w:r w:rsidR="00E269AD" w:rsidRPr="00C85F0F">
        <w:rPr>
          <w:rFonts w:ascii="Traditional Arabic" w:hAnsi="Traditional Arabic"/>
          <w:noProof w:val="0"/>
          <w:rtl/>
          <w:lang w:eastAsia="en-US"/>
        </w:rPr>
        <w:t xml:space="preserve"> عن بيع الغرر</w:t>
      </w:r>
      <w:r w:rsidR="0033591E">
        <w:rPr>
          <w:rFonts w:ascii="Traditional Arabic" w:hAnsi="Traditional Arabic" w:hint="cs"/>
          <w:noProof w:val="0"/>
          <w:rtl/>
          <w:lang w:eastAsia="en-US"/>
        </w:rPr>
        <w:t>،</w:t>
      </w:r>
      <w:r w:rsidR="00AB0B9E" w:rsidRPr="00C85F0F">
        <w:rPr>
          <w:rFonts w:ascii="Traditional Arabic" w:hAnsi="Traditional Arabic"/>
          <w:noProof w:val="0"/>
          <w:lang w:eastAsia="en-US"/>
        </w:rPr>
        <w:fldChar w:fldCharType="begin"/>
      </w:r>
      <w:r w:rsidR="00311F3B" w:rsidRPr="00C85F0F">
        <w:rPr>
          <w:rFonts w:ascii="Traditional Arabic" w:hAnsi="Traditional Arabic"/>
          <w:noProof w:val="0"/>
          <w:lang w:eastAsia="en-US"/>
        </w:rPr>
        <w:instrText>XE</w:instrText>
      </w:r>
      <w:r w:rsidR="00311F3B" w:rsidRPr="00C85F0F">
        <w:rPr>
          <w:rFonts w:ascii="Traditional Arabic" w:hAnsi="Traditional Arabic"/>
          <w:noProof w:val="0"/>
          <w:rtl/>
          <w:lang w:eastAsia="en-US"/>
        </w:rPr>
        <w:instrText xml:space="preserve"> "</w:instrText>
      </w:r>
      <w:r w:rsidR="00311F3B" w:rsidRPr="00C85F0F">
        <w:rPr>
          <w:rFonts w:ascii="Traditional Arabic" w:hAnsi="Traditional Arabic" w:hint="cs"/>
          <w:noProof w:val="0"/>
          <w:rtl/>
          <w:lang w:eastAsia="en-US"/>
        </w:rPr>
        <w:instrText xml:space="preserve">نهى </w:instrText>
      </w:r>
      <w:r w:rsidR="00311F3B" w:rsidRPr="00C85F0F">
        <w:rPr>
          <w:rFonts w:ascii="Traditional Arabic" w:hAnsi="Traditional Arabic"/>
          <w:noProof w:val="0"/>
          <w:rtl/>
          <w:lang w:eastAsia="en-US"/>
        </w:rPr>
        <w:instrText xml:space="preserve">رسول الله </w:instrText>
      </w:r>
      <w:r w:rsidR="00311F3B" w:rsidRPr="00C85F0F">
        <w:rPr>
          <w:rFonts w:ascii="Traditional Arabic" w:hAnsi="Traditional Arabic"/>
          <w:noProof w:val="0"/>
          <w:rtl/>
          <w:lang w:eastAsia="en-US"/>
        </w:rPr>
        <w:sym w:font="AGA Arabesque" w:char="F072"/>
      </w:r>
      <w:r w:rsidR="00311F3B" w:rsidRPr="00C85F0F">
        <w:rPr>
          <w:rFonts w:ascii="Traditional Arabic" w:hAnsi="Traditional Arabic"/>
          <w:noProof w:val="0"/>
          <w:rtl/>
          <w:lang w:eastAsia="en-US"/>
        </w:rPr>
        <w:instrText xml:space="preserve"> عن بيع الح</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صاة وعن بيع الغرر" \</w:instrText>
      </w:r>
      <w:r w:rsidR="00311F3B" w:rsidRPr="00C85F0F">
        <w:rPr>
          <w:rFonts w:ascii="Traditional Arabic" w:hAnsi="Traditional Arabic"/>
          <w:noProof w:val="0"/>
          <w:lang w:eastAsia="en-US"/>
        </w:rPr>
        <w:instrText>fh</w:instrText>
      </w:r>
      <w:r w:rsidR="00AB0B9E" w:rsidRPr="00C85F0F">
        <w:rPr>
          <w:rFonts w:ascii="Traditional Arabic" w:hAnsi="Traditional Arabic"/>
          <w:noProof w:val="0"/>
          <w:lang w:eastAsia="en-US"/>
        </w:rPr>
        <w:fldChar w:fldCharType="end"/>
      </w:r>
      <w:r w:rsidR="00E269AD" w:rsidRPr="000F72B2">
        <w:rPr>
          <w:rFonts w:ascii="Traditional Arabic" w:hAnsi="Traditional Arabic"/>
          <w:noProof w:val="0"/>
          <w:rtl/>
          <w:lang w:eastAsia="en-US"/>
        </w:rPr>
        <w:t xml:space="preserve"> كما رواه مسلم وغير</w:t>
      </w:r>
      <w:r w:rsidR="0033591E">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ه عن أبي هريرة </w:t>
      </w:r>
      <w:r w:rsidR="0033591E">
        <w:rPr>
          <w:rFonts w:ascii="Traditional Arabic" w:hAnsi="Traditional Arabic" w:hint="cs"/>
          <w:noProof w:val="0"/>
          <w:rtl/>
          <w:lang w:eastAsia="en-US"/>
        </w:rPr>
        <w:t>_</w:t>
      </w:r>
      <w:r w:rsidR="009A0575">
        <w:rPr>
          <w:rFonts w:ascii="Traditional Arabic" w:hAnsi="Traditional Arabic" w:cs="CTraditional Arabic" w:hint="cs"/>
          <w:rtl/>
        </w:rPr>
        <w:t>ا</w:t>
      </w:r>
      <w:r w:rsidR="0033591E">
        <w:rPr>
          <w:rStyle w:val="af1"/>
          <w:rFonts w:hint="cs"/>
          <w:szCs w:val="32"/>
          <w:vertAlign w:val="baseline"/>
          <w:rtl/>
        </w:rPr>
        <w:t>_</w:t>
      </w:r>
      <w:r w:rsidR="00E269AD" w:rsidRPr="00C821A1">
        <w:rPr>
          <w:rStyle w:val="af1"/>
          <w:szCs w:val="32"/>
          <w:rtl/>
        </w:rPr>
        <w:t>(</w:t>
      </w:r>
      <w:r w:rsidR="00E269AD" w:rsidRPr="00C821A1">
        <w:rPr>
          <w:rStyle w:val="af1"/>
          <w:szCs w:val="32"/>
          <w:rtl/>
        </w:rPr>
        <w:footnoteReference w:id="1878"/>
      </w:r>
      <w:r w:rsidR="00E269AD" w:rsidRPr="00C821A1">
        <w:rPr>
          <w:rStyle w:val="af1"/>
          <w:szCs w:val="32"/>
          <w:rtl/>
        </w:rPr>
        <w:t>)</w:t>
      </w:r>
      <w:r w:rsidR="00E269AD">
        <w:rPr>
          <w:rFonts w:ascii="Traditional Arabic" w:hAnsi="Traditional Arabic" w:hint="cs"/>
          <w:noProof w:val="0"/>
          <w:rtl/>
          <w:lang w:eastAsia="en-US"/>
        </w:rPr>
        <w:t>.</w:t>
      </w:r>
    </w:p>
    <w:p w:rsidR="00065E4B" w:rsidRDefault="00065E4B" w:rsidP="0033591E">
      <w:pPr>
        <w:widowControl/>
        <w:autoSpaceDE w:val="0"/>
        <w:autoSpaceDN w:val="0"/>
        <w:adjustRightInd w:val="0"/>
        <w:ind w:firstLine="720"/>
        <w:rPr>
          <w:rFonts w:ascii="Traditional Arabic" w:hAnsi="Traditional Arabic"/>
          <w:noProof w:val="0"/>
          <w:rtl/>
          <w:lang w:eastAsia="en-US"/>
        </w:rPr>
      </w:pPr>
      <w:r w:rsidRPr="000F72B2">
        <w:rPr>
          <w:rFonts w:ascii="Traditional Arabic" w:hAnsi="Traditional Arabic"/>
          <w:noProof w:val="0"/>
          <w:rtl/>
          <w:lang w:eastAsia="en-US"/>
        </w:rPr>
        <w:t>و</w:t>
      </w:r>
      <w:r w:rsidR="00E269AD" w:rsidRPr="000F72B2">
        <w:rPr>
          <w:rFonts w:ascii="Traditional Arabic" w:hAnsi="Traditional Arabic"/>
          <w:noProof w:val="0"/>
          <w:rtl/>
          <w:lang w:eastAsia="en-US"/>
        </w:rPr>
        <w:t>الغرر هو المجهول العاقبة</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فإن</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ب</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يعه من الميسر الذي هو الق</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مار</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وذلك أن العبد إذا أ</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ب</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ق</w:t>
      </w:r>
      <w:r w:rsidR="00E269AD">
        <w:rPr>
          <w:rFonts w:ascii="Traditional Arabic" w:hAnsi="Traditional Arabic" w:hint="cs"/>
          <w:noProof w:val="0"/>
          <w:rtl/>
          <w:lang w:eastAsia="en-US"/>
        </w:rPr>
        <w:t>َ</w:t>
      </w:r>
      <w:r w:rsidR="00801F81">
        <w:rPr>
          <w:rFonts w:ascii="Traditional Arabic" w:hAnsi="Traditional Arabic" w:hint="cs"/>
          <w:noProof w:val="0"/>
          <w:rtl/>
          <w:lang w:eastAsia="en-US"/>
        </w:rPr>
        <w:t xml:space="preserve">، </w:t>
      </w:r>
      <w:r w:rsidR="00E269AD" w:rsidRPr="000F72B2">
        <w:rPr>
          <w:rFonts w:ascii="Traditional Arabic" w:hAnsi="Traditional Arabic"/>
          <w:noProof w:val="0"/>
          <w:rtl/>
          <w:lang w:eastAsia="en-US"/>
        </w:rPr>
        <w:t>أو الف</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ر</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س أو البعير إذا ش</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ر</w:t>
      </w:r>
      <w:r w:rsidR="00E269AD">
        <w:rPr>
          <w:rFonts w:ascii="Traditional Arabic" w:hAnsi="Traditional Arabic" w:hint="cs"/>
          <w:noProof w:val="0"/>
          <w:rtl/>
          <w:lang w:eastAsia="en-US"/>
        </w:rPr>
        <w:t>َ</w:t>
      </w:r>
      <w:r w:rsidR="0033591E">
        <w:rPr>
          <w:rFonts w:ascii="Traditional Arabic" w:hAnsi="Traditional Arabic" w:hint="cs"/>
          <w:noProof w:val="0"/>
          <w:rtl/>
          <w:lang w:eastAsia="en-US"/>
        </w:rPr>
        <w:t>د</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فإن صاحبه إذا باعه فإنما يبيعه م</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خاطرة</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فيشتريه المشتري بدون ثمنه بكثير</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فإن حصل له قال البائع</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ق</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م</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ر</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ت</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ني وأخذت</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مالي بثمن قليل</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وإن لم يحصل قال المشتري</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قمرتني وأخذت الثمن مني بلا عوض</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في</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فضي إلى مفسدة الميسر التي هي إيقاع العداوة والبغضاء</w:t>
      </w:r>
      <w:r w:rsidR="0033591E">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مع ما فيه من أكل المال بالباطل الذي هو نوع</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من الظلم</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ففي بيع الغرر ظلم</w:t>
      </w:r>
      <w:r w:rsidR="00E269AD">
        <w:rPr>
          <w:rFonts w:ascii="Traditional Arabic" w:hAnsi="Traditional Arabic" w:hint="cs"/>
          <w:noProof w:val="0"/>
          <w:rtl/>
          <w:lang w:eastAsia="en-US"/>
        </w:rPr>
        <w:t>ٌ</w:t>
      </w:r>
      <w:r w:rsidR="00E269AD" w:rsidRPr="000F72B2">
        <w:rPr>
          <w:rFonts w:ascii="Traditional Arabic" w:hAnsi="Traditional Arabic"/>
          <w:noProof w:val="0"/>
          <w:rtl/>
          <w:lang w:eastAsia="en-US"/>
        </w:rPr>
        <w:t xml:space="preserve"> وعداوة وبغضاء</w:t>
      </w:r>
      <w:r w:rsidR="00E269AD">
        <w:rPr>
          <w:rFonts w:ascii="Traditional Arabic" w:hAnsi="Traditional Arabic" w:hint="cs"/>
          <w:noProof w:val="0"/>
          <w:color w:val="auto"/>
          <w:rtl/>
          <w:lang w:eastAsia="en-US"/>
        </w:rPr>
        <w:t>...</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sidRPr="004942AC">
        <w:rPr>
          <w:rFonts w:ascii="Traditional Arabic" w:hAnsi="Traditional Arabic"/>
          <w:noProof w:val="0"/>
          <w:rtl/>
          <w:lang w:eastAsia="en-US"/>
        </w:rPr>
        <w:t>و</w:t>
      </w:r>
      <w:r w:rsidR="00E269AD" w:rsidRPr="004942AC">
        <w:rPr>
          <w:rFonts w:ascii="Traditional Arabic" w:hAnsi="Traditional Arabic"/>
          <w:noProof w:val="0"/>
          <w:rtl/>
          <w:lang w:eastAsia="en-US"/>
        </w:rPr>
        <w:t>أما الربا فتحريمه في القرآن أشد</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ولهذا قال تعالى: </w:t>
      </w:r>
      <w:bookmarkStart w:id="395" w:name="سورة_البقرة_278إلى279"/>
      <w:r w:rsidR="00E269AD" w:rsidRPr="00001FD0">
        <w:rPr>
          <w:rFonts w:ascii="QCF_BSML" w:hAnsi="QCF_BSML" w:cs="QCF_BSML"/>
          <w:noProof w:val="0"/>
          <w:rtl/>
          <w:lang w:eastAsia="en-US"/>
        </w:rPr>
        <w:t>ﭽ</w:t>
      </w:r>
      <w:r w:rsidR="00E269AD" w:rsidRPr="00001FD0">
        <w:rPr>
          <w:rFonts w:ascii="QCF_P047" w:hAnsi="QCF_P047" w:cs="QCF_P047"/>
          <w:noProof w:val="0"/>
          <w:rtl/>
          <w:lang w:eastAsia="en-US"/>
        </w:rPr>
        <w:t>ﮥ</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ﮦ</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ﮧ</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ﮨ</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ﮩ</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ﮪ</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ﮫ</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ﮬ</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ﮭ</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ﮮ</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ﮯ</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ﮰ</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ﮱ</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ﯓ</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ﯔ</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ﯕ</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ﯖ</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ﯗ</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ﯘ</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ﯙ</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ﯚ</w:t>
      </w:r>
      <w:r w:rsidR="0033591E">
        <w:rPr>
          <w:rFonts w:ascii="QCF_P047" w:hAnsi="QCF_P047" w:cs="QCF_P047" w:hint="cs"/>
          <w:noProof w:val="0"/>
          <w:rtl/>
          <w:lang w:eastAsia="en-US"/>
        </w:rPr>
        <w:t xml:space="preserve"> </w:t>
      </w:r>
      <w:r w:rsidR="00E269AD" w:rsidRPr="00001FD0">
        <w:rPr>
          <w:rFonts w:ascii="QCF_P047" w:hAnsi="QCF_P047" w:cs="QCF_P047"/>
          <w:noProof w:val="0"/>
          <w:rtl/>
          <w:lang w:eastAsia="en-US"/>
        </w:rPr>
        <w:t>ﯛ</w:t>
      </w:r>
      <w:r w:rsidR="00E269AD" w:rsidRPr="00001FD0">
        <w:rPr>
          <w:rFonts w:ascii="QCF_BSML" w:hAnsi="QCF_BSML" w:cs="QCF_BSML"/>
          <w:noProof w:val="0"/>
          <w:rtl/>
          <w:lang w:eastAsia="en-US"/>
        </w:rPr>
        <w:t xml:space="preserve">ﭼ </w:t>
      </w:r>
      <w:bookmarkEnd w:id="395"/>
      <w:r w:rsidR="00E269AD">
        <w:rPr>
          <w:rFonts w:ascii="Traditional Arabic" w:hAnsi="Traditional Arabic" w:hint="cs"/>
          <w:noProof w:val="0"/>
          <w:color w:val="auto"/>
          <w:rtl/>
          <w:lang w:eastAsia="en-US"/>
        </w:rPr>
        <w:t>[</w:t>
      </w:r>
      <w:r w:rsidR="00E269AD" w:rsidRPr="00001FD0">
        <w:rPr>
          <w:rFonts w:ascii="Traditional Arabic" w:hAnsi="Traditional Arabic"/>
          <w:noProof w:val="0"/>
          <w:color w:val="auto"/>
          <w:rtl/>
          <w:lang w:eastAsia="en-US"/>
        </w:rPr>
        <w:t xml:space="preserve">البقرة: ٢٧٨ </w:t>
      </w:r>
      <w:r w:rsidR="00E269AD">
        <w:rPr>
          <w:rFonts w:ascii="Traditional Arabic" w:hAnsi="Traditional Arabic"/>
          <w:noProof w:val="0"/>
          <w:color w:val="auto"/>
          <w:rtl/>
          <w:lang w:eastAsia="en-US"/>
        </w:rPr>
        <w:t>–</w:t>
      </w:r>
      <w:r w:rsidR="00E269AD" w:rsidRPr="00001FD0">
        <w:rPr>
          <w:rFonts w:ascii="Traditional Arabic" w:hAnsi="Traditional Arabic"/>
          <w:noProof w:val="0"/>
          <w:color w:val="auto"/>
          <w:rtl/>
          <w:lang w:eastAsia="en-US"/>
        </w:rPr>
        <w:t xml:space="preserve"> ٢٧٩</w:t>
      </w:r>
      <w:r w:rsidR="00E269AD">
        <w:rPr>
          <w:rFonts w:ascii="Traditional Arabic" w:hAnsi="Traditional Arabic" w:hint="cs"/>
          <w:noProof w:val="0"/>
          <w:color w:val="auto"/>
          <w:rtl/>
          <w:lang w:eastAsia="en-US"/>
        </w:rPr>
        <w:t>]</w:t>
      </w:r>
      <w:r w:rsidR="00E269AD">
        <w:rPr>
          <w:rFonts w:ascii="Traditional Arabic" w:hAnsi="Traditional Arabic" w:hint="cs"/>
          <w:noProof w:val="0"/>
          <w:rtl/>
          <w:lang w:eastAsia="en-US"/>
        </w:rPr>
        <w:t xml:space="preserve">، </w:t>
      </w:r>
      <w:r w:rsidR="00E269AD" w:rsidRPr="004942AC">
        <w:rPr>
          <w:rFonts w:ascii="Traditional Arabic" w:hAnsi="Traditional Arabic"/>
          <w:noProof w:val="0"/>
          <w:rtl/>
          <w:lang w:eastAsia="en-US"/>
        </w:rPr>
        <w:t xml:space="preserve">وذكره النبي </w:t>
      </w:r>
      <w:r w:rsidR="00F350DE">
        <w:rPr>
          <w:rFonts w:ascii="Traditional Arabic" w:hAnsi="Traditional Arabic"/>
          <w:noProof w:val="0"/>
          <w:color w:val="auto"/>
          <w:rtl/>
          <w:lang w:eastAsia="en-US"/>
        </w:rPr>
        <w:sym w:font="AGA Arabesque" w:char="F072"/>
      </w:r>
      <w:r w:rsidR="00E269AD" w:rsidRPr="004942AC">
        <w:rPr>
          <w:rFonts w:ascii="Traditional Arabic" w:hAnsi="Traditional Arabic"/>
          <w:noProof w:val="0"/>
          <w:rtl/>
          <w:lang w:eastAsia="en-US"/>
        </w:rPr>
        <w:t xml:space="preserve"> في الكبائر</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كما خر</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جاه في الصحيحين عن أبي هريرة</w:t>
      </w:r>
      <w:r w:rsidR="0033591E">
        <w:rPr>
          <w:rFonts w:ascii="Traditional Arabic" w:hAnsi="Traditional Arabic" w:hint="cs"/>
          <w:noProof w:val="0"/>
          <w:rtl/>
          <w:lang w:eastAsia="en-US"/>
        </w:rPr>
        <w:t>_</w:t>
      </w:r>
      <w:r w:rsidR="00E269AD" w:rsidRPr="004942AC">
        <w:rPr>
          <w:rFonts w:ascii="Traditional Arabic" w:hAnsi="Traditional Arabic"/>
          <w:noProof w:val="0"/>
          <w:rtl/>
          <w:lang w:eastAsia="en-US"/>
        </w:rPr>
        <w:t xml:space="preserve"> </w:t>
      </w:r>
      <w:r w:rsidR="009A0575">
        <w:rPr>
          <w:rFonts w:ascii="Traditional Arabic" w:hAnsi="Traditional Arabic" w:cs="CTraditional Arabic" w:hint="cs"/>
          <w:rtl/>
        </w:rPr>
        <w:t>ا</w:t>
      </w:r>
      <w:r w:rsidR="0033591E">
        <w:rPr>
          <w:rStyle w:val="af1"/>
          <w:rFonts w:hint="cs"/>
          <w:szCs w:val="32"/>
          <w:vertAlign w:val="baseline"/>
          <w:rtl/>
        </w:rPr>
        <w:t>_</w:t>
      </w:r>
      <w:r w:rsidR="00E269AD" w:rsidRPr="00C821A1">
        <w:rPr>
          <w:rStyle w:val="af1"/>
          <w:szCs w:val="32"/>
          <w:rtl/>
        </w:rPr>
        <w:t>(</w:t>
      </w:r>
      <w:r w:rsidR="00E269AD" w:rsidRPr="00C821A1">
        <w:rPr>
          <w:rStyle w:val="af1"/>
          <w:szCs w:val="32"/>
          <w:rtl/>
        </w:rPr>
        <w:footnoteReference w:id="1879"/>
      </w:r>
      <w:r w:rsidR="00E269AD" w:rsidRPr="00C821A1">
        <w:rPr>
          <w:rStyle w:val="af1"/>
          <w:szCs w:val="32"/>
          <w:rtl/>
        </w:rPr>
        <w:t>)</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وذكر الله أنه حر</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م على الذين هادوا طيبات</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أ</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حلت</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لهم بظلمهم وصد</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هم عن سبيل </w:t>
      </w:r>
      <w:r w:rsidR="00E269AD" w:rsidRPr="004942AC">
        <w:rPr>
          <w:rFonts w:ascii="Traditional Arabic" w:hAnsi="Traditional Arabic"/>
          <w:noProof w:val="0"/>
          <w:rtl/>
          <w:lang w:eastAsia="en-US"/>
        </w:rPr>
        <w:lastRenderedPageBreak/>
        <w:t>الله وأ</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خ</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ذهم الربا وأ</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ك</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لهم أموال</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الناس بالباطل</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وأخبر سبحانه أنه يمحق الربا كما ي</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ر</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بي الصدقات</w:t>
      </w:r>
      <w:r w:rsidR="00E269AD" w:rsidRPr="00C821A1">
        <w:rPr>
          <w:rStyle w:val="af1"/>
          <w:szCs w:val="32"/>
          <w:rtl/>
        </w:rPr>
        <w:t>(</w:t>
      </w:r>
      <w:r w:rsidR="00E269AD" w:rsidRPr="00C821A1">
        <w:rPr>
          <w:rStyle w:val="af1"/>
          <w:szCs w:val="32"/>
          <w:rtl/>
        </w:rPr>
        <w:footnoteReference w:id="1880"/>
      </w:r>
      <w:r w:rsidR="00E269AD" w:rsidRPr="00C821A1">
        <w:rPr>
          <w:rStyle w:val="af1"/>
          <w:szCs w:val="32"/>
          <w:rtl/>
        </w:rPr>
        <w:t>)</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وكلاهما أمر</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مجر</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ب</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عند الناس</w:t>
      </w:r>
      <w:r w:rsidR="00E269AD">
        <w:rPr>
          <w:rFonts w:ascii="Traditional Arabic" w:hAnsi="Traditional Arabic" w:hint="cs"/>
          <w:noProof w:val="0"/>
          <w:rtl/>
          <w:lang w:eastAsia="en-US"/>
        </w:rPr>
        <w:t xml:space="preserve">؛ </w:t>
      </w:r>
      <w:r w:rsidR="00E269AD">
        <w:rPr>
          <w:rFonts w:ascii="Traditional Arabic" w:hAnsi="Traditional Arabic"/>
          <w:noProof w:val="0"/>
          <w:rtl/>
          <w:lang w:eastAsia="en-US"/>
        </w:rPr>
        <w:t>و</w:t>
      </w:r>
      <w:r w:rsidR="00E269AD" w:rsidRPr="004942AC">
        <w:rPr>
          <w:rFonts w:ascii="Traditional Arabic" w:hAnsi="Traditional Arabic"/>
          <w:noProof w:val="0"/>
          <w:rtl/>
          <w:lang w:eastAsia="en-US"/>
        </w:rPr>
        <w:t>ذلك أن الربا أصل</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ه إنما يتعامل به المحتاج</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وإلا فالموس</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ر لا يأخذ ألفا</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حال</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ة</w:t>
      </w:r>
      <w:r w:rsidR="00E269AD">
        <w:rPr>
          <w:rFonts w:ascii="Traditional Arabic" w:hAnsi="Traditional Arabic" w:hint="cs"/>
          <w:noProof w:val="0"/>
          <w:rtl/>
          <w:lang w:eastAsia="en-US"/>
        </w:rPr>
        <w:t xml:space="preserve">ً </w:t>
      </w:r>
      <w:r w:rsidR="00E269AD" w:rsidRPr="004942AC">
        <w:rPr>
          <w:rFonts w:ascii="Traditional Arabic" w:hAnsi="Traditional Arabic"/>
          <w:noProof w:val="0"/>
          <w:rtl/>
          <w:lang w:eastAsia="en-US"/>
        </w:rPr>
        <w:t>بألف</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ومائتين مؤج</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لة إذا لم يكن له حاجة لتلك الألف</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وإنما يأخذ المال بمثله وزيادة</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إلى أجل م</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ن هو محتاج إليه</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فتقع تلك الزيادة ظلما</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للمحتاج</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بخلاف الميسر فإن المظلوم فيه غير معي</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ن ولا هو محتاج إلى العقد</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وقد تخلو بعض صو</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ره عن الظلم إذا و</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جد في المستقبل المبيع على الصفة التي ظن</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اها</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والربا فيه ظلم</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محق</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ق لمحتاج</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ولهذا كان ضد</w:t>
      </w:r>
      <w:r w:rsidR="00E269AD">
        <w:rPr>
          <w:rFonts w:ascii="Traditional Arabic" w:hAnsi="Traditional Arabic" w:hint="cs"/>
          <w:noProof w:val="0"/>
          <w:rtl/>
          <w:lang w:eastAsia="en-US"/>
        </w:rPr>
        <w:t>َّ</w:t>
      </w:r>
      <w:r w:rsidR="00E269AD" w:rsidRPr="004942AC">
        <w:rPr>
          <w:rFonts w:ascii="Traditional Arabic" w:hAnsi="Traditional Arabic"/>
          <w:noProof w:val="0"/>
          <w:rtl/>
          <w:lang w:eastAsia="en-US"/>
        </w:rPr>
        <w:t xml:space="preserve"> الصدقة</w:t>
      </w:r>
      <w:r w:rsidR="00E269AD">
        <w:rPr>
          <w:rFonts w:ascii="Traditional Arabic" w:hAnsi="Traditional Arabic" w:hint="cs"/>
          <w:noProof w:val="0"/>
          <w:rtl/>
          <w:lang w:eastAsia="en-US"/>
        </w:rPr>
        <w:t>....</w:t>
      </w:r>
    </w:p>
    <w:p w:rsidR="00E269AD" w:rsidRPr="00001FD0"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ف</w:t>
      </w:r>
      <w:r w:rsidR="00E269AD" w:rsidRPr="00001FD0">
        <w:rPr>
          <w:rFonts w:ascii="Traditional Arabic" w:hAnsi="Traditional Arabic"/>
          <w:noProof w:val="0"/>
          <w:rtl/>
          <w:lang w:eastAsia="en-US"/>
        </w:rPr>
        <w:t>الله سبحانه إنما حر</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م علينا المحر</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مات من الأعيان كالدم والميتة ولحم الخنزير</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 xml:space="preserve"> أو من التصر</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فات كالميسر والربا وما يدخل فيهما بنوع</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 xml:space="preserve"> من الغرر وغيره</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 xml:space="preserve"> ل</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ما في ذلك من المفاسد التي نب</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 xml:space="preserve">ه الله </w:t>
      </w:r>
      <w:r w:rsidR="00E269AD">
        <w:rPr>
          <w:rFonts w:ascii="Traditional Arabic" w:hAnsi="Traditional Arabic"/>
          <w:noProof w:val="0"/>
          <w:rtl/>
          <w:lang w:eastAsia="en-US"/>
        </w:rPr>
        <w:t xml:space="preserve">عليها ورسوله بقوله سبحانه </w:t>
      </w:r>
      <w:bookmarkStart w:id="397" w:name="سورة_المائدة_91_2"/>
      <w:r w:rsidR="00E269AD" w:rsidRPr="00745CF0">
        <w:rPr>
          <w:rFonts w:ascii="QCF_BSML" w:hAnsi="QCF_BSML" w:cs="QCF_BSML"/>
          <w:noProof w:val="0"/>
          <w:rtl/>
          <w:lang w:eastAsia="en-US"/>
        </w:rPr>
        <w:t>ﭽ</w:t>
      </w:r>
      <w:r w:rsidR="00E269AD" w:rsidRPr="00745CF0">
        <w:rPr>
          <w:rFonts w:ascii="QCF_P123" w:hAnsi="QCF_P123" w:cs="QCF_P123"/>
          <w:noProof w:val="0"/>
          <w:rtl/>
          <w:lang w:eastAsia="en-US"/>
        </w:rPr>
        <w:t>ﭡ</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ﭢ</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ﭣ</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ﭤ</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ﭥ</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ﭦ</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ﭧ</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ﭨ</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ﭩ</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ﭪﭫ</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ﭬ</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ﭭ</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ﭮ</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ﭯ</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ﭰ</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ﭱ</w:t>
      </w:r>
      <w:r w:rsidR="0033591E">
        <w:rPr>
          <w:rFonts w:ascii="QCF_P123" w:hAnsi="QCF_P123" w:cs="QCF_P123" w:hint="cs"/>
          <w:noProof w:val="0"/>
          <w:rtl/>
          <w:lang w:eastAsia="en-US"/>
        </w:rPr>
        <w:t xml:space="preserve"> </w:t>
      </w:r>
      <w:r w:rsidR="00E269AD" w:rsidRPr="00745CF0">
        <w:rPr>
          <w:rFonts w:ascii="QCF_P123" w:hAnsi="QCF_P123" w:cs="QCF_P123"/>
          <w:noProof w:val="0"/>
          <w:color w:val="0000A5"/>
          <w:rtl/>
          <w:lang w:eastAsia="en-US"/>
        </w:rPr>
        <w:t>ﭲ</w:t>
      </w:r>
      <w:r w:rsidR="0033591E">
        <w:rPr>
          <w:rFonts w:ascii="QCF_P123" w:hAnsi="QCF_P123" w:cs="QCF_P123" w:hint="cs"/>
          <w:noProof w:val="0"/>
          <w:color w:val="0000A5"/>
          <w:rtl/>
          <w:lang w:eastAsia="en-US"/>
        </w:rPr>
        <w:t xml:space="preserve"> </w:t>
      </w:r>
      <w:r w:rsidR="00E269AD" w:rsidRPr="00745CF0">
        <w:rPr>
          <w:rFonts w:ascii="QCF_P123" w:hAnsi="QCF_P123" w:cs="QCF_P123"/>
          <w:noProof w:val="0"/>
          <w:rtl/>
          <w:lang w:eastAsia="en-US"/>
        </w:rPr>
        <w:t>ﭳ</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ﭴ</w:t>
      </w:r>
      <w:r w:rsidR="0033591E">
        <w:rPr>
          <w:rFonts w:ascii="QCF_P123" w:hAnsi="QCF_P123" w:cs="QCF_P123" w:hint="cs"/>
          <w:noProof w:val="0"/>
          <w:rtl/>
          <w:lang w:eastAsia="en-US"/>
        </w:rPr>
        <w:t xml:space="preserve"> </w:t>
      </w:r>
      <w:r w:rsidR="00E269AD" w:rsidRPr="00745CF0">
        <w:rPr>
          <w:rFonts w:ascii="QCF_P123" w:hAnsi="QCF_P123" w:cs="QCF_P123"/>
          <w:noProof w:val="0"/>
          <w:rtl/>
          <w:lang w:eastAsia="en-US"/>
        </w:rPr>
        <w:t>ﭵ</w:t>
      </w:r>
      <w:r w:rsidR="00E269AD" w:rsidRPr="00745CF0">
        <w:rPr>
          <w:rFonts w:ascii="QCF_BSML" w:hAnsi="QCF_BSML" w:cs="QCF_BSML"/>
          <w:noProof w:val="0"/>
          <w:rtl/>
          <w:lang w:eastAsia="en-US"/>
        </w:rPr>
        <w:t>ﭼ</w:t>
      </w:r>
      <w:bookmarkEnd w:id="397"/>
      <w:r w:rsidR="00E269AD">
        <w:rPr>
          <w:rFonts w:ascii="Traditional Arabic" w:hAnsi="Traditional Arabic" w:hint="cs"/>
          <w:noProof w:val="0"/>
          <w:color w:val="auto"/>
          <w:rtl/>
          <w:lang w:eastAsia="en-US"/>
        </w:rPr>
        <w:t>[</w:t>
      </w:r>
      <w:r w:rsidR="00E269AD" w:rsidRPr="00745CF0">
        <w:rPr>
          <w:rFonts w:ascii="Traditional Arabic" w:hAnsi="Traditional Arabic"/>
          <w:noProof w:val="0"/>
          <w:color w:val="auto"/>
          <w:rtl/>
          <w:lang w:eastAsia="en-US"/>
        </w:rPr>
        <w:t>المائدة: ٩١</w:t>
      </w:r>
      <w:r w:rsidR="00E269AD">
        <w:rPr>
          <w:rFonts w:ascii="Traditional Arabic" w:hAnsi="Traditional Arabic" w:hint="cs"/>
          <w:noProof w:val="0"/>
          <w:rtl/>
          <w:lang w:eastAsia="en-US"/>
        </w:rPr>
        <w:t>]، ف</w:t>
      </w:r>
      <w:r w:rsidR="00E269AD" w:rsidRPr="00001FD0">
        <w:rPr>
          <w:rFonts w:ascii="Traditional Arabic" w:hAnsi="Traditional Arabic"/>
          <w:noProof w:val="0"/>
          <w:rtl/>
          <w:lang w:eastAsia="en-US"/>
        </w:rPr>
        <w:t>أخبر سبحانه أن الميسر يوق</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ع العداوة والبغضاء</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 xml:space="preserve"> سواء كان م</w:t>
      </w:r>
      <w:r w:rsidR="0033591E">
        <w:rPr>
          <w:rFonts w:ascii="Traditional Arabic" w:hAnsi="Traditional Arabic" w:hint="cs"/>
          <w:noProof w:val="0"/>
          <w:rtl/>
          <w:lang w:eastAsia="en-US"/>
        </w:rPr>
        <w:t>َ</w:t>
      </w:r>
      <w:r w:rsidR="00E269AD" w:rsidRPr="00001FD0">
        <w:rPr>
          <w:rFonts w:ascii="Traditional Arabic" w:hAnsi="Traditional Arabic"/>
          <w:noProof w:val="0"/>
          <w:rtl/>
          <w:lang w:eastAsia="en-US"/>
        </w:rPr>
        <w:t>يسرا</w:t>
      </w:r>
      <w:r w:rsidR="0033591E">
        <w:rPr>
          <w:rFonts w:ascii="Traditional Arabic" w:hAnsi="Traditional Arabic" w:hint="cs"/>
          <w:noProof w:val="0"/>
          <w:rtl/>
          <w:lang w:eastAsia="en-US"/>
        </w:rPr>
        <w:t>ً</w:t>
      </w:r>
      <w:r w:rsidR="00E269AD" w:rsidRPr="00001FD0">
        <w:rPr>
          <w:rFonts w:ascii="Traditional Arabic" w:hAnsi="Traditional Arabic"/>
          <w:noProof w:val="0"/>
          <w:rtl/>
          <w:lang w:eastAsia="en-US"/>
        </w:rPr>
        <w:t xml:space="preserve"> بالمال أو باللع</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ب</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 xml:space="preserve"> فإن المغال</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بة بلا فائدة وأ</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خ</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ذ</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 xml:space="preserve"> المال بلا حق </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ي</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وق</w:t>
      </w:r>
      <w:r w:rsidR="00E269AD">
        <w:rPr>
          <w:rFonts w:ascii="Traditional Arabic" w:hAnsi="Traditional Arabic" w:hint="cs"/>
          <w:noProof w:val="0"/>
          <w:rtl/>
          <w:lang w:eastAsia="en-US"/>
        </w:rPr>
        <w:t>ِ</w:t>
      </w:r>
      <w:r w:rsidR="00E269AD" w:rsidRPr="00001FD0">
        <w:rPr>
          <w:rFonts w:ascii="Traditional Arabic" w:hAnsi="Traditional Arabic"/>
          <w:noProof w:val="0"/>
          <w:rtl/>
          <w:lang w:eastAsia="en-US"/>
        </w:rPr>
        <w:t>ع في النفوس ذلك</w:t>
      </w:r>
      <w:r w:rsidR="00E269AD">
        <w:rPr>
          <w:rFonts w:ascii="Traditional Arabic" w:hAnsi="Traditional Arabic" w:hint="cs"/>
          <w:noProof w:val="0"/>
          <w:rtl/>
          <w:lang w:eastAsia="en-US"/>
        </w:rPr>
        <w:t>)</w:t>
      </w:r>
      <w:r w:rsidR="00E269AD" w:rsidRPr="00C821A1">
        <w:rPr>
          <w:rStyle w:val="af1"/>
          <w:szCs w:val="32"/>
          <w:rtl/>
        </w:rPr>
        <w:t>(</w:t>
      </w:r>
      <w:r w:rsidR="00E269AD" w:rsidRPr="00C821A1">
        <w:rPr>
          <w:rStyle w:val="af1"/>
          <w:szCs w:val="32"/>
          <w:rtl/>
        </w:rPr>
        <w:footnoteReference w:id="1881"/>
      </w:r>
      <w:r w:rsidR="00E269AD" w:rsidRPr="00C821A1">
        <w:rPr>
          <w:rStyle w:val="af1"/>
          <w:szCs w:val="32"/>
          <w:rtl/>
        </w:rPr>
        <w:t>)</w:t>
      </w:r>
      <w:r w:rsidR="00E269AD">
        <w:rPr>
          <w:rFonts w:ascii="Traditional Arabic" w:hAnsi="Traditional Arabic" w:hint="cs"/>
          <w:noProof w:val="0"/>
          <w:rtl/>
          <w:lang w:eastAsia="en-US"/>
        </w:rPr>
        <w:t>.</w:t>
      </w:r>
    </w:p>
    <w:p w:rsidR="00E269AD" w:rsidRDefault="0033591E" w:rsidP="00A8347C">
      <w:pPr>
        <w:pStyle w:val="aff3"/>
        <w:rPr>
          <w:rtl/>
        </w:rPr>
      </w:pPr>
      <w:bookmarkStart w:id="398" w:name="_Toc334046588"/>
      <w:r>
        <w:rPr>
          <w:rFonts w:hint="cs"/>
          <w:rtl/>
        </w:rPr>
        <w:t xml:space="preserve">                                         </w:t>
      </w:r>
      <w:r w:rsidR="00E269AD">
        <w:rPr>
          <w:rFonts w:hint="cs"/>
          <w:rtl/>
        </w:rPr>
        <w:t xml:space="preserve">المطلب </w:t>
      </w:r>
      <w:r w:rsidR="00E269AD" w:rsidRPr="00E269AD">
        <w:rPr>
          <w:rFonts w:hint="cs"/>
          <w:rtl/>
        </w:rPr>
        <w:t>الرابع</w:t>
      </w:r>
      <w:r w:rsidR="00E269AD">
        <w:rPr>
          <w:rFonts w:hint="eastAsia"/>
          <w:rtl/>
        </w:rPr>
        <w:t> :</w:t>
      </w:r>
      <w:r w:rsidR="00E269AD">
        <w:rPr>
          <w:rFonts w:hint="cs"/>
          <w:rtl/>
        </w:rPr>
        <w:br/>
      </w:r>
      <w:r>
        <w:rPr>
          <w:rFonts w:hint="cs"/>
          <w:rtl/>
        </w:rPr>
        <w:t xml:space="preserve">        </w:t>
      </w:r>
      <w:r w:rsidR="00801F81">
        <w:rPr>
          <w:rFonts w:hint="cs"/>
          <w:rtl/>
        </w:rPr>
        <w:t xml:space="preserve">                               </w:t>
      </w:r>
      <w:r w:rsidR="00E269AD">
        <w:rPr>
          <w:rFonts w:hint="cs"/>
          <w:rtl/>
        </w:rPr>
        <w:t>تطبيقات القاعدة</w:t>
      </w:r>
      <w:r w:rsidR="00E269AD" w:rsidRPr="00C821A1">
        <w:rPr>
          <w:rStyle w:val="af1"/>
          <w:bCs w:val="0"/>
          <w:szCs w:val="32"/>
          <w:rtl/>
        </w:rPr>
        <w:t>(</w:t>
      </w:r>
      <w:r w:rsidR="00E269AD" w:rsidRPr="00C821A1">
        <w:rPr>
          <w:rStyle w:val="af1"/>
          <w:bCs w:val="0"/>
          <w:szCs w:val="32"/>
          <w:rtl/>
        </w:rPr>
        <w:footnoteReference w:id="1882"/>
      </w:r>
      <w:r w:rsidR="00E269AD" w:rsidRPr="00C821A1">
        <w:rPr>
          <w:rStyle w:val="af1"/>
          <w:bCs w:val="0"/>
          <w:szCs w:val="32"/>
          <w:rtl/>
        </w:rPr>
        <w:t>)</w:t>
      </w:r>
      <w:bookmarkEnd w:id="398"/>
    </w:p>
    <w:p w:rsidR="00E269AD" w:rsidRDefault="00E269AD" w:rsidP="000A76C7">
      <w:pPr>
        <w:pStyle w:val="afc"/>
        <w:widowControl/>
        <w:numPr>
          <w:ilvl w:val="0"/>
          <w:numId w:val="256"/>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لا يصح بَيع </w:t>
      </w:r>
      <w:r>
        <w:rPr>
          <w:rFonts w:ascii="Traditional Arabic" w:hAnsi="Traditional Arabic"/>
          <w:noProof w:val="0"/>
          <w:color w:val="auto"/>
          <w:rtl/>
          <w:lang w:eastAsia="en-US"/>
        </w:rPr>
        <w:t>الحمل في البطن</w:t>
      </w:r>
      <w:r w:rsidRPr="008E7686">
        <w:rPr>
          <w:rFonts w:ascii="Traditional Arabic" w:hAnsi="Traditional Arabic"/>
          <w:noProof w:val="0"/>
          <w:color w:val="auto"/>
          <w:rtl/>
          <w:lang w:eastAsia="en-US"/>
        </w:rPr>
        <w:t xml:space="preserve"> م</w:t>
      </w:r>
      <w:r>
        <w:rPr>
          <w:rFonts w:ascii="Traditional Arabic" w:hAnsi="Traditional Arabic" w:hint="cs"/>
          <w:noProof w:val="0"/>
          <w:color w:val="auto"/>
          <w:rtl/>
          <w:lang w:eastAsia="en-US"/>
        </w:rPr>
        <w:t>ُ</w:t>
      </w:r>
      <w:r w:rsidRPr="008E7686">
        <w:rPr>
          <w:rFonts w:ascii="Traditional Arabic" w:hAnsi="Traditional Arabic"/>
          <w:noProof w:val="0"/>
          <w:color w:val="auto"/>
          <w:rtl/>
          <w:lang w:eastAsia="en-US"/>
        </w:rPr>
        <w:t>نفر</w:t>
      </w:r>
      <w:r>
        <w:rPr>
          <w:rFonts w:ascii="Traditional Arabic" w:hAnsi="Traditional Arabic" w:hint="cs"/>
          <w:noProof w:val="0"/>
          <w:color w:val="auto"/>
          <w:rtl/>
          <w:lang w:eastAsia="en-US"/>
        </w:rPr>
        <w:t>ِ</w:t>
      </w:r>
      <w:r w:rsidRPr="008E7686">
        <w:rPr>
          <w:rFonts w:ascii="Traditional Arabic" w:hAnsi="Traditional Arabic"/>
          <w:noProof w:val="0"/>
          <w:color w:val="auto"/>
          <w:rtl/>
          <w:lang w:eastAsia="en-US"/>
        </w:rPr>
        <w:t>دا</w:t>
      </w:r>
      <w:r>
        <w:rPr>
          <w:rFonts w:ascii="Traditional Arabic" w:hAnsi="Traditional Arabic" w:hint="cs"/>
          <w:noProof w:val="0"/>
          <w:color w:val="auto"/>
          <w:rtl/>
          <w:lang w:eastAsia="en-US"/>
        </w:rPr>
        <w:t>ً</w:t>
      </w:r>
      <w:r w:rsidRPr="008E7686">
        <w:rPr>
          <w:rFonts w:ascii="Traditional Arabic" w:hAnsi="Traditional Arabic"/>
          <w:noProof w:val="0"/>
          <w:color w:val="auto"/>
          <w:rtl/>
          <w:lang w:eastAsia="en-US"/>
        </w:rPr>
        <w:t xml:space="preserve">؛ لأن النبي </w:t>
      </w:r>
      <w:r w:rsidR="00F350DE">
        <w:rPr>
          <w:rFonts w:ascii="Traditional Arabic" w:hAnsi="Traditional Arabic"/>
          <w:noProof w:val="0"/>
          <w:color w:val="auto"/>
          <w:rtl/>
          <w:lang w:eastAsia="en-US"/>
        </w:rPr>
        <w:sym w:font="AGA Arabesque" w:char="F072"/>
      </w:r>
      <w:r>
        <w:rPr>
          <w:rFonts w:ascii="Traditional Arabic" w:hAnsi="Traditional Arabic"/>
          <w:noProof w:val="0"/>
          <w:color w:val="auto"/>
          <w:rtl/>
          <w:lang w:eastAsia="en-US"/>
        </w:rPr>
        <w:t xml:space="preserve"> نهى عن بيع الغرر</w:t>
      </w:r>
      <w:r w:rsidR="0033591E" w:rsidRPr="0033591E">
        <w:rPr>
          <w:rFonts w:ascii="Traditional Arabic" w:hAnsi="Traditional Arabic" w:hint="cs"/>
          <w:noProof w:val="0"/>
          <w:color w:val="auto"/>
          <w:vertAlign w:val="superscript"/>
          <w:rtl/>
          <w:lang w:eastAsia="en-US"/>
        </w:rPr>
        <w:t>(</w:t>
      </w:r>
      <w:r w:rsidR="0033591E" w:rsidRPr="0033591E">
        <w:rPr>
          <w:rStyle w:val="af1"/>
          <w:rFonts w:ascii="Traditional Arabic" w:hAnsi="Traditional Arabic"/>
          <w:noProof w:val="0"/>
          <w:color w:val="auto"/>
          <w:rtl/>
          <w:lang w:eastAsia="en-US"/>
        </w:rPr>
        <w:footnoteReference w:id="1883"/>
      </w:r>
      <w:r w:rsidR="0033591E" w:rsidRPr="0033591E">
        <w:rPr>
          <w:rFonts w:ascii="Traditional Arabic" w:hAnsi="Traditional Arabic" w:hint="cs"/>
          <w:noProof w:val="0"/>
          <w:color w:val="auto"/>
          <w:vertAlign w:val="superscript"/>
          <w:rtl/>
          <w:lang w:eastAsia="en-US"/>
        </w:rPr>
        <w:t>)</w:t>
      </w:r>
      <w:r>
        <w:rPr>
          <w:rFonts w:ascii="Traditional Arabic" w:hAnsi="Traditional Arabic"/>
          <w:noProof w:val="0"/>
          <w:color w:val="auto"/>
          <w:rtl/>
          <w:lang w:eastAsia="en-US"/>
        </w:rPr>
        <w:t>، و</w:t>
      </w:r>
      <w:r>
        <w:rPr>
          <w:rFonts w:ascii="Traditional Arabic" w:hAnsi="Traditional Arabic" w:hint="cs"/>
          <w:noProof w:val="0"/>
          <w:color w:val="auto"/>
          <w:rtl/>
          <w:lang w:eastAsia="en-US"/>
        </w:rPr>
        <w:t xml:space="preserve">بيع الحمل في البطن </w:t>
      </w:r>
      <w:r w:rsidRPr="008E7686">
        <w:rPr>
          <w:rFonts w:ascii="Traditional Arabic" w:hAnsi="Traditional Arabic"/>
          <w:noProof w:val="0"/>
          <w:color w:val="auto"/>
          <w:rtl/>
          <w:lang w:eastAsia="en-US"/>
        </w:rPr>
        <w:t>غرر</w:t>
      </w:r>
      <w:r>
        <w:rPr>
          <w:rFonts w:ascii="Traditional Arabic" w:hAnsi="Traditional Arabic" w:hint="cs"/>
          <w:noProof w:val="0"/>
          <w:color w:val="auto"/>
          <w:rtl/>
          <w:lang w:eastAsia="en-US"/>
        </w:rPr>
        <w:t>؛</w:t>
      </w:r>
      <w:r w:rsidRPr="008E7686">
        <w:rPr>
          <w:rFonts w:ascii="Traditional Arabic" w:hAnsi="Traditional Arabic"/>
          <w:noProof w:val="0"/>
          <w:color w:val="auto"/>
          <w:rtl/>
          <w:lang w:eastAsia="en-US"/>
        </w:rPr>
        <w:t xml:space="preserve"> فإن الحمل قد يكون واحدا أو أكثر، وقد يكون ذكرا</w:t>
      </w:r>
      <w:r w:rsidR="00407555">
        <w:rPr>
          <w:rFonts w:ascii="Traditional Arabic" w:hAnsi="Traditional Arabic" w:hint="cs"/>
          <w:noProof w:val="0"/>
          <w:color w:val="auto"/>
          <w:rtl/>
          <w:lang w:eastAsia="en-US"/>
        </w:rPr>
        <w:t>ً</w:t>
      </w:r>
      <w:r w:rsidRPr="008E7686">
        <w:rPr>
          <w:rFonts w:ascii="Traditional Arabic" w:hAnsi="Traditional Arabic"/>
          <w:noProof w:val="0"/>
          <w:color w:val="auto"/>
          <w:rtl/>
          <w:lang w:eastAsia="en-US"/>
        </w:rPr>
        <w:t xml:space="preserve"> أو أنثى، </w:t>
      </w:r>
      <w:r w:rsidRPr="008E7686">
        <w:rPr>
          <w:rFonts w:ascii="Traditional Arabic" w:hAnsi="Traditional Arabic"/>
          <w:noProof w:val="0"/>
          <w:color w:val="auto"/>
          <w:rtl/>
          <w:lang w:eastAsia="en-US"/>
        </w:rPr>
        <w:lastRenderedPageBreak/>
        <w:t>وقد يخرج حي</w:t>
      </w:r>
      <w:r w:rsidR="00407555">
        <w:rPr>
          <w:rFonts w:ascii="Traditional Arabic" w:hAnsi="Traditional Arabic" w:hint="cs"/>
          <w:noProof w:val="0"/>
          <w:color w:val="auto"/>
          <w:rtl/>
          <w:lang w:eastAsia="en-US"/>
        </w:rPr>
        <w:t>ّ</w:t>
      </w:r>
      <w:r w:rsidRPr="008E7686">
        <w:rPr>
          <w:rFonts w:ascii="Traditional Arabic" w:hAnsi="Traditional Arabic"/>
          <w:noProof w:val="0"/>
          <w:color w:val="auto"/>
          <w:rtl/>
          <w:lang w:eastAsia="en-US"/>
        </w:rPr>
        <w:t>ا</w:t>
      </w:r>
      <w:r w:rsidR="00407555">
        <w:rPr>
          <w:rFonts w:ascii="Traditional Arabic" w:hAnsi="Traditional Arabic" w:hint="cs"/>
          <w:noProof w:val="0"/>
          <w:color w:val="auto"/>
          <w:rtl/>
          <w:lang w:eastAsia="en-US"/>
        </w:rPr>
        <w:t>ً</w:t>
      </w:r>
      <w:r w:rsidRPr="008E7686">
        <w:rPr>
          <w:rFonts w:ascii="Traditional Arabic" w:hAnsi="Traditional Arabic"/>
          <w:noProof w:val="0"/>
          <w:color w:val="auto"/>
          <w:rtl/>
          <w:lang w:eastAsia="en-US"/>
        </w:rPr>
        <w:t xml:space="preserve"> وقد يخرج ميتا</w:t>
      </w:r>
      <w:r w:rsidR="00407555">
        <w:rPr>
          <w:rFonts w:ascii="Traditional Arabic" w:hAnsi="Traditional Arabic" w:hint="cs"/>
          <w:noProof w:val="0"/>
          <w:color w:val="auto"/>
          <w:rtl/>
          <w:lang w:eastAsia="en-US"/>
        </w:rPr>
        <w:t>ً</w:t>
      </w:r>
      <w:r w:rsidRPr="008E7686">
        <w:rPr>
          <w:rFonts w:ascii="Traditional Arabic" w:hAnsi="Traditional Arabic"/>
          <w:noProof w:val="0"/>
          <w:color w:val="auto"/>
          <w:rtl/>
          <w:lang w:eastAsia="en-US"/>
        </w:rPr>
        <w:t>، فالجهالة فيه ك</w:t>
      </w:r>
      <w:r>
        <w:rPr>
          <w:rFonts w:ascii="Traditional Arabic" w:hAnsi="Traditional Arabic"/>
          <w:noProof w:val="0"/>
          <w:color w:val="auto"/>
          <w:rtl/>
          <w:lang w:eastAsia="en-US"/>
        </w:rPr>
        <w:t>بيرة، ولهذا نقول: إنه داخل فيعموم</w:t>
      </w:r>
      <w:r>
        <w:rPr>
          <w:rFonts w:ascii="Traditional Arabic" w:hAnsi="Traditional Arabic" w:hint="cs"/>
          <w:noProof w:val="0"/>
          <w:color w:val="auto"/>
          <w:rtl/>
          <w:lang w:eastAsia="en-US"/>
        </w:rPr>
        <w:t xml:space="preserve"> نهي</w:t>
      </w:r>
      <w:r>
        <w:rPr>
          <w:rFonts w:ascii="Traditional Arabic" w:hAnsi="Traditional Arabic"/>
          <w:noProof w:val="0"/>
          <w:color w:val="auto"/>
          <w:rtl/>
          <w:lang w:eastAsia="en-US"/>
        </w:rPr>
        <w:t xml:space="preserve"> الرسول </w:t>
      </w:r>
      <w:r w:rsidR="00F350DE">
        <w:rPr>
          <w:rFonts w:ascii="Traditional Arabic" w:hAnsi="Traditional Arabic"/>
          <w:noProof w:val="0"/>
          <w:color w:val="auto"/>
          <w:rtl/>
          <w:lang w:eastAsia="en-US"/>
        </w:rPr>
        <w:sym w:font="AGA Arabesque" w:char="F072"/>
      </w:r>
      <w:r w:rsidRPr="008E7686">
        <w:rPr>
          <w:rFonts w:ascii="Traditional Arabic" w:hAnsi="Traditional Arabic"/>
          <w:noProof w:val="0"/>
          <w:color w:val="auto"/>
          <w:rtl/>
          <w:lang w:eastAsia="en-US"/>
        </w:rPr>
        <w:t xml:space="preserve"> عن بيع الغرر</w:t>
      </w:r>
      <w:r w:rsidRPr="00C821A1">
        <w:rPr>
          <w:rStyle w:val="af1"/>
          <w:szCs w:val="32"/>
          <w:rtl/>
        </w:rPr>
        <w:t>(</w:t>
      </w:r>
      <w:r w:rsidRPr="00C821A1">
        <w:rPr>
          <w:rStyle w:val="af1"/>
          <w:szCs w:val="32"/>
          <w:rtl/>
        </w:rPr>
        <w:footnoteReference w:id="1884"/>
      </w:r>
      <w:r w:rsidRPr="00C821A1">
        <w:rPr>
          <w:rStyle w:val="af1"/>
          <w:szCs w:val="32"/>
          <w:rtl/>
        </w:rPr>
        <w:t>)</w:t>
      </w:r>
      <w:r>
        <w:rPr>
          <w:rFonts w:ascii="Traditional Arabic" w:hAnsi="Traditional Arabic" w:hint="cs"/>
          <w:noProof w:val="0"/>
          <w:color w:val="auto"/>
          <w:rtl/>
          <w:lang w:eastAsia="en-US"/>
        </w:rPr>
        <w:t>.</w:t>
      </w:r>
    </w:p>
    <w:p w:rsidR="00E269AD" w:rsidRDefault="00E269AD" w:rsidP="00597C20">
      <w:pPr>
        <w:pStyle w:val="53"/>
        <w:rPr>
          <w:rtl/>
        </w:rPr>
      </w:pPr>
      <w:r>
        <w:rPr>
          <w:rFonts w:hint="cs"/>
          <w:rtl/>
        </w:rPr>
        <w:t>وجه اندراج الفرع تحت القاعدة:</w:t>
      </w:r>
    </w:p>
    <w:p w:rsidR="00E269AD" w:rsidRPr="00CB6849" w:rsidRDefault="00407555"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E269AD" w:rsidRPr="00CB6849">
        <w:rPr>
          <w:rFonts w:ascii="Traditional Arabic" w:hAnsi="Traditional Arabic" w:hint="cs"/>
          <w:noProof w:val="0"/>
          <w:color w:val="auto"/>
          <w:rtl/>
          <w:lang w:eastAsia="en-US"/>
        </w:rPr>
        <w:t xml:space="preserve">ن بيع الحمل في البطن منفردا داخل في عموم النهي عن الغرر، والقاعدة أن مدار المعاملات المحرمة على الربا والظلم والغرر؛ لهذا يحرم مثل هذا النوع </w:t>
      </w:r>
      <w:r>
        <w:rPr>
          <w:rFonts w:ascii="Traditional Arabic" w:hAnsi="Traditional Arabic" w:hint="cs"/>
          <w:noProof w:val="0"/>
          <w:color w:val="auto"/>
          <w:rtl/>
          <w:lang w:eastAsia="en-US"/>
        </w:rPr>
        <w:t xml:space="preserve">من </w:t>
      </w:r>
      <w:r w:rsidR="00E269AD" w:rsidRPr="00CB6849">
        <w:rPr>
          <w:rFonts w:ascii="Traditional Arabic" w:hAnsi="Traditional Arabic" w:hint="cs"/>
          <w:noProof w:val="0"/>
          <w:color w:val="auto"/>
          <w:rtl/>
          <w:lang w:eastAsia="en-US"/>
        </w:rPr>
        <w:t>البيع ولا يصح.</w:t>
      </w:r>
    </w:p>
    <w:p w:rsidR="00F228A9" w:rsidRPr="00125920" w:rsidRDefault="00E269AD" w:rsidP="000A76C7">
      <w:pPr>
        <w:pStyle w:val="afc"/>
        <w:widowControl/>
        <w:numPr>
          <w:ilvl w:val="0"/>
          <w:numId w:val="256"/>
        </w:numPr>
        <w:autoSpaceDE w:val="0"/>
        <w:autoSpaceDN w:val="0"/>
        <w:adjustRightInd w:val="0"/>
        <w:rPr>
          <w:rFonts w:ascii="Traditional Arabic" w:hAnsi="Traditional Arabic"/>
          <w:noProof w:val="0"/>
          <w:color w:val="auto"/>
          <w:lang w:eastAsia="en-US"/>
        </w:rPr>
      </w:pPr>
      <w:r w:rsidRPr="00125920">
        <w:rPr>
          <w:rFonts w:ascii="Traditional Arabic" w:hAnsi="Traditional Arabic"/>
          <w:noProof w:val="0"/>
          <w:rtl/>
          <w:lang w:eastAsia="en-US"/>
        </w:rPr>
        <w:t>لو قال</w:t>
      </w:r>
      <w:r w:rsidRPr="00125920">
        <w:rPr>
          <w:rFonts w:ascii="Traditional Arabic" w:hAnsi="Traditional Arabic" w:hint="cs"/>
          <w:noProof w:val="0"/>
          <w:rtl/>
          <w:lang w:eastAsia="en-US"/>
        </w:rPr>
        <w:t xml:space="preserve"> المشتري للبائع:</w:t>
      </w:r>
      <w:r w:rsidRPr="00125920">
        <w:rPr>
          <w:rFonts w:ascii="Traditional Arabic" w:hAnsi="Traditional Arabic"/>
          <w:noProof w:val="0"/>
          <w:rtl/>
          <w:lang w:eastAsia="en-US"/>
        </w:rPr>
        <w:t xml:space="preserve"> اشتريت منك هذه السيارة بهذه الر</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ب</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طة</w:t>
      </w:r>
      <w:r w:rsidRPr="00C821A1">
        <w:rPr>
          <w:rStyle w:val="af1"/>
          <w:szCs w:val="32"/>
          <w:rtl/>
        </w:rPr>
        <w:t>(</w:t>
      </w:r>
      <w:r w:rsidRPr="00C821A1">
        <w:rPr>
          <w:rStyle w:val="af1"/>
          <w:szCs w:val="32"/>
          <w:rtl/>
        </w:rPr>
        <w:footnoteReference w:id="1885"/>
      </w:r>
      <w:r w:rsidRPr="00C821A1">
        <w:rPr>
          <w:rStyle w:val="af1"/>
          <w:szCs w:val="32"/>
          <w:rtl/>
        </w:rPr>
        <w:t>)</w:t>
      </w:r>
      <w:r w:rsidRPr="00125920">
        <w:rPr>
          <w:rFonts w:ascii="Traditional Arabic" w:hAnsi="Traditional Arabic"/>
          <w:noProof w:val="0"/>
          <w:rtl/>
          <w:lang w:eastAsia="en-US"/>
        </w:rPr>
        <w:t xml:space="preserve"> من الأوراق الن</w:t>
      </w:r>
      <w:r>
        <w:rPr>
          <w:rFonts w:ascii="Traditional Arabic" w:hAnsi="Traditional Arabic" w:hint="cs"/>
          <w:noProof w:val="0"/>
          <w:rtl/>
          <w:lang w:eastAsia="en-US"/>
        </w:rPr>
        <w:t>َّ</w:t>
      </w:r>
      <w:r w:rsidRPr="00125920">
        <w:rPr>
          <w:rFonts w:ascii="Traditional Arabic" w:hAnsi="Traditional Arabic"/>
          <w:noProof w:val="0"/>
          <w:rtl/>
          <w:lang w:eastAsia="en-US"/>
        </w:rPr>
        <w:t>ق</w:t>
      </w:r>
      <w:r>
        <w:rPr>
          <w:rFonts w:ascii="Traditional Arabic" w:hAnsi="Traditional Arabic" w:hint="cs"/>
          <w:noProof w:val="0"/>
          <w:rtl/>
          <w:lang w:eastAsia="en-US"/>
        </w:rPr>
        <w:t>ْ</w:t>
      </w:r>
      <w:r w:rsidRPr="00125920">
        <w:rPr>
          <w:rFonts w:ascii="Traditional Arabic" w:hAnsi="Traditional Arabic"/>
          <w:noProof w:val="0"/>
          <w:rtl/>
          <w:lang w:eastAsia="en-US"/>
        </w:rPr>
        <w:t>دية فئة خمسمائة ، فعلى المذهب يصح</w:t>
      </w:r>
      <w:r w:rsidRPr="00125920">
        <w:rPr>
          <w:rFonts w:ascii="Traditional Arabic" w:hAnsi="Traditional Arabic" w:hint="cs"/>
          <w:noProof w:val="0"/>
          <w:rtl/>
          <w:lang w:eastAsia="en-US"/>
        </w:rPr>
        <w:t xml:space="preserve"> البيع</w:t>
      </w:r>
      <w:r w:rsidRPr="00125920">
        <w:rPr>
          <w:rFonts w:ascii="Traditional Arabic" w:hAnsi="Traditional Arabic"/>
          <w:noProof w:val="0"/>
          <w:rtl/>
          <w:lang w:eastAsia="en-US"/>
        </w:rPr>
        <w:t xml:space="preserve">؛ لأن </w:t>
      </w:r>
      <w:r w:rsidRPr="00125920">
        <w:rPr>
          <w:rFonts w:ascii="Traditional Arabic" w:hAnsi="Traditional Arabic" w:hint="cs"/>
          <w:noProof w:val="0"/>
          <w:rtl/>
          <w:lang w:eastAsia="en-US"/>
        </w:rPr>
        <w:t xml:space="preserve">الثمن </w:t>
      </w:r>
      <w:r w:rsidRPr="00125920">
        <w:rPr>
          <w:rFonts w:ascii="Traditional Arabic" w:hAnsi="Traditional Arabic"/>
          <w:noProof w:val="0"/>
          <w:rtl/>
          <w:lang w:eastAsia="en-US"/>
        </w:rPr>
        <w:t>معلوم</w:t>
      </w:r>
      <w:r w:rsidRPr="00125920">
        <w:rPr>
          <w:rFonts w:ascii="Traditional Arabic" w:hAnsi="Traditional Arabic" w:hint="cs"/>
          <w:noProof w:val="0"/>
          <w:rtl/>
          <w:lang w:eastAsia="en-US"/>
        </w:rPr>
        <w:t>ٌ</w:t>
      </w:r>
      <w:r w:rsidR="00407555">
        <w:rPr>
          <w:rFonts w:ascii="Traditional Arabic" w:hAnsi="Traditional Arabic" w:hint="cs"/>
          <w:noProof w:val="0"/>
          <w:rtl/>
          <w:lang w:eastAsia="en-US"/>
        </w:rPr>
        <w:t xml:space="preserve"> </w:t>
      </w:r>
      <w:r w:rsidRPr="00125920">
        <w:rPr>
          <w:rFonts w:ascii="Traditional Arabic" w:hAnsi="Traditional Arabic"/>
          <w:noProof w:val="0"/>
          <w:rtl/>
          <w:lang w:eastAsia="en-US"/>
        </w:rPr>
        <w:t>بال</w:t>
      </w:r>
      <w:r w:rsidR="00407555">
        <w:rPr>
          <w:rFonts w:ascii="Traditional Arabic" w:hAnsi="Traditional Arabic" w:hint="cs"/>
          <w:noProof w:val="0"/>
          <w:rtl/>
          <w:lang w:eastAsia="en-US"/>
        </w:rPr>
        <w:t>ْ</w:t>
      </w:r>
      <w:r w:rsidRPr="00125920">
        <w:rPr>
          <w:rFonts w:ascii="Traditional Arabic" w:hAnsi="Traditional Arabic"/>
          <w:noProof w:val="0"/>
          <w:rtl/>
          <w:lang w:eastAsia="en-US"/>
        </w:rPr>
        <w:t>م</w:t>
      </w:r>
      <w:r w:rsidR="00407555">
        <w:rPr>
          <w:rFonts w:ascii="Traditional Arabic" w:hAnsi="Traditional Arabic" w:hint="cs"/>
          <w:noProof w:val="0"/>
          <w:rtl/>
          <w:lang w:eastAsia="en-US"/>
        </w:rPr>
        <w:t>ُ</w:t>
      </w:r>
      <w:r w:rsidRPr="00125920">
        <w:rPr>
          <w:rFonts w:ascii="Traditional Arabic" w:hAnsi="Traditional Arabic"/>
          <w:noProof w:val="0"/>
          <w:rtl/>
          <w:lang w:eastAsia="en-US"/>
        </w:rPr>
        <w:t>شاه</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دة</w:t>
      </w:r>
      <w:r w:rsidRPr="00C821A1">
        <w:rPr>
          <w:rStyle w:val="af1"/>
          <w:szCs w:val="32"/>
          <w:rtl/>
        </w:rPr>
        <w:t>(</w:t>
      </w:r>
      <w:r w:rsidRPr="00C821A1">
        <w:rPr>
          <w:rStyle w:val="af1"/>
          <w:szCs w:val="32"/>
          <w:rtl/>
        </w:rPr>
        <w:footnoteReference w:id="1886"/>
      </w:r>
      <w:r w:rsidRPr="00C821A1">
        <w:rPr>
          <w:rStyle w:val="af1"/>
          <w:szCs w:val="32"/>
          <w:rtl/>
        </w:rPr>
        <w:t>)</w:t>
      </w:r>
      <w:r w:rsidRPr="00125920">
        <w:rPr>
          <w:rFonts w:ascii="Traditional Arabic" w:hAnsi="Traditional Arabic" w:hint="cs"/>
          <w:noProof w:val="0"/>
          <w:rtl/>
          <w:lang w:eastAsia="en-US"/>
        </w:rPr>
        <w:t>.</w:t>
      </w:r>
    </w:p>
    <w:p w:rsidR="00065E4B" w:rsidRDefault="00E269AD" w:rsidP="00597C20">
      <w:pPr>
        <w:pStyle w:val="afc"/>
        <w:widowControl/>
        <w:autoSpaceDE w:val="0"/>
        <w:autoSpaceDN w:val="0"/>
        <w:adjustRightInd w:val="0"/>
        <w:ind w:left="1080" w:firstLine="0"/>
        <w:rPr>
          <w:rFonts w:ascii="Traditional Arabic" w:hAnsi="Traditional Arabic"/>
          <w:noProof w:val="0"/>
          <w:color w:val="auto"/>
          <w:lang w:eastAsia="en-US"/>
        </w:rPr>
      </w:pPr>
      <w:r w:rsidRPr="00B855F4">
        <w:rPr>
          <w:rFonts w:ascii="Traditional Arabic" w:hAnsi="Traditional Arabic"/>
          <w:noProof w:val="0"/>
          <w:rtl/>
          <w:lang w:eastAsia="en-US"/>
        </w:rPr>
        <w:t xml:space="preserve">ولكن </w:t>
      </w:r>
      <w:r>
        <w:rPr>
          <w:rFonts w:ascii="Traditional Arabic" w:hAnsi="Traditional Arabic" w:hint="cs"/>
          <w:noProof w:val="0"/>
          <w:rtl/>
          <w:lang w:eastAsia="en-US"/>
        </w:rPr>
        <w:t xml:space="preserve">الصحيح أن </w:t>
      </w:r>
      <w:r w:rsidRPr="00B855F4">
        <w:rPr>
          <w:rFonts w:ascii="Traditional Arabic" w:hAnsi="Traditional Arabic"/>
          <w:noProof w:val="0"/>
          <w:rtl/>
          <w:lang w:eastAsia="en-US"/>
        </w:rPr>
        <w:t xml:space="preserve">هذا </w:t>
      </w:r>
      <w:r>
        <w:rPr>
          <w:rFonts w:ascii="Traditional Arabic" w:hAnsi="Traditional Arabic" w:hint="cs"/>
          <w:noProof w:val="0"/>
          <w:rtl/>
          <w:lang w:eastAsia="en-US"/>
        </w:rPr>
        <w:t>البيع لاي</w:t>
      </w:r>
      <w:r>
        <w:rPr>
          <w:rFonts w:ascii="Traditional Arabic" w:hAnsi="Traditional Arabic"/>
          <w:noProof w:val="0"/>
          <w:rtl/>
          <w:lang w:eastAsia="en-US"/>
        </w:rPr>
        <w:t>ص</w:t>
      </w:r>
      <w:r w:rsidRPr="00B855F4">
        <w:rPr>
          <w:rFonts w:ascii="Traditional Arabic" w:hAnsi="Traditional Arabic"/>
          <w:noProof w:val="0"/>
          <w:rtl/>
          <w:lang w:eastAsia="en-US"/>
        </w:rPr>
        <w:t>ح</w:t>
      </w:r>
      <w:r>
        <w:rPr>
          <w:rFonts w:ascii="Traditional Arabic" w:hAnsi="Traditional Arabic" w:hint="cs"/>
          <w:noProof w:val="0"/>
          <w:rtl/>
          <w:lang w:eastAsia="en-US"/>
        </w:rPr>
        <w:t>ّ</w:t>
      </w:r>
      <w:r>
        <w:rPr>
          <w:rFonts w:ascii="Traditional Arabic" w:hAnsi="Traditional Arabic"/>
          <w:noProof w:val="0"/>
          <w:rtl/>
          <w:lang w:eastAsia="en-US"/>
        </w:rPr>
        <w:t xml:space="preserve">؛ لأن </w:t>
      </w:r>
      <w:r>
        <w:rPr>
          <w:rFonts w:ascii="Traditional Arabic" w:hAnsi="Traditional Arabic" w:hint="cs"/>
          <w:noProof w:val="0"/>
          <w:rtl/>
          <w:lang w:eastAsia="en-US"/>
        </w:rPr>
        <w:t>الأوراق ت</w:t>
      </w:r>
      <w:r w:rsidRPr="00B855F4">
        <w:rPr>
          <w:rFonts w:ascii="Traditional Arabic" w:hAnsi="Traditional Arabic"/>
          <w:noProof w:val="0"/>
          <w:rtl/>
          <w:lang w:eastAsia="en-US"/>
        </w:rPr>
        <w:t>ختلف</w:t>
      </w:r>
      <w:r>
        <w:rPr>
          <w:rFonts w:ascii="Traditional Arabic" w:hAnsi="Traditional Arabic" w:hint="cs"/>
          <w:noProof w:val="0"/>
          <w:rtl/>
          <w:lang w:eastAsia="en-US"/>
        </w:rPr>
        <w:t>،</w:t>
      </w:r>
      <w:r w:rsidR="00407555">
        <w:rPr>
          <w:rFonts w:ascii="Traditional Arabic" w:hAnsi="Traditional Arabic" w:hint="cs"/>
          <w:noProof w:val="0"/>
          <w:rtl/>
          <w:lang w:eastAsia="en-US"/>
        </w:rPr>
        <w:t xml:space="preserve"> </w:t>
      </w:r>
      <w:r>
        <w:rPr>
          <w:rFonts w:ascii="Traditional Arabic" w:hAnsi="Traditional Arabic" w:hint="cs"/>
          <w:noProof w:val="0"/>
          <w:rtl/>
          <w:lang w:eastAsia="en-US"/>
        </w:rPr>
        <w:t>و</w:t>
      </w:r>
      <w:r w:rsidRPr="00B855F4">
        <w:rPr>
          <w:rFonts w:ascii="Traditional Arabic" w:hAnsi="Traditional Arabic"/>
          <w:noProof w:val="0"/>
          <w:rtl/>
          <w:lang w:eastAsia="en-US"/>
        </w:rPr>
        <w:t>حتى الأوراق التي است</w:t>
      </w:r>
      <w:r>
        <w:rPr>
          <w:rFonts w:ascii="Traditional Arabic" w:hAnsi="Traditional Arabic" w:hint="cs"/>
          <w:noProof w:val="0"/>
          <w:rtl/>
          <w:lang w:eastAsia="en-US"/>
        </w:rPr>
        <w:t>ُ</w:t>
      </w:r>
      <w:r w:rsidRPr="00B855F4">
        <w:rPr>
          <w:rFonts w:ascii="Traditional Arabic" w:hAnsi="Traditional Arabic"/>
          <w:noProof w:val="0"/>
          <w:rtl/>
          <w:lang w:eastAsia="en-US"/>
        </w:rPr>
        <w:t>عملت غير الأوراق الجديدة، فالأوراق الجديدة صغيرة</w:t>
      </w:r>
      <w:r>
        <w:rPr>
          <w:rFonts w:ascii="Traditional Arabic" w:hAnsi="Traditional Arabic" w:hint="cs"/>
          <w:noProof w:val="0"/>
          <w:rtl/>
          <w:lang w:eastAsia="en-US"/>
        </w:rPr>
        <w:t>ُ</w:t>
      </w:r>
      <w:r w:rsidRPr="00B855F4">
        <w:rPr>
          <w:rFonts w:ascii="Traditional Arabic" w:hAnsi="Traditional Arabic"/>
          <w:noProof w:val="0"/>
          <w:rtl/>
          <w:lang w:eastAsia="en-US"/>
        </w:rPr>
        <w:t xml:space="preserve"> الس</w:t>
      </w:r>
      <w:r>
        <w:rPr>
          <w:rFonts w:ascii="Traditional Arabic" w:hAnsi="Traditional Arabic" w:hint="cs"/>
          <w:noProof w:val="0"/>
          <w:rtl/>
          <w:lang w:eastAsia="en-US"/>
        </w:rPr>
        <w:t>ُّ</w:t>
      </w:r>
      <w:r w:rsidRPr="00B855F4">
        <w:rPr>
          <w:rFonts w:ascii="Traditional Arabic" w:hAnsi="Traditional Arabic"/>
          <w:noProof w:val="0"/>
          <w:rtl/>
          <w:lang w:eastAsia="en-US"/>
        </w:rPr>
        <w:t>م</w:t>
      </w:r>
      <w:r>
        <w:rPr>
          <w:rFonts w:ascii="Traditional Arabic" w:hAnsi="Traditional Arabic" w:hint="cs"/>
          <w:noProof w:val="0"/>
          <w:rtl/>
          <w:lang w:eastAsia="en-US"/>
        </w:rPr>
        <w:t>ْ</w:t>
      </w:r>
      <w:r w:rsidRPr="00B855F4">
        <w:rPr>
          <w:rFonts w:ascii="Traditional Arabic" w:hAnsi="Traditional Arabic"/>
          <w:noProof w:val="0"/>
          <w:rtl/>
          <w:lang w:eastAsia="en-US"/>
        </w:rPr>
        <w:t>ك ولكنها كثيرة</w:t>
      </w:r>
      <w:r>
        <w:rPr>
          <w:rFonts w:ascii="Traditional Arabic" w:hAnsi="Traditional Arabic" w:hint="cs"/>
          <w:noProof w:val="0"/>
          <w:rtl/>
          <w:lang w:eastAsia="en-US"/>
        </w:rPr>
        <w:t>ُ</w:t>
      </w:r>
      <w:r w:rsidRPr="00B855F4">
        <w:rPr>
          <w:rFonts w:ascii="Traditional Arabic" w:hAnsi="Traditional Arabic"/>
          <w:noProof w:val="0"/>
          <w:rtl/>
          <w:lang w:eastAsia="en-US"/>
        </w:rPr>
        <w:t xml:space="preserve"> الع</w:t>
      </w:r>
      <w:r>
        <w:rPr>
          <w:rFonts w:ascii="Traditional Arabic" w:hAnsi="Traditional Arabic" w:hint="cs"/>
          <w:noProof w:val="0"/>
          <w:rtl/>
          <w:lang w:eastAsia="en-US"/>
        </w:rPr>
        <w:t>َ</w:t>
      </w:r>
      <w:r w:rsidRPr="00B855F4">
        <w:rPr>
          <w:rFonts w:ascii="Traditional Arabic" w:hAnsi="Traditional Arabic"/>
          <w:noProof w:val="0"/>
          <w:rtl/>
          <w:lang w:eastAsia="en-US"/>
        </w:rPr>
        <w:t>دد</w:t>
      </w:r>
      <w:r>
        <w:rPr>
          <w:rFonts w:ascii="Traditional Arabic" w:hAnsi="Traditional Arabic" w:hint="cs"/>
          <w:noProof w:val="0"/>
          <w:rtl/>
          <w:lang w:eastAsia="en-US"/>
        </w:rPr>
        <w:t>،</w:t>
      </w:r>
      <w:r w:rsidRPr="00B855F4">
        <w:rPr>
          <w:rFonts w:ascii="Traditional Arabic" w:hAnsi="Traditional Arabic"/>
          <w:noProof w:val="0"/>
          <w:rtl/>
          <w:lang w:eastAsia="en-US"/>
        </w:rPr>
        <w:t xml:space="preserve"> والعكس بالعكس</w:t>
      </w:r>
      <w:r>
        <w:rPr>
          <w:rFonts w:ascii="Traditional Arabic" w:hAnsi="Traditional Arabic" w:hint="cs"/>
          <w:noProof w:val="0"/>
          <w:color w:val="auto"/>
          <w:rtl/>
          <w:lang w:eastAsia="en-US"/>
        </w:rPr>
        <w:t>، فالغرر في ذلك ظاهر</w:t>
      </w:r>
      <w:r w:rsidRPr="00C821A1">
        <w:rPr>
          <w:rStyle w:val="af1"/>
          <w:szCs w:val="32"/>
          <w:rtl/>
        </w:rPr>
        <w:t>(</w:t>
      </w:r>
      <w:r w:rsidRPr="00C821A1">
        <w:rPr>
          <w:rStyle w:val="af1"/>
          <w:szCs w:val="32"/>
          <w:rtl/>
        </w:rPr>
        <w:footnoteReference w:id="1887"/>
      </w:r>
      <w:r w:rsidRPr="00C821A1">
        <w:rPr>
          <w:rStyle w:val="af1"/>
          <w:szCs w:val="32"/>
          <w:rtl/>
        </w:rPr>
        <w:t>)</w:t>
      </w:r>
      <w:r>
        <w:rPr>
          <w:rFonts w:ascii="Traditional Arabic" w:hAnsi="Traditional Arabic" w:hint="cs"/>
          <w:noProof w:val="0"/>
          <w:color w:val="auto"/>
          <w:rtl/>
          <w:lang w:eastAsia="en-US"/>
        </w:rPr>
        <w:t>.</w:t>
      </w:r>
    </w:p>
    <w:p w:rsidR="00065E4B" w:rsidRDefault="00065E4B" w:rsidP="00597C20">
      <w:pPr>
        <w:pStyle w:val="53"/>
        <w:rPr>
          <w:rtl/>
        </w:rPr>
      </w:pPr>
      <w:r>
        <w:rPr>
          <w:rFonts w:hint="cs"/>
          <w:rtl/>
        </w:rPr>
        <w:t>و</w:t>
      </w:r>
      <w:r w:rsidR="00E269AD">
        <w:rPr>
          <w:rFonts w:hint="cs"/>
          <w:rtl/>
        </w:rPr>
        <w:t>جه اندراج الفرع تحت القاعدة:</w:t>
      </w:r>
    </w:p>
    <w:p w:rsidR="00E269AD" w:rsidRDefault="00407555"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E269AD">
        <w:rPr>
          <w:rFonts w:ascii="Traditional Arabic" w:hAnsi="Traditional Arabic" w:hint="cs"/>
          <w:noProof w:val="0"/>
          <w:color w:val="auto"/>
          <w:rtl/>
          <w:lang w:eastAsia="en-US"/>
        </w:rPr>
        <w:t>ن هذه الأوراق وإن كانت مشاهدةً، إلا أن مجرَّد رؤية الربطة لا تكفي لضبطها، لاختلاف الأوراق في سمكها وعددها، مما يؤدي إلى جَهالةالثمن، وكلُّ مجهول</w:t>
      </w:r>
      <w:r w:rsidR="00E269AD" w:rsidRPr="00C821A1">
        <w:rPr>
          <w:rStyle w:val="af1"/>
          <w:szCs w:val="32"/>
          <w:rtl/>
        </w:rPr>
        <w:t>(</w:t>
      </w:r>
      <w:r w:rsidR="00E269AD" w:rsidRPr="00C821A1">
        <w:rPr>
          <w:rStyle w:val="af1"/>
          <w:szCs w:val="32"/>
          <w:rtl/>
        </w:rPr>
        <w:footnoteReference w:id="1888"/>
      </w:r>
      <w:r w:rsidR="00E269AD" w:rsidRPr="00C821A1">
        <w:rPr>
          <w:rStyle w:val="af1"/>
          <w:szCs w:val="32"/>
          <w:rtl/>
        </w:rPr>
        <w:t>)</w:t>
      </w:r>
      <w:r>
        <w:rPr>
          <w:rFonts w:ascii="Traditional Arabic" w:hAnsi="Traditional Arabic" w:hint="cs"/>
          <w:noProof w:val="0"/>
          <w:color w:val="auto"/>
          <w:rtl/>
          <w:lang w:eastAsia="en-US"/>
        </w:rPr>
        <w:t xml:space="preserve"> فهو غرر، والقاعدة تقول: إ</w:t>
      </w:r>
      <w:r w:rsidR="00E269AD">
        <w:rPr>
          <w:rFonts w:ascii="Traditional Arabic" w:hAnsi="Traditional Arabic" w:hint="cs"/>
          <w:noProof w:val="0"/>
          <w:color w:val="auto"/>
          <w:rtl/>
          <w:lang w:eastAsia="en-US"/>
        </w:rPr>
        <w:t>ن مدار المعاملات المحرمة على الربا والظلم والغرر</w:t>
      </w:r>
      <w:r w:rsidR="00E269AD" w:rsidRPr="00C821A1">
        <w:rPr>
          <w:rStyle w:val="af1"/>
          <w:szCs w:val="32"/>
          <w:rtl/>
        </w:rPr>
        <w:t>(</w:t>
      </w:r>
      <w:r w:rsidR="00E269AD" w:rsidRPr="00C821A1">
        <w:rPr>
          <w:rStyle w:val="af1"/>
          <w:szCs w:val="32"/>
          <w:rtl/>
        </w:rPr>
        <w:footnoteReference w:id="1889"/>
      </w:r>
      <w:r w:rsidR="00E269AD" w:rsidRPr="00C821A1">
        <w:rPr>
          <w:rStyle w:val="af1"/>
          <w:szCs w:val="32"/>
          <w:rtl/>
        </w:rPr>
        <w:t>)</w:t>
      </w:r>
      <w:r w:rsidR="00E269AD">
        <w:rPr>
          <w:rFonts w:ascii="Traditional Arabic" w:hAnsi="Traditional Arabic" w:hint="cs"/>
          <w:noProof w:val="0"/>
          <w:color w:val="auto"/>
          <w:rtl/>
          <w:lang w:eastAsia="en-US"/>
        </w:rPr>
        <w:t>.</w:t>
      </w:r>
    </w:p>
    <w:p w:rsidR="00E269AD" w:rsidRDefault="00E269AD" w:rsidP="000A76C7">
      <w:pPr>
        <w:pStyle w:val="afc"/>
        <w:widowControl/>
        <w:numPr>
          <w:ilvl w:val="0"/>
          <w:numId w:val="256"/>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rtl/>
          <w:lang w:eastAsia="en-US"/>
        </w:rPr>
        <w:lastRenderedPageBreak/>
        <w:t>من</w:t>
      </w:r>
      <w:r>
        <w:rPr>
          <w:rFonts w:ascii="Traditional Arabic" w:hAnsi="Traditional Arabic"/>
          <w:noProof w:val="0"/>
          <w:rtl/>
          <w:lang w:eastAsia="en-US"/>
        </w:rPr>
        <w:t xml:space="preserve"> المعاملات المشهورة الآن، </w:t>
      </w:r>
      <w:r>
        <w:rPr>
          <w:rFonts w:ascii="Traditional Arabic" w:hAnsi="Traditional Arabic" w:hint="cs"/>
          <w:noProof w:val="0"/>
          <w:rtl/>
          <w:lang w:eastAsia="en-US"/>
        </w:rPr>
        <w:t>ما يسميه الناس</w:t>
      </w:r>
      <w:r w:rsidR="00407555">
        <w:rPr>
          <w:rFonts w:ascii="Traditional Arabic" w:hAnsi="Traditional Arabic" w:hint="cs"/>
          <w:noProof w:val="0"/>
          <w:rtl/>
          <w:lang w:eastAsia="en-US"/>
        </w:rPr>
        <w:t xml:space="preserve"> </w:t>
      </w:r>
      <w:r w:rsidRPr="00E87596">
        <w:rPr>
          <w:rFonts w:ascii="Traditional Arabic" w:hAnsi="Traditional Arabic"/>
          <w:noProof w:val="0"/>
          <w:rtl/>
          <w:lang w:eastAsia="en-US"/>
        </w:rPr>
        <w:t xml:space="preserve">التقسيط، </w:t>
      </w:r>
      <w:r>
        <w:rPr>
          <w:rFonts w:ascii="Traditional Arabic" w:hAnsi="Traditional Arabic" w:hint="cs"/>
          <w:noProof w:val="0"/>
          <w:rtl/>
          <w:lang w:eastAsia="en-US"/>
        </w:rPr>
        <w:t xml:space="preserve">وصورتها </w:t>
      </w:r>
      <w:r w:rsidRPr="00E87596">
        <w:rPr>
          <w:rFonts w:ascii="Traditional Arabic" w:hAnsi="Traditional Arabic"/>
          <w:noProof w:val="0"/>
          <w:rtl/>
          <w:lang w:eastAsia="en-US"/>
        </w:rPr>
        <w:t>أن يختار المشتري سلعة معي</w:t>
      </w:r>
      <w:r>
        <w:rPr>
          <w:rFonts w:ascii="Traditional Arabic" w:hAnsi="Traditional Arabic" w:hint="cs"/>
          <w:noProof w:val="0"/>
          <w:rtl/>
          <w:lang w:eastAsia="en-US"/>
        </w:rPr>
        <w:t>َّ</w:t>
      </w:r>
      <w:r w:rsidRPr="00E87596">
        <w:rPr>
          <w:rFonts w:ascii="Traditional Arabic" w:hAnsi="Traditional Arabic"/>
          <w:noProof w:val="0"/>
          <w:rtl/>
          <w:lang w:eastAsia="en-US"/>
        </w:rPr>
        <w:t>نة، ثم يذهب إلى تاجر من التجار ويقول: اشتر</w:t>
      </w:r>
      <w:r>
        <w:rPr>
          <w:rFonts w:ascii="Traditional Arabic" w:hAnsi="Traditional Arabic" w:hint="cs"/>
          <w:noProof w:val="0"/>
          <w:rtl/>
          <w:lang w:eastAsia="en-US"/>
        </w:rPr>
        <w:t>ِ</w:t>
      </w:r>
      <w:r w:rsidRPr="00E87596">
        <w:rPr>
          <w:rFonts w:ascii="Traditional Arabic" w:hAnsi="Traditional Arabic"/>
          <w:noProof w:val="0"/>
          <w:rtl/>
          <w:lang w:eastAsia="en-US"/>
        </w:rPr>
        <w:t>ها لي ثم ب</w:t>
      </w:r>
      <w:r>
        <w:rPr>
          <w:rFonts w:ascii="Traditional Arabic" w:hAnsi="Traditional Arabic" w:hint="cs"/>
          <w:noProof w:val="0"/>
          <w:rtl/>
          <w:lang w:eastAsia="en-US"/>
        </w:rPr>
        <w:t>ِ</w:t>
      </w:r>
      <w:r w:rsidRPr="00E87596">
        <w:rPr>
          <w:rFonts w:ascii="Traditional Arabic" w:hAnsi="Traditional Arabic"/>
          <w:noProof w:val="0"/>
          <w:rtl/>
          <w:lang w:eastAsia="en-US"/>
        </w:rPr>
        <w:t>ع</w:t>
      </w:r>
      <w:r>
        <w:rPr>
          <w:rFonts w:ascii="Traditional Arabic" w:hAnsi="Traditional Arabic" w:hint="cs"/>
          <w:noProof w:val="0"/>
          <w:rtl/>
          <w:lang w:eastAsia="en-US"/>
        </w:rPr>
        <w:t>ْ</w:t>
      </w:r>
      <w:r w:rsidRPr="00E87596">
        <w:rPr>
          <w:rFonts w:ascii="Traditional Arabic" w:hAnsi="Traditional Arabic"/>
          <w:noProof w:val="0"/>
          <w:rtl/>
          <w:lang w:eastAsia="en-US"/>
        </w:rPr>
        <w:t>ها علي</w:t>
      </w:r>
      <w:r>
        <w:rPr>
          <w:rFonts w:ascii="Traditional Arabic" w:hAnsi="Traditional Arabic" w:hint="cs"/>
          <w:noProof w:val="0"/>
          <w:rtl/>
          <w:lang w:eastAsia="en-US"/>
        </w:rPr>
        <w:t>َّ</w:t>
      </w:r>
      <w:r w:rsidRPr="00E87596">
        <w:rPr>
          <w:rFonts w:ascii="Traditional Arabic" w:hAnsi="Traditional Arabic"/>
          <w:noProof w:val="0"/>
          <w:rtl/>
          <w:lang w:eastAsia="en-US"/>
        </w:rPr>
        <w:t xml:space="preserve"> بربح</w:t>
      </w:r>
      <w:r>
        <w:rPr>
          <w:rFonts w:ascii="Traditional Arabic" w:hAnsi="Traditional Arabic" w:hint="cs"/>
          <w:noProof w:val="0"/>
          <w:rtl/>
          <w:lang w:eastAsia="en-US"/>
        </w:rPr>
        <w:t>ٍ</w:t>
      </w:r>
      <w:r w:rsidRPr="00E87596">
        <w:rPr>
          <w:rFonts w:ascii="Traditional Arabic" w:hAnsi="Traditional Arabic"/>
          <w:noProof w:val="0"/>
          <w:rtl/>
          <w:lang w:eastAsia="en-US"/>
        </w:rPr>
        <w:t>، فهذا واضح</w:t>
      </w:r>
      <w:r>
        <w:rPr>
          <w:rFonts w:ascii="Traditional Arabic" w:hAnsi="Traditional Arabic" w:hint="cs"/>
          <w:noProof w:val="0"/>
          <w:rtl/>
          <w:lang w:eastAsia="en-US"/>
        </w:rPr>
        <w:t>ٌ</w:t>
      </w:r>
      <w:r w:rsidRPr="00E87596">
        <w:rPr>
          <w:rFonts w:ascii="Traditional Arabic" w:hAnsi="Traditional Arabic"/>
          <w:noProof w:val="0"/>
          <w:rtl/>
          <w:lang w:eastAsia="en-US"/>
        </w:rPr>
        <w:t xml:space="preserve"> أنه ربا ولا يخفى إلا على إنسان لم يتأم</w:t>
      </w:r>
      <w:r>
        <w:rPr>
          <w:rFonts w:ascii="Traditional Arabic" w:hAnsi="Traditional Arabic" w:hint="cs"/>
          <w:noProof w:val="0"/>
          <w:rtl/>
          <w:lang w:eastAsia="en-US"/>
        </w:rPr>
        <w:t>َّ</w:t>
      </w:r>
      <w:r w:rsidRPr="00E87596">
        <w:rPr>
          <w:rFonts w:ascii="Traditional Arabic" w:hAnsi="Traditional Arabic"/>
          <w:noProof w:val="0"/>
          <w:rtl/>
          <w:lang w:eastAsia="en-US"/>
        </w:rPr>
        <w:t>ل؛ لأن حقيقته أنه أقرضه الثمن بزائد، فبدلا</w:t>
      </w:r>
      <w:r>
        <w:rPr>
          <w:rFonts w:ascii="Traditional Arabic" w:hAnsi="Traditional Arabic" w:hint="cs"/>
          <w:noProof w:val="0"/>
          <w:rtl/>
          <w:lang w:eastAsia="en-US"/>
        </w:rPr>
        <w:t>ً</w:t>
      </w:r>
      <w:r w:rsidRPr="00E87596">
        <w:rPr>
          <w:rFonts w:ascii="Traditional Arabic" w:hAnsi="Traditional Arabic"/>
          <w:noProof w:val="0"/>
          <w:rtl/>
          <w:lang w:eastAsia="en-US"/>
        </w:rPr>
        <w:t xml:space="preserve"> من أن يقول: أعطني ـ مثلا ـ قيمة هذه السلعة وأعطيك فيها ر</w:t>
      </w:r>
      <w:r w:rsidR="00407555">
        <w:rPr>
          <w:rFonts w:ascii="Traditional Arabic" w:hAnsi="Traditional Arabic" w:hint="cs"/>
          <w:noProof w:val="0"/>
          <w:rtl/>
          <w:lang w:eastAsia="en-US"/>
        </w:rPr>
        <w:t>ِ</w:t>
      </w:r>
      <w:r w:rsidRPr="00E87596">
        <w:rPr>
          <w:rFonts w:ascii="Traditional Arabic" w:hAnsi="Traditional Arabic"/>
          <w:noProof w:val="0"/>
          <w:rtl/>
          <w:lang w:eastAsia="en-US"/>
        </w:rPr>
        <w:t>بحا</w:t>
      </w:r>
      <w:r w:rsidR="00407555">
        <w:rPr>
          <w:rFonts w:ascii="Traditional Arabic" w:hAnsi="Traditional Arabic" w:hint="cs"/>
          <w:noProof w:val="0"/>
          <w:rtl/>
          <w:lang w:eastAsia="en-US"/>
        </w:rPr>
        <w:t>ً</w:t>
      </w:r>
      <w:r w:rsidRPr="00E87596">
        <w:rPr>
          <w:rFonts w:ascii="Traditional Arabic" w:hAnsi="Traditional Arabic"/>
          <w:noProof w:val="0"/>
          <w:rtl/>
          <w:lang w:eastAsia="en-US"/>
        </w:rPr>
        <w:t>، قال: اشترها لي ثم بعها علي، والتاجر لم ي</w:t>
      </w:r>
      <w:r>
        <w:rPr>
          <w:rFonts w:ascii="Traditional Arabic" w:hAnsi="Traditional Arabic" w:hint="cs"/>
          <w:noProof w:val="0"/>
          <w:rtl/>
          <w:lang w:eastAsia="en-US"/>
        </w:rPr>
        <w:t>ُ</w:t>
      </w:r>
      <w:r w:rsidRPr="00E87596">
        <w:rPr>
          <w:rFonts w:ascii="Traditional Arabic" w:hAnsi="Traditional Arabic"/>
          <w:noProof w:val="0"/>
          <w:rtl/>
          <w:lang w:eastAsia="en-US"/>
        </w:rPr>
        <w:t>ر</w:t>
      </w:r>
      <w:r>
        <w:rPr>
          <w:rFonts w:ascii="Traditional Arabic" w:hAnsi="Traditional Arabic" w:hint="cs"/>
          <w:noProof w:val="0"/>
          <w:rtl/>
          <w:lang w:eastAsia="en-US"/>
        </w:rPr>
        <w:t>ِ</w:t>
      </w:r>
      <w:r w:rsidRPr="00E87596">
        <w:rPr>
          <w:rFonts w:ascii="Traditional Arabic" w:hAnsi="Traditional Arabic"/>
          <w:noProof w:val="0"/>
          <w:rtl/>
          <w:lang w:eastAsia="en-US"/>
        </w:rPr>
        <w:t>د الشراء إطلاقا</w:t>
      </w:r>
      <w:r>
        <w:rPr>
          <w:rFonts w:ascii="Traditional Arabic" w:hAnsi="Traditional Arabic" w:hint="cs"/>
          <w:noProof w:val="0"/>
          <w:rtl/>
          <w:lang w:eastAsia="en-US"/>
        </w:rPr>
        <w:t>ً</w:t>
      </w:r>
      <w:r w:rsidRPr="00E87596">
        <w:rPr>
          <w:rFonts w:ascii="Traditional Arabic" w:hAnsi="Traditional Arabic"/>
          <w:noProof w:val="0"/>
          <w:rtl/>
          <w:lang w:eastAsia="en-US"/>
        </w:rPr>
        <w:t>، ولولا هذا ما اشتراها ب</w:t>
      </w:r>
      <w:r>
        <w:rPr>
          <w:rFonts w:ascii="Traditional Arabic" w:hAnsi="Traditional Arabic" w:hint="cs"/>
          <w:noProof w:val="0"/>
          <w:rtl/>
          <w:lang w:eastAsia="en-US"/>
        </w:rPr>
        <w:t>ِ</w:t>
      </w:r>
      <w:r w:rsidRPr="00E87596">
        <w:rPr>
          <w:rFonts w:ascii="Traditional Arabic" w:hAnsi="Traditional Arabic"/>
          <w:noProof w:val="0"/>
          <w:rtl/>
          <w:lang w:eastAsia="en-US"/>
        </w:rPr>
        <w:t>ف</w:t>
      </w:r>
      <w:r>
        <w:rPr>
          <w:rFonts w:ascii="Traditional Arabic" w:hAnsi="Traditional Arabic" w:hint="cs"/>
          <w:noProof w:val="0"/>
          <w:rtl/>
          <w:lang w:eastAsia="en-US"/>
        </w:rPr>
        <w:t>ِ</w:t>
      </w:r>
      <w:r w:rsidRPr="00E87596">
        <w:rPr>
          <w:rFonts w:ascii="Traditional Arabic" w:hAnsi="Traditional Arabic"/>
          <w:noProof w:val="0"/>
          <w:rtl/>
          <w:lang w:eastAsia="en-US"/>
        </w:rPr>
        <w:t>ل</w:t>
      </w:r>
      <w:r>
        <w:rPr>
          <w:rFonts w:ascii="Traditional Arabic" w:hAnsi="Traditional Arabic" w:hint="cs"/>
          <w:noProof w:val="0"/>
          <w:rtl/>
          <w:lang w:eastAsia="en-US"/>
        </w:rPr>
        <w:t>ْ</w:t>
      </w:r>
      <w:r w:rsidRPr="00E87596">
        <w:rPr>
          <w:rFonts w:ascii="Traditional Arabic" w:hAnsi="Traditional Arabic"/>
          <w:noProof w:val="0"/>
          <w:rtl/>
          <w:lang w:eastAsia="en-US"/>
        </w:rPr>
        <w:t>س</w:t>
      </w:r>
      <w:r>
        <w:rPr>
          <w:rFonts w:ascii="Traditional Arabic" w:hAnsi="Traditional Arabic" w:hint="cs"/>
          <w:noProof w:val="0"/>
          <w:rtl/>
          <w:lang w:eastAsia="en-US"/>
        </w:rPr>
        <w:t>ٍ</w:t>
      </w:r>
      <w:r w:rsidRPr="00E87596">
        <w:rPr>
          <w:rFonts w:ascii="Traditional Arabic" w:hAnsi="Traditional Arabic"/>
          <w:noProof w:val="0"/>
          <w:rtl/>
          <w:lang w:eastAsia="en-US"/>
        </w:rPr>
        <w:t xml:space="preserve"> واحد، وواضح أن المقصود هو الربا، ولا يشكل هذا على إنسان إذا تأمله</w:t>
      </w:r>
      <w:r w:rsidRPr="00C821A1">
        <w:rPr>
          <w:rStyle w:val="af1"/>
          <w:szCs w:val="32"/>
          <w:rtl/>
        </w:rPr>
        <w:t>(</w:t>
      </w:r>
      <w:r w:rsidRPr="00C821A1">
        <w:rPr>
          <w:rStyle w:val="af1"/>
          <w:szCs w:val="32"/>
          <w:rtl/>
        </w:rPr>
        <w:footnoteReference w:id="1890"/>
      </w:r>
      <w:r w:rsidRPr="00C821A1">
        <w:rPr>
          <w:rStyle w:val="af1"/>
          <w:szCs w:val="32"/>
          <w:rtl/>
        </w:rPr>
        <w:t>)</w:t>
      </w:r>
      <w:r>
        <w:rPr>
          <w:rFonts w:ascii="Traditional Arabic" w:hAnsi="Traditional Arabic" w:hint="cs"/>
          <w:noProof w:val="0"/>
          <w:color w:val="auto"/>
          <w:rtl/>
          <w:lang w:eastAsia="en-US"/>
        </w:rPr>
        <w:t>.</w:t>
      </w:r>
    </w:p>
    <w:p w:rsidR="00E269AD" w:rsidRDefault="00E269AD" w:rsidP="00597C20">
      <w:pPr>
        <w:pStyle w:val="53"/>
        <w:rPr>
          <w:rtl/>
        </w:rPr>
      </w:pPr>
      <w:r>
        <w:rPr>
          <w:rFonts w:hint="cs"/>
          <w:rtl/>
        </w:rPr>
        <w:t>وجه اندراج الفرع تحت القاعدة:</w:t>
      </w:r>
    </w:p>
    <w:p w:rsidR="00E269AD" w:rsidRPr="00CB6849" w:rsidRDefault="00E269AD" w:rsidP="00597C20">
      <w:pPr>
        <w:widowControl/>
        <w:autoSpaceDE w:val="0"/>
        <w:autoSpaceDN w:val="0"/>
        <w:adjustRightInd w:val="0"/>
        <w:ind w:firstLine="720"/>
        <w:rPr>
          <w:rFonts w:ascii="Traditional Arabic" w:hAnsi="Traditional Arabic"/>
          <w:noProof w:val="0"/>
          <w:color w:val="auto"/>
          <w:rtl/>
          <w:lang w:eastAsia="en-US"/>
        </w:rPr>
      </w:pPr>
      <w:r w:rsidRPr="00CB6849">
        <w:rPr>
          <w:rFonts w:ascii="Traditional Arabic" w:hAnsi="Traditional Arabic" w:hint="cs"/>
          <w:noProof w:val="0"/>
          <w:color w:val="auto"/>
          <w:rtl/>
          <w:lang w:eastAsia="en-US"/>
        </w:rPr>
        <w:t>أن هذه الصورة مما لا يخفى أنها من الربا الواضح؛ ولذا فإنها غير جائزة؛ لأن مدار المعاملات المحرمة على الربا والظلم والغرر.</w:t>
      </w:r>
    </w:p>
    <w:p w:rsidR="00065E4B" w:rsidRPr="00776119" w:rsidRDefault="00E269AD" w:rsidP="000A76C7">
      <w:pPr>
        <w:pStyle w:val="afc"/>
        <w:widowControl/>
        <w:numPr>
          <w:ilvl w:val="0"/>
          <w:numId w:val="256"/>
        </w:numPr>
        <w:autoSpaceDE w:val="0"/>
        <w:autoSpaceDN w:val="0"/>
        <w:adjustRightInd w:val="0"/>
        <w:jc w:val="left"/>
        <w:rPr>
          <w:rFonts w:ascii="Traditional Arabic" w:hAnsi="Traditional Arabic"/>
          <w:noProof w:val="0"/>
          <w:rtl/>
          <w:lang w:eastAsia="en-US"/>
        </w:rPr>
      </w:pPr>
      <w:r>
        <w:rPr>
          <w:rFonts w:ascii="Traditional Arabic" w:hAnsi="Traditional Arabic"/>
          <w:noProof w:val="0"/>
          <w:rtl/>
          <w:lang w:eastAsia="en-US"/>
        </w:rPr>
        <w:t>يحرم</w:t>
      </w:r>
      <w:r w:rsidRPr="00776119">
        <w:rPr>
          <w:rFonts w:ascii="Traditional Arabic" w:hAnsi="Traditional Arabic"/>
          <w:noProof w:val="0"/>
          <w:rtl/>
          <w:lang w:eastAsia="en-US"/>
        </w:rPr>
        <w:t xml:space="preserve"> في القرض كل شرط يشترطه المقر</w:t>
      </w:r>
      <w:r>
        <w:rPr>
          <w:rFonts w:ascii="Traditional Arabic" w:hAnsi="Traditional Arabic" w:hint="cs"/>
          <w:noProof w:val="0"/>
          <w:rtl/>
          <w:lang w:eastAsia="en-US"/>
        </w:rPr>
        <w:t>ِ</w:t>
      </w:r>
      <w:r w:rsidRPr="00776119">
        <w:rPr>
          <w:rFonts w:ascii="Traditional Arabic" w:hAnsi="Traditional Arabic"/>
          <w:noProof w:val="0"/>
          <w:rtl/>
          <w:lang w:eastAsia="en-US"/>
        </w:rPr>
        <w:t>ض يجر</w:t>
      </w:r>
      <w:r>
        <w:rPr>
          <w:rFonts w:ascii="Traditional Arabic" w:hAnsi="Traditional Arabic" w:hint="cs"/>
          <w:noProof w:val="0"/>
          <w:rtl/>
          <w:lang w:eastAsia="en-US"/>
        </w:rPr>
        <w:t>ُّ</w:t>
      </w:r>
      <w:r w:rsidRPr="00776119">
        <w:rPr>
          <w:rFonts w:ascii="Traditional Arabic" w:hAnsi="Traditional Arabic"/>
          <w:noProof w:val="0"/>
          <w:rtl/>
          <w:lang w:eastAsia="en-US"/>
        </w:rPr>
        <w:t xml:space="preserve"> إليه ن</w:t>
      </w:r>
      <w:r>
        <w:rPr>
          <w:rFonts w:ascii="Traditional Arabic" w:hAnsi="Traditional Arabic" w:hint="cs"/>
          <w:noProof w:val="0"/>
          <w:rtl/>
          <w:lang w:eastAsia="en-US"/>
        </w:rPr>
        <w:t>َ</w:t>
      </w:r>
      <w:r w:rsidRPr="00776119">
        <w:rPr>
          <w:rFonts w:ascii="Traditional Arabic" w:hAnsi="Traditional Arabic"/>
          <w:noProof w:val="0"/>
          <w:rtl/>
          <w:lang w:eastAsia="en-US"/>
        </w:rPr>
        <w:t>ف</w:t>
      </w:r>
      <w:r>
        <w:rPr>
          <w:rFonts w:ascii="Traditional Arabic" w:hAnsi="Traditional Arabic" w:hint="cs"/>
          <w:noProof w:val="0"/>
          <w:rtl/>
          <w:lang w:eastAsia="en-US"/>
        </w:rPr>
        <w:t>ْ</w:t>
      </w:r>
      <w:r w:rsidRPr="00776119">
        <w:rPr>
          <w:rFonts w:ascii="Traditional Arabic" w:hAnsi="Traditional Arabic"/>
          <w:noProof w:val="0"/>
          <w:rtl/>
          <w:lang w:eastAsia="en-US"/>
        </w:rPr>
        <w:t>عا</w:t>
      </w:r>
      <w:r>
        <w:rPr>
          <w:rFonts w:ascii="Traditional Arabic" w:hAnsi="Traditional Arabic" w:hint="cs"/>
          <w:noProof w:val="0"/>
          <w:rtl/>
          <w:lang w:eastAsia="en-US"/>
        </w:rPr>
        <w:t>ً</w:t>
      </w:r>
      <w:r w:rsidRPr="00776119">
        <w:rPr>
          <w:rFonts w:ascii="Traditional Arabic" w:hAnsi="Traditional Arabic"/>
          <w:noProof w:val="0"/>
          <w:rtl/>
          <w:lang w:eastAsia="en-US"/>
        </w:rPr>
        <w:t>.</w:t>
      </w:r>
    </w:p>
    <w:p w:rsidR="00E269AD" w:rsidRPr="007C2285" w:rsidRDefault="00065E4B" w:rsidP="00597C20">
      <w:pPr>
        <w:widowControl/>
        <w:autoSpaceDE w:val="0"/>
        <w:autoSpaceDN w:val="0"/>
        <w:adjustRightInd w:val="0"/>
        <w:rPr>
          <w:rFonts w:ascii="Traditional Arabic" w:hAnsi="Traditional Arabic"/>
          <w:noProof w:val="0"/>
          <w:rtl/>
          <w:lang w:eastAsia="en-US"/>
        </w:rPr>
      </w:pPr>
      <w:r w:rsidRPr="007C2285">
        <w:rPr>
          <w:rFonts w:ascii="Traditional Arabic" w:hAnsi="Traditional Arabic"/>
          <w:noProof w:val="0"/>
          <w:rtl/>
          <w:lang w:eastAsia="en-US"/>
        </w:rPr>
        <w:t>م</w:t>
      </w:r>
      <w:r w:rsidR="00E269AD" w:rsidRPr="007C2285">
        <w:rPr>
          <w:rFonts w:ascii="Traditional Arabic" w:hAnsi="Traditional Arabic"/>
          <w:noProof w:val="0"/>
          <w:rtl/>
          <w:lang w:eastAsia="en-US"/>
        </w:rPr>
        <w:t>ثال ذلك: جاء رجل إلى شخص، وقال: أريد أن ت</w:t>
      </w:r>
      <w:r w:rsidR="00E269AD" w:rsidRPr="007C2285">
        <w:rPr>
          <w:rFonts w:ascii="Traditional Arabic" w:hAnsi="Traditional Arabic" w:hint="cs"/>
          <w:noProof w:val="0"/>
          <w:rtl/>
          <w:lang w:eastAsia="en-US"/>
        </w:rPr>
        <w:t>ُ</w:t>
      </w:r>
      <w:r w:rsidR="00E269AD" w:rsidRPr="007C2285">
        <w:rPr>
          <w:rFonts w:ascii="Traditional Arabic" w:hAnsi="Traditional Arabic"/>
          <w:noProof w:val="0"/>
          <w:rtl/>
          <w:lang w:eastAsia="en-US"/>
        </w:rPr>
        <w:t>ق</w:t>
      </w:r>
      <w:r w:rsidR="00E269AD" w:rsidRPr="007C2285">
        <w:rPr>
          <w:rFonts w:ascii="Traditional Arabic" w:hAnsi="Traditional Arabic" w:hint="cs"/>
          <w:noProof w:val="0"/>
          <w:rtl/>
          <w:lang w:eastAsia="en-US"/>
        </w:rPr>
        <w:t>ْ</w:t>
      </w:r>
      <w:r w:rsidR="00E269AD" w:rsidRPr="007C2285">
        <w:rPr>
          <w:rFonts w:ascii="Traditional Arabic" w:hAnsi="Traditional Arabic"/>
          <w:noProof w:val="0"/>
          <w:rtl/>
          <w:lang w:eastAsia="en-US"/>
        </w:rPr>
        <w:t>ر</w:t>
      </w:r>
      <w:r w:rsidR="00E269AD" w:rsidRPr="007C2285">
        <w:rPr>
          <w:rFonts w:ascii="Traditional Arabic" w:hAnsi="Traditional Arabic" w:hint="cs"/>
          <w:noProof w:val="0"/>
          <w:rtl/>
          <w:lang w:eastAsia="en-US"/>
        </w:rPr>
        <w:t>ِ</w:t>
      </w:r>
      <w:r w:rsidR="00E269AD" w:rsidRPr="007C2285">
        <w:rPr>
          <w:rFonts w:ascii="Traditional Arabic" w:hAnsi="Traditional Arabic"/>
          <w:noProof w:val="0"/>
          <w:rtl/>
          <w:lang w:eastAsia="en-US"/>
        </w:rPr>
        <w:t>ضني مائة ألف، قال: ليس هناك مانع، لكن أسكن بيتك لمدة شهر، فهنا القرض جر</w:t>
      </w:r>
      <w:r w:rsidR="00E269AD" w:rsidRPr="007C2285">
        <w:rPr>
          <w:rFonts w:ascii="Traditional Arabic" w:hAnsi="Traditional Arabic" w:hint="cs"/>
          <w:noProof w:val="0"/>
          <w:rtl/>
          <w:lang w:eastAsia="en-US"/>
        </w:rPr>
        <w:t>َّ</w:t>
      </w:r>
      <w:r w:rsidR="00E269AD" w:rsidRPr="007C2285">
        <w:rPr>
          <w:rFonts w:ascii="Traditional Arabic" w:hAnsi="Traditional Arabic"/>
          <w:noProof w:val="0"/>
          <w:rtl/>
          <w:lang w:eastAsia="en-US"/>
        </w:rPr>
        <w:t xml:space="preserve"> نفعا للمقرض، فهذا حرام ولا يجو</w:t>
      </w:r>
      <w:r w:rsidR="00E269AD" w:rsidRPr="007C2285">
        <w:rPr>
          <w:rFonts w:ascii="Traditional Arabic" w:hAnsi="Traditional Arabic" w:hint="cs"/>
          <w:noProof w:val="0"/>
          <w:rtl/>
          <w:lang w:eastAsia="en-US"/>
        </w:rPr>
        <w:t>ز</w:t>
      </w:r>
      <w:r w:rsidR="00E269AD" w:rsidRPr="00C821A1">
        <w:rPr>
          <w:rStyle w:val="af1"/>
          <w:szCs w:val="32"/>
          <w:rtl/>
        </w:rPr>
        <w:t>(</w:t>
      </w:r>
      <w:r w:rsidR="00E269AD" w:rsidRPr="00C821A1">
        <w:rPr>
          <w:rStyle w:val="af1"/>
          <w:szCs w:val="32"/>
          <w:rtl/>
        </w:rPr>
        <w:footnoteReference w:id="1891"/>
      </w:r>
      <w:r w:rsidR="00E269AD" w:rsidRPr="00C821A1">
        <w:rPr>
          <w:rStyle w:val="af1"/>
          <w:szCs w:val="32"/>
          <w:rtl/>
        </w:rPr>
        <w:t>)</w:t>
      </w:r>
      <w:r w:rsidR="00E269AD" w:rsidRPr="007C2285">
        <w:rPr>
          <w:rFonts w:ascii="Traditional Arabic" w:hAnsi="Traditional Arabic"/>
          <w:noProof w:val="0"/>
          <w:rtl/>
          <w:lang w:eastAsia="en-US"/>
        </w:rPr>
        <w:t>.</w:t>
      </w:r>
    </w:p>
    <w:p w:rsidR="00065E4B" w:rsidRPr="00776119" w:rsidRDefault="00E269AD" w:rsidP="00597C20">
      <w:pPr>
        <w:pStyle w:val="53"/>
        <w:rPr>
          <w:rtl/>
        </w:rPr>
      </w:pPr>
      <w:r>
        <w:rPr>
          <w:rFonts w:hint="cs"/>
          <w:rtl/>
        </w:rPr>
        <w:t>وجه اندراج الفرع تحت القاعدة:</w:t>
      </w:r>
    </w:p>
    <w:p w:rsidR="00065E4B" w:rsidRPr="00776119" w:rsidRDefault="00065E4B" w:rsidP="00597C20">
      <w:pPr>
        <w:widowControl/>
        <w:autoSpaceDE w:val="0"/>
        <w:autoSpaceDN w:val="0"/>
        <w:adjustRightInd w:val="0"/>
        <w:ind w:firstLine="720"/>
        <w:rPr>
          <w:rFonts w:ascii="Traditional Arabic" w:hAnsi="Traditional Arabic"/>
          <w:noProof w:val="0"/>
          <w:rtl/>
          <w:lang w:eastAsia="en-US"/>
        </w:rPr>
      </w:pPr>
      <w:r w:rsidRPr="00776119">
        <w:rPr>
          <w:rFonts w:ascii="Traditional Arabic" w:hAnsi="Traditional Arabic"/>
          <w:noProof w:val="0"/>
          <w:rtl/>
          <w:lang w:eastAsia="en-US"/>
        </w:rPr>
        <w:t>ا</w:t>
      </w:r>
      <w:r w:rsidR="00E269AD" w:rsidRPr="00776119">
        <w:rPr>
          <w:rFonts w:ascii="Traditional Arabic" w:hAnsi="Traditional Arabic"/>
          <w:noProof w:val="0"/>
          <w:rtl/>
          <w:lang w:eastAsia="en-US"/>
        </w:rPr>
        <w:t>لأصل في القرض هو الإرفاق والإحسان إلى المقتر</w:t>
      </w:r>
      <w:r w:rsidR="00E269AD">
        <w:rPr>
          <w:rFonts w:ascii="Traditional Arabic" w:hAnsi="Traditional Arabic" w:hint="cs"/>
          <w:noProof w:val="0"/>
          <w:rtl/>
          <w:lang w:eastAsia="en-US"/>
        </w:rPr>
        <w:t>ِ</w:t>
      </w:r>
      <w:r w:rsidR="00E269AD" w:rsidRPr="00776119">
        <w:rPr>
          <w:rFonts w:ascii="Traditional Arabic" w:hAnsi="Traditional Arabic"/>
          <w:noProof w:val="0"/>
          <w:rtl/>
          <w:lang w:eastAsia="en-US"/>
        </w:rPr>
        <w:t>ض، فإذا د</w:t>
      </w:r>
      <w:r w:rsidR="00E269AD">
        <w:rPr>
          <w:rFonts w:ascii="Traditional Arabic" w:hAnsi="Traditional Arabic" w:hint="cs"/>
          <w:noProof w:val="0"/>
          <w:rtl/>
          <w:lang w:eastAsia="en-US"/>
        </w:rPr>
        <w:t>َ</w:t>
      </w:r>
      <w:r w:rsidR="00E269AD" w:rsidRPr="00776119">
        <w:rPr>
          <w:rFonts w:ascii="Traditional Arabic" w:hAnsi="Traditional Arabic"/>
          <w:noProof w:val="0"/>
          <w:rtl/>
          <w:lang w:eastAsia="en-US"/>
        </w:rPr>
        <w:t>خ</w:t>
      </w:r>
      <w:r w:rsidR="00E269AD">
        <w:rPr>
          <w:rFonts w:ascii="Traditional Arabic" w:hAnsi="Traditional Arabic" w:hint="cs"/>
          <w:noProof w:val="0"/>
          <w:rtl/>
          <w:lang w:eastAsia="en-US"/>
        </w:rPr>
        <w:t>َ</w:t>
      </w:r>
      <w:r w:rsidR="00E269AD" w:rsidRPr="00776119">
        <w:rPr>
          <w:rFonts w:ascii="Traditional Arabic" w:hAnsi="Traditional Arabic"/>
          <w:noProof w:val="0"/>
          <w:rtl/>
          <w:lang w:eastAsia="en-US"/>
        </w:rPr>
        <w:t>ل</w:t>
      </w:r>
      <w:r w:rsidR="00E269AD">
        <w:rPr>
          <w:rFonts w:ascii="Traditional Arabic" w:hAnsi="Traditional Arabic" w:hint="cs"/>
          <w:noProof w:val="0"/>
          <w:rtl/>
          <w:lang w:eastAsia="en-US"/>
        </w:rPr>
        <w:t>َ</w:t>
      </w:r>
      <w:r w:rsidR="00E269AD" w:rsidRPr="00776119">
        <w:rPr>
          <w:rFonts w:ascii="Traditional Arabic" w:hAnsi="Traditional Arabic"/>
          <w:noProof w:val="0"/>
          <w:rtl/>
          <w:lang w:eastAsia="en-US"/>
        </w:rPr>
        <w:t>ه الشرط</w:t>
      </w:r>
      <w:r w:rsidR="00E269AD">
        <w:rPr>
          <w:rFonts w:ascii="Traditional Arabic" w:hAnsi="Traditional Arabic" w:hint="cs"/>
          <w:noProof w:val="0"/>
          <w:rtl/>
          <w:lang w:eastAsia="en-US"/>
        </w:rPr>
        <w:t>ُ</w:t>
      </w:r>
      <w:r w:rsidR="00E269AD" w:rsidRPr="00776119">
        <w:rPr>
          <w:rFonts w:ascii="Traditional Arabic" w:hAnsi="Traditional Arabic"/>
          <w:noProof w:val="0"/>
          <w:rtl/>
          <w:lang w:eastAsia="en-US"/>
        </w:rPr>
        <w:t xml:space="preserve"> صار من باب المعاوضة، وإذا كان من باب المعاوضة، صار مشتملا</w:t>
      </w:r>
      <w:r w:rsidR="00E269AD">
        <w:rPr>
          <w:rFonts w:ascii="Traditional Arabic" w:hAnsi="Traditional Arabic" w:hint="cs"/>
          <w:noProof w:val="0"/>
          <w:rtl/>
          <w:lang w:eastAsia="en-US"/>
        </w:rPr>
        <w:t>ً</w:t>
      </w:r>
      <w:r w:rsidR="00E269AD" w:rsidRPr="00776119">
        <w:rPr>
          <w:rFonts w:ascii="Traditional Arabic" w:hAnsi="Traditional Arabic"/>
          <w:noProof w:val="0"/>
          <w:rtl/>
          <w:lang w:eastAsia="en-US"/>
        </w:rPr>
        <w:t xml:space="preserve"> على ربا الفضل وربا النسيئة، فاجتمع فيه الربا بنوعيه</w:t>
      </w:r>
      <w:r w:rsidR="00E269AD">
        <w:rPr>
          <w:rFonts w:ascii="Traditional Arabic" w:hAnsi="Traditional Arabic" w:hint="cs"/>
          <w:noProof w:val="0"/>
          <w:rtl/>
          <w:lang w:eastAsia="en-US"/>
        </w:rPr>
        <w:t>، ولهذا كان كل شرط يشترطه المقرض مما يجر إليه نفعا محرما؛ لأن مدار المعاملات المحرمة على الربا والظلم والغرر</w:t>
      </w:r>
      <w:r w:rsidR="00E269AD" w:rsidRPr="00C821A1">
        <w:rPr>
          <w:rStyle w:val="af1"/>
          <w:szCs w:val="32"/>
          <w:rtl/>
        </w:rPr>
        <w:t>(</w:t>
      </w:r>
      <w:r w:rsidR="00E269AD" w:rsidRPr="00C821A1">
        <w:rPr>
          <w:rStyle w:val="af1"/>
          <w:szCs w:val="32"/>
          <w:rtl/>
        </w:rPr>
        <w:footnoteReference w:id="1892"/>
      </w:r>
      <w:r w:rsidR="00E269AD" w:rsidRPr="00C821A1">
        <w:rPr>
          <w:rStyle w:val="af1"/>
          <w:szCs w:val="32"/>
          <w:rtl/>
        </w:rPr>
        <w:t>)</w:t>
      </w:r>
      <w:r w:rsidR="00E269AD" w:rsidRPr="00776119">
        <w:rPr>
          <w:rFonts w:ascii="Traditional Arabic" w:hAnsi="Traditional Arabic"/>
          <w:noProof w:val="0"/>
          <w:rtl/>
          <w:lang w:eastAsia="en-US"/>
        </w:rPr>
        <w:t>.</w:t>
      </w:r>
    </w:p>
    <w:p w:rsidR="00E269AD" w:rsidRPr="00E062C4" w:rsidRDefault="00065E4B" w:rsidP="000A76C7">
      <w:pPr>
        <w:pStyle w:val="afc"/>
        <w:widowControl/>
        <w:numPr>
          <w:ilvl w:val="0"/>
          <w:numId w:val="256"/>
        </w:numPr>
        <w:autoSpaceDE w:val="0"/>
        <w:autoSpaceDN w:val="0"/>
        <w:adjustRightInd w:val="0"/>
        <w:rPr>
          <w:rFonts w:ascii="Traditional Arabic" w:hAnsi="Traditional Arabic"/>
          <w:noProof w:val="0"/>
          <w:color w:val="auto"/>
          <w:lang w:eastAsia="en-US"/>
        </w:rPr>
      </w:pPr>
      <w:r w:rsidRPr="00E062C4">
        <w:rPr>
          <w:rFonts w:ascii="Traditional Arabic" w:hAnsi="Traditional Arabic"/>
          <w:noProof w:val="0"/>
          <w:rtl/>
          <w:lang w:eastAsia="en-US"/>
        </w:rPr>
        <w:lastRenderedPageBreak/>
        <w:t>م</w:t>
      </w:r>
      <w:r w:rsidR="00E269AD" w:rsidRPr="00E062C4">
        <w:rPr>
          <w:rFonts w:ascii="Traditional Arabic" w:hAnsi="Traditional Arabic"/>
          <w:noProof w:val="0"/>
          <w:rtl/>
          <w:lang w:eastAsia="en-US"/>
        </w:rPr>
        <w:t>ن تسل</w:t>
      </w:r>
      <w:r w:rsidR="00E269AD">
        <w:rPr>
          <w:rFonts w:ascii="Traditional Arabic" w:hAnsi="Traditional Arabic" w:hint="cs"/>
          <w:noProof w:val="0"/>
          <w:rtl/>
          <w:lang w:eastAsia="en-US"/>
        </w:rPr>
        <w:t>َّ</w:t>
      </w:r>
      <w:r w:rsidR="00E269AD" w:rsidRPr="00E062C4">
        <w:rPr>
          <w:rFonts w:ascii="Traditional Arabic" w:hAnsi="Traditional Arabic"/>
          <w:noProof w:val="0"/>
          <w:rtl/>
          <w:lang w:eastAsia="en-US"/>
        </w:rPr>
        <w:t>م ع</w:t>
      </w:r>
      <w:r w:rsidR="00E269AD">
        <w:rPr>
          <w:rFonts w:ascii="Traditional Arabic" w:hAnsi="Traditional Arabic" w:hint="cs"/>
          <w:noProof w:val="0"/>
          <w:rtl/>
          <w:lang w:eastAsia="en-US"/>
        </w:rPr>
        <w:t>َ</w:t>
      </w:r>
      <w:r w:rsidR="00E269AD" w:rsidRPr="00E062C4">
        <w:rPr>
          <w:rFonts w:ascii="Traditional Arabic" w:hAnsi="Traditional Arabic"/>
          <w:noProof w:val="0"/>
          <w:rtl/>
          <w:lang w:eastAsia="en-US"/>
        </w:rPr>
        <w:t>ينا</w:t>
      </w:r>
      <w:r w:rsidR="00E269AD">
        <w:rPr>
          <w:rFonts w:ascii="Traditional Arabic" w:hAnsi="Traditional Arabic" w:hint="cs"/>
          <w:noProof w:val="0"/>
          <w:rtl/>
          <w:lang w:eastAsia="en-US"/>
        </w:rPr>
        <w:t>ً</w:t>
      </w:r>
      <w:r w:rsidR="00E269AD">
        <w:rPr>
          <w:rFonts w:ascii="Traditional Arabic" w:hAnsi="Traditional Arabic"/>
          <w:noProof w:val="0"/>
          <w:rtl/>
          <w:lang w:eastAsia="en-US"/>
        </w:rPr>
        <w:t xml:space="preserve"> بإجارة فاسدة ف</w:t>
      </w:r>
      <w:r w:rsidR="00E269AD">
        <w:rPr>
          <w:rFonts w:ascii="Traditional Arabic" w:hAnsi="Traditional Arabic" w:hint="cs"/>
          <w:noProof w:val="0"/>
          <w:rtl/>
          <w:lang w:eastAsia="en-US"/>
        </w:rPr>
        <w:t>لا</w:t>
      </w:r>
      <w:r w:rsidR="00E269AD" w:rsidRPr="00E062C4">
        <w:rPr>
          <w:rFonts w:ascii="Traditional Arabic" w:hAnsi="Traditional Arabic"/>
          <w:noProof w:val="0"/>
          <w:rtl/>
          <w:lang w:eastAsia="en-US"/>
        </w:rPr>
        <w:t xml:space="preserve"> ع</w:t>
      </w:r>
      <w:r w:rsidR="00E269AD">
        <w:rPr>
          <w:rFonts w:ascii="Traditional Arabic" w:hAnsi="Traditional Arabic" w:hint="cs"/>
          <w:noProof w:val="0"/>
          <w:rtl/>
          <w:lang w:eastAsia="en-US"/>
        </w:rPr>
        <w:t>ِ</w:t>
      </w:r>
      <w:r w:rsidR="00E269AD" w:rsidRPr="00E062C4">
        <w:rPr>
          <w:rFonts w:ascii="Traditional Arabic" w:hAnsi="Traditional Arabic"/>
          <w:noProof w:val="0"/>
          <w:rtl/>
          <w:lang w:eastAsia="en-US"/>
        </w:rPr>
        <w:t>برة</w:t>
      </w:r>
      <w:r w:rsidR="00E269AD">
        <w:rPr>
          <w:rFonts w:ascii="Traditional Arabic" w:hAnsi="Traditional Arabic" w:hint="cs"/>
          <w:noProof w:val="0"/>
          <w:rtl/>
          <w:lang w:eastAsia="en-US"/>
        </w:rPr>
        <w:t>َ</w:t>
      </w:r>
      <w:r w:rsidR="00E269AD" w:rsidRPr="00E062C4">
        <w:rPr>
          <w:rFonts w:ascii="Traditional Arabic" w:hAnsi="Traditional Arabic"/>
          <w:noProof w:val="0"/>
          <w:rtl/>
          <w:lang w:eastAsia="en-US"/>
        </w:rPr>
        <w:t xml:space="preserve"> بما حصل عليه العقد، </w:t>
      </w:r>
      <w:r w:rsidR="00E269AD">
        <w:rPr>
          <w:rFonts w:ascii="Traditional Arabic" w:hAnsi="Traditional Arabic" w:hint="cs"/>
          <w:noProof w:val="0"/>
          <w:rtl/>
          <w:lang w:eastAsia="en-US"/>
        </w:rPr>
        <w:t xml:space="preserve">بل </w:t>
      </w:r>
      <w:r w:rsidR="00E269AD" w:rsidRPr="00E062C4">
        <w:rPr>
          <w:rFonts w:ascii="Traditional Arabic" w:hAnsi="Traditional Arabic"/>
          <w:noProof w:val="0"/>
          <w:rtl/>
          <w:lang w:eastAsia="en-US"/>
        </w:rPr>
        <w:t>ت</w:t>
      </w:r>
      <w:r w:rsidR="00E269AD">
        <w:rPr>
          <w:rFonts w:ascii="Traditional Arabic" w:hAnsi="Traditional Arabic" w:hint="cs"/>
          <w:noProof w:val="0"/>
          <w:rtl/>
          <w:lang w:eastAsia="en-US"/>
        </w:rPr>
        <w:t>ُ</w:t>
      </w:r>
      <w:r w:rsidR="00E269AD" w:rsidRPr="00E062C4">
        <w:rPr>
          <w:rFonts w:ascii="Traditional Arabic" w:hAnsi="Traditional Arabic"/>
          <w:noProof w:val="0"/>
          <w:rtl/>
          <w:lang w:eastAsia="en-US"/>
        </w:rPr>
        <w:t>فسخ الإجارة وي</w:t>
      </w:r>
      <w:r w:rsidR="00E269AD">
        <w:rPr>
          <w:rFonts w:ascii="Traditional Arabic" w:hAnsi="Traditional Arabic" w:hint="cs"/>
          <w:noProof w:val="0"/>
          <w:rtl/>
          <w:lang w:eastAsia="en-US"/>
        </w:rPr>
        <w:t>ُ</w:t>
      </w:r>
      <w:r w:rsidR="00E269AD" w:rsidRPr="00E062C4">
        <w:rPr>
          <w:rFonts w:ascii="Traditional Arabic" w:hAnsi="Traditional Arabic"/>
          <w:noProof w:val="0"/>
          <w:rtl/>
          <w:lang w:eastAsia="en-US"/>
        </w:rPr>
        <w:t>رج</w:t>
      </w:r>
      <w:r w:rsidR="00E269AD">
        <w:rPr>
          <w:rFonts w:ascii="Traditional Arabic" w:hAnsi="Traditional Arabic" w:hint="cs"/>
          <w:noProof w:val="0"/>
          <w:rtl/>
          <w:lang w:eastAsia="en-US"/>
        </w:rPr>
        <w:t>َ</w:t>
      </w:r>
      <w:r w:rsidR="00E269AD" w:rsidRPr="00E062C4">
        <w:rPr>
          <w:rFonts w:ascii="Traditional Arabic" w:hAnsi="Traditional Arabic"/>
          <w:noProof w:val="0"/>
          <w:rtl/>
          <w:lang w:eastAsia="en-US"/>
        </w:rPr>
        <w:t>ع إلى أ</w:t>
      </w:r>
      <w:r w:rsidR="00E269AD">
        <w:rPr>
          <w:rFonts w:ascii="Traditional Arabic" w:hAnsi="Traditional Arabic" w:hint="cs"/>
          <w:noProof w:val="0"/>
          <w:rtl/>
          <w:lang w:eastAsia="en-US"/>
        </w:rPr>
        <w:t>ُ</w:t>
      </w:r>
      <w:r w:rsidR="00E269AD" w:rsidRPr="00E062C4">
        <w:rPr>
          <w:rFonts w:ascii="Traditional Arabic" w:hAnsi="Traditional Arabic"/>
          <w:noProof w:val="0"/>
          <w:rtl/>
          <w:lang w:eastAsia="en-US"/>
        </w:rPr>
        <w:t>جرة الم</w:t>
      </w:r>
      <w:r w:rsidR="00E269AD">
        <w:rPr>
          <w:rFonts w:ascii="Traditional Arabic" w:hAnsi="Traditional Arabic" w:hint="cs"/>
          <w:noProof w:val="0"/>
          <w:rtl/>
          <w:lang w:eastAsia="en-US"/>
        </w:rPr>
        <w:t>ِ</w:t>
      </w:r>
      <w:r w:rsidR="00E269AD" w:rsidRPr="00E062C4">
        <w:rPr>
          <w:rFonts w:ascii="Traditional Arabic" w:hAnsi="Traditional Arabic"/>
          <w:noProof w:val="0"/>
          <w:rtl/>
          <w:lang w:eastAsia="en-US"/>
        </w:rPr>
        <w:t>ثل</w:t>
      </w:r>
      <w:r w:rsidR="00E269AD">
        <w:rPr>
          <w:rFonts w:ascii="Traditional Arabic" w:hAnsi="Traditional Arabic" w:hint="cs"/>
          <w:noProof w:val="0"/>
          <w:rtl/>
          <w:lang w:eastAsia="en-US"/>
        </w:rPr>
        <w:t>.</w:t>
      </w:r>
    </w:p>
    <w:p w:rsidR="00E269AD" w:rsidRPr="00CB6849" w:rsidRDefault="00E269AD" w:rsidP="00597C20">
      <w:pPr>
        <w:widowControl/>
        <w:autoSpaceDE w:val="0"/>
        <w:autoSpaceDN w:val="0"/>
        <w:adjustRightInd w:val="0"/>
        <w:ind w:firstLine="720"/>
        <w:jc w:val="left"/>
        <w:rPr>
          <w:rFonts w:ascii="Traditional Arabic" w:hAnsi="Traditional Arabic"/>
          <w:noProof w:val="0"/>
          <w:rtl/>
          <w:lang w:eastAsia="en-US"/>
        </w:rPr>
      </w:pPr>
      <w:r w:rsidRPr="00CB6849">
        <w:rPr>
          <w:rFonts w:ascii="Traditional Arabic" w:hAnsi="Traditional Arabic"/>
          <w:noProof w:val="0"/>
          <w:rtl/>
          <w:lang w:eastAsia="en-US"/>
        </w:rPr>
        <w:t>فإن قال قائل: إذا تسل</w:t>
      </w:r>
      <w:r w:rsidR="00041CA2">
        <w:rPr>
          <w:rFonts w:ascii="Traditional Arabic" w:hAnsi="Traditional Arabic" w:hint="cs"/>
          <w:noProof w:val="0"/>
          <w:rtl/>
          <w:lang w:eastAsia="en-US"/>
        </w:rPr>
        <w:t>َّ</w:t>
      </w:r>
      <w:r w:rsidRPr="00CB6849">
        <w:rPr>
          <w:rFonts w:ascii="Traditional Arabic" w:hAnsi="Traditional Arabic"/>
          <w:noProof w:val="0"/>
          <w:rtl/>
          <w:lang w:eastAsia="en-US"/>
        </w:rPr>
        <w:t>م العين بإجارة فاسدة فلماذا لا ن</w:t>
      </w:r>
      <w:r w:rsidRPr="00CB6849">
        <w:rPr>
          <w:rFonts w:ascii="Traditional Arabic" w:hAnsi="Traditional Arabic" w:hint="cs"/>
          <w:noProof w:val="0"/>
          <w:rtl/>
          <w:lang w:eastAsia="en-US"/>
        </w:rPr>
        <w:t>ُ</w:t>
      </w:r>
      <w:r w:rsidRPr="00CB6849">
        <w:rPr>
          <w:rFonts w:ascii="Traditional Arabic" w:hAnsi="Traditional Arabic"/>
          <w:noProof w:val="0"/>
          <w:rtl/>
          <w:lang w:eastAsia="en-US"/>
        </w:rPr>
        <w:t>لغي العقد والأجرة، ونقول: لا شيء</w:t>
      </w:r>
      <w:r w:rsidRPr="00CB6849">
        <w:rPr>
          <w:rFonts w:ascii="Traditional Arabic" w:hAnsi="Traditional Arabic" w:hint="cs"/>
          <w:noProof w:val="0"/>
          <w:rtl/>
          <w:lang w:eastAsia="en-US"/>
        </w:rPr>
        <w:t>َ</w:t>
      </w:r>
      <w:r w:rsidRPr="00CB6849">
        <w:rPr>
          <w:rFonts w:ascii="Traditional Arabic" w:hAnsi="Traditional Arabic"/>
          <w:noProof w:val="0"/>
          <w:rtl/>
          <w:lang w:eastAsia="en-US"/>
        </w:rPr>
        <w:t xml:space="preserve"> ل</w:t>
      </w:r>
      <w:r w:rsidRPr="00CB6849">
        <w:rPr>
          <w:rFonts w:ascii="Traditional Arabic" w:hAnsi="Traditional Arabic" w:hint="cs"/>
          <w:noProof w:val="0"/>
          <w:rtl/>
          <w:lang w:eastAsia="en-US"/>
        </w:rPr>
        <w:t>لمؤجِّر</w:t>
      </w:r>
      <w:r w:rsidRPr="00CB6849">
        <w:rPr>
          <w:rFonts w:ascii="Traditional Arabic" w:hAnsi="Traditional Arabic"/>
          <w:noProof w:val="0"/>
          <w:rtl/>
          <w:lang w:eastAsia="en-US"/>
        </w:rPr>
        <w:t>؟</w:t>
      </w:r>
    </w:p>
    <w:p w:rsidR="00E269AD" w:rsidRDefault="00E269AD" w:rsidP="00597C20">
      <w:pPr>
        <w:pStyle w:val="afc"/>
        <w:widowControl/>
        <w:autoSpaceDE w:val="0"/>
        <w:autoSpaceDN w:val="0"/>
        <w:adjustRightInd w:val="0"/>
        <w:ind w:left="1080" w:firstLine="0"/>
        <w:rPr>
          <w:rFonts w:ascii="Traditional Arabic" w:hAnsi="Traditional Arabic"/>
          <w:noProof w:val="0"/>
          <w:color w:val="auto"/>
          <w:rtl/>
          <w:lang w:eastAsia="en-US"/>
        </w:rPr>
      </w:pPr>
      <w:r w:rsidRPr="00E062C4">
        <w:rPr>
          <w:rFonts w:ascii="Traditional Arabic" w:hAnsi="Traditional Arabic"/>
          <w:noProof w:val="0"/>
          <w:rtl/>
          <w:lang w:eastAsia="en-US"/>
        </w:rPr>
        <w:t>فالجواب: هذا لا يمكن؛ لأنه ظلم، فالمالك ف</w:t>
      </w:r>
      <w:r>
        <w:rPr>
          <w:rFonts w:ascii="Traditional Arabic" w:hAnsi="Traditional Arabic" w:hint="cs"/>
          <w:noProof w:val="0"/>
          <w:rtl/>
          <w:lang w:eastAsia="en-US"/>
        </w:rPr>
        <w:t>ُ</w:t>
      </w:r>
      <w:r w:rsidRPr="00E062C4">
        <w:rPr>
          <w:rFonts w:ascii="Traditional Arabic" w:hAnsi="Traditional Arabic"/>
          <w:noProof w:val="0"/>
          <w:rtl/>
          <w:lang w:eastAsia="en-US"/>
        </w:rPr>
        <w:t>و</w:t>
      </w:r>
      <w:r>
        <w:rPr>
          <w:rFonts w:ascii="Traditional Arabic" w:hAnsi="Traditional Arabic" w:hint="cs"/>
          <w:noProof w:val="0"/>
          <w:rtl/>
          <w:lang w:eastAsia="en-US"/>
        </w:rPr>
        <w:t>ِّ</w:t>
      </w:r>
      <w:r w:rsidRPr="00E062C4">
        <w:rPr>
          <w:rFonts w:ascii="Traditional Arabic" w:hAnsi="Traditional Arabic"/>
          <w:noProof w:val="0"/>
          <w:rtl/>
          <w:lang w:eastAsia="en-US"/>
        </w:rPr>
        <w:t>ت</w:t>
      </w:r>
      <w:r>
        <w:rPr>
          <w:rFonts w:ascii="Traditional Arabic" w:hAnsi="Traditional Arabic" w:hint="cs"/>
          <w:noProof w:val="0"/>
          <w:rtl/>
          <w:lang w:eastAsia="en-US"/>
        </w:rPr>
        <w:t>َ</w:t>
      </w:r>
      <w:r w:rsidRPr="00E062C4">
        <w:rPr>
          <w:rFonts w:ascii="Traditional Arabic" w:hAnsi="Traditional Arabic"/>
          <w:noProof w:val="0"/>
          <w:rtl/>
          <w:lang w:eastAsia="en-US"/>
        </w:rPr>
        <w:t>ت</w:t>
      </w:r>
      <w:r>
        <w:rPr>
          <w:rFonts w:ascii="Traditional Arabic" w:hAnsi="Traditional Arabic" w:hint="cs"/>
          <w:noProof w:val="0"/>
          <w:rtl/>
          <w:lang w:eastAsia="en-US"/>
        </w:rPr>
        <w:t>ْ</w:t>
      </w:r>
      <w:r w:rsidRPr="00E062C4">
        <w:rPr>
          <w:rFonts w:ascii="Traditional Arabic" w:hAnsi="Traditional Arabic"/>
          <w:noProof w:val="0"/>
          <w:rtl/>
          <w:lang w:eastAsia="en-US"/>
        </w:rPr>
        <w:t xml:space="preserve"> عليه منفعة م</w:t>
      </w:r>
      <w:r>
        <w:rPr>
          <w:rFonts w:ascii="Traditional Arabic" w:hAnsi="Traditional Arabic" w:hint="cs"/>
          <w:noProof w:val="0"/>
          <w:rtl/>
          <w:lang w:eastAsia="en-US"/>
        </w:rPr>
        <w:t>ُ</w:t>
      </w:r>
      <w:r w:rsidRPr="00E062C4">
        <w:rPr>
          <w:rFonts w:ascii="Traditional Arabic" w:hAnsi="Traditional Arabic"/>
          <w:noProof w:val="0"/>
          <w:rtl/>
          <w:lang w:eastAsia="en-US"/>
        </w:rPr>
        <w:t>ل</w:t>
      </w:r>
      <w:r>
        <w:rPr>
          <w:rFonts w:ascii="Traditional Arabic" w:hAnsi="Traditional Arabic" w:hint="cs"/>
          <w:noProof w:val="0"/>
          <w:rtl/>
          <w:lang w:eastAsia="en-US"/>
        </w:rPr>
        <w:t>ْ</w:t>
      </w:r>
      <w:r w:rsidRPr="00E062C4">
        <w:rPr>
          <w:rFonts w:ascii="Traditional Arabic" w:hAnsi="Traditional Arabic"/>
          <w:noProof w:val="0"/>
          <w:rtl/>
          <w:lang w:eastAsia="en-US"/>
        </w:rPr>
        <w:t>كه مدة</w:t>
      </w:r>
      <w:r>
        <w:rPr>
          <w:rFonts w:ascii="Traditional Arabic" w:hAnsi="Traditional Arabic" w:hint="cs"/>
          <w:noProof w:val="0"/>
          <w:rtl/>
          <w:lang w:eastAsia="en-US"/>
        </w:rPr>
        <w:t>َ</w:t>
      </w:r>
      <w:r w:rsidRPr="00E062C4">
        <w:rPr>
          <w:rFonts w:ascii="Traditional Arabic" w:hAnsi="Traditional Arabic"/>
          <w:noProof w:val="0"/>
          <w:rtl/>
          <w:lang w:eastAsia="en-US"/>
        </w:rPr>
        <w:t xml:space="preserve"> الإجارة، فإذا قلنا: لا أجرة</w:t>
      </w:r>
      <w:r>
        <w:rPr>
          <w:rFonts w:ascii="Traditional Arabic" w:hAnsi="Traditional Arabic" w:hint="cs"/>
          <w:noProof w:val="0"/>
          <w:rtl/>
          <w:lang w:eastAsia="en-US"/>
        </w:rPr>
        <w:t>َ</w:t>
      </w:r>
      <w:r w:rsidRPr="00E062C4">
        <w:rPr>
          <w:rFonts w:ascii="Traditional Arabic" w:hAnsi="Traditional Arabic"/>
          <w:noProof w:val="0"/>
          <w:rtl/>
          <w:lang w:eastAsia="en-US"/>
        </w:rPr>
        <w:t xml:space="preserve"> لك، فإننا نظلمه بذلك، والمستأج</w:t>
      </w:r>
      <w:r>
        <w:rPr>
          <w:rFonts w:ascii="Traditional Arabic" w:hAnsi="Traditional Arabic" w:hint="cs"/>
          <w:noProof w:val="0"/>
          <w:rtl/>
          <w:lang w:eastAsia="en-US"/>
        </w:rPr>
        <w:t>ِ</w:t>
      </w:r>
      <w:r w:rsidRPr="00E062C4">
        <w:rPr>
          <w:rFonts w:ascii="Traditional Arabic" w:hAnsi="Traditional Arabic"/>
          <w:noProof w:val="0"/>
          <w:rtl/>
          <w:lang w:eastAsia="en-US"/>
        </w:rPr>
        <w:t>ر قد استوفى المنفعة، فإذا قلنا له: لا أجرة</w:t>
      </w:r>
      <w:r>
        <w:rPr>
          <w:rFonts w:ascii="Traditional Arabic" w:hAnsi="Traditional Arabic" w:hint="cs"/>
          <w:noProof w:val="0"/>
          <w:rtl/>
          <w:lang w:eastAsia="en-US"/>
        </w:rPr>
        <w:t>َ</w:t>
      </w:r>
      <w:r w:rsidRPr="00E062C4">
        <w:rPr>
          <w:rFonts w:ascii="Traditional Arabic" w:hAnsi="Traditional Arabic"/>
          <w:noProof w:val="0"/>
          <w:rtl/>
          <w:lang w:eastAsia="en-US"/>
        </w:rPr>
        <w:t xml:space="preserve"> عليك، </w:t>
      </w:r>
      <w:r>
        <w:rPr>
          <w:rFonts w:ascii="Traditional Arabic" w:hAnsi="Traditional Arabic" w:hint="cs"/>
          <w:noProof w:val="0"/>
          <w:rtl/>
          <w:lang w:eastAsia="en-US"/>
        </w:rPr>
        <w:t xml:space="preserve">فقد </w:t>
      </w:r>
      <w:r w:rsidRPr="00E062C4">
        <w:rPr>
          <w:rFonts w:ascii="Traditional Arabic" w:hAnsi="Traditional Arabic"/>
          <w:noProof w:val="0"/>
          <w:rtl/>
          <w:lang w:eastAsia="en-US"/>
        </w:rPr>
        <w:t>أ</w:t>
      </w:r>
      <w:r>
        <w:rPr>
          <w:rFonts w:ascii="Traditional Arabic" w:hAnsi="Traditional Arabic" w:hint="cs"/>
          <w:noProof w:val="0"/>
          <w:rtl/>
          <w:lang w:eastAsia="en-US"/>
        </w:rPr>
        <w:t>َ</w:t>
      </w:r>
      <w:r w:rsidRPr="00E062C4">
        <w:rPr>
          <w:rFonts w:ascii="Traditional Arabic" w:hAnsi="Traditional Arabic"/>
          <w:noProof w:val="0"/>
          <w:rtl/>
          <w:lang w:eastAsia="en-US"/>
        </w:rPr>
        <w:t>ب</w:t>
      </w:r>
      <w:r>
        <w:rPr>
          <w:rFonts w:ascii="Traditional Arabic" w:hAnsi="Traditional Arabic" w:hint="cs"/>
          <w:noProof w:val="0"/>
          <w:rtl/>
          <w:lang w:eastAsia="en-US"/>
        </w:rPr>
        <w:t>َ</w:t>
      </w:r>
      <w:r w:rsidRPr="00E062C4">
        <w:rPr>
          <w:rFonts w:ascii="Traditional Arabic" w:hAnsi="Traditional Arabic"/>
          <w:noProof w:val="0"/>
          <w:rtl/>
          <w:lang w:eastAsia="en-US"/>
        </w:rPr>
        <w:t>ح</w:t>
      </w:r>
      <w:r>
        <w:rPr>
          <w:rFonts w:ascii="Traditional Arabic" w:hAnsi="Traditional Arabic" w:hint="cs"/>
          <w:noProof w:val="0"/>
          <w:rtl/>
          <w:lang w:eastAsia="en-US"/>
        </w:rPr>
        <w:t>ْ</w:t>
      </w:r>
      <w:r w:rsidRPr="00E062C4">
        <w:rPr>
          <w:rFonts w:ascii="Traditional Arabic" w:hAnsi="Traditional Arabic"/>
          <w:noProof w:val="0"/>
          <w:rtl/>
          <w:lang w:eastAsia="en-US"/>
        </w:rPr>
        <w:t>نا له أن يأكل أموال الناس بالباطل، وحينئذ نقول: يلزمك أجرة</w:t>
      </w:r>
      <w:r>
        <w:rPr>
          <w:rFonts w:ascii="Traditional Arabic" w:hAnsi="Traditional Arabic" w:hint="cs"/>
          <w:noProof w:val="0"/>
          <w:rtl/>
          <w:lang w:eastAsia="en-US"/>
        </w:rPr>
        <w:t>ُ</w:t>
      </w:r>
      <w:r w:rsidRPr="00E062C4">
        <w:rPr>
          <w:rFonts w:ascii="Traditional Arabic" w:hAnsi="Traditional Arabic"/>
          <w:noProof w:val="0"/>
          <w:rtl/>
          <w:lang w:eastAsia="en-US"/>
        </w:rPr>
        <w:t xml:space="preserve"> المثل</w:t>
      </w:r>
      <w:r w:rsidRPr="00C821A1">
        <w:rPr>
          <w:rStyle w:val="af1"/>
          <w:szCs w:val="32"/>
          <w:rtl/>
        </w:rPr>
        <w:t>(</w:t>
      </w:r>
      <w:r w:rsidRPr="00C821A1">
        <w:rPr>
          <w:rStyle w:val="af1"/>
          <w:szCs w:val="32"/>
          <w:rtl/>
        </w:rPr>
        <w:footnoteReference w:id="1893"/>
      </w:r>
      <w:r w:rsidRPr="00C821A1">
        <w:rPr>
          <w:rStyle w:val="af1"/>
          <w:szCs w:val="32"/>
          <w:rtl/>
        </w:rPr>
        <w:t>)</w:t>
      </w:r>
      <w:r w:rsidRPr="00E062C4">
        <w:rPr>
          <w:rFonts w:ascii="Traditional Arabic" w:hAnsi="Traditional Arabic"/>
          <w:noProof w:val="0"/>
          <w:rtl/>
          <w:lang w:eastAsia="en-US"/>
        </w:rPr>
        <w:t>.</w:t>
      </w:r>
    </w:p>
    <w:p w:rsidR="00E269AD" w:rsidRDefault="00E269AD" w:rsidP="00597C20">
      <w:pPr>
        <w:pStyle w:val="53"/>
        <w:rPr>
          <w:rtl/>
        </w:rPr>
      </w:pPr>
      <w:r>
        <w:rPr>
          <w:rFonts w:hint="cs"/>
          <w:rtl/>
        </w:rPr>
        <w:t>وجه اندراج الفرع تحت القاعدة:</w:t>
      </w:r>
    </w:p>
    <w:p w:rsidR="00F228A9" w:rsidRPr="00CB6849" w:rsidRDefault="00E269AD" w:rsidP="00597C20">
      <w:pPr>
        <w:widowControl/>
        <w:autoSpaceDE w:val="0"/>
        <w:autoSpaceDN w:val="0"/>
        <w:adjustRightInd w:val="0"/>
        <w:ind w:firstLine="720"/>
        <w:rPr>
          <w:rFonts w:ascii="Traditional Arabic" w:hAnsi="Traditional Arabic"/>
          <w:noProof w:val="0"/>
          <w:color w:val="auto"/>
          <w:rtl/>
          <w:lang w:eastAsia="en-US"/>
        </w:rPr>
      </w:pPr>
      <w:r w:rsidRPr="00CB6849">
        <w:rPr>
          <w:rFonts w:ascii="Traditional Arabic" w:hAnsi="Traditional Arabic" w:hint="cs"/>
          <w:noProof w:val="0"/>
          <w:color w:val="auto"/>
          <w:rtl/>
          <w:lang w:eastAsia="en-US"/>
        </w:rPr>
        <w:t>لا يجوز إلغاء الأجرة لفساد عقد الإجارة، لما يترتب عليه مِن ظلم المؤجِّر، والقاعدة على أن مدار المعاملات المحرمة على الربا والظلم والغرر.</w:t>
      </w:r>
    </w:p>
    <w:p w:rsidR="00E269AD" w:rsidRPr="00225F91" w:rsidRDefault="00E269AD" w:rsidP="000A76C7">
      <w:pPr>
        <w:pStyle w:val="afc"/>
        <w:widowControl/>
        <w:numPr>
          <w:ilvl w:val="0"/>
          <w:numId w:val="256"/>
        </w:numPr>
        <w:autoSpaceDE w:val="0"/>
        <w:autoSpaceDN w:val="0"/>
        <w:adjustRightInd w:val="0"/>
        <w:rPr>
          <w:rFonts w:ascii="Simplified Arabic" w:hAnsi="Simplified Arabic" w:cs="Simplified Arabic"/>
          <w:noProof w:val="0"/>
          <w:color w:val="auto"/>
          <w:rtl/>
          <w:lang w:eastAsia="en-US"/>
        </w:rPr>
      </w:pPr>
      <w:r w:rsidRPr="00125920">
        <w:rPr>
          <w:rFonts w:ascii="Traditional Arabic" w:hAnsi="Traditional Arabic"/>
          <w:noProof w:val="0"/>
          <w:color w:val="auto"/>
          <w:rtl/>
          <w:lang w:eastAsia="en-US"/>
        </w:rPr>
        <w:t>لا تصح إجار</w:t>
      </w:r>
      <w:r w:rsidRPr="00125920">
        <w:rPr>
          <w:rFonts w:ascii="Traditional Arabic" w:hAnsi="Traditional Arabic" w:hint="cs"/>
          <w:noProof w:val="0"/>
          <w:color w:val="auto"/>
          <w:rtl/>
          <w:lang w:eastAsia="en-US"/>
        </w:rPr>
        <w:t>ة العبد الآبق</w:t>
      </w:r>
      <w:r w:rsidRPr="00125920">
        <w:rPr>
          <w:rFonts w:ascii="Traditional Arabic" w:hAnsi="Traditional Arabic"/>
          <w:noProof w:val="0"/>
          <w:color w:val="auto"/>
          <w:rtl/>
          <w:lang w:eastAsia="en-US"/>
        </w:rPr>
        <w:t>؛ لأنه غير مقدور</w:t>
      </w:r>
      <w:r w:rsidRPr="00125920">
        <w:rPr>
          <w:rFonts w:ascii="Traditional Arabic" w:hAnsi="Traditional Arabic" w:hint="cs"/>
          <w:noProof w:val="0"/>
          <w:color w:val="auto"/>
          <w:rtl/>
          <w:lang w:eastAsia="en-US"/>
        </w:rPr>
        <w:t>ٍ</w:t>
      </w:r>
      <w:r w:rsidRPr="00125920">
        <w:rPr>
          <w:rFonts w:ascii="Traditional Arabic" w:hAnsi="Traditional Arabic"/>
          <w:noProof w:val="0"/>
          <w:color w:val="auto"/>
          <w:rtl/>
          <w:lang w:eastAsia="en-US"/>
        </w:rPr>
        <w:t xml:space="preserve"> على تسليمه، </w:t>
      </w:r>
      <w:r w:rsidRPr="00125920">
        <w:rPr>
          <w:rFonts w:ascii="Traditional Arabic" w:hAnsi="Traditional Arabic"/>
          <w:noProof w:val="0"/>
          <w:rtl/>
          <w:lang w:eastAsia="en-US"/>
        </w:rPr>
        <w:t>وغير المقدور عليه إجارت</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ه غرر</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 لأن م</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ؤج</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ره سوف يخفض من الأجرة، وإلا لما است</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ؤج</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ر منه، فإن ق</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د</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ر عليه المستأج</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ر صار غ</w:t>
      </w:r>
      <w:r w:rsidRPr="00125920">
        <w:rPr>
          <w:rFonts w:ascii="Traditional Arabic" w:hAnsi="Traditional Arabic" w:hint="cs"/>
          <w:noProof w:val="0"/>
          <w:rtl/>
          <w:lang w:eastAsia="en-US"/>
        </w:rPr>
        <w:t>انِ</w:t>
      </w:r>
      <w:r w:rsidRPr="00125920">
        <w:rPr>
          <w:rFonts w:ascii="Traditional Arabic" w:hAnsi="Traditional Arabic"/>
          <w:noProof w:val="0"/>
          <w:rtl/>
          <w:lang w:eastAsia="en-US"/>
        </w:rPr>
        <w:t>ما</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 xml:space="preserve"> وإن ع</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ج</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 xml:space="preserve">ز </w:t>
      </w:r>
      <w:r w:rsidRPr="00125920">
        <w:rPr>
          <w:rFonts w:ascii="Traditional Arabic" w:hAnsi="Traditional Arabic" w:hint="cs"/>
          <w:noProof w:val="0"/>
          <w:rtl/>
          <w:lang w:eastAsia="en-US"/>
        </w:rPr>
        <w:t xml:space="preserve">عنه </w:t>
      </w:r>
      <w:r w:rsidRPr="00125920">
        <w:rPr>
          <w:rFonts w:ascii="Traditional Arabic" w:hAnsi="Traditional Arabic"/>
          <w:noProof w:val="0"/>
          <w:rtl/>
          <w:lang w:eastAsia="en-US"/>
        </w:rPr>
        <w:t>صار غار</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ما</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 xml:space="preserve"> وهذا نوع</w:t>
      </w:r>
      <w:r w:rsidRPr="00125920">
        <w:rPr>
          <w:rFonts w:ascii="Traditional Arabic" w:hAnsi="Traditional Arabic" w:hint="cs"/>
          <w:noProof w:val="0"/>
          <w:rtl/>
          <w:lang w:eastAsia="en-US"/>
        </w:rPr>
        <w:t>ٌ</w:t>
      </w:r>
      <w:r w:rsidRPr="00125920">
        <w:rPr>
          <w:rFonts w:ascii="Traditional Arabic" w:hAnsi="Traditional Arabic"/>
          <w:noProof w:val="0"/>
          <w:rtl/>
          <w:lang w:eastAsia="en-US"/>
        </w:rPr>
        <w:t xml:space="preserve"> من الغرر</w:t>
      </w:r>
      <w:r w:rsidRPr="00C821A1">
        <w:rPr>
          <w:rStyle w:val="af1"/>
          <w:szCs w:val="32"/>
          <w:rtl/>
        </w:rPr>
        <w:t>(</w:t>
      </w:r>
      <w:r w:rsidRPr="00C821A1">
        <w:rPr>
          <w:rStyle w:val="af1"/>
          <w:szCs w:val="32"/>
          <w:rtl/>
        </w:rPr>
        <w:footnoteReference w:id="1894"/>
      </w:r>
      <w:r w:rsidRPr="00C821A1">
        <w:rPr>
          <w:rStyle w:val="af1"/>
          <w:szCs w:val="32"/>
          <w:rtl/>
        </w:rPr>
        <w:t>)</w:t>
      </w:r>
      <w:r w:rsidRPr="00125920">
        <w:rPr>
          <w:rFonts w:ascii="Traditional Arabic" w:hAnsi="Traditional Arabic" w:hint="cs"/>
          <w:noProof w:val="0"/>
          <w:rtl/>
          <w:lang w:eastAsia="en-US"/>
        </w:rPr>
        <w:t>.</w:t>
      </w:r>
    </w:p>
    <w:p w:rsidR="00E269AD" w:rsidRDefault="00E269AD" w:rsidP="00597C20">
      <w:pPr>
        <w:pStyle w:val="53"/>
        <w:rPr>
          <w:rtl/>
        </w:rPr>
      </w:pPr>
      <w:r>
        <w:rPr>
          <w:rFonts w:hint="cs"/>
          <w:rtl/>
        </w:rPr>
        <w:t>وجه اندراج الفرع تحت القاعدة:</w:t>
      </w:r>
    </w:p>
    <w:p w:rsidR="00E269AD" w:rsidRPr="00CB6849" w:rsidRDefault="00407555"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E269AD" w:rsidRPr="00CB6849">
        <w:rPr>
          <w:rFonts w:ascii="Traditional Arabic" w:hAnsi="Traditional Arabic" w:hint="cs"/>
          <w:noProof w:val="0"/>
          <w:color w:val="auto"/>
          <w:rtl/>
          <w:lang w:eastAsia="en-US"/>
        </w:rPr>
        <w:t>ن العبد الآبق غير مقدور على تسليمه، وبالتالي تكون إجارته غرراً، والقاعدة تنصُّ على أن مدار المعاملات المحرمة على الظلم والربا والغرر، فتحرم إجارة العبد الآبق، ولو عُقد عليه عَقْدَ إجارة لم يصحَّ.</w:t>
      </w:r>
    </w:p>
    <w:p w:rsidR="00E269AD" w:rsidRDefault="00E269AD" w:rsidP="000A76C7">
      <w:pPr>
        <w:pStyle w:val="afc"/>
        <w:widowControl/>
        <w:numPr>
          <w:ilvl w:val="0"/>
          <w:numId w:val="256"/>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سئل الشيخ ابن عثيمين </w:t>
      </w:r>
      <w:r w:rsidR="00407555">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407555">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رأيت شخصا يريد أن يبيع سيارة جيِّدة، وقد اجتمع الناس حوله، وقد عرفتُ بالخِبرة أنها جيدة فسألته عنها، فقال لي: سِيمَتْ </w:t>
      </w:r>
      <w:r>
        <w:rPr>
          <w:rFonts w:ascii="Traditional Arabic" w:hAnsi="Traditional Arabic" w:hint="cs"/>
          <w:noProof w:val="0"/>
          <w:color w:val="auto"/>
          <w:rtl/>
          <w:lang w:eastAsia="en-US"/>
        </w:rPr>
        <w:lastRenderedPageBreak/>
        <w:t>بكذا، فقلت له: عجيب! لا تُساوي هذا السعر، وقصدي من هذا أن أفرٍّق الناس من حولها، وأقلِّل من شأنها في أعين المشترين، ثم اشتريها بأقلَّ.فما حكم ذلك العمل؟</w:t>
      </w:r>
    </w:p>
    <w:p w:rsidR="00E269AD" w:rsidRDefault="00E269AD" w:rsidP="00597C20">
      <w:pPr>
        <w:pStyle w:val="afc"/>
        <w:widowControl/>
        <w:autoSpaceDE w:val="0"/>
        <w:autoSpaceDN w:val="0"/>
        <w:adjustRightInd w:val="0"/>
        <w:ind w:left="1080"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فأجاب بقوله: هذا حرام من عدة أوجُه:</w:t>
      </w:r>
    </w:p>
    <w:p w:rsidR="00E269AD" w:rsidRDefault="00E269AD" w:rsidP="00597C20">
      <w:pPr>
        <w:pStyle w:val="afc"/>
        <w:widowControl/>
        <w:autoSpaceDE w:val="0"/>
        <w:autoSpaceDN w:val="0"/>
        <w:adjustRightInd w:val="0"/>
        <w:ind w:left="1080"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أولاً: لأنك كذبت حين قلت: لا تساوي هذا السعر، مع أنها تساويه.</w:t>
      </w:r>
    </w:p>
    <w:p w:rsidR="00E269AD" w:rsidRDefault="00E269AD" w:rsidP="00597C20">
      <w:pPr>
        <w:pStyle w:val="afc"/>
        <w:widowControl/>
        <w:autoSpaceDE w:val="0"/>
        <w:autoSpaceDN w:val="0"/>
        <w:adjustRightInd w:val="0"/>
        <w:ind w:left="1080"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ثانيا: لأنك ظلمت الناس الذين لهم فيها إرادة.</w:t>
      </w:r>
    </w:p>
    <w:p w:rsidR="00E269AD" w:rsidRDefault="00E269AD" w:rsidP="00597C20">
      <w:pPr>
        <w:pStyle w:val="afc"/>
        <w:widowControl/>
        <w:autoSpaceDE w:val="0"/>
        <w:autoSpaceDN w:val="0"/>
        <w:adjustRightInd w:val="0"/>
        <w:ind w:left="1080"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ثالثا: أنك ظلمت أخاك الذي باعها.</w:t>
      </w:r>
    </w:p>
    <w:p w:rsidR="00F228A9" w:rsidRDefault="00E269AD" w:rsidP="00597C20">
      <w:pPr>
        <w:pStyle w:val="afc"/>
        <w:widowControl/>
        <w:autoSpaceDE w:val="0"/>
        <w:autoSpaceDN w:val="0"/>
        <w:adjustRightInd w:val="0"/>
        <w:ind w:left="1080"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وواحد من هذه الثلاثة يوجب تحريم هذه المعاملة</w:t>
      </w:r>
      <w:r w:rsidRPr="00C821A1">
        <w:rPr>
          <w:rStyle w:val="af1"/>
          <w:szCs w:val="32"/>
          <w:rtl/>
        </w:rPr>
        <w:t>(</w:t>
      </w:r>
      <w:r w:rsidRPr="00C821A1">
        <w:rPr>
          <w:rStyle w:val="af1"/>
          <w:szCs w:val="32"/>
          <w:rtl/>
        </w:rPr>
        <w:footnoteReference w:id="1895"/>
      </w:r>
      <w:r w:rsidRPr="00C821A1">
        <w:rPr>
          <w:rStyle w:val="af1"/>
          <w:szCs w:val="32"/>
          <w:rtl/>
        </w:rPr>
        <w:t>)</w:t>
      </w:r>
      <w:r>
        <w:rPr>
          <w:rFonts w:ascii="Traditional Arabic" w:hAnsi="Traditional Arabic" w:hint="cs"/>
          <w:noProof w:val="0"/>
          <w:color w:val="auto"/>
          <w:rtl/>
          <w:lang w:eastAsia="en-US"/>
        </w:rPr>
        <w:t>.</w:t>
      </w:r>
    </w:p>
    <w:p w:rsidR="00E269AD" w:rsidRDefault="00E269AD" w:rsidP="00597C20">
      <w:pPr>
        <w:pStyle w:val="53"/>
        <w:rPr>
          <w:rtl/>
        </w:rPr>
      </w:pPr>
      <w:r>
        <w:rPr>
          <w:rFonts w:hint="cs"/>
          <w:rtl/>
        </w:rPr>
        <w:t>وجه اندراج الفرع تحت القاعدة:</w:t>
      </w:r>
    </w:p>
    <w:p w:rsidR="00E269AD" w:rsidRPr="00CB6849" w:rsidRDefault="00407555" w:rsidP="00597C20">
      <w:pPr>
        <w:widowControl/>
        <w:autoSpaceDE w:val="0"/>
        <w:autoSpaceDN w:val="0"/>
        <w:adjustRightInd w:val="0"/>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E269AD" w:rsidRPr="00CB6849">
        <w:rPr>
          <w:rFonts w:ascii="Traditional Arabic" w:hAnsi="Traditional Arabic" w:hint="cs"/>
          <w:noProof w:val="0"/>
          <w:color w:val="auto"/>
          <w:rtl/>
          <w:lang w:eastAsia="en-US"/>
        </w:rPr>
        <w:t>ن هذه المعاملة مشتملة على ظلم البائع والناس الذين كانوا يريدون شراء السيارة، فكانت محرَّمة؛ لأن مدار المعاملات المحرمة على الربا والظلم والغرر.</w:t>
      </w:r>
    </w:p>
    <w:p w:rsidR="00E269AD" w:rsidRDefault="00E269AD" w:rsidP="000A76C7">
      <w:pPr>
        <w:pStyle w:val="afc"/>
        <w:widowControl/>
        <w:numPr>
          <w:ilvl w:val="0"/>
          <w:numId w:val="256"/>
        </w:numPr>
        <w:autoSpaceDE w:val="0"/>
        <w:autoSpaceDN w:val="0"/>
        <w:adjustRightInd w:val="0"/>
        <w:jc w:val="left"/>
        <w:rPr>
          <w:rFonts w:ascii="Traditional Arabic" w:hAnsi="Traditional Arabic"/>
          <w:noProof w:val="0"/>
          <w:color w:val="auto"/>
          <w:lang w:eastAsia="en-US"/>
        </w:rPr>
      </w:pPr>
      <w:r>
        <w:rPr>
          <w:rFonts w:ascii="Traditional Arabic" w:hAnsi="Traditional Arabic" w:hint="cs"/>
          <w:noProof w:val="0"/>
          <w:color w:val="auto"/>
          <w:rtl/>
          <w:lang w:eastAsia="en-US"/>
        </w:rPr>
        <w:t>سئل الشيخ ابن</w:t>
      </w:r>
      <w:r w:rsidR="00407555">
        <w:rPr>
          <w:rFonts w:ascii="Traditional Arabic" w:hAnsi="Traditional Arabic" w:hint="cs"/>
          <w:noProof w:val="0"/>
          <w:color w:val="auto"/>
          <w:rtl/>
          <w:lang w:eastAsia="en-US"/>
        </w:rPr>
        <w:t xml:space="preserve"> عثيمين</w:t>
      </w:r>
      <w:r>
        <w:rPr>
          <w:rFonts w:ascii="Traditional Arabic" w:hAnsi="Traditional Arabic" w:hint="cs"/>
          <w:noProof w:val="0"/>
          <w:color w:val="auto"/>
          <w:rtl/>
          <w:lang w:eastAsia="en-US"/>
        </w:rPr>
        <w:t xml:space="preserve"> </w:t>
      </w:r>
      <w:r w:rsidR="00407555">
        <w:rPr>
          <w:rFonts w:ascii="Traditional Arabic" w:hAnsi="Traditional Arabic" w:hint="cs"/>
          <w:noProof w:val="0"/>
          <w:color w:val="auto"/>
          <w:rtl/>
          <w:lang w:eastAsia="en-US"/>
        </w:rPr>
        <w:t>_</w:t>
      </w:r>
      <w:r w:rsidR="009A0575" w:rsidRPr="005D5694">
        <w:rPr>
          <w:rFonts w:ascii="Traditional Arabic" w:hAnsi="Traditional Arabic" w:cs="CTraditional Arabic" w:hint="cs"/>
          <w:rtl/>
        </w:rPr>
        <w:t>/</w:t>
      </w:r>
      <w:r w:rsidR="00407555">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عن حكم التأمين</w:t>
      </w:r>
      <w:r w:rsidRPr="00C821A1">
        <w:rPr>
          <w:rStyle w:val="af1"/>
          <w:szCs w:val="32"/>
          <w:rtl/>
        </w:rPr>
        <w:t>(</w:t>
      </w:r>
      <w:r w:rsidRPr="00C821A1">
        <w:rPr>
          <w:rStyle w:val="af1"/>
          <w:szCs w:val="32"/>
          <w:rtl/>
        </w:rPr>
        <w:footnoteReference w:id="1896"/>
      </w:r>
      <w:r w:rsidRPr="00C821A1">
        <w:rPr>
          <w:rStyle w:val="af1"/>
          <w:szCs w:val="32"/>
          <w:rtl/>
        </w:rPr>
        <w:t>)</w:t>
      </w:r>
      <w:r>
        <w:rPr>
          <w:rFonts w:ascii="Traditional Arabic" w:hAnsi="Traditional Arabic" w:hint="cs"/>
          <w:noProof w:val="0"/>
          <w:color w:val="auto"/>
          <w:rtl/>
          <w:lang w:eastAsia="en-US"/>
        </w:rPr>
        <w:t>.</w:t>
      </w:r>
    </w:p>
    <w:p w:rsidR="00E269AD" w:rsidRPr="00EE553C" w:rsidRDefault="00E269AD" w:rsidP="00597C20">
      <w:pPr>
        <w:pStyle w:val="afc"/>
        <w:widowControl/>
        <w:autoSpaceDE w:val="0"/>
        <w:autoSpaceDN w:val="0"/>
        <w:adjustRightInd w:val="0"/>
        <w:ind w:left="1080" w:firstLine="0"/>
        <w:rPr>
          <w:rFonts w:ascii="Traditional Arabic" w:hAnsi="Traditional Arabic"/>
          <w:noProof w:val="0"/>
          <w:color w:val="auto"/>
          <w:rtl/>
          <w:lang w:eastAsia="en-US"/>
        </w:rPr>
      </w:pPr>
      <w:r>
        <w:rPr>
          <w:rFonts w:ascii="Traditional Arabic" w:hAnsi="Traditional Arabic" w:hint="cs"/>
          <w:noProof w:val="0"/>
          <w:color w:val="auto"/>
          <w:rtl/>
          <w:lang w:eastAsia="en-US"/>
        </w:rPr>
        <w:lastRenderedPageBreak/>
        <w:t xml:space="preserve">فأجاب بقوله: التأمين من عقود الغرر، وكل عقد يتضمن غررا فإنه باطل؛ لحديث أبي هريرة </w:t>
      </w:r>
      <w:r w:rsidR="00407555">
        <w:rPr>
          <w:rFonts w:ascii="Traditional Arabic" w:hAnsi="Traditional Arabic" w:hint="cs"/>
          <w:noProof w:val="0"/>
          <w:color w:val="auto"/>
          <w:rtl/>
          <w:lang w:eastAsia="en-US"/>
        </w:rPr>
        <w:t>_</w:t>
      </w:r>
      <w:r w:rsidR="009A0575">
        <w:rPr>
          <w:rFonts w:ascii="Traditional Arabic" w:hAnsi="Traditional Arabic" w:cs="CTraditional Arabic" w:hint="cs"/>
          <w:rtl/>
        </w:rPr>
        <w:t>ا</w:t>
      </w:r>
      <w:r w:rsidR="00407555">
        <w:rPr>
          <w:rFonts w:ascii="Traditional Arabic" w:hAnsi="Traditional Arabic" w:hint="cs"/>
          <w:noProof w:val="0"/>
          <w:color w:val="auto"/>
          <w:rtl/>
          <w:lang w:eastAsia="en-US"/>
        </w:rPr>
        <w:t>_</w:t>
      </w:r>
      <w:r>
        <w:rPr>
          <w:rFonts w:ascii="Traditional Arabic" w:hAnsi="Traditional Arabic" w:hint="cs"/>
          <w:noProof w:val="0"/>
          <w:color w:val="auto"/>
          <w:rtl/>
          <w:lang w:eastAsia="en-US"/>
        </w:rPr>
        <w:t xml:space="preserve"> أن النبي </w:t>
      </w:r>
      <w:r w:rsidR="00F350DE">
        <w:rPr>
          <w:rFonts w:ascii="Traditional Arabic" w:hAnsi="Traditional Arabic"/>
          <w:noProof w:val="0"/>
          <w:color w:val="auto"/>
          <w:rtl/>
          <w:lang w:eastAsia="en-US"/>
        </w:rPr>
        <w:sym w:font="AGA Arabesque" w:char="F072"/>
      </w:r>
      <w:r>
        <w:rPr>
          <w:rFonts w:ascii="Traditional Arabic" w:hAnsi="Traditional Arabic" w:hint="cs"/>
          <w:noProof w:val="0"/>
          <w:color w:val="auto"/>
          <w:rtl/>
          <w:lang w:eastAsia="en-US"/>
        </w:rPr>
        <w:t xml:space="preserve"> نهى عن بيع الغرر</w:t>
      </w:r>
      <w:r w:rsidRPr="00C821A1">
        <w:rPr>
          <w:rStyle w:val="af1"/>
          <w:szCs w:val="32"/>
          <w:rtl/>
        </w:rPr>
        <w:t>(</w:t>
      </w:r>
      <w:r w:rsidRPr="00C821A1">
        <w:rPr>
          <w:rStyle w:val="af1"/>
          <w:szCs w:val="32"/>
          <w:rtl/>
        </w:rPr>
        <w:footnoteReference w:id="1897"/>
      </w:r>
      <w:r w:rsidRPr="00C821A1">
        <w:rPr>
          <w:rStyle w:val="af1"/>
          <w:szCs w:val="32"/>
          <w:rtl/>
        </w:rPr>
        <w:t>)</w:t>
      </w:r>
      <w:r>
        <w:rPr>
          <w:rFonts w:ascii="Traditional Arabic" w:hAnsi="Traditional Arabic" w:hint="cs"/>
          <w:noProof w:val="0"/>
          <w:color w:val="auto"/>
          <w:rtl/>
          <w:lang w:eastAsia="en-US"/>
        </w:rPr>
        <w:t xml:space="preserve">؛ ولأن الغرر من الميسر، وقد حرمه الله تعالى في كتابه، فقال تعالى: </w:t>
      </w:r>
      <w:r w:rsidRPr="00D509B5">
        <w:rPr>
          <w:rFonts w:ascii="QCF_BSML" w:hAnsi="QCF_BSML" w:cs="QCF_BSML"/>
          <w:noProof w:val="0"/>
          <w:rtl/>
          <w:lang w:eastAsia="en-US"/>
        </w:rPr>
        <w:t>ﭽ</w:t>
      </w:r>
      <w:r w:rsidRPr="00D509B5">
        <w:rPr>
          <w:rFonts w:ascii="QCF_P123" w:hAnsi="QCF_P123" w:cs="QCF_P123"/>
          <w:noProof w:val="0"/>
          <w:rtl/>
          <w:lang w:eastAsia="en-US"/>
        </w:rPr>
        <w:t>ﭑ</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ﭒ</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ﭓ</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ﭔ</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ﭕ</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ﭖ</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ﭗ</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ﭘ</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ﭙ</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ﭚ</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ﭛ</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ﭜ</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ﭝ</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ﭞ</w:t>
      </w:r>
      <w:r w:rsidR="00407555">
        <w:rPr>
          <w:rFonts w:ascii="QCF_P123" w:hAnsi="QCF_P123" w:cs="QCF_P123" w:hint="cs"/>
          <w:noProof w:val="0"/>
          <w:rtl/>
          <w:lang w:eastAsia="en-US"/>
        </w:rPr>
        <w:t xml:space="preserve"> </w:t>
      </w:r>
      <w:r w:rsidRPr="00D509B5">
        <w:rPr>
          <w:rFonts w:ascii="QCF_P123" w:hAnsi="QCF_P123" w:cs="QCF_P123"/>
          <w:noProof w:val="0"/>
          <w:rtl/>
          <w:lang w:eastAsia="en-US"/>
        </w:rPr>
        <w:t>ﭟ</w:t>
      </w:r>
      <w:r w:rsidRPr="00D509B5">
        <w:rPr>
          <w:rFonts w:ascii="QCF_BSML" w:hAnsi="QCF_BSML" w:cs="QCF_BSML"/>
          <w:noProof w:val="0"/>
          <w:rtl/>
          <w:lang w:eastAsia="en-US"/>
        </w:rPr>
        <w:t>ﭼ</w:t>
      </w:r>
      <w:r>
        <w:rPr>
          <w:rFonts w:ascii="Traditional Arabic" w:hAnsi="Traditional Arabic" w:hint="cs"/>
          <w:noProof w:val="0"/>
          <w:color w:val="auto"/>
          <w:rtl/>
          <w:lang w:eastAsia="en-US"/>
        </w:rPr>
        <w:t>[</w:t>
      </w:r>
      <w:r w:rsidRPr="00D509B5">
        <w:rPr>
          <w:rFonts w:ascii="Traditional Arabic" w:hAnsi="Traditional Arabic"/>
          <w:noProof w:val="0"/>
          <w:color w:val="auto"/>
          <w:rtl/>
          <w:lang w:eastAsia="en-US"/>
        </w:rPr>
        <w:t>المائدة: ٩٠</w:t>
      </w:r>
      <w:r>
        <w:rPr>
          <w:rFonts w:ascii="Traditional Arabic" w:hAnsi="Traditional Arabic" w:hint="cs"/>
          <w:noProof w:val="0"/>
          <w:color w:val="auto"/>
          <w:rtl/>
          <w:lang w:eastAsia="en-US"/>
        </w:rPr>
        <w:t>]. ووجه كونه من الميسر: أن المؤمن يدفع عِوَضَ تأمين، ولْنَقُل أنه خمسة آلاف في السنة، ثم قد يحصل عليه حادِث يستوعب أكثرَ مما دفع مرتين أو ثلاثاً، وربما لا يحصل عليه حادث إطلاقاً، وربما يحصل عليه حادث يستغرِق دون ما دَفَع، وهو في الحقيقة عقدُ غرر ومخاطرة</w:t>
      </w:r>
      <w:r w:rsidR="00407555">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وليس بجائز</w:t>
      </w:r>
      <w:r w:rsidRPr="00C821A1">
        <w:rPr>
          <w:rStyle w:val="af1"/>
          <w:szCs w:val="32"/>
          <w:rtl/>
        </w:rPr>
        <w:t>(</w:t>
      </w:r>
      <w:r w:rsidRPr="00C821A1">
        <w:rPr>
          <w:rStyle w:val="af1"/>
          <w:szCs w:val="32"/>
          <w:rtl/>
        </w:rPr>
        <w:footnoteReference w:id="1898"/>
      </w:r>
      <w:r w:rsidRPr="00C821A1">
        <w:rPr>
          <w:rStyle w:val="af1"/>
          <w:szCs w:val="32"/>
          <w:rtl/>
        </w:rPr>
        <w:t>)</w:t>
      </w:r>
      <w:r>
        <w:rPr>
          <w:rFonts w:ascii="Traditional Arabic" w:hAnsi="Traditional Arabic" w:hint="cs"/>
          <w:noProof w:val="0"/>
          <w:color w:val="auto"/>
          <w:rtl/>
          <w:lang w:eastAsia="en-US"/>
        </w:rPr>
        <w:t>.</w:t>
      </w:r>
    </w:p>
    <w:p w:rsidR="00E269AD" w:rsidRDefault="00E269AD" w:rsidP="00597C20">
      <w:pPr>
        <w:pStyle w:val="53"/>
        <w:rPr>
          <w:rtl/>
        </w:rPr>
      </w:pPr>
      <w:r>
        <w:rPr>
          <w:rFonts w:hint="cs"/>
          <w:rtl/>
        </w:rPr>
        <w:t>وجه اندراج الفرع تحت القاعدة:</w:t>
      </w:r>
    </w:p>
    <w:p w:rsidR="00F228A9" w:rsidRPr="00CB6849" w:rsidRDefault="00A70C2C" w:rsidP="00597C20">
      <w:pPr>
        <w:widowControl/>
        <w:autoSpaceDE w:val="0"/>
        <w:autoSpaceDN w:val="0"/>
        <w:adjustRightInd w:val="0"/>
        <w:ind w:firstLine="72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E269AD" w:rsidRPr="00CB6849">
        <w:rPr>
          <w:rFonts w:ascii="Traditional Arabic" w:hAnsi="Traditional Arabic" w:hint="cs"/>
          <w:noProof w:val="0"/>
          <w:color w:val="auto"/>
          <w:rtl/>
          <w:lang w:eastAsia="en-US"/>
        </w:rPr>
        <w:t xml:space="preserve">ن التأمين عقد </w:t>
      </w:r>
      <w:r>
        <w:rPr>
          <w:rFonts w:ascii="Traditional Arabic" w:hAnsi="Traditional Arabic" w:hint="cs"/>
          <w:noProof w:val="0"/>
          <w:color w:val="auto"/>
          <w:rtl/>
          <w:lang w:eastAsia="en-US"/>
        </w:rPr>
        <w:t xml:space="preserve">فيه غرر؛ </w:t>
      </w:r>
      <w:r w:rsidR="00E269AD" w:rsidRPr="00CB6849">
        <w:rPr>
          <w:rFonts w:ascii="Traditional Arabic" w:hAnsi="Traditional Arabic" w:hint="cs"/>
          <w:noProof w:val="0"/>
          <w:color w:val="auto"/>
          <w:rtl/>
          <w:lang w:eastAsia="en-US"/>
        </w:rPr>
        <w:t xml:space="preserve">لهذا </w:t>
      </w:r>
      <w:r>
        <w:rPr>
          <w:rFonts w:ascii="Traditional Arabic" w:hAnsi="Traditional Arabic" w:hint="cs"/>
          <w:noProof w:val="0"/>
          <w:color w:val="auto"/>
          <w:rtl/>
          <w:lang w:eastAsia="en-US"/>
        </w:rPr>
        <w:t>ف</w:t>
      </w:r>
      <w:r w:rsidR="00E269AD" w:rsidRPr="00CB6849">
        <w:rPr>
          <w:rFonts w:ascii="Traditional Arabic" w:hAnsi="Traditional Arabic" w:hint="cs"/>
          <w:noProof w:val="0"/>
          <w:color w:val="auto"/>
          <w:rtl/>
          <w:lang w:eastAsia="en-US"/>
        </w:rPr>
        <w:t>هو عقد محرم؛ لأن مدار المعاملات المحرمة على الربا والظلم والغرر.</w:t>
      </w:r>
    </w:p>
    <w:p w:rsidR="00E269AD" w:rsidRPr="00E269AD" w:rsidRDefault="00407555" w:rsidP="00A8347C">
      <w:pPr>
        <w:pStyle w:val="aff3"/>
        <w:rPr>
          <w:rtl/>
        </w:rPr>
      </w:pPr>
      <w:bookmarkStart w:id="399" w:name="_Toc334046589"/>
      <w:r>
        <w:rPr>
          <w:rFonts w:hint="cs"/>
          <w:rtl/>
        </w:rPr>
        <w:lastRenderedPageBreak/>
        <w:t xml:space="preserve">                                       </w:t>
      </w:r>
      <w:r w:rsidR="00E269AD" w:rsidRPr="00E269AD">
        <w:rPr>
          <w:rFonts w:hint="cs"/>
          <w:rtl/>
        </w:rPr>
        <w:t>المطلب الخامس</w:t>
      </w:r>
      <w:r w:rsidR="00E269AD">
        <w:rPr>
          <w:rFonts w:hint="eastAsia"/>
          <w:rtl/>
        </w:rPr>
        <w:t> :</w:t>
      </w:r>
      <w:r w:rsidR="00E269AD">
        <w:rPr>
          <w:rFonts w:hint="cs"/>
          <w:rtl/>
        </w:rPr>
        <w:br/>
      </w:r>
      <w:r>
        <w:rPr>
          <w:rFonts w:hint="cs"/>
          <w:rtl/>
        </w:rPr>
        <w:t xml:space="preserve">                                       </w:t>
      </w:r>
      <w:r w:rsidR="00E269AD" w:rsidRPr="00E269AD">
        <w:rPr>
          <w:rFonts w:hint="cs"/>
          <w:rtl/>
        </w:rPr>
        <w:t>مستثنيات القاعدة</w:t>
      </w:r>
      <w:bookmarkEnd w:id="399"/>
    </w:p>
    <w:p w:rsidR="00E269AD" w:rsidRDefault="00E269AD" w:rsidP="00566836">
      <w:pPr>
        <w:pStyle w:val="afc"/>
        <w:widowControl/>
        <w:numPr>
          <w:ilvl w:val="0"/>
          <w:numId w:val="257"/>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يُستثنى من بيع الغرر ما جرى به العرف ولم يَعُدَّه الناس غَبْناً، مثل أساسات الجدران، فهذه يُغتفَر فيها الجهالة؛ لأن الناس لا يعدُّون ذلك غرراً؛ ولأن إلزام الإنسان بأن يحفِر ذلك فيه مفسدة أكثر</w:t>
      </w:r>
      <w:r w:rsidRPr="00C821A1">
        <w:rPr>
          <w:rStyle w:val="af1"/>
          <w:szCs w:val="32"/>
          <w:rtl/>
        </w:rPr>
        <w:t>(</w:t>
      </w:r>
      <w:r w:rsidRPr="00C821A1">
        <w:rPr>
          <w:rStyle w:val="af1"/>
          <w:szCs w:val="32"/>
          <w:rtl/>
        </w:rPr>
        <w:footnoteReference w:id="1899"/>
      </w:r>
      <w:r w:rsidRPr="00C821A1">
        <w:rPr>
          <w:rStyle w:val="af1"/>
          <w:szCs w:val="32"/>
          <w:rtl/>
        </w:rPr>
        <w:t>)</w:t>
      </w:r>
      <w:r>
        <w:rPr>
          <w:rFonts w:ascii="Traditional Arabic" w:hAnsi="Traditional Arabic" w:hint="cs"/>
          <w:noProof w:val="0"/>
          <w:color w:val="auto"/>
          <w:rtl/>
          <w:lang w:eastAsia="en-US"/>
        </w:rPr>
        <w:t>.</w:t>
      </w:r>
    </w:p>
    <w:p w:rsidR="00E269AD" w:rsidRPr="00EE553C" w:rsidRDefault="00E269AD" w:rsidP="000A76C7">
      <w:pPr>
        <w:pStyle w:val="afc"/>
        <w:widowControl/>
        <w:numPr>
          <w:ilvl w:val="0"/>
          <w:numId w:val="257"/>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مما يُستثنى تحريمه مما يشتمل على الربا </w:t>
      </w:r>
      <w:r>
        <w:rPr>
          <w:rFonts w:ascii="Traditional Arabic" w:hAnsi="Traditional Arabic" w:hint="cs"/>
          <w:rtl/>
        </w:rPr>
        <w:t>بيعُ العرايا: ف</w:t>
      </w:r>
      <w:r w:rsidRPr="000832E7">
        <w:rPr>
          <w:rFonts w:ascii="Traditional Arabic" w:hAnsi="Traditional Arabic" w:hint="cs"/>
          <w:rtl/>
        </w:rPr>
        <w:t>الأصل عدم جواز بيع الر</w:t>
      </w:r>
      <w:r>
        <w:rPr>
          <w:rFonts w:ascii="Traditional Arabic" w:hAnsi="Traditional Arabic" w:hint="cs"/>
          <w:rtl/>
        </w:rPr>
        <w:t>ُّ</w:t>
      </w:r>
      <w:r w:rsidRPr="000832E7">
        <w:rPr>
          <w:rFonts w:ascii="Traditional Arabic" w:hAnsi="Traditional Arabic" w:hint="cs"/>
          <w:rtl/>
        </w:rPr>
        <w:t>ط</w:t>
      </w:r>
      <w:r>
        <w:rPr>
          <w:rFonts w:ascii="Traditional Arabic" w:hAnsi="Traditional Arabic" w:hint="cs"/>
          <w:rtl/>
        </w:rPr>
        <w:t>َ</w:t>
      </w:r>
      <w:r w:rsidRPr="000832E7">
        <w:rPr>
          <w:rFonts w:ascii="Traditional Arabic" w:hAnsi="Traditional Arabic" w:hint="cs"/>
          <w:rtl/>
        </w:rPr>
        <w:t>ب بالتمر وإن ت</w:t>
      </w:r>
      <w:r>
        <w:rPr>
          <w:rFonts w:ascii="Traditional Arabic" w:hAnsi="Traditional Arabic" w:hint="cs"/>
          <w:rtl/>
        </w:rPr>
        <w:t>َ</w:t>
      </w:r>
      <w:r w:rsidRPr="000832E7">
        <w:rPr>
          <w:rFonts w:ascii="Traditional Arabic" w:hAnsi="Traditional Arabic" w:hint="cs"/>
          <w:rtl/>
        </w:rPr>
        <w:t>ساو</w:t>
      </w:r>
      <w:r>
        <w:rPr>
          <w:rFonts w:ascii="Traditional Arabic" w:hAnsi="Traditional Arabic" w:hint="cs"/>
          <w:rtl/>
        </w:rPr>
        <w:t>َ</w:t>
      </w:r>
      <w:r w:rsidRPr="000832E7">
        <w:rPr>
          <w:rFonts w:ascii="Traditional Arabic" w:hAnsi="Traditional Arabic" w:hint="cs"/>
          <w:rtl/>
        </w:rPr>
        <w:t>يا وزناً؛ لأن الر</w:t>
      </w:r>
      <w:r>
        <w:rPr>
          <w:rFonts w:ascii="Traditional Arabic" w:hAnsi="Traditional Arabic" w:hint="cs"/>
          <w:rtl/>
        </w:rPr>
        <w:t>ُّ</w:t>
      </w:r>
      <w:r w:rsidRPr="000832E7">
        <w:rPr>
          <w:rFonts w:ascii="Traditional Arabic" w:hAnsi="Traditional Arabic" w:hint="cs"/>
          <w:rtl/>
        </w:rPr>
        <w:t>ط</w:t>
      </w:r>
      <w:r>
        <w:rPr>
          <w:rFonts w:ascii="Traditional Arabic" w:hAnsi="Traditional Arabic" w:hint="cs"/>
          <w:rtl/>
        </w:rPr>
        <w:t>َ</w:t>
      </w:r>
      <w:r w:rsidRPr="000832E7">
        <w:rPr>
          <w:rFonts w:ascii="Traditional Arabic" w:hAnsi="Traditional Arabic" w:hint="cs"/>
          <w:rtl/>
        </w:rPr>
        <w:t>ب ينق</w:t>
      </w:r>
      <w:r>
        <w:rPr>
          <w:rFonts w:ascii="Traditional Arabic" w:hAnsi="Traditional Arabic" w:hint="cs"/>
          <w:rtl/>
        </w:rPr>
        <w:t>ُ</w:t>
      </w:r>
      <w:r w:rsidRPr="000832E7">
        <w:rPr>
          <w:rFonts w:ascii="Traditional Arabic" w:hAnsi="Traditional Arabic" w:hint="cs"/>
          <w:rtl/>
        </w:rPr>
        <w:t>ص وزن</w:t>
      </w:r>
      <w:r>
        <w:rPr>
          <w:rFonts w:ascii="Traditional Arabic" w:hAnsi="Traditional Arabic" w:hint="cs"/>
          <w:rtl/>
        </w:rPr>
        <w:t>ُ</w:t>
      </w:r>
      <w:r w:rsidRPr="000832E7">
        <w:rPr>
          <w:rFonts w:ascii="Traditional Arabic" w:hAnsi="Traditional Arabic" w:hint="cs"/>
          <w:rtl/>
        </w:rPr>
        <w:t>ه إذا ج</w:t>
      </w:r>
      <w:r>
        <w:rPr>
          <w:rFonts w:ascii="Traditional Arabic" w:hAnsi="Traditional Arabic" w:hint="cs"/>
          <w:rtl/>
        </w:rPr>
        <w:t>َ</w:t>
      </w:r>
      <w:r w:rsidRPr="000832E7">
        <w:rPr>
          <w:rFonts w:ascii="Traditional Arabic" w:hAnsi="Traditional Arabic" w:hint="cs"/>
          <w:rtl/>
        </w:rPr>
        <w:t>ف</w:t>
      </w:r>
      <w:r>
        <w:rPr>
          <w:rFonts w:ascii="Traditional Arabic" w:hAnsi="Traditional Arabic" w:hint="cs"/>
          <w:rtl/>
        </w:rPr>
        <w:t>َّ</w:t>
      </w:r>
      <w:r w:rsidR="00B76414">
        <w:rPr>
          <w:rFonts w:ascii="Traditional Arabic" w:hAnsi="Traditional Arabic" w:hint="cs"/>
          <w:rtl/>
        </w:rPr>
        <w:t>،</w:t>
      </w:r>
      <w:r w:rsidRPr="000832E7">
        <w:rPr>
          <w:rFonts w:ascii="Traditional Arabic" w:hAnsi="Traditional Arabic" w:hint="cs"/>
          <w:rtl/>
        </w:rPr>
        <w:t xml:space="preserve"> لكن استثنى الشارع بيع العرايا فأباح</w:t>
      </w:r>
      <w:r>
        <w:rPr>
          <w:rFonts w:ascii="Traditional Arabic" w:hAnsi="Traditional Arabic" w:hint="cs"/>
          <w:rtl/>
        </w:rPr>
        <w:t>َ</w:t>
      </w:r>
      <w:r w:rsidRPr="000832E7">
        <w:rPr>
          <w:rFonts w:ascii="Traditional Arabic" w:hAnsi="Traditional Arabic" w:hint="cs"/>
          <w:rtl/>
        </w:rPr>
        <w:t>ه د</w:t>
      </w:r>
      <w:r>
        <w:rPr>
          <w:rFonts w:ascii="Traditional Arabic" w:hAnsi="Traditional Arabic" w:hint="cs"/>
          <w:rtl/>
        </w:rPr>
        <w:t>َ</w:t>
      </w:r>
      <w:r w:rsidRPr="000832E7">
        <w:rPr>
          <w:rFonts w:ascii="Traditional Arabic" w:hAnsi="Traditional Arabic" w:hint="cs"/>
          <w:rtl/>
        </w:rPr>
        <w:t>ف</w:t>
      </w:r>
      <w:r>
        <w:rPr>
          <w:rFonts w:ascii="Traditional Arabic" w:hAnsi="Traditional Arabic" w:hint="cs"/>
          <w:rtl/>
        </w:rPr>
        <w:t>ْ</w:t>
      </w:r>
      <w:r w:rsidRPr="000832E7">
        <w:rPr>
          <w:rFonts w:ascii="Traditional Arabic" w:hAnsi="Traditional Arabic" w:hint="cs"/>
          <w:rtl/>
        </w:rPr>
        <w:t>عا</w:t>
      </w:r>
      <w:r>
        <w:rPr>
          <w:rFonts w:ascii="Traditional Arabic" w:hAnsi="Traditional Arabic" w:hint="cs"/>
          <w:rtl/>
        </w:rPr>
        <w:t>ً</w:t>
      </w:r>
      <w:r w:rsidRPr="000832E7">
        <w:rPr>
          <w:rFonts w:ascii="Traditional Arabic" w:hAnsi="Traditional Arabic" w:hint="cs"/>
          <w:rtl/>
        </w:rPr>
        <w:t xml:space="preserve"> لحاجة الفقير الذي يريد أن ي</w:t>
      </w:r>
      <w:r>
        <w:rPr>
          <w:rFonts w:ascii="Traditional Arabic" w:hAnsi="Traditional Arabic" w:hint="cs"/>
          <w:rtl/>
        </w:rPr>
        <w:t>َ</w:t>
      </w:r>
      <w:r w:rsidRPr="000832E7">
        <w:rPr>
          <w:rFonts w:ascii="Traditional Arabic" w:hAnsi="Traditional Arabic" w:hint="cs"/>
          <w:rtl/>
        </w:rPr>
        <w:t>ت</w:t>
      </w:r>
      <w:r>
        <w:rPr>
          <w:rFonts w:ascii="Traditional Arabic" w:hAnsi="Traditional Arabic" w:hint="cs"/>
          <w:rtl/>
        </w:rPr>
        <w:t>َ</w:t>
      </w:r>
      <w:r w:rsidRPr="000832E7">
        <w:rPr>
          <w:rFonts w:ascii="Traditional Arabic" w:hAnsi="Traditional Arabic" w:hint="cs"/>
          <w:rtl/>
        </w:rPr>
        <w:t>ف</w:t>
      </w:r>
      <w:r>
        <w:rPr>
          <w:rFonts w:ascii="Traditional Arabic" w:hAnsi="Traditional Arabic" w:hint="cs"/>
          <w:rtl/>
        </w:rPr>
        <w:t>َ</w:t>
      </w:r>
      <w:r w:rsidRPr="000832E7">
        <w:rPr>
          <w:rFonts w:ascii="Traditional Arabic" w:hAnsi="Traditional Arabic" w:hint="cs"/>
          <w:rtl/>
        </w:rPr>
        <w:t>كَّه</w:t>
      </w:r>
      <w:r>
        <w:rPr>
          <w:rFonts w:ascii="Traditional Arabic" w:hAnsi="Traditional Arabic" w:hint="cs"/>
          <w:rtl/>
        </w:rPr>
        <w:t>َ</w:t>
      </w:r>
      <w:r w:rsidR="00180FDC">
        <w:rPr>
          <w:rStyle w:val="af1"/>
          <w:rFonts w:hint="cs"/>
          <w:szCs w:val="32"/>
          <w:rtl/>
        </w:rPr>
        <w:t xml:space="preserve"> </w:t>
      </w:r>
      <w:r w:rsidRPr="000832E7">
        <w:rPr>
          <w:rFonts w:ascii="Traditional Arabic" w:hAnsi="Traditional Arabic" w:hint="cs"/>
          <w:rtl/>
        </w:rPr>
        <w:t>بالرطب</w:t>
      </w:r>
      <w:r w:rsidRPr="00C821A1">
        <w:rPr>
          <w:rStyle w:val="af1"/>
          <w:szCs w:val="32"/>
          <w:rtl/>
        </w:rPr>
        <w:t>(</w:t>
      </w:r>
      <w:r w:rsidRPr="00C821A1">
        <w:rPr>
          <w:rStyle w:val="af1"/>
          <w:szCs w:val="32"/>
          <w:rtl/>
        </w:rPr>
        <w:footnoteReference w:id="1900"/>
      </w:r>
      <w:r w:rsidRPr="00C821A1">
        <w:rPr>
          <w:rStyle w:val="af1"/>
          <w:szCs w:val="32"/>
          <w:rtl/>
        </w:rPr>
        <w:t>)</w:t>
      </w:r>
      <w:r>
        <w:rPr>
          <w:rFonts w:ascii="Traditional Arabic" w:hAnsi="Traditional Arabic" w:hint="cs"/>
          <w:rtl/>
        </w:rPr>
        <w:t>.</w:t>
      </w:r>
    </w:p>
    <w:p w:rsidR="00D25F15" w:rsidRPr="00C85F0F" w:rsidRDefault="00D816CC" w:rsidP="000F5C0F">
      <w:pPr>
        <w:pStyle w:val="aff2"/>
        <w:rPr>
          <w:rtl/>
        </w:rPr>
      </w:pPr>
      <w:bookmarkStart w:id="400" w:name="_Toc334046590"/>
      <w:r w:rsidRPr="00D816CC">
        <w:rPr>
          <w:rFonts w:ascii="Traditional Arabic" w:hAnsi="Traditional Arabic" w:hint="cs"/>
          <w:rtl/>
        </w:rPr>
        <w:lastRenderedPageBreak/>
        <w:t>المبحث الرابع</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Pr="00D816CC">
        <w:rPr>
          <w:rFonts w:ascii="Traditional Arabic" w:hAnsi="Traditional Arabic" w:hint="cs"/>
          <w:rtl/>
        </w:rPr>
        <w:t>قاعدة</w:t>
      </w:r>
      <w:r>
        <w:rPr>
          <w:rFonts w:ascii="Traditional Arabic" w:hAnsi="Traditional Arabic"/>
          <w:rtl/>
        </w:rPr>
        <w:br/>
      </w:r>
      <w:r w:rsidR="00D25F15">
        <w:rPr>
          <w:rFonts w:hint="cs"/>
          <w:rtl/>
        </w:rPr>
        <w:t>"من يتصرف</w:t>
      </w:r>
      <w:r w:rsidR="00E53CE8">
        <w:rPr>
          <w:rFonts w:hint="cs"/>
          <w:rtl/>
        </w:rPr>
        <w:t xml:space="preserve"> لغيره يجب عليه أن</w:t>
      </w:r>
      <w:r w:rsidR="00A70C2C">
        <w:rPr>
          <w:rFonts w:hint="cs"/>
          <w:rtl/>
        </w:rPr>
        <w:t xml:space="preserve"> يتصرف بالأصلح</w:t>
      </w:r>
      <w:r w:rsidR="00D25F15">
        <w:rPr>
          <w:rFonts w:hint="cs"/>
          <w:rtl/>
        </w:rPr>
        <w:t>، ومن يتصرف لنفسه يتصرف بما شاء</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منيتصرفلغيرهيجبعليهأنيتصرفبالأصلح،ومنيتصرفلنفسهيتصرفبماشاء</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D25F15" w:rsidRPr="00C85F0F">
        <w:rPr>
          <w:rFonts w:hint="cs"/>
          <w:rtl/>
        </w:rPr>
        <w:t>"</w:t>
      </w:r>
      <w:r w:rsidR="00D25F15" w:rsidRPr="00C85F0F">
        <w:rPr>
          <w:rStyle w:val="af1"/>
          <w:b w:val="0"/>
          <w:bCs w:val="0"/>
          <w:szCs w:val="32"/>
          <w:rtl/>
        </w:rPr>
        <w:t>(</w:t>
      </w:r>
      <w:r w:rsidR="00D25F15" w:rsidRPr="00C85F0F">
        <w:rPr>
          <w:rStyle w:val="af1"/>
          <w:b w:val="0"/>
          <w:bCs w:val="0"/>
          <w:szCs w:val="32"/>
          <w:rtl/>
        </w:rPr>
        <w:footnoteReference w:id="1901"/>
      </w:r>
      <w:r w:rsidR="00D25F15" w:rsidRPr="00C85F0F">
        <w:rPr>
          <w:rStyle w:val="af1"/>
          <w:b w:val="0"/>
          <w:bCs w:val="0"/>
          <w:szCs w:val="32"/>
          <w:rtl/>
        </w:rPr>
        <w:t>)</w:t>
      </w:r>
      <w:bookmarkEnd w:id="400"/>
    </w:p>
    <w:p w:rsidR="00065E4B" w:rsidRPr="00C85F0F" w:rsidRDefault="00180FDC" w:rsidP="00A8347C">
      <w:pPr>
        <w:pStyle w:val="aff3"/>
        <w:rPr>
          <w:rtl/>
        </w:rPr>
      </w:pPr>
      <w:bookmarkStart w:id="401" w:name="_Toc334046591"/>
      <w:r>
        <w:rPr>
          <w:rFonts w:hint="cs"/>
          <w:rtl/>
        </w:rPr>
        <w:t xml:space="preserve">                                         </w:t>
      </w:r>
      <w:r w:rsidR="00D25F15" w:rsidRPr="00C85F0F">
        <w:rPr>
          <w:rFonts w:hint="cs"/>
          <w:rtl/>
        </w:rPr>
        <w:t>المطلب الأول</w:t>
      </w:r>
      <w:r w:rsidR="00D25F15" w:rsidRPr="00C85F0F">
        <w:rPr>
          <w:rFonts w:hint="eastAsia"/>
          <w:rtl/>
        </w:rPr>
        <w:t> :</w:t>
      </w:r>
      <w:r w:rsidR="00D25F15" w:rsidRPr="00C85F0F">
        <w:rPr>
          <w:rFonts w:hint="cs"/>
          <w:rtl/>
        </w:rPr>
        <w:br/>
      </w:r>
      <w:r>
        <w:rPr>
          <w:rFonts w:hint="cs"/>
          <w:rtl/>
        </w:rPr>
        <w:t xml:space="preserve">                       </w:t>
      </w:r>
      <w:r w:rsidR="00D25F15" w:rsidRPr="00C85F0F">
        <w:rPr>
          <w:rFonts w:hint="cs"/>
          <w:rtl/>
        </w:rPr>
        <w:t>صيغ القاعدة عند الشيخ وعند علماء القواعد</w:t>
      </w:r>
      <w:bookmarkEnd w:id="401"/>
    </w:p>
    <w:p w:rsidR="00D25F15" w:rsidRPr="00C85F0F" w:rsidRDefault="00A70C2C" w:rsidP="00180FDC">
      <w:pPr>
        <w:ind w:firstLine="0"/>
        <w:rPr>
          <w:rtl/>
        </w:rPr>
      </w:pPr>
      <w:r>
        <w:rPr>
          <w:rFonts w:hint="cs"/>
          <w:rtl/>
        </w:rPr>
        <w:t xml:space="preserve">    </w:t>
      </w:r>
      <w:r w:rsidR="00065E4B" w:rsidRPr="00C85F0F">
        <w:rPr>
          <w:rFonts w:hint="cs"/>
          <w:rtl/>
        </w:rPr>
        <w:t>و</w:t>
      </w:r>
      <w:r w:rsidR="00D25F15" w:rsidRPr="00C85F0F">
        <w:rPr>
          <w:rFonts w:hint="cs"/>
          <w:rtl/>
        </w:rPr>
        <w:t>ردت هذه القاعدة عند الشيخ ابن عثيمين</w:t>
      </w:r>
      <w:r w:rsidR="00180FDC">
        <w:rPr>
          <w:rFonts w:hint="cs"/>
          <w:rtl/>
        </w:rPr>
        <w:t>_رحمه الله_</w:t>
      </w:r>
      <w:r w:rsidR="00D25F15" w:rsidRPr="00C85F0F">
        <w:rPr>
          <w:rFonts w:hint="cs"/>
          <w:rtl/>
        </w:rPr>
        <w:t xml:space="preserve"> بعدة صيغ، منها:</w:t>
      </w:r>
    </w:p>
    <w:p w:rsidR="00D25F15" w:rsidRPr="00C85F0F" w:rsidRDefault="00D25F15" w:rsidP="000A76C7">
      <w:pPr>
        <w:numPr>
          <w:ilvl w:val="0"/>
          <w:numId w:val="258"/>
        </w:numPr>
      </w:pPr>
      <w:r w:rsidRPr="00C85F0F">
        <w:rPr>
          <w:rFonts w:ascii="Traditional Arabic" w:hAnsi="Traditional Arabic"/>
          <w:noProof w:val="0"/>
          <w:rtl/>
          <w:lang w:eastAsia="en-US"/>
        </w:rPr>
        <w:t>الواجب على من تصر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 لغيره أن يفعل ما هو أحسن، أما من تصرف لنفسه فيفعل ما يشاء مما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باح له</w:t>
      </w:r>
      <w:r w:rsidRPr="00C85F0F">
        <w:rPr>
          <w:rStyle w:val="af1"/>
          <w:szCs w:val="32"/>
          <w:rtl/>
        </w:rPr>
        <w:t>(</w:t>
      </w:r>
      <w:r w:rsidRPr="00C85F0F">
        <w:rPr>
          <w:rStyle w:val="af1"/>
          <w:szCs w:val="32"/>
          <w:rtl/>
        </w:rPr>
        <w:footnoteReference w:id="1902"/>
      </w:r>
      <w:r w:rsidRPr="00C85F0F">
        <w:rPr>
          <w:rStyle w:val="af1"/>
          <w:szCs w:val="32"/>
          <w:rtl/>
        </w:rPr>
        <w:t>)</w:t>
      </w:r>
      <w:r w:rsidRPr="00C85F0F">
        <w:rPr>
          <w:rFonts w:ascii="Traditional Arabic" w:hAnsi="Traditional Arabic"/>
          <w:noProof w:val="0"/>
          <w:rtl/>
          <w:lang w:eastAsia="en-US"/>
        </w:rPr>
        <w:t>.</w:t>
      </w:r>
    </w:p>
    <w:p w:rsidR="00D25F15" w:rsidRPr="00C85F0F" w:rsidRDefault="00D25F15" w:rsidP="000A76C7">
      <w:pPr>
        <w:numPr>
          <w:ilvl w:val="0"/>
          <w:numId w:val="258"/>
        </w:numPr>
      </w:pPr>
      <w:r w:rsidRPr="00C85F0F">
        <w:rPr>
          <w:rFonts w:ascii="Traditional Arabic" w:hAnsi="Traditional Arabic"/>
          <w:noProof w:val="0"/>
          <w:rtl/>
          <w:lang w:eastAsia="en-US"/>
        </w:rPr>
        <w:t>كل من يتصرف لغيره إذا 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بين شيئين فإن تخييره للمصلحة وليس للتشه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 أما من لا يتصرف لغيره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فإذا 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بين شيئين فهو للتشه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Style w:val="af1"/>
          <w:szCs w:val="32"/>
          <w:rtl/>
        </w:rPr>
        <w:t>(</w:t>
      </w:r>
      <w:r w:rsidRPr="00C85F0F">
        <w:rPr>
          <w:rStyle w:val="af1"/>
          <w:szCs w:val="32"/>
          <w:rtl/>
        </w:rPr>
        <w:footnoteReference w:id="1903"/>
      </w:r>
      <w:r w:rsidRPr="00C85F0F">
        <w:rPr>
          <w:rStyle w:val="af1"/>
          <w:szCs w:val="32"/>
          <w:rtl/>
        </w:rPr>
        <w:t>)</w:t>
      </w:r>
      <w:r w:rsidRPr="00C85F0F">
        <w:rPr>
          <w:rFonts w:hint="cs"/>
          <w:rtl/>
        </w:rPr>
        <w:t>.</w:t>
      </w:r>
    </w:p>
    <w:p w:rsidR="00D25F15" w:rsidRPr="00C85F0F" w:rsidRDefault="00D25F15" w:rsidP="000A76C7">
      <w:pPr>
        <w:widowControl/>
        <w:numPr>
          <w:ilvl w:val="0"/>
          <w:numId w:val="258"/>
        </w:numPr>
        <w:autoSpaceDE w:val="0"/>
        <w:autoSpaceDN w:val="0"/>
        <w:adjustRightInd w:val="0"/>
        <w:rPr>
          <w:rFonts w:ascii="Simplified Arabic" w:hAnsi="Simplified Arabic" w:cs="Simplified Arabic"/>
          <w:noProof w:val="0"/>
          <w:color w:val="auto"/>
          <w:rtl/>
          <w:lang w:eastAsia="en-US"/>
        </w:rPr>
      </w:pPr>
      <w:r w:rsidRPr="00C85F0F">
        <w:rPr>
          <w:rFonts w:ascii="Traditional Arabic" w:hAnsi="Traditional Arabic"/>
          <w:noProof w:val="0"/>
          <w:color w:val="auto"/>
          <w:rtl/>
          <w:lang w:eastAsia="en-US"/>
        </w:rPr>
        <w:t>من خ</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 بين شيئين ويتصرف لغيره</w:t>
      </w:r>
      <w:r w:rsidRPr="00C85F0F">
        <w:rPr>
          <w:rFonts w:ascii="Simplified Arabic" w:hAnsi="Simplified Arabic" w:hint="cs"/>
          <w:noProof w:val="0"/>
          <w:color w:val="auto"/>
          <w:rtl/>
          <w:lang w:eastAsia="en-US"/>
        </w:rPr>
        <w:t xml:space="preserve">، </w:t>
      </w:r>
      <w:r w:rsidRPr="00C85F0F">
        <w:rPr>
          <w:rFonts w:ascii="Traditional Arabic" w:hAnsi="Traditional Arabic"/>
          <w:noProof w:val="0"/>
          <w:rtl/>
          <w:lang w:eastAsia="en-US"/>
        </w:rPr>
        <w:t>وجب عليه 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عل الأصلح، وإن كان </w:t>
      </w:r>
      <w:r w:rsidRPr="00C85F0F">
        <w:rPr>
          <w:rFonts w:ascii="Traditional Arabic" w:hAnsi="Traditional Arabic" w:hint="cs"/>
          <w:noProof w:val="0"/>
          <w:rtl/>
          <w:lang w:eastAsia="en-US"/>
        </w:rPr>
        <w:t xml:space="preserve">يتصرف </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نفسه فله أن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إلى الأسهل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سواء كان أصلح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أو غير أصلح</w:t>
      </w:r>
      <w:r w:rsidRPr="00C85F0F">
        <w:rPr>
          <w:rStyle w:val="af1"/>
          <w:szCs w:val="32"/>
          <w:rtl/>
        </w:rPr>
        <w:t>(</w:t>
      </w:r>
      <w:r w:rsidRPr="00C85F0F">
        <w:rPr>
          <w:rStyle w:val="af1"/>
          <w:szCs w:val="32"/>
          <w:rtl/>
        </w:rPr>
        <w:footnoteReference w:id="1904"/>
      </w:r>
      <w:r w:rsidRPr="00C85F0F">
        <w:rPr>
          <w:rStyle w:val="af1"/>
          <w:szCs w:val="32"/>
          <w:rtl/>
        </w:rPr>
        <w:t>)</w:t>
      </w:r>
      <w:r w:rsidRPr="00C85F0F">
        <w:rPr>
          <w:rFonts w:ascii="Traditional Arabic" w:hAnsi="Traditional Arabic" w:hint="cs"/>
          <w:noProof w:val="0"/>
          <w:rtl/>
          <w:lang w:eastAsia="en-US"/>
        </w:rPr>
        <w:t>.</w:t>
      </w:r>
    </w:p>
    <w:p w:rsidR="00D25F15" w:rsidRPr="00C85F0F" w:rsidRDefault="00D25F15" w:rsidP="000A76C7">
      <w:pPr>
        <w:numPr>
          <w:ilvl w:val="0"/>
          <w:numId w:val="258"/>
        </w:numPr>
      </w:pPr>
      <w:r w:rsidRPr="00C85F0F">
        <w:rPr>
          <w:rFonts w:ascii="Traditional Arabic" w:hAnsi="Traditional Arabic"/>
          <w:noProof w:val="0"/>
          <w:rtl/>
          <w:lang w:eastAsia="en-US"/>
        </w:rPr>
        <w:t>المتصر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 لغيره يجب أن يتصر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 بالأحظ</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والمتصرف لنفسه يتصرف بما شاء</w:t>
      </w:r>
      <w:r w:rsidRPr="00C85F0F">
        <w:rPr>
          <w:rStyle w:val="af1"/>
          <w:szCs w:val="32"/>
          <w:rtl/>
        </w:rPr>
        <w:t>(</w:t>
      </w:r>
      <w:r w:rsidRPr="00C85F0F">
        <w:rPr>
          <w:rStyle w:val="af1"/>
          <w:szCs w:val="32"/>
          <w:rtl/>
        </w:rPr>
        <w:footnoteReference w:id="1905"/>
      </w:r>
      <w:r w:rsidRPr="00C85F0F">
        <w:rPr>
          <w:rStyle w:val="af1"/>
          <w:szCs w:val="32"/>
          <w:rtl/>
        </w:rPr>
        <w:t>)</w:t>
      </w:r>
      <w:r w:rsidRPr="00C85F0F">
        <w:rPr>
          <w:rFonts w:hint="cs"/>
          <w:rtl/>
        </w:rPr>
        <w:t>.</w:t>
      </w:r>
    </w:p>
    <w:p w:rsidR="00D25F15" w:rsidRPr="00C85F0F" w:rsidRDefault="00D25F15" w:rsidP="000A76C7">
      <w:pPr>
        <w:numPr>
          <w:ilvl w:val="0"/>
          <w:numId w:val="258"/>
        </w:numPr>
      </w:pPr>
      <w:r w:rsidRPr="00C85F0F">
        <w:rPr>
          <w:rFonts w:ascii="Traditional Arabic" w:hAnsi="Traditional Arabic"/>
          <w:noProof w:val="0"/>
          <w:rtl/>
          <w:lang w:eastAsia="en-US"/>
        </w:rPr>
        <w:t>من يتصرف لغيره فإنه يجب عليه أن يعمل بالأحسن</w:t>
      </w:r>
      <w:r w:rsidRPr="00C85F0F">
        <w:rPr>
          <w:rStyle w:val="af1"/>
          <w:szCs w:val="32"/>
          <w:rtl/>
        </w:rPr>
        <w:t>(</w:t>
      </w:r>
      <w:r w:rsidRPr="00C85F0F">
        <w:rPr>
          <w:rStyle w:val="af1"/>
          <w:szCs w:val="32"/>
          <w:rtl/>
        </w:rPr>
        <w:footnoteReference w:id="1906"/>
      </w:r>
      <w:r w:rsidRPr="00C85F0F">
        <w:rPr>
          <w:rStyle w:val="af1"/>
          <w:szCs w:val="32"/>
          <w:rtl/>
        </w:rPr>
        <w:t>)</w:t>
      </w:r>
      <w:r w:rsidRPr="00C85F0F">
        <w:rPr>
          <w:rFonts w:ascii="Traditional Arabic" w:hAnsi="Traditional Arabic"/>
          <w:noProof w:val="0"/>
          <w:rtl/>
          <w:lang w:eastAsia="en-US"/>
        </w:rPr>
        <w:t>.</w:t>
      </w:r>
    </w:p>
    <w:p w:rsidR="00D25F15" w:rsidRPr="00C85F0F" w:rsidRDefault="00D25F15" w:rsidP="000A76C7">
      <w:pPr>
        <w:numPr>
          <w:ilvl w:val="0"/>
          <w:numId w:val="258"/>
        </w:numPr>
      </w:pPr>
      <w:r w:rsidRPr="00C85F0F">
        <w:rPr>
          <w:rFonts w:ascii="Traditional Arabic" w:hAnsi="Traditional Arabic"/>
          <w:noProof w:val="0"/>
          <w:rtl/>
          <w:lang w:eastAsia="en-US"/>
        </w:rPr>
        <w:lastRenderedPageBreak/>
        <w:t>التخيير يكون تخيير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مصلحة إذا كان الإنسان يتصرف لغيره، أما إذا تصرف لنفسه فهو تخيير</w:t>
      </w:r>
      <w:r w:rsidRPr="00C85F0F">
        <w:rPr>
          <w:rFonts w:ascii="Traditional Arabic" w:hAnsi="Traditional Arabic" w:hint="cs"/>
          <w:noProof w:val="0"/>
          <w:rtl/>
          <w:lang w:eastAsia="en-US"/>
        </w:rPr>
        <w:t>ُ</w:t>
      </w:r>
      <w:r w:rsidR="00180FDC">
        <w:rPr>
          <w:rFonts w:ascii="Traditional Arabic" w:hAnsi="Traditional Arabic" w:hint="cs"/>
          <w:noProof w:val="0"/>
          <w:rtl/>
          <w:lang w:eastAsia="en-US"/>
        </w:rPr>
        <w:t xml:space="preserve"> </w:t>
      </w:r>
      <w:r w:rsidRPr="00C85F0F">
        <w:rPr>
          <w:rFonts w:ascii="Traditional Arabic" w:hAnsi="Traditional Arabic"/>
          <w:noProof w:val="0"/>
          <w:rtl/>
          <w:lang w:eastAsia="en-US"/>
        </w:rPr>
        <w:t>تشه</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1907"/>
      </w:r>
      <w:r w:rsidRPr="00C85F0F">
        <w:rPr>
          <w:rStyle w:val="af1"/>
          <w:szCs w:val="32"/>
          <w:rtl/>
        </w:rPr>
        <w:t>)</w:t>
      </w:r>
      <w:r w:rsidRPr="00C85F0F">
        <w:rPr>
          <w:rFonts w:hint="cs"/>
          <w:rtl/>
        </w:rPr>
        <w:t>.</w:t>
      </w:r>
    </w:p>
    <w:p w:rsidR="00065E4B" w:rsidRPr="00C85F0F" w:rsidRDefault="00D25F15" w:rsidP="000A76C7">
      <w:pPr>
        <w:numPr>
          <w:ilvl w:val="0"/>
          <w:numId w:val="258"/>
        </w:numPr>
      </w:pPr>
      <w:r w:rsidRPr="00C85F0F">
        <w:rPr>
          <w:rFonts w:hint="cs"/>
          <w:rtl/>
        </w:rPr>
        <w:t>كل ما جُعل فيه الخيار لشخص عن طريق ا</w:t>
      </w:r>
      <w:r w:rsidR="00180FDC">
        <w:rPr>
          <w:rFonts w:hint="cs"/>
          <w:rtl/>
        </w:rPr>
        <w:t>لولاية أو التصرف لغيره، فالواجب</w:t>
      </w:r>
      <w:r w:rsidRPr="00C85F0F">
        <w:rPr>
          <w:rFonts w:hint="cs"/>
          <w:rtl/>
        </w:rPr>
        <w:t xml:space="preserve"> عليه اتِّباع الأصلح، بخلاف ما جُعل فيه الخيار مما يتصرف لنفسه، فهذا يتَّبع ما يراه أسهل</w:t>
      </w:r>
      <w:r w:rsidRPr="00180FDC">
        <w:rPr>
          <w:rStyle w:val="af1"/>
          <w:szCs w:val="32"/>
          <w:rtl/>
        </w:rPr>
        <w:t>(</w:t>
      </w:r>
      <w:r w:rsidRPr="00C85F0F">
        <w:rPr>
          <w:rStyle w:val="af1"/>
          <w:szCs w:val="32"/>
          <w:rtl/>
        </w:rPr>
        <w:footnoteReference w:id="1908"/>
      </w:r>
      <w:r w:rsidRPr="00180FDC">
        <w:rPr>
          <w:rStyle w:val="af1"/>
          <w:szCs w:val="32"/>
          <w:rtl/>
        </w:rPr>
        <w:t>)</w:t>
      </w:r>
      <w:r w:rsidRPr="00C85F0F">
        <w:rPr>
          <w:rFonts w:hint="cs"/>
          <w:rtl/>
        </w:rPr>
        <w:t>.</w:t>
      </w:r>
    </w:p>
    <w:p w:rsidR="00D25F15" w:rsidRPr="00C85F0F" w:rsidRDefault="00A70C2C" w:rsidP="00597C20">
      <w:pPr>
        <w:ind w:firstLine="0"/>
        <w:rPr>
          <w:rtl/>
        </w:rPr>
      </w:pPr>
      <w:r>
        <w:rPr>
          <w:rFonts w:hint="cs"/>
          <w:rtl/>
        </w:rPr>
        <w:t xml:space="preserve">    </w:t>
      </w:r>
      <w:r w:rsidR="00065E4B" w:rsidRPr="00C85F0F">
        <w:rPr>
          <w:rFonts w:hint="cs"/>
          <w:rtl/>
        </w:rPr>
        <w:t>و</w:t>
      </w:r>
      <w:r w:rsidR="00D25F15" w:rsidRPr="00C85F0F">
        <w:rPr>
          <w:rFonts w:hint="cs"/>
          <w:rtl/>
        </w:rPr>
        <w:t xml:space="preserve">وردت </w:t>
      </w:r>
      <w:r w:rsidR="00E53CE8">
        <w:rPr>
          <w:rFonts w:hint="cs"/>
          <w:rtl/>
        </w:rPr>
        <w:t>هذه القاعدة عند علماء القواعد بصيغ عديدة، منها</w:t>
      </w:r>
      <w:r w:rsidR="00D25F15" w:rsidRPr="00C85F0F">
        <w:rPr>
          <w:rFonts w:hint="cs"/>
          <w:rtl/>
        </w:rPr>
        <w:t>:</w:t>
      </w:r>
    </w:p>
    <w:p w:rsidR="00D25F15" w:rsidRPr="00C85F0F" w:rsidRDefault="00D25F15" w:rsidP="000A76C7">
      <w:pPr>
        <w:pStyle w:val="afc"/>
        <w:numPr>
          <w:ilvl w:val="0"/>
          <w:numId w:val="260"/>
        </w:numPr>
        <w:rPr>
          <w:rtl/>
        </w:rPr>
      </w:pPr>
      <w:r w:rsidRPr="00C85F0F">
        <w:rPr>
          <w:rFonts w:ascii="Traditional Arabic" w:hAnsi="Traditional Arabic"/>
          <w:noProof w:val="0"/>
          <w:rtl/>
          <w:lang w:eastAsia="en-US"/>
        </w:rPr>
        <w:t>من 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فيما يفعله لغيره بولايته عليه وبوكالة مطلقة: لم ي</w:t>
      </w:r>
      <w:r w:rsidRPr="00C85F0F">
        <w:rPr>
          <w:rFonts w:ascii="Traditional Arabic" w:hAnsi="Traditional Arabic" w:hint="cs"/>
          <w:noProof w:val="0"/>
          <w:rtl/>
          <w:lang w:eastAsia="en-US"/>
        </w:rPr>
        <w:t>ُبَ</w:t>
      </w:r>
      <w:r w:rsidRPr="00C85F0F">
        <w:rPr>
          <w:rFonts w:ascii="Traditional Arabic" w:hAnsi="Traditional Arabic"/>
          <w:noProof w:val="0"/>
          <w:rtl/>
          <w:lang w:eastAsia="en-US"/>
        </w:rPr>
        <w:t>ح له فيها 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عل ما شاء؛ بل عليه أن يختار الأصلح</w:t>
      </w:r>
      <w:r w:rsidRPr="00C85F0F">
        <w:rPr>
          <w:rStyle w:val="af1"/>
          <w:szCs w:val="32"/>
          <w:rtl/>
        </w:rPr>
        <w:t>(</w:t>
      </w:r>
      <w:r w:rsidRPr="00C85F0F">
        <w:rPr>
          <w:rStyle w:val="af1"/>
          <w:szCs w:val="32"/>
          <w:rtl/>
        </w:rPr>
        <w:footnoteReference w:id="1909"/>
      </w:r>
      <w:r w:rsidRPr="00C85F0F">
        <w:rPr>
          <w:rStyle w:val="af1"/>
          <w:szCs w:val="32"/>
          <w:rtl/>
        </w:rPr>
        <w:t>)</w:t>
      </w:r>
      <w:r w:rsidRPr="00C85F0F">
        <w:rPr>
          <w:rFonts w:hint="cs"/>
          <w:rtl/>
        </w:rPr>
        <w:t>.</w:t>
      </w:r>
    </w:p>
    <w:p w:rsidR="00D25F15" w:rsidRPr="00C85F0F" w:rsidRDefault="00D25F15" w:rsidP="000A76C7">
      <w:pPr>
        <w:pStyle w:val="afc"/>
        <w:numPr>
          <w:ilvl w:val="0"/>
          <w:numId w:val="259"/>
        </w:numPr>
        <w:rPr>
          <w:rtl/>
        </w:rPr>
      </w:pPr>
      <w:r w:rsidRPr="00C85F0F">
        <w:rPr>
          <w:rFonts w:hint="cs"/>
          <w:rtl/>
        </w:rPr>
        <w:t>كل متصرف عن الغير فعليه أن يتصرف بالمصلحة</w:t>
      </w:r>
      <w:r w:rsidRPr="00C85F0F">
        <w:rPr>
          <w:rStyle w:val="af1"/>
          <w:szCs w:val="32"/>
          <w:rtl/>
        </w:rPr>
        <w:t>(</w:t>
      </w:r>
      <w:r w:rsidRPr="00C85F0F">
        <w:rPr>
          <w:rStyle w:val="af1"/>
          <w:szCs w:val="32"/>
          <w:rtl/>
        </w:rPr>
        <w:footnoteReference w:id="1910"/>
      </w:r>
      <w:r w:rsidRPr="00C85F0F">
        <w:rPr>
          <w:rStyle w:val="af1"/>
          <w:szCs w:val="32"/>
          <w:rtl/>
        </w:rPr>
        <w:t>)</w:t>
      </w:r>
      <w:r w:rsidRPr="00C85F0F">
        <w:rPr>
          <w:rFonts w:hint="cs"/>
          <w:rtl/>
        </w:rPr>
        <w:t>.</w:t>
      </w:r>
    </w:p>
    <w:p w:rsidR="00D25F15" w:rsidRPr="00C85F0F" w:rsidRDefault="00D25F15" w:rsidP="000A76C7">
      <w:pPr>
        <w:pStyle w:val="afc"/>
        <w:numPr>
          <w:ilvl w:val="0"/>
          <w:numId w:val="259"/>
        </w:numPr>
      </w:pPr>
      <w:r w:rsidRPr="00C85F0F">
        <w:rPr>
          <w:rFonts w:hint="cs"/>
          <w:rtl/>
        </w:rPr>
        <w:t>إذا خُيِّر العبد بين شيئين فأكثر، فإن كان التخيير لمصلحته فهو تخيير تشهٍّ واختيار، وإن كان لمصلحة غيره فهو تخيير اجتهادٍ في مصلحة الغير</w:t>
      </w:r>
      <w:r w:rsidRPr="00C85F0F">
        <w:rPr>
          <w:rStyle w:val="af1"/>
          <w:szCs w:val="32"/>
          <w:rtl/>
        </w:rPr>
        <w:t>(</w:t>
      </w:r>
      <w:r w:rsidRPr="00C85F0F">
        <w:rPr>
          <w:rStyle w:val="af1"/>
          <w:szCs w:val="32"/>
          <w:rtl/>
        </w:rPr>
        <w:footnoteReference w:id="1911"/>
      </w:r>
      <w:r w:rsidRPr="00C85F0F">
        <w:rPr>
          <w:rStyle w:val="af1"/>
          <w:szCs w:val="32"/>
          <w:rtl/>
        </w:rPr>
        <w:t>)</w:t>
      </w:r>
      <w:r w:rsidRPr="00C85F0F">
        <w:rPr>
          <w:rFonts w:hint="cs"/>
          <w:rtl/>
        </w:rPr>
        <w:t>.</w:t>
      </w:r>
    </w:p>
    <w:p w:rsidR="00065E4B" w:rsidRPr="00C85F0F" w:rsidRDefault="00180FDC" w:rsidP="00A8347C">
      <w:pPr>
        <w:pStyle w:val="aff3"/>
        <w:rPr>
          <w:rtl/>
        </w:rPr>
      </w:pPr>
      <w:bookmarkStart w:id="402" w:name="_Toc334046592"/>
      <w:r>
        <w:rPr>
          <w:rFonts w:hint="cs"/>
          <w:rtl/>
        </w:rPr>
        <w:t xml:space="preserve">                                             </w:t>
      </w:r>
      <w:r w:rsidR="00D25F15" w:rsidRPr="00C85F0F">
        <w:rPr>
          <w:rFonts w:hint="cs"/>
          <w:rtl/>
        </w:rPr>
        <w:t>المطلب الثاني</w:t>
      </w:r>
      <w:r w:rsidR="00D25F15" w:rsidRPr="00C85F0F">
        <w:rPr>
          <w:rFonts w:hint="eastAsia"/>
          <w:rtl/>
        </w:rPr>
        <w:t> :</w:t>
      </w:r>
      <w:r w:rsidR="00D25F15" w:rsidRPr="00C85F0F">
        <w:rPr>
          <w:rFonts w:hint="cs"/>
          <w:rtl/>
        </w:rPr>
        <w:br/>
      </w:r>
      <w:r>
        <w:rPr>
          <w:rFonts w:hint="cs"/>
          <w:rtl/>
        </w:rPr>
        <w:t xml:space="preserve">                                              </w:t>
      </w:r>
      <w:r w:rsidR="00D25F15" w:rsidRPr="00C85F0F">
        <w:rPr>
          <w:rFonts w:hint="cs"/>
          <w:rtl/>
        </w:rPr>
        <w:t>شرح القاعدة</w:t>
      </w:r>
      <w:bookmarkEnd w:id="402"/>
    </w:p>
    <w:p w:rsidR="00CB6849" w:rsidRPr="00D564C0" w:rsidRDefault="00065E4B" w:rsidP="00597C20">
      <w:pPr>
        <w:pStyle w:val="53"/>
        <w:rPr>
          <w:rtl/>
        </w:rPr>
      </w:pPr>
      <w:r w:rsidRPr="00D564C0">
        <w:rPr>
          <w:rFonts w:hint="cs"/>
          <w:rtl/>
        </w:rPr>
        <w:t>ا</w:t>
      </w:r>
      <w:r w:rsidR="00D25F15" w:rsidRPr="00D564C0">
        <w:rPr>
          <w:rFonts w:hint="cs"/>
          <w:rtl/>
        </w:rPr>
        <w:t>لأصلح</w:t>
      </w:r>
      <w:r w:rsidR="00AB0B9E">
        <w:rPr>
          <w:rtl/>
        </w:rPr>
        <w:fldChar w:fldCharType="begin"/>
      </w:r>
      <w:r w:rsidR="00D564C0">
        <w:instrText xml:space="preserve"> XE "</w:instrText>
      </w:r>
      <w:r w:rsidR="00D564C0" w:rsidRPr="00D564C0">
        <w:rPr>
          <w:rFonts w:hint="cs"/>
          <w:b w:val="0"/>
          <w:bCs w:val="0"/>
          <w:rtl/>
        </w:rPr>
        <w:instrText>الأصلح</w:instrText>
      </w:r>
      <w:r w:rsidR="00D564C0">
        <w:instrText xml:space="preserve">" </w:instrText>
      </w:r>
      <w:r w:rsidR="00D564C0" w:rsidRPr="00D564C0">
        <w:instrText xml:space="preserve">\fm </w:instrText>
      </w:r>
      <w:r w:rsidR="00AB0B9E">
        <w:rPr>
          <w:rtl/>
        </w:rPr>
        <w:fldChar w:fldCharType="end"/>
      </w:r>
      <w:r w:rsidR="00D25F15" w:rsidRPr="00D564C0">
        <w:rPr>
          <w:rFonts w:hint="cs"/>
          <w:rtl/>
        </w:rPr>
        <w:t xml:space="preserve"> لغة:</w:t>
      </w:r>
    </w:p>
    <w:p w:rsidR="00065E4B" w:rsidRPr="00C85F0F" w:rsidRDefault="00D25F15" w:rsidP="00597C20">
      <w:pPr>
        <w:ind w:firstLine="720"/>
        <w:rPr>
          <w:rtl/>
        </w:rPr>
      </w:pPr>
      <w:r w:rsidRPr="00C85F0F">
        <w:rPr>
          <w:rFonts w:hint="cs"/>
          <w:rtl/>
        </w:rPr>
        <w:t>اسم تفضيل من الفعل صلح يصلح صلاحا، وهو ضد الفساد</w:t>
      </w:r>
      <w:r w:rsidRPr="00C85F0F">
        <w:rPr>
          <w:rStyle w:val="af1"/>
          <w:szCs w:val="32"/>
          <w:rtl/>
        </w:rPr>
        <w:t>(</w:t>
      </w:r>
      <w:r w:rsidRPr="00C85F0F">
        <w:rPr>
          <w:rStyle w:val="af1"/>
          <w:szCs w:val="32"/>
          <w:rtl/>
        </w:rPr>
        <w:footnoteReference w:id="1912"/>
      </w:r>
      <w:r w:rsidRPr="00C85F0F">
        <w:rPr>
          <w:rStyle w:val="af1"/>
          <w:szCs w:val="32"/>
          <w:rtl/>
        </w:rPr>
        <w:t>)</w:t>
      </w:r>
      <w:r w:rsidRPr="00C85F0F">
        <w:rPr>
          <w:rFonts w:hint="cs"/>
          <w:rtl/>
        </w:rPr>
        <w:t>.</w:t>
      </w:r>
    </w:p>
    <w:p w:rsidR="00065E4B" w:rsidRPr="00D564C0" w:rsidRDefault="00065E4B" w:rsidP="00597C20">
      <w:pPr>
        <w:pStyle w:val="53"/>
        <w:rPr>
          <w:rtl/>
        </w:rPr>
      </w:pPr>
      <w:r w:rsidRPr="00D564C0">
        <w:rPr>
          <w:rFonts w:hint="cs"/>
          <w:rtl/>
        </w:rPr>
        <w:lastRenderedPageBreak/>
        <w:t>م</w:t>
      </w:r>
      <w:r w:rsidR="00D25F15" w:rsidRPr="00D564C0">
        <w:rPr>
          <w:rFonts w:hint="cs"/>
          <w:rtl/>
        </w:rPr>
        <w:t>عنى القاعدة إجمالا:</w:t>
      </w:r>
    </w:p>
    <w:p w:rsidR="00065E4B" w:rsidRPr="00C85F0F" w:rsidRDefault="00065E4B" w:rsidP="00597C20">
      <w:pPr>
        <w:ind w:firstLine="720"/>
        <w:rPr>
          <w:color w:val="auto"/>
          <w:rtl/>
        </w:rPr>
      </w:pPr>
      <w:r w:rsidRPr="00C85F0F">
        <w:rPr>
          <w:rFonts w:hint="cs"/>
          <w:color w:val="auto"/>
          <w:rtl/>
        </w:rPr>
        <w:t>ت</w:t>
      </w:r>
      <w:r w:rsidR="00D25F15" w:rsidRPr="00C85F0F">
        <w:rPr>
          <w:rFonts w:hint="cs"/>
          <w:color w:val="auto"/>
          <w:rtl/>
        </w:rPr>
        <w:t xml:space="preserve">فيد هذه القاعدة أن </w:t>
      </w:r>
      <w:r w:rsidR="00D25F15" w:rsidRPr="00C85F0F">
        <w:rPr>
          <w:rFonts w:ascii="Traditional Arabic" w:hAnsi="Traditional Arabic"/>
          <w:noProof w:val="0"/>
          <w:color w:val="auto"/>
          <w:rtl/>
          <w:lang w:eastAsia="en-US"/>
        </w:rPr>
        <w:t>من خ</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ي</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ر بين شيئين و</w:t>
      </w:r>
      <w:r w:rsidR="00D25F15" w:rsidRPr="00C85F0F">
        <w:rPr>
          <w:rFonts w:ascii="Traditional Arabic" w:hAnsi="Traditional Arabic" w:hint="cs"/>
          <w:noProof w:val="0"/>
          <w:color w:val="auto"/>
          <w:rtl/>
          <w:lang w:eastAsia="en-US"/>
        </w:rPr>
        <w:t xml:space="preserve">كان </w:t>
      </w:r>
      <w:r w:rsidR="00D25F15" w:rsidRPr="00C85F0F">
        <w:rPr>
          <w:rFonts w:ascii="Traditional Arabic" w:hAnsi="Traditional Arabic"/>
          <w:noProof w:val="0"/>
          <w:color w:val="auto"/>
          <w:rtl/>
          <w:lang w:eastAsia="en-US"/>
        </w:rPr>
        <w:t>يتصرف لغيره</w:t>
      </w:r>
      <w:r w:rsidR="00D25F15" w:rsidRPr="00C85F0F">
        <w:rPr>
          <w:rFonts w:ascii="Simplified Arabic" w:hAnsi="Simplified Arabic" w:hint="cs"/>
          <w:noProof w:val="0"/>
          <w:color w:val="auto"/>
          <w:rtl/>
          <w:lang w:eastAsia="en-US"/>
        </w:rPr>
        <w:t xml:space="preserve">، </w:t>
      </w:r>
      <w:r w:rsidR="00D25F15" w:rsidRPr="00C85F0F">
        <w:rPr>
          <w:rFonts w:ascii="Traditional Arabic" w:hAnsi="Traditional Arabic"/>
          <w:noProof w:val="0"/>
          <w:color w:val="auto"/>
          <w:rtl/>
          <w:lang w:eastAsia="en-US"/>
        </w:rPr>
        <w:t>فإن تخييره</w:t>
      </w:r>
      <w:r w:rsidR="00D25F15" w:rsidRPr="00C85F0F">
        <w:rPr>
          <w:rFonts w:ascii="Traditional Arabic" w:hAnsi="Traditional Arabic" w:hint="cs"/>
          <w:noProof w:val="0"/>
          <w:color w:val="auto"/>
          <w:rtl/>
          <w:lang w:eastAsia="en-US"/>
        </w:rPr>
        <w:t xml:space="preserve"> تخيير مصلحة، </w:t>
      </w:r>
      <w:r w:rsidR="00D25F15" w:rsidRPr="00C85F0F">
        <w:rPr>
          <w:rFonts w:ascii="Traditional Arabic" w:hAnsi="Traditional Arabic"/>
          <w:noProof w:val="0"/>
          <w:rtl/>
          <w:lang w:eastAsia="en-US"/>
        </w:rPr>
        <w:t>و</w:t>
      </w:r>
      <w:r w:rsidR="00D25F15" w:rsidRPr="00C85F0F">
        <w:rPr>
          <w:rFonts w:ascii="Traditional Arabic" w:hAnsi="Traditional Arabic" w:hint="cs"/>
          <w:noProof w:val="0"/>
          <w:rtl/>
          <w:lang w:eastAsia="en-US"/>
        </w:rPr>
        <w:t>ي</w:t>
      </w:r>
      <w:r w:rsidR="00D25F15" w:rsidRPr="00C85F0F">
        <w:rPr>
          <w:rFonts w:ascii="Traditional Arabic" w:hAnsi="Traditional Arabic"/>
          <w:noProof w:val="0"/>
          <w:rtl/>
          <w:lang w:eastAsia="en-US"/>
        </w:rPr>
        <w:t>جب عليه ف</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عل الأصلح، وإن كان </w:t>
      </w:r>
      <w:r w:rsidR="00D25F15" w:rsidRPr="00C85F0F">
        <w:rPr>
          <w:rFonts w:ascii="Traditional Arabic" w:hAnsi="Traditional Arabic" w:hint="cs"/>
          <w:noProof w:val="0"/>
          <w:rtl/>
          <w:lang w:eastAsia="en-US"/>
        </w:rPr>
        <w:t xml:space="preserve">يتصرف </w:t>
      </w:r>
      <w:r w:rsidR="00D25F15" w:rsidRPr="00C85F0F">
        <w:rPr>
          <w:rFonts w:ascii="Traditional Arabic" w:hAnsi="Traditional Arabic"/>
          <w:noProof w:val="0"/>
          <w:rtl/>
          <w:lang w:eastAsia="en-US"/>
        </w:rPr>
        <w:t>ل</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نفسه</w:t>
      </w:r>
      <w:r w:rsidR="00D25F15" w:rsidRPr="00C85F0F">
        <w:rPr>
          <w:rFonts w:ascii="Traditional Arabic" w:hAnsi="Traditional Arabic" w:hint="cs"/>
          <w:noProof w:val="0"/>
          <w:rtl/>
          <w:lang w:eastAsia="en-US"/>
        </w:rPr>
        <w:t xml:space="preserve"> فإن تخيييره تخيير تشهٍّ وإرادة،</w:t>
      </w:r>
      <w:r w:rsidR="00180FDC">
        <w:rPr>
          <w:rFonts w:ascii="Traditional Arabic" w:hAnsi="Traditional Arabic" w:hint="cs"/>
          <w:noProof w:val="0"/>
          <w:rtl/>
          <w:lang w:eastAsia="en-US"/>
        </w:rPr>
        <w:t xml:space="preserve"> </w:t>
      </w:r>
      <w:r w:rsidR="00D25F15" w:rsidRPr="00C85F0F">
        <w:rPr>
          <w:rFonts w:ascii="Traditional Arabic" w:hAnsi="Traditional Arabic" w:hint="cs"/>
          <w:noProof w:val="0"/>
          <w:rtl/>
          <w:lang w:eastAsia="en-US"/>
        </w:rPr>
        <w:t>ويتصرف بما شاء، و</w:t>
      </w:r>
      <w:r w:rsidR="00D25F15" w:rsidRPr="00C85F0F">
        <w:rPr>
          <w:rFonts w:ascii="Traditional Arabic" w:hAnsi="Traditional Arabic"/>
          <w:noProof w:val="0"/>
          <w:rtl/>
          <w:lang w:eastAsia="en-US"/>
        </w:rPr>
        <w:t>له أن ي</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ع</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د</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ل إلى الأسهل</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سواء كان أصلح</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أو غير أصلح</w:t>
      </w:r>
      <w:r w:rsidR="00D25F15" w:rsidRPr="00C85F0F">
        <w:rPr>
          <w:rFonts w:hint="cs"/>
          <w:color w:val="auto"/>
          <w:rtl/>
        </w:rPr>
        <w:t>.</w:t>
      </w:r>
    </w:p>
    <w:p w:rsidR="00D25F15" w:rsidRPr="00C85F0F" w:rsidRDefault="00065E4B" w:rsidP="00597C20">
      <w:pPr>
        <w:ind w:firstLine="720"/>
        <w:rPr>
          <w:rFonts w:ascii="Traditional Arabic" w:hAnsi="Traditional Arabic"/>
          <w:color w:val="auto"/>
          <w:rtl/>
        </w:rPr>
      </w:pPr>
      <w:r w:rsidRPr="00C85F0F">
        <w:rPr>
          <w:rFonts w:ascii="Traditional Arabic" w:hAnsi="Traditional Arabic"/>
          <w:rtl/>
        </w:rPr>
        <w:t>و</w:t>
      </w:r>
      <w:r w:rsidR="00D25F15" w:rsidRPr="00C85F0F">
        <w:rPr>
          <w:rFonts w:ascii="Traditional Arabic" w:hAnsi="Traditional Arabic"/>
          <w:rtl/>
        </w:rPr>
        <w:t>ضابط تخيير التشهي من تخيير المصلحة أنه إذا كان المقصود التيسير على الفاعل</w:t>
      </w:r>
      <w:r w:rsidR="00D25F15" w:rsidRPr="00C85F0F">
        <w:rPr>
          <w:rFonts w:ascii="Traditional Arabic" w:hAnsi="Traditional Arabic" w:hint="cs"/>
          <w:rtl/>
        </w:rPr>
        <w:t xml:space="preserve"> والرفق به،</w:t>
      </w:r>
      <w:r w:rsidR="00D25F15" w:rsidRPr="00C85F0F">
        <w:rPr>
          <w:rFonts w:ascii="Traditional Arabic" w:hAnsi="Traditional Arabic"/>
          <w:rtl/>
        </w:rPr>
        <w:t xml:space="preserve"> و</w:t>
      </w:r>
      <w:r w:rsidR="00D25F15" w:rsidRPr="00C85F0F">
        <w:rPr>
          <w:rFonts w:ascii="Traditional Arabic" w:hAnsi="Traditional Arabic" w:hint="cs"/>
          <w:rtl/>
        </w:rPr>
        <w:t xml:space="preserve">كان </w:t>
      </w:r>
      <w:r w:rsidR="00D25F15" w:rsidRPr="00C85F0F">
        <w:rPr>
          <w:rFonts w:ascii="Traditional Arabic" w:hAnsi="Traditional Arabic"/>
          <w:rtl/>
        </w:rPr>
        <w:t>الأمر يعود له لا لغيره</w:t>
      </w:r>
      <w:r w:rsidR="00B76414" w:rsidRPr="00C85F0F">
        <w:rPr>
          <w:rFonts w:ascii="Traditional Arabic" w:hAnsi="Traditional Arabic"/>
          <w:rtl/>
        </w:rPr>
        <w:t>،</w:t>
      </w:r>
      <w:r w:rsidR="00D25F15" w:rsidRPr="00C85F0F">
        <w:rPr>
          <w:rFonts w:ascii="Traditional Arabic" w:hAnsi="Traditional Arabic"/>
          <w:rtl/>
        </w:rPr>
        <w:t xml:space="preserve"> ف</w:t>
      </w:r>
      <w:r w:rsidR="00D25F15" w:rsidRPr="00C85F0F">
        <w:rPr>
          <w:rFonts w:ascii="Traditional Arabic" w:hAnsi="Traditional Arabic" w:hint="cs"/>
          <w:rtl/>
        </w:rPr>
        <w:t>التخيير</w:t>
      </w:r>
      <w:r w:rsidR="00D25F15" w:rsidRPr="00C85F0F">
        <w:rPr>
          <w:rFonts w:ascii="Traditional Arabic" w:hAnsi="Traditional Arabic"/>
          <w:rtl/>
        </w:rPr>
        <w:t xml:space="preserve"> تخيير</w:t>
      </w:r>
      <w:r w:rsidR="00D25F15" w:rsidRPr="00C85F0F">
        <w:rPr>
          <w:rFonts w:ascii="Traditional Arabic" w:hAnsi="Traditional Arabic" w:hint="cs"/>
          <w:rtl/>
        </w:rPr>
        <w:t>ُ</w:t>
      </w:r>
      <w:r w:rsidR="00D25F15" w:rsidRPr="00C85F0F">
        <w:rPr>
          <w:rFonts w:ascii="Traditional Arabic" w:hAnsi="Traditional Arabic"/>
          <w:rtl/>
        </w:rPr>
        <w:t xml:space="preserve"> تشـهٍّ، وإذا كان </w:t>
      </w:r>
      <w:r w:rsidR="00D25F15" w:rsidRPr="00C85F0F">
        <w:rPr>
          <w:rFonts w:ascii="Traditional Arabic" w:hAnsi="Traditional Arabic" w:hint="cs"/>
          <w:rtl/>
        </w:rPr>
        <w:t xml:space="preserve">الأمر </w:t>
      </w:r>
      <w:r w:rsidR="00D25F15" w:rsidRPr="00C85F0F">
        <w:rPr>
          <w:rFonts w:ascii="Traditional Arabic" w:hAnsi="Traditional Arabic"/>
          <w:rtl/>
        </w:rPr>
        <w:t xml:space="preserve">يعود </w:t>
      </w:r>
      <w:r w:rsidR="00D25F15" w:rsidRPr="00C85F0F">
        <w:rPr>
          <w:rFonts w:ascii="Traditional Arabic" w:hAnsi="Traditional Arabic" w:hint="cs"/>
          <w:rtl/>
        </w:rPr>
        <w:t>ع</w:t>
      </w:r>
      <w:r w:rsidR="00D25F15" w:rsidRPr="00C85F0F">
        <w:rPr>
          <w:rFonts w:ascii="Traditional Arabic" w:hAnsi="Traditional Arabic"/>
          <w:rtl/>
        </w:rPr>
        <w:t>لى الغير فهو تخيير مصلحــة</w:t>
      </w:r>
      <w:r w:rsidR="00D25F15" w:rsidRPr="00C85F0F">
        <w:rPr>
          <w:rStyle w:val="af1"/>
          <w:szCs w:val="32"/>
          <w:rtl/>
        </w:rPr>
        <w:t>(</w:t>
      </w:r>
      <w:r w:rsidR="00D25F15" w:rsidRPr="00C85F0F">
        <w:rPr>
          <w:rStyle w:val="af1"/>
          <w:szCs w:val="32"/>
          <w:rtl/>
        </w:rPr>
        <w:footnoteReference w:id="1913"/>
      </w:r>
      <w:r w:rsidR="00D25F15" w:rsidRPr="00C85F0F">
        <w:rPr>
          <w:rStyle w:val="af1"/>
          <w:szCs w:val="32"/>
          <w:rtl/>
        </w:rPr>
        <w:t>)</w:t>
      </w:r>
      <w:r w:rsidR="00D25F15" w:rsidRPr="00C85F0F">
        <w:rPr>
          <w:rFonts w:ascii="Traditional Arabic" w:hAnsi="Traditional Arabic" w:hint="cs"/>
          <w:rtl/>
        </w:rPr>
        <w:t>.</w:t>
      </w:r>
    </w:p>
    <w:p w:rsidR="00D25F15" w:rsidRPr="00C85F0F" w:rsidRDefault="00180FDC" w:rsidP="00A8347C">
      <w:pPr>
        <w:pStyle w:val="aff3"/>
        <w:rPr>
          <w:rtl/>
        </w:rPr>
      </w:pPr>
      <w:bookmarkStart w:id="403" w:name="_Toc334046593"/>
      <w:r>
        <w:rPr>
          <w:rFonts w:hint="cs"/>
          <w:rtl/>
        </w:rPr>
        <w:t xml:space="preserve">                                            </w:t>
      </w:r>
      <w:r w:rsidR="00D25F15" w:rsidRPr="00C85F0F">
        <w:rPr>
          <w:rFonts w:hint="cs"/>
          <w:rtl/>
        </w:rPr>
        <w:t>المطلب الثالث :</w:t>
      </w:r>
      <w:r w:rsidR="00D25F15" w:rsidRPr="00C85F0F">
        <w:rPr>
          <w:rtl/>
        </w:rPr>
        <w:br/>
      </w:r>
      <w:r>
        <w:rPr>
          <w:rFonts w:hint="cs"/>
          <w:rtl/>
        </w:rPr>
        <w:t xml:space="preserve">                                              </w:t>
      </w:r>
      <w:r w:rsidR="00D25F15" w:rsidRPr="00C85F0F">
        <w:rPr>
          <w:rFonts w:hint="cs"/>
          <w:rtl/>
        </w:rPr>
        <w:t>أدلة القاعدة</w:t>
      </w:r>
      <w:bookmarkEnd w:id="403"/>
    </w:p>
    <w:p w:rsidR="00D25F15" w:rsidRPr="00C85F0F" w:rsidRDefault="00D25F15" w:rsidP="000A76C7">
      <w:pPr>
        <w:pStyle w:val="afc"/>
        <w:numPr>
          <w:ilvl w:val="0"/>
          <w:numId w:val="261"/>
        </w:numPr>
        <w:rPr>
          <w:rFonts w:ascii="Traditional Arabic" w:hAnsi="Traditional Arabic"/>
          <w:color w:val="auto"/>
        </w:rPr>
      </w:pPr>
      <w:r w:rsidRPr="00C85F0F">
        <w:rPr>
          <w:rFonts w:ascii="Traditional Arabic" w:hAnsi="Traditional Arabic" w:hint="cs"/>
          <w:noProof w:val="0"/>
          <w:rtl/>
          <w:lang w:eastAsia="en-US"/>
        </w:rPr>
        <w:t>قال تعالى:</w:t>
      </w:r>
      <w:bookmarkStart w:id="404" w:name="سورة_الأنعام_152"/>
      <w:r w:rsidR="00735180" w:rsidRPr="008A319B">
        <w:rPr>
          <w:rFonts w:ascii="QCF_BSML" w:hAnsi="QCF_BSML" w:cs="QCF_BSML"/>
          <w:noProof w:val="0"/>
          <w:rtl/>
          <w:lang w:eastAsia="en-US"/>
        </w:rPr>
        <w:t xml:space="preserve">ﭽ </w:t>
      </w:r>
      <w:r w:rsidR="00735180" w:rsidRPr="008A319B">
        <w:rPr>
          <w:rFonts w:ascii="QCF_P149" w:hAnsi="QCF_P149" w:cs="QCF_P149"/>
          <w:noProof w:val="0"/>
          <w:rtl/>
          <w:lang w:eastAsia="en-US"/>
        </w:rPr>
        <w:t>ﭑﭒﭓﭔﭕﭖﭗﭘ</w:t>
      </w:r>
      <w:r w:rsidR="00735180" w:rsidRPr="008A319B">
        <w:rPr>
          <w:rFonts w:ascii="QCF_BSML" w:hAnsi="QCF_BSML" w:cs="QCF_BSML"/>
          <w:noProof w:val="0"/>
          <w:rtl/>
          <w:lang w:eastAsia="en-US"/>
        </w:rPr>
        <w:t>ﭼ</w:t>
      </w:r>
      <w:bookmarkEnd w:id="404"/>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الأنعام: ١٥٢</w:t>
      </w:r>
      <w:r w:rsidRPr="00C85F0F">
        <w:rPr>
          <w:rFonts w:ascii="Traditional Arabic" w:hAnsi="Traditional Arabic" w:hint="cs"/>
          <w:color w:val="auto"/>
          <w:rtl/>
        </w:rPr>
        <w:t>].</w:t>
      </w:r>
    </w:p>
    <w:p w:rsidR="00065E4B" w:rsidRPr="00FD3233" w:rsidRDefault="00D25F15" w:rsidP="00FD3233">
      <w:pPr>
        <w:pStyle w:val="53"/>
        <w:rPr>
          <w:rtl/>
        </w:rPr>
      </w:pPr>
      <w:r w:rsidRPr="00C85F0F">
        <w:rPr>
          <w:rFonts w:hint="cs"/>
          <w:rtl/>
        </w:rPr>
        <w:t>وجه الدلالة:</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ن</w:t>
      </w:r>
      <w:r w:rsidR="00D25F15" w:rsidRPr="00C85F0F">
        <w:rPr>
          <w:rFonts w:ascii="Traditional Arabic" w:hAnsi="Traditional Arabic" w:hint="cs"/>
          <w:noProof w:val="0"/>
          <w:rtl/>
          <w:lang w:eastAsia="en-US"/>
        </w:rPr>
        <w:t xml:space="preserve">هى الله تعالى عن قُربان مال اليتتيم إلا بالتي هي أحسن، </w:t>
      </w:r>
      <w:r w:rsidR="00D25F15" w:rsidRPr="00C85F0F">
        <w:rPr>
          <w:rFonts w:ascii="Traditional Arabic" w:hAnsi="Traditional Arabic"/>
          <w:noProof w:val="0"/>
          <w:rtl/>
          <w:lang w:eastAsia="en-US"/>
        </w:rPr>
        <w:t>أي: إلا بالحال التي تصلح بها أموالهم، وينتفعون بها. فدل هذا على أنه لا يجوز قربانها، والتصرف بها على وجه يضر</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اليتامى، أو على وجه لا مضرة فيه ولا مصلحة، </w:t>
      </w:r>
      <w:r w:rsidR="00D25F15" w:rsidRPr="00C85F0F">
        <w:rPr>
          <w:rFonts w:ascii="Traditional Arabic" w:hAnsi="Traditional Arabic" w:hint="cs"/>
          <w:noProof w:val="0"/>
          <w:rtl/>
          <w:lang w:eastAsia="en-US"/>
        </w:rPr>
        <w:t>فإذا</w:t>
      </w:r>
      <w:r w:rsidR="00D25F15" w:rsidRPr="00C85F0F">
        <w:rPr>
          <w:rFonts w:ascii="Traditional Arabic" w:hAnsi="Traditional Arabic"/>
          <w:noProof w:val="0"/>
          <w:rtl/>
          <w:lang w:eastAsia="en-US"/>
        </w:rPr>
        <w:t xml:space="preserve"> بلغ ورش</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د، وعرف التصر</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ف، أُعطي حينئذ مال</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ه، وتصر</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ف فيه على نظره.</w:t>
      </w:r>
    </w:p>
    <w:p w:rsidR="00D25F15" w:rsidRPr="00C85F0F" w:rsidRDefault="00065E4B" w:rsidP="00597C20">
      <w:pPr>
        <w:ind w:firstLine="720"/>
        <w:rPr>
          <w:rFonts w:ascii="Traditional Arabic" w:hAnsi="Traditional Arabic"/>
          <w:noProof w:val="0"/>
          <w:rtl/>
          <w:lang w:eastAsia="en-US"/>
        </w:rPr>
      </w:pPr>
      <w:r w:rsidRPr="00C85F0F">
        <w:rPr>
          <w:rFonts w:ascii="Traditional Arabic" w:hAnsi="Traditional Arabic"/>
          <w:noProof w:val="0"/>
          <w:rtl/>
          <w:lang w:eastAsia="en-US"/>
        </w:rPr>
        <w:t>و</w:t>
      </w:r>
      <w:r w:rsidR="00D25F15" w:rsidRPr="00C85F0F">
        <w:rPr>
          <w:rFonts w:ascii="Traditional Arabic" w:hAnsi="Traditional Arabic"/>
          <w:noProof w:val="0"/>
          <w:rtl/>
          <w:lang w:eastAsia="en-US"/>
        </w:rPr>
        <w:t>في هذا دلالة على أن اليتيم -قبل بلوغ الأشُد- محجور</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عليه، وأن ولي</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ه يتصر</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ف في ماله بالأحظ</w:t>
      </w:r>
      <w:r w:rsidR="00D25F15" w:rsidRPr="00C85F0F">
        <w:rPr>
          <w:rFonts w:ascii="Traditional Arabic" w:hAnsi="Traditional Arabic" w:hint="cs"/>
          <w:noProof w:val="0"/>
          <w:rtl/>
          <w:lang w:eastAsia="en-US"/>
        </w:rPr>
        <w:t>ِّ</w:t>
      </w:r>
      <w:r w:rsidR="00D25F15" w:rsidRPr="00C85F0F">
        <w:rPr>
          <w:rStyle w:val="af1"/>
          <w:szCs w:val="32"/>
          <w:rtl/>
        </w:rPr>
        <w:t>(</w:t>
      </w:r>
      <w:r w:rsidR="00D25F15" w:rsidRPr="00C85F0F">
        <w:rPr>
          <w:rStyle w:val="af1"/>
          <w:szCs w:val="32"/>
          <w:rtl/>
        </w:rPr>
        <w:footnoteReference w:id="1914"/>
      </w:r>
      <w:r w:rsidR="00D25F15" w:rsidRPr="00C85F0F">
        <w:rPr>
          <w:rStyle w:val="af1"/>
          <w:szCs w:val="32"/>
          <w:rtl/>
        </w:rPr>
        <w:t>)</w:t>
      </w:r>
      <w:r w:rsidR="00D25F15" w:rsidRPr="00C85F0F">
        <w:rPr>
          <w:rFonts w:ascii="Traditional Arabic" w:hAnsi="Traditional Arabic" w:hint="cs"/>
          <w:noProof w:val="0"/>
          <w:rtl/>
          <w:lang w:eastAsia="en-US"/>
        </w:rPr>
        <w:t>، وأن من تصرف لغيره</w:t>
      </w:r>
      <w:r w:rsidR="00D25F15" w:rsidRPr="00C85F0F">
        <w:rPr>
          <w:rFonts w:ascii="Traditional Arabic" w:hAnsi="Traditional Arabic"/>
          <w:noProof w:val="0"/>
          <w:color w:val="auto"/>
          <w:rtl/>
          <w:lang w:eastAsia="en-US"/>
        </w:rPr>
        <w:t xml:space="preserve"> بولايته عليه</w:t>
      </w:r>
      <w:r w:rsidR="00D25F15" w:rsidRPr="00C85F0F">
        <w:rPr>
          <w:rFonts w:ascii="Traditional Arabic" w:hAnsi="Traditional Arabic" w:hint="cs"/>
          <w:noProof w:val="0"/>
          <w:color w:val="auto"/>
          <w:rtl/>
          <w:lang w:eastAsia="en-US"/>
        </w:rPr>
        <w:t xml:space="preserve"> ل</w:t>
      </w:r>
      <w:r w:rsidR="00D25F15" w:rsidRPr="00C85F0F">
        <w:rPr>
          <w:rFonts w:ascii="Traditional Arabic" w:hAnsi="Traditional Arabic"/>
          <w:noProof w:val="0"/>
          <w:color w:val="auto"/>
          <w:rtl/>
          <w:lang w:eastAsia="en-US"/>
        </w:rPr>
        <w:t>م ي</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ب</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ح له فيها فعل</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 xml:space="preserve"> ما شاء؛ بل عليه أن يختار الأصلح</w:t>
      </w:r>
      <w:r w:rsidR="00D25F15" w:rsidRPr="00C85F0F">
        <w:rPr>
          <w:rStyle w:val="af1"/>
          <w:szCs w:val="32"/>
          <w:rtl/>
        </w:rPr>
        <w:t>(</w:t>
      </w:r>
      <w:r w:rsidR="00D25F15" w:rsidRPr="00C85F0F">
        <w:rPr>
          <w:rStyle w:val="af1"/>
          <w:szCs w:val="32"/>
          <w:rtl/>
        </w:rPr>
        <w:footnoteReference w:id="1915"/>
      </w:r>
      <w:r w:rsidR="00D25F15" w:rsidRPr="00C85F0F">
        <w:rPr>
          <w:rStyle w:val="af1"/>
          <w:szCs w:val="32"/>
          <w:rtl/>
        </w:rPr>
        <w:t>)</w:t>
      </w:r>
      <w:r w:rsidR="00D25F15" w:rsidRPr="00C85F0F">
        <w:rPr>
          <w:rFonts w:ascii="Traditional Arabic" w:hAnsi="Traditional Arabic" w:hint="cs"/>
          <w:noProof w:val="0"/>
          <w:rtl/>
          <w:lang w:eastAsia="en-US"/>
        </w:rPr>
        <w:t>.</w:t>
      </w:r>
    </w:p>
    <w:p w:rsidR="00D25F15" w:rsidRDefault="00D25F15" w:rsidP="000A76C7">
      <w:pPr>
        <w:pStyle w:val="afc"/>
        <w:numPr>
          <w:ilvl w:val="0"/>
          <w:numId w:val="261"/>
        </w:numPr>
        <w:rPr>
          <w:rFonts w:ascii="Traditional Arabic" w:hAnsi="Traditional Arabic"/>
          <w:noProof w:val="0"/>
          <w:lang w:eastAsia="en-US"/>
        </w:rPr>
      </w:pPr>
      <w:r w:rsidRPr="00C85F0F">
        <w:rPr>
          <w:rFonts w:ascii="Traditional Arabic" w:hAnsi="Traditional Arabic" w:hint="cs"/>
          <w:noProof w:val="0"/>
          <w:rtl/>
          <w:lang w:eastAsia="en-US"/>
        </w:rPr>
        <w:lastRenderedPageBreak/>
        <w:t>حديث أبي هريرة</w:t>
      </w:r>
      <w:r w:rsidR="00180FDC">
        <w:rPr>
          <w:rFonts w:ascii="Traditional Arabic" w:hAnsi="Traditional Arabic" w:hint="cs"/>
          <w:noProof w:val="0"/>
          <w:rtl/>
          <w:lang w:eastAsia="en-US"/>
        </w:rPr>
        <w:t>_رضي الله عنه_</w:t>
      </w:r>
      <w:r w:rsidRPr="00C85F0F">
        <w:rPr>
          <w:rFonts w:ascii="Traditional Arabic" w:hAnsi="Traditional Arabic" w:hint="cs"/>
          <w:noProof w:val="0"/>
          <w:rtl/>
          <w:lang w:eastAsia="en-US"/>
        </w:rPr>
        <w:t xml:space="preserve">  أن رسول الله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hint="cs"/>
          <w:noProof w:val="0"/>
          <w:rtl/>
          <w:lang w:eastAsia="en-US"/>
        </w:rPr>
        <w:t xml:space="preserve"> قال:</w:t>
      </w:r>
      <w:r w:rsidR="00180FDC">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إذا أ</w:t>
      </w:r>
      <w:r w:rsidR="00180FDC">
        <w:rPr>
          <w:rFonts w:ascii="Traditional Arabic" w:hAnsi="Traditional Arabic" w:hint="cs"/>
          <w:noProof w:val="0"/>
          <w:rtl/>
          <w:lang w:eastAsia="en-US"/>
        </w:rPr>
        <w:t>َ</w:t>
      </w:r>
      <w:r w:rsidRPr="00C85F0F">
        <w:rPr>
          <w:rFonts w:ascii="Traditional Arabic" w:hAnsi="Traditional Arabic"/>
          <w:noProof w:val="0"/>
          <w:rtl/>
          <w:lang w:eastAsia="en-US"/>
        </w:rPr>
        <w:t>م</w:t>
      </w:r>
      <w:r w:rsidR="00180FDC">
        <w:rPr>
          <w:rFonts w:ascii="Traditional Arabic" w:hAnsi="Traditional Arabic" w:hint="cs"/>
          <w:noProof w:val="0"/>
          <w:rtl/>
          <w:lang w:eastAsia="en-US"/>
        </w:rPr>
        <w:t>َّ</w:t>
      </w:r>
      <w:r w:rsidRPr="00C85F0F">
        <w:rPr>
          <w:rFonts w:ascii="Traditional Arabic" w:hAnsi="Traditional Arabic"/>
          <w:noProof w:val="0"/>
          <w:rtl/>
          <w:lang w:eastAsia="en-US"/>
        </w:rPr>
        <w:t xml:space="preserve"> أحد</w:t>
      </w:r>
      <w:r w:rsidR="00180FDC">
        <w:rPr>
          <w:rFonts w:ascii="Traditional Arabic" w:hAnsi="Traditional Arabic" w:hint="cs"/>
          <w:noProof w:val="0"/>
          <w:rtl/>
          <w:lang w:eastAsia="en-US"/>
        </w:rPr>
        <w:t>ُ</w:t>
      </w:r>
      <w:r w:rsidRPr="00C85F0F">
        <w:rPr>
          <w:rFonts w:ascii="Traditional Arabic" w:hAnsi="Traditional Arabic"/>
          <w:noProof w:val="0"/>
          <w:rtl/>
          <w:lang w:eastAsia="en-US"/>
        </w:rPr>
        <w:t>كم</w:t>
      </w:r>
      <w:r w:rsidR="001A190C">
        <w:rPr>
          <w:rFonts w:ascii="Traditional Arabic" w:hAnsi="Traditional Arabic" w:hint="cs"/>
          <w:noProof w:val="0"/>
          <w:rtl/>
          <w:lang w:eastAsia="en-US"/>
        </w:rPr>
        <w:t xml:space="preserve"> </w:t>
      </w:r>
      <w:r w:rsidRPr="00C85F0F">
        <w:rPr>
          <w:rFonts w:ascii="Traditional Arabic" w:hAnsi="Traditional Arabic"/>
          <w:noProof w:val="0"/>
          <w:rtl/>
          <w:lang w:eastAsia="en-US"/>
        </w:rPr>
        <w:t>الناس فليخف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001A190C">
        <w:rPr>
          <w:rFonts w:ascii="Traditional Arabic" w:hAnsi="Traditional Arabic"/>
          <w:noProof w:val="0"/>
          <w:lang w:eastAsia="en-US"/>
        </w:rPr>
        <w:t xml:space="preserve"> </w:t>
      </w:r>
      <w:r w:rsidR="00AB0B9E" w:rsidRPr="00C85F0F">
        <w:rPr>
          <w:rFonts w:ascii="Traditional Arabic" w:hAnsi="Traditional Arabic"/>
          <w:noProof w:val="0"/>
          <w:lang w:eastAsia="en-US"/>
        </w:rPr>
        <w:fldChar w:fldCharType="begin"/>
      </w:r>
      <w:r w:rsidR="00246303" w:rsidRPr="00C85F0F">
        <w:instrText>XE</w:instrText>
      </w:r>
      <w:r w:rsidR="00246303" w:rsidRPr="00C85F0F">
        <w:rPr>
          <w:rtl/>
        </w:rPr>
        <w:instrText xml:space="preserve"> "</w:instrText>
      </w:r>
      <w:r w:rsidR="00246303" w:rsidRPr="00C85F0F">
        <w:rPr>
          <w:rFonts w:ascii="Traditional Arabic" w:hAnsi="Traditional Arabic"/>
          <w:noProof w:val="0"/>
          <w:rtl/>
          <w:lang w:eastAsia="en-US"/>
        </w:rPr>
        <w:instrText>إذا أم أحدكمالناس فليخف</w:instrText>
      </w:r>
      <w:r w:rsidR="00246303" w:rsidRPr="00C85F0F">
        <w:rPr>
          <w:rFonts w:ascii="Traditional Arabic" w:hAnsi="Traditional Arabic" w:hint="cs"/>
          <w:noProof w:val="0"/>
          <w:rtl/>
          <w:lang w:eastAsia="en-US"/>
        </w:rPr>
        <w:instrText>ِّ</w:instrText>
      </w:r>
      <w:r w:rsidR="00246303" w:rsidRPr="00C85F0F">
        <w:rPr>
          <w:rFonts w:ascii="Traditional Arabic" w:hAnsi="Traditional Arabic"/>
          <w:noProof w:val="0"/>
          <w:rtl/>
          <w:lang w:eastAsia="en-US"/>
        </w:rPr>
        <w:instrText>ف،</w:instrText>
      </w:r>
      <w:r w:rsidR="00246303" w:rsidRPr="00C85F0F">
        <w:rPr>
          <w:rtl/>
        </w:rPr>
        <w:instrText>" \</w:instrText>
      </w:r>
      <w:r w:rsidR="00246303" w:rsidRPr="00C85F0F">
        <w:instrText>fh</w:instrText>
      </w:r>
      <w:r w:rsidR="00AB0B9E" w:rsidRPr="00C85F0F">
        <w:rPr>
          <w:rFonts w:ascii="Traditional Arabic" w:hAnsi="Traditional Arabic"/>
          <w:noProof w:val="0"/>
          <w:lang w:eastAsia="en-US"/>
        </w:rPr>
        <w:fldChar w:fldCharType="end"/>
      </w:r>
      <w:r>
        <w:rPr>
          <w:rFonts w:ascii="Traditional Arabic" w:hAnsi="Traditional Arabic" w:hint="cs"/>
          <w:noProof w:val="0"/>
          <w:rtl/>
          <w:lang w:eastAsia="en-US"/>
        </w:rPr>
        <w:t xml:space="preserve">فإن منهم الضعيف والصغير والكبير، </w:t>
      </w:r>
      <w:r w:rsidRPr="003C451C">
        <w:rPr>
          <w:rFonts w:ascii="Traditional Arabic" w:hAnsi="Traditional Arabic"/>
          <w:noProof w:val="0"/>
          <w:rtl/>
          <w:lang w:eastAsia="en-US"/>
        </w:rPr>
        <w:t xml:space="preserve">وإذا صلى </w:t>
      </w:r>
      <w:r>
        <w:rPr>
          <w:rFonts w:ascii="Traditional Arabic" w:hAnsi="Traditional Arabic" w:hint="cs"/>
          <w:noProof w:val="0"/>
          <w:rtl/>
          <w:lang w:eastAsia="en-US"/>
        </w:rPr>
        <w:t>أحدكم لنفسه،</w:t>
      </w:r>
      <w:r w:rsidRPr="003C451C">
        <w:rPr>
          <w:rFonts w:ascii="Traditional Arabic" w:hAnsi="Traditional Arabic"/>
          <w:noProof w:val="0"/>
          <w:rtl/>
          <w:lang w:eastAsia="en-US"/>
        </w:rPr>
        <w:t xml:space="preserve"> فليطو</w:t>
      </w:r>
      <w:r>
        <w:rPr>
          <w:rFonts w:ascii="Traditional Arabic" w:hAnsi="Traditional Arabic" w:hint="cs"/>
          <w:noProof w:val="0"/>
          <w:rtl/>
          <w:lang w:eastAsia="en-US"/>
        </w:rPr>
        <w:t>ِّ</w:t>
      </w:r>
      <w:r w:rsidRPr="003C451C">
        <w:rPr>
          <w:rFonts w:ascii="Traditional Arabic" w:hAnsi="Traditional Arabic"/>
          <w:noProof w:val="0"/>
          <w:rtl/>
          <w:lang w:eastAsia="en-US"/>
        </w:rPr>
        <w:t>ل ما شا</w:t>
      </w:r>
      <w:r w:rsidRPr="003C451C">
        <w:rPr>
          <w:rFonts w:ascii="Traditional Arabic" w:hAnsi="Traditional Arabic" w:hint="cs"/>
          <w:noProof w:val="0"/>
          <w:rtl/>
          <w:lang w:eastAsia="en-US"/>
        </w:rPr>
        <w:t>ء"</w:t>
      </w:r>
      <w:r w:rsidRPr="00C821A1">
        <w:rPr>
          <w:rStyle w:val="af1"/>
          <w:szCs w:val="32"/>
          <w:rtl/>
        </w:rPr>
        <w:t>(</w:t>
      </w:r>
      <w:r w:rsidRPr="00C821A1">
        <w:rPr>
          <w:rStyle w:val="af1"/>
          <w:szCs w:val="32"/>
          <w:rtl/>
        </w:rPr>
        <w:footnoteReference w:id="1916"/>
      </w:r>
      <w:r w:rsidRPr="00C821A1">
        <w:rPr>
          <w:rStyle w:val="af1"/>
          <w:szCs w:val="32"/>
          <w:rtl/>
        </w:rPr>
        <w:t>)</w:t>
      </w:r>
      <w:r>
        <w:rPr>
          <w:rFonts w:ascii="Traditional Arabic" w:hAnsi="Traditional Arabic" w:hint="cs"/>
          <w:noProof w:val="0"/>
          <w:rtl/>
          <w:lang w:eastAsia="en-US"/>
        </w:rPr>
        <w:t>.</w:t>
      </w:r>
    </w:p>
    <w:p w:rsidR="00065E4B" w:rsidRDefault="00D25F15" w:rsidP="00597C20">
      <w:pPr>
        <w:pStyle w:val="53"/>
        <w:rPr>
          <w:rtl/>
        </w:rPr>
      </w:pPr>
      <w:r>
        <w:rPr>
          <w:rFonts w:hint="cs"/>
          <w:rtl/>
        </w:rPr>
        <w:t>وجه الدلالة:</w:t>
      </w:r>
    </w:p>
    <w:p w:rsidR="00065E4B" w:rsidRPr="00364CAE" w:rsidRDefault="00065E4B" w:rsidP="00597C20">
      <w:pPr>
        <w:widowControl/>
        <w:autoSpaceDE w:val="0"/>
        <w:autoSpaceDN w:val="0"/>
        <w:adjustRightInd w:val="0"/>
        <w:ind w:firstLine="720"/>
        <w:jc w:val="left"/>
        <w:rPr>
          <w:rFonts w:ascii="Traditional Arabic" w:hAnsi="Traditional Arabic"/>
          <w:noProof w:val="0"/>
          <w:rtl/>
          <w:lang w:eastAsia="en-US"/>
        </w:rPr>
      </w:pPr>
      <w:r w:rsidRPr="00364CAE">
        <w:rPr>
          <w:rFonts w:ascii="Traditional Arabic" w:hAnsi="Traditional Arabic"/>
          <w:noProof w:val="0"/>
          <w:rtl/>
          <w:lang w:eastAsia="en-US"/>
        </w:rPr>
        <w:t>ا</w:t>
      </w:r>
      <w:r w:rsidR="00D25F15" w:rsidRPr="00364CAE">
        <w:rPr>
          <w:rFonts w:ascii="Traditional Arabic" w:hAnsi="Traditional Arabic"/>
          <w:noProof w:val="0"/>
          <w:rtl/>
          <w:lang w:eastAsia="en-US"/>
        </w:rPr>
        <w:t>لتخفيف المطلوب من  ينقسم إلى قسمين:</w:t>
      </w:r>
    </w:p>
    <w:p w:rsidR="00065E4B" w:rsidRPr="00364CAE" w:rsidRDefault="00065E4B" w:rsidP="00597C20">
      <w:pPr>
        <w:widowControl/>
        <w:autoSpaceDE w:val="0"/>
        <w:autoSpaceDN w:val="0"/>
        <w:adjustRightInd w:val="0"/>
        <w:ind w:firstLine="0"/>
        <w:jc w:val="left"/>
        <w:rPr>
          <w:rFonts w:ascii="Traditional Arabic" w:hAnsi="Traditional Arabic"/>
          <w:noProof w:val="0"/>
          <w:rtl/>
          <w:lang w:eastAsia="en-US"/>
        </w:rPr>
      </w:pPr>
      <w:r w:rsidRPr="00364CAE">
        <w:rPr>
          <w:rFonts w:ascii="Traditional Arabic" w:hAnsi="Traditional Arabic"/>
          <w:noProof w:val="0"/>
          <w:rtl/>
          <w:lang w:eastAsia="en-US"/>
        </w:rPr>
        <w:t>1</w:t>
      </w:r>
      <w:r w:rsidR="00D25F15" w:rsidRPr="00364CAE">
        <w:rPr>
          <w:rFonts w:ascii="Traditional Arabic" w:hAnsi="Traditional Arabic"/>
          <w:noProof w:val="0"/>
          <w:rtl/>
          <w:lang w:eastAsia="en-US"/>
        </w:rPr>
        <w:t xml:space="preserve"> ـ تخفيف لازم.</w:t>
      </w:r>
    </w:p>
    <w:p w:rsidR="00065E4B" w:rsidRPr="00364CAE" w:rsidRDefault="00065E4B" w:rsidP="00597C20">
      <w:pPr>
        <w:widowControl/>
        <w:autoSpaceDE w:val="0"/>
        <w:autoSpaceDN w:val="0"/>
        <w:adjustRightInd w:val="0"/>
        <w:ind w:firstLine="0"/>
        <w:jc w:val="left"/>
        <w:rPr>
          <w:rFonts w:ascii="Traditional Arabic" w:hAnsi="Traditional Arabic"/>
          <w:noProof w:val="0"/>
          <w:rtl/>
          <w:lang w:eastAsia="en-US"/>
        </w:rPr>
      </w:pPr>
      <w:r w:rsidRPr="00364CAE">
        <w:rPr>
          <w:rFonts w:ascii="Traditional Arabic" w:hAnsi="Traditional Arabic"/>
          <w:noProof w:val="0"/>
          <w:rtl/>
          <w:lang w:eastAsia="en-US"/>
        </w:rPr>
        <w:t>2</w:t>
      </w:r>
      <w:r w:rsidR="00D25F15" w:rsidRPr="00364CAE">
        <w:rPr>
          <w:rFonts w:ascii="Traditional Arabic" w:hAnsi="Traditional Arabic"/>
          <w:noProof w:val="0"/>
          <w:rtl/>
          <w:lang w:eastAsia="en-US"/>
        </w:rPr>
        <w:t xml:space="preserve"> ـ تخفيف عارض، وكلاهما من السنة.</w:t>
      </w:r>
    </w:p>
    <w:p w:rsidR="00065E4B" w:rsidRDefault="00065E4B" w:rsidP="00597C20">
      <w:pPr>
        <w:widowControl/>
        <w:autoSpaceDE w:val="0"/>
        <w:autoSpaceDN w:val="0"/>
        <w:adjustRightInd w:val="0"/>
        <w:ind w:firstLine="720"/>
        <w:rPr>
          <w:rFonts w:ascii="Traditional Arabic" w:hAnsi="Traditional Arabic"/>
          <w:b/>
          <w:bCs/>
          <w:noProof w:val="0"/>
          <w:sz w:val="44"/>
          <w:szCs w:val="44"/>
          <w:rtl/>
          <w:lang w:eastAsia="en-US"/>
        </w:rPr>
      </w:pPr>
      <w:r w:rsidRPr="00364CAE">
        <w:rPr>
          <w:rFonts w:ascii="Traditional Arabic" w:hAnsi="Traditional Arabic"/>
          <w:noProof w:val="0"/>
          <w:rtl/>
          <w:lang w:eastAsia="en-US"/>
        </w:rPr>
        <w:t>أ</w:t>
      </w:r>
      <w:r w:rsidR="00D25F15" w:rsidRPr="00364CAE">
        <w:rPr>
          <w:rFonts w:ascii="Traditional Arabic" w:hAnsi="Traditional Arabic"/>
          <w:noProof w:val="0"/>
          <w:rtl/>
          <w:lang w:eastAsia="en-US"/>
        </w:rPr>
        <w:t>ما التخفيف اللازم، ف</w:t>
      </w:r>
      <w:r w:rsidR="00D25F15">
        <w:rPr>
          <w:rFonts w:ascii="Traditional Arabic" w:hAnsi="Traditional Arabic" w:hint="cs"/>
          <w:noProof w:val="0"/>
          <w:rtl/>
          <w:lang w:eastAsia="en-US"/>
        </w:rPr>
        <w:t xml:space="preserve">هو </w:t>
      </w:r>
      <w:r w:rsidR="00D25F15">
        <w:rPr>
          <w:rFonts w:ascii="Traditional Arabic" w:hAnsi="Traditional Arabic"/>
          <w:noProof w:val="0"/>
          <w:rtl/>
          <w:lang w:eastAsia="en-US"/>
        </w:rPr>
        <w:t>أ</w:t>
      </w:r>
      <w:r w:rsidR="00D25F15">
        <w:rPr>
          <w:rFonts w:ascii="Traditional Arabic" w:hAnsi="Traditional Arabic" w:hint="cs"/>
          <w:noProof w:val="0"/>
          <w:rtl/>
          <w:lang w:eastAsia="en-US"/>
        </w:rPr>
        <w:t>ن لا</w:t>
      </w:r>
      <w:r w:rsidR="00D25F15" w:rsidRPr="00364CAE">
        <w:rPr>
          <w:rFonts w:ascii="Traditional Arabic" w:hAnsi="Traditional Arabic"/>
          <w:noProof w:val="0"/>
          <w:rtl/>
          <w:lang w:eastAsia="en-US"/>
        </w:rPr>
        <w:t xml:space="preserve"> يتجاوز الإنسان ما جاءت به السنة، فإن جاوز ما جاءت به السنة، فهو مطو</w:t>
      </w:r>
      <w:r w:rsidR="00D25F15">
        <w:rPr>
          <w:rFonts w:ascii="Traditional Arabic" w:hAnsi="Traditional Arabic" w:hint="cs"/>
          <w:noProof w:val="0"/>
          <w:rtl/>
          <w:lang w:eastAsia="en-US"/>
        </w:rPr>
        <w:t>ِّ</w:t>
      </w:r>
      <w:r w:rsidR="00D25F15" w:rsidRPr="00364CAE">
        <w:rPr>
          <w:rFonts w:ascii="Traditional Arabic" w:hAnsi="Traditional Arabic"/>
          <w:noProof w:val="0"/>
          <w:rtl/>
          <w:lang w:eastAsia="en-US"/>
        </w:rPr>
        <w:t>ل</w:t>
      </w:r>
      <w:r w:rsidR="00D25F15">
        <w:rPr>
          <w:rFonts w:ascii="Traditional Arabic" w:hAnsi="Traditional Arabic"/>
          <w:noProof w:val="0"/>
          <w:rtl/>
          <w:lang w:eastAsia="en-US"/>
        </w:rPr>
        <w:t xml:space="preserve">، </w:t>
      </w:r>
      <w:r w:rsidR="00D25F15">
        <w:rPr>
          <w:rFonts w:ascii="Traditional Arabic" w:hAnsi="Traditional Arabic" w:hint="cs"/>
          <w:noProof w:val="0"/>
          <w:rtl/>
          <w:lang w:eastAsia="en-US"/>
        </w:rPr>
        <w:t>و</w:t>
      </w:r>
      <w:r w:rsidR="00D25F15">
        <w:rPr>
          <w:rFonts w:ascii="Traditional Arabic" w:hAnsi="Traditional Arabic"/>
          <w:noProof w:val="0"/>
          <w:rtl/>
          <w:lang w:eastAsia="en-US"/>
        </w:rPr>
        <w:t>المراد بالتخفيف</w:t>
      </w:r>
      <w:r w:rsidR="00D25F15">
        <w:rPr>
          <w:rFonts w:ascii="Traditional Arabic" w:hAnsi="Traditional Arabic" w:hint="cs"/>
          <w:noProof w:val="0"/>
          <w:rtl/>
          <w:lang w:eastAsia="en-US"/>
        </w:rPr>
        <w:t xml:space="preserve"> في الحديث</w:t>
      </w:r>
      <w:r w:rsidR="00D25F15" w:rsidRPr="00364CAE">
        <w:rPr>
          <w:rFonts w:ascii="Traditional Arabic" w:hAnsi="Traditional Arabic"/>
          <w:noProof w:val="0"/>
          <w:rtl/>
          <w:lang w:eastAsia="en-US"/>
        </w:rPr>
        <w:t xml:space="preserve"> ما طابق السنة.</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sidRPr="00364CAE">
        <w:rPr>
          <w:rFonts w:ascii="Traditional Arabic" w:hAnsi="Traditional Arabic"/>
          <w:noProof w:val="0"/>
          <w:rtl/>
          <w:lang w:eastAsia="en-US"/>
        </w:rPr>
        <w:t>و</w:t>
      </w:r>
      <w:r w:rsidR="00D25F15" w:rsidRPr="00364CAE">
        <w:rPr>
          <w:rFonts w:ascii="Traditional Arabic" w:hAnsi="Traditional Arabic"/>
          <w:noProof w:val="0"/>
          <w:rtl/>
          <w:lang w:eastAsia="en-US"/>
        </w:rPr>
        <w:t>أما العارض، فهو أن يكون هناك سبب يقتضي الإيجاز عما جاءت به السنة، أي: أن يخفف أكثر مما جاءت به السنة</w:t>
      </w:r>
      <w:r w:rsidR="00D25F15">
        <w:rPr>
          <w:rFonts w:ascii="Traditional Arabic" w:hAnsi="Traditional Arabic" w:hint="cs"/>
          <w:noProof w:val="0"/>
          <w:rtl/>
          <w:lang w:eastAsia="en-US"/>
        </w:rPr>
        <w:t>.</w:t>
      </w:r>
    </w:p>
    <w:p w:rsidR="00065E4B" w:rsidRDefault="00065E4B" w:rsidP="00597C20">
      <w:pPr>
        <w:widowControl/>
        <w:autoSpaceDE w:val="0"/>
        <w:autoSpaceDN w:val="0"/>
        <w:adjustRightInd w:val="0"/>
        <w:ind w:firstLine="720"/>
        <w:rPr>
          <w:rFonts w:ascii="Traditional Arabic" w:hAnsi="Traditional Arabic"/>
          <w:b/>
          <w:bCs/>
          <w:noProof w:val="0"/>
          <w:sz w:val="44"/>
          <w:szCs w:val="44"/>
          <w:rtl/>
          <w:lang w:eastAsia="en-US"/>
        </w:rPr>
      </w:pPr>
      <w:r>
        <w:rPr>
          <w:rFonts w:ascii="Traditional Arabic" w:hAnsi="Traditional Arabic"/>
          <w:noProof w:val="0"/>
          <w:rtl/>
          <w:lang w:eastAsia="en-US"/>
        </w:rPr>
        <w:t>و</w:t>
      </w:r>
      <w:r w:rsidR="00D25F15">
        <w:rPr>
          <w:rFonts w:ascii="Traditional Arabic" w:hAnsi="Traditional Arabic"/>
          <w:noProof w:val="0"/>
          <w:rtl/>
          <w:lang w:eastAsia="en-US"/>
        </w:rPr>
        <w:t xml:space="preserve"> </w:t>
      </w:r>
      <w:r w:rsidR="00801F81">
        <w:rPr>
          <w:rFonts w:ascii="Traditional Arabic" w:hAnsi="Traditional Arabic" w:hint="cs"/>
          <w:noProof w:val="0"/>
          <w:rtl/>
          <w:lang w:eastAsia="en-US"/>
        </w:rPr>
        <w:t xml:space="preserve">الإمام </w:t>
      </w:r>
      <w:r w:rsidR="00D25F15">
        <w:rPr>
          <w:rFonts w:ascii="Traditional Arabic" w:hAnsi="Traditional Arabic"/>
          <w:noProof w:val="0"/>
          <w:rtl/>
          <w:lang w:eastAsia="en-US"/>
        </w:rPr>
        <w:t>ولي</w:t>
      </w:r>
      <w:r w:rsidR="00180FDC">
        <w:rPr>
          <w:rFonts w:ascii="Traditional Arabic" w:hAnsi="Traditional Arabic" w:hint="cs"/>
          <w:noProof w:val="0"/>
          <w:rtl/>
          <w:lang w:eastAsia="en-US"/>
        </w:rPr>
        <w:t>ُّ</w:t>
      </w:r>
      <w:r w:rsidR="00D25F15">
        <w:rPr>
          <w:rFonts w:ascii="Traditional Arabic" w:hAnsi="Traditional Arabic"/>
          <w:noProof w:val="0"/>
          <w:rtl/>
          <w:lang w:eastAsia="en-US"/>
        </w:rPr>
        <w:t xml:space="preserve"> المسجد</w:t>
      </w:r>
      <w:r w:rsidR="00D25F15">
        <w:rPr>
          <w:rFonts w:ascii="Traditional Arabic" w:hAnsi="Traditional Arabic" w:hint="cs"/>
          <w:noProof w:val="0"/>
          <w:rtl/>
          <w:lang w:eastAsia="en-US"/>
        </w:rPr>
        <w:t>،</w:t>
      </w:r>
      <w:r w:rsidR="00E53CE8">
        <w:rPr>
          <w:rFonts w:ascii="Traditional Arabic" w:hAnsi="Traditional Arabic" w:hint="cs"/>
          <w:noProof w:val="0"/>
          <w:rtl/>
          <w:lang w:eastAsia="en-US"/>
        </w:rPr>
        <w:t xml:space="preserve"> </w:t>
      </w:r>
      <w:r w:rsidR="00D25F15">
        <w:rPr>
          <w:rFonts w:ascii="Traditional Arabic" w:hAnsi="Traditional Arabic" w:hint="cs"/>
          <w:noProof w:val="0"/>
          <w:rtl/>
          <w:lang w:eastAsia="en-US"/>
        </w:rPr>
        <w:t>و</w:t>
      </w:r>
      <w:r w:rsidR="00D25F15" w:rsidRPr="008937B5">
        <w:rPr>
          <w:rFonts w:ascii="Traditional Arabic" w:hAnsi="Traditional Arabic"/>
          <w:noProof w:val="0"/>
          <w:rtl/>
          <w:lang w:eastAsia="en-US"/>
        </w:rPr>
        <w:t>م</w:t>
      </w:r>
      <w:r w:rsidR="00801F81">
        <w:rPr>
          <w:rFonts w:ascii="Traditional Arabic" w:hAnsi="Traditional Arabic" w:hint="cs"/>
          <w:noProof w:val="0"/>
          <w:rtl/>
          <w:lang w:eastAsia="en-US"/>
        </w:rPr>
        <w:t>ُ</w:t>
      </w:r>
      <w:r w:rsidR="00D25F15" w:rsidRPr="008937B5">
        <w:rPr>
          <w:rFonts w:ascii="Traditional Arabic" w:hAnsi="Traditional Arabic"/>
          <w:noProof w:val="0"/>
          <w:rtl/>
          <w:lang w:eastAsia="en-US"/>
        </w:rPr>
        <w:t>و</w:t>
      </w:r>
      <w:r w:rsidR="00D25F15">
        <w:rPr>
          <w:rFonts w:ascii="Traditional Arabic" w:hAnsi="Traditional Arabic" w:hint="cs"/>
          <w:noProof w:val="0"/>
          <w:rtl/>
          <w:lang w:eastAsia="en-US"/>
        </w:rPr>
        <w:t>َ</w:t>
      </w:r>
      <w:r w:rsidR="00D25F15" w:rsidRPr="008937B5">
        <w:rPr>
          <w:rFonts w:ascii="Traditional Arabic" w:hAnsi="Traditional Arabic"/>
          <w:noProof w:val="0"/>
          <w:rtl/>
          <w:lang w:eastAsia="en-US"/>
        </w:rPr>
        <w:t>ل</w:t>
      </w:r>
      <w:r w:rsidR="00801F81">
        <w:rPr>
          <w:rFonts w:ascii="Traditional Arabic" w:hAnsi="Traditional Arabic" w:hint="cs"/>
          <w:noProof w:val="0"/>
          <w:rtl/>
          <w:lang w:eastAsia="en-US"/>
        </w:rPr>
        <w:t>ّ</w:t>
      </w:r>
      <w:r w:rsidR="00D25F15" w:rsidRPr="008937B5">
        <w:rPr>
          <w:rFonts w:ascii="Traditional Arabic" w:hAnsi="Traditional Arabic"/>
          <w:noProof w:val="0"/>
          <w:rtl/>
          <w:lang w:eastAsia="en-US"/>
        </w:rPr>
        <w:t>ى على المأمومين</w:t>
      </w:r>
      <w:r w:rsidR="00D25F15">
        <w:rPr>
          <w:rFonts w:ascii="Traditional Arabic" w:hAnsi="Traditional Arabic" w:hint="cs"/>
          <w:noProof w:val="0"/>
          <w:rtl/>
          <w:lang w:eastAsia="en-US"/>
        </w:rPr>
        <w:t>،</w:t>
      </w:r>
      <w:r w:rsidR="00180FDC">
        <w:rPr>
          <w:rFonts w:ascii="Traditional Arabic" w:hAnsi="Traditional Arabic" w:hint="cs"/>
          <w:noProof w:val="0"/>
          <w:rtl/>
          <w:lang w:eastAsia="en-US"/>
        </w:rPr>
        <w:t xml:space="preserve"> </w:t>
      </w:r>
      <w:r w:rsidR="00D25F15">
        <w:rPr>
          <w:rFonts w:ascii="Traditional Arabic" w:hAnsi="Traditional Arabic" w:hint="cs"/>
          <w:noProof w:val="0"/>
          <w:rtl/>
          <w:lang w:eastAsia="en-US"/>
        </w:rPr>
        <w:t>ف</w:t>
      </w:r>
      <w:r w:rsidR="00D25F15">
        <w:rPr>
          <w:rFonts w:ascii="Traditional Arabic" w:hAnsi="Traditional Arabic"/>
          <w:noProof w:val="0"/>
          <w:rtl/>
          <w:lang w:eastAsia="en-US"/>
        </w:rPr>
        <w:t>ي</w:t>
      </w:r>
      <w:r w:rsidR="00D25F15">
        <w:rPr>
          <w:rFonts w:ascii="Traditional Arabic" w:hAnsi="Traditional Arabic" w:hint="cs"/>
          <w:noProof w:val="0"/>
          <w:rtl/>
          <w:lang w:eastAsia="en-US"/>
        </w:rPr>
        <w:t>ُ</w:t>
      </w:r>
      <w:r w:rsidR="00D25F15">
        <w:rPr>
          <w:rFonts w:ascii="Traditional Arabic" w:hAnsi="Traditional Arabic"/>
          <w:noProof w:val="0"/>
          <w:rtl/>
          <w:lang w:eastAsia="en-US"/>
        </w:rPr>
        <w:t xml:space="preserve">كره </w:t>
      </w:r>
      <w:r w:rsidR="00D25F15">
        <w:rPr>
          <w:rFonts w:ascii="Traditional Arabic" w:hAnsi="Traditional Arabic" w:hint="cs"/>
          <w:noProof w:val="0"/>
          <w:rtl/>
          <w:lang w:eastAsia="en-US"/>
        </w:rPr>
        <w:t>له</w:t>
      </w:r>
      <w:r w:rsidR="00D25F15" w:rsidRPr="008937B5">
        <w:rPr>
          <w:rFonts w:ascii="Traditional Arabic" w:hAnsi="Traditional Arabic"/>
          <w:noProof w:val="0"/>
          <w:rtl/>
          <w:lang w:eastAsia="en-US"/>
        </w:rPr>
        <w:t xml:space="preserve"> أن ي</w:t>
      </w:r>
      <w:r w:rsidR="00D25F15">
        <w:rPr>
          <w:rFonts w:ascii="Traditional Arabic" w:hAnsi="Traditional Arabic" w:hint="cs"/>
          <w:noProof w:val="0"/>
          <w:rtl/>
          <w:lang w:eastAsia="en-US"/>
        </w:rPr>
        <w:t>ُ</w:t>
      </w:r>
      <w:r w:rsidR="00D25F15" w:rsidRPr="008937B5">
        <w:rPr>
          <w:rFonts w:ascii="Traditional Arabic" w:hAnsi="Traditional Arabic"/>
          <w:noProof w:val="0"/>
          <w:rtl/>
          <w:lang w:eastAsia="en-US"/>
        </w:rPr>
        <w:t>سرع سرعة</w:t>
      </w:r>
      <w:r w:rsidR="00D25F15">
        <w:rPr>
          <w:rFonts w:ascii="Traditional Arabic" w:hAnsi="Traditional Arabic" w:hint="cs"/>
          <w:noProof w:val="0"/>
          <w:rtl/>
          <w:lang w:eastAsia="en-US"/>
        </w:rPr>
        <w:t>ً</w:t>
      </w:r>
      <w:r w:rsidR="00D25F15" w:rsidRPr="008937B5">
        <w:rPr>
          <w:rFonts w:ascii="Traditional Arabic" w:hAnsi="Traditional Arabic"/>
          <w:noProof w:val="0"/>
          <w:rtl/>
          <w:lang w:eastAsia="en-US"/>
        </w:rPr>
        <w:t xml:space="preserve"> تمنع المأموم </w:t>
      </w:r>
      <w:r w:rsidR="00D25F15">
        <w:rPr>
          <w:rFonts w:ascii="Traditional Arabic" w:hAnsi="Traditional Arabic" w:hint="cs"/>
          <w:noProof w:val="0"/>
          <w:rtl/>
          <w:lang w:eastAsia="en-US"/>
        </w:rPr>
        <w:t xml:space="preserve">من </w:t>
      </w:r>
      <w:r w:rsidR="00D25F15" w:rsidRPr="008937B5">
        <w:rPr>
          <w:rFonts w:ascii="Traditional Arabic" w:hAnsi="Traditional Arabic"/>
          <w:noProof w:val="0"/>
          <w:rtl/>
          <w:lang w:eastAsia="en-US"/>
        </w:rPr>
        <w:t>ف</w:t>
      </w:r>
      <w:r w:rsidR="00D25F15">
        <w:rPr>
          <w:rFonts w:ascii="Traditional Arabic" w:hAnsi="Traditional Arabic" w:hint="cs"/>
          <w:noProof w:val="0"/>
          <w:rtl/>
          <w:lang w:eastAsia="en-US"/>
        </w:rPr>
        <w:t>ِ</w:t>
      </w:r>
      <w:r w:rsidR="00D25F15" w:rsidRPr="008937B5">
        <w:rPr>
          <w:rFonts w:ascii="Traditional Arabic" w:hAnsi="Traditional Arabic"/>
          <w:noProof w:val="0"/>
          <w:rtl/>
          <w:lang w:eastAsia="en-US"/>
        </w:rPr>
        <w:t>عل ما ي</w:t>
      </w:r>
      <w:r w:rsidR="00D25F15">
        <w:rPr>
          <w:rFonts w:ascii="Traditional Arabic" w:hAnsi="Traditional Arabic" w:hint="cs"/>
          <w:noProof w:val="0"/>
          <w:rtl/>
          <w:lang w:eastAsia="en-US"/>
        </w:rPr>
        <w:t>ُ</w:t>
      </w:r>
      <w:r w:rsidR="00D25F15" w:rsidRPr="008937B5">
        <w:rPr>
          <w:rFonts w:ascii="Traditional Arabic" w:hAnsi="Traditional Arabic"/>
          <w:noProof w:val="0"/>
          <w:rtl/>
          <w:lang w:eastAsia="en-US"/>
        </w:rPr>
        <w:t>س</w:t>
      </w:r>
      <w:r w:rsidR="00D25F15">
        <w:rPr>
          <w:rFonts w:ascii="Traditional Arabic" w:hAnsi="Traditional Arabic" w:hint="cs"/>
          <w:noProof w:val="0"/>
          <w:rtl/>
          <w:lang w:eastAsia="en-US"/>
        </w:rPr>
        <w:t>َ</w:t>
      </w:r>
      <w:r w:rsidR="00D25F15" w:rsidRPr="008937B5">
        <w:rPr>
          <w:rFonts w:ascii="Traditional Arabic" w:hAnsi="Traditional Arabic"/>
          <w:noProof w:val="0"/>
          <w:rtl/>
          <w:lang w:eastAsia="en-US"/>
        </w:rPr>
        <w:t>ن</w:t>
      </w:r>
      <w:r w:rsidR="00D25F15">
        <w:rPr>
          <w:rFonts w:ascii="Traditional Arabic" w:hAnsi="Traditional Arabic" w:hint="cs"/>
          <w:noProof w:val="0"/>
          <w:rtl/>
          <w:lang w:eastAsia="en-US"/>
        </w:rPr>
        <w:t>ّ،</w:t>
      </w:r>
      <w:r w:rsidR="00D25F15">
        <w:rPr>
          <w:rFonts w:ascii="Traditional Arabic" w:hAnsi="Traditional Arabic"/>
          <w:noProof w:val="0"/>
          <w:rtl/>
          <w:lang w:eastAsia="en-US"/>
        </w:rPr>
        <w:t xml:space="preserve"> و</w:t>
      </w:r>
      <w:r w:rsidR="00D25F15" w:rsidRPr="008937B5">
        <w:rPr>
          <w:rFonts w:ascii="Traditional Arabic" w:hAnsi="Traditional Arabic"/>
          <w:noProof w:val="0"/>
          <w:rtl/>
          <w:lang w:eastAsia="en-US"/>
        </w:rPr>
        <w:t xml:space="preserve">يحرم </w:t>
      </w:r>
      <w:r w:rsidR="00D25F15">
        <w:rPr>
          <w:rFonts w:ascii="Traditional Arabic" w:hAnsi="Traditional Arabic" w:hint="cs"/>
          <w:noProof w:val="0"/>
          <w:rtl/>
          <w:lang w:eastAsia="en-US"/>
        </w:rPr>
        <w:t xml:space="preserve">عليه </w:t>
      </w:r>
      <w:r w:rsidR="00D25F15" w:rsidRPr="008937B5">
        <w:rPr>
          <w:rFonts w:ascii="Traditional Arabic" w:hAnsi="Traditional Arabic"/>
          <w:noProof w:val="0"/>
          <w:rtl/>
          <w:lang w:eastAsia="en-US"/>
        </w:rPr>
        <w:t>أن ي</w:t>
      </w:r>
      <w:r w:rsidR="00D25F15">
        <w:rPr>
          <w:rFonts w:ascii="Traditional Arabic" w:hAnsi="Traditional Arabic" w:hint="cs"/>
          <w:noProof w:val="0"/>
          <w:rtl/>
          <w:lang w:eastAsia="en-US"/>
        </w:rPr>
        <w:t>ُ</w:t>
      </w:r>
      <w:r w:rsidR="00D25F15" w:rsidRPr="008937B5">
        <w:rPr>
          <w:rFonts w:ascii="Traditional Arabic" w:hAnsi="Traditional Arabic"/>
          <w:noProof w:val="0"/>
          <w:rtl/>
          <w:lang w:eastAsia="en-US"/>
        </w:rPr>
        <w:t>سرع سرعة</w:t>
      </w:r>
      <w:r w:rsidR="00D25F15">
        <w:rPr>
          <w:rFonts w:ascii="Traditional Arabic" w:hAnsi="Traditional Arabic" w:hint="cs"/>
          <w:noProof w:val="0"/>
          <w:rtl/>
          <w:lang w:eastAsia="en-US"/>
        </w:rPr>
        <w:t>ً</w:t>
      </w:r>
      <w:r w:rsidR="00D25F15" w:rsidRPr="008937B5">
        <w:rPr>
          <w:rFonts w:ascii="Traditional Arabic" w:hAnsi="Traditional Arabic"/>
          <w:noProof w:val="0"/>
          <w:rtl/>
          <w:lang w:eastAsia="en-US"/>
        </w:rPr>
        <w:t xml:space="preserve"> تمنع المأموم </w:t>
      </w:r>
      <w:r w:rsidR="00D25F15">
        <w:rPr>
          <w:rFonts w:ascii="Traditional Arabic" w:hAnsi="Traditional Arabic" w:hint="cs"/>
          <w:noProof w:val="0"/>
          <w:rtl/>
          <w:lang w:eastAsia="en-US"/>
        </w:rPr>
        <w:t xml:space="preserve">من </w:t>
      </w:r>
      <w:r w:rsidR="00D25F15" w:rsidRPr="008937B5">
        <w:rPr>
          <w:rFonts w:ascii="Traditional Arabic" w:hAnsi="Traditional Arabic"/>
          <w:noProof w:val="0"/>
          <w:rtl/>
          <w:lang w:eastAsia="en-US"/>
        </w:rPr>
        <w:t>فعل ما يجب؛ لأنه مؤتمن، والأمين يجب أن يراعي حال المؤتم</w:t>
      </w:r>
      <w:r w:rsidR="00D25F15">
        <w:rPr>
          <w:rFonts w:ascii="Traditional Arabic" w:hAnsi="Traditional Arabic" w:hint="cs"/>
          <w:noProof w:val="0"/>
          <w:rtl/>
          <w:lang w:eastAsia="en-US"/>
        </w:rPr>
        <w:t>َ</w:t>
      </w:r>
      <w:r w:rsidR="00D25F15" w:rsidRPr="008937B5">
        <w:rPr>
          <w:rFonts w:ascii="Traditional Arabic" w:hAnsi="Traditional Arabic"/>
          <w:noProof w:val="0"/>
          <w:rtl/>
          <w:lang w:eastAsia="en-US"/>
        </w:rPr>
        <w:t>ن عليه</w:t>
      </w:r>
      <w:r w:rsidR="00D25F15">
        <w:rPr>
          <w:rFonts w:ascii="Traditional Arabic" w:hAnsi="Traditional Arabic" w:hint="cs"/>
          <w:noProof w:val="0"/>
          <w:rtl/>
          <w:lang w:eastAsia="en-US"/>
        </w:rPr>
        <w:t xml:space="preserve">؛ ولأنه ولي عن المصلين، ويتصرف عنهم، فيجب عليه فِعل الأصلح، </w:t>
      </w:r>
      <w:r w:rsidR="00D25F15" w:rsidRPr="00364CAE">
        <w:rPr>
          <w:rFonts w:ascii="Traditional Arabic" w:hAnsi="Traditional Arabic" w:hint="cs"/>
          <w:noProof w:val="0"/>
          <w:rtl/>
          <w:lang w:eastAsia="en-US"/>
        </w:rPr>
        <w:t>ف</w:t>
      </w:r>
      <w:r w:rsidR="00D25F15" w:rsidRPr="00364CAE">
        <w:rPr>
          <w:rFonts w:ascii="Traditional Arabic" w:hAnsi="Traditional Arabic"/>
          <w:noProof w:val="0"/>
          <w:rtl/>
          <w:lang w:eastAsia="en-US"/>
        </w:rPr>
        <w:t>يصلي بالناس حس</w:t>
      </w:r>
      <w:r w:rsidR="00D25F15">
        <w:rPr>
          <w:rFonts w:ascii="Traditional Arabic" w:hAnsi="Traditional Arabic" w:hint="cs"/>
          <w:noProof w:val="0"/>
          <w:rtl/>
          <w:lang w:eastAsia="en-US"/>
        </w:rPr>
        <w:t>َ</w:t>
      </w:r>
      <w:r w:rsidR="00D25F15" w:rsidRPr="00364CAE">
        <w:rPr>
          <w:rFonts w:ascii="Traditional Arabic" w:hAnsi="Traditional Arabic"/>
          <w:noProof w:val="0"/>
          <w:rtl/>
          <w:lang w:eastAsia="en-US"/>
        </w:rPr>
        <w:t>ب السنة</w:t>
      </w:r>
      <w:r w:rsidR="00D25F15">
        <w:rPr>
          <w:rFonts w:ascii="Traditional Arabic" w:hAnsi="Traditional Arabic" w:hint="cs"/>
          <w:b/>
          <w:bCs/>
          <w:noProof w:val="0"/>
          <w:sz w:val="44"/>
          <w:szCs w:val="44"/>
          <w:rtl/>
          <w:lang w:eastAsia="en-US"/>
        </w:rPr>
        <w:t>.</w:t>
      </w:r>
    </w:p>
    <w:p w:rsidR="00D25F15" w:rsidRDefault="00065E4B" w:rsidP="00597C20">
      <w:pPr>
        <w:widowControl/>
        <w:autoSpaceDE w:val="0"/>
        <w:autoSpaceDN w:val="0"/>
        <w:adjustRightInd w:val="0"/>
        <w:ind w:firstLine="720"/>
        <w:jc w:val="left"/>
        <w:rPr>
          <w:rFonts w:ascii="Traditional Arabic" w:hAnsi="Traditional Arabic"/>
          <w:noProof w:val="0"/>
          <w:color w:val="auto"/>
          <w:rtl/>
          <w:lang w:eastAsia="en-US"/>
        </w:rPr>
      </w:pPr>
      <w:r>
        <w:rPr>
          <w:rFonts w:ascii="Traditional Arabic" w:hAnsi="Traditional Arabic" w:hint="cs"/>
          <w:noProof w:val="0"/>
          <w:rtl/>
          <w:lang w:eastAsia="en-US"/>
        </w:rPr>
        <w:t>أ</w:t>
      </w:r>
      <w:r w:rsidR="00D25F15">
        <w:rPr>
          <w:rFonts w:ascii="Traditional Arabic" w:hAnsi="Traditional Arabic" w:hint="cs"/>
          <w:noProof w:val="0"/>
          <w:rtl/>
          <w:lang w:eastAsia="en-US"/>
        </w:rPr>
        <w:t xml:space="preserve">ما </w:t>
      </w:r>
      <w:r w:rsidR="00D25F15" w:rsidRPr="00364CAE">
        <w:rPr>
          <w:rFonts w:ascii="Traditional Arabic" w:hAnsi="Traditional Arabic"/>
          <w:noProof w:val="0"/>
          <w:rtl/>
          <w:lang w:eastAsia="en-US"/>
        </w:rPr>
        <w:t>إن كان يصلي وحده فهو أمير</w:t>
      </w:r>
      <w:r w:rsidR="00180FDC">
        <w:rPr>
          <w:rFonts w:ascii="Traditional Arabic" w:hAnsi="Traditional Arabic" w:hint="cs"/>
          <w:noProof w:val="0"/>
          <w:rtl/>
          <w:lang w:eastAsia="en-US"/>
        </w:rPr>
        <w:t>ُ</w:t>
      </w:r>
      <w:r w:rsidR="00D25F15" w:rsidRPr="00364CAE">
        <w:rPr>
          <w:rFonts w:ascii="Traditional Arabic" w:hAnsi="Traditional Arabic"/>
          <w:noProof w:val="0"/>
          <w:rtl/>
          <w:lang w:eastAsia="en-US"/>
        </w:rPr>
        <w:t xml:space="preserve"> نفسه</w:t>
      </w:r>
      <w:r w:rsidR="00D25F15">
        <w:rPr>
          <w:rFonts w:ascii="Traditional Arabic" w:hAnsi="Traditional Arabic" w:hint="cs"/>
          <w:noProof w:val="0"/>
          <w:rtl/>
          <w:lang w:eastAsia="en-US"/>
        </w:rPr>
        <w:t>،</w:t>
      </w:r>
      <w:r w:rsidR="00180FDC">
        <w:rPr>
          <w:rFonts w:ascii="Traditional Arabic" w:hAnsi="Traditional Arabic" w:hint="cs"/>
          <w:noProof w:val="0"/>
          <w:rtl/>
          <w:lang w:eastAsia="en-US"/>
        </w:rPr>
        <w:t xml:space="preserve"> </w:t>
      </w:r>
      <w:r w:rsidR="00D25F15">
        <w:rPr>
          <w:rFonts w:ascii="Traditional Arabic" w:hAnsi="Traditional Arabic" w:hint="cs"/>
          <w:noProof w:val="0"/>
          <w:rtl/>
          <w:lang w:eastAsia="en-US"/>
        </w:rPr>
        <w:t>ف</w:t>
      </w:r>
      <w:r w:rsidR="00D25F15" w:rsidRPr="00364CAE">
        <w:rPr>
          <w:rFonts w:ascii="Traditional Arabic" w:hAnsi="Traditional Arabic"/>
          <w:noProof w:val="0"/>
          <w:rtl/>
          <w:lang w:eastAsia="en-US"/>
        </w:rPr>
        <w:t xml:space="preserve">يصلي </w:t>
      </w:r>
      <w:r w:rsidR="00D25F15">
        <w:rPr>
          <w:rFonts w:ascii="Traditional Arabic" w:hAnsi="Traditional Arabic" w:hint="cs"/>
          <w:noProof w:val="0"/>
          <w:rtl/>
          <w:lang w:eastAsia="en-US"/>
        </w:rPr>
        <w:t>ويطوِّل ك</w:t>
      </w:r>
      <w:r w:rsidR="00D25F15" w:rsidRPr="00364CAE">
        <w:rPr>
          <w:rFonts w:ascii="Traditional Arabic" w:hAnsi="Traditional Arabic"/>
          <w:noProof w:val="0"/>
          <w:rtl/>
          <w:lang w:eastAsia="en-US"/>
        </w:rPr>
        <w:t>ما شاء</w:t>
      </w:r>
      <w:r w:rsidR="00D25F15" w:rsidRPr="00C821A1">
        <w:rPr>
          <w:rStyle w:val="af1"/>
          <w:szCs w:val="32"/>
          <w:rtl/>
        </w:rPr>
        <w:t>(</w:t>
      </w:r>
      <w:r w:rsidR="00D25F15" w:rsidRPr="00C821A1">
        <w:rPr>
          <w:rStyle w:val="af1"/>
          <w:szCs w:val="32"/>
          <w:rtl/>
        </w:rPr>
        <w:footnoteReference w:id="1917"/>
      </w:r>
      <w:r w:rsidR="00D25F15" w:rsidRPr="00C821A1">
        <w:rPr>
          <w:rStyle w:val="af1"/>
          <w:szCs w:val="32"/>
          <w:rtl/>
        </w:rPr>
        <w:t>)</w:t>
      </w:r>
      <w:r w:rsidR="00D25F15" w:rsidRPr="00364CAE">
        <w:rPr>
          <w:rFonts w:ascii="Traditional Arabic" w:hAnsi="Traditional Arabic"/>
          <w:noProof w:val="0"/>
          <w:rtl/>
          <w:lang w:eastAsia="en-US"/>
        </w:rPr>
        <w:t>.</w:t>
      </w:r>
    </w:p>
    <w:p w:rsidR="00D25F15" w:rsidRPr="00D25F15" w:rsidRDefault="00180FDC" w:rsidP="00A8347C">
      <w:pPr>
        <w:pStyle w:val="aff3"/>
        <w:rPr>
          <w:rtl/>
        </w:rPr>
      </w:pPr>
      <w:bookmarkStart w:id="405" w:name="_Toc334046594"/>
      <w:r>
        <w:rPr>
          <w:rFonts w:hint="cs"/>
          <w:rtl/>
        </w:rPr>
        <w:lastRenderedPageBreak/>
        <w:t xml:space="preserve">                                          </w:t>
      </w:r>
      <w:r w:rsidR="00D25F15" w:rsidRPr="00D25F15">
        <w:rPr>
          <w:rFonts w:hint="cs"/>
          <w:rtl/>
        </w:rPr>
        <w:t>المطلب الرابع</w:t>
      </w:r>
      <w:r w:rsidR="00D25F15">
        <w:rPr>
          <w:rFonts w:hint="eastAsia"/>
          <w:rtl/>
        </w:rPr>
        <w:t> :</w:t>
      </w:r>
      <w:r w:rsidR="00D25F15">
        <w:rPr>
          <w:rFonts w:hint="cs"/>
          <w:rtl/>
        </w:rPr>
        <w:br/>
      </w:r>
      <w:r>
        <w:rPr>
          <w:rFonts w:hint="cs"/>
          <w:rtl/>
        </w:rPr>
        <w:t xml:space="preserve">                                         </w:t>
      </w:r>
      <w:r w:rsidR="00D25F15" w:rsidRPr="00D25F15">
        <w:rPr>
          <w:rFonts w:hint="cs"/>
          <w:rtl/>
        </w:rPr>
        <w:t>تطبيقات القاعدة</w:t>
      </w:r>
      <w:bookmarkEnd w:id="405"/>
    </w:p>
    <w:p w:rsidR="00D25F15" w:rsidRDefault="00A70C2C" w:rsidP="000A76C7">
      <w:pPr>
        <w:pStyle w:val="afc"/>
        <w:numPr>
          <w:ilvl w:val="0"/>
          <w:numId w:val="262"/>
        </w:numPr>
        <w:rPr>
          <w:rFonts w:ascii="Traditional Arabic" w:hAnsi="Traditional Arabic"/>
          <w:noProof w:val="0"/>
          <w:lang w:eastAsia="en-US"/>
        </w:rPr>
      </w:pPr>
      <w:r>
        <w:rPr>
          <w:rFonts w:ascii="Traditional Arabic" w:hAnsi="Traditional Arabic"/>
          <w:noProof w:val="0"/>
          <w:rtl/>
          <w:lang w:eastAsia="en-US"/>
        </w:rPr>
        <w:t xml:space="preserve">إذا وكل </w:t>
      </w:r>
      <w:r>
        <w:rPr>
          <w:rFonts w:ascii="Traditional Arabic" w:hAnsi="Traditional Arabic" w:hint="cs"/>
          <w:noProof w:val="0"/>
          <w:rtl/>
          <w:lang w:eastAsia="en-US"/>
        </w:rPr>
        <w:t>شخصاً</w:t>
      </w:r>
      <w:r w:rsidR="00D25F15" w:rsidRPr="00206CBE">
        <w:rPr>
          <w:rFonts w:ascii="Traditional Arabic" w:hAnsi="Traditional Arabic"/>
          <w:noProof w:val="0"/>
          <w:rtl/>
          <w:lang w:eastAsia="en-US"/>
        </w:rPr>
        <w:t xml:space="preserve"> في بيع شيء فباعه</w:t>
      </w:r>
      <w:r w:rsidR="00D25F15">
        <w:rPr>
          <w:rFonts w:ascii="Traditional Arabic" w:hAnsi="Traditional Arabic" w:hint="cs"/>
          <w:noProof w:val="0"/>
          <w:rtl/>
          <w:lang w:eastAsia="en-US"/>
        </w:rPr>
        <w:t>، فإن البيع</w:t>
      </w:r>
      <w:r w:rsidR="00180FDC">
        <w:rPr>
          <w:rFonts w:ascii="Traditional Arabic" w:hAnsi="Traditional Arabic" w:hint="cs"/>
          <w:noProof w:val="0"/>
          <w:rtl/>
          <w:lang w:eastAsia="en-US"/>
        </w:rPr>
        <w:t xml:space="preserve"> </w:t>
      </w:r>
      <w:r w:rsidR="00D25F15">
        <w:rPr>
          <w:rFonts w:ascii="Traditional Arabic" w:hAnsi="Traditional Arabic" w:hint="cs"/>
          <w:noProof w:val="0"/>
          <w:rtl/>
          <w:lang w:eastAsia="en-US"/>
        </w:rPr>
        <w:t>ي</w:t>
      </w:r>
      <w:r w:rsidR="00D25F15" w:rsidRPr="00206CBE">
        <w:rPr>
          <w:rFonts w:ascii="Traditional Arabic" w:hAnsi="Traditional Arabic"/>
          <w:noProof w:val="0"/>
          <w:rtl/>
          <w:lang w:eastAsia="en-US"/>
        </w:rPr>
        <w:t>صح، مع أن الوكيل ليس بمالك، ولكنه قائم مقام المالك، لكن يجب على الوكيل أن يتصرف بما يراه أصلح، فإذا كانت السلعة تزيد فإنه لا يبيعها حتى تنتهي الزيادة، بخلاف الذي يتصرف لنفسه فإنه يجوز أن يبيع السلعة بما هو دون</w:t>
      </w:r>
      <w:r w:rsidR="00D25F15">
        <w:rPr>
          <w:rFonts w:ascii="Traditional Arabic" w:hAnsi="Traditional Arabic" w:hint="cs"/>
          <w:noProof w:val="0"/>
          <w:rtl/>
          <w:lang w:eastAsia="en-US"/>
        </w:rPr>
        <w:t xml:space="preserve"> ذلك</w:t>
      </w:r>
      <w:r w:rsidR="00D25F15" w:rsidRPr="00C821A1">
        <w:rPr>
          <w:rStyle w:val="af1"/>
          <w:szCs w:val="32"/>
          <w:rtl/>
        </w:rPr>
        <w:t>(</w:t>
      </w:r>
      <w:r w:rsidR="00D25F15" w:rsidRPr="00C821A1">
        <w:rPr>
          <w:rStyle w:val="af1"/>
          <w:szCs w:val="32"/>
          <w:rtl/>
        </w:rPr>
        <w:footnoteReference w:id="1918"/>
      </w:r>
      <w:r w:rsidR="00D25F15" w:rsidRPr="00C821A1">
        <w:rPr>
          <w:rStyle w:val="af1"/>
          <w:szCs w:val="32"/>
          <w:rtl/>
        </w:rPr>
        <w:t>)</w:t>
      </w:r>
      <w:r w:rsidR="00D25F15">
        <w:rPr>
          <w:rFonts w:ascii="Traditional Arabic" w:hAnsi="Traditional Arabic" w:hint="cs"/>
          <w:noProof w:val="0"/>
          <w:rtl/>
          <w:lang w:eastAsia="en-US"/>
        </w:rPr>
        <w:t>.</w:t>
      </w:r>
    </w:p>
    <w:p w:rsidR="00D25F15" w:rsidRDefault="00D25F15" w:rsidP="00597C20">
      <w:pPr>
        <w:pStyle w:val="53"/>
        <w:rPr>
          <w:rtl/>
        </w:rPr>
      </w:pPr>
      <w:r>
        <w:rPr>
          <w:rFonts w:hint="cs"/>
          <w:rtl/>
        </w:rPr>
        <w:t>وجه اندراج الفرع تحت القاعدة:</w:t>
      </w:r>
    </w:p>
    <w:p w:rsidR="00D25F15" w:rsidRPr="006924F7" w:rsidRDefault="00D25F15" w:rsidP="00597C20">
      <w:pPr>
        <w:ind w:firstLine="720"/>
        <w:rPr>
          <w:rFonts w:ascii="Traditional Arabic" w:hAnsi="Traditional Arabic"/>
          <w:noProof w:val="0"/>
          <w:rtl/>
          <w:lang w:eastAsia="en-US"/>
        </w:rPr>
      </w:pPr>
      <w:r w:rsidRPr="006924F7">
        <w:rPr>
          <w:rFonts w:ascii="Traditional Arabic" w:hAnsi="Traditional Arabic" w:hint="cs"/>
          <w:noProof w:val="0"/>
          <w:rtl/>
          <w:lang w:eastAsia="en-US"/>
        </w:rPr>
        <w:t>الوكيل قائم مقام المالك ومتصرف عنه، فيجب عليه أن يتصرف بما يراه أصلح؛ لأن المتصرف عن الغير يتصرف بالأصلح؛ ولهذا إذا كانت السلعة تزيد فإنه لا يبيعها حتى تنتهي الزيادة؛ لأن ذلك أحظُّ للمالك.</w:t>
      </w:r>
    </w:p>
    <w:p w:rsidR="00D25F15" w:rsidRPr="006924F7" w:rsidRDefault="00D25F15" w:rsidP="00597C20">
      <w:pPr>
        <w:ind w:firstLine="720"/>
        <w:rPr>
          <w:rFonts w:ascii="Traditional Arabic" w:hAnsi="Traditional Arabic"/>
          <w:noProof w:val="0"/>
          <w:rtl/>
          <w:lang w:eastAsia="en-US"/>
        </w:rPr>
      </w:pPr>
      <w:r w:rsidRPr="006924F7">
        <w:rPr>
          <w:rFonts w:ascii="Traditional Arabic" w:hAnsi="Traditional Arabic" w:hint="cs"/>
          <w:noProof w:val="0"/>
          <w:rtl/>
          <w:lang w:eastAsia="en-US"/>
        </w:rPr>
        <w:t>أما إذا كان الوكيل يتصرف لنفسه، فإنه يجوز له أن يبيع السلعة بأقل من ذلك؛ لأن المتصرف عن نفسه يتصرف بما شاء.</w:t>
      </w:r>
    </w:p>
    <w:p w:rsidR="00D25F15" w:rsidRDefault="00D25F15" w:rsidP="000A76C7">
      <w:pPr>
        <w:pStyle w:val="afc"/>
        <w:numPr>
          <w:ilvl w:val="0"/>
          <w:numId w:val="262"/>
        </w:numPr>
        <w:rPr>
          <w:rFonts w:ascii="Traditional Arabic" w:hAnsi="Traditional Arabic"/>
          <w:noProof w:val="0"/>
          <w:lang w:eastAsia="en-US"/>
        </w:rPr>
      </w:pPr>
      <w:r>
        <w:rPr>
          <w:rFonts w:ascii="Traditional Arabic" w:hAnsi="Traditional Arabic" w:hint="cs"/>
          <w:noProof w:val="0"/>
          <w:rtl/>
          <w:lang w:eastAsia="en-US"/>
        </w:rPr>
        <w:t>لا يتصرف ولي الصغير والمجنون والسفيه إلا بالأحظِّ والأحسن لهم.</w:t>
      </w:r>
    </w:p>
    <w:p w:rsidR="00D25F15" w:rsidRPr="00B74487" w:rsidRDefault="00D25F15" w:rsidP="00597C20">
      <w:pPr>
        <w:pStyle w:val="afc"/>
        <w:widowControl/>
        <w:autoSpaceDE w:val="0"/>
        <w:autoSpaceDN w:val="0"/>
        <w:adjustRightInd w:val="0"/>
        <w:ind w:left="1080" w:firstLine="0"/>
        <w:rPr>
          <w:rFonts w:ascii="Traditional Arabic" w:hAnsi="Traditional Arabic"/>
          <w:noProof w:val="0"/>
          <w:rtl/>
          <w:lang w:eastAsia="en-US"/>
        </w:rPr>
      </w:pPr>
      <w:r w:rsidRPr="00B74487">
        <w:rPr>
          <w:rFonts w:ascii="Traditional Arabic" w:hAnsi="Traditional Arabic"/>
          <w:noProof w:val="0"/>
          <w:rtl/>
          <w:lang w:eastAsia="en-US"/>
        </w:rPr>
        <w:t xml:space="preserve">مثال الأحظ، </w:t>
      </w:r>
      <w:r>
        <w:rPr>
          <w:rFonts w:ascii="Traditional Arabic" w:hAnsi="Traditional Arabic" w:hint="cs"/>
          <w:noProof w:val="0"/>
          <w:rtl/>
          <w:lang w:eastAsia="en-US"/>
        </w:rPr>
        <w:t>أن ت</w:t>
      </w:r>
      <w:r>
        <w:rPr>
          <w:rFonts w:ascii="Traditional Arabic" w:hAnsi="Traditional Arabic"/>
          <w:noProof w:val="0"/>
          <w:rtl/>
          <w:lang w:eastAsia="en-US"/>
        </w:rPr>
        <w:t>عرض</w:t>
      </w:r>
      <w:r w:rsidRPr="00B74487">
        <w:rPr>
          <w:rFonts w:ascii="Traditional Arabic" w:hAnsi="Traditional Arabic"/>
          <w:noProof w:val="0"/>
          <w:rtl/>
          <w:lang w:eastAsia="en-US"/>
        </w:rPr>
        <w:t xml:space="preserve"> عليه سلعتان، إحداهما يؤم</w:t>
      </w:r>
      <w:r>
        <w:rPr>
          <w:rFonts w:ascii="Traditional Arabic" w:hAnsi="Traditional Arabic" w:hint="cs"/>
          <w:noProof w:val="0"/>
          <w:rtl/>
          <w:lang w:eastAsia="en-US"/>
        </w:rPr>
        <w:t>ِّ</w:t>
      </w:r>
      <w:r w:rsidRPr="00B74487">
        <w:rPr>
          <w:rFonts w:ascii="Traditional Arabic" w:hAnsi="Traditional Arabic"/>
          <w:noProof w:val="0"/>
          <w:rtl/>
          <w:lang w:eastAsia="en-US"/>
        </w:rPr>
        <w:t>ل أن تربح عشرين في المائة، والثانية يؤمل أن تربح أربعين في المائة، فيشتري السلعة التي تربح أربعين في المائة.</w:t>
      </w:r>
    </w:p>
    <w:p w:rsidR="00D25F15" w:rsidRDefault="00D25F15" w:rsidP="00597C20">
      <w:pPr>
        <w:pStyle w:val="afc"/>
        <w:widowControl/>
        <w:autoSpaceDE w:val="0"/>
        <w:autoSpaceDN w:val="0"/>
        <w:adjustRightInd w:val="0"/>
        <w:ind w:left="1080" w:firstLine="0"/>
        <w:rPr>
          <w:rFonts w:ascii="Traditional Arabic" w:hAnsi="Traditional Arabic"/>
          <w:noProof w:val="0"/>
          <w:rtl/>
          <w:lang w:eastAsia="en-US"/>
        </w:rPr>
      </w:pPr>
      <w:r>
        <w:rPr>
          <w:rFonts w:ascii="Traditional Arabic" w:hAnsi="Traditional Arabic"/>
          <w:noProof w:val="0"/>
          <w:rtl/>
          <w:lang w:eastAsia="en-US"/>
        </w:rPr>
        <w:t>كذلك</w:t>
      </w:r>
      <w:r w:rsidRPr="00B74487">
        <w:rPr>
          <w:rFonts w:ascii="Traditional Arabic" w:hAnsi="Traditional Arabic"/>
          <w:noProof w:val="0"/>
          <w:rtl/>
          <w:lang w:eastAsia="en-US"/>
        </w:rPr>
        <w:t xml:space="preserve"> لو دار الأمر بين أن يت</w:t>
      </w:r>
      <w:r>
        <w:rPr>
          <w:rFonts w:ascii="Traditional Arabic" w:hAnsi="Traditional Arabic" w:hint="cs"/>
          <w:noProof w:val="0"/>
          <w:rtl/>
          <w:lang w:eastAsia="en-US"/>
        </w:rPr>
        <w:t>َّ</w:t>
      </w:r>
      <w:r w:rsidRPr="00B74487">
        <w:rPr>
          <w:rFonts w:ascii="Traditional Arabic" w:hAnsi="Traditional Arabic"/>
          <w:noProof w:val="0"/>
          <w:rtl/>
          <w:lang w:eastAsia="en-US"/>
        </w:rPr>
        <w:t>جر بمال</w:t>
      </w:r>
      <w:r>
        <w:rPr>
          <w:rFonts w:ascii="Traditional Arabic" w:hAnsi="Traditional Arabic" w:hint="cs"/>
          <w:noProof w:val="0"/>
          <w:rtl/>
          <w:lang w:eastAsia="en-US"/>
        </w:rPr>
        <w:t>ٍ</w:t>
      </w:r>
      <w:r w:rsidRPr="00B74487">
        <w:rPr>
          <w:rFonts w:ascii="Traditional Arabic" w:hAnsi="Traditional Arabic"/>
          <w:noProof w:val="0"/>
          <w:rtl/>
          <w:lang w:eastAsia="en-US"/>
        </w:rPr>
        <w:t xml:space="preserve"> آفات</w:t>
      </w:r>
      <w:r>
        <w:rPr>
          <w:rFonts w:ascii="Traditional Arabic" w:hAnsi="Traditional Arabic" w:hint="cs"/>
          <w:noProof w:val="0"/>
          <w:rtl/>
          <w:lang w:eastAsia="en-US"/>
        </w:rPr>
        <w:t>ُ</w:t>
      </w:r>
      <w:r w:rsidRPr="00B74487">
        <w:rPr>
          <w:rFonts w:ascii="Traditional Arabic" w:hAnsi="Traditional Arabic"/>
          <w:noProof w:val="0"/>
          <w:rtl/>
          <w:lang w:eastAsia="en-US"/>
        </w:rPr>
        <w:t>ه كثيرة، ومال</w:t>
      </w:r>
      <w:r>
        <w:rPr>
          <w:rFonts w:ascii="Traditional Arabic" w:hAnsi="Traditional Arabic" w:hint="cs"/>
          <w:noProof w:val="0"/>
          <w:rtl/>
          <w:lang w:eastAsia="en-US"/>
        </w:rPr>
        <w:t>ٍ</w:t>
      </w:r>
      <w:r w:rsidRPr="00B74487">
        <w:rPr>
          <w:rFonts w:ascii="Traditional Arabic" w:hAnsi="Traditional Arabic"/>
          <w:noProof w:val="0"/>
          <w:rtl/>
          <w:lang w:eastAsia="en-US"/>
        </w:rPr>
        <w:t xml:space="preserve"> قليل الآفات، فالواجب أن يت</w:t>
      </w:r>
      <w:r w:rsidR="00180FDC">
        <w:rPr>
          <w:rFonts w:ascii="Traditional Arabic" w:hAnsi="Traditional Arabic" w:hint="cs"/>
          <w:noProof w:val="0"/>
          <w:rtl/>
          <w:lang w:eastAsia="en-US"/>
        </w:rPr>
        <w:t>َّ</w:t>
      </w:r>
      <w:r w:rsidRPr="00B74487">
        <w:rPr>
          <w:rFonts w:ascii="Traditional Arabic" w:hAnsi="Traditional Arabic"/>
          <w:noProof w:val="0"/>
          <w:rtl/>
          <w:lang w:eastAsia="en-US"/>
        </w:rPr>
        <w:t>جر بالمال القليل الآفات</w:t>
      </w:r>
      <w:r w:rsidRPr="00C821A1">
        <w:rPr>
          <w:rStyle w:val="af1"/>
          <w:szCs w:val="32"/>
          <w:rtl/>
        </w:rPr>
        <w:t>(</w:t>
      </w:r>
      <w:r w:rsidRPr="00C821A1">
        <w:rPr>
          <w:rStyle w:val="af1"/>
          <w:szCs w:val="32"/>
          <w:rtl/>
        </w:rPr>
        <w:footnoteReference w:id="1919"/>
      </w:r>
      <w:r w:rsidRPr="00C821A1">
        <w:rPr>
          <w:rStyle w:val="af1"/>
          <w:szCs w:val="32"/>
          <w:rtl/>
        </w:rPr>
        <w:t>)</w:t>
      </w:r>
      <w:r w:rsidRPr="00B74487">
        <w:rPr>
          <w:rFonts w:ascii="Traditional Arabic" w:hAnsi="Traditional Arabic"/>
          <w:noProof w:val="0"/>
          <w:rtl/>
          <w:lang w:eastAsia="en-US"/>
        </w:rPr>
        <w:t>.</w:t>
      </w:r>
    </w:p>
    <w:p w:rsidR="00D25F15" w:rsidRDefault="00D25F15" w:rsidP="00597C20">
      <w:pPr>
        <w:pStyle w:val="53"/>
        <w:rPr>
          <w:rtl/>
        </w:rPr>
      </w:pPr>
      <w:r>
        <w:rPr>
          <w:rFonts w:hint="cs"/>
          <w:rtl/>
        </w:rPr>
        <w:t>وجه اندراج الفرع تحت القاعدة:</w:t>
      </w:r>
    </w:p>
    <w:p w:rsidR="00D25F15" w:rsidRPr="006924F7" w:rsidRDefault="00D25F15" w:rsidP="00597C20">
      <w:pPr>
        <w:widowControl/>
        <w:autoSpaceDE w:val="0"/>
        <w:autoSpaceDN w:val="0"/>
        <w:adjustRightInd w:val="0"/>
        <w:ind w:firstLine="720"/>
        <w:rPr>
          <w:rFonts w:ascii="Traditional Arabic" w:hAnsi="Traditional Arabic"/>
          <w:noProof w:val="0"/>
          <w:rtl/>
          <w:lang w:eastAsia="en-US"/>
        </w:rPr>
      </w:pPr>
      <w:r w:rsidRPr="006924F7">
        <w:rPr>
          <w:rFonts w:ascii="Traditional Arabic" w:hAnsi="Traditional Arabic" w:hint="cs"/>
          <w:noProof w:val="0"/>
          <w:rtl/>
          <w:lang w:eastAsia="en-US"/>
        </w:rPr>
        <w:t>الولي عن اليتيم والمجنون والسفيه يتصرف عن الغير، فيجب أن يتصرف بالأحظِّ؛ لأن القاعدة أن المتصرف عن غيره يجب أن يتصرف بالأحظ.</w:t>
      </w:r>
    </w:p>
    <w:p w:rsidR="00D25F15" w:rsidRDefault="00D25F15" w:rsidP="000A76C7">
      <w:pPr>
        <w:pStyle w:val="afc"/>
        <w:widowControl/>
        <w:numPr>
          <w:ilvl w:val="0"/>
          <w:numId w:val="262"/>
        </w:numPr>
        <w:autoSpaceDE w:val="0"/>
        <w:autoSpaceDN w:val="0"/>
        <w:adjustRightInd w:val="0"/>
        <w:rPr>
          <w:rFonts w:ascii="Traditional Arabic" w:hAnsi="Traditional Arabic"/>
          <w:noProof w:val="0"/>
          <w:lang w:eastAsia="en-US"/>
        </w:rPr>
      </w:pPr>
      <w:r>
        <w:rPr>
          <w:rFonts w:ascii="Traditional Arabic" w:hAnsi="Traditional Arabic"/>
          <w:noProof w:val="0"/>
          <w:rtl/>
          <w:lang w:eastAsia="en-US"/>
        </w:rPr>
        <w:lastRenderedPageBreak/>
        <w:t>إن ج</w:t>
      </w:r>
      <w:r>
        <w:rPr>
          <w:rFonts w:ascii="Traditional Arabic" w:hAnsi="Traditional Arabic" w:hint="cs"/>
          <w:noProof w:val="0"/>
          <w:rtl/>
          <w:lang w:eastAsia="en-US"/>
        </w:rPr>
        <w:t>َ</w:t>
      </w:r>
      <w:r>
        <w:rPr>
          <w:rFonts w:ascii="Traditional Arabic" w:hAnsi="Traditional Arabic"/>
          <w:noProof w:val="0"/>
          <w:rtl/>
          <w:lang w:eastAsia="en-US"/>
        </w:rPr>
        <w:t xml:space="preserve">هل الغاصب </w:t>
      </w:r>
      <w:r>
        <w:rPr>
          <w:rFonts w:ascii="Traditional Arabic" w:hAnsi="Traditional Arabic" w:hint="cs"/>
          <w:noProof w:val="0"/>
          <w:rtl/>
          <w:lang w:eastAsia="en-US"/>
        </w:rPr>
        <w:t>صاحب</w:t>
      </w:r>
      <w:r w:rsidR="00180FDC">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العين </w:t>
      </w:r>
      <w:r w:rsidRPr="00001FEE">
        <w:rPr>
          <w:rFonts w:ascii="Traditional Arabic" w:hAnsi="Traditional Arabic"/>
          <w:noProof w:val="0"/>
          <w:rtl/>
          <w:lang w:eastAsia="en-US"/>
        </w:rPr>
        <w:t>ا</w:t>
      </w:r>
      <w:r>
        <w:rPr>
          <w:rFonts w:ascii="Traditional Arabic" w:hAnsi="Traditional Arabic"/>
          <w:noProof w:val="0"/>
          <w:rtl/>
          <w:lang w:eastAsia="en-US"/>
        </w:rPr>
        <w:t>لمغصوب</w:t>
      </w:r>
      <w:r>
        <w:rPr>
          <w:rFonts w:ascii="Traditional Arabic" w:hAnsi="Traditional Arabic" w:hint="cs"/>
          <w:noProof w:val="0"/>
          <w:rtl/>
          <w:lang w:eastAsia="en-US"/>
        </w:rPr>
        <w:t>ة</w:t>
      </w:r>
      <w:r>
        <w:rPr>
          <w:rFonts w:ascii="Traditional Arabic" w:hAnsi="Traditional Arabic"/>
          <w:noProof w:val="0"/>
          <w:rtl/>
          <w:lang w:eastAsia="en-US"/>
        </w:rPr>
        <w:t xml:space="preserve">، </w:t>
      </w:r>
      <w:r>
        <w:rPr>
          <w:rFonts w:ascii="Traditional Arabic" w:hAnsi="Traditional Arabic" w:hint="cs"/>
          <w:noProof w:val="0"/>
          <w:rtl/>
          <w:lang w:eastAsia="en-US"/>
        </w:rPr>
        <w:t xml:space="preserve">تصدق به عن صاحبه مضمونا عليه، </w:t>
      </w:r>
      <w:r w:rsidRPr="00001FEE">
        <w:rPr>
          <w:rFonts w:ascii="Traditional Arabic" w:hAnsi="Traditional Arabic" w:hint="cs"/>
          <w:noProof w:val="0"/>
          <w:rtl/>
          <w:lang w:eastAsia="en-US"/>
        </w:rPr>
        <w:t>و</w:t>
      </w:r>
      <w:r w:rsidRPr="00001FEE">
        <w:rPr>
          <w:rFonts w:ascii="Traditional Arabic" w:hAnsi="Traditional Arabic"/>
          <w:noProof w:val="0"/>
          <w:rtl/>
          <w:lang w:eastAsia="en-US"/>
        </w:rPr>
        <w:t>له أن يجعلها في طرق الخير من بناء مسجد، أو بناء أربطة للفقراء، أو شراء كتب لطلبة العلم،</w:t>
      </w:r>
      <w:r>
        <w:rPr>
          <w:rFonts w:ascii="Traditional Arabic" w:hAnsi="Traditional Arabic" w:hint="cs"/>
          <w:noProof w:val="0"/>
          <w:rtl/>
          <w:lang w:eastAsia="en-US"/>
        </w:rPr>
        <w:t xml:space="preserve"> وحينئذ هل </w:t>
      </w:r>
      <w:r w:rsidRPr="00001FEE">
        <w:rPr>
          <w:rFonts w:ascii="Traditional Arabic" w:hAnsi="Traditional Arabic"/>
          <w:noProof w:val="0"/>
          <w:rtl/>
          <w:lang w:eastAsia="en-US"/>
        </w:rPr>
        <w:t>يخي</w:t>
      </w:r>
      <w:r>
        <w:rPr>
          <w:rFonts w:ascii="Traditional Arabic" w:hAnsi="Traditional Arabic" w:hint="cs"/>
          <w:noProof w:val="0"/>
          <w:rtl/>
          <w:lang w:eastAsia="en-US"/>
        </w:rPr>
        <w:t>َّ</w:t>
      </w:r>
      <w:r w:rsidRPr="00001FEE">
        <w:rPr>
          <w:rFonts w:ascii="Traditional Arabic" w:hAnsi="Traditional Arabic"/>
          <w:noProof w:val="0"/>
          <w:rtl/>
          <w:lang w:eastAsia="en-US"/>
        </w:rPr>
        <w:t>ر بين جهات الخير أو ينظ</w:t>
      </w:r>
      <w:r>
        <w:rPr>
          <w:rFonts w:ascii="Traditional Arabic" w:hAnsi="Traditional Arabic" w:hint="cs"/>
          <w:noProof w:val="0"/>
          <w:rtl/>
          <w:lang w:eastAsia="en-US"/>
        </w:rPr>
        <w:t>ُ</w:t>
      </w:r>
      <w:r>
        <w:rPr>
          <w:rFonts w:ascii="Traditional Arabic" w:hAnsi="Traditional Arabic"/>
          <w:noProof w:val="0"/>
          <w:rtl/>
          <w:lang w:eastAsia="en-US"/>
        </w:rPr>
        <w:t>ر ما هو أفضل؟</w:t>
      </w:r>
    </w:p>
    <w:p w:rsidR="00D25F15" w:rsidRDefault="00D25F15" w:rsidP="00597C20">
      <w:pPr>
        <w:pStyle w:val="afc"/>
        <w:widowControl/>
        <w:autoSpaceDE w:val="0"/>
        <w:autoSpaceDN w:val="0"/>
        <w:adjustRightInd w:val="0"/>
        <w:ind w:left="1080" w:firstLine="0"/>
        <w:rPr>
          <w:rFonts w:ascii="Traditional Arabic" w:hAnsi="Traditional Arabic"/>
          <w:noProof w:val="0"/>
          <w:rtl/>
          <w:lang w:eastAsia="en-US"/>
        </w:rPr>
      </w:pPr>
      <w:r>
        <w:rPr>
          <w:rFonts w:ascii="Traditional Arabic" w:hAnsi="Traditional Arabic" w:hint="cs"/>
          <w:noProof w:val="0"/>
          <w:rtl/>
          <w:lang w:eastAsia="en-US"/>
        </w:rPr>
        <w:t>الجواب:</w:t>
      </w:r>
      <w:r w:rsidRPr="00001FEE">
        <w:rPr>
          <w:rFonts w:ascii="Traditional Arabic" w:hAnsi="Traditional Arabic"/>
          <w:noProof w:val="0"/>
          <w:rtl/>
          <w:lang w:eastAsia="en-US"/>
        </w:rPr>
        <w:t xml:space="preserve">إذا كان يتصرف لغيره ينظر إلى الأصلح، فقد يكون </w:t>
      </w:r>
      <w:r>
        <w:rPr>
          <w:rFonts w:ascii="Traditional Arabic" w:hAnsi="Traditional Arabic" w:hint="cs"/>
          <w:noProof w:val="0"/>
          <w:rtl/>
          <w:lang w:eastAsia="en-US"/>
        </w:rPr>
        <w:t>لأهل</w:t>
      </w:r>
      <w:r>
        <w:rPr>
          <w:rFonts w:ascii="Traditional Arabic" w:hAnsi="Traditional Arabic"/>
          <w:noProof w:val="0"/>
          <w:rtl/>
          <w:lang w:eastAsia="en-US"/>
        </w:rPr>
        <w:t xml:space="preserve"> البلد ليسوا</w:t>
      </w:r>
      <w:r w:rsidRPr="00001FEE">
        <w:rPr>
          <w:rFonts w:ascii="Traditional Arabic" w:hAnsi="Traditional Arabic"/>
          <w:noProof w:val="0"/>
          <w:rtl/>
          <w:lang w:eastAsia="en-US"/>
        </w:rPr>
        <w:t>فقراء لكنهم محتاجون إلى مسجد، فهنا نقول: ص</w:t>
      </w:r>
      <w:r>
        <w:rPr>
          <w:rFonts w:ascii="Traditional Arabic" w:hAnsi="Traditional Arabic" w:hint="cs"/>
          <w:noProof w:val="0"/>
          <w:rtl/>
          <w:lang w:eastAsia="en-US"/>
        </w:rPr>
        <w:t>َ</w:t>
      </w:r>
      <w:r w:rsidRPr="00001FEE">
        <w:rPr>
          <w:rFonts w:ascii="Traditional Arabic" w:hAnsi="Traditional Arabic"/>
          <w:noProof w:val="0"/>
          <w:rtl/>
          <w:lang w:eastAsia="en-US"/>
        </w:rPr>
        <w:t>ر</w:t>
      </w:r>
      <w:r>
        <w:rPr>
          <w:rFonts w:ascii="Traditional Arabic" w:hAnsi="Traditional Arabic" w:hint="cs"/>
          <w:noProof w:val="0"/>
          <w:rtl/>
          <w:lang w:eastAsia="en-US"/>
        </w:rPr>
        <w:t>ْ</w:t>
      </w:r>
      <w:r w:rsidRPr="00001FEE">
        <w:rPr>
          <w:rFonts w:ascii="Traditional Arabic" w:hAnsi="Traditional Arabic"/>
          <w:noProof w:val="0"/>
          <w:rtl/>
          <w:lang w:eastAsia="en-US"/>
        </w:rPr>
        <w:t>فه في بناء المسجد أفضل، وقد يكون العكس، المساجد كثيرة وأهل البلد فقراء، فنقول: الصدقة أفضل</w:t>
      </w:r>
      <w:r w:rsidRPr="00C821A1">
        <w:rPr>
          <w:rStyle w:val="af1"/>
          <w:szCs w:val="32"/>
          <w:rtl/>
        </w:rPr>
        <w:t>(</w:t>
      </w:r>
      <w:r w:rsidRPr="00C821A1">
        <w:rPr>
          <w:rStyle w:val="af1"/>
          <w:szCs w:val="32"/>
          <w:rtl/>
        </w:rPr>
        <w:footnoteReference w:id="1920"/>
      </w:r>
      <w:r w:rsidRPr="00C821A1">
        <w:rPr>
          <w:rStyle w:val="af1"/>
          <w:szCs w:val="32"/>
          <w:rtl/>
        </w:rPr>
        <w:t>)</w:t>
      </w:r>
      <w:r>
        <w:rPr>
          <w:rFonts w:ascii="Traditional Arabic" w:hAnsi="Traditional Arabic" w:hint="cs"/>
          <w:noProof w:val="0"/>
          <w:rtl/>
          <w:lang w:eastAsia="en-US"/>
        </w:rPr>
        <w:t>.</w:t>
      </w:r>
    </w:p>
    <w:p w:rsidR="00D25F15" w:rsidRDefault="00D25F15" w:rsidP="00597C20">
      <w:pPr>
        <w:pStyle w:val="53"/>
        <w:rPr>
          <w:rtl/>
        </w:rPr>
      </w:pPr>
      <w:r>
        <w:rPr>
          <w:rFonts w:hint="cs"/>
          <w:rtl/>
        </w:rPr>
        <w:t>وجه اندراج الفرع تحت القاعدة:</w:t>
      </w:r>
    </w:p>
    <w:p w:rsidR="00D25F15" w:rsidRDefault="00D25F15" w:rsidP="00597C20">
      <w:pPr>
        <w:widowControl/>
        <w:autoSpaceDE w:val="0"/>
        <w:autoSpaceDN w:val="0"/>
        <w:adjustRightInd w:val="0"/>
        <w:ind w:firstLine="720"/>
        <w:rPr>
          <w:rFonts w:ascii="Traditional Arabic" w:hAnsi="Traditional Arabic"/>
          <w:noProof w:val="0"/>
          <w:rtl/>
          <w:lang w:eastAsia="en-US"/>
        </w:rPr>
      </w:pPr>
      <w:r w:rsidRPr="006924F7">
        <w:rPr>
          <w:rFonts w:ascii="Traditional Arabic" w:hAnsi="Traditional Arabic" w:hint="cs"/>
          <w:noProof w:val="0"/>
          <w:rtl/>
          <w:lang w:eastAsia="en-US"/>
        </w:rPr>
        <w:t>لما كان هذا الغاصب في حال تصرفه في العين المغصوبة متصرفا عن غيره، وجب عليه فعل الأصلح؛ لأن القاعدة أن المتصرف عن غيره يجب عليه أن يتصرف بالأصلح.</w:t>
      </w:r>
    </w:p>
    <w:p w:rsidR="00E53CE8" w:rsidRPr="00E53CE8" w:rsidRDefault="00E53CE8" w:rsidP="00801F81">
      <w:pPr>
        <w:widowControl/>
        <w:autoSpaceDE w:val="0"/>
        <w:autoSpaceDN w:val="0"/>
        <w:adjustRightInd w:val="0"/>
        <w:ind w:firstLine="0"/>
        <w:rPr>
          <w:rFonts w:ascii="Traditional Arabic" w:hAnsi="Traditional Arabic"/>
          <w:noProof w:val="0"/>
          <w:rtl/>
          <w:lang w:eastAsia="en-US"/>
        </w:rPr>
      </w:pPr>
    </w:p>
    <w:p w:rsidR="00D816CC" w:rsidRPr="00C85F0F" w:rsidRDefault="00D816CC" w:rsidP="000F5C0F">
      <w:pPr>
        <w:pStyle w:val="aff2"/>
        <w:rPr>
          <w:rtl/>
        </w:rPr>
      </w:pPr>
      <w:bookmarkStart w:id="406" w:name="_Toc334046595"/>
      <w:r w:rsidRPr="00D816CC">
        <w:rPr>
          <w:rFonts w:hint="cs"/>
          <w:rtl/>
        </w:rPr>
        <w:lastRenderedPageBreak/>
        <w:t>المبحث الخامس</w:t>
      </w:r>
      <w:r>
        <w:rPr>
          <w:rFonts w:hint="eastAsia"/>
          <w:rtl/>
        </w:rPr>
        <w:t> </w:t>
      </w:r>
      <w:r w:rsidRPr="00D816CC">
        <w:rPr>
          <w:rFonts w:hint="cs"/>
          <w:rtl/>
        </w:rPr>
        <w:t>:</w:t>
      </w:r>
      <w:r>
        <w:rPr>
          <w:rtl/>
        </w:rPr>
        <w:br/>
      </w:r>
      <w:r w:rsidRPr="00D816CC">
        <w:rPr>
          <w:rFonts w:hint="cs"/>
          <w:rtl/>
        </w:rPr>
        <w:t>قاعدة</w:t>
      </w:r>
      <w:r>
        <w:rPr>
          <w:rtl/>
        </w:rPr>
        <w:br/>
      </w:r>
      <w:r w:rsidR="00D25F15">
        <w:rPr>
          <w:rFonts w:hint="cs"/>
          <w:rtl/>
        </w:rPr>
        <w:t>"</w:t>
      </w:r>
      <w:r w:rsidRPr="00D816CC">
        <w:rPr>
          <w:rFonts w:hint="cs"/>
          <w:rtl/>
        </w:rPr>
        <w:t>إذا تعذر الأصل رجعنا إلى البدل</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إذاتعذرالأصلرجعناإلىالبدل</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D25F15" w:rsidRPr="00C85F0F">
        <w:rPr>
          <w:rFonts w:hint="cs"/>
          <w:rtl/>
        </w:rPr>
        <w:t>"</w:t>
      </w:r>
      <w:bookmarkEnd w:id="406"/>
    </w:p>
    <w:p w:rsidR="00065E4B" w:rsidRPr="00C85F0F" w:rsidRDefault="00180FDC" w:rsidP="00A8347C">
      <w:pPr>
        <w:pStyle w:val="aff3"/>
        <w:rPr>
          <w:rtl/>
        </w:rPr>
      </w:pPr>
      <w:bookmarkStart w:id="407" w:name="_Toc334046596"/>
      <w:r>
        <w:rPr>
          <w:rFonts w:hint="cs"/>
          <w:rtl/>
        </w:rPr>
        <w:t xml:space="preserve">                                          </w:t>
      </w:r>
      <w:r w:rsidR="00D25F15" w:rsidRPr="00C85F0F">
        <w:rPr>
          <w:rFonts w:hint="cs"/>
          <w:rtl/>
        </w:rPr>
        <w:t>المطلب الأول</w:t>
      </w:r>
      <w:r w:rsidR="00D25F15" w:rsidRPr="00C85F0F">
        <w:rPr>
          <w:rFonts w:hint="eastAsia"/>
          <w:rtl/>
        </w:rPr>
        <w:t> :</w:t>
      </w:r>
      <w:r w:rsidR="00D25F15" w:rsidRPr="00C85F0F">
        <w:rPr>
          <w:rFonts w:hint="cs"/>
          <w:rtl/>
        </w:rPr>
        <w:br/>
      </w:r>
      <w:r>
        <w:rPr>
          <w:rFonts w:hint="cs"/>
          <w:rtl/>
        </w:rPr>
        <w:t xml:space="preserve">                       </w:t>
      </w:r>
      <w:r w:rsidR="00A70C2C">
        <w:rPr>
          <w:rFonts w:hint="cs"/>
          <w:rtl/>
        </w:rPr>
        <w:t xml:space="preserve"> </w:t>
      </w:r>
      <w:r w:rsidR="00D25F15" w:rsidRPr="00C85F0F">
        <w:rPr>
          <w:rFonts w:hint="cs"/>
          <w:rtl/>
        </w:rPr>
        <w:t>صيغة القاعدة عند الشيخ وعند علماء القواعد</w:t>
      </w:r>
      <w:bookmarkEnd w:id="407"/>
    </w:p>
    <w:p w:rsidR="00D25F15" w:rsidRPr="00C85F0F" w:rsidRDefault="00A70C2C" w:rsidP="00180FDC">
      <w:pPr>
        <w:spacing w:line="640" w:lineRule="exact"/>
        <w:ind w:firstLine="0"/>
        <w:rPr>
          <w:rFonts w:ascii="Traditional Arabic" w:hAnsi="Traditional Arabic"/>
          <w:rtl/>
        </w:rPr>
      </w:pPr>
      <w:r>
        <w:rPr>
          <w:rFonts w:ascii="Traditional Arabic" w:hAnsi="Traditional Arabic" w:hint="cs"/>
          <w:rtl/>
        </w:rPr>
        <w:t xml:space="preserve">    </w:t>
      </w:r>
      <w:r w:rsidR="00065E4B" w:rsidRPr="00C85F0F">
        <w:rPr>
          <w:rFonts w:ascii="Traditional Arabic" w:hAnsi="Traditional Arabic" w:hint="cs"/>
          <w:rtl/>
        </w:rPr>
        <w:t>و</w:t>
      </w:r>
      <w:r w:rsidR="00D25F15" w:rsidRPr="00C85F0F">
        <w:rPr>
          <w:rFonts w:ascii="Traditional Arabic" w:hAnsi="Traditional Arabic" w:hint="cs"/>
          <w:rtl/>
        </w:rPr>
        <w:t>ردت هذه القاعدة عند الشيخ ابن عثيمين</w:t>
      </w:r>
      <w:r w:rsidR="00180FDC">
        <w:rPr>
          <w:rFonts w:ascii="Traditional Arabic" w:hAnsi="Traditional Arabic" w:hint="cs"/>
          <w:rtl/>
        </w:rPr>
        <w:t>_رحمه الله_</w:t>
      </w:r>
      <w:r w:rsidR="00D25F15" w:rsidRPr="00C85F0F">
        <w:rPr>
          <w:rFonts w:ascii="Traditional Arabic" w:hAnsi="Traditional Arabic" w:hint="cs"/>
          <w:rtl/>
        </w:rPr>
        <w:t xml:space="preserve"> بصيغة واحدة، وهي:</w:t>
      </w:r>
    </w:p>
    <w:p w:rsidR="00065E4B" w:rsidRPr="00C85F0F" w:rsidRDefault="00D25F15" w:rsidP="000A76C7">
      <w:pPr>
        <w:numPr>
          <w:ilvl w:val="0"/>
          <w:numId w:val="263"/>
        </w:numPr>
        <w:spacing w:line="640" w:lineRule="exact"/>
        <w:jc w:val="left"/>
        <w:rPr>
          <w:rFonts w:ascii="Traditional Arabic" w:hAnsi="Traditional Arabic"/>
        </w:rPr>
      </w:pPr>
      <w:r w:rsidRPr="00C85F0F">
        <w:rPr>
          <w:rFonts w:ascii="Traditional Arabic" w:hAnsi="Traditional Arabic"/>
          <w:rtl/>
        </w:rPr>
        <w:t>إذا تعذ</w:t>
      </w:r>
      <w:r w:rsidRPr="00C85F0F">
        <w:rPr>
          <w:rFonts w:ascii="Traditional Arabic" w:hAnsi="Traditional Arabic" w:hint="cs"/>
          <w:rtl/>
        </w:rPr>
        <w:t>َّ</w:t>
      </w:r>
      <w:r w:rsidRPr="00C85F0F">
        <w:rPr>
          <w:rFonts w:ascii="Traditional Arabic" w:hAnsi="Traditional Arabic"/>
          <w:rtl/>
        </w:rPr>
        <w:t>ر الأصل</w:t>
      </w:r>
      <w:r w:rsidRPr="00C85F0F">
        <w:rPr>
          <w:rFonts w:ascii="Traditional Arabic" w:hAnsi="Traditional Arabic" w:hint="cs"/>
          <w:rtl/>
        </w:rPr>
        <w:t>ُ</w:t>
      </w:r>
      <w:r w:rsidRPr="00C85F0F">
        <w:rPr>
          <w:rFonts w:ascii="Traditional Arabic" w:hAnsi="Traditional Arabic"/>
          <w:rtl/>
        </w:rPr>
        <w:t xml:space="preserve"> ر</w:t>
      </w:r>
      <w:r w:rsidRPr="00C85F0F">
        <w:rPr>
          <w:rFonts w:ascii="Traditional Arabic" w:hAnsi="Traditional Arabic" w:hint="cs"/>
          <w:rtl/>
        </w:rPr>
        <w:t>َ</w:t>
      </w:r>
      <w:r w:rsidRPr="00C85F0F">
        <w:rPr>
          <w:rFonts w:ascii="Traditional Arabic" w:hAnsi="Traditional Arabic"/>
          <w:rtl/>
        </w:rPr>
        <w:t>جعنا إلى البد</w:t>
      </w:r>
      <w:r w:rsidRPr="00C85F0F">
        <w:rPr>
          <w:rFonts w:ascii="Traditional Arabic" w:hAnsi="Traditional Arabic" w:hint="cs"/>
          <w:rtl/>
        </w:rPr>
        <w:t>َ</w:t>
      </w:r>
      <w:r w:rsidRPr="00C85F0F">
        <w:rPr>
          <w:rFonts w:ascii="Traditional Arabic" w:hAnsi="Traditional Arabic"/>
          <w:rtl/>
        </w:rPr>
        <w:t>ل</w:t>
      </w:r>
      <w:r w:rsidRPr="00C85F0F">
        <w:rPr>
          <w:rStyle w:val="af1"/>
          <w:rFonts w:ascii="Tahoma" w:hAnsi="Tahoma"/>
          <w:szCs w:val="32"/>
          <w:rtl/>
        </w:rPr>
        <w:t>(</w:t>
      </w:r>
      <w:r w:rsidRPr="00C85F0F">
        <w:rPr>
          <w:rStyle w:val="af1"/>
          <w:rFonts w:ascii="Tahoma" w:hAnsi="Tahoma"/>
          <w:szCs w:val="32"/>
          <w:rtl/>
        </w:rPr>
        <w:footnoteReference w:id="1921"/>
      </w:r>
      <w:r w:rsidRPr="00C85F0F">
        <w:rPr>
          <w:rStyle w:val="af1"/>
          <w:rFonts w:ascii="Tahoma" w:hAnsi="Tahoma"/>
          <w:szCs w:val="32"/>
          <w:rtl/>
        </w:rPr>
        <w:t>)</w:t>
      </w:r>
      <w:r w:rsidRPr="00C85F0F">
        <w:rPr>
          <w:rFonts w:ascii="Traditional Arabic" w:hAnsi="Traditional Arabic" w:hint="cs"/>
          <w:rtl/>
        </w:rPr>
        <w:t>.</w:t>
      </w:r>
    </w:p>
    <w:p w:rsidR="00D25F15" w:rsidRPr="00C85F0F" w:rsidRDefault="00065E4B" w:rsidP="00597C20">
      <w:pPr>
        <w:spacing w:line="640" w:lineRule="exact"/>
        <w:rPr>
          <w:rFonts w:ascii="Traditional Arabic" w:hAnsi="Traditional Arabic"/>
          <w:rtl/>
        </w:rPr>
      </w:pPr>
      <w:r w:rsidRPr="00C85F0F">
        <w:rPr>
          <w:rFonts w:ascii="Traditional Arabic" w:hAnsi="Traditional Arabic" w:hint="cs"/>
          <w:rtl/>
        </w:rPr>
        <w:t>و</w:t>
      </w:r>
      <w:r w:rsidR="00D25F15" w:rsidRPr="00C85F0F">
        <w:rPr>
          <w:rFonts w:ascii="Traditional Arabic" w:hAnsi="Traditional Arabic" w:hint="cs"/>
          <w:rtl/>
        </w:rPr>
        <w:t>وردت هذه الصيغة عند علماء القواعد بعدة صيغ، منها:</w:t>
      </w:r>
    </w:p>
    <w:p w:rsidR="00D25F15" w:rsidRPr="00C85F0F" w:rsidRDefault="00D25F15" w:rsidP="000A76C7">
      <w:pPr>
        <w:pStyle w:val="afc"/>
        <w:numPr>
          <w:ilvl w:val="0"/>
          <w:numId w:val="263"/>
        </w:numPr>
        <w:spacing w:line="640" w:lineRule="exact"/>
        <w:jc w:val="left"/>
        <w:rPr>
          <w:rFonts w:ascii="Traditional Arabic" w:hAnsi="Traditional Arabic"/>
          <w:rtl/>
        </w:rPr>
      </w:pPr>
      <w:r w:rsidRPr="00C85F0F">
        <w:rPr>
          <w:rFonts w:ascii="Traditional Arabic" w:hAnsi="Traditional Arabic"/>
          <w:rtl/>
          <w:lang w:eastAsia="en-US"/>
        </w:rPr>
        <w:t>البدل</w:t>
      </w:r>
      <w:r w:rsidR="00180FDC">
        <w:rPr>
          <w:rFonts w:ascii="Traditional Arabic" w:hAnsi="Traditional Arabic" w:hint="cs"/>
          <w:rtl/>
          <w:lang w:eastAsia="en-US"/>
        </w:rPr>
        <w:t>ُ</w:t>
      </w:r>
      <w:r w:rsidRPr="00C85F0F">
        <w:rPr>
          <w:rFonts w:ascii="Traditional Arabic" w:hAnsi="Traditional Arabic"/>
          <w:rtl/>
          <w:lang w:eastAsia="en-US"/>
        </w:rPr>
        <w:t xml:space="preserve"> إنما ش</w:t>
      </w:r>
      <w:r w:rsidRPr="00C85F0F">
        <w:rPr>
          <w:rFonts w:ascii="Traditional Arabic" w:hAnsi="Traditional Arabic" w:hint="cs"/>
          <w:rtl/>
          <w:lang w:eastAsia="en-US"/>
        </w:rPr>
        <w:t>ُ</w:t>
      </w:r>
      <w:r w:rsidRPr="00C85F0F">
        <w:rPr>
          <w:rFonts w:ascii="Traditional Arabic" w:hAnsi="Traditional Arabic"/>
          <w:rtl/>
          <w:lang w:eastAsia="en-US"/>
        </w:rPr>
        <w:t>رع عند تعذ</w:t>
      </w:r>
      <w:r w:rsidRPr="00C85F0F">
        <w:rPr>
          <w:rFonts w:ascii="Traditional Arabic" w:hAnsi="Traditional Arabic" w:hint="cs"/>
          <w:rtl/>
          <w:lang w:eastAsia="en-US"/>
        </w:rPr>
        <w:t>ُّ</w:t>
      </w:r>
      <w:r w:rsidRPr="00C85F0F">
        <w:rPr>
          <w:rFonts w:ascii="Traditional Arabic" w:hAnsi="Traditional Arabic"/>
          <w:rtl/>
          <w:lang w:eastAsia="en-US"/>
        </w:rPr>
        <w:t>ر المبدل منه</w:t>
      </w:r>
      <w:r w:rsidRPr="00C85F0F">
        <w:rPr>
          <w:rStyle w:val="af1"/>
          <w:rFonts w:ascii="Tahoma" w:hAnsi="Tahoma"/>
          <w:szCs w:val="32"/>
          <w:rtl/>
        </w:rPr>
        <w:t>(</w:t>
      </w:r>
      <w:r w:rsidRPr="00C85F0F">
        <w:rPr>
          <w:rStyle w:val="af1"/>
          <w:rFonts w:ascii="Tahoma" w:hAnsi="Tahoma"/>
          <w:szCs w:val="32"/>
          <w:rtl/>
        </w:rPr>
        <w:footnoteReference w:id="1922"/>
      </w:r>
      <w:r w:rsidRPr="00C85F0F">
        <w:rPr>
          <w:rStyle w:val="af1"/>
          <w:rFonts w:ascii="Tahoma" w:hAnsi="Tahoma"/>
          <w:szCs w:val="32"/>
          <w:rtl/>
        </w:rPr>
        <w:t>)</w:t>
      </w:r>
      <w:r w:rsidRPr="00C85F0F">
        <w:rPr>
          <w:rFonts w:ascii="Traditional Arabic" w:hAnsi="Traditional Arabic" w:hint="cs"/>
          <w:rtl/>
        </w:rPr>
        <w:t>.</w:t>
      </w:r>
    </w:p>
    <w:p w:rsidR="00D25F15" w:rsidRPr="00C85F0F" w:rsidRDefault="00D25F15" w:rsidP="000A76C7">
      <w:pPr>
        <w:pStyle w:val="afc"/>
        <w:numPr>
          <w:ilvl w:val="0"/>
          <w:numId w:val="263"/>
        </w:numPr>
        <w:spacing w:line="640" w:lineRule="exact"/>
        <w:jc w:val="left"/>
        <w:rPr>
          <w:rFonts w:ascii="Traditional Arabic" w:hAnsi="Traditional Arabic"/>
          <w:color w:val="auto"/>
          <w:rtl/>
        </w:rPr>
      </w:pPr>
      <w:r w:rsidRPr="00C85F0F">
        <w:rPr>
          <w:rFonts w:ascii="Traditional Arabic" w:hAnsi="Traditional Arabic" w:hint="cs"/>
          <w:color w:val="auto"/>
          <w:rtl/>
          <w:lang w:eastAsia="en-US"/>
        </w:rPr>
        <w:t>الأصل إذا لم يحصل به المقصود قام بدلُه مقامَه</w:t>
      </w:r>
      <w:r w:rsidRPr="00C85F0F">
        <w:rPr>
          <w:rStyle w:val="af1"/>
          <w:rFonts w:ascii="Tahoma" w:hAnsi="Tahoma"/>
          <w:szCs w:val="32"/>
          <w:rtl/>
        </w:rPr>
        <w:t>(</w:t>
      </w:r>
      <w:r w:rsidRPr="00C85F0F">
        <w:rPr>
          <w:rStyle w:val="af1"/>
          <w:rFonts w:ascii="Tahoma" w:hAnsi="Tahoma"/>
          <w:szCs w:val="32"/>
          <w:rtl/>
        </w:rPr>
        <w:footnoteReference w:id="1923"/>
      </w:r>
      <w:r w:rsidRPr="00C85F0F">
        <w:rPr>
          <w:rStyle w:val="af1"/>
          <w:rFonts w:ascii="Tahoma" w:hAnsi="Tahoma"/>
          <w:szCs w:val="32"/>
          <w:rtl/>
        </w:rPr>
        <w:t>)</w:t>
      </w:r>
      <w:r w:rsidRPr="00C85F0F">
        <w:rPr>
          <w:rFonts w:ascii="Traditional Arabic" w:hAnsi="Traditional Arabic" w:hint="cs"/>
          <w:color w:val="auto"/>
          <w:rtl/>
          <w:lang w:eastAsia="en-US"/>
        </w:rPr>
        <w:t>.</w:t>
      </w:r>
    </w:p>
    <w:p w:rsidR="00D25F15" w:rsidRPr="00C85F0F" w:rsidRDefault="00D25F15" w:rsidP="000A76C7">
      <w:pPr>
        <w:pStyle w:val="afc"/>
        <w:numPr>
          <w:ilvl w:val="0"/>
          <w:numId w:val="263"/>
        </w:numPr>
        <w:spacing w:line="640" w:lineRule="exact"/>
        <w:jc w:val="left"/>
        <w:rPr>
          <w:rFonts w:ascii="Traditional Arabic" w:hAnsi="Traditional Arabic"/>
        </w:rPr>
      </w:pPr>
      <w:r w:rsidRPr="00C85F0F">
        <w:rPr>
          <w:rFonts w:ascii="Traditional Arabic" w:hAnsi="Traditional Arabic" w:hint="cs"/>
          <w:rtl/>
        </w:rPr>
        <w:t>الفروع والأبدال لا يُصار إليها إلا عند تعذُّر الأصول</w:t>
      </w:r>
      <w:r w:rsidRPr="00C85F0F">
        <w:rPr>
          <w:rStyle w:val="af1"/>
          <w:rFonts w:ascii="Tahoma" w:hAnsi="Tahoma"/>
          <w:szCs w:val="32"/>
          <w:rtl/>
        </w:rPr>
        <w:t>(</w:t>
      </w:r>
      <w:r w:rsidRPr="00C85F0F">
        <w:rPr>
          <w:rStyle w:val="af1"/>
          <w:rFonts w:ascii="Tahoma" w:hAnsi="Tahoma"/>
          <w:szCs w:val="32"/>
          <w:rtl/>
        </w:rPr>
        <w:footnoteReference w:id="1924"/>
      </w:r>
      <w:r w:rsidRPr="00C85F0F">
        <w:rPr>
          <w:rStyle w:val="af1"/>
          <w:rFonts w:ascii="Tahoma" w:hAnsi="Tahoma"/>
          <w:szCs w:val="32"/>
          <w:rtl/>
        </w:rPr>
        <w:t>)</w:t>
      </w:r>
      <w:r w:rsidRPr="00C85F0F">
        <w:rPr>
          <w:rFonts w:ascii="Traditional Arabic" w:hAnsi="Traditional Arabic" w:hint="cs"/>
          <w:rtl/>
        </w:rPr>
        <w:t>.</w:t>
      </w:r>
    </w:p>
    <w:p w:rsidR="00D25F15" w:rsidRPr="00C85F0F" w:rsidRDefault="00D25F15" w:rsidP="000A76C7">
      <w:pPr>
        <w:pStyle w:val="afc"/>
        <w:numPr>
          <w:ilvl w:val="0"/>
          <w:numId w:val="263"/>
        </w:numPr>
        <w:spacing w:line="640" w:lineRule="exact"/>
        <w:jc w:val="left"/>
        <w:rPr>
          <w:rFonts w:ascii="Traditional Arabic" w:hAnsi="Traditional Arabic"/>
          <w:rtl/>
        </w:rPr>
      </w:pPr>
      <w:r w:rsidRPr="00C85F0F">
        <w:rPr>
          <w:rFonts w:ascii="Traditional Arabic" w:hAnsi="Traditional Arabic" w:hint="cs"/>
          <w:rtl/>
        </w:rPr>
        <w:t>لا يقوم البدل حتى يتعذَّر ال</w:t>
      </w:r>
      <w:r w:rsidR="00A57165">
        <w:rPr>
          <w:rFonts w:ascii="Traditional Arabic" w:hAnsi="Traditional Arabic" w:hint="cs"/>
          <w:rtl/>
        </w:rPr>
        <w:t>ْ</w:t>
      </w:r>
      <w:r w:rsidRPr="00C85F0F">
        <w:rPr>
          <w:rFonts w:ascii="Traditional Arabic" w:hAnsi="Traditional Arabic" w:hint="cs"/>
          <w:rtl/>
        </w:rPr>
        <w:t>م</w:t>
      </w:r>
      <w:r w:rsidR="00A57165">
        <w:rPr>
          <w:rFonts w:ascii="Traditional Arabic" w:hAnsi="Traditional Arabic" w:hint="cs"/>
          <w:rtl/>
        </w:rPr>
        <w:t>ُ</w:t>
      </w:r>
      <w:r w:rsidRPr="00C85F0F">
        <w:rPr>
          <w:rFonts w:ascii="Traditional Arabic" w:hAnsi="Traditional Arabic" w:hint="cs"/>
          <w:rtl/>
        </w:rPr>
        <w:t>بدَل منه</w:t>
      </w:r>
      <w:r w:rsidRPr="00C85F0F">
        <w:rPr>
          <w:rStyle w:val="af1"/>
          <w:rFonts w:ascii="Tahoma" w:hAnsi="Tahoma"/>
          <w:szCs w:val="32"/>
          <w:rtl/>
        </w:rPr>
        <w:t>(</w:t>
      </w:r>
      <w:r w:rsidRPr="00C85F0F">
        <w:rPr>
          <w:rStyle w:val="af1"/>
          <w:rFonts w:ascii="Tahoma" w:hAnsi="Tahoma"/>
          <w:szCs w:val="32"/>
          <w:rtl/>
        </w:rPr>
        <w:footnoteReference w:id="1925"/>
      </w:r>
      <w:r w:rsidRPr="00C85F0F">
        <w:rPr>
          <w:rStyle w:val="af1"/>
          <w:rFonts w:ascii="Tahoma" w:hAnsi="Tahoma"/>
          <w:szCs w:val="32"/>
          <w:rtl/>
        </w:rPr>
        <w:t>)</w:t>
      </w:r>
      <w:r w:rsidRPr="00C85F0F">
        <w:rPr>
          <w:rFonts w:ascii="Traditional Arabic" w:hAnsi="Traditional Arabic" w:hint="cs"/>
          <w:rtl/>
        </w:rPr>
        <w:t>.</w:t>
      </w:r>
    </w:p>
    <w:p w:rsidR="00A5551C" w:rsidRDefault="00A5551C" w:rsidP="00A5551C">
      <w:pPr>
        <w:spacing w:line="640" w:lineRule="exact"/>
        <w:ind w:left="1066" w:firstLine="0"/>
        <w:jc w:val="left"/>
        <w:rPr>
          <w:rFonts w:ascii="Traditional Arabic" w:hAnsi="Traditional Arabic"/>
          <w:color w:val="auto"/>
        </w:rPr>
      </w:pPr>
    </w:p>
    <w:p w:rsidR="00D25F15" w:rsidRPr="00C85F0F" w:rsidRDefault="00D25F15" w:rsidP="000A76C7">
      <w:pPr>
        <w:numPr>
          <w:ilvl w:val="0"/>
          <w:numId w:val="264"/>
        </w:numPr>
        <w:spacing w:line="640" w:lineRule="exact"/>
        <w:jc w:val="left"/>
        <w:rPr>
          <w:rFonts w:ascii="Traditional Arabic" w:hAnsi="Traditional Arabic"/>
          <w:color w:val="auto"/>
        </w:rPr>
      </w:pPr>
      <w:r w:rsidRPr="00C85F0F">
        <w:rPr>
          <w:rFonts w:ascii="Traditional Arabic" w:hAnsi="Traditional Arabic" w:hint="cs"/>
          <w:color w:val="auto"/>
          <w:rtl/>
        </w:rPr>
        <w:lastRenderedPageBreak/>
        <w:t>الأصول التي لها أبدال تنتقل إليها عند العجز مع القدرة على الأصل في ثاني الحال</w:t>
      </w:r>
      <w:r w:rsidRPr="00C85F0F">
        <w:rPr>
          <w:rStyle w:val="af1"/>
          <w:rFonts w:ascii="Tahoma" w:hAnsi="Tahoma"/>
          <w:szCs w:val="32"/>
          <w:rtl/>
        </w:rPr>
        <w:t>(</w:t>
      </w:r>
      <w:r w:rsidRPr="00C85F0F">
        <w:rPr>
          <w:rStyle w:val="af1"/>
          <w:rFonts w:ascii="Tahoma" w:hAnsi="Tahoma"/>
          <w:szCs w:val="32"/>
          <w:rtl/>
        </w:rPr>
        <w:footnoteReference w:id="1926"/>
      </w:r>
      <w:r w:rsidRPr="00C85F0F">
        <w:rPr>
          <w:rStyle w:val="af1"/>
          <w:rFonts w:ascii="Tahoma" w:hAnsi="Tahoma"/>
          <w:szCs w:val="32"/>
          <w:rtl/>
        </w:rPr>
        <w:t>)</w:t>
      </w:r>
      <w:r w:rsidRPr="00C85F0F">
        <w:rPr>
          <w:rFonts w:ascii="Traditional Arabic" w:hAnsi="Traditional Arabic" w:hint="cs"/>
          <w:color w:val="auto"/>
          <w:rtl/>
        </w:rPr>
        <w:t>.</w:t>
      </w:r>
    </w:p>
    <w:p w:rsidR="00D25F15" w:rsidRPr="00C85F0F" w:rsidRDefault="00D25F15" w:rsidP="000A76C7">
      <w:pPr>
        <w:numPr>
          <w:ilvl w:val="0"/>
          <w:numId w:val="264"/>
        </w:numPr>
        <w:spacing w:line="640" w:lineRule="exact"/>
        <w:jc w:val="left"/>
        <w:rPr>
          <w:rFonts w:ascii="Traditional Arabic" w:hAnsi="Traditional Arabic"/>
          <w:color w:val="auto"/>
        </w:rPr>
      </w:pPr>
      <w:r w:rsidRPr="00C85F0F">
        <w:rPr>
          <w:rFonts w:ascii="Traditional Arabic" w:hAnsi="Traditional Arabic" w:hint="cs"/>
          <w:color w:val="auto"/>
          <w:rtl/>
        </w:rPr>
        <w:t>يقوم البدل مَقام المبدل، ولكن لا يصار إليه إلا عند تعذُّر الأصل</w:t>
      </w:r>
      <w:r w:rsidRPr="00C85F0F">
        <w:rPr>
          <w:rStyle w:val="af1"/>
          <w:szCs w:val="32"/>
          <w:rtl/>
        </w:rPr>
        <w:t>(</w:t>
      </w:r>
      <w:r w:rsidRPr="00C85F0F">
        <w:rPr>
          <w:rStyle w:val="af1"/>
          <w:szCs w:val="32"/>
          <w:rtl/>
        </w:rPr>
        <w:footnoteReference w:id="1927"/>
      </w:r>
      <w:r w:rsidRPr="00C85F0F">
        <w:rPr>
          <w:rStyle w:val="af1"/>
          <w:szCs w:val="32"/>
          <w:rtl/>
        </w:rPr>
        <w:t>)</w:t>
      </w:r>
      <w:r w:rsidRPr="00C85F0F">
        <w:rPr>
          <w:rFonts w:ascii="Traditional Arabic" w:hAnsi="Traditional Arabic" w:hint="cs"/>
          <w:color w:val="auto"/>
          <w:rtl/>
        </w:rPr>
        <w:t>.</w:t>
      </w:r>
    </w:p>
    <w:p w:rsidR="00D25F15" w:rsidRPr="00C85F0F" w:rsidRDefault="00D25F15" w:rsidP="000A76C7">
      <w:pPr>
        <w:numPr>
          <w:ilvl w:val="0"/>
          <w:numId w:val="264"/>
        </w:numPr>
        <w:spacing w:line="640" w:lineRule="exact"/>
        <w:jc w:val="left"/>
        <w:rPr>
          <w:rFonts w:ascii="Traditional Arabic" w:hAnsi="Traditional Arabic"/>
          <w:color w:val="auto"/>
        </w:rPr>
      </w:pPr>
      <w:r w:rsidRPr="00C85F0F">
        <w:rPr>
          <w:rFonts w:ascii="Traditional Arabic" w:hAnsi="Traditional Arabic" w:hint="cs"/>
          <w:color w:val="auto"/>
          <w:rtl/>
        </w:rPr>
        <w:t>إذا بطَل الأصل يصار إلى البدل</w:t>
      </w:r>
      <w:r w:rsidRPr="00C85F0F">
        <w:rPr>
          <w:rStyle w:val="af1"/>
          <w:rFonts w:ascii="Tahoma" w:hAnsi="Tahoma"/>
          <w:szCs w:val="32"/>
          <w:rtl/>
        </w:rPr>
        <w:t>(</w:t>
      </w:r>
      <w:r w:rsidRPr="00C85F0F">
        <w:rPr>
          <w:rStyle w:val="af1"/>
          <w:rFonts w:ascii="Tahoma" w:hAnsi="Tahoma"/>
          <w:szCs w:val="32"/>
          <w:rtl/>
        </w:rPr>
        <w:footnoteReference w:id="1928"/>
      </w:r>
      <w:r w:rsidRPr="00C85F0F">
        <w:rPr>
          <w:rStyle w:val="af1"/>
          <w:rFonts w:ascii="Tahoma" w:hAnsi="Tahoma"/>
          <w:szCs w:val="32"/>
          <w:rtl/>
        </w:rPr>
        <w:t>)</w:t>
      </w:r>
      <w:r w:rsidRPr="00C85F0F">
        <w:rPr>
          <w:rFonts w:ascii="Traditional Arabic" w:hAnsi="Traditional Arabic" w:hint="cs"/>
          <w:color w:val="auto"/>
          <w:rtl/>
        </w:rPr>
        <w:t>.</w:t>
      </w:r>
    </w:p>
    <w:p w:rsidR="00D25F15" w:rsidRPr="00C85F0F" w:rsidRDefault="00D25F15" w:rsidP="000A76C7">
      <w:pPr>
        <w:numPr>
          <w:ilvl w:val="0"/>
          <w:numId w:val="264"/>
        </w:numPr>
        <w:spacing w:line="640" w:lineRule="exact"/>
        <w:jc w:val="left"/>
        <w:rPr>
          <w:rFonts w:ascii="Traditional Arabic" w:hAnsi="Traditional Arabic"/>
          <w:color w:val="auto"/>
        </w:rPr>
      </w:pPr>
      <w:r w:rsidRPr="00C85F0F">
        <w:rPr>
          <w:rFonts w:ascii="Traditional Arabic" w:hAnsi="Traditional Arabic" w:hint="cs"/>
          <w:color w:val="auto"/>
          <w:rtl/>
        </w:rPr>
        <w:t>إذا تعذَّر الأصل يصار إلى البدل</w:t>
      </w:r>
      <w:r w:rsidRPr="00C85F0F">
        <w:rPr>
          <w:rStyle w:val="af1"/>
          <w:rFonts w:ascii="Tahoma" w:hAnsi="Tahoma"/>
          <w:szCs w:val="32"/>
          <w:rtl/>
        </w:rPr>
        <w:t>(</w:t>
      </w:r>
      <w:r w:rsidRPr="00C85F0F">
        <w:rPr>
          <w:rStyle w:val="af1"/>
          <w:rFonts w:ascii="Tahoma" w:hAnsi="Tahoma"/>
          <w:szCs w:val="32"/>
          <w:rtl/>
        </w:rPr>
        <w:footnoteReference w:id="1929"/>
      </w:r>
      <w:r w:rsidRPr="00C85F0F">
        <w:rPr>
          <w:rStyle w:val="af1"/>
          <w:rFonts w:ascii="Tahoma" w:hAnsi="Tahoma"/>
          <w:szCs w:val="32"/>
          <w:rtl/>
        </w:rPr>
        <w:t>)</w:t>
      </w:r>
      <w:r w:rsidRPr="00C85F0F">
        <w:rPr>
          <w:rFonts w:ascii="Traditional Arabic" w:hAnsi="Traditional Arabic" w:hint="cs"/>
          <w:color w:val="auto"/>
          <w:rtl/>
        </w:rPr>
        <w:t>.</w:t>
      </w:r>
    </w:p>
    <w:p w:rsidR="00065E4B" w:rsidRPr="00C85F0F" w:rsidRDefault="00C83DCD" w:rsidP="00A8347C">
      <w:pPr>
        <w:pStyle w:val="aff3"/>
        <w:rPr>
          <w:rtl/>
        </w:rPr>
      </w:pPr>
      <w:bookmarkStart w:id="408" w:name="_Toc334046597"/>
      <w:r>
        <w:rPr>
          <w:rFonts w:hint="cs"/>
          <w:rtl/>
        </w:rPr>
        <w:t xml:space="preserve">                                       </w:t>
      </w:r>
      <w:r w:rsidR="00D25F15" w:rsidRPr="00C85F0F">
        <w:rPr>
          <w:rFonts w:hint="cs"/>
          <w:rtl/>
        </w:rPr>
        <w:t>المطلب الثاني</w:t>
      </w:r>
      <w:r w:rsidR="00D25F15" w:rsidRPr="00C85F0F">
        <w:rPr>
          <w:rFonts w:hint="eastAsia"/>
          <w:rtl/>
        </w:rPr>
        <w:t> :</w:t>
      </w:r>
      <w:r w:rsidR="00D25F15" w:rsidRPr="00C85F0F">
        <w:rPr>
          <w:rFonts w:hint="cs"/>
          <w:rtl/>
        </w:rPr>
        <w:br/>
      </w:r>
      <w:r>
        <w:rPr>
          <w:rFonts w:hint="cs"/>
          <w:rtl/>
        </w:rPr>
        <w:t xml:space="preserve">                                      </w:t>
      </w:r>
      <w:r w:rsidR="00801F81">
        <w:rPr>
          <w:rFonts w:hint="cs"/>
          <w:rtl/>
        </w:rPr>
        <w:t xml:space="preserve"> </w:t>
      </w:r>
      <w:r w:rsidR="00D25F15" w:rsidRPr="00C85F0F">
        <w:rPr>
          <w:rFonts w:hint="cs"/>
          <w:rtl/>
        </w:rPr>
        <w:t>شرح القاعدة</w:t>
      </w:r>
      <w:bookmarkEnd w:id="408"/>
    </w:p>
    <w:p w:rsidR="006924F7" w:rsidRPr="00D564C0" w:rsidRDefault="00065E4B" w:rsidP="00597C20">
      <w:pPr>
        <w:pStyle w:val="53"/>
        <w:rPr>
          <w:rtl/>
        </w:rPr>
      </w:pPr>
      <w:r w:rsidRPr="00D564C0">
        <w:rPr>
          <w:rFonts w:hint="cs"/>
          <w:rtl/>
        </w:rPr>
        <w:t>ت</w:t>
      </w:r>
      <w:r w:rsidR="00D25F15" w:rsidRPr="00D564C0">
        <w:rPr>
          <w:rFonts w:hint="cs"/>
          <w:rtl/>
        </w:rPr>
        <w:t>عذَّر</w:t>
      </w:r>
      <w:r w:rsidR="00AB0B9E">
        <w:rPr>
          <w:rtl/>
        </w:rPr>
        <w:fldChar w:fldCharType="begin"/>
      </w:r>
      <w:r w:rsidR="00D564C0">
        <w:instrText xml:space="preserve"> XE "</w:instrText>
      </w:r>
      <w:r w:rsidR="00D564C0" w:rsidRPr="00D564C0">
        <w:rPr>
          <w:rFonts w:hint="cs"/>
          <w:b w:val="0"/>
          <w:bCs w:val="0"/>
          <w:rtl/>
        </w:rPr>
        <w:instrText>تعذَّر</w:instrText>
      </w:r>
      <w:r w:rsidR="00D564C0">
        <w:instrText xml:space="preserve">" </w:instrText>
      </w:r>
      <w:r w:rsidR="00D564C0" w:rsidRPr="00D564C0">
        <w:instrText>\fm</w:instrText>
      </w:r>
      <w:r w:rsidR="00AB0B9E">
        <w:rPr>
          <w:rtl/>
        </w:rPr>
        <w:fldChar w:fldCharType="end"/>
      </w:r>
      <w:r w:rsidR="00D25F15" w:rsidRPr="00D564C0">
        <w:rPr>
          <w:rFonts w:hint="cs"/>
          <w:rtl/>
        </w:rPr>
        <w:t xml:space="preserve"> لغة:</w:t>
      </w:r>
    </w:p>
    <w:p w:rsidR="00065E4B" w:rsidRPr="00C85F0F" w:rsidRDefault="00D25F15" w:rsidP="00597C20">
      <w:pPr>
        <w:spacing w:line="640" w:lineRule="exact"/>
        <w:ind w:firstLine="720"/>
        <w:rPr>
          <w:rFonts w:ascii="Traditional Arabic" w:hAnsi="Traditional Arabic"/>
          <w:color w:val="auto"/>
          <w:rtl/>
        </w:rPr>
      </w:pPr>
      <w:r w:rsidRPr="00C85F0F">
        <w:rPr>
          <w:rFonts w:ascii="Traditional Arabic" w:hAnsi="Traditional Arabic" w:hint="cs"/>
          <w:color w:val="auto"/>
          <w:rtl/>
        </w:rPr>
        <w:t xml:space="preserve">قال </w:t>
      </w:r>
      <w:r w:rsidR="00C83DCD">
        <w:rPr>
          <w:rFonts w:ascii="Traditional Arabic" w:hAnsi="Traditional Arabic" w:hint="cs"/>
          <w:color w:val="auto"/>
          <w:rtl/>
        </w:rPr>
        <w:t xml:space="preserve"> </w:t>
      </w:r>
      <w:r w:rsidRPr="00C85F0F">
        <w:rPr>
          <w:rFonts w:ascii="Traditional Arabic" w:hAnsi="Traditional Arabic" w:hint="cs"/>
          <w:color w:val="auto"/>
          <w:rtl/>
        </w:rPr>
        <w:t xml:space="preserve">ابن فارس </w:t>
      </w:r>
      <w:r w:rsidR="00C83DCD">
        <w:rPr>
          <w:rFonts w:ascii="Traditional Arabic" w:hAnsi="Traditional Arabic" w:hint="cs"/>
          <w:color w:val="auto"/>
          <w:rtl/>
        </w:rPr>
        <w:t>_</w:t>
      </w:r>
      <w:r w:rsidR="009A0575" w:rsidRPr="005D5694">
        <w:rPr>
          <w:rFonts w:ascii="Traditional Arabic" w:hAnsi="Traditional Arabic" w:cs="CTraditional Arabic" w:hint="cs"/>
          <w:rtl/>
        </w:rPr>
        <w:t>/</w:t>
      </w:r>
      <w:r w:rsidR="00C83DCD">
        <w:rPr>
          <w:rFonts w:ascii="Traditional Arabic" w:hAnsi="Traditional Arabic" w:hint="cs"/>
          <w:color w:val="auto"/>
          <w:rtl/>
        </w:rPr>
        <w:t>_</w:t>
      </w:r>
      <w:r w:rsidRPr="00C85F0F">
        <w:rPr>
          <w:rFonts w:ascii="Traditional Arabic" w:hAnsi="Traditional Arabic" w:hint="cs"/>
          <w:color w:val="auto"/>
          <w:rtl/>
        </w:rPr>
        <w:t>: (</w:t>
      </w:r>
      <w:r w:rsidRPr="00C85F0F">
        <w:rPr>
          <w:rFonts w:ascii="Traditional Arabic" w:hAnsi="Traditional Arabic"/>
          <w:rtl/>
          <w:lang w:eastAsia="en-US"/>
        </w:rPr>
        <w:t>العين والذال والراء بناء</w:t>
      </w:r>
      <w:r w:rsidRPr="00C85F0F">
        <w:rPr>
          <w:rFonts w:ascii="Traditional Arabic" w:hAnsi="Traditional Arabic" w:hint="cs"/>
          <w:rtl/>
          <w:lang w:eastAsia="en-US"/>
        </w:rPr>
        <w:t>ٌ</w:t>
      </w:r>
      <w:r w:rsidRPr="00C85F0F">
        <w:rPr>
          <w:rFonts w:ascii="Traditional Arabic" w:hAnsi="Traditional Arabic"/>
          <w:rtl/>
          <w:lang w:eastAsia="en-US"/>
        </w:rPr>
        <w:t xml:space="preserve"> صحيح له فروع كثيرة</w:t>
      </w:r>
      <w:r w:rsidRPr="00C85F0F">
        <w:rPr>
          <w:rFonts w:ascii="Traditional Arabic" w:hAnsi="Traditional Arabic" w:hint="cs"/>
          <w:rtl/>
          <w:lang w:eastAsia="en-US"/>
        </w:rPr>
        <w:t>...</w:t>
      </w:r>
      <w:r w:rsidRPr="00C85F0F">
        <w:rPr>
          <w:rFonts w:ascii="Traditional Arabic" w:hAnsi="Traditional Arabic"/>
          <w:rtl/>
          <w:lang w:eastAsia="en-US"/>
        </w:rPr>
        <w:t>وباب</w:t>
      </w:r>
      <w:r w:rsidRPr="00C85F0F">
        <w:rPr>
          <w:rFonts w:ascii="Traditional Arabic" w:hAnsi="Traditional Arabic" w:hint="cs"/>
          <w:rtl/>
          <w:lang w:eastAsia="en-US"/>
        </w:rPr>
        <w:t>ٌ</w:t>
      </w:r>
      <w:r w:rsidRPr="00C85F0F">
        <w:rPr>
          <w:rFonts w:ascii="Traditional Arabic" w:hAnsi="Traditional Arabic"/>
          <w:rtl/>
          <w:lang w:eastAsia="en-US"/>
        </w:rPr>
        <w:t xml:space="preserve"> آخ</w:t>
      </w:r>
      <w:r w:rsidRPr="00C85F0F">
        <w:rPr>
          <w:rFonts w:ascii="Traditional Arabic" w:hAnsi="Traditional Arabic" w:hint="cs"/>
          <w:rtl/>
          <w:lang w:eastAsia="en-US"/>
        </w:rPr>
        <w:t>َ</w:t>
      </w:r>
      <w:r w:rsidRPr="00C85F0F">
        <w:rPr>
          <w:rFonts w:ascii="Traditional Arabic" w:hAnsi="Traditional Arabic"/>
          <w:rtl/>
          <w:lang w:eastAsia="en-US"/>
        </w:rPr>
        <w:t>ر لا ي</w:t>
      </w:r>
      <w:r w:rsidRPr="00C85F0F">
        <w:rPr>
          <w:rFonts w:ascii="Traditional Arabic" w:hAnsi="Traditional Arabic" w:hint="cs"/>
          <w:rtl/>
          <w:lang w:eastAsia="en-US"/>
        </w:rPr>
        <w:t>ُ</w:t>
      </w:r>
      <w:r w:rsidRPr="00C85F0F">
        <w:rPr>
          <w:rFonts w:ascii="Traditional Arabic" w:hAnsi="Traditional Arabic"/>
          <w:rtl/>
          <w:lang w:eastAsia="en-US"/>
        </w:rPr>
        <w:t>ش</w:t>
      </w:r>
      <w:r w:rsidRPr="00C85F0F">
        <w:rPr>
          <w:rFonts w:ascii="Traditional Arabic" w:hAnsi="Traditional Arabic" w:hint="cs"/>
          <w:rtl/>
          <w:lang w:eastAsia="en-US"/>
        </w:rPr>
        <w:t>ْ</w:t>
      </w:r>
      <w:r w:rsidRPr="00C85F0F">
        <w:rPr>
          <w:rFonts w:ascii="Traditional Arabic" w:hAnsi="Traditional Arabic"/>
          <w:rtl/>
          <w:lang w:eastAsia="en-US"/>
        </w:rPr>
        <w:t>ب</w:t>
      </w:r>
      <w:r w:rsidRPr="00C85F0F">
        <w:rPr>
          <w:rFonts w:ascii="Traditional Arabic" w:hAnsi="Traditional Arabic" w:hint="cs"/>
          <w:rtl/>
          <w:lang w:eastAsia="en-US"/>
        </w:rPr>
        <w:t>ِ</w:t>
      </w:r>
      <w:r w:rsidRPr="00C85F0F">
        <w:rPr>
          <w:rFonts w:ascii="Traditional Arabic" w:hAnsi="Traditional Arabic"/>
          <w:rtl/>
          <w:lang w:eastAsia="en-US"/>
        </w:rPr>
        <w:t>ه الذي ق</w:t>
      </w:r>
      <w:r w:rsidRPr="00C85F0F">
        <w:rPr>
          <w:rFonts w:ascii="Traditional Arabic" w:hAnsi="Traditional Arabic" w:hint="cs"/>
          <w:rtl/>
          <w:lang w:eastAsia="en-US"/>
        </w:rPr>
        <w:t>َ</w:t>
      </w:r>
      <w:r w:rsidRPr="00C85F0F">
        <w:rPr>
          <w:rFonts w:ascii="Traditional Arabic" w:hAnsi="Traditional Arabic"/>
          <w:rtl/>
          <w:lang w:eastAsia="en-US"/>
        </w:rPr>
        <w:t>ب</w:t>
      </w:r>
      <w:r w:rsidRPr="00C85F0F">
        <w:rPr>
          <w:rFonts w:ascii="Traditional Arabic" w:hAnsi="Traditional Arabic" w:hint="cs"/>
          <w:rtl/>
          <w:lang w:eastAsia="en-US"/>
        </w:rPr>
        <w:t>ْ</w:t>
      </w:r>
      <w:r w:rsidRPr="00C85F0F">
        <w:rPr>
          <w:rFonts w:ascii="Traditional Arabic" w:hAnsi="Traditional Arabic"/>
          <w:rtl/>
          <w:lang w:eastAsia="en-US"/>
        </w:rPr>
        <w:t>له، يقولون: تعذ</w:t>
      </w:r>
      <w:r w:rsidRPr="00C85F0F">
        <w:rPr>
          <w:rFonts w:ascii="Traditional Arabic" w:hAnsi="Traditional Arabic" w:hint="cs"/>
          <w:rtl/>
          <w:lang w:eastAsia="en-US"/>
        </w:rPr>
        <w:t>َّ</w:t>
      </w:r>
      <w:r w:rsidRPr="00C85F0F">
        <w:rPr>
          <w:rFonts w:ascii="Traditional Arabic" w:hAnsi="Traditional Arabic"/>
          <w:rtl/>
          <w:lang w:eastAsia="en-US"/>
        </w:rPr>
        <w:t>ر الأمر</w:t>
      </w:r>
      <w:r w:rsidRPr="00C85F0F">
        <w:rPr>
          <w:rFonts w:ascii="Traditional Arabic" w:hAnsi="Traditional Arabic" w:hint="cs"/>
          <w:rtl/>
          <w:lang w:eastAsia="en-US"/>
        </w:rPr>
        <w:t>ُ</w:t>
      </w:r>
      <w:r w:rsidRPr="00C85F0F">
        <w:rPr>
          <w:rFonts w:ascii="Traditional Arabic" w:hAnsi="Traditional Arabic"/>
          <w:rtl/>
          <w:lang w:eastAsia="en-US"/>
        </w:rPr>
        <w:t>، إذا لم يستق</w:t>
      </w:r>
      <w:r w:rsidRPr="00C85F0F">
        <w:rPr>
          <w:rFonts w:ascii="Traditional Arabic" w:hAnsi="Traditional Arabic" w:hint="cs"/>
          <w:rtl/>
          <w:lang w:eastAsia="en-US"/>
        </w:rPr>
        <w:t>ِ</w:t>
      </w:r>
      <w:r w:rsidRPr="00C85F0F">
        <w:rPr>
          <w:rFonts w:ascii="Traditional Arabic" w:hAnsi="Traditional Arabic"/>
          <w:rtl/>
          <w:lang w:eastAsia="en-US"/>
        </w:rPr>
        <w:t>م</w:t>
      </w:r>
      <w:r w:rsidRPr="00C85F0F">
        <w:rPr>
          <w:rFonts w:ascii="Traditional Arabic" w:hAnsi="Traditional Arabic" w:hint="cs"/>
          <w:rtl/>
          <w:lang w:eastAsia="en-US"/>
        </w:rPr>
        <w:t>)</w:t>
      </w:r>
      <w:r w:rsidRPr="00C85F0F">
        <w:rPr>
          <w:rStyle w:val="af1"/>
          <w:szCs w:val="32"/>
          <w:rtl/>
        </w:rPr>
        <w:t>(</w:t>
      </w:r>
      <w:r w:rsidRPr="00C85F0F">
        <w:rPr>
          <w:rStyle w:val="af1"/>
          <w:szCs w:val="32"/>
          <w:rtl/>
        </w:rPr>
        <w:footnoteReference w:id="1930"/>
      </w:r>
      <w:r w:rsidRPr="00C85F0F">
        <w:rPr>
          <w:rStyle w:val="af1"/>
          <w:szCs w:val="32"/>
          <w:rtl/>
        </w:rPr>
        <w:t>)</w:t>
      </w:r>
      <w:r w:rsidRPr="00C85F0F">
        <w:rPr>
          <w:rFonts w:ascii="Traditional Arabic" w:hAnsi="Traditional Arabic" w:hint="cs"/>
          <w:rtl/>
          <w:lang w:eastAsia="en-US"/>
        </w:rPr>
        <w:t>.</w:t>
      </w:r>
    </w:p>
    <w:p w:rsidR="006924F7" w:rsidRPr="00D564C0" w:rsidRDefault="00065E4B" w:rsidP="00597C20">
      <w:pPr>
        <w:pStyle w:val="53"/>
        <w:rPr>
          <w:rtl/>
        </w:rPr>
      </w:pPr>
      <w:r w:rsidRPr="00D564C0">
        <w:rPr>
          <w:rFonts w:hint="cs"/>
          <w:rtl/>
        </w:rPr>
        <w:t>ا</w:t>
      </w:r>
      <w:r w:rsidR="00D25F15" w:rsidRPr="00D564C0">
        <w:rPr>
          <w:rFonts w:hint="cs"/>
          <w:rtl/>
        </w:rPr>
        <w:t>لأصل في هذه القاعدة:</w:t>
      </w:r>
    </w:p>
    <w:p w:rsidR="00065E4B" w:rsidRPr="00C85F0F" w:rsidRDefault="00D25F15" w:rsidP="00597C20">
      <w:pPr>
        <w:spacing w:line="640" w:lineRule="exact"/>
        <w:ind w:firstLine="720"/>
        <w:rPr>
          <w:rFonts w:ascii="Traditional Arabic" w:hAnsi="Traditional Arabic"/>
          <w:color w:val="auto"/>
          <w:rtl/>
        </w:rPr>
      </w:pPr>
      <w:r w:rsidRPr="00C85F0F">
        <w:rPr>
          <w:rFonts w:ascii="Traditional Arabic" w:hAnsi="Traditional Arabic" w:hint="cs"/>
          <w:color w:val="auto"/>
          <w:rtl/>
        </w:rPr>
        <w:t>هو الأمر الأصلي الذي يقوم البدلُ مقامَه، وهو ال</w:t>
      </w:r>
      <w:r w:rsidR="00C83DCD">
        <w:rPr>
          <w:rFonts w:ascii="Traditional Arabic" w:hAnsi="Traditional Arabic" w:hint="cs"/>
          <w:color w:val="auto"/>
          <w:rtl/>
        </w:rPr>
        <w:t>ْ</w:t>
      </w:r>
      <w:r w:rsidRPr="00C85F0F">
        <w:rPr>
          <w:rFonts w:ascii="Traditional Arabic" w:hAnsi="Traditional Arabic" w:hint="cs"/>
          <w:color w:val="auto"/>
          <w:rtl/>
        </w:rPr>
        <w:t>م</w:t>
      </w:r>
      <w:r w:rsidR="00C83DCD">
        <w:rPr>
          <w:rFonts w:ascii="Traditional Arabic" w:hAnsi="Traditional Arabic" w:hint="cs"/>
          <w:color w:val="auto"/>
          <w:rtl/>
        </w:rPr>
        <w:t>ُ</w:t>
      </w:r>
      <w:r w:rsidRPr="00C85F0F">
        <w:rPr>
          <w:rFonts w:ascii="Traditional Arabic" w:hAnsi="Traditional Arabic" w:hint="cs"/>
          <w:color w:val="auto"/>
          <w:rtl/>
        </w:rPr>
        <w:t>ب</w:t>
      </w:r>
      <w:r w:rsidR="00C83DCD">
        <w:rPr>
          <w:rFonts w:ascii="Traditional Arabic" w:hAnsi="Traditional Arabic" w:hint="cs"/>
          <w:color w:val="auto"/>
          <w:rtl/>
        </w:rPr>
        <w:t>ْ</w:t>
      </w:r>
      <w:r w:rsidRPr="00C85F0F">
        <w:rPr>
          <w:rFonts w:ascii="Traditional Arabic" w:hAnsi="Traditional Arabic" w:hint="cs"/>
          <w:color w:val="auto"/>
          <w:rtl/>
        </w:rPr>
        <w:t>د</w:t>
      </w:r>
      <w:r w:rsidR="00C83DCD">
        <w:rPr>
          <w:rFonts w:ascii="Traditional Arabic" w:hAnsi="Traditional Arabic" w:hint="cs"/>
          <w:color w:val="auto"/>
          <w:rtl/>
        </w:rPr>
        <w:t>َ</w:t>
      </w:r>
      <w:r w:rsidRPr="00C85F0F">
        <w:rPr>
          <w:rFonts w:ascii="Traditional Arabic" w:hAnsi="Traditional Arabic" w:hint="cs"/>
          <w:color w:val="auto"/>
          <w:rtl/>
        </w:rPr>
        <w:t>ل منه، والله أعلم</w:t>
      </w:r>
      <w:r w:rsidRPr="00C85F0F">
        <w:rPr>
          <w:rStyle w:val="af1"/>
          <w:szCs w:val="32"/>
          <w:rtl/>
        </w:rPr>
        <w:t>(</w:t>
      </w:r>
      <w:r w:rsidRPr="00C85F0F">
        <w:rPr>
          <w:rStyle w:val="af1"/>
          <w:szCs w:val="32"/>
          <w:rtl/>
        </w:rPr>
        <w:footnoteReference w:id="1931"/>
      </w:r>
      <w:r w:rsidRPr="00C85F0F">
        <w:rPr>
          <w:rStyle w:val="af1"/>
          <w:szCs w:val="32"/>
          <w:rtl/>
        </w:rPr>
        <w:t>)</w:t>
      </w:r>
      <w:r w:rsidRPr="00C85F0F">
        <w:rPr>
          <w:rFonts w:ascii="Traditional Arabic" w:hAnsi="Traditional Arabic" w:hint="cs"/>
          <w:color w:val="auto"/>
          <w:rtl/>
        </w:rPr>
        <w:t>.</w:t>
      </w:r>
    </w:p>
    <w:p w:rsidR="006924F7" w:rsidRPr="00D564C0" w:rsidRDefault="00065E4B" w:rsidP="00597C20">
      <w:pPr>
        <w:pStyle w:val="53"/>
        <w:rPr>
          <w:rtl/>
        </w:rPr>
      </w:pPr>
      <w:r w:rsidRPr="00D564C0">
        <w:rPr>
          <w:rFonts w:hint="cs"/>
          <w:rtl/>
        </w:rPr>
        <w:lastRenderedPageBreak/>
        <w:t>ا</w:t>
      </w:r>
      <w:r w:rsidR="00D25F15" w:rsidRPr="00D564C0">
        <w:rPr>
          <w:rFonts w:hint="cs"/>
          <w:rtl/>
        </w:rPr>
        <w:t>لبَدَل</w:t>
      </w:r>
      <w:r w:rsidR="00AB0B9E">
        <w:rPr>
          <w:rtl/>
        </w:rPr>
        <w:fldChar w:fldCharType="begin"/>
      </w:r>
      <w:r w:rsidR="00D564C0">
        <w:instrText xml:space="preserve"> XE "</w:instrText>
      </w:r>
      <w:r w:rsidR="00D564C0" w:rsidRPr="00D564C0">
        <w:rPr>
          <w:rFonts w:hint="cs"/>
          <w:b w:val="0"/>
          <w:bCs w:val="0"/>
          <w:rtl/>
        </w:rPr>
        <w:instrText>البَدَل</w:instrText>
      </w:r>
      <w:r w:rsidR="00D564C0">
        <w:instrText xml:space="preserve">" </w:instrText>
      </w:r>
      <w:r w:rsidR="00D564C0" w:rsidRPr="00D564C0">
        <w:instrText>\fm</w:instrText>
      </w:r>
      <w:r w:rsidR="00AB0B9E">
        <w:rPr>
          <w:rtl/>
        </w:rPr>
        <w:fldChar w:fldCharType="end"/>
      </w:r>
      <w:r w:rsidR="00D25F15" w:rsidRPr="00D564C0">
        <w:rPr>
          <w:rFonts w:hint="cs"/>
          <w:rtl/>
        </w:rPr>
        <w:t xml:space="preserve"> لغة:</w:t>
      </w:r>
    </w:p>
    <w:p w:rsidR="00065E4B" w:rsidRPr="00C85F0F" w:rsidRDefault="00D25F15" w:rsidP="00597C20">
      <w:pPr>
        <w:spacing w:line="640" w:lineRule="exact"/>
        <w:ind w:firstLine="720"/>
        <w:rPr>
          <w:rFonts w:ascii="Traditional Arabic" w:hAnsi="Traditional Arabic"/>
          <w:rtl/>
          <w:lang w:eastAsia="en-US"/>
        </w:rPr>
      </w:pPr>
      <w:r w:rsidRPr="00C85F0F">
        <w:rPr>
          <w:rFonts w:ascii="Traditional Arabic" w:hAnsi="Traditional Arabic" w:hint="cs"/>
          <w:color w:val="auto"/>
          <w:rtl/>
        </w:rPr>
        <w:t xml:space="preserve">قال </w:t>
      </w:r>
      <w:r w:rsidR="00C83DCD">
        <w:rPr>
          <w:rFonts w:ascii="Traditional Arabic" w:hAnsi="Traditional Arabic" w:hint="cs"/>
          <w:color w:val="auto"/>
          <w:rtl/>
        </w:rPr>
        <w:t xml:space="preserve"> </w:t>
      </w:r>
      <w:r w:rsidRPr="00C85F0F">
        <w:rPr>
          <w:rFonts w:ascii="Traditional Arabic" w:hAnsi="Traditional Arabic" w:hint="cs"/>
          <w:color w:val="auto"/>
          <w:rtl/>
        </w:rPr>
        <w:t xml:space="preserve">ابن فارس </w:t>
      </w:r>
      <w:r w:rsidR="00C83DCD">
        <w:rPr>
          <w:rFonts w:ascii="Traditional Arabic" w:hAnsi="Traditional Arabic" w:hint="cs"/>
          <w:color w:val="auto"/>
          <w:rtl/>
        </w:rPr>
        <w:t>_</w:t>
      </w:r>
      <w:r w:rsidR="009A0575" w:rsidRPr="005D5694">
        <w:rPr>
          <w:rFonts w:ascii="Traditional Arabic" w:hAnsi="Traditional Arabic" w:cs="CTraditional Arabic" w:hint="cs"/>
          <w:rtl/>
        </w:rPr>
        <w:t>/</w:t>
      </w:r>
      <w:r w:rsidR="00C83DCD">
        <w:rPr>
          <w:rFonts w:ascii="Traditional Arabic" w:hAnsi="Traditional Arabic" w:hint="cs"/>
          <w:color w:val="auto"/>
          <w:rtl/>
        </w:rPr>
        <w:t>_</w:t>
      </w:r>
      <w:r w:rsidRPr="00C85F0F">
        <w:rPr>
          <w:rFonts w:ascii="Traditional Arabic" w:hAnsi="Traditional Arabic" w:hint="cs"/>
          <w:color w:val="auto"/>
          <w:rtl/>
        </w:rPr>
        <w:t>: (</w:t>
      </w:r>
      <w:r w:rsidRPr="00C85F0F">
        <w:rPr>
          <w:rFonts w:ascii="Traditional Arabic" w:hAnsi="Traditional Arabic"/>
          <w:rtl/>
          <w:lang w:eastAsia="en-US"/>
        </w:rPr>
        <w:t>الباء والدال واللام أصل واحد، وهو قيام الشيء م</w:t>
      </w:r>
      <w:r w:rsidRPr="00C85F0F">
        <w:rPr>
          <w:rFonts w:ascii="Traditional Arabic" w:hAnsi="Traditional Arabic" w:hint="cs"/>
          <w:rtl/>
          <w:lang w:eastAsia="en-US"/>
        </w:rPr>
        <w:t>َ</w:t>
      </w:r>
      <w:r w:rsidRPr="00C85F0F">
        <w:rPr>
          <w:rFonts w:ascii="Traditional Arabic" w:hAnsi="Traditional Arabic"/>
          <w:rtl/>
          <w:lang w:eastAsia="en-US"/>
        </w:rPr>
        <w:t>قام</w:t>
      </w:r>
      <w:r w:rsidRPr="00C85F0F">
        <w:rPr>
          <w:rFonts w:ascii="Traditional Arabic" w:hAnsi="Traditional Arabic" w:hint="cs"/>
          <w:rtl/>
          <w:lang w:eastAsia="en-US"/>
        </w:rPr>
        <w:t>َ</w:t>
      </w:r>
      <w:r w:rsidRPr="00C85F0F">
        <w:rPr>
          <w:rFonts w:ascii="Traditional Arabic" w:hAnsi="Traditional Arabic"/>
          <w:rtl/>
          <w:lang w:eastAsia="en-US"/>
        </w:rPr>
        <w:t xml:space="preserve"> الشيء الذاه</w:t>
      </w:r>
      <w:r w:rsidRPr="00C85F0F">
        <w:rPr>
          <w:rFonts w:ascii="Traditional Arabic" w:hAnsi="Traditional Arabic" w:hint="cs"/>
          <w:rtl/>
          <w:lang w:eastAsia="en-US"/>
        </w:rPr>
        <w:t>ِ</w:t>
      </w:r>
      <w:r w:rsidRPr="00C85F0F">
        <w:rPr>
          <w:rFonts w:ascii="Traditional Arabic" w:hAnsi="Traditional Arabic"/>
          <w:rtl/>
          <w:lang w:eastAsia="en-US"/>
        </w:rPr>
        <w:t>ب. يقال: هذا بدل</w:t>
      </w:r>
      <w:r w:rsidRPr="00C85F0F">
        <w:rPr>
          <w:rFonts w:ascii="Traditional Arabic" w:hAnsi="Traditional Arabic" w:hint="cs"/>
          <w:rtl/>
          <w:lang w:eastAsia="en-US"/>
        </w:rPr>
        <w:t>ُ</w:t>
      </w:r>
      <w:r w:rsidRPr="00C85F0F">
        <w:rPr>
          <w:rFonts w:ascii="Traditional Arabic" w:hAnsi="Traditional Arabic"/>
          <w:rtl/>
          <w:lang w:eastAsia="en-US"/>
        </w:rPr>
        <w:t xml:space="preserve"> الشيء وب</w:t>
      </w:r>
      <w:r w:rsidRPr="00C85F0F">
        <w:rPr>
          <w:rFonts w:ascii="Traditional Arabic" w:hAnsi="Traditional Arabic" w:hint="cs"/>
          <w:rtl/>
          <w:lang w:eastAsia="en-US"/>
        </w:rPr>
        <w:t>َ</w:t>
      </w:r>
      <w:r w:rsidRPr="00C85F0F">
        <w:rPr>
          <w:rFonts w:ascii="Traditional Arabic" w:hAnsi="Traditional Arabic"/>
          <w:rtl/>
          <w:lang w:eastAsia="en-US"/>
        </w:rPr>
        <w:t>ديل</w:t>
      </w:r>
      <w:r w:rsidRPr="00C85F0F">
        <w:rPr>
          <w:rFonts w:ascii="Traditional Arabic" w:hAnsi="Traditional Arabic" w:hint="cs"/>
          <w:rtl/>
          <w:lang w:eastAsia="en-US"/>
        </w:rPr>
        <w:t>ُ</w:t>
      </w:r>
      <w:r w:rsidRPr="00C85F0F">
        <w:rPr>
          <w:rFonts w:ascii="Traditional Arabic" w:hAnsi="Traditional Arabic"/>
          <w:rtl/>
          <w:lang w:eastAsia="en-US"/>
        </w:rPr>
        <w:t>ه.</w:t>
      </w:r>
      <w:r w:rsidRPr="00C85F0F">
        <w:rPr>
          <w:rFonts w:ascii="Traditional Arabic" w:hAnsi="Traditional Arabic" w:hint="cs"/>
          <w:rtl/>
          <w:lang w:eastAsia="en-US"/>
        </w:rPr>
        <w:t>..</w:t>
      </w:r>
      <w:r w:rsidRPr="00C85F0F">
        <w:rPr>
          <w:rFonts w:ascii="Traditional Arabic" w:hAnsi="Traditional Arabic"/>
          <w:rtl/>
          <w:lang w:eastAsia="en-US"/>
        </w:rPr>
        <w:t xml:space="preserve"> وأ</w:t>
      </w:r>
      <w:r w:rsidRPr="00C85F0F">
        <w:rPr>
          <w:rFonts w:ascii="Traditional Arabic" w:hAnsi="Traditional Arabic" w:hint="cs"/>
          <w:rtl/>
          <w:lang w:eastAsia="en-US"/>
        </w:rPr>
        <w:t>َ</w:t>
      </w:r>
      <w:r w:rsidRPr="00C85F0F">
        <w:rPr>
          <w:rFonts w:ascii="Traditional Arabic" w:hAnsi="Traditional Arabic"/>
          <w:rtl/>
          <w:lang w:eastAsia="en-US"/>
        </w:rPr>
        <w:t>ب</w:t>
      </w:r>
      <w:r w:rsidRPr="00C85F0F">
        <w:rPr>
          <w:rFonts w:ascii="Traditional Arabic" w:hAnsi="Traditional Arabic" w:hint="cs"/>
          <w:rtl/>
          <w:lang w:eastAsia="en-US"/>
        </w:rPr>
        <w:t>ْ</w:t>
      </w:r>
      <w:r w:rsidRPr="00C85F0F">
        <w:rPr>
          <w:rFonts w:ascii="Traditional Arabic" w:hAnsi="Traditional Arabic"/>
          <w:rtl/>
          <w:lang w:eastAsia="en-US"/>
        </w:rPr>
        <w:t>د</w:t>
      </w:r>
      <w:r w:rsidRPr="00C85F0F">
        <w:rPr>
          <w:rFonts w:ascii="Traditional Arabic" w:hAnsi="Traditional Arabic" w:hint="cs"/>
          <w:rtl/>
          <w:lang w:eastAsia="en-US"/>
        </w:rPr>
        <w:t>َ</w:t>
      </w:r>
      <w:r w:rsidRPr="00C85F0F">
        <w:rPr>
          <w:rFonts w:ascii="Traditional Arabic" w:hAnsi="Traditional Arabic"/>
          <w:rtl/>
          <w:lang w:eastAsia="en-US"/>
        </w:rPr>
        <w:t>ل</w:t>
      </w:r>
      <w:r w:rsidRPr="00C85F0F">
        <w:rPr>
          <w:rFonts w:ascii="Traditional Arabic" w:hAnsi="Traditional Arabic" w:hint="cs"/>
          <w:rtl/>
          <w:lang w:eastAsia="en-US"/>
        </w:rPr>
        <w:t>ْ</w:t>
      </w:r>
      <w:r w:rsidRPr="00C85F0F">
        <w:rPr>
          <w:rFonts w:ascii="Traditional Arabic" w:hAnsi="Traditional Arabic"/>
          <w:rtl/>
          <w:lang w:eastAsia="en-US"/>
        </w:rPr>
        <w:t>ت</w:t>
      </w:r>
      <w:r w:rsidRPr="00C85F0F">
        <w:rPr>
          <w:rFonts w:ascii="Traditional Arabic" w:hAnsi="Traditional Arabic" w:hint="cs"/>
          <w:rtl/>
          <w:lang w:eastAsia="en-US"/>
        </w:rPr>
        <w:t>ُ</w:t>
      </w:r>
      <w:r w:rsidRPr="00C85F0F">
        <w:rPr>
          <w:rFonts w:ascii="Traditional Arabic" w:hAnsi="Traditional Arabic"/>
          <w:rtl/>
          <w:lang w:eastAsia="en-US"/>
        </w:rPr>
        <w:t>ه: إذا أتيت</w:t>
      </w:r>
      <w:r w:rsidRPr="00C85F0F">
        <w:rPr>
          <w:rFonts w:ascii="Traditional Arabic" w:hAnsi="Traditional Arabic" w:hint="cs"/>
          <w:rtl/>
          <w:lang w:eastAsia="en-US"/>
        </w:rPr>
        <w:t>َ</w:t>
      </w:r>
      <w:r w:rsidRPr="00C85F0F">
        <w:rPr>
          <w:rFonts w:ascii="Traditional Arabic" w:hAnsi="Traditional Arabic"/>
          <w:rtl/>
          <w:lang w:eastAsia="en-US"/>
        </w:rPr>
        <w:t xml:space="preserve"> له ب</w:t>
      </w:r>
      <w:r w:rsidRPr="00C85F0F">
        <w:rPr>
          <w:rFonts w:ascii="Traditional Arabic" w:hAnsi="Traditional Arabic" w:hint="cs"/>
          <w:rtl/>
          <w:lang w:eastAsia="en-US"/>
        </w:rPr>
        <w:t>ِ</w:t>
      </w:r>
      <w:r w:rsidRPr="00C85F0F">
        <w:rPr>
          <w:rFonts w:ascii="Traditional Arabic" w:hAnsi="Traditional Arabic"/>
          <w:rtl/>
          <w:lang w:eastAsia="en-US"/>
        </w:rPr>
        <w:t>ب</w:t>
      </w:r>
      <w:r w:rsidRPr="00C85F0F">
        <w:rPr>
          <w:rFonts w:ascii="Traditional Arabic" w:hAnsi="Traditional Arabic" w:hint="cs"/>
          <w:rtl/>
          <w:lang w:eastAsia="en-US"/>
        </w:rPr>
        <w:t>َ</w:t>
      </w:r>
      <w:r w:rsidRPr="00C85F0F">
        <w:rPr>
          <w:rFonts w:ascii="Traditional Arabic" w:hAnsi="Traditional Arabic"/>
          <w:rtl/>
          <w:lang w:eastAsia="en-US"/>
        </w:rPr>
        <w:t>دل</w:t>
      </w:r>
      <w:r w:rsidRPr="00C85F0F">
        <w:rPr>
          <w:rFonts w:ascii="Traditional Arabic" w:hAnsi="Traditional Arabic" w:hint="cs"/>
          <w:rtl/>
          <w:lang w:eastAsia="en-US"/>
        </w:rPr>
        <w:t>)</w:t>
      </w:r>
      <w:r w:rsidRPr="00C85F0F">
        <w:rPr>
          <w:rStyle w:val="af1"/>
          <w:rFonts w:ascii="Tahoma" w:hAnsi="Tahoma"/>
          <w:szCs w:val="32"/>
          <w:rtl/>
        </w:rPr>
        <w:t>(</w:t>
      </w:r>
      <w:r w:rsidRPr="00C85F0F">
        <w:rPr>
          <w:rStyle w:val="af1"/>
          <w:rFonts w:ascii="Tahoma" w:hAnsi="Tahoma"/>
          <w:szCs w:val="32"/>
          <w:rtl/>
        </w:rPr>
        <w:footnoteReference w:id="1932"/>
      </w:r>
      <w:r w:rsidRPr="00C85F0F">
        <w:rPr>
          <w:rStyle w:val="af1"/>
          <w:rFonts w:ascii="Tahoma" w:hAnsi="Tahoma"/>
          <w:szCs w:val="32"/>
          <w:rtl/>
        </w:rPr>
        <w:t>)</w:t>
      </w:r>
      <w:r w:rsidRPr="00C85F0F">
        <w:rPr>
          <w:rFonts w:ascii="Traditional Arabic" w:hAnsi="Traditional Arabic" w:hint="cs"/>
          <w:rtl/>
          <w:lang w:eastAsia="en-US"/>
        </w:rPr>
        <w:t>.</w:t>
      </w:r>
    </w:p>
    <w:p w:rsidR="006924F7" w:rsidRPr="00D564C0" w:rsidRDefault="00065E4B" w:rsidP="00597C20">
      <w:pPr>
        <w:pStyle w:val="53"/>
        <w:rPr>
          <w:rtl/>
        </w:rPr>
      </w:pPr>
      <w:r w:rsidRPr="00D564C0">
        <w:rPr>
          <w:rFonts w:hint="cs"/>
          <w:rtl/>
        </w:rPr>
        <w:t>ا</w:t>
      </w:r>
      <w:r w:rsidR="00D25F15" w:rsidRPr="00D564C0">
        <w:rPr>
          <w:rFonts w:hint="cs"/>
          <w:rtl/>
        </w:rPr>
        <w:t>لبدل اصطلاحا:</w:t>
      </w:r>
    </w:p>
    <w:p w:rsidR="00D25F15" w:rsidRPr="00C85F0F" w:rsidRDefault="00D25F15" w:rsidP="00597C20">
      <w:pPr>
        <w:spacing w:line="640" w:lineRule="exact"/>
        <w:rPr>
          <w:rFonts w:ascii="Traditional Arabic" w:hAnsi="Traditional Arabic"/>
          <w:color w:val="auto"/>
          <w:rtl/>
        </w:rPr>
      </w:pPr>
      <w:r w:rsidRPr="00C85F0F">
        <w:rPr>
          <w:rFonts w:ascii="Traditional Arabic" w:hAnsi="Traditional Arabic"/>
          <w:rtl/>
          <w:lang w:eastAsia="en-US"/>
        </w:rPr>
        <w:t>البدل هو الشيء الموضوع مكان</w:t>
      </w:r>
      <w:r w:rsidRPr="00C85F0F">
        <w:rPr>
          <w:rFonts w:ascii="Traditional Arabic" w:hAnsi="Traditional Arabic" w:hint="cs"/>
          <w:rtl/>
          <w:lang w:eastAsia="en-US"/>
        </w:rPr>
        <w:t>َ</w:t>
      </w:r>
      <w:r w:rsidRPr="00C85F0F">
        <w:rPr>
          <w:rFonts w:ascii="Traditional Arabic" w:hAnsi="Traditional Arabic"/>
          <w:rtl/>
          <w:lang w:eastAsia="en-US"/>
        </w:rPr>
        <w:t xml:space="preserve"> غيره ل</w:t>
      </w:r>
      <w:r w:rsidRPr="00C85F0F">
        <w:rPr>
          <w:rFonts w:ascii="Traditional Arabic" w:hAnsi="Traditional Arabic" w:hint="cs"/>
          <w:rtl/>
          <w:lang w:eastAsia="en-US"/>
        </w:rPr>
        <w:t>ِ</w:t>
      </w:r>
      <w:r w:rsidRPr="00C85F0F">
        <w:rPr>
          <w:rFonts w:ascii="Traditional Arabic" w:hAnsi="Traditional Arabic"/>
          <w:rtl/>
          <w:lang w:eastAsia="en-US"/>
        </w:rPr>
        <w:t>ي</w:t>
      </w:r>
      <w:r w:rsidRPr="00C85F0F">
        <w:rPr>
          <w:rFonts w:ascii="Traditional Arabic" w:hAnsi="Traditional Arabic" w:hint="cs"/>
          <w:rtl/>
          <w:lang w:eastAsia="en-US"/>
        </w:rPr>
        <w:t>ُ</w:t>
      </w:r>
      <w:r w:rsidRPr="00C85F0F">
        <w:rPr>
          <w:rFonts w:ascii="Traditional Arabic" w:hAnsi="Traditional Arabic"/>
          <w:rtl/>
          <w:lang w:eastAsia="en-US"/>
        </w:rPr>
        <w:t>نتف</w:t>
      </w:r>
      <w:r w:rsidRPr="00C85F0F">
        <w:rPr>
          <w:rFonts w:ascii="Traditional Arabic" w:hAnsi="Traditional Arabic" w:hint="cs"/>
          <w:rtl/>
          <w:lang w:eastAsia="en-US"/>
        </w:rPr>
        <w:t>َ</w:t>
      </w:r>
      <w:r w:rsidRPr="00C85F0F">
        <w:rPr>
          <w:rFonts w:ascii="Traditional Arabic" w:hAnsi="Traditional Arabic"/>
          <w:rtl/>
          <w:lang w:eastAsia="en-US"/>
        </w:rPr>
        <w:t>ع به</w:t>
      </w:r>
      <w:r w:rsidRPr="00C85F0F">
        <w:rPr>
          <w:rStyle w:val="af1"/>
          <w:rFonts w:ascii="Tahoma" w:hAnsi="Tahoma"/>
          <w:szCs w:val="32"/>
          <w:rtl/>
        </w:rPr>
        <w:t>(</w:t>
      </w:r>
      <w:r w:rsidRPr="00C85F0F">
        <w:rPr>
          <w:rStyle w:val="af1"/>
          <w:rFonts w:ascii="Tahoma" w:hAnsi="Tahoma"/>
          <w:szCs w:val="32"/>
          <w:rtl/>
        </w:rPr>
        <w:footnoteReference w:id="1933"/>
      </w:r>
      <w:r w:rsidRPr="00C85F0F">
        <w:rPr>
          <w:rStyle w:val="af1"/>
          <w:rFonts w:ascii="Tahoma" w:hAnsi="Tahoma"/>
          <w:szCs w:val="32"/>
          <w:rtl/>
        </w:rPr>
        <w:t>)</w:t>
      </w:r>
      <w:r w:rsidRPr="00C85F0F">
        <w:rPr>
          <w:rFonts w:ascii="Traditional Arabic" w:hAnsi="Traditional Arabic" w:hint="cs"/>
          <w:color w:val="auto"/>
          <w:rtl/>
        </w:rPr>
        <w:t>.</w:t>
      </w:r>
    </w:p>
    <w:p w:rsidR="00065E4B" w:rsidRPr="00D564C0" w:rsidRDefault="00D25F15" w:rsidP="00597C20">
      <w:pPr>
        <w:pStyle w:val="53"/>
        <w:rPr>
          <w:rtl/>
        </w:rPr>
      </w:pPr>
      <w:r w:rsidRPr="00D564C0">
        <w:rPr>
          <w:rFonts w:hint="cs"/>
          <w:rtl/>
        </w:rPr>
        <w:t>معنى القاعدة إجمالا:</w:t>
      </w:r>
    </w:p>
    <w:p w:rsidR="00065E4B" w:rsidRPr="00C85F0F" w:rsidRDefault="00065E4B" w:rsidP="00597C20">
      <w:pPr>
        <w:spacing w:line="640" w:lineRule="exact"/>
        <w:rPr>
          <w:rFonts w:ascii="Traditional Arabic" w:hAnsi="Traditional Arabic"/>
          <w:color w:val="auto"/>
          <w:rtl/>
        </w:rPr>
      </w:pPr>
      <w:r w:rsidRPr="00C85F0F">
        <w:rPr>
          <w:rFonts w:ascii="Traditional Arabic" w:hAnsi="Traditional Arabic" w:hint="cs"/>
          <w:color w:val="auto"/>
          <w:rtl/>
        </w:rPr>
        <w:t>ه</w:t>
      </w:r>
      <w:r w:rsidR="00D25F15" w:rsidRPr="00C85F0F">
        <w:rPr>
          <w:rFonts w:ascii="Traditional Arabic" w:hAnsi="Traditional Arabic" w:hint="cs"/>
          <w:color w:val="auto"/>
          <w:rtl/>
        </w:rPr>
        <w:t>ذه القاعدة تعدُّ قَيداً لقاعدة</w:t>
      </w:r>
      <w:r w:rsidR="00C83DCD">
        <w:rPr>
          <w:rFonts w:ascii="Traditional Arabic" w:hAnsi="Traditional Arabic" w:hint="cs"/>
          <w:color w:val="auto"/>
          <w:rtl/>
        </w:rPr>
        <w:t>: "</w:t>
      </w:r>
      <w:r w:rsidR="00D25F15" w:rsidRPr="00C85F0F">
        <w:rPr>
          <w:rFonts w:ascii="Traditional Arabic" w:hAnsi="Traditional Arabic" w:hint="cs"/>
          <w:color w:val="auto"/>
          <w:rtl/>
        </w:rPr>
        <w:t>البدل له حكم المبدل"</w:t>
      </w:r>
      <w:r w:rsidR="00D25F15" w:rsidRPr="00C85F0F">
        <w:rPr>
          <w:rStyle w:val="af1"/>
          <w:rFonts w:ascii="Tahoma" w:hAnsi="Tahoma"/>
          <w:szCs w:val="32"/>
          <w:rtl/>
        </w:rPr>
        <w:t>(</w:t>
      </w:r>
      <w:r w:rsidR="00D25F15" w:rsidRPr="00C85F0F">
        <w:rPr>
          <w:rStyle w:val="af1"/>
          <w:rFonts w:ascii="Tahoma" w:hAnsi="Tahoma"/>
          <w:szCs w:val="32"/>
          <w:rtl/>
        </w:rPr>
        <w:footnoteReference w:id="1934"/>
      </w:r>
      <w:r w:rsidR="00D25F15" w:rsidRPr="00C85F0F">
        <w:rPr>
          <w:rStyle w:val="af1"/>
          <w:rFonts w:ascii="Tahoma" w:hAnsi="Tahoma"/>
          <w:szCs w:val="32"/>
          <w:rtl/>
        </w:rPr>
        <w:t>)</w:t>
      </w:r>
      <w:r w:rsidR="00D25F15" w:rsidRPr="00C85F0F">
        <w:rPr>
          <w:rFonts w:ascii="Traditional Arabic" w:hAnsi="Traditional Arabic" w:hint="cs"/>
          <w:color w:val="auto"/>
          <w:rtl/>
        </w:rPr>
        <w:t>؛ كما أنها من القواعد المندرجة تحت قاعدة "المشقة تجلب التيسير"</w:t>
      </w:r>
      <w:r w:rsidR="00D25F15" w:rsidRPr="00C85F0F">
        <w:rPr>
          <w:rStyle w:val="af1"/>
          <w:szCs w:val="32"/>
          <w:rtl/>
        </w:rPr>
        <w:t>(</w:t>
      </w:r>
      <w:r w:rsidR="00D25F15" w:rsidRPr="00C85F0F">
        <w:rPr>
          <w:rStyle w:val="af1"/>
          <w:szCs w:val="32"/>
          <w:rtl/>
        </w:rPr>
        <w:footnoteReference w:id="1935"/>
      </w:r>
      <w:r w:rsidR="00D25F15" w:rsidRPr="00C85F0F">
        <w:rPr>
          <w:rStyle w:val="af1"/>
          <w:szCs w:val="32"/>
          <w:rtl/>
        </w:rPr>
        <w:t>)</w:t>
      </w:r>
      <w:r w:rsidR="00D25F15" w:rsidRPr="00C85F0F">
        <w:rPr>
          <w:rFonts w:ascii="Traditional Arabic" w:hAnsi="Traditional Arabic" w:hint="cs"/>
          <w:color w:val="auto"/>
          <w:rtl/>
        </w:rPr>
        <w:t>؛ لأن الإتيان بالبدل عند تعذُّر الأصل رُخصة</w:t>
      </w:r>
      <w:r w:rsidR="00D25F15" w:rsidRPr="00C85F0F">
        <w:rPr>
          <w:rStyle w:val="af1"/>
          <w:szCs w:val="32"/>
          <w:rtl/>
        </w:rPr>
        <w:t>(</w:t>
      </w:r>
      <w:r w:rsidR="00D25F15" w:rsidRPr="00C85F0F">
        <w:rPr>
          <w:rStyle w:val="af1"/>
          <w:szCs w:val="32"/>
          <w:rtl/>
        </w:rPr>
        <w:footnoteReference w:id="1936"/>
      </w:r>
      <w:r w:rsidR="00D25F15" w:rsidRPr="00C85F0F">
        <w:rPr>
          <w:rStyle w:val="af1"/>
          <w:szCs w:val="32"/>
          <w:rtl/>
        </w:rPr>
        <w:t>)</w:t>
      </w:r>
      <w:r w:rsidR="00D25F15" w:rsidRPr="00C85F0F">
        <w:rPr>
          <w:rFonts w:ascii="Traditional Arabic" w:hAnsi="Traditional Arabic" w:hint="cs"/>
          <w:color w:val="auto"/>
          <w:rtl/>
        </w:rPr>
        <w:t>.</w:t>
      </w:r>
    </w:p>
    <w:p w:rsidR="00D25F15" w:rsidRPr="00C85F0F" w:rsidRDefault="00065E4B" w:rsidP="00597C20">
      <w:pPr>
        <w:spacing w:line="640" w:lineRule="exact"/>
        <w:rPr>
          <w:rFonts w:ascii="Traditional Arabic" w:hAnsi="Traditional Arabic"/>
          <w:color w:val="auto"/>
          <w:rtl/>
        </w:rPr>
      </w:pPr>
      <w:r w:rsidRPr="00C85F0F">
        <w:rPr>
          <w:rFonts w:ascii="Traditional Arabic" w:hAnsi="Traditional Arabic" w:hint="cs"/>
          <w:color w:val="auto"/>
          <w:rtl/>
        </w:rPr>
        <w:t>و</w:t>
      </w:r>
      <w:r w:rsidR="00D25F15" w:rsidRPr="00C85F0F">
        <w:rPr>
          <w:rFonts w:ascii="Traditional Arabic" w:hAnsi="Traditional Arabic" w:hint="cs"/>
          <w:color w:val="auto"/>
          <w:rtl/>
        </w:rPr>
        <w:t>أفادت هذه ا</w:t>
      </w:r>
      <w:r w:rsidR="00C83DCD">
        <w:rPr>
          <w:rFonts w:ascii="Traditional Arabic" w:hAnsi="Traditional Arabic" w:hint="cs"/>
          <w:color w:val="auto"/>
          <w:rtl/>
        </w:rPr>
        <w:t>لقاعدة أن البدل يقوم مقام المبدل منه بشرط العجز عن البدل</w:t>
      </w:r>
      <w:r w:rsidR="00D25F15" w:rsidRPr="00C85F0F">
        <w:rPr>
          <w:rFonts w:ascii="Traditional Arabic" w:hAnsi="Traditional Arabic" w:hint="cs"/>
          <w:color w:val="auto"/>
          <w:rtl/>
        </w:rPr>
        <w:t>، أما مع القدرة عليه فلا يصار إلى البدل؛ لأن الأصل والبدل لا يجتمعان</w:t>
      </w:r>
      <w:r w:rsidR="00D25F15" w:rsidRPr="00C85F0F">
        <w:rPr>
          <w:rStyle w:val="af1"/>
          <w:rFonts w:ascii="Tahoma" w:hAnsi="Tahoma"/>
          <w:szCs w:val="32"/>
          <w:rtl/>
        </w:rPr>
        <w:t>(</w:t>
      </w:r>
      <w:r w:rsidR="00D25F15" w:rsidRPr="00C85F0F">
        <w:rPr>
          <w:rStyle w:val="af1"/>
          <w:rFonts w:ascii="Tahoma" w:hAnsi="Tahoma"/>
          <w:szCs w:val="32"/>
          <w:rtl/>
        </w:rPr>
        <w:footnoteReference w:id="1937"/>
      </w:r>
      <w:r w:rsidR="00D25F15" w:rsidRPr="00C85F0F">
        <w:rPr>
          <w:rStyle w:val="af1"/>
          <w:rFonts w:ascii="Tahoma" w:hAnsi="Tahoma"/>
          <w:szCs w:val="32"/>
          <w:rtl/>
        </w:rPr>
        <w:t>)</w:t>
      </w:r>
      <w:r w:rsidR="00D25F15" w:rsidRPr="00C85F0F">
        <w:rPr>
          <w:rFonts w:ascii="Traditional Arabic" w:hAnsi="Traditional Arabic" w:hint="cs"/>
          <w:color w:val="auto"/>
          <w:rtl/>
        </w:rPr>
        <w:t>.</w:t>
      </w:r>
    </w:p>
    <w:p w:rsidR="00065E4B" w:rsidRPr="00C85F0F" w:rsidRDefault="00C83DCD" w:rsidP="00A8347C">
      <w:pPr>
        <w:pStyle w:val="aff3"/>
        <w:rPr>
          <w:rtl/>
        </w:rPr>
      </w:pPr>
      <w:bookmarkStart w:id="409" w:name="_Toc334046598"/>
      <w:r>
        <w:rPr>
          <w:rFonts w:hint="cs"/>
          <w:rtl/>
        </w:rPr>
        <w:lastRenderedPageBreak/>
        <w:t xml:space="preserve">                                       </w:t>
      </w:r>
      <w:r w:rsidR="00D25F15" w:rsidRPr="00C85F0F">
        <w:rPr>
          <w:rFonts w:hint="cs"/>
          <w:rtl/>
        </w:rPr>
        <w:t>المطلب الثالث</w:t>
      </w:r>
      <w:r w:rsidR="00D25F15" w:rsidRPr="00C85F0F">
        <w:rPr>
          <w:rFonts w:hint="eastAsia"/>
          <w:rtl/>
        </w:rPr>
        <w:t> :</w:t>
      </w:r>
      <w:r w:rsidR="00D25F15" w:rsidRPr="00C85F0F">
        <w:rPr>
          <w:rFonts w:hint="cs"/>
          <w:rtl/>
        </w:rPr>
        <w:br/>
      </w:r>
      <w:r>
        <w:rPr>
          <w:rFonts w:hint="cs"/>
          <w:rtl/>
        </w:rPr>
        <w:t xml:space="preserve">         </w:t>
      </w:r>
      <w:r w:rsidR="00B714D0">
        <w:rPr>
          <w:rFonts w:hint="cs"/>
          <w:rtl/>
        </w:rPr>
        <w:t xml:space="preserve">                               </w:t>
      </w:r>
      <w:r>
        <w:rPr>
          <w:rFonts w:hint="cs"/>
          <w:rtl/>
        </w:rPr>
        <w:t xml:space="preserve"> </w:t>
      </w:r>
      <w:r w:rsidR="00D25F15" w:rsidRPr="00C85F0F">
        <w:rPr>
          <w:rFonts w:hint="cs"/>
          <w:rtl/>
        </w:rPr>
        <w:t>أدلة القاعدة</w:t>
      </w:r>
      <w:bookmarkEnd w:id="409"/>
    </w:p>
    <w:p w:rsidR="00D25F15" w:rsidRPr="00C85F0F" w:rsidRDefault="00065E4B" w:rsidP="00597C20">
      <w:pPr>
        <w:autoSpaceDE w:val="0"/>
        <w:autoSpaceDN w:val="0"/>
        <w:adjustRightInd w:val="0"/>
        <w:ind w:firstLine="720"/>
        <w:rPr>
          <w:rFonts w:ascii="Traditional Arabic" w:hAnsi="Traditional Arabic"/>
          <w:rtl/>
          <w:lang w:eastAsia="en-US"/>
        </w:rPr>
      </w:pPr>
      <w:r w:rsidRPr="00C85F0F">
        <w:rPr>
          <w:rFonts w:ascii="Traditional Arabic" w:hAnsi="Traditional Arabic"/>
          <w:rtl/>
          <w:lang w:eastAsia="en-US"/>
        </w:rPr>
        <w:t>ي</w:t>
      </w:r>
      <w:r w:rsidR="00D25F15" w:rsidRPr="00C85F0F">
        <w:rPr>
          <w:rFonts w:ascii="Traditional Arabic" w:hAnsi="Traditional Arabic"/>
          <w:rtl/>
          <w:lang w:eastAsia="en-US"/>
        </w:rPr>
        <w:t>دل لهذه القاعدة عدد من الآيات والأحاديث التي فيها النص</w:t>
      </w:r>
      <w:r w:rsidR="00D25F15" w:rsidRPr="00C85F0F">
        <w:rPr>
          <w:rFonts w:ascii="Traditional Arabic" w:hAnsi="Traditional Arabic" w:hint="cs"/>
          <w:rtl/>
          <w:lang w:eastAsia="en-US"/>
        </w:rPr>
        <w:t>ُّ</w:t>
      </w:r>
      <w:r w:rsidR="00D25F15" w:rsidRPr="00C85F0F">
        <w:rPr>
          <w:rFonts w:ascii="Traditional Arabic" w:hAnsi="Traditional Arabic"/>
          <w:rtl/>
          <w:lang w:eastAsia="en-US"/>
        </w:rPr>
        <w:t xml:space="preserve"> على أحكام شُرعت وشرع بدل</w:t>
      </w:r>
      <w:r w:rsidR="00D25F15" w:rsidRPr="00C85F0F">
        <w:rPr>
          <w:rFonts w:ascii="Traditional Arabic" w:hAnsi="Traditional Arabic" w:hint="cs"/>
          <w:rtl/>
          <w:lang w:eastAsia="en-US"/>
        </w:rPr>
        <w:t>ٌ</w:t>
      </w:r>
      <w:r w:rsidR="00D25F15" w:rsidRPr="00C85F0F">
        <w:rPr>
          <w:rFonts w:ascii="Traditional Arabic" w:hAnsi="Traditional Arabic"/>
          <w:rtl/>
          <w:lang w:eastAsia="en-US"/>
        </w:rPr>
        <w:t xml:space="preserve"> عنها عند تعذ</w:t>
      </w:r>
      <w:r w:rsidR="00D25F15" w:rsidRPr="00C85F0F">
        <w:rPr>
          <w:rFonts w:ascii="Traditional Arabic" w:hAnsi="Traditional Arabic" w:hint="cs"/>
          <w:rtl/>
          <w:lang w:eastAsia="en-US"/>
        </w:rPr>
        <w:t>ُّ</w:t>
      </w:r>
      <w:r w:rsidR="00D25F15" w:rsidRPr="00C85F0F">
        <w:rPr>
          <w:rFonts w:ascii="Traditional Arabic" w:hAnsi="Traditional Arabic"/>
          <w:rtl/>
          <w:lang w:eastAsia="en-US"/>
        </w:rPr>
        <w:t>ره، وهي كثيرة جدا</w:t>
      </w:r>
      <w:r w:rsidR="00D25F15" w:rsidRPr="00C85F0F">
        <w:rPr>
          <w:rFonts w:ascii="Traditional Arabic" w:hAnsi="Traditional Arabic" w:hint="cs"/>
          <w:rtl/>
          <w:lang w:eastAsia="en-US"/>
        </w:rPr>
        <w:t>،</w:t>
      </w:r>
      <w:r w:rsidR="00C83DCD">
        <w:rPr>
          <w:rFonts w:ascii="Traditional Arabic" w:hAnsi="Traditional Arabic" w:hint="cs"/>
          <w:rtl/>
          <w:lang w:eastAsia="en-US"/>
        </w:rPr>
        <w:t xml:space="preserve"> </w:t>
      </w:r>
      <w:r w:rsidR="00D25F15" w:rsidRPr="00C85F0F">
        <w:rPr>
          <w:rFonts w:ascii="Traditional Arabic" w:hAnsi="Traditional Arabic" w:hint="cs"/>
          <w:rtl/>
          <w:lang w:eastAsia="en-US"/>
        </w:rPr>
        <w:t xml:space="preserve">أذكر نماذج </w:t>
      </w:r>
      <w:r w:rsidR="00D25F15" w:rsidRPr="00C85F0F">
        <w:rPr>
          <w:rFonts w:ascii="Traditional Arabic" w:hAnsi="Traditional Arabic"/>
          <w:rtl/>
          <w:lang w:eastAsia="en-US"/>
        </w:rPr>
        <w:t>منها:</w:t>
      </w:r>
    </w:p>
    <w:p w:rsidR="00D25F15" w:rsidRPr="00C85F0F" w:rsidRDefault="00D25F15" w:rsidP="000A76C7">
      <w:pPr>
        <w:pStyle w:val="afc"/>
        <w:widowControl/>
        <w:numPr>
          <w:ilvl w:val="0"/>
          <w:numId w:val="265"/>
        </w:numPr>
        <w:autoSpaceDE w:val="0"/>
        <w:autoSpaceDN w:val="0"/>
        <w:adjustRightInd w:val="0"/>
        <w:rPr>
          <w:rFonts w:ascii="Traditional Arabic" w:hAnsi="Traditional Arabic"/>
          <w:color w:val="auto"/>
          <w:lang w:eastAsia="en-US"/>
        </w:rPr>
      </w:pPr>
      <w:r w:rsidRPr="00C85F0F">
        <w:rPr>
          <w:rFonts w:ascii="Traditional Arabic" w:hAnsi="Traditional Arabic" w:hint="cs"/>
          <w:rtl/>
          <w:lang w:eastAsia="en-US"/>
        </w:rPr>
        <w:t xml:space="preserve">قول الله تعالى: </w:t>
      </w:r>
      <w:bookmarkStart w:id="410" w:name="سورة_البقرة_174"/>
      <w:r w:rsidR="00735180" w:rsidRPr="00C77903">
        <w:rPr>
          <w:rFonts w:ascii="QCF_BSML" w:hAnsi="QCF_BSML" w:cs="QCF_BSML"/>
          <w:rtl/>
          <w:lang w:eastAsia="en-US"/>
        </w:rPr>
        <w:t>ﭽ</w:t>
      </w:r>
      <w:r w:rsidR="00735180" w:rsidRPr="00C77903">
        <w:rPr>
          <w:rFonts w:ascii="QCF_P028" w:hAnsi="QCF_P028" w:cs="QCF_P028"/>
          <w:rtl/>
          <w:lang w:eastAsia="en-US"/>
        </w:rPr>
        <w:t>ﭵ</w:t>
      </w:r>
      <w:r w:rsidR="00C83DCD">
        <w:rPr>
          <w:rFonts w:ascii="QCF_P028" w:hAnsi="QCF_P028" w:cs="QCF_P028" w:hint="cs"/>
          <w:rtl/>
          <w:lang w:eastAsia="en-US"/>
        </w:rPr>
        <w:t xml:space="preserve"> </w:t>
      </w:r>
      <w:r w:rsidR="00735180" w:rsidRPr="00C77903">
        <w:rPr>
          <w:rFonts w:ascii="QCF_P028" w:hAnsi="QCF_P028" w:cs="QCF_P028"/>
          <w:rtl/>
          <w:lang w:eastAsia="en-US"/>
        </w:rPr>
        <w:t>ﭶ</w:t>
      </w:r>
      <w:r w:rsidR="00C83DCD">
        <w:rPr>
          <w:rFonts w:ascii="QCF_P028" w:hAnsi="QCF_P028" w:cs="QCF_P028" w:hint="cs"/>
          <w:rtl/>
          <w:lang w:eastAsia="en-US"/>
        </w:rPr>
        <w:t xml:space="preserve"> </w:t>
      </w:r>
      <w:r w:rsidR="00735180" w:rsidRPr="00C77903">
        <w:rPr>
          <w:rFonts w:ascii="QCF_P028" w:hAnsi="QCF_P028" w:cs="QCF_P028"/>
          <w:rtl/>
          <w:lang w:eastAsia="en-US"/>
        </w:rPr>
        <w:t>ﭷ</w:t>
      </w:r>
      <w:r w:rsidR="00C83DCD">
        <w:rPr>
          <w:rFonts w:ascii="QCF_P028" w:hAnsi="QCF_P028" w:cs="QCF_P028" w:hint="cs"/>
          <w:rtl/>
          <w:lang w:eastAsia="en-US"/>
        </w:rPr>
        <w:t xml:space="preserve"> </w:t>
      </w:r>
      <w:r w:rsidR="00735180" w:rsidRPr="00C77903">
        <w:rPr>
          <w:rFonts w:ascii="QCF_P028" w:hAnsi="QCF_P028" w:cs="QCF_P028"/>
          <w:rtl/>
          <w:lang w:eastAsia="en-US"/>
        </w:rPr>
        <w:t>ﭸ</w:t>
      </w:r>
      <w:r w:rsidR="00C83DCD">
        <w:rPr>
          <w:rFonts w:ascii="QCF_P028" w:hAnsi="QCF_P028" w:cs="QCF_P028" w:hint="cs"/>
          <w:rtl/>
          <w:lang w:eastAsia="en-US"/>
        </w:rPr>
        <w:t xml:space="preserve"> </w:t>
      </w:r>
      <w:r w:rsidR="00735180" w:rsidRPr="00C77903">
        <w:rPr>
          <w:rFonts w:ascii="QCF_P028" w:hAnsi="QCF_P028" w:cs="QCF_P028"/>
          <w:rtl/>
          <w:lang w:eastAsia="en-US"/>
        </w:rPr>
        <w:t>ﭹ</w:t>
      </w:r>
      <w:r w:rsidR="00C83DCD">
        <w:rPr>
          <w:rFonts w:ascii="QCF_P028" w:hAnsi="QCF_P028" w:cs="QCF_P028" w:hint="cs"/>
          <w:rtl/>
          <w:lang w:eastAsia="en-US"/>
        </w:rPr>
        <w:t xml:space="preserve"> </w:t>
      </w:r>
      <w:r w:rsidR="00735180" w:rsidRPr="00C77903">
        <w:rPr>
          <w:rFonts w:ascii="QCF_P028" w:hAnsi="QCF_P028" w:cs="QCF_P028"/>
          <w:rtl/>
          <w:lang w:eastAsia="en-US"/>
        </w:rPr>
        <w:t>ﭺ</w:t>
      </w:r>
      <w:r w:rsidR="00C83DCD">
        <w:rPr>
          <w:rFonts w:ascii="QCF_P028" w:hAnsi="QCF_P028" w:cs="QCF_P028" w:hint="cs"/>
          <w:rtl/>
          <w:lang w:eastAsia="en-US"/>
        </w:rPr>
        <w:t xml:space="preserve"> </w:t>
      </w:r>
      <w:r w:rsidR="00735180" w:rsidRPr="00C77903">
        <w:rPr>
          <w:rFonts w:ascii="QCF_P028" w:hAnsi="QCF_P028" w:cs="QCF_P028"/>
          <w:rtl/>
          <w:lang w:eastAsia="en-US"/>
        </w:rPr>
        <w:t>ﭻ</w:t>
      </w:r>
      <w:r w:rsidR="00C83DCD">
        <w:rPr>
          <w:rFonts w:ascii="QCF_P028" w:hAnsi="QCF_P028" w:cs="QCF_P028" w:hint="cs"/>
          <w:rtl/>
          <w:lang w:eastAsia="en-US"/>
        </w:rPr>
        <w:t xml:space="preserve"> </w:t>
      </w:r>
      <w:r w:rsidR="00735180" w:rsidRPr="00C77903">
        <w:rPr>
          <w:rFonts w:ascii="QCF_P028" w:hAnsi="QCF_P028" w:cs="QCF_P028"/>
          <w:rtl/>
          <w:lang w:eastAsia="en-US"/>
        </w:rPr>
        <w:t>ﭼ</w:t>
      </w:r>
      <w:r w:rsidR="00C83DCD">
        <w:rPr>
          <w:rFonts w:ascii="QCF_P028" w:hAnsi="QCF_P028" w:cs="QCF_P028" w:hint="cs"/>
          <w:rtl/>
          <w:lang w:eastAsia="en-US"/>
        </w:rPr>
        <w:t xml:space="preserve"> </w:t>
      </w:r>
      <w:r w:rsidR="00735180" w:rsidRPr="00C77903">
        <w:rPr>
          <w:rFonts w:ascii="QCF_P028" w:hAnsi="QCF_P028" w:cs="QCF_P028"/>
          <w:rtl/>
          <w:lang w:eastAsia="en-US"/>
        </w:rPr>
        <w:t>ﭽ</w:t>
      </w:r>
      <w:r w:rsidR="00C83DCD">
        <w:rPr>
          <w:rFonts w:ascii="QCF_P028" w:hAnsi="QCF_P028" w:cs="QCF_P028" w:hint="cs"/>
          <w:rtl/>
          <w:lang w:eastAsia="en-US"/>
        </w:rPr>
        <w:t xml:space="preserve"> </w:t>
      </w:r>
      <w:r w:rsidR="00735180" w:rsidRPr="00C77903">
        <w:rPr>
          <w:rFonts w:ascii="QCF_P028" w:hAnsi="QCF_P028" w:cs="QCF_P028"/>
          <w:rtl/>
          <w:lang w:eastAsia="en-US"/>
        </w:rPr>
        <w:t>ﭾ</w:t>
      </w:r>
      <w:r w:rsidR="00C83DCD">
        <w:rPr>
          <w:rFonts w:ascii="QCF_P028" w:hAnsi="QCF_P028" w:cs="QCF_P028" w:hint="cs"/>
          <w:rtl/>
          <w:lang w:eastAsia="en-US"/>
        </w:rPr>
        <w:t xml:space="preserve"> </w:t>
      </w:r>
      <w:r w:rsidR="00735180" w:rsidRPr="00C77903">
        <w:rPr>
          <w:rFonts w:ascii="QCF_P028" w:hAnsi="QCF_P028" w:cs="QCF_P028"/>
          <w:rtl/>
          <w:lang w:eastAsia="en-US"/>
        </w:rPr>
        <w:t>ﭿ</w:t>
      </w:r>
      <w:r w:rsidR="00C83DCD">
        <w:rPr>
          <w:rFonts w:ascii="QCF_P028" w:hAnsi="QCF_P028" w:cs="QCF_P028" w:hint="cs"/>
          <w:rtl/>
          <w:lang w:eastAsia="en-US"/>
        </w:rPr>
        <w:t xml:space="preserve"> </w:t>
      </w:r>
      <w:r w:rsidR="00735180" w:rsidRPr="00C77903">
        <w:rPr>
          <w:rFonts w:ascii="QCF_P028" w:hAnsi="QCF_P028" w:cs="QCF_P028"/>
          <w:color w:val="0000A5"/>
          <w:rtl/>
          <w:lang w:eastAsia="en-US"/>
        </w:rPr>
        <w:t>ﮀ</w:t>
      </w:r>
      <w:r w:rsidR="00C83DCD">
        <w:rPr>
          <w:rFonts w:ascii="QCF_P028" w:hAnsi="QCF_P028" w:cs="QCF_P028" w:hint="cs"/>
          <w:color w:val="0000A5"/>
          <w:rtl/>
          <w:lang w:eastAsia="en-US"/>
        </w:rPr>
        <w:t xml:space="preserve"> </w:t>
      </w:r>
      <w:r w:rsidR="00735180" w:rsidRPr="00C77903">
        <w:rPr>
          <w:rFonts w:ascii="QCF_P028" w:hAnsi="QCF_P028" w:cs="QCF_P028"/>
          <w:rtl/>
          <w:lang w:eastAsia="en-US"/>
        </w:rPr>
        <w:t>ﮁ</w:t>
      </w:r>
      <w:r w:rsidR="00C83DCD">
        <w:rPr>
          <w:rFonts w:ascii="QCF_P028" w:hAnsi="QCF_P028" w:cs="QCF_P028" w:hint="cs"/>
          <w:rtl/>
          <w:lang w:eastAsia="en-US"/>
        </w:rPr>
        <w:t xml:space="preserve"> </w:t>
      </w:r>
      <w:r w:rsidR="00735180" w:rsidRPr="00C77903">
        <w:rPr>
          <w:rFonts w:ascii="QCF_P028" w:hAnsi="QCF_P028" w:cs="QCF_P028"/>
          <w:rtl/>
          <w:lang w:eastAsia="en-US"/>
        </w:rPr>
        <w:t>ﮂ</w:t>
      </w:r>
      <w:r w:rsidR="00C83DCD">
        <w:rPr>
          <w:rFonts w:ascii="QCF_P028" w:hAnsi="QCF_P028" w:cs="QCF_P028" w:hint="cs"/>
          <w:rtl/>
          <w:lang w:eastAsia="en-US"/>
        </w:rPr>
        <w:t xml:space="preserve"> </w:t>
      </w:r>
      <w:r w:rsidR="00735180" w:rsidRPr="00C77903">
        <w:rPr>
          <w:rFonts w:ascii="QCF_P028" w:hAnsi="QCF_P028" w:cs="QCF_P028"/>
          <w:rtl/>
          <w:lang w:eastAsia="en-US"/>
        </w:rPr>
        <w:t>ﮃ</w:t>
      </w:r>
      <w:r w:rsidR="00C83DCD">
        <w:rPr>
          <w:rFonts w:ascii="QCF_P028" w:hAnsi="QCF_P028" w:cs="QCF_P028" w:hint="cs"/>
          <w:rtl/>
          <w:lang w:eastAsia="en-US"/>
        </w:rPr>
        <w:t xml:space="preserve"> </w:t>
      </w:r>
      <w:r w:rsidR="00735180" w:rsidRPr="00C77903">
        <w:rPr>
          <w:rFonts w:ascii="QCF_P028" w:hAnsi="QCF_P028" w:cs="QCF_P028"/>
          <w:rtl/>
          <w:lang w:eastAsia="en-US"/>
        </w:rPr>
        <w:t>ﮄ</w:t>
      </w:r>
      <w:r w:rsidR="00C83DCD">
        <w:rPr>
          <w:rFonts w:ascii="QCF_P028" w:hAnsi="QCF_P028" w:cs="QCF_P028" w:hint="cs"/>
          <w:rtl/>
          <w:lang w:eastAsia="en-US"/>
        </w:rPr>
        <w:t xml:space="preserve"> </w:t>
      </w:r>
      <w:r w:rsidR="00735180" w:rsidRPr="00C77903">
        <w:rPr>
          <w:rFonts w:ascii="QCF_P028" w:hAnsi="QCF_P028" w:cs="QCF_P028"/>
          <w:rtl/>
          <w:lang w:eastAsia="en-US"/>
        </w:rPr>
        <w:t>ﮅ</w:t>
      </w:r>
      <w:r w:rsidR="00C83DCD">
        <w:rPr>
          <w:rFonts w:ascii="QCF_P028" w:hAnsi="QCF_P028" w:cs="QCF_P028" w:hint="cs"/>
          <w:rtl/>
          <w:lang w:eastAsia="en-US"/>
        </w:rPr>
        <w:t xml:space="preserve"> </w:t>
      </w:r>
      <w:r w:rsidR="00735180" w:rsidRPr="00C77903">
        <w:rPr>
          <w:rFonts w:ascii="QCF_P028" w:hAnsi="QCF_P028" w:cs="QCF_P028"/>
          <w:rtl/>
          <w:lang w:eastAsia="en-US"/>
        </w:rPr>
        <w:t>ﮆ</w:t>
      </w:r>
      <w:r w:rsidR="00735180" w:rsidRPr="00C77903">
        <w:rPr>
          <w:rFonts w:ascii="QCF_BSML" w:hAnsi="QCF_BSML" w:cs="QCF_BSML"/>
          <w:rtl/>
          <w:lang w:eastAsia="en-US"/>
        </w:rPr>
        <w:t xml:space="preserve">ﭼ </w:t>
      </w:r>
      <w:bookmarkEnd w:id="410"/>
      <w:r w:rsidRPr="00C85F0F">
        <w:rPr>
          <w:rFonts w:ascii="Traditional Arabic" w:hAnsi="Traditional Arabic" w:hint="cs"/>
          <w:color w:val="auto"/>
          <w:rtl/>
          <w:lang w:eastAsia="en-US"/>
        </w:rPr>
        <w:t>[</w:t>
      </w:r>
      <w:r w:rsidRPr="00C85F0F">
        <w:rPr>
          <w:rFonts w:ascii="Traditional Arabic" w:hAnsi="Traditional Arabic"/>
          <w:color w:val="auto"/>
          <w:rtl/>
          <w:lang w:eastAsia="en-US"/>
        </w:rPr>
        <w:t>البقرة: ١٨٤</w:t>
      </w:r>
      <w:r w:rsidRPr="00C85F0F">
        <w:rPr>
          <w:rFonts w:ascii="Traditional Arabic" w:hAnsi="Traditional Arabic" w:hint="cs"/>
          <w:color w:val="auto"/>
          <w:rtl/>
          <w:lang w:eastAsia="en-US"/>
        </w:rPr>
        <w:t>].</w:t>
      </w:r>
    </w:p>
    <w:p w:rsidR="00065E4B" w:rsidRPr="00D564C0" w:rsidRDefault="00D25F15" w:rsidP="00597C20">
      <w:pPr>
        <w:pStyle w:val="53"/>
        <w:rPr>
          <w:rtl/>
        </w:rPr>
      </w:pPr>
      <w:r w:rsidRPr="00D564C0">
        <w:rPr>
          <w:rFonts w:hint="cs"/>
          <w:rtl/>
        </w:rPr>
        <w:t>وجه الدلالة:</w:t>
      </w:r>
    </w:p>
    <w:p w:rsidR="00F228A9" w:rsidRPr="00C85F0F" w:rsidRDefault="00C83DCD" w:rsidP="00597C20">
      <w:pPr>
        <w:autoSpaceDE w:val="0"/>
        <w:autoSpaceDN w:val="0"/>
        <w:adjustRightInd w:val="0"/>
        <w:ind w:firstLine="720"/>
        <w:rPr>
          <w:rFonts w:ascii="Traditional Arabic" w:hAnsi="Traditional Arabic"/>
          <w:color w:val="auto"/>
          <w:rtl/>
          <w:lang w:eastAsia="en-US"/>
        </w:rPr>
      </w:pPr>
      <w:r>
        <w:rPr>
          <w:rFonts w:ascii="Traditional Arabic" w:hAnsi="Traditional Arabic" w:hint="cs"/>
          <w:color w:val="auto"/>
          <w:rtl/>
          <w:lang w:eastAsia="en-US"/>
        </w:rPr>
        <w:t>إ</w:t>
      </w:r>
      <w:r w:rsidR="00D25F15" w:rsidRPr="00C85F0F">
        <w:rPr>
          <w:rFonts w:ascii="Traditional Arabic" w:hAnsi="Traditional Arabic"/>
          <w:color w:val="auto"/>
          <w:rtl/>
          <w:lang w:eastAsia="en-US"/>
        </w:rPr>
        <w:t>ن الله تعالى جعل الفدية ع</w:t>
      </w:r>
      <w:r w:rsidR="00D25F15" w:rsidRPr="00C85F0F">
        <w:rPr>
          <w:rFonts w:ascii="Traditional Arabic" w:hAnsi="Traditional Arabic" w:hint="cs"/>
          <w:color w:val="auto"/>
          <w:rtl/>
          <w:lang w:eastAsia="en-US"/>
        </w:rPr>
        <w:t>َ</w:t>
      </w:r>
      <w:r w:rsidR="00D25F15" w:rsidRPr="00C85F0F">
        <w:rPr>
          <w:rFonts w:ascii="Traditional Arabic" w:hAnsi="Traditional Arabic"/>
          <w:color w:val="auto"/>
          <w:rtl/>
          <w:lang w:eastAsia="en-US"/>
        </w:rPr>
        <w:t>ديلا</w:t>
      </w:r>
      <w:r w:rsidR="00D25F15" w:rsidRPr="00C85F0F">
        <w:rPr>
          <w:rFonts w:ascii="Traditional Arabic" w:hAnsi="Traditional Arabic" w:hint="cs"/>
          <w:color w:val="auto"/>
          <w:rtl/>
          <w:lang w:eastAsia="en-US"/>
        </w:rPr>
        <w:t>ً</w:t>
      </w:r>
      <w:r w:rsidR="00801F81">
        <w:rPr>
          <w:rFonts w:ascii="Traditional Arabic" w:hAnsi="Traditional Arabic"/>
          <w:color w:val="auto"/>
          <w:rtl/>
          <w:lang w:eastAsia="en-US"/>
        </w:rPr>
        <w:t xml:space="preserve"> للصوم لمن </w:t>
      </w:r>
      <w:r w:rsidR="00801F81">
        <w:rPr>
          <w:rFonts w:ascii="Traditional Arabic" w:hAnsi="Traditional Arabic" w:hint="cs"/>
          <w:color w:val="auto"/>
          <w:rtl/>
          <w:lang w:eastAsia="en-US"/>
        </w:rPr>
        <w:t>كان قادراً</w:t>
      </w:r>
      <w:r w:rsidR="00801F81">
        <w:rPr>
          <w:rFonts w:ascii="Traditional Arabic" w:hAnsi="Traditional Arabic"/>
          <w:color w:val="auto"/>
          <w:rtl/>
          <w:lang w:eastAsia="en-US"/>
        </w:rPr>
        <w:t xml:space="preserve"> على الص</w:t>
      </w:r>
      <w:r w:rsidR="00801F81">
        <w:rPr>
          <w:rFonts w:ascii="Traditional Arabic" w:hAnsi="Traditional Arabic" w:hint="cs"/>
          <w:color w:val="auto"/>
          <w:rtl/>
          <w:lang w:eastAsia="en-US"/>
        </w:rPr>
        <w:t>يا</w:t>
      </w:r>
      <w:r w:rsidR="00D25F15" w:rsidRPr="00C85F0F">
        <w:rPr>
          <w:rFonts w:ascii="Traditional Arabic" w:hAnsi="Traditional Arabic"/>
          <w:color w:val="auto"/>
          <w:rtl/>
          <w:lang w:eastAsia="en-US"/>
        </w:rPr>
        <w:t>م، إن شاء صام وإن شاء أطعم، ثم ن</w:t>
      </w:r>
      <w:r w:rsidR="00D25F15" w:rsidRPr="00C85F0F">
        <w:rPr>
          <w:rFonts w:ascii="Traditional Arabic" w:hAnsi="Traditional Arabic" w:hint="cs"/>
          <w:color w:val="auto"/>
          <w:rtl/>
          <w:lang w:eastAsia="en-US"/>
        </w:rPr>
        <w:t>ُ</w:t>
      </w:r>
      <w:r w:rsidR="00D25F15" w:rsidRPr="00C85F0F">
        <w:rPr>
          <w:rFonts w:ascii="Traditional Arabic" w:hAnsi="Traditional Arabic"/>
          <w:color w:val="auto"/>
          <w:rtl/>
          <w:lang w:eastAsia="en-US"/>
        </w:rPr>
        <w:t>سخ التخيير إلى وجوب الصوم ع</w:t>
      </w:r>
      <w:r w:rsidR="00D25F15" w:rsidRPr="00C85F0F">
        <w:rPr>
          <w:rFonts w:ascii="Traditional Arabic" w:hAnsi="Traditional Arabic" w:hint="cs"/>
          <w:color w:val="auto"/>
          <w:rtl/>
          <w:lang w:eastAsia="en-US"/>
        </w:rPr>
        <w:t>َ</w:t>
      </w:r>
      <w:r w:rsidR="00D25F15" w:rsidRPr="00C85F0F">
        <w:rPr>
          <w:rFonts w:ascii="Traditional Arabic" w:hAnsi="Traditional Arabic"/>
          <w:color w:val="auto"/>
          <w:rtl/>
          <w:lang w:eastAsia="en-US"/>
        </w:rPr>
        <w:t>ينا</w:t>
      </w:r>
      <w:r w:rsidR="00D25F15" w:rsidRPr="00C85F0F">
        <w:rPr>
          <w:rFonts w:ascii="Traditional Arabic" w:hAnsi="Traditional Arabic" w:hint="cs"/>
          <w:color w:val="auto"/>
          <w:rtl/>
          <w:lang w:eastAsia="en-US"/>
        </w:rPr>
        <w:t>ً</w:t>
      </w:r>
      <w:r w:rsidR="00D25F15" w:rsidRPr="00C85F0F">
        <w:rPr>
          <w:rFonts w:ascii="Traditional Arabic" w:hAnsi="Traditional Arabic"/>
          <w:color w:val="auto"/>
          <w:rtl/>
          <w:lang w:eastAsia="en-US"/>
        </w:rPr>
        <w:t>، فإذا لم يقد</w:t>
      </w:r>
      <w:r w:rsidR="00D25F15" w:rsidRPr="00C85F0F">
        <w:rPr>
          <w:rFonts w:ascii="Traditional Arabic" w:hAnsi="Traditional Arabic" w:hint="cs"/>
          <w:color w:val="auto"/>
          <w:rtl/>
          <w:lang w:eastAsia="en-US"/>
        </w:rPr>
        <w:t>ِ</w:t>
      </w:r>
      <w:r w:rsidR="00D25F15" w:rsidRPr="00C85F0F">
        <w:rPr>
          <w:rFonts w:ascii="Traditional Arabic" w:hAnsi="Traditional Arabic"/>
          <w:color w:val="auto"/>
          <w:rtl/>
          <w:lang w:eastAsia="en-US"/>
        </w:rPr>
        <w:t>ر عليه بقي عديل</w:t>
      </w:r>
      <w:r w:rsidR="00D25F15" w:rsidRPr="00C85F0F">
        <w:rPr>
          <w:rFonts w:ascii="Traditional Arabic" w:hAnsi="Traditional Arabic" w:hint="cs"/>
          <w:color w:val="auto"/>
          <w:rtl/>
          <w:lang w:eastAsia="en-US"/>
        </w:rPr>
        <w:t>ُ</w:t>
      </w:r>
      <w:r w:rsidR="00D25F15" w:rsidRPr="00C85F0F">
        <w:rPr>
          <w:rFonts w:ascii="Traditional Arabic" w:hAnsi="Traditional Arabic"/>
          <w:color w:val="auto"/>
          <w:rtl/>
          <w:lang w:eastAsia="en-US"/>
        </w:rPr>
        <w:t>ه وهو الفدية</w:t>
      </w:r>
      <w:r w:rsidR="00D25F15" w:rsidRPr="00C85F0F">
        <w:rPr>
          <w:rFonts w:ascii="Traditional Arabic" w:hAnsi="Traditional Arabic" w:hint="cs"/>
          <w:color w:val="auto"/>
          <w:rtl/>
          <w:lang w:eastAsia="en-US"/>
        </w:rPr>
        <w:t>.</w:t>
      </w:r>
    </w:p>
    <w:p w:rsidR="00D25F15" w:rsidRPr="00C85F0F" w:rsidRDefault="00D25F15" w:rsidP="00597C20">
      <w:pPr>
        <w:autoSpaceDE w:val="0"/>
        <w:autoSpaceDN w:val="0"/>
        <w:adjustRightInd w:val="0"/>
        <w:ind w:firstLine="720"/>
        <w:rPr>
          <w:rFonts w:ascii="Traditional Arabic" w:hAnsi="Traditional Arabic"/>
          <w:color w:val="auto"/>
          <w:lang w:eastAsia="en-US"/>
        </w:rPr>
      </w:pPr>
      <w:r w:rsidRPr="00C85F0F">
        <w:rPr>
          <w:rFonts w:ascii="Traditional Arabic" w:hAnsi="Traditional Arabic"/>
          <w:rtl/>
          <w:lang w:eastAsia="en-US"/>
        </w:rPr>
        <w:t>دل ذلك على أن</w:t>
      </w:r>
      <w:r w:rsidRPr="00C85F0F">
        <w:rPr>
          <w:rFonts w:ascii="Traditional Arabic" w:hAnsi="Traditional Arabic" w:hint="cs"/>
          <w:rtl/>
          <w:lang w:eastAsia="en-US"/>
        </w:rPr>
        <w:t xml:space="preserve"> الفدية</w:t>
      </w:r>
      <w:r w:rsidRPr="00C85F0F">
        <w:rPr>
          <w:rFonts w:ascii="Traditional Arabic" w:hAnsi="Traditional Arabic"/>
          <w:rtl/>
          <w:lang w:eastAsia="en-US"/>
        </w:rPr>
        <w:t xml:space="preserve"> تكون بدلا</w:t>
      </w:r>
      <w:r w:rsidRPr="00C85F0F">
        <w:rPr>
          <w:rFonts w:ascii="Traditional Arabic" w:hAnsi="Traditional Arabic" w:hint="cs"/>
          <w:rtl/>
          <w:lang w:eastAsia="en-US"/>
        </w:rPr>
        <w:t>ً</w:t>
      </w:r>
      <w:r w:rsidRPr="00C85F0F">
        <w:rPr>
          <w:rFonts w:ascii="Traditional Arabic" w:hAnsi="Traditional Arabic"/>
          <w:rtl/>
          <w:lang w:eastAsia="en-US"/>
        </w:rPr>
        <w:t xml:space="preserve"> عن</w:t>
      </w:r>
      <w:r w:rsidRPr="00C85F0F">
        <w:rPr>
          <w:rFonts w:ascii="Traditional Arabic" w:hAnsi="Traditional Arabic" w:hint="cs"/>
          <w:rtl/>
          <w:lang w:eastAsia="en-US"/>
        </w:rPr>
        <w:t xml:space="preserve"> الصوم</w:t>
      </w:r>
      <w:r w:rsidRPr="00C85F0F">
        <w:rPr>
          <w:rFonts w:ascii="Traditional Arabic" w:hAnsi="Traditional Arabic"/>
          <w:rtl/>
          <w:lang w:eastAsia="en-US"/>
        </w:rPr>
        <w:t xml:space="preserve"> في حال تعذ</w:t>
      </w:r>
      <w:r w:rsidRPr="00C85F0F">
        <w:rPr>
          <w:rFonts w:ascii="Traditional Arabic" w:hAnsi="Traditional Arabic" w:hint="cs"/>
          <w:rtl/>
          <w:lang w:eastAsia="en-US"/>
        </w:rPr>
        <w:t>ُّ</w:t>
      </w:r>
      <w:r w:rsidRPr="00C85F0F">
        <w:rPr>
          <w:rFonts w:ascii="Traditional Arabic" w:hAnsi="Traditional Arabic"/>
          <w:rtl/>
          <w:lang w:eastAsia="en-US"/>
        </w:rPr>
        <w:t>ر الصوم</w:t>
      </w:r>
      <w:r w:rsidRPr="00C85F0F">
        <w:rPr>
          <w:rFonts w:ascii="Traditional Arabic" w:hAnsi="Traditional Arabic" w:hint="cs"/>
          <w:rtl/>
          <w:lang w:eastAsia="en-US"/>
        </w:rPr>
        <w:t>،</w:t>
      </w:r>
      <w:r w:rsidRPr="00C85F0F">
        <w:rPr>
          <w:rFonts w:ascii="Traditional Arabic" w:hAnsi="Traditional Arabic"/>
          <w:color w:val="auto"/>
          <w:rtl/>
          <w:lang w:eastAsia="en-US"/>
        </w:rPr>
        <w:t xml:space="preserve"> فصارالعاجز عجزا</w:t>
      </w:r>
      <w:r w:rsidRPr="00C85F0F">
        <w:rPr>
          <w:rFonts w:ascii="Traditional Arabic" w:hAnsi="Traditional Arabic" w:hint="cs"/>
          <w:color w:val="auto"/>
          <w:rtl/>
          <w:lang w:eastAsia="en-US"/>
        </w:rPr>
        <w:t>ً</w:t>
      </w:r>
      <w:r w:rsidRPr="00C85F0F">
        <w:rPr>
          <w:rFonts w:ascii="Traditional Arabic" w:hAnsi="Traditional Arabic"/>
          <w:color w:val="auto"/>
          <w:rtl/>
          <w:lang w:eastAsia="en-US"/>
        </w:rPr>
        <w:t xml:space="preserve"> لا يرجى زواله، يجب عليه الإطعام عن كل يوم مسكينا</w:t>
      </w:r>
      <w:r w:rsidRPr="00C85F0F">
        <w:rPr>
          <w:rStyle w:val="af1"/>
          <w:szCs w:val="32"/>
          <w:rtl/>
        </w:rPr>
        <w:t>(</w:t>
      </w:r>
      <w:r w:rsidRPr="00C85F0F">
        <w:rPr>
          <w:rStyle w:val="af1"/>
          <w:szCs w:val="32"/>
          <w:rtl/>
        </w:rPr>
        <w:footnoteReference w:id="1938"/>
      </w:r>
      <w:r w:rsidRPr="00C85F0F">
        <w:rPr>
          <w:rStyle w:val="af1"/>
          <w:szCs w:val="32"/>
          <w:rtl/>
        </w:rPr>
        <w:t>)</w:t>
      </w:r>
      <w:r w:rsidRPr="00C85F0F">
        <w:rPr>
          <w:rFonts w:ascii="Traditional Arabic" w:hAnsi="Traditional Arabic"/>
          <w:color w:val="auto"/>
          <w:rtl/>
          <w:lang w:eastAsia="en-US"/>
        </w:rPr>
        <w:t>.</w:t>
      </w:r>
    </w:p>
    <w:p w:rsidR="00D25F15" w:rsidRPr="00C85F0F" w:rsidRDefault="00C83DCD" w:rsidP="000A76C7">
      <w:pPr>
        <w:pStyle w:val="afc"/>
        <w:widowControl/>
        <w:numPr>
          <w:ilvl w:val="0"/>
          <w:numId w:val="265"/>
        </w:numPr>
        <w:autoSpaceDE w:val="0"/>
        <w:autoSpaceDN w:val="0"/>
        <w:adjustRightInd w:val="0"/>
        <w:rPr>
          <w:rFonts w:ascii="Traditional Arabic" w:hAnsi="Traditional Arabic"/>
          <w:color w:val="auto"/>
          <w:lang w:eastAsia="en-US"/>
        </w:rPr>
      </w:pPr>
      <w:r>
        <w:rPr>
          <w:rFonts w:ascii="Traditional Arabic" w:hAnsi="Traditional Arabic" w:hint="cs"/>
          <w:rtl/>
          <w:lang w:eastAsia="en-US"/>
        </w:rPr>
        <w:t xml:space="preserve">قول الله </w:t>
      </w:r>
      <w:r w:rsidR="00D25F15" w:rsidRPr="00C85F0F">
        <w:rPr>
          <w:rFonts w:ascii="Traditional Arabic" w:hAnsi="Traditional Arabic" w:hint="cs"/>
          <w:rtl/>
          <w:lang w:eastAsia="en-US"/>
        </w:rPr>
        <w:t>تعالى:</w:t>
      </w:r>
      <w:bookmarkStart w:id="411" w:name="سورة_البقرة_196"/>
      <w:r>
        <w:rPr>
          <w:rFonts w:ascii="Traditional Arabic" w:hAnsi="Traditional Arabic" w:hint="cs"/>
          <w:rtl/>
          <w:lang w:eastAsia="en-US"/>
        </w:rPr>
        <w:t xml:space="preserve"> </w:t>
      </w:r>
      <w:r w:rsidR="00735180" w:rsidRPr="00C77903">
        <w:rPr>
          <w:rFonts w:ascii="QCF_BSML" w:hAnsi="QCF_BSML" w:cs="QCF_BSML"/>
          <w:rtl/>
          <w:lang w:eastAsia="en-US"/>
        </w:rPr>
        <w:t>ﭽ</w:t>
      </w:r>
      <w:r w:rsidR="00735180" w:rsidRPr="00C77903">
        <w:rPr>
          <w:rFonts w:ascii="QCF_P030" w:hAnsi="QCF_P030" w:cs="QCF_P030"/>
          <w:rtl/>
          <w:lang w:eastAsia="en-US"/>
        </w:rPr>
        <w:t>ﯷ</w:t>
      </w:r>
      <w:r>
        <w:rPr>
          <w:rFonts w:ascii="QCF_P030" w:hAnsi="QCF_P030" w:cs="QCF_P030" w:hint="cs"/>
          <w:rtl/>
          <w:lang w:eastAsia="en-US"/>
        </w:rPr>
        <w:t xml:space="preserve"> </w:t>
      </w:r>
      <w:r w:rsidR="00735180" w:rsidRPr="00C77903">
        <w:rPr>
          <w:rFonts w:ascii="QCF_P030" w:hAnsi="QCF_P030" w:cs="QCF_P030"/>
          <w:rtl/>
          <w:lang w:eastAsia="en-US"/>
        </w:rPr>
        <w:t>ﯸ</w:t>
      </w:r>
      <w:r>
        <w:rPr>
          <w:rFonts w:ascii="QCF_P030" w:hAnsi="QCF_P030" w:cs="QCF_P030" w:hint="cs"/>
          <w:rtl/>
          <w:lang w:eastAsia="en-US"/>
        </w:rPr>
        <w:t xml:space="preserve"> </w:t>
      </w:r>
      <w:r w:rsidR="00735180" w:rsidRPr="00C77903">
        <w:rPr>
          <w:rFonts w:ascii="QCF_P030" w:hAnsi="QCF_P030" w:cs="QCF_P030"/>
          <w:rtl/>
          <w:lang w:eastAsia="en-US"/>
        </w:rPr>
        <w:t>ﯹ</w:t>
      </w:r>
      <w:r>
        <w:rPr>
          <w:rFonts w:ascii="QCF_P030" w:hAnsi="QCF_P030" w:cs="QCF_P030" w:hint="cs"/>
          <w:rtl/>
          <w:lang w:eastAsia="en-US"/>
        </w:rPr>
        <w:t xml:space="preserve"> </w:t>
      </w:r>
      <w:r w:rsidR="00735180" w:rsidRPr="00C77903">
        <w:rPr>
          <w:rFonts w:ascii="QCF_P030" w:hAnsi="QCF_P030" w:cs="QCF_P030"/>
          <w:rtl/>
          <w:lang w:eastAsia="en-US"/>
        </w:rPr>
        <w:t>ﯺ</w:t>
      </w:r>
      <w:r>
        <w:rPr>
          <w:rFonts w:ascii="QCF_P030" w:hAnsi="QCF_P030" w:cs="QCF_P030" w:hint="cs"/>
          <w:rtl/>
          <w:lang w:eastAsia="en-US"/>
        </w:rPr>
        <w:t xml:space="preserve"> </w:t>
      </w:r>
      <w:r w:rsidR="00735180" w:rsidRPr="00C77903">
        <w:rPr>
          <w:rFonts w:ascii="QCF_P030" w:hAnsi="QCF_P030" w:cs="QCF_P030"/>
          <w:rtl/>
          <w:lang w:eastAsia="en-US"/>
        </w:rPr>
        <w:t>ﯻ</w:t>
      </w:r>
      <w:r>
        <w:rPr>
          <w:rFonts w:ascii="QCF_P030" w:hAnsi="QCF_P030" w:cs="QCF_P030" w:hint="cs"/>
          <w:rtl/>
          <w:lang w:eastAsia="en-US"/>
        </w:rPr>
        <w:t xml:space="preserve"> </w:t>
      </w:r>
      <w:r w:rsidR="00735180" w:rsidRPr="00C77903">
        <w:rPr>
          <w:rFonts w:ascii="QCF_P030" w:hAnsi="QCF_P030" w:cs="QCF_P030"/>
          <w:rtl/>
          <w:lang w:eastAsia="en-US"/>
        </w:rPr>
        <w:t>ﯼ</w:t>
      </w:r>
      <w:r>
        <w:rPr>
          <w:rFonts w:ascii="QCF_P030" w:hAnsi="QCF_P030" w:cs="QCF_P030" w:hint="cs"/>
          <w:rtl/>
          <w:lang w:eastAsia="en-US"/>
        </w:rPr>
        <w:t xml:space="preserve"> </w:t>
      </w:r>
      <w:r w:rsidR="00735180" w:rsidRPr="00C77903">
        <w:rPr>
          <w:rFonts w:ascii="QCF_P030" w:hAnsi="QCF_P030" w:cs="QCF_P030"/>
          <w:rtl/>
          <w:lang w:eastAsia="en-US"/>
        </w:rPr>
        <w:t>ﯽ</w:t>
      </w:r>
      <w:r>
        <w:rPr>
          <w:rFonts w:ascii="QCF_P030" w:hAnsi="QCF_P030" w:cs="QCF_P030" w:hint="cs"/>
          <w:rtl/>
          <w:lang w:eastAsia="en-US"/>
        </w:rPr>
        <w:t xml:space="preserve"> </w:t>
      </w:r>
      <w:r w:rsidR="00735180" w:rsidRPr="00C77903">
        <w:rPr>
          <w:rFonts w:ascii="QCF_P030" w:hAnsi="QCF_P030" w:cs="QCF_P030"/>
          <w:rtl/>
          <w:lang w:eastAsia="en-US"/>
        </w:rPr>
        <w:t>ﯾ</w:t>
      </w:r>
      <w:r>
        <w:rPr>
          <w:rFonts w:ascii="QCF_P030" w:hAnsi="QCF_P030" w:cs="QCF_P030" w:hint="cs"/>
          <w:rtl/>
          <w:lang w:eastAsia="en-US"/>
        </w:rPr>
        <w:t xml:space="preserve"> </w:t>
      </w:r>
      <w:r w:rsidR="00735180" w:rsidRPr="00C77903">
        <w:rPr>
          <w:rFonts w:ascii="QCF_P030" w:hAnsi="QCF_P030" w:cs="QCF_P030"/>
          <w:rtl/>
          <w:lang w:eastAsia="en-US"/>
        </w:rPr>
        <w:t>ﯿ</w:t>
      </w:r>
      <w:r>
        <w:rPr>
          <w:rFonts w:ascii="QCF_P030" w:hAnsi="QCF_P030" w:cs="QCF_P030" w:hint="cs"/>
          <w:rtl/>
          <w:lang w:eastAsia="en-US"/>
        </w:rPr>
        <w:t xml:space="preserve"> </w:t>
      </w:r>
      <w:r w:rsidR="00735180" w:rsidRPr="00C77903">
        <w:rPr>
          <w:rFonts w:ascii="QCF_P030" w:hAnsi="QCF_P030" w:cs="QCF_P030"/>
          <w:rtl/>
          <w:lang w:eastAsia="en-US"/>
        </w:rPr>
        <w:t>ﰀ</w:t>
      </w:r>
      <w:r>
        <w:rPr>
          <w:rFonts w:ascii="QCF_P030" w:hAnsi="QCF_P030" w:cs="QCF_P030" w:hint="cs"/>
          <w:rtl/>
          <w:lang w:eastAsia="en-US"/>
        </w:rPr>
        <w:t xml:space="preserve"> </w:t>
      </w:r>
      <w:r w:rsidR="00735180" w:rsidRPr="00C77903">
        <w:rPr>
          <w:rFonts w:ascii="QCF_P030" w:hAnsi="QCF_P030" w:cs="QCF_P030"/>
          <w:rtl/>
          <w:lang w:eastAsia="en-US"/>
        </w:rPr>
        <w:t>ﰁ</w:t>
      </w:r>
      <w:r>
        <w:rPr>
          <w:rFonts w:ascii="QCF_P030" w:hAnsi="QCF_P030" w:cs="QCF_P030" w:hint="cs"/>
          <w:rtl/>
          <w:lang w:eastAsia="en-US"/>
        </w:rPr>
        <w:t xml:space="preserve"> </w:t>
      </w:r>
      <w:r w:rsidR="00735180" w:rsidRPr="00C77903">
        <w:rPr>
          <w:rFonts w:ascii="QCF_P030" w:hAnsi="QCF_P030" w:cs="QCF_P030"/>
          <w:color w:val="0000A5"/>
          <w:rtl/>
          <w:lang w:eastAsia="en-US"/>
        </w:rPr>
        <w:t>ﰂ</w:t>
      </w:r>
      <w:r>
        <w:rPr>
          <w:rFonts w:ascii="QCF_P030" w:hAnsi="QCF_P030" w:cs="QCF_P030" w:hint="cs"/>
          <w:color w:val="0000A5"/>
          <w:rtl/>
          <w:lang w:eastAsia="en-US"/>
        </w:rPr>
        <w:t xml:space="preserve"> </w:t>
      </w:r>
      <w:r w:rsidR="00735180" w:rsidRPr="00C77903">
        <w:rPr>
          <w:rFonts w:ascii="QCF_P030" w:hAnsi="QCF_P030" w:cs="QCF_P030"/>
          <w:rtl/>
          <w:lang w:eastAsia="en-US"/>
        </w:rPr>
        <w:t>ﰃ</w:t>
      </w:r>
      <w:r>
        <w:rPr>
          <w:rFonts w:ascii="QCF_P030" w:hAnsi="QCF_P030" w:cs="QCF_P030" w:hint="cs"/>
          <w:rtl/>
          <w:lang w:eastAsia="en-US"/>
        </w:rPr>
        <w:t xml:space="preserve"> </w:t>
      </w:r>
      <w:r w:rsidR="00735180" w:rsidRPr="00C77903">
        <w:rPr>
          <w:rFonts w:ascii="QCF_P030" w:hAnsi="QCF_P030" w:cs="QCF_P030"/>
          <w:rtl/>
          <w:lang w:eastAsia="en-US"/>
        </w:rPr>
        <w:t>ﰄ</w:t>
      </w:r>
      <w:r>
        <w:rPr>
          <w:rFonts w:ascii="QCF_P030" w:hAnsi="QCF_P030" w:cs="QCF_P030" w:hint="cs"/>
          <w:rtl/>
          <w:lang w:eastAsia="en-US"/>
        </w:rPr>
        <w:t xml:space="preserve"> </w:t>
      </w:r>
      <w:r w:rsidR="00735180" w:rsidRPr="00C77903">
        <w:rPr>
          <w:rFonts w:ascii="QCF_P030" w:hAnsi="QCF_P030" w:cs="QCF_P030"/>
          <w:rtl/>
          <w:lang w:eastAsia="en-US"/>
        </w:rPr>
        <w:t>ﰅ</w:t>
      </w:r>
      <w:r>
        <w:rPr>
          <w:rFonts w:ascii="QCF_P030" w:hAnsi="QCF_P030" w:cs="QCF_P030" w:hint="cs"/>
          <w:rtl/>
          <w:lang w:eastAsia="en-US"/>
        </w:rPr>
        <w:t xml:space="preserve"> </w:t>
      </w:r>
      <w:r w:rsidR="00735180" w:rsidRPr="00C77903">
        <w:rPr>
          <w:rFonts w:ascii="QCF_P030" w:hAnsi="QCF_P030" w:cs="QCF_P030"/>
          <w:rtl/>
          <w:lang w:eastAsia="en-US"/>
        </w:rPr>
        <w:t>ﰆ</w:t>
      </w:r>
      <w:r>
        <w:rPr>
          <w:rFonts w:ascii="QCF_P030" w:hAnsi="QCF_P030" w:cs="QCF_P030" w:hint="cs"/>
          <w:rtl/>
          <w:lang w:eastAsia="en-US"/>
        </w:rPr>
        <w:t xml:space="preserve"> </w:t>
      </w:r>
      <w:r w:rsidR="00735180" w:rsidRPr="00C77903">
        <w:rPr>
          <w:rFonts w:ascii="QCF_P030" w:hAnsi="QCF_P030" w:cs="QCF_P030"/>
          <w:rtl/>
          <w:lang w:eastAsia="en-US"/>
        </w:rPr>
        <w:t>ﰇ</w:t>
      </w:r>
      <w:r>
        <w:rPr>
          <w:rFonts w:ascii="QCF_P030" w:hAnsi="QCF_P030" w:cs="QCF_P030" w:hint="cs"/>
          <w:rtl/>
          <w:lang w:eastAsia="en-US"/>
        </w:rPr>
        <w:t xml:space="preserve"> </w:t>
      </w:r>
      <w:r w:rsidR="00735180" w:rsidRPr="00C77903">
        <w:rPr>
          <w:rFonts w:ascii="QCF_P030" w:hAnsi="QCF_P030" w:cs="QCF_P030"/>
          <w:rtl/>
          <w:lang w:eastAsia="en-US"/>
        </w:rPr>
        <w:t>ﰈ</w:t>
      </w:r>
      <w:r>
        <w:rPr>
          <w:rFonts w:ascii="QCF_P030" w:hAnsi="QCF_P030" w:cs="QCF_P030" w:hint="cs"/>
          <w:rtl/>
          <w:lang w:eastAsia="en-US"/>
        </w:rPr>
        <w:t xml:space="preserve"> </w:t>
      </w:r>
      <w:r w:rsidR="00735180" w:rsidRPr="00C77903">
        <w:rPr>
          <w:rFonts w:ascii="QCF_P030" w:hAnsi="QCF_P030" w:cs="QCF_P030"/>
          <w:rtl/>
          <w:lang w:eastAsia="en-US"/>
        </w:rPr>
        <w:t>ﰉ</w:t>
      </w:r>
      <w:r>
        <w:rPr>
          <w:rFonts w:ascii="QCF_P030" w:hAnsi="QCF_P030" w:cs="QCF_P030" w:hint="cs"/>
          <w:rtl/>
          <w:lang w:eastAsia="en-US"/>
        </w:rPr>
        <w:t xml:space="preserve"> </w:t>
      </w:r>
      <w:r w:rsidR="00735180" w:rsidRPr="00C77903">
        <w:rPr>
          <w:rFonts w:ascii="QCF_P030" w:hAnsi="QCF_P030" w:cs="QCF_P030"/>
          <w:rtl/>
          <w:lang w:eastAsia="en-US"/>
        </w:rPr>
        <w:t>ﰊ</w:t>
      </w:r>
      <w:r>
        <w:rPr>
          <w:rFonts w:ascii="QCF_P030" w:hAnsi="QCF_P030" w:cs="QCF_P030" w:hint="cs"/>
          <w:rtl/>
          <w:lang w:eastAsia="en-US"/>
        </w:rPr>
        <w:t xml:space="preserve"> </w:t>
      </w:r>
      <w:r w:rsidR="00735180" w:rsidRPr="00C77903">
        <w:rPr>
          <w:rFonts w:ascii="QCF_P030" w:hAnsi="QCF_P030" w:cs="QCF_P030"/>
          <w:rtl/>
          <w:lang w:eastAsia="en-US"/>
        </w:rPr>
        <w:t>ﰋ</w:t>
      </w:r>
      <w:r>
        <w:rPr>
          <w:rFonts w:ascii="QCF_P030" w:hAnsi="QCF_P030" w:cs="QCF_P030" w:hint="cs"/>
          <w:rtl/>
          <w:lang w:eastAsia="en-US"/>
        </w:rPr>
        <w:t xml:space="preserve"> </w:t>
      </w:r>
      <w:r w:rsidR="00735180" w:rsidRPr="00C77903">
        <w:rPr>
          <w:rFonts w:ascii="QCF_P030" w:hAnsi="QCF_P030" w:cs="QCF_P030"/>
          <w:rtl/>
          <w:lang w:eastAsia="en-US"/>
        </w:rPr>
        <w:t>ﰌ</w:t>
      </w:r>
      <w:r>
        <w:rPr>
          <w:rFonts w:ascii="QCF_P030" w:hAnsi="QCF_P030" w:cs="QCF_P030" w:hint="cs"/>
          <w:rtl/>
          <w:lang w:eastAsia="en-US"/>
        </w:rPr>
        <w:t xml:space="preserve"> </w:t>
      </w:r>
      <w:r w:rsidR="00735180" w:rsidRPr="00C77903">
        <w:rPr>
          <w:rFonts w:ascii="QCF_P030" w:hAnsi="QCF_P030" w:cs="QCF_P030"/>
          <w:rtl/>
          <w:lang w:eastAsia="en-US"/>
        </w:rPr>
        <w:t xml:space="preserve"> </w:t>
      </w:r>
      <w:r>
        <w:rPr>
          <w:rFonts w:ascii="QCF_P030" w:hAnsi="QCF_P030" w:cs="QCF_P030" w:hint="cs"/>
          <w:rtl/>
          <w:lang w:eastAsia="en-US"/>
        </w:rPr>
        <w:t xml:space="preserve"> </w:t>
      </w:r>
      <w:r w:rsidR="00735180" w:rsidRPr="00C77903">
        <w:rPr>
          <w:rFonts w:ascii="QCF_P030" w:hAnsi="QCF_P030" w:cs="QCF_P030"/>
          <w:rtl/>
          <w:lang w:eastAsia="en-US"/>
        </w:rPr>
        <w:t>ﰍ</w:t>
      </w:r>
      <w:r>
        <w:rPr>
          <w:rFonts w:ascii="QCF_P030" w:hAnsi="QCF_P030" w:cs="QCF_P030" w:hint="cs"/>
          <w:rtl/>
          <w:lang w:eastAsia="en-US"/>
        </w:rPr>
        <w:t xml:space="preserve"> </w:t>
      </w:r>
      <w:r w:rsidR="00735180" w:rsidRPr="00C77903">
        <w:rPr>
          <w:rFonts w:ascii="QCF_P030" w:hAnsi="QCF_P030" w:cs="QCF_P030"/>
          <w:color w:val="0000A5"/>
          <w:rtl/>
          <w:lang w:eastAsia="en-US"/>
        </w:rPr>
        <w:t>ﰎ</w:t>
      </w:r>
      <w:r>
        <w:rPr>
          <w:rFonts w:ascii="QCF_P030" w:hAnsi="QCF_P030" w:cs="QCF_P030" w:hint="cs"/>
          <w:color w:val="0000A5"/>
          <w:rtl/>
          <w:lang w:eastAsia="en-US"/>
        </w:rPr>
        <w:t xml:space="preserve"> </w:t>
      </w:r>
      <w:r w:rsidR="00735180" w:rsidRPr="00C77903">
        <w:rPr>
          <w:rFonts w:ascii="QCF_P030" w:hAnsi="QCF_P030" w:cs="QCF_P030"/>
          <w:rtl/>
          <w:lang w:eastAsia="en-US"/>
        </w:rPr>
        <w:t>ﰏ</w:t>
      </w:r>
      <w:r>
        <w:rPr>
          <w:rFonts w:ascii="QCF_P030" w:hAnsi="QCF_P030" w:cs="QCF_P030" w:hint="cs"/>
          <w:rtl/>
          <w:lang w:eastAsia="en-US"/>
        </w:rPr>
        <w:t xml:space="preserve"> </w:t>
      </w:r>
      <w:r w:rsidR="00735180" w:rsidRPr="00C77903">
        <w:rPr>
          <w:rFonts w:ascii="QCF_P030" w:hAnsi="QCF_P030" w:cs="QCF_P030"/>
          <w:rtl/>
          <w:lang w:eastAsia="en-US"/>
        </w:rPr>
        <w:t>ﰐ</w:t>
      </w:r>
      <w:r>
        <w:rPr>
          <w:rFonts w:ascii="QCF_P030" w:hAnsi="QCF_P030" w:cs="QCF_P030" w:hint="cs"/>
          <w:rtl/>
          <w:lang w:eastAsia="en-US"/>
        </w:rPr>
        <w:t xml:space="preserve"> </w:t>
      </w:r>
      <w:r w:rsidR="00735180" w:rsidRPr="00C77903">
        <w:rPr>
          <w:rFonts w:ascii="QCF_P030" w:hAnsi="QCF_P030" w:cs="QCF_P030"/>
          <w:rtl/>
          <w:lang w:eastAsia="en-US"/>
        </w:rPr>
        <w:t>ﰑ</w:t>
      </w:r>
      <w:r w:rsidR="00735180" w:rsidRPr="00C77903">
        <w:rPr>
          <w:rFonts w:ascii="QCF_BSML" w:hAnsi="QCF_BSML" w:cs="QCF_BSML"/>
          <w:rtl/>
          <w:lang w:eastAsia="en-US"/>
        </w:rPr>
        <w:t>ﭼ</w:t>
      </w:r>
      <w:bookmarkEnd w:id="411"/>
      <w:r w:rsidR="00D25F15" w:rsidRPr="00C85F0F">
        <w:rPr>
          <w:rFonts w:ascii="Traditional Arabic" w:hAnsi="Traditional Arabic" w:hint="cs"/>
          <w:color w:val="auto"/>
          <w:rtl/>
          <w:lang w:eastAsia="en-US"/>
        </w:rPr>
        <w:t>[</w:t>
      </w:r>
      <w:r w:rsidR="00D25F15" w:rsidRPr="00C85F0F">
        <w:rPr>
          <w:rFonts w:ascii="Traditional Arabic" w:hAnsi="Traditional Arabic"/>
          <w:color w:val="auto"/>
          <w:rtl/>
          <w:lang w:eastAsia="en-US"/>
        </w:rPr>
        <w:t>البقرة: ١٩٦</w:t>
      </w:r>
      <w:r w:rsidR="00D25F15" w:rsidRPr="00C85F0F">
        <w:rPr>
          <w:rFonts w:ascii="Traditional Arabic" w:hAnsi="Traditional Arabic" w:hint="cs"/>
          <w:color w:val="auto"/>
          <w:rtl/>
          <w:lang w:eastAsia="en-US"/>
        </w:rPr>
        <w:t>].</w:t>
      </w:r>
    </w:p>
    <w:p w:rsidR="00D25F15" w:rsidRPr="00C85F0F" w:rsidRDefault="00D25F15" w:rsidP="000A76C7">
      <w:pPr>
        <w:pStyle w:val="afc"/>
        <w:widowControl/>
        <w:numPr>
          <w:ilvl w:val="0"/>
          <w:numId w:val="265"/>
        </w:numPr>
        <w:autoSpaceDE w:val="0"/>
        <w:autoSpaceDN w:val="0"/>
        <w:adjustRightInd w:val="0"/>
        <w:rPr>
          <w:rFonts w:ascii="Traditional Arabic" w:hAnsi="Traditional Arabic"/>
          <w:color w:val="auto"/>
          <w:lang w:eastAsia="en-US"/>
        </w:rPr>
      </w:pPr>
      <w:r w:rsidRPr="00C85F0F">
        <w:rPr>
          <w:rFonts w:ascii="Traditional Arabic" w:hAnsi="Traditional Arabic" w:hint="cs"/>
          <w:rtl/>
          <w:lang w:eastAsia="en-US"/>
        </w:rPr>
        <w:t>قول الله تعالى:</w:t>
      </w:r>
      <w:bookmarkStart w:id="412" w:name="سورة_البقرة_238إلى239"/>
      <w:r w:rsidR="006B0FD5">
        <w:rPr>
          <w:rFonts w:ascii="Traditional Arabic" w:hAnsi="Traditional Arabic" w:hint="cs"/>
          <w:rtl/>
          <w:lang w:eastAsia="en-US"/>
        </w:rPr>
        <w:t xml:space="preserve"> </w:t>
      </w:r>
      <w:r w:rsidR="00735180" w:rsidRPr="00C77903">
        <w:rPr>
          <w:rFonts w:ascii="QCF_BSML" w:hAnsi="QCF_BSML" w:cs="QCF_BSML"/>
          <w:rtl/>
          <w:lang w:eastAsia="en-US"/>
        </w:rPr>
        <w:t>ﭽ</w:t>
      </w:r>
      <w:r w:rsidR="00735180" w:rsidRPr="00C77903">
        <w:rPr>
          <w:rFonts w:ascii="QCF_P039" w:hAnsi="QCF_P039" w:cs="QCF_P039"/>
          <w:rtl/>
          <w:lang w:eastAsia="en-US"/>
        </w:rPr>
        <w:t>ﭑ</w:t>
      </w:r>
      <w:r w:rsidR="006B0FD5">
        <w:rPr>
          <w:rFonts w:ascii="QCF_P039" w:hAnsi="QCF_P039" w:cs="QCF_P039" w:hint="cs"/>
          <w:rtl/>
          <w:lang w:eastAsia="en-US"/>
        </w:rPr>
        <w:t xml:space="preserve"> </w:t>
      </w:r>
      <w:r w:rsidR="00735180" w:rsidRPr="00C77903">
        <w:rPr>
          <w:rFonts w:ascii="QCF_P039" w:hAnsi="QCF_P039" w:cs="QCF_P039"/>
          <w:rtl/>
          <w:lang w:eastAsia="en-US"/>
        </w:rPr>
        <w:t>ﭒ</w:t>
      </w:r>
      <w:r w:rsidR="006B0FD5">
        <w:rPr>
          <w:rFonts w:ascii="QCF_P039" w:hAnsi="QCF_P039" w:cs="QCF_P039" w:hint="cs"/>
          <w:rtl/>
          <w:lang w:eastAsia="en-US"/>
        </w:rPr>
        <w:t xml:space="preserve"> </w:t>
      </w:r>
      <w:r w:rsidR="00735180" w:rsidRPr="00C77903">
        <w:rPr>
          <w:rFonts w:ascii="QCF_P039" w:hAnsi="QCF_P039" w:cs="QCF_P039"/>
          <w:rtl/>
          <w:lang w:eastAsia="en-US"/>
        </w:rPr>
        <w:t>ﭓ</w:t>
      </w:r>
      <w:r w:rsidR="006B0FD5">
        <w:rPr>
          <w:rFonts w:ascii="QCF_P039" w:hAnsi="QCF_P039" w:cs="QCF_P039" w:hint="cs"/>
          <w:rtl/>
          <w:lang w:eastAsia="en-US"/>
        </w:rPr>
        <w:t xml:space="preserve"> </w:t>
      </w:r>
      <w:r w:rsidR="00735180" w:rsidRPr="00C77903">
        <w:rPr>
          <w:rFonts w:ascii="QCF_P039" w:hAnsi="QCF_P039" w:cs="QCF_P039"/>
          <w:rtl/>
          <w:lang w:eastAsia="en-US"/>
        </w:rPr>
        <w:t>ﭔ</w:t>
      </w:r>
      <w:r w:rsidR="006B0FD5">
        <w:rPr>
          <w:rFonts w:ascii="QCF_P039" w:hAnsi="QCF_P039" w:cs="QCF_P039" w:hint="cs"/>
          <w:rtl/>
          <w:lang w:eastAsia="en-US"/>
        </w:rPr>
        <w:t xml:space="preserve"> </w:t>
      </w:r>
      <w:r w:rsidR="00735180" w:rsidRPr="00C77903">
        <w:rPr>
          <w:rFonts w:ascii="QCF_P039" w:hAnsi="QCF_P039" w:cs="QCF_P039"/>
          <w:rtl/>
          <w:lang w:eastAsia="en-US"/>
        </w:rPr>
        <w:t>ﭕ</w:t>
      </w:r>
      <w:r w:rsidR="006B0FD5">
        <w:rPr>
          <w:rFonts w:ascii="QCF_P039" w:hAnsi="QCF_P039" w:cs="QCF_P039" w:hint="cs"/>
          <w:rtl/>
          <w:lang w:eastAsia="en-US"/>
        </w:rPr>
        <w:t xml:space="preserve"> </w:t>
      </w:r>
      <w:r w:rsidR="00735180" w:rsidRPr="00C77903">
        <w:rPr>
          <w:rFonts w:ascii="QCF_P039" w:hAnsi="QCF_P039" w:cs="QCF_P039"/>
          <w:rtl/>
          <w:lang w:eastAsia="en-US"/>
        </w:rPr>
        <w:t>ﭖ</w:t>
      </w:r>
      <w:r w:rsidR="006B0FD5">
        <w:rPr>
          <w:rFonts w:ascii="QCF_P039" w:hAnsi="QCF_P039" w:cs="QCF_P039" w:hint="cs"/>
          <w:rtl/>
          <w:lang w:eastAsia="en-US"/>
        </w:rPr>
        <w:t xml:space="preserve"> </w:t>
      </w:r>
      <w:r w:rsidR="00735180" w:rsidRPr="00C77903">
        <w:rPr>
          <w:rFonts w:ascii="QCF_P039" w:hAnsi="QCF_P039" w:cs="QCF_P039"/>
          <w:rtl/>
          <w:lang w:eastAsia="en-US"/>
        </w:rPr>
        <w:t>ﭗ</w:t>
      </w:r>
      <w:r w:rsidR="006B0FD5">
        <w:rPr>
          <w:rFonts w:ascii="QCF_P039" w:hAnsi="QCF_P039" w:cs="QCF_P039" w:hint="cs"/>
          <w:rtl/>
          <w:lang w:eastAsia="en-US"/>
        </w:rPr>
        <w:t xml:space="preserve"> </w:t>
      </w:r>
      <w:r w:rsidR="00735180" w:rsidRPr="00C77903">
        <w:rPr>
          <w:rFonts w:ascii="QCF_P039" w:hAnsi="QCF_P039" w:cs="QCF_P039"/>
          <w:rtl/>
          <w:lang w:eastAsia="en-US"/>
        </w:rPr>
        <w:t>ﭘ</w:t>
      </w:r>
      <w:r w:rsidR="006B0FD5">
        <w:rPr>
          <w:rFonts w:ascii="QCF_P039" w:hAnsi="QCF_P039" w:cs="QCF_P039" w:hint="cs"/>
          <w:rtl/>
          <w:lang w:eastAsia="en-US"/>
        </w:rPr>
        <w:t xml:space="preserve"> </w:t>
      </w:r>
      <w:r w:rsidR="00735180" w:rsidRPr="00C77903">
        <w:rPr>
          <w:rFonts w:ascii="QCF_P039" w:hAnsi="QCF_P039" w:cs="QCF_P039"/>
          <w:rtl/>
          <w:lang w:eastAsia="en-US"/>
        </w:rPr>
        <w:t>ﭙ</w:t>
      </w:r>
      <w:r w:rsidR="006B0FD5">
        <w:rPr>
          <w:rFonts w:ascii="QCF_P039" w:hAnsi="QCF_P039" w:cs="QCF_P039" w:hint="cs"/>
          <w:rtl/>
          <w:lang w:eastAsia="en-US"/>
        </w:rPr>
        <w:t xml:space="preserve"> </w:t>
      </w:r>
      <w:r w:rsidR="00735180" w:rsidRPr="00C77903">
        <w:rPr>
          <w:rFonts w:ascii="QCF_P039" w:hAnsi="QCF_P039" w:cs="QCF_P039"/>
          <w:rtl/>
          <w:lang w:eastAsia="en-US"/>
        </w:rPr>
        <w:t>ﭚ</w:t>
      </w:r>
      <w:r w:rsidR="006B0FD5">
        <w:rPr>
          <w:rFonts w:ascii="QCF_P039" w:hAnsi="QCF_P039" w:cs="QCF_P039" w:hint="cs"/>
          <w:rtl/>
          <w:lang w:eastAsia="en-US"/>
        </w:rPr>
        <w:t xml:space="preserve"> </w:t>
      </w:r>
      <w:r w:rsidR="00735180" w:rsidRPr="00C77903">
        <w:rPr>
          <w:rFonts w:ascii="QCF_P039" w:hAnsi="QCF_P039" w:cs="QCF_P039"/>
          <w:rtl/>
          <w:lang w:eastAsia="en-US"/>
        </w:rPr>
        <w:t>ﭛ</w:t>
      </w:r>
      <w:r w:rsidR="006B0FD5">
        <w:rPr>
          <w:rFonts w:ascii="QCF_P039" w:hAnsi="QCF_P039" w:cs="QCF_P039" w:hint="cs"/>
          <w:rtl/>
          <w:lang w:eastAsia="en-US"/>
        </w:rPr>
        <w:t xml:space="preserve"> </w:t>
      </w:r>
      <w:r w:rsidR="00735180" w:rsidRPr="00C77903">
        <w:rPr>
          <w:rFonts w:ascii="QCF_P039" w:hAnsi="QCF_P039" w:cs="QCF_P039"/>
          <w:rtl/>
          <w:lang w:eastAsia="en-US"/>
        </w:rPr>
        <w:t>ﭜ</w:t>
      </w:r>
      <w:r w:rsidR="006B0FD5">
        <w:rPr>
          <w:rFonts w:ascii="QCF_P039" w:hAnsi="QCF_P039" w:cs="QCF_P039" w:hint="cs"/>
          <w:rtl/>
          <w:lang w:eastAsia="en-US"/>
        </w:rPr>
        <w:t xml:space="preserve"> </w:t>
      </w:r>
      <w:r w:rsidR="00735180" w:rsidRPr="00C77903">
        <w:rPr>
          <w:rFonts w:ascii="QCF_P039" w:hAnsi="QCF_P039" w:cs="QCF_P039"/>
          <w:rtl/>
          <w:lang w:eastAsia="en-US"/>
        </w:rPr>
        <w:t>ﭝ</w:t>
      </w:r>
      <w:r w:rsidR="006B0FD5">
        <w:rPr>
          <w:rFonts w:ascii="QCF_P039" w:hAnsi="QCF_P039" w:cs="QCF_P039" w:hint="cs"/>
          <w:rtl/>
          <w:lang w:eastAsia="en-US"/>
        </w:rPr>
        <w:t xml:space="preserve"> </w:t>
      </w:r>
      <w:r w:rsidR="00735180" w:rsidRPr="00C77903">
        <w:rPr>
          <w:rFonts w:ascii="QCF_P039" w:hAnsi="QCF_P039" w:cs="QCF_P039"/>
          <w:rtl/>
          <w:lang w:eastAsia="en-US"/>
        </w:rPr>
        <w:t>ﭞ</w:t>
      </w:r>
      <w:r w:rsidR="006B0FD5">
        <w:rPr>
          <w:rFonts w:ascii="QCF_P039" w:hAnsi="QCF_P039" w:cs="QCF_P039" w:hint="cs"/>
          <w:rtl/>
          <w:lang w:eastAsia="en-US"/>
        </w:rPr>
        <w:t xml:space="preserve"> </w:t>
      </w:r>
      <w:r w:rsidR="00735180" w:rsidRPr="00C77903">
        <w:rPr>
          <w:rFonts w:ascii="QCF_P039" w:hAnsi="QCF_P039" w:cs="QCF_P039"/>
          <w:color w:val="0000A5"/>
          <w:rtl/>
          <w:lang w:eastAsia="en-US"/>
        </w:rPr>
        <w:t>ﭟ</w:t>
      </w:r>
      <w:r w:rsidR="006B0FD5">
        <w:rPr>
          <w:rFonts w:ascii="QCF_P039" w:hAnsi="QCF_P039" w:cs="QCF_P039" w:hint="cs"/>
          <w:color w:val="0000A5"/>
          <w:rtl/>
          <w:lang w:eastAsia="en-US"/>
        </w:rPr>
        <w:t xml:space="preserve"> </w:t>
      </w:r>
      <w:r w:rsidR="00735180" w:rsidRPr="00C77903">
        <w:rPr>
          <w:rFonts w:ascii="QCF_P039" w:hAnsi="QCF_P039" w:cs="QCF_P039"/>
          <w:rtl/>
          <w:lang w:eastAsia="en-US"/>
        </w:rPr>
        <w:t>ﭠ</w:t>
      </w:r>
      <w:r w:rsidR="006B0FD5">
        <w:rPr>
          <w:rFonts w:ascii="QCF_P039" w:hAnsi="QCF_P039" w:cs="QCF_P039" w:hint="cs"/>
          <w:rtl/>
          <w:lang w:eastAsia="en-US"/>
        </w:rPr>
        <w:t xml:space="preserve"> </w:t>
      </w:r>
      <w:r w:rsidR="00735180" w:rsidRPr="00C77903">
        <w:rPr>
          <w:rFonts w:ascii="QCF_P039" w:hAnsi="QCF_P039" w:cs="QCF_P039"/>
          <w:rtl/>
          <w:lang w:eastAsia="en-US"/>
        </w:rPr>
        <w:t>ﭡ</w:t>
      </w:r>
      <w:r w:rsidR="006B0FD5">
        <w:rPr>
          <w:rFonts w:ascii="QCF_P039" w:hAnsi="QCF_P039" w:cs="QCF_P039" w:hint="cs"/>
          <w:rtl/>
          <w:lang w:eastAsia="en-US"/>
        </w:rPr>
        <w:t xml:space="preserve"> </w:t>
      </w:r>
      <w:r w:rsidR="00735180" w:rsidRPr="00C77903">
        <w:rPr>
          <w:rFonts w:ascii="QCF_P039" w:hAnsi="QCF_P039" w:cs="QCF_P039"/>
          <w:rtl/>
          <w:lang w:eastAsia="en-US"/>
        </w:rPr>
        <w:t>ﭢ</w:t>
      </w:r>
      <w:r w:rsidR="006B0FD5">
        <w:rPr>
          <w:rFonts w:ascii="QCF_P039" w:hAnsi="QCF_P039" w:cs="QCF_P039" w:hint="cs"/>
          <w:rtl/>
          <w:lang w:eastAsia="en-US"/>
        </w:rPr>
        <w:t xml:space="preserve"> </w:t>
      </w:r>
      <w:r w:rsidR="00735180" w:rsidRPr="00C77903">
        <w:rPr>
          <w:rFonts w:ascii="QCF_P039" w:hAnsi="QCF_P039" w:cs="QCF_P039"/>
          <w:rtl/>
          <w:lang w:eastAsia="en-US"/>
        </w:rPr>
        <w:t>ﭣ</w:t>
      </w:r>
      <w:r w:rsidR="006B0FD5">
        <w:rPr>
          <w:rFonts w:ascii="QCF_P039" w:hAnsi="QCF_P039" w:cs="QCF_P039" w:hint="cs"/>
          <w:rtl/>
          <w:lang w:eastAsia="en-US"/>
        </w:rPr>
        <w:t xml:space="preserve"> </w:t>
      </w:r>
      <w:r w:rsidR="00735180" w:rsidRPr="00C77903">
        <w:rPr>
          <w:rFonts w:ascii="QCF_P039" w:hAnsi="QCF_P039" w:cs="QCF_P039"/>
          <w:rtl/>
          <w:lang w:eastAsia="en-US"/>
        </w:rPr>
        <w:t>ﭤ</w:t>
      </w:r>
      <w:r w:rsidR="006B0FD5">
        <w:rPr>
          <w:rFonts w:ascii="QCF_P039" w:hAnsi="QCF_P039" w:cs="QCF_P039" w:hint="cs"/>
          <w:rtl/>
          <w:lang w:eastAsia="en-US"/>
        </w:rPr>
        <w:t xml:space="preserve"> </w:t>
      </w:r>
      <w:r w:rsidR="00735180" w:rsidRPr="00C77903">
        <w:rPr>
          <w:rFonts w:ascii="QCF_P039" w:hAnsi="QCF_P039" w:cs="QCF_P039"/>
          <w:rtl/>
          <w:lang w:eastAsia="en-US"/>
        </w:rPr>
        <w:t>ﭥ</w:t>
      </w:r>
      <w:r w:rsidR="006B0FD5">
        <w:rPr>
          <w:rFonts w:ascii="QCF_P039" w:hAnsi="QCF_P039" w:cs="QCF_P039" w:hint="cs"/>
          <w:rtl/>
          <w:lang w:eastAsia="en-US"/>
        </w:rPr>
        <w:t xml:space="preserve"> </w:t>
      </w:r>
      <w:r w:rsidR="00735180" w:rsidRPr="00C77903">
        <w:rPr>
          <w:rFonts w:ascii="QCF_P039" w:hAnsi="QCF_P039" w:cs="QCF_P039"/>
          <w:rtl/>
          <w:lang w:eastAsia="en-US"/>
        </w:rPr>
        <w:t>ﭦ</w:t>
      </w:r>
      <w:r w:rsidR="006B0FD5">
        <w:rPr>
          <w:rFonts w:ascii="QCF_P039" w:hAnsi="QCF_P039" w:cs="QCF_P039" w:hint="cs"/>
          <w:rtl/>
          <w:lang w:eastAsia="en-US"/>
        </w:rPr>
        <w:t xml:space="preserve"> </w:t>
      </w:r>
      <w:r w:rsidR="00735180" w:rsidRPr="00C77903">
        <w:rPr>
          <w:rFonts w:ascii="QCF_P039" w:hAnsi="QCF_P039" w:cs="QCF_P039"/>
          <w:rtl/>
          <w:lang w:eastAsia="en-US"/>
        </w:rPr>
        <w:t>ﭧ</w:t>
      </w:r>
      <w:r w:rsidR="006B0FD5">
        <w:rPr>
          <w:rFonts w:ascii="QCF_P039" w:hAnsi="QCF_P039" w:cs="QCF_P039" w:hint="cs"/>
          <w:rtl/>
          <w:lang w:eastAsia="en-US"/>
        </w:rPr>
        <w:t xml:space="preserve"> </w:t>
      </w:r>
      <w:r w:rsidR="00735180" w:rsidRPr="00C77903">
        <w:rPr>
          <w:rFonts w:ascii="QCF_P039" w:hAnsi="QCF_P039" w:cs="QCF_P039"/>
          <w:rtl/>
          <w:lang w:eastAsia="en-US"/>
        </w:rPr>
        <w:t>ﭨ</w:t>
      </w:r>
      <w:r w:rsidR="006B0FD5">
        <w:rPr>
          <w:rFonts w:ascii="QCF_P039" w:hAnsi="QCF_P039" w:cs="QCF_P039" w:hint="cs"/>
          <w:rtl/>
          <w:lang w:eastAsia="en-US"/>
        </w:rPr>
        <w:t xml:space="preserve"> </w:t>
      </w:r>
      <w:r w:rsidR="00735180" w:rsidRPr="00C77903">
        <w:rPr>
          <w:rFonts w:ascii="QCF_P039" w:hAnsi="QCF_P039" w:cs="QCF_P039"/>
          <w:rtl/>
          <w:lang w:eastAsia="en-US"/>
        </w:rPr>
        <w:t>ﭩ</w:t>
      </w:r>
      <w:r w:rsidR="00735180" w:rsidRPr="00C77903">
        <w:rPr>
          <w:rFonts w:ascii="QCF_BSML" w:hAnsi="QCF_BSML" w:cs="QCF_BSML"/>
          <w:rtl/>
          <w:lang w:eastAsia="en-US"/>
        </w:rPr>
        <w:t>ﭼ</w:t>
      </w:r>
      <w:bookmarkEnd w:id="412"/>
      <w:r w:rsidRPr="00C85F0F">
        <w:rPr>
          <w:rFonts w:ascii="Traditional Arabic" w:hAnsi="Traditional Arabic" w:hint="cs"/>
          <w:color w:val="auto"/>
          <w:rtl/>
          <w:lang w:eastAsia="en-US"/>
        </w:rPr>
        <w:t>[</w:t>
      </w:r>
      <w:r w:rsidRPr="00C85F0F">
        <w:rPr>
          <w:rFonts w:ascii="Traditional Arabic" w:hAnsi="Traditional Arabic"/>
          <w:color w:val="auto"/>
          <w:rtl/>
          <w:lang w:eastAsia="en-US"/>
        </w:rPr>
        <w:t>البقرة: ٢٣٨ – ٢٣٩</w:t>
      </w:r>
      <w:r w:rsidRPr="00C85F0F">
        <w:rPr>
          <w:rFonts w:ascii="Traditional Arabic" w:hAnsi="Traditional Arabic" w:hint="cs"/>
          <w:color w:val="auto"/>
          <w:rtl/>
          <w:lang w:eastAsia="en-US"/>
        </w:rPr>
        <w:t>].</w:t>
      </w:r>
    </w:p>
    <w:p w:rsidR="00D25F15" w:rsidRPr="00C85F0F" w:rsidRDefault="00D25F15" w:rsidP="000A76C7">
      <w:pPr>
        <w:pStyle w:val="afc"/>
        <w:widowControl/>
        <w:numPr>
          <w:ilvl w:val="0"/>
          <w:numId w:val="265"/>
        </w:numPr>
        <w:autoSpaceDE w:val="0"/>
        <w:autoSpaceDN w:val="0"/>
        <w:adjustRightInd w:val="0"/>
        <w:rPr>
          <w:rFonts w:ascii="Traditional Arabic" w:hAnsi="Traditional Arabic"/>
          <w:color w:val="auto"/>
          <w:rtl/>
          <w:lang w:eastAsia="en-US"/>
        </w:rPr>
      </w:pPr>
      <w:r w:rsidRPr="00C85F0F">
        <w:rPr>
          <w:rFonts w:ascii="Traditional Arabic" w:hAnsi="Traditional Arabic" w:hint="cs"/>
          <w:rtl/>
          <w:lang w:eastAsia="en-US"/>
        </w:rPr>
        <w:t>قول الله تعالى:</w:t>
      </w:r>
      <w:bookmarkStart w:id="413" w:name="سورة_النساء_25"/>
      <w:r w:rsidR="006B0FD5">
        <w:rPr>
          <w:rFonts w:ascii="Traditional Arabic" w:hAnsi="Traditional Arabic" w:hint="cs"/>
          <w:rtl/>
          <w:lang w:eastAsia="en-US"/>
        </w:rPr>
        <w:t xml:space="preserve"> </w:t>
      </w:r>
      <w:r w:rsidR="00735180" w:rsidRPr="00C77903">
        <w:rPr>
          <w:rFonts w:ascii="QCF_BSML" w:hAnsi="QCF_BSML" w:cs="QCF_BSML"/>
          <w:rtl/>
          <w:lang w:eastAsia="en-US"/>
        </w:rPr>
        <w:t>ﭽ</w:t>
      </w:r>
      <w:r w:rsidR="00735180" w:rsidRPr="00C77903">
        <w:rPr>
          <w:rFonts w:ascii="QCF_P082" w:hAnsi="QCF_P082" w:cs="QCF_P082"/>
          <w:rtl/>
          <w:lang w:eastAsia="en-US"/>
        </w:rPr>
        <w:t>ﮂ</w:t>
      </w:r>
      <w:r w:rsidR="006B0FD5">
        <w:rPr>
          <w:rFonts w:ascii="QCF_P082" w:hAnsi="QCF_P082" w:cs="QCF_P082" w:hint="cs"/>
          <w:rtl/>
          <w:lang w:eastAsia="en-US"/>
        </w:rPr>
        <w:t xml:space="preserve"> </w:t>
      </w:r>
      <w:r w:rsidR="00735180" w:rsidRPr="00C77903">
        <w:rPr>
          <w:rFonts w:ascii="QCF_P082" w:hAnsi="QCF_P082" w:cs="QCF_P082"/>
          <w:rtl/>
          <w:lang w:eastAsia="en-US"/>
        </w:rPr>
        <w:t>ﮃ</w:t>
      </w:r>
      <w:r w:rsidR="006B0FD5">
        <w:rPr>
          <w:rFonts w:ascii="QCF_P082" w:hAnsi="QCF_P082" w:cs="QCF_P082" w:hint="cs"/>
          <w:rtl/>
          <w:lang w:eastAsia="en-US"/>
        </w:rPr>
        <w:t xml:space="preserve"> </w:t>
      </w:r>
      <w:r w:rsidR="00735180" w:rsidRPr="00C77903">
        <w:rPr>
          <w:rFonts w:ascii="QCF_P082" w:hAnsi="QCF_P082" w:cs="QCF_P082"/>
          <w:rtl/>
          <w:lang w:eastAsia="en-US"/>
        </w:rPr>
        <w:t>ﮄ</w:t>
      </w:r>
      <w:r w:rsidR="006B0FD5">
        <w:rPr>
          <w:rFonts w:ascii="QCF_P082" w:hAnsi="QCF_P082" w:cs="QCF_P082" w:hint="cs"/>
          <w:rtl/>
          <w:lang w:eastAsia="en-US"/>
        </w:rPr>
        <w:t xml:space="preserve"> </w:t>
      </w:r>
      <w:r w:rsidR="00735180" w:rsidRPr="00C77903">
        <w:rPr>
          <w:rFonts w:ascii="QCF_P082" w:hAnsi="QCF_P082" w:cs="QCF_P082"/>
          <w:rtl/>
          <w:lang w:eastAsia="en-US"/>
        </w:rPr>
        <w:t>ﮅ</w:t>
      </w:r>
      <w:r w:rsidR="006B0FD5">
        <w:rPr>
          <w:rFonts w:ascii="QCF_P082" w:hAnsi="QCF_P082" w:cs="QCF_P082" w:hint="cs"/>
          <w:rtl/>
          <w:lang w:eastAsia="en-US"/>
        </w:rPr>
        <w:t xml:space="preserve"> </w:t>
      </w:r>
      <w:r w:rsidR="00735180" w:rsidRPr="00C77903">
        <w:rPr>
          <w:rFonts w:ascii="QCF_P082" w:hAnsi="QCF_P082" w:cs="QCF_P082"/>
          <w:rtl/>
          <w:lang w:eastAsia="en-US"/>
        </w:rPr>
        <w:t>ﮆ</w:t>
      </w:r>
      <w:r w:rsidR="006B0FD5">
        <w:rPr>
          <w:rFonts w:ascii="QCF_P082" w:hAnsi="QCF_P082" w:cs="QCF_P082" w:hint="cs"/>
          <w:rtl/>
          <w:lang w:eastAsia="en-US"/>
        </w:rPr>
        <w:t xml:space="preserve"> </w:t>
      </w:r>
      <w:r w:rsidR="00735180" w:rsidRPr="00C77903">
        <w:rPr>
          <w:rFonts w:ascii="QCF_P082" w:hAnsi="QCF_P082" w:cs="QCF_P082"/>
          <w:rtl/>
          <w:lang w:eastAsia="en-US"/>
        </w:rPr>
        <w:t>ﮇ</w:t>
      </w:r>
      <w:r w:rsidR="006B0FD5">
        <w:rPr>
          <w:rFonts w:ascii="QCF_P082" w:hAnsi="QCF_P082" w:cs="QCF_P082" w:hint="cs"/>
          <w:rtl/>
          <w:lang w:eastAsia="en-US"/>
        </w:rPr>
        <w:t xml:space="preserve"> </w:t>
      </w:r>
      <w:r w:rsidR="00735180" w:rsidRPr="00C77903">
        <w:rPr>
          <w:rFonts w:ascii="QCF_P082" w:hAnsi="QCF_P082" w:cs="QCF_P082"/>
          <w:rtl/>
          <w:lang w:eastAsia="en-US"/>
        </w:rPr>
        <w:t>ﮈ</w:t>
      </w:r>
      <w:r w:rsidR="006B0FD5">
        <w:rPr>
          <w:rFonts w:ascii="QCF_P082" w:hAnsi="QCF_P082" w:cs="QCF_P082" w:hint="cs"/>
          <w:rtl/>
          <w:lang w:eastAsia="en-US"/>
        </w:rPr>
        <w:t xml:space="preserve"> </w:t>
      </w:r>
      <w:r w:rsidR="00735180" w:rsidRPr="00C77903">
        <w:rPr>
          <w:rFonts w:ascii="QCF_P082" w:hAnsi="QCF_P082" w:cs="QCF_P082"/>
          <w:rtl/>
          <w:lang w:eastAsia="en-US"/>
        </w:rPr>
        <w:t>ﮉ</w:t>
      </w:r>
      <w:r w:rsidR="006B0FD5">
        <w:rPr>
          <w:rFonts w:ascii="QCF_P082" w:hAnsi="QCF_P082" w:cs="QCF_P082" w:hint="cs"/>
          <w:rtl/>
          <w:lang w:eastAsia="en-US"/>
        </w:rPr>
        <w:t xml:space="preserve"> </w:t>
      </w:r>
      <w:r w:rsidR="00735180" w:rsidRPr="00C77903">
        <w:rPr>
          <w:rFonts w:ascii="QCF_P082" w:hAnsi="QCF_P082" w:cs="QCF_P082"/>
          <w:rtl/>
          <w:lang w:eastAsia="en-US"/>
        </w:rPr>
        <w:t>ﮊ</w:t>
      </w:r>
      <w:r w:rsidR="006B0FD5">
        <w:rPr>
          <w:rFonts w:ascii="QCF_P082" w:hAnsi="QCF_P082" w:cs="QCF_P082" w:hint="cs"/>
          <w:rtl/>
          <w:lang w:eastAsia="en-US"/>
        </w:rPr>
        <w:t xml:space="preserve"> </w:t>
      </w:r>
      <w:r w:rsidR="00735180" w:rsidRPr="00C77903">
        <w:rPr>
          <w:rFonts w:ascii="QCF_P082" w:hAnsi="QCF_P082" w:cs="QCF_P082"/>
          <w:rtl/>
          <w:lang w:eastAsia="en-US"/>
        </w:rPr>
        <w:t>ﮋ</w:t>
      </w:r>
      <w:r w:rsidR="006B0FD5">
        <w:rPr>
          <w:rFonts w:ascii="QCF_P082" w:hAnsi="QCF_P082" w:cs="QCF_P082" w:hint="cs"/>
          <w:rtl/>
          <w:lang w:eastAsia="en-US"/>
        </w:rPr>
        <w:t xml:space="preserve"> </w:t>
      </w:r>
      <w:r w:rsidR="00735180" w:rsidRPr="00C77903">
        <w:rPr>
          <w:rFonts w:ascii="QCF_P082" w:hAnsi="QCF_P082" w:cs="QCF_P082"/>
          <w:rtl/>
          <w:lang w:eastAsia="en-US"/>
        </w:rPr>
        <w:t>ﮌ</w:t>
      </w:r>
      <w:r w:rsidR="006B0FD5">
        <w:rPr>
          <w:rFonts w:ascii="QCF_P082" w:hAnsi="QCF_P082" w:cs="QCF_P082" w:hint="cs"/>
          <w:rtl/>
          <w:lang w:eastAsia="en-US"/>
        </w:rPr>
        <w:t xml:space="preserve"> </w:t>
      </w:r>
      <w:r w:rsidR="00735180" w:rsidRPr="00C77903">
        <w:rPr>
          <w:rFonts w:ascii="QCF_P082" w:hAnsi="QCF_P082" w:cs="QCF_P082"/>
          <w:rtl/>
          <w:lang w:eastAsia="en-US"/>
        </w:rPr>
        <w:t>ﮍ</w:t>
      </w:r>
      <w:r w:rsidR="006B0FD5">
        <w:rPr>
          <w:rFonts w:ascii="QCF_P082" w:hAnsi="QCF_P082" w:cs="QCF_P082" w:hint="cs"/>
          <w:rtl/>
          <w:lang w:eastAsia="en-US"/>
        </w:rPr>
        <w:t xml:space="preserve"> </w:t>
      </w:r>
      <w:r w:rsidR="00735180" w:rsidRPr="00C77903">
        <w:rPr>
          <w:rFonts w:ascii="QCF_P082" w:hAnsi="QCF_P082" w:cs="QCF_P082"/>
          <w:rtl/>
          <w:lang w:eastAsia="en-US"/>
        </w:rPr>
        <w:t>ﮎ</w:t>
      </w:r>
      <w:r w:rsidR="006B0FD5">
        <w:rPr>
          <w:rFonts w:ascii="QCF_P082" w:hAnsi="QCF_P082" w:cs="QCF_P082" w:hint="cs"/>
          <w:rtl/>
          <w:lang w:eastAsia="en-US"/>
        </w:rPr>
        <w:t xml:space="preserve"> </w:t>
      </w:r>
      <w:r w:rsidR="00735180" w:rsidRPr="00C77903">
        <w:rPr>
          <w:rFonts w:ascii="QCF_P082" w:hAnsi="QCF_P082" w:cs="QCF_P082"/>
          <w:rtl/>
          <w:lang w:eastAsia="en-US"/>
        </w:rPr>
        <w:t>ﮏ</w:t>
      </w:r>
      <w:r w:rsidR="006B0FD5">
        <w:rPr>
          <w:rFonts w:ascii="QCF_P082" w:hAnsi="QCF_P082" w:cs="QCF_P082" w:hint="cs"/>
          <w:rtl/>
          <w:lang w:eastAsia="en-US"/>
        </w:rPr>
        <w:t xml:space="preserve">   </w:t>
      </w:r>
      <w:r w:rsidR="00735180" w:rsidRPr="00C77903">
        <w:rPr>
          <w:rFonts w:ascii="QCF_P082" w:hAnsi="QCF_P082" w:cs="QCF_P082"/>
          <w:rtl/>
          <w:lang w:eastAsia="en-US"/>
        </w:rPr>
        <w:t>ﮐ</w:t>
      </w:r>
      <w:r w:rsidR="006B0FD5">
        <w:rPr>
          <w:rFonts w:ascii="QCF_P082" w:hAnsi="QCF_P082" w:cs="QCF_P082" w:hint="cs"/>
          <w:rtl/>
          <w:lang w:eastAsia="en-US"/>
        </w:rPr>
        <w:t xml:space="preserve"> </w:t>
      </w:r>
      <w:r w:rsidR="00735180" w:rsidRPr="00C77903">
        <w:rPr>
          <w:rFonts w:ascii="QCF_P082" w:hAnsi="QCF_P082" w:cs="QCF_P082"/>
          <w:rtl/>
          <w:lang w:eastAsia="en-US"/>
        </w:rPr>
        <w:t>ﮑ</w:t>
      </w:r>
      <w:r w:rsidR="00735180" w:rsidRPr="00C77903">
        <w:rPr>
          <w:rFonts w:ascii="QCF_BSML" w:hAnsi="QCF_BSML" w:cs="QCF_BSML"/>
          <w:rtl/>
          <w:lang w:eastAsia="en-US"/>
        </w:rPr>
        <w:t>ﭼ</w:t>
      </w:r>
      <w:bookmarkEnd w:id="413"/>
      <w:r w:rsidRPr="00C85F0F">
        <w:rPr>
          <w:rFonts w:ascii="Traditional Arabic" w:hAnsi="Traditional Arabic" w:hint="cs"/>
          <w:color w:val="auto"/>
          <w:rtl/>
          <w:lang w:eastAsia="en-US"/>
        </w:rPr>
        <w:t>[</w:t>
      </w:r>
      <w:r w:rsidRPr="00C85F0F">
        <w:rPr>
          <w:rFonts w:ascii="Traditional Arabic" w:hAnsi="Traditional Arabic"/>
          <w:color w:val="auto"/>
          <w:rtl/>
          <w:lang w:eastAsia="en-US"/>
        </w:rPr>
        <w:t>النساء: ٢٥</w:t>
      </w:r>
      <w:r w:rsidRPr="00C85F0F">
        <w:rPr>
          <w:rFonts w:ascii="Traditional Arabic" w:hAnsi="Traditional Arabic" w:hint="cs"/>
          <w:color w:val="auto"/>
          <w:rtl/>
          <w:lang w:eastAsia="en-US"/>
        </w:rPr>
        <w:t>].</w:t>
      </w:r>
    </w:p>
    <w:p w:rsidR="00D25F15" w:rsidRPr="00C85F0F" w:rsidRDefault="00D25F15" w:rsidP="000A76C7">
      <w:pPr>
        <w:pStyle w:val="afc"/>
        <w:widowControl/>
        <w:numPr>
          <w:ilvl w:val="0"/>
          <w:numId w:val="265"/>
        </w:numPr>
        <w:autoSpaceDE w:val="0"/>
        <w:autoSpaceDN w:val="0"/>
        <w:adjustRightInd w:val="0"/>
        <w:rPr>
          <w:rFonts w:ascii="Traditional Arabic" w:hAnsi="Traditional Arabic"/>
          <w:lang w:eastAsia="en-US"/>
        </w:rPr>
      </w:pPr>
      <w:r w:rsidRPr="00C85F0F">
        <w:rPr>
          <w:rFonts w:ascii="Traditional Arabic" w:hAnsi="Traditional Arabic" w:hint="cs"/>
          <w:rtl/>
          <w:lang w:eastAsia="en-US"/>
        </w:rPr>
        <w:lastRenderedPageBreak/>
        <w:t xml:space="preserve">قول الله تعالى: </w:t>
      </w:r>
      <w:bookmarkStart w:id="414" w:name="سورة_النساء_43_2"/>
      <w:r w:rsidR="00735180" w:rsidRPr="00C470A7">
        <w:rPr>
          <w:rFonts w:ascii="QCF_BSML" w:hAnsi="QCF_BSML" w:cs="QCF_BSML"/>
          <w:rtl/>
          <w:lang w:eastAsia="en-US"/>
        </w:rPr>
        <w:t>ﭽ</w:t>
      </w:r>
      <w:r w:rsidR="00735180" w:rsidRPr="00C470A7">
        <w:rPr>
          <w:rFonts w:ascii="QCF_P085" w:hAnsi="QCF_P085" w:cs="QCF_P085"/>
          <w:rtl/>
          <w:lang w:eastAsia="en-US"/>
        </w:rPr>
        <w:t>ﯘ</w:t>
      </w:r>
      <w:r w:rsidR="006B0FD5">
        <w:rPr>
          <w:rFonts w:ascii="QCF_P085" w:hAnsi="QCF_P085" w:cs="QCF_P085" w:hint="cs"/>
          <w:rtl/>
          <w:lang w:eastAsia="en-US"/>
        </w:rPr>
        <w:t xml:space="preserve"> </w:t>
      </w:r>
      <w:r w:rsidR="00735180" w:rsidRPr="00C470A7">
        <w:rPr>
          <w:rFonts w:ascii="QCF_P085" w:hAnsi="QCF_P085" w:cs="QCF_P085"/>
          <w:rtl/>
          <w:lang w:eastAsia="en-US"/>
        </w:rPr>
        <w:t>ﯙ</w:t>
      </w:r>
      <w:r w:rsidR="006B0FD5">
        <w:rPr>
          <w:rFonts w:ascii="QCF_P085" w:hAnsi="QCF_P085" w:cs="QCF_P085" w:hint="cs"/>
          <w:rtl/>
          <w:lang w:eastAsia="en-US"/>
        </w:rPr>
        <w:t xml:space="preserve"> </w:t>
      </w:r>
      <w:r w:rsidR="00735180" w:rsidRPr="00C470A7">
        <w:rPr>
          <w:rFonts w:ascii="QCF_P085" w:hAnsi="QCF_P085" w:cs="QCF_P085"/>
          <w:rtl/>
          <w:lang w:eastAsia="en-US"/>
        </w:rPr>
        <w:t>ﯚ</w:t>
      </w:r>
      <w:r w:rsidR="006B0FD5">
        <w:rPr>
          <w:rFonts w:ascii="QCF_P085" w:hAnsi="QCF_P085" w:cs="QCF_P085" w:hint="cs"/>
          <w:rtl/>
          <w:lang w:eastAsia="en-US"/>
        </w:rPr>
        <w:t xml:space="preserve"> </w:t>
      </w:r>
      <w:r w:rsidR="00735180" w:rsidRPr="00C470A7">
        <w:rPr>
          <w:rFonts w:ascii="QCF_P085" w:hAnsi="QCF_P085" w:cs="QCF_P085"/>
          <w:rtl/>
          <w:lang w:eastAsia="en-US"/>
        </w:rPr>
        <w:t>ﯛ</w:t>
      </w:r>
      <w:r w:rsidR="006B0FD5">
        <w:rPr>
          <w:rFonts w:ascii="QCF_P085" w:hAnsi="QCF_P085" w:cs="QCF_P085" w:hint="cs"/>
          <w:rtl/>
          <w:lang w:eastAsia="en-US"/>
        </w:rPr>
        <w:t xml:space="preserve"> </w:t>
      </w:r>
      <w:r w:rsidR="00735180" w:rsidRPr="00C470A7">
        <w:rPr>
          <w:rFonts w:ascii="QCF_P085" w:hAnsi="QCF_P085" w:cs="QCF_P085"/>
          <w:rtl/>
          <w:lang w:eastAsia="en-US"/>
        </w:rPr>
        <w:t>ﯜ</w:t>
      </w:r>
      <w:r w:rsidR="006B0FD5">
        <w:rPr>
          <w:rFonts w:ascii="QCF_P085" w:hAnsi="QCF_P085" w:cs="QCF_P085" w:hint="cs"/>
          <w:rtl/>
          <w:lang w:eastAsia="en-US"/>
        </w:rPr>
        <w:t xml:space="preserve"> </w:t>
      </w:r>
      <w:r w:rsidR="00735180" w:rsidRPr="00C470A7">
        <w:rPr>
          <w:rFonts w:ascii="QCF_P085" w:hAnsi="QCF_P085" w:cs="QCF_P085"/>
          <w:rtl/>
          <w:lang w:eastAsia="en-US"/>
        </w:rPr>
        <w:t>ﯝ</w:t>
      </w:r>
      <w:r w:rsidR="006B0FD5">
        <w:rPr>
          <w:rFonts w:ascii="QCF_P085" w:hAnsi="QCF_P085" w:cs="QCF_P085" w:hint="cs"/>
          <w:rtl/>
          <w:lang w:eastAsia="en-US"/>
        </w:rPr>
        <w:t xml:space="preserve"> </w:t>
      </w:r>
      <w:r w:rsidR="00735180" w:rsidRPr="00C470A7">
        <w:rPr>
          <w:rFonts w:ascii="QCF_P085" w:hAnsi="QCF_P085" w:cs="QCF_P085"/>
          <w:rtl/>
          <w:lang w:eastAsia="en-US"/>
        </w:rPr>
        <w:t>ﯞ</w:t>
      </w:r>
      <w:r w:rsidR="006B0FD5">
        <w:rPr>
          <w:rFonts w:ascii="QCF_P085" w:hAnsi="QCF_P085" w:cs="QCF_P085" w:hint="cs"/>
          <w:rtl/>
          <w:lang w:eastAsia="en-US"/>
        </w:rPr>
        <w:t xml:space="preserve"> </w:t>
      </w:r>
      <w:r w:rsidR="00735180" w:rsidRPr="00C470A7">
        <w:rPr>
          <w:rFonts w:ascii="QCF_P085" w:hAnsi="QCF_P085" w:cs="QCF_P085"/>
          <w:rtl/>
          <w:lang w:eastAsia="en-US"/>
        </w:rPr>
        <w:t>ﯟ</w:t>
      </w:r>
      <w:r w:rsidR="006B0FD5">
        <w:rPr>
          <w:rFonts w:ascii="QCF_P085" w:hAnsi="QCF_P085" w:cs="QCF_P085" w:hint="cs"/>
          <w:rtl/>
          <w:lang w:eastAsia="en-US"/>
        </w:rPr>
        <w:t xml:space="preserve"> </w:t>
      </w:r>
      <w:r w:rsidR="00735180" w:rsidRPr="00C470A7">
        <w:rPr>
          <w:rFonts w:ascii="QCF_P085" w:hAnsi="QCF_P085" w:cs="QCF_P085"/>
          <w:rtl/>
          <w:lang w:eastAsia="en-US"/>
        </w:rPr>
        <w:t>ﯠ</w:t>
      </w:r>
      <w:r w:rsidR="006B0FD5">
        <w:rPr>
          <w:rFonts w:ascii="QCF_P085" w:hAnsi="QCF_P085" w:cs="QCF_P085" w:hint="cs"/>
          <w:rtl/>
          <w:lang w:eastAsia="en-US"/>
        </w:rPr>
        <w:t xml:space="preserve"> </w:t>
      </w:r>
      <w:r w:rsidR="00735180" w:rsidRPr="00C470A7">
        <w:rPr>
          <w:rFonts w:ascii="QCF_P085" w:hAnsi="QCF_P085" w:cs="QCF_P085"/>
          <w:rtl/>
          <w:lang w:eastAsia="en-US"/>
        </w:rPr>
        <w:t>ﯡ</w:t>
      </w:r>
      <w:r w:rsidR="006B0FD5">
        <w:rPr>
          <w:rFonts w:ascii="QCF_P085" w:hAnsi="QCF_P085" w:cs="QCF_P085" w:hint="cs"/>
          <w:rtl/>
          <w:lang w:eastAsia="en-US"/>
        </w:rPr>
        <w:t xml:space="preserve"> </w:t>
      </w:r>
      <w:r w:rsidR="00735180" w:rsidRPr="00C470A7">
        <w:rPr>
          <w:rFonts w:ascii="QCF_P085" w:hAnsi="QCF_P085" w:cs="QCF_P085"/>
          <w:rtl/>
          <w:lang w:eastAsia="en-US"/>
        </w:rPr>
        <w:t>ﯢ</w:t>
      </w:r>
      <w:r w:rsidR="006B0FD5">
        <w:rPr>
          <w:rFonts w:ascii="QCF_P085" w:hAnsi="QCF_P085" w:cs="QCF_P085" w:hint="cs"/>
          <w:rtl/>
          <w:lang w:eastAsia="en-US"/>
        </w:rPr>
        <w:t xml:space="preserve"> </w:t>
      </w:r>
      <w:r w:rsidR="00735180" w:rsidRPr="00C470A7">
        <w:rPr>
          <w:rFonts w:ascii="QCF_P085" w:hAnsi="QCF_P085" w:cs="QCF_P085"/>
          <w:rtl/>
          <w:lang w:eastAsia="en-US"/>
        </w:rPr>
        <w:t>ﯣ</w:t>
      </w:r>
      <w:r w:rsidR="006B0FD5">
        <w:rPr>
          <w:rFonts w:ascii="QCF_P085" w:hAnsi="QCF_P085" w:cs="QCF_P085" w:hint="cs"/>
          <w:rtl/>
          <w:lang w:eastAsia="en-US"/>
        </w:rPr>
        <w:t xml:space="preserve"> </w:t>
      </w:r>
      <w:r w:rsidR="00735180" w:rsidRPr="00C470A7">
        <w:rPr>
          <w:rFonts w:ascii="QCF_P085" w:hAnsi="QCF_P085" w:cs="QCF_P085"/>
          <w:rtl/>
          <w:lang w:eastAsia="en-US"/>
        </w:rPr>
        <w:t>ﯤ</w:t>
      </w:r>
      <w:r w:rsidR="006B0FD5">
        <w:rPr>
          <w:rFonts w:ascii="QCF_P085" w:hAnsi="QCF_P085" w:cs="QCF_P085" w:hint="cs"/>
          <w:rtl/>
          <w:lang w:eastAsia="en-US"/>
        </w:rPr>
        <w:t xml:space="preserve"> </w:t>
      </w:r>
      <w:r w:rsidR="00735180" w:rsidRPr="00C470A7">
        <w:rPr>
          <w:rFonts w:ascii="QCF_P085" w:hAnsi="QCF_P085" w:cs="QCF_P085"/>
          <w:rtl/>
          <w:lang w:eastAsia="en-US"/>
        </w:rPr>
        <w:t>ﯥ</w:t>
      </w:r>
      <w:r w:rsidR="006B0FD5">
        <w:rPr>
          <w:rFonts w:ascii="QCF_P085" w:hAnsi="QCF_P085" w:cs="QCF_P085" w:hint="cs"/>
          <w:rtl/>
          <w:lang w:eastAsia="en-US"/>
        </w:rPr>
        <w:t xml:space="preserve"> </w:t>
      </w:r>
      <w:r w:rsidR="00735180" w:rsidRPr="00C470A7">
        <w:rPr>
          <w:rFonts w:ascii="QCF_P085" w:hAnsi="QCF_P085" w:cs="QCF_P085"/>
          <w:rtl/>
          <w:lang w:eastAsia="en-US"/>
        </w:rPr>
        <w:t>ﯦ</w:t>
      </w:r>
      <w:r w:rsidR="006B0FD5">
        <w:rPr>
          <w:rFonts w:ascii="QCF_P085" w:hAnsi="QCF_P085" w:cs="QCF_P085" w:hint="cs"/>
          <w:rtl/>
          <w:lang w:eastAsia="en-US"/>
        </w:rPr>
        <w:t xml:space="preserve"> </w:t>
      </w:r>
      <w:r w:rsidR="00735180" w:rsidRPr="00C470A7">
        <w:rPr>
          <w:rFonts w:ascii="QCF_P085" w:hAnsi="QCF_P085" w:cs="QCF_P085"/>
          <w:rtl/>
          <w:lang w:eastAsia="en-US"/>
        </w:rPr>
        <w:t>ﯧ</w:t>
      </w:r>
      <w:r w:rsidR="006B0FD5">
        <w:rPr>
          <w:rFonts w:ascii="QCF_P085" w:hAnsi="QCF_P085" w:cs="QCF_P085" w:hint="cs"/>
          <w:rtl/>
          <w:lang w:eastAsia="en-US"/>
        </w:rPr>
        <w:t xml:space="preserve"> </w:t>
      </w:r>
      <w:r w:rsidR="00735180" w:rsidRPr="00C470A7">
        <w:rPr>
          <w:rFonts w:ascii="QCF_P085" w:hAnsi="QCF_P085" w:cs="QCF_P085"/>
          <w:rtl/>
          <w:lang w:eastAsia="en-US"/>
        </w:rPr>
        <w:t>ﯨ</w:t>
      </w:r>
      <w:r w:rsidR="006B0FD5">
        <w:rPr>
          <w:rFonts w:ascii="QCF_P085" w:hAnsi="QCF_P085" w:cs="QCF_P085" w:hint="cs"/>
          <w:rtl/>
          <w:lang w:eastAsia="en-US"/>
        </w:rPr>
        <w:t xml:space="preserve"> </w:t>
      </w:r>
      <w:r w:rsidR="00735180" w:rsidRPr="00C470A7">
        <w:rPr>
          <w:rFonts w:ascii="QCF_P085" w:hAnsi="QCF_P085" w:cs="QCF_P085"/>
          <w:rtl/>
          <w:lang w:eastAsia="en-US"/>
        </w:rPr>
        <w:t>ﯩ</w:t>
      </w:r>
      <w:r w:rsidR="006B0FD5">
        <w:rPr>
          <w:rFonts w:ascii="QCF_P085" w:hAnsi="QCF_P085" w:cs="QCF_P085" w:hint="cs"/>
          <w:rtl/>
          <w:lang w:eastAsia="en-US"/>
        </w:rPr>
        <w:t xml:space="preserve"> </w:t>
      </w:r>
      <w:r w:rsidR="00735180" w:rsidRPr="00C470A7">
        <w:rPr>
          <w:rFonts w:ascii="QCF_P085" w:hAnsi="QCF_P085" w:cs="QCF_P085"/>
          <w:rtl/>
          <w:lang w:eastAsia="en-US"/>
        </w:rPr>
        <w:t>ﯪ</w:t>
      </w:r>
      <w:r w:rsidR="006B0FD5">
        <w:rPr>
          <w:rFonts w:ascii="QCF_P085" w:hAnsi="QCF_P085" w:cs="QCF_P085" w:hint="cs"/>
          <w:rtl/>
          <w:lang w:eastAsia="en-US"/>
        </w:rPr>
        <w:t xml:space="preserve"> </w:t>
      </w:r>
      <w:r w:rsidR="00735180" w:rsidRPr="00C470A7">
        <w:rPr>
          <w:rFonts w:ascii="QCF_P085" w:hAnsi="QCF_P085" w:cs="QCF_P085"/>
          <w:rtl/>
          <w:lang w:eastAsia="en-US"/>
        </w:rPr>
        <w:t>ﯫ</w:t>
      </w:r>
      <w:r w:rsidR="006B0FD5">
        <w:rPr>
          <w:rFonts w:ascii="QCF_P085" w:hAnsi="QCF_P085" w:cs="QCF_P085" w:hint="cs"/>
          <w:rtl/>
          <w:lang w:eastAsia="en-US"/>
        </w:rPr>
        <w:t xml:space="preserve"> </w:t>
      </w:r>
      <w:r w:rsidR="00735180" w:rsidRPr="00C470A7">
        <w:rPr>
          <w:rFonts w:ascii="QCF_P085" w:hAnsi="QCF_P085" w:cs="QCF_P085"/>
          <w:rtl/>
          <w:lang w:eastAsia="en-US"/>
        </w:rPr>
        <w:t>ﯬ</w:t>
      </w:r>
      <w:r w:rsidR="006B0FD5">
        <w:rPr>
          <w:rFonts w:ascii="QCF_P085" w:hAnsi="QCF_P085" w:cs="QCF_P085" w:hint="cs"/>
          <w:rtl/>
          <w:lang w:eastAsia="en-US"/>
        </w:rPr>
        <w:t xml:space="preserve"> </w:t>
      </w:r>
      <w:r w:rsidR="00735180" w:rsidRPr="00C470A7">
        <w:rPr>
          <w:rFonts w:ascii="QCF_P085" w:hAnsi="QCF_P085" w:cs="QCF_P085"/>
          <w:rtl/>
          <w:lang w:eastAsia="en-US"/>
        </w:rPr>
        <w:t>ﯭ</w:t>
      </w:r>
      <w:r w:rsidR="006B0FD5">
        <w:rPr>
          <w:rFonts w:ascii="QCF_P085" w:hAnsi="QCF_P085" w:cs="QCF_P085" w:hint="cs"/>
          <w:rtl/>
          <w:lang w:eastAsia="en-US"/>
        </w:rPr>
        <w:t xml:space="preserve"> </w:t>
      </w:r>
      <w:r w:rsidR="00735180" w:rsidRPr="00C470A7">
        <w:rPr>
          <w:rFonts w:ascii="QCF_P085" w:hAnsi="QCF_P085" w:cs="QCF_P085"/>
          <w:rtl/>
          <w:lang w:eastAsia="en-US"/>
        </w:rPr>
        <w:t>ﯮ</w:t>
      </w:r>
      <w:r w:rsidR="006B0FD5">
        <w:rPr>
          <w:rFonts w:ascii="QCF_P085" w:hAnsi="QCF_P085" w:cs="QCF_P085" w:hint="cs"/>
          <w:rtl/>
          <w:lang w:eastAsia="en-US"/>
        </w:rPr>
        <w:t xml:space="preserve"> </w:t>
      </w:r>
      <w:r w:rsidR="00735180" w:rsidRPr="00C470A7">
        <w:rPr>
          <w:rFonts w:ascii="QCF_P085" w:hAnsi="QCF_P085" w:cs="QCF_P085"/>
          <w:rtl/>
          <w:lang w:eastAsia="en-US"/>
        </w:rPr>
        <w:t>ﯯ</w:t>
      </w:r>
      <w:r w:rsidR="00735180" w:rsidRPr="00C470A7">
        <w:rPr>
          <w:rFonts w:ascii="QCF_BSML" w:hAnsi="QCF_BSML" w:cs="QCF_BSML"/>
          <w:rtl/>
          <w:lang w:eastAsia="en-US"/>
        </w:rPr>
        <w:t>ﭼ</w:t>
      </w:r>
      <w:bookmarkEnd w:id="414"/>
      <w:r w:rsidRPr="00C85F0F">
        <w:rPr>
          <w:rFonts w:ascii="Traditional Arabic" w:hAnsi="Traditional Arabic" w:hint="cs"/>
          <w:color w:val="auto"/>
          <w:rtl/>
          <w:lang w:eastAsia="en-US"/>
        </w:rPr>
        <w:t>[</w:t>
      </w:r>
      <w:r w:rsidRPr="00C85F0F">
        <w:rPr>
          <w:rFonts w:ascii="Traditional Arabic" w:hAnsi="Traditional Arabic"/>
          <w:color w:val="auto"/>
          <w:rtl/>
          <w:lang w:eastAsia="en-US"/>
        </w:rPr>
        <w:t>النساء: ٤٣</w:t>
      </w:r>
      <w:r w:rsidRPr="00C85F0F">
        <w:rPr>
          <w:rFonts w:ascii="Traditional Arabic" w:hAnsi="Traditional Arabic" w:hint="cs"/>
          <w:rtl/>
          <w:lang w:eastAsia="en-US"/>
        </w:rPr>
        <w:t>].</w:t>
      </w:r>
    </w:p>
    <w:p w:rsidR="00D25F15" w:rsidRPr="00C85F0F" w:rsidRDefault="00D25F15" w:rsidP="000A76C7">
      <w:pPr>
        <w:pStyle w:val="afc"/>
        <w:widowControl/>
        <w:numPr>
          <w:ilvl w:val="0"/>
          <w:numId w:val="265"/>
        </w:numPr>
        <w:autoSpaceDE w:val="0"/>
        <w:autoSpaceDN w:val="0"/>
        <w:adjustRightInd w:val="0"/>
        <w:rPr>
          <w:rFonts w:ascii="Traditional Arabic" w:hAnsi="Traditional Arabic"/>
          <w:color w:val="auto"/>
          <w:lang w:eastAsia="en-US"/>
        </w:rPr>
      </w:pPr>
      <w:r w:rsidRPr="00C85F0F">
        <w:rPr>
          <w:rFonts w:ascii="Traditional Arabic" w:hAnsi="Traditional Arabic" w:hint="cs"/>
          <w:rtl/>
          <w:lang w:eastAsia="en-US"/>
        </w:rPr>
        <w:t>قول الله تعالى:</w:t>
      </w:r>
      <w:bookmarkStart w:id="415" w:name="سورة_النساء_101"/>
      <w:r w:rsidR="006B0FD5">
        <w:rPr>
          <w:rFonts w:ascii="Traditional Arabic" w:hAnsi="Traditional Arabic" w:hint="cs"/>
          <w:rtl/>
          <w:lang w:eastAsia="en-US"/>
        </w:rPr>
        <w:t xml:space="preserve"> </w:t>
      </w:r>
      <w:r w:rsidR="00735180" w:rsidRPr="00C77903">
        <w:rPr>
          <w:rFonts w:ascii="QCF_BSML" w:hAnsi="QCF_BSML" w:cs="QCF_BSML"/>
          <w:rtl/>
          <w:lang w:eastAsia="en-US"/>
        </w:rPr>
        <w:t>ﭽ</w:t>
      </w:r>
      <w:r w:rsidR="00735180" w:rsidRPr="00C77903">
        <w:rPr>
          <w:rFonts w:ascii="QCF_P094" w:hAnsi="QCF_P094" w:cs="QCF_P094"/>
          <w:rtl/>
          <w:lang w:eastAsia="en-US"/>
        </w:rPr>
        <w:t>ﯽ</w:t>
      </w:r>
      <w:r w:rsidR="006B0FD5">
        <w:rPr>
          <w:rFonts w:ascii="QCF_P094" w:hAnsi="QCF_P094" w:cs="QCF_P094" w:hint="cs"/>
          <w:rtl/>
          <w:lang w:eastAsia="en-US"/>
        </w:rPr>
        <w:t xml:space="preserve"> </w:t>
      </w:r>
      <w:r w:rsidR="00735180" w:rsidRPr="00C77903">
        <w:rPr>
          <w:rFonts w:ascii="QCF_P094" w:hAnsi="QCF_P094" w:cs="QCF_P094"/>
          <w:rtl/>
          <w:lang w:eastAsia="en-US"/>
        </w:rPr>
        <w:t>ﯾ</w:t>
      </w:r>
      <w:r w:rsidR="006B0FD5">
        <w:rPr>
          <w:rFonts w:ascii="QCF_P094" w:hAnsi="QCF_P094" w:cs="QCF_P094" w:hint="cs"/>
          <w:rtl/>
          <w:lang w:eastAsia="en-US"/>
        </w:rPr>
        <w:t xml:space="preserve"> </w:t>
      </w:r>
      <w:r w:rsidR="00735180" w:rsidRPr="00C77903">
        <w:rPr>
          <w:rFonts w:ascii="QCF_P094" w:hAnsi="QCF_P094" w:cs="QCF_P094"/>
          <w:rtl/>
          <w:lang w:eastAsia="en-US"/>
        </w:rPr>
        <w:t>ﯿ</w:t>
      </w:r>
      <w:r w:rsidR="006B0FD5">
        <w:rPr>
          <w:rFonts w:ascii="QCF_P094" w:hAnsi="QCF_P094" w:cs="QCF_P094" w:hint="cs"/>
          <w:rtl/>
          <w:lang w:eastAsia="en-US"/>
        </w:rPr>
        <w:t xml:space="preserve"> </w:t>
      </w:r>
      <w:r w:rsidR="00735180" w:rsidRPr="00C77903">
        <w:rPr>
          <w:rFonts w:ascii="QCF_P094" w:hAnsi="QCF_P094" w:cs="QCF_P094"/>
          <w:rtl/>
          <w:lang w:eastAsia="en-US"/>
        </w:rPr>
        <w:t>ﰀ</w:t>
      </w:r>
      <w:r w:rsidR="006B0FD5">
        <w:rPr>
          <w:rFonts w:ascii="QCF_P094" w:hAnsi="QCF_P094" w:cs="QCF_P094" w:hint="cs"/>
          <w:rtl/>
          <w:lang w:eastAsia="en-US"/>
        </w:rPr>
        <w:t xml:space="preserve"> </w:t>
      </w:r>
      <w:r w:rsidR="00735180" w:rsidRPr="00C77903">
        <w:rPr>
          <w:rFonts w:ascii="QCF_P094" w:hAnsi="QCF_P094" w:cs="QCF_P094"/>
          <w:rtl/>
          <w:lang w:eastAsia="en-US"/>
        </w:rPr>
        <w:t>ﰁ</w:t>
      </w:r>
      <w:r w:rsidR="006B0FD5">
        <w:rPr>
          <w:rFonts w:ascii="QCF_P094" w:hAnsi="QCF_P094" w:cs="QCF_P094" w:hint="cs"/>
          <w:rtl/>
          <w:lang w:eastAsia="en-US"/>
        </w:rPr>
        <w:t xml:space="preserve"> </w:t>
      </w:r>
      <w:r w:rsidR="00735180" w:rsidRPr="00C77903">
        <w:rPr>
          <w:rFonts w:ascii="QCF_P094" w:hAnsi="QCF_P094" w:cs="QCF_P094"/>
          <w:rtl/>
          <w:lang w:eastAsia="en-US"/>
        </w:rPr>
        <w:t>ﰂ</w:t>
      </w:r>
      <w:r w:rsidR="006B0FD5">
        <w:rPr>
          <w:rFonts w:ascii="QCF_P094" w:hAnsi="QCF_P094" w:cs="QCF_P094" w:hint="cs"/>
          <w:rtl/>
          <w:lang w:eastAsia="en-US"/>
        </w:rPr>
        <w:t xml:space="preserve"> </w:t>
      </w:r>
      <w:r w:rsidR="00735180" w:rsidRPr="00C77903">
        <w:rPr>
          <w:rFonts w:ascii="QCF_P094" w:hAnsi="QCF_P094" w:cs="QCF_P094"/>
          <w:rtl/>
          <w:lang w:eastAsia="en-US"/>
        </w:rPr>
        <w:t>ﰃ</w:t>
      </w:r>
      <w:r w:rsidR="006B0FD5">
        <w:rPr>
          <w:rFonts w:ascii="QCF_P094" w:hAnsi="QCF_P094" w:cs="QCF_P094" w:hint="cs"/>
          <w:rtl/>
          <w:lang w:eastAsia="en-US"/>
        </w:rPr>
        <w:t xml:space="preserve"> </w:t>
      </w:r>
      <w:r w:rsidR="00735180" w:rsidRPr="00C77903">
        <w:rPr>
          <w:rFonts w:ascii="QCF_P094" w:hAnsi="QCF_P094" w:cs="QCF_P094"/>
          <w:rtl/>
          <w:lang w:eastAsia="en-US"/>
        </w:rPr>
        <w:t>ﰄ</w:t>
      </w:r>
      <w:r w:rsidR="006B0FD5">
        <w:rPr>
          <w:rFonts w:ascii="QCF_P094" w:hAnsi="QCF_P094" w:cs="QCF_P094" w:hint="cs"/>
          <w:rtl/>
          <w:lang w:eastAsia="en-US"/>
        </w:rPr>
        <w:t xml:space="preserve"> </w:t>
      </w:r>
      <w:r w:rsidR="00735180" w:rsidRPr="00C77903">
        <w:rPr>
          <w:rFonts w:ascii="QCF_P094" w:hAnsi="QCF_P094" w:cs="QCF_P094"/>
          <w:rtl/>
          <w:lang w:eastAsia="en-US"/>
        </w:rPr>
        <w:t>ﰅ</w:t>
      </w:r>
      <w:r w:rsidR="006B0FD5">
        <w:rPr>
          <w:rFonts w:ascii="QCF_P094" w:hAnsi="QCF_P094" w:cs="QCF_P094" w:hint="cs"/>
          <w:rtl/>
          <w:lang w:eastAsia="en-US"/>
        </w:rPr>
        <w:t xml:space="preserve"> </w:t>
      </w:r>
      <w:r w:rsidR="00735180" w:rsidRPr="00C77903">
        <w:rPr>
          <w:rFonts w:ascii="QCF_P094" w:hAnsi="QCF_P094" w:cs="QCF_P094"/>
          <w:rtl/>
          <w:lang w:eastAsia="en-US"/>
        </w:rPr>
        <w:t>ﰆ</w:t>
      </w:r>
      <w:r w:rsidR="006B0FD5">
        <w:rPr>
          <w:rFonts w:ascii="QCF_P094" w:hAnsi="QCF_P094" w:cs="QCF_P094" w:hint="cs"/>
          <w:rtl/>
          <w:lang w:eastAsia="en-US"/>
        </w:rPr>
        <w:t xml:space="preserve"> </w:t>
      </w:r>
      <w:r w:rsidR="00735180" w:rsidRPr="00C77903">
        <w:rPr>
          <w:rFonts w:ascii="QCF_P094" w:hAnsi="QCF_P094" w:cs="QCF_P094"/>
          <w:rtl/>
          <w:lang w:eastAsia="en-US"/>
        </w:rPr>
        <w:t>ﰇ</w:t>
      </w:r>
      <w:r w:rsidR="006B0FD5">
        <w:rPr>
          <w:rFonts w:ascii="QCF_P094" w:hAnsi="QCF_P094" w:cs="QCF_P094" w:hint="cs"/>
          <w:rtl/>
          <w:lang w:eastAsia="en-US"/>
        </w:rPr>
        <w:t xml:space="preserve"> </w:t>
      </w:r>
      <w:r w:rsidR="00735180" w:rsidRPr="00C77903">
        <w:rPr>
          <w:rFonts w:ascii="QCF_P094" w:hAnsi="QCF_P094" w:cs="QCF_P094"/>
          <w:rtl/>
          <w:lang w:eastAsia="en-US"/>
        </w:rPr>
        <w:t>ﰈ</w:t>
      </w:r>
      <w:r w:rsidR="006B0FD5">
        <w:rPr>
          <w:rFonts w:ascii="QCF_P094" w:hAnsi="QCF_P094" w:cs="QCF_P094" w:hint="cs"/>
          <w:rtl/>
          <w:lang w:eastAsia="en-US"/>
        </w:rPr>
        <w:t xml:space="preserve"> </w:t>
      </w:r>
      <w:r w:rsidR="00735180" w:rsidRPr="00C77903">
        <w:rPr>
          <w:rFonts w:ascii="QCF_P094" w:hAnsi="QCF_P094" w:cs="QCF_P094"/>
          <w:rtl/>
          <w:lang w:eastAsia="en-US"/>
        </w:rPr>
        <w:t>ﰉ</w:t>
      </w:r>
      <w:r w:rsidR="006B0FD5">
        <w:rPr>
          <w:rFonts w:ascii="QCF_P094" w:hAnsi="QCF_P094" w:cs="QCF_P094" w:hint="cs"/>
          <w:rtl/>
          <w:lang w:eastAsia="en-US"/>
        </w:rPr>
        <w:t xml:space="preserve"> </w:t>
      </w:r>
      <w:r w:rsidR="00735180" w:rsidRPr="00C77903">
        <w:rPr>
          <w:rFonts w:ascii="QCF_P094" w:hAnsi="QCF_P094" w:cs="QCF_P094"/>
          <w:rtl/>
          <w:lang w:eastAsia="en-US"/>
        </w:rPr>
        <w:t>ﰊ</w:t>
      </w:r>
      <w:r w:rsidR="006B0FD5">
        <w:rPr>
          <w:rFonts w:ascii="QCF_P094" w:hAnsi="QCF_P094" w:cs="QCF_P094" w:hint="cs"/>
          <w:rtl/>
          <w:lang w:eastAsia="en-US"/>
        </w:rPr>
        <w:t xml:space="preserve"> </w:t>
      </w:r>
      <w:r w:rsidR="00735180" w:rsidRPr="00C77903">
        <w:rPr>
          <w:rFonts w:ascii="QCF_P094" w:hAnsi="QCF_P094" w:cs="QCF_P094"/>
          <w:rtl/>
          <w:lang w:eastAsia="en-US"/>
        </w:rPr>
        <w:t>ﰋ</w:t>
      </w:r>
      <w:r w:rsidR="006B0FD5">
        <w:rPr>
          <w:rFonts w:ascii="QCF_P094" w:hAnsi="QCF_P094" w:cs="QCF_P094" w:hint="cs"/>
          <w:rtl/>
          <w:lang w:eastAsia="en-US"/>
        </w:rPr>
        <w:t xml:space="preserve"> </w:t>
      </w:r>
      <w:r w:rsidR="00735180" w:rsidRPr="00C77903">
        <w:rPr>
          <w:rFonts w:ascii="QCF_P094" w:hAnsi="QCF_P094" w:cs="QCF_P094"/>
          <w:rtl/>
          <w:lang w:eastAsia="en-US"/>
        </w:rPr>
        <w:t>ﰌ</w:t>
      </w:r>
      <w:r w:rsidR="006B0FD5">
        <w:rPr>
          <w:rFonts w:ascii="QCF_P094" w:hAnsi="QCF_P094" w:cs="QCF_P094" w:hint="cs"/>
          <w:rtl/>
          <w:lang w:eastAsia="en-US"/>
        </w:rPr>
        <w:t xml:space="preserve"> </w:t>
      </w:r>
      <w:r w:rsidR="00735180" w:rsidRPr="00C77903">
        <w:rPr>
          <w:rFonts w:ascii="QCF_P094" w:hAnsi="QCF_P094" w:cs="QCF_P094"/>
          <w:rtl/>
          <w:lang w:eastAsia="en-US"/>
        </w:rPr>
        <w:t>ﰍ</w:t>
      </w:r>
      <w:r w:rsidR="006B0FD5">
        <w:rPr>
          <w:rFonts w:ascii="QCF_P094" w:hAnsi="QCF_P094" w:cs="QCF_P094" w:hint="cs"/>
          <w:rtl/>
          <w:lang w:eastAsia="en-US"/>
        </w:rPr>
        <w:t xml:space="preserve"> </w:t>
      </w:r>
      <w:r w:rsidR="00735180" w:rsidRPr="00C77903">
        <w:rPr>
          <w:rFonts w:ascii="QCF_P094" w:hAnsi="QCF_P094" w:cs="QCF_P094"/>
          <w:color w:val="0000A5"/>
          <w:rtl/>
          <w:lang w:eastAsia="en-US"/>
        </w:rPr>
        <w:t>ﰎ</w:t>
      </w:r>
      <w:r w:rsidR="006B0FD5">
        <w:rPr>
          <w:rFonts w:ascii="QCF_P094" w:hAnsi="QCF_P094" w:cs="QCF_P094" w:hint="cs"/>
          <w:color w:val="0000A5"/>
          <w:rtl/>
          <w:lang w:eastAsia="en-US"/>
        </w:rPr>
        <w:t xml:space="preserve"> </w:t>
      </w:r>
      <w:r w:rsidR="00735180" w:rsidRPr="00C77903">
        <w:rPr>
          <w:rFonts w:ascii="QCF_P094" w:hAnsi="QCF_P094" w:cs="QCF_P094"/>
          <w:rtl/>
          <w:lang w:eastAsia="en-US"/>
        </w:rPr>
        <w:t>ﰏ</w:t>
      </w:r>
      <w:r w:rsidR="006B0FD5">
        <w:rPr>
          <w:rFonts w:ascii="QCF_P094" w:hAnsi="QCF_P094" w:cs="QCF_P094" w:hint="cs"/>
          <w:rtl/>
          <w:lang w:eastAsia="en-US"/>
        </w:rPr>
        <w:t xml:space="preserve"> </w:t>
      </w:r>
      <w:r w:rsidR="00735180" w:rsidRPr="00C77903">
        <w:rPr>
          <w:rFonts w:ascii="QCF_P094" w:hAnsi="QCF_P094" w:cs="QCF_P094"/>
          <w:rtl/>
          <w:lang w:eastAsia="en-US"/>
        </w:rPr>
        <w:t>ﰐ</w:t>
      </w:r>
      <w:r w:rsidR="006B0FD5">
        <w:rPr>
          <w:rFonts w:ascii="QCF_P094" w:hAnsi="QCF_P094" w:cs="QCF_P094" w:hint="cs"/>
          <w:rtl/>
          <w:lang w:eastAsia="en-US"/>
        </w:rPr>
        <w:t xml:space="preserve"> </w:t>
      </w:r>
      <w:r w:rsidR="00735180" w:rsidRPr="00C77903">
        <w:rPr>
          <w:rFonts w:ascii="QCF_P094" w:hAnsi="QCF_P094" w:cs="QCF_P094"/>
          <w:rtl/>
          <w:lang w:eastAsia="en-US"/>
        </w:rPr>
        <w:t>ﰑ</w:t>
      </w:r>
      <w:r w:rsidR="006B0FD5">
        <w:rPr>
          <w:rFonts w:ascii="QCF_P094" w:hAnsi="QCF_P094" w:cs="QCF_P094" w:hint="cs"/>
          <w:rtl/>
          <w:lang w:eastAsia="en-US"/>
        </w:rPr>
        <w:t xml:space="preserve"> </w:t>
      </w:r>
      <w:r w:rsidR="00735180" w:rsidRPr="00C77903">
        <w:rPr>
          <w:rFonts w:ascii="QCF_P094" w:hAnsi="QCF_P094" w:cs="QCF_P094"/>
          <w:rtl/>
          <w:lang w:eastAsia="en-US"/>
        </w:rPr>
        <w:t xml:space="preserve"> </w:t>
      </w:r>
      <w:r w:rsidR="006B0FD5">
        <w:rPr>
          <w:rFonts w:ascii="QCF_P094" w:hAnsi="QCF_P094" w:cs="QCF_P094" w:hint="cs"/>
          <w:rtl/>
          <w:lang w:eastAsia="en-US"/>
        </w:rPr>
        <w:t xml:space="preserve"> </w:t>
      </w:r>
      <w:r w:rsidR="00735180" w:rsidRPr="00C77903">
        <w:rPr>
          <w:rFonts w:ascii="QCF_P094" w:hAnsi="QCF_P094" w:cs="QCF_P094"/>
          <w:rtl/>
          <w:lang w:eastAsia="en-US"/>
        </w:rPr>
        <w:t>ﰒ</w:t>
      </w:r>
      <w:r w:rsidR="006B0FD5">
        <w:rPr>
          <w:rFonts w:ascii="QCF_P094" w:hAnsi="QCF_P094" w:cs="QCF_P094" w:hint="cs"/>
          <w:rtl/>
          <w:lang w:eastAsia="en-US"/>
        </w:rPr>
        <w:t xml:space="preserve"> </w:t>
      </w:r>
      <w:r w:rsidR="00735180" w:rsidRPr="00C77903">
        <w:rPr>
          <w:rFonts w:ascii="QCF_P094" w:hAnsi="QCF_P094" w:cs="QCF_P094"/>
          <w:rtl/>
          <w:lang w:eastAsia="en-US"/>
        </w:rPr>
        <w:t>ﰓ</w:t>
      </w:r>
      <w:r w:rsidR="006B0FD5">
        <w:rPr>
          <w:rFonts w:ascii="QCF_P094" w:hAnsi="QCF_P094" w:cs="QCF_P094" w:hint="cs"/>
          <w:rtl/>
          <w:lang w:eastAsia="en-US"/>
        </w:rPr>
        <w:t xml:space="preserve"> </w:t>
      </w:r>
      <w:r w:rsidR="00735180" w:rsidRPr="00C77903">
        <w:rPr>
          <w:rFonts w:ascii="QCF_P094" w:hAnsi="QCF_P094" w:cs="QCF_P094"/>
          <w:rtl/>
          <w:lang w:eastAsia="en-US"/>
        </w:rPr>
        <w:t>ﰔ</w:t>
      </w:r>
      <w:r w:rsidR="00735180" w:rsidRPr="00C77903">
        <w:rPr>
          <w:rFonts w:ascii="QCF_BSML" w:hAnsi="QCF_BSML" w:cs="QCF_BSML"/>
          <w:rtl/>
          <w:lang w:eastAsia="en-US"/>
        </w:rPr>
        <w:t>ﭼ</w:t>
      </w:r>
      <w:bookmarkEnd w:id="415"/>
      <w:r w:rsidRPr="00C85F0F">
        <w:rPr>
          <w:rFonts w:ascii="Traditional Arabic" w:hAnsi="Traditional Arabic" w:hint="cs"/>
          <w:color w:val="auto"/>
          <w:rtl/>
          <w:lang w:eastAsia="en-US"/>
        </w:rPr>
        <w:t>[</w:t>
      </w:r>
      <w:r w:rsidRPr="00C85F0F">
        <w:rPr>
          <w:rFonts w:ascii="Traditional Arabic" w:hAnsi="Traditional Arabic"/>
          <w:color w:val="auto"/>
          <w:rtl/>
          <w:lang w:eastAsia="en-US"/>
        </w:rPr>
        <w:t>النساء: ١٠١</w:t>
      </w:r>
      <w:r w:rsidRPr="00C85F0F">
        <w:rPr>
          <w:rFonts w:ascii="Traditional Arabic" w:hAnsi="Traditional Arabic" w:hint="cs"/>
          <w:color w:val="auto"/>
          <w:rtl/>
          <w:lang w:eastAsia="en-US"/>
        </w:rPr>
        <w:t>].</w:t>
      </w:r>
    </w:p>
    <w:p w:rsidR="00D25F15" w:rsidRPr="00D564C0" w:rsidRDefault="00D25F15" w:rsidP="00597C20">
      <w:pPr>
        <w:pStyle w:val="53"/>
      </w:pPr>
      <w:r w:rsidRPr="00D564C0">
        <w:rPr>
          <w:rFonts w:hint="cs"/>
          <w:rtl/>
        </w:rPr>
        <w:t>وجه الدلالة من هذه الآيات:</w:t>
      </w:r>
    </w:p>
    <w:p w:rsidR="00D25F15" w:rsidRPr="00C85F0F" w:rsidRDefault="00D25F15" w:rsidP="00597C20">
      <w:pPr>
        <w:autoSpaceDE w:val="0"/>
        <w:autoSpaceDN w:val="0"/>
        <w:adjustRightInd w:val="0"/>
        <w:ind w:firstLine="720"/>
        <w:rPr>
          <w:rFonts w:ascii="Traditional Arabic" w:hAnsi="Traditional Arabic"/>
          <w:color w:val="auto"/>
          <w:lang w:eastAsia="en-US"/>
        </w:rPr>
      </w:pPr>
      <w:r w:rsidRPr="00C85F0F">
        <w:rPr>
          <w:rFonts w:ascii="Traditional Arabic" w:hAnsi="Traditional Arabic" w:hint="cs"/>
          <w:color w:val="auto"/>
          <w:rtl/>
          <w:lang w:eastAsia="en-US"/>
        </w:rPr>
        <w:t>في كل هذه الآيات كان الأصل عزيمة</w:t>
      </w:r>
      <w:r w:rsidRPr="00C85F0F">
        <w:rPr>
          <w:rStyle w:val="af1"/>
          <w:szCs w:val="32"/>
          <w:rtl/>
        </w:rPr>
        <w:t>(</w:t>
      </w:r>
      <w:r w:rsidRPr="00C85F0F">
        <w:rPr>
          <w:rStyle w:val="af1"/>
          <w:szCs w:val="32"/>
          <w:rtl/>
        </w:rPr>
        <w:footnoteReference w:id="1939"/>
      </w:r>
      <w:r w:rsidRPr="00C85F0F">
        <w:rPr>
          <w:rStyle w:val="af1"/>
          <w:szCs w:val="32"/>
          <w:rtl/>
        </w:rPr>
        <w:t>)</w:t>
      </w:r>
      <w:r w:rsidRPr="00C85F0F">
        <w:rPr>
          <w:rFonts w:ascii="Traditional Arabic" w:hAnsi="Traditional Arabic" w:hint="cs"/>
          <w:color w:val="auto"/>
          <w:rtl/>
          <w:lang w:eastAsia="en-US"/>
        </w:rPr>
        <w:t>، ولما شَقَّ أداؤه وتعسَّر</w:t>
      </w:r>
      <w:r w:rsidR="006B0FD5">
        <w:rPr>
          <w:rFonts w:ascii="Traditional Arabic" w:hAnsi="Traditional Arabic" w:hint="cs"/>
          <w:color w:val="auto"/>
          <w:rtl/>
          <w:lang w:eastAsia="en-US"/>
        </w:rPr>
        <w:t>،</w:t>
      </w:r>
      <w:r w:rsidRPr="00C85F0F">
        <w:rPr>
          <w:rFonts w:ascii="Traditional Arabic" w:hAnsi="Traditional Arabic" w:hint="cs"/>
          <w:color w:val="auto"/>
          <w:rtl/>
          <w:lang w:eastAsia="en-US"/>
        </w:rPr>
        <w:t xml:space="preserve"> خفَّف الله سبحانه عن عباده بالانتقال إلى البدل، وهو الرخصة؛ لأن المشقة تجلب التيسير</w:t>
      </w:r>
      <w:r w:rsidRPr="00C85F0F">
        <w:rPr>
          <w:rStyle w:val="af1"/>
          <w:szCs w:val="32"/>
          <w:rtl/>
        </w:rPr>
        <w:t>(</w:t>
      </w:r>
      <w:r w:rsidRPr="00C85F0F">
        <w:rPr>
          <w:rStyle w:val="af1"/>
          <w:szCs w:val="32"/>
          <w:rtl/>
        </w:rPr>
        <w:footnoteReference w:id="1940"/>
      </w:r>
      <w:r w:rsidRPr="00C85F0F">
        <w:rPr>
          <w:rStyle w:val="af1"/>
          <w:szCs w:val="32"/>
          <w:rtl/>
        </w:rPr>
        <w:t>)</w:t>
      </w:r>
      <w:r w:rsidRPr="00C85F0F">
        <w:rPr>
          <w:rFonts w:ascii="Traditional Arabic" w:hAnsi="Traditional Arabic" w:hint="cs"/>
          <w:color w:val="auto"/>
          <w:rtl/>
          <w:lang w:eastAsia="en-US"/>
        </w:rPr>
        <w:t>.</w:t>
      </w:r>
    </w:p>
    <w:p w:rsidR="00D25F15" w:rsidRPr="00C85F0F" w:rsidRDefault="006B0FD5" w:rsidP="00A8347C">
      <w:pPr>
        <w:pStyle w:val="aff3"/>
        <w:rPr>
          <w:rtl/>
        </w:rPr>
      </w:pPr>
      <w:bookmarkStart w:id="416" w:name="_Toc334046599"/>
      <w:r>
        <w:rPr>
          <w:rFonts w:hint="cs"/>
          <w:rtl/>
        </w:rPr>
        <w:t xml:space="preserve">                                          </w:t>
      </w:r>
      <w:r w:rsidR="00D25F15" w:rsidRPr="00C85F0F">
        <w:rPr>
          <w:rFonts w:hint="cs"/>
          <w:rtl/>
        </w:rPr>
        <w:t>المطلب الرابع</w:t>
      </w:r>
      <w:r w:rsidR="00D25F15" w:rsidRPr="00C85F0F">
        <w:rPr>
          <w:rFonts w:hint="eastAsia"/>
          <w:rtl/>
        </w:rPr>
        <w:t> :</w:t>
      </w:r>
      <w:r w:rsidR="00D25F15" w:rsidRPr="00C85F0F">
        <w:rPr>
          <w:rFonts w:hint="cs"/>
          <w:rtl/>
        </w:rPr>
        <w:br/>
      </w:r>
      <w:r>
        <w:rPr>
          <w:rFonts w:hint="cs"/>
          <w:rtl/>
        </w:rPr>
        <w:t xml:space="preserve">         </w:t>
      </w:r>
      <w:r w:rsidR="00B714D0">
        <w:rPr>
          <w:rFonts w:hint="cs"/>
          <w:rtl/>
        </w:rPr>
        <w:t xml:space="preserve">                               </w:t>
      </w:r>
      <w:r w:rsidR="00D25F15" w:rsidRPr="00C85F0F">
        <w:rPr>
          <w:rFonts w:hint="cs"/>
          <w:rtl/>
        </w:rPr>
        <w:t>تطبيقات القاعدة</w:t>
      </w:r>
      <w:r w:rsidR="00D25F15" w:rsidRPr="00C85F0F">
        <w:rPr>
          <w:rStyle w:val="af1"/>
          <w:b w:val="0"/>
          <w:bCs w:val="0"/>
          <w:szCs w:val="32"/>
          <w:rtl/>
        </w:rPr>
        <w:t>(</w:t>
      </w:r>
      <w:r w:rsidR="00D25F15" w:rsidRPr="00C85F0F">
        <w:rPr>
          <w:rStyle w:val="af1"/>
          <w:b w:val="0"/>
          <w:bCs w:val="0"/>
          <w:szCs w:val="32"/>
          <w:rtl/>
        </w:rPr>
        <w:footnoteReference w:id="1941"/>
      </w:r>
      <w:r w:rsidR="00D25F15" w:rsidRPr="00C85F0F">
        <w:rPr>
          <w:rStyle w:val="af1"/>
          <w:b w:val="0"/>
          <w:bCs w:val="0"/>
          <w:szCs w:val="32"/>
          <w:rtl/>
        </w:rPr>
        <w:t>)</w:t>
      </w:r>
      <w:bookmarkEnd w:id="416"/>
    </w:p>
    <w:p w:rsidR="00D25F15" w:rsidRPr="00801F81" w:rsidRDefault="00D25F15" w:rsidP="00801F81">
      <w:pPr>
        <w:widowControl/>
        <w:ind w:left="360" w:firstLine="0"/>
        <w:rPr>
          <w:color w:val="auto"/>
        </w:rPr>
      </w:pPr>
      <w:r w:rsidRPr="00801F81">
        <w:rPr>
          <w:rFonts w:ascii="Traditional Arabic" w:hAnsi="Traditional Arabic"/>
          <w:rtl/>
          <w:lang w:eastAsia="en-US"/>
        </w:rPr>
        <w:t>إذا أراد المستقرض</w:t>
      </w:r>
      <w:r w:rsidR="006B0FD5" w:rsidRPr="00801F81">
        <w:rPr>
          <w:rFonts w:ascii="Traditional Arabic" w:hAnsi="Traditional Arabic" w:hint="cs"/>
          <w:rtl/>
          <w:lang w:eastAsia="en-US"/>
        </w:rPr>
        <w:t xml:space="preserve"> </w:t>
      </w:r>
      <w:r w:rsidRPr="00801F81">
        <w:rPr>
          <w:rFonts w:ascii="Traditional Arabic" w:hAnsi="Traditional Arabic"/>
          <w:rtl/>
          <w:lang w:eastAsia="en-US"/>
        </w:rPr>
        <w:t>وفاء</w:t>
      </w:r>
      <w:r w:rsidRPr="00801F81">
        <w:rPr>
          <w:rFonts w:ascii="Traditional Arabic" w:hAnsi="Traditional Arabic" w:hint="cs"/>
          <w:rtl/>
          <w:lang w:eastAsia="en-US"/>
        </w:rPr>
        <w:t>َ دينه</w:t>
      </w:r>
      <w:r w:rsidRPr="00801F81">
        <w:rPr>
          <w:rFonts w:ascii="Traditional Arabic" w:hAnsi="Traditional Arabic"/>
          <w:rtl/>
          <w:lang w:eastAsia="en-US"/>
        </w:rPr>
        <w:t>، فالواجب أن يرد</w:t>
      </w:r>
      <w:r w:rsidRPr="00801F81">
        <w:rPr>
          <w:rFonts w:ascii="Traditional Arabic" w:hAnsi="Traditional Arabic" w:hint="cs"/>
          <w:rtl/>
          <w:lang w:eastAsia="en-US"/>
        </w:rPr>
        <w:t>َّ</w:t>
      </w:r>
      <w:r w:rsidRPr="00801F81">
        <w:rPr>
          <w:rFonts w:ascii="Traditional Arabic" w:hAnsi="Traditional Arabic"/>
          <w:rtl/>
          <w:lang w:eastAsia="en-US"/>
        </w:rPr>
        <w:t xml:space="preserve"> الم</w:t>
      </w:r>
      <w:r w:rsidRPr="00801F81">
        <w:rPr>
          <w:rFonts w:ascii="Traditional Arabic" w:hAnsi="Traditional Arabic" w:hint="cs"/>
          <w:rtl/>
          <w:lang w:eastAsia="en-US"/>
        </w:rPr>
        <w:t>ِ</w:t>
      </w:r>
      <w:r w:rsidRPr="00801F81">
        <w:rPr>
          <w:rFonts w:ascii="Traditional Arabic" w:hAnsi="Traditional Arabic"/>
          <w:rtl/>
          <w:lang w:eastAsia="en-US"/>
        </w:rPr>
        <w:t xml:space="preserve">ثل في المثليات، </w:t>
      </w:r>
      <w:r w:rsidRPr="00801F81">
        <w:rPr>
          <w:rFonts w:ascii="Traditional Arabic" w:hAnsi="Traditional Arabic"/>
          <w:color w:val="auto"/>
          <w:rtl/>
          <w:lang w:eastAsia="en-US"/>
        </w:rPr>
        <w:t>فإن أ</w:t>
      </w:r>
      <w:r w:rsidRPr="00801F81">
        <w:rPr>
          <w:rFonts w:ascii="Traditional Arabic" w:hAnsi="Traditional Arabic" w:hint="cs"/>
          <w:color w:val="auto"/>
          <w:rtl/>
          <w:lang w:eastAsia="en-US"/>
        </w:rPr>
        <w:t>َ</w:t>
      </w:r>
      <w:r w:rsidRPr="00801F81">
        <w:rPr>
          <w:rFonts w:ascii="Traditional Arabic" w:hAnsi="Traditional Arabic"/>
          <w:color w:val="auto"/>
          <w:rtl/>
          <w:lang w:eastAsia="en-US"/>
        </w:rPr>
        <w:t>ع</w:t>
      </w:r>
      <w:r w:rsidRPr="00801F81">
        <w:rPr>
          <w:rFonts w:ascii="Traditional Arabic" w:hAnsi="Traditional Arabic" w:hint="cs"/>
          <w:color w:val="auto"/>
          <w:rtl/>
          <w:lang w:eastAsia="en-US"/>
        </w:rPr>
        <w:t>ْ</w:t>
      </w:r>
      <w:r w:rsidRPr="00801F81">
        <w:rPr>
          <w:rFonts w:ascii="Traditional Arabic" w:hAnsi="Traditional Arabic"/>
          <w:color w:val="auto"/>
          <w:rtl/>
          <w:lang w:eastAsia="en-US"/>
        </w:rPr>
        <w:t>و</w:t>
      </w:r>
      <w:r w:rsidRPr="00801F81">
        <w:rPr>
          <w:rFonts w:ascii="Traditional Arabic" w:hAnsi="Traditional Arabic" w:hint="cs"/>
          <w:color w:val="auto"/>
          <w:rtl/>
          <w:lang w:eastAsia="en-US"/>
        </w:rPr>
        <w:t>َ</w:t>
      </w:r>
      <w:r w:rsidRPr="00801F81">
        <w:rPr>
          <w:rFonts w:ascii="Traditional Arabic" w:hAnsi="Traditional Arabic"/>
          <w:color w:val="auto"/>
          <w:rtl/>
          <w:lang w:eastAsia="en-US"/>
        </w:rPr>
        <w:t>ز</w:t>
      </w:r>
      <w:r w:rsidRPr="00801F81">
        <w:rPr>
          <w:rFonts w:ascii="Traditional Arabic" w:hAnsi="Traditional Arabic" w:hint="cs"/>
          <w:color w:val="auto"/>
          <w:rtl/>
          <w:lang w:eastAsia="en-US"/>
        </w:rPr>
        <w:t>َ</w:t>
      </w:r>
      <w:r w:rsidRPr="00801F81">
        <w:rPr>
          <w:rStyle w:val="af1"/>
          <w:szCs w:val="32"/>
          <w:rtl/>
        </w:rPr>
        <w:t>(</w:t>
      </w:r>
      <w:r w:rsidRPr="00C85F0F">
        <w:rPr>
          <w:rStyle w:val="af1"/>
          <w:szCs w:val="32"/>
          <w:rtl/>
        </w:rPr>
        <w:footnoteReference w:id="1942"/>
      </w:r>
      <w:r w:rsidRPr="00801F81">
        <w:rPr>
          <w:rStyle w:val="af1"/>
          <w:szCs w:val="32"/>
          <w:rtl/>
        </w:rPr>
        <w:t>)</w:t>
      </w:r>
      <w:r w:rsidRPr="00801F81">
        <w:rPr>
          <w:rFonts w:ascii="Traditional Arabic" w:hAnsi="Traditional Arabic"/>
          <w:color w:val="auto"/>
          <w:rtl/>
          <w:lang w:eastAsia="en-US"/>
        </w:rPr>
        <w:t xml:space="preserve"> المثل </w:t>
      </w:r>
      <w:r w:rsidRPr="00801F81">
        <w:rPr>
          <w:rFonts w:ascii="Traditional Arabic" w:hAnsi="Traditional Arabic" w:hint="cs"/>
          <w:color w:val="auto"/>
          <w:rtl/>
          <w:lang w:eastAsia="en-US"/>
        </w:rPr>
        <w:t xml:space="preserve">فإنه يردَّ </w:t>
      </w:r>
      <w:r w:rsidRPr="00801F81">
        <w:rPr>
          <w:rFonts w:ascii="Traditional Arabic" w:hAnsi="Traditional Arabic"/>
          <w:color w:val="auto"/>
          <w:rtl/>
          <w:lang w:eastAsia="en-US"/>
        </w:rPr>
        <w:t>القيمة</w:t>
      </w:r>
      <w:r w:rsidRPr="00801F81">
        <w:rPr>
          <w:rFonts w:hint="cs"/>
          <w:color w:val="auto"/>
          <w:rtl/>
        </w:rPr>
        <w:t xml:space="preserve"> وقتَ الإعواز</w:t>
      </w:r>
      <w:r w:rsidRPr="00801F81">
        <w:rPr>
          <w:rStyle w:val="af1"/>
          <w:szCs w:val="32"/>
          <w:rtl/>
        </w:rPr>
        <w:t>(</w:t>
      </w:r>
      <w:r w:rsidRPr="00C85F0F">
        <w:rPr>
          <w:rStyle w:val="af1"/>
          <w:szCs w:val="32"/>
          <w:rtl/>
        </w:rPr>
        <w:footnoteReference w:id="1943"/>
      </w:r>
      <w:r w:rsidRPr="00801F81">
        <w:rPr>
          <w:rStyle w:val="af1"/>
          <w:szCs w:val="32"/>
          <w:rtl/>
        </w:rPr>
        <w:t>)</w:t>
      </w:r>
      <w:r w:rsidRPr="00801F81">
        <w:rPr>
          <w:rFonts w:hint="cs"/>
          <w:color w:val="auto"/>
          <w:rtl/>
        </w:rPr>
        <w:t>.</w:t>
      </w:r>
    </w:p>
    <w:p w:rsidR="00D25F15" w:rsidRPr="00C85F0F" w:rsidRDefault="00D25F15" w:rsidP="00FD3233">
      <w:pPr>
        <w:pStyle w:val="53"/>
        <w:rPr>
          <w:rtl/>
        </w:rPr>
      </w:pPr>
      <w:r w:rsidRPr="00C85F0F">
        <w:rPr>
          <w:rFonts w:hint="cs"/>
          <w:rtl/>
        </w:rPr>
        <w:lastRenderedPageBreak/>
        <w:t xml:space="preserve">وجه اندراج </w:t>
      </w:r>
      <w:r w:rsidRPr="00FD3233">
        <w:rPr>
          <w:rFonts w:hint="cs"/>
          <w:rtl/>
        </w:rPr>
        <w:t>الفرع</w:t>
      </w:r>
      <w:r w:rsidRPr="00C85F0F">
        <w:rPr>
          <w:rFonts w:hint="cs"/>
          <w:rtl/>
        </w:rPr>
        <w:t xml:space="preserve"> تحت القاعدة:</w:t>
      </w:r>
    </w:p>
    <w:p w:rsidR="00D25F15" w:rsidRDefault="00D25F15" w:rsidP="00597C20">
      <w:pPr>
        <w:ind w:firstLine="720"/>
        <w:rPr>
          <w:color w:val="auto"/>
          <w:rtl/>
        </w:rPr>
      </w:pPr>
      <w:r w:rsidRPr="00C85F0F">
        <w:rPr>
          <w:rFonts w:ascii="Traditional Arabic" w:hAnsi="Traditional Arabic" w:hint="cs"/>
          <w:rtl/>
          <w:lang w:eastAsia="en-US"/>
        </w:rPr>
        <w:t>إذا</w:t>
      </w:r>
      <w:r w:rsidRPr="00C85F0F">
        <w:rPr>
          <w:rFonts w:ascii="Traditional Arabic" w:hAnsi="Traditional Arabic"/>
          <w:rtl/>
          <w:lang w:eastAsia="en-US"/>
        </w:rPr>
        <w:t xml:space="preserve"> لم يجد المقترض م</w:t>
      </w:r>
      <w:r w:rsidRPr="00C85F0F">
        <w:rPr>
          <w:rFonts w:ascii="Traditional Arabic" w:hAnsi="Traditional Arabic" w:hint="cs"/>
          <w:rtl/>
          <w:lang w:eastAsia="en-US"/>
        </w:rPr>
        <w:t>ِ</w:t>
      </w:r>
      <w:r w:rsidRPr="00C85F0F">
        <w:rPr>
          <w:rFonts w:ascii="Traditional Arabic" w:hAnsi="Traditional Arabic"/>
          <w:rtl/>
          <w:lang w:eastAsia="en-US"/>
        </w:rPr>
        <w:t>ث</w:t>
      </w:r>
      <w:r w:rsidRPr="00C85F0F">
        <w:rPr>
          <w:rFonts w:ascii="Traditional Arabic" w:hAnsi="Traditional Arabic" w:hint="cs"/>
          <w:rtl/>
          <w:lang w:eastAsia="en-US"/>
        </w:rPr>
        <w:t>ْ</w:t>
      </w:r>
      <w:r w:rsidRPr="00C85F0F">
        <w:rPr>
          <w:rFonts w:ascii="Traditional Arabic" w:hAnsi="Traditional Arabic"/>
          <w:rtl/>
          <w:lang w:eastAsia="en-US"/>
        </w:rPr>
        <w:t>لا</w:t>
      </w:r>
      <w:r w:rsidRPr="00C85F0F">
        <w:rPr>
          <w:rFonts w:ascii="Traditional Arabic" w:hAnsi="Traditional Arabic" w:hint="cs"/>
          <w:rtl/>
          <w:lang w:eastAsia="en-US"/>
        </w:rPr>
        <w:t>ً</w:t>
      </w:r>
      <w:r w:rsidRPr="00C85F0F">
        <w:rPr>
          <w:rFonts w:ascii="Traditional Arabic" w:hAnsi="Traditional Arabic"/>
          <w:rtl/>
          <w:lang w:eastAsia="en-US"/>
        </w:rPr>
        <w:t xml:space="preserve"> رجع إلى القيمة</w:t>
      </w:r>
      <w:r w:rsidRPr="00C85F0F">
        <w:rPr>
          <w:rFonts w:ascii="Traditional Arabic" w:hAnsi="Traditional Arabic" w:hint="cs"/>
          <w:rtl/>
          <w:lang w:eastAsia="en-US"/>
        </w:rPr>
        <w:t>؛</w:t>
      </w:r>
      <w:r w:rsidRPr="00C85F0F">
        <w:rPr>
          <w:rFonts w:ascii="Traditional Arabic" w:hAnsi="Traditional Arabic"/>
          <w:rtl/>
          <w:lang w:eastAsia="en-US"/>
        </w:rPr>
        <w:t xml:space="preserve"> والعلة أنه إذا تعذر الأصل رجعنا إلى البدل</w:t>
      </w:r>
      <w:r w:rsidR="006B0FD5">
        <w:rPr>
          <w:rFonts w:ascii="Traditional Arabic" w:hAnsi="Traditional Arabic" w:hint="cs"/>
          <w:rtl/>
          <w:lang w:eastAsia="en-US"/>
        </w:rPr>
        <w:t>،</w:t>
      </w:r>
      <w:r w:rsidRPr="00C85F0F">
        <w:rPr>
          <w:rFonts w:ascii="Traditional Arabic" w:hAnsi="Traditional Arabic"/>
          <w:rtl/>
          <w:lang w:eastAsia="en-US"/>
        </w:rPr>
        <w:t xml:space="preserve"> وهو القيمة</w:t>
      </w:r>
      <w:r w:rsidRPr="00C85F0F">
        <w:rPr>
          <w:rStyle w:val="af1"/>
          <w:szCs w:val="32"/>
          <w:rtl/>
        </w:rPr>
        <w:t>(</w:t>
      </w:r>
      <w:r w:rsidRPr="00C85F0F">
        <w:rPr>
          <w:rStyle w:val="af1"/>
          <w:szCs w:val="32"/>
          <w:rtl/>
        </w:rPr>
        <w:footnoteReference w:id="1944"/>
      </w:r>
      <w:r w:rsidRPr="00C85F0F">
        <w:rPr>
          <w:rStyle w:val="af1"/>
          <w:szCs w:val="32"/>
          <w:rtl/>
        </w:rPr>
        <w:t>)</w:t>
      </w:r>
      <w:r w:rsidRPr="00C85F0F">
        <w:rPr>
          <w:rFonts w:hint="cs"/>
          <w:color w:val="auto"/>
          <w:rtl/>
        </w:rPr>
        <w:t>.</w:t>
      </w:r>
    </w:p>
    <w:p w:rsidR="00D816CC" w:rsidRPr="00C85F0F" w:rsidRDefault="00D816CC" w:rsidP="000F5C0F">
      <w:pPr>
        <w:pStyle w:val="aff2"/>
        <w:rPr>
          <w:rtl/>
        </w:rPr>
      </w:pPr>
      <w:bookmarkStart w:id="417" w:name="_Toc334046600"/>
      <w:r w:rsidRPr="00C85F0F">
        <w:rPr>
          <w:rFonts w:hint="cs"/>
          <w:rtl/>
        </w:rPr>
        <w:lastRenderedPageBreak/>
        <w:t>المبحث السادس</w:t>
      </w:r>
      <w:r w:rsidRPr="00C85F0F">
        <w:rPr>
          <w:rFonts w:hint="eastAsia"/>
          <w:rtl/>
        </w:rPr>
        <w:t> </w:t>
      </w:r>
      <w:r w:rsidRPr="00C85F0F">
        <w:rPr>
          <w:rFonts w:hint="cs"/>
          <w:rtl/>
        </w:rPr>
        <w:t>:</w:t>
      </w:r>
      <w:r w:rsidRPr="00C85F0F">
        <w:rPr>
          <w:rtl/>
        </w:rPr>
        <w:br/>
      </w:r>
      <w:r w:rsidRPr="00C85F0F">
        <w:rPr>
          <w:rFonts w:hint="cs"/>
          <w:rtl/>
        </w:rPr>
        <w:t>قاعدة</w:t>
      </w:r>
      <w:r w:rsidR="0062426F">
        <w:rPr>
          <w:rFonts w:hint="cs"/>
          <w:rtl/>
        </w:rPr>
        <w:t xml:space="preserve"> </w:t>
      </w:r>
      <w:r w:rsidR="00D25F15" w:rsidRPr="00C85F0F">
        <w:rPr>
          <w:rFonts w:hint="cs"/>
          <w:rtl/>
        </w:rPr>
        <w:t>"</w:t>
      </w:r>
      <w:r w:rsidRPr="00C85F0F">
        <w:rPr>
          <w:rFonts w:hint="cs"/>
          <w:rtl/>
        </w:rPr>
        <w:t>المشغول لا يشغل</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المشغوللايشغل</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D25F15" w:rsidRPr="00C85F0F">
        <w:rPr>
          <w:rFonts w:hint="cs"/>
          <w:rtl/>
        </w:rPr>
        <w:t>"</w:t>
      </w:r>
      <w:bookmarkEnd w:id="417"/>
    </w:p>
    <w:p w:rsidR="00065E4B" w:rsidRPr="00C85F0F" w:rsidRDefault="00CD4D4F" w:rsidP="00A8347C">
      <w:pPr>
        <w:pStyle w:val="aff3"/>
        <w:rPr>
          <w:rtl/>
        </w:rPr>
      </w:pPr>
      <w:bookmarkStart w:id="418" w:name="_Toc334046601"/>
      <w:r>
        <w:rPr>
          <w:rFonts w:hint="cs"/>
          <w:rtl/>
        </w:rPr>
        <w:t xml:space="preserve">                                         </w:t>
      </w:r>
      <w:r w:rsidR="00D25F15" w:rsidRPr="00C85F0F">
        <w:rPr>
          <w:rFonts w:hint="cs"/>
          <w:rtl/>
        </w:rPr>
        <w:t>المطلب الأول</w:t>
      </w:r>
      <w:r w:rsidR="00D25F15" w:rsidRPr="00C85F0F">
        <w:rPr>
          <w:rFonts w:hint="eastAsia"/>
          <w:rtl/>
        </w:rPr>
        <w:t> :</w:t>
      </w:r>
      <w:r w:rsidR="00D25F15" w:rsidRPr="00C85F0F">
        <w:rPr>
          <w:rFonts w:hint="cs"/>
          <w:rtl/>
        </w:rPr>
        <w:br/>
      </w:r>
      <w:r>
        <w:rPr>
          <w:rFonts w:hint="cs"/>
          <w:rtl/>
        </w:rPr>
        <w:t xml:space="preserve">                      </w:t>
      </w:r>
      <w:r w:rsidR="00D25F15" w:rsidRPr="00C85F0F">
        <w:rPr>
          <w:rFonts w:hint="cs"/>
          <w:rtl/>
        </w:rPr>
        <w:t>صيغ القاعدة عند الشيخ وعند علماء القواعد</w:t>
      </w:r>
      <w:bookmarkEnd w:id="418"/>
    </w:p>
    <w:p w:rsidR="00D25F15" w:rsidRPr="00C85F0F" w:rsidRDefault="0062426F" w:rsidP="00597C20">
      <w:pPr>
        <w:ind w:firstLine="0"/>
        <w:rPr>
          <w:rtl/>
        </w:rPr>
      </w:pPr>
      <w:r>
        <w:rPr>
          <w:rFonts w:hint="cs"/>
          <w:rtl/>
        </w:rPr>
        <w:t xml:space="preserve">    </w:t>
      </w:r>
      <w:r w:rsidR="00065E4B" w:rsidRPr="00C85F0F">
        <w:rPr>
          <w:rFonts w:hint="cs"/>
          <w:rtl/>
        </w:rPr>
        <w:t>و</w:t>
      </w:r>
      <w:r w:rsidR="00D25F15" w:rsidRPr="00C85F0F">
        <w:rPr>
          <w:rFonts w:hint="cs"/>
          <w:rtl/>
        </w:rPr>
        <w:t xml:space="preserve">ردت هذه القاعدة عند الشيخ ابن عثيمين </w:t>
      </w:r>
      <w:r w:rsidR="00CD4D4F">
        <w:rPr>
          <w:rFonts w:hint="cs"/>
          <w:rtl/>
        </w:rPr>
        <w:t>_</w:t>
      </w:r>
      <w:r w:rsidR="009A0575" w:rsidRPr="005D5694">
        <w:rPr>
          <w:rFonts w:ascii="Traditional Arabic" w:hAnsi="Traditional Arabic" w:cs="CTraditional Arabic" w:hint="cs"/>
          <w:rtl/>
        </w:rPr>
        <w:t>/</w:t>
      </w:r>
      <w:r w:rsidR="00CD4D4F">
        <w:rPr>
          <w:rFonts w:hint="cs"/>
          <w:rtl/>
        </w:rPr>
        <w:t>_</w:t>
      </w:r>
      <w:r w:rsidR="00D25F15" w:rsidRPr="00C85F0F">
        <w:rPr>
          <w:rFonts w:hint="cs"/>
          <w:rtl/>
        </w:rPr>
        <w:t xml:space="preserve"> بصيغة واحدة، وهي:</w:t>
      </w:r>
    </w:p>
    <w:p w:rsidR="00065E4B" w:rsidRPr="00C85F0F" w:rsidRDefault="00D25F15" w:rsidP="000A76C7">
      <w:pPr>
        <w:numPr>
          <w:ilvl w:val="0"/>
          <w:numId w:val="267"/>
        </w:numPr>
      </w:pPr>
      <w:r w:rsidRPr="00C85F0F">
        <w:rPr>
          <w:rFonts w:hint="cs"/>
          <w:rtl/>
        </w:rPr>
        <w:t>المشغول لايُشْغَل</w:t>
      </w:r>
      <w:r w:rsidRPr="00C85F0F">
        <w:rPr>
          <w:rStyle w:val="af1"/>
          <w:szCs w:val="32"/>
          <w:rtl/>
        </w:rPr>
        <w:t>(</w:t>
      </w:r>
      <w:r w:rsidRPr="00C85F0F">
        <w:rPr>
          <w:rStyle w:val="af1"/>
          <w:szCs w:val="32"/>
          <w:rtl/>
        </w:rPr>
        <w:footnoteReference w:id="1945"/>
      </w:r>
      <w:r w:rsidRPr="00C85F0F">
        <w:rPr>
          <w:rStyle w:val="af1"/>
          <w:szCs w:val="32"/>
          <w:rtl/>
        </w:rPr>
        <w:t>)</w:t>
      </w:r>
      <w:r w:rsidRPr="00C85F0F">
        <w:rPr>
          <w:rFonts w:hint="cs"/>
          <w:rtl/>
        </w:rPr>
        <w:t>.</w:t>
      </w:r>
    </w:p>
    <w:p w:rsidR="00D25F15" w:rsidRPr="00C85F0F" w:rsidRDefault="0062426F" w:rsidP="00597C20">
      <w:pPr>
        <w:ind w:firstLine="0"/>
        <w:rPr>
          <w:rtl/>
        </w:rPr>
      </w:pPr>
      <w:r>
        <w:rPr>
          <w:rFonts w:hint="cs"/>
          <w:rtl/>
        </w:rPr>
        <w:t xml:space="preserve">    </w:t>
      </w:r>
      <w:r w:rsidR="00065E4B" w:rsidRPr="00C85F0F">
        <w:rPr>
          <w:rFonts w:hint="cs"/>
          <w:rtl/>
        </w:rPr>
        <w:t>و</w:t>
      </w:r>
      <w:r w:rsidR="00D25F15" w:rsidRPr="00C85F0F">
        <w:rPr>
          <w:rFonts w:hint="cs"/>
          <w:rtl/>
        </w:rPr>
        <w:t>قال الشيخ في منظومته في أصول الفقه وقواعده:</w:t>
      </w:r>
    </w:p>
    <w:p w:rsidR="00065E4B" w:rsidRPr="00C85F0F" w:rsidRDefault="00D25F15" w:rsidP="000A76C7">
      <w:pPr>
        <w:numPr>
          <w:ilvl w:val="0"/>
          <w:numId w:val="267"/>
        </w:numPr>
      </w:pPr>
      <w:r w:rsidRPr="00C85F0F">
        <w:rPr>
          <w:rFonts w:hint="cs"/>
          <w:rtl/>
        </w:rPr>
        <w:t>وكل مشغول فليس يُشْغَلُ</w:t>
      </w:r>
      <w:r w:rsidR="00CD4D4F">
        <w:rPr>
          <w:rFonts w:hint="cs"/>
          <w:rtl/>
        </w:rPr>
        <w:t xml:space="preserve">        </w:t>
      </w:r>
      <w:r w:rsidRPr="00C85F0F">
        <w:rPr>
          <w:rFonts w:hint="cs"/>
          <w:rtl/>
        </w:rPr>
        <w:t xml:space="preserve">بُمسقِطٍ </w:t>
      </w:r>
      <w:r w:rsidR="00CD4D4F">
        <w:rPr>
          <w:rFonts w:hint="cs"/>
          <w:rtl/>
        </w:rPr>
        <w:t xml:space="preserve"> </w:t>
      </w:r>
      <w:r w:rsidRPr="00C85F0F">
        <w:rPr>
          <w:rFonts w:hint="cs"/>
          <w:rtl/>
        </w:rPr>
        <w:t>ل</w:t>
      </w:r>
      <w:r w:rsidR="00CD4D4F">
        <w:rPr>
          <w:rFonts w:hint="cs"/>
          <w:rtl/>
        </w:rPr>
        <w:t>ِ</w:t>
      </w:r>
      <w:r w:rsidRPr="00C85F0F">
        <w:rPr>
          <w:rFonts w:hint="cs"/>
          <w:rtl/>
        </w:rPr>
        <w:t xml:space="preserve">ما </w:t>
      </w:r>
      <w:r w:rsidR="00CD4D4F">
        <w:rPr>
          <w:rFonts w:hint="cs"/>
          <w:rtl/>
        </w:rPr>
        <w:t xml:space="preserve"> </w:t>
      </w:r>
      <w:r w:rsidRPr="00C85F0F">
        <w:rPr>
          <w:rFonts w:hint="cs"/>
          <w:rtl/>
        </w:rPr>
        <w:t xml:space="preserve">به </w:t>
      </w:r>
      <w:r w:rsidR="00CD4D4F">
        <w:rPr>
          <w:rFonts w:hint="cs"/>
          <w:rtl/>
        </w:rPr>
        <w:t xml:space="preserve"> </w:t>
      </w:r>
      <w:r w:rsidRPr="00C85F0F">
        <w:rPr>
          <w:rFonts w:hint="cs"/>
          <w:rtl/>
        </w:rPr>
        <w:t>ينشغِلُ</w:t>
      </w:r>
      <w:r w:rsidRPr="00C85F0F">
        <w:rPr>
          <w:rStyle w:val="af1"/>
          <w:szCs w:val="32"/>
          <w:rtl/>
        </w:rPr>
        <w:t>(</w:t>
      </w:r>
      <w:r w:rsidRPr="00C85F0F">
        <w:rPr>
          <w:rStyle w:val="af1"/>
          <w:szCs w:val="32"/>
          <w:rtl/>
        </w:rPr>
        <w:footnoteReference w:id="1946"/>
      </w:r>
      <w:r w:rsidRPr="00C85F0F">
        <w:rPr>
          <w:rStyle w:val="af1"/>
          <w:szCs w:val="32"/>
          <w:rtl/>
        </w:rPr>
        <w:t>)</w:t>
      </w:r>
      <w:r w:rsidRPr="00C85F0F">
        <w:rPr>
          <w:rFonts w:hint="cs"/>
          <w:rtl/>
        </w:rPr>
        <w:t>.</w:t>
      </w:r>
    </w:p>
    <w:p w:rsidR="00D25F15" w:rsidRPr="00C85F0F" w:rsidRDefault="00065E4B" w:rsidP="00597C20">
      <w:pPr>
        <w:ind w:firstLine="0"/>
        <w:rPr>
          <w:rtl/>
        </w:rPr>
      </w:pPr>
      <w:r w:rsidRPr="00C85F0F">
        <w:rPr>
          <w:rFonts w:hint="cs"/>
          <w:rtl/>
        </w:rPr>
        <w:t>و</w:t>
      </w:r>
      <w:r w:rsidR="00D25F15" w:rsidRPr="00C85F0F">
        <w:rPr>
          <w:rFonts w:hint="cs"/>
          <w:rtl/>
        </w:rPr>
        <w:t>وردت هذه القاعدة عند علماء القواعد بالصيغ الآتية:</w:t>
      </w:r>
    </w:p>
    <w:p w:rsidR="00D25F15" w:rsidRPr="00C85F0F" w:rsidRDefault="00D25F15" w:rsidP="000A76C7">
      <w:pPr>
        <w:pStyle w:val="afc"/>
        <w:numPr>
          <w:ilvl w:val="0"/>
          <w:numId w:val="267"/>
        </w:numPr>
      </w:pPr>
      <w:r w:rsidRPr="00C85F0F">
        <w:rPr>
          <w:rStyle w:val="af1"/>
          <w:rFonts w:hint="cs"/>
          <w:vertAlign w:val="baseline"/>
          <w:rtl/>
        </w:rPr>
        <w:t>المشغول لا يشغل</w:t>
      </w:r>
      <w:r w:rsidRPr="00C85F0F">
        <w:rPr>
          <w:rStyle w:val="af1"/>
          <w:szCs w:val="32"/>
          <w:rtl/>
        </w:rPr>
        <w:t>(</w:t>
      </w:r>
      <w:r w:rsidRPr="00C85F0F">
        <w:rPr>
          <w:rStyle w:val="af1"/>
          <w:szCs w:val="32"/>
          <w:rtl/>
        </w:rPr>
        <w:footnoteReference w:id="1947"/>
      </w:r>
      <w:r w:rsidRPr="00C85F0F">
        <w:rPr>
          <w:rStyle w:val="af1"/>
          <w:szCs w:val="32"/>
          <w:rtl/>
        </w:rPr>
        <w:t>)</w:t>
      </w:r>
      <w:r w:rsidRPr="00C85F0F">
        <w:rPr>
          <w:rFonts w:hint="cs"/>
          <w:rtl/>
        </w:rPr>
        <w:t>.</w:t>
      </w:r>
    </w:p>
    <w:p w:rsidR="00D25F15" w:rsidRPr="00C85F0F" w:rsidRDefault="00D25F15" w:rsidP="000A76C7">
      <w:pPr>
        <w:pStyle w:val="afc"/>
        <w:numPr>
          <w:ilvl w:val="0"/>
          <w:numId w:val="267"/>
        </w:numPr>
      </w:pPr>
      <w:r w:rsidRPr="00C85F0F">
        <w:rPr>
          <w:rFonts w:hint="cs"/>
          <w:rtl/>
        </w:rPr>
        <w:t>شَغْل المشغول لا يجوز بخلافِ شَغْل الفارغ</w:t>
      </w:r>
      <w:r w:rsidRPr="00C85F0F">
        <w:rPr>
          <w:rStyle w:val="af1"/>
          <w:szCs w:val="32"/>
          <w:rtl/>
        </w:rPr>
        <w:t>(</w:t>
      </w:r>
      <w:r w:rsidRPr="00C85F0F">
        <w:rPr>
          <w:rStyle w:val="af1"/>
          <w:szCs w:val="32"/>
          <w:rtl/>
        </w:rPr>
        <w:footnoteReference w:id="1948"/>
      </w:r>
      <w:r w:rsidRPr="00C85F0F">
        <w:rPr>
          <w:rStyle w:val="af1"/>
          <w:szCs w:val="32"/>
          <w:rtl/>
        </w:rPr>
        <w:t>)</w:t>
      </w:r>
      <w:r w:rsidRPr="00C85F0F">
        <w:rPr>
          <w:rFonts w:hint="cs"/>
          <w:rtl/>
        </w:rPr>
        <w:t>.</w:t>
      </w:r>
    </w:p>
    <w:p w:rsidR="00D25F15" w:rsidRPr="00C85F0F" w:rsidRDefault="00D25F15" w:rsidP="000A76C7">
      <w:pPr>
        <w:pStyle w:val="afc"/>
        <w:numPr>
          <w:ilvl w:val="0"/>
          <w:numId w:val="267"/>
        </w:numPr>
        <w:rPr>
          <w:rtl/>
        </w:rPr>
      </w:pPr>
      <w:r w:rsidRPr="00C85F0F">
        <w:rPr>
          <w:rFonts w:hint="cs"/>
          <w:rtl/>
        </w:rPr>
        <w:t>وكل مشغول فلا يشغَّل</w:t>
      </w:r>
      <w:r w:rsidR="00D53ACD">
        <w:rPr>
          <w:rFonts w:hint="cs"/>
          <w:rtl/>
        </w:rPr>
        <w:t xml:space="preserve">      </w:t>
      </w:r>
      <w:r w:rsidRPr="00C85F0F">
        <w:rPr>
          <w:rFonts w:hint="cs"/>
          <w:rtl/>
        </w:rPr>
        <w:t>مثالُه</w:t>
      </w:r>
      <w:r w:rsidR="00CD4D4F">
        <w:rPr>
          <w:rFonts w:hint="cs"/>
          <w:rtl/>
        </w:rPr>
        <w:t xml:space="preserve"> </w:t>
      </w:r>
      <w:r w:rsidRPr="00C85F0F">
        <w:rPr>
          <w:rFonts w:hint="cs"/>
          <w:rtl/>
        </w:rPr>
        <w:t xml:space="preserve"> المرهون </w:t>
      </w:r>
      <w:r w:rsidR="00CD4D4F">
        <w:rPr>
          <w:rFonts w:hint="cs"/>
          <w:rtl/>
        </w:rPr>
        <w:t xml:space="preserve"> </w:t>
      </w:r>
      <w:r w:rsidRPr="00C85F0F">
        <w:rPr>
          <w:rFonts w:hint="cs"/>
          <w:rtl/>
        </w:rPr>
        <w:t>والمسبَّل</w:t>
      </w:r>
      <w:r w:rsidRPr="00C85F0F">
        <w:rPr>
          <w:rStyle w:val="af1"/>
          <w:szCs w:val="32"/>
          <w:rtl/>
        </w:rPr>
        <w:t>(</w:t>
      </w:r>
      <w:r w:rsidRPr="00C85F0F">
        <w:rPr>
          <w:rStyle w:val="af1"/>
          <w:szCs w:val="32"/>
          <w:rtl/>
        </w:rPr>
        <w:footnoteReference w:id="1949"/>
      </w:r>
      <w:r w:rsidRPr="00C85F0F">
        <w:rPr>
          <w:rStyle w:val="af1"/>
          <w:szCs w:val="32"/>
          <w:rtl/>
        </w:rPr>
        <w:t>)</w:t>
      </w:r>
      <w:r w:rsidRPr="00C85F0F">
        <w:rPr>
          <w:rFonts w:hint="cs"/>
          <w:rtl/>
        </w:rPr>
        <w:t>.</w:t>
      </w:r>
    </w:p>
    <w:p w:rsidR="00065E4B" w:rsidRPr="00C85F0F" w:rsidRDefault="00CD4D4F" w:rsidP="00A8347C">
      <w:pPr>
        <w:pStyle w:val="aff3"/>
        <w:rPr>
          <w:rtl/>
        </w:rPr>
      </w:pPr>
      <w:bookmarkStart w:id="419" w:name="_Toc334046602"/>
      <w:r>
        <w:rPr>
          <w:rFonts w:hint="cs"/>
          <w:rtl/>
        </w:rPr>
        <w:lastRenderedPageBreak/>
        <w:t xml:space="preserve">                                     </w:t>
      </w:r>
      <w:r w:rsidR="0062426F">
        <w:rPr>
          <w:rFonts w:hint="cs"/>
          <w:rtl/>
        </w:rPr>
        <w:t xml:space="preserve">  </w:t>
      </w:r>
      <w:r w:rsidR="00D25F15" w:rsidRPr="00C85F0F">
        <w:rPr>
          <w:rFonts w:hint="cs"/>
          <w:rtl/>
        </w:rPr>
        <w:t>المطلب الثاني</w:t>
      </w:r>
      <w:r w:rsidR="00D25F15" w:rsidRPr="00C85F0F">
        <w:rPr>
          <w:rFonts w:hint="eastAsia"/>
          <w:rtl/>
        </w:rPr>
        <w:t> :</w:t>
      </w:r>
      <w:r w:rsidR="00D25F15" w:rsidRPr="00C85F0F">
        <w:rPr>
          <w:rFonts w:hint="cs"/>
          <w:rtl/>
        </w:rPr>
        <w:br/>
      </w:r>
      <w:r>
        <w:rPr>
          <w:rFonts w:hint="cs"/>
          <w:rtl/>
        </w:rPr>
        <w:t xml:space="preserve">                                      </w:t>
      </w:r>
      <w:r w:rsidR="0062426F">
        <w:rPr>
          <w:rFonts w:hint="cs"/>
          <w:rtl/>
        </w:rPr>
        <w:t xml:space="preserve">  </w:t>
      </w:r>
      <w:r w:rsidR="00D25F15" w:rsidRPr="00C85F0F">
        <w:rPr>
          <w:rFonts w:hint="cs"/>
          <w:rtl/>
        </w:rPr>
        <w:t>شرح القاعدة</w:t>
      </w:r>
      <w:bookmarkEnd w:id="419"/>
    </w:p>
    <w:p w:rsidR="0034438E" w:rsidRPr="00D564C0" w:rsidRDefault="00065E4B" w:rsidP="00597C20">
      <w:pPr>
        <w:pStyle w:val="53"/>
        <w:rPr>
          <w:rtl/>
        </w:rPr>
      </w:pPr>
      <w:r w:rsidRPr="00D564C0">
        <w:rPr>
          <w:rFonts w:hint="cs"/>
          <w:rtl/>
        </w:rPr>
        <w:t>ا</w:t>
      </w:r>
      <w:r w:rsidR="00D25F15" w:rsidRPr="00D564C0">
        <w:rPr>
          <w:rFonts w:hint="cs"/>
          <w:rtl/>
        </w:rPr>
        <w:t>لمشغول</w:t>
      </w:r>
      <w:r w:rsidR="00AB0B9E">
        <w:rPr>
          <w:rtl/>
        </w:rPr>
        <w:fldChar w:fldCharType="begin"/>
      </w:r>
      <w:r w:rsidR="00D564C0">
        <w:instrText xml:space="preserve"> XE "</w:instrText>
      </w:r>
      <w:r w:rsidR="00D564C0" w:rsidRPr="00D564C0">
        <w:rPr>
          <w:rFonts w:hint="cs"/>
          <w:b w:val="0"/>
          <w:bCs w:val="0"/>
          <w:rtl/>
        </w:rPr>
        <w:instrText>المشغول</w:instrText>
      </w:r>
      <w:r w:rsidR="00D564C0">
        <w:instrText xml:space="preserve">" </w:instrText>
      </w:r>
      <w:r w:rsidR="00D564C0" w:rsidRPr="00D564C0">
        <w:instrText>\fm</w:instrText>
      </w:r>
      <w:r w:rsidR="00AB0B9E">
        <w:rPr>
          <w:rtl/>
        </w:rPr>
        <w:fldChar w:fldCharType="end"/>
      </w:r>
      <w:r w:rsidR="00D25F15" w:rsidRPr="00D564C0">
        <w:rPr>
          <w:rFonts w:hint="cs"/>
          <w:rtl/>
        </w:rPr>
        <w:t xml:space="preserve"> لغة:</w:t>
      </w:r>
    </w:p>
    <w:p w:rsidR="00065E4B" w:rsidRPr="00C85F0F" w:rsidRDefault="00D25F15" w:rsidP="00597C20">
      <w:pPr>
        <w:ind w:firstLine="720"/>
        <w:rPr>
          <w:rtl/>
        </w:rPr>
      </w:pPr>
      <w:r w:rsidRPr="00C85F0F">
        <w:rPr>
          <w:rFonts w:hint="cs"/>
          <w:rtl/>
        </w:rPr>
        <w:t>ضد الفارِغ.</w:t>
      </w:r>
    </w:p>
    <w:p w:rsidR="00065E4B" w:rsidRPr="00C85F0F" w:rsidRDefault="00065E4B" w:rsidP="00597C20">
      <w:pPr>
        <w:ind w:firstLine="720"/>
        <w:rPr>
          <w:rtl/>
        </w:rPr>
      </w:pPr>
      <w:r w:rsidRPr="00C85F0F">
        <w:rPr>
          <w:rFonts w:hint="cs"/>
          <w:rtl/>
        </w:rPr>
        <w:t>ي</w:t>
      </w:r>
      <w:r w:rsidR="00D25F15" w:rsidRPr="00C85F0F">
        <w:rPr>
          <w:rFonts w:hint="cs"/>
          <w:rtl/>
        </w:rPr>
        <w:t xml:space="preserve">قول  ابن فارس </w:t>
      </w:r>
      <w:r w:rsidR="00CD4D4F">
        <w:rPr>
          <w:rFonts w:hint="cs"/>
          <w:rtl/>
        </w:rPr>
        <w:t>_</w:t>
      </w:r>
      <w:r w:rsidR="009A0575" w:rsidRPr="005D5694">
        <w:rPr>
          <w:rFonts w:ascii="Traditional Arabic" w:hAnsi="Traditional Arabic" w:cs="CTraditional Arabic" w:hint="cs"/>
          <w:rtl/>
        </w:rPr>
        <w:t>/</w:t>
      </w:r>
      <w:r w:rsidR="00CD4D4F">
        <w:rPr>
          <w:rFonts w:hint="cs"/>
          <w:rtl/>
        </w:rPr>
        <w:t>_</w:t>
      </w:r>
      <w:r w:rsidR="00D25F15" w:rsidRPr="00C85F0F">
        <w:rPr>
          <w:rFonts w:hint="cs"/>
          <w:rtl/>
        </w:rPr>
        <w:t>:</w:t>
      </w:r>
      <w:r w:rsidR="00CD4D4F">
        <w:rPr>
          <w:rFonts w:hint="cs"/>
          <w:rtl/>
        </w:rPr>
        <w:t xml:space="preserve"> </w:t>
      </w:r>
      <w:r w:rsidR="00B76414" w:rsidRPr="00C85F0F">
        <w:rPr>
          <w:rFonts w:hint="cs"/>
          <w:rtl/>
        </w:rPr>
        <w:t>(</w:t>
      </w:r>
      <w:r w:rsidR="00D25F15" w:rsidRPr="00C85F0F">
        <w:rPr>
          <w:rFonts w:ascii="Traditional Arabic" w:hAnsi="Traditional Arabic"/>
          <w:noProof w:val="0"/>
          <w:color w:val="auto"/>
          <w:rtl/>
          <w:lang w:eastAsia="en-US"/>
        </w:rPr>
        <w:t>الشين والغين واللام أصل واحد يدل على خلاف الفراغ. تقول: ش</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غلت</w:t>
      </w:r>
      <w:r w:rsidR="00D25F15" w:rsidRPr="00C85F0F">
        <w:rPr>
          <w:rFonts w:ascii="Traditional Arabic" w:hAnsi="Traditional Arabic" w:hint="cs"/>
          <w:noProof w:val="0"/>
          <w:color w:val="auto"/>
          <w:rtl/>
          <w:lang w:eastAsia="en-US"/>
        </w:rPr>
        <w:t>ُ</w:t>
      </w:r>
      <w:r w:rsidR="00CD4D4F">
        <w:rPr>
          <w:rFonts w:ascii="Traditional Arabic" w:hAnsi="Traditional Arabic" w:hint="cs"/>
          <w:noProof w:val="0"/>
          <w:color w:val="auto"/>
          <w:rtl/>
          <w:lang w:eastAsia="en-US"/>
        </w:rPr>
        <w:t xml:space="preserve"> </w:t>
      </w:r>
      <w:r w:rsidR="00D25F15" w:rsidRPr="00C85F0F">
        <w:rPr>
          <w:rFonts w:ascii="Traditional Arabic" w:hAnsi="Traditional Arabic"/>
          <w:noProof w:val="0"/>
          <w:color w:val="auto"/>
          <w:rtl/>
          <w:lang w:eastAsia="en-US"/>
        </w:rPr>
        <w:t>فلانا</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 xml:space="preserve"> فأنا شاغ</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ل</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ه، وهو مشغول</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 وش</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غلت عنك بكذا، على لفظ ما لم ي</w:t>
      </w:r>
      <w:r w:rsidR="00CD4D4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سم</w:t>
      </w:r>
      <w:r w:rsidR="00CD4D4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 xml:space="preserve"> فاعله. قالوا: ولا يقال أ</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شغلت. ويقال ش</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غل شاغ</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ل</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 وجمع الش</w:t>
      </w:r>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غل أشغال</w:t>
      </w:r>
      <w:r w:rsidR="00D25F15" w:rsidRPr="00C85F0F">
        <w:rPr>
          <w:rFonts w:hint="cs"/>
          <w:color w:val="auto"/>
          <w:rtl/>
        </w:rPr>
        <w:t>)</w:t>
      </w:r>
      <w:r w:rsidR="00D25F15" w:rsidRPr="00C85F0F">
        <w:rPr>
          <w:rStyle w:val="af1"/>
          <w:szCs w:val="32"/>
          <w:rtl/>
        </w:rPr>
        <w:t>(</w:t>
      </w:r>
      <w:r w:rsidR="00D25F15" w:rsidRPr="00C85F0F">
        <w:rPr>
          <w:rStyle w:val="af1"/>
          <w:szCs w:val="32"/>
          <w:rtl/>
        </w:rPr>
        <w:footnoteReference w:id="1950"/>
      </w:r>
      <w:r w:rsidR="00D25F15" w:rsidRPr="00C85F0F">
        <w:rPr>
          <w:rStyle w:val="af1"/>
          <w:szCs w:val="32"/>
          <w:rtl/>
        </w:rPr>
        <w:t>)</w:t>
      </w:r>
      <w:r w:rsidR="00D25F15" w:rsidRPr="00C85F0F">
        <w:rPr>
          <w:rFonts w:hint="cs"/>
          <w:color w:val="auto"/>
          <w:rtl/>
        </w:rPr>
        <w:t>.</w:t>
      </w:r>
    </w:p>
    <w:p w:rsidR="00065E4B" w:rsidRPr="00D564C0" w:rsidRDefault="00065E4B" w:rsidP="00597C20">
      <w:pPr>
        <w:pStyle w:val="53"/>
        <w:rPr>
          <w:rtl/>
        </w:rPr>
      </w:pPr>
      <w:r w:rsidRPr="00D564C0">
        <w:rPr>
          <w:rFonts w:hint="cs"/>
          <w:rtl/>
        </w:rPr>
        <w:t>م</w:t>
      </w:r>
      <w:r w:rsidR="00D25F15" w:rsidRPr="00D564C0">
        <w:rPr>
          <w:rFonts w:hint="cs"/>
          <w:rtl/>
        </w:rPr>
        <w:t>عنى القاعدة إجمالا:</w:t>
      </w:r>
    </w:p>
    <w:p w:rsidR="00065E4B" w:rsidRPr="00C85F0F" w:rsidRDefault="00065E4B" w:rsidP="00597C20">
      <w:pPr>
        <w:ind w:firstLine="720"/>
        <w:rPr>
          <w:color w:val="auto"/>
          <w:rtl/>
        </w:rPr>
      </w:pPr>
      <w:r w:rsidRPr="00C85F0F">
        <w:rPr>
          <w:rFonts w:hint="cs"/>
          <w:color w:val="auto"/>
          <w:rtl/>
        </w:rPr>
        <w:t>ه</w:t>
      </w:r>
      <w:r w:rsidR="00D25F15" w:rsidRPr="00C85F0F">
        <w:rPr>
          <w:rFonts w:hint="cs"/>
          <w:color w:val="auto"/>
          <w:rtl/>
        </w:rPr>
        <w:t xml:space="preserve">ذه قاعدة معروفة عند العلماء، ومعناها أن المشغول بمقتضى عقدٍ، لايصح أن يُعقَد عليه عقدٌ يُبطِل العقدَ الأول، وذلك مقيَّدٌ بشرطِ </w:t>
      </w:r>
      <w:r w:rsidR="00CD4D4F">
        <w:rPr>
          <w:rFonts w:hint="cs"/>
          <w:color w:val="auto"/>
          <w:rtl/>
        </w:rPr>
        <w:t xml:space="preserve">أن </w:t>
      </w:r>
      <w:r w:rsidR="00D25F15" w:rsidRPr="00C85F0F">
        <w:rPr>
          <w:rFonts w:hint="cs"/>
          <w:color w:val="auto"/>
          <w:rtl/>
        </w:rPr>
        <w:t>يُشغَل الأول بما يُسقِطه، فإن شُغل بما لا يُسقطه فلا بأس بذلك لإمكان الجمع، كما لو أجَّر الراهن رهْنَه فإن ذل</w:t>
      </w:r>
      <w:r w:rsidR="00CD4D4F">
        <w:rPr>
          <w:rFonts w:hint="cs"/>
          <w:color w:val="auto"/>
          <w:rtl/>
        </w:rPr>
        <w:t>ك يصح؛ لأن التأجير لا يُسقط حقَّ</w:t>
      </w:r>
      <w:r w:rsidR="00D25F15" w:rsidRPr="00C85F0F">
        <w:rPr>
          <w:rFonts w:hint="cs"/>
          <w:color w:val="auto"/>
          <w:rtl/>
        </w:rPr>
        <w:t xml:space="preserve"> المرتهِن من الرهن، وتكون الأجرة تابعةً للرهن</w:t>
      </w:r>
      <w:r w:rsidR="00D25F15" w:rsidRPr="00C85F0F">
        <w:rPr>
          <w:rStyle w:val="af1"/>
          <w:szCs w:val="32"/>
          <w:rtl/>
        </w:rPr>
        <w:t>(</w:t>
      </w:r>
      <w:r w:rsidR="00D25F15" w:rsidRPr="00C85F0F">
        <w:rPr>
          <w:rStyle w:val="af1"/>
          <w:szCs w:val="32"/>
          <w:rtl/>
        </w:rPr>
        <w:footnoteReference w:id="1951"/>
      </w:r>
      <w:r w:rsidR="00D25F15" w:rsidRPr="00C85F0F">
        <w:rPr>
          <w:rStyle w:val="af1"/>
          <w:szCs w:val="32"/>
          <w:rtl/>
        </w:rPr>
        <w:t>)</w:t>
      </w:r>
      <w:r w:rsidR="00D25F15" w:rsidRPr="00C85F0F">
        <w:rPr>
          <w:rFonts w:hint="cs"/>
          <w:color w:val="auto"/>
          <w:rtl/>
        </w:rPr>
        <w:t>.</w:t>
      </w:r>
    </w:p>
    <w:p w:rsidR="00D25F15" w:rsidRPr="00C85F0F" w:rsidRDefault="00CD4D4F" w:rsidP="00A8347C">
      <w:pPr>
        <w:pStyle w:val="aff3"/>
        <w:rPr>
          <w:rtl/>
        </w:rPr>
      </w:pPr>
      <w:bookmarkStart w:id="420" w:name="_Toc334046603"/>
      <w:r>
        <w:rPr>
          <w:rFonts w:hint="cs"/>
          <w:rtl/>
        </w:rPr>
        <w:t xml:space="preserve">                                         </w:t>
      </w:r>
      <w:r w:rsidR="00D25F15" w:rsidRPr="00C85F0F">
        <w:rPr>
          <w:rFonts w:hint="cs"/>
          <w:rtl/>
        </w:rPr>
        <w:t>المطلب الثالث</w:t>
      </w:r>
      <w:r w:rsidR="00D25F15" w:rsidRPr="00C85F0F">
        <w:rPr>
          <w:rFonts w:hint="eastAsia"/>
          <w:rtl/>
        </w:rPr>
        <w:t> :</w:t>
      </w:r>
      <w:r w:rsidR="00D25F15" w:rsidRPr="00C85F0F">
        <w:rPr>
          <w:rFonts w:hint="cs"/>
          <w:rtl/>
        </w:rPr>
        <w:br/>
      </w:r>
      <w:r>
        <w:rPr>
          <w:rFonts w:hint="cs"/>
          <w:rtl/>
        </w:rPr>
        <w:t xml:space="preserve">                                            </w:t>
      </w:r>
      <w:r w:rsidR="00D25F15" w:rsidRPr="00C85F0F">
        <w:rPr>
          <w:rFonts w:hint="cs"/>
          <w:rtl/>
        </w:rPr>
        <w:t>أدلة القاعدة</w:t>
      </w:r>
      <w:bookmarkEnd w:id="420"/>
    </w:p>
    <w:p w:rsidR="00D25F15" w:rsidRDefault="00D25F15" w:rsidP="000A76C7">
      <w:pPr>
        <w:pStyle w:val="afc"/>
        <w:numPr>
          <w:ilvl w:val="0"/>
          <w:numId w:val="269"/>
        </w:numPr>
        <w:rPr>
          <w:color w:val="auto"/>
        </w:rPr>
      </w:pPr>
      <w:r w:rsidRPr="00C85F0F">
        <w:rPr>
          <w:rFonts w:hint="cs"/>
          <w:color w:val="auto"/>
          <w:rtl/>
        </w:rPr>
        <w:t>حديث عبد الله بن مسعود</w:t>
      </w:r>
      <w:r w:rsidR="003F6081">
        <w:rPr>
          <w:rFonts w:hint="cs"/>
          <w:color w:val="auto"/>
          <w:rtl/>
        </w:rPr>
        <w:t>_رضي الله عنه_</w:t>
      </w:r>
      <w:r w:rsidRPr="00C85F0F">
        <w:rPr>
          <w:rFonts w:hint="cs"/>
          <w:color w:val="auto"/>
          <w:rtl/>
        </w:rPr>
        <w:t xml:space="preserve"> قال كنا </w:t>
      </w:r>
      <w:r w:rsidRPr="00C85F0F">
        <w:rPr>
          <w:rFonts w:ascii="Traditional Arabic" w:hAnsi="Traditional Arabic"/>
          <w:noProof w:val="0"/>
          <w:rtl/>
          <w:lang w:eastAsia="en-US"/>
        </w:rPr>
        <w:t>نسل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م على النبي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noProof w:val="0"/>
          <w:rtl/>
          <w:lang w:eastAsia="en-US"/>
        </w:rPr>
        <w:t xml:space="preserve"> وهو في الصلاة فيرد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علينا</w:t>
      </w:r>
      <w:r w:rsidRPr="00C85F0F">
        <w:rPr>
          <w:rFonts w:ascii="Traditional Arabic" w:hAnsi="Traditional Arabic" w:hint="cs"/>
          <w:noProof w:val="0"/>
          <w:rtl/>
          <w:lang w:eastAsia="en-US"/>
        </w:rPr>
        <w:t>،</w:t>
      </w:r>
      <w:r w:rsidR="00AB0B9E" w:rsidRPr="00C85F0F">
        <w:rPr>
          <w:rFonts w:ascii="Traditional Arabic" w:hAnsi="Traditional Arabic"/>
          <w:noProof w:val="0"/>
          <w:lang w:eastAsia="en-US"/>
        </w:rPr>
        <w:fldChar w:fldCharType="begin"/>
      </w:r>
      <w:r w:rsidR="00246303" w:rsidRPr="00C85F0F">
        <w:instrText>XE</w:instrText>
      </w:r>
      <w:r w:rsidR="00246303" w:rsidRPr="00C85F0F">
        <w:rPr>
          <w:rtl/>
        </w:rPr>
        <w:instrText xml:space="preserve"> "</w:instrText>
      </w:r>
      <w:r w:rsidR="00246303" w:rsidRPr="00C85F0F">
        <w:rPr>
          <w:rFonts w:hint="cs"/>
          <w:color w:val="auto"/>
          <w:rtl/>
        </w:rPr>
        <w:instrText xml:space="preserve">كنا </w:instrText>
      </w:r>
      <w:r w:rsidR="00246303" w:rsidRPr="00C85F0F">
        <w:rPr>
          <w:rFonts w:ascii="Traditional Arabic" w:hAnsi="Traditional Arabic"/>
          <w:noProof w:val="0"/>
          <w:rtl/>
          <w:lang w:eastAsia="en-US"/>
        </w:rPr>
        <w:instrText>نسل</w:instrText>
      </w:r>
      <w:r w:rsidR="00246303" w:rsidRPr="00C85F0F">
        <w:rPr>
          <w:rFonts w:ascii="Traditional Arabic" w:hAnsi="Traditional Arabic" w:hint="cs"/>
          <w:noProof w:val="0"/>
          <w:rtl/>
          <w:lang w:eastAsia="en-US"/>
        </w:rPr>
        <w:instrText>ِّ</w:instrText>
      </w:r>
      <w:r w:rsidR="00246303" w:rsidRPr="00C85F0F">
        <w:rPr>
          <w:rFonts w:ascii="Traditional Arabic" w:hAnsi="Traditional Arabic"/>
          <w:noProof w:val="0"/>
          <w:rtl/>
          <w:lang w:eastAsia="en-US"/>
        </w:rPr>
        <w:instrText xml:space="preserve">م على النبي </w:instrText>
      </w:r>
      <w:r w:rsidR="00246303" w:rsidRPr="00C85F0F">
        <w:rPr>
          <w:rFonts w:ascii="Traditional Arabic" w:hAnsi="Traditional Arabic"/>
          <w:noProof w:val="0"/>
          <w:color w:val="auto"/>
          <w:rtl/>
          <w:lang w:eastAsia="en-US"/>
        </w:rPr>
        <w:sym w:font="AGA Arabesque" w:char="F072"/>
      </w:r>
      <w:r w:rsidR="00246303" w:rsidRPr="00C85F0F">
        <w:rPr>
          <w:rFonts w:ascii="Traditional Arabic" w:hAnsi="Traditional Arabic"/>
          <w:noProof w:val="0"/>
          <w:rtl/>
          <w:lang w:eastAsia="en-US"/>
        </w:rPr>
        <w:instrText xml:space="preserve"> وهو في الصلاة فيرد</w:instrText>
      </w:r>
      <w:r w:rsidR="00246303" w:rsidRPr="00C85F0F">
        <w:rPr>
          <w:rFonts w:ascii="Traditional Arabic" w:hAnsi="Traditional Arabic" w:hint="cs"/>
          <w:noProof w:val="0"/>
          <w:rtl/>
          <w:lang w:eastAsia="en-US"/>
        </w:rPr>
        <w:instrText>ُّ</w:instrText>
      </w:r>
      <w:r w:rsidR="00246303" w:rsidRPr="00C85F0F">
        <w:rPr>
          <w:rFonts w:ascii="Traditional Arabic" w:hAnsi="Traditional Arabic"/>
          <w:noProof w:val="0"/>
          <w:rtl/>
          <w:lang w:eastAsia="en-US"/>
        </w:rPr>
        <w:instrText xml:space="preserve"> علينا</w:instrText>
      </w:r>
      <w:r w:rsidR="00246303" w:rsidRPr="00C85F0F">
        <w:rPr>
          <w:rFonts w:ascii="Traditional Arabic" w:hAnsi="Traditional Arabic" w:hint="cs"/>
          <w:noProof w:val="0"/>
          <w:rtl/>
          <w:lang w:eastAsia="en-US"/>
        </w:rPr>
        <w:instrText>،</w:instrText>
      </w:r>
      <w:r w:rsidR="00246303" w:rsidRPr="00C85F0F">
        <w:rPr>
          <w:rtl/>
        </w:rPr>
        <w:instrText>" \</w:instrText>
      </w:r>
      <w:r w:rsidR="00246303" w:rsidRPr="00C85F0F">
        <w:instrText>fh</w:instrText>
      </w:r>
      <w:r w:rsidR="00AB0B9E" w:rsidRPr="00C85F0F">
        <w:rPr>
          <w:rFonts w:ascii="Traditional Arabic" w:hAnsi="Traditional Arabic"/>
          <w:noProof w:val="0"/>
          <w:lang w:eastAsia="en-US"/>
        </w:rPr>
        <w:fldChar w:fldCharType="end"/>
      </w:r>
      <w:r w:rsidRPr="00F65E3D">
        <w:rPr>
          <w:rFonts w:ascii="Traditional Arabic" w:hAnsi="Traditional Arabic"/>
          <w:noProof w:val="0"/>
          <w:rtl/>
          <w:lang w:eastAsia="en-US"/>
        </w:rPr>
        <w:t xml:space="preserve"> فلما رجعنا من عند النجاشي</w:t>
      </w:r>
      <w:r w:rsidR="00514D5B" w:rsidRPr="00514D5B">
        <w:rPr>
          <w:rFonts w:ascii="Traditional Arabic" w:hAnsi="Traditional Arabic" w:hint="cs"/>
          <w:noProof w:val="0"/>
          <w:vertAlign w:val="superscript"/>
          <w:rtl/>
          <w:lang w:eastAsia="en-US"/>
        </w:rPr>
        <w:t>(</w:t>
      </w:r>
      <w:r w:rsidR="00252404" w:rsidRPr="00514D5B">
        <w:rPr>
          <w:rStyle w:val="af1"/>
          <w:rFonts w:ascii="Traditional Arabic" w:hAnsi="Traditional Arabic"/>
          <w:noProof w:val="0"/>
          <w:rtl/>
          <w:lang w:eastAsia="en-US"/>
        </w:rPr>
        <w:footnoteReference w:id="1952"/>
      </w:r>
      <w:r w:rsidR="00514D5B" w:rsidRPr="00514D5B">
        <w:rPr>
          <w:rFonts w:ascii="Traditional Arabic" w:hAnsi="Traditional Arabic" w:hint="cs"/>
          <w:noProof w:val="0"/>
          <w:vertAlign w:val="superscript"/>
          <w:rtl/>
          <w:lang w:eastAsia="en-US"/>
        </w:rPr>
        <w:t>)</w:t>
      </w:r>
      <w:r w:rsidRPr="00F65E3D">
        <w:rPr>
          <w:rFonts w:ascii="Traditional Arabic" w:hAnsi="Traditional Arabic"/>
          <w:noProof w:val="0"/>
          <w:rtl/>
          <w:lang w:eastAsia="en-US"/>
        </w:rPr>
        <w:t xml:space="preserve"> سل</w:t>
      </w:r>
      <w:r w:rsidR="00252404">
        <w:rPr>
          <w:rFonts w:ascii="Traditional Arabic" w:hAnsi="Traditional Arabic" w:hint="cs"/>
          <w:noProof w:val="0"/>
          <w:rtl/>
          <w:lang w:eastAsia="en-US"/>
        </w:rPr>
        <w:t>َّ</w:t>
      </w:r>
      <w:r w:rsidRPr="00F65E3D">
        <w:rPr>
          <w:rFonts w:ascii="Traditional Arabic" w:hAnsi="Traditional Arabic"/>
          <w:noProof w:val="0"/>
          <w:rtl/>
          <w:lang w:eastAsia="en-US"/>
        </w:rPr>
        <w:t>منا عليه فلم يرد</w:t>
      </w:r>
      <w:r>
        <w:rPr>
          <w:rFonts w:ascii="Traditional Arabic" w:hAnsi="Traditional Arabic" w:hint="cs"/>
          <w:noProof w:val="0"/>
          <w:rtl/>
          <w:lang w:eastAsia="en-US"/>
        </w:rPr>
        <w:t>َّ</w:t>
      </w:r>
      <w:r w:rsidRPr="00F65E3D">
        <w:rPr>
          <w:rFonts w:ascii="Traditional Arabic" w:hAnsi="Traditional Arabic"/>
          <w:noProof w:val="0"/>
          <w:rtl/>
          <w:lang w:eastAsia="en-US"/>
        </w:rPr>
        <w:t xml:space="preserve"> علينا </w:t>
      </w:r>
      <w:r w:rsidRPr="00F65E3D">
        <w:rPr>
          <w:rFonts w:ascii="Traditional Arabic" w:hAnsi="Traditional Arabic"/>
          <w:noProof w:val="0"/>
          <w:rtl/>
          <w:lang w:eastAsia="en-US"/>
        </w:rPr>
        <w:lastRenderedPageBreak/>
        <w:t>وقال</w:t>
      </w:r>
      <w:r>
        <w:rPr>
          <w:rFonts w:ascii="Traditional Arabic" w:hAnsi="Traditional Arabic" w:hint="cs"/>
          <w:noProof w:val="0"/>
          <w:rtl/>
          <w:lang w:eastAsia="en-US"/>
        </w:rPr>
        <w:t>: "إن في الصلاة شُغلاً</w:t>
      </w:r>
      <w:r>
        <w:rPr>
          <w:rFonts w:hint="cs"/>
          <w:color w:val="auto"/>
          <w:rtl/>
        </w:rPr>
        <w:t>"</w:t>
      </w:r>
      <w:r w:rsidRPr="00C821A1">
        <w:rPr>
          <w:rStyle w:val="af1"/>
          <w:szCs w:val="32"/>
          <w:rtl/>
        </w:rPr>
        <w:t>(</w:t>
      </w:r>
      <w:r w:rsidRPr="00C821A1">
        <w:rPr>
          <w:rStyle w:val="af1"/>
          <w:szCs w:val="32"/>
          <w:rtl/>
        </w:rPr>
        <w:footnoteReference w:id="1953"/>
      </w:r>
      <w:r w:rsidRPr="00C821A1">
        <w:rPr>
          <w:rStyle w:val="af1"/>
          <w:szCs w:val="32"/>
          <w:rtl/>
        </w:rPr>
        <w:t>)</w:t>
      </w:r>
      <w:r>
        <w:rPr>
          <w:rFonts w:hint="cs"/>
          <w:color w:val="auto"/>
          <w:rtl/>
        </w:rPr>
        <w:t>.</w:t>
      </w:r>
    </w:p>
    <w:p w:rsidR="00D25F15" w:rsidRDefault="00D25F15" w:rsidP="00597C20">
      <w:pPr>
        <w:pStyle w:val="53"/>
        <w:rPr>
          <w:rtl/>
        </w:rPr>
      </w:pPr>
      <w:r>
        <w:rPr>
          <w:rFonts w:hint="cs"/>
          <w:rtl/>
        </w:rPr>
        <w:t>وجه الدلالة:</w:t>
      </w:r>
    </w:p>
    <w:p w:rsidR="00065E4B" w:rsidRPr="0034438E" w:rsidRDefault="00D25F15" w:rsidP="00597C20">
      <w:pPr>
        <w:ind w:firstLine="720"/>
        <w:rPr>
          <w:color w:val="auto"/>
          <w:rtl/>
        </w:rPr>
      </w:pPr>
      <w:r w:rsidRPr="0034438E">
        <w:rPr>
          <w:rFonts w:hint="cs"/>
          <w:color w:val="auto"/>
          <w:rtl/>
        </w:rPr>
        <w:t xml:space="preserve">معنى قوله </w:t>
      </w:r>
      <w:r w:rsidR="00F350DE">
        <w:rPr>
          <w:color w:val="auto"/>
          <w:rtl/>
          <w:lang w:eastAsia="en-US"/>
        </w:rPr>
        <w:sym w:font="AGA Arabesque" w:char="F072"/>
      </w:r>
      <w:r w:rsidR="00514D5B">
        <w:rPr>
          <w:rFonts w:hint="cs"/>
          <w:color w:val="auto"/>
          <w:rtl/>
        </w:rPr>
        <w:t xml:space="preserve"> </w:t>
      </w:r>
      <w:r w:rsidRPr="0034438E">
        <w:rPr>
          <w:rFonts w:hint="cs"/>
          <w:color w:val="auto"/>
          <w:rtl/>
        </w:rPr>
        <w:t>:</w:t>
      </w:r>
      <w:r w:rsidR="00514D5B">
        <w:rPr>
          <w:rFonts w:hint="cs"/>
          <w:color w:val="auto"/>
          <w:rtl/>
        </w:rPr>
        <w:t xml:space="preserve"> </w:t>
      </w:r>
      <w:r w:rsidRPr="0034438E">
        <w:rPr>
          <w:rFonts w:hint="cs"/>
          <w:color w:val="auto"/>
          <w:rtl/>
        </w:rPr>
        <w:t>"إن في الصلاة شغلا" أن</w:t>
      </w:r>
      <w:r w:rsidR="00514D5B">
        <w:rPr>
          <w:rFonts w:ascii="Traditional Arabic" w:hAnsi="Traditional Arabic" w:hint="cs"/>
          <w:noProof w:val="0"/>
          <w:rtl/>
          <w:lang w:eastAsia="en-US"/>
        </w:rPr>
        <w:t xml:space="preserve"> </w:t>
      </w:r>
      <w:r w:rsidRPr="0034438E">
        <w:rPr>
          <w:rFonts w:ascii="Traditional Arabic" w:hAnsi="Traditional Arabic"/>
          <w:noProof w:val="0"/>
          <w:rtl/>
          <w:lang w:eastAsia="en-US"/>
        </w:rPr>
        <w:t>المصل</w:t>
      </w:r>
      <w:r w:rsidRPr="0034438E">
        <w:rPr>
          <w:rFonts w:ascii="Traditional Arabic" w:hAnsi="Traditional Arabic" w:hint="cs"/>
          <w:noProof w:val="0"/>
          <w:rtl/>
          <w:lang w:eastAsia="en-US"/>
        </w:rPr>
        <w:t>ي</w:t>
      </w:r>
      <w:r w:rsidRPr="0034438E">
        <w:rPr>
          <w:rFonts w:ascii="Traditional Arabic" w:hAnsi="Traditional Arabic"/>
          <w:noProof w:val="0"/>
          <w:rtl/>
          <w:lang w:eastAsia="en-US"/>
        </w:rPr>
        <w:t xml:space="preserve"> وظيفت</w:t>
      </w:r>
      <w:r w:rsidRPr="0034438E">
        <w:rPr>
          <w:rFonts w:ascii="Traditional Arabic" w:hAnsi="Traditional Arabic" w:hint="cs"/>
          <w:noProof w:val="0"/>
          <w:rtl/>
          <w:lang w:eastAsia="en-US"/>
        </w:rPr>
        <w:t>ُ</w:t>
      </w:r>
      <w:r w:rsidRPr="0034438E">
        <w:rPr>
          <w:rFonts w:ascii="Traditional Arabic" w:hAnsi="Traditional Arabic"/>
          <w:noProof w:val="0"/>
          <w:rtl/>
          <w:lang w:eastAsia="en-US"/>
        </w:rPr>
        <w:t>ه أن يشتغل بصلاته</w:t>
      </w:r>
      <w:r w:rsidR="00514D5B">
        <w:rPr>
          <w:rFonts w:ascii="Traditional Arabic" w:hAnsi="Traditional Arabic" w:hint="cs"/>
          <w:noProof w:val="0"/>
          <w:rtl/>
          <w:lang w:eastAsia="en-US"/>
        </w:rPr>
        <w:t>،</w:t>
      </w:r>
      <w:r w:rsidRPr="0034438E">
        <w:rPr>
          <w:rFonts w:ascii="Traditional Arabic" w:hAnsi="Traditional Arabic"/>
          <w:noProof w:val="0"/>
          <w:rtl/>
          <w:lang w:eastAsia="en-US"/>
        </w:rPr>
        <w:t xml:space="preserve"> فيتدبر ما يقوله ولا يعر</w:t>
      </w:r>
      <w:r w:rsidRPr="0034438E">
        <w:rPr>
          <w:rFonts w:ascii="Traditional Arabic" w:hAnsi="Traditional Arabic" w:hint="cs"/>
          <w:noProof w:val="0"/>
          <w:rtl/>
          <w:lang w:eastAsia="en-US"/>
        </w:rPr>
        <w:t>ِّ</w:t>
      </w:r>
      <w:r w:rsidRPr="0034438E">
        <w:rPr>
          <w:rFonts w:ascii="Traditional Arabic" w:hAnsi="Traditional Arabic"/>
          <w:noProof w:val="0"/>
          <w:rtl/>
          <w:lang w:eastAsia="en-US"/>
        </w:rPr>
        <w:t>ج على غيرها</w:t>
      </w:r>
      <w:r w:rsidRPr="0034438E">
        <w:rPr>
          <w:rFonts w:ascii="Traditional Arabic" w:hAnsi="Traditional Arabic" w:hint="cs"/>
          <w:noProof w:val="0"/>
          <w:rtl/>
          <w:lang w:eastAsia="en-US"/>
        </w:rPr>
        <w:t>،</w:t>
      </w:r>
      <w:r w:rsidRPr="0034438E">
        <w:rPr>
          <w:rFonts w:ascii="Traditional Arabic" w:hAnsi="Traditional Arabic"/>
          <w:noProof w:val="0"/>
          <w:rtl/>
          <w:lang w:eastAsia="en-US"/>
        </w:rPr>
        <w:t xml:space="preserve"> فلا يرد</w:t>
      </w:r>
      <w:r w:rsidRPr="0034438E">
        <w:rPr>
          <w:rFonts w:ascii="Traditional Arabic" w:hAnsi="Traditional Arabic" w:hint="cs"/>
          <w:noProof w:val="0"/>
          <w:rtl/>
          <w:lang w:eastAsia="en-US"/>
        </w:rPr>
        <w:t>ُّ</w:t>
      </w:r>
      <w:r w:rsidRPr="0034438E">
        <w:rPr>
          <w:rFonts w:ascii="Traditional Arabic" w:hAnsi="Traditional Arabic"/>
          <w:noProof w:val="0"/>
          <w:rtl/>
          <w:lang w:eastAsia="en-US"/>
        </w:rPr>
        <w:t xml:space="preserve"> سلاما</w:t>
      </w:r>
      <w:r w:rsidRPr="0034438E">
        <w:rPr>
          <w:rFonts w:ascii="Traditional Arabic" w:hAnsi="Traditional Arabic" w:hint="cs"/>
          <w:noProof w:val="0"/>
          <w:rtl/>
          <w:lang w:eastAsia="en-US"/>
        </w:rPr>
        <w:t>ً</w:t>
      </w:r>
      <w:r w:rsidRPr="0034438E">
        <w:rPr>
          <w:rFonts w:ascii="Traditional Arabic" w:hAnsi="Traditional Arabic"/>
          <w:noProof w:val="0"/>
          <w:rtl/>
          <w:lang w:eastAsia="en-US"/>
        </w:rPr>
        <w:t xml:space="preserve"> ولا غيره</w:t>
      </w:r>
      <w:r w:rsidRPr="0034438E">
        <w:rPr>
          <w:rFonts w:ascii="Traditional Arabic" w:hAnsi="Traditional Arabic" w:hint="cs"/>
          <w:noProof w:val="0"/>
          <w:rtl/>
          <w:lang w:eastAsia="en-US"/>
        </w:rPr>
        <w:t>.</w:t>
      </w:r>
      <w:r w:rsidR="00514D5B">
        <w:rPr>
          <w:rFonts w:ascii="Traditional Arabic" w:hAnsi="Traditional Arabic" w:hint="cs"/>
          <w:noProof w:val="0"/>
          <w:rtl/>
          <w:lang w:eastAsia="en-US"/>
        </w:rPr>
        <w:t xml:space="preserve"> </w:t>
      </w:r>
      <w:r w:rsidRPr="0034438E">
        <w:rPr>
          <w:rFonts w:ascii="Traditional Arabic" w:hAnsi="Traditional Arabic"/>
          <w:noProof w:val="0"/>
          <w:rtl/>
          <w:lang w:eastAsia="en-US"/>
        </w:rPr>
        <w:t>فالصلاة لها أفعال، وأذكار خاصة</w:t>
      </w:r>
      <w:r w:rsidR="00514D5B">
        <w:rPr>
          <w:rFonts w:ascii="Traditional Arabic" w:hAnsi="Traditional Arabic" w:hint="cs"/>
          <w:noProof w:val="0"/>
          <w:rtl/>
          <w:lang w:eastAsia="en-US"/>
        </w:rPr>
        <w:t>،</w:t>
      </w:r>
      <w:r w:rsidRPr="0034438E">
        <w:rPr>
          <w:rFonts w:ascii="Traditional Arabic" w:hAnsi="Traditional Arabic"/>
          <w:noProof w:val="0"/>
          <w:rtl/>
          <w:lang w:eastAsia="en-US"/>
        </w:rPr>
        <w:t xml:space="preserve"> فلا ت</w:t>
      </w:r>
      <w:r w:rsidRPr="0034438E">
        <w:rPr>
          <w:rFonts w:ascii="Traditional Arabic" w:hAnsi="Traditional Arabic" w:hint="cs"/>
          <w:noProof w:val="0"/>
          <w:rtl/>
          <w:lang w:eastAsia="en-US"/>
        </w:rPr>
        <w:t>ُ</w:t>
      </w:r>
      <w:r w:rsidRPr="0034438E">
        <w:rPr>
          <w:rFonts w:ascii="Traditional Arabic" w:hAnsi="Traditional Arabic"/>
          <w:noProof w:val="0"/>
          <w:rtl/>
          <w:lang w:eastAsia="en-US"/>
        </w:rPr>
        <w:t>شغل بغير ما ش</w:t>
      </w:r>
      <w:r w:rsidRPr="0034438E">
        <w:rPr>
          <w:rFonts w:ascii="Traditional Arabic" w:hAnsi="Traditional Arabic" w:hint="cs"/>
          <w:noProof w:val="0"/>
          <w:rtl/>
          <w:lang w:eastAsia="en-US"/>
        </w:rPr>
        <w:t>ُ</w:t>
      </w:r>
      <w:r w:rsidRPr="0034438E">
        <w:rPr>
          <w:rFonts w:ascii="Traditional Arabic" w:hAnsi="Traditional Arabic"/>
          <w:noProof w:val="0"/>
          <w:rtl/>
          <w:lang w:eastAsia="en-US"/>
        </w:rPr>
        <w:t>رع فيها</w:t>
      </w:r>
      <w:r w:rsidRPr="0034438E">
        <w:rPr>
          <w:rFonts w:ascii="Traditional Arabic" w:hAnsi="Traditional Arabic" w:hint="cs"/>
          <w:noProof w:val="0"/>
          <w:rtl/>
          <w:lang w:eastAsia="en-US"/>
        </w:rPr>
        <w:t>؛ لأن المشغول لايشغل</w:t>
      </w:r>
      <w:r w:rsidRPr="00C821A1">
        <w:rPr>
          <w:rStyle w:val="af1"/>
          <w:szCs w:val="32"/>
          <w:rtl/>
        </w:rPr>
        <w:t>(</w:t>
      </w:r>
      <w:r w:rsidRPr="00C821A1">
        <w:rPr>
          <w:rStyle w:val="af1"/>
          <w:szCs w:val="32"/>
          <w:rtl/>
        </w:rPr>
        <w:footnoteReference w:id="1954"/>
      </w:r>
      <w:r w:rsidRPr="00C821A1">
        <w:rPr>
          <w:rStyle w:val="af1"/>
          <w:szCs w:val="32"/>
          <w:rtl/>
        </w:rPr>
        <w:t>)</w:t>
      </w:r>
      <w:r w:rsidRPr="0034438E">
        <w:rPr>
          <w:rFonts w:ascii="Traditional Arabic" w:hAnsi="Traditional Arabic" w:hint="cs"/>
          <w:noProof w:val="0"/>
          <w:rtl/>
          <w:lang w:eastAsia="en-US"/>
        </w:rPr>
        <w:t>.</w:t>
      </w:r>
    </w:p>
    <w:p w:rsidR="00F228A9" w:rsidRPr="00E308B8" w:rsidRDefault="00065E4B" w:rsidP="000A76C7">
      <w:pPr>
        <w:pStyle w:val="afc"/>
        <w:numPr>
          <w:ilvl w:val="0"/>
          <w:numId w:val="269"/>
        </w:numPr>
        <w:rPr>
          <w:color w:val="auto"/>
          <w:rtl/>
        </w:rPr>
      </w:pPr>
      <w:r>
        <w:rPr>
          <w:rFonts w:hint="cs"/>
          <w:color w:val="auto"/>
          <w:rtl/>
        </w:rPr>
        <w:t>ي</w:t>
      </w:r>
      <w:r w:rsidR="00D25F15">
        <w:rPr>
          <w:rFonts w:hint="cs"/>
          <w:color w:val="auto"/>
          <w:rtl/>
        </w:rPr>
        <w:t>مكن أن يُستدل لهذه القاعدة كذلك من جهة</w:t>
      </w:r>
      <w:r w:rsidR="00D25F15" w:rsidRPr="00E308B8">
        <w:rPr>
          <w:rFonts w:hint="cs"/>
          <w:color w:val="auto"/>
          <w:rtl/>
        </w:rPr>
        <w:t xml:space="preserve"> المعقول، من حيث إن ما كان مشغولا بشيء لا يمكن شَغله بشيء آخر، كالإناء المشغول بالماء، لايُتصوَّر ش</w:t>
      </w:r>
      <w:r w:rsidR="00D25F15">
        <w:rPr>
          <w:rFonts w:hint="cs"/>
          <w:color w:val="auto"/>
          <w:rtl/>
        </w:rPr>
        <w:t>َ</w:t>
      </w:r>
      <w:r w:rsidR="00D25F15" w:rsidRPr="00E308B8">
        <w:rPr>
          <w:rFonts w:hint="cs"/>
          <w:color w:val="auto"/>
          <w:rtl/>
        </w:rPr>
        <w:t>غ</w:t>
      </w:r>
      <w:r w:rsidR="00D25F15">
        <w:rPr>
          <w:rFonts w:hint="cs"/>
          <w:color w:val="auto"/>
          <w:rtl/>
        </w:rPr>
        <w:t>ْ</w:t>
      </w:r>
      <w:r w:rsidR="00D25F15" w:rsidRPr="00E308B8">
        <w:rPr>
          <w:rFonts w:hint="cs"/>
          <w:color w:val="auto"/>
          <w:rtl/>
        </w:rPr>
        <w:t xml:space="preserve">له بشيء آخر إلا </w:t>
      </w:r>
      <w:r w:rsidR="00801F81">
        <w:rPr>
          <w:rFonts w:hint="cs"/>
          <w:color w:val="auto"/>
          <w:rtl/>
        </w:rPr>
        <w:t>إذا خلا م</w:t>
      </w:r>
      <w:r w:rsidR="00D25F15" w:rsidRPr="00E308B8">
        <w:rPr>
          <w:rFonts w:hint="cs"/>
          <w:color w:val="auto"/>
          <w:rtl/>
        </w:rPr>
        <w:t>ما فيه</w:t>
      </w:r>
      <w:r w:rsidR="00D25F15" w:rsidRPr="00C821A1">
        <w:rPr>
          <w:rStyle w:val="af1"/>
          <w:szCs w:val="32"/>
          <w:rtl/>
        </w:rPr>
        <w:t>(</w:t>
      </w:r>
      <w:r w:rsidR="00D25F15" w:rsidRPr="00C821A1">
        <w:rPr>
          <w:rStyle w:val="af1"/>
          <w:szCs w:val="32"/>
          <w:rtl/>
        </w:rPr>
        <w:footnoteReference w:id="1955"/>
      </w:r>
      <w:r w:rsidR="00D25F15" w:rsidRPr="00C821A1">
        <w:rPr>
          <w:rStyle w:val="af1"/>
          <w:szCs w:val="32"/>
          <w:rtl/>
        </w:rPr>
        <w:t>)</w:t>
      </w:r>
      <w:r w:rsidR="00D25F15">
        <w:rPr>
          <w:rFonts w:hint="cs"/>
          <w:color w:val="auto"/>
          <w:rtl/>
        </w:rPr>
        <w:t>.</w:t>
      </w:r>
    </w:p>
    <w:p w:rsidR="00065E4B" w:rsidRPr="00D25F15" w:rsidRDefault="00103131" w:rsidP="00A8347C">
      <w:pPr>
        <w:pStyle w:val="aff3"/>
        <w:rPr>
          <w:rtl/>
        </w:rPr>
      </w:pPr>
      <w:bookmarkStart w:id="421" w:name="_Toc334046604"/>
      <w:r>
        <w:rPr>
          <w:rFonts w:hint="cs"/>
          <w:rtl/>
        </w:rPr>
        <w:t xml:space="preserve">                                        </w:t>
      </w:r>
      <w:r w:rsidR="00D25F15" w:rsidRPr="00D25F15">
        <w:rPr>
          <w:rFonts w:hint="cs"/>
          <w:rtl/>
        </w:rPr>
        <w:t>المطلب الرابع</w:t>
      </w:r>
      <w:r w:rsidR="00D25F15">
        <w:rPr>
          <w:rFonts w:hint="eastAsia"/>
          <w:rtl/>
        </w:rPr>
        <w:t> :</w:t>
      </w:r>
      <w:r w:rsidR="00D25F15">
        <w:rPr>
          <w:rFonts w:hint="cs"/>
          <w:rtl/>
        </w:rPr>
        <w:br/>
      </w:r>
      <w:r>
        <w:rPr>
          <w:rFonts w:hint="cs"/>
          <w:rtl/>
        </w:rPr>
        <w:t xml:space="preserve">                                       </w:t>
      </w:r>
      <w:r w:rsidR="00D25F15" w:rsidRPr="00D25F15">
        <w:rPr>
          <w:rFonts w:hint="cs"/>
          <w:rtl/>
        </w:rPr>
        <w:t>تطبيقات القاعدة</w:t>
      </w:r>
      <w:bookmarkEnd w:id="421"/>
    </w:p>
    <w:p w:rsidR="00D25F15" w:rsidRPr="00F55E59" w:rsidRDefault="00065E4B" w:rsidP="000A76C7">
      <w:pPr>
        <w:pStyle w:val="afc"/>
        <w:numPr>
          <w:ilvl w:val="0"/>
          <w:numId w:val="268"/>
        </w:numPr>
        <w:rPr>
          <w:color w:val="auto"/>
        </w:rPr>
      </w:pPr>
      <w:r w:rsidRPr="00E308B8">
        <w:rPr>
          <w:rFonts w:ascii="Traditional Arabic" w:hAnsi="Traditional Arabic" w:hint="cs"/>
          <w:noProof w:val="0"/>
          <w:rtl/>
          <w:lang w:eastAsia="en-US"/>
        </w:rPr>
        <w:t>ل</w:t>
      </w:r>
      <w:r w:rsidR="00D25F15" w:rsidRPr="00E308B8">
        <w:rPr>
          <w:rFonts w:ascii="Traditional Arabic" w:hAnsi="Traditional Arabic" w:hint="cs"/>
          <w:noProof w:val="0"/>
          <w:rtl/>
          <w:lang w:eastAsia="en-US"/>
        </w:rPr>
        <w:t>ا ينف</w:t>
      </w:r>
      <w:r w:rsidR="00D25F15">
        <w:rPr>
          <w:rFonts w:ascii="Traditional Arabic" w:hAnsi="Traditional Arabic" w:hint="cs"/>
          <w:noProof w:val="0"/>
          <w:rtl/>
          <w:lang w:eastAsia="en-US"/>
        </w:rPr>
        <w:t>ُ</w:t>
      </w:r>
      <w:r w:rsidR="00D25F15" w:rsidRPr="00E308B8">
        <w:rPr>
          <w:rFonts w:ascii="Traditional Arabic" w:hAnsi="Traditional Arabic" w:hint="cs"/>
          <w:noProof w:val="0"/>
          <w:rtl/>
          <w:lang w:eastAsia="en-US"/>
        </w:rPr>
        <w:t>ذ تصر</w:t>
      </w:r>
      <w:r w:rsidR="00D25F15">
        <w:rPr>
          <w:rFonts w:ascii="Traditional Arabic" w:hAnsi="Traditional Arabic" w:hint="cs"/>
          <w:noProof w:val="0"/>
          <w:rtl/>
          <w:lang w:eastAsia="en-US"/>
        </w:rPr>
        <w:t>ُّ</w:t>
      </w:r>
      <w:r w:rsidR="00D25F15" w:rsidRPr="00E308B8">
        <w:rPr>
          <w:rFonts w:ascii="Traditional Arabic" w:hAnsi="Traditional Arabic" w:hint="cs"/>
          <w:noProof w:val="0"/>
          <w:rtl/>
          <w:lang w:eastAsia="en-US"/>
        </w:rPr>
        <w:t>ف</w:t>
      </w:r>
      <w:r w:rsidR="00103131">
        <w:rPr>
          <w:rFonts w:ascii="Traditional Arabic" w:hAnsi="Traditional Arabic" w:hint="cs"/>
          <w:noProof w:val="0"/>
          <w:rtl/>
          <w:lang w:eastAsia="en-US"/>
        </w:rPr>
        <w:t xml:space="preserve"> </w:t>
      </w:r>
      <w:r w:rsidR="00D25F15">
        <w:rPr>
          <w:rFonts w:ascii="Traditional Arabic" w:hAnsi="Traditional Arabic"/>
          <w:noProof w:val="0"/>
          <w:rtl/>
          <w:lang w:eastAsia="en-US"/>
        </w:rPr>
        <w:t>الراهن</w:t>
      </w:r>
      <w:r w:rsidR="00D25F15">
        <w:rPr>
          <w:rFonts w:ascii="Traditional Arabic" w:hAnsi="Traditional Arabic" w:hint="cs"/>
          <w:noProof w:val="0"/>
          <w:rtl/>
          <w:lang w:eastAsia="en-US"/>
        </w:rPr>
        <w:t xml:space="preserve"> في الرهن</w:t>
      </w:r>
      <w:r w:rsidR="00D25F15">
        <w:rPr>
          <w:rFonts w:ascii="Traditional Arabic" w:hAnsi="Traditional Arabic"/>
          <w:noProof w:val="0"/>
          <w:rtl/>
          <w:lang w:eastAsia="en-US"/>
        </w:rPr>
        <w:t xml:space="preserve">؛ </w:t>
      </w:r>
      <w:r w:rsidR="00D25F15" w:rsidRPr="00E308B8">
        <w:rPr>
          <w:rFonts w:ascii="Traditional Arabic" w:hAnsi="Traditional Arabic"/>
          <w:noProof w:val="0"/>
          <w:rtl/>
          <w:lang w:eastAsia="en-US"/>
        </w:rPr>
        <w:t>لأن الرهن مشغول بحق غيره، وتصر</w:t>
      </w:r>
      <w:r w:rsidR="00D25F15">
        <w:rPr>
          <w:rFonts w:ascii="Traditional Arabic" w:hAnsi="Traditional Arabic" w:hint="cs"/>
          <w:noProof w:val="0"/>
          <w:rtl/>
          <w:lang w:eastAsia="en-US"/>
        </w:rPr>
        <w:t>ُّ</w:t>
      </w:r>
      <w:r w:rsidR="00D25F15" w:rsidRPr="00E308B8">
        <w:rPr>
          <w:rFonts w:ascii="Traditional Arabic" w:hAnsi="Traditional Arabic"/>
          <w:noProof w:val="0"/>
          <w:rtl/>
          <w:lang w:eastAsia="en-US"/>
        </w:rPr>
        <w:t>فه فيه إبطال</w:t>
      </w:r>
      <w:r w:rsidR="00D25F15">
        <w:rPr>
          <w:rFonts w:ascii="Traditional Arabic" w:hAnsi="Traditional Arabic" w:hint="cs"/>
          <w:noProof w:val="0"/>
          <w:rtl/>
          <w:lang w:eastAsia="en-US"/>
        </w:rPr>
        <w:t>ٌ</w:t>
      </w:r>
      <w:r w:rsidR="00D25F15" w:rsidRPr="00E308B8">
        <w:rPr>
          <w:rFonts w:ascii="Traditional Arabic" w:hAnsi="Traditional Arabic"/>
          <w:noProof w:val="0"/>
          <w:rtl/>
          <w:lang w:eastAsia="en-US"/>
        </w:rPr>
        <w:t xml:space="preserve"> لحق الغير</w:t>
      </w:r>
      <w:r w:rsidR="00D25F15" w:rsidRPr="00C821A1">
        <w:rPr>
          <w:rStyle w:val="af1"/>
          <w:szCs w:val="32"/>
          <w:rtl/>
        </w:rPr>
        <w:t>(</w:t>
      </w:r>
      <w:r w:rsidR="00D25F15" w:rsidRPr="00C821A1">
        <w:rPr>
          <w:rStyle w:val="af1"/>
          <w:szCs w:val="32"/>
          <w:rtl/>
        </w:rPr>
        <w:footnoteReference w:id="1956"/>
      </w:r>
      <w:r w:rsidR="00D25F15" w:rsidRPr="00C821A1">
        <w:rPr>
          <w:rStyle w:val="af1"/>
          <w:szCs w:val="32"/>
          <w:rtl/>
        </w:rPr>
        <w:t>)</w:t>
      </w:r>
      <w:r w:rsidR="00D25F15">
        <w:rPr>
          <w:rFonts w:ascii="Traditional Arabic" w:hAnsi="Traditional Arabic" w:hint="cs"/>
          <w:noProof w:val="0"/>
          <w:rtl/>
          <w:lang w:eastAsia="en-US"/>
        </w:rPr>
        <w:t>.</w:t>
      </w:r>
    </w:p>
    <w:p w:rsidR="00D25F15" w:rsidRDefault="00D25F15" w:rsidP="00597C20">
      <w:pPr>
        <w:pStyle w:val="53"/>
        <w:rPr>
          <w:rtl/>
        </w:rPr>
      </w:pPr>
      <w:r>
        <w:rPr>
          <w:rFonts w:hint="cs"/>
          <w:rtl/>
        </w:rPr>
        <w:lastRenderedPageBreak/>
        <w:t>وجه اندراج الفرع تحت القاعدة:</w:t>
      </w:r>
    </w:p>
    <w:p w:rsidR="00D25F15" w:rsidRPr="0034438E" w:rsidRDefault="00103131" w:rsidP="00597C20">
      <w:pPr>
        <w:ind w:firstLine="720"/>
        <w:rPr>
          <w:rFonts w:ascii="Traditional Arabic" w:hAnsi="Traditional Arabic"/>
          <w:noProof w:val="0"/>
          <w:rtl/>
          <w:lang w:eastAsia="en-US"/>
        </w:rPr>
      </w:pPr>
      <w:r>
        <w:rPr>
          <w:rFonts w:ascii="Traditional Arabic" w:hAnsi="Traditional Arabic" w:hint="cs"/>
          <w:noProof w:val="0"/>
          <w:rtl/>
          <w:lang w:eastAsia="en-US"/>
        </w:rPr>
        <w:t>إ</w:t>
      </w:r>
      <w:r w:rsidR="00D25F15" w:rsidRPr="0034438E">
        <w:rPr>
          <w:rFonts w:ascii="Traditional Arabic" w:hAnsi="Traditional Arabic" w:hint="cs"/>
          <w:noProof w:val="0"/>
          <w:rtl/>
          <w:lang w:eastAsia="en-US"/>
        </w:rPr>
        <w:t>ن الرهن مشغول بحق المرتهن، فلا ينفذ فيه تصرف الراهن؛ لأن المشغول لا يشغل.</w:t>
      </w:r>
    </w:p>
    <w:p w:rsidR="00D25F15" w:rsidRPr="00881A39" w:rsidRDefault="00D25F15" w:rsidP="000A76C7">
      <w:pPr>
        <w:pStyle w:val="afc"/>
        <w:widowControl/>
        <w:numPr>
          <w:ilvl w:val="0"/>
          <w:numId w:val="268"/>
        </w:numPr>
        <w:autoSpaceDE w:val="0"/>
        <w:autoSpaceDN w:val="0"/>
        <w:adjustRightInd w:val="0"/>
        <w:rPr>
          <w:rFonts w:ascii="Traditional Arabic" w:hAnsi="Traditional Arabic"/>
          <w:noProof w:val="0"/>
          <w:color w:val="auto"/>
          <w:rtl/>
          <w:lang w:eastAsia="en-US"/>
        </w:rPr>
      </w:pPr>
      <w:r>
        <w:rPr>
          <w:rFonts w:ascii="Traditional Arabic" w:hAnsi="Traditional Arabic"/>
          <w:noProof w:val="0"/>
          <w:rtl/>
          <w:lang w:eastAsia="en-US"/>
        </w:rPr>
        <w:t>لا ينفذ تصرف</w:t>
      </w:r>
      <w:r>
        <w:rPr>
          <w:rFonts w:ascii="Traditional Arabic" w:hAnsi="Traditional Arabic" w:hint="cs"/>
          <w:noProof w:val="0"/>
          <w:rtl/>
          <w:lang w:eastAsia="en-US"/>
        </w:rPr>
        <w:t xml:space="preserve"> المحجور عليه</w:t>
      </w:r>
      <w:r>
        <w:rPr>
          <w:rFonts w:ascii="Traditional Arabic" w:hAnsi="Traditional Arabic"/>
          <w:noProof w:val="0"/>
          <w:rtl/>
          <w:lang w:eastAsia="en-US"/>
        </w:rPr>
        <w:t xml:space="preserve"> في ماله بعد الحج</w:t>
      </w:r>
      <w:r>
        <w:rPr>
          <w:rFonts w:ascii="Traditional Arabic" w:hAnsi="Traditional Arabic" w:hint="cs"/>
          <w:noProof w:val="0"/>
          <w:rtl/>
          <w:lang w:eastAsia="en-US"/>
        </w:rPr>
        <w:t>ر</w:t>
      </w:r>
      <w:r w:rsidR="00103131">
        <w:rPr>
          <w:rFonts w:ascii="Traditional Arabic" w:hAnsi="Traditional Arabic" w:hint="cs"/>
          <w:noProof w:val="0"/>
          <w:rtl/>
          <w:lang w:eastAsia="en-US"/>
        </w:rPr>
        <w:t xml:space="preserve"> </w:t>
      </w:r>
      <w:r>
        <w:rPr>
          <w:rFonts w:ascii="Traditional Arabic" w:hAnsi="Traditional Arabic" w:hint="cs"/>
          <w:noProof w:val="0"/>
          <w:rtl/>
          <w:lang w:eastAsia="en-US"/>
        </w:rPr>
        <w:t>عليه</w:t>
      </w:r>
      <w:r w:rsidRPr="00881A39">
        <w:rPr>
          <w:rFonts w:ascii="Traditional Arabic" w:hAnsi="Traditional Arabic"/>
          <w:noProof w:val="0"/>
          <w:rtl/>
          <w:lang w:eastAsia="en-US"/>
        </w:rPr>
        <w:t>، لا ببيع</w:t>
      </w:r>
      <w:r>
        <w:rPr>
          <w:rFonts w:ascii="Traditional Arabic" w:hAnsi="Traditional Arabic" w:hint="cs"/>
          <w:noProof w:val="0"/>
          <w:rtl/>
          <w:lang w:eastAsia="en-US"/>
        </w:rPr>
        <w:t>ٍ</w:t>
      </w:r>
      <w:r w:rsidRPr="00881A39">
        <w:rPr>
          <w:rFonts w:ascii="Traditional Arabic" w:hAnsi="Traditional Arabic"/>
          <w:noProof w:val="0"/>
          <w:rtl/>
          <w:lang w:eastAsia="en-US"/>
        </w:rPr>
        <w:t xml:space="preserve"> ولا شراء ولا تأجير</w:t>
      </w:r>
      <w:r w:rsidR="00103131">
        <w:rPr>
          <w:rFonts w:ascii="Traditional Arabic" w:hAnsi="Traditional Arabic" w:hint="cs"/>
          <w:noProof w:val="0"/>
          <w:rtl/>
          <w:lang w:eastAsia="en-US"/>
        </w:rPr>
        <w:t xml:space="preserve"> </w:t>
      </w:r>
      <w:r w:rsidRPr="00881A39">
        <w:rPr>
          <w:rFonts w:ascii="Traditional Arabic" w:hAnsi="Traditional Arabic"/>
          <w:noProof w:val="0"/>
          <w:rtl/>
          <w:lang w:eastAsia="en-US"/>
        </w:rPr>
        <w:t>ولا هبة ولا رهن ول</w:t>
      </w:r>
      <w:r>
        <w:rPr>
          <w:rFonts w:ascii="Traditional Arabic" w:hAnsi="Traditional Arabic"/>
          <w:noProof w:val="0"/>
          <w:rtl/>
          <w:lang w:eastAsia="en-US"/>
        </w:rPr>
        <w:t>ا وقف؛ لأن</w:t>
      </w:r>
      <w:r>
        <w:rPr>
          <w:rFonts w:ascii="Traditional Arabic" w:hAnsi="Traditional Arabic" w:hint="cs"/>
          <w:noProof w:val="0"/>
          <w:rtl/>
          <w:lang w:eastAsia="en-US"/>
        </w:rPr>
        <w:t xml:space="preserve"> أمواله</w:t>
      </w:r>
      <w:r>
        <w:rPr>
          <w:rFonts w:ascii="Traditional Arabic" w:hAnsi="Traditional Arabic"/>
          <w:noProof w:val="0"/>
          <w:rtl/>
          <w:lang w:eastAsia="en-US"/>
        </w:rPr>
        <w:t xml:space="preserve"> أصبحت</w:t>
      </w:r>
      <w:r w:rsidRPr="00881A39">
        <w:rPr>
          <w:rFonts w:ascii="Traditional Arabic" w:hAnsi="Traditional Arabic"/>
          <w:noProof w:val="0"/>
          <w:rtl/>
          <w:lang w:eastAsia="en-US"/>
        </w:rPr>
        <w:t xml:space="preserve"> مشغولة بحقوق الغرماء</w:t>
      </w:r>
      <w:r w:rsidRPr="00C821A1">
        <w:rPr>
          <w:rStyle w:val="af1"/>
          <w:szCs w:val="32"/>
          <w:rtl/>
        </w:rPr>
        <w:t>(</w:t>
      </w:r>
      <w:r w:rsidRPr="00C821A1">
        <w:rPr>
          <w:rStyle w:val="af1"/>
          <w:szCs w:val="32"/>
          <w:rtl/>
        </w:rPr>
        <w:footnoteReference w:id="1957"/>
      </w:r>
      <w:r w:rsidRPr="00C821A1">
        <w:rPr>
          <w:rStyle w:val="af1"/>
          <w:szCs w:val="32"/>
          <w:rtl/>
        </w:rPr>
        <w:t>)</w:t>
      </w:r>
      <w:r>
        <w:rPr>
          <w:rFonts w:ascii="Traditional Arabic" w:hAnsi="Traditional Arabic" w:hint="cs"/>
          <w:noProof w:val="0"/>
          <w:rtl/>
          <w:lang w:eastAsia="en-US"/>
        </w:rPr>
        <w:t>.</w:t>
      </w:r>
    </w:p>
    <w:p w:rsidR="00D25F15" w:rsidRDefault="00D25F15" w:rsidP="00597C20">
      <w:pPr>
        <w:pStyle w:val="53"/>
        <w:rPr>
          <w:rtl/>
        </w:rPr>
      </w:pPr>
      <w:r>
        <w:rPr>
          <w:rFonts w:hint="cs"/>
          <w:rtl/>
        </w:rPr>
        <w:t>وجه اندراج الفرع تحت القاعدة:</w:t>
      </w:r>
    </w:p>
    <w:p w:rsidR="00D25F15" w:rsidRPr="0034438E" w:rsidRDefault="00103131" w:rsidP="00597C20">
      <w:pPr>
        <w:ind w:firstLine="720"/>
        <w:rPr>
          <w:rFonts w:ascii="Traditional Arabic" w:hAnsi="Traditional Arabic"/>
          <w:noProof w:val="0"/>
          <w:rtl/>
          <w:lang w:eastAsia="en-US"/>
        </w:rPr>
      </w:pPr>
      <w:r>
        <w:rPr>
          <w:rFonts w:ascii="Traditional Arabic" w:hAnsi="Traditional Arabic" w:hint="cs"/>
          <w:noProof w:val="0"/>
          <w:rtl/>
          <w:lang w:eastAsia="en-US"/>
        </w:rPr>
        <w:t>إ</w:t>
      </w:r>
      <w:r w:rsidR="00D25F15" w:rsidRPr="0034438E">
        <w:rPr>
          <w:rFonts w:ascii="Traditional Arabic" w:hAnsi="Traditional Arabic" w:hint="cs"/>
          <w:noProof w:val="0"/>
          <w:rtl/>
          <w:lang w:eastAsia="en-US"/>
        </w:rPr>
        <w:t>ن أموال المحجور عليه أصبحت مشغولة بحقوق الغُرَماء</w:t>
      </w:r>
      <w:r w:rsidR="00D25F15" w:rsidRPr="00C821A1">
        <w:rPr>
          <w:rStyle w:val="af1"/>
          <w:szCs w:val="32"/>
          <w:rtl/>
        </w:rPr>
        <w:t>(</w:t>
      </w:r>
      <w:r w:rsidR="00D25F15" w:rsidRPr="00C821A1">
        <w:rPr>
          <w:rStyle w:val="af1"/>
          <w:szCs w:val="32"/>
          <w:rtl/>
        </w:rPr>
        <w:footnoteReference w:id="1958"/>
      </w:r>
      <w:r w:rsidR="00D25F15" w:rsidRPr="00C821A1">
        <w:rPr>
          <w:rStyle w:val="af1"/>
          <w:szCs w:val="32"/>
          <w:rtl/>
        </w:rPr>
        <w:t>)</w:t>
      </w:r>
      <w:r w:rsidR="00D25F15" w:rsidRPr="0034438E">
        <w:rPr>
          <w:rFonts w:ascii="Traditional Arabic" w:hAnsi="Traditional Arabic" w:hint="cs"/>
          <w:noProof w:val="0"/>
          <w:rtl/>
          <w:lang w:eastAsia="en-US"/>
        </w:rPr>
        <w:t>، فلا ينفذ تصرفه فيها؛ لأن المشغول لا يشغل.</w:t>
      </w:r>
    </w:p>
    <w:p w:rsidR="00D25F15" w:rsidRDefault="00D25F15" w:rsidP="000A76C7">
      <w:pPr>
        <w:pStyle w:val="afc"/>
        <w:widowControl/>
        <w:numPr>
          <w:ilvl w:val="0"/>
          <w:numId w:val="268"/>
        </w:numPr>
        <w:autoSpaceDE w:val="0"/>
        <w:autoSpaceDN w:val="0"/>
        <w:adjustRightInd w:val="0"/>
        <w:jc w:val="left"/>
        <w:rPr>
          <w:rFonts w:ascii="Traditional Arabic" w:hAnsi="Traditional Arabic"/>
          <w:b/>
          <w:bCs/>
          <w:noProof w:val="0"/>
          <w:lang w:eastAsia="en-US"/>
        </w:rPr>
      </w:pPr>
      <w:r w:rsidRPr="00054F75">
        <w:rPr>
          <w:rFonts w:ascii="Traditional Arabic" w:hAnsi="Traditional Arabic" w:hint="cs"/>
          <w:noProof w:val="0"/>
          <w:rtl/>
          <w:lang w:eastAsia="en-US"/>
        </w:rPr>
        <w:t>لو أن مشتري الش</w:t>
      </w:r>
      <w:r>
        <w:rPr>
          <w:rFonts w:ascii="Traditional Arabic" w:hAnsi="Traditional Arabic" w:hint="cs"/>
          <w:noProof w:val="0"/>
          <w:rtl/>
          <w:lang w:eastAsia="en-US"/>
        </w:rPr>
        <w:t>ِّ</w:t>
      </w:r>
      <w:r w:rsidRPr="00054F75">
        <w:rPr>
          <w:rFonts w:ascii="Traditional Arabic" w:hAnsi="Traditional Arabic" w:hint="cs"/>
          <w:noProof w:val="0"/>
          <w:rtl/>
          <w:lang w:eastAsia="en-US"/>
        </w:rPr>
        <w:t>ق</w:t>
      </w:r>
      <w:r>
        <w:rPr>
          <w:rFonts w:ascii="Traditional Arabic" w:hAnsi="Traditional Arabic" w:hint="cs"/>
          <w:noProof w:val="0"/>
          <w:rtl/>
          <w:lang w:eastAsia="en-US"/>
        </w:rPr>
        <w:t>ْ</w:t>
      </w:r>
      <w:r w:rsidRPr="00054F75">
        <w:rPr>
          <w:rFonts w:ascii="Traditional Arabic" w:hAnsi="Traditional Arabic" w:hint="cs"/>
          <w:noProof w:val="0"/>
          <w:rtl/>
          <w:lang w:eastAsia="en-US"/>
        </w:rPr>
        <w:t>ص</w:t>
      </w:r>
      <w:r w:rsidR="009B6E87">
        <w:rPr>
          <w:rStyle w:val="af1"/>
          <w:rFonts w:hint="cs"/>
          <w:szCs w:val="32"/>
          <w:rtl/>
        </w:rPr>
        <w:t xml:space="preserve"> </w:t>
      </w:r>
      <w:r w:rsidRPr="00054F75">
        <w:rPr>
          <w:rFonts w:ascii="Traditional Arabic" w:hAnsi="Traditional Arabic" w:hint="cs"/>
          <w:noProof w:val="0"/>
          <w:rtl/>
          <w:lang w:eastAsia="en-US"/>
        </w:rPr>
        <w:t>في الش</w:t>
      </w:r>
      <w:r>
        <w:rPr>
          <w:rFonts w:ascii="Traditional Arabic" w:hAnsi="Traditional Arabic" w:hint="cs"/>
          <w:noProof w:val="0"/>
          <w:rtl/>
          <w:lang w:eastAsia="en-US"/>
        </w:rPr>
        <w:t>ُّ</w:t>
      </w:r>
      <w:r w:rsidRPr="00054F75">
        <w:rPr>
          <w:rFonts w:ascii="Traditional Arabic" w:hAnsi="Traditional Arabic" w:hint="cs"/>
          <w:noProof w:val="0"/>
          <w:rtl/>
          <w:lang w:eastAsia="en-US"/>
        </w:rPr>
        <w:t>فعة تصر</w:t>
      </w:r>
      <w:r>
        <w:rPr>
          <w:rFonts w:ascii="Traditional Arabic" w:hAnsi="Traditional Arabic" w:hint="cs"/>
          <w:noProof w:val="0"/>
          <w:rtl/>
          <w:lang w:eastAsia="en-US"/>
        </w:rPr>
        <w:t>َّ</w:t>
      </w:r>
      <w:r w:rsidR="00103131">
        <w:rPr>
          <w:rFonts w:ascii="Traditional Arabic" w:hAnsi="Traditional Arabic" w:hint="cs"/>
          <w:noProof w:val="0"/>
          <w:rtl/>
          <w:lang w:eastAsia="en-US"/>
        </w:rPr>
        <w:t>ف فيه برهنٍ،</w:t>
      </w:r>
      <w:r w:rsidRPr="00054F75">
        <w:rPr>
          <w:rFonts w:ascii="Traditional Arabic" w:hAnsi="Traditional Arabic" w:hint="cs"/>
          <w:noProof w:val="0"/>
          <w:rtl/>
          <w:lang w:eastAsia="en-US"/>
        </w:rPr>
        <w:t>لم تسقط الشفعة،</w:t>
      </w:r>
      <w:r w:rsidR="00103131">
        <w:rPr>
          <w:rFonts w:ascii="Traditional Arabic" w:hAnsi="Traditional Arabic" w:hint="cs"/>
          <w:noProof w:val="0"/>
          <w:rtl/>
          <w:lang w:eastAsia="en-US"/>
        </w:rPr>
        <w:t xml:space="preserve"> </w:t>
      </w:r>
      <w:r w:rsidRPr="00054F75">
        <w:rPr>
          <w:rFonts w:ascii="Traditional Arabic" w:hAnsi="Traditional Arabic" w:hint="cs"/>
          <w:noProof w:val="0"/>
          <w:rtl/>
          <w:lang w:eastAsia="en-US"/>
        </w:rPr>
        <w:t xml:space="preserve">لكن </w:t>
      </w:r>
      <w:r w:rsidRPr="00054F75">
        <w:rPr>
          <w:rFonts w:ascii="Traditional Arabic" w:hAnsi="Traditional Arabic"/>
          <w:noProof w:val="0"/>
          <w:rtl/>
          <w:lang w:eastAsia="en-US"/>
        </w:rPr>
        <w:t xml:space="preserve">لا يمكن </w:t>
      </w:r>
      <w:r w:rsidRPr="00054F75">
        <w:rPr>
          <w:rFonts w:ascii="Traditional Arabic" w:hAnsi="Traditional Arabic" w:hint="cs"/>
          <w:noProof w:val="0"/>
          <w:rtl/>
          <w:lang w:eastAsia="en-US"/>
        </w:rPr>
        <w:t>للشفيع أن يأخذه بالشفعة ما دام مرهونا</w:t>
      </w:r>
      <w:r>
        <w:rPr>
          <w:rFonts w:ascii="Traditional Arabic" w:hAnsi="Traditional Arabic" w:hint="cs"/>
          <w:noProof w:val="0"/>
          <w:rtl/>
          <w:lang w:eastAsia="en-US"/>
        </w:rPr>
        <w:t>ً</w:t>
      </w:r>
      <w:r w:rsidRPr="00054F75">
        <w:rPr>
          <w:rFonts w:ascii="Traditional Arabic" w:hAnsi="Traditional Arabic"/>
          <w:noProof w:val="0"/>
          <w:rtl/>
          <w:lang w:eastAsia="en-US"/>
        </w:rPr>
        <w:t>؛ لأنه مشغول</w:t>
      </w:r>
      <w:r w:rsidRPr="00054F75">
        <w:rPr>
          <w:rFonts w:ascii="Traditional Arabic" w:hAnsi="Traditional Arabic" w:hint="cs"/>
          <w:noProof w:val="0"/>
          <w:rtl/>
          <w:lang w:eastAsia="en-US"/>
        </w:rPr>
        <w:t xml:space="preserve"> بالرهن</w:t>
      </w:r>
      <w:r w:rsidRPr="00C821A1">
        <w:rPr>
          <w:rStyle w:val="af1"/>
          <w:szCs w:val="32"/>
          <w:rtl/>
        </w:rPr>
        <w:t>(</w:t>
      </w:r>
      <w:r w:rsidRPr="00C821A1">
        <w:rPr>
          <w:rStyle w:val="af1"/>
          <w:szCs w:val="32"/>
          <w:rtl/>
        </w:rPr>
        <w:footnoteReference w:id="1959"/>
      </w:r>
      <w:r w:rsidRPr="00C821A1">
        <w:rPr>
          <w:rStyle w:val="af1"/>
          <w:szCs w:val="32"/>
          <w:rtl/>
        </w:rPr>
        <w:t>)</w:t>
      </w:r>
      <w:r w:rsidRPr="00054F75">
        <w:rPr>
          <w:rFonts w:ascii="Traditional Arabic" w:hAnsi="Traditional Arabic" w:hint="cs"/>
          <w:noProof w:val="0"/>
          <w:rtl/>
          <w:lang w:eastAsia="en-US"/>
        </w:rPr>
        <w:t>.</w:t>
      </w:r>
    </w:p>
    <w:p w:rsidR="00D25F15" w:rsidRDefault="00D25F15" w:rsidP="00597C20">
      <w:pPr>
        <w:pStyle w:val="53"/>
        <w:rPr>
          <w:rtl/>
        </w:rPr>
      </w:pPr>
      <w:r>
        <w:rPr>
          <w:rFonts w:hint="cs"/>
          <w:rtl/>
        </w:rPr>
        <w:t>وجه اندراج الفرع تحت القاعدة:</w:t>
      </w:r>
    </w:p>
    <w:p w:rsidR="00D25F15" w:rsidRDefault="00D25F15" w:rsidP="00597C20">
      <w:pPr>
        <w:ind w:firstLine="720"/>
        <w:rPr>
          <w:rFonts w:ascii="Traditional Arabic" w:hAnsi="Traditional Arabic"/>
          <w:noProof w:val="0"/>
          <w:rtl/>
          <w:lang w:eastAsia="en-US"/>
        </w:rPr>
      </w:pPr>
      <w:r w:rsidRPr="0034438E">
        <w:rPr>
          <w:rFonts w:ascii="Traditional Arabic" w:hAnsi="Traditional Arabic" w:hint="cs"/>
          <w:noProof w:val="0"/>
          <w:rtl/>
          <w:lang w:eastAsia="en-US"/>
        </w:rPr>
        <w:t>لا يمكن للشفيع أن يأخذ الشقص بالشفعة؛ لأنه مشغول بالرهن، والمشغول لا يشغل.</w:t>
      </w:r>
    </w:p>
    <w:p w:rsidR="00D53ACD" w:rsidRDefault="00D53ACD" w:rsidP="00597C20">
      <w:pPr>
        <w:ind w:firstLine="720"/>
        <w:rPr>
          <w:rFonts w:ascii="Traditional Arabic" w:hAnsi="Traditional Arabic"/>
          <w:b/>
          <w:bCs/>
          <w:noProof w:val="0"/>
          <w:rtl/>
          <w:lang w:eastAsia="en-US"/>
        </w:rPr>
      </w:pPr>
      <w:r>
        <w:rPr>
          <w:rFonts w:ascii="Traditional Arabic" w:hAnsi="Traditional Arabic" w:hint="cs"/>
          <w:b/>
          <w:bCs/>
          <w:noProof w:val="0"/>
          <w:rtl/>
          <w:lang w:eastAsia="en-US"/>
        </w:rPr>
        <w:t xml:space="preserve">                                المطلب الخامس:</w:t>
      </w:r>
    </w:p>
    <w:p w:rsidR="00D53ACD" w:rsidRDefault="00B714D0" w:rsidP="00597C20">
      <w:pPr>
        <w:ind w:firstLine="720"/>
        <w:rPr>
          <w:rFonts w:ascii="Traditional Arabic" w:hAnsi="Traditional Arabic"/>
          <w:b/>
          <w:bCs/>
          <w:noProof w:val="0"/>
          <w:rtl/>
          <w:lang w:eastAsia="en-US"/>
        </w:rPr>
      </w:pPr>
      <w:r>
        <w:rPr>
          <w:rFonts w:ascii="Traditional Arabic" w:hAnsi="Traditional Arabic" w:hint="cs"/>
          <w:b/>
          <w:bCs/>
          <w:noProof w:val="0"/>
          <w:rtl/>
          <w:lang w:eastAsia="en-US"/>
        </w:rPr>
        <w:t xml:space="preserve">                               </w:t>
      </w:r>
      <w:r w:rsidR="00D53ACD">
        <w:rPr>
          <w:rFonts w:ascii="Traditional Arabic" w:hAnsi="Traditional Arabic" w:hint="cs"/>
          <w:b/>
          <w:bCs/>
          <w:noProof w:val="0"/>
          <w:rtl/>
          <w:lang w:eastAsia="en-US"/>
        </w:rPr>
        <w:t>مستثنيات القاعدة</w:t>
      </w:r>
    </w:p>
    <w:p w:rsidR="00801F81" w:rsidRPr="00C85F0F" w:rsidRDefault="00801F81" w:rsidP="00801F81">
      <w:pPr>
        <w:ind w:firstLine="720"/>
        <w:rPr>
          <w:color w:val="auto"/>
          <w:rtl/>
        </w:rPr>
      </w:pPr>
      <w:r>
        <w:rPr>
          <w:rFonts w:ascii="Traditional Arabic" w:hAnsi="Traditional Arabic" w:hint="cs"/>
          <w:b/>
          <w:bCs/>
          <w:noProof w:val="0"/>
          <w:rtl/>
          <w:lang w:eastAsia="en-US"/>
        </w:rPr>
        <w:t xml:space="preserve">    </w:t>
      </w:r>
      <w:r>
        <w:rPr>
          <w:rFonts w:ascii="Traditional Arabic" w:hAnsi="Traditional Arabic" w:hint="cs"/>
          <w:noProof w:val="0"/>
          <w:rtl/>
          <w:lang w:eastAsia="en-US"/>
        </w:rPr>
        <w:t>يقول الشيخ ابن عثيمين _رحمه الله_: (</w:t>
      </w:r>
      <w:r w:rsidRPr="00C85F0F">
        <w:rPr>
          <w:rFonts w:hint="cs"/>
          <w:color w:val="auto"/>
          <w:rtl/>
        </w:rPr>
        <w:t xml:space="preserve">وقول الفقهاء: "المشغول لا يشغل" صحيح إذا كان الشاغل أجنبيّاً، </w:t>
      </w:r>
      <w:r w:rsidRPr="00C85F0F">
        <w:rPr>
          <w:rFonts w:ascii="Traditional Arabic" w:hAnsi="Traditional Arabic"/>
          <w:noProof w:val="0"/>
          <w:rtl/>
          <w:lang w:eastAsia="en-US"/>
        </w:rPr>
        <w:t>أما إذا كان الشاغل هو الشاغل الأول</w:t>
      </w:r>
      <w:r w:rsidRPr="00C85F0F">
        <w:rPr>
          <w:rFonts w:ascii="Traditional Arabic" w:hAnsi="Traditional Arabic" w:hint="cs"/>
          <w:noProof w:val="0"/>
          <w:rtl/>
          <w:lang w:eastAsia="en-US"/>
        </w:rPr>
        <w:t xml:space="preserve"> فلا مان</w:t>
      </w:r>
      <w:r w:rsidR="00476BE8">
        <w:rPr>
          <w:rFonts w:ascii="Traditional Arabic" w:hAnsi="Traditional Arabic" w:hint="cs"/>
          <w:noProof w:val="0"/>
          <w:rtl/>
          <w:lang w:eastAsia="en-US"/>
        </w:rPr>
        <w:t>ِ</w:t>
      </w:r>
      <w:r w:rsidRPr="00C85F0F">
        <w:rPr>
          <w:rFonts w:ascii="Traditional Arabic" w:hAnsi="Traditional Arabic" w:hint="cs"/>
          <w:noProof w:val="0"/>
          <w:rtl/>
          <w:lang w:eastAsia="en-US"/>
        </w:rPr>
        <w:t>ع من ذلك، كما لو رهن بيته في مقابل دين عليه، ثم استدان من نفس الشخص وجعل في مقابل الدين الثاني نفس الرهن الأول</w:t>
      </w:r>
      <w:r w:rsidRPr="00C85F0F">
        <w:rPr>
          <w:rFonts w:hint="cs"/>
          <w:color w:val="auto"/>
          <w:rtl/>
        </w:rPr>
        <w:t>، فلا مانع من ذلك إذا رضي المرتهن</w:t>
      </w:r>
      <w:r>
        <w:rPr>
          <w:rFonts w:hint="cs"/>
          <w:color w:val="auto"/>
          <w:rtl/>
        </w:rPr>
        <w:t>)</w:t>
      </w:r>
      <w:r w:rsidRPr="00C85F0F">
        <w:rPr>
          <w:rStyle w:val="af1"/>
          <w:szCs w:val="32"/>
          <w:rtl/>
        </w:rPr>
        <w:t>(</w:t>
      </w:r>
      <w:r w:rsidRPr="00C85F0F">
        <w:rPr>
          <w:rStyle w:val="af1"/>
          <w:szCs w:val="32"/>
          <w:rtl/>
        </w:rPr>
        <w:footnoteReference w:id="1960"/>
      </w:r>
      <w:r w:rsidRPr="00C85F0F">
        <w:rPr>
          <w:rStyle w:val="af1"/>
          <w:szCs w:val="32"/>
          <w:rtl/>
        </w:rPr>
        <w:t>)</w:t>
      </w:r>
      <w:r w:rsidRPr="00C85F0F">
        <w:rPr>
          <w:rFonts w:hint="cs"/>
          <w:color w:val="auto"/>
          <w:rtl/>
        </w:rPr>
        <w:t>.</w:t>
      </w:r>
    </w:p>
    <w:p w:rsidR="00801F81" w:rsidRPr="00801F81" w:rsidRDefault="00801F81" w:rsidP="00801F81">
      <w:pPr>
        <w:ind w:firstLine="0"/>
        <w:rPr>
          <w:rFonts w:ascii="Traditional Arabic" w:hAnsi="Traditional Arabic"/>
          <w:noProof w:val="0"/>
          <w:rtl/>
          <w:lang w:eastAsia="en-US"/>
        </w:rPr>
      </w:pPr>
    </w:p>
    <w:p w:rsidR="00D25F15" w:rsidRPr="00C85F0F" w:rsidRDefault="00D816CC" w:rsidP="000F5C0F">
      <w:pPr>
        <w:pStyle w:val="aff2"/>
        <w:rPr>
          <w:rStyle w:val="af1"/>
          <w:b w:val="0"/>
          <w:bCs w:val="0"/>
          <w:rtl/>
        </w:rPr>
      </w:pPr>
      <w:bookmarkStart w:id="422" w:name="_Toc334046605"/>
      <w:r w:rsidRPr="00D816CC">
        <w:rPr>
          <w:rFonts w:ascii="Traditional Arabic" w:hAnsi="Traditional Arabic" w:hint="cs"/>
          <w:rtl/>
        </w:rPr>
        <w:lastRenderedPageBreak/>
        <w:t>المبحث السابع</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Pr="00D816CC">
        <w:rPr>
          <w:rFonts w:ascii="Traditional Arabic" w:hAnsi="Traditional Arabic" w:hint="cs"/>
          <w:rtl/>
        </w:rPr>
        <w:t>قاعدة</w:t>
      </w:r>
      <w:r>
        <w:rPr>
          <w:rFonts w:ascii="Traditional Arabic" w:hAnsi="Traditional Arabic"/>
          <w:rtl/>
        </w:rPr>
        <w:br/>
      </w:r>
      <w:r w:rsidR="0062426F">
        <w:rPr>
          <w:rFonts w:hint="cs"/>
          <w:rtl/>
        </w:rPr>
        <w:t>"</w:t>
      </w:r>
      <w:r w:rsidR="00D53ACD">
        <w:rPr>
          <w:rFonts w:hint="cs"/>
          <w:rtl/>
        </w:rPr>
        <w:t xml:space="preserve">لا تتم </w:t>
      </w:r>
      <w:r w:rsidR="0062426F">
        <w:rPr>
          <w:rFonts w:hint="cs"/>
          <w:rtl/>
        </w:rPr>
        <w:t>الأمور حتى</w:t>
      </w:r>
      <w:r w:rsidR="00D53ACD">
        <w:rPr>
          <w:rFonts w:hint="cs"/>
          <w:rtl/>
        </w:rPr>
        <w:t xml:space="preserve"> </w:t>
      </w:r>
      <w:r w:rsidR="0062426F">
        <w:rPr>
          <w:rFonts w:hint="cs"/>
          <w:rtl/>
        </w:rPr>
        <w:t>توجد أسبابها و</w:t>
      </w:r>
      <w:r w:rsidR="00D53ACD">
        <w:rPr>
          <w:rFonts w:hint="cs"/>
          <w:rtl/>
        </w:rPr>
        <w:t>شروط</w:t>
      </w:r>
      <w:r w:rsidR="0062426F">
        <w:rPr>
          <w:rFonts w:hint="cs"/>
          <w:rtl/>
        </w:rPr>
        <w:t>ها، وت</w:t>
      </w:r>
      <w:r w:rsidR="00D53ACD">
        <w:rPr>
          <w:rFonts w:hint="cs"/>
          <w:rtl/>
        </w:rPr>
        <w:t>ن</w:t>
      </w:r>
      <w:r w:rsidR="00D25F15" w:rsidRPr="0095173F">
        <w:rPr>
          <w:rFonts w:hint="cs"/>
          <w:rtl/>
        </w:rPr>
        <w:t>ت</w:t>
      </w:r>
      <w:r w:rsidR="0062426F">
        <w:rPr>
          <w:rFonts w:hint="cs"/>
          <w:rtl/>
        </w:rPr>
        <w:t>في</w:t>
      </w:r>
      <w:r w:rsidR="00D25F15" w:rsidRPr="0095173F">
        <w:rPr>
          <w:rFonts w:hint="cs"/>
          <w:rtl/>
        </w:rPr>
        <w:t xml:space="preserve"> موانع</w:t>
      </w:r>
      <w:r w:rsidR="0062426F">
        <w:rPr>
          <w:rFonts w:hint="cs"/>
          <w:rtl/>
        </w:rPr>
        <w:t>ها</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لاتتمالأمورحتىتوجدأسبابهاوشروطها،وتنتفيموانعها</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D25F15" w:rsidRPr="00C85F0F">
        <w:rPr>
          <w:rFonts w:hint="cs"/>
          <w:rtl/>
        </w:rPr>
        <w:t>"</w:t>
      </w:r>
      <w:r w:rsidR="00D25F15" w:rsidRPr="00C85F0F">
        <w:rPr>
          <w:rStyle w:val="af1"/>
          <w:b w:val="0"/>
          <w:bCs w:val="0"/>
          <w:szCs w:val="32"/>
          <w:rtl/>
        </w:rPr>
        <w:t>(</w:t>
      </w:r>
      <w:r w:rsidR="00D25F15" w:rsidRPr="00C85F0F">
        <w:rPr>
          <w:rStyle w:val="af1"/>
          <w:b w:val="0"/>
          <w:bCs w:val="0"/>
          <w:szCs w:val="32"/>
          <w:rtl/>
        </w:rPr>
        <w:footnoteReference w:id="1961"/>
      </w:r>
      <w:r w:rsidR="00D25F15" w:rsidRPr="00C85F0F">
        <w:rPr>
          <w:rStyle w:val="af1"/>
          <w:b w:val="0"/>
          <w:bCs w:val="0"/>
          <w:szCs w:val="32"/>
          <w:rtl/>
        </w:rPr>
        <w:t>)</w:t>
      </w:r>
      <w:bookmarkEnd w:id="422"/>
    </w:p>
    <w:p w:rsidR="00065E4B" w:rsidRPr="00C85F0F" w:rsidRDefault="00D53ACD" w:rsidP="00A8347C">
      <w:pPr>
        <w:pStyle w:val="aff3"/>
        <w:rPr>
          <w:rtl/>
        </w:rPr>
      </w:pPr>
      <w:bookmarkStart w:id="423" w:name="_Toc334046606"/>
      <w:r>
        <w:rPr>
          <w:rFonts w:hint="cs"/>
          <w:rtl/>
        </w:rPr>
        <w:t xml:space="preserve">     </w:t>
      </w:r>
      <w:r w:rsidR="009B6E87">
        <w:rPr>
          <w:rFonts w:hint="cs"/>
          <w:rtl/>
        </w:rPr>
        <w:t xml:space="preserve">                           </w:t>
      </w:r>
      <w:r>
        <w:rPr>
          <w:rFonts w:hint="cs"/>
          <w:rtl/>
        </w:rPr>
        <w:t xml:space="preserve">          </w:t>
      </w:r>
      <w:r w:rsidR="00D25F15" w:rsidRPr="00C85F0F">
        <w:rPr>
          <w:rFonts w:hint="cs"/>
          <w:rtl/>
        </w:rPr>
        <w:t>المطلب الأول</w:t>
      </w:r>
      <w:r w:rsidR="00D25F15" w:rsidRPr="00C85F0F">
        <w:rPr>
          <w:rFonts w:hint="eastAsia"/>
          <w:rtl/>
        </w:rPr>
        <w:t> :</w:t>
      </w:r>
      <w:r w:rsidR="00D25F15" w:rsidRPr="00C85F0F">
        <w:rPr>
          <w:rFonts w:hint="cs"/>
          <w:rtl/>
        </w:rPr>
        <w:br/>
      </w:r>
      <w:r>
        <w:rPr>
          <w:rFonts w:hint="cs"/>
          <w:rtl/>
        </w:rPr>
        <w:t xml:space="preserve">      </w:t>
      </w:r>
      <w:r w:rsidR="009B6E87">
        <w:rPr>
          <w:rFonts w:hint="cs"/>
          <w:rtl/>
        </w:rPr>
        <w:t xml:space="preserve">                  </w:t>
      </w:r>
      <w:r w:rsidR="00D25F15" w:rsidRPr="00C85F0F">
        <w:rPr>
          <w:rFonts w:hint="cs"/>
          <w:rtl/>
        </w:rPr>
        <w:t>صيغ القاعدة عند الشيخ وعند علماء القواعد</w:t>
      </w:r>
      <w:bookmarkEnd w:id="423"/>
    </w:p>
    <w:p w:rsidR="00D25F15" w:rsidRPr="00C85F0F" w:rsidRDefault="00065E4B" w:rsidP="00597C20">
      <w:pPr>
        <w:ind w:firstLine="0"/>
        <w:rPr>
          <w:rtl/>
        </w:rPr>
      </w:pPr>
      <w:r w:rsidRPr="00C85F0F">
        <w:rPr>
          <w:rFonts w:hint="cs"/>
          <w:rtl/>
        </w:rPr>
        <w:t>و</w:t>
      </w:r>
      <w:r w:rsidR="00D25F15" w:rsidRPr="00C85F0F">
        <w:rPr>
          <w:rFonts w:hint="cs"/>
          <w:rtl/>
        </w:rPr>
        <w:t xml:space="preserve">ردت هذه القاعدة عند الشيخ ابن عثيمين </w:t>
      </w:r>
      <w:r w:rsidR="009B6E87">
        <w:rPr>
          <w:rFonts w:hint="cs"/>
          <w:rtl/>
        </w:rPr>
        <w:t>_</w:t>
      </w:r>
      <w:r w:rsidR="009A0575" w:rsidRPr="005D5694">
        <w:rPr>
          <w:rFonts w:ascii="Traditional Arabic" w:hAnsi="Traditional Arabic" w:cs="CTraditional Arabic" w:hint="cs"/>
          <w:rtl/>
        </w:rPr>
        <w:t>/</w:t>
      </w:r>
      <w:r w:rsidR="009B6E87">
        <w:rPr>
          <w:rFonts w:hint="cs"/>
          <w:rtl/>
        </w:rPr>
        <w:t>_</w:t>
      </w:r>
      <w:r w:rsidR="00D25F15" w:rsidRPr="00C85F0F">
        <w:rPr>
          <w:rFonts w:hint="cs"/>
          <w:rtl/>
        </w:rPr>
        <w:t xml:space="preserve"> بعدة صيغ، منها:</w:t>
      </w:r>
    </w:p>
    <w:p w:rsidR="00D25F15" w:rsidRPr="00C85F0F" w:rsidRDefault="00D25F15" w:rsidP="000A76C7">
      <w:pPr>
        <w:numPr>
          <w:ilvl w:val="0"/>
          <w:numId w:val="270"/>
        </w:numPr>
      </w:pPr>
      <w:r w:rsidRPr="00C85F0F">
        <w:rPr>
          <w:rFonts w:hint="cs"/>
          <w:rtl/>
        </w:rPr>
        <w:t>جميع الأشياء لا تَتِمُّ إلا بِشُروطها وانْتِفاءِ مَوانِعها</w:t>
      </w:r>
      <w:r w:rsidRPr="00C85F0F">
        <w:rPr>
          <w:rStyle w:val="af1"/>
          <w:szCs w:val="32"/>
          <w:rtl/>
        </w:rPr>
        <w:t>(</w:t>
      </w:r>
      <w:r w:rsidRPr="00C85F0F">
        <w:rPr>
          <w:rStyle w:val="af1"/>
          <w:szCs w:val="32"/>
          <w:rtl/>
        </w:rPr>
        <w:footnoteReference w:id="1962"/>
      </w:r>
      <w:r w:rsidRPr="00C85F0F">
        <w:rPr>
          <w:rStyle w:val="af1"/>
          <w:szCs w:val="32"/>
          <w:rtl/>
        </w:rPr>
        <w:t>)</w:t>
      </w:r>
      <w:r w:rsidRPr="00C85F0F">
        <w:rPr>
          <w:rFonts w:hint="cs"/>
          <w:rtl/>
        </w:rPr>
        <w:t>.</w:t>
      </w:r>
    </w:p>
    <w:p w:rsidR="00D25F15" w:rsidRPr="00C85F0F" w:rsidRDefault="00D25F15" w:rsidP="000A76C7">
      <w:pPr>
        <w:numPr>
          <w:ilvl w:val="0"/>
          <w:numId w:val="270"/>
        </w:numPr>
      </w:pPr>
      <w:r w:rsidRPr="00C85F0F">
        <w:rPr>
          <w:rFonts w:hint="cs"/>
          <w:rtl/>
        </w:rPr>
        <w:t>الأصل أن الأشياء لا تتمُّ إلا بِوُجودِ أسبابِها وشروطِها وانتفاءِ موانِعها</w:t>
      </w:r>
      <w:r w:rsidRPr="00C85F0F">
        <w:rPr>
          <w:rStyle w:val="af1"/>
          <w:szCs w:val="32"/>
          <w:rtl/>
        </w:rPr>
        <w:t>(</w:t>
      </w:r>
      <w:r w:rsidRPr="00C85F0F">
        <w:rPr>
          <w:rStyle w:val="af1"/>
          <w:szCs w:val="32"/>
          <w:rtl/>
        </w:rPr>
        <w:footnoteReference w:id="1963"/>
      </w:r>
      <w:r w:rsidRPr="00C85F0F">
        <w:rPr>
          <w:rStyle w:val="af1"/>
          <w:szCs w:val="32"/>
          <w:rtl/>
        </w:rPr>
        <w:t>)</w:t>
      </w:r>
      <w:r w:rsidRPr="00C85F0F">
        <w:rPr>
          <w:rFonts w:hint="cs"/>
          <w:rtl/>
        </w:rPr>
        <w:t>.</w:t>
      </w:r>
    </w:p>
    <w:p w:rsidR="00D25F15" w:rsidRPr="00C85F0F" w:rsidRDefault="00D25F15" w:rsidP="000A76C7">
      <w:pPr>
        <w:numPr>
          <w:ilvl w:val="0"/>
          <w:numId w:val="270"/>
        </w:numPr>
      </w:pPr>
      <w:r w:rsidRPr="00C85F0F">
        <w:rPr>
          <w:rFonts w:hint="cs"/>
          <w:rtl/>
        </w:rPr>
        <w:t>الأشياءُ لا تتمُّ إلا باجتماعِ الشروط وانتفاء الموانع</w:t>
      </w:r>
      <w:r w:rsidRPr="00C85F0F">
        <w:rPr>
          <w:rStyle w:val="af1"/>
          <w:szCs w:val="32"/>
          <w:rtl/>
        </w:rPr>
        <w:t>(</w:t>
      </w:r>
      <w:r w:rsidRPr="00C85F0F">
        <w:rPr>
          <w:rStyle w:val="af1"/>
          <w:szCs w:val="32"/>
          <w:rtl/>
        </w:rPr>
        <w:footnoteReference w:id="1964"/>
      </w:r>
      <w:r w:rsidRPr="00C85F0F">
        <w:rPr>
          <w:rStyle w:val="af1"/>
          <w:szCs w:val="32"/>
          <w:rtl/>
        </w:rPr>
        <w:t>)</w:t>
      </w:r>
      <w:r w:rsidRPr="00C85F0F">
        <w:rPr>
          <w:rFonts w:hint="cs"/>
          <w:rtl/>
        </w:rPr>
        <w:t>.</w:t>
      </w:r>
    </w:p>
    <w:p w:rsidR="00D25F15" w:rsidRPr="00C85F0F" w:rsidRDefault="00D25F15" w:rsidP="000A76C7">
      <w:pPr>
        <w:numPr>
          <w:ilvl w:val="0"/>
          <w:numId w:val="270"/>
        </w:numPr>
      </w:pPr>
      <w:r w:rsidRPr="00C85F0F">
        <w:rPr>
          <w:rFonts w:hint="cs"/>
          <w:rtl/>
        </w:rPr>
        <w:t>لا يتمُّ الشيء إلا بوجود شروطه وانتفاء موانعه</w:t>
      </w:r>
      <w:r w:rsidRPr="00C85F0F">
        <w:rPr>
          <w:rStyle w:val="af1"/>
          <w:szCs w:val="32"/>
          <w:rtl/>
        </w:rPr>
        <w:t>(</w:t>
      </w:r>
      <w:r w:rsidRPr="00C85F0F">
        <w:rPr>
          <w:rStyle w:val="af1"/>
          <w:szCs w:val="32"/>
          <w:rtl/>
        </w:rPr>
        <w:footnoteReference w:id="1965"/>
      </w:r>
      <w:r w:rsidRPr="00C85F0F">
        <w:rPr>
          <w:rStyle w:val="af1"/>
          <w:szCs w:val="32"/>
          <w:rtl/>
        </w:rPr>
        <w:t>)</w:t>
      </w:r>
      <w:r w:rsidRPr="00C85F0F">
        <w:rPr>
          <w:rFonts w:hint="cs"/>
          <w:rtl/>
        </w:rPr>
        <w:t>.</w:t>
      </w:r>
    </w:p>
    <w:p w:rsidR="00D25F15" w:rsidRPr="00C85F0F" w:rsidRDefault="00D25F15" w:rsidP="000A76C7">
      <w:pPr>
        <w:numPr>
          <w:ilvl w:val="0"/>
          <w:numId w:val="270"/>
        </w:numPr>
      </w:pPr>
      <w:r w:rsidRPr="00C85F0F">
        <w:rPr>
          <w:rFonts w:hint="cs"/>
          <w:rtl/>
        </w:rPr>
        <w:t>كلُّ شيء من عبادةٍ أو مُعامَلةٍ لا يصحُّ إلا باجتماع شروطه وانتفاء موانعه</w:t>
      </w:r>
      <w:r w:rsidRPr="00C85F0F">
        <w:rPr>
          <w:rStyle w:val="af1"/>
          <w:szCs w:val="32"/>
          <w:rtl/>
        </w:rPr>
        <w:t>(</w:t>
      </w:r>
      <w:r w:rsidRPr="00C85F0F">
        <w:rPr>
          <w:rStyle w:val="af1"/>
          <w:szCs w:val="32"/>
          <w:rtl/>
        </w:rPr>
        <w:footnoteReference w:id="1966"/>
      </w:r>
      <w:r w:rsidRPr="00C85F0F">
        <w:rPr>
          <w:rStyle w:val="af1"/>
          <w:szCs w:val="32"/>
          <w:rtl/>
        </w:rPr>
        <w:t>)</w:t>
      </w:r>
      <w:r w:rsidRPr="00C85F0F">
        <w:rPr>
          <w:rFonts w:hint="cs"/>
          <w:rtl/>
        </w:rPr>
        <w:t>.</w:t>
      </w:r>
    </w:p>
    <w:p w:rsidR="00D25F15" w:rsidRPr="00C85F0F" w:rsidRDefault="00D25F15" w:rsidP="000A76C7">
      <w:pPr>
        <w:numPr>
          <w:ilvl w:val="0"/>
          <w:numId w:val="270"/>
        </w:numPr>
      </w:pPr>
      <w:r w:rsidRPr="00C85F0F">
        <w:rPr>
          <w:rFonts w:hint="cs"/>
          <w:rtl/>
        </w:rPr>
        <w:t>والشيءُ لا يَتِمُّ إلا أن تَتِمْ</w:t>
      </w:r>
      <w:r w:rsidR="009B6E87">
        <w:rPr>
          <w:rFonts w:hint="cs"/>
          <w:rtl/>
        </w:rPr>
        <w:t xml:space="preserve">          </w:t>
      </w:r>
      <w:r w:rsidRPr="00C85F0F">
        <w:rPr>
          <w:rFonts w:hint="cs"/>
          <w:rtl/>
        </w:rPr>
        <w:t>شُروطُه</w:t>
      </w:r>
      <w:r w:rsidR="009B6E87">
        <w:rPr>
          <w:rFonts w:hint="cs"/>
          <w:rtl/>
        </w:rPr>
        <w:t xml:space="preserve"> </w:t>
      </w:r>
      <w:r w:rsidRPr="00C85F0F">
        <w:rPr>
          <w:rFonts w:hint="cs"/>
          <w:rtl/>
        </w:rPr>
        <w:t xml:space="preserve"> ومانعٌ </w:t>
      </w:r>
      <w:r w:rsidR="009B6E87">
        <w:rPr>
          <w:rFonts w:hint="cs"/>
          <w:rtl/>
        </w:rPr>
        <w:t xml:space="preserve"> </w:t>
      </w:r>
      <w:r w:rsidRPr="00C85F0F">
        <w:rPr>
          <w:rFonts w:hint="cs"/>
          <w:rtl/>
        </w:rPr>
        <w:t xml:space="preserve">منه </w:t>
      </w:r>
      <w:r w:rsidR="009B6E87">
        <w:rPr>
          <w:rFonts w:hint="cs"/>
          <w:rtl/>
        </w:rPr>
        <w:t xml:space="preserve"> </w:t>
      </w:r>
      <w:r w:rsidRPr="00C85F0F">
        <w:rPr>
          <w:rFonts w:hint="cs"/>
          <w:rtl/>
        </w:rPr>
        <w:t>عُدِمْ</w:t>
      </w:r>
      <w:r w:rsidRPr="00C85F0F">
        <w:rPr>
          <w:rStyle w:val="af1"/>
          <w:szCs w:val="32"/>
          <w:rtl/>
        </w:rPr>
        <w:t>(</w:t>
      </w:r>
      <w:r w:rsidRPr="00C85F0F">
        <w:rPr>
          <w:rStyle w:val="af1"/>
          <w:szCs w:val="32"/>
          <w:rtl/>
        </w:rPr>
        <w:footnoteReference w:id="1967"/>
      </w:r>
      <w:r w:rsidRPr="00C85F0F">
        <w:rPr>
          <w:rStyle w:val="af1"/>
          <w:szCs w:val="32"/>
          <w:rtl/>
        </w:rPr>
        <w:t>)</w:t>
      </w:r>
      <w:r w:rsidRPr="00C85F0F">
        <w:rPr>
          <w:rFonts w:hint="cs"/>
          <w:rtl/>
        </w:rPr>
        <w:t>.</w:t>
      </w:r>
    </w:p>
    <w:p w:rsidR="001F09B4" w:rsidRDefault="00D25F15" w:rsidP="000A76C7">
      <w:pPr>
        <w:numPr>
          <w:ilvl w:val="0"/>
          <w:numId w:val="270"/>
        </w:numPr>
      </w:pPr>
      <w:r w:rsidRPr="00C85F0F">
        <w:rPr>
          <w:rFonts w:hint="cs"/>
          <w:rtl/>
        </w:rPr>
        <w:t>لا تتمُّ الأمور حتى تُوجَدَ أسبابُها وشروطُها، وتَنْتَفِيَ موانعُها</w:t>
      </w:r>
      <w:r w:rsidRPr="00C85F0F">
        <w:rPr>
          <w:rStyle w:val="af1"/>
          <w:szCs w:val="32"/>
          <w:rtl/>
        </w:rPr>
        <w:t>(</w:t>
      </w:r>
      <w:r w:rsidRPr="00C85F0F">
        <w:rPr>
          <w:rStyle w:val="af1"/>
          <w:szCs w:val="32"/>
          <w:rtl/>
        </w:rPr>
        <w:footnoteReference w:id="1968"/>
      </w:r>
      <w:r w:rsidRPr="00C85F0F">
        <w:rPr>
          <w:rStyle w:val="af1"/>
          <w:szCs w:val="32"/>
          <w:rtl/>
        </w:rPr>
        <w:t>)</w:t>
      </w:r>
      <w:r w:rsidRPr="00C85F0F">
        <w:rPr>
          <w:rFonts w:hint="cs"/>
          <w:rtl/>
        </w:rPr>
        <w:t>.</w:t>
      </w:r>
    </w:p>
    <w:p w:rsidR="001F09B4" w:rsidRPr="00C85F0F" w:rsidRDefault="001F09B4" w:rsidP="001F09B4">
      <w:pPr>
        <w:ind w:left="1162" w:firstLine="0"/>
      </w:pPr>
    </w:p>
    <w:p w:rsidR="00065E4B" w:rsidRPr="00C85F0F" w:rsidRDefault="00D25F15" w:rsidP="000A76C7">
      <w:pPr>
        <w:numPr>
          <w:ilvl w:val="0"/>
          <w:numId w:val="270"/>
        </w:numPr>
      </w:pPr>
      <w:r w:rsidRPr="00C85F0F">
        <w:rPr>
          <w:rFonts w:ascii="Traditional Arabic" w:hAnsi="Traditional Arabic"/>
          <w:noProof w:val="0"/>
          <w:rtl/>
          <w:lang w:eastAsia="en-US"/>
        </w:rPr>
        <w:lastRenderedPageBreak/>
        <w:t>لا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 بالشيء إلا بعد 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جود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أسباب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وشروطه وانتفاء</w:t>
      </w:r>
      <w:r w:rsidRPr="00C85F0F">
        <w:rPr>
          <w:rFonts w:ascii="Traditional Arabic" w:hAnsi="Traditional Arabic" w:hint="cs"/>
          <w:noProof w:val="0"/>
          <w:rtl/>
          <w:lang w:eastAsia="en-US"/>
        </w:rPr>
        <w:t>ِ</w:t>
      </w:r>
      <w:r w:rsidR="009B6E87">
        <w:rPr>
          <w:rFonts w:ascii="Traditional Arabic" w:hAnsi="Traditional Arabic" w:hint="cs"/>
          <w:noProof w:val="0"/>
          <w:rtl/>
          <w:lang w:eastAsia="en-US"/>
        </w:rPr>
        <w:t xml:space="preserve"> </w:t>
      </w:r>
      <w:r w:rsidRPr="00C85F0F">
        <w:rPr>
          <w:rFonts w:ascii="Traditional Arabic" w:hAnsi="Traditional Arabic"/>
          <w:noProof w:val="0"/>
          <w:rtl/>
          <w:lang w:eastAsia="en-US"/>
        </w:rPr>
        <w:t>موانعه</w:t>
      </w:r>
      <w:r w:rsidRPr="00C85F0F">
        <w:rPr>
          <w:rStyle w:val="af1"/>
          <w:szCs w:val="32"/>
          <w:rtl/>
        </w:rPr>
        <w:t>(</w:t>
      </w:r>
      <w:r w:rsidRPr="00C85F0F">
        <w:rPr>
          <w:rStyle w:val="af1"/>
          <w:szCs w:val="32"/>
          <w:rtl/>
        </w:rPr>
        <w:footnoteReference w:id="1969"/>
      </w:r>
      <w:r w:rsidRPr="00C85F0F">
        <w:rPr>
          <w:rStyle w:val="af1"/>
          <w:szCs w:val="32"/>
          <w:rtl/>
        </w:rPr>
        <w:t>)</w:t>
      </w:r>
      <w:r w:rsidRPr="00C85F0F">
        <w:rPr>
          <w:rFonts w:ascii="Traditional Arabic" w:hAnsi="Traditional Arabic"/>
          <w:noProof w:val="0"/>
          <w:rtl/>
          <w:lang w:eastAsia="en-US"/>
        </w:rPr>
        <w:t>.</w:t>
      </w:r>
    </w:p>
    <w:p w:rsidR="00D25F15" w:rsidRPr="00C85F0F" w:rsidRDefault="00065E4B" w:rsidP="00597C20">
      <w:pPr>
        <w:ind w:firstLine="0"/>
        <w:rPr>
          <w:rtl/>
        </w:rPr>
      </w:pPr>
      <w:r w:rsidRPr="00C85F0F">
        <w:rPr>
          <w:rFonts w:hint="cs"/>
          <w:rtl/>
        </w:rPr>
        <w:t>و</w:t>
      </w:r>
      <w:r w:rsidR="00D25F15" w:rsidRPr="00C85F0F">
        <w:rPr>
          <w:rFonts w:hint="cs"/>
          <w:rtl/>
        </w:rPr>
        <w:t>وردت هذه القاعدة عند علماء القواعد بعدة صيغ، منها:</w:t>
      </w:r>
    </w:p>
    <w:p w:rsidR="00D25F15" w:rsidRPr="00C85F0F" w:rsidRDefault="00D25F15" w:rsidP="000A76C7">
      <w:pPr>
        <w:pStyle w:val="afc"/>
        <w:numPr>
          <w:ilvl w:val="0"/>
          <w:numId w:val="271"/>
        </w:numPr>
      </w:pPr>
      <w:r w:rsidRPr="00C85F0F">
        <w:rPr>
          <w:rFonts w:hint="cs"/>
          <w:rtl/>
        </w:rPr>
        <w:t>قاعدة ما ي</w:t>
      </w:r>
      <w:r w:rsidR="001F09B4">
        <w:rPr>
          <w:rFonts w:hint="cs"/>
          <w:rtl/>
        </w:rPr>
        <w:t>ُ</w:t>
      </w:r>
      <w:r w:rsidRPr="00C85F0F">
        <w:rPr>
          <w:rFonts w:hint="cs"/>
          <w:rtl/>
        </w:rPr>
        <w:t>شترط فيه اجتماع الشروط والأسباب وانتفاء الموانع</w:t>
      </w:r>
      <w:r w:rsidRPr="00C85F0F">
        <w:rPr>
          <w:rStyle w:val="af1"/>
          <w:szCs w:val="32"/>
          <w:rtl/>
        </w:rPr>
        <w:t>(</w:t>
      </w:r>
      <w:r w:rsidRPr="00C85F0F">
        <w:rPr>
          <w:rStyle w:val="af1"/>
          <w:szCs w:val="32"/>
          <w:rtl/>
        </w:rPr>
        <w:footnoteReference w:id="1970"/>
      </w:r>
      <w:r w:rsidRPr="00C85F0F">
        <w:rPr>
          <w:rStyle w:val="af1"/>
          <w:szCs w:val="32"/>
          <w:rtl/>
        </w:rPr>
        <w:t>)</w:t>
      </w:r>
      <w:r w:rsidRPr="00C85F0F">
        <w:rPr>
          <w:rFonts w:hint="cs"/>
          <w:rtl/>
        </w:rPr>
        <w:t>.</w:t>
      </w:r>
    </w:p>
    <w:p w:rsidR="00D25F15" w:rsidRPr="00C85F0F" w:rsidRDefault="00D25F15" w:rsidP="000A76C7">
      <w:pPr>
        <w:pStyle w:val="afc"/>
        <w:numPr>
          <w:ilvl w:val="0"/>
          <w:numId w:val="271"/>
        </w:numPr>
      </w:pPr>
      <w:r w:rsidRPr="00C85F0F">
        <w:rPr>
          <w:rFonts w:hint="cs"/>
          <w:rtl/>
        </w:rPr>
        <w:t>لا تَتِمُّ الأحكام إلا بوجود شرائطها وانتفاء موانعها</w:t>
      </w:r>
      <w:r w:rsidRPr="00C85F0F">
        <w:rPr>
          <w:rStyle w:val="af1"/>
          <w:szCs w:val="32"/>
          <w:rtl/>
        </w:rPr>
        <w:t>(</w:t>
      </w:r>
      <w:r w:rsidRPr="00C85F0F">
        <w:rPr>
          <w:rStyle w:val="af1"/>
          <w:szCs w:val="32"/>
          <w:rtl/>
        </w:rPr>
        <w:footnoteReference w:id="1971"/>
      </w:r>
      <w:r w:rsidRPr="00C85F0F">
        <w:rPr>
          <w:rStyle w:val="af1"/>
          <w:szCs w:val="32"/>
          <w:rtl/>
        </w:rPr>
        <w:t>)</w:t>
      </w:r>
      <w:r w:rsidRPr="00C85F0F">
        <w:rPr>
          <w:rFonts w:hint="cs"/>
          <w:rtl/>
        </w:rPr>
        <w:t>.</w:t>
      </w:r>
    </w:p>
    <w:p w:rsidR="00D25F15" w:rsidRPr="00C85F0F" w:rsidRDefault="00D25F15" w:rsidP="000A76C7">
      <w:pPr>
        <w:pStyle w:val="afc"/>
        <w:numPr>
          <w:ilvl w:val="0"/>
          <w:numId w:val="271"/>
        </w:numPr>
      </w:pPr>
      <w:r w:rsidRPr="00C85F0F">
        <w:rPr>
          <w:rFonts w:ascii="Traditional Arabic" w:hAnsi="Traditional Arabic"/>
          <w:noProof w:val="0"/>
          <w:rtl/>
          <w:lang w:eastAsia="en-US"/>
        </w:rPr>
        <w:t>الحكم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إنما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بوجود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وانتفاء</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مانعه</w:t>
      </w:r>
      <w:r w:rsidRPr="00C85F0F">
        <w:rPr>
          <w:rStyle w:val="af1"/>
          <w:szCs w:val="32"/>
          <w:rtl/>
        </w:rPr>
        <w:t>(</w:t>
      </w:r>
      <w:r w:rsidRPr="00C85F0F">
        <w:rPr>
          <w:rStyle w:val="af1"/>
          <w:szCs w:val="32"/>
          <w:rtl/>
        </w:rPr>
        <w:footnoteReference w:id="1972"/>
      </w:r>
      <w:r w:rsidRPr="00C85F0F">
        <w:rPr>
          <w:rStyle w:val="af1"/>
          <w:szCs w:val="32"/>
          <w:rtl/>
        </w:rPr>
        <w:t>)</w:t>
      </w:r>
      <w:r w:rsidRPr="00C85F0F">
        <w:rPr>
          <w:rFonts w:ascii="Traditional Arabic" w:hAnsi="Traditional Arabic" w:hint="cs"/>
          <w:noProof w:val="0"/>
          <w:rtl/>
          <w:lang w:eastAsia="en-US"/>
        </w:rPr>
        <w:t>.</w:t>
      </w:r>
    </w:p>
    <w:p w:rsidR="00D25F15" w:rsidRPr="00C85F0F" w:rsidRDefault="00D25F15" w:rsidP="000A76C7">
      <w:pPr>
        <w:pStyle w:val="afc"/>
        <w:numPr>
          <w:ilvl w:val="0"/>
          <w:numId w:val="271"/>
        </w:numPr>
      </w:pPr>
      <w:r w:rsidRPr="00C85F0F">
        <w:rPr>
          <w:rFonts w:hint="cs"/>
          <w:rtl/>
        </w:rPr>
        <w:t>الأحكام الأصولية والفروعية لا تَتِمُّ إلا بأمرين: وجود الشروط والأركان وانتفاء الموانع</w:t>
      </w:r>
      <w:r w:rsidRPr="00C85F0F">
        <w:rPr>
          <w:rStyle w:val="af1"/>
          <w:szCs w:val="32"/>
          <w:rtl/>
        </w:rPr>
        <w:t>(</w:t>
      </w:r>
      <w:r w:rsidRPr="00C85F0F">
        <w:rPr>
          <w:rStyle w:val="af1"/>
          <w:szCs w:val="32"/>
          <w:rtl/>
        </w:rPr>
        <w:footnoteReference w:id="1973"/>
      </w:r>
      <w:r w:rsidRPr="00C85F0F">
        <w:rPr>
          <w:rStyle w:val="af1"/>
          <w:szCs w:val="32"/>
          <w:rtl/>
        </w:rPr>
        <w:t>)</w:t>
      </w:r>
      <w:r w:rsidRPr="00C85F0F">
        <w:rPr>
          <w:rFonts w:hint="cs"/>
          <w:rtl/>
        </w:rPr>
        <w:t>.</w:t>
      </w:r>
    </w:p>
    <w:p w:rsidR="00D25F15" w:rsidRPr="00C85F0F" w:rsidRDefault="00D25F15" w:rsidP="000A76C7">
      <w:pPr>
        <w:pStyle w:val="afc"/>
        <w:numPr>
          <w:ilvl w:val="0"/>
          <w:numId w:val="271"/>
        </w:numPr>
      </w:pPr>
      <w:r w:rsidRPr="00C85F0F">
        <w:rPr>
          <w:rFonts w:hint="cs"/>
          <w:rtl/>
        </w:rPr>
        <w:t>ولا يَتِمُّ الحكمُ حتى تجتمعْ</w:t>
      </w:r>
      <w:r w:rsidR="009B6E87">
        <w:rPr>
          <w:rFonts w:hint="cs"/>
          <w:rtl/>
        </w:rPr>
        <w:t xml:space="preserve">       </w:t>
      </w:r>
      <w:r w:rsidRPr="00C85F0F">
        <w:rPr>
          <w:rFonts w:hint="cs"/>
          <w:rtl/>
        </w:rPr>
        <w:t>كلُّ الشروط والموانعْ ترتفِعْ</w:t>
      </w:r>
      <w:r w:rsidRPr="00C85F0F">
        <w:rPr>
          <w:rStyle w:val="af1"/>
          <w:szCs w:val="32"/>
          <w:rtl/>
        </w:rPr>
        <w:t>(</w:t>
      </w:r>
      <w:r w:rsidRPr="00C85F0F">
        <w:rPr>
          <w:rStyle w:val="af1"/>
          <w:szCs w:val="32"/>
          <w:rtl/>
        </w:rPr>
        <w:footnoteReference w:id="1974"/>
      </w:r>
      <w:r w:rsidRPr="00C85F0F">
        <w:rPr>
          <w:rStyle w:val="af1"/>
          <w:szCs w:val="32"/>
          <w:rtl/>
        </w:rPr>
        <w:t>)</w:t>
      </w:r>
      <w:r w:rsidRPr="00C85F0F">
        <w:rPr>
          <w:rFonts w:hint="cs"/>
          <w:rtl/>
        </w:rPr>
        <w:t>.</w:t>
      </w:r>
    </w:p>
    <w:p w:rsidR="00D25F15" w:rsidRPr="00C85F0F" w:rsidRDefault="00D53ACD" w:rsidP="00A8347C">
      <w:pPr>
        <w:pStyle w:val="aff3"/>
        <w:rPr>
          <w:rtl/>
        </w:rPr>
      </w:pPr>
      <w:bookmarkStart w:id="424" w:name="_Toc334046607"/>
      <w:r>
        <w:rPr>
          <w:rFonts w:hint="cs"/>
          <w:rtl/>
        </w:rPr>
        <w:t xml:space="preserve">   </w:t>
      </w:r>
      <w:r w:rsidR="001F09B4">
        <w:rPr>
          <w:rFonts w:hint="cs"/>
          <w:rtl/>
        </w:rPr>
        <w:t xml:space="preserve">                                   </w:t>
      </w:r>
      <w:r w:rsidR="00D25F15" w:rsidRPr="00C85F0F">
        <w:rPr>
          <w:rFonts w:hint="cs"/>
          <w:rtl/>
        </w:rPr>
        <w:t>المطلب الثاني</w:t>
      </w:r>
      <w:r w:rsidR="00D25F15" w:rsidRPr="00C85F0F">
        <w:rPr>
          <w:rFonts w:hint="eastAsia"/>
          <w:rtl/>
        </w:rPr>
        <w:t> :</w:t>
      </w:r>
      <w:r w:rsidR="00D25F15" w:rsidRPr="00C85F0F">
        <w:rPr>
          <w:rFonts w:hint="cs"/>
          <w:rtl/>
        </w:rPr>
        <w:br/>
      </w:r>
      <w:r w:rsidR="001F09B4">
        <w:rPr>
          <w:rFonts w:hint="cs"/>
          <w:rtl/>
        </w:rPr>
        <w:t xml:space="preserve">                                       </w:t>
      </w:r>
      <w:r w:rsidR="00D25F15" w:rsidRPr="00C85F0F">
        <w:rPr>
          <w:rFonts w:hint="cs"/>
          <w:rtl/>
        </w:rPr>
        <w:t>شرح القاعدة</w:t>
      </w:r>
      <w:bookmarkEnd w:id="424"/>
    </w:p>
    <w:p w:rsidR="0034438E" w:rsidRPr="009D0E52" w:rsidRDefault="00D25F15" w:rsidP="00597C20">
      <w:pPr>
        <w:pStyle w:val="53"/>
        <w:rPr>
          <w:rtl/>
        </w:rPr>
      </w:pPr>
      <w:r w:rsidRPr="009D0E52">
        <w:rPr>
          <w:rFonts w:hint="cs"/>
          <w:rtl/>
        </w:rPr>
        <w:t>الأسباب</w:t>
      </w:r>
      <w:r w:rsidR="00AB0B9E">
        <w:rPr>
          <w:rtl/>
        </w:rPr>
        <w:fldChar w:fldCharType="begin"/>
      </w:r>
      <w:r w:rsidR="009D0E52">
        <w:instrText xml:space="preserve"> XE "</w:instrText>
      </w:r>
      <w:r w:rsidR="009D0E52">
        <w:rPr>
          <w:rFonts w:hint="cs"/>
          <w:b w:val="0"/>
          <w:bCs w:val="0"/>
          <w:rtl/>
        </w:rPr>
        <w:instrText>السب</w:instrText>
      </w:r>
      <w:r w:rsidR="009D0E52" w:rsidRPr="009D0E52">
        <w:rPr>
          <w:rFonts w:hint="cs"/>
          <w:b w:val="0"/>
          <w:bCs w:val="0"/>
          <w:rtl/>
        </w:rPr>
        <w:instrText>ب</w:instrText>
      </w:r>
      <w:r w:rsidR="009D0E52">
        <w:instrText xml:space="preserve">" </w:instrText>
      </w:r>
      <w:r w:rsidR="009D0E52" w:rsidRPr="009D0E52">
        <w:instrText xml:space="preserve">\fm </w:instrText>
      </w:r>
      <w:r w:rsidR="00AB0B9E">
        <w:rPr>
          <w:rtl/>
        </w:rPr>
        <w:fldChar w:fldCharType="end"/>
      </w:r>
      <w:r w:rsidRPr="009D0E52">
        <w:rPr>
          <w:rFonts w:hint="cs"/>
          <w:rtl/>
        </w:rPr>
        <w:t xml:space="preserve"> لغة:</w:t>
      </w:r>
    </w:p>
    <w:p w:rsidR="00D25F15" w:rsidRPr="00C85F0F" w:rsidRDefault="00D25F15" w:rsidP="00597C20">
      <w:pPr>
        <w:ind w:firstLine="720"/>
        <w:rPr>
          <w:rtl/>
        </w:rPr>
      </w:pPr>
      <w:r w:rsidRPr="00C85F0F">
        <w:rPr>
          <w:rFonts w:hint="cs"/>
          <w:rtl/>
        </w:rPr>
        <w:t xml:space="preserve">جمعُ سبب، وهو </w:t>
      </w:r>
      <w:r w:rsidRPr="00C85F0F">
        <w:rPr>
          <w:rFonts w:ascii="Traditional Arabic" w:hAnsi="Traditional Arabic"/>
          <w:noProof w:val="0"/>
          <w:rtl/>
          <w:lang w:eastAsia="en-US"/>
        </w:rPr>
        <w:t>كل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شيء</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توص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به إلى غير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w:t>
      </w:r>
      <w:r w:rsidRPr="00C85F0F">
        <w:rPr>
          <w:rStyle w:val="af1"/>
          <w:szCs w:val="32"/>
          <w:rtl/>
        </w:rPr>
        <w:t>(</w:t>
      </w:r>
      <w:r w:rsidRPr="00C85F0F">
        <w:rPr>
          <w:rStyle w:val="af1"/>
          <w:szCs w:val="32"/>
          <w:rtl/>
        </w:rPr>
        <w:footnoteReference w:id="1975"/>
      </w:r>
      <w:r w:rsidRPr="00C85F0F">
        <w:rPr>
          <w:rStyle w:val="af1"/>
          <w:szCs w:val="32"/>
          <w:rtl/>
        </w:rPr>
        <w:t>)</w:t>
      </w:r>
      <w:r w:rsidRPr="00C85F0F">
        <w:rPr>
          <w:rFonts w:hint="cs"/>
          <w:rtl/>
        </w:rPr>
        <w:t>.</w:t>
      </w:r>
    </w:p>
    <w:p w:rsidR="0034438E" w:rsidRPr="009D0E52" w:rsidRDefault="00D25F15" w:rsidP="00597C20">
      <w:pPr>
        <w:pStyle w:val="53"/>
        <w:rPr>
          <w:rtl/>
        </w:rPr>
      </w:pPr>
      <w:r w:rsidRPr="009D0E52">
        <w:rPr>
          <w:rFonts w:hint="cs"/>
          <w:rtl/>
        </w:rPr>
        <w:lastRenderedPageBreak/>
        <w:t>السبب اصطلاحا:</w:t>
      </w:r>
    </w:p>
    <w:p w:rsidR="00065E4B" w:rsidRPr="00C85F0F" w:rsidRDefault="00D25F15" w:rsidP="00597C20">
      <w:pPr>
        <w:ind w:firstLine="720"/>
        <w:rPr>
          <w:rtl/>
        </w:rPr>
      </w:pPr>
      <w:r w:rsidRPr="00C85F0F">
        <w:rPr>
          <w:rFonts w:ascii="Traditional Arabic" w:hAnsi="Traditional Arabic"/>
          <w:noProof w:val="0"/>
          <w:rtl/>
          <w:lang w:eastAsia="en-US"/>
        </w:rPr>
        <w:t>ما يلزم من وجوده الوجود</w:t>
      </w:r>
      <w:r w:rsidRPr="00C85F0F">
        <w:rPr>
          <w:rStyle w:val="af1"/>
          <w:szCs w:val="32"/>
          <w:rtl/>
        </w:rPr>
        <w:t>(</w:t>
      </w:r>
      <w:r w:rsidRPr="00C85F0F">
        <w:rPr>
          <w:rStyle w:val="af1"/>
          <w:szCs w:val="32"/>
          <w:rtl/>
        </w:rPr>
        <w:footnoteReference w:id="1976"/>
      </w:r>
      <w:r w:rsidRPr="00C85F0F">
        <w:rPr>
          <w:rStyle w:val="af1"/>
          <w:szCs w:val="32"/>
          <w:rtl/>
        </w:rPr>
        <w:t>)</w:t>
      </w:r>
      <w:r w:rsidRPr="00C85F0F">
        <w:rPr>
          <w:rFonts w:ascii="Traditional Arabic" w:hAnsi="Traditional Arabic" w:hint="cs"/>
          <w:noProof w:val="0"/>
          <w:rtl/>
          <w:lang w:eastAsia="en-US"/>
        </w:rPr>
        <w:t>و</w:t>
      </w:r>
      <w:r w:rsidRPr="00C85F0F">
        <w:rPr>
          <w:rFonts w:ascii="Traditional Arabic" w:hAnsi="Traditional Arabic"/>
          <w:noProof w:val="0"/>
          <w:rtl/>
          <w:lang w:eastAsia="en-US"/>
        </w:rPr>
        <w:t>يلزم من عدمه العدم</w:t>
      </w:r>
      <w:r w:rsidRPr="00C85F0F">
        <w:rPr>
          <w:rStyle w:val="af1"/>
          <w:szCs w:val="32"/>
          <w:rtl/>
        </w:rPr>
        <w:t>(</w:t>
      </w:r>
      <w:r w:rsidRPr="00C85F0F">
        <w:rPr>
          <w:rStyle w:val="af1"/>
          <w:szCs w:val="32"/>
          <w:rtl/>
        </w:rPr>
        <w:footnoteReference w:id="1977"/>
      </w:r>
      <w:r w:rsidRPr="00C85F0F">
        <w:rPr>
          <w:rStyle w:val="af1"/>
          <w:szCs w:val="32"/>
          <w:rtl/>
        </w:rPr>
        <w:t>)</w:t>
      </w:r>
      <w:r w:rsidRPr="00C85F0F">
        <w:rPr>
          <w:rFonts w:ascii="Traditional Arabic" w:hAnsi="Traditional Arabic"/>
          <w:noProof w:val="0"/>
          <w:rtl/>
          <w:lang w:eastAsia="en-US"/>
        </w:rPr>
        <w:t xml:space="preserve"> لذاته</w:t>
      </w:r>
      <w:r w:rsidRPr="00C85F0F">
        <w:rPr>
          <w:rStyle w:val="af1"/>
          <w:szCs w:val="32"/>
          <w:rtl/>
        </w:rPr>
        <w:t>(</w:t>
      </w:r>
      <w:r w:rsidRPr="00C85F0F">
        <w:rPr>
          <w:rStyle w:val="af1"/>
          <w:szCs w:val="32"/>
          <w:rtl/>
        </w:rPr>
        <w:footnoteReference w:id="1978"/>
      </w:r>
      <w:r w:rsidRPr="00C85F0F">
        <w:rPr>
          <w:rStyle w:val="af1"/>
          <w:szCs w:val="32"/>
          <w:rtl/>
        </w:rPr>
        <w:t>)</w:t>
      </w:r>
      <w:r w:rsidRPr="00C85F0F">
        <w:rPr>
          <w:rFonts w:ascii="Traditional Arabic" w:hAnsi="Traditional Arabic" w:hint="cs"/>
          <w:noProof w:val="0"/>
          <w:rtl/>
          <w:lang w:eastAsia="en-US"/>
        </w:rPr>
        <w:t>.</w:t>
      </w:r>
    </w:p>
    <w:p w:rsidR="0034438E" w:rsidRPr="009D0E52" w:rsidRDefault="00065E4B" w:rsidP="00597C20">
      <w:pPr>
        <w:pStyle w:val="53"/>
        <w:rPr>
          <w:rtl/>
        </w:rPr>
      </w:pPr>
      <w:r w:rsidRPr="009D0E52">
        <w:rPr>
          <w:rFonts w:hint="cs"/>
          <w:rtl/>
        </w:rPr>
        <w:t>ا</w:t>
      </w:r>
      <w:r w:rsidR="00D25F15" w:rsidRPr="009D0E52">
        <w:rPr>
          <w:rFonts w:hint="cs"/>
          <w:rtl/>
        </w:rPr>
        <w:t>لموانع</w:t>
      </w:r>
      <w:r w:rsidR="00AB0B9E">
        <w:rPr>
          <w:rtl/>
        </w:rPr>
        <w:fldChar w:fldCharType="begin"/>
      </w:r>
      <w:r w:rsidR="009D0E52">
        <w:instrText xml:space="preserve"> XE "</w:instrText>
      </w:r>
      <w:r w:rsidR="009D0E52" w:rsidRPr="009D0E52">
        <w:rPr>
          <w:rFonts w:hint="cs"/>
          <w:b w:val="0"/>
          <w:bCs w:val="0"/>
          <w:rtl/>
        </w:rPr>
        <w:instrText>المانع</w:instrText>
      </w:r>
      <w:r w:rsidR="009D0E52">
        <w:instrText xml:space="preserve">" </w:instrText>
      </w:r>
      <w:r w:rsidR="009D0E52" w:rsidRPr="009D0E52">
        <w:instrText xml:space="preserve">\fm </w:instrText>
      </w:r>
      <w:r w:rsidR="00AB0B9E">
        <w:rPr>
          <w:rtl/>
        </w:rPr>
        <w:fldChar w:fldCharType="end"/>
      </w:r>
      <w:r w:rsidR="00D25F15" w:rsidRPr="009D0E52">
        <w:rPr>
          <w:rFonts w:hint="cs"/>
          <w:rtl/>
        </w:rPr>
        <w:t xml:space="preserve"> لغة:</w:t>
      </w:r>
    </w:p>
    <w:p w:rsidR="00065E4B" w:rsidRPr="00C85F0F" w:rsidRDefault="00D25F15" w:rsidP="00597C20">
      <w:pPr>
        <w:widowControl/>
        <w:autoSpaceDE w:val="0"/>
        <w:autoSpaceDN w:val="0"/>
        <w:adjustRightInd w:val="0"/>
        <w:ind w:firstLine="720"/>
        <w:rPr>
          <w:rFonts w:ascii="Traditional Arabic" w:hAnsi="Traditional Arabic"/>
          <w:noProof w:val="0"/>
          <w:sz w:val="44"/>
          <w:szCs w:val="44"/>
          <w:lang w:eastAsia="en-US"/>
        </w:rPr>
      </w:pPr>
      <w:r w:rsidRPr="00C85F0F">
        <w:rPr>
          <w:rFonts w:hint="cs"/>
          <w:rtl/>
        </w:rPr>
        <w:t>جمعُ مانع</w:t>
      </w:r>
      <w:r w:rsidRPr="00C85F0F">
        <w:rPr>
          <w:rFonts w:ascii="Traditional Arabic" w:hAnsi="Traditional Arabic" w:hint="cs"/>
          <w:noProof w:val="0"/>
          <w:rtl/>
          <w:lang w:eastAsia="en-US"/>
        </w:rPr>
        <w:t>، وهو ال</w:t>
      </w:r>
      <w:r w:rsidRPr="00C85F0F">
        <w:rPr>
          <w:rFonts w:ascii="Traditional Arabic" w:hAnsi="Traditional Arabic"/>
          <w:noProof w:val="0"/>
          <w:rtl/>
          <w:lang w:eastAsia="en-US"/>
        </w:rPr>
        <w:t>ح</w:t>
      </w:r>
      <w:r w:rsidRPr="00C85F0F">
        <w:rPr>
          <w:rFonts w:ascii="Traditional Arabic" w:hAnsi="Traditional Arabic" w:hint="cs"/>
          <w:noProof w:val="0"/>
          <w:rtl/>
          <w:lang w:eastAsia="en-US"/>
        </w:rPr>
        <w:t>ائ</w:t>
      </w:r>
      <w:r w:rsidRPr="00C85F0F">
        <w:rPr>
          <w:rFonts w:ascii="Traditional Arabic" w:hAnsi="Traditional Arabic"/>
          <w:noProof w:val="0"/>
          <w:rtl/>
          <w:lang w:eastAsia="en-US"/>
        </w:rPr>
        <w:t>ل بين الرجل وبين الشيء الذي يريده</w:t>
      </w:r>
      <w:r w:rsidRPr="00C85F0F">
        <w:rPr>
          <w:rFonts w:ascii="Traditional Arabic" w:hAnsi="Traditional Arabic" w:hint="cs"/>
          <w:noProof w:val="0"/>
          <w:rtl/>
          <w:lang w:eastAsia="en-US"/>
        </w:rPr>
        <w:t>، و</w:t>
      </w:r>
      <w:r w:rsidRPr="00C85F0F">
        <w:rPr>
          <w:rFonts w:ascii="Traditional Arabic" w:hAnsi="Traditional Arabic"/>
          <w:noProof w:val="0"/>
          <w:rtl/>
          <w:lang w:eastAsia="en-US"/>
        </w:rPr>
        <w:t>ما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صول الشيء</w:t>
      </w:r>
      <w:r w:rsidRPr="00C85F0F">
        <w:rPr>
          <w:rStyle w:val="af1"/>
          <w:szCs w:val="32"/>
          <w:rtl/>
        </w:rPr>
        <w:t>(</w:t>
      </w:r>
      <w:r w:rsidRPr="00C85F0F">
        <w:rPr>
          <w:rStyle w:val="af1"/>
          <w:szCs w:val="32"/>
          <w:rtl/>
        </w:rPr>
        <w:footnoteReference w:id="1979"/>
      </w:r>
      <w:r w:rsidRPr="00C85F0F">
        <w:rPr>
          <w:rStyle w:val="af1"/>
          <w:szCs w:val="32"/>
          <w:rtl/>
        </w:rPr>
        <w:t>)</w:t>
      </w:r>
      <w:r w:rsidRPr="00C85F0F">
        <w:rPr>
          <w:rFonts w:ascii="Traditional Arabic" w:hAnsi="Traditional Arabic" w:hint="cs"/>
          <w:noProof w:val="0"/>
          <w:sz w:val="44"/>
          <w:szCs w:val="44"/>
          <w:rtl/>
          <w:lang w:eastAsia="en-US"/>
        </w:rPr>
        <w:t>.</w:t>
      </w:r>
    </w:p>
    <w:p w:rsidR="0034438E" w:rsidRPr="009D0E52" w:rsidRDefault="00065E4B" w:rsidP="00597C20">
      <w:pPr>
        <w:pStyle w:val="53"/>
        <w:rPr>
          <w:rtl/>
        </w:rPr>
      </w:pPr>
      <w:r w:rsidRPr="009D0E52">
        <w:rPr>
          <w:rFonts w:hint="cs"/>
          <w:rtl/>
        </w:rPr>
        <w:t>ا</w:t>
      </w:r>
      <w:r w:rsidR="00D25F15" w:rsidRPr="009D0E52">
        <w:rPr>
          <w:rFonts w:hint="cs"/>
          <w:rtl/>
        </w:rPr>
        <w:t>لمانع اصطلاحا:</w:t>
      </w:r>
    </w:p>
    <w:p w:rsidR="00065E4B" w:rsidRPr="00C85F0F" w:rsidRDefault="00D25F15" w:rsidP="00597C20">
      <w:pPr>
        <w:ind w:firstLine="720"/>
        <w:rPr>
          <w:rFonts w:ascii="Traditional Arabic" w:hAnsi="Traditional Arabic"/>
          <w:noProof w:val="0"/>
          <w:color w:val="auto"/>
          <w:rtl/>
          <w:lang w:eastAsia="en-US"/>
        </w:rPr>
      </w:pPr>
      <w:r w:rsidRPr="00C85F0F">
        <w:rPr>
          <w:rFonts w:ascii="Traditional Arabic" w:hAnsi="Traditional Arabic"/>
          <w:noProof w:val="0"/>
          <w:color w:val="auto"/>
          <w:rtl/>
          <w:lang w:eastAsia="en-US"/>
        </w:rPr>
        <w:t>ما يلزم من وجوده العدم</w:t>
      </w:r>
      <w:r w:rsidRPr="00C85F0F">
        <w:rPr>
          <w:rStyle w:val="af1"/>
          <w:szCs w:val="32"/>
          <w:rtl/>
        </w:rPr>
        <w:t>(</w:t>
      </w:r>
      <w:r w:rsidRPr="00C85F0F">
        <w:rPr>
          <w:rStyle w:val="af1"/>
          <w:szCs w:val="32"/>
          <w:rtl/>
        </w:rPr>
        <w:footnoteReference w:id="1980"/>
      </w:r>
      <w:r w:rsidRPr="00C85F0F">
        <w:rPr>
          <w:rStyle w:val="af1"/>
          <w:szCs w:val="32"/>
          <w:rtl/>
        </w:rPr>
        <w:t>)</w:t>
      </w:r>
      <w:r w:rsidR="00B76414" w:rsidRPr="00C85F0F">
        <w:rPr>
          <w:rFonts w:ascii="Traditional Arabic" w:hAnsi="Traditional Arabic"/>
          <w:noProof w:val="0"/>
          <w:color w:val="auto"/>
          <w:rtl/>
          <w:lang w:eastAsia="en-US"/>
        </w:rPr>
        <w:t>،</w:t>
      </w:r>
      <w:r w:rsidRPr="00C85F0F">
        <w:rPr>
          <w:rFonts w:ascii="Traditional Arabic" w:hAnsi="Traditional Arabic"/>
          <w:noProof w:val="0"/>
          <w:color w:val="auto"/>
          <w:rtl/>
          <w:lang w:eastAsia="en-US"/>
        </w:rPr>
        <w:t xml:space="preserve"> ولا يلزم من عدمه وجود ولاعدم</w:t>
      </w:r>
      <w:r w:rsidRPr="00C85F0F">
        <w:rPr>
          <w:rStyle w:val="af1"/>
          <w:szCs w:val="32"/>
          <w:rtl/>
        </w:rPr>
        <w:t>(</w:t>
      </w:r>
      <w:r w:rsidRPr="00C85F0F">
        <w:rPr>
          <w:rStyle w:val="af1"/>
          <w:szCs w:val="32"/>
          <w:rtl/>
        </w:rPr>
        <w:footnoteReference w:id="1981"/>
      </w:r>
      <w:r w:rsidRPr="00C85F0F">
        <w:rPr>
          <w:rStyle w:val="af1"/>
          <w:szCs w:val="32"/>
          <w:rtl/>
        </w:rPr>
        <w:t>)</w:t>
      </w:r>
      <w:r w:rsidRPr="00C85F0F">
        <w:rPr>
          <w:rFonts w:ascii="Traditional Arabic" w:hAnsi="Traditional Arabic" w:hint="cs"/>
          <w:noProof w:val="0"/>
          <w:color w:val="auto"/>
          <w:rtl/>
          <w:lang w:eastAsia="en-US"/>
        </w:rPr>
        <w:t>لذاته</w:t>
      </w:r>
      <w:r w:rsidRPr="00C85F0F">
        <w:rPr>
          <w:rStyle w:val="af1"/>
          <w:szCs w:val="32"/>
          <w:rtl/>
        </w:rPr>
        <w:t>(</w:t>
      </w:r>
      <w:r w:rsidRPr="00C85F0F">
        <w:rPr>
          <w:rStyle w:val="af1"/>
          <w:szCs w:val="32"/>
          <w:rtl/>
        </w:rPr>
        <w:footnoteReference w:id="1982"/>
      </w:r>
      <w:r w:rsidRPr="00C85F0F">
        <w:rPr>
          <w:rStyle w:val="af1"/>
          <w:szCs w:val="32"/>
          <w:rtl/>
        </w:rPr>
        <w:t>)</w:t>
      </w:r>
      <w:r w:rsidRPr="00C85F0F">
        <w:rPr>
          <w:rFonts w:ascii="Traditional Arabic" w:hAnsi="Traditional Arabic" w:hint="cs"/>
          <w:noProof w:val="0"/>
          <w:color w:val="auto"/>
          <w:rtl/>
          <w:lang w:eastAsia="en-US"/>
        </w:rPr>
        <w:t>.</w:t>
      </w:r>
    </w:p>
    <w:p w:rsidR="00065E4B" w:rsidRPr="009D0E52" w:rsidRDefault="00065E4B" w:rsidP="00597C20">
      <w:pPr>
        <w:pStyle w:val="53"/>
        <w:rPr>
          <w:rtl/>
        </w:rPr>
      </w:pPr>
      <w:r w:rsidRPr="009D0E52">
        <w:rPr>
          <w:rFonts w:hint="cs"/>
          <w:rtl/>
        </w:rPr>
        <w:lastRenderedPageBreak/>
        <w:t>م</w:t>
      </w:r>
      <w:r w:rsidR="00D25F15" w:rsidRPr="009D0E52">
        <w:rPr>
          <w:rFonts w:hint="cs"/>
          <w:rtl/>
        </w:rPr>
        <w:t>عنى القاعدة إجمالا:</w:t>
      </w:r>
    </w:p>
    <w:p w:rsidR="00F228A9" w:rsidRPr="00C85F0F" w:rsidRDefault="00065E4B"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ه</w:t>
      </w:r>
      <w:r w:rsidR="00D25F15" w:rsidRPr="00C85F0F">
        <w:rPr>
          <w:rFonts w:ascii="Traditional Arabic" w:hAnsi="Traditional Arabic" w:hint="cs"/>
          <w:noProof w:val="0"/>
          <w:color w:val="auto"/>
          <w:rtl/>
          <w:lang w:eastAsia="en-US"/>
        </w:rPr>
        <w:t>ذه القاعدة قاعدة نافعة جدا في باب الأحكام وفي باب الأخبار، وتَنْحلُّ بها إشكالاتٌ كثيرة، وتفيد هذه القاعدة أن الشيء في العبادات وفي المعاملات، في الأحكام الشرعية وفي الأحكام الجزائية</w:t>
      </w:r>
      <w:r w:rsidR="00D25F15" w:rsidRPr="00C85F0F">
        <w:rPr>
          <w:rStyle w:val="af1"/>
          <w:szCs w:val="32"/>
          <w:rtl/>
        </w:rPr>
        <w:t>(</w:t>
      </w:r>
      <w:r w:rsidR="00D25F15" w:rsidRPr="00C85F0F">
        <w:rPr>
          <w:rStyle w:val="af1"/>
          <w:szCs w:val="32"/>
          <w:rtl/>
        </w:rPr>
        <w:footnoteReference w:id="1983"/>
      </w:r>
      <w:r w:rsidR="00D25F15" w:rsidRPr="00C85F0F">
        <w:rPr>
          <w:rStyle w:val="af1"/>
          <w:szCs w:val="32"/>
          <w:rtl/>
        </w:rPr>
        <w:t>)</w:t>
      </w:r>
      <w:r w:rsidR="00D25F15" w:rsidRPr="00C85F0F">
        <w:rPr>
          <w:rFonts w:ascii="Traditional Arabic" w:hAnsi="Traditional Arabic" w:hint="cs"/>
          <w:noProof w:val="0"/>
          <w:color w:val="auto"/>
          <w:rtl/>
          <w:lang w:eastAsia="en-US"/>
        </w:rPr>
        <w:t>، لا يصحُّ</w:t>
      </w:r>
      <w:r w:rsidR="00154102" w:rsidRPr="00C85F0F">
        <w:rPr>
          <w:rFonts w:ascii="Traditional Arabic" w:hAnsi="Traditional Arabic" w:hint="cs"/>
          <w:noProof w:val="0"/>
          <w:color w:val="auto"/>
          <w:rtl/>
          <w:lang w:eastAsia="en-US"/>
        </w:rPr>
        <w:t xml:space="preserve"> و</w:t>
      </w:r>
      <w:r w:rsidR="00D25F15" w:rsidRPr="00C85F0F">
        <w:rPr>
          <w:rFonts w:ascii="Traditional Arabic" w:hAnsi="Traditional Arabic" w:hint="cs"/>
          <w:noProof w:val="0"/>
          <w:color w:val="auto"/>
          <w:rtl/>
          <w:lang w:eastAsia="en-US"/>
        </w:rPr>
        <w:t xml:space="preserve">لا يثبُت حتى توجدَ أسبابُه وشروطه، وتنتفيَ موانعُه؛ </w:t>
      </w:r>
      <w:r w:rsidR="00D25F15" w:rsidRPr="00C85F0F">
        <w:rPr>
          <w:rFonts w:ascii="Traditional Arabic" w:hAnsi="Traditional Arabic"/>
          <w:noProof w:val="0"/>
          <w:rtl/>
          <w:lang w:eastAsia="en-US"/>
        </w:rPr>
        <w:t xml:space="preserve">لأنه إذا </w:t>
      </w:r>
      <w:r w:rsidR="00D25F15" w:rsidRPr="00C85F0F">
        <w:rPr>
          <w:rFonts w:ascii="Traditional Arabic" w:hAnsi="Traditional Arabic" w:hint="cs"/>
          <w:noProof w:val="0"/>
          <w:rtl/>
          <w:lang w:eastAsia="en-US"/>
        </w:rPr>
        <w:t>وُجدتْ الأسباب و</w:t>
      </w:r>
      <w:r w:rsidR="00D25F15" w:rsidRPr="00C85F0F">
        <w:rPr>
          <w:rFonts w:ascii="Traditional Arabic" w:hAnsi="Traditional Arabic"/>
          <w:noProof w:val="0"/>
          <w:rtl/>
          <w:lang w:eastAsia="en-US"/>
        </w:rPr>
        <w:t>تم</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ت الشروط</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ولم تنتف</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الموانع لم تصح</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العبادة ولا المعاملة</w:t>
      </w:r>
      <w:r w:rsidR="00D25F15" w:rsidRPr="00C85F0F">
        <w:rPr>
          <w:rFonts w:ascii="Traditional Arabic" w:hAnsi="Traditional Arabic" w:hint="cs"/>
          <w:noProof w:val="0"/>
          <w:rtl/>
          <w:lang w:eastAsia="en-US"/>
        </w:rPr>
        <w:t xml:space="preserve"> ولم تثبت الحقوق</w:t>
      </w:r>
      <w:r w:rsidR="00D25F15" w:rsidRPr="00C85F0F">
        <w:rPr>
          <w:rFonts w:ascii="Traditional Arabic" w:hAnsi="Traditional Arabic"/>
          <w:noProof w:val="0"/>
          <w:rtl/>
          <w:lang w:eastAsia="en-US"/>
        </w:rPr>
        <w:t xml:space="preserve">، </w:t>
      </w:r>
      <w:r w:rsidR="00D25F15" w:rsidRPr="00C85F0F">
        <w:rPr>
          <w:rFonts w:ascii="Traditional Arabic" w:hAnsi="Traditional Arabic" w:hint="cs"/>
          <w:noProof w:val="0"/>
          <w:rtl/>
          <w:lang w:eastAsia="en-US"/>
        </w:rPr>
        <w:t>و</w:t>
      </w:r>
      <w:r w:rsidR="00D25F15" w:rsidRPr="00C85F0F">
        <w:rPr>
          <w:rFonts w:ascii="Traditional Arabic" w:hAnsi="Traditional Arabic"/>
          <w:noProof w:val="0"/>
          <w:rtl/>
          <w:lang w:eastAsia="en-US"/>
        </w:rPr>
        <w:t xml:space="preserve">لو </w:t>
      </w:r>
      <w:r w:rsidR="00D25F15" w:rsidRPr="00C85F0F">
        <w:rPr>
          <w:rFonts w:ascii="Traditional Arabic" w:hAnsi="Traditional Arabic" w:hint="cs"/>
          <w:noProof w:val="0"/>
          <w:rtl/>
          <w:lang w:eastAsia="en-US"/>
        </w:rPr>
        <w:t>انتفَتْ</w:t>
      </w:r>
      <w:r w:rsidR="00D25F15" w:rsidRPr="00C85F0F">
        <w:rPr>
          <w:rFonts w:ascii="Traditional Arabic" w:hAnsi="Traditional Arabic"/>
          <w:noProof w:val="0"/>
          <w:rtl/>
          <w:lang w:eastAsia="en-US"/>
        </w:rPr>
        <w:t xml:space="preserve"> الموانع</w:t>
      </w:r>
      <w:r w:rsidR="00D25F15" w:rsidRPr="00C85F0F">
        <w:rPr>
          <w:rFonts w:ascii="Traditional Arabic" w:hAnsi="Traditional Arabic" w:hint="cs"/>
          <w:noProof w:val="0"/>
          <w:rtl/>
          <w:lang w:eastAsia="en-US"/>
        </w:rPr>
        <w:t>ُ، لكن تخلَّف شرطٌ من الشروط</w:t>
      </w:r>
      <w:r w:rsidR="00476BE8">
        <w:rPr>
          <w:rFonts w:ascii="Traditional Arabic" w:hAnsi="Traditional Arabic" w:hint="cs"/>
          <w:noProof w:val="0"/>
          <w:rtl/>
          <w:lang w:eastAsia="en-US"/>
        </w:rPr>
        <w:t xml:space="preserve">، </w:t>
      </w:r>
      <w:r w:rsidR="00D25F15" w:rsidRPr="00C85F0F">
        <w:rPr>
          <w:rFonts w:ascii="Traditional Arabic" w:hAnsi="Traditional Arabic" w:hint="cs"/>
          <w:noProof w:val="0"/>
          <w:rtl/>
          <w:lang w:eastAsia="en-US"/>
        </w:rPr>
        <w:t>أو سبب من الأسباب</w:t>
      </w:r>
      <w:r w:rsidR="00476BE8">
        <w:rPr>
          <w:rFonts w:ascii="Traditional Arabic" w:hAnsi="Traditional Arabic" w:hint="cs"/>
          <w:noProof w:val="0"/>
          <w:rtl/>
          <w:lang w:eastAsia="en-US"/>
        </w:rPr>
        <w:t>،</w:t>
      </w:r>
      <w:r w:rsidR="00D25F15" w:rsidRPr="00C85F0F">
        <w:rPr>
          <w:rFonts w:ascii="Traditional Arabic" w:hAnsi="Traditional Arabic" w:hint="cs"/>
          <w:noProof w:val="0"/>
          <w:rtl/>
          <w:lang w:eastAsia="en-US"/>
        </w:rPr>
        <w:t xml:space="preserve"> لم</w:t>
      </w:r>
      <w:r w:rsidR="00D25F15" w:rsidRPr="00C85F0F">
        <w:rPr>
          <w:rFonts w:ascii="Traditional Arabic" w:hAnsi="Traditional Arabic"/>
          <w:noProof w:val="0"/>
          <w:rtl/>
          <w:lang w:eastAsia="en-US"/>
        </w:rPr>
        <w:t xml:space="preserve"> تصح</w:t>
      </w:r>
      <w:r w:rsidR="00D25F15" w:rsidRPr="00C85F0F">
        <w:rPr>
          <w:rFonts w:ascii="Traditional Arabic" w:hAnsi="Traditional Arabic" w:hint="cs"/>
          <w:noProof w:val="0"/>
          <w:rtl/>
          <w:lang w:eastAsia="en-US"/>
        </w:rPr>
        <w:t>َّ العبادة</w:t>
      </w:r>
      <w:r w:rsidR="00154102" w:rsidRPr="00C85F0F">
        <w:rPr>
          <w:rFonts w:ascii="Traditional Arabic" w:hAnsi="Traditional Arabic" w:hint="cs"/>
          <w:noProof w:val="0"/>
          <w:rtl/>
          <w:lang w:eastAsia="en-US"/>
        </w:rPr>
        <w:t xml:space="preserve"> و</w:t>
      </w:r>
      <w:r w:rsidR="00D25F15" w:rsidRPr="00C85F0F">
        <w:rPr>
          <w:rFonts w:ascii="Traditional Arabic" w:hAnsi="Traditional Arabic" w:hint="cs"/>
          <w:noProof w:val="0"/>
          <w:rtl/>
          <w:lang w:eastAsia="en-US"/>
        </w:rPr>
        <w:t>لا المعاملة، ولم تثبت الحقوق كذلك، فلو أن رجلا باع بيعاً بثمنٍ مجهول، فالبيع غير صحيح، لانتفاءِ شرطٍ من شروطه، وهو أن يكون الثمن معلوماً</w:t>
      </w:r>
      <w:r w:rsidR="00D25F15" w:rsidRPr="00C85F0F">
        <w:rPr>
          <w:rFonts w:ascii="Traditional Arabic" w:hAnsi="Traditional Arabic" w:hint="cs"/>
          <w:noProof w:val="0"/>
          <w:color w:val="auto"/>
          <w:rtl/>
          <w:lang w:eastAsia="en-US"/>
        </w:rPr>
        <w:t>، ولو أن رجلا صلى بغير وضوء، لم تصحَّ</w:t>
      </w:r>
      <w:r w:rsidR="00476BE8">
        <w:rPr>
          <w:rFonts w:ascii="Traditional Arabic" w:hAnsi="Traditional Arabic" w:hint="cs"/>
          <w:noProof w:val="0"/>
          <w:color w:val="auto"/>
          <w:rtl/>
          <w:lang w:eastAsia="en-US"/>
        </w:rPr>
        <w:t xml:space="preserve"> صلاتُه، لِفَواتِ شرطٍ من شروط الصلاة</w:t>
      </w:r>
      <w:r w:rsidR="00D25F15" w:rsidRPr="00C85F0F">
        <w:rPr>
          <w:rFonts w:ascii="Traditional Arabic" w:hAnsi="Traditional Arabic" w:hint="cs"/>
          <w:noProof w:val="0"/>
          <w:color w:val="auto"/>
          <w:rtl/>
          <w:lang w:eastAsia="en-US"/>
        </w:rPr>
        <w:t>، وهو الطهارة، وهكذا المواريث لا يَرِثُ أحدٌ لم يَقُم به سببُ الإرث، وتوجَد الشروط، ثم لا يتمُّ الإرث حتى تنتفيَ موانعُ الإرث من قتلٍ</w:t>
      </w:r>
      <w:r w:rsidR="00154102" w:rsidRPr="00C85F0F">
        <w:rPr>
          <w:rFonts w:ascii="Traditional Arabic" w:hAnsi="Traditional Arabic" w:hint="cs"/>
          <w:noProof w:val="0"/>
          <w:color w:val="auto"/>
          <w:rtl/>
          <w:lang w:eastAsia="en-US"/>
        </w:rPr>
        <w:t xml:space="preserve"> و</w:t>
      </w:r>
      <w:r w:rsidR="00D25F15" w:rsidRPr="00C85F0F">
        <w:rPr>
          <w:rFonts w:ascii="Traditional Arabic" w:hAnsi="Traditional Arabic" w:hint="cs"/>
          <w:noProof w:val="0"/>
          <w:color w:val="auto"/>
          <w:rtl/>
          <w:lang w:eastAsia="en-US"/>
        </w:rPr>
        <w:t>رِقٍّ واختلافِ دِينٍ</w:t>
      </w:r>
      <w:r w:rsidR="00D25F15" w:rsidRPr="00C85F0F">
        <w:rPr>
          <w:rStyle w:val="af1"/>
          <w:szCs w:val="32"/>
          <w:rtl/>
        </w:rPr>
        <w:t>(</w:t>
      </w:r>
      <w:r w:rsidR="00D25F15" w:rsidRPr="00C85F0F">
        <w:rPr>
          <w:rStyle w:val="af1"/>
          <w:szCs w:val="32"/>
          <w:rtl/>
        </w:rPr>
        <w:footnoteReference w:id="1984"/>
      </w:r>
      <w:r w:rsidR="00D25F15" w:rsidRPr="00C85F0F">
        <w:rPr>
          <w:rStyle w:val="af1"/>
          <w:szCs w:val="32"/>
          <w:rtl/>
        </w:rPr>
        <w:t>)</w:t>
      </w:r>
      <w:r w:rsidR="00D25F15" w:rsidRPr="00C85F0F">
        <w:rPr>
          <w:rFonts w:ascii="Traditional Arabic" w:hAnsi="Traditional Arabic" w:hint="cs"/>
          <w:noProof w:val="0"/>
          <w:color w:val="auto"/>
          <w:rtl/>
          <w:lang w:eastAsia="en-US"/>
        </w:rPr>
        <w:t>.</w:t>
      </w:r>
    </w:p>
    <w:p w:rsidR="00065E4B" w:rsidRPr="00C85F0F" w:rsidRDefault="001F09B4" w:rsidP="00A8347C">
      <w:pPr>
        <w:pStyle w:val="aff3"/>
        <w:rPr>
          <w:rtl/>
        </w:rPr>
      </w:pPr>
      <w:bookmarkStart w:id="425" w:name="_Toc334046608"/>
      <w:r>
        <w:rPr>
          <w:rFonts w:hint="cs"/>
          <w:rtl/>
        </w:rPr>
        <w:t xml:space="preserve">                                          </w:t>
      </w:r>
      <w:r w:rsidR="00D25F15" w:rsidRPr="00C85F0F">
        <w:rPr>
          <w:rFonts w:hint="cs"/>
          <w:rtl/>
        </w:rPr>
        <w:t>المطلب الثالث</w:t>
      </w:r>
      <w:r w:rsidR="00D25F15" w:rsidRPr="00C85F0F">
        <w:rPr>
          <w:rFonts w:hint="eastAsia"/>
          <w:rtl/>
        </w:rPr>
        <w:t> :</w:t>
      </w:r>
      <w:r w:rsidR="00D25F15" w:rsidRPr="00C85F0F">
        <w:rPr>
          <w:rFonts w:hint="cs"/>
          <w:rtl/>
        </w:rPr>
        <w:br/>
      </w:r>
      <w:r>
        <w:rPr>
          <w:rFonts w:hint="cs"/>
          <w:rtl/>
        </w:rPr>
        <w:t xml:space="preserve">                         </w:t>
      </w:r>
      <w:r w:rsidR="00AE48CB">
        <w:rPr>
          <w:rFonts w:hint="cs"/>
          <w:rtl/>
        </w:rPr>
        <w:t xml:space="preserve">                   </w:t>
      </w:r>
      <w:r w:rsidR="00D25F15" w:rsidRPr="00C85F0F">
        <w:rPr>
          <w:rFonts w:hint="cs"/>
          <w:rtl/>
        </w:rPr>
        <w:t>أدلة القاعدة</w:t>
      </w:r>
      <w:bookmarkEnd w:id="425"/>
    </w:p>
    <w:p w:rsidR="00D25F15" w:rsidRPr="00C85F0F" w:rsidRDefault="0062426F" w:rsidP="0062426F">
      <w:pPr>
        <w:ind w:firstLine="0"/>
        <w:rPr>
          <w:rtl/>
        </w:rPr>
      </w:pPr>
      <w:r>
        <w:rPr>
          <w:rFonts w:hint="cs"/>
          <w:rtl/>
        </w:rPr>
        <w:t xml:space="preserve">    </w:t>
      </w:r>
      <w:r w:rsidR="00065E4B" w:rsidRPr="00C85F0F">
        <w:rPr>
          <w:rFonts w:hint="cs"/>
          <w:rtl/>
        </w:rPr>
        <w:t>ق</w:t>
      </w:r>
      <w:r w:rsidR="00D25F15" w:rsidRPr="00C85F0F">
        <w:rPr>
          <w:rFonts w:hint="cs"/>
          <w:rtl/>
        </w:rPr>
        <w:t xml:space="preserve">ال الشيخ ابن عثيمين </w:t>
      </w:r>
      <w:r w:rsidR="001F09B4">
        <w:rPr>
          <w:rFonts w:hint="cs"/>
          <w:rtl/>
        </w:rPr>
        <w:t>_</w:t>
      </w:r>
      <w:r w:rsidR="009A0575" w:rsidRPr="005D5694">
        <w:rPr>
          <w:rFonts w:ascii="Traditional Arabic" w:hAnsi="Traditional Arabic" w:cs="CTraditional Arabic" w:hint="cs"/>
          <w:rtl/>
        </w:rPr>
        <w:t>/</w:t>
      </w:r>
      <w:r w:rsidR="001F09B4">
        <w:rPr>
          <w:rFonts w:hint="cs"/>
          <w:rtl/>
        </w:rPr>
        <w:t>_</w:t>
      </w:r>
      <w:r w:rsidR="00D25F15" w:rsidRPr="00C85F0F">
        <w:rPr>
          <w:rFonts w:hint="cs"/>
          <w:rtl/>
        </w:rPr>
        <w:t xml:space="preserve"> : </w:t>
      </w:r>
      <w:r w:rsidR="00B76414" w:rsidRPr="00C85F0F">
        <w:rPr>
          <w:rFonts w:hint="cs"/>
          <w:rtl/>
        </w:rPr>
        <w:t>(</w:t>
      </w:r>
      <w:r w:rsidR="00D25F15" w:rsidRPr="00C85F0F">
        <w:rPr>
          <w:rFonts w:hint="cs"/>
          <w:rtl/>
        </w:rPr>
        <w:t>وهذه القاعدة معلومةٌ من التتبُّع، بل من النصوص أيضاً)</w:t>
      </w:r>
      <w:r w:rsidR="00D25F15" w:rsidRPr="00C85F0F">
        <w:rPr>
          <w:rStyle w:val="af1"/>
          <w:szCs w:val="32"/>
          <w:rtl/>
        </w:rPr>
        <w:t>(</w:t>
      </w:r>
      <w:r w:rsidR="00D25F15" w:rsidRPr="00C85F0F">
        <w:rPr>
          <w:rStyle w:val="af1"/>
          <w:szCs w:val="32"/>
          <w:rtl/>
        </w:rPr>
        <w:footnoteReference w:id="1985"/>
      </w:r>
      <w:r w:rsidR="00D25F15" w:rsidRPr="00C85F0F">
        <w:rPr>
          <w:rStyle w:val="af1"/>
          <w:szCs w:val="32"/>
          <w:rtl/>
        </w:rPr>
        <w:t>)</w:t>
      </w:r>
      <w:r w:rsidR="00D25F15" w:rsidRPr="00C85F0F">
        <w:rPr>
          <w:rFonts w:hint="cs"/>
          <w:rtl/>
        </w:rPr>
        <w:t>.</w:t>
      </w:r>
    </w:p>
    <w:p w:rsidR="00D25F15" w:rsidRPr="00C85F0F" w:rsidRDefault="001F09B4" w:rsidP="000A76C7">
      <w:pPr>
        <w:pStyle w:val="afc"/>
        <w:numPr>
          <w:ilvl w:val="0"/>
          <w:numId w:val="272"/>
        </w:numPr>
      </w:pPr>
      <w:r>
        <w:rPr>
          <w:rFonts w:ascii="Traditional Arabic" w:hAnsi="Traditional Arabic" w:hint="cs"/>
          <w:noProof w:val="0"/>
          <w:rtl/>
          <w:lang w:eastAsia="en-US"/>
        </w:rPr>
        <w:t xml:space="preserve">قول الله </w:t>
      </w:r>
      <w:r w:rsidR="00D25F15" w:rsidRPr="00C85F0F">
        <w:rPr>
          <w:rFonts w:ascii="Traditional Arabic" w:hAnsi="Traditional Arabic" w:hint="cs"/>
          <w:noProof w:val="0"/>
          <w:rtl/>
          <w:lang w:eastAsia="en-US"/>
        </w:rPr>
        <w:t>تعال</w:t>
      </w:r>
      <w:r w:rsidR="003A0F35" w:rsidRPr="00C85F0F">
        <w:rPr>
          <w:rFonts w:ascii="Traditional Arabic" w:hAnsi="Traditional Arabic" w:hint="cs"/>
          <w:noProof w:val="0"/>
          <w:rtl/>
          <w:lang w:eastAsia="en-US"/>
        </w:rPr>
        <w:t>ى :</w:t>
      </w:r>
      <w:bookmarkStart w:id="426" w:name="سورة_الكهف_110"/>
      <w:r>
        <w:rPr>
          <w:rFonts w:ascii="Traditional Arabic" w:hAnsi="Traditional Arabic" w:hint="cs"/>
          <w:noProof w:val="0"/>
          <w:rtl/>
          <w:lang w:eastAsia="en-US"/>
        </w:rPr>
        <w:t xml:space="preserve"> </w:t>
      </w:r>
      <w:r w:rsidR="00D17979" w:rsidRPr="004D0298">
        <w:rPr>
          <w:rFonts w:ascii="QCF_BSML" w:hAnsi="QCF_BSML" w:cs="QCF_BSML"/>
          <w:noProof w:val="0"/>
          <w:rtl/>
          <w:lang w:eastAsia="en-US"/>
        </w:rPr>
        <w:t>ﭽ</w:t>
      </w:r>
      <w:r>
        <w:rPr>
          <w:rFonts w:ascii="QCF_BSML" w:hAnsi="QCF_BSML" w:cs="QCF_BSML" w:hint="cs"/>
          <w:noProof w:val="0"/>
          <w:rtl/>
          <w:lang w:eastAsia="en-US"/>
        </w:rPr>
        <w:t xml:space="preserve"> </w:t>
      </w:r>
      <w:r w:rsidR="00D17979" w:rsidRPr="004D0298">
        <w:rPr>
          <w:rFonts w:ascii="QCF_P304" w:hAnsi="QCF_P304" w:cs="QCF_P304"/>
          <w:noProof w:val="0"/>
          <w:rtl/>
          <w:lang w:eastAsia="en-US"/>
        </w:rPr>
        <w:t>ﰐ</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ﰑ</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ﰒ</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ﰓ</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ﰔ</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ﰕ</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ﰖ</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ﰗ</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ﰘ</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ﰙ</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ﰚ</w:t>
      </w:r>
      <w:r>
        <w:rPr>
          <w:rFonts w:ascii="QCF_P304" w:hAnsi="QCF_P304" w:cs="QCF_P304" w:hint="cs"/>
          <w:noProof w:val="0"/>
          <w:rtl/>
          <w:lang w:eastAsia="en-US"/>
        </w:rPr>
        <w:t xml:space="preserve"> </w:t>
      </w:r>
      <w:r w:rsidR="00D17979" w:rsidRPr="004D0298">
        <w:rPr>
          <w:rFonts w:ascii="QCF_P304" w:hAnsi="QCF_P304" w:cs="QCF_P304"/>
          <w:noProof w:val="0"/>
          <w:rtl/>
          <w:lang w:eastAsia="en-US"/>
        </w:rPr>
        <w:t>ﰛ</w:t>
      </w:r>
      <w:r>
        <w:rPr>
          <w:rFonts w:ascii="QCF_P304" w:hAnsi="QCF_P304" w:cs="QCF_P304" w:hint="cs"/>
          <w:noProof w:val="0"/>
          <w:rtl/>
          <w:lang w:eastAsia="en-US"/>
        </w:rPr>
        <w:t xml:space="preserve"> </w:t>
      </w:r>
      <w:r w:rsidR="00D17979" w:rsidRPr="004D0298">
        <w:rPr>
          <w:rFonts w:ascii="QCF_P304" w:hAnsi="QCF_P304" w:cs="QCF_P304"/>
          <w:noProof w:val="0"/>
          <w:rtl/>
          <w:lang w:eastAsia="en-US"/>
        </w:rPr>
        <w:lastRenderedPageBreak/>
        <w:t>ﰜ</w:t>
      </w:r>
      <w:r w:rsidR="00D17979" w:rsidRPr="004D0298">
        <w:rPr>
          <w:rFonts w:ascii="QCF_BSML" w:hAnsi="QCF_BSML" w:cs="QCF_BSML"/>
          <w:noProof w:val="0"/>
          <w:rtl/>
          <w:lang w:eastAsia="en-US"/>
        </w:rPr>
        <w:t>ﭼ</w:t>
      </w:r>
      <w:bookmarkEnd w:id="426"/>
      <w:r w:rsidR="00D25F15" w:rsidRPr="00C85F0F">
        <w:rPr>
          <w:rFonts w:ascii="Traditional Arabic" w:hAnsi="Traditional Arabic" w:hint="cs"/>
          <w:noProof w:val="0"/>
          <w:color w:val="auto"/>
          <w:rtl/>
          <w:lang w:eastAsia="en-US"/>
        </w:rPr>
        <w:t>[</w:t>
      </w:r>
      <w:r w:rsidR="00D25F15" w:rsidRPr="00C85F0F">
        <w:rPr>
          <w:rFonts w:ascii="Traditional Arabic" w:hAnsi="Traditional Arabic"/>
          <w:noProof w:val="0"/>
          <w:color w:val="auto"/>
          <w:rtl/>
          <w:lang w:eastAsia="en-US"/>
        </w:rPr>
        <w:t>الكهف: ١١٠</w:t>
      </w:r>
      <w:r w:rsidR="00D25F15" w:rsidRPr="00C85F0F">
        <w:rPr>
          <w:rFonts w:hint="cs"/>
          <w:rtl/>
        </w:rPr>
        <w:t>].</w:t>
      </w:r>
    </w:p>
    <w:p w:rsidR="00D25F15" w:rsidRPr="00C85F0F" w:rsidRDefault="00D25F15" w:rsidP="00FD3233">
      <w:pPr>
        <w:pStyle w:val="53"/>
      </w:pPr>
      <w:r w:rsidRPr="00C85F0F">
        <w:rPr>
          <w:rFonts w:hint="cs"/>
          <w:rtl/>
        </w:rPr>
        <w:t>وجه الدلالة:</w:t>
      </w:r>
    </w:p>
    <w:p w:rsidR="00F228A9" w:rsidRPr="00C85F0F" w:rsidRDefault="00D25F15" w:rsidP="00597C20">
      <w:pPr>
        <w:ind w:firstLine="720"/>
        <w:rPr>
          <w:rFonts w:ascii="QCF_BSML" w:hAnsi="QCF_BSML" w:cs="QCF_BSML"/>
          <w:noProof w:val="0"/>
          <w:rtl/>
          <w:lang w:eastAsia="en-US"/>
        </w:rPr>
      </w:pPr>
      <w:r w:rsidRPr="00C85F0F">
        <w:rPr>
          <w:rFonts w:hint="cs"/>
          <w:rtl/>
        </w:rPr>
        <w:t>دلَّت الآية على أن الأشياء لا تتم إلا بوجود شروطها ونتفاء أسبابها، فقوله:</w:t>
      </w:r>
    </w:p>
    <w:p w:rsidR="00D25F15" w:rsidRPr="00C85F0F" w:rsidRDefault="00D17979" w:rsidP="00597C20">
      <w:pPr>
        <w:pStyle w:val="afc"/>
        <w:ind w:left="1080" w:firstLine="0"/>
        <w:rPr>
          <w:rFonts w:ascii="Traditional Arabic" w:hAnsi="Traditional Arabic"/>
          <w:rtl/>
        </w:rPr>
      </w:pPr>
      <w:r w:rsidRPr="004D0298">
        <w:rPr>
          <w:rFonts w:ascii="QCF_BSML" w:hAnsi="QCF_BSML" w:cs="QCF_BSML"/>
          <w:noProof w:val="0"/>
          <w:rtl/>
          <w:lang w:eastAsia="en-US"/>
        </w:rPr>
        <w:t xml:space="preserve">ﭽ </w:t>
      </w:r>
      <w:r w:rsidRPr="004D0298">
        <w:rPr>
          <w:rFonts w:ascii="QCF_P304" w:hAnsi="QCF_P304" w:cs="QCF_P304"/>
          <w:noProof w:val="0"/>
          <w:rtl/>
          <w:lang w:eastAsia="en-US"/>
        </w:rPr>
        <w:t>ﰕﰖﰗ</w:t>
      </w:r>
      <w:r w:rsidRPr="004D0298">
        <w:rPr>
          <w:rFonts w:ascii="QCF_BSML" w:hAnsi="QCF_BSML" w:cs="QCF_BSML"/>
          <w:noProof w:val="0"/>
          <w:rtl/>
          <w:lang w:eastAsia="en-US"/>
        </w:rPr>
        <w:t>ﭼ</w:t>
      </w:r>
      <w:r>
        <w:rPr>
          <w:rFonts w:ascii="Traditional Arabic" w:hAnsi="Traditional Arabic" w:hint="cs"/>
          <w:noProof w:val="0"/>
          <w:rtl/>
          <w:lang w:eastAsia="en-US"/>
        </w:rPr>
        <w:t xml:space="preserve">هذا وجودُ الشرط، وقوله: </w:t>
      </w:r>
      <w:r w:rsidRPr="00A434C4">
        <w:rPr>
          <w:rFonts w:ascii="QCF_BSML" w:hAnsi="QCF_BSML" w:cs="QCF_BSML"/>
          <w:noProof w:val="0"/>
          <w:rtl/>
          <w:lang w:eastAsia="en-US"/>
        </w:rPr>
        <w:t xml:space="preserve">ﭽ </w:t>
      </w:r>
      <w:r w:rsidRPr="00A434C4">
        <w:rPr>
          <w:rFonts w:ascii="QCF_P304" w:hAnsi="QCF_P304" w:cs="QCF_P304"/>
          <w:noProof w:val="0"/>
          <w:rtl/>
          <w:lang w:eastAsia="en-US"/>
        </w:rPr>
        <w:t>ﰘﰙﰚﰛﰜ</w:t>
      </w:r>
      <w:r w:rsidRPr="00A434C4">
        <w:rPr>
          <w:rFonts w:ascii="QCF_BSML" w:hAnsi="QCF_BSML" w:cs="QCF_BSML"/>
          <w:noProof w:val="0"/>
          <w:rtl/>
          <w:lang w:eastAsia="en-US"/>
        </w:rPr>
        <w:t>ﭼ</w:t>
      </w:r>
      <w:r>
        <w:rPr>
          <w:rFonts w:ascii="Traditional Arabic" w:hAnsi="Traditional Arabic" w:hint="cs"/>
          <w:rtl/>
        </w:rPr>
        <w:t>هذا انتفاءُ المانع</w:t>
      </w:r>
      <w:r w:rsidRPr="00A434C4">
        <w:rPr>
          <w:rStyle w:val="af1"/>
          <w:rtl/>
        </w:rPr>
        <w:t>(</w:t>
      </w:r>
      <w:r>
        <w:rPr>
          <w:rStyle w:val="af1"/>
          <w:rtl/>
        </w:rPr>
        <w:footnoteReference w:id="1986"/>
      </w:r>
      <w:r w:rsidRPr="00A434C4">
        <w:rPr>
          <w:rStyle w:val="af1"/>
          <w:rtl/>
        </w:rPr>
        <w:t>)</w:t>
      </w:r>
      <w:r>
        <w:rPr>
          <w:rFonts w:ascii="Traditional Arabic" w:hAnsi="Traditional Arabic" w:hint="cs"/>
          <w:rtl/>
        </w:rPr>
        <w:t>.</w:t>
      </w:r>
    </w:p>
    <w:p w:rsidR="00D25F15" w:rsidRPr="00C85F0F" w:rsidRDefault="00D25F15" w:rsidP="000A76C7">
      <w:pPr>
        <w:pStyle w:val="afc"/>
        <w:numPr>
          <w:ilvl w:val="0"/>
          <w:numId w:val="272"/>
        </w:numPr>
        <w:rPr>
          <w:rFonts w:ascii="Traditional Arabic" w:hAnsi="Traditional Arabic"/>
        </w:rPr>
      </w:pPr>
      <w:r w:rsidRPr="00C85F0F">
        <w:rPr>
          <w:rFonts w:ascii="Traditional Arabic" w:hAnsi="Traditional Arabic" w:hint="cs"/>
          <w:rtl/>
        </w:rPr>
        <w:t>يُعَدُّ دليلُ كلِّ شرطٍ ودليلُ كلِّ مانعٍ دليلاً لهذه القاعدة، فإن مِن موجَبِ أن يكون الشيء شرطاً ألا يوجَد الحكمُ إلا بوجوده، ومِن ثمرة ِكَونِ الشيء مانعاً ألا يوجَد الحكم إلا بعَدَمِه</w:t>
      </w:r>
      <w:r w:rsidRPr="00C85F0F">
        <w:rPr>
          <w:rStyle w:val="af1"/>
          <w:szCs w:val="32"/>
          <w:rtl/>
        </w:rPr>
        <w:t>(</w:t>
      </w:r>
      <w:r w:rsidRPr="00C85F0F">
        <w:rPr>
          <w:rStyle w:val="af1"/>
          <w:szCs w:val="32"/>
          <w:rtl/>
        </w:rPr>
        <w:footnoteReference w:id="1987"/>
      </w:r>
      <w:r w:rsidRPr="00C85F0F">
        <w:rPr>
          <w:rStyle w:val="af1"/>
          <w:szCs w:val="32"/>
          <w:rtl/>
        </w:rPr>
        <w:t>)</w:t>
      </w:r>
      <w:r w:rsidRPr="00C85F0F">
        <w:rPr>
          <w:rFonts w:ascii="Traditional Arabic" w:hAnsi="Traditional Arabic" w:hint="cs"/>
          <w:rtl/>
        </w:rPr>
        <w:t>.</w:t>
      </w:r>
    </w:p>
    <w:p w:rsidR="00D25F15" w:rsidRPr="00C85F0F" w:rsidRDefault="001F09B4" w:rsidP="000A76C7">
      <w:pPr>
        <w:pStyle w:val="afc"/>
        <w:widowControl/>
        <w:numPr>
          <w:ilvl w:val="0"/>
          <w:numId w:val="272"/>
        </w:numPr>
        <w:autoSpaceDE w:val="0"/>
        <w:autoSpaceDN w:val="0"/>
        <w:adjustRightInd w:val="0"/>
        <w:jc w:val="left"/>
        <w:rPr>
          <w:rFonts w:ascii="Traditional Arabic" w:hAnsi="Traditional Arabic"/>
          <w:noProof w:val="0"/>
          <w:rtl/>
          <w:lang w:eastAsia="en-US"/>
        </w:rPr>
      </w:pPr>
      <w:r>
        <w:rPr>
          <w:rFonts w:ascii="Traditional Arabic" w:hAnsi="Traditional Arabic" w:hint="cs"/>
          <w:noProof w:val="0"/>
          <w:rtl/>
          <w:lang w:eastAsia="en-US"/>
        </w:rPr>
        <w:t>إ</w:t>
      </w:r>
      <w:r w:rsidR="00D25F15" w:rsidRPr="00C85F0F">
        <w:rPr>
          <w:rFonts w:ascii="Traditional Arabic" w:hAnsi="Traditional Arabic"/>
          <w:noProof w:val="0"/>
          <w:rtl/>
          <w:lang w:eastAsia="en-US"/>
        </w:rPr>
        <w:t>ن الشارع اشترط اجتماع</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الشروط، وانتفاء</w:t>
      </w:r>
      <w:r w:rsidR="00D25F15" w:rsidRPr="00C85F0F">
        <w:rPr>
          <w:rFonts w:ascii="Traditional Arabic" w:hAnsi="Traditional Arabic" w:hint="cs"/>
          <w:noProof w:val="0"/>
          <w:rtl/>
          <w:lang w:eastAsia="en-US"/>
        </w:rPr>
        <w:t>َ</w:t>
      </w:r>
      <w:r>
        <w:rPr>
          <w:rFonts w:ascii="Traditional Arabic" w:hAnsi="Traditional Arabic" w:hint="cs"/>
          <w:noProof w:val="0"/>
          <w:rtl/>
          <w:lang w:eastAsia="en-US"/>
        </w:rPr>
        <w:t xml:space="preserve"> </w:t>
      </w:r>
      <w:r w:rsidR="00D25F15" w:rsidRPr="00C85F0F">
        <w:rPr>
          <w:rFonts w:ascii="Traditional Arabic" w:hAnsi="Traditional Arabic"/>
          <w:noProof w:val="0"/>
          <w:rtl/>
          <w:lang w:eastAsia="en-US"/>
        </w:rPr>
        <w:t>الموانع :</w:t>
      </w:r>
    </w:p>
    <w:p w:rsidR="00D25F15" w:rsidRPr="00C85F0F" w:rsidRDefault="00D25F15" w:rsidP="00597C20">
      <w:pPr>
        <w:pStyle w:val="afc"/>
        <w:widowControl/>
        <w:autoSpaceDE w:val="0"/>
        <w:autoSpaceDN w:val="0"/>
        <w:adjustRightInd w:val="0"/>
        <w:ind w:left="1080" w:firstLine="0"/>
        <w:jc w:val="left"/>
        <w:rPr>
          <w:rFonts w:ascii="Traditional Arabic" w:hAnsi="Traditional Arabic"/>
          <w:noProof w:val="0"/>
          <w:color w:val="auto"/>
          <w:rtl/>
          <w:lang w:eastAsia="en-US"/>
        </w:rPr>
      </w:pPr>
      <w:r w:rsidRPr="00C85F0F">
        <w:rPr>
          <w:rFonts w:ascii="Traditional Arabic" w:hAnsi="Traditional Arabic"/>
          <w:noProof w:val="0"/>
          <w:rtl/>
          <w:lang w:eastAsia="en-US"/>
        </w:rPr>
        <w:t>مثال ذلك :</w:t>
      </w:r>
    </w:p>
    <w:p w:rsidR="00D25F15" w:rsidRPr="00C85F0F" w:rsidRDefault="00D25F15" w:rsidP="00597C20">
      <w:pPr>
        <w:pStyle w:val="afc"/>
        <w:widowControl/>
        <w:autoSpaceDE w:val="0"/>
        <w:autoSpaceDN w:val="0"/>
        <w:adjustRightInd w:val="0"/>
        <w:ind w:left="1080" w:firstLine="0"/>
        <w:rPr>
          <w:rFonts w:ascii="Traditional Arabic" w:hAnsi="Traditional Arabic"/>
          <w:noProof w:val="0"/>
          <w:rtl/>
          <w:lang w:eastAsia="en-US"/>
        </w:rPr>
      </w:pPr>
      <w:r w:rsidRPr="00C85F0F">
        <w:rPr>
          <w:rFonts w:ascii="Traditional Arabic" w:hAnsi="Traditional Arabic"/>
          <w:noProof w:val="0"/>
          <w:rtl/>
          <w:lang w:eastAsia="en-US"/>
        </w:rPr>
        <w:t>الوقت شرط</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صح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 الصلاة</w:t>
      </w:r>
      <w:r w:rsidR="001F09B4">
        <w:rPr>
          <w:rFonts w:ascii="Traditional Arabic" w:hAnsi="Traditional Arabic" w:hint="cs"/>
          <w:noProof w:val="0"/>
          <w:rtl/>
          <w:lang w:eastAsia="en-US"/>
        </w:rPr>
        <w:t>،</w:t>
      </w:r>
      <w:r w:rsidRPr="00C85F0F">
        <w:rPr>
          <w:rFonts w:ascii="Traditional Arabic" w:hAnsi="Traditional Arabic"/>
          <w:noProof w:val="0"/>
          <w:rtl/>
          <w:lang w:eastAsia="en-US"/>
        </w:rPr>
        <w:t xml:space="preserve"> قال تعالى :</w:t>
      </w:r>
      <w:bookmarkStart w:id="427" w:name="سورة_النساء_103"/>
      <w:r w:rsidR="00E9258C">
        <w:rPr>
          <w:rFonts w:ascii="Traditional Arabic" w:hAnsi="Traditional Arabic" w:hint="cs"/>
          <w:noProof w:val="0"/>
          <w:rtl/>
          <w:lang w:eastAsia="en-US"/>
        </w:rPr>
        <w:t xml:space="preserve"> </w:t>
      </w:r>
      <w:r w:rsidR="00735180" w:rsidRPr="00DA1A7D">
        <w:rPr>
          <w:rFonts w:ascii="QCF_BSML" w:hAnsi="QCF_BSML" w:cs="QCF_BSML"/>
          <w:noProof w:val="0"/>
          <w:rtl/>
          <w:lang w:eastAsia="en-US"/>
        </w:rPr>
        <w:t>ﭽ</w:t>
      </w:r>
      <w:r w:rsidR="00735180" w:rsidRPr="00DA1A7D">
        <w:rPr>
          <w:rFonts w:ascii="QCF_P095" w:hAnsi="QCF_P095" w:cs="QCF_P095"/>
          <w:noProof w:val="0"/>
          <w:rtl/>
          <w:lang w:eastAsia="en-US"/>
        </w:rPr>
        <w:t>ﮣ</w:t>
      </w:r>
      <w:r w:rsidR="001F09B4">
        <w:rPr>
          <w:rFonts w:ascii="QCF_P095" w:hAnsi="QCF_P095" w:cs="QCF_P095" w:hint="cs"/>
          <w:noProof w:val="0"/>
          <w:rtl/>
          <w:lang w:eastAsia="en-US"/>
        </w:rPr>
        <w:t xml:space="preserve"> </w:t>
      </w:r>
      <w:r w:rsidR="00735180" w:rsidRPr="00DA1A7D">
        <w:rPr>
          <w:rFonts w:ascii="QCF_P095" w:hAnsi="QCF_P095" w:cs="QCF_P095"/>
          <w:noProof w:val="0"/>
          <w:rtl/>
          <w:lang w:eastAsia="en-US"/>
        </w:rPr>
        <w:t>ﮤ</w:t>
      </w:r>
      <w:r w:rsidR="001F09B4">
        <w:rPr>
          <w:rFonts w:ascii="QCF_P095" w:hAnsi="QCF_P095" w:cs="QCF_P095" w:hint="cs"/>
          <w:noProof w:val="0"/>
          <w:rtl/>
          <w:lang w:eastAsia="en-US"/>
        </w:rPr>
        <w:t xml:space="preserve"> </w:t>
      </w:r>
      <w:r w:rsidR="00735180" w:rsidRPr="00DA1A7D">
        <w:rPr>
          <w:rFonts w:ascii="QCF_P095" w:hAnsi="QCF_P095" w:cs="QCF_P095"/>
          <w:noProof w:val="0"/>
          <w:rtl/>
          <w:lang w:eastAsia="en-US"/>
        </w:rPr>
        <w:t>ﮥ</w:t>
      </w:r>
      <w:r w:rsidR="001F09B4">
        <w:rPr>
          <w:rFonts w:ascii="QCF_P095" w:hAnsi="QCF_P095" w:cs="QCF_P095" w:hint="cs"/>
          <w:noProof w:val="0"/>
          <w:rtl/>
          <w:lang w:eastAsia="en-US"/>
        </w:rPr>
        <w:t xml:space="preserve"> </w:t>
      </w:r>
      <w:r w:rsidR="00735180" w:rsidRPr="00DA1A7D">
        <w:rPr>
          <w:rFonts w:ascii="QCF_P095" w:hAnsi="QCF_P095" w:cs="QCF_P095"/>
          <w:noProof w:val="0"/>
          <w:rtl/>
          <w:lang w:eastAsia="en-US"/>
        </w:rPr>
        <w:t>ﮦ</w:t>
      </w:r>
      <w:r w:rsidR="001F09B4">
        <w:rPr>
          <w:rFonts w:ascii="QCF_P095" w:hAnsi="QCF_P095" w:cs="QCF_P095" w:hint="cs"/>
          <w:noProof w:val="0"/>
          <w:rtl/>
          <w:lang w:eastAsia="en-US"/>
        </w:rPr>
        <w:t xml:space="preserve"> </w:t>
      </w:r>
      <w:r w:rsidR="00735180" w:rsidRPr="00DA1A7D">
        <w:rPr>
          <w:rFonts w:ascii="QCF_P095" w:hAnsi="QCF_P095" w:cs="QCF_P095"/>
          <w:noProof w:val="0"/>
          <w:rtl/>
          <w:lang w:eastAsia="en-US"/>
        </w:rPr>
        <w:t>ﮧ</w:t>
      </w:r>
      <w:r w:rsidR="001F09B4">
        <w:rPr>
          <w:rFonts w:ascii="QCF_P095" w:hAnsi="QCF_P095" w:cs="QCF_P095" w:hint="cs"/>
          <w:noProof w:val="0"/>
          <w:rtl/>
          <w:lang w:eastAsia="en-US"/>
        </w:rPr>
        <w:t xml:space="preserve"> </w:t>
      </w:r>
      <w:r w:rsidR="00735180" w:rsidRPr="00DA1A7D">
        <w:rPr>
          <w:rFonts w:ascii="QCF_P095" w:hAnsi="QCF_P095" w:cs="QCF_P095"/>
          <w:noProof w:val="0"/>
          <w:rtl/>
          <w:lang w:eastAsia="en-US"/>
        </w:rPr>
        <w:t>ﮨﮩ</w:t>
      </w:r>
      <w:r w:rsidR="00735180" w:rsidRPr="00DA1A7D">
        <w:rPr>
          <w:rFonts w:ascii="QCF_BSML" w:hAnsi="QCF_BSML" w:cs="QCF_BSML"/>
          <w:noProof w:val="0"/>
          <w:rtl/>
          <w:lang w:eastAsia="en-US"/>
        </w:rPr>
        <w:t>ﭼ</w:t>
      </w:r>
      <w:bookmarkEnd w:id="427"/>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النساء: ١٠٣</w:t>
      </w:r>
      <w:r w:rsidRPr="00C85F0F">
        <w:rPr>
          <w:rFonts w:ascii="Traditional Arabic" w:hAnsi="Traditional Arabic" w:hint="cs"/>
          <w:noProof w:val="0"/>
          <w:color w:val="auto"/>
          <w:rtl/>
          <w:lang w:eastAsia="en-US"/>
        </w:rPr>
        <w:t>].</w:t>
      </w:r>
    </w:p>
    <w:p w:rsidR="00D25F15" w:rsidRPr="00C85F0F" w:rsidRDefault="00D25F15" w:rsidP="00597C20">
      <w:pPr>
        <w:pStyle w:val="afc"/>
        <w:widowControl/>
        <w:autoSpaceDE w:val="0"/>
        <w:autoSpaceDN w:val="0"/>
        <w:adjustRightInd w:val="0"/>
        <w:ind w:left="1080" w:firstLine="0"/>
        <w:rPr>
          <w:rFonts w:ascii="Traditional Arabic" w:hAnsi="Traditional Arabic"/>
          <w:noProof w:val="0"/>
          <w:rtl/>
          <w:lang w:eastAsia="en-US"/>
        </w:rPr>
      </w:pPr>
      <w:r w:rsidRPr="00C85F0F">
        <w:rPr>
          <w:rFonts w:ascii="Traditional Arabic" w:hAnsi="Traditional Arabic"/>
          <w:noProof w:val="0"/>
          <w:rtl/>
          <w:lang w:eastAsia="en-US"/>
        </w:rPr>
        <w:t>ودليل انتفاء المان</w:t>
      </w:r>
      <w:r w:rsidRPr="00C85F0F">
        <w:rPr>
          <w:rFonts w:ascii="Traditional Arabic" w:hAnsi="Traditional Arabic" w:hint="cs"/>
          <w:noProof w:val="0"/>
          <w:rtl/>
          <w:lang w:eastAsia="en-US"/>
        </w:rPr>
        <w:t>ع</w:t>
      </w:r>
      <w:r w:rsidRPr="00C85F0F">
        <w:rPr>
          <w:rFonts w:ascii="Traditional Arabic" w:hAnsi="Traditional Arabic"/>
          <w:noProof w:val="0"/>
          <w:rtl/>
          <w:lang w:eastAsia="en-US"/>
        </w:rPr>
        <w:t xml:space="preserve"> في الصلاة قوله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noProof w:val="0"/>
          <w:rtl/>
          <w:lang w:eastAsia="en-US"/>
        </w:rPr>
        <w:t xml:space="preserve"> " لا </w:t>
      </w:r>
      <w:r w:rsidRPr="00C85F0F">
        <w:rPr>
          <w:rFonts w:ascii="Traditional Arabic" w:hAnsi="Traditional Arabic" w:hint="cs"/>
          <w:noProof w:val="0"/>
          <w:rtl/>
          <w:lang w:eastAsia="en-US"/>
        </w:rPr>
        <w:t>تُ</w:t>
      </w:r>
      <w:r w:rsidRPr="00C85F0F">
        <w:rPr>
          <w:rFonts w:ascii="Traditional Arabic" w:hAnsi="Traditional Arabic"/>
          <w:noProof w:val="0"/>
          <w:rtl/>
          <w:lang w:eastAsia="en-US"/>
        </w:rPr>
        <w:t>قب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001F09B4">
        <w:rPr>
          <w:rFonts w:ascii="Traditional Arabic" w:hAnsi="Traditional Arabic" w:hint="cs"/>
          <w:noProof w:val="0"/>
          <w:rtl/>
          <w:lang w:eastAsia="en-US"/>
        </w:rPr>
        <w:t xml:space="preserve"> </w:t>
      </w:r>
      <w:r w:rsidRPr="00C85F0F">
        <w:rPr>
          <w:rFonts w:ascii="Traditional Arabic" w:hAnsi="Traditional Arabic"/>
          <w:noProof w:val="0"/>
          <w:rtl/>
          <w:lang w:eastAsia="en-US"/>
        </w:rPr>
        <w:t>صلاة</w:t>
      </w:r>
      <w:r w:rsidRPr="00C85F0F">
        <w:rPr>
          <w:rFonts w:ascii="Traditional Arabic" w:hAnsi="Traditional Arabic" w:hint="cs"/>
          <w:noProof w:val="0"/>
          <w:rtl/>
          <w:lang w:eastAsia="en-US"/>
        </w:rPr>
        <w:t>ُ</w:t>
      </w:r>
      <w:r w:rsidR="00AE48CB">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 xml:space="preserve">مَن </w:t>
      </w:r>
      <w:r w:rsidRPr="00C85F0F">
        <w:rPr>
          <w:rFonts w:ascii="Traditional Arabic" w:hAnsi="Traditional Arabic"/>
          <w:noProof w:val="0"/>
          <w:rtl/>
          <w:lang w:eastAsia="en-US"/>
        </w:rPr>
        <w:t>أ</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َث</w:t>
      </w:r>
      <w:r w:rsidRPr="00C85F0F">
        <w:rPr>
          <w:rFonts w:ascii="Traditional Arabic" w:hAnsi="Traditional Arabic"/>
          <w:noProof w:val="0"/>
          <w:rtl/>
          <w:lang w:eastAsia="en-US"/>
        </w:rPr>
        <w:t xml:space="preserve"> حتى يتوضأ "</w:t>
      </w:r>
      <w:r w:rsidRPr="00C85F0F">
        <w:rPr>
          <w:rStyle w:val="af1"/>
          <w:szCs w:val="32"/>
          <w:rtl/>
        </w:rPr>
        <w:t>(</w:t>
      </w:r>
      <w:r w:rsidRPr="00C85F0F">
        <w:rPr>
          <w:rStyle w:val="af1"/>
          <w:szCs w:val="32"/>
          <w:rtl/>
        </w:rPr>
        <w:footnoteReference w:id="1988"/>
      </w:r>
      <w:r w:rsidRPr="00C85F0F">
        <w:rPr>
          <w:rStyle w:val="af1"/>
          <w:szCs w:val="32"/>
          <w:rtl/>
        </w:rPr>
        <w:t>)</w:t>
      </w:r>
      <w:r w:rsidRPr="00C85F0F">
        <w:rPr>
          <w:rFonts w:ascii="Traditional Arabic" w:hAnsi="Traditional Arabic" w:hint="cs"/>
          <w:noProof w:val="0"/>
          <w:rtl/>
          <w:lang w:eastAsia="en-US"/>
        </w:rPr>
        <w:t>.</w:t>
      </w:r>
    </w:p>
    <w:p w:rsidR="00D25F15" w:rsidRPr="00C85F0F" w:rsidRDefault="00D25F15" w:rsidP="00597C20">
      <w:pPr>
        <w:pStyle w:val="afc"/>
        <w:widowControl/>
        <w:autoSpaceDE w:val="0"/>
        <w:autoSpaceDN w:val="0"/>
        <w:adjustRightInd w:val="0"/>
        <w:ind w:left="1080" w:firstLine="0"/>
        <w:jc w:val="left"/>
        <w:rPr>
          <w:rFonts w:ascii="Traditional Arabic" w:hAnsi="Traditional Arabic"/>
          <w:noProof w:val="0"/>
          <w:rtl/>
          <w:lang w:eastAsia="en-US"/>
        </w:rPr>
      </w:pPr>
      <w:r w:rsidRPr="00C85F0F">
        <w:rPr>
          <w:rFonts w:ascii="Traditional Arabic" w:hAnsi="Traditional Arabic"/>
          <w:noProof w:val="0"/>
          <w:rtl/>
          <w:lang w:eastAsia="en-US"/>
        </w:rPr>
        <w:t xml:space="preserve">ودليل الشرط في البيوع قوله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noProof w:val="0"/>
          <w:rtl/>
          <w:lang w:eastAsia="en-US"/>
        </w:rPr>
        <w:t>:</w:t>
      </w:r>
      <w:r w:rsidR="00E9258C">
        <w:rPr>
          <w:rFonts w:ascii="Traditional Arabic" w:hAnsi="Traditional Arabic" w:hint="cs"/>
          <w:noProof w:val="0"/>
          <w:rtl/>
          <w:lang w:eastAsia="en-US"/>
        </w:rPr>
        <w:t xml:space="preserve"> </w:t>
      </w:r>
      <w:r w:rsidRPr="00C85F0F">
        <w:rPr>
          <w:rFonts w:ascii="Traditional Arabic" w:hAnsi="Traditional Arabic"/>
          <w:noProof w:val="0"/>
          <w:rtl/>
          <w:lang w:eastAsia="en-US"/>
        </w:rPr>
        <w:t>"لا 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ما ليس عندك"</w:t>
      </w:r>
      <w:r w:rsidRPr="00C85F0F">
        <w:rPr>
          <w:rStyle w:val="af1"/>
          <w:szCs w:val="32"/>
          <w:rtl/>
        </w:rPr>
        <w:t>(</w:t>
      </w:r>
      <w:r w:rsidRPr="00C85F0F">
        <w:rPr>
          <w:rStyle w:val="af1"/>
          <w:szCs w:val="32"/>
          <w:rtl/>
        </w:rPr>
        <w:footnoteReference w:id="1989"/>
      </w:r>
      <w:r w:rsidRPr="00C85F0F">
        <w:rPr>
          <w:rStyle w:val="af1"/>
          <w:szCs w:val="32"/>
          <w:rtl/>
        </w:rPr>
        <w:t>)</w:t>
      </w:r>
      <w:r w:rsidRPr="00C85F0F">
        <w:rPr>
          <w:rFonts w:ascii="Traditional Arabic" w:hAnsi="Traditional Arabic"/>
          <w:noProof w:val="0"/>
          <w:rtl/>
          <w:lang w:eastAsia="en-US"/>
        </w:rPr>
        <w:t>.</w:t>
      </w:r>
    </w:p>
    <w:p w:rsidR="00F228A9" w:rsidRPr="00C85F0F" w:rsidRDefault="00D25F15" w:rsidP="00597C20">
      <w:pPr>
        <w:pStyle w:val="afc"/>
        <w:widowControl/>
        <w:autoSpaceDE w:val="0"/>
        <w:autoSpaceDN w:val="0"/>
        <w:adjustRightInd w:val="0"/>
        <w:ind w:left="1080" w:firstLine="0"/>
        <w:rPr>
          <w:rFonts w:ascii="Arial" w:hAnsi="Arial" w:cs="Arial"/>
          <w:noProof w:val="0"/>
          <w:color w:val="808000"/>
          <w:sz w:val="26"/>
          <w:szCs w:val="26"/>
          <w:rtl/>
          <w:lang w:eastAsia="en-US"/>
        </w:rPr>
      </w:pPr>
      <w:r w:rsidRPr="00C85F0F">
        <w:rPr>
          <w:rFonts w:ascii="Traditional Arabic" w:hAnsi="Traditional Arabic"/>
          <w:noProof w:val="0"/>
          <w:rtl/>
          <w:lang w:eastAsia="en-US"/>
        </w:rPr>
        <w:lastRenderedPageBreak/>
        <w:t>ودليل ان</w:t>
      </w:r>
      <w:r w:rsidR="00E9258C">
        <w:rPr>
          <w:rFonts w:ascii="Traditional Arabic" w:hAnsi="Traditional Arabic"/>
          <w:noProof w:val="0"/>
          <w:rtl/>
          <w:lang w:eastAsia="en-US"/>
        </w:rPr>
        <w:t>تفاء المانع في البيع قوله تعالى</w:t>
      </w:r>
      <w:r w:rsidRPr="00C85F0F">
        <w:rPr>
          <w:rFonts w:ascii="Traditional Arabic" w:hAnsi="Traditional Arabic"/>
          <w:noProof w:val="0"/>
          <w:rtl/>
          <w:lang w:eastAsia="en-US"/>
        </w:rPr>
        <w:t>:</w:t>
      </w:r>
      <w:bookmarkStart w:id="428" w:name="سورة_الجمعة_9"/>
      <w:r w:rsidR="001F09B4">
        <w:rPr>
          <w:rFonts w:ascii="QCF_BSML" w:hAnsi="QCF_BSML" w:cs="QCF_BSML" w:hint="cs"/>
          <w:noProof w:val="0"/>
          <w:rtl/>
          <w:lang w:eastAsia="en-US"/>
        </w:rPr>
        <w:t xml:space="preserve">  </w:t>
      </w:r>
      <w:r w:rsidR="00E9258C">
        <w:rPr>
          <w:rFonts w:ascii="QCF_BSML" w:hAnsi="QCF_BSML" w:cs="QCF_BSML" w:hint="cs"/>
          <w:noProof w:val="0"/>
          <w:rtl/>
          <w:lang w:eastAsia="en-US"/>
        </w:rPr>
        <w:t xml:space="preserve"> </w:t>
      </w:r>
      <w:r w:rsidR="00735180" w:rsidRPr="00CA2029">
        <w:rPr>
          <w:rFonts w:ascii="QCF_BSML" w:hAnsi="QCF_BSML" w:cs="QCF_BSML"/>
          <w:noProof w:val="0"/>
          <w:rtl/>
          <w:lang w:eastAsia="en-US"/>
        </w:rPr>
        <w:t>ﭽ</w:t>
      </w:r>
      <w:r w:rsidR="00735180" w:rsidRPr="00CA2029">
        <w:rPr>
          <w:rFonts w:ascii="QCF_P554" w:hAnsi="QCF_P554" w:cs="QCF_P554"/>
          <w:noProof w:val="0"/>
          <w:rtl/>
          <w:lang w:eastAsia="en-US"/>
        </w:rPr>
        <w:t>ﭑ</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ﭒ</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ﭓ</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ﭔ</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ﭕ</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ﭖ</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ﭗ</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ﭘ</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ﭙ</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ﭚ</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ﭛ</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ﭜ</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ﭝ</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ﭞ</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ﭟ</w:t>
      </w:r>
      <w:r w:rsidR="001F09B4">
        <w:rPr>
          <w:rFonts w:ascii="QCF_P554" w:hAnsi="QCF_P554" w:cs="QCF_P554" w:hint="cs"/>
          <w:noProof w:val="0"/>
          <w:rtl/>
          <w:lang w:eastAsia="en-US"/>
        </w:rPr>
        <w:t xml:space="preserve"> </w:t>
      </w:r>
      <w:r w:rsidR="00735180" w:rsidRPr="00CA2029">
        <w:rPr>
          <w:rFonts w:ascii="QCF_P554" w:hAnsi="QCF_P554" w:cs="QCF_P554"/>
          <w:noProof w:val="0"/>
          <w:color w:val="0000A5"/>
          <w:rtl/>
          <w:lang w:eastAsia="en-US"/>
        </w:rPr>
        <w:t>ﭠ</w:t>
      </w:r>
      <w:r w:rsidR="001F09B4">
        <w:rPr>
          <w:rFonts w:ascii="QCF_P554" w:hAnsi="QCF_P554" w:cs="QCF_P554" w:hint="cs"/>
          <w:noProof w:val="0"/>
          <w:color w:val="0000A5"/>
          <w:rtl/>
          <w:lang w:eastAsia="en-US"/>
        </w:rPr>
        <w:t xml:space="preserve"> </w:t>
      </w:r>
      <w:r w:rsidR="00735180" w:rsidRPr="00CA2029">
        <w:rPr>
          <w:rFonts w:ascii="QCF_P554" w:hAnsi="QCF_P554" w:cs="QCF_P554"/>
          <w:noProof w:val="0"/>
          <w:rtl/>
          <w:lang w:eastAsia="en-US"/>
        </w:rPr>
        <w:t>ﭡﭢ</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ﭣ</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ﭤ</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ﭥ</w:t>
      </w:r>
      <w:r w:rsidR="001F09B4">
        <w:rPr>
          <w:rFonts w:ascii="QCF_P554" w:hAnsi="QCF_P554" w:cs="QCF_P554" w:hint="cs"/>
          <w:noProof w:val="0"/>
          <w:rtl/>
          <w:lang w:eastAsia="en-US"/>
        </w:rPr>
        <w:t xml:space="preserve"> </w:t>
      </w:r>
      <w:r w:rsidR="00735180" w:rsidRPr="00CA2029">
        <w:rPr>
          <w:rFonts w:ascii="QCF_P554" w:hAnsi="QCF_P554" w:cs="QCF_P554"/>
          <w:noProof w:val="0"/>
          <w:rtl/>
          <w:lang w:eastAsia="en-US"/>
        </w:rPr>
        <w:t>ﭦ</w:t>
      </w:r>
      <w:r w:rsidR="00735180" w:rsidRPr="00CA2029">
        <w:rPr>
          <w:rFonts w:ascii="QCF_BSML" w:hAnsi="QCF_BSML" w:cs="QCF_BSML"/>
          <w:noProof w:val="0"/>
          <w:rtl/>
          <w:lang w:eastAsia="en-US"/>
        </w:rPr>
        <w:t>ﭼ</w:t>
      </w:r>
      <w:bookmarkEnd w:id="428"/>
      <w:r w:rsidRPr="00C85F0F">
        <w:rPr>
          <w:rFonts w:ascii="Traditional Arabic" w:hAnsi="Traditional Arabic"/>
          <w:noProof w:val="0"/>
          <w:color w:val="auto"/>
          <w:rtl/>
          <w:lang w:eastAsia="en-US"/>
        </w:rPr>
        <w:t>[الجمعة: ٩</w:t>
      </w:r>
      <w:r w:rsidRPr="00C85F0F">
        <w:rPr>
          <w:rFonts w:ascii="Traditional Arabic" w:hAnsi="Traditional Arabic"/>
          <w:noProof w:val="0"/>
          <w:color w:val="808000"/>
          <w:rtl/>
          <w:lang w:eastAsia="en-US"/>
        </w:rPr>
        <w:t>]</w:t>
      </w:r>
      <w:r w:rsidRPr="00C85F0F">
        <w:rPr>
          <w:rStyle w:val="af1"/>
          <w:szCs w:val="32"/>
          <w:rtl/>
        </w:rPr>
        <w:t>(</w:t>
      </w:r>
      <w:r w:rsidRPr="00C85F0F">
        <w:rPr>
          <w:rStyle w:val="af1"/>
          <w:szCs w:val="32"/>
          <w:rtl/>
        </w:rPr>
        <w:footnoteReference w:id="1990"/>
      </w:r>
      <w:r w:rsidRPr="00C85F0F">
        <w:rPr>
          <w:rStyle w:val="af1"/>
          <w:szCs w:val="32"/>
          <w:rtl/>
        </w:rPr>
        <w:t>)</w:t>
      </w:r>
      <w:r w:rsidRPr="00C85F0F">
        <w:rPr>
          <w:rFonts w:ascii="Arial" w:hAnsi="Arial" w:hint="cs"/>
          <w:noProof w:val="0"/>
          <w:color w:val="808000"/>
          <w:sz w:val="26"/>
          <w:szCs w:val="26"/>
          <w:rtl/>
          <w:lang w:eastAsia="en-US"/>
        </w:rPr>
        <w:t>.</w:t>
      </w:r>
    </w:p>
    <w:p w:rsidR="00F228A9" w:rsidRPr="00C85F0F" w:rsidRDefault="001F09B4" w:rsidP="00A8347C">
      <w:pPr>
        <w:pStyle w:val="aff3"/>
        <w:rPr>
          <w:rtl/>
        </w:rPr>
      </w:pPr>
      <w:bookmarkStart w:id="429" w:name="_Toc334046609"/>
      <w:r>
        <w:rPr>
          <w:rFonts w:hint="cs"/>
          <w:rtl/>
        </w:rPr>
        <w:t xml:space="preserve">                                            </w:t>
      </w:r>
      <w:r w:rsidR="00F228A9" w:rsidRPr="00C85F0F">
        <w:rPr>
          <w:rFonts w:hint="cs"/>
          <w:rtl/>
        </w:rPr>
        <w:t>المطلب الرابع</w:t>
      </w:r>
      <w:r w:rsidR="00F228A9" w:rsidRPr="00C85F0F">
        <w:rPr>
          <w:rFonts w:hint="eastAsia"/>
          <w:rtl/>
        </w:rPr>
        <w:t> :</w:t>
      </w:r>
      <w:r w:rsidR="00F228A9" w:rsidRPr="00C85F0F">
        <w:rPr>
          <w:rFonts w:hint="cs"/>
          <w:rtl/>
        </w:rPr>
        <w:br/>
      </w:r>
      <w:r>
        <w:rPr>
          <w:rFonts w:hint="cs"/>
          <w:rtl/>
        </w:rPr>
        <w:t xml:space="preserve">                                           </w:t>
      </w:r>
      <w:r w:rsidR="00F228A9" w:rsidRPr="00C85F0F">
        <w:rPr>
          <w:rFonts w:hint="cs"/>
          <w:rtl/>
        </w:rPr>
        <w:t>تطبيقات القاعدة</w:t>
      </w:r>
      <w:bookmarkEnd w:id="429"/>
    </w:p>
    <w:p w:rsidR="00F228A9" w:rsidRPr="00C85F0F" w:rsidRDefault="00D25F15" w:rsidP="000A76C7">
      <w:pPr>
        <w:pStyle w:val="afc"/>
        <w:widowControl/>
        <w:numPr>
          <w:ilvl w:val="0"/>
          <w:numId w:val="273"/>
        </w:numPr>
        <w:autoSpaceDE w:val="0"/>
        <w:autoSpaceDN w:val="0"/>
        <w:adjustRightInd w:val="0"/>
        <w:rPr>
          <w:rFonts w:ascii="Traditional Arabic" w:hAnsi="Traditional Arabic"/>
        </w:rPr>
      </w:pPr>
      <w:r w:rsidRPr="00C85F0F">
        <w:rPr>
          <w:rFonts w:ascii="Traditional Arabic" w:hAnsi="Traditional Arabic" w:hint="cs"/>
          <w:noProof w:val="0"/>
          <w:rtl/>
          <w:lang w:eastAsia="en-US"/>
        </w:rPr>
        <w:t xml:space="preserve">لا تصحُّ </w:t>
      </w:r>
      <w:r w:rsidRPr="00C85F0F">
        <w:rPr>
          <w:rFonts w:ascii="Traditional Arabic" w:hAnsi="Traditional Arabic"/>
          <w:noProof w:val="0"/>
          <w:rtl/>
          <w:lang w:eastAsia="en-US"/>
        </w:rPr>
        <w:t>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والة</w:t>
      </w:r>
      <w:r w:rsidRPr="00C85F0F">
        <w:rPr>
          <w:rFonts w:ascii="Traditional Arabic" w:hAnsi="Traditional Arabic" w:hint="cs"/>
          <w:noProof w:val="0"/>
          <w:rtl/>
          <w:lang w:eastAsia="en-US"/>
        </w:rPr>
        <w:t xml:space="preserve"> إلا </w:t>
      </w:r>
      <w:r w:rsidRPr="00C85F0F">
        <w:rPr>
          <w:rFonts w:ascii="Traditional Arabic" w:hAnsi="Traditional Arabic"/>
          <w:noProof w:val="0"/>
          <w:rtl/>
          <w:lang w:eastAsia="en-US"/>
        </w:rPr>
        <w:t>بت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مام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الشروط وانتفاء</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الموانع</w:t>
      </w:r>
      <w:r w:rsidRPr="00C85F0F">
        <w:rPr>
          <w:rFonts w:ascii="Traditional Arabic" w:hAnsi="Traditional Arabic" w:hint="cs"/>
          <w:noProof w:val="0"/>
          <w:rtl/>
          <w:lang w:eastAsia="en-US"/>
        </w:rPr>
        <w:t xml:space="preserve">، </w:t>
      </w:r>
      <w:r w:rsidRPr="00C85F0F">
        <w:rPr>
          <w:rFonts w:ascii="Traditional Arabic" w:hAnsi="Traditional Arabic"/>
          <w:noProof w:val="0"/>
          <w:rtl/>
          <w:lang w:eastAsia="en-US"/>
        </w:rPr>
        <w:t>فإذا 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 الحق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من ذ</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 الم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حيل إلى ذمة ال</w:t>
      </w:r>
      <w:r w:rsidR="001F09B4">
        <w:rPr>
          <w:rFonts w:ascii="Traditional Arabic" w:hAnsi="Traditional Arabic" w:hint="cs"/>
          <w:noProof w:val="0"/>
          <w:rtl/>
          <w:lang w:eastAsia="en-US"/>
        </w:rPr>
        <w:t>ْ</w:t>
      </w:r>
      <w:r w:rsidRPr="00C85F0F">
        <w:rPr>
          <w:rFonts w:ascii="Traditional Arabic" w:hAnsi="Traditional Arabic"/>
          <w:noProof w:val="0"/>
          <w:rtl/>
          <w:lang w:eastAsia="en-US"/>
        </w:rPr>
        <w:t>م</w:t>
      </w:r>
      <w:r w:rsidR="001F09B4">
        <w:rPr>
          <w:rFonts w:ascii="Traditional Arabic" w:hAnsi="Traditional Arabic" w:hint="cs"/>
          <w:noProof w:val="0"/>
          <w:rtl/>
          <w:lang w:eastAsia="en-US"/>
        </w:rPr>
        <w:t>ُ</w:t>
      </w:r>
      <w:r w:rsidRPr="00C85F0F">
        <w:rPr>
          <w:rFonts w:ascii="Traditional Arabic" w:hAnsi="Traditional Arabic"/>
          <w:noProof w:val="0"/>
          <w:rtl/>
          <w:lang w:eastAsia="en-US"/>
        </w:rPr>
        <w:t>حال عليه، وب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ئ ال</w:t>
      </w:r>
      <w:r w:rsidR="001F09B4">
        <w:rPr>
          <w:rFonts w:ascii="Traditional Arabic" w:hAnsi="Traditional Arabic" w:hint="cs"/>
          <w:noProof w:val="0"/>
          <w:rtl/>
          <w:lang w:eastAsia="en-US"/>
        </w:rPr>
        <w:t>ْ</w:t>
      </w:r>
      <w:r w:rsidRPr="00C85F0F">
        <w:rPr>
          <w:rFonts w:ascii="Traditional Arabic" w:hAnsi="Traditional Arabic"/>
          <w:noProof w:val="0"/>
          <w:rtl/>
          <w:lang w:eastAsia="en-US"/>
        </w:rPr>
        <w:t>م</w:t>
      </w:r>
      <w:r w:rsidR="001F09B4">
        <w:rPr>
          <w:rFonts w:ascii="Traditional Arabic" w:hAnsi="Traditional Arabic" w:hint="cs"/>
          <w:noProof w:val="0"/>
          <w:rtl/>
          <w:lang w:eastAsia="en-US"/>
        </w:rPr>
        <w:t>ُ</w:t>
      </w:r>
      <w:r w:rsidRPr="00C85F0F">
        <w:rPr>
          <w:rFonts w:ascii="Traditional Arabic" w:hAnsi="Traditional Arabic"/>
          <w:noProof w:val="0"/>
          <w:rtl/>
          <w:lang w:eastAsia="en-US"/>
        </w:rPr>
        <w:t>حيل 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راءة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تام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1991"/>
      </w:r>
      <w:r w:rsidRPr="00C85F0F">
        <w:rPr>
          <w:rStyle w:val="af1"/>
          <w:szCs w:val="32"/>
          <w:rtl/>
        </w:rPr>
        <w:t>)</w:t>
      </w:r>
      <w:r w:rsidRPr="00C85F0F">
        <w:rPr>
          <w:rFonts w:ascii="Traditional Arabic" w:hAnsi="Traditional Arabic" w:hint="cs"/>
          <w:noProof w:val="0"/>
          <w:rtl/>
          <w:lang w:eastAsia="en-US"/>
        </w:rPr>
        <w:t>.</w:t>
      </w:r>
    </w:p>
    <w:p w:rsidR="00D25F15" w:rsidRPr="00C85F0F" w:rsidRDefault="00D25F15" w:rsidP="00FD3233">
      <w:pPr>
        <w:pStyle w:val="53"/>
        <w:rPr>
          <w:rtl/>
        </w:rPr>
      </w:pPr>
      <w:r w:rsidRPr="00C85F0F">
        <w:rPr>
          <w:rFonts w:hint="cs"/>
          <w:rtl/>
        </w:rPr>
        <w:t>وجه اندراج الفرع تحت القاعدة:</w:t>
      </w:r>
    </w:p>
    <w:p w:rsidR="00D25F15" w:rsidRPr="00C85F0F" w:rsidRDefault="001F09B4" w:rsidP="00597C20">
      <w:pPr>
        <w:widowControl/>
        <w:autoSpaceDE w:val="0"/>
        <w:autoSpaceDN w:val="0"/>
        <w:adjustRightInd w:val="0"/>
        <w:ind w:firstLine="720"/>
        <w:rPr>
          <w:rFonts w:ascii="Traditional Arabic" w:hAnsi="Traditional Arabic"/>
          <w:rtl/>
        </w:rPr>
      </w:pPr>
      <w:r>
        <w:rPr>
          <w:rFonts w:ascii="Traditional Arabic" w:hAnsi="Traditional Arabic" w:hint="cs"/>
          <w:rtl/>
        </w:rPr>
        <w:t>إ</w:t>
      </w:r>
      <w:r w:rsidR="00D25F15" w:rsidRPr="00C85F0F">
        <w:rPr>
          <w:rFonts w:ascii="Traditional Arabic" w:hAnsi="Traditional Arabic" w:hint="cs"/>
          <w:rtl/>
        </w:rPr>
        <w:t xml:space="preserve">ن الحوالة من عقود الإرفاق في المعاملات، ولا تصحُّ إلا باجتماع الشروط وانتفاء الموانع؛ </w:t>
      </w:r>
      <w:r w:rsidR="00D25F15" w:rsidRPr="00C85F0F">
        <w:rPr>
          <w:rFonts w:ascii="Traditional Arabic" w:hAnsi="Traditional Arabic"/>
          <w:noProof w:val="0"/>
          <w:rtl/>
          <w:lang w:eastAsia="en-US"/>
        </w:rPr>
        <w:t>لأن كل</w:t>
      </w:r>
      <w:r>
        <w:rPr>
          <w:rFonts w:ascii="Traditional Arabic" w:hAnsi="Traditional Arabic" w:hint="cs"/>
          <w:noProof w:val="0"/>
          <w:rtl/>
          <w:lang w:eastAsia="en-US"/>
        </w:rPr>
        <w:t xml:space="preserve"> </w:t>
      </w:r>
      <w:r w:rsidR="00D25F15" w:rsidRPr="00C85F0F">
        <w:rPr>
          <w:rFonts w:ascii="Traditional Arabic" w:hAnsi="Traditional Arabic"/>
          <w:noProof w:val="0"/>
          <w:rtl/>
          <w:lang w:eastAsia="en-US"/>
        </w:rPr>
        <w:t>شيء</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من عبادة</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أو معاملة</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لا يصح</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إلا باجتماع</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شروطه وانتفاء</w:t>
      </w:r>
      <w:r w:rsidR="00D25F15" w:rsidRPr="00C85F0F">
        <w:rPr>
          <w:rFonts w:ascii="Traditional Arabic" w:hAnsi="Traditional Arabic" w:hint="cs"/>
          <w:noProof w:val="0"/>
          <w:rtl/>
          <w:lang w:eastAsia="en-US"/>
        </w:rPr>
        <w:t>ِ</w:t>
      </w:r>
      <w:r w:rsidR="00D25F15" w:rsidRPr="00C85F0F">
        <w:rPr>
          <w:rFonts w:ascii="Traditional Arabic" w:hAnsi="Traditional Arabic"/>
          <w:noProof w:val="0"/>
          <w:rtl/>
          <w:lang w:eastAsia="en-US"/>
        </w:rPr>
        <w:t xml:space="preserve"> موانعه</w:t>
      </w:r>
      <w:r w:rsidR="00D25F15" w:rsidRPr="00C85F0F">
        <w:rPr>
          <w:rStyle w:val="af1"/>
          <w:szCs w:val="32"/>
          <w:rtl/>
        </w:rPr>
        <w:t>(</w:t>
      </w:r>
      <w:r w:rsidR="00D25F15" w:rsidRPr="00C85F0F">
        <w:rPr>
          <w:rStyle w:val="af1"/>
          <w:szCs w:val="32"/>
          <w:rtl/>
        </w:rPr>
        <w:footnoteReference w:id="1992"/>
      </w:r>
      <w:r w:rsidR="00D25F15" w:rsidRPr="00C85F0F">
        <w:rPr>
          <w:rStyle w:val="af1"/>
          <w:szCs w:val="32"/>
          <w:rtl/>
        </w:rPr>
        <w:t>)</w:t>
      </w:r>
      <w:r w:rsidR="00D25F15" w:rsidRPr="00C85F0F">
        <w:rPr>
          <w:rFonts w:ascii="Traditional Arabic" w:hAnsi="Traditional Arabic" w:hint="cs"/>
          <w:rtl/>
        </w:rPr>
        <w:t>.</w:t>
      </w:r>
    </w:p>
    <w:p w:rsidR="00065E4B" w:rsidRPr="00C85F0F" w:rsidRDefault="00D25F15" w:rsidP="000A76C7">
      <w:pPr>
        <w:pStyle w:val="afc"/>
        <w:widowControl/>
        <w:numPr>
          <w:ilvl w:val="0"/>
          <w:numId w:val="273"/>
        </w:numPr>
        <w:autoSpaceDE w:val="0"/>
        <w:autoSpaceDN w:val="0"/>
        <w:adjustRightInd w:val="0"/>
        <w:rPr>
          <w:rFonts w:ascii="Traditional Arabic" w:hAnsi="Traditional Arabic"/>
          <w:noProof w:val="0"/>
          <w:sz w:val="44"/>
          <w:szCs w:val="44"/>
          <w:rtl/>
          <w:lang w:eastAsia="en-US"/>
        </w:rPr>
      </w:pPr>
      <w:r w:rsidRPr="00C85F0F">
        <w:rPr>
          <w:rFonts w:ascii="Traditional Arabic" w:hAnsi="Traditional Arabic" w:hint="cs"/>
          <w:rtl/>
        </w:rPr>
        <w:t>إذا اشترط المشتري على البائع شرطاً فاسداً لا يعود على العقد بالإبطال، فإن العقد يكون صحيحاً ويفسد الشرط، كما لو اشترط ألا خسارةَ عليه</w:t>
      </w:r>
      <w:r w:rsidRPr="00C85F0F">
        <w:rPr>
          <w:rFonts w:ascii="Traditional Arabic" w:hAnsi="Traditional Arabic"/>
          <w:noProof w:val="0"/>
          <w:color w:val="auto"/>
          <w:rtl/>
          <w:lang w:eastAsia="en-US"/>
        </w:rPr>
        <w:t>،</w:t>
      </w:r>
      <w:r w:rsidRPr="00C85F0F">
        <w:rPr>
          <w:rFonts w:ascii="Traditional Arabic" w:hAnsi="Traditional Arabic"/>
          <w:noProof w:val="0"/>
          <w:rtl/>
          <w:lang w:eastAsia="en-US"/>
        </w:rPr>
        <w:t>فهذا الشرط لا يصح؛ لأنه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خال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تضى العقد؛ لأن</w:t>
      </w:r>
      <w:r w:rsidR="00476BE8">
        <w:rPr>
          <w:rFonts w:ascii="Traditional Arabic" w:hAnsi="Traditional Arabic" w:hint="cs"/>
          <w:noProof w:val="0"/>
          <w:rtl/>
          <w:lang w:eastAsia="en-US"/>
        </w:rPr>
        <w:t xml:space="preserve"> </w:t>
      </w:r>
      <w:r w:rsidRPr="00C85F0F">
        <w:rPr>
          <w:rFonts w:ascii="Traditional Arabic" w:hAnsi="Traditional Arabic"/>
          <w:noProof w:val="0"/>
          <w:rtl/>
          <w:lang w:eastAsia="en-US"/>
        </w:rPr>
        <w:t>مقتضى العقد أن المشتري يملك المبيع فله 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وعليه</w:t>
      </w:r>
      <w:r w:rsidR="009A12E9">
        <w:rPr>
          <w:rFonts w:ascii="Traditional Arabic" w:hAnsi="Traditional Arabic" w:hint="cs"/>
          <w:noProof w:val="0"/>
          <w:rtl/>
          <w:lang w:eastAsia="en-US"/>
        </w:rPr>
        <w:t xml:space="preserve"> </w:t>
      </w:r>
      <w:r w:rsidRPr="00C85F0F">
        <w:rPr>
          <w:rFonts w:ascii="Traditional Arabic" w:hAnsi="Traditional Arabic"/>
          <w:noProof w:val="0"/>
          <w:rtl/>
          <w:lang w:eastAsia="en-US"/>
        </w:rPr>
        <w:t>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ومعلوم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أنه لو ربح هذا المبيع فالربح للمشتري بلا شك، ف</w:t>
      </w:r>
      <w:r w:rsidRPr="00C85F0F">
        <w:rPr>
          <w:rFonts w:ascii="Traditional Arabic" w:hAnsi="Traditional Arabic" w:hint="cs"/>
          <w:noProof w:val="0"/>
          <w:rtl/>
          <w:lang w:eastAsia="en-US"/>
        </w:rPr>
        <w:t>كذلك الخسارة تكون عليه،</w:t>
      </w:r>
      <w:r w:rsidRPr="00C85F0F">
        <w:rPr>
          <w:rFonts w:ascii="Traditional Arabic" w:hAnsi="Traditional Arabic"/>
          <w:noProof w:val="0"/>
          <w:rtl/>
          <w:lang w:eastAsia="en-US"/>
        </w:rPr>
        <w:t xml:space="preserve"> فلا يصح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أن يشتر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 الخسارة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البائع</w:t>
      </w:r>
      <w:r w:rsidRPr="00C85F0F">
        <w:rPr>
          <w:rStyle w:val="af1"/>
          <w:szCs w:val="32"/>
          <w:rtl/>
        </w:rPr>
        <w:t>(</w:t>
      </w:r>
      <w:r w:rsidRPr="00C85F0F">
        <w:rPr>
          <w:rStyle w:val="af1"/>
          <w:szCs w:val="32"/>
          <w:rtl/>
        </w:rPr>
        <w:footnoteReference w:id="1993"/>
      </w:r>
      <w:r w:rsidRPr="00C85F0F">
        <w:rPr>
          <w:rStyle w:val="af1"/>
          <w:szCs w:val="32"/>
          <w:rtl/>
        </w:rPr>
        <w:t>)</w:t>
      </w:r>
      <w:r w:rsidRPr="00C85F0F">
        <w:rPr>
          <w:rFonts w:ascii="Traditional Arabic" w:hAnsi="Traditional Arabic"/>
          <w:noProof w:val="0"/>
          <w:rtl/>
          <w:lang w:eastAsia="en-US"/>
        </w:rPr>
        <w:t>.</w:t>
      </w:r>
    </w:p>
    <w:p w:rsidR="00065E4B" w:rsidRPr="00C85F0F" w:rsidRDefault="00065E4B" w:rsidP="00FD3233">
      <w:pPr>
        <w:pStyle w:val="53"/>
        <w:rPr>
          <w:noProof w:val="0"/>
          <w:sz w:val="44"/>
          <w:szCs w:val="44"/>
          <w:rtl/>
        </w:rPr>
      </w:pPr>
      <w:r w:rsidRPr="00C85F0F">
        <w:rPr>
          <w:rFonts w:hint="cs"/>
          <w:rtl/>
        </w:rPr>
        <w:lastRenderedPageBreak/>
        <w:t>و</w:t>
      </w:r>
      <w:r w:rsidR="00D25F15" w:rsidRPr="00C85F0F">
        <w:rPr>
          <w:rFonts w:hint="cs"/>
          <w:rtl/>
        </w:rPr>
        <w:t>جه اندراج الفرع تحت القاعدة:</w:t>
      </w:r>
    </w:p>
    <w:p w:rsidR="00D25F15" w:rsidRDefault="009A12E9"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إ</w:t>
      </w:r>
      <w:r w:rsidR="00D25F15" w:rsidRPr="00C85F0F">
        <w:rPr>
          <w:rFonts w:ascii="Traditional Arabic" w:hAnsi="Traditional Arabic" w:hint="cs"/>
          <w:noProof w:val="0"/>
          <w:rtl/>
          <w:lang w:eastAsia="en-US"/>
        </w:rPr>
        <w:t>ن هذا الشرط غير مفسدٍ للعقد، فيبطل الشرط، ويبقى العقد صحيحاً، والقاعدة أن الأشياء لا تتمُّ إلا باجتماع شروطها وانتفاء موانعها، ولا يمكن إبطال العقد هنا مع توفُّر شروطه، انتفاء موانعه.</w:t>
      </w:r>
    </w:p>
    <w:p w:rsidR="00D53ACD" w:rsidRPr="00D53ACD" w:rsidRDefault="00D53ACD" w:rsidP="00476BE8">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D816CC" w:rsidRPr="00C85F0F" w:rsidRDefault="00D816CC" w:rsidP="000F5C0F">
      <w:pPr>
        <w:pStyle w:val="aff2"/>
        <w:rPr>
          <w:rtl/>
        </w:rPr>
      </w:pPr>
      <w:bookmarkStart w:id="430" w:name="_Toc334046610"/>
      <w:r w:rsidRPr="00C85F0F">
        <w:rPr>
          <w:rFonts w:hint="cs"/>
          <w:rtl/>
        </w:rPr>
        <w:lastRenderedPageBreak/>
        <w:t>المبحث الثامن</w:t>
      </w:r>
      <w:r w:rsidRPr="00C85F0F">
        <w:rPr>
          <w:rFonts w:hint="eastAsia"/>
          <w:rtl/>
        </w:rPr>
        <w:t> </w:t>
      </w:r>
      <w:r w:rsidRPr="00C85F0F">
        <w:rPr>
          <w:rFonts w:hint="cs"/>
          <w:rtl/>
        </w:rPr>
        <w:t>:</w:t>
      </w:r>
      <w:r w:rsidRPr="00C85F0F">
        <w:rPr>
          <w:rtl/>
        </w:rPr>
        <w:br/>
      </w:r>
      <w:r w:rsidRPr="00C85F0F">
        <w:rPr>
          <w:rFonts w:hint="cs"/>
          <w:rtl/>
        </w:rPr>
        <w:t>قاعدة</w:t>
      </w:r>
      <w:r w:rsidRPr="00C85F0F">
        <w:rPr>
          <w:rtl/>
        </w:rPr>
        <w:br/>
      </w:r>
      <w:r w:rsidR="007A0DDE" w:rsidRPr="00C85F0F">
        <w:rPr>
          <w:rFonts w:hint="cs"/>
          <w:rtl/>
        </w:rPr>
        <w:t>"المشقة تجلب التيسير</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المشقةتجلبالتيسير</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7A0DDE" w:rsidRPr="00C85F0F">
        <w:rPr>
          <w:rFonts w:hint="cs"/>
          <w:rtl/>
        </w:rPr>
        <w:t>"</w:t>
      </w:r>
      <w:bookmarkEnd w:id="430"/>
      <w:r w:rsidR="00866D70" w:rsidRPr="00173F8B">
        <w:rPr>
          <w:rFonts w:hint="cs"/>
          <w:b w:val="0"/>
          <w:bCs w:val="0"/>
          <w:vertAlign w:val="superscript"/>
          <w:rtl/>
        </w:rPr>
        <w:t>(</w:t>
      </w:r>
      <w:r w:rsidR="00007A1E" w:rsidRPr="00173F8B">
        <w:rPr>
          <w:rStyle w:val="af1"/>
          <w:b w:val="0"/>
          <w:bCs w:val="0"/>
          <w:rtl/>
        </w:rPr>
        <w:footnoteReference w:id="1994"/>
      </w:r>
      <w:r w:rsidR="00866D70" w:rsidRPr="00173F8B">
        <w:rPr>
          <w:rFonts w:hint="cs"/>
          <w:b w:val="0"/>
          <w:bCs w:val="0"/>
          <w:vertAlign w:val="superscript"/>
          <w:rtl/>
        </w:rPr>
        <w:t>)</w:t>
      </w:r>
    </w:p>
    <w:p w:rsidR="007A0DDE" w:rsidRPr="00C85F0F" w:rsidRDefault="00D53ACD" w:rsidP="00A8347C">
      <w:pPr>
        <w:pStyle w:val="aff3"/>
        <w:rPr>
          <w:rtl/>
        </w:rPr>
      </w:pPr>
      <w:bookmarkStart w:id="431" w:name="_Toc334046611"/>
      <w:r>
        <w:rPr>
          <w:rFonts w:hint="cs"/>
          <w:rtl/>
        </w:rPr>
        <w:t xml:space="preserve">                   </w:t>
      </w:r>
      <w:r w:rsidR="00007A1E">
        <w:rPr>
          <w:rFonts w:hint="cs"/>
          <w:rtl/>
        </w:rPr>
        <w:t xml:space="preserve">                        </w:t>
      </w:r>
      <w:r w:rsidR="007A0DDE" w:rsidRPr="00C85F0F">
        <w:rPr>
          <w:rFonts w:hint="cs"/>
          <w:rtl/>
        </w:rPr>
        <w:t>المطلب الأول</w:t>
      </w:r>
      <w:r w:rsidR="007A0DDE" w:rsidRPr="00C85F0F">
        <w:rPr>
          <w:rFonts w:hint="eastAsia"/>
          <w:rtl/>
        </w:rPr>
        <w:t> </w:t>
      </w:r>
      <w:r w:rsidR="007A0DDE" w:rsidRPr="00C85F0F">
        <w:rPr>
          <w:rFonts w:hint="cs"/>
          <w:rtl/>
        </w:rPr>
        <w:t>:</w:t>
      </w:r>
      <w:r w:rsidR="007A0DDE" w:rsidRPr="00C85F0F">
        <w:rPr>
          <w:rFonts w:hint="cs"/>
          <w:rtl/>
        </w:rPr>
        <w:br/>
      </w:r>
      <w:r>
        <w:rPr>
          <w:rFonts w:hint="cs"/>
          <w:rtl/>
        </w:rPr>
        <w:t xml:space="preserve">              </w:t>
      </w:r>
      <w:r w:rsidR="0062426F">
        <w:rPr>
          <w:rFonts w:hint="cs"/>
          <w:rtl/>
        </w:rPr>
        <w:t xml:space="preserve">           </w:t>
      </w:r>
      <w:r w:rsidR="007A0DDE" w:rsidRPr="00C85F0F">
        <w:rPr>
          <w:rtl/>
        </w:rPr>
        <w:t>صيغ القاعدة عند الشيخ وعند علماء القواعد:</w:t>
      </w:r>
      <w:bookmarkEnd w:id="431"/>
    </w:p>
    <w:p w:rsidR="00866D70" w:rsidRPr="00C85F0F" w:rsidRDefault="0062426F" w:rsidP="0062426F">
      <w:pPr>
        <w:ind w:firstLine="0"/>
        <w:rPr>
          <w:rFonts w:ascii="Traditional Arabic" w:hAnsi="Traditional Arabic"/>
          <w:rtl/>
        </w:rPr>
      </w:pPr>
      <w:r>
        <w:rPr>
          <w:rFonts w:ascii="Traditional Arabic" w:hAnsi="Traditional Arabic" w:hint="cs"/>
          <w:rtl/>
        </w:rPr>
        <w:t xml:space="preserve">    </w:t>
      </w:r>
      <w:r w:rsidR="007A0DDE" w:rsidRPr="00C85F0F">
        <w:rPr>
          <w:rFonts w:ascii="Traditional Arabic" w:hAnsi="Traditional Arabic"/>
          <w:rtl/>
        </w:rPr>
        <w:t xml:space="preserve">وردت هذه القاعدة عند الشيخ ابن عثيمين </w:t>
      </w:r>
      <w:r w:rsidR="007A0DDE" w:rsidRPr="00C85F0F">
        <w:rPr>
          <w:rFonts w:ascii="Traditional Arabic" w:hAnsi="Traditional Arabic" w:hint="cs"/>
          <w:rtl/>
        </w:rPr>
        <w:t>-</w:t>
      </w:r>
      <w:r w:rsidR="009A0575" w:rsidRPr="005D5694">
        <w:rPr>
          <w:rFonts w:ascii="Traditional Arabic" w:hAnsi="Traditional Arabic" w:cs="CTraditional Arabic" w:hint="cs"/>
          <w:rtl/>
        </w:rPr>
        <w:t>/</w:t>
      </w:r>
      <w:r w:rsidR="007A0DDE" w:rsidRPr="00C85F0F">
        <w:rPr>
          <w:rFonts w:ascii="Traditional Arabic" w:hAnsi="Traditional Arabic" w:hint="cs"/>
          <w:rtl/>
        </w:rPr>
        <w:t>-</w:t>
      </w:r>
      <w:r w:rsidR="00866D70">
        <w:rPr>
          <w:rFonts w:ascii="Traditional Arabic" w:hAnsi="Traditional Arabic"/>
          <w:rtl/>
        </w:rPr>
        <w:t xml:space="preserve"> ب</w:t>
      </w:r>
      <w:r w:rsidR="00866D70">
        <w:rPr>
          <w:rFonts w:ascii="Traditional Arabic" w:hAnsi="Traditional Arabic" w:hint="cs"/>
          <w:rtl/>
        </w:rPr>
        <w:t>صيغ متعددة، منها:</w:t>
      </w:r>
    </w:p>
    <w:p w:rsidR="007A0DDE" w:rsidRDefault="007A0DDE" w:rsidP="000A76C7">
      <w:pPr>
        <w:pStyle w:val="afc"/>
        <w:numPr>
          <w:ilvl w:val="0"/>
          <w:numId w:val="274"/>
        </w:numPr>
        <w:spacing w:after="200"/>
        <w:ind w:left="0" w:firstLine="567"/>
        <w:jc w:val="left"/>
        <w:rPr>
          <w:rFonts w:ascii="Traditional Arabic" w:hAnsi="Traditional Arabic"/>
        </w:rPr>
      </w:pPr>
      <w:r w:rsidRPr="00C85F0F">
        <w:rPr>
          <w:rFonts w:ascii="Traditional Arabic" w:hAnsi="Traditional Arabic"/>
          <w:rtl/>
        </w:rPr>
        <w:t xml:space="preserve">الله </w:t>
      </w:r>
      <w:r w:rsidR="00866D6A" w:rsidRPr="00C85F0F">
        <w:rPr>
          <w:rFonts w:ascii="Traditional Arabic" w:hAnsi="Traditional Arabic" w:hint="cs"/>
          <w:noProof w:val="0"/>
          <w:color w:val="auto"/>
          <w:rtl/>
          <w:lang w:eastAsia="en-US"/>
        </w:rPr>
        <w:sym w:font="AGA Arabesque" w:char="F055"/>
      </w:r>
      <w:r w:rsidR="009820D6">
        <w:rPr>
          <w:rFonts w:ascii="Traditional Arabic" w:hAnsi="Traditional Arabic"/>
          <w:rtl/>
        </w:rPr>
        <w:t xml:space="preserve"> يجلب التيسير على عباد</w:t>
      </w:r>
      <w:r w:rsidR="009820D6">
        <w:rPr>
          <w:rFonts w:ascii="Traditional Arabic" w:hAnsi="Traditional Arabic" w:hint="cs"/>
          <w:rtl/>
        </w:rPr>
        <w:t>ه</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1995"/>
      </w:r>
      <w:r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9820D6" w:rsidRPr="009820D6" w:rsidRDefault="009820D6" w:rsidP="000A76C7">
      <w:pPr>
        <w:pStyle w:val="afc"/>
        <w:numPr>
          <w:ilvl w:val="0"/>
          <w:numId w:val="274"/>
        </w:numPr>
        <w:spacing w:after="200"/>
        <w:ind w:left="-1" w:firstLine="567"/>
        <w:jc w:val="left"/>
        <w:rPr>
          <w:rFonts w:ascii="Traditional Arabic" w:hAnsi="Traditional Arabic"/>
        </w:rPr>
      </w:pPr>
      <w:r w:rsidRPr="00C85F0F">
        <w:rPr>
          <w:rFonts w:ascii="Traditional Arabic" w:hAnsi="Traditional Arabic"/>
          <w:rtl/>
        </w:rPr>
        <w:lastRenderedPageBreak/>
        <w:t>ماكان فيه حرج ومشقة فإنه ي</w:t>
      </w:r>
      <w:r>
        <w:rPr>
          <w:rFonts w:ascii="Traditional Arabic" w:hAnsi="Traditional Arabic" w:hint="cs"/>
          <w:rtl/>
        </w:rPr>
        <w:t>ُ</w:t>
      </w:r>
      <w:r w:rsidRPr="00C85F0F">
        <w:rPr>
          <w:rFonts w:ascii="Traditional Arabic" w:hAnsi="Traditional Arabic"/>
          <w:rtl/>
        </w:rPr>
        <w:t>نهى عنه شرعا</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1996"/>
      </w:r>
      <w:r w:rsidRPr="00C85F0F">
        <w:rPr>
          <w:rFonts w:ascii="Traditional Arabic" w:hAnsi="Traditional Arabic" w:hint="cs"/>
          <w:szCs w:val="32"/>
          <w:vertAlign w:val="superscript"/>
          <w:rtl/>
        </w:rPr>
        <w:t>)</w:t>
      </w:r>
      <w:r w:rsidRPr="00C85F0F">
        <w:rPr>
          <w:rFonts w:ascii="Traditional Arabic" w:hAnsi="Traditional Arabic" w:hint="cs"/>
          <w:rtl/>
        </w:rPr>
        <w:t>.</w:t>
      </w:r>
    </w:p>
    <w:p w:rsidR="00866D70" w:rsidRPr="00C85F0F" w:rsidRDefault="00866D70" w:rsidP="000A76C7">
      <w:pPr>
        <w:pStyle w:val="afc"/>
        <w:numPr>
          <w:ilvl w:val="0"/>
          <w:numId w:val="274"/>
        </w:numPr>
        <w:spacing w:after="200"/>
        <w:ind w:left="0" w:firstLine="567"/>
        <w:jc w:val="left"/>
        <w:rPr>
          <w:rFonts w:ascii="Traditional Arabic" w:hAnsi="Traditional Arabic"/>
        </w:rPr>
      </w:pPr>
      <w:r>
        <w:rPr>
          <w:rFonts w:ascii="Traditional Arabic" w:hAnsi="Traditional Arabic" w:hint="cs"/>
          <w:rtl/>
        </w:rPr>
        <w:t>المشقة تجلب التيسير</w:t>
      </w:r>
      <w:r w:rsidRPr="00C85F0F">
        <w:rPr>
          <w:rFonts w:ascii="Traditional Arabic" w:hAnsi="Traditional Arabic" w:hint="cs"/>
          <w:rtl/>
        </w:rPr>
        <w:t xml:space="preserve"> </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1997"/>
      </w:r>
      <w:r w:rsidRPr="00C85F0F">
        <w:rPr>
          <w:rFonts w:ascii="Traditional Arabic" w:hAnsi="Traditional Arabic" w:hint="cs"/>
          <w:szCs w:val="32"/>
          <w:vertAlign w:val="superscript"/>
          <w:rtl/>
        </w:rPr>
        <w:t>)</w:t>
      </w:r>
      <w:r>
        <w:rPr>
          <w:rFonts w:ascii="Traditional Arabic" w:hAnsi="Traditional Arabic" w:hint="cs"/>
          <w:szCs w:val="32"/>
          <w:rtl/>
        </w:rPr>
        <w:t>.</w:t>
      </w:r>
    </w:p>
    <w:p w:rsidR="007A0DDE" w:rsidRPr="00C85F0F" w:rsidRDefault="009820D6" w:rsidP="000A76C7">
      <w:pPr>
        <w:pStyle w:val="afc"/>
        <w:numPr>
          <w:ilvl w:val="0"/>
          <w:numId w:val="274"/>
        </w:numPr>
        <w:spacing w:after="200"/>
        <w:ind w:left="-1" w:firstLine="567"/>
        <w:jc w:val="left"/>
        <w:rPr>
          <w:rFonts w:ascii="Traditional Arabic" w:hAnsi="Traditional Arabic"/>
        </w:rPr>
      </w:pPr>
      <w:r w:rsidRPr="00C85F0F">
        <w:rPr>
          <w:rFonts w:ascii="Traditional Arabic" w:hAnsi="Traditional Arabic" w:hint="cs"/>
          <w:rtl/>
        </w:rPr>
        <w:t xml:space="preserve"> </w:t>
      </w:r>
      <w:r w:rsidR="007A0DDE" w:rsidRPr="00C85F0F">
        <w:rPr>
          <w:rFonts w:ascii="Traditional Arabic" w:hAnsi="Traditional Arabic" w:hint="cs"/>
          <w:rtl/>
        </w:rPr>
        <w:t>كل حرج فإنه م</w:t>
      </w:r>
      <w:r>
        <w:rPr>
          <w:rFonts w:ascii="Traditional Arabic" w:hAnsi="Traditional Arabic" w:hint="cs"/>
          <w:rtl/>
        </w:rPr>
        <w:t>ُ</w:t>
      </w:r>
      <w:r w:rsidR="007A0DDE" w:rsidRPr="00C85F0F">
        <w:rPr>
          <w:rFonts w:ascii="Traditional Arabic" w:hAnsi="Traditional Arabic" w:hint="cs"/>
          <w:rtl/>
        </w:rPr>
        <w:t>ن</w:t>
      </w:r>
      <w:r>
        <w:rPr>
          <w:rFonts w:ascii="Traditional Arabic" w:hAnsi="Traditional Arabic" w:hint="cs"/>
          <w:rtl/>
        </w:rPr>
        <w:t>ْ</w:t>
      </w:r>
      <w:r w:rsidR="007A0DDE" w:rsidRPr="00C85F0F">
        <w:rPr>
          <w:rFonts w:ascii="Traditional Arabic" w:hAnsi="Traditional Arabic" w:hint="cs"/>
          <w:rtl/>
        </w:rPr>
        <w:t>تف</w:t>
      </w:r>
      <w:r>
        <w:rPr>
          <w:rFonts w:ascii="Traditional Arabic" w:hAnsi="Traditional Arabic" w:hint="cs"/>
          <w:rtl/>
        </w:rPr>
        <w:t>ٍ</w:t>
      </w:r>
      <w:r w:rsidR="007A0DDE" w:rsidRPr="00C85F0F">
        <w:rPr>
          <w:rFonts w:ascii="Traditional Arabic" w:hAnsi="Traditional Arabic" w:hint="cs"/>
          <w:rtl/>
        </w:rPr>
        <w:t xml:space="preserve"> شرعا</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1998"/>
      </w:r>
      <w:r w:rsidR="007A0DDE"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7A0DDE" w:rsidRPr="00C85F0F" w:rsidRDefault="009820D6" w:rsidP="000A76C7">
      <w:pPr>
        <w:pStyle w:val="afc"/>
        <w:numPr>
          <w:ilvl w:val="0"/>
          <w:numId w:val="274"/>
        </w:numPr>
        <w:spacing w:after="200"/>
        <w:ind w:left="-1" w:firstLine="567"/>
        <w:jc w:val="left"/>
        <w:rPr>
          <w:rFonts w:ascii="Traditional Arabic" w:hAnsi="Traditional Arabic"/>
        </w:rPr>
      </w:pPr>
      <w:r>
        <w:rPr>
          <w:rFonts w:ascii="Traditional Arabic" w:hAnsi="Traditional Arabic"/>
          <w:rtl/>
        </w:rPr>
        <w:t>الدين يسر</w:t>
      </w:r>
      <w:r w:rsidR="007A0DDE" w:rsidRPr="00C85F0F">
        <w:rPr>
          <w:rFonts w:ascii="Traditional Arabic" w:hAnsi="Traditional Arabic"/>
          <w:rtl/>
        </w:rPr>
        <w:t xml:space="preserve"> </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1999"/>
      </w:r>
      <w:r w:rsidR="007A0DDE"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7A0DDE" w:rsidRPr="00C85F0F" w:rsidRDefault="009820D6" w:rsidP="000A76C7">
      <w:pPr>
        <w:pStyle w:val="afc"/>
        <w:numPr>
          <w:ilvl w:val="0"/>
          <w:numId w:val="274"/>
        </w:numPr>
        <w:spacing w:after="200"/>
        <w:ind w:left="-1" w:firstLine="567"/>
        <w:jc w:val="left"/>
        <w:rPr>
          <w:rFonts w:ascii="Traditional Arabic" w:hAnsi="Traditional Arabic"/>
        </w:rPr>
      </w:pPr>
      <w:r>
        <w:rPr>
          <w:rFonts w:ascii="Traditional Arabic" w:hAnsi="Traditional Arabic"/>
          <w:rtl/>
        </w:rPr>
        <w:t>كلما و</w:t>
      </w:r>
      <w:r>
        <w:rPr>
          <w:rFonts w:ascii="Traditional Arabic" w:hAnsi="Traditional Arabic" w:hint="cs"/>
          <w:rtl/>
        </w:rPr>
        <w:t>ُ</w:t>
      </w:r>
      <w:r>
        <w:rPr>
          <w:rFonts w:ascii="Traditional Arabic" w:hAnsi="Traditional Arabic"/>
          <w:rtl/>
        </w:rPr>
        <w:t>جدت المشقة و</w:t>
      </w:r>
      <w:r>
        <w:rPr>
          <w:rFonts w:ascii="Traditional Arabic" w:hAnsi="Traditional Arabic" w:hint="cs"/>
          <w:rtl/>
        </w:rPr>
        <w:t>ُ</w:t>
      </w:r>
      <w:r>
        <w:rPr>
          <w:rFonts w:ascii="Traditional Arabic" w:hAnsi="Traditional Arabic"/>
          <w:rtl/>
        </w:rPr>
        <w:t>جد التيسير</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00"/>
      </w:r>
      <w:r w:rsidR="007A0DDE"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7A0DDE" w:rsidRPr="00C85F0F" w:rsidRDefault="009820D6" w:rsidP="000A76C7">
      <w:pPr>
        <w:pStyle w:val="afc"/>
        <w:numPr>
          <w:ilvl w:val="0"/>
          <w:numId w:val="274"/>
        </w:numPr>
        <w:spacing w:after="200"/>
        <w:ind w:left="-1" w:firstLine="567"/>
        <w:jc w:val="left"/>
        <w:rPr>
          <w:rFonts w:ascii="Traditional Arabic" w:hAnsi="Traditional Arabic"/>
        </w:rPr>
      </w:pPr>
      <w:r>
        <w:rPr>
          <w:rFonts w:ascii="Traditional Arabic" w:hAnsi="Traditional Arabic"/>
          <w:rtl/>
        </w:rPr>
        <w:t>فاج</w:t>
      </w:r>
      <w:r>
        <w:rPr>
          <w:rFonts w:ascii="Traditional Arabic" w:hAnsi="Traditional Arabic" w:hint="cs"/>
          <w:rtl/>
        </w:rPr>
        <w:t>ْ</w:t>
      </w:r>
      <w:r>
        <w:rPr>
          <w:rFonts w:ascii="Traditional Arabic" w:hAnsi="Traditional Arabic"/>
          <w:rtl/>
        </w:rPr>
        <w:t>ل</w:t>
      </w:r>
      <w:r>
        <w:rPr>
          <w:rFonts w:ascii="Traditional Arabic" w:hAnsi="Traditional Arabic" w:hint="cs"/>
          <w:rtl/>
        </w:rPr>
        <w:t>ِ</w:t>
      </w:r>
      <w:r>
        <w:rPr>
          <w:rFonts w:ascii="Traditional Arabic" w:hAnsi="Traditional Arabic"/>
          <w:rtl/>
        </w:rPr>
        <w:t>ب</w:t>
      </w:r>
      <w:r>
        <w:rPr>
          <w:rFonts w:ascii="Traditional Arabic" w:hAnsi="Traditional Arabic" w:hint="cs"/>
          <w:rtl/>
        </w:rPr>
        <w:t>ْ</w:t>
      </w:r>
      <w:r>
        <w:rPr>
          <w:rFonts w:ascii="Traditional Arabic" w:hAnsi="Traditional Arabic"/>
          <w:rtl/>
        </w:rPr>
        <w:t xml:space="preserve"> ل</w:t>
      </w:r>
      <w:r>
        <w:rPr>
          <w:rFonts w:ascii="Traditional Arabic" w:hAnsi="Traditional Arabic" w:hint="cs"/>
          <w:rtl/>
        </w:rPr>
        <w:t>ِ</w:t>
      </w:r>
      <w:r>
        <w:rPr>
          <w:rFonts w:ascii="Traditional Arabic" w:hAnsi="Traditional Arabic"/>
          <w:rtl/>
        </w:rPr>
        <w:t>تيسير</w:t>
      </w:r>
      <w:r>
        <w:rPr>
          <w:rFonts w:ascii="Traditional Arabic" w:hAnsi="Traditional Arabic" w:hint="cs"/>
          <w:rtl/>
        </w:rPr>
        <w:t>ٍ</w:t>
      </w:r>
      <w:r>
        <w:rPr>
          <w:rFonts w:ascii="Traditional Arabic" w:hAnsi="Traditional Arabic"/>
          <w:rtl/>
        </w:rPr>
        <w:t xml:space="preserve"> بكل</w:t>
      </w:r>
      <w:r>
        <w:rPr>
          <w:rFonts w:ascii="Traditional Arabic" w:hAnsi="Traditional Arabic" w:hint="cs"/>
          <w:rtl/>
        </w:rPr>
        <w:t>ِّ</w:t>
      </w:r>
      <w:r>
        <w:rPr>
          <w:rFonts w:ascii="Traditional Arabic" w:hAnsi="Traditional Arabic"/>
          <w:rtl/>
        </w:rPr>
        <w:t xml:space="preserve"> ذي ش</w:t>
      </w:r>
      <w:r>
        <w:rPr>
          <w:rFonts w:ascii="Traditional Arabic" w:hAnsi="Traditional Arabic" w:hint="cs"/>
          <w:rtl/>
        </w:rPr>
        <w:t>َ</w:t>
      </w:r>
      <w:r>
        <w:rPr>
          <w:rFonts w:ascii="Traditional Arabic" w:hAnsi="Traditional Arabic"/>
          <w:rtl/>
        </w:rPr>
        <w:t>ط</w:t>
      </w:r>
      <w:r>
        <w:rPr>
          <w:rFonts w:ascii="Traditional Arabic" w:hAnsi="Traditional Arabic" w:hint="cs"/>
          <w:rtl/>
        </w:rPr>
        <w:t>َ</w:t>
      </w:r>
      <w:r>
        <w:rPr>
          <w:rFonts w:ascii="Traditional Arabic" w:hAnsi="Traditional Arabic"/>
          <w:rtl/>
        </w:rPr>
        <w:t>ط</w:t>
      </w:r>
      <w:r>
        <w:rPr>
          <w:rFonts w:ascii="Traditional Arabic" w:hAnsi="Traditional Arabic" w:hint="cs"/>
          <w:rtl/>
        </w:rPr>
        <w:t xml:space="preserve">     فليس في الدين الحنيف مِن شطط</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01"/>
      </w:r>
      <w:r w:rsidR="007A0DDE"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065E4B" w:rsidRPr="00C85F0F" w:rsidRDefault="0062426F" w:rsidP="00866D70">
      <w:pPr>
        <w:ind w:firstLine="0"/>
        <w:rPr>
          <w:rFonts w:ascii="Traditional Arabic" w:hAnsi="Traditional Arabic"/>
        </w:rPr>
      </w:pPr>
      <w:r>
        <w:rPr>
          <w:rFonts w:ascii="Traditional Arabic" w:hAnsi="Traditional Arabic" w:hint="cs"/>
          <w:rtl/>
        </w:rPr>
        <w:t xml:space="preserve">    </w:t>
      </w:r>
      <w:r w:rsidR="00866D70">
        <w:rPr>
          <w:rFonts w:ascii="Traditional Arabic" w:hAnsi="Traditional Arabic" w:hint="cs"/>
          <w:rtl/>
        </w:rPr>
        <w:t>و</w:t>
      </w:r>
      <w:r w:rsidR="007A0DDE" w:rsidRPr="00C85F0F">
        <w:rPr>
          <w:rFonts w:ascii="Traditional Arabic" w:hAnsi="Traditional Arabic" w:hint="cs"/>
          <w:rtl/>
        </w:rPr>
        <w:t>أورد العلماء هذه القاعدة في مصنفاتهم بصيغ متنوعة،</w:t>
      </w:r>
      <w:r w:rsidR="00866D70">
        <w:rPr>
          <w:rFonts w:ascii="Traditional Arabic" w:hAnsi="Traditional Arabic" w:hint="cs"/>
          <w:rtl/>
        </w:rPr>
        <w:t xml:space="preserve"> </w:t>
      </w:r>
      <w:r w:rsidR="007A0DDE" w:rsidRPr="00C85F0F">
        <w:rPr>
          <w:rFonts w:ascii="Traditional Arabic" w:hAnsi="Traditional Arabic" w:hint="cs"/>
          <w:rtl/>
        </w:rPr>
        <w:t>منها:</w:t>
      </w:r>
    </w:p>
    <w:p w:rsidR="00EA6198" w:rsidRPr="0062426F" w:rsidRDefault="007A0DDE" w:rsidP="0062426F">
      <w:pPr>
        <w:pStyle w:val="afc"/>
        <w:numPr>
          <w:ilvl w:val="0"/>
          <w:numId w:val="274"/>
        </w:numPr>
        <w:spacing w:after="200"/>
        <w:ind w:left="-1" w:firstLine="567"/>
        <w:jc w:val="left"/>
        <w:rPr>
          <w:rFonts w:ascii="Traditional Arabic" w:hAnsi="Traditional Arabic"/>
        </w:rPr>
      </w:pPr>
      <w:r w:rsidRPr="00C85F0F">
        <w:rPr>
          <w:rFonts w:ascii="Traditional Arabic" w:hAnsi="Traditional Arabic"/>
          <w:rtl/>
        </w:rPr>
        <w:t>المشقة تجلب التيسير</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2002"/>
      </w:r>
      <w:r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7A0DDE" w:rsidRPr="00C85F0F" w:rsidRDefault="007A0DDE" w:rsidP="000A76C7">
      <w:pPr>
        <w:pStyle w:val="afc"/>
        <w:numPr>
          <w:ilvl w:val="0"/>
          <w:numId w:val="274"/>
        </w:numPr>
        <w:spacing w:after="200"/>
        <w:ind w:left="-1" w:firstLine="567"/>
        <w:jc w:val="left"/>
        <w:rPr>
          <w:rFonts w:ascii="Traditional Arabic" w:hAnsi="Traditional Arabic"/>
        </w:rPr>
      </w:pPr>
      <w:r w:rsidRPr="00C85F0F">
        <w:rPr>
          <w:rFonts w:ascii="Traditional Arabic" w:hAnsi="Traditional Arabic"/>
          <w:rtl/>
        </w:rPr>
        <w:t xml:space="preserve">إذا ضاق الأمر </w:t>
      </w:r>
      <w:r w:rsidRPr="00C85F0F">
        <w:rPr>
          <w:rFonts w:ascii="Traditional Arabic" w:hAnsi="Traditional Arabic" w:hint="cs"/>
          <w:rtl/>
        </w:rPr>
        <w:t>ا</w:t>
      </w:r>
      <w:r w:rsidRPr="00C85F0F">
        <w:rPr>
          <w:rFonts w:ascii="Traditional Arabic" w:hAnsi="Traditional Arabic"/>
          <w:rtl/>
        </w:rPr>
        <w:t>ت</w:t>
      </w:r>
      <w:r w:rsidR="009820D6">
        <w:rPr>
          <w:rFonts w:ascii="Traditional Arabic" w:hAnsi="Traditional Arabic" w:hint="cs"/>
          <w:rtl/>
        </w:rPr>
        <w:t>َّ</w:t>
      </w:r>
      <w:r w:rsidRPr="00C85F0F">
        <w:rPr>
          <w:rFonts w:ascii="Traditional Arabic" w:hAnsi="Traditional Arabic"/>
          <w:rtl/>
        </w:rPr>
        <w:t>سع</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2003"/>
      </w:r>
      <w:r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7A0DDE" w:rsidRPr="00C85F0F" w:rsidRDefault="007A0DDE" w:rsidP="000A76C7">
      <w:pPr>
        <w:pStyle w:val="afc"/>
        <w:numPr>
          <w:ilvl w:val="0"/>
          <w:numId w:val="274"/>
        </w:numPr>
        <w:spacing w:after="200"/>
        <w:ind w:left="-1" w:firstLine="567"/>
        <w:jc w:val="left"/>
        <w:rPr>
          <w:rtl/>
        </w:rPr>
      </w:pPr>
      <w:r w:rsidRPr="00C85F0F">
        <w:rPr>
          <w:rFonts w:ascii="Traditional Arabic" w:hAnsi="Traditional Arabic"/>
          <w:rtl/>
        </w:rPr>
        <w:lastRenderedPageBreak/>
        <w:t>الحرج مرفوع</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2004"/>
      </w:r>
      <w:r w:rsidRPr="00C85F0F">
        <w:rPr>
          <w:rFonts w:ascii="Traditional Arabic" w:hAnsi="Traditional Arabic" w:hint="cs"/>
          <w:szCs w:val="32"/>
          <w:vertAlign w:val="superscript"/>
          <w:rtl/>
        </w:rPr>
        <w:t>)</w:t>
      </w:r>
      <w:r w:rsidR="00B76414" w:rsidRPr="00C85F0F">
        <w:rPr>
          <w:rFonts w:hint="cs"/>
          <w:rtl/>
        </w:rPr>
        <w:t>.</w:t>
      </w:r>
    </w:p>
    <w:p w:rsidR="007A0DDE" w:rsidRPr="00C85F0F" w:rsidRDefault="00EA6198" w:rsidP="00A8347C">
      <w:pPr>
        <w:pStyle w:val="aff3"/>
      </w:pPr>
      <w:bookmarkStart w:id="432" w:name="_Toc334046612"/>
      <w:r>
        <w:rPr>
          <w:rFonts w:hint="cs"/>
          <w:rtl/>
        </w:rPr>
        <w:t xml:space="preserve">                                          </w:t>
      </w:r>
      <w:r w:rsidR="007A0DDE" w:rsidRPr="00C85F0F">
        <w:rPr>
          <w:rFonts w:hint="cs"/>
          <w:rtl/>
        </w:rPr>
        <w:t>المطلب الثاني</w:t>
      </w:r>
      <w:r w:rsidR="007A0DDE" w:rsidRPr="00C85F0F">
        <w:rPr>
          <w:rFonts w:hint="eastAsia"/>
          <w:rtl/>
        </w:rPr>
        <w:t> :</w:t>
      </w:r>
      <w:r w:rsidR="007A0DDE" w:rsidRPr="00C85F0F">
        <w:rPr>
          <w:rFonts w:hint="cs"/>
          <w:rtl/>
        </w:rPr>
        <w:br/>
      </w:r>
      <w:r>
        <w:rPr>
          <w:rFonts w:hint="cs"/>
          <w:rtl/>
        </w:rPr>
        <w:t xml:space="preserve">                                         </w:t>
      </w:r>
      <w:r w:rsidR="007A0DDE" w:rsidRPr="00C85F0F">
        <w:rPr>
          <w:rtl/>
        </w:rPr>
        <w:t>شرح القاعــــــــــــــــدة</w:t>
      </w:r>
      <w:bookmarkEnd w:id="432"/>
    </w:p>
    <w:p w:rsidR="0034438E" w:rsidRPr="009D0E52" w:rsidRDefault="007A0DDE" w:rsidP="00597C20">
      <w:pPr>
        <w:pStyle w:val="53"/>
        <w:rPr>
          <w:rtl/>
        </w:rPr>
      </w:pPr>
      <w:r w:rsidRPr="009D0E52">
        <w:rPr>
          <w:rtl/>
        </w:rPr>
        <w:t>المشقة</w:t>
      </w:r>
      <w:r w:rsidR="00AB0B9E">
        <w:rPr>
          <w:rtl/>
        </w:rPr>
        <w:fldChar w:fldCharType="begin"/>
      </w:r>
      <w:r w:rsidR="009D0E52">
        <w:instrText xml:space="preserve"> XE "</w:instrText>
      </w:r>
      <w:r w:rsidR="009D0E52" w:rsidRPr="009D0E52">
        <w:rPr>
          <w:b w:val="0"/>
          <w:bCs w:val="0"/>
          <w:rtl/>
        </w:rPr>
        <w:instrText>المشقة</w:instrText>
      </w:r>
      <w:r w:rsidR="009D0E52">
        <w:instrText xml:space="preserve">" </w:instrText>
      </w:r>
      <w:r w:rsidR="009D0E52" w:rsidRPr="009D0E52">
        <w:instrText xml:space="preserve">\fm </w:instrText>
      </w:r>
      <w:r w:rsidR="00AB0B9E">
        <w:rPr>
          <w:rtl/>
        </w:rPr>
        <w:fldChar w:fldCharType="end"/>
      </w:r>
      <w:r w:rsidR="00EA6198">
        <w:rPr>
          <w:rtl/>
        </w:rPr>
        <w:t xml:space="preserve"> لغة</w:t>
      </w:r>
      <w:r w:rsidRPr="009D0E52">
        <w:rPr>
          <w:rtl/>
        </w:rPr>
        <w:t>:</w:t>
      </w:r>
    </w:p>
    <w:p w:rsidR="007A0DDE" w:rsidRPr="00C85F0F" w:rsidRDefault="007A0DDE" w:rsidP="00597C20">
      <w:pPr>
        <w:spacing w:before="240"/>
        <w:ind w:firstLine="720"/>
        <w:rPr>
          <w:rFonts w:ascii="Traditional Arabic" w:hAnsi="Traditional Arabic"/>
          <w:rtl/>
        </w:rPr>
      </w:pPr>
      <w:r w:rsidRPr="00C85F0F">
        <w:rPr>
          <w:rFonts w:ascii="Traditional Arabic" w:hAnsi="Traditional Arabic"/>
          <w:rtl/>
        </w:rPr>
        <w:t>الج</w:t>
      </w:r>
      <w:r w:rsidR="00EA6198">
        <w:rPr>
          <w:rFonts w:ascii="Traditional Arabic" w:hAnsi="Traditional Arabic" w:hint="cs"/>
          <w:rtl/>
        </w:rPr>
        <w:t>َ</w:t>
      </w:r>
      <w:r w:rsidRPr="00C85F0F">
        <w:rPr>
          <w:rFonts w:ascii="Traditional Arabic" w:hAnsi="Traditional Arabic"/>
          <w:rtl/>
        </w:rPr>
        <w:t>ه</w:t>
      </w:r>
      <w:r w:rsidR="00EA6198">
        <w:rPr>
          <w:rFonts w:ascii="Traditional Arabic" w:hAnsi="Traditional Arabic" w:hint="cs"/>
          <w:rtl/>
        </w:rPr>
        <w:t>ْ</w:t>
      </w:r>
      <w:r w:rsidRPr="00C85F0F">
        <w:rPr>
          <w:rFonts w:ascii="Traditional Arabic" w:hAnsi="Traditional Arabic"/>
          <w:rtl/>
        </w:rPr>
        <w:t>د والع</w:t>
      </w:r>
      <w:r w:rsidR="00EA6198">
        <w:rPr>
          <w:rFonts w:ascii="Traditional Arabic" w:hAnsi="Traditional Arabic" w:hint="cs"/>
          <w:rtl/>
        </w:rPr>
        <w:t>َ</w:t>
      </w:r>
      <w:r w:rsidRPr="00C85F0F">
        <w:rPr>
          <w:rFonts w:ascii="Traditional Arabic" w:hAnsi="Traditional Arabic"/>
          <w:rtl/>
        </w:rPr>
        <w:t>ناء</w:t>
      </w:r>
      <w:r w:rsidR="00B76414" w:rsidRPr="00C85F0F">
        <w:rPr>
          <w:rFonts w:ascii="Traditional Arabic" w:hAnsi="Traditional Arabic"/>
          <w:rtl/>
        </w:rPr>
        <w:t>،</w:t>
      </w:r>
      <w:r w:rsidR="00EA6198">
        <w:rPr>
          <w:rFonts w:ascii="Traditional Arabic" w:hAnsi="Traditional Arabic" w:hint="cs"/>
          <w:rtl/>
        </w:rPr>
        <w:t xml:space="preserve"> </w:t>
      </w:r>
      <w:r w:rsidRPr="00C85F0F">
        <w:rPr>
          <w:rFonts w:ascii="Traditional Arabic" w:hAnsi="Traditional Arabic"/>
          <w:rtl/>
        </w:rPr>
        <w:t>والص</w:t>
      </w:r>
      <w:r w:rsidR="00EA6198">
        <w:rPr>
          <w:rFonts w:ascii="Traditional Arabic" w:hAnsi="Traditional Arabic" w:hint="cs"/>
          <w:rtl/>
        </w:rPr>
        <w:t>ُّ</w:t>
      </w:r>
      <w:r w:rsidRPr="00C85F0F">
        <w:rPr>
          <w:rFonts w:ascii="Traditional Arabic" w:hAnsi="Traditional Arabic"/>
          <w:rtl/>
        </w:rPr>
        <w:t>عوبة وخلاف الس</w:t>
      </w:r>
      <w:r w:rsidR="00CD56C4">
        <w:rPr>
          <w:rFonts w:ascii="Traditional Arabic" w:hAnsi="Traditional Arabic" w:hint="cs"/>
          <w:rtl/>
        </w:rPr>
        <w:t>ُّ</w:t>
      </w:r>
      <w:r w:rsidRPr="00C85F0F">
        <w:rPr>
          <w:rFonts w:ascii="Traditional Arabic" w:hAnsi="Traditional Arabic"/>
          <w:rtl/>
        </w:rPr>
        <w:t>هولة</w:t>
      </w:r>
      <w:r w:rsidR="00B76414" w:rsidRPr="00C85F0F">
        <w:rPr>
          <w:rFonts w:ascii="Traditional Arabic" w:hAnsi="Traditional Arabic"/>
          <w:rtl/>
        </w:rPr>
        <w:t>،</w:t>
      </w:r>
      <w:r w:rsidR="00EA6198">
        <w:rPr>
          <w:rFonts w:ascii="Traditional Arabic" w:hAnsi="Traditional Arabic" w:hint="cs"/>
          <w:rtl/>
        </w:rPr>
        <w:t xml:space="preserve"> </w:t>
      </w:r>
      <w:r w:rsidRPr="00C85F0F">
        <w:rPr>
          <w:rFonts w:ascii="Traditional Arabic" w:hAnsi="Traditional Arabic"/>
          <w:rtl/>
        </w:rPr>
        <w:t>والث</w:t>
      </w:r>
      <w:r w:rsidR="00EA6198">
        <w:rPr>
          <w:rFonts w:ascii="Traditional Arabic" w:hAnsi="Traditional Arabic" w:hint="cs"/>
          <w:rtl/>
        </w:rPr>
        <w:t>ِّ</w:t>
      </w:r>
      <w:r w:rsidRPr="00C85F0F">
        <w:rPr>
          <w:rFonts w:ascii="Traditional Arabic" w:hAnsi="Traditional Arabic"/>
          <w:rtl/>
        </w:rPr>
        <w:t>ق</w:t>
      </w:r>
      <w:r w:rsidR="00EA6198">
        <w:rPr>
          <w:rFonts w:ascii="Traditional Arabic" w:hAnsi="Traditional Arabic" w:hint="cs"/>
          <w:rtl/>
        </w:rPr>
        <w:t>َ</w:t>
      </w:r>
      <w:r w:rsidRPr="00C85F0F">
        <w:rPr>
          <w:rFonts w:ascii="Traditional Arabic" w:hAnsi="Traditional Arabic"/>
          <w:rtl/>
        </w:rPr>
        <w:t>ل والش</w:t>
      </w:r>
      <w:r w:rsidR="00EA6198">
        <w:rPr>
          <w:rFonts w:ascii="Traditional Arabic" w:hAnsi="Traditional Arabic" w:hint="cs"/>
          <w:rtl/>
        </w:rPr>
        <w:t>ِّ</w:t>
      </w:r>
      <w:r w:rsidRPr="00C85F0F">
        <w:rPr>
          <w:rFonts w:ascii="Traditional Arabic" w:hAnsi="Traditional Arabic"/>
          <w:rtl/>
        </w:rPr>
        <w:t>دة والحر</w:t>
      </w:r>
      <w:r w:rsidR="00EA6198">
        <w:rPr>
          <w:rFonts w:ascii="Traditional Arabic" w:hAnsi="Traditional Arabic" w:hint="cs"/>
          <w:rtl/>
        </w:rPr>
        <w:t>َ</w:t>
      </w:r>
      <w:r w:rsidRPr="00C85F0F">
        <w:rPr>
          <w:rFonts w:ascii="Traditional Arabic" w:hAnsi="Traditional Arabic"/>
          <w:rtl/>
        </w:rPr>
        <w:t>ج</w:t>
      </w:r>
      <w:r w:rsidR="00B76414" w:rsidRPr="00C85F0F">
        <w:rPr>
          <w:rFonts w:ascii="Traditional Arabic" w:hAnsi="Traditional Arabic"/>
          <w:rtl/>
        </w:rPr>
        <w:t>،</w:t>
      </w:r>
      <w:r w:rsidR="00EA6198">
        <w:rPr>
          <w:rFonts w:ascii="Traditional Arabic" w:hAnsi="Traditional Arabic" w:hint="cs"/>
          <w:rtl/>
        </w:rPr>
        <w:t xml:space="preserve"> </w:t>
      </w:r>
      <w:r w:rsidRPr="00C85F0F">
        <w:rPr>
          <w:rFonts w:ascii="Traditional Arabic" w:hAnsi="Traditional Arabic"/>
          <w:rtl/>
        </w:rPr>
        <w:t>وال</w:t>
      </w:r>
      <w:r w:rsidRPr="00C85F0F">
        <w:rPr>
          <w:rFonts w:ascii="Traditional Arabic" w:hAnsi="Traditional Arabic" w:hint="cs"/>
          <w:rtl/>
        </w:rPr>
        <w:t>ا</w:t>
      </w:r>
      <w:r w:rsidRPr="00C85F0F">
        <w:rPr>
          <w:rFonts w:ascii="Traditional Arabic" w:hAnsi="Traditional Arabic"/>
          <w:rtl/>
        </w:rPr>
        <w:t>نكسار الذي ي</w:t>
      </w:r>
      <w:r w:rsidR="00EA6198">
        <w:rPr>
          <w:rFonts w:ascii="Traditional Arabic" w:hAnsi="Traditional Arabic" w:hint="cs"/>
          <w:rtl/>
        </w:rPr>
        <w:t>َ</w:t>
      </w:r>
      <w:r w:rsidRPr="00C85F0F">
        <w:rPr>
          <w:rFonts w:ascii="Traditional Arabic" w:hAnsi="Traditional Arabic"/>
          <w:rtl/>
        </w:rPr>
        <w:t>ل</w:t>
      </w:r>
      <w:r w:rsidR="00EA6198">
        <w:rPr>
          <w:rFonts w:ascii="Traditional Arabic" w:hAnsi="Traditional Arabic" w:hint="cs"/>
          <w:rtl/>
        </w:rPr>
        <w:t>ْ</w:t>
      </w:r>
      <w:r w:rsidRPr="00C85F0F">
        <w:rPr>
          <w:rFonts w:ascii="Traditional Arabic" w:hAnsi="Traditional Arabic"/>
          <w:rtl/>
        </w:rPr>
        <w:t>ح</w:t>
      </w:r>
      <w:r w:rsidR="00EA6198">
        <w:rPr>
          <w:rFonts w:ascii="Traditional Arabic" w:hAnsi="Traditional Arabic" w:hint="cs"/>
          <w:rtl/>
        </w:rPr>
        <w:t>َ</w:t>
      </w:r>
      <w:r w:rsidRPr="00C85F0F">
        <w:rPr>
          <w:rFonts w:ascii="Traditional Arabic" w:hAnsi="Traditional Arabic"/>
          <w:rtl/>
        </w:rPr>
        <w:t>ق النفس</w:t>
      </w:r>
      <w:r w:rsidR="00EA6198">
        <w:rPr>
          <w:rFonts w:ascii="Traditional Arabic" w:hAnsi="Traditional Arabic" w:hint="cs"/>
          <w:rtl/>
        </w:rPr>
        <w:t xml:space="preserve"> </w:t>
      </w:r>
      <w:r w:rsidRPr="00C85F0F">
        <w:rPr>
          <w:rFonts w:ascii="Traditional Arabic" w:hAnsi="Traditional Arabic"/>
          <w:rtl/>
        </w:rPr>
        <w:t>والبدن</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2005"/>
      </w:r>
      <w:r w:rsidRPr="00C85F0F">
        <w:rPr>
          <w:rFonts w:ascii="Traditional Arabic" w:hAnsi="Traditional Arabic" w:hint="cs"/>
          <w:szCs w:val="32"/>
          <w:vertAlign w:val="superscript"/>
          <w:rtl/>
        </w:rPr>
        <w:t>)</w:t>
      </w:r>
      <w:r w:rsidRPr="00C85F0F">
        <w:rPr>
          <w:rFonts w:ascii="Traditional Arabic" w:hAnsi="Traditional Arabic" w:hint="cs"/>
          <w:rtl/>
        </w:rPr>
        <w:t>.</w:t>
      </w:r>
    </w:p>
    <w:p w:rsidR="0034438E" w:rsidRPr="009D0E52" w:rsidRDefault="007A0DDE" w:rsidP="00597C20">
      <w:pPr>
        <w:pStyle w:val="53"/>
        <w:rPr>
          <w:rtl/>
        </w:rPr>
      </w:pPr>
      <w:r w:rsidRPr="009D0E52">
        <w:rPr>
          <w:rtl/>
        </w:rPr>
        <w:t>المشقة</w:t>
      </w:r>
      <w:r w:rsidR="00D53ACD">
        <w:rPr>
          <w:rFonts w:hint="cs"/>
          <w:rtl/>
        </w:rPr>
        <w:t xml:space="preserve"> </w:t>
      </w:r>
      <w:r w:rsidRPr="009D0E52">
        <w:rPr>
          <w:rtl/>
        </w:rPr>
        <w:t>اصطلاحا</w:t>
      </w:r>
      <w:r w:rsidRPr="009D0E52">
        <w:rPr>
          <w:rFonts w:hint="cs"/>
          <w:rtl/>
        </w:rPr>
        <w:t>:</w:t>
      </w:r>
    </w:p>
    <w:p w:rsidR="007A0DDE" w:rsidRPr="00EA6198" w:rsidRDefault="007A0DDE" w:rsidP="00597C20">
      <w:pPr>
        <w:spacing w:before="240"/>
        <w:ind w:firstLine="720"/>
        <w:rPr>
          <w:rFonts w:ascii="Traditional Arabic" w:hAnsi="Traditional Arabic"/>
          <w:rtl/>
        </w:rPr>
      </w:pPr>
      <w:r w:rsidRPr="00C85F0F">
        <w:rPr>
          <w:rFonts w:ascii="Traditional Arabic" w:hAnsi="Traditional Arabic" w:hint="cs"/>
          <w:rtl/>
        </w:rPr>
        <w:t>هي العُسْر والعَناء الخارِجان عن حدِّ العادة في الاحتمال</w:t>
      </w:r>
      <w:r w:rsidR="00CD56C4" w:rsidRPr="00CD56C4">
        <w:rPr>
          <w:rFonts w:ascii="Traditional Arabic" w:hAnsi="Traditional Arabic" w:hint="cs"/>
          <w:vertAlign w:val="superscript"/>
          <w:rtl/>
        </w:rPr>
        <w:t>(</w:t>
      </w:r>
      <w:r w:rsidR="00CD56C4" w:rsidRPr="00CD56C4">
        <w:rPr>
          <w:rStyle w:val="af1"/>
          <w:rFonts w:ascii="Traditional Arabic" w:hAnsi="Traditional Arabic"/>
          <w:rtl/>
        </w:rPr>
        <w:footnoteReference w:id="2006"/>
      </w:r>
      <w:r w:rsidR="00CD56C4" w:rsidRPr="00CD56C4">
        <w:rPr>
          <w:rFonts w:ascii="Traditional Arabic" w:hAnsi="Traditional Arabic" w:hint="cs"/>
          <w:vertAlign w:val="superscript"/>
          <w:rtl/>
        </w:rPr>
        <w:t>)</w:t>
      </w:r>
      <w:r w:rsidR="00EA6198">
        <w:rPr>
          <w:rFonts w:ascii="Traditional Arabic" w:hAnsi="Traditional Arabic" w:hint="cs"/>
          <w:rtl/>
        </w:rPr>
        <w:t>.</w:t>
      </w:r>
    </w:p>
    <w:p w:rsidR="00CD56C4" w:rsidRDefault="007A0DDE" w:rsidP="00CD56C4">
      <w:pPr>
        <w:ind w:firstLine="0"/>
        <w:rPr>
          <w:rFonts w:ascii="Traditional Arabic" w:hAnsi="Traditional Arabic"/>
          <w:rtl/>
        </w:rPr>
      </w:pPr>
      <w:r w:rsidRPr="00CD56C4">
        <w:rPr>
          <w:rFonts w:ascii="Traditional Arabic" w:hAnsi="Traditional Arabic"/>
          <w:b/>
          <w:bCs/>
          <w:rtl/>
        </w:rPr>
        <w:t>تجلب</w:t>
      </w:r>
      <w:r w:rsidRPr="00C85F0F">
        <w:rPr>
          <w:rFonts w:ascii="Traditional Arabic" w:hAnsi="Traditional Arabic"/>
          <w:rtl/>
        </w:rPr>
        <w:t xml:space="preserve"> </w:t>
      </w:r>
      <w:r w:rsidR="00CD56C4" w:rsidRPr="00CD56C4">
        <w:rPr>
          <w:rFonts w:ascii="Traditional Arabic" w:hAnsi="Traditional Arabic" w:hint="cs"/>
          <w:b/>
          <w:bCs/>
          <w:rtl/>
        </w:rPr>
        <w:t>لغة</w:t>
      </w:r>
      <w:r w:rsidRPr="00CD56C4">
        <w:rPr>
          <w:rFonts w:ascii="Traditional Arabic" w:hAnsi="Traditional Arabic"/>
          <w:b/>
          <w:bCs/>
          <w:rtl/>
        </w:rPr>
        <w:t>:</w:t>
      </w:r>
      <w:r w:rsidRPr="00C85F0F">
        <w:rPr>
          <w:rFonts w:ascii="Traditional Arabic" w:hAnsi="Traditional Arabic"/>
          <w:rtl/>
        </w:rPr>
        <w:t xml:space="preserve"> </w:t>
      </w:r>
    </w:p>
    <w:p w:rsidR="007A0DDE" w:rsidRPr="00C85F0F" w:rsidRDefault="00CD56C4" w:rsidP="00CD56C4">
      <w:pPr>
        <w:ind w:firstLine="0"/>
        <w:rPr>
          <w:rFonts w:ascii="Traditional Arabic" w:hAnsi="Traditional Arabic"/>
          <w:rtl/>
        </w:rPr>
      </w:pPr>
      <w:r>
        <w:rPr>
          <w:rFonts w:ascii="Traditional Arabic" w:hAnsi="Traditional Arabic" w:hint="cs"/>
          <w:rtl/>
        </w:rPr>
        <w:t xml:space="preserve">        </w:t>
      </w:r>
      <w:r w:rsidR="007A0DDE" w:rsidRPr="00C85F0F">
        <w:rPr>
          <w:rFonts w:ascii="Traditional Arabic" w:hAnsi="Traditional Arabic"/>
          <w:rtl/>
        </w:rPr>
        <w:t>تس</w:t>
      </w:r>
      <w:r>
        <w:rPr>
          <w:rFonts w:ascii="Traditional Arabic" w:hAnsi="Traditional Arabic" w:hint="cs"/>
          <w:rtl/>
        </w:rPr>
        <w:t>ُ</w:t>
      </w:r>
      <w:r w:rsidR="007A0DDE" w:rsidRPr="00C85F0F">
        <w:rPr>
          <w:rFonts w:ascii="Traditional Arabic" w:hAnsi="Traditional Arabic"/>
          <w:rtl/>
        </w:rPr>
        <w:t>وق</w:t>
      </w:r>
      <w:r w:rsidR="00B76414" w:rsidRPr="00C85F0F">
        <w:rPr>
          <w:rFonts w:ascii="Traditional Arabic" w:hAnsi="Traditional Arabic"/>
          <w:rtl/>
        </w:rPr>
        <w:t>،</w:t>
      </w:r>
      <w:r w:rsidR="007A0DDE" w:rsidRPr="00C85F0F">
        <w:rPr>
          <w:rFonts w:ascii="Traditional Arabic" w:hAnsi="Traditional Arabic"/>
          <w:rtl/>
        </w:rPr>
        <w:t xml:space="preserve"> يقال ج</w:t>
      </w:r>
      <w:r w:rsidR="007A0DDE" w:rsidRPr="00C85F0F">
        <w:rPr>
          <w:rFonts w:ascii="Traditional Arabic" w:hAnsi="Traditional Arabic" w:hint="cs"/>
          <w:rtl/>
        </w:rPr>
        <w:t>َ</w:t>
      </w:r>
      <w:r w:rsidR="007A0DDE" w:rsidRPr="00C85F0F">
        <w:rPr>
          <w:rFonts w:ascii="Traditional Arabic" w:hAnsi="Traditional Arabic"/>
          <w:rtl/>
        </w:rPr>
        <w:t>ل</w:t>
      </w:r>
      <w:r w:rsidR="007A0DDE" w:rsidRPr="00C85F0F">
        <w:rPr>
          <w:rFonts w:ascii="Traditional Arabic" w:hAnsi="Traditional Arabic" w:hint="cs"/>
          <w:rtl/>
        </w:rPr>
        <w:t>َ</w:t>
      </w:r>
      <w:r w:rsidR="007A0DDE" w:rsidRPr="00C85F0F">
        <w:rPr>
          <w:rFonts w:ascii="Traditional Arabic" w:hAnsi="Traditional Arabic"/>
          <w:rtl/>
        </w:rPr>
        <w:t>ب</w:t>
      </w:r>
      <w:r w:rsidR="007A0DDE" w:rsidRPr="00C85F0F">
        <w:rPr>
          <w:rFonts w:ascii="Traditional Arabic" w:hAnsi="Traditional Arabic" w:hint="cs"/>
          <w:rtl/>
        </w:rPr>
        <w:t>َ</w:t>
      </w:r>
      <w:r w:rsidR="007A0DDE" w:rsidRPr="00C85F0F">
        <w:rPr>
          <w:rFonts w:ascii="Traditional Arabic" w:hAnsi="Traditional Arabic"/>
          <w:rtl/>
        </w:rPr>
        <w:t xml:space="preserve"> الشيء</w:t>
      </w:r>
      <w:r w:rsidR="007A0DDE" w:rsidRPr="00C85F0F">
        <w:rPr>
          <w:rFonts w:ascii="Traditional Arabic" w:hAnsi="Traditional Arabic" w:hint="cs"/>
          <w:rtl/>
        </w:rPr>
        <w:t>َ</w:t>
      </w:r>
      <w:r w:rsidR="007A0DDE" w:rsidRPr="00C85F0F">
        <w:rPr>
          <w:rFonts w:ascii="Traditional Arabic" w:hAnsi="Traditional Arabic"/>
          <w:rtl/>
        </w:rPr>
        <w:t xml:space="preserve"> ي</w:t>
      </w:r>
      <w:r w:rsidR="007A0DDE" w:rsidRPr="00C85F0F">
        <w:rPr>
          <w:rFonts w:ascii="Traditional Arabic" w:hAnsi="Traditional Arabic" w:hint="cs"/>
          <w:rtl/>
        </w:rPr>
        <w:t>َ</w:t>
      </w:r>
      <w:r w:rsidR="007A0DDE" w:rsidRPr="00C85F0F">
        <w:rPr>
          <w:rFonts w:ascii="Traditional Arabic" w:hAnsi="Traditional Arabic"/>
          <w:rtl/>
        </w:rPr>
        <w:t>ج</w:t>
      </w:r>
      <w:r w:rsidR="007A0DDE" w:rsidRPr="00C85F0F">
        <w:rPr>
          <w:rFonts w:ascii="Traditional Arabic" w:hAnsi="Traditional Arabic" w:hint="cs"/>
          <w:rtl/>
        </w:rPr>
        <w:t>ْ</w:t>
      </w:r>
      <w:r w:rsidR="007A0DDE" w:rsidRPr="00C85F0F">
        <w:rPr>
          <w:rFonts w:ascii="Traditional Arabic" w:hAnsi="Traditional Arabic"/>
          <w:rtl/>
        </w:rPr>
        <w:t>لِبه ويجلُبه ج</w:t>
      </w:r>
      <w:r w:rsidR="007A0DDE" w:rsidRPr="00C85F0F">
        <w:rPr>
          <w:rFonts w:ascii="Traditional Arabic" w:hAnsi="Traditional Arabic" w:hint="cs"/>
          <w:rtl/>
        </w:rPr>
        <w:t>َ</w:t>
      </w:r>
      <w:r w:rsidR="007A0DDE" w:rsidRPr="00C85F0F">
        <w:rPr>
          <w:rFonts w:ascii="Traditional Arabic" w:hAnsi="Traditional Arabic"/>
          <w:rtl/>
        </w:rPr>
        <w:t>لْب</w:t>
      </w:r>
      <w:r w:rsidR="007A0DDE" w:rsidRPr="00C85F0F">
        <w:rPr>
          <w:rFonts w:ascii="Traditional Arabic" w:hAnsi="Traditional Arabic" w:hint="cs"/>
          <w:rtl/>
        </w:rPr>
        <w:t>ً</w:t>
      </w:r>
      <w:r w:rsidR="007A0DDE" w:rsidRPr="00C85F0F">
        <w:rPr>
          <w:rFonts w:ascii="Traditional Arabic" w:hAnsi="Traditional Arabic"/>
          <w:rtl/>
        </w:rPr>
        <w:t>ا وج</w:t>
      </w:r>
      <w:r w:rsidR="007A0DDE" w:rsidRPr="00C85F0F">
        <w:rPr>
          <w:rFonts w:ascii="Traditional Arabic" w:hAnsi="Traditional Arabic" w:hint="cs"/>
          <w:rtl/>
        </w:rPr>
        <w:t>َ</w:t>
      </w:r>
      <w:r w:rsidR="007A0DDE" w:rsidRPr="00C85F0F">
        <w:rPr>
          <w:rFonts w:ascii="Traditional Arabic" w:hAnsi="Traditional Arabic"/>
          <w:rtl/>
        </w:rPr>
        <w:t>لَب</w:t>
      </w:r>
      <w:r w:rsidR="007A0DDE" w:rsidRPr="00C85F0F">
        <w:rPr>
          <w:rFonts w:ascii="Traditional Arabic" w:hAnsi="Traditional Arabic" w:hint="cs"/>
          <w:rtl/>
        </w:rPr>
        <w:t>ً</w:t>
      </w:r>
      <w:r w:rsidR="007A0DDE" w:rsidRPr="00C85F0F">
        <w:rPr>
          <w:rFonts w:ascii="Traditional Arabic" w:hAnsi="Traditional Arabic"/>
          <w:rtl/>
        </w:rPr>
        <w:t>ا</w:t>
      </w:r>
      <w:r w:rsidR="00B76414" w:rsidRPr="00C85F0F">
        <w:rPr>
          <w:rFonts w:ascii="Traditional Arabic" w:hAnsi="Traditional Arabic"/>
          <w:rtl/>
        </w:rPr>
        <w:t>،</w:t>
      </w:r>
      <w:r w:rsidR="007A0DDE" w:rsidRPr="00C85F0F">
        <w:rPr>
          <w:rFonts w:ascii="Traditional Arabic" w:hAnsi="Traditional Arabic"/>
          <w:rtl/>
        </w:rPr>
        <w:t xml:space="preserve"> واجتلبت</w:t>
      </w:r>
      <w:r>
        <w:rPr>
          <w:rFonts w:ascii="Traditional Arabic" w:hAnsi="Traditional Arabic" w:hint="cs"/>
          <w:rtl/>
        </w:rPr>
        <w:t>ُ</w:t>
      </w:r>
      <w:r w:rsidR="007A0DDE" w:rsidRPr="00C85F0F">
        <w:rPr>
          <w:rFonts w:ascii="Traditional Arabic" w:hAnsi="Traditional Arabic"/>
          <w:rtl/>
        </w:rPr>
        <w:t xml:space="preserve"> الشيء</w:t>
      </w:r>
      <w:r>
        <w:rPr>
          <w:rFonts w:ascii="Traditional Arabic" w:hAnsi="Traditional Arabic" w:hint="cs"/>
          <w:rtl/>
        </w:rPr>
        <w:t>َ</w:t>
      </w:r>
      <w:r w:rsidR="007A0DDE" w:rsidRPr="00C85F0F">
        <w:rPr>
          <w:rFonts w:ascii="Traditional Arabic" w:hAnsi="Traditional Arabic"/>
          <w:rtl/>
        </w:rPr>
        <w:t xml:space="preserve"> إلى نفسي</w:t>
      </w:r>
      <w:r w:rsidR="00B76414" w:rsidRPr="00C85F0F">
        <w:rPr>
          <w:rFonts w:ascii="Traditional Arabic" w:hAnsi="Traditional Arabic"/>
          <w:rtl/>
        </w:rPr>
        <w:t>،</w:t>
      </w:r>
      <w:r w:rsidR="007A0DDE" w:rsidRPr="00C85F0F">
        <w:rPr>
          <w:rFonts w:ascii="Traditional Arabic" w:hAnsi="Traditional Arabic"/>
          <w:rtl/>
        </w:rPr>
        <w:t xml:space="preserve"> واجتلبته</w:t>
      </w:r>
      <w:r w:rsidR="00C35C2A">
        <w:rPr>
          <w:rFonts w:ascii="Traditional Arabic" w:hAnsi="Traditional Arabic" w:hint="cs"/>
          <w:rtl/>
        </w:rPr>
        <w:t xml:space="preserve"> </w:t>
      </w:r>
      <w:r w:rsidR="007A0DDE" w:rsidRPr="00C85F0F">
        <w:rPr>
          <w:rFonts w:ascii="Traditional Arabic" w:hAnsi="Traditional Arabic"/>
          <w:rtl/>
        </w:rPr>
        <w:t>بمعنى</w:t>
      </w:r>
      <w:r w:rsidR="00B76414" w:rsidRPr="00C85F0F">
        <w:rPr>
          <w:rFonts w:ascii="Traditional Arabic" w:hAnsi="Traditional Arabic"/>
          <w:rtl/>
        </w:rPr>
        <w:t>.</w:t>
      </w:r>
      <w:r w:rsidR="007A0DDE" w:rsidRPr="00C85F0F">
        <w:rPr>
          <w:rFonts w:ascii="Traditional Arabic" w:hAnsi="Traditional Arabic"/>
          <w:rtl/>
        </w:rPr>
        <w:t xml:space="preserve"> فالج</w:t>
      </w:r>
      <w:r>
        <w:rPr>
          <w:rFonts w:ascii="Traditional Arabic" w:hAnsi="Traditional Arabic" w:hint="cs"/>
          <w:rtl/>
        </w:rPr>
        <w:t>َ</w:t>
      </w:r>
      <w:r w:rsidR="007A0DDE" w:rsidRPr="00C85F0F">
        <w:rPr>
          <w:rFonts w:ascii="Traditional Arabic" w:hAnsi="Traditional Arabic"/>
          <w:rtl/>
        </w:rPr>
        <w:t>ل</w:t>
      </w:r>
      <w:r>
        <w:rPr>
          <w:rFonts w:ascii="Traditional Arabic" w:hAnsi="Traditional Arabic" w:hint="cs"/>
          <w:rtl/>
        </w:rPr>
        <w:t>ْ</w:t>
      </w:r>
      <w:r w:rsidR="007A0DDE" w:rsidRPr="00C85F0F">
        <w:rPr>
          <w:rFonts w:ascii="Traditional Arabic" w:hAnsi="Traditional Arabic"/>
          <w:rtl/>
        </w:rPr>
        <w:t>ب سَوق الشي</w:t>
      </w:r>
      <w:r w:rsidR="007A0DDE" w:rsidRPr="00C85F0F">
        <w:rPr>
          <w:rFonts w:ascii="Traditional Arabic" w:hAnsi="Traditional Arabic" w:hint="cs"/>
          <w:rtl/>
        </w:rPr>
        <w:t>ء</w:t>
      </w:r>
      <w:r w:rsidR="007A0DDE" w:rsidRPr="00C85F0F">
        <w:rPr>
          <w:rFonts w:ascii="Traditional Arabic" w:hAnsi="Traditional Arabic"/>
          <w:rtl/>
        </w:rPr>
        <w:t xml:space="preserve"> والمجي</w:t>
      </w:r>
      <w:r w:rsidR="007A0DDE" w:rsidRPr="00C85F0F">
        <w:rPr>
          <w:rFonts w:ascii="Traditional Arabic" w:hAnsi="Traditional Arabic" w:hint="cs"/>
          <w:rtl/>
        </w:rPr>
        <w:t>ء</w:t>
      </w:r>
      <w:r w:rsidR="007A0DDE" w:rsidRPr="00C85F0F">
        <w:rPr>
          <w:rFonts w:ascii="Traditional Arabic" w:hAnsi="Traditional Arabic"/>
          <w:rtl/>
        </w:rPr>
        <w:t xml:space="preserve"> به من موضع إلى موضع آخر</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07"/>
      </w:r>
      <w:r w:rsidR="007A0DDE"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7A0DDE" w:rsidRPr="00C85F0F" w:rsidRDefault="007A0DDE" w:rsidP="00CD56C4">
      <w:pPr>
        <w:spacing w:before="200"/>
        <w:ind w:firstLine="0"/>
        <w:rPr>
          <w:rFonts w:ascii="Traditional Arabic" w:hAnsi="Traditional Arabic"/>
          <w:rtl/>
        </w:rPr>
      </w:pPr>
      <w:r w:rsidRPr="00CD56C4">
        <w:rPr>
          <w:rFonts w:ascii="Traditional Arabic" w:hAnsi="Traditional Arabic"/>
          <w:b/>
          <w:bCs/>
          <w:rtl/>
        </w:rPr>
        <w:t>التيسير</w:t>
      </w:r>
      <w:r w:rsidR="00CD56C4">
        <w:rPr>
          <w:rFonts w:ascii="Traditional Arabic" w:hAnsi="Traditional Arabic" w:hint="cs"/>
          <w:b/>
          <w:bCs/>
          <w:rtl/>
        </w:rPr>
        <w:t xml:space="preserve"> لغة</w:t>
      </w:r>
      <w:r w:rsidR="00AB0B9E">
        <w:rPr>
          <w:rFonts w:ascii="Traditional Arabic" w:hAnsi="Traditional Arabic"/>
          <w:rtl/>
        </w:rPr>
        <w:fldChar w:fldCharType="begin"/>
      </w:r>
      <w:r w:rsidR="009D0E52">
        <w:instrText xml:space="preserve"> XE "</w:instrText>
      </w:r>
      <w:r w:rsidR="009D0E52" w:rsidRPr="00A00F78">
        <w:rPr>
          <w:rFonts w:ascii="Traditional Arabic" w:hAnsi="Traditional Arabic"/>
          <w:rtl/>
        </w:rPr>
        <w:instrText>التيسير</w:instrText>
      </w:r>
      <w:r w:rsidR="009D0E52">
        <w:instrText xml:space="preserve">" </w:instrText>
      </w:r>
      <w:r w:rsidR="009D0E52" w:rsidRPr="009D0E52">
        <w:instrText xml:space="preserve">\fm </w:instrText>
      </w:r>
      <w:r w:rsidR="00AB0B9E">
        <w:rPr>
          <w:rFonts w:ascii="Traditional Arabic" w:hAnsi="Traditional Arabic"/>
          <w:rtl/>
        </w:rPr>
        <w:fldChar w:fldCharType="end"/>
      </w:r>
      <w:r w:rsidRPr="00C85F0F">
        <w:rPr>
          <w:rFonts w:ascii="Traditional Arabic" w:hAnsi="Traditional Arabic"/>
          <w:rtl/>
        </w:rPr>
        <w:t>:</w:t>
      </w:r>
      <w:r w:rsidR="00CD56C4">
        <w:rPr>
          <w:rFonts w:ascii="Traditional Arabic" w:hAnsi="Traditional Arabic" w:hint="cs"/>
          <w:rtl/>
        </w:rPr>
        <w:t xml:space="preserve"> </w:t>
      </w:r>
      <w:r w:rsidRPr="00C85F0F">
        <w:rPr>
          <w:rFonts w:ascii="Traditional Arabic" w:hAnsi="Traditional Arabic"/>
          <w:rtl/>
        </w:rPr>
        <w:t>التسهيل والتخفيف والتوسيع</w:t>
      </w:r>
      <w:r w:rsidR="00B76414" w:rsidRPr="00C85F0F">
        <w:rPr>
          <w:rFonts w:ascii="Traditional Arabic" w:hAnsi="Traditional Arabic"/>
          <w:rtl/>
        </w:rPr>
        <w:t>،</w:t>
      </w:r>
      <w:r w:rsidRPr="00C85F0F">
        <w:rPr>
          <w:rFonts w:ascii="Traditional Arabic" w:hAnsi="Traditional Arabic"/>
          <w:rtl/>
        </w:rPr>
        <w:t xml:space="preserve"> من الي</w:t>
      </w:r>
      <w:r w:rsidRPr="00C85F0F">
        <w:rPr>
          <w:rFonts w:ascii="Traditional Arabic" w:hAnsi="Traditional Arabic" w:hint="cs"/>
          <w:rtl/>
        </w:rPr>
        <w:t>ُ</w:t>
      </w:r>
      <w:r w:rsidRPr="00C85F0F">
        <w:rPr>
          <w:rFonts w:ascii="Traditional Arabic" w:hAnsi="Traditional Arabic"/>
          <w:rtl/>
        </w:rPr>
        <w:t>س</w:t>
      </w:r>
      <w:r w:rsidRPr="00C85F0F">
        <w:rPr>
          <w:rFonts w:ascii="Traditional Arabic" w:hAnsi="Traditional Arabic" w:hint="cs"/>
          <w:rtl/>
        </w:rPr>
        <w:t>ْ</w:t>
      </w:r>
      <w:r w:rsidRPr="00C85F0F">
        <w:rPr>
          <w:rFonts w:ascii="Traditional Arabic" w:hAnsi="Traditional Arabic"/>
          <w:rtl/>
        </w:rPr>
        <w:t>ر وهو الس</w:t>
      </w:r>
      <w:r w:rsidRPr="00C85F0F">
        <w:rPr>
          <w:rFonts w:ascii="Traditional Arabic" w:hAnsi="Traditional Arabic" w:hint="cs"/>
          <w:rtl/>
        </w:rPr>
        <w:t>ُّ</w:t>
      </w:r>
      <w:r w:rsidRPr="00C85F0F">
        <w:rPr>
          <w:rFonts w:ascii="Traditional Arabic" w:hAnsi="Traditional Arabic"/>
          <w:rtl/>
        </w:rPr>
        <w:t>هولة والس</w:t>
      </w:r>
      <w:r w:rsidRPr="00C85F0F">
        <w:rPr>
          <w:rFonts w:ascii="Traditional Arabic" w:hAnsi="Traditional Arabic" w:hint="cs"/>
          <w:rtl/>
        </w:rPr>
        <w:t>َّ</w:t>
      </w:r>
      <w:r w:rsidRPr="00C85F0F">
        <w:rPr>
          <w:rFonts w:ascii="Traditional Arabic" w:hAnsi="Traditional Arabic"/>
          <w:rtl/>
        </w:rPr>
        <w:t>عة والانقياد والل</w:t>
      </w:r>
      <w:r w:rsidRPr="00C85F0F">
        <w:rPr>
          <w:rFonts w:ascii="Traditional Arabic" w:hAnsi="Traditional Arabic" w:hint="cs"/>
          <w:rtl/>
        </w:rPr>
        <w:t>ِّ</w:t>
      </w:r>
      <w:r w:rsidRPr="00C85F0F">
        <w:rPr>
          <w:rFonts w:ascii="Traditional Arabic" w:hAnsi="Traditional Arabic"/>
          <w:rtl/>
        </w:rPr>
        <w:t xml:space="preserve">ين </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2008"/>
      </w:r>
      <w:r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7A0DDE" w:rsidRPr="00C85F0F" w:rsidRDefault="007A0DDE" w:rsidP="00597C20">
      <w:pPr>
        <w:pStyle w:val="53"/>
        <w:rPr>
          <w:rtl/>
        </w:rPr>
      </w:pPr>
      <w:r w:rsidRPr="00C85F0F">
        <w:rPr>
          <w:rtl/>
        </w:rPr>
        <w:lastRenderedPageBreak/>
        <w:t xml:space="preserve">معنى القاعدة </w:t>
      </w:r>
      <w:r w:rsidRPr="009D0E52">
        <w:rPr>
          <w:rtl/>
        </w:rPr>
        <w:t>إجمالا</w:t>
      </w:r>
      <w:r w:rsidRPr="00C85F0F">
        <w:rPr>
          <w:rtl/>
        </w:rPr>
        <w:t>:</w:t>
      </w:r>
    </w:p>
    <w:p w:rsidR="007A0DDE" w:rsidRPr="00C85F0F" w:rsidRDefault="00CD56C4" w:rsidP="00B24527">
      <w:pPr>
        <w:ind w:firstLine="720"/>
        <w:rPr>
          <w:rFonts w:ascii="Traditional Arabic" w:hAnsi="Traditional Arabic"/>
          <w:rtl/>
        </w:rPr>
      </w:pPr>
      <w:r>
        <w:rPr>
          <w:rFonts w:ascii="Traditional Arabic" w:hAnsi="Traditional Arabic" w:hint="cs"/>
          <w:rtl/>
        </w:rPr>
        <w:t xml:space="preserve">تعدُّ </w:t>
      </w:r>
      <w:r w:rsidR="007A0DDE" w:rsidRPr="00C85F0F">
        <w:rPr>
          <w:rFonts w:ascii="Traditional Arabic" w:hAnsi="Traditional Arabic"/>
          <w:rtl/>
        </w:rPr>
        <w:t>هذه القاعدة أصل</w:t>
      </w:r>
      <w:r>
        <w:rPr>
          <w:rFonts w:ascii="Traditional Arabic" w:hAnsi="Traditional Arabic" w:hint="cs"/>
          <w:rtl/>
        </w:rPr>
        <w:t>اً</w:t>
      </w:r>
      <w:r w:rsidR="007A0DDE" w:rsidRPr="00C85F0F">
        <w:rPr>
          <w:rFonts w:ascii="Traditional Arabic" w:hAnsi="Traditional Arabic"/>
          <w:rtl/>
        </w:rPr>
        <w:t xml:space="preserve"> عظيم</w:t>
      </w:r>
      <w:r>
        <w:rPr>
          <w:rFonts w:ascii="Traditional Arabic" w:hAnsi="Traditional Arabic" w:hint="cs"/>
          <w:rtl/>
        </w:rPr>
        <w:t>ا</w:t>
      </w:r>
      <w:r w:rsidR="007A0DDE" w:rsidRPr="00C85F0F">
        <w:rPr>
          <w:rFonts w:ascii="Traditional Arabic" w:hAnsi="Traditional Arabic"/>
          <w:rtl/>
        </w:rPr>
        <w:t xml:space="preserve"> من أصول الشرع</w:t>
      </w:r>
      <w:r w:rsidR="00B76414" w:rsidRPr="00C85F0F">
        <w:rPr>
          <w:rFonts w:ascii="Traditional Arabic" w:hAnsi="Traditional Arabic"/>
          <w:rtl/>
        </w:rPr>
        <w:t>،</w:t>
      </w:r>
      <w:r w:rsidR="007A0DDE" w:rsidRPr="00C85F0F">
        <w:rPr>
          <w:rFonts w:ascii="Traditional Arabic" w:hAnsi="Traditional Arabic"/>
          <w:rtl/>
        </w:rPr>
        <w:t xml:space="preserve"> فهي من القواعد الخمس الكبرى التي تعد</w:t>
      </w:r>
      <w:r>
        <w:rPr>
          <w:rFonts w:ascii="Traditional Arabic" w:hAnsi="Traditional Arabic" w:hint="cs"/>
          <w:rtl/>
        </w:rPr>
        <w:t>ُّ</w:t>
      </w:r>
      <w:r w:rsidR="007A0DDE" w:rsidRPr="00C85F0F">
        <w:rPr>
          <w:rFonts w:ascii="Traditional Arabic" w:hAnsi="Traditional Arabic"/>
          <w:rtl/>
        </w:rPr>
        <w:t xml:space="preserve"> من أسس الشريعة في جميع المذاهب</w:t>
      </w:r>
      <w:r>
        <w:rPr>
          <w:rFonts w:ascii="Traditional Arabic" w:hAnsi="Traditional Arabic" w:hint="cs"/>
          <w:rtl/>
        </w:rPr>
        <w:t>،</w:t>
      </w:r>
      <w:r w:rsidR="007A0DDE" w:rsidRPr="00C85F0F">
        <w:rPr>
          <w:rFonts w:ascii="Traditional Arabic" w:hAnsi="Traditional Arabic"/>
          <w:rtl/>
        </w:rPr>
        <w:t xml:space="preserve"> وهي قاعدة فقهية </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09"/>
      </w:r>
      <w:r w:rsidR="007A0DDE" w:rsidRPr="00C85F0F">
        <w:rPr>
          <w:rFonts w:ascii="Traditional Arabic" w:hAnsi="Traditional Arabic" w:hint="cs"/>
          <w:szCs w:val="32"/>
          <w:vertAlign w:val="superscript"/>
          <w:rtl/>
        </w:rPr>
        <w:t>)</w:t>
      </w:r>
      <w:r w:rsidR="007A0DDE" w:rsidRPr="00C85F0F">
        <w:rPr>
          <w:rFonts w:ascii="Traditional Arabic" w:hAnsi="Traditional Arabic"/>
          <w:rtl/>
        </w:rPr>
        <w:t>أصولية تشترك مع بعض قواعد التكليف</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10"/>
      </w:r>
      <w:r w:rsidR="007A0DDE" w:rsidRPr="00C85F0F">
        <w:rPr>
          <w:rFonts w:ascii="Traditional Arabic" w:hAnsi="Traditional Arabic" w:hint="cs"/>
          <w:szCs w:val="32"/>
          <w:vertAlign w:val="superscript"/>
          <w:rtl/>
        </w:rPr>
        <w:t>)</w:t>
      </w:r>
      <w:r w:rsidR="007A0DDE" w:rsidRPr="00C85F0F">
        <w:rPr>
          <w:rFonts w:ascii="Traditional Arabic" w:hAnsi="Traditional Arabic"/>
          <w:rtl/>
        </w:rPr>
        <w:t xml:space="preserve"> في أصول الف</w:t>
      </w:r>
      <w:r w:rsidR="007A0DDE" w:rsidRPr="00C85F0F">
        <w:rPr>
          <w:rFonts w:ascii="Traditional Arabic" w:hAnsi="Traditional Arabic" w:hint="cs"/>
          <w:rtl/>
        </w:rPr>
        <w:t>ق</w:t>
      </w:r>
      <w:r w:rsidR="007A0DDE" w:rsidRPr="00C85F0F">
        <w:rPr>
          <w:rFonts w:ascii="Traditional Arabic" w:hAnsi="Traditional Arabic"/>
          <w:rtl/>
        </w:rPr>
        <w:t>ه فيما يتعلق بتكليف ما لايطاق</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11"/>
      </w:r>
      <w:r w:rsidR="007A0DDE" w:rsidRPr="00C85F0F">
        <w:rPr>
          <w:rFonts w:ascii="Traditional Arabic" w:hAnsi="Traditional Arabic" w:hint="cs"/>
          <w:szCs w:val="32"/>
          <w:vertAlign w:val="superscript"/>
          <w:rtl/>
        </w:rPr>
        <w:t>)</w:t>
      </w:r>
      <w:r>
        <w:rPr>
          <w:rFonts w:ascii="Traditional Arabic" w:hAnsi="Traditional Arabic" w:hint="cs"/>
          <w:rtl/>
        </w:rPr>
        <w:t xml:space="preserve">، </w:t>
      </w:r>
      <w:r w:rsidR="007A0DDE" w:rsidRPr="00C85F0F">
        <w:rPr>
          <w:rFonts w:ascii="Traditional Arabic" w:hAnsi="Traditional Arabic"/>
          <w:rtl/>
        </w:rPr>
        <w:t>والر</w:t>
      </w:r>
      <w:r>
        <w:rPr>
          <w:rFonts w:ascii="Traditional Arabic" w:hAnsi="Traditional Arabic" w:hint="cs"/>
          <w:rtl/>
        </w:rPr>
        <w:t>ُّ</w:t>
      </w:r>
      <w:r w:rsidR="007A0DDE" w:rsidRPr="00C85F0F">
        <w:rPr>
          <w:rFonts w:ascii="Traditional Arabic" w:hAnsi="Traditional Arabic"/>
          <w:rtl/>
        </w:rPr>
        <w:t>خ</w:t>
      </w:r>
      <w:r>
        <w:rPr>
          <w:rFonts w:ascii="Traditional Arabic" w:hAnsi="Traditional Arabic" w:hint="cs"/>
          <w:rtl/>
        </w:rPr>
        <w:t>َص،</w:t>
      </w:r>
      <w:r w:rsidR="007A0DDE" w:rsidRPr="00C85F0F">
        <w:rPr>
          <w:rFonts w:ascii="Traditional Arabic" w:hAnsi="Traditional Arabic"/>
          <w:rtl/>
        </w:rPr>
        <w:t xml:space="preserve"> وعوارض الأهلية</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12"/>
      </w:r>
      <w:r w:rsidR="007A0DDE" w:rsidRPr="00C85F0F">
        <w:rPr>
          <w:rFonts w:ascii="Traditional Arabic" w:hAnsi="Traditional Arabic" w:hint="cs"/>
          <w:szCs w:val="32"/>
          <w:vertAlign w:val="superscript"/>
          <w:rtl/>
        </w:rPr>
        <w:t>)</w:t>
      </w:r>
      <w:r w:rsidR="00B76414" w:rsidRPr="00C85F0F">
        <w:rPr>
          <w:rFonts w:ascii="Traditional Arabic" w:hAnsi="Traditional Arabic" w:hint="cs"/>
          <w:vertAlign w:val="superscript"/>
          <w:rtl/>
        </w:rPr>
        <w:t>،</w:t>
      </w:r>
      <w:r w:rsidR="007A0DDE" w:rsidRPr="00C85F0F">
        <w:rPr>
          <w:rFonts w:ascii="Traditional Arabic" w:hAnsi="Traditional Arabic"/>
          <w:rtl/>
        </w:rPr>
        <w:t xml:space="preserve"> وبعض مباحث </w:t>
      </w:r>
      <w:r w:rsidR="007A0DDE" w:rsidRPr="00B24527">
        <w:rPr>
          <w:rFonts w:ascii="Traditional Arabic" w:hAnsi="Traditional Arabic"/>
          <w:rtl/>
        </w:rPr>
        <w:t>القياس</w:t>
      </w:r>
      <w:r w:rsidR="00B24527">
        <w:rPr>
          <w:rFonts w:ascii="Traditional Arabic" w:hAnsi="Traditional Arabic" w:hint="cs"/>
          <w:szCs w:val="32"/>
          <w:rtl/>
        </w:rPr>
        <w:t xml:space="preserve">، </w:t>
      </w:r>
      <w:r w:rsidR="007A0DDE" w:rsidRPr="00B24527">
        <w:rPr>
          <w:rFonts w:ascii="Traditional Arabic" w:hAnsi="Traditional Arabic"/>
          <w:rtl/>
        </w:rPr>
        <w:t>كالقياس</w:t>
      </w:r>
      <w:r w:rsidR="007A0DDE" w:rsidRPr="00C85F0F">
        <w:rPr>
          <w:rFonts w:ascii="Traditional Arabic" w:hAnsi="Traditional Arabic"/>
          <w:rtl/>
        </w:rPr>
        <w:t xml:space="preserve"> على الر</w:t>
      </w:r>
      <w:r w:rsidR="00B24527">
        <w:rPr>
          <w:rFonts w:ascii="Traditional Arabic" w:hAnsi="Traditional Arabic" w:hint="cs"/>
          <w:rtl/>
        </w:rPr>
        <w:t>ُّ</w:t>
      </w:r>
      <w:r w:rsidR="007A0DDE" w:rsidRPr="00C85F0F">
        <w:rPr>
          <w:rFonts w:ascii="Traditional Arabic" w:hAnsi="Traditional Arabic"/>
          <w:rtl/>
        </w:rPr>
        <w:t>خ</w:t>
      </w:r>
      <w:r w:rsidR="00B24527">
        <w:rPr>
          <w:rFonts w:ascii="Traditional Arabic" w:hAnsi="Traditional Arabic" w:hint="cs"/>
          <w:rtl/>
        </w:rPr>
        <w:t>َ</w:t>
      </w:r>
      <w:r w:rsidR="007A0DDE" w:rsidRPr="00C85F0F">
        <w:rPr>
          <w:rFonts w:ascii="Traditional Arabic" w:hAnsi="Traditional Arabic"/>
          <w:rtl/>
        </w:rPr>
        <w:t>ص</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13"/>
      </w:r>
      <w:r w:rsidR="007A0DDE" w:rsidRPr="00C85F0F">
        <w:rPr>
          <w:rFonts w:ascii="Traditional Arabic" w:hAnsi="Traditional Arabic" w:hint="cs"/>
          <w:szCs w:val="32"/>
          <w:vertAlign w:val="superscript"/>
          <w:rtl/>
        </w:rPr>
        <w:t>)</w:t>
      </w:r>
      <w:r w:rsidR="00B76414" w:rsidRPr="00C85F0F">
        <w:rPr>
          <w:rFonts w:ascii="Traditional Arabic" w:hAnsi="Traditional Arabic"/>
          <w:rtl/>
        </w:rPr>
        <w:t>،</w:t>
      </w:r>
      <w:r w:rsidR="007A0DDE" w:rsidRPr="00C85F0F">
        <w:rPr>
          <w:rFonts w:ascii="Traditional Arabic" w:hAnsi="Traditional Arabic"/>
          <w:rtl/>
        </w:rPr>
        <w:t xml:space="preserve"> والقياس على المعدول به عن سَنن القياس</w:t>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14"/>
      </w:r>
      <w:r w:rsidR="007A0DDE" w:rsidRPr="00C85F0F">
        <w:rPr>
          <w:rFonts w:ascii="Traditional Arabic" w:hAnsi="Traditional Arabic" w:hint="cs"/>
          <w:szCs w:val="32"/>
          <w:vertAlign w:val="superscript"/>
          <w:rtl/>
        </w:rPr>
        <w:t>)(</w:t>
      </w:r>
      <w:r w:rsidR="007A0DDE" w:rsidRPr="00C85F0F">
        <w:rPr>
          <w:rStyle w:val="af1"/>
          <w:rFonts w:ascii="Traditional Arabic" w:hAnsi="Traditional Arabic"/>
          <w:szCs w:val="32"/>
          <w:rtl/>
        </w:rPr>
        <w:footnoteReference w:id="2015"/>
      </w:r>
      <w:r w:rsidR="007A0DDE"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7A0DDE" w:rsidRPr="00C85F0F" w:rsidRDefault="007A0DDE" w:rsidP="00597C20">
      <w:pPr>
        <w:spacing w:before="200"/>
        <w:ind w:firstLine="720"/>
        <w:rPr>
          <w:rFonts w:ascii="Traditional Arabic" w:hAnsi="Traditional Arabic"/>
          <w:rtl/>
        </w:rPr>
      </w:pPr>
      <w:r w:rsidRPr="00C85F0F">
        <w:rPr>
          <w:rFonts w:ascii="Traditional Arabic" w:hAnsi="Traditional Arabic" w:hint="cs"/>
          <w:rtl/>
        </w:rPr>
        <w:lastRenderedPageBreak/>
        <w:t>ف</w:t>
      </w:r>
      <w:r w:rsidRPr="00C85F0F">
        <w:rPr>
          <w:rFonts w:ascii="Traditional Arabic" w:hAnsi="Traditional Arabic"/>
          <w:rtl/>
        </w:rPr>
        <w:t>معنى القاعدة : أن الصعوبة والعناء التي تطر</w:t>
      </w:r>
      <w:r w:rsidRPr="00C85F0F">
        <w:rPr>
          <w:rFonts w:ascii="Traditional Arabic" w:hAnsi="Traditional Arabic" w:hint="cs"/>
          <w:rtl/>
        </w:rPr>
        <w:t>أ</w:t>
      </w:r>
      <w:r w:rsidRPr="00C85F0F">
        <w:rPr>
          <w:rFonts w:ascii="Traditional Arabic" w:hAnsi="Traditional Arabic"/>
          <w:rtl/>
        </w:rPr>
        <w:t xml:space="preserve"> في شي</w:t>
      </w:r>
      <w:r w:rsidRPr="00C85F0F">
        <w:rPr>
          <w:rFonts w:ascii="Traditional Arabic" w:hAnsi="Traditional Arabic" w:hint="cs"/>
          <w:rtl/>
        </w:rPr>
        <w:t>ء</w:t>
      </w:r>
      <w:r w:rsidRPr="00C85F0F">
        <w:rPr>
          <w:rFonts w:ascii="Traditional Arabic" w:hAnsi="Traditional Arabic"/>
          <w:rtl/>
        </w:rPr>
        <w:t xml:space="preserve"> من التكاليف تصبح سببا</w:t>
      </w:r>
      <w:r w:rsidR="00B24527">
        <w:rPr>
          <w:rFonts w:ascii="Traditional Arabic" w:hAnsi="Traditional Arabic" w:hint="cs"/>
          <w:rtl/>
        </w:rPr>
        <w:t>ً</w:t>
      </w:r>
      <w:r w:rsidRPr="00C85F0F">
        <w:rPr>
          <w:rFonts w:ascii="Traditional Arabic" w:hAnsi="Traditional Arabic"/>
          <w:rtl/>
        </w:rPr>
        <w:t xml:space="preserve"> للتسهيل وتهوين ذلك الشي</w:t>
      </w:r>
      <w:r w:rsidRPr="00C85F0F">
        <w:rPr>
          <w:rFonts w:ascii="Traditional Arabic" w:hAnsi="Traditional Arabic" w:hint="cs"/>
          <w:rtl/>
        </w:rPr>
        <w:t>ء</w:t>
      </w:r>
      <w:r w:rsidR="00B24527">
        <w:rPr>
          <w:rFonts w:ascii="Traditional Arabic" w:hAnsi="Traditional Arabic" w:hint="cs"/>
          <w:rtl/>
        </w:rPr>
        <w:t>،</w:t>
      </w:r>
      <w:r w:rsidRPr="00C85F0F">
        <w:rPr>
          <w:rFonts w:ascii="Traditional Arabic" w:hAnsi="Traditional Arabic"/>
          <w:rtl/>
        </w:rPr>
        <w:t xml:space="preserve"> فيلزم التوسيع وقت</w:t>
      </w:r>
      <w:r w:rsidR="00B24527">
        <w:rPr>
          <w:rFonts w:ascii="Traditional Arabic" w:hAnsi="Traditional Arabic" w:hint="cs"/>
          <w:rtl/>
        </w:rPr>
        <w:t>َ</w:t>
      </w:r>
      <w:r w:rsidRPr="00C85F0F">
        <w:rPr>
          <w:rFonts w:ascii="Traditional Arabic" w:hAnsi="Traditional Arabic"/>
          <w:rtl/>
        </w:rPr>
        <w:t xml:space="preserve"> الضيق</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2016"/>
      </w:r>
      <w:r w:rsidRPr="00C85F0F">
        <w:rPr>
          <w:rFonts w:ascii="Traditional Arabic" w:hAnsi="Traditional Arabic" w:hint="cs"/>
          <w:szCs w:val="32"/>
          <w:vertAlign w:val="superscript"/>
          <w:rtl/>
        </w:rPr>
        <w:t>)</w:t>
      </w:r>
      <w:r w:rsidR="00B76414" w:rsidRPr="00C85F0F">
        <w:rPr>
          <w:rFonts w:ascii="Traditional Arabic" w:hAnsi="Traditional Arabic"/>
          <w:rtl/>
        </w:rPr>
        <w:t>،</w:t>
      </w:r>
      <w:r w:rsidRPr="00C85F0F">
        <w:rPr>
          <w:rFonts w:ascii="Traditional Arabic" w:hAnsi="Traditional Arabic"/>
          <w:rtl/>
        </w:rPr>
        <w:t xml:space="preserve"> فالأحكام التي ينشأ عن تطبيقها حرج</w:t>
      </w:r>
      <w:r w:rsidR="00B24527">
        <w:rPr>
          <w:rFonts w:ascii="Traditional Arabic" w:hAnsi="Traditional Arabic" w:hint="cs"/>
          <w:rtl/>
        </w:rPr>
        <w:t>ٌ</w:t>
      </w:r>
      <w:r w:rsidRPr="00C85F0F">
        <w:rPr>
          <w:rFonts w:ascii="Traditional Arabic" w:hAnsi="Traditional Arabic"/>
          <w:rtl/>
        </w:rPr>
        <w:t xml:space="preserve"> على المكل</w:t>
      </w:r>
      <w:r w:rsidR="00B24527">
        <w:rPr>
          <w:rFonts w:ascii="Traditional Arabic" w:hAnsi="Traditional Arabic" w:hint="cs"/>
          <w:rtl/>
        </w:rPr>
        <w:t>َّ</w:t>
      </w:r>
      <w:r w:rsidRPr="00C85F0F">
        <w:rPr>
          <w:rFonts w:ascii="Traditional Arabic" w:hAnsi="Traditional Arabic"/>
          <w:rtl/>
        </w:rPr>
        <w:t>ف ومشقة خارجة عن المعتاد</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2017"/>
      </w:r>
      <w:r w:rsidRPr="00C85F0F">
        <w:rPr>
          <w:rFonts w:ascii="Traditional Arabic" w:hAnsi="Traditional Arabic" w:hint="cs"/>
          <w:szCs w:val="32"/>
          <w:vertAlign w:val="superscript"/>
          <w:rtl/>
        </w:rPr>
        <w:t>)</w:t>
      </w:r>
      <w:r w:rsidRPr="00C85F0F">
        <w:rPr>
          <w:rFonts w:ascii="Traditional Arabic" w:hAnsi="Traditional Arabic"/>
          <w:rtl/>
        </w:rPr>
        <w:t xml:space="preserve">في نفسه أو ماله </w:t>
      </w:r>
      <w:r w:rsidRPr="00C85F0F">
        <w:rPr>
          <w:rFonts w:ascii="Traditional Arabic" w:hAnsi="Traditional Arabic" w:hint="cs"/>
          <w:rtl/>
        </w:rPr>
        <w:t>أ</w:t>
      </w:r>
      <w:r w:rsidRPr="00C85F0F">
        <w:rPr>
          <w:rFonts w:ascii="Traditional Arabic" w:hAnsi="Traditional Arabic"/>
          <w:rtl/>
        </w:rPr>
        <w:t>و نحوهما</w:t>
      </w:r>
      <w:r w:rsidR="00B24527">
        <w:rPr>
          <w:rFonts w:ascii="Traditional Arabic" w:hAnsi="Traditional Arabic" w:hint="cs"/>
          <w:rtl/>
        </w:rPr>
        <w:t>،</w:t>
      </w:r>
      <w:r w:rsidRPr="00C85F0F">
        <w:rPr>
          <w:rFonts w:ascii="Traditional Arabic" w:hAnsi="Traditional Arabic"/>
          <w:rtl/>
        </w:rPr>
        <w:t xml:space="preserve"> تخف</w:t>
      </w:r>
      <w:r w:rsidR="00B24527">
        <w:rPr>
          <w:rFonts w:ascii="Traditional Arabic" w:hAnsi="Traditional Arabic" w:hint="cs"/>
          <w:rtl/>
        </w:rPr>
        <w:t>ِّ</w:t>
      </w:r>
      <w:r w:rsidRPr="00C85F0F">
        <w:rPr>
          <w:rFonts w:ascii="Traditional Arabic" w:hAnsi="Traditional Arabic"/>
          <w:rtl/>
        </w:rPr>
        <w:t>فه الشريعة بما يجعلها واقعة</w:t>
      </w:r>
      <w:r w:rsidR="00B24527">
        <w:rPr>
          <w:rFonts w:ascii="Traditional Arabic" w:hAnsi="Traditional Arabic" w:hint="cs"/>
          <w:rtl/>
        </w:rPr>
        <w:t>ً</w:t>
      </w:r>
      <w:r w:rsidRPr="00C85F0F">
        <w:rPr>
          <w:rFonts w:ascii="Traditional Arabic" w:hAnsi="Traditional Arabic"/>
          <w:rtl/>
        </w:rPr>
        <w:t xml:space="preserve"> تحت قدرة المكلف دون حرج أو ع</w:t>
      </w:r>
      <w:r w:rsidR="00B24527">
        <w:rPr>
          <w:rFonts w:ascii="Traditional Arabic" w:hAnsi="Traditional Arabic" w:hint="cs"/>
          <w:rtl/>
        </w:rPr>
        <w:t>ُ</w:t>
      </w:r>
      <w:r w:rsidRPr="00C85F0F">
        <w:rPr>
          <w:rFonts w:ascii="Traditional Arabic" w:hAnsi="Traditional Arabic"/>
          <w:rtl/>
        </w:rPr>
        <w:t>سر</w:t>
      </w:r>
      <w:r w:rsidRPr="00C85F0F">
        <w:rPr>
          <w:rFonts w:ascii="Traditional Arabic" w:hAnsi="Traditional Arabic" w:hint="cs"/>
          <w:szCs w:val="32"/>
          <w:vertAlign w:val="superscript"/>
          <w:rtl/>
        </w:rPr>
        <w:t>(</w:t>
      </w:r>
      <w:r w:rsidRPr="00C85F0F">
        <w:rPr>
          <w:rStyle w:val="af1"/>
          <w:rFonts w:ascii="Traditional Arabic" w:hAnsi="Traditional Arabic"/>
          <w:szCs w:val="32"/>
          <w:rtl/>
        </w:rPr>
        <w:footnoteReference w:id="2018"/>
      </w:r>
      <w:r w:rsidRPr="00C85F0F">
        <w:rPr>
          <w:rFonts w:ascii="Traditional Arabic" w:hAnsi="Traditional Arabic" w:hint="cs"/>
          <w:szCs w:val="32"/>
          <w:vertAlign w:val="superscript"/>
          <w:rtl/>
        </w:rPr>
        <w:t>)</w:t>
      </w:r>
      <w:r w:rsidR="00B76414" w:rsidRPr="00C85F0F">
        <w:rPr>
          <w:rFonts w:ascii="Traditional Arabic" w:hAnsi="Traditional Arabic" w:hint="cs"/>
          <w:rtl/>
        </w:rPr>
        <w:t>.</w:t>
      </w:r>
    </w:p>
    <w:p w:rsidR="007A0DDE" w:rsidRPr="00C85F0F" w:rsidRDefault="00DE73DC" w:rsidP="00A8347C">
      <w:pPr>
        <w:pStyle w:val="aff3"/>
        <w:rPr>
          <w:rtl/>
        </w:rPr>
      </w:pPr>
      <w:bookmarkStart w:id="433" w:name="_Toc334046613"/>
      <w:r>
        <w:rPr>
          <w:rFonts w:hint="cs"/>
          <w:rtl/>
        </w:rPr>
        <w:t xml:space="preserve">                                         </w:t>
      </w:r>
      <w:r w:rsidR="007A0DDE" w:rsidRPr="00C85F0F">
        <w:rPr>
          <w:rFonts w:hint="cs"/>
          <w:rtl/>
        </w:rPr>
        <w:t>المطلب الثالث :</w:t>
      </w:r>
      <w:r w:rsidR="007A0DDE" w:rsidRPr="00C85F0F">
        <w:rPr>
          <w:rFonts w:hint="cs"/>
          <w:rtl/>
        </w:rPr>
        <w:br/>
      </w:r>
      <w:r>
        <w:rPr>
          <w:rFonts w:hint="cs"/>
          <w:rtl/>
        </w:rPr>
        <w:t xml:space="preserve">            </w:t>
      </w:r>
      <w:r w:rsidR="00883353">
        <w:rPr>
          <w:rFonts w:hint="cs"/>
          <w:rtl/>
        </w:rPr>
        <w:t xml:space="preserve">                               </w:t>
      </w:r>
      <w:r w:rsidR="007A0DDE" w:rsidRPr="00C85F0F">
        <w:rPr>
          <w:rFonts w:hint="cs"/>
          <w:rtl/>
        </w:rPr>
        <w:t>أدلة القاعدة</w:t>
      </w:r>
      <w:bookmarkEnd w:id="433"/>
    </w:p>
    <w:p w:rsidR="007A0DDE" w:rsidRPr="00B4467C" w:rsidRDefault="00B4467C" w:rsidP="00B4467C">
      <w:pPr>
        <w:spacing w:after="200"/>
        <w:ind w:firstLine="0"/>
        <w:rPr>
          <w:rFonts w:ascii="Traditional Arabic" w:hAnsi="Traditional Arabic"/>
        </w:rPr>
      </w:pPr>
      <w:r>
        <w:rPr>
          <w:rFonts w:ascii="Traditional Arabic" w:hAnsi="Traditional Arabic" w:hint="cs"/>
          <w:rtl/>
        </w:rPr>
        <w:t xml:space="preserve">(1)    </w:t>
      </w:r>
      <w:r w:rsidR="007A0DDE" w:rsidRPr="00B4467C">
        <w:rPr>
          <w:rFonts w:ascii="Traditional Arabic" w:hAnsi="Traditional Arabic" w:hint="cs"/>
          <w:rtl/>
        </w:rPr>
        <w:t>قوله تعالى:</w:t>
      </w:r>
      <w:r w:rsidR="00DE73DC" w:rsidRPr="00B4467C">
        <w:rPr>
          <w:rFonts w:ascii="Traditional Arabic" w:hAnsi="Traditional Arabic" w:hint="cs"/>
          <w:rtl/>
        </w:rPr>
        <w:t xml:space="preserve"> </w:t>
      </w:r>
      <w:bookmarkStart w:id="434" w:name="سورة_البقرة_185_2"/>
      <w:r w:rsidR="00D17979" w:rsidRPr="00B4467C">
        <w:rPr>
          <w:rFonts w:ascii="QCF_BSML" w:hAnsi="QCF_BSML" w:cs="QCF_BSML"/>
          <w:rtl/>
        </w:rPr>
        <w:t xml:space="preserve">ﭽ </w:t>
      </w:r>
      <w:r w:rsidR="00D17979" w:rsidRPr="00B4467C">
        <w:rPr>
          <w:rFonts w:ascii="QCF_P028" w:hAnsi="QCF_P028" w:cs="QCF_P028"/>
          <w:rtl/>
        </w:rPr>
        <w:t>ﯗﯘﯙﯚﯛﯜﯝﯞ</w:t>
      </w:r>
      <w:r w:rsidR="00D17979" w:rsidRPr="00B4467C">
        <w:rPr>
          <w:rFonts w:ascii="QCF_BSML" w:hAnsi="QCF_BSML" w:cs="QCF_BSML"/>
          <w:rtl/>
        </w:rPr>
        <w:t>ﭼ</w:t>
      </w:r>
      <w:bookmarkEnd w:id="434"/>
      <w:r w:rsidR="007A0DDE" w:rsidRPr="00B4467C">
        <w:rPr>
          <w:rFonts w:ascii="Traditional Arabic" w:hAnsi="Traditional Arabic" w:hint="cs"/>
          <w:rtl/>
        </w:rPr>
        <w:t>[</w:t>
      </w:r>
      <w:r w:rsidR="007A0DDE" w:rsidRPr="00B4467C">
        <w:rPr>
          <w:rFonts w:ascii="Traditional Arabic" w:hAnsi="Traditional Arabic"/>
          <w:rtl/>
        </w:rPr>
        <w:t>البقرة: ١٨٥</w:t>
      </w:r>
      <w:r w:rsidR="007A0DDE" w:rsidRPr="00B4467C">
        <w:rPr>
          <w:rFonts w:ascii="Traditional Arabic" w:hAnsi="Traditional Arabic" w:hint="cs"/>
          <w:rtl/>
        </w:rPr>
        <w:t>]</w:t>
      </w:r>
      <w:r w:rsidR="00B76414" w:rsidRPr="00B4467C">
        <w:rPr>
          <w:rFonts w:ascii="Traditional Arabic" w:hAnsi="Traditional Arabic" w:hint="cs"/>
          <w:rtl/>
        </w:rPr>
        <w:t>.</w:t>
      </w:r>
    </w:p>
    <w:p w:rsidR="007A0DDE" w:rsidRPr="009F1B97" w:rsidRDefault="00B4467C" w:rsidP="009F1B97">
      <w:pPr>
        <w:spacing w:after="200"/>
        <w:ind w:firstLine="0"/>
        <w:rPr>
          <w:rFonts w:ascii="Traditional Arabic" w:hAnsi="Traditional Arabic"/>
        </w:rPr>
      </w:pPr>
      <w:r>
        <w:rPr>
          <w:rFonts w:ascii="Traditional Arabic" w:hAnsi="Traditional Arabic" w:hint="cs"/>
          <w:rtl/>
        </w:rPr>
        <w:t xml:space="preserve">(2)    </w:t>
      </w:r>
      <w:r w:rsidR="007A0DDE" w:rsidRPr="009F1B97">
        <w:rPr>
          <w:rFonts w:ascii="Traditional Arabic" w:hAnsi="Traditional Arabic" w:hint="cs"/>
          <w:rtl/>
        </w:rPr>
        <w:t>قوله تعالى:</w:t>
      </w:r>
      <w:bookmarkStart w:id="435" w:name="سورة_البقرة_286_2"/>
      <w:r w:rsidR="00DE73DC" w:rsidRPr="009F1B97">
        <w:rPr>
          <w:rFonts w:ascii="QCF_BSML" w:hAnsi="QCF_BSML" w:cs="QCF_BSML" w:hint="cs"/>
          <w:rtl/>
        </w:rPr>
        <w:t xml:space="preserve"> </w:t>
      </w:r>
      <w:r w:rsidR="00D17979" w:rsidRPr="009F1B97">
        <w:rPr>
          <w:rFonts w:ascii="QCF_BSML" w:hAnsi="QCF_BSML" w:cs="QCF_BSML"/>
          <w:rtl/>
        </w:rPr>
        <w:t xml:space="preserve">ﭽ </w:t>
      </w:r>
      <w:r w:rsidR="00D17979" w:rsidRPr="009F1B97">
        <w:rPr>
          <w:rFonts w:ascii="QCF_P049" w:hAnsi="QCF_P049" w:cs="QCF_P049"/>
          <w:rtl/>
        </w:rPr>
        <w:t>ﯗﯘﯙﯚﯛﯜ</w:t>
      </w:r>
      <w:r w:rsidR="00D17979" w:rsidRPr="009F1B97">
        <w:rPr>
          <w:rFonts w:ascii="QCF_BSML" w:hAnsi="QCF_BSML" w:cs="QCF_BSML"/>
          <w:rtl/>
        </w:rPr>
        <w:t>ﭼ</w:t>
      </w:r>
      <w:bookmarkEnd w:id="435"/>
      <w:r w:rsidR="007A0DDE" w:rsidRPr="009F1B97">
        <w:rPr>
          <w:rFonts w:ascii="Traditional Arabic" w:hAnsi="Traditional Arabic" w:hint="cs"/>
          <w:rtl/>
        </w:rPr>
        <w:t>[</w:t>
      </w:r>
      <w:r w:rsidR="007A0DDE" w:rsidRPr="009F1B97">
        <w:rPr>
          <w:rFonts w:ascii="Traditional Arabic" w:hAnsi="Traditional Arabic"/>
          <w:rtl/>
        </w:rPr>
        <w:t>البقرة: ٢٨٦</w:t>
      </w:r>
      <w:r w:rsidR="007A0DDE" w:rsidRPr="009F1B97">
        <w:rPr>
          <w:rFonts w:ascii="Traditional Arabic" w:hAnsi="Traditional Arabic" w:hint="cs"/>
          <w:rtl/>
        </w:rPr>
        <w:t>]</w:t>
      </w:r>
      <w:r w:rsidR="00B76414" w:rsidRPr="009F1B97">
        <w:rPr>
          <w:rFonts w:ascii="Traditional Arabic" w:hAnsi="Traditional Arabic" w:hint="cs"/>
          <w:rtl/>
        </w:rPr>
        <w:t>.</w:t>
      </w:r>
    </w:p>
    <w:p w:rsidR="007A0DDE" w:rsidRPr="009F1B97" w:rsidRDefault="00B4467C" w:rsidP="009F1B97">
      <w:pPr>
        <w:spacing w:after="200"/>
        <w:ind w:firstLine="0"/>
        <w:rPr>
          <w:rFonts w:ascii="Traditional Arabic" w:hAnsi="Traditional Arabic"/>
        </w:rPr>
      </w:pPr>
      <w:r>
        <w:rPr>
          <w:rFonts w:ascii="Traditional Arabic" w:hAnsi="Traditional Arabic" w:hint="cs"/>
          <w:rtl/>
        </w:rPr>
        <w:t xml:space="preserve">(3)    </w:t>
      </w:r>
      <w:r w:rsidR="007A0DDE" w:rsidRPr="009F1B97">
        <w:rPr>
          <w:rFonts w:ascii="Traditional Arabic" w:hAnsi="Traditional Arabic" w:hint="cs"/>
          <w:rtl/>
        </w:rPr>
        <w:t>قوله تعالى:</w:t>
      </w:r>
      <w:bookmarkStart w:id="436" w:name="سورة_النساء_28_2"/>
      <w:r w:rsidR="00DE73DC" w:rsidRPr="009F1B97">
        <w:rPr>
          <w:rFonts w:ascii="QCF_BSML" w:hAnsi="QCF_BSML" w:cs="QCF_BSML" w:hint="cs"/>
          <w:rtl/>
        </w:rPr>
        <w:t xml:space="preserve"> </w:t>
      </w:r>
      <w:r w:rsidR="00D17979" w:rsidRPr="009F1B97">
        <w:rPr>
          <w:rFonts w:ascii="QCF_BSML" w:hAnsi="QCF_BSML" w:cs="QCF_BSML"/>
          <w:rtl/>
        </w:rPr>
        <w:t xml:space="preserve">ﭽ </w:t>
      </w:r>
      <w:r w:rsidR="00D17979" w:rsidRPr="009F1B97">
        <w:rPr>
          <w:rFonts w:ascii="QCF_P083" w:hAnsi="QCF_P083" w:cs="QCF_P083"/>
          <w:rtl/>
        </w:rPr>
        <w:t>ﭟﭠﭡﭢﭣ</w:t>
      </w:r>
      <w:r w:rsidR="00D17979" w:rsidRPr="009F1B97">
        <w:rPr>
          <w:rFonts w:ascii="QCF_BSML" w:hAnsi="QCF_BSML" w:cs="QCF_BSML"/>
          <w:rtl/>
        </w:rPr>
        <w:t>ﭼ</w:t>
      </w:r>
      <w:bookmarkEnd w:id="436"/>
      <w:r w:rsidR="007A0DDE" w:rsidRPr="009F1B97">
        <w:rPr>
          <w:rFonts w:ascii="Traditional Arabic" w:hAnsi="Traditional Arabic" w:hint="cs"/>
          <w:rtl/>
        </w:rPr>
        <w:t>[</w:t>
      </w:r>
      <w:r w:rsidR="007A0DDE" w:rsidRPr="009F1B97">
        <w:rPr>
          <w:rFonts w:ascii="Traditional Arabic" w:hAnsi="Traditional Arabic"/>
          <w:rtl/>
        </w:rPr>
        <w:t>النساء: ٢٨</w:t>
      </w:r>
      <w:r w:rsidR="007A0DDE" w:rsidRPr="009F1B97">
        <w:rPr>
          <w:rFonts w:ascii="Traditional Arabic" w:hAnsi="Traditional Arabic" w:hint="cs"/>
          <w:rtl/>
        </w:rPr>
        <w:t>]</w:t>
      </w:r>
      <w:r w:rsidR="00B76414" w:rsidRPr="009F1B97">
        <w:rPr>
          <w:rFonts w:ascii="Traditional Arabic" w:hAnsi="Traditional Arabic" w:hint="cs"/>
          <w:rtl/>
        </w:rPr>
        <w:t>.</w:t>
      </w:r>
    </w:p>
    <w:p w:rsidR="007A0DDE" w:rsidRPr="009F1B97" w:rsidRDefault="00B4467C" w:rsidP="009F1B97">
      <w:pPr>
        <w:spacing w:after="200"/>
        <w:ind w:firstLine="0"/>
        <w:rPr>
          <w:rFonts w:ascii="Traditional Arabic" w:hAnsi="Traditional Arabic"/>
        </w:rPr>
      </w:pPr>
      <w:r>
        <w:rPr>
          <w:rFonts w:ascii="Traditional Arabic" w:hAnsi="Traditional Arabic" w:hint="cs"/>
          <w:rtl/>
        </w:rPr>
        <w:t xml:space="preserve">(4)    </w:t>
      </w:r>
      <w:r w:rsidR="007A0DDE" w:rsidRPr="009F1B97">
        <w:rPr>
          <w:rFonts w:ascii="Traditional Arabic" w:hAnsi="Traditional Arabic" w:hint="cs"/>
          <w:rtl/>
        </w:rPr>
        <w:t>قوله تعالى:</w:t>
      </w:r>
      <w:bookmarkStart w:id="437" w:name="سورة_المائدة_6_2"/>
      <w:r w:rsidR="00DE73DC" w:rsidRPr="009F1B97">
        <w:rPr>
          <w:rFonts w:ascii="QCF_BSML" w:hAnsi="QCF_BSML" w:cs="QCF_BSML" w:hint="cs"/>
          <w:rtl/>
        </w:rPr>
        <w:t xml:space="preserve"> </w:t>
      </w:r>
      <w:r w:rsidR="00D17979" w:rsidRPr="009F1B97">
        <w:rPr>
          <w:rFonts w:ascii="QCF_BSML" w:hAnsi="QCF_BSML" w:cs="QCF_BSML"/>
          <w:rtl/>
        </w:rPr>
        <w:t xml:space="preserve">ﭽ </w:t>
      </w:r>
      <w:r w:rsidR="00D17979" w:rsidRPr="009F1B97">
        <w:rPr>
          <w:rFonts w:ascii="QCF_P108" w:hAnsi="QCF_P108" w:cs="QCF_P108"/>
          <w:rtl/>
        </w:rPr>
        <w:t>ﮂﮃﮄﮅﮆﮇﮈ</w:t>
      </w:r>
      <w:r w:rsidR="00D17979" w:rsidRPr="009F1B97">
        <w:rPr>
          <w:rFonts w:ascii="QCF_BSML" w:hAnsi="QCF_BSML" w:cs="QCF_BSML"/>
          <w:rtl/>
        </w:rPr>
        <w:t>ﭼ</w:t>
      </w:r>
      <w:bookmarkEnd w:id="437"/>
      <w:r w:rsidR="007A0DDE" w:rsidRPr="009F1B97">
        <w:rPr>
          <w:rFonts w:ascii="Traditional Arabic" w:hAnsi="Traditional Arabic" w:hint="cs"/>
          <w:rtl/>
        </w:rPr>
        <w:t>[</w:t>
      </w:r>
      <w:r w:rsidR="007A0DDE" w:rsidRPr="009F1B97">
        <w:rPr>
          <w:rFonts w:ascii="Traditional Arabic" w:hAnsi="Traditional Arabic"/>
          <w:rtl/>
        </w:rPr>
        <w:t>المائدة: ٦</w:t>
      </w:r>
      <w:r w:rsidR="007A0DDE" w:rsidRPr="009F1B97">
        <w:rPr>
          <w:rFonts w:ascii="Traditional Arabic" w:hAnsi="Traditional Arabic" w:hint="cs"/>
          <w:rtl/>
        </w:rPr>
        <w:t>]</w:t>
      </w:r>
      <w:r w:rsidR="00B76414" w:rsidRPr="009F1B97">
        <w:rPr>
          <w:rFonts w:ascii="Traditional Arabic" w:hAnsi="Traditional Arabic" w:hint="cs"/>
          <w:rtl/>
        </w:rPr>
        <w:t>.</w:t>
      </w:r>
    </w:p>
    <w:p w:rsidR="007A0DDE" w:rsidRPr="009F1B97" w:rsidRDefault="00B4467C" w:rsidP="009F1B97">
      <w:pPr>
        <w:ind w:firstLine="0"/>
        <w:rPr>
          <w:rFonts w:ascii="Traditional Arabic" w:hAnsi="Traditional Arabic"/>
        </w:rPr>
      </w:pPr>
      <w:r>
        <w:rPr>
          <w:rFonts w:ascii="Traditional Arabic" w:hAnsi="Traditional Arabic" w:hint="cs"/>
          <w:rtl/>
        </w:rPr>
        <w:t xml:space="preserve">(5)    </w:t>
      </w:r>
      <w:r w:rsidR="007A0DDE" w:rsidRPr="009F1B97">
        <w:rPr>
          <w:rFonts w:ascii="Traditional Arabic" w:hAnsi="Traditional Arabic" w:hint="cs"/>
          <w:rtl/>
        </w:rPr>
        <w:t>قوله تعالى:</w:t>
      </w:r>
      <w:bookmarkStart w:id="438" w:name="سورة_الحج_78"/>
      <w:r w:rsidR="00DE73DC" w:rsidRPr="009F1B97">
        <w:rPr>
          <w:rFonts w:ascii="QCF_BSML" w:hAnsi="QCF_BSML" w:cs="QCF_BSML" w:hint="cs"/>
          <w:rtl/>
        </w:rPr>
        <w:t xml:space="preserve"> </w:t>
      </w:r>
      <w:r w:rsidR="00D17979" w:rsidRPr="009F1B97">
        <w:rPr>
          <w:rFonts w:ascii="QCF_BSML" w:hAnsi="QCF_BSML" w:cs="QCF_BSML"/>
          <w:rtl/>
        </w:rPr>
        <w:t xml:space="preserve">ﭽ </w:t>
      </w:r>
      <w:r w:rsidR="00D17979" w:rsidRPr="009F1B97">
        <w:rPr>
          <w:rFonts w:ascii="QCF_P341" w:hAnsi="QCF_P341" w:cs="QCF_P341"/>
          <w:rtl/>
        </w:rPr>
        <w:t>ﮪﮫﮬﮭﮮﮯﮰ</w:t>
      </w:r>
      <w:r w:rsidR="00D17979" w:rsidRPr="009F1B97">
        <w:rPr>
          <w:rFonts w:ascii="QCF_BSML" w:hAnsi="QCF_BSML" w:cs="QCF_BSML"/>
          <w:rtl/>
        </w:rPr>
        <w:t>ﭼ</w:t>
      </w:r>
      <w:bookmarkEnd w:id="438"/>
      <w:r w:rsidR="007A0DDE" w:rsidRPr="009F1B97">
        <w:rPr>
          <w:rFonts w:ascii="Traditional Arabic" w:hAnsi="Traditional Arabic" w:hint="cs"/>
          <w:rtl/>
        </w:rPr>
        <w:t>[</w:t>
      </w:r>
      <w:r w:rsidR="007A0DDE" w:rsidRPr="009F1B97">
        <w:rPr>
          <w:rFonts w:ascii="Traditional Arabic" w:hAnsi="Traditional Arabic"/>
          <w:rtl/>
        </w:rPr>
        <w:t>الحج: ٧٨</w:t>
      </w:r>
      <w:r w:rsidR="007A0DDE" w:rsidRPr="009F1B97">
        <w:rPr>
          <w:rFonts w:ascii="Traditional Arabic" w:hAnsi="Traditional Arabic" w:hint="cs"/>
          <w:rtl/>
        </w:rPr>
        <w:t>]</w:t>
      </w:r>
      <w:r w:rsidR="00B76414" w:rsidRPr="009F1B97">
        <w:rPr>
          <w:rFonts w:ascii="Traditional Arabic" w:hAnsi="Traditional Arabic" w:hint="cs"/>
          <w:rtl/>
        </w:rPr>
        <w:t>.</w:t>
      </w:r>
    </w:p>
    <w:p w:rsidR="007A0DDE" w:rsidRPr="009F1B97" w:rsidRDefault="00B4467C" w:rsidP="009F1B97">
      <w:pPr>
        <w:ind w:firstLine="0"/>
        <w:rPr>
          <w:rFonts w:ascii="Traditional Arabic" w:hAnsi="Traditional Arabic"/>
        </w:rPr>
      </w:pPr>
      <w:r>
        <w:rPr>
          <w:rFonts w:ascii="Traditional Arabic" w:hAnsi="Traditional Arabic" w:hint="cs"/>
          <w:rtl/>
        </w:rPr>
        <w:t xml:space="preserve">(6)    </w:t>
      </w:r>
      <w:r w:rsidR="007A0DDE" w:rsidRPr="009F1B97">
        <w:rPr>
          <w:rFonts w:ascii="Traditional Arabic" w:hAnsi="Traditional Arabic" w:hint="cs"/>
          <w:rtl/>
        </w:rPr>
        <w:t>قوله تعالى:</w:t>
      </w:r>
      <w:bookmarkStart w:id="439" w:name="سورة_التغابن_16_2"/>
      <w:r w:rsidR="00DE73DC" w:rsidRPr="009F1B97">
        <w:rPr>
          <w:rFonts w:ascii="Traditional Arabic" w:hAnsi="Traditional Arabic" w:hint="cs"/>
          <w:rtl/>
        </w:rPr>
        <w:t xml:space="preserve"> </w:t>
      </w:r>
      <w:r w:rsidR="00D17979" w:rsidRPr="009F1B97">
        <w:rPr>
          <w:rFonts w:ascii="QCF_BSML" w:hAnsi="QCF_BSML" w:cs="QCF_BSML"/>
          <w:rtl/>
        </w:rPr>
        <w:t xml:space="preserve">ﭽ </w:t>
      </w:r>
      <w:r w:rsidR="00D17979" w:rsidRPr="009F1B97">
        <w:rPr>
          <w:rFonts w:ascii="QCF_P557" w:hAnsi="QCF_P557" w:cs="QCF_P557"/>
          <w:rtl/>
        </w:rPr>
        <w:t>ﮧﮨﮩﮪ</w:t>
      </w:r>
      <w:r w:rsidR="00D17979" w:rsidRPr="009F1B97">
        <w:rPr>
          <w:rFonts w:ascii="QCF_BSML" w:hAnsi="QCF_BSML" w:cs="QCF_BSML"/>
          <w:rtl/>
        </w:rPr>
        <w:t>ﭼ</w:t>
      </w:r>
      <w:bookmarkEnd w:id="439"/>
      <w:r w:rsidR="007A0DDE" w:rsidRPr="009F1B97">
        <w:rPr>
          <w:rFonts w:ascii="Arial" w:hAnsi="Arial"/>
          <w:rtl/>
        </w:rPr>
        <w:t>[</w:t>
      </w:r>
      <w:r w:rsidR="00DE73DC" w:rsidRPr="009F1B97">
        <w:rPr>
          <w:rFonts w:ascii="Traditional Arabic" w:hAnsi="Traditional Arabic"/>
          <w:rtl/>
        </w:rPr>
        <w:t>التغابن: ١٦</w:t>
      </w:r>
      <w:r w:rsidR="00DE73DC" w:rsidRPr="009F1B97">
        <w:rPr>
          <w:rFonts w:ascii="Traditional Arabic" w:hAnsi="Traditional Arabic" w:hint="cs"/>
          <w:rtl/>
        </w:rPr>
        <w:t>]</w:t>
      </w:r>
      <w:r w:rsidR="007A0DDE" w:rsidRPr="009F1B97">
        <w:rPr>
          <w:rFonts w:ascii="Traditional Arabic" w:hAnsi="Traditional Arabic" w:hint="cs"/>
          <w:rtl/>
        </w:rPr>
        <w:t>.</w:t>
      </w:r>
    </w:p>
    <w:p w:rsidR="000E1D14" w:rsidRPr="00C85F0F" w:rsidRDefault="007A0DDE" w:rsidP="00597C20">
      <w:pPr>
        <w:pStyle w:val="53"/>
        <w:rPr>
          <w:rtl/>
        </w:rPr>
      </w:pPr>
      <w:r w:rsidRPr="00C85F0F">
        <w:rPr>
          <w:rFonts w:hint="cs"/>
          <w:rtl/>
        </w:rPr>
        <w:lastRenderedPageBreak/>
        <w:t xml:space="preserve">وجه الدلالة من </w:t>
      </w:r>
      <w:r w:rsidRPr="009D0E52">
        <w:rPr>
          <w:rFonts w:hint="cs"/>
          <w:rtl/>
        </w:rPr>
        <w:t>هذه</w:t>
      </w:r>
      <w:r w:rsidRPr="00C85F0F">
        <w:rPr>
          <w:rFonts w:hint="cs"/>
          <w:rtl/>
        </w:rPr>
        <w:t xml:space="preserve"> الآيات:</w:t>
      </w:r>
    </w:p>
    <w:p w:rsidR="007A0DDE" w:rsidRPr="00DE73DC" w:rsidRDefault="007A0DDE" w:rsidP="00DE73DC">
      <w:pPr>
        <w:spacing w:before="240"/>
        <w:ind w:firstLine="720"/>
        <w:rPr>
          <w:rFonts w:ascii="Traditional Arabic" w:hAnsi="Traditional Arabic"/>
          <w:rtl/>
        </w:rPr>
      </w:pPr>
      <w:r w:rsidRPr="00C85F0F">
        <w:rPr>
          <w:rFonts w:ascii="Traditional Arabic" w:hAnsi="Traditional Arabic" w:hint="cs"/>
          <w:rtl/>
        </w:rPr>
        <w:t>دل</w:t>
      </w:r>
      <w:r w:rsidR="009F1B97">
        <w:rPr>
          <w:rFonts w:ascii="Traditional Arabic" w:hAnsi="Traditional Arabic" w:hint="cs"/>
          <w:rtl/>
        </w:rPr>
        <w:t>َّ</w:t>
      </w:r>
      <w:r w:rsidR="00DE73DC">
        <w:rPr>
          <w:rFonts w:ascii="Traditional Arabic" w:hAnsi="Traditional Arabic" w:hint="cs"/>
          <w:rtl/>
        </w:rPr>
        <w:t>ت هذه الآيات</w:t>
      </w:r>
      <w:r w:rsidRPr="00C85F0F">
        <w:rPr>
          <w:rFonts w:ascii="Traditional Arabic" w:hAnsi="Traditional Arabic" w:hint="cs"/>
          <w:rtl/>
        </w:rPr>
        <w:t xml:space="preserve"> على أن هذا الدين ليس فيه حرج ولا مشقة؛ لا في أصل العبادات</w:t>
      </w:r>
      <w:r w:rsidR="00DE73DC">
        <w:rPr>
          <w:rFonts w:ascii="Traditional Arabic" w:hAnsi="Traditional Arabic" w:hint="cs"/>
          <w:rtl/>
        </w:rPr>
        <w:t>،</w:t>
      </w:r>
      <w:r w:rsidRPr="00C85F0F">
        <w:rPr>
          <w:rFonts w:ascii="Traditional Arabic" w:hAnsi="Traditional Arabic" w:hint="cs"/>
          <w:rtl/>
        </w:rPr>
        <w:t xml:space="preserve"> ولا فيما إذا وُجد طارئٌ يقتضي التخفيف</w:t>
      </w:r>
      <w:r w:rsidRPr="00C85F0F">
        <w:rPr>
          <w:rFonts w:ascii="Traditional Arabic" w:hAnsi="Traditional Arabic"/>
          <w:szCs w:val="32"/>
          <w:vertAlign w:val="superscript"/>
          <w:rtl/>
        </w:rPr>
        <w:t>(</w:t>
      </w:r>
      <w:r w:rsidRPr="00C85F0F">
        <w:rPr>
          <w:rFonts w:ascii="Traditional Arabic" w:hAnsi="Traditional Arabic"/>
          <w:szCs w:val="32"/>
          <w:vertAlign w:val="superscript"/>
          <w:rtl/>
        </w:rPr>
        <w:footnoteReference w:id="2019"/>
      </w:r>
      <w:r w:rsidRPr="00C85F0F">
        <w:rPr>
          <w:rFonts w:ascii="Traditional Arabic" w:hAnsi="Traditional Arabic"/>
          <w:szCs w:val="32"/>
          <w:vertAlign w:val="superscript"/>
          <w:rtl/>
        </w:rPr>
        <w:t>)</w:t>
      </w:r>
      <w:r w:rsidR="00B76414" w:rsidRPr="00C85F0F">
        <w:rPr>
          <w:rFonts w:ascii="Traditional Arabic" w:hAnsi="Traditional Arabic" w:hint="cs"/>
          <w:rtl/>
        </w:rPr>
        <w:t>.</w:t>
      </w:r>
    </w:p>
    <w:p w:rsidR="007A0DDE" w:rsidRPr="009F1B97" w:rsidRDefault="00B4467C" w:rsidP="009F1B97">
      <w:pPr>
        <w:ind w:firstLine="0"/>
        <w:rPr>
          <w:rFonts w:ascii="Traditional Arabic" w:hAnsi="Traditional Arabic"/>
          <w:rtl/>
        </w:rPr>
      </w:pPr>
      <w:r>
        <w:rPr>
          <w:rFonts w:ascii="Traditional Arabic" w:hAnsi="Traditional Arabic" w:hint="cs"/>
          <w:rtl/>
        </w:rPr>
        <w:t xml:space="preserve">(7)    </w:t>
      </w:r>
      <w:r w:rsidR="007A0DDE" w:rsidRPr="009F1B97">
        <w:rPr>
          <w:rFonts w:ascii="Traditional Arabic" w:hAnsi="Traditional Arabic" w:hint="cs"/>
          <w:rtl/>
        </w:rPr>
        <w:t xml:space="preserve">حديث أبي هريرة </w:t>
      </w:r>
      <w:r w:rsidR="00DE73DC" w:rsidRPr="009F1B97">
        <w:rPr>
          <w:rFonts w:ascii="Traditional Arabic" w:hAnsi="Traditional Arabic" w:hint="cs"/>
          <w:rtl/>
        </w:rPr>
        <w:t>_</w:t>
      </w:r>
      <w:r w:rsidR="007A0DDE" w:rsidRPr="00C85F0F">
        <w:rPr>
          <w:rFonts w:hint="cs"/>
          <w:rtl/>
        </w:rPr>
        <w:sym w:font="AGA Arabesque" w:char="F074"/>
      </w:r>
      <w:r w:rsidR="00DE73DC" w:rsidRPr="009F1B97">
        <w:rPr>
          <w:rFonts w:ascii="Traditional Arabic" w:hAnsi="Traditional Arabic" w:hint="cs"/>
          <w:rtl/>
        </w:rPr>
        <w:t>_</w:t>
      </w:r>
      <w:r w:rsidR="007A0DDE" w:rsidRPr="009F1B97">
        <w:rPr>
          <w:rFonts w:ascii="Traditional Arabic" w:hAnsi="Traditional Arabic" w:hint="cs"/>
          <w:rtl/>
        </w:rPr>
        <w:t xml:space="preserve"> أن النبي </w:t>
      </w:r>
      <w:r w:rsidR="007A0DDE" w:rsidRPr="00C85F0F">
        <w:rPr>
          <w:rFonts w:hint="cs"/>
          <w:rtl/>
        </w:rPr>
        <w:sym w:font="AGA Arabesque" w:char="F072"/>
      </w:r>
      <w:r w:rsidR="007A0DDE" w:rsidRPr="009F1B97">
        <w:rPr>
          <w:rFonts w:ascii="Traditional Arabic" w:hAnsi="Traditional Arabic" w:hint="cs"/>
          <w:rtl/>
        </w:rPr>
        <w:t xml:space="preserve"> قال:</w:t>
      </w:r>
      <w:r w:rsidR="005C3C61" w:rsidRPr="009F1B97">
        <w:rPr>
          <w:rFonts w:ascii="Traditional Arabic" w:hAnsi="Traditional Arabic" w:hint="cs"/>
          <w:rtl/>
        </w:rPr>
        <w:t xml:space="preserve"> </w:t>
      </w:r>
      <w:r w:rsidR="007A0DDE" w:rsidRPr="009F1B97">
        <w:rPr>
          <w:rFonts w:ascii="Traditional Arabic" w:hAnsi="Traditional Arabic" w:hint="cs"/>
          <w:rtl/>
        </w:rPr>
        <w:t>"</w:t>
      </w:r>
      <w:r w:rsidR="005C3C61" w:rsidRPr="009F1B97">
        <w:rPr>
          <w:rFonts w:ascii="Traditional Arabic" w:hAnsi="Traditional Arabic" w:hint="eastAsia"/>
          <w:rtl/>
        </w:rPr>
        <w:t>إِن</w:t>
      </w:r>
      <w:r w:rsidR="005C3C61" w:rsidRPr="009F1B97">
        <w:rPr>
          <w:rFonts w:ascii="Traditional Arabic" w:hAnsi="Traditional Arabic" w:hint="cs"/>
          <w:rtl/>
        </w:rPr>
        <w:t>َّ</w:t>
      </w:r>
      <w:r w:rsidR="00BF427E" w:rsidRPr="009F1B97">
        <w:rPr>
          <w:rFonts w:ascii="Traditional Arabic" w:hAnsi="Traditional Arabic" w:hint="cs"/>
          <w:rtl/>
        </w:rPr>
        <w:t xml:space="preserve"> </w:t>
      </w:r>
      <w:r w:rsidR="005C3C61" w:rsidRPr="009F1B97">
        <w:rPr>
          <w:rFonts w:ascii="Traditional Arabic" w:hAnsi="Traditional Arabic" w:hint="eastAsia"/>
          <w:rtl/>
        </w:rPr>
        <w:t>الدِّين</w:t>
      </w:r>
      <w:r w:rsidR="00BF427E" w:rsidRPr="009F1B97">
        <w:rPr>
          <w:rFonts w:ascii="Traditional Arabic" w:hAnsi="Traditional Arabic" w:hint="cs"/>
          <w:rtl/>
        </w:rPr>
        <w:t xml:space="preserve"> </w:t>
      </w:r>
      <w:r w:rsidR="007A0DDE" w:rsidRPr="009F1B97">
        <w:rPr>
          <w:rFonts w:ascii="Traditional Arabic" w:hAnsi="Traditional Arabic" w:hint="eastAsia"/>
          <w:rtl/>
        </w:rPr>
        <w:t>يُسْرٌ</w:t>
      </w:r>
      <w:r w:rsidR="00BF427E" w:rsidRPr="009F1B97">
        <w:rPr>
          <w:rFonts w:ascii="Traditional Arabic" w:hAnsi="Traditional Arabic" w:hint="cs"/>
          <w:rtl/>
        </w:rPr>
        <w:t xml:space="preserve"> </w:t>
      </w:r>
      <w:r w:rsidR="005C3C61" w:rsidRPr="009F1B97">
        <w:rPr>
          <w:rFonts w:ascii="Traditional Arabic" w:hAnsi="Traditional Arabic" w:hint="eastAsia"/>
          <w:rtl/>
        </w:rPr>
        <w:t>ولن</w:t>
      </w:r>
      <w:r w:rsidR="00BF427E" w:rsidRPr="009F1B97">
        <w:rPr>
          <w:rFonts w:ascii="Traditional Arabic" w:hAnsi="Traditional Arabic" w:hint="cs"/>
          <w:rtl/>
        </w:rPr>
        <w:t xml:space="preserve"> </w:t>
      </w:r>
      <w:r w:rsidR="005C3C61" w:rsidRPr="009F1B97">
        <w:rPr>
          <w:rFonts w:ascii="Traditional Arabic" w:hAnsi="Traditional Arabic" w:hint="eastAsia"/>
          <w:rtl/>
        </w:rPr>
        <w:t>يُش</w:t>
      </w:r>
      <w:r w:rsidR="007A0DDE" w:rsidRPr="009F1B97">
        <w:rPr>
          <w:rFonts w:ascii="Traditional Arabic" w:hAnsi="Traditional Arabic" w:hint="eastAsia"/>
          <w:rtl/>
        </w:rPr>
        <w:t>ادَّ</w:t>
      </w:r>
      <w:r w:rsidR="00BF427E" w:rsidRPr="009F1B97">
        <w:rPr>
          <w:rFonts w:ascii="Traditional Arabic" w:hAnsi="Traditional Arabic" w:hint="cs"/>
          <w:rtl/>
        </w:rPr>
        <w:t xml:space="preserve"> </w:t>
      </w:r>
      <w:r w:rsidR="005C3C61" w:rsidRPr="009F1B97">
        <w:rPr>
          <w:rFonts w:ascii="Traditional Arabic" w:hAnsi="Traditional Arabic" w:hint="eastAsia"/>
          <w:rtl/>
        </w:rPr>
        <w:t>الد</w:t>
      </w:r>
      <w:r w:rsidR="007A0DDE" w:rsidRPr="009F1B97">
        <w:rPr>
          <w:rFonts w:ascii="Traditional Arabic" w:hAnsi="Traditional Arabic" w:hint="eastAsia"/>
          <w:rtl/>
        </w:rPr>
        <w:t>ينَ</w:t>
      </w:r>
      <w:r w:rsidR="00BF427E" w:rsidRPr="009F1B97">
        <w:rPr>
          <w:rFonts w:ascii="Traditional Arabic" w:hAnsi="Traditional Arabic" w:hint="cs"/>
          <w:rtl/>
        </w:rPr>
        <w:t xml:space="preserve"> </w:t>
      </w:r>
      <w:r w:rsidR="005C3C61" w:rsidRPr="009F1B97">
        <w:rPr>
          <w:rFonts w:ascii="Traditional Arabic" w:hAnsi="Traditional Arabic" w:hint="eastAsia"/>
          <w:rtl/>
        </w:rPr>
        <w:t>أح</w:t>
      </w:r>
      <w:r w:rsidR="007A0DDE" w:rsidRPr="009F1B97">
        <w:rPr>
          <w:rFonts w:ascii="Traditional Arabic" w:hAnsi="Traditional Arabic" w:hint="eastAsia"/>
          <w:rtl/>
        </w:rPr>
        <w:t>دٌ</w:t>
      </w:r>
      <w:r w:rsidR="00BF427E" w:rsidRPr="009F1B97">
        <w:rPr>
          <w:rFonts w:ascii="Traditional Arabic" w:hAnsi="Traditional Arabic" w:hint="cs"/>
          <w:rtl/>
        </w:rPr>
        <w:t xml:space="preserve"> </w:t>
      </w:r>
      <w:r w:rsidR="005C3C61" w:rsidRPr="009F1B97">
        <w:rPr>
          <w:rFonts w:ascii="Traditional Arabic" w:hAnsi="Traditional Arabic" w:hint="eastAsia"/>
          <w:rtl/>
        </w:rPr>
        <w:t>إِلا</w:t>
      </w:r>
      <w:r w:rsidR="00BF427E" w:rsidRPr="009F1B97">
        <w:rPr>
          <w:rFonts w:ascii="Traditional Arabic" w:hAnsi="Traditional Arabic" w:hint="cs"/>
          <w:rtl/>
        </w:rPr>
        <w:t xml:space="preserve"> </w:t>
      </w:r>
      <w:r w:rsidR="005C3C61" w:rsidRPr="009F1B97">
        <w:rPr>
          <w:rFonts w:ascii="Traditional Arabic" w:hAnsi="Traditional Arabic" w:hint="eastAsia"/>
          <w:rtl/>
        </w:rPr>
        <w:t>غَلَبَه</w:t>
      </w:r>
      <w:r w:rsidR="00BF427E" w:rsidRPr="009F1B97">
        <w:rPr>
          <w:rFonts w:ascii="Traditional Arabic" w:hAnsi="Traditional Arabic" w:hint="cs"/>
          <w:rtl/>
        </w:rPr>
        <w:t xml:space="preserve">، </w:t>
      </w:r>
      <w:r w:rsidR="00AB0B9E" w:rsidRPr="009F1B97">
        <w:rPr>
          <w:rFonts w:ascii="Traditional Arabic" w:hAnsi="Traditional Arabic"/>
        </w:rPr>
        <w:fldChar w:fldCharType="begin"/>
      </w:r>
      <w:r w:rsidR="00F835D6" w:rsidRPr="00C85F0F">
        <w:instrText>XE</w:instrText>
      </w:r>
      <w:r w:rsidR="00F835D6" w:rsidRPr="00C85F0F">
        <w:rPr>
          <w:rtl/>
        </w:rPr>
        <w:instrText xml:space="preserve"> "</w:instrText>
      </w:r>
      <w:r w:rsidR="00F835D6" w:rsidRPr="009F1B97">
        <w:rPr>
          <w:rFonts w:ascii="Traditional Arabic" w:hAnsi="Traditional Arabic" w:hint="eastAsia"/>
          <w:rtl/>
        </w:rPr>
        <w:instrText>إِنَّالدِّينَيُسْرٌوَلَنْيُشَادَّالدِّينَأَحَدٌإِلاَّغَلَبَهُ</w:instrText>
      </w:r>
      <w:r w:rsidR="00F835D6" w:rsidRPr="00C85F0F">
        <w:rPr>
          <w:rtl/>
        </w:rPr>
        <w:instrText>" \</w:instrText>
      </w:r>
      <w:r w:rsidR="00F835D6" w:rsidRPr="00C85F0F">
        <w:instrText>fh</w:instrText>
      </w:r>
      <w:r w:rsidR="00AB0B9E" w:rsidRPr="009F1B97">
        <w:rPr>
          <w:rFonts w:ascii="Traditional Arabic" w:hAnsi="Traditional Arabic"/>
        </w:rPr>
        <w:fldChar w:fldCharType="end"/>
      </w:r>
      <w:r w:rsidR="005C3C61" w:rsidRPr="009F1B97">
        <w:rPr>
          <w:rFonts w:ascii="Traditional Arabic" w:hAnsi="Traditional Arabic" w:hint="eastAsia"/>
          <w:rtl/>
        </w:rPr>
        <w:t>فسَدِّد</w:t>
      </w:r>
      <w:r w:rsidR="007A0DDE" w:rsidRPr="009F1B97">
        <w:rPr>
          <w:rFonts w:ascii="Traditional Arabic" w:hAnsi="Traditional Arabic" w:hint="eastAsia"/>
          <w:rtl/>
        </w:rPr>
        <w:t>وا</w:t>
      </w:r>
      <w:r w:rsidR="00BF427E" w:rsidRPr="009F1B97">
        <w:rPr>
          <w:rFonts w:ascii="Traditional Arabic" w:hAnsi="Traditional Arabic" w:hint="cs"/>
          <w:rtl/>
        </w:rPr>
        <w:t xml:space="preserve"> </w:t>
      </w:r>
      <w:r w:rsidR="005C3C61" w:rsidRPr="009F1B97">
        <w:rPr>
          <w:rFonts w:ascii="Traditional Arabic" w:hAnsi="Traditional Arabic" w:hint="eastAsia"/>
          <w:rtl/>
        </w:rPr>
        <w:t>وقارِب</w:t>
      </w:r>
      <w:r w:rsidR="007A0DDE" w:rsidRPr="009F1B97">
        <w:rPr>
          <w:rFonts w:ascii="Traditional Arabic" w:hAnsi="Traditional Arabic" w:hint="eastAsia"/>
          <w:rtl/>
        </w:rPr>
        <w:t>وا</w:t>
      </w:r>
      <w:r w:rsidR="00BF427E" w:rsidRPr="009F1B97">
        <w:rPr>
          <w:rFonts w:ascii="Traditional Arabic" w:hAnsi="Traditional Arabic" w:hint="cs"/>
          <w:rtl/>
        </w:rPr>
        <w:t xml:space="preserve"> </w:t>
      </w:r>
      <w:r w:rsidR="005C3C61" w:rsidRPr="009F1B97">
        <w:rPr>
          <w:rFonts w:ascii="Traditional Arabic" w:hAnsi="Traditional Arabic" w:hint="eastAsia"/>
          <w:rtl/>
        </w:rPr>
        <w:t>وأبشر</w:t>
      </w:r>
      <w:r w:rsidR="007A0DDE" w:rsidRPr="009F1B97">
        <w:rPr>
          <w:rFonts w:ascii="Traditional Arabic" w:hAnsi="Traditional Arabic" w:hint="eastAsia"/>
          <w:rtl/>
        </w:rPr>
        <w:t>وا</w:t>
      </w:r>
      <w:r w:rsidR="00BF427E" w:rsidRPr="009F1B97">
        <w:rPr>
          <w:rFonts w:ascii="Traditional Arabic" w:hAnsi="Traditional Arabic" w:hint="cs"/>
          <w:rtl/>
        </w:rPr>
        <w:t xml:space="preserve">، </w:t>
      </w:r>
      <w:r w:rsidR="005C3C61" w:rsidRPr="009F1B97">
        <w:rPr>
          <w:rFonts w:ascii="Traditional Arabic" w:hAnsi="Traditional Arabic" w:hint="eastAsia"/>
          <w:rtl/>
        </w:rPr>
        <w:t>واستعين</w:t>
      </w:r>
      <w:r w:rsidR="007A0DDE" w:rsidRPr="009F1B97">
        <w:rPr>
          <w:rFonts w:ascii="Traditional Arabic" w:hAnsi="Traditional Arabic" w:hint="eastAsia"/>
          <w:rtl/>
        </w:rPr>
        <w:t>وا</w:t>
      </w:r>
      <w:r w:rsidR="00DE73DC" w:rsidRPr="009F1B97">
        <w:rPr>
          <w:rFonts w:ascii="Traditional Arabic" w:hAnsi="Traditional Arabic" w:hint="cs"/>
          <w:rtl/>
        </w:rPr>
        <w:t xml:space="preserve"> </w:t>
      </w:r>
      <w:r w:rsidR="005C3C61" w:rsidRPr="009F1B97">
        <w:rPr>
          <w:rFonts w:ascii="Traditional Arabic" w:hAnsi="Traditional Arabic" w:hint="eastAsia"/>
          <w:rtl/>
        </w:rPr>
        <w:t>بِالْغَدْوة</w:t>
      </w:r>
      <w:r w:rsidR="005C3C61">
        <w:rPr>
          <w:rStyle w:val="af1"/>
          <w:rFonts w:ascii="Traditional Arabic" w:hAnsi="Traditional Arabic"/>
          <w:rtl/>
        </w:rPr>
        <w:footnoteReference w:id="2020"/>
      </w:r>
      <w:r w:rsidR="00BF427E" w:rsidRPr="009F1B97">
        <w:rPr>
          <w:rFonts w:ascii="Traditional Arabic" w:hAnsi="Traditional Arabic" w:hint="cs"/>
          <w:rtl/>
        </w:rPr>
        <w:t xml:space="preserve"> </w:t>
      </w:r>
      <w:r w:rsidR="007A0DDE" w:rsidRPr="009F1B97">
        <w:rPr>
          <w:rFonts w:ascii="Traditional Arabic" w:hAnsi="Traditional Arabic" w:hint="eastAsia"/>
          <w:rtl/>
        </w:rPr>
        <w:t>وَالر</w:t>
      </w:r>
      <w:r w:rsidR="005C3C61" w:rsidRPr="009F1B97">
        <w:rPr>
          <w:rFonts w:ascii="Traditional Arabic" w:hAnsi="Traditional Arabic" w:hint="eastAsia"/>
          <w:rtl/>
        </w:rPr>
        <w:t>َّوْح</w:t>
      </w:r>
      <w:r w:rsidR="007A0DDE" w:rsidRPr="009F1B97">
        <w:rPr>
          <w:rFonts w:ascii="Traditional Arabic" w:hAnsi="Traditional Arabic" w:hint="eastAsia"/>
          <w:rtl/>
        </w:rPr>
        <w:t>ة</w:t>
      </w:r>
      <w:r w:rsidR="00DE73DC" w:rsidRPr="009F1B97">
        <w:rPr>
          <w:rFonts w:ascii="Traditional Arabic" w:hAnsi="Traditional Arabic" w:hint="cs"/>
          <w:vertAlign w:val="superscript"/>
          <w:rtl/>
        </w:rPr>
        <w:t>(</w:t>
      </w:r>
      <w:r w:rsidR="00DE73DC" w:rsidRPr="00DE73DC">
        <w:rPr>
          <w:rStyle w:val="af1"/>
          <w:rFonts w:ascii="Traditional Arabic" w:hAnsi="Traditional Arabic"/>
          <w:rtl/>
        </w:rPr>
        <w:footnoteReference w:id="2021"/>
      </w:r>
      <w:r w:rsidR="00DE73DC" w:rsidRPr="009F1B97">
        <w:rPr>
          <w:rFonts w:ascii="Traditional Arabic" w:hAnsi="Traditional Arabic" w:hint="cs"/>
          <w:vertAlign w:val="superscript"/>
          <w:rtl/>
        </w:rPr>
        <w:t>)</w:t>
      </w:r>
      <w:r w:rsidR="00BF427E" w:rsidRPr="009F1B97">
        <w:rPr>
          <w:rFonts w:ascii="Traditional Arabic" w:hAnsi="Traditional Arabic" w:hint="cs"/>
          <w:vertAlign w:val="superscript"/>
          <w:rtl/>
        </w:rPr>
        <w:t xml:space="preserve"> </w:t>
      </w:r>
      <w:r w:rsidR="005C3C61" w:rsidRPr="009F1B97">
        <w:rPr>
          <w:rFonts w:ascii="Traditional Arabic" w:hAnsi="Traditional Arabic" w:hint="eastAsia"/>
          <w:rtl/>
        </w:rPr>
        <w:t>وشيء</w:t>
      </w:r>
      <w:r w:rsidR="00BF427E" w:rsidRPr="009F1B97">
        <w:rPr>
          <w:rFonts w:ascii="Traditional Arabic" w:hAnsi="Traditional Arabic" w:hint="cs"/>
          <w:rtl/>
        </w:rPr>
        <w:t xml:space="preserve"> </w:t>
      </w:r>
      <w:r w:rsidR="005C3C61" w:rsidRPr="009F1B97">
        <w:rPr>
          <w:rFonts w:ascii="Traditional Arabic" w:hAnsi="Traditional Arabic" w:hint="eastAsia"/>
          <w:rtl/>
        </w:rPr>
        <w:t>من</w:t>
      </w:r>
      <w:r w:rsidR="00BF427E" w:rsidRPr="009F1B97">
        <w:rPr>
          <w:rFonts w:ascii="Traditional Arabic" w:hAnsi="Traditional Arabic" w:hint="cs"/>
          <w:rtl/>
        </w:rPr>
        <w:t xml:space="preserve"> </w:t>
      </w:r>
      <w:r w:rsidR="005C3C61" w:rsidRPr="009F1B97">
        <w:rPr>
          <w:rFonts w:ascii="Traditional Arabic" w:hAnsi="Traditional Arabic" w:hint="eastAsia"/>
          <w:rtl/>
        </w:rPr>
        <w:t>الدُّلْجَة</w:t>
      </w:r>
      <w:r w:rsidR="005C3C61">
        <w:rPr>
          <w:rStyle w:val="af1"/>
          <w:rFonts w:ascii="Traditional Arabic" w:hAnsi="Traditional Arabic"/>
          <w:rtl/>
        </w:rPr>
        <w:footnoteReference w:id="2022"/>
      </w:r>
      <w:r w:rsidR="007A0DDE" w:rsidRPr="009F1B97">
        <w:rPr>
          <w:rFonts w:ascii="Traditional Arabic" w:hAnsi="Traditional Arabic" w:hint="cs"/>
          <w:rtl/>
        </w:rPr>
        <w:t>"</w:t>
      </w:r>
      <w:r w:rsidR="007A0DDE" w:rsidRPr="009F1B97">
        <w:rPr>
          <w:rFonts w:ascii="Traditional Arabic" w:hAnsi="Traditional Arabic"/>
          <w:b/>
          <w:szCs w:val="32"/>
          <w:vertAlign w:val="superscript"/>
          <w:rtl/>
        </w:rPr>
        <w:t>(</w:t>
      </w:r>
      <w:r w:rsidR="007A0DDE" w:rsidRPr="00C821A1">
        <w:rPr>
          <w:b/>
          <w:szCs w:val="32"/>
          <w:vertAlign w:val="superscript"/>
          <w:rtl/>
        </w:rPr>
        <w:footnoteReference w:id="2023"/>
      </w:r>
      <w:r w:rsidR="007A0DDE" w:rsidRPr="009F1B97">
        <w:rPr>
          <w:rFonts w:ascii="Traditional Arabic" w:hAnsi="Traditional Arabic"/>
          <w:b/>
          <w:szCs w:val="32"/>
          <w:vertAlign w:val="superscript"/>
          <w:rtl/>
        </w:rPr>
        <w:t>)</w:t>
      </w:r>
      <w:r w:rsidR="007A0DDE" w:rsidRPr="009F1B97">
        <w:rPr>
          <w:rFonts w:ascii="Traditional Arabic" w:hAnsi="Traditional Arabic"/>
          <w:rtl/>
        </w:rPr>
        <w:t>.</w:t>
      </w:r>
    </w:p>
    <w:p w:rsidR="000E1D14" w:rsidRPr="000E1D14" w:rsidRDefault="007A0DDE" w:rsidP="00597C20">
      <w:pPr>
        <w:pStyle w:val="53"/>
        <w:rPr>
          <w:rtl/>
        </w:rPr>
      </w:pPr>
      <w:r w:rsidRPr="000E1D14">
        <w:rPr>
          <w:rFonts w:hint="cs"/>
          <w:rtl/>
        </w:rPr>
        <w:t>وجه الدلالة:</w:t>
      </w:r>
    </w:p>
    <w:p w:rsidR="007A0DDE" w:rsidRPr="000E1D14" w:rsidRDefault="009F1B97" w:rsidP="00597C20">
      <w:pPr>
        <w:ind w:firstLine="720"/>
        <w:rPr>
          <w:rFonts w:ascii="Traditional Arabic" w:hAnsi="Traditional Arabic"/>
          <w:rtl/>
        </w:rPr>
      </w:pPr>
      <w:r>
        <w:rPr>
          <w:rFonts w:ascii="Traditional Arabic" w:hAnsi="Traditional Arabic" w:hint="cs"/>
          <w:rtl/>
        </w:rPr>
        <w:t>إ</w:t>
      </w:r>
      <w:r w:rsidR="007A0DDE" w:rsidRPr="000E1D14">
        <w:rPr>
          <w:rFonts w:ascii="Traditional Arabic" w:hAnsi="Traditional Arabic" w:hint="cs"/>
          <w:rtl/>
        </w:rPr>
        <w:t>ن الدين يسر</w:t>
      </w:r>
      <w:r>
        <w:rPr>
          <w:rFonts w:ascii="Traditional Arabic" w:hAnsi="Traditional Arabic" w:hint="cs"/>
          <w:rtl/>
        </w:rPr>
        <w:t>ٌ</w:t>
      </w:r>
      <w:r w:rsidR="007A0DDE" w:rsidRPr="000E1D14">
        <w:rPr>
          <w:rFonts w:ascii="Traditional Arabic" w:hAnsi="Traditional Arabic" w:hint="cs"/>
          <w:rtl/>
        </w:rPr>
        <w:t xml:space="preserve"> في أصل التشريع</w:t>
      </w:r>
      <w:r w:rsidR="00B76414" w:rsidRPr="000E1D14">
        <w:rPr>
          <w:rFonts w:ascii="Traditional Arabic" w:hAnsi="Traditional Arabic" w:hint="cs"/>
          <w:rtl/>
        </w:rPr>
        <w:t>،</w:t>
      </w:r>
      <w:r w:rsidR="007A0DDE" w:rsidRPr="000E1D14">
        <w:rPr>
          <w:rFonts w:ascii="Traditional Arabic" w:hAnsi="Traditional Arabic" w:hint="cs"/>
          <w:rtl/>
        </w:rPr>
        <w:t xml:space="preserve"> ويسر</w:t>
      </w:r>
      <w:r>
        <w:rPr>
          <w:rFonts w:ascii="Traditional Arabic" w:hAnsi="Traditional Arabic" w:hint="cs"/>
          <w:rtl/>
        </w:rPr>
        <w:t>ٌ</w:t>
      </w:r>
      <w:r w:rsidR="007A0DDE" w:rsidRPr="000E1D14">
        <w:rPr>
          <w:rFonts w:ascii="Traditional Arabic" w:hAnsi="Traditional Arabic" w:hint="cs"/>
          <w:rtl/>
        </w:rPr>
        <w:t xml:space="preserve"> إذا طرأ ما يُوجب الحاجة إلى التيسير</w:t>
      </w:r>
      <w:r w:rsidR="007A0DDE" w:rsidRPr="00C821A1">
        <w:rPr>
          <w:rFonts w:ascii="Traditional Arabic" w:hAnsi="Traditional Arabic"/>
          <w:b/>
          <w:szCs w:val="32"/>
          <w:vertAlign w:val="superscript"/>
          <w:rtl/>
        </w:rPr>
        <w:t>(</w:t>
      </w:r>
      <w:r w:rsidR="007A0DDE" w:rsidRPr="00C821A1">
        <w:rPr>
          <w:rFonts w:ascii="Traditional Arabic" w:hAnsi="Traditional Arabic"/>
          <w:b/>
          <w:szCs w:val="32"/>
          <w:vertAlign w:val="superscript"/>
          <w:rtl/>
        </w:rPr>
        <w:footnoteReference w:id="2024"/>
      </w:r>
      <w:r w:rsidR="007A0DDE" w:rsidRPr="00C821A1">
        <w:rPr>
          <w:rFonts w:ascii="Traditional Arabic" w:hAnsi="Traditional Arabic"/>
          <w:b/>
          <w:szCs w:val="32"/>
          <w:vertAlign w:val="superscript"/>
          <w:rtl/>
        </w:rPr>
        <w:t>)</w:t>
      </w:r>
      <w:r w:rsidR="007A0DDE" w:rsidRPr="000E1D14">
        <w:rPr>
          <w:rFonts w:ascii="Traditional Arabic" w:hAnsi="Traditional Arabic" w:hint="cs"/>
          <w:rtl/>
        </w:rPr>
        <w:t>.</w:t>
      </w:r>
    </w:p>
    <w:p w:rsidR="007A0DDE" w:rsidRPr="00B4467C" w:rsidRDefault="00B4467C" w:rsidP="00B4467C">
      <w:pPr>
        <w:ind w:firstLine="0"/>
        <w:rPr>
          <w:rFonts w:ascii="Traditional Arabic" w:hAnsi="Traditional Arabic"/>
          <w:rtl/>
        </w:rPr>
      </w:pPr>
      <w:r>
        <w:rPr>
          <w:rFonts w:ascii="Traditional Arabic" w:hAnsi="Traditional Arabic" w:hint="cs"/>
          <w:rtl/>
        </w:rPr>
        <w:t xml:space="preserve">(8)    </w:t>
      </w:r>
      <w:r w:rsidR="007A0DDE" w:rsidRPr="00B4467C">
        <w:rPr>
          <w:rFonts w:ascii="Traditional Arabic" w:hAnsi="Traditional Arabic" w:hint="cs"/>
          <w:rtl/>
        </w:rPr>
        <w:t>حديث أبي هريرة</w:t>
      </w:r>
      <w:r w:rsidR="007A0DDE" w:rsidRPr="009F1B97">
        <w:rPr>
          <w:rFonts w:hint="cs"/>
        </w:rPr>
        <w:sym w:font="AGA Arabesque" w:char="F074"/>
      </w:r>
      <w:r w:rsidR="009F1B97" w:rsidRPr="00B4467C">
        <w:rPr>
          <w:rFonts w:ascii="Traditional Arabic" w:hAnsi="Traditional Arabic"/>
        </w:rPr>
        <w:t>_</w:t>
      </w:r>
      <w:r w:rsidR="009F1B97" w:rsidRPr="00B4467C">
        <w:rPr>
          <w:rFonts w:ascii="Traditional Arabic" w:hAnsi="Traditional Arabic" w:hint="cs"/>
          <w:rtl/>
        </w:rPr>
        <w:t>_</w:t>
      </w:r>
      <w:r w:rsidR="007A0DDE" w:rsidRPr="00B4467C">
        <w:rPr>
          <w:rFonts w:ascii="Traditional Arabic" w:hAnsi="Traditional Arabic" w:hint="cs"/>
          <w:rtl/>
        </w:rPr>
        <w:t xml:space="preserve"> أن النبي </w:t>
      </w:r>
      <w:r w:rsidR="007A0DDE" w:rsidRPr="000E1D14">
        <w:rPr>
          <w:rFonts w:hint="cs"/>
        </w:rPr>
        <w:sym w:font="AGA Arabesque" w:char="F072"/>
      </w:r>
      <w:r w:rsidR="007A0DDE" w:rsidRPr="00B4467C">
        <w:rPr>
          <w:rFonts w:ascii="Traditional Arabic" w:hAnsi="Traditional Arabic" w:hint="cs"/>
          <w:rtl/>
        </w:rPr>
        <w:t xml:space="preserve"> قال:</w:t>
      </w:r>
      <w:r w:rsidR="009F1B97" w:rsidRPr="00B4467C">
        <w:rPr>
          <w:rFonts w:ascii="Traditional Arabic" w:hAnsi="Traditional Arabic" w:hint="cs"/>
          <w:rtl/>
        </w:rPr>
        <w:t xml:space="preserve"> </w:t>
      </w:r>
      <w:r w:rsidR="007A0DDE" w:rsidRPr="00B4467C">
        <w:rPr>
          <w:rFonts w:ascii="Traditional Arabic" w:hAnsi="Traditional Arabic" w:hint="cs"/>
          <w:rtl/>
        </w:rPr>
        <w:t>"</w:t>
      </w:r>
      <w:r w:rsidR="009F1B97" w:rsidRPr="00B4467C">
        <w:rPr>
          <w:rFonts w:ascii="Traditional Arabic" w:hAnsi="Traditional Arabic" w:hint="eastAsia"/>
          <w:rtl/>
        </w:rPr>
        <w:t>لولا</w:t>
      </w:r>
      <w:r w:rsidR="00BF427E" w:rsidRPr="00B4467C">
        <w:rPr>
          <w:rFonts w:ascii="Traditional Arabic" w:hAnsi="Traditional Arabic" w:hint="cs"/>
          <w:rtl/>
        </w:rPr>
        <w:t xml:space="preserve"> </w:t>
      </w:r>
      <w:r w:rsidR="009F1B97" w:rsidRPr="00B4467C">
        <w:rPr>
          <w:rFonts w:ascii="Traditional Arabic" w:hAnsi="Traditional Arabic" w:hint="eastAsia"/>
          <w:rtl/>
        </w:rPr>
        <w:t>أن</w:t>
      </w:r>
      <w:r w:rsidR="00BF427E" w:rsidRPr="00B4467C">
        <w:rPr>
          <w:rFonts w:ascii="Traditional Arabic" w:hAnsi="Traditional Arabic" w:hint="cs"/>
          <w:rtl/>
        </w:rPr>
        <w:t xml:space="preserve"> </w:t>
      </w:r>
      <w:r w:rsidR="007A0DDE" w:rsidRPr="00B4467C">
        <w:rPr>
          <w:rFonts w:ascii="Traditional Arabic" w:hAnsi="Traditional Arabic" w:hint="eastAsia"/>
          <w:rtl/>
        </w:rPr>
        <w:t>أَشُقَّ</w:t>
      </w:r>
      <w:r w:rsidR="00BF427E" w:rsidRPr="00B4467C">
        <w:rPr>
          <w:rFonts w:ascii="Traditional Arabic" w:hAnsi="Traditional Arabic" w:hint="cs"/>
          <w:rtl/>
        </w:rPr>
        <w:t xml:space="preserve"> </w:t>
      </w:r>
      <w:r w:rsidR="009F1B97" w:rsidRPr="00B4467C">
        <w:rPr>
          <w:rFonts w:ascii="Traditional Arabic" w:hAnsi="Traditional Arabic" w:hint="eastAsia"/>
          <w:rtl/>
        </w:rPr>
        <w:t>عل</w:t>
      </w:r>
      <w:r w:rsidR="007A0DDE" w:rsidRPr="00B4467C">
        <w:rPr>
          <w:rFonts w:ascii="Traditional Arabic" w:hAnsi="Traditional Arabic" w:hint="eastAsia"/>
          <w:rtl/>
        </w:rPr>
        <w:t>ى</w:t>
      </w:r>
      <w:r w:rsidR="00BF427E" w:rsidRPr="00B4467C">
        <w:rPr>
          <w:rFonts w:ascii="Traditional Arabic" w:hAnsi="Traditional Arabic" w:hint="cs"/>
          <w:rtl/>
        </w:rPr>
        <w:t xml:space="preserve"> </w:t>
      </w:r>
      <w:r w:rsidR="007A0DDE" w:rsidRPr="00B4467C">
        <w:rPr>
          <w:rFonts w:ascii="Traditional Arabic" w:hAnsi="Traditional Arabic" w:hint="eastAsia"/>
          <w:rtl/>
        </w:rPr>
        <w:t>أُمَّتِي</w:t>
      </w:r>
      <w:r w:rsidR="00BF427E" w:rsidRPr="00B4467C">
        <w:rPr>
          <w:rFonts w:ascii="Traditional Arabic" w:hAnsi="Traditional Arabic" w:hint="cs"/>
          <w:rtl/>
        </w:rPr>
        <w:t xml:space="preserve"> </w:t>
      </w:r>
      <w:r w:rsidR="009F1B97" w:rsidRPr="00B4467C">
        <w:rPr>
          <w:rFonts w:ascii="Traditional Arabic" w:hAnsi="Traditional Arabic" w:hint="eastAsia"/>
          <w:rtl/>
        </w:rPr>
        <w:t>لأمرتُهم</w:t>
      </w:r>
      <w:r w:rsidR="00BF427E" w:rsidRPr="00B4467C">
        <w:rPr>
          <w:rFonts w:ascii="Traditional Arabic" w:hAnsi="Traditional Arabic" w:hint="cs"/>
          <w:rtl/>
        </w:rPr>
        <w:t xml:space="preserve"> </w:t>
      </w:r>
      <w:r w:rsidR="009F1B97" w:rsidRPr="00B4467C">
        <w:rPr>
          <w:rFonts w:ascii="Traditional Arabic" w:hAnsi="Traditional Arabic" w:hint="eastAsia"/>
          <w:rtl/>
        </w:rPr>
        <w:t>بالسِّواك</w:t>
      </w:r>
      <w:r w:rsidR="00BF427E" w:rsidRPr="00B4467C">
        <w:rPr>
          <w:rFonts w:ascii="Traditional Arabic" w:hAnsi="Traditional Arabic" w:hint="cs"/>
          <w:rtl/>
        </w:rPr>
        <w:t xml:space="preserve"> </w:t>
      </w:r>
      <w:r w:rsidR="007A0DDE" w:rsidRPr="00B4467C">
        <w:rPr>
          <w:rFonts w:ascii="Traditional Arabic" w:hAnsi="Traditional Arabic" w:hint="eastAsia"/>
          <w:rtl/>
        </w:rPr>
        <w:t>عِنْدَ</w:t>
      </w:r>
      <w:r w:rsidR="00BF427E" w:rsidRPr="00B4467C">
        <w:rPr>
          <w:rFonts w:ascii="Traditional Arabic" w:hAnsi="Traditional Arabic" w:hint="cs"/>
          <w:rtl/>
        </w:rPr>
        <w:t xml:space="preserve"> </w:t>
      </w:r>
      <w:r w:rsidR="009F1B97" w:rsidRPr="00B4467C">
        <w:rPr>
          <w:rFonts w:ascii="Traditional Arabic" w:hAnsi="Traditional Arabic" w:hint="eastAsia"/>
          <w:rtl/>
        </w:rPr>
        <w:t>كل</w:t>
      </w:r>
      <w:r w:rsidR="00BF427E" w:rsidRPr="00B4467C">
        <w:rPr>
          <w:rFonts w:ascii="Traditional Arabic" w:hAnsi="Traditional Arabic" w:hint="cs"/>
          <w:rtl/>
        </w:rPr>
        <w:t xml:space="preserve"> </w:t>
      </w:r>
      <w:r w:rsidR="009F1B97" w:rsidRPr="00B4467C">
        <w:rPr>
          <w:rFonts w:ascii="Traditional Arabic" w:hAnsi="Traditional Arabic" w:hint="eastAsia"/>
          <w:rtl/>
        </w:rPr>
        <w:t>وض</w:t>
      </w:r>
      <w:r w:rsidR="007A0DDE" w:rsidRPr="00B4467C">
        <w:rPr>
          <w:rFonts w:ascii="Traditional Arabic" w:hAnsi="Traditional Arabic" w:hint="eastAsia"/>
          <w:rtl/>
        </w:rPr>
        <w:t>وء</w:t>
      </w:r>
      <w:r w:rsidR="00AB0B9E" w:rsidRPr="00B4467C">
        <w:rPr>
          <w:rFonts w:ascii="Traditional Arabic" w:hAnsi="Traditional Arabic"/>
          <w:rtl/>
        </w:rPr>
        <w:fldChar w:fldCharType="begin"/>
      </w:r>
      <w:r w:rsidR="00F835D6" w:rsidRPr="00C85F0F">
        <w:instrText>XE</w:instrText>
      </w:r>
      <w:r w:rsidR="00F835D6" w:rsidRPr="00C85F0F">
        <w:rPr>
          <w:rtl/>
        </w:rPr>
        <w:instrText xml:space="preserve"> "</w:instrText>
      </w:r>
      <w:r w:rsidR="00F835D6" w:rsidRPr="00B4467C">
        <w:rPr>
          <w:rFonts w:ascii="Traditional Arabic" w:hAnsi="Traditional Arabic" w:hint="eastAsia"/>
          <w:rtl/>
        </w:rPr>
        <w:instrText>لَوْلاَأَنْأَشُقَّعَلَىأُمَّتِيلأَمَرْتُهُمْبِالسِّوَاكِعِنْدَكُلِّوُضُوءٍ</w:instrText>
      </w:r>
      <w:r w:rsidR="00F835D6" w:rsidRPr="00C85F0F">
        <w:rPr>
          <w:rtl/>
        </w:rPr>
        <w:instrText>" \</w:instrText>
      </w:r>
      <w:r w:rsidR="00F835D6" w:rsidRPr="00C85F0F">
        <w:instrText>f</w:instrText>
      </w:r>
      <w:r w:rsidR="00F835D6" w:rsidRPr="000E1D14">
        <w:instrText>h</w:instrText>
      </w:r>
      <w:r w:rsidR="00AB0B9E" w:rsidRPr="00B4467C">
        <w:rPr>
          <w:rFonts w:ascii="Traditional Arabic" w:hAnsi="Traditional Arabic"/>
          <w:rtl/>
        </w:rPr>
        <w:fldChar w:fldCharType="end"/>
      </w:r>
      <w:r w:rsidR="007A0DDE" w:rsidRPr="00B4467C">
        <w:rPr>
          <w:rFonts w:ascii="Traditional Arabic" w:hAnsi="Traditional Arabic" w:hint="cs"/>
          <w:rtl/>
        </w:rPr>
        <w:t>"</w:t>
      </w:r>
      <w:r w:rsidR="007A0DDE" w:rsidRPr="00B4467C">
        <w:rPr>
          <w:rFonts w:ascii="Traditional Arabic" w:hAnsi="Traditional Arabic"/>
          <w:b/>
          <w:szCs w:val="32"/>
          <w:vertAlign w:val="superscript"/>
          <w:rtl/>
        </w:rPr>
        <w:t>(</w:t>
      </w:r>
      <w:r w:rsidR="007A0DDE" w:rsidRPr="00C821A1">
        <w:rPr>
          <w:b/>
          <w:szCs w:val="32"/>
          <w:vertAlign w:val="superscript"/>
          <w:rtl/>
        </w:rPr>
        <w:footnoteReference w:id="2025"/>
      </w:r>
      <w:r w:rsidR="007A0DDE" w:rsidRPr="00B4467C">
        <w:rPr>
          <w:rFonts w:ascii="Traditional Arabic" w:hAnsi="Traditional Arabic"/>
          <w:b/>
          <w:szCs w:val="32"/>
          <w:vertAlign w:val="superscript"/>
          <w:rtl/>
        </w:rPr>
        <w:t>)</w:t>
      </w:r>
      <w:r w:rsidR="007A0DDE" w:rsidRPr="00B4467C">
        <w:rPr>
          <w:rFonts w:ascii="Traditional Arabic" w:hAnsi="Traditional Arabic"/>
          <w:rtl/>
        </w:rPr>
        <w:t>.</w:t>
      </w:r>
    </w:p>
    <w:p w:rsidR="000E1D14" w:rsidRPr="000E1D14" w:rsidRDefault="007A0DDE" w:rsidP="00597C20">
      <w:pPr>
        <w:pStyle w:val="53"/>
        <w:rPr>
          <w:rtl/>
        </w:rPr>
      </w:pPr>
      <w:r w:rsidRPr="000E1D14">
        <w:rPr>
          <w:rFonts w:hint="cs"/>
          <w:rtl/>
        </w:rPr>
        <w:t>وجه الدلالة:</w:t>
      </w:r>
    </w:p>
    <w:p w:rsidR="007A0DDE" w:rsidRPr="000E1D14" w:rsidRDefault="009F1B97" w:rsidP="00597C20">
      <w:pPr>
        <w:ind w:firstLine="720"/>
        <w:rPr>
          <w:rFonts w:ascii="Traditional Arabic" w:hAnsi="Traditional Arabic"/>
          <w:rtl/>
        </w:rPr>
      </w:pPr>
      <w:r>
        <w:rPr>
          <w:rFonts w:ascii="Traditional Arabic" w:hAnsi="Traditional Arabic" w:hint="cs"/>
          <w:rtl/>
        </w:rPr>
        <w:t>إ</w:t>
      </w:r>
      <w:r w:rsidR="007A0DDE" w:rsidRPr="000E1D14">
        <w:rPr>
          <w:rFonts w:ascii="Traditional Arabic" w:hAnsi="Traditional Arabic" w:hint="cs"/>
          <w:rtl/>
        </w:rPr>
        <w:t xml:space="preserve">ن النبي </w:t>
      </w:r>
      <w:r w:rsidR="007A0DDE" w:rsidRPr="000E1D14">
        <w:rPr>
          <w:rFonts w:ascii="Traditional Arabic" w:hAnsi="Traditional Arabic" w:hint="cs"/>
        </w:rPr>
        <w:sym w:font="AGA Arabesque" w:char="F072"/>
      </w:r>
      <w:r w:rsidR="007A0DDE" w:rsidRPr="000E1D14">
        <w:rPr>
          <w:rFonts w:ascii="Traditional Arabic" w:hAnsi="Traditional Arabic" w:hint="cs"/>
          <w:rtl/>
        </w:rPr>
        <w:t xml:space="preserve"> كثيراً ما كان يتر</w:t>
      </w:r>
      <w:r>
        <w:rPr>
          <w:rFonts w:ascii="Traditional Arabic" w:hAnsi="Traditional Arabic" w:hint="cs"/>
          <w:rtl/>
        </w:rPr>
        <w:t>ُ</w:t>
      </w:r>
      <w:r w:rsidR="007A0DDE" w:rsidRPr="000E1D14">
        <w:rPr>
          <w:rFonts w:ascii="Traditional Arabic" w:hAnsi="Traditional Arabic" w:hint="cs"/>
          <w:rtl/>
        </w:rPr>
        <w:t>ك الأمر</w:t>
      </w:r>
      <w:r>
        <w:rPr>
          <w:rFonts w:ascii="Traditional Arabic" w:hAnsi="Traditional Arabic" w:hint="cs"/>
          <w:rtl/>
        </w:rPr>
        <w:t>َ</w:t>
      </w:r>
      <w:r w:rsidR="007A0DDE" w:rsidRPr="000E1D14">
        <w:rPr>
          <w:rFonts w:ascii="Traditional Arabic" w:hAnsi="Traditional Arabic" w:hint="cs"/>
          <w:rtl/>
        </w:rPr>
        <w:t xml:space="preserve"> مخافة</w:t>
      </w:r>
      <w:r>
        <w:rPr>
          <w:rFonts w:ascii="Traditional Arabic" w:hAnsi="Traditional Arabic" w:hint="cs"/>
          <w:rtl/>
        </w:rPr>
        <w:t>َ</w:t>
      </w:r>
      <w:r w:rsidR="007A0DDE" w:rsidRPr="000E1D14">
        <w:rPr>
          <w:rFonts w:ascii="Traditional Arabic" w:hAnsi="Traditional Arabic" w:hint="cs"/>
          <w:rtl/>
        </w:rPr>
        <w:t xml:space="preserve"> أن يكون </w:t>
      </w:r>
      <w:r>
        <w:rPr>
          <w:rFonts w:ascii="Traditional Arabic" w:hAnsi="Traditional Arabic" w:hint="cs"/>
          <w:rtl/>
        </w:rPr>
        <w:t xml:space="preserve">فيه </w:t>
      </w:r>
      <w:r w:rsidR="007A0DDE" w:rsidRPr="000E1D14">
        <w:rPr>
          <w:rFonts w:ascii="Traditional Arabic" w:hAnsi="Traditional Arabic" w:hint="cs"/>
          <w:rtl/>
        </w:rPr>
        <w:t>مشقة</w:t>
      </w:r>
      <w:r>
        <w:rPr>
          <w:rFonts w:ascii="Traditional Arabic" w:hAnsi="Traditional Arabic" w:hint="cs"/>
          <w:rtl/>
        </w:rPr>
        <w:t>ٌ</w:t>
      </w:r>
      <w:r w:rsidR="007A0DDE" w:rsidRPr="000E1D14">
        <w:rPr>
          <w:rFonts w:ascii="Traditional Arabic" w:hAnsi="Traditional Arabic" w:hint="cs"/>
          <w:rtl/>
        </w:rPr>
        <w:t xml:space="preserve"> على أمته</w:t>
      </w:r>
      <w:r w:rsidR="00B76414" w:rsidRPr="000E1D14">
        <w:rPr>
          <w:rFonts w:ascii="Traditional Arabic" w:hAnsi="Traditional Arabic" w:hint="cs"/>
          <w:rtl/>
        </w:rPr>
        <w:t>،</w:t>
      </w:r>
      <w:r w:rsidR="007A0DDE" w:rsidRPr="000E1D14">
        <w:rPr>
          <w:rFonts w:ascii="Traditional Arabic" w:hAnsi="Traditional Arabic" w:hint="cs"/>
          <w:rtl/>
        </w:rPr>
        <w:t xml:space="preserve"> فدل </w:t>
      </w:r>
      <w:r>
        <w:rPr>
          <w:rFonts w:ascii="Traditional Arabic" w:hAnsi="Traditional Arabic" w:hint="cs"/>
          <w:rtl/>
        </w:rPr>
        <w:t xml:space="preserve">ذلك </w:t>
      </w:r>
      <w:r w:rsidR="007A0DDE" w:rsidRPr="000E1D14">
        <w:rPr>
          <w:rFonts w:ascii="Traditional Arabic" w:hAnsi="Traditional Arabic" w:hint="cs"/>
          <w:rtl/>
        </w:rPr>
        <w:t xml:space="preserve">على </w:t>
      </w:r>
      <w:r w:rsidR="007A0DDE" w:rsidRPr="000E1D14">
        <w:rPr>
          <w:rFonts w:ascii="Traditional Arabic" w:hAnsi="Traditional Arabic" w:hint="cs"/>
          <w:rtl/>
        </w:rPr>
        <w:lastRenderedPageBreak/>
        <w:t xml:space="preserve">أن رفع الحرج من الأصول التي تُبنى عليها الشريعة </w:t>
      </w:r>
      <w:r w:rsidR="007A0DDE" w:rsidRPr="00C821A1">
        <w:rPr>
          <w:rFonts w:ascii="Traditional Arabic" w:hAnsi="Traditional Arabic"/>
          <w:b/>
          <w:szCs w:val="32"/>
          <w:vertAlign w:val="superscript"/>
          <w:rtl/>
        </w:rPr>
        <w:t>(</w:t>
      </w:r>
      <w:r w:rsidR="007A0DDE" w:rsidRPr="00C821A1">
        <w:rPr>
          <w:rFonts w:ascii="Traditional Arabic" w:hAnsi="Traditional Arabic"/>
          <w:b/>
          <w:szCs w:val="32"/>
          <w:vertAlign w:val="superscript"/>
          <w:rtl/>
        </w:rPr>
        <w:footnoteReference w:id="2026"/>
      </w:r>
      <w:r w:rsidR="007A0DDE" w:rsidRPr="00C821A1">
        <w:rPr>
          <w:rFonts w:ascii="Traditional Arabic" w:hAnsi="Traditional Arabic"/>
          <w:b/>
          <w:szCs w:val="32"/>
          <w:vertAlign w:val="superscript"/>
          <w:rtl/>
        </w:rPr>
        <w:t>)</w:t>
      </w:r>
      <w:r w:rsidR="007A0DDE" w:rsidRPr="000E1D14">
        <w:rPr>
          <w:rFonts w:ascii="Traditional Arabic" w:hAnsi="Traditional Arabic" w:hint="cs"/>
          <w:rtl/>
        </w:rPr>
        <w:t>.</w:t>
      </w:r>
    </w:p>
    <w:p w:rsidR="00F228A9" w:rsidRPr="000E1D14" w:rsidRDefault="00B4467C" w:rsidP="00597C20">
      <w:pPr>
        <w:pStyle w:val="53"/>
        <w:rPr>
          <w:rtl/>
        </w:rPr>
      </w:pPr>
      <w:r>
        <w:rPr>
          <w:rFonts w:hint="cs"/>
          <w:b w:val="0"/>
          <w:bCs w:val="0"/>
          <w:rtl/>
        </w:rPr>
        <w:t>(9)</w:t>
      </w:r>
      <w:r>
        <w:rPr>
          <w:rFonts w:hint="cs"/>
          <w:rtl/>
        </w:rPr>
        <w:t xml:space="preserve">    </w:t>
      </w:r>
      <w:r w:rsidR="007A0DDE" w:rsidRPr="000E1D14">
        <w:rPr>
          <w:rFonts w:hint="cs"/>
          <w:rtl/>
        </w:rPr>
        <w:t>الإجماع:</w:t>
      </w:r>
    </w:p>
    <w:p w:rsidR="007A0DDE" w:rsidRPr="000E1D14" w:rsidRDefault="007A0DDE" w:rsidP="00597C20">
      <w:pPr>
        <w:ind w:firstLine="567"/>
        <w:rPr>
          <w:rFonts w:ascii="Traditional Arabic" w:hAnsi="Traditional Arabic"/>
          <w:rtl/>
        </w:rPr>
      </w:pPr>
      <w:r w:rsidRPr="000E1D14">
        <w:rPr>
          <w:rFonts w:ascii="Traditional Arabic" w:hAnsi="Traditional Arabic" w:hint="cs"/>
          <w:rtl/>
        </w:rPr>
        <w:t>هذه القاعدة مجمع عليها بين العلماء</w:t>
      </w:r>
      <w:r w:rsidR="00B76414" w:rsidRPr="000E1D14">
        <w:rPr>
          <w:rFonts w:ascii="Traditional Arabic" w:hAnsi="Traditional Arabic" w:hint="cs"/>
          <w:rtl/>
        </w:rPr>
        <w:t>،</w:t>
      </w:r>
      <w:r w:rsidRPr="000E1D14">
        <w:rPr>
          <w:rFonts w:ascii="Traditional Arabic" w:hAnsi="Traditional Arabic" w:hint="cs"/>
          <w:rtl/>
        </w:rPr>
        <w:t xml:space="preserve"> فإن الشارع الحكيم لم يقصد إلى التكليف بالمشقة الخارجة عن المعتاد</w:t>
      </w:r>
      <w:r w:rsidRPr="00C821A1">
        <w:rPr>
          <w:rFonts w:ascii="Traditional Arabic" w:hAnsi="Traditional Arabic"/>
          <w:b/>
          <w:szCs w:val="32"/>
          <w:vertAlign w:val="superscript"/>
          <w:rtl/>
        </w:rPr>
        <w:t>(</w:t>
      </w:r>
      <w:r w:rsidRPr="00C821A1">
        <w:rPr>
          <w:rFonts w:ascii="Traditional Arabic" w:hAnsi="Traditional Arabic"/>
          <w:b/>
          <w:szCs w:val="32"/>
          <w:vertAlign w:val="superscript"/>
          <w:rtl/>
        </w:rPr>
        <w:footnoteReference w:id="2027"/>
      </w:r>
      <w:r w:rsidRPr="00C821A1">
        <w:rPr>
          <w:rFonts w:ascii="Traditional Arabic" w:hAnsi="Traditional Arabic"/>
          <w:b/>
          <w:szCs w:val="32"/>
          <w:vertAlign w:val="superscript"/>
          <w:rtl/>
        </w:rPr>
        <w:t>)</w:t>
      </w:r>
      <w:r w:rsidRPr="000E1D14">
        <w:rPr>
          <w:rFonts w:ascii="Traditional Arabic" w:hAnsi="Traditional Arabic" w:hint="cs"/>
          <w:rtl/>
        </w:rPr>
        <w:t>.</w:t>
      </w:r>
    </w:p>
    <w:p w:rsidR="00F228A9" w:rsidRPr="000E1D14" w:rsidRDefault="00B4467C" w:rsidP="00597C20">
      <w:pPr>
        <w:pStyle w:val="53"/>
        <w:rPr>
          <w:rtl/>
        </w:rPr>
      </w:pPr>
      <w:r>
        <w:rPr>
          <w:rFonts w:hint="cs"/>
          <w:b w:val="0"/>
          <w:bCs w:val="0"/>
          <w:rtl/>
        </w:rPr>
        <w:t>(10)</w:t>
      </w:r>
      <w:r>
        <w:rPr>
          <w:rFonts w:hint="cs"/>
          <w:rtl/>
        </w:rPr>
        <w:t xml:space="preserve">    </w:t>
      </w:r>
      <w:r w:rsidR="007A0DDE" w:rsidRPr="000E1D14">
        <w:rPr>
          <w:rFonts w:hint="cs"/>
          <w:rtl/>
        </w:rPr>
        <w:t>من العقل:</w:t>
      </w:r>
    </w:p>
    <w:p w:rsidR="00F228A9" w:rsidRPr="000E1D14" w:rsidRDefault="00B4467C" w:rsidP="00597C20">
      <w:pPr>
        <w:ind w:firstLine="720"/>
        <w:rPr>
          <w:rFonts w:ascii="Traditional Arabic" w:hAnsi="Traditional Arabic"/>
          <w:rtl/>
        </w:rPr>
      </w:pPr>
      <w:r>
        <w:rPr>
          <w:rFonts w:ascii="Traditional Arabic" w:hAnsi="Traditional Arabic" w:hint="cs"/>
          <w:rtl/>
        </w:rPr>
        <w:t>إ</w:t>
      </w:r>
      <w:r w:rsidR="007A0DDE" w:rsidRPr="000E1D14">
        <w:rPr>
          <w:rFonts w:ascii="Traditional Arabic" w:hAnsi="Traditional Arabic" w:hint="cs"/>
          <w:rtl/>
        </w:rPr>
        <w:t>ن العقل السليم مجبول</w:t>
      </w:r>
      <w:r>
        <w:rPr>
          <w:rFonts w:ascii="Traditional Arabic" w:hAnsi="Traditional Arabic" w:hint="cs"/>
          <w:rtl/>
        </w:rPr>
        <w:t>ٌ</w:t>
      </w:r>
      <w:r w:rsidR="007A0DDE" w:rsidRPr="000E1D14">
        <w:rPr>
          <w:rFonts w:ascii="Traditional Arabic" w:hAnsi="Traditional Arabic" w:hint="cs"/>
          <w:rtl/>
        </w:rPr>
        <w:t xml:space="preserve"> على النُّفرة مما فيه حرج ومشقة</w:t>
      </w:r>
      <w:r w:rsidR="00B76414" w:rsidRPr="000E1D14">
        <w:rPr>
          <w:rFonts w:ascii="Traditional Arabic" w:hAnsi="Traditional Arabic" w:hint="cs"/>
          <w:rtl/>
        </w:rPr>
        <w:t>،</w:t>
      </w:r>
      <w:r w:rsidR="007A0DDE" w:rsidRPr="000E1D14">
        <w:rPr>
          <w:rFonts w:ascii="Traditional Arabic" w:hAnsi="Traditional Arabic" w:hint="cs"/>
          <w:rtl/>
        </w:rPr>
        <w:t xml:space="preserve"> ويدر</w:t>
      </w:r>
      <w:r>
        <w:rPr>
          <w:rFonts w:ascii="Traditional Arabic" w:hAnsi="Traditional Arabic" w:hint="cs"/>
          <w:rtl/>
        </w:rPr>
        <w:t>ِ</w:t>
      </w:r>
      <w:r w:rsidR="007A0DDE" w:rsidRPr="000E1D14">
        <w:rPr>
          <w:rFonts w:ascii="Traditional Arabic" w:hAnsi="Traditional Arabic" w:hint="cs"/>
          <w:rtl/>
        </w:rPr>
        <w:t>ك من لوازم يُسْر الشريعة انتفاء</w:t>
      </w:r>
      <w:r>
        <w:rPr>
          <w:rFonts w:ascii="Traditional Arabic" w:hAnsi="Traditional Arabic" w:hint="cs"/>
          <w:rtl/>
        </w:rPr>
        <w:t>َ</w:t>
      </w:r>
      <w:r w:rsidR="007A0DDE" w:rsidRPr="000E1D14">
        <w:rPr>
          <w:rFonts w:ascii="Traditional Arabic" w:hAnsi="Traditional Arabic" w:hint="cs"/>
          <w:rtl/>
        </w:rPr>
        <w:t xml:space="preserve"> الحرج عنها</w:t>
      </w:r>
      <w:r w:rsidR="00B76414" w:rsidRPr="000E1D14">
        <w:rPr>
          <w:rFonts w:ascii="Traditional Arabic" w:hAnsi="Traditional Arabic" w:hint="cs"/>
          <w:rtl/>
        </w:rPr>
        <w:t>،</w:t>
      </w:r>
      <w:r w:rsidR="007A0DDE" w:rsidRPr="000E1D14">
        <w:rPr>
          <w:rFonts w:ascii="Traditional Arabic" w:hAnsi="Traditional Arabic" w:hint="cs"/>
          <w:rtl/>
        </w:rPr>
        <w:t xml:space="preserve"> ولو كان الحرج ثابتا</w:t>
      </w:r>
      <w:r w:rsidR="00B76414" w:rsidRPr="000E1D14">
        <w:rPr>
          <w:rFonts w:ascii="Traditional Arabic" w:hAnsi="Traditional Arabic" w:hint="cs"/>
          <w:rtl/>
        </w:rPr>
        <w:t>،</w:t>
      </w:r>
      <w:r w:rsidR="007A0DDE" w:rsidRPr="000E1D14">
        <w:rPr>
          <w:rFonts w:ascii="Traditional Arabic" w:hAnsi="Traditional Arabic" w:hint="cs"/>
          <w:rtl/>
        </w:rPr>
        <w:t xml:space="preserve"> لَلَزم التناق</w:t>
      </w:r>
      <w:r>
        <w:rPr>
          <w:rFonts w:ascii="Traditional Arabic" w:hAnsi="Traditional Arabic" w:hint="cs"/>
          <w:rtl/>
        </w:rPr>
        <w:t>ُ</w:t>
      </w:r>
      <w:r w:rsidR="007A0DDE" w:rsidRPr="000E1D14">
        <w:rPr>
          <w:rFonts w:ascii="Traditional Arabic" w:hAnsi="Traditional Arabic" w:hint="cs"/>
          <w:rtl/>
        </w:rPr>
        <w:t>ض في أحكام الشرع عند إثبات الر</w:t>
      </w:r>
      <w:r>
        <w:rPr>
          <w:rFonts w:ascii="Traditional Arabic" w:hAnsi="Traditional Arabic" w:hint="cs"/>
          <w:rtl/>
        </w:rPr>
        <w:t>ُّ</w:t>
      </w:r>
      <w:r w:rsidR="007A0DDE" w:rsidRPr="000E1D14">
        <w:rPr>
          <w:rFonts w:ascii="Traditional Arabic" w:hAnsi="Traditional Arabic" w:hint="cs"/>
          <w:rtl/>
        </w:rPr>
        <w:t>خص</w:t>
      </w:r>
      <w:r w:rsidR="00B76414" w:rsidRPr="000E1D14">
        <w:rPr>
          <w:rFonts w:ascii="Traditional Arabic" w:hAnsi="Traditional Arabic" w:hint="cs"/>
          <w:rtl/>
        </w:rPr>
        <w:t>،</w:t>
      </w:r>
      <w:r w:rsidR="007A0DDE" w:rsidRPr="000E1D14">
        <w:rPr>
          <w:rFonts w:ascii="Traditional Arabic" w:hAnsi="Traditional Arabic" w:hint="cs"/>
          <w:rtl/>
        </w:rPr>
        <w:t xml:space="preserve"> وهو مما يستحيل على الشارع عقلا</w:t>
      </w:r>
      <w:r>
        <w:rPr>
          <w:rFonts w:ascii="Traditional Arabic" w:hAnsi="Traditional Arabic" w:hint="cs"/>
          <w:rtl/>
        </w:rPr>
        <w:t>ً</w:t>
      </w:r>
      <w:r w:rsidR="007A0DDE" w:rsidRPr="000E1D14">
        <w:rPr>
          <w:rFonts w:ascii="Traditional Arabic" w:hAnsi="Traditional Arabic" w:hint="cs"/>
          <w:rtl/>
        </w:rPr>
        <w:t xml:space="preserve"> </w:t>
      </w:r>
      <w:r w:rsidR="007A0DDE" w:rsidRPr="00C821A1">
        <w:rPr>
          <w:rFonts w:ascii="Traditional Arabic" w:hAnsi="Traditional Arabic"/>
          <w:b/>
          <w:szCs w:val="32"/>
          <w:vertAlign w:val="superscript"/>
          <w:rtl/>
        </w:rPr>
        <w:t>(</w:t>
      </w:r>
      <w:r w:rsidR="007A0DDE" w:rsidRPr="00C821A1">
        <w:rPr>
          <w:rFonts w:ascii="Traditional Arabic" w:hAnsi="Traditional Arabic"/>
          <w:b/>
          <w:szCs w:val="32"/>
          <w:vertAlign w:val="superscript"/>
          <w:rtl/>
        </w:rPr>
        <w:footnoteReference w:id="2028"/>
      </w:r>
      <w:r w:rsidR="007A0DDE" w:rsidRPr="00C821A1">
        <w:rPr>
          <w:rFonts w:ascii="Traditional Arabic" w:hAnsi="Traditional Arabic"/>
          <w:b/>
          <w:szCs w:val="32"/>
          <w:vertAlign w:val="superscript"/>
          <w:rtl/>
        </w:rPr>
        <w:t>)</w:t>
      </w:r>
      <w:r w:rsidR="00B76414" w:rsidRPr="000E1D14">
        <w:rPr>
          <w:rFonts w:ascii="Traditional Arabic" w:hAnsi="Traditional Arabic" w:hint="cs"/>
          <w:rtl/>
        </w:rPr>
        <w:t>.</w:t>
      </w:r>
    </w:p>
    <w:p w:rsidR="007A0DDE" w:rsidRPr="00D6705A" w:rsidRDefault="00B4467C" w:rsidP="00A8347C">
      <w:pPr>
        <w:pStyle w:val="aff3"/>
        <w:rPr>
          <w:rtl/>
        </w:rPr>
      </w:pPr>
      <w:bookmarkStart w:id="440" w:name="_Toc334046614"/>
      <w:r>
        <w:rPr>
          <w:rFonts w:hint="cs"/>
          <w:rtl/>
        </w:rPr>
        <w:t xml:space="preserve">                                       </w:t>
      </w:r>
      <w:r w:rsidR="007A0DDE" w:rsidRPr="00D6705A">
        <w:rPr>
          <w:rFonts w:hint="cs"/>
          <w:rtl/>
        </w:rPr>
        <w:t>المطلب الرابع</w:t>
      </w:r>
      <w:r w:rsidR="007A0DDE">
        <w:rPr>
          <w:rFonts w:hint="eastAsia"/>
          <w:rtl/>
        </w:rPr>
        <w:t> :</w:t>
      </w:r>
      <w:r w:rsidR="007A0DDE">
        <w:rPr>
          <w:rFonts w:hint="cs"/>
          <w:rtl/>
        </w:rPr>
        <w:br/>
      </w:r>
      <w:r>
        <w:rPr>
          <w:rFonts w:hint="cs"/>
          <w:rtl/>
        </w:rPr>
        <w:t xml:space="preserve">                                      </w:t>
      </w:r>
      <w:r w:rsidR="007A0DDE" w:rsidRPr="00D6705A">
        <w:rPr>
          <w:rFonts w:hint="cs"/>
          <w:rtl/>
        </w:rPr>
        <w:t>تطبيقات القاعدة</w:t>
      </w:r>
      <w:bookmarkEnd w:id="440"/>
    </w:p>
    <w:p w:rsidR="007A0DDE" w:rsidRPr="000E1D14" w:rsidRDefault="00476BE8" w:rsidP="000A76C7">
      <w:pPr>
        <w:pStyle w:val="afc"/>
        <w:numPr>
          <w:ilvl w:val="0"/>
          <w:numId w:val="276"/>
        </w:numPr>
        <w:ind w:left="849" w:hanging="283"/>
        <w:rPr>
          <w:rFonts w:ascii="Traditional Arabic" w:hAnsi="Traditional Arabic"/>
        </w:rPr>
      </w:pPr>
      <w:r>
        <w:rPr>
          <w:rFonts w:ascii="Traditional Arabic" w:hAnsi="Traditional Arabic" w:hint="cs"/>
          <w:rtl/>
        </w:rPr>
        <w:t xml:space="preserve">يجوز </w:t>
      </w:r>
      <w:r w:rsidR="007A0DDE" w:rsidRPr="000E1D14">
        <w:rPr>
          <w:rFonts w:ascii="Traditional Arabic" w:hAnsi="Traditional Arabic" w:hint="cs"/>
          <w:rtl/>
        </w:rPr>
        <w:t>بيع الأراضي التي فُتحت عُنوةً</w:t>
      </w:r>
      <w:r w:rsidR="007A0DDE" w:rsidRPr="00C821A1">
        <w:rPr>
          <w:rFonts w:ascii="Traditional Arabic" w:hAnsi="Traditional Arabic" w:hint="cs"/>
          <w:szCs w:val="32"/>
          <w:vertAlign w:val="superscript"/>
          <w:rtl/>
        </w:rPr>
        <w:t>(</w:t>
      </w:r>
      <w:r w:rsidR="007A0DDE" w:rsidRPr="00C821A1">
        <w:rPr>
          <w:rStyle w:val="af1"/>
          <w:rFonts w:ascii="Traditional Arabic" w:hAnsi="Traditional Arabic"/>
          <w:szCs w:val="32"/>
          <w:rtl/>
        </w:rPr>
        <w:footnoteReference w:id="2029"/>
      </w:r>
      <w:r w:rsidR="007A0DDE" w:rsidRPr="00C821A1">
        <w:rPr>
          <w:rFonts w:ascii="Traditional Arabic" w:hAnsi="Traditional Arabic" w:hint="cs"/>
          <w:szCs w:val="32"/>
          <w:vertAlign w:val="superscript"/>
          <w:rtl/>
        </w:rPr>
        <w:t>)</w:t>
      </w:r>
      <w:r>
        <w:rPr>
          <w:rFonts w:ascii="Traditional Arabic" w:hAnsi="Traditional Arabic" w:hint="cs"/>
          <w:rtl/>
        </w:rPr>
        <w:t xml:space="preserve"> ومساكنِها</w:t>
      </w:r>
      <w:r w:rsidR="007A0DDE" w:rsidRPr="000E1D14">
        <w:rPr>
          <w:rFonts w:ascii="Traditional Arabic" w:hAnsi="Traditional Arabic" w:hint="cs"/>
          <w:rtl/>
        </w:rPr>
        <w:t>؛ لأنها وقف</w:t>
      </w:r>
      <w:r w:rsidR="00B4467C">
        <w:rPr>
          <w:rFonts w:ascii="Traditional Arabic" w:hAnsi="Traditional Arabic" w:hint="cs"/>
          <w:rtl/>
        </w:rPr>
        <w:t>ٌ عام على المسلمين، و</w:t>
      </w:r>
      <w:r w:rsidR="007A0DDE" w:rsidRPr="000E1D14">
        <w:rPr>
          <w:rFonts w:ascii="Traditional Arabic" w:hAnsi="Traditional Arabic" w:hint="cs"/>
          <w:rtl/>
        </w:rPr>
        <w:t>ليس لها مستح</w:t>
      </w:r>
      <w:r w:rsidR="00B4467C">
        <w:rPr>
          <w:rFonts w:ascii="Traditional Arabic" w:hAnsi="Traditional Arabic" w:hint="cs"/>
          <w:rtl/>
        </w:rPr>
        <w:t>ِ</w:t>
      </w:r>
      <w:r w:rsidR="007A0DDE" w:rsidRPr="000E1D14">
        <w:rPr>
          <w:rFonts w:ascii="Traditional Arabic" w:hAnsi="Traditional Arabic" w:hint="cs"/>
          <w:rtl/>
        </w:rPr>
        <w:t>ق</w:t>
      </w:r>
      <w:r w:rsidR="00B4467C">
        <w:rPr>
          <w:rFonts w:ascii="Traditional Arabic" w:hAnsi="Traditional Arabic" w:hint="cs"/>
          <w:rtl/>
        </w:rPr>
        <w:t>ٌّ</w:t>
      </w:r>
      <w:r w:rsidR="007A0DDE" w:rsidRPr="000E1D14">
        <w:rPr>
          <w:rFonts w:ascii="Traditional Arabic" w:hAnsi="Traditional Arabic" w:hint="cs"/>
          <w:rtl/>
        </w:rPr>
        <w:t xml:space="preserve"> خاص</w:t>
      </w:r>
      <w:r w:rsidR="007A0DDE" w:rsidRPr="00C821A1">
        <w:rPr>
          <w:rFonts w:ascii="Traditional Arabic" w:hAnsi="Traditional Arabic"/>
          <w:b/>
          <w:szCs w:val="32"/>
          <w:vertAlign w:val="superscript"/>
          <w:rtl/>
        </w:rPr>
        <w:t>(</w:t>
      </w:r>
      <w:r w:rsidR="007A0DDE" w:rsidRPr="00C821A1">
        <w:rPr>
          <w:rFonts w:ascii="Traditional Arabic" w:hAnsi="Traditional Arabic"/>
          <w:b/>
          <w:szCs w:val="32"/>
          <w:vertAlign w:val="superscript"/>
          <w:rtl/>
        </w:rPr>
        <w:footnoteReference w:id="2030"/>
      </w:r>
      <w:r w:rsidR="007A0DDE" w:rsidRPr="00C821A1">
        <w:rPr>
          <w:rFonts w:ascii="Traditional Arabic" w:hAnsi="Traditional Arabic"/>
          <w:b/>
          <w:szCs w:val="32"/>
          <w:vertAlign w:val="superscript"/>
          <w:rtl/>
        </w:rPr>
        <w:t>)</w:t>
      </w:r>
      <w:r w:rsidR="00B76414" w:rsidRPr="000E1D14">
        <w:rPr>
          <w:rFonts w:ascii="Traditional Arabic" w:hAnsi="Traditional Arabic" w:hint="cs"/>
          <w:rtl/>
        </w:rPr>
        <w:t>.</w:t>
      </w:r>
    </w:p>
    <w:p w:rsidR="000E1D14" w:rsidRDefault="007A0DDE" w:rsidP="00597C20">
      <w:pPr>
        <w:pStyle w:val="53"/>
        <w:rPr>
          <w:rtl/>
        </w:rPr>
      </w:pPr>
      <w:r w:rsidRPr="000E1D14">
        <w:rPr>
          <w:rFonts w:hint="cs"/>
          <w:rtl/>
        </w:rPr>
        <w:t>وجه اندراج الفرع تحت القاعدة:</w:t>
      </w:r>
    </w:p>
    <w:p w:rsidR="007A0DDE" w:rsidRPr="000E1D14" w:rsidRDefault="00B4467C" w:rsidP="00597C20">
      <w:pPr>
        <w:ind w:firstLine="720"/>
        <w:rPr>
          <w:rFonts w:ascii="Traditional Arabic" w:hAnsi="Traditional Arabic"/>
          <w:rtl/>
        </w:rPr>
      </w:pPr>
      <w:r>
        <w:rPr>
          <w:rFonts w:ascii="Traditional Arabic" w:hAnsi="Traditional Arabic" w:hint="cs"/>
          <w:rtl/>
        </w:rPr>
        <w:t>إ</w:t>
      </w:r>
      <w:r w:rsidR="007A0DDE" w:rsidRPr="000E1D14">
        <w:rPr>
          <w:rFonts w:ascii="Traditional Arabic" w:hAnsi="Traditional Arabic" w:hint="cs"/>
          <w:rtl/>
        </w:rPr>
        <w:t>ن م</w:t>
      </w:r>
      <w:r>
        <w:rPr>
          <w:rFonts w:ascii="Traditional Arabic" w:hAnsi="Traditional Arabic" w:hint="cs"/>
          <w:rtl/>
        </w:rPr>
        <w:t>َ</w:t>
      </w:r>
      <w:r w:rsidR="007A0DDE" w:rsidRPr="000E1D14">
        <w:rPr>
          <w:rFonts w:ascii="Traditional Arabic" w:hAnsi="Traditional Arabic" w:hint="cs"/>
          <w:rtl/>
        </w:rPr>
        <w:t>ن</w:t>
      </w:r>
      <w:r>
        <w:rPr>
          <w:rFonts w:ascii="Traditional Arabic" w:hAnsi="Traditional Arabic" w:hint="cs"/>
          <w:rtl/>
        </w:rPr>
        <w:t>ْ</w:t>
      </w:r>
      <w:r w:rsidR="007A0DDE" w:rsidRPr="000E1D14">
        <w:rPr>
          <w:rFonts w:ascii="Traditional Arabic" w:hAnsi="Traditional Arabic" w:hint="cs"/>
          <w:rtl/>
        </w:rPr>
        <w:t>ع المسلمين من تداو</w:t>
      </w:r>
      <w:r>
        <w:rPr>
          <w:rFonts w:ascii="Traditional Arabic" w:hAnsi="Traditional Arabic" w:hint="cs"/>
          <w:rtl/>
        </w:rPr>
        <w:t>ُ</w:t>
      </w:r>
      <w:r w:rsidR="007A0DDE" w:rsidRPr="000E1D14">
        <w:rPr>
          <w:rFonts w:ascii="Traditional Arabic" w:hAnsi="Traditional Arabic" w:hint="cs"/>
          <w:rtl/>
        </w:rPr>
        <w:t>ل هذه المساكن والأراضي بالبيع مِن أشق</w:t>
      </w:r>
      <w:r>
        <w:rPr>
          <w:rFonts w:ascii="Traditional Arabic" w:hAnsi="Traditional Arabic" w:hint="cs"/>
          <w:rtl/>
        </w:rPr>
        <w:t>ِّ</w:t>
      </w:r>
      <w:r w:rsidR="007A0DDE" w:rsidRPr="000E1D14">
        <w:rPr>
          <w:rFonts w:ascii="Traditional Arabic" w:hAnsi="Traditional Arabic" w:hint="cs"/>
          <w:rtl/>
        </w:rPr>
        <w:t xml:space="preserve"> ما يكون عليهم</w:t>
      </w:r>
      <w:r w:rsidR="00B76414" w:rsidRPr="000E1D14">
        <w:rPr>
          <w:rFonts w:ascii="Traditional Arabic" w:hAnsi="Traditional Arabic" w:hint="cs"/>
          <w:rtl/>
        </w:rPr>
        <w:t>،</w:t>
      </w:r>
      <w:r w:rsidR="007A0DDE" w:rsidRPr="000E1D14">
        <w:rPr>
          <w:rFonts w:ascii="Traditional Arabic" w:hAnsi="Traditional Arabic" w:hint="cs"/>
          <w:rtl/>
        </w:rPr>
        <w:t xml:space="preserve"> ورفع الحرج معلوم</w:t>
      </w:r>
      <w:r>
        <w:rPr>
          <w:rFonts w:ascii="Traditional Arabic" w:hAnsi="Traditional Arabic" w:hint="cs"/>
          <w:rtl/>
        </w:rPr>
        <w:t>ٌ</w:t>
      </w:r>
      <w:r w:rsidR="007A0DDE" w:rsidRPr="000E1D14">
        <w:rPr>
          <w:rFonts w:ascii="Traditional Arabic" w:hAnsi="Traditional Arabic" w:hint="cs"/>
          <w:rtl/>
        </w:rPr>
        <w:t xml:space="preserve"> في الشريعة الإسلامية؛ وبهذا يكون في إباحة البيع رفع الحرج والمشقة على </w:t>
      </w:r>
      <w:r w:rsidR="007A0DDE" w:rsidRPr="000E1D14">
        <w:rPr>
          <w:rFonts w:ascii="Traditional Arabic" w:hAnsi="Traditional Arabic" w:hint="cs"/>
          <w:rtl/>
        </w:rPr>
        <w:lastRenderedPageBreak/>
        <w:t>الناس</w:t>
      </w:r>
      <w:r w:rsidR="007A0DDE" w:rsidRPr="00C821A1">
        <w:rPr>
          <w:rFonts w:ascii="Traditional Arabic" w:hAnsi="Traditional Arabic"/>
          <w:b/>
          <w:szCs w:val="32"/>
          <w:vertAlign w:val="superscript"/>
          <w:rtl/>
        </w:rPr>
        <w:t>(</w:t>
      </w:r>
      <w:r w:rsidR="007A0DDE" w:rsidRPr="00C821A1">
        <w:rPr>
          <w:rFonts w:ascii="Traditional Arabic" w:hAnsi="Traditional Arabic"/>
          <w:b/>
          <w:szCs w:val="32"/>
          <w:vertAlign w:val="superscript"/>
          <w:rtl/>
        </w:rPr>
        <w:footnoteReference w:id="2031"/>
      </w:r>
      <w:r w:rsidR="007A0DDE" w:rsidRPr="00C821A1">
        <w:rPr>
          <w:rFonts w:ascii="Traditional Arabic" w:hAnsi="Traditional Arabic"/>
          <w:b/>
          <w:szCs w:val="32"/>
          <w:vertAlign w:val="superscript"/>
          <w:rtl/>
        </w:rPr>
        <w:t>)</w:t>
      </w:r>
      <w:r w:rsidR="007A0DDE" w:rsidRPr="000E1D14">
        <w:rPr>
          <w:rFonts w:ascii="Traditional Arabic" w:hAnsi="Traditional Arabic" w:hint="cs"/>
          <w:rtl/>
        </w:rPr>
        <w:t>.</w:t>
      </w:r>
    </w:p>
    <w:p w:rsidR="007A0DDE" w:rsidRPr="000E1D14" w:rsidRDefault="007A0DDE" w:rsidP="000A76C7">
      <w:pPr>
        <w:pStyle w:val="afc"/>
        <w:numPr>
          <w:ilvl w:val="0"/>
          <w:numId w:val="276"/>
        </w:numPr>
        <w:spacing w:after="200"/>
        <w:ind w:left="849" w:hanging="283"/>
        <w:rPr>
          <w:rFonts w:ascii="Traditional Arabic" w:hAnsi="Traditional Arabic"/>
        </w:rPr>
      </w:pPr>
      <w:r w:rsidRPr="000E1D14">
        <w:rPr>
          <w:rFonts w:ascii="Traditional Arabic" w:hAnsi="Traditional Arabic" w:hint="cs"/>
          <w:rtl/>
        </w:rPr>
        <w:t>يجوز بيع الشيء إذا كان معلوما</w:t>
      </w:r>
      <w:r w:rsidR="00B4467C">
        <w:rPr>
          <w:rFonts w:ascii="Traditional Arabic" w:hAnsi="Traditional Arabic" w:hint="cs"/>
          <w:rtl/>
        </w:rPr>
        <w:t>ً</w:t>
      </w:r>
      <w:r w:rsidRPr="000E1D14">
        <w:rPr>
          <w:rFonts w:ascii="Traditional Arabic" w:hAnsi="Traditional Arabic" w:hint="cs"/>
          <w:rtl/>
        </w:rPr>
        <w:t xml:space="preserve"> بالوصف بشرط انضباطه بالصفة</w:t>
      </w:r>
      <w:r w:rsidR="00B76414" w:rsidRPr="000E1D14">
        <w:rPr>
          <w:rFonts w:ascii="Traditional Arabic" w:hAnsi="Traditional Arabic" w:hint="cs"/>
          <w:rtl/>
        </w:rPr>
        <w:t>،</w:t>
      </w:r>
      <w:r w:rsidRPr="000E1D14">
        <w:rPr>
          <w:rFonts w:ascii="Traditional Arabic" w:hAnsi="Traditional Arabic" w:hint="cs"/>
          <w:rtl/>
        </w:rPr>
        <w:t xml:space="preserve"> ولا يشترط انضباطه على وجه دقيق جدا؛ لأن الجهالة</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2032"/>
      </w:r>
      <w:r w:rsidRPr="00C821A1">
        <w:rPr>
          <w:rFonts w:ascii="Traditional Arabic" w:hAnsi="Traditional Arabic" w:hint="cs"/>
          <w:szCs w:val="32"/>
          <w:vertAlign w:val="superscript"/>
          <w:rtl/>
        </w:rPr>
        <w:t>)</w:t>
      </w:r>
      <w:r w:rsidRPr="000E1D14">
        <w:rPr>
          <w:rFonts w:ascii="Traditional Arabic" w:hAnsi="Traditional Arabic" w:hint="cs"/>
          <w:rtl/>
        </w:rPr>
        <w:t xml:space="preserve"> اليسيرة</w:t>
      </w:r>
      <w:r w:rsidRPr="00C821A1">
        <w:rPr>
          <w:rFonts w:ascii="Traditional Arabic" w:hAnsi="Traditional Arabic" w:hint="cs"/>
          <w:szCs w:val="32"/>
          <w:vertAlign w:val="superscript"/>
          <w:rtl/>
        </w:rPr>
        <w:t>(</w:t>
      </w:r>
      <w:r w:rsidRPr="00C821A1">
        <w:rPr>
          <w:rStyle w:val="af1"/>
          <w:rFonts w:ascii="Traditional Arabic" w:hAnsi="Traditional Arabic"/>
          <w:szCs w:val="32"/>
          <w:rtl/>
        </w:rPr>
        <w:footnoteReference w:id="2033"/>
      </w:r>
      <w:r w:rsidRPr="00C821A1">
        <w:rPr>
          <w:rFonts w:ascii="Traditional Arabic" w:hAnsi="Traditional Arabic" w:hint="cs"/>
          <w:szCs w:val="32"/>
          <w:vertAlign w:val="superscript"/>
          <w:rtl/>
        </w:rPr>
        <w:t>)</w:t>
      </w:r>
      <w:r w:rsidRPr="000E1D14">
        <w:rPr>
          <w:rFonts w:ascii="Traditional Arabic" w:hAnsi="Traditional Arabic" w:hint="cs"/>
          <w:rtl/>
        </w:rPr>
        <w:t xml:space="preserve"> م</w:t>
      </w:r>
      <w:r w:rsidR="00B4467C">
        <w:rPr>
          <w:rFonts w:ascii="Traditional Arabic" w:hAnsi="Traditional Arabic" w:hint="cs"/>
          <w:rtl/>
        </w:rPr>
        <w:t>ُ</w:t>
      </w:r>
      <w:r w:rsidRPr="000E1D14">
        <w:rPr>
          <w:rFonts w:ascii="Traditional Arabic" w:hAnsi="Traditional Arabic" w:hint="cs"/>
          <w:rtl/>
        </w:rPr>
        <w:t>غتف</w:t>
      </w:r>
      <w:r w:rsidR="00B4467C">
        <w:rPr>
          <w:rFonts w:ascii="Traditional Arabic" w:hAnsi="Traditional Arabic" w:hint="cs"/>
          <w:rtl/>
        </w:rPr>
        <w:t>َ</w:t>
      </w:r>
      <w:r w:rsidRPr="000E1D14">
        <w:rPr>
          <w:rFonts w:ascii="Traditional Arabic" w:hAnsi="Traditional Arabic" w:hint="cs"/>
          <w:rtl/>
        </w:rPr>
        <w:t>رة</w:t>
      </w:r>
      <w:r w:rsidRPr="00C821A1">
        <w:rPr>
          <w:rFonts w:ascii="Traditional Arabic" w:hAnsi="Traditional Arabic"/>
          <w:b/>
          <w:szCs w:val="32"/>
          <w:vertAlign w:val="superscript"/>
          <w:rtl/>
        </w:rPr>
        <w:t>(</w:t>
      </w:r>
      <w:r w:rsidRPr="00C821A1">
        <w:rPr>
          <w:rFonts w:ascii="Traditional Arabic" w:hAnsi="Traditional Arabic"/>
          <w:b/>
          <w:szCs w:val="32"/>
          <w:vertAlign w:val="superscript"/>
          <w:rtl/>
        </w:rPr>
        <w:footnoteReference w:id="2034"/>
      </w:r>
      <w:r w:rsidRPr="00C821A1">
        <w:rPr>
          <w:rFonts w:ascii="Traditional Arabic" w:hAnsi="Traditional Arabic"/>
          <w:b/>
          <w:szCs w:val="32"/>
          <w:vertAlign w:val="superscript"/>
          <w:rtl/>
        </w:rPr>
        <w:t>)</w:t>
      </w:r>
      <w:r w:rsidR="00B76414" w:rsidRPr="000E1D14">
        <w:rPr>
          <w:rFonts w:ascii="Traditional Arabic" w:hAnsi="Traditional Arabic" w:hint="cs"/>
          <w:rtl/>
        </w:rPr>
        <w:t>.</w:t>
      </w:r>
    </w:p>
    <w:p w:rsidR="007A0DDE" w:rsidRPr="000E1D14" w:rsidRDefault="007A0DDE" w:rsidP="000A76C7">
      <w:pPr>
        <w:pStyle w:val="afc"/>
        <w:numPr>
          <w:ilvl w:val="0"/>
          <w:numId w:val="276"/>
        </w:numPr>
        <w:ind w:left="849" w:hanging="283"/>
        <w:rPr>
          <w:rFonts w:ascii="Traditional Arabic" w:hAnsi="Traditional Arabic"/>
          <w:rtl/>
        </w:rPr>
      </w:pPr>
      <w:r w:rsidRPr="000E1D14">
        <w:rPr>
          <w:rFonts w:ascii="Traditional Arabic" w:hAnsi="Traditional Arabic" w:hint="cs"/>
          <w:rtl/>
        </w:rPr>
        <w:t>يصح بيع الفجل ونحوه كالبصل والجزر قبل ق</w:t>
      </w:r>
      <w:r w:rsidR="00B4467C">
        <w:rPr>
          <w:rFonts w:ascii="Traditional Arabic" w:hAnsi="Traditional Arabic" w:hint="cs"/>
          <w:rtl/>
        </w:rPr>
        <w:t>َ</w:t>
      </w:r>
      <w:r w:rsidRPr="000E1D14">
        <w:rPr>
          <w:rFonts w:ascii="Traditional Arabic" w:hAnsi="Traditional Arabic" w:hint="cs"/>
          <w:rtl/>
        </w:rPr>
        <w:t>ل</w:t>
      </w:r>
      <w:r w:rsidR="00B4467C">
        <w:rPr>
          <w:rFonts w:ascii="Traditional Arabic" w:hAnsi="Traditional Arabic" w:hint="cs"/>
          <w:rtl/>
        </w:rPr>
        <w:t>ْ</w:t>
      </w:r>
      <w:r w:rsidRPr="000E1D14">
        <w:rPr>
          <w:rFonts w:ascii="Traditional Arabic" w:hAnsi="Traditional Arabic" w:hint="cs"/>
          <w:rtl/>
        </w:rPr>
        <w:t>ع</w:t>
      </w:r>
      <w:r w:rsidR="00B4467C">
        <w:rPr>
          <w:rFonts w:ascii="Traditional Arabic" w:hAnsi="Traditional Arabic" w:hint="cs"/>
          <w:rtl/>
        </w:rPr>
        <w:t>ِ</w:t>
      </w:r>
      <w:r w:rsidRPr="000E1D14">
        <w:rPr>
          <w:rFonts w:ascii="Traditional Arabic" w:hAnsi="Traditional Arabic" w:hint="cs"/>
          <w:rtl/>
        </w:rPr>
        <w:t>ه؛ لأنه ليس فيه جهالة</w:t>
      </w:r>
      <w:r w:rsidR="00B76414" w:rsidRPr="000E1D14">
        <w:rPr>
          <w:rFonts w:ascii="Traditional Arabic" w:hAnsi="Traditional Arabic" w:hint="cs"/>
          <w:rtl/>
        </w:rPr>
        <w:t>،</w:t>
      </w:r>
      <w:r w:rsidRPr="000E1D14">
        <w:rPr>
          <w:rFonts w:ascii="Traditional Arabic" w:hAnsi="Traditional Arabic" w:hint="cs"/>
          <w:rtl/>
        </w:rPr>
        <w:t xml:space="preserve"> ثم إذا قُدّر أن هناك جهالة</w:t>
      </w:r>
      <w:r w:rsidR="00B4467C">
        <w:rPr>
          <w:rFonts w:ascii="Traditional Arabic" w:hAnsi="Traditional Arabic" w:hint="cs"/>
          <w:rtl/>
        </w:rPr>
        <w:t>،</w:t>
      </w:r>
      <w:r w:rsidRPr="000E1D14">
        <w:rPr>
          <w:rFonts w:ascii="Traditional Arabic" w:hAnsi="Traditional Arabic" w:hint="cs"/>
          <w:rtl/>
        </w:rPr>
        <w:t xml:space="preserve"> فهي يسيرة لا تكون غرراً</w:t>
      </w:r>
      <w:r w:rsidRPr="00C821A1">
        <w:rPr>
          <w:rFonts w:ascii="Traditional Arabic" w:hAnsi="Traditional Arabic"/>
          <w:b/>
          <w:szCs w:val="32"/>
          <w:vertAlign w:val="superscript"/>
          <w:rtl/>
        </w:rPr>
        <w:t>(</w:t>
      </w:r>
      <w:r w:rsidRPr="00C821A1">
        <w:rPr>
          <w:rFonts w:ascii="Traditional Arabic" w:hAnsi="Traditional Arabic"/>
          <w:b/>
          <w:szCs w:val="32"/>
          <w:vertAlign w:val="superscript"/>
          <w:rtl/>
        </w:rPr>
        <w:footnoteReference w:id="2035"/>
      </w:r>
      <w:r w:rsidRPr="00C821A1">
        <w:rPr>
          <w:rFonts w:ascii="Traditional Arabic" w:hAnsi="Traditional Arabic"/>
          <w:b/>
          <w:szCs w:val="32"/>
          <w:vertAlign w:val="superscript"/>
          <w:rtl/>
        </w:rPr>
        <w:t>)</w:t>
      </w:r>
      <w:r w:rsidR="00B76414" w:rsidRPr="000E1D14">
        <w:rPr>
          <w:rFonts w:ascii="Traditional Arabic" w:hAnsi="Traditional Arabic" w:hint="cs"/>
          <w:rtl/>
        </w:rPr>
        <w:t>.</w:t>
      </w:r>
    </w:p>
    <w:p w:rsidR="000E1D14" w:rsidRDefault="007A0DDE" w:rsidP="00597C20">
      <w:pPr>
        <w:pStyle w:val="53"/>
        <w:rPr>
          <w:rtl/>
        </w:rPr>
      </w:pPr>
      <w:r w:rsidRPr="000E1D14">
        <w:rPr>
          <w:rFonts w:hint="cs"/>
          <w:rtl/>
        </w:rPr>
        <w:t>وجه اندراج الفرعين السابقين تحت القاعدة:</w:t>
      </w:r>
    </w:p>
    <w:p w:rsidR="007A0DDE" w:rsidRPr="000E1D14" w:rsidRDefault="00B4467C" w:rsidP="00597C20">
      <w:pPr>
        <w:ind w:firstLine="720"/>
        <w:rPr>
          <w:rFonts w:ascii="Traditional Arabic" w:hAnsi="Traditional Arabic"/>
          <w:rtl/>
        </w:rPr>
      </w:pPr>
      <w:r>
        <w:rPr>
          <w:rFonts w:ascii="Traditional Arabic" w:hAnsi="Traditional Arabic" w:hint="cs"/>
          <w:rtl/>
        </w:rPr>
        <w:t>إ</w:t>
      </w:r>
      <w:r w:rsidR="007A0DDE" w:rsidRPr="000E1D14">
        <w:rPr>
          <w:rFonts w:ascii="Traditional Arabic" w:hAnsi="Traditional Arabic" w:hint="cs"/>
          <w:rtl/>
        </w:rPr>
        <w:t>ن الاعتداد بالشيء اليسير والمشاحّة فيه تؤدي إلى الحرج والمشقة</w:t>
      </w:r>
      <w:r w:rsidR="00B76414" w:rsidRPr="000E1D14">
        <w:rPr>
          <w:rFonts w:ascii="Traditional Arabic" w:hAnsi="Traditional Arabic" w:hint="cs"/>
          <w:rtl/>
        </w:rPr>
        <w:t>،</w:t>
      </w:r>
      <w:r w:rsidR="007A0DDE" w:rsidRPr="000E1D14">
        <w:rPr>
          <w:rFonts w:ascii="Traditional Arabic" w:hAnsi="Traditional Arabic" w:hint="cs"/>
          <w:rtl/>
        </w:rPr>
        <w:t xml:space="preserve"> وهما مرفوعان في الشريعة</w:t>
      </w:r>
      <w:r w:rsidR="00B76414" w:rsidRPr="000E1D14">
        <w:rPr>
          <w:rFonts w:ascii="Traditional Arabic" w:hAnsi="Traditional Arabic" w:hint="cs"/>
          <w:rtl/>
        </w:rPr>
        <w:t>،</w:t>
      </w:r>
      <w:r w:rsidR="007A0DDE" w:rsidRPr="000E1D14">
        <w:rPr>
          <w:rFonts w:ascii="Traditional Arabic" w:hAnsi="Traditional Arabic" w:hint="cs"/>
          <w:rtl/>
        </w:rPr>
        <w:t xml:space="preserve"> فتُغْتَفَر الجهالة اليسيرة والغرر اليسير تيسيرا على المكلفين</w:t>
      </w:r>
      <w:r w:rsidR="007A0DDE" w:rsidRPr="00C821A1">
        <w:rPr>
          <w:rFonts w:ascii="Traditional Arabic" w:hAnsi="Traditional Arabic"/>
          <w:b/>
          <w:szCs w:val="32"/>
          <w:vertAlign w:val="superscript"/>
          <w:rtl/>
        </w:rPr>
        <w:t>(</w:t>
      </w:r>
      <w:r w:rsidR="007A0DDE" w:rsidRPr="00C821A1">
        <w:rPr>
          <w:rFonts w:ascii="Traditional Arabic" w:hAnsi="Traditional Arabic"/>
          <w:b/>
          <w:szCs w:val="32"/>
          <w:vertAlign w:val="superscript"/>
          <w:rtl/>
        </w:rPr>
        <w:footnoteReference w:id="2036"/>
      </w:r>
      <w:r w:rsidR="007A0DDE" w:rsidRPr="00C821A1">
        <w:rPr>
          <w:rFonts w:ascii="Traditional Arabic" w:hAnsi="Traditional Arabic"/>
          <w:b/>
          <w:szCs w:val="32"/>
          <w:vertAlign w:val="superscript"/>
          <w:rtl/>
        </w:rPr>
        <w:t>)</w:t>
      </w:r>
      <w:r w:rsidR="00B76414" w:rsidRPr="000E1D14">
        <w:rPr>
          <w:rFonts w:ascii="Traditional Arabic" w:hAnsi="Traditional Arabic" w:hint="cs"/>
          <w:b/>
          <w:bCs/>
          <w:vertAlign w:val="superscript"/>
          <w:rtl/>
        </w:rPr>
        <w:t>.</w:t>
      </w:r>
    </w:p>
    <w:p w:rsidR="007A0DDE" w:rsidRPr="000E1D14" w:rsidRDefault="007A0DDE" w:rsidP="000A76C7">
      <w:pPr>
        <w:pStyle w:val="afc"/>
        <w:numPr>
          <w:ilvl w:val="0"/>
          <w:numId w:val="276"/>
        </w:numPr>
        <w:ind w:left="849" w:hanging="283"/>
        <w:rPr>
          <w:rFonts w:ascii="Traditional Arabic" w:hAnsi="Traditional Arabic"/>
          <w:rtl/>
        </w:rPr>
      </w:pPr>
      <w:r w:rsidRPr="000E1D14">
        <w:rPr>
          <w:rFonts w:ascii="Traditional Arabic" w:hAnsi="Traditional Arabic" w:hint="cs"/>
          <w:rtl/>
        </w:rPr>
        <w:t>يجوز بيع</w:t>
      </w:r>
      <w:r w:rsidR="003A13BD">
        <w:rPr>
          <w:rFonts w:ascii="Traditional Arabic" w:hAnsi="Traditional Arabic" w:hint="cs"/>
          <w:rtl/>
        </w:rPr>
        <w:t>ُ</w:t>
      </w:r>
      <w:r w:rsidRPr="000E1D14">
        <w:rPr>
          <w:rFonts w:ascii="Traditional Arabic" w:hAnsi="Traditional Arabic" w:hint="cs"/>
          <w:rtl/>
        </w:rPr>
        <w:t xml:space="preserve"> ما مأكول</w:t>
      </w:r>
      <w:r w:rsidR="003A13BD">
        <w:rPr>
          <w:rFonts w:ascii="Traditional Arabic" w:hAnsi="Traditional Arabic" w:hint="cs"/>
          <w:rtl/>
        </w:rPr>
        <w:t>ُ</w:t>
      </w:r>
      <w:r w:rsidRPr="000E1D14">
        <w:rPr>
          <w:rFonts w:ascii="Traditional Arabic" w:hAnsi="Traditional Arabic" w:hint="cs"/>
          <w:rtl/>
        </w:rPr>
        <w:t>ه في ج</w:t>
      </w:r>
      <w:r w:rsidR="003A13BD">
        <w:rPr>
          <w:rFonts w:ascii="Traditional Arabic" w:hAnsi="Traditional Arabic" w:hint="cs"/>
          <w:rtl/>
        </w:rPr>
        <w:t>َ</w:t>
      </w:r>
      <w:r w:rsidRPr="000E1D14">
        <w:rPr>
          <w:rFonts w:ascii="Traditional Arabic" w:hAnsi="Traditional Arabic" w:hint="cs"/>
          <w:rtl/>
        </w:rPr>
        <w:t>وفه كالر</w:t>
      </w:r>
      <w:r w:rsidR="003A13BD">
        <w:rPr>
          <w:rFonts w:ascii="Traditional Arabic" w:hAnsi="Traditional Arabic" w:hint="cs"/>
          <w:rtl/>
        </w:rPr>
        <w:t>ُّ</w:t>
      </w:r>
      <w:r w:rsidRPr="000E1D14">
        <w:rPr>
          <w:rFonts w:ascii="Traditional Arabic" w:hAnsi="Traditional Arabic" w:hint="cs"/>
          <w:rtl/>
        </w:rPr>
        <w:t>مان</w:t>
      </w:r>
      <w:r w:rsidR="00154102" w:rsidRPr="000E1D14">
        <w:rPr>
          <w:rFonts w:ascii="Traditional Arabic" w:hAnsi="Traditional Arabic" w:hint="cs"/>
          <w:rtl/>
        </w:rPr>
        <w:t xml:space="preserve"> و</w:t>
      </w:r>
      <w:r w:rsidRPr="000E1D14">
        <w:rPr>
          <w:rFonts w:ascii="Traditional Arabic" w:hAnsi="Traditional Arabic" w:hint="cs"/>
          <w:rtl/>
        </w:rPr>
        <w:t>البطيخ،</w:t>
      </w:r>
      <w:r w:rsidR="003A13BD">
        <w:rPr>
          <w:rFonts w:ascii="Traditional Arabic" w:hAnsi="Traditional Arabic" w:hint="cs"/>
          <w:rtl/>
        </w:rPr>
        <w:t xml:space="preserve"> </w:t>
      </w:r>
      <w:r w:rsidRPr="000E1D14">
        <w:rPr>
          <w:rFonts w:ascii="Traditional Arabic" w:hAnsi="Traditional Arabic" w:hint="cs"/>
          <w:rtl/>
        </w:rPr>
        <w:t>و</w:t>
      </w:r>
      <w:r w:rsidR="003A13BD">
        <w:rPr>
          <w:rFonts w:ascii="Traditional Arabic" w:hAnsi="Traditional Arabic" w:hint="cs"/>
          <w:rtl/>
        </w:rPr>
        <w:t xml:space="preserve">يجوز </w:t>
      </w:r>
      <w:r w:rsidRPr="000E1D14">
        <w:rPr>
          <w:rFonts w:ascii="Traditional Arabic" w:hAnsi="Traditional Arabic" w:hint="cs"/>
          <w:rtl/>
        </w:rPr>
        <w:t>بيع الفول والحمص والجوز واللوز ونحوها في قِشْرِها؛ لاحتياج الناس إلى هذه البيوع</w:t>
      </w:r>
      <w:r w:rsidR="00B76414" w:rsidRPr="000E1D14">
        <w:rPr>
          <w:rFonts w:ascii="Traditional Arabic" w:hAnsi="Traditional Arabic" w:hint="cs"/>
          <w:rtl/>
        </w:rPr>
        <w:t>،</w:t>
      </w:r>
      <w:r w:rsidRPr="000E1D14">
        <w:rPr>
          <w:rFonts w:ascii="Traditional Arabic" w:hAnsi="Traditional Arabic" w:hint="cs"/>
          <w:rtl/>
        </w:rPr>
        <w:t xml:space="preserve"> ولأن ف</w:t>
      </w:r>
      <w:r w:rsidR="003A13BD">
        <w:rPr>
          <w:rFonts w:ascii="Traditional Arabic" w:hAnsi="Traditional Arabic" w:hint="cs"/>
          <w:rtl/>
        </w:rPr>
        <w:t>َ</w:t>
      </w:r>
      <w:r w:rsidRPr="000E1D14">
        <w:rPr>
          <w:rFonts w:ascii="Traditional Arabic" w:hAnsi="Traditional Arabic" w:hint="cs"/>
          <w:rtl/>
        </w:rPr>
        <w:t>ت</w:t>
      </w:r>
      <w:r w:rsidR="003A13BD">
        <w:rPr>
          <w:rFonts w:ascii="Traditional Arabic" w:hAnsi="Traditional Arabic" w:hint="cs"/>
          <w:rtl/>
        </w:rPr>
        <w:t>ْ</w:t>
      </w:r>
      <w:r w:rsidRPr="000E1D14">
        <w:rPr>
          <w:rFonts w:ascii="Traditional Arabic" w:hAnsi="Traditional Arabic" w:hint="cs"/>
          <w:rtl/>
        </w:rPr>
        <w:t>ح</w:t>
      </w:r>
      <w:r w:rsidR="003A13BD">
        <w:rPr>
          <w:rFonts w:ascii="Traditional Arabic" w:hAnsi="Traditional Arabic" w:hint="cs"/>
          <w:rtl/>
        </w:rPr>
        <w:t>َ</w:t>
      </w:r>
      <w:r w:rsidRPr="000E1D14">
        <w:rPr>
          <w:rFonts w:ascii="Traditional Arabic" w:hAnsi="Traditional Arabic" w:hint="cs"/>
          <w:rtl/>
        </w:rPr>
        <w:t>ها يكون سببا</w:t>
      </w:r>
      <w:r w:rsidR="003A13BD">
        <w:rPr>
          <w:rFonts w:ascii="Traditional Arabic" w:hAnsi="Traditional Arabic" w:hint="cs"/>
          <w:rtl/>
        </w:rPr>
        <w:t>ً</w:t>
      </w:r>
      <w:r w:rsidRPr="000E1D14">
        <w:rPr>
          <w:rFonts w:ascii="Traditional Arabic" w:hAnsi="Traditional Arabic" w:hint="cs"/>
          <w:rtl/>
        </w:rPr>
        <w:t xml:space="preserve"> لفسادها</w:t>
      </w:r>
      <w:r w:rsidRPr="00C821A1">
        <w:rPr>
          <w:rFonts w:ascii="Traditional Arabic" w:hAnsi="Traditional Arabic"/>
          <w:b/>
          <w:szCs w:val="32"/>
          <w:vertAlign w:val="superscript"/>
          <w:rtl/>
        </w:rPr>
        <w:t>(</w:t>
      </w:r>
      <w:r w:rsidRPr="00C821A1">
        <w:rPr>
          <w:rFonts w:ascii="Traditional Arabic" w:hAnsi="Traditional Arabic"/>
          <w:b/>
          <w:szCs w:val="32"/>
          <w:vertAlign w:val="superscript"/>
          <w:rtl/>
        </w:rPr>
        <w:footnoteReference w:id="2037"/>
      </w:r>
      <w:r w:rsidRPr="00C821A1">
        <w:rPr>
          <w:rFonts w:ascii="Traditional Arabic" w:hAnsi="Traditional Arabic"/>
          <w:b/>
          <w:szCs w:val="32"/>
          <w:vertAlign w:val="superscript"/>
          <w:rtl/>
        </w:rPr>
        <w:t>)</w:t>
      </w:r>
      <w:r w:rsidR="00B76414" w:rsidRPr="000E1D14">
        <w:rPr>
          <w:rFonts w:ascii="Traditional Arabic" w:hAnsi="Traditional Arabic" w:hint="cs"/>
          <w:rtl/>
        </w:rPr>
        <w:t>.</w:t>
      </w:r>
    </w:p>
    <w:p w:rsidR="000E1D14" w:rsidRDefault="007A0DDE" w:rsidP="00597C20">
      <w:pPr>
        <w:pStyle w:val="53"/>
        <w:rPr>
          <w:rtl/>
        </w:rPr>
      </w:pPr>
      <w:r w:rsidRPr="000E1D14">
        <w:rPr>
          <w:rFonts w:hint="cs"/>
          <w:rtl/>
        </w:rPr>
        <w:t>وجه اندراج الفرع تحت القاعدة:</w:t>
      </w:r>
    </w:p>
    <w:p w:rsidR="007A0DDE" w:rsidRPr="000E1D14" w:rsidRDefault="007A0DDE" w:rsidP="00597C20">
      <w:pPr>
        <w:ind w:firstLine="720"/>
        <w:rPr>
          <w:rFonts w:ascii="Traditional Arabic" w:hAnsi="Traditional Arabic"/>
          <w:rtl/>
        </w:rPr>
      </w:pPr>
      <w:r w:rsidRPr="000E1D14">
        <w:rPr>
          <w:rFonts w:ascii="Traditional Arabic" w:hAnsi="Traditional Arabic" w:hint="cs"/>
          <w:rtl/>
        </w:rPr>
        <w:t>أن الناس محتاجون إلى هذه البيوع</w:t>
      </w:r>
      <w:r w:rsidR="00B76414" w:rsidRPr="000E1D14">
        <w:rPr>
          <w:rFonts w:ascii="Traditional Arabic" w:hAnsi="Traditional Arabic" w:hint="cs"/>
          <w:rtl/>
        </w:rPr>
        <w:t>،</w:t>
      </w:r>
      <w:r w:rsidRPr="000E1D14">
        <w:rPr>
          <w:rFonts w:ascii="Traditional Arabic" w:hAnsi="Traditional Arabic" w:hint="cs"/>
          <w:rtl/>
        </w:rPr>
        <w:t xml:space="preserve"> وفي المنع منها حرج</w:t>
      </w:r>
      <w:r w:rsidR="003A13BD">
        <w:rPr>
          <w:rFonts w:ascii="Traditional Arabic" w:hAnsi="Traditional Arabic" w:hint="cs"/>
          <w:rtl/>
        </w:rPr>
        <w:t>ٌ</w:t>
      </w:r>
      <w:r w:rsidRPr="000E1D14">
        <w:rPr>
          <w:rFonts w:ascii="Traditional Arabic" w:hAnsi="Traditional Arabic" w:hint="cs"/>
          <w:rtl/>
        </w:rPr>
        <w:t xml:space="preserve"> لا تأتي الشريعة بمثله؛ فالقول بالجواز فيه تيسير</w:t>
      </w:r>
      <w:r w:rsidR="003A13BD">
        <w:rPr>
          <w:rFonts w:ascii="Traditional Arabic" w:hAnsi="Traditional Arabic" w:hint="cs"/>
          <w:rtl/>
        </w:rPr>
        <w:t>ٌ</w:t>
      </w:r>
      <w:r w:rsidRPr="000E1D14">
        <w:rPr>
          <w:rFonts w:ascii="Traditional Arabic" w:hAnsi="Traditional Arabic" w:hint="cs"/>
          <w:rtl/>
        </w:rPr>
        <w:t xml:space="preserve"> على الناس، ورفعٌ للمشقة عنهم </w:t>
      </w:r>
      <w:r w:rsidRPr="00C821A1">
        <w:rPr>
          <w:rFonts w:ascii="Traditional Arabic" w:hAnsi="Traditional Arabic"/>
          <w:b/>
          <w:szCs w:val="32"/>
          <w:vertAlign w:val="superscript"/>
          <w:rtl/>
        </w:rPr>
        <w:t>(</w:t>
      </w:r>
      <w:r w:rsidRPr="00C821A1">
        <w:rPr>
          <w:rFonts w:ascii="Traditional Arabic" w:hAnsi="Traditional Arabic"/>
          <w:b/>
          <w:szCs w:val="32"/>
          <w:vertAlign w:val="superscript"/>
          <w:rtl/>
        </w:rPr>
        <w:footnoteReference w:id="2038"/>
      </w:r>
      <w:r w:rsidRPr="00C821A1">
        <w:rPr>
          <w:rFonts w:ascii="Traditional Arabic" w:hAnsi="Traditional Arabic"/>
          <w:b/>
          <w:szCs w:val="32"/>
          <w:vertAlign w:val="superscript"/>
          <w:rtl/>
        </w:rPr>
        <w:t>)</w:t>
      </w:r>
      <w:r w:rsidR="00B76414" w:rsidRPr="000E1D14">
        <w:rPr>
          <w:rFonts w:ascii="Traditional Arabic" w:hAnsi="Traditional Arabic" w:hint="cs"/>
          <w:rtl/>
        </w:rPr>
        <w:t>.</w:t>
      </w:r>
    </w:p>
    <w:p w:rsidR="007A0DDE" w:rsidRPr="000E1D14" w:rsidRDefault="007A0DDE" w:rsidP="000A76C7">
      <w:pPr>
        <w:pStyle w:val="afc"/>
        <w:numPr>
          <w:ilvl w:val="0"/>
          <w:numId w:val="276"/>
        </w:numPr>
        <w:ind w:left="849" w:hanging="283"/>
        <w:rPr>
          <w:rFonts w:ascii="Traditional Arabic" w:hAnsi="Traditional Arabic"/>
          <w:rtl/>
        </w:rPr>
      </w:pPr>
      <w:r w:rsidRPr="000E1D14">
        <w:rPr>
          <w:rFonts w:ascii="Traditional Arabic" w:hAnsi="Traditional Arabic" w:hint="cs"/>
          <w:rtl/>
        </w:rPr>
        <w:lastRenderedPageBreak/>
        <w:t>الأصل عدم جواز بيع الر</w:t>
      </w:r>
      <w:r w:rsidR="003A13BD">
        <w:rPr>
          <w:rFonts w:ascii="Traditional Arabic" w:hAnsi="Traditional Arabic" w:hint="cs"/>
          <w:rtl/>
        </w:rPr>
        <w:t>ُّ</w:t>
      </w:r>
      <w:r w:rsidRPr="000E1D14">
        <w:rPr>
          <w:rFonts w:ascii="Traditional Arabic" w:hAnsi="Traditional Arabic" w:hint="cs"/>
          <w:rtl/>
        </w:rPr>
        <w:t>ط</w:t>
      </w:r>
      <w:r w:rsidR="003A13BD">
        <w:rPr>
          <w:rFonts w:ascii="Traditional Arabic" w:hAnsi="Traditional Arabic" w:hint="cs"/>
          <w:rtl/>
        </w:rPr>
        <w:t>َ</w:t>
      </w:r>
      <w:r w:rsidRPr="000E1D14">
        <w:rPr>
          <w:rFonts w:ascii="Traditional Arabic" w:hAnsi="Traditional Arabic" w:hint="cs"/>
          <w:rtl/>
        </w:rPr>
        <w:t>ب بالتمر وإن تساويا وزناً؛ لأن الرطب ينق</w:t>
      </w:r>
      <w:r w:rsidR="003A13BD">
        <w:rPr>
          <w:rFonts w:ascii="Traditional Arabic" w:hAnsi="Traditional Arabic" w:hint="cs"/>
          <w:rtl/>
        </w:rPr>
        <w:t>ُ</w:t>
      </w:r>
      <w:r w:rsidRPr="000E1D14">
        <w:rPr>
          <w:rFonts w:ascii="Traditional Arabic" w:hAnsi="Traditional Arabic" w:hint="cs"/>
          <w:rtl/>
        </w:rPr>
        <w:t>ص وزنه إذا جف</w:t>
      </w:r>
      <w:r w:rsidR="003A13BD">
        <w:rPr>
          <w:rFonts w:ascii="Traditional Arabic" w:hAnsi="Traditional Arabic" w:hint="cs"/>
          <w:rtl/>
        </w:rPr>
        <w:t>َّ</w:t>
      </w:r>
      <w:r w:rsidR="00B76414" w:rsidRPr="000E1D14">
        <w:rPr>
          <w:rFonts w:ascii="Traditional Arabic" w:hAnsi="Traditional Arabic" w:hint="cs"/>
          <w:rtl/>
        </w:rPr>
        <w:t>،</w:t>
      </w:r>
      <w:r w:rsidRPr="000E1D14">
        <w:rPr>
          <w:rFonts w:ascii="Traditional Arabic" w:hAnsi="Traditional Arabic" w:hint="cs"/>
          <w:rtl/>
        </w:rPr>
        <w:t xml:space="preserve"> لكن استثنى الشارع بيع العرايا</w:t>
      </w:r>
      <w:r w:rsidR="003A13BD">
        <w:rPr>
          <w:rFonts w:ascii="Traditional Arabic" w:hAnsi="Traditional Arabic" w:hint="cs"/>
          <w:rtl/>
        </w:rPr>
        <w:t>،</w:t>
      </w:r>
      <w:r w:rsidRPr="000E1D14">
        <w:rPr>
          <w:rFonts w:ascii="Traditional Arabic" w:hAnsi="Traditional Arabic" w:hint="cs"/>
          <w:rtl/>
        </w:rPr>
        <w:t xml:space="preserve"> فأباحه دفعا</w:t>
      </w:r>
      <w:r w:rsidR="003A13BD">
        <w:rPr>
          <w:rFonts w:ascii="Traditional Arabic" w:hAnsi="Traditional Arabic" w:hint="cs"/>
          <w:rtl/>
        </w:rPr>
        <w:t>ً</w:t>
      </w:r>
      <w:r w:rsidRPr="000E1D14">
        <w:rPr>
          <w:rFonts w:ascii="Traditional Arabic" w:hAnsi="Traditional Arabic" w:hint="cs"/>
          <w:rtl/>
        </w:rPr>
        <w:t xml:space="preserve"> لحاجة الفقير الذي يريد أن يتفكَّه</w:t>
      </w:r>
      <w:r w:rsidR="003A13BD">
        <w:rPr>
          <w:rFonts w:ascii="Traditional Arabic" w:hAnsi="Traditional Arabic" w:hint="cs"/>
          <w:szCs w:val="32"/>
          <w:vertAlign w:val="superscript"/>
          <w:rtl/>
        </w:rPr>
        <w:t xml:space="preserve"> </w:t>
      </w:r>
      <w:r w:rsidRPr="000E1D14">
        <w:rPr>
          <w:rFonts w:ascii="Traditional Arabic" w:hAnsi="Traditional Arabic" w:hint="cs"/>
          <w:rtl/>
        </w:rPr>
        <w:t>بالرطب</w:t>
      </w:r>
      <w:r w:rsidRPr="00C821A1">
        <w:rPr>
          <w:rFonts w:ascii="Traditional Arabic" w:hAnsi="Traditional Arabic"/>
          <w:b/>
          <w:szCs w:val="32"/>
          <w:vertAlign w:val="superscript"/>
          <w:rtl/>
        </w:rPr>
        <w:t>(</w:t>
      </w:r>
      <w:r w:rsidRPr="00C821A1">
        <w:rPr>
          <w:rFonts w:ascii="Traditional Arabic" w:hAnsi="Traditional Arabic"/>
          <w:b/>
          <w:szCs w:val="32"/>
          <w:vertAlign w:val="superscript"/>
          <w:rtl/>
        </w:rPr>
        <w:footnoteReference w:id="2039"/>
      </w:r>
      <w:r w:rsidRPr="00C821A1">
        <w:rPr>
          <w:rFonts w:ascii="Traditional Arabic" w:hAnsi="Traditional Arabic"/>
          <w:b/>
          <w:szCs w:val="32"/>
          <w:vertAlign w:val="superscript"/>
          <w:rtl/>
        </w:rPr>
        <w:t>)</w:t>
      </w:r>
      <w:r w:rsidR="00B76414" w:rsidRPr="000E1D14">
        <w:rPr>
          <w:rFonts w:ascii="Traditional Arabic" w:hAnsi="Traditional Arabic" w:hint="cs"/>
          <w:rtl/>
        </w:rPr>
        <w:t>.</w:t>
      </w:r>
    </w:p>
    <w:p w:rsidR="00F228A9" w:rsidRPr="000E1D14" w:rsidRDefault="007A0DDE" w:rsidP="00597C20">
      <w:pPr>
        <w:pStyle w:val="53"/>
        <w:rPr>
          <w:rtl/>
        </w:rPr>
      </w:pPr>
      <w:r w:rsidRPr="000E1D14">
        <w:rPr>
          <w:rFonts w:hint="cs"/>
          <w:rtl/>
        </w:rPr>
        <w:t>وجه اندراج الفرع تحت القاعدة:</w:t>
      </w:r>
    </w:p>
    <w:p w:rsidR="007A0DDE" w:rsidRDefault="003A13BD" w:rsidP="003A13BD">
      <w:pPr>
        <w:ind w:left="849" w:firstLine="0"/>
        <w:rPr>
          <w:rFonts w:ascii="Traditional Arabic" w:hAnsi="Traditional Arabic"/>
          <w:rtl/>
        </w:rPr>
      </w:pPr>
      <w:r>
        <w:rPr>
          <w:rFonts w:ascii="Traditional Arabic" w:hAnsi="Traditional Arabic" w:hint="cs"/>
          <w:rtl/>
        </w:rPr>
        <w:t>إنه لَمَّ</w:t>
      </w:r>
      <w:r w:rsidR="007A0DDE" w:rsidRPr="000E1D14">
        <w:rPr>
          <w:rFonts w:ascii="Traditional Arabic" w:hAnsi="Traditional Arabic" w:hint="cs"/>
          <w:rtl/>
        </w:rPr>
        <w:t>ا شق</w:t>
      </w:r>
      <w:r>
        <w:rPr>
          <w:rFonts w:ascii="Traditional Arabic" w:hAnsi="Traditional Arabic" w:hint="cs"/>
          <w:rtl/>
        </w:rPr>
        <w:t>َّ</w:t>
      </w:r>
      <w:r w:rsidR="007A0DDE" w:rsidRPr="000E1D14">
        <w:rPr>
          <w:rFonts w:ascii="Traditional Arabic" w:hAnsi="Traditional Arabic" w:hint="cs"/>
          <w:rtl/>
        </w:rPr>
        <w:t xml:space="preserve"> على هذا الفقير ترك الرطب، يس</w:t>
      </w:r>
      <w:r w:rsidR="007A0DDE" w:rsidRPr="000E1D14">
        <w:rPr>
          <w:rFonts w:ascii="Traditional Arabic" w:hAnsi="Traditional Arabic"/>
          <w:rtl/>
        </w:rPr>
        <w:t>ّ</w:t>
      </w:r>
      <w:r w:rsidR="007A0DDE" w:rsidRPr="000E1D14">
        <w:rPr>
          <w:rFonts w:ascii="Traditional Arabic" w:hAnsi="Traditional Arabic" w:hint="cs"/>
          <w:rtl/>
        </w:rPr>
        <w:t>ر الله عليه بجواز شرائه بالتمر</w:t>
      </w:r>
      <w:r w:rsidR="00B76414" w:rsidRPr="000E1D14">
        <w:rPr>
          <w:rFonts w:ascii="Traditional Arabic" w:hAnsi="Traditional Arabic" w:hint="cs"/>
          <w:rtl/>
        </w:rPr>
        <w:t>،</w:t>
      </w:r>
      <w:r w:rsidR="007A0DDE" w:rsidRPr="000E1D14">
        <w:rPr>
          <w:rFonts w:ascii="Traditional Arabic" w:hAnsi="Traditional Arabic" w:hint="cs"/>
          <w:rtl/>
        </w:rPr>
        <w:t xml:space="preserve"> فالمشق</w:t>
      </w:r>
      <w:r w:rsidR="007A0DDE" w:rsidRPr="000E1D14">
        <w:rPr>
          <w:rFonts w:ascii="Traditional Arabic" w:hAnsi="Traditional Arabic" w:hint="eastAsia"/>
          <w:rtl/>
        </w:rPr>
        <w:t>ة</w:t>
      </w:r>
      <w:r>
        <w:rPr>
          <w:rFonts w:ascii="Traditional Arabic" w:hAnsi="Traditional Arabic" w:hint="cs"/>
          <w:rtl/>
        </w:rPr>
        <w:t xml:space="preserve"> </w:t>
      </w:r>
      <w:r w:rsidR="007A0DDE" w:rsidRPr="000E1D14">
        <w:rPr>
          <w:rFonts w:ascii="Traditional Arabic" w:hAnsi="Traditional Arabic" w:hint="cs"/>
          <w:rtl/>
        </w:rPr>
        <w:t>تجلب التيسير</w:t>
      </w:r>
      <w:r w:rsidR="007A0DDE" w:rsidRPr="00C821A1">
        <w:rPr>
          <w:rFonts w:ascii="Traditional Arabic" w:hAnsi="Traditional Arabic"/>
          <w:b/>
          <w:szCs w:val="32"/>
          <w:vertAlign w:val="superscript"/>
          <w:rtl/>
        </w:rPr>
        <w:t>(</w:t>
      </w:r>
      <w:r w:rsidR="007A0DDE" w:rsidRPr="00C821A1">
        <w:rPr>
          <w:rFonts w:ascii="Traditional Arabic" w:hAnsi="Traditional Arabic"/>
          <w:b/>
          <w:szCs w:val="32"/>
          <w:vertAlign w:val="superscript"/>
          <w:rtl/>
        </w:rPr>
        <w:footnoteReference w:id="2040"/>
      </w:r>
      <w:r w:rsidR="007A0DDE" w:rsidRPr="00C821A1">
        <w:rPr>
          <w:rFonts w:ascii="Traditional Arabic" w:hAnsi="Traditional Arabic"/>
          <w:b/>
          <w:szCs w:val="32"/>
          <w:vertAlign w:val="superscript"/>
          <w:rtl/>
        </w:rPr>
        <w:t>)</w:t>
      </w:r>
      <w:r w:rsidR="007A0DDE" w:rsidRPr="000E1D14">
        <w:rPr>
          <w:rFonts w:ascii="Traditional Arabic" w:hAnsi="Traditional Arabic" w:hint="cs"/>
          <w:rtl/>
        </w:rPr>
        <w:t>.</w:t>
      </w:r>
    </w:p>
    <w:p w:rsidR="00BF427E" w:rsidRDefault="00BF427E" w:rsidP="00597C20">
      <w:pPr>
        <w:ind w:left="849" w:firstLine="425"/>
        <w:rPr>
          <w:rFonts w:ascii="Traditional Arabic" w:hAnsi="Traditional Arabic"/>
          <w:rtl/>
        </w:rPr>
      </w:pPr>
    </w:p>
    <w:p w:rsidR="00D816CC" w:rsidRPr="00C85F0F" w:rsidRDefault="00D816CC" w:rsidP="000F5C0F">
      <w:pPr>
        <w:pStyle w:val="aff2"/>
        <w:rPr>
          <w:rtl/>
        </w:rPr>
      </w:pPr>
      <w:bookmarkStart w:id="441" w:name="_Toc334046615"/>
      <w:r w:rsidRPr="00D816CC">
        <w:rPr>
          <w:rFonts w:hint="cs"/>
          <w:rtl/>
        </w:rPr>
        <w:lastRenderedPageBreak/>
        <w:t>المبحث التاسع</w:t>
      </w:r>
      <w:r>
        <w:rPr>
          <w:rFonts w:hint="eastAsia"/>
          <w:rtl/>
        </w:rPr>
        <w:t> </w:t>
      </w:r>
      <w:r w:rsidRPr="00D816CC">
        <w:rPr>
          <w:rFonts w:hint="cs"/>
          <w:rtl/>
        </w:rPr>
        <w:t>:</w:t>
      </w:r>
      <w:r>
        <w:rPr>
          <w:rtl/>
        </w:rPr>
        <w:br/>
      </w:r>
      <w:r w:rsidRPr="00D816CC">
        <w:rPr>
          <w:rFonts w:hint="cs"/>
          <w:rtl/>
        </w:rPr>
        <w:t>قاعدة</w:t>
      </w:r>
      <w:r>
        <w:rPr>
          <w:rtl/>
        </w:rPr>
        <w:br/>
      </w:r>
      <w:r w:rsidR="007A0DDE">
        <w:rPr>
          <w:rFonts w:hint="cs"/>
          <w:rtl/>
        </w:rPr>
        <w:t>"</w:t>
      </w:r>
      <w:r w:rsidRPr="00D816CC">
        <w:rPr>
          <w:rFonts w:hint="cs"/>
          <w:rtl/>
        </w:rPr>
        <w:t>السلطان ولي من لا ولي له</w:t>
      </w:r>
      <w:r w:rsidR="00AB0B9E" w:rsidRPr="00C85F0F">
        <w:rPr>
          <w:rtl/>
        </w:rPr>
        <w:fldChar w:fldCharType="begin"/>
      </w:r>
      <w:r w:rsidR="003504FF" w:rsidRPr="00C85F0F">
        <w:rPr>
          <w:rFonts w:hint="cs"/>
        </w:rPr>
        <w:instrText>XE</w:instrText>
      </w:r>
      <w:r w:rsidR="003504FF" w:rsidRPr="00C85F0F">
        <w:rPr>
          <w:rtl/>
        </w:rPr>
        <w:instrText xml:space="preserve"> "</w:instrText>
      </w:r>
      <w:r w:rsidR="003504FF" w:rsidRPr="00C85F0F">
        <w:rPr>
          <w:rFonts w:hint="cs"/>
          <w:rtl/>
        </w:rPr>
        <w:instrText>السلطانوليمنلاوليله</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7A0DDE" w:rsidRPr="00C85F0F">
        <w:rPr>
          <w:rFonts w:hint="cs"/>
          <w:rtl/>
        </w:rPr>
        <w:t>"</w:t>
      </w:r>
      <w:bookmarkEnd w:id="441"/>
      <w:r w:rsidR="006E065B" w:rsidRPr="006E065B">
        <w:rPr>
          <w:rFonts w:hint="cs"/>
          <w:b w:val="0"/>
          <w:bCs w:val="0"/>
          <w:vertAlign w:val="superscript"/>
          <w:rtl/>
        </w:rPr>
        <w:t>(</w:t>
      </w:r>
      <w:r w:rsidR="00B715F4" w:rsidRPr="006E065B">
        <w:rPr>
          <w:rStyle w:val="af1"/>
          <w:b w:val="0"/>
          <w:bCs w:val="0"/>
          <w:rtl/>
        </w:rPr>
        <w:footnoteReference w:id="2041"/>
      </w:r>
      <w:r w:rsidR="006E065B" w:rsidRPr="006E065B">
        <w:rPr>
          <w:rFonts w:hint="cs"/>
          <w:b w:val="0"/>
          <w:bCs w:val="0"/>
          <w:vertAlign w:val="superscript"/>
          <w:rtl/>
        </w:rPr>
        <w:t>)</w:t>
      </w:r>
    </w:p>
    <w:p w:rsidR="007A0DDE" w:rsidRPr="00C85F0F" w:rsidRDefault="00BF427E" w:rsidP="00A8347C">
      <w:pPr>
        <w:pStyle w:val="aff3"/>
        <w:rPr>
          <w:rtl/>
        </w:rPr>
      </w:pPr>
      <w:bookmarkStart w:id="442" w:name="_Toc334046616"/>
      <w:r>
        <w:rPr>
          <w:rFonts w:hint="cs"/>
          <w:rtl/>
        </w:rPr>
        <w:t xml:space="preserve">     </w:t>
      </w:r>
      <w:r w:rsidR="00B715F4">
        <w:rPr>
          <w:rFonts w:hint="cs"/>
          <w:rtl/>
        </w:rPr>
        <w:t xml:space="preserve">                       </w:t>
      </w:r>
      <w:r>
        <w:rPr>
          <w:rFonts w:hint="cs"/>
          <w:rtl/>
        </w:rPr>
        <w:t xml:space="preserve">              </w:t>
      </w:r>
      <w:r w:rsidR="007A0DDE" w:rsidRPr="00C85F0F">
        <w:rPr>
          <w:rFonts w:hint="cs"/>
          <w:rtl/>
        </w:rPr>
        <w:t>المطلب الأول</w:t>
      </w:r>
      <w:r w:rsidR="007A0DDE" w:rsidRPr="00C85F0F">
        <w:rPr>
          <w:rFonts w:hint="eastAsia"/>
          <w:rtl/>
        </w:rPr>
        <w:t> :</w:t>
      </w:r>
      <w:r w:rsidR="007A0DDE" w:rsidRPr="00C85F0F">
        <w:rPr>
          <w:rFonts w:hint="cs"/>
          <w:rtl/>
        </w:rPr>
        <w:br/>
      </w:r>
      <w:r>
        <w:rPr>
          <w:rFonts w:hint="cs"/>
          <w:rtl/>
        </w:rPr>
        <w:t xml:space="preserve">           </w:t>
      </w:r>
      <w:r w:rsidR="00B715F4">
        <w:rPr>
          <w:rFonts w:hint="cs"/>
          <w:rtl/>
        </w:rPr>
        <w:t xml:space="preserve">              </w:t>
      </w:r>
      <w:r w:rsidR="007A0DDE" w:rsidRPr="00C85F0F">
        <w:rPr>
          <w:rFonts w:hint="cs"/>
          <w:rtl/>
        </w:rPr>
        <w:t>صيغ القاعدة عند الشيخ وعند علماء القواعد</w:t>
      </w:r>
      <w:bookmarkEnd w:id="442"/>
    </w:p>
    <w:p w:rsidR="007A0DDE" w:rsidRPr="00C85F0F" w:rsidRDefault="007A0DDE" w:rsidP="00B715F4">
      <w:pPr>
        <w:ind w:firstLine="0"/>
        <w:rPr>
          <w:rtl/>
        </w:rPr>
      </w:pPr>
      <w:r w:rsidRPr="00C85F0F">
        <w:rPr>
          <w:rFonts w:hint="cs"/>
          <w:rtl/>
        </w:rPr>
        <w:t xml:space="preserve">وردت هذه القاعدة عند الشيخ ابن عثيمين </w:t>
      </w:r>
      <w:r w:rsidR="00B715F4">
        <w:rPr>
          <w:rFonts w:hint="cs"/>
          <w:rtl/>
        </w:rPr>
        <w:t>_</w:t>
      </w:r>
      <w:r w:rsidR="009A0575" w:rsidRPr="005D5694">
        <w:rPr>
          <w:rFonts w:ascii="Traditional Arabic" w:hAnsi="Traditional Arabic" w:cs="CTraditional Arabic" w:hint="cs"/>
          <w:rtl/>
        </w:rPr>
        <w:t>/</w:t>
      </w:r>
      <w:r w:rsidR="00B715F4">
        <w:rPr>
          <w:rFonts w:hint="cs"/>
          <w:rtl/>
        </w:rPr>
        <w:t>_</w:t>
      </w:r>
      <w:r w:rsidRPr="00C85F0F">
        <w:rPr>
          <w:rFonts w:hint="cs"/>
          <w:rtl/>
        </w:rPr>
        <w:t xml:space="preserve"> بصيغتين، هما:</w:t>
      </w:r>
    </w:p>
    <w:p w:rsidR="007A0DDE" w:rsidRPr="00C85F0F" w:rsidRDefault="007A0DDE" w:rsidP="000A76C7">
      <w:pPr>
        <w:numPr>
          <w:ilvl w:val="0"/>
          <w:numId w:val="277"/>
        </w:numPr>
        <w:rPr>
          <w:color w:val="auto"/>
        </w:rPr>
      </w:pPr>
      <w:r w:rsidRPr="00C85F0F">
        <w:rPr>
          <w:rFonts w:ascii="Traditional Arabic" w:hAnsi="Traditional Arabic"/>
          <w:noProof w:val="0"/>
          <w:color w:val="auto"/>
          <w:rtl/>
          <w:lang w:eastAsia="en-US"/>
        </w:rPr>
        <w:t>الس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لطان ولي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لا ولي</w:t>
      </w:r>
      <w:r w:rsidRPr="00C85F0F">
        <w:rPr>
          <w:rFonts w:ascii="Traditional Arabic" w:hAnsi="Traditional Arabic" w:hint="cs"/>
          <w:noProof w:val="0"/>
          <w:color w:val="auto"/>
          <w:rtl/>
          <w:lang w:eastAsia="en-US"/>
        </w:rPr>
        <w:t>َّ</w:t>
      </w:r>
      <w:r w:rsidR="00B715F4">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له</w:t>
      </w:r>
      <w:r w:rsidRPr="00C85F0F">
        <w:rPr>
          <w:rStyle w:val="af1"/>
          <w:szCs w:val="32"/>
          <w:rtl/>
        </w:rPr>
        <w:t>(</w:t>
      </w:r>
      <w:r w:rsidRPr="00C85F0F">
        <w:rPr>
          <w:rStyle w:val="af1"/>
          <w:szCs w:val="32"/>
          <w:rtl/>
        </w:rPr>
        <w:footnoteReference w:id="2042"/>
      </w:r>
      <w:r w:rsidRPr="00C85F0F">
        <w:rPr>
          <w:rStyle w:val="af1"/>
          <w:szCs w:val="32"/>
          <w:rtl/>
        </w:rPr>
        <w:t>)</w:t>
      </w:r>
      <w:r w:rsidRPr="00C85F0F">
        <w:rPr>
          <w:rFonts w:hint="cs"/>
          <w:color w:val="auto"/>
          <w:rtl/>
        </w:rPr>
        <w:t>.</w:t>
      </w:r>
    </w:p>
    <w:p w:rsidR="00065E4B" w:rsidRPr="00C85F0F" w:rsidRDefault="007A0DDE" w:rsidP="000A76C7">
      <w:pPr>
        <w:numPr>
          <w:ilvl w:val="0"/>
          <w:numId w:val="277"/>
        </w:numPr>
        <w:rPr>
          <w:color w:val="auto"/>
        </w:rPr>
      </w:pPr>
      <w:r w:rsidRPr="00C85F0F">
        <w:rPr>
          <w:rFonts w:ascii="Traditional Arabic" w:hAnsi="Traditional Arabic"/>
          <w:noProof w:val="0"/>
          <w:color w:val="auto"/>
          <w:rtl/>
          <w:lang w:eastAsia="en-US"/>
        </w:rPr>
        <w:t>الحاكم ولي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ليس له ولي</w:t>
      </w:r>
      <w:r w:rsidRPr="00C85F0F">
        <w:rPr>
          <w:rFonts w:ascii="Traditional Arabic" w:hAnsi="Traditional Arabic" w:hint="cs"/>
          <w:noProof w:val="0"/>
          <w:color w:val="auto"/>
          <w:rtl/>
          <w:lang w:eastAsia="en-US"/>
        </w:rPr>
        <w:t>ٌّ</w:t>
      </w:r>
      <w:r w:rsidRPr="00C85F0F">
        <w:rPr>
          <w:rStyle w:val="af1"/>
          <w:szCs w:val="32"/>
          <w:rtl/>
        </w:rPr>
        <w:t>(</w:t>
      </w:r>
      <w:r w:rsidRPr="00C85F0F">
        <w:rPr>
          <w:rStyle w:val="af1"/>
          <w:szCs w:val="32"/>
          <w:rtl/>
        </w:rPr>
        <w:footnoteReference w:id="2043"/>
      </w:r>
      <w:r w:rsidRPr="00C85F0F">
        <w:rPr>
          <w:rStyle w:val="af1"/>
          <w:szCs w:val="32"/>
          <w:rtl/>
        </w:rPr>
        <w:t>)</w:t>
      </w:r>
      <w:r w:rsidRPr="00C85F0F">
        <w:rPr>
          <w:rFonts w:hint="cs"/>
          <w:color w:val="auto"/>
          <w:rtl/>
        </w:rPr>
        <w:t>.</w:t>
      </w:r>
    </w:p>
    <w:p w:rsidR="007A0DDE" w:rsidRDefault="00476BE8" w:rsidP="00B715F4">
      <w:pPr>
        <w:ind w:firstLine="0"/>
        <w:rPr>
          <w:color w:val="auto"/>
          <w:rtl/>
        </w:rPr>
      </w:pPr>
      <w:r>
        <w:rPr>
          <w:rFonts w:hint="cs"/>
          <w:color w:val="auto"/>
          <w:rtl/>
        </w:rPr>
        <w:t xml:space="preserve">    </w:t>
      </w:r>
      <w:r w:rsidR="00065E4B" w:rsidRPr="00C85F0F">
        <w:rPr>
          <w:rFonts w:hint="cs"/>
          <w:color w:val="auto"/>
          <w:rtl/>
        </w:rPr>
        <w:t>و</w:t>
      </w:r>
      <w:r w:rsidR="007A0DDE" w:rsidRPr="00C85F0F">
        <w:rPr>
          <w:rFonts w:hint="cs"/>
          <w:color w:val="auto"/>
          <w:rtl/>
        </w:rPr>
        <w:t>لم أجد م</w:t>
      </w:r>
      <w:r w:rsidR="00B715F4">
        <w:rPr>
          <w:rFonts w:hint="cs"/>
          <w:color w:val="auto"/>
          <w:rtl/>
        </w:rPr>
        <w:t>ِ</w:t>
      </w:r>
      <w:r w:rsidR="007A0DDE" w:rsidRPr="00C85F0F">
        <w:rPr>
          <w:rFonts w:hint="cs"/>
          <w:color w:val="auto"/>
          <w:rtl/>
        </w:rPr>
        <w:t>ن علماء القواعد م</w:t>
      </w:r>
      <w:r w:rsidR="00B715F4">
        <w:rPr>
          <w:rFonts w:hint="cs"/>
          <w:color w:val="auto"/>
          <w:rtl/>
        </w:rPr>
        <w:t>َ</w:t>
      </w:r>
      <w:r w:rsidR="007A0DDE" w:rsidRPr="00C85F0F">
        <w:rPr>
          <w:rFonts w:hint="cs"/>
          <w:color w:val="auto"/>
          <w:rtl/>
        </w:rPr>
        <w:t xml:space="preserve">ن ذكر هذه القاعدة، ولم يذكرها من المعاصرين-فيما اطلعت عليه-إلا محمد بكر إسماعيل في كتابه القواعد الفقهية بين الأصالة والتوجيه، حيث </w:t>
      </w:r>
      <w:r w:rsidR="00B715F4">
        <w:rPr>
          <w:rFonts w:hint="cs"/>
          <w:color w:val="auto"/>
          <w:rtl/>
        </w:rPr>
        <w:t xml:space="preserve">إنه </w:t>
      </w:r>
      <w:r w:rsidR="007A0DDE" w:rsidRPr="00C85F0F">
        <w:rPr>
          <w:rFonts w:hint="cs"/>
          <w:color w:val="auto"/>
          <w:rtl/>
        </w:rPr>
        <w:t>ذكرها بلفظ: "</w:t>
      </w:r>
      <w:r w:rsidR="007A0DDE" w:rsidRPr="00C85F0F">
        <w:rPr>
          <w:rStyle w:val="af1"/>
          <w:rFonts w:hint="cs"/>
          <w:vertAlign w:val="baseline"/>
          <w:rtl/>
        </w:rPr>
        <w:t>السلطان ولي من لا ولي له"</w:t>
      </w:r>
      <w:r w:rsidR="007A0DDE" w:rsidRPr="00C85F0F">
        <w:rPr>
          <w:rStyle w:val="af1"/>
          <w:szCs w:val="32"/>
          <w:rtl/>
        </w:rPr>
        <w:t>(</w:t>
      </w:r>
      <w:r w:rsidR="007A0DDE" w:rsidRPr="00C85F0F">
        <w:rPr>
          <w:rStyle w:val="af1"/>
          <w:szCs w:val="32"/>
          <w:rtl/>
        </w:rPr>
        <w:footnoteReference w:id="2044"/>
      </w:r>
      <w:r w:rsidR="007A0DDE" w:rsidRPr="00C85F0F">
        <w:rPr>
          <w:rStyle w:val="af1"/>
          <w:szCs w:val="32"/>
          <w:rtl/>
        </w:rPr>
        <w:t>)</w:t>
      </w:r>
      <w:r w:rsidR="007A0DDE" w:rsidRPr="00C85F0F">
        <w:rPr>
          <w:rFonts w:hint="cs"/>
          <w:color w:val="auto"/>
          <w:rtl/>
        </w:rPr>
        <w:t>.</w:t>
      </w:r>
    </w:p>
    <w:p w:rsidR="00476BE8" w:rsidRPr="00C85F0F" w:rsidRDefault="00476BE8" w:rsidP="00B715F4">
      <w:pPr>
        <w:ind w:firstLine="0"/>
        <w:rPr>
          <w:color w:val="auto"/>
        </w:rPr>
      </w:pPr>
      <w:r>
        <w:rPr>
          <w:rFonts w:hint="cs"/>
          <w:color w:val="auto"/>
          <w:rtl/>
        </w:rPr>
        <w:t xml:space="preserve">    وإن كان الفقهاء </w:t>
      </w:r>
      <w:r w:rsidR="004451CE">
        <w:rPr>
          <w:rFonts w:hint="cs"/>
          <w:color w:val="auto"/>
          <w:rtl/>
        </w:rPr>
        <w:t>_</w:t>
      </w:r>
      <w:r>
        <w:rPr>
          <w:rFonts w:hint="cs"/>
          <w:color w:val="auto"/>
          <w:rtl/>
        </w:rPr>
        <w:t>في كتبهم</w:t>
      </w:r>
      <w:r w:rsidR="004451CE">
        <w:rPr>
          <w:rFonts w:hint="cs"/>
          <w:color w:val="auto"/>
          <w:rtl/>
        </w:rPr>
        <w:t>_</w:t>
      </w:r>
      <w:r>
        <w:rPr>
          <w:rFonts w:hint="cs"/>
          <w:color w:val="auto"/>
          <w:rtl/>
        </w:rPr>
        <w:t xml:space="preserve"> كثيرا ما يعل</w:t>
      </w:r>
      <w:r w:rsidR="004451CE">
        <w:rPr>
          <w:rFonts w:hint="cs"/>
          <w:color w:val="auto"/>
          <w:rtl/>
        </w:rPr>
        <w:t>ِّ</w:t>
      </w:r>
      <w:r>
        <w:rPr>
          <w:rFonts w:hint="cs"/>
          <w:color w:val="auto"/>
          <w:rtl/>
        </w:rPr>
        <w:t xml:space="preserve">لون بهذه القاعدة </w:t>
      </w:r>
      <w:r w:rsidR="004451CE">
        <w:rPr>
          <w:rFonts w:hint="cs"/>
          <w:color w:val="auto"/>
          <w:rtl/>
        </w:rPr>
        <w:t>أو يذكرون نص الحديث ويستدلون به.</w:t>
      </w:r>
    </w:p>
    <w:p w:rsidR="00065E4B" w:rsidRPr="00C85F0F" w:rsidRDefault="00B715F4" w:rsidP="00A8347C">
      <w:pPr>
        <w:pStyle w:val="aff3"/>
        <w:rPr>
          <w:rtl/>
        </w:rPr>
      </w:pPr>
      <w:bookmarkStart w:id="443" w:name="_Toc334046617"/>
      <w:r>
        <w:rPr>
          <w:rFonts w:hint="cs"/>
          <w:rtl/>
        </w:rPr>
        <w:lastRenderedPageBreak/>
        <w:t xml:space="preserve">                                       </w:t>
      </w:r>
      <w:r w:rsidR="007A0DDE" w:rsidRPr="00C85F0F">
        <w:rPr>
          <w:rFonts w:hint="cs"/>
          <w:rtl/>
        </w:rPr>
        <w:t>المطلب الثاني</w:t>
      </w:r>
      <w:r w:rsidR="007A0DDE" w:rsidRPr="00C85F0F">
        <w:rPr>
          <w:rFonts w:hint="eastAsia"/>
          <w:rtl/>
        </w:rPr>
        <w:t> :</w:t>
      </w:r>
      <w:r w:rsidR="007A0DDE" w:rsidRPr="00C85F0F">
        <w:rPr>
          <w:rFonts w:hint="cs"/>
          <w:rtl/>
        </w:rPr>
        <w:br/>
      </w:r>
      <w:r>
        <w:rPr>
          <w:rFonts w:hint="cs"/>
          <w:rtl/>
        </w:rPr>
        <w:t xml:space="preserve">                                        </w:t>
      </w:r>
      <w:r w:rsidR="007A0DDE" w:rsidRPr="00C85F0F">
        <w:rPr>
          <w:rFonts w:hint="cs"/>
          <w:rtl/>
        </w:rPr>
        <w:t>شرح القاعدة</w:t>
      </w:r>
      <w:bookmarkEnd w:id="443"/>
    </w:p>
    <w:p w:rsidR="000E1D14" w:rsidRPr="00C85F0F" w:rsidRDefault="00065E4B" w:rsidP="00597C20">
      <w:pPr>
        <w:pStyle w:val="53"/>
        <w:rPr>
          <w:rtl/>
        </w:rPr>
      </w:pPr>
      <w:r w:rsidRPr="00C577A5">
        <w:rPr>
          <w:rFonts w:hint="cs"/>
          <w:rtl/>
        </w:rPr>
        <w:t>ا</w:t>
      </w:r>
      <w:r w:rsidR="007A0DDE" w:rsidRPr="00C577A5">
        <w:rPr>
          <w:rFonts w:hint="cs"/>
          <w:rtl/>
        </w:rPr>
        <w:t>لسُّلطان</w:t>
      </w:r>
      <w:r w:rsidR="00AB0B9E">
        <w:rPr>
          <w:rtl/>
        </w:rPr>
        <w:fldChar w:fldCharType="begin"/>
      </w:r>
      <w:r w:rsidR="00C577A5">
        <w:instrText xml:space="preserve"> XE "</w:instrText>
      </w:r>
      <w:r w:rsidR="00C577A5" w:rsidRPr="00C577A5">
        <w:rPr>
          <w:rFonts w:hint="cs"/>
          <w:b w:val="0"/>
          <w:bCs w:val="0"/>
          <w:rtl/>
        </w:rPr>
        <w:instrText>السُّلطان</w:instrText>
      </w:r>
      <w:r w:rsidR="00C577A5">
        <w:instrText xml:space="preserve">" </w:instrText>
      </w:r>
      <w:r w:rsidR="00C577A5" w:rsidRPr="00C577A5">
        <w:instrText xml:space="preserve">\fm </w:instrText>
      </w:r>
      <w:r w:rsidR="00AB0B9E">
        <w:rPr>
          <w:rtl/>
        </w:rPr>
        <w:fldChar w:fldCharType="end"/>
      </w:r>
      <w:r w:rsidR="007A0DDE" w:rsidRPr="00C85F0F">
        <w:rPr>
          <w:rFonts w:hint="cs"/>
          <w:rtl/>
        </w:rPr>
        <w:t xml:space="preserve"> لغة:</w:t>
      </w:r>
    </w:p>
    <w:p w:rsidR="00065E4B" w:rsidRPr="00C85F0F" w:rsidRDefault="007A0DDE" w:rsidP="00597C20">
      <w:pPr>
        <w:ind w:firstLine="720"/>
        <w:rPr>
          <w:rFonts w:ascii="Traditional Arabic" w:hAnsi="Traditional Arabic"/>
          <w:noProof w:val="0"/>
          <w:rtl/>
          <w:lang w:eastAsia="en-US"/>
        </w:rPr>
      </w:pPr>
      <w:r w:rsidRPr="00C85F0F">
        <w:rPr>
          <w:rFonts w:hint="cs"/>
          <w:color w:val="auto"/>
          <w:rtl/>
        </w:rPr>
        <w:t xml:space="preserve">يقول </w:t>
      </w:r>
      <w:r w:rsidR="006E065B">
        <w:rPr>
          <w:rFonts w:hint="cs"/>
          <w:color w:val="auto"/>
          <w:rtl/>
        </w:rPr>
        <w:t xml:space="preserve"> </w:t>
      </w:r>
      <w:r w:rsidRPr="00C85F0F">
        <w:rPr>
          <w:rFonts w:hint="cs"/>
          <w:color w:val="auto"/>
          <w:rtl/>
        </w:rPr>
        <w:t xml:space="preserve">ابن فارس </w:t>
      </w:r>
      <w:r w:rsidR="006E065B">
        <w:rPr>
          <w:rFonts w:hint="cs"/>
          <w:color w:val="auto"/>
          <w:rtl/>
        </w:rPr>
        <w:t>_</w:t>
      </w:r>
      <w:r w:rsidR="009A0575" w:rsidRPr="005D5694">
        <w:rPr>
          <w:rFonts w:ascii="Traditional Arabic" w:hAnsi="Traditional Arabic" w:cs="CTraditional Arabic" w:hint="cs"/>
          <w:rtl/>
        </w:rPr>
        <w:t>/</w:t>
      </w:r>
      <w:r w:rsidR="006E065B">
        <w:rPr>
          <w:rFonts w:ascii="Traditional Arabic" w:hAnsi="Traditional Arabic" w:hint="cs"/>
          <w:noProof w:val="0"/>
          <w:color w:val="auto"/>
          <w:rtl/>
          <w:lang w:eastAsia="en-US"/>
        </w:rPr>
        <w:t>_</w:t>
      </w:r>
      <w:r w:rsidRPr="00C85F0F">
        <w:rPr>
          <w:rFonts w:ascii="Traditional Arabic" w:hAnsi="Traditional Arabic" w:hint="cs"/>
          <w:noProof w:val="0"/>
          <w:color w:val="auto"/>
          <w:rtl/>
          <w:lang w:eastAsia="en-US"/>
        </w:rPr>
        <w:t>: (</w:t>
      </w:r>
      <w:r w:rsidRPr="00C85F0F">
        <w:rPr>
          <w:rFonts w:ascii="Traditional Arabic" w:hAnsi="Traditional Arabic"/>
          <w:noProof w:val="0"/>
          <w:color w:val="auto"/>
          <w:rtl/>
          <w:lang w:eastAsia="en-US"/>
        </w:rPr>
        <w:t>السين واللام والطاء أصل واحد، وهو القوة والق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 من ذلك الس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لاطة، من التسل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 وهو القهر، ولذلك 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مي السلطان</w:t>
      </w:r>
      <w:r w:rsidR="00B715F4">
        <w:rPr>
          <w:rFonts w:ascii="Traditional Arabic" w:hAnsi="Traditional Arabic" w:hint="cs"/>
          <w:noProof w:val="0"/>
          <w:rtl/>
          <w:lang w:eastAsia="en-US"/>
        </w:rPr>
        <w:t xml:space="preserve"> </w:t>
      </w:r>
      <w:r w:rsidRPr="00C85F0F">
        <w:rPr>
          <w:rFonts w:ascii="Traditional Arabic" w:hAnsi="Traditional Arabic"/>
          <w:noProof w:val="0"/>
          <w:rtl/>
          <w:lang w:eastAsia="en-US"/>
        </w:rPr>
        <w:t>سلطانا</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2045"/>
      </w:r>
      <w:r w:rsidRPr="00C85F0F">
        <w:rPr>
          <w:rStyle w:val="af1"/>
          <w:szCs w:val="32"/>
          <w:rtl/>
        </w:rPr>
        <w:t>)</w:t>
      </w:r>
      <w:r w:rsidRPr="00C85F0F">
        <w:rPr>
          <w:rFonts w:ascii="Traditional Arabic" w:hAnsi="Traditional Arabic"/>
          <w:noProof w:val="0"/>
          <w:rtl/>
          <w:lang w:eastAsia="en-US"/>
        </w:rPr>
        <w:t>.</w:t>
      </w:r>
    </w:p>
    <w:p w:rsidR="000E1D14" w:rsidRPr="00C85F0F" w:rsidRDefault="00065E4B" w:rsidP="00597C20">
      <w:pPr>
        <w:pStyle w:val="53"/>
        <w:rPr>
          <w:rtl/>
        </w:rPr>
      </w:pPr>
      <w:r w:rsidRPr="00C85F0F">
        <w:rPr>
          <w:rFonts w:hint="cs"/>
          <w:rtl/>
        </w:rPr>
        <w:t>ا</w:t>
      </w:r>
      <w:r w:rsidR="007A0DDE" w:rsidRPr="00C85F0F">
        <w:rPr>
          <w:rFonts w:hint="cs"/>
          <w:rtl/>
        </w:rPr>
        <w:t>لسلطان اصطلاحا:</w:t>
      </w:r>
    </w:p>
    <w:p w:rsidR="00065E4B" w:rsidRPr="00C85F0F" w:rsidRDefault="007A0DDE" w:rsidP="00597C20">
      <w:pPr>
        <w:ind w:firstLine="720"/>
        <w:rPr>
          <w:color w:val="auto"/>
          <w:rtl/>
        </w:rPr>
      </w:pPr>
      <w:r w:rsidRPr="00C85F0F">
        <w:rPr>
          <w:rFonts w:ascii="Traditional Arabic" w:hAnsi="Traditional Arabic" w:hint="cs"/>
          <w:noProof w:val="0"/>
          <w:rtl/>
          <w:lang w:eastAsia="en-US"/>
        </w:rPr>
        <w:t xml:space="preserve"> أو نائبه</w:t>
      </w:r>
      <w:r w:rsidRPr="00C85F0F">
        <w:rPr>
          <w:rStyle w:val="af1"/>
          <w:szCs w:val="32"/>
          <w:rtl/>
        </w:rPr>
        <w:t>(</w:t>
      </w:r>
      <w:r w:rsidRPr="00C85F0F">
        <w:rPr>
          <w:rStyle w:val="af1"/>
          <w:szCs w:val="32"/>
          <w:rtl/>
        </w:rPr>
        <w:footnoteReference w:id="2046"/>
      </w:r>
      <w:r w:rsidRPr="00C85F0F">
        <w:rPr>
          <w:rStyle w:val="af1"/>
          <w:szCs w:val="32"/>
          <w:rtl/>
        </w:rPr>
        <w:t>)</w:t>
      </w:r>
      <w:r w:rsidRPr="00C85F0F">
        <w:rPr>
          <w:rFonts w:ascii="Traditional Arabic" w:hAnsi="Traditional Arabic" w:hint="cs"/>
          <w:noProof w:val="0"/>
          <w:rtl/>
          <w:lang w:eastAsia="en-US"/>
        </w:rPr>
        <w:t>.</w:t>
      </w:r>
    </w:p>
    <w:p w:rsidR="00065E4B" w:rsidRPr="00C85F0F" w:rsidRDefault="00065E4B" w:rsidP="00597C20">
      <w:pPr>
        <w:ind w:firstLine="720"/>
        <w:rPr>
          <w:color w:val="auto"/>
          <w:rtl/>
        </w:rPr>
      </w:pPr>
      <w:r w:rsidRPr="00C85F0F">
        <w:rPr>
          <w:rFonts w:hint="cs"/>
          <w:color w:val="auto"/>
          <w:rtl/>
        </w:rPr>
        <w:t>و</w:t>
      </w:r>
      <w:r w:rsidR="007A0DDE" w:rsidRPr="00C85F0F">
        <w:rPr>
          <w:rFonts w:hint="cs"/>
          <w:color w:val="auto"/>
          <w:rtl/>
        </w:rPr>
        <w:t xml:space="preserve">يقول الشيخ ابن عثيمين </w:t>
      </w:r>
      <w:r w:rsidR="00B715F4">
        <w:rPr>
          <w:rFonts w:hint="cs"/>
          <w:color w:val="auto"/>
          <w:rtl/>
        </w:rPr>
        <w:t>_</w:t>
      </w:r>
      <w:r w:rsidR="009A0575" w:rsidRPr="005D5694">
        <w:rPr>
          <w:rFonts w:ascii="Traditional Arabic" w:hAnsi="Traditional Arabic" w:cs="CTraditional Arabic" w:hint="cs"/>
          <w:rtl/>
        </w:rPr>
        <w:t>/</w:t>
      </w:r>
      <w:r w:rsidR="00B715F4">
        <w:rPr>
          <w:rFonts w:hint="cs"/>
          <w:color w:val="auto"/>
          <w:rtl/>
        </w:rPr>
        <w:t>_</w:t>
      </w:r>
      <w:r w:rsidR="007A0DDE" w:rsidRPr="00C85F0F">
        <w:rPr>
          <w:rFonts w:hint="cs"/>
          <w:color w:val="auto"/>
          <w:rtl/>
        </w:rPr>
        <w:t xml:space="preserve"> في تعريفه: (</w:t>
      </w:r>
      <w:r w:rsidR="007A0DDE" w:rsidRPr="00C85F0F">
        <w:rPr>
          <w:rFonts w:ascii="Traditional Arabic" w:hAnsi="Traditional Arabic"/>
          <w:noProof w:val="0"/>
          <w:rtl/>
          <w:lang w:eastAsia="en-US"/>
        </w:rPr>
        <w:t>المراد بالسلطان  الرئيس الأعلى في الدولة، أو م</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ن ينوب م</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ناب</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ه</w:t>
      </w:r>
      <w:r w:rsidR="00B76414" w:rsidRPr="00C85F0F">
        <w:rPr>
          <w:rFonts w:hint="cs"/>
          <w:color w:val="auto"/>
          <w:rtl/>
        </w:rPr>
        <w:t>)</w:t>
      </w:r>
      <w:r w:rsidR="007A0DDE" w:rsidRPr="00C85F0F">
        <w:rPr>
          <w:rStyle w:val="af1"/>
          <w:szCs w:val="32"/>
          <w:rtl/>
        </w:rPr>
        <w:t>(</w:t>
      </w:r>
      <w:r w:rsidR="007A0DDE" w:rsidRPr="00C85F0F">
        <w:rPr>
          <w:rStyle w:val="af1"/>
          <w:szCs w:val="32"/>
          <w:rtl/>
        </w:rPr>
        <w:footnoteReference w:id="2047"/>
      </w:r>
      <w:r w:rsidR="007A0DDE" w:rsidRPr="00C85F0F">
        <w:rPr>
          <w:rStyle w:val="af1"/>
          <w:szCs w:val="32"/>
          <w:rtl/>
        </w:rPr>
        <w:t>)</w:t>
      </w:r>
      <w:r w:rsidR="007A0DDE" w:rsidRPr="00C85F0F">
        <w:rPr>
          <w:rFonts w:hint="cs"/>
          <w:color w:val="auto"/>
          <w:rtl/>
        </w:rPr>
        <w:t>.</w:t>
      </w:r>
    </w:p>
    <w:p w:rsidR="00065E4B" w:rsidRPr="00C85F0F" w:rsidRDefault="00065E4B" w:rsidP="00597C20">
      <w:pPr>
        <w:pStyle w:val="53"/>
        <w:rPr>
          <w:rtl/>
        </w:rPr>
      </w:pPr>
      <w:r w:rsidRPr="00C85F0F">
        <w:rPr>
          <w:rFonts w:hint="cs"/>
          <w:rtl/>
        </w:rPr>
        <w:t>م</w:t>
      </w:r>
      <w:r w:rsidR="00F228A9" w:rsidRPr="00C85F0F">
        <w:rPr>
          <w:rFonts w:hint="cs"/>
          <w:rtl/>
        </w:rPr>
        <w:t xml:space="preserve">عنى القاعدة </w:t>
      </w:r>
      <w:r w:rsidR="00F228A9" w:rsidRPr="00C577A5">
        <w:rPr>
          <w:rFonts w:hint="cs"/>
          <w:rtl/>
        </w:rPr>
        <w:t>إجمالا</w:t>
      </w:r>
      <w:r w:rsidR="00F228A9" w:rsidRPr="00C85F0F">
        <w:rPr>
          <w:rFonts w:hint="cs"/>
          <w:rtl/>
        </w:rPr>
        <w:t>:</w:t>
      </w:r>
    </w:p>
    <w:p w:rsidR="00065E4B" w:rsidRPr="00C85F0F" w:rsidRDefault="00065E4B" w:rsidP="00597C20">
      <w:pPr>
        <w:widowControl/>
        <w:autoSpaceDE w:val="0"/>
        <w:autoSpaceDN w:val="0"/>
        <w:adjustRightInd w:val="0"/>
        <w:ind w:firstLine="720"/>
        <w:jc w:val="left"/>
        <w:rPr>
          <w:rFonts w:ascii="Traditional Arabic" w:hAnsi="Traditional Arabic"/>
          <w:noProof w:val="0"/>
          <w:rtl/>
          <w:lang w:eastAsia="en-US"/>
        </w:rPr>
      </w:pPr>
      <w:r w:rsidRPr="00C85F0F">
        <w:rPr>
          <w:rFonts w:ascii="Traditional Arabic" w:hAnsi="Traditional Arabic"/>
          <w:noProof w:val="0"/>
          <w:rtl/>
          <w:lang w:eastAsia="en-US"/>
        </w:rPr>
        <w:t>ا</w:t>
      </w:r>
      <w:r w:rsidR="007A0DDE" w:rsidRPr="00C85F0F">
        <w:rPr>
          <w:rFonts w:ascii="Traditional Arabic" w:hAnsi="Traditional Arabic"/>
          <w:noProof w:val="0"/>
          <w:rtl/>
          <w:lang w:eastAsia="en-US"/>
        </w:rPr>
        <w:t>لولي: هو من يتصرف لغيره بإذن الشارع.</w:t>
      </w:r>
    </w:p>
    <w:p w:rsidR="00065E4B" w:rsidRPr="00C85F0F" w:rsidRDefault="00065E4B" w:rsidP="00597C20">
      <w:pPr>
        <w:widowControl/>
        <w:autoSpaceDE w:val="0"/>
        <w:autoSpaceDN w:val="0"/>
        <w:adjustRightInd w:val="0"/>
        <w:ind w:firstLine="720"/>
        <w:jc w:val="left"/>
        <w:rPr>
          <w:rFonts w:ascii="Traditional Arabic" w:hAnsi="Traditional Arabic"/>
          <w:noProof w:val="0"/>
          <w:rtl/>
          <w:lang w:eastAsia="en-US"/>
        </w:rPr>
      </w:pPr>
      <w:r w:rsidRPr="00C85F0F">
        <w:rPr>
          <w:rFonts w:ascii="Traditional Arabic" w:hAnsi="Traditional Arabic"/>
          <w:noProof w:val="0"/>
          <w:rtl/>
          <w:lang w:eastAsia="en-US"/>
        </w:rPr>
        <w:t>و</w:t>
      </w:r>
      <w:r w:rsidR="007A0DDE" w:rsidRPr="00C85F0F">
        <w:rPr>
          <w:rFonts w:ascii="Traditional Arabic" w:hAnsi="Traditional Arabic"/>
          <w:noProof w:val="0"/>
          <w:rtl/>
          <w:lang w:eastAsia="en-US"/>
        </w:rPr>
        <w:t>الولاية نوعان: عامة وخاصة.</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ف</w:t>
      </w:r>
      <w:r w:rsidR="007A0DDE" w:rsidRPr="00C85F0F">
        <w:rPr>
          <w:rFonts w:ascii="Traditional Arabic" w:hAnsi="Traditional Arabic"/>
          <w:noProof w:val="0"/>
          <w:rtl/>
          <w:lang w:eastAsia="en-US"/>
        </w:rPr>
        <w:t>العامة ولاية الح</w:t>
      </w:r>
      <w:r w:rsidR="00B715F4">
        <w:rPr>
          <w:rFonts w:ascii="Traditional Arabic" w:hAnsi="Traditional Arabic" w:hint="cs"/>
          <w:noProof w:val="0"/>
          <w:rtl/>
          <w:lang w:eastAsia="en-US"/>
        </w:rPr>
        <w:t>ُ</w:t>
      </w:r>
      <w:r w:rsidR="007A0DDE" w:rsidRPr="00C85F0F">
        <w:rPr>
          <w:rFonts w:ascii="Traditional Arabic" w:hAnsi="Traditional Arabic"/>
          <w:noProof w:val="0"/>
          <w:rtl/>
          <w:lang w:eastAsia="en-US"/>
        </w:rPr>
        <w:t>ك</w:t>
      </w:r>
      <w:r w:rsidR="00B715F4">
        <w:rPr>
          <w:rFonts w:ascii="Traditional Arabic" w:hAnsi="Traditional Arabic" w:hint="cs"/>
          <w:noProof w:val="0"/>
          <w:rtl/>
          <w:lang w:eastAsia="en-US"/>
        </w:rPr>
        <w:t>َّ</w:t>
      </w:r>
      <w:r w:rsidR="007A0DDE" w:rsidRPr="00C85F0F">
        <w:rPr>
          <w:rFonts w:ascii="Traditional Arabic" w:hAnsi="Traditional Arabic"/>
          <w:noProof w:val="0"/>
          <w:rtl/>
          <w:lang w:eastAsia="en-US"/>
        </w:rPr>
        <w:t>ام، كالقضاة مثلا، فإن لهم ولاية</w:t>
      </w:r>
      <w:r w:rsidR="00F01274">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عامة على الأموال المجهول</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مالك</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ها، وعلى أموال اليتامى إذا لم يكن لهم ولي</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خاص، وعلى غير ذلك.</w:t>
      </w:r>
    </w:p>
    <w:p w:rsidR="00065E4B" w:rsidRPr="00C85F0F" w:rsidRDefault="00065E4B" w:rsidP="00597C20">
      <w:pPr>
        <w:ind w:firstLine="720"/>
        <w:rPr>
          <w:rFonts w:ascii="Traditional Arabic" w:hAnsi="Traditional Arabic"/>
          <w:noProof w:val="0"/>
          <w:rtl/>
          <w:lang w:eastAsia="en-US"/>
        </w:rPr>
      </w:pPr>
      <w:r w:rsidRPr="00C85F0F">
        <w:rPr>
          <w:rFonts w:ascii="Traditional Arabic" w:hAnsi="Traditional Arabic"/>
          <w:noProof w:val="0"/>
          <w:rtl/>
          <w:lang w:eastAsia="en-US"/>
        </w:rPr>
        <w:t>أ</w:t>
      </w:r>
      <w:r w:rsidR="007A0DDE" w:rsidRPr="00C85F0F">
        <w:rPr>
          <w:rFonts w:ascii="Traditional Arabic" w:hAnsi="Traditional Arabic"/>
          <w:noProof w:val="0"/>
          <w:rtl/>
          <w:lang w:eastAsia="en-US"/>
        </w:rPr>
        <w:t>ما الولاية الخاصة فهي الولاية على اليتيم من شخص خاص، كولاية العم</w:t>
      </w:r>
      <w:r w:rsidR="00B715F4">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على ابن أخيه اليتيم، وجعلنا هذا ولي</w:t>
      </w:r>
      <w:r w:rsidR="00B715F4">
        <w:rPr>
          <w:rFonts w:ascii="Traditional Arabic" w:hAnsi="Traditional Arabic" w:hint="cs"/>
          <w:noProof w:val="0"/>
          <w:rtl/>
          <w:lang w:eastAsia="en-US"/>
        </w:rPr>
        <w:t>ّ</w:t>
      </w:r>
      <w:r w:rsidR="007A0DDE" w:rsidRPr="00C85F0F">
        <w:rPr>
          <w:rFonts w:ascii="Traditional Arabic" w:hAnsi="Traditional Arabic"/>
          <w:noProof w:val="0"/>
          <w:rtl/>
          <w:lang w:eastAsia="en-US"/>
        </w:rPr>
        <w:t>ا</w:t>
      </w:r>
      <w:r w:rsidR="00B715F4">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ولم نجعله وكيلا؛ لأنه استفاد تصر</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فه عن طريق الشرع، والوكيل</w:t>
      </w:r>
      <w:r w:rsidR="00B715F4">
        <w:rPr>
          <w:rFonts w:ascii="Traditional Arabic" w:hAnsi="Traditional Arabic" w:hint="cs"/>
          <w:noProof w:val="0"/>
          <w:rtl/>
          <w:lang w:eastAsia="en-US"/>
        </w:rPr>
        <w:t xml:space="preserve"> </w:t>
      </w:r>
      <w:r w:rsidR="007A0DDE" w:rsidRPr="00C85F0F">
        <w:rPr>
          <w:rFonts w:ascii="Traditional Arabic" w:hAnsi="Traditional Arabic"/>
          <w:noProof w:val="0"/>
          <w:rtl/>
          <w:lang w:eastAsia="en-US"/>
        </w:rPr>
        <w:t xml:space="preserve">والوصي والناظر </w:t>
      </w:r>
      <w:r w:rsidR="007A0DDE" w:rsidRPr="00C85F0F">
        <w:rPr>
          <w:rFonts w:ascii="Traditional Arabic" w:hAnsi="Traditional Arabic" w:hint="cs"/>
          <w:noProof w:val="0"/>
          <w:rtl/>
          <w:lang w:eastAsia="en-US"/>
        </w:rPr>
        <w:t xml:space="preserve">استفادوا تصرُّفهم </w:t>
      </w:r>
      <w:r w:rsidR="007A0DDE" w:rsidRPr="00C85F0F">
        <w:rPr>
          <w:rFonts w:ascii="Traditional Arabic" w:hAnsi="Traditional Arabic"/>
          <w:noProof w:val="0"/>
          <w:rtl/>
          <w:lang w:eastAsia="en-US"/>
        </w:rPr>
        <w:t>عن الطريق الخاص بالمالك، أما الولي فولايته مستفادة من الشرع</w:t>
      </w:r>
      <w:r w:rsidR="007A0DDE" w:rsidRPr="00C85F0F">
        <w:rPr>
          <w:rStyle w:val="af1"/>
          <w:szCs w:val="32"/>
          <w:rtl/>
        </w:rPr>
        <w:t>(</w:t>
      </w:r>
      <w:r w:rsidR="007A0DDE" w:rsidRPr="00C85F0F">
        <w:rPr>
          <w:rStyle w:val="af1"/>
          <w:szCs w:val="32"/>
          <w:rtl/>
        </w:rPr>
        <w:footnoteReference w:id="2048"/>
      </w:r>
      <w:r w:rsidR="007A0DDE" w:rsidRPr="00C85F0F">
        <w:rPr>
          <w:rStyle w:val="af1"/>
          <w:szCs w:val="32"/>
          <w:rtl/>
        </w:rPr>
        <w:t>)</w:t>
      </w:r>
      <w:r w:rsidR="007A0DDE" w:rsidRPr="00C85F0F">
        <w:rPr>
          <w:rFonts w:ascii="Traditional Arabic" w:hAnsi="Traditional Arabic"/>
          <w:noProof w:val="0"/>
          <w:rtl/>
          <w:lang w:eastAsia="en-US"/>
        </w:rPr>
        <w:t>.</w:t>
      </w:r>
    </w:p>
    <w:p w:rsidR="00065E4B" w:rsidRPr="00C85F0F" w:rsidRDefault="00065E4B" w:rsidP="00597C20">
      <w:pPr>
        <w:ind w:firstLine="720"/>
        <w:rPr>
          <w:color w:val="auto"/>
          <w:rtl/>
        </w:rPr>
      </w:pPr>
      <w:r w:rsidRPr="00C85F0F">
        <w:rPr>
          <w:rFonts w:hint="cs"/>
          <w:color w:val="auto"/>
          <w:rtl/>
        </w:rPr>
        <w:lastRenderedPageBreak/>
        <w:t>و</w:t>
      </w:r>
      <w:r w:rsidR="007A0DDE" w:rsidRPr="00C85F0F">
        <w:rPr>
          <w:rFonts w:hint="cs"/>
          <w:color w:val="auto"/>
          <w:rtl/>
        </w:rPr>
        <w:t>الوكالة والولاية على الأموال والحقوق ثلاثة أقسام:</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أ</w:t>
      </w:r>
      <w:r w:rsidR="007A0DDE" w:rsidRPr="00C85F0F">
        <w:rPr>
          <w:rFonts w:ascii="Traditional Arabic" w:hAnsi="Traditional Arabic"/>
          <w:noProof w:val="0"/>
          <w:rtl/>
          <w:lang w:eastAsia="en-US"/>
        </w:rPr>
        <w:t>حدُها: وكيلٌ، أو وليٌّ خاص: فهذا عملُه وتصر</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فه مقصورٌ على ما أُذِن له فيه.</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و</w:t>
      </w:r>
      <w:r w:rsidR="007A0DDE" w:rsidRPr="00C85F0F">
        <w:rPr>
          <w:rFonts w:ascii="Traditional Arabic" w:hAnsi="Traditional Arabic"/>
          <w:noProof w:val="0"/>
          <w:rtl/>
          <w:lang w:eastAsia="en-US"/>
        </w:rPr>
        <w:t>الثاني: وكيلٌ، ووليٌّ عام، وهو  والحاكمُ: فهو وكيل</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ووليُّ م</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ن لا وكيلَ له ولا ولي</w:t>
      </w:r>
      <w:r w:rsidR="007A0DDE" w:rsidRPr="00C85F0F">
        <w:rPr>
          <w:rFonts w:ascii="Traditional Arabic" w:hAnsi="Traditional Arabic" w:hint="cs"/>
          <w:noProof w:val="0"/>
          <w:rtl/>
          <w:lang w:eastAsia="en-US"/>
        </w:rPr>
        <w:t>َّ</w:t>
      </w:r>
      <w:r w:rsidR="00B715F4">
        <w:rPr>
          <w:rFonts w:ascii="Traditional Arabic" w:hAnsi="Traditional Arabic" w:hint="cs"/>
          <w:noProof w:val="0"/>
          <w:rtl/>
          <w:lang w:eastAsia="en-US"/>
        </w:rPr>
        <w:t xml:space="preserve"> </w:t>
      </w:r>
      <w:r w:rsidR="007A0DDE" w:rsidRPr="00C85F0F">
        <w:rPr>
          <w:rFonts w:ascii="Traditional Arabic" w:hAnsi="Traditional Arabic" w:hint="cs"/>
          <w:noProof w:val="0"/>
          <w:rtl/>
          <w:lang w:eastAsia="en-US"/>
        </w:rPr>
        <w:t xml:space="preserve">له </w:t>
      </w:r>
      <w:r w:rsidR="007A0DDE" w:rsidRPr="00C85F0F">
        <w:rPr>
          <w:rFonts w:ascii="Traditional Arabic" w:hAnsi="Traditional Arabic"/>
          <w:noProof w:val="0"/>
          <w:rtl/>
          <w:lang w:eastAsia="en-US"/>
        </w:rPr>
        <w:t>من القاصرينَ، والغائبينَ، والمتغي</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بينَ، والأوقافِ التي لا ناظرَ لها خاص</w:t>
      </w:r>
      <w:r w:rsidR="00B715F4">
        <w:rPr>
          <w:rFonts w:ascii="Traditional Arabic" w:hAnsi="Traditional Arabic" w:hint="cs"/>
          <w:noProof w:val="0"/>
          <w:rtl/>
          <w:lang w:eastAsia="en-US"/>
        </w:rPr>
        <w:t>ٌّ</w:t>
      </w:r>
      <w:r w:rsidR="007A0DDE" w:rsidRPr="00C85F0F">
        <w:rPr>
          <w:rFonts w:ascii="Traditional Arabic" w:hAnsi="Traditional Arabic"/>
          <w:noProof w:val="0"/>
          <w:rtl/>
          <w:lang w:eastAsia="en-US"/>
        </w:rPr>
        <w:t>، ووليُّ من لا وليَّ لها في النكاح.</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ا</w:t>
      </w:r>
      <w:r w:rsidR="006E065B">
        <w:rPr>
          <w:rFonts w:ascii="Traditional Arabic" w:hAnsi="Traditional Arabic"/>
          <w:noProof w:val="0"/>
          <w:rtl/>
          <w:lang w:eastAsia="en-US"/>
        </w:rPr>
        <w:t>لثالث: وكي</w:t>
      </w:r>
      <w:r w:rsidR="007A0DDE" w:rsidRPr="00C85F0F">
        <w:rPr>
          <w:rFonts w:ascii="Traditional Arabic" w:hAnsi="Traditional Arabic" w:hint="cs"/>
          <w:noProof w:val="0"/>
          <w:rtl/>
          <w:lang w:eastAsia="en-US"/>
        </w:rPr>
        <w:t>ل</w:t>
      </w:r>
      <w:r w:rsidR="006E065B">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و</w:t>
      </w:r>
      <w:r w:rsidR="006E065B">
        <w:rPr>
          <w:rFonts w:ascii="Traditional Arabic" w:hAnsi="Traditional Arabic"/>
          <w:noProof w:val="0"/>
          <w:rtl/>
          <w:lang w:eastAsia="en-US"/>
        </w:rPr>
        <w:t>وليُّ اضطرارٍ: وهو في كل حالة ي</w:t>
      </w:r>
      <w:r w:rsidR="007A0DDE" w:rsidRPr="00C85F0F">
        <w:rPr>
          <w:rFonts w:ascii="Traditional Arabic" w:hAnsi="Traditional Arabic"/>
          <w:noProof w:val="0"/>
          <w:rtl/>
          <w:lang w:eastAsia="en-US"/>
        </w:rPr>
        <w:t>ضطرُّ فيه إلى ت</w:t>
      </w:r>
      <w:r w:rsidR="006E065B">
        <w:rPr>
          <w:rFonts w:ascii="Traditional Arabic" w:hAnsi="Traditional Arabic" w:hint="cs"/>
          <w:noProof w:val="0"/>
          <w:rtl/>
          <w:lang w:eastAsia="en-US"/>
        </w:rPr>
        <w:t>َ</w:t>
      </w:r>
      <w:r w:rsidR="007A0DDE" w:rsidRPr="00C85F0F">
        <w:rPr>
          <w:rFonts w:ascii="Traditional Arabic" w:hAnsi="Traditional Arabic"/>
          <w:noProof w:val="0"/>
          <w:rtl/>
          <w:lang w:eastAsia="en-US"/>
        </w:rPr>
        <w:t>و</w:t>
      </w:r>
      <w:r w:rsidR="007A0DDE" w:rsidRPr="00C85F0F">
        <w:rPr>
          <w:rFonts w:ascii="Traditional Arabic" w:hAnsi="Traditional Arabic" w:hint="cs"/>
          <w:noProof w:val="0"/>
          <w:rtl/>
          <w:lang w:eastAsia="en-US"/>
        </w:rPr>
        <w:t>ل</w:t>
      </w:r>
      <w:r w:rsidR="006E065B">
        <w:rPr>
          <w:rFonts w:ascii="Traditional Arabic" w:hAnsi="Traditional Arabic" w:hint="cs"/>
          <w:noProof w:val="0"/>
          <w:rtl/>
          <w:lang w:eastAsia="en-US"/>
        </w:rPr>
        <w:t>ِ</w:t>
      </w:r>
      <w:r w:rsidR="007A0DDE" w:rsidRPr="00C85F0F">
        <w:rPr>
          <w:rFonts w:ascii="Traditional Arabic" w:hAnsi="Traditional Arabic" w:hint="cs"/>
          <w:noProof w:val="0"/>
          <w:rtl/>
          <w:lang w:eastAsia="en-US"/>
        </w:rPr>
        <w:t>ي</w:t>
      </w:r>
      <w:r w:rsidR="006E065B">
        <w:rPr>
          <w:rFonts w:ascii="Traditional Arabic" w:hAnsi="Traditional Arabic" w:hint="cs"/>
          <w:noProof w:val="0"/>
          <w:rtl/>
          <w:lang w:eastAsia="en-US"/>
        </w:rPr>
        <w:t>َ</w:t>
      </w:r>
      <w:r w:rsidR="007A0DDE" w:rsidRPr="00C85F0F">
        <w:rPr>
          <w:rFonts w:ascii="Traditional Arabic" w:hAnsi="Traditional Arabic" w:hint="cs"/>
          <w:noProof w:val="0"/>
          <w:rtl/>
          <w:lang w:eastAsia="en-US"/>
        </w:rPr>
        <w:t>ة،</w:t>
      </w:r>
      <w:r w:rsidR="007A0DDE" w:rsidRPr="00C85F0F">
        <w:rPr>
          <w:rFonts w:ascii="Traditional Arabic" w:hAnsi="Traditional Arabic"/>
          <w:noProof w:val="0"/>
          <w:rtl/>
          <w:lang w:eastAsia="en-US"/>
        </w:rPr>
        <w:t xml:space="preserve"> بحيث يُخشى عليه الضياع إن لم يتولَّه.</w:t>
      </w:r>
    </w:p>
    <w:p w:rsidR="00065E4B" w:rsidRPr="00C85F0F" w:rsidRDefault="00065E4B" w:rsidP="00597C20">
      <w:pPr>
        <w:widowControl/>
        <w:autoSpaceDE w:val="0"/>
        <w:autoSpaceDN w:val="0"/>
        <w:adjustRightInd w:val="0"/>
        <w:ind w:firstLine="720"/>
        <w:jc w:val="left"/>
        <w:rPr>
          <w:rFonts w:ascii="Traditional Arabic" w:hAnsi="Traditional Arabic"/>
          <w:noProof w:val="0"/>
          <w:rtl/>
          <w:lang w:eastAsia="en-US"/>
        </w:rPr>
      </w:pPr>
      <w:r w:rsidRPr="00C85F0F">
        <w:rPr>
          <w:rFonts w:ascii="Traditional Arabic" w:hAnsi="Traditional Arabic"/>
          <w:noProof w:val="0"/>
          <w:rtl/>
          <w:lang w:eastAsia="en-US"/>
        </w:rPr>
        <w:t>ك</w:t>
      </w:r>
      <w:r w:rsidR="007A0DDE" w:rsidRPr="00C85F0F">
        <w:rPr>
          <w:rFonts w:ascii="Traditional Arabic" w:hAnsi="Traditional Arabic"/>
          <w:noProof w:val="0"/>
          <w:rtl/>
          <w:lang w:eastAsia="en-US"/>
        </w:rPr>
        <w:t>من مات في موضع لا وصي</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له ولا حاكم. فعلى من حضرَ</w:t>
      </w:r>
      <w:r w:rsidR="006E065B">
        <w:rPr>
          <w:rFonts w:ascii="Traditional Arabic" w:hAnsi="Traditional Arabic"/>
          <w:noProof w:val="0"/>
          <w:rtl/>
          <w:lang w:eastAsia="en-US"/>
        </w:rPr>
        <w:t xml:space="preserve">ه جمعُ ما تركه وحفظُه وبيعُ ما </w:t>
      </w:r>
      <w:r w:rsidR="006E065B">
        <w:rPr>
          <w:rFonts w:ascii="Traditional Arabic" w:hAnsi="Traditional Arabic" w:hint="cs"/>
          <w:noProof w:val="0"/>
          <w:rtl/>
          <w:lang w:eastAsia="en-US"/>
        </w:rPr>
        <w:t>الأ</w:t>
      </w:r>
      <w:r w:rsidR="007A0DDE" w:rsidRPr="00C85F0F">
        <w:rPr>
          <w:rFonts w:ascii="Traditional Arabic" w:hAnsi="Traditional Arabic"/>
          <w:noProof w:val="0"/>
          <w:rtl/>
          <w:lang w:eastAsia="en-US"/>
        </w:rPr>
        <w:t>صلح</w:t>
      </w:r>
      <w:r w:rsidR="006E065B">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بيع</w:t>
      </w:r>
      <w:r w:rsidR="006E065B">
        <w:rPr>
          <w:rFonts w:ascii="Traditional Arabic" w:hAnsi="Traditional Arabic" w:hint="cs"/>
          <w:noProof w:val="0"/>
          <w:rtl/>
          <w:lang w:eastAsia="en-US"/>
        </w:rPr>
        <w:t>ُ</w:t>
      </w:r>
      <w:r w:rsidR="007A0DDE" w:rsidRPr="00C85F0F">
        <w:rPr>
          <w:rFonts w:ascii="Traditional Arabic" w:hAnsi="Traditional Arabic"/>
          <w:noProof w:val="0"/>
          <w:rtl/>
          <w:lang w:eastAsia="en-US"/>
        </w:rPr>
        <w:t>ه؛ حتى يصل إلى وارثه أو و</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صي</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ه</w:t>
      </w:r>
      <w:r w:rsidR="007A0DDE" w:rsidRPr="00C85F0F">
        <w:rPr>
          <w:rStyle w:val="af1"/>
          <w:szCs w:val="32"/>
          <w:rtl/>
        </w:rPr>
        <w:t>(</w:t>
      </w:r>
      <w:r w:rsidR="007A0DDE" w:rsidRPr="00C85F0F">
        <w:rPr>
          <w:rStyle w:val="af1"/>
          <w:szCs w:val="32"/>
          <w:rtl/>
        </w:rPr>
        <w:footnoteReference w:id="2049"/>
      </w:r>
      <w:r w:rsidR="007A0DDE" w:rsidRPr="00C85F0F">
        <w:rPr>
          <w:rStyle w:val="af1"/>
          <w:szCs w:val="32"/>
          <w:rtl/>
        </w:rPr>
        <w:t>)</w:t>
      </w:r>
      <w:r w:rsidR="007A0DDE" w:rsidRPr="00C85F0F">
        <w:rPr>
          <w:rFonts w:ascii="Traditional Arabic" w:hAnsi="Traditional Arabic"/>
          <w:noProof w:val="0"/>
          <w:rtl/>
          <w:lang w:eastAsia="en-US"/>
        </w:rPr>
        <w:t>.</w:t>
      </w:r>
    </w:p>
    <w:p w:rsidR="007A0DDE" w:rsidRPr="00C85F0F" w:rsidRDefault="00065E4B" w:rsidP="00597C20">
      <w:pPr>
        <w:ind w:firstLine="720"/>
        <w:rPr>
          <w:color w:val="auto"/>
          <w:rtl/>
        </w:rPr>
      </w:pPr>
      <w:r w:rsidRPr="00C85F0F">
        <w:rPr>
          <w:rFonts w:hint="cs"/>
          <w:color w:val="auto"/>
          <w:rtl/>
        </w:rPr>
        <w:t>و</w:t>
      </w:r>
      <w:r w:rsidR="007A0DDE" w:rsidRPr="00C85F0F">
        <w:rPr>
          <w:rFonts w:hint="cs"/>
          <w:color w:val="auto"/>
          <w:rtl/>
        </w:rPr>
        <w:t>بهذا يتبين أن المقصود بالقاعدة هو الولي العام، وهو الحاكم ومن ينوب منابه.</w:t>
      </w:r>
    </w:p>
    <w:p w:rsidR="00065E4B" w:rsidRPr="00C85F0F" w:rsidRDefault="00F01274" w:rsidP="00A8347C">
      <w:pPr>
        <w:pStyle w:val="aff3"/>
        <w:rPr>
          <w:rtl/>
        </w:rPr>
      </w:pPr>
      <w:bookmarkStart w:id="444" w:name="_Toc334046618"/>
      <w:r>
        <w:rPr>
          <w:rFonts w:hint="cs"/>
          <w:rtl/>
        </w:rPr>
        <w:t xml:space="preserve">                                         </w:t>
      </w:r>
      <w:r w:rsidR="007A0DDE" w:rsidRPr="00C85F0F">
        <w:rPr>
          <w:rFonts w:hint="cs"/>
          <w:rtl/>
        </w:rPr>
        <w:t>المطلب الثالث</w:t>
      </w:r>
      <w:r w:rsidR="007A0DDE" w:rsidRPr="00C85F0F">
        <w:rPr>
          <w:rFonts w:hint="eastAsia"/>
          <w:rtl/>
        </w:rPr>
        <w:t> :</w:t>
      </w:r>
      <w:r w:rsidR="007A0DDE" w:rsidRPr="00C85F0F">
        <w:rPr>
          <w:rFonts w:hint="cs"/>
          <w:rtl/>
        </w:rPr>
        <w:br/>
      </w:r>
      <w:r>
        <w:rPr>
          <w:rFonts w:hint="cs"/>
          <w:rtl/>
        </w:rPr>
        <w:t xml:space="preserve">                                           </w:t>
      </w:r>
      <w:r w:rsidR="007A0DDE" w:rsidRPr="00C85F0F">
        <w:rPr>
          <w:rFonts w:hint="cs"/>
          <w:rtl/>
        </w:rPr>
        <w:t>أدلة القاعدة</w:t>
      </w:r>
      <w:bookmarkEnd w:id="444"/>
    </w:p>
    <w:p w:rsidR="00065E4B" w:rsidRPr="00476BE8" w:rsidRDefault="00476BE8" w:rsidP="00476BE8">
      <w:pPr>
        <w:rPr>
          <w:color w:val="auto"/>
          <w:rtl/>
        </w:rPr>
      </w:pPr>
      <w:r>
        <w:rPr>
          <w:rFonts w:hint="cs"/>
          <w:color w:val="auto"/>
          <w:rtl/>
        </w:rPr>
        <w:t>(1)</w:t>
      </w:r>
      <w:r w:rsidR="00065E4B" w:rsidRPr="00476BE8">
        <w:rPr>
          <w:rFonts w:hint="cs"/>
          <w:color w:val="auto"/>
          <w:rtl/>
        </w:rPr>
        <w:t>ه</w:t>
      </w:r>
      <w:r w:rsidR="007A0DDE" w:rsidRPr="00476BE8">
        <w:rPr>
          <w:rFonts w:hint="cs"/>
          <w:color w:val="auto"/>
          <w:rtl/>
        </w:rPr>
        <w:t>ذه القاعدة جزء من نص حديث نبوي شريف ر</w:t>
      </w:r>
      <w:r w:rsidR="00F01274" w:rsidRPr="00476BE8">
        <w:rPr>
          <w:rFonts w:hint="cs"/>
          <w:color w:val="auto"/>
          <w:rtl/>
        </w:rPr>
        <w:t>َ</w:t>
      </w:r>
      <w:r w:rsidR="007A0DDE" w:rsidRPr="00476BE8">
        <w:rPr>
          <w:rFonts w:hint="cs"/>
          <w:color w:val="auto"/>
          <w:rtl/>
        </w:rPr>
        <w:t>و</w:t>
      </w:r>
      <w:r w:rsidR="00F01274" w:rsidRPr="00476BE8">
        <w:rPr>
          <w:rFonts w:hint="cs"/>
          <w:color w:val="auto"/>
          <w:rtl/>
        </w:rPr>
        <w:t>َ</w:t>
      </w:r>
      <w:r w:rsidR="007A0DDE" w:rsidRPr="00476BE8">
        <w:rPr>
          <w:rFonts w:hint="cs"/>
          <w:color w:val="auto"/>
          <w:rtl/>
        </w:rPr>
        <w:t>ت</w:t>
      </w:r>
      <w:r w:rsidR="00F01274" w:rsidRPr="00476BE8">
        <w:rPr>
          <w:rFonts w:hint="cs"/>
          <w:color w:val="auto"/>
          <w:rtl/>
        </w:rPr>
        <w:t>ْ</w:t>
      </w:r>
      <w:r w:rsidR="007A0DDE" w:rsidRPr="00476BE8">
        <w:rPr>
          <w:rFonts w:hint="cs"/>
          <w:color w:val="auto"/>
          <w:rtl/>
        </w:rPr>
        <w:t>ه عائشة</w:t>
      </w:r>
      <w:r w:rsidR="00F01274" w:rsidRPr="00476BE8">
        <w:rPr>
          <w:rFonts w:hint="cs"/>
          <w:color w:val="auto"/>
          <w:rtl/>
        </w:rPr>
        <w:t>_رضي الله عنها_</w:t>
      </w:r>
      <w:r w:rsidR="007A0DDE" w:rsidRPr="00476BE8">
        <w:rPr>
          <w:rFonts w:hint="cs"/>
          <w:color w:val="auto"/>
          <w:rtl/>
        </w:rPr>
        <w:t xml:space="preserve">، قال فيه النبي </w:t>
      </w:r>
      <w:r w:rsidR="00F350DE" w:rsidRPr="00C85F0F">
        <w:rPr>
          <w:color w:val="auto"/>
          <w:rtl/>
          <w:lang w:eastAsia="en-US"/>
        </w:rPr>
        <w:sym w:font="AGA Arabesque" w:char="F072"/>
      </w:r>
      <w:r w:rsidR="007A0DDE" w:rsidRPr="00476BE8">
        <w:rPr>
          <w:rFonts w:hint="cs"/>
          <w:color w:val="auto"/>
          <w:rtl/>
        </w:rPr>
        <w:t>: "</w:t>
      </w:r>
      <w:r w:rsidR="007A0DDE" w:rsidRPr="00476BE8">
        <w:rPr>
          <w:rFonts w:ascii="Traditional Arabic" w:hAnsi="Traditional Arabic"/>
          <w:noProof w:val="0"/>
          <w:rtl/>
          <w:lang w:eastAsia="en-US"/>
        </w:rPr>
        <w:t>أيما امرأة نكحت بغير إذن وليها فنكاحها باطل</w:t>
      </w:r>
      <w:r w:rsidR="00AB0B9E" w:rsidRPr="00476BE8">
        <w:rPr>
          <w:rFonts w:ascii="Traditional Arabic" w:hAnsi="Traditional Arabic"/>
          <w:noProof w:val="0"/>
          <w:lang w:eastAsia="en-US"/>
        </w:rPr>
        <w:fldChar w:fldCharType="begin"/>
      </w:r>
      <w:r w:rsidR="00DB2EB3" w:rsidRPr="00C85F0F">
        <w:instrText>XE</w:instrText>
      </w:r>
      <w:r w:rsidR="00DB2EB3" w:rsidRPr="00C85F0F">
        <w:rPr>
          <w:rtl/>
        </w:rPr>
        <w:instrText xml:space="preserve"> "</w:instrText>
      </w:r>
      <w:r w:rsidR="00DB2EB3" w:rsidRPr="00476BE8">
        <w:rPr>
          <w:rFonts w:ascii="Traditional Arabic" w:hAnsi="Traditional Arabic"/>
          <w:noProof w:val="0"/>
          <w:rtl/>
          <w:lang w:eastAsia="en-US"/>
        </w:rPr>
        <w:instrText>أيما امرأة نكحت بغير إذن وليها فنكاحها باطل</w:instrText>
      </w:r>
      <w:r w:rsidR="00DB2EB3" w:rsidRPr="00C85F0F">
        <w:rPr>
          <w:rtl/>
        </w:rPr>
        <w:instrText>" \</w:instrText>
      </w:r>
      <w:r w:rsidR="00DB2EB3" w:rsidRPr="00C85F0F">
        <w:instrText>fh</w:instrText>
      </w:r>
      <w:r w:rsidR="00AB0B9E" w:rsidRPr="00476BE8">
        <w:rPr>
          <w:rFonts w:ascii="Traditional Arabic" w:hAnsi="Traditional Arabic"/>
          <w:noProof w:val="0"/>
          <w:lang w:eastAsia="en-US"/>
        </w:rPr>
        <w:fldChar w:fldCharType="end"/>
      </w:r>
      <w:r w:rsidR="007A0DDE" w:rsidRPr="00476BE8">
        <w:rPr>
          <w:rFonts w:ascii="Traditional Arabic" w:hAnsi="Traditional Arabic" w:hint="cs"/>
          <w:noProof w:val="0"/>
          <w:rtl/>
          <w:lang w:eastAsia="en-US"/>
        </w:rPr>
        <w:t xml:space="preserve"> فنكاحها بطل فنكاحها باطل.</w:t>
      </w:r>
      <w:r w:rsidR="007A0DDE" w:rsidRPr="00476BE8">
        <w:rPr>
          <w:rFonts w:ascii="Traditional Arabic" w:hAnsi="Traditional Arabic"/>
          <w:noProof w:val="0"/>
          <w:rtl/>
          <w:lang w:eastAsia="en-US"/>
        </w:rPr>
        <w:t>فإن دخل بها ف</w:t>
      </w:r>
      <w:r w:rsidR="007A0DDE" w:rsidRPr="00476BE8">
        <w:rPr>
          <w:rFonts w:ascii="Traditional Arabic" w:hAnsi="Traditional Arabic" w:hint="cs"/>
          <w:noProof w:val="0"/>
          <w:rtl/>
          <w:lang w:eastAsia="en-US"/>
        </w:rPr>
        <w:t xml:space="preserve">لها </w:t>
      </w:r>
      <w:r w:rsidR="007A0DDE" w:rsidRPr="00476BE8">
        <w:rPr>
          <w:rFonts w:ascii="Traditional Arabic" w:hAnsi="Traditional Arabic"/>
          <w:noProof w:val="0"/>
          <w:rtl/>
          <w:lang w:eastAsia="en-US"/>
        </w:rPr>
        <w:t>المهر بما</w:t>
      </w:r>
      <w:r w:rsidR="007A0DDE" w:rsidRPr="00476BE8">
        <w:rPr>
          <w:rFonts w:ascii="Traditional Arabic" w:hAnsi="Traditional Arabic" w:hint="cs"/>
          <w:noProof w:val="0"/>
          <w:rtl/>
          <w:lang w:eastAsia="en-US"/>
        </w:rPr>
        <w:t xml:space="preserve"> استحلَّ</w:t>
      </w:r>
      <w:r w:rsidR="007A0DDE" w:rsidRPr="00476BE8">
        <w:rPr>
          <w:rFonts w:ascii="Traditional Arabic" w:hAnsi="Traditional Arabic"/>
          <w:noProof w:val="0"/>
          <w:rtl/>
          <w:lang w:eastAsia="en-US"/>
        </w:rPr>
        <w:t xml:space="preserve"> من</w:t>
      </w:r>
      <w:r w:rsidR="007A0DDE" w:rsidRPr="00476BE8">
        <w:rPr>
          <w:rFonts w:ascii="Traditional Arabic" w:hAnsi="Traditional Arabic" w:hint="cs"/>
          <w:noProof w:val="0"/>
          <w:rtl/>
          <w:lang w:eastAsia="en-US"/>
        </w:rPr>
        <w:t xml:space="preserve"> فرجها،</w:t>
      </w:r>
      <w:r w:rsidR="007A0DDE" w:rsidRPr="00476BE8">
        <w:rPr>
          <w:rFonts w:ascii="Traditional Arabic" w:hAnsi="Traditional Arabic"/>
          <w:noProof w:val="0"/>
          <w:rtl/>
          <w:lang w:eastAsia="en-US"/>
        </w:rPr>
        <w:t xml:space="preserve"> فإن </w:t>
      </w:r>
      <w:r w:rsidR="007A0DDE" w:rsidRPr="00476BE8">
        <w:rPr>
          <w:rFonts w:ascii="Traditional Arabic" w:hAnsi="Traditional Arabic" w:hint="cs"/>
          <w:noProof w:val="0"/>
          <w:rtl/>
          <w:lang w:eastAsia="en-US"/>
        </w:rPr>
        <w:t>ا</w:t>
      </w:r>
      <w:r w:rsidR="007A0DDE" w:rsidRPr="00476BE8">
        <w:rPr>
          <w:rFonts w:ascii="Traditional Arabic" w:hAnsi="Traditional Arabic"/>
          <w:noProof w:val="0"/>
          <w:rtl/>
          <w:lang w:eastAsia="en-US"/>
        </w:rPr>
        <w:t>ش</w:t>
      </w:r>
      <w:r w:rsidR="007A0DDE" w:rsidRPr="00476BE8">
        <w:rPr>
          <w:rFonts w:ascii="Traditional Arabic" w:hAnsi="Traditional Arabic" w:hint="cs"/>
          <w:noProof w:val="0"/>
          <w:rtl/>
          <w:lang w:eastAsia="en-US"/>
        </w:rPr>
        <w:t>ت</w:t>
      </w:r>
      <w:r w:rsidR="007A0DDE" w:rsidRPr="00476BE8">
        <w:rPr>
          <w:rFonts w:ascii="Traditional Arabic" w:hAnsi="Traditional Arabic"/>
          <w:noProof w:val="0"/>
          <w:rtl/>
          <w:lang w:eastAsia="en-US"/>
        </w:rPr>
        <w:t xml:space="preserve">جروا </w:t>
      </w:r>
      <w:r w:rsidR="007A0DDE" w:rsidRPr="00476BE8">
        <w:rPr>
          <w:rFonts w:ascii="Traditional Arabic" w:hAnsi="Traditional Arabic"/>
          <w:noProof w:val="0"/>
          <w:color w:val="auto"/>
          <w:rtl/>
          <w:lang w:eastAsia="en-US"/>
        </w:rPr>
        <w:t>فالسلطان ول</w:t>
      </w:r>
      <w:r w:rsidR="007A0DDE" w:rsidRPr="00476BE8">
        <w:rPr>
          <w:rFonts w:ascii="Traditional Arabic" w:hAnsi="Traditional Arabic" w:hint="cs"/>
          <w:noProof w:val="0"/>
          <w:color w:val="auto"/>
          <w:rtl/>
          <w:lang w:eastAsia="en-US"/>
        </w:rPr>
        <w:t>يُّ</w:t>
      </w:r>
      <w:r w:rsidR="007A0DDE" w:rsidRPr="00476BE8">
        <w:rPr>
          <w:rFonts w:ascii="Traditional Arabic" w:hAnsi="Traditional Arabic"/>
          <w:noProof w:val="0"/>
          <w:color w:val="auto"/>
          <w:rtl/>
          <w:lang w:eastAsia="en-US"/>
        </w:rPr>
        <w:t xml:space="preserve"> من لا ول</w:t>
      </w:r>
      <w:r w:rsidR="007A0DDE" w:rsidRPr="00476BE8">
        <w:rPr>
          <w:rFonts w:ascii="Traditional Arabic" w:hAnsi="Traditional Arabic" w:hint="cs"/>
          <w:noProof w:val="0"/>
          <w:color w:val="auto"/>
          <w:rtl/>
          <w:lang w:eastAsia="en-US"/>
        </w:rPr>
        <w:t>يَّ</w:t>
      </w:r>
      <w:r w:rsidR="007A0DDE" w:rsidRPr="00476BE8">
        <w:rPr>
          <w:rFonts w:ascii="Traditional Arabic" w:hAnsi="Traditional Arabic"/>
          <w:noProof w:val="0"/>
          <w:color w:val="auto"/>
          <w:rtl/>
          <w:lang w:eastAsia="en-US"/>
        </w:rPr>
        <w:t xml:space="preserve"> له</w:t>
      </w:r>
      <w:r w:rsidR="007A0DDE" w:rsidRPr="00476BE8">
        <w:rPr>
          <w:rFonts w:ascii="Traditional Arabic" w:hAnsi="Traditional Arabic"/>
          <w:noProof w:val="0"/>
          <w:rtl/>
          <w:lang w:eastAsia="en-US"/>
        </w:rPr>
        <w:t>"</w:t>
      </w:r>
      <w:r w:rsidR="007A0DDE" w:rsidRPr="00476BE8">
        <w:rPr>
          <w:rStyle w:val="af1"/>
          <w:szCs w:val="32"/>
          <w:rtl/>
        </w:rPr>
        <w:t>(</w:t>
      </w:r>
      <w:r w:rsidR="007A0DDE" w:rsidRPr="00C821A1">
        <w:rPr>
          <w:rStyle w:val="af1"/>
          <w:szCs w:val="32"/>
          <w:rtl/>
        </w:rPr>
        <w:footnoteReference w:id="2050"/>
      </w:r>
      <w:r w:rsidR="007A0DDE" w:rsidRPr="00476BE8">
        <w:rPr>
          <w:rStyle w:val="af1"/>
          <w:szCs w:val="32"/>
          <w:rtl/>
        </w:rPr>
        <w:t>)</w:t>
      </w:r>
      <w:r w:rsidR="007A0DDE" w:rsidRPr="00476BE8">
        <w:rPr>
          <w:rFonts w:ascii="Traditional Arabic" w:hAnsi="Traditional Arabic" w:hint="cs"/>
          <w:noProof w:val="0"/>
          <w:rtl/>
          <w:lang w:eastAsia="en-US"/>
        </w:rPr>
        <w:t>.</w:t>
      </w:r>
    </w:p>
    <w:p w:rsidR="00065E4B" w:rsidRDefault="00B47ECB" w:rsidP="00F01274">
      <w:pPr>
        <w:ind w:firstLine="0"/>
        <w:rPr>
          <w:rFonts w:ascii="Traditional Arabic" w:hAnsi="Traditional Arabic"/>
          <w:noProof w:val="0"/>
          <w:rtl/>
          <w:lang w:eastAsia="en-US"/>
        </w:rPr>
      </w:pPr>
      <w:r>
        <w:rPr>
          <w:rFonts w:hint="cs"/>
          <w:color w:val="auto"/>
          <w:rtl/>
        </w:rPr>
        <w:t xml:space="preserve">    </w:t>
      </w:r>
      <w:r w:rsidR="00065E4B">
        <w:rPr>
          <w:rFonts w:hint="cs"/>
          <w:color w:val="auto"/>
          <w:rtl/>
        </w:rPr>
        <w:t>و</w:t>
      </w:r>
      <w:r w:rsidR="007A0DDE">
        <w:rPr>
          <w:rFonts w:hint="cs"/>
          <w:color w:val="auto"/>
          <w:rtl/>
        </w:rPr>
        <w:t xml:space="preserve">معنى قوله </w:t>
      </w:r>
      <w:r w:rsidR="00F350DE">
        <w:rPr>
          <w:rFonts w:ascii="Traditional Arabic" w:hAnsi="Traditional Arabic"/>
          <w:noProof w:val="0"/>
          <w:color w:val="auto"/>
          <w:rtl/>
          <w:lang w:eastAsia="en-US"/>
        </w:rPr>
        <w:sym w:font="AGA Arabesque" w:char="F072"/>
      </w:r>
      <w:r w:rsidR="007A0DDE">
        <w:rPr>
          <w:rFonts w:hint="cs"/>
          <w:color w:val="auto"/>
          <w:rtl/>
        </w:rPr>
        <w:t>: "فإن اشت</w:t>
      </w:r>
      <w:r w:rsidR="00F01274">
        <w:rPr>
          <w:rFonts w:hint="cs"/>
          <w:color w:val="auto"/>
          <w:rtl/>
        </w:rPr>
        <w:t xml:space="preserve">جروا فالسلطان ولي من لا ولي له" أنه </w:t>
      </w:r>
      <w:r w:rsidR="007A0DDE">
        <w:rPr>
          <w:rFonts w:hint="cs"/>
          <w:color w:val="auto"/>
          <w:rtl/>
        </w:rPr>
        <w:t xml:space="preserve">إذا </w:t>
      </w:r>
      <w:r w:rsidR="007A0DDE">
        <w:rPr>
          <w:rFonts w:ascii="Traditional Arabic" w:hAnsi="Traditional Arabic"/>
          <w:noProof w:val="0"/>
          <w:rtl/>
          <w:lang w:eastAsia="en-US"/>
        </w:rPr>
        <w:t>تناز</w:t>
      </w:r>
      <w:r w:rsidR="00F01274">
        <w:rPr>
          <w:rFonts w:ascii="Traditional Arabic" w:hAnsi="Traditional Arabic" w:hint="cs"/>
          <w:noProof w:val="0"/>
          <w:rtl/>
          <w:lang w:eastAsia="en-US"/>
        </w:rPr>
        <w:t>َ</w:t>
      </w:r>
      <w:r w:rsidR="007A0DDE">
        <w:rPr>
          <w:rFonts w:ascii="Traditional Arabic" w:hAnsi="Traditional Arabic"/>
          <w:noProof w:val="0"/>
          <w:rtl/>
          <w:lang w:eastAsia="en-US"/>
        </w:rPr>
        <w:t>ع</w:t>
      </w:r>
      <w:r w:rsidR="007A0DDE">
        <w:rPr>
          <w:rFonts w:ascii="Traditional Arabic" w:hAnsi="Traditional Arabic" w:hint="cs"/>
          <w:noProof w:val="0"/>
          <w:rtl/>
          <w:lang w:eastAsia="en-US"/>
        </w:rPr>
        <w:t xml:space="preserve"> الأولياء</w:t>
      </w:r>
      <w:r w:rsidR="007A0DDE" w:rsidRPr="00D83A5A">
        <w:rPr>
          <w:rFonts w:ascii="Traditional Arabic" w:hAnsi="Traditional Arabic"/>
          <w:noProof w:val="0"/>
          <w:rtl/>
          <w:lang w:eastAsia="en-US"/>
        </w:rPr>
        <w:t xml:space="preserve"> واختلفوا بحيث أدى ذلك إلى المنع عن النكاح</w:t>
      </w:r>
      <w:r w:rsidR="007A0DDE">
        <w:rPr>
          <w:rFonts w:ascii="Traditional Arabic" w:hAnsi="Traditional Arabic" w:hint="cs"/>
          <w:noProof w:val="0"/>
          <w:rtl/>
          <w:lang w:eastAsia="en-US"/>
        </w:rPr>
        <w:t>،</w:t>
      </w:r>
      <w:r w:rsidR="007A0DDE" w:rsidRPr="00D83A5A">
        <w:rPr>
          <w:rFonts w:ascii="Traditional Arabic" w:hAnsi="Traditional Arabic"/>
          <w:noProof w:val="0"/>
          <w:rtl/>
          <w:lang w:eastAsia="en-US"/>
        </w:rPr>
        <w:t xml:space="preserve"> يفو</w:t>
      </w:r>
      <w:r w:rsidR="007A0DDE">
        <w:rPr>
          <w:rFonts w:ascii="Traditional Arabic" w:hAnsi="Traditional Arabic" w:hint="cs"/>
          <w:noProof w:val="0"/>
          <w:rtl/>
          <w:lang w:eastAsia="en-US"/>
        </w:rPr>
        <w:t>َّ</w:t>
      </w:r>
      <w:r w:rsidR="007A0DDE" w:rsidRPr="00D83A5A">
        <w:rPr>
          <w:rFonts w:ascii="Traditional Arabic" w:hAnsi="Traditional Arabic"/>
          <w:noProof w:val="0"/>
          <w:rtl/>
          <w:lang w:eastAsia="en-US"/>
        </w:rPr>
        <w:t>ض الأمر إلى السلطان</w:t>
      </w:r>
      <w:r w:rsidR="007A0DDE">
        <w:rPr>
          <w:rFonts w:ascii="Traditional Arabic" w:hAnsi="Traditional Arabic" w:hint="cs"/>
          <w:noProof w:val="0"/>
          <w:rtl/>
          <w:lang w:eastAsia="en-US"/>
        </w:rPr>
        <w:t>،</w:t>
      </w:r>
      <w:r w:rsidR="007A0DDE" w:rsidRPr="00D83A5A">
        <w:rPr>
          <w:rFonts w:ascii="Traditional Arabic" w:hAnsi="Traditional Arabic"/>
          <w:noProof w:val="0"/>
          <w:rtl/>
          <w:lang w:eastAsia="en-US"/>
        </w:rPr>
        <w:t xml:space="preserve"> ويجعل الأولياء كالمعدومين</w:t>
      </w:r>
      <w:r w:rsidR="007A0DDE" w:rsidRPr="00C821A1">
        <w:rPr>
          <w:rStyle w:val="af1"/>
          <w:szCs w:val="32"/>
          <w:rtl/>
        </w:rPr>
        <w:t>(</w:t>
      </w:r>
      <w:r w:rsidR="007A0DDE" w:rsidRPr="00C821A1">
        <w:rPr>
          <w:rStyle w:val="af1"/>
          <w:szCs w:val="32"/>
          <w:rtl/>
        </w:rPr>
        <w:footnoteReference w:id="2051"/>
      </w:r>
      <w:r w:rsidR="007A0DDE" w:rsidRPr="00C821A1">
        <w:rPr>
          <w:rStyle w:val="af1"/>
          <w:szCs w:val="32"/>
          <w:rtl/>
        </w:rPr>
        <w:t>)</w:t>
      </w:r>
      <w:r w:rsidR="007A0DDE">
        <w:rPr>
          <w:rFonts w:ascii="Traditional Arabic" w:hAnsi="Traditional Arabic" w:hint="cs"/>
          <w:noProof w:val="0"/>
          <w:rtl/>
          <w:lang w:eastAsia="en-US"/>
        </w:rPr>
        <w:t>.</w:t>
      </w:r>
    </w:p>
    <w:p w:rsidR="007A0DDE" w:rsidRDefault="0062426F" w:rsidP="0062426F">
      <w:pPr>
        <w:ind w:firstLine="0"/>
        <w:rPr>
          <w:color w:val="auto"/>
          <w:rtl/>
        </w:rPr>
      </w:pPr>
      <w:r>
        <w:rPr>
          <w:rFonts w:ascii="Traditional Arabic" w:hAnsi="Traditional Arabic" w:hint="cs"/>
          <w:noProof w:val="0"/>
          <w:rtl/>
          <w:lang w:eastAsia="en-US"/>
        </w:rPr>
        <w:lastRenderedPageBreak/>
        <w:t xml:space="preserve">    </w:t>
      </w:r>
      <w:r w:rsidR="00065E4B">
        <w:rPr>
          <w:rFonts w:ascii="Traditional Arabic" w:hAnsi="Traditional Arabic" w:hint="cs"/>
          <w:noProof w:val="0"/>
          <w:rtl/>
          <w:lang w:eastAsia="en-US"/>
        </w:rPr>
        <w:t>و</w:t>
      </w:r>
      <w:r w:rsidR="007A0DDE">
        <w:rPr>
          <w:rFonts w:ascii="Traditional Arabic" w:hAnsi="Traditional Arabic" w:hint="cs"/>
          <w:noProof w:val="0"/>
          <w:rtl/>
          <w:lang w:eastAsia="en-US"/>
        </w:rPr>
        <w:t>لم يقُل النبي</w:t>
      </w:r>
      <w:r w:rsidR="00476BE8">
        <w:rPr>
          <w:rFonts w:ascii="Traditional Arabic" w:hAnsi="Traditional Arabic" w:hint="cs"/>
          <w:noProof w:val="0"/>
          <w:rtl/>
          <w:lang w:eastAsia="en-US"/>
        </w:rPr>
        <w:t>ُّ</w:t>
      </w:r>
      <w:r w:rsidR="007A0DDE">
        <w:rPr>
          <w:rFonts w:ascii="Traditional Arabic" w:hAnsi="Traditional Arabic" w:hint="cs"/>
          <w:noProof w:val="0"/>
          <w:rtl/>
          <w:lang w:eastAsia="en-US"/>
        </w:rPr>
        <w:t xml:space="preserve"> </w:t>
      </w:r>
      <w:r w:rsidR="00F350DE">
        <w:rPr>
          <w:rFonts w:ascii="Traditional Arabic" w:hAnsi="Traditional Arabic"/>
          <w:noProof w:val="0"/>
          <w:color w:val="auto"/>
          <w:rtl/>
          <w:lang w:eastAsia="en-US"/>
        </w:rPr>
        <w:sym w:font="AGA Arabesque" w:char="F072"/>
      </w:r>
      <w:r w:rsidR="007A0DDE">
        <w:rPr>
          <w:rFonts w:hint="cs"/>
          <w:color w:val="auto"/>
          <w:rtl/>
        </w:rPr>
        <w:t xml:space="preserve"> فالسلطان يزوِّجها، وإنما أتى بقاعدة عامة: "السلطان ولي من لا ولي له"</w:t>
      </w:r>
      <w:r w:rsidR="007A0DDE" w:rsidRPr="00C821A1">
        <w:rPr>
          <w:rStyle w:val="af1"/>
          <w:szCs w:val="32"/>
          <w:rtl/>
        </w:rPr>
        <w:t>(</w:t>
      </w:r>
      <w:r w:rsidR="007A0DDE" w:rsidRPr="00C821A1">
        <w:rPr>
          <w:rStyle w:val="af1"/>
          <w:szCs w:val="32"/>
          <w:rtl/>
        </w:rPr>
        <w:footnoteReference w:id="2052"/>
      </w:r>
      <w:r w:rsidR="007A0DDE" w:rsidRPr="00C821A1">
        <w:rPr>
          <w:rStyle w:val="af1"/>
          <w:szCs w:val="32"/>
          <w:rtl/>
        </w:rPr>
        <w:t>)</w:t>
      </w:r>
      <w:r w:rsidR="007A0DDE">
        <w:rPr>
          <w:rFonts w:hint="cs"/>
          <w:color w:val="auto"/>
          <w:rtl/>
        </w:rPr>
        <w:t>.</w:t>
      </w:r>
    </w:p>
    <w:p w:rsidR="00476BE8" w:rsidRDefault="00476BE8" w:rsidP="00476BE8">
      <w:pPr>
        <w:widowControl/>
        <w:autoSpaceDE w:val="0"/>
        <w:autoSpaceDN w:val="0"/>
        <w:adjustRightInd w:val="0"/>
        <w:ind w:firstLine="0"/>
        <w:jc w:val="left"/>
        <w:rPr>
          <w:rFonts w:ascii="Traditional Arabic" w:hAnsi="Traditional Arabic"/>
          <w:b/>
          <w:bCs/>
          <w:noProof w:val="0"/>
          <w:color w:val="auto"/>
          <w:sz w:val="44"/>
          <w:szCs w:val="44"/>
          <w:rtl/>
          <w:lang w:eastAsia="en-US"/>
        </w:rPr>
      </w:pPr>
      <w:r>
        <w:rPr>
          <w:rFonts w:hint="cs"/>
          <w:color w:val="auto"/>
          <w:rtl/>
        </w:rPr>
        <w:t xml:space="preserve">(2)قال ابن عبد البر رحمه الله: ( </w:t>
      </w:r>
      <w:r w:rsidRPr="00476BE8">
        <w:rPr>
          <w:rFonts w:ascii="Traditional Arabic" w:hAnsi="Traditional Arabic"/>
          <w:noProof w:val="0"/>
          <w:rtl/>
          <w:lang w:eastAsia="en-US"/>
        </w:rPr>
        <w:t>أجم</w:t>
      </w:r>
      <w:r>
        <w:rPr>
          <w:rFonts w:ascii="Traditional Arabic" w:hAnsi="Traditional Arabic"/>
          <w:noProof w:val="0"/>
          <w:rtl/>
          <w:lang w:eastAsia="en-US"/>
        </w:rPr>
        <w:t>عوا أن السلطان ولي من لا ولي له</w:t>
      </w:r>
      <w:r w:rsidRPr="00476BE8">
        <w:rPr>
          <w:rFonts w:ascii="Traditional Arabic" w:hAnsi="Traditional Arabic"/>
          <w:noProof w:val="0"/>
          <w:rtl/>
          <w:lang w:eastAsia="en-US"/>
        </w:rPr>
        <w:t>; لأن الولاي</w:t>
      </w:r>
      <w:r w:rsidR="006E11B5">
        <w:rPr>
          <w:rFonts w:ascii="Traditional Arabic" w:hAnsi="Traditional Arabic"/>
          <w:noProof w:val="0"/>
          <w:rtl/>
          <w:lang w:eastAsia="en-US"/>
        </w:rPr>
        <w:t>ة بعد عدم التعصيب تنصرف إلى ال</w:t>
      </w:r>
      <w:r w:rsidR="006E11B5">
        <w:rPr>
          <w:rFonts w:ascii="Traditional Arabic" w:hAnsi="Traditional Arabic" w:hint="cs"/>
          <w:noProof w:val="0"/>
          <w:rtl/>
          <w:lang w:eastAsia="en-US"/>
        </w:rPr>
        <w:t>دين</w:t>
      </w:r>
      <w:r>
        <w:rPr>
          <w:rFonts w:ascii="Traditional Arabic" w:hAnsi="Traditional Arabic" w:hint="cs"/>
          <w:noProof w:val="0"/>
          <w:rtl/>
          <w:lang w:eastAsia="en-US"/>
        </w:rPr>
        <w:t>)</w:t>
      </w:r>
      <w:r w:rsidRPr="00476BE8">
        <w:rPr>
          <w:rFonts w:ascii="Traditional Arabic" w:hAnsi="Traditional Arabic" w:hint="cs"/>
          <w:noProof w:val="0"/>
          <w:vertAlign w:val="superscript"/>
          <w:rtl/>
          <w:lang w:eastAsia="en-US"/>
        </w:rPr>
        <w:t>(</w:t>
      </w:r>
      <w:r w:rsidRPr="00476BE8">
        <w:rPr>
          <w:rStyle w:val="af1"/>
          <w:rFonts w:ascii="Traditional Arabic" w:hAnsi="Traditional Arabic"/>
          <w:noProof w:val="0"/>
          <w:rtl/>
          <w:lang w:eastAsia="en-US"/>
        </w:rPr>
        <w:footnoteReference w:id="2053"/>
      </w:r>
      <w:r w:rsidRPr="00476BE8">
        <w:rPr>
          <w:rFonts w:ascii="Traditional Arabic" w:hAnsi="Traditional Arabic" w:hint="cs"/>
          <w:noProof w:val="0"/>
          <w:vertAlign w:val="superscript"/>
          <w:rtl/>
          <w:lang w:eastAsia="en-US"/>
        </w:rPr>
        <w:t>)</w:t>
      </w:r>
      <w:r w:rsidRPr="00476BE8">
        <w:rPr>
          <w:rFonts w:ascii="Traditional Arabic" w:hAnsi="Traditional Arabic"/>
          <w:noProof w:val="0"/>
          <w:rtl/>
          <w:lang w:eastAsia="en-US"/>
        </w:rPr>
        <w:t>.</w:t>
      </w:r>
    </w:p>
    <w:p w:rsidR="00476BE8" w:rsidRPr="00476BE8" w:rsidRDefault="00476BE8" w:rsidP="00476BE8">
      <w:pPr>
        <w:rPr>
          <w:color w:val="auto"/>
          <w:rtl/>
        </w:rPr>
      </w:pPr>
    </w:p>
    <w:p w:rsidR="007A0DDE" w:rsidRPr="007A0DDE" w:rsidRDefault="00F01274" w:rsidP="00A8347C">
      <w:pPr>
        <w:pStyle w:val="aff3"/>
        <w:rPr>
          <w:rtl/>
        </w:rPr>
      </w:pPr>
      <w:bookmarkStart w:id="445" w:name="_Toc334046619"/>
      <w:r>
        <w:rPr>
          <w:rFonts w:hint="cs"/>
          <w:rtl/>
        </w:rPr>
        <w:t xml:space="preserve">                                       </w:t>
      </w:r>
      <w:r w:rsidR="007A0DDE" w:rsidRPr="007A0DDE">
        <w:rPr>
          <w:rFonts w:hint="cs"/>
          <w:rtl/>
        </w:rPr>
        <w:t>المطلب الرابع</w:t>
      </w:r>
      <w:r w:rsidR="007A0DDE">
        <w:rPr>
          <w:rFonts w:hint="eastAsia"/>
          <w:rtl/>
        </w:rPr>
        <w:t> :</w:t>
      </w:r>
      <w:r w:rsidR="007A0DDE">
        <w:rPr>
          <w:rFonts w:hint="cs"/>
          <w:rtl/>
        </w:rPr>
        <w:br/>
      </w:r>
      <w:r>
        <w:rPr>
          <w:rFonts w:hint="cs"/>
          <w:rtl/>
        </w:rPr>
        <w:t xml:space="preserve">                                      </w:t>
      </w:r>
      <w:r w:rsidR="007A0DDE" w:rsidRPr="007A0DDE">
        <w:rPr>
          <w:rFonts w:hint="cs"/>
          <w:rtl/>
        </w:rPr>
        <w:t>تطبيقات القاعدة</w:t>
      </w:r>
      <w:bookmarkEnd w:id="445"/>
    </w:p>
    <w:p w:rsidR="007A0DDE" w:rsidRDefault="007A0DDE" w:rsidP="000A76C7">
      <w:pPr>
        <w:pStyle w:val="afc"/>
        <w:numPr>
          <w:ilvl w:val="0"/>
          <w:numId w:val="278"/>
        </w:numPr>
        <w:rPr>
          <w:color w:val="auto"/>
        </w:rPr>
      </w:pPr>
      <w:r>
        <w:rPr>
          <w:rFonts w:hint="cs"/>
          <w:color w:val="auto"/>
          <w:rtl/>
        </w:rPr>
        <w:t>من وجد ل</w:t>
      </w:r>
      <w:r w:rsidR="00F01274">
        <w:rPr>
          <w:rFonts w:hint="cs"/>
          <w:color w:val="auto"/>
          <w:rtl/>
        </w:rPr>
        <w:t>ُ</w:t>
      </w:r>
      <w:r>
        <w:rPr>
          <w:rFonts w:hint="cs"/>
          <w:color w:val="auto"/>
          <w:rtl/>
        </w:rPr>
        <w:t>ق</w:t>
      </w:r>
      <w:r w:rsidR="00F01274">
        <w:rPr>
          <w:rFonts w:hint="cs"/>
          <w:color w:val="auto"/>
          <w:rtl/>
        </w:rPr>
        <w:t>َ</w:t>
      </w:r>
      <w:r>
        <w:rPr>
          <w:rFonts w:hint="cs"/>
          <w:color w:val="auto"/>
          <w:rtl/>
        </w:rPr>
        <w:t>طة</w:t>
      </w:r>
      <w:r w:rsidR="00F01274">
        <w:rPr>
          <w:rFonts w:hint="cs"/>
          <w:color w:val="auto"/>
          <w:rtl/>
        </w:rPr>
        <w:t>ً</w:t>
      </w:r>
      <w:r>
        <w:rPr>
          <w:rFonts w:hint="cs"/>
          <w:color w:val="auto"/>
          <w:rtl/>
        </w:rPr>
        <w:t xml:space="preserve"> بمكة،</w:t>
      </w:r>
      <w:r w:rsidR="00F01274">
        <w:rPr>
          <w:rFonts w:ascii="Traditional Arabic" w:hAnsi="Traditional Arabic" w:hint="cs"/>
          <w:noProof w:val="0"/>
          <w:rtl/>
          <w:lang w:eastAsia="en-US"/>
        </w:rPr>
        <w:t xml:space="preserve"> </w:t>
      </w:r>
      <w:r>
        <w:rPr>
          <w:rFonts w:ascii="Traditional Arabic" w:hAnsi="Traditional Arabic" w:hint="cs"/>
          <w:noProof w:val="0"/>
          <w:rtl/>
          <w:lang w:eastAsia="en-US"/>
        </w:rPr>
        <w:t>و</w:t>
      </w:r>
      <w:r w:rsidRPr="00BF15F8">
        <w:rPr>
          <w:rFonts w:ascii="Traditional Arabic" w:hAnsi="Traditional Arabic"/>
          <w:noProof w:val="0"/>
          <w:rtl/>
          <w:lang w:eastAsia="en-US"/>
        </w:rPr>
        <w:t>كان هناك ج</w:t>
      </w:r>
      <w:r>
        <w:rPr>
          <w:rFonts w:ascii="Traditional Arabic" w:hAnsi="Traditional Arabic"/>
          <w:noProof w:val="0"/>
          <w:rtl/>
          <w:lang w:eastAsia="en-US"/>
        </w:rPr>
        <w:t xml:space="preserve">هة مسؤولة لاستقبال </w:t>
      </w:r>
      <w:r>
        <w:rPr>
          <w:rFonts w:ascii="Traditional Arabic" w:hAnsi="Traditional Arabic" w:hint="cs"/>
          <w:noProof w:val="0"/>
          <w:rtl/>
          <w:lang w:eastAsia="en-US"/>
        </w:rPr>
        <w:t xml:space="preserve">الأموال </w:t>
      </w:r>
      <w:r>
        <w:rPr>
          <w:rFonts w:ascii="Traditional Arabic" w:hAnsi="Traditional Arabic"/>
          <w:noProof w:val="0"/>
          <w:rtl/>
          <w:lang w:eastAsia="en-US"/>
        </w:rPr>
        <w:t>الضائع</w:t>
      </w:r>
      <w:r>
        <w:rPr>
          <w:rFonts w:ascii="Traditional Arabic" w:hAnsi="Traditional Arabic" w:hint="cs"/>
          <w:noProof w:val="0"/>
          <w:rtl/>
          <w:lang w:eastAsia="en-US"/>
        </w:rPr>
        <w:t>ة دفعها إليهم</w:t>
      </w:r>
      <w:r w:rsidRPr="00BF15F8">
        <w:rPr>
          <w:rFonts w:ascii="Traditional Arabic" w:hAnsi="Traditional Arabic"/>
          <w:noProof w:val="0"/>
          <w:rtl/>
          <w:lang w:eastAsia="en-US"/>
        </w:rPr>
        <w:t xml:space="preserve">، لكن إذا لم يكن هناك جهة </w:t>
      </w:r>
      <w:r>
        <w:rPr>
          <w:rFonts w:ascii="Traditional Arabic" w:hAnsi="Traditional Arabic" w:hint="cs"/>
          <w:noProof w:val="0"/>
          <w:rtl/>
          <w:lang w:eastAsia="en-US"/>
        </w:rPr>
        <w:t>مختصة بذلك، دفعها إلى الحاكم، و</w:t>
      </w:r>
      <w:r w:rsidRPr="00BF15F8">
        <w:rPr>
          <w:rFonts w:ascii="Traditional Arabic" w:hAnsi="Traditional Arabic"/>
          <w:noProof w:val="0"/>
          <w:rtl/>
          <w:lang w:eastAsia="en-US"/>
        </w:rPr>
        <w:t>يجب على الحاكم الشرعي أن يستقبلها؛ لأن هذه من جملة ما يتولاه الحاكم</w:t>
      </w:r>
      <w:r>
        <w:rPr>
          <w:rFonts w:ascii="Traditional Arabic" w:hAnsi="Traditional Arabic" w:hint="cs"/>
          <w:noProof w:val="0"/>
          <w:rtl/>
          <w:lang w:eastAsia="en-US"/>
        </w:rPr>
        <w:t>،</w:t>
      </w:r>
      <w:r w:rsidRPr="00BF15F8">
        <w:rPr>
          <w:rFonts w:ascii="Traditional Arabic" w:hAnsi="Traditional Arabic"/>
          <w:noProof w:val="0"/>
          <w:rtl/>
          <w:lang w:eastAsia="en-US"/>
        </w:rPr>
        <w:t xml:space="preserve"> فالسلطان ولي من لا ولي له</w:t>
      </w:r>
      <w:r w:rsidRPr="00C821A1">
        <w:rPr>
          <w:rStyle w:val="af1"/>
          <w:szCs w:val="32"/>
          <w:rtl/>
        </w:rPr>
        <w:t>(</w:t>
      </w:r>
      <w:r w:rsidRPr="00C821A1">
        <w:rPr>
          <w:rStyle w:val="af1"/>
          <w:szCs w:val="32"/>
          <w:rtl/>
        </w:rPr>
        <w:footnoteReference w:id="2054"/>
      </w:r>
      <w:r w:rsidRPr="00C821A1">
        <w:rPr>
          <w:rStyle w:val="af1"/>
          <w:szCs w:val="32"/>
          <w:rtl/>
        </w:rPr>
        <w:t>)</w:t>
      </w:r>
      <w:r>
        <w:rPr>
          <w:rFonts w:hint="cs"/>
          <w:color w:val="auto"/>
          <w:rtl/>
        </w:rPr>
        <w:t>.</w:t>
      </w:r>
    </w:p>
    <w:p w:rsidR="007A0DDE" w:rsidRDefault="007A0DDE" w:rsidP="00597C20">
      <w:pPr>
        <w:pStyle w:val="53"/>
        <w:rPr>
          <w:rtl/>
        </w:rPr>
      </w:pPr>
      <w:r>
        <w:rPr>
          <w:rFonts w:hint="cs"/>
          <w:rtl/>
        </w:rPr>
        <w:t>وجه اندراج الفرع تحت القاعدة:</w:t>
      </w:r>
    </w:p>
    <w:p w:rsidR="007A0DDE" w:rsidRPr="000E1D14" w:rsidRDefault="007A0DDE" w:rsidP="00597C20">
      <w:pPr>
        <w:ind w:firstLine="720"/>
        <w:rPr>
          <w:color w:val="auto"/>
          <w:rtl/>
        </w:rPr>
      </w:pPr>
      <w:r w:rsidRPr="000E1D14">
        <w:rPr>
          <w:rFonts w:hint="cs"/>
          <w:color w:val="auto"/>
          <w:rtl/>
        </w:rPr>
        <w:t>لما لم توجد جهة مسؤلة تتولى استقبال هذه الأموال الضائعة، وجب على الحاكم أن يتولى ذلك؛ لأن السلطان ولي من لا ولي له؛ إذ هي من جملة ما يتولاه الحاكم، كما تقدم بيانه عند شرح القاعدة.</w:t>
      </w:r>
    </w:p>
    <w:p w:rsidR="00F228A9" w:rsidRPr="000F0AA1" w:rsidRDefault="007A0DDE" w:rsidP="000A76C7">
      <w:pPr>
        <w:pStyle w:val="afc"/>
        <w:numPr>
          <w:ilvl w:val="0"/>
          <w:numId w:val="278"/>
        </w:numPr>
        <w:rPr>
          <w:color w:val="auto"/>
        </w:rPr>
      </w:pPr>
      <w:r w:rsidRPr="00EB31DA">
        <w:rPr>
          <w:rFonts w:ascii="Traditional Arabic" w:hAnsi="Traditional Arabic" w:hint="cs"/>
          <w:noProof w:val="0"/>
          <w:rtl/>
          <w:lang w:eastAsia="en-US"/>
        </w:rPr>
        <w:t>إذا أراد المودَع السفر، وجب عليه ردُّ الوديعة</w:t>
      </w:r>
      <w:r w:rsidR="00086E4F">
        <w:rPr>
          <w:rFonts w:ascii="Traditional Arabic" w:hAnsi="Traditional Arabic" w:hint="cs"/>
          <w:noProof w:val="0"/>
          <w:rtl/>
          <w:lang w:eastAsia="en-US"/>
        </w:rPr>
        <w:t xml:space="preserve"> </w:t>
      </w:r>
      <w:r w:rsidRPr="00EB31DA">
        <w:rPr>
          <w:rFonts w:ascii="Traditional Arabic" w:hAnsi="Traditional Arabic" w:hint="cs"/>
          <w:noProof w:val="0"/>
          <w:rtl/>
          <w:lang w:eastAsia="en-US"/>
        </w:rPr>
        <w:t xml:space="preserve">إلى صاحبها، </w:t>
      </w:r>
      <w:r w:rsidRPr="00EB31DA">
        <w:rPr>
          <w:rFonts w:ascii="Traditional Arabic" w:hAnsi="Traditional Arabic"/>
          <w:noProof w:val="0"/>
          <w:rtl/>
          <w:lang w:eastAsia="en-US"/>
        </w:rPr>
        <w:t>فإذا لم يجده حملها معه إن كا</w:t>
      </w:r>
      <w:r w:rsidRPr="00EB31DA">
        <w:rPr>
          <w:rFonts w:ascii="Traditional Arabic" w:hAnsi="Traditional Arabic" w:hint="cs"/>
          <w:noProof w:val="0"/>
          <w:rtl/>
          <w:lang w:eastAsia="en-US"/>
        </w:rPr>
        <w:t>ن</w:t>
      </w:r>
      <w:r w:rsidRPr="00EB31DA">
        <w:rPr>
          <w:rFonts w:ascii="Traditional Arabic" w:hAnsi="Traditional Arabic"/>
          <w:noProof w:val="0"/>
          <w:rtl/>
          <w:lang w:eastAsia="en-US"/>
        </w:rPr>
        <w:t xml:space="preserve"> سفر</w:t>
      </w:r>
      <w:r>
        <w:rPr>
          <w:rFonts w:ascii="Traditional Arabic" w:hAnsi="Traditional Arabic" w:hint="cs"/>
          <w:noProof w:val="0"/>
          <w:rtl/>
          <w:lang w:eastAsia="en-US"/>
        </w:rPr>
        <w:t>ُ</w:t>
      </w:r>
      <w:r w:rsidRPr="00EB31DA">
        <w:rPr>
          <w:rFonts w:ascii="Traditional Arabic" w:hAnsi="Traditional Arabic"/>
          <w:noProof w:val="0"/>
          <w:rtl/>
          <w:lang w:eastAsia="en-US"/>
        </w:rPr>
        <w:t>ه بها أ</w:t>
      </w:r>
      <w:r w:rsidRPr="00EB31DA">
        <w:rPr>
          <w:rFonts w:ascii="Traditional Arabic" w:hAnsi="Traditional Arabic" w:hint="cs"/>
          <w:noProof w:val="0"/>
          <w:rtl/>
          <w:lang w:eastAsia="en-US"/>
        </w:rPr>
        <w:t>َ</w:t>
      </w:r>
      <w:r w:rsidRPr="00EB31DA">
        <w:rPr>
          <w:rFonts w:ascii="Traditional Arabic" w:hAnsi="Traditional Arabic"/>
          <w:noProof w:val="0"/>
          <w:rtl/>
          <w:lang w:eastAsia="en-US"/>
        </w:rPr>
        <w:t>ح</w:t>
      </w:r>
      <w:r w:rsidRPr="00EB31DA">
        <w:rPr>
          <w:rFonts w:ascii="Traditional Arabic" w:hAnsi="Traditional Arabic" w:hint="cs"/>
          <w:noProof w:val="0"/>
          <w:rtl/>
          <w:lang w:eastAsia="en-US"/>
        </w:rPr>
        <w:t>ْ</w:t>
      </w:r>
      <w:r w:rsidRPr="00EB31DA">
        <w:rPr>
          <w:rFonts w:ascii="Traditional Arabic" w:hAnsi="Traditional Arabic"/>
          <w:noProof w:val="0"/>
          <w:rtl/>
          <w:lang w:eastAsia="en-US"/>
        </w:rPr>
        <w:t>ر</w:t>
      </w:r>
      <w:r w:rsidRPr="00EB31DA">
        <w:rPr>
          <w:rFonts w:ascii="Traditional Arabic" w:hAnsi="Traditional Arabic" w:hint="cs"/>
          <w:noProof w:val="0"/>
          <w:rtl/>
          <w:lang w:eastAsia="en-US"/>
        </w:rPr>
        <w:t>َ</w:t>
      </w:r>
      <w:r w:rsidRPr="00EB31DA">
        <w:rPr>
          <w:rFonts w:ascii="Traditional Arabic" w:hAnsi="Traditional Arabic"/>
          <w:noProof w:val="0"/>
          <w:rtl/>
          <w:lang w:eastAsia="en-US"/>
        </w:rPr>
        <w:t>ز</w:t>
      </w:r>
      <w:r w:rsidRPr="00EB31DA">
        <w:rPr>
          <w:rFonts w:ascii="Traditional Arabic" w:hAnsi="Traditional Arabic" w:hint="cs"/>
          <w:noProof w:val="0"/>
          <w:rtl/>
          <w:lang w:eastAsia="en-US"/>
        </w:rPr>
        <w:t>َ لها</w:t>
      </w:r>
      <w:r w:rsidRPr="00EB31DA">
        <w:rPr>
          <w:rFonts w:ascii="Traditional Arabic" w:hAnsi="Traditional Arabic"/>
          <w:noProof w:val="0"/>
          <w:rtl/>
          <w:lang w:eastAsia="en-US"/>
        </w:rPr>
        <w:t xml:space="preserve"> من إبقائها،</w:t>
      </w:r>
      <w:r w:rsidR="00086E4F">
        <w:rPr>
          <w:rFonts w:ascii="Traditional Arabic" w:hAnsi="Traditional Arabic" w:hint="cs"/>
          <w:noProof w:val="0"/>
          <w:rtl/>
          <w:lang w:eastAsia="en-US"/>
        </w:rPr>
        <w:t xml:space="preserve"> </w:t>
      </w:r>
      <w:r w:rsidRPr="00EB31DA">
        <w:rPr>
          <w:rFonts w:ascii="Traditional Arabic" w:hAnsi="Traditional Arabic"/>
          <w:noProof w:val="0"/>
          <w:rtl/>
          <w:lang w:eastAsia="en-US"/>
        </w:rPr>
        <w:t>وإلا</w:t>
      </w:r>
      <w:r w:rsidRPr="00EB31DA">
        <w:rPr>
          <w:rFonts w:ascii="Traditional Arabic" w:hAnsi="Traditional Arabic" w:hint="cs"/>
          <w:noProof w:val="0"/>
          <w:rtl/>
          <w:lang w:eastAsia="en-US"/>
        </w:rPr>
        <w:t xml:space="preserve"> جعل</w:t>
      </w:r>
      <w:r w:rsidRPr="00EB31DA">
        <w:rPr>
          <w:rFonts w:ascii="Traditional Arabic" w:hAnsi="Traditional Arabic"/>
          <w:noProof w:val="0"/>
          <w:rtl/>
          <w:lang w:eastAsia="en-US"/>
        </w:rPr>
        <w:t>ها</w:t>
      </w:r>
      <w:r w:rsidRPr="00EB31DA">
        <w:rPr>
          <w:rFonts w:ascii="Traditional Arabic" w:hAnsi="Traditional Arabic" w:hint="cs"/>
          <w:noProof w:val="0"/>
          <w:rtl/>
          <w:lang w:eastAsia="en-US"/>
        </w:rPr>
        <w:t xml:space="preserve"> وديعةً عند</w:t>
      </w:r>
      <w:r w:rsidRPr="00EB31DA">
        <w:rPr>
          <w:rFonts w:ascii="Traditional Arabic" w:hAnsi="Traditional Arabic"/>
          <w:noProof w:val="0"/>
          <w:rtl/>
          <w:lang w:eastAsia="en-US"/>
        </w:rPr>
        <w:t xml:space="preserve"> ثقة</w:t>
      </w:r>
      <w:r>
        <w:rPr>
          <w:rFonts w:ascii="Traditional Arabic" w:hAnsi="Traditional Arabic" w:hint="cs"/>
          <w:noProof w:val="0"/>
          <w:rtl/>
          <w:lang w:eastAsia="en-US"/>
        </w:rPr>
        <w:t>.</w:t>
      </w:r>
    </w:p>
    <w:p w:rsidR="007A0DDE" w:rsidRDefault="007A0DDE" w:rsidP="00597C20">
      <w:pPr>
        <w:pStyle w:val="afc"/>
        <w:ind w:left="1080" w:firstLine="0"/>
        <w:rPr>
          <w:color w:val="auto"/>
          <w:rtl/>
        </w:rPr>
      </w:pPr>
      <w:r>
        <w:rPr>
          <w:rFonts w:ascii="Traditional Arabic" w:hAnsi="Traditional Arabic" w:hint="cs"/>
          <w:noProof w:val="0"/>
          <w:color w:val="auto"/>
          <w:rtl/>
          <w:lang w:eastAsia="en-US"/>
        </w:rPr>
        <w:t xml:space="preserve">فإن </w:t>
      </w:r>
      <w:r w:rsidRPr="000F0AA1">
        <w:rPr>
          <w:rFonts w:ascii="Traditional Arabic" w:hAnsi="Traditional Arabic"/>
          <w:noProof w:val="0"/>
          <w:color w:val="auto"/>
          <w:rtl/>
          <w:lang w:eastAsia="en-US"/>
        </w:rPr>
        <w:t>لم يجد ثقة يود</w:t>
      </w:r>
      <w:r>
        <w:rPr>
          <w:rFonts w:ascii="Traditional Arabic" w:hAnsi="Traditional Arabic" w:hint="cs"/>
          <w:noProof w:val="0"/>
          <w:color w:val="auto"/>
          <w:rtl/>
          <w:lang w:eastAsia="en-US"/>
        </w:rPr>
        <w:t>ِ</w:t>
      </w:r>
      <w:r w:rsidRPr="000F0AA1">
        <w:rPr>
          <w:rFonts w:ascii="Traditional Arabic" w:hAnsi="Traditional Arabic"/>
          <w:noProof w:val="0"/>
          <w:color w:val="auto"/>
          <w:rtl/>
          <w:lang w:eastAsia="en-US"/>
        </w:rPr>
        <w:t>ع</w:t>
      </w:r>
      <w:r>
        <w:rPr>
          <w:rFonts w:ascii="Traditional Arabic" w:hAnsi="Traditional Arabic" w:hint="cs"/>
          <w:noProof w:val="0"/>
          <w:color w:val="auto"/>
          <w:rtl/>
          <w:lang w:eastAsia="en-US"/>
        </w:rPr>
        <w:t>ُ</w:t>
      </w:r>
      <w:r w:rsidRPr="000F0AA1">
        <w:rPr>
          <w:rFonts w:ascii="Traditional Arabic" w:hAnsi="Traditional Arabic"/>
          <w:noProof w:val="0"/>
          <w:color w:val="auto"/>
          <w:rtl/>
          <w:lang w:eastAsia="en-US"/>
        </w:rPr>
        <w:t>ها عنده</w:t>
      </w:r>
      <w:r>
        <w:rPr>
          <w:rFonts w:ascii="Traditional Arabic" w:hAnsi="Traditional Arabic" w:hint="cs"/>
          <w:noProof w:val="0"/>
          <w:color w:val="auto"/>
          <w:rtl/>
          <w:lang w:eastAsia="en-US"/>
        </w:rPr>
        <w:t>،</w:t>
      </w:r>
      <w:r w:rsidR="00086E4F">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دفع</w:t>
      </w:r>
      <w:r w:rsidRPr="000F0AA1">
        <w:rPr>
          <w:rFonts w:ascii="Traditional Arabic" w:hAnsi="Traditional Arabic"/>
          <w:noProof w:val="0"/>
          <w:color w:val="auto"/>
          <w:rtl/>
          <w:lang w:eastAsia="en-US"/>
        </w:rPr>
        <w:t>ها</w:t>
      </w:r>
      <w:r w:rsidR="00086E4F">
        <w:rPr>
          <w:rFonts w:ascii="Traditional Arabic" w:hAnsi="Traditional Arabic" w:hint="cs"/>
          <w:noProof w:val="0"/>
          <w:color w:val="auto"/>
          <w:rtl/>
          <w:lang w:eastAsia="en-US"/>
        </w:rPr>
        <w:t xml:space="preserve"> </w:t>
      </w:r>
      <w:r>
        <w:rPr>
          <w:rFonts w:ascii="Traditional Arabic" w:hAnsi="Traditional Arabic" w:hint="cs"/>
          <w:noProof w:val="0"/>
          <w:color w:val="auto"/>
          <w:rtl/>
          <w:lang w:eastAsia="en-US"/>
        </w:rPr>
        <w:t xml:space="preserve">إلى </w:t>
      </w:r>
      <w:r w:rsidRPr="000F0AA1">
        <w:rPr>
          <w:rFonts w:ascii="Traditional Arabic" w:hAnsi="Traditional Arabic"/>
          <w:noProof w:val="0"/>
          <w:color w:val="auto"/>
          <w:rtl/>
          <w:lang w:eastAsia="en-US"/>
        </w:rPr>
        <w:t xml:space="preserve">الحاكم؛ لأن الحاكم ولي من ليس له </w:t>
      </w:r>
      <w:r w:rsidRPr="000F0AA1">
        <w:rPr>
          <w:rFonts w:ascii="Traditional Arabic" w:hAnsi="Traditional Arabic"/>
          <w:noProof w:val="0"/>
          <w:color w:val="auto"/>
          <w:rtl/>
          <w:lang w:eastAsia="en-US"/>
        </w:rPr>
        <w:lastRenderedPageBreak/>
        <w:t>ولي</w:t>
      </w:r>
      <w:r w:rsidRPr="00C821A1">
        <w:rPr>
          <w:rFonts w:ascii="Traditional Arabic" w:hAnsi="Traditional Arabic" w:hint="cs"/>
          <w:noProof w:val="0"/>
          <w:szCs w:val="32"/>
          <w:vertAlign w:val="superscript"/>
          <w:rtl/>
          <w:lang w:eastAsia="en-US"/>
        </w:rPr>
        <w:t>(</w:t>
      </w:r>
      <w:r w:rsidRPr="00C821A1">
        <w:rPr>
          <w:rStyle w:val="af1"/>
          <w:rFonts w:ascii="Traditional Arabic" w:hAnsi="Traditional Arabic"/>
          <w:noProof w:val="0"/>
          <w:szCs w:val="32"/>
          <w:rtl/>
          <w:lang w:eastAsia="en-US"/>
        </w:rPr>
        <w:footnoteReference w:id="2055"/>
      </w:r>
      <w:r w:rsidRPr="00C821A1">
        <w:rPr>
          <w:rFonts w:ascii="Traditional Arabic" w:hAnsi="Traditional Arabic" w:hint="cs"/>
          <w:noProof w:val="0"/>
          <w:szCs w:val="32"/>
          <w:vertAlign w:val="superscript"/>
          <w:rtl/>
          <w:lang w:eastAsia="en-US"/>
        </w:rPr>
        <w:t>)</w:t>
      </w:r>
      <w:r w:rsidRPr="00EB31DA">
        <w:rPr>
          <w:rFonts w:ascii="Traditional Arabic" w:hAnsi="Traditional Arabic" w:hint="cs"/>
          <w:noProof w:val="0"/>
          <w:rtl/>
          <w:lang w:eastAsia="en-US"/>
        </w:rPr>
        <w:t>.</w:t>
      </w:r>
    </w:p>
    <w:p w:rsidR="007A0DDE" w:rsidRDefault="007A0DDE" w:rsidP="00597C20">
      <w:pPr>
        <w:pStyle w:val="53"/>
        <w:rPr>
          <w:rtl/>
        </w:rPr>
      </w:pPr>
      <w:r>
        <w:rPr>
          <w:rFonts w:hint="cs"/>
          <w:rtl/>
        </w:rPr>
        <w:t>وجه اندراج الفرع تحت القاعدة:</w:t>
      </w:r>
    </w:p>
    <w:p w:rsidR="007A0DDE" w:rsidRDefault="007A0DDE" w:rsidP="00597C20">
      <w:pPr>
        <w:ind w:firstLine="720"/>
        <w:rPr>
          <w:color w:val="auto"/>
          <w:rtl/>
        </w:rPr>
      </w:pPr>
      <w:r w:rsidRPr="000E1D14">
        <w:rPr>
          <w:rFonts w:hint="cs"/>
          <w:color w:val="auto"/>
          <w:rtl/>
        </w:rPr>
        <w:t>لما تعذَّر على المودَع العثور على صاحب الوديعة، وتعذر عليه حَمْلُ الوديعة معه، أو</w:t>
      </w:r>
      <w:r w:rsidR="00086E4F">
        <w:rPr>
          <w:rFonts w:hint="cs"/>
          <w:color w:val="auto"/>
          <w:rtl/>
        </w:rPr>
        <w:t xml:space="preserve"> </w:t>
      </w:r>
      <w:r w:rsidRPr="000E1D14">
        <w:rPr>
          <w:rFonts w:hint="cs"/>
          <w:color w:val="auto"/>
          <w:rtl/>
        </w:rPr>
        <w:t>إبقاؤها عند ثقة، تعيَّن عليه دفعُها إلى الحاكم ليحفظها؛ لأن السلطان ولي من لا ولي له.</w:t>
      </w:r>
    </w:p>
    <w:p w:rsidR="007A0DDE" w:rsidRPr="00C85F0F" w:rsidRDefault="00D816CC" w:rsidP="000F5C0F">
      <w:pPr>
        <w:pStyle w:val="aff2"/>
        <w:rPr>
          <w:rtl/>
        </w:rPr>
      </w:pPr>
      <w:bookmarkStart w:id="446" w:name="_Toc334046620"/>
      <w:r w:rsidRPr="00D816CC">
        <w:rPr>
          <w:rFonts w:hint="cs"/>
          <w:rtl/>
        </w:rPr>
        <w:lastRenderedPageBreak/>
        <w:t>المبحث العاشر</w:t>
      </w:r>
      <w:r>
        <w:rPr>
          <w:rFonts w:hint="eastAsia"/>
          <w:rtl/>
        </w:rPr>
        <w:t> </w:t>
      </w:r>
      <w:r w:rsidRPr="00D816CC">
        <w:rPr>
          <w:rFonts w:hint="cs"/>
          <w:rtl/>
        </w:rPr>
        <w:t>:</w:t>
      </w:r>
      <w:r>
        <w:rPr>
          <w:rtl/>
        </w:rPr>
        <w:br/>
      </w:r>
      <w:r w:rsidRPr="00D816CC">
        <w:rPr>
          <w:rFonts w:hint="cs"/>
          <w:rtl/>
        </w:rPr>
        <w:t>قاعدة</w:t>
      </w:r>
      <w:r w:rsidR="00CA1ECF">
        <w:rPr>
          <w:rtl/>
        </w:rPr>
        <w:br/>
      </w:r>
      <w:r w:rsidR="007A0DDE">
        <w:rPr>
          <w:rFonts w:hint="cs"/>
          <w:rtl/>
        </w:rPr>
        <w:t>"</w:t>
      </w:r>
      <w:r w:rsidR="007A0DDE">
        <w:rPr>
          <w:rtl/>
        </w:rPr>
        <w:t>الأ</w:t>
      </w:r>
      <w:r w:rsidR="00B47ECB">
        <w:rPr>
          <w:rFonts w:hint="cs"/>
          <w:rtl/>
        </w:rPr>
        <w:t>عيان</w:t>
      </w:r>
      <w:r w:rsidR="007A0DDE">
        <w:rPr>
          <w:rtl/>
        </w:rPr>
        <w:t xml:space="preserve"> التي</w:t>
      </w:r>
      <w:r w:rsidR="007A0DDE">
        <w:rPr>
          <w:rFonts w:hint="cs"/>
          <w:rtl/>
        </w:rPr>
        <w:t xml:space="preserve"> ت</w:t>
      </w:r>
      <w:r w:rsidR="00B47ECB">
        <w:rPr>
          <w:rFonts w:hint="cs"/>
          <w:rtl/>
        </w:rPr>
        <w:t>حدث</w:t>
      </w:r>
      <w:r w:rsidR="007A0DDE">
        <w:rPr>
          <w:rtl/>
        </w:rPr>
        <w:t xml:space="preserve"> شيئا فشيئ</w:t>
      </w:r>
      <w:r w:rsidR="00FB45BC">
        <w:rPr>
          <w:rFonts w:hint="cs"/>
          <w:rtl/>
        </w:rPr>
        <w:t>ا</w:t>
      </w:r>
      <w:r w:rsidR="004451CE">
        <w:rPr>
          <w:rFonts w:hint="cs"/>
          <w:rtl/>
        </w:rPr>
        <w:t xml:space="preserve"> </w:t>
      </w:r>
      <w:r w:rsidR="00B47ECB">
        <w:rPr>
          <w:rFonts w:hint="cs"/>
          <w:rtl/>
        </w:rPr>
        <w:t>ك</w:t>
      </w:r>
      <w:r w:rsidR="007A0DDE" w:rsidRPr="00BE7202">
        <w:rPr>
          <w:rtl/>
        </w:rPr>
        <w:t>المنافع</w:t>
      </w:r>
      <w:r w:rsidR="00AB0B9E" w:rsidRPr="00C85F0F">
        <w:rPr>
          <w:rtl/>
        </w:rPr>
        <w:fldChar w:fldCharType="begin"/>
      </w:r>
      <w:r w:rsidR="003504FF" w:rsidRPr="00C85F0F">
        <w:instrText>XE</w:instrText>
      </w:r>
      <w:r w:rsidR="003504FF" w:rsidRPr="00C85F0F">
        <w:rPr>
          <w:rtl/>
        </w:rPr>
        <w:instrText xml:space="preserve"> "</w:instrText>
      </w:r>
      <w:r w:rsidR="003504FF" w:rsidRPr="00C85F0F">
        <w:rPr>
          <w:rFonts w:hint="cs"/>
          <w:rtl/>
        </w:rPr>
        <w:instrText>الأعيانالتيتحدثشيئافشيئا</w:instrText>
      </w:r>
      <w:r w:rsidR="003504FF" w:rsidRPr="00C85F0F">
        <w:rPr>
          <w:rtl/>
        </w:rPr>
        <w:instrText>[</w:instrText>
      </w:r>
      <w:r w:rsidR="003504FF" w:rsidRPr="00C85F0F">
        <w:rPr>
          <w:rFonts w:hint="cs"/>
          <w:rtl/>
        </w:rPr>
        <w:instrText>معبقاءأصلها</w:instrText>
      </w:r>
      <w:r w:rsidR="003504FF" w:rsidRPr="00C85F0F">
        <w:rPr>
          <w:rtl/>
        </w:rPr>
        <w:instrText xml:space="preserve">] </w:instrText>
      </w:r>
      <w:r w:rsidR="003504FF" w:rsidRPr="00C85F0F">
        <w:rPr>
          <w:rFonts w:hint="cs"/>
          <w:rtl/>
        </w:rPr>
        <w:instrText>كالمنافع</w:instrText>
      </w:r>
      <w:r w:rsidR="003504FF" w:rsidRPr="00C85F0F">
        <w:rPr>
          <w:rtl/>
        </w:rPr>
        <w:instrText>"\</w:instrText>
      </w:r>
      <w:r w:rsidR="003504FF" w:rsidRPr="00C85F0F">
        <w:rPr>
          <w:rFonts w:cs="Arial"/>
        </w:rPr>
        <w:instrText>fq</w:instrText>
      </w:r>
      <w:r w:rsidR="003504FF" w:rsidRPr="00C85F0F">
        <w:rPr>
          <w:rtl/>
        </w:rPr>
        <w:instrText xml:space="preserve">" </w:instrText>
      </w:r>
      <w:r w:rsidR="00AB0B9E" w:rsidRPr="00C85F0F">
        <w:rPr>
          <w:rtl/>
        </w:rPr>
        <w:fldChar w:fldCharType="end"/>
      </w:r>
      <w:r w:rsidR="007A0DDE" w:rsidRPr="00C85F0F">
        <w:rPr>
          <w:rFonts w:hint="cs"/>
          <w:rtl/>
        </w:rPr>
        <w:t>"</w:t>
      </w:r>
      <w:r w:rsidR="007A0DDE" w:rsidRPr="00C85F0F">
        <w:rPr>
          <w:rStyle w:val="af1"/>
          <w:b w:val="0"/>
          <w:bCs w:val="0"/>
          <w:szCs w:val="32"/>
          <w:rtl/>
        </w:rPr>
        <w:t>(</w:t>
      </w:r>
      <w:r w:rsidR="007A0DDE" w:rsidRPr="00C85F0F">
        <w:rPr>
          <w:rStyle w:val="af1"/>
          <w:b w:val="0"/>
          <w:bCs w:val="0"/>
          <w:szCs w:val="32"/>
          <w:rtl/>
        </w:rPr>
        <w:footnoteReference w:id="2056"/>
      </w:r>
      <w:r w:rsidR="007A0DDE" w:rsidRPr="00C85F0F">
        <w:rPr>
          <w:rStyle w:val="af1"/>
          <w:b w:val="0"/>
          <w:bCs w:val="0"/>
          <w:szCs w:val="32"/>
          <w:rtl/>
        </w:rPr>
        <w:t>)</w:t>
      </w:r>
      <w:bookmarkEnd w:id="446"/>
    </w:p>
    <w:p w:rsidR="007A0DDE" w:rsidRPr="00C85F0F" w:rsidRDefault="00FB45BC" w:rsidP="00A8347C">
      <w:pPr>
        <w:pStyle w:val="aff3"/>
        <w:rPr>
          <w:rtl/>
        </w:rPr>
      </w:pPr>
      <w:bookmarkStart w:id="447" w:name="_Toc334046621"/>
      <w:r>
        <w:rPr>
          <w:rFonts w:hint="cs"/>
          <w:rtl/>
        </w:rPr>
        <w:t xml:space="preserve">     </w:t>
      </w:r>
      <w:r w:rsidR="00086E4F">
        <w:rPr>
          <w:rFonts w:hint="cs"/>
          <w:rtl/>
        </w:rPr>
        <w:t xml:space="preserve">                  </w:t>
      </w:r>
      <w:r>
        <w:rPr>
          <w:rFonts w:hint="cs"/>
          <w:rtl/>
        </w:rPr>
        <w:t xml:space="preserve">                  </w:t>
      </w:r>
      <w:r w:rsidR="007A0DDE" w:rsidRPr="00C85F0F">
        <w:rPr>
          <w:rFonts w:hint="cs"/>
          <w:rtl/>
        </w:rPr>
        <w:t>المطلب الأول</w:t>
      </w:r>
      <w:r w:rsidR="007A0DDE" w:rsidRPr="00C85F0F">
        <w:rPr>
          <w:rFonts w:hint="eastAsia"/>
          <w:rtl/>
        </w:rPr>
        <w:t> :</w:t>
      </w:r>
      <w:r w:rsidR="007A0DDE" w:rsidRPr="00C85F0F">
        <w:rPr>
          <w:rFonts w:hint="cs"/>
          <w:rtl/>
        </w:rPr>
        <w:br/>
      </w:r>
      <w:r>
        <w:rPr>
          <w:rFonts w:hint="cs"/>
          <w:rtl/>
        </w:rPr>
        <w:t xml:space="preserve">                </w:t>
      </w:r>
      <w:r w:rsidR="00086E4F">
        <w:rPr>
          <w:rFonts w:hint="cs"/>
          <w:rtl/>
        </w:rPr>
        <w:t xml:space="preserve">     </w:t>
      </w:r>
      <w:r w:rsidR="00EF605B">
        <w:rPr>
          <w:rFonts w:hint="cs"/>
          <w:rtl/>
        </w:rPr>
        <w:t xml:space="preserve">  </w:t>
      </w:r>
      <w:r w:rsidR="007A0DDE" w:rsidRPr="00C85F0F">
        <w:rPr>
          <w:rFonts w:hint="cs"/>
          <w:rtl/>
        </w:rPr>
        <w:t>صيغ القاعدة عند الشيخ وعند علماء القواعد</w:t>
      </w:r>
      <w:bookmarkEnd w:id="447"/>
    </w:p>
    <w:p w:rsidR="007A0DDE" w:rsidRPr="00C85F0F" w:rsidRDefault="00B47ECB" w:rsidP="00086E4F">
      <w:pPr>
        <w:ind w:firstLine="0"/>
        <w:rPr>
          <w:color w:val="auto"/>
          <w:rtl/>
        </w:rPr>
      </w:pPr>
      <w:r>
        <w:rPr>
          <w:rFonts w:hint="cs"/>
          <w:color w:val="auto"/>
          <w:rtl/>
        </w:rPr>
        <w:t xml:space="preserve">    </w:t>
      </w:r>
      <w:r w:rsidR="007A0DDE" w:rsidRPr="00C85F0F">
        <w:rPr>
          <w:rFonts w:hint="cs"/>
          <w:color w:val="auto"/>
          <w:rtl/>
        </w:rPr>
        <w:t xml:space="preserve">وردت هذه القاعدة عند الشيخ ابن عثيمين </w:t>
      </w:r>
      <w:r w:rsidR="00086E4F">
        <w:rPr>
          <w:rFonts w:hint="cs"/>
          <w:color w:val="auto"/>
          <w:rtl/>
        </w:rPr>
        <w:t>_</w:t>
      </w:r>
      <w:r w:rsidR="009A0575" w:rsidRPr="005D5694">
        <w:rPr>
          <w:rFonts w:ascii="Traditional Arabic" w:hAnsi="Traditional Arabic" w:cs="CTraditional Arabic" w:hint="cs"/>
          <w:rtl/>
        </w:rPr>
        <w:t>/</w:t>
      </w:r>
      <w:r w:rsidR="00086E4F">
        <w:rPr>
          <w:rFonts w:hint="cs"/>
          <w:color w:val="auto"/>
          <w:rtl/>
        </w:rPr>
        <w:t>_</w:t>
      </w:r>
      <w:r w:rsidR="007A0DDE" w:rsidRPr="00C85F0F">
        <w:rPr>
          <w:rFonts w:hint="cs"/>
          <w:color w:val="auto"/>
          <w:rtl/>
        </w:rPr>
        <w:t xml:space="preserve"> بعدة صيغ، ومنها:</w:t>
      </w:r>
    </w:p>
    <w:p w:rsidR="007A0DDE" w:rsidRPr="00C85F0F" w:rsidRDefault="007A0DDE" w:rsidP="000A76C7">
      <w:pPr>
        <w:numPr>
          <w:ilvl w:val="0"/>
          <w:numId w:val="279"/>
        </w:numPr>
        <w:rPr>
          <w:color w:val="auto"/>
        </w:rPr>
      </w:pPr>
      <w:r w:rsidRPr="00C85F0F">
        <w:rPr>
          <w:rFonts w:hint="cs"/>
          <w:color w:val="auto"/>
          <w:rtl/>
        </w:rPr>
        <w:t xml:space="preserve">الأجزاء </w:t>
      </w:r>
      <w:r w:rsidRPr="00C85F0F">
        <w:rPr>
          <w:rFonts w:ascii="Traditional Arabic" w:hAnsi="Traditional Arabic"/>
          <w:noProof w:val="0"/>
          <w:color w:val="auto"/>
          <w:rtl/>
          <w:lang w:eastAsia="en-US"/>
        </w:rPr>
        <w:t>التي تتول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 وت</w:t>
      </w:r>
      <w:r w:rsidR="00086E4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w:t>
      </w:r>
      <w:r w:rsidR="00086E4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تاب</w:t>
      </w:r>
      <w:r w:rsidR="00086E4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شيئا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فشيئا بمنزلة المنافع</w:t>
      </w:r>
      <w:r w:rsidRPr="00C85F0F">
        <w:rPr>
          <w:rStyle w:val="af1"/>
          <w:szCs w:val="32"/>
          <w:rtl/>
        </w:rPr>
        <w:t>(</w:t>
      </w:r>
      <w:r w:rsidRPr="00C85F0F">
        <w:rPr>
          <w:rStyle w:val="af1"/>
          <w:szCs w:val="32"/>
          <w:rtl/>
        </w:rPr>
        <w:footnoteReference w:id="2057"/>
      </w:r>
      <w:r w:rsidRPr="00C85F0F">
        <w:rPr>
          <w:rStyle w:val="af1"/>
          <w:szCs w:val="32"/>
          <w:rtl/>
        </w:rPr>
        <w:t>)</w:t>
      </w:r>
      <w:r w:rsidRPr="00C85F0F">
        <w:rPr>
          <w:rFonts w:hint="cs"/>
          <w:color w:val="auto"/>
          <w:rtl/>
        </w:rPr>
        <w:t>.</w:t>
      </w:r>
    </w:p>
    <w:p w:rsidR="007A0DDE" w:rsidRPr="00C85F0F" w:rsidRDefault="007A0DDE" w:rsidP="000A76C7">
      <w:pPr>
        <w:numPr>
          <w:ilvl w:val="0"/>
          <w:numId w:val="279"/>
        </w:numPr>
        <w:rPr>
          <w:color w:val="auto"/>
        </w:rPr>
      </w:pPr>
      <w:r w:rsidRPr="00C85F0F">
        <w:rPr>
          <w:rFonts w:ascii="Traditional Arabic" w:hAnsi="Traditional Arabic"/>
          <w:noProof w:val="0"/>
          <w:color w:val="auto"/>
          <w:rtl/>
          <w:lang w:eastAsia="en-US"/>
        </w:rPr>
        <w:t>الأعيان التي تأتي شيئا فشيئا بمنزلة المنافع</w:t>
      </w:r>
      <w:r w:rsidRPr="00C85F0F">
        <w:rPr>
          <w:rStyle w:val="af1"/>
          <w:szCs w:val="32"/>
          <w:rtl/>
        </w:rPr>
        <w:t>(</w:t>
      </w:r>
      <w:r w:rsidRPr="00C85F0F">
        <w:rPr>
          <w:rStyle w:val="af1"/>
          <w:szCs w:val="32"/>
          <w:rtl/>
        </w:rPr>
        <w:footnoteReference w:id="2058"/>
      </w:r>
      <w:r w:rsidRPr="00C85F0F">
        <w:rPr>
          <w:rStyle w:val="af1"/>
          <w:szCs w:val="32"/>
          <w:rtl/>
        </w:rPr>
        <w:t>)</w:t>
      </w:r>
      <w:r w:rsidRPr="00C85F0F">
        <w:rPr>
          <w:rFonts w:hint="cs"/>
          <w:color w:val="auto"/>
          <w:rtl/>
        </w:rPr>
        <w:t>.</w:t>
      </w:r>
    </w:p>
    <w:p w:rsidR="007A0DDE" w:rsidRPr="00C85F0F" w:rsidRDefault="007A0DDE" w:rsidP="000A76C7">
      <w:pPr>
        <w:numPr>
          <w:ilvl w:val="0"/>
          <w:numId w:val="279"/>
        </w:numPr>
        <w:rPr>
          <w:color w:val="auto"/>
        </w:rPr>
      </w:pPr>
      <w:r w:rsidRPr="00C85F0F">
        <w:rPr>
          <w:rFonts w:hint="cs"/>
          <w:color w:val="auto"/>
          <w:rtl/>
        </w:rPr>
        <w:t>الأعيان التي يَخْلُف بعضُها بعضاً بمنزلة المنافع</w:t>
      </w:r>
      <w:r w:rsidRPr="00C85F0F">
        <w:rPr>
          <w:rStyle w:val="af1"/>
          <w:szCs w:val="32"/>
          <w:rtl/>
        </w:rPr>
        <w:t>(</w:t>
      </w:r>
      <w:r w:rsidRPr="00C85F0F">
        <w:rPr>
          <w:rStyle w:val="af1"/>
          <w:szCs w:val="32"/>
          <w:rtl/>
        </w:rPr>
        <w:footnoteReference w:id="2059"/>
      </w:r>
      <w:r w:rsidRPr="00C85F0F">
        <w:rPr>
          <w:rStyle w:val="af1"/>
          <w:szCs w:val="32"/>
          <w:rtl/>
        </w:rPr>
        <w:t>)</w:t>
      </w:r>
      <w:r w:rsidRPr="00C85F0F">
        <w:rPr>
          <w:rFonts w:hint="cs"/>
          <w:color w:val="auto"/>
          <w:rtl/>
        </w:rPr>
        <w:t>.</w:t>
      </w:r>
    </w:p>
    <w:p w:rsidR="00065E4B" w:rsidRPr="00C85F0F" w:rsidRDefault="007A0DDE" w:rsidP="000A76C7">
      <w:pPr>
        <w:numPr>
          <w:ilvl w:val="0"/>
          <w:numId w:val="279"/>
        </w:numPr>
        <w:rPr>
          <w:color w:val="auto"/>
        </w:rPr>
      </w:pPr>
      <w:r w:rsidRPr="00C85F0F">
        <w:rPr>
          <w:rFonts w:hint="cs"/>
          <w:color w:val="auto"/>
          <w:rtl/>
        </w:rPr>
        <w:t>الأعيان التي تحدُث شيئا فشيئا كالمنافع</w:t>
      </w:r>
      <w:r w:rsidRPr="00C85F0F">
        <w:rPr>
          <w:rStyle w:val="af1"/>
          <w:szCs w:val="32"/>
          <w:rtl/>
        </w:rPr>
        <w:t>(</w:t>
      </w:r>
      <w:r w:rsidRPr="00C85F0F">
        <w:rPr>
          <w:rStyle w:val="af1"/>
          <w:szCs w:val="32"/>
          <w:rtl/>
        </w:rPr>
        <w:footnoteReference w:id="2060"/>
      </w:r>
      <w:r w:rsidRPr="00C85F0F">
        <w:rPr>
          <w:rStyle w:val="af1"/>
          <w:szCs w:val="32"/>
          <w:rtl/>
        </w:rPr>
        <w:t>)</w:t>
      </w:r>
      <w:r w:rsidRPr="00C85F0F">
        <w:rPr>
          <w:rFonts w:hint="cs"/>
          <w:color w:val="auto"/>
          <w:rtl/>
        </w:rPr>
        <w:t>.</w:t>
      </w:r>
    </w:p>
    <w:p w:rsidR="007A0DDE" w:rsidRPr="00C85F0F" w:rsidRDefault="00B47ECB" w:rsidP="00597C20">
      <w:pPr>
        <w:ind w:firstLine="0"/>
        <w:rPr>
          <w:color w:val="auto"/>
          <w:rtl/>
        </w:rPr>
      </w:pPr>
      <w:r>
        <w:rPr>
          <w:rFonts w:hint="cs"/>
          <w:color w:val="auto"/>
          <w:rtl/>
        </w:rPr>
        <w:t xml:space="preserve">    </w:t>
      </w:r>
      <w:r w:rsidR="00065E4B" w:rsidRPr="00C85F0F">
        <w:rPr>
          <w:rFonts w:hint="cs"/>
          <w:color w:val="auto"/>
          <w:rtl/>
        </w:rPr>
        <w:t>و</w:t>
      </w:r>
      <w:r w:rsidR="007A0DDE" w:rsidRPr="00C85F0F">
        <w:rPr>
          <w:rFonts w:hint="cs"/>
          <w:color w:val="auto"/>
          <w:rtl/>
        </w:rPr>
        <w:t xml:space="preserve">وردت </w:t>
      </w:r>
      <w:r w:rsidR="00FB45BC">
        <w:rPr>
          <w:rFonts w:hint="cs"/>
          <w:color w:val="auto"/>
          <w:rtl/>
        </w:rPr>
        <w:t>هذه القاعدة عند علماء القواعد بعدة صيغ، منها</w:t>
      </w:r>
      <w:r w:rsidR="007A0DDE" w:rsidRPr="00C85F0F">
        <w:rPr>
          <w:rFonts w:hint="cs"/>
          <w:color w:val="auto"/>
          <w:rtl/>
        </w:rPr>
        <w:t>:</w:t>
      </w:r>
    </w:p>
    <w:p w:rsidR="007A0DDE" w:rsidRPr="00C85F0F" w:rsidRDefault="007A0DDE" w:rsidP="000A76C7">
      <w:pPr>
        <w:pStyle w:val="afc"/>
        <w:numPr>
          <w:ilvl w:val="0"/>
          <w:numId w:val="281"/>
        </w:numPr>
        <w:rPr>
          <w:color w:val="auto"/>
        </w:rPr>
      </w:pPr>
      <w:r w:rsidRPr="00C85F0F">
        <w:rPr>
          <w:rFonts w:ascii="Traditional Arabic" w:hAnsi="Traditional Arabic"/>
          <w:noProof w:val="0"/>
          <w:color w:val="auto"/>
          <w:rtl/>
          <w:lang w:eastAsia="en-US"/>
        </w:rPr>
        <w:t>الأعيان التي تحد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ث شيئا بعد شيء مع بقاء أصلها حكم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 حكم</w:t>
      </w:r>
      <w:r w:rsidRPr="00C85F0F">
        <w:rPr>
          <w:rFonts w:ascii="Traditional Arabic" w:hAnsi="Traditional Arabic" w:hint="cs"/>
          <w:noProof w:val="0"/>
          <w:color w:val="auto"/>
          <w:rtl/>
          <w:lang w:eastAsia="en-US"/>
        </w:rPr>
        <w:t>ُ</w:t>
      </w:r>
      <w:r w:rsidR="00086E4F">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المنافع</w:t>
      </w:r>
      <w:r w:rsidRPr="00C85F0F">
        <w:rPr>
          <w:rStyle w:val="af1"/>
          <w:szCs w:val="32"/>
          <w:rtl/>
        </w:rPr>
        <w:t>(</w:t>
      </w:r>
      <w:r w:rsidRPr="00C85F0F">
        <w:rPr>
          <w:rStyle w:val="af1"/>
          <w:szCs w:val="32"/>
          <w:rtl/>
        </w:rPr>
        <w:footnoteReference w:id="2061"/>
      </w:r>
      <w:r w:rsidRPr="00C85F0F">
        <w:rPr>
          <w:rStyle w:val="af1"/>
          <w:szCs w:val="32"/>
          <w:rtl/>
        </w:rPr>
        <w:t>)</w:t>
      </w:r>
      <w:r w:rsidRPr="00C85F0F">
        <w:rPr>
          <w:rFonts w:hint="cs"/>
          <w:color w:val="auto"/>
          <w:rtl/>
        </w:rPr>
        <w:t>.</w:t>
      </w:r>
    </w:p>
    <w:p w:rsidR="007A0DDE" w:rsidRPr="00C85F0F" w:rsidRDefault="007A0DDE" w:rsidP="000A76C7">
      <w:pPr>
        <w:pStyle w:val="afc"/>
        <w:numPr>
          <w:ilvl w:val="0"/>
          <w:numId w:val="281"/>
        </w:numPr>
        <w:rPr>
          <w:color w:val="auto"/>
          <w:rtl/>
        </w:rPr>
      </w:pPr>
      <w:r w:rsidRPr="00C85F0F">
        <w:rPr>
          <w:rFonts w:ascii="Traditional Arabic" w:hAnsi="Traditional Arabic"/>
          <w:noProof w:val="0"/>
          <w:color w:val="auto"/>
          <w:rtl/>
          <w:lang w:eastAsia="en-US"/>
        </w:rPr>
        <w:t>الف</w:t>
      </w:r>
      <w:r w:rsidRPr="00C85F0F">
        <w:rPr>
          <w:rFonts w:ascii="Traditional Arabic" w:hAnsi="Traditional Arabic" w:hint="cs"/>
          <w:noProof w:val="0"/>
          <w:color w:val="auto"/>
          <w:rtl/>
          <w:lang w:eastAsia="en-US"/>
        </w:rPr>
        <w:t>و</w:t>
      </w:r>
      <w:r w:rsidRPr="00C85F0F">
        <w:rPr>
          <w:rFonts w:ascii="Traditional Arabic" w:hAnsi="Traditional Arabic"/>
          <w:noProof w:val="0"/>
          <w:color w:val="auto"/>
          <w:rtl/>
          <w:lang w:eastAsia="en-US"/>
        </w:rPr>
        <w:t>ائد التي 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ستخل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 مع بقاء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أصلها تجري مجرى المن</w:t>
      </w:r>
      <w:r w:rsidRPr="00C85F0F">
        <w:rPr>
          <w:rFonts w:ascii="Traditional Arabic" w:hAnsi="Traditional Arabic" w:hint="cs"/>
          <w:noProof w:val="0"/>
          <w:color w:val="auto"/>
          <w:rtl/>
          <w:lang w:eastAsia="en-US"/>
        </w:rPr>
        <w:t>ا</w:t>
      </w:r>
      <w:r w:rsidRPr="00C85F0F">
        <w:rPr>
          <w:rFonts w:ascii="Traditional Arabic" w:hAnsi="Traditional Arabic"/>
          <w:noProof w:val="0"/>
          <w:color w:val="auto"/>
          <w:rtl/>
          <w:lang w:eastAsia="en-US"/>
        </w:rPr>
        <w:t>فع</w:t>
      </w:r>
      <w:r w:rsidRPr="00C85F0F">
        <w:rPr>
          <w:rStyle w:val="af1"/>
          <w:szCs w:val="32"/>
          <w:rtl/>
        </w:rPr>
        <w:t>(</w:t>
      </w:r>
      <w:r w:rsidRPr="00C85F0F">
        <w:rPr>
          <w:rStyle w:val="af1"/>
          <w:szCs w:val="32"/>
          <w:rtl/>
        </w:rPr>
        <w:footnoteReference w:id="2062"/>
      </w:r>
      <w:r w:rsidRPr="00C85F0F">
        <w:rPr>
          <w:rStyle w:val="af1"/>
          <w:szCs w:val="32"/>
          <w:rtl/>
        </w:rPr>
        <w:t>)</w:t>
      </w:r>
      <w:r w:rsidRPr="00C85F0F">
        <w:rPr>
          <w:rFonts w:ascii="Traditional Arabic" w:hAnsi="Traditional Arabic"/>
          <w:noProof w:val="0"/>
          <w:color w:val="auto"/>
          <w:rtl/>
          <w:lang w:eastAsia="en-US"/>
        </w:rPr>
        <w:t>.</w:t>
      </w:r>
    </w:p>
    <w:p w:rsidR="007A0DDE" w:rsidRPr="00C85F0F" w:rsidRDefault="007A0DDE" w:rsidP="000A76C7">
      <w:pPr>
        <w:pStyle w:val="afc"/>
        <w:numPr>
          <w:ilvl w:val="0"/>
          <w:numId w:val="280"/>
        </w:numPr>
        <w:rPr>
          <w:color w:val="auto"/>
        </w:rPr>
      </w:pPr>
      <w:r w:rsidRPr="00C85F0F">
        <w:rPr>
          <w:rFonts w:hint="cs"/>
          <w:color w:val="auto"/>
          <w:rtl/>
        </w:rPr>
        <w:t>الأعيان التي تحدُث شيئا فشيئا مع بقاء أصلها حكمها حكم المنافع</w:t>
      </w:r>
      <w:r w:rsidRPr="00C85F0F">
        <w:rPr>
          <w:rStyle w:val="af1"/>
          <w:szCs w:val="32"/>
          <w:rtl/>
        </w:rPr>
        <w:t>(</w:t>
      </w:r>
      <w:r w:rsidRPr="00C85F0F">
        <w:rPr>
          <w:rStyle w:val="af1"/>
          <w:szCs w:val="32"/>
          <w:rtl/>
        </w:rPr>
        <w:footnoteReference w:id="2063"/>
      </w:r>
      <w:r w:rsidRPr="00C85F0F">
        <w:rPr>
          <w:rStyle w:val="af1"/>
          <w:szCs w:val="32"/>
          <w:rtl/>
        </w:rPr>
        <w:t>)</w:t>
      </w:r>
      <w:r w:rsidRPr="00C85F0F">
        <w:rPr>
          <w:rFonts w:hint="cs"/>
          <w:color w:val="auto"/>
          <w:rtl/>
        </w:rPr>
        <w:t>.</w:t>
      </w:r>
    </w:p>
    <w:p w:rsidR="007A0DDE" w:rsidRPr="00C85F0F" w:rsidRDefault="00B47ECB" w:rsidP="00A8347C">
      <w:pPr>
        <w:pStyle w:val="aff3"/>
        <w:rPr>
          <w:rtl/>
        </w:rPr>
      </w:pPr>
      <w:bookmarkStart w:id="448" w:name="_Toc334046622"/>
      <w:r>
        <w:rPr>
          <w:rFonts w:hint="cs"/>
          <w:rtl/>
        </w:rPr>
        <w:lastRenderedPageBreak/>
        <w:t xml:space="preserve">                                          </w:t>
      </w:r>
      <w:r w:rsidR="007A0DDE" w:rsidRPr="00C85F0F">
        <w:rPr>
          <w:rFonts w:hint="cs"/>
          <w:rtl/>
        </w:rPr>
        <w:t>المطلب الثاني</w:t>
      </w:r>
      <w:r w:rsidR="007A0DDE" w:rsidRPr="00C85F0F">
        <w:rPr>
          <w:rFonts w:hint="eastAsia"/>
          <w:rtl/>
        </w:rPr>
        <w:t> :</w:t>
      </w:r>
      <w:r w:rsidR="007A0DDE" w:rsidRPr="00C85F0F">
        <w:rPr>
          <w:rFonts w:hint="cs"/>
          <w:rtl/>
        </w:rPr>
        <w:br/>
      </w:r>
      <w:r>
        <w:rPr>
          <w:rFonts w:hint="cs"/>
          <w:rtl/>
        </w:rPr>
        <w:t xml:space="preserve">                                           </w:t>
      </w:r>
      <w:r w:rsidR="007A0DDE" w:rsidRPr="00C85F0F">
        <w:rPr>
          <w:rFonts w:hint="cs"/>
          <w:rtl/>
        </w:rPr>
        <w:t>شرح القاعدة</w:t>
      </w:r>
      <w:bookmarkEnd w:id="448"/>
    </w:p>
    <w:p w:rsidR="000E1D14" w:rsidRPr="00C85F0F" w:rsidRDefault="007A0DDE" w:rsidP="00597C20">
      <w:pPr>
        <w:pStyle w:val="53"/>
        <w:rPr>
          <w:rtl/>
        </w:rPr>
      </w:pPr>
      <w:r w:rsidRPr="00C85F0F">
        <w:rPr>
          <w:rFonts w:hint="cs"/>
          <w:rtl/>
        </w:rPr>
        <w:t>المنافع</w:t>
      </w:r>
      <w:r w:rsidR="00AB0B9E">
        <w:rPr>
          <w:rtl/>
        </w:rPr>
        <w:fldChar w:fldCharType="begin"/>
      </w:r>
      <w:r w:rsidR="006E1F02">
        <w:instrText xml:space="preserve"> XE "</w:instrText>
      </w:r>
      <w:r w:rsidR="006E1F02" w:rsidRPr="006E1F02">
        <w:rPr>
          <w:rFonts w:hint="cs"/>
          <w:b w:val="0"/>
          <w:bCs w:val="0"/>
          <w:rtl/>
        </w:rPr>
        <w:instrText>المنافع</w:instrText>
      </w:r>
      <w:r w:rsidR="006E1F02">
        <w:instrText xml:space="preserve">" </w:instrText>
      </w:r>
      <w:r w:rsidR="006E1F02" w:rsidRPr="006E1F02">
        <w:instrText xml:space="preserve">\fm </w:instrText>
      </w:r>
      <w:r w:rsidR="00AB0B9E">
        <w:rPr>
          <w:rtl/>
        </w:rPr>
        <w:fldChar w:fldCharType="end"/>
      </w:r>
      <w:r w:rsidRPr="00C85F0F">
        <w:rPr>
          <w:rFonts w:hint="cs"/>
          <w:rtl/>
        </w:rPr>
        <w:t xml:space="preserve"> لغة:</w:t>
      </w:r>
    </w:p>
    <w:p w:rsidR="00065E4B" w:rsidRPr="00C85F0F" w:rsidRDefault="007A0DDE" w:rsidP="00597C20">
      <w:pPr>
        <w:ind w:firstLine="720"/>
        <w:rPr>
          <w:color w:val="auto"/>
          <w:rtl/>
        </w:rPr>
      </w:pPr>
      <w:r w:rsidRPr="00C85F0F">
        <w:rPr>
          <w:rFonts w:hint="cs"/>
          <w:color w:val="auto"/>
          <w:rtl/>
        </w:rPr>
        <w:t xml:space="preserve">جمع منفعة.يقول  ابن فارس </w:t>
      </w:r>
      <w:r w:rsidR="00842B7B">
        <w:rPr>
          <w:rFonts w:hint="cs"/>
          <w:color w:val="auto"/>
          <w:rtl/>
        </w:rPr>
        <w:t>_</w:t>
      </w:r>
      <w:r w:rsidR="009A0575" w:rsidRPr="005D5694">
        <w:rPr>
          <w:rFonts w:ascii="Traditional Arabic" w:hAnsi="Traditional Arabic" w:cs="CTraditional Arabic" w:hint="cs"/>
          <w:rtl/>
        </w:rPr>
        <w:t>/</w:t>
      </w:r>
      <w:r w:rsidR="00842B7B">
        <w:rPr>
          <w:rFonts w:hint="cs"/>
          <w:color w:val="auto"/>
          <w:rtl/>
        </w:rPr>
        <w:t>_</w:t>
      </w:r>
      <w:r w:rsidRPr="00C85F0F">
        <w:rPr>
          <w:rFonts w:hint="cs"/>
          <w:color w:val="auto"/>
          <w:rtl/>
        </w:rPr>
        <w:t>: (</w:t>
      </w:r>
      <w:r w:rsidRPr="00C85F0F">
        <w:rPr>
          <w:rFonts w:ascii="Traditional Arabic" w:hAnsi="Traditional Arabic"/>
          <w:noProof w:val="0"/>
          <w:rtl/>
          <w:lang w:eastAsia="en-US"/>
        </w:rPr>
        <w:t>النون والفاء والعين: كلمة تدل على خلاف الضر. ونفعه ينفعه نفعا ومنفعة. وانتفع بكذا</w:t>
      </w:r>
      <w:r w:rsidRPr="00C85F0F">
        <w:rPr>
          <w:rFonts w:hint="cs"/>
          <w:color w:val="auto"/>
          <w:rtl/>
        </w:rPr>
        <w:t>)</w:t>
      </w:r>
      <w:r w:rsidRPr="00C85F0F">
        <w:rPr>
          <w:rStyle w:val="af1"/>
          <w:szCs w:val="32"/>
          <w:rtl/>
        </w:rPr>
        <w:t>(</w:t>
      </w:r>
      <w:r w:rsidRPr="00C85F0F">
        <w:rPr>
          <w:rStyle w:val="af1"/>
          <w:szCs w:val="32"/>
          <w:rtl/>
        </w:rPr>
        <w:footnoteReference w:id="2064"/>
      </w:r>
      <w:r w:rsidRPr="00C85F0F">
        <w:rPr>
          <w:rStyle w:val="af1"/>
          <w:szCs w:val="32"/>
          <w:rtl/>
        </w:rPr>
        <w:t>)</w:t>
      </w:r>
      <w:r w:rsidRPr="00C85F0F">
        <w:rPr>
          <w:rFonts w:hint="cs"/>
          <w:color w:val="auto"/>
          <w:rtl/>
        </w:rPr>
        <w:t>.</w:t>
      </w:r>
    </w:p>
    <w:p w:rsidR="007A0DDE"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hint="cs"/>
          <w:color w:val="auto"/>
          <w:rtl/>
        </w:rPr>
        <w:t>و</w:t>
      </w:r>
      <w:r w:rsidR="007A0DDE" w:rsidRPr="00C85F0F">
        <w:rPr>
          <w:rFonts w:hint="cs"/>
          <w:color w:val="auto"/>
          <w:rtl/>
        </w:rPr>
        <w:t>النفع</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الخير وهو ما ي</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توص</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ل به الإنسان إلى مطلوبه</w:t>
      </w:r>
      <w:r w:rsidR="007A0DDE" w:rsidRPr="00C85F0F">
        <w:rPr>
          <w:rFonts w:hint="cs"/>
          <w:color w:val="auto"/>
          <w:rtl/>
        </w:rPr>
        <w:t xml:space="preserve">، </w:t>
      </w:r>
      <w:r w:rsidR="007A0DDE" w:rsidRPr="00C85F0F">
        <w:rPr>
          <w:rFonts w:ascii="Traditional Arabic" w:hAnsi="Traditional Arabic"/>
          <w:noProof w:val="0"/>
          <w:rtl/>
          <w:lang w:eastAsia="en-US"/>
        </w:rPr>
        <w:t>و</w:t>
      </w:r>
      <w:r w:rsidR="007A0DDE" w:rsidRPr="00C85F0F">
        <w:rPr>
          <w:rFonts w:ascii="Traditional Arabic" w:hAnsi="Traditional Arabic" w:hint="cs"/>
          <w:noProof w:val="0"/>
          <w:rtl/>
          <w:lang w:eastAsia="en-US"/>
        </w:rPr>
        <w:t xml:space="preserve">يقال: </w:t>
      </w:r>
      <w:r w:rsidR="007A0DDE" w:rsidRPr="00C85F0F">
        <w:rPr>
          <w:rFonts w:ascii="Traditional Arabic" w:hAnsi="Traditional Arabic"/>
          <w:noProof w:val="0"/>
          <w:rtl/>
          <w:lang w:eastAsia="en-US"/>
        </w:rPr>
        <w:t>انتفعت بالشيء ونفعني الله به</w:t>
      </w:r>
      <w:r w:rsidR="00164063">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والمنفعة اسم</w:t>
      </w:r>
      <w:r w:rsidR="007A0DDE" w:rsidRPr="00C85F0F">
        <w:rPr>
          <w:rFonts w:ascii="Traditional Arabic" w:hAnsi="Traditional Arabic" w:hint="cs"/>
          <w:noProof w:val="0"/>
          <w:rtl/>
          <w:lang w:eastAsia="en-US"/>
        </w:rPr>
        <w:t>ٌ</w:t>
      </w:r>
      <w:r w:rsidR="007A0DDE" w:rsidRPr="00C85F0F">
        <w:rPr>
          <w:rFonts w:ascii="Traditional Arabic" w:hAnsi="Traditional Arabic"/>
          <w:noProof w:val="0"/>
          <w:rtl/>
          <w:lang w:eastAsia="en-US"/>
        </w:rPr>
        <w:t xml:space="preserve"> منه</w:t>
      </w:r>
      <w:r w:rsidR="007A0DDE" w:rsidRPr="00C85F0F">
        <w:rPr>
          <w:rStyle w:val="af1"/>
          <w:szCs w:val="32"/>
          <w:rtl/>
        </w:rPr>
        <w:t>(</w:t>
      </w:r>
      <w:r w:rsidR="007A0DDE" w:rsidRPr="00C85F0F">
        <w:rPr>
          <w:rStyle w:val="af1"/>
          <w:szCs w:val="32"/>
          <w:rtl/>
        </w:rPr>
        <w:footnoteReference w:id="2065"/>
      </w:r>
      <w:r w:rsidR="007A0DDE" w:rsidRPr="00C85F0F">
        <w:rPr>
          <w:rStyle w:val="af1"/>
          <w:szCs w:val="32"/>
          <w:rtl/>
        </w:rPr>
        <w:t>)</w:t>
      </w:r>
      <w:r w:rsidR="007A0DDE" w:rsidRPr="00C85F0F">
        <w:rPr>
          <w:rFonts w:ascii="Traditional Arabic" w:hAnsi="Traditional Arabic"/>
          <w:noProof w:val="0"/>
          <w:rtl/>
          <w:lang w:eastAsia="en-US"/>
        </w:rPr>
        <w:t>.</w:t>
      </w:r>
    </w:p>
    <w:p w:rsidR="000E1D14" w:rsidRPr="00C85F0F" w:rsidRDefault="007A0DDE" w:rsidP="00597C20">
      <w:pPr>
        <w:pStyle w:val="53"/>
        <w:rPr>
          <w:rtl/>
        </w:rPr>
      </w:pPr>
      <w:r w:rsidRPr="00C85F0F">
        <w:rPr>
          <w:rFonts w:hint="cs"/>
          <w:rtl/>
        </w:rPr>
        <w:t xml:space="preserve">المنافع </w:t>
      </w:r>
      <w:r w:rsidRPr="006E1F02">
        <w:rPr>
          <w:rFonts w:hint="cs"/>
          <w:rtl/>
        </w:rPr>
        <w:t>اصطلاحا</w:t>
      </w:r>
      <w:r w:rsidRPr="00C85F0F">
        <w:rPr>
          <w:rFonts w:hint="cs"/>
          <w:rtl/>
        </w:rPr>
        <w:t>:</w:t>
      </w:r>
    </w:p>
    <w:p w:rsidR="007A0DDE" w:rsidRPr="00C85F0F" w:rsidRDefault="007A0DDE" w:rsidP="00597C20">
      <w:pPr>
        <w:ind w:firstLine="720"/>
        <w:rPr>
          <w:color w:val="auto"/>
          <w:rtl/>
        </w:rPr>
      </w:pPr>
      <w:r w:rsidRPr="00C85F0F">
        <w:rPr>
          <w:rFonts w:ascii="Traditional Arabic" w:hAnsi="Traditional Arabic"/>
          <w:noProof w:val="0"/>
          <w:rtl/>
          <w:lang w:eastAsia="en-US"/>
        </w:rPr>
        <w:t>الانتفاع بالأعيان، ك</w:t>
      </w:r>
      <w:r w:rsidR="00842B7B">
        <w:rPr>
          <w:rFonts w:ascii="Traditional Arabic" w:hAnsi="Traditional Arabic" w:hint="cs"/>
          <w:noProof w:val="0"/>
          <w:rtl/>
          <w:lang w:eastAsia="en-US"/>
        </w:rPr>
        <w:t>َ</w:t>
      </w:r>
      <w:r w:rsidRPr="00C85F0F">
        <w:rPr>
          <w:rFonts w:ascii="Traditional Arabic" w:hAnsi="Traditional Arabic"/>
          <w:noProof w:val="0"/>
          <w:rtl/>
          <w:lang w:eastAsia="en-US"/>
        </w:rPr>
        <w:t>س</w:t>
      </w:r>
      <w:r w:rsidR="00842B7B">
        <w:rPr>
          <w:rFonts w:ascii="Traditional Arabic" w:hAnsi="Traditional Arabic" w:hint="cs"/>
          <w:noProof w:val="0"/>
          <w:rtl/>
          <w:lang w:eastAsia="en-US"/>
        </w:rPr>
        <w:t>ُ</w:t>
      </w:r>
      <w:r w:rsidRPr="00C85F0F">
        <w:rPr>
          <w:rFonts w:ascii="Traditional Arabic" w:hAnsi="Traditional Arabic"/>
          <w:noProof w:val="0"/>
          <w:rtl/>
          <w:lang w:eastAsia="en-US"/>
        </w:rPr>
        <w:t>ك</w:t>
      </w:r>
      <w:r w:rsidR="00842B7B">
        <w:rPr>
          <w:rFonts w:ascii="Traditional Arabic" w:hAnsi="Traditional Arabic" w:hint="cs"/>
          <w:noProof w:val="0"/>
          <w:rtl/>
          <w:lang w:eastAsia="en-US"/>
        </w:rPr>
        <w:t>ْ</w:t>
      </w:r>
      <w:r w:rsidRPr="00C85F0F">
        <w:rPr>
          <w:rFonts w:ascii="Traditional Arabic" w:hAnsi="Traditional Arabic"/>
          <w:noProof w:val="0"/>
          <w:rtl/>
          <w:lang w:eastAsia="en-US"/>
        </w:rPr>
        <w:t>نى الد</w:t>
      </w:r>
      <w:r w:rsidR="00842B7B">
        <w:rPr>
          <w:rFonts w:ascii="Traditional Arabic" w:hAnsi="Traditional Arabic" w:hint="cs"/>
          <w:noProof w:val="0"/>
          <w:rtl/>
          <w:lang w:eastAsia="en-US"/>
        </w:rPr>
        <w:t>ُّ</w:t>
      </w:r>
      <w:r w:rsidRPr="00C85F0F">
        <w:rPr>
          <w:rFonts w:ascii="Traditional Arabic" w:hAnsi="Traditional Arabic"/>
          <w:noProof w:val="0"/>
          <w:rtl/>
          <w:lang w:eastAsia="en-US"/>
        </w:rPr>
        <w:t>ور، وركوب الدواب</w:t>
      </w:r>
      <w:r w:rsidR="00842B7B">
        <w:rPr>
          <w:rFonts w:ascii="Traditional Arabic" w:hAnsi="Traditional Arabic" w:hint="cs"/>
          <w:noProof w:val="0"/>
          <w:rtl/>
          <w:lang w:eastAsia="en-US"/>
        </w:rPr>
        <w:t>ّ</w:t>
      </w:r>
      <w:r w:rsidRPr="00C85F0F">
        <w:rPr>
          <w:rFonts w:ascii="Traditional Arabic" w:hAnsi="Traditional Arabic"/>
          <w:noProof w:val="0"/>
          <w:rtl/>
          <w:lang w:eastAsia="en-US"/>
        </w:rPr>
        <w:t>، واستخدام العبيد</w:t>
      </w:r>
      <w:r w:rsidRPr="00C85F0F">
        <w:rPr>
          <w:rStyle w:val="af1"/>
          <w:szCs w:val="32"/>
          <w:rtl/>
        </w:rPr>
        <w:t>(</w:t>
      </w:r>
      <w:r w:rsidRPr="00C85F0F">
        <w:rPr>
          <w:rStyle w:val="af1"/>
          <w:szCs w:val="32"/>
          <w:rtl/>
        </w:rPr>
        <w:footnoteReference w:id="2066"/>
      </w:r>
      <w:r w:rsidRPr="00C85F0F">
        <w:rPr>
          <w:rStyle w:val="af1"/>
          <w:szCs w:val="32"/>
          <w:rtl/>
        </w:rPr>
        <w:t>)</w:t>
      </w:r>
      <w:r w:rsidRPr="00C85F0F">
        <w:rPr>
          <w:rFonts w:ascii="Traditional Arabic" w:hAnsi="Traditional Arabic"/>
          <w:noProof w:val="0"/>
          <w:sz w:val="44"/>
          <w:szCs w:val="44"/>
          <w:rtl/>
          <w:lang w:eastAsia="en-US"/>
        </w:rPr>
        <w:t>.</w:t>
      </w:r>
    </w:p>
    <w:p w:rsidR="007A0DDE" w:rsidRPr="00C85F0F" w:rsidRDefault="007A0DDE" w:rsidP="00597C20">
      <w:pPr>
        <w:pStyle w:val="53"/>
        <w:rPr>
          <w:rtl/>
        </w:rPr>
      </w:pPr>
      <w:r w:rsidRPr="00C85F0F">
        <w:rPr>
          <w:rFonts w:hint="cs"/>
          <w:rtl/>
        </w:rPr>
        <w:t xml:space="preserve">معنى القاعدة </w:t>
      </w:r>
      <w:r w:rsidRPr="006E1F02">
        <w:rPr>
          <w:rFonts w:hint="cs"/>
          <w:rtl/>
        </w:rPr>
        <w:t>إجمالا</w:t>
      </w:r>
      <w:r w:rsidRPr="00C85F0F">
        <w:rPr>
          <w:rFonts w:hint="cs"/>
          <w:rtl/>
        </w:rPr>
        <w:t>:</w:t>
      </w:r>
    </w:p>
    <w:p w:rsidR="007A0DDE" w:rsidRPr="00C85F0F" w:rsidRDefault="007A0DDE" w:rsidP="00597C20">
      <w:pPr>
        <w:ind w:firstLine="720"/>
        <w:rPr>
          <w:rFonts w:ascii="Traditional Arabic" w:hAnsi="Traditional Arabic"/>
          <w:noProof w:val="0"/>
          <w:color w:val="auto"/>
          <w:rtl/>
          <w:lang w:eastAsia="en-US"/>
        </w:rPr>
      </w:pPr>
      <w:r w:rsidRPr="00C85F0F">
        <w:rPr>
          <w:rFonts w:ascii="Traditional Arabic" w:hAnsi="Traditional Arabic"/>
          <w:noProof w:val="0"/>
          <w:color w:val="auto"/>
          <w:rtl/>
          <w:lang w:eastAsia="en-US"/>
        </w:rPr>
        <w:t>الأعيان نوعان</w:t>
      </w:r>
      <w:r w:rsidRPr="00C85F0F">
        <w:rPr>
          <w:rFonts w:ascii="Traditional Arabic" w:hAnsi="Traditional Arabic" w:hint="cs"/>
          <w:noProof w:val="0"/>
          <w:color w:val="auto"/>
          <w:rtl/>
          <w:lang w:eastAsia="en-US"/>
        </w:rPr>
        <w:t>:</w:t>
      </w:r>
    </w:p>
    <w:p w:rsidR="00F228A9" w:rsidRPr="00C85F0F" w:rsidRDefault="007A0DDE" w:rsidP="00597C20">
      <w:pPr>
        <w:ind w:firstLine="720"/>
        <w:rPr>
          <w:rFonts w:ascii="Traditional Arabic" w:hAnsi="Traditional Arabic"/>
          <w:noProof w:val="0"/>
          <w:color w:val="auto"/>
          <w:rtl/>
          <w:lang w:eastAsia="en-US"/>
        </w:rPr>
      </w:pPr>
      <w:r w:rsidRPr="00C85F0F">
        <w:rPr>
          <w:rFonts w:ascii="Traditional Arabic" w:hAnsi="Traditional Arabic"/>
          <w:noProof w:val="0"/>
          <w:color w:val="auto"/>
          <w:rtl/>
          <w:lang w:eastAsia="en-US"/>
        </w:rPr>
        <w:t>نوع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لا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ستخل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 شيئا فشيئا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بل إذا ذهب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ذهب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ج</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ملة</w:t>
      </w:r>
      <w:r w:rsidRPr="00C85F0F">
        <w:rPr>
          <w:rFonts w:ascii="Traditional Arabic" w:hAnsi="Traditional Arabic" w:hint="cs"/>
          <w:noProof w:val="0"/>
          <w:color w:val="auto"/>
          <w:rtl/>
          <w:lang w:eastAsia="en-US"/>
        </w:rPr>
        <w:t>ً.</w:t>
      </w:r>
    </w:p>
    <w:p w:rsidR="007A0DDE" w:rsidRPr="00C85F0F" w:rsidRDefault="007A0DDE" w:rsidP="00597C20">
      <w:pPr>
        <w:ind w:firstLine="720"/>
        <w:rPr>
          <w:rtl/>
        </w:rPr>
      </w:pPr>
      <w:r w:rsidRPr="00C85F0F">
        <w:rPr>
          <w:rFonts w:ascii="Traditional Arabic" w:hAnsi="Traditional Arabic"/>
          <w:noProof w:val="0"/>
          <w:color w:val="auto"/>
          <w:rtl/>
          <w:lang w:eastAsia="en-US"/>
        </w:rPr>
        <w:t>ونوع يستخلف شيئا فشيئا</w:t>
      </w:r>
      <w:r w:rsidR="00B76414" w:rsidRPr="00C85F0F">
        <w:rPr>
          <w:rFonts w:ascii="Traditional Arabic" w:hAnsi="Traditional Arabic"/>
          <w:noProof w:val="0"/>
          <w:color w:val="auto"/>
          <w:rtl/>
          <w:lang w:eastAsia="en-US"/>
        </w:rPr>
        <w:t>،</w:t>
      </w:r>
      <w:r w:rsidRPr="00C85F0F">
        <w:rPr>
          <w:rFonts w:ascii="Traditional Arabic" w:hAnsi="Traditional Arabic"/>
          <w:noProof w:val="0"/>
          <w:color w:val="auto"/>
          <w:rtl/>
          <w:lang w:eastAsia="en-US"/>
        </w:rPr>
        <w:t>كلما ذهب منه شيء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خ</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شيء مثل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فهذا 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تبة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سطى بين المنافع وبين الأعيان التي لا 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ستخل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فينبغي أن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نظر في ش</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بأي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النوعين في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 به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ومعلوم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أن شبهه بالمنافع أقوى فإلحاق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بها أولى</w:t>
      </w:r>
      <w:r w:rsidRPr="00C85F0F">
        <w:rPr>
          <w:rStyle w:val="af1"/>
          <w:szCs w:val="32"/>
          <w:rtl/>
        </w:rPr>
        <w:t>(</w:t>
      </w:r>
      <w:r w:rsidRPr="00C85F0F">
        <w:rPr>
          <w:rStyle w:val="af1"/>
          <w:szCs w:val="32"/>
          <w:rtl/>
        </w:rPr>
        <w:footnoteReference w:id="2067"/>
      </w:r>
      <w:r w:rsidRPr="00C85F0F">
        <w:rPr>
          <w:rStyle w:val="af1"/>
          <w:szCs w:val="32"/>
          <w:rtl/>
        </w:rPr>
        <w:t>)</w:t>
      </w:r>
      <w:r w:rsidRPr="00C85F0F">
        <w:rPr>
          <w:rFonts w:hint="cs"/>
          <w:rtl/>
        </w:rPr>
        <w:t xml:space="preserve">؛ لذلك ذكر شيخ الإسلام ابن تيمية </w:t>
      </w:r>
      <w:r w:rsidR="00842B7B">
        <w:rPr>
          <w:rFonts w:hint="cs"/>
          <w:rtl/>
        </w:rPr>
        <w:t>_</w:t>
      </w:r>
      <w:r w:rsidR="009A0575" w:rsidRPr="005D5694">
        <w:rPr>
          <w:rFonts w:ascii="Traditional Arabic" w:hAnsi="Traditional Arabic" w:cs="CTraditional Arabic" w:hint="cs"/>
          <w:rtl/>
        </w:rPr>
        <w:t>/</w:t>
      </w:r>
      <w:r w:rsidR="00842B7B">
        <w:rPr>
          <w:rFonts w:hint="cs"/>
          <w:rtl/>
        </w:rPr>
        <w:t>_</w:t>
      </w:r>
      <w:r w:rsidRPr="00C85F0F">
        <w:rPr>
          <w:rFonts w:hint="cs"/>
          <w:rtl/>
        </w:rPr>
        <w:t xml:space="preserve"> أن الأعيان التي تحدث شيئا فشيئا تكون بمنزلة المنافع، فل</w:t>
      </w:r>
      <w:r w:rsidR="00842B7B">
        <w:rPr>
          <w:rFonts w:hint="cs"/>
          <w:rtl/>
        </w:rPr>
        <w:t>َ</w:t>
      </w:r>
      <w:r w:rsidRPr="00C85F0F">
        <w:rPr>
          <w:rFonts w:hint="cs"/>
          <w:rtl/>
        </w:rPr>
        <w:t>ب</w:t>
      </w:r>
      <w:r w:rsidR="00842B7B">
        <w:rPr>
          <w:rFonts w:hint="cs"/>
          <w:rtl/>
        </w:rPr>
        <w:t>َ</w:t>
      </w:r>
      <w:r w:rsidRPr="00C85F0F">
        <w:rPr>
          <w:rFonts w:hint="cs"/>
          <w:rtl/>
        </w:rPr>
        <w:t>ن</w:t>
      </w:r>
      <w:r w:rsidR="00842B7B">
        <w:rPr>
          <w:rFonts w:hint="cs"/>
          <w:rtl/>
        </w:rPr>
        <w:t>ُ</w:t>
      </w:r>
      <w:r w:rsidRPr="00C85F0F">
        <w:rPr>
          <w:rFonts w:hint="cs"/>
          <w:rtl/>
        </w:rPr>
        <w:t xml:space="preserve"> المرأة يحدث شيئا فشيئا، فيكون بمنزلة المنفعة، ويجوز عقدُ الإجارة عليه، مثل ما تُستوفى هذه المنافع في الوقف مع عدم مِلكية المستفيد </w:t>
      </w:r>
      <w:r w:rsidRPr="00C85F0F">
        <w:rPr>
          <w:rFonts w:hint="cs"/>
          <w:rtl/>
        </w:rPr>
        <w:lastRenderedPageBreak/>
        <w:t>منه للعين الموقوفة، وقد تكون هذه العين ثمراً يؤكل، ولكنه لما كان يحدُث شيئا فشيئا صار كالمنفعة</w:t>
      </w:r>
      <w:r w:rsidRPr="00C85F0F">
        <w:rPr>
          <w:rStyle w:val="af1"/>
          <w:szCs w:val="32"/>
          <w:rtl/>
        </w:rPr>
        <w:t>(</w:t>
      </w:r>
      <w:r w:rsidRPr="00C85F0F">
        <w:rPr>
          <w:rStyle w:val="af1"/>
          <w:szCs w:val="32"/>
          <w:rtl/>
        </w:rPr>
        <w:footnoteReference w:id="2068"/>
      </w:r>
      <w:r w:rsidRPr="00C85F0F">
        <w:rPr>
          <w:rStyle w:val="af1"/>
          <w:szCs w:val="32"/>
          <w:rtl/>
        </w:rPr>
        <w:t>)</w:t>
      </w:r>
      <w:r w:rsidRPr="00C85F0F">
        <w:rPr>
          <w:rFonts w:hint="cs"/>
          <w:rtl/>
        </w:rPr>
        <w:t>.</w:t>
      </w:r>
    </w:p>
    <w:p w:rsidR="007A0DDE" w:rsidRPr="00C85F0F" w:rsidRDefault="00842B7B" w:rsidP="00A8347C">
      <w:pPr>
        <w:pStyle w:val="aff3"/>
        <w:rPr>
          <w:rtl/>
        </w:rPr>
      </w:pPr>
      <w:bookmarkStart w:id="449" w:name="_Toc334046623"/>
      <w:r>
        <w:rPr>
          <w:rFonts w:hint="cs"/>
          <w:rtl/>
        </w:rPr>
        <w:t xml:space="preserve">                                            </w:t>
      </w:r>
      <w:r w:rsidR="007A0DDE" w:rsidRPr="00C85F0F">
        <w:rPr>
          <w:rFonts w:hint="cs"/>
          <w:rtl/>
        </w:rPr>
        <w:t>المطلب الثالث</w:t>
      </w:r>
      <w:r w:rsidR="007A0DDE" w:rsidRPr="00C85F0F">
        <w:rPr>
          <w:rFonts w:hint="eastAsia"/>
          <w:rtl/>
        </w:rPr>
        <w:t> :</w:t>
      </w:r>
      <w:r w:rsidR="007A0DDE" w:rsidRPr="00C85F0F">
        <w:rPr>
          <w:rFonts w:hint="cs"/>
          <w:rtl/>
        </w:rPr>
        <w:br/>
      </w:r>
      <w:r>
        <w:rPr>
          <w:rFonts w:hint="cs"/>
          <w:rtl/>
        </w:rPr>
        <w:t xml:space="preserve">               </w:t>
      </w:r>
      <w:r w:rsidR="00883353">
        <w:rPr>
          <w:rFonts w:hint="cs"/>
          <w:rtl/>
        </w:rPr>
        <w:t xml:space="preserve">                               دليل</w:t>
      </w:r>
      <w:r w:rsidR="007A0DDE" w:rsidRPr="00C85F0F">
        <w:rPr>
          <w:rFonts w:hint="cs"/>
          <w:rtl/>
        </w:rPr>
        <w:t xml:space="preserve"> القاعدة</w:t>
      </w:r>
      <w:bookmarkEnd w:id="449"/>
    </w:p>
    <w:p w:rsidR="007A0DDE" w:rsidRPr="00C85F0F" w:rsidRDefault="007A0DDE" w:rsidP="000A76C7">
      <w:pPr>
        <w:pStyle w:val="afc"/>
        <w:numPr>
          <w:ilvl w:val="0"/>
          <w:numId w:val="282"/>
        </w:numPr>
        <w:rPr>
          <w:color w:val="auto"/>
        </w:rPr>
      </w:pPr>
      <w:r w:rsidRPr="00C85F0F">
        <w:rPr>
          <w:rFonts w:hint="cs"/>
          <w:rtl/>
        </w:rPr>
        <w:t xml:space="preserve">قوله الله تعالى: </w:t>
      </w:r>
      <w:bookmarkStart w:id="450" w:name="سورة_الطلاق_6_2"/>
      <w:r w:rsidR="007A6CF4" w:rsidRPr="00404E39">
        <w:rPr>
          <w:rFonts w:ascii="QCF_BSML" w:hAnsi="QCF_BSML" w:cs="QCF_BSML"/>
          <w:noProof w:val="0"/>
          <w:rtl/>
          <w:lang w:eastAsia="en-US"/>
        </w:rPr>
        <w:t xml:space="preserve">ﭽ </w:t>
      </w:r>
      <w:r w:rsidR="007A6CF4" w:rsidRPr="00404E39">
        <w:rPr>
          <w:rFonts w:ascii="QCF_P559" w:hAnsi="QCF_P559" w:cs="QCF_P559"/>
          <w:noProof w:val="0"/>
          <w:rtl/>
          <w:lang w:eastAsia="en-US"/>
        </w:rPr>
        <w:t>ﭦﭧﭨﭩﭪ</w:t>
      </w:r>
      <w:r w:rsidR="007A6CF4" w:rsidRPr="00404E39">
        <w:rPr>
          <w:rFonts w:ascii="QCF_BSML" w:hAnsi="QCF_BSML" w:cs="QCF_BSML"/>
          <w:noProof w:val="0"/>
          <w:rtl/>
          <w:lang w:eastAsia="en-US"/>
        </w:rPr>
        <w:t>ﭼ</w:t>
      </w:r>
      <w:bookmarkEnd w:id="450"/>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الطلاق: ٦</w:t>
      </w:r>
      <w:r w:rsidRPr="00C85F0F">
        <w:rPr>
          <w:rFonts w:ascii="Traditional Arabic" w:hAnsi="Traditional Arabic" w:hint="cs"/>
          <w:noProof w:val="0"/>
          <w:color w:val="auto"/>
          <w:rtl/>
          <w:lang w:eastAsia="en-US"/>
        </w:rPr>
        <w:t>].</w:t>
      </w:r>
    </w:p>
    <w:p w:rsidR="007A0DDE" w:rsidRPr="00C85F0F" w:rsidRDefault="007A0DDE" w:rsidP="00597C20">
      <w:pPr>
        <w:pStyle w:val="53"/>
        <w:rPr>
          <w:rtl/>
        </w:rPr>
      </w:pPr>
      <w:r w:rsidRPr="00C85F0F">
        <w:rPr>
          <w:rFonts w:hint="cs"/>
          <w:rtl/>
        </w:rPr>
        <w:t xml:space="preserve">وجه </w:t>
      </w:r>
      <w:r w:rsidRPr="006E1F02">
        <w:rPr>
          <w:rFonts w:hint="cs"/>
          <w:rtl/>
        </w:rPr>
        <w:t>الدلالة</w:t>
      </w:r>
      <w:r w:rsidRPr="00C85F0F">
        <w:rPr>
          <w:rFonts w:hint="cs"/>
          <w:rtl/>
        </w:rPr>
        <w:t>:</w:t>
      </w:r>
    </w:p>
    <w:p w:rsidR="007A0DDE" w:rsidRPr="00C85F0F" w:rsidRDefault="007A0DDE"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يجوز أخذُ الأجرة على الإرضاع، وقد نص الله على ذلك نصّاً صريحاً في هذه الآية، ولا شك أن الأجرة هنا وقعت على الإرضاع الذي مقصودُه الأول والأخير اللبن، فيكون في ذلك دليلٌ على جواز تأجير الأعيان إذا كانت تؤخذ شيئا فشيئاً، كتأجير الشاة لأخذِ لبنها مدةَ شهر أو أسبوع أو نحو ذلك؛ وذلك لأن الأعيان التي يخلُف بعضها بعضاً بمنزلة المنافع</w:t>
      </w:r>
      <w:r w:rsidRPr="00C85F0F">
        <w:rPr>
          <w:rStyle w:val="af1"/>
          <w:szCs w:val="32"/>
          <w:rtl/>
        </w:rPr>
        <w:t>(</w:t>
      </w:r>
      <w:r w:rsidRPr="00C85F0F">
        <w:rPr>
          <w:rStyle w:val="af1"/>
          <w:szCs w:val="32"/>
          <w:rtl/>
        </w:rPr>
        <w:footnoteReference w:id="2069"/>
      </w:r>
      <w:r w:rsidRPr="00C85F0F">
        <w:rPr>
          <w:rStyle w:val="af1"/>
          <w:szCs w:val="32"/>
          <w:rtl/>
        </w:rPr>
        <w:t>)</w:t>
      </w:r>
      <w:r w:rsidRPr="00C85F0F">
        <w:rPr>
          <w:rFonts w:ascii="Traditional Arabic" w:hAnsi="Traditional Arabic" w:hint="cs"/>
          <w:noProof w:val="0"/>
          <w:color w:val="auto"/>
          <w:rtl/>
          <w:lang w:eastAsia="en-US"/>
        </w:rPr>
        <w:t>.</w:t>
      </w:r>
    </w:p>
    <w:p w:rsidR="007A0DDE" w:rsidRPr="00C85F0F" w:rsidRDefault="00842B7B" w:rsidP="00A8347C">
      <w:pPr>
        <w:pStyle w:val="aff3"/>
        <w:rPr>
          <w:rtl/>
        </w:rPr>
      </w:pPr>
      <w:bookmarkStart w:id="451" w:name="_Toc334046624"/>
      <w:r>
        <w:rPr>
          <w:rFonts w:hint="cs"/>
          <w:rtl/>
        </w:rPr>
        <w:t xml:space="preserve">                                            </w:t>
      </w:r>
      <w:r w:rsidR="00EF605B">
        <w:rPr>
          <w:rFonts w:hint="cs"/>
          <w:rtl/>
        </w:rPr>
        <w:t xml:space="preserve"> </w:t>
      </w:r>
      <w:r w:rsidR="007A0DDE" w:rsidRPr="00C85F0F">
        <w:rPr>
          <w:rFonts w:hint="cs"/>
          <w:rtl/>
        </w:rPr>
        <w:t>المطلب الرابع</w:t>
      </w:r>
      <w:r w:rsidR="007A0DDE" w:rsidRPr="00C85F0F">
        <w:rPr>
          <w:rFonts w:hint="eastAsia"/>
          <w:rtl/>
        </w:rPr>
        <w:t> :</w:t>
      </w:r>
      <w:r w:rsidR="007A0DDE" w:rsidRPr="00C85F0F">
        <w:rPr>
          <w:rFonts w:hint="cs"/>
          <w:rtl/>
        </w:rPr>
        <w:br/>
      </w:r>
      <w:r>
        <w:rPr>
          <w:rFonts w:hint="cs"/>
          <w:rtl/>
        </w:rPr>
        <w:t xml:space="preserve">            </w:t>
      </w:r>
      <w:r w:rsidR="00883353">
        <w:rPr>
          <w:rFonts w:hint="cs"/>
          <w:rtl/>
        </w:rPr>
        <w:t xml:space="preserve">                                </w:t>
      </w:r>
      <w:r w:rsidR="007A0DDE" w:rsidRPr="00C85F0F">
        <w:rPr>
          <w:rFonts w:hint="cs"/>
          <w:rtl/>
        </w:rPr>
        <w:t>تطبيقات القاعدة</w:t>
      </w:r>
      <w:bookmarkEnd w:id="451"/>
    </w:p>
    <w:p w:rsidR="007A0DDE" w:rsidRPr="00C85F0F" w:rsidRDefault="007A0DDE" w:rsidP="000A76C7">
      <w:pPr>
        <w:pStyle w:val="afc"/>
        <w:numPr>
          <w:ilvl w:val="0"/>
          <w:numId w:val="283"/>
        </w:numPr>
        <w:rPr>
          <w:rFonts w:ascii="Traditional Arabic" w:hAnsi="Traditional Arabic"/>
          <w:noProof w:val="0"/>
          <w:color w:val="auto"/>
          <w:lang w:eastAsia="en-US"/>
        </w:rPr>
      </w:pPr>
      <w:r w:rsidRPr="00C85F0F">
        <w:rPr>
          <w:rFonts w:ascii="Traditional Arabic" w:hAnsi="Traditional Arabic"/>
          <w:noProof w:val="0"/>
          <w:rtl/>
          <w:lang w:eastAsia="en-US"/>
        </w:rPr>
        <w:t>يجوز استئجار الحيوان لأخذ</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w:t>
      </w:r>
      <w:r w:rsidR="00842B7B">
        <w:rPr>
          <w:rFonts w:ascii="Traditional Arabic" w:hAnsi="Traditional Arabic" w:hint="cs"/>
          <w:noProof w:val="0"/>
          <w:rtl/>
          <w:lang w:eastAsia="en-US"/>
        </w:rPr>
        <w:t>َ</w:t>
      </w:r>
      <w:r w:rsidRPr="00C85F0F">
        <w:rPr>
          <w:rFonts w:ascii="Traditional Arabic" w:hAnsi="Traditional Arabic"/>
          <w:noProof w:val="0"/>
          <w:rtl/>
          <w:lang w:eastAsia="en-US"/>
        </w:rPr>
        <w:t>ب</w:t>
      </w:r>
      <w:r w:rsidR="00842B7B">
        <w:rPr>
          <w:rFonts w:ascii="Traditional Arabic" w:hAnsi="Traditional Arabic" w:hint="cs"/>
          <w:noProof w:val="0"/>
          <w:rtl/>
          <w:lang w:eastAsia="en-US"/>
        </w:rPr>
        <w:t>َ</w:t>
      </w:r>
      <w:r w:rsidRPr="00C85F0F">
        <w:rPr>
          <w:rFonts w:ascii="Traditional Arabic" w:hAnsi="Traditional Arabic"/>
          <w:noProof w:val="0"/>
          <w:rtl/>
          <w:lang w:eastAsia="en-US"/>
        </w:rPr>
        <w:t>ن</w:t>
      </w:r>
      <w:r w:rsidR="00842B7B">
        <w:rPr>
          <w:rFonts w:ascii="Traditional Arabic" w:hAnsi="Traditional Arabic" w:hint="cs"/>
          <w:noProof w:val="0"/>
          <w:rtl/>
          <w:lang w:eastAsia="en-US"/>
        </w:rPr>
        <w:t>ِ</w:t>
      </w:r>
      <w:r w:rsidRPr="00C85F0F">
        <w:rPr>
          <w:rFonts w:ascii="Traditional Arabic" w:hAnsi="Traditional Arabic"/>
          <w:noProof w:val="0"/>
          <w:rtl/>
          <w:lang w:eastAsia="en-US"/>
        </w:rPr>
        <w:t>ه، واستئجار البئر لأخذ</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مائها، واستئجار الأرض لأخذ</w:t>
      </w:r>
      <w:r w:rsidRPr="00C85F0F">
        <w:rPr>
          <w:rFonts w:ascii="Traditional Arabic" w:hAnsi="Traditional Arabic" w:hint="cs"/>
          <w:noProof w:val="0"/>
          <w:rtl/>
          <w:lang w:eastAsia="en-US"/>
        </w:rPr>
        <w:t>ِ</w:t>
      </w:r>
      <w:r w:rsidR="00BF427E">
        <w:rPr>
          <w:rFonts w:ascii="Traditional Arabic" w:hAnsi="Traditional Arabic" w:hint="cs"/>
          <w:noProof w:val="0"/>
          <w:rtl/>
          <w:lang w:eastAsia="en-US"/>
        </w:rPr>
        <w:t xml:space="preserve"> </w:t>
      </w:r>
      <w:r w:rsidRPr="00C85F0F">
        <w:rPr>
          <w:rFonts w:ascii="Traditional Arabic" w:hAnsi="Traditional Arabic"/>
          <w:noProof w:val="0"/>
          <w:rtl/>
          <w:lang w:eastAsia="en-US"/>
        </w:rPr>
        <w:t>مائها</w:t>
      </w:r>
      <w:r w:rsidRPr="00C85F0F">
        <w:rPr>
          <w:rStyle w:val="af1"/>
          <w:szCs w:val="32"/>
          <w:rtl/>
        </w:rPr>
        <w:t>(</w:t>
      </w:r>
      <w:r w:rsidRPr="00C85F0F">
        <w:rPr>
          <w:rStyle w:val="af1"/>
          <w:szCs w:val="32"/>
          <w:rtl/>
        </w:rPr>
        <w:footnoteReference w:id="2070"/>
      </w:r>
      <w:r w:rsidRPr="00C85F0F">
        <w:rPr>
          <w:rStyle w:val="af1"/>
          <w:szCs w:val="32"/>
          <w:rtl/>
        </w:rPr>
        <w:t>)</w:t>
      </w:r>
      <w:r w:rsidRPr="00C85F0F">
        <w:rPr>
          <w:rFonts w:ascii="Traditional Arabic" w:hAnsi="Traditional Arabic" w:hint="cs"/>
          <w:noProof w:val="0"/>
          <w:color w:val="auto"/>
          <w:rtl/>
          <w:lang w:eastAsia="en-US"/>
        </w:rPr>
        <w:t>.</w:t>
      </w:r>
    </w:p>
    <w:p w:rsidR="00065E4B" w:rsidRPr="00C85F0F" w:rsidRDefault="007A0DDE" w:rsidP="00FD3233">
      <w:pPr>
        <w:pStyle w:val="53"/>
        <w:rPr>
          <w:rtl/>
        </w:rPr>
      </w:pPr>
      <w:r w:rsidRPr="00C85F0F">
        <w:rPr>
          <w:rFonts w:hint="cs"/>
          <w:rtl/>
        </w:rPr>
        <w:t xml:space="preserve">وجه اندراج الفرع </w:t>
      </w:r>
      <w:r w:rsidRPr="00FD3233">
        <w:rPr>
          <w:rFonts w:hint="cs"/>
          <w:rtl/>
        </w:rPr>
        <w:t>تحت</w:t>
      </w:r>
      <w:r w:rsidRPr="00C85F0F">
        <w:rPr>
          <w:rFonts w:hint="cs"/>
          <w:rtl/>
        </w:rPr>
        <w:t xml:space="preserve"> القاعدة:</w:t>
      </w:r>
    </w:p>
    <w:p w:rsidR="00F228A9" w:rsidRPr="00C85F0F" w:rsidRDefault="00065E4B" w:rsidP="00597C20">
      <w:pPr>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ي</w:t>
      </w:r>
      <w:r w:rsidR="007A0DDE" w:rsidRPr="00C85F0F">
        <w:rPr>
          <w:rFonts w:ascii="Traditional Arabic" w:hAnsi="Traditional Arabic" w:hint="cs"/>
          <w:noProof w:val="0"/>
          <w:color w:val="auto"/>
          <w:rtl/>
          <w:lang w:eastAsia="en-US"/>
        </w:rPr>
        <w:t xml:space="preserve">جوز استئجار الحيوان والبئر والأرض في هذه المسائل مع كونها أعيانا وكون الإجارة لا تكون </w:t>
      </w:r>
      <w:r w:rsidR="007A0DDE" w:rsidRPr="00C85F0F">
        <w:rPr>
          <w:rFonts w:ascii="Traditional Arabic" w:hAnsi="Traditional Arabic" w:hint="cs"/>
          <w:noProof w:val="0"/>
          <w:color w:val="auto"/>
          <w:rtl/>
          <w:lang w:eastAsia="en-US"/>
        </w:rPr>
        <w:lastRenderedPageBreak/>
        <w:t>إلا على المنافع؛ لأن كلاًّ من اللبن والماء لما كان يحد</w:t>
      </w:r>
      <w:r w:rsidR="00842B7B">
        <w:rPr>
          <w:rFonts w:ascii="Traditional Arabic" w:hAnsi="Traditional Arabic" w:hint="cs"/>
          <w:noProof w:val="0"/>
          <w:color w:val="auto"/>
          <w:rtl/>
          <w:lang w:eastAsia="en-US"/>
        </w:rPr>
        <w:t>ُ</w:t>
      </w:r>
      <w:r w:rsidR="007A0DDE" w:rsidRPr="00C85F0F">
        <w:rPr>
          <w:rFonts w:ascii="Traditional Arabic" w:hAnsi="Traditional Arabic" w:hint="cs"/>
          <w:noProof w:val="0"/>
          <w:color w:val="auto"/>
          <w:rtl/>
          <w:lang w:eastAsia="en-US"/>
        </w:rPr>
        <w:t>ث شيئا فشيئاً صار بمنزلة المنافع، فيأخذ حكمها في جو</w:t>
      </w:r>
      <w:r w:rsidR="00842B7B">
        <w:rPr>
          <w:rFonts w:ascii="Traditional Arabic" w:hAnsi="Traditional Arabic" w:hint="cs"/>
          <w:noProof w:val="0"/>
          <w:color w:val="auto"/>
          <w:rtl/>
          <w:lang w:eastAsia="en-US"/>
        </w:rPr>
        <w:t>از عقد الإجارة عليه؛ والقاعدة تقول:</w:t>
      </w:r>
      <w:r w:rsidR="007A0DDE" w:rsidRPr="00C85F0F">
        <w:rPr>
          <w:rFonts w:ascii="Traditional Arabic" w:hAnsi="Traditional Arabic" w:hint="cs"/>
          <w:noProof w:val="0"/>
          <w:color w:val="auto"/>
          <w:rtl/>
          <w:lang w:eastAsia="en-US"/>
        </w:rPr>
        <w:t xml:space="preserve"> </w:t>
      </w:r>
      <w:r w:rsidR="00842B7B">
        <w:rPr>
          <w:rFonts w:ascii="Traditional Arabic" w:hAnsi="Traditional Arabic" w:hint="cs"/>
          <w:noProof w:val="0"/>
          <w:color w:val="auto"/>
          <w:rtl/>
          <w:lang w:eastAsia="en-US"/>
        </w:rPr>
        <w:t xml:space="preserve">إن </w:t>
      </w:r>
      <w:r w:rsidR="007A0DDE" w:rsidRPr="00C85F0F">
        <w:rPr>
          <w:rFonts w:ascii="Traditional Arabic" w:hAnsi="Traditional Arabic" w:hint="cs"/>
          <w:noProof w:val="0"/>
          <w:color w:val="auto"/>
          <w:rtl/>
          <w:lang w:eastAsia="en-US"/>
        </w:rPr>
        <w:t>ما يحدُث شيئا فشيئا مع بقاء أصله بمنزلة المنافع</w:t>
      </w:r>
      <w:r w:rsidR="007A0DDE" w:rsidRPr="00C85F0F">
        <w:rPr>
          <w:rStyle w:val="af1"/>
          <w:szCs w:val="32"/>
          <w:rtl/>
        </w:rPr>
        <w:t>(</w:t>
      </w:r>
      <w:r w:rsidR="007A0DDE" w:rsidRPr="00C85F0F">
        <w:rPr>
          <w:rStyle w:val="af1"/>
          <w:szCs w:val="32"/>
          <w:rtl/>
        </w:rPr>
        <w:footnoteReference w:id="2071"/>
      </w:r>
      <w:r w:rsidR="007A0DDE" w:rsidRPr="00C85F0F">
        <w:rPr>
          <w:rStyle w:val="af1"/>
          <w:szCs w:val="32"/>
          <w:rtl/>
        </w:rPr>
        <w:t>)</w:t>
      </w:r>
      <w:r w:rsidR="007A0DDE" w:rsidRPr="00C85F0F">
        <w:rPr>
          <w:rFonts w:ascii="Traditional Arabic" w:hAnsi="Traditional Arabic" w:hint="cs"/>
          <w:noProof w:val="0"/>
          <w:color w:val="auto"/>
          <w:rtl/>
          <w:lang w:eastAsia="en-US"/>
        </w:rPr>
        <w:t>.</w:t>
      </w:r>
    </w:p>
    <w:p w:rsidR="00EE4769" w:rsidRDefault="00EE4769" w:rsidP="00597C20">
      <w:pPr>
        <w:rPr>
          <w:rFonts w:ascii="Traditional Arabic" w:hAnsi="Traditional Arabic"/>
          <w:noProof w:val="0"/>
          <w:color w:val="auto"/>
          <w:rtl/>
          <w:lang w:eastAsia="en-US"/>
        </w:rPr>
      </w:pPr>
    </w:p>
    <w:p w:rsidR="00BF427E" w:rsidRDefault="00BF427E" w:rsidP="00597C20">
      <w:pPr>
        <w:rPr>
          <w:rFonts w:ascii="Traditional Arabic" w:hAnsi="Traditional Arabic"/>
          <w:noProof w:val="0"/>
          <w:color w:val="auto"/>
          <w:rtl/>
          <w:lang w:eastAsia="en-US"/>
        </w:rPr>
      </w:pPr>
    </w:p>
    <w:p w:rsidR="00842B7B" w:rsidRDefault="00842B7B" w:rsidP="00842B7B">
      <w:pPr>
        <w:spacing w:after="2040"/>
        <w:ind w:firstLine="0"/>
        <w:rPr>
          <w:sz w:val="72"/>
          <w:szCs w:val="72"/>
          <w:rtl/>
        </w:rPr>
      </w:pPr>
    </w:p>
    <w:p w:rsidR="00842B7B" w:rsidRDefault="00842B7B" w:rsidP="00842B7B">
      <w:pPr>
        <w:spacing w:after="2040"/>
        <w:ind w:firstLine="0"/>
        <w:rPr>
          <w:sz w:val="72"/>
          <w:szCs w:val="72"/>
          <w:rtl/>
        </w:rPr>
      </w:pPr>
    </w:p>
    <w:p w:rsidR="00842B7B" w:rsidRPr="00C85F0F" w:rsidRDefault="00842B7B" w:rsidP="00842B7B">
      <w:pPr>
        <w:spacing w:after="2040"/>
        <w:ind w:firstLine="0"/>
        <w:rPr>
          <w:sz w:val="72"/>
          <w:szCs w:val="72"/>
          <w:rtl/>
        </w:rPr>
      </w:pPr>
    </w:p>
    <w:p w:rsidR="000D30E1" w:rsidRPr="00C85F0F" w:rsidRDefault="000D30E1" w:rsidP="00597C20">
      <w:pPr>
        <w:pStyle w:val="aff1"/>
        <w:rPr>
          <w:b w:val="0"/>
          <w:bCs w:val="0"/>
          <w:rtl/>
        </w:rPr>
      </w:pPr>
      <w:bookmarkStart w:id="452" w:name="_Toc334046625"/>
      <w:r w:rsidRPr="00C85F0F">
        <w:rPr>
          <w:b w:val="0"/>
          <w:bCs w:val="0"/>
          <w:rtl/>
        </w:rPr>
        <w:lastRenderedPageBreak/>
        <w:t>الباب ال</w:t>
      </w:r>
      <w:r w:rsidRPr="00C85F0F">
        <w:rPr>
          <w:rFonts w:hint="cs"/>
          <w:b w:val="0"/>
          <w:bCs w:val="0"/>
          <w:rtl/>
        </w:rPr>
        <w:t>ثاني :</w:t>
      </w:r>
      <w:r w:rsidRPr="00C85F0F">
        <w:rPr>
          <w:b w:val="0"/>
          <w:bCs w:val="0"/>
          <w:rtl/>
        </w:rPr>
        <w:t>ال</w:t>
      </w:r>
      <w:r w:rsidRPr="00C85F0F">
        <w:rPr>
          <w:rFonts w:hint="cs"/>
          <w:b w:val="0"/>
          <w:bCs w:val="0"/>
          <w:rtl/>
        </w:rPr>
        <w:t>ض</w:t>
      </w:r>
      <w:r w:rsidRPr="00C85F0F">
        <w:rPr>
          <w:b w:val="0"/>
          <w:bCs w:val="0"/>
          <w:rtl/>
        </w:rPr>
        <w:t>وا</w:t>
      </w:r>
      <w:r w:rsidRPr="00C85F0F">
        <w:rPr>
          <w:rFonts w:hint="cs"/>
          <w:b w:val="0"/>
          <w:bCs w:val="0"/>
          <w:rtl/>
        </w:rPr>
        <w:t>بط</w:t>
      </w:r>
      <w:r w:rsidRPr="00C85F0F">
        <w:rPr>
          <w:b w:val="0"/>
          <w:bCs w:val="0"/>
          <w:rtl/>
        </w:rPr>
        <w:t xml:space="preserve"> الفقهية المتعلقة</w:t>
      </w:r>
      <w:r w:rsidR="00842B7B">
        <w:rPr>
          <w:rFonts w:hint="cs"/>
          <w:b w:val="0"/>
          <w:bCs w:val="0"/>
          <w:rtl/>
        </w:rPr>
        <w:t xml:space="preserve"> </w:t>
      </w:r>
      <w:r w:rsidRPr="00C85F0F">
        <w:rPr>
          <w:b w:val="0"/>
          <w:bCs w:val="0"/>
          <w:rtl/>
        </w:rPr>
        <w:t>بالمعاملات من الشرح الممتع</w:t>
      </w:r>
      <w:bookmarkEnd w:id="452"/>
    </w:p>
    <w:p w:rsidR="00F228A9" w:rsidRPr="00FD3233" w:rsidRDefault="000D30E1" w:rsidP="00597C20">
      <w:pPr>
        <w:spacing w:after="360" w:line="860" w:lineRule="exact"/>
        <w:ind w:right="851" w:firstLine="142"/>
        <w:rPr>
          <w:rFonts w:ascii="Traditional Arabic" w:hAnsi="Traditional Arabic"/>
          <w:b/>
          <w:bCs/>
          <w:u w:val="single"/>
          <w:rtl/>
        </w:rPr>
      </w:pPr>
      <w:r w:rsidRPr="00FD3233">
        <w:rPr>
          <w:rFonts w:ascii="Traditional Arabic" w:hAnsi="Traditional Arabic"/>
          <w:b/>
          <w:bCs/>
          <w:u w:val="single"/>
          <w:rtl/>
        </w:rPr>
        <w:t xml:space="preserve">وفيه </w:t>
      </w:r>
      <w:r w:rsidRPr="00FD3233">
        <w:rPr>
          <w:rFonts w:ascii="Traditional Arabic" w:hAnsi="Traditional Arabic" w:hint="cs"/>
          <w:b/>
          <w:bCs/>
          <w:u w:val="single"/>
          <w:rtl/>
        </w:rPr>
        <w:t>ثمانية</w:t>
      </w:r>
      <w:r w:rsidR="00883353">
        <w:rPr>
          <w:rFonts w:ascii="Traditional Arabic" w:hAnsi="Traditional Arabic" w:hint="cs"/>
          <w:b/>
          <w:bCs/>
          <w:u w:val="single"/>
          <w:rtl/>
        </w:rPr>
        <w:t xml:space="preserve"> </w:t>
      </w:r>
      <w:r w:rsidRPr="00FD3233">
        <w:rPr>
          <w:rFonts w:ascii="Traditional Arabic" w:hAnsi="Traditional Arabic"/>
          <w:b/>
          <w:bCs/>
          <w:u w:val="single"/>
          <w:rtl/>
        </w:rPr>
        <w:t>فص</w:t>
      </w:r>
      <w:r w:rsidRPr="00FD3233">
        <w:rPr>
          <w:rFonts w:ascii="Traditional Arabic" w:hAnsi="Traditional Arabic" w:hint="cs"/>
          <w:b/>
          <w:bCs/>
          <w:u w:val="single"/>
          <w:rtl/>
        </w:rPr>
        <w:t>و</w:t>
      </w:r>
      <w:r w:rsidRPr="00FD3233">
        <w:rPr>
          <w:rFonts w:ascii="Traditional Arabic" w:hAnsi="Traditional Arabic"/>
          <w:b/>
          <w:bCs/>
          <w:u w:val="single"/>
          <w:rtl/>
        </w:rPr>
        <w:t>ل :</w:t>
      </w:r>
    </w:p>
    <w:p w:rsidR="000D30E1" w:rsidRPr="00C85F0F" w:rsidRDefault="000D30E1" w:rsidP="00597C20">
      <w:pPr>
        <w:tabs>
          <w:tab w:val="left" w:pos="2833"/>
        </w:tabs>
        <w:ind w:left="2833" w:hanging="2268"/>
        <w:jc w:val="left"/>
        <w:rPr>
          <w:rtl/>
        </w:rPr>
      </w:pPr>
      <w:r w:rsidRPr="00FD3233">
        <w:rPr>
          <w:b/>
          <w:bCs/>
          <w:rtl/>
        </w:rPr>
        <w:t>الفصل الأول:</w:t>
      </w:r>
      <w:r w:rsidR="00AA794C" w:rsidRPr="00C85F0F">
        <w:rPr>
          <w:rFonts w:hint="cs"/>
          <w:rtl/>
        </w:rPr>
        <w:tab/>
      </w:r>
      <w:r w:rsidRPr="00C85F0F">
        <w:rPr>
          <w:rFonts w:hint="cs"/>
          <w:rtl/>
        </w:rPr>
        <w:t>الضوابط المتعلقة بباب الخيار</w:t>
      </w:r>
      <w:r w:rsidRPr="00C85F0F">
        <w:rPr>
          <w:rtl/>
        </w:rPr>
        <w:t>.</w:t>
      </w:r>
    </w:p>
    <w:p w:rsidR="000D30E1" w:rsidRPr="00C85F0F" w:rsidRDefault="000D30E1" w:rsidP="00597C20">
      <w:pPr>
        <w:tabs>
          <w:tab w:val="left" w:pos="2833"/>
        </w:tabs>
        <w:ind w:left="2833" w:hanging="2268"/>
        <w:jc w:val="left"/>
        <w:rPr>
          <w:rtl/>
        </w:rPr>
      </w:pPr>
      <w:r w:rsidRPr="00FD3233">
        <w:rPr>
          <w:b/>
          <w:bCs/>
          <w:rtl/>
        </w:rPr>
        <w:t>الفصل الثاني:</w:t>
      </w:r>
      <w:r w:rsidR="00AA794C" w:rsidRPr="00C85F0F">
        <w:rPr>
          <w:rFonts w:hint="cs"/>
          <w:rtl/>
        </w:rPr>
        <w:tab/>
      </w:r>
      <w:r w:rsidRPr="00C85F0F">
        <w:rPr>
          <w:rtl/>
        </w:rPr>
        <w:t>ال</w:t>
      </w:r>
      <w:r w:rsidRPr="00C85F0F">
        <w:rPr>
          <w:rFonts w:hint="cs"/>
          <w:rtl/>
        </w:rPr>
        <w:t>ضوابط</w:t>
      </w:r>
      <w:r w:rsidRPr="00C85F0F">
        <w:rPr>
          <w:rtl/>
        </w:rPr>
        <w:t xml:space="preserve"> المتعلقة ب</w:t>
      </w:r>
      <w:r w:rsidRPr="00C85F0F">
        <w:rPr>
          <w:rFonts w:hint="cs"/>
          <w:rtl/>
        </w:rPr>
        <w:t>باب الربا والصرف</w:t>
      </w:r>
      <w:r w:rsidRPr="00C85F0F">
        <w:rPr>
          <w:rtl/>
        </w:rPr>
        <w:t>.</w:t>
      </w:r>
    </w:p>
    <w:p w:rsidR="000D30E1" w:rsidRPr="00C85F0F" w:rsidRDefault="000D30E1" w:rsidP="00597C20">
      <w:pPr>
        <w:tabs>
          <w:tab w:val="left" w:pos="2833"/>
        </w:tabs>
        <w:ind w:left="2833" w:hanging="2268"/>
        <w:jc w:val="left"/>
        <w:rPr>
          <w:rtl/>
        </w:rPr>
      </w:pPr>
      <w:r w:rsidRPr="00FD3233">
        <w:rPr>
          <w:b/>
          <w:bCs/>
          <w:rtl/>
        </w:rPr>
        <w:t>الفصل الثالث:</w:t>
      </w:r>
      <w:r w:rsidR="00AA794C" w:rsidRPr="00C85F0F">
        <w:rPr>
          <w:rFonts w:hint="cs"/>
          <w:rtl/>
        </w:rPr>
        <w:tab/>
      </w:r>
      <w:r w:rsidRPr="00C85F0F">
        <w:rPr>
          <w:rtl/>
        </w:rPr>
        <w:t>ال</w:t>
      </w:r>
      <w:r w:rsidRPr="00C85F0F">
        <w:rPr>
          <w:rFonts w:hint="cs"/>
          <w:rtl/>
        </w:rPr>
        <w:t>ضوابط</w:t>
      </w:r>
      <w:r w:rsidRPr="00C85F0F">
        <w:rPr>
          <w:rtl/>
        </w:rPr>
        <w:t xml:space="preserve"> المتعلقة ب</w:t>
      </w:r>
      <w:r w:rsidRPr="00C85F0F">
        <w:rPr>
          <w:rFonts w:hint="cs"/>
          <w:rtl/>
        </w:rPr>
        <w:t>باب القرض وباب الرهن</w:t>
      </w:r>
      <w:r w:rsidRPr="00C85F0F">
        <w:rPr>
          <w:rtl/>
        </w:rPr>
        <w:t>.</w:t>
      </w:r>
    </w:p>
    <w:p w:rsidR="000D30E1" w:rsidRPr="00C85F0F" w:rsidRDefault="000D30E1" w:rsidP="00597C20">
      <w:pPr>
        <w:tabs>
          <w:tab w:val="left" w:pos="2833"/>
        </w:tabs>
        <w:ind w:left="2833" w:hanging="2268"/>
        <w:jc w:val="left"/>
        <w:rPr>
          <w:rtl/>
        </w:rPr>
      </w:pPr>
      <w:r w:rsidRPr="00FD3233">
        <w:rPr>
          <w:b/>
          <w:bCs/>
          <w:rtl/>
        </w:rPr>
        <w:t>الفصل الرابع:</w:t>
      </w:r>
      <w:r w:rsidR="00AA794C" w:rsidRPr="00C85F0F">
        <w:rPr>
          <w:rFonts w:hint="cs"/>
          <w:rtl/>
        </w:rPr>
        <w:tab/>
      </w:r>
      <w:r w:rsidRPr="00C85F0F">
        <w:rPr>
          <w:rtl/>
        </w:rPr>
        <w:t>ال</w:t>
      </w:r>
      <w:r w:rsidRPr="00C85F0F">
        <w:rPr>
          <w:rFonts w:hint="cs"/>
          <w:rtl/>
        </w:rPr>
        <w:t>ضوابط</w:t>
      </w:r>
      <w:r w:rsidRPr="00C85F0F">
        <w:rPr>
          <w:rtl/>
        </w:rPr>
        <w:t xml:space="preserve"> المتعلقة ب</w:t>
      </w:r>
      <w:r w:rsidRPr="00C85F0F">
        <w:rPr>
          <w:rFonts w:hint="cs"/>
          <w:rtl/>
        </w:rPr>
        <w:t>باب الضمان</w:t>
      </w:r>
      <w:r w:rsidRPr="00C85F0F">
        <w:rPr>
          <w:rtl/>
        </w:rPr>
        <w:t>.</w:t>
      </w:r>
    </w:p>
    <w:p w:rsidR="000D30E1" w:rsidRPr="00C85F0F" w:rsidRDefault="000D30E1" w:rsidP="00597C20">
      <w:pPr>
        <w:tabs>
          <w:tab w:val="left" w:pos="2833"/>
        </w:tabs>
        <w:ind w:left="2833" w:hanging="2268"/>
        <w:jc w:val="left"/>
        <w:rPr>
          <w:rtl/>
        </w:rPr>
      </w:pPr>
      <w:r w:rsidRPr="00FD3233">
        <w:rPr>
          <w:b/>
          <w:bCs/>
          <w:rtl/>
        </w:rPr>
        <w:t>الفصل الخامس:</w:t>
      </w:r>
      <w:r w:rsidR="00AA794C" w:rsidRPr="00C85F0F">
        <w:rPr>
          <w:rFonts w:hint="cs"/>
          <w:rtl/>
        </w:rPr>
        <w:tab/>
      </w:r>
      <w:r w:rsidRPr="00C85F0F">
        <w:rPr>
          <w:rtl/>
        </w:rPr>
        <w:t>ال</w:t>
      </w:r>
      <w:r w:rsidRPr="00C85F0F">
        <w:rPr>
          <w:rFonts w:hint="cs"/>
          <w:rtl/>
        </w:rPr>
        <w:t>ضوابط</w:t>
      </w:r>
      <w:r w:rsidRPr="00C85F0F">
        <w:rPr>
          <w:rtl/>
        </w:rPr>
        <w:t xml:space="preserve"> المتعلقة ب</w:t>
      </w:r>
      <w:r w:rsidRPr="00C85F0F">
        <w:rPr>
          <w:rFonts w:hint="cs"/>
          <w:rtl/>
        </w:rPr>
        <w:t>باب الحوالة وباب الوكالة</w:t>
      </w:r>
      <w:r w:rsidRPr="00C85F0F">
        <w:rPr>
          <w:rtl/>
        </w:rPr>
        <w:t>.</w:t>
      </w:r>
    </w:p>
    <w:p w:rsidR="000D30E1" w:rsidRPr="00C85F0F" w:rsidRDefault="000D30E1" w:rsidP="00597C20">
      <w:pPr>
        <w:tabs>
          <w:tab w:val="left" w:pos="2833"/>
        </w:tabs>
        <w:ind w:left="2833" w:hanging="2268"/>
        <w:jc w:val="left"/>
        <w:rPr>
          <w:rtl/>
        </w:rPr>
      </w:pPr>
      <w:r w:rsidRPr="00FD3233">
        <w:rPr>
          <w:b/>
          <w:bCs/>
          <w:rtl/>
        </w:rPr>
        <w:t>الفصل السادس:</w:t>
      </w:r>
      <w:r w:rsidR="00AA794C" w:rsidRPr="00C85F0F">
        <w:rPr>
          <w:rFonts w:hint="cs"/>
          <w:rtl/>
        </w:rPr>
        <w:tab/>
      </w:r>
      <w:r w:rsidRPr="00C85F0F">
        <w:rPr>
          <w:rtl/>
        </w:rPr>
        <w:t>ال</w:t>
      </w:r>
      <w:r w:rsidRPr="00C85F0F">
        <w:rPr>
          <w:rFonts w:hint="cs"/>
          <w:rtl/>
        </w:rPr>
        <w:t>ضوابط</w:t>
      </w:r>
      <w:r w:rsidRPr="00C85F0F">
        <w:rPr>
          <w:rtl/>
        </w:rPr>
        <w:t xml:space="preserve"> المتعلقة ب</w:t>
      </w:r>
      <w:r w:rsidRPr="00C85F0F">
        <w:rPr>
          <w:rFonts w:hint="cs"/>
          <w:rtl/>
        </w:rPr>
        <w:t>باب الشركة وباب الإجارة</w:t>
      </w:r>
      <w:r w:rsidRPr="00C85F0F">
        <w:rPr>
          <w:rtl/>
        </w:rPr>
        <w:t>.</w:t>
      </w:r>
    </w:p>
    <w:p w:rsidR="000D30E1" w:rsidRPr="00C85F0F" w:rsidRDefault="000D30E1" w:rsidP="00597C20">
      <w:pPr>
        <w:tabs>
          <w:tab w:val="left" w:pos="2833"/>
        </w:tabs>
        <w:ind w:left="2833" w:hanging="2268"/>
        <w:jc w:val="left"/>
        <w:rPr>
          <w:rtl/>
        </w:rPr>
      </w:pPr>
      <w:r w:rsidRPr="00FD3233">
        <w:rPr>
          <w:b/>
          <w:bCs/>
          <w:rtl/>
        </w:rPr>
        <w:t>الفصل السابع:</w:t>
      </w:r>
      <w:r w:rsidR="00AA794C" w:rsidRPr="00C85F0F">
        <w:rPr>
          <w:rFonts w:hint="cs"/>
          <w:rtl/>
        </w:rPr>
        <w:tab/>
      </w:r>
      <w:r w:rsidRPr="00C85F0F">
        <w:rPr>
          <w:rtl/>
        </w:rPr>
        <w:t>ال</w:t>
      </w:r>
      <w:r w:rsidRPr="00C85F0F">
        <w:rPr>
          <w:rFonts w:hint="cs"/>
          <w:rtl/>
        </w:rPr>
        <w:t>ضوابط</w:t>
      </w:r>
      <w:r w:rsidRPr="00C85F0F">
        <w:rPr>
          <w:rtl/>
        </w:rPr>
        <w:t xml:space="preserve"> المتعلقة ب</w:t>
      </w:r>
      <w:r w:rsidRPr="00C85F0F">
        <w:rPr>
          <w:rFonts w:hint="cs"/>
          <w:rtl/>
        </w:rPr>
        <w:t>باب السبق وباب العارية وباب الغصب</w:t>
      </w:r>
      <w:r w:rsidRPr="00C85F0F">
        <w:rPr>
          <w:rtl/>
        </w:rPr>
        <w:t>.</w:t>
      </w:r>
    </w:p>
    <w:p w:rsidR="000D30E1" w:rsidRPr="00C85F0F" w:rsidRDefault="000D30E1" w:rsidP="00597C20">
      <w:pPr>
        <w:tabs>
          <w:tab w:val="left" w:pos="2833"/>
        </w:tabs>
        <w:ind w:left="2833" w:hanging="2268"/>
        <w:jc w:val="left"/>
        <w:rPr>
          <w:rtl/>
        </w:rPr>
      </w:pPr>
      <w:r w:rsidRPr="00FD3233">
        <w:rPr>
          <w:b/>
          <w:bCs/>
          <w:rtl/>
        </w:rPr>
        <w:t>الفصل الثامن:</w:t>
      </w:r>
      <w:r w:rsidR="00AA794C" w:rsidRPr="00C85F0F">
        <w:rPr>
          <w:rFonts w:hint="cs"/>
          <w:rtl/>
        </w:rPr>
        <w:tab/>
      </w:r>
      <w:r w:rsidR="00A63D28">
        <w:rPr>
          <w:rtl/>
        </w:rPr>
        <w:t>ال</w:t>
      </w:r>
      <w:r w:rsidR="00A63D28">
        <w:rPr>
          <w:rFonts w:hint="cs"/>
          <w:rtl/>
        </w:rPr>
        <w:t>ضوابط</w:t>
      </w:r>
      <w:r w:rsidRPr="00C85F0F">
        <w:rPr>
          <w:rtl/>
        </w:rPr>
        <w:t xml:space="preserve"> المتعلقة ب</w:t>
      </w:r>
      <w:r w:rsidRPr="00C85F0F">
        <w:rPr>
          <w:rFonts w:hint="cs"/>
          <w:rtl/>
        </w:rPr>
        <w:t>باب الشفعة وباب الوديعة</w:t>
      </w:r>
      <w:r w:rsidRPr="00C85F0F">
        <w:rPr>
          <w:rtl/>
        </w:rPr>
        <w:t>.</w:t>
      </w:r>
    </w:p>
    <w:p w:rsidR="000D30E1" w:rsidRPr="00C85F0F" w:rsidRDefault="000D30E1" w:rsidP="00FD3233">
      <w:pPr>
        <w:pStyle w:val="aff0"/>
        <w:rPr>
          <w:rtl/>
        </w:rPr>
      </w:pPr>
      <w:bookmarkStart w:id="453" w:name="_Toc334046626"/>
      <w:r w:rsidRPr="00C85F0F">
        <w:rPr>
          <w:rFonts w:hint="cs"/>
          <w:rtl/>
        </w:rPr>
        <w:lastRenderedPageBreak/>
        <w:t>الفصل الأول</w:t>
      </w:r>
      <w:r w:rsidRPr="00C85F0F">
        <w:rPr>
          <w:rFonts w:hint="eastAsia"/>
          <w:rtl/>
        </w:rPr>
        <w:t>:</w:t>
      </w:r>
      <w:r w:rsidR="00842B7B">
        <w:rPr>
          <w:rFonts w:hint="cs"/>
          <w:rtl/>
        </w:rPr>
        <w:t xml:space="preserve"> </w:t>
      </w:r>
      <w:r w:rsidRPr="00C85F0F">
        <w:rPr>
          <w:rFonts w:hint="cs"/>
          <w:rtl/>
        </w:rPr>
        <w:t>الضوابط المتعلقة بباب الخيار</w:t>
      </w:r>
      <w:bookmarkEnd w:id="453"/>
    </w:p>
    <w:p w:rsidR="000D30E1" w:rsidRPr="00FD3233" w:rsidRDefault="000D30E1" w:rsidP="00597C20">
      <w:pPr>
        <w:spacing w:after="360" w:line="860" w:lineRule="exact"/>
        <w:ind w:right="851" w:firstLine="142"/>
        <w:rPr>
          <w:rFonts w:ascii="Traditional Arabic" w:hAnsi="Traditional Arabic"/>
          <w:b/>
          <w:bCs/>
          <w:u w:val="single"/>
          <w:rtl/>
        </w:rPr>
      </w:pPr>
      <w:r w:rsidRPr="00FD3233">
        <w:rPr>
          <w:rFonts w:ascii="Traditional Arabic" w:hAnsi="Traditional Arabic" w:hint="cs"/>
          <w:b/>
          <w:bCs/>
          <w:u w:val="single"/>
          <w:rtl/>
        </w:rPr>
        <w:t>وفيه مبحثان:</w:t>
      </w:r>
    </w:p>
    <w:p w:rsidR="000D30E1" w:rsidRPr="00C85F0F" w:rsidRDefault="000D30E1" w:rsidP="00597C20">
      <w:pPr>
        <w:tabs>
          <w:tab w:val="left" w:pos="2833"/>
        </w:tabs>
        <w:ind w:left="2833" w:hanging="2268"/>
        <w:jc w:val="left"/>
        <w:rPr>
          <w:rtl/>
        </w:rPr>
      </w:pPr>
      <w:r w:rsidRPr="00FD3233">
        <w:rPr>
          <w:rFonts w:hint="cs"/>
          <w:b/>
          <w:bCs/>
          <w:rtl/>
        </w:rPr>
        <w:t>المبحث الأول:</w:t>
      </w:r>
      <w:r w:rsidR="002F34AD" w:rsidRPr="00C85F0F">
        <w:rPr>
          <w:rFonts w:hint="cs"/>
          <w:rtl/>
        </w:rPr>
        <w:tab/>
      </w:r>
      <w:r w:rsidRPr="00C85F0F">
        <w:rPr>
          <w:rFonts w:hint="cs"/>
          <w:rtl/>
        </w:rPr>
        <w:t>ضابط من فات غرضه فله الخيار.</w:t>
      </w:r>
    </w:p>
    <w:p w:rsidR="00B34E74" w:rsidRPr="00C85F0F" w:rsidRDefault="000D30E1" w:rsidP="00597C20">
      <w:pPr>
        <w:tabs>
          <w:tab w:val="left" w:pos="2833"/>
        </w:tabs>
        <w:ind w:left="2833" w:hanging="2268"/>
        <w:jc w:val="left"/>
        <w:rPr>
          <w:rtl/>
        </w:rPr>
      </w:pPr>
      <w:r w:rsidRPr="00FD3233">
        <w:rPr>
          <w:rFonts w:hint="cs"/>
          <w:b/>
          <w:bCs/>
          <w:rtl/>
        </w:rPr>
        <w:t>المبحث الثاني:</w:t>
      </w:r>
      <w:r w:rsidR="002F34AD" w:rsidRPr="00C85F0F">
        <w:rPr>
          <w:rFonts w:hint="cs"/>
          <w:rtl/>
        </w:rPr>
        <w:tab/>
      </w:r>
      <w:r w:rsidRPr="00C85F0F">
        <w:rPr>
          <w:rFonts w:hint="cs"/>
          <w:rtl/>
        </w:rPr>
        <w:t>ضابط كل عقد جائز ف</w:t>
      </w:r>
      <w:r w:rsidR="00010350">
        <w:rPr>
          <w:rFonts w:hint="cs"/>
          <w:rtl/>
        </w:rPr>
        <w:t xml:space="preserve">ليس </w:t>
      </w:r>
      <w:r w:rsidRPr="00C85F0F">
        <w:rPr>
          <w:rFonts w:hint="cs"/>
          <w:rtl/>
        </w:rPr>
        <w:t>فيه خيار المجلس.</w:t>
      </w:r>
    </w:p>
    <w:p w:rsidR="00B34E74" w:rsidRPr="00C85F0F" w:rsidRDefault="00E4746A" w:rsidP="000F5C0F">
      <w:pPr>
        <w:pStyle w:val="aff2"/>
        <w:rPr>
          <w:rtl/>
        </w:rPr>
      </w:pPr>
      <w:bookmarkStart w:id="454" w:name="_Toc334046627"/>
      <w:r w:rsidRPr="00C85F0F">
        <w:rPr>
          <w:rFonts w:ascii="Traditional Arabic" w:hAnsi="Traditional Arabic" w:hint="cs"/>
          <w:rtl/>
        </w:rPr>
        <w:lastRenderedPageBreak/>
        <w:t>المبحث الأول</w:t>
      </w:r>
      <w:r w:rsidRPr="00C85F0F">
        <w:rPr>
          <w:rFonts w:ascii="Traditional Arabic" w:hAnsi="Traditional Arabic" w:hint="eastAsia"/>
          <w:rtl/>
        </w:rPr>
        <w:t> </w:t>
      </w:r>
      <w:r w:rsidRPr="00C85F0F">
        <w:rPr>
          <w:rFonts w:ascii="Traditional Arabic" w:hAnsi="Traditional Arabic" w:hint="cs"/>
          <w:rtl/>
        </w:rPr>
        <w:t>:</w:t>
      </w:r>
      <w:r w:rsidRPr="00C85F0F">
        <w:rPr>
          <w:rFonts w:ascii="Traditional Arabic" w:hAnsi="Traditional Arabic"/>
          <w:rtl/>
        </w:rPr>
        <w:br/>
      </w:r>
      <w:r w:rsidR="00B34E74" w:rsidRPr="00C85F0F">
        <w:rPr>
          <w:rFonts w:hint="cs"/>
          <w:rtl/>
        </w:rPr>
        <w:t>ضابط</w:t>
      </w:r>
      <w:r w:rsidR="00B34E74" w:rsidRPr="00C85F0F">
        <w:rPr>
          <w:rFonts w:hint="cs"/>
          <w:rtl/>
        </w:rPr>
        <w:br/>
        <w:t>"من فات غرضه فله الخيار</w:t>
      </w:r>
      <w:r w:rsidR="00AB0B9E" w:rsidRPr="00C85F0F">
        <w:rPr>
          <w:rtl/>
        </w:rPr>
        <w:fldChar w:fldCharType="begin"/>
      </w:r>
      <w:r w:rsidR="00945AC4" w:rsidRPr="00C85F0F">
        <w:instrText>XE</w:instrText>
      </w:r>
      <w:r w:rsidR="00945AC4" w:rsidRPr="00C85F0F">
        <w:rPr>
          <w:rtl/>
        </w:rPr>
        <w:instrText xml:space="preserve"> "</w:instrText>
      </w:r>
      <w:r w:rsidR="00945AC4" w:rsidRPr="00C85F0F">
        <w:rPr>
          <w:rFonts w:hint="cs"/>
          <w:rtl/>
        </w:rPr>
        <w:instrText>منفاتغرضهفلهالخيار</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B34E74" w:rsidRPr="00C85F0F">
        <w:rPr>
          <w:rFonts w:hint="cs"/>
          <w:rtl/>
        </w:rPr>
        <w:t>"</w:t>
      </w:r>
      <w:r w:rsidR="00B34E74" w:rsidRPr="00C85F0F">
        <w:rPr>
          <w:rStyle w:val="af1"/>
          <w:b w:val="0"/>
          <w:bCs w:val="0"/>
          <w:szCs w:val="32"/>
          <w:rtl/>
        </w:rPr>
        <w:t>(</w:t>
      </w:r>
      <w:r w:rsidR="00B34E74" w:rsidRPr="00C85F0F">
        <w:rPr>
          <w:rStyle w:val="af1"/>
          <w:b w:val="0"/>
          <w:bCs w:val="0"/>
          <w:szCs w:val="32"/>
          <w:rtl/>
        </w:rPr>
        <w:footnoteReference w:id="2072"/>
      </w:r>
      <w:r w:rsidR="00B34E74" w:rsidRPr="00C85F0F">
        <w:rPr>
          <w:rStyle w:val="af1"/>
          <w:b w:val="0"/>
          <w:bCs w:val="0"/>
          <w:szCs w:val="32"/>
          <w:rtl/>
        </w:rPr>
        <w:t>)</w:t>
      </w:r>
      <w:bookmarkEnd w:id="454"/>
    </w:p>
    <w:p w:rsidR="00065E4B" w:rsidRPr="00C85F0F" w:rsidRDefault="00842B7B" w:rsidP="00A8347C">
      <w:pPr>
        <w:pStyle w:val="aff3"/>
        <w:rPr>
          <w:rtl/>
        </w:rPr>
      </w:pPr>
      <w:bookmarkStart w:id="455" w:name="_Toc334046628"/>
      <w:r>
        <w:rPr>
          <w:rFonts w:hint="cs"/>
          <w:rtl/>
        </w:rPr>
        <w:t xml:space="preserve">                                         </w:t>
      </w:r>
      <w:r w:rsidR="00B34E74" w:rsidRPr="00C85F0F">
        <w:rPr>
          <w:rFonts w:hint="cs"/>
          <w:rtl/>
        </w:rPr>
        <w:t>المطلب الأول</w:t>
      </w:r>
      <w:r w:rsidR="00B34E74" w:rsidRPr="00C85F0F">
        <w:rPr>
          <w:rFonts w:hint="eastAsia"/>
          <w:rtl/>
        </w:rPr>
        <w:t> :</w:t>
      </w:r>
      <w:r w:rsidR="00B34E74" w:rsidRPr="00C85F0F">
        <w:rPr>
          <w:rFonts w:hint="cs"/>
          <w:rtl/>
        </w:rPr>
        <w:br/>
      </w:r>
      <w:r>
        <w:rPr>
          <w:rFonts w:hint="cs"/>
          <w:rtl/>
        </w:rPr>
        <w:t xml:space="preserve">                                          </w:t>
      </w:r>
      <w:r w:rsidR="00B34E74" w:rsidRPr="00C85F0F">
        <w:rPr>
          <w:rFonts w:hint="cs"/>
          <w:rtl/>
        </w:rPr>
        <w:t>شرح الضابط</w:t>
      </w:r>
      <w:bookmarkEnd w:id="455"/>
    </w:p>
    <w:p w:rsidR="000E1D14" w:rsidRPr="00C85F0F" w:rsidRDefault="00065E4B" w:rsidP="00597C20">
      <w:pPr>
        <w:pStyle w:val="53"/>
        <w:rPr>
          <w:rtl/>
        </w:rPr>
      </w:pPr>
      <w:r w:rsidRPr="006E1F02">
        <w:rPr>
          <w:rFonts w:hint="cs"/>
          <w:rtl/>
        </w:rPr>
        <w:t>ا</w:t>
      </w:r>
      <w:r w:rsidR="00B34E74" w:rsidRPr="006E1F02">
        <w:rPr>
          <w:rFonts w:hint="cs"/>
          <w:rtl/>
        </w:rPr>
        <w:t>لغر</w:t>
      </w:r>
      <w:r w:rsidR="00842B7B">
        <w:rPr>
          <w:rFonts w:hint="cs"/>
          <w:rtl/>
        </w:rPr>
        <w:t>َ</w:t>
      </w:r>
      <w:r w:rsidR="00B34E74" w:rsidRPr="006E1F02">
        <w:rPr>
          <w:rFonts w:hint="cs"/>
          <w:rtl/>
        </w:rPr>
        <w:t>ض</w:t>
      </w:r>
      <w:r w:rsidR="00AB0B9E">
        <w:rPr>
          <w:rtl/>
        </w:rPr>
        <w:fldChar w:fldCharType="begin"/>
      </w:r>
      <w:r w:rsidR="006E1F02">
        <w:instrText xml:space="preserve"> XE "</w:instrText>
      </w:r>
      <w:r w:rsidR="006E1F02" w:rsidRPr="006E1F02">
        <w:rPr>
          <w:rFonts w:hint="cs"/>
          <w:b w:val="0"/>
          <w:bCs w:val="0"/>
          <w:rtl/>
        </w:rPr>
        <w:instrText>الغرض</w:instrText>
      </w:r>
      <w:r w:rsidR="006E1F02">
        <w:instrText xml:space="preserve">" </w:instrText>
      </w:r>
      <w:r w:rsidR="006E1F02" w:rsidRPr="006E1F02">
        <w:instrText xml:space="preserve">\fm </w:instrText>
      </w:r>
      <w:r w:rsidR="00AB0B9E">
        <w:rPr>
          <w:rtl/>
        </w:rPr>
        <w:fldChar w:fldCharType="end"/>
      </w:r>
      <w:r w:rsidR="00B34E74" w:rsidRPr="00C85F0F">
        <w:rPr>
          <w:rFonts w:hint="cs"/>
          <w:rtl/>
        </w:rPr>
        <w:t xml:space="preserve"> لغة:</w:t>
      </w:r>
    </w:p>
    <w:p w:rsidR="00065E4B" w:rsidRPr="00842B7B" w:rsidRDefault="00B34E74" w:rsidP="00842B7B">
      <w:pPr>
        <w:ind w:firstLine="720"/>
        <w:rPr>
          <w:rFonts w:ascii="Traditional Arabic" w:hAnsi="Traditional Arabic"/>
          <w:noProof w:val="0"/>
          <w:rtl/>
          <w:lang w:eastAsia="en-US"/>
        </w:rPr>
      </w:pPr>
      <w:r w:rsidRPr="00C85F0F">
        <w:rPr>
          <w:rFonts w:ascii="Traditional Arabic" w:hAnsi="Traditional Arabic"/>
          <w:noProof w:val="0"/>
          <w:rtl/>
          <w:lang w:eastAsia="en-US"/>
        </w:rPr>
        <w:t>الهدف الذي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رمى إليه</w:t>
      </w:r>
      <w:r w:rsidRPr="00C85F0F">
        <w:rPr>
          <w:rFonts w:ascii="Traditional Arabic" w:hAnsi="Traditional Arabic" w:hint="cs"/>
          <w:noProof w:val="0"/>
          <w:rtl/>
          <w:lang w:eastAsia="en-US"/>
        </w:rPr>
        <w:t>،</w:t>
      </w:r>
      <w:r w:rsidR="00154102" w:rsidRPr="00C85F0F">
        <w:rPr>
          <w:rFonts w:ascii="Traditional Arabic" w:hAnsi="Traditional Arabic" w:hint="cs"/>
          <w:noProof w:val="0"/>
          <w:rtl/>
          <w:lang w:eastAsia="en-US"/>
        </w:rPr>
        <w:t xml:space="preserve"> و</w:t>
      </w:r>
      <w:r w:rsidRPr="00C85F0F">
        <w:rPr>
          <w:rFonts w:ascii="Traditional Arabic" w:hAnsi="Traditional Arabic"/>
          <w:noProof w:val="0"/>
          <w:rtl/>
          <w:lang w:eastAsia="en-US"/>
        </w:rPr>
        <w:t>تقول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غَرَضُهُ</w:t>
      </w:r>
      <w:r w:rsidRPr="00C85F0F">
        <w:rPr>
          <w:rFonts w:ascii="Traditional Arabic" w:hAnsi="Traditional Arabic" w:hint="cs"/>
          <w:noProof w:val="0"/>
          <w:rtl/>
          <w:lang w:eastAsia="en-US"/>
        </w:rPr>
        <w:t xml:space="preserve"> كذا،</w:t>
      </w:r>
      <w:r w:rsidRPr="00C85F0F">
        <w:rPr>
          <w:rFonts w:ascii="Traditional Arabic" w:hAnsi="Traditional Arabic"/>
          <w:noProof w:val="0"/>
          <w:rtl/>
          <w:lang w:eastAsia="en-US"/>
        </w:rPr>
        <w:t xml:space="preserve"> أي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ماه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الذي يقص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ده</w:t>
      </w:r>
      <w:r w:rsidRPr="00C85F0F">
        <w:rPr>
          <w:rFonts w:ascii="Traditional Arabic" w:hAnsi="Traditional Arabic" w:hint="cs"/>
          <w:noProof w:val="0"/>
          <w:rtl/>
          <w:lang w:eastAsia="en-US"/>
        </w:rPr>
        <w:t>،</w:t>
      </w:r>
      <w:r w:rsidR="00842B7B">
        <w:rPr>
          <w:rFonts w:ascii="Traditional Arabic" w:hAnsi="Traditional Arabic" w:hint="cs"/>
          <w:noProof w:val="0"/>
          <w:rtl/>
          <w:lang w:eastAsia="en-US"/>
        </w:rPr>
        <w:t xml:space="preserve"> </w:t>
      </w:r>
      <w:r w:rsidRPr="00C85F0F">
        <w:rPr>
          <w:rFonts w:ascii="Traditional Arabic" w:hAnsi="Traditional Arabic"/>
          <w:noProof w:val="0"/>
          <w:rtl/>
          <w:lang w:eastAsia="en-US"/>
        </w:rPr>
        <w:t>و</w:t>
      </w:r>
      <w:r w:rsidRPr="00C85F0F">
        <w:rPr>
          <w:rFonts w:ascii="Traditional Arabic" w:hAnsi="Traditional Arabic" w:hint="cs"/>
          <w:noProof w:val="0"/>
          <w:rtl/>
          <w:lang w:eastAsia="en-US"/>
        </w:rPr>
        <w:t>تقول:</w:t>
      </w:r>
      <w:r w:rsidRPr="00C85F0F">
        <w:rPr>
          <w:rFonts w:ascii="Traditional Arabic" w:hAnsi="Traditional Arabic"/>
          <w:noProof w:val="0"/>
          <w:rtl/>
          <w:lang w:eastAsia="en-US"/>
        </w:rPr>
        <w:t xml:space="preserve"> فعل لِغَرَضٍ صحيح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أي</w:t>
      </w:r>
      <w:r w:rsidRPr="00C85F0F">
        <w:rPr>
          <w:rFonts w:ascii="Traditional Arabic" w:hAnsi="Traditional Arabic" w:hint="cs"/>
          <w:noProof w:val="0"/>
          <w:rtl/>
          <w:lang w:eastAsia="en-US"/>
        </w:rPr>
        <w:t>:</w:t>
      </w:r>
      <w:r w:rsidR="00842B7B">
        <w:rPr>
          <w:rFonts w:ascii="Traditional Arabic" w:hAnsi="Traditional Arabic" w:hint="cs"/>
          <w:noProof w:val="0"/>
          <w:rtl/>
          <w:lang w:eastAsia="en-US"/>
        </w:rPr>
        <w:t xml:space="preserve"> </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Style w:val="af1"/>
          <w:szCs w:val="32"/>
          <w:rtl/>
        </w:rPr>
        <w:t>(</w:t>
      </w:r>
      <w:r w:rsidRPr="00C85F0F">
        <w:rPr>
          <w:rStyle w:val="af1"/>
          <w:szCs w:val="32"/>
          <w:rtl/>
        </w:rPr>
        <w:footnoteReference w:id="2073"/>
      </w:r>
      <w:r w:rsidRPr="00C85F0F">
        <w:rPr>
          <w:rStyle w:val="af1"/>
          <w:szCs w:val="32"/>
          <w:rtl/>
        </w:rPr>
        <w:t>)</w:t>
      </w:r>
      <w:r w:rsidRPr="00C85F0F">
        <w:rPr>
          <w:rFonts w:hint="cs"/>
          <w:rtl/>
        </w:rPr>
        <w:t>.</w:t>
      </w:r>
    </w:p>
    <w:p w:rsidR="00065E4B" w:rsidRPr="00C85F0F" w:rsidRDefault="00065E4B" w:rsidP="00597C20">
      <w:pPr>
        <w:pStyle w:val="53"/>
        <w:rPr>
          <w:rtl/>
        </w:rPr>
      </w:pPr>
      <w:r w:rsidRPr="00C85F0F">
        <w:rPr>
          <w:rFonts w:hint="cs"/>
          <w:rtl/>
        </w:rPr>
        <w:t>م</w:t>
      </w:r>
      <w:r w:rsidR="00B34E74" w:rsidRPr="00C85F0F">
        <w:rPr>
          <w:rFonts w:hint="cs"/>
          <w:rtl/>
        </w:rPr>
        <w:t xml:space="preserve">عنى </w:t>
      </w:r>
      <w:r w:rsidR="00B34E74" w:rsidRPr="006E1F02">
        <w:rPr>
          <w:rFonts w:hint="cs"/>
          <w:rtl/>
        </w:rPr>
        <w:t>الضابط</w:t>
      </w:r>
      <w:r w:rsidR="00B34E74" w:rsidRPr="00C85F0F">
        <w:rPr>
          <w:rFonts w:hint="cs"/>
          <w:rtl/>
        </w:rPr>
        <w:t xml:space="preserve"> إجمالا:</w:t>
      </w:r>
    </w:p>
    <w:p w:rsidR="00F228A9" w:rsidRPr="00C85F0F" w:rsidRDefault="00065E4B" w:rsidP="00597C20">
      <w:pPr>
        <w:ind w:firstLine="720"/>
        <w:rPr>
          <w:rtl/>
        </w:rPr>
      </w:pPr>
      <w:r w:rsidRPr="00C85F0F">
        <w:rPr>
          <w:rFonts w:hint="cs"/>
          <w:rtl/>
        </w:rPr>
        <w:t>م</w:t>
      </w:r>
      <w:r w:rsidR="005C5094">
        <w:rPr>
          <w:rFonts w:hint="cs"/>
          <w:rtl/>
        </w:rPr>
        <w:t>ن أبرم عقداً وفات غرضُه منه</w:t>
      </w:r>
      <w:r w:rsidR="00B34E74" w:rsidRPr="00C85F0F">
        <w:rPr>
          <w:rFonts w:hint="cs"/>
          <w:rtl/>
        </w:rPr>
        <w:t>، أو اشترط شرطا</w:t>
      </w:r>
      <w:r w:rsidR="00842B7B">
        <w:rPr>
          <w:rFonts w:hint="cs"/>
          <w:rtl/>
        </w:rPr>
        <w:t>ً</w:t>
      </w:r>
      <w:r w:rsidR="00B34E74" w:rsidRPr="00C85F0F">
        <w:rPr>
          <w:rFonts w:hint="cs"/>
          <w:rtl/>
        </w:rPr>
        <w:t xml:space="preserve"> وفات مقصودُه منه، فإن له حق</w:t>
      </w:r>
      <w:r w:rsidR="00842B7B">
        <w:rPr>
          <w:rFonts w:hint="cs"/>
          <w:rtl/>
        </w:rPr>
        <w:t>َّ</w:t>
      </w:r>
      <w:r w:rsidR="00B34E74" w:rsidRPr="00C85F0F">
        <w:rPr>
          <w:rFonts w:hint="cs"/>
          <w:rtl/>
        </w:rPr>
        <w:t xml:space="preserve"> ف</w:t>
      </w:r>
      <w:r w:rsidR="00842B7B">
        <w:rPr>
          <w:rFonts w:hint="cs"/>
          <w:rtl/>
        </w:rPr>
        <w:t>َ</w:t>
      </w:r>
      <w:r w:rsidR="00B34E74" w:rsidRPr="00C85F0F">
        <w:rPr>
          <w:rFonts w:hint="cs"/>
          <w:rtl/>
        </w:rPr>
        <w:t>س</w:t>
      </w:r>
      <w:r w:rsidR="00842B7B">
        <w:rPr>
          <w:rFonts w:hint="cs"/>
          <w:rtl/>
        </w:rPr>
        <w:t>ْ</w:t>
      </w:r>
      <w:r w:rsidR="00B34E74" w:rsidRPr="00C85F0F">
        <w:rPr>
          <w:rFonts w:hint="cs"/>
          <w:rtl/>
        </w:rPr>
        <w:t>خ العقد لِفَوات غرضه</w:t>
      </w:r>
      <w:r w:rsidR="005C5094">
        <w:rPr>
          <w:rFonts w:hint="cs"/>
          <w:rtl/>
        </w:rPr>
        <w:t xml:space="preserve">؛ لأن الخيار </w:t>
      </w:r>
      <w:r w:rsidR="005C5094" w:rsidRPr="005C5094">
        <w:rPr>
          <w:rFonts w:ascii="Traditional Arabic" w:hAnsi="Traditional Arabic"/>
          <w:noProof w:val="0"/>
          <w:color w:val="auto"/>
          <w:rtl/>
          <w:lang w:eastAsia="en-US"/>
        </w:rPr>
        <w:t>يثب</w:t>
      </w:r>
      <w:r w:rsidR="005C5094" w:rsidRPr="005C5094">
        <w:rPr>
          <w:rFonts w:ascii="Traditional Arabic" w:hAnsi="Traditional Arabic" w:hint="cs"/>
          <w:noProof w:val="0"/>
          <w:color w:val="auto"/>
          <w:rtl/>
          <w:lang w:eastAsia="en-US"/>
        </w:rPr>
        <w:t>ُ</w:t>
      </w:r>
      <w:r w:rsidR="005C5094" w:rsidRPr="005C5094">
        <w:rPr>
          <w:rFonts w:ascii="Traditional Arabic" w:hAnsi="Traditional Arabic"/>
          <w:noProof w:val="0"/>
          <w:color w:val="auto"/>
          <w:rtl/>
          <w:lang w:eastAsia="en-US"/>
        </w:rPr>
        <w:t>ت فيما يف</w:t>
      </w:r>
      <w:r w:rsidR="005C5094" w:rsidRPr="005C5094">
        <w:rPr>
          <w:rFonts w:ascii="Traditional Arabic" w:hAnsi="Traditional Arabic" w:hint="cs"/>
          <w:noProof w:val="0"/>
          <w:color w:val="auto"/>
          <w:rtl/>
          <w:lang w:eastAsia="en-US"/>
        </w:rPr>
        <w:t>ُ</w:t>
      </w:r>
      <w:r w:rsidR="005C5094" w:rsidRPr="005C5094">
        <w:rPr>
          <w:rFonts w:ascii="Traditional Arabic" w:hAnsi="Traditional Arabic"/>
          <w:noProof w:val="0"/>
          <w:color w:val="auto"/>
          <w:rtl/>
          <w:lang w:eastAsia="en-US"/>
        </w:rPr>
        <w:t>وت به مقصود</w:t>
      </w:r>
      <w:r w:rsidR="005C5094" w:rsidRPr="005C5094">
        <w:rPr>
          <w:rFonts w:ascii="Traditional Arabic" w:hAnsi="Traditional Arabic" w:hint="cs"/>
          <w:noProof w:val="0"/>
          <w:color w:val="auto"/>
          <w:rtl/>
          <w:lang w:eastAsia="en-US"/>
        </w:rPr>
        <w:t>ُ</w:t>
      </w:r>
      <w:r w:rsidR="005C5094" w:rsidRPr="005C5094">
        <w:rPr>
          <w:rFonts w:ascii="Traditional Arabic" w:hAnsi="Traditional Arabic"/>
          <w:noProof w:val="0"/>
          <w:color w:val="auto"/>
          <w:rtl/>
          <w:lang w:eastAsia="en-US"/>
        </w:rPr>
        <w:t xml:space="preserve"> أحد المتعاقدين</w:t>
      </w:r>
      <w:r w:rsidR="00B34E74" w:rsidRPr="00C85F0F">
        <w:rPr>
          <w:rFonts w:hint="cs"/>
          <w:rtl/>
        </w:rPr>
        <w:t>.</w:t>
      </w:r>
    </w:p>
    <w:p w:rsidR="00065E4B" w:rsidRPr="00C85F0F" w:rsidRDefault="00842B7B" w:rsidP="00A8347C">
      <w:pPr>
        <w:pStyle w:val="aff3"/>
        <w:rPr>
          <w:rtl/>
        </w:rPr>
      </w:pPr>
      <w:bookmarkStart w:id="456" w:name="_Toc334046629"/>
      <w:r>
        <w:rPr>
          <w:rFonts w:hint="cs"/>
          <w:rtl/>
        </w:rPr>
        <w:lastRenderedPageBreak/>
        <w:t xml:space="preserve">                                          </w:t>
      </w:r>
      <w:r w:rsidR="00B34E74" w:rsidRPr="00C85F0F">
        <w:rPr>
          <w:rFonts w:hint="cs"/>
          <w:rtl/>
        </w:rPr>
        <w:t>المطلب الثاني</w:t>
      </w:r>
      <w:r w:rsidR="00B34E74" w:rsidRPr="00C85F0F">
        <w:rPr>
          <w:rFonts w:hint="eastAsia"/>
          <w:rtl/>
        </w:rPr>
        <w:t> :</w:t>
      </w:r>
      <w:r w:rsidR="00B34E74" w:rsidRPr="00C85F0F">
        <w:rPr>
          <w:rFonts w:hint="cs"/>
          <w:rtl/>
        </w:rPr>
        <w:br/>
      </w:r>
      <w:r>
        <w:rPr>
          <w:rFonts w:hint="cs"/>
          <w:rtl/>
        </w:rPr>
        <w:t xml:space="preserve">            </w:t>
      </w:r>
      <w:r w:rsidR="00C33E18">
        <w:rPr>
          <w:rFonts w:hint="cs"/>
          <w:rtl/>
        </w:rPr>
        <w:t xml:space="preserve">                              </w:t>
      </w:r>
      <w:r w:rsidR="00B34E74" w:rsidRPr="00C85F0F">
        <w:rPr>
          <w:rFonts w:hint="cs"/>
          <w:rtl/>
        </w:rPr>
        <w:t>أدلة الضابط</w:t>
      </w:r>
      <w:bookmarkEnd w:id="456"/>
    </w:p>
    <w:p w:rsidR="00B34E74" w:rsidRPr="00C85F0F" w:rsidRDefault="00841A48" w:rsidP="00841A48">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B34E74" w:rsidRPr="00C85F0F">
        <w:rPr>
          <w:rFonts w:ascii="Traditional Arabic" w:hAnsi="Traditional Arabic" w:hint="cs"/>
          <w:noProof w:val="0"/>
          <w:rtl/>
          <w:lang w:eastAsia="en-US"/>
        </w:rPr>
        <w:t xml:space="preserve"> يمكن أن يُستدل له من جهة التعليل بأن الخيار شُرع لدفع الضرر عن المتعاقدين، فإذا فات غرض أحدهما جاز له فسخ العقد؛ لأن فوات غرضه نوعٌ من الضرر، والله أعلم</w:t>
      </w:r>
      <w:r w:rsidR="00B34E74" w:rsidRPr="00C85F0F">
        <w:rPr>
          <w:rStyle w:val="af1"/>
          <w:szCs w:val="32"/>
          <w:rtl/>
        </w:rPr>
        <w:t>(</w:t>
      </w:r>
      <w:r w:rsidR="00B34E74" w:rsidRPr="00C85F0F">
        <w:rPr>
          <w:rStyle w:val="af1"/>
          <w:szCs w:val="32"/>
          <w:rtl/>
        </w:rPr>
        <w:footnoteReference w:id="2074"/>
      </w:r>
      <w:r w:rsidR="00B34E74" w:rsidRPr="00C85F0F">
        <w:rPr>
          <w:rStyle w:val="af1"/>
          <w:szCs w:val="32"/>
          <w:rtl/>
        </w:rPr>
        <w:t>)</w:t>
      </w:r>
      <w:r w:rsidR="00B34E74" w:rsidRPr="00C85F0F">
        <w:rPr>
          <w:rFonts w:ascii="Traditional Arabic" w:hAnsi="Traditional Arabic" w:hint="cs"/>
          <w:noProof w:val="0"/>
          <w:rtl/>
          <w:lang w:eastAsia="en-US"/>
        </w:rPr>
        <w:t>.</w:t>
      </w:r>
    </w:p>
    <w:p w:rsidR="00B34E74" w:rsidRPr="00C85F0F" w:rsidRDefault="00842B7B" w:rsidP="00A8347C">
      <w:pPr>
        <w:pStyle w:val="aff3"/>
        <w:rPr>
          <w:rtl/>
        </w:rPr>
      </w:pPr>
      <w:bookmarkStart w:id="457" w:name="_Toc334046630"/>
      <w:r>
        <w:rPr>
          <w:rFonts w:hint="cs"/>
          <w:rtl/>
        </w:rPr>
        <w:t xml:space="preserve">                                       </w:t>
      </w:r>
      <w:r w:rsidR="00B34E74" w:rsidRPr="00C85F0F">
        <w:rPr>
          <w:rFonts w:hint="cs"/>
          <w:rtl/>
        </w:rPr>
        <w:t>المطلب الثالث</w:t>
      </w:r>
      <w:r w:rsidR="00B34E74" w:rsidRPr="00C85F0F">
        <w:rPr>
          <w:rFonts w:hint="eastAsia"/>
          <w:rtl/>
        </w:rPr>
        <w:t> :</w:t>
      </w:r>
      <w:r w:rsidR="00B34E74" w:rsidRPr="00C85F0F">
        <w:rPr>
          <w:rFonts w:hint="cs"/>
          <w:rtl/>
        </w:rPr>
        <w:br/>
      </w:r>
      <w:r>
        <w:rPr>
          <w:rFonts w:hint="cs"/>
          <w:rtl/>
        </w:rPr>
        <w:t xml:space="preserve">       </w:t>
      </w:r>
      <w:r w:rsidR="00C33E18">
        <w:rPr>
          <w:rFonts w:hint="cs"/>
          <w:rtl/>
        </w:rPr>
        <w:t xml:space="preserve">                                </w:t>
      </w:r>
      <w:r w:rsidR="00B34E74" w:rsidRPr="00C85F0F">
        <w:rPr>
          <w:rFonts w:hint="cs"/>
          <w:rtl/>
        </w:rPr>
        <w:t>تطبيقات الضابط</w:t>
      </w:r>
      <w:bookmarkEnd w:id="457"/>
    </w:p>
    <w:p w:rsidR="00B34E74" w:rsidRPr="00C85F0F" w:rsidRDefault="00B34E74" w:rsidP="000A76C7">
      <w:pPr>
        <w:pStyle w:val="afc"/>
        <w:widowControl/>
        <w:numPr>
          <w:ilvl w:val="0"/>
          <w:numId w:val="284"/>
        </w:numPr>
        <w:autoSpaceDE w:val="0"/>
        <w:autoSpaceDN w:val="0"/>
        <w:adjustRightInd w:val="0"/>
        <w:rPr>
          <w:rFonts w:ascii="Traditional Arabic" w:hAnsi="Traditional Arabic"/>
          <w:noProof w:val="0"/>
          <w:lang w:eastAsia="en-US"/>
        </w:rPr>
      </w:pPr>
      <w:r w:rsidRPr="00C85F0F">
        <w:rPr>
          <w:rFonts w:hint="cs"/>
          <w:rtl/>
        </w:rPr>
        <w:t xml:space="preserve">لو </w:t>
      </w:r>
      <w:r w:rsidRPr="00C85F0F">
        <w:rPr>
          <w:rFonts w:ascii="Traditional Arabic" w:hAnsi="Traditional Arabic"/>
          <w:noProof w:val="0"/>
          <w:rtl/>
          <w:lang w:eastAsia="en-US"/>
        </w:rPr>
        <w:t>اشترى أرض</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 xml:space="preserve"> على أنها </w:t>
      </w:r>
      <w:r w:rsidRPr="00C85F0F">
        <w:rPr>
          <w:rFonts w:ascii="Traditional Arabic" w:hAnsi="Traditional Arabic" w:hint="cs"/>
          <w:noProof w:val="0"/>
          <w:rtl/>
          <w:lang w:eastAsia="en-US"/>
        </w:rPr>
        <w:t xml:space="preserve">عشرة أذرُع ثم </w:t>
      </w:r>
      <w:r w:rsidRPr="00C85F0F">
        <w:rPr>
          <w:rFonts w:ascii="Traditional Arabic" w:hAnsi="Traditional Arabic"/>
          <w:noProof w:val="0"/>
          <w:rtl/>
          <w:lang w:eastAsia="en-US"/>
        </w:rPr>
        <w:t>تبي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ن </w:t>
      </w:r>
      <w:r w:rsidRPr="00C85F0F">
        <w:rPr>
          <w:rFonts w:ascii="Traditional Arabic" w:hAnsi="Traditional Arabic" w:hint="cs"/>
          <w:noProof w:val="0"/>
          <w:rtl/>
          <w:lang w:eastAsia="en-US"/>
        </w:rPr>
        <w:t xml:space="preserve">بعد ذلك </w:t>
      </w:r>
      <w:r w:rsidRPr="00C85F0F">
        <w:rPr>
          <w:rFonts w:ascii="Traditional Arabic" w:hAnsi="Traditional Arabic"/>
          <w:noProof w:val="0"/>
          <w:rtl/>
          <w:lang w:eastAsia="en-US"/>
        </w:rPr>
        <w:t>أنها تسع</w:t>
      </w:r>
      <w:r w:rsidRPr="00C85F0F">
        <w:rPr>
          <w:rFonts w:ascii="Traditional Arabic" w:hAnsi="Traditional Arabic" w:hint="cs"/>
          <w:noProof w:val="0"/>
          <w:rtl/>
          <w:lang w:eastAsia="en-US"/>
        </w:rPr>
        <w:t>ة أذرع</w:t>
      </w:r>
      <w:r w:rsidRPr="00C85F0F">
        <w:rPr>
          <w:rFonts w:ascii="Traditional Arabic" w:hAnsi="Traditional Arabic"/>
          <w:noProof w:val="0"/>
          <w:rtl/>
          <w:lang w:eastAsia="en-US"/>
        </w:rPr>
        <w:t>،</w:t>
      </w:r>
      <w:r w:rsidRPr="00C85F0F">
        <w:rPr>
          <w:rFonts w:ascii="Traditional Arabic" w:hAnsi="Traditional Arabic" w:hint="cs"/>
          <w:noProof w:val="0"/>
          <w:rtl/>
          <w:lang w:eastAsia="en-US"/>
        </w:rPr>
        <w:t xml:space="preserve"> صح </w:t>
      </w:r>
      <w:r w:rsidRPr="00C85F0F">
        <w:rPr>
          <w:rFonts w:ascii="Traditional Arabic" w:hAnsi="Traditional Arabic"/>
          <w:noProof w:val="0"/>
          <w:rtl/>
          <w:lang w:eastAsia="en-US"/>
        </w:rPr>
        <w:t>البي</w:t>
      </w:r>
      <w:r w:rsidRPr="00C85F0F">
        <w:rPr>
          <w:rFonts w:ascii="Traditional Arabic" w:hAnsi="Traditional Arabic" w:hint="cs"/>
          <w:noProof w:val="0"/>
          <w:rtl/>
          <w:lang w:eastAsia="en-US"/>
        </w:rPr>
        <w:t>ع</w:t>
      </w:r>
      <w:r w:rsidRPr="00C85F0F">
        <w:rPr>
          <w:rFonts w:ascii="Traditional Arabic" w:hAnsi="Traditional Arabic"/>
          <w:noProof w:val="0"/>
          <w:rtl/>
          <w:lang w:eastAsia="en-US"/>
        </w:rPr>
        <w:t>؛ لأنه وقع على شيء معي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معلوم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بالمشاهدة، و</w:t>
      </w:r>
      <w:r w:rsidRPr="00C85F0F">
        <w:rPr>
          <w:rFonts w:ascii="Traditional Arabic" w:hAnsi="Traditional Arabic" w:hint="cs"/>
          <w:noProof w:val="0"/>
          <w:rtl/>
          <w:lang w:eastAsia="en-US"/>
        </w:rPr>
        <w:t xml:space="preserve">إنما اختلف </w:t>
      </w:r>
      <w:r w:rsidRPr="00C85F0F">
        <w:rPr>
          <w:rFonts w:ascii="Traditional Arabic" w:hAnsi="Traditional Arabic"/>
          <w:noProof w:val="0"/>
          <w:rtl/>
          <w:lang w:eastAsia="en-US"/>
        </w:rPr>
        <w:t xml:space="preserve">التقدير، </w:t>
      </w:r>
      <w:r w:rsidRPr="00C85F0F">
        <w:rPr>
          <w:rFonts w:ascii="Traditional Arabic" w:hAnsi="Traditional Arabic" w:hint="cs"/>
          <w:noProof w:val="0"/>
          <w:rtl/>
          <w:lang w:eastAsia="en-US"/>
        </w:rPr>
        <w:t>وعلى هذا يكون</w:t>
      </w:r>
      <w:r w:rsidR="007A6F9A">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النقص على البائع</w:t>
      </w:r>
      <w:r w:rsidRPr="00C85F0F">
        <w:rPr>
          <w:rFonts w:ascii="Traditional Arabic" w:hAnsi="Traditional Arabic"/>
          <w:noProof w:val="0"/>
          <w:rtl/>
          <w:lang w:eastAsia="en-US"/>
        </w:rPr>
        <w:t xml:space="preserve">، فإذا كان باعها </w:t>
      </w:r>
      <w:r w:rsidRPr="00C85F0F">
        <w:rPr>
          <w:rFonts w:ascii="Traditional Arabic" w:hAnsi="Traditional Arabic" w:hint="cs"/>
          <w:noProof w:val="0"/>
          <w:rtl/>
          <w:lang w:eastAsia="en-US"/>
        </w:rPr>
        <w:t xml:space="preserve">له </w:t>
      </w:r>
      <w:r w:rsidRPr="00C85F0F">
        <w:rPr>
          <w:rFonts w:ascii="Traditional Arabic" w:hAnsi="Traditional Arabic"/>
          <w:noProof w:val="0"/>
          <w:rtl/>
          <w:lang w:eastAsia="en-US"/>
        </w:rPr>
        <w:t>بمائة ألف فينقص من الثمن عشرة آلاف، لكن إذا قال المشتري: أنا كنت أظن أن هذا التقدير صحيح، وقد خط</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بأن أعم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رها عمارة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هذه المساحة، والآن لما نقصت لا أريدها، </w:t>
      </w:r>
      <w:r w:rsidRPr="00C85F0F">
        <w:rPr>
          <w:rFonts w:ascii="Traditional Arabic" w:hAnsi="Traditional Arabic" w:hint="cs"/>
          <w:noProof w:val="0"/>
          <w:rtl/>
          <w:lang w:eastAsia="en-US"/>
        </w:rPr>
        <w:t>فإن للمشتري</w:t>
      </w:r>
      <w:r w:rsidRPr="00C85F0F">
        <w:rPr>
          <w:rFonts w:ascii="Traditional Arabic" w:hAnsi="Traditional Arabic"/>
          <w:noProof w:val="0"/>
          <w:rtl/>
          <w:lang w:eastAsia="en-US"/>
        </w:rPr>
        <w:t xml:space="preserve"> الخيار</w:t>
      </w:r>
      <w:r w:rsidRPr="00C85F0F">
        <w:rPr>
          <w:rStyle w:val="af1"/>
          <w:szCs w:val="32"/>
          <w:rtl/>
        </w:rPr>
        <w:t>(</w:t>
      </w:r>
      <w:r w:rsidRPr="00C85F0F">
        <w:rPr>
          <w:rStyle w:val="af1"/>
          <w:szCs w:val="32"/>
          <w:rtl/>
        </w:rPr>
        <w:footnoteReference w:id="2075"/>
      </w:r>
      <w:r w:rsidRPr="00C85F0F">
        <w:rPr>
          <w:rStyle w:val="af1"/>
          <w:szCs w:val="32"/>
          <w:rtl/>
        </w:rPr>
        <w:t>)</w:t>
      </w:r>
      <w:r w:rsidRPr="00C85F0F">
        <w:rPr>
          <w:rFonts w:ascii="Traditional Arabic" w:hAnsi="Traditional Arabic"/>
          <w:noProof w:val="0"/>
          <w:rtl/>
          <w:lang w:eastAsia="en-US"/>
        </w:rPr>
        <w:t>؛ لأنه فات غرضه</w:t>
      </w:r>
      <w:r w:rsidRPr="00C85F0F">
        <w:rPr>
          <w:rStyle w:val="af1"/>
          <w:szCs w:val="32"/>
          <w:rtl/>
        </w:rPr>
        <w:t>(</w:t>
      </w:r>
      <w:r w:rsidRPr="00C85F0F">
        <w:rPr>
          <w:rStyle w:val="af1"/>
          <w:szCs w:val="32"/>
          <w:rtl/>
        </w:rPr>
        <w:footnoteReference w:id="2076"/>
      </w:r>
      <w:r w:rsidRPr="00C85F0F">
        <w:rPr>
          <w:rStyle w:val="af1"/>
          <w:szCs w:val="32"/>
          <w:rtl/>
        </w:rPr>
        <w:t>)</w:t>
      </w:r>
      <w:r w:rsidRPr="00C85F0F">
        <w:rPr>
          <w:rFonts w:ascii="Traditional Arabic" w:hAnsi="Traditional Arabic"/>
          <w:noProof w:val="0"/>
          <w:rtl/>
          <w:lang w:eastAsia="en-US"/>
        </w:rPr>
        <w:t>.</w:t>
      </w:r>
    </w:p>
    <w:p w:rsidR="00B34E74" w:rsidRPr="00C85F0F" w:rsidRDefault="00B34E74" w:rsidP="00597C20">
      <w:pPr>
        <w:pStyle w:val="53"/>
        <w:rPr>
          <w:rtl/>
        </w:rPr>
      </w:pPr>
      <w:r w:rsidRPr="00C85F0F">
        <w:rPr>
          <w:rFonts w:hint="cs"/>
          <w:rtl/>
        </w:rPr>
        <w:t xml:space="preserve">وجه اندراج </w:t>
      </w:r>
      <w:r w:rsidRPr="006E1F02">
        <w:rPr>
          <w:rFonts w:hint="cs"/>
          <w:rtl/>
        </w:rPr>
        <w:t>الفرع</w:t>
      </w:r>
      <w:r w:rsidRPr="00C85F0F">
        <w:rPr>
          <w:rFonts w:hint="cs"/>
          <w:rtl/>
        </w:rPr>
        <w:t xml:space="preserve"> تحت الضابط:</w:t>
      </w:r>
    </w:p>
    <w:p w:rsidR="00B34E74" w:rsidRPr="00C85F0F" w:rsidRDefault="00B34E74" w:rsidP="00597C20">
      <w:pPr>
        <w:pStyle w:val="afc"/>
        <w:widowControl/>
        <w:autoSpaceDE w:val="0"/>
        <w:autoSpaceDN w:val="0"/>
        <w:adjustRightInd w:val="0"/>
        <w:ind w:left="1080" w:firstLine="0"/>
        <w:jc w:val="left"/>
        <w:rPr>
          <w:rFonts w:ascii="Traditional Arabic" w:hAnsi="Traditional Arabic"/>
          <w:noProof w:val="0"/>
          <w:rtl/>
          <w:lang w:eastAsia="en-US"/>
        </w:rPr>
      </w:pPr>
      <w:r w:rsidRPr="00C85F0F">
        <w:rPr>
          <w:rFonts w:ascii="Traditional Arabic" w:hAnsi="Traditional Arabic" w:hint="cs"/>
          <w:noProof w:val="0"/>
          <w:rtl/>
          <w:lang w:eastAsia="en-US"/>
        </w:rPr>
        <w:t>لما فات غرض هذا المشتري جاز له فسخ العقد؛ لأن من فات غرضه فله الخيار.</w:t>
      </w:r>
    </w:p>
    <w:p w:rsidR="00065E4B" w:rsidRPr="00C85F0F" w:rsidRDefault="00B34E74" w:rsidP="000A76C7">
      <w:pPr>
        <w:pStyle w:val="afc"/>
        <w:widowControl/>
        <w:numPr>
          <w:ilvl w:val="0"/>
          <w:numId w:val="284"/>
        </w:numPr>
        <w:autoSpaceDE w:val="0"/>
        <w:autoSpaceDN w:val="0"/>
        <w:adjustRightInd w:val="0"/>
        <w:rPr>
          <w:rFonts w:ascii="Traditional Arabic" w:hAnsi="Traditional Arabic"/>
          <w:noProof w:val="0"/>
          <w:rtl/>
          <w:lang w:eastAsia="en-US"/>
        </w:rPr>
      </w:pPr>
      <w:r w:rsidRPr="00C85F0F">
        <w:rPr>
          <w:rFonts w:ascii="Traditional Arabic" w:hAnsi="Traditional Arabic" w:hint="cs"/>
          <w:noProof w:val="0"/>
          <w:rtl/>
          <w:lang w:eastAsia="en-US"/>
        </w:rPr>
        <w:lastRenderedPageBreak/>
        <w:t xml:space="preserve">إذا كان </w:t>
      </w:r>
      <w:r w:rsidRPr="00C85F0F">
        <w:rPr>
          <w:rFonts w:ascii="Traditional Arabic" w:hAnsi="Traditional Arabic"/>
          <w:noProof w:val="0"/>
          <w:rtl/>
          <w:lang w:eastAsia="en-US"/>
        </w:rPr>
        <w:t xml:space="preserve">عند </w:t>
      </w:r>
      <w:r w:rsidRPr="00C85F0F">
        <w:rPr>
          <w:rFonts w:ascii="Traditional Arabic" w:hAnsi="Traditional Arabic" w:hint="cs"/>
          <w:noProof w:val="0"/>
          <w:rtl/>
          <w:lang w:eastAsia="en-US"/>
        </w:rPr>
        <w:t xml:space="preserve">البائع </w:t>
      </w:r>
      <w:r w:rsidRPr="00C85F0F">
        <w:rPr>
          <w:rFonts w:ascii="Traditional Arabic" w:hAnsi="Traditional Arabic"/>
          <w:noProof w:val="0"/>
          <w:rtl/>
          <w:lang w:eastAsia="en-US"/>
        </w:rPr>
        <w:t>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ومة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طعام، </w:t>
      </w:r>
      <w:r w:rsidRPr="00C85F0F">
        <w:rPr>
          <w:rFonts w:ascii="Traditional Arabic" w:hAnsi="Traditional Arabic" w:hint="cs"/>
          <w:noProof w:val="0"/>
          <w:rtl/>
          <w:lang w:eastAsia="en-US"/>
        </w:rPr>
        <w:t>ف</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ع</w:t>
      </w:r>
      <w:r w:rsidRPr="00C85F0F">
        <w:rPr>
          <w:rFonts w:ascii="Traditional Arabic" w:hAnsi="Traditional Arabic" w:hint="cs"/>
          <w:noProof w:val="0"/>
          <w:rtl/>
          <w:lang w:eastAsia="en-US"/>
        </w:rPr>
        <w:t>ها</w:t>
      </w:r>
      <w:r w:rsidRPr="00C85F0F">
        <w:rPr>
          <w:rFonts w:ascii="Traditional Arabic" w:hAnsi="Traditional Arabic"/>
          <w:noProof w:val="0"/>
          <w:rtl/>
          <w:lang w:eastAsia="en-US"/>
        </w:rPr>
        <w:t xml:space="preserve"> على أنها مائة كيلو فتبي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ن </w:t>
      </w:r>
      <w:r w:rsidRPr="00C85F0F">
        <w:rPr>
          <w:rFonts w:ascii="Traditional Arabic" w:hAnsi="Traditional Arabic" w:hint="cs"/>
          <w:noProof w:val="0"/>
          <w:rtl/>
          <w:lang w:eastAsia="en-US"/>
        </w:rPr>
        <w:t xml:space="preserve">أنها </w:t>
      </w:r>
      <w:r w:rsidRPr="00C85F0F">
        <w:rPr>
          <w:rFonts w:ascii="Traditional Arabic" w:hAnsi="Traditional Arabic"/>
          <w:noProof w:val="0"/>
          <w:rtl/>
          <w:lang w:eastAsia="en-US"/>
        </w:rPr>
        <w:t>أقل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من مائة، وأنها تسعون كيلو، </w:t>
      </w:r>
      <w:r w:rsidRPr="00C85F0F">
        <w:rPr>
          <w:rFonts w:ascii="Traditional Arabic" w:hAnsi="Traditional Arabic" w:hint="cs"/>
          <w:noProof w:val="0"/>
          <w:rtl/>
          <w:lang w:eastAsia="en-US"/>
        </w:rPr>
        <w:t>صح البيع</w:t>
      </w:r>
      <w:r w:rsidRPr="00C85F0F">
        <w:rPr>
          <w:rFonts w:ascii="Traditional Arabic" w:hAnsi="Traditional Arabic"/>
          <w:noProof w:val="0"/>
          <w:rtl/>
          <w:lang w:eastAsia="en-US"/>
        </w:rPr>
        <w:t>، وي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جبر البائع على تكميل</w:t>
      </w:r>
      <w:r w:rsidRPr="00C85F0F">
        <w:rPr>
          <w:rFonts w:ascii="Traditional Arabic" w:hAnsi="Traditional Arabic" w:hint="cs"/>
          <w:noProof w:val="0"/>
          <w:rtl/>
          <w:lang w:eastAsia="en-US"/>
        </w:rPr>
        <w:t xml:space="preserve"> النقص</w:t>
      </w:r>
      <w:r w:rsidRPr="00C85F0F">
        <w:rPr>
          <w:rStyle w:val="af1"/>
          <w:szCs w:val="32"/>
          <w:rtl/>
        </w:rPr>
        <w:t>(</w:t>
      </w:r>
      <w:r w:rsidRPr="00C85F0F">
        <w:rPr>
          <w:rStyle w:val="af1"/>
          <w:szCs w:val="32"/>
          <w:rtl/>
        </w:rPr>
        <w:footnoteReference w:id="2077"/>
      </w:r>
      <w:r w:rsidRPr="00C85F0F">
        <w:rPr>
          <w:rStyle w:val="af1"/>
          <w:szCs w:val="32"/>
          <w:rtl/>
        </w:rPr>
        <w:t>)</w:t>
      </w:r>
      <w:r w:rsidRPr="00C85F0F">
        <w:rPr>
          <w:rFonts w:ascii="Traditional Arabic" w:hAnsi="Traditional Arabic" w:hint="cs"/>
          <w:noProof w:val="0"/>
          <w:rtl/>
          <w:lang w:eastAsia="en-US"/>
        </w:rPr>
        <w:t>، ولا خيار للمشتري.</w:t>
      </w:r>
    </w:p>
    <w:p w:rsidR="00B34E74" w:rsidRPr="00C85F0F" w:rsidRDefault="00065E4B" w:rsidP="00597C20">
      <w:pPr>
        <w:widowControl/>
        <w:autoSpaceDE w:val="0"/>
        <w:autoSpaceDN w:val="0"/>
        <w:adjustRightInd w:val="0"/>
        <w:ind w:firstLine="360"/>
        <w:rPr>
          <w:rFonts w:ascii="Traditional Arabic" w:hAnsi="Traditional Arabic"/>
          <w:noProof w:val="0"/>
          <w:lang w:eastAsia="en-US"/>
        </w:rPr>
      </w:pPr>
      <w:r w:rsidRPr="00C85F0F">
        <w:rPr>
          <w:rFonts w:ascii="Traditional Arabic" w:hAnsi="Traditional Arabic" w:hint="cs"/>
          <w:noProof w:val="0"/>
          <w:rtl/>
          <w:lang w:eastAsia="en-US"/>
        </w:rPr>
        <w:t>و</w:t>
      </w:r>
      <w:r w:rsidR="00B34E74" w:rsidRPr="00C85F0F">
        <w:rPr>
          <w:rFonts w:ascii="Traditional Arabic" w:hAnsi="Traditional Arabic" w:hint="cs"/>
          <w:noProof w:val="0"/>
          <w:rtl/>
          <w:lang w:eastAsia="en-US"/>
        </w:rPr>
        <w:t xml:space="preserve">إن </w:t>
      </w:r>
      <w:r w:rsidR="00B34E74" w:rsidRPr="00C85F0F">
        <w:rPr>
          <w:rFonts w:ascii="Traditional Arabic" w:hAnsi="Traditional Arabic"/>
          <w:noProof w:val="0"/>
          <w:rtl/>
          <w:lang w:eastAsia="en-US"/>
        </w:rPr>
        <w:t>ب</w:t>
      </w:r>
      <w:r w:rsidR="00B34E74" w:rsidRPr="00C85F0F">
        <w:rPr>
          <w:rFonts w:ascii="Traditional Arabic" w:hAnsi="Traditional Arabic" w:hint="cs"/>
          <w:noProof w:val="0"/>
          <w:rtl/>
          <w:lang w:eastAsia="en-US"/>
        </w:rPr>
        <w:t>ا</w:t>
      </w:r>
      <w:r w:rsidR="00B34E74" w:rsidRPr="00C85F0F">
        <w:rPr>
          <w:rFonts w:ascii="Traditional Arabic" w:hAnsi="Traditional Arabic"/>
          <w:noProof w:val="0"/>
          <w:rtl/>
          <w:lang w:eastAsia="en-US"/>
        </w:rPr>
        <w:t>ع</w:t>
      </w:r>
      <w:r w:rsidR="00B34E74" w:rsidRPr="00C85F0F">
        <w:rPr>
          <w:rFonts w:ascii="Traditional Arabic" w:hAnsi="Traditional Arabic" w:hint="cs"/>
          <w:noProof w:val="0"/>
          <w:rtl/>
          <w:lang w:eastAsia="en-US"/>
        </w:rPr>
        <w:t>َه</w:t>
      </w:r>
      <w:r w:rsidR="00B34E74" w:rsidRPr="00C85F0F">
        <w:rPr>
          <w:rFonts w:ascii="Traditional Arabic" w:hAnsi="Traditional Arabic"/>
          <w:noProof w:val="0"/>
          <w:rtl/>
          <w:lang w:eastAsia="en-US"/>
        </w:rPr>
        <w:t xml:space="preserve"> هذه الكومة من الطعام على أنها مائة كيلو، فتبين أنها مائة وعشرون كيلو، فالبيع صحيح</w:t>
      </w:r>
      <w:r w:rsidR="00B34E74" w:rsidRPr="00C85F0F">
        <w:rPr>
          <w:rFonts w:ascii="Traditional Arabic" w:hAnsi="Traditional Arabic" w:hint="cs"/>
          <w:noProof w:val="0"/>
          <w:rtl/>
          <w:lang w:eastAsia="en-US"/>
        </w:rPr>
        <w:t>،</w:t>
      </w:r>
      <w:r w:rsidR="00B34E74" w:rsidRPr="00C85F0F">
        <w:rPr>
          <w:rFonts w:ascii="Traditional Arabic" w:hAnsi="Traditional Arabic"/>
          <w:noProof w:val="0"/>
          <w:rtl/>
          <w:lang w:eastAsia="en-US"/>
        </w:rPr>
        <w:t xml:space="preserve"> و</w:t>
      </w:r>
      <w:r w:rsidR="00B34E74" w:rsidRPr="00C85F0F">
        <w:rPr>
          <w:rFonts w:ascii="Traditional Arabic" w:hAnsi="Traditional Arabic" w:hint="cs"/>
          <w:noProof w:val="0"/>
          <w:rtl/>
          <w:lang w:eastAsia="en-US"/>
        </w:rPr>
        <w:t xml:space="preserve">تكون </w:t>
      </w:r>
      <w:r w:rsidR="00B34E74" w:rsidRPr="00C85F0F">
        <w:rPr>
          <w:rFonts w:ascii="Traditional Arabic" w:hAnsi="Traditional Arabic"/>
          <w:noProof w:val="0"/>
          <w:rtl/>
          <w:lang w:eastAsia="en-US"/>
        </w:rPr>
        <w:t>الزيادة للبائع.</w:t>
      </w:r>
    </w:p>
    <w:p w:rsidR="00B34E74" w:rsidRPr="00C85F0F" w:rsidRDefault="00B34E74" w:rsidP="00597C20">
      <w:pPr>
        <w:widowControl/>
        <w:autoSpaceDE w:val="0"/>
        <w:autoSpaceDN w:val="0"/>
        <w:adjustRightInd w:val="0"/>
        <w:ind w:firstLine="720"/>
        <w:rPr>
          <w:rFonts w:ascii="Traditional Arabic" w:hAnsi="Traditional Arabic"/>
          <w:noProof w:val="0"/>
          <w:lang w:eastAsia="en-US"/>
        </w:rPr>
      </w:pPr>
      <w:r w:rsidRPr="00C85F0F">
        <w:rPr>
          <w:rFonts w:ascii="Traditional Arabic" w:hAnsi="Traditional Arabic"/>
          <w:noProof w:val="0"/>
          <w:rtl/>
          <w:lang w:eastAsia="en-US"/>
        </w:rPr>
        <w:t>لكن ينبغي أن يقال: إذا تبين أنها زائدة عن المقد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وكان للمشتري غرض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نفس ال</w:t>
      </w:r>
      <w:r w:rsidRPr="00C85F0F">
        <w:rPr>
          <w:rFonts w:ascii="Traditional Arabic" w:hAnsi="Traditional Arabic" w:hint="cs"/>
          <w:noProof w:val="0"/>
          <w:rtl/>
          <w:lang w:eastAsia="en-US"/>
        </w:rPr>
        <w:t>كومة</w:t>
      </w:r>
      <w:r w:rsidRPr="00C85F0F">
        <w:rPr>
          <w:rFonts w:ascii="Traditional Arabic" w:hAnsi="Traditional Arabic"/>
          <w:noProof w:val="0"/>
          <w:rtl/>
          <w:lang w:eastAsia="en-US"/>
        </w:rPr>
        <w:t>، أي</w:t>
      </w:r>
      <w:r w:rsidRPr="00C85F0F">
        <w:rPr>
          <w:rFonts w:ascii="Traditional Arabic" w:hAnsi="Traditional Arabic" w:hint="cs"/>
          <w:noProof w:val="0"/>
          <w:rtl/>
          <w:lang w:eastAsia="en-US"/>
        </w:rPr>
        <w:t xml:space="preserve"> أنه </w:t>
      </w:r>
      <w:r w:rsidRPr="00C85F0F">
        <w:rPr>
          <w:rFonts w:ascii="Traditional Arabic" w:hAnsi="Traditional Arabic"/>
          <w:noProof w:val="0"/>
          <w:rtl/>
          <w:lang w:eastAsia="en-US"/>
        </w:rPr>
        <w:t>قد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أن هذه ا</w:t>
      </w:r>
      <w:r w:rsidRPr="00C85F0F">
        <w:rPr>
          <w:rFonts w:ascii="Traditional Arabic" w:hAnsi="Traditional Arabic" w:hint="cs"/>
          <w:noProof w:val="0"/>
          <w:rtl/>
          <w:lang w:eastAsia="en-US"/>
        </w:rPr>
        <w:t>لكومة</w:t>
      </w:r>
      <w:r w:rsidRPr="00C85F0F">
        <w:rPr>
          <w:rFonts w:ascii="Traditional Arabic" w:hAnsi="Traditional Arabic"/>
          <w:noProof w:val="0"/>
          <w:rtl/>
          <w:lang w:eastAsia="en-US"/>
        </w:rPr>
        <w:t xml:space="preserve"> تكفي الضيوف الذين عنده، فإذا كان البائع يريد أن يأخذ الزيادة، فهي في نظره لا تكفي الضيوف</w:t>
      </w:r>
      <w:r w:rsidRPr="00C85F0F">
        <w:rPr>
          <w:rFonts w:ascii="Traditional Arabic" w:hAnsi="Traditional Arabic" w:hint="cs"/>
          <w:noProof w:val="0"/>
          <w:rtl/>
          <w:lang w:eastAsia="en-US"/>
        </w:rPr>
        <w:t>،</w:t>
      </w:r>
      <w:r w:rsidR="008554F1">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ف</w:t>
      </w:r>
      <w:r w:rsidR="008554F1">
        <w:rPr>
          <w:rFonts w:ascii="Traditional Arabic" w:hAnsi="Traditional Arabic" w:hint="cs"/>
          <w:noProof w:val="0"/>
          <w:rtl/>
          <w:lang w:eastAsia="en-US"/>
        </w:rPr>
        <w:t xml:space="preserve">في </w:t>
      </w:r>
      <w:r w:rsidRPr="00C85F0F">
        <w:rPr>
          <w:rFonts w:ascii="Traditional Arabic" w:hAnsi="Traditional Arabic"/>
          <w:noProof w:val="0"/>
          <w:rtl/>
          <w:lang w:eastAsia="en-US"/>
        </w:rPr>
        <w:t>ه</w:t>
      </w:r>
      <w:r w:rsidR="008554F1">
        <w:rPr>
          <w:rFonts w:ascii="Traditional Arabic" w:hAnsi="Traditional Arabic" w:hint="cs"/>
          <w:noProof w:val="0"/>
          <w:rtl/>
          <w:lang w:eastAsia="en-US"/>
        </w:rPr>
        <w:t>ذه الحالة</w:t>
      </w:r>
      <w:r w:rsidRPr="00C85F0F">
        <w:rPr>
          <w:rFonts w:ascii="Traditional Arabic" w:hAnsi="Traditional Arabic"/>
          <w:noProof w:val="0"/>
          <w:rtl/>
          <w:lang w:eastAsia="en-US"/>
        </w:rPr>
        <w:t xml:space="preserve"> قد فات غرضه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فله الخيا</w:t>
      </w:r>
      <w:r w:rsidRPr="00C85F0F">
        <w:rPr>
          <w:rFonts w:ascii="Traditional Arabic" w:hAnsi="Traditional Arabic" w:hint="cs"/>
          <w:noProof w:val="0"/>
          <w:rtl/>
          <w:lang w:eastAsia="en-US"/>
        </w:rPr>
        <w:t>ر</w:t>
      </w:r>
      <w:r w:rsidRPr="00C85F0F">
        <w:rPr>
          <w:rStyle w:val="af1"/>
          <w:szCs w:val="32"/>
          <w:rtl/>
        </w:rPr>
        <w:t>(</w:t>
      </w:r>
      <w:r w:rsidRPr="00C85F0F">
        <w:rPr>
          <w:rStyle w:val="af1"/>
          <w:szCs w:val="32"/>
          <w:rtl/>
        </w:rPr>
        <w:footnoteReference w:id="2078"/>
      </w:r>
      <w:r w:rsidRPr="00C85F0F">
        <w:rPr>
          <w:rStyle w:val="af1"/>
          <w:szCs w:val="32"/>
          <w:rtl/>
        </w:rPr>
        <w:t>)</w:t>
      </w:r>
      <w:r w:rsidRPr="00C85F0F">
        <w:rPr>
          <w:rFonts w:ascii="Traditional Arabic" w:hAnsi="Traditional Arabic" w:hint="cs"/>
          <w:noProof w:val="0"/>
          <w:rtl/>
          <w:lang w:eastAsia="en-US"/>
        </w:rPr>
        <w:t>.</w:t>
      </w:r>
    </w:p>
    <w:p w:rsidR="00B34E74" w:rsidRPr="00C85F0F" w:rsidRDefault="00B34E74" w:rsidP="00597C20">
      <w:pPr>
        <w:pStyle w:val="53"/>
        <w:rPr>
          <w:rtl/>
        </w:rPr>
      </w:pPr>
      <w:r w:rsidRPr="00C85F0F">
        <w:rPr>
          <w:rFonts w:hint="cs"/>
          <w:rtl/>
        </w:rPr>
        <w:t>وجه اندراج الفرع تحت الضابط:</w:t>
      </w:r>
    </w:p>
    <w:p w:rsidR="00B34E74" w:rsidRPr="00C85F0F" w:rsidRDefault="00B34E74"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إذا كان للمشتري غرض في هذه الكومة من الطعام، وإذا أخذ البائع المقدار الزائد فات غرضه منها، جاز له فسخ العقد؛ لأن من فات غرضه فله الخيار.</w:t>
      </w:r>
    </w:p>
    <w:p w:rsidR="00B34E74" w:rsidRPr="008554F1" w:rsidRDefault="00B34E74" w:rsidP="000A76C7">
      <w:pPr>
        <w:pStyle w:val="afc"/>
        <w:widowControl/>
        <w:numPr>
          <w:ilvl w:val="0"/>
          <w:numId w:val="284"/>
        </w:numPr>
        <w:autoSpaceDE w:val="0"/>
        <w:autoSpaceDN w:val="0"/>
        <w:adjustRightInd w:val="0"/>
        <w:rPr>
          <w:rFonts w:ascii="Traditional Arabic" w:hAnsi="Traditional Arabic"/>
          <w:noProof w:val="0"/>
          <w:lang w:eastAsia="en-US"/>
        </w:rPr>
      </w:pPr>
      <w:r w:rsidRPr="00C85F0F">
        <w:rPr>
          <w:rFonts w:ascii="Traditional Arabic" w:hAnsi="Traditional Arabic" w:hint="cs"/>
          <w:noProof w:val="0"/>
          <w:rtl/>
          <w:lang w:eastAsia="en-US"/>
        </w:rPr>
        <w:t xml:space="preserve">إذا اشترط المشتري أنه له الخيار إلى مدة مجهولة، فإن هذا الشرط فاسد؛ لأن </w:t>
      </w:r>
      <w:r w:rsidRPr="00C85F0F">
        <w:rPr>
          <w:rFonts w:ascii="Traditional Arabic" w:hAnsi="Traditional Arabic"/>
          <w:noProof w:val="0"/>
          <w:rtl/>
          <w:lang w:eastAsia="en-US"/>
        </w:rPr>
        <w:t xml:space="preserve">المدة إذا كانت مجهولة دخل ذلك في الغرر، وقد صح عن النبي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noProof w:val="0"/>
          <w:rtl/>
          <w:lang w:eastAsia="en-US"/>
        </w:rPr>
        <w:t xml:space="preserve"> أنه نهى عن بيع الغرر</w:t>
      </w:r>
      <w:r w:rsidR="00AB0B9E" w:rsidRPr="00C85F0F">
        <w:rPr>
          <w:rFonts w:ascii="Traditional Arabic" w:hAnsi="Traditional Arabic"/>
          <w:noProof w:val="0"/>
          <w:lang w:eastAsia="en-US"/>
        </w:rPr>
        <w:fldChar w:fldCharType="begin"/>
      </w:r>
      <w:r w:rsidR="00311F3B" w:rsidRPr="00C85F0F">
        <w:rPr>
          <w:rFonts w:ascii="Traditional Arabic" w:hAnsi="Traditional Arabic"/>
          <w:noProof w:val="0"/>
          <w:lang w:eastAsia="en-US"/>
        </w:rPr>
        <w:instrText>XE</w:instrText>
      </w:r>
      <w:r w:rsidR="00311F3B" w:rsidRPr="00C85F0F">
        <w:rPr>
          <w:rFonts w:ascii="Traditional Arabic" w:hAnsi="Traditional Arabic"/>
          <w:noProof w:val="0"/>
          <w:rtl/>
          <w:lang w:eastAsia="en-US"/>
        </w:rPr>
        <w:instrText xml:space="preserve"> "</w:instrText>
      </w:r>
      <w:r w:rsidR="00311F3B" w:rsidRPr="00C85F0F">
        <w:rPr>
          <w:rFonts w:ascii="Traditional Arabic" w:hAnsi="Traditional Arabic" w:hint="cs"/>
          <w:noProof w:val="0"/>
          <w:rtl/>
          <w:lang w:eastAsia="en-US"/>
        </w:rPr>
        <w:instrText xml:space="preserve">نهى </w:instrText>
      </w:r>
      <w:r w:rsidR="00311F3B" w:rsidRPr="00C85F0F">
        <w:rPr>
          <w:rFonts w:ascii="Traditional Arabic" w:hAnsi="Traditional Arabic"/>
          <w:noProof w:val="0"/>
          <w:rtl/>
          <w:lang w:eastAsia="en-US"/>
        </w:rPr>
        <w:instrText xml:space="preserve">رسول الله </w:instrText>
      </w:r>
      <w:r w:rsidR="00311F3B" w:rsidRPr="00C85F0F">
        <w:rPr>
          <w:rFonts w:ascii="Traditional Arabic" w:hAnsi="Traditional Arabic"/>
          <w:noProof w:val="0"/>
          <w:rtl/>
          <w:lang w:eastAsia="en-US"/>
        </w:rPr>
        <w:sym w:font="AGA Arabesque" w:char="F072"/>
      </w:r>
      <w:r w:rsidR="00311F3B" w:rsidRPr="00C85F0F">
        <w:rPr>
          <w:rFonts w:ascii="Traditional Arabic" w:hAnsi="Traditional Arabic"/>
          <w:noProof w:val="0"/>
          <w:rtl/>
          <w:lang w:eastAsia="en-US"/>
        </w:rPr>
        <w:instrText xml:space="preserve"> عن بيع الح</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صاة وعن بيع الغرر" \</w:instrText>
      </w:r>
      <w:r w:rsidR="00311F3B" w:rsidRPr="00C85F0F">
        <w:rPr>
          <w:rFonts w:ascii="Traditional Arabic" w:hAnsi="Traditional Arabic"/>
          <w:noProof w:val="0"/>
          <w:lang w:eastAsia="en-US"/>
        </w:rPr>
        <w:instrText>fh</w:instrText>
      </w:r>
      <w:r w:rsidR="00AB0B9E" w:rsidRPr="00C85F0F">
        <w:rPr>
          <w:rFonts w:ascii="Traditional Arabic" w:hAnsi="Traditional Arabic"/>
          <w:noProof w:val="0"/>
          <w:lang w:eastAsia="en-US"/>
        </w:rPr>
        <w:fldChar w:fldCharType="end"/>
      </w:r>
      <w:r w:rsidRPr="00C821A1">
        <w:rPr>
          <w:rStyle w:val="af1"/>
          <w:szCs w:val="32"/>
          <w:rtl/>
        </w:rPr>
        <w:t>(</w:t>
      </w:r>
      <w:r w:rsidRPr="00C821A1">
        <w:rPr>
          <w:rStyle w:val="af1"/>
          <w:szCs w:val="32"/>
          <w:rtl/>
        </w:rPr>
        <w:footnoteReference w:id="2079"/>
      </w:r>
      <w:r w:rsidRPr="00C821A1">
        <w:rPr>
          <w:rStyle w:val="af1"/>
          <w:szCs w:val="32"/>
          <w:rtl/>
        </w:rPr>
        <w:t>)</w:t>
      </w:r>
      <w:r w:rsidRPr="004A00A7">
        <w:rPr>
          <w:rFonts w:ascii="Traditional Arabic" w:hAnsi="Traditional Arabic"/>
          <w:noProof w:val="0"/>
          <w:rtl/>
          <w:lang w:eastAsia="en-US"/>
        </w:rPr>
        <w:t>؛ ولأن المدة المجهولة يحصل فيها نزاع وخصومة، وكل شروط</w:t>
      </w:r>
      <w:r w:rsidR="008554F1">
        <w:rPr>
          <w:rFonts w:ascii="Traditional Arabic" w:hAnsi="Traditional Arabic" w:hint="cs"/>
          <w:noProof w:val="0"/>
          <w:rtl/>
          <w:lang w:eastAsia="en-US"/>
        </w:rPr>
        <w:t xml:space="preserve"> </w:t>
      </w:r>
      <w:r w:rsidRPr="008554F1">
        <w:rPr>
          <w:rFonts w:ascii="Traditional Arabic" w:hAnsi="Traditional Arabic"/>
          <w:noProof w:val="0"/>
          <w:rtl/>
          <w:lang w:eastAsia="en-US"/>
        </w:rPr>
        <w:t>أو عقود تستلزم ذلك</w:t>
      </w:r>
      <w:r w:rsidR="008554F1">
        <w:rPr>
          <w:rFonts w:ascii="Traditional Arabic" w:hAnsi="Traditional Arabic" w:hint="cs"/>
          <w:noProof w:val="0"/>
          <w:rtl/>
          <w:lang w:eastAsia="en-US"/>
        </w:rPr>
        <w:t>،</w:t>
      </w:r>
      <w:r w:rsidRPr="008554F1">
        <w:rPr>
          <w:rFonts w:ascii="Traditional Arabic" w:hAnsi="Traditional Arabic"/>
          <w:noProof w:val="0"/>
          <w:rtl/>
          <w:lang w:eastAsia="en-US"/>
        </w:rPr>
        <w:t xml:space="preserve"> فإنها م</w:t>
      </w:r>
      <w:r w:rsidRPr="008554F1">
        <w:rPr>
          <w:rFonts w:ascii="Traditional Arabic" w:hAnsi="Traditional Arabic" w:hint="cs"/>
          <w:noProof w:val="0"/>
          <w:rtl/>
          <w:lang w:eastAsia="en-US"/>
        </w:rPr>
        <w:t>ُ</w:t>
      </w:r>
      <w:r w:rsidRPr="008554F1">
        <w:rPr>
          <w:rFonts w:ascii="Traditional Arabic" w:hAnsi="Traditional Arabic"/>
          <w:noProof w:val="0"/>
          <w:rtl/>
          <w:lang w:eastAsia="en-US"/>
        </w:rPr>
        <w:t>لغاة</w:t>
      </w:r>
      <w:r w:rsidRPr="008554F1">
        <w:rPr>
          <w:rFonts w:ascii="Traditional Arabic" w:hAnsi="Traditional Arabic" w:hint="cs"/>
          <w:noProof w:val="0"/>
          <w:rtl/>
          <w:lang w:eastAsia="en-US"/>
        </w:rPr>
        <w:t>ٌ</w:t>
      </w:r>
      <w:r w:rsidRPr="008554F1">
        <w:rPr>
          <w:rFonts w:ascii="Traditional Arabic" w:hAnsi="Traditional Arabic"/>
          <w:noProof w:val="0"/>
          <w:rtl/>
          <w:lang w:eastAsia="en-US"/>
        </w:rPr>
        <w:t xml:space="preserve"> في الشرع.</w:t>
      </w:r>
    </w:p>
    <w:p w:rsidR="00B34E74" w:rsidRDefault="00B34E74" w:rsidP="00597C20">
      <w:pPr>
        <w:pStyle w:val="afc"/>
        <w:widowControl/>
        <w:autoSpaceDE w:val="0"/>
        <w:autoSpaceDN w:val="0"/>
        <w:adjustRightInd w:val="0"/>
        <w:ind w:left="1080" w:firstLine="0"/>
        <w:jc w:val="left"/>
        <w:rPr>
          <w:rFonts w:ascii="Traditional Arabic" w:hAnsi="Traditional Arabic"/>
          <w:noProof w:val="0"/>
          <w:rtl/>
          <w:lang w:eastAsia="en-US"/>
        </w:rPr>
      </w:pPr>
      <w:r>
        <w:rPr>
          <w:rFonts w:ascii="Traditional Arabic" w:hAnsi="Traditional Arabic"/>
          <w:noProof w:val="0"/>
          <w:rtl/>
          <w:lang w:eastAsia="en-US"/>
        </w:rPr>
        <w:t xml:space="preserve">فإن </w:t>
      </w:r>
      <w:r>
        <w:rPr>
          <w:rFonts w:ascii="Traditional Arabic" w:hAnsi="Traditional Arabic" w:hint="cs"/>
          <w:noProof w:val="0"/>
          <w:rtl/>
          <w:lang w:eastAsia="en-US"/>
        </w:rPr>
        <w:t>تمَّ البيع</w:t>
      </w:r>
      <w:r w:rsidRPr="004A00A7">
        <w:rPr>
          <w:rFonts w:ascii="Traditional Arabic" w:hAnsi="Traditional Arabic"/>
          <w:noProof w:val="0"/>
          <w:rtl/>
          <w:lang w:eastAsia="en-US"/>
        </w:rPr>
        <w:t xml:space="preserve"> على ذلك، وقلنا: إن الخيا</w:t>
      </w:r>
      <w:r>
        <w:rPr>
          <w:rFonts w:ascii="Traditional Arabic" w:hAnsi="Traditional Arabic"/>
          <w:noProof w:val="0"/>
          <w:rtl/>
          <w:lang w:eastAsia="en-US"/>
        </w:rPr>
        <w:t>ر فاسد، ف</w:t>
      </w:r>
      <w:r>
        <w:rPr>
          <w:rFonts w:ascii="Traditional Arabic" w:hAnsi="Traditional Arabic" w:hint="cs"/>
          <w:noProof w:val="0"/>
          <w:rtl/>
          <w:lang w:eastAsia="en-US"/>
        </w:rPr>
        <w:t>إن</w:t>
      </w:r>
      <w:r>
        <w:rPr>
          <w:rFonts w:ascii="Traditional Arabic" w:hAnsi="Traditional Arabic"/>
          <w:noProof w:val="0"/>
          <w:rtl/>
          <w:lang w:eastAsia="en-US"/>
        </w:rPr>
        <w:t xml:space="preserve"> ل</w:t>
      </w:r>
      <w:r>
        <w:rPr>
          <w:rFonts w:ascii="Traditional Arabic" w:hAnsi="Traditional Arabic" w:hint="cs"/>
          <w:noProof w:val="0"/>
          <w:rtl/>
          <w:lang w:eastAsia="en-US"/>
        </w:rPr>
        <w:t>ِ</w:t>
      </w:r>
      <w:r>
        <w:rPr>
          <w:rFonts w:ascii="Traditional Arabic" w:hAnsi="Traditional Arabic"/>
          <w:noProof w:val="0"/>
          <w:rtl/>
          <w:lang w:eastAsia="en-US"/>
        </w:rPr>
        <w:t>م</w:t>
      </w:r>
      <w:r>
        <w:rPr>
          <w:rFonts w:ascii="Traditional Arabic" w:hAnsi="Traditional Arabic" w:hint="cs"/>
          <w:noProof w:val="0"/>
          <w:rtl/>
          <w:lang w:eastAsia="en-US"/>
        </w:rPr>
        <w:t>َ</w:t>
      </w:r>
      <w:r>
        <w:rPr>
          <w:rFonts w:ascii="Traditional Arabic" w:hAnsi="Traditional Arabic"/>
          <w:noProof w:val="0"/>
          <w:rtl/>
          <w:lang w:eastAsia="en-US"/>
        </w:rPr>
        <w:t>ن فات غرضه الخيار</w:t>
      </w:r>
      <w:r w:rsidRPr="00C821A1">
        <w:rPr>
          <w:rStyle w:val="af1"/>
          <w:szCs w:val="32"/>
          <w:rtl/>
        </w:rPr>
        <w:t>(</w:t>
      </w:r>
      <w:r w:rsidRPr="00C821A1">
        <w:rPr>
          <w:rStyle w:val="af1"/>
          <w:szCs w:val="32"/>
          <w:rtl/>
        </w:rPr>
        <w:footnoteReference w:id="2080"/>
      </w:r>
      <w:r w:rsidRPr="00C821A1">
        <w:rPr>
          <w:rStyle w:val="af1"/>
          <w:szCs w:val="32"/>
          <w:rtl/>
        </w:rPr>
        <w:t>)</w:t>
      </w:r>
      <w:r>
        <w:rPr>
          <w:rFonts w:ascii="Traditional Arabic" w:hAnsi="Traditional Arabic" w:hint="cs"/>
          <w:noProof w:val="0"/>
          <w:rtl/>
          <w:lang w:eastAsia="en-US"/>
        </w:rPr>
        <w:t>.</w:t>
      </w:r>
    </w:p>
    <w:p w:rsidR="00065E4B" w:rsidRPr="004A00A7" w:rsidRDefault="00B34E74" w:rsidP="00597C20">
      <w:pPr>
        <w:pStyle w:val="53"/>
        <w:rPr>
          <w:rtl/>
        </w:rPr>
      </w:pPr>
      <w:r>
        <w:rPr>
          <w:rFonts w:hint="cs"/>
          <w:rtl/>
        </w:rPr>
        <w:lastRenderedPageBreak/>
        <w:t>وجه اندراج الفرع تحت القاعدة:</w:t>
      </w:r>
    </w:p>
    <w:p w:rsidR="00B34E74"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إ</w:t>
      </w:r>
      <w:r w:rsidR="00B34E74">
        <w:rPr>
          <w:rFonts w:ascii="Traditional Arabic" w:hAnsi="Traditional Arabic" w:hint="cs"/>
          <w:noProof w:val="0"/>
          <w:rtl/>
          <w:lang w:eastAsia="en-US"/>
        </w:rPr>
        <w:t xml:space="preserve">ذا فات غرض أحد المتبايعين بهذا الشرط، فإن له فسخ العقد؛ لأن </w:t>
      </w:r>
      <w:r w:rsidR="00B34E74" w:rsidRPr="004A00A7">
        <w:rPr>
          <w:rFonts w:ascii="Traditional Arabic" w:hAnsi="Traditional Arabic"/>
          <w:noProof w:val="0"/>
          <w:rtl/>
          <w:lang w:eastAsia="en-US"/>
        </w:rPr>
        <w:t xml:space="preserve">كل شرط فاسد </w:t>
      </w:r>
      <w:r w:rsidR="008554F1">
        <w:rPr>
          <w:rFonts w:ascii="Traditional Arabic" w:hAnsi="Traditional Arabic" w:hint="cs"/>
          <w:noProof w:val="0"/>
          <w:rtl/>
          <w:lang w:eastAsia="en-US"/>
        </w:rPr>
        <w:t xml:space="preserve">إذا كان </w:t>
      </w:r>
      <w:r w:rsidR="00B34E74" w:rsidRPr="004A00A7">
        <w:rPr>
          <w:rFonts w:ascii="Traditional Arabic" w:hAnsi="Traditional Arabic"/>
          <w:noProof w:val="0"/>
          <w:rtl/>
          <w:lang w:eastAsia="en-US"/>
        </w:rPr>
        <w:t>لا ي</w:t>
      </w:r>
      <w:r w:rsidR="00B34E74">
        <w:rPr>
          <w:rFonts w:ascii="Traditional Arabic" w:hAnsi="Traditional Arabic" w:hint="cs"/>
          <w:noProof w:val="0"/>
          <w:rtl/>
          <w:lang w:eastAsia="en-US"/>
        </w:rPr>
        <w:t>ُ</w:t>
      </w:r>
      <w:r w:rsidR="008554F1">
        <w:rPr>
          <w:rFonts w:ascii="Traditional Arabic" w:hAnsi="Traditional Arabic" w:hint="cs"/>
          <w:noProof w:val="0"/>
          <w:rtl/>
          <w:lang w:eastAsia="en-US"/>
        </w:rPr>
        <w:t>بطل</w:t>
      </w:r>
      <w:r w:rsidR="00B34E74" w:rsidRPr="004A00A7">
        <w:rPr>
          <w:rFonts w:ascii="Traditional Arabic" w:hAnsi="Traditional Arabic"/>
          <w:noProof w:val="0"/>
          <w:rtl/>
          <w:lang w:eastAsia="en-US"/>
        </w:rPr>
        <w:t xml:space="preserve"> العقد</w:t>
      </w:r>
      <w:r w:rsidR="00B34E74">
        <w:rPr>
          <w:rFonts w:ascii="Traditional Arabic" w:hAnsi="Traditional Arabic" w:hint="cs"/>
          <w:noProof w:val="0"/>
          <w:rtl/>
          <w:lang w:eastAsia="en-US"/>
        </w:rPr>
        <w:t>َ</w:t>
      </w:r>
      <w:r w:rsidR="008554F1" w:rsidRPr="008554F1">
        <w:rPr>
          <w:rFonts w:ascii="Traditional Arabic" w:hAnsi="Traditional Arabic" w:hint="cs"/>
          <w:noProof w:val="0"/>
          <w:vertAlign w:val="superscript"/>
          <w:rtl/>
          <w:lang w:eastAsia="en-US"/>
        </w:rPr>
        <w:t>(</w:t>
      </w:r>
      <w:r w:rsidR="008554F1" w:rsidRPr="008554F1">
        <w:rPr>
          <w:rStyle w:val="af1"/>
          <w:rFonts w:ascii="Traditional Arabic" w:hAnsi="Traditional Arabic"/>
          <w:noProof w:val="0"/>
          <w:rtl/>
          <w:lang w:eastAsia="en-US"/>
        </w:rPr>
        <w:footnoteReference w:id="2081"/>
      </w:r>
      <w:r w:rsidR="008554F1" w:rsidRPr="008554F1">
        <w:rPr>
          <w:rFonts w:ascii="Traditional Arabic" w:hAnsi="Traditional Arabic" w:hint="cs"/>
          <w:noProof w:val="0"/>
          <w:vertAlign w:val="superscript"/>
          <w:rtl/>
          <w:lang w:eastAsia="en-US"/>
        </w:rPr>
        <w:t>)</w:t>
      </w:r>
      <w:r w:rsidR="00B34E74" w:rsidRPr="004A00A7">
        <w:rPr>
          <w:rFonts w:ascii="Traditional Arabic" w:hAnsi="Traditional Arabic"/>
          <w:noProof w:val="0"/>
          <w:rtl/>
          <w:lang w:eastAsia="en-US"/>
        </w:rPr>
        <w:t>، فإن م</w:t>
      </w:r>
      <w:r w:rsidR="00B34E74">
        <w:rPr>
          <w:rFonts w:ascii="Traditional Arabic" w:hAnsi="Traditional Arabic" w:hint="cs"/>
          <w:noProof w:val="0"/>
          <w:rtl/>
          <w:lang w:eastAsia="en-US"/>
        </w:rPr>
        <w:t>َ</w:t>
      </w:r>
      <w:r w:rsidR="00B34E74" w:rsidRPr="004A00A7">
        <w:rPr>
          <w:rFonts w:ascii="Traditional Arabic" w:hAnsi="Traditional Arabic"/>
          <w:noProof w:val="0"/>
          <w:rtl/>
          <w:lang w:eastAsia="en-US"/>
        </w:rPr>
        <w:t xml:space="preserve">ن اشترطه له الخيار إذا فات </w:t>
      </w:r>
      <w:r w:rsidR="00B34E74">
        <w:rPr>
          <w:rFonts w:ascii="Traditional Arabic" w:hAnsi="Traditional Arabic" w:hint="cs"/>
          <w:noProof w:val="0"/>
          <w:rtl/>
          <w:lang w:eastAsia="en-US"/>
        </w:rPr>
        <w:t>غرضه</w:t>
      </w:r>
      <w:r w:rsidR="00B34E74" w:rsidRPr="00C821A1">
        <w:rPr>
          <w:rStyle w:val="af1"/>
          <w:szCs w:val="32"/>
          <w:rtl/>
        </w:rPr>
        <w:t>(</w:t>
      </w:r>
      <w:r w:rsidR="00B34E74" w:rsidRPr="00C821A1">
        <w:rPr>
          <w:rStyle w:val="af1"/>
          <w:szCs w:val="32"/>
          <w:rtl/>
        </w:rPr>
        <w:footnoteReference w:id="2082"/>
      </w:r>
      <w:r w:rsidR="00B34E74" w:rsidRPr="00C821A1">
        <w:rPr>
          <w:rStyle w:val="af1"/>
          <w:szCs w:val="32"/>
          <w:rtl/>
        </w:rPr>
        <w:t>)</w:t>
      </w:r>
      <w:r w:rsidR="00B34E74" w:rsidRPr="004A00A7">
        <w:rPr>
          <w:rFonts w:ascii="Traditional Arabic" w:hAnsi="Traditional Arabic"/>
          <w:noProof w:val="0"/>
          <w:rtl/>
          <w:lang w:eastAsia="en-US"/>
        </w:rPr>
        <w:t>.</w:t>
      </w:r>
    </w:p>
    <w:p w:rsidR="007A6F9A" w:rsidRPr="007A6F9A" w:rsidRDefault="007A6F9A" w:rsidP="0001035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B34E74" w:rsidRPr="00C85F0F" w:rsidRDefault="00E4746A" w:rsidP="000F5C0F">
      <w:pPr>
        <w:pStyle w:val="aff2"/>
        <w:rPr>
          <w:rtl/>
        </w:rPr>
      </w:pPr>
      <w:bookmarkStart w:id="458" w:name="_Toc334046631"/>
      <w:r w:rsidRPr="00D816CC">
        <w:rPr>
          <w:rFonts w:ascii="Traditional Arabic" w:hAnsi="Traditional Arabic" w:hint="cs"/>
          <w:rtl/>
        </w:rPr>
        <w:lastRenderedPageBreak/>
        <w:t>المبحث الثاني</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B34E74">
        <w:rPr>
          <w:rFonts w:hint="cs"/>
          <w:rtl/>
        </w:rPr>
        <w:t>ضابط</w:t>
      </w:r>
      <w:r w:rsidR="00B34E74">
        <w:rPr>
          <w:rFonts w:hint="cs"/>
          <w:rtl/>
        </w:rPr>
        <w:br/>
        <w:t>"كل عقد جائز فليس فيه خيار المجلس</w:t>
      </w:r>
      <w:r w:rsidR="00AB0B9E" w:rsidRPr="00C85F0F">
        <w:rPr>
          <w:rtl/>
        </w:rPr>
        <w:fldChar w:fldCharType="begin"/>
      </w:r>
      <w:r w:rsidR="00945AC4" w:rsidRPr="00C85F0F">
        <w:instrText>XE</w:instrText>
      </w:r>
      <w:r w:rsidR="00945AC4" w:rsidRPr="00C85F0F">
        <w:rPr>
          <w:rtl/>
        </w:rPr>
        <w:instrText xml:space="preserve"> "</w:instrText>
      </w:r>
      <w:r w:rsidR="00945AC4" w:rsidRPr="00C85F0F">
        <w:rPr>
          <w:rFonts w:hint="cs"/>
          <w:rtl/>
        </w:rPr>
        <w:instrText>كلعقدجائزفليسفيهخيارالمجلس</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B34E74" w:rsidRPr="00C85F0F">
        <w:rPr>
          <w:rFonts w:hint="cs"/>
          <w:rtl/>
        </w:rPr>
        <w:t>"</w:t>
      </w:r>
      <w:r w:rsidR="00B34E74" w:rsidRPr="00C85F0F">
        <w:rPr>
          <w:rStyle w:val="af1"/>
          <w:b w:val="0"/>
          <w:bCs w:val="0"/>
          <w:szCs w:val="32"/>
          <w:rtl/>
        </w:rPr>
        <w:t>(</w:t>
      </w:r>
      <w:r w:rsidR="00B34E74" w:rsidRPr="00C85F0F">
        <w:rPr>
          <w:rStyle w:val="af1"/>
          <w:b w:val="0"/>
          <w:bCs w:val="0"/>
          <w:szCs w:val="32"/>
          <w:rtl/>
        </w:rPr>
        <w:footnoteReference w:id="2083"/>
      </w:r>
      <w:r w:rsidR="00B34E74" w:rsidRPr="00C85F0F">
        <w:rPr>
          <w:rStyle w:val="af1"/>
          <w:b w:val="0"/>
          <w:bCs w:val="0"/>
          <w:szCs w:val="32"/>
          <w:rtl/>
        </w:rPr>
        <w:t>)</w:t>
      </w:r>
      <w:bookmarkEnd w:id="458"/>
    </w:p>
    <w:p w:rsidR="00B34E74" w:rsidRPr="00C85F0F" w:rsidRDefault="008554F1" w:rsidP="00A8347C">
      <w:pPr>
        <w:pStyle w:val="aff3"/>
        <w:rPr>
          <w:rtl/>
        </w:rPr>
      </w:pPr>
      <w:bookmarkStart w:id="459" w:name="_Toc334046632"/>
      <w:r>
        <w:rPr>
          <w:rFonts w:hint="cs"/>
          <w:rtl/>
        </w:rPr>
        <w:t xml:space="preserve">                                          </w:t>
      </w:r>
      <w:r w:rsidR="00B34E74" w:rsidRPr="00C85F0F">
        <w:rPr>
          <w:rFonts w:hint="cs"/>
          <w:rtl/>
        </w:rPr>
        <w:t>المطلب الأول</w:t>
      </w:r>
      <w:r w:rsidR="00B34E74" w:rsidRPr="00C85F0F">
        <w:rPr>
          <w:rFonts w:hint="eastAsia"/>
          <w:rtl/>
        </w:rPr>
        <w:t> :</w:t>
      </w:r>
      <w:r w:rsidR="00B34E74" w:rsidRPr="00C85F0F">
        <w:rPr>
          <w:rFonts w:hint="cs"/>
          <w:rtl/>
        </w:rPr>
        <w:br/>
      </w:r>
      <w:r>
        <w:rPr>
          <w:rFonts w:hint="cs"/>
          <w:rtl/>
        </w:rPr>
        <w:t xml:space="preserve">            </w:t>
      </w:r>
      <w:r w:rsidR="00010350">
        <w:rPr>
          <w:rFonts w:hint="cs"/>
          <w:rtl/>
        </w:rPr>
        <w:t xml:space="preserve">                               </w:t>
      </w:r>
      <w:r w:rsidR="00B34E74" w:rsidRPr="00C85F0F">
        <w:rPr>
          <w:rFonts w:hint="cs"/>
          <w:rtl/>
        </w:rPr>
        <w:t>شرح الضابط</w:t>
      </w:r>
      <w:bookmarkEnd w:id="459"/>
    </w:p>
    <w:p w:rsidR="000E1D14" w:rsidRPr="00C85F0F" w:rsidRDefault="00B34E74" w:rsidP="00597C20">
      <w:pPr>
        <w:pStyle w:val="53"/>
        <w:rPr>
          <w:rtl/>
        </w:rPr>
      </w:pPr>
      <w:r w:rsidRPr="00C85F0F">
        <w:rPr>
          <w:rFonts w:hint="cs"/>
          <w:rtl/>
        </w:rPr>
        <w:t>المجلِس</w:t>
      </w:r>
      <w:r w:rsidR="007A6F9A">
        <w:rPr>
          <w:rFonts w:hint="cs"/>
          <w:rtl/>
        </w:rPr>
        <w:t xml:space="preserve"> </w:t>
      </w:r>
      <w:r w:rsidR="00AB0B9E">
        <w:rPr>
          <w:rtl/>
        </w:rPr>
        <w:fldChar w:fldCharType="begin"/>
      </w:r>
      <w:r w:rsidR="006E1F02">
        <w:instrText xml:space="preserve"> XE "</w:instrText>
      </w:r>
      <w:r w:rsidR="006E1F02" w:rsidRPr="006E1F02">
        <w:rPr>
          <w:rFonts w:hint="cs"/>
          <w:b w:val="0"/>
          <w:bCs w:val="0"/>
          <w:rtl/>
        </w:rPr>
        <w:instrText>المجلِس</w:instrText>
      </w:r>
      <w:r w:rsidR="006E1F02">
        <w:instrText xml:space="preserve">" </w:instrText>
      </w:r>
      <w:r w:rsidR="006E1F02" w:rsidRPr="006E1F02">
        <w:instrText xml:space="preserve">\fm </w:instrText>
      </w:r>
      <w:r w:rsidR="00AB0B9E">
        <w:rPr>
          <w:rtl/>
        </w:rPr>
        <w:fldChar w:fldCharType="end"/>
      </w:r>
      <w:r w:rsidRPr="006E1F02">
        <w:rPr>
          <w:rFonts w:hint="cs"/>
          <w:rtl/>
        </w:rPr>
        <w:t>لغة</w:t>
      </w:r>
      <w:r w:rsidRPr="00C85F0F">
        <w:rPr>
          <w:rFonts w:hint="cs"/>
          <w:rtl/>
        </w:rPr>
        <w:t>:</w:t>
      </w:r>
    </w:p>
    <w:p w:rsidR="00B34E74" w:rsidRPr="00C85F0F" w:rsidRDefault="00B34E74" w:rsidP="00597C20">
      <w:pPr>
        <w:ind w:firstLine="720"/>
        <w:rPr>
          <w:rtl/>
        </w:rPr>
      </w:pPr>
      <w:r w:rsidRPr="00C85F0F">
        <w:rPr>
          <w:rFonts w:hint="cs"/>
          <w:rtl/>
        </w:rPr>
        <w:t>موضِع الجلوس.</w:t>
      </w:r>
    </w:p>
    <w:p w:rsidR="00B34E74" w:rsidRPr="008554F1" w:rsidRDefault="00B34E74" w:rsidP="00597C20">
      <w:pPr>
        <w:ind w:firstLine="720"/>
        <w:rPr>
          <w:rtl/>
        </w:rPr>
      </w:pPr>
      <w:r w:rsidRPr="008554F1">
        <w:rPr>
          <w:rFonts w:ascii="Traditional Arabic" w:hAnsi="Traditional Arabic"/>
          <w:noProof w:val="0"/>
          <w:rtl/>
          <w:lang w:eastAsia="en-US"/>
        </w:rPr>
        <w:t>والمراد هنا مكان التبا</w:t>
      </w:r>
      <w:r w:rsidRPr="008554F1">
        <w:rPr>
          <w:rFonts w:ascii="Traditional Arabic" w:hAnsi="Traditional Arabic" w:hint="cs"/>
          <w:noProof w:val="0"/>
          <w:rtl/>
          <w:lang w:eastAsia="en-US"/>
        </w:rPr>
        <w:t>يُ</w:t>
      </w:r>
      <w:r w:rsidRPr="008554F1">
        <w:rPr>
          <w:rFonts w:ascii="Traditional Arabic" w:hAnsi="Traditional Arabic"/>
          <w:noProof w:val="0"/>
          <w:rtl/>
          <w:lang w:eastAsia="en-US"/>
        </w:rPr>
        <w:t>ع وتفر</w:t>
      </w:r>
      <w:r w:rsidRPr="008554F1">
        <w:rPr>
          <w:rFonts w:ascii="Traditional Arabic" w:hAnsi="Traditional Arabic" w:hint="cs"/>
          <w:noProof w:val="0"/>
          <w:rtl/>
          <w:lang w:eastAsia="en-US"/>
        </w:rPr>
        <w:t>ّ</w:t>
      </w:r>
      <w:r w:rsidRPr="008554F1">
        <w:rPr>
          <w:rFonts w:ascii="Traditional Arabic" w:hAnsi="Traditional Arabic"/>
          <w:noProof w:val="0"/>
          <w:rtl/>
          <w:lang w:eastAsia="en-US"/>
        </w:rPr>
        <w:t>ق</w:t>
      </w:r>
      <w:r w:rsidRPr="008554F1">
        <w:rPr>
          <w:rFonts w:ascii="Traditional Arabic" w:hAnsi="Traditional Arabic" w:hint="cs"/>
          <w:noProof w:val="0"/>
          <w:rtl/>
          <w:lang w:eastAsia="en-US"/>
        </w:rPr>
        <w:t xml:space="preserve"> المتبايعين </w:t>
      </w:r>
      <w:r w:rsidRPr="008554F1">
        <w:rPr>
          <w:rFonts w:ascii="Traditional Arabic" w:hAnsi="Traditional Arabic"/>
          <w:noProof w:val="0"/>
          <w:rtl/>
          <w:lang w:eastAsia="en-US"/>
        </w:rPr>
        <w:t>عنه التفر</w:t>
      </w:r>
      <w:r w:rsidR="008554F1">
        <w:rPr>
          <w:rFonts w:ascii="Traditional Arabic" w:hAnsi="Traditional Arabic" w:hint="cs"/>
          <w:noProof w:val="0"/>
          <w:rtl/>
          <w:lang w:eastAsia="en-US"/>
        </w:rPr>
        <w:t>ُّ</w:t>
      </w:r>
      <w:r w:rsidRPr="008554F1">
        <w:rPr>
          <w:rFonts w:ascii="Traditional Arabic" w:hAnsi="Traditional Arabic"/>
          <w:noProof w:val="0"/>
          <w:rtl/>
          <w:lang w:eastAsia="en-US"/>
        </w:rPr>
        <w:t>ق</w:t>
      </w:r>
      <w:r w:rsidR="008554F1">
        <w:rPr>
          <w:rFonts w:ascii="Traditional Arabic" w:hAnsi="Traditional Arabic" w:hint="cs"/>
          <w:noProof w:val="0"/>
          <w:rtl/>
          <w:lang w:eastAsia="en-US"/>
        </w:rPr>
        <w:t>َ</w:t>
      </w:r>
      <w:r w:rsidRPr="008554F1">
        <w:rPr>
          <w:rFonts w:ascii="Traditional Arabic" w:hAnsi="Traditional Arabic"/>
          <w:noProof w:val="0"/>
          <w:rtl/>
          <w:lang w:eastAsia="en-US"/>
        </w:rPr>
        <w:t xml:space="preserve"> ال</w:t>
      </w:r>
      <w:r w:rsidR="008554F1">
        <w:rPr>
          <w:rFonts w:ascii="Traditional Arabic" w:hAnsi="Traditional Arabic" w:hint="cs"/>
          <w:noProof w:val="0"/>
          <w:rtl/>
          <w:lang w:eastAsia="en-US"/>
        </w:rPr>
        <w:t>ْ</w:t>
      </w:r>
      <w:r w:rsidRPr="008554F1">
        <w:rPr>
          <w:rFonts w:ascii="Traditional Arabic" w:hAnsi="Traditional Arabic"/>
          <w:noProof w:val="0"/>
          <w:rtl/>
          <w:lang w:eastAsia="en-US"/>
        </w:rPr>
        <w:t>م</w:t>
      </w:r>
      <w:r w:rsidR="008554F1">
        <w:rPr>
          <w:rFonts w:ascii="Traditional Arabic" w:hAnsi="Traditional Arabic" w:hint="cs"/>
          <w:noProof w:val="0"/>
          <w:rtl/>
          <w:lang w:eastAsia="en-US"/>
        </w:rPr>
        <w:t>ُ</w:t>
      </w:r>
      <w:r w:rsidRPr="008554F1">
        <w:rPr>
          <w:rFonts w:ascii="Traditional Arabic" w:hAnsi="Traditional Arabic"/>
          <w:noProof w:val="0"/>
          <w:rtl/>
          <w:lang w:eastAsia="en-US"/>
        </w:rPr>
        <w:t>س</w:t>
      </w:r>
      <w:r w:rsidR="008554F1">
        <w:rPr>
          <w:rFonts w:ascii="Traditional Arabic" w:hAnsi="Traditional Arabic" w:hint="cs"/>
          <w:noProof w:val="0"/>
          <w:rtl/>
          <w:lang w:eastAsia="en-US"/>
        </w:rPr>
        <w:t>ْ</w:t>
      </w:r>
      <w:r w:rsidRPr="008554F1">
        <w:rPr>
          <w:rFonts w:ascii="Traditional Arabic" w:hAnsi="Traditional Arabic"/>
          <w:noProof w:val="0"/>
          <w:rtl/>
          <w:lang w:eastAsia="en-US"/>
        </w:rPr>
        <w:t>ق</w:t>
      </w:r>
      <w:r w:rsidRPr="008554F1">
        <w:rPr>
          <w:rFonts w:ascii="Traditional Arabic" w:hAnsi="Traditional Arabic" w:hint="cs"/>
          <w:noProof w:val="0"/>
          <w:rtl/>
          <w:lang w:eastAsia="en-US"/>
        </w:rPr>
        <w:t>ِ</w:t>
      </w:r>
      <w:r w:rsidRPr="008554F1">
        <w:rPr>
          <w:rFonts w:ascii="Traditional Arabic" w:hAnsi="Traditional Arabic"/>
          <w:noProof w:val="0"/>
          <w:rtl/>
          <w:lang w:eastAsia="en-US"/>
        </w:rPr>
        <w:t>ط</w:t>
      </w:r>
      <w:r w:rsidR="008554F1">
        <w:rPr>
          <w:rFonts w:ascii="Traditional Arabic" w:hAnsi="Traditional Arabic" w:hint="cs"/>
          <w:noProof w:val="0"/>
          <w:rtl/>
          <w:lang w:eastAsia="en-US"/>
        </w:rPr>
        <w:t>َ</w:t>
      </w:r>
      <w:r w:rsidRPr="008554F1">
        <w:rPr>
          <w:rFonts w:ascii="Traditional Arabic" w:hAnsi="Traditional Arabic"/>
          <w:noProof w:val="0"/>
          <w:rtl/>
          <w:lang w:eastAsia="en-US"/>
        </w:rPr>
        <w:t xml:space="preserve"> للخيار</w:t>
      </w:r>
      <w:r w:rsidRPr="008554F1">
        <w:rPr>
          <w:rStyle w:val="af1"/>
          <w:rtl/>
        </w:rPr>
        <w:t>(</w:t>
      </w:r>
      <w:r w:rsidRPr="008554F1">
        <w:rPr>
          <w:rStyle w:val="af1"/>
          <w:rtl/>
        </w:rPr>
        <w:footnoteReference w:id="2084"/>
      </w:r>
      <w:r w:rsidRPr="008554F1">
        <w:rPr>
          <w:rStyle w:val="af1"/>
          <w:rtl/>
        </w:rPr>
        <w:t>)</w:t>
      </w:r>
      <w:r w:rsidRPr="008554F1">
        <w:rPr>
          <w:rFonts w:hint="cs"/>
          <w:rtl/>
        </w:rPr>
        <w:t>.</w:t>
      </w:r>
    </w:p>
    <w:p w:rsidR="00065E4B" w:rsidRPr="00C85F0F" w:rsidRDefault="00B34E74" w:rsidP="00597C20">
      <w:pPr>
        <w:pStyle w:val="53"/>
        <w:rPr>
          <w:rtl/>
        </w:rPr>
      </w:pPr>
      <w:r w:rsidRPr="00C85F0F">
        <w:rPr>
          <w:rFonts w:hint="cs"/>
          <w:rtl/>
        </w:rPr>
        <w:t xml:space="preserve">معنى </w:t>
      </w:r>
      <w:r w:rsidRPr="006E1F02">
        <w:rPr>
          <w:rFonts w:hint="cs"/>
          <w:rtl/>
        </w:rPr>
        <w:t>الضابط</w:t>
      </w:r>
      <w:r w:rsidRPr="00C85F0F">
        <w:rPr>
          <w:rFonts w:hint="cs"/>
          <w:rtl/>
        </w:rPr>
        <w:t xml:space="preserve"> إجمالا:</w:t>
      </w:r>
    </w:p>
    <w:p w:rsidR="00065E4B" w:rsidRPr="0050576A" w:rsidRDefault="00065E4B" w:rsidP="002209E5">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ا</w:t>
      </w:r>
      <w:r w:rsidR="00B34E74" w:rsidRPr="00C85F0F">
        <w:rPr>
          <w:rFonts w:ascii="Traditional Arabic" w:hAnsi="Traditional Arabic"/>
          <w:noProof w:val="0"/>
          <w:rtl/>
          <w:lang w:eastAsia="en-US"/>
        </w:rPr>
        <w:t>لأصل أن العقد بمجر</w:t>
      </w:r>
      <w:r w:rsidR="00B34E74" w:rsidRPr="00C85F0F">
        <w:rPr>
          <w:rFonts w:ascii="Traditional Arabic" w:hAnsi="Traditional Arabic" w:hint="cs"/>
          <w:noProof w:val="0"/>
          <w:rtl/>
          <w:lang w:eastAsia="en-US"/>
        </w:rPr>
        <w:t>َّ</w:t>
      </w:r>
      <w:r w:rsidR="00B34E74" w:rsidRPr="00C85F0F">
        <w:rPr>
          <w:rFonts w:ascii="Traditional Arabic" w:hAnsi="Traditional Arabic"/>
          <w:noProof w:val="0"/>
          <w:rtl/>
          <w:lang w:eastAsia="en-US"/>
        </w:rPr>
        <w:t>د انعقاده يترتب عليه م</w:t>
      </w:r>
      <w:r w:rsidR="00B34E74" w:rsidRPr="00C85F0F">
        <w:rPr>
          <w:rFonts w:ascii="Traditional Arabic" w:hAnsi="Traditional Arabic" w:hint="cs"/>
          <w:noProof w:val="0"/>
          <w:rtl/>
          <w:lang w:eastAsia="en-US"/>
        </w:rPr>
        <w:t>ُ</w:t>
      </w:r>
      <w:r w:rsidR="00B34E74" w:rsidRPr="00C85F0F">
        <w:rPr>
          <w:rFonts w:ascii="Traditional Arabic" w:hAnsi="Traditional Arabic"/>
          <w:noProof w:val="0"/>
          <w:rtl/>
          <w:lang w:eastAsia="en-US"/>
        </w:rPr>
        <w:t>قتضاه</w:t>
      </w:r>
      <w:r w:rsidR="00B34E74" w:rsidRPr="00C85F0F">
        <w:rPr>
          <w:rFonts w:ascii="Traditional Arabic" w:hAnsi="Traditional Arabic" w:hint="cs"/>
          <w:noProof w:val="0"/>
          <w:rtl/>
          <w:lang w:eastAsia="en-US"/>
        </w:rPr>
        <w:t>، ثم</w:t>
      </w:r>
      <w:r w:rsidR="00B34E74" w:rsidRPr="00C85F0F">
        <w:rPr>
          <w:rFonts w:ascii="Traditional Arabic" w:hAnsi="Traditional Arabic"/>
          <w:noProof w:val="0"/>
          <w:rtl/>
          <w:lang w:eastAsia="en-US"/>
        </w:rPr>
        <w:t xml:space="preserve"> خولف </w:t>
      </w:r>
      <w:r w:rsidR="00B34E74" w:rsidRPr="00C85F0F">
        <w:rPr>
          <w:rFonts w:ascii="Traditional Arabic" w:hAnsi="Traditional Arabic" w:hint="cs"/>
          <w:noProof w:val="0"/>
          <w:rtl/>
          <w:lang w:eastAsia="en-US"/>
        </w:rPr>
        <w:t xml:space="preserve">هذا الأصل </w:t>
      </w:r>
      <w:r w:rsidR="00B34E74" w:rsidRPr="00C85F0F">
        <w:rPr>
          <w:rFonts w:ascii="Traditional Arabic" w:hAnsi="Traditional Arabic"/>
          <w:noProof w:val="0"/>
          <w:rtl/>
          <w:lang w:eastAsia="en-US"/>
        </w:rPr>
        <w:t>في البيع لورود النص فيه</w:t>
      </w:r>
      <w:r w:rsidR="00B34E74" w:rsidRPr="00C85F0F">
        <w:rPr>
          <w:rFonts w:ascii="Traditional Arabic" w:hAnsi="Traditional Arabic" w:hint="cs"/>
          <w:noProof w:val="0"/>
          <w:rtl/>
          <w:lang w:eastAsia="en-US"/>
        </w:rPr>
        <w:t xml:space="preserve"> عن النبي </w:t>
      </w:r>
      <w:r w:rsidR="00F350DE" w:rsidRPr="00C85F0F">
        <w:rPr>
          <w:rFonts w:ascii="Traditional Arabic" w:hAnsi="Traditional Arabic"/>
          <w:noProof w:val="0"/>
          <w:color w:val="auto"/>
          <w:rtl/>
          <w:lang w:eastAsia="en-US"/>
        </w:rPr>
        <w:sym w:font="AGA Arabesque" w:char="F072"/>
      </w:r>
      <w:r w:rsidR="00B34E74" w:rsidRPr="00C85F0F">
        <w:rPr>
          <w:rFonts w:ascii="Traditional Arabic" w:hAnsi="Traditional Arabic" w:hint="cs"/>
          <w:noProof w:val="0"/>
          <w:rtl/>
          <w:lang w:eastAsia="en-US"/>
        </w:rPr>
        <w:t xml:space="preserve"> حيث </w:t>
      </w:r>
      <w:r w:rsidR="005C1302">
        <w:rPr>
          <w:rFonts w:ascii="Traditional Arabic" w:hAnsi="Traditional Arabic" w:hint="cs"/>
          <w:noProof w:val="0"/>
          <w:rtl/>
          <w:lang w:eastAsia="en-US"/>
        </w:rPr>
        <w:t xml:space="preserve">إنه </w:t>
      </w:r>
      <w:r w:rsidR="00B34E74" w:rsidRPr="00C85F0F">
        <w:rPr>
          <w:rFonts w:ascii="Traditional Arabic" w:hAnsi="Traditional Arabic" w:hint="cs"/>
          <w:noProof w:val="0"/>
          <w:rtl/>
          <w:lang w:eastAsia="en-US"/>
        </w:rPr>
        <w:t>قال:"إ</w:t>
      </w:r>
      <w:r w:rsidR="00B34E74" w:rsidRPr="00C85F0F">
        <w:rPr>
          <w:rFonts w:ascii="Traditional Arabic" w:hAnsi="Traditional Arabic"/>
          <w:noProof w:val="0"/>
          <w:rtl/>
          <w:lang w:eastAsia="en-US"/>
        </w:rPr>
        <w:t>ذا ت</w:t>
      </w:r>
      <w:r w:rsidR="00B34E74" w:rsidRPr="00C85F0F">
        <w:rPr>
          <w:rFonts w:ascii="Traditional Arabic" w:hAnsi="Traditional Arabic" w:hint="cs"/>
          <w:noProof w:val="0"/>
          <w:rtl/>
          <w:lang w:eastAsia="en-US"/>
        </w:rPr>
        <w:t>َ</w:t>
      </w:r>
      <w:r w:rsidR="00B34E74" w:rsidRPr="00C85F0F">
        <w:rPr>
          <w:rFonts w:ascii="Traditional Arabic" w:hAnsi="Traditional Arabic"/>
          <w:noProof w:val="0"/>
          <w:rtl/>
          <w:lang w:eastAsia="en-US"/>
        </w:rPr>
        <w:t>بايع الرجلان فكل واحد منها بالخيار ما لم يتفر</w:t>
      </w:r>
      <w:r w:rsidR="00B34E74" w:rsidRPr="00C85F0F">
        <w:rPr>
          <w:rFonts w:ascii="Traditional Arabic" w:hAnsi="Traditional Arabic" w:hint="cs"/>
          <w:noProof w:val="0"/>
          <w:rtl/>
          <w:lang w:eastAsia="en-US"/>
        </w:rPr>
        <w:t>َّ</w:t>
      </w:r>
      <w:r w:rsidR="00B34E74" w:rsidRPr="00C85F0F">
        <w:rPr>
          <w:rFonts w:ascii="Traditional Arabic" w:hAnsi="Traditional Arabic"/>
          <w:noProof w:val="0"/>
          <w:rtl/>
          <w:lang w:eastAsia="en-US"/>
        </w:rPr>
        <w:t>قا وكانا جميعا</w:t>
      </w:r>
      <w:r w:rsidR="00B34E74" w:rsidRPr="00C85F0F">
        <w:rPr>
          <w:rFonts w:ascii="Traditional Arabic" w:hAnsi="Traditional Arabic" w:hint="cs"/>
          <w:noProof w:val="0"/>
          <w:rtl/>
          <w:lang w:eastAsia="en-US"/>
        </w:rPr>
        <w:t>ً</w:t>
      </w:r>
      <w:r w:rsidR="00B34E74" w:rsidRPr="00C85F0F">
        <w:rPr>
          <w:rFonts w:ascii="Traditional Arabic" w:hAnsi="Traditional Arabic"/>
          <w:noProof w:val="0"/>
          <w:rtl/>
          <w:lang w:eastAsia="en-US"/>
        </w:rPr>
        <w:t>،</w:t>
      </w:r>
      <w:r w:rsidR="00AB0B9E" w:rsidRPr="00C85F0F">
        <w:rPr>
          <w:rFonts w:ascii="Traditional Arabic" w:hAnsi="Traditional Arabic"/>
          <w:noProof w:val="0"/>
          <w:lang w:eastAsia="en-US"/>
        </w:rPr>
        <w:fldChar w:fldCharType="begin"/>
      </w:r>
      <w:r w:rsidR="00311F3B" w:rsidRPr="00C85F0F">
        <w:rPr>
          <w:rFonts w:ascii="Traditional Arabic" w:hAnsi="Traditional Arabic"/>
          <w:noProof w:val="0"/>
          <w:lang w:eastAsia="en-US"/>
        </w:rPr>
        <w:instrText>XE</w:instrText>
      </w:r>
      <w:r w:rsidR="00311F3B" w:rsidRPr="00C85F0F">
        <w:rPr>
          <w:rFonts w:ascii="Traditional Arabic" w:hAnsi="Traditional Arabic"/>
          <w:noProof w:val="0"/>
          <w:rtl/>
          <w:lang w:eastAsia="en-US"/>
        </w:rPr>
        <w:instrText xml:space="preserve"> "إذا ت</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باي</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ع الرجلان، فكل</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 xml:space="preserve"> واحد</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 xml:space="preserve"> منهما بالخ</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 xml:space="preserve">يار ما </w:instrText>
      </w:r>
      <w:r w:rsidR="00311F3B" w:rsidRPr="00C85F0F">
        <w:rPr>
          <w:rFonts w:ascii="Traditional Arabic" w:hAnsi="Traditional Arabic" w:hint="cs"/>
          <w:noProof w:val="0"/>
          <w:rtl/>
          <w:lang w:eastAsia="en-US"/>
        </w:rPr>
        <w:instrText>ل</w:instrText>
      </w:r>
      <w:r w:rsidR="00311F3B" w:rsidRPr="00C85F0F">
        <w:rPr>
          <w:rFonts w:ascii="Traditional Arabic" w:hAnsi="Traditional Arabic"/>
          <w:noProof w:val="0"/>
          <w:rtl/>
          <w:lang w:eastAsia="en-US"/>
        </w:rPr>
        <w:instrText>م يتفر</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 xml:space="preserve">قا وكانا جميعا،" </w:instrText>
      </w:r>
      <w:r w:rsidR="00311F3B" w:rsidRPr="00C85F0F">
        <w:rPr>
          <w:rFonts w:ascii="Traditional Arabic" w:hAnsi="Traditional Arabic"/>
          <w:noProof w:val="0"/>
          <w:rtl/>
          <w:lang w:val="fr-FR" w:eastAsia="en-US"/>
        </w:rPr>
        <w:instrText>\</w:instrText>
      </w:r>
      <w:r w:rsidR="00311F3B" w:rsidRPr="00C85F0F">
        <w:rPr>
          <w:rFonts w:ascii="Traditional Arabic" w:hAnsi="Traditional Arabic"/>
          <w:noProof w:val="0"/>
          <w:lang w:val="fr-FR" w:eastAsia="en-US"/>
        </w:rPr>
        <w:instrText>fh</w:instrText>
      </w:r>
      <w:r w:rsidR="00AB0B9E" w:rsidRPr="00C85F0F">
        <w:rPr>
          <w:rFonts w:ascii="Traditional Arabic" w:hAnsi="Traditional Arabic"/>
          <w:noProof w:val="0"/>
          <w:lang w:eastAsia="en-US"/>
        </w:rPr>
        <w:fldChar w:fldCharType="end"/>
      </w:r>
      <w:r w:rsidR="00B34E74" w:rsidRPr="0050576A">
        <w:rPr>
          <w:rFonts w:ascii="Traditional Arabic" w:hAnsi="Traditional Arabic"/>
          <w:noProof w:val="0"/>
          <w:rtl/>
          <w:lang w:eastAsia="en-US"/>
        </w:rPr>
        <w:t xml:space="preserve"> أو يخي</w:t>
      </w:r>
      <w:r w:rsidR="00B34E74">
        <w:rPr>
          <w:rFonts w:ascii="Traditional Arabic" w:hAnsi="Traditional Arabic" w:hint="cs"/>
          <w:noProof w:val="0"/>
          <w:rtl/>
          <w:lang w:eastAsia="en-US"/>
        </w:rPr>
        <w:t>ِّ</w:t>
      </w:r>
      <w:r w:rsidR="00B34E74" w:rsidRPr="0050576A">
        <w:rPr>
          <w:rFonts w:ascii="Traditional Arabic" w:hAnsi="Traditional Arabic"/>
          <w:noProof w:val="0"/>
          <w:rtl/>
          <w:lang w:eastAsia="en-US"/>
        </w:rPr>
        <w:t>ر أحد</w:t>
      </w:r>
      <w:r w:rsidR="00B34E74">
        <w:rPr>
          <w:rFonts w:ascii="Traditional Arabic" w:hAnsi="Traditional Arabic" w:hint="cs"/>
          <w:noProof w:val="0"/>
          <w:rtl/>
          <w:lang w:eastAsia="en-US"/>
        </w:rPr>
        <w:t>ُ</w:t>
      </w:r>
      <w:r w:rsidR="00B34E74" w:rsidRPr="0050576A">
        <w:rPr>
          <w:rFonts w:ascii="Traditional Arabic" w:hAnsi="Traditional Arabic"/>
          <w:noProof w:val="0"/>
          <w:rtl/>
          <w:lang w:eastAsia="en-US"/>
        </w:rPr>
        <w:t>هما الآخر، فإن خي</w:t>
      </w:r>
      <w:r w:rsidR="00B34E74">
        <w:rPr>
          <w:rFonts w:ascii="Traditional Arabic" w:hAnsi="Traditional Arabic" w:hint="cs"/>
          <w:noProof w:val="0"/>
          <w:rtl/>
          <w:lang w:eastAsia="en-US"/>
        </w:rPr>
        <w:t>َّ</w:t>
      </w:r>
      <w:r w:rsidR="00B34E74" w:rsidRPr="0050576A">
        <w:rPr>
          <w:rFonts w:ascii="Traditional Arabic" w:hAnsi="Traditional Arabic"/>
          <w:noProof w:val="0"/>
          <w:rtl/>
          <w:lang w:eastAsia="en-US"/>
        </w:rPr>
        <w:t>ر أحدهما الآخر فتبايعا على ذلك فقد وجب البيع</w:t>
      </w:r>
      <w:r w:rsidR="00B34E74">
        <w:rPr>
          <w:rFonts w:ascii="Traditional Arabic" w:hAnsi="Traditional Arabic" w:hint="cs"/>
          <w:noProof w:val="0"/>
          <w:rtl/>
          <w:lang w:eastAsia="en-US"/>
        </w:rPr>
        <w:t>"</w:t>
      </w:r>
      <w:r w:rsidR="00B34E74" w:rsidRPr="00C821A1">
        <w:rPr>
          <w:rStyle w:val="af1"/>
          <w:szCs w:val="32"/>
          <w:rtl/>
        </w:rPr>
        <w:t>(</w:t>
      </w:r>
      <w:r w:rsidR="00B34E74" w:rsidRPr="00C821A1">
        <w:rPr>
          <w:rStyle w:val="af1"/>
          <w:szCs w:val="32"/>
          <w:rtl/>
        </w:rPr>
        <w:footnoteReference w:id="2085"/>
      </w:r>
      <w:r w:rsidR="00B34E74" w:rsidRPr="00C821A1">
        <w:rPr>
          <w:rStyle w:val="af1"/>
          <w:szCs w:val="32"/>
          <w:rtl/>
        </w:rPr>
        <w:t>)</w:t>
      </w:r>
      <w:r w:rsidR="00B34E74">
        <w:rPr>
          <w:rFonts w:ascii="Traditional Arabic" w:hAnsi="Traditional Arabic" w:hint="cs"/>
          <w:noProof w:val="0"/>
          <w:rtl/>
          <w:lang w:eastAsia="en-US"/>
        </w:rPr>
        <w:t>.</w:t>
      </w:r>
      <w:r w:rsidR="008554F1">
        <w:rPr>
          <w:rFonts w:ascii="Traditional Arabic" w:hAnsi="Traditional Arabic" w:hint="cs"/>
          <w:noProof w:val="0"/>
          <w:rtl/>
          <w:lang w:eastAsia="en-US"/>
        </w:rPr>
        <w:t xml:space="preserve"> </w:t>
      </w:r>
      <w:r w:rsidR="00B34E74" w:rsidRPr="0050576A">
        <w:rPr>
          <w:rFonts w:ascii="Traditional Arabic" w:hAnsi="Traditional Arabic"/>
          <w:noProof w:val="0"/>
          <w:rtl/>
          <w:lang w:eastAsia="en-US"/>
        </w:rPr>
        <w:lastRenderedPageBreak/>
        <w:t>فيبقى ما عداه على الأصل، مثل: الرهن، والوقف، والهبة، والمساقاة، والحوالة، والعتق</w:t>
      </w:r>
      <w:r w:rsidR="00B34E74" w:rsidRPr="00C821A1">
        <w:rPr>
          <w:rStyle w:val="af1"/>
          <w:szCs w:val="32"/>
          <w:rtl/>
        </w:rPr>
        <w:t>(</w:t>
      </w:r>
      <w:r w:rsidR="00B34E74" w:rsidRPr="00C821A1">
        <w:rPr>
          <w:rStyle w:val="af1"/>
          <w:szCs w:val="32"/>
          <w:rtl/>
        </w:rPr>
        <w:footnoteReference w:id="2086"/>
      </w:r>
      <w:r w:rsidR="00B34E74" w:rsidRPr="00C821A1">
        <w:rPr>
          <w:rStyle w:val="af1"/>
          <w:szCs w:val="32"/>
          <w:rtl/>
        </w:rPr>
        <w:t>)</w:t>
      </w:r>
      <w:r w:rsidR="00B34E74" w:rsidRPr="0050576A">
        <w:rPr>
          <w:rFonts w:ascii="Traditional Arabic" w:hAnsi="Traditional Arabic"/>
          <w:noProof w:val="0"/>
          <w:rtl/>
          <w:lang w:eastAsia="en-US"/>
        </w:rPr>
        <w:t>، وما أشبه ذلك، فهذه ليس فيها خيار مجلس؛ وذلك لأن هذه العقود لا تخلو من حالين:</w:t>
      </w:r>
    </w:p>
    <w:p w:rsidR="00B34E74" w:rsidRPr="0050576A" w:rsidRDefault="00065E4B"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noProof w:val="0"/>
          <w:rtl/>
          <w:lang w:eastAsia="en-US"/>
        </w:rPr>
        <w:t>ا</w:t>
      </w:r>
      <w:r w:rsidR="00B34E74">
        <w:rPr>
          <w:rFonts w:ascii="Traditional Arabic" w:hAnsi="Traditional Arabic" w:hint="cs"/>
          <w:noProof w:val="0"/>
          <w:rtl/>
          <w:lang w:eastAsia="en-US"/>
        </w:rPr>
        <w:t>لأولى</w:t>
      </w:r>
      <w:r w:rsidR="00B34E74">
        <w:rPr>
          <w:rFonts w:ascii="Traditional Arabic" w:hAnsi="Traditional Arabic"/>
          <w:noProof w:val="0"/>
          <w:rtl/>
          <w:lang w:eastAsia="en-US"/>
        </w:rPr>
        <w:t>: أن تكون من العقود النافذة</w:t>
      </w:r>
      <w:r w:rsidR="00B34E74" w:rsidRPr="0050576A">
        <w:rPr>
          <w:rFonts w:ascii="Traditional Arabic" w:hAnsi="Traditional Arabic"/>
          <w:noProof w:val="0"/>
          <w:rtl/>
          <w:lang w:eastAsia="en-US"/>
        </w:rPr>
        <w:t xml:space="preserve"> التي لقوة</w:t>
      </w:r>
      <w:r w:rsidR="00B34E74">
        <w:rPr>
          <w:rFonts w:ascii="Traditional Arabic" w:hAnsi="Traditional Arabic" w:hint="cs"/>
          <w:noProof w:val="0"/>
          <w:rtl/>
          <w:lang w:eastAsia="en-US"/>
        </w:rPr>
        <w:t>ِ</w:t>
      </w:r>
      <w:r w:rsidR="00B34E74" w:rsidRPr="0050576A">
        <w:rPr>
          <w:rFonts w:ascii="Traditional Arabic" w:hAnsi="Traditional Arabic"/>
          <w:noProof w:val="0"/>
          <w:rtl/>
          <w:lang w:eastAsia="en-US"/>
        </w:rPr>
        <w:t xml:space="preserve"> ن</w:t>
      </w:r>
      <w:r w:rsidR="00B34E74">
        <w:rPr>
          <w:rFonts w:ascii="Traditional Arabic" w:hAnsi="Traditional Arabic" w:hint="cs"/>
          <w:noProof w:val="0"/>
          <w:rtl/>
          <w:lang w:eastAsia="en-US"/>
        </w:rPr>
        <w:t>ُ</w:t>
      </w:r>
      <w:r w:rsidR="00B34E74" w:rsidRPr="0050576A">
        <w:rPr>
          <w:rFonts w:ascii="Traditional Arabic" w:hAnsi="Traditional Arabic"/>
          <w:noProof w:val="0"/>
          <w:rtl/>
          <w:lang w:eastAsia="en-US"/>
        </w:rPr>
        <w:t>فوذها لا يمكن أن يكون فيها خيار، مثل العتق</w:t>
      </w:r>
      <w:r w:rsidR="003739DF">
        <w:rPr>
          <w:rStyle w:val="af1"/>
          <w:rFonts w:hint="cs"/>
          <w:vertAlign w:val="baseline"/>
          <w:rtl/>
        </w:rPr>
        <w:t>،</w:t>
      </w:r>
      <w:r w:rsidR="00B34E74">
        <w:rPr>
          <w:rStyle w:val="af1"/>
          <w:rFonts w:hint="cs"/>
          <w:rtl/>
        </w:rPr>
        <w:t xml:space="preserve"> </w:t>
      </w:r>
      <w:r w:rsidR="00B34E74" w:rsidRPr="0050576A">
        <w:rPr>
          <w:rFonts w:ascii="Traditional Arabic" w:hAnsi="Traditional Arabic"/>
          <w:noProof w:val="0"/>
          <w:rtl/>
          <w:lang w:eastAsia="en-US"/>
        </w:rPr>
        <w:t>والوقف.</w:t>
      </w:r>
    </w:p>
    <w:p w:rsidR="00B34E74" w:rsidRDefault="00B34E74" w:rsidP="00597C20">
      <w:pPr>
        <w:ind w:firstLine="720"/>
        <w:rPr>
          <w:rFonts w:ascii="Traditional Arabic" w:hAnsi="Traditional Arabic"/>
          <w:noProof w:val="0"/>
          <w:rtl/>
          <w:lang w:eastAsia="en-US"/>
        </w:rPr>
      </w:pPr>
      <w:r>
        <w:rPr>
          <w:rFonts w:ascii="Traditional Arabic" w:hAnsi="Traditional Arabic"/>
          <w:noProof w:val="0"/>
          <w:rtl/>
          <w:lang w:eastAsia="en-US"/>
        </w:rPr>
        <w:t>ال</w:t>
      </w:r>
      <w:r>
        <w:rPr>
          <w:rFonts w:ascii="Traditional Arabic" w:hAnsi="Traditional Arabic" w:hint="cs"/>
          <w:noProof w:val="0"/>
          <w:rtl/>
          <w:lang w:eastAsia="en-US"/>
        </w:rPr>
        <w:t>ثانية</w:t>
      </w:r>
      <w:r w:rsidRPr="0050576A">
        <w:rPr>
          <w:rFonts w:ascii="Traditional Arabic" w:hAnsi="Traditional Arabic"/>
          <w:noProof w:val="0"/>
          <w:rtl/>
          <w:lang w:eastAsia="en-US"/>
        </w:rPr>
        <w:t>: أن تكون من العقود الجائزة، فهذه جوازها يغني عن قولنا</w:t>
      </w:r>
      <w:r>
        <w:rPr>
          <w:rFonts w:ascii="Traditional Arabic" w:hAnsi="Traditional Arabic" w:hint="cs"/>
          <w:noProof w:val="0"/>
          <w:rtl/>
          <w:lang w:eastAsia="en-US"/>
        </w:rPr>
        <w:t>:</w:t>
      </w:r>
      <w:r w:rsidRPr="0050576A">
        <w:rPr>
          <w:rFonts w:ascii="Traditional Arabic" w:hAnsi="Traditional Arabic"/>
          <w:noProof w:val="0"/>
          <w:rtl/>
          <w:lang w:eastAsia="en-US"/>
        </w:rPr>
        <w:t xml:space="preserve"> إن فيها الخيار؛ لأن العقد الجائز يجوز فسخه حتى بعد التفرق، سواء في مجلس العقد أو بعده.</w:t>
      </w:r>
    </w:p>
    <w:p w:rsidR="00B34E74" w:rsidRDefault="00B34E74" w:rsidP="00597C20">
      <w:pPr>
        <w:ind w:firstLine="720"/>
        <w:rPr>
          <w:color w:val="auto"/>
          <w:rtl/>
        </w:rPr>
      </w:pPr>
      <w:r w:rsidRPr="0050576A">
        <w:rPr>
          <w:rFonts w:ascii="Traditional Arabic" w:hAnsi="Traditional Arabic"/>
          <w:noProof w:val="0"/>
          <w:color w:val="auto"/>
          <w:rtl/>
          <w:lang w:eastAsia="en-US"/>
        </w:rPr>
        <w:t>وعلى هذا يمكن أن نأخذ من ذلك قاعدة</w:t>
      </w:r>
      <w:r w:rsidR="00010350">
        <w:rPr>
          <w:rFonts w:ascii="Traditional Arabic" w:hAnsi="Traditional Arabic" w:hint="cs"/>
          <w:noProof w:val="0"/>
          <w:color w:val="auto"/>
          <w:rtl/>
          <w:lang w:eastAsia="en-US"/>
        </w:rPr>
        <w:t>ً</w:t>
      </w:r>
      <w:r w:rsidR="002209E5" w:rsidRPr="002209E5">
        <w:rPr>
          <w:rFonts w:ascii="Traditional Arabic" w:hAnsi="Traditional Arabic" w:hint="cs"/>
          <w:noProof w:val="0"/>
          <w:color w:val="auto"/>
          <w:vertAlign w:val="superscript"/>
          <w:rtl/>
          <w:lang w:eastAsia="en-US"/>
        </w:rPr>
        <w:t>(</w:t>
      </w:r>
      <w:r w:rsidR="00010350" w:rsidRPr="002209E5">
        <w:rPr>
          <w:rStyle w:val="af1"/>
          <w:rFonts w:ascii="Traditional Arabic" w:hAnsi="Traditional Arabic"/>
          <w:noProof w:val="0"/>
          <w:color w:val="auto"/>
          <w:rtl/>
          <w:lang w:eastAsia="en-US"/>
        </w:rPr>
        <w:footnoteReference w:id="2087"/>
      </w:r>
      <w:r w:rsidR="002209E5" w:rsidRPr="002209E5">
        <w:rPr>
          <w:rFonts w:ascii="Traditional Arabic" w:hAnsi="Traditional Arabic" w:hint="cs"/>
          <w:noProof w:val="0"/>
          <w:color w:val="auto"/>
          <w:vertAlign w:val="superscript"/>
          <w:rtl/>
          <w:lang w:eastAsia="en-US"/>
        </w:rPr>
        <w:t>)</w:t>
      </w:r>
      <w:r>
        <w:rPr>
          <w:rFonts w:ascii="Traditional Arabic" w:hAnsi="Traditional Arabic" w:hint="cs"/>
          <w:noProof w:val="0"/>
          <w:color w:val="auto"/>
          <w:rtl/>
          <w:lang w:eastAsia="en-US"/>
        </w:rPr>
        <w:t>،</w:t>
      </w:r>
      <w:r w:rsidRPr="0050576A">
        <w:rPr>
          <w:rFonts w:ascii="Traditional Arabic" w:hAnsi="Traditional Arabic"/>
          <w:noProof w:val="0"/>
          <w:color w:val="auto"/>
          <w:rtl/>
          <w:lang w:eastAsia="en-US"/>
        </w:rPr>
        <w:t xml:space="preserve"> وهي أن ك</w:t>
      </w:r>
      <w:r w:rsidR="002209E5">
        <w:rPr>
          <w:rFonts w:ascii="Traditional Arabic" w:hAnsi="Traditional Arabic"/>
          <w:noProof w:val="0"/>
          <w:color w:val="auto"/>
          <w:rtl/>
          <w:lang w:eastAsia="en-US"/>
        </w:rPr>
        <w:t>ل عقد جائز فليس فيه خيار المجلس</w:t>
      </w:r>
      <w:r w:rsidR="002209E5">
        <w:rPr>
          <w:rFonts w:ascii="Traditional Arabic" w:hAnsi="Traditional Arabic" w:hint="cs"/>
          <w:noProof w:val="0"/>
          <w:color w:val="auto"/>
          <w:rtl/>
          <w:lang w:eastAsia="en-US"/>
        </w:rPr>
        <w:t>؛</w:t>
      </w:r>
      <w:r w:rsidRPr="0050576A">
        <w:rPr>
          <w:rFonts w:ascii="Traditional Arabic" w:hAnsi="Traditional Arabic"/>
          <w:noProof w:val="0"/>
          <w:color w:val="auto"/>
          <w:rtl/>
          <w:lang w:eastAsia="en-US"/>
        </w:rPr>
        <w:t xml:space="preserve"> لأنه ي</w:t>
      </w:r>
      <w:r>
        <w:rPr>
          <w:rFonts w:ascii="Traditional Arabic" w:hAnsi="Traditional Arabic" w:hint="cs"/>
          <w:noProof w:val="0"/>
          <w:color w:val="auto"/>
          <w:rtl/>
          <w:lang w:eastAsia="en-US"/>
        </w:rPr>
        <w:t>ُ</w:t>
      </w:r>
      <w:r w:rsidRPr="0050576A">
        <w:rPr>
          <w:rFonts w:ascii="Traditional Arabic" w:hAnsi="Traditional Arabic"/>
          <w:noProof w:val="0"/>
          <w:color w:val="auto"/>
          <w:rtl/>
          <w:lang w:eastAsia="en-US"/>
        </w:rPr>
        <w:t>ستغنى بجوازه عن الخيار</w:t>
      </w:r>
      <w:r w:rsidRPr="00C821A1">
        <w:rPr>
          <w:rStyle w:val="af1"/>
          <w:szCs w:val="32"/>
          <w:rtl/>
        </w:rPr>
        <w:t>(</w:t>
      </w:r>
      <w:r w:rsidRPr="00C821A1">
        <w:rPr>
          <w:rStyle w:val="af1"/>
          <w:szCs w:val="32"/>
          <w:rtl/>
        </w:rPr>
        <w:footnoteReference w:id="2088"/>
      </w:r>
      <w:r w:rsidRPr="00C821A1">
        <w:rPr>
          <w:rStyle w:val="af1"/>
          <w:szCs w:val="32"/>
          <w:rtl/>
        </w:rPr>
        <w:t>)</w:t>
      </w:r>
      <w:r>
        <w:rPr>
          <w:rFonts w:ascii="Traditional Arabic" w:hAnsi="Traditional Arabic" w:hint="cs"/>
          <w:noProof w:val="0"/>
          <w:color w:val="auto"/>
          <w:rtl/>
          <w:lang w:eastAsia="en-US"/>
        </w:rPr>
        <w:t>.</w:t>
      </w:r>
    </w:p>
    <w:p w:rsidR="00065E4B" w:rsidRDefault="008554F1" w:rsidP="00A8347C">
      <w:pPr>
        <w:pStyle w:val="aff3"/>
        <w:rPr>
          <w:rtl/>
        </w:rPr>
      </w:pPr>
      <w:bookmarkStart w:id="460" w:name="_Toc334046633"/>
      <w:r>
        <w:rPr>
          <w:rFonts w:hint="cs"/>
          <w:rtl/>
        </w:rPr>
        <w:t xml:space="preserve">                                          </w:t>
      </w:r>
      <w:r w:rsidR="00B34E74">
        <w:rPr>
          <w:rFonts w:hint="cs"/>
          <w:rtl/>
        </w:rPr>
        <w:t>المطلب الثاني</w:t>
      </w:r>
      <w:r w:rsidR="00B34E74">
        <w:rPr>
          <w:rFonts w:hint="eastAsia"/>
          <w:rtl/>
        </w:rPr>
        <w:t> :</w:t>
      </w:r>
      <w:r w:rsidR="00B34E74">
        <w:rPr>
          <w:rFonts w:hint="cs"/>
          <w:rtl/>
        </w:rPr>
        <w:br/>
      </w:r>
      <w:r>
        <w:rPr>
          <w:rFonts w:hint="cs"/>
          <w:rtl/>
        </w:rPr>
        <w:t xml:space="preserve">            </w:t>
      </w:r>
      <w:r w:rsidR="005C1302">
        <w:rPr>
          <w:rFonts w:hint="cs"/>
          <w:rtl/>
        </w:rPr>
        <w:t xml:space="preserve">                               </w:t>
      </w:r>
      <w:r w:rsidR="00B34E74">
        <w:rPr>
          <w:rFonts w:hint="cs"/>
          <w:rtl/>
        </w:rPr>
        <w:t>أدلة الضابط</w:t>
      </w:r>
      <w:bookmarkEnd w:id="460"/>
    </w:p>
    <w:p w:rsidR="00B34E74" w:rsidRDefault="00065E4B" w:rsidP="00597C20">
      <w:pPr>
        <w:widowControl/>
        <w:autoSpaceDE w:val="0"/>
        <w:autoSpaceDN w:val="0"/>
        <w:adjustRightInd w:val="0"/>
        <w:ind w:firstLine="720"/>
        <w:rPr>
          <w:rFonts w:ascii="Traditional Arabic" w:hAnsi="Traditional Arabic"/>
          <w:noProof w:val="0"/>
          <w:rtl/>
          <w:lang w:eastAsia="en-US"/>
        </w:rPr>
      </w:pPr>
      <w:r w:rsidRPr="00934DCB">
        <w:rPr>
          <w:rFonts w:ascii="Traditional Arabic" w:hAnsi="Traditional Arabic"/>
          <w:noProof w:val="0"/>
          <w:rtl/>
          <w:lang w:eastAsia="en-US"/>
        </w:rPr>
        <w:t>ا</w:t>
      </w:r>
      <w:r w:rsidR="00B34E74" w:rsidRPr="00934DCB">
        <w:rPr>
          <w:rFonts w:ascii="Traditional Arabic" w:hAnsi="Traditional Arabic"/>
          <w:noProof w:val="0"/>
          <w:rtl/>
          <w:lang w:eastAsia="en-US"/>
        </w:rPr>
        <w:t xml:space="preserve">لعقد الجائز هو </w:t>
      </w:r>
      <w:r w:rsidR="00B34E74">
        <w:rPr>
          <w:rFonts w:ascii="Traditional Arabic" w:hAnsi="Traditional Arabic" w:hint="cs"/>
          <w:noProof w:val="0"/>
          <w:rtl/>
          <w:lang w:eastAsia="en-US"/>
        </w:rPr>
        <w:t xml:space="preserve">العقد </w:t>
      </w:r>
      <w:r w:rsidR="00B34E74" w:rsidRPr="00934DCB">
        <w:rPr>
          <w:rFonts w:ascii="Traditional Arabic" w:hAnsi="Traditional Arabic"/>
          <w:noProof w:val="0"/>
          <w:rtl/>
          <w:lang w:eastAsia="en-US"/>
        </w:rPr>
        <w:t>الذي يملك كل واحد من المتعاقدين ف</w:t>
      </w:r>
      <w:r w:rsidR="005C1302">
        <w:rPr>
          <w:rFonts w:ascii="Traditional Arabic" w:hAnsi="Traditional Arabic" w:hint="cs"/>
          <w:noProof w:val="0"/>
          <w:rtl/>
          <w:lang w:eastAsia="en-US"/>
        </w:rPr>
        <w:t>َ</w:t>
      </w:r>
      <w:r w:rsidR="00B34E74" w:rsidRPr="00934DCB">
        <w:rPr>
          <w:rFonts w:ascii="Traditional Arabic" w:hAnsi="Traditional Arabic"/>
          <w:noProof w:val="0"/>
          <w:rtl/>
          <w:lang w:eastAsia="en-US"/>
        </w:rPr>
        <w:t>س</w:t>
      </w:r>
      <w:r w:rsidR="005C1302">
        <w:rPr>
          <w:rFonts w:ascii="Traditional Arabic" w:hAnsi="Traditional Arabic" w:hint="cs"/>
          <w:noProof w:val="0"/>
          <w:rtl/>
          <w:lang w:eastAsia="en-US"/>
        </w:rPr>
        <w:t>ْ</w:t>
      </w:r>
      <w:r w:rsidR="00B34E74">
        <w:rPr>
          <w:rFonts w:ascii="Traditional Arabic" w:hAnsi="Traditional Arabic"/>
          <w:noProof w:val="0"/>
          <w:rtl/>
          <w:lang w:eastAsia="en-US"/>
        </w:rPr>
        <w:t>خ</w:t>
      </w:r>
      <w:r w:rsidR="00B34E74">
        <w:rPr>
          <w:rFonts w:ascii="Traditional Arabic" w:hAnsi="Traditional Arabic" w:hint="cs"/>
          <w:noProof w:val="0"/>
          <w:rtl/>
          <w:lang w:eastAsia="en-US"/>
        </w:rPr>
        <w:t>َ</w:t>
      </w:r>
      <w:r w:rsidR="00B34E74">
        <w:rPr>
          <w:rFonts w:ascii="Traditional Arabic" w:hAnsi="Traditional Arabic"/>
          <w:noProof w:val="0"/>
          <w:rtl/>
          <w:lang w:eastAsia="en-US"/>
        </w:rPr>
        <w:t>ه بدون رضا الآخر، ولا إذنه</w:t>
      </w:r>
      <w:r w:rsidR="00B34E74">
        <w:rPr>
          <w:rFonts w:ascii="Traditional Arabic" w:hAnsi="Traditional Arabic" w:hint="cs"/>
          <w:noProof w:val="0"/>
          <w:rtl/>
          <w:lang w:eastAsia="en-US"/>
        </w:rPr>
        <w:t>، سواء أكان ذلك في مجلس العقد أو بعده؛ لهذا فكل عقد جائز فليس فيه خيار مجلس؛ لأنه يستغنى بجوازه عن الخيار</w:t>
      </w:r>
      <w:r w:rsidR="00B34E74" w:rsidRPr="00C821A1">
        <w:rPr>
          <w:rStyle w:val="af1"/>
          <w:szCs w:val="32"/>
          <w:rtl/>
        </w:rPr>
        <w:t>(</w:t>
      </w:r>
      <w:r w:rsidR="00B34E74" w:rsidRPr="00C821A1">
        <w:rPr>
          <w:rStyle w:val="af1"/>
          <w:szCs w:val="32"/>
          <w:rtl/>
        </w:rPr>
        <w:footnoteReference w:id="2089"/>
      </w:r>
      <w:r w:rsidR="00B34E74" w:rsidRPr="00C821A1">
        <w:rPr>
          <w:rStyle w:val="af1"/>
          <w:szCs w:val="32"/>
          <w:rtl/>
        </w:rPr>
        <w:t>)</w:t>
      </w:r>
      <w:r w:rsidR="00B34E74">
        <w:rPr>
          <w:rFonts w:ascii="Traditional Arabic" w:hAnsi="Traditional Arabic" w:hint="cs"/>
          <w:noProof w:val="0"/>
          <w:rtl/>
          <w:lang w:eastAsia="en-US"/>
        </w:rPr>
        <w:t>.</w:t>
      </w:r>
    </w:p>
    <w:p w:rsidR="00065E4B" w:rsidRPr="00B34E74" w:rsidRDefault="00EA39D3" w:rsidP="00A8347C">
      <w:pPr>
        <w:pStyle w:val="aff3"/>
        <w:rPr>
          <w:rtl/>
        </w:rPr>
      </w:pPr>
      <w:bookmarkStart w:id="461" w:name="_Toc334046634"/>
      <w:r>
        <w:rPr>
          <w:rFonts w:hint="cs"/>
          <w:rtl/>
        </w:rPr>
        <w:lastRenderedPageBreak/>
        <w:t xml:space="preserve">                                         </w:t>
      </w:r>
      <w:r w:rsidR="00B34E74" w:rsidRPr="00B34E74">
        <w:rPr>
          <w:rFonts w:hint="cs"/>
          <w:rtl/>
        </w:rPr>
        <w:t>المطلب الثالث</w:t>
      </w:r>
      <w:r w:rsidR="00B34E74">
        <w:rPr>
          <w:rFonts w:hint="eastAsia"/>
          <w:rtl/>
        </w:rPr>
        <w:t> :</w:t>
      </w:r>
      <w:r w:rsidR="00B34E74">
        <w:rPr>
          <w:rFonts w:hint="cs"/>
          <w:rtl/>
        </w:rPr>
        <w:br/>
      </w:r>
      <w:r>
        <w:rPr>
          <w:rFonts w:hint="cs"/>
          <w:rtl/>
        </w:rPr>
        <w:t xml:space="preserve">                                         </w:t>
      </w:r>
      <w:r w:rsidR="00B34E74" w:rsidRPr="00B34E74">
        <w:rPr>
          <w:rFonts w:hint="cs"/>
          <w:rtl/>
        </w:rPr>
        <w:t>تطبيقات الضابط</w:t>
      </w:r>
      <w:bookmarkEnd w:id="461"/>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ي</w:t>
      </w:r>
      <w:r w:rsidR="00B34E74">
        <w:rPr>
          <w:rFonts w:ascii="Traditional Arabic" w:hAnsi="Traditional Arabic" w:hint="cs"/>
          <w:noProof w:val="0"/>
          <w:rtl/>
          <w:lang w:eastAsia="en-US"/>
        </w:rPr>
        <w:t>دخل تحت تطبيقات هذا الضابط كل العقود الجائزة كالوكالة والشركة والمساقاة والسبق والجعالة، فإنها ليس فيها خيار المجلس.</w:t>
      </w:r>
    </w:p>
    <w:p w:rsidR="00065E4B" w:rsidRDefault="00065E4B" w:rsidP="00597C20">
      <w:pPr>
        <w:pStyle w:val="53"/>
        <w:rPr>
          <w:rtl/>
        </w:rPr>
      </w:pPr>
      <w:r>
        <w:rPr>
          <w:rFonts w:hint="cs"/>
          <w:rtl/>
        </w:rPr>
        <w:t>و</w:t>
      </w:r>
      <w:r w:rsidR="00B34E74">
        <w:rPr>
          <w:rFonts w:hint="cs"/>
          <w:rtl/>
        </w:rPr>
        <w:t>جه اندراج هذه الفروع تحت الضابط:</w:t>
      </w:r>
    </w:p>
    <w:p w:rsidR="0038004C" w:rsidRDefault="00EA39D3"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إ</w:t>
      </w:r>
      <w:r w:rsidR="00B34E74">
        <w:rPr>
          <w:rFonts w:ascii="Traditional Arabic" w:hAnsi="Traditional Arabic" w:hint="cs"/>
          <w:noProof w:val="0"/>
          <w:rtl/>
          <w:lang w:eastAsia="en-US"/>
        </w:rPr>
        <w:t>ن هذه العقود عقود جائزة، والعقود الجائزة ليس فيها خيار المجلس.</w:t>
      </w:r>
    </w:p>
    <w:p w:rsidR="007A6F9A" w:rsidRDefault="007A6F9A" w:rsidP="00597C20">
      <w:pPr>
        <w:widowControl/>
        <w:autoSpaceDE w:val="0"/>
        <w:autoSpaceDN w:val="0"/>
        <w:adjustRightInd w:val="0"/>
        <w:ind w:firstLine="720"/>
        <w:jc w:val="left"/>
        <w:rPr>
          <w:rFonts w:ascii="Traditional Arabic" w:hAnsi="Traditional Arabic"/>
          <w:noProof w:val="0"/>
          <w:rtl/>
          <w:lang w:eastAsia="en-US"/>
        </w:rPr>
      </w:pPr>
    </w:p>
    <w:p w:rsidR="007A6F9A" w:rsidRPr="007A6F9A" w:rsidRDefault="007A6F9A" w:rsidP="00597C20">
      <w:pPr>
        <w:widowControl/>
        <w:autoSpaceDE w:val="0"/>
        <w:autoSpaceDN w:val="0"/>
        <w:adjustRightInd w:val="0"/>
        <w:ind w:firstLine="720"/>
        <w:jc w:val="left"/>
        <w:rPr>
          <w:rFonts w:ascii="Traditional Arabic" w:hAnsi="Traditional Arabic"/>
          <w:b/>
          <w:bCs/>
          <w:noProof w:val="0"/>
          <w:rtl/>
          <w:lang w:eastAsia="en-US"/>
        </w:rPr>
      </w:pPr>
    </w:p>
    <w:p w:rsidR="001C1ED8" w:rsidRPr="001B56A8" w:rsidRDefault="001C1ED8" w:rsidP="00597C20">
      <w:pPr>
        <w:pStyle w:val="aff0"/>
        <w:rPr>
          <w:rtl/>
        </w:rPr>
      </w:pPr>
      <w:bookmarkStart w:id="462" w:name="_Toc334046635"/>
      <w:r w:rsidRPr="001B56A8">
        <w:rPr>
          <w:rFonts w:hint="cs"/>
          <w:rtl/>
        </w:rPr>
        <w:lastRenderedPageBreak/>
        <w:t>الفصل الثاني</w:t>
      </w:r>
      <w:r w:rsidRPr="001B56A8">
        <w:rPr>
          <w:rFonts w:hint="eastAsia"/>
          <w:rtl/>
        </w:rPr>
        <w:t> :</w:t>
      </w:r>
      <w:r w:rsidRPr="001B56A8">
        <w:rPr>
          <w:rFonts w:hint="cs"/>
          <w:rtl/>
        </w:rPr>
        <w:t>الضوابط المتعلقة بباب الربا والصرف</w:t>
      </w:r>
      <w:bookmarkEnd w:id="462"/>
    </w:p>
    <w:p w:rsidR="001C1ED8" w:rsidRPr="002D7A92" w:rsidRDefault="001C1ED8"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مبحثان:</w:t>
      </w:r>
    </w:p>
    <w:p w:rsidR="001C1ED8" w:rsidRDefault="002F34AD" w:rsidP="00597C20">
      <w:pPr>
        <w:tabs>
          <w:tab w:val="left" w:pos="2833"/>
        </w:tabs>
        <w:ind w:left="2833" w:hanging="2268"/>
        <w:jc w:val="left"/>
        <w:rPr>
          <w:rtl/>
        </w:rPr>
      </w:pPr>
      <w:r w:rsidRPr="00FD5687">
        <w:rPr>
          <w:rFonts w:hint="cs"/>
          <w:b/>
          <w:bCs/>
          <w:rtl/>
        </w:rPr>
        <w:t>المبحث الأول:</w:t>
      </w:r>
      <w:r>
        <w:rPr>
          <w:rFonts w:hint="cs"/>
          <w:rtl/>
        </w:rPr>
        <w:tab/>
      </w:r>
      <w:r w:rsidR="001C1ED8" w:rsidRPr="00031790">
        <w:rPr>
          <w:rFonts w:hint="cs"/>
          <w:rtl/>
        </w:rPr>
        <w:t xml:space="preserve">ضابط كل قرض جر </w:t>
      </w:r>
      <w:r w:rsidR="002209E5">
        <w:rPr>
          <w:rFonts w:hint="cs"/>
          <w:rtl/>
        </w:rPr>
        <w:t>منفعة</w:t>
      </w:r>
      <w:r w:rsidR="001C1ED8" w:rsidRPr="00031790">
        <w:rPr>
          <w:rFonts w:hint="cs"/>
          <w:rtl/>
        </w:rPr>
        <w:t xml:space="preserve"> فهو ربا</w:t>
      </w:r>
      <w:r w:rsidR="001C1ED8">
        <w:rPr>
          <w:rFonts w:hint="cs"/>
          <w:rtl/>
        </w:rPr>
        <w:t>.</w:t>
      </w:r>
    </w:p>
    <w:p w:rsidR="000D30E1" w:rsidRPr="00031790" w:rsidRDefault="002F34AD" w:rsidP="00597C20">
      <w:pPr>
        <w:tabs>
          <w:tab w:val="left" w:pos="2833"/>
        </w:tabs>
        <w:ind w:left="2833" w:hanging="2268"/>
        <w:jc w:val="left"/>
        <w:rPr>
          <w:rtl/>
        </w:rPr>
      </w:pPr>
      <w:r w:rsidRPr="00FD5687">
        <w:rPr>
          <w:rFonts w:hint="cs"/>
          <w:b/>
          <w:bCs/>
          <w:rtl/>
        </w:rPr>
        <w:t>المبحث الثاني:</w:t>
      </w:r>
      <w:r>
        <w:rPr>
          <w:rFonts w:hint="cs"/>
          <w:rtl/>
        </w:rPr>
        <w:tab/>
      </w:r>
      <w:r w:rsidR="001C1ED8" w:rsidRPr="00031790">
        <w:rPr>
          <w:rFonts w:hint="cs"/>
          <w:rtl/>
        </w:rPr>
        <w:t>ضابط كل شيئين يجري بينهما ربا الفضل فبينهما ربا النسيئة ولا عكس.</w:t>
      </w:r>
    </w:p>
    <w:p w:rsidR="0038004C" w:rsidRPr="00C85F0F" w:rsidRDefault="00E4746A" w:rsidP="000F5C0F">
      <w:pPr>
        <w:pStyle w:val="aff2"/>
        <w:rPr>
          <w:rtl/>
        </w:rPr>
      </w:pPr>
      <w:bookmarkStart w:id="463" w:name="_Toc334046636"/>
      <w:r w:rsidRPr="00D816CC">
        <w:rPr>
          <w:rFonts w:ascii="Traditional Arabic" w:hAnsi="Traditional Arabic" w:hint="cs"/>
          <w:rtl/>
        </w:rPr>
        <w:lastRenderedPageBreak/>
        <w:t>المبحث الأول</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7A6F9A">
        <w:rPr>
          <w:rFonts w:hint="cs"/>
          <w:rtl/>
        </w:rPr>
        <w:t>ضابط</w:t>
      </w:r>
      <w:r w:rsidR="007A6F9A">
        <w:rPr>
          <w:rFonts w:hint="cs"/>
          <w:rtl/>
        </w:rPr>
        <w:br/>
        <w:t xml:space="preserve">"كل قرض جر </w:t>
      </w:r>
      <w:r w:rsidR="00B47ECB">
        <w:rPr>
          <w:rFonts w:hint="cs"/>
          <w:rtl/>
        </w:rPr>
        <w:t>منفعة</w:t>
      </w:r>
      <w:r w:rsidR="0038004C">
        <w:rPr>
          <w:rFonts w:hint="cs"/>
          <w:rtl/>
        </w:rPr>
        <w:t xml:space="preserve"> فهو ربا</w:t>
      </w:r>
      <w:r w:rsidR="00AB0B9E" w:rsidRPr="00C85F0F">
        <w:rPr>
          <w:rtl/>
        </w:rPr>
        <w:fldChar w:fldCharType="begin"/>
      </w:r>
      <w:r w:rsidR="00945AC4" w:rsidRPr="00C85F0F">
        <w:rPr>
          <w:rFonts w:hint="cs"/>
        </w:rPr>
        <w:instrText>XE</w:instrText>
      </w:r>
      <w:r w:rsidR="00945AC4" w:rsidRPr="00C85F0F">
        <w:rPr>
          <w:rtl/>
        </w:rPr>
        <w:instrText xml:space="preserve"> "</w:instrText>
      </w:r>
      <w:r w:rsidR="00945AC4" w:rsidRPr="00C85F0F">
        <w:rPr>
          <w:rFonts w:hint="cs"/>
          <w:rtl/>
        </w:rPr>
        <w:instrText>كلقرضجرمنفعةفهوربا</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38004C" w:rsidRPr="00C85F0F">
        <w:rPr>
          <w:rFonts w:hint="cs"/>
          <w:rtl/>
        </w:rPr>
        <w:t>"</w:t>
      </w:r>
      <w:r w:rsidR="0038004C" w:rsidRPr="00C85F0F">
        <w:rPr>
          <w:rStyle w:val="af1"/>
          <w:b w:val="0"/>
          <w:bCs w:val="0"/>
          <w:szCs w:val="32"/>
          <w:rtl/>
        </w:rPr>
        <w:t>(</w:t>
      </w:r>
      <w:r w:rsidR="0038004C" w:rsidRPr="00C85F0F">
        <w:rPr>
          <w:rStyle w:val="af1"/>
          <w:b w:val="0"/>
          <w:bCs w:val="0"/>
          <w:szCs w:val="32"/>
          <w:rtl/>
        </w:rPr>
        <w:footnoteReference w:id="2090"/>
      </w:r>
      <w:r w:rsidR="0038004C" w:rsidRPr="00C85F0F">
        <w:rPr>
          <w:rStyle w:val="af1"/>
          <w:b w:val="0"/>
          <w:bCs w:val="0"/>
          <w:szCs w:val="32"/>
          <w:rtl/>
        </w:rPr>
        <w:t>)</w:t>
      </w:r>
      <w:bookmarkEnd w:id="463"/>
    </w:p>
    <w:p w:rsidR="0038004C" w:rsidRPr="00C85F0F" w:rsidRDefault="00EA39D3" w:rsidP="00A8347C">
      <w:pPr>
        <w:pStyle w:val="aff3"/>
        <w:rPr>
          <w:rtl/>
        </w:rPr>
      </w:pPr>
      <w:bookmarkStart w:id="464" w:name="_Toc334046637"/>
      <w:r>
        <w:rPr>
          <w:rFonts w:hint="cs"/>
          <w:rtl/>
        </w:rPr>
        <w:t xml:space="preserve">                                         </w:t>
      </w:r>
      <w:r w:rsidR="0038004C" w:rsidRPr="00C85F0F">
        <w:rPr>
          <w:rFonts w:hint="cs"/>
          <w:rtl/>
        </w:rPr>
        <w:t>المطلب الأول</w:t>
      </w:r>
      <w:r w:rsidR="0038004C" w:rsidRPr="00C85F0F">
        <w:rPr>
          <w:rFonts w:hint="eastAsia"/>
          <w:rtl/>
        </w:rPr>
        <w:t> :</w:t>
      </w:r>
      <w:r w:rsidR="0038004C" w:rsidRPr="00C85F0F">
        <w:rPr>
          <w:rFonts w:hint="cs"/>
          <w:rtl/>
        </w:rPr>
        <w:br/>
      </w:r>
      <w:r>
        <w:rPr>
          <w:rFonts w:hint="cs"/>
          <w:rtl/>
        </w:rPr>
        <w:t xml:space="preserve">                                          </w:t>
      </w:r>
      <w:r w:rsidR="0038004C" w:rsidRPr="00C85F0F">
        <w:rPr>
          <w:rFonts w:hint="cs"/>
          <w:rtl/>
        </w:rPr>
        <w:t>شرح الضابط</w:t>
      </w:r>
      <w:bookmarkEnd w:id="464"/>
    </w:p>
    <w:p w:rsidR="0038004C" w:rsidRPr="00C85F0F" w:rsidRDefault="0038004C" w:rsidP="00FD3233">
      <w:pPr>
        <w:pStyle w:val="53"/>
        <w:rPr>
          <w:rtl/>
        </w:rPr>
      </w:pPr>
      <w:r w:rsidRPr="00C85F0F">
        <w:rPr>
          <w:rFonts w:hint="cs"/>
          <w:rtl/>
        </w:rPr>
        <w:t>معنى الضابط إجمالا:</w:t>
      </w:r>
    </w:p>
    <w:p w:rsidR="00065E4B" w:rsidRPr="00C85F0F" w:rsidRDefault="0038004C" w:rsidP="00597C20">
      <w:pPr>
        <w:ind w:firstLine="720"/>
        <w:rPr>
          <w:rFonts w:ascii="Traditional Arabic" w:hAnsi="Traditional Arabic"/>
          <w:noProof w:val="0"/>
          <w:rtl/>
          <w:lang w:eastAsia="en-US"/>
        </w:rPr>
      </w:pPr>
      <w:r w:rsidRPr="00C85F0F">
        <w:rPr>
          <w:rFonts w:hint="cs"/>
          <w:rtl/>
        </w:rPr>
        <w:t xml:space="preserve">الأصل في القرض أنه عمل خيري يقصِد به المقرِض وجهَ الله، والإحسانَ إلى المقترِض ودفعَ حاجته، </w:t>
      </w:r>
      <w:r w:rsidRPr="00C85F0F">
        <w:rPr>
          <w:rFonts w:ascii="Traditional Arabic" w:hAnsi="Traditional Arabic" w:hint="cs"/>
          <w:noProof w:val="0"/>
          <w:rtl/>
          <w:lang w:eastAsia="en-US"/>
        </w:rPr>
        <w:t xml:space="preserve">إذ </w:t>
      </w:r>
      <w:r w:rsidRPr="00C85F0F">
        <w:rPr>
          <w:rFonts w:ascii="Traditional Arabic" w:hAnsi="Traditional Arabic"/>
          <w:noProof w:val="0"/>
          <w:rtl/>
          <w:lang w:eastAsia="en-US"/>
        </w:rPr>
        <w:t xml:space="preserve">لولا </w:t>
      </w:r>
      <w:r w:rsidRPr="00C85F0F">
        <w:rPr>
          <w:rFonts w:ascii="Traditional Arabic" w:hAnsi="Traditional Arabic" w:hint="cs"/>
          <w:noProof w:val="0"/>
          <w:rtl/>
          <w:lang w:eastAsia="en-US"/>
        </w:rPr>
        <w:t>ذلك</w:t>
      </w:r>
      <w:r w:rsidRPr="00C85F0F">
        <w:rPr>
          <w:rFonts w:ascii="Traditional Arabic" w:hAnsi="Traditional Arabic"/>
          <w:noProof w:val="0"/>
          <w:rtl/>
          <w:lang w:eastAsia="en-US"/>
        </w:rPr>
        <w:t xml:space="preserve"> لكان يحر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 أن تعطي شخصاً درهماً ثم يعطيك بعد مدة 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درهماً آخر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لأن هذا في الحقيقة ربا نسيئة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إذ هو مبادلة نقد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بنقد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مع تأخير القبض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لكن لما تضم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ن </w:t>
      </w:r>
      <w:r w:rsidRPr="00C85F0F">
        <w:rPr>
          <w:rFonts w:ascii="Traditional Arabic" w:hAnsi="Traditional Arabic"/>
          <w:noProof w:val="0"/>
          <w:rtl/>
          <w:lang w:eastAsia="en-US"/>
        </w:rPr>
        <w:lastRenderedPageBreak/>
        <w:t>الإرفاق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والإحسان ودفع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الحاجة أبيح </w:t>
      </w:r>
      <w:r w:rsidRPr="00C85F0F">
        <w:rPr>
          <w:rFonts w:ascii="Traditional Arabic" w:hAnsi="Traditional Arabic" w:hint="cs"/>
          <w:noProof w:val="0"/>
          <w:rtl/>
          <w:lang w:eastAsia="en-US"/>
        </w:rPr>
        <w:t>ل</w:t>
      </w:r>
      <w:r w:rsidRPr="00C85F0F">
        <w:rPr>
          <w:rFonts w:ascii="Traditional Arabic" w:hAnsi="Traditional Arabic"/>
          <w:noProof w:val="0"/>
          <w:rtl/>
          <w:lang w:eastAsia="en-US"/>
        </w:rPr>
        <w:t>هذا الغرض</w:t>
      </w:r>
      <w:r w:rsidRPr="00C85F0F">
        <w:rPr>
          <w:rFonts w:ascii="Traditional Arabic" w:hAnsi="Traditional Arabic" w:hint="cs"/>
          <w:noProof w:val="0"/>
          <w:rtl/>
          <w:lang w:eastAsia="en-US"/>
        </w:rPr>
        <w:t>.</w:t>
      </w:r>
    </w:p>
    <w:p w:rsidR="0038004C" w:rsidRDefault="00065E4B" w:rsidP="00597C20">
      <w:pPr>
        <w:ind w:firstLine="720"/>
        <w:rPr>
          <w:rtl/>
        </w:rPr>
      </w:pPr>
      <w:r w:rsidRPr="00C85F0F">
        <w:rPr>
          <w:rFonts w:ascii="Traditional Arabic" w:hAnsi="Traditional Arabic"/>
          <w:noProof w:val="0"/>
          <w:rtl/>
          <w:lang w:eastAsia="en-US"/>
        </w:rPr>
        <w:t>ف</w:t>
      </w:r>
      <w:r w:rsidR="0038004C" w:rsidRPr="00C85F0F">
        <w:rPr>
          <w:rFonts w:ascii="Traditional Arabic" w:hAnsi="Traditional Arabic"/>
          <w:noProof w:val="0"/>
          <w:rtl/>
          <w:lang w:eastAsia="en-US"/>
        </w:rPr>
        <w:t xml:space="preserve">إذا تعدى </w:t>
      </w:r>
      <w:r w:rsidR="0038004C" w:rsidRPr="00C85F0F">
        <w:rPr>
          <w:rFonts w:ascii="Traditional Arabic" w:hAnsi="Traditional Arabic" w:hint="cs"/>
          <w:noProof w:val="0"/>
          <w:rtl/>
          <w:lang w:eastAsia="en-US"/>
        </w:rPr>
        <w:t xml:space="preserve">ذلك </w:t>
      </w:r>
      <w:r w:rsidR="0038004C" w:rsidRPr="00C85F0F">
        <w:rPr>
          <w:rFonts w:ascii="Traditional Arabic" w:hAnsi="Traditional Arabic"/>
          <w:noProof w:val="0"/>
          <w:rtl/>
          <w:lang w:eastAsia="en-US"/>
        </w:rPr>
        <w:t>إلى أن يشتمل على منفعة</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مشروطة</w:t>
      </w:r>
      <w:r w:rsidR="0038004C" w:rsidRPr="00C85F0F">
        <w:rPr>
          <w:rFonts w:ascii="Traditional Arabic" w:hAnsi="Traditional Arabic" w:hint="cs"/>
          <w:noProof w:val="0"/>
          <w:rtl/>
          <w:lang w:eastAsia="en-US"/>
        </w:rPr>
        <w:t>ٍ</w:t>
      </w:r>
      <w:r w:rsidR="0063066B">
        <w:rPr>
          <w:rFonts w:ascii="Traditional Arabic" w:hAnsi="Traditional Arabic" w:hint="cs"/>
          <w:noProof w:val="0"/>
          <w:rtl/>
          <w:lang w:eastAsia="en-US"/>
        </w:rPr>
        <w:t xml:space="preserve"> </w:t>
      </w:r>
      <w:r w:rsidR="0038004C" w:rsidRPr="00C85F0F">
        <w:rPr>
          <w:rFonts w:ascii="Traditional Arabic" w:hAnsi="Traditional Arabic" w:hint="cs"/>
          <w:noProof w:val="0"/>
          <w:rtl/>
          <w:lang w:eastAsia="en-US"/>
        </w:rPr>
        <w:t xml:space="preserve">للمُقرِض، </w:t>
      </w:r>
      <w:r w:rsidR="0038004C" w:rsidRPr="00C85F0F">
        <w:rPr>
          <w:rFonts w:ascii="Traditional Arabic" w:hAnsi="Traditional Arabic"/>
          <w:noProof w:val="0"/>
          <w:rtl/>
          <w:lang w:eastAsia="en-US"/>
        </w:rPr>
        <w:t>أو م</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تواط</w:t>
      </w:r>
      <w:r w:rsidR="00FD7D26">
        <w:rPr>
          <w:rFonts w:ascii="Traditional Arabic" w:hAnsi="Traditional Arabic" w:hint="cs"/>
          <w:noProof w:val="0"/>
          <w:rtl/>
          <w:lang w:eastAsia="en-US"/>
        </w:rPr>
        <w:t>َ</w:t>
      </w:r>
      <w:r w:rsidR="0063066B">
        <w:rPr>
          <w:rFonts w:ascii="Traditional Arabic" w:hAnsi="Traditional Arabic" w:hint="cs"/>
          <w:noProof w:val="0"/>
          <w:rtl/>
          <w:lang w:eastAsia="en-US"/>
        </w:rPr>
        <w:t>أٍ</w:t>
      </w:r>
      <w:r w:rsidR="0038004C" w:rsidRPr="00C85F0F">
        <w:rPr>
          <w:rFonts w:ascii="Traditional Arabic" w:hAnsi="Traditional Arabic"/>
          <w:noProof w:val="0"/>
          <w:rtl/>
          <w:lang w:eastAsia="en-US"/>
        </w:rPr>
        <w:t xml:space="preserve"> عليها</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فإنه يخرج عن موضوعه الذي من أجله ش</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رع</w:t>
      </w:r>
      <w:r w:rsidR="0038004C" w:rsidRPr="00C85F0F">
        <w:rPr>
          <w:rFonts w:ascii="Traditional Arabic" w:hAnsi="Traditional Arabic" w:hint="cs"/>
          <w:noProof w:val="0"/>
          <w:rtl/>
          <w:lang w:eastAsia="en-US"/>
        </w:rPr>
        <w:t>،</w:t>
      </w:r>
      <w:r w:rsidR="0063066B">
        <w:rPr>
          <w:rFonts w:ascii="Traditional Arabic" w:hAnsi="Traditional Arabic" w:hint="cs"/>
          <w:noProof w:val="0"/>
          <w:rtl/>
          <w:lang w:eastAsia="en-US"/>
        </w:rPr>
        <w:t xml:space="preserve"> </w:t>
      </w:r>
      <w:r w:rsidR="0038004C" w:rsidRPr="00C85F0F">
        <w:rPr>
          <w:rFonts w:ascii="Traditional Arabic" w:hAnsi="Traditional Arabic" w:hint="cs"/>
          <w:noProof w:val="0"/>
          <w:rtl/>
          <w:lang w:eastAsia="en-US"/>
        </w:rPr>
        <w:t xml:space="preserve">ويصير من باب المعاوَضة، </w:t>
      </w:r>
      <w:r w:rsidR="005C1302">
        <w:rPr>
          <w:rFonts w:ascii="Traditional Arabic" w:hAnsi="Traditional Arabic"/>
          <w:noProof w:val="0"/>
          <w:rtl/>
          <w:lang w:eastAsia="en-US"/>
        </w:rPr>
        <w:t>وعلى هذا فكل منفعة يكتسبها الم</w:t>
      </w:r>
      <w:r w:rsidR="0038004C" w:rsidRPr="00C85F0F">
        <w:rPr>
          <w:rFonts w:ascii="Traditional Arabic" w:hAnsi="Traditional Arabic"/>
          <w:noProof w:val="0"/>
          <w:rtl/>
          <w:lang w:eastAsia="en-US"/>
        </w:rPr>
        <w:t>قرض من القرض باشتراط</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أو م</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واط</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ئة</w:t>
      </w:r>
      <w:r w:rsidR="0038004C" w:rsidRPr="00C85F0F">
        <w:rPr>
          <w:rFonts w:ascii="Traditional Arabic" w:hAnsi="Traditional Arabic" w:hint="cs"/>
          <w:noProof w:val="0"/>
          <w:rtl/>
          <w:lang w:eastAsia="en-US"/>
        </w:rPr>
        <w:t>ٍ، فهي ربا</w:t>
      </w:r>
      <w:r w:rsidR="0038004C" w:rsidRPr="00C85F0F">
        <w:rPr>
          <w:rStyle w:val="af1"/>
          <w:szCs w:val="32"/>
          <w:rtl/>
        </w:rPr>
        <w:t>(</w:t>
      </w:r>
      <w:r w:rsidR="0038004C" w:rsidRPr="00C85F0F">
        <w:rPr>
          <w:rStyle w:val="af1"/>
          <w:szCs w:val="32"/>
          <w:rtl/>
        </w:rPr>
        <w:footnoteReference w:id="2091"/>
      </w:r>
      <w:r w:rsidR="0038004C" w:rsidRPr="00C85F0F">
        <w:rPr>
          <w:rStyle w:val="af1"/>
          <w:szCs w:val="32"/>
          <w:rtl/>
        </w:rPr>
        <w:t>)</w:t>
      </w:r>
      <w:r w:rsidR="0038004C" w:rsidRPr="00C85F0F">
        <w:rPr>
          <w:rFonts w:ascii="Traditional Arabic" w:hAnsi="Traditional Arabic" w:hint="cs"/>
          <w:noProof w:val="0"/>
          <w:rtl/>
          <w:lang w:eastAsia="en-US"/>
        </w:rPr>
        <w:t>.</w:t>
      </w:r>
    </w:p>
    <w:p w:rsidR="00B25120" w:rsidRDefault="00B25120" w:rsidP="00311557">
      <w:pPr>
        <w:ind w:firstLine="720"/>
        <w:rPr>
          <w:rtl/>
        </w:rPr>
      </w:pPr>
      <w:r>
        <w:rPr>
          <w:rFonts w:hint="cs"/>
          <w:rtl/>
        </w:rPr>
        <w:t>ولكن مما ينبغي أن يُعلم</w:t>
      </w:r>
      <w:r w:rsidR="0043731C">
        <w:rPr>
          <w:rFonts w:hint="cs"/>
          <w:rtl/>
        </w:rPr>
        <w:t xml:space="preserve"> أن المنفعة التي تجر</w:t>
      </w:r>
      <w:r w:rsidR="002E73AB">
        <w:rPr>
          <w:rFonts w:hint="cs"/>
          <w:rtl/>
        </w:rPr>
        <w:t>ُّ</w:t>
      </w:r>
      <w:r w:rsidR="0043731C">
        <w:rPr>
          <w:rFonts w:hint="cs"/>
          <w:rtl/>
        </w:rPr>
        <w:t xml:space="preserve"> </w:t>
      </w:r>
      <w:r w:rsidR="002E73AB">
        <w:rPr>
          <w:rFonts w:hint="cs"/>
          <w:rtl/>
        </w:rPr>
        <w:t>إ</w:t>
      </w:r>
      <w:r w:rsidR="0043731C">
        <w:rPr>
          <w:rFonts w:hint="cs"/>
          <w:rtl/>
        </w:rPr>
        <w:t>لى الربا في القرض هي التي تخ</w:t>
      </w:r>
      <w:r w:rsidR="002E73AB">
        <w:rPr>
          <w:rFonts w:hint="cs"/>
          <w:rtl/>
        </w:rPr>
        <w:t>ُ</w:t>
      </w:r>
      <w:r w:rsidR="0043731C">
        <w:rPr>
          <w:rFonts w:hint="cs"/>
          <w:rtl/>
        </w:rPr>
        <w:t>ص</w:t>
      </w:r>
      <w:r w:rsidR="002E73AB">
        <w:rPr>
          <w:rFonts w:hint="cs"/>
          <w:rtl/>
        </w:rPr>
        <w:t>ُّ</w:t>
      </w:r>
      <w:r w:rsidR="0043731C">
        <w:rPr>
          <w:rFonts w:hint="cs"/>
          <w:rtl/>
        </w:rPr>
        <w:t xml:space="preserve"> المقرض، كس</w:t>
      </w:r>
      <w:r w:rsidR="00596967">
        <w:rPr>
          <w:rFonts w:hint="cs"/>
          <w:rtl/>
        </w:rPr>
        <w:t>ُ</w:t>
      </w:r>
      <w:r w:rsidR="0043731C">
        <w:rPr>
          <w:rFonts w:hint="cs"/>
          <w:rtl/>
        </w:rPr>
        <w:t>ك</w:t>
      </w:r>
      <w:r w:rsidR="00596967">
        <w:rPr>
          <w:rFonts w:hint="cs"/>
          <w:rtl/>
        </w:rPr>
        <w:t>ْ</w:t>
      </w:r>
      <w:r w:rsidR="0043731C">
        <w:rPr>
          <w:rFonts w:hint="cs"/>
          <w:rtl/>
        </w:rPr>
        <w:t>نى دار</w:t>
      </w:r>
      <w:r w:rsidR="00596967">
        <w:rPr>
          <w:rFonts w:hint="cs"/>
          <w:rtl/>
        </w:rPr>
        <w:t>ِ</w:t>
      </w:r>
      <w:r w:rsidR="0043731C">
        <w:rPr>
          <w:rFonts w:hint="cs"/>
          <w:rtl/>
        </w:rPr>
        <w:t xml:space="preserve"> المقترض، وركوب دوابِّه</w:t>
      </w:r>
      <w:r w:rsidR="00311557">
        <w:rPr>
          <w:rFonts w:hint="cs"/>
          <w:rtl/>
        </w:rPr>
        <w:t>؛ لأن الربا يكون الانتفاع فيه من طرف واحد، وهو المقرض.</w:t>
      </w:r>
      <w:r w:rsidR="00596967">
        <w:rPr>
          <w:rFonts w:hint="cs"/>
          <w:rtl/>
        </w:rPr>
        <w:t xml:space="preserve"> </w:t>
      </w:r>
      <w:r w:rsidR="00311557">
        <w:rPr>
          <w:rFonts w:hint="cs"/>
          <w:rtl/>
        </w:rPr>
        <w:t xml:space="preserve">             </w:t>
      </w:r>
    </w:p>
    <w:p w:rsidR="00311557" w:rsidRPr="00C85F0F" w:rsidRDefault="00311557" w:rsidP="00311557">
      <w:pPr>
        <w:ind w:firstLine="720"/>
        <w:rPr>
          <w:rtl/>
        </w:rPr>
      </w:pPr>
      <w:r>
        <w:rPr>
          <w:rFonts w:hint="cs"/>
          <w:rtl/>
        </w:rPr>
        <w:t xml:space="preserve">وأما إن كان الانتفاع من الطرفين، فهو جائز؛ لأن كلاًّ من المقرض والمقترض ينتفع، ومثاله </w:t>
      </w:r>
      <w:r w:rsidRPr="00311557">
        <w:rPr>
          <w:rFonts w:ascii="Traditional Arabic" w:hAnsi="Traditional Arabic"/>
          <w:noProof w:val="0"/>
          <w:rtl/>
          <w:lang w:eastAsia="en-US"/>
        </w:rPr>
        <w:t>ما لو أفلس غريم</w:t>
      </w:r>
      <w:r>
        <w:rPr>
          <w:rFonts w:ascii="Traditional Arabic" w:hAnsi="Traditional Arabic" w:hint="cs"/>
          <w:noProof w:val="0"/>
          <w:rtl/>
          <w:lang w:eastAsia="en-US"/>
        </w:rPr>
        <w:t>ُ</w:t>
      </w:r>
      <w:r w:rsidRPr="00311557">
        <w:rPr>
          <w:rFonts w:ascii="Traditional Arabic" w:hAnsi="Traditional Arabic"/>
          <w:noProof w:val="0"/>
          <w:rtl/>
          <w:lang w:eastAsia="en-US"/>
        </w:rPr>
        <w:t>ه فأقرضه دراهم يوف</w:t>
      </w:r>
      <w:r>
        <w:rPr>
          <w:rFonts w:ascii="Traditional Arabic" w:hAnsi="Traditional Arabic" w:hint="cs"/>
          <w:noProof w:val="0"/>
          <w:rtl/>
          <w:lang w:eastAsia="en-US"/>
        </w:rPr>
        <w:t>ِّ</w:t>
      </w:r>
      <w:r w:rsidRPr="00311557">
        <w:rPr>
          <w:rFonts w:ascii="Traditional Arabic" w:hAnsi="Traditional Arabic"/>
          <w:noProof w:val="0"/>
          <w:rtl/>
          <w:lang w:eastAsia="en-US"/>
        </w:rPr>
        <w:t>يه كل</w:t>
      </w:r>
      <w:r>
        <w:rPr>
          <w:rFonts w:ascii="Traditional Arabic" w:hAnsi="Traditional Arabic" w:hint="cs"/>
          <w:noProof w:val="0"/>
          <w:rtl/>
          <w:lang w:eastAsia="en-US"/>
        </w:rPr>
        <w:t>َّ</w:t>
      </w:r>
      <w:r w:rsidRPr="00311557">
        <w:rPr>
          <w:rFonts w:ascii="Traditional Arabic" w:hAnsi="Traditional Arabic"/>
          <w:noProof w:val="0"/>
          <w:rtl/>
          <w:lang w:eastAsia="en-US"/>
        </w:rPr>
        <w:t xml:space="preserve"> شهر شيئا</w:t>
      </w:r>
      <w:r>
        <w:rPr>
          <w:rFonts w:ascii="Traditional Arabic" w:hAnsi="Traditional Arabic" w:hint="cs"/>
          <w:noProof w:val="0"/>
          <w:rtl/>
          <w:lang w:eastAsia="en-US"/>
        </w:rPr>
        <w:t>ً</w:t>
      </w:r>
      <w:r w:rsidRPr="00311557">
        <w:rPr>
          <w:rFonts w:ascii="Traditional Arabic" w:hAnsi="Traditional Arabic"/>
          <w:noProof w:val="0"/>
          <w:rtl/>
          <w:lang w:eastAsia="en-US"/>
        </w:rPr>
        <w:t xml:space="preserve"> معلوما</w:t>
      </w:r>
      <w:r>
        <w:rPr>
          <w:rFonts w:ascii="Traditional Arabic" w:hAnsi="Traditional Arabic" w:hint="cs"/>
          <w:noProof w:val="0"/>
          <w:rtl/>
          <w:lang w:eastAsia="en-US"/>
        </w:rPr>
        <w:t>ً</w:t>
      </w:r>
      <w:r w:rsidRPr="00311557">
        <w:rPr>
          <w:rFonts w:ascii="Traditional Arabic" w:hAnsi="Traditional Arabic"/>
          <w:noProof w:val="0"/>
          <w:rtl/>
          <w:lang w:eastAsia="en-US"/>
        </w:rPr>
        <w:t xml:space="preserve"> من ر</w:t>
      </w:r>
      <w:r>
        <w:rPr>
          <w:rFonts w:ascii="Traditional Arabic" w:hAnsi="Traditional Arabic" w:hint="cs"/>
          <w:noProof w:val="0"/>
          <w:rtl/>
          <w:lang w:eastAsia="en-US"/>
        </w:rPr>
        <w:t>ِ</w:t>
      </w:r>
      <w:r w:rsidRPr="00311557">
        <w:rPr>
          <w:rFonts w:ascii="Traditional Arabic" w:hAnsi="Traditional Arabic"/>
          <w:noProof w:val="0"/>
          <w:rtl/>
          <w:lang w:eastAsia="en-US"/>
        </w:rPr>
        <w:t>بحها</w:t>
      </w:r>
      <w:r>
        <w:rPr>
          <w:rFonts w:ascii="Traditional Arabic" w:hAnsi="Traditional Arabic" w:hint="cs"/>
          <w:noProof w:val="0"/>
          <w:rtl/>
          <w:lang w:eastAsia="en-US"/>
        </w:rPr>
        <w:t>، فإن ذلك</w:t>
      </w:r>
      <w:r w:rsidRPr="00311557">
        <w:rPr>
          <w:rFonts w:ascii="Traditional Arabic" w:hAnsi="Traditional Arabic"/>
          <w:noProof w:val="0"/>
          <w:rtl/>
          <w:lang w:eastAsia="en-US"/>
        </w:rPr>
        <w:t xml:space="preserve"> جا</w:t>
      </w:r>
      <w:r>
        <w:rPr>
          <w:rFonts w:ascii="Traditional Arabic" w:hAnsi="Traditional Arabic" w:hint="cs"/>
          <w:noProof w:val="0"/>
          <w:rtl/>
          <w:lang w:eastAsia="en-US"/>
        </w:rPr>
        <w:t>ئ</w:t>
      </w:r>
      <w:r>
        <w:rPr>
          <w:rFonts w:ascii="Traditional Arabic" w:hAnsi="Traditional Arabic"/>
          <w:noProof w:val="0"/>
          <w:rtl/>
          <w:lang w:eastAsia="en-US"/>
        </w:rPr>
        <w:t>ز</w:t>
      </w:r>
      <w:r>
        <w:rPr>
          <w:rFonts w:ascii="Traditional Arabic" w:hAnsi="Traditional Arabic" w:hint="cs"/>
          <w:noProof w:val="0"/>
          <w:rtl/>
          <w:lang w:eastAsia="en-US"/>
        </w:rPr>
        <w:t xml:space="preserve">؛ </w:t>
      </w:r>
      <w:r w:rsidRPr="00311557">
        <w:rPr>
          <w:rFonts w:ascii="Traditional Arabic" w:hAnsi="Traditional Arabic"/>
          <w:noProof w:val="0"/>
          <w:rtl/>
          <w:lang w:eastAsia="en-US"/>
        </w:rPr>
        <w:t>لأن المقترض لم ينفرد بالمنفعة</w:t>
      </w:r>
      <w:r w:rsidR="003130FB">
        <w:rPr>
          <w:rFonts w:ascii="Traditional Arabic" w:hAnsi="Traditional Arabic" w:hint="cs"/>
          <w:b/>
          <w:bCs/>
          <w:noProof w:val="0"/>
          <w:sz w:val="44"/>
          <w:szCs w:val="44"/>
          <w:rtl/>
          <w:lang w:eastAsia="en-US"/>
        </w:rPr>
        <w:t xml:space="preserve">، </w:t>
      </w:r>
      <w:r w:rsidR="003130FB" w:rsidRPr="003130FB">
        <w:rPr>
          <w:rFonts w:ascii="Traditional Arabic" w:hAnsi="Traditional Arabic" w:hint="cs"/>
          <w:noProof w:val="0"/>
          <w:rtl/>
          <w:lang w:eastAsia="en-US"/>
        </w:rPr>
        <w:t>ونظير ذلك ما</w:t>
      </w:r>
      <w:r w:rsidR="003130FB">
        <w:rPr>
          <w:rFonts w:ascii="Traditional Arabic" w:hAnsi="Traditional Arabic" w:hint="cs"/>
          <w:b/>
          <w:bCs/>
          <w:noProof w:val="0"/>
          <w:sz w:val="44"/>
          <w:szCs w:val="44"/>
          <w:rtl/>
          <w:lang w:eastAsia="en-US"/>
        </w:rPr>
        <w:t xml:space="preserve"> </w:t>
      </w:r>
      <w:r w:rsidR="003130FB" w:rsidRPr="003130FB">
        <w:rPr>
          <w:rFonts w:ascii="Traditional Arabic" w:hAnsi="Traditional Arabic"/>
          <w:noProof w:val="0"/>
          <w:rtl/>
          <w:lang w:eastAsia="en-US"/>
        </w:rPr>
        <w:t>إذا أقرض فلاحا</w:t>
      </w:r>
      <w:r w:rsidR="003130FB">
        <w:rPr>
          <w:rFonts w:ascii="Traditional Arabic" w:hAnsi="Traditional Arabic" w:hint="cs"/>
          <w:noProof w:val="0"/>
          <w:rtl/>
          <w:lang w:eastAsia="en-US"/>
        </w:rPr>
        <w:t>ً</w:t>
      </w:r>
      <w:r w:rsidR="003130FB" w:rsidRPr="003130FB">
        <w:rPr>
          <w:rFonts w:ascii="Traditional Arabic" w:hAnsi="Traditional Arabic"/>
          <w:noProof w:val="0"/>
          <w:rtl/>
          <w:lang w:eastAsia="en-US"/>
        </w:rPr>
        <w:t xml:space="preserve"> ما يشتري به بقرا</w:t>
      </w:r>
      <w:r w:rsidR="003130FB">
        <w:rPr>
          <w:rFonts w:ascii="Traditional Arabic" w:hAnsi="Traditional Arabic" w:hint="cs"/>
          <w:noProof w:val="0"/>
          <w:rtl/>
          <w:lang w:eastAsia="en-US"/>
        </w:rPr>
        <w:t>ً</w:t>
      </w:r>
      <w:r w:rsidR="003130FB">
        <w:rPr>
          <w:rFonts w:ascii="Traditional Arabic" w:hAnsi="Traditional Arabic"/>
          <w:noProof w:val="0"/>
          <w:rtl/>
          <w:lang w:eastAsia="en-US"/>
        </w:rPr>
        <w:t xml:space="preserve"> يعمل بها في أرضه</w:t>
      </w:r>
      <w:r w:rsidR="003130FB" w:rsidRPr="003130FB">
        <w:rPr>
          <w:rFonts w:ascii="Traditional Arabic" w:hAnsi="Traditional Arabic"/>
          <w:noProof w:val="0"/>
          <w:rtl/>
          <w:lang w:eastAsia="en-US"/>
        </w:rPr>
        <w:t>, أو ب</w:t>
      </w:r>
      <w:r w:rsidR="003130FB">
        <w:rPr>
          <w:rFonts w:ascii="Traditional Arabic" w:hAnsi="Traditional Arabic" w:hint="cs"/>
          <w:noProof w:val="0"/>
          <w:rtl/>
          <w:lang w:eastAsia="en-US"/>
        </w:rPr>
        <w:t>َ</w:t>
      </w:r>
      <w:r w:rsidR="003130FB" w:rsidRPr="003130FB">
        <w:rPr>
          <w:rFonts w:ascii="Traditional Arabic" w:hAnsi="Traditional Arabic"/>
          <w:noProof w:val="0"/>
          <w:rtl/>
          <w:lang w:eastAsia="en-US"/>
        </w:rPr>
        <w:t>ذ</w:t>
      </w:r>
      <w:r w:rsidR="003130FB">
        <w:rPr>
          <w:rFonts w:ascii="Traditional Arabic" w:hAnsi="Traditional Arabic" w:hint="cs"/>
          <w:noProof w:val="0"/>
          <w:rtl/>
          <w:lang w:eastAsia="en-US"/>
        </w:rPr>
        <w:t>ْ</w:t>
      </w:r>
      <w:r w:rsidR="003130FB" w:rsidRPr="003130FB">
        <w:rPr>
          <w:rFonts w:ascii="Traditional Arabic" w:hAnsi="Traditional Arabic"/>
          <w:noProof w:val="0"/>
          <w:rtl/>
          <w:lang w:eastAsia="en-US"/>
        </w:rPr>
        <w:t>را</w:t>
      </w:r>
      <w:r w:rsidR="003130FB">
        <w:rPr>
          <w:rFonts w:ascii="Traditional Arabic" w:hAnsi="Traditional Arabic" w:hint="cs"/>
          <w:noProof w:val="0"/>
          <w:rtl/>
          <w:lang w:eastAsia="en-US"/>
        </w:rPr>
        <w:t>ً</w:t>
      </w:r>
      <w:r w:rsidR="003130FB" w:rsidRPr="003130FB">
        <w:rPr>
          <w:rFonts w:ascii="Traditional Arabic" w:hAnsi="Traditional Arabic"/>
          <w:noProof w:val="0"/>
          <w:rtl/>
          <w:lang w:eastAsia="en-US"/>
        </w:rPr>
        <w:t xml:space="preserve"> ي</w:t>
      </w:r>
      <w:r w:rsidR="003130FB">
        <w:rPr>
          <w:rFonts w:ascii="Traditional Arabic" w:hAnsi="Traditional Arabic" w:hint="cs"/>
          <w:noProof w:val="0"/>
          <w:rtl/>
          <w:lang w:eastAsia="en-US"/>
        </w:rPr>
        <w:t>َ</w:t>
      </w:r>
      <w:r w:rsidR="003130FB" w:rsidRPr="003130FB">
        <w:rPr>
          <w:rFonts w:ascii="Traditional Arabic" w:hAnsi="Traditional Arabic"/>
          <w:noProof w:val="0"/>
          <w:rtl/>
          <w:lang w:eastAsia="en-US"/>
        </w:rPr>
        <w:t>ب</w:t>
      </w:r>
      <w:r w:rsidR="003130FB">
        <w:rPr>
          <w:rFonts w:ascii="Traditional Arabic" w:hAnsi="Traditional Arabic" w:hint="cs"/>
          <w:noProof w:val="0"/>
          <w:rtl/>
          <w:lang w:eastAsia="en-US"/>
        </w:rPr>
        <w:t>ْ</w:t>
      </w:r>
      <w:r w:rsidR="003130FB" w:rsidRPr="003130FB">
        <w:rPr>
          <w:rFonts w:ascii="Traditional Arabic" w:hAnsi="Traditional Arabic"/>
          <w:noProof w:val="0"/>
          <w:rtl/>
          <w:lang w:eastAsia="en-US"/>
        </w:rPr>
        <w:t>ذ</w:t>
      </w:r>
      <w:r w:rsidR="003130FB">
        <w:rPr>
          <w:rFonts w:ascii="Traditional Arabic" w:hAnsi="Traditional Arabic" w:hint="cs"/>
          <w:noProof w:val="0"/>
          <w:rtl/>
          <w:lang w:eastAsia="en-US"/>
        </w:rPr>
        <w:t>ُ</w:t>
      </w:r>
      <w:r w:rsidR="003130FB" w:rsidRPr="003130FB">
        <w:rPr>
          <w:rFonts w:ascii="Traditional Arabic" w:hAnsi="Traditional Arabic"/>
          <w:noProof w:val="0"/>
          <w:rtl/>
          <w:lang w:eastAsia="en-US"/>
        </w:rPr>
        <w:t>ره فيها</w:t>
      </w:r>
      <w:r w:rsidRPr="002E73AB">
        <w:rPr>
          <w:rFonts w:hint="cs"/>
          <w:vertAlign w:val="superscript"/>
          <w:rtl/>
        </w:rPr>
        <w:t>(</w:t>
      </w:r>
      <w:r w:rsidRPr="002E73AB">
        <w:rPr>
          <w:rStyle w:val="af1"/>
          <w:rtl/>
        </w:rPr>
        <w:footnoteReference w:id="2092"/>
      </w:r>
      <w:r w:rsidRPr="002E73AB">
        <w:rPr>
          <w:rFonts w:hint="cs"/>
          <w:vertAlign w:val="superscript"/>
          <w:rtl/>
        </w:rPr>
        <w:t>)</w:t>
      </w:r>
      <w:r>
        <w:rPr>
          <w:rFonts w:hint="cs"/>
          <w:rtl/>
        </w:rPr>
        <w:t>.</w:t>
      </w:r>
      <w:r w:rsidRPr="002E73AB">
        <w:rPr>
          <w:rFonts w:hint="cs"/>
          <w:vertAlign w:val="superscript"/>
          <w:rtl/>
        </w:rPr>
        <w:t xml:space="preserve">  </w:t>
      </w:r>
    </w:p>
    <w:p w:rsidR="0038004C" w:rsidRPr="00C85F0F" w:rsidRDefault="00FD7D26" w:rsidP="00A8347C">
      <w:pPr>
        <w:pStyle w:val="aff3"/>
        <w:rPr>
          <w:rtl/>
        </w:rPr>
      </w:pPr>
      <w:bookmarkStart w:id="465" w:name="_Toc334046638"/>
      <w:r>
        <w:rPr>
          <w:rFonts w:hint="cs"/>
          <w:rtl/>
        </w:rPr>
        <w:t xml:space="preserve">                                          </w:t>
      </w:r>
      <w:r w:rsidR="0038004C" w:rsidRPr="00C85F0F">
        <w:rPr>
          <w:rFonts w:hint="cs"/>
          <w:rtl/>
        </w:rPr>
        <w:t>المطلب الثاني</w:t>
      </w:r>
      <w:r w:rsidR="0038004C" w:rsidRPr="00C85F0F">
        <w:rPr>
          <w:rFonts w:hint="eastAsia"/>
          <w:rtl/>
        </w:rPr>
        <w:t> :</w:t>
      </w:r>
      <w:r w:rsidR="0038004C" w:rsidRPr="00C85F0F">
        <w:rPr>
          <w:rFonts w:hint="cs"/>
          <w:rtl/>
        </w:rPr>
        <w:br/>
      </w:r>
      <w:r>
        <w:rPr>
          <w:rFonts w:hint="cs"/>
          <w:rtl/>
        </w:rPr>
        <w:t xml:space="preserve">                                            </w:t>
      </w:r>
      <w:r w:rsidR="0038004C" w:rsidRPr="00C85F0F">
        <w:rPr>
          <w:rFonts w:hint="cs"/>
          <w:rtl/>
        </w:rPr>
        <w:t>أدلة الضابط</w:t>
      </w:r>
      <w:bookmarkEnd w:id="465"/>
    </w:p>
    <w:p w:rsidR="00311557" w:rsidRDefault="00DF222F" w:rsidP="000A76C7">
      <w:pPr>
        <w:pStyle w:val="afc"/>
        <w:numPr>
          <w:ilvl w:val="0"/>
          <w:numId w:val="286"/>
        </w:numPr>
      </w:pPr>
      <w:r>
        <w:rPr>
          <w:rFonts w:hint="cs"/>
          <w:rtl/>
        </w:rPr>
        <w:t>حديث علي بن أبي طالب رضي الله عنه</w:t>
      </w:r>
      <w:r w:rsidR="0038004C" w:rsidRPr="00C85F0F">
        <w:rPr>
          <w:rFonts w:hint="cs"/>
          <w:rtl/>
        </w:rPr>
        <w:t xml:space="preserve"> قال: قال رسول الله </w:t>
      </w:r>
      <w:r w:rsidR="00F350DE" w:rsidRPr="00C85F0F">
        <w:rPr>
          <w:rFonts w:ascii="Traditional Arabic" w:hAnsi="Traditional Arabic"/>
          <w:noProof w:val="0"/>
          <w:color w:val="auto"/>
          <w:rtl/>
          <w:lang w:eastAsia="en-US"/>
        </w:rPr>
        <w:sym w:font="AGA Arabesque" w:char="F072"/>
      </w:r>
      <w:r w:rsidR="00FD7D26">
        <w:rPr>
          <w:rFonts w:hint="cs"/>
          <w:rtl/>
        </w:rPr>
        <w:t xml:space="preserve"> </w:t>
      </w:r>
      <w:r w:rsidR="0038004C" w:rsidRPr="00C85F0F">
        <w:rPr>
          <w:rFonts w:hint="cs"/>
          <w:rtl/>
        </w:rPr>
        <w:t>:</w:t>
      </w:r>
      <w:r w:rsidR="00FD7D26">
        <w:rPr>
          <w:rFonts w:hint="cs"/>
          <w:rtl/>
        </w:rPr>
        <w:t xml:space="preserve"> </w:t>
      </w:r>
      <w:r w:rsidR="0038004C" w:rsidRPr="00C85F0F">
        <w:rPr>
          <w:rFonts w:hint="cs"/>
          <w:rtl/>
        </w:rPr>
        <w:t>"كل قرض جر منفعة فهو ربا</w:t>
      </w:r>
      <w:r w:rsidR="00AB0B9E" w:rsidRPr="00C85F0F">
        <w:fldChar w:fldCharType="begin"/>
      </w:r>
      <w:r w:rsidR="00311F3B" w:rsidRPr="00C85F0F">
        <w:instrText>XE</w:instrText>
      </w:r>
      <w:r w:rsidR="00311F3B" w:rsidRPr="00C85F0F">
        <w:rPr>
          <w:rtl/>
        </w:rPr>
        <w:instrText xml:space="preserve"> "</w:instrText>
      </w:r>
      <w:r w:rsidR="00311F3B" w:rsidRPr="00C85F0F">
        <w:rPr>
          <w:rFonts w:hint="cs"/>
          <w:rtl/>
        </w:rPr>
        <w:instrText>كل قرض جر منفعة فهو ربا</w:instrText>
      </w:r>
      <w:r w:rsidR="00311F3B" w:rsidRPr="00C85F0F">
        <w:rPr>
          <w:rtl/>
        </w:rPr>
        <w:instrText xml:space="preserve">" </w:instrText>
      </w:r>
      <w:r w:rsidR="00311F3B" w:rsidRPr="00C85F0F">
        <w:rPr>
          <w:rtl/>
          <w:lang w:val="fr-FR"/>
        </w:rPr>
        <w:instrText>\</w:instrText>
      </w:r>
      <w:r w:rsidR="00311F3B" w:rsidRPr="00C85F0F">
        <w:rPr>
          <w:lang w:val="fr-FR"/>
        </w:rPr>
        <w:instrText>fh</w:instrText>
      </w:r>
      <w:r w:rsidR="00AB0B9E" w:rsidRPr="00C85F0F">
        <w:fldChar w:fldCharType="end"/>
      </w:r>
      <w:r w:rsidR="0038004C">
        <w:rPr>
          <w:rFonts w:hint="cs"/>
          <w:rtl/>
        </w:rPr>
        <w:t>"</w:t>
      </w:r>
      <w:r w:rsidR="0038004C" w:rsidRPr="00C821A1">
        <w:rPr>
          <w:rStyle w:val="af1"/>
          <w:szCs w:val="32"/>
          <w:rtl/>
        </w:rPr>
        <w:t>(</w:t>
      </w:r>
      <w:r w:rsidR="0038004C" w:rsidRPr="00C821A1">
        <w:rPr>
          <w:rStyle w:val="af1"/>
          <w:szCs w:val="32"/>
          <w:rtl/>
        </w:rPr>
        <w:footnoteReference w:id="2093"/>
      </w:r>
      <w:r w:rsidR="0038004C" w:rsidRPr="00C821A1">
        <w:rPr>
          <w:rStyle w:val="af1"/>
          <w:szCs w:val="32"/>
          <w:rtl/>
        </w:rPr>
        <w:t>)</w:t>
      </w:r>
      <w:r w:rsidR="0038004C">
        <w:rPr>
          <w:rFonts w:hint="cs"/>
          <w:rtl/>
        </w:rPr>
        <w:t>.</w:t>
      </w:r>
    </w:p>
    <w:p w:rsidR="00311557" w:rsidRPr="00311557" w:rsidRDefault="0043731C" w:rsidP="000A76C7">
      <w:pPr>
        <w:pStyle w:val="afc"/>
        <w:numPr>
          <w:ilvl w:val="0"/>
          <w:numId w:val="286"/>
        </w:numPr>
        <w:rPr>
          <w:b/>
          <w:bCs/>
        </w:rPr>
      </w:pPr>
      <w:r w:rsidRPr="0043731C">
        <w:rPr>
          <w:rFonts w:hint="cs"/>
          <w:b/>
          <w:bCs/>
          <w:rtl/>
        </w:rPr>
        <w:t>الإجماع:</w:t>
      </w:r>
    </w:p>
    <w:p w:rsidR="0043731C" w:rsidRDefault="0043731C" w:rsidP="0043731C">
      <w:pPr>
        <w:pStyle w:val="afc"/>
        <w:ind w:left="1080" w:firstLine="0"/>
        <w:rPr>
          <w:rtl/>
        </w:rPr>
      </w:pPr>
      <w:r>
        <w:rPr>
          <w:rFonts w:hint="cs"/>
          <w:rtl/>
        </w:rPr>
        <w:lastRenderedPageBreak/>
        <w:t xml:space="preserve">يقول  أبو بكر بن المنذر </w:t>
      </w:r>
      <w:r w:rsidR="00FD7D26">
        <w:rPr>
          <w:rFonts w:hint="cs"/>
          <w:rtl/>
        </w:rPr>
        <w:t>_</w:t>
      </w:r>
      <w:r>
        <w:rPr>
          <w:rFonts w:hint="cs"/>
          <w:rtl/>
        </w:rPr>
        <w:t>رحمه الله</w:t>
      </w:r>
      <w:r w:rsidR="00FD7D26">
        <w:rPr>
          <w:rFonts w:hint="cs"/>
          <w:rtl/>
        </w:rPr>
        <w:t>_</w:t>
      </w:r>
      <w:r>
        <w:rPr>
          <w:rFonts w:hint="cs"/>
          <w:rtl/>
        </w:rPr>
        <w:t xml:space="preserve"> :( </w:t>
      </w:r>
      <w:r w:rsidR="002E73AB">
        <w:rPr>
          <w:rFonts w:hint="cs"/>
          <w:rtl/>
        </w:rPr>
        <w:t>وأجمعو</w:t>
      </w:r>
      <w:r w:rsidR="00253C65">
        <w:rPr>
          <w:rFonts w:hint="cs"/>
          <w:rtl/>
        </w:rPr>
        <w:t>ا على أن ال</w:t>
      </w:r>
      <w:r w:rsidR="00AE48CB">
        <w:rPr>
          <w:rFonts w:hint="cs"/>
          <w:rtl/>
        </w:rPr>
        <w:t>ْ</w:t>
      </w:r>
      <w:r w:rsidR="00253C65">
        <w:rPr>
          <w:rFonts w:hint="cs"/>
          <w:rtl/>
        </w:rPr>
        <w:t>م</w:t>
      </w:r>
      <w:r w:rsidR="00AE48CB">
        <w:rPr>
          <w:rFonts w:hint="cs"/>
          <w:rtl/>
        </w:rPr>
        <w:t>ُ</w:t>
      </w:r>
      <w:r w:rsidR="00253C65">
        <w:rPr>
          <w:rFonts w:hint="cs"/>
          <w:rtl/>
        </w:rPr>
        <w:t>س</w:t>
      </w:r>
      <w:r w:rsidR="00AE48CB">
        <w:rPr>
          <w:rFonts w:hint="cs"/>
          <w:rtl/>
        </w:rPr>
        <w:t>ْ</w:t>
      </w:r>
      <w:r w:rsidR="00253C65">
        <w:rPr>
          <w:rFonts w:hint="cs"/>
          <w:rtl/>
        </w:rPr>
        <w:t>لِف إذا شرَط عند الس</w:t>
      </w:r>
      <w:r w:rsidR="002E73AB">
        <w:rPr>
          <w:rFonts w:hint="cs"/>
          <w:rtl/>
        </w:rPr>
        <w:t xml:space="preserve">لف </w:t>
      </w:r>
      <w:r w:rsidR="00253C65">
        <w:rPr>
          <w:rFonts w:hint="cs"/>
          <w:rtl/>
        </w:rPr>
        <w:t>هدية أو زيادة، فأسلف</w:t>
      </w:r>
      <w:r w:rsidR="002E73AB">
        <w:rPr>
          <w:rFonts w:hint="cs"/>
          <w:rtl/>
        </w:rPr>
        <w:t xml:space="preserve"> على ذلك، أن أ</w:t>
      </w:r>
      <w:r w:rsidR="00253C65">
        <w:rPr>
          <w:rFonts w:hint="cs"/>
          <w:rtl/>
        </w:rPr>
        <w:t>َ</w:t>
      </w:r>
      <w:r w:rsidR="002E73AB">
        <w:rPr>
          <w:rFonts w:hint="cs"/>
          <w:rtl/>
        </w:rPr>
        <w:t>خ</w:t>
      </w:r>
      <w:r w:rsidR="00253C65">
        <w:rPr>
          <w:rFonts w:hint="cs"/>
          <w:rtl/>
        </w:rPr>
        <w:t>ْ</w:t>
      </w:r>
      <w:r w:rsidR="002E73AB">
        <w:rPr>
          <w:rFonts w:hint="cs"/>
          <w:rtl/>
        </w:rPr>
        <w:t>ذه الزيادة</w:t>
      </w:r>
      <w:r w:rsidR="00253C65">
        <w:rPr>
          <w:rFonts w:hint="cs"/>
          <w:rtl/>
        </w:rPr>
        <w:t>َ</w:t>
      </w:r>
      <w:r w:rsidR="002E73AB">
        <w:rPr>
          <w:rFonts w:hint="cs"/>
          <w:rtl/>
        </w:rPr>
        <w:t xml:space="preserve"> ربا</w:t>
      </w:r>
      <w:r w:rsidR="00253C65">
        <w:rPr>
          <w:rFonts w:hint="cs"/>
          <w:rtl/>
        </w:rPr>
        <w:t>ً</w:t>
      </w:r>
      <w:r w:rsidR="002E73AB">
        <w:t>(</w:t>
      </w:r>
      <w:r w:rsidR="002E73AB" w:rsidRPr="002E73AB">
        <w:rPr>
          <w:rFonts w:hint="cs"/>
          <w:vertAlign w:val="superscript"/>
          <w:rtl/>
        </w:rPr>
        <w:t>(</w:t>
      </w:r>
      <w:r w:rsidR="002E73AB" w:rsidRPr="002E73AB">
        <w:rPr>
          <w:rStyle w:val="af1"/>
          <w:rtl/>
        </w:rPr>
        <w:footnoteReference w:id="2094"/>
      </w:r>
      <w:r w:rsidR="002E73AB" w:rsidRPr="002E73AB">
        <w:rPr>
          <w:rFonts w:hint="cs"/>
          <w:vertAlign w:val="superscript"/>
          <w:rtl/>
        </w:rPr>
        <w:t>)</w:t>
      </w:r>
      <w:r w:rsidR="002E73AB">
        <w:rPr>
          <w:rFonts w:hint="cs"/>
          <w:rtl/>
        </w:rPr>
        <w:t>.</w:t>
      </w:r>
    </w:p>
    <w:p w:rsidR="002E73AB" w:rsidRDefault="00443CC2" w:rsidP="0043731C">
      <w:pPr>
        <w:pStyle w:val="afc"/>
        <w:ind w:left="1080" w:firstLine="0"/>
        <w:rPr>
          <w:rtl/>
        </w:rPr>
      </w:pPr>
      <w:r>
        <w:rPr>
          <w:rFonts w:hint="cs"/>
          <w:rtl/>
        </w:rPr>
        <w:t>قا</w:t>
      </w:r>
      <w:r w:rsidR="002E73AB">
        <w:rPr>
          <w:rFonts w:hint="cs"/>
          <w:rtl/>
        </w:rPr>
        <w:t xml:space="preserve">ل الشيخ ابن عثيمين رحمه الله في معرض كلامه عن حديث:"كل قرض جر منفعة فهو ربا": ( </w:t>
      </w:r>
      <w:r>
        <w:rPr>
          <w:rFonts w:hint="cs"/>
          <w:rtl/>
        </w:rPr>
        <w:t>ذكر السائل أن أي قرض جر منفعة فهو ربا، فهذا ليس حديثا صحيحا عن النبي عليه الصلاة والسلام، لكن العلماء م</w:t>
      </w:r>
      <w:r w:rsidR="00FD7D26">
        <w:rPr>
          <w:rFonts w:hint="cs"/>
          <w:rtl/>
        </w:rPr>
        <w:t>ُ</w:t>
      </w:r>
      <w:r>
        <w:rPr>
          <w:rFonts w:hint="cs"/>
          <w:rtl/>
        </w:rPr>
        <w:t>جم</w:t>
      </w:r>
      <w:r w:rsidR="00FD7D26">
        <w:rPr>
          <w:rFonts w:hint="cs"/>
          <w:rtl/>
        </w:rPr>
        <w:t>ِ</w:t>
      </w:r>
      <w:r>
        <w:rPr>
          <w:rFonts w:hint="cs"/>
          <w:rtl/>
        </w:rPr>
        <w:t>عون على مضمونه ومقتضاه)</w:t>
      </w:r>
      <w:r w:rsidRPr="00443CC2">
        <w:rPr>
          <w:rFonts w:hint="cs"/>
          <w:vertAlign w:val="superscript"/>
          <w:rtl/>
        </w:rPr>
        <w:t>(</w:t>
      </w:r>
      <w:r w:rsidRPr="00443CC2">
        <w:rPr>
          <w:rStyle w:val="af1"/>
          <w:rtl/>
        </w:rPr>
        <w:footnoteReference w:id="2095"/>
      </w:r>
      <w:r w:rsidRPr="00443CC2">
        <w:rPr>
          <w:rFonts w:hint="cs"/>
          <w:vertAlign w:val="superscript"/>
          <w:rtl/>
        </w:rPr>
        <w:t>)</w:t>
      </w:r>
      <w:r>
        <w:rPr>
          <w:rFonts w:hint="cs"/>
          <w:rtl/>
        </w:rPr>
        <w:t>.</w:t>
      </w:r>
    </w:p>
    <w:p w:rsidR="00443CC2" w:rsidRPr="0043731C" w:rsidRDefault="00443CC2" w:rsidP="0043731C">
      <w:pPr>
        <w:pStyle w:val="afc"/>
        <w:ind w:left="1080" w:firstLine="0"/>
        <w:rPr>
          <w:rtl/>
        </w:rPr>
      </w:pPr>
      <w:r>
        <w:rPr>
          <w:rFonts w:hint="cs"/>
          <w:rtl/>
        </w:rPr>
        <w:t>وقال أيضا عن هذه القاعدة: (هذه القاعدة</w:t>
      </w:r>
      <w:r w:rsidR="00883353" w:rsidRPr="00883353">
        <w:rPr>
          <w:rFonts w:hint="cs"/>
          <w:vertAlign w:val="superscript"/>
          <w:rtl/>
        </w:rPr>
        <w:t>(</w:t>
      </w:r>
      <w:r w:rsidR="00FD7D26" w:rsidRPr="00883353">
        <w:rPr>
          <w:rStyle w:val="af1"/>
          <w:rtl/>
        </w:rPr>
        <w:footnoteReference w:id="2096"/>
      </w:r>
      <w:r w:rsidR="00883353" w:rsidRPr="00883353">
        <w:rPr>
          <w:rFonts w:hint="cs"/>
          <w:vertAlign w:val="superscript"/>
          <w:rtl/>
        </w:rPr>
        <w:t>)</w:t>
      </w:r>
      <w:r>
        <w:rPr>
          <w:rFonts w:hint="cs"/>
          <w:rtl/>
        </w:rPr>
        <w:t xml:space="preserve"> التي أجمع عليها المسلمون)</w:t>
      </w:r>
      <w:r w:rsidRPr="00443CC2">
        <w:rPr>
          <w:rFonts w:hint="cs"/>
          <w:vertAlign w:val="superscript"/>
          <w:rtl/>
        </w:rPr>
        <w:t>(</w:t>
      </w:r>
      <w:r w:rsidRPr="00443CC2">
        <w:rPr>
          <w:rStyle w:val="af1"/>
          <w:rtl/>
        </w:rPr>
        <w:footnoteReference w:id="2097"/>
      </w:r>
      <w:r w:rsidRPr="00443CC2">
        <w:rPr>
          <w:rFonts w:hint="cs"/>
          <w:vertAlign w:val="superscript"/>
          <w:rtl/>
        </w:rPr>
        <w:t>)</w:t>
      </w:r>
      <w:r>
        <w:rPr>
          <w:rFonts w:hint="cs"/>
          <w:rtl/>
        </w:rPr>
        <w:t>.</w:t>
      </w:r>
    </w:p>
    <w:p w:rsidR="0038004C" w:rsidRDefault="0038004C" w:rsidP="000A76C7">
      <w:pPr>
        <w:pStyle w:val="afc"/>
        <w:numPr>
          <w:ilvl w:val="0"/>
          <w:numId w:val="286"/>
        </w:numPr>
      </w:pPr>
      <w:r w:rsidRPr="00581E61">
        <w:rPr>
          <w:rFonts w:ascii="Traditional Arabic" w:hAnsi="Traditional Arabic"/>
          <w:noProof w:val="0"/>
          <w:rtl/>
          <w:lang w:eastAsia="en-US"/>
        </w:rPr>
        <w:t>الأصل في القرض هو الإرفاق والإحسان إلى المقترض</w:t>
      </w:r>
      <w:r>
        <w:rPr>
          <w:rFonts w:ascii="Traditional Arabic" w:hAnsi="Traditional Arabic" w:hint="cs"/>
          <w:noProof w:val="0"/>
          <w:rtl/>
          <w:lang w:eastAsia="en-US"/>
        </w:rPr>
        <w:t xml:space="preserve">، </w:t>
      </w:r>
      <w:r>
        <w:rPr>
          <w:rFonts w:hint="cs"/>
          <w:rtl/>
        </w:rPr>
        <w:t xml:space="preserve">فإذا اشتمل على </w:t>
      </w:r>
      <w:r w:rsidR="002E73AB">
        <w:rPr>
          <w:rFonts w:hint="cs"/>
          <w:rtl/>
        </w:rPr>
        <w:t>منفعة مشروطة للمقرِض أو متواطَأٍ</w:t>
      </w:r>
      <w:r>
        <w:rPr>
          <w:rFonts w:hint="cs"/>
          <w:rtl/>
        </w:rPr>
        <w:t xml:space="preserve"> عليها، خرج القرض عن مقصود الإرفاق، وصارت هذه المنفعة رباً محرَّماً</w:t>
      </w:r>
      <w:r w:rsidR="004B4104" w:rsidRPr="004B4104">
        <w:rPr>
          <w:rFonts w:hint="cs"/>
          <w:vertAlign w:val="superscript"/>
          <w:rtl/>
        </w:rPr>
        <w:t>(</w:t>
      </w:r>
      <w:r w:rsidR="00B5779E" w:rsidRPr="004B4104">
        <w:rPr>
          <w:rStyle w:val="af1"/>
          <w:rtl/>
        </w:rPr>
        <w:footnoteReference w:id="2098"/>
      </w:r>
      <w:r w:rsidR="004B4104" w:rsidRPr="004B4104">
        <w:rPr>
          <w:rFonts w:hint="cs"/>
          <w:vertAlign w:val="superscript"/>
          <w:rtl/>
        </w:rPr>
        <w:t>)</w:t>
      </w:r>
      <w:r>
        <w:rPr>
          <w:rFonts w:hint="cs"/>
          <w:rtl/>
        </w:rPr>
        <w:t>.</w:t>
      </w:r>
    </w:p>
    <w:p w:rsidR="0038004C" w:rsidRDefault="00FD7D26" w:rsidP="00A8347C">
      <w:pPr>
        <w:pStyle w:val="aff3"/>
        <w:rPr>
          <w:rtl/>
        </w:rPr>
      </w:pPr>
      <w:bookmarkStart w:id="466" w:name="_Toc334046639"/>
      <w:r>
        <w:rPr>
          <w:rFonts w:hint="cs"/>
          <w:rtl/>
        </w:rPr>
        <w:t xml:space="preserve">                                         </w:t>
      </w:r>
      <w:r w:rsidR="0038004C">
        <w:rPr>
          <w:rFonts w:hint="cs"/>
          <w:rtl/>
        </w:rPr>
        <w:t>المطلب الثالث</w:t>
      </w:r>
      <w:r w:rsidR="0038004C">
        <w:rPr>
          <w:rFonts w:hint="eastAsia"/>
          <w:rtl/>
        </w:rPr>
        <w:t> :</w:t>
      </w:r>
      <w:r w:rsidR="0038004C">
        <w:rPr>
          <w:rFonts w:hint="cs"/>
          <w:rtl/>
        </w:rPr>
        <w:br/>
      </w:r>
      <w:r>
        <w:rPr>
          <w:rFonts w:hint="cs"/>
          <w:rtl/>
        </w:rPr>
        <w:t xml:space="preserve">                                         </w:t>
      </w:r>
      <w:r w:rsidR="0038004C">
        <w:rPr>
          <w:rFonts w:hint="cs"/>
          <w:rtl/>
        </w:rPr>
        <w:t>تطبيقات الضابط</w:t>
      </w:r>
      <w:bookmarkEnd w:id="466"/>
    </w:p>
    <w:p w:rsidR="00065E4B" w:rsidRDefault="0038004C" w:rsidP="000A76C7">
      <w:pPr>
        <w:pStyle w:val="afc"/>
        <w:numPr>
          <w:ilvl w:val="0"/>
          <w:numId w:val="287"/>
        </w:numPr>
        <w:rPr>
          <w:rtl/>
        </w:rPr>
      </w:pPr>
      <w:r w:rsidRPr="00D25100">
        <w:rPr>
          <w:rFonts w:hint="cs"/>
          <w:color w:val="auto"/>
          <w:rtl/>
        </w:rPr>
        <w:t>يصحّ اشتراط عقدٍ في البيع، كما لو قال البائع للمشتري:</w:t>
      </w:r>
      <w:r w:rsidR="000E139F">
        <w:rPr>
          <w:rFonts w:hint="cs"/>
          <w:color w:val="auto"/>
          <w:rtl/>
        </w:rPr>
        <w:t xml:space="preserve"> </w:t>
      </w:r>
      <w:r w:rsidRPr="00D25100">
        <w:rPr>
          <w:rFonts w:hint="cs"/>
          <w:color w:val="auto"/>
          <w:rtl/>
        </w:rPr>
        <w:t>أبيع عليك بيتي بِشَرْط أن تُقْرِضَني مائة ألف</w:t>
      </w:r>
      <w:r w:rsidR="002209E5">
        <w:rPr>
          <w:rFonts w:hint="cs"/>
          <w:color w:val="auto"/>
          <w:rtl/>
        </w:rPr>
        <w:t>ٍ</w:t>
      </w:r>
      <w:r w:rsidRPr="00D25100">
        <w:rPr>
          <w:rFonts w:hint="cs"/>
          <w:b/>
          <w:bCs/>
          <w:rtl/>
        </w:rPr>
        <w:t xml:space="preserve">، </w:t>
      </w:r>
      <w:r w:rsidRPr="00D25100">
        <w:rPr>
          <w:rFonts w:hint="cs"/>
          <w:rtl/>
        </w:rPr>
        <w:t>ويستثنى من ذلك</w:t>
      </w:r>
      <w:r w:rsidR="000E139F">
        <w:rPr>
          <w:rFonts w:hint="cs"/>
          <w:rtl/>
        </w:rPr>
        <w:t xml:space="preserve"> </w:t>
      </w:r>
      <w:r>
        <w:rPr>
          <w:rFonts w:hint="cs"/>
          <w:rtl/>
        </w:rPr>
        <w:t>ما إذا اشترط البائع قرضاً يَ</w:t>
      </w:r>
      <w:r w:rsidRPr="00D25100">
        <w:rPr>
          <w:rFonts w:hint="cs"/>
          <w:rtl/>
        </w:rPr>
        <w:t>ن</w:t>
      </w:r>
      <w:r>
        <w:rPr>
          <w:rFonts w:hint="cs"/>
          <w:rtl/>
        </w:rPr>
        <w:t>تفع به.</w:t>
      </w:r>
    </w:p>
    <w:p w:rsidR="00065E4B" w:rsidRDefault="00065E4B" w:rsidP="00597C20">
      <w:pPr>
        <w:ind w:firstLine="720"/>
        <w:rPr>
          <w:b/>
          <w:bCs/>
          <w:rtl/>
        </w:rPr>
      </w:pPr>
      <w:r>
        <w:rPr>
          <w:rFonts w:hint="cs"/>
          <w:rtl/>
        </w:rPr>
        <w:t>م</w:t>
      </w:r>
      <w:r w:rsidR="0038004C">
        <w:rPr>
          <w:rFonts w:hint="cs"/>
          <w:rtl/>
        </w:rPr>
        <w:t>ثالُه أن يأتي</w:t>
      </w:r>
      <w:r w:rsidR="0038004C" w:rsidRPr="00D25100">
        <w:rPr>
          <w:rFonts w:ascii="Traditional Arabic" w:hAnsi="Traditional Arabic"/>
          <w:noProof w:val="0"/>
          <w:rtl/>
          <w:lang w:eastAsia="en-US"/>
        </w:rPr>
        <w:t xml:space="preserve"> الرجل ليستقرض من شخص، ف</w:t>
      </w:r>
      <w:r w:rsidR="0038004C">
        <w:rPr>
          <w:rFonts w:ascii="Traditional Arabic" w:hAnsi="Traditional Arabic" w:hint="cs"/>
          <w:noProof w:val="0"/>
          <w:rtl/>
          <w:lang w:eastAsia="en-US"/>
        </w:rPr>
        <w:t>ي</w:t>
      </w:r>
      <w:r w:rsidR="0038004C">
        <w:rPr>
          <w:rFonts w:ascii="Traditional Arabic" w:hAnsi="Traditional Arabic"/>
          <w:noProof w:val="0"/>
          <w:rtl/>
          <w:lang w:eastAsia="en-US"/>
        </w:rPr>
        <w:t>ق</w:t>
      </w:r>
      <w:r w:rsidR="0038004C">
        <w:rPr>
          <w:rFonts w:ascii="Traditional Arabic" w:hAnsi="Traditional Arabic" w:hint="cs"/>
          <w:noProof w:val="0"/>
          <w:rtl/>
          <w:lang w:eastAsia="en-US"/>
        </w:rPr>
        <w:t>و</w:t>
      </w:r>
      <w:r w:rsidR="0038004C" w:rsidRPr="00D25100">
        <w:rPr>
          <w:rFonts w:ascii="Traditional Arabic" w:hAnsi="Traditional Arabic"/>
          <w:noProof w:val="0"/>
          <w:rtl/>
          <w:lang w:eastAsia="en-US"/>
        </w:rPr>
        <w:t>ل: أنا أ</w:t>
      </w:r>
      <w:r w:rsidR="0038004C">
        <w:rPr>
          <w:rFonts w:ascii="Traditional Arabic" w:hAnsi="Traditional Arabic" w:hint="cs"/>
          <w:noProof w:val="0"/>
          <w:rtl/>
          <w:lang w:eastAsia="en-US"/>
        </w:rPr>
        <w:t>ُ</w:t>
      </w:r>
      <w:r w:rsidR="0038004C" w:rsidRPr="00D25100">
        <w:rPr>
          <w:rFonts w:ascii="Traditional Arabic" w:hAnsi="Traditional Arabic"/>
          <w:noProof w:val="0"/>
          <w:rtl/>
          <w:lang w:eastAsia="en-US"/>
        </w:rPr>
        <w:t>قرضك، لكن بشرط</w:t>
      </w:r>
      <w:r w:rsidR="0038004C">
        <w:rPr>
          <w:rFonts w:ascii="Traditional Arabic" w:hAnsi="Traditional Arabic" w:hint="cs"/>
          <w:noProof w:val="0"/>
          <w:rtl/>
          <w:lang w:eastAsia="en-US"/>
        </w:rPr>
        <w:t>ِ</w:t>
      </w:r>
      <w:r w:rsidR="0038004C" w:rsidRPr="00D25100">
        <w:rPr>
          <w:rFonts w:ascii="Traditional Arabic" w:hAnsi="Traditional Arabic"/>
          <w:noProof w:val="0"/>
          <w:rtl/>
          <w:lang w:eastAsia="en-US"/>
        </w:rPr>
        <w:t xml:space="preserve"> أن تبيع بيتك علي بمائة ألف، وهو يساوي مائة وعشرين، فهنا ش</w:t>
      </w:r>
      <w:r w:rsidR="0038004C">
        <w:rPr>
          <w:rFonts w:ascii="Traditional Arabic" w:hAnsi="Traditional Arabic" w:hint="cs"/>
          <w:noProof w:val="0"/>
          <w:rtl/>
          <w:lang w:eastAsia="en-US"/>
        </w:rPr>
        <w:t>َ</w:t>
      </w:r>
      <w:r w:rsidR="0038004C" w:rsidRPr="00D25100">
        <w:rPr>
          <w:rFonts w:ascii="Traditional Arabic" w:hAnsi="Traditional Arabic"/>
          <w:noProof w:val="0"/>
          <w:rtl/>
          <w:lang w:eastAsia="en-US"/>
        </w:rPr>
        <w:t>ر</w:t>
      </w:r>
      <w:r w:rsidR="0038004C">
        <w:rPr>
          <w:rFonts w:ascii="Traditional Arabic" w:hAnsi="Traditional Arabic" w:hint="cs"/>
          <w:noProof w:val="0"/>
          <w:rtl/>
          <w:lang w:eastAsia="en-US"/>
        </w:rPr>
        <w:t>َ</w:t>
      </w:r>
      <w:r w:rsidR="0038004C" w:rsidRPr="00D25100">
        <w:rPr>
          <w:rFonts w:ascii="Traditional Arabic" w:hAnsi="Traditional Arabic"/>
          <w:noProof w:val="0"/>
          <w:rtl/>
          <w:lang w:eastAsia="en-US"/>
        </w:rPr>
        <w:t>ط القرض مع البيع على وجه</w:t>
      </w:r>
      <w:r w:rsidR="0038004C">
        <w:rPr>
          <w:rFonts w:ascii="Traditional Arabic" w:hAnsi="Traditional Arabic" w:hint="cs"/>
          <w:noProof w:val="0"/>
          <w:rtl/>
          <w:lang w:eastAsia="en-US"/>
        </w:rPr>
        <w:t>ٍ</w:t>
      </w:r>
      <w:r w:rsidR="0038004C" w:rsidRPr="00D25100">
        <w:rPr>
          <w:rFonts w:ascii="Traditional Arabic" w:hAnsi="Traditional Arabic"/>
          <w:noProof w:val="0"/>
          <w:rtl/>
          <w:lang w:eastAsia="en-US"/>
        </w:rPr>
        <w:t xml:space="preserve"> ينتفع به، فالبائع انتفع م</w:t>
      </w:r>
      <w:r w:rsidR="0038004C">
        <w:rPr>
          <w:rFonts w:ascii="Traditional Arabic" w:hAnsi="Traditional Arabic" w:hint="cs"/>
          <w:noProof w:val="0"/>
          <w:rtl/>
          <w:lang w:eastAsia="en-US"/>
        </w:rPr>
        <w:t>ِ</w:t>
      </w:r>
      <w:r w:rsidR="0038004C" w:rsidRPr="00D25100">
        <w:rPr>
          <w:rFonts w:ascii="Traditional Arabic" w:hAnsi="Traditional Arabic"/>
          <w:noProof w:val="0"/>
          <w:rtl/>
          <w:lang w:eastAsia="en-US"/>
        </w:rPr>
        <w:t>ن قرضه حيث نز</w:t>
      </w:r>
      <w:r w:rsidR="0038004C">
        <w:rPr>
          <w:rFonts w:ascii="Traditional Arabic" w:hAnsi="Traditional Arabic" w:hint="cs"/>
          <w:noProof w:val="0"/>
          <w:rtl/>
          <w:lang w:eastAsia="en-US"/>
        </w:rPr>
        <w:t>َ</w:t>
      </w:r>
      <w:r w:rsidR="0038004C" w:rsidRPr="00D25100">
        <w:rPr>
          <w:rFonts w:ascii="Traditional Arabic" w:hAnsi="Traditional Arabic"/>
          <w:noProof w:val="0"/>
          <w:rtl/>
          <w:lang w:eastAsia="en-US"/>
        </w:rPr>
        <w:t xml:space="preserve">ل له </w:t>
      </w:r>
      <w:r w:rsidR="0038004C">
        <w:rPr>
          <w:rFonts w:ascii="Traditional Arabic" w:hAnsi="Traditional Arabic" w:hint="cs"/>
          <w:noProof w:val="0"/>
          <w:rtl/>
          <w:lang w:eastAsia="en-US"/>
        </w:rPr>
        <w:t>ال</w:t>
      </w:r>
      <w:r w:rsidR="0038004C" w:rsidRPr="00D25100">
        <w:rPr>
          <w:rFonts w:ascii="Traditional Arabic" w:hAnsi="Traditional Arabic"/>
          <w:noProof w:val="0"/>
          <w:rtl/>
          <w:lang w:eastAsia="en-US"/>
        </w:rPr>
        <w:t>من ق</w:t>
      </w:r>
      <w:r w:rsidR="0038004C">
        <w:rPr>
          <w:rFonts w:ascii="Traditional Arabic" w:hAnsi="Traditional Arabic"/>
          <w:noProof w:val="0"/>
          <w:rtl/>
          <w:lang w:eastAsia="en-US"/>
        </w:rPr>
        <w:t>يمة البيت عشرون ألفا، وهذا ربا</w:t>
      </w:r>
      <w:r w:rsidR="0038004C" w:rsidRPr="00C821A1">
        <w:rPr>
          <w:rStyle w:val="af1"/>
          <w:szCs w:val="32"/>
          <w:rtl/>
        </w:rPr>
        <w:t>(</w:t>
      </w:r>
      <w:r w:rsidR="0038004C" w:rsidRPr="00C821A1">
        <w:rPr>
          <w:rStyle w:val="af1"/>
          <w:szCs w:val="32"/>
          <w:rtl/>
        </w:rPr>
        <w:footnoteReference w:id="2099"/>
      </w:r>
      <w:r w:rsidR="0038004C" w:rsidRPr="00C821A1">
        <w:rPr>
          <w:rStyle w:val="af1"/>
          <w:szCs w:val="32"/>
          <w:rtl/>
        </w:rPr>
        <w:t>)</w:t>
      </w:r>
      <w:r w:rsidR="0038004C">
        <w:rPr>
          <w:rFonts w:ascii="Traditional Arabic" w:hAnsi="Traditional Arabic" w:hint="cs"/>
          <w:noProof w:val="0"/>
          <w:rtl/>
          <w:lang w:eastAsia="en-US"/>
        </w:rPr>
        <w:t>.</w:t>
      </w:r>
    </w:p>
    <w:p w:rsidR="00065E4B" w:rsidRDefault="00065E4B" w:rsidP="00597C20">
      <w:pPr>
        <w:pStyle w:val="53"/>
        <w:rPr>
          <w:rtl/>
        </w:rPr>
      </w:pPr>
      <w:r>
        <w:rPr>
          <w:rFonts w:hint="cs"/>
          <w:rtl/>
        </w:rPr>
        <w:lastRenderedPageBreak/>
        <w:t>و</w:t>
      </w:r>
      <w:r w:rsidR="00F228A9">
        <w:rPr>
          <w:rFonts w:hint="cs"/>
          <w:rtl/>
        </w:rPr>
        <w:t>جه اندراج الفرع تحت الضابط:</w:t>
      </w:r>
    </w:p>
    <w:p w:rsidR="00F228A9" w:rsidRDefault="000E139F" w:rsidP="00597C20">
      <w:pPr>
        <w:ind w:firstLine="720"/>
        <w:rPr>
          <w:rFonts w:ascii="Traditional Arabic" w:hAnsi="Traditional Arabic"/>
          <w:noProof w:val="0"/>
          <w:color w:val="auto"/>
          <w:rtl/>
          <w:lang w:eastAsia="en-US"/>
        </w:rPr>
      </w:pPr>
      <w:r>
        <w:rPr>
          <w:rFonts w:hint="cs"/>
          <w:rtl/>
        </w:rPr>
        <w:t>إ</w:t>
      </w:r>
      <w:r w:rsidR="0038004C">
        <w:rPr>
          <w:rFonts w:hint="cs"/>
          <w:rtl/>
        </w:rPr>
        <w:t>ن البائع اشترط في القرض ما يعود بالنفع عليه، وكل قرض جرَّ نفعاً فهو ربا.</w:t>
      </w:r>
    </w:p>
    <w:p w:rsidR="00065E4B" w:rsidRPr="000352B1" w:rsidRDefault="0038004C" w:rsidP="000A76C7">
      <w:pPr>
        <w:pStyle w:val="afc"/>
        <w:numPr>
          <w:ilvl w:val="0"/>
          <w:numId w:val="287"/>
        </w:numPr>
        <w:rPr>
          <w:rtl/>
        </w:rPr>
      </w:pPr>
      <w:r w:rsidRPr="000352B1">
        <w:rPr>
          <w:rFonts w:ascii="Traditional Arabic" w:hAnsi="Traditional Arabic"/>
          <w:noProof w:val="0"/>
          <w:color w:val="auto"/>
          <w:rtl/>
          <w:lang w:eastAsia="en-US"/>
        </w:rPr>
        <w:t>إذا كان الرهن مما ي</w:t>
      </w:r>
      <w:r w:rsidRPr="000352B1">
        <w:rPr>
          <w:rFonts w:ascii="Traditional Arabic" w:hAnsi="Traditional Arabic" w:hint="cs"/>
          <w:noProof w:val="0"/>
          <w:color w:val="auto"/>
          <w:rtl/>
          <w:lang w:eastAsia="en-US"/>
        </w:rPr>
        <w:t>ُ</w:t>
      </w:r>
      <w:r w:rsidRPr="000352B1">
        <w:rPr>
          <w:rFonts w:ascii="Traditional Arabic" w:hAnsi="Traditional Arabic"/>
          <w:noProof w:val="0"/>
          <w:color w:val="auto"/>
          <w:rtl/>
          <w:lang w:eastAsia="en-US"/>
        </w:rPr>
        <w:t>ركب من الحيوان من بعير أو حمار</w:t>
      </w:r>
      <w:r w:rsidRPr="000352B1">
        <w:rPr>
          <w:rFonts w:ascii="Traditional Arabic" w:hAnsi="Traditional Arabic" w:hint="cs"/>
          <w:noProof w:val="0"/>
          <w:color w:val="auto"/>
          <w:rtl/>
          <w:lang w:eastAsia="en-US"/>
        </w:rPr>
        <w:t>،</w:t>
      </w:r>
      <w:r w:rsidRPr="000352B1">
        <w:rPr>
          <w:rFonts w:ascii="Traditional Arabic" w:hAnsi="Traditional Arabic"/>
          <w:noProof w:val="0"/>
          <w:color w:val="auto"/>
          <w:rtl/>
          <w:lang w:eastAsia="en-US"/>
        </w:rPr>
        <w:t xml:space="preserve"> فل</w:t>
      </w:r>
      <w:r w:rsidRPr="000352B1">
        <w:rPr>
          <w:rFonts w:ascii="Traditional Arabic" w:hAnsi="Traditional Arabic" w:hint="cs"/>
          <w:noProof w:val="0"/>
          <w:color w:val="auto"/>
          <w:rtl/>
          <w:lang w:eastAsia="en-US"/>
        </w:rPr>
        <w:t xml:space="preserve">لمرتهن </w:t>
      </w:r>
      <w:r w:rsidRPr="000352B1">
        <w:rPr>
          <w:rFonts w:ascii="Traditional Arabic" w:hAnsi="Traditional Arabic"/>
          <w:noProof w:val="0"/>
          <w:color w:val="auto"/>
          <w:rtl/>
          <w:lang w:eastAsia="en-US"/>
        </w:rPr>
        <w:t>أن يركبه بقدر</w:t>
      </w:r>
      <w:r w:rsidRPr="000352B1">
        <w:rPr>
          <w:rFonts w:ascii="Traditional Arabic" w:hAnsi="Traditional Arabic" w:hint="cs"/>
          <w:noProof w:val="0"/>
          <w:color w:val="auto"/>
          <w:rtl/>
          <w:lang w:eastAsia="en-US"/>
        </w:rPr>
        <w:t>ِ</w:t>
      </w:r>
      <w:r w:rsidRPr="000352B1">
        <w:rPr>
          <w:rFonts w:ascii="Traditional Arabic" w:hAnsi="Traditional Arabic"/>
          <w:noProof w:val="0"/>
          <w:color w:val="auto"/>
          <w:rtl/>
          <w:lang w:eastAsia="en-US"/>
        </w:rPr>
        <w:t xml:space="preserve"> النفقة، فيقال ـ مثلا ـ: هذا البعير الذي يركبه المرتهن لو استأجره لمدة عشرة أيام لكانت الأ</w:t>
      </w:r>
      <w:r w:rsidR="000E139F">
        <w:rPr>
          <w:rFonts w:ascii="Traditional Arabic" w:hAnsi="Traditional Arabic" w:hint="cs"/>
          <w:noProof w:val="0"/>
          <w:color w:val="auto"/>
          <w:rtl/>
          <w:lang w:eastAsia="en-US"/>
        </w:rPr>
        <w:t>ُ</w:t>
      </w:r>
      <w:r w:rsidRPr="000352B1">
        <w:rPr>
          <w:rFonts w:ascii="Traditional Arabic" w:hAnsi="Traditional Arabic"/>
          <w:noProof w:val="0"/>
          <w:color w:val="auto"/>
          <w:rtl/>
          <w:lang w:eastAsia="en-US"/>
        </w:rPr>
        <w:t>جرة مائة، والنفقة قدر</w:t>
      </w:r>
      <w:r w:rsidRPr="000352B1">
        <w:rPr>
          <w:rFonts w:ascii="Traditional Arabic" w:hAnsi="Traditional Arabic" w:hint="cs"/>
          <w:noProof w:val="0"/>
          <w:color w:val="auto"/>
          <w:rtl/>
          <w:lang w:eastAsia="en-US"/>
        </w:rPr>
        <w:t>ُ</w:t>
      </w:r>
      <w:r w:rsidRPr="000352B1">
        <w:rPr>
          <w:rFonts w:ascii="Traditional Arabic" w:hAnsi="Traditional Arabic"/>
          <w:noProof w:val="0"/>
          <w:color w:val="auto"/>
          <w:rtl/>
          <w:lang w:eastAsia="en-US"/>
        </w:rPr>
        <w:t>ها مائة، حينئذ تساوت النفقة والأجرة، فلا شيء له وليس عليه شيء؛ لأنه ركب بقدر النفقة.</w:t>
      </w:r>
    </w:p>
    <w:p w:rsidR="00065E4B" w:rsidRPr="00F77054" w:rsidRDefault="00065E4B" w:rsidP="00597C20">
      <w:pPr>
        <w:ind w:firstLine="720"/>
        <w:rPr>
          <w:color w:val="auto"/>
          <w:rtl/>
        </w:rPr>
      </w:pPr>
      <w:r w:rsidRPr="00F77054">
        <w:rPr>
          <w:rFonts w:ascii="Traditional Arabic" w:hAnsi="Traditional Arabic"/>
          <w:noProof w:val="0"/>
          <w:color w:val="auto"/>
          <w:rtl/>
          <w:lang w:eastAsia="en-US"/>
        </w:rPr>
        <w:t>ف</w:t>
      </w:r>
      <w:r w:rsidR="0038004C" w:rsidRPr="00F77054">
        <w:rPr>
          <w:rFonts w:ascii="Traditional Arabic" w:hAnsi="Traditional Arabic"/>
          <w:noProof w:val="0"/>
          <w:color w:val="auto"/>
          <w:rtl/>
          <w:lang w:eastAsia="en-US"/>
        </w:rPr>
        <w:t>إذا كانت أجرته أكثر من النفقة، فلا بد أن يدفع ما زاد على النفقة؛ لأنه لو لم يفعل لكان ظالما</w:t>
      </w:r>
      <w:r w:rsidR="0038004C">
        <w:rPr>
          <w:rFonts w:ascii="Traditional Arabic" w:hAnsi="Traditional Arabic" w:hint="cs"/>
          <w:noProof w:val="0"/>
          <w:color w:val="auto"/>
          <w:rtl/>
          <w:lang w:eastAsia="en-US"/>
        </w:rPr>
        <w:t>ً</w:t>
      </w:r>
      <w:r w:rsidR="0038004C" w:rsidRPr="00F77054">
        <w:rPr>
          <w:rFonts w:ascii="Traditional Arabic" w:hAnsi="Traditional Arabic"/>
          <w:noProof w:val="0"/>
          <w:color w:val="auto"/>
          <w:rtl/>
          <w:lang w:eastAsia="en-US"/>
        </w:rPr>
        <w:t xml:space="preserve"> للراهن، وإذا كان دينه قرضا</w:t>
      </w:r>
      <w:r w:rsidR="0038004C">
        <w:rPr>
          <w:rFonts w:ascii="Traditional Arabic" w:hAnsi="Traditional Arabic" w:hint="cs"/>
          <w:noProof w:val="0"/>
          <w:color w:val="auto"/>
          <w:rtl/>
          <w:lang w:eastAsia="en-US"/>
        </w:rPr>
        <w:t>ً</w:t>
      </w:r>
      <w:r w:rsidR="0038004C" w:rsidRPr="00F77054">
        <w:rPr>
          <w:rFonts w:ascii="Traditional Arabic" w:hAnsi="Traditional Arabic"/>
          <w:noProof w:val="0"/>
          <w:color w:val="auto"/>
          <w:rtl/>
          <w:lang w:eastAsia="en-US"/>
        </w:rPr>
        <w:t xml:space="preserve"> صار دين</w:t>
      </w:r>
      <w:r w:rsidR="0038004C">
        <w:rPr>
          <w:rFonts w:ascii="Traditional Arabic" w:hAnsi="Traditional Arabic" w:hint="cs"/>
          <w:noProof w:val="0"/>
          <w:color w:val="auto"/>
          <w:rtl/>
          <w:lang w:eastAsia="en-US"/>
        </w:rPr>
        <w:t>ُ</w:t>
      </w:r>
      <w:r w:rsidR="0038004C" w:rsidRPr="00F77054">
        <w:rPr>
          <w:rFonts w:ascii="Traditional Arabic" w:hAnsi="Traditional Arabic"/>
          <w:noProof w:val="0"/>
          <w:color w:val="auto"/>
          <w:rtl/>
          <w:lang w:eastAsia="en-US"/>
        </w:rPr>
        <w:t>ه قرضا</w:t>
      </w:r>
      <w:r w:rsidR="0038004C">
        <w:rPr>
          <w:rFonts w:ascii="Traditional Arabic" w:hAnsi="Traditional Arabic" w:hint="cs"/>
          <w:noProof w:val="0"/>
          <w:color w:val="auto"/>
          <w:rtl/>
          <w:lang w:eastAsia="en-US"/>
        </w:rPr>
        <w:t>ً</w:t>
      </w:r>
      <w:r w:rsidR="0038004C" w:rsidRPr="00F77054">
        <w:rPr>
          <w:rFonts w:ascii="Traditional Arabic" w:hAnsi="Traditional Arabic"/>
          <w:noProof w:val="0"/>
          <w:color w:val="auto"/>
          <w:rtl/>
          <w:lang w:eastAsia="en-US"/>
        </w:rPr>
        <w:t xml:space="preserve"> جر</w:t>
      </w:r>
      <w:r w:rsidR="0038004C">
        <w:rPr>
          <w:rFonts w:ascii="Traditional Arabic" w:hAnsi="Traditional Arabic" w:hint="cs"/>
          <w:noProof w:val="0"/>
          <w:color w:val="auto"/>
          <w:rtl/>
          <w:lang w:eastAsia="en-US"/>
        </w:rPr>
        <w:t>َّ</w:t>
      </w:r>
      <w:r w:rsidR="000E139F">
        <w:rPr>
          <w:rFonts w:ascii="Traditional Arabic" w:hAnsi="Traditional Arabic" w:hint="cs"/>
          <w:noProof w:val="0"/>
          <w:color w:val="auto"/>
          <w:rtl/>
          <w:lang w:eastAsia="en-US"/>
        </w:rPr>
        <w:t xml:space="preserve"> </w:t>
      </w:r>
      <w:r w:rsidR="0038004C" w:rsidRPr="00F77054">
        <w:rPr>
          <w:rFonts w:ascii="Traditional Arabic" w:hAnsi="Traditional Arabic"/>
          <w:noProof w:val="0"/>
          <w:color w:val="auto"/>
          <w:rtl/>
          <w:lang w:eastAsia="en-US"/>
        </w:rPr>
        <w:t>نفعا</w:t>
      </w:r>
      <w:r w:rsidR="0038004C" w:rsidRPr="00C821A1">
        <w:rPr>
          <w:rStyle w:val="af1"/>
          <w:szCs w:val="32"/>
          <w:rtl/>
        </w:rPr>
        <w:t>(</w:t>
      </w:r>
      <w:r w:rsidR="0038004C" w:rsidRPr="00C821A1">
        <w:rPr>
          <w:rStyle w:val="af1"/>
          <w:szCs w:val="32"/>
          <w:rtl/>
        </w:rPr>
        <w:footnoteReference w:id="2100"/>
      </w:r>
      <w:r w:rsidR="0038004C" w:rsidRPr="00C821A1">
        <w:rPr>
          <w:rStyle w:val="af1"/>
          <w:szCs w:val="32"/>
          <w:rtl/>
        </w:rPr>
        <w:t>)</w:t>
      </w:r>
      <w:r w:rsidR="0038004C" w:rsidRPr="00F77054">
        <w:rPr>
          <w:rFonts w:ascii="Traditional Arabic" w:hAnsi="Traditional Arabic"/>
          <w:noProof w:val="0"/>
          <w:color w:val="auto"/>
          <w:rtl/>
          <w:lang w:eastAsia="en-US"/>
        </w:rPr>
        <w:t>.</w:t>
      </w:r>
    </w:p>
    <w:p w:rsidR="00065E4B" w:rsidRDefault="00065E4B" w:rsidP="00597C20">
      <w:pPr>
        <w:pStyle w:val="53"/>
        <w:rPr>
          <w:rtl/>
        </w:rPr>
      </w:pPr>
      <w:r w:rsidRPr="009842AD">
        <w:rPr>
          <w:rFonts w:hint="cs"/>
          <w:rtl/>
        </w:rPr>
        <w:t>و</w:t>
      </w:r>
      <w:r w:rsidR="0038004C" w:rsidRPr="009842AD">
        <w:rPr>
          <w:rFonts w:hint="cs"/>
          <w:rtl/>
        </w:rPr>
        <w:t>جه اندراج الفرع تحت الضابط:</w:t>
      </w:r>
    </w:p>
    <w:p w:rsidR="0038004C" w:rsidRDefault="00065E4B" w:rsidP="00597C20">
      <w:pPr>
        <w:ind w:firstLine="720"/>
        <w:rPr>
          <w:color w:val="auto"/>
          <w:rtl/>
        </w:rPr>
      </w:pPr>
      <w:r>
        <w:rPr>
          <w:rFonts w:hint="cs"/>
          <w:color w:val="auto"/>
          <w:rtl/>
        </w:rPr>
        <w:t>إ</w:t>
      </w:r>
      <w:r w:rsidR="0038004C">
        <w:rPr>
          <w:rFonts w:hint="cs"/>
          <w:color w:val="auto"/>
          <w:rtl/>
        </w:rPr>
        <w:t>ذا كان دين المرتهن على الراهن قرضا، وكانت أجرة ركوب الحيوان أكثر من نفقته عليها، فإن يدفع ما زاد على النفقة للراهن، وإلا صار ديناً يجرُّ نفعا للمرتهن، وكل قرض جر نفعا فهو ربا.</w:t>
      </w:r>
    </w:p>
    <w:p w:rsidR="007A6F9A" w:rsidRDefault="007A6F9A" w:rsidP="00597C20">
      <w:pPr>
        <w:ind w:firstLine="720"/>
        <w:rPr>
          <w:color w:val="auto"/>
          <w:rtl/>
        </w:rPr>
      </w:pPr>
    </w:p>
    <w:p w:rsidR="007A6F9A" w:rsidRDefault="007A6F9A" w:rsidP="00597C20">
      <w:pPr>
        <w:ind w:firstLine="720"/>
        <w:rPr>
          <w:color w:val="auto"/>
          <w:rtl/>
        </w:rPr>
      </w:pPr>
    </w:p>
    <w:p w:rsidR="007A6F9A" w:rsidRDefault="007A6F9A" w:rsidP="00597C20">
      <w:pPr>
        <w:ind w:firstLine="720"/>
        <w:rPr>
          <w:color w:val="auto"/>
          <w:rtl/>
        </w:rPr>
      </w:pPr>
    </w:p>
    <w:p w:rsidR="0038004C" w:rsidRPr="00C85F0F" w:rsidRDefault="00E4746A" w:rsidP="000F5C0F">
      <w:pPr>
        <w:pStyle w:val="aff2"/>
        <w:rPr>
          <w:rtl/>
        </w:rPr>
      </w:pPr>
      <w:bookmarkStart w:id="467" w:name="_Toc334046640"/>
      <w:r w:rsidRPr="00D816CC">
        <w:rPr>
          <w:rFonts w:ascii="Traditional Arabic" w:hAnsi="Traditional Arabic" w:hint="cs"/>
          <w:rtl/>
        </w:rPr>
        <w:lastRenderedPageBreak/>
        <w:t>المبحث الثاني</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38004C" w:rsidRPr="00466BD0">
        <w:rPr>
          <w:rtl/>
        </w:rPr>
        <w:t>ضابط</w:t>
      </w:r>
      <w:r w:rsidR="0038004C">
        <w:rPr>
          <w:rFonts w:hint="cs"/>
          <w:rtl/>
        </w:rPr>
        <w:br/>
        <w:t>"</w:t>
      </w:r>
      <w:r w:rsidR="006E2717">
        <w:rPr>
          <w:rtl/>
        </w:rPr>
        <w:t xml:space="preserve">كل </w:t>
      </w:r>
      <w:r w:rsidR="00B47ECB">
        <w:rPr>
          <w:rFonts w:hint="cs"/>
          <w:rtl/>
        </w:rPr>
        <w:t>شيئين</w:t>
      </w:r>
      <w:r w:rsidR="006E2717">
        <w:rPr>
          <w:rtl/>
        </w:rPr>
        <w:t xml:space="preserve"> يجري </w:t>
      </w:r>
      <w:r w:rsidR="00B47ECB">
        <w:rPr>
          <w:rFonts w:hint="cs"/>
          <w:rtl/>
        </w:rPr>
        <w:t>ب</w:t>
      </w:r>
      <w:r w:rsidR="006E2717">
        <w:rPr>
          <w:rFonts w:hint="cs"/>
          <w:rtl/>
        </w:rPr>
        <w:t>ي</w:t>
      </w:r>
      <w:r w:rsidR="00B47ECB">
        <w:rPr>
          <w:rFonts w:hint="cs"/>
          <w:rtl/>
        </w:rPr>
        <w:t>ن</w:t>
      </w:r>
      <w:r w:rsidR="006E2717">
        <w:rPr>
          <w:rFonts w:hint="cs"/>
          <w:rtl/>
        </w:rPr>
        <w:t>ه</w:t>
      </w:r>
      <w:r w:rsidR="00B47ECB">
        <w:rPr>
          <w:rFonts w:hint="cs"/>
          <w:rtl/>
        </w:rPr>
        <w:t>ما</w:t>
      </w:r>
      <w:r w:rsidR="0038004C" w:rsidRPr="00466BD0">
        <w:rPr>
          <w:rtl/>
        </w:rPr>
        <w:t xml:space="preserve"> ربا الفضل فبينهما ربا النسيئة</w:t>
      </w:r>
      <w:r w:rsidR="00B47ECB">
        <w:rPr>
          <w:rFonts w:hint="cs"/>
          <w:rtl/>
        </w:rPr>
        <w:t>،</w:t>
      </w:r>
      <w:r w:rsidR="0038004C" w:rsidRPr="00466BD0">
        <w:rPr>
          <w:rtl/>
        </w:rPr>
        <w:t xml:space="preserve"> ولا عكس</w:t>
      </w:r>
      <w:r w:rsidR="00AB0B9E" w:rsidRPr="00C85F0F">
        <w:rPr>
          <w:rtl/>
        </w:rPr>
        <w:fldChar w:fldCharType="begin"/>
      </w:r>
      <w:r w:rsidR="00945AC4" w:rsidRPr="00C85F0F">
        <w:instrText>XE</w:instrText>
      </w:r>
      <w:r w:rsidR="00945AC4" w:rsidRPr="00C85F0F">
        <w:rPr>
          <w:rtl/>
        </w:rPr>
        <w:instrText xml:space="preserve"> "</w:instrText>
      </w:r>
      <w:r w:rsidR="00945AC4" w:rsidRPr="00C85F0F">
        <w:rPr>
          <w:rFonts w:hint="cs"/>
          <w:rtl/>
        </w:rPr>
        <w:instrText>كلشيئينيجريبينهمارباالفضلفبينهمارباالنسيئةولاعكس</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38004C" w:rsidRPr="00C85F0F">
        <w:rPr>
          <w:rFonts w:hint="cs"/>
          <w:rtl/>
        </w:rPr>
        <w:t>"</w:t>
      </w:r>
      <w:r w:rsidR="0038004C" w:rsidRPr="00C85F0F">
        <w:rPr>
          <w:rStyle w:val="af1"/>
          <w:b w:val="0"/>
          <w:bCs w:val="0"/>
          <w:szCs w:val="32"/>
          <w:rtl/>
        </w:rPr>
        <w:t>(</w:t>
      </w:r>
      <w:r w:rsidR="0038004C" w:rsidRPr="00C85F0F">
        <w:rPr>
          <w:rStyle w:val="af1"/>
          <w:b w:val="0"/>
          <w:bCs w:val="0"/>
          <w:szCs w:val="32"/>
          <w:rtl/>
        </w:rPr>
        <w:footnoteReference w:id="2101"/>
      </w:r>
      <w:r w:rsidR="0038004C" w:rsidRPr="00C85F0F">
        <w:rPr>
          <w:rStyle w:val="af1"/>
          <w:b w:val="0"/>
          <w:bCs w:val="0"/>
          <w:szCs w:val="32"/>
          <w:rtl/>
        </w:rPr>
        <w:t>)</w:t>
      </w:r>
      <w:bookmarkEnd w:id="467"/>
    </w:p>
    <w:p w:rsidR="00065E4B" w:rsidRPr="00C85F0F" w:rsidRDefault="007A6F9A" w:rsidP="00A8347C">
      <w:pPr>
        <w:pStyle w:val="aff3"/>
        <w:rPr>
          <w:rtl/>
        </w:rPr>
      </w:pPr>
      <w:bookmarkStart w:id="468" w:name="_Toc334046641"/>
      <w:r>
        <w:rPr>
          <w:rFonts w:hint="cs"/>
          <w:rtl/>
        </w:rPr>
        <w:t xml:space="preserve">                    </w:t>
      </w:r>
      <w:r w:rsidR="006E2717">
        <w:rPr>
          <w:rFonts w:hint="cs"/>
          <w:rtl/>
        </w:rPr>
        <w:t xml:space="preserve">                     </w:t>
      </w:r>
      <w:r w:rsidR="0038004C" w:rsidRPr="00C85F0F">
        <w:rPr>
          <w:rFonts w:hint="cs"/>
          <w:rtl/>
        </w:rPr>
        <w:t>المطلب الأول</w:t>
      </w:r>
      <w:r w:rsidR="0038004C" w:rsidRPr="00C85F0F">
        <w:rPr>
          <w:rFonts w:hint="eastAsia"/>
          <w:rtl/>
        </w:rPr>
        <w:t> :</w:t>
      </w:r>
      <w:r w:rsidR="0038004C" w:rsidRPr="00C85F0F">
        <w:rPr>
          <w:rFonts w:hint="cs"/>
          <w:rtl/>
        </w:rPr>
        <w:br/>
      </w:r>
      <w:r>
        <w:rPr>
          <w:rFonts w:hint="cs"/>
          <w:rtl/>
        </w:rPr>
        <w:t xml:space="preserve">                  </w:t>
      </w:r>
      <w:r w:rsidR="00B47ECB">
        <w:rPr>
          <w:rFonts w:hint="cs"/>
          <w:rtl/>
        </w:rPr>
        <w:t xml:space="preserve">                        </w:t>
      </w:r>
      <w:r w:rsidR="0038004C" w:rsidRPr="00C85F0F">
        <w:rPr>
          <w:rFonts w:hint="cs"/>
          <w:rtl/>
        </w:rPr>
        <w:t>شرح الضابط</w:t>
      </w:r>
      <w:bookmarkEnd w:id="468"/>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color w:val="auto"/>
          <w:rtl/>
          <w:lang w:eastAsia="en-US"/>
        </w:rPr>
        <w:t>ر</w:t>
      </w:r>
      <w:r w:rsidR="0038004C" w:rsidRPr="00C85F0F">
        <w:rPr>
          <w:rFonts w:ascii="Traditional Arabic" w:hAnsi="Traditional Arabic"/>
          <w:noProof w:val="0"/>
          <w:color w:val="auto"/>
          <w:rtl/>
          <w:lang w:eastAsia="en-US"/>
        </w:rPr>
        <w:t>با الفضل هو التفاضل في بيع</w:t>
      </w:r>
      <w:r w:rsidR="0038004C" w:rsidRPr="00C85F0F">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 xml:space="preserve"> كل</w:t>
      </w:r>
      <w:r w:rsidR="0038004C" w:rsidRPr="00C85F0F">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 xml:space="preserve"> جنس</w:t>
      </w:r>
      <w:r w:rsidR="0038004C" w:rsidRPr="00C85F0F">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 xml:space="preserve"> بجنس</w:t>
      </w:r>
      <w:r w:rsidR="0038004C" w:rsidRPr="00C85F0F">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ه مما يجري فيه الربا، وربا النسيئة تأخير القبض</w:t>
      </w:r>
      <w:r w:rsidR="007264C1">
        <w:rPr>
          <w:rFonts w:ascii="Traditional Arabic" w:hAnsi="Traditional Arabic" w:hint="cs"/>
          <w:noProof w:val="0"/>
          <w:rtl/>
          <w:lang w:eastAsia="en-US"/>
        </w:rPr>
        <w:t xml:space="preserve"> </w:t>
      </w:r>
      <w:r w:rsidR="0038004C" w:rsidRPr="00C85F0F">
        <w:rPr>
          <w:rFonts w:ascii="Traditional Arabic" w:hAnsi="Traditional Arabic"/>
          <w:noProof w:val="0"/>
          <w:rtl/>
          <w:lang w:eastAsia="en-US"/>
        </w:rPr>
        <w:t>في بيع كل جنسين اتفقا في علة ربا الفضل عن مجلس العقد</w:t>
      </w:r>
      <w:r w:rsidR="0038004C" w:rsidRPr="00C85F0F">
        <w:rPr>
          <w:rFonts w:ascii="Traditional Arabic" w:hAnsi="Traditional Arabic" w:hint="cs"/>
          <w:noProof w:val="0"/>
          <w:color w:val="auto"/>
          <w:rtl/>
          <w:lang w:eastAsia="en-US"/>
        </w:rPr>
        <w:t xml:space="preserve">؛ </w:t>
      </w:r>
      <w:r w:rsidR="0038004C" w:rsidRPr="00C85F0F">
        <w:rPr>
          <w:rFonts w:ascii="Traditional Arabic" w:hAnsi="Traditional Arabic"/>
          <w:noProof w:val="0"/>
          <w:rtl/>
          <w:lang w:eastAsia="en-US"/>
        </w:rPr>
        <w:t>وذلك أن البيع إما أن يقع في جنس واحد ربوي أو في جنسين ربويين اتفقا في علة ربا الفضل، أو في جنسين ربويين لم يتفقا في العلة أو في شيئين ليسا ربويين، فالأقسام أربعة:</w:t>
      </w:r>
    </w:p>
    <w:p w:rsidR="00065E4B" w:rsidRPr="00C85F0F" w:rsidRDefault="00065E4B" w:rsidP="00597C20">
      <w:pPr>
        <w:widowControl/>
        <w:autoSpaceDE w:val="0"/>
        <w:autoSpaceDN w:val="0"/>
        <w:adjustRightInd w:val="0"/>
        <w:ind w:firstLine="720"/>
        <w:jc w:val="left"/>
        <w:rPr>
          <w:rFonts w:ascii="Traditional Arabic" w:hAnsi="Traditional Arabic"/>
          <w:noProof w:val="0"/>
          <w:rtl/>
          <w:lang w:eastAsia="en-US"/>
        </w:rPr>
      </w:pPr>
      <w:r w:rsidRPr="00C85F0F">
        <w:rPr>
          <w:rFonts w:ascii="Traditional Arabic" w:hAnsi="Traditional Arabic"/>
          <w:noProof w:val="0"/>
          <w:rtl/>
          <w:lang w:eastAsia="en-US"/>
        </w:rPr>
        <w:t>ا</w:t>
      </w:r>
      <w:r w:rsidR="0038004C" w:rsidRPr="00C85F0F">
        <w:rPr>
          <w:rFonts w:ascii="Traditional Arabic" w:hAnsi="Traditional Arabic"/>
          <w:noProof w:val="0"/>
          <w:rtl/>
          <w:lang w:eastAsia="en-US"/>
        </w:rPr>
        <w:t>لأول: إذا كان البيع في جنس واحد ربوي، حر</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م فيه التفاض</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ل والن</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ساء.</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ا</w:t>
      </w:r>
      <w:r w:rsidR="0038004C" w:rsidRPr="00C85F0F">
        <w:rPr>
          <w:rFonts w:ascii="Traditional Arabic" w:hAnsi="Traditional Arabic"/>
          <w:noProof w:val="0"/>
          <w:rtl/>
          <w:lang w:eastAsia="en-US"/>
        </w:rPr>
        <w:t>لثاني: إذا كان في جنسين ربويين اتفقا في علة ربا الفضل، حرم بينهما النساء فقط دون الفضل.</w:t>
      </w:r>
    </w:p>
    <w:p w:rsidR="00065E4B" w:rsidRPr="00C85F0F" w:rsidRDefault="00065E4B" w:rsidP="00597C20">
      <w:pPr>
        <w:widowControl/>
        <w:autoSpaceDE w:val="0"/>
        <w:autoSpaceDN w:val="0"/>
        <w:adjustRightInd w:val="0"/>
        <w:ind w:firstLine="720"/>
        <w:jc w:val="left"/>
        <w:rPr>
          <w:rFonts w:ascii="Traditional Arabic" w:hAnsi="Traditional Arabic"/>
          <w:noProof w:val="0"/>
          <w:rtl/>
          <w:lang w:eastAsia="en-US"/>
        </w:rPr>
      </w:pPr>
      <w:r w:rsidRPr="00C85F0F">
        <w:rPr>
          <w:rFonts w:ascii="Traditional Arabic" w:hAnsi="Traditional Arabic"/>
          <w:noProof w:val="0"/>
          <w:rtl/>
          <w:lang w:eastAsia="en-US"/>
        </w:rPr>
        <w:t>ا</w:t>
      </w:r>
      <w:r w:rsidR="0038004C" w:rsidRPr="00C85F0F">
        <w:rPr>
          <w:rFonts w:ascii="Traditional Arabic" w:hAnsi="Traditional Arabic"/>
          <w:noProof w:val="0"/>
          <w:rtl/>
          <w:lang w:eastAsia="en-US"/>
        </w:rPr>
        <w:t>لثالث: إذا كان بين جنسين ربويين لم يتفقا في العلة، جاز الفضل والنساء.</w:t>
      </w:r>
    </w:p>
    <w:p w:rsidR="00065E4B" w:rsidRPr="00C85F0F" w:rsidRDefault="00065E4B" w:rsidP="00597C20">
      <w:pPr>
        <w:widowControl/>
        <w:autoSpaceDE w:val="0"/>
        <w:autoSpaceDN w:val="0"/>
        <w:adjustRightInd w:val="0"/>
        <w:ind w:firstLine="720"/>
        <w:jc w:val="left"/>
        <w:rPr>
          <w:rFonts w:ascii="Traditional Arabic" w:hAnsi="Traditional Arabic"/>
          <w:noProof w:val="0"/>
          <w:rtl/>
          <w:lang w:eastAsia="en-US"/>
        </w:rPr>
      </w:pPr>
      <w:r w:rsidRPr="00C85F0F">
        <w:rPr>
          <w:rFonts w:ascii="Traditional Arabic" w:hAnsi="Traditional Arabic"/>
          <w:noProof w:val="0"/>
          <w:rtl/>
          <w:lang w:eastAsia="en-US"/>
        </w:rPr>
        <w:t>ا</w:t>
      </w:r>
      <w:r w:rsidR="0038004C" w:rsidRPr="00C85F0F">
        <w:rPr>
          <w:rFonts w:ascii="Traditional Arabic" w:hAnsi="Traditional Arabic"/>
          <w:noProof w:val="0"/>
          <w:rtl/>
          <w:lang w:eastAsia="en-US"/>
        </w:rPr>
        <w:t>لرابع: إذا كان بين شيئين ليسا ربويين، جاز كل شيء</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الفضل والنسيئة.</w:t>
      </w:r>
    </w:p>
    <w:p w:rsidR="0038004C"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lastRenderedPageBreak/>
        <w:t>ف</w:t>
      </w:r>
      <w:r w:rsidR="0038004C" w:rsidRPr="00C85F0F">
        <w:rPr>
          <w:rFonts w:ascii="Traditional Arabic" w:hAnsi="Traditional Arabic" w:hint="cs"/>
          <w:noProof w:val="0"/>
          <w:color w:val="auto"/>
          <w:rtl/>
          <w:lang w:eastAsia="en-US"/>
        </w:rPr>
        <w:t>ما جرى فيه ربا الفضل جرى فيه ربا النسيئة، وقد يجري ربا النسيئة بما لا يجري فيه ربا الفضل</w:t>
      </w:r>
      <w:r w:rsidR="0038004C" w:rsidRPr="00C85F0F">
        <w:rPr>
          <w:rStyle w:val="af1"/>
          <w:szCs w:val="32"/>
          <w:rtl/>
        </w:rPr>
        <w:t>(</w:t>
      </w:r>
      <w:r w:rsidR="0038004C" w:rsidRPr="00C85F0F">
        <w:rPr>
          <w:rStyle w:val="af1"/>
          <w:szCs w:val="32"/>
          <w:rtl/>
        </w:rPr>
        <w:footnoteReference w:id="2102"/>
      </w:r>
      <w:r w:rsidR="0038004C" w:rsidRPr="00C85F0F">
        <w:rPr>
          <w:rStyle w:val="af1"/>
          <w:szCs w:val="32"/>
          <w:rtl/>
        </w:rPr>
        <w:t>)</w:t>
      </w:r>
      <w:r w:rsidR="0038004C" w:rsidRPr="00C85F0F">
        <w:rPr>
          <w:rFonts w:ascii="Traditional Arabic" w:hAnsi="Traditional Arabic"/>
          <w:noProof w:val="0"/>
          <w:color w:val="auto"/>
          <w:rtl/>
          <w:lang w:eastAsia="en-US"/>
        </w:rPr>
        <w:t>.</w:t>
      </w:r>
    </w:p>
    <w:p w:rsidR="0038004C" w:rsidRPr="00C85F0F" w:rsidRDefault="006E2717" w:rsidP="00A8347C">
      <w:pPr>
        <w:pStyle w:val="aff3"/>
        <w:rPr>
          <w:rtl/>
        </w:rPr>
      </w:pPr>
      <w:bookmarkStart w:id="469" w:name="_Toc334046642"/>
      <w:r>
        <w:rPr>
          <w:rFonts w:hint="cs"/>
          <w:rtl/>
        </w:rPr>
        <w:t xml:space="preserve">                                          </w:t>
      </w:r>
      <w:r w:rsidR="0038004C" w:rsidRPr="00C85F0F">
        <w:rPr>
          <w:rFonts w:hint="cs"/>
          <w:rtl/>
        </w:rPr>
        <w:t>المطلب الثاني</w:t>
      </w:r>
      <w:r w:rsidR="0038004C" w:rsidRPr="00C85F0F">
        <w:rPr>
          <w:rFonts w:hint="eastAsia"/>
          <w:rtl/>
        </w:rPr>
        <w:t> :</w:t>
      </w:r>
      <w:r w:rsidR="0038004C" w:rsidRPr="00C85F0F">
        <w:rPr>
          <w:rFonts w:hint="cs"/>
          <w:rtl/>
        </w:rPr>
        <w:br/>
      </w:r>
      <w:r>
        <w:rPr>
          <w:rFonts w:hint="cs"/>
          <w:rtl/>
        </w:rPr>
        <w:t xml:space="preserve">            </w:t>
      </w:r>
      <w:r w:rsidR="00883353">
        <w:rPr>
          <w:rFonts w:hint="cs"/>
          <w:rtl/>
        </w:rPr>
        <w:t xml:space="preserve">                               </w:t>
      </w:r>
      <w:r w:rsidR="0038004C" w:rsidRPr="00C85F0F">
        <w:rPr>
          <w:rFonts w:hint="cs"/>
          <w:rtl/>
        </w:rPr>
        <w:t>أدلة الضابط</w:t>
      </w:r>
      <w:bookmarkEnd w:id="469"/>
    </w:p>
    <w:p w:rsidR="00F228A9" w:rsidRPr="00C85F0F" w:rsidRDefault="0038004C" w:rsidP="00597C20">
      <w:pPr>
        <w:ind w:firstLine="720"/>
        <w:rPr>
          <w:rtl/>
        </w:rPr>
      </w:pPr>
      <w:r w:rsidRPr="00C85F0F">
        <w:rPr>
          <w:rFonts w:hint="cs"/>
          <w:rtl/>
        </w:rPr>
        <w:t xml:space="preserve">يمكن أن يُستدل لهذا الضابط من جهة المعنى؛ وذلك أن ربا النسيئة هو تأخير القبض </w:t>
      </w:r>
      <w:r w:rsidRPr="00C85F0F">
        <w:rPr>
          <w:rFonts w:ascii="Traditional Arabic" w:hAnsi="Traditional Arabic"/>
          <w:noProof w:val="0"/>
          <w:rtl/>
          <w:lang w:eastAsia="en-US"/>
        </w:rPr>
        <w:t>في بيع كل جنسين اتفقا في علة ربا الفضل عن مجلس العقد</w:t>
      </w:r>
      <w:r w:rsidRPr="00C85F0F">
        <w:rPr>
          <w:rFonts w:ascii="Traditional Arabic" w:hAnsi="Traditional Arabic" w:hint="cs"/>
          <w:noProof w:val="0"/>
          <w:rtl/>
          <w:lang w:eastAsia="en-US"/>
        </w:rPr>
        <w:t>، فإذا حرُم التفاضل بين شيئين حرُم تأخير القبض فيهما.</w:t>
      </w:r>
    </w:p>
    <w:p w:rsidR="0038004C" w:rsidRPr="00C85F0F" w:rsidRDefault="006E2717" w:rsidP="00A8347C">
      <w:pPr>
        <w:pStyle w:val="aff3"/>
        <w:rPr>
          <w:rtl/>
        </w:rPr>
      </w:pPr>
      <w:bookmarkStart w:id="470" w:name="_Toc334046643"/>
      <w:r>
        <w:rPr>
          <w:rFonts w:hint="cs"/>
          <w:rtl/>
        </w:rPr>
        <w:t xml:space="preserve">                                        </w:t>
      </w:r>
      <w:r w:rsidR="003739DF">
        <w:rPr>
          <w:rFonts w:hint="cs"/>
          <w:rtl/>
        </w:rPr>
        <w:t xml:space="preserve">  </w:t>
      </w:r>
      <w:r w:rsidR="0038004C" w:rsidRPr="00C85F0F">
        <w:rPr>
          <w:rFonts w:hint="cs"/>
          <w:rtl/>
        </w:rPr>
        <w:t>المطلب الثالث</w:t>
      </w:r>
      <w:r w:rsidR="0038004C" w:rsidRPr="00C85F0F">
        <w:rPr>
          <w:rFonts w:hint="eastAsia"/>
          <w:rtl/>
        </w:rPr>
        <w:t> :</w:t>
      </w:r>
      <w:r w:rsidR="0038004C" w:rsidRPr="00C85F0F">
        <w:rPr>
          <w:rFonts w:hint="cs"/>
          <w:rtl/>
        </w:rPr>
        <w:br/>
      </w:r>
      <w:r>
        <w:rPr>
          <w:rFonts w:hint="cs"/>
          <w:rtl/>
        </w:rPr>
        <w:t xml:space="preserve">                                       </w:t>
      </w:r>
      <w:r w:rsidR="003739DF">
        <w:rPr>
          <w:rFonts w:hint="cs"/>
          <w:rtl/>
        </w:rPr>
        <w:t xml:space="preserve">  </w:t>
      </w:r>
      <w:r w:rsidR="0038004C" w:rsidRPr="00C85F0F">
        <w:rPr>
          <w:rFonts w:hint="cs"/>
          <w:rtl/>
        </w:rPr>
        <w:t>تطبيقات الضابط</w:t>
      </w:r>
      <w:r w:rsidR="0038004C" w:rsidRPr="00C85F0F">
        <w:rPr>
          <w:rStyle w:val="af1"/>
          <w:b w:val="0"/>
          <w:bCs w:val="0"/>
          <w:szCs w:val="32"/>
          <w:rtl/>
        </w:rPr>
        <w:t>(</w:t>
      </w:r>
      <w:r w:rsidR="0038004C" w:rsidRPr="00C85F0F">
        <w:rPr>
          <w:rStyle w:val="af1"/>
          <w:b w:val="0"/>
          <w:bCs w:val="0"/>
          <w:szCs w:val="32"/>
          <w:rtl/>
        </w:rPr>
        <w:footnoteReference w:id="2103"/>
      </w:r>
      <w:r w:rsidR="0038004C" w:rsidRPr="00C85F0F">
        <w:rPr>
          <w:rStyle w:val="af1"/>
          <w:b w:val="0"/>
          <w:bCs w:val="0"/>
          <w:szCs w:val="32"/>
          <w:rtl/>
        </w:rPr>
        <w:t>)</w:t>
      </w:r>
      <w:bookmarkEnd w:id="470"/>
    </w:p>
    <w:p w:rsidR="0038004C" w:rsidRPr="00C85F0F" w:rsidRDefault="0038004C" w:rsidP="000A76C7">
      <w:pPr>
        <w:pStyle w:val="afc"/>
        <w:widowControl/>
        <w:numPr>
          <w:ilvl w:val="0"/>
          <w:numId w:val="289"/>
        </w:numPr>
        <w:autoSpaceDE w:val="0"/>
        <w:autoSpaceDN w:val="0"/>
        <w:adjustRightInd w:val="0"/>
        <w:rPr>
          <w:rFonts w:ascii="Traditional Arabic" w:hAnsi="Traditional Arabic"/>
          <w:noProof w:val="0"/>
          <w:color w:val="auto"/>
          <w:lang w:eastAsia="en-US"/>
        </w:rPr>
      </w:pPr>
      <w:r w:rsidRPr="00C85F0F">
        <w:rPr>
          <w:rFonts w:ascii="Traditional Arabic" w:hAnsi="Traditional Arabic"/>
          <w:noProof w:val="0"/>
          <w:color w:val="auto"/>
          <w:rtl/>
          <w:lang w:eastAsia="en-US"/>
        </w:rPr>
        <w:t>لو باع شعيرا بب</w:t>
      </w:r>
      <w:r w:rsidR="006E271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 لا يجوز النساء؛ لأنهما اتفقا في علة ربا الفضل، وهي الكيل</w:t>
      </w:r>
      <w:r w:rsidRPr="00C85F0F">
        <w:rPr>
          <w:rStyle w:val="af1"/>
          <w:rFonts w:ascii="Traditional Arabic" w:hAnsi="Traditional Arabic"/>
          <w:color w:val="auto"/>
          <w:szCs w:val="32"/>
          <w:rtl/>
        </w:rPr>
        <w:t>(</w:t>
      </w:r>
      <w:r w:rsidRPr="00C85F0F">
        <w:rPr>
          <w:rStyle w:val="af1"/>
          <w:rFonts w:ascii="Traditional Arabic" w:hAnsi="Traditional Arabic"/>
          <w:color w:val="auto"/>
          <w:szCs w:val="32"/>
          <w:rtl/>
        </w:rPr>
        <w:footnoteReference w:id="2104"/>
      </w:r>
      <w:r w:rsidRPr="00C85F0F">
        <w:rPr>
          <w:rStyle w:val="af1"/>
          <w:rFonts w:ascii="Traditional Arabic" w:hAnsi="Traditional Arabic"/>
          <w:color w:val="auto"/>
          <w:szCs w:val="32"/>
          <w:rtl/>
        </w:rPr>
        <w:t>)</w:t>
      </w:r>
      <w:r w:rsidRPr="00C85F0F">
        <w:rPr>
          <w:rFonts w:ascii="Traditional Arabic" w:hAnsi="Traditional Arabic"/>
          <w:noProof w:val="0"/>
          <w:color w:val="auto"/>
          <w:rtl/>
          <w:lang w:eastAsia="en-US"/>
        </w:rPr>
        <w:t>.</w:t>
      </w:r>
    </w:p>
    <w:p w:rsidR="0038004C" w:rsidRPr="00C85F0F" w:rsidRDefault="0038004C" w:rsidP="00FD3233">
      <w:pPr>
        <w:pStyle w:val="53"/>
      </w:pPr>
      <w:r w:rsidRPr="00C85F0F">
        <w:rPr>
          <w:rFonts w:hint="cs"/>
          <w:rtl/>
        </w:rPr>
        <w:t>وجه اندراج الفرع تحت الضابط:</w:t>
      </w:r>
    </w:p>
    <w:p w:rsidR="0038004C" w:rsidRPr="00C85F0F" w:rsidRDefault="0038004C"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 xml:space="preserve">لما حرم التفاضل بين البر والشعير لاشتراكهما في العلة وهي الكيل، حرم النساء؛ لأن </w:t>
      </w:r>
      <w:r w:rsidRPr="00C85F0F">
        <w:rPr>
          <w:rtl/>
        </w:rPr>
        <w:t>كل شيئين يجري بينهما ربا الفضل فبينهما ربا النسيئة</w:t>
      </w:r>
      <w:r w:rsidRPr="00C85F0F">
        <w:rPr>
          <w:rFonts w:hint="cs"/>
          <w:rtl/>
        </w:rPr>
        <w:t>.</w:t>
      </w:r>
    </w:p>
    <w:p w:rsidR="0038004C" w:rsidRPr="00C85F0F" w:rsidRDefault="006E2717" w:rsidP="000A76C7">
      <w:pPr>
        <w:pStyle w:val="afc"/>
        <w:widowControl/>
        <w:numPr>
          <w:ilvl w:val="0"/>
          <w:numId w:val="289"/>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 xml:space="preserve">لو </w:t>
      </w:r>
      <w:r w:rsidR="0038004C" w:rsidRPr="00C85F0F">
        <w:rPr>
          <w:rFonts w:ascii="Traditional Arabic" w:hAnsi="Traditional Arabic"/>
          <w:noProof w:val="0"/>
          <w:color w:val="auto"/>
          <w:rtl/>
          <w:lang w:eastAsia="en-US"/>
        </w:rPr>
        <w:t>باع ط</w:t>
      </w:r>
      <w:r>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ن</w:t>
      </w:r>
      <w:r>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ا</w:t>
      </w:r>
      <w:r>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 xml:space="preserve"> من الرصاص بط</w:t>
      </w:r>
      <w:r>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ن</w:t>
      </w:r>
      <w:r>
        <w:rPr>
          <w:rFonts w:ascii="Traditional Arabic" w:hAnsi="Traditional Arabic" w:hint="cs"/>
          <w:noProof w:val="0"/>
          <w:color w:val="auto"/>
          <w:rtl/>
          <w:lang w:eastAsia="en-US"/>
        </w:rPr>
        <w:t>ٍّ</w:t>
      </w:r>
      <w:r>
        <w:rPr>
          <w:rFonts w:ascii="Traditional Arabic" w:hAnsi="Traditional Arabic"/>
          <w:noProof w:val="0"/>
          <w:color w:val="auto"/>
          <w:rtl/>
          <w:lang w:eastAsia="en-US"/>
        </w:rPr>
        <w:t xml:space="preserve"> من النحاس ل</w:t>
      </w:r>
      <w:r>
        <w:rPr>
          <w:rFonts w:ascii="Traditional Arabic" w:hAnsi="Traditional Arabic" w:hint="cs"/>
          <w:noProof w:val="0"/>
          <w:color w:val="auto"/>
          <w:rtl/>
          <w:lang w:eastAsia="en-US"/>
        </w:rPr>
        <w:t>ما</w:t>
      </w:r>
      <w:r>
        <w:rPr>
          <w:rFonts w:ascii="Traditional Arabic" w:hAnsi="Traditional Arabic"/>
          <w:noProof w:val="0"/>
          <w:color w:val="auto"/>
          <w:rtl/>
          <w:lang w:eastAsia="en-US"/>
        </w:rPr>
        <w:t xml:space="preserve"> ج</w:t>
      </w:r>
      <w:r>
        <w:rPr>
          <w:rFonts w:ascii="Traditional Arabic" w:hAnsi="Traditional Arabic" w:hint="cs"/>
          <w:noProof w:val="0"/>
          <w:color w:val="auto"/>
          <w:rtl/>
          <w:lang w:eastAsia="en-US"/>
        </w:rPr>
        <w:t>ا</w:t>
      </w:r>
      <w:r w:rsidR="0038004C" w:rsidRPr="00C85F0F">
        <w:rPr>
          <w:rFonts w:ascii="Traditional Arabic" w:hAnsi="Traditional Arabic"/>
          <w:noProof w:val="0"/>
          <w:color w:val="auto"/>
          <w:rtl/>
          <w:lang w:eastAsia="en-US"/>
        </w:rPr>
        <w:t>ز</w:t>
      </w:r>
      <w:r>
        <w:rPr>
          <w:rFonts w:ascii="Traditional Arabic" w:hAnsi="Traditional Arabic" w:hint="cs"/>
          <w:noProof w:val="0"/>
          <w:color w:val="auto"/>
          <w:rtl/>
          <w:lang w:eastAsia="en-US"/>
        </w:rPr>
        <w:t xml:space="preserve"> ذلك</w:t>
      </w:r>
      <w:r w:rsidR="0038004C" w:rsidRPr="00C85F0F">
        <w:rPr>
          <w:rFonts w:ascii="Traditional Arabic" w:hAnsi="Traditional Arabic"/>
          <w:noProof w:val="0"/>
          <w:color w:val="auto"/>
          <w:rtl/>
          <w:lang w:eastAsia="en-US"/>
        </w:rPr>
        <w:t>؛ لأنهما اتفقا في علة ربا الفضل، وهي الوزن</w:t>
      </w:r>
      <w:r w:rsidR="0038004C" w:rsidRPr="00C85F0F">
        <w:rPr>
          <w:rStyle w:val="af1"/>
          <w:szCs w:val="32"/>
          <w:rtl/>
        </w:rPr>
        <w:t>(</w:t>
      </w:r>
      <w:r w:rsidR="0038004C" w:rsidRPr="00C85F0F">
        <w:rPr>
          <w:rStyle w:val="af1"/>
          <w:szCs w:val="32"/>
          <w:rtl/>
        </w:rPr>
        <w:footnoteReference w:id="2105"/>
      </w:r>
      <w:r w:rsidR="0038004C" w:rsidRPr="00C85F0F">
        <w:rPr>
          <w:rStyle w:val="af1"/>
          <w:szCs w:val="32"/>
          <w:rtl/>
        </w:rPr>
        <w:t>)</w:t>
      </w:r>
      <w:r w:rsidR="0038004C" w:rsidRPr="00C85F0F">
        <w:rPr>
          <w:rFonts w:ascii="Traditional Arabic" w:hAnsi="Traditional Arabic"/>
          <w:noProof w:val="0"/>
          <w:color w:val="auto"/>
          <w:rtl/>
          <w:lang w:eastAsia="en-US"/>
        </w:rPr>
        <w:t>.</w:t>
      </w:r>
    </w:p>
    <w:p w:rsidR="0038004C" w:rsidRPr="006E2717" w:rsidRDefault="0038004C" w:rsidP="00597C20">
      <w:pPr>
        <w:pStyle w:val="53"/>
        <w:rPr>
          <w:b w:val="0"/>
        </w:rPr>
      </w:pPr>
      <w:r w:rsidRPr="006E2717">
        <w:rPr>
          <w:rFonts w:hint="cs"/>
          <w:b w:val="0"/>
          <w:rtl/>
        </w:rPr>
        <w:lastRenderedPageBreak/>
        <w:t>وجه اندراج الفرع تحت الضابط:</w:t>
      </w:r>
    </w:p>
    <w:p w:rsidR="0038004C" w:rsidRDefault="0038004C" w:rsidP="00597C20">
      <w:pPr>
        <w:pStyle w:val="afc"/>
        <w:widowControl/>
        <w:autoSpaceDE w:val="0"/>
        <w:autoSpaceDN w:val="0"/>
        <w:adjustRightInd w:val="0"/>
        <w:ind w:left="0" w:firstLine="720"/>
        <w:jc w:val="left"/>
        <w:rPr>
          <w:rtl/>
        </w:rPr>
      </w:pPr>
      <w:r w:rsidRPr="00C85F0F">
        <w:rPr>
          <w:rFonts w:ascii="Traditional Arabic" w:hAnsi="Traditional Arabic" w:hint="cs"/>
          <w:noProof w:val="0"/>
          <w:color w:val="auto"/>
          <w:rtl/>
          <w:lang w:eastAsia="en-US"/>
        </w:rPr>
        <w:t xml:space="preserve">لما حرم التفاضل بين الرصاص والنحاس لاشتراكهما في العلة وهي الوزن، حرم النساء؛ لأن </w:t>
      </w:r>
      <w:r w:rsidRPr="00C85F0F">
        <w:rPr>
          <w:rtl/>
        </w:rPr>
        <w:t>كل شيئين يجري بينهما ربا الفضل فبينهما ربا النسيئة</w:t>
      </w:r>
      <w:r w:rsidRPr="00C85F0F">
        <w:rPr>
          <w:rFonts w:hint="cs"/>
          <w:rtl/>
        </w:rPr>
        <w:t>.</w:t>
      </w:r>
    </w:p>
    <w:p w:rsidR="007A6F9A" w:rsidRDefault="007A6F9A" w:rsidP="00597C20">
      <w:pPr>
        <w:pStyle w:val="afc"/>
        <w:widowControl/>
        <w:autoSpaceDE w:val="0"/>
        <w:autoSpaceDN w:val="0"/>
        <w:adjustRightInd w:val="0"/>
        <w:ind w:left="0" w:firstLine="720"/>
        <w:jc w:val="left"/>
        <w:rPr>
          <w:rtl/>
        </w:rPr>
      </w:pPr>
    </w:p>
    <w:p w:rsidR="007A6F9A" w:rsidRPr="007A6F9A" w:rsidRDefault="007A6F9A" w:rsidP="002209E5">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7A6F9A" w:rsidRPr="00C85F0F" w:rsidRDefault="007A6F9A" w:rsidP="00597C20">
      <w:pPr>
        <w:pStyle w:val="afc"/>
        <w:widowControl/>
        <w:autoSpaceDE w:val="0"/>
        <w:autoSpaceDN w:val="0"/>
        <w:adjustRightInd w:val="0"/>
        <w:ind w:left="0" w:firstLine="720"/>
        <w:jc w:val="left"/>
        <w:rPr>
          <w:rtl/>
        </w:rPr>
      </w:pPr>
    </w:p>
    <w:p w:rsidR="001C1ED8" w:rsidRPr="00C85F0F" w:rsidRDefault="001C1ED8" w:rsidP="001E513A">
      <w:pPr>
        <w:pStyle w:val="aff0"/>
        <w:rPr>
          <w:rtl/>
        </w:rPr>
      </w:pPr>
      <w:bookmarkStart w:id="471" w:name="_Toc334046644"/>
      <w:r w:rsidRPr="00C85F0F">
        <w:rPr>
          <w:rFonts w:hint="cs"/>
          <w:rtl/>
        </w:rPr>
        <w:lastRenderedPageBreak/>
        <w:t>الفصل الثالث</w:t>
      </w:r>
      <w:r w:rsidRPr="00C85F0F">
        <w:rPr>
          <w:rFonts w:hint="eastAsia"/>
          <w:rtl/>
        </w:rPr>
        <w:t> :</w:t>
      </w:r>
      <w:r w:rsidRPr="00C85F0F">
        <w:rPr>
          <w:rFonts w:hint="cs"/>
          <w:rtl/>
        </w:rPr>
        <w:t xml:space="preserve">الضوابط المتعلقة </w:t>
      </w:r>
      <w:r w:rsidR="001B56A8" w:rsidRPr="00C85F0F">
        <w:rPr>
          <w:rFonts w:hint="cs"/>
          <w:rtl/>
        </w:rPr>
        <w:t>ب</w:t>
      </w:r>
      <w:r w:rsidRPr="00C85F0F">
        <w:rPr>
          <w:rFonts w:hint="cs"/>
          <w:rtl/>
        </w:rPr>
        <w:t>باب القرض وباب الرهن</w:t>
      </w:r>
      <w:bookmarkEnd w:id="471"/>
    </w:p>
    <w:p w:rsidR="001C1ED8" w:rsidRPr="00FD3233" w:rsidRDefault="001C1ED8" w:rsidP="00597C20">
      <w:pPr>
        <w:spacing w:after="360" w:line="860" w:lineRule="exact"/>
        <w:ind w:right="851" w:firstLine="142"/>
        <w:rPr>
          <w:rFonts w:ascii="Traditional Arabic" w:hAnsi="Traditional Arabic"/>
          <w:b/>
          <w:bCs/>
          <w:u w:val="single"/>
          <w:rtl/>
        </w:rPr>
      </w:pPr>
      <w:r w:rsidRPr="00FD3233">
        <w:rPr>
          <w:rFonts w:ascii="Traditional Arabic" w:hAnsi="Traditional Arabic" w:hint="cs"/>
          <w:b/>
          <w:bCs/>
          <w:u w:val="single"/>
          <w:rtl/>
        </w:rPr>
        <w:t>وفيه مبحثان:</w:t>
      </w:r>
    </w:p>
    <w:p w:rsidR="001C1ED8" w:rsidRPr="00C85F0F" w:rsidRDefault="002F34AD" w:rsidP="00597C20">
      <w:pPr>
        <w:tabs>
          <w:tab w:val="left" w:pos="2833"/>
        </w:tabs>
        <w:ind w:left="2833" w:hanging="2268"/>
        <w:jc w:val="left"/>
        <w:rPr>
          <w:rtl/>
        </w:rPr>
      </w:pPr>
      <w:r w:rsidRPr="00FD3233">
        <w:rPr>
          <w:rFonts w:hint="cs"/>
          <w:b/>
          <w:bCs/>
          <w:rtl/>
        </w:rPr>
        <w:t>المبحث الأول:</w:t>
      </w:r>
      <w:r w:rsidRPr="00C85F0F">
        <w:rPr>
          <w:rFonts w:hint="cs"/>
          <w:rtl/>
        </w:rPr>
        <w:tab/>
      </w:r>
      <w:r w:rsidR="001C1ED8" w:rsidRPr="00C85F0F">
        <w:rPr>
          <w:rFonts w:hint="cs"/>
          <w:rtl/>
        </w:rPr>
        <w:t>ضابط كل ما صح بيعه صح قرضه، وكل ما لا يصح بيعه لايصح قرضه.</w:t>
      </w:r>
    </w:p>
    <w:p w:rsidR="001C1ED8" w:rsidRPr="00C85F0F" w:rsidRDefault="001C1ED8" w:rsidP="00597C20">
      <w:pPr>
        <w:tabs>
          <w:tab w:val="left" w:pos="2833"/>
        </w:tabs>
        <w:ind w:left="2833" w:hanging="2268"/>
        <w:jc w:val="left"/>
        <w:rPr>
          <w:rtl/>
        </w:rPr>
      </w:pPr>
      <w:r w:rsidRPr="00FD3233">
        <w:rPr>
          <w:rFonts w:hint="cs"/>
          <w:b/>
          <w:bCs/>
          <w:rtl/>
        </w:rPr>
        <w:t>المبحث الثاني:</w:t>
      </w:r>
      <w:r w:rsidR="002F34AD" w:rsidRPr="00C85F0F">
        <w:rPr>
          <w:rFonts w:hint="cs"/>
          <w:rtl/>
        </w:rPr>
        <w:tab/>
      </w:r>
      <w:r w:rsidRPr="00C85F0F">
        <w:rPr>
          <w:rFonts w:hint="cs"/>
          <w:rtl/>
        </w:rPr>
        <w:t>ضابط كل عين يجوز بيعها يجوز رهنه</w:t>
      </w:r>
      <w:r w:rsidR="002209E5">
        <w:rPr>
          <w:rFonts w:hint="cs"/>
          <w:rtl/>
        </w:rPr>
        <w:t>ا،</w:t>
      </w:r>
      <w:r w:rsidRPr="00C85F0F">
        <w:rPr>
          <w:rFonts w:hint="cs"/>
          <w:rtl/>
        </w:rPr>
        <w:t xml:space="preserve"> وما لا فلا.</w:t>
      </w:r>
    </w:p>
    <w:p w:rsidR="0038004C" w:rsidRPr="00C85F0F" w:rsidRDefault="00E4746A" w:rsidP="000F5C0F">
      <w:pPr>
        <w:pStyle w:val="aff2"/>
        <w:rPr>
          <w:rtl/>
        </w:rPr>
      </w:pPr>
      <w:bookmarkStart w:id="472" w:name="_Toc334046645"/>
      <w:r w:rsidRPr="00C85F0F">
        <w:rPr>
          <w:rFonts w:ascii="Traditional Arabic" w:hAnsi="Traditional Arabic" w:hint="cs"/>
          <w:rtl/>
        </w:rPr>
        <w:lastRenderedPageBreak/>
        <w:t>المبحث الأول</w:t>
      </w:r>
      <w:r w:rsidRPr="00C85F0F">
        <w:rPr>
          <w:rFonts w:ascii="Traditional Arabic" w:hAnsi="Traditional Arabic" w:hint="eastAsia"/>
          <w:rtl/>
        </w:rPr>
        <w:t> </w:t>
      </w:r>
      <w:r w:rsidRPr="00C85F0F">
        <w:rPr>
          <w:rFonts w:ascii="Traditional Arabic" w:hAnsi="Traditional Arabic" w:hint="cs"/>
          <w:rtl/>
        </w:rPr>
        <w:t>:</w:t>
      </w:r>
      <w:r w:rsidRPr="00C85F0F">
        <w:rPr>
          <w:rFonts w:ascii="Traditional Arabic" w:hAnsi="Traditional Arabic"/>
          <w:rtl/>
        </w:rPr>
        <w:br/>
      </w:r>
      <w:r w:rsidR="0038004C" w:rsidRPr="00C85F0F">
        <w:rPr>
          <w:rFonts w:hint="cs"/>
          <w:rtl/>
        </w:rPr>
        <w:t>ضابط</w:t>
      </w:r>
      <w:r w:rsidR="0038004C" w:rsidRPr="00C85F0F">
        <w:rPr>
          <w:rFonts w:hint="cs"/>
          <w:rtl/>
        </w:rPr>
        <w:br/>
        <w:t>"كل ما صح بيعه صح قرضه، وكل ما لا يصح بيعه لايصح قرضه</w:t>
      </w:r>
      <w:r w:rsidR="00AB0B9E" w:rsidRPr="00C85F0F">
        <w:rPr>
          <w:rtl/>
        </w:rPr>
        <w:fldChar w:fldCharType="begin"/>
      </w:r>
      <w:r w:rsidR="00945AC4" w:rsidRPr="00C85F0F">
        <w:rPr>
          <w:rFonts w:hint="cs"/>
        </w:rPr>
        <w:instrText>XE</w:instrText>
      </w:r>
      <w:r w:rsidR="00945AC4" w:rsidRPr="00C85F0F">
        <w:rPr>
          <w:rtl/>
        </w:rPr>
        <w:instrText xml:space="preserve"> "</w:instrText>
      </w:r>
      <w:r w:rsidR="00945AC4" w:rsidRPr="00C85F0F">
        <w:rPr>
          <w:rFonts w:hint="cs"/>
          <w:rtl/>
        </w:rPr>
        <w:instrText>كلماصحبيعهصحقرضه،وكلمالايصحبيعهلايصحقرضه</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38004C" w:rsidRPr="00C85F0F">
        <w:rPr>
          <w:rFonts w:hint="cs"/>
          <w:rtl/>
        </w:rPr>
        <w:t>"</w:t>
      </w:r>
      <w:r w:rsidR="0038004C" w:rsidRPr="00C85F0F">
        <w:rPr>
          <w:rStyle w:val="af1"/>
          <w:b w:val="0"/>
          <w:bCs w:val="0"/>
          <w:szCs w:val="32"/>
          <w:rtl/>
        </w:rPr>
        <w:t>(</w:t>
      </w:r>
      <w:r w:rsidR="0038004C" w:rsidRPr="00C85F0F">
        <w:rPr>
          <w:rStyle w:val="af1"/>
          <w:b w:val="0"/>
          <w:bCs w:val="0"/>
          <w:szCs w:val="32"/>
          <w:rtl/>
        </w:rPr>
        <w:footnoteReference w:id="2106"/>
      </w:r>
      <w:r w:rsidR="0038004C" w:rsidRPr="00C85F0F">
        <w:rPr>
          <w:rStyle w:val="af1"/>
          <w:b w:val="0"/>
          <w:bCs w:val="0"/>
          <w:szCs w:val="32"/>
          <w:rtl/>
        </w:rPr>
        <w:t>)</w:t>
      </w:r>
      <w:bookmarkEnd w:id="472"/>
    </w:p>
    <w:p w:rsidR="0038004C" w:rsidRPr="00C85F0F" w:rsidRDefault="007A6F9A" w:rsidP="00A8347C">
      <w:pPr>
        <w:pStyle w:val="aff3"/>
        <w:rPr>
          <w:rtl/>
        </w:rPr>
      </w:pPr>
      <w:bookmarkStart w:id="473" w:name="_Toc334046646"/>
      <w:r>
        <w:rPr>
          <w:rFonts w:hint="cs"/>
          <w:rtl/>
        </w:rPr>
        <w:t xml:space="preserve">                       </w:t>
      </w:r>
      <w:r w:rsidR="006E2717">
        <w:rPr>
          <w:rFonts w:hint="cs"/>
          <w:rtl/>
        </w:rPr>
        <w:t xml:space="preserve">                 </w:t>
      </w:r>
      <w:r w:rsidR="0038004C" w:rsidRPr="00C85F0F">
        <w:rPr>
          <w:rFonts w:hint="cs"/>
          <w:rtl/>
        </w:rPr>
        <w:t>المطلب الأول</w:t>
      </w:r>
      <w:r w:rsidR="0038004C" w:rsidRPr="00C85F0F">
        <w:rPr>
          <w:rFonts w:hint="eastAsia"/>
          <w:rtl/>
        </w:rPr>
        <w:t> :</w:t>
      </w:r>
      <w:r w:rsidR="0038004C" w:rsidRPr="00C85F0F">
        <w:rPr>
          <w:rFonts w:hint="cs"/>
          <w:rtl/>
        </w:rPr>
        <w:br/>
      </w:r>
      <w:r>
        <w:rPr>
          <w:rFonts w:hint="cs"/>
          <w:rtl/>
        </w:rPr>
        <w:t xml:space="preserve">                       </w:t>
      </w:r>
      <w:r w:rsidR="006E2717">
        <w:rPr>
          <w:rFonts w:hint="cs"/>
          <w:rtl/>
        </w:rPr>
        <w:t xml:space="preserve">                  </w:t>
      </w:r>
      <w:r w:rsidR="0038004C" w:rsidRPr="00C85F0F">
        <w:rPr>
          <w:rFonts w:hint="cs"/>
          <w:rtl/>
        </w:rPr>
        <w:t>شرح الضابط</w:t>
      </w:r>
      <w:bookmarkEnd w:id="473"/>
    </w:p>
    <w:p w:rsidR="00B36910" w:rsidRPr="00C85F0F" w:rsidRDefault="0038004C" w:rsidP="00597C20">
      <w:pPr>
        <w:pStyle w:val="53"/>
        <w:rPr>
          <w:rtl/>
        </w:rPr>
      </w:pPr>
      <w:r w:rsidRPr="00C85F0F">
        <w:rPr>
          <w:rFonts w:hint="cs"/>
          <w:rtl/>
        </w:rPr>
        <w:t>البيع</w:t>
      </w:r>
      <w:r w:rsidR="00AB0B9E">
        <w:rPr>
          <w:rtl/>
        </w:rPr>
        <w:fldChar w:fldCharType="begin"/>
      </w:r>
      <w:r w:rsidR="006E1F02">
        <w:instrText xml:space="preserve"> XE "</w:instrText>
      </w:r>
      <w:r w:rsidR="006E1F02" w:rsidRPr="006E1F02">
        <w:rPr>
          <w:rFonts w:hint="cs"/>
          <w:b w:val="0"/>
          <w:bCs w:val="0"/>
          <w:rtl/>
        </w:rPr>
        <w:instrText>البيع</w:instrText>
      </w:r>
      <w:r w:rsidR="006E1F02">
        <w:instrText xml:space="preserve">" </w:instrText>
      </w:r>
      <w:r w:rsidR="006E1F02" w:rsidRPr="006E1F02">
        <w:instrText xml:space="preserve">\fm </w:instrText>
      </w:r>
      <w:r w:rsidR="00AB0B9E">
        <w:rPr>
          <w:rtl/>
        </w:rPr>
        <w:fldChar w:fldCharType="end"/>
      </w:r>
      <w:r w:rsidRPr="00C85F0F">
        <w:rPr>
          <w:rFonts w:hint="cs"/>
          <w:rtl/>
        </w:rPr>
        <w:t xml:space="preserve"> لغة:</w:t>
      </w:r>
    </w:p>
    <w:p w:rsidR="0038004C" w:rsidRPr="00C85F0F" w:rsidRDefault="0038004C" w:rsidP="00597C20">
      <w:pPr>
        <w:ind w:firstLine="720"/>
        <w:rPr>
          <w:rtl/>
        </w:rPr>
      </w:pPr>
      <w:r w:rsidRPr="00C85F0F">
        <w:rPr>
          <w:rFonts w:ascii="Traditional Arabic" w:hAnsi="Traditional Arabic"/>
          <w:noProof w:val="0"/>
          <w:rtl/>
          <w:lang w:eastAsia="en-US"/>
        </w:rPr>
        <w:t>ضد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الشراء</w:t>
      </w:r>
      <w:r w:rsidRPr="00C85F0F">
        <w:rPr>
          <w:rFonts w:hint="cs"/>
          <w:rtl/>
        </w:rPr>
        <w:t>، والبيع أيضا الشراء</w:t>
      </w:r>
      <w:r w:rsidRPr="00C85F0F">
        <w:rPr>
          <w:rStyle w:val="af1"/>
          <w:szCs w:val="32"/>
          <w:rtl/>
        </w:rPr>
        <w:t>(</w:t>
      </w:r>
      <w:r w:rsidRPr="00C85F0F">
        <w:rPr>
          <w:rStyle w:val="af1"/>
          <w:szCs w:val="32"/>
          <w:rtl/>
        </w:rPr>
        <w:footnoteReference w:id="2107"/>
      </w:r>
      <w:r w:rsidRPr="00C85F0F">
        <w:rPr>
          <w:rStyle w:val="af1"/>
          <w:szCs w:val="32"/>
          <w:rtl/>
        </w:rPr>
        <w:t>)</w:t>
      </w:r>
      <w:r w:rsidRPr="00C85F0F">
        <w:rPr>
          <w:rFonts w:hint="cs"/>
          <w:rtl/>
        </w:rPr>
        <w:t>.</w:t>
      </w:r>
    </w:p>
    <w:p w:rsidR="00B36910" w:rsidRPr="00C85F0F" w:rsidRDefault="0038004C" w:rsidP="00597C20">
      <w:pPr>
        <w:pStyle w:val="53"/>
        <w:rPr>
          <w:color w:val="auto"/>
          <w:rtl/>
        </w:rPr>
      </w:pPr>
      <w:r w:rsidRPr="00C85F0F">
        <w:rPr>
          <w:rFonts w:hint="cs"/>
          <w:rtl/>
        </w:rPr>
        <w:t xml:space="preserve">البيع </w:t>
      </w:r>
      <w:r w:rsidRPr="006E1F02">
        <w:rPr>
          <w:rFonts w:hint="cs"/>
          <w:rtl/>
        </w:rPr>
        <w:t>اصطلاحا</w:t>
      </w:r>
      <w:r w:rsidRPr="00C85F0F">
        <w:rPr>
          <w:rFonts w:hint="cs"/>
          <w:rtl/>
        </w:rPr>
        <w:t>:</w:t>
      </w:r>
    </w:p>
    <w:p w:rsidR="0038004C" w:rsidRPr="00C85F0F" w:rsidRDefault="0038004C" w:rsidP="00597C20">
      <w:pPr>
        <w:ind w:firstLine="720"/>
        <w:rPr>
          <w:rtl/>
        </w:rPr>
      </w:pPr>
      <w:r w:rsidRPr="00C85F0F">
        <w:rPr>
          <w:rFonts w:ascii="Traditional Arabic" w:hAnsi="Traditional Arabic"/>
          <w:noProof w:val="0"/>
          <w:color w:val="auto"/>
          <w:rtl/>
          <w:lang w:eastAsia="en-US"/>
        </w:rPr>
        <w:t>هو مبادلة مال</w:t>
      </w:r>
      <w:r w:rsidR="006E271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ولو في الذمة</w:t>
      </w:r>
      <w:r w:rsidR="006E271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أو منفعة مباحة كممر</w:t>
      </w:r>
      <w:r w:rsidR="006E271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في دار</w:t>
      </w:r>
      <w:r w:rsidR="006E271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بمثل أحدهما على التأبيد</w:t>
      </w:r>
      <w:r w:rsidR="006E271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غير ربا وقرض</w:t>
      </w:r>
      <w:r w:rsidRPr="00C85F0F">
        <w:rPr>
          <w:rStyle w:val="af1"/>
          <w:szCs w:val="32"/>
          <w:rtl/>
        </w:rPr>
        <w:t>(</w:t>
      </w:r>
      <w:r w:rsidRPr="00C85F0F">
        <w:rPr>
          <w:rStyle w:val="af1"/>
          <w:szCs w:val="32"/>
          <w:rtl/>
        </w:rPr>
        <w:footnoteReference w:id="2108"/>
      </w:r>
      <w:r w:rsidRPr="00C85F0F">
        <w:rPr>
          <w:rStyle w:val="af1"/>
          <w:szCs w:val="32"/>
          <w:rtl/>
        </w:rPr>
        <w:t>)</w:t>
      </w:r>
      <w:r w:rsidRPr="00C85F0F">
        <w:rPr>
          <w:rFonts w:hint="cs"/>
          <w:rtl/>
        </w:rPr>
        <w:t>.</w:t>
      </w:r>
    </w:p>
    <w:p w:rsidR="00065E4B" w:rsidRPr="00C85F0F" w:rsidRDefault="0038004C" w:rsidP="00FD3233">
      <w:pPr>
        <w:pStyle w:val="53"/>
        <w:rPr>
          <w:rtl/>
        </w:rPr>
      </w:pPr>
      <w:r w:rsidRPr="00C85F0F">
        <w:rPr>
          <w:rFonts w:hint="cs"/>
          <w:rtl/>
        </w:rPr>
        <w:t xml:space="preserve">معنى </w:t>
      </w:r>
      <w:r w:rsidRPr="00FD3233">
        <w:rPr>
          <w:rFonts w:hint="cs"/>
          <w:rtl/>
        </w:rPr>
        <w:t>الضابط</w:t>
      </w:r>
      <w:r w:rsidRPr="00C85F0F">
        <w:rPr>
          <w:rFonts w:hint="cs"/>
          <w:rtl/>
        </w:rPr>
        <w:t xml:space="preserve"> إجمالا:</w:t>
      </w:r>
    </w:p>
    <w:p w:rsidR="0038004C"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noProof w:val="0"/>
          <w:color w:val="auto"/>
          <w:rtl/>
          <w:lang w:eastAsia="en-US"/>
        </w:rPr>
        <w:t>ك</w:t>
      </w:r>
      <w:r w:rsidR="0038004C" w:rsidRPr="00C85F0F">
        <w:rPr>
          <w:rFonts w:ascii="Traditional Arabic" w:hAnsi="Traditional Arabic"/>
          <w:noProof w:val="0"/>
          <w:color w:val="auto"/>
          <w:rtl/>
          <w:lang w:eastAsia="en-US"/>
        </w:rPr>
        <w:t>ل ما صح بيعه صح ق</w:t>
      </w:r>
      <w:r w:rsidR="0038004C" w:rsidRPr="00C85F0F">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ر</w:t>
      </w:r>
      <w:r w:rsidR="0038004C" w:rsidRPr="00C85F0F">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ض</w:t>
      </w:r>
      <w:r w:rsidR="0038004C" w:rsidRPr="00C85F0F">
        <w:rPr>
          <w:rFonts w:ascii="Traditional Arabic" w:hAnsi="Traditional Arabic" w:hint="cs"/>
          <w:noProof w:val="0"/>
          <w:color w:val="auto"/>
          <w:rtl/>
          <w:lang w:eastAsia="en-US"/>
        </w:rPr>
        <w:t>ُ</w:t>
      </w:r>
      <w:r w:rsidR="0038004C" w:rsidRPr="00C85F0F">
        <w:rPr>
          <w:rFonts w:ascii="Traditional Arabic" w:hAnsi="Traditional Arabic"/>
          <w:noProof w:val="0"/>
          <w:color w:val="auto"/>
          <w:rtl/>
          <w:lang w:eastAsia="en-US"/>
        </w:rPr>
        <w:t>ه، وكل ما لا يصح بيعه لا يصح قرضه.</w:t>
      </w:r>
    </w:p>
    <w:p w:rsidR="0038004C" w:rsidRPr="00C85F0F" w:rsidRDefault="0038004C" w:rsidP="00597C20">
      <w:pPr>
        <w:ind w:firstLine="720"/>
        <w:rPr>
          <w:color w:val="auto"/>
          <w:rtl/>
        </w:rPr>
      </w:pPr>
      <w:r w:rsidRPr="00C85F0F">
        <w:rPr>
          <w:rFonts w:ascii="Traditional Arabic" w:hAnsi="Traditional Arabic"/>
          <w:noProof w:val="0"/>
          <w:color w:val="auto"/>
          <w:rtl/>
          <w:lang w:eastAsia="en-US"/>
        </w:rPr>
        <w:t>وعلى هذا، فالكلب لا يصح قرضه؛ لأنه لا يصح بيعه، والميتة لا يصح قرضها حتى لمن حل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ت له فإنه لا يصح قرضها؛ لأنه لا يصح بيعها، والمرهون لا يصح قرضه؛ لأنه لا يصح بيعه، </w:t>
      </w:r>
      <w:r w:rsidRPr="00C85F0F">
        <w:rPr>
          <w:rFonts w:ascii="Traditional Arabic" w:hAnsi="Traditional Arabic"/>
          <w:noProof w:val="0"/>
          <w:color w:val="auto"/>
          <w:rtl/>
          <w:lang w:eastAsia="en-US"/>
        </w:rPr>
        <w:lastRenderedPageBreak/>
        <w:t>والموقوف لا يصح قرضه؛ لأنه لا يصح بيعه</w:t>
      </w:r>
      <w:r w:rsidRPr="00C85F0F">
        <w:rPr>
          <w:rStyle w:val="af1"/>
          <w:szCs w:val="32"/>
          <w:rtl/>
        </w:rPr>
        <w:t>(</w:t>
      </w:r>
      <w:r w:rsidRPr="00C85F0F">
        <w:rPr>
          <w:rStyle w:val="af1"/>
          <w:szCs w:val="32"/>
          <w:rtl/>
        </w:rPr>
        <w:footnoteReference w:id="2109"/>
      </w:r>
      <w:r w:rsidRPr="00C85F0F">
        <w:rPr>
          <w:rStyle w:val="af1"/>
          <w:szCs w:val="32"/>
          <w:rtl/>
        </w:rPr>
        <w:t>)</w:t>
      </w:r>
      <w:r w:rsidRPr="00C85F0F">
        <w:rPr>
          <w:rFonts w:ascii="Traditional Arabic" w:hAnsi="Traditional Arabic" w:hint="cs"/>
          <w:noProof w:val="0"/>
          <w:color w:val="auto"/>
          <w:rtl/>
          <w:lang w:eastAsia="en-US"/>
        </w:rPr>
        <w:t>.</w:t>
      </w:r>
    </w:p>
    <w:p w:rsidR="0038004C" w:rsidRPr="00C85F0F" w:rsidRDefault="008366F0" w:rsidP="00A8347C">
      <w:pPr>
        <w:pStyle w:val="aff3"/>
        <w:rPr>
          <w:rtl/>
        </w:rPr>
      </w:pPr>
      <w:bookmarkStart w:id="474" w:name="_Toc334046647"/>
      <w:r>
        <w:rPr>
          <w:rFonts w:hint="cs"/>
          <w:rtl/>
        </w:rPr>
        <w:t xml:space="preserve">                                          </w:t>
      </w:r>
      <w:r w:rsidR="0038004C" w:rsidRPr="00C85F0F">
        <w:rPr>
          <w:rFonts w:hint="cs"/>
          <w:rtl/>
        </w:rPr>
        <w:t>المطلب الثاني</w:t>
      </w:r>
      <w:r w:rsidR="0038004C" w:rsidRPr="00C85F0F">
        <w:rPr>
          <w:rFonts w:hint="eastAsia"/>
          <w:rtl/>
        </w:rPr>
        <w:t> :</w:t>
      </w:r>
      <w:r w:rsidR="0038004C" w:rsidRPr="00C85F0F">
        <w:rPr>
          <w:rFonts w:hint="cs"/>
          <w:rtl/>
        </w:rPr>
        <w:br/>
      </w:r>
      <w:r>
        <w:rPr>
          <w:rFonts w:hint="cs"/>
          <w:rtl/>
        </w:rPr>
        <w:t xml:space="preserve">            </w:t>
      </w:r>
      <w:r w:rsidR="005C1302">
        <w:rPr>
          <w:rFonts w:hint="cs"/>
          <w:rtl/>
        </w:rPr>
        <w:t xml:space="preserve">                               </w:t>
      </w:r>
      <w:r w:rsidR="0038004C" w:rsidRPr="00C85F0F">
        <w:rPr>
          <w:rFonts w:hint="cs"/>
          <w:rtl/>
        </w:rPr>
        <w:t>أدلة الضابط</w:t>
      </w:r>
      <w:bookmarkEnd w:id="474"/>
    </w:p>
    <w:p w:rsidR="00F228A9" w:rsidRPr="00C85F0F" w:rsidRDefault="0038004C" w:rsidP="00597C20">
      <w:pPr>
        <w:rPr>
          <w:color w:val="auto"/>
          <w:rtl/>
        </w:rPr>
      </w:pPr>
      <w:r w:rsidRPr="00C85F0F">
        <w:rPr>
          <w:rFonts w:hint="cs"/>
          <w:color w:val="auto"/>
          <w:rtl/>
        </w:rPr>
        <w:t xml:space="preserve">لم أجد أدلة لهذا الضابط، إلا أنه يمكن أن يُستأنَس في الدلالة عليه </w:t>
      </w:r>
      <w:r w:rsidR="008366F0">
        <w:rPr>
          <w:rFonts w:hint="cs"/>
          <w:color w:val="auto"/>
          <w:rtl/>
        </w:rPr>
        <w:t>بأن القرض ش</w:t>
      </w:r>
      <w:r w:rsidR="00F9281A">
        <w:rPr>
          <w:rFonts w:hint="cs"/>
          <w:color w:val="auto"/>
          <w:rtl/>
        </w:rPr>
        <w:t>َ</w:t>
      </w:r>
      <w:r w:rsidR="008366F0">
        <w:rPr>
          <w:rFonts w:hint="cs"/>
          <w:color w:val="auto"/>
          <w:rtl/>
        </w:rPr>
        <w:t>بيه</w:t>
      </w:r>
      <w:r w:rsidR="00F9281A">
        <w:rPr>
          <w:rFonts w:hint="cs"/>
          <w:color w:val="auto"/>
          <w:rtl/>
        </w:rPr>
        <w:t>ٌ</w:t>
      </w:r>
      <w:r w:rsidR="008366F0">
        <w:rPr>
          <w:rFonts w:hint="cs"/>
          <w:color w:val="auto"/>
          <w:rtl/>
        </w:rPr>
        <w:t xml:space="preserve"> بالبيع من جهة أن كلي</w:t>
      </w:r>
      <w:r w:rsidRPr="00C85F0F">
        <w:rPr>
          <w:rFonts w:hint="cs"/>
          <w:color w:val="auto"/>
          <w:rtl/>
        </w:rPr>
        <w:t>هما مبادلة مال بمال، والفرق بينهما أن المقصود من البيع المعاوضة</w:t>
      </w:r>
      <w:r w:rsidR="008366F0">
        <w:rPr>
          <w:rFonts w:hint="cs"/>
          <w:color w:val="auto"/>
          <w:rtl/>
        </w:rPr>
        <w:t>،</w:t>
      </w:r>
      <w:r w:rsidRPr="00C85F0F">
        <w:rPr>
          <w:rFonts w:hint="cs"/>
          <w:color w:val="auto"/>
          <w:rtl/>
        </w:rPr>
        <w:t xml:space="preserve"> والمقصود من القرض الإرفاق والإحسان، والله أعلم</w:t>
      </w:r>
      <w:r w:rsidRPr="00C85F0F">
        <w:rPr>
          <w:rStyle w:val="af1"/>
          <w:szCs w:val="32"/>
          <w:rtl/>
        </w:rPr>
        <w:t>(</w:t>
      </w:r>
      <w:r w:rsidRPr="00C85F0F">
        <w:rPr>
          <w:rStyle w:val="af1"/>
          <w:szCs w:val="32"/>
          <w:rtl/>
        </w:rPr>
        <w:footnoteReference w:id="2110"/>
      </w:r>
      <w:r w:rsidRPr="00C85F0F">
        <w:rPr>
          <w:rStyle w:val="af1"/>
          <w:szCs w:val="32"/>
          <w:rtl/>
        </w:rPr>
        <w:t>)</w:t>
      </w:r>
      <w:r w:rsidRPr="00C85F0F">
        <w:rPr>
          <w:rFonts w:hint="cs"/>
          <w:color w:val="auto"/>
          <w:rtl/>
        </w:rPr>
        <w:t>.</w:t>
      </w:r>
    </w:p>
    <w:p w:rsidR="0038004C" w:rsidRPr="00C85F0F" w:rsidRDefault="008366F0" w:rsidP="00A8347C">
      <w:pPr>
        <w:pStyle w:val="aff3"/>
        <w:rPr>
          <w:rtl/>
        </w:rPr>
      </w:pPr>
      <w:bookmarkStart w:id="475" w:name="_Toc334046648"/>
      <w:r>
        <w:rPr>
          <w:rFonts w:hint="cs"/>
          <w:rtl/>
        </w:rPr>
        <w:t xml:space="preserve">                                        </w:t>
      </w:r>
      <w:r w:rsidR="0038004C" w:rsidRPr="00C85F0F">
        <w:rPr>
          <w:rFonts w:hint="cs"/>
          <w:rtl/>
        </w:rPr>
        <w:t>المطلب الثالث</w:t>
      </w:r>
      <w:r w:rsidR="0038004C" w:rsidRPr="00C85F0F">
        <w:rPr>
          <w:rFonts w:hint="eastAsia"/>
          <w:rtl/>
        </w:rPr>
        <w:t> :</w:t>
      </w:r>
      <w:r w:rsidR="0038004C" w:rsidRPr="00C85F0F">
        <w:rPr>
          <w:rFonts w:hint="cs"/>
          <w:rtl/>
        </w:rPr>
        <w:br/>
      </w:r>
      <w:r>
        <w:rPr>
          <w:rFonts w:hint="cs"/>
          <w:rtl/>
        </w:rPr>
        <w:t xml:space="preserve">        </w:t>
      </w:r>
      <w:r w:rsidR="00883353">
        <w:rPr>
          <w:rFonts w:hint="cs"/>
          <w:rtl/>
        </w:rPr>
        <w:t xml:space="preserve">                               </w:t>
      </w:r>
      <w:r w:rsidR="0038004C" w:rsidRPr="00C85F0F">
        <w:rPr>
          <w:rFonts w:hint="cs"/>
          <w:rtl/>
        </w:rPr>
        <w:t>تطبيقات الضابط</w:t>
      </w:r>
      <w:bookmarkEnd w:id="475"/>
    </w:p>
    <w:p w:rsidR="00F228A9" w:rsidRPr="00C85F0F" w:rsidRDefault="0038004C" w:rsidP="000A76C7">
      <w:pPr>
        <w:pStyle w:val="afc"/>
        <w:numPr>
          <w:ilvl w:val="0"/>
          <w:numId w:val="290"/>
        </w:numPr>
        <w:rPr>
          <w:color w:val="auto"/>
        </w:rPr>
      </w:pPr>
      <w:r w:rsidRPr="00C85F0F">
        <w:rPr>
          <w:rFonts w:hint="cs"/>
          <w:color w:val="auto"/>
          <w:rtl/>
        </w:rPr>
        <w:t>لايصح قَرْضُ الكلب والميتة والمرهون والموقوف؛ لعدم صحة بيعها</w:t>
      </w:r>
      <w:r w:rsidRPr="00C85F0F">
        <w:rPr>
          <w:rStyle w:val="af1"/>
          <w:szCs w:val="32"/>
          <w:rtl/>
        </w:rPr>
        <w:t>(</w:t>
      </w:r>
      <w:r w:rsidRPr="00C85F0F">
        <w:rPr>
          <w:rStyle w:val="af1"/>
          <w:szCs w:val="32"/>
          <w:rtl/>
        </w:rPr>
        <w:footnoteReference w:id="2111"/>
      </w:r>
      <w:r w:rsidRPr="00C85F0F">
        <w:rPr>
          <w:rStyle w:val="af1"/>
          <w:szCs w:val="32"/>
          <w:rtl/>
        </w:rPr>
        <w:t>)</w:t>
      </w:r>
      <w:r w:rsidRPr="00C85F0F">
        <w:rPr>
          <w:rFonts w:hint="cs"/>
          <w:color w:val="auto"/>
          <w:rtl/>
        </w:rPr>
        <w:t>.</w:t>
      </w:r>
    </w:p>
    <w:p w:rsidR="0038004C" w:rsidRPr="00C85F0F" w:rsidRDefault="0038004C" w:rsidP="00FD3233">
      <w:pPr>
        <w:pStyle w:val="53"/>
        <w:rPr>
          <w:rtl/>
        </w:rPr>
      </w:pPr>
      <w:r w:rsidRPr="00C85F0F">
        <w:rPr>
          <w:rFonts w:hint="cs"/>
          <w:rtl/>
        </w:rPr>
        <w:t xml:space="preserve">وجه اندراج </w:t>
      </w:r>
      <w:r w:rsidRPr="00FD3233">
        <w:rPr>
          <w:rFonts w:hint="cs"/>
          <w:rtl/>
        </w:rPr>
        <w:t>الفرع</w:t>
      </w:r>
      <w:r w:rsidRPr="00C85F0F">
        <w:rPr>
          <w:rFonts w:hint="cs"/>
          <w:rtl/>
        </w:rPr>
        <w:t xml:space="preserve"> تحت القاعدة:</w:t>
      </w:r>
    </w:p>
    <w:p w:rsidR="0038004C" w:rsidRPr="00C85F0F" w:rsidRDefault="0038004C" w:rsidP="00597C20">
      <w:pPr>
        <w:ind w:firstLine="720"/>
        <w:rPr>
          <w:color w:val="auto"/>
          <w:rtl/>
        </w:rPr>
      </w:pPr>
      <w:r w:rsidRPr="00C85F0F">
        <w:rPr>
          <w:rFonts w:hint="cs"/>
          <w:color w:val="auto"/>
          <w:rtl/>
        </w:rPr>
        <w:t>عدم صحة بيع كل من الكلب والميتة والمرهون والموقوف مبنيٌّ على عدم صحة بيعها؛ لأن كل ما لا يصح بيعه لا يصح قرضه</w:t>
      </w:r>
      <w:r w:rsidRPr="00C85F0F">
        <w:rPr>
          <w:rStyle w:val="af1"/>
          <w:szCs w:val="32"/>
          <w:rtl/>
        </w:rPr>
        <w:t>(</w:t>
      </w:r>
      <w:r w:rsidRPr="00C85F0F">
        <w:rPr>
          <w:rStyle w:val="af1"/>
          <w:szCs w:val="32"/>
          <w:rtl/>
        </w:rPr>
        <w:footnoteReference w:id="2112"/>
      </w:r>
      <w:r w:rsidRPr="00C85F0F">
        <w:rPr>
          <w:rStyle w:val="af1"/>
          <w:szCs w:val="32"/>
          <w:rtl/>
        </w:rPr>
        <w:t>)</w:t>
      </w:r>
      <w:r w:rsidRPr="00C85F0F">
        <w:rPr>
          <w:rFonts w:hint="cs"/>
          <w:color w:val="auto"/>
          <w:rtl/>
        </w:rPr>
        <w:t>.</w:t>
      </w:r>
    </w:p>
    <w:p w:rsidR="0038004C" w:rsidRPr="00C85F0F" w:rsidRDefault="0038004C" w:rsidP="000A76C7">
      <w:pPr>
        <w:pStyle w:val="afc"/>
        <w:widowControl/>
        <w:numPr>
          <w:ilvl w:val="0"/>
          <w:numId w:val="290"/>
        </w:numPr>
        <w:autoSpaceDE w:val="0"/>
        <w:autoSpaceDN w:val="0"/>
        <w:adjustRightInd w:val="0"/>
        <w:rPr>
          <w:rFonts w:ascii="Traditional Arabic" w:hAnsi="Traditional Arabic"/>
          <w:noProof w:val="0"/>
          <w:color w:val="auto"/>
          <w:rtl/>
          <w:lang w:eastAsia="en-US"/>
        </w:rPr>
      </w:pPr>
      <w:r w:rsidRPr="00C85F0F">
        <w:rPr>
          <w:rFonts w:ascii="Traditional Arabic" w:hAnsi="Traditional Arabic"/>
          <w:noProof w:val="0"/>
          <w:rtl/>
          <w:lang w:eastAsia="en-US"/>
        </w:rPr>
        <w:t>بيع المنافع جائز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أما إقراضها، فالمذهب </w:t>
      </w:r>
      <w:r w:rsidRPr="00C85F0F">
        <w:rPr>
          <w:rFonts w:ascii="Traditional Arabic" w:hAnsi="Traditional Arabic" w:hint="cs"/>
          <w:noProof w:val="0"/>
          <w:rtl/>
          <w:lang w:eastAsia="en-US"/>
        </w:rPr>
        <w:t xml:space="preserve">أنه </w:t>
      </w:r>
      <w:r w:rsidRPr="00C85F0F">
        <w:rPr>
          <w:rFonts w:ascii="Traditional Arabic" w:hAnsi="Traditional Arabic"/>
          <w:noProof w:val="0"/>
          <w:rtl/>
          <w:lang w:eastAsia="en-US"/>
        </w:rPr>
        <w:t>لا يجوز</w:t>
      </w:r>
      <w:r w:rsidRPr="00C85F0F">
        <w:rPr>
          <w:rStyle w:val="af1"/>
          <w:szCs w:val="32"/>
          <w:rtl/>
        </w:rPr>
        <w:t>(</w:t>
      </w:r>
      <w:r w:rsidRPr="00C85F0F">
        <w:rPr>
          <w:rStyle w:val="af1"/>
          <w:szCs w:val="32"/>
          <w:rtl/>
        </w:rPr>
        <w:footnoteReference w:id="2113"/>
      </w:r>
      <w:r w:rsidRPr="00C85F0F">
        <w:rPr>
          <w:rStyle w:val="af1"/>
          <w:szCs w:val="32"/>
          <w:rtl/>
        </w:rPr>
        <w:t>)</w:t>
      </w:r>
      <w:r w:rsidRPr="00C85F0F">
        <w:rPr>
          <w:rFonts w:ascii="Traditional Arabic" w:hAnsi="Traditional Arabic"/>
          <w:noProof w:val="0"/>
          <w:rtl/>
          <w:lang w:eastAsia="en-US"/>
        </w:rPr>
        <w:t>، واختار شيخ الإسلام جواز ذلك</w:t>
      </w:r>
      <w:r w:rsidRPr="00C85F0F">
        <w:rPr>
          <w:rStyle w:val="af1"/>
          <w:szCs w:val="32"/>
          <w:rtl/>
        </w:rPr>
        <w:t>(</w:t>
      </w:r>
      <w:r w:rsidRPr="00C85F0F">
        <w:rPr>
          <w:rStyle w:val="af1"/>
          <w:szCs w:val="32"/>
          <w:rtl/>
        </w:rPr>
        <w:footnoteReference w:id="2114"/>
      </w:r>
      <w:r w:rsidRPr="00C85F0F">
        <w:rPr>
          <w:rStyle w:val="af1"/>
          <w:szCs w:val="32"/>
          <w:rtl/>
        </w:rPr>
        <w:t>)</w:t>
      </w:r>
      <w:r w:rsidRPr="00C85F0F">
        <w:rPr>
          <w:rFonts w:ascii="Traditional Arabic" w:hAnsi="Traditional Arabic" w:hint="cs"/>
          <w:noProof w:val="0"/>
          <w:rtl/>
          <w:lang w:eastAsia="en-US"/>
        </w:rPr>
        <w:t>، مثاله</w:t>
      </w:r>
      <w:r w:rsidRPr="00C85F0F">
        <w:rPr>
          <w:rFonts w:ascii="Traditional Arabic" w:hAnsi="Traditional Arabic"/>
          <w:noProof w:val="0"/>
          <w:rtl/>
          <w:lang w:eastAsia="en-US"/>
        </w:rPr>
        <w:t xml:space="preserve"> أن أقول: أ</w:t>
      </w:r>
      <w:r w:rsidR="00F9281A">
        <w:rPr>
          <w:rFonts w:ascii="Traditional Arabic" w:hAnsi="Traditional Arabic" w:hint="cs"/>
          <w:noProof w:val="0"/>
          <w:rtl/>
          <w:lang w:eastAsia="en-US"/>
        </w:rPr>
        <w:t>َ</w:t>
      </w:r>
      <w:r w:rsidRPr="00C85F0F">
        <w:rPr>
          <w:rFonts w:ascii="Traditional Arabic" w:hAnsi="Traditional Arabic"/>
          <w:noProof w:val="0"/>
          <w:rtl/>
          <w:lang w:eastAsia="en-US"/>
        </w:rPr>
        <w:t>ق</w:t>
      </w:r>
      <w:r w:rsidR="00F9281A">
        <w:rPr>
          <w:rFonts w:ascii="Traditional Arabic" w:hAnsi="Traditional Arabic" w:hint="cs"/>
          <w:noProof w:val="0"/>
          <w:rtl/>
          <w:lang w:eastAsia="en-US"/>
        </w:rPr>
        <w:t>ْ</w:t>
      </w:r>
      <w:r w:rsidRPr="00C85F0F">
        <w:rPr>
          <w:rFonts w:ascii="Traditional Arabic" w:hAnsi="Traditional Arabic"/>
          <w:noProof w:val="0"/>
          <w:rtl/>
          <w:lang w:eastAsia="en-US"/>
        </w:rPr>
        <w:t>ر</w:t>
      </w:r>
      <w:r w:rsidR="00F9281A">
        <w:rPr>
          <w:rFonts w:ascii="Traditional Arabic" w:hAnsi="Traditional Arabic" w:hint="cs"/>
          <w:noProof w:val="0"/>
          <w:rtl/>
          <w:lang w:eastAsia="en-US"/>
        </w:rPr>
        <w:t>ِ</w:t>
      </w:r>
      <w:r w:rsidRPr="00C85F0F">
        <w:rPr>
          <w:rFonts w:ascii="Traditional Arabic" w:hAnsi="Traditional Arabic"/>
          <w:noProof w:val="0"/>
          <w:rtl/>
          <w:lang w:eastAsia="en-US"/>
        </w:rPr>
        <w:t>ضني نفس</w:t>
      </w:r>
      <w:r w:rsidR="00F9281A">
        <w:rPr>
          <w:rFonts w:ascii="Traditional Arabic" w:hAnsi="Traditional Arabic" w:hint="cs"/>
          <w:noProof w:val="0"/>
          <w:rtl/>
          <w:lang w:eastAsia="en-US"/>
        </w:rPr>
        <w:t>َ</w:t>
      </w:r>
      <w:r w:rsidRPr="00C85F0F">
        <w:rPr>
          <w:rFonts w:ascii="Traditional Arabic" w:hAnsi="Traditional Arabic"/>
          <w:noProof w:val="0"/>
          <w:rtl/>
          <w:lang w:eastAsia="en-US"/>
        </w:rPr>
        <w:t>ك اليوم لتساعدني على الحصاد وغدا أوف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يك، أي: أحصد</w:t>
      </w:r>
      <w:r w:rsidR="008366F0">
        <w:rPr>
          <w:rFonts w:ascii="Traditional Arabic" w:hAnsi="Traditional Arabic"/>
          <w:noProof w:val="0"/>
          <w:rtl/>
          <w:lang w:eastAsia="en-US"/>
        </w:rPr>
        <w:t xml:space="preserve"> معك، وهذا </w:t>
      </w:r>
      <w:r w:rsidR="00F9281A">
        <w:rPr>
          <w:rFonts w:ascii="Traditional Arabic" w:hAnsi="Traditional Arabic" w:hint="cs"/>
          <w:noProof w:val="0"/>
          <w:rtl/>
          <w:lang w:eastAsia="en-US"/>
        </w:rPr>
        <w:t xml:space="preserve">القول </w:t>
      </w:r>
      <w:r w:rsidR="008366F0">
        <w:rPr>
          <w:rFonts w:ascii="Traditional Arabic" w:hAnsi="Traditional Arabic"/>
          <w:noProof w:val="0"/>
          <w:rtl/>
          <w:lang w:eastAsia="en-US"/>
        </w:rPr>
        <w:t>هو الصحيح</w:t>
      </w:r>
      <w:r w:rsidR="008366F0">
        <w:rPr>
          <w:rFonts w:ascii="Traditional Arabic" w:hAnsi="Traditional Arabic" w:hint="cs"/>
          <w:noProof w:val="0"/>
          <w:rtl/>
          <w:lang w:eastAsia="en-US"/>
        </w:rPr>
        <w:t>؛</w:t>
      </w:r>
      <w:r w:rsidRPr="00C85F0F">
        <w:rPr>
          <w:rFonts w:ascii="Traditional Arabic" w:hAnsi="Traditional Arabic"/>
          <w:noProof w:val="0"/>
          <w:rtl/>
          <w:lang w:eastAsia="en-US"/>
        </w:rPr>
        <w:t xml:space="preserve"> لوجهين:</w:t>
      </w:r>
    </w:p>
    <w:p w:rsidR="0038004C" w:rsidRPr="00C85F0F" w:rsidRDefault="0038004C" w:rsidP="00597C20">
      <w:pPr>
        <w:pStyle w:val="afc"/>
        <w:widowControl/>
        <w:autoSpaceDE w:val="0"/>
        <w:autoSpaceDN w:val="0"/>
        <w:adjustRightInd w:val="0"/>
        <w:ind w:left="1080" w:firstLine="0"/>
        <w:jc w:val="left"/>
        <w:rPr>
          <w:rFonts w:ascii="Traditional Arabic" w:hAnsi="Traditional Arabic"/>
          <w:noProof w:val="0"/>
          <w:rtl/>
          <w:lang w:eastAsia="en-US"/>
        </w:rPr>
      </w:pPr>
      <w:r w:rsidRPr="00C85F0F">
        <w:rPr>
          <w:rFonts w:ascii="Traditional Arabic" w:hAnsi="Traditional Arabic"/>
          <w:noProof w:val="0"/>
          <w:rtl/>
          <w:lang w:eastAsia="en-US"/>
        </w:rPr>
        <w:lastRenderedPageBreak/>
        <w:t>أولا : أن الأصل في المعاملات الإباحة.</w:t>
      </w:r>
    </w:p>
    <w:p w:rsidR="0038004C" w:rsidRPr="00C85F0F" w:rsidRDefault="0038004C" w:rsidP="00597C20">
      <w:pPr>
        <w:pStyle w:val="afc"/>
        <w:ind w:left="1080" w:firstLine="0"/>
        <w:rPr>
          <w:color w:val="auto"/>
          <w:rtl/>
        </w:rPr>
      </w:pPr>
      <w:r w:rsidRPr="00C85F0F">
        <w:rPr>
          <w:rFonts w:ascii="Traditional Arabic" w:hAnsi="Traditional Arabic"/>
          <w:noProof w:val="0"/>
          <w:rtl/>
          <w:lang w:eastAsia="en-US"/>
        </w:rPr>
        <w:t>ثانيا : أن المنافع تجوز المعاوضة عنها، فإذا كانت تجوز المعاوضة عنها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فإنه يجوز إقراضها</w:t>
      </w:r>
      <w:r w:rsidRPr="00C85F0F">
        <w:rPr>
          <w:rStyle w:val="af1"/>
          <w:szCs w:val="32"/>
          <w:rtl/>
        </w:rPr>
        <w:t>(</w:t>
      </w:r>
      <w:r w:rsidRPr="00C85F0F">
        <w:rPr>
          <w:rStyle w:val="af1"/>
          <w:szCs w:val="32"/>
          <w:rtl/>
        </w:rPr>
        <w:footnoteReference w:id="2115"/>
      </w:r>
      <w:r w:rsidRPr="00C85F0F">
        <w:rPr>
          <w:rStyle w:val="af1"/>
          <w:szCs w:val="32"/>
          <w:rtl/>
        </w:rPr>
        <w:t>)</w:t>
      </w:r>
      <w:r w:rsidRPr="00C85F0F">
        <w:rPr>
          <w:rFonts w:hint="cs"/>
          <w:color w:val="auto"/>
          <w:rtl/>
        </w:rPr>
        <w:t>.</w:t>
      </w:r>
    </w:p>
    <w:p w:rsidR="0038004C" w:rsidRPr="00C85F0F" w:rsidRDefault="0038004C" w:rsidP="00FD3233">
      <w:pPr>
        <w:pStyle w:val="53"/>
        <w:rPr>
          <w:rtl/>
        </w:rPr>
      </w:pPr>
      <w:r w:rsidRPr="00C85F0F">
        <w:rPr>
          <w:rFonts w:hint="cs"/>
          <w:rtl/>
        </w:rPr>
        <w:t xml:space="preserve">وجه اندراج </w:t>
      </w:r>
      <w:r w:rsidRPr="00FD3233">
        <w:rPr>
          <w:rFonts w:hint="cs"/>
          <w:rtl/>
        </w:rPr>
        <w:t>الفرع</w:t>
      </w:r>
      <w:r w:rsidRPr="00C85F0F">
        <w:rPr>
          <w:rFonts w:hint="cs"/>
          <w:rtl/>
        </w:rPr>
        <w:t xml:space="preserve"> تحت الضابط:</w:t>
      </w:r>
    </w:p>
    <w:p w:rsidR="0038004C" w:rsidRPr="00C85F0F" w:rsidRDefault="0038004C" w:rsidP="00597C20">
      <w:pPr>
        <w:ind w:firstLine="720"/>
        <w:rPr>
          <w:color w:val="auto"/>
          <w:rtl/>
        </w:rPr>
      </w:pPr>
      <w:r w:rsidRPr="00C85F0F">
        <w:rPr>
          <w:rFonts w:hint="cs"/>
          <w:color w:val="auto"/>
          <w:rtl/>
        </w:rPr>
        <w:t>يندرج هذا الفرع تحت الضابط على القول الذي رجحه شيخ الإسلام والشيخ ابن عثيمين</w:t>
      </w:r>
      <w:r w:rsidR="008366F0">
        <w:rPr>
          <w:rFonts w:hint="cs"/>
          <w:color w:val="auto"/>
          <w:rtl/>
        </w:rPr>
        <w:t>_</w:t>
      </w:r>
      <w:r w:rsidRPr="00C85F0F">
        <w:rPr>
          <w:rFonts w:hint="cs"/>
          <w:color w:val="auto"/>
          <w:rtl/>
        </w:rPr>
        <w:t xml:space="preserve"> رحمة الله عليهما</w:t>
      </w:r>
      <w:r w:rsidR="008366F0">
        <w:rPr>
          <w:rFonts w:hint="cs"/>
          <w:color w:val="auto"/>
          <w:rtl/>
        </w:rPr>
        <w:t>_</w:t>
      </w:r>
      <w:r w:rsidRPr="00C85F0F">
        <w:rPr>
          <w:rFonts w:hint="cs"/>
          <w:color w:val="auto"/>
          <w:rtl/>
        </w:rPr>
        <w:t>، بناءً على أن المنافع يصح بيعها، وأن كل ما صح بيعه صح قرضه.</w:t>
      </w:r>
    </w:p>
    <w:p w:rsidR="0038004C" w:rsidRDefault="0038004C" w:rsidP="000A76C7">
      <w:pPr>
        <w:pStyle w:val="afc"/>
        <w:numPr>
          <w:ilvl w:val="0"/>
          <w:numId w:val="290"/>
        </w:numPr>
        <w:rPr>
          <w:color w:val="auto"/>
        </w:rPr>
      </w:pPr>
      <w:r w:rsidRPr="00C85F0F">
        <w:rPr>
          <w:rFonts w:ascii="Traditional Arabic" w:hAnsi="Traditional Arabic" w:hint="cs"/>
          <w:noProof w:val="0"/>
          <w:rtl/>
          <w:lang w:eastAsia="en-US"/>
        </w:rPr>
        <w:t>يجوز قرض</w:t>
      </w:r>
      <w:r w:rsidRPr="00C85F0F">
        <w:rPr>
          <w:rFonts w:ascii="Traditional Arabic" w:hAnsi="Traditional Arabic"/>
          <w:noProof w:val="0"/>
          <w:rtl/>
          <w:lang w:eastAsia="en-US"/>
        </w:rPr>
        <w:t xml:space="preserve"> الحيوان كالخيل والبقر والح</w:t>
      </w:r>
      <w:r w:rsidR="00F9281A">
        <w:rPr>
          <w:rFonts w:ascii="Traditional Arabic" w:hAnsi="Traditional Arabic" w:hint="cs"/>
          <w:noProof w:val="0"/>
          <w:rtl/>
          <w:lang w:eastAsia="en-US"/>
        </w:rPr>
        <w:t>ُ</w:t>
      </w:r>
      <w:r w:rsidRPr="00C85F0F">
        <w:rPr>
          <w:rFonts w:ascii="Traditional Arabic" w:hAnsi="Traditional Arabic"/>
          <w:noProof w:val="0"/>
          <w:rtl/>
          <w:lang w:eastAsia="en-US"/>
        </w:rPr>
        <w:t>م</w:t>
      </w:r>
      <w:r w:rsidR="00F9281A">
        <w:rPr>
          <w:rFonts w:ascii="Traditional Arabic" w:hAnsi="Traditional Arabic" w:hint="cs"/>
          <w:noProof w:val="0"/>
          <w:rtl/>
          <w:lang w:eastAsia="en-US"/>
        </w:rPr>
        <w:t>ُ</w:t>
      </w:r>
      <w:r w:rsidR="00F9281A">
        <w:rPr>
          <w:rFonts w:ascii="Traditional Arabic" w:hAnsi="Traditional Arabic"/>
          <w:noProof w:val="0"/>
          <w:rtl/>
          <w:lang w:eastAsia="en-US"/>
        </w:rPr>
        <w:t>ر والغنم وغيره</w:t>
      </w:r>
      <w:r w:rsidR="00F9281A">
        <w:rPr>
          <w:rFonts w:ascii="Traditional Arabic" w:hAnsi="Traditional Arabic" w:hint="cs"/>
          <w:noProof w:val="0"/>
          <w:rtl/>
          <w:lang w:eastAsia="en-US"/>
        </w:rPr>
        <w:t>ا</w:t>
      </w:r>
      <w:r w:rsidRPr="00C85F0F">
        <w:rPr>
          <w:rFonts w:ascii="Traditional Arabic" w:hAnsi="Traditional Arabic"/>
          <w:noProof w:val="0"/>
          <w:rtl/>
          <w:lang w:eastAsia="en-US"/>
        </w:rPr>
        <w:t xml:space="preserve">؛ لأن النبي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noProof w:val="0"/>
          <w:rtl/>
          <w:lang w:eastAsia="en-US"/>
        </w:rPr>
        <w:t xml:space="preserve"> استسلف 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را</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2116"/>
      </w:r>
      <w:r w:rsidRPr="00C85F0F">
        <w:rPr>
          <w:rStyle w:val="af1"/>
          <w:szCs w:val="32"/>
          <w:rtl/>
        </w:rPr>
        <w:t>)</w:t>
      </w:r>
      <w:r w:rsidRPr="00C85F0F">
        <w:rPr>
          <w:rFonts w:ascii="Traditional Arabic" w:hAnsi="Traditional Arabic"/>
          <w:noProof w:val="0"/>
          <w:rtl/>
          <w:lang w:eastAsia="en-US"/>
        </w:rPr>
        <w:t xml:space="preserve"> ورد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خيرا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منه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وقال: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خيركم أحسنكم قضا</w:t>
      </w:r>
      <w:r w:rsidRPr="00C85F0F">
        <w:rPr>
          <w:rFonts w:ascii="Traditional Arabic" w:hAnsi="Traditional Arabic" w:hint="cs"/>
          <w:noProof w:val="0"/>
          <w:rtl/>
          <w:lang w:eastAsia="en-US"/>
        </w:rPr>
        <w:t>ء</w:t>
      </w:r>
      <w:r w:rsidR="00AB0B9E" w:rsidRPr="00C85F0F">
        <w:rPr>
          <w:rFonts w:ascii="Traditional Arabic" w:hAnsi="Traditional Arabic"/>
          <w:noProof w:val="0"/>
          <w:lang w:eastAsia="en-US"/>
        </w:rPr>
        <w:fldChar w:fldCharType="begin"/>
      </w:r>
      <w:r w:rsidR="00311F3B" w:rsidRPr="00C85F0F">
        <w:rPr>
          <w:rFonts w:ascii="Traditional Arabic" w:hAnsi="Traditional Arabic"/>
          <w:noProof w:val="0"/>
          <w:lang w:eastAsia="en-US"/>
        </w:rPr>
        <w:instrText>XE</w:instrText>
      </w:r>
      <w:r w:rsidR="00311F3B" w:rsidRPr="00C85F0F">
        <w:rPr>
          <w:rFonts w:ascii="Traditional Arabic" w:hAnsi="Traditional Arabic"/>
          <w:noProof w:val="0"/>
          <w:rtl/>
          <w:lang w:eastAsia="en-US"/>
        </w:rPr>
        <w:instrText xml:space="preserve"> "إن خ</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يار الناس أحسن</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هم قضاء</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 \</w:instrText>
      </w:r>
      <w:r w:rsidR="00311F3B" w:rsidRPr="00C85F0F">
        <w:rPr>
          <w:rFonts w:ascii="Traditional Arabic" w:hAnsi="Traditional Arabic"/>
          <w:noProof w:val="0"/>
          <w:lang w:eastAsia="en-US"/>
        </w:rPr>
        <w:instrText>fh</w:instrText>
      </w:r>
      <w:r w:rsidR="00AB0B9E" w:rsidRPr="00C85F0F">
        <w:rPr>
          <w:rFonts w:ascii="Traditional Arabic" w:hAnsi="Traditional Arabic"/>
          <w:noProof w:val="0"/>
          <w:lang w:eastAsia="en-US"/>
        </w:rPr>
        <w:fldChar w:fldCharType="end"/>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2117"/>
      </w:r>
      <w:r w:rsidRPr="00C821A1">
        <w:rPr>
          <w:rStyle w:val="af1"/>
          <w:szCs w:val="32"/>
          <w:rtl/>
        </w:rPr>
        <w:t>)</w:t>
      </w:r>
      <w:r w:rsidRPr="00D351CA">
        <w:rPr>
          <w:rFonts w:ascii="Traditional Arabic" w:hAnsi="Traditional Arabic"/>
          <w:noProof w:val="0"/>
          <w:rtl/>
          <w:lang w:eastAsia="en-US"/>
        </w:rPr>
        <w:t>، وعلى هذا يجوز للإنسان إذا نزل به ضيف</w:t>
      </w:r>
      <w:r>
        <w:rPr>
          <w:rFonts w:ascii="Traditional Arabic" w:hAnsi="Traditional Arabic" w:hint="cs"/>
          <w:noProof w:val="0"/>
          <w:rtl/>
          <w:lang w:eastAsia="en-US"/>
        </w:rPr>
        <w:t>ٌ</w:t>
      </w:r>
      <w:r w:rsidR="008366F0">
        <w:rPr>
          <w:rFonts w:ascii="Traditional Arabic" w:hAnsi="Traditional Arabic" w:hint="cs"/>
          <w:noProof w:val="0"/>
          <w:rtl/>
          <w:lang w:eastAsia="en-US"/>
        </w:rPr>
        <w:t xml:space="preserve"> </w:t>
      </w:r>
      <w:r>
        <w:rPr>
          <w:rFonts w:ascii="Traditional Arabic" w:hAnsi="Traditional Arabic" w:hint="cs"/>
          <w:noProof w:val="0"/>
          <w:rtl/>
          <w:lang w:eastAsia="en-US"/>
        </w:rPr>
        <w:t>أن يأتي</w:t>
      </w:r>
      <w:r>
        <w:rPr>
          <w:rFonts w:ascii="Traditional Arabic" w:hAnsi="Traditional Arabic"/>
          <w:noProof w:val="0"/>
          <w:rtl/>
          <w:lang w:eastAsia="en-US"/>
        </w:rPr>
        <w:t xml:space="preserve"> إلى جار</w:t>
      </w:r>
      <w:r>
        <w:rPr>
          <w:rFonts w:ascii="Traditional Arabic" w:hAnsi="Traditional Arabic" w:hint="cs"/>
          <w:noProof w:val="0"/>
          <w:rtl/>
          <w:lang w:eastAsia="en-US"/>
        </w:rPr>
        <w:t>ِ</w:t>
      </w:r>
      <w:r>
        <w:rPr>
          <w:rFonts w:ascii="Traditional Arabic" w:hAnsi="Traditional Arabic"/>
          <w:noProof w:val="0"/>
          <w:rtl/>
          <w:lang w:eastAsia="en-US"/>
        </w:rPr>
        <w:t xml:space="preserve">ه </w:t>
      </w:r>
      <w:r>
        <w:rPr>
          <w:rFonts w:ascii="Traditional Arabic" w:hAnsi="Traditional Arabic" w:hint="cs"/>
          <w:noProof w:val="0"/>
          <w:rtl/>
          <w:lang w:eastAsia="en-US"/>
        </w:rPr>
        <w:t>ويست</w:t>
      </w:r>
      <w:r>
        <w:rPr>
          <w:rFonts w:ascii="Traditional Arabic" w:hAnsi="Traditional Arabic"/>
          <w:noProof w:val="0"/>
          <w:rtl/>
          <w:lang w:eastAsia="en-US"/>
        </w:rPr>
        <w:t xml:space="preserve">قرض </w:t>
      </w:r>
      <w:r>
        <w:rPr>
          <w:rFonts w:ascii="Traditional Arabic" w:hAnsi="Traditional Arabic" w:hint="cs"/>
          <w:noProof w:val="0"/>
          <w:rtl/>
          <w:lang w:eastAsia="en-US"/>
        </w:rPr>
        <w:t xml:space="preserve">منه </w:t>
      </w:r>
      <w:r>
        <w:rPr>
          <w:rFonts w:ascii="Traditional Arabic" w:hAnsi="Traditional Arabic"/>
          <w:noProof w:val="0"/>
          <w:rtl/>
          <w:lang w:eastAsia="en-US"/>
        </w:rPr>
        <w:t>شاة</w:t>
      </w:r>
      <w:r>
        <w:rPr>
          <w:rFonts w:ascii="Traditional Arabic" w:hAnsi="Traditional Arabic" w:hint="cs"/>
          <w:noProof w:val="0"/>
          <w:rtl/>
          <w:lang w:eastAsia="en-US"/>
        </w:rPr>
        <w:t>ً</w:t>
      </w:r>
      <w:r w:rsidR="008366F0">
        <w:rPr>
          <w:rFonts w:ascii="Traditional Arabic" w:hAnsi="Traditional Arabic" w:hint="cs"/>
          <w:noProof w:val="0"/>
          <w:rtl/>
          <w:lang w:eastAsia="en-US"/>
        </w:rPr>
        <w:t xml:space="preserve"> </w:t>
      </w:r>
      <w:r>
        <w:rPr>
          <w:rFonts w:ascii="Traditional Arabic" w:hAnsi="Traditional Arabic" w:hint="cs"/>
          <w:noProof w:val="0"/>
          <w:rtl/>
          <w:lang w:eastAsia="en-US"/>
        </w:rPr>
        <w:t>ي</w:t>
      </w:r>
      <w:r>
        <w:rPr>
          <w:rFonts w:ascii="Traditional Arabic" w:hAnsi="Traditional Arabic"/>
          <w:noProof w:val="0"/>
          <w:rtl/>
          <w:lang w:eastAsia="en-US"/>
        </w:rPr>
        <w:t>ذبحها للضيف</w:t>
      </w:r>
      <w:r w:rsidRPr="00C821A1">
        <w:rPr>
          <w:rStyle w:val="af1"/>
          <w:szCs w:val="32"/>
          <w:rtl/>
        </w:rPr>
        <w:t>(</w:t>
      </w:r>
      <w:r w:rsidRPr="00C821A1">
        <w:rPr>
          <w:rStyle w:val="af1"/>
          <w:szCs w:val="32"/>
          <w:rtl/>
        </w:rPr>
        <w:footnoteReference w:id="2118"/>
      </w:r>
      <w:r w:rsidRPr="00C821A1">
        <w:rPr>
          <w:rStyle w:val="af1"/>
          <w:szCs w:val="32"/>
          <w:rtl/>
        </w:rPr>
        <w:t>)</w:t>
      </w:r>
      <w:r>
        <w:rPr>
          <w:rFonts w:ascii="Traditional Arabic" w:hAnsi="Traditional Arabic" w:hint="cs"/>
          <w:noProof w:val="0"/>
          <w:rtl/>
          <w:lang w:eastAsia="en-US"/>
        </w:rPr>
        <w:t>.</w:t>
      </w:r>
    </w:p>
    <w:p w:rsidR="0038004C" w:rsidRDefault="0038004C" w:rsidP="00597C20">
      <w:pPr>
        <w:pStyle w:val="53"/>
        <w:rPr>
          <w:rtl/>
        </w:rPr>
      </w:pPr>
      <w:r>
        <w:rPr>
          <w:rFonts w:hint="cs"/>
          <w:rtl/>
        </w:rPr>
        <w:t>وجه اندراج الفرع تحت القاعدة:</w:t>
      </w:r>
    </w:p>
    <w:p w:rsidR="0038004C" w:rsidRDefault="0038004C" w:rsidP="00597C20">
      <w:pPr>
        <w:ind w:firstLine="720"/>
        <w:rPr>
          <w:color w:val="auto"/>
          <w:rtl/>
        </w:rPr>
      </w:pPr>
      <w:r w:rsidRPr="00B36910">
        <w:rPr>
          <w:rFonts w:hint="cs"/>
          <w:color w:val="auto"/>
          <w:rtl/>
        </w:rPr>
        <w:t>لما صح بيع الحيوان صح قرضه؛ لأن كل ما صح بيعه صح قرضه.</w:t>
      </w:r>
    </w:p>
    <w:p w:rsidR="007A6F9A" w:rsidRDefault="007A6F9A" w:rsidP="00597C20">
      <w:pPr>
        <w:ind w:firstLine="720"/>
        <w:rPr>
          <w:color w:val="auto"/>
          <w:rtl/>
        </w:rPr>
      </w:pPr>
    </w:p>
    <w:p w:rsidR="007A6F9A" w:rsidRPr="007A6F9A" w:rsidRDefault="007A6F9A" w:rsidP="007A6F9A">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7A6F9A" w:rsidRPr="00B36910" w:rsidRDefault="007A6F9A" w:rsidP="00597C20">
      <w:pPr>
        <w:ind w:firstLine="720"/>
        <w:rPr>
          <w:color w:val="auto"/>
          <w:rtl/>
        </w:rPr>
      </w:pPr>
    </w:p>
    <w:p w:rsidR="0038004C" w:rsidRPr="0038004C" w:rsidRDefault="008366F0" w:rsidP="00A8347C">
      <w:pPr>
        <w:pStyle w:val="aff3"/>
        <w:rPr>
          <w:rtl/>
        </w:rPr>
      </w:pPr>
      <w:bookmarkStart w:id="476" w:name="_Toc334046649"/>
      <w:r>
        <w:rPr>
          <w:rFonts w:hint="cs"/>
          <w:rtl/>
        </w:rPr>
        <w:lastRenderedPageBreak/>
        <w:t xml:space="preserve">                                           </w:t>
      </w:r>
      <w:r w:rsidR="0038004C" w:rsidRPr="0038004C">
        <w:rPr>
          <w:rFonts w:hint="cs"/>
          <w:rtl/>
        </w:rPr>
        <w:t>المطلب الرابع</w:t>
      </w:r>
      <w:r w:rsidR="0038004C">
        <w:rPr>
          <w:rFonts w:hint="eastAsia"/>
          <w:rtl/>
        </w:rPr>
        <w:t> :</w:t>
      </w:r>
      <w:r w:rsidR="0038004C">
        <w:rPr>
          <w:rFonts w:hint="cs"/>
          <w:rtl/>
        </w:rPr>
        <w:br/>
      </w:r>
      <w:r>
        <w:rPr>
          <w:rFonts w:hint="cs"/>
          <w:rtl/>
        </w:rPr>
        <w:t xml:space="preserve">         </w:t>
      </w:r>
      <w:r w:rsidR="00B334D1">
        <w:rPr>
          <w:rFonts w:hint="cs"/>
          <w:rtl/>
        </w:rPr>
        <w:t xml:space="preserve">                              </w:t>
      </w:r>
      <w:r w:rsidR="0038004C" w:rsidRPr="0038004C">
        <w:rPr>
          <w:rFonts w:hint="cs"/>
          <w:rtl/>
        </w:rPr>
        <w:t>م</w:t>
      </w:r>
      <w:r w:rsidR="00B334D1">
        <w:rPr>
          <w:rFonts w:hint="cs"/>
          <w:rtl/>
        </w:rPr>
        <w:t>ا يستثنى</w:t>
      </w:r>
      <w:r w:rsidR="0038004C" w:rsidRPr="0038004C">
        <w:rPr>
          <w:rFonts w:hint="cs"/>
          <w:rtl/>
        </w:rPr>
        <w:t xml:space="preserve"> </w:t>
      </w:r>
      <w:r w:rsidR="00B334D1">
        <w:rPr>
          <w:rFonts w:hint="cs"/>
          <w:rtl/>
        </w:rPr>
        <w:t xml:space="preserve">من </w:t>
      </w:r>
      <w:r w:rsidR="0038004C" w:rsidRPr="0038004C">
        <w:rPr>
          <w:rFonts w:hint="cs"/>
          <w:rtl/>
        </w:rPr>
        <w:t>الضابط</w:t>
      </w:r>
      <w:bookmarkEnd w:id="476"/>
    </w:p>
    <w:p w:rsidR="0038004C" w:rsidRPr="002209E5" w:rsidRDefault="0038004C" w:rsidP="002209E5">
      <w:pPr>
        <w:widowControl/>
        <w:autoSpaceDE w:val="0"/>
        <w:autoSpaceDN w:val="0"/>
        <w:adjustRightInd w:val="0"/>
        <w:ind w:left="360" w:firstLine="0"/>
        <w:rPr>
          <w:rFonts w:ascii="Traditional Arabic" w:hAnsi="Traditional Arabic"/>
          <w:noProof w:val="0"/>
          <w:rtl/>
          <w:lang w:eastAsia="en-US"/>
        </w:rPr>
      </w:pPr>
      <w:r w:rsidRPr="002209E5">
        <w:rPr>
          <w:rFonts w:ascii="Traditional Arabic" w:hAnsi="Traditional Arabic" w:hint="cs"/>
          <w:noProof w:val="0"/>
          <w:rtl/>
          <w:lang w:eastAsia="en-US"/>
        </w:rPr>
        <w:t>يصح بيع المماليك</w:t>
      </w:r>
      <w:r w:rsidRPr="002209E5">
        <w:rPr>
          <w:rFonts w:ascii="Traditional Arabic" w:hAnsi="Traditional Arabic"/>
          <w:noProof w:val="0"/>
          <w:rtl/>
          <w:lang w:eastAsia="en-US"/>
        </w:rPr>
        <w:t xml:space="preserve"> ولا يصح قرضهم؛ لأنه لم تجر</w:t>
      </w:r>
      <w:r w:rsidRPr="002209E5">
        <w:rPr>
          <w:rFonts w:ascii="Traditional Arabic" w:hAnsi="Traditional Arabic" w:hint="cs"/>
          <w:noProof w:val="0"/>
          <w:rtl/>
          <w:lang w:eastAsia="en-US"/>
        </w:rPr>
        <w:t>ِ</w:t>
      </w:r>
      <w:r w:rsidRPr="002209E5">
        <w:rPr>
          <w:rFonts w:ascii="Traditional Arabic" w:hAnsi="Traditional Arabic"/>
          <w:noProof w:val="0"/>
          <w:rtl/>
          <w:lang w:eastAsia="en-US"/>
        </w:rPr>
        <w:t xml:space="preserve"> العادة بذلك، ولما ف</w:t>
      </w:r>
      <w:r w:rsidRPr="002209E5">
        <w:rPr>
          <w:rFonts w:ascii="Traditional Arabic" w:hAnsi="Traditional Arabic" w:hint="cs"/>
          <w:noProof w:val="0"/>
          <w:rtl/>
          <w:lang w:eastAsia="en-US"/>
        </w:rPr>
        <w:t>يه</w:t>
      </w:r>
      <w:r w:rsidRPr="002209E5">
        <w:rPr>
          <w:rFonts w:ascii="Traditional Arabic" w:hAnsi="Traditional Arabic"/>
          <w:noProof w:val="0"/>
          <w:rtl/>
          <w:lang w:eastAsia="en-US"/>
        </w:rPr>
        <w:t xml:space="preserve"> من الإذلال للمسلم؛ ولأنه ي</w:t>
      </w:r>
      <w:r w:rsidRPr="002209E5">
        <w:rPr>
          <w:rFonts w:ascii="Traditional Arabic" w:hAnsi="Traditional Arabic" w:hint="cs"/>
          <w:noProof w:val="0"/>
          <w:rtl/>
          <w:lang w:eastAsia="en-US"/>
        </w:rPr>
        <w:t>ُ</w:t>
      </w:r>
      <w:r w:rsidRPr="002209E5">
        <w:rPr>
          <w:rFonts w:ascii="Traditional Arabic" w:hAnsi="Traditional Arabic"/>
          <w:noProof w:val="0"/>
          <w:rtl/>
          <w:lang w:eastAsia="en-US"/>
        </w:rPr>
        <w:t>خشى من الفتنة والفساد، في</w:t>
      </w:r>
      <w:r w:rsidRPr="002209E5">
        <w:rPr>
          <w:rFonts w:ascii="Traditional Arabic" w:hAnsi="Traditional Arabic" w:hint="cs"/>
          <w:noProof w:val="0"/>
          <w:rtl/>
          <w:lang w:eastAsia="en-US"/>
        </w:rPr>
        <w:t>ُ</w:t>
      </w:r>
      <w:r w:rsidRPr="002209E5">
        <w:rPr>
          <w:rFonts w:ascii="Traditional Arabic" w:hAnsi="Traditional Arabic"/>
          <w:noProof w:val="0"/>
          <w:rtl/>
          <w:lang w:eastAsia="en-US"/>
        </w:rPr>
        <w:t>خشى أن يقترض الإنسان أ</w:t>
      </w:r>
      <w:r w:rsidRPr="002209E5">
        <w:rPr>
          <w:rFonts w:ascii="Traditional Arabic" w:hAnsi="Traditional Arabic" w:hint="cs"/>
          <w:noProof w:val="0"/>
          <w:rtl/>
          <w:lang w:eastAsia="en-US"/>
        </w:rPr>
        <w:t>َ</w:t>
      </w:r>
      <w:r w:rsidRPr="002209E5">
        <w:rPr>
          <w:rFonts w:ascii="Traditional Arabic" w:hAnsi="Traditional Arabic"/>
          <w:noProof w:val="0"/>
          <w:rtl/>
          <w:lang w:eastAsia="en-US"/>
        </w:rPr>
        <w:t>مة</w:t>
      </w:r>
      <w:r w:rsidRPr="002209E5">
        <w:rPr>
          <w:rFonts w:ascii="Traditional Arabic" w:hAnsi="Traditional Arabic" w:hint="cs"/>
          <w:noProof w:val="0"/>
          <w:rtl/>
          <w:lang w:eastAsia="en-US"/>
        </w:rPr>
        <w:t>ً</w:t>
      </w:r>
      <w:r w:rsidRPr="002209E5">
        <w:rPr>
          <w:rFonts w:ascii="Traditional Arabic" w:hAnsi="Traditional Arabic"/>
          <w:noProof w:val="0"/>
          <w:rtl/>
          <w:lang w:eastAsia="en-US"/>
        </w:rPr>
        <w:t xml:space="preserve"> ثم يجامعها لمدة أيام ثم يرد</w:t>
      </w:r>
      <w:r w:rsidRPr="002209E5">
        <w:rPr>
          <w:rFonts w:ascii="Traditional Arabic" w:hAnsi="Traditional Arabic" w:hint="cs"/>
          <w:noProof w:val="0"/>
          <w:rtl/>
          <w:lang w:eastAsia="en-US"/>
        </w:rPr>
        <w:t>َّ</w:t>
      </w:r>
      <w:r w:rsidRPr="002209E5">
        <w:rPr>
          <w:rFonts w:ascii="Traditional Arabic" w:hAnsi="Traditional Arabic"/>
          <w:noProof w:val="0"/>
          <w:rtl/>
          <w:lang w:eastAsia="en-US"/>
        </w:rPr>
        <w:t>ها؛ لأن الإنسان إذا رد</w:t>
      </w:r>
      <w:r w:rsidRPr="002209E5">
        <w:rPr>
          <w:rFonts w:ascii="Traditional Arabic" w:hAnsi="Traditional Arabic" w:hint="cs"/>
          <w:noProof w:val="0"/>
          <w:rtl/>
          <w:lang w:eastAsia="en-US"/>
        </w:rPr>
        <w:t>َّ</w:t>
      </w:r>
      <w:r w:rsidRPr="002209E5">
        <w:rPr>
          <w:rFonts w:ascii="Traditional Arabic" w:hAnsi="Traditional Arabic"/>
          <w:noProof w:val="0"/>
          <w:rtl/>
          <w:lang w:eastAsia="en-US"/>
        </w:rPr>
        <w:t>القرض، وجب قبول عينه</w:t>
      </w:r>
      <w:r w:rsidRPr="002209E5">
        <w:rPr>
          <w:rStyle w:val="af1"/>
          <w:szCs w:val="32"/>
          <w:rtl/>
        </w:rPr>
        <w:t>(</w:t>
      </w:r>
      <w:r w:rsidRPr="00C821A1">
        <w:rPr>
          <w:rStyle w:val="af1"/>
          <w:szCs w:val="32"/>
          <w:rtl/>
        </w:rPr>
        <w:footnoteReference w:id="2119"/>
      </w:r>
      <w:r w:rsidRPr="002209E5">
        <w:rPr>
          <w:rStyle w:val="af1"/>
          <w:szCs w:val="32"/>
          <w:rtl/>
        </w:rPr>
        <w:t>)</w:t>
      </w:r>
      <w:r w:rsidRPr="002209E5">
        <w:rPr>
          <w:rFonts w:ascii="Traditional Arabic" w:hAnsi="Traditional Arabic" w:hint="cs"/>
          <w:noProof w:val="0"/>
          <w:rtl/>
          <w:lang w:eastAsia="en-US"/>
        </w:rPr>
        <w:t>.</w:t>
      </w:r>
    </w:p>
    <w:p w:rsidR="0038004C" w:rsidRPr="00C85F0F" w:rsidRDefault="00E4746A" w:rsidP="000F5C0F">
      <w:pPr>
        <w:pStyle w:val="aff2"/>
        <w:rPr>
          <w:rtl/>
        </w:rPr>
      </w:pPr>
      <w:bookmarkStart w:id="477" w:name="_Toc334046650"/>
      <w:r w:rsidRPr="00D816CC">
        <w:rPr>
          <w:rFonts w:ascii="Traditional Arabic" w:hAnsi="Traditional Arabic" w:hint="cs"/>
          <w:rtl/>
        </w:rPr>
        <w:lastRenderedPageBreak/>
        <w:t>المبحث الثاني</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38004C">
        <w:rPr>
          <w:rFonts w:hint="cs"/>
          <w:rtl/>
        </w:rPr>
        <w:t>ضابط</w:t>
      </w:r>
      <w:r w:rsidR="0038004C">
        <w:rPr>
          <w:rFonts w:hint="cs"/>
          <w:rtl/>
        </w:rPr>
        <w:br/>
        <w:t>"كل عين يجوز بيعها يجوز رهنها، وما لا فلا</w:t>
      </w:r>
      <w:r w:rsidR="00AB0B9E" w:rsidRPr="00C85F0F">
        <w:rPr>
          <w:rtl/>
        </w:rPr>
        <w:fldChar w:fldCharType="begin"/>
      </w:r>
      <w:r w:rsidR="00945AC4" w:rsidRPr="00C85F0F">
        <w:rPr>
          <w:rFonts w:hint="cs"/>
        </w:rPr>
        <w:instrText>XE</w:instrText>
      </w:r>
      <w:r w:rsidR="00945AC4" w:rsidRPr="00C85F0F">
        <w:rPr>
          <w:rtl/>
        </w:rPr>
        <w:instrText xml:space="preserve"> "</w:instrText>
      </w:r>
      <w:r w:rsidR="00945AC4" w:rsidRPr="00C85F0F">
        <w:rPr>
          <w:rFonts w:hint="cs"/>
          <w:rtl/>
        </w:rPr>
        <w:instrText>كلعينيجوزبيعهايجوزرهنها،ومالافلا</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38004C" w:rsidRPr="00C85F0F">
        <w:rPr>
          <w:rFonts w:hint="cs"/>
          <w:rtl/>
        </w:rPr>
        <w:t>"</w:t>
      </w:r>
      <w:r w:rsidR="0038004C" w:rsidRPr="00C85F0F">
        <w:rPr>
          <w:rStyle w:val="af1"/>
          <w:b w:val="0"/>
          <w:bCs w:val="0"/>
          <w:szCs w:val="32"/>
          <w:rtl/>
        </w:rPr>
        <w:t>(</w:t>
      </w:r>
      <w:r w:rsidR="0038004C" w:rsidRPr="00C85F0F">
        <w:rPr>
          <w:rStyle w:val="af1"/>
          <w:b w:val="0"/>
          <w:bCs w:val="0"/>
          <w:szCs w:val="32"/>
          <w:rtl/>
        </w:rPr>
        <w:footnoteReference w:id="2120"/>
      </w:r>
      <w:r w:rsidR="0038004C" w:rsidRPr="00C85F0F">
        <w:rPr>
          <w:rStyle w:val="af1"/>
          <w:b w:val="0"/>
          <w:bCs w:val="0"/>
          <w:szCs w:val="32"/>
          <w:rtl/>
        </w:rPr>
        <w:t>)</w:t>
      </w:r>
      <w:bookmarkEnd w:id="477"/>
    </w:p>
    <w:p w:rsidR="0038004C" w:rsidRPr="00C85F0F" w:rsidRDefault="007A6F9A" w:rsidP="00A8347C">
      <w:pPr>
        <w:pStyle w:val="aff3"/>
        <w:rPr>
          <w:rtl/>
        </w:rPr>
      </w:pPr>
      <w:bookmarkStart w:id="478" w:name="_Toc334046651"/>
      <w:r>
        <w:rPr>
          <w:rFonts w:hint="cs"/>
          <w:rtl/>
        </w:rPr>
        <w:t xml:space="preserve">                     </w:t>
      </w:r>
      <w:r w:rsidR="008366F0">
        <w:rPr>
          <w:rFonts w:hint="cs"/>
          <w:rtl/>
        </w:rPr>
        <w:t xml:space="preserve">                   </w:t>
      </w:r>
      <w:r w:rsidR="0038004C" w:rsidRPr="00C85F0F">
        <w:rPr>
          <w:rFonts w:hint="cs"/>
          <w:rtl/>
        </w:rPr>
        <w:t>المطلب الأول</w:t>
      </w:r>
      <w:r w:rsidR="00C47867" w:rsidRPr="00C85F0F">
        <w:rPr>
          <w:rFonts w:hint="eastAsia"/>
          <w:rtl/>
        </w:rPr>
        <w:t> :</w:t>
      </w:r>
      <w:r w:rsidR="00C47867" w:rsidRPr="00C85F0F">
        <w:rPr>
          <w:rFonts w:hint="cs"/>
          <w:rtl/>
        </w:rPr>
        <w:br/>
      </w:r>
      <w:r>
        <w:rPr>
          <w:rFonts w:hint="cs"/>
          <w:rtl/>
        </w:rPr>
        <w:t xml:space="preserve">                   </w:t>
      </w:r>
      <w:r w:rsidR="00896593">
        <w:rPr>
          <w:rFonts w:hint="cs"/>
          <w:rtl/>
        </w:rPr>
        <w:t xml:space="preserve">                     </w:t>
      </w:r>
      <w:r w:rsidR="0038004C" w:rsidRPr="00C85F0F">
        <w:rPr>
          <w:rFonts w:hint="cs"/>
          <w:rtl/>
        </w:rPr>
        <w:t>شرح الضابط</w:t>
      </w:r>
      <w:bookmarkEnd w:id="478"/>
    </w:p>
    <w:p w:rsidR="00065E4B" w:rsidRPr="00C85F0F" w:rsidRDefault="0038004C" w:rsidP="00FD3233">
      <w:pPr>
        <w:pStyle w:val="53"/>
        <w:rPr>
          <w:rtl/>
        </w:rPr>
      </w:pPr>
      <w:r w:rsidRPr="00C85F0F">
        <w:rPr>
          <w:rFonts w:hint="cs"/>
          <w:rtl/>
        </w:rPr>
        <w:t xml:space="preserve">معنى </w:t>
      </w:r>
      <w:r w:rsidRPr="00FD3233">
        <w:rPr>
          <w:rFonts w:hint="cs"/>
          <w:rtl/>
        </w:rPr>
        <w:t>الضابط</w:t>
      </w:r>
      <w:r w:rsidRPr="00C85F0F">
        <w:rPr>
          <w:rFonts w:hint="cs"/>
          <w:rtl/>
        </w:rPr>
        <w:t xml:space="preserve"> إجمالا:</w:t>
      </w:r>
    </w:p>
    <w:p w:rsidR="0038004C"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ك</w:t>
      </w:r>
      <w:r w:rsidR="0038004C" w:rsidRPr="00C85F0F">
        <w:rPr>
          <w:rFonts w:ascii="Traditional Arabic" w:hAnsi="Traditional Arabic" w:hint="cs"/>
          <w:noProof w:val="0"/>
          <w:rtl/>
          <w:lang w:eastAsia="en-US"/>
        </w:rPr>
        <w:t>ل ما يصح بيعه يصح رهنه، أما</w:t>
      </w:r>
      <w:r w:rsidR="008366F0">
        <w:rPr>
          <w:rFonts w:ascii="Traditional Arabic" w:hAnsi="Traditional Arabic" w:hint="cs"/>
          <w:noProof w:val="0"/>
          <w:rtl/>
          <w:lang w:eastAsia="en-US"/>
        </w:rPr>
        <w:t xml:space="preserve"> </w:t>
      </w:r>
      <w:r w:rsidR="0038004C" w:rsidRPr="00C85F0F">
        <w:rPr>
          <w:rFonts w:ascii="Traditional Arabic" w:hAnsi="Traditional Arabic" w:hint="cs"/>
          <w:noProof w:val="0"/>
          <w:rtl/>
          <w:lang w:eastAsia="en-US"/>
        </w:rPr>
        <w:t xml:space="preserve">ما </w:t>
      </w:r>
      <w:r w:rsidR="0038004C" w:rsidRPr="00C85F0F">
        <w:rPr>
          <w:rFonts w:ascii="Traditional Arabic" w:hAnsi="Traditional Arabic"/>
          <w:noProof w:val="0"/>
          <w:rtl/>
          <w:lang w:eastAsia="en-US"/>
        </w:rPr>
        <w:t>لا ي</w:t>
      </w:r>
      <w:r w:rsidR="0038004C" w:rsidRPr="00C85F0F">
        <w:rPr>
          <w:rFonts w:ascii="Traditional Arabic" w:hAnsi="Traditional Arabic" w:hint="cs"/>
          <w:noProof w:val="0"/>
          <w:rtl/>
          <w:lang w:eastAsia="en-US"/>
        </w:rPr>
        <w:t>صح</w:t>
      </w:r>
      <w:r w:rsidR="0038004C" w:rsidRPr="00C85F0F">
        <w:rPr>
          <w:rFonts w:ascii="Traditional Arabic" w:hAnsi="Traditional Arabic"/>
          <w:noProof w:val="0"/>
          <w:rtl/>
          <w:lang w:eastAsia="en-US"/>
        </w:rPr>
        <w:t xml:space="preserve"> بيعه </w:t>
      </w:r>
      <w:r w:rsidR="0038004C" w:rsidRPr="00C85F0F">
        <w:rPr>
          <w:rFonts w:ascii="Traditional Arabic" w:hAnsi="Traditional Arabic" w:hint="cs"/>
          <w:noProof w:val="0"/>
          <w:rtl/>
          <w:lang w:eastAsia="en-US"/>
        </w:rPr>
        <w:t>ف</w:t>
      </w:r>
      <w:r w:rsidR="0038004C" w:rsidRPr="00C85F0F">
        <w:rPr>
          <w:rFonts w:ascii="Traditional Arabic" w:hAnsi="Traditional Arabic"/>
          <w:noProof w:val="0"/>
          <w:rtl/>
          <w:lang w:eastAsia="en-US"/>
        </w:rPr>
        <w:t>لا يصح رهنه</w:t>
      </w:r>
      <w:r w:rsidR="0038004C" w:rsidRPr="00C85F0F">
        <w:rPr>
          <w:rFonts w:ascii="Traditional Arabic" w:hAnsi="Traditional Arabic" w:hint="cs"/>
          <w:noProof w:val="0"/>
          <w:rtl/>
          <w:lang w:eastAsia="en-US"/>
        </w:rPr>
        <w:t>؛ لأنه لا تحصُل به توثقة الدين؛ حيث إن صاحب الدين لو أراد أن يبيع الرهن عند حلول الدين ليستوفي حقه لما استطاع؛ لأن</w:t>
      </w:r>
      <w:r w:rsidR="00B334D1">
        <w:rPr>
          <w:rFonts w:ascii="Traditional Arabic" w:hAnsi="Traditional Arabic" w:hint="cs"/>
          <w:noProof w:val="0"/>
          <w:rtl/>
          <w:lang w:eastAsia="en-US"/>
        </w:rPr>
        <w:t xml:space="preserve"> </w:t>
      </w:r>
      <w:r w:rsidR="0038004C" w:rsidRPr="00C85F0F">
        <w:rPr>
          <w:rFonts w:ascii="Traditional Arabic" w:hAnsi="Traditional Arabic" w:hint="cs"/>
          <w:noProof w:val="0"/>
          <w:rtl/>
          <w:lang w:eastAsia="en-US"/>
        </w:rPr>
        <w:t xml:space="preserve">هذا </w:t>
      </w:r>
      <w:r w:rsidR="0038004C" w:rsidRPr="00C85F0F">
        <w:rPr>
          <w:rFonts w:ascii="Traditional Arabic" w:hAnsi="Traditional Arabic"/>
          <w:noProof w:val="0"/>
          <w:rtl/>
          <w:lang w:eastAsia="en-US"/>
        </w:rPr>
        <w:t>الرهن ممنوع</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بيع</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ه</w:t>
      </w:r>
      <w:r w:rsidR="0038004C" w:rsidRPr="00C85F0F">
        <w:rPr>
          <w:rFonts w:ascii="Traditional Arabic" w:hAnsi="Traditional Arabic" w:hint="cs"/>
          <w:noProof w:val="0"/>
          <w:rtl/>
          <w:lang w:eastAsia="en-US"/>
        </w:rPr>
        <w:t xml:space="preserve"> شرعاً،</w:t>
      </w:r>
      <w:r w:rsidR="008366F0">
        <w:rPr>
          <w:rFonts w:ascii="Traditional Arabic" w:hAnsi="Traditional Arabic" w:hint="cs"/>
          <w:noProof w:val="0"/>
          <w:rtl/>
          <w:lang w:eastAsia="en-US"/>
        </w:rPr>
        <w:t xml:space="preserve"> </w:t>
      </w:r>
      <w:r w:rsidR="0038004C" w:rsidRPr="00C85F0F">
        <w:rPr>
          <w:rFonts w:ascii="Traditional Arabic" w:hAnsi="Traditional Arabic" w:hint="cs"/>
          <w:noProof w:val="0"/>
          <w:rtl/>
          <w:lang w:eastAsia="en-US"/>
        </w:rPr>
        <w:t xml:space="preserve">فيكون </w:t>
      </w:r>
      <w:r w:rsidR="0038004C" w:rsidRPr="00C85F0F">
        <w:rPr>
          <w:rFonts w:ascii="Traditional Arabic" w:hAnsi="Traditional Arabic"/>
          <w:noProof w:val="0"/>
          <w:rtl/>
          <w:lang w:eastAsia="en-US"/>
        </w:rPr>
        <w:t>رهن</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ه حينئذ لا فائدة</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من</w:t>
      </w:r>
      <w:r w:rsidR="0038004C" w:rsidRPr="00C85F0F">
        <w:rPr>
          <w:rFonts w:ascii="Traditional Arabic" w:hAnsi="Traditional Arabic" w:hint="cs"/>
          <w:noProof w:val="0"/>
          <w:rtl/>
          <w:lang w:eastAsia="en-US"/>
        </w:rPr>
        <w:t>ه،</w:t>
      </w:r>
      <w:r w:rsidR="0038004C" w:rsidRPr="00C85F0F">
        <w:rPr>
          <w:rFonts w:ascii="Traditional Arabic" w:hAnsi="Traditional Arabic"/>
          <w:noProof w:val="0"/>
          <w:rtl/>
          <w:lang w:eastAsia="en-US"/>
        </w:rPr>
        <w:t xml:space="preserve"> والعقود التي لا فائدة منها كل</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ها لغو</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لا يعتبرها الشارع</w:t>
      </w:r>
      <w:r w:rsidR="0038004C" w:rsidRPr="00C85F0F">
        <w:rPr>
          <w:rStyle w:val="af1"/>
          <w:szCs w:val="32"/>
          <w:rtl/>
        </w:rPr>
        <w:t>(</w:t>
      </w:r>
      <w:r w:rsidR="0038004C" w:rsidRPr="00C85F0F">
        <w:rPr>
          <w:rStyle w:val="af1"/>
          <w:szCs w:val="32"/>
          <w:rtl/>
        </w:rPr>
        <w:footnoteReference w:id="2121"/>
      </w:r>
      <w:r w:rsidR="0038004C" w:rsidRPr="00C85F0F">
        <w:rPr>
          <w:rStyle w:val="af1"/>
          <w:szCs w:val="32"/>
          <w:rtl/>
        </w:rPr>
        <w:t>)</w:t>
      </w:r>
      <w:r w:rsidR="0038004C" w:rsidRPr="00C85F0F">
        <w:rPr>
          <w:rFonts w:ascii="Traditional Arabic" w:hAnsi="Traditional Arabic" w:hint="cs"/>
          <w:noProof w:val="0"/>
          <w:rtl/>
          <w:lang w:eastAsia="en-US"/>
        </w:rPr>
        <w:t>.</w:t>
      </w:r>
    </w:p>
    <w:p w:rsidR="00065E4B" w:rsidRPr="00C85F0F" w:rsidRDefault="008366F0" w:rsidP="00A8347C">
      <w:pPr>
        <w:pStyle w:val="aff3"/>
        <w:rPr>
          <w:rtl/>
        </w:rPr>
      </w:pPr>
      <w:bookmarkStart w:id="479" w:name="_Toc334046652"/>
      <w:r>
        <w:rPr>
          <w:rFonts w:hint="cs"/>
          <w:rtl/>
        </w:rPr>
        <w:t xml:space="preserve">                                       </w:t>
      </w:r>
      <w:r w:rsidR="0038004C" w:rsidRPr="00C85F0F">
        <w:rPr>
          <w:rFonts w:hint="cs"/>
          <w:rtl/>
        </w:rPr>
        <w:t>المطلب الثاني</w:t>
      </w:r>
      <w:r w:rsidR="00C47867" w:rsidRPr="00C85F0F">
        <w:rPr>
          <w:rFonts w:hint="eastAsia"/>
          <w:rtl/>
        </w:rPr>
        <w:t> :</w:t>
      </w:r>
      <w:r w:rsidR="00C47867" w:rsidRPr="00C85F0F">
        <w:rPr>
          <w:rFonts w:hint="cs"/>
          <w:rtl/>
        </w:rPr>
        <w:br/>
      </w:r>
      <w:r>
        <w:rPr>
          <w:rFonts w:hint="cs"/>
          <w:rtl/>
        </w:rPr>
        <w:t xml:space="preserve">                                         </w:t>
      </w:r>
      <w:r w:rsidR="0038004C" w:rsidRPr="00C85F0F">
        <w:rPr>
          <w:rFonts w:hint="cs"/>
          <w:rtl/>
        </w:rPr>
        <w:t>أدلة الضابط</w:t>
      </w:r>
      <w:bookmarkEnd w:id="479"/>
    </w:p>
    <w:p w:rsidR="0038004C" w:rsidRPr="00C85F0F" w:rsidRDefault="00B334D1" w:rsidP="00B334D1">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38004C" w:rsidRPr="00C85F0F">
        <w:rPr>
          <w:rFonts w:ascii="Traditional Arabic" w:hAnsi="Traditional Arabic" w:hint="cs"/>
          <w:noProof w:val="0"/>
          <w:rtl/>
          <w:lang w:eastAsia="en-US"/>
        </w:rPr>
        <w:t xml:space="preserve"> يمكن أن يُستدل له من جهة المعنى بأن المقصود من الرهن توثيق الدين ليُتوصَّل إلى استيفائه من ثمن الرهن عند تعذُّره من المرهون، وهذا متحقِّقٌ في كل عين يجوز بيعها</w:t>
      </w:r>
      <w:r w:rsidR="0038004C" w:rsidRPr="00C85F0F">
        <w:rPr>
          <w:rStyle w:val="af1"/>
          <w:szCs w:val="32"/>
          <w:rtl/>
        </w:rPr>
        <w:t>(</w:t>
      </w:r>
      <w:r w:rsidR="0038004C" w:rsidRPr="00C85F0F">
        <w:rPr>
          <w:rStyle w:val="af1"/>
          <w:szCs w:val="32"/>
          <w:rtl/>
        </w:rPr>
        <w:footnoteReference w:id="2122"/>
      </w:r>
      <w:r w:rsidR="0038004C" w:rsidRPr="00C85F0F">
        <w:rPr>
          <w:rStyle w:val="af1"/>
          <w:szCs w:val="32"/>
          <w:rtl/>
        </w:rPr>
        <w:t>)</w:t>
      </w:r>
      <w:r w:rsidR="0038004C" w:rsidRPr="00C85F0F">
        <w:rPr>
          <w:rFonts w:ascii="Traditional Arabic" w:hAnsi="Traditional Arabic" w:hint="cs"/>
          <w:noProof w:val="0"/>
          <w:rtl/>
          <w:lang w:eastAsia="en-US"/>
        </w:rPr>
        <w:t>.</w:t>
      </w:r>
    </w:p>
    <w:p w:rsidR="0038004C" w:rsidRPr="00C85F0F" w:rsidRDefault="008366F0" w:rsidP="00A8347C">
      <w:pPr>
        <w:pStyle w:val="aff3"/>
        <w:rPr>
          <w:rtl/>
        </w:rPr>
      </w:pPr>
      <w:bookmarkStart w:id="480" w:name="_Toc334046653"/>
      <w:r>
        <w:rPr>
          <w:rFonts w:hint="cs"/>
          <w:rtl/>
        </w:rPr>
        <w:lastRenderedPageBreak/>
        <w:t xml:space="preserve">                                          </w:t>
      </w:r>
      <w:r w:rsidR="0038004C" w:rsidRPr="00C85F0F">
        <w:rPr>
          <w:rFonts w:hint="cs"/>
          <w:rtl/>
        </w:rPr>
        <w:t xml:space="preserve">المطلب </w:t>
      </w:r>
      <w:r w:rsidR="00B47ECB">
        <w:rPr>
          <w:rFonts w:hint="cs"/>
          <w:rtl/>
        </w:rPr>
        <w:t xml:space="preserve"> </w:t>
      </w:r>
      <w:r w:rsidR="0038004C" w:rsidRPr="00C85F0F">
        <w:rPr>
          <w:rFonts w:hint="cs"/>
          <w:rtl/>
        </w:rPr>
        <w:t>الثالث</w:t>
      </w:r>
      <w:r w:rsidR="00C47867" w:rsidRPr="00C85F0F">
        <w:rPr>
          <w:rFonts w:hint="eastAsia"/>
          <w:rtl/>
        </w:rPr>
        <w:t> :</w:t>
      </w:r>
      <w:r w:rsidR="00C47867" w:rsidRPr="00C85F0F">
        <w:rPr>
          <w:rFonts w:hint="cs"/>
          <w:rtl/>
        </w:rPr>
        <w:br/>
      </w:r>
      <w:r>
        <w:rPr>
          <w:rFonts w:hint="cs"/>
          <w:rtl/>
        </w:rPr>
        <w:t xml:space="preserve">                                         </w:t>
      </w:r>
      <w:r w:rsidR="00B47ECB">
        <w:rPr>
          <w:rFonts w:hint="cs"/>
          <w:rtl/>
        </w:rPr>
        <w:t xml:space="preserve"> </w:t>
      </w:r>
      <w:r w:rsidR="0038004C" w:rsidRPr="00C85F0F">
        <w:rPr>
          <w:rFonts w:hint="cs"/>
          <w:rtl/>
        </w:rPr>
        <w:t>تطبيقات الضابط</w:t>
      </w:r>
      <w:bookmarkEnd w:id="480"/>
    </w:p>
    <w:p w:rsidR="00F228A9" w:rsidRPr="00C85F0F" w:rsidRDefault="0038004C" w:rsidP="000A76C7">
      <w:pPr>
        <w:pStyle w:val="afc"/>
        <w:widowControl/>
        <w:numPr>
          <w:ilvl w:val="0"/>
          <w:numId w:val="292"/>
        </w:numPr>
        <w:autoSpaceDE w:val="0"/>
        <w:autoSpaceDN w:val="0"/>
        <w:adjustRightInd w:val="0"/>
        <w:jc w:val="left"/>
        <w:rPr>
          <w:rFonts w:ascii="Traditional Arabic" w:hAnsi="Traditional Arabic"/>
          <w:noProof w:val="0"/>
          <w:rtl/>
          <w:lang w:eastAsia="en-US"/>
        </w:rPr>
      </w:pPr>
      <w:r w:rsidRPr="00C85F0F">
        <w:rPr>
          <w:rFonts w:ascii="Traditional Arabic" w:hAnsi="Traditional Arabic" w:hint="cs"/>
          <w:noProof w:val="0"/>
          <w:rtl/>
          <w:lang w:eastAsia="en-US"/>
        </w:rPr>
        <w:t>إذا</w:t>
      </w:r>
      <w:r w:rsidRPr="00C85F0F">
        <w:rPr>
          <w:rFonts w:ascii="Traditional Arabic" w:hAnsi="Traditional Arabic"/>
          <w:noProof w:val="0"/>
          <w:rtl/>
          <w:lang w:eastAsia="en-US"/>
        </w:rPr>
        <w:t xml:space="preserve"> أراد </w:t>
      </w:r>
      <w:r w:rsidRPr="00C85F0F">
        <w:rPr>
          <w:rFonts w:ascii="Traditional Arabic" w:hAnsi="Traditional Arabic" w:hint="cs"/>
          <w:noProof w:val="0"/>
          <w:rtl/>
          <w:lang w:eastAsia="en-US"/>
        </w:rPr>
        <w:t xml:space="preserve">شخص </w:t>
      </w:r>
      <w:r w:rsidRPr="00C85F0F">
        <w:rPr>
          <w:rFonts w:ascii="Traditional Arabic" w:hAnsi="Traditional Arabic"/>
          <w:noProof w:val="0"/>
          <w:rtl/>
          <w:lang w:eastAsia="en-US"/>
        </w:rPr>
        <w:t>أن يستدين، فقال له الدائن: لا أدينك إلا إذا رهنتني ولد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ك، </w:t>
      </w:r>
      <w:r w:rsidRPr="00C85F0F">
        <w:rPr>
          <w:rFonts w:ascii="Traditional Arabic" w:hAnsi="Traditional Arabic" w:hint="cs"/>
          <w:noProof w:val="0"/>
          <w:rtl/>
          <w:lang w:eastAsia="en-US"/>
        </w:rPr>
        <w:t>ف</w:t>
      </w:r>
      <w:r w:rsidRPr="00C85F0F">
        <w:rPr>
          <w:rFonts w:ascii="Traditional Arabic" w:hAnsi="Traditional Arabic"/>
          <w:noProof w:val="0"/>
          <w:rtl/>
          <w:lang w:eastAsia="en-US"/>
        </w:rPr>
        <w:t>لا يصح؛ لأن الولد لا يصح بيعه</w:t>
      </w:r>
      <w:r w:rsidRPr="00C85F0F">
        <w:rPr>
          <w:rStyle w:val="af1"/>
          <w:szCs w:val="32"/>
          <w:rtl/>
        </w:rPr>
        <w:t>(</w:t>
      </w:r>
      <w:r w:rsidRPr="00C85F0F">
        <w:rPr>
          <w:rStyle w:val="af1"/>
          <w:szCs w:val="32"/>
          <w:rtl/>
        </w:rPr>
        <w:footnoteReference w:id="2123"/>
      </w:r>
      <w:r w:rsidRPr="00C85F0F">
        <w:rPr>
          <w:rStyle w:val="af1"/>
          <w:szCs w:val="32"/>
          <w:rtl/>
        </w:rPr>
        <w:t>)</w:t>
      </w:r>
      <w:r w:rsidRPr="00C85F0F">
        <w:rPr>
          <w:rFonts w:ascii="Traditional Arabic" w:hAnsi="Traditional Arabic"/>
          <w:noProof w:val="0"/>
          <w:rtl/>
          <w:lang w:eastAsia="en-US"/>
        </w:rPr>
        <w:t>.</w:t>
      </w:r>
    </w:p>
    <w:p w:rsidR="0038004C" w:rsidRPr="00C85F0F" w:rsidRDefault="0038004C" w:rsidP="00FD3233">
      <w:pPr>
        <w:pStyle w:val="53"/>
        <w:rPr>
          <w:rtl/>
        </w:rPr>
      </w:pPr>
      <w:r w:rsidRPr="00C85F0F">
        <w:rPr>
          <w:rFonts w:hint="cs"/>
          <w:rtl/>
        </w:rPr>
        <w:t>وجه اندراج الفرع تحت الضابط:</w:t>
      </w:r>
    </w:p>
    <w:p w:rsidR="0038004C" w:rsidRPr="00C85F0F" w:rsidRDefault="008366F0"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إ</w:t>
      </w:r>
      <w:r w:rsidR="0038004C" w:rsidRPr="00C85F0F">
        <w:rPr>
          <w:rFonts w:ascii="Traditional Arabic" w:hAnsi="Traditional Arabic" w:hint="cs"/>
          <w:noProof w:val="0"/>
          <w:rtl/>
          <w:lang w:eastAsia="en-US"/>
        </w:rPr>
        <w:t>ن الولد الحر لا يجوز بيعه، فلا يصح رهنه؛ لأن كل عين لا يجوز بيعها لا يجوز رهنها.</w:t>
      </w:r>
    </w:p>
    <w:p w:rsidR="0038004C" w:rsidRPr="00C85F0F" w:rsidRDefault="0038004C" w:rsidP="000A76C7">
      <w:pPr>
        <w:pStyle w:val="afc"/>
        <w:widowControl/>
        <w:numPr>
          <w:ilvl w:val="0"/>
          <w:numId w:val="292"/>
        </w:numPr>
        <w:autoSpaceDE w:val="0"/>
        <w:autoSpaceDN w:val="0"/>
        <w:adjustRightInd w:val="0"/>
        <w:rPr>
          <w:rFonts w:ascii="Traditional Arabic" w:hAnsi="Traditional Arabic"/>
          <w:noProof w:val="0"/>
          <w:rtl/>
          <w:lang w:eastAsia="en-US"/>
        </w:rPr>
      </w:pPr>
      <w:r w:rsidRPr="00C85F0F">
        <w:rPr>
          <w:rFonts w:ascii="Traditional Arabic" w:hAnsi="Traditional Arabic"/>
          <w:noProof w:val="0"/>
          <w:rtl/>
          <w:lang w:eastAsia="en-US"/>
        </w:rPr>
        <w:t>إ</w:t>
      </w:r>
      <w:r w:rsidRPr="00C85F0F">
        <w:rPr>
          <w:rFonts w:ascii="Traditional Arabic" w:hAnsi="Traditional Arabic" w:hint="cs"/>
          <w:noProof w:val="0"/>
          <w:rtl/>
          <w:lang w:eastAsia="en-US"/>
        </w:rPr>
        <w:t>ذا جاء صاحب ماشية</w:t>
      </w:r>
      <w:r w:rsidRPr="00C85F0F">
        <w:rPr>
          <w:rFonts w:ascii="Traditional Arabic" w:hAnsi="Traditional Arabic"/>
          <w:noProof w:val="0"/>
          <w:rtl/>
          <w:lang w:eastAsia="en-US"/>
        </w:rPr>
        <w:t xml:space="preserve"> إلى إنسان وقال: أريد أن تقرضني ألف ، </w:t>
      </w:r>
      <w:r w:rsidRPr="00C85F0F">
        <w:rPr>
          <w:rFonts w:ascii="Traditional Arabic" w:hAnsi="Traditional Arabic" w:hint="cs"/>
          <w:noProof w:val="0"/>
          <w:rtl/>
          <w:lang w:eastAsia="en-US"/>
        </w:rPr>
        <w:t>ف</w:t>
      </w:r>
      <w:r w:rsidRPr="00C85F0F">
        <w:rPr>
          <w:rFonts w:ascii="Traditional Arabic" w:hAnsi="Traditional Arabic"/>
          <w:noProof w:val="0"/>
          <w:rtl/>
          <w:lang w:eastAsia="en-US"/>
        </w:rPr>
        <w:t>قال</w:t>
      </w:r>
      <w:r w:rsidRPr="00C85F0F">
        <w:rPr>
          <w:rFonts w:ascii="Traditional Arabic" w:hAnsi="Traditional Arabic" w:hint="cs"/>
          <w:noProof w:val="0"/>
          <w:rtl/>
          <w:lang w:eastAsia="en-US"/>
        </w:rPr>
        <w:t xml:space="preserve"> له</w:t>
      </w:r>
      <w:r w:rsidRPr="00C85F0F">
        <w:rPr>
          <w:rFonts w:ascii="Traditional Arabic" w:hAnsi="Traditional Arabic"/>
          <w:noProof w:val="0"/>
          <w:rtl/>
          <w:lang w:eastAsia="en-US"/>
        </w:rPr>
        <w:t xml:space="preserve">: لا أقرضك إلا برهن، </w:t>
      </w:r>
      <w:r w:rsidRPr="00C85F0F">
        <w:rPr>
          <w:rFonts w:ascii="Traditional Arabic" w:hAnsi="Traditional Arabic" w:hint="cs"/>
          <w:noProof w:val="0"/>
          <w:rtl/>
          <w:lang w:eastAsia="en-US"/>
        </w:rPr>
        <w:t>ف</w:t>
      </w:r>
      <w:r w:rsidRPr="00C85F0F">
        <w:rPr>
          <w:rFonts w:ascii="Traditional Arabic" w:hAnsi="Traditional Arabic"/>
          <w:noProof w:val="0"/>
          <w:rtl/>
          <w:lang w:eastAsia="en-US"/>
        </w:rPr>
        <w:t>قال: أرهن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 كلبي، فهذا لا يصح؛ لأن الكلب لا يصح بيعه، فإذا كان لا يصح بيعه فلا فائدة في رهنه إطلاقا؛ لأنه إذا حل الدين، وأراد صاحب الدين أن يبيع الرهن ليستوفي حقه، صار الرهن ممنوعا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بيع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w:t>
      </w:r>
      <w:r w:rsidRPr="00C85F0F">
        <w:rPr>
          <w:rStyle w:val="af1"/>
          <w:szCs w:val="32"/>
          <w:rtl/>
        </w:rPr>
        <w:t>(</w:t>
      </w:r>
      <w:r w:rsidRPr="00C85F0F">
        <w:rPr>
          <w:rStyle w:val="af1"/>
          <w:szCs w:val="32"/>
          <w:rtl/>
        </w:rPr>
        <w:footnoteReference w:id="2124"/>
      </w:r>
      <w:r w:rsidRPr="00C85F0F">
        <w:rPr>
          <w:rStyle w:val="af1"/>
          <w:szCs w:val="32"/>
          <w:rtl/>
        </w:rPr>
        <w:t>)</w:t>
      </w:r>
      <w:r w:rsidRPr="00C85F0F">
        <w:rPr>
          <w:rFonts w:ascii="Traditional Arabic" w:hAnsi="Traditional Arabic"/>
          <w:noProof w:val="0"/>
          <w:rtl/>
          <w:lang w:eastAsia="en-US"/>
        </w:rPr>
        <w:t>.</w:t>
      </w:r>
    </w:p>
    <w:p w:rsidR="0038004C" w:rsidRPr="00C85F0F" w:rsidRDefault="0038004C" w:rsidP="00FD3233">
      <w:pPr>
        <w:pStyle w:val="53"/>
        <w:rPr>
          <w:rtl/>
        </w:rPr>
      </w:pPr>
      <w:r w:rsidRPr="00C85F0F">
        <w:rPr>
          <w:rFonts w:hint="cs"/>
          <w:rtl/>
        </w:rPr>
        <w:t xml:space="preserve">وجه اندراج </w:t>
      </w:r>
      <w:r w:rsidRPr="00FD3233">
        <w:rPr>
          <w:rFonts w:hint="cs"/>
          <w:rtl/>
        </w:rPr>
        <w:t>الفرع</w:t>
      </w:r>
      <w:r w:rsidRPr="00C85F0F">
        <w:rPr>
          <w:rFonts w:hint="cs"/>
          <w:rtl/>
        </w:rPr>
        <w:t xml:space="preserve"> تحت الضابط:</w:t>
      </w:r>
    </w:p>
    <w:p w:rsidR="0038004C" w:rsidRPr="00C85F0F" w:rsidRDefault="0038004C"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إذا كان الكلب لا يصح بيعه، فلا يصح رهنه؛ لأن ما كل عين لا يجوز بيعها لا يجوز رهنها.</w:t>
      </w:r>
    </w:p>
    <w:p w:rsidR="0038004C" w:rsidRPr="00C85F0F" w:rsidRDefault="0038004C" w:rsidP="000A76C7">
      <w:pPr>
        <w:pStyle w:val="afc"/>
        <w:widowControl/>
        <w:numPr>
          <w:ilvl w:val="0"/>
          <w:numId w:val="292"/>
        </w:numPr>
        <w:autoSpaceDE w:val="0"/>
        <w:autoSpaceDN w:val="0"/>
        <w:adjustRightInd w:val="0"/>
        <w:rPr>
          <w:rFonts w:ascii="Traditional Arabic" w:hAnsi="Traditional Arabic"/>
          <w:noProof w:val="0"/>
          <w:lang w:eastAsia="en-US"/>
        </w:rPr>
      </w:pPr>
      <w:r w:rsidRPr="00C85F0F">
        <w:rPr>
          <w:rFonts w:ascii="Traditional Arabic" w:hAnsi="Traditional Arabic" w:hint="cs"/>
          <w:noProof w:val="0"/>
          <w:rtl/>
          <w:lang w:eastAsia="en-US"/>
        </w:rPr>
        <w:t>لايصح رهن الموقوف؛ لأنه لايصح بيعه، ولا يصح رهن المرهون؛ لأنه مشغول بالرهن السابق، فلا يصح بيعه</w:t>
      </w:r>
      <w:r w:rsidRPr="00C85F0F">
        <w:rPr>
          <w:rStyle w:val="af1"/>
          <w:szCs w:val="32"/>
          <w:rtl/>
        </w:rPr>
        <w:t>(</w:t>
      </w:r>
      <w:r w:rsidRPr="00C85F0F">
        <w:rPr>
          <w:rStyle w:val="af1"/>
          <w:szCs w:val="32"/>
          <w:rtl/>
        </w:rPr>
        <w:footnoteReference w:id="2125"/>
      </w:r>
      <w:r w:rsidRPr="00C85F0F">
        <w:rPr>
          <w:rStyle w:val="af1"/>
          <w:szCs w:val="32"/>
          <w:rtl/>
        </w:rPr>
        <w:t>)</w:t>
      </w:r>
      <w:r w:rsidRPr="00C85F0F">
        <w:rPr>
          <w:rFonts w:ascii="Traditional Arabic" w:hAnsi="Traditional Arabic" w:hint="cs"/>
          <w:noProof w:val="0"/>
          <w:rtl/>
          <w:lang w:eastAsia="en-US"/>
        </w:rPr>
        <w:t>.</w:t>
      </w:r>
    </w:p>
    <w:p w:rsidR="0038004C" w:rsidRPr="00C85F0F" w:rsidRDefault="0038004C" w:rsidP="00FD3233">
      <w:pPr>
        <w:pStyle w:val="53"/>
        <w:rPr>
          <w:rtl/>
        </w:rPr>
      </w:pPr>
      <w:r w:rsidRPr="00FD3233">
        <w:rPr>
          <w:rFonts w:hint="cs"/>
          <w:rtl/>
        </w:rPr>
        <w:t>وجه</w:t>
      </w:r>
      <w:r w:rsidRPr="00C85F0F">
        <w:rPr>
          <w:rFonts w:hint="cs"/>
          <w:rtl/>
        </w:rPr>
        <w:t xml:space="preserve"> اندراج الفرع تحت الضابط:</w:t>
      </w:r>
    </w:p>
    <w:p w:rsidR="0038004C" w:rsidRPr="00C85F0F" w:rsidRDefault="0038004C" w:rsidP="00597C2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hint="cs"/>
          <w:noProof w:val="0"/>
          <w:rtl/>
          <w:lang w:eastAsia="en-US"/>
        </w:rPr>
        <w:t>لا يصح رهن كل من الموقوف</w:t>
      </w:r>
      <w:r w:rsidR="00154102" w:rsidRPr="00C85F0F">
        <w:rPr>
          <w:rFonts w:ascii="Traditional Arabic" w:hAnsi="Traditional Arabic" w:hint="cs"/>
          <w:noProof w:val="0"/>
          <w:rtl/>
          <w:lang w:eastAsia="en-US"/>
        </w:rPr>
        <w:t xml:space="preserve"> و</w:t>
      </w:r>
      <w:r w:rsidRPr="00C85F0F">
        <w:rPr>
          <w:rFonts w:ascii="Traditional Arabic" w:hAnsi="Traditional Arabic" w:hint="cs"/>
          <w:noProof w:val="0"/>
          <w:rtl/>
          <w:lang w:eastAsia="en-US"/>
        </w:rPr>
        <w:t>المرهون لعدم صحة بيعهما، وكل عين لا يجوز بيعها لا يجوز رهنها.</w:t>
      </w:r>
    </w:p>
    <w:p w:rsidR="00065E4B" w:rsidRPr="00C85F0F" w:rsidRDefault="008366F0" w:rsidP="00A8347C">
      <w:pPr>
        <w:pStyle w:val="aff3"/>
        <w:rPr>
          <w:rtl/>
        </w:rPr>
      </w:pPr>
      <w:bookmarkStart w:id="481" w:name="_Toc334046654"/>
      <w:r>
        <w:rPr>
          <w:rFonts w:hint="cs"/>
          <w:rtl/>
        </w:rPr>
        <w:lastRenderedPageBreak/>
        <w:t xml:space="preserve">                                        </w:t>
      </w:r>
      <w:r w:rsidR="0038004C" w:rsidRPr="00C85F0F">
        <w:rPr>
          <w:rFonts w:hint="cs"/>
          <w:rtl/>
        </w:rPr>
        <w:t>المطلب</w:t>
      </w:r>
      <w:r w:rsidR="00B47ECB">
        <w:rPr>
          <w:rFonts w:hint="cs"/>
          <w:rtl/>
        </w:rPr>
        <w:t xml:space="preserve"> </w:t>
      </w:r>
      <w:r w:rsidR="0038004C" w:rsidRPr="00C85F0F">
        <w:rPr>
          <w:rFonts w:hint="cs"/>
          <w:rtl/>
        </w:rPr>
        <w:t xml:space="preserve"> الرابع</w:t>
      </w:r>
      <w:r w:rsidR="00C47867" w:rsidRPr="00C85F0F">
        <w:rPr>
          <w:rFonts w:hint="eastAsia"/>
          <w:rtl/>
        </w:rPr>
        <w:t> :</w:t>
      </w:r>
      <w:r w:rsidR="00C47867" w:rsidRPr="00C85F0F">
        <w:rPr>
          <w:rFonts w:hint="cs"/>
          <w:rtl/>
        </w:rPr>
        <w:br/>
      </w:r>
      <w:r>
        <w:rPr>
          <w:rFonts w:hint="cs"/>
          <w:rtl/>
        </w:rPr>
        <w:t xml:space="preserve">      </w:t>
      </w:r>
      <w:r w:rsidR="00896593">
        <w:rPr>
          <w:rFonts w:hint="cs"/>
          <w:rtl/>
        </w:rPr>
        <w:t xml:space="preserve">                              </w:t>
      </w:r>
      <w:r w:rsidR="0038004C" w:rsidRPr="00C85F0F">
        <w:rPr>
          <w:rFonts w:hint="cs"/>
          <w:rtl/>
        </w:rPr>
        <w:t>م</w:t>
      </w:r>
      <w:r w:rsidR="00B334D1">
        <w:rPr>
          <w:rFonts w:hint="cs"/>
          <w:rtl/>
        </w:rPr>
        <w:t>ا يستثنى</w:t>
      </w:r>
      <w:r w:rsidR="0038004C" w:rsidRPr="00C85F0F">
        <w:rPr>
          <w:rFonts w:hint="cs"/>
          <w:rtl/>
        </w:rPr>
        <w:t xml:space="preserve"> </w:t>
      </w:r>
      <w:r w:rsidR="00B334D1">
        <w:rPr>
          <w:rFonts w:hint="cs"/>
          <w:rtl/>
        </w:rPr>
        <w:t xml:space="preserve">من </w:t>
      </w:r>
      <w:r w:rsidR="0038004C" w:rsidRPr="00C85F0F">
        <w:rPr>
          <w:rFonts w:hint="cs"/>
          <w:rtl/>
        </w:rPr>
        <w:t>الضابط</w:t>
      </w:r>
      <w:bookmarkEnd w:id="481"/>
    </w:p>
    <w:p w:rsidR="0038004C" w:rsidRPr="008366F0" w:rsidRDefault="00065E4B" w:rsidP="008366F0">
      <w:pPr>
        <w:widowControl/>
        <w:autoSpaceDE w:val="0"/>
        <w:autoSpaceDN w:val="0"/>
        <w:adjustRightInd w:val="0"/>
        <w:ind w:firstLine="720"/>
        <w:rPr>
          <w:rFonts w:ascii="Traditional Arabic" w:hAnsi="Traditional Arabic"/>
          <w:noProof w:val="0"/>
          <w:rtl/>
          <w:lang w:eastAsia="en-US"/>
        </w:rPr>
      </w:pPr>
      <w:r w:rsidRPr="00C85F0F">
        <w:rPr>
          <w:rFonts w:ascii="Traditional Arabic" w:hAnsi="Traditional Arabic"/>
          <w:noProof w:val="0"/>
          <w:rtl/>
          <w:lang w:eastAsia="en-US"/>
        </w:rPr>
        <w:t>ي</w:t>
      </w:r>
      <w:r w:rsidR="0038004C" w:rsidRPr="00C85F0F">
        <w:rPr>
          <w:rFonts w:ascii="Traditional Arabic" w:hAnsi="Traditional Arabic"/>
          <w:noProof w:val="0"/>
          <w:rtl/>
          <w:lang w:eastAsia="en-US"/>
        </w:rPr>
        <w:t>صح رهن</w:t>
      </w:r>
      <w:r w:rsidR="0038004C" w:rsidRPr="00C85F0F">
        <w:rPr>
          <w:rFonts w:ascii="Traditional Arabic" w:hAnsi="Traditional Arabic" w:hint="cs"/>
          <w:noProof w:val="0"/>
          <w:rtl/>
          <w:lang w:eastAsia="en-US"/>
        </w:rPr>
        <w:t xml:space="preserve"> ما في بطن الشاة</w:t>
      </w:r>
      <w:r w:rsidR="005C1302">
        <w:rPr>
          <w:rFonts w:ascii="Traditional Arabic" w:hAnsi="Traditional Arabic" w:hint="cs"/>
          <w:noProof w:val="0"/>
          <w:rtl/>
          <w:lang w:eastAsia="en-US"/>
        </w:rPr>
        <w:t>،</w:t>
      </w:r>
      <w:r w:rsidR="0038004C" w:rsidRPr="00C85F0F">
        <w:rPr>
          <w:rFonts w:ascii="Traditional Arabic" w:hAnsi="Traditional Arabic" w:hint="cs"/>
          <w:noProof w:val="0"/>
          <w:rtl/>
          <w:lang w:eastAsia="en-US"/>
        </w:rPr>
        <w:t xml:space="preserve"> مع أنه لا يصح بيعه</w:t>
      </w:r>
      <w:r w:rsidR="0038004C" w:rsidRPr="00C85F0F">
        <w:rPr>
          <w:rFonts w:ascii="Traditional Arabic" w:hAnsi="Traditional Arabic"/>
          <w:noProof w:val="0"/>
          <w:rtl/>
          <w:lang w:eastAsia="en-US"/>
        </w:rPr>
        <w:t>؛ لأن الرهن ليس عقد</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م</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عاوضة </w:t>
      </w:r>
      <w:r w:rsidR="0038004C" w:rsidRPr="00C85F0F">
        <w:rPr>
          <w:rFonts w:ascii="Traditional Arabic" w:hAnsi="Traditional Arabic" w:hint="cs"/>
          <w:noProof w:val="0"/>
          <w:rtl/>
          <w:lang w:eastAsia="en-US"/>
        </w:rPr>
        <w:t>حتى يقال</w:t>
      </w:r>
      <w:r w:rsidR="00B334D1">
        <w:rPr>
          <w:rFonts w:ascii="Traditional Arabic" w:hAnsi="Traditional Arabic" w:hint="cs"/>
          <w:noProof w:val="0"/>
          <w:rtl/>
          <w:lang w:eastAsia="en-US"/>
        </w:rPr>
        <w:t xml:space="preserve"> </w:t>
      </w:r>
      <w:r w:rsidR="0038004C" w:rsidRPr="00C85F0F">
        <w:rPr>
          <w:rFonts w:ascii="Traditional Arabic" w:hAnsi="Traditional Arabic" w:hint="cs"/>
          <w:noProof w:val="0"/>
          <w:rtl/>
          <w:lang w:eastAsia="en-US"/>
        </w:rPr>
        <w:t xml:space="preserve">بأنه لابد </w:t>
      </w:r>
      <w:r w:rsidR="0038004C" w:rsidRPr="00C85F0F">
        <w:rPr>
          <w:rFonts w:ascii="Traditional Arabic" w:hAnsi="Traditional Arabic"/>
          <w:noProof w:val="0"/>
          <w:rtl/>
          <w:lang w:eastAsia="en-US"/>
        </w:rPr>
        <w:t>من تحريره وعلمه، فهذا الحمل الذي في البطن لا يخلو من أربع حالات: إما أنه أكثر من قيمة الدين</w:t>
      </w:r>
      <w:r w:rsidR="0038004C" w:rsidRPr="00C85F0F">
        <w:rPr>
          <w:rFonts w:ascii="Traditional Arabic" w:hAnsi="Traditional Arabic" w:hint="cs"/>
          <w:noProof w:val="0"/>
          <w:rtl/>
          <w:lang w:eastAsia="en-US"/>
        </w:rPr>
        <w:t>،</w:t>
      </w:r>
      <w:r w:rsidR="008366F0">
        <w:rPr>
          <w:rFonts w:ascii="Traditional Arabic" w:hAnsi="Traditional Arabic" w:hint="cs"/>
          <w:noProof w:val="0"/>
          <w:rtl/>
          <w:lang w:eastAsia="en-US"/>
        </w:rPr>
        <w:t xml:space="preserve"> </w:t>
      </w:r>
      <w:r w:rsidR="0038004C" w:rsidRPr="00C85F0F">
        <w:rPr>
          <w:rFonts w:ascii="Traditional Arabic" w:hAnsi="Traditional Arabic"/>
          <w:noProof w:val="0"/>
          <w:rtl/>
          <w:lang w:eastAsia="en-US"/>
        </w:rPr>
        <w:t>أو يكون أقل</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أو يكون مساويا</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أو يموت، فإذا مات أو خرج معيبا بحيث لا يساوي قيمة الدين فلم ي</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ض</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ع الحق</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وغاية</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ما هنالك أن الوثيقة التي كان يؤم</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ل عليها نقصت أو عدمت ولكن</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حق</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ه باق</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فإذا خرج الحمل أكثر</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من الحق فقد زاد على الحق، ويجوز رهن عين </w:t>
      </w:r>
      <w:r w:rsidR="0038004C" w:rsidRPr="00C85F0F">
        <w:rPr>
          <w:rFonts w:ascii="Traditional Arabic" w:hAnsi="Traditional Arabic" w:hint="cs"/>
          <w:noProof w:val="0"/>
          <w:rtl/>
          <w:lang w:eastAsia="en-US"/>
        </w:rPr>
        <w:t xml:space="preserve">قيمتُها </w:t>
      </w:r>
      <w:r w:rsidR="0038004C" w:rsidRPr="00C85F0F">
        <w:rPr>
          <w:rFonts w:ascii="Traditional Arabic" w:hAnsi="Traditional Arabic"/>
          <w:noProof w:val="0"/>
          <w:rtl/>
          <w:lang w:eastAsia="en-US"/>
        </w:rPr>
        <w:t>أكثر</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من الدين، فما دامت المسألة </w:t>
      </w:r>
      <w:r w:rsidR="0038004C" w:rsidRPr="00C85F0F">
        <w:rPr>
          <w:rFonts w:ascii="Traditional Arabic" w:hAnsi="Traditional Arabic" w:hint="cs"/>
          <w:noProof w:val="0"/>
          <w:rtl/>
          <w:lang w:eastAsia="en-US"/>
        </w:rPr>
        <w:t xml:space="preserve">مسألةَ </w:t>
      </w:r>
      <w:r w:rsidR="0038004C" w:rsidRPr="00C85F0F">
        <w:rPr>
          <w:rFonts w:ascii="Traditional Arabic" w:hAnsi="Traditional Arabic"/>
          <w:noProof w:val="0"/>
          <w:rtl/>
          <w:lang w:eastAsia="en-US"/>
        </w:rPr>
        <w:t>توثقة فقط</w:t>
      </w:r>
      <w:r w:rsidR="0038004C" w:rsidRPr="00C85F0F">
        <w:rPr>
          <w:rFonts w:ascii="Traditional Arabic" w:hAnsi="Traditional Arabic" w:hint="cs"/>
          <w:noProof w:val="0"/>
          <w:rtl/>
          <w:lang w:eastAsia="en-US"/>
        </w:rPr>
        <w:t>،</w:t>
      </w:r>
      <w:r w:rsidR="0038004C" w:rsidRPr="00C85F0F">
        <w:rPr>
          <w:rFonts w:ascii="Traditional Arabic" w:hAnsi="Traditional Arabic"/>
          <w:noProof w:val="0"/>
          <w:rtl/>
          <w:lang w:eastAsia="en-US"/>
        </w:rPr>
        <w:t xml:space="preserve"> و</w:t>
      </w:r>
      <w:r w:rsidR="0038004C" w:rsidRPr="00C85F0F">
        <w:rPr>
          <w:rFonts w:ascii="Traditional Arabic" w:hAnsi="Traditional Arabic" w:hint="cs"/>
          <w:noProof w:val="0"/>
          <w:rtl/>
          <w:lang w:eastAsia="en-US"/>
        </w:rPr>
        <w:t xml:space="preserve">ما دام </w:t>
      </w:r>
      <w:r w:rsidR="00B334D1">
        <w:rPr>
          <w:rFonts w:ascii="Traditional Arabic" w:hAnsi="Traditional Arabic" w:hint="cs"/>
          <w:noProof w:val="0"/>
          <w:rtl/>
          <w:lang w:eastAsia="en-US"/>
        </w:rPr>
        <w:t>ا</w:t>
      </w:r>
      <w:r w:rsidR="0038004C" w:rsidRPr="00C85F0F">
        <w:rPr>
          <w:rFonts w:ascii="Traditional Arabic" w:hAnsi="Traditional Arabic"/>
          <w:noProof w:val="0"/>
          <w:rtl/>
          <w:lang w:eastAsia="en-US"/>
        </w:rPr>
        <w:t>لحق باق</w:t>
      </w:r>
      <w:r w:rsidR="0038004C" w:rsidRPr="00C85F0F">
        <w:rPr>
          <w:rFonts w:ascii="Traditional Arabic" w:hAnsi="Traditional Arabic" w:hint="cs"/>
          <w:noProof w:val="0"/>
          <w:rtl/>
          <w:lang w:eastAsia="en-US"/>
        </w:rPr>
        <w:t>ياً</w:t>
      </w:r>
      <w:r w:rsidR="0038004C" w:rsidRPr="00C85F0F">
        <w:rPr>
          <w:rFonts w:ascii="Traditional Arabic" w:hAnsi="Traditional Arabic"/>
          <w:noProof w:val="0"/>
          <w:rtl/>
          <w:lang w:eastAsia="en-US"/>
        </w:rPr>
        <w:t xml:space="preserve"> لن يضيع، فالصحيح أنه جائز، والرسول </w:t>
      </w:r>
      <w:r w:rsidR="00F350DE" w:rsidRPr="00C85F0F">
        <w:rPr>
          <w:rFonts w:ascii="Traditional Arabic" w:hAnsi="Traditional Arabic"/>
          <w:noProof w:val="0"/>
          <w:color w:val="auto"/>
          <w:rtl/>
          <w:lang w:eastAsia="en-US"/>
        </w:rPr>
        <w:sym w:font="AGA Arabesque" w:char="F072"/>
      </w:r>
      <w:r w:rsidR="0038004C" w:rsidRPr="00C85F0F">
        <w:rPr>
          <w:rFonts w:ascii="Traditional Arabic" w:hAnsi="Traditional Arabic"/>
          <w:noProof w:val="0"/>
          <w:rtl/>
          <w:lang w:eastAsia="en-US"/>
        </w:rPr>
        <w:t xml:space="preserve"> إنما نهى عن بيع الغرر</w:t>
      </w:r>
      <w:r w:rsidR="00AB0B9E" w:rsidRPr="00C85F0F">
        <w:rPr>
          <w:rFonts w:ascii="Traditional Arabic" w:hAnsi="Traditional Arabic"/>
          <w:noProof w:val="0"/>
          <w:lang w:eastAsia="en-US"/>
        </w:rPr>
        <w:fldChar w:fldCharType="begin"/>
      </w:r>
      <w:r w:rsidR="00311F3B" w:rsidRPr="00C85F0F">
        <w:rPr>
          <w:rFonts w:ascii="Traditional Arabic" w:hAnsi="Traditional Arabic"/>
          <w:noProof w:val="0"/>
          <w:lang w:eastAsia="en-US"/>
        </w:rPr>
        <w:instrText>XE</w:instrText>
      </w:r>
      <w:r w:rsidR="00311F3B" w:rsidRPr="00C85F0F">
        <w:rPr>
          <w:rFonts w:ascii="Traditional Arabic" w:hAnsi="Traditional Arabic"/>
          <w:noProof w:val="0"/>
          <w:rtl/>
          <w:lang w:eastAsia="en-US"/>
        </w:rPr>
        <w:instrText xml:space="preserve"> "</w:instrText>
      </w:r>
      <w:r w:rsidR="00311F3B" w:rsidRPr="00C85F0F">
        <w:rPr>
          <w:rFonts w:ascii="Traditional Arabic" w:hAnsi="Traditional Arabic" w:hint="cs"/>
          <w:noProof w:val="0"/>
          <w:rtl/>
          <w:lang w:eastAsia="en-US"/>
        </w:rPr>
        <w:instrText xml:space="preserve">نهى </w:instrText>
      </w:r>
      <w:r w:rsidR="00311F3B" w:rsidRPr="00C85F0F">
        <w:rPr>
          <w:rFonts w:ascii="Traditional Arabic" w:hAnsi="Traditional Arabic"/>
          <w:noProof w:val="0"/>
          <w:rtl/>
          <w:lang w:eastAsia="en-US"/>
        </w:rPr>
        <w:instrText xml:space="preserve">رسول الله </w:instrText>
      </w:r>
      <w:r w:rsidR="00311F3B" w:rsidRPr="00C85F0F">
        <w:rPr>
          <w:rFonts w:ascii="Traditional Arabic" w:hAnsi="Traditional Arabic"/>
          <w:noProof w:val="0"/>
          <w:rtl/>
          <w:lang w:eastAsia="en-US"/>
        </w:rPr>
        <w:sym w:font="AGA Arabesque" w:char="F072"/>
      </w:r>
      <w:r w:rsidR="00311F3B" w:rsidRPr="00C85F0F">
        <w:rPr>
          <w:rFonts w:ascii="Traditional Arabic" w:hAnsi="Traditional Arabic"/>
          <w:noProof w:val="0"/>
          <w:rtl/>
          <w:lang w:eastAsia="en-US"/>
        </w:rPr>
        <w:instrText xml:space="preserve"> عن بيع الح</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صاة وعن بيع الغرر" \</w:instrText>
      </w:r>
      <w:r w:rsidR="00311F3B" w:rsidRPr="00C85F0F">
        <w:rPr>
          <w:rFonts w:ascii="Traditional Arabic" w:hAnsi="Traditional Arabic"/>
          <w:noProof w:val="0"/>
          <w:lang w:eastAsia="en-US"/>
        </w:rPr>
        <w:instrText>fh</w:instrText>
      </w:r>
      <w:r w:rsidR="00AB0B9E" w:rsidRPr="00C85F0F">
        <w:rPr>
          <w:rFonts w:ascii="Traditional Arabic" w:hAnsi="Traditional Arabic"/>
          <w:noProof w:val="0"/>
          <w:lang w:eastAsia="en-US"/>
        </w:rPr>
        <w:fldChar w:fldCharType="end"/>
      </w:r>
      <w:r w:rsidR="0038004C" w:rsidRPr="00C821A1">
        <w:rPr>
          <w:rStyle w:val="af1"/>
          <w:szCs w:val="32"/>
          <w:rtl/>
        </w:rPr>
        <w:t>(</w:t>
      </w:r>
      <w:r w:rsidR="0038004C" w:rsidRPr="00C821A1">
        <w:rPr>
          <w:rStyle w:val="af1"/>
          <w:szCs w:val="32"/>
          <w:rtl/>
        </w:rPr>
        <w:footnoteReference w:id="2126"/>
      </w:r>
      <w:r w:rsidR="0038004C" w:rsidRPr="00C821A1">
        <w:rPr>
          <w:rStyle w:val="af1"/>
          <w:szCs w:val="32"/>
          <w:rtl/>
        </w:rPr>
        <w:t>)</w:t>
      </w:r>
      <w:r w:rsidR="0038004C" w:rsidRPr="005A521B">
        <w:rPr>
          <w:rFonts w:ascii="Traditional Arabic" w:hAnsi="Traditional Arabic"/>
          <w:noProof w:val="0"/>
          <w:rtl/>
          <w:lang w:eastAsia="en-US"/>
        </w:rPr>
        <w:t>، وفرق</w:t>
      </w:r>
      <w:r w:rsidR="0038004C">
        <w:rPr>
          <w:rFonts w:ascii="Traditional Arabic" w:hAnsi="Traditional Arabic" w:hint="cs"/>
          <w:noProof w:val="0"/>
          <w:rtl/>
          <w:lang w:eastAsia="en-US"/>
        </w:rPr>
        <w:t>ٌ</w:t>
      </w:r>
      <w:r w:rsidR="0038004C" w:rsidRPr="005A521B">
        <w:rPr>
          <w:rFonts w:ascii="Traditional Arabic" w:hAnsi="Traditional Arabic"/>
          <w:noProof w:val="0"/>
          <w:rtl/>
          <w:lang w:eastAsia="en-US"/>
        </w:rPr>
        <w:t xml:space="preserve"> بين البيع الذي ي</w:t>
      </w:r>
      <w:r w:rsidR="0038004C">
        <w:rPr>
          <w:rFonts w:ascii="Traditional Arabic" w:hAnsi="Traditional Arabic" w:hint="cs"/>
          <w:noProof w:val="0"/>
          <w:rtl/>
          <w:lang w:eastAsia="en-US"/>
        </w:rPr>
        <w:t>ُ</w:t>
      </w:r>
      <w:r w:rsidR="0038004C" w:rsidRPr="005A521B">
        <w:rPr>
          <w:rFonts w:ascii="Traditional Arabic" w:hAnsi="Traditional Arabic"/>
          <w:noProof w:val="0"/>
          <w:rtl/>
          <w:lang w:eastAsia="en-US"/>
        </w:rPr>
        <w:t xml:space="preserve">قصد فيه التحري </w:t>
      </w:r>
      <w:r w:rsidR="0038004C">
        <w:rPr>
          <w:rFonts w:ascii="Traditional Arabic" w:hAnsi="Traditional Arabic"/>
          <w:noProof w:val="0"/>
          <w:rtl/>
          <w:lang w:eastAsia="en-US"/>
        </w:rPr>
        <w:t xml:space="preserve">في مقابلة العوض بالعوض، وبين </w:t>
      </w:r>
      <w:r w:rsidR="0038004C">
        <w:rPr>
          <w:rFonts w:ascii="Traditional Arabic" w:hAnsi="Traditional Arabic" w:hint="cs"/>
          <w:noProof w:val="0"/>
          <w:rtl/>
          <w:lang w:eastAsia="en-US"/>
        </w:rPr>
        <w:t>الرهن</w:t>
      </w:r>
      <w:r w:rsidR="00BE3CDB">
        <w:rPr>
          <w:rFonts w:ascii="Traditional Arabic" w:hAnsi="Traditional Arabic" w:hint="cs"/>
          <w:noProof w:val="0"/>
          <w:rtl/>
          <w:lang w:eastAsia="en-US"/>
        </w:rPr>
        <w:t xml:space="preserve"> </w:t>
      </w:r>
      <w:r w:rsidR="0038004C">
        <w:rPr>
          <w:rFonts w:ascii="Traditional Arabic" w:hAnsi="Traditional Arabic" w:hint="cs"/>
          <w:noProof w:val="0"/>
          <w:rtl/>
          <w:lang w:eastAsia="en-US"/>
        </w:rPr>
        <w:t xml:space="preserve">الذي </w:t>
      </w:r>
      <w:r w:rsidR="0038004C" w:rsidRPr="005A521B">
        <w:rPr>
          <w:rFonts w:ascii="Traditional Arabic" w:hAnsi="Traditional Arabic"/>
          <w:noProof w:val="0"/>
          <w:rtl/>
          <w:lang w:eastAsia="en-US"/>
        </w:rPr>
        <w:t>لا ي</w:t>
      </w:r>
      <w:r w:rsidR="0038004C">
        <w:rPr>
          <w:rFonts w:ascii="Traditional Arabic" w:hAnsi="Traditional Arabic" w:hint="cs"/>
          <w:noProof w:val="0"/>
          <w:rtl/>
          <w:lang w:eastAsia="en-US"/>
        </w:rPr>
        <w:t>ُ</w:t>
      </w:r>
      <w:r w:rsidR="0038004C" w:rsidRPr="005A521B">
        <w:rPr>
          <w:rFonts w:ascii="Traditional Arabic" w:hAnsi="Traditional Arabic"/>
          <w:noProof w:val="0"/>
          <w:rtl/>
          <w:lang w:eastAsia="en-US"/>
        </w:rPr>
        <w:t>قصد منه إلا التوثقة، إن حصلت فهي كمال وإن لم تحصل فالحق</w:t>
      </w:r>
      <w:r w:rsidR="0038004C">
        <w:rPr>
          <w:rFonts w:ascii="Traditional Arabic" w:hAnsi="Traditional Arabic" w:hint="cs"/>
          <w:noProof w:val="0"/>
          <w:rtl/>
          <w:lang w:eastAsia="en-US"/>
        </w:rPr>
        <w:t>ُّ</w:t>
      </w:r>
      <w:r w:rsidR="0038004C" w:rsidRPr="005A521B">
        <w:rPr>
          <w:rFonts w:ascii="Traditional Arabic" w:hAnsi="Traditional Arabic"/>
          <w:noProof w:val="0"/>
          <w:rtl/>
          <w:lang w:eastAsia="en-US"/>
        </w:rPr>
        <w:t xml:space="preserve"> باق</w:t>
      </w:r>
      <w:r w:rsidR="0038004C">
        <w:rPr>
          <w:rFonts w:ascii="Traditional Arabic" w:hAnsi="Traditional Arabic" w:hint="cs"/>
          <w:noProof w:val="0"/>
          <w:rtl/>
          <w:lang w:eastAsia="en-US"/>
        </w:rPr>
        <w:t>ٍ</w:t>
      </w:r>
      <w:r w:rsidR="0038004C" w:rsidRPr="00C821A1">
        <w:rPr>
          <w:rStyle w:val="af1"/>
          <w:szCs w:val="32"/>
          <w:rtl/>
        </w:rPr>
        <w:t>(</w:t>
      </w:r>
      <w:r w:rsidR="0038004C" w:rsidRPr="00C821A1">
        <w:rPr>
          <w:rStyle w:val="af1"/>
          <w:szCs w:val="32"/>
          <w:rtl/>
        </w:rPr>
        <w:footnoteReference w:id="2127"/>
      </w:r>
      <w:r w:rsidR="0038004C" w:rsidRPr="00C821A1">
        <w:rPr>
          <w:rStyle w:val="af1"/>
          <w:szCs w:val="32"/>
          <w:rtl/>
        </w:rPr>
        <w:t>)</w:t>
      </w:r>
      <w:r w:rsidR="0038004C" w:rsidRPr="005A521B">
        <w:rPr>
          <w:rFonts w:ascii="Traditional Arabic" w:hAnsi="Traditional Arabic"/>
          <w:noProof w:val="0"/>
          <w:rtl/>
          <w:lang w:eastAsia="en-US"/>
        </w:rPr>
        <w:t>.</w:t>
      </w:r>
    </w:p>
    <w:p w:rsidR="001C1ED8" w:rsidRPr="001B56A8" w:rsidRDefault="001C1ED8" w:rsidP="00597C20">
      <w:pPr>
        <w:pStyle w:val="aff0"/>
        <w:rPr>
          <w:rtl/>
        </w:rPr>
      </w:pPr>
      <w:bookmarkStart w:id="482" w:name="_Toc334046655"/>
      <w:r w:rsidRPr="001B56A8">
        <w:rPr>
          <w:rFonts w:hint="cs"/>
          <w:rtl/>
        </w:rPr>
        <w:lastRenderedPageBreak/>
        <w:t>الفصل الرابع</w:t>
      </w:r>
      <w:r w:rsidRPr="001B56A8">
        <w:rPr>
          <w:rFonts w:hint="eastAsia"/>
          <w:rtl/>
        </w:rPr>
        <w:t> :</w:t>
      </w:r>
      <w:r w:rsidRPr="001B56A8">
        <w:rPr>
          <w:rFonts w:hint="cs"/>
          <w:rtl/>
        </w:rPr>
        <w:t>الضوابط المتعلقة ب</w:t>
      </w:r>
      <w:r w:rsidR="001B56A8" w:rsidRPr="001B56A8">
        <w:rPr>
          <w:rFonts w:hint="cs"/>
          <w:rtl/>
        </w:rPr>
        <w:t>ب</w:t>
      </w:r>
      <w:r w:rsidRPr="001B56A8">
        <w:rPr>
          <w:rFonts w:hint="cs"/>
          <w:rtl/>
        </w:rPr>
        <w:t>اب الضمان</w:t>
      </w:r>
      <w:bookmarkEnd w:id="482"/>
    </w:p>
    <w:p w:rsidR="001C1ED8" w:rsidRPr="002D7A92" w:rsidRDefault="001C1ED8"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مبحثان:</w:t>
      </w:r>
    </w:p>
    <w:p w:rsidR="001C1ED8" w:rsidRDefault="001C1ED8"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ضابط الأصل فيمن قبض ملك غيره أنه مضمون عليه</w:t>
      </w:r>
    </w:p>
    <w:p w:rsidR="001C1ED8" w:rsidRPr="00031790" w:rsidRDefault="001C1ED8" w:rsidP="00597C20">
      <w:pPr>
        <w:tabs>
          <w:tab w:val="left" w:pos="2833"/>
        </w:tabs>
        <w:ind w:left="2833" w:hanging="2268"/>
        <w:jc w:val="left"/>
        <w:rPr>
          <w:rtl/>
        </w:rPr>
      </w:pPr>
      <w:r w:rsidRPr="00FD5687">
        <w:rPr>
          <w:rFonts w:hint="cs"/>
          <w:b/>
          <w:bCs/>
          <w:rtl/>
        </w:rPr>
        <w:t>المبحث الثاني:</w:t>
      </w:r>
      <w:r w:rsidR="002F34AD">
        <w:rPr>
          <w:rFonts w:hint="cs"/>
          <w:rtl/>
        </w:rPr>
        <w:tab/>
      </w:r>
      <w:r w:rsidRPr="00031790">
        <w:rPr>
          <w:rFonts w:hint="cs"/>
          <w:rtl/>
        </w:rPr>
        <w:t>ضابط المثلي يضمن بمثله، والمتقوم يضمن بقيمته.</w:t>
      </w:r>
    </w:p>
    <w:p w:rsidR="007868F9" w:rsidRPr="00C85F0F" w:rsidRDefault="00E4746A" w:rsidP="000F5C0F">
      <w:pPr>
        <w:pStyle w:val="aff2"/>
        <w:rPr>
          <w:rtl/>
        </w:rPr>
      </w:pPr>
      <w:bookmarkStart w:id="483" w:name="_Toc334046656"/>
      <w:r w:rsidRPr="00D816CC">
        <w:rPr>
          <w:rFonts w:ascii="Traditional Arabic" w:hAnsi="Traditional Arabic" w:hint="cs"/>
          <w:rtl/>
        </w:rPr>
        <w:lastRenderedPageBreak/>
        <w:t>المبحث الأول</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7868F9">
        <w:rPr>
          <w:rFonts w:hint="cs"/>
          <w:rtl/>
        </w:rPr>
        <w:t>ضابط</w:t>
      </w:r>
      <w:r w:rsidR="007868F9">
        <w:rPr>
          <w:rFonts w:hint="cs"/>
          <w:rtl/>
        </w:rPr>
        <w:br/>
      </w:r>
      <w:r w:rsidR="0078336F">
        <w:rPr>
          <w:rFonts w:hint="cs"/>
          <w:rtl/>
        </w:rPr>
        <w:t>"</w:t>
      </w:r>
      <w:r w:rsidR="007868F9">
        <w:rPr>
          <w:rFonts w:hint="cs"/>
          <w:rtl/>
        </w:rPr>
        <w:t>الأصل فيمن قبض ملك غيره أنه مضمون عليه</w:t>
      </w:r>
      <w:r w:rsidR="00AB0B9E" w:rsidRPr="00C85F0F">
        <w:rPr>
          <w:rtl/>
        </w:rPr>
        <w:fldChar w:fldCharType="begin"/>
      </w:r>
      <w:r w:rsidR="00945AC4" w:rsidRPr="00C85F0F">
        <w:rPr>
          <w:rFonts w:hint="cs"/>
        </w:rPr>
        <w:instrText>XE</w:instrText>
      </w:r>
      <w:r w:rsidR="00945AC4" w:rsidRPr="00C85F0F">
        <w:rPr>
          <w:rtl/>
        </w:rPr>
        <w:instrText xml:space="preserve"> "</w:instrText>
      </w:r>
      <w:r w:rsidR="00945AC4" w:rsidRPr="00C85F0F">
        <w:rPr>
          <w:rFonts w:hint="cs"/>
          <w:rtl/>
        </w:rPr>
        <w:instrText>الأصلفيمنقبضملكغيرهأنهمضمونعليه</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78336F" w:rsidRPr="00C85F0F">
        <w:rPr>
          <w:rFonts w:hint="cs"/>
          <w:rtl/>
        </w:rPr>
        <w:t>"</w:t>
      </w:r>
      <w:r w:rsidR="007868F9" w:rsidRPr="00C85F0F">
        <w:rPr>
          <w:rStyle w:val="af1"/>
          <w:b w:val="0"/>
          <w:bCs w:val="0"/>
          <w:szCs w:val="32"/>
          <w:rtl/>
        </w:rPr>
        <w:t>(</w:t>
      </w:r>
      <w:r w:rsidR="007868F9" w:rsidRPr="00C85F0F">
        <w:rPr>
          <w:rStyle w:val="af1"/>
          <w:b w:val="0"/>
          <w:bCs w:val="0"/>
          <w:szCs w:val="32"/>
          <w:rtl/>
        </w:rPr>
        <w:footnoteReference w:id="2128"/>
      </w:r>
      <w:r w:rsidR="007868F9" w:rsidRPr="00C85F0F">
        <w:rPr>
          <w:rStyle w:val="af1"/>
          <w:b w:val="0"/>
          <w:bCs w:val="0"/>
          <w:szCs w:val="32"/>
          <w:rtl/>
        </w:rPr>
        <w:t>)</w:t>
      </w:r>
      <w:bookmarkEnd w:id="483"/>
    </w:p>
    <w:p w:rsidR="007868F9" w:rsidRPr="00C85F0F" w:rsidRDefault="00EB60EC" w:rsidP="00A8347C">
      <w:pPr>
        <w:pStyle w:val="aff3"/>
        <w:rPr>
          <w:rtl/>
        </w:rPr>
      </w:pPr>
      <w:bookmarkStart w:id="484" w:name="_Toc334046657"/>
      <w:r>
        <w:rPr>
          <w:rFonts w:hint="cs"/>
          <w:rtl/>
        </w:rPr>
        <w:t xml:space="preserve">                      </w:t>
      </w:r>
      <w:r w:rsidR="008366F0">
        <w:rPr>
          <w:rFonts w:hint="cs"/>
          <w:rtl/>
        </w:rPr>
        <w:t xml:space="preserve">                   </w:t>
      </w:r>
      <w:r w:rsidR="007868F9" w:rsidRPr="00C85F0F">
        <w:rPr>
          <w:rFonts w:hint="cs"/>
          <w:rtl/>
        </w:rPr>
        <w:t>المطلب الأول</w:t>
      </w:r>
      <w:r w:rsidR="007868F9" w:rsidRPr="00C85F0F">
        <w:rPr>
          <w:rFonts w:hint="eastAsia"/>
          <w:rtl/>
        </w:rPr>
        <w:t> :</w:t>
      </w:r>
      <w:r w:rsidR="007868F9" w:rsidRPr="00C85F0F">
        <w:rPr>
          <w:rFonts w:hint="cs"/>
          <w:rtl/>
        </w:rPr>
        <w:br/>
      </w:r>
      <w:r>
        <w:rPr>
          <w:rFonts w:hint="cs"/>
          <w:rtl/>
        </w:rPr>
        <w:t xml:space="preserve">                    </w:t>
      </w:r>
      <w:r w:rsidR="00896593">
        <w:rPr>
          <w:rFonts w:hint="cs"/>
          <w:rtl/>
        </w:rPr>
        <w:t xml:space="preserve">                      </w:t>
      </w:r>
      <w:r w:rsidR="007868F9" w:rsidRPr="00C85F0F">
        <w:rPr>
          <w:rFonts w:hint="cs"/>
          <w:rtl/>
        </w:rPr>
        <w:t>شرح الضابط</w:t>
      </w:r>
      <w:bookmarkEnd w:id="484"/>
    </w:p>
    <w:p w:rsidR="007868F9" w:rsidRPr="00C85F0F" w:rsidRDefault="00B334D1" w:rsidP="00B334D1">
      <w:pPr>
        <w:ind w:firstLine="0"/>
        <w:rPr>
          <w:rtl/>
        </w:rPr>
      </w:pPr>
      <w:r>
        <w:rPr>
          <w:rFonts w:hint="cs"/>
          <w:rtl/>
        </w:rPr>
        <w:t xml:space="preserve">    القاعدة المستمرة </w:t>
      </w:r>
      <w:r w:rsidR="007868F9" w:rsidRPr="00C85F0F">
        <w:rPr>
          <w:rFonts w:hint="cs"/>
          <w:rtl/>
        </w:rPr>
        <w:t xml:space="preserve"> أن م</w:t>
      </w:r>
      <w:r w:rsidR="0081429F">
        <w:rPr>
          <w:rFonts w:hint="cs"/>
          <w:rtl/>
        </w:rPr>
        <w:t>َ</w:t>
      </w:r>
      <w:r w:rsidR="007868F9" w:rsidRPr="00C85F0F">
        <w:rPr>
          <w:rFonts w:hint="cs"/>
          <w:rtl/>
        </w:rPr>
        <w:t>ن قبض م</w:t>
      </w:r>
      <w:r w:rsidR="0081429F">
        <w:rPr>
          <w:rFonts w:hint="cs"/>
          <w:rtl/>
        </w:rPr>
        <w:t>ِ</w:t>
      </w:r>
      <w:r w:rsidR="007868F9" w:rsidRPr="00C85F0F">
        <w:rPr>
          <w:rFonts w:hint="cs"/>
          <w:rtl/>
        </w:rPr>
        <w:t>ل</w:t>
      </w:r>
      <w:r w:rsidR="0081429F">
        <w:rPr>
          <w:rFonts w:hint="cs"/>
          <w:rtl/>
        </w:rPr>
        <w:t>ْ</w:t>
      </w:r>
      <w:r w:rsidR="007868F9" w:rsidRPr="00C85F0F">
        <w:rPr>
          <w:rFonts w:hint="cs"/>
          <w:rtl/>
        </w:rPr>
        <w:t>ك</w:t>
      </w:r>
      <w:r w:rsidR="0081429F">
        <w:rPr>
          <w:rFonts w:hint="cs"/>
          <w:rtl/>
        </w:rPr>
        <w:t>َ</w:t>
      </w:r>
      <w:r w:rsidR="007868F9" w:rsidRPr="00C85F0F">
        <w:rPr>
          <w:rFonts w:hint="cs"/>
          <w:rtl/>
        </w:rPr>
        <w:t xml:space="preserve"> غيره أو مال غيره، فإن عليه الضمان</w:t>
      </w:r>
      <w:r w:rsidR="007868F9" w:rsidRPr="00C85F0F">
        <w:rPr>
          <w:rStyle w:val="af1"/>
          <w:szCs w:val="32"/>
          <w:rtl/>
        </w:rPr>
        <w:t>(</w:t>
      </w:r>
      <w:r w:rsidR="007868F9" w:rsidRPr="00C85F0F">
        <w:rPr>
          <w:rStyle w:val="af1"/>
          <w:szCs w:val="32"/>
          <w:rtl/>
        </w:rPr>
        <w:footnoteReference w:id="2129"/>
      </w:r>
      <w:r w:rsidR="007868F9" w:rsidRPr="00C85F0F">
        <w:rPr>
          <w:rStyle w:val="af1"/>
          <w:szCs w:val="32"/>
          <w:rtl/>
        </w:rPr>
        <w:t>)</w:t>
      </w:r>
      <w:r w:rsidR="007868F9" w:rsidRPr="00C85F0F">
        <w:rPr>
          <w:rFonts w:hint="cs"/>
          <w:rtl/>
        </w:rPr>
        <w:t>.</w:t>
      </w:r>
    </w:p>
    <w:p w:rsidR="00065E4B" w:rsidRPr="00C85F0F" w:rsidRDefault="00EB60EC" w:rsidP="00A8347C">
      <w:pPr>
        <w:pStyle w:val="aff3"/>
        <w:rPr>
          <w:rtl/>
        </w:rPr>
      </w:pPr>
      <w:bookmarkStart w:id="485" w:name="_Toc334046658"/>
      <w:r>
        <w:rPr>
          <w:rFonts w:hint="cs"/>
          <w:rtl/>
        </w:rPr>
        <w:t xml:space="preserve">                       </w:t>
      </w:r>
      <w:r w:rsidR="008366F0">
        <w:rPr>
          <w:rFonts w:hint="cs"/>
          <w:rtl/>
        </w:rPr>
        <w:t xml:space="preserve">                  </w:t>
      </w:r>
      <w:r w:rsidR="007868F9" w:rsidRPr="00C85F0F">
        <w:rPr>
          <w:rFonts w:hint="cs"/>
          <w:rtl/>
        </w:rPr>
        <w:t>المطلب الثاني</w:t>
      </w:r>
      <w:r w:rsidR="007868F9" w:rsidRPr="00C85F0F">
        <w:rPr>
          <w:rFonts w:hint="eastAsia"/>
          <w:rtl/>
        </w:rPr>
        <w:t> :</w:t>
      </w:r>
      <w:r w:rsidR="007868F9" w:rsidRPr="00C85F0F">
        <w:rPr>
          <w:rFonts w:hint="cs"/>
          <w:rtl/>
        </w:rPr>
        <w:br/>
      </w:r>
      <w:r>
        <w:rPr>
          <w:rFonts w:hint="cs"/>
          <w:rtl/>
        </w:rPr>
        <w:t xml:space="preserve">                    </w:t>
      </w:r>
      <w:r w:rsidR="00896593">
        <w:rPr>
          <w:rFonts w:hint="cs"/>
          <w:rtl/>
        </w:rPr>
        <w:t xml:space="preserve">                      دليل</w:t>
      </w:r>
      <w:r w:rsidR="007868F9" w:rsidRPr="00C85F0F">
        <w:rPr>
          <w:rFonts w:hint="cs"/>
          <w:rtl/>
        </w:rPr>
        <w:t xml:space="preserve"> الضابط</w:t>
      </w:r>
      <w:bookmarkEnd w:id="485"/>
    </w:p>
    <w:p w:rsidR="00065E4B" w:rsidRDefault="00B31761" w:rsidP="00B334D1">
      <w:pPr>
        <w:ind w:firstLine="0"/>
        <w:rPr>
          <w:rtl/>
        </w:rPr>
      </w:pPr>
      <w:r>
        <w:rPr>
          <w:rFonts w:hint="cs"/>
          <w:rtl/>
        </w:rPr>
        <w:t xml:space="preserve">    حديث </w:t>
      </w:r>
      <w:r w:rsidR="007868F9" w:rsidRPr="00C85F0F">
        <w:rPr>
          <w:rFonts w:hint="cs"/>
          <w:rtl/>
        </w:rPr>
        <w:t>سمرة بن جندب</w:t>
      </w:r>
      <w:r w:rsidR="00AB0B9E" w:rsidRPr="00C85F0F">
        <w:rPr>
          <w:rtl/>
        </w:rPr>
        <w:fldChar w:fldCharType="begin"/>
      </w:r>
      <w:r w:rsidR="004F50F0" w:rsidRPr="00C85F0F">
        <w:rPr>
          <w:rFonts w:hint="cs"/>
        </w:rPr>
        <w:instrText>XE</w:instrText>
      </w:r>
      <w:r w:rsidR="004F50F0" w:rsidRPr="00C85F0F">
        <w:rPr>
          <w:rtl/>
        </w:rPr>
        <w:instrText xml:space="preserve"> "</w:instrText>
      </w:r>
      <w:r w:rsidR="004F50F0" w:rsidRPr="00C85F0F">
        <w:rPr>
          <w:rFonts w:ascii="Traditional Arabic" w:hAnsi="Traditional Arabic"/>
          <w:noProof w:val="0"/>
          <w:color w:val="auto"/>
          <w:rtl/>
          <w:lang w:eastAsia="en-US"/>
        </w:rPr>
        <w:instrText>سمرة بن جندب</w:instrText>
      </w:r>
      <w:r w:rsidR="004F50F0" w:rsidRPr="00C85F0F">
        <w:rPr>
          <w:rtl/>
        </w:rPr>
        <w:instrText>"\</w:instrText>
      </w:r>
      <w:r w:rsidR="004F50F0" w:rsidRPr="00C85F0F">
        <w:instrText>fa</w:instrText>
      </w:r>
      <w:r w:rsidR="004F50F0" w:rsidRPr="00C85F0F">
        <w:rPr>
          <w:rtl/>
        </w:rPr>
        <w:instrText xml:space="preserve">" </w:instrText>
      </w:r>
      <w:r w:rsidR="00AB0B9E" w:rsidRPr="00C85F0F">
        <w:rPr>
          <w:rtl/>
        </w:rPr>
        <w:fldChar w:fldCharType="end"/>
      </w:r>
      <w:r w:rsidR="00910A93">
        <w:rPr>
          <w:rFonts w:ascii="Traditional Arabic" w:hAnsi="Traditional Arabic" w:hint="cs"/>
          <w:rtl/>
        </w:rPr>
        <w:t xml:space="preserve"> </w:t>
      </w:r>
      <w:r>
        <w:rPr>
          <w:rFonts w:ascii="Traditional Arabic" w:hAnsi="Traditional Arabic" w:hint="cs"/>
          <w:rtl/>
        </w:rPr>
        <w:t>_</w:t>
      </w:r>
      <w:r w:rsidR="00910A93">
        <w:rPr>
          <w:rFonts w:ascii="Traditional Arabic" w:hAnsi="Traditional Arabic" w:hint="cs"/>
          <w:rtl/>
        </w:rPr>
        <w:t>رضي الله عنه</w:t>
      </w:r>
      <w:r>
        <w:rPr>
          <w:rFonts w:hint="cs"/>
          <w:rtl/>
        </w:rPr>
        <w:t xml:space="preserve">_ </w:t>
      </w:r>
      <w:r w:rsidR="007868F9" w:rsidRPr="00C85F0F">
        <w:rPr>
          <w:rFonts w:hint="cs"/>
          <w:rtl/>
        </w:rPr>
        <w:t xml:space="preserve">عن النبي </w:t>
      </w:r>
      <w:r w:rsidR="00F350DE" w:rsidRPr="00C85F0F">
        <w:rPr>
          <w:rFonts w:ascii="Traditional Arabic" w:hAnsi="Traditional Arabic"/>
          <w:noProof w:val="0"/>
          <w:color w:val="auto"/>
          <w:rtl/>
          <w:lang w:eastAsia="en-US"/>
        </w:rPr>
        <w:sym w:font="AGA Arabesque" w:char="F072"/>
      </w:r>
      <w:r w:rsidR="007868F9" w:rsidRPr="00C85F0F">
        <w:rPr>
          <w:rFonts w:hint="cs"/>
          <w:rtl/>
        </w:rPr>
        <w:t xml:space="preserve"> قال:</w:t>
      </w:r>
      <w:r>
        <w:rPr>
          <w:rFonts w:hint="cs"/>
          <w:rtl/>
        </w:rPr>
        <w:t xml:space="preserve"> </w:t>
      </w:r>
      <w:r w:rsidR="007868F9" w:rsidRPr="00C85F0F">
        <w:rPr>
          <w:rFonts w:hint="cs"/>
          <w:rtl/>
        </w:rPr>
        <w:t>"على اليد ما أخذت</w:t>
      </w:r>
      <w:r w:rsidR="00B334D1">
        <w:rPr>
          <w:rFonts w:hint="cs"/>
          <w:rtl/>
        </w:rPr>
        <w:t>ْ</w:t>
      </w:r>
      <w:r w:rsidR="007868F9" w:rsidRPr="00C85F0F">
        <w:rPr>
          <w:rFonts w:hint="cs"/>
          <w:rtl/>
        </w:rPr>
        <w:t xml:space="preserve"> حتى تُؤدِّي</w:t>
      </w:r>
      <w:r w:rsidR="00192192">
        <w:rPr>
          <w:rFonts w:hint="cs"/>
          <w:rtl/>
        </w:rPr>
        <w:t>َ</w:t>
      </w:r>
      <w:r w:rsidR="007868F9" w:rsidRPr="00C85F0F">
        <w:rPr>
          <w:rFonts w:hint="cs"/>
          <w:rtl/>
        </w:rPr>
        <w:t>ه</w:t>
      </w:r>
      <w:r w:rsidR="00AB0B9E" w:rsidRPr="00C85F0F">
        <w:fldChar w:fldCharType="begin"/>
      </w:r>
      <w:r w:rsidR="00311F3B" w:rsidRPr="00C85F0F">
        <w:instrText>XE</w:instrText>
      </w:r>
      <w:r w:rsidR="00311F3B" w:rsidRPr="00C85F0F">
        <w:rPr>
          <w:rtl/>
        </w:rPr>
        <w:instrText xml:space="preserve"> "</w:instrText>
      </w:r>
      <w:r w:rsidR="00311F3B" w:rsidRPr="00C85F0F">
        <w:rPr>
          <w:rFonts w:hint="cs"/>
          <w:rtl/>
        </w:rPr>
        <w:instrText>على اليد ما أخذت حتى تُؤدِّيه</w:instrText>
      </w:r>
      <w:r w:rsidR="00311F3B" w:rsidRPr="00C85F0F">
        <w:rPr>
          <w:rtl/>
        </w:rPr>
        <w:instrText xml:space="preserve">" </w:instrText>
      </w:r>
      <w:r w:rsidR="00311F3B" w:rsidRPr="00C85F0F">
        <w:rPr>
          <w:rtl/>
          <w:lang w:val="fr-FR"/>
        </w:rPr>
        <w:instrText>\</w:instrText>
      </w:r>
      <w:r w:rsidR="00311F3B" w:rsidRPr="00C85F0F">
        <w:rPr>
          <w:lang w:val="fr-FR"/>
        </w:rPr>
        <w:instrText>fh</w:instrText>
      </w:r>
      <w:r w:rsidR="00AB0B9E" w:rsidRPr="00C85F0F">
        <w:fldChar w:fldCharType="end"/>
      </w:r>
      <w:r w:rsidR="007868F9">
        <w:rPr>
          <w:rFonts w:hint="cs"/>
          <w:rtl/>
        </w:rPr>
        <w:t>"</w:t>
      </w:r>
      <w:r w:rsidR="007868F9" w:rsidRPr="00C821A1">
        <w:rPr>
          <w:rStyle w:val="af1"/>
          <w:szCs w:val="32"/>
          <w:rtl/>
        </w:rPr>
        <w:t>(</w:t>
      </w:r>
      <w:r w:rsidR="007868F9" w:rsidRPr="00C821A1">
        <w:rPr>
          <w:rStyle w:val="af1"/>
          <w:szCs w:val="32"/>
          <w:rtl/>
        </w:rPr>
        <w:footnoteReference w:id="2130"/>
      </w:r>
      <w:r w:rsidR="007868F9" w:rsidRPr="00C821A1">
        <w:rPr>
          <w:rStyle w:val="af1"/>
          <w:szCs w:val="32"/>
          <w:rtl/>
        </w:rPr>
        <w:t>)</w:t>
      </w:r>
      <w:r w:rsidR="007868F9">
        <w:rPr>
          <w:rFonts w:hint="cs"/>
          <w:rtl/>
        </w:rPr>
        <w:t>.</w:t>
      </w:r>
    </w:p>
    <w:p w:rsidR="00065E4B" w:rsidRDefault="00065E4B" w:rsidP="00597C20">
      <w:pPr>
        <w:pStyle w:val="53"/>
        <w:rPr>
          <w:rtl/>
        </w:rPr>
      </w:pPr>
      <w:r>
        <w:rPr>
          <w:rFonts w:hint="cs"/>
          <w:rtl/>
        </w:rPr>
        <w:lastRenderedPageBreak/>
        <w:t>و</w:t>
      </w:r>
      <w:r w:rsidR="007868F9">
        <w:rPr>
          <w:rFonts w:hint="cs"/>
          <w:rtl/>
        </w:rPr>
        <w:t>جه الدلالة:</w:t>
      </w:r>
    </w:p>
    <w:p w:rsidR="007868F9" w:rsidRPr="00072B3E" w:rsidRDefault="00065E4B" w:rsidP="00597C20">
      <w:pPr>
        <w:ind w:firstLine="720"/>
        <w:rPr>
          <w:rtl/>
        </w:rPr>
      </w:pPr>
      <w:r w:rsidRPr="00072B3E">
        <w:rPr>
          <w:rFonts w:hint="cs"/>
          <w:rtl/>
        </w:rPr>
        <w:t>م</w:t>
      </w:r>
      <w:r w:rsidR="007868F9" w:rsidRPr="00072B3E">
        <w:rPr>
          <w:rFonts w:hint="cs"/>
          <w:rtl/>
        </w:rPr>
        <w:t>عنى الحديث أن</w:t>
      </w:r>
      <w:r w:rsidR="007868F9">
        <w:rPr>
          <w:rFonts w:hint="cs"/>
          <w:rtl/>
        </w:rPr>
        <w:t xml:space="preserve"> على اليد ضمان</w:t>
      </w:r>
      <w:r w:rsidR="00B334D1">
        <w:rPr>
          <w:rFonts w:hint="cs"/>
          <w:rtl/>
        </w:rPr>
        <w:t>َ</w:t>
      </w:r>
      <w:r w:rsidR="007868F9">
        <w:rPr>
          <w:rFonts w:hint="cs"/>
          <w:rtl/>
        </w:rPr>
        <w:t xml:space="preserve"> ما أخذت، ورعاية ما أخذت من الأعيان حتى تؤديه إلى صاحبه؛ ولهذا كان الأصل فيمن قبض مال غيره الضمان</w:t>
      </w:r>
      <w:r w:rsidR="007868F9" w:rsidRPr="00C821A1">
        <w:rPr>
          <w:rStyle w:val="af1"/>
          <w:szCs w:val="32"/>
          <w:rtl/>
        </w:rPr>
        <w:t>(</w:t>
      </w:r>
      <w:r w:rsidR="007868F9" w:rsidRPr="00C821A1">
        <w:rPr>
          <w:rStyle w:val="af1"/>
          <w:szCs w:val="32"/>
          <w:rtl/>
        </w:rPr>
        <w:footnoteReference w:id="2131"/>
      </w:r>
      <w:r w:rsidR="007868F9" w:rsidRPr="00C821A1">
        <w:rPr>
          <w:rStyle w:val="af1"/>
          <w:szCs w:val="32"/>
          <w:rtl/>
        </w:rPr>
        <w:t>)</w:t>
      </w:r>
      <w:r w:rsidR="007868F9">
        <w:rPr>
          <w:rFonts w:hint="cs"/>
          <w:rtl/>
        </w:rPr>
        <w:t>.</w:t>
      </w:r>
    </w:p>
    <w:p w:rsidR="007868F9" w:rsidRDefault="004B29C1" w:rsidP="00A8347C">
      <w:pPr>
        <w:pStyle w:val="aff3"/>
        <w:rPr>
          <w:rtl/>
        </w:rPr>
      </w:pPr>
      <w:bookmarkStart w:id="486" w:name="_Toc334046659"/>
      <w:r>
        <w:rPr>
          <w:rFonts w:hint="cs"/>
          <w:rtl/>
        </w:rPr>
        <w:t xml:space="preserve">                                           </w:t>
      </w:r>
      <w:r w:rsidR="007868F9">
        <w:rPr>
          <w:rFonts w:hint="cs"/>
          <w:rtl/>
        </w:rPr>
        <w:t xml:space="preserve">المطلب </w:t>
      </w:r>
      <w:r w:rsidR="00B31761">
        <w:rPr>
          <w:rFonts w:hint="cs"/>
          <w:rtl/>
        </w:rPr>
        <w:t xml:space="preserve"> </w:t>
      </w:r>
      <w:r w:rsidR="007868F9">
        <w:rPr>
          <w:rFonts w:hint="cs"/>
          <w:rtl/>
        </w:rPr>
        <w:t>الثالث</w:t>
      </w:r>
      <w:r w:rsidR="007868F9">
        <w:rPr>
          <w:rFonts w:hint="eastAsia"/>
          <w:rtl/>
        </w:rPr>
        <w:t> :</w:t>
      </w:r>
      <w:r w:rsidR="007868F9">
        <w:rPr>
          <w:rFonts w:hint="cs"/>
          <w:rtl/>
        </w:rPr>
        <w:br/>
      </w:r>
      <w:r>
        <w:rPr>
          <w:rFonts w:hint="cs"/>
          <w:rtl/>
        </w:rPr>
        <w:t xml:space="preserve">                                         </w:t>
      </w:r>
      <w:r w:rsidR="00B334D1">
        <w:rPr>
          <w:rFonts w:hint="cs"/>
          <w:rtl/>
        </w:rPr>
        <w:t xml:space="preserve"> </w:t>
      </w:r>
      <w:r>
        <w:rPr>
          <w:rFonts w:hint="cs"/>
          <w:rtl/>
        </w:rPr>
        <w:t xml:space="preserve"> </w:t>
      </w:r>
      <w:r w:rsidR="007868F9">
        <w:rPr>
          <w:rFonts w:hint="cs"/>
          <w:rtl/>
        </w:rPr>
        <w:t>تطبيقات الضابط</w:t>
      </w:r>
      <w:bookmarkEnd w:id="486"/>
    </w:p>
    <w:p w:rsidR="007868F9" w:rsidRDefault="007868F9" w:rsidP="000A76C7">
      <w:pPr>
        <w:pStyle w:val="afc"/>
        <w:numPr>
          <w:ilvl w:val="0"/>
          <w:numId w:val="294"/>
        </w:numPr>
      </w:pPr>
      <w:r>
        <w:rPr>
          <w:rFonts w:hint="cs"/>
          <w:rtl/>
        </w:rPr>
        <w:t xml:space="preserve">إذا اختلف المالك ومن بيده العين </w:t>
      </w:r>
      <w:r w:rsidRPr="009E3EB1">
        <w:rPr>
          <w:rFonts w:ascii="Traditional Arabic" w:hAnsi="Traditional Arabic" w:hint="cs"/>
          <w:noProof w:val="0"/>
          <w:rtl/>
          <w:lang w:eastAsia="en-US"/>
        </w:rPr>
        <w:t xml:space="preserve">بعد مُضِيِّ مدة </w:t>
      </w:r>
      <w:r>
        <w:rPr>
          <w:rFonts w:ascii="Traditional Arabic" w:hAnsi="Traditional Arabic" w:hint="cs"/>
          <w:noProof w:val="0"/>
          <w:rtl/>
          <w:lang w:eastAsia="en-US"/>
        </w:rPr>
        <w:t>لها أجرة بعد العقد</w:t>
      </w:r>
      <w:r w:rsidRPr="009E3EB1">
        <w:rPr>
          <w:rFonts w:ascii="Traditional Arabic" w:hAnsi="Traditional Arabic" w:hint="cs"/>
          <w:noProof w:val="0"/>
          <w:rtl/>
          <w:lang w:eastAsia="en-US"/>
        </w:rPr>
        <w:t>، ف</w:t>
      </w:r>
      <w:r w:rsidRPr="009E3EB1">
        <w:rPr>
          <w:rFonts w:ascii="Traditional Arabic" w:hAnsi="Traditional Arabic"/>
          <w:noProof w:val="0"/>
          <w:rtl/>
          <w:lang w:eastAsia="en-US"/>
        </w:rPr>
        <w:t>قال</w:t>
      </w:r>
      <w:r>
        <w:rPr>
          <w:rFonts w:ascii="Traditional Arabic" w:hAnsi="Traditional Arabic" w:hint="cs"/>
          <w:noProof w:val="0"/>
          <w:rtl/>
          <w:lang w:eastAsia="en-US"/>
        </w:rPr>
        <w:t xml:space="preserve"> من بيده العين</w:t>
      </w:r>
      <w:r w:rsidRPr="009E3EB1">
        <w:rPr>
          <w:rFonts w:ascii="Traditional Arabic" w:hAnsi="Traditional Arabic"/>
          <w:noProof w:val="0"/>
          <w:rtl/>
          <w:lang w:eastAsia="en-US"/>
        </w:rPr>
        <w:t>: إنك أ</w:t>
      </w:r>
      <w:r w:rsidRPr="009E3EB1">
        <w:rPr>
          <w:rFonts w:ascii="Traditional Arabic" w:hAnsi="Traditional Arabic" w:hint="cs"/>
          <w:noProof w:val="0"/>
          <w:rtl/>
          <w:lang w:eastAsia="en-US"/>
        </w:rPr>
        <w:t>َ</w:t>
      </w:r>
      <w:r w:rsidRPr="009E3EB1">
        <w:rPr>
          <w:rFonts w:ascii="Traditional Arabic" w:hAnsi="Traditional Arabic"/>
          <w:noProof w:val="0"/>
          <w:rtl/>
          <w:lang w:eastAsia="en-US"/>
        </w:rPr>
        <w:t>ع</w:t>
      </w:r>
      <w:r w:rsidRPr="009E3EB1">
        <w:rPr>
          <w:rFonts w:ascii="Traditional Arabic" w:hAnsi="Traditional Arabic" w:hint="cs"/>
          <w:noProof w:val="0"/>
          <w:rtl/>
          <w:lang w:eastAsia="en-US"/>
        </w:rPr>
        <w:t>َ</w:t>
      </w:r>
      <w:r w:rsidRPr="009E3EB1">
        <w:rPr>
          <w:rFonts w:ascii="Traditional Arabic" w:hAnsi="Traditional Arabic"/>
          <w:noProof w:val="0"/>
          <w:rtl/>
          <w:lang w:eastAsia="en-US"/>
        </w:rPr>
        <w:t>ر</w:t>
      </w:r>
      <w:r w:rsidRPr="009E3EB1">
        <w:rPr>
          <w:rFonts w:ascii="Traditional Arabic" w:hAnsi="Traditional Arabic" w:hint="cs"/>
          <w:noProof w:val="0"/>
          <w:rtl/>
          <w:lang w:eastAsia="en-US"/>
        </w:rPr>
        <w:t>ْ</w:t>
      </w:r>
      <w:r w:rsidRPr="009E3EB1">
        <w:rPr>
          <w:rFonts w:ascii="Traditional Arabic" w:hAnsi="Traditional Arabic"/>
          <w:noProof w:val="0"/>
          <w:rtl/>
          <w:lang w:eastAsia="en-US"/>
        </w:rPr>
        <w:t>ت</w:t>
      </w:r>
      <w:r w:rsidRPr="009E3EB1">
        <w:rPr>
          <w:rFonts w:ascii="Traditional Arabic" w:hAnsi="Traditional Arabic" w:hint="cs"/>
          <w:noProof w:val="0"/>
          <w:rtl/>
          <w:lang w:eastAsia="en-US"/>
        </w:rPr>
        <w:t>َ</w:t>
      </w:r>
      <w:r w:rsidRPr="009E3EB1">
        <w:rPr>
          <w:rFonts w:ascii="Traditional Arabic" w:hAnsi="Traditional Arabic"/>
          <w:noProof w:val="0"/>
          <w:rtl/>
          <w:lang w:eastAsia="en-US"/>
        </w:rPr>
        <w:t xml:space="preserve">ني، </w:t>
      </w:r>
      <w:r w:rsidRPr="009E3EB1">
        <w:rPr>
          <w:rFonts w:ascii="Traditional Arabic" w:hAnsi="Traditional Arabic" w:hint="cs"/>
          <w:noProof w:val="0"/>
          <w:rtl/>
          <w:lang w:eastAsia="en-US"/>
        </w:rPr>
        <w:t>و</w:t>
      </w:r>
      <w:r w:rsidRPr="009E3EB1">
        <w:rPr>
          <w:rFonts w:ascii="Traditional Arabic" w:hAnsi="Traditional Arabic"/>
          <w:noProof w:val="0"/>
          <w:rtl/>
          <w:lang w:eastAsia="en-US"/>
        </w:rPr>
        <w:t xml:space="preserve">قال </w:t>
      </w:r>
      <w:r w:rsidRPr="009E3EB1">
        <w:rPr>
          <w:rFonts w:ascii="Traditional Arabic" w:hAnsi="Traditional Arabic" w:hint="cs"/>
          <w:noProof w:val="0"/>
          <w:rtl/>
          <w:lang w:eastAsia="en-US"/>
        </w:rPr>
        <w:t xml:space="preserve">المالك </w:t>
      </w:r>
      <w:r w:rsidRPr="009E3EB1">
        <w:rPr>
          <w:rFonts w:ascii="Traditional Arabic" w:hAnsi="Traditional Arabic"/>
          <w:noProof w:val="0"/>
          <w:rtl/>
          <w:lang w:eastAsia="en-US"/>
        </w:rPr>
        <w:t xml:space="preserve">له: بل </w:t>
      </w:r>
      <w:r>
        <w:rPr>
          <w:rFonts w:ascii="Traditional Arabic" w:hAnsi="Traditional Arabic" w:hint="cs"/>
          <w:noProof w:val="0"/>
          <w:rtl/>
          <w:lang w:eastAsia="en-US"/>
        </w:rPr>
        <w:t>آ</w:t>
      </w:r>
      <w:r w:rsidRPr="009E3EB1">
        <w:rPr>
          <w:rFonts w:ascii="Traditional Arabic" w:hAnsi="Traditional Arabic"/>
          <w:noProof w:val="0"/>
          <w:rtl/>
          <w:lang w:eastAsia="en-US"/>
        </w:rPr>
        <w:t>جرت</w:t>
      </w:r>
      <w:r w:rsidRPr="009E3EB1">
        <w:rPr>
          <w:rFonts w:ascii="Traditional Arabic" w:hAnsi="Traditional Arabic" w:hint="cs"/>
          <w:noProof w:val="0"/>
          <w:rtl/>
          <w:lang w:eastAsia="en-US"/>
        </w:rPr>
        <w:t>ُ</w:t>
      </w:r>
      <w:r w:rsidRPr="009E3EB1">
        <w:rPr>
          <w:rFonts w:ascii="Traditional Arabic" w:hAnsi="Traditional Arabic"/>
          <w:noProof w:val="0"/>
          <w:rtl/>
          <w:lang w:eastAsia="en-US"/>
        </w:rPr>
        <w:t>ك</w:t>
      </w:r>
      <w:r>
        <w:rPr>
          <w:rFonts w:hint="cs"/>
          <w:rtl/>
        </w:rPr>
        <w:t>، فالقول قول المالك فيما مضى من المدة مع يمينه؛</w:t>
      </w:r>
      <w:r w:rsidRPr="009E3EB1">
        <w:rPr>
          <w:rFonts w:ascii="Traditional Arabic" w:hAnsi="Traditional Arabic"/>
          <w:noProof w:val="0"/>
          <w:rtl/>
          <w:lang w:eastAsia="en-US"/>
        </w:rPr>
        <w:t>لأن القاعدة أن الأصل فيمن قبض ملك غيره أنه مضمون عليه؛ ولأن الأصل أن الإنسان لا يسل</w:t>
      </w:r>
      <w:r w:rsidRPr="009E3EB1">
        <w:rPr>
          <w:rFonts w:ascii="Traditional Arabic" w:hAnsi="Traditional Arabic" w:hint="cs"/>
          <w:noProof w:val="0"/>
          <w:rtl/>
          <w:lang w:eastAsia="en-US"/>
        </w:rPr>
        <w:t>ِّ</w:t>
      </w:r>
      <w:r w:rsidRPr="009E3EB1">
        <w:rPr>
          <w:rFonts w:ascii="Traditional Arabic" w:hAnsi="Traditional Arabic"/>
          <w:noProof w:val="0"/>
          <w:rtl/>
          <w:lang w:eastAsia="en-US"/>
        </w:rPr>
        <w:t>ط</w:t>
      </w:r>
      <w:r w:rsidRPr="009E3EB1">
        <w:rPr>
          <w:rFonts w:ascii="Traditional Arabic" w:hAnsi="Traditional Arabic" w:hint="cs"/>
          <w:noProof w:val="0"/>
          <w:rtl/>
          <w:lang w:eastAsia="en-US"/>
        </w:rPr>
        <w:t xml:space="preserve"> غيرَه</w:t>
      </w:r>
      <w:r w:rsidRPr="009E3EB1">
        <w:rPr>
          <w:rFonts w:ascii="Traditional Arabic" w:hAnsi="Traditional Arabic"/>
          <w:noProof w:val="0"/>
          <w:rtl/>
          <w:lang w:eastAsia="en-US"/>
        </w:rPr>
        <w:t xml:space="preserve"> على ملكه إلا بعوض، والتبر</w:t>
      </w:r>
      <w:r w:rsidRPr="009E3EB1">
        <w:rPr>
          <w:rFonts w:ascii="Traditional Arabic" w:hAnsi="Traditional Arabic" w:hint="cs"/>
          <w:noProof w:val="0"/>
          <w:rtl/>
          <w:lang w:eastAsia="en-US"/>
        </w:rPr>
        <w:t>ُّ</w:t>
      </w:r>
      <w:r w:rsidRPr="009E3EB1">
        <w:rPr>
          <w:rFonts w:ascii="Traditional Arabic" w:hAnsi="Traditional Arabic"/>
          <w:noProof w:val="0"/>
          <w:rtl/>
          <w:lang w:eastAsia="en-US"/>
        </w:rPr>
        <w:t>ع أمر طارئ</w:t>
      </w:r>
      <w:r w:rsidRPr="00C821A1">
        <w:rPr>
          <w:rStyle w:val="af1"/>
          <w:szCs w:val="32"/>
          <w:rtl/>
        </w:rPr>
        <w:t>(</w:t>
      </w:r>
      <w:r w:rsidRPr="00C821A1">
        <w:rPr>
          <w:rStyle w:val="af1"/>
          <w:szCs w:val="32"/>
          <w:rtl/>
        </w:rPr>
        <w:footnoteReference w:id="2132"/>
      </w:r>
      <w:r w:rsidRPr="00C821A1">
        <w:rPr>
          <w:rStyle w:val="af1"/>
          <w:szCs w:val="32"/>
          <w:rtl/>
        </w:rPr>
        <w:t>)</w:t>
      </w:r>
      <w:r w:rsidRPr="009E3EB1">
        <w:rPr>
          <w:rFonts w:ascii="Traditional Arabic" w:hAnsi="Traditional Arabic"/>
          <w:noProof w:val="0"/>
          <w:rtl/>
          <w:lang w:eastAsia="en-US"/>
        </w:rPr>
        <w:t>.</w:t>
      </w:r>
    </w:p>
    <w:p w:rsidR="007868F9" w:rsidRDefault="007868F9" w:rsidP="00597C20">
      <w:pPr>
        <w:pStyle w:val="53"/>
        <w:rPr>
          <w:rtl/>
        </w:rPr>
      </w:pPr>
      <w:r>
        <w:rPr>
          <w:rFonts w:hint="cs"/>
          <w:rtl/>
        </w:rPr>
        <w:t>وجه اندراج الفرع تحت الضابط:</w:t>
      </w:r>
    </w:p>
    <w:p w:rsidR="007868F9" w:rsidRDefault="004B29C1" w:rsidP="00597C20">
      <w:pPr>
        <w:ind w:firstLine="720"/>
        <w:rPr>
          <w:rtl/>
        </w:rPr>
      </w:pPr>
      <w:r>
        <w:rPr>
          <w:rFonts w:hint="cs"/>
          <w:rtl/>
        </w:rPr>
        <w:t>إ</w:t>
      </w:r>
      <w:r w:rsidR="007868F9">
        <w:rPr>
          <w:rFonts w:hint="cs"/>
          <w:rtl/>
        </w:rPr>
        <w:t>ن من بيده العين</w:t>
      </w:r>
      <w:r w:rsidR="00192192">
        <w:rPr>
          <w:rFonts w:hint="cs"/>
          <w:rtl/>
        </w:rPr>
        <w:t xml:space="preserve">ُ </w:t>
      </w:r>
      <w:r w:rsidR="007868F9">
        <w:rPr>
          <w:rFonts w:hint="cs"/>
          <w:rtl/>
        </w:rPr>
        <w:t>قد قبض عيناً مملوكة لغيره فتكون مضمونة</w:t>
      </w:r>
      <w:r w:rsidR="00192192">
        <w:rPr>
          <w:rFonts w:hint="cs"/>
          <w:rtl/>
        </w:rPr>
        <w:t>ً</w:t>
      </w:r>
      <w:r w:rsidR="007868F9">
        <w:rPr>
          <w:rFonts w:hint="cs"/>
          <w:rtl/>
        </w:rPr>
        <w:t xml:space="preserve"> عليه؛ لأن الأصل فيمن قبض مال</w:t>
      </w:r>
      <w:r>
        <w:rPr>
          <w:rFonts w:hint="cs"/>
          <w:rtl/>
        </w:rPr>
        <w:t>َ</w:t>
      </w:r>
      <w:r w:rsidR="007868F9">
        <w:rPr>
          <w:rFonts w:hint="cs"/>
          <w:rtl/>
        </w:rPr>
        <w:t xml:space="preserve"> غيره الضمان، ويلزمه أن يدفع أ</w:t>
      </w:r>
      <w:r w:rsidR="00192192">
        <w:rPr>
          <w:rFonts w:hint="cs"/>
          <w:rtl/>
        </w:rPr>
        <w:t>ُ</w:t>
      </w:r>
      <w:r w:rsidR="007868F9">
        <w:rPr>
          <w:rFonts w:hint="cs"/>
          <w:rtl/>
        </w:rPr>
        <w:t>جرة المثل</w:t>
      </w:r>
      <w:r w:rsidR="007868F9" w:rsidRPr="00C821A1">
        <w:rPr>
          <w:rStyle w:val="af1"/>
          <w:szCs w:val="32"/>
          <w:rtl/>
        </w:rPr>
        <w:t>(</w:t>
      </w:r>
      <w:r w:rsidR="007868F9" w:rsidRPr="00C821A1">
        <w:rPr>
          <w:rStyle w:val="af1"/>
          <w:szCs w:val="32"/>
          <w:rtl/>
        </w:rPr>
        <w:footnoteReference w:id="2133"/>
      </w:r>
      <w:r w:rsidR="007868F9" w:rsidRPr="00C821A1">
        <w:rPr>
          <w:rStyle w:val="af1"/>
          <w:szCs w:val="32"/>
          <w:rtl/>
        </w:rPr>
        <w:t>)</w:t>
      </w:r>
      <w:r w:rsidR="007868F9">
        <w:rPr>
          <w:rFonts w:hint="cs"/>
          <w:rtl/>
        </w:rPr>
        <w:t xml:space="preserve"> للمالك ل</w:t>
      </w:r>
      <w:r w:rsidR="00192192">
        <w:rPr>
          <w:rFonts w:hint="cs"/>
          <w:rtl/>
        </w:rPr>
        <w:t>ِ</w:t>
      </w:r>
      <w:r w:rsidR="007868F9">
        <w:rPr>
          <w:rFonts w:hint="cs"/>
          <w:rtl/>
        </w:rPr>
        <w:t>ما مضى من المدة؛ لأن الأصل أن الإنسان لا يسلِّط غيرَه على ملكه إلا بعوض.</w:t>
      </w:r>
    </w:p>
    <w:p w:rsidR="007868F9" w:rsidRDefault="007868F9" w:rsidP="000A76C7">
      <w:pPr>
        <w:pStyle w:val="afc"/>
        <w:numPr>
          <w:ilvl w:val="0"/>
          <w:numId w:val="294"/>
        </w:numPr>
      </w:pPr>
      <w:r>
        <w:rPr>
          <w:rFonts w:hint="cs"/>
          <w:rtl/>
        </w:rPr>
        <w:t>إذا اختلف المالك ومن بيده العين، فقال المالك: أعرتُك، وقال من هي بيده: بل أجَّرتني، فالقول قول المالك</w:t>
      </w:r>
      <w:r w:rsidRPr="00C821A1">
        <w:rPr>
          <w:rStyle w:val="af1"/>
          <w:szCs w:val="32"/>
          <w:rtl/>
        </w:rPr>
        <w:t>(</w:t>
      </w:r>
      <w:r w:rsidRPr="00C821A1">
        <w:rPr>
          <w:rStyle w:val="af1"/>
          <w:szCs w:val="32"/>
          <w:rtl/>
        </w:rPr>
        <w:footnoteReference w:id="2134"/>
      </w:r>
      <w:r w:rsidRPr="00C821A1">
        <w:rPr>
          <w:rStyle w:val="af1"/>
          <w:szCs w:val="32"/>
          <w:rtl/>
        </w:rPr>
        <w:t>)</w:t>
      </w:r>
      <w:r>
        <w:rPr>
          <w:rFonts w:hint="cs"/>
          <w:rtl/>
        </w:rPr>
        <w:t>؛ لأن الأصل فيمن قبض مال غيره الضمان</w:t>
      </w:r>
      <w:r w:rsidRPr="00C821A1">
        <w:rPr>
          <w:rStyle w:val="af1"/>
          <w:szCs w:val="32"/>
          <w:rtl/>
        </w:rPr>
        <w:t>(</w:t>
      </w:r>
      <w:r w:rsidRPr="00C821A1">
        <w:rPr>
          <w:rStyle w:val="af1"/>
          <w:szCs w:val="32"/>
          <w:rtl/>
        </w:rPr>
        <w:footnoteReference w:id="2135"/>
      </w:r>
      <w:r w:rsidRPr="00C821A1">
        <w:rPr>
          <w:rStyle w:val="af1"/>
          <w:szCs w:val="32"/>
          <w:rtl/>
        </w:rPr>
        <w:t>)</w:t>
      </w:r>
      <w:r>
        <w:rPr>
          <w:rFonts w:hint="cs"/>
          <w:rtl/>
        </w:rPr>
        <w:t>.</w:t>
      </w:r>
    </w:p>
    <w:p w:rsidR="007868F9" w:rsidRDefault="007868F9" w:rsidP="00597C20">
      <w:pPr>
        <w:pStyle w:val="53"/>
        <w:rPr>
          <w:rtl/>
        </w:rPr>
      </w:pPr>
      <w:r>
        <w:rPr>
          <w:rFonts w:hint="cs"/>
          <w:rtl/>
        </w:rPr>
        <w:lastRenderedPageBreak/>
        <w:t>وجه اندراج الفرع تحت الضابط:</w:t>
      </w:r>
    </w:p>
    <w:p w:rsidR="007868F9" w:rsidRDefault="007868F9" w:rsidP="00597C20">
      <w:pPr>
        <w:ind w:firstLine="720"/>
        <w:rPr>
          <w:rtl/>
        </w:rPr>
      </w:pPr>
      <w:r>
        <w:rPr>
          <w:rFonts w:hint="cs"/>
          <w:rtl/>
        </w:rPr>
        <w:t>إنما كان القول قول المالك؛ لأنهما اختلفا في صفة القبض، والأصل فيمن قبض ملك غيره الضمان</w:t>
      </w:r>
      <w:r w:rsidRPr="00C821A1">
        <w:rPr>
          <w:rStyle w:val="af1"/>
          <w:szCs w:val="32"/>
          <w:rtl/>
        </w:rPr>
        <w:t>(</w:t>
      </w:r>
      <w:r w:rsidRPr="00C821A1">
        <w:rPr>
          <w:rStyle w:val="af1"/>
          <w:szCs w:val="32"/>
          <w:rtl/>
        </w:rPr>
        <w:footnoteReference w:id="2136"/>
      </w:r>
      <w:r w:rsidRPr="00C821A1">
        <w:rPr>
          <w:rStyle w:val="af1"/>
          <w:szCs w:val="32"/>
          <w:rtl/>
        </w:rPr>
        <w:t>)</w:t>
      </w:r>
      <w:r>
        <w:rPr>
          <w:rFonts w:hint="cs"/>
          <w:rtl/>
        </w:rPr>
        <w:t>.</w:t>
      </w:r>
    </w:p>
    <w:p w:rsidR="00EB60EC" w:rsidRDefault="00EB60EC" w:rsidP="00597C20">
      <w:pPr>
        <w:ind w:firstLine="720"/>
        <w:rPr>
          <w:rtl/>
        </w:rPr>
      </w:pPr>
    </w:p>
    <w:p w:rsidR="00EB60EC" w:rsidRPr="007A6F9A" w:rsidRDefault="00EB60EC" w:rsidP="00B334D1">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EB60EC" w:rsidRPr="00657CE4" w:rsidRDefault="00EB60EC" w:rsidP="00597C20">
      <w:pPr>
        <w:ind w:firstLine="720"/>
      </w:pPr>
    </w:p>
    <w:p w:rsidR="0078336F" w:rsidRPr="00C85F0F" w:rsidRDefault="00E4746A" w:rsidP="000F5C0F">
      <w:pPr>
        <w:pStyle w:val="aff2"/>
        <w:rPr>
          <w:rtl/>
        </w:rPr>
      </w:pPr>
      <w:bookmarkStart w:id="487" w:name="_Toc334046660"/>
      <w:r w:rsidRPr="00D816CC">
        <w:rPr>
          <w:rFonts w:ascii="Traditional Arabic" w:hAnsi="Traditional Arabic" w:hint="cs"/>
          <w:rtl/>
        </w:rPr>
        <w:lastRenderedPageBreak/>
        <w:t>المبحث الثاني</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78336F">
        <w:rPr>
          <w:rFonts w:hint="cs"/>
          <w:rtl/>
        </w:rPr>
        <w:t>ضابط</w:t>
      </w:r>
      <w:r w:rsidR="0078336F">
        <w:rPr>
          <w:rFonts w:hint="cs"/>
          <w:rtl/>
        </w:rPr>
        <w:br/>
        <w:t>"</w:t>
      </w:r>
      <w:r w:rsidR="0078336F">
        <w:rPr>
          <w:rtl/>
        </w:rPr>
        <w:t>ضابط المثلي يضمن بمثله</w:t>
      </w:r>
      <w:r w:rsidR="00B76414">
        <w:rPr>
          <w:rtl/>
        </w:rPr>
        <w:t>،</w:t>
      </w:r>
      <w:r w:rsidR="0078336F" w:rsidRPr="00967480">
        <w:rPr>
          <w:rtl/>
        </w:rPr>
        <w:t xml:space="preserve"> والمتقوَّم يضمن بقيمته</w:t>
      </w:r>
      <w:r w:rsidR="00AB0B9E" w:rsidRPr="00C85F0F">
        <w:rPr>
          <w:rtl/>
        </w:rPr>
        <w:fldChar w:fldCharType="begin"/>
      </w:r>
      <w:r w:rsidR="00945AC4" w:rsidRPr="00C85F0F">
        <w:instrText>XE</w:instrText>
      </w:r>
      <w:r w:rsidR="00945AC4" w:rsidRPr="00C85F0F">
        <w:rPr>
          <w:rtl/>
        </w:rPr>
        <w:instrText xml:space="preserve"> "</w:instrText>
      </w:r>
      <w:r w:rsidR="00945AC4" w:rsidRPr="00C85F0F">
        <w:rPr>
          <w:rFonts w:hint="cs"/>
          <w:rtl/>
        </w:rPr>
        <w:instrText>ضابطالمثلييضمنبمثله،والمتقوَّميضمنبقيمته</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78336F" w:rsidRPr="00C85F0F">
        <w:rPr>
          <w:rFonts w:hint="cs"/>
          <w:rtl/>
        </w:rPr>
        <w:t>"</w:t>
      </w:r>
      <w:r w:rsidR="0078336F" w:rsidRPr="00C85F0F">
        <w:rPr>
          <w:rStyle w:val="af1"/>
          <w:b w:val="0"/>
          <w:bCs w:val="0"/>
          <w:szCs w:val="32"/>
          <w:rtl/>
        </w:rPr>
        <w:t>(</w:t>
      </w:r>
      <w:r w:rsidR="0078336F" w:rsidRPr="00C85F0F">
        <w:rPr>
          <w:rStyle w:val="af1"/>
          <w:b w:val="0"/>
          <w:bCs w:val="0"/>
          <w:szCs w:val="32"/>
          <w:rtl/>
        </w:rPr>
        <w:footnoteReference w:id="2137"/>
      </w:r>
      <w:r w:rsidR="0078336F" w:rsidRPr="00C85F0F">
        <w:rPr>
          <w:rStyle w:val="af1"/>
          <w:b w:val="0"/>
          <w:bCs w:val="0"/>
          <w:szCs w:val="32"/>
          <w:rtl/>
        </w:rPr>
        <w:t>)</w:t>
      </w:r>
      <w:bookmarkEnd w:id="487"/>
    </w:p>
    <w:p w:rsidR="0078336F" w:rsidRPr="00C85F0F" w:rsidRDefault="00526971" w:rsidP="00A8347C">
      <w:pPr>
        <w:pStyle w:val="aff3"/>
        <w:rPr>
          <w:rtl/>
        </w:rPr>
      </w:pPr>
      <w:bookmarkStart w:id="488" w:name="_Toc334046661"/>
      <w:r>
        <w:rPr>
          <w:rFonts w:hint="cs"/>
          <w:rtl/>
        </w:rPr>
        <w:t xml:space="preserve">                                         </w:t>
      </w:r>
      <w:r w:rsidR="0078336F" w:rsidRPr="00C85F0F">
        <w:rPr>
          <w:rFonts w:hint="cs"/>
          <w:rtl/>
        </w:rPr>
        <w:t>المطلب الأول</w:t>
      </w:r>
      <w:r w:rsidR="0078336F" w:rsidRPr="00C85F0F">
        <w:rPr>
          <w:rFonts w:hint="eastAsia"/>
          <w:rtl/>
        </w:rPr>
        <w:t> :</w:t>
      </w:r>
      <w:r w:rsidR="0078336F" w:rsidRPr="00C85F0F">
        <w:rPr>
          <w:rFonts w:hint="cs"/>
          <w:rtl/>
        </w:rPr>
        <w:br/>
      </w:r>
      <w:r>
        <w:rPr>
          <w:rFonts w:hint="cs"/>
          <w:rtl/>
        </w:rPr>
        <w:t xml:space="preserve">                                          </w:t>
      </w:r>
      <w:r w:rsidR="0078336F" w:rsidRPr="00C85F0F">
        <w:rPr>
          <w:rFonts w:hint="cs"/>
          <w:rtl/>
        </w:rPr>
        <w:t>شرح الضابط</w:t>
      </w:r>
      <w:bookmarkEnd w:id="488"/>
    </w:p>
    <w:p w:rsidR="000A689C" w:rsidRPr="00C85F0F" w:rsidRDefault="0078336F" w:rsidP="00597C20">
      <w:pPr>
        <w:pStyle w:val="53"/>
        <w:rPr>
          <w:rtl/>
        </w:rPr>
      </w:pPr>
      <w:r w:rsidRPr="00C85F0F">
        <w:rPr>
          <w:rFonts w:hint="cs"/>
          <w:rtl/>
        </w:rPr>
        <w:t>المِثْلِيّ</w:t>
      </w:r>
      <w:r w:rsidR="00EB60EC">
        <w:rPr>
          <w:rFonts w:hint="cs"/>
          <w:rtl/>
        </w:rPr>
        <w:t xml:space="preserve"> </w:t>
      </w:r>
      <w:r w:rsidR="00AB0B9E">
        <w:rPr>
          <w:rtl/>
        </w:rPr>
        <w:fldChar w:fldCharType="begin"/>
      </w:r>
      <w:r w:rsidR="006E1F02">
        <w:instrText xml:space="preserve"> XE "</w:instrText>
      </w:r>
      <w:r w:rsidR="006E1F02" w:rsidRPr="006E1F02">
        <w:rPr>
          <w:rFonts w:hint="cs"/>
          <w:b w:val="0"/>
          <w:bCs w:val="0"/>
          <w:rtl/>
        </w:rPr>
        <w:instrText>المِثْلِيّ</w:instrText>
      </w:r>
      <w:r w:rsidR="006E1F02">
        <w:instrText xml:space="preserve">" </w:instrText>
      </w:r>
      <w:r w:rsidR="006E1F02" w:rsidRPr="006E1F02">
        <w:instrText xml:space="preserve">\fm </w:instrText>
      </w:r>
      <w:r w:rsidR="00AB0B9E">
        <w:rPr>
          <w:rtl/>
        </w:rPr>
        <w:fldChar w:fldCharType="end"/>
      </w:r>
      <w:r w:rsidRPr="006E1F02">
        <w:rPr>
          <w:rFonts w:hint="cs"/>
          <w:rtl/>
        </w:rPr>
        <w:t>لغة</w:t>
      </w:r>
      <w:r w:rsidRPr="00C85F0F">
        <w:rPr>
          <w:rFonts w:hint="cs"/>
          <w:rtl/>
        </w:rPr>
        <w:t>:</w:t>
      </w:r>
    </w:p>
    <w:p w:rsidR="0078336F" w:rsidRPr="00C85F0F" w:rsidRDefault="0078336F" w:rsidP="00597C20">
      <w:pPr>
        <w:ind w:firstLine="720"/>
        <w:rPr>
          <w:rtl/>
        </w:rPr>
      </w:pPr>
      <w:r w:rsidRPr="00C85F0F">
        <w:rPr>
          <w:rFonts w:hint="cs"/>
          <w:rtl/>
        </w:rPr>
        <w:t>ما له مِثلٌ</w:t>
      </w:r>
      <w:r w:rsidRPr="00C85F0F">
        <w:rPr>
          <w:rStyle w:val="af1"/>
          <w:szCs w:val="32"/>
          <w:rtl/>
        </w:rPr>
        <w:t>(</w:t>
      </w:r>
      <w:r w:rsidRPr="00C85F0F">
        <w:rPr>
          <w:rStyle w:val="af1"/>
          <w:szCs w:val="32"/>
          <w:rtl/>
        </w:rPr>
        <w:footnoteReference w:id="2138"/>
      </w:r>
      <w:r w:rsidRPr="00C85F0F">
        <w:rPr>
          <w:rStyle w:val="af1"/>
          <w:szCs w:val="32"/>
          <w:rtl/>
        </w:rPr>
        <w:t>)</w:t>
      </w:r>
      <w:r w:rsidRPr="00C85F0F">
        <w:rPr>
          <w:rFonts w:hint="cs"/>
          <w:rtl/>
        </w:rPr>
        <w:t>.</w:t>
      </w:r>
    </w:p>
    <w:p w:rsidR="000A689C" w:rsidRPr="00C85F0F" w:rsidRDefault="0078336F" w:rsidP="00597C20">
      <w:pPr>
        <w:pStyle w:val="53"/>
        <w:rPr>
          <w:rtl/>
        </w:rPr>
      </w:pPr>
      <w:r w:rsidRPr="00C85F0F">
        <w:rPr>
          <w:rFonts w:hint="cs"/>
          <w:rtl/>
        </w:rPr>
        <w:t xml:space="preserve">المِثْل </w:t>
      </w:r>
      <w:r w:rsidRPr="006E1F02">
        <w:rPr>
          <w:rFonts w:hint="cs"/>
          <w:rtl/>
        </w:rPr>
        <w:t>لغة</w:t>
      </w:r>
      <w:r w:rsidRPr="00C85F0F">
        <w:rPr>
          <w:rFonts w:hint="cs"/>
          <w:rtl/>
        </w:rPr>
        <w:t>:</w:t>
      </w:r>
    </w:p>
    <w:p w:rsidR="00065E4B" w:rsidRPr="00C85F0F" w:rsidRDefault="0078336F" w:rsidP="00597C20">
      <w:pPr>
        <w:ind w:firstLine="720"/>
        <w:rPr>
          <w:rFonts w:ascii="Traditional Arabic" w:hAnsi="Traditional Arabic"/>
          <w:noProof w:val="0"/>
          <w:rtl/>
          <w:lang w:eastAsia="en-US"/>
        </w:rPr>
      </w:pPr>
      <w:r w:rsidRPr="00C85F0F">
        <w:rPr>
          <w:rFonts w:hint="cs"/>
          <w:rtl/>
        </w:rPr>
        <w:t xml:space="preserve">يقول  ابن فارس </w:t>
      </w:r>
      <w:r w:rsidR="00192192">
        <w:rPr>
          <w:rFonts w:hint="cs"/>
          <w:rtl/>
        </w:rPr>
        <w:t>_</w:t>
      </w:r>
      <w:r w:rsidR="009A0575" w:rsidRPr="005D5694">
        <w:rPr>
          <w:rFonts w:ascii="Traditional Arabic" w:hAnsi="Traditional Arabic" w:cs="CTraditional Arabic" w:hint="cs"/>
          <w:rtl/>
        </w:rPr>
        <w:t>/</w:t>
      </w:r>
      <w:r w:rsidR="00192192">
        <w:rPr>
          <w:rFonts w:hint="cs"/>
          <w:rtl/>
        </w:rPr>
        <w:t>_</w:t>
      </w:r>
      <w:r w:rsidRPr="00C85F0F">
        <w:rPr>
          <w:rFonts w:hint="cs"/>
          <w:rtl/>
        </w:rPr>
        <w:t>:(</w:t>
      </w:r>
      <w:r w:rsidRPr="00C85F0F">
        <w:rPr>
          <w:rFonts w:ascii="Traditional Arabic" w:hAnsi="Traditional Arabic"/>
          <w:noProof w:val="0"/>
          <w:rtl/>
          <w:lang w:eastAsia="en-US"/>
        </w:rPr>
        <w:t>الميم والثاء واللام أصل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صحيح يدل على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ناظ</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رة الشيء للشيء. وهذا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ث</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هذا، أي نظيره، والمثل والمثال في معنى واحد. وربما قالوا</w:t>
      </w:r>
      <w:r w:rsidR="00192192">
        <w:rPr>
          <w:rFonts w:ascii="Traditional Arabic" w:hAnsi="Traditional Arabic" w:hint="cs"/>
          <w:noProof w:val="0"/>
          <w:rtl/>
          <w:lang w:eastAsia="en-US"/>
        </w:rPr>
        <w:t>:</w:t>
      </w:r>
      <w:r w:rsidRPr="00C85F0F">
        <w:rPr>
          <w:rFonts w:ascii="Traditional Arabic" w:hAnsi="Traditional Arabic"/>
          <w:noProof w:val="0"/>
          <w:rtl/>
          <w:lang w:eastAsia="en-US"/>
        </w:rPr>
        <w:t xml:space="preserve"> مثيل</w:t>
      </w:r>
      <w:r w:rsidR="00192192">
        <w:rPr>
          <w:rFonts w:ascii="Traditional Arabic" w:hAnsi="Traditional Arabic" w:hint="cs"/>
          <w:noProof w:val="0"/>
          <w:rtl/>
          <w:lang w:eastAsia="en-US"/>
        </w:rPr>
        <w:t>،</w:t>
      </w:r>
      <w:r w:rsidRPr="00C85F0F">
        <w:rPr>
          <w:rFonts w:ascii="Traditional Arabic" w:hAnsi="Traditional Arabic"/>
          <w:noProof w:val="0"/>
          <w:rtl/>
          <w:lang w:eastAsia="en-US"/>
        </w:rPr>
        <w:t xml:space="preserve"> كشبيه.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.وال</w:t>
      </w:r>
      <w:r w:rsidR="00192192">
        <w:rPr>
          <w:rFonts w:ascii="Traditional Arabic" w:hAnsi="Traditional Arabic" w:hint="cs"/>
          <w:noProof w:val="0"/>
          <w:rtl/>
          <w:lang w:eastAsia="en-US"/>
        </w:rPr>
        <w:t>ْ</w:t>
      </w:r>
      <w:r w:rsidRPr="00C85F0F">
        <w:rPr>
          <w:rFonts w:ascii="Traditional Arabic" w:hAnsi="Traditional Arabic"/>
          <w:noProof w:val="0"/>
          <w:rtl/>
          <w:lang w:eastAsia="en-US"/>
        </w:rPr>
        <w:t>م</w:t>
      </w:r>
      <w:r w:rsidR="00192192">
        <w:rPr>
          <w:rFonts w:ascii="Traditional Arabic" w:hAnsi="Traditional Arabic" w:hint="cs"/>
          <w:noProof w:val="0"/>
          <w:rtl/>
          <w:lang w:eastAsia="en-US"/>
        </w:rPr>
        <w:t>َ</w:t>
      </w:r>
      <w:r w:rsidRPr="00C85F0F">
        <w:rPr>
          <w:rFonts w:ascii="Traditional Arabic" w:hAnsi="Traditional Arabic"/>
          <w:noProof w:val="0"/>
          <w:rtl/>
          <w:lang w:eastAsia="en-US"/>
        </w:rPr>
        <w:t>ث</w:t>
      </w:r>
      <w:r w:rsidR="00192192">
        <w:rPr>
          <w:rFonts w:ascii="Traditional Arabic" w:hAnsi="Traditional Arabic" w:hint="cs"/>
          <w:noProof w:val="0"/>
          <w:rtl/>
          <w:lang w:eastAsia="en-US"/>
        </w:rPr>
        <w:t>َ</w:t>
      </w:r>
      <w:r w:rsidRPr="00C85F0F">
        <w:rPr>
          <w:rFonts w:ascii="Traditional Arabic" w:hAnsi="Traditional Arabic"/>
          <w:noProof w:val="0"/>
          <w:rtl/>
          <w:lang w:eastAsia="en-US"/>
        </w:rPr>
        <w:t>ل: الم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ث</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أيضا، كش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وش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2139"/>
      </w:r>
      <w:r w:rsidRPr="00C85F0F">
        <w:rPr>
          <w:rStyle w:val="af1"/>
          <w:szCs w:val="32"/>
          <w:rtl/>
        </w:rPr>
        <w:t>)</w:t>
      </w:r>
      <w:r w:rsidRPr="00C85F0F">
        <w:rPr>
          <w:rFonts w:ascii="Traditional Arabic" w:hAnsi="Traditional Arabic"/>
          <w:noProof w:val="0"/>
          <w:rtl/>
          <w:lang w:eastAsia="en-US"/>
        </w:rPr>
        <w:t>.</w:t>
      </w:r>
    </w:p>
    <w:p w:rsidR="00065E4B" w:rsidRPr="00C85F0F" w:rsidRDefault="00065E4B" w:rsidP="00597C20">
      <w:pPr>
        <w:pStyle w:val="53"/>
        <w:rPr>
          <w:rtl/>
        </w:rPr>
      </w:pPr>
      <w:r w:rsidRPr="00C85F0F">
        <w:rPr>
          <w:rFonts w:hint="cs"/>
          <w:rtl/>
        </w:rPr>
        <w:lastRenderedPageBreak/>
        <w:t>ا</w:t>
      </w:r>
      <w:r w:rsidR="0078336F" w:rsidRPr="00C85F0F">
        <w:rPr>
          <w:rFonts w:hint="cs"/>
          <w:rtl/>
        </w:rPr>
        <w:t xml:space="preserve">لمثلي </w:t>
      </w:r>
      <w:r w:rsidR="0078336F" w:rsidRPr="006E1F02">
        <w:rPr>
          <w:rFonts w:hint="cs"/>
          <w:rtl/>
        </w:rPr>
        <w:t>اصطلاحا</w:t>
      </w:r>
      <w:r w:rsidR="0078336F" w:rsidRPr="00C85F0F">
        <w:rPr>
          <w:rFonts w:hint="cs"/>
          <w:rtl/>
        </w:rPr>
        <w:t>:</w:t>
      </w:r>
    </w:p>
    <w:p w:rsidR="00065E4B" w:rsidRPr="00C85F0F" w:rsidRDefault="00065E4B" w:rsidP="00597C20">
      <w:pPr>
        <w:ind w:firstLine="720"/>
        <w:rPr>
          <w:rFonts w:ascii="Traditional Arabic" w:hAnsi="Traditional Arabic"/>
          <w:noProof w:val="0"/>
          <w:rtl/>
          <w:lang w:eastAsia="en-US"/>
        </w:rPr>
      </w:pPr>
      <w:r w:rsidRPr="00C85F0F">
        <w:rPr>
          <w:rFonts w:ascii="Traditional Arabic" w:hAnsi="Traditional Arabic" w:hint="cs"/>
          <w:noProof w:val="0"/>
          <w:rtl/>
          <w:lang w:eastAsia="en-US"/>
        </w:rPr>
        <w:t>ا</w:t>
      </w:r>
      <w:r w:rsidR="0078336F" w:rsidRPr="00C85F0F">
        <w:rPr>
          <w:rFonts w:ascii="Traditional Arabic" w:hAnsi="Traditional Arabic" w:hint="cs"/>
          <w:noProof w:val="0"/>
          <w:rtl/>
          <w:lang w:eastAsia="en-US"/>
        </w:rPr>
        <w:t>ختلف الفقهاء في تحديد المثلي وكيفية ضبطه، ويمكن حصر هذا الخلاف في اتجاهين</w:t>
      </w:r>
      <w:r w:rsidR="0078336F" w:rsidRPr="00C85F0F">
        <w:rPr>
          <w:rStyle w:val="af1"/>
          <w:szCs w:val="32"/>
          <w:rtl/>
        </w:rPr>
        <w:t>(</w:t>
      </w:r>
      <w:r w:rsidR="0078336F" w:rsidRPr="00C85F0F">
        <w:rPr>
          <w:rStyle w:val="af1"/>
          <w:szCs w:val="32"/>
          <w:rtl/>
        </w:rPr>
        <w:footnoteReference w:id="2140"/>
      </w:r>
      <w:r w:rsidR="0078336F" w:rsidRPr="00C85F0F">
        <w:rPr>
          <w:rStyle w:val="af1"/>
          <w:szCs w:val="32"/>
          <w:rtl/>
        </w:rPr>
        <w:t>)</w:t>
      </w:r>
      <w:r w:rsidR="0078336F" w:rsidRPr="00C85F0F">
        <w:rPr>
          <w:rFonts w:ascii="Traditional Arabic" w:hAnsi="Traditional Arabic" w:hint="cs"/>
          <w:noProof w:val="0"/>
          <w:rtl/>
          <w:lang w:eastAsia="en-US"/>
        </w:rPr>
        <w:t>:</w:t>
      </w:r>
    </w:p>
    <w:p w:rsidR="0078336F" w:rsidRPr="00C85F0F" w:rsidRDefault="00065E4B" w:rsidP="00597C20">
      <w:pPr>
        <w:ind w:firstLine="0"/>
        <w:rPr>
          <w:rtl/>
        </w:rPr>
      </w:pPr>
      <w:r w:rsidRPr="00C85F0F">
        <w:rPr>
          <w:rFonts w:hint="cs"/>
          <w:rtl/>
        </w:rPr>
        <w:t>ا</w:t>
      </w:r>
      <w:r w:rsidR="0078336F" w:rsidRPr="00C85F0F">
        <w:rPr>
          <w:rFonts w:hint="cs"/>
          <w:rtl/>
        </w:rPr>
        <w:t>لاتجاه الأول: تحديد المثلي بالمكيل والموزون.وقد عرّفه أصحاب هذا الاتجاه بعدة تعريفات، منها:</w:t>
      </w:r>
    </w:p>
    <w:p w:rsidR="0078336F" w:rsidRPr="00C85F0F" w:rsidRDefault="0078336F" w:rsidP="000A76C7">
      <w:pPr>
        <w:pStyle w:val="afc"/>
        <w:numPr>
          <w:ilvl w:val="0"/>
          <w:numId w:val="295"/>
        </w:numPr>
      </w:pPr>
      <w:r w:rsidRPr="00C85F0F">
        <w:rPr>
          <w:rFonts w:hint="cs"/>
          <w:rtl/>
        </w:rPr>
        <w:t>كل مقدَّر بكيلٍ أو وزن</w:t>
      </w:r>
      <w:r w:rsidRPr="00C85F0F">
        <w:rPr>
          <w:rStyle w:val="af1"/>
          <w:szCs w:val="32"/>
          <w:rtl/>
        </w:rPr>
        <w:t>(</w:t>
      </w:r>
      <w:r w:rsidRPr="00C85F0F">
        <w:rPr>
          <w:rStyle w:val="af1"/>
          <w:szCs w:val="32"/>
          <w:rtl/>
        </w:rPr>
        <w:footnoteReference w:id="2141"/>
      </w:r>
      <w:r w:rsidRPr="00C85F0F">
        <w:rPr>
          <w:rStyle w:val="af1"/>
          <w:szCs w:val="32"/>
          <w:rtl/>
        </w:rPr>
        <w:t>)</w:t>
      </w:r>
      <w:r w:rsidRPr="00C85F0F">
        <w:rPr>
          <w:rFonts w:hint="cs"/>
          <w:rtl/>
        </w:rPr>
        <w:t>.</w:t>
      </w:r>
    </w:p>
    <w:p w:rsidR="0078336F" w:rsidRPr="00C85F0F" w:rsidRDefault="0078336F" w:rsidP="000A76C7">
      <w:pPr>
        <w:pStyle w:val="afc"/>
        <w:numPr>
          <w:ilvl w:val="0"/>
          <w:numId w:val="295"/>
        </w:numPr>
      </w:pPr>
      <w:r w:rsidRPr="00C85F0F">
        <w:rPr>
          <w:rFonts w:hint="cs"/>
          <w:rtl/>
        </w:rPr>
        <w:t>كل مكيل أو موزون، لا صناعةَ فيه مباحة، يصح السَّل</w:t>
      </w:r>
      <w:r w:rsidR="00192192">
        <w:rPr>
          <w:rFonts w:hint="cs"/>
          <w:rtl/>
        </w:rPr>
        <w:t>َ</w:t>
      </w:r>
      <w:r w:rsidRPr="00C85F0F">
        <w:rPr>
          <w:rFonts w:hint="cs"/>
          <w:rtl/>
        </w:rPr>
        <w:t>م فيه</w:t>
      </w:r>
      <w:r w:rsidRPr="00C85F0F">
        <w:rPr>
          <w:rStyle w:val="af1"/>
          <w:szCs w:val="32"/>
          <w:rtl/>
        </w:rPr>
        <w:t>(</w:t>
      </w:r>
      <w:r w:rsidRPr="00C85F0F">
        <w:rPr>
          <w:rStyle w:val="af1"/>
          <w:szCs w:val="32"/>
          <w:rtl/>
        </w:rPr>
        <w:footnoteReference w:id="2142"/>
      </w:r>
      <w:r w:rsidRPr="00C85F0F">
        <w:rPr>
          <w:rStyle w:val="af1"/>
          <w:szCs w:val="32"/>
          <w:rtl/>
        </w:rPr>
        <w:t>)</w:t>
      </w:r>
      <w:r w:rsidRPr="00C85F0F">
        <w:rPr>
          <w:rFonts w:hint="cs"/>
          <w:rtl/>
        </w:rPr>
        <w:t>.</w:t>
      </w:r>
    </w:p>
    <w:p w:rsidR="0078336F" w:rsidRPr="00C85F0F" w:rsidRDefault="0078336F" w:rsidP="00597C20">
      <w:pPr>
        <w:ind w:firstLine="0"/>
        <w:rPr>
          <w:rtl/>
        </w:rPr>
      </w:pPr>
      <w:r w:rsidRPr="00C85F0F">
        <w:rPr>
          <w:rFonts w:hint="cs"/>
          <w:rtl/>
        </w:rPr>
        <w:t>الاتجاه الثاني: لم يحصر المثلي في الكيل أو الوزن، بل وسَّع الدائرة لتشمل المعدود ونحوه مما تتقارَب صفاتُه.وقد عرف أصحاب هذا الاتجاه المثلي بعدة تعريفات، منها:</w:t>
      </w:r>
    </w:p>
    <w:p w:rsidR="0078336F" w:rsidRPr="00C85F0F" w:rsidRDefault="0078336F" w:rsidP="000A76C7">
      <w:pPr>
        <w:pStyle w:val="afc"/>
        <w:numPr>
          <w:ilvl w:val="0"/>
          <w:numId w:val="296"/>
        </w:numPr>
      </w:pPr>
      <w:r w:rsidRPr="00C85F0F">
        <w:rPr>
          <w:rFonts w:ascii="Traditional Arabic" w:hAnsi="Traditional Arabic"/>
          <w:noProof w:val="0"/>
          <w:rtl/>
          <w:lang w:eastAsia="en-US"/>
        </w:rPr>
        <w:t>ما يوجد مثل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في السوق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بدون تفاو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عتد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به</w:t>
      </w:r>
      <w:r w:rsidRPr="00C85F0F">
        <w:rPr>
          <w:rStyle w:val="af1"/>
          <w:szCs w:val="32"/>
          <w:rtl/>
        </w:rPr>
        <w:t>(</w:t>
      </w:r>
      <w:r w:rsidRPr="00C85F0F">
        <w:rPr>
          <w:rStyle w:val="af1"/>
          <w:szCs w:val="32"/>
          <w:rtl/>
        </w:rPr>
        <w:footnoteReference w:id="2143"/>
      </w:r>
      <w:r w:rsidRPr="00C85F0F">
        <w:rPr>
          <w:rStyle w:val="af1"/>
          <w:szCs w:val="32"/>
          <w:rtl/>
        </w:rPr>
        <w:t>)</w:t>
      </w:r>
      <w:r w:rsidRPr="00C85F0F">
        <w:rPr>
          <w:rFonts w:hint="cs"/>
          <w:rtl/>
        </w:rPr>
        <w:t>.</w:t>
      </w:r>
    </w:p>
    <w:p w:rsidR="00065E4B" w:rsidRPr="00C85F0F" w:rsidRDefault="0078336F" w:rsidP="000A76C7">
      <w:pPr>
        <w:pStyle w:val="afc"/>
        <w:numPr>
          <w:ilvl w:val="0"/>
          <w:numId w:val="296"/>
        </w:numPr>
      </w:pPr>
      <w:r w:rsidRPr="00C85F0F">
        <w:rPr>
          <w:rFonts w:hint="cs"/>
          <w:rtl/>
        </w:rPr>
        <w:t>كل شيء له مِثلٌ أو مُشابِه أو مُقارِب</w:t>
      </w:r>
      <w:r w:rsidRPr="00C85F0F">
        <w:rPr>
          <w:rStyle w:val="af1"/>
          <w:szCs w:val="32"/>
          <w:rtl/>
        </w:rPr>
        <w:t>(</w:t>
      </w:r>
      <w:r w:rsidRPr="00C85F0F">
        <w:rPr>
          <w:rStyle w:val="af1"/>
          <w:szCs w:val="32"/>
          <w:rtl/>
        </w:rPr>
        <w:footnoteReference w:id="2144"/>
      </w:r>
      <w:r w:rsidRPr="00C85F0F">
        <w:rPr>
          <w:rStyle w:val="af1"/>
          <w:szCs w:val="32"/>
          <w:rtl/>
        </w:rPr>
        <w:t>)</w:t>
      </w:r>
      <w:r w:rsidRPr="00C85F0F">
        <w:rPr>
          <w:rFonts w:hint="cs"/>
          <w:rtl/>
        </w:rPr>
        <w:t>.</w:t>
      </w:r>
    </w:p>
    <w:p w:rsidR="0078336F" w:rsidRPr="00C85F0F" w:rsidRDefault="00065E4B" w:rsidP="00597C20">
      <w:pPr>
        <w:ind w:firstLine="720"/>
        <w:rPr>
          <w:rtl/>
        </w:rPr>
      </w:pPr>
      <w:r w:rsidRPr="00C85F0F">
        <w:rPr>
          <w:rFonts w:hint="cs"/>
          <w:rtl/>
        </w:rPr>
        <w:t>و</w:t>
      </w:r>
      <w:r w:rsidR="0078336F" w:rsidRPr="00C85F0F">
        <w:rPr>
          <w:rFonts w:hint="cs"/>
          <w:rtl/>
        </w:rPr>
        <w:t xml:space="preserve">قد عرفه الشيخ ابن عثيمين </w:t>
      </w:r>
      <w:r w:rsidR="00B31761">
        <w:rPr>
          <w:rFonts w:hint="cs"/>
          <w:rtl/>
        </w:rPr>
        <w:t>_</w:t>
      </w:r>
      <w:r w:rsidR="009A0575" w:rsidRPr="005D5694">
        <w:rPr>
          <w:rFonts w:ascii="Traditional Arabic" w:hAnsi="Traditional Arabic" w:cs="CTraditional Arabic" w:hint="cs"/>
          <w:rtl/>
        </w:rPr>
        <w:t>/</w:t>
      </w:r>
      <w:r w:rsidR="00B31761">
        <w:rPr>
          <w:rFonts w:hint="cs"/>
          <w:rtl/>
        </w:rPr>
        <w:t>_</w:t>
      </w:r>
      <w:r w:rsidR="0078336F" w:rsidRPr="00C85F0F">
        <w:rPr>
          <w:rFonts w:hint="cs"/>
          <w:rtl/>
        </w:rPr>
        <w:t xml:space="preserve"> بقوله: </w:t>
      </w:r>
      <w:r w:rsidR="00B76414" w:rsidRPr="00C85F0F">
        <w:rPr>
          <w:rFonts w:hint="cs"/>
          <w:rtl/>
        </w:rPr>
        <w:t>(</w:t>
      </w:r>
      <w:r w:rsidR="0078336F" w:rsidRPr="00C85F0F">
        <w:rPr>
          <w:rFonts w:hint="cs"/>
          <w:rtl/>
        </w:rPr>
        <w:t>والصحيح أن المثلي ما كان له مثيل مطابق أو مقارب تقارُباً كثيراً)</w:t>
      </w:r>
      <w:r w:rsidR="0078336F" w:rsidRPr="00C85F0F">
        <w:rPr>
          <w:rStyle w:val="af1"/>
          <w:szCs w:val="32"/>
          <w:rtl/>
        </w:rPr>
        <w:t>(</w:t>
      </w:r>
      <w:r w:rsidR="0078336F" w:rsidRPr="00C85F0F">
        <w:rPr>
          <w:rStyle w:val="af1"/>
          <w:szCs w:val="32"/>
          <w:rtl/>
        </w:rPr>
        <w:footnoteReference w:id="2145"/>
      </w:r>
      <w:r w:rsidR="0078336F" w:rsidRPr="00C85F0F">
        <w:rPr>
          <w:rStyle w:val="af1"/>
          <w:szCs w:val="32"/>
          <w:rtl/>
        </w:rPr>
        <w:t>)</w:t>
      </w:r>
      <w:r w:rsidR="0078336F" w:rsidRPr="00C85F0F">
        <w:rPr>
          <w:rFonts w:hint="cs"/>
          <w:rtl/>
        </w:rPr>
        <w:t>.</w:t>
      </w:r>
    </w:p>
    <w:p w:rsidR="00065E4B" w:rsidRPr="00C85F0F" w:rsidRDefault="0078336F" w:rsidP="00597C20">
      <w:pPr>
        <w:ind w:firstLine="720"/>
        <w:rPr>
          <w:rtl/>
        </w:rPr>
      </w:pPr>
      <w:r w:rsidRPr="00C85F0F">
        <w:rPr>
          <w:rFonts w:hint="cs"/>
          <w:rtl/>
        </w:rPr>
        <w:t>وقال في موضع آخر: (والصحيح أن المثلي ما له مماثل، إما مطابق تماماً وإما مقارب، سواء كان مصنوعاً أو غير مصنوع، وسواء كان مكيلا أو موزونا أو غيرهما، وسواء يصح فيه السلم أو لا يصح)</w:t>
      </w:r>
      <w:r w:rsidRPr="00C85F0F">
        <w:rPr>
          <w:rStyle w:val="af1"/>
          <w:szCs w:val="32"/>
          <w:rtl/>
        </w:rPr>
        <w:t>(</w:t>
      </w:r>
      <w:r w:rsidRPr="00C85F0F">
        <w:rPr>
          <w:rStyle w:val="af1"/>
          <w:szCs w:val="32"/>
          <w:rtl/>
        </w:rPr>
        <w:footnoteReference w:id="2146"/>
      </w:r>
      <w:r w:rsidRPr="00C85F0F">
        <w:rPr>
          <w:rStyle w:val="af1"/>
          <w:szCs w:val="32"/>
          <w:rtl/>
        </w:rPr>
        <w:t>)</w:t>
      </w:r>
      <w:r w:rsidRPr="00C85F0F">
        <w:rPr>
          <w:rFonts w:hint="cs"/>
          <w:rtl/>
        </w:rPr>
        <w:t>.</w:t>
      </w:r>
    </w:p>
    <w:p w:rsidR="00065E4B" w:rsidRPr="00C85F0F" w:rsidRDefault="00065E4B" w:rsidP="00597C20">
      <w:pPr>
        <w:ind w:firstLine="720"/>
        <w:rPr>
          <w:rtl/>
        </w:rPr>
      </w:pPr>
      <w:r w:rsidRPr="00C85F0F">
        <w:rPr>
          <w:rFonts w:hint="cs"/>
          <w:rtl/>
        </w:rPr>
        <w:t>و</w:t>
      </w:r>
      <w:r w:rsidR="00192192">
        <w:rPr>
          <w:rFonts w:hint="cs"/>
          <w:rtl/>
        </w:rPr>
        <w:t>يتبيَّن من ذلك أن الشيخ _رح</w:t>
      </w:r>
      <w:r w:rsidR="0078336F" w:rsidRPr="00C85F0F">
        <w:rPr>
          <w:rFonts w:hint="cs"/>
          <w:rtl/>
        </w:rPr>
        <w:t>مه الله</w:t>
      </w:r>
      <w:r w:rsidR="00192192">
        <w:rPr>
          <w:rFonts w:hint="cs"/>
          <w:rtl/>
        </w:rPr>
        <w:t>_</w:t>
      </w:r>
      <w:r w:rsidR="0078336F" w:rsidRPr="00C85F0F">
        <w:rPr>
          <w:rFonts w:hint="cs"/>
          <w:rtl/>
        </w:rPr>
        <w:t xml:space="preserve"> قد رجح ما عليه أصحاب الاتجاه الثاني، وبالأخص تعريف شيخه عبد الرحمن السعدي </w:t>
      </w:r>
      <w:r w:rsidR="00192192">
        <w:rPr>
          <w:rFonts w:hint="cs"/>
          <w:rtl/>
        </w:rPr>
        <w:t>_</w:t>
      </w:r>
      <w:r w:rsidR="009A0575" w:rsidRPr="005D5694">
        <w:rPr>
          <w:rFonts w:ascii="Traditional Arabic" w:hAnsi="Traditional Arabic" w:cs="CTraditional Arabic" w:hint="cs"/>
          <w:rtl/>
        </w:rPr>
        <w:t>/</w:t>
      </w:r>
      <w:r w:rsidR="00192192">
        <w:rPr>
          <w:rFonts w:hint="cs"/>
          <w:rtl/>
        </w:rPr>
        <w:t>_</w:t>
      </w:r>
      <w:r w:rsidR="0078336F" w:rsidRPr="00C85F0F">
        <w:rPr>
          <w:rFonts w:hint="cs"/>
          <w:rtl/>
        </w:rPr>
        <w:t>.</w:t>
      </w:r>
    </w:p>
    <w:p w:rsidR="000A689C" w:rsidRPr="00C85F0F" w:rsidRDefault="00065E4B" w:rsidP="00597C20">
      <w:pPr>
        <w:pStyle w:val="53"/>
        <w:rPr>
          <w:rtl/>
        </w:rPr>
      </w:pPr>
      <w:r w:rsidRPr="00C85F0F">
        <w:rPr>
          <w:rFonts w:hint="cs"/>
          <w:rtl/>
        </w:rPr>
        <w:lastRenderedPageBreak/>
        <w:t>ا</w:t>
      </w:r>
      <w:r w:rsidR="0078336F" w:rsidRPr="00C85F0F">
        <w:rPr>
          <w:rFonts w:hint="cs"/>
          <w:rtl/>
        </w:rPr>
        <w:t>لمُتقوَّم</w:t>
      </w:r>
      <w:r w:rsidR="00AB0B9E">
        <w:rPr>
          <w:rtl/>
        </w:rPr>
        <w:fldChar w:fldCharType="begin"/>
      </w:r>
      <w:r w:rsidR="006E1F02">
        <w:instrText xml:space="preserve"> XE "</w:instrText>
      </w:r>
      <w:r w:rsidR="006E1F02" w:rsidRPr="006E1F02">
        <w:rPr>
          <w:rFonts w:hint="cs"/>
          <w:b w:val="0"/>
          <w:bCs w:val="0"/>
          <w:rtl/>
        </w:rPr>
        <w:instrText>المُتقوَّم</w:instrText>
      </w:r>
      <w:r w:rsidR="006E1F02">
        <w:instrText xml:space="preserve">" </w:instrText>
      </w:r>
      <w:r w:rsidR="006E1F02" w:rsidRPr="006E1F02">
        <w:instrText xml:space="preserve">\fm </w:instrText>
      </w:r>
      <w:r w:rsidR="00AB0B9E">
        <w:rPr>
          <w:rtl/>
        </w:rPr>
        <w:fldChar w:fldCharType="end"/>
      </w:r>
      <w:r w:rsidR="0078336F" w:rsidRPr="00C85F0F">
        <w:rPr>
          <w:rFonts w:hint="cs"/>
          <w:rtl/>
        </w:rPr>
        <w:t xml:space="preserve"> لغة:</w:t>
      </w:r>
    </w:p>
    <w:p w:rsidR="00065E4B" w:rsidRPr="00C85F0F" w:rsidRDefault="0078336F" w:rsidP="00597C20">
      <w:pPr>
        <w:ind w:firstLine="720"/>
        <w:rPr>
          <w:rtl/>
        </w:rPr>
      </w:pPr>
      <w:r w:rsidRPr="00C85F0F">
        <w:rPr>
          <w:rFonts w:hint="cs"/>
          <w:rtl/>
        </w:rPr>
        <w:t>اسم مفعول من قوَّم</w:t>
      </w:r>
      <w:r w:rsidRPr="00C85F0F">
        <w:rPr>
          <w:rStyle w:val="af1"/>
          <w:rFonts w:hint="cs"/>
          <w:vertAlign w:val="baseline"/>
          <w:rtl/>
        </w:rPr>
        <w:t>، ومعناه: كون الشيء ذا قيمة مالية</w:t>
      </w:r>
      <w:r w:rsidRPr="00C85F0F">
        <w:rPr>
          <w:rStyle w:val="af1"/>
          <w:szCs w:val="32"/>
          <w:rtl/>
        </w:rPr>
        <w:t>(</w:t>
      </w:r>
      <w:r w:rsidRPr="00C85F0F">
        <w:rPr>
          <w:rStyle w:val="af1"/>
          <w:szCs w:val="32"/>
          <w:rtl/>
        </w:rPr>
        <w:footnoteReference w:id="2147"/>
      </w:r>
      <w:r w:rsidRPr="00C85F0F">
        <w:rPr>
          <w:rStyle w:val="af1"/>
          <w:szCs w:val="32"/>
          <w:rtl/>
        </w:rPr>
        <w:t>)</w:t>
      </w:r>
      <w:r w:rsidRPr="00C85F0F">
        <w:rPr>
          <w:rFonts w:hint="cs"/>
          <w:rtl/>
        </w:rPr>
        <w:t>.</w:t>
      </w:r>
    </w:p>
    <w:p w:rsidR="000A689C" w:rsidRPr="00C85F0F" w:rsidRDefault="00065E4B" w:rsidP="00597C20">
      <w:pPr>
        <w:pStyle w:val="53"/>
        <w:rPr>
          <w:rtl/>
        </w:rPr>
      </w:pPr>
      <w:r w:rsidRPr="00C85F0F">
        <w:rPr>
          <w:rFonts w:hint="cs"/>
          <w:rtl/>
        </w:rPr>
        <w:t>ا</w:t>
      </w:r>
      <w:r w:rsidR="0078336F" w:rsidRPr="00C85F0F">
        <w:rPr>
          <w:rFonts w:hint="cs"/>
          <w:rtl/>
        </w:rPr>
        <w:t xml:space="preserve">لمتقوم </w:t>
      </w:r>
      <w:r w:rsidR="0078336F" w:rsidRPr="006E1F02">
        <w:rPr>
          <w:rFonts w:hint="cs"/>
          <w:rtl/>
        </w:rPr>
        <w:t>اصطلاحا</w:t>
      </w:r>
      <w:r w:rsidR="0078336F" w:rsidRPr="00C85F0F">
        <w:rPr>
          <w:rFonts w:hint="cs"/>
          <w:rtl/>
        </w:rPr>
        <w:t>:</w:t>
      </w:r>
    </w:p>
    <w:p w:rsidR="00065E4B" w:rsidRPr="00C85F0F" w:rsidRDefault="0078336F" w:rsidP="00597C20">
      <w:pPr>
        <w:ind w:firstLine="720"/>
        <w:rPr>
          <w:rtl/>
        </w:rPr>
      </w:pPr>
      <w:r w:rsidRPr="00C85F0F">
        <w:rPr>
          <w:rFonts w:hint="cs"/>
          <w:rtl/>
        </w:rPr>
        <w:t>المقصود بالمتقوم في هذه القاعدة ما عدا المثلي</w:t>
      </w:r>
      <w:r w:rsidRPr="00C85F0F">
        <w:rPr>
          <w:rStyle w:val="af1"/>
          <w:szCs w:val="32"/>
          <w:rtl/>
        </w:rPr>
        <w:t>(</w:t>
      </w:r>
      <w:r w:rsidRPr="00C85F0F">
        <w:rPr>
          <w:rStyle w:val="af1"/>
          <w:szCs w:val="32"/>
          <w:rtl/>
        </w:rPr>
        <w:footnoteReference w:id="2148"/>
      </w:r>
      <w:r w:rsidRPr="00C85F0F">
        <w:rPr>
          <w:rStyle w:val="af1"/>
          <w:szCs w:val="32"/>
          <w:rtl/>
        </w:rPr>
        <w:t>)</w:t>
      </w:r>
      <w:r w:rsidRPr="00C85F0F">
        <w:rPr>
          <w:rFonts w:hint="cs"/>
          <w:rtl/>
        </w:rPr>
        <w:t>.</w:t>
      </w:r>
    </w:p>
    <w:p w:rsidR="00065E4B" w:rsidRPr="00C85F0F" w:rsidRDefault="00065E4B" w:rsidP="00597C20">
      <w:pPr>
        <w:ind w:firstLine="720"/>
        <w:rPr>
          <w:rtl/>
        </w:rPr>
      </w:pPr>
      <w:r w:rsidRPr="00C85F0F">
        <w:rPr>
          <w:rFonts w:hint="cs"/>
          <w:rtl/>
        </w:rPr>
        <w:t>ي</w:t>
      </w:r>
      <w:r w:rsidR="0078336F" w:rsidRPr="00C85F0F">
        <w:rPr>
          <w:rFonts w:hint="cs"/>
          <w:rtl/>
        </w:rPr>
        <w:t xml:space="preserve">قول الشيخ ابن عثيمين </w:t>
      </w:r>
      <w:r w:rsidR="00192192">
        <w:rPr>
          <w:rFonts w:hint="cs"/>
          <w:rtl/>
        </w:rPr>
        <w:t>_</w:t>
      </w:r>
      <w:r w:rsidR="009A0575" w:rsidRPr="005D5694">
        <w:rPr>
          <w:rFonts w:ascii="Traditional Arabic" w:hAnsi="Traditional Arabic" w:cs="CTraditional Arabic" w:hint="cs"/>
          <w:rtl/>
        </w:rPr>
        <w:t>/</w:t>
      </w:r>
      <w:r w:rsidR="00192192">
        <w:rPr>
          <w:rFonts w:hint="cs"/>
          <w:rtl/>
        </w:rPr>
        <w:t>_</w:t>
      </w:r>
      <w:r w:rsidR="0078336F" w:rsidRPr="00C85F0F">
        <w:rPr>
          <w:rFonts w:hint="cs"/>
          <w:rtl/>
        </w:rPr>
        <w:t>:</w:t>
      </w:r>
      <w:r w:rsidR="00B76414" w:rsidRPr="00C85F0F">
        <w:rPr>
          <w:rFonts w:hint="cs"/>
          <w:rtl/>
        </w:rPr>
        <w:t>(</w:t>
      </w:r>
      <w:r w:rsidR="0078336F" w:rsidRPr="00C85F0F">
        <w:rPr>
          <w:rFonts w:hint="cs"/>
          <w:rtl/>
        </w:rPr>
        <w:t>وأما المتقوم فهو فيما لا يمكن أن يوجد له مثيل، ويُضمَن بالقيمة بما يساوي قيمتَه وقتَ الإتلاف؛ لأنه إذا تعذّر الأصل رجعنا إلى البدل)</w:t>
      </w:r>
      <w:r w:rsidR="0078336F" w:rsidRPr="00C85F0F">
        <w:rPr>
          <w:rStyle w:val="af1"/>
          <w:szCs w:val="32"/>
          <w:rtl/>
        </w:rPr>
        <w:t>(</w:t>
      </w:r>
      <w:r w:rsidR="0078336F" w:rsidRPr="00C85F0F">
        <w:rPr>
          <w:rStyle w:val="af1"/>
          <w:szCs w:val="32"/>
          <w:rtl/>
        </w:rPr>
        <w:footnoteReference w:id="2149"/>
      </w:r>
      <w:r w:rsidR="0078336F" w:rsidRPr="00C85F0F">
        <w:rPr>
          <w:rStyle w:val="af1"/>
          <w:szCs w:val="32"/>
          <w:rtl/>
        </w:rPr>
        <w:t>)</w:t>
      </w:r>
      <w:r w:rsidR="0078336F" w:rsidRPr="00C85F0F">
        <w:rPr>
          <w:rFonts w:hint="cs"/>
          <w:rtl/>
        </w:rPr>
        <w:t>.</w:t>
      </w:r>
    </w:p>
    <w:p w:rsidR="00065E4B" w:rsidRPr="00C85F0F" w:rsidRDefault="00065E4B" w:rsidP="00597C20">
      <w:pPr>
        <w:pStyle w:val="53"/>
        <w:rPr>
          <w:rtl/>
        </w:rPr>
      </w:pPr>
      <w:r w:rsidRPr="00C85F0F">
        <w:rPr>
          <w:rFonts w:hint="cs"/>
          <w:rtl/>
        </w:rPr>
        <w:t>م</w:t>
      </w:r>
      <w:r w:rsidR="0078336F" w:rsidRPr="00C85F0F">
        <w:rPr>
          <w:rFonts w:hint="cs"/>
          <w:rtl/>
        </w:rPr>
        <w:t>عنى الضابط إجمالا:</w:t>
      </w:r>
    </w:p>
    <w:p w:rsidR="00065E4B" w:rsidRPr="00C85F0F" w:rsidRDefault="00065E4B" w:rsidP="00597C20">
      <w:pPr>
        <w:ind w:firstLine="720"/>
        <w:rPr>
          <w:rtl/>
        </w:rPr>
      </w:pPr>
      <w:r w:rsidRPr="00C85F0F">
        <w:rPr>
          <w:rFonts w:hint="cs"/>
          <w:rtl/>
        </w:rPr>
        <w:t>إ</w:t>
      </w:r>
      <w:r w:rsidR="0078336F" w:rsidRPr="00C85F0F">
        <w:rPr>
          <w:rFonts w:hint="cs"/>
          <w:rtl/>
        </w:rPr>
        <w:t>ذا أتلف الإنسان شيئاً وجب عليه ضمانُه، فالمثلي يُضمن بمثله، والمتقوَّم يُضمن بقيمته</w:t>
      </w:r>
      <w:r w:rsidR="0078336F" w:rsidRPr="00C85F0F">
        <w:rPr>
          <w:rStyle w:val="af1"/>
          <w:szCs w:val="32"/>
          <w:rtl/>
        </w:rPr>
        <w:t>(</w:t>
      </w:r>
      <w:r w:rsidR="0078336F" w:rsidRPr="00C85F0F">
        <w:rPr>
          <w:rStyle w:val="af1"/>
          <w:szCs w:val="32"/>
          <w:rtl/>
        </w:rPr>
        <w:footnoteReference w:id="2150"/>
      </w:r>
      <w:r w:rsidR="0078336F" w:rsidRPr="00C85F0F">
        <w:rPr>
          <w:rStyle w:val="af1"/>
          <w:szCs w:val="32"/>
          <w:rtl/>
        </w:rPr>
        <w:t>)</w:t>
      </w:r>
      <w:r w:rsidR="0078336F" w:rsidRPr="00C85F0F">
        <w:rPr>
          <w:rFonts w:hint="cs"/>
          <w:rtl/>
        </w:rPr>
        <w:t>.</w:t>
      </w:r>
    </w:p>
    <w:p w:rsidR="00065E4B" w:rsidRPr="00C85F0F" w:rsidRDefault="00065E4B" w:rsidP="00597C20">
      <w:pPr>
        <w:widowControl/>
        <w:autoSpaceDE w:val="0"/>
        <w:autoSpaceDN w:val="0"/>
        <w:adjustRightInd w:val="0"/>
        <w:ind w:firstLine="720"/>
        <w:rPr>
          <w:rFonts w:ascii="Traditional Arabic" w:hAnsi="Traditional Arabic"/>
          <w:noProof w:val="0"/>
          <w:rtl/>
          <w:lang w:eastAsia="en-US"/>
        </w:rPr>
      </w:pPr>
      <w:r w:rsidRPr="00C85F0F">
        <w:rPr>
          <w:rFonts w:hint="cs"/>
          <w:rtl/>
        </w:rPr>
        <w:t>ف</w:t>
      </w:r>
      <w:r w:rsidR="0078336F" w:rsidRPr="00C85F0F">
        <w:rPr>
          <w:rFonts w:hint="cs"/>
          <w:rtl/>
        </w:rPr>
        <w:t xml:space="preserve">الأصل في ضمان المتلفات أن تُضمن بمثلها إذا كان لها مثل؛ </w:t>
      </w:r>
      <w:r w:rsidR="0078336F" w:rsidRPr="00C85F0F">
        <w:rPr>
          <w:rFonts w:ascii="Traditional Arabic" w:hAnsi="Traditional Arabic"/>
          <w:noProof w:val="0"/>
          <w:rtl/>
          <w:lang w:eastAsia="en-US"/>
        </w:rPr>
        <w:t>لأن مطابقة المثلي لمثله أقوى من مطابقة القيمة للشيء</w:t>
      </w:r>
      <w:r w:rsidR="0078336F" w:rsidRPr="00C85F0F">
        <w:rPr>
          <w:rFonts w:ascii="Traditional Arabic" w:hAnsi="Traditional Arabic" w:hint="cs"/>
          <w:noProof w:val="0"/>
          <w:rtl/>
          <w:lang w:eastAsia="en-US"/>
        </w:rPr>
        <w:t>؛</w:t>
      </w:r>
      <w:r w:rsidR="00192192">
        <w:rPr>
          <w:rFonts w:ascii="Traditional Arabic" w:hAnsi="Traditional Arabic" w:hint="cs"/>
          <w:noProof w:val="0"/>
          <w:rtl/>
          <w:lang w:eastAsia="en-US"/>
        </w:rPr>
        <w:t xml:space="preserve"> </w:t>
      </w:r>
      <w:r w:rsidR="0078336F" w:rsidRPr="00C85F0F">
        <w:rPr>
          <w:rFonts w:ascii="Traditional Arabic" w:hAnsi="Traditional Arabic" w:hint="cs"/>
          <w:noProof w:val="0"/>
          <w:rtl/>
          <w:lang w:eastAsia="en-US"/>
        </w:rPr>
        <w:t>لأن</w:t>
      </w:r>
      <w:r w:rsidR="00192192">
        <w:rPr>
          <w:rFonts w:ascii="Traditional Arabic" w:hAnsi="Traditional Arabic" w:hint="cs"/>
          <w:noProof w:val="0"/>
          <w:rtl/>
          <w:lang w:eastAsia="en-US"/>
        </w:rPr>
        <w:t xml:space="preserve"> </w:t>
      </w:r>
      <w:r w:rsidR="0078336F" w:rsidRPr="00C85F0F">
        <w:rPr>
          <w:rFonts w:ascii="Traditional Arabic" w:hAnsi="Traditional Arabic"/>
          <w:noProof w:val="0"/>
          <w:rtl/>
          <w:lang w:eastAsia="en-US"/>
        </w:rPr>
        <w:t>القيمة تقدير</w:t>
      </w:r>
      <w:r w:rsidR="0078336F" w:rsidRPr="00C85F0F">
        <w:rPr>
          <w:rFonts w:ascii="Traditional Arabic" w:hAnsi="Traditional Arabic" w:hint="cs"/>
          <w:noProof w:val="0"/>
          <w:rtl/>
          <w:lang w:eastAsia="en-US"/>
        </w:rPr>
        <w:t>ٌ</w:t>
      </w:r>
      <w:r w:rsidR="0078336F" w:rsidRPr="00C85F0F">
        <w:rPr>
          <w:rFonts w:ascii="Traditional Arabic" w:hAnsi="Traditional Arabic"/>
          <w:noProof w:val="0"/>
          <w:rtl/>
          <w:lang w:eastAsia="en-US"/>
        </w:rPr>
        <w:t xml:space="preserve"> وتخمين.</w:t>
      </w:r>
    </w:p>
    <w:p w:rsidR="0078336F" w:rsidRPr="00C85F0F" w:rsidRDefault="00065E4B" w:rsidP="00597C20">
      <w:pPr>
        <w:ind w:firstLine="720"/>
        <w:rPr>
          <w:rtl/>
        </w:rPr>
      </w:pPr>
      <w:r w:rsidRPr="00C85F0F">
        <w:rPr>
          <w:rFonts w:hint="cs"/>
          <w:rtl/>
        </w:rPr>
        <w:t>ف</w:t>
      </w:r>
      <w:r w:rsidR="0078336F" w:rsidRPr="00C85F0F">
        <w:rPr>
          <w:rFonts w:hint="cs"/>
          <w:rtl/>
        </w:rPr>
        <w:t>إن لم يكن لها مثل فإنها ت</w:t>
      </w:r>
      <w:r w:rsidR="00192192">
        <w:rPr>
          <w:rFonts w:hint="cs"/>
          <w:rtl/>
        </w:rPr>
        <w:t>ُ</w:t>
      </w:r>
      <w:r w:rsidR="0078336F" w:rsidRPr="00C85F0F">
        <w:rPr>
          <w:rFonts w:hint="cs"/>
          <w:rtl/>
        </w:rPr>
        <w:t>ضمن بالقيمة</w:t>
      </w:r>
      <w:r w:rsidR="0078336F" w:rsidRPr="00C85F0F">
        <w:rPr>
          <w:rStyle w:val="af1"/>
          <w:szCs w:val="32"/>
          <w:rtl/>
        </w:rPr>
        <w:t>(</w:t>
      </w:r>
      <w:r w:rsidR="0078336F" w:rsidRPr="00C85F0F">
        <w:rPr>
          <w:rStyle w:val="af1"/>
          <w:szCs w:val="32"/>
          <w:rtl/>
        </w:rPr>
        <w:footnoteReference w:id="2151"/>
      </w:r>
      <w:r w:rsidR="0078336F" w:rsidRPr="00C85F0F">
        <w:rPr>
          <w:rStyle w:val="af1"/>
          <w:szCs w:val="32"/>
          <w:rtl/>
        </w:rPr>
        <w:t>)</w:t>
      </w:r>
      <w:r w:rsidR="0078336F" w:rsidRPr="00C85F0F">
        <w:rPr>
          <w:rFonts w:hint="cs"/>
          <w:rtl/>
        </w:rPr>
        <w:t>، وكذلك لو زاد المثل زيادةً فاحشة فإنه يُضمن بالقيمة</w:t>
      </w:r>
      <w:r w:rsidR="0078336F" w:rsidRPr="00C85F0F">
        <w:rPr>
          <w:rStyle w:val="af1"/>
          <w:szCs w:val="32"/>
          <w:rtl/>
        </w:rPr>
        <w:t>(</w:t>
      </w:r>
      <w:r w:rsidR="0078336F" w:rsidRPr="00C85F0F">
        <w:rPr>
          <w:rStyle w:val="af1"/>
          <w:szCs w:val="32"/>
          <w:rtl/>
        </w:rPr>
        <w:footnoteReference w:id="2152"/>
      </w:r>
      <w:r w:rsidR="0078336F" w:rsidRPr="00C85F0F">
        <w:rPr>
          <w:rStyle w:val="af1"/>
          <w:szCs w:val="32"/>
          <w:rtl/>
        </w:rPr>
        <w:t>)</w:t>
      </w:r>
      <w:r w:rsidR="0078336F" w:rsidRPr="00C85F0F">
        <w:rPr>
          <w:rFonts w:hint="cs"/>
          <w:rtl/>
        </w:rPr>
        <w:t>.</w:t>
      </w:r>
    </w:p>
    <w:p w:rsidR="0078336F" w:rsidRPr="00C85F0F" w:rsidRDefault="00192192" w:rsidP="00A8347C">
      <w:pPr>
        <w:pStyle w:val="aff3"/>
        <w:rPr>
          <w:rtl/>
        </w:rPr>
      </w:pPr>
      <w:bookmarkStart w:id="489" w:name="_Toc334046662"/>
      <w:r>
        <w:rPr>
          <w:rFonts w:hint="cs"/>
          <w:rtl/>
        </w:rPr>
        <w:lastRenderedPageBreak/>
        <w:t xml:space="preserve">                                          </w:t>
      </w:r>
      <w:r w:rsidR="0078336F" w:rsidRPr="00C85F0F">
        <w:rPr>
          <w:rFonts w:hint="cs"/>
          <w:rtl/>
        </w:rPr>
        <w:t xml:space="preserve">المطلب </w:t>
      </w:r>
      <w:r w:rsidR="00B31761">
        <w:rPr>
          <w:rFonts w:hint="cs"/>
          <w:rtl/>
        </w:rPr>
        <w:t xml:space="preserve"> </w:t>
      </w:r>
      <w:r w:rsidR="0078336F" w:rsidRPr="00C85F0F">
        <w:rPr>
          <w:rFonts w:hint="cs"/>
          <w:rtl/>
        </w:rPr>
        <w:t>الثاني</w:t>
      </w:r>
      <w:r w:rsidR="0078336F" w:rsidRPr="00C85F0F">
        <w:rPr>
          <w:rFonts w:hint="eastAsia"/>
          <w:rtl/>
        </w:rPr>
        <w:t> :</w:t>
      </w:r>
      <w:r w:rsidR="0078336F" w:rsidRPr="00C85F0F">
        <w:rPr>
          <w:rFonts w:hint="cs"/>
          <w:rtl/>
        </w:rPr>
        <w:br/>
      </w:r>
      <w:r>
        <w:rPr>
          <w:rFonts w:hint="cs"/>
          <w:rtl/>
        </w:rPr>
        <w:t xml:space="preserve">                                           </w:t>
      </w:r>
      <w:r w:rsidR="00896593">
        <w:rPr>
          <w:rFonts w:hint="cs"/>
          <w:rtl/>
        </w:rPr>
        <w:t xml:space="preserve"> </w:t>
      </w:r>
      <w:r w:rsidR="0078336F" w:rsidRPr="00C85F0F">
        <w:rPr>
          <w:rFonts w:hint="cs"/>
          <w:rtl/>
        </w:rPr>
        <w:t>أدلة الضابط</w:t>
      </w:r>
      <w:bookmarkEnd w:id="489"/>
    </w:p>
    <w:p w:rsidR="0078336F" w:rsidRPr="00C85F0F" w:rsidRDefault="0078336F" w:rsidP="000A76C7">
      <w:pPr>
        <w:pStyle w:val="afc"/>
        <w:numPr>
          <w:ilvl w:val="0"/>
          <w:numId w:val="297"/>
        </w:numPr>
        <w:rPr>
          <w:color w:val="auto"/>
        </w:rPr>
      </w:pPr>
      <w:r w:rsidRPr="00C85F0F">
        <w:rPr>
          <w:rFonts w:hint="cs"/>
          <w:rtl/>
        </w:rPr>
        <w:t xml:space="preserve">قول الله تعالى: </w:t>
      </w:r>
      <w:bookmarkStart w:id="490" w:name="سورة_البقرة_174_2"/>
      <w:r w:rsidR="005D5694" w:rsidRPr="001F6032">
        <w:rPr>
          <w:rFonts w:ascii="QCF_BSML" w:hAnsi="QCF_BSML" w:cs="QCF_BSML"/>
          <w:noProof w:val="0"/>
          <w:color w:val="auto"/>
          <w:rtl/>
          <w:lang w:eastAsia="en-US"/>
        </w:rPr>
        <w:t xml:space="preserve">ﭽ </w:t>
      </w:r>
      <w:r w:rsidR="005D5694" w:rsidRPr="001F6032">
        <w:rPr>
          <w:rFonts w:ascii="QCF_P030" w:hAnsi="QCF_P030" w:cs="QCF_P030"/>
          <w:noProof w:val="0"/>
          <w:color w:val="auto"/>
          <w:rtl/>
          <w:lang w:eastAsia="en-US"/>
        </w:rPr>
        <w:t>ﮎﮏﮐﮑﮒﮓﮔﮕﮖ</w:t>
      </w:r>
      <w:r w:rsidR="005D5694" w:rsidRPr="001F6032">
        <w:rPr>
          <w:rFonts w:ascii="QCF_BSML" w:hAnsi="QCF_BSML" w:cs="QCF_BSML"/>
          <w:noProof w:val="0"/>
          <w:color w:val="auto"/>
          <w:rtl/>
          <w:lang w:eastAsia="en-US"/>
        </w:rPr>
        <w:t>ﭼ</w:t>
      </w:r>
      <w:bookmarkEnd w:id="490"/>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البقرة: ١٩٤</w:t>
      </w:r>
      <w:r w:rsidRPr="00C85F0F">
        <w:rPr>
          <w:rFonts w:ascii="Traditional Arabic" w:hAnsi="Traditional Arabic" w:hint="cs"/>
          <w:noProof w:val="0"/>
          <w:color w:val="auto"/>
          <w:rtl/>
          <w:lang w:eastAsia="en-US"/>
        </w:rPr>
        <w:t>].</w:t>
      </w:r>
    </w:p>
    <w:p w:rsidR="0078336F" w:rsidRPr="00C85F0F" w:rsidRDefault="0078336F" w:rsidP="00FD3233">
      <w:pPr>
        <w:pStyle w:val="53"/>
        <w:rPr>
          <w:rtl/>
        </w:rPr>
      </w:pPr>
      <w:r w:rsidRPr="00C85F0F">
        <w:rPr>
          <w:rFonts w:hint="cs"/>
          <w:rtl/>
        </w:rPr>
        <w:t>وجه الدلالة:</w:t>
      </w:r>
    </w:p>
    <w:p w:rsidR="0078336F" w:rsidRPr="00C85F0F" w:rsidRDefault="0078336F" w:rsidP="00597C20">
      <w:pPr>
        <w:ind w:firstLine="720"/>
        <w:rPr>
          <w:rtl/>
        </w:rPr>
      </w:pPr>
      <w:r w:rsidRPr="00C85F0F">
        <w:rPr>
          <w:rFonts w:hint="cs"/>
          <w:rtl/>
        </w:rPr>
        <w:t>أمر الله</w:t>
      </w:r>
      <w:r w:rsidR="00192192">
        <w:rPr>
          <w:rFonts w:hint="cs"/>
          <w:rtl/>
        </w:rPr>
        <w:t>_</w:t>
      </w:r>
      <w:r w:rsidRPr="00C85F0F">
        <w:rPr>
          <w:rFonts w:hint="cs"/>
          <w:rtl/>
        </w:rPr>
        <w:t xml:space="preserve"> </w:t>
      </w:r>
      <w:r w:rsidR="00866D6A" w:rsidRPr="00C85F0F">
        <w:rPr>
          <w:rFonts w:ascii="Traditional Arabic" w:hAnsi="Traditional Arabic" w:hint="cs"/>
          <w:noProof w:val="0"/>
          <w:color w:val="auto"/>
          <w:rtl/>
          <w:lang w:eastAsia="en-US"/>
        </w:rPr>
        <w:sym w:font="AGA Arabesque" w:char="F055"/>
      </w:r>
      <w:r w:rsidRPr="00C85F0F">
        <w:rPr>
          <w:rFonts w:hint="cs"/>
          <w:rtl/>
        </w:rPr>
        <w:t xml:space="preserve"> </w:t>
      </w:r>
      <w:r w:rsidR="00192192">
        <w:rPr>
          <w:rFonts w:hint="cs"/>
          <w:rtl/>
        </w:rPr>
        <w:t>_</w:t>
      </w:r>
      <w:r w:rsidRPr="00C85F0F">
        <w:rPr>
          <w:rFonts w:hint="cs"/>
          <w:rtl/>
        </w:rPr>
        <w:t>بالمماثلة في العقوبة، والمعنى في الآية: فمن اعتدى عليكم فاعتدوا عليه بمثله، بحيث يكون المثل مطابِقاً لما اعتدى عليكم به، في هيئته، وفي كيفيته، وفي زمنه، وفي مكانه، فدل ذلك على اعتبار المثلية بحسَب الإمكان على كل من استهلك مالَ غيره، أو أتلف شيئا</w:t>
      </w:r>
      <w:r w:rsidRPr="00C85F0F">
        <w:rPr>
          <w:rStyle w:val="af1"/>
          <w:szCs w:val="32"/>
          <w:rtl/>
        </w:rPr>
        <w:t>(</w:t>
      </w:r>
      <w:r w:rsidRPr="00C85F0F">
        <w:rPr>
          <w:rStyle w:val="af1"/>
          <w:szCs w:val="32"/>
          <w:rtl/>
        </w:rPr>
        <w:footnoteReference w:id="2153"/>
      </w:r>
      <w:r w:rsidRPr="00C85F0F">
        <w:rPr>
          <w:rStyle w:val="af1"/>
          <w:szCs w:val="32"/>
          <w:rtl/>
        </w:rPr>
        <w:t>)</w:t>
      </w:r>
      <w:r w:rsidRPr="00C85F0F">
        <w:rPr>
          <w:rFonts w:hint="cs"/>
          <w:rtl/>
        </w:rPr>
        <w:t>.</w:t>
      </w:r>
    </w:p>
    <w:p w:rsidR="0078336F" w:rsidRDefault="0078336F" w:rsidP="000A76C7">
      <w:pPr>
        <w:pStyle w:val="afc"/>
        <w:widowControl/>
        <w:numPr>
          <w:ilvl w:val="0"/>
          <w:numId w:val="297"/>
        </w:numPr>
        <w:autoSpaceDE w:val="0"/>
        <w:autoSpaceDN w:val="0"/>
        <w:adjustRightInd w:val="0"/>
        <w:rPr>
          <w:rFonts w:ascii="Traditional Arabic" w:hAnsi="Traditional Arabic"/>
          <w:noProof w:val="0"/>
          <w:lang w:eastAsia="en-US"/>
        </w:rPr>
      </w:pPr>
      <w:r w:rsidRPr="00C85F0F">
        <w:rPr>
          <w:rFonts w:ascii="Traditional Arabic" w:hAnsi="Traditional Arabic" w:hint="cs"/>
          <w:noProof w:val="0"/>
          <w:rtl/>
          <w:lang w:eastAsia="en-US"/>
        </w:rPr>
        <w:t>حديث</w:t>
      </w:r>
      <w:r w:rsidRPr="00C85F0F">
        <w:rPr>
          <w:rFonts w:ascii="Traditional Arabic" w:hAnsi="Traditional Arabic"/>
          <w:noProof w:val="0"/>
          <w:rtl/>
          <w:lang w:eastAsia="en-US"/>
        </w:rPr>
        <w:t xml:space="preserve"> أنس</w:t>
      </w:r>
      <w:r w:rsidRPr="00C85F0F">
        <w:rPr>
          <w:rFonts w:ascii="Traditional Arabic" w:hAnsi="Traditional Arabic" w:hint="cs"/>
          <w:noProof w:val="0"/>
          <w:rtl/>
          <w:lang w:eastAsia="en-US"/>
        </w:rPr>
        <w:t xml:space="preserve"> بن مالك</w:t>
      </w:r>
      <w:r w:rsidR="00F341EE">
        <w:rPr>
          <w:rFonts w:ascii="Traditional Arabic" w:hAnsi="Traditional Arabic" w:hint="cs"/>
          <w:noProof w:val="0"/>
          <w:rtl/>
          <w:lang w:eastAsia="en-US"/>
        </w:rPr>
        <w:t>_</w:t>
      </w:r>
      <w:r w:rsidRPr="00C85F0F">
        <w:rPr>
          <w:rFonts w:ascii="Traditional Arabic" w:hAnsi="Traditional Arabic" w:hint="cs"/>
          <w:noProof w:val="0"/>
          <w:rtl/>
          <w:lang w:eastAsia="en-US"/>
        </w:rPr>
        <w:t xml:space="preserve"> </w:t>
      </w:r>
      <w:r w:rsidR="00F341EE">
        <w:rPr>
          <w:rFonts w:ascii="Traditional Arabic" w:hAnsi="Traditional Arabic" w:hint="cs"/>
          <w:noProof w:val="0"/>
          <w:rtl/>
          <w:lang w:eastAsia="en-US"/>
        </w:rPr>
        <w:t>رضي الله عنه_</w:t>
      </w:r>
      <w:r w:rsidRPr="00C85F0F">
        <w:rPr>
          <w:rFonts w:ascii="Traditional Arabic" w:hAnsi="Traditional Arabic"/>
          <w:noProof w:val="0"/>
          <w:rtl/>
          <w:lang w:eastAsia="en-US"/>
        </w:rPr>
        <w:t>قال: أ</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بعض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أزواج النبي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noProof w:val="0"/>
          <w:rtl/>
          <w:lang w:eastAsia="en-US"/>
        </w:rPr>
        <w:t xml:space="preserve"> إلى النبي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noProof w:val="0"/>
          <w:rtl/>
          <w:lang w:eastAsia="en-US"/>
        </w:rPr>
        <w:t xml:space="preserve"> طعاما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w:t>
      </w:r>
      <w:r w:rsidR="00B76414" w:rsidRPr="00C85F0F">
        <w:rPr>
          <w:rFonts w:ascii="Traditional Arabic" w:hAnsi="Traditional Arabic"/>
          <w:noProof w:val="0"/>
          <w:rtl/>
          <w:lang w:eastAsia="en-US"/>
        </w:rPr>
        <w:t>،</w:t>
      </w:r>
      <w:r w:rsidR="00311F3B" w:rsidRPr="00C85F0F">
        <w:rPr>
          <w:rFonts w:ascii="Traditional Arabic" w:hAnsi="Traditional Arabic"/>
          <w:noProof w:val="0"/>
          <w:rtl/>
          <w:lang w:eastAsia="en-US"/>
        </w:rPr>
        <w:t>،</w:t>
      </w:r>
      <w:r w:rsidR="00AB0B9E" w:rsidRPr="00C85F0F">
        <w:rPr>
          <w:rFonts w:ascii="Traditional Arabic" w:hAnsi="Traditional Arabic"/>
          <w:noProof w:val="0"/>
          <w:lang w:eastAsia="en-US"/>
        </w:rPr>
        <w:fldChar w:fldCharType="begin"/>
      </w:r>
      <w:r w:rsidR="00311F3B" w:rsidRPr="00C85F0F">
        <w:rPr>
          <w:rFonts w:ascii="Traditional Arabic" w:hAnsi="Traditional Arabic"/>
          <w:noProof w:val="0"/>
          <w:lang w:eastAsia="en-US"/>
        </w:rPr>
        <w:instrText>XE</w:instrText>
      </w:r>
      <w:r w:rsidR="00311F3B" w:rsidRPr="00C85F0F">
        <w:rPr>
          <w:rFonts w:ascii="Traditional Arabic" w:hAnsi="Traditional Arabic"/>
          <w:noProof w:val="0"/>
          <w:rtl/>
          <w:lang w:eastAsia="en-US"/>
        </w:rPr>
        <w:instrText xml:space="preserve"> "أ</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ه</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د</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ت</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 xml:space="preserve"> بعض</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 xml:space="preserve"> أزواج النبي </w:instrText>
      </w:r>
      <w:r w:rsidR="00311F3B" w:rsidRPr="00C85F0F">
        <w:rPr>
          <w:rFonts w:ascii="Traditional Arabic" w:hAnsi="Traditional Arabic"/>
          <w:noProof w:val="0"/>
          <w:rtl/>
          <w:lang w:eastAsia="en-US"/>
        </w:rPr>
        <w:sym w:font="AGA Arabesque" w:char="F072"/>
      </w:r>
      <w:r w:rsidR="00311F3B" w:rsidRPr="00C85F0F">
        <w:rPr>
          <w:rFonts w:ascii="Traditional Arabic" w:hAnsi="Traditional Arabic"/>
          <w:noProof w:val="0"/>
          <w:rtl/>
          <w:lang w:eastAsia="en-US"/>
        </w:rPr>
        <w:instrText xml:space="preserve"> إلى النبي </w:instrText>
      </w:r>
      <w:r w:rsidR="00311F3B" w:rsidRPr="00C85F0F">
        <w:rPr>
          <w:rFonts w:ascii="Traditional Arabic" w:hAnsi="Traditional Arabic"/>
          <w:noProof w:val="0"/>
          <w:rtl/>
          <w:lang w:eastAsia="en-US"/>
        </w:rPr>
        <w:sym w:font="AGA Arabesque" w:char="F072"/>
      </w:r>
      <w:r w:rsidR="00311F3B" w:rsidRPr="00C85F0F">
        <w:rPr>
          <w:rFonts w:ascii="Traditional Arabic" w:hAnsi="Traditional Arabic"/>
          <w:noProof w:val="0"/>
          <w:rtl/>
          <w:lang w:eastAsia="en-US"/>
        </w:rPr>
        <w:instrText xml:space="preserve"> طعاما</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 xml:space="preserve"> في ق</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ص</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ع</w:instrText>
      </w:r>
      <w:r w:rsidR="00311F3B" w:rsidRPr="00C85F0F">
        <w:rPr>
          <w:rFonts w:ascii="Traditional Arabic" w:hAnsi="Traditional Arabic" w:hint="cs"/>
          <w:noProof w:val="0"/>
          <w:rtl/>
          <w:lang w:eastAsia="en-US"/>
        </w:rPr>
        <w:instrText>َ</w:instrText>
      </w:r>
      <w:r w:rsidR="00311F3B" w:rsidRPr="00C85F0F">
        <w:rPr>
          <w:rFonts w:ascii="Traditional Arabic" w:hAnsi="Traditional Arabic"/>
          <w:noProof w:val="0"/>
          <w:rtl/>
          <w:lang w:eastAsia="en-US"/>
        </w:rPr>
        <w:instrText>ة،" \</w:instrText>
      </w:r>
      <w:r w:rsidR="00311F3B" w:rsidRPr="00C85F0F">
        <w:rPr>
          <w:rFonts w:ascii="Traditional Arabic" w:hAnsi="Traditional Arabic"/>
          <w:noProof w:val="0"/>
          <w:lang w:eastAsia="en-US"/>
        </w:rPr>
        <w:instrText>fh</w:instrText>
      </w:r>
      <w:r w:rsidR="00AB0B9E" w:rsidRPr="00C85F0F">
        <w:rPr>
          <w:rFonts w:ascii="Traditional Arabic" w:hAnsi="Traditional Arabic"/>
          <w:noProof w:val="0"/>
          <w:lang w:eastAsia="en-US"/>
        </w:rPr>
        <w:fldChar w:fldCharType="end"/>
      </w:r>
      <w:r w:rsidRPr="00B15E89">
        <w:rPr>
          <w:rFonts w:ascii="Traditional Arabic" w:hAnsi="Traditional Arabic"/>
          <w:noProof w:val="0"/>
          <w:rtl/>
          <w:lang w:eastAsia="en-US"/>
        </w:rPr>
        <w:t xml:space="preserve"> فضربت عائشة القصعة</w:t>
      </w:r>
      <w:r>
        <w:rPr>
          <w:rFonts w:ascii="Traditional Arabic" w:hAnsi="Traditional Arabic" w:hint="cs"/>
          <w:noProof w:val="0"/>
          <w:rtl/>
          <w:lang w:eastAsia="en-US"/>
        </w:rPr>
        <w:t>َ</w:t>
      </w:r>
      <w:r w:rsidRPr="00B15E89">
        <w:rPr>
          <w:rFonts w:ascii="Traditional Arabic" w:hAnsi="Traditional Arabic"/>
          <w:noProof w:val="0"/>
          <w:rtl/>
          <w:lang w:eastAsia="en-US"/>
        </w:rPr>
        <w:t xml:space="preserve"> بي</w:t>
      </w:r>
      <w:r>
        <w:rPr>
          <w:rFonts w:ascii="Traditional Arabic" w:hAnsi="Traditional Arabic" w:hint="cs"/>
          <w:noProof w:val="0"/>
          <w:rtl/>
          <w:lang w:eastAsia="en-US"/>
        </w:rPr>
        <w:t>َ</w:t>
      </w:r>
      <w:r w:rsidRPr="00B15E89">
        <w:rPr>
          <w:rFonts w:ascii="Traditional Arabic" w:hAnsi="Traditional Arabic"/>
          <w:noProof w:val="0"/>
          <w:rtl/>
          <w:lang w:eastAsia="en-US"/>
        </w:rPr>
        <w:t>د</w:t>
      </w:r>
      <w:r>
        <w:rPr>
          <w:rFonts w:ascii="Traditional Arabic" w:hAnsi="Traditional Arabic" w:hint="cs"/>
          <w:noProof w:val="0"/>
          <w:rtl/>
          <w:lang w:eastAsia="en-US"/>
        </w:rPr>
        <w:t>ِ</w:t>
      </w:r>
      <w:r w:rsidRPr="00B15E89">
        <w:rPr>
          <w:rFonts w:ascii="Traditional Arabic" w:hAnsi="Traditional Arabic"/>
          <w:noProof w:val="0"/>
          <w:rtl/>
          <w:lang w:eastAsia="en-US"/>
        </w:rPr>
        <w:t>ها</w:t>
      </w:r>
      <w:r w:rsidR="00B76414">
        <w:rPr>
          <w:rFonts w:ascii="Traditional Arabic" w:hAnsi="Traditional Arabic"/>
          <w:noProof w:val="0"/>
          <w:rtl/>
          <w:lang w:eastAsia="en-US"/>
        </w:rPr>
        <w:t>،</w:t>
      </w:r>
      <w:r w:rsidRPr="00B15E89">
        <w:rPr>
          <w:rFonts w:ascii="Traditional Arabic" w:hAnsi="Traditional Arabic"/>
          <w:noProof w:val="0"/>
          <w:rtl/>
          <w:lang w:eastAsia="en-US"/>
        </w:rPr>
        <w:t xml:space="preserve"> فألقت ما فيها</w:t>
      </w:r>
      <w:r w:rsidR="00B76414">
        <w:rPr>
          <w:rFonts w:ascii="Traditional Arabic" w:hAnsi="Traditional Arabic"/>
          <w:noProof w:val="0"/>
          <w:rtl/>
          <w:lang w:eastAsia="en-US"/>
        </w:rPr>
        <w:t>،</w:t>
      </w:r>
      <w:r w:rsidRPr="00B15E89">
        <w:rPr>
          <w:rFonts w:ascii="Traditional Arabic" w:hAnsi="Traditional Arabic"/>
          <w:noProof w:val="0"/>
          <w:rtl/>
          <w:lang w:eastAsia="en-US"/>
        </w:rPr>
        <w:t xml:space="preserve"> فقال النبي </w:t>
      </w:r>
      <w:r w:rsidR="00F350DE">
        <w:rPr>
          <w:rFonts w:ascii="Traditional Arabic" w:hAnsi="Traditional Arabic"/>
          <w:noProof w:val="0"/>
          <w:color w:val="auto"/>
          <w:rtl/>
          <w:lang w:eastAsia="en-US"/>
        </w:rPr>
        <w:sym w:font="AGA Arabesque" w:char="F072"/>
      </w:r>
      <w:r w:rsidRPr="00B15E89">
        <w:rPr>
          <w:rFonts w:ascii="Traditional Arabic" w:hAnsi="Traditional Arabic"/>
          <w:noProof w:val="0"/>
          <w:color w:val="auto"/>
          <w:rtl/>
          <w:lang w:eastAsia="en-US"/>
        </w:rPr>
        <w:t>: طعام</w:t>
      </w:r>
      <w:r>
        <w:rPr>
          <w:rFonts w:ascii="Traditional Arabic" w:hAnsi="Traditional Arabic" w:hint="cs"/>
          <w:noProof w:val="0"/>
          <w:color w:val="auto"/>
          <w:rtl/>
          <w:lang w:eastAsia="en-US"/>
        </w:rPr>
        <w:t>ٌ</w:t>
      </w:r>
      <w:r w:rsidRPr="00B15E89">
        <w:rPr>
          <w:rFonts w:ascii="Traditional Arabic" w:hAnsi="Traditional Arabic"/>
          <w:noProof w:val="0"/>
          <w:color w:val="auto"/>
          <w:rtl/>
          <w:lang w:eastAsia="en-US"/>
        </w:rPr>
        <w:t xml:space="preserve"> بطعام</w:t>
      </w:r>
      <w:r w:rsidR="00B76414">
        <w:rPr>
          <w:rFonts w:ascii="Traditional Arabic" w:hAnsi="Traditional Arabic"/>
          <w:noProof w:val="0"/>
          <w:rtl/>
          <w:lang w:eastAsia="en-US"/>
        </w:rPr>
        <w:t>،</w:t>
      </w:r>
      <w:r w:rsidRPr="00B15E89">
        <w:rPr>
          <w:rFonts w:ascii="Traditional Arabic" w:hAnsi="Traditional Arabic"/>
          <w:noProof w:val="0"/>
          <w:rtl/>
          <w:lang w:eastAsia="en-US"/>
        </w:rPr>
        <w:t xml:space="preserve"> وإناء</w:t>
      </w:r>
      <w:r>
        <w:rPr>
          <w:rFonts w:ascii="Traditional Arabic" w:hAnsi="Traditional Arabic" w:hint="cs"/>
          <w:noProof w:val="0"/>
          <w:rtl/>
          <w:lang w:eastAsia="en-US"/>
        </w:rPr>
        <w:t>ٌ</w:t>
      </w:r>
      <w:r w:rsidRPr="00B15E89">
        <w:rPr>
          <w:rFonts w:ascii="Traditional Arabic" w:hAnsi="Traditional Arabic"/>
          <w:noProof w:val="0"/>
          <w:rtl/>
          <w:lang w:eastAsia="en-US"/>
        </w:rPr>
        <w:t xml:space="preserve"> بإناء</w:t>
      </w:r>
      <w:r w:rsidRPr="00C821A1">
        <w:rPr>
          <w:rStyle w:val="af1"/>
          <w:szCs w:val="32"/>
          <w:rtl/>
        </w:rPr>
        <w:t>(</w:t>
      </w:r>
      <w:r w:rsidRPr="00C821A1">
        <w:rPr>
          <w:rStyle w:val="af1"/>
          <w:szCs w:val="32"/>
          <w:rtl/>
        </w:rPr>
        <w:footnoteReference w:id="2154"/>
      </w:r>
      <w:r w:rsidRPr="00C821A1">
        <w:rPr>
          <w:rStyle w:val="af1"/>
          <w:szCs w:val="32"/>
          <w:rtl/>
        </w:rPr>
        <w:t>)</w:t>
      </w:r>
      <w:r w:rsidRPr="00B15E89">
        <w:rPr>
          <w:rFonts w:ascii="Traditional Arabic" w:hAnsi="Traditional Arabic"/>
          <w:noProof w:val="0"/>
          <w:rtl/>
          <w:lang w:eastAsia="en-US"/>
        </w:rPr>
        <w:t>.</w:t>
      </w:r>
    </w:p>
    <w:p w:rsidR="0078336F" w:rsidRDefault="0078336F" w:rsidP="00597C20">
      <w:pPr>
        <w:pStyle w:val="53"/>
        <w:rPr>
          <w:rtl/>
        </w:rPr>
      </w:pPr>
      <w:r w:rsidRPr="00716453">
        <w:rPr>
          <w:rFonts w:hint="cs"/>
          <w:rtl/>
        </w:rPr>
        <w:t>وجه الدلالة:</w:t>
      </w:r>
    </w:p>
    <w:p w:rsidR="0078336F" w:rsidRPr="007830D1" w:rsidRDefault="0078336F" w:rsidP="00597C20">
      <w:pPr>
        <w:ind w:firstLine="720"/>
        <w:rPr>
          <w:rtl/>
        </w:rPr>
      </w:pPr>
      <w:r>
        <w:rPr>
          <w:rFonts w:hint="cs"/>
          <w:rtl/>
        </w:rPr>
        <w:t xml:space="preserve">إن النبي </w:t>
      </w:r>
      <w:r w:rsidR="00F350DE">
        <w:rPr>
          <w:rFonts w:ascii="Traditional Arabic" w:hAnsi="Traditional Arabic"/>
          <w:noProof w:val="0"/>
          <w:color w:val="auto"/>
          <w:rtl/>
          <w:lang w:eastAsia="en-US"/>
        </w:rPr>
        <w:sym w:font="AGA Arabesque" w:char="F072"/>
      </w:r>
      <w:r>
        <w:rPr>
          <w:rFonts w:hint="cs"/>
          <w:rtl/>
        </w:rPr>
        <w:t xml:space="preserve"> ضمَّن </w:t>
      </w:r>
      <w:r w:rsidR="00F341EE">
        <w:rPr>
          <w:rFonts w:hint="cs"/>
          <w:rtl/>
        </w:rPr>
        <w:t xml:space="preserve">المرأة </w:t>
      </w:r>
      <w:r>
        <w:rPr>
          <w:rFonts w:hint="cs"/>
          <w:rtl/>
        </w:rPr>
        <w:t>الكاس</w:t>
      </w:r>
      <w:r w:rsidR="00F341EE">
        <w:rPr>
          <w:rFonts w:hint="cs"/>
          <w:rtl/>
        </w:rPr>
        <w:t>ِ</w:t>
      </w:r>
      <w:r>
        <w:rPr>
          <w:rFonts w:hint="cs"/>
          <w:rtl/>
        </w:rPr>
        <w:t>رة للإناء إناءً مثله، ولو كان الإناء من باب المتقوَّمات لأرسل القيمة دون القصعة</w:t>
      </w:r>
      <w:r w:rsidRPr="00C821A1">
        <w:rPr>
          <w:rStyle w:val="af1"/>
          <w:szCs w:val="32"/>
          <w:rtl/>
        </w:rPr>
        <w:t>(</w:t>
      </w:r>
      <w:r w:rsidRPr="00C821A1">
        <w:rPr>
          <w:rStyle w:val="af1"/>
          <w:szCs w:val="32"/>
          <w:rtl/>
        </w:rPr>
        <w:footnoteReference w:id="2155"/>
      </w:r>
      <w:r w:rsidRPr="00C821A1">
        <w:rPr>
          <w:rStyle w:val="af1"/>
          <w:szCs w:val="32"/>
          <w:rtl/>
        </w:rPr>
        <w:t>)</w:t>
      </w:r>
      <w:r>
        <w:rPr>
          <w:rFonts w:hint="cs"/>
          <w:rtl/>
        </w:rPr>
        <w:t>.</w:t>
      </w:r>
    </w:p>
    <w:p w:rsidR="0078336F" w:rsidRDefault="0078336F" w:rsidP="000A76C7">
      <w:pPr>
        <w:pStyle w:val="afc"/>
        <w:widowControl/>
        <w:numPr>
          <w:ilvl w:val="0"/>
          <w:numId w:val="297"/>
        </w:numPr>
        <w:autoSpaceDE w:val="0"/>
        <w:autoSpaceDN w:val="0"/>
        <w:adjustRightInd w:val="0"/>
        <w:rPr>
          <w:rFonts w:ascii="Traditional Arabic" w:hAnsi="Traditional Arabic"/>
          <w:noProof w:val="0"/>
          <w:sz w:val="44"/>
          <w:szCs w:val="44"/>
          <w:lang w:eastAsia="en-US"/>
        </w:rPr>
      </w:pPr>
      <w:r w:rsidRPr="007830D1">
        <w:rPr>
          <w:rFonts w:hint="cs"/>
          <w:rtl/>
        </w:rPr>
        <w:t>حديث</w:t>
      </w:r>
      <w:r w:rsidR="00526971">
        <w:rPr>
          <w:rFonts w:ascii="Traditional Arabic" w:hAnsi="Traditional Arabic" w:hint="cs"/>
          <w:noProof w:val="0"/>
          <w:color w:val="auto"/>
          <w:rtl/>
          <w:lang w:eastAsia="en-US"/>
        </w:rPr>
        <w:t xml:space="preserve"> </w:t>
      </w:r>
      <w:r w:rsidRPr="007830D1">
        <w:rPr>
          <w:rFonts w:ascii="Traditional Arabic" w:hAnsi="Traditional Arabic"/>
          <w:noProof w:val="0"/>
          <w:color w:val="auto"/>
          <w:rtl/>
          <w:lang w:eastAsia="en-US"/>
        </w:rPr>
        <w:t xml:space="preserve">أبي هريرة </w:t>
      </w:r>
      <w:r w:rsidR="00F341EE">
        <w:rPr>
          <w:rFonts w:ascii="Traditional Arabic" w:hAnsi="Traditional Arabic" w:hint="cs"/>
          <w:noProof w:val="0"/>
          <w:color w:val="auto"/>
          <w:rtl/>
          <w:lang w:eastAsia="en-US"/>
        </w:rPr>
        <w:t>_</w:t>
      </w:r>
      <w:r w:rsidR="009A0575">
        <w:rPr>
          <w:rFonts w:ascii="Traditional Arabic" w:hAnsi="Traditional Arabic" w:cs="CTraditional Arabic" w:hint="cs"/>
          <w:rtl/>
        </w:rPr>
        <w:t>ا</w:t>
      </w:r>
      <w:r w:rsidR="00F341EE">
        <w:rPr>
          <w:rFonts w:ascii="Traditional Arabic" w:hAnsi="Traditional Arabic" w:hint="cs"/>
          <w:noProof w:val="0"/>
          <w:color w:val="auto"/>
          <w:rtl/>
          <w:lang w:eastAsia="en-US"/>
        </w:rPr>
        <w:t>_</w:t>
      </w:r>
      <w:r w:rsidRPr="007830D1">
        <w:rPr>
          <w:rFonts w:ascii="Traditional Arabic" w:hAnsi="Traditional Arabic"/>
          <w:noProof w:val="0"/>
          <w:color w:val="auto"/>
          <w:rtl/>
          <w:lang w:eastAsia="en-US"/>
        </w:rPr>
        <w:t xml:space="preserve"> أن رجلا</w:t>
      </w:r>
      <w:r w:rsidRPr="007830D1">
        <w:rPr>
          <w:rFonts w:ascii="Traditional Arabic" w:hAnsi="Traditional Arabic" w:hint="cs"/>
          <w:noProof w:val="0"/>
          <w:color w:val="auto"/>
          <w:rtl/>
          <w:lang w:eastAsia="en-US"/>
        </w:rPr>
        <w:t>ً</w:t>
      </w:r>
      <w:r w:rsidRPr="007830D1">
        <w:rPr>
          <w:rFonts w:ascii="Traditional Arabic" w:hAnsi="Traditional Arabic"/>
          <w:noProof w:val="0"/>
          <w:color w:val="auto"/>
          <w:rtl/>
          <w:lang w:eastAsia="en-US"/>
        </w:rPr>
        <w:t xml:space="preserve"> أتى النبي </w:t>
      </w:r>
      <w:r w:rsidR="00F350DE">
        <w:rPr>
          <w:rFonts w:ascii="Traditional Arabic" w:hAnsi="Traditional Arabic"/>
          <w:noProof w:val="0"/>
          <w:color w:val="auto"/>
          <w:rtl/>
          <w:lang w:eastAsia="en-US"/>
        </w:rPr>
        <w:sym w:font="AGA Arabesque" w:char="F072"/>
      </w:r>
      <w:r w:rsidRPr="007830D1">
        <w:rPr>
          <w:rFonts w:ascii="Traditional Arabic" w:hAnsi="Traditional Arabic"/>
          <w:noProof w:val="0"/>
          <w:color w:val="auto"/>
          <w:rtl/>
          <w:lang w:eastAsia="en-US"/>
        </w:rPr>
        <w:t xml:space="preserve"> يتقاضاه فأغلظ </w:t>
      </w:r>
      <w:r w:rsidRPr="007830D1">
        <w:rPr>
          <w:rFonts w:ascii="Traditional Arabic" w:hAnsi="Traditional Arabic" w:hint="cs"/>
          <w:noProof w:val="0"/>
          <w:color w:val="auto"/>
          <w:rtl/>
          <w:lang w:eastAsia="en-US"/>
        </w:rPr>
        <w:t xml:space="preserve">له، </w:t>
      </w:r>
      <w:r w:rsidRPr="007830D1">
        <w:rPr>
          <w:rFonts w:ascii="Traditional Arabic" w:hAnsi="Traditional Arabic"/>
          <w:noProof w:val="0"/>
          <w:color w:val="auto"/>
          <w:rtl/>
          <w:lang w:eastAsia="en-US"/>
        </w:rPr>
        <w:t>فهم</w:t>
      </w:r>
      <w:r w:rsidRPr="007830D1">
        <w:rPr>
          <w:rFonts w:ascii="Traditional Arabic" w:hAnsi="Traditional Arabic" w:hint="cs"/>
          <w:noProof w:val="0"/>
          <w:color w:val="auto"/>
          <w:rtl/>
          <w:lang w:eastAsia="en-US"/>
        </w:rPr>
        <w:t>َّ</w:t>
      </w:r>
      <w:r w:rsidRPr="007830D1">
        <w:rPr>
          <w:rFonts w:ascii="Traditional Arabic" w:hAnsi="Traditional Arabic"/>
          <w:noProof w:val="0"/>
          <w:color w:val="auto"/>
          <w:rtl/>
          <w:lang w:eastAsia="en-US"/>
        </w:rPr>
        <w:t xml:space="preserve"> به أصحاب</w:t>
      </w:r>
      <w:r w:rsidRPr="007830D1">
        <w:rPr>
          <w:rFonts w:ascii="Traditional Arabic" w:hAnsi="Traditional Arabic" w:hint="cs"/>
          <w:noProof w:val="0"/>
          <w:color w:val="auto"/>
          <w:rtl/>
          <w:lang w:eastAsia="en-US"/>
        </w:rPr>
        <w:t>ُ</w:t>
      </w:r>
      <w:r w:rsidRPr="007830D1">
        <w:rPr>
          <w:rFonts w:ascii="Traditional Arabic" w:hAnsi="Traditional Arabic"/>
          <w:noProof w:val="0"/>
          <w:color w:val="auto"/>
          <w:rtl/>
          <w:lang w:eastAsia="en-US"/>
        </w:rPr>
        <w:t>ه</w:t>
      </w:r>
      <w:r w:rsidRPr="007830D1">
        <w:rPr>
          <w:rFonts w:ascii="Traditional Arabic" w:hAnsi="Traditional Arabic" w:hint="cs"/>
          <w:noProof w:val="0"/>
          <w:color w:val="auto"/>
          <w:rtl/>
          <w:lang w:eastAsia="en-US"/>
        </w:rPr>
        <w:t>،</w:t>
      </w:r>
      <w:r w:rsidRPr="007830D1">
        <w:rPr>
          <w:rFonts w:ascii="Traditional Arabic" w:hAnsi="Traditional Arabic"/>
          <w:noProof w:val="0"/>
          <w:color w:val="auto"/>
          <w:rtl/>
          <w:lang w:eastAsia="en-US"/>
        </w:rPr>
        <w:t xml:space="preserve"> فقال رسول الله </w:t>
      </w:r>
      <w:r w:rsidR="00F350DE">
        <w:rPr>
          <w:rFonts w:ascii="Traditional Arabic" w:hAnsi="Traditional Arabic"/>
          <w:noProof w:val="0"/>
          <w:color w:val="auto"/>
          <w:rtl/>
          <w:lang w:eastAsia="en-US"/>
        </w:rPr>
        <w:sym w:font="AGA Arabesque" w:char="F072"/>
      </w:r>
      <w:r w:rsidRPr="007830D1">
        <w:rPr>
          <w:rFonts w:ascii="Traditional Arabic" w:hAnsi="Traditional Arabic" w:hint="cs"/>
          <w:noProof w:val="0"/>
          <w:color w:val="auto"/>
          <w:rtl/>
          <w:lang w:eastAsia="en-US"/>
        </w:rPr>
        <w:t>:"</w:t>
      </w:r>
      <w:r w:rsidRPr="007830D1">
        <w:rPr>
          <w:rFonts w:ascii="Traditional Arabic" w:hAnsi="Traditional Arabic"/>
          <w:noProof w:val="0"/>
          <w:color w:val="auto"/>
          <w:rtl/>
          <w:lang w:eastAsia="en-US"/>
        </w:rPr>
        <w:t>دعوه</w:t>
      </w:r>
      <w:r w:rsidRPr="007830D1">
        <w:rPr>
          <w:rFonts w:ascii="Traditional Arabic" w:hAnsi="Traditional Arabic" w:hint="cs"/>
          <w:noProof w:val="0"/>
          <w:color w:val="auto"/>
          <w:rtl/>
          <w:lang w:eastAsia="en-US"/>
        </w:rPr>
        <w:t>،</w:t>
      </w:r>
      <w:r w:rsidRPr="007830D1">
        <w:rPr>
          <w:rFonts w:ascii="Traditional Arabic" w:hAnsi="Traditional Arabic"/>
          <w:noProof w:val="0"/>
          <w:color w:val="auto"/>
          <w:rtl/>
          <w:lang w:eastAsia="en-US"/>
        </w:rPr>
        <w:t xml:space="preserve"> فإن لصاحب الحق مقالا</w:t>
      </w:r>
      <w:r w:rsidRPr="007830D1">
        <w:rPr>
          <w:rFonts w:ascii="Traditional Arabic" w:hAnsi="Traditional Arabic" w:hint="cs"/>
          <w:noProof w:val="0"/>
          <w:color w:val="auto"/>
          <w:rtl/>
          <w:lang w:eastAsia="en-US"/>
        </w:rPr>
        <w:t>ً،</w:t>
      </w:r>
      <w:r w:rsidR="00B334D1">
        <w:rPr>
          <w:rFonts w:ascii="Traditional Arabic" w:hAnsi="Traditional Arabic" w:hint="cs"/>
          <w:noProof w:val="0"/>
          <w:color w:val="auto"/>
          <w:rtl/>
          <w:lang w:eastAsia="en-US"/>
        </w:rPr>
        <w:t xml:space="preserve"> </w:t>
      </w:r>
      <w:r w:rsidR="00AB0B9E">
        <w:rPr>
          <w:rFonts w:ascii="Traditional Arabic" w:hAnsi="Traditional Arabic"/>
          <w:noProof w:val="0"/>
          <w:color w:val="auto"/>
          <w:rtl/>
          <w:lang w:eastAsia="en-US"/>
        </w:rPr>
        <w:fldChar w:fldCharType="begin"/>
      </w:r>
      <w:r w:rsidR="00311F3B" w:rsidRPr="00C85F0F">
        <w:instrText>XE</w:instrText>
      </w:r>
      <w:r w:rsidR="00311F3B" w:rsidRPr="00C85F0F">
        <w:rPr>
          <w:rtl/>
        </w:rPr>
        <w:instrText xml:space="preserve"> "</w:instrText>
      </w:r>
      <w:r w:rsidR="00311F3B" w:rsidRPr="00C85F0F">
        <w:rPr>
          <w:rFonts w:ascii="Traditional Arabic" w:hAnsi="Traditional Arabic"/>
          <w:noProof w:val="0"/>
          <w:color w:val="auto"/>
          <w:rtl/>
          <w:lang w:eastAsia="en-US"/>
        </w:rPr>
        <w:instrText>دعوه</w:instrText>
      </w:r>
      <w:r w:rsidR="00311F3B" w:rsidRPr="00C85F0F">
        <w:rPr>
          <w:rFonts w:ascii="Traditional Arabic" w:hAnsi="Traditional Arabic" w:hint="cs"/>
          <w:noProof w:val="0"/>
          <w:color w:val="auto"/>
          <w:rtl/>
          <w:lang w:eastAsia="en-US"/>
        </w:rPr>
        <w:instrText>،</w:instrText>
      </w:r>
      <w:r w:rsidR="00311F3B" w:rsidRPr="00C85F0F">
        <w:rPr>
          <w:rFonts w:ascii="Traditional Arabic" w:hAnsi="Traditional Arabic"/>
          <w:noProof w:val="0"/>
          <w:color w:val="auto"/>
          <w:rtl/>
          <w:lang w:eastAsia="en-US"/>
        </w:rPr>
        <w:instrText xml:space="preserve"> فإن لصاحب الحق مقالا</w:instrText>
      </w:r>
      <w:r w:rsidR="00311F3B" w:rsidRPr="00C85F0F">
        <w:rPr>
          <w:rFonts w:ascii="Traditional Arabic" w:hAnsi="Traditional Arabic" w:hint="cs"/>
          <w:noProof w:val="0"/>
          <w:color w:val="auto"/>
          <w:rtl/>
          <w:lang w:eastAsia="en-US"/>
        </w:rPr>
        <w:instrText>ً،</w:instrText>
      </w:r>
      <w:r w:rsidR="00311F3B" w:rsidRPr="00C85F0F">
        <w:rPr>
          <w:rtl/>
        </w:rPr>
        <w:instrText>" \</w:instrText>
      </w:r>
      <w:r w:rsidR="00311F3B" w:rsidRPr="00C85F0F">
        <w:instrText>f</w:instrText>
      </w:r>
      <w:r w:rsidR="00311F3B">
        <w:instrText>h</w:instrText>
      </w:r>
      <w:r w:rsidR="00AB0B9E">
        <w:rPr>
          <w:rFonts w:ascii="Traditional Arabic" w:hAnsi="Traditional Arabic"/>
          <w:noProof w:val="0"/>
          <w:color w:val="auto"/>
          <w:rtl/>
          <w:lang w:eastAsia="en-US"/>
        </w:rPr>
        <w:fldChar w:fldCharType="end"/>
      </w:r>
      <w:r w:rsidRPr="007830D1">
        <w:rPr>
          <w:rFonts w:ascii="Traditional Arabic" w:hAnsi="Traditional Arabic"/>
          <w:noProof w:val="0"/>
          <w:rtl/>
          <w:lang w:eastAsia="en-US"/>
        </w:rPr>
        <w:t xml:space="preserve">واشتروا له بعيرا </w:t>
      </w:r>
      <w:r w:rsidRPr="007830D1">
        <w:rPr>
          <w:rFonts w:ascii="Traditional Arabic" w:hAnsi="Traditional Arabic"/>
          <w:noProof w:val="0"/>
          <w:rtl/>
          <w:lang w:eastAsia="en-US"/>
        </w:rPr>
        <w:lastRenderedPageBreak/>
        <w:t>فأعط</w:t>
      </w:r>
      <w:r w:rsidR="00F341EE">
        <w:rPr>
          <w:rFonts w:ascii="Traditional Arabic" w:hAnsi="Traditional Arabic" w:hint="cs"/>
          <w:noProof w:val="0"/>
          <w:rtl/>
          <w:lang w:eastAsia="en-US"/>
        </w:rPr>
        <w:t>ُ</w:t>
      </w:r>
      <w:r w:rsidRPr="007830D1">
        <w:rPr>
          <w:rFonts w:ascii="Traditional Arabic" w:hAnsi="Traditional Arabic"/>
          <w:noProof w:val="0"/>
          <w:rtl/>
          <w:lang w:eastAsia="en-US"/>
        </w:rPr>
        <w:t>وه إياه</w:t>
      </w:r>
      <w:r>
        <w:rPr>
          <w:rFonts w:ascii="Traditional Arabic" w:hAnsi="Traditional Arabic" w:hint="cs"/>
          <w:noProof w:val="0"/>
          <w:rtl/>
          <w:lang w:eastAsia="en-US"/>
        </w:rPr>
        <w:t>،</w:t>
      </w:r>
      <w:r w:rsidR="00F341EE">
        <w:rPr>
          <w:rFonts w:ascii="Traditional Arabic" w:hAnsi="Traditional Arabic" w:hint="cs"/>
          <w:noProof w:val="0"/>
          <w:rtl/>
          <w:lang w:eastAsia="en-US"/>
        </w:rPr>
        <w:t xml:space="preserve"> </w:t>
      </w:r>
      <w:r>
        <w:rPr>
          <w:rFonts w:ascii="Traditional Arabic" w:hAnsi="Traditional Arabic" w:hint="cs"/>
          <w:noProof w:val="0"/>
          <w:rtl/>
          <w:lang w:eastAsia="en-US"/>
        </w:rPr>
        <w:t>و</w:t>
      </w:r>
      <w:r w:rsidRPr="007830D1">
        <w:rPr>
          <w:rFonts w:ascii="Traditional Arabic" w:hAnsi="Traditional Arabic"/>
          <w:noProof w:val="0"/>
          <w:rtl/>
          <w:lang w:eastAsia="en-US"/>
        </w:rPr>
        <w:t>قالوا</w:t>
      </w:r>
      <w:r>
        <w:rPr>
          <w:rFonts w:ascii="Traditional Arabic" w:hAnsi="Traditional Arabic" w:hint="cs"/>
          <w:noProof w:val="0"/>
          <w:rtl/>
          <w:lang w:eastAsia="en-US"/>
        </w:rPr>
        <w:t>:</w:t>
      </w:r>
      <w:r w:rsidRPr="007830D1">
        <w:rPr>
          <w:rFonts w:ascii="Traditional Arabic" w:hAnsi="Traditional Arabic"/>
          <w:noProof w:val="0"/>
          <w:rtl/>
          <w:lang w:eastAsia="en-US"/>
        </w:rPr>
        <w:t xml:space="preserve"> لا نجد إلا أفضل</w:t>
      </w:r>
      <w:r>
        <w:rPr>
          <w:rFonts w:ascii="Traditional Arabic" w:hAnsi="Traditional Arabic" w:hint="cs"/>
          <w:noProof w:val="0"/>
          <w:rtl/>
          <w:lang w:eastAsia="en-US"/>
        </w:rPr>
        <w:t>َ</w:t>
      </w:r>
      <w:r w:rsidRPr="007830D1">
        <w:rPr>
          <w:rFonts w:ascii="Traditional Arabic" w:hAnsi="Traditional Arabic"/>
          <w:noProof w:val="0"/>
          <w:rtl/>
          <w:lang w:eastAsia="en-US"/>
        </w:rPr>
        <w:t xml:space="preserve"> من س</w:t>
      </w:r>
      <w:r>
        <w:rPr>
          <w:rFonts w:ascii="Traditional Arabic" w:hAnsi="Traditional Arabic" w:hint="cs"/>
          <w:noProof w:val="0"/>
          <w:rtl/>
          <w:lang w:eastAsia="en-US"/>
        </w:rPr>
        <w:t>ِ</w:t>
      </w:r>
      <w:r w:rsidRPr="007830D1">
        <w:rPr>
          <w:rFonts w:ascii="Traditional Arabic" w:hAnsi="Traditional Arabic"/>
          <w:noProof w:val="0"/>
          <w:rtl/>
          <w:lang w:eastAsia="en-US"/>
        </w:rPr>
        <w:t>ن</w:t>
      </w:r>
      <w:r>
        <w:rPr>
          <w:rFonts w:ascii="Traditional Arabic" w:hAnsi="Traditional Arabic" w:hint="cs"/>
          <w:noProof w:val="0"/>
          <w:rtl/>
          <w:lang w:eastAsia="en-US"/>
        </w:rPr>
        <w:t>ِّ</w:t>
      </w:r>
      <w:r w:rsidRPr="007830D1">
        <w:rPr>
          <w:rFonts w:ascii="Traditional Arabic" w:hAnsi="Traditional Arabic"/>
          <w:noProof w:val="0"/>
          <w:rtl/>
          <w:lang w:eastAsia="en-US"/>
        </w:rPr>
        <w:t>ه</w:t>
      </w:r>
      <w:r>
        <w:rPr>
          <w:rFonts w:ascii="Traditional Arabic" w:hAnsi="Traditional Arabic" w:hint="cs"/>
          <w:noProof w:val="0"/>
          <w:rtl/>
          <w:lang w:eastAsia="en-US"/>
        </w:rPr>
        <w:t>،</w:t>
      </w:r>
      <w:r w:rsidRPr="007830D1">
        <w:rPr>
          <w:rFonts w:ascii="Traditional Arabic" w:hAnsi="Traditional Arabic"/>
          <w:noProof w:val="0"/>
          <w:rtl/>
          <w:lang w:eastAsia="en-US"/>
        </w:rPr>
        <w:t xml:space="preserve"> قال</w:t>
      </w:r>
      <w:r>
        <w:rPr>
          <w:rFonts w:ascii="Traditional Arabic" w:hAnsi="Traditional Arabic" w:hint="cs"/>
          <w:noProof w:val="0"/>
          <w:rtl/>
          <w:lang w:eastAsia="en-US"/>
        </w:rPr>
        <w:t>:"</w:t>
      </w:r>
      <w:r w:rsidRPr="007830D1">
        <w:rPr>
          <w:rFonts w:ascii="Traditional Arabic" w:hAnsi="Traditional Arabic"/>
          <w:noProof w:val="0"/>
          <w:rtl/>
          <w:lang w:eastAsia="en-US"/>
        </w:rPr>
        <w:t>اشتر</w:t>
      </w:r>
      <w:r>
        <w:rPr>
          <w:rFonts w:ascii="Traditional Arabic" w:hAnsi="Traditional Arabic" w:hint="cs"/>
          <w:noProof w:val="0"/>
          <w:rtl/>
          <w:lang w:eastAsia="en-US"/>
        </w:rPr>
        <w:t>ُ</w:t>
      </w:r>
      <w:r w:rsidRPr="007830D1">
        <w:rPr>
          <w:rFonts w:ascii="Traditional Arabic" w:hAnsi="Traditional Arabic"/>
          <w:noProof w:val="0"/>
          <w:rtl/>
          <w:lang w:eastAsia="en-US"/>
        </w:rPr>
        <w:t>وه فأعطوه إياه</w:t>
      </w:r>
      <w:r>
        <w:rPr>
          <w:rFonts w:ascii="Traditional Arabic" w:hAnsi="Traditional Arabic" w:hint="cs"/>
          <w:noProof w:val="0"/>
          <w:rtl/>
          <w:lang w:eastAsia="en-US"/>
        </w:rPr>
        <w:t>،</w:t>
      </w:r>
      <w:r w:rsidRPr="007830D1">
        <w:rPr>
          <w:rFonts w:ascii="Traditional Arabic" w:hAnsi="Traditional Arabic"/>
          <w:noProof w:val="0"/>
          <w:rtl/>
          <w:lang w:eastAsia="en-US"/>
        </w:rPr>
        <w:t xml:space="preserve"> فإن خيركم أحسن</w:t>
      </w:r>
      <w:r>
        <w:rPr>
          <w:rFonts w:ascii="Traditional Arabic" w:hAnsi="Traditional Arabic" w:hint="cs"/>
          <w:noProof w:val="0"/>
          <w:rtl/>
          <w:lang w:eastAsia="en-US"/>
        </w:rPr>
        <w:t>ُ</w:t>
      </w:r>
      <w:r w:rsidRPr="007830D1">
        <w:rPr>
          <w:rFonts w:ascii="Traditional Arabic" w:hAnsi="Traditional Arabic"/>
          <w:noProof w:val="0"/>
          <w:rtl/>
          <w:lang w:eastAsia="en-US"/>
        </w:rPr>
        <w:t>كم قضا</w:t>
      </w:r>
      <w:r>
        <w:rPr>
          <w:rFonts w:ascii="Traditional Arabic" w:hAnsi="Traditional Arabic" w:hint="cs"/>
          <w:noProof w:val="0"/>
          <w:rtl/>
          <w:lang w:eastAsia="en-US"/>
        </w:rPr>
        <w:t>ءً"</w:t>
      </w:r>
      <w:r w:rsidRPr="00C821A1">
        <w:rPr>
          <w:rStyle w:val="af1"/>
          <w:szCs w:val="32"/>
          <w:rtl/>
        </w:rPr>
        <w:t>(</w:t>
      </w:r>
      <w:r w:rsidRPr="00C821A1">
        <w:rPr>
          <w:rStyle w:val="af1"/>
          <w:szCs w:val="32"/>
          <w:rtl/>
        </w:rPr>
        <w:footnoteReference w:id="2156"/>
      </w:r>
      <w:r w:rsidRPr="00C821A1">
        <w:rPr>
          <w:rStyle w:val="af1"/>
          <w:szCs w:val="32"/>
          <w:rtl/>
        </w:rPr>
        <w:t>)</w:t>
      </w:r>
      <w:r>
        <w:rPr>
          <w:rFonts w:ascii="Traditional Arabic" w:hAnsi="Traditional Arabic" w:hint="cs"/>
          <w:noProof w:val="0"/>
          <w:rtl/>
          <w:lang w:eastAsia="en-US"/>
        </w:rPr>
        <w:t>.</w:t>
      </w:r>
    </w:p>
    <w:p w:rsidR="0078336F" w:rsidRDefault="0078336F" w:rsidP="00597C20">
      <w:pPr>
        <w:pStyle w:val="53"/>
        <w:rPr>
          <w:rtl/>
        </w:rPr>
      </w:pPr>
      <w:r>
        <w:rPr>
          <w:rFonts w:hint="cs"/>
          <w:rtl/>
        </w:rPr>
        <w:t>وجه الدلالة:</w:t>
      </w:r>
    </w:p>
    <w:p w:rsidR="00F228A9" w:rsidRPr="000A689C" w:rsidRDefault="0078336F" w:rsidP="00597C20">
      <w:pPr>
        <w:widowControl/>
        <w:autoSpaceDE w:val="0"/>
        <w:autoSpaceDN w:val="0"/>
        <w:adjustRightInd w:val="0"/>
        <w:ind w:firstLine="720"/>
        <w:rPr>
          <w:rFonts w:ascii="Traditional Arabic" w:hAnsi="Traditional Arabic"/>
          <w:noProof w:val="0"/>
          <w:rtl/>
          <w:lang w:eastAsia="en-US"/>
        </w:rPr>
      </w:pPr>
      <w:r w:rsidRPr="000A689C">
        <w:rPr>
          <w:rFonts w:ascii="Traditional Arabic" w:hAnsi="Traditional Arabic" w:hint="cs"/>
          <w:noProof w:val="0"/>
          <w:rtl/>
          <w:lang w:eastAsia="en-US"/>
        </w:rPr>
        <w:t xml:space="preserve">الأصل في ضمان المتلفات أن تُضمن بمثلها، وهو ما فعله النبي </w:t>
      </w:r>
      <w:r w:rsidR="00F350DE">
        <w:rPr>
          <w:color w:val="auto"/>
          <w:rtl/>
          <w:lang w:eastAsia="en-US"/>
        </w:rPr>
        <w:sym w:font="AGA Arabesque" w:char="F072"/>
      </w:r>
      <w:r w:rsidRPr="000A689C">
        <w:rPr>
          <w:rFonts w:ascii="Traditional Arabic" w:hAnsi="Traditional Arabic" w:hint="cs"/>
          <w:noProof w:val="0"/>
          <w:rtl/>
          <w:lang w:eastAsia="en-US"/>
        </w:rPr>
        <w:t xml:space="preserve"> حيث استقرض حيواناً فردَّ حيوانا مثلَه، ولم يردَّ قيمتَه</w:t>
      </w:r>
      <w:r w:rsidRPr="00C821A1">
        <w:rPr>
          <w:rStyle w:val="af1"/>
          <w:szCs w:val="32"/>
          <w:rtl/>
        </w:rPr>
        <w:t>(</w:t>
      </w:r>
      <w:r w:rsidRPr="00C821A1">
        <w:rPr>
          <w:rStyle w:val="af1"/>
          <w:szCs w:val="32"/>
          <w:rtl/>
        </w:rPr>
        <w:footnoteReference w:id="2157"/>
      </w:r>
      <w:r w:rsidRPr="00C821A1">
        <w:rPr>
          <w:rStyle w:val="af1"/>
          <w:szCs w:val="32"/>
          <w:rtl/>
        </w:rPr>
        <w:t>)</w:t>
      </w:r>
      <w:r w:rsidRPr="000A689C">
        <w:rPr>
          <w:rFonts w:ascii="Traditional Arabic" w:hAnsi="Traditional Arabic" w:hint="cs"/>
          <w:noProof w:val="0"/>
          <w:rtl/>
          <w:lang w:eastAsia="en-US"/>
        </w:rPr>
        <w:t>.</w:t>
      </w:r>
    </w:p>
    <w:p w:rsidR="00F228A9" w:rsidRDefault="0078336F" w:rsidP="000A76C7">
      <w:pPr>
        <w:pStyle w:val="afc"/>
        <w:numPr>
          <w:ilvl w:val="0"/>
          <w:numId w:val="297"/>
        </w:numPr>
        <w:rPr>
          <w:b/>
          <w:bCs/>
        </w:rPr>
      </w:pPr>
      <w:r w:rsidRPr="00F1505D">
        <w:rPr>
          <w:rFonts w:hint="cs"/>
          <w:b/>
          <w:bCs/>
          <w:rtl/>
        </w:rPr>
        <w:t>ومن التعليل</w:t>
      </w:r>
      <w:r>
        <w:rPr>
          <w:rFonts w:hint="cs"/>
          <w:b/>
          <w:bCs/>
          <w:rtl/>
        </w:rPr>
        <w:t xml:space="preserve">: </w:t>
      </w:r>
      <w:r>
        <w:rPr>
          <w:rFonts w:hint="cs"/>
          <w:rtl/>
        </w:rPr>
        <w:t>أن ضمان الشيء بمثله تماماً، أو بمقارِب له، أقربُ إلى العدل من ضمانه بالقيمة؛ لأن القيمة لا تماثله، ثم إن القيمة تقتضي المعاوضة؛ لأنها من غير الجنس، فلا يُجبَر المضمون له على شيء يُعتبر كالمعاوضة؛ لأن من شرط البيع الرضى</w:t>
      </w:r>
      <w:r w:rsidRPr="00C821A1">
        <w:rPr>
          <w:rStyle w:val="af1"/>
          <w:szCs w:val="32"/>
          <w:rtl/>
        </w:rPr>
        <w:t>(</w:t>
      </w:r>
      <w:r w:rsidRPr="00C821A1">
        <w:rPr>
          <w:rStyle w:val="af1"/>
          <w:szCs w:val="32"/>
          <w:rtl/>
        </w:rPr>
        <w:footnoteReference w:id="2158"/>
      </w:r>
      <w:r w:rsidRPr="00C821A1">
        <w:rPr>
          <w:rStyle w:val="af1"/>
          <w:szCs w:val="32"/>
          <w:rtl/>
        </w:rPr>
        <w:t>)</w:t>
      </w:r>
      <w:r>
        <w:rPr>
          <w:rFonts w:hint="cs"/>
          <w:rtl/>
        </w:rPr>
        <w:t>.</w:t>
      </w:r>
    </w:p>
    <w:p w:rsidR="0078336F" w:rsidRPr="00F1505D" w:rsidRDefault="00F341EE" w:rsidP="00A8347C">
      <w:pPr>
        <w:pStyle w:val="aff3"/>
      </w:pPr>
      <w:bookmarkStart w:id="491" w:name="_Toc334046663"/>
      <w:r>
        <w:rPr>
          <w:rFonts w:hint="cs"/>
          <w:rtl/>
        </w:rPr>
        <w:t xml:space="preserve">                                          </w:t>
      </w:r>
      <w:r w:rsidR="0078336F">
        <w:rPr>
          <w:rFonts w:hint="cs"/>
          <w:rtl/>
        </w:rPr>
        <w:t>المطلب الثالث</w:t>
      </w:r>
      <w:r w:rsidR="0078336F">
        <w:rPr>
          <w:rFonts w:hint="eastAsia"/>
          <w:rtl/>
        </w:rPr>
        <w:t> :</w:t>
      </w:r>
      <w:r w:rsidR="0078336F">
        <w:rPr>
          <w:rFonts w:hint="cs"/>
          <w:rtl/>
        </w:rPr>
        <w:br/>
      </w:r>
      <w:r>
        <w:rPr>
          <w:rFonts w:hint="cs"/>
          <w:rtl/>
        </w:rPr>
        <w:t xml:space="preserve">          </w:t>
      </w:r>
      <w:r w:rsidR="00896593">
        <w:rPr>
          <w:rFonts w:hint="cs"/>
          <w:rtl/>
        </w:rPr>
        <w:t xml:space="preserve">                               </w:t>
      </w:r>
      <w:r w:rsidR="0078336F">
        <w:rPr>
          <w:rFonts w:hint="cs"/>
          <w:rtl/>
        </w:rPr>
        <w:t>تطبيقات الضابط</w:t>
      </w:r>
      <w:bookmarkEnd w:id="491"/>
    </w:p>
    <w:p w:rsidR="00F228A9" w:rsidRDefault="0078336F" w:rsidP="000A76C7">
      <w:pPr>
        <w:pStyle w:val="afc"/>
        <w:numPr>
          <w:ilvl w:val="0"/>
          <w:numId w:val="298"/>
        </w:numPr>
      </w:pPr>
      <w:r>
        <w:rPr>
          <w:rFonts w:hint="cs"/>
          <w:rtl/>
        </w:rPr>
        <w:t>تُضمن العارية-إذا تَلِفَتْ- بمثلها إذا كانت مِثليَّة، وبقيمتها إذا كانت قيمية</w:t>
      </w:r>
      <w:r w:rsidRPr="00C821A1">
        <w:rPr>
          <w:rStyle w:val="af1"/>
          <w:szCs w:val="32"/>
          <w:rtl/>
        </w:rPr>
        <w:t>(</w:t>
      </w:r>
      <w:r w:rsidRPr="00C821A1">
        <w:rPr>
          <w:rStyle w:val="af1"/>
          <w:szCs w:val="32"/>
          <w:rtl/>
        </w:rPr>
        <w:footnoteReference w:id="2159"/>
      </w:r>
      <w:r w:rsidRPr="00C821A1">
        <w:rPr>
          <w:rStyle w:val="af1"/>
          <w:szCs w:val="32"/>
          <w:rtl/>
        </w:rPr>
        <w:t>)</w:t>
      </w:r>
      <w:r>
        <w:rPr>
          <w:rFonts w:ascii="Traditional Arabic" w:hAnsi="Traditional Arabic" w:hint="cs"/>
          <w:noProof w:val="0"/>
          <w:rtl/>
          <w:lang w:eastAsia="en-US"/>
        </w:rPr>
        <w:t>.</w:t>
      </w:r>
    </w:p>
    <w:p w:rsidR="00065E4B" w:rsidRDefault="00F228A9" w:rsidP="00597C20">
      <w:pPr>
        <w:pStyle w:val="53"/>
        <w:rPr>
          <w:rtl/>
        </w:rPr>
      </w:pPr>
      <w:r>
        <w:rPr>
          <w:rFonts w:hint="cs"/>
          <w:rtl/>
        </w:rPr>
        <w:t>وجه اندراج الفرع تحت القاعدة:</w:t>
      </w:r>
    </w:p>
    <w:p w:rsidR="0078336F" w:rsidRPr="00450809" w:rsidRDefault="00065E4B" w:rsidP="00597C20">
      <w:pPr>
        <w:ind w:firstLine="720"/>
        <w:rPr>
          <w:rtl/>
        </w:rPr>
      </w:pPr>
      <w:r>
        <w:rPr>
          <w:rFonts w:hint="cs"/>
          <w:rtl/>
        </w:rPr>
        <w:t>ا</w:t>
      </w:r>
      <w:r w:rsidR="0078336F">
        <w:rPr>
          <w:rFonts w:hint="cs"/>
          <w:rtl/>
        </w:rPr>
        <w:t xml:space="preserve">لقاعدة </w:t>
      </w:r>
      <w:r w:rsidR="0078336F" w:rsidRPr="00450809">
        <w:rPr>
          <w:rFonts w:ascii="Traditional Arabic" w:hAnsi="Traditional Arabic"/>
          <w:noProof w:val="0"/>
          <w:rtl/>
          <w:lang w:eastAsia="en-US"/>
        </w:rPr>
        <w:t>في ضمان المتلفات</w:t>
      </w:r>
      <w:r w:rsidR="00F341EE">
        <w:rPr>
          <w:rFonts w:ascii="Traditional Arabic" w:hAnsi="Traditional Arabic" w:hint="cs"/>
          <w:noProof w:val="0"/>
          <w:rtl/>
          <w:lang w:eastAsia="en-US"/>
        </w:rPr>
        <w:t xml:space="preserve"> </w:t>
      </w:r>
      <w:r w:rsidR="0078336F" w:rsidRPr="00450809">
        <w:rPr>
          <w:rFonts w:ascii="Traditional Arabic" w:hAnsi="Traditional Arabic"/>
          <w:noProof w:val="0"/>
          <w:rtl/>
          <w:lang w:eastAsia="en-US"/>
        </w:rPr>
        <w:t>أن المثلي ي</w:t>
      </w:r>
      <w:r w:rsidR="0078336F" w:rsidRPr="00450809">
        <w:rPr>
          <w:rFonts w:ascii="Traditional Arabic" w:hAnsi="Traditional Arabic" w:hint="cs"/>
          <w:noProof w:val="0"/>
          <w:rtl/>
          <w:lang w:eastAsia="en-US"/>
        </w:rPr>
        <w:t>ُ</w:t>
      </w:r>
      <w:r w:rsidR="0078336F" w:rsidRPr="00450809">
        <w:rPr>
          <w:rFonts w:ascii="Traditional Arabic" w:hAnsi="Traditional Arabic"/>
          <w:noProof w:val="0"/>
          <w:rtl/>
          <w:lang w:eastAsia="en-US"/>
        </w:rPr>
        <w:t>ضمن</w:t>
      </w:r>
      <w:r w:rsidR="00F341EE">
        <w:rPr>
          <w:rFonts w:ascii="Traditional Arabic" w:hAnsi="Traditional Arabic" w:hint="cs"/>
          <w:noProof w:val="0"/>
          <w:rtl/>
          <w:lang w:eastAsia="en-US"/>
        </w:rPr>
        <w:t xml:space="preserve"> </w:t>
      </w:r>
      <w:r w:rsidR="0078336F" w:rsidRPr="00450809">
        <w:rPr>
          <w:rFonts w:ascii="Traditional Arabic" w:hAnsi="Traditional Arabic"/>
          <w:noProof w:val="0"/>
          <w:rtl/>
          <w:lang w:eastAsia="en-US"/>
        </w:rPr>
        <w:t>بمثله، والمتقو</w:t>
      </w:r>
      <w:r w:rsidR="0078336F" w:rsidRPr="00450809">
        <w:rPr>
          <w:rFonts w:ascii="Traditional Arabic" w:hAnsi="Traditional Arabic" w:hint="cs"/>
          <w:noProof w:val="0"/>
          <w:rtl/>
          <w:lang w:eastAsia="en-US"/>
        </w:rPr>
        <w:t>َّ</w:t>
      </w:r>
      <w:r w:rsidR="0078336F" w:rsidRPr="00450809">
        <w:rPr>
          <w:rFonts w:ascii="Traditional Arabic" w:hAnsi="Traditional Arabic"/>
          <w:noProof w:val="0"/>
          <w:rtl/>
          <w:lang w:eastAsia="en-US"/>
        </w:rPr>
        <w:t>م ي</w:t>
      </w:r>
      <w:r w:rsidR="0078336F" w:rsidRPr="00450809">
        <w:rPr>
          <w:rFonts w:ascii="Traditional Arabic" w:hAnsi="Traditional Arabic" w:hint="cs"/>
          <w:noProof w:val="0"/>
          <w:rtl/>
          <w:lang w:eastAsia="en-US"/>
        </w:rPr>
        <w:t>ُ</w:t>
      </w:r>
      <w:r w:rsidR="0078336F" w:rsidRPr="00450809">
        <w:rPr>
          <w:rFonts w:ascii="Traditional Arabic" w:hAnsi="Traditional Arabic"/>
          <w:noProof w:val="0"/>
          <w:rtl/>
          <w:lang w:eastAsia="en-US"/>
        </w:rPr>
        <w:t>ضمن بقيمته</w:t>
      </w:r>
      <w:r w:rsidR="0078336F">
        <w:rPr>
          <w:rFonts w:ascii="Traditional Arabic" w:hAnsi="Traditional Arabic" w:hint="cs"/>
          <w:noProof w:val="0"/>
          <w:rtl/>
          <w:lang w:eastAsia="en-US"/>
        </w:rPr>
        <w:t xml:space="preserve">؛ لهذا إذا </w:t>
      </w:r>
      <w:r w:rsidR="0078336F" w:rsidRPr="00450809">
        <w:rPr>
          <w:rFonts w:ascii="Traditional Arabic" w:hAnsi="Traditional Arabic" w:hint="cs"/>
          <w:noProof w:val="0"/>
          <w:rtl/>
          <w:lang w:eastAsia="en-US"/>
        </w:rPr>
        <w:t>تلفت العارية فإنها تضمن بمثلها إن كانت مثلية، وبقيمتها إن كانت قيمية.</w:t>
      </w:r>
    </w:p>
    <w:p w:rsidR="00F341EE" w:rsidRDefault="0078336F" w:rsidP="00B334D1">
      <w:pPr>
        <w:pStyle w:val="afc"/>
        <w:widowControl/>
        <w:numPr>
          <w:ilvl w:val="0"/>
          <w:numId w:val="298"/>
        </w:numPr>
        <w:autoSpaceDE w:val="0"/>
        <w:autoSpaceDN w:val="0"/>
        <w:adjustRightInd w:val="0"/>
        <w:rPr>
          <w:rFonts w:ascii="Traditional Arabic" w:hAnsi="Traditional Arabic"/>
          <w:noProof w:val="0"/>
          <w:lang w:eastAsia="en-US"/>
        </w:rPr>
      </w:pPr>
      <w:r w:rsidRPr="00BE55DC">
        <w:rPr>
          <w:rFonts w:ascii="Traditional Arabic" w:hAnsi="Traditional Arabic"/>
          <w:noProof w:val="0"/>
          <w:rtl/>
          <w:lang w:eastAsia="en-US"/>
        </w:rPr>
        <w:t>لو أن شخصا كسر ف</w:t>
      </w:r>
      <w:r w:rsidRPr="00BE55DC">
        <w:rPr>
          <w:rFonts w:ascii="Traditional Arabic" w:hAnsi="Traditional Arabic" w:hint="cs"/>
          <w:noProof w:val="0"/>
          <w:rtl/>
          <w:lang w:eastAsia="en-US"/>
        </w:rPr>
        <w:t>ِ</w:t>
      </w:r>
      <w:r w:rsidRPr="00BE55DC">
        <w:rPr>
          <w:rFonts w:ascii="Traditional Arabic" w:hAnsi="Traditional Arabic"/>
          <w:noProof w:val="0"/>
          <w:rtl/>
          <w:lang w:eastAsia="en-US"/>
        </w:rPr>
        <w:t>ن</w:t>
      </w:r>
      <w:r w:rsidRPr="00BE55DC">
        <w:rPr>
          <w:rFonts w:ascii="Traditional Arabic" w:hAnsi="Traditional Arabic" w:hint="cs"/>
          <w:noProof w:val="0"/>
          <w:rtl/>
          <w:lang w:eastAsia="en-US"/>
        </w:rPr>
        <w:t>ْ</w:t>
      </w:r>
      <w:r w:rsidRPr="00BE55DC">
        <w:rPr>
          <w:rFonts w:ascii="Traditional Arabic" w:hAnsi="Traditional Arabic"/>
          <w:noProof w:val="0"/>
          <w:rtl/>
          <w:lang w:eastAsia="en-US"/>
        </w:rPr>
        <w:t>جالا</w:t>
      </w:r>
      <w:r w:rsidRPr="00BE55DC">
        <w:rPr>
          <w:rFonts w:ascii="Traditional Arabic" w:hAnsi="Traditional Arabic" w:hint="cs"/>
          <w:noProof w:val="0"/>
          <w:rtl/>
          <w:lang w:eastAsia="en-US"/>
        </w:rPr>
        <w:t>ً</w:t>
      </w:r>
      <w:r w:rsidR="00B334D1">
        <w:rPr>
          <w:rStyle w:val="af1"/>
          <w:rFonts w:hint="cs"/>
          <w:szCs w:val="32"/>
          <w:rtl/>
        </w:rPr>
        <w:t xml:space="preserve"> </w:t>
      </w:r>
      <w:r w:rsidRPr="00BE55DC">
        <w:rPr>
          <w:rFonts w:ascii="Traditional Arabic" w:hAnsi="Traditional Arabic"/>
          <w:noProof w:val="0"/>
          <w:rtl/>
          <w:lang w:eastAsia="en-US"/>
        </w:rPr>
        <w:t>لشخص</w:t>
      </w:r>
      <w:r w:rsidRPr="00BE55DC">
        <w:rPr>
          <w:rFonts w:ascii="Traditional Arabic" w:hAnsi="Traditional Arabic" w:hint="cs"/>
          <w:noProof w:val="0"/>
          <w:rtl/>
          <w:lang w:eastAsia="en-US"/>
        </w:rPr>
        <w:t>ٍ</w:t>
      </w:r>
      <w:r w:rsidRPr="00BE55DC">
        <w:rPr>
          <w:rFonts w:ascii="Traditional Arabic" w:hAnsi="Traditional Arabic"/>
          <w:noProof w:val="0"/>
          <w:rtl/>
          <w:lang w:eastAsia="en-US"/>
        </w:rPr>
        <w:t>، فهل ن</w:t>
      </w:r>
      <w:r w:rsidR="00F341EE">
        <w:rPr>
          <w:rFonts w:ascii="Traditional Arabic" w:hAnsi="Traditional Arabic" w:hint="cs"/>
          <w:noProof w:val="0"/>
          <w:rtl/>
          <w:lang w:eastAsia="en-US"/>
        </w:rPr>
        <w:t>ُ</w:t>
      </w:r>
      <w:r w:rsidRPr="00BE55DC">
        <w:rPr>
          <w:rFonts w:ascii="Traditional Arabic" w:hAnsi="Traditional Arabic"/>
          <w:noProof w:val="0"/>
          <w:rtl/>
          <w:lang w:eastAsia="en-US"/>
        </w:rPr>
        <w:t>لزمه أن يأتي</w:t>
      </w:r>
      <w:r w:rsidR="00F341EE">
        <w:rPr>
          <w:rFonts w:ascii="Traditional Arabic" w:hAnsi="Traditional Arabic" w:hint="cs"/>
          <w:noProof w:val="0"/>
          <w:rtl/>
          <w:lang w:eastAsia="en-US"/>
        </w:rPr>
        <w:t xml:space="preserve"> </w:t>
      </w:r>
      <w:r w:rsidRPr="00BE55DC">
        <w:rPr>
          <w:rFonts w:ascii="Traditional Arabic" w:hAnsi="Traditional Arabic"/>
          <w:noProof w:val="0"/>
          <w:rtl/>
          <w:lang w:eastAsia="en-US"/>
        </w:rPr>
        <w:t xml:space="preserve">بفنجال مثله لصاحب الفنجال الأول؟ </w:t>
      </w:r>
    </w:p>
    <w:p w:rsidR="0078336F" w:rsidRPr="00F341EE" w:rsidRDefault="0078336F" w:rsidP="00F341EE">
      <w:pPr>
        <w:pStyle w:val="afc"/>
        <w:widowControl/>
        <w:autoSpaceDE w:val="0"/>
        <w:autoSpaceDN w:val="0"/>
        <w:adjustRightInd w:val="0"/>
        <w:ind w:left="1080" w:firstLine="0"/>
        <w:rPr>
          <w:rFonts w:ascii="Traditional Arabic" w:hAnsi="Traditional Arabic"/>
          <w:noProof w:val="0"/>
          <w:rtl/>
          <w:lang w:eastAsia="en-US"/>
        </w:rPr>
      </w:pPr>
      <w:r w:rsidRPr="00BE55DC">
        <w:rPr>
          <w:rFonts w:ascii="Traditional Arabic" w:hAnsi="Traditional Arabic"/>
          <w:noProof w:val="0"/>
          <w:rtl/>
          <w:lang w:eastAsia="en-US"/>
        </w:rPr>
        <w:t>على المذهب: لا</w:t>
      </w:r>
      <w:r w:rsidR="00B31761">
        <w:rPr>
          <w:rFonts w:ascii="Traditional Arabic" w:hAnsi="Traditional Arabic" w:hint="cs"/>
          <w:noProof w:val="0"/>
          <w:rtl/>
          <w:lang w:eastAsia="en-US"/>
        </w:rPr>
        <w:t xml:space="preserve"> نلزمه بالمثل</w:t>
      </w:r>
      <w:r w:rsidR="00B31761">
        <w:rPr>
          <w:rFonts w:ascii="Traditional Arabic" w:hAnsi="Traditional Arabic"/>
          <w:noProof w:val="0"/>
          <w:rtl/>
          <w:lang w:eastAsia="en-US"/>
        </w:rPr>
        <w:t xml:space="preserve">، بل </w:t>
      </w:r>
      <w:r w:rsidR="00B31761">
        <w:rPr>
          <w:rFonts w:ascii="Traditional Arabic" w:hAnsi="Traditional Arabic" w:hint="cs"/>
          <w:noProof w:val="0"/>
          <w:rtl/>
          <w:lang w:eastAsia="en-US"/>
        </w:rPr>
        <w:t>يضمن</w:t>
      </w:r>
      <w:r w:rsidRPr="00BE55DC">
        <w:rPr>
          <w:rFonts w:ascii="Traditional Arabic" w:hAnsi="Traditional Arabic"/>
          <w:noProof w:val="0"/>
          <w:rtl/>
          <w:lang w:eastAsia="en-US"/>
        </w:rPr>
        <w:t xml:space="preserve"> قيمة الفنجال</w:t>
      </w:r>
      <w:r w:rsidRPr="00C821A1">
        <w:rPr>
          <w:rStyle w:val="af1"/>
          <w:szCs w:val="32"/>
          <w:rtl/>
        </w:rPr>
        <w:t>(</w:t>
      </w:r>
      <w:r w:rsidRPr="00C821A1">
        <w:rPr>
          <w:rStyle w:val="af1"/>
          <w:szCs w:val="32"/>
          <w:rtl/>
        </w:rPr>
        <w:footnoteReference w:id="2160"/>
      </w:r>
      <w:r w:rsidRPr="00C821A1">
        <w:rPr>
          <w:rStyle w:val="af1"/>
          <w:szCs w:val="32"/>
          <w:rtl/>
        </w:rPr>
        <w:t>)</w:t>
      </w:r>
      <w:r w:rsidR="00F341EE">
        <w:rPr>
          <w:rFonts w:ascii="Traditional Arabic" w:hAnsi="Traditional Arabic" w:hint="cs"/>
          <w:noProof w:val="0"/>
          <w:rtl/>
          <w:lang w:eastAsia="en-US"/>
        </w:rPr>
        <w:t>.</w:t>
      </w:r>
    </w:p>
    <w:p w:rsidR="00F341EE" w:rsidRDefault="0078336F" w:rsidP="00597C20">
      <w:pPr>
        <w:pStyle w:val="afc"/>
        <w:widowControl/>
        <w:autoSpaceDE w:val="0"/>
        <w:autoSpaceDN w:val="0"/>
        <w:adjustRightInd w:val="0"/>
        <w:ind w:left="1080" w:firstLine="0"/>
        <w:jc w:val="left"/>
        <w:rPr>
          <w:rFonts w:ascii="Traditional Arabic" w:hAnsi="Traditional Arabic"/>
          <w:noProof w:val="0"/>
          <w:rtl/>
          <w:lang w:eastAsia="en-US"/>
        </w:rPr>
      </w:pPr>
      <w:r w:rsidRPr="00450809">
        <w:rPr>
          <w:rFonts w:ascii="Traditional Arabic" w:hAnsi="Traditional Arabic"/>
          <w:noProof w:val="0"/>
          <w:rtl/>
          <w:lang w:eastAsia="en-US"/>
        </w:rPr>
        <w:lastRenderedPageBreak/>
        <w:t>ولو أنه ذبح شات</w:t>
      </w:r>
      <w:r>
        <w:rPr>
          <w:rFonts w:ascii="Traditional Arabic" w:hAnsi="Traditional Arabic" w:hint="cs"/>
          <w:noProof w:val="0"/>
          <w:rtl/>
          <w:lang w:eastAsia="en-US"/>
        </w:rPr>
        <w:t>َ</w:t>
      </w:r>
      <w:r w:rsidRPr="00450809">
        <w:rPr>
          <w:rFonts w:ascii="Traditional Arabic" w:hAnsi="Traditional Arabic"/>
          <w:noProof w:val="0"/>
          <w:rtl/>
          <w:lang w:eastAsia="en-US"/>
        </w:rPr>
        <w:t>ه</w:t>
      </w:r>
      <w:r>
        <w:rPr>
          <w:rFonts w:ascii="Traditional Arabic" w:hAnsi="Traditional Arabic" w:hint="cs"/>
          <w:noProof w:val="0"/>
          <w:rtl/>
          <w:lang w:eastAsia="en-US"/>
        </w:rPr>
        <w:t>ُ</w:t>
      </w:r>
      <w:r w:rsidRPr="00450809">
        <w:rPr>
          <w:rFonts w:ascii="Traditional Arabic" w:hAnsi="Traditional Arabic"/>
          <w:noProof w:val="0"/>
          <w:rtl/>
          <w:lang w:eastAsia="en-US"/>
        </w:rPr>
        <w:t xml:space="preserve"> الث</w:t>
      </w:r>
      <w:r>
        <w:rPr>
          <w:rFonts w:ascii="Traditional Arabic" w:hAnsi="Traditional Arabic" w:hint="cs"/>
          <w:noProof w:val="0"/>
          <w:rtl/>
          <w:lang w:eastAsia="en-US"/>
        </w:rPr>
        <w:t>َ</w:t>
      </w:r>
      <w:r w:rsidRPr="00450809">
        <w:rPr>
          <w:rFonts w:ascii="Traditional Arabic" w:hAnsi="Traditional Arabic"/>
          <w:noProof w:val="0"/>
          <w:rtl/>
          <w:lang w:eastAsia="en-US"/>
        </w:rPr>
        <w:t>ن</w:t>
      </w:r>
      <w:r>
        <w:rPr>
          <w:rFonts w:ascii="Traditional Arabic" w:hAnsi="Traditional Arabic" w:hint="cs"/>
          <w:noProof w:val="0"/>
          <w:rtl/>
          <w:lang w:eastAsia="en-US"/>
        </w:rPr>
        <w:t>ِ</w:t>
      </w:r>
      <w:r w:rsidRPr="00450809">
        <w:rPr>
          <w:rFonts w:ascii="Traditional Arabic" w:hAnsi="Traditional Arabic"/>
          <w:noProof w:val="0"/>
          <w:rtl/>
          <w:lang w:eastAsia="en-US"/>
        </w:rPr>
        <w:t>ي</w:t>
      </w:r>
      <w:r>
        <w:rPr>
          <w:rFonts w:ascii="Traditional Arabic" w:hAnsi="Traditional Arabic" w:hint="cs"/>
          <w:noProof w:val="0"/>
          <w:rtl/>
          <w:lang w:eastAsia="en-US"/>
        </w:rPr>
        <w:t>َّ</w:t>
      </w:r>
      <w:r w:rsidRPr="00450809">
        <w:rPr>
          <w:rFonts w:ascii="Traditional Arabic" w:hAnsi="Traditional Arabic"/>
          <w:noProof w:val="0"/>
          <w:rtl/>
          <w:lang w:eastAsia="en-US"/>
        </w:rPr>
        <w:t>ة التي صفتها كذا وكذا في الس</w:t>
      </w:r>
      <w:r>
        <w:rPr>
          <w:rFonts w:ascii="Traditional Arabic" w:hAnsi="Traditional Arabic" w:hint="cs"/>
          <w:noProof w:val="0"/>
          <w:rtl/>
          <w:lang w:eastAsia="en-US"/>
        </w:rPr>
        <w:t>ِّ</w:t>
      </w:r>
      <w:r w:rsidRPr="00450809">
        <w:rPr>
          <w:rFonts w:ascii="Traditional Arabic" w:hAnsi="Traditional Arabic"/>
          <w:noProof w:val="0"/>
          <w:rtl/>
          <w:lang w:eastAsia="en-US"/>
        </w:rPr>
        <w:t>م</w:t>
      </w:r>
      <w:r>
        <w:rPr>
          <w:rFonts w:ascii="Traditional Arabic" w:hAnsi="Traditional Arabic" w:hint="cs"/>
          <w:noProof w:val="0"/>
          <w:rtl/>
          <w:lang w:eastAsia="en-US"/>
        </w:rPr>
        <w:t>َ</w:t>
      </w:r>
      <w:r w:rsidRPr="00450809">
        <w:rPr>
          <w:rFonts w:ascii="Traditional Arabic" w:hAnsi="Traditional Arabic"/>
          <w:noProof w:val="0"/>
          <w:rtl/>
          <w:lang w:eastAsia="en-US"/>
        </w:rPr>
        <w:t>ن واله</w:t>
      </w:r>
      <w:r>
        <w:rPr>
          <w:rFonts w:ascii="Traditional Arabic" w:hAnsi="Traditional Arabic" w:hint="cs"/>
          <w:noProof w:val="0"/>
          <w:rtl/>
          <w:lang w:eastAsia="en-US"/>
        </w:rPr>
        <w:t>ُ</w:t>
      </w:r>
      <w:r w:rsidRPr="00450809">
        <w:rPr>
          <w:rFonts w:ascii="Traditional Arabic" w:hAnsi="Traditional Arabic"/>
          <w:noProof w:val="0"/>
          <w:rtl/>
          <w:lang w:eastAsia="en-US"/>
        </w:rPr>
        <w:t>زال واللون، وعند ذابح</w:t>
      </w:r>
      <w:r>
        <w:rPr>
          <w:rFonts w:ascii="Traditional Arabic" w:hAnsi="Traditional Arabic" w:hint="cs"/>
          <w:noProof w:val="0"/>
          <w:rtl/>
          <w:lang w:eastAsia="en-US"/>
        </w:rPr>
        <w:t>ِ</w:t>
      </w:r>
      <w:r w:rsidRPr="00450809">
        <w:rPr>
          <w:rFonts w:ascii="Traditional Arabic" w:hAnsi="Traditional Arabic"/>
          <w:noProof w:val="0"/>
          <w:rtl/>
          <w:lang w:eastAsia="en-US"/>
        </w:rPr>
        <w:t xml:space="preserve"> الشاة شاة</w:t>
      </w:r>
      <w:r>
        <w:rPr>
          <w:rFonts w:ascii="Traditional Arabic" w:hAnsi="Traditional Arabic" w:hint="cs"/>
          <w:noProof w:val="0"/>
          <w:rtl/>
          <w:lang w:eastAsia="en-US"/>
        </w:rPr>
        <w:t>ٌ</w:t>
      </w:r>
      <w:r w:rsidRPr="00450809">
        <w:rPr>
          <w:rFonts w:ascii="Traditional Arabic" w:hAnsi="Traditional Arabic"/>
          <w:noProof w:val="0"/>
          <w:rtl/>
          <w:lang w:eastAsia="en-US"/>
        </w:rPr>
        <w:t xml:space="preserve"> مثل</w:t>
      </w:r>
      <w:r>
        <w:rPr>
          <w:rFonts w:ascii="Traditional Arabic" w:hAnsi="Traditional Arabic" w:hint="cs"/>
          <w:noProof w:val="0"/>
          <w:rtl/>
          <w:lang w:eastAsia="en-US"/>
        </w:rPr>
        <w:t>ُ</w:t>
      </w:r>
      <w:r w:rsidRPr="00450809">
        <w:rPr>
          <w:rFonts w:ascii="Traditional Arabic" w:hAnsi="Traditional Arabic"/>
          <w:noProof w:val="0"/>
          <w:rtl/>
          <w:lang w:eastAsia="en-US"/>
        </w:rPr>
        <w:t>ها تماما</w:t>
      </w:r>
      <w:r>
        <w:rPr>
          <w:rFonts w:ascii="Traditional Arabic" w:hAnsi="Traditional Arabic" w:hint="cs"/>
          <w:noProof w:val="0"/>
          <w:rtl/>
          <w:lang w:eastAsia="en-US"/>
        </w:rPr>
        <w:t>ً</w:t>
      </w:r>
      <w:r w:rsidRPr="00450809">
        <w:rPr>
          <w:rFonts w:ascii="Traditional Arabic" w:hAnsi="Traditional Arabic"/>
          <w:noProof w:val="0"/>
          <w:rtl/>
          <w:lang w:eastAsia="en-US"/>
        </w:rPr>
        <w:t xml:space="preserve">، فهل يضمن الشاة بهذه الشاة، أو بالقيمة؟ </w:t>
      </w:r>
    </w:p>
    <w:p w:rsidR="00F341EE" w:rsidRDefault="00F341EE" w:rsidP="00597C20">
      <w:pPr>
        <w:pStyle w:val="afc"/>
        <w:widowControl/>
        <w:autoSpaceDE w:val="0"/>
        <w:autoSpaceDN w:val="0"/>
        <w:adjustRightInd w:val="0"/>
        <w:ind w:left="1080" w:firstLine="0"/>
        <w:jc w:val="left"/>
        <w:rPr>
          <w:rFonts w:ascii="Traditional Arabic" w:hAnsi="Traditional Arabic"/>
          <w:noProof w:val="0"/>
          <w:rtl/>
          <w:lang w:eastAsia="en-US"/>
        </w:rPr>
      </w:pPr>
      <w:r>
        <w:rPr>
          <w:rFonts w:ascii="Traditional Arabic" w:hAnsi="Traditional Arabic" w:hint="cs"/>
          <w:noProof w:val="0"/>
          <w:rtl/>
          <w:lang w:eastAsia="en-US"/>
        </w:rPr>
        <w:t xml:space="preserve">على </w:t>
      </w:r>
      <w:r>
        <w:rPr>
          <w:rFonts w:ascii="Traditional Arabic" w:hAnsi="Traditional Arabic"/>
          <w:noProof w:val="0"/>
          <w:rtl/>
          <w:lang w:eastAsia="en-US"/>
        </w:rPr>
        <w:t>المذهب: يلزمه الضمان بالقيمة</w:t>
      </w:r>
      <w:r>
        <w:rPr>
          <w:rFonts w:ascii="Traditional Arabic" w:hAnsi="Traditional Arabic" w:hint="cs"/>
          <w:noProof w:val="0"/>
          <w:rtl/>
          <w:lang w:eastAsia="en-US"/>
        </w:rPr>
        <w:t>.</w:t>
      </w:r>
      <w:r w:rsidR="0078336F" w:rsidRPr="00450809">
        <w:rPr>
          <w:rFonts w:ascii="Traditional Arabic" w:hAnsi="Traditional Arabic"/>
          <w:noProof w:val="0"/>
          <w:rtl/>
          <w:lang w:eastAsia="en-US"/>
        </w:rPr>
        <w:t xml:space="preserve"> </w:t>
      </w:r>
    </w:p>
    <w:p w:rsidR="0078336F" w:rsidRDefault="0078336F" w:rsidP="00597C20">
      <w:pPr>
        <w:pStyle w:val="afc"/>
        <w:widowControl/>
        <w:autoSpaceDE w:val="0"/>
        <w:autoSpaceDN w:val="0"/>
        <w:adjustRightInd w:val="0"/>
        <w:ind w:left="1080" w:firstLine="0"/>
        <w:jc w:val="left"/>
        <w:rPr>
          <w:rFonts w:ascii="Traditional Arabic" w:hAnsi="Traditional Arabic"/>
          <w:noProof w:val="0"/>
          <w:rtl/>
          <w:lang w:eastAsia="en-US"/>
        </w:rPr>
      </w:pPr>
      <w:r w:rsidRPr="00450809">
        <w:rPr>
          <w:rFonts w:ascii="Traditional Arabic" w:hAnsi="Traditional Arabic"/>
          <w:noProof w:val="0"/>
          <w:rtl/>
          <w:lang w:eastAsia="en-US"/>
        </w:rPr>
        <w:t>و</w:t>
      </w:r>
      <w:r w:rsidR="00F341EE">
        <w:rPr>
          <w:rFonts w:ascii="Traditional Arabic" w:hAnsi="Traditional Arabic" w:hint="cs"/>
          <w:noProof w:val="0"/>
          <w:rtl/>
          <w:lang w:eastAsia="en-US"/>
        </w:rPr>
        <w:t xml:space="preserve">على </w:t>
      </w:r>
      <w:r w:rsidRPr="00450809">
        <w:rPr>
          <w:rFonts w:ascii="Traditional Arabic" w:hAnsi="Traditional Arabic"/>
          <w:noProof w:val="0"/>
          <w:rtl/>
          <w:lang w:eastAsia="en-US"/>
        </w:rPr>
        <w:t>القول الراجح في المسألتين جميعا الفنجال ي</w:t>
      </w:r>
      <w:r>
        <w:rPr>
          <w:rFonts w:ascii="Traditional Arabic" w:hAnsi="Traditional Arabic" w:hint="cs"/>
          <w:noProof w:val="0"/>
          <w:rtl/>
          <w:lang w:eastAsia="en-US"/>
        </w:rPr>
        <w:t>ُ</w:t>
      </w:r>
      <w:r w:rsidRPr="00450809">
        <w:rPr>
          <w:rFonts w:ascii="Traditional Arabic" w:hAnsi="Traditional Arabic"/>
          <w:noProof w:val="0"/>
          <w:rtl/>
          <w:lang w:eastAsia="en-US"/>
        </w:rPr>
        <w:t>ضمن بفنجال، والشاة تضمن بشاة</w:t>
      </w:r>
      <w:r w:rsidRPr="00C821A1">
        <w:rPr>
          <w:rStyle w:val="af1"/>
          <w:szCs w:val="32"/>
          <w:rtl/>
        </w:rPr>
        <w:t>(</w:t>
      </w:r>
      <w:r w:rsidRPr="00C821A1">
        <w:rPr>
          <w:rStyle w:val="af1"/>
          <w:szCs w:val="32"/>
          <w:rtl/>
        </w:rPr>
        <w:footnoteReference w:id="2161"/>
      </w:r>
      <w:r w:rsidRPr="00C821A1">
        <w:rPr>
          <w:rStyle w:val="af1"/>
          <w:szCs w:val="32"/>
          <w:rtl/>
        </w:rPr>
        <w:t>)</w:t>
      </w:r>
      <w:r w:rsidRPr="00450809">
        <w:rPr>
          <w:rFonts w:ascii="Traditional Arabic" w:hAnsi="Traditional Arabic"/>
          <w:noProof w:val="0"/>
          <w:rtl/>
          <w:lang w:eastAsia="en-US"/>
        </w:rPr>
        <w:t>.</w:t>
      </w:r>
    </w:p>
    <w:p w:rsidR="0078336F" w:rsidRDefault="0078336F" w:rsidP="00597C20">
      <w:pPr>
        <w:pStyle w:val="53"/>
        <w:rPr>
          <w:rtl/>
        </w:rPr>
      </w:pPr>
      <w:r>
        <w:rPr>
          <w:rFonts w:hint="cs"/>
          <w:rtl/>
        </w:rPr>
        <w:t>وجه اندراج الفرع تحت الضابط:</w:t>
      </w:r>
    </w:p>
    <w:p w:rsidR="0078336F" w:rsidRPr="000A689C" w:rsidRDefault="0078336F" w:rsidP="00597C20">
      <w:pPr>
        <w:widowControl/>
        <w:autoSpaceDE w:val="0"/>
        <w:autoSpaceDN w:val="0"/>
        <w:adjustRightInd w:val="0"/>
        <w:ind w:firstLine="720"/>
        <w:jc w:val="left"/>
        <w:rPr>
          <w:rFonts w:ascii="Traditional Arabic" w:hAnsi="Traditional Arabic"/>
          <w:noProof w:val="0"/>
          <w:color w:val="auto"/>
          <w:rtl/>
          <w:lang w:eastAsia="en-US"/>
        </w:rPr>
      </w:pPr>
      <w:r w:rsidRPr="000A689C">
        <w:rPr>
          <w:rFonts w:ascii="Traditional Arabic" w:hAnsi="Traditional Arabic" w:hint="cs"/>
          <w:noProof w:val="0"/>
          <w:rtl/>
          <w:lang w:eastAsia="en-US"/>
        </w:rPr>
        <w:t xml:space="preserve">على القول الراجح عند الشيخ ابن عثيمين </w:t>
      </w:r>
      <w:r w:rsidR="00F341EE">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F341EE">
        <w:rPr>
          <w:rFonts w:ascii="Traditional Arabic" w:hAnsi="Traditional Arabic" w:hint="cs"/>
          <w:noProof w:val="0"/>
          <w:rtl/>
          <w:lang w:eastAsia="en-US"/>
        </w:rPr>
        <w:t>_</w:t>
      </w:r>
      <w:r w:rsidRPr="000A689C">
        <w:rPr>
          <w:rFonts w:ascii="Traditional Arabic" w:hAnsi="Traditional Arabic" w:hint="cs"/>
          <w:noProof w:val="0"/>
          <w:rtl/>
          <w:lang w:eastAsia="en-US"/>
        </w:rPr>
        <w:t xml:space="preserve"> في تعريف المثلي، فإن الفنجال والشاة من جملة المثليات، والقاعدة أن المثلي يضمن بمثله.</w:t>
      </w:r>
    </w:p>
    <w:p w:rsidR="0078336F" w:rsidRPr="000A689C" w:rsidRDefault="0078336F" w:rsidP="00597C20">
      <w:pPr>
        <w:widowControl/>
        <w:autoSpaceDE w:val="0"/>
        <w:autoSpaceDN w:val="0"/>
        <w:adjustRightInd w:val="0"/>
        <w:ind w:firstLine="720"/>
        <w:rPr>
          <w:rFonts w:ascii="Traditional Arabic" w:hAnsi="Traditional Arabic"/>
          <w:noProof w:val="0"/>
          <w:color w:val="auto"/>
          <w:rtl/>
          <w:lang w:eastAsia="en-US"/>
        </w:rPr>
      </w:pPr>
      <w:r w:rsidRPr="000A689C">
        <w:rPr>
          <w:rFonts w:ascii="Traditional Arabic" w:hAnsi="Traditional Arabic" w:hint="cs"/>
          <w:noProof w:val="0"/>
          <w:color w:val="auto"/>
          <w:rtl/>
          <w:lang w:eastAsia="en-US"/>
        </w:rPr>
        <w:t>أما على المذهب، فإن الفنجال والشاة يُضمنان بالقيمة؛ لأنهما ليسا من المثليات، والقاعدة أن المتقوَّم يُضمن بقيمته.</w:t>
      </w:r>
    </w:p>
    <w:p w:rsidR="00F228A9" w:rsidRDefault="0078336F" w:rsidP="000A76C7">
      <w:pPr>
        <w:pStyle w:val="afc"/>
        <w:widowControl/>
        <w:numPr>
          <w:ilvl w:val="0"/>
          <w:numId w:val="298"/>
        </w:numPr>
        <w:autoSpaceDE w:val="0"/>
        <w:autoSpaceDN w:val="0"/>
        <w:adjustRightInd w:val="0"/>
        <w:rPr>
          <w:rFonts w:ascii="Traditional Arabic" w:hAnsi="Traditional Arabic"/>
          <w:noProof w:val="0"/>
          <w:lang w:eastAsia="en-US"/>
        </w:rPr>
      </w:pPr>
      <w:r>
        <w:rPr>
          <w:rFonts w:ascii="Traditional Arabic" w:hAnsi="Traditional Arabic" w:hint="cs"/>
          <w:noProof w:val="0"/>
          <w:rtl/>
          <w:lang w:eastAsia="en-US"/>
        </w:rPr>
        <w:t xml:space="preserve">إذا </w:t>
      </w:r>
      <w:r>
        <w:rPr>
          <w:rFonts w:ascii="Traditional Arabic" w:hAnsi="Traditional Arabic"/>
          <w:noProof w:val="0"/>
          <w:rtl/>
          <w:lang w:eastAsia="en-US"/>
        </w:rPr>
        <w:t>أ</w:t>
      </w:r>
      <w:r>
        <w:rPr>
          <w:rFonts w:ascii="Traditional Arabic" w:hAnsi="Traditional Arabic" w:hint="cs"/>
          <w:noProof w:val="0"/>
          <w:rtl/>
          <w:lang w:eastAsia="en-US"/>
        </w:rPr>
        <w:t>َ</w:t>
      </w:r>
      <w:r>
        <w:rPr>
          <w:rFonts w:ascii="Traditional Arabic" w:hAnsi="Traditional Arabic"/>
          <w:noProof w:val="0"/>
          <w:rtl/>
          <w:lang w:eastAsia="en-US"/>
        </w:rPr>
        <w:t>ص</w:t>
      </w:r>
      <w:r>
        <w:rPr>
          <w:rFonts w:ascii="Traditional Arabic" w:hAnsi="Traditional Arabic" w:hint="cs"/>
          <w:noProof w:val="0"/>
          <w:rtl/>
          <w:lang w:eastAsia="en-US"/>
        </w:rPr>
        <w:t>ْ</w:t>
      </w:r>
      <w:r>
        <w:rPr>
          <w:rFonts w:ascii="Traditional Arabic" w:hAnsi="Traditional Arabic"/>
          <w:noProof w:val="0"/>
          <w:rtl/>
          <w:lang w:eastAsia="en-US"/>
        </w:rPr>
        <w:t>د</w:t>
      </w:r>
      <w:r>
        <w:rPr>
          <w:rFonts w:ascii="Traditional Arabic" w:hAnsi="Traditional Arabic" w:hint="cs"/>
          <w:noProof w:val="0"/>
          <w:rtl/>
          <w:lang w:eastAsia="en-US"/>
        </w:rPr>
        <w:t>َ</w:t>
      </w:r>
      <w:r>
        <w:rPr>
          <w:rFonts w:ascii="Traditional Arabic" w:hAnsi="Traditional Arabic"/>
          <w:noProof w:val="0"/>
          <w:rtl/>
          <w:lang w:eastAsia="en-US"/>
        </w:rPr>
        <w:t>ق</w:t>
      </w:r>
      <w:r w:rsidR="00C60EF0">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الرجل المرأةَ </w:t>
      </w:r>
      <w:r w:rsidRPr="003067EC">
        <w:rPr>
          <w:rFonts w:ascii="Traditional Arabic" w:hAnsi="Traditional Arabic"/>
          <w:noProof w:val="0"/>
          <w:rtl/>
          <w:lang w:eastAsia="en-US"/>
        </w:rPr>
        <w:t>مالا</w:t>
      </w:r>
      <w:r>
        <w:rPr>
          <w:rFonts w:ascii="Traditional Arabic" w:hAnsi="Traditional Arabic" w:hint="cs"/>
          <w:noProof w:val="0"/>
          <w:rtl/>
          <w:lang w:eastAsia="en-US"/>
        </w:rPr>
        <w:t>ً</w:t>
      </w:r>
      <w:r w:rsidRPr="003067EC">
        <w:rPr>
          <w:rFonts w:ascii="Traditional Arabic" w:hAnsi="Traditional Arabic"/>
          <w:noProof w:val="0"/>
          <w:rtl/>
          <w:lang w:eastAsia="en-US"/>
        </w:rPr>
        <w:t xml:space="preserve"> مغصوبا</w:t>
      </w:r>
      <w:r>
        <w:rPr>
          <w:rFonts w:ascii="Traditional Arabic" w:hAnsi="Traditional Arabic" w:hint="cs"/>
          <w:noProof w:val="0"/>
          <w:rtl/>
          <w:lang w:eastAsia="en-US"/>
        </w:rPr>
        <w:t>ً،</w:t>
      </w:r>
      <w:r w:rsidRPr="003067EC">
        <w:rPr>
          <w:rFonts w:ascii="Traditional Arabic" w:hAnsi="Traditional Arabic"/>
          <w:noProof w:val="0"/>
          <w:rtl/>
          <w:lang w:eastAsia="en-US"/>
        </w:rPr>
        <w:t xml:space="preserve"> فلا يخلو </w:t>
      </w:r>
      <w:r>
        <w:rPr>
          <w:rFonts w:ascii="Traditional Arabic" w:hAnsi="Traditional Arabic" w:hint="cs"/>
          <w:noProof w:val="0"/>
          <w:rtl/>
          <w:lang w:eastAsia="en-US"/>
        </w:rPr>
        <w:t xml:space="preserve">الأمر </w:t>
      </w:r>
      <w:r w:rsidRPr="003067EC">
        <w:rPr>
          <w:rFonts w:ascii="Traditional Arabic" w:hAnsi="Traditional Arabic"/>
          <w:noProof w:val="0"/>
          <w:rtl/>
          <w:lang w:eastAsia="en-US"/>
        </w:rPr>
        <w:t>من حالين، إما أن ي</w:t>
      </w:r>
      <w:r w:rsidR="00F341EE">
        <w:rPr>
          <w:rFonts w:ascii="Traditional Arabic" w:hAnsi="Traditional Arabic" w:hint="cs"/>
          <w:noProof w:val="0"/>
          <w:rtl/>
          <w:lang w:eastAsia="en-US"/>
        </w:rPr>
        <w:t>َ</w:t>
      </w:r>
      <w:r w:rsidRPr="003067EC">
        <w:rPr>
          <w:rFonts w:ascii="Traditional Arabic" w:hAnsi="Traditional Arabic"/>
          <w:noProof w:val="0"/>
          <w:rtl/>
          <w:lang w:eastAsia="en-US"/>
        </w:rPr>
        <w:t>علما ذلك، أو لا يعلما، فإن ع</w:t>
      </w:r>
      <w:r>
        <w:rPr>
          <w:rFonts w:ascii="Traditional Arabic" w:hAnsi="Traditional Arabic" w:hint="cs"/>
          <w:noProof w:val="0"/>
          <w:rtl/>
          <w:lang w:eastAsia="en-US"/>
        </w:rPr>
        <w:t>َ</w:t>
      </w:r>
      <w:r w:rsidRPr="003067EC">
        <w:rPr>
          <w:rFonts w:ascii="Traditional Arabic" w:hAnsi="Traditional Arabic"/>
          <w:noProof w:val="0"/>
          <w:rtl/>
          <w:lang w:eastAsia="en-US"/>
        </w:rPr>
        <w:t>ل</w:t>
      </w:r>
      <w:r>
        <w:rPr>
          <w:rFonts w:ascii="Traditional Arabic" w:hAnsi="Traditional Arabic" w:hint="cs"/>
          <w:noProof w:val="0"/>
          <w:rtl/>
          <w:lang w:eastAsia="en-US"/>
        </w:rPr>
        <w:t>ِ</w:t>
      </w:r>
      <w:r w:rsidRPr="003067EC">
        <w:rPr>
          <w:rFonts w:ascii="Traditional Arabic" w:hAnsi="Traditional Arabic"/>
          <w:noProof w:val="0"/>
          <w:rtl/>
          <w:lang w:eastAsia="en-US"/>
        </w:rPr>
        <w:t>ما ذلك فلها مهر</w:t>
      </w:r>
      <w:r>
        <w:rPr>
          <w:rFonts w:ascii="Traditional Arabic" w:hAnsi="Traditional Arabic" w:hint="cs"/>
          <w:noProof w:val="0"/>
          <w:rtl/>
          <w:lang w:eastAsia="en-US"/>
        </w:rPr>
        <w:t>ُ</w:t>
      </w:r>
      <w:r w:rsidRPr="003067EC">
        <w:rPr>
          <w:rFonts w:ascii="Traditional Arabic" w:hAnsi="Traditional Arabic"/>
          <w:noProof w:val="0"/>
          <w:rtl/>
          <w:lang w:eastAsia="en-US"/>
        </w:rPr>
        <w:t xml:space="preserve"> المثل، وإن لم يعلما ذلك فلها مثل</w:t>
      </w:r>
      <w:r>
        <w:rPr>
          <w:rFonts w:ascii="Traditional Arabic" w:hAnsi="Traditional Arabic" w:hint="cs"/>
          <w:noProof w:val="0"/>
          <w:rtl/>
          <w:lang w:eastAsia="en-US"/>
        </w:rPr>
        <w:t>ُ</w:t>
      </w:r>
      <w:r w:rsidRPr="003067EC">
        <w:rPr>
          <w:rFonts w:ascii="Traditional Arabic" w:hAnsi="Traditional Arabic"/>
          <w:noProof w:val="0"/>
          <w:rtl/>
          <w:lang w:eastAsia="en-US"/>
        </w:rPr>
        <w:t>ه</w:t>
      </w:r>
    </w:p>
    <w:p w:rsidR="0078336F" w:rsidRPr="003067EC" w:rsidRDefault="0078336F" w:rsidP="00597C20">
      <w:pPr>
        <w:pStyle w:val="afc"/>
        <w:widowControl/>
        <w:autoSpaceDE w:val="0"/>
        <w:autoSpaceDN w:val="0"/>
        <w:adjustRightInd w:val="0"/>
        <w:ind w:left="1080" w:firstLine="0"/>
        <w:jc w:val="left"/>
        <w:rPr>
          <w:rFonts w:ascii="Traditional Arabic" w:hAnsi="Traditional Arabic"/>
          <w:noProof w:val="0"/>
          <w:rtl/>
          <w:lang w:eastAsia="en-US"/>
        </w:rPr>
      </w:pPr>
      <w:r w:rsidRPr="003067EC">
        <w:rPr>
          <w:rFonts w:ascii="Traditional Arabic" w:hAnsi="Traditional Arabic"/>
          <w:noProof w:val="0"/>
          <w:rtl/>
          <w:lang w:eastAsia="en-US"/>
        </w:rPr>
        <w:t>أو قيمته.</w:t>
      </w:r>
    </w:p>
    <w:p w:rsidR="00065E4B" w:rsidRPr="003067EC" w:rsidRDefault="0078336F" w:rsidP="00597C20">
      <w:pPr>
        <w:pStyle w:val="afc"/>
        <w:widowControl/>
        <w:autoSpaceDE w:val="0"/>
        <w:autoSpaceDN w:val="0"/>
        <w:adjustRightInd w:val="0"/>
        <w:ind w:left="1080" w:firstLine="0"/>
        <w:rPr>
          <w:rFonts w:ascii="Traditional Arabic" w:hAnsi="Traditional Arabic"/>
          <w:noProof w:val="0"/>
          <w:rtl/>
          <w:lang w:eastAsia="en-US"/>
        </w:rPr>
      </w:pPr>
      <w:r w:rsidRPr="003067EC">
        <w:rPr>
          <w:rFonts w:ascii="Traditional Arabic" w:hAnsi="Traditional Arabic"/>
          <w:noProof w:val="0"/>
          <w:rtl/>
          <w:lang w:eastAsia="en-US"/>
        </w:rPr>
        <w:t>فلو قال: أصدقت</w:t>
      </w:r>
      <w:r>
        <w:rPr>
          <w:rFonts w:ascii="Traditional Arabic" w:hAnsi="Traditional Arabic" w:hint="cs"/>
          <w:noProof w:val="0"/>
          <w:rtl/>
          <w:lang w:eastAsia="en-US"/>
        </w:rPr>
        <w:t>ُ</w:t>
      </w:r>
      <w:r w:rsidRPr="003067EC">
        <w:rPr>
          <w:rFonts w:ascii="Traditional Arabic" w:hAnsi="Traditional Arabic"/>
          <w:noProof w:val="0"/>
          <w:rtl/>
          <w:lang w:eastAsia="en-US"/>
        </w:rPr>
        <w:t>ك هذا المسج</w:t>
      </w:r>
      <w:r>
        <w:rPr>
          <w:rFonts w:ascii="Traditional Arabic" w:hAnsi="Traditional Arabic" w:hint="cs"/>
          <w:noProof w:val="0"/>
          <w:rtl/>
          <w:lang w:eastAsia="en-US"/>
        </w:rPr>
        <w:t>ِّ</w:t>
      </w:r>
      <w:r w:rsidRPr="003067EC">
        <w:rPr>
          <w:rFonts w:ascii="Traditional Arabic" w:hAnsi="Traditional Arabic"/>
          <w:noProof w:val="0"/>
          <w:rtl/>
          <w:lang w:eastAsia="en-US"/>
        </w:rPr>
        <w:t>ل</w:t>
      </w:r>
      <w:r>
        <w:rPr>
          <w:rFonts w:ascii="Traditional Arabic" w:hAnsi="Traditional Arabic"/>
          <w:noProof w:val="0"/>
          <w:rtl/>
          <w:lang w:eastAsia="en-US"/>
        </w:rPr>
        <w:t>، وهما يعرفان أنه مسروق</w:t>
      </w:r>
      <w:r>
        <w:rPr>
          <w:rFonts w:ascii="Traditional Arabic" w:hAnsi="Traditional Arabic" w:hint="cs"/>
          <w:noProof w:val="0"/>
          <w:rtl/>
          <w:lang w:eastAsia="en-US"/>
        </w:rPr>
        <w:t xml:space="preserve"> ف</w:t>
      </w:r>
      <w:r w:rsidRPr="003067EC">
        <w:rPr>
          <w:rFonts w:ascii="Traditional Arabic" w:hAnsi="Traditional Arabic"/>
          <w:noProof w:val="0"/>
          <w:rtl/>
          <w:lang w:eastAsia="en-US"/>
        </w:rPr>
        <w:t>لها مهر المثل؛ لأنهما عي</w:t>
      </w:r>
      <w:r>
        <w:rPr>
          <w:rFonts w:ascii="Traditional Arabic" w:hAnsi="Traditional Arabic" w:hint="cs"/>
          <w:noProof w:val="0"/>
          <w:rtl/>
          <w:lang w:eastAsia="en-US"/>
        </w:rPr>
        <w:t>َّ</w:t>
      </w:r>
      <w:r>
        <w:rPr>
          <w:rFonts w:ascii="Traditional Arabic" w:hAnsi="Traditional Arabic"/>
          <w:noProof w:val="0"/>
          <w:rtl/>
          <w:lang w:eastAsia="en-US"/>
        </w:rPr>
        <w:t>نا مهرا لا يصح أن يكون مهرا</w:t>
      </w:r>
      <w:r>
        <w:rPr>
          <w:rFonts w:ascii="Traditional Arabic" w:hAnsi="Traditional Arabic" w:hint="cs"/>
          <w:noProof w:val="0"/>
          <w:rtl/>
          <w:lang w:eastAsia="en-US"/>
        </w:rPr>
        <w:t>؛</w:t>
      </w:r>
      <w:r w:rsidR="00F341EE">
        <w:rPr>
          <w:rFonts w:ascii="Traditional Arabic" w:hAnsi="Traditional Arabic" w:hint="cs"/>
          <w:noProof w:val="0"/>
          <w:rtl/>
          <w:lang w:eastAsia="en-US"/>
        </w:rPr>
        <w:t xml:space="preserve"> </w:t>
      </w:r>
      <w:r>
        <w:rPr>
          <w:rFonts w:ascii="Traditional Arabic" w:hAnsi="Traditional Arabic" w:hint="cs"/>
          <w:noProof w:val="0"/>
          <w:rtl/>
          <w:lang w:eastAsia="en-US"/>
        </w:rPr>
        <w:t>لأنه</w:t>
      </w:r>
      <w:r w:rsidR="00F341EE">
        <w:rPr>
          <w:rFonts w:ascii="Traditional Arabic" w:hAnsi="Traditional Arabic" w:hint="cs"/>
          <w:noProof w:val="0"/>
          <w:rtl/>
          <w:lang w:eastAsia="en-US"/>
        </w:rPr>
        <w:t xml:space="preserve"> </w:t>
      </w:r>
      <w:r w:rsidRPr="003067EC">
        <w:rPr>
          <w:rFonts w:ascii="Traditional Arabic" w:hAnsi="Traditional Arabic"/>
          <w:noProof w:val="0"/>
          <w:rtl/>
          <w:lang w:eastAsia="en-US"/>
        </w:rPr>
        <w:t>ليس مملوكا</w:t>
      </w:r>
      <w:r>
        <w:rPr>
          <w:rFonts w:ascii="Traditional Arabic" w:hAnsi="Traditional Arabic" w:hint="cs"/>
          <w:noProof w:val="0"/>
          <w:rtl/>
          <w:lang w:eastAsia="en-US"/>
        </w:rPr>
        <w:t>ً</w:t>
      </w:r>
      <w:r w:rsidRPr="003067EC">
        <w:rPr>
          <w:rFonts w:ascii="Traditional Arabic" w:hAnsi="Traditional Arabic"/>
          <w:noProof w:val="0"/>
          <w:rtl/>
          <w:lang w:eastAsia="en-US"/>
        </w:rPr>
        <w:t xml:space="preserve"> للزوج، وليس للزوجة أن تتمل</w:t>
      </w:r>
      <w:r>
        <w:rPr>
          <w:rFonts w:ascii="Traditional Arabic" w:hAnsi="Traditional Arabic" w:hint="cs"/>
          <w:noProof w:val="0"/>
          <w:rtl/>
          <w:lang w:eastAsia="en-US"/>
        </w:rPr>
        <w:t>َّ</w:t>
      </w:r>
      <w:r w:rsidRPr="003067EC">
        <w:rPr>
          <w:rFonts w:ascii="Traditional Arabic" w:hAnsi="Traditional Arabic"/>
          <w:noProof w:val="0"/>
          <w:rtl/>
          <w:lang w:eastAsia="en-US"/>
        </w:rPr>
        <w:t>كه.</w:t>
      </w:r>
    </w:p>
    <w:p w:rsidR="00F341EE" w:rsidRDefault="00065E4B" w:rsidP="00597C20">
      <w:pPr>
        <w:widowControl/>
        <w:autoSpaceDE w:val="0"/>
        <w:autoSpaceDN w:val="0"/>
        <w:adjustRightInd w:val="0"/>
        <w:ind w:left="1080" w:firstLine="0"/>
        <w:rPr>
          <w:rFonts w:ascii="Traditional Arabic" w:hAnsi="Traditional Arabic"/>
          <w:noProof w:val="0"/>
          <w:rtl/>
          <w:lang w:eastAsia="en-US"/>
        </w:rPr>
      </w:pPr>
      <w:r w:rsidRPr="003067EC">
        <w:rPr>
          <w:rFonts w:ascii="Traditional Arabic" w:hAnsi="Traditional Arabic"/>
          <w:noProof w:val="0"/>
          <w:rtl/>
          <w:lang w:eastAsia="en-US"/>
        </w:rPr>
        <w:t>ف</w:t>
      </w:r>
      <w:r w:rsidR="0078336F" w:rsidRPr="003067EC">
        <w:rPr>
          <w:rFonts w:ascii="Traditional Arabic" w:hAnsi="Traditional Arabic"/>
          <w:noProof w:val="0"/>
          <w:rtl/>
          <w:lang w:eastAsia="en-US"/>
        </w:rPr>
        <w:t>إن كانا يجهلان ذلك، ثم تبي</w:t>
      </w:r>
      <w:r w:rsidR="0078336F">
        <w:rPr>
          <w:rFonts w:ascii="Traditional Arabic" w:hAnsi="Traditional Arabic" w:hint="cs"/>
          <w:noProof w:val="0"/>
          <w:rtl/>
          <w:lang w:eastAsia="en-US"/>
        </w:rPr>
        <w:t>َّ</w:t>
      </w:r>
      <w:r w:rsidR="0078336F" w:rsidRPr="003067EC">
        <w:rPr>
          <w:rFonts w:ascii="Traditional Arabic" w:hAnsi="Traditional Arabic"/>
          <w:noProof w:val="0"/>
          <w:rtl/>
          <w:lang w:eastAsia="en-US"/>
        </w:rPr>
        <w:t>ن أنه مغصوب، فلها القيمة أو المثل، حس</w:t>
      </w:r>
      <w:r w:rsidR="00F341EE">
        <w:rPr>
          <w:rFonts w:ascii="Traditional Arabic" w:hAnsi="Traditional Arabic" w:hint="cs"/>
          <w:noProof w:val="0"/>
          <w:rtl/>
          <w:lang w:eastAsia="en-US"/>
        </w:rPr>
        <w:t>َ</w:t>
      </w:r>
      <w:r w:rsidR="0078336F" w:rsidRPr="003067EC">
        <w:rPr>
          <w:rFonts w:ascii="Traditional Arabic" w:hAnsi="Traditional Arabic"/>
          <w:noProof w:val="0"/>
          <w:rtl/>
          <w:lang w:eastAsia="en-US"/>
        </w:rPr>
        <w:t>ب الخلاف بين أهل</w:t>
      </w:r>
      <w:r w:rsidR="0078336F">
        <w:rPr>
          <w:rFonts w:ascii="Traditional Arabic" w:hAnsi="Traditional Arabic"/>
          <w:noProof w:val="0"/>
          <w:rtl/>
          <w:lang w:eastAsia="en-US"/>
        </w:rPr>
        <w:t xml:space="preserve"> العلم</w:t>
      </w:r>
      <w:r w:rsidR="00F341EE">
        <w:rPr>
          <w:rFonts w:ascii="Traditional Arabic" w:hAnsi="Traditional Arabic" w:hint="cs"/>
          <w:noProof w:val="0"/>
          <w:rtl/>
          <w:lang w:eastAsia="en-US"/>
        </w:rPr>
        <w:t>:</w:t>
      </w:r>
    </w:p>
    <w:p w:rsidR="00F341EE" w:rsidRDefault="0078336F" w:rsidP="00597C20">
      <w:pPr>
        <w:widowControl/>
        <w:autoSpaceDE w:val="0"/>
        <w:autoSpaceDN w:val="0"/>
        <w:adjustRightInd w:val="0"/>
        <w:ind w:left="1080" w:firstLine="0"/>
        <w:rPr>
          <w:rFonts w:ascii="Traditional Arabic" w:hAnsi="Traditional Arabic"/>
          <w:noProof w:val="0"/>
          <w:rtl/>
          <w:lang w:eastAsia="en-US"/>
        </w:rPr>
      </w:pPr>
      <w:r w:rsidRPr="003067EC">
        <w:rPr>
          <w:rFonts w:ascii="Traditional Arabic" w:hAnsi="Traditional Arabic"/>
          <w:noProof w:val="0"/>
          <w:rtl/>
          <w:lang w:eastAsia="en-US"/>
        </w:rPr>
        <w:t xml:space="preserve"> فعلى المذهب </w:t>
      </w:r>
      <w:r w:rsidR="00F341EE">
        <w:rPr>
          <w:rFonts w:ascii="Traditional Arabic" w:hAnsi="Traditional Arabic" w:hint="cs"/>
          <w:noProof w:val="0"/>
          <w:rtl/>
          <w:lang w:eastAsia="en-US"/>
        </w:rPr>
        <w:t xml:space="preserve">يكون </w:t>
      </w:r>
      <w:r w:rsidRPr="003067EC">
        <w:rPr>
          <w:rFonts w:ascii="Traditional Arabic" w:hAnsi="Traditional Arabic"/>
          <w:noProof w:val="0"/>
          <w:rtl/>
          <w:lang w:eastAsia="en-US"/>
        </w:rPr>
        <w:t>لها قيم</w:t>
      </w:r>
      <w:r w:rsidRPr="003067EC">
        <w:rPr>
          <w:rFonts w:ascii="Traditional Arabic" w:hAnsi="Traditional Arabic" w:hint="cs"/>
          <w:noProof w:val="0"/>
          <w:rtl/>
          <w:lang w:eastAsia="en-US"/>
        </w:rPr>
        <w:t>ت</w:t>
      </w:r>
      <w:r>
        <w:rPr>
          <w:rFonts w:ascii="Traditional Arabic" w:hAnsi="Traditional Arabic" w:hint="cs"/>
          <w:noProof w:val="0"/>
          <w:rtl/>
          <w:lang w:eastAsia="en-US"/>
        </w:rPr>
        <w:t>ُ</w:t>
      </w:r>
      <w:r w:rsidRPr="003067EC">
        <w:rPr>
          <w:rFonts w:ascii="Traditional Arabic" w:hAnsi="Traditional Arabic" w:hint="cs"/>
          <w:noProof w:val="0"/>
          <w:rtl/>
          <w:lang w:eastAsia="en-US"/>
        </w:rPr>
        <w:t>ه</w:t>
      </w:r>
      <w:r w:rsidRPr="00C821A1">
        <w:rPr>
          <w:rStyle w:val="af1"/>
          <w:szCs w:val="32"/>
          <w:rtl/>
        </w:rPr>
        <w:t>(</w:t>
      </w:r>
      <w:r w:rsidRPr="00C821A1">
        <w:rPr>
          <w:rStyle w:val="af1"/>
          <w:szCs w:val="32"/>
          <w:rtl/>
        </w:rPr>
        <w:footnoteReference w:id="2162"/>
      </w:r>
      <w:r w:rsidRPr="00C821A1">
        <w:rPr>
          <w:rStyle w:val="af1"/>
          <w:szCs w:val="32"/>
          <w:rtl/>
        </w:rPr>
        <w:t>)</w:t>
      </w:r>
      <w:r w:rsidR="00F341EE">
        <w:rPr>
          <w:rFonts w:ascii="Traditional Arabic" w:hAnsi="Traditional Arabic" w:hint="cs"/>
          <w:noProof w:val="0"/>
          <w:rtl/>
          <w:lang w:eastAsia="en-US"/>
        </w:rPr>
        <w:t>.</w:t>
      </w:r>
      <w:r w:rsidRPr="003067EC">
        <w:rPr>
          <w:rFonts w:ascii="Traditional Arabic" w:hAnsi="Traditional Arabic" w:hint="cs"/>
          <w:noProof w:val="0"/>
          <w:rtl/>
          <w:lang w:eastAsia="en-US"/>
        </w:rPr>
        <w:t xml:space="preserve"> </w:t>
      </w:r>
    </w:p>
    <w:p w:rsidR="00065E4B" w:rsidRDefault="0078336F" w:rsidP="00597C20">
      <w:pPr>
        <w:widowControl/>
        <w:autoSpaceDE w:val="0"/>
        <w:autoSpaceDN w:val="0"/>
        <w:adjustRightInd w:val="0"/>
        <w:ind w:left="1080" w:firstLine="0"/>
        <w:rPr>
          <w:rFonts w:ascii="Traditional Arabic" w:hAnsi="Traditional Arabic"/>
          <w:b/>
          <w:bCs/>
          <w:noProof w:val="0"/>
          <w:sz w:val="44"/>
          <w:szCs w:val="44"/>
          <w:rtl/>
          <w:lang w:eastAsia="en-US"/>
        </w:rPr>
      </w:pPr>
      <w:r w:rsidRPr="003067EC">
        <w:rPr>
          <w:rFonts w:ascii="Traditional Arabic" w:hAnsi="Traditional Arabic" w:hint="cs"/>
          <w:noProof w:val="0"/>
          <w:rtl/>
          <w:lang w:eastAsia="en-US"/>
        </w:rPr>
        <w:t>والصحيح</w:t>
      </w:r>
      <w:r w:rsidR="00F341EE">
        <w:rPr>
          <w:rFonts w:ascii="Traditional Arabic" w:hAnsi="Traditional Arabic" w:hint="cs"/>
          <w:noProof w:val="0"/>
          <w:rtl/>
          <w:lang w:eastAsia="en-US"/>
        </w:rPr>
        <w:t xml:space="preserve"> </w:t>
      </w:r>
      <w:r w:rsidRPr="003067EC">
        <w:rPr>
          <w:rFonts w:ascii="Traditional Arabic" w:hAnsi="Traditional Arabic" w:hint="cs"/>
          <w:noProof w:val="0"/>
          <w:rtl/>
          <w:lang w:eastAsia="en-US"/>
        </w:rPr>
        <w:t xml:space="preserve">أن </w:t>
      </w:r>
      <w:r w:rsidR="00F341EE">
        <w:rPr>
          <w:rFonts w:ascii="Traditional Arabic" w:hAnsi="Traditional Arabic"/>
          <w:noProof w:val="0"/>
          <w:rtl/>
          <w:lang w:eastAsia="en-US"/>
        </w:rPr>
        <w:t>لها مثل هذا المسجل الذي أصدقها</w:t>
      </w:r>
      <w:r w:rsidRPr="003067EC">
        <w:rPr>
          <w:rFonts w:ascii="Traditional Arabic" w:hAnsi="Traditional Arabic"/>
          <w:noProof w:val="0"/>
          <w:rtl/>
          <w:lang w:eastAsia="en-US"/>
        </w:rPr>
        <w:t xml:space="preserve"> وتبي</w:t>
      </w:r>
      <w:r w:rsidR="00F341EE">
        <w:rPr>
          <w:rFonts w:ascii="Traditional Arabic" w:hAnsi="Traditional Arabic" w:hint="cs"/>
          <w:noProof w:val="0"/>
          <w:rtl/>
          <w:lang w:eastAsia="en-US"/>
        </w:rPr>
        <w:t>َّ</w:t>
      </w:r>
      <w:r w:rsidRPr="003067EC">
        <w:rPr>
          <w:rFonts w:ascii="Traditional Arabic" w:hAnsi="Traditional Arabic"/>
          <w:noProof w:val="0"/>
          <w:rtl/>
          <w:lang w:eastAsia="en-US"/>
        </w:rPr>
        <w:t>ن أنه مغصوب</w:t>
      </w:r>
      <w:r w:rsidRPr="00C821A1">
        <w:rPr>
          <w:rStyle w:val="af1"/>
          <w:szCs w:val="32"/>
          <w:rtl/>
        </w:rPr>
        <w:t>(</w:t>
      </w:r>
      <w:r w:rsidRPr="00C821A1">
        <w:rPr>
          <w:rStyle w:val="af1"/>
          <w:szCs w:val="32"/>
          <w:rtl/>
        </w:rPr>
        <w:footnoteReference w:id="2163"/>
      </w:r>
      <w:r w:rsidRPr="00C821A1">
        <w:rPr>
          <w:rStyle w:val="af1"/>
          <w:szCs w:val="32"/>
          <w:rtl/>
        </w:rPr>
        <w:t>)</w:t>
      </w:r>
      <w:r w:rsidRPr="003067EC">
        <w:rPr>
          <w:rFonts w:ascii="Traditional Arabic" w:hAnsi="Traditional Arabic"/>
          <w:noProof w:val="0"/>
          <w:rtl/>
          <w:lang w:eastAsia="en-US"/>
        </w:rPr>
        <w:t>.</w:t>
      </w:r>
    </w:p>
    <w:p w:rsidR="00065E4B" w:rsidRDefault="00065E4B" w:rsidP="00597C20">
      <w:pPr>
        <w:pStyle w:val="53"/>
        <w:rPr>
          <w:rtl/>
        </w:rPr>
      </w:pPr>
      <w:r>
        <w:rPr>
          <w:rFonts w:hint="cs"/>
          <w:rtl/>
        </w:rPr>
        <w:lastRenderedPageBreak/>
        <w:t>و</w:t>
      </w:r>
      <w:r w:rsidR="0078336F">
        <w:rPr>
          <w:rFonts w:hint="cs"/>
          <w:rtl/>
        </w:rPr>
        <w:t>جه اندراج الفرع تحت الضابط:</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sidRPr="005744B6">
        <w:rPr>
          <w:rFonts w:ascii="Traditional Arabic" w:hAnsi="Traditional Arabic" w:hint="cs"/>
          <w:noProof w:val="0"/>
          <w:rtl/>
          <w:lang w:eastAsia="en-US"/>
        </w:rPr>
        <w:t>ع</w:t>
      </w:r>
      <w:r w:rsidR="0078336F" w:rsidRPr="005744B6">
        <w:rPr>
          <w:rFonts w:ascii="Traditional Arabic" w:hAnsi="Traditional Arabic" w:hint="cs"/>
          <w:noProof w:val="0"/>
          <w:rtl/>
          <w:lang w:eastAsia="en-US"/>
        </w:rPr>
        <w:t xml:space="preserve">لى القول الراجح في تعريف المثلي عند الشيخ ابن عثيمين </w:t>
      </w:r>
      <w:r w:rsidR="00F341EE">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F341EE">
        <w:rPr>
          <w:rFonts w:ascii="Traditional Arabic" w:hAnsi="Traditional Arabic" w:hint="cs"/>
          <w:noProof w:val="0"/>
          <w:rtl/>
          <w:lang w:eastAsia="en-US"/>
        </w:rPr>
        <w:t>_</w:t>
      </w:r>
      <w:r w:rsidR="0078336F">
        <w:rPr>
          <w:rFonts w:ascii="Traditional Arabic" w:hAnsi="Traditional Arabic" w:hint="cs"/>
          <w:noProof w:val="0"/>
          <w:rtl/>
          <w:lang w:eastAsia="en-US"/>
        </w:rPr>
        <w:t>، فإن المسجل داخل</w:t>
      </w:r>
      <w:r w:rsidR="00F341EE">
        <w:rPr>
          <w:rFonts w:ascii="Traditional Arabic" w:hAnsi="Traditional Arabic" w:hint="cs"/>
          <w:noProof w:val="0"/>
          <w:rtl/>
          <w:lang w:eastAsia="en-US"/>
        </w:rPr>
        <w:t>ٌ</w:t>
      </w:r>
      <w:r w:rsidR="0078336F">
        <w:rPr>
          <w:rFonts w:ascii="Traditional Arabic" w:hAnsi="Traditional Arabic" w:hint="cs"/>
          <w:noProof w:val="0"/>
          <w:rtl/>
          <w:lang w:eastAsia="en-US"/>
        </w:rPr>
        <w:t xml:space="preserve"> في جملة المثليات، فيضمن بمثله؛ لأن القاعدة أن المثلي يضمن بمثله.</w:t>
      </w:r>
    </w:p>
    <w:p w:rsidR="0078336F"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أ</w:t>
      </w:r>
      <w:r w:rsidR="0078336F">
        <w:rPr>
          <w:rFonts w:ascii="Traditional Arabic" w:hAnsi="Traditional Arabic" w:hint="cs"/>
          <w:noProof w:val="0"/>
          <w:rtl/>
          <w:lang w:eastAsia="en-US"/>
        </w:rPr>
        <w:t>ما على المذهب، فإن المسجل ليس مثليّاً، فيُضمن بقيمته؛ لأن القاعدة أن المتقوَّم يضمن بقيمته.</w:t>
      </w:r>
    </w:p>
    <w:p w:rsidR="00065E4B" w:rsidRPr="0078336F" w:rsidRDefault="00F341EE" w:rsidP="00A8347C">
      <w:pPr>
        <w:pStyle w:val="aff3"/>
        <w:rPr>
          <w:rtl/>
        </w:rPr>
      </w:pPr>
      <w:bookmarkStart w:id="492" w:name="_Toc334046664"/>
      <w:r>
        <w:rPr>
          <w:rFonts w:hint="cs"/>
          <w:rtl/>
        </w:rPr>
        <w:t xml:space="preserve">                                           </w:t>
      </w:r>
      <w:r w:rsidR="0078336F" w:rsidRPr="0078336F">
        <w:rPr>
          <w:rFonts w:hint="cs"/>
          <w:rtl/>
        </w:rPr>
        <w:t>المطلب الرابع</w:t>
      </w:r>
      <w:r w:rsidR="0078336F">
        <w:rPr>
          <w:rFonts w:hint="eastAsia"/>
          <w:rtl/>
        </w:rPr>
        <w:t> :</w:t>
      </w:r>
      <w:r w:rsidR="0078336F">
        <w:rPr>
          <w:rFonts w:hint="cs"/>
          <w:rtl/>
        </w:rPr>
        <w:br/>
      </w:r>
      <w:r>
        <w:rPr>
          <w:rFonts w:hint="cs"/>
          <w:rtl/>
        </w:rPr>
        <w:t xml:space="preserve">          </w:t>
      </w:r>
      <w:r w:rsidR="00B334D1">
        <w:rPr>
          <w:rFonts w:hint="cs"/>
          <w:rtl/>
        </w:rPr>
        <w:t xml:space="preserve">                             </w:t>
      </w:r>
      <w:r w:rsidR="0078336F" w:rsidRPr="0078336F">
        <w:rPr>
          <w:rFonts w:hint="cs"/>
          <w:rtl/>
        </w:rPr>
        <w:t>م</w:t>
      </w:r>
      <w:r w:rsidR="00B334D1">
        <w:rPr>
          <w:rFonts w:hint="cs"/>
          <w:rtl/>
        </w:rPr>
        <w:t>ا يستثنى</w:t>
      </w:r>
      <w:r w:rsidR="0078336F" w:rsidRPr="0078336F">
        <w:rPr>
          <w:rFonts w:hint="cs"/>
          <w:rtl/>
        </w:rPr>
        <w:t xml:space="preserve"> </w:t>
      </w:r>
      <w:r w:rsidR="00B334D1">
        <w:rPr>
          <w:rFonts w:hint="cs"/>
          <w:rtl/>
        </w:rPr>
        <w:t xml:space="preserve">من </w:t>
      </w:r>
      <w:r w:rsidR="0078336F" w:rsidRPr="0078336F">
        <w:rPr>
          <w:rFonts w:hint="cs"/>
          <w:rtl/>
        </w:rPr>
        <w:t>الضابط</w:t>
      </w:r>
      <w:bookmarkEnd w:id="492"/>
    </w:p>
    <w:p w:rsidR="0078336F" w:rsidRPr="005744B6"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noProof w:val="0"/>
          <w:rtl/>
          <w:lang w:eastAsia="en-US"/>
        </w:rPr>
        <w:t>ي</w:t>
      </w:r>
      <w:r w:rsidR="0078336F">
        <w:rPr>
          <w:rFonts w:ascii="Traditional Arabic" w:hAnsi="Traditional Arabic"/>
          <w:noProof w:val="0"/>
          <w:rtl/>
          <w:lang w:eastAsia="en-US"/>
        </w:rPr>
        <w:t>ستثنى من</w:t>
      </w:r>
      <w:r w:rsidR="00EB60EC">
        <w:rPr>
          <w:rFonts w:ascii="Traditional Arabic" w:hAnsi="Traditional Arabic" w:hint="cs"/>
          <w:noProof w:val="0"/>
          <w:rtl/>
          <w:lang w:eastAsia="en-US"/>
        </w:rPr>
        <w:t xml:space="preserve"> هذا الضابط</w:t>
      </w:r>
      <w:r w:rsidR="0078336F">
        <w:rPr>
          <w:rFonts w:ascii="Traditional Arabic" w:hAnsi="Traditional Arabic" w:hint="cs"/>
          <w:noProof w:val="0"/>
          <w:rtl/>
          <w:lang w:eastAsia="en-US"/>
        </w:rPr>
        <w:t xml:space="preserve"> </w:t>
      </w:r>
      <w:r w:rsidR="00F341EE">
        <w:rPr>
          <w:rFonts w:ascii="Traditional Arabic" w:hAnsi="Traditional Arabic"/>
          <w:noProof w:val="0"/>
          <w:rtl/>
          <w:lang w:eastAsia="en-US"/>
        </w:rPr>
        <w:t>الماء في ال</w:t>
      </w:r>
      <w:r w:rsidR="00F341EE">
        <w:rPr>
          <w:rFonts w:ascii="Traditional Arabic" w:hAnsi="Traditional Arabic" w:hint="cs"/>
          <w:noProof w:val="0"/>
          <w:rtl/>
          <w:lang w:eastAsia="en-US"/>
        </w:rPr>
        <w:t>ْم</w:t>
      </w:r>
      <w:r w:rsidR="00636856">
        <w:rPr>
          <w:rFonts w:ascii="Traditional Arabic" w:hAnsi="Traditional Arabic" w:hint="cs"/>
          <w:noProof w:val="0"/>
          <w:rtl/>
          <w:lang w:eastAsia="en-US"/>
        </w:rPr>
        <w:t>َ</w:t>
      </w:r>
      <w:r w:rsidR="00F341EE">
        <w:rPr>
          <w:rFonts w:ascii="Traditional Arabic" w:hAnsi="Traditional Arabic" w:hint="cs"/>
          <w:noProof w:val="0"/>
          <w:rtl/>
          <w:lang w:eastAsia="en-US"/>
        </w:rPr>
        <w:t>ف</w:t>
      </w:r>
      <w:r w:rsidR="0078336F" w:rsidRPr="005744B6">
        <w:rPr>
          <w:rFonts w:ascii="Traditional Arabic" w:hAnsi="Traditional Arabic"/>
          <w:noProof w:val="0"/>
          <w:rtl/>
          <w:lang w:eastAsia="en-US"/>
        </w:rPr>
        <w:t>از</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ة</w:t>
      </w:r>
      <w:r w:rsidR="0078336F" w:rsidRPr="00C821A1">
        <w:rPr>
          <w:rStyle w:val="af1"/>
          <w:szCs w:val="32"/>
          <w:rtl/>
        </w:rPr>
        <w:t>(</w:t>
      </w:r>
      <w:r w:rsidR="0078336F" w:rsidRPr="00C821A1">
        <w:rPr>
          <w:rStyle w:val="af1"/>
          <w:szCs w:val="32"/>
          <w:rtl/>
        </w:rPr>
        <w:footnoteReference w:id="2164"/>
      </w:r>
      <w:r w:rsidR="0078336F" w:rsidRPr="00C821A1">
        <w:rPr>
          <w:rStyle w:val="af1"/>
          <w:szCs w:val="32"/>
          <w:rtl/>
        </w:rPr>
        <w:t>)</w:t>
      </w:r>
      <w:r w:rsidR="0078336F" w:rsidRPr="005744B6">
        <w:rPr>
          <w:rFonts w:ascii="Traditional Arabic" w:hAnsi="Traditional Arabic"/>
          <w:noProof w:val="0"/>
          <w:rtl/>
          <w:lang w:eastAsia="en-US"/>
        </w:rPr>
        <w:t>، فإنه ي</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 xml:space="preserve">ضمن </w:t>
      </w:r>
      <w:r w:rsidR="0078336F">
        <w:rPr>
          <w:rFonts w:ascii="Traditional Arabic" w:hAnsi="Traditional Arabic"/>
          <w:noProof w:val="0"/>
          <w:rtl/>
          <w:lang w:eastAsia="en-US"/>
        </w:rPr>
        <w:t>بقيمته في مكانه</w:t>
      </w:r>
      <w:r w:rsidR="0078336F" w:rsidRPr="005744B6">
        <w:rPr>
          <w:rFonts w:ascii="Traditional Arabic" w:hAnsi="Traditional Arabic"/>
          <w:noProof w:val="0"/>
          <w:rtl/>
          <w:lang w:eastAsia="en-US"/>
        </w:rPr>
        <w:t>؛ لأن الماء في المفازة قيمت</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 xml:space="preserve">ه كبيرة، فلو أن شخصا غصب من </w:t>
      </w:r>
      <w:r w:rsidR="00F341EE">
        <w:rPr>
          <w:rFonts w:ascii="Traditional Arabic" w:hAnsi="Traditional Arabic" w:hint="cs"/>
          <w:noProof w:val="0"/>
          <w:rtl/>
          <w:lang w:eastAsia="en-US"/>
        </w:rPr>
        <w:t xml:space="preserve">شخص </w:t>
      </w:r>
      <w:r w:rsidR="0078336F" w:rsidRPr="005744B6">
        <w:rPr>
          <w:rFonts w:ascii="Traditional Arabic" w:hAnsi="Traditional Arabic"/>
          <w:noProof w:val="0"/>
          <w:rtl/>
          <w:lang w:eastAsia="en-US"/>
        </w:rPr>
        <w:t>آخ</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ر ق</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ر</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ب</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ة</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 xml:space="preserve"> ماء</w:t>
      </w:r>
      <w:r w:rsidR="0078336F">
        <w:rPr>
          <w:rFonts w:ascii="Traditional Arabic" w:hAnsi="Traditional Arabic" w:hint="cs"/>
          <w:noProof w:val="0"/>
          <w:rtl/>
          <w:lang w:eastAsia="en-US"/>
        </w:rPr>
        <w:t>ٍ</w:t>
      </w:r>
      <w:r w:rsidR="0078336F">
        <w:rPr>
          <w:rFonts w:ascii="Traditional Arabic" w:hAnsi="Traditional Arabic"/>
          <w:noProof w:val="0"/>
          <w:rtl/>
          <w:lang w:eastAsia="en-US"/>
        </w:rPr>
        <w:t xml:space="preserve"> في مفازة</w:t>
      </w:r>
      <w:r w:rsidR="0078336F">
        <w:rPr>
          <w:rFonts w:ascii="Traditional Arabic" w:hAnsi="Traditional Arabic" w:hint="cs"/>
          <w:noProof w:val="0"/>
          <w:rtl/>
          <w:lang w:eastAsia="en-US"/>
        </w:rPr>
        <w:t xml:space="preserve">، </w:t>
      </w:r>
      <w:r w:rsidR="0078336F" w:rsidRPr="005744B6">
        <w:rPr>
          <w:rFonts w:ascii="Traditional Arabic" w:hAnsi="Traditional Arabic"/>
          <w:noProof w:val="0"/>
          <w:rtl/>
          <w:lang w:eastAsia="en-US"/>
        </w:rPr>
        <w:t xml:space="preserve">فلما وصلا إلى البلد قال: أعطيك قربة ماء، فعلى القاعدة فإنه </w:t>
      </w:r>
      <w:r w:rsidR="0078336F">
        <w:rPr>
          <w:rFonts w:ascii="Traditional Arabic" w:hAnsi="Traditional Arabic" w:hint="cs"/>
          <w:noProof w:val="0"/>
          <w:rtl/>
          <w:lang w:eastAsia="en-US"/>
        </w:rPr>
        <w:t xml:space="preserve">يضمن </w:t>
      </w:r>
      <w:r w:rsidR="0078336F" w:rsidRPr="005744B6">
        <w:rPr>
          <w:rFonts w:ascii="Traditional Arabic" w:hAnsi="Traditional Arabic"/>
          <w:noProof w:val="0"/>
          <w:rtl/>
          <w:lang w:eastAsia="en-US"/>
        </w:rPr>
        <w:t>ماء</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 xml:space="preserve"> بماء</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 xml:space="preserve"> وهو مثل</w:t>
      </w:r>
      <w:r w:rsidR="0078336F">
        <w:rPr>
          <w:rFonts w:ascii="Traditional Arabic" w:hAnsi="Traditional Arabic" w:hint="cs"/>
          <w:noProof w:val="0"/>
          <w:rtl/>
          <w:lang w:eastAsia="en-US"/>
        </w:rPr>
        <w:t>ُ</w:t>
      </w:r>
      <w:r w:rsidR="0078336F">
        <w:rPr>
          <w:rFonts w:ascii="Traditional Arabic" w:hAnsi="Traditional Arabic"/>
          <w:noProof w:val="0"/>
          <w:rtl/>
          <w:lang w:eastAsia="en-US"/>
        </w:rPr>
        <w:t>ه، ولكن هذا مستثنى</w:t>
      </w:r>
      <w:r w:rsidR="00F341EE">
        <w:rPr>
          <w:rFonts w:ascii="Traditional Arabic" w:hAnsi="Traditional Arabic"/>
          <w:noProof w:val="0"/>
          <w:rtl/>
          <w:lang w:eastAsia="en-US"/>
        </w:rPr>
        <w:t xml:space="preserve">، </w:t>
      </w:r>
      <w:r w:rsidR="0078336F" w:rsidRPr="005744B6">
        <w:rPr>
          <w:rFonts w:ascii="Traditional Arabic" w:hAnsi="Traditional Arabic"/>
          <w:noProof w:val="0"/>
          <w:rtl/>
          <w:lang w:eastAsia="en-US"/>
        </w:rPr>
        <w:t>بل ي</w:t>
      </w:r>
      <w:r w:rsidR="00F341EE">
        <w:rPr>
          <w:rFonts w:ascii="Traditional Arabic" w:hAnsi="Traditional Arabic" w:hint="cs"/>
          <w:noProof w:val="0"/>
          <w:rtl/>
          <w:lang w:eastAsia="en-US"/>
        </w:rPr>
        <w:t>ُ</w:t>
      </w:r>
      <w:r w:rsidR="0078336F" w:rsidRPr="005744B6">
        <w:rPr>
          <w:rFonts w:ascii="Traditional Arabic" w:hAnsi="Traditional Arabic"/>
          <w:noProof w:val="0"/>
          <w:rtl/>
          <w:lang w:eastAsia="en-US"/>
        </w:rPr>
        <w:t>عطى قيمت</w:t>
      </w:r>
      <w:r w:rsidR="0078336F">
        <w:rPr>
          <w:rFonts w:ascii="Traditional Arabic" w:hAnsi="Traditional Arabic" w:hint="cs"/>
          <w:noProof w:val="0"/>
          <w:rtl/>
          <w:lang w:eastAsia="en-US"/>
        </w:rPr>
        <w:t>َ</w:t>
      </w:r>
      <w:r w:rsidR="0078336F" w:rsidRPr="005744B6">
        <w:rPr>
          <w:rFonts w:ascii="Traditional Arabic" w:hAnsi="Traditional Arabic"/>
          <w:noProof w:val="0"/>
          <w:rtl/>
          <w:lang w:eastAsia="en-US"/>
        </w:rPr>
        <w:t>ه في مكانه</w:t>
      </w:r>
      <w:r w:rsidR="0078336F" w:rsidRPr="00C821A1">
        <w:rPr>
          <w:rStyle w:val="af1"/>
          <w:szCs w:val="32"/>
          <w:rtl/>
        </w:rPr>
        <w:t>(</w:t>
      </w:r>
      <w:r w:rsidR="0078336F" w:rsidRPr="00C821A1">
        <w:rPr>
          <w:rStyle w:val="af1"/>
          <w:szCs w:val="32"/>
          <w:rtl/>
        </w:rPr>
        <w:footnoteReference w:id="2165"/>
      </w:r>
      <w:r w:rsidR="0078336F" w:rsidRPr="00C821A1">
        <w:rPr>
          <w:rStyle w:val="af1"/>
          <w:szCs w:val="32"/>
          <w:rtl/>
        </w:rPr>
        <w:t>)</w:t>
      </w:r>
      <w:r w:rsidR="0078336F">
        <w:rPr>
          <w:rFonts w:ascii="Traditional Arabic" w:hAnsi="Traditional Arabic" w:hint="cs"/>
          <w:noProof w:val="0"/>
          <w:rtl/>
          <w:lang w:eastAsia="en-US"/>
        </w:rPr>
        <w:t>.</w:t>
      </w:r>
    </w:p>
    <w:p w:rsidR="001C1ED8" w:rsidRPr="001B56A8" w:rsidRDefault="001C1ED8" w:rsidP="00597C20">
      <w:pPr>
        <w:pStyle w:val="aff0"/>
        <w:rPr>
          <w:rtl/>
        </w:rPr>
      </w:pPr>
      <w:bookmarkStart w:id="493" w:name="_Toc334046665"/>
      <w:r w:rsidRPr="001B56A8">
        <w:rPr>
          <w:rFonts w:hint="cs"/>
          <w:rtl/>
        </w:rPr>
        <w:lastRenderedPageBreak/>
        <w:t>الفصل الخامس</w:t>
      </w:r>
      <w:r w:rsidRPr="001B56A8">
        <w:rPr>
          <w:rFonts w:hint="eastAsia"/>
          <w:rtl/>
        </w:rPr>
        <w:t> :</w:t>
      </w:r>
      <w:r w:rsidRPr="001B56A8">
        <w:rPr>
          <w:rFonts w:hint="cs"/>
          <w:rtl/>
        </w:rPr>
        <w:t>الضوابط المتعلقة بباب الحوالة وباب الوكالة</w:t>
      </w:r>
      <w:bookmarkEnd w:id="493"/>
    </w:p>
    <w:p w:rsidR="001C1ED8" w:rsidRPr="002D7A92" w:rsidRDefault="00B334D1" w:rsidP="00597C20">
      <w:pPr>
        <w:spacing w:after="360" w:line="860" w:lineRule="exact"/>
        <w:ind w:right="851" w:firstLine="142"/>
        <w:rPr>
          <w:rFonts w:ascii="Traditional Arabic" w:hAnsi="Traditional Arabic"/>
          <w:b/>
          <w:bCs/>
          <w:u w:val="single"/>
          <w:rtl/>
        </w:rPr>
      </w:pPr>
      <w:r>
        <w:rPr>
          <w:rFonts w:ascii="Traditional Arabic" w:hAnsi="Traditional Arabic" w:hint="cs"/>
          <w:b/>
          <w:bCs/>
          <w:u w:val="single"/>
          <w:rtl/>
        </w:rPr>
        <w:t>وفيه</w:t>
      </w:r>
      <w:r w:rsidR="002F34AD" w:rsidRPr="002D7A92">
        <w:rPr>
          <w:rFonts w:ascii="Traditional Arabic" w:hAnsi="Traditional Arabic" w:hint="cs"/>
          <w:b/>
          <w:bCs/>
          <w:u w:val="single"/>
          <w:rtl/>
        </w:rPr>
        <w:t xml:space="preserve"> </w:t>
      </w:r>
      <w:r>
        <w:rPr>
          <w:rFonts w:ascii="Traditional Arabic" w:hAnsi="Traditional Arabic" w:hint="cs"/>
          <w:b/>
          <w:bCs/>
          <w:u w:val="single"/>
          <w:rtl/>
        </w:rPr>
        <w:t>مب</w:t>
      </w:r>
      <w:r w:rsidR="001C1ED8" w:rsidRPr="002D7A92">
        <w:rPr>
          <w:rFonts w:ascii="Traditional Arabic" w:hAnsi="Traditional Arabic" w:hint="cs"/>
          <w:b/>
          <w:bCs/>
          <w:u w:val="single"/>
          <w:rtl/>
        </w:rPr>
        <w:t>حث</w:t>
      </w:r>
      <w:r>
        <w:rPr>
          <w:rFonts w:ascii="Traditional Arabic" w:hAnsi="Traditional Arabic" w:hint="cs"/>
          <w:b/>
          <w:bCs/>
          <w:u w:val="single"/>
          <w:rtl/>
        </w:rPr>
        <w:t>ان</w:t>
      </w:r>
      <w:r w:rsidR="001C1ED8" w:rsidRPr="002D7A92">
        <w:rPr>
          <w:rFonts w:ascii="Traditional Arabic" w:hAnsi="Traditional Arabic" w:hint="cs"/>
          <w:b/>
          <w:bCs/>
          <w:u w:val="single"/>
          <w:rtl/>
        </w:rPr>
        <w:t>:</w:t>
      </w:r>
    </w:p>
    <w:p w:rsidR="001C1ED8" w:rsidRDefault="001C1ED8" w:rsidP="00597C20">
      <w:pPr>
        <w:tabs>
          <w:tab w:val="left" w:pos="2833"/>
        </w:tabs>
        <w:ind w:left="2833" w:hanging="2268"/>
        <w:rPr>
          <w:rtl/>
        </w:rPr>
      </w:pPr>
      <w:r w:rsidRPr="00FD5687">
        <w:rPr>
          <w:rFonts w:hint="cs"/>
          <w:b/>
          <w:bCs/>
          <w:rtl/>
        </w:rPr>
        <w:t>المبحث الأول:</w:t>
      </w:r>
      <w:r w:rsidR="002F34AD">
        <w:rPr>
          <w:rFonts w:hint="cs"/>
          <w:rtl/>
        </w:rPr>
        <w:tab/>
      </w:r>
      <w:r w:rsidRPr="00031790">
        <w:rPr>
          <w:rFonts w:hint="cs"/>
          <w:rtl/>
        </w:rPr>
        <w:t>ضابط الحوالة من باب الا</w:t>
      </w:r>
      <w:r w:rsidR="00B334D1">
        <w:rPr>
          <w:rFonts w:hint="cs"/>
          <w:rtl/>
        </w:rPr>
        <w:t>ستيفاء، فإذا انقلبت إلى معاوضة ص</w:t>
      </w:r>
      <w:r w:rsidRPr="00031790">
        <w:rPr>
          <w:rFonts w:hint="cs"/>
          <w:rtl/>
        </w:rPr>
        <w:t xml:space="preserve">ار لابد </w:t>
      </w:r>
      <w:r w:rsidR="00B334D1">
        <w:rPr>
          <w:rFonts w:hint="cs"/>
          <w:rtl/>
        </w:rPr>
        <w:t xml:space="preserve">فيها </w:t>
      </w:r>
      <w:r w:rsidRPr="00031790">
        <w:rPr>
          <w:rFonts w:hint="cs"/>
          <w:rtl/>
        </w:rPr>
        <w:t>من مراعاة شروط البيع المعروفة</w:t>
      </w:r>
      <w:r>
        <w:rPr>
          <w:rFonts w:hint="cs"/>
          <w:rtl/>
        </w:rPr>
        <w:t>.</w:t>
      </w:r>
    </w:p>
    <w:p w:rsidR="001C1ED8" w:rsidRPr="00031790" w:rsidRDefault="001C1ED8" w:rsidP="00597C20">
      <w:pPr>
        <w:tabs>
          <w:tab w:val="left" w:pos="2833"/>
        </w:tabs>
        <w:ind w:left="2833" w:hanging="2268"/>
        <w:rPr>
          <w:rtl/>
        </w:rPr>
      </w:pPr>
      <w:r w:rsidRPr="00FD5687">
        <w:rPr>
          <w:rFonts w:hint="cs"/>
          <w:b/>
          <w:bCs/>
          <w:rtl/>
        </w:rPr>
        <w:t>المبحث الثاني:</w:t>
      </w:r>
      <w:r w:rsidR="002F34AD">
        <w:rPr>
          <w:rFonts w:hint="cs"/>
          <w:rtl/>
        </w:rPr>
        <w:tab/>
      </w:r>
      <w:r w:rsidRPr="00031790">
        <w:rPr>
          <w:rFonts w:hint="cs"/>
          <w:rtl/>
        </w:rPr>
        <w:t xml:space="preserve">ضابط كل من له التصرف في شيء </w:t>
      </w:r>
      <w:r w:rsidR="00B334D1">
        <w:rPr>
          <w:rFonts w:hint="cs"/>
          <w:rtl/>
        </w:rPr>
        <w:t>فله أن يوكل وله أن يتوكل، ومن ليس له التصرف فيه فليس له أن يوكل، وليس له أن يتوكل</w:t>
      </w:r>
      <w:r w:rsidRPr="00031790">
        <w:rPr>
          <w:rFonts w:hint="cs"/>
          <w:rtl/>
        </w:rPr>
        <w:t>.</w:t>
      </w:r>
    </w:p>
    <w:p w:rsidR="00AA2246" w:rsidRPr="00C85F0F" w:rsidRDefault="00E4746A" w:rsidP="000F5C0F">
      <w:pPr>
        <w:pStyle w:val="aff2"/>
        <w:rPr>
          <w:rtl/>
        </w:rPr>
      </w:pPr>
      <w:bookmarkStart w:id="494" w:name="_Toc334046666"/>
      <w:r w:rsidRPr="00D816CC">
        <w:rPr>
          <w:rFonts w:ascii="Traditional Arabic" w:hAnsi="Traditional Arabic" w:hint="cs"/>
          <w:rtl/>
        </w:rPr>
        <w:lastRenderedPageBreak/>
        <w:t>المبحث الأول</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AA2246" w:rsidRPr="007673F6">
        <w:rPr>
          <w:rFonts w:hint="cs"/>
          <w:rtl/>
        </w:rPr>
        <w:t>ضابط</w:t>
      </w:r>
      <w:r w:rsidR="00AA2246">
        <w:rPr>
          <w:rFonts w:hint="cs"/>
          <w:rtl/>
        </w:rPr>
        <w:br/>
        <w:t>"الحوالة من باب الاستيفاء، فإذا انقلبت إلى معاوضة صار لابد فيها من</w:t>
      </w:r>
      <w:r w:rsidR="00636856">
        <w:rPr>
          <w:rFonts w:hint="cs"/>
          <w:rtl/>
        </w:rPr>
        <w:t xml:space="preserve"> </w:t>
      </w:r>
      <w:r w:rsidR="00AA2246">
        <w:rPr>
          <w:rFonts w:hint="cs"/>
          <w:rtl/>
        </w:rPr>
        <w:t>مراعاة شروط البيع المعروفة</w:t>
      </w:r>
      <w:r w:rsidR="00AB0B9E" w:rsidRPr="00C85F0F">
        <w:rPr>
          <w:rtl/>
        </w:rPr>
        <w:fldChar w:fldCharType="begin"/>
      </w:r>
      <w:r w:rsidR="00945AC4" w:rsidRPr="00C85F0F">
        <w:rPr>
          <w:rFonts w:hint="cs"/>
        </w:rPr>
        <w:instrText>XE</w:instrText>
      </w:r>
      <w:r w:rsidR="00945AC4" w:rsidRPr="00C85F0F">
        <w:rPr>
          <w:rtl/>
        </w:rPr>
        <w:instrText xml:space="preserve"> "</w:instrText>
      </w:r>
      <w:r w:rsidR="00945AC4" w:rsidRPr="00C85F0F">
        <w:rPr>
          <w:rFonts w:hint="cs"/>
          <w:rtl/>
        </w:rPr>
        <w:instrText>الحوالةمنبابالاستيفاء،فإذاانقلبتإلىمعاوضةصارلابدفيهامنمراعاةشروطالبيعالمعروفة</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AA2246" w:rsidRPr="00C85F0F">
        <w:rPr>
          <w:rFonts w:hint="cs"/>
          <w:rtl/>
        </w:rPr>
        <w:t>"</w:t>
      </w:r>
      <w:r w:rsidR="00AA2246" w:rsidRPr="00C85F0F">
        <w:rPr>
          <w:rStyle w:val="af1"/>
          <w:b w:val="0"/>
          <w:bCs w:val="0"/>
          <w:szCs w:val="32"/>
          <w:rtl/>
        </w:rPr>
        <w:t>(</w:t>
      </w:r>
      <w:r w:rsidR="00AA2246" w:rsidRPr="00C85F0F">
        <w:rPr>
          <w:rStyle w:val="af1"/>
          <w:b w:val="0"/>
          <w:bCs w:val="0"/>
          <w:szCs w:val="32"/>
          <w:rtl/>
        </w:rPr>
        <w:footnoteReference w:id="2166"/>
      </w:r>
      <w:r w:rsidR="00AA2246" w:rsidRPr="00C85F0F">
        <w:rPr>
          <w:rStyle w:val="af1"/>
          <w:b w:val="0"/>
          <w:bCs w:val="0"/>
          <w:szCs w:val="32"/>
          <w:rtl/>
        </w:rPr>
        <w:t>)</w:t>
      </w:r>
      <w:bookmarkEnd w:id="494"/>
    </w:p>
    <w:p w:rsidR="00AA2246" w:rsidRPr="00C85F0F" w:rsidRDefault="00EB60EC" w:rsidP="00A8347C">
      <w:pPr>
        <w:pStyle w:val="aff3"/>
        <w:rPr>
          <w:rtl/>
        </w:rPr>
      </w:pPr>
      <w:bookmarkStart w:id="495" w:name="_Toc334046667"/>
      <w:r>
        <w:rPr>
          <w:rFonts w:hint="cs"/>
          <w:rtl/>
        </w:rPr>
        <w:t xml:space="preserve">                     </w:t>
      </w:r>
      <w:r w:rsidR="00636856">
        <w:rPr>
          <w:rFonts w:hint="cs"/>
          <w:rtl/>
        </w:rPr>
        <w:t xml:space="preserve">                   </w:t>
      </w:r>
      <w:r w:rsidR="00AA2246" w:rsidRPr="00C85F0F">
        <w:rPr>
          <w:rFonts w:hint="cs"/>
          <w:rtl/>
        </w:rPr>
        <w:t>المطلب الأول</w:t>
      </w:r>
      <w:r w:rsidR="00AA2246" w:rsidRPr="00C85F0F">
        <w:rPr>
          <w:rFonts w:hint="eastAsia"/>
          <w:rtl/>
        </w:rPr>
        <w:t> :</w:t>
      </w:r>
      <w:r w:rsidR="00AA2246" w:rsidRPr="00C85F0F">
        <w:rPr>
          <w:rFonts w:hint="cs"/>
          <w:rtl/>
        </w:rPr>
        <w:br/>
      </w:r>
      <w:r>
        <w:rPr>
          <w:rFonts w:hint="cs"/>
          <w:rtl/>
        </w:rPr>
        <w:t xml:space="preserve">                     </w:t>
      </w:r>
      <w:r w:rsidR="00636856">
        <w:rPr>
          <w:rFonts w:hint="cs"/>
          <w:rtl/>
        </w:rPr>
        <w:t xml:space="preserve">                    </w:t>
      </w:r>
      <w:r w:rsidR="00AA2246" w:rsidRPr="00C85F0F">
        <w:rPr>
          <w:rFonts w:hint="cs"/>
          <w:rtl/>
        </w:rPr>
        <w:t>شرح الضابط</w:t>
      </w:r>
      <w:bookmarkEnd w:id="495"/>
    </w:p>
    <w:p w:rsidR="000A689C" w:rsidRPr="00C85F0F" w:rsidRDefault="00AA2246" w:rsidP="00597C20">
      <w:pPr>
        <w:pStyle w:val="53"/>
        <w:rPr>
          <w:rtl/>
        </w:rPr>
      </w:pPr>
      <w:r w:rsidRPr="006E1F02">
        <w:rPr>
          <w:rFonts w:hint="cs"/>
          <w:rtl/>
        </w:rPr>
        <w:t>الاستيفاء</w:t>
      </w:r>
      <w:r w:rsidR="00AB0B9E">
        <w:rPr>
          <w:rtl/>
        </w:rPr>
        <w:fldChar w:fldCharType="begin"/>
      </w:r>
      <w:r w:rsidR="006E1F02">
        <w:instrText xml:space="preserve"> XE "</w:instrText>
      </w:r>
      <w:r w:rsidR="006E1F02" w:rsidRPr="006E1F02">
        <w:rPr>
          <w:rFonts w:hint="cs"/>
          <w:b w:val="0"/>
          <w:bCs w:val="0"/>
          <w:rtl/>
        </w:rPr>
        <w:instrText>الاستيفاء</w:instrText>
      </w:r>
      <w:r w:rsidR="006E1F02">
        <w:instrText xml:space="preserve">" </w:instrText>
      </w:r>
      <w:r w:rsidR="006E1F02" w:rsidRPr="006E1F02">
        <w:instrText xml:space="preserve">\fm </w:instrText>
      </w:r>
      <w:r w:rsidR="00AB0B9E">
        <w:rPr>
          <w:rtl/>
        </w:rPr>
        <w:fldChar w:fldCharType="end"/>
      </w:r>
      <w:r w:rsidRPr="00C85F0F">
        <w:rPr>
          <w:rFonts w:hint="cs"/>
          <w:rtl/>
        </w:rPr>
        <w:t xml:space="preserve"> لغة:</w:t>
      </w:r>
    </w:p>
    <w:p w:rsidR="00AA2246" w:rsidRPr="00C85F0F" w:rsidRDefault="00636856" w:rsidP="00597C20">
      <w:pPr>
        <w:ind w:firstLine="720"/>
        <w:rPr>
          <w:rtl/>
        </w:rPr>
      </w:pPr>
      <w:r>
        <w:rPr>
          <w:rFonts w:hint="cs"/>
          <w:rtl/>
        </w:rPr>
        <w:t>مصدر استوفى يستوفي استيفاءً</w:t>
      </w:r>
      <w:r w:rsidR="00AA2246" w:rsidRPr="00C85F0F">
        <w:rPr>
          <w:rFonts w:hint="cs"/>
          <w:rtl/>
        </w:rPr>
        <w:t>.</w:t>
      </w:r>
    </w:p>
    <w:p w:rsidR="00AA2246" w:rsidRPr="00C85F0F" w:rsidRDefault="00AA2246" w:rsidP="00597C20">
      <w:pPr>
        <w:ind w:firstLine="720"/>
        <w:rPr>
          <w:rtl/>
        </w:rPr>
      </w:pPr>
      <w:r w:rsidRPr="00C85F0F">
        <w:rPr>
          <w:rFonts w:hint="cs"/>
          <w:rtl/>
        </w:rPr>
        <w:t xml:space="preserve">يقول  ابن فارس </w:t>
      </w:r>
      <w:r w:rsidR="00636856">
        <w:rPr>
          <w:rFonts w:hint="cs"/>
          <w:rtl/>
        </w:rPr>
        <w:t>_</w:t>
      </w:r>
      <w:r w:rsidR="009A0575" w:rsidRPr="005D5694">
        <w:rPr>
          <w:rFonts w:ascii="Traditional Arabic" w:hAnsi="Traditional Arabic" w:cs="CTraditional Arabic" w:hint="cs"/>
          <w:rtl/>
        </w:rPr>
        <w:t>/</w:t>
      </w:r>
      <w:r w:rsidR="00636856">
        <w:rPr>
          <w:rFonts w:hint="cs"/>
          <w:rtl/>
        </w:rPr>
        <w:t>_</w:t>
      </w:r>
      <w:r w:rsidRPr="00C85F0F">
        <w:rPr>
          <w:rFonts w:hint="cs"/>
          <w:rtl/>
        </w:rPr>
        <w:t>: (</w:t>
      </w:r>
      <w:r w:rsidRPr="00C85F0F">
        <w:rPr>
          <w:rFonts w:ascii="Traditional Arabic" w:hAnsi="Traditional Arabic"/>
          <w:noProof w:val="0"/>
          <w:rtl/>
          <w:lang w:eastAsia="en-US"/>
        </w:rPr>
        <w:t>الواو والفاء والحرف المعتل: كلمة تدل على إكمال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وإتمام. منه الوفاء: إتمام العهد وإكمال الشرط. ووف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ى: أ</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فى، فهو وفي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ويقولون: أ</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وفيت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 الشيء</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إذا قضيته إياه وافيا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وتوف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الشيء</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واستوفيت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إذا أخذت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كل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حتى لم تترك منه شيئا</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2167"/>
      </w:r>
      <w:r w:rsidRPr="00C85F0F">
        <w:rPr>
          <w:rStyle w:val="af1"/>
          <w:szCs w:val="32"/>
          <w:rtl/>
        </w:rPr>
        <w:t>)</w:t>
      </w:r>
      <w:r w:rsidRPr="00C85F0F">
        <w:rPr>
          <w:rFonts w:ascii="Traditional Arabic" w:hAnsi="Traditional Arabic"/>
          <w:noProof w:val="0"/>
          <w:rtl/>
          <w:lang w:eastAsia="en-US"/>
        </w:rPr>
        <w:t>.</w:t>
      </w:r>
    </w:p>
    <w:p w:rsidR="00AA2246" w:rsidRPr="00C85F0F" w:rsidRDefault="00AA2246" w:rsidP="00597C20">
      <w:pPr>
        <w:pStyle w:val="53"/>
        <w:rPr>
          <w:rtl/>
        </w:rPr>
      </w:pPr>
      <w:r w:rsidRPr="00C85F0F">
        <w:rPr>
          <w:rFonts w:hint="cs"/>
          <w:rtl/>
        </w:rPr>
        <w:t>معنى الضابط إجمالا:</w:t>
      </w:r>
    </w:p>
    <w:p w:rsidR="00F228A9" w:rsidRPr="00C85F0F" w:rsidRDefault="00AA2246" w:rsidP="00597C20">
      <w:pPr>
        <w:ind w:firstLine="720"/>
        <w:rPr>
          <w:rtl/>
        </w:rPr>
      </w:pPr>
      <w:r w:rsidRPr="00C85F0F">
        <w:rPr>
          <w:rFonts w:hint="cs"/>
          <w:rtl/>
        </w:rPr>
        <w:t>الح</w:t>
      </w:r>
      <w:r w:rsidR="00636856">
        <w:rPr>
          <w:rFonts w:hint="cs"/>
          <w:rtl/>
        </w:rPr>
        <w:t>َ</w:t>
      </w:r>
      <w:r w:rsidRPr="00C85F0F">
        <w:rPr>
          <w:rFonts w:hint="cs"/>
          <w:rtl/>
        </w:rPr>
        <w:t>والة عبارة عن نقل الحق من ذمة إلى ذمة، وهي من عقود الإرفاق والإحسان، ولو كانت عقدَ معاوضة لم تصح</w:t>
      </w:r>
      <w:r w:rsidR="00636856">
        <w:rPr>
          <w:rFonts w:hint="cs"/>
          <w:rtl/>
        </w:rPr>
        <w:t>َّ</w:t>
      </w:r>
      <w:r w:rsidRPr="00C85F0F">
        <w:rPr>
          <w:rFonts w:hint="cs"/>
          <w:rtl/>
        </w:rPr>
        <w:t>؛ لأنها بيعُ دَينٍ بدين؛ ولأنها ربا إذا كانت الأموال مما يجري بينها الربا، فالحوالة من باب استيفاء الحق، فإذا قُصد بها المعاوضة والاكتساب صارت من باب البيع، وحينئذ يُشترط فيها شروط البيع المعروفة</w:t>
      </w:r>
      <w:r w:rsidRPr="00C85F0F">
        <w:rPr>
          <w:rStyle w:val="af1"/>
          <w:szCs w:val="32"/>
          <w:rtl/>
        </w:rPr>
        <w:t>(</w:t>
      </w:r>
      <w:r w:rsidRPr="00C85F0F">
        <w:rPr>
          <w:rStyle w:val="af1"/>
          <w:szCs w:val="32"/>
          <w:rtl/>
        </w:rPr>
        <w:footnoteReference w:id="2168"/>
      </w:r>
      <w:r w:rsidRPr="00C85F0F">
        <w:rPr>
          <w:rStyle w:val="af1"/>
          <w:szCs w:val="32"/>
          <w:rtl/>
        </w:rPr>
        <w:t>)</w:t>
      </w:r>
      <w:r w:rsidRPr="00C85F0F">
        <w:rPr>
          <w:rFonts w:hint="cs"/>
          <w:rtl/>
        </w:rPr>
        <w:t>.</w:t>
      </w:r>
    </w:p>
    <w:p w:rsidR="00065E4B" w:rsidRPr="00C85F0F" w:rsidRDefault="00636856" w:rsidP="00A8347C">
      <w:pPr>
        <w:pStyle w:val="aff3"/>
        <w:rPr>
          <w:rtl/>
        </w:rPr>
      </w:pPr>
      <w:bookmarkStart w:id="496" w:name="_Toc334046668"/>
      <w:r>
        <w:rPr>
          <w:rFonts w:hint="cs"/>
          <w:rtl/>
        </w:rPr>
        <w:lastRenderedPageBreak/>
        <w:t xml:space="preserve">                                         </w:t>
      </w:r>
      <w:r w:rsidR="00AA2246" w:rsidRPr="00C85F0F">
        <w:rPr>
          <w:rFonts w:hint="cs"/>
          <w:rtl/>
        </w:rPr>
        <w:t>المطلب الثاني</w:t>
      </w:r>
      <w:r w:rsidR="00AA2246" w:rsidRPr="00C85F0F">
        <w:rPr>
          <w:rFonts w:hint="eastAsia"/>
          <w:rtl/>
        </w:rPr>
        <w:t> :</w:t>
      </w:r>
      <w:r w:rsidR="00AA2246" w:rsidRPr="00C85F0F">
        <w:rPr>
          <w:rFonts w:hint="cs"/>
          <w:rtl/>
        </w:rPr>
        <w:br/>
      </w:r>
      <w:r>
        <w:rPr>
          <w:rFonts w:hint="cs"/>
          <w:rtl/>
        </w:rPr>
        <w:t xml:space="preserve">                                          </w:t>
      </w:r>
      <w:r w:rsidR="00AA2246" w:rsidRPr="00C85F0F">
        <w:rPr>
          <w:rFonts w:hint="cs"/>
          <w:rtl/>
        </w:rPr>
        <w:t>أدلة الضابط</w:t>
      </w:r>
      <w:bookmarkEnd w:id="496"/>
    </w:p>
    <w:p w:rsidR="00AA2246" w:rsidRPr="00C85F0F" w:rsidRDefault="00065E4B" w:rsidP="00597C20">
      <w:pPr>
        <w:ind w:firstLine="720"/>
        <w:rPr>
          <w:rtl/>
        </w:rPr>
      </w:pPr>
      <w:r w:rsidRPr="00C85F0F">
        <w:rPr>
          <w:rFonts w:hint="cs"/>
          <w:rtl/>
        </w:rPr>
        <w:t>ي</w:t>
      </w:r>
      <w:r w:rsidR="00AA2246" w:rsidRPr="00C85F0F">
        <w:rPr>
          <w:rFonts w:hint="cs"/>
          <w:rtl/>
        </w:rPr>
        <w:t>مكن أن يُستدلَّ لهذا الضابط من جهة المعنى بأنه إذا قُصد بالحوالة المعاوضة انقلبت بيعاً، وحينئذ لابد من أن تتوفر فيها شروط صحة البيع</w:t>
      </w:r>
      <w:r w:rsidR="00636856">
        <w:rPr>
          <w:rFonts w:hint="cs"/>
          <w:rtl/>
        </w:rPr>
        <w:t>،</w:t>
      </w:r>
      <w:r w:rsidR="00AA2246" w:rsidRPr="00C85F0F">
        <w:rPr>
          <w:rFonts w:hint="cs"/>
          <w:rtl/>
        </w:rPr>
        <w:t xml:space="preserve"> وإلا لم تصح، والله أعلم.</w:t>
      </w:r>
    </w:p>
    <w:p w:rsidR="00AA2246" w:rsidRPr="00C85F0F" w:rsidRDefault="00636856" w:rsidP="00A8347C">
      <w:pPr>
        <w:pStyle w:val="aff3"/>
        <w:rPr>
          <w:rtl/>
        </w:rPr>
      </w:pPr>
      <w:bookmarkStart w:id="497" w:name="_Toc334046669"/>
      <w:r>
        <w:rPr>
          <w:rFonts w:hint="cs"/>
          <w:rtl/>
        </w:rPr>
        <w:t xml:space="preserve">                                          </w:t>
      </w:r>
      <w:r w:rsidR="00AA2246" w:rsidRPr="00C85F0F">
        <w:rPr>
          <w:rFonts w:hint="cs"/>
          <w:rtl/>
        </w:rPr>
        <w:t>المطلب الثالث</w:t>
      </w:r>
      <w:r w:rsidR="00AA2246" w:rsidRPr="00C85F0F">
        <w:rPr>
          <w:rFonts w:hint="eastAsia"/>
          <w:rtl/>
        </w:rPr>
        <w:t> :</w:t>
      </w:r>
      <w:r w:rsidR="00AA2246" w:rsidRPr="00C85F0F">
        <w:rPr>
          <w:rFonts w:hint="cs"/>
          <w:rtl/>
        </w:rPr>
        <w:br/>
      </w:r>
      <w:r>
        <w:rPr>
          <w:rFonts w:hint="cs"/>
          <w:rtl/>
        </w:rPr>
        <w:t xml:space="preserve">                             </w:t>
      </w:r>
      <w:r w:rsidR="00896593">
        <w:rPr>
          <w:rFonts w:hint="cs"/>
          <w:rtl/>
        </w:rPr>
        <w:t xml:space="preserve">             </w:t>
      </w:r>
      <w:r w:rsidR="00AA2246" w:rsidRPr="00C85F0F">
        <w:rPr>
          <w:rFonts w:hint="cs"/>
          <w:rtl/>
        </w:rPr>
        <w:t>تطبيقات الضابط</w:t>
      </w:r>
      <w:bookmarkEnd w:id="497"/>
    </w:p>
    <w:p w:rsidR="00AA2246" w:rsidRPr="00C85F0F" w:rsidRDefault="00AA2246" w:rsidP="000A76C7">
      <w:pPr>
        <w:pStyle w:val="afc"/>
        <w:numPr>
          <w:ilvl w:val="0"/>
          <w:numId w:val="299"/>
        </w:numPr>
      </w:pP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شترط </w:t>
      </w:r>
      <w:r w:rsidRPr="00C85F0F">
        <w:rPr>
          <w:rFonts w:ascii="Traditional Arabic" w:hAnsi="Traditional Arabic" w:hint="cs"/>
          <w:noProof w:val="0"/>
          <w:rtl/>
          <w:lang w:eastAsia="en-US"/>
        </w:rPr>
        <w:t xml:space="preserve">في الحوالة </w:t>
      </w:r>
      <w:r w:rsidRPr="00C85F0F">
        <w:rPr>
          <w:rFonts w:ascii="Traditional Arabic" w:hAnsi="Traditional Arabic"/>
          <w:noProof w:val="0"/>
          <w:rtl/>
          <w:lang w:eastAsia="en-US"/>
        </w:rPr>
        <w:t>اتفاق الديني</w:t>
      </w:r>
      <w:r w:rsidRPr="00C85F0F">
        <w:rPr>
          <w:rFonts w:ascii="Traditional Arabic" w:hAnsi="Traditional Arabic" w:hint="cs"/>
          <w:noProof w:val="0"/>
          <w:rtl/>
          <w:lang w:eastAsia="en-US"/>
        </w:rPr>
        <w:t>ن</w:t>
      </w:r>
      <w:r w:rsidR="00636856">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 xml:space="preserve">في </w:t>
      </w:r>
      <w:r w:rsidRPr="00C85F0F">
        <w:rPr>
          <w:rFonts w:ascii="Traditional Arabic" w:hAnsi="Traditional Arabic"/>
          <w:noProof w:val="0"/>
          <w:rtl/>
          <w:lang w:eastAsia="en-US"/>
        </w:rPr>
        <w:t xml:space="preserve">الجنس، </w:t>
      </w:r>
      <w:r w:rsidRPr="00C85F0F">
        <w:rPr>
          <w:rFonts w:ascii="Traditional Arabic" w:hAnsi="Traditional Arabic" w:hint="cs"/>
          <w:noProof w:val="0"/>
          <w:rtl/>
          <w:lang w:eastAsia="en-US"/>
        </w:rPr>
        <w:t>وذلك ك</w:t>
      </w:r>
      <w:r w:rsidRPr="00C85F0F">
        <w:rPr>
          <w:rFonts w:ascii="Traditional Arabic" w:hAnsi="Traditional Arabic"/>
          <w:noProof w:val="0"/>
          <w:rtl/>
          <w:lang w:eastAsia="en-US"/>
        </w:rPr>
        <w:t>أن يحيل مائة صاع 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ذمته، على م</w:t>
      </w:r>
      <w:r w:rsidR="00636856">
        <w:rPr>
          <w:rFonts w:ascii="Traditional Arabic" w:hAnsi="Traditional Arabic" w:hint="cs"/>
          <w:noProof w:val="0"/>
          <w:rtl/>
          <w:lang w:eastAsia="en-US"/>
        </w:rPr>
        <w:t>َ</w:t>
      </w:r>
      <w:r w:rsidRPr="00C85F0F">
        <w:rPr>
          <w:rFonts w:ascii="Traditional Arabic" w:hAnsi="Traditional Arabic"/>
          <w:noProof w:val="0"/>
          <w:rtl/>
          <w:lang w:eastAsia="en-US"/>
        </w:rPr>
        <w:t>ن له في ذمته مائة صاع بر، فإن أحاله بمائة صاع بر على مائة صاع شعير</w:t>
      </w:r>
      <w:r w:rsidR="00636856">
        <w:rPr>
          <w:rFonts w:ascii="Traditional Arabic" w:hAnsi="Traditional Arabic" w:hint="cs"/>
          <w:noProof w:val="0"/>
          <w:rtl/>
          <w:lang w:eastAsia="en-US"/>
        </w:rPr>
        <w:t>،</w:t>
      </w:r>
      <w:r w:rsidRPr="00C85F0F">
        <w:rPr>
          <w:rFonts w:ascii="Traditional Arabic" w:hAnsi="Traditional Arabic"/>
          <w:noProof w:val="0"/>
          <w:rtl/>
          <w:lang w:eastAsia="en-US"/>
        </w:rPr>
        <w:t xml:space="preserve"> فإنه لا يصح، لاختلاف الجنسين، </w:t>
      </w:r>
      <w:r w:rsidRPr="00C85F0F">
        <w:rPr>
          <w:rFonts w:ascii="Traditional Arabic" w:hAnsi="Traditional Arabic" w:hint="cs"/>
          <w:noProof w:val="0"/>
          <w:rtl/>
          <w:lang w:eastAsia="en-US"/>
        </w:rPr>
        <w:t xml:space="preserve">وكذلك لو أحاله بعشرة دنانير على عشرة دراهم، لايصح، </w:t>
      </w:r>
      <w:r w:rsidRPr="00C85F0F">
        <w:rPr>
          <w:rFonts w:ascii="Traditional Arabic" w:hAnsi="Traditional Arabic"/>
          <w:noProof w:val="0"/>
          <w:rtl/>
          <w:lang w:eastAsia="en-US"/>
        </w:rPr>
        <w:t xml:space="preserve">فهي </w:t>
      </w:r>
      <w:r w:rsidRPr="00C85F0F">
        <w:rPr>
          <w:rFonts w:ascii="Traditional Arabic" w:hAnsi="Traditional Arabic" w:hint="cs"/>
          <w:noProof w:val="0"/>
          <w:rtl/>
          <w:lang w:eastAsia="en-US"/>
        </w:rPr>
        <w:t xml:space="preserve">ههنا </w:t>
      </w:r>
      <w:r w:rsidRPr="00C85F0F">
        <w:rPr>
          <w:rFonts w:ascii="Traditional Arabic" w:hAnsi="Traditional Arabic"/>
          <w:noProof w:val="0"/>
          <w:rtl/>
          <w:lang w:eastAsia="en-US"/>
        </w:rPr>
        <w:t>ليست حوالة</w:t>
      </w:r>
      <w:r w:rsidR="00636856">
        <w:rPr>
          <w:rFonts w:ascii="Traditional Arabic" w:hAnsi="Traditional Arabic" w:hint="cs"/>
          <w:noProof w:val="0"/>
          <w:rtl/>
          <w:lang w:eastAsia="en-US"/>
        </w:rPr>
        <w:t>،</w:t>
      </w:r>
      <w:r w:rsidRPr="00C85F0F">
        <w:rPr>
          <w:rFonts w:ascii="Traditional Arabic" w:hAnsi="Traditional Arabic"/>
          <w:noProof w:val="0"/>
          <w:rtl/>
          <w:lang w:eastAsia="en-US"/>
        </w:rPr>
        <w:t xml:space="preserve"> ولكنها في الحقيقة بيع</w:t>
      </w:r>
      <w:r w:rsidRPr="00C85F0F">
        <w:rPr>
          <w:rStyle w:val="af1"/>
          <w:szCs w:val="32"/>
          <w:rtl/>
        </w:rPr>
        <w:t>(</w:t>
      </w:r>
      <w:r w:rsidRPr="00C85F0F">
        <w:rPr>
          <w:rStyle w:val="af1"/>
          <w:szCs w:val="32"/>
          <w:rtl/>
        </w:rPr>
        <w:footnoteReference w:id="2169"/>
      </w:r>
      <w:r w:rsidRPr="00C85F0F">
        <w:rPr>
          <w:rStyle w:val="af1"/>
          <w:szCs w:val="32"/>
          <w:rtl/>
        </w:rPr>
        <w:t>)</w:t>
      </w:r>
      <w:r w:rsidRPr="00C85F0F">
        <w:rPr>
          <w:rFonts w:ascii="Traditional Arabic" w:hAnsi="Traditional Arabic"/>
          <w:noProof w:val="0"/>
          <w:rtl/>
          <w:lang w:eastAsia="en-US"/>
        </w:rPr>
        <w:t>.</w:t>
      </w:r>
    </w:p>
    <w:p w:rsidR="00AA2246" w:rsidRPr="00C85F0F" w:rsidRDefault="00AA2246" w:rsidP="00597C20">
      <w:pPr>
        <w:pStyle w:val="53"/>
        <w:rPr>
          <w:rtl/>
        </w:rPr>
      </w:pPr>
      <w:r w:rsidRPr="00C85F0F">
        <w:rPr>
          <w:rFonts w:hint="cs"/>
          <w:rtl/>
        </w:rPr>
        <w:t>وجه اندراج الفرع تحت الضابط:</w:t>
      </w:r>
    </w:p>
    <w:p w:rsidR="00AA2246" w:rsidRPr="00C85F0F" w:rsidRDefault="00AA2246" w:rsidP="00597C20">
      <w:pPr>
        <w:ind w:firstLine="720"/>
        <w:rPr>
          <w:rtl/>
        </w:rPr>
      </w:pPr>
      <w:r w:rsidRPr="00C85F0F">
        <w:rPr>
          <w:rFonts w:hint="cs"/>
          <w:rtl/>
        </w:rPr>
        <w:t>لما اختلف الجنس صارت الحوالة من باب المعاوضة والبيع، ويشترط في بيع الربويات المتفقة في الجنس التماث</w:t>
      </w:r>
      <w:r w:rsidR="00D315C2">
        <w:rPr>
          <w:rFonts w:hint="cs"/>
          <w:rtl/>
        </w:rPr>
        <w:t>ُ</w:t>
      </w:r>
      <w:r w:rsidRPr="00C85F0F">
        <w:rPr>
          <w:rFonts w:hint="cs"/>
          <w:rtl/>
        </w:rPr>
        <w:t>ل، ولما فُقد هذا الشرط لم تصح الحوالة.</w:t>
      </w:r>
    </w:p>
    <w:p w:rsidR="00AA2246" w:rsidRPr="00C85F0F" w:rsidRDefault="00AA2246" w:rsidP="00446D19">
      <w:pPr>
        <w:pStyle w:val="afc"/>
        <w:numPr>
          <w:ilvl w:val="0"/>
          <w:numId w:val="299"/>
        </w:numPr>
      </w:pPr>
      <w:r w:rsidRPr="00446D19">
        <w:rPr>
          <w:rFonts w:ascii="Traditional Arabic" w:hAnsi="Traditional Arabic" w:hint="cs"/>
          <w:noProof w:val="0"/>
          <w:rtl/>
          <w:lang w:eastAsia="en-US"/>
        </w:rPr>
        <w:t>يُشترط في الحوالة تساوي الدينين في الق</w:t>
      </w:r>
      <w:r w:rsidR="00D315C2" w:rsidRPr="00446D19">
        <w:rPr>
          <w:rFonts w:ascii="Traditional Arabic" w:hAnsi="Traditional Arabic" w:hint="cs"/>
          <w:noProof w:val="0"/>
          <w:rtl/>
          <w:lang w:eastAsia="en-US"/>
        </w:rPr>
        <w:t>َ</w:t>
      </w:r>
      <w:r w:rsidRPr="00446D19">
        <w:rPr>
          <w:rFonts w:ascii="Traditional Arabic" w:hAnsi="Traditional Arabic" w:hint="cs"/>
          <w:noProof w:val="0"/>
          <w:rtl/>
          <w:lang w:eastAsia="en-US"/>
        </w:rPr>
        <w:t>د</w:t>
      </w:r>
      <w:r w:rsidR="00D315C2" w:rsidRPr="00446D19">
        <w:rPr>
          <w:rFonts w:ascii="Traditional Arabic" w:hAnsi="Traditional Arabic" w:hint="cs"/>
          <w:noProof w:val="0"/>
          <w:rtl/>
          <w:lang w:eastAsia="en-US"/>
        </w:rPr>
        <w:t>ْ</w:t>
      </w:r>
      <w:r w:rsidRPr="00446D19">
        <w:rPr>
          <w:rFonts w:ascii="Traditional Arabic" w:hAnsi="Traditional Arabic" w:hint="cs"/>
          <w:noProof w:val="0"/>
          <w:rtl/>
          <w:lang w:eastAsia="en-US"/>
        </w:rPr>
        <w:t>ر، فلو</w:t>
      </w:r>
      <w:r w:rsidRPr="00446D19">
        <w:rPr>
          <w:rFonts w:ascii="Traditional Arabic" w:hAnsi="Traditional Arabic"/>
          <w:noProof w:val="0"/>
          <w:rtl/>
          <w:lang w:eastAsia="en-US"/>
        </w:rPr>
        <w:t xml:space="preserve"> أ</w:t>
      </w:r>
      <w:r w:rsidRPr="00446D19">
        <w:rPr>
          <w:rFonts w:ascii="Traditional Arabic" w:hAnsi="Traditional Arabic" w:hint="cs"/>
          <w:noProof w:val="0"/>
          <w:rtl/>
          <w:lang w:eastAsia="en-US"/>
        </w:rPr>
        <w:t>َ</w:t>
      </w:r>
      <w:r w:rsidRPr="00446D19">
        <w:rPr>
          <w:rFonts w:ascii="Traditional Arabic" w:hAnsi="Traditional Arabic"/>
          <w:noProof w:val="0"/>
          <w:rtl/>
          <w:lang w:eastAsia="en-US"/>
        </w:rPr>
        <w:t>ح</w:t>
      </w:r>
      <w:r w:rsidRPr="00446D19">
        <w:rPr>
          <w:rFonts w:ascii="Traditional Arabic" w:hAnsi="Traditional Arabic" w:hint="cs"/>
          <w:noProof w:val="0"/>
          <w:rtl/>
          <w:lang w:eastAsia="en-US"/>
        </w:rPr>
        <w:t>الَه</w:t>
      </w:r>
      <w:r w:rsidRPr="00446D19">
        <w:rPr>
          <w:rFonts w:ascii="Traditional Arabic" w:hAnsi="Traditional Arabic"/>
          <w:noProof w:val="0"/>
          <w:rtl/>
          <w:lang w:eastAsia="en-US"/>
        </w:rPr>
        <w:t xml:space="preserve"> بثمانية على عشرة ليقبض كل العشرة</w:t>
      </w:r>
      <w:r w:rsidRPr="00446D19">
        <w:rPr>
          <w:rFonts w:ascii="Traditional Arabic" w:hAnsi="Traditional Arabic" w:hint="cs"/>
          <w:noProof w:val="0"/>
          <w:rtl/>
          <w:lang w:eastAsia="en-US"/>
        </w:rPr>
        <w:t>،</w:t>
      </w:r>
      <w:r w:rsidRPr="00446D19">
        <w:rPr>
          <w:rFonts w:ascii="Traditional Arabic" w:hAnsi="Traditional Arabic"/>
          <w:noProof w:val="0"/>
          <w:rtl/>
          <w:lang w:eastAsia="en-US"/>
        </w:rPr>
        <w:t xml:space="preserve"> ف</w:t>
      </w:r>
      <w:r w:rsidR="00D315C2" w:rsidRPr="00446D19">
        <w:rPr>
          <w:rFonts w:ascii="Traditional Arabic" w:hAnsi="Traditional Arabic" w:hint="cs"/>
          <w:noProof w:val="0"/>
          <w:rtl/>
          <w:lang w:eastAsia="en-US"/>
        </w:rPr>
        <w:t xml:space="preserve">إن هذا </w:t>
      </w:r>
      <w:r w:rsidRPr="00446D19">
        <w:rPr>
          <w:rFonts w:ascii="Traditional Arabic" w:hAnsi="Traditional Arabic" w:hint="cs"/>
          <w:noProof w:val="0"/>
          <w:rtl/>
          <w:lang w:eastAsia="en-US"/>
        </w:rPr>
        <w:t>غير</w:t>
      </w:r>
      <w:r w:rsidRPr="00446D19">
        <w:rPr>
          <w:rFonts w:ascii="Traditional Arabic" w:hAnsi="Traditional Arabic"/>
          <w:noProof w:val="0"/>
          <w:rtl/>
          <w:lang w:eastAsia="en-US"/>
        </w:rPr>
        <w:t xml:space="preserve"> ج</w:t>
      </w:r>
      <w:r w:rsidRPr="00446D19">
        <w:rPr>
          <w:rFonts w:ascii="Traditional Arabic" w:hAnsi="Traditional Arabic" w:hint="cs"/>
          <w:noProof w:val="0"/>
          <w:rtl/>
          <w:lang w:eastAsia="en-US"/>
        </w:rPr>
        <w:t>ائ</w:t>
      </w:r>
      <w:r w:rsidRPr="00446D19">
        <w:rPr>
          <w:rFonts w:ascii="Traditional Arabic" w:hAnsi="Traditional Arabic"/>
          <w:noProof w:val="0"/>
          <w:rtl/>
          <w:lang w:eastAsia="en-US"/>
        </w:rPr>
        <w:t>ز، لأنه صار معاوضة، والمعاوضة بين جنسين ر</w:t>
      </w:r>
      <w:r w:rsidRPr="00446D19">
        <w:rPr>
          <w:rFonts w:ascii="Traditional Arabic" w:hAnsi="Traditional Arabic" w:hint="cs"/>
          <w:noProof w:val="0"/>
          <w:rtl/>
          <w:lang w:eastAsia="en-US"/>
        </w:rPr>
        <w:t>ِ</w:t>
      </w:r>
      <w:r w:rsidRPr="00446D19">
        <w:rPr>
          <w:rFonts w:ascii="Traditional Arabic" w:hAnsi="Traditional Arabic"/>
          <w:noProof w:val="0"/>
          <w:rtl/>
          <w:lang w:eastAsia="en-US"/>
        </w:rPr>
        <w:t>ب</w:t>
      </w:r>
      <w:r w:rsidRPr="00446D19">
        <w:rPr>
          <w:rFonts w:ascii="Traditional Arabic" w:hAnsi="Traditional Arabic" w:hint="cs"/>
          <w:noProof w:val="0"/>
          <w:rtl/>
          <w:lang w:eastAsia="en-US"/>
        </w:rPr>
        <w:t>َ</w:t>
      </w:r>
      <w:r w:rsidRPr="00446D19">
        <w:rPr>
          <w:rFonts w:ascii="Traditional Arabic" w:hAnsi="Traditional Arabic"/>
          <w:noProof w:val="0"/>
          <w:rtl/>
          <w:lang w:eastAsia="en-US"/>
        </w:rPr>
        <w:t>و</w:t>
      </w:r>
      <w:r w:rsidRPr="00446D19">
        <w:rPr>
          <w:rFonts w:ascii="Traditional Arabic" w:hAnsi="Traditional Arabic" w:hint="cs"/>
          <w:noProof w:val="0"/>
          <w:rtl/>
          <w:lang w:eastAsia="en-US"/>
        </w:rPr>
        <w:t>ِ</w:t>
      </w:r>
      <w:r w:rsidRPr="00446D19">
        <w:rPr>
          <w:rFonts w:ascii="Traditional Arabic" w:hAnsi="Traditional Arabic"/>
          <w:noProof w:val="0"/>
          <w:rtl/>
          <w:lang w:eastAsia="en-US"/>
        </w:rPr>
        <w:t>ي</w:t>
      </w:r>
      <w:r w:rsidRPr="00446D19">
        <w:rPr>
          <w:rFonts w:ascii="Traditional Arabic" w:hAnsi="Traditional Arabic" w:hint="cs"/>
          <w:noProof w:val="0"/>
          <w:rtl/>
          <w:lang w:eastAsia="en-US"/>
        </w:rPr>
        <w:t>َ</w:t>
      </w:r>
      <w:r w:rsidRPr="00446D19">
        <w:rPr>
          <w:rFonts w:ascii="Traditional Arabic" w:hAnsi="Traditional Arabic"/>
          <w:noProof w:val="0"/>
          <w:rtl/>
          <w:lang w:eastAsia="en-US"/>
        </w:rPr>
        <w:t>ي</w:t>
      </w:r>
      <w:r w:rsidRPr="00446D19">
        <w:rPr>
          <w:rFonts w:ascii="Traditional Arabic" w:hAnsi="Traditional Arabic" w:hint="cs"/>
          <w:noProof w:val="0"/>
          <w:rtl/>
          <w:lang w:eastAsia="en-US"/>
        </w:rPr>
        <w:t>ْ</w:t>
      </w:r>
      <w:r w:rsidRPr="00446D19">
        <w:rPr>
          <w:rFonts w:ascii="Traditional Arabic" w:hAnsi="Traditional Arabic"/>
          <w:noProof w:val="0"/>
          <w:rtl/>
          <w:lang w:eastAsia="en-US"/>
        </w:rPr>
        <w:t>ن لا بد أن يكون أحدهما مساويا للآخر إذا كان الجنس واحدا</w:t>
      </w:r>
      <w:r w:rsidRPr="00446D19">
        <w:rPr>
          <w:rStyle w:val="af1"/>
          <w:szCs w:val="32"/>
          <w:rtl/>
        </w:rPr>
        <w:t>(</w:t>
      </w:r>
      <w:r w:rsidRPr="00C85F0F">
        <w:rPr>
          <w:rStyle w:val="af1"/>
          <w:szCs w:val="32"/>
          <w:rtl/>
        </w:rPr>
        <w:footnoteReference w:id="2170"/>
      </w:r>
      <w:r w:rsidRPr="00446D19">
        <w:rPr>
          <w:rStyle w:val="af1"/>
          <w:szCs w:val="32"/>
          <w:rtl/>
        </w:rPr>
        <w:t>)</w:t>
      </w:r>
      <w:r w:rsidRPr="00446D19">
        <w:rPr>
          <w:rFonts w:ascii="Traditional Arabic" w:hAnsi="Traditional Arabic"/>
          <w:noProof w:val="0"/>
          <w:rtl/>
          <w:lang w:eastAsia="en-US"/>
        </w:rPr>
        <w:t>.</w:t>
      </w:r>
    </w:p>
    <w:p w:rsidR="00AA2246" w:rsidRPr="00C85F0F" w:rsidRDefault="00AA2246" w:rsidP="00597C20">
      <w:pPr>
        <w:pStyle w:val="53"/>
        <w:rPr>
          <w:rtl/>
        </w:rPr>
      </w:pPr>
      <w:r w:rsidRPr="00C85F0F">
        <w:rPr>
          <w:rFonts w:hint="cs"/>
          <w:rtl/>
        </w:rPr>
        <w:t xml:space="preserve">وجه اندراج </w:t>
      </w:r>
      <w:r w:rsidRPr="006E1F02">
        <w:rPr>
          <w:rFonts w:hint="cs"/>
          <w:rtl/>
        </w:rPr>
        <w:t>الفرع</w:t>
      </w:r>
      <w:r w:rsidRPr="00C85F0F">
        <w:rPr>
          <w:rFonts w:hint="cs"/>
          <w:rtl/>
        </w:rPr>
        <w:t xml:space="preserve"> تحت الضابط:</w:t>
      </w:r>
    </w:p>
    <w:p w:rsidR="00AA2246" w:rsidRDefault="00AA2246" w:rsidP="00597C20">
      <w:pPr>
        <w:ind w:firstLine="720"/>
        <w:rPr>
          <w:rtl/>
        </w:rPr>
      </w:pPr>
      <w:r w:rsidRPr="00C85F0F">
        <w:rPr>
          <w:rFonts w:hint="cs"/>
          <w:rtl/>
        </w:rPr>
        <w:t xml:space="preserve">لما انقلبت الحوالة إلى معاوضة لم تصح؛ لأنه يشترط في المعاوضة بين جنسين ربويين </w:t>
      </w:r>
      <w:r w:rsidRPr="00C85F0F">
        <w:rPr>
          <w:rFonts w:hint="cs"/>
          <w:rtl/>
        </w:rPr>
        <w:lastRenderedPageBreak/>
        <w:t>التساوي إذا كان الجنس واحدا، ولما لم يتحقق هذا الشرط لم تصح هذه المعاملة.</w:t>
      </w:r>
    </w:p>
    <w:p w:rsidR="00EB60EC" w:rsidRDefault="00EB60EC" w:rsidP="00597C20">
      <w:pPr>
        <w:ind w:firstLine="720"/>
        <w:rPr>
          <w:rtl/>
        </w:rPr>
      </w:pPr>
    </w:p>
    <w:p w:rsidR="00EB60EC" w:rsidRPr="007A6F9A" w:rsidRDefault="00EB60EC" w:rsidP="00446D19">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EB60EC" w:rsidRPr="00C85F0F" w:rsidRDefault="00EB60EC" w:rsidP="00597C20">
      <w:pPr>
        <w:ind w:firstLine="720"/>
        <w:rPr>
          <w:rtl/>
        </w:rPr>
      </w:pPr>
    </w:p>
    <w:p w:rsidR="00264398" w:rsidRPr="00C85F0F" w:rsidRDefault="00E4746A" w:rsidP="00467211">
      <w:pPr>
        <w:pStyle w:val="aff2"/>
        <w:rPr>
          <w:rtl/>
        </w:rPr>
      </w:pPr>
      <w:bookmarkStart w:id="498" w:name="_Toc334046670"/>
      <w:r w:rsidRPr="00C85F0F">
        <w:rPr>
          <w:rFonts w:hint="cs"/>
          <w:rtl/>
        </w:rPr>
        <w:lastRenderedPageBreak/>
        <w:t>المبحث الثاني</w:t>
      </w:r>
      <w:r w:rsidRPr="00C85F0F">
        <w:rPr>
          <w:rFonts w:hint="eastAsia"/>
          <w:rtl/>
        </w:rPr>
        <w:t> </w:t>
      </w:r>
      <w:r w:rsidRPr="00C85F0F">
        <w:rPr>
          <w:rFonts w:hint="cs"/>
          <w:rtl/>
        </w:rPr>
        <w:t>:</w:t>
      </w:r>
      <w:r w:rsidRPr="00C85F0F">
        <w:rPr>
          <w:rtl/>
        </w:rPr>
        <w:br/>
      </w:r>
      <w:r w:rsidR="00264398" w:rsidRPr="00C85F0F">
        <w:rPr>
          <w:rFonts w:hint="cs"/>
          <w:rtl/>
        </w:rPr>
        <w:t>ضابط</w:t>
      </w:r>
      <w:r w:rsidR="00264398" w:rsidRPr="00C85F0F">
        <w:rPr>
          <w:rFonts w:hint="cs"/>
          <w:rtl/>
        </w:rPr>
        <w:br/>
        <w:t>"</w:t>
      </w:r>
      <w:r w:rsidR="00264398" w:rsidRPr="00C85F0F">
        <w:rPr>
          <w:rtl/>
        </w:rPr>
        <w:t>كل من له التصرف في شيء فله أن يوكل وله أن يتوكل، ومن ليس له</w:t>
      </w:r>
      <w:r w:rsidR="00EB60EC">
        <w:rPr>
          <w:rFonts w:hint="cs"/>
          <w:rtl/>
        </w:rPr>
        <w:t xml:space="preserve"> </w:t>
      </w:r>
      <w:r w:rsidR="00264398" w:rsidRPr="00C85F0F">
        <w:rPr>
          <w:rtl/>
        </w:rPr>
        <w:t>التصرف فيه فليس له أن يوكل، وليس له أن يتوكل</w:t>
      </w:r>
      <w:r w:rsidR="00AB0B9E" w:rsidRPr="00C85F0F">
        <w:rPr>
          <w:rtl/>
        </w:rPr>
        <w:fldChar w:fldCharType="begin"/>
      </w:r>
      <w:r w:rsidR="00945AC4" w:rsidRPr="00C85F0F">
        <w:instrText>XE</w:instrText>
      </w:r>
      <w:r w:rsidR="00945AC4" w:rsidRPr="00C85F0F">
        <w:rPr>
          <w:rtl/>
        </w:rPr>
        <w:instrText xml:space="preserve"> "</w:instrText>
      </w:r>
      <w:r w:rsidR="00945AC4" w:rsidRPr="00C85F0F">
        <w:rPr>
          <w:rFonts w:hint="cs"/>
          <w:rtl/>
        </w:rPr>
        <w:instrText>كلمنلهالتصرففيشيءفلهأنيوكلولهأنيتوكل،ومنليسلهالتصرففيهفليسلهأنيوكل،وليسلهأنيتوكل</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264398" w:rsidRPr="00C85F0F">
        <w:rPr>
          <w:rFonts w:hint="cs"/>
          <w:rtl/>
        </w:rPr>
        <w:t>"</w:t>
      </w:r>
      <w:r w:rsidR="00264398" w:rsidRPr="00C85F0F">
        <w:rPr>
          <w:rStyle w:val="af1"/>
          <w:b w:val="0"/>
          <w:bCs w:val="0"/>
          <w:szCs w:val="32"/>
          <w:rtl/>
        </w:rPr>
        <w:t>(</w:t>
      </w:r>
      <w:r w:rsidR="00264398" w:rsidRPr="00C85F0F">
        <w:rPr>
          <w:rStyle w:val="af1"/>
          <w:b w:val="0"/>
          <w:bCs w:val="0"/>
          <w:szCs w:val="32"/>
          <w:rtl/>
        </w:rPr>
        <w:footnoteReference w:id="2171"/>
      </w:r>
      <w:r w:rsidR="00264398" w:rsidRPr="00C85F0F">
        <w:rPr>
          <w:rStyle w:val="af1"/>
          <w:b w:val="0"/>
          <w:bCs w:val="0"/>
          <w:szCs w:val="32"/>
          <w:rtl/>
        </w:rPr>
        <w:t>)</w:t>
      </w:r>
      <w:bookmarkEnd w:id="498"/>
    </w:p>
    <w:p w:rsidR="00264398" w:rsidRPr="00C85F0F" w:rsidRDefault="00D315C2" w:rsidP="00A8347C">
      <w:pPr>
        <w:pStyle w:val="aff3"/>
        <w:rPr>
          <w:rtl/>
        </w:rPr>
      </w:pPr>
      <w:bookmarkStart w:id="499" w:name="_Toc334046671"/>
      <w:r>
        <w:rPr>
          <w:rFonts w:hint="cs"/>
          <w:rtl/>
        </w:rPr>
        <w:t xml:space="preserve">                                         </w:t>
      </w:r>
      <w:r w:rsidR="00264398" w:rsidRPr="00C85F0F">
        <w:rPr>
          <w:rFonts w:hint="cs"/>
          <w:rtl/>
        </w:rPr>
        <w:t>المطلب الأول</w:t>
      </w:r>
      <w:r w:rsidR="00264398" w:rsidRPr="00C85F0F">
        <w:rPr>
          <w:rFonts w:hint="eastAsia"/>
          <w:rtl/>
        </w:rPr>
        <w:t> :</w:t>
      </w:r>
      <w:r w:rsidR="00264398" w:rsidRPr="00C85F0F">
        <w:rPr>
          <w:rFonts w:hint="cs"/>
          <w:rtl/>
        </w:rPr>
        <w:br/>
      </w:r>
      <w:r>
        <w:rPr>
          <w:rFonts w:hint="cs"/>
          <w:rtl/>
        </w:rPr>
        <w:t xml:space="preserve">                                          </w:t>
      </w:r>
      <w:r w:rsidR="00264398" w:rsidRPr="00C85F0F">
        <w:rPr>
          <w:rFonts w:hint="cs"/>
          <w:rtl/>
        </w:rPr>
        <w:t>شرح الضابط</w:t>
      </w:r>
      <w:bookmarkEnd w:id="499"/>
    </w:p>
    <w:p w:rsidR="000A689C" w:rsidRPr="00C85F0F" w:rsidRDefault="00264398" w:rsidP="00597C20">
      <w:pPr>
        <w:pStyle w:val="53"/>
        <w:rPr>
          <w:rtl/>
        </w:rPr>
      </w:pPr>
      <w:r w:rsidRPr="00FB0118">
        <w:rPr>
          <w:rFonts w:hint="cs"/>
          <w:rtl/>
        </w:rPr>
        <w:t>التصرُّف</w:t>
      </w:r>
      <w:r w:rsidR="00AB0B9E">
        <w:rPr>
          <w:rtl/>
        </w:rPr>
        <w:fldChar w:fldCharType="begin"/>
      </w:r>
      <w:r w:rsidR="00FB0118">
        <w:instrText xml:space="preserve"> XE "</w:instrText>
      </w:r>
      <w:r w:rsidR="00FB0118" w:rsidRPr="00FB0118">
        <w:rPr>
          <w:rFonts w:hint="cs"/>
          <w:b w:val="0"/>
          <w:bCs w:val="0"/>
          <w:rtl/>
        </w:rPr>
        <w:instrText>التصرُّف</w:instrText>
      </w:r>
      <w:r w:rsidR="00FB0118">
        <w:instrText xml:space="preserve">" </w:instrText>
      </w:r>
      <w:r w:rsidR="00FB0118" w:rsidRPr="00FB0118">
        <w:instrText xml:space="preserve">\fm </w:instrText>
      </w:r>
      <w:r w:rsidR="00AB0B9E">
        <w:rPr>
          <w:rtl/>
        </w:rPr>
        <w:fldChar w:fldCharType="end"/>
      </w:r>
      <w:r w:rsidRPr="00C85F0F">
        <w:rPr>
          <w:rFonts w:hint="cs"/>
          <w:rtl/>
        </w:rPr>
        <w:t xml:space="preserve"> لغة:</w:t>
      </w:r>
    </w:p>
    <w:p w:rsidR="00264398" w:rsidRPr="00C85F0F" w:rsidRDefault="00264398" w:rsidP="00597C20">
      <w:pPr>
        <w:ind w:firstLine="720"/>
        <w:rPr>
          <w:rtl/>
        </w:rPr>
      </w:pPr>
      <w:r w:rsidRPr="00C85F0F">
        <w:rPr>
          <w:rFonts w:hint="cs"/>
          <w:rtl/>
        </w:rPr>
        <w:t>مصدر الفعل تصرَّف يتصرَّف تصرُّفاً، وأصل</w:t>
      </w:r>
      <w:r w:rsidR="00D315C2">
        <w:rPr>
          <w:rFonts w:hint="cs"/>
          <w:rtl/>
        </w:rPr>
        <w:t>ُ</w:t>
      </w:r>
      <w:r w:rsidRPr="00C85F0F">
        <w:rPr>
          <w:rFonts w:hint="cs"/>
          <w:rtl/>
        </w:rPr>
        <w:t xml:space="preserve"> مادت</w:t>
      </w:r>
      <w:r w:rsidR="00D315C2">
        <w:rPr>
          <w:rFonts w:hint="cs"/>
          <w:rtl/>
        </w:rPr>
        <w:t>ِ</w:t>
      </w:r>
      <w:r w:rsidRPr="00C85F0F">
        <w:rPr>
          <w:rFonts w:hint="cs"/>
          <w:rtl/>
        </w:rPr>
        <w:t>ه الفعل صرف.</w:t>
      </w:r>
    </w:p>
    <w:p w:rsidR="00264398" w:rsidRPr="00C85F0F" w:rsidRDefault="00264398" w:rsidP="00597C20">
      <w:pPr>
        <w:ind w:firstLine="720"/>
        <w:rPr>
          <w:rtl/>
        </w:rPr>
      </w:pPr>
      <w:r w:rsidRPr="00C85F0F">
        <w:rPr>
          <w:rFonts w:hint="cs"/>
          <w:rtl/>
        </w:rPr>
        <w:t xml:space="preserve">يقول  ابن فارس </w:t>
      </w:r>
      <w:r w:rsidR="00D315C2">
        <w:rPr>
          <w:rFonts w:hint="cs"/>
          <w:rtl/>
        </w:rPr>
        <w:t>_</w:t>
      </w:r>
      <w:r w:rsidR="009A0575" w:rsidRPr="005D5694">
        <w:rPr>
          <w:rFonts w:ascii="Traditional Arabic" w:hAnsi="Traditional Arabic" w:cs="CTraditional Arabic" w:hint="cs"/>
          <w:rtl/>
        </w:rPr>
        <w:t>/</w:t>
      </w:r>
      <w:r w:rsidR="00D315C2">
        <w:rPr>
          <w:rFonts w:hint="cs"/>
          <w:rtl/>
        </w:rPr>
        <w:t>_</w:t>
      </w:r>
      <w:r w:rsidRPr="00C85F0F">
        <w:rPr>
          <w:rFonts w:hint="cs"/>
          <w:rtl/>
        </w:rPr>
        <w:t>: (</w:t>
      </w:r>
      <w:r w:rsidRPr="00C85F0F">
        <w:rPr>
          <w:rFonts w:ascii="Traditional Arabic" w:hAnsi="Traditional Arabic"/>
          <w:noProof w:val="0"/>
          <w:rtl/>
          <w:lang w:eastAsia="en-US"/>
        </w:rPr>
        <w:t>الصاد والراء والفاء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عظم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باب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يدل على 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 الشيء. من ذلك 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رفت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القوم صرفا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وانصرفوا، إذا رج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عتهم فرجعوا</w:t>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2172"/>
      </w:r>
      <w:r w:rsidRPr="00C85F0F">
        <w:rPr>
          <w:rStyle w:val="af1"/>
          <w:szCs w:val="32"/>
          <w:rtl/>
        </w:rPr>
        <w:t>)</w:t>
      </w:r>
      <w:r w:rsidRPr="00C85F0F">
        <w:rPr>
          <w:rFonts w:ascii="Traditional Arabic" w:hAnsi="Traditional Arabic"/>
          <w:noProof w:val="0"/>
          <w:rtl/>
          <w:lang w:eastAsia="en-US"/>
        </w:rPr>
        <w:t>.</w:t>
      </w:r>
    </w:p>
    <w:p w:rsidR="00065E4B" w:rsidRPr="00C85F0F" w:rsidRDefault="00264398" w:rsidP="00597C20">
      <w:pPr>
        <w:ind w:firstLine="720"/>
        <w:rPr>
          <w:rtl/>
        </w:rPr>
      </w:pPr>
      <w:r w:rsidRPr="00C85F0F">
        <w:rPr>
          <w:rFonts w:hint="cs"/>
          <w:rtl/>
        </w:rPr>
        <w:t>ويقال</w:t>
      </w:r>
      <w:r w:rsidRPr="00C85F0F">
        <w:rPr>
          <w:rFonts w:hint="cs"/>
          <w:color w:val="auto"/>
          <w:rtl/>
        </w:rPr>
        <w:t>:</w:t>
      </w:r>
      <w:r w:rsidRPr="00C85F0F">
        <w:rPr>
          <w:rFonts w:ascii="Traditional Arabic" w:hAnsi="Traditional Arabic"/>
          <w:noProof w:val="0"/>
          <w:color w:val="auto"/>
          <w:rtl/>
          <w:lang w:eastAsia="en-US"/>
        </w:rPr>
        <w:t>صر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فته في الأمر تصريفا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فتصر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w:t>
      </w:r>
      <w:r w:rsidRPr="00C85F0F">
        <w:rPr>
          <w:rFonts w:ascii="Traditional Arabic" w:hAnsi="Traditional Arabic" w:hint="cs"/>
          <w:noProof w:val="0"/>
          <w:color w:val="auto"/>
          <w:rtl/>
          <w:lang w:eastAsia="en-US"/>
        </w:rPr>
        <w:t xml:space="preserve">،إذا </w:t>
      </w:r>
      <w:r w:rsidRPr="00C85F0F">
        <w:rPr>
          <w:rFonts w:ascii="Traditional Arabic" w:hAnsi="Traditional Arabic"/>
          <w:noProof w:val="0"/>
          <w:color w:val="auto"/>
          <w:rtl/>
          <w:lang w:eastAsia="en-US"/>
        </w:rPr>
        <w:t>قل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بته فتقل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w:t>
      </w:r>
      <w:r w:rsidRPr="00C85F0F">
        <w:rPr>
          <w:rStyle w:val="af1"/>
          <w:szCs w:val="32"/>
          <w:rtl/>
        </w:rPr>
        <w:t>(</w:t>
      </w:r>
      <w:r w:rsidRPr="00C85F0F">
        <w:rPr>
          <w:rStyle w:val="af1"/>
          <w:szCs w:val="32"/>
          <w:rtl/>
        </w:rPr>
        <w:footnoteReference w:id="2173"/>
      </w:r>
      <w:r w:rsidRPr="00C85F0F">
        <w:rPr>
          <w:rStyle w:val="af1"/>
          <w:szCs w:val="32"/>
          <w:rtl/>
        </w:rPr>
        <w:t>)</w:t>
      </w:r>
      <w:r w:rsidRPr="00C85F0F">
        <w:rPr>
          <w:rFonts w:ascii="Traditional Arabic" w:hAnsi="Traditional Arabic" w:hint="cs"/>
          <w:noProof w:val="0"/>
          <w:color w:val="auto"/>
          <w:rtl/>
          <w:lang w:eastAsia="en-US"/>
        </w:rPr>
        <w:t>، و</w:t>
      </w:r>
      <w:r w:rsidRPr="00C85F0F">
        <w:rPr>
          <w:rFonts w:ascii="Traditional Arabic" w:hAnsi="Traditional Arabic"/>
          <w:noProof w:val="0"/>
          <w:color w:val="auto"/>
          <w:rtl/>
          <w:lang w:eastAsia="en-US"/>
        </w:rPr>
        <w:t>تصر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 فلان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في الأمر</w:t>
      </w:r>
      <w:r w:rsidRPr="00C85F0F">
        <w:rPr>
          <w:rFonts w:ascii="Traditional Arabic" w:hAnsi="Traditional Arabic" w:hint="cs"/>
          <w:noProof w:val="0"/>
          <w:color w:val="auto"/>
          <w:rtl/>
          <w:lang w:eastAsia="en-US"/>
        </w:rPr>
        <w:t>، إذا</w:t>
      </w:r>
      <w:r w:rsidR="00D315C2">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احتال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وتقل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 فيه</w:t>
      </w:r>
      <w:r w:rsidRPr="00C85F0F">
        <w:rPr>
          <w:rStyle w:val="af1"/>
          <w:szCs w:val="32"/>
          <w:rtl/>
        </w:rPr>
        <w:t>(</w:t>
      </w:r>
      <w:r w:rsidRPr="00C85F0F">
        <w:rPr>
          <w:rStyle w:val="af1"/>
          <w:szCs w:val="32"/>
          <w:rtl/>
        </w:rPr>
        <w:footnoteReference w:id="2174"/>
      </w:r>
      <w:r w:rsidRPr="00C85F0F">
        <w:rPr>
          <w:rStyle w:val="af1"/>
          <w:szCs w:val="32"/>
          <w:rtl/>
        </w:rPr>
        <w:t>)</w:t>
      </w:r>
      <w:r w:rsidRPr="00C85F0F">
        <w:rPr>
          <w:rFonts w:ascii="Traditional Arabic" w:hAnsi="Traditional Arabic"/>
          <w:noProof w:val="0"/>
          <w:color w:val="auto"/>
          <w:rtl/>
          <w:lang w:eastAsia="en-US"/>
        </w:rPr>
        <w:t>.</w:t>
      </w:r>
    </w:p>
    <w:p w:rsidR="000A689C" w:rsidRPr="00C85F0F" w:rsidRDefault="00065E4B" w:rsidP="00597C20">
      <w:pPr>
        <w:pStyle w:val="53"/>
        <w:rPr>
          <w:rtl/>
        </w:rPr>
      </w:pPr>
      <w:r w:rsidRPr="00C85F0F">
        <w:rPr>
          <w:rFonts w:hint="cs"/>
          <w:rtl/>
        </w:rPr>
        <w:lastRenderedPageBreak/>
        <w:t>ا</w:t>
      </w:r>
      <w:r w:rsidR="00264398" w:rsidRPr="00C85F0F">
        <w:rPr>
          <w:rFonts w:hint="cs"/>
          <w:rtl/>
        </w:rPr>
        <w:t>لتصرف اصطلاحا:</w:t>
      </w:r>
    </w:p>
    <w:p w:rsidR="00F228A9" w:rsidRPr="00C85F0F" w:rsidRDefault="00264398" w:rsidP="00597C20">
      <w:pPr>
        <w:ind w:firstLine="720"/>
        <w:rPr>
          <w:rtl/>
        </w:rPr>
      </w:pPr>
      <w:r w:rsidRPr="00C85F0F">
        <w:rPr>
          <w:rFonts w:hint="cs"/>
          <w:rtl/>
        </w:rPr>
        <w:t>كل ما يصدر عن الشخص بإرادته من قول أو فعل، يرتِّب عليه الشرع أثراً من الآثار، سواءٌ أكان في صالح ذلك الشخص أم لا</w:t>
      </w:r>
      <w:r w:rsidRPr="00C85F0F">
        <w:rPr>
          <w:rStyle w:val="af1"/>
          <w:szCs w:val="32"/>
          <w:rtl/>
        </w:rPr>
        <w:t>(</w:t>
      </w:r>
      <w:r w:rsidRPr="00C85F0F">
        <w:rPr>
          <w:rStyle w:val="af1"/>
          <w:szCs w:val="32"/>
          <w:rtl/>
        </w:rPr>
        <w:footnoteReference w:id="2175"/>
      </w:r>
      <w:r w:rsidRPr="00C85F0F">
        <w:rPr>
          <w:rStyle w:val="af1"/>
          <w:szCs w:val="32"/>
          <w:rtl/>
        </w:rPr>
        <w:t>)</w:t>
      </w:r>
      <w:r w:rsidRPr="00C85F0F">
        <w:rPr>
          <w:rFonts w:hint="cs"/>
          <w:rtl/>
        </w:rPr>
        <w:t>.</w:t>
      </w:r>
    </w:p>
    <w:p w:rsidR="00065E4B" w:rsidRPr="00C85F0F" w:rsidRDefault="00264398" w:rsidP="00597C20">
      <w:pPr>
        <w:pStyle w:val="53"/>
        <w:rPr>
          <w:rtl/>
        </w:rPr>
      </w:pPr>
      <w:r w:rsidRPr="00C85F0F">
        <w:rPr>
          <w:rFonts w:hint="cs"/>
          <w:rtl/>
        </w:rPr>
        <w:t xml:space="preserve">معنى </w:t>
      </w:r>
      <w:r w:rsidRPr="00FB0118">
        <w:rPr>
          <w:rFonts w:hint="cs"/>
          <w:rtl/>
        </w:rPr>
        <w:t>الضابط</w:t>
      </w:r>
      <w:r w:rsidRPr="00C85F0F">
        <w:rPr>
          <w:rFonts w:hint="cs"/>
          <w:rtl/>
        </w:rPr>
        <w:t xml:space="preserve"> إجمالا:</w:t>
      </w:r>
    </w:p>
    <w:p w:rsidR="00065E4B"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noProof w:val="0"/>
          <w:color w:val="auto"/>
          <w:rtl/>
          <w:lang w:eastAsia="en-US"/>
        </w:rPr>
        <w:t>ك</w:t>
      </w:r>
      <w:r w:rsidR="00264398" w:rsidRPr="00C85F0F">
        <w:rPr>
          <w:rFonts w:ascii="Traditional Arabic" w:hAnsi="Traditional Arabic"/>
          <w:noProof w:val="0"/>
          <w:color w:val="auto"/>
          <w:rtl/>
          <w:lang w:eastAsia="en-US"/>
        </w:rPr>
        <w:t>ل من له التصرف في شيء فله أن يوك</w:t>
      </w:r>
      <w:r w:rsidR="00264398" w:rsidRPr="00C85F0F">
        <w:rPr>
          <w:rFonts w:ascii="Traditional Arabic" w:hAnsi="Traditional Arabic" w:hint="cs"/>
          <w:noProof w:val="0"/>
          <w:color w:val="auto"/>
          <w:rtl/>
          <w:lang w:eastAsia="en-US"/>
        </w:rPr>
        <w:t>ِّ</w:t>
      </w:r>
      <w:r w:rsidR="00264398" w:rsidRPr="00C85F0F">
        <w:rPr>
          <w:rFonts w:ascii="Traditional Arabic" w:hAnsi="Traditional Arabic"/>
          <w:noProof w:val="0"/>
          <w:color w:val="auto"/>
          <w:rtl/>
          <w:lang w:eastAsia="en-US"/>
        </w:rPr>
        <w:t>ل وله أن يتوك</w:t>
      </w:r>
      <w:r w:rsidR="00264398" w:rsidRPr="00C85F0F">
        <w:rPr>
          <w:rFonts w:ascii="Traditional Arabic" w:hAnsi="Traditional Arabic" w:hint="cs"/>
          <w:noProof w:val="0"/>
          <w:color w:val="auto"/>
          <w:rtl/>
          <w:lang w:eastAsia="en-US"/>
        </w:rPr>
        <w:t>َّ</w:t>
      </w:r>
      <w:r w:rsidR="00264398" w:rsidRPr="00C85F0F">
        <w:rPr>
          <w:rFonts w:ascii="Traditional Arabic" w:hAnsi="Traditional Arabic"/>
          <w:noProof w:val="0"/>
          <w:color w:val="auto"/>
          <w:rtl/>
          <w:lang w:eastAsia="en-US"/>
        </w:rPr>
        <w:t>ل</w:t>
      </w:r>
      <w:r w:rsidR="00264398" w:rsidRPr="00C85F0F">
        <w:rPr>
          <w:rFonts w:ascii="Traditional Arabic" w:hAnsi="Traditional Arabic" w:hint="cs"/>
          <w:noProof w:val="0"/>
          <w:color w:val="auto"/>
          <w:rtl/>
          <w:lang w:eastAsia="en-US"/>
        </w:rPr>
        <w:t>.</w:t>
      </w:r>
    </w:p>
    <w:p w:rsidR="00264398" w:rsidRPr="00C85F0F" w:rsidRDefault="00065E4B" w:rsidP="00597C20">
      <w:pPr>
        <w:widowControl/>
        <w:autoSpaceDE w:val="0"/>
        <w:autoSpaceDN w:val="0"/>
        <w:adjustRightInd w:val="0"/>
        <w:ind w:firstLine="720"/>
        <w:rPr>
          <w:rFonts w:ascii="Traditional Arabic" w:hAnsi="Traditional Arabic"/>
          <w:noProof w:val="0"/>
          <w:color w:val="auto"/>
          <w:rtl/>
          <w:lang w:eastAsia="en-US"/>
        </w:rPr>
      </w:pPr>
      <w:r w:rsidRPr="00C85F0F">
        <w:rPr>
          <w:rFonts w:ascii="Traditional Arabic" w:hAnsi="Traditional Arabic"/>
          <w:noProof w:val="0"/>
          <w:color w:val="auto"/>
          <w:rtl/>
          <w:lang w:eastAsia="en-US"/>
        </w:rPr>
        <w:t>م</w:t>
      </w:r>
      <w:r w:rsidR="00264398" w:rsidRPr="00C85F0F">
        <w:rPr>
          <w:rFonts w:ascii="Traditional Arabic" w:hAnsi="Traditional Arabic"/>
          <w:noProof w:val="0"/>
          <w:color w:val="auto"/>
          <w:rtl/>
          <w:lang w:eastAsia="en-US"/>
        </w:rPr>
        <w:t>ثال ذلك: رجل بالغ عاقل حر رشيد، وكل مثله في شراء سيارة –مثلا</w:t>
      </w:r>
      <w:r w:rsidR="00264398" w:rsidRPr="00C85F0F">
        <w:rPr>
          <w:rFonts w:ascii="Traditional Arabic" w:hAnsi="Traditional Arabic" w:hint="cs"/>
          <w:noProof w:val="0"/>
          <w:color w:val="auto"/>
          <w:rtl/>
          <w:lang w:eastAsia="en-US"/>
        </w:rPr>
        <w:t>ً-</w:t>
      </w:r>
      <w:r w:rsidR="00264398" w:rsidRPr="00C85F0F">
        <w:rPr>
          <w:rFonts w:ascii="Traditional Arabic" w:hAnsi="Traditional Arabic"/>
          <w:noProof w:val="0"/>
          <w:color w:val="auto"/>
          <w:rtl/>
          <w:lang w:eastAsia="en-US"/>
        </w:rPr>
        <w:t xml:space="preserve"> فهذا جائز؛ لأن من له التصرف في شيء فله التوكيل والتوكل فيه.</w:t>
      </w:r>
    </w:p>
    <w:p w:rsidR="00264398" w:rsidRPr="00C85F0F" w:rsidRDefault="00264398" w:rsidP="00597C20">
      <w:pPr>
        <w:ind w:firstLine="720"/>
        <w:rPr>
          <w:rFonts w:ascii="Traditional Arabic" w:hAnsi="Traditional Arabic"/>
          <w:noProof w:val="0"/>
          <w:color w:val="auto"/>
          <w:rtl/>
          <w:lang w:eastAsia="en-US"/>
        </w:rPr>
      </w:pPr>
      <w:r w:rsidRPr="00C85F0F">
        <w:rPr>
          <w:rFonts w:ascii="Traditional Arabic" w:hAnsi="Traditional Arabic"/>
          <w:noProof w:val="0"/>
          <w:color w:val="auto"/>
          <w:rtl/>
          <w:lang w:eastAsia="en-US"/>
        </w:rPr>
        <w:t>ومفهومه أن من ليس له التصرف في شيء فليس له أن يوكل فيه</w:t>
      </w:r>
      <w:r w:rsidRPr="00C85F0F">
        <w:rPr>
          <w:rFonts w:ascii="Traditional Arabic" w:hAnsi="Traditional Arabic" w:hint="cs"/>
          <w:noProof w:val="0"/>
          <w:color w:val="auto"/>
          <w:rtl/>
          <w:lang w:eastAsia="en-US"/>
        </w:rPr>
        <w:t>، وليس له أن يتوكَّل فيه</w:t>
      </w:r>
      <w:r w:rsidRPr="00C85F0F">
        <w:rPr>
          <w:rFonts w:ascii="Traditional Arabic" w:hAnsi="Traditional Arabic"/>
          <w:noProof w:val="0"/>
          <w:color w:val="auto"/>
          <w:rtl/>
          <w:lang w:eastAsia="en-US"/>
        </w:rPr>
        <w:t>، فلو أن صبي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لم يبلغ قال لشخص: وكلتك في بيع</w:t>
      </w:r>
      <w:r w:rsidRPr="00C85F0F">
        <w:rPr>
          <w:rFonts w:ascii="Traditional Arabic" w:hAnsi="Traditional Arabic" w:hint="cs"/>
          <w:noProof w:val="0"/>
          <w:color w:val="auto"/>
          <w:rtl/>
          <w:lang w:eastAsia="en-US"/>
        </w:rPr>
        <w:t>ِ</w:t>
      </w:r>
      <w:r w:rsidR="00D315C2">
        <w:rPr>
          <w:rFonts w:ascii="Traditional Arabic" w:hAnsi="Traditional Arabic"/>
          <w:noProof w:val="0"/>
          <w:color w:val="auto"/>
          <w:rtl/>
          <w:lang w:eastAsia="en-US"/>
        </w:rPr>
        <w:t xml:space="preserve"> بيتي </w:t>
      </w:r>
      <w:r w:rsidR="00D315C2">
        <w:rPr>
          <w:rFonts w:ascii="Traditional Arabic" w:hAnsi="Traditional Arabic" w:hint="cs"/>
          <w:noProof w:val="0"/>
          <w:color w:val="auto"/>
          <w:rtl/>
          <w:lang w:eastAsia="en-US"/>
        </w:rPr>
        <w:t>لم</w:t>
      </w:r>
      <w:r w:rsidRPr="00C85F0F">
        <w:rPr>
          <w:rFonts w:ascii="Traditional Arabic" w:hAnsi="Traditional Arabic"/>
          <w:noProof w:val="0"/>
          <w:color w:val="auto"/>
          <w:rtl/>
          <w:lang w:eastAsia="en-US"/>
        </w:rPr>
        <w:t xml:space="preserve"> يصح</w:t>
      </w:r>
      <w:r w:rsidR="00D315C2">
        <w:rPr>
          <w:rFonts w:ascii="Traditional Arabic" w:hAnsi="Traditional Arabic" w:hint="cs"/>
          <w:noProof w:val="0"/>
          <w:color w:val="auto"/>
          <w:rtl/>
          <w:lang w:eastAsia="en-US"/>
        </w:rPr>
        <w:t xml:space="preserve"> التوكيل</w:t>
      </w:r>
      <w:r w:rsidRPr="00C85F0F">
        <w:rPr>
          <w:rFonts w:ascii="Traditional Arabic" w:hAnsi="Traditional Arabic"/>
          <w:noProof w:val="0"/>
          <w:color w:val="auto"/>
          <w:rtl/>
          <w:lang w:eastAsia="en-US"/>
        </w:rPr>
        <w:t>؛ لأنه هو نفس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لا يصح له التصرف فيه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فلا يصح أن يوك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Style w:val="af1"/>
          <w:szCs w:val="32"/>
          <w:rtl/>
        </w:rPr>
        <w:t>(</w:t>
      </w:r>
      <w:r w:rsidRPr="00C85F0F">
        <w:rPr>
          <w:rStyle w:val="af1"/>
          <w:szCs w:val="32"/>
          <w:rtl/>
        </w:rPr>
        <w:footnoteReference w:id="2176"/>
      </w:r>
      <w:r w:rsidRPr="00C85F0F">
        <w:rPr>
          <w:rStyle w:val="af1"/>
          <w:szCs w:val="32"/>
          <w:rtl/>
        </w:rPr>
        <w:t>)</w:t>
      </w:r>
      <w:r w:rsidRPr="00C85F0F">
        <w:rPr>
          <w:rFonts w:ascii="Traditional Arabic" w:hAnsi="Traditional Arabic"/>
          <w:noProof w:val="0"/>
          <w:color w:val="auto"/>
          <w:rtl/>
          <w:lang w:eastAsia="en-US"/>
        </w:rPr>
        <w:t>.</w:t>
      </w:r>
    </w:p>
    <w:p w:rsidR="00264398" w:rsidRPr="00C85F0F" w:rsidRDefault="00D315C2" w:rsidP="00A8347C">
      <w:pPr>
        <w:pStyle w:val="aff3"/>
        <w:rPr>
          <w:rtl/>
        </w:rPr>
      </w:pPr>
      <w:bookmarkStart w:id="500" w:name="_Toc334046672"/>
      <w:r>
        <w:rPr>
          <w:rFonts w:hint="cs"/>
          <w:rtl/>
        </w:rPr>
        <w:t xml:space="preserve">                                             </w:t>
      </w:r>
      <w:r w:rsidR="00264398" w:rsidRPr="00C85F0F">
        <w:rPr>
          <w:rFonts w:hint="cs"/>
          <w:rtl/>
        </w:rPr>
        <w:t>المطلب الثاني</w:t>
      </w:r>
      <w:r w:rsidR="00264398" w:rsidRPr="00C85F0F">
        <w:rPr>
          <w:rFonts w:hint="eastAsia"/>
          <w:rtl/>
        </w:rPr>
        <w:t> :</w:t>
      </w:r>
      <w:r w:rsidR="00264398" w:rsidRPr="00C85F0F">
        <w:rPr>
          <w:rFonts w:hint="cs"/>
          <w:rtl/>
        </w:rPr>
        <w:br/>
      </w:r>
      <w:r>
        <w:rPr>
          <w:rFonts w:hint="cs"/>
          <w:rtl/>
        </w:rPr>
        <w:t xml:space="preserve">                                              </w:t>
      </w:r>
      <w:r w:rsidR="00264398" w:rsidRPr="00C85F0F">
        <w:rPr>
          <w:rFonts w:hint="cs"/>
          <w:rtl/>
        </w:rPr>
        <w:t>أدلة الضابط</w:t>
      </w:r>
      <w:bookmarkEnd w:id="500"/>
    </w:p>
    <w:p w:rsidR="00264398" w:rsidRPr="00C85F0F" w:rsidRDefault="00896593" w:rsidP="00896593">
      <w:pPr>
        <w:ind w:firstLine="0"/>
        <w:rPr>
          <w:rFonts w:ascii="Traditional Arabic" w:hAnsi="Traditional Arabic"/>
          <w:noProof w:val="0"/>
          <w:color w:val="auto"/>
          <w:rtl/>
          <w:lang w:eastAsia="en-US"/>
        </w:rPr>
      </w:pPr>
      <w:r>
        <w:rPr>
          <w:rFonts w:ascii="Traditional Arabic" w:hAnsi="Traditional Arabic" w:hint="cs"/>
          <w:noProof w:val="0"/>
          <w:color w:val="auto"/>
          <w:rtl/>
          <w:lang w:eastAsia="en-US"/>
        </w:rPr>
        <w:t xml:space="preserve">    </w:t>
      </w:r>
      <w:r w:rsidR="00264398" w:rsidRPr="00C85F0F">
        <w:rPr>
          <w:rFonts w:ascii="Traditional Arabic" w:hAnsi="Traditional Arabic" w:hint="cs"/>
          <w:noProof w:val="0"/>
          <w:color w:val="auto"/>
          <w:rtl/>
          <w:lang w:eastAsia="en-US"/>
        </w:rPr>
        <w:t xml:space="preserve"> يمكن أن يُستدل له</w:t>
      </w:r>
      <w:r>
        <w:rPr>
          <w:rFonts w:ascii="Traditional Arabic" w:hAnsi="Traditional Arabic" w:hint="cs"/>
          <w:noProof w:val="0"/>
          <w:color w:val="auto"/>
          <w:rtl/>
          <w:lang w:eastAsia="en-US"/>
        </w:rPr>
        <w:t>ذا الضابط من جهة المعنى؛</w:t>
      </w:r>
      <w:r w:rsidR="00264398" w:rsidRPr="00C85F0F">
        <w:rPr>
          <w:rFonts w:ascii="Traditional Arabic" w:hAnsi="Traditional Arabic" w:hint="cs"/>
          <w:noProof w:val="0"/>
          <w:color w:val="auto"/>
          <w:rtl/>
          <w:lang w:eastAsia="en-US"/>
        </w:rPr>
        <w:t xml:space="preserve"> وذلك أن الوكالة استنابة جائز التصرُّف مثله فيما تدخله النيابة</w:t>
      </w:r>
      <w:r w:rsidR="00264398" w:rsidRPr="00C85F0F">
        <w:rPr>
          <w:rStyle w:val="af1"/>
          <w:szCs w:val="32"/>
          <w:rtl/>
        </w:rPr>
        <w:t>(</w:t>
      </w:r>
      <w:r w:rsidR="00264398" w:rsidRPr="00C85F0F">
        <w:rPr>
          <w:rStyle w:val="af1"/>
          <w:szCs w:val="32"/>
          <w:rtl/>
        </w:rPr>
        <w:footnoteReference w:id="2177"/>
      </w:r>
      <w:r w:rsidR="00264398" w:rsidRPr="00C85F0F">
        <w:rPr>
          <w:rStyle w:val="af1"/>
          <w:szCs w:val="32"/>
          <w:rtl/>
        </w:rPr>
        <w:t>)</w:t>
      </w:r>
      <w:r w:rsidR="00264398" w:rsidRPr="00C85F0F">
        <w:rPr>
          <w:rFonts w:ascii="Traditional Arabic" w:hAnsi="Traditional Arabic" w:hint="cs"/>
          <w:noProof w:val="0"/>
          <w:color w:val="auto"/>
          <w:rtl/>
          <w:lang w:eastAsia="en-US"/>
        </w:rPr>
        <w:t>، فإذا كان الأمر الموكَّل فيه مما تدخله النيابة، وكان الشخص جائزَ التصرف في شيء لنفسه، جاز له أن يستنيب غيره وينوب عن غيره؛ لأن النائب فرعُ المستنيب.</w:t>
      </w:r>
    </w:p>
    <w:p w:rsidR="00F228A9" w:rsidRPr="00C85F0F" w:rsidRDefault="00264398" w:rsidP="00597C20">
      <w:pPr>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 xml:space="preserve">وأما </w:t>
      </w:r>
      <w:r w:rsidRPr="00C85F0F">
        <w:rPr>
          <w:rFonts w:ascii="Traditional Arabic" w:hAnsi="Traditional Arabic"/>
          <w:noProof w:val="0"/>
          <w:rtl/>
          <w:lang w:eastAsia="en-US"/>
        </w:rPr>
        <w:t>من لا يصح تصرفه بنفسه ف</w:t>
      </w:r>
      <w:r w:rsidRPr="00C85F0F">
        <w:rPr>
          <w:rFonts w:ascii="Traditional Arabic" w:hAnsi="Traditional Arabic" w:hint="cs"/>
          <w:noProof w:val="0"/>
          <w:rtl/>
          <w:lang w:eastAsia="en-US"/>
        </w:rPr>
        <w:t>من باب</w:t>
      </w:r>
      <w:r w:rsidRPr="00C85F0F">
        <w:rPr>
          <w:rFonts w:ascii="Traditional Arabic" w:hAnsi="Traditional Arabic"/>
          <w:noProof w:val="0"/>
          <w:rtl/>
          <w:lang w:eastAsia="en-US"/>
        </w:rPr>
        <w:t xml:space="preserve"> أولى</w:t>
      </w:r>
      <w:r w:rsidRPr="00C85F0F">
        <w:rPr>
          <w:rFonts w:ascii="Traditional Arabic" w:hAnsi="Traditional Arabic" w:hint="cs"/>
          <w:noProof w:val="0"/>
          <w:color w:val="auto"/>
          <w:rtl/>
          <w:lang w:eastAsia="en-US"/>
        </w:rPr>
        <w:t xml:space="preserve"> ألا يصح تصرفه عن غيره؛ لأن الأصل إذا </w:t>
      </w:r>
      <w:r w:rsidRPr="00C85F0F">
        <w:rPr>
          <w:rFonts w:ascii="Traditional Arabic" w:hAnsi="Traditional Arabic" w:hint="cs"/>
          <w:noProof w:val="0"/>
          <w:color w:val="auto"/>
          <w:rtl/>
          <w:lang w:eastAsia="en-US"/>
        </w:rPr>
        <w:lastRenderedPageBreak/>
        <w:t>انتفى انتفى الفرع</w:t>
      </w:r>
      <w:r w:rsidRPr="00C85F0F">
        <w:rPr>
          <w:rStyle w:val="af1"/>
          <w:szCs w:val="32"/>
          <w:rtl/>
        </w:rPr>
        <w:t>(</w:t>
      </w:r>
      <w:r w:rsidRPr="00C85F0F">
        <w:rPr>
          <w:rStyle w:val="af1"/>
          <w:szCs w:val="32"/>
          <w:rtl/>
        </w:rPr>
        <w:footnoteReference w:id="2178"/>
      </w:r>
      <w:r w:rsidRPr="00C85F0F">
        <w:rPr>
          <w:rStyle w:val="af1"/>
          <w:szCs w:val="32"/>
          <w:rtl/>
        </w:rPr>
        <w:t>)</w:t>
      </w:r>
      <w:r w:rsidRPr="00C85F0F">
        <w:rPr>
          <w:rFonts w:ascii="Traditional Arabic" w:hAnsi="Traditional Arabic" w:hint="cs"/>
          <w:noProof w:val="0"/>
          <w:color w:val="auto"/>
          <w:rtl/>
          <w:lang w:eastAsia="en-US"/>
        </w:rPr>
        <w:t>.</w:t>
      </w:r>
    </w:p>
    <w:p w:rsidR="00264398" w:rsidRPr="00C85F0F" w:rsidRDefault="00EB60EC" w:rsidP="00A8347C">
      <w:pPr>
        <w:pStyle w:val="aff3"/>
        <w:rPr>
          <w:rtl/>
        </w:rPr>
      </w:pPr>
      <w:bookmarkStart w:id="501" w:name="_Toc334046673"/>
      <w:r>
        <w:rPr>
          <w:rFonts w:hint="cs"/>
          <w:rtl/>
        </w:rPr>
        <w:t xml:space="preserve">                 </w:t>
      </w:r>
      <w:r w:rsidR="00D315C2">
        <w:rPr>
          <w:rFonts w:hint="cs"/>
          <w:rtl/>
        </w:rPr>
        <w:t xml:space="preserve">                        </w:t>
      </w:r>
      <w:r w:rsidR="00264398" w:rsidRPr="00C85F0F">
        <w:rPr>
          <w:rFonts w:hint="cs"/>
          <w:rtl/>
        </w:rPr>
        <w:t>المطلب الثالث</w:t>
      </w:r>
      <w:r w:rsidR="00264398" w:rsidRPr="00C85F0F">
        <w:rPr>
          <w:rFonts w:hint="eastAsia"/>
          <w:rtl/>
        </w:rPr>
        <w:t> :</w:t>
      </w:r>
      <w:r w:rsidR="00264398" w:rsidRPr="00C85F0F">
        <w:rPr>
          <w:rFonts w:hint="cs"/>
          <w:rtl/>
        </w:rPr>
        <w:br/>
      </w:r>
      <w:r>
        <w:rPr>
          <w:rFonts w:hint="cs"/>
          <w:rtl/>
        </w:rPr>
        <w:t xml:space="preserve">                 </w:t>
      </w:r>
      <w:r w:rsidR="00896593">
        <w:rPr>
          <w:rFonts w:hint="cs"/>
          <w:rtl/>
        </w:rPr>
        <w:t xml:space="preserve">                       </w:t>
      </w:r>
      <w:r w:rsidR="00264398" w:rsidRPr="00C85F0F">
        <w:rPr>
          <w:rFonts w:hint="cs"/>
          <w:rtl/>
        </w:rPr>
        <w:t>تطبيقات الضابط</w:t>
      </w:r>
      <w:bookmarkEnd w:id="501"/>
    </w:p>
    <w:p w:rsidR="00264398" w:rsidRPr="00C85F0F" w:rsidRDefault="00264398" w:rsidP="000A76C7">
      <w:pPr>
        <w:pStyle w:val="afc"/>
        <w:numPr>
          <w:ilvl w:val="0"/>
          <w:numId w:val="301"/>
        </w:numPr>
        <w:rPr>
          <w:rFonts w:ascii="Traditional Arabic" w:hAnsi="Traditional Arabic"/>
          <w:noProof w:val="0"/>
          <w:color w:val="auto"/>
          <w:lang w:eastAsia="en-US"/>
        </w:rPr>
      </w:pPr>
      <w:r w:rsidRPr="00C85F0F">
        <w:rPr>
          <w:rFonts w:ascii="Traditional Arabic" w:hAnsi="Traditional Arabic" w:hint="cs"/>
          <w:noProof w:val="0"/>
          <w:color w:val="auto"/>
          <w:rtl/>
          <w:lang w:eastAsia="en-US"/>
        </w:rPr>
        <w:t xml:space="preserve">لو أن </w:t>
      </w:r>
      <w:r w:rsidRPr="00C85F0F">
        <w:rPr>
          <w:rFonts w:ascii="Traditional Arabic" w:hAnsi="Traditional Arabic"/>
          <w:noProof w:val="0"/>
          <w:color w:val="auto"/>
          <w:rtl/>
          <w:lang w:eastAsia="en-US"/>
        </w:rPr>
        <w:t>رجل</w:t>
      </w:r>
      <w:r w:rsidRPr="00C85F0F">
        <w:rPr>
          <w:rFonts w:ascii="Traditional Arabic" w:hAnsi="Traditional Arabic" w:hint="cs"/>
          <w:noProof w:val="0"/>
          <w:color w:val="auto"/>
          <w:rtl/>
          <w:lang w:eastAsia="en-US"/>
        </w:rPr>
        <w:t>اً</w:t>
      </w:r>
      <w:r w:rsidRPr="00C85F0F">
        <w:rPr>
          <w:rFonts w:ascii="Traditional Arabic" w:hAnsi="Traditional Arabic"/>
          <w:noProof w:val="0"/>
          <w:color w:val="auto"/>
          <w:rtl/>
          <w:lang w:eastAsia="en-US"/>
        </w:rPr>
        <w:t xml:space="preserve"> بالغ</w:t>
      </w:r>
      <w:r w:rsidRPr="00C85F0F">
        <w:rPr>
          <w:rFonts w:ascii="Traditional Arabic" w:hAnsi="Traditional Arabic" w:hint="cs"/>
          <w:noProof w:val="0"/>
          <w:color w:val="auto"/>
          <w:rtl/>
          <w:lang w:eastAsia="en-US"/>
        </w:rPr>
        <w:t>اً</w:t>
      </w:r>
      <w:r w:rsidRPr="00C85F0F">
        <w:rPr>
          <w:rFonts w:ascii="Traditional Arabic" w:hAnsi="Traditional Arabic"/>
          <w:noProof w:val="0"/>
          <w:color w:val="auto"/>
          <w:rtl/>
          <w:lang w:eastAsia="en-US"/>
        </w:rPr>
        <w:t xml:space="preserve"> عاقل</w:t>
      </w:r>
      <w:r w:rsidRPr="00C85F0F">
        <w:rPr>
          <w:rFonts w:ascii="Traditional Arabic" w:hAnsi="Traditional Arabic" w:hint="cs"/>
          <w:noProof w:val="0"/>
          <w:color w:val="auto"/>
          <w:rtl/>
          <w:lang w:eastAsia="en-US"/>
        </w:rPr>
        <w:t>اً</w:t>
      </w:r>
      <w:r w:rsidRPr="00C85F0F">
        <w:rPr>
          <w:rFonts w:ascii="Traditional Arabic" w:hAnsi="Traditional Arabic"/>
          <w:noProof w:val="0"/>
          <w:color w:val="auto"/>
          <w:rtl/>
          <w:lang w:eastAsia="en-US"/>
        </w:rPr>
        <w:t xml:space="preserve"> 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ّاً</w:t>
      </w:r>
      <w:r w:rsidRPr="00C85F0F">
        <w:rPr>
          <w:rFonts w:ascii="Traditional Arabic" w:hAnsi="Traditional Arabic"/>
          <w:noProof w:val="0"/>
          <w:color w:val="auto"/>
          <w:rtl/>
          <w:lang w:eastAsia="en-US"/>
        </w:rPr>
        <w:t xml:space="preserve"> رشيد</w:t>
      </w:r>
      <w:r w:rsidRPr="00C85F0F">
        <w:rPr>
          <w:rFonts w:ascii="Traditional Arabic" w:hAnsi="Traditional Arabic" w:hint="cs"/>
          <w:noProof w:val="0"/>
          <w:color w:val="auto"/>
          <w:rtl/>
          <w:lang w:eastAsia="en-US"/>
        </w:rPr>
        <w:t>اً</w:t>
      </w:r>
      <w:r w:rsidRPr="00C85F0F">
        <w:rPr>
          <w:rFonts w:ascii="Traditional Arabic" w:hAnsi="Traditional Arabic"/>
          <w:noProof w:val="0"/>
          <w:color w:val="auto"/>
          <w:rtl/>
          <w:lang w:eastAsia="en-US"/>
        </w:rPr>
        <w:t>، وك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 مثل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في شراء سيارة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–مثلا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جاز</w:t>
      </w:r>
      <w:r w:rsidRPr="00C85F0F">
        <w:rPr>
          <w:rFonts w:ascii="Traditional Arabic" w:hAnsi="Traditional Arabic" w:hint="cs"/>
          <w:noProof w:val="0"/>
          <w:color w:val="auto"/>
          <w:rtl/>
          <w:lang w:eastAsia="en-US"/>
        </w:rPr>
        <w:t xml:space="preserve"> ذلك</w:t>
      </w:r>
      <w:r w:rsidRPr="00C85F0F">
        <w:rPr>
          <w:rFonts w:ascii="Traditional Arabic" w:hAnsi="Traditional Arabic"/>
          <w:noProof w:val="0"/>
          <w:color w:val="auto"/>
          <w:rtl/>
          <w:lang w:eastAsia="en-US"/>
        </w:rPr>
        <w:t>؛ لأن من له التصرف في شيء فله التوكيل والتوكل فيه</w:t>
      </w:r>
      <w:r w:rsidRPr="00C85F0F">
        <w:rPr>
          <w:rStyle w:val="af1"/>
          <w:szCs w:val="32"/>
          <w:rtl/>
        </w:rPr>
        <w:t>(</w:t>
      </w:r>
      <w:r w:rsidRPr="00C85F0F">
        <w:rPr>
          <w:rStyle w:val="af1"/>
          <w:szCs w:val="32"/>
          <w:rtl/>
        </w:rPr>
        <w:footnoteReference w:id="2179"/>
      </w:r>
      <w:r w:rsidRPr="00C85F0F">
        <w:rPr>
          <w:rStyle w:val="af1"/>
          <w:szCs w:val="32"/>
          <w:rtl/>
        </w:rPr>
        <w:t>)</w:t>
      </w:r>
      <w:r w:rsidRPr="00C85F0F">
        <w:rPr>
          <w:rFonts w:ascii="Traditional Arabic" w:hAnsi="Traditional Arabic"/>
          <w:noProof w:val="0"/>
          <w:color w:val="auto"/>
          <w:rtl/>
          <w:lang w:eastAsia="en-US"/>
        </w:rPr>
        <w:t>.</w:t>
      </w:r>
    </w:p>
    <w:p w:rsidR="00264398" w:rsidRPr="00C85F0F" w:rsidRDefault="00264398" w:rsidP="00597C20">
      <w:pPr>
        <w:pStyle w:val="53"/>
      </w:pPr>
      <w:r w:rsidRPr="00C85F0F">
        <w:rPr>
          <w:rFonts w:hint="cs"/>
          <w:rtl/>
        </w:rPr>
        <w:t xml:space="preserve">وجه اندراج الفرع </w:t>
      </w:r>
      <w:r w:rsidRPr="00FB0118">
        <w:rPr>
          <w:rFonts w:hint="cs"/>
          <w:rtl/>
        </w:rPr>
        <w:t>تحت</w:t>
      </w:r>
      <w:r w:rsidRPr="00C85F0F">
        <w:rPr>
          <w:rFonts w:hint="cs"/>
          <w:rtl/>
        </w:rPr>
        <w:t xml:space="preserve"> الضابط:</w:t>
      </w:r>
    </w:p>
    <w:p w:rsidR="00264398" w:rsidRPr="00C85F0F" w:rsidRDefault="00264398"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هذا الرجل البالغ العاقل الحر الرشيد ممن يجوز له التصرف بالبيع والشراء</w:t>
      </w:r>
      <w:r w:rsidRPr="00C85F0F">
        <w:rPr>
          <w:rStyle w:val="af1"/>
          <w:szCs w:val="32"/>
          <w:rtl/>
        </w:rPr>
        <w:t>(</w:t>
      </w:r>
      <w:r w:rsidRPr="00C85F0F">
        <w:rPr>
          <w:rStyle w:val="af1"/>
          <w:szCs w:val="32"/>
          <w:rtl/>
        </w:rPr>
        <w:footnoteReference w:id="2180"/>
      </w:r>
      <w:r w:rsidRPr="00C85F0F">
        <w:rPr>
          <w:rStyle w:val="af1"/>
          <w:szCs w:val="32"/>
          <w:rtl/>
        </w:rPr>
        <w:t>)</w:t>
      </w:r>
      <w:r w:rsidRPr="00C85F0F">
        <w:rPr>
          <w:rFonts w:ascii="Traditional Arabic" w:hAnsi="Traditional Arabic" w:hint="cs"/>
          <w:noProof w:val="0"/>
          <w:color w:val="auto"/>
          <w:rtl/>
          <w:lang w:eastAsia="en-US"/>
        </w:rPr>
        <w:t xml:space="preserve">؛ لهذا جاز له أن يوكِّل من يشتري له السيارة، وجاز لوكيله أن يتوكَّل في شرائها؛ لأنه بالغ عاقل حر رشيد يجوز له التصرف بالبيع والشراء، والقاعدة أن كل </w:t>
      </w:r>
      <w:r w:rsidRPr="00C85F0F">
        <w:rPr>
          <w:rFonts w:ascii="Traditional Arabic" w:hAnsi="Traditional Arabic"/>
          <w:noProof w:val="0"/>
          <w:color w:val="auto"/>
          <w:rtl/>
          <w:lang w:eastAsia="en-US"/>
        </w:rPr>
        <w:t>من له التصرف في شيء فله أن يوك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 وله أن يتوك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p>
    <w:p w:rsidR="00264398" w:rsidRPr="00C85F0F" w:rsidRDefault="00264398" w:rsidP="000A76C7">
      <w:pPr>
        <w:pStyle w:val="afc"/>
        <w:numPr>
          <w:ilvl w:val="0"/>
          <w:numId w:val="301"/>
        </w:numPr>
        <w:rPr>
          <w:rFonts w:ascii="Traditional Arabic" w:hAnsi="Traditional Arabic"/>
          <w:noProof w:val="0"/>
          <w:color w:val="auto"/>
          <w:lang w:eastAsia="en-US"/>
        </w:rPr>
      </w:pPr>
      <w:r w:rsidRPr="00C85F0F">
        <w:rPr>
          <w:rFonts w:ascii="Traditional Arabic" w:hAnsi="Traditional Arabic"/>
          <w:noProof w:val="0"/>
          <w:color w:val="auto"/>
          <w:rtl/>
          <w:lang w:eastAsia="en-US"/>
        </w:rPr>
        <w:t>لو أن صبي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لم يبلغ قال لشخص</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وكلتك في بيع</w:t>
      </w:r>
      <w:r w:rsidRPr="00C85F0F">
        <w:rPr>
          <w:rFonts w:ascii="Traditional Arabic" w:hAnsi="Traditional Arabic" w:hint="cs"/>
          <w:noProof w:val="0"/>
          <w:color w:val="auto"/>
          <w:rtl/>
          <w:lang w:eastAsia="en-US"/>
        </w:rPr>
        <w:t>ِ</w:t>
      </w:r>
      <w:r w:rsidR="00D315C2">
        <w:rPr>
          <w:rFonts w:ascii="Traditional Arabic" w:hAnsi="Traditional Arabic"/>
          <w:noProof w:val="0"/>
          <w:color w:val="auto"/>
          <w:rtl/>
          <w:lang w:eastAsia="en-US"/>
        </w:rPr>
        <w:t xml:space="preserve"> بيتي </w:t>
      </w:r>
      <w:r w:rsidR="00D315C2">
        <w:rPr>
          <w:rFonts w:ascii="Traditional Arabic" w:hAnsi="Traditional Arabic" w:hint="cs"/>
          <w:noProof w:val="0"/>
          <w:color w:val="auto"/>
          <w:rtl/>
          <w:lang w:eastAsia="en-US"/>
        </w:rPr>
        <w:t>لم</w:t>
      </w:r>
      <w:r w:rsidRPr="00C85F0F">
        <w:rPr>
          <w:rFonts w:ascii="Traditional Arabic" w:hAnsi="Traditional Arabic"/>
          <w:noProof w:val="0"/>
          <w:color w:val="auto"/>
          <w:rtl/>
          <w:lang w:eastAsia="en-US"/>
        </w:rPr>
        <w:t xml:space="preserve"> يصح</w:t>
      </w:r>
      <w:r w:rsidR="00D315C2">
        <w:rPr>
          <w:rFonts w:ascii="Traditional Arabic" w:hAnsi="Traditional Arabic" w:hint="cs"/>
          <w:noProof w:val="0"/>
          <w:color w:val="auto"/>
          <w:rtl/>
          <w:lang w:eastAsia="en-US"/>
        </w:rPr>
        <w:t xml:space="preserve"> التوكيل</w:t>
      </w:r>
      <w:r w:rsidRPr="00C85F0F">
        <w:rPr>
          <w:rFonts w:ascii="Traditional Arabic" w:hAnsi="Traditional Arabic"/>
          <w:noProof w:val="0"/>
          <w:color w:val="auto"/>
          <w:rtl/>
          <w:lang w:eastAsia="en-US"/>
        </w:rPr>
        <w:t>؛ لأنه هو نفس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لا يصح له التصر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 فيه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فلا يصح </w:t>
      </w:r>
      <w:r w:rsidRPr="00C85F0F">
        <w:rPr>
          <w:rFonts w:ascii="Traditional Arabic" w:hAnsi="Traditional Arabic" w:hint="cs"/>
          <w:noProof w:val="0"/>
          <w:color w:val="auto"/>
          <w:rtl/>
          <w:lang w:eastAsia="en-US"/>
        </w:rPr>
        <w:t xml:space="preserve">له </w:t>
      </w:r>
      <w:r w:rsidRPr="00C85F0F">
        <w:rPr>
          <w:rFonts w:ascii="Traditional Arabic" w:hAnsi="Traditional Arabic"/>
          <w:noProof w:val="0"/>
          <w:color w:val="auto"/>
          <w:rtl/>
          <w:lang w:eastAsia="en-US"/>
        </w:rPr>
        <w:t>أن يوك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 xml:space="preserve"> غيره في بيعه</w:t>
      </w:r>
      <w:r w:rsidRPr="00C85F0F">
        <w:rPr>
          <w:rStyle w:val="af1"/>
          <w:szCs w:val="32"/>
          <w:rtl/>
        </w:rPr>
        <w:t>(</w:t>
      </w:r>
      <w:r w:rsidRPr="00C85F0F">
        <w:rPr>
          <w:rStyle w:val="af1"/>
          <w:szCs w:val="32"/>
          <w:rtl/>
        </w:rPr>
        <w:footnoteReference w:id="2181"/>
      </w:r>
      <w:r w:rsidRPr="00C85F0F">
        <w:rPr>
          <w:rStyle w:val="af1"/>
          <w:szCs w:val="32"/>
          <w:rtl/>
        </w:rPr>
        <w:t>)</w:t>
      </w:r>
      <w:r w:rsidRPr="00C85F0F">
        <w:rPr>
          <w:rFonts w:ascii="Traditional Arabic" w:hAnsi="Traditional Arabic"/>
          <w:noProof w:val="0"/>
          <w:color w:val="auto"/>
          <w:rtl/>
          <w:lang w:eastAsia="en-US"/>
        </w:rPr>
        <w:t>.</w:t>
      </w:r>
    </w:p>
    <w:p w:rsidR="00264398" w:rsidRPr="00C85F0F" w:rsidRDefault="00264398" w:rsidP="00597C20">
      <w:pPr>
        <w:pStyle w:val="53"/>
        <w:rPr>
          <w:rtl/>
        </w:rPr>
      </w:pPr>
      <w:r w:rsidRPr="00C85F0F">
        <w:rPr>
          <w:rFonts w:hint="cs"/>
          <w:rtl/>
        </w:rPr>
        <w:t xml:space="preserve">وجه اندراج </w:t>
      </w:r>
      <w:r w:rsidRPr="00FB0118">
        <w:rPr>
          <w:rFonts w:hint="cs"/>
          <w:rtl/>
        </w:rPr>
        <w:t>الفرع</w:t>
      </w:r>
      <w:r w:rsidRPr="00C85F0F">
        <w:rPr>
          <w:rFonts w:hint="cs"/>
          <w:rtl/>
        </w:rPr>
        <w:t xml:space="preserve"> تحت الضابط:</w:t>
      </w:r>
    </w:p>
    <w:p w:rsidR="00F228A9" w:rsidRPr="00C85F0F" w:rsidRDefault="00264398"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 xml:space="preserve">هذا الصبي لا يصح منه التصرف بالبيع، فلا يصح أن يوكِّل </w:t>
      </w:r>
      <w:r w:rsidR="00D315C2">
        <w:rPr>
          <w:rFonts w:ascii="Traditional Arabic" w:hAnsi="Traditional Arabic" w:hint="cs"/>
          <w:noProof w:val="0"/>
          <w:color w:val="auto"/>
          <w:rtl/>
          <w:lang w:eastAsia="en-US"/>
        </w:rPr>
        <w:t>غيره في بيع بيته؛ لأن القاعدة تقول:</w:t>
      </w:r>
      <w:r w:rsidRPr="00C85F0F">
        <w:rPr>
          <w:rFonts w:ascii="Traditional Arabic" w:hAnsi="Traditional Arabic" w:hint="cs"/>
          <w:noProof w:val="0"/>
          <w:color w:val="auto"/>
          <w:rtl/>
          <w:lang w:eastAsia="en-US"/>
        </w:rPr>
        <w:t xml:space="preserve"> </w:t>
      </w:r>
      <w:r w:rsidR="00D315C2">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من ليس له التصرف في شيء فليس له أن يوكل فيه</w:t>
      </w:r>
      <w:r w:rsidR="00D315C2">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 xml:space="preserve"> وليس له أن يتوكل فيه</w:t>
      </w:r>
      <w:r w:rsidR="00D315C2">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p>
    <w:p w:rsidR="00264398" w:rsidRPr="00C85F0F" w:rsidRDefault="00264398" w:rsidP="000A76C7">
      <w:pPr>
        <w:pStyle w:val="afc"/>
        <w:widowControl/>
        <w:numPr>
          <w:ilvl w:val="0"/>
          <w:numId w:val="301"/>
        </w:numPr>
        <w:autoSpaceDE w:val="0"/>
        <w:autoSpaceDN w:val="0"/>
        <w:adjustRightInd w:val="0"/>
        <w:rPr>
          <w:rFonts w:ascii="Traditional Arabic" w:hAnsi="Traditional Arabic"/>
          <w:noProof w:val="0"/>
          <w:rtl/>
          <w:lang w:eastAsia="en-US"/>
        </w:rPr>
      </w:pPr>
      <w:r w:rsidRPr="00C85F0F">
        <w:rPr>
          <w:rFonts w:ascii="Traditional Arabic" w:hAnsi="Traditional Arabic" w:hint="cs"/>
          <w:noProof w:val="0"/>
          <w:rtl/>
          <w:lang w:eastAsia="en-US"/>
        </w:rPr>
        <w:lastRenderedPageBreak/>
        <w:t xml:space="preserve">لو أن </w:t>
      </w:r>
      <w:r w:rsidRPr="00C85F0F">
        <w:rPr>
          <w:rFonts w:ascii="Traditional Arabic" w:hAnsi="Traditional Arabic"/>
          <w:noProof w:val="0"/>
          <w:rtl/>
          <w:lang w:eastAsia="en-US"/>
        </w:rPr>
        <w:t>رجل</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 xml:space="preserve"> بالغ</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 xml:space="preserve"> عاقل</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 xml:space="preserve"> حر</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 xml:space="preserve"> رشيد</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 xml:space="preserve"> وك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صبي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بيع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بيته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w:t>
      </w:r>
      <w:r w:rsidRPr="00C85F0F">
        <w:rPr>
          <w:rFonts w:ascii="Traditional Arabic" w:hAnsi="Traditional Arabic" w:hint="cs"/>
          <w:noProof w:val="0"/>
          <w:rtl/>
          <w:lang w:eastAsia="en-US"/>
        </w:rPr>
        <w:t>إن البيع</w:t>
      </w:r>
      <w:r w:rsidR="00446D19">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 xml:space="preserve">لا </w:t>
      </w:r>
      <w:r w:rsidRPr="00C85F0F">
        <w:rPr>
          <w:rFonts w:ascii="Traditional Arabic" w:hAnsi="Traditional Arabic"/>
          <w:noProof w:val="0"/>
          <w:rtl/>
          <w:lang w:eastAsia="en-US"/>
        </w:rPr>
        <w:t>يصح ؛ لأن الوكيل لا يتصر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 في مثل هذا التصر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 وقد قال الله تعالى:</w:t>
      </w:r>
      <w:bookmarkStart w:id="502" w:name="سورة_النساء_5"/>
      <w:r w:rsidR="00D315C2">
        <w:rPr>
          <w:rFonts w:ascii="QCF_BSML" w:hAnsi="QCF_BSML" w:cs="QCF_BSML" w:hint="cs"/>
          <w:noProof w:val="0"/>
          <w:rtl/>
          <w:lang w:eastAsia="en-US"/>
        </w:rPr>
        <w:t xml:space="preserve"> </w:t>
      </w:r>
      <w:r w:rsidR="005D5694" w:rsidRPr="00F27847">
        <w:rPr>
          <w:rFonts w:ascii="QCF_BSML" w:hAnsi="QCF_BSML" w:cs="QCF_BSML"/>
          <w:noProof w:val="0"/>
          <w:rtl/>
          <w:lang w:eastAsia="en-US"/>
        </w:rPr>
        <w:t>ﭽ</w:t>
      </w:r>
      <w:r w:rsidR="005D5694" w:rsidRPr="00F27847">
        <w:rPr>
          <w:rFonts w:ascii="QCF_P077" w:hAnsi="QCF_P077" w:cs="QCF_P077"/>
          <w:noProof w:val="0"/>
          <w:rtl/>
          <w:lang w:eastAsia="en-US"/>
        </w:rPr>
        <w:t>ﯔ</w:t>
      </w:r>
      <w:r w:rsidR="00D315C2">
        <w:rPr>
          <w:rFonts w:ascii="QCF_P077" w:hAnsi="QCF_P077" w:cs="QCF_P077" w:hint="cs"/>
          <w:noProof w:val="0"/>
          <w:rtl/>
          <w:lang w:eastAsia="en-US"/>
        </w:rPr>
        <w:t xml:space="preserve"> </w:t>
      </w:r>
      <w:r w:rsidR="005D5694" w:rsidRPr="00F27847">
        <w:rPr>
          <w:rFonts w:ascii="QCF_P077" w:hAnsi="QCF_P077" w:cs="QCF_P077"/>
          <w:noProof w:val="0"/>
          <w:rtl/>
          <w:lang w:eastAsia="en-US"/>
        </w:rPr>
        <w:t>ﯕ</w:t>
      </w:r>
      <w:r w:rsidR="00D315C2">
        <w:rPr>
          <w:rFonts w:ascii="QCF_P077" w:hAnsi="QCF_P077" w:cs="QCF_P077" w:hint="cs"/>
          <w:noProof w:val="0"/>
          <w:rtl/>
          <w:lang w:eastAsia="en-US"/>
        </w:rPr>
        <w:t xml:space="preserve"> </w:t>
      </w:r>
      <w:r w:rsidR="005D5694" w:rsidRPr="00F27847">
        <w:rPr>
          <w:rFonts w:ascii="QCF_P077" w:hAnsi="QCF_P077" w:cs="QCF_P077"/>
          <w:noProof w:val="0"/>
          <w:rtl/>
          <w:lang w:eastAsia="en-US"/>
        </w:rPr>
        <w:t>ﯖ</w:t>
      </w:r>
      <w:r w:rsidR="00D315C2">
        <w:rPr>
          <w:rFonts w:ascii="QCF_P077" w:hAnsi="QCF_P077" w:cs="QCF_P077" w:hint="cs"/>
          <w:noProof w:val="0"/>
          <w:rtl/>
          <w:lang w:eastAsia="en-US"/>
        </w:rPr>
        <w:t xml:space="preserve"> </w:t>
      </w:r>
      <w:r w:rsidR="005D5694" w:rsidRPr="00F27847">
        <w:rPr>
          <w:rFonts w:ascii="QCF_P077" w:hAnsi="QCF_P077" w:cs="QCF_P077"/>
          <w:noProof w:val="0"/>
          <w:rtl/>
          <w:lang w:eastAsia="en-US"/>
        </w:rPr>
        <w:t>ﯗ</w:t>
      </w:r>
      <w:r w:rsidR="00D315C2">
        <w:rPr>
          <w:rFonts w:ascii="QCF_P077" w:hAnsi="QCF_P077" w:cs="QCF_P077" w:hint="cs"/>
          <w:noProof w:val="0"/>
          <w:rtl/>
          <w:lang w:eastAsia="en-US"/>
        </w:rPr>
        <w:t xml:space="preserve"> </w:t>
      </w:r>
      <w:r w:rsidR="005D5694" w:rsidRPr="00F27847">
        <w:rPr>
          <w:rFonts w:ascii="QCF_P077" w:hAnsi="QCF_P077" w:cs="QCF_P077"/>
          <w:noProof w:val="0"/>
          <w:rtl/>
          <w:lang w:eastAsia="en-US"/>
        </w:rPr>
        <w:t>ﯘ</w:t>
      </w:r>
      <w:r w:rsidR="00D315C2">
        <w:rPr>
          <w:rFonts w:ascii="QCF_P077" w:hAnsi="QCF_P077" w:cs="QCF_P077" w:hint="cs"/>
          <w:noProof w:val="0"/>
          <w:rtl/>
          <w:lang w:eastAsia="en-US"/>
        </w:rPr>
        <w:t xml:space="preserve"> </w:t>
      </w:r>
      <w:r w:rsidR="005D5694" w:rsidRPr="00F27847">
        <w:rPr>
          <w:rFonts w:ascii="QCF_P077" w:hAnsi="QCF_P077" w:cs="QCF_P077"/>
          <w:noProof w:val="0"/>
          <w:rtl/>
          <w:lang w:eastAsia="en-US"/>
        </w:rPr>
        <w:t>ﯙ</w:t>
      </w:r>
      <w:r w:rsidR="00D315C2">
        <w:rPr>
          <w:rFonts w:ascii="QCF_P077" w:hAnsi="QCF_P077" w:cs="QCF_P077" w:hint="cs"/>
          <w:noProof w:val="0"/>
          <w:rtl/>
          <w:lang w:eastAsia="en-US"/>
        </w:rPr>
        <w:t xml:space="preserve"> </w:t>
      </w:r>
      <w:r w:rsidR="005D5694" w:rsidRPr="00F27847">
        <w:rPr>
          <w:rFonts w:ascii="QCF_P077" w:hAnsi="QCF_P077" w:cs="QCF_P077"/>
          <w:noProof w:val="0"/>
          <w:rtl/>
          <w:lang w:eastAsia="en-US"/>
        </w:rPr>
        <w:t>ﯚ</w:t>
      </w:r>
      <w:r w:rsidR="00D315C2">
        <w:rPr>
          <w:rFonts w:ascii="QCF_P077" w:hAnsi="QCF_P077" w:cs="QCF_P077" w:hint="cs"/>
          <w:noProof w:val="0"/>
          <w:rtl/>
          <w:lang w:eastAsia="en-US"/>
        </w:rPr>
        <w:t xml:space="preserve"> </w:t>
      </w:r>
      <w:r w:rsidR="005D5694" w:rsidRPr="00F27847">
        <w:rPr>
          <w:rFonts w:ascii="QCF_P077" w:hAnsi="QCF_P077" w:cs="QCF_P077"/>
          <w:noProof w:val="0"/>
          <w:rtl/>
          <w:lang w:eastAsia="en-US"/>
        </w:rPr>
        <w:t>ﯛ</w:t>
      </w:r>
      <w:r w:rsidR="00D315C2">
        <w:rPr>
          <w:rFonts w:ascii="QCF_P077" w:hAnsi="QCF_P077" w:cs="QCF_P077" w:hint="cs"/>
          <w:noProof w:val="0"/>
          <w:rtl/>
          <w:lang w:eastAsia="en-US"/>
        </w:rPr>
        <w:t xml:space="preserve"> </w:t>
      </w:r>
      <w:r w:rsidR="005D5694" w:rsidRPr="00F27847">
        <w:rPr>
          <w:rFonts w:ascii="QCF_P077" w:hAnsi="QCF_P077" w:cs="QCF_P077"/>
          <w:noProof w:val="0"/>
          <w:rtl/>
          <w:lang w:eastAsia="en-US"/>
        </w:rPr>
        <w:t>ﯜ</w:t>
      </w:r>
      <w:r w:rsidR="005D5694" w:rsidRPr="00F27847">
        <w:rPr>
          <w:rFonts w:ascii="QCF_BSML" w:hAnsi="QCF_BSML" w:cs="QCF_BSML"/>
          <w:noProof w:val="0"/>
          <w:rtl/>
          <w:lang w:eastAsia="en-US"/>
        </w:rPr>
        <w:t>ﭼ</w:t>
      </w:r>
      <w:bookmarkEnd w:id="502"/>
      <w:r w:rsidRPr="00C85F0F">
        <w:rPr>
          <w:rFonts w:ascii="Traditional Arabic" w:hAnsi="Traditional Arabic"/>
          <w:noProof w:val="0"/>
          <w:rtl/>
          <w:lang w:eastAsia="en-US"/>
        </w:rPr>
        <w:t>[النساء: 5]</w:t>
      </w:r>
      <w:r w:rsidRPr="00C85F0F">
        <w:rPr>
          <w:rStyle w:val="af1"/>
          <w:szCs w:val="32"/>
          <w:rtl/>
        </w:rPr>
        <w:t>(</w:t>
      </w:r>
      <w:r w:rsidRPr="00C85F0F">
        <w:rPr>
          <w:rStyle w:val="af1"/>
          <w:szCs w:val="32"/>
          <w:rtl/>
        </w:rPr>
        <w:footnoteReference w:id="2182"/>
      </w:r>
      <w:r w:rsidRPr="00C85F0F">
        <w:rPr>
          <w:rStyle w:val="af1"/>
          <w:szCs w:val="32"/>
          <w:rtl/>
        </w:rPr>
        <w:t>)</w:t>
      </w:r>
      <w:r w:rsidRPr="00C85F0F">
        <w:rPr>
          <w:rFonts w:ascii="Traditional Arabic" w:hAnsi="Traditional Arabic"/>
          <w:noProof w:val="0"/>
          <w:rtl/>
          <w:lang w:eastAsia="en-US"/>
        </w:rPr>
        <w:t>.</w:t>
      </w:r>
    </w:p>
    <w:p w:rsidR="00264398" w:rsidRPr="00C85F0F" w:rsidRDefault="00264398" w:rsidP="00597C20">
      <w:pPr>
        <w:pStyle w:val="53"/>
        <w:rPr>
          <w:rtl/>
        </w:rPr>
      </w:pPr>
      <w:r w:rsidRPr="00C85F0F">
        <w:rPr>
          <w:rFonts w:hint="cs"/>
          <w:rtl/>
        </w:rPr>
        <w:t>وجه اندراج الفرع تحت الضابط:</w:t>
      </w:r>
    </w:p>
    <w:p w:rsidR="00264398" w:rsidRPr="00C85F0F" w:rsidRDefault="00264398" w:rsidP="00597C20">
      <w:pPr>
        <w:widowControl/>
        <w:autoSpaceDE w:val="0"/>
        <w:autoSpaceDN w:val="0"/>
        <w:adjustRightInd w:val="0"/>
        <w:ind w:firstLine="720"/>
        <w:jc w:val="left"/>
        <w:rPr>
          <w:rFonts w:ascii="Traditional Arabic" w:hAnsi="Traditional Arabic"/>
          <w:noProof w:val="0"/>
          <w:rtl/>
          <w:lang w:eastAsia="en-US"/>
        </w:rPr>
      </w:pPr>
      <w:r w:rsidRPr="00C85F0F">
        <w:rPr>
          <w:rFonts w:ascii="Traditional Arabic" w:hAnsi="Traditional Arabic" w:hint="cs"/>
          <w:noProof w:val="0"/>
          <w:rtl/>
          <w:lang w:eastAsia="en-US"/>
        </w:rPr>
        <w:t xml:space="preserve">هذا الصبي غير جائزِ التصرف؛ لأنه غير بالغ، فلا يصح منه أن يتوكَّل في بيع البيت؛ لأن </w:t>
      </w:r>
      <w:r w:rsidR="00D315C2">
        <w:rPr>
          <w:rFonts w:ascii="Traditional Arabic" w:hAnsi="Traditional Arabic" w:hint="cs"/>
          <w:noProof w:val="0"/>
          <w:rtl/>
          <w:lang w:eastAsia="en-US"/>
        </w:rPr>
        <w:t>القاعدة تقول:</w:t>
      </w:r>
      <w:r w:rsidRPr="00C85F0F">
        <w:rPr>
          <w:rFonts w:ascii="Traditional Arabic" w:hAnsi="Traditional Arabic" w:hint="cs"/>
          <w:noProof w:val="0"/>
          <w:rtl/>
          <w:lang w:eastAsia="en-US"/>
        </w:rPr>
        <w:t xml:space="preserve"> </w:t>
      </w:r>
      <w:r w:rsidR="00D315C2">
        <w:rPr>
          <w:rFonts w:ascii="Traditional Arabic" w:hAnsi="Traditional Arabic" w:hint="cs"/>
          <w:noProof w:val="0"/>
          <w:rtl/>
          <w:lang w:eastAsia="en-US"/>
        </w:rPr>
        <w:t>"</w:t>
      </w:r>
      <w:r w:rsidRPr="00C85F0F">
        <w:rPr>
          <w:rFonts w:ascii="Traditional Arabic" w:hAnsi="Traditional Arabic" w:hint="cs"/>
          <w:noProof w:val="0"/>
          <w:rtl/>
          <w:lang w:eastAsia="en-US"/>
        </w:rPr>
        <w:t>من ليس له التصرف في شيء فليس له أن يوكل فيه وليس له أن يتوكل فيه</w:t>
      </w:r>
      <w:r w:rsidR="00D315C2">
        <w:rPr>
          <w:rFonts w:ascii="Traditional Arabic" w:hAnsi="Traditional Arabic" w:hint="cs"/>
          <w:noProof w:val="0"/>
          <w:rtl/>
          <w:lang w:eastAsia="en-US"/>
        </w:rPr>
        <w:t>"</w:t>
      </w:r>
      <w:r w:rsidRPr="00C85F0F">
        <w:rPr>
          <w:rFonts w:ascii="Traditional Arabic" w:hAnsi="Traditional Arabic" w:hint="cs"/>
          <w:noProof w:val="0"/>
          <w:rtl/>
          <w:lang w:eastAsia="en-US"/>
        </w:rPr>
        <w:t>.</w:t>
      </w:r>
    </w:p>
    <w:p w:rsidR="00264398" w:rsidRPr="00C85F0F" w:rsidRDefault="00264398" w:rsidP="000A76C7">
      <w:pPr>
        <w:pStyle w:val="afc"/>
        <w:numPr>
          <w:ilvl w:val="0"/>
          <w:numId w:val="301"/>
        </w:numPr>
        <w:rPr>
          <w:color w:val="auto"/>
        </w:rPr>
      </w:pPr>
      <w:r w:rsidRPr="00C85F0F">
        <w:rPr>
          <w:rFonts w:ascii="Traditional Arabic" w:hAnsi="Traditional Arabic"/>
          <w:noProof w:val="0"/>
          <w:rtl/>
          <w:lang w:eastAsia="en-US"/>
        </w:rPr>
        <w:t>إذا وك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شخص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شخصا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أن يعق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له النكاح</w:t>
      </w:r>
      <w:r w:rsidR="002209E5" w:rsidRPr="002209E5">
        <w:rPr>
          <w:rFonts w:ascii="Traditional Arabic" w:hAnsi="Traditional Arabic" w:hint="cs"/>
          <w:noProof w:val="0"/>
          <w:vertAlign w:val="superscript"/>
          <w:rtl/>
          <w:lang w:eastAsia="en-US"/>
        </w:rPr>
        <w:t>(</w:t>
      </w:r>
      <w:r w:rsidR="002209E5" w:rsidRPr="002209E5">
        <w:rPr>
          <w:rStyle w:val="af1"/>
          <w:rFonts w:ascii="Traditional Arabic" w:hAnsi="Traditional Arabic"/>
          <w:noProof w:val="0"/>
          <w:rtl/>
          <w:lang w:eastAsia="en-US"/>
        </w:rPr>
        <w:footnoteReference w:id="2183"/>
      </w:r>
      <w:r w:rsidR="002209E5" w:rsidRPr="002209E5">
        <w:rPr>
          <w:rFonts w:ascii="Traditional Arabic" w:hAnsi="Traditional Arabic" w:hint="cs"/>
          <w:noProof w:val="0"/>
          <w:vertAlign w:val="superscript"/>
          <w:rtl/>
          <w:lang w:eastAsia="en-US"/>
        </w:rPr>
        <w:t>)</w:t>
      </w:r>
      <w:r w:rsidRPr="002209E5">
        <w:rPr>
          <w:rFonts w:ascii="Traditional Arabic" w:hAnsi="Traditional Arabic"/>
          <w:noProof w:val="0"/>
          <w:vertAlign w:val="superscript"/>
          <w:rtl/>
          <w:lang w:eastAsia="en-US"/>
        </w:rPr>
        <w:t xml:space="preserve"> </w:t>
      </w:r>
      <w:r w:rsidRPr="00C85F0F">
        <w:rPr>
          <w:rFonts w:ascii="Traditional Arabic" w:hAnsi="Traditional Arabic" w:hint="cs"/>
          <w:noProof w:val="0"/>
          <w:rtl/>
          <w:lang w:eastAsia="en-US"/>
        </w:rPr>
        <w:t>ف</w:t>
      </w:r>
      <w:r w:rsidRPr="00C85F0F">
        <w:rPr>
          <w:rFonts w:ascii="Traditional Arabic" w:hAnsi="Traditional Arabic"/>
          <w:noProof w:val="0"/>
          <w:rtl/>
          <w:lang w:eastAsia="en-US"/>
        </w:rPr>
        <w:t>قال: وك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لتك أن تقبل النكاح لي من فلان، وهذا الوكيل بالغ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عاقل حر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رشيد ف</w:t>
      </w:r>
      <w:r w:rsidRPr="00C85F0F">
        <w:rPr>
          <w:rFonts w:ascii="Traditional Arabic" w:hAnsi="Traditional Arabic" w:hint="cs"/>
          <w:noProof w:val="0"/>
          <w:rtl/>
          <w:lang w:eastAsia="en-US"/>
        </w:rPr>
        <w:t xml:space="preserve">إن العقد </w:t>
      </w:r>
      <w:r w:rsidRPr="00C85F0F">
        <w:rPr>
          <w:rFonts w:ascii="Traditional Arabic" w:hAnsi="Traditional Arabic"/>
          <w:noProof w:val="0"/>
          <w:rtl/>
          <w:lang w:eastAsia="en-US"/>
        </w:rPr>
        <w:t>يصح؛ لأن الوكالة في عقد النكاح جائزة</w:t>
      </w:r>
      <w:r w:rsidRPr="00C85F0F">
        <w:rPr>
          <w:rStyle w:val="af1"/>
          <w:szCs w:val="32"/>
          <w:rtl/>
        </w:rPr>
        <w:t>(</w:t>
      </w:r>
      <w:r w:rsidRPr="00C85F0F">
        <w:rPr>
          <w:rStyle w:val="af1"/>
          <w:szCs w:val="32"/>
          <w:rtl/>
        </w:rPr>
        <w:footnoteReference w:id="2184"/>
      </w:r>
      <w:r w:rsidRPr="00C85F0F">
        <w:rPr>
          <w:rStyle w:val="af1"/>
          <w:szCs w:val="32"/>
          <w:rtl/>
        </w:rPr>
        <w:t>)</w:t>
      </w:r>
      <w:r w:rsidRPr="00C85F0F">
        <w:rPr>
          <w:rFonts w:ascii="Traditional Arabic" w:hAnsi="Traditional Arabic"/>
          <w:noProof w:val="0"/>
          <w:rtl/>
          <w:lang w:eastAsia="en-US"/>
        </w:rPr>
        <w:t>.</w:t>
      </w:r>
    </w:p>
    <w:p w:rsidR="00264398" w:rsidRPr="00C85F0F" w:rsidRDefault="00264398" w:rsidP="00597C20">
      <w:pPr>
        <w:pStyle w:val="53"/>
        <w:rPr>
          <w:rtl/>
        </w:rPr>
      </w:pPr>
      <w:r w:rsidRPr="00C85F0F">
        <w:rPr>
          <w:rFonts w:hint="cs"/>
          <w:rtl/>
        </w:rPr>
        <w:t>وجه اندراج الفرع تحت الضابط:</w:t>
      </w:r>
    </w:p>
    <w:p w:rsidR="00264398" w:rsidRPr="00C85F0F" w:rsidRDefault="00264398" w:rsidP="00597C20">
      <w:pPr>
        <w:ind w:firstLine="72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هذا الوكيل جائز التصرف؛ لأنه بالغ عاقل حر رشيد، فيجوز له أن يتو</w:t>
      </w:r>
      <w:r w:rsidR="00D315C2">
        <w:rPr>
          <w:rFonts w:ascii="Traditional Arabic" w:hAnsi="Traditional Arabic" w:hint="cs"/>
          <w:noProof w:val="0"/>
          <w:color w:val="auto"/>
          <w:rtl/>
          <w:lang w:eastAsia="en-US"/>
        </w:rPr>
        <w:t>كل في عقد النكاح؛ لأن القاعدة تقول:</w:t>
      </w:r>
      <w:r w:rsidRPr="00C85F0F">
        <w:rPr>
          <w:rFonts w:ascii="Traditional Arabic" w:hAnsi="Traditional Arabic" w:hint="cs"/>
          <w:noProof w:val="0"/>
          <w:color w:val="auto"/>
          <w:rtl/>
          <w:lang w:eastAsia="en-US"/>
        </w:rPr>
        <w:t xml:space="preserve"> </w:t>
      </w:r>
      <w:r w:rsidR="00D315C2">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من له التصرف في الشيء فله أن يوكِّل وأن يتوكل فيه</w:t>
      </w:r>
      <w:r w:rsidR="00D315C2">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p>
    <w:p w:rsidR="00264398" w:rsidRPr="00C85F0F" w:rsidRDefault="00D315C2" w:rsidP="00A8347C">
      <w:pPr>
        <w:pStyle w:val="aff3"/>
        <w:rPr>
          <w:rtl/>
        </w:rPr>
      </w:pPr>
      <w:bookmarkStart w:id="503" w:name="_Toc334046674"/>
      <w:r>
        <w:rPr>
          <w:rFonts w:hint="cs"/>
          <w:rtl/>
        </w:rPr>
        <w:t xml:space="preserve">                                      </w:t>
      </w:r>
      <w:r w:rsidR="00264398" w:rsidRPr="00C85F0F">
        <w:rPr>
          <w:rFonts w:hint="cs"/>
          <w:rtl/>
        </w:rPr>
        <w:t>المطلب الرابع</w:t>
      </w:r>
      <w:r w:rsidR="00264398" w:rsidRPr="00C85F0F">
        <w:rPr>
          <w:rFonts w:hint="eastAsia"/>
          <w:rtl/>
        </w:rPr>
        <w:t> :</w:t>
      </w:r>
      <w:r w:rsidR="00264398" w:rsidRPr="00C85F0F">
        <w:rPr>
          <w:rFonts w:hint="cs"/>
          <w:rtl/>
        </w:rPr>
        <w:br/>
      </w:r>
      <w:r>
        <w:rPr>
          <w:rFonts w:hint="cs"/>
          <w:rtl/>
        </w:rPr>
        <w:t xml:space="preserve">                                    </w:t>
      </w:r>
      <w:r w:rsidR="00264398" w:rsidRPr="00C85F0F">
        <w:rPr>
          <w:rFonts w:hint="cs"/>
          <w:rtl/>
        </w:rPr>
        <w:t>مستثنيات الضابط</w:t>
      </w:r>
      <w:bookmarkEnd w:id="503"/>
    </w:p>
    <w:p w:rsidR="00264398" w:rsidRPr="00C85F0F" w:rsidRDefault="00264398" w:rsidP="000A76C7">
      <w:pPr>
        <w:pStyle w:val="afc"/>
        <w:widowControl/>
        <w:numPr>
          <w:ilvl w:val="0"/>
          <w:numId w:val="302"/>
        </w:numPr>
        <w:autoSpaceDE w:val="0"/>
        <w:autoSpaceDN w:val="0"/>
        <w:adjustRightInd w:val="0"/>
        <w:rPr>
          <w:rFonts w:ascii="Traditional Arabic" w:hAnsi="Traditional Arabic"/>
          <w:noProof w:val="0"/>
          <w:rtl/>
          <w:lang w:eastAsia="en-US"/>
        </w:rPr>
      </w:pPr>
      <w:r w:rsidRPr="00C85F0F">
        <w:rPr>
          <w:rFonts w:ascii="Traditional Arabic" w:hAnsi="Traditional Arabic"/>
          <w:noProof w:val="0"/>
          <w:rtl/>
          <w:lang w:eastAsia="en-US"/>
        </w:rPr>
        <w:t xml:space="preserve">يستثنى من </w:t>
      </w:r>
      <w:r w:rsidRPr="00C85F0F">
        <w:rPr>
          <w:rFonts w:ascii="Traditional Arabic" w:hAnsi="Traditional Arabic" w:hint="cs"/>
          <w:noProof w:val="0"/>
          <w:rtl/>
          <w:lang w:eastAsia="en-US"/>
        </w:rPr>
        <w:t>هذا الضابط</w:t>
      </w:r>
      <w:r w:rsidRPr="00C85F0F">
        <w:rPr>
          <w:rFonts w:ascii="Traditional Arabic" w:hAnsi="Traditional Arabic"/>
          <w:noProof w:val="0"/>
          <w:rtl/>
          <w:lang w:eastAsia="en-US"/>
        </w:rPr>
        <w:t xml:space="preserve"> ما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شترط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الرؤية، فإن الأعمى يجوز أن يوك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فيه بصيرا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ليشتري له، و</w:t>
      </w:r>
      <w:r w:rsidRPr="00C85F0F">
        <w:rPr>
          <w:rFonts w:ascii="Traditional Arabic" w:hAnsi="Traditional Arabic" w:hint="cs"/>
          <w:noProof w:val="0"/>
          <w:rtl/>
          <w:lang w:eastAsia="en-US"/>
        </w:rPr>
        <w:t xml:space="preserve">يستثنى من ذلك أيضا </w:t>
      </w:r>
      <w:r w:rsidRPr="00C85F0F">
        <w:rPr>
          <w:rFonts w:ascii="Traditional Arabic" w:hAnsi="Traditional Arabic"/>
          <w:noProof w:val="0"/>
          <w:rtl/>
          <w:lang w:eastAsia="en-US"/>
        </w:rPr>
        <w:t>ما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شترط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صحة بيع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الشم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 للذي لا يش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م </w:t>
      </w:r>
      <w:r w:rsidRPr="00C85F0F">
        <w:rPr>
          <w:rFonts w:ascii="Traditional Arabic" w:hAnsi="Traditional Arabic"/>
          <w:noProof w:val="0"/>
          <w:rtl/>
          <w:lang w:eastAsia="en-US"/>
        </w:rPr>
        <w:lastRenderedPageBreak/>
        <w:t>أن يوك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ل فيه، </w:t>
      </w:r>
      <w:r w:rsidRPr="00C85F0F">
        <w:rPr>
          <w:rFonts w:ascii="Traditional Arabic" w:hAnsi="Traditional Arabic" w:hint="cs"/>
          <w:noProof w:val="0"/>
          <w:rtl/>
          <w:lang w:eastAsia="en-US"/>
        </w:rPr>
        <w:t>ك</w:t>
      </w:r>
      <w:r w:rsidRPr="00C85F0F">
        <w:rPr>
          <w:rFonts w:ascii="Traditional Arabic" w:hAnsi="Traditional Arabic"/>
          <w:noProof w:val="0"/>
          <w:rtl/>
          <w:lang w:eastAsia="en-US"/>
        </w:rPr>
        <w:t xml:space="preserve">ما </w:t>
      </w:r>
      <w:r w:rsidRPr="00C85F0F">
        <w:rPr>
          <w:rFonts w:ascii="Traditional Arabic" w:hAnsi="Traditional Arabic" w:hint="cs"/>
          <w:noProof w:val="0"/>
          <w:rtl/>
          <w:lang w:eastAsia="en-US"/>
        </w:rPr>
        <w:t xml:space="preserve">يستثنى منه ما </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شترط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صحة بيعه الع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لم به</w:t>
      </w:r>
      <w:r w:rsidRPr="00C85F0F">
        <w:rPr>
          <w:rFonts w:ascii="Traditional Arabic" w:hAnsi="Traditional Arabic" w:hint="cs"/>
          <w:noProof w:val="0"/>
          <w:rtl/>
          <w:lang w:eastAsia="en-US"/>
        </w:rPr>
        <w:t>،</w:t>
      </w:r>
      <w:r w:rsidR="00D315C2">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فمن</w:t>
      </w:r>
      <w:r w:rsidRPr="00C85F0F">
        <w:rPr>
          <w:rFonts w:ascii="Traditional Arabic" w:hAnsi="Traditional Arabic"/>
          <w:noProof w:val="0"/>
          <w:rtl/>
          <w:lang w:eastAsia="en-US"/>
        </w:rPr>
        <w:t xml:space="preserve"> لا يعلم بهذه الأشياء</w:t>
      </w:r>
      <w:r w:rsidRPr="00C85F0F">
        <w:rPr>
          <w:rFonts w:ascii="Traditional Arabic" w:hAnsi="Traditional Arabic" w:hint="cs"/>
          <w:noProof w:val="0"/>
          <w:rtl/>
          <w:lang w:eastAsia="en-US"/>
        </w:rPr>
        <w:t xml:space="preserve"> إذا</w:t>
      </w:r>
      <w:r w:rsidRPr="00C85F0F">
        <w:rPr>
          <w:rFonts w:ascii="Traditional Arabic" w:hAnsi="Traditional Arabic"/>
          <w:noProof w:val="0"/>
          <w:rtl/>
          <w:lang w:eastAsia="en-US"/>
        </w:rPr>
        <w:t xml:space="preserve"> وك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شخصا في ذلك فإنه جائز</w:t>
      </w:r>
      <w:r w:rsidRPr="00C85F0F">
        <w:rPr>
          <w:rStyle w:val="af1"/>
          <w:szCs w:val="32"/>
          <w:rtl/>
        </w:rPr>
        <w:t>(</w:t>
      </w:r>
      <w:r w:rsidRPr="00C85F0F">
        <w:rPr>
          <w:rStyle w:val="af1"/>
          <w:szCs w:val="32"/>
          <w:rtl/>
        </w:rPr>
        <w:footnoteReference w:id="2185"/>
      </w:r>
      <w:r w:rsidRPr="00C85F0F">
        <w:rPr>
          <w:rStyle w:val="af1"/>
          <w:szCs w:val="32"/>
          <w:rtl/>
        </w:rPr>
        <w:t>)</w:t>
      </w:r>
      <w:r w:rsidRPr="00C85F0F">
        <w:rPr>
          <w:rFonts w:ascii="Traditional Arabic" w:hAnsi="Traditional Arabic"/>
          <w:noProof w:val="0"/>
          <w:rtl/>
          <w:lang w:eastAsia="en-US"/>
        </w:rPr>
        <w:t>.</w:t>
      </w:r>
    </w:p>
    <w:p w:rsidR="00264398" w:rsidRPr="00C85F0F" w:rsidRDefault="00264398" w:rsidP="000A76C7">
      <w:pPr>
        <w:pStyle w:val="afc"/>
        <w:widowControl/>
        <w:numPr>
          <w:ilvl w:val="0"/>
          <w:numId w:val="302"/>
        </w:numPr>
        <w:autoSpaceDE w:val="0"/>
        <w:autoSpaceDN w:val="0"/>
        <w:adjustRightInd w:val="0"/>
        <w:rPr>
          <w:rFonts w:ascii="Traditional Arabic" w:hAnsi="Traditional Arabic"/>
          <w:noProof w:val="0"/>
          <w:rtl/>
          <w:lang w:eastAsia="en-US"/>
        </w:rPr>
      </w:pPr>
      <w:r w:rsidRPr="00C85F0F">
        <w:rPr>
          <w:rFonts w:ascii="Traditional Arabic" w:hAnsi="Traditional Arabic"/>
          <w:noProof w:val="0"/>
          <w:rtl/>
          <w:lang w:eastAsia="en-US"/>
        </w:rPr>
        <w:t>من ليس له أن يتصرف في شيء فليس له أن يتوكل فيه، ولكن يستثنى من هذا أشياء، ف</w:t>
      </w:r>
      <w:r w:rsidRPr="00C85F0F">
        <w:rPr>
          <w:rFonts w:ascii="Traditional Arabic" w:hAnsi="Traditional Arabic" w:hint="cs"/>
          <w:noProof w:val="0"/>
          <w:rtl/>
          <w:lang w:eastAsia="en-US"/>
        </w:rPr>
        <w:t xml:space="preserve">لوأن </w:t>
      </w:r>
      <w:r w:rsidRPr="00C85F0F">
        <w:rPr>
          <w:rFonts w:ascii="Traditional Arabic" w:hAnsi="Traditional Arabic"/>
          <w:noProof w:val="0"/>
          <w:rtl/>
          <w:lang w:eastAsia="en-US"/>
        </w:rPr>
        <w:t>فقير</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 xml:space="preserve"> وك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 غني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قبض الزكاة له فإن</w:t>
      </w:r>
      <w:r w:rsidRPr="00C85F0F">
        <w:rPr>
          <w:rFonts w:ascii="Traditional Arabic" w:hAnsi="Traditional Arabic" w:hint="cs"/>
          <w:noProof w:val="0"/>
          <w:rtl/>
          <w:lang w:eastAsia="en-US"/>
        </w:rPr>
        <w:t xml:space="preserve"> ذلك</w:t>
      </w:r>
      <w:r w:rsidRPr="00C85F0F">
        <w:rPr>
          <w:rFonts w:ascii="Traditional Arabic" w:hAnsi="Traditional Arabic"/>
          <w:noProof w:val="0"/>
          <w:rtl/>
          <w:lang w:eastAsia="en-US"/>
        </w:rPr>
        <w:t xml:space="preserve"> ج</w:t>
      </w:r>
      <w:r w:rsidRPr="00C85F0F">
        <w:rPr>
          <w:rFonts w:ascii="Traditional Arabic" w:hAnsi="Traditional Arabic" w:hint="cs"/>
          <w:noProof w:val="0"/>
          <w:rtl/>
          <w:lang w:eastAsia="en-US"/>
        </w:rPr>
        <w:t>ائ</w:t>
      </w:r>
      <w:r w:rsidRPr="00C85F0F">
        <w:rPr>
          <w:rFonts w:ascii="Traditional Arabic" w:hAnsi="Traditional Arabic"/>
          <w:noProof w:val="0"/>
          <w:rtl/>
          <w:lang w:eastAsia="en-US"/>
        </w:rPr>
        <w:t>ز، ف</w:t>
      </w:r>
      <w:r w:rsidRPr="00C85F0F">
        <w:rPr>
          <w:rFonts w:ascii="Traditional Arabic" w:hAnsi="Traditional Arabic" w:hint="cs"/>
          <w:noProof w:val="0"/>
          <w:rtl/>
          <w:lang w:eastAsia="en-US"/>
        </w:rPr>
        <w:t xml:space="preserve">هنا </w:t>
      </w:r>
      <w:r w:rsidRPr="00C85F0F">
        <w:rPr>
          <w:rFonts w:ascii="Traditional Arabic" w:hAnsi="Traditional Arabic"/>
          <w:noProof w:val="0"/>
          <w:rtl/>
          <w:lang w:eastAsia="en-US"/>
        </w:rPr>
        <w:t xml:space="preserve">جاز </w:t>
      </w:r>
      <w:r w:rsidRPr="00C85F0F">
        <w:rPr>
          <w:rFonts w:ascii="Traditional Arabic" w:hAnsi="Traditional Arabic" w:hint="cs"/>
          <w:noProof w:val="0"/>
          <w:rtl/>
          <w:lang w:eastAsia="en-US"/>
        </w:rPr>
        <w:t xml:space="preserve">لهذا الغني </w:t>
      </w:r>
      <w:r w:rsidRPr="00C85F0F">
        <w:rPr>
          <w:rFonts w:ascii="Traditional Arabic" w:hAnsi="Traditional Arabic"/>
          <w:noProof w:val="0"/>
          <w:rtl/>
          <w:lang w:eastAsia="en-US"/>
        </w:rPr>
        <w:t>أن يتصرف لغيره بالوكالة، و</w:t>
      </w:r>
      <w:r w:rsidRPr="00C85F0F">
        <w:rPr>
          <w:rFonts w:ascii="Traditional Arabic" w:hAnsi="Traditional Arabic" w:hint="cs"/>
          <w:noProof w:val="0"/>
          <w:rtl/>
          <w:lang w:eastAsia="en-US"/>
        </w:rPr>
        <w:t>إن كان لا</w:t>
      </w:r>
      <w:r w:rsidRPr="00C85F0F">
        <w:rPr>
          <w:rFonts w:ascii="Traditional Arabic" w:hAnsi="Traditional Arabic"/>
          <w:noProof w:val="0"/>
          <w:rtl/>
          <w:lang w:eastAsia="en-US"/>
        </w:rPr>
        <w:t xml:space="preserve"> يجوز </w:t>
      </w:r>
      <w:r w:rsidRPr="00C85F0F">
        <w:rPr>
          <w:rFonts w:ascii="Traditional Arabic" w:hAnsi="Traditional Arabic" w:hint="cs"/>
          <w:noProof w:val="0"/>
          <w:rtl/>
          <w:lang w:eastAsia="en-US"/>
        </w:rPr>
        <w:t xml:space="preserve">له </w:t>
      </w:r>
      <w:r w:rsidRPr="00C85F0F">
        <w:rPr>
          <w:rFonts w:ascii="Traditional Arabic" w:hAnsi="Traditional Arabic"/>
          <w:noProof w:val="0"/>
          <w:rtl/>
          <w:lang w:eastAsia="en-US"/>
        </w:rPr>
        <w:t xml:space="preserve">أن يتصرف </w:t>
      </w:r>
      <w:r w:rsidRPr="00C85F0F">
        <w:rPr>
          <w:rFonts w:ascii="Traditional Arabic" w:hAnsi="Traditional Arabic" w:hint="cs"/>
          <w:noProof w:val="0"/>
          <w:rtl/>
          <w:lang w:eastAsia="en-US"/>
        </w:rPr>
        <w:t xml:space="preserve">بقبض الزكاة </w:t>
      </w:r>
      <w:r w:rsidRPr="00C85F0F">
        <w:rPr>
          <w:rFonts w:ascii="Traditional Arabic" w:hAnsi="Traditional Arabic"/>
          <w:noProof w:val="0"/>
          <w:rtl/>
          <w:lang w:eastAsia="en-US"/>
        </w:rPr>
        <w:t>لنفسه.</w:t>
      </w:r>
    </w:p>
    <w:p w:rsidR="00264398" w:rsidRPr="00C85F0F" w:rsidRDefault="00264398" w:rsidP="00597C20">
      <w:pPr>
        <w:pStyle w:val="afc"/>
        <w:widowControl/>
        <w:autoSpaceDE w:val="0"/>
        <w:autoSpaceDN w:val="0"/>
        <w:adjustRightInd w:val="0"/>
        <w:ind w:left="1080" w:firstLine="0"/>
        <w:rPr>
          <w:rFonts w:ascii="Traditional Arabic" w:hAnsi="Traditional Arabic"/>
          <w:noProof w:val="0"/>
          <w:rtl/>
          <w:lang w:eastAsia="en-US"/>
        </w:rPr>
      </w:pPr>
      <w:r w:rsidRPr="00C85F0F">
        <w:rPr>
          <w:rFonts w:ascii="Traditional Arabic" w:hAnsi="Traditional Arabic"/>
          <w:noProof w:val="0"/>
          <w:rtl/>
          <w:lang w:eastAsia="en-US"/>
        </w:rPr>
        <w:t>مثال آخر: امرأة لا يجوز أن تطل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 نفس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ها، ف</w:t>
      </w:r>
      <w:r w:rsidRPr="00C85F0F">
        <w:rPr>
          <w:rFonts w:ascii="Traditional Arabic" w:hAnsi="Traditional Arabic" w:hint="cs"/>
          <w:noProof w:val="0"/>
          <w:rtl/>
          <w:lang w:eastAsia="en-US"/>
        </w:rPr>
        <w:t xml:space="preserve">إذا </w:t>
      </w:r>
      <w:r w:rsidRPr="00C85F0F">
        <w:rPr>
          <w:rFonts w:ascii="Traditional Arabic" w:hAnsi="Traditional Arabic"/>
          <w:noProof w:val="0"/>
          <w:rtl/>
          <w:lang w:eastAsia="en-US"/>
        </w:rPr>
        <w:t>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لها زوج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ها في طلاق نفسها ج</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ز</w:t>
      </w:r>
      <w:r w:rsidRPr="00C85F0F">
        <w:rPr>
          <w:rFonts w:ascii="Traditional Arabic" w:hAnsi="Traditional Arabic" w:hint="cs"/>
          <w:noProof w:val="0"/>
          <w:rtl/>
          <w:lang w:eastAsia="en-US"/>
        </w:rPr>
        <w:t xml:space="preserve"> ذلك</w:t>
      </w:r>
      <w:r w:rsidRPr="00C85F0F">
        <w:rPr>
          <w:rFonts w:ascii="Traditional Arabic" w:hAnsi="Traditional Arabic"/>
          <w:noProof w:val="0"/>
          <w:rtl/>
          <w:lang w:eastAsia="en-US"/>
        </w:rPr>
        <w:t xml:space="preserve">؛ لأن هذا </w:t>
      </w:r>
      <w:r w:rsidRPr="00C85F0F">
        <w:rPr>
          <w:rFonts w:ascii="Traditional Arabic" w:hAnsi="Traditional Arabic" w:hint="cs"/>
          <w:noProof w:val="0"/>
          <w:rtl/>
          <w:lang w:eastAsia="en-US"/>
        </w:rPr>
        <w:t>ا</w:t>
      </w:r>
      <w:r w:rsidRPr="00C85F0F">
        <w:rPr>
          <w:rFonts w:ascii="Traditional Arabic" w:hAnsi="Traditional Arabic"/>
          <w:noProof w:val="0"/>
          <w:rtl/>
          <w:lang w:eastAsia="en-US"/>
        </w:rPr>
        <w:t>لمعنى يتعلق بالزوج، والزوج قد أذ</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فيه</w:t>
      </w:r>
      <w:r w:rsidRPr="00C85F0F">
        <w:rPr>
          <w:rStyle w:val="af1"/>
          <w:szCs w:val="32"/>
          <w:rtl/>
        </w:rPr>
        <w:t>(</w:t>
      </w:r>
      <w:r w:rsidRPr="00C85F0F">
        <w:rPr>
          <w:rStyle w:val="af1"/>
          <w:szCs w:val="32"/>
          <w:rtl/>
        </w:rPr>
        <w:footnoteReference w:id="2186"/>
      </w:r>
      <w:r w:rsidRPr="00C85F0F">
        <w:rPr>
          <w:rStyle w:val="af1"/>
          <w:szCs w:val="32"/>
          <w:rtl/>
        </w:rPr>
        <w:t>)</w:t>
      </w:r>
      <w:r w:rsidRPr="00C85F0F">
        <w:rPr>
          <w:rFonts w:ascii="Traditional Arabic" w:hAnsi="Traditional Arabic"/>
          <w:noProof w:val="0"/>
          <w:rtl/>
          <w:lang w:eastAsia="en-US"/>
        </w:rPr>
        <w:t>.</w:t>
      </w:r>
    </w:p>
    <w:p w:rsidR="00D74CC0" w:rsidRPr="00FB0118" w:rsidRDefault="00D74CC0" w:rsidP="00467211">
      <w:pPr>
        <w:pStyle w:val="aff0"/>
        <w:rPr>
          <w:rtl/>
        </w:rPr>
      </w:pPr>
      <w:bookmarkStart w:id="504" w:name="_Toc334046680"/>
      <w:r w:rsidRPr="00FB0118">
        <w:rPr>
          <w:rFonts w:hint="cs"/>
          <w:rtl/>
        </w:rPr>
        <w:lastRenderedPageBreak/>
        <w:t>الفصل السادس</w:t>
      </w:r>
      <w:r w:rsidRPr="00FB0118">
        <w:rPr>
          <w:rFonts w:hint="eastAsia"/>
          <w:rtl/>
        </w:rPr>
        <w:t> :</w:t>
      </w:r>
      <w:r w:rsidRPr="00FB0118">
        <w:rPr>
          <w:rFonts w:hint="cs"/>
          <w:rtl/>
        </w:rPr>
        <w:t>الضوابط المتعلقة بباب الشركة وباب الإجارة</w:t>
      </w:r>
      <w:bookmarkEnd w:id="504"/>
    </w:p>
    <w:p w:rsidR="00D74CC0" w:rsidRPr="00FB0118" w:rsidRDefault="00D74CC0" w:rsidP="00597C20">
      <w:pPr>
        <w:spacing w:after="360" w:line="860" w:lineRule="exact"/>
        <w:ind w:right="851" w:firstLine="142"/>
        <w:rPr>
          <w:rFonts w:ascii="Traditional Arabic" w:hAnsi="Traditional Arabic"/>
          <w:b/>
          <w:bCs/>
          <w:u w:val="single"/>
          <w:rtl/>
        </w:rPr>
      </w:pPr>
      <w:r w:rsidRPr="00FB0118">
        <w:rPr>
          <w:rFonts w:ascii="Traditional Arabic" w:hAnsi="Traditional Arabic" w:hint="cs"/>
          <w:b/>
          <w:bCs/>
          <w:u w:val="single"/>
          <w:rtl/>
        </w:rPr>
        <w:t>وفيه ثلاثة مباحث:</w:t>
      </w:r>
    </w:p>
    <w:p w:rsidR="00D74CC0" w:rsidRPr="00C85F0F" w:rsidRDefault="00D74CC0" w:rsidP="00597C20">
      <w:pPr>
        <w:tabs>
          <w:tab w:val="left" w:pos="2833"/>
        </w:tabs>
        <w:ind w:left="2833" w:hanging="2268"/>
        <w:jc w:val="left"/>
        <w:rPr>
          <w:rtl/>
        </w:rPr>
      </w:pPr>
      <w:r w:rsidRPr="00FB0118">
        <w:rPr>
          <w:rFonts w:hint="cs"/>
          <w:b/>
          <w:bCs/>
          <w:rtl/>
        </w:rPr>
        <w:t>المبحث الأول:</w:t>
      </w:r>
      <w:r w:rsidR="002F34AD" w:rsidRPr="00C85F0F">
        <w:rPr>
          <w:rFonts w:hint="cs"/>
          <w:rtl/>
        </w:rPr>
        <w:tab/>
      </w:r>
      <w:r w:rsidR="00446D19">
        <w:rPr>
          <w:rFonts w:hint="cs"/>
          <w:rtl/>
        </w:rPr>
        <w:t xml:space="preserve">ضابط الوضيعة </w:t>
      </w:r>
      <w:r w:rsidRPr="00C85F0F">
        <w:rPr>
          <w:rFonts w:hint="cs"/>
          <w:rtl/>
        </w:rPr>
        <w:t xml:space="preserve"> </w:t>
      </w:r>
      <w:r w:rsidR="00446D19">
        <w:rPr>
          <w:rFonts w:hint="cs"/>
          <w:rtl/>
        </w:rPr>
        <w:t>ب</w:t>
      </w:r>
      <w:r w:rsidRPr="00C85F0F">
        <w:rPr>
          <w:rFonts w:hint="cs"/>
          <w:rtl/>
        </w:rPr>
        <w:t>قدر المال.</w:t>
      </w:r>
    </w:p>
    <w:p w:rsidR="00D74CC0" w:rsidRPr="00C85F0F" w:rsidRDefault="00D74CC0" w:rsidP="00597C20">
      <w:pPr>
        <w:tabs>
          <w:tab w:val="left" w:pos="2833"/>
        </w:tabs>
        <w:ind w:left="2833" w:hanging="2268"/>
        <w:jc w:val="left"/>
        <w:rPr>
          <w:rtl/>
        </w:rPr>
      </w:pPr>
      <w:r w:rsidRPr="00FB0118">
        <w:rPr>
          <w:rFonts w:hint="cs"/>
          <w:b/>
          <w:bCs/>
          <w:rtl/>
        </w:rPr>
        <w:t>المبحث الثاني:</w:t>
      </w:r>
      <w:r w:rsidR="002F34AD" w:rsidRPr="00C85F0F">
        <w:rPr>
          <w:rFonts w:hint="cs"/>
          <w:rtl/>
        </w:rPr>
        <w:tab/>
      </w:r>
      <w:r w:rsidRPr="00C85F0F">
        <w:rPr>
          <w:rFonts w:hint="cs"/>
          <w:rtl/>
        </w:rPr>
        <w:t xml:space="preserve"> ضابط الأصل في الشركة اشتراك الشريكين في المغنم والمغرم.</w:t>
      </w:r>
    </w:p>
    <w:p w:rsidR="00F228A9" w:rsidRPr="00C85F0F" w:rsidRDefault="00D74CC0" w:rsidP="00597C20">
      <w:pPr>
        <w:tabs>
          <w:tab w:val="left" w:pos="2833"/>
        </w:tabs>
        <w:ind w:left="2833" w:hanging="2268"/>
        <w:rPr>
          <w:rtl/>
        </w:rPr>
      </w:pPr>
      <w:r w:rsidRPr="00FB0118">
        <w:rPr>
          <w:rFonts w:hint="cs"/>
          <w:b/>
          <w:bCs/>
          <w:rtl/>
        </w:rPr>
        <w:t>المبحث الثالث:</w:t>
      </w:r>
      <w:r w:rsidR="002F34AD" w:rsidRPr="00C85F0F">
        <w:rPr>
          <w:rFonts w:hint="cs"/>
          <w:rtl/>
        </w:rPr>
        <w:tab/>
      </w:r>
      <w:r w:rsidRPr="00C85F0F">
        <w:rPr>
          <w:rFonts w:hint="cs"/>
          <w:rtl/>
        </w:rPr>
        <w:t>ضابط كل عمل لا يقع إلا قربة فلا يصح عقد الإجارة عليه، وما كان نفعه متعديا من القرب صح عقد الإجارة عليه.</w:t>
      </w:r>
    </w:p>
    <w:p w:rsidR="006431D6" w:rsidRPr="00C85F0F" w:rsidRDefault="00E1798A" w:rsidP="000F5C0F">
      <w:pPr>
        <w:pStyle w:val="aff2"/>
        <w:rPr>
          <w:rtl/>
        </w:rPr>
      </w:pPr>
      <w:bookmarkStart w:id="505" w:name="_Toc334046681"/>
      <w:r w:rsidRPr="00C85F0F">
        <w:rPr>
          <w:rFonts w:hint="cs"/>
          <w:rtl/>
        </w:rPr>
        <w:lastRenderedPageBreak/>
        <w:t>المبحث الأول</w:t>
      </w:r>
      <w:r w:rsidRPr="00C85F0F">
        <w:rPr>
          <w:rFonts w:hint="eastAsia"/>
          <w:rtl/>
        </w:rPr>
        <w:t> </w:t>
      </w:r>
      <w:r w:rsidRPr="00C85F0F">
        <w:rPr>
          <w:rFonts w:hint="cs"/>
          <w:rtl/>
        </w:rPr>
        <w:t>:</w:t>
      </w:r>
      <w:r w:rsidRPr="00C85F0F">
        <w:rPr>
          <w:rtl/>
        </w:rPr>
        <w:br/>
      </w:r>
      <w:r w:rsidR="006431D6" w:rsidRPr="00C85F0F">
        <w:rPr>
          <w:rFonts w:hint="cs"/>
          <w:rtl/>
        </w:rPr>
        <w:t>ضابط</w:t>
      </w:r>
      <w:r w:rsidR="006431D6" w:rsidRPr="00C85F0F">
        <w:rPr>
          <w:rtl/>
        </w:rPr>
        <w:br/>
      </w:r>
      <w:r w:rsidR="006431D6" w:rsidRPr="00C85F0F">
        <w:rPr>
          <w:rFonts w:hint="cs"/>
          <w:noProof w:val="0"/>
          <w:rtl/>
          <w:lang w:eastAsia="en-US"/>
        </w:rPr>
        <w:t>"</w:t>
      </w:r>
      <w:r w:rsidR="006431D6" w:rsidRPr="00C85F0F">
        <w:rPr>
          <w:noProof w:val="0"/>
          <w:rtl/>
          <w:lang w:eastAsia="en-US"/>
        </w:rPr>
        <w:t>الوضيعة بقدر المال</w:t>
      </w:r>
      <w:r w:rsidR="00AB0B9E" w:rsidRPr="00C85F0F">
        <w:rPr>
          <w:noProof w:val="0"/>
          <w:rtl/>
          <w:lang w:eastAsia="en-US"/>
        </w:rPr>
        <w:fldChar w:fldCharType="begin"/>
      </w:r>
      <w:r w:rsidR="00945AC4" w:rsidRPr="00C85F0F">
        <w:rPr>
          <w:noProof w:val="0"/>
          <w:lang w:eastAsia="en-US"/>
        </w:rPr>
        <w:instrText>XE</w:instrText>
      </w:r>
      <w:r w:rsidR="00945AC4" w:rsidRPr="00C85F0F">
        <w:rPr>
          <w:noProof w:val="0"/>
          <w:rtl/>
          <w:lang w:eastAsia="en-US"/>
        </w:rPr>
        <w:instrText xml:space="preserve"> "</w:instrText>
      </w:r>
      <w:r w:rsidR="00945AC4" w:rsidRPr="00C85F0F">
        <w:rPr>
          <w:rFonts w:hint="cs"/>
          <w:rtl/>
        </w:rPr>
        <w:instrText>الوضيعةبقدرالمال</w:instrText>
      </w:r>
      <w:r w:rsidR="00945AC4" w:rsidRPr="00C85F0F">
        <w:rPr>
          <w:rtl/>
        </w:rPr>
        <w:instrText>"\</w:instrText>
      </w:r>
      <w:r w:rsidR="00945AC4" w:rsidRPr="00C85F0F">
        <w:rPr>
          <w:rFonts w:cs="Arial"/>
        </w:rPr>
        <w:instrText>fd</w:instrText>
      </w:r>
      <w:r w:rsidR="00945AC4" w:rsidRPr="00C85F0F">
        <w:rPr>
          <w:rtl/>
        </w:rPr>
        <w:instrText>"</w:instrText>
      </w:r>
      <w:r w:rsidR="00AB0B9E" w:rsidRPr="00C85F0F">
        <w:rPr>
          <w:noProof w:val="0"/>
          <w:rtl/>
          <w:lang w:eastAsia="en-US"/>
        </w:rPr>
        <w:fldChar w:fldCharType="end"/>
      </w:r>
      <w:r w:rsidR="006431D6" w:rsidRPr="00C85F0F">
        <w:rPr>
          <w:rFonts w:hint="cs"/>
          <w:noProof w:val="0"/>
          <w:rtl/>
          <w:lang w:eastAsia="en-US"/>
        </w:rPr>
        <w:t>"</w:t>
      </w:r>
      <w:r w:rsidR="006431D6" w:rsidRPr="00C85F0F">
        <w:rPr>
          <w:rStyle w:val="af1"/>
          <w:b w:val="0"/>
          <w:bCs w:val="0"/>
          <w:szCs w:val="32"/>
          <w:rtl/>
        </w:rPr>
        <w:t>(</w:t>
      </w:r>
      <w:r w:rsidR="006431D6" w:rsidRPr="00C85F0F">
        <w:rPr>
          <w:rStyle w:val="af1"/>
          <w:b w:val="0"/>
          <w:bCs w:val="0"/>
          <w:szCs w:val="32"/>
          <w:rtl/>
        </w:rPr>
        <w:footnoteReference w:id="2187"/>
      </w:r>
      <w:r w:rsidR="006431D6" w:rsidRPr="00C85F0F">
        <w:rPr>
          <w:rStyle w:val="af1"/>
          <w:b w:val="0"/>
          <w:bCs w:val="0"/>
          <w:szCs w:val="32"/>
          <w:rtl/>
        </w:rPr>
        <w:t>)</w:t>
      </w:r>
      <w:bookmarkEnd w:id="505"/>
    </w:p>
    <w:p w:rsidR="00065E4B" w:rsidRPr="00C85F0F" w:rsidRDefault="00EB60EC" w:rsidP="00A8347C">
      <w:pPr>
        <w:pStyle w:val="aff3"/>
        <w:rPr>
          <w:rtl/>
        </w:rPr>
      </w:pPr>
      <w:bookmarkStart w:id="506" w:name="_Toc334046682"/>
      <w:r>
        <w:rPr>
          <w:rFonts w:hint="cs"/>
          <w:rtl/>
        </w:rPr>
        <w:t xml:space="preserve">                 </w:t>
      </w:r>
      <w:r w:rsidR="00CB5E35">
        <w:rPr>
          <w:rFonts w:hint="cs"/>
          <w:rtl/>
        </w:rPr>
        <w:t xml:space="preserve">                         </w:t>
      </w:r>
      <w:r w:rsidR="006431D6" w:rsidRPr="00C85F0F">
        <w:rPr>
          <w:rFonts w:hint="cs"/>
          <w:rtl/>
        </w:rPr>
        <w:t>المطلب الأول</w:t>
      </w:r>
      <w:r w:rsidR="004F5A0D" w:rsidRPr="00C85F0F">
        <w:rPr>
          <w:rFonts w:hint="eastAsia"/>
          <w:rtl/>
        </w:rPr>
        <w:t> :</w:t>
      </w:r>
      <w:r w:rsidR="004F5A0D" w:rsidRPr="00C85F0F">
        <w:rPr>
          <w:rFonts w:hint="cs"/>
          <w:rtl/>
        </w:rPr>
        <w:br/>
      </w:r>
      <w:r>
        <w:rPr>
          <w:rFonts w:hint="cs"/>
          <w:rtl/>
        </w:rPr>
        <w:t xml:space="preserve">               </w:t>
      </w:r>
      <w:r w:rsidR="00CB5E35">
        <w:rPr>
          <w:rFonts w:hint="cs"/>
          <w:rtl/>
        </w:rPr>
        <w:t xml:space="preserve">                            </w:t>
      </w:r>
      <w:r w:rsidR="006431D6" w:rsidRPr="00C85F0F">
        <w:rPr>
          <w:rFonts w:hint="cs"/>
          <w:rtl/>
        </w:rPr>
        <w:t>شرح الضابط</w:t>
      </w:r>
      <w:bookmarkEnd w:id="506"/>
    </w:p>
    <w:p w:rsidR="000A689C" w:rsidRPr="00C85F0F" w:rsidRDefault="00065E4B" w:rsidP="00597C20">
      <w:pPr>
        <w:pStyle w:val="53"/>
        <w:rPr>
          <w:rtl/>
        </w:rPr>
      </w:pPr>
      <w:r w:rsidRPr="00C85F0F">
        <w:rPr>
          <w:rFonts w:hint="cs"/>
          <w:rtl/>
        </w:rPr>
        <w:t>ا</w:t>
      </w:r>
      <w:r w:rsidR="006431D6" w:rsidRPr="00C85F0F">
        <w:rPr>
          <w:rFonts w:hint="cs"/>
          <w:rtl/>
        </w:rPr>
        <w:t>لوضيعة</w:t>
      </w:r>
      <w:r w:rsidR="00AB0B9E">
        <w:rPr>
          <w:rtl/>
        </w:rPr>
        <w:fldChar w:fldCharType="begin"/>
      </w:r>
      <w:r w:rsidR="00FB0118">
        <w:instrText xml:space="preserve"> XE "</w:instrText>
      </w:r>
      <w:r w:rsidR="00FB0118" w:rsidRPr="00FB0118">
        <w:rPr>
          <w:rFonts w:hint="cs"/>
          <w:b w:val="0"/>
          <w:bCs w:val="0"/>
          <w:rtl/>
        </w:rPr>
        <w:instrText>الوضيعة</w:instrText>
      </w:r>
      <w:r w:rsidR="00FB0118">
        <w:instrText xml:space="preserve">" </w:instrText>
      </w:r>
      <w:r w:rsidR="00FB0118" w:rsidRPr="00FB0118">
        <w:instrText xml:space="preserve">\fm </w:instrText>
      </w:r>
      <w:r w:rsidR="00AB0B9E">
        <w:rPr>
          <w:rtl/>
        </w:rPr>
        <w:fldChar w:fldCharType="end"/>
      </w:r>
      <w:r w:rsidR="006431D6" w:rsidRPr="00C85F0F">
        <w:rPr>
          <w:rFonts w:hint="cs"/>
          <w:rtl/>
        </w:rPr>
        <w:t xml:space="preserve"> لغة:</w:t>
      </w:r>
    </w:p>
    <w:p w:rsidR="00065E4B" w:rsidRPr="00C85F0F" w:rsidRDefault="006431D6" w:rsidP="00597C20">
      <w:pPr>
        <w:ind w:firstLine="720"/>
        <w:rPr>
          <w:color w:val="auto"/>
          <w:rtl/>
        </w:rPr>
      </w:pPr>
      <w:r w:rsidRPr="00C85F0F">
        <w:rPr>
          <w:rFonts w:hint="cs"/>
          <w:color w:val="auto"/>
          <w:rtl/>
        </w:rPr>
        <w:t>فعيلة بمعنى مفعولة، وهي الخسارة</w:t>
      </w:r>
      <w:r w:rsidRPr="00C85F0F">
        <w:rPr>
          <w:rStyle w:val="af1"/>
          <w:szCs w:val="32"/>
          <w:rtl/>
        </w:rPr>
        <w:t>(</w:t>
      </w:r>
      <w:r w:rsidRPr="00C85F0F">
        <w:rPr>
          <w:rStyle w:val="af1"/>
          <w:szCs w:val="32"/>
          <w:rtl/>
        </w:rPr>
        <w:footnoteReference w:id="2188"/>
      </w:r>
      <w:r w:rsidRPr="00C85F0F">
        <w:rPr>
          <w:rStyle w:val="af1"/>
          <w:szCs w:val="32"/>
          <w:rtl/>
        </w:rPr>
        <w:t>)</w:t>
      </w:r>
      <w:r w:rsidRPr="00C85F0F">
        <w:rPr>
          <w:rFonts w:hint="cs"/>
          <w:color w:val="auto"/>
          <w:rtl/>
        </w:rPr>
        <w:t>.</w:t>
      </w:r>
    </w:p>
    <w:p w:rsidR="00065E4B" w:rsidRPr="00C85F0F" w:rsidRDefault="00065E4B" w:rsidP="00597C20">
      <w:pPr>
        <w:ind w:firstLine="720"/>
        <w:rPr>
          <w:color w:val="auto"/>
          <w:rtl/>
        </w:rPr>
      </w:pPr>
      <w:r w:rsidRPr="00C85F0F">
        <w:rPr>
          <w:rFonts w:hint="cs"/>
          <w:color w:val="auto"/>
          <w:rtl/>
        </w:rPr>
        <w:t>ي</w:t>
      </w:r>
      <w:r w:rsidR="006431D6" w:rsidRPr="00C85F0F">
        <w:rPr>
          <w:rFonts w:hint="cs"/>
          <w:color w:val="auto"/>
          <w:rtl/>
        </w:rPr>
        <w:t xml:space="preserve">قول  ابن فارس </w:t>
      </w:r>
      <w:r w:rsidR="00CB5E35">
        <w:rPr>
          <w:rFonts w:hint="cs"/>
          <w:color w:val="auto"/>
          <w:rtl/>
        </w:rPr>
        <w:t>_</w:t>
      </w:r>
      <w:r w:rsidR="009A0575" w:rsidRPr="005D5694">
        <w:rPr>
          <w:rFonts w:ascii="Traditional Arabic" w:hAnsi="Traditional Arabic" w:cs="CTraditional Arabic" w:hint="cs"/>
          <w:rtl/>
        </w:rPr>
        <w:t>/</w:t>
      </w:r>
      <w:r w:rsidR="00CB5E35">
        <w:rPr>
          <w:rFonts w:hint="cs"/>
          <w:color w:val="auto"/>
          <w:rtl/>
        </w:rPr>
        <w:t>_</w:t>
      </w:r>
      <w:r w:rsidR="006431D6" w:rsidRPr="00C85F0F">
        <w:rPr>
          <w:rFonts w:hint="cs"/>
          <w:color w:val="auto"/>
          <w:rtl/>
        </w:rPr>
        <w:t xml:space="preserve">: </w:t>
      </w:r>
      <w:r w:rsidR="00B76414" w:rsidRPr="00C85F0F">
        <w:rPr>
          <w:rFonts w:hint="cs"/>
          <w:color w:val="auto"/>
          <w:rtl/>
        </w:rPr>
        <w:t>(</w:t>
      </w:r>
      <w:r w:rsidR="006431D6" w:rsidRPr="00C85F0F">
        <w:rPr>
          <w:rFonts w:ascii="Traditional Arabic" w:hAnsi="Traditional Arabic"/>
          <w:noProof w:val="0"/>
          <w:color w:val="auto"/>
          <w:rtl/>
          <w:lang w:eastAsia="en-US"/>
        </w:rPr>
        <w:t>الواو والضاد والعين: أصل واحد يدل على الخ</w:t>
      </w:r>
      <w:r w:rsidR="00CB5E35">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ف</w:t>
      </w:r>
      <w:r w:rsidR="00CB5E35">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ض للشيء وح</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ط</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ه</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 xml:space="preserve"> ووضعت</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ه بالأرض وضعا</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 ووضعت المرأة ولد</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ها.و و</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ض</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ع في تجارته يوض</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ع: خ</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س</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ر</w:t>
      </w:r>
      <w:r w:rsidR="006431D6" w:rsidRPr="00C85F0F">
        <w:rPr>
          <w:rFonts w:ascii="Traditional Arabic" w:hAnsi="Traditional Arabic" w:hint="cs"/>
          <w:noProof w:val="0"/>
          <w:color w:val="auto"/>
          <w:rtl/>
          <w:lang w:eastAsia="en-US"/>
        </w:rPr>
        <w:t>)</w:t>
      </w:r>
      <w:r w:rsidR="006431D6" w:rsidRPr="00C85F0F">
        <w:rPr>
          <w:rStyle w:val="af1"/>
          <w:szCs w:val="32"/>
          <w:rtl/>
        </w:rPr>
        <w:t>(</w:t>
      </w:r>
      <w:r w:rsidR="006431D6" w:rsidRPr="00C85F0F">
        <w:rPr>
          <w:rStyle w:val="af1"/>
          <w:szCs w:val="32"/>
          <w:rtl/>
        </w:rPr>
        <w:footnoteReference w:id="2189"/>
      </w:r>
      <w:r w:rsidR="006431D6" w:rsidRPr="00C85F0F">
        <w:rPr>
          <w:rStyle w:val="af1"/>
          <w:szCs w:val="32"/>
          <w:rtl/>
        </w:rPr>
        <w:t>)</w:t>
      </w:r>
      <w:r w:rsidR="006431D6" w:rsidRPr="00C85F0F">
        <w:rPr>
          <w:rFonts w:ascii="Traditional Arabic" w:hAnsi="Traditional Arabic"/>
          <w:noProof w:val="0"/>
          <w:color w:val="auto"/>
          <w:rtl/>
          <w:lang w:eastAsia="en-US"/>
        </w:rPr>
        <w:t>.</w:t>
      </w:r>
    </w:p>
    <w:p w:rsidR="00065E4B" w:rsidRPr="00C85F0F" w:rsidRDefault="00065E4B" w:rsidP="00597C20">
      <w:pPr>
        <w:pStyle w:val="53"/>
        <w:rPr>
          <w:rtl/>
        </w:rPr>
      </w:pPr>
      <w:r w:rsidRPr="00C85F0F">
        <w:rPr>
          <w:rFonts w:hint="cs"/>
          <w:rtl/>
        </w:rPr>
        <w:t>م</w:t>
      </w:r>
      <w:r w:rsidR="006431D6" w:rsidRPr="00C85F0F">
        <w:rPr>
          <w:rFonts w:hint="cs"/>
          <w:rtl/>
        </w:rPr>
        <w:t xml:space="preserve">عنى </w:t>
      </w:r>
      <w:r w:rsidR="006431D6" w:rsidRPr="00FB0118">
        <w:rPr>
          <w:rFonts w:hint="cs"/>
          <w:rtl/>
        </w:rPr>
        <w:t>الضابط</w:t>
      </w:r>
      <w:r w:rsidR="006431D6" w:rsidRPr="00C85F0F">
        <w:rPr>
          <w:rFonts w:hint="cs"/>
          <w:rtl/>
        </w:rPr>
        <w:t xml:space="preserve"> إجمالا:</w:t>
      </w:r>
    </w:p>
    <w:p w:rsidR="006431D6" w:rsidRPr="00C85F0F" w:rsidRDefault="00065E4B" w:rsidP="00597C20">
      <w:pPr>
        <w:widowControl/>
        <w:autoSpaceDE w:val="0"/>
        <w:autoSpaceDN w:val="0"/>
        <w:adjustRightInd w:val="0"/>
        <w:ind w:firstLine="720"/>
        <w:rPr>
          <w:rFonts w:ascii="Traditional Arabic" w:hAnsi="Traditional Arabic"/>
          <w:noProof w:val="0"/>
          <w:color w:val="auto"/>
          <w:sz w:val="44"/>
          <w:szCs w:val="44"/>
          <w:rtl/>
          <w:lang w:eastAsia="en-US"/>
        </w:rPr>
      </w:pPr>
      <w:r w:rsidRPr="00C85F0F">
        <w:rPr>
          <w:rFonts w:hint="cs"/>
          <w:color w:val="auto"/>
          <w:rtl/>
        </w:rPr>
        <w:t>ي</w:t>
      </w:r>
      <w:r w:rsidR="006431D6" w:rsidRPr="00C85F0F">
        <w:rPr>
          <w:rFonts w:hint="cs"/>
          <w:color w:val="auto"/>
          <w:rtl/>
        </w:rPr>
        <w:t xml:space="preserve">ُعدُّ هذا الضابط قاعدةً في جميع أنواع الشركة، ومعناه أن </w:t>
      </w:r>
      <w:r w:rsidR="006431D6" w:rsidRPr="00C85F0F">
        <w:rPr>
          <w:rFonts w:ascii="Traditional Arabic" w:hAnsi="Traditional Arabic"/>
          <w:noProof w:val="0"/>
          <w:rtl/>
          <w:lang w:eastAsia="en-US"/>
        </w:rPr>
        <w:t xml:space="preserve">الخسارة </w:t>
      </w:r>
      <w:r w:rsidR="006431D6" w:rsidRPr="00C85F0F">
        <w:rPr>
          <w:rFonts w:ascii="Traditional Arabic" w:hAnsi="Traditional Arabic" w:hint="cs"/>
          <w:noProof w:val="0"/>
          <w:rtl/>
          <w:lang w:eastAsia="en-US"/>
        </w:rPr>
        <w:t xml:space="preserve">في الشركة </w:t>
      </w:r>
      <w:r w:rsidR="00CB5E35">
        <w:rPr>
          <w:rFonts w:ascii="Traditional Arabic" w:hAnsi="Traditional Arabic" w:hint="cs"/>
          <w:noProof w:val="0"/>
          <w:rtl/>
          <w:lang w:eastAsia="en-US"/>
        </w:rPr>
        <w:t xml:space="preserve">تكون </w:t>
      </w:r>
      <w:r w:rsidR="006431D6" w:rsidRPr="00C85F0F">
        <w:rPr>
          <w:rFonts w:ascii="Traditional Arabic" w:hAnsi="Traditional Arabic"/>
          <w:noProof w:val="0"/>
          <w:rtl/>
          <w:lang w:eastAsia="en-US"/>
        </w:rPr>
        <w:t>على ق</w:t>
      </w:r>
      <w:r w:rsidR="00CB5E35">
        <w:rPr>
          <w:rFonts w:ascii="Traditional Arabic" w:hAnsi="Traditional Arabic" w:hint="cs"/>
          <w:noProof w:val="0"/>
          <w:rtl/>
          <w:lang w:eastAsia="en-US"/>
        </w:rPr>
        <w:t>َ</w:t>
      </w:r>
      <w:r w:rsidR="006431D6" w:rsidRPr="00C85F0F">
        <w:rPr>
          <w:rFonts w:ascii="Traditional Arabic" w:hAnsi="Traditional Arabic"/>
          <w:noProof w:val="0"/>
          <w:rtl/>
          <w:lang w:eastAsia="en-US"/>
        </w:rPr>
        <w:t>د</w:t>
      </w:r>
      <w:r w:rsidR="00CB5E35">
        <w:rPr>
          <w:rFonts w:ascii="Traditional Arabic" w:hAnsi="Traditional Arabic" w:hint="cs"/>
          <w:noProof w:val="0"/>
          <w:rtl/>
          <w:lang w:eastAsia="en-US"/>
        </w:rPr>
        <w:t>ْ</w:t>
      </w:r>
      <w:r w:rsidR="006431D6" w:rsidRPr="00C85F0F">
        <w:rPr>
          <w:rFonts w:ascii="Traditional Arabic" w:hAnsi="Traditional Arabic"/>
          <w:noProof w:val="0"/>
          <w:rtl/>
          <w:lang w:eastAsia="en-US"/>
        </w:rPr>
        <w:t>ر</w:t>
      </w:r>
      <w:r w:rsidR="00CB5E35">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مال</w:t>
      </w:r>
      <w:r w:rsidR="006431D6" w:rsidRPr="00C85F0F">
        <w:rPr>
          <w:rFonts w:ascii="Traditional Arabic" w:hAnsi="Traditional Arabic" w:hint="cs"/>
          <w:noProof w:val="0"/>
          <w:rtl/>
          <w:lang w:eastAsia="en-US"/>
        </w:rPr>
        <w:t xml:space="preserve"> الشركاء</w:t>
      </w:r>
      <w:r w:rsidR="006431D6" w:rsidRPr="00C85F0F">
        <w:rPr>
          <w:rFonts w:ascii="Traditional Arabic" w:hAnsi="Traditional Arabic"/>
          <w:noProof w:val="0"/>
          <w:rtl/>
          <w:lang w:eastAsia="en-US"/>
        </w:rPr>
        <w:t>، فلو جاء أحد</w:t>
      </w:r>
      <w:r w:rsidR="006431D6" w:rsidRPr="00C85F0F">
        <w:rPr>
          <w:rFonts w:ascii="Traditional Arabic" w:hAnsi="Traditional Arabic" w:hint="cs"/>
          <w:noProof w:val="0"/>
          <w:rtl/>
          <w:lang w:eastAsia="en-US"/>
        </w:rPr>
        <w:t xml:space="preserve"> الشريكين</w:t>
      </w:r>
      <w:r w:rsidR="006431D6" w:rsidRPr="00C85F0F">
        <w:rPr>
          <w:rFonts w:ascii="Traditional Arabic" w:hAnsi="Traditional Arabic"/>
          <w:noProof w:val="0"/>
          <w:rtl/>
          <w:lang w:eastAsia="en-US"/>
        </w:rPr>
        <w:t xml:space="preserve"> بعشرة آلاف وجاء الثاني بعشرين ألفا،</w:t>
      </w:r>
      <w:r w:rsidR="00CB5E35">
        <w:rPr>
          <w:rFonts w:ascii="Traditional Arabic" w:hAnsi="Traditional Arabic" w:hint="cs"/>
          <w:noProof w:val="0"/>
          <w:rtl/>
          <w:lang w:eastAsia="en-US"/>
        </w:rPr>
        <w:t xml:space="preserve"> </w:t>
      </w:r>
      <w:r w:rsidR="006431D6" w:rsidRPr="00C85F0F">
        <w:rPr>
          <w:rFonts w:ascii="Traditional Arabic" w:hAnsi="Traditional Arabic" w:hint="cs"/>
          <w:noProof w:val="0"/>
          <w:rtl/>
          <w:lang w:eastAsia="en-US"/>
        </w:rPr>
        <w:t>و</w:t>
      </w:r>
      <w:r w:rsidR="006431D6" w:rsidRPr="00C85F0F">
        <w:rPr>
          <w:rFonts w:ascii="Traditional Arabic" w:hAnsi="Traditional Arabic"/>
          <w:noProof w:val="0"/>
          <w:rtl/>
          <w:lang w:eastAsia="en-US"/>
        </w:rPr>
        <w:t>اتفق</w:t>
      </w:r>
      <w:r w:rsidR="006431D6" w:rsidRPr="00C85F0F">
        <w:rPr>
          <w:rFonts w:ascii="Traditional Arabic" w:hAnsi="Traditional Arabic" w:hint="cs"/>
          <w:noProof w:val="0"/>
          <w:rtl/>
          <w:lang w:eastAsia="en-US"/>
        </w:rPr>
        <w:t>ا</w:t>
      </w:r>
      <w:r w:rsidR="006431D6" w:rsidRPr="00C85F0F">
        <w:rPr>
          <w:rFonts w:ascii="Traditional Arabic" w:hAnsi="Traditional Arabic"/>
          <w:noProof w:val="0"/>
          <w:rtl/>
          <w:lang w:eastAsia="en-US"/>
        </w:rPr>
        <w:t xml:space="preserve"> على أن تكون الخسارة أنصافا</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 فهذا لا يصح؛ لأن الخسارة يجب أن تكون على قدر المال، وإذا خسرت</w:t>
      </w:r>
      <w:r w:rsidR="00CB5E35">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الشركة فعلى صاحب عشرة الآلاف ث</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لث الخسارة، وعلى صاحب العشرين ألفا</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الثلثان، ولا يصح أن تكون الخسارة على خلاف ذلك</w:t>
      </w:r>
      <w:r w:rsidR="006431D6" w:rsidRPr="00C85F0F">
        <w:rPr>
          <w:rFonts w:hint="cs"/>
          <w:color w:val="auto"/>
          <w:rtl/>
        </w:rPr>
        <w:t xml:space="preserve">، </w:t>
      </w:r>
      <w:r w:rsidR="006431D6" w:rsidRPr="00C85F0F">
        <w:rPr>
          <w:rFonts w:ascii="Traditional Arabic" w:hAnsi="Traditional Arabic" w:hint="cs"/>
          <w:noProof w:val="0"/>
          <w:rtl/>
          <w:lang w:eastAsia="en-US"/>
        </w:rPr>
        <w:t>و</w:t>
      </w:r>
      <w:r w:rsidR="006431D6" w:rsidRPr="00C85F0F">
        <w:rPr>
          <w:rFonts w:ascii="Traditional Arabic" w:hAnsi="Traditional Arabic"/>
          <w:noProof w:val="0"/>
          <w:rtl/>
          <w:lang w:eastAsia="en-US"/>
        </w:rPr>
        <w:t xml:space="preserve">لا يمكن أن </w:t>
      </w:r>
      <w:r w:rsidR="006431D6" w:rsidRPr="00C85F0F">
        <w:rPr>
          <w:rFonts w:ascii="Traditional Arabic" w:hAnsi="Traditional Arabic" w:hint="cs"/>
          <w:noProof w:val="0"/>
          <w:rtl/>
          <w:lang w:eastAsia="en-US"/>
        </w:rPr>
        <w:t>يحمَّ</w:t>
      </w:r>
      <w:r w:rsidR="006431D6" w:rsidRPr="00C85F0F">
        <w:rPr>
          <w:rFonts w:ascii="Traditional Arabic" w:hAnsi="Traditional Arabic"/>
          <w:noProof w:val="0"/>
          <w:rtl/>
          <w:lang w:eastAsia="en-US"/>
        </w:rPr>
        <w:t>ل أحد</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هما أكثر من خسارة مال</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ه؛ لأن معن</w:t>
      </w:r>
      <w:r w:rsidR="006431D6" w:rsidRPr="00C85F0F">
        <w:rPr>
          <w:rFonts w:ascii="Traditional Arabic" w:hAnsi="Traditional Arabic" w:hint="cs"/>
          <w:noProof w:val="0"/>
          <w:rtl/>
          <w:lang w:eastAsia="en-US"/>
        </w:rPr>
        <w:t>ى</w:t>
      </w:r>
      <w:r w:rsidR="00CB5E35">
        <w:rPr>
          <w:rFonts w:ascii="Traditional Arabic" w:hAnsi="Traditional Arabic" w:hint="cs"/>
          <w:noProof w:val="0"/>
          <w:rtl/>
          <w:lang w:eastAsia="en-US"/>
        </w:rPr>
        <w:t xml:space="preserve"> </w:t>
      </w:r>
      <w:r w:rsidR="006431D6" w:rsidRPr="00C85F0F">
        <w:rPr>
          <w:rFonts w:ascii="Traditional Arabic" w:hAnsi="Traditional Arabic" w:hint="cs"/>
          <w:noProof w:val="0"/>
          <w:rtl/>
          <w:lang w:eastAsia="en-US"/>
        </w:rPr>
        <w:t xml:space="preserve">ذلك </w:t>
      </w:r>
      <w:r w:rsidR="006431D6" w:rsidRPr="00C85F0F">
        <w:rPr>
          <w:rFonts w:ascii="Traditional Arabic" w:hAnsi="Traditional Arabic"/>
          <w:noProof w:val="0"/>
          <w:rtl/>
          <w:lang w:eastAsia="en-US"/>
        </w:rPr>
        <w:t>إضافة شيء من مال</w:t>
      </w:r>
      <w:r w:rsidR="00CB5E35">
        <w:rPr>
          <w:rFonts w:ascii="Traditional Arabic" w:hAnsi="Traditional Arabic" w:hint="cs"/>
          <w:noProof w:val="0"/>
          <w:rtl/>
          <w:lang w:eastAsia="en-US"/>
        </w:rPr>
        <w:t>ِ</w:t>
      </w:r>
      <w:r w:rsidR="006431D6" w:rsidRPr="00C85F0F">
        <w:rPr>
          <w:rFonts w:ascii="Traditional Arabic" w:hAnsi="Traditional Arabic"/>
          <w:noProof w:val="0"/>
          <w:rtl/>
          <w:lang w:eastAsia="en-US"/>
        </w:rPr>
        <w:t>ه إلى مال الآخ</w:t>
      </w:r>
      <w:r w:rsidR="00CB5E35">
        <w:rPr>
          <w:rFonts w:ascii="Traditional Arabic" w:hAnsi="Traditional Arabic" w:hint="cs"/>
          <w:noProof w:val="0"/>
          <w:rtl/>
          <w:lang w:eastAsia="en-US"/>
        </w:rPr>
        <w:t>َ</w:t>
      </w:r>
      <w:r w:rsidR="006431D6" w:rsidRPr="00C85F0F">
        <w:rPr>
          <w:rFonts w:ascii="Traditional Arabic" w:hAnsi="Traditional Arabic"/>
          <w:noProof w:val="0"/>
          <w:rtl/>
          <w:lang w:eastAsia="en-US"/>
        </w:rPr>
        <w:t>ر</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وهذا أكل</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للمال بالباطل</w:t>
      </w:r>
      <w:r w:rsidR="006431D6" w:rsidRPr="00C85F0F">
        <w:rPr>
          <w:rStyle w:val="af1"/>
          <w:szCs w:val="32"/>
          <w:rtl/>
        </w:rPr>
        <w:t>(</w:t>
      </w:r>
      <w:r w:rsidR="006431D6" w:rsidRPr="00C85F0F">
        <w:rPr>
          <w:rStyle w:val="af1"/>
          <w:szCs w:val="32"/>
          <w:rtl/>
        </w:rPr>
        <w:footnoteReference w:id="2190"/>
      </w:r>
      <w:r w:rsidR="006431D6" w:rsidRPr="00C85F0F">
        <w:rPr>
          <w:rStyle w:val="af1"/>
          <w:szCs w:val="32"/>
          <w:rtl/>
        </w:rPr>
        <w:t>)</w:t>
      </w:r>
      <w:r w:rsidR="006431D6" w:rsidRPr="00C85F0F">
        <w:rPr>
          <w:rFonts w:ascii="Traditional Arabic" w:hAnsi="Traditional Arabic" w:hint="cs"/>
          <w:noProof w:val="0"/>
          <w:rtl/>
          <w:lang w:eastAsia="en-US"/>
        </w:rPr>
        <w:t>.</w:t>
      </w:r>
    </w:p>
    <w:p w:rsidR="006431D6" w:rsidRPr="00C85F0F" w:rsidRDefault="00CB5E35" w:rsidP="00A8347C">
      <w:pPr>
        <w:pStyle w:val="aff3"/>
        <w:rPr>
          <w:rtl/>
        </w:rPr>
      </w:pPr>
      <w:bookmarkStart w:id="507" w:name="_Toc334046683"/>
      <w:r>
        <w:rPr>
          <w:rFonts w:hint="cs"/>
          <w:rtl/>
        </w:rPr>
        <w:lastRenderedPageBreak/>
        <w:t xml:space="preserve">                                             </w:t>
      </w:r>
      <w:r w:rsidR="006431D6" w:rsidRPr="00C85F0F">
        <w:rPr>
          <w:rFonts w:hint="cs"/>
          <w:rtl/>
        </w:rPr>
        <w:t>المطلب الثاني</w:t>
      </w:r>
      <w:r w:rsidR="004F5A0D" w:rsidRPr="00C85F0F">
        <w:rPr>
          <w:rFonts w:hint="eastAsia"/>
          <w:rtl/>
        </w:rPr>
        <w:t> :</w:t>
      </w:r>
      <w:r w:rsidR="004F5A0D" w:rsidRPr="00C85F0F">
        <w:rPr>
          <w:rFonts w:hint="cs"/>
          <w:rtl/>
        </w:rPr>
        <w:br/>
      </w:r>
      <w:r>
        <w:rPr>
          <w:rFonts w:hint="cs"/>
          <w:rtl/>
        </w:rPr>
        <w:t xml:space="preserve">                                              </w:t>
      </w:r>
      <w:r w:rsidR="006431D6" w:rsidRPr="00C85F0F">
        <w:rPr>
          <w:rFonts w:hint="cs"/>
          <w:rtl/>
        </w:rPr>
        <w:t>أدلة الضابط</w:t>
      </w:r>
      <w:bookmarkEnd w:id="507"/>
    </w:p>
    <w:p w:rsidR="006431D6" w:rsidRDefault="006431D6" w:rsidP="000A76C7">
      <w:pPr>
        <w:pStyle w:val="afc"/>
        <w:widowControl/>
        <w:numPr>
          <w:ilvl w:val="0"/>
          <w:numId w:val="307"/>
        </w:numPr>
        <w:autoSpaceDE w:val="0"/>
        <w:autoSpaceDN w:val="0"/>
        <w:adjustRightInd w:val="0"/>
        <w:rPr>
          <w:rFonts w:ascii="Traditional Arabic" w:hAnsi="Traditional Arabic"/>
          <w:noProof w:val="0"/>
          <w:color w:val="auto"/>
          <w:lang w:eastAsia="en-US"/>
        </w:rPr>
      </w:pPr>
      <w:r w:rsidRPr="00C85F0F">
        <w:rPr>
          <w:rFonts w:ascii="Traditional Arabic" w:hAnsi="Traditional Arabic" w:hint="cs"/>
          <w:noProof w:val="0"/>
          <w:color w:val="auto"/>
          <w:rtl/>
          <w:lang w:eastAsia="en-US"/>
        </w:rPr>
        <w:t xml:space="preserve">عن علي بن أبي طالب </w:t>
      </w:r>
      <w:r w:rsidR="009A0575" w:rsidRPr="00C85F0F">
        <w:rPr>
          <w:rFonts w:ascii="Traditional Arabic" w:hAnsi="Traditional Arabic" w:hint="cs"/>
          <w:rtl/>
        </w:rPr>
        <w:t>ا</w:t>
      </w:r>
      <w:r w:rsidRPr="00C85F0F">
        <w:rPr>
          <w:rFonts w:ascii="Traditional Arabic" w:hAnsi="Traditional Arabic"/>
          <w:noProof w:val="0"/>
          <w:color w:val="auto"/>
          <w:rtl/>
          <w:lang w:eastAsia="en-US"/>
        </w:rPr>
        <w:t>في المضاربة</w:t>
      </w:r>
      <w:r w:rsidRPr="00C85F0F">
        <w:rPr>
          <w:rFonts w:ascii="Traditional Arabic" w:hAnsi="Traditional Arabic" w:hint="cs"/>
          <w:noProof w:val="0"/>
          <w:color w:val="auto"/>
          <w:rtl/>
          <w:lang w:eastAsia="en-US"/>
        </w:rPr>
        <w:t xml:space="preserve"> أو الشِّرْكَين</w:t>
      </w:r>
      <w:r w:rsidR="00CB5E35">
        <w:rPr>
          <w:rFonts w:ascii="Traditional Arabic" w:hAnsi="Traditional Arabic" w:hint="cs"/>
          <w:noProof w:val="0"/>
          <w:color w:val="auto"/>
          <w:rtl/>
          <w:lang w:eastAsia="en-US"/>
        </w:rPr>
        <w:t xml:space="preserve"> </w:t>
      </w:r>
      <w:r w:rsidRPr="00C85F0F">
        <w:rPr>
          <w:rFonts w:ascii="Traditional Arabic" w:hAnsi="Traditional Arabic" w:hint="cs"/>
          <w:noProof w:val="0"/>
          <w:color w:val="auto"/>
          <w:rtl/>
          <w:lang w:eastAsia="en-US"/>
        </w:rPr>
        <w:t>أنه قال:"</w:t>
      </w:r>
      <w:r w:rsidRPr="00C85F0F">
        <w:rPr>
          <w:rFonts w:ascii="Traditional Arabic" w:hAnsi="Traditional Arabic"/>
          <w:noProof w:val="0"/>
          <w:color w:val="auto"/>
          <w:rtl/>
          <w:lang w:eastAsia="en-US"/>
        </w:rPr>
        <w:t>الوضيعة على المال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والربح على ما اصطلحوا عليه</w:t>
      </w:r>
      <w:r w:rsidR="00AB0B9E" w:rsidRPr="00C85F0F">
        <w:rPr>
          <w:rFonts w:ascii="Traditional Arabic" w:hAnsi="Traditional Arabic"/>
          <w:noProof w:val="0"/>
          <w:color w:val="auto"/>
          <w:lang w:eastAsia="en-US"/>
        </w:rPr>
        <w:fldChar w:fldCharType="begin"/>
      </w:r>
      <w:r w:rsidR="002C1436" w:rsidRPr="00C85F0F">
        <w:instrText>XE</w:instrText>
      </w:r>
      <w:r w:rsidR="002C1436" w:rsidRPr="00C85F0F">
        <w:rPr>
          <w:rtl/>
        </w:rPr>
        <w:instrText xml:space="preserve"> "</w:instrText>
      </w:r>
      <w:r w:rsidR="002C1436" w:rsidRPr="00C85F0F">
        <w:rPr>
          <w:rFonts w:ascii="Traditional Arabic" w:hAnsi="Traditional Arabic"/>
          <w:noProof w:val="0"/>
          <w:color w:val="auto"/>
          <w:rtl/>
          <w:lang w:eastAsia="en-US"/>
        </w:rPr>
        <w:instrText>الوضيعة على المال</w:instrText>
      </w:r>
      <w:r w:rsidR="002C1436" w:rsidRPr="00C85F0F">
        <w:rPr>
          <w:rFonts w:ascii="Traditional Arabic" w:hAnsi="Traditional Arabic" w:hint="cs"/>
          <w:noProof w:val="0"/>
          <w:color w:val="auto"/>
          <w:rtl/>
          <w:lang w:eastAsia="en-US"/>
        </w:rPr>
        <w:instrText>،</w:instrText>
      </w:r>
      <w:r w:rsidR="002C1436" w:rsidRPr="00C85F0F">
        <w:rPr>
          <w:rFonts w:ascii="Traditional Arabic" w:hAnsi="Traditional Arabic"/>
          <w:noProof w:val="0"/>
          <w:color w:val="auto"/>
          <w:rtl/>
          <w:lang w:eastAsia="en-US"/>
        </w:rPr>
        <w:instrText xml:space="preserve"> والربح على ما اصطلحوا عليه</w:instrText>
      </w:r>
      <w:r w:rsidR="002C1436" w:rsidRPr="00C85F0F">
        <w:rPr>
          <w:rtl/>
        </w:rPr>
        <w:instrText>" \</w:instrText>
      </w:r>
      <w:r w:rsidR="002C1436" w:rsidRPr="00C85F0F">
        <w:instrText>ft</w:instrText>
      </w:r>
      <w:r w:rsidR="00AB0B9E" w:rsidRPr="00C85F0F">
        <w:rPr>
          <w:rFonts w:ascii="Traditional Arabic" w:hAnsi="Traditional Arabic"/>
          <w:noProof w:val="0"/>
          <w:color w:val="auto"/>
          <w:lang w:eastAsia="en-US"/>
        </w:rPr>
        <w:fldChar w:fldCharType="end"/>
      </w:r>
      <w:r>
        <w:rPr>
          <w:rFonts w:ascii="Traditional Arabic" w:hAnsi="Traditional Arabic" w:hint="cs"/>
          <w:noProof w:val="0"/>
          <w:color w:val="auto"/>
          <w:rtl/>
          <w:lang w:eastAsia="en-US"/>
        </w:rPr>
        <w:t>"</w:t>
      </w:r>
      <w:r w:rsidRPr="00C821A1">
        <w:rPr>
          <w:rStyle w:val="af1"/>
          <w:szCs w:val="32"/>
          <w:rtl/>
        </w:rPr>
        <w:t>(</w:t>
      </w:r>
      <w:r w:rsidRPr="00C821A1">
        <w:rPr>
          <w:rStyle w:val="af1"/>
          <w:szCs w:val="32"/>
          <w:rtl/>
        </w:rPr>
        <w:footnoteReference w:id="2191"/>
      </w:r>
      <w:r w:rsidRPr="00C821A1">
        <w:rPr>
          <w:rStyle w:val="af1"/>
          <w:szCs w:val="32"/>
          <w:rtl/>
        </w:rPr>
        <w:t>)</w:t>
      </w:r>
      <w:r>
        <w:rPr>
          <w:rFonts w:ascii="Traditional Arabic" w:hAnsi="Traditional Arabic" w:hint="cs"/>
          <w:noProof w:val="0"/>
          <w:color w:val="auto"/>
          <w:rtl/>
          <w:lang w:eastAsia="en-US"/>
        </w:rPr>
        <w:t>.</w:t>
      </w:r>
    </w:p>
    <w:p w:rsidR="006431D6" w:rsidRPr="00ED2CCF" w:rsidRDefault="006431D6" w:rsidP="000A76C7">
      <w:pPr>
        <w:pStyle w:val="afc"/>
        <w:widowControl/>
        <w:numPr>
          <w:ilvl w:val="0"/>
          <w:numId w:val="307"/>
        </w:numPr>
        <w:autoSpaceDE w:val="0"/>
        <w:autoSpaceDN w:val="0"/>
        <w:adjustRightInd w:val="0"/>
        <w:rPr>
          <w:rFonts w:ascii="Traditional Arabic" w:hAnsi="Traditional Arabic"/>
          <w:noProof w:val="0"/>
          <w:color w:val="auto"/>
          <w:lang w:eastAsia="en-US"/>
        </w:rPr>
      </w:pPr>
      <w:r>
        <w:rPr>
          <w:rFonts w:ascii="Traditional Arabic" w:hAnsi="Traditional Arabic" w:hint="cs"/>
          <w:noProof w:val="0"/>
          <w:color w:val="auto"/>
          <w:rtl/>
          <w:lang w:eastAsia="en-US"/>
        </w:rPr>
        <w:t>ويمكن أن يُستدل</w:t>
      </w:r>
      <w:r w:rsidR="00CB5E35">
        <w:rPr>
          <w:rFonts w:ascii="Traditional Arabic" w:hAnsi="Traditional Arabic" w:hint="cs"/>
          <w:noProof w:val="0"/>
          <w:color w:val="auto"/>
          <w:rtl/>
          <w:lang w:eastAsia="en-US"/>
        </w:rPr>
        <w:t xml:space="preserve"> لهذا الضابط كذلك من جهة المعنى؛</w:t>
      </w:r>
      <w:r>
        <w:rPr>
          <w:rFonts w:ascii="Traditional Arabic" w:hAnsi="Traditional Arabic" w:hint="cs"/>
          <w:noProof w:val="0"/>
          <w:color w:val="auto"/>
          <w:rtl/>
          <w:lang w:eastAsia="en-US"/>
        </w:rPr>
        <w:t xml:space="preserve"> وذلك أنه </w:t>
      </w:r>
      <w:r>
        <w:rPr>
          <w:rFonts w:ascii="Traditional Arabic" w:hAnsi="Traditional Arabic"/>
          <w:noProof w:val="0"/>
          <w:rtl/>
          <w:lang w:eastAsia="en-US"/>
        </w:rPr>
        <w:t xml:space="preserve">لا يمكن أن </w:t>
      </w:r>
      <w:r>
        <w:rPr>
          <w:rFonts w:ascii="Traditional Arabic" w:hAnsi="Traditional Arabic" w:hint="cs"/>
          <w:noProof w:val="0"/>
          <w:rtl/>
          <w:lang w:eastAsia="en-US"/>
        </w:rPr>
        <w:t>يحمَّ</w:t>
      </w:r>
      <w:r w:rsidRPr="00A827C7">
        <w:rPr>
          <w:rFonts w:ascii="Traditional Arabic" w:hAnsi="Traditional Arabic"/>
          <w:noProof w:val="0"/>
          <w:rtl/>
          <w:lang w:eastAsia="en-US"/>
        </w:rPr>
        <w:t>ل أحد</w:t>
      </w:r>
      <w:r>
        <w:rPr>
          <w:rFonts w:ascii="Traditional Arabic" w:hAnsi="Traditional Arabic" w:hint="cs"/>
          <w:noProof w:val="0"/>
          <w:rtl/>
          <w:lang w:eastAsia="en-US"/>
        </w:rPr>
        <w:t>ُ الشريكين</w:t>
      </w:r>
      <w:r w:rsidRPr="00A827C7">
        <w:rPr>
          <w:rFonts w:ascii="Traditional Arabic" w:hAnsi="Traditional Arabic"/>
          <w:noProof w:val="0"/>
          <w:rtl/>
          <w:lang w:eastAsia="en-US"/>
        </w:rPr>
        <w:t xml:space="preserve"> أكثر</w:t>
      </w:r>
      <w:r>
        <w:rPr>
          <w:rFonts w:ascii="Traditional Arabic" w:hAnsi="Traditional Arabic" w:hint="cs"/>
          <w:noProof w:val="0"/>
          <w:rtl/>
          <w:lang w:eastAsia="en-US"/>
        </w:rPr>
        <w:t>َ</w:t>
      </w:r>
      <w:r w:rsidRPr="00A827C7">
        <w:rPr>
          <w:rFonts w:ascii="Traditional Arabic" w:hAnsi="Traditional Arabic"/>
          <w:noProof w:val="0"/>
          <w:rtl/>
          <w:lang w:eastAsia="en-US"/>
        </w:rPr>
        <w:t xml:space="preserve"> من خسارة مال</w:t>
      </w:r>
      <w:r>
        <w:rPr>
          <w:rFonts w:ascii="Traditional Arabic" w:hAnsi="Traditional Arabic" w:hint="cs"/>
          <w:noProof w:val="0"/>
          <w:rtl/>
          <w:lang w:eastAsia="en-US"/>
        </w:rPr>
        <w:t>ِ</w:t>
      </w:r>
      <w:r w:rsidRPr="00A827C7">
        <w:rPr>
          <w:rFonts w:ascii="Traditional Arabic" w:hAnsi="Traditional Arabic"/>
          <w:noProof w:val="0"/>
          <w:rtl/>
          <w:lang w:eastAsia="en-US"/>
        </w:rPr>
        <w:t>ه؛ لأن</w:t>
      </w:r>
      <w:r>
        <w:rPr>
          <w:rFonts w:ascii="Traditional Arabic" w:hAnsi="Traditional Arabic"/>
          <w:noProof w:val="0"/>
          <w:rtl/>
          <w:lang w:eastAsia="en-US"/>
        </w:rPr>
        <w:t xml:space="preserve"> معن</w:t>
      </w:r>
      <w:r>
        <w:rPr>
          <w:rFonts w:ascii="Traditional Arabic" w:hAnsi="Traditional Arabic" w:hint="cs"/>
          <w:noProof w:val="0"/>
          <w:rtl/>
          <w:lang w:eastAsia="en-US"/>
        </w:rPr>
        <w:t>ى</w:t>
      </w:r>
      <w:r w:rsidR="00446D19">
        <w:rPr>
          <w:rFonts w:ascii="Traditional Arabic" w:hAnsi="Traditional Arabic" w:hint="cs"/>
          <w:noProof w:val="0"/>
          <w:rtl/>
          <w:lang w:eastAsia="en-US"/>
        </w:rPr>
        <w:t xml:space="preserve"> </w:t>
      </w:r>
      <w:r>
        <w:rPr>
          <w:rFonts w:ascii="Traditional Arabic" w:hAnsi="Traditional Arabic" w:hint="cs"/>
          <w:noProof w:val="0"/>
          <w:rtl/>
          <w:lang w:eastAsia="en-US"/>
        </w:rPr>
        <w:t xml:space="preserve">ذلك </w:t>
      </w:r>
      <w:r w:rsidRPr="00A827C7">
        <w:rPr>
          <w:rFonts w:ascii="Traditional Arabic" w:hAnsi="Traditional Arabic"/>
          <w:noProof w:val="0"/>
          <w:rtl/>
          <w:lang w:eastAsia="en-US"/>
        </w:rPr>
        <w:t>إضافة شيء من مال</w:t>
      </w:r>
      <w:r>
        <w:rPr>
          <w:rFonts w:ascii="Traditional Arabic" w:hAnsi="Traditional Arabic" w:hint="cs"/>
          <w:noProof w:val="0"/>
          <w:rtl/>
          <w:lang w:eastAsia="en-US"/>
        </w:rPr>
        <w:t>ِ</w:t>
      </w:r>
      <w:r w:rsidRPr="00A827C7">
        <w:rPr>
          <w:rFonts w:ascii="Traditional Arabic" w:hAnsi="Traditional Arabic"/>
          <w:noProof w:val="0"/>
          <w:rtl/>
          <w:lang w:eastAsia="en-US"/>
        </w:rPr>
        <w:t>ه إلى مال الآخر</w:t>
      </w:r>
      <w:r>
        <w:rPr>
          <w:rFonts w:ascii="Traditional Arabic" w:hAnsi="Traditional Arabic" w:hint="cs"/>
          <w:noProof w:val="0"/>
          <w:rtl/>
          <w:lang w:eastAsia="en-US"/>
        </w:rPr>
        <w:t>،</w:t>
      </w:r>
      <w:r w:rsidRPr="00A827C7">
        <w:rPr>
          <w:rFonts w:ascii="Traditional Arabic" w:hAnsi="Traditional Arabic"/>
          <w:noProof w:val="0"/>
          <w:rtl/>
          <w:lang w:eastAsia="en-US"/>
        </w:rPr>
        <w:t xml:space="preserve"> وهذا أكل</w:t>
      </w:r>
      <w:r>
        <w:rPr>
          <w:rFonts w:ascii="Traditional Arabic" w:hAnsi="Traditional Arabic" w:hint="cs"/>
          <w:noProof w:val="0"/>
          <w:rtl/>
          <w:lang w:eastAsia="en-US"/>
        </w:rPr>
        <w:t>ٌ</w:t>
      </w:r>
      <w:r w:rsidRPr="00A827C7">
        <w:rPr>
          <w:rFonts w:ascii="Traditional Arabic" w:hAnsi="Traditional Arabic"/>
          <w:noProof w:val="0"/>
          <w:rtl/>
          <w:lang w:eastAsia="en-US"/>
        </w:rPr>
        <w:t xml:space="preserve"> للمال بالباطل</w:t>
      </w:r>
      <w:r w:rsidRPr="00C821A1">
        <w:rPr>
          <w:rStyle w:val="af1"/>
          <w:szCs w:val="32"/>
          <w:rtl/>
        </w:rPr>
        <w:t>(</w:t>
      </w:r>
      <w:r w:rsidRPr="00C821A1">
        <w:rPr>
          <w:rStyle w:val="af1"/>
          <w:szCs w:val="32"/>
          <w:rtl/>
        </w:rPr>
        <w:footnoteReference w:id="2192"/>
      </w:r>
      <w:r w:rsidRPr="00C821A1">
        <w:rPr>
          <w:rStyle w:val="af1"/>
          <w:szCs w:val="32"/>
          <w:rtl/>
        </w:rPr>
        <w:t>)</w:t>
      </w:r>
      <w:r>
        <w:rPr>
          <w:rFonts w:ascii="Traditional Arabic" w:hAnsi="Traditional Arabic" w:hint="cs"/>
          <w:noProof w:val="0"/>
          <w:rtl/>
          <w:lang w:eastAsia="en-US"/>
        </w:rPr>
        <w:t>.</w:t>
      </w:r>
    </w:p>
    <w:p w:rsidR="006431D6" w:rsidRPr="004F5A0D" w:rsidRDefault="00CB5E35" w:rsidP="00A8347C">
      <w:pPr>
        <w:pStyle w:val="aff3"/>
        <w:rPr>
          <w:rtl/>
        </w:rPr>
      </w:pPr>
      <w:bookmarkStart w:id="508" w:name="_Toc334046684"/>
      <w:r>
        <w:rPr>
          <w:rFonts w:hint="cs"/>
          <w:noProof w:val="0"/>
          <w:rtl/>
        </w:rPr>
        <w:t xml:space="preserve">                                            </w:t>
      </w:r>
      <w:r w:rsidR="006431D6" w:rsidRPr="00ED2CCF">
        <w:rPr>
          <w:rFonts w:hint="cs"/>
          <w:noProof w:val="0"/>
          <w:rtl/>
        </w:rPr>
        <w:t>المطلب</w:t>
      </w:r>
      <w:r>
        <w:rPr>
          <w:rFonts w:hint="cs"/>
          <w:rtl/>
        </w:rPr>
        <w:t xml:space="preserve"> </w:t>
      </w:r>
      <w:r w:rsidR="006431D6" w:rsidRPr="004F5A0D">
        <w:rPr>
          <w:rFonts w:hint="cs"/>
          <w:rtl/>
        </w:rPr>
        <w:t>الثالث</w:t>
      </w:r>
      <w:r w:rsidR="004F5A0D">
        <w:rPr>
          <w:rFonts w:hint="eastAsia"/>
          <w:rtl/>
        </w:rPr>
        <w:t> :</w:t>
      </w:r>
      <w:r w:rsidR="004F5A0D">
        <w:rPr>
          <w:rFonts w:hint="cs"/>
          <w:rtl/>
        </w:rPr>
        <w:br/>
      </w:r>
      <w:r>
        <w:rPr>
          <w:rFonts w:hint="cs"/>
          <w:rtl/>
        </w:rPr>
        <w:t xml:space="preserve">                                            </w:t>
      </w:r>
      <w:r w:rsidR="006431D6" w:rsidRPr="004F5A0D">
        <w:rPr>
          <w:rFonts w:hint="cs"/>
          <w:rtl/>
        </w:rPr>
        <w:t>تطبيقات الضابط</w:t>
      </w:r>
      <w:bookmarkEnd w:id="508"/>
    </w:p>
    <w:p w:rsidR="00F228A9" w:rsidRDefault="006431D6" w:rsidP="000A76C7">
      <w:pPr>
        <w:pStyle w:val="afc"/>
        <w:numPr>
          <w:ilvl w:val="0"/>
          <w:numId w:val="308"/>
        </w:numPr>
        <w:rPr>
          <w:color w:val="auto"/>
        </w:rPr>
      </w:pPr>
      <w:r>
        <w:rPr>
          <w:rFonts w:ascii="Traditional Arabic" w:hAnsi="Traditional Arabic"/>
          <w:noProof w:val="0"/>
          <w:rtl/>
          <w:lang w:eastAsia="en-US"/>
        </w:rPr>
        <w:t xml:space="preserve">لو </w:t>
      </w:r>
      <w:r>
        <w:rPr>
          <w:rFonts w:ascii="Traditional Arabic" w:hAnsi="Traditional Arabic" w:hint="cs"/>
          <w:noProof w:val="0"/>
          <w:rtl/>
          <w:lang w:eastAsia="en-US"/>
        </w:rPr>
        <w:t>كان</w:t>
      </w:r>
      <w:r w:rsidR="00CB5E35">
        <w:rPr>
          <w:rFonts w:ascii="Traditional Arabic" w:hAnsi="Traditional Arabic" w:hint="cs"/>
          <w:noProof w:val="0"/>
          <w:rtl/>
          <w:lang w:eastAsia="en-US"/>
        </w:rPr>
        <w:t xml:space="preserve"> </w:t>
      </w:r>
      <w:r>
        <w:rPr>
          <w:rFonts w:ascii="Traditional Arabic" w:hAnsi="Traditional Arabic" w:hint="cs"/>
          <w:noProof w:val="0"/>
          <w:rtl/>
          <w:lang w:eastAsia="en-US"/>
        </w:rPr>
        <w:t>رأس مال</w:t>
      </w:r>
      <w:r w:rsidR="00CB5E35">
        <w:rPr>
          <w:rFonts w:ascii="Traditional Arabic" w:hAnsi="Traditional Arabic" w:hint="cs"/>
          <w:noProof w:val="0"/>
          <w:rtl/>
          <w:lang w:eastAsia="en-US"/>
        </w:rPr>
        <w:t>ِ</w:t>
      </w:r>
      <w:r>
        <w:rPr>
          <w:rFonts w:ascii="Traditional Arabic" w:hAnsi="Traditional Arabic" w:hint="cs"/>
          <w:noProof w:val="0"/>
          <w:rtl/>
          <w:lang w:eastAsia="en-US"/>
        </w:rPr>
        <w:t xml:space="preserve"> </w:t>
      </w:r>
      <w:r>
        <w:rPr>
          <w:rFonts w:ascii="Traditional Arabic" w:hAnsi="Traditional Arabic"/>
          <w:noProof w:val="0"/>
          <w:rtl/>
          <w:lang w:eastAsia="en-US"/>
        </w:rPr>
        <w:t>أحد</w:t>
      </w:r>
      <w:r>
        <w:rPr>
          <w:rFonts w:ascii="Traditional Arabic" w:hAnsi="Traditional Arabic" w:hint="cs"/>
          <w:noProof w:val="0"/>
          <w:rtl/>
          <w:lang w:eastAsia="en-US"/>
        </w:rPr>
        <w:t xml:space="preserve"> الشريكين في الشركة</w:t>
      </w:r>
      <w:r w:rsidR="00CB5E35">
        <w:rPr>
          <w:rFonts w:ascii="Traditional Arabic" w:hAnsi="Traditional Arabic" w:hint="cs"/>
          <w:noProof w:val="0"/>
          <w:rtl/>
          <w:lang w:eastAsia="en-US"/>
        </w:rPr>
        <w:t xml:space="preserve"> </w:t>
      </w:r>
      <w:r w:rsidRPr="00F32E26">
        <w:rPr>
          <w:rFonts w:ascii="Traditional Arabic" w:hAnsi="Traditional Arabic"/>
          <w:noProof w:val="0"/>
          <w:rtl/>
          <w:lang w:eastAsia="en-US"/>
        </w:rPr>
        <w:t>عشرة آلاف</w:t>
      </w:r>
      <w:r>
        <w:rPr>
          <w:rFonts w:ascii="Traditional Arabic" w:hAnsi="Traditional Arabic" w:hint="cs"/>
          <w:noProof w:val="0"/>
          <w:rtl/>
          <w:lang w:eastAsia="en-US"/>
        </w:rPr>
        <w:t>،</w:t>
      </w:r>
      <w:r w:rsidRPr="00F32E26">
        <w:rPr>
          <w:rFonts w:ascii="Traditional Arabic" w:hAnsi="Traditional Arabic"/>
          <w:noProof w:val="0"/>
          <w:rtl/>
          <w:lang w:eastAsia="en-US"/>
        </w:rPr>
        <w:t xml:space="preserve"> و</w:t>
      </w:r>
      <w:r>
        <w:rPr>
          <w:rFonts w:ascii="Traditional Arabic" w:hAnsi="Traditional Arabic" w:hint="cs"/>
          <w:noProof w:val="0"/>
          <w:rtl/>
          <w:lang w:eastAsia="en-US"/>
        </w:rPr>
        <w:t>رأس مال الثاني</w:t>
      </w:r>
      <w:r>
        <w:rPr>
          <w:rFonts w:ascii="Traditional Arabic" w:hAnsi="Traditional Arabic"/>
          <w:noProof w:val="0"/>
          <w:rtl/>
          <w:lang w:eastAsia="en-US"/>
        </w:rPr>
        <w:t xml:space="preserve"> عشر</w:t>
      </w:r>
      <w:r>
        <w:rPr>
          <w:rFonts w:ascii="Traditional Arabic" w:hAnsi="Traditional Arabic" w:hint="cs"/>
          <w:noProof w:val="0"/>
          <w:rtl/>
          <w:lang w:eastAsia="en-US"/>
        </w:rPr>
        <w:t>ي</w:t>
      </w:r>
      <w:r w:rsidRPr="00F32E26">
        <w:rPr>
          <w:rFonts w:ascii="Traditional Arabic" w:hAnsi="Traditional Arabic"/>
          <w:noProof w:val="0"/>
          <w:rtl/>
          <w:lang w:eastAsia="en-US"/>
        </w:rPr>
        <w:t>ن ألف</w:t>
      </w:r>
      <w:r>
        <w:rPr>
          <w:rFonts w:ascii="Traditional Arabic" w:hAnsi="Traditional Arabic"/>
          <w:noProof w:val="0"/>
          <w:rtl/>
          <w:lang w:eastAsia="en-US"/>
        </w:rPr>
        <w:t>ا</w:t>
      </w:r>
      <w:r w:rsidR="00CB5E35">
        <w:rPr>
          <w:rFonts w:ascii="Traditional Arabic" w:hAnsi="Traditional Arabic" w:hint="cs"/>
          <w:noProof w:val="0"/>
          <w:rtl/>
          <w:lang w:eastAsia="en-US"/>
        </w:rPr>
        <w:t>ً</w:t>
      </w:r>
      <w:r>
        <w:rPr>
          <w:rFonts w:ascii="Traditional Arabic" w:hAnsi="Traditional Arabic"/>
          <w:noProof w:val="0"/>
          <w:rtl/>
          <w:lang w:eastAsia="en-US"/>
        </w:rPr>
        <w:t>،</w:t>
      </w:r>
      <w:r w:rsidR="00CB5E35">
        <w:rPr>
          <w:rFonts w:ascii="Traditional Arabic" w:hAnsi="Traditional Arabic" w:hint="cs"/>
          <w:noProof w:val="0"/>
          <w:rtl/>
          <w:lang w:eastAsia="en-US"/>
        </w:rPr>
        <w:t xml:space="preserve"> </w:t>
      </w:r>
      <w:r>
        <w:rPr>
          <w:rFonts w:ascii="Traditional Arabic" w:hAnsi="Traditional Arabic" w:hint="cs"/>
          <w:noProof w:val="0"/>
          <w:rtl/>
          <w:lang w:eastAsia="en-US"/>
        </w:rPr>
        <w:t>ف</w:t>
      </w:r>
      <w:r w:rsidRPr="00F32E26">
        <w:rPr>
          <w:rFonts w:ascii="Traditional Arabic" w:hAnsi="Traditional Arabic"/>
          <w:noProof w:val="0"/>
          <w:rtl/>
          <w:lang w:eastAsia="en-US"/>
        </w:rPr>
        <w:t>خسرت الشركة</w:t>
      </w:r>
      <w:r w:rsidR="00CB5E35">
        <w:rPr>
          <w:rFonts w:ascii="Traditional Arabic" w:hAnsi="Traditional Arabic" w:hint="cs"/>
          <w:noProof w:val="0"/>
          <w:rtl/>
          <w:lang w:eastAsia="en-US"/>
        </w:rPr>
        <w:t>ُ</w:t>
      </w:r>
      <w:r>
        <w:rPr>
          <w:rFonts w:ascii="Traditional Arabic" w:hAnsi="Traditional Arabic" w:hint="cs"/>
          <w:noProof w:val="0"/>
          <w:rtl/>
          <w:lang w:eastAsia="en-US"/>
        </w:rPr>
        <w:t>،</w:t>
      </w:r>
      <w:r>
        <w:rPr>
          <w:rFonts w:ascii="Traditional Arabic" w:hAnsi="Traditional Arabic"/>
          <w:noProof w:val="0"/>
          <w:rtl/>
          <w:lang w:eastAsia="en-US"/>
        </w:rPr>
        <w:t xml:space="preserve"> فعلى</w:t>
      </w:r>
      <w:r>
        <w:rPr>
          <w:rFonts w:ascii="Traditional Arabic" w:hAnsi="Traditional Arabic" w:hint="cs"/>
          <w:noProof w:val="0"/>
          <w:rtl/>
          <w:lang w:eastAsia="en-US"/>
        </w:rPr>
        <w:t xml:space="preserve"> الشريك الأول</w:t>
      </w:r>
      <w:r w:rsidRPr="00F32E26">
        <w:rPr>
          <w:rFonts w:ascii="Traditional Arabic" w:hAnsi="Traditional Arabic"/>
          <w:noProof w:val="0"/>
          <w:rtl/>
          <w:lang w:eastAsia="en-US"/>
        </w:rPr>
        <w:t xml:space="preserve"> ثلث</w:t>
      </w:r>
      <w:r>
        <w:rPr>
          <w:rFonts w:ascii="Traditional Arabic" w:hAnsi="Traditional Arabic"/>
          <w:noProof w:val="0"/>
          <w:rtl/>
          <w:lang w:eastAsia="en-US"/>
        </w:rPr>
        <w:t xml:space="preserve"> الخسارة، وعلى </w:t>
      </w:r>
      <w:r>
        <w:rPr>
          <w:rFonts w:ascii="Traditional Arabic" w:hAnsi="Traditional Arabic" w:hint="cs"/>
          <w:noProof w:val="0"/>
          <w:rtl/>
          <w:lang w:eastAsia="en-US"/>
        </w:rPr>
        <w:t>الثاني</w:t>
      </w:r>
      <w:r w:rsidRPr="00F32E26">
        <w:rPr>
          <w:rFonts w:ascii="Traditional Arabic" w:hAnsi="Traditional Arabic"/>
          <w:noProof w:val="0"/>
          <w:rtl/>
          <w:lang w:eastAsia="en-US"/>
        </w:rPr>
        <w:t xml:space="preserve"> الثلثان</w:t>
      </w:r>
      <w:r w:rsidRPr="00C821A1">
        <w:rPr>
          <w:rStyle w:val="af1"/>
          <w:szCs w:val="32"/>
          <w:rtl/>
        </w:rPr>
        <w:t>(</w:t>
      </w:r>
      <w:r w:rsidRPr="00C821A1">
        <w:rPr>
          <w:rStyle w:val="af1"/>
          <w:szCs w:val="32"/>
          <w:rtl/>
        </w:rPr>
        <w:footnoteReference w:id="2193"/>
      </w:r>
      <w:r w:rsidRPr="00C821A1">
        <w:rPr>
          <w:rStyle w:val="af1"/>
          <w:szCs w:val="32"/>
          <w:rtl/>
        </w:rPr>
        <w:t>)</w:t>
      </w:r>
      <w:r>
        <w:rPr>
          <w:rFonts w:ascii="Traditional Arabic" w:hAnsi="Traditional Arabic" w:hint="cs"/>
          <w:noProof w:val="0"/>
          <w:rtl/>
          <w:lang w:eastAsia="en-US"/>
        </w:rPr>
        <w:t>.</w:t>
      </w:r>
    </w:p>
    <w:p w:rsidR="006431D6" w:rsidRDefault="006431D6" w:rsidP="00597C20">
      <w:pPr>
        <w:pStyle w:val="53"/>
        <w:rPr>
          <w:rtl/>
        </w:rPr>
      </w:pPr>
      <w:r>
        <w:rPr>
          <w:rFonts w:hint="cs"/>
          <w:rtl/>
        </w:rPr>
        <w:t>وجه اندراج الفرع تحت الضابط:</w:t>
      </w:r>
    </w:p>
    <w:p w:rsidR="00F228A9" w:rsidRPr="000A689C" w:rsidRDefault="006431D6" w:rsidP="00597C20">
      <w:pPr>
        <w:ind w:firstLine="720"/>
        <w:rPr>
          <w:color w:val="auto"/>
          <w:rtl/>
        </w:rPr>
      </w:pPr>
      <w:r w:rsidRPr="000A689C">
        <w:rPr>
          <w:rFonts w:hint="cs"/>
          <w:color w:val="auto"/>
          <w:rtl/>
        </w:rPr>
        <w:t>لما كان المال بين الشريكين أثلاثاً، ثلث للأول وثلثان للثاني، كانت الخسارة على قدر ماليهما؛ لأن الوضيعة بقدر المال.</w:t>
      </w:r>
    </w:p>
    <w:p w:rsidR="006431D6" w:rsidRDefault="006431D6" w:rsidP="000A76C7">
      <w:pPr>
        <w:pStyle w:val="afc"/>
        <w:numPr>
          <w:ilvl w:val="0"/>
          <w:numId w:val="308"/>
        </w:numPr>
        <w:rPr>
          <w:color w:val="auto"/>
        </w:rPr>
      </w:pPr>
      <w:r>
        <w:rPr>
          <w:rFonts w:hint="cs"/>
          <w:color w:val="auto"/>
          <w:rtl/>
        </w:rPr>
        <w:t>الخسارة في شركة الوجوه</w:t>
      </w:r>
      <w:r w:rsidRPr="00C821A1">
        <w:rPr>
          <w:rStyle w:val="af1"/>
          <w:szCs w:val="32"/>
          <w:rtl/>
        </w:rPr>
        <w:t>(</w:t>
      </w:r>
      <w:r w:rsidRPr="00C821A1">
        <w:rPr>
          <w:rStyle w:val="af1"/>
          <w:szCs w:val="32"/>
          <w:rtl/>
        </w:rPr>
        <w:footnoteReference w:id="2194"/>
      </w:r>
      <w:r w:rsidRPr="00C821A1">
        <w:rPr>
          <w:rStyle w:val="af1"/>
          <w:szCs w:val="32"/>
          <w:rtl/>
        </w:rPr>
        <w:t>)</w:t>
      </w:r>
      <w:r>
        <w:rPr>
          <w:rFonts w:hint="cs"/>
          <w:color w:val="auto"/>
          <w:rtl/>
        </w:rPr>
        <w:t xml:space="preserve"> تكون على قدر م</w:t>
      </w:r>
      <w:r w:rsidR="00CB5E35">
        <w:rPr>
          <w:rFonts w:hint="cs"/>
          <w:color w:val="auto"/>
          <w:rtl/>
        </w:rPr>
        <w:t>ِ</w:t>
      </w:r>
      <w:r>
        <w:rPr>
          <w:rFonts w:hint="cs"/>
          <w:color w:val="auto"/>
          <w:rtl/>
        </w:rPr>
        <w:t>ل</w:t>
      </w:r>
      <w:r w:rsidR="00CB5E35">
        <w:rPr>
          <w:rFonts w:hint="cs"/>
          <w:color w:val="auto"/>
          <w:rtl/>
        </w:rPr>
        <w:t>ْ</w:t>
      </w:r>
      <w:r>
        <w:rPr>
          <w:rFonts w:hint="cs"/>
          <w:color w:val="auto"/>
          <w:rtl/>
        </w:rPr>
        <w:t xml:space="preserve">ك الشريكين، </w:t>
      </w:r>
      <w:r w:rsidRPr="00156E43">
        <w:rPr>
          <w:rFonts w:ascii="Traditional Arabic" w:hAnsi="Traditional Arabic"/>
          <w:noProof w:val="0"/>
          <w:rtl/>
          <w:lang w:eastAsia="en-US"/>
        </w:rPr>
        <w:t xml:space="preserve">فإذا اتفقا على أن </w:t>
      </w:r>
      <w:r w:rsidRPr="00156E43">
        <w:rPr>
          <w:rFonts w:ascii="Traditional Arabic" w:hAnsi="Traditional Arabic"/>
          <w:noProof w:val="0"/>
          <w:rtl/>
          <w:lang w:eastAsia="en-US"/>
        </w:rPr>
        <w:lastRenderedPageBreak/>
        <w:t>يكون لزيد</w:t>
      </w:r>
      <w:r>
        <w:rPr>
          <w:rFonts w:ascii="Traditional Arabic" w:hAnsi="Traditional Arabic" w:hint="cs"/>
          <w:noProof w:val="0"/>
          <w:rtl/>
          <w:lang w:eastAsia="en-US"/>
        </w:rPr>
        <w:t>ٍ</w:t>
      </w:r>
      <w:r w:rsidRPr="00156E43">
        <w:rPr>
          <w:rFonts w:ascii="Traditional Arabic" w:hAnsi="Traditional Arabic"/>
          <w:noProof w:val="0"/>
          <w:rtl/>
          <w:lang w:eastAsia="en-US"/>
        </w:rPr>
        <w:t xml:space="preserve"> قد</w:t>
      </w:r>
      <w:r>
        <w:rPr>
          <w:rFonts w:ascii="Traditional Arabic" w:hAnsi="Traditional Arabic" w:hint="cs"/>
          <w:noProof w:val="0"/>
          <w:rtl/>
          <w:lang w:eastAsia="en-US"/>
        </w:rPr>
        <w:t>ْ</w:t>
      </w:r>
      <w:r w:rsidRPr="00156E43">
        <w:rPr>
          <w:rFonts w:ascii="Traditional Arabic" w:hAnsi="Traditional Arabic"/>
          <w:noProof w:val="0"/>
          <w:rtl/>
          <w:lang w:eastAsia="en-US"/>
        </w:rPr>
        <w:t>ر الثلث، ولعمرو قدر الثلثين، وخسر المال، فيكون لعمرو قدر الثلثين من الخسارة، ولزيد قدر الثلث</w:t>
      </w:r>
      <w:r w:rsidRPr="00C821A1">
        <w:rPr>
          <w:rStyle w:val="af1"/>
          <w:szCs w:val="32"/>
          <w:rtl/>
        </w:rPr>
        <w:t>(</w:t>
      </w:r>
      <w:r w:rsidRPr="00C821A1">
        <w:rPr>
          <w:rStyle w:val="af1"/>
          <w:szCs w:val="32"/>
          <w:rtl/>
        </w:rPr>
        <w:footnoteReference w:id="2195"/>
      </w:r>
      <w:r w:rsidRPr="00C821A1">
        <w:rPr>
          <w:rStyle w:val="af1"/>
          <w:szCs w:val="32"/>
          <w:rtl/>
        </w:rPr>
        <w:t>)</w:t>
      </w:r>
      <w:r>
        <w:rPr>
          <w:rFonts w:hint="cs"/>
          <w:color w:val="auto"/>
          <w:rtl/>
        </w:rPr>
        <w:t>.</w:t>
      </w:r>
    </w:p>
    <w:p w:rsidR="006431D6" w:rsidRDefault="006431D6" w:rsidP="00597C20">
      <w:pPr>
        <w:pStyle w:val="53"/>
        <w:rPr>
          <w:rtl/>
        </w:rPr>
      </w:pPr>
      <w:r>
        <w:rPr>
          <w:rFonts w:hint="cs"/>
          <w:rtl/>
        </w:rPr>
        <w:t>وجه اندراج الفرع تحت الضابط:</w:t>
      </w:r>
    </w:p>
    <w:p w:rsidR="006431D6" w:rsidRDefault="00CB5E35" w:rsidP="00597C20">
      <w:pPr>
        <w:ind w:firstLine="720"/>
        <w:rPr>
          <w:color w:val="auto"/>
          <w:rtl/>
        </w:rPr>
      </w:pPr>
      <w:r>
        <w:rPr>
          <w:rFonts w:hint="cs"/>
          <w:color w:val="auto"/>
          <w:rtl/>
        </w:rPr>
        <w:t>إ</w:t>
      </w:r>
      <w:r w:rsidR="006431D6" w:rsidRPr="000A689C">
        <w:rPr>
          <w:rFonts w:hint="cs"/>
          <w:color w:val="auto"/>
          <w:rtl/>
        </w:rPr>
        <w:t>ن شركة الوجوه نوع من أنواع الشركات، والضابط أن الوضيعة على قدر المال في جميع الشركات</w:t>
      </w:r>
      <w:r w:rsidR="006431D6" w:rsidRPr="00C821A1">
        <w:rPr>
          <w:rStyle w:val="af1"/>
          <w:szCs w:val="32"/>
          <w:rtl/>
        </w:rPr>
        <w:t>(</w:t>
      </w:r>
      <w:r w:rsidR="006431D6" w:rsidRPr="00C821A1">
        <w:rPr>
          <w:rStyle w:val="af1"/>
          <w:szCs w:val="32"/>
          <w:rtl/>
        </w:rPr>
        <w:footnoteReference w:id="2196"/>
      </w:r>
      <w:r w:rsidR="006431D6" w:rsidRPr="00C821A1">
        <w:rPr>
          <w:rStyle w:val="af1"/>
          <w:szCs w:val="32"/>
          <w:rtl/>
        </w:rPr>
        <w:t>)</w:t>
      </w:r>
      <w:r w:rsidR="006431D6" w:rsidRPr="000A689C">
        <w:rPr>
          <w:rFonts w:hint="cs"/>
          <w:color w:val="auto"/>
          <w:rtl/>
        </w:rPr>
        <w:t>.</w:t>
      </w:r>
    </w:p>
    <w:p w:rsidR="00EB60EC" w:rsidRDefault="00EB60EC" w:rsidP="00597C20">
      <w:pPr>
        <w:ind w:firstLine="720"/>
        <w:rPr>
          <w:color w:val="auto"/>
          <w:rtl/>
        </w:rPr>
      </w:pPr>
    </w:p>
    <w:p w:rsidR="00EB60EC" w:rsidRPr="000A689C" w:rsidRDefault="00EB60EC" w:rsidP="00597C20">
      <w:pPr>
        <w:ind w:firstLine="720"/>
        <w:rPr>
          <w:color w:val="auto"/>
          <w:rtl/>
        </w:rPr>
      </w:pPr>
    </w:p>
    <w:p w:rsidR="006431D6" w:rsidRPr="00C85F0F" w:rsidRDefault="00E1798A" w:rsidP="000F5C0F">
      <w:pPr>
        <w:pStyle w:val="aff2"/>
        <w:rPr>
          <w:rtl/>
        </w:rPr>
      </w:pPr>
      <w:bookmarkStart w:id="509" w:name="_Toc334046685"/>
      <w:r w:rsidRPr="00D816CC">
        <w:rPr>
          <w:rFonts w:ascii="Traditional Arabic" w:hAnsi="Traditional Arabic" w:hint="cs"/>
          <w:rtl/>
        </w:rPr>
        <w:lastRenderedPageBreak/>
        <w:t>المبحث الثاني</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6431D6">
        <w:rPr>
          <w:rFonts w:hint="cs"/>
          <w:rtl/>
        </w:rPr>
        <w:t>ضابط</w:t>
      </w:r>
      <w:r w:rsidR="006431D6">
        <w:rPr>
          <w:rtl/>
        </w:rPr>
        <w:br/>
      </w:r>
      <w:r w:rsidR="006431D6">
        <w:rPr>
          <w:rFonts w:hint="cs"/>
          <w:rtl/>
        </w:rPr>
        <w:t>"الأصل في الشركة اشتراك الشريكين في المغنم والمغرم</w:t>
      </w:r>
      <w:r w:rsidR="00AB0B9E" w:rsidRPr="00C85F0F">
        <w:rPr>
          <w:rtl/>
        </w:rPr>
        <w:fldChar w:fldCharType="begin"/>
      </w:r>
      <w:r w:rsidR="00945AC4" w:rsidRPr="00C85F0F">
        <w:rPr>
          <w:rFonts w:hint="cs"/>
        </w:rPr>
        <w:instrText>XE</w:instrText>
      </w:r>
      <w:r w:rsidR="00945AC4" w:rsidRPr="00C85F0F">
        <w:rPr>
          <w:rtl/>
        </w:rPr>
        <w:instrText xml:space="preserve"> "</w:instrText>
      </w:r>
      <w:r w:rsidR="00945AC4" w:rsidRPr="00C85F0F">
        <w:rPr>
          <w:rFonts w:hint="cs"/>
          <w:rtl/>
        </w:rPr>
        <w:instrText>الأصلفيالشركةاشتراكالشريكينفيالمغنموالمغرم</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6431D6" w:rsidRPr="00C85F0F">
        <w:rPr>
          <w:rFonts w:hint="cs"/>
          <w:rtl/>
        </w:rPr>
        <w:t>"</w:t>
      </w:r>
      <w:r w:rsidR="006431D6" w:rsidRPr="00C85F0F">
        <w:rPr>
          <w:rStyle w:val="af1"/>
          <w:b w:val="0"/>
          <w:bCs w:val="0"/>
          <w:szCs w:val="32"/>
          <w:rtl/>
        </w:rPr>
        <w:t>(</w:t>
      </w:r>
      <w:r w:rsidR="006431D6" w:rsidRPr="00C85F0F">
        <w:rPr>
          <w:rStyle w:val="af1"/>
          <w:b w:val="0"/>
          <w:bCs w:val="0"/>
          <w:szCs w:val="32"/>
          <w:rtl/>
        </w:rPr>
        <w:footnoteReference w:id="2197"/>
      </w:r>
      <w:r w:rsidR="006431D6" w:rsidRPr="00C85F0F">
        <w:rPr>
          <w:rStyle w:val="af1"/>
          <w:b w:val="0"/>
          <w:bCs w:val="0"/>
          <w:szCs w:val="32"/>
          <w:rtl/>
        </w:rPr>
        <w:t>)</w:t>
      </w:r>
      <w:bookmarkEnd w:id="509"/>
    </w:p>
    <w:p w:rsidR="006431D6" w:rsidRPr="00C85F0F" w:rsidRDefault="00EB60EC" w:rsidP="00A8347C">
      <w:pPr>
        <w:pStyle w:val="aff3"/>
        <w:rPr>
          <w:rtl/>
        </w:rPr>
      </w:pPr>
      <w:bookmarkStart w:id="510" w:name="_Toc334046686"/>
      <w:r>
        <w:rPr>
          <w:rFonts w:hint="cs"/>
          <w:rtl/>
        </w:rPr>
        <w:t xml:space="preserve">                     </w:t>
      </w:r>
      <w:r w:rsidR="00CB5E35">
        <w:rPr>
          <w:rFonts w:hint="cs"/>
          <w:rtl/>
        </w:rPr>
        <w:t xml:space="preserve">                    </w:t>
      </w:r>
      <w:r w:rsidR="006431D6" w:rsidRPr="00C85F0F">
        <w:rPr>
          <w:rFonts w:hint="cs"/>
          <w:rtl/>
        </w:rPr>
        <w:t>المطلب الأول</w:t>
      </w:r>
      <w:r w:rsidR="004F5A0D" w:rsidRPr="00C85F0F">
        <w:rPr>
          <w:rFonts w:hint="eastAsia"/>
          <w:rtl/>
        </w:rPr>
        <w:t> :</w:t>
      </w:r>
      <w:r w:rsidR="004F5A0D" w:rsidRPr="00C85F0F">
        <w:rPr>
          <w:rFonts w:hint="cs"/>
          <w:rtl/>
        </w:rPr>
        <w:br/>
      </w:r>
      <w:r>
        <w:rPr>
          <w:rFonts w:hint="cs"/>
          <w:rtl/>
        </w:rPr>
        <w:t xml:space="preserve">                    </w:t>
      </w:r>
      <w:r w:rsidR="00CB5E35">
        <w:rPr>
          <w:rFonts w:hint="cs"/>
          <w:rtl/>
        </w:rPr>
        <w:t xml:space="preserve">                      </w:t>
      </w:r>
      <w:r w:rsidR="006431D6" w:rsidRPr="00C85F0F">
        <w:rPr>
          <w:rFonts w:hint="cs"/>
          <w:rtl/>
        </w:rPr>
        <w:t>شرح الضابط</w:t>
      </w:r>
      <w:bookmarkEnd w:id="510"/>
    </w:p>
    <w:p w:rsidR="000A689C" w:rsidRPr="00C85F0F" w:rsidRDefault="006431D6" w:rsidP="00597C20">
      <w:pPr>
        <w:pStyle w:val="53"/>
        <w:rPr>
          <w:rtl/>
        </w:rPr>
      </w:pPr>
      <w:r w:rsidRPr="00FB0118">
        <w:rPr>
          <w:rFonts w:hint="cs"/>
          <w:rtl/>
        </w:rPr>
        <w:t>المَغْنَم</w:t>
      </w:r>
      <w:r w:rsidR="00AB0B9E">
        <w:rPr>
          <w:rtl/>
        </w:rPr>
        <w:fldChar w:fldCharType="begin"/>
      </w:r>
      <w:r w:rsidR="00FB0118">
        <w:instrText xml:space="preserve"> XE "</w:instrText>
      </w:r>
      <w:r w:rsidR="00FB0118">
        <w:rPr>
          <w:rFonts w:hint="cs"/>
          <w:b w:val="0"/>
          <w:bCs w:val="0"/>
          <w:rtl/>
        </w:rPr>
        <w:instrText>الم</w:instrText>
      </w:r>
      <w:r w:rsidR="00FB0118" w:rsidRPr="00FB0118">
        <w:rPr>
          <w:rFonts w:hint="cs"/>
          <w:b w:val="0"/>
          <w:bCs w:val="0"/>
          <w:rtl/>
        </w:rPr>
        <w:instrText>غْنَم</w:instrText>
      </w:r>
      <w:r w:rsidR="00FB0118">
        <w:instrText xml:space="preserve">" </w:instrText>
      </w:r>
      <w:r w:rsidR="00FB0118" w:rsidRPr="00FB0118">
        <w:instrText xml:space="preserve">\fm </w:instrText>
      </w:r>
      <w:r w:rsidR="00AB0B9E">
        <w:rPr>
          <w:rtl/>
        </w:rPr>
        <w:fldChar w:fldCharType="end"/>
      </w:r>
      <w:r w:rsidRPr="00C85F0F">
        <w:rPr>
          <w:rFonts w:hint="cs"/>
          <w:rtl/>
        </w:rPr>
        <w:t xml:space="preserve"> لغة:</w:t>
      </w:r>
    </w:p>
    <w:p w:rsidR="006431D6" w:rsidRPr="00C85F0F" w:rsidRDefault="006431D6" w:rsidP="00597C20">
      <w:pPr>
        <w:ind w:firstLine="720"/>
        <w:rPr>
          <w:rtl/>
        </w:rPr>
      </w:pPr>
      <w:r w:rsidRPr="00C85F0F">
        <w:rPr>
          <w:rFonts w:hint="cs"/>
          <w:rtl/>
        </w:rPr>
        <w:t>الر</w:t>
      </w:r>
      <w:r w:rsidR="00CB5E35">
        <w:rPr>
          <w:rFonts w:hint="cs"/>
          <w:rtl/>
        </w:rPr>
        <w:t>ِّ</w:t>
      </w:r>
      <w:r w:rsidRPr="00C85F0F">
        <w:rPr>
          <w:rFonts w:hint="cs"/>
          <w:rtl/>
        </w:rPr>
        <w:t>بح</w:t>
      </w:r>
      <w:r w:rsidRPr="00C85F0F">
        <w:rPr>
          <w:rStyle w:val="af1"/>
          <w:szCs w:val="32"/>
          <w:rtl/>
        </w:rPr>
        <w:t>(</w:t>
      </w:r>
      <w:r w:rsidRPr="00C85F0F">
        <w:rPr>
          <w:rStyle w:val="af1"/>
          <w:szCs w:val="32"/>
          <w:rtl/>
        </w:rPr>
        <w:footnoteReference w:id="2198"/>
      </w:r>
      <w:r w:rsidRPr="00C85F0F">
        <w:rPr>
          <w:rStyle w:val="af1"/>
          <w:szCs w:val="32"/>
          <w:rtl/>
        </w:rPr>
        <w:t>)</w:t>
      </w:r>
      <w:r w:rsidRPr="00C85F0F">
        <w:rPr>
          <w:rFonts w:hint="cs"/>
          <w:rtl/>
        </w:rPr>
        <w:t>.</w:t>
      </w:r>
    </w:p>
    <w:p w:rsidR="000A689C" w:rsidRPr="00C85F0F" w:rsidRDefault="006431D6" w:rsidP="00597C20">
      <w:pPr>
        <w:pStyle w:val="53"/>
        <w:rPr>
          <w:rtl/>
        </w:rPr>
      </w:pPr>
      <w:r w:rsidRPr="00C85F0F">
        <w:rPr>
          <w:rFonts w:hint="cs"/>
          <w:rtl/>
        </w:rPr>
        <w:t>المَغْرَم</w:t>
      </w:r>
      <w:r w:rsidR="00EB60EC">
        <w:rPr>
          <w:rFonts w:hint="cs"/>
          <w:rtl/>
        </w:rPr>
        <w:t xml:space="preserve"> </w:t>
      </w:r>
      <w:r w:rsidR="00AB0B9E">
        <w:rPr>
          <w:rtl/>
        </w:rPr>
        <w:fldChar w:fldCharType="begin"/>
      </w:r>
      <w:r w:rsidR="00FB0118">
        <w:instrText xml:space="preserve"> XE "</w:instrText>
      </w:r>
      <w:r w:rsidR="00FB0118" w:rsidRPr="00FB0118">
        <w:rPr>
          <w:rFonts w:hint="cs"/>
          <w:b w:val="0"/>
          <w:bCs w:val="0"/>
          <w:rtl/>
        </w:rPr>
        <w:instrText>المغْرَم</w:instrText>
      </w:r>
      <w:r w:rsidR="00FB0118">
        <w:instrText xml:space="preserve">" </w:instrText>
      </w:r>
      <w:r w:rsidR="00FB0118" w:rsidRPr="00FB0118">
        <w:instrText xml:space="preserve">\fm </w:instrText>
      </w:r>
      <w:r w:rsidR="00AB0B9E">
        <w:rPr>
          <w:rtl/>
        </w:rPr>
        <w:fldChar w:fldCharType="end"/>
      </w:r>
      <w:r w:rsidRPr="00FB0118">
        <w:rPr>
          <w:rFonts w:hint="cs"/>
          <w:rtl/>
        </w:rPr>
        <w:t>لغة</w:t>
      </w:r>
      <w:r w:rsidRPr="00C85F0F">
        <w:rPr>
          <w:rFonts w:hint="cs"/>
          <w:rtl/>
        </w:rPr>
        <w:t>:</w:t>
      </w:r>
    </w:p>
    <w:p w:rsidR="006431D6" w:rsidRPr="00C85F0F" w:rsidRDefault="006431D6" w:rsidP="00597C20">
      <w:pPr>
        <w:ind w:firstLine="720"/>
        <w:rPr>
          <w:rtl/>
        </w:rPr>
      </w:pPr>
      <w:r w:rsidRPr="00C85F0F">
        <w:rPr>
          <w:rFonts w:hint="cs"/>
          <w:rtl/>
        </w:rPr>
        <w:t>الخسارة</w:t>
      </w:r>
      <w:r w:rsidRPr="00C85F0F">
        <w:rPr>
          <w:rStyle w:val="af1"/>
          <w:szCs w:val="32"/>
          <w:rtl/>
        </w:rPr>
        <w:t>(</w:t>
      </w:r>
      <w:r w:rsidRPr="00C85F0F">
        <w:rPr>
          <w:rStyle w:val="af1"/>
          <w:szCs w:val="32"/>
          <w:rtl/>
        </w:rPr>
        <w:footnoteReference w:id="2199"/>
      </w:r>
      <w:r w:rsidRPr="00C85F0F">
        <w:rPr>
          <w:rStyle w:val="af1"/>
          <w:szCs w:val="32"/>
          <w:rtl/>
        </w:rPr>
        <w:t>)</w:t>
      </w:r>
      <w:r w:rsidRPr="00C85F0F">
        <w:rPr>
          <w:rFonts w:hint="cs"/>
          <w:rtl/>
        </w:rPr>
        <w:t>.</w:t>
      </w:r>
    </w:p>
    <w:p w:rsidR="00065E4B" w:rsidRPr="00C85F0F" w:rsidRDefault="006431D6" w:rsidP="00597C20">
      <w:pPr>
        <w:pStyle w:val="53"/>
        <w:rPr>
          <w:rtl/>
        </w:rPr>
      </w:pPr>
      <w:r w:rsidRPr="00C85F0F">
        <w:rPr>
          <w:rFonts w:hint="cs"/>
          <w:rtl/>
        </w:rPr>
        <w:lastRenderedPageBreak/>
        <w:t>معنى الضابط إجمالا:</w:t>
      </w:r>
    </w:p>
    <w:p w:rsidR="006431D6" w:rsidRPr="00C85F0F" w:rsidRDefault="00065E4B" w:rsidP="00597C20">
      <w:pPr>
        <w:ind w:firstLine="720"/>
        <w:rPr>
          <w:rtl/>
        </w:rPr>
      </w:pPr>
      <w:r w:rsidRPr="00C85F0F">
        <w:rPr>
          <w:rFonts w:hint="cs"/>
          <w:rtl/>
        </w:rPr>
        <w:t>ا</w:t>
      </w:r>
      <w:r w:rsidR="006431D6" w:rsidRPr="00C85F0F">
        <w:rPr>
          <w:rFonts w:hint="cs"/>
          <w:rtl/>
        </w:rPr>
        <w:t>لقاعدة في الشركات أن مبناها على استواء الشُّرَكاء فيما يحصل لهما من الربح وما عليهما من الخسارة، على أن يكون الربح على ما شَرَطَه الشركاء</w:t>
      </w:r>
      <w:r w:rsidR="00CB5E35">
        <w:rPr>
          <w:rFonts w:hint="cs"/>
          <w:rtl/>
        </w:rPr>
        <w:t>،</w:t>
      </w:r>
      <w:r w:rsidR="006431D6" w:rsidRPr="00C85F0F">
        <w:rPr>
          <w:rFonts w:hint="cs"/>
          <w:rtl/>
        </w:rPr>
        <w:t xml:space="preserve"> وتكون الخسارة على قدر مالِ كل واحد منهم، ولا يكون أحدهما غانماً أو غارِماً دون الآخر</w:t>
      </w:r>
      <w:r w:rsidR="006431D6" w:rsidRPr="00C85F0F">
        <w:rPr>
          <w:rStyle w:val="af1"/>
          <w:szCs w:val="32"/>
          <w:rtl/>
        </w:rPr>
        <w:t>(</w:t>
      </w:r>
      <w:r w:rsidR="006431D6" w:rsidRPr="00C85F0F">
        <w:rPr>
          <w:rStyle w:val="af1"/>
          <w:szCs w:val="32"/>
          <w:rtl/>
        </w:rPr>
        <w:footnoteReference w:id="2200"/>
      </w:r>
      <w:r w:rsidR="006431D6" w:rsidRPr="00C85F0F">
        <w:rPr>
          <w:rStyle w:val="af1"/>
          <w:szCs w:val="32"/>
          <w:rtl/>
        </w:rPr>
        <w:t>)</w:t>
      </w:r>
      <w:r w:rsidR="006431D6" w:rsidRPr="00C85F0F">
        <w:rPr>
          <w:rFonts w:hint="cs"/>
          <w:rtl/>
        </w:rPr>
        <w:t>.</w:t>
      </w:r>
    </w:p>
    <w:p w:rsidR="006431D6" w:rsidRPr="00C85F0F" w:rsidRDefault="00CB5E35" w:rsidP="00A8347C">
      <w:pPr>
        <w:pStyle w:val="aff3"/>
        <w:rPr>
          <w:rtl/>
        </w:rPr>
      </w:pPr>
      <w:bookmarkStart w:id="511" w:name="_Toc334046687"/>
      <w:r>
        <w:rPr>
          <w:rFonts w:hint="cs"/>
          <w:rtl/>
        </w:rPr>
        <w:t xml:space="preserve">                                          </w:t>
      </w:r>
      <w:r w:rsidR="006431D6" w:rsidRPr="00C85F0F">
        <w:rPr>
          <w:rFonts w:hint="cs"/>
          <w:rtl/>
        </w:rPr>
        <w:t>المطلب الثاني</w:t>
      </w:r>
      <w:r w:rsidR="004F5A0D" w:rsidRPr="00C85F0F">
        <w:rPr>
          <w:rFonts w:hint="eastAsia"/>
          <w:rtl/>
        </w:rPr>
        <w:t> :</w:t>
      </w:r>
      <w:r w:rsidR="004F5A0D" w:rsidRPr="00C85F0F">
        <w:rPr>
          <w:rFonts w:hint="cs"/>
          <w:rtl/>
        </w:rPr>
        <w:br/>
      </w:r>
      <w:r>
        <w:rPr>
          <w:rFonts w:hint="cs"/>
          <w:rtl/>
        </w:rPr>
        <w:t xml:space="preserve">                                           </w:t>
      </w:r>
      <w:r w:rsidR="00446D19">
        <w:rPr>
          <w:rFonts w:hint="cs"/>
          <w:rtl/>
        </w:rPr>
        <w:t xml:space="preserve"> </w:t>
      </w:r>
      <w:r w:rsidR="006431D6" w:rsidRPr="00C85F0F">
        <w:rPr>
          <w:rFonts w:hint="cs"/>
          <w:rtl/>
        </w:rPr>
        <w:t>أدلة الضابط</w:t>
      </w:r>
      <w:bookmarkEnd w:id="511"/>
    </w:p>
    <w:p w:rsidR="006431D6" w:rsidRPr="00C85F0F" w:rsidRDefault="00446D19" w:rsidP="00446D19">
      <w:pPr>
        <w:ind w:firstLine="0"/>
        <w:rPr>
          <w:rtl/>
        </w:rPr>
      </w:pPr>
      <w:r>
        <w:rPr>
          <w:rFonts w:hint="cs"/>
          <w:rtl/>
        </w:rPr>
        <w:t xml:space="preserve">    </w:t>
      </w:r>
      <w:r w:rsidR="006431D6" w:rsidRPr="00C85F0F">
        <w:rPr>
          <w:rFonts w:hint="cs"/>
          <w:rtl/>
        </w:rPr>
        <w:t>يمكن أن يستدل له من جهة المعنى بأن اشتراط الاشتراك في الربح والخسارة بين الشركاء هو مقتضى العدل في عقد الشركة، والأصل في جميع العقود العدل</w:t>
      </w:r>
      <w:r w:rsidR="006431D6" w:rsidRPr="00C85F0F">
        <w:rPr>
          <w:rStyle w:val="af1"/>
          <w:szCs w:val="32"/>
          <w:rtl/>
        </w:rPr>
        <w:t>(</w:t>
      </w:r>
      <w:r w:rsidR="006431D6" w:rsidRPr="00C85F0F">
        <w:rPr>
          <w:rStyle w:val="af1"/>
          <w:szCs w:val="32"/>
          <w:rtl/>
        </w:rPr>
        <w:footnoteReference w:id="2201"/>
      </w:r>
      <w:r w:rsidR="006431D6" w:rsidRPr="00C85F0F">
        <w:rPr>
          <w:rStyle w:val="af1"/>
          <w:szCs w:val="32"/>
          <w:rtl/>
        </w:rPr>
        <w:t>)</w:t>
      </w:r>
      <w:r w:rsidR="006431D6" w:rsidRPr="00C85F0F">
        <w:rPr>
          <w:rFonts w:hint="cs"/>
          <w:rtl/>
        </w:rPr>
        <w:t>.</w:t>
      </w:r>
    </w:p>
    <w:p w:rsidR="006431D6" w:rsidRPr="00C85F0F" w:rsidRDefault="006431D6" w:rsidP="00597C20">
      <w:pPr>
        <w:ind w:firstLine="720"/>
        <w:rPr>
          <w:rtl/>
        </w:rPr>
      </w:pPr>
      <w:r w:rsidRPr="00C85F0F">
        <w:rPr>
          <w:rFonts w:hint="cs"/>
          <w:rtl/>
        </w:rPr>
        <w:t xml:space="preserve">يقول  ابن تيمية </w:t>
      </w:r>
      <w:r w:rsidR="00CB5E35">
        <w:rPr>
          <w:rFonts w:hint="cs"/>
          <w:rtl/>
        </w:rPr>
        <w:t>_</w:t>
      </w:r>
      <w:r w:rsidR="009A0575" w:rsidRPr="005D5694">
        <w:rPr>
          <w:rFonts w:ascii="Traditional Arabic" w:hAnsi="Traditional Arabic" w:cs="CTraditional Arabic" w:hint="cs"/>
          <w:rtl/>
        </w:rPr>
        <w:t>/</w:t>
      </w:r>
      <w:r w:rsidR="00CB5E35">
        <w:rPr>
          <w:rFonts w:hint="cs"/>
          <w:rtl/>
        </w:rPr>
        <w:t>_</w:t>
      </w:r>
      <w:r w:rsidRPr="00C85F0F">
        <w:rPr>
          <w:rFonts w:hint="cs"/>
          <w:rtl/>
        </w:rPr>
        <w:t>: (</w:t>
      </w:r>
      <w:r w:rsidRPr="00C85F0F">
        <w:rPr>
          <w:rFonts w:ascii="Traditional Arabic" w:hAnsi="Traditional Arabic"/>
          <w:noProof w:val="0"/>
          <w:rtl/>
          <w:lang w:eastAsia="en-US"/>
        </w:rPr>
        <w:t>فإن مبنى المشاركات على العدل بين الشريكين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فإذا 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أحدهما بربح دون الآخر لم يكن ذلك عدلا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بخلاف ما إذا كان لكل منهما جزء شائع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فإنهما يشتركان في المغنم والمغرم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 حصل ربح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اشتركا في</w:t>
      </w:r>
      <w:r w:rsidRPr="00C85F0F">
        <w:rPr>
          <w:rFonts w:ascii="Traditional Arabic" w:hAnsi="Traditional Arabic" w:hint="cs"/>
          <w:noProof w:val="0"/>
          <w:rtl/>
          <w:lang w:eastAsia="en-US"/>
        </w:rPr>
        <w:t xml:space="preserve"> المغنم،</w:t>
      </w:r>
      <w:r w:rsidRPr="00C85F0F">
        <w:rPr>
          <w:rFonts w:ascii="Traditional Arabic" w:hAnsi="Traditional Arabic"/>
          <w:noProof w:val="0"/>
          <w:rtl/>
          <w:lang w:eastAsia="en-US"/>
        </w:rPr>
        <w:t xml:space="preserve"> وإن لم يحصل شيء اشتركا في ال</w:t>
      </w:r>
      <w:r w:rsidRPr="00C85F0F">
        <w:rPr>
          <w:rFonts w:ascii="Traditional Arabic" w:hAnsi="Traditional Arabic" w:hint="cs"/>
          <w:noProof w:val="0"/>
          <w:rtl/>
          <w:lang w:eastAsia="en-US"/>
        </w:rPr>
        <w:t>حِرمان</w:t>
      </w:r>
      <w:r w:rsidRPr="00C85F0F">
        <w:rPr>
          <w:rFonts w:hint="cs"/>
          <w:rtl/>
        </w:rPr>
        <w:t>)</w:t>
      </w:r>
      <w:r w:rsidRPr="00C85F0F">
        <w:rPr>
          <w:rStyle w:val="af1"/>
          <w:szCs w:val="32"/>
          <w:rtl/>
        </w:rPr>
        <w:t>(</w:t>
      </w:r>
      <w:r w:rsidRPr="00C85F0F">
        <w:rPr>
          <w:rStyle w:val="af1"/>
          <w:szCs w:val="32"/>
          <w:rtl/>
        </w:rPr>
        <w:footnoteReference w:id="2202"/>
      </w:r>
      <w:r w:rsidRPr="00C85F0F">
        <w:rPr>
          <w:rStyle w:val="af1"/>
          <w:szCs w:val="32"/>
          <w:rtl/>
        </w:rPr>
        <w:t>)</w:t>
      </w:r>
      <w:r w:rsidRPr="00C85F0F">
        <w:rPr>
          <w:rFonts w:hint="cs"/>
          <w:rtl/>
        </w:rPr>
        <w:t>.</w:t>
      </w:r>
    </w:p>
    <w:p w:rsidR="006431D6" w:rsidRPr="00C85F0F" w:rsidRDefault="00CB5E35" w:rsidP="00A8347C">
      <w:pPr>
        <w:pStyle w:val="aff3"/>
        <w:rPr>
          <w:rtl/>
        </w:rPr>
      </w:pPr>
      <w:bookmarkStart w:id="512" w:name="_Toc334046688"/>
      <w:r>
        <w:rPr>
          <w:rFonts w:hint="cs"/>
          <w:rtl/>
        </w:rPr>
        <w:lastRenderedPageBreak/>
        <w:t xml:space="preserve">                                       </w:t>
      </w:r>
      <w:r w:rsidR="006431D6" w:rsidRPr="00C85F0F">
        <w:rPr>
          <w:rFonts w:hint="cs"/>
          <w:rtl/>
        </w:rPr>
        <w:t>المطلب الثالث</w:t>
      </w:r>
      <w:r w:rsidR="004F5A0D" w:rsidRPr="00C85F0F">
        <w:rPr>
          <w:rFonts w:hint="eastAsia"/>
          <w:rtl/>
        </w:rPr>
        <w:t> :</w:t>
      </w:r>
      <w:r w:rsidR="004F5A0D" w:rsidRPr="00C85F0F">
        <w:rPr>
          <w:rFonts w:hint="cs"/>
          <w:rtl/>
        </w:rPr>
        <w:br/>
      </w:r>
      <w:r>
        <w:rPr>
          <w:rFonts w:hint="cs"/>
          <w:rtl/>
        </w:rPr>
        <w:t xml:space="preserve">                                       </w:t>
      </w:r>
      <w:r w:rsidR="006431D6" w:rsidRPr="00C85F0F">
        <w:rPr>
          <w:rFonts w:hint="cs"/>
          <w:rtl/>
        </w:rPr>
        <w:t>تطبيقات الضابط</w:t>
      </w:r>
      <w:bookmarkEnd w:id="512"/>
    </w:p>
    <w:p w:rsidR="006431D6" w:rsidRPr="00C85F0F" w:rsidRDefault="006431D6" w:rsidP="000A76C7">
      <w:pPr>
        <w:pStyle w:val="afc"/>
        <w:widowControl/>
        <w:numPr>
          <w:ilvl w:val="0"/>
          <w:numId w:val="311"/>
        </w:numPr>
        <w:autoSpaceDE w:val="0"/>
        <w:autoSpaceDN w:val="0"/>
        <w:adjustRightInd w:val="0"/>
        <w:rPr>
          <w:rFonts w:ascii="Traditional Arabic" w:hAnsi="Traditional Arabic"/>
          <w:noProof w:val="0"/>
          <w:color w:val="auto"/>
          <w:lang w:eastAsia="en-US"/>
        </w:rPr>
      </w:pPr>
      <w:r w:rsidRPr="00C85F0F">
        <w:rPr>
          <w:rFonts w:ascii="Traditional Arabic" w:hAnsi="Traditional Arabic" w:hint="cs"/>
          <w:noProof w:val="0"/>
          <w:color w:val="auto"/>
          <w:rtl/>
          <w:lang w:eastAsia="en-US"/>
        </w:rPr>
        <w:t xml:space="preserve">إذا </w:t>
      </w:r>
      <w:r w:rsidRPr="00C85F0F">
        <w:rPr>
          <w:rFonts w:ascii="Traditional Arabic" w:hAnsi="Traditional Arabic"/>
          <w:noProof w:val="0"/>
          <w:color w:val="auto"/>
          <w:rtl/>
          <w:lang w:eastAsia="en-US"/>
        </w:rPr>
        <w:t>اشتر</w:t>
      </w:r>
      <w:r w:rsidRPr="00C85F0F">
        <w:rPr>
          <w:rFonts w:ascii="Traditional Arabic" w:hAnsi="Traditional Arabic" w:hint="cs"/>
          <w:noProof w:val="0"/>
          <w:color w:val="auto"/>
          <w:rtl/>
          <w:lang w:eastAsia="en-US"/>
        </w:rPr>
        <w:t>ك شخص مع آخر على أن</w:t>
      </w:r>
      <w:r w:rsidR="000E139F">
        <w:rPr>
          <w:rFonts w:ascii="Traditional Arabic" w:hAnsi="Traditional Arabic" w:hint="cs"/>
          <w:noProof w:val="0"/>
          <w:color w:val="auto"/>
          <w:rtl/>
          <w:lang w:eastAsia="en-US"/>
        </w:rPr>
        <w:t xml:space="preserve"> </w:t>
      </w:r>
      <w:r w:rsidRPr="00C85F0F">
        <w:rPr>
          <w:rFonts w:ascii="Traditional Arabic" w:hAnsi="Traditional Arabic" w:hint="cs"/>
          <w:noProof w:val="0"/>
          <w:color w:val="auto"/>
          <w:rtl/>
          <w:lang w:eastAsia="en-US"/>
        </w:rPr>
        <w:t>له</w:t>
      </w:r>
      <w:r w:rsidRPr="00C85F0F">
        <w:rPr>
          <w:rFonts w:ascii="Traditional Arabic" w:hAnsi="Traditional Arabic"/>
          <w:noProof w:val="0"/>
          <w:color w:val="auto"/>
          <w:rtl/>
          <w:lang w:eastAsia="en-US"/>
        </w:rPr>
        <w:t xml:space="preserve"> ربح</w:t>
      </w:r>
      <w:r w:rsidR="000E139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النصف الأول من السنة، ول</w:t>
      </w:r>
      <w:r w:rsidRPr="00C85F0F">
        <w:rPr>
          <w:rFonts w:ascii="Traditional Arabic" w:hAnsi="Traditional Arabic" w:hint="cs"/>
          <w:noProof w:val="0"/>
          <w:color w:val="auto"/>
          <w:rtl/>
          <w:lang w:eastAsia="en-US"/>
        </w:rPr>
        <w:t>لآخر</w:t>
      </w:r>
      <w:r w:rsidRPr="00C85F0F">
        <w:rPr>
          <w:rFonts w:ascii="Traditional Arabic" w:hAnsi="Traditional Arabic"/>
          <w:noProof w:val="0"/>
          <w:color w:val="auto"/>
          <w:rtl/>
          <w:lang w:eastAsia="en-US"/>
        </w:rPr>
        <w:t xml:space="preserve"> ربح النصف الثاني، فهذا لا يصح؛ لأن</w:t>
      </w:r>
      <w:r w:rsidRPr="00C85F0F">
        <w:rPr>
          <w:rFonts w:ascii="Traditional Arabic" w:hAnsi="Traditional Arabic" w:hint="cs"/>
          <w:noProof w:val="0"/>
          <w:color w:val="auto"/>
          <w:rtl/>
          <w:lang w:eastAsia="en-US"/>
        </w:rPr>
        <w:t>ه</w:t>
      </w:r>
      <w:r w:rsidRPr="00C85F0F">
        <w:rPr>
          <w:rFonts w:ascii="Traditional Arabic" w:hAnsi="Traditional Arabic"/>
          <w:noProof w:val="0"/>
          <w:color w:val="auto"/>
          <w:rtl/>
          <w:lang w:eastAsia="en-US"/>
        </w:rPr>
        <w:t xml:space="preserve"> ربما يربح في أول السنة كثيرا، وفي آخر السنة لا يربح إلا قليلا، أو لا يربح أصلا</w:t>
      </w:r>
      <w:r w:rsidRPr="00C85F0F">
        <w:rPr>
          <w:rFonts w:ascii="Traditional Arabic" w:hAnsi="Traditional Arabic" w:hint="cs"/>
          <w:noProof w:val="0"/>
          <w:color w:val="auto"/>
          <w:rtl/>
          <w:lang w:eastAsia="en-US"/>
        </w:rPr>
        <w:t>ً</w:t>
      </w:r>
      <w:r w:rsidRPr="00C85F0F">
        <w:rPr>
          <w:rStyle w:val="af1"/>
          <w:szCs w:val="32"/>
          <w:rtl/>
        </w:rPr>
        <w:t>(</w:t>
      </w:r>
      <w:r w:rsidRPr="00C85F0F">
        <w:rPr>
          <w:rStyle w:val="af1"/>
          <w:szCs w:val="32"/>
          <w:rtl/>
        </w:rPr>
        <w:footnoteReference w:id="2203"/>
      </w:r>
      <w:r w:rsidRPr="00C85F0F">
        <w:rPr>
          <w:rStyle w:val="af1"/>
          <w:szCs w:val="32"/>
          <w:rtl/>
        </w:rPr>
        <w:t>)</w:t>
      </w:r>
      <w:r w:rsidRPr="00C85F0F">
        <w:rPr>
          <w:rFonts w:ascii="Traditional Arabic" w:hAnsi="Traditional Arabic"/>
          <w:noProof w:val="0"/>
          <w:color w:val="auto"/>
          <w:rtl/>
          <w:lang w:eastAsia="en-US"/>
        </w:rPr>
        <w:t>.</w:t>
      </w:r>
    </w:p>
    <w:p w:rsidR="006431D6" w:rsidRPr="00C85F0F" w:rsidRDefault="006431D6" w:rsidP="00597C20">
      <w:pPr>
        <w:pStyle w:val="53"/>
      </w:pPr>
      <w:r w:rsidRPr="00C85F0F">
        <w:rPr>
          <w:rFonts w:hint="cs"/>
          <w:rtl/>
        </w:rPr>
        <w:t xml:space="preserve">وجه اندراج </w:t>
      </w:r>
      <w:r w:rsidRPr="00FB0118">
        <w:rPr>
          <w:rFonts w:hint="cs"/>
          <w:rtl/>
        </w:rPr>
        <w:t>الفرع</w:t>
      </w:r>
      <w:r w:rsidRPr="00C85F0F">
        <w:rPr>
          <w:rFonts w:hint="cs"/>
          <w:rtl/>
        </w:rPr>
        <w:t xml:space="preserve"> تحت الضابط:</w:t>
      </w:r>
    </w:p>
    <w:p w:rsidR="006431D6" w:rsidRPr="00C85F0F" w:rsidRDefault="00CB5E35" w:rsidP="00597C20">
      <w:pPr>
        <w:widowControl/>
        <w:autoSpaceDE w:val="0"/>
        <w:autoSpaceDN w:val="0"/>
        <w:adjustRightInd w:val="0"/>
        <w:ind w:firstLine="72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6431D6" w:rsidRPr="00C85F0F">
        <w:rPr>
          <w:rFonts w:ascii="Traditional Arabic" w:hAnsi="Traditional Arabic" w:hint="cs"/>
          <w:noProof w:val="0"/>
          <w:color w:val="auto"/>
          <w:rtl/>
          <w:lang w:eastAsia="en-US"/>
        </w:rPr>
        <w:t>ن الأصل في الشركة اشتراك الشريكين في المغنم والمغرم، وفي هذه المسألة قد يَغْنَم أو يَغْرَم أحدهما دون الآخر؛ لهذا لم يصح عقد الشركة فيها.</w:t>
      </w:r>
    </w:p>
    <w:p w:rsidR="006431D6" w:rsidRPr="00C85F0F" w:rsidRDefault="006431D6" w:rsidP="000A76C7">
      <w:pPr>
        <w:pStyle w:val="afc"/>
        <w:widowControl/>
        <w:numPr>
          <w:ilvl w:val="0"/>
          <w:numId w:val="311"/>
        </w:numPr>
        <w:autoSpaceDE w:val="0"/>
        <w:autoSpaceDN w:val="0"/>
        <w:adjustRightInd w:val="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وإذا اشتركا على أن له</w:t>
      </w:r>
      <w:r w:rsidRPr="00C85F0F">
        <w:rPr>
          <w:rFonts w:ascii="Traditional Arabic" w:hAnsi="Traditional Arabic"/>
          <w:noProof w:val="0"/>
          <w:color w:val="auto"/>
          <w:rtl/>
          <w:lang w:eastAsia="en-US"/>
        </w:rPr>
        <w:t xml:space="preserve"> ربح</w:t>
      </w:r>
      <w:r w:rsidRPr="00C85F0F">
        <w:rPr>
          <w:rFonts w:ascii="Traditional Arabic" w:hAnsi="Traditional Arabic" w:hint="cs"/>
          <w:noProof w:val="0"/>
          <w:color w:val="auto"/>
          <w:rtl/>
          <w:lang w:eastAsia="en-US"/>
        </w:rPr>
        <w:t>ُ</w:t>
      </w:r>
      <w:r w:rsidR="0053510A">
        <w:rPr>
          <w:rFonts w:ascii="Traditional Arabic" w:hAnsi="Traditional Arabic" w:hint="cs"/>
          <w:noProof w:val="0"/>
          <w:color w:val="auto"/>
          <w:rtl/>
          <w:lang w:eastAsia="en-US"/>
        </w:rPr>
        <w:t xml:space="preserve"> </w:t>
      </w:r>
      <w:r w:rsidRPr="00C85F0F">
        <w:rPr>
          <w:rFonts w:ascii="Traditional Arabic" w:hAnsi="Traditional Arabic" w:hint="cs"/>
          <w:noProof w:val="0"/>
          <w:color w:val="auto"/>
          <w:rtl/>
          <w:lang w:eastAsia="en-US"/>
        </w:rPr>
        <w:t xml:space="preserve">إحدى </w:t>
      </w:r>
      <w:r w:rsidRPr="00C85F0F">
        <w:rPr>
          <w:rFonts w:ascii="Traditional Arabic" w:hAnsi="Traditional Arabic"/>
          <w:noProof w:val="0"/>
          <w:color w:val="auto"/>
          <w:rtl/>
          <w:lang w:eastAsia="en-US"/>
        </w:rPr>
        <w:t>الس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فر</w:t>
      </w:r>
      <w:r w:rsidRPr="00C85F0F">
        <w:rPr>
          <w:rFonts w:ascii="Traditional Arabic" w:hAnsi="Traditional Arabic" w:hint="cs"/>
          <w:noProof w:val="0"/>
          <w:color w:val="auto"/>
          <w:rtl/>
          <w:lang w:eastAsia="en-US"/>
        </w:rPr>
        <w:t>تين</w:t>
      </w:r>
      <w:r w:rsidRPr="00C85F0F">
        <w:rPr>
          <w:rFonts w:ascii="Traditional Arabic" w:hAnsi="Traditional Arabic"/>
          <w:noProof w:val="0"/>
          <w:color w:val="auto"/>
          <w:rtl/>
          <w:lang w:eastAsia="en-US"/>
        </w:rPr>
        <w:t xml:space="preserve">، </w:t>
      </w:r>
      <w:r w:rsidRPr="00C85F0F">
        <w:rPr>
          <w:rFonts w:ascii="Traditional Arabic" w:hAnsi="Traditional Arabic" w:hint="cs"/>
          <w:noProof w:val="0"/>
          <w:color w:val="auto"/>
          <w:rtl/>
          <w:lang w:eastAsia="en-US"/>
        </w:rPr>
        <w:t xml:space="preserve">وللآخر ربح السَّفرة الثانية، </w:t>
      </w:r>
      <w:r w:rsidRPr="00C85F0F">
        <w:rPr>
          <w:rFonts w:ascii="Traditional Arabic" w:hAnsi="Traditional Arabic"/>
          <w:noProof w:val="0"/>
          <w:color w:val="auto"/>
          <w:rtl/>
          <w:lang w:eastAsia="en-US"/>
        </w:rPr>
        <w:t xml:space="preserve">فهذا لا يصح؛ لأنه قد يربح في </w:t>
      </w:r>
      <w:r w:rsidRPr="00C85F0F">
        <w:rPr>
          <w:rFonts w:ascii="Traditional Arabic" w:hAnsi="Traditional Arabic" w:hint="cs"/>
          <w:noProof w:val="0"/>
          <w:color w:val="auto"/>
          <w:rtl/>
          <w:lang w:eastAsia="en-US"/>
        </w:rPr>
        <w:t>إحدى السفرتين</w:t>
      </w:r>
      <w:r w:rsidRPr="00C85F0F">
        <w:rPr>
          <w:rFonts w:ascii="Traditional Arabic" w:hAnsi="Traditional Arabic"/>
          <w:noProof w:val="0"/>
          <w:color w:val="auto"/>
          <w:rtl/>
          <w:lang w:eastAsia="en-US"/>
        </w:rPr>
        <w:t xml:space="preserve">، ولا يربح في </w:t>
      </w:r>
      <w:r w:rsidRPr="00C85F0F">
        <w:rPr>
          <w:rFonts w:ascii="Traditional Arabic" w:hAnsi="Traditional Arabic" w:hint="cs"/>
          <w:noProof w:val="0"/>
          <w:color w:val="auto"/>
          <w:rtl/>
          <w:lang w:eastAsia="en-US"/>
        </w:rPr>
        <w:t>الأخرى،</w:t>
      </w:r>
      <w:r w:rsidR="0053510A">
        <w:rPr>
          <w:rFonts w:ascii="Traditional Arabic" w:hAnsi="Traditional Arabic"/>
          <w:noProof w:val="0"/>
          <w:color w:val="auto"/>
          <w:rtl/>
          <w:lang w:eastAsia="en-US"/>
        </w:rPr>
        <w:t xml:space="preserve"> والأصل في الشركة أن يشترك ا</w:t>
      </w:r>
      <w:r w:rsidR="0053510A">
        <w:rPr>
          <w:rFonts w:ascii="Traditional Arabic" w:hAnsi="Traditional Arabic" w:hint="cs"/>
          <w:noProof w:val="0"/>
          <w:color w:val="auto"/>
          <w:rtl/>
          <w:lang w:eastAsia="en-US"/>
        </w:rPr>
        <w:t>لإ</w:t>
      </w:r>
      <w:r w:rsidRPr="00C85F0F">
        <w:rPr>
          <w:rFonts w:ascii="Traditional Arabic" w:hAnsi="Traditional Arabic"/>
          <w:noProof w:val="0"/>
          <w:color w:val="auto"/>
          <w:rtl/>
          <w:lang w:eastAsia="en-US"/>
        </w:rPr>
        <w:t>ثنان في المغنم والمغرم</w:t>
      </w:r>
      <w:r w:rsidRPr="00C85F0F">
        <w:rPr>
          <w:rStyle w:val="af1"/>
          <w:szCs w:val="32"/>
          <w:rtl/>
        </w:rPr>
        <w:t>(</w:t>
      </w:r>
      <w:r w:rsidRPr="00C85F0F">
        <w:rPr>
          <w:rStyle w:val="af1"/>
          <w:szCs w:val="32"/>
          <w:rtl/>
        </w:rPr>
        <w:footnoteReference w:id="2204"/>
      </w:r>
      <w:r w:rsidRPr="00C85F0F">
        <w:rPr>
          <w:rStyle w:val="af1"/>
          <w:szCs w:val="32"/>
          <w:rtl/>
        </w:rPr>
        <w:t>)</w:t>
      </w:r>
      <w:r w:rsidRPr="00C85F0F">
        <w:rPr>
          <w:rFonts w:ascii="Traditional Arabic" w:hAnsi="Traditional Arabic"/>
          <w:noProof w:val="0"/>
          <w:color w:val="auto"/>
          <w:rtl/>
          <w:lang w:eastAsia="en-US"/>
        </w:rPr>
        <w:t>.</w:t>
      </w:r>
    </w:p>
    <w:p w:rsidR="006431D6" w:rsidRPr="00C85F0F" w:rsidRDefault="006431D6" w:rsidP="00597C20">
      <w:pPr>
        <w:pStyle w:val="53"/>
        <w:rPr>
          <w:rtl/>
        </w:rPr>
      </w:pPr>
      <w:r w:rsidRPr="00C85F0F">
        <w:rPr>
          <w:rFonts w:hint="cs"/>
          <w:rtl/>
        </w:rPr>
        <w:t xml:space="preserve">وجه اندراج </w:t>
      </w:r>
      <w:r w:rsidRPr="00FB0118">
        <w:rPr>
          <w:rFonts w:hint="cs"/>
          <w:rtl/>
        </w:rPr>
        <w:t>الفرع</w:t>
      </w:r>
      <w:r w:rsidRPr="00C85F0F">
        <w:rPr>
          <w:rFonts w:hint="cs"/>
          <w:rtl/>
        </w:rPr>
        <w:t xml:space="preserve"> تحت الضابط:</w:t>
      </w:r>
    </w:p>
    <w:p w:rsidR="006431D6" w:rsidRPr="00C85F0F" w:rsidRDefault="0053510A" w:rsidP="00597C20">
      <w:pPr>
        <w:ind w:firstLine="720"/>
        <w:rPr>
          <w:color w:val="auto"/>
          <w:rtl/>
        </w:rPr>
      </w:pPr>
      <w:r>
        <w:rPr>
          <w:rFonts w:hint="cs"/>
          <w:color w:val="auto"/>
          <w:rtl/>
        </w:rPr>
        <w:t>إ</w:t>
      </w:r>
      <w:r w:rsidR="006431D6" w:rsidRPr="00C85F0F">
        <w:rPr>
          <w:rFonts w:hint="cs"/>
          <w:color w:val="auto"/>
          <w:rtl/>
        </w:rPr>
        <w:t>ن الأصل في الشركة اشتراك الشريكين في المغنم والمغرم، وفي هذه المسألة قد يغنم أو يغرم احدهما دون الآخر؛ ولهذا لم يصح عقد الشركة فيها.</w:t>
      </w:r>
    </w:p>
    <w:p w:rsidR="00F228A9" w:rsidRPr="00C85F0F" w:rsidRDefault="006431D6" w:rsidP="000A76C7">
      <w:pPr>
        <w:pStyle w:val="afc"/>
        <w:numPr>
          <w:ilvl w:val="0"/>
          <w:numId w:val="311"/>
        </w:numPr>
        <w:rPr>
          <w:color w:val="auto"/>
        </w:rPr>
      </w:pPr>
      <w:r w:rsidRPr="00C85F0F">
        <w:rPr>
          <w:rFonts w:ascii="Traditional Arabic" w:hAnsi="Traditional Arabic"/>
          <w:noProof w:val="0"/>
          <w:color w:val="auto"/>
          <w:rtl/>
          <w:lang w:eastAsia="en-US"/>
        </w:rPr>
        <w:t>لو قال</w:t>
      </w:r>
      <w:r w:rsidRPr="00C85F0F">
        <w:rPr>
          <w:rFonts w:ascii="Traditional Arabic" w:hAnsi="Traditional Arabic" w:hint="cs"/>
          <w:noProof w:val="0"/>
          <w:color w:val="auto"/>
          <w:rtl/>
          <w:lang w:eastAsia="en-US"/>
        </w:rPr>
        <w:t xml:space="preserve"> رب الأرض للعامل: </w:t>
      </w:r>
      <w:r w:rsidRPr="00C85F0F">
        <w:rPr>
          <w:rFonts w:ascii="Traditional Arabic" w:hAnsi="Traditional Arabic"/>
          <w:noProof w:val="0"/>
          <w:color w:val="auto"/>
          <w:rtl/>
          <w:lang w:eastAsia="en-US"/>
        </w:rPr>
        <w:t>ساقيتك على هذا النخل على أن ثمرة العام لك، وثمرة الثاني لي، فهذا لا يجوز؛ لأنه غرر وجهالة</w:t>
      </w:r>
      <w:r w:rsidR="0053510A">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ويؤدي إلى النزاع، ويؤدي إلى المغرم</w:t>
      </w:r>
    </w:p>
    <w:p w:rsidR="006431D6" w:rsidRPr="00C85F0F" w:rsidRDefault="006431D6" w:rsidP="00597C20">
      <w:pPr>
        <w:pStyle w:val="afc"/>
        <w:ind w:left="1080" w:firstLine="0"/>
        <w:rPr>
          <w:color w:val="auto"/>
          <w:rtl/>
        </w:rPr>
      </w:pPr>
      <w:r w:rsidRPr="00C85F0F">
        <w:rPr>
          <w:rFonts w:ascii="Traditional Arabic" w:hAnsi="Traditional Arabic"/>
          <w:noProof w:val="0"/>
          <w:color w:val="auto"/>
          <w:rtl/>
          <w:lang w:eastAsia="en-US"/>
        </w:rPr>
        <w:t>أو المغنم لأحدهما دون الآخر، والأصل في الشركة اشتراك الشريكين في المغنم والمغرم</w:t>
      </w:r>
      <w:r w:rsidRPr="00C85F0F">
        <w:rPr>
          <w:rStyle w:val="af1"/>
          <w:szCs w:val="32"/>
          <w:rtl/>
        </w:rPr>
        <w:t>(</w:t>
      </w:r>
      <w:r w:rsidRPr="00C85F0F">
        <w:rPr>
          <w:rStyle w:val="af1"/>
          <w:szCs w:val="32"/>
          <w:rtl/>
        </w:rPr>
        <w:footnoteReference w:id="2205"/>
      </w:r>
      <w:r w:rsidRPr="00C85F0F">
        <w:rPr>
          <w:rStyle w:val="af1"/>
          <w:szCs w:val="32"/>
          <w:rtl/>
        </w:rPr>
        <w:t>)</w:t>
      </w:r>
      <w:r w:rsidRPr="00C85F0F">
        <w:rPr>
          <w:rFonts w:ascii="Traditional Arabic" w:hAnsi="Traditional Arabic"/>
          <w:noProof w:val="0"/>
          <w:color w:val="auto"/>
          <w:rtl/>
          <w:lang w:eastAsia="en-US"/>
        </w:rPr>
        <w:t>.</w:t>
      </w:r>
    </w:p>
    <w:p w:rsidR="006431D6" w:rsidRPr="00C85F0F" w:rsidRDefault="006431D6" w:rsidP="00597C20">
      <w:pPr>
        <w:pStyle w:val="53"/>
        <w:rPr>
          <w:rtl/>
        </w:rPr>
      </w:pPr>
      <w:r w:rsidRPr="00C85F0F">
        <w:rPr>
          <w:rFonts w:hint="cs"/>
          <w:rtl/>
        </w:rPr>
        <w:lastRenderedPageBreak/>
        <w:t>وجه اندراج الفرع تحت الضابط:</w:t>
      </w:r>
    </w:p>
    <w:p w:rsidR="006431D6" w:rsidRPr="00C85F0F" w:rsidRDefault="006431D6" w:rsidP="00597C20">
      <w:pPr>
        <w:ind w:firstLine="720"/>
        <w:rPr>
          <w:color w:val="auto"/>
          <w:rtl/>
        </w:rPr>
      </w:pPr>
      <w:r w:rsidRPr="00C85F0F">
        <w:rPr>
          <w:rFonts w:hint="cs"/>
          <w:color w:val="auto"/>
          <w:rtl/>
        </w:rPr>
        <w:t>هذا الشرط الذي اشترطه رب الأرض يؤدي إلى المغرم أو المغنم لأحدهما دون الآخر، والأصل في الشركة اشتراك الشريكين في المغنم والمغرم.</w:t>
      </w:r>
    </w:p>
    <w:p w:rsidR="00065E4B" w:rsidRPr="00C85F0F" w:rsidRDefault="0053510A" w:rsidP="00A8347C">
      <w:pPr>
        <w:pStyle w:val="aff3"/>
        <w:rPr>
          <w:rtl/>
        </w:rPr>
      </w:pPr>
      <w:bookmarkStart w:id="513" w:name="_Toc334046689"/>
      <w:r>
        <w:rPr>
          <w:rFonts w:hint="cs"/>
          <w:rtl/>
        </w:rPr>
        <w:t xml:space="preserve">                                          </w:t>
      </w:r>
      <w:r w:rsidR="006431D6" w:rsidRPr="00C85F0F">
        <w:rPr>
          <w:rFonts w:hint="cs"/>
          <w:rtl/>
        </w:rPr>
        <w:t>المطلب الرابع</w:t>
      </w:r>
      <w:r w:rsidR="004F5A0D" w:rsidRPr="00C85F0F">
        <w:rPr>
          <w:rFonts w:hint="eastAsia"/>
          <w:rtl/>
        </w:rPr>
        <w:t> :</w:t>
      </w:r>
      <w:r w:rsidR="004F5A0D" w:rsidRPr="00C85F0F">
        <w:rPr>
          <w:rFonts w:hint="cs"/>
          <w:rtl/>
        </w:rPr>
        <w:br/>
      </w:r>
      <w:r>
        <w:rPr>
          <w:rFonts w:hint="cs"/>
          <w:rtl/>
        </w:rPr>
        <w:t xml:space="preserve">        </w:t>
      </w:r>
      <w:r w:rsidR="00446D19">
        <w:rPr>
          <w:rFonts w:hint="cs"/>
          <w:rtl/>
        </w:rPr>
        <w:t xml:space="preserve">                              </w:t>
      </w:r>
      <w:r w:rsidR="006431D6" w:rsidRPr="00C85F0F">
        <w:rPr>
          <w:rFonts w:hint="cs"/>
          <w:rtl/>
        </w:rPr>
        <w:t>م</w:t>
      </w:r>
      <w:r w:rsidR="00446D19">
        <w:rPr>
          <w:rFonts w:hint="cs"/>
          <w:rtl/>
        </w:rPr>
        <w:t>ا يستثنى</w:t>
      </w:r>
      <w:r w:rsidR="006431D6" w:rsidRPr="00C85F0F">
        <w:rPr>
          <w:rFonts w:hint="cs"/>
          <w:rtl/>
        </w:rPr>
        <w:t xml:space="preserve"> </w:t>
      </w:r>
      <w:r w:rsidR="00446D19">
        <w:rPr>
          <w:rFonts w:hint="cs"/>
          <w:rtl/>
        </w:rPr>
        <w:t xml:space="preserve">من </w:t>
      </w:r>
      <w:r w:rsidR="006431D6" w:rsidRPr="00C85F0F">
        <w:rPr>
          <w:rFonts w:hint="cs"/>
          <w:rtl/>
        </w:rPr>
        <w:t>الضابط</w:t>
      </w:r>
      <w:bookmarkEnd w:id="513"/>
    </w:p>
    <w:p w:rsidR="000E139F" w:rsidRDefault="00065E4B" w:rsidP="00597C20">
      <w:pPr>
        <w:ind w:firstLine="720"/>
        <w:rPr>
          <w:color w:val="auto"/>
          <w:rtl/>
        </w:rPr>
      </w:pPr>
      <w:r w:rsidRPr="00C85F0F">
        <w:rPr>
          <w:rFonts w:hint="cs"/>
          <w:color w:val="auto"/>
          <w:rtl/>
        </w:rPr>
        <w:t>م</w:t>
      </w:r>
      <w:r w:rsidR="006431D6" w:rsidRPr="00C85F0F">
        <w:rPr>
          <w:rFonts w:hint="cs"/>
          <w:color w:val="auto"/>
          <w:rtl/>
        </w:rPr>
        <w:t>ما يستثنى من الشركات في هذا الضابط شركة المضاربة.</w:t>
      </w:r>
    </w:p>
    <w:p w:rsidR="006431D6" w:rsidRPr="00C85F0F" w:rsidRDefault="006431D6" w:rsidP="00597C20">
      <w:pPr>
        <w:ind w:firstLine="720"/>
        <w:rPr>
          <w:color w:val="auto"/>
        </w:rPr>
      </w:pPr>
      <w:r w:rsidRPr="00C85F0F">
        <w:rPr>
          <w:rFonts w:hint="cs"/>
          <w:color w:val="auto"/>
          <w:rtl/>
        </w:rPr>
        <w:t xml:space="preserve">يقول الشيخ ابن عثيمين </w:t>
      </w:r>
      <w:r w:rsidR="0053510A">
        <w:rPr>
          <w:rFonts w:hint="cs"/>
          <w:color w:val="auto"/>
          <w:rtl/>
        </w:rPr>
        <w:t>_</w:t>
      </w:r>
      <w:r w:rsidR="009A0575" w:rsidRPr="005D5694">
        <w:rPr>
          <w:rFonts w:ascii="Traditional Arabic" w:hAnsi="Traditional Arabic" w:cs="CTraditional Arabic" w:hint="cs"/>
          <w:rtl/>
        </w:rPr>
        <w:t>/</w:t>
      </w:r>
      <w:r w:rsidR="0053510A">
        <w:rPr>
          <w:rFonts w:hint="cs"/>
          <w:color w:val="auto"/>
          <w:rtl/>
        </w:rPr>
        <w:t>_</w:t>
      </w:r>
      <w:r w:rsidRPr="00C85F0F">
        <w:rPr>
          <w:rFonts w:hint="cs"/>
          <w:color w:val="auto"/>
          <w:rtl/>
        </w:rPr>
        <w:t>: (</w:t>
      </w:r>
      <w:r w:rsidRPr="00C85F0F">
        <w:rPr>
          <w:rFonts w:ascii="Traditional Arabic" w:hAnsi="Traditional Arabic"/>
          <w:sz w:val="32"/>
          <w:szCs w:val="32"/>
          <w:rtl/>
        </w:rPr>
        <w:t>قاعدة الشركات أن يتساوى الشريكان في المغنم والمغرم إلا في المضاربة، فالخسارة على رب المال دون العامل</w:t>
      </w:r>
      <w:r w:rsidRPr="00C85F0F">
        <w:rPr>
          <w:rFonts w:hint="cs"/>
          <w:color w:val="auto"/>
          <w:rtl/>
        </w:rPr>
        <w:t>، لئلا يجتمع على العامل خسارتان: خسارة مالية، وخسارة عملية بدنية)</w:t>
      </w:r>
      <w:r w:rsidRPr="00C85F0F">
        <w:rPr>
          <w:rStyle w:val="af1"/>
          <w:szCs w:val="32"/>
          <w:rtl/>
        </w:rPr>
        <w:t>(</w:t>
      </w:r>
      <w:r w:rsidRPr="00C85F0F">
        <w:rPr>
          <w:rStyle w:val="af1"/>
          <w:szCs w:val="32"/>
          <w:rtl/>
        </w:rPr>
        <w:footnoteReference w:id="2206"/>
      </w:r>
      <w:r w:rsidRPr="00C85F0F">
        <w:rPr>
          <w:rStyle w:val="af1"/>
          <w:szCs w:val="32"/>
          <w:rtl/>
        </w:rPr>
        <w:t>)</w:t>
      </w:r>
      <w:r w:rsidRPr="00C85F0F">
        <w:rPr>
          <w:rFonts w:hint="cs"/>
          <w:color w:val="auto"/>
          <w:rtl/>
        </w:rPr>
        <w:t>.</w:t>
      </w:r>
    </w:p>
    <w:p w:rsidR="006431D6" w:rsidRPr="00C85F0F" w:rsidRDefault="00E1798A" w:rsidP="000F5C0F">
      <w:pPr>
        <w:pStyle w:val="aff2"/>
        <w:rPr>
          <w:rtl/>
        </w:rPr>
      </w:pPr>
      <w:bookmarkStart w:id="514" w:name="_Toc334046690"/>
      <w:r w:rsidRPr="00C85F0F">
        <w:rPr>
          <w:rFonts w:ascii="Traditional Arabic" w:hAnsi="Traditional Arabic" w:hint="cs"/>
          <w:rtl/>
        </w:rPr>
        <w:lastRenderedPageBreak/>
        <w:t>المبحث الثالث</w:t>
      </w:r>
      <w:r w:rsidRPr="00C85F0F">
        <w:rPr>
          <w:rFonts w:ascii="Traditional Arabic" w:hAnsi="Traditional Arabic" w:hint="eastAsia"/>
          <w:rtl/>
        </w:rPr>
        <w:t> </w:t>
      </w:r>
      <w:r w:rsidRPr="00C85F0F">
        <w:rPr>
          <w:rFonts w:ascii="Traditional Arabic" w:hAnsi="Traditional Arabic" w:hint="cs"/>
          <w:rtl/>
        </w:rPr>
        <w:t>:</w:t>
      </w:r>
      <w:r w:rsidRPr="00C85F0F">
        <w:rPr>
          <w:rFonts w:ascii="Traditional Arabic" w:hAnsi="Traditional Arabic"/>
          <w:rtl/>
        </w:rPr>
        <w:br/>
      </w:r>
      <w:r w:rsidR="006431D6" w:rsidRPr="00C85F0F">
        <w:rPr>
          <w:rtl/>
        </w:rPr>
        <w:t>ضابط</w:t>
      </w:r>
      <w:r w:rsidR="006431D6" w:rsidRPr="00C85F0F">
        <w:rPr>
          <w:rFonts w:hint="cs"/>
          <w:rtl/>
        </w:rPr>
        <w:br/>
        <w:t>"</w:t>
      </w:r>
      <w:r w:rsidR="006431D6" w:rsidRPr="00C85F0F">
        <w:rPr>
          <w:rtl/>
        </w:rPr>
        <w:t>كل عمل لا يقع إلا قربة فلا يصح عقد الإجارة عليه</w:t>
      </w:r>
      <w:r w:rsidR="00B76414" w:rsidRPr="00C85F0F">
        <w:rPr>
          <w:rtl/>
        </w:rPr>
        <w:t>،</w:t>
      </w:r>
      <w:r w:rsidR="006431D6" w:rsidRPr="00C85F0F">
        <w:rPr>
          <w:rtl/>
        </w:rPr>
        <w:t xml:space="preserve"> وما كان نفعه</w:t>
      </w:r>
      <w:r w:rsidR="0053510A">
        <w:rPr>
          <w:rFonts w:hint="cs"/>
          <w:rtl/>
        </w:rPr>
        <w:t xml:space="preserve"> </w:t>
      </w:r>
      <w:r w:rsidR="006431D6" w:rsidRPr="00C85F0F">
        <w:rPr>
          <w:rtl/>
        </w:rPr>
        <w:t>متعديا من القرب صح عقد الإجارة عليه</w:t>
      </w:r>
      <w:r w:rsidR="00AB0B9E" w:rsidRPr="00C85F0F">
        <w:rPr>
          <w:rtl/>
        </w:rPr>
        <w:fldChar w:fldCharType="begin"/>
      </w:r>
      <w:r w:rsidR="00945AC4" w:rsidRPr="00C85F0F">
        <w:instrText>XE</w:instrText>
      </w:r>
      <w:r w:rsidR="00945AC4" w:rsidRPr="00C85F0F">
        <w:rPr>
          <w:rtl/>
        </w:rPr>
        <w:instrText xml:space="preserve"> "</w:instrText>
      </w:r>
      <w:r w:rsidR="00945AC4" w:rsidRPr="00C85F0F">
        <w:rPr>
          <w:rFonts w:hint="cs"/>
          <w:rtl/>
        </w:rPr>
        <w:instrText>كلعمللايقعإلاقربةفلايصحعقدالإجارةعليه،وماكاننفعهمتعديامنالقربصحعقدالإجارةعليه</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6431D6" w:rsidRPr="00C85F0F">
        <w:rPr>
          <w:rFonts w:hint="cs"/>
          <w:rtl/>
        </w:rPr>
        <w:t>"</w:t>
      </w:r>
      <w:r w:rsidR="006431D6" w:rsidRPr="00C85F0F">
        <w:rPr>
          <w:rStyle w:val="af1"/>
          <w:b w:val="0"/>
          <w:bCs w:val="0"/>
          <w:szCs w:val="32"/>
          <w:rtl/>
        </w:rPr>
        <w:t>(</w:t>
      </w:r>
      <w:r w:rsidR="006431D6" w:rsidRPr="00C85F0F">
        <w:rPr>
          <w:rStyle w:val="af1"/>
          <w:b w:val="0"/>
          <w:bCs w:val="0"/>
          <w:szCs w:val="32"/>
          <w:rtl/>
        </w:rPr>
        <w:footnoteReference w:id="2207"/>
      </w:r>
      <w:r w:rsidR="006431D6" w:rsidRPr="00C85F0F">
        <w:rPr>
          <w:rStyle w:val="af1"/>
          <w:b w:val="0"/>
          <w:bCs w:val="0"/>
          <w:szCs w:val="32"/>
          <w:rtl/>
        </w:rPr>
        <w:t>)</w:t>
      </w:r>
      <w:bookmarkEnd w:id="514"/>
    </w:p>
    <w:p w:rsidR="00065E4B" w:rsidRPr="00C85F0F" w:rsidRDefault="00EB60EC" w:rsidP="00A8347C">
      <w:pPr>
        <w:pStyle w:val="aff3"/>
        <w:rPr>
          <w:rtl/>
        </w:rPr>
      </w:pPr>
      <w:bookmarkStart w:id="515" w:name="_Toc334046691"/>
      <w:r>
        <w:rPr>
          <w:rFonts w:hint="cs"/>
          <w:rtl/>
        </w:rPr>
        <w:t xml:space="preserve">                    </w:t>
      </w:r>
      <w:r w:rsidR="0053510A">
        <w:rPr>
          <w:rFonts w:hint="cs"/>
          <w:rtl/>
        </w:rPr>
        <w:t xml:space="preserve">                      </w:t>
      </w:r>
      <w:r w:rsidR="006431D6" w:rsidRPr="00C85F0F">
        <w:rPr>
          <w:rFonts w:hint="cs"/>
          <w:rtl/>
        </w:rPr>
        <w:t>المطلب الأول</w:t>
      </w:r>
      <w:r w:rsidR="004F5A0D" w:rsidRPr="00C85F0F">
        <w:rPr>
          <w:rFonts w:hint="eastAsia"/>
          <w:rtl/>
        </w:rPr>
        <w:t> :</w:t>
      </w:r>
      <w:r w:rsidR="004F5A0D" w:rsidRPr="00C85F0F">
        <w:rPr>
          <w:rFonts w:hint="cs"/>
          <w:rtl/>
        </w:rPr>
        <w:br/>
      </w:r>
      <w:r>
        <w:rPr>
          <w:rFonts w:hint="cs"/>
          <w:rtl/>
        </w:rPr>
        <w:t xml:space="preserve">                   </w:t>
      </w:r>
      <w:r w:rsidR="0053510A">
        <w:rPr>
          <w:rFonts w:hint="cs"/>
          <w:rtl/>
        </w:rPr>
        <w:t xml:space="preserve">                        </w:t>
      </w:r>
      <w:r w:rsidR="006431D6" w:rsidRPr="00C85F0F">
        <w:rPr>
          <w:rFonts w:hint="cs"/>
          <w:rtl/>
        </w:rPr>
        <w:t>شرح الضابط</w:t>
      </w:r>
      <w:bookmarkEnd w:id="515"/>
    </w:p>
    <w:p w:rsidR="000A689C" w:rsidRPr="00C85F0F" w:rsidRDefault="00065E4B" w:rsidP="00597C20">
      <w:pPr>
        <w:pStyle w:val="53"/>
        <w:rPr>
          <w:rtl/>
        </w:rPr>
      </w:pPr>
      <w:r w:rsidRPr="00C85F0F">
        <w:rPr>
          <w:rFonts w:hint="cs"/>
          <w:rtl/>
        </w:rPr>
        <w:t>ا</w:t>
      </w:r>
      <w:r w:rsidR="006431D6" w:rsidRPr="00C85F0F">
        <w:rPr>
          <w:rFonts w:hint="cs"/>
          <w:rtl/>
        </w:rPr>
        <w:t>لقُرْبة</w:t>
      </w:r>
      <w:r w:rsidR="00AB0B9E">
        <w:rPr>
          <w:rtl/>
        </w:rPr>
        <w:fldChar w:fldCharType="begin"/>
      </w:r>
      <w:r w:rsidR="00FB0118">
        <w:instrText xml:space="preserve"> XE "</w:instrText>
      </w:r>
      <w:r w:rsidR="00FB0118" w:rsidRPr="00FB0118">
        <w:rPr>
          <w:rFonts w:hint="cs"/>
          <w:b w:val="0"/>
          <w:bCs w:val="0"/>
          <w:rtl/>
        </w:rPr>
        <w:instrText>القُرْبة</w:instrText>
      </w:r>
      <w:r w:rsidR="00FB0118">
        <w:instrText xml:space="preserve">" </w:instrText>
      </w:r>
      <w:r w:rsidR="00FB0118" w:rsidRPr="00FB0118">
        <w:instrText xml:space="preserve">\fm </w:instrText>
      </w:r>
      <w:r w:rsidR="00AB0B9E">
        <w:rPr>
          <w:rtl/>
        </w:rPr>
        <w:fldChar w:fldCharType="end"/>
      </w:r>
      <w:r w:rsidR="006431D6" w:rsidRPr="00C85F0F">
        <w:rPr>
          <w:rFonts w:hint="cs"/>
          <w:rtl/>
        </w:rPr>
        <w:t xml:space="preserve"> لغة:</w:t>
      </w:r>
    </w:p>
    <w:p w:rsidR="00065E4B" w:rsidRPr="00C85F0F" w:rsidRDefault="006431D6" w:rsidP="00597C20">
      <w:pPr>
        <w:ind w:firstLine="720"/>
        <w:rPr>
          <w:rtl/>
        </w:rPr>
      </w:pPr>
      <w:r w:rsidRPr="00C85F0F">
        <w:rPr>
          <w:rFonts w:ascii="Traditional Arabic" w:hAnsi="Traditional Arabic"/>
          <w:noProof w:val="0"/>
          <w:rtl/>
          <w:lang w:eastAsia="en-US"/>
        </w:rPr>
        <w:t>ما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تقر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 به إلى الله تعالى</w:t>
      </w:r>
      <w:r w:rsidRPr="00C85F0F">
        <w:rPr>
          <w:rStyle w:val="af1"/>
          <w:szCs w:val="32"/>
          <w:rtl/>
        </w:rPr>
        <w:t>(</w:t>
      </w:r>
      <w:r w:rsidRPr="00C85F0F">
        <w:rPr>
          <w:rStyle w:val="af1"/>
          <w:szCs w:val="32"/>
          <w:rtl/>
        </w:rPr>
        <w:footnoteReference w:id="2208"/>
      </w:r>
      <w:r w:rsidRPr="00C85F0F">
        <w:rPr>
          <w:rStyle w:val="af1"/>
          <w:szCs w:val="32"/>
          <w:rtl/>
        </w:rPr>
        <w:t>)</w:t>
      </w:r>
      <w:r w:rsidRPr="00C85F0F">
        <w:rPr>
          <w:rFonts w:ascii="Traditional Arabic" w:hAnsi="Traditional Arabic" w:hint="cs"/>
          <w:noProof w:val="0"/>
          <w:rtl/>
          <w:lang w:eastAsia="en-US"/>
        </w:rPr>
        <w:t>.</w:t>
      </w:r>
    </w:p>
    <w:p w:rsidR="00065E4B" w:rsidRPr="00C85F0F" w:rsidRDefault="00065E4B" w:rsidP="00597C20">
      <w:pPr>
        <w:pStyle w:val="53"/>
        <w:rPr>
          <w:rtl/>
        </w:rPr>
      </w:pPr>
      <w:r w:rsidRPr="00C85F0F">
        <w:rPr>
          <w:rFonts w:hint="cs"/>
          <w:rtl/>
        </w:rPr>
        <w:t>م</w:t>
      </w:r>
      <w:r w:rsidR="006431D6" w:rsidRPr="00C85F0F">
        <w:rPr>
          <w:rFonts w:hint="cs"/>
          <w:rtl/>
        </w:rPr>
        <w:t>عنى الضابط إجمالا:</w:t>
      </w:r>
    </w:p>
    <w:p w:rsidR="00065E4B" w:rsidRPr="00C85F0F" w:rsidRDefault="00065E4B" w:rsidP="00597C20">
      <w:pPr>
        <w:ind w:firstLine="720"/>
        <w:rPr>
          <w:rtl/>
        </w:rPr>
      </w:pPr>
      <w:r w:rsidRPr="00C85F0F">
        <w:rPr>
          <w:rFonts w:ascii="Traditional Arabic" w:hAnsi="Traditional Arabic" w:hint="cs"/>
          <w:noProof w:val="0"/>
          <w:rtl/>
          <w:lang w:eastAsia="en-US"/>
        </w:rPr>
        <w:t>م</w:t>
      </w:r>
      <w:r w:rsidR="006431D6" w:rsidRPr="00C85F0F">
        <w:rPr>
          <w:rFonts w:ascii="Traditional Arabic" w:hAnsi="Traditional Arabic" w:hint="cs"/>
          <w:noProof w:val="0"/>
          <w:rtl/>
          <w:lang w:eastAsia="en-US"/>
        </w:rPr>
        <w:t xml:space="preserve">عنى الضابط أن </w:t>
      </w:r>
      <w:r w:rsidR="006431D6" w:rsidRPr="00C85F0F">
        <w:rPr>
          <w:rFonts w:ascii="Traditional Arabic" w:hAnsi="Traditional Arabic"/>
          <w:noProof w:val="0"/>
          <w:rtl/>
          <w:lang w:eastAsia="en-US"/>
        </w:rPr>
        <w:t>كل عمل لا يقع إلا ق</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ربة</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فإنه لا يصح أن يؤخذ عليه أجرة؛ ووجه ذلك أن ما كان لا يقع إلا قربة ي</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قصد به ثواب الآخرة</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ولا ينبغي أن </w:t>
      </w:r>
      <w:r w:rsidR="006431D6" w:rsidRPr="00C85F0F">
        <w:rPr>
          <w:rFonts w:ascii="Traditional Arabic" w:hAnsi="Traditional Arabic" w:hint="cs"/>
          <w:noProof w:val="0"/>
          <w:rtl/>
          <w:lang w:eastAsia="en-US"/>
        </w:rPr>
        <w:t>يرادب</w:t>
      </w:r>
      <w:r w:rsidR="006431D6" w:rsidRPr="00C85F0F">
        <w:rPr>
          <w:rFonts w:ascii="Traditional Arabic" w:hAnsi="Traditional Arabic"/>
          <w:noProof w:val="0"/>
          <w:rtl/>
          <w:lang w:eastAsia="en-US"/>
        </w:rPr>
        <w:t>عمل الآخرة</w:t>
      </w:r>
      <w:r w:rsidR="006431D6" w:rsidRPr="00C85F0F">
        <w:rPr>
          <w:rFonts w:ascii="Traditional Arabic" w:hAnsi="Traditional Arabic" w:hint="cs"/>
          <w:noProof w:val="0"/>
          <w:rtl/>
          <w:lang w:eastAsia="en-US"/>
        </w:rPr>
        <w:t xml:space="preserve"> شيء من ثواب</w:t>
      </w:r>
      <w:r w:rsidR="00EB60EC">
        <w:rPr>
          <w:rFonts w:ascii="Traditional Arabic" w:hAnsi="Traditional Arabic" w:hint="cs"/>
          <w:noProof w:val="0"/>
          <w:rtl/>
          <w:lang w:eastAsia="en-US"/>
        </w:rPr>
        <w:t xml:space="preserve"> </w:t>
      </w:r>
      <w:r w:rsidR="006431D6" w:rsidRPr="00C85F0F">
        <w:rPr>
          <w:rFonts w:ascii="Traditional Arabic" w:hAnsi="Traditional Arabic"/>
          <w:noProof w:val="0"/>
          <w:rtl/>
          <w:lang w:eastAsia="en-US"/>
        </w:rPr>
        <w:t>الدنيا</w:t>
      </w:r>
      <w:r w:rsidR="006431D6" w:rsidRPr="00C85F0F">
        <w:rPr>
          <w:rFonts w:ascii="Traditional Arabic" w:hAnsi="Traditional Arabic" w:hint="cs"/>
          <w:noProof w:val="0"/>
          <w:rtl/>
          <w:lang w:eastAsia="en-US"/>
        </w:rPr>
        <w:t>.</w:t>
      </w:r>
    </w:p>
    <w:p w:rsidR="006431D6" w:rsidRPr="00C85F0F" w:rsidRDefault="00065E4B" w:rsidP="00597C20">
      <w:pPr>
        <w:ind w:firstLine="720"/>
        <w:rPr>
          <w:rtl/>
        </w:rPr>
      </w:pPr>
      <w:r w:rsidRPr="00C85F0F">
        <w:rPr>
          <w:rFonts w:ascii="Traditional Arabic" w:hAnsi="Traditional Arabic"/>
          <w:noProof w:val="0"/>
          <w:rtl/>
          <w:lang w:eastAsia="en-US"/>
        </w:rPr>
        <w:t>و</w:t>
      </w:r>
      <w:r w:rsidR="006431D6" w:rsidRPr="00C85F0F">
        <w:rPr>
          <w:rFonts w:ascii="Traditional Arabic" w:hAnsi="Traditional Arabic"/>
          <w:noProof w:val="0"/>
          <w:rtl/>
          <w:lang w:eastAsia="en-US"/>
        </w:rPr>
        <w:t>لكن ما يقع قربة بالقصد وينتف</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ع به الغير فلا بأس أن يأخذ الإنسان عليه أجرة</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w:t>
      </w:r>
      <w:r w:rsidR="006431D6" w:rsidRPr="00C85F0F">
        <w:rPr>
          <w:rFonts w:ascii="Traditional Arabic" w:hAnsi="Traditional Arabic" w:hint="cs"/>
          <w:noProof w:val="0"/>
          <w:rtl/>
          <w:lang w:eastAsia="en-US"/>
        </w:rPr>
        <w:t>ب</w:t>
      </w:r>
      <w:r w:rsidR="006431D6" w:rsidRPr="00C85F0F">
        <w:rPr>
          <w:rFonts w:ascii="Traditional Arabic" w:hAnsi="Traditional Arabic"/>
          <w:noProof w:val="0"/>
          <w:rtl/>
          <w:lang w:eastAsia="en-US"/>
        </w:rPr>
        <w:t xml:space="preserve">شرط </w:t>
      </w:r>
      <w:r w:rsidR="006431D6" w:rsidRPr="00C85F0F">
        <w:rPr>
          <w:rFonts w:ascii="Traditional Arabic" w:hAnsi="Traditional Arabic"/>
          <w:noProof w:val="0"/>
          <w:rtl/>
          <w:lang w:eastAsia="en-US"/>
        </w:rPr>
        <w:lastRenderedPageBreak/>
        <w:t xml:space="preserve">أن </w:t>
      </w:r>
      <w:r w:rsidR="006431D6" w:rsidRPr="00C85F0F">
        <w:rPr>
          <w:rFonts w:ascii="Traditional Arabic" w:hAnsi="Traditional Arabic" w:hint="cs"/>
          <w:noProof w:val="0"/>
          <w:rtl/>
          <w:lang w:eastAsia="en-US"/>
        </w:rPr>
        <w:t>لا يقصد</w:t>
      </w:r>
      <w:r w:rsidR="006431D6" w:rsidRPr="00C85F0F">
        <w:rPr>
          <w:rFonts w:ascii="Traditional Arabic" w:hAnsi="Traditional Arabic"/>
          <w:noProof w:val="0"/>
          <w:rtl/>
          <w:lang w:eastAsia="en-US"/>
        </w:rPr>
        <w:t xml:space="preserve"> التعب</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د لله</w:t>
      </w:r>
      <w:r w:rsidR="0053510A">
        <w:rPr>
          <w:rFonts w:ascii="Traditional Arabic" w:hAnsi="Traditional Arabic" w:hint="cs"/>
          <w:noProof w:val="0"/>
          <w:rtl/>
          <w:lang w:eastAsia="en-US"/>
        </w:rPr>
        <w:t xml:space="preserve"> </w:t>
      </w:r>
      <w:r w:rsidR="006431D6" w:rsidRPr="00C85F0F">
        <w:rPr>
          <w:rFonts w:ascii="Traditional Arabic" w:hAnsi="Traditional Arabic"/>
          <w:noProof w:val="0"/>
          <w:rtl/>
          <w:lang w:eastAsia="en-US"/>
        </w:rPr>
        <w:t xml:space="preserve">تعالى بهذه القربة، وإنما </w:t>
      </w:r>
      <w:r w:rsidR="006431D6" w:rsidRPr="00C85F0F">
        <w:rPr>
          <w:rFonts w:ascii="Traditional Arabic" w:hAnsi="Traditional Arabic" w:hint="cs"/>
          <w:noProof w:val="0"/>
          <w:rtl/>
          <w:lang w:eastAsia="en-US"/>
        </w:rPr>
        <w:t xml:space="preserve">يقصد </w:t>
      </w:r>
      <w:r w:rsidR="006431D6" w:rsidRPr="00C85F0F">
        <w:rPr>
          <w:rFonts w:ascii="Traditional Arabic" w:hAnsi="Traditional Arabic"/>
          <w:noProof w:val="0"/>
          <w:rtl/>
          <w:lang w:eastAsia="en-US"/>
        </w:rPr>
        <w:t xml:space="preserve">نفع الغير الذي استأجره لاستيفاء هذه المنفعة، </w:t>
      </w:r>
      <w:r w:rsidR="006431D6" w:rsidRPr="00C85F0F">
        <w:rPr>
          <w:rFonts w:ascii="Traditional Arabic" w:hAnsi="Traditional Arabic" w:hint="cs"/>
          <w:noProof w:val="0"/>
          <w:rtl/>
          <w:lang w:eastAsia="en-US"/>
        </w:rPr>
        <w:t>فلو أن شخصا</w:t>
      </w:r>
      <w:r w:rsidR="006431D6" w:rsidRPr="00C85F0F">
        <w:rPr>
          <w:rFonts w:ascii="Traditional Arabic" w:hAnsi="Traditional Arabic"/>
          <w:noProof w:val="0"/>
          <w:rtl/>
          <w:lang w:eastAsia="en-US"/>
        </w:rPr>
        <w:t xml:space="preserve"> قال لآخر: أريد أن تعلمني باب شروط الصلاة، </w:t>
      </w:r>
      <w:r w:rsidR="006431D6" w:rsidRPr="00C85F0F">
        <w:rPr>
          <w:rFonts w:ascii="Traditional Arabic" w:hAnsi="Traditional Arabic" w:hint="cs"/>
          <w:noProof w:val="0"/>
          <w:rtl/>
          <w:lang w:eastAsia="en-US"/>
        </w:rPr>
        <w:t>فوافق</w:t>
      </w:r>
      <w:r w:rsidR="006431D6" w:rsidRPr="00C85F0F">
        <w:rPr>
          <w:rFonts w:ascii="Traditional Arabic" w:hAnsi="Traditional Arabic"/>
          <w:noProof w:val="0"/>
          <w:rtl/>
          <w:lang w:eastAsia="en-US"/>
        </w:rPr>
        <w:t xml:space="preserve"> بشرط أن </w:t>
      </w:r>
      <w:r w:rsidR="006431D6" w:rsidRPr="00C85F0F">
        <w:rPr>
          <w:rFonts w:ascii="Traditional Arabic" w:hAnsi="Traditional Arabic" w:hint="cs"/>
          <w:noProof w:val="0"/>
          <w:rtl/>
          <w:lang w:eastAsia="en-US"/>
        </w:rPr>
        <w:t>ي</w:t>
      </w:r>
      <w:r w:rsidR="006431D6" w:rsidRPr="00C85F0F">
        <w:rPr>
          <w:rFonts w:ascii="Traditional Arabic" w:hAnsi="Traditional Arabic"/>
          <w:noProof w:val="0"/>
          <w:rtl/>
          <w:lang w:eastAsia="en-US"/>
        </w:rPr>
        <w:t>عطي</w:t>
      </w:r>
      <w:r w:rsidR="006431D6" w:rsidRPr="00C85F0F">
        <w:rPr>
          <w:rFonts w:ascii="Traditional Arabic" w:hAnsi="Traditional Arabic" w:hint="cs"/>
          <w:noProof w:val="0"/>
          <w:rtl/>
          <w:lang w:eastAsia="en-US"/>
        </w:rPr>
        <w:t>ه</w:t>
      </w:r>
      <w:r w:rsidR="006431D6" w:rsidRPr="00C85F0F">
        <w:rPr>
          <w:rFonts w:ascii="Traditional Arabic" w:hAnsi="Traditional Arabic"/>
          <w:noProof w:val="0"/>
          <w:rtl/>
          <w:lang w:eastAsia="en-US"/>
        </w:rPr>
        <w:t xml:space="preserve"> أجرة، </w:t>
      </w:r>
      <w:r w:rsidR="006431D6" w:rsidRPr="00C85F0F">
        <w:rPr>
          <w:rFonts w:ascii="Traditional Arabic" w:hAnsi="Traditional Arabic" w:hint="cs"/>
          <w:noProof w:val="0"/>
          <w:rtl/>
          <w:lang w:eastAsia="en-US"/>
        </w:rPr>
        <w:t>ف</w:t>
      </w:r>
      <w:r w:rsidR="006431D6" w:rsidRPr="00C85F0F">
        <w:rPr>
          <w:rFonts w:ascii="Traditional Arabic" w:hAnsi="Traditional Arabic"/>
          <w:noProof w:val="0"/>
          <w:rtl/>
          <w:lang w:eastAsia="en-US"/>
        </w:rPr>
        <w:t>هذا لا بأس به؛ لأن العوض هنا ليس عن التعب</w:t>
      </w:r>
      <w:r w:rsidR="0053510A">
        <w:rPr>
          <w:rFonts w:ascii="Traditional Arabic" w:hAnsi="Traditional Arabic" w:hint="cs"/>
          <w:noProof w:val="0"/>
          <w:rtl/>
          <w:lang w:eastAsia="en-US"/>
        </w:rPr>
        <w:t>ُّ</w:t>
      </w:r>
      <w:r w:rsidR="006431D6" w:rsidRPr="00C85F0F">
        <w:rPr>
          <w:rFonts w:ascii="Traditional Arabic" w:hAnsi="Traditional Arabic"/>
          <w:noProof w:val="0"/>
          <w:rtl/>
          <w:lang w:eastAsia="en-US"/>
        </w:rPr>
        <w:t>د بالعمل</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ولكن عن انتفاع الغير به</w:t>
      </w:r>
      <w:r w:rsidR="006431D6" w:rsidRPr="00C85F0F">
        <w:rPr>
          <w:rStyle w:val="af1"/>
          <w:szCs w:val="32"/>
          <w:rtl/>
        </w:rPr>
        <w:t>(</w:t>
      </w:r>
      <w:r w:rsidR="006431D6" w:rsidRPr="00C85F0F">
        <w:rPr>
          <w:rStyle w:val="af1"/>
          <w:szCs w:val="32"/>
          <w:rtl/>
        </w:rPr>
        <w:footnoteReference w:id="2209"/>
      </w:r>
      <w:r w:rsidR="006431D6" w:rsidRPr="00C85F0F">
        <w:rPr>
          <w:rStyle w:val="af1"/>
          <w:szCs w:val="32"/>
          <w:rtl/>
        </w:rPr>
        <w:t>)</w:t>
      </w:r>
      <w:r w:rsidR="006431D6" w:rsidRPr="00C85F0F">
        <w:rPr>
          <w:rFonts w:ascii="Traditional Arabic" w:hAnsi="Traditional Arabic"/>
          <w:noProof w:val="0"/>
          <w:rtl/>
          <w:lang w:eastAsia="en-US"/>
        </w:rPr>
        <w:t>.</w:t>
      </w:r>
    </w:p>
    <w:p w:rsidR="006431D6" w:rsidRPr="00C85F0F" w:rsidRDefault="00EB60EC" w:rsidP="00A8347C">
      <w:pPr>
        <w:pStyle w:val="aff3"/>
        <w:rPr>
          <w:rtl/>
        </w:rPr>
      </w:pPr>
      <w:bookmarkStart w:id="516" w:name="_Toc334046692"/>
      <w:r>
        <w:rPr>
          <w:rFonts w:hint="cs"/>
          <w:rtl/>
        </w:rPr>
        <w:t xml:space="preserve">                 </w:t>
      </w:r>
      <w:r w:rsidR="0053510A">
        <w:rPr>
          <w:rFonts w:hint="cs"/>
          <w:rtl/>
        </w:rPr>
        <w:t xml:space="preserve">                      </w:t>
      </w:r>
      <w:r w:rsidR="006431D6" w:rsidRPr="00C85F0F">
        <w:rPr>
          <w:rFonts w:hint="cs"/>
          <w:rtl/>
        </w:rPr>
        <w:t>المطلب الثاني</w:t>
      </w:r>
      <w:r w:rsidR="004F5A0D" w:rsidRPr="00C85F0F">
        <w:rPr>
          <w:rFonts w:hint="eastAsia"/>
          <w:rtl/>
        </w:rPr>
        <w:t> :</w:t>
      </w:r>
      <w:r w:rsidR="004F5A0D" w:rsidRPr="00C85F0F">
        <w:rPr>
          <w:rFonts w:hint="cs"/>
          <w:rtl/>
        </w:rPr>
        <w:br/>
      </w:r>
      <w:r>
        <w:rPr>
          <w:rFonts w:hint="cs"/>
          <w:rtl/>
        </w:rPr>
        <w:t xml:space="preserve">               </w:t>
      </w:r>
      <w:r w:rsidR="0053510A">
        <w:rPr>
          <w:rFonts w:hint="cs"/>
          <w:rtl/>
        </w:rPr>
        <w:t xml:space="preserve">                          </w:t>
      </w:r>
      <w:r w:rsidR="006431D6" w:rsidRPr="00C85F0F">
        <w:rPr>
          <w:rFonts w:hint="cs"/>
          <w:rtl/>
        </w:rPr>
        <w:t>أدلة الضابط</w:t>
      </w:r>
      <w:bookmarkEnd w:id="516"/>
    </w:p>
    <w:p w:rsidR="006431D6" w:rsidRPr="00C85F0F" w:rsidRDefault="0053510A" w:rsidP="000A76C7">
      <w:pPr>
        <w:pStyle w:val="afc"/>
        <w:numPr>
          <w:ilvl w:val="0"/>
          <w:numId w:val="313"/>
        </w:numPr>
        <w:rPr>
          <w:rFonts w:ascii="Traditional Arabic" w:hAnsi="Traditional Arabic"/>
        </w:rPr>
      </w:pPr>
      <w:bookmarkStart w:id="517" w:name="سورة_هود_15إلى16"/>
      <w:r>
        <w:rPr>
          <w:rFonts w:hint="cs"/>
          <w:rtl/>
        </w:rPr>
        <w:t xml:space="preserve">قول الله تعالى: </w:t>
      </w:r>
      <w:r w:rsidR="00D17979" w:rsidRPr="00F85426">
        <w:rPr>
          <w:rFonts w:ascii="QCF_BSML" w:hAnsi="QCF_BSML" w:cs="QCF_BSML"/>
          <w:noProof w:val="0"/>
          <w:color w:val="auto"/>
          <w:rtl/>
          <w:lang w:eastAsia="en-US"/>
        </w:rPr>
        <w:t>ﭽ</w:t>
      </w:r>
      <w:r w:rsidR="00D17979" w:rsidRPr="00F85426">
        <w:rPr>
          <w:rFonts w:ascii="QCF_P223" w:hAnsi="QCF_P223" w:cs="QCF_P223"/>
          <w:noProof w:val="0"/>
          <w:color w:val="auto"/>
          <w:rtl/>
          <w:lang w:eastAsia="en-US"/>
        </w:rPr>
        <w:t>ﭷ</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ﭸ</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ﭹ</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ﭺ</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ﭻ</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ﭼ</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ﭽ</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ﭾ</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ﭿ</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ﮀ</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ﮁ</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ﮂ</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ﮃ</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ﮄ</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ﮅ</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ﮆ</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ﮇ</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ﮈ</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ﮉ</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ﮊ</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ﮋ</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ﮌ</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ﮍ</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ﮎ</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ﮏ</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ﮐ</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ﮑ</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ﮒ</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ﮓ</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ﮔ</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ﮕ</w:t>
      </w:r>
      <w:r>
        <w:rPr>
          <w:rFonts w:ascii="QCF_P223" w:hAnsi="QCF_P223" w:cs="QCF_P223" w:hint="cs"/>
          <w:noProof w:val="0"/>
          <w:color w:val="auto"/>
          <w:rtl/>
          <w:lang w:eastAsia="en-US"/>
        </w:rPr>
        <w:t xml:space="preserve"> </w:t>
      </w:r>
      <w:r w:rsidR="00D17979" w:rsidRPr="00F85426">
        <w:rPr>
          <w:rFonts w:ascii="QCF_P223" w:hAnsi="QCF_P223" w:cs="QCF_P223"/>
          <w:noProof w:val="0"/>
          <w:color w:val="auto"/>
          <w:rtl/>
          <w:lang w:eastAsia="en-US"/>
        </w:rPr>
        <w:t>ﮖ</w:t>
      </w:r>
      <w:r w:rsidR="00D17979" w:rsidRPr="00F85426">
        <w:rPr>
          <w:rFonts w:ascii="QCF_BSML" w:hAnsi="QCF_BSML" w:cs="QCF_BSML"/>
          <w:noProof w:val="0"/>
          <w:color w:val="auto"/>
          <w:rtl/>
          <w:lang w:eastAsia="en-US"/>
        </w:rPr>
        <w:t>ﭼ</w:t>
      </w:r>
      <w:bookmarkEnd w:id="517"/>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هود: ١٥ – ١٦</w:t>
      </w:r>
      <w:r w:rsidR="006431D6" w:rsidRPr="00C85F0F">
        <w:rPr>
          <w:rFonts w:ascii="Traditional Arabic" w:hAnsi="Traditional Arabic" w:hint="cs"/>
          <w:noProof w:val="0"/>
          <w:color w:val="auto"/>
          <w:rtl/>
          <w:lang w:eastAsia="en-US"/>
        </w:rPr>
        <w:t>].</w:t>
      </w:r>
    </w:p>
    <w:p w:rsidR="006431D6" w:rsidRPr="00EB60EC" w:rsidRDefault="006431D6" w:rsidP="00597C20">
      <w:pPr>
        <w:pStyle w:val="afc"/>
        <w:ind w:left="1080" w:firstLine="0"/>
        <w:rPr>
          <w:rFonts w:ascii="Traditional Arabic" w:hAnsi="Traditional Arabic"/>
          <w:b/>
          <w:bCs/>
          <w:noProof w:val="0"/>
          <w:color w:val="auto"/>
          <w:rtl/>
          <w:lang w:eastAsia="en-US"/>
        </w:rPr>
      </w:pPr>
      <w:r w:rsidRPr="00EB60EC">
        <w:rPr>
          <w:rFonts w:ascii="Traditional Arabic" w:hAnsi="Traditional Arabic" w:hint="cs"/>
          <w:b/>
          <w:bCs/>
          <w:noProof w:val="0"/>
          <w:color w:val="auto"/>
          <w:rtl/>
          <w:lang w:eastAsia="en-US"/>
        </w:rPr>
        <w:t>وجه الدلالة:</w:t>
      </w:r>
    </w:p>
    <w:p w:rsidR="006431D6" w:rsidRPr="00C85F0F" w:rsidRDefault="006431D6" w:rsidP="00597C20">
      <w:pPr>
        <w:pStyle w:val="afc"/>
        <w:ind w:left="1080" w:firstLine="0"/>
        <w:rPr>
          <w:rFonts w:ascii="Traditional Arabic" w:hAnsi="Traditional Arabic"/>
          <w:rtl/>
        </w:rPr>
      </w:pPr>
      <w:r w:rsidRPr="00C85F0F">
        <w:rPr>
          <w:rFonts w:ascii="Traditional Arabic" w:hAnsi="Traditional Arabic"/>
          <w:noProof w:val="0"/>
          <w:rtl/>
          <w:lang w:eastAsia="en-US"/>
        </w:rPr>
        <w:t xml:space="preserve">حذَّر الله ـ </w:t>
      </w:r>
      <w:r w:rsidR="00866D6A" w:rsidRPr="00C85F0F">
        <w:rPr>
          <w:rFonts w:ascii="Traditional Arabic" w:hAnsi="Traditional Arabic" w:hint="cs"/>
          <w:noProof w:val="0"/>
          <w:color w:val="auto"/>
          <w:rtl/>
          <w:lang w:eastAsia="en-US"/>
        </w:rPr>
        <w:sym w:font="AGA Arabesque" w:char="F055"/>
      </w:r>
      <w:r w:rsidRPr="00C85F0F">
        <w:rPr>
          <w:rFonts w:ascii="Traditional Arabic" w:hAnsi="Traditional Arabic"/>
          <w:noProof w:val="0"/>
          <w:rtl/>
          <w:lang w:eastAsia="en-US"/>
        </w:rPr>
        <w:t xml:space="preserve"> ـ أن يريد الإنسان بعبادته شيئاً من الدنيا</w:t>
      </w:r>
      <w:r w:rsidRPr="00C85F0F">
        <w:rPr>
          <w:rFonts w:ascii="Traditional Arabic" w:hAnsi="Traditional Arabic" w:hint="cs"/>
          <w:rtl/>
        </w:rPr>
        <w:t xml:space="preserve">؛ </w:t>
      </w:r>
      <w:r w:rsidRPr="00C85F0F">
        <w:rPr>
          <w:rFonts w:ascii="Traditional Arabic" w:hAnsi="Traditional Arabic" w:hint="cs"/>
          <w:noProof w:val="0"/>
          <w:rtl/>
          <w:lang w:eastAsia="en-US"/>
        </w:rPr>
        <w:t>ف</w:t>
      </w:r>
      <w:r w:rsidRPr="00C85F0F">
        <w:rPr>
          <w:rFonts w:ascii="Traditional Arabic" w:hAnsi="Traditional Arabic"/>
          <w:noProof w:val="0"/>
          <w:rtl/>
          <w:lang w:eastAsia="en-US"/>
        </w:rPr>
        <w:t>كل عمل لا يقع إلا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ربة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فإنه لا يصح أن يؤخذ عليه أجرة؛ ووجه ذلك أن ما كان لا يقع إلا قربة فإنه لا يجوز للإنسان أن </w:t>
      </w:r>
      <w:r w:rsidRPr="00C85F0F">
        <w:rPr>
          <w:rFonts w:ascii="Traditional Arabic" w:hAnsi="Traditional Arabic" w:hint="cs"/>
          <w:noProof w:val="0"/>
          <w:rtl/>
          <w:lang w:eastAsia="en-US"/>
        </w:rPr>
        <w:t>يتخذ العمل الصالح وسيلة</w:t>
      </w:r>
      <w:r w:rsidR="0053510A">
        <w:rPr>
          <w:rFonts w:ascii="Traditional Arabic" w:hAnsi="Traditional Arabic" w:hint="cs"/>
          <w:noProof w:val="0"/>
          <w:rtl/>
          <w:lang w:eastAsia="en-US"/>
        </w:rPr>
        <w:t>ً</w:t>
      </w:r>
      <w:r w:rsidRPr="00C85F0F">
        <w:rPr>
          <w:rFonts w:ascii="Traditional Arabic" w:hAnsi="Traditional Arabic" w:hint="cs"/>
          <w:noProof w:val="0"/>
          <w:rtl/>
          <w:lang w:eastAsia="en-US"/>
        </w:rPr>
        <w:t xml:space="preserve"> للدنيا، فإنه إن فعل ذلك بطل ثواب</w:t>
      </w:r>
      <w:r w:rsidR="0053510A">
        <w:rPr>
          <w:rFonts w:ascii="Traditional Arabic" w:hAnsi="Traditional Arabic" w:hint="cs"/>
          <w:noProof w:val="0"/>
          <w:rtl/>
          <w:lang w:eastAsia="en-US"/>
        </w:rPr>
        <w:t>ُ</w:t>
      </w:r>
      <w:r w:rsidRPr="00C85F0F">
        <w:rPr>
          <w:rFonts w:ascii="Traditional Arabic" w:hAnsi="Traditional Arabic" w:hint="cs"/>
          <w:noProof w:val="0"/>
          <w:rtl/>
          <w:lang w:eastAsia="en-US"/>
        </w:rPr>
        <w:t xml:space="preserve">ه </w:t>
      </w:r>
      <w:r w:rsidRPr="00C85F0F">
        <w:rPr>
          <w:rStyle w:val="af1"/>
          <w:szCs w:val="32"/>
          <w:rtl/>
        </w:rPr>
        <w:t>(</w:t>
      </w:r>
      <w:r w:rsidRPr="00C85F0F">
        <w:rPr>
          <w:rStyle w:val="af1"/>
          <w:szCs w:val="32"/>
          <w:rtl/>
        </w:rPr>
        <w:footnoteReference w:id="2210"/>
      </w:r>
      <w:r w:rsidRPr="00C85F0F">
        <w:rPr>
          <w:rStyle w:val="af1"/>
          <w:szCs w:val="32"/>
          <w:rtl/>
        </w:rPr>
        <w:t>)</w:t>
      </w:r>
      <w:r w:rsidRPr="00C85F0F">
        <w:rPr>
          <w:rFonts w:ascii="Traditional Arabic" w:hAnsi="Traditional Arabic" w:hint="cs"/>
          <w:noProof w:val="0"/>
          <w:rtl/>
          <w:lang w:eastAsia="en-US"/>
        </w:rPr>
        <w:t>.</w:t>
      </w:r>
    </w:p>
    <w:p w:rsidR="006431D6" w:rsidRDefault="006431D6" w:rsidP="000A76C7">
      <w:pPr>
        <w:pStyle w:val="afc"/>
        <w:numPr>
          <w:ilvl w:val="0"/>
          <w:numId w:val="313"/>
        </w:numPr>
        <w:rPr>
          <w:rFonts w:ascii="Traditional Arabic" w:hAnsi="Traditional Arabic"/>
        </w:rPr>
      </w:pPr>
      <w:r w:rsidRPr="00C85F0F">
        <w:rPr>
          <w:rFonts w:ascii="Traditional Arabic" w:hAnsi="Traditional Arabic" w:hint="cs"/>
          <w:rtl/>
        </w:rPr>
        <w:t>حديث عائشة</w:t>
      </w:r>
      <w:r w:rsidR="0053510A">
        <w:rPr>
          <w:rFonts w:ascii="Traditional Arabic" w:hAnsi="Traditional Arabic" w:hint="cs"/>
          <w:rtl/>
        </w:rPr>
        <w:t>_رضي الله عنها_</w:t>
      </w:r>
      <w:r w:rsidRPr="00C85F0F">
        <w:rPr>
          <w:rFonts w:ascii="Traditional Arabic" w:hAnsi="Traditional Arabic" w:hint="cs"/>
          <w:rtl/>
        </w:rPr>
        <w:t xml:space="preserve"> أن رسول الله </w:t>
      </w:r>
      <w:r w:rsidR="00F350DE" w:rsidRPr="00C85F0F">
        <w:rPr>
          <w:rFonts w:ascii="Traditional Arabic" w:hAnsi="Traditional Arabic"/>
          <w:noProof w:val="0"/>
          <w:color w:val="auto"/>
          <w:rtl/>
          <w:lang w:eastAsia="en-US"/>
        </w:rPr>
        <w:sym w:font="AGA Arabesque" w:char="F072"/>
      </w:r>
      <w:r w:rsidRPr="00C85F0F">
        <w:rPr>
          <w:rFonts w:ascii="Traditional Arabic" w:hAnsi="Traditional Arabic" w:hint="cs"/>
          <w:rtl/>
        </w:rPr>
        <w:t xml:space="preserve"> قال:"من عمل عملا ليس عليه أمرنا فهو رد</w:t>
      </w:r>
      <w:r w:rsidR="00AB0B9E" w:rsidRPr="00C85F0F">
        <w:rPr>
          <w:rFonts w:ascii="Traditional Arabic" w:hAnsi="Traditional Arabic"/>
        </w:rPr>
        <w:fldChar w:fldCharType="begin"/>
      </w:r>
      <w:r w:rsidR="00311F3B" w:rsidRPr="00C85F0F">
        <w:rPr>
          <w:rFonts w:ascii="Traditional Arabic" w:hAnsi="Traditional Arabic"/>
        </w:rPr>
        <w:instrText>XE</w:instrText>
      </w:r>
      <w:r w:rsidR="00311F3B" w:rsidRPr="00C85F0F">
        <w:rPr>
          <w:rFonts w:ascii="Traditional Arabic" w:hAnsi="Traditional Arabic"/>
          <w:rtl/>
        </w:rPr>
        <w:instrText xml:space="preserve"> "</w:instrText>
      </w:r>
      <w:r w:rsidR="00311F3B" w:rsidRPr="00C85F0F">
        <w:rPr>
          <w:rFonts w:ascii="Traditional Arabic" w:hAnsi="Traditional Arabic" w:hint="cs"/>
          <w:rtl/>
        </w:rPr>
        <w:instrText>من عمل عملا ليس عليه أمرنا فهو رد</w:instrText>
      </w:r>
      <w:r w:rsidR="00311F3B" w:rsidRPr="00C85F0F">
        <w:rPr>
          <w:rFonts w:ascii="Traditional Arabic" w:hAnsi="Traditional Arabic"/>
          <w:rtl/>
        </w:rPr>
        <w:instrText>" \</w:instrText>
      </w:r>
      <w:r w:rsidR="00311F3B" w:rsidRPr="00C85F0F">
        <w:rPr>
          <w:rFonts w:ascii="Traditional Arabic" w:hAnsi="Traditional Arabic"/>
        </w:rPr>
        <w:instrText>fh</w:instrText>
      </w:r>
      <w:r w:rsidR="00AB0B9E" w:rsidRPr="00C85F0F">
        <w:rPr>
          <w:rFonts w:ascii="Traditional Arabic" w:hAnsi="Traditional Arabic"/>
        </w:rPr>
        <w:fldChar w:fldCharType="end"/>
      </w:r>
      <w:r>
        <w:rPr>
          <w:rFonts w:ascii="Traditional Arabic" w:hAnsi="Traditional Arabic" w:hint="cs"/>
          <w:rtl/>
        </w:rPr>
        <w:t>"</w:t>
      </w:r>
      <w:r w:rsidRPr="00C821A1">
        <w:rPr>
          <w:rStyle w:val="af1"/>
          <w:szCs w:val="32"/>
          <w:rtl/>
        </w:rPr>
        <w:t>(</w:t>
      </w:r>
      <w:r w:rsidRPr="00C821A1">
        <w:rPr>
          <w:rStyle w:val="af1"/>
          <w:szCs w:val="32"/>
          <w:rtl/>
        </w:rPr>
        <w:footnoteReference w:id="2211"/>
      </w:r>
      <w:r w:rsidRPr="00C821A1">
        <w:rPr>
          <w:rStyle w:val="af1"/>
          <w:szCs w:val="32"/>
          <w:rtl/>
        </w:rPr>
        <w:t>)</w:t>
      </w:r>
      <w:r>
        <w:rPr>
          <w:rFonts w:ascii="Traditional Arabic" w:hAnsi="Traditional Arabic" w:hint="cs"/>
          <w:rtl/>
        </w:rPr>
        <w:t>.</w:t>
      </w:r>
    </w:p>
    <w:p w:rsidR="006431D6" w:rsidRDefault="006431D6" w:rsidP="00597C20">
      <w:pPr>
        <w:pStyle w:val="53"/>
        <w:rPr>
          <w:rtl/>
        </w:rPr>
      </w:pPr>
      <w:r>
        <w:rPr>
          <w:rFonts w:hint="cs"/>
          <w:rtl/>
        </w:rPr>
        <w:t>وجه الدلالة:</w:t>
      </w:r>
    </w:p>
    <w:p w:rsidR="006431D6" w:rsidRPr="000A689C" w:rsidRDefault="0053510A" w:rsidP="00597C20">
      <w:pPr>
        <w:ind w:firstLine="720"/>
        <w:rPr>
          <w:rFonts w:ascii="Traditional Arabic" w:hAnsi="Traditional Arabic"/>
          <w:noProof w:val="0"/>
          <w:color w:val="auto"/>
          <w:rtl/>
          <w:lang w:eastAsia="en-US"/>
        </w:rPr>
      </w:pPr>
      <w:r>
        <w:rPr>
          <w:rFonts w:ascii="Traditional Arabic" w:hAnsi="Traditional Arabic" w:hint="cs"/>
          <w:noProof w:val="0"/>
          <w:color w:val="auto"/>
          <w:rtl/>
          <w:lang w:eastAsia="en-US"/>
        </w:rPr>
        <w:t>إ</w:t>
      </w:r>
      <w:r w:rsidR="006431D6" w:rsidRPr="000A689C">
        <w:rPr>
          <w:rFonts w:ascii="Traditional Arabic" w:hAnsi="Traditional Arabic" w:hint="cs"/>
          <w:noProof w:val="0"/>
          <w:color w:val="auto"/>
          <w:rtl/>
          <w:lang w:eastAsia="en-US"/>
        </w:rPr>
        <w:t>ن م</w:t>
      </w:r>
      <w:r>
        <w:rPr>
          <w:rFonts w:ascii="Traditional Arabic" w:hAnsi="Traditional Arabic" w:hint="cs"/>
          <w:noProof w:val="0"/>
          <w:color w:val="auto"/>
          <w:rtl/>
          <w:lang w:eastAsia="en-US"/>
        </w:rPr>
        <w:t>َ</w:t>
      </w:r>
      <w:r w:rsidR="006431D6" w:rsidRPr="000A689C">
        <w:rPr>
          <w:rFonts w:ascii="Traditional Arabic" w:hAnsi="Traditional Arabic" w:hint="cs"/>
          <w:noProof w:val="0"/>
          <w:color w:val="auto"/>
          <w:rtl/>
          <w:lang w:eastAsia="en-US"/>
        </w:rPr>
        <w:t xml:space="preserve">ن قصد بعبادته الدنيا بأخذ الأجرة عليها، فقد عمل عملا ليس عليه أمر النبي </w:t>
      </w:r>
      <w:r w:rsidR="00F350DE">
        <w:rPr>
          <w:rtl/>
          <w:lang w:eastAsia="en-US"/>
        </w:rPr>
        <w:sym w:font="AGA Arabesque" w:char="F072"/>
      </w:r>
      <w:r w:rsidR="006431D6" w:rsidRPr="000A689C">
        <w:rPr>
          <w:rFonts w:ascii="Traditional Arabic" w:hAnsi="Traditional Arabic" w:hint="cs"/>
          <w:noProof w:val="0"/>
          <w:color w:val="auto"/>
          <w:rtl/>
          <w:lang w:eastAsia="en-US"/>
        </w:rPr>
        <w:t xml:space="preserve">؛ </w:t>
      </w:r>
      <w:r w:rsidR="006431D6" w:rsidRPr="000A689C">
        <w:rPr>
          <w:rFonts w:ascii="Traditional Arabic" w:hAnsi="Traditional Arabic" w:hint="cs"/>
          <w:noProof w:val="0"/>
          <w:color w:val="auto"/>
          <w:rtl/>
          <w:lang w:eastAsia="en-US"/>
        </w:rPr>
        <w:lastRenderedPageBreak/>
        <w:t>فلهذا يكون عمله باطلا مردودا</w:t>
      </w:r>
      <w:r w:rsidR="006431D6" w:rsidRPr="00C821A1">
        <w:rPr>
          <w:rStyle w:val="af1"/>
          <w:szCs w:val="32"/>
          <w:rtl/>
        </w:rPr>
        <w:t>(</w:t>
      </w:r>
      <w:r w:rsidR="006431D6" w:rsidRPr="00C821A1">
        <w:rPr>
          <w:rStyle w:val="af1"/>
          <w:szCs w:val="32"/>
          <w:rtl/>
        </w:rPr>
        <w:footnoteReference w:id="2212"/>
      </w:r>
      <w:r w:rsidR="006431D6" w:rsidRPr="00C821A1">
        <w:rPr>
          <w:rStyle w:val="af1"/>
          <w:szCs w:val="32"/>
          <w:rtl/>
        </w:rPr>
        <w:t>)</w:t>
      </w:r>
      <w:r w:rsidR="006431D6" w:rsidRPr="000A689C">
        <w:rPr>
          <w:rFonts w:ascii="Traditional Arabic" w:hAnsi="Traditional Arabic" w:hint="cs"/>
          <w:noProof w:val="0"/>
          <w:color w:val="auto"/>
          <w:rtl/>
          <w:lang w:eastAsia="en-US"/>
        </w:rPr>
        <w:t>.</w:t>
      </w:r>
    </w:p>
    <w:p w:rsidR="006431D6" w:rsidRPr="00E470C4" w:rsidRDefault="006431D6" w:rsidP="000A76C7">
      <w:pPr>
        <w:pStyle w:val="afc"/>
        <w:numPr>
          <w:ilvl w:val="0"/>
          <w:numId w:val="313"/>
        </w:numPr>
        <w:rPr>
          <w:rFonts w:ascii="Traditional Arabic" w:hAnsi="Traditional Arabic"/>
          <w:noProof w:val="0"/>
          <w:color w:val="auto"/>
          <w:lang w:eastAsia="en-US"/>
        </w:rPr>
      </w:pPr>
      <w:r>
        <w:rPr>
          <w:rFonts w:ascii="Traditional Arabic" w:hAnsi="Traditional Arabic" w:hint="cs"/>
          <w:noProof w:val="0"/>
          <w:color w:val="auto"/>
          <w:rtl/>
          <w:lang w:eastAsia="en-US"/>
        </w:rPr>
        <w:t xml:space="preserve">حديث </w:t>
      </w:r>
      <w:r w:rsidRPr="007452A0">
        <w:rPr>
          <w:rFonts w:ascii="Traditional Arabic" w:hAnsi="Traditional Arabic"/>
          <w:noProof w:val="0"/>
          <w:rtl/>
          <w:lang w:eastAsia="en-US"/>
        </w:rPr>
        <w:t>ابن عباس</w:t>
      </w:r>
      <w:r w:rsidR="0053510A">
        <w:rPr>
          <w:rFonts w:ascii="Traditional Arabic" w:hAnsi="Traditional Arabic" w:hint="cs"/>
          <w:noProof w:val="0"/>
          <w:rtl/>
          <w:lang w:eastAsia="en-US"/>
        </w:rPr>
        <w:t>_رضي الله عنهما_</w:t>
      </w:r>
      <w:r w:rsidRPr="007452A0">
        <w:rPr>
          <w:rFonts w:ascii="Traditional Arabic" w:hAnsi="Traditional Arabic"/>
          <w:noProof w:val="0"/>
          <w:rtl/>
          <w:lang w:eastAsia="en-US"/>
        </w:rPr>
        <w:t xml:space="preserve"> أن ن</w:t>
      </w:r>
      <w:r w:rsidR="0053510A">
        <w:rPr>
          <w:rFonts w:ascii="Traditional Arabic" w:hAnsi="Traditional Arabic" w:hint="cs"/>
          <w:noProof w:val="0"/>
          <w:rtl/>
          <w:lang w:eastAsia="en-US"/>
        </w:rPr>
        <w:t>َ</w:t>
      </w:r>
      <w:r w:rsidRPr="007452A0">
        <w:rPr>
          <w:rFonts w:ascii="Traditional Arabic" w:hAnsi="Traditional Arabic"/>
          <w:noProof w:val="0"/>
          <w:rtl/>
          <w:lang w:eastAsia="en-US"/>
        </w:rPr>
        <w:t>ف</w:t>
      </w:r>
      <w:r w:rsidR="0053510A">
        <w:rPr>
          <w:rFonts w:ascii="Traditional Arabic" w:hAnsi="Traditional Arabic" w:hint="cs"/>
          <w:noProof w:val="0"/>
          <w:rtl/>
          <w:lang w:eastAsia="en-US"/>
        </w:rPr>
        <w:t>َ</w:t>
      </w:r>
      <w:r w:rsidRPr="007452A0">
        <w:rPr>
          <w:rFonts w:ascii="Traditional Arabic" w:hAnsi="Traditional Arabic"/>
          <w:noProof w:val="0"/>
          <w:rtl/>
          <w:lang w:eastAsia="en-US"/>
        </w:rPr>
        <w:t>را</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من أصحاب النبي </w:t>
      </w:r>
      <w:r w:rsidR="00F350DE">
        <w:rPr>
          <w:rFonts w:ascii="Traditional Arabic" w:hAnsi="Traditional Arabic"/>
          <w:noProof w:val="0"/>
          <w:color w:val="auto"/>
          <w:rtl/>
          <w:lang w:eastAsia="en-US"/>
        </w:rPr>
        <w:sym w:font="AGA Arabesque" w:char="F072"/>
      </w:r>
      <w:r w:rsidRPr="007452A0">
        <w:rPr>
          <w:rFonts w:ascii="Traditional Arabic" w:hAnsi="Traditional Arabic"/>
          <w:noProof w:val="0"/>
          <w:rtl/>
          <w:lang w:eastAsia="en-US"/>
        </w:rPr>
        <w:t xml:space="preserve"> م</w:t>
      </w:r>
      <w:r w:rsidR="0053510A">
        <w:rPr>
          <w:rFonts w:ascii="Traditional Arabic" w:hAnsi="Traditional Arabic" w:hint="cs"/>
          <w:noProof w:val="0"/>
          <w:rtl/>
          <w:lang w:eastAsia="en-US"/>
        </w:rPr>
        <w:t>َ</w:t>
      </w:r>
      <w:r w:rsidRPr="007452A0">
        <w:rPr>
          <w:rFonts w:ascii="Traditional Arabic" w:hAnsi="Traditional Arabic"/>
          <w:noProof w:val="0"/>
          <w:rtl/>
          <w:lang w:eastAsia="en-US"/>
        </w:rPr>
        <w:t>ر</w:t>
      </w:r>
      <w:r>
        <w:rPr>
          <w:rFonts w:ascii="Traditional Arabic" w:hAnsi="Traditional Arabic" w:hint="cs"/>
          <w:noProof w:val="0"/>
          <w:rtl/>
          <w:lang w:eastAsia="en-US"/>
        </w:rPr>
        <w:t>ُّ</w:t>
      </w:r>
      <w:r w:rsidRPr="007452A0">
        <w:rPr>
          <w:rFonts w:ascii="Traditional Arabic" w:hAnsi="Traditional Arabic"/>
          <w:noProof w:val="0"/>
          <w:rtl/>
          <w:lang w:eastAsia="en-US"/>
        </w:rPr>
        <w:t>وا بماء فيهم ل</w:t>
      </w:r>
      <w:r>
        <w:rPr>
          <w:rFonts w:ascii="Traditional Arabic" w:hAnsi="Traditional Arabic" w:hint="cs"/>
          <w:noProof w:val="0"/>
          <w:rtl/>
          <w:lang w:eastAsia="en-US"/>
        </w:rPr>
        <w:t>َ</w:t>
      </w:r>
      <w:r w:rsidRPr="007452A0">
        <w:rPr>
          <w:rFonts w:ascii="Traditional Arabic" w:hAnsi="Traditional Arabic"/>
          <w:noProof w:val="0"/>
          <w:rtl/>
          <w:lang w:eastAsia="en-US"/>
        </w:rPr>
        <w:t>د</w:t>
      </w:r>
      <w:r>
        <w:rPr>
          <w:rFonts w:ascii="Traditional Arabic" w:hAnsi="Traditional Arabic" w:hint="cs"/>
          <w:noProof w:val="0"/>
          <w:rtl/>
          <w:lang w:eastAsia="en-US"/>
        </w:rPr>
        <w:t>ِ</w:t>
      </w:r>
      <w:r w:rsidRPr="007452A0">
        <w:rPr>
          <w:rFonts w:ascii="Traditional Arabic" w:hAnsi="Traditional Arabic"/>
          <w:noProof w:val="0"/>
          <w:rtl/>
          <w:lang w:eastAsia="en-US"/>
        </w:rPr>
        <w:t>يغ أو سليم</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فعرض لهم رجل من أهل الماء فقال</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هل فيكم من راق</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إن في الماء رجلا لديغا</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أو سليما</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فانطلق رجل منهم فقرأ بفاتحة الكتاب على شاء</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فبر</w:t>
      </w:r>
      <w:r>
        <w:rPr>
          <w:rFonts w:ascii="Traditional Arabic" w:hAnsi="Traditional Arabic" w:hint="cs"/>
          <w:noProof w:val="0"/>
          <w:rtl/>
          <w:lang w:eastAsia="en-US"/>
        </w:rPr>
        <w:t>َ</w:t>
      </w:r>
      <w:r w:rsidRPr="007452A0">
        <w:rPr>
          <w:rFonts w:ascii="Traditional Arabic" w:hAnsi="Traditional Arabic"/>
          <w:noProof w:val="0"/>
          <w:rtl/>
          <w:lang w:eastAsia="en-US"/>
        </w:rPr>
        <w:t>أ</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فجاء بالشاء</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إلى أصحابه فكرهوا ذلك وقالوا</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أخذت على كتاب الله أجرا</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حتى ق</w:t>
      </w:r>
      <w:r>
        <w:rPr>
          <w:rFonts w:ascii="Traditional Arabic" w:hAnsi="Traditional Arabic" w:hint="cs"/>
          <w:noProof w:val="0"/>
          <w:rtl/>
          <w:lang w:eastAsia="en-US"/>
        </w:rPr>
        <w:t>َ</w:t>
      </w:r>
      <w:r w:rsidRPr="007452A0">
        <w:rPr>
          <w:rFonts w:ascii="Traditional Arabic" w:hAnsi="Traditional Arabic"/>
          <w:noProof w:val="0"/>
          <w:rtl/>
          <w:lang w:eastAsia="en-US"/>
        </w:rPr>
        <w:t>د</w:t>
      </w:r>
      <w:r>
        <w:rPr>
          <w:rFonts w:ascii="Traditional Arabic" w:hAnsi="Traditional Arabic" w:hint="cs"/>
          <w:noProof w:val="0"/>
          <w:rtl/>
          <w:lang w:eastAsia="en-US"/>
        </w:rPr>
        <w:t>ِ</w:t>
      </w:r>
      <w:r w:rsidRPr="007452A0">
        <w:rPr>
          <w:rFonts w:ascii="Traditional Arabic" w:hAnsi="Traditional Arabic"/>
          <w:noProof w:val="0"/>
          <w:rtl/>
          <w:lang w:eastAsia="en-US"/>
        </w:rPr>
        <w:t>موا المدينة فقالوا</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يا رسول الله أخذ على كتاب الله أجرا</w:t>
      </w:r>
      <w:r>
        <w:rPr>
          <w:rFonts w:ascii="Traditional Arabic" w:hAnsi="Traditional Arabic" w:hint="cs"/>
          <w:noProof w:val="0"/>
          <w:rtl/>
          <w:lang w:eastAsia="en-US"/>
        </w:rPr>
        <w:t>ً،</w:t>
      </w:r>
      <w:r w:rsidRPr="007452A0">
        <w:rPr>
          <w:rFonts w:ascii="Traditional Arabic" w:hAnsi="Traditional Arabic"/>
          <w:noProof w:val="0"/>
          <w:rtl/>
          <w:lang w:eastAsia="en-US"/>
        </w:rPr>
        <w:t xml:space="preserve"> فقال رسول الله </w:t>
      </w:r>
      <w:r w:rsidR="00F350DE">
        <w:rPr>
          <w:rFonts w:ascii="Traditional Arabic" w:hAnsi="Traditional Arabic"/>
          <w:noProof w:val="0"/>
          <w:color w:val="auto"/>
          <w:rtl/>
          <w:lang w:eastAsia="en-US"/>
        </w:rPr>
        <w:sym w:font="AGA Arabesque" w:char="F072"/>
      </w:r>
      <w:r>
        <w:rPr>
          <w:rFonts w:ascii="Traditional Arabic" w:hAnsi="Traditional Arabic" w:hint="cs"/>
          <w:noProof w:val="0"/>
          <w:rtl/>
          <w:lang w:eastAsia="en-US"/>
        </w:rPr>
        <w:t>:"</w:t>
      </w:r>
      <w:r w:rsidRPr="00E470C4">
        <w:rPr>
          <w:rFonts w:ascii="Traditional Arabic" w:hAnsi="Traditional Arabic"/>
          <w:noProof w:val="0"/>
          <w:color w:val="auto"/>
          <w:rtl/>
          <w:lang w:eastAsia="en-US"/>
        </w:rPr>
        <w:t xml:space="preserve">إن أحق ما أخذتم عليه أجرا </w:t>
      </w:r>
      <w:r w:rsidR="0053510A">
        <w:rPr>
          <w:rFonts w:ascii="Traditional Arabic" w:hAnsi="Traditional Arabic" w:hint="cs"/>
          <w:noProof w:val="0"/>
          <w:color w:val="auto"/>
          <w:rtl/>
          <w:lang w:eastAsia="en-US"/>
        </w:rPr>
        <w:t>ً</w:t>
      </w:r>
      <w:r w:rsidRPr="00E470C4">
        <w:rPr>
          <w:rFonts w:ascii="Traditional Arabic" w:hAnsi="Traditional Arabic"/>
          <w:noProof w:val="0"/>
          <w:color w:val="auto"/>
          <w:rtl/>
          <w:lang w:eastAsia="en-US"/>
        </w:rPr>
        <w:t>كتاب</w:t>
      </w:r>
      <w:r w:rsidR="0053510A">
        <w:rPr>
          <w:rFonts w:ascii="Traditional Arabic" w:hAnsi="Traditional Arabic" w:hint="cs"/>
          <w:noProof w:val="0"/>
          <w:color w:val="auto"/>
          <w:rtl/>
          <w:lang w:eastAsia="en-US"/>
        </w:rPr>
        <w:t>ُ</w:t>
      </w:r>
      <w:r w:rsidRPr="00E470C4">
        <w:rPr>
          <w:rFonts w:ascii="Traditional Arabic" w:hAnsi="Traditional Arabic"/>
          <w:noProof w:val="0"/>
          <w:color w:val="auto"/>
          <w:rtl/>
          <w:lang w:eastAsia="en-US"/>
        </w:rPr>
        <w:t xml:space="preserve"> الله</w:t>
      </w:r>
      <w:r w:rsidR="00AB0B9E">
        <w:rPr>
          <w:rFonts w:ascii="Traditional Arabic" w:hAnsi="Traditional Arabic"/>
          <w:noProof w:val="0"/>
          <w:color w:val="auto"/>
          <w:rtl/>
          <w:lang w:eastAsia="en-US"/>
        </w:rPr>
        <w:fldChar w:fldCharType="begin"/>
      </w:r>
      <w:r w:rsidR="00311F3B" w:rsidRPr="00C85F0F">
        <w:instrText>XE</w:instrText>
      </w:r>
      <w:r w:rsidR="00311F3B" w:rsidRPr="00C85F0F">
        <w:rPr>
          <w:rtl/>
        </w:rPr>
        <w:instrText xml:space="preserve"> "</w:instrText>
      </w:r>
      <w:r w:rsidR="00311F3B" w:rsidRPr="00C85F0F">
        <w:rPr>
          <w:rFonts w:ascii="Traditional Arabic" w:hAnsi="Traditional Arabic"/>
          <w:noProof w:val="0"/>
          <w:color w:val="auto"/>
          <w:rtl/>
          <w:lang w:eastAsia="en-US"/>
        </w:rPr>
        <w:instrText>إن أحق ما أخذتم عليه أجرا كتاب الله</w:instrText>
      </w:r>
      <w:r w:rsidR="00311F3B" w:rsidRPr="00C85F0F">
        <w:rPr>
          <w:rtl/>
        </w:rPr>
        <w:instrText>" \</w:instrText>
      </w:r>
      <w:r w:rsidR="00311F3B" w:rsidRPr="00C85F0F">
        <w:instrText>f</w:instrText>
      </w:r>
      <w:r w:rsidR="00311F3B">
        <w:instrText>h</w:instrText>
      </w:r>
      <w:r w:rsidR="00AB0B9E">
        <w:rPr>
          <w:rFonts w:ascii="Traditional Arabic" w:hAnsi="Traditional Arabic"/>
          <w:noProof w:val="0"/>
          <w:color w:val="auto"/>
          <w:rtl/>
          <w:lang w:eastAsia="en-US"/>
        </w:rPr>
        <w:fldChar w:fldCharType="end"/>
      </w:r>
      <w:r>
        <w:rPr>
          <w:rFonts w:ascii="Traditional Arabic" w:hAnsi="Traditional Arabic" w:hint="cs"/>
          <w:noProof w:val="0"/>
          <w:rtl/>
          <w:lang w:eastAsia="en-US"/>
        </w:rPr>
        <w:t>"</w:t>
      </w:r>
      <w:r w:rsidRPr="00C821A1">
        <w:rPr>
          <w:rStyle w:val="af1"/>
          <w:szCs w:val="32"/>
          <w:rtl/>
        </w:rPr>
        <w:t>(</w:t>
      </w:r>
      <w:r w:rsidRPr="00C821A1">
        <w:rPr>
          <w:rStyle w:val="af1"/>
          <w:szCs w:val="32"/>
          <w:rtl/>
        </w:rPr>
        <w:footnoteReference w:id="2213"/>
      </w:r>
      <w:r w:rsidRPr="00C821A1">
        <w:rPr>
          <w:rStyle w:val="af1"/>
          <w:szCs w:val="32"/>
          <w:rtl/>
        </w:rPr>
        <w:t>)</w:t>
      </w:r>
      <w:r>
        <w:rPr>
          <w:rFonts w:ascii="Traditional Arabic" w:hAnsi="Traditional Arabic" w:hint="cs"/>
          <w:noProof w:val="0"/>
          <w:rtl/>
          <w:lang w:eastAsia="en-US"/>
        </w:rPr>
        <w:t>.</w:t>
      </w:r>
    </w:p>
    <w:p w:rsidR="006431D6" w:rsidRDefault="006431D6" w:rsidP="00597C20">
      <w:pPr>
        <w:pStyle w:val="53"/>
        <w:rPr>
          <w:rtl/>
        </w:rPr>
      </w:pPr>
      <w:r>
        <w:rPr>
          <w:rFonts w:hint="cs"/>
          <w:rtl/>
        </w:rPr>
        <w:t>وجه الدلالة:</w:t>
      </w:r>
    </w:p>
    <w:p w:rsidR="006431D6" w:rsidRPr="000A689C" w:rsidRDefault="006431D6" w:rsidP="00597C20">
      <w:pPr>
        <w:ind w:firstLine="720"/>
        <w:rPr>
          <w:rFonts w:ascii="Traditional Arabic" w:hAnsi="Traditional Arabic"/>
          <w:noProof w:val="0"/>
          <w:color w:val="auto"/>
          <w:rtl/>
          <w:lang w:eastAsia="en-US"/>
        </w:rPr>
      </w:pPr>
      <w:r w:rsidRPr="000A689C">
        <w:rPr>
          <w:rFonts w:ascii="Traditional Arabic" w:hAnsi="Traditional Arabic"/>
          <w:noProof w:val="0"/>
          <w:rtl/>
          <w:lang w:eastAsia="en-US"/>
        </w:rPr>
        <w:t xml:space="preserve">دل </w:t>
      </w:r>
      <w:r w:rsidRPr="000A689C">
        <w:rPr>
          <w:rFonts w:ascii="Traditional Arabic" w:hAnsi="Traditional Arabic" w:hint="cs"/>
          <w:noProof w:val="0"/>
          <w:rtl/>
          <w:lang w:eastAsia="en-US"/>
        </w:rPr>
        <w:t>الحديث</w:t>
      </w:r>
      <w:r w:rsidRPr="000A689C">
        <w:rPr>
          <w:rFonts w:ascii="Traditional Arabic" w:hAnsi="Traditional Arabic"/>
          <w:noProof w:val="0"/>
          <w:rtl/>
          <w:lang w:eastAsia="en-US"/>
        </w:rPr>
        <w:t xml:space="preserve"> على أنه إذا كانت العبادة ذات نفع</w:t>
      </w:r>
      <w:r w:rsidRPr="000A689C">
        <w:rPr>
          <w:rFonts w:ascii="Traditional Arabic" w:hAnsi="Traditional Arabic" w:hint="cs"/>
          <w:noProof w:val="0"/>
          <w:rtl/>
          <w:lang w:eastAsia="en-US"/>
        </w:rPr>
        <w:t>ٍ</w:t>
      </w:r>
      <w:r w:rsidRPr="000A689C">
        <w:rPr>
          <w:rFonts w:ascii="Traditional Arabic" w:hAnsi="Traditional Arabic"/>
          <w:noProof w:val="0"/>
          <w:rtl/>
          <w:lang w:eastAsia="en-US"/>
        </w:rPr>
        <w:t xml:space="preserve"> متعدٍّ، وأراد الإنسان النفع المتعدي</w:t>
      </w:r>
      <w:r w:rsidRPr="000A689C">
        <w:rPr>
          <w:rFonts w:ascii="Traditional Arabic" w:hAnsi="Traditional Arabic" w:hint="cs"/>
          <w:noProof w:val="0"/>
          <w:rtl/>
          <w:lang w:eastAsia="en-US"/>
        </w:rPr>
        <w:t>،</w:t>
      </w:r>
      <w:r w:rsidRPr="000A689C">
        <w:rPr>
          <w:rFonts w:ascii="Traditional Arabic" w:hAnsi="Traditional Arabic"/>
          <w:noProof w:val="0"/>
          <w:rtl/>
          <w:lang w:eastAsia="en-US"/>
        </w:rPr>
        <w:t xml:space="preserve"> فلا بأس أن يأخذ عليه أجراً، ولو كانت من جنس الأشياء التي لا تقع إلا قربة؛ لأن هذا القارئ ما قصد التعبد لله بالقراءة بل قصد نفع الغير، </w:t>
      </w:r>
      <w:r w:rsidRPr="000A689C">
        <w:rPr>
          <w:rFonts w:ascii="Traditional Arabic" w:hAnsi="Traditional Arabic" w:hint="cs"/>
          <w:noProof w:val="0"/>
          <w:rtl/>
          <w:lang w:eastAsia="en-US"/>
        </w:rPr>
        <w:t xml:space="preserve">والعوض هنا في مقابلة قراءته التي بها </w:t>
      </w:r>
      <w:r w:rsidRPr="000A689C">
        <w:rPr>
          <w:rFonts w:ascii="Traditional Arabic" w:hAnsi="Traditional Arabic"/>
          <w:noProof w:val="0"/>
          <w:rtl/>
          <w:lang w:eastAsia="en-US"/>
        </w:rPr>
        <w:t>الاستشفاء</w:t>
      </w:r>
      <w:r w:rsidRPr="000A689C">
        <w:rPr>
          <w:rFonts w:ascii="Traditional Arabic" w:hAnsi="Traditional Arabic" w:hint="cs"/>
          <w:noProof w:val="0"/>
          <w:rtl/>
          <w:lang w:eastAsia="en-US"/>
        </w:rPr>
        <w:t>، فهي عوض</w:t>
      </w:r>
      <w:r w:rsidR="0053510A">
        <w:rPr>
          <w:rFonts w:ascii="Traditional Arabic" w:hAnsi="Traditional Arabic" w:hint="cs"/>
          <w:noProof w:val="0"/>
          <w:rtl/>
          <w:lang w:eastAsia="en-US"/>
        </w:rPr>
        <w:t>ٌ</w:t>
      </w:r>
      <w:r w:rsidRPr="000A689C">
        <w:rPr>
          <w:rFonts w:ascii="Traditional Arabic" w:hAnsi="Traditional Arabic" w:hint="cs"/>
          <w:noProof w:val="0"/>
          <w:rtl/>
          <w:lang w:eastAsia="en-US"/>
        </w:rPr>
        <w:t xml:space="preserve"> عن أمر دنيوي، وهو شفاء هذا المريض</w:t>
      </w:r>
      <w:r w:rsidRPr="00C821A1">
        <w:rPr>
          <w:rStyle w:val="af1"/>
          <w:szCs w:val="32"/>
          <w:rtl/>
        </w:rPr>
        <w:t>(</w:t>
      </w:r>
      <w:r w:rsidRPr="00C821A1">
        <w:rPr>
          <w:rStyle w:val="af1"/>
          <w:szCs w:val="32"/>
          <w:rtl/>
        </w:rPr>
        <w:footnoteReference w:id="2214"/>
      </w:r>
      <w:r w:rsidRPr="00C821A1">
        <w:rPr>
          <w:rStyle w:val="af1"/>
          <w:szCs w:val="32"/>
          <w:rtl/>
        </w:rPr>
        <w:t>)</w:t>
      </w:r>
      <w:r w:rsidRPr="000A689C">
        <w:rPr>
          <w:rFonts w:ascii="Traditional Arabic" w:hAnsi="Traditional Arabic"/>
          <w:noProof w:val="0"/>
          <w:rtl/>
          <w:lang w:eastAsia="en-US"/>
        </w:rPr>
        <w:t>.</w:t>
      </w:r>
    </w:p>
    <w:p w:rsidR="006431D6" w:rsidRPr="004F5A0D" w:rsidRDefault="0053510A" w:rsidP="00A8347C">
      <w:pPr>
        <w:pStyle w:val="aff3"/>
        <w:rPr>
          <w:rtl/>
        </w:rPr>
      </w:pPr>
      <w:bookmarkStart w:id="518" w:name="_Toc334046693"/>
      <w:r>
        <w:rPr>
          <w:rFonts w:hint="cs"/>
          <w:rtl/>
        </w:rPr>
        <w:t xml:space="preserve">                                          </w:t>
      </w:r>
      <w:r w:rsidR="006431D6" w:rsidRPr="004F5A0D">
        <w:rPr>
          <w:rFonts w:hint="cs"/>
          <w:rtl/>
        </w:rPr>
        <w:t>المطلب الثالث</w:t>
      </w:r>
      <w:r w:rsidR="004F5A0D">
        <w:rPr>
          <w:rFonts w:hint="eastAsia"/>
          <w:rtl/>
        </w:rPr>
        <w:t> :</w:t>
      </w:r>
      <w:r w:rsidR="004F5A0D">
        <w:rPr>
          <w:rFonts w:hint="cs"/>
          <w:rtl/>
        </w:rPr>
        <w:br/>
      </w:r>
      <w:r>
        <w:rPr>
          <w:rFonts w:hint="cs"/>
          <w:rtl/>
        </w:rPr>
        <w:t xml:space="preserve">          </w:t>
      </w:r>
      <w:r w:rsidR="0070556A">
        <w:rPr>
          <w:rFonts w:hint="cs"/>
          <w:rtl/>
        </w:rPr>
        <w:t xml:space="preserve">                                </w:t>
      </w:r>
      <w:r w:rsidR="006431D6" w:rsidRPr="004F5A0D">
        <w:rPr>
          <w:rFonts w:hint="cs"/>
          <w:rtl/>
        </w:rPr>
        <w:t>تطبيقات الضابط</w:t>
      </w:r>
      <w:bookmarkEnd w:id="518"/>
    </w:p>
    <w:p w:rsidR="006431D6" w:rsidRDefault="006431D6" w:rsidP="000A76C7">
      <w:pPr>
        <w:pStyle w:val="afc"/>
        <w:numPr>
          <w:ilvl w:val="0"/>
          <w:numId w:val="314"/>
        </w:numPr>
        <w:rPr>
          <w:rFonts w:ascii="Traditional Arabic" w:hAnsi="Traditional Arabic"/>
          <w:noProof w:val="0"/>
          <w:color w:val="auto"/>
          <w:lang w:eastAsia="en-US"/>
        </w:rPr>
      </w:pPr>
      <w:r>
        <w:rPr>
          <w:rFonts w:ascii="Traditional Arabic" w:hAnsi="Traditional Arabic" w:hint="cs"/>
          <w:noProof w:val="0"/>
          <w:rtl/>
          <w:lang w:eastAsia="en-US"/>
        </w:rPr>
        <w:t>يحر</w:t>
      </w:r>
      <w:r w:rsidR="0053510A">
        <w:rPr>
          <w:rFonts w:ascii="Traditional Arabic" w:hAnsi="Traditional Arabic" w:hint="cs"/>
          <w:noProof w:val="0"/>
          <w:rtl/>
          <w:lang w:eastAsia="en-US"/>
        </w:rPr>
        <w:t>ُ</w:t>
      </w:r>
      <w:r>
        <w:rPr>
          <w:rFonts w:ascii="Traditional Arabic" w:hAnsi="Traditional Arabic" w:hint="cs"/>
          <w:noProof w:val="0"/>
          <w:rtl/>
          <w:lang w:eastAsia="en-US"/>
        </w:rPr>
        <w:t>م ا</w:t>
      </w:r>
      <w:r>
        <w:rPr>
          <w:rFonts w:ascii="Traditional Arabic" w:hAnsi="Traditional Arabic"/>
          <w:noProof w:val="0"/>
          <w:rtl/>
          <w:lang w:eastAsia="en-US"/>
        </w:rPr>
        <w:t>ست</w:t>
      </w:r>
      <w:r>
        <w:rPr>
          <w:rFonts w:ascii="Traditional Arabic" w:hAnsi="Traditional Arabic" w:hint="cs"/>
          <w:noProof w:val="0"/>
          <w:rtl/>
          <w:lang w:eastAsia="en-US"/>
        </w:rPr>
        <w:t>ئ</w:t>
      </w:r>
      <w:r w:rsidRPr="005D0743">
        <w:rPr>
          <w:rFonts w:ascii="Traditional Arabic" w:hAnsi="Traditional Arabic"/>
          <w:noProof w:val="0"/>
          <w:rtl/>
          <w:lang w:eastAsia="en-US"/>
        </w:rPr>
        <w:t>ج</w:t>
      </w:r>
      <w:r>
        <w:rPr>
          <w:rFonts w:ascii="Traditional Arabic" w:hAnsi="Traditional Arabic" w:hint="cs"/>
          <w:noProof w:val="0"/>
          <w:rtl/>
          <w:lang w:eastAsia="en-US"/>
        </w:rPr>
        <w:t>ا</w:t>
      </w:r>
      <w:r>
        <w:rPr>
          <w:rFonts w:ascii="Traditional Arabic" w:hAnsi="Traditional Arabic"/>
          <w:noProof w:val="0"/>
          <w:rtl/>
          <w:lang w:eastAsia="en-US"/>
        </w:rPr>
        <w:t>ر شخص</w:t>
      </w:r>
      <w:r w:rsidR="0053510A">
        <w:rPr>
          <w:rFonts w:ascii="Traditional Arabic" w:hAnsi="Traditional Arabic" w:hint="cs"/>
          <w:noProof w:val="0"/>
          <w:rtl/>
          <w:lang w:eastAsia="en-US"/>
        </w:rPr>
        <w:t xml:space="preserve"> </w:t>
      </w:r>
      <w:r>
        <w:rPr>
          <w:rFonts w:ascii="Traditional Arabic" w:hAnsi="Traditional Arabic" w:hint="cs"/>
          <w:noProof w:val="0"/>
          <w:rtl/>
          <w:lang w:eastAsia="en-US"/>
        </w:rPr>
        <w:t>ل</w:t>
      </w:r>
      <w:r w:rsidRPr="005D0743">
        <w:rPr>
          <w:rFonts w:ascii="Traditional Arabic" w:hAnsi="Traditional Arabic"/>
          <w:noProof w:val="0"/>
          <w:rtl/>
          <w:lang w:eastAsia="en-US"/>
        </w:rPr>
        <w:t>يؤذ</w:t>
      </w:r>
      <w:r>
        <w:rPr>
          <w:rFonts w:ascii="Traditional Arabic" w:hAnsi="Traditional Arabic" w:hint="cs"/>
          <w:noProof w:val="0"/>
          <w:rtl/>
          <w:lang w:eastAsia="en-US"/>
        </w:rPr>
        <w:t>ِّ</w:t>
      </w:r>
      <w:r>
        <w:rPr>
          <w:rFonts w:ascii="Traditional Arabic" w:hAnsi="Traditional Arabic"/>
          <w:noProof w:val="0"/>
          <w:rtl/>
          <w:lang w:eastAsia="en-US"/>
        </w:rPr>
        <w:t>ن أو يقيم؛ لأن</w:t>
      </w:r>
      <w:r>
        <w:rPr>
          <w:rFonts w:ascii="Traditional Arabic" w:hAnsi="Traditional Arabic" w:hint="cs"/>
          <w:noProof w:val="0"/>
          <w:rtl/>
          <w:lang w:eastAsia="en-US"/>
        </w:rPr>
        <w:t xml:space="preserve"> الأذان والإقامة</w:t>
      </w:r>
      <w:r w:rsidR="0053510A">
        <w:rPr>
          <w:rFonts w:ascii="Traditional Arabic" w:hAnsi="Traditional Arabic" w:hint="cs"/>
          <w:noProof w:val="0"/>
          <w:rtl/>
          <w:lang w:eastAsia="en-US"/>
        </w:rPr>
        <w:t xml:space="preserve"> </w:t>
      </w:r>
      <w:r>
        <w:rPr>
          <w:rFonts w:ascii="Traditional Arabic" w:hAnsi="Traditional Arabic"/>
          <w:noProof w:val="0"/>
          <w:rtl/>
          <w:lang w:eastAsia="en-US"/>
        </w:rPr>
        <w:t>من الق</w:t>
      </w:r>
      <w:r>
        <w:rPr>
          <w:rFonts w:ascii="Traditional Arabic" w:hAnsi="Traditional Arabic" w:hint="cs"/>
          <w:noProof w:val="0"/>
          <w:rtl/>
          <w:lang w:eastAsia="en-US"/>
        </w:rPr>
        <w:t>ُ</w:t>
      </w:r>
      <w:r>
        <w:rPr>
          <w:rFonts w:ascii="Traditional Arabic" w:hAnsi="Traditional Arabic"/>
          <w:noProof w:val="0"/>
          <w:rtl/>
          <w:lang w:eastAsia="en-US"/>
        </w:rPr>
        <w:t>ر</w:t>
      </w:r>
      <w:r>
        <w:rPr>
          <w:rFonts w:ascii="Traditional Arabic" w:hAnsi="Traditional Arabic" w:hint="cs"/>
          <w:noProof w:val="0"/>
          <w:rtl/>
          <w:lang w:eastAsia="en-US"/>
        </w:rPr>
        <w:t>َ</w:t>
      </w:r>
      <w:r>
        <w:rPr>
          <w:rFonts w:ascii="Traditional Arabic" w:hAnsi="Traditional Arabic"/>
          <w:noProof w:val="0"/>
          <w:rtl/>
          <w:lang w:eastAsia="en-US"/>
        </w:rPr>
        <w:t xml:space="preserve">ب </w:t>
      </w:r>
      <w:r>
        <w:rPr>
          <w:rFonts w:ascii="Traditional Arabic" w:hAnsi="Traditional Arabic" w:hint="cs"/>
          <w:noProof w:val="0"/>
          <w:rtl/>
          <w:lang w:eastAsia="en-US"/>
        </w:rPr>
        <w:t>و</w:t>
      </w:r>
      <w:r w:rsidRPr="005D0743">
        <w:rPr>
          <w:rFonts w:ascii="Traditional Arabic" w:hAnsi="Traditional Arabic"/>
          <w:noProof w:val="0"/>
          <w:rtl/>
          <w:lang w:eastAsia="en-US"/>
        </w:rPr>
        <w:t>العبادات، والعبادات لا يجوز أخذ الأجرة عليها</w:t>
      </w:r>
      <w:r w:rsidRPr="00C821A1">
        <w:rPr>
          <w:rStyle w:val="af1"/>
          <w:szCs w:val="32"/>
          <w:rtl/>
        </w:rPr>
        <w:t>(</w:t>
      </w:r>
      <w:r w:rsidRPr="00C821A1">
        <w:rPr>
          <w:rStyle w:val="af1"/>
          <w:szCs w:val="32"/>
          <w:rtl/>
        </w:rPr>
        <w:footnoteReference w:id="2215"/>
      </w:r>
      <w:r w:rsidRPr="00C821A1">
        <w:rPr>
          <w:rStyle w:val="af1"/>
          <w:szCs w:val="32"/>
          <w:rtl/>
        </w:rPr>
        <w:t>)</w:t>
      </w:r>
      <w:r>
        <w:rPr>
          <w:rFonts w:ascii="Traditional Arabic" w:hAnsi="Traditional Arabic" w:hint="cs"/>
          <w:noProof w:val="0"/>
          <w:color w:val="auto"/>
          <w:rtl/>
          <w:lang w:eastAsia="en-US"/>
        </w:rPr>
        <w:t>.</w:t>
      </w:r>
    </w:p>
    <w:p w:rsidR="006431D6" w:rsidRDefault="006431D6" w:rsidP="00597C20">
      <w:pPr>
        <w:pStyle w:val="53"/>
        <w:rPr>
          <w:rtl/>
        </w:rPr>
      </w:pPr>
      <w:r>
        <w:rPr>
          <w:rFonts w:hint="cs"/>
          <w:rtl/>
        </w:rPr>
        <w:lastRenderedPageBreak/>
        <w:t>وجه اندراج الفرع تحت الضابط:</w:t>
      </w:r>
    </w:p>
    <w:p w:rsidR="006431D6" w:rsidRPr="000A689C" w:rsidRDefault="006431D6" w:rsidP="00597C20">
      <w:pPr>
        <w:ind w:firstLine="720"/>
        <w:rPr>
          <w:rFonts w:ascii="Traditional Arabic" w:hAnsi="Traditional Arabic"/>
          <w:noProof w:val="0"/>
          <w:color w:val="auto"/>
          <w:rtl/>
          <w:lang w:eastAsia="en-US"/>
        </w:rPr>
      </w:pPr>
      <w:r w:rsidRPr="000A689C">
        <w:rPr>
          <w:rFonts w:ascii="Traditional Arabic" w:hAnsi="Traditional Arabic" w:hint="cs"/>
          <w:noProof w:val="0"/>
          <w:color w:val="auto"/>
          <w:rtl/>
          <w:lang w:eastAsia="en-US"/>
        </w:rPr>
        <w:t>الأذان والإقامة عبادة من العبادات</w:t>
      </w:r>
      <w:r w:rsidR="00B76414" w:rsidRPr="000A689C">
        <w:rPr>
          <w:rFonts w:ascii="Traditional Arabic" w:hAnsi="Traditional Arabic" w:hint="cs"/>
          <w:noProof w:val="0"/>
          <w:color w:val="auto"/>
          <w:rtl/>
          <w:lang w:eastAsia="en-US"/>
        </w:rPr>
        <w:t>،</w:t>
      </w:r>
      <w:r w:rsidRPr="000A689C">
        <w:rPr>
          <w:rFonts w:ascii="Traditional Arabic" w:hAnsi="Traditional Arabic" w:hint="cs"/>
          <w:noProof w:val="0"/>
          <w:color w:val="auto"/>
          <w:rtl/>
          <w:lang w:eastAsia="en-US"/>
        </w:rPr>
        <w:t xml:space="preserve"> وكل عمل لا يقع إلا قربة</w:t>
      </w:r>
      <w:r w:rsidR="000E139F">
        <w:rPr>
          <w:rFonts w:ascii="Traditional Arabic" w:hAnsi="Traditional Arabic" w:hint="cs"/>
          <w:noProof w:val="0"/>
          <w:color w:val="auto"/>
          <w:rtl/>
          <w:lang w:eastAsia="en-US"/>
        </w:rPr>
        <w:t xml:space="preserve"> </w:t>
      </w:r>
      <w:r w:rsidRPr="000A689C">
        <w:rPr>
          <w:rFonts w:ascii="Traditional Arabic" w:hAnsi="Traditional Arabic" w:hint="cs"/>
          <w:noProof w:val="0"/>
          <w:color w:val="auto"/>
          <w:rtl/>
          <w:lang w:eastAsia="en-US"/>
        </w:rPr>
        <w:t>لا يصح عقد</w:t>
      </w:r>
      <w:r w:rsidR="000E139F">
        <w:rPr>
          <w:rFonts w:ascii="Traditional Arabic" w:hAnsi="Traditional Arabic" w:hint="cs"/>
          <w:noProof w:val="0"/>
          <w:color w:val="auto"/>
          <w:rtl/>
          <w:lang w:eastAsia="en-US"/>
        </w:rPr>
        <w:t>ُ</w:t>
      </w:r>
      <w:r w:rsidRPr="000A689C">
        <w:rPr>
          <w:rFonts w:ascii="Traditional Arabic" w:hAnsi="Traditional Arabic" w:hint="cs"/>
          <w:noProof w:val="0"/>
          <w:color w:val="auto"/>
          <w:rtl/>
          <w:lang w:eastAsia="en-US"/>
        </w:rPr>
        <w:t xml:space="preserve"> الأجرة عليه.</w:t>
      </w:r>
    </w:p>
    <w:p w:rsidR="006431D6" w:rsidRDefault="006431D6" w:rsidP="000A76C7">
      <w:pPr>
        <w:pStyle w:val="afc"/>
        <w:numPr>
          <w:ilvl w:val="0"/>
          <w:numId w:val="314"/>
        </w:numPr>
        <w:rPr>
          <w:rFonts w:ascii="Traditional Arabic" w:hAnsi="Traditional Arabic"/>
          <w:noProof w:val="0"/>
          <w:color w:val="auto"/>
          <w:lang w:eastAsia="en-US"/>
        </w:rPr>
      </w:pPr>
      <w:r>
        <w:rPr>
          <w:rFonts w:ascii="Traditional Arabic" w:hAnsi="Traditional Arabic"/>
          <w:noProof w:val="0"/>
          <w:rtl/>
          <w:lang w:eastAsia="en-US"/>
        </w:rPr>
        <w:t xml:space="preserve">لا يصح </w:t>
      </w:r>
      <w:r>
        <w:rPr>
          <w:rFonts w:ascii="Traditional Arabic" w:hAnsi="Traditional Arabic" w:hint="cs"/>
          <w:noProof w:val="0"/>
          <w:rtl/>
          <w:lang w:eastAsia="en-US"/>
        </w:rPr>
        <w:t>استئجار من يصوم عن الميت</w:t>
      </w:r>
      <w:r w:rsidRPr="00D24FD2">
        <w:rPr>
          <w:rFonts w:ascii="Traditional Arabic" w:hAnsi="Traditional Arabic"/>
          <w:noProof w:val="0"/>
          <w:rtl/>
          <w:lang w:eastAsia="en-US"/>
        </w:rPr>
        <w:t>؛ لأن مسائل الق</w:t>
      </w:r>
      <w:r w:rsidR="00446D19">
        <w:rPr>
          <w:rFonts w:ascii="Traditional Arabic" w:hAnsi="Traditional Arabic" w:hint="cs"/>
          <w:noProof w:val="0"/>
          <w:rtl/>
          <w:lang w:eastAsia="en-US"/>
        </w:rPr>
        <w:t>ُ</w:t>
      </w:r>
      <w:r w:rsidRPr="00D24FD2">
        <w:rPr>
          <w:rFonts w:ascii="Traditional Arabic" w:hAnsi="Traditional Arabic"/>
          <w:noProof w:val="0"/>
          <w:rtl/>
          <w:lang w:eastAsia="en-US"/>
        </w:rPr>
        <w:t>ر</w:t>
      </w:r>
      <w:r w:rsidR="00446D19">
        <w:rPr>
          <w:rFonts w:ascii="Traditional Arabic" w:hAnsi="Traditional Arabic" w:hint="cs"/>
          <w:noProof w:val="0"/>
          <w:rtl/>
          <w:lang w:eastAsia="en-US"/>
        </w:rPr>
        <w:t>َ</w:t>
      </w:r>
      <w:r w:rsidRPr="00D24FD2">
        <w:rPr>
          <w:rFonts w:ascii="Traditional Arabic" w:hAnsi="Traditional Arabic"/>
          <w:noProof w:val="0"/>
          <w:rtl/>
          <w:lang w:eastAsia="en-US"/>
        </w:rPr>
        <w:t>ب لا يصح الاستئجار عليها</w:t>
      </w:r>
      <w:r w:rsidRPr="00C821A1">
        <w:rPr>
          <w:rStyle w:val="af1"/>
          <w:szCs w:val="32"/>
          <w:rtl/>
        </w:rPr>
        <w:t>(</w:t>
      </w:r>
      <w:r w:rsidRPr="00C821A1">
        <w:rPr>
          <w:rStyle w:val="af1"/>
          <w:szCs w:val="32"/>
          <w:rtl/>
        </w:rPr>
        <w:footnoteReference w:id="2216"/>
      </w:r>
      <w:r w:rsidRPr="00C821A1">
        <w:rPr>
          <w:rStyle w:val="af1"/>
          <w:szCs w:val="32"/>
          <w:rtl/>
        </w:rPr>
        <w:t>)</w:t>
      </w:r>
      <w:r w:rsidRPr="00D24FD2">
        <w:rPr>
          <w:rFonts w:ascii="Traditional Arabic" w:hAnsi="Traditional Arabic"/>
          <w:noProof w:val="0"/>
          <w:rtl/>
          <w:lang w:eastAsia="en-US"/>
        </w:rPr>
        <w:t>.</w:t>
      </w:r>
    </w:p>
    <w:p w:rsidR="006431D6" w:rsidRDefault="006431D6" w:rsidP="00597C20">
      <w:pPr>
        <w:pStyle w:val="53"/>
        <w:rPr>
          <w:rtl/>
        </w:rPr>
      </w:pPr>
      <w:r>
        <w:rPr>
          <w:rFonts w:hint="cs"/>
          <w:rtl/>
        </w:rPr>
        <w:t>وجه اندراج الفرع تحت الضابط:</w:t>
      </w:r>
    </w:p>
    <w:p w:rsidR="006431D6" w:rsidRPr="000A689C" w:rsidRDefault="006431D6" w:rsidP="00597C20">
      <w:pPr>
        <w:ind w:firstLine="720"/>
        <w:rPr>
          <w:rFonts w:ascii="Traditional Arabic" w:hAnsi="Traditional Arabic"/>
          <w:noProof w:val="0"/>
          <w:color w:val="auto"/>
          <w:rtl/>
          <w:lang w:eastAsia="en-US"/>
        </w:rPr>
      </w:pPr>
      <w:r w:rsidRPr="000A689C">
        <w:rPr>
          <w:rFonts w:ascii="Traditional Arabic" w:hAnsi="Traditional Arabic" w:hint="cs"/>
          <w:noProof w:val="0"/>
          <w:color w:val="auto"/>
          <w:rtl/>
          <w:lang w:eastAsia="en-US"/>
        </w:rPr>
        <w:t>الصوم قربة من القربات، فلا يصح عقد الإجارة عليه؛ لأن كل عمل لا يقع إلا قربةفلا يصح عقد الأجرة عليه.</w:t>
      </w:r>
    </w:p>
    <w:p w:rsidR="006431D6" w:rsidRDefault="006431D6" w:rsidP="000A76C7">
      <w:pPr>
        <w:pStyle w:val="afc"/>
        <w:numPr>
          <w:ilvl w:val="0"/>
          <w:numId w:val="314"/>
        </w:numPr>
        <w:rPr>
          <w:rFonts w:ascii="Traditional Arabic" w:hAnsi="Traditional Arabic"/>
          <w:noProof w:val="0"/>
          <w:color w:val="auto"/>
          <w:lang w:eastAsia="en-US"/>
        </w:rPr>
      </w:pPr>
      <w:r>
        <w:rPr>
          <w:rFonts w:ascii="Traditional Arabic" w:hAnsi="Traditional Arabic" w:hint="cs"/>
          <w:noProof w:val="0"/>
          <w:rtl/>
          <w:lang w:eastAsia="en-US"/>
        </w:rPr>
        <w:t>يجوز للإنسان أن</w:t>
      </w:r>
      <w:r w:rsidR="0053510A">
        <w:rPr>
          <w:rFonts w:ascii="Traditional Arabic" w:hAnsi="Traditional Arabic" w:hint="cs"/>
          <w:noProof w:val="0"/>
          <w:rtl/>
          <w:lang w:eastAsia="en-US"/>
        </w:rPr>
        <w:t xml:space="preserve"> </w:t>
      </w:r>
      <w:r>
        <w:rPr>
          <w:rFonts w:ascii="Traditional Arabic" w:hAnsi="Traditional Arabic" w:hint="cs"/>
          <w:noProof w:val="0"/>
          <w:rtl/>
          <w:lang w:eastAsia="en-US"/>
        </w:rPr>
        <w:t>يستأجر شخصا ليعلِّمه سورة البقرة</w:t>
      </w:r>
      <w:r w:rsidRPr="00E10096">
        <w:rPr>
          <w:rFonts w:ascii="Traditional Arabic" w:hAnsi="Traditional Arabic"/>
          <w:noProof w:val="0"/>
          <w:rtl/>
          <w:lang w:eastAsia="en-US"/>
        </w:rPr>
        <w:t xml:space="preserve">؛ لأن </w:t>
      </w:r>
      <w:r>
        <w:rPr>
          <w:rFonts w:ascii="Traditional Arabic" w:hAnsi="Traditional Arabic" w:hint="cs"/>
          <w:noProof w:val="0"/>
          <w:rtl/>
          <w:lang w:eastAsia="en-US"/>
        </w:rPr>
        <w:t>الاستئجار حصل على</w:t>
      </w:r>
      <w:r w:rsidR="0053510A">
        <w:rPr>
          <w:rFonts w:ascii="Traditional Arabic" w:hAnsi="Traditional Arabic" w:hint="cs"/>
          <w:noProof w:val="0"/>
          <w:rtl/>
          <w:lang w:eastAsia="en-US"/>
        </w:rPr>
        <w:t xml:space="preserve"> </w:t>
      </w:r>
      <w:r>
        <w:rPr>
          <w:rFonts w:ascii="Traditional Arabic" w:hAnsi="Traditional Arabic" w:hint="cs"/>
          <w:noProof w:val="0"/>
          <w:rtl/>
          <w:lang w:eastAsia="en-US"/>
        </w:rPr>
        <w:t>ا</w:t>
      </w:r>
      <w:r>
        <w:rPr>
          <w:rFonts w:ascii="Traditional Arabic" w:hAnsi="Traditional Arabic"/>
          <w:noProof w:val="0"/>
          <w:rtl/>
          <w:lang w:eastAsia="en-US"/>
        </w:rPr>
        <w:t>لتعليم</w:t>
      </w:r>
      <w:r w:rsidR="0053510A">
        <w:rPr>
          <w:rFonts w:ascii="Traditional Arabic" w:hAnsi="Traditional Arabic" w:hint="cs"/>
          <w:noProof w:val="0"/>
          <w:rtl/>
          <w:lang w:eastAsia="en-US"/>
        </w:rPr>
        <w:t>،</w:t>
      </w:r>
      <w:r>
        <w:rPr>
          <w:rFonts w:ascii="Traditional Arabic" w:hAnsi="Traditional Arabic"/>
          <w:noProof w:val="0"/>
          <w:rtl/>
          <w:lang w:eastAsia="en-US"/>
        </w:rPr>
        <w:t xml:space="preserve"> لا </w:t>
      </w:r>
      <w:r>
        <w:rPr>
          <w:rFonts w:ascii="Traditional Arabic" w:hAnsi="Traditional Arabic" w:hint="cs"/>
          <w:noProof w:val="0"/>
          <w:rtl/>
          <w:lang w:eastAsia="en-US"/>
        </w:rPr>
        <w:t>على ا</w:t>
      </w:r>
      <w:r w:rsidRPr="00E10096">
        <w:rPr>
          <w:rFonts w:ascii="Traditional Arabic" w:hAnsi="Traditional Arabic"/>
          <w:noProof w:val="0"/>
          <w:rtl/>
          <w:lang w:eastAsia="en-US"/>
        </w:rPr>
        <w:t>لتلاوة</w:t>
      </w:r>
      <w:r w:rsidRPr="00C821A1">
        <w:rPr>
          <w:rStyle w:val="af1"/>
          <w:szCs w:val="32"/>
          <w:rtl/>
        </w:rPr>
        <w:t>(</w:t>
      </w:r>
      <w:r w:rsidRPr="00C821A1">
        <w:rPr>
          <w:rStyle w:val="af1"/>
          <w:szCs w:val="32"/>
          <w:rtl/>
        </w:rPr>
        <w:footnoteReference w:id="2217"/>
      </w:r>
      <w:r w:rsidRPr="00C821A1">
        <w:rPr>
          <w:rStyle w:val="af1"/>
          <w:szCs w:val="32"/>
          <w:rtl/>
        </w:rPr>
        <w:t>)</w:t>
      </w:r>
      <w:r>
        <w:rPr>
          <w:rFonts w:ascii="Traditional Arabic" w:hAnsi="Traditional Arabic" w:hint="cs"/>
          <w:noProof w:val="0"/>
          <w:rtl/>
          <w:lang w:eastAsia="en-US"/>
        </w:rPr>
        <w:t>.</w:t>
      </w:r>
    </w:p>
    <w:p w:rsidR="00065E4B" w:rsidRDefault="006431D6" w:rsidP="00597C20">
      <w:pPr>
        <w:pStyle w:val="53"/>
        <w:rPr>
          <w:rtl/>
        </w:rPr>
      </w:pPr>
      <w:r>
        <w:rPr>
          <w:rFonts w:hint="cs"/>
          <w:rtl/>
        </w:rPr>
        <w:t>وجه اندراج الفرع تحت الضابط:</w:t>
      </w:r>
    </w:p>
    <w:p w:rsidR="00F228A9" w:rsidRPr="00615297" w:rsidRDefault="0053510A" w:rsidP="00597C20">
      <w:pPr>
        <w:ind w:firstLine="720"/>
        <w:rPr>
          <w:rtl/>
        </w:rPr>
      </w:pPr>
      <w:r>
        <w:rPr>
          <w:rFonts w:ascii="Traditional Arabic" w:hAnsi="Traditional Arabic" w:hint="cs"/>
          <w:noProof w:val="0"/>
          <w:color w:val="auto"/>
          <w:rtl/>
          <w:lang w:eastAsia="en-US"/>
        </w:rPr>
        <w:t>إ</w:t>
      </w:r>
      <w:r w:rsidR="006431D6" w:rsidRPr="00615297">
        <w:rPr>
          <w:rFonts w:ascii="Traditional Arabic" w:hAnsi="Traditional Arabic" w:hint="cs"/>
          <w:noProof w:val="0"/>
          <w:color w:val="auto"/>
          <w:rtl/>
          <w:lang w:eastAsia="en-US"/>
        </w:rPr>
        <w:t>ن التعليم نفع</w:t>
      </w:r>
      <w:r w:rsidR="006431D6">
        <w:rPr>
          <w:rFonts w:ascii="Traditional Arabic" w:hAnsi="Traditional Arabic" w:hint="cs"/>
          <w:noProof w:val="0"/>
          <w:color w:val="auto"/>
          <w:rtl/>
          <w:lang w:eastAsia="en-US"/>
        </w:rPr>
        <w:t>ُ</w:t>
      </w:r>
      <w:r w:rsidR="006431D6" w:rsidRPr="00615297">
        <w:rPr>
          <w:rFonts w:ascii="Traditional Arabic" w:hAnsi="Traditional Arabic" w:hint="cs"/>
          <w:noProof w:val="0"/>
          <w:color w:val="auto"/>
          <w:rtl/>
          <w:lang w:eastAsia="en-US"/>
        </w:rPr>
        <w:t>ه متعدِّ، والعوض هنا في مقابل التعليم، وليس في مقابل التعبد</w:t>
      </w:r>
      <w:r>
        <w:rPr>
          <w:rFonts w:ascii="Traditional Arabic" w:hAnsi="Traditional Arabic" w:hint="cs"/>
          <w:noProof w:val="0"/>
          <w:color w:val="auto"/>
          <w:rtl/>
          <w:lang w:eastAsia="en-US"/>
        </w:rPr>
        <w:t xml:space="preserve"> </w:t>
      </w:r>
      <w:r w:rsidR="006431D6" w:rsidRPr="00615297">
        <w:rPr>
          <w:rFonts w:ascii="Traditional Arabic" w:hAnsi="Traditional Arabic" w:hint="cs"/>
          <w:noProof w:val="0"/>
          <w:color w:val="auto"/>
          <w:rtl/>
          <w:lang w:eastAsia="en-US"/>
        </w:rPr>
        <w:t>بالتلاوة،</w:t>
      </w:r>
      <w:r w:rsidR="00154102">
        <w:rPr>
          <w:rFonts w:ascii="Traditional Arabic" w:hAnsi="Traditional Arabic" w:hint="cs"/>
          <w:noProof w:val="0"/>
          <w:color w:val="auto"/>
          <w:rtl/>
          <w:lang w:eastAsia="en-US"/>
        </w:rPr>
        <w:t xml:space="preserve"> </w:t>
      </w:r>
      <w:r w:rsidR="006431D6" w:rsidRPr="00615297">
        <w:rPr>
          <w:rtl/>
        </w:rPr>
        <w:t>وما كان نفعه</w:t>
      </w:r>
      <w:r w:rsidR="001616E3">
        <w:rPr>
          <w:rFonts w:hint="cs"/>
          <w:rtl/>
        </w:rPr>
        <w:t xml:space="preserve"> </w:t>
      </w:r>
      <w:r w:rsidR="006431D6" w:rsidRPr="00615297">
        <w:rPr>
          <w:rtl/>
        </w:rPr>
        <w:t>متعديا من الق</w:t>
      </w:r>
      <w:r>
        <w:rPr>
          <w:rFonts w:hint="cs"/>
          <w:rtl/>
        </w:rPr>
        <w:t>ُ</w:t>
      </w:r>
      <w:r w:rsidR="006431D6" w:rsidRPr="00615297">
        <w:rPr>
          <w:rtl/>
        </w:rPr>
        <w:t>ر</w:t>
      </w:r>
      <w:r>
        <w:rPr>
          <w:rFonts w:hint="cs"/>
          <w:rtl/>
        </w:rPr>
        <w:t>َ</w:t>
      </w:r>
      <w:r w:rsidR="006431D6" w:rsidRPr="00615297">
        <w:rPr>
          <w:rtl/>
        </w:rPr>
        <w:t>ب صح عقد الإجارة عليه</w:t>
      </w:r>
      <w:r w:rsidR="006431D6" w:rsidRPr="00615297">
        <w:rPr>
          <w:rFonts w:hint="cs"/>
          <w:rtl/>
        </w:rPr>
        <w:t>.</w:t>
      </w:r>
    </w:p>
    <w:p w:rsidR="00F228A9" w:rsidRDefault="006431D6" w:rsidP="000A76C7">
      <w:pPr>
        <w:pStyle w:val="afc"/>
        <w:numPr>
          <w:ilvl w:val="0"/>
          <w:numId w:val="314"/>
        </w:numPr>
        <w:tabs>
          <w:tab w:val="left" w:pos="3761"/>
        </w:tabs>
        <w:rPr>
          <w:rFonts w:ascii="Traditional Arabic" w:hAnsi="Traditional Arabic"/>
          <w:noProof w:val="0"/>
          <w:color w:val="auto"/>
          <w:lang w:eastAsia="en-US"/>
        </w:rPr>
      </w:pPr>
      <w:r>
        <w:rPr>
          <w:rFonts w:ascii="Traditional Arabic" w:hAnsi="Traditional Arabic" w:hint="cs"/>
          <w:noProof w:val="0"/>
          <w:color w:val="auto"/>
          <w:rtl/>
          <w:lang w:eastAsia="en-US"/>
        </w:rPr>
        <w:t>يجوز أخذ الأجرة على قراءة القرآن للاستشفاء؛ لأن العوض عن قراءة القرآن هنا أمر دنيوي، وهو شفاء المريض، والقارئ لم يقصد التعبد لله بالقراءة، وإنما قصد نفع المريض</w:t>
      </w:r>
      <w:r w:rsidRPr="00C821A1">
        <w:rPr>
          <w:rStyle w:val="af1"/>
          <w:szCs w:val="32"/>
          <w:rtl/>
        </w:rPr>
        <w:t>(</w:t>
      </w:r>
      <w:r w:rsidRPr="00C821A1">
        <w:rPr>
          <w:rStyle w:val="af1"/>
          <w:szCs w:val="32"/>
          <w:rtl/>
        </w:rPr>
        <w:footnoteReference w:id="2218"/>
      </w:r>
      <w:r w:rsidRPr="00C821A1">
        <w:rPr>
          <w:rStyle w:val="af1"/>
          <w:szCs w:val="32"/>
          <w:rtl/>
        </w:rPr>
        <w:t>)</w:t>
      </w:r>
      <w:r>
        <w:rPr>
          <w:rFonts w:ascii="Traditional Arabic" w:hAnsi="Traditional Arabic" w:hint="cs"/>
          <w:noProof w:val="0"/>
          <w:color w:val="auto"/>
          <w:rtl/>
          <w:lang w:eastAsia="en-US"/>
        </w:rPr>
        <w:t>.</w:t>
      </w:r>
    </w:p>
    <w:p w:rsidR="0053510A" w:rsidRPr="0053510A" w:rsidRDefault="0053510A" w:rsidP="0053510A">
      <w:pPr>
        <w:pStyle w:val="53"/>
        <w:ind w:left="1080"/>
      </w:pPr>
      <w:r>
        <w:rPr>
          <w:rFonts w:hint="cs"/>
          <w:rtl/>
        </w:rPr>
        <w:t>وجه اندراج الفرع تحت الضابط:</w:t>
      </w:r>
    </w:p>
    <w:p w:rsidR="006431D6" w:rsidRDefault="006431D6" w:rsidP="00597C20">
      <w:pPr>
        <w:pStyle w:val="afc"/>
        <w:tabs>
          <w:tab w:val="left" w:pos="3761"/>
        </w:tabs>
        <w:ind w:left="1080" w:firstLine="0"/>
        <w:rPr>
          <w:rFonts w:ascii="Traditional Arabic" w:hAnsi="Traditional Arabic"/>
          <w:noProof w:val="0"/>
          <w:rtl/>
          <w:lang w:eastAsia="en-US"/>
        </w:rPr>
      </w:pPr>
      <w:r>
        <w:rPr>
          <w:rFonts w:ascii="Traditional Arabic" w:hAnsi="Traditional Arabic" w:hint="cs"/>
          <w:noProof w:val="0"/>
          <w:color w:val="auto"/>
          <w:rtl/>
          <w:lang w:eastAsia="en-US"/>
        </w:rPr>
        <w:t xml:space="preserve">تجوز قراءة القرآن على المريض إذا قصد منها القارئ نفع المريض؛ لأن ما كان نفعه متعديا </w:t>
      </w:r>
      <w:r w:rsidR="0053510A">
        <w:rPr>
          <w:rFonts w:ascii="Traditional Arabic" w:hAnsi="Traditional Arabic" w:hint="cs"/>
          <w:noProof w:val="0"/>
          <w:color w:val="auto"/>
          <w:rtl/>
          <w:lang w:eastAsia="en-US"/>
        </w:rPr>
        <w:t>من القُرب يصح عقد الإجارة عليه ب</w:t>
      </w:r>
      <w:r>
        <w:rPr>
          <w:rFonts w:ascii="Traditional Arabic" w:hAnsi="Traditional Arabic" w:hint="cs"/>
          <w:noProof w:val="0"/>
          <w:color w:val="auto"/>
          <w:rtl/>
          <w:lang w:eastAsia="en-US"/>
        </w:rPr>
        <w:t xml:space="preserve">شرط أن يقصد العاقد </w:t>
      </w:r>
      <w:r w:rsidRPr="00F971D7">
        <w:rPr>
          <w:rFonts w:ascii="Traditional Arabic" w:hAnsi="Traditional Arabic"/>
          <w:noProof w:val="0"/>
          <w:rtl/>
          <w:lang w:eastAsia="en-US"/>
        </w:rPr>
        <w:t xml:space="preserve">نفع الغير الذي </w:t>
      </w:r>
      <w:r w:rsidRPr="00F971D7">
        <w:rPr>
          <w:rFonts w:ascii="Traditional Arabic" w:hAnsi="Traditional Arabic"/>
          <w:noProof w:val="0"/>
          <w:rtl/>
          <w:lang w:eastAsia="en-US"/>
        </w:rPr>
        <w:lastRenderedPageBreak/>
        <w:t>اس</w:t>
      </w:r>
      <w:r>
        <w:rPr>
          <w:rFonts w:ascii="Traditional Arabic" w:hAnsi="Traditional Arabic"/>
          <w:noProof w:val="0"/>
          <w:rtl/>
          <w:lang w:eastAsia="en-US"/>
        </w:rPr>
        <w:t>تأجره لاستيفاء</w:t>
      </w:r>
      <w:r w:rsidR="0053510A">
        <w:rPr>
          <w:rFonts w:ascii="Traditional Arabic" w:hAnsi="Traditional Arabic" w:hint="cs"/>
          <w:noProof w:val="0"/>
          <w:rtl/>
          <w:lang w:eastAsia="en-US"/>
        </w:rPr>
        <w:t xml:space="preserve"> </w:t>
      </w:r>
      <w:r w:rsidRPr="00F971D7">
        <w:rPr>
          <w:rFonts w:ascii="Traditional Arabic" w:hAnsi="Traditional Arabic"/>
          <w:noProof w:val="0"/>
          <w:rtl/>
          <w:lang w:eastAsia="en-US"/>
        </w:rPr>
        <w:t>المنفعة</w:t>
      </w:r>
      <w:r w:rsidRPr="00C821A1">
        <w:rPr>
          <w:rStyle w:val="af1"/>
          <w:szCs w:val="32"/>
          <w:rtl/>
        </w:rPr>
        <w:t>(</w:t>
      </w:r>
      <w:r w:rsidRPr="00C821A1">
        <w:rPr>
          <w:rStyle w:val="af1"/>
          <w:szCs w:val="32"/>
          <w:rtl/>
        </w:rPr>
        <w:footnoteReference w:id="2219"/>
      </w:r>
      <w:r w:rsidRPr="00C821A1">
        <w:rPr>
          <w:rStyle w:val="af1"/>
          <w:szCs w:val="32"/>
          <w:rtl/>
        </w:rPr>
        <w:t>)</w:t>
      </w:r>
      <w:r w:rsidRPr="00F971D7">
        <w:rPr>
          <w:rFonts w:ascii="Traditional Arabic" w:hAnsi="Traditional Arabic"/>
          <w:noProof w:val="0"/>
          <w:rtl/>
          <w:lang w:eastAsia="en-US"/>
        </w:rPr>
        <w:t>.</w:t>
      </w:r>
    </w:p>
    <w:p w:rsidR="0053510A" w:rsidRDefault="00EB60EC" w:rsidP="00EB60EC">
      <w:pPr>
        <w:widowControl/>
        <w:autoSpaceDE w:val="0"/>
        <w:autoSpaceDN w:val="0"/>
        <w:adjustRightInd w:val="0"/>
        <w:ind w:firstLine="720"/>
        <w:rPr>
          <w:rFonts w:ascii="Traditional Arabic" w:hAnsi="Traditional Arabic"/>
          <w:b/>
          <w:bCs/>
          <w:noProof w:val="0"/>
          <w:rtl/>
          <w:lang w:eastAsia="en-US"/>
        </w:rPr>
      </w:pPr>
      <w:r>
        <w:rPr>
          <w:rFonts w:ascii="Traditional Arabic" w:hAnsi="Traditional Arabic" w:hint="cs"/>
          <w:b/>
          <w:bCs/>
          <w:noProof w:val="0"/>
          <w:rtl/>
          <w:lang w:eastAsia="en-US"/>
        </w:rPr>
        <w:t xml:space="preserve">             </w:t>
      </w:r>
    </w:p>
    <w:p w:rsidR="0053510A" w:rsidRDefault="0053510A" w:rsidP="00EB60EC">
      <w:pPr>
        <w:widowControl/>
        <w:autoSpaceDE w:val="0"/>
        <w:autoSpaceDN w:val="0"/>
        <w:adjustRightInd w:val="0"/>
        <w:ind w:firstLine="720"/>
        <w:rPr>
          <w:rFonts w:ascii="Traditional Arabic" w:hAnsi="Traditional Arabic"/>
          <w:b/>
          <w:bCs/>
          <w:noProof w:val="0"/>
          <w:rtl/>
          <w:lang w:eastAsia="en-US"/>
        </w:rPr>
      </w:pPr>
    </w:p>
    <w:p w:rsidR="00EB60EC" w:rsidRPr="007A6F9A" w:rsidRDefault="0053510A" w:rsidP="00A811DB">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r w:rsidR="00EB60EC">
        <w:rPr>
          <w:rFonts w:ascii="Traditional Arabic" w:hAnsi="Traditional Arabic" w:hint="cs"/>
          <w:b/>
          <w:bCs/>
          <w:noProof w:val="0"/>
          <w:rtl/>
          <w:lang w:eastAsia="en-US"/>
        </w:rPr>
        <w:t xml:space="preserve">                    </w:t>
      </w:r>
    </w:p>
    <w:p w:rsidR="00EB60EC" w:rsidRPr="00F971D7" w:rsidRDefault="00EB60EC" w:rsidP="00597C20">
      <w:pPr>
        <w:pStyle w:val="afc"/>
        <w:tabs>
          <w:tab w:val="left" w:pos="3761"/>
        </w:tabs>
        <w:ind w:left="1080" w:firstLine="0"/>
        <w:rPr>
          <w:rFonts w:ascii="Traditional Arabic" w:hAnsi="Traditional Arabic"/>
          <w:noProof w:val="0"/>
          <w:color w:val="auto"/>
          <w:rtl/>
          <w:lang w:eastAsia="en-US"/>
        </w:rPr>
      </w:pPr>
    </w:p>
    <w:p w:rsidR="00D74CC0" w:rsidRPr="001B56A8" w:rsidRDefault="00D74CC0" w:rsidP="00597C20">
      <w:pPr>
        <w:pStyle w:val="aff0"/>
        <w:rPr>
          <w:rtl/>
        </w:rPr>
      </w:pPr>
      <w:bookmarkStart w:id="519" w:name="_Toc334046694"/>
      <w:r w:rsidRPr="001B56A8">
        <w:rPr>
          <w:rFonts w:hint="cs"/>
          <w:rtl/>
        </w:rPr>
        <w:lastRenderedPageBreak/>
        <w:t>الفصل السابع</w:t>
      </w:r>
      <w:r w:rsidRPr="001B56A8">
        <w:rPr>
          <w:rFonts w:hint="eastAsia"/>
          <w:rtl/>
        </w:rPr>
        <w:t> :</w:t>
      </w:r>
      <w:r w:rsidRPr="001B56A8">
        <w:rPr>
          <w:rFonts w:hint="cs"/>
          <w:rtl/>
        </w:rPr>
        <w:t>الضوابط المتعلقة بباب السبق وباب العارية وباب الغصب</w:t>
      </w:r>
      <w:bookmarkEnd w:id="519"/>
    </w:p>
    <w:p w:rsidR="00D74CC0" w:rsidRPr="002D7A92" w:rsidRDefault="00D74CC0"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ثلاثة مباحث:</w:t>
      </w:r>
    </w:p>
    <w:p w:rsidR="00D74CC0" w:rsidRDefault="00D74CC0" w:rsidP="00597C20">
      <w:pPr>
        <w:tabs>
          <w:tab w:val="left" w:pos="2833"/>
        </w:tabs>
        <w:ind w:left="2833" w:hanging="2268"/>
        <w:jc w:val="left"/>
        <w:rPr>
          <w:rtl/>
        </w:rPr>
      </w:pPr>
      <w:r w:rsidRPr="00FD5687">
        <w:rPr>
          <w:rFonts w:hint="cs"/>
          <w:b/>
          <w:bCs/>
          <w:rtl/>
        </w:rPr>
        <w:t>المبحث الأول:</w:t>
      </w:r>
      <w:r w:rsidR="002F34AD">
        <w:rPr>
          <w:rFonts w:hint="cs"/>
          <w:rtl/>
        </w:rPr>
        <w:tab/>
      </w:r>
      <w:r w:rsidRPr="00031790">
        <w:rPr>
          <w:rFonts w:hint="cs"/>
          <w:rtl/>
        </w:rPr>
        <w:t>ضابط الأصل منع العوض في المسابقة ولا يجوز إلا لسبب</w:t>
      </w:r>
      <w:r>
        <w:rPr>
          <w:rFonts w:hint="cs"/>
          <w:rtl/>
        </w:rPr>
        <w:t>.</w:t>
      </w:r>
    </w:p>
    <w:p w:rsidR="00D74CC0" w:rsidRPr="00031790" w:rsidRDefault="00D74CC0" w:rsidP="00597C20">
      <w:pPr>
        <w:tabs>
          <w:tab w:val="left" w:pos="2833"/>
        </w:tabs>
        <w:ind w:left="2833" w:hanging="2268"/>
        <w:jc w:val="left"/>
        <w:rPr>
          <w:rtl/>
        </w:rPr>
      </w:pPr>
      <w:r w:rsidRPr="00FD5687">
        <w:rPr>
          <w:rFonts w:hint="cs"/>
          <w:b/>
          <w:bCs/>
          <w:rtl/>
        </w:rPr>
        <w:t>المبحث الثاني:</w:t>
      </w:r>
      <w:r w:rsidR="002F34AD">
        <w:rPr>
          <w:rFonts w:hint="cs"/>
          <w:rtl/>
        </w:rPr>
        <w:tab/>
      </w:r>
      <w:r w:rsidR="00A811DB">
        <w:rPr>
          <w:rFonts w:hint="cs"/>
          <w:rtl/>
        </w:rPr>
        <w:t>ضابط يد المستعير يد أما</w:t>
      </w:r>
      <w:r w:rsidRPr="00031790">
        <w:rPr>
          <w:rFonts w:hint="cs"/>
          <w:rtl/>
        </w:rPr>
        <w:t>نة.</w:t>
      </w:r>
    </w:p>
    <w:p w:rsidR="00D74CC0" w:rsidRDefault="00D74CC0" w:rsidP="00597C20">
      <w:pPr>
        <w:tabs>
          <w:tab w:val="left" w:pos="2833"/>
        </w:tabs>
        <w:ind w:left="2833" w:hanging="2268"/>
        <w:rPr>
          <w:rtl/>
        </w:rPr>
      </w:pPr>
      <w:r w:rsidRPr="00FD5687">
        <w:rPr>
          <w:rFonts w:hint="cs"/>
          <w:b/>
          <w:bCs/>
          <w:rtl/>
        </w:rPr>
        <w:t>المبحث الثالث:</w:t>
      </w:r>
      <w:r w:rsidR="002F34AD">
        <w:rPr>
          <w:rFonts w:hint="cs"/>
          <w:rtl/>
        </w:rPr>
        <w:tab/>
      </w:r>
      <w:r w:rsidRPr="00031790">
        <w:rPr>
          <w:rFonts w:hint="cs"/>
          <w:rtl/>
        </w:rPr>
        <w:t>ضابط كل من بيده مال جهل صاحبه وأيس من العثور عليه فله أن يتصدق به بشرط الضمان.</w:t>
      </w:r>
    </w:p>
    <w:p w:rsidR="006431D6" w:rsidRPr="00C85F0F" w:rsidRDefault="00E1798A" w:rsidP="000F5C0F">
      <w:pPr>
        <w:pStyle w:val="aff2"/>
        <w:rPr>
          <w:rtl/>
        </w:rPr>
      </w:pPr>
      <w:bookmarkStart w:id="520" w:name="_Toc334046695"/>
      <w:r w:rsidRPr="00D816CC">
        <w:rPr>
          <w:rFonts w:hint="cs"/>
          <w:rtl/>
        </w:rPr>
        <w:lastRenderedPageBreak/>
        <w:t>المبحث الأول</w:t>
      </w:r>
      <w:r>
        <w:rPr>
          <w:rFonts w:hint="eastAsia"/>
          <w:rtl/>
        </w:rPr>
        <w:t> </w:t>
      </w:r>
      <w:r w:rsidRPr="00D816CC">
        <w:rPr>
          <w:rFonts w:hint="cs"/>
          <w:rtl/>
        </w:rPr>
        <w:t>:</w:t>
      </w:r>
      <w:r>
        <w:rPr>
          <w:rtl/>
        </w:rPr>
        <w:br/>
      </w:r>
      <w:r w:rsidR="006431D6">
        <w:rPr>
          <w:rFonts w:hint="cs"/>
          <w:rtl/>
        </w:rPr>
        <w:t>ضابط</w:t>
      </w:r>
      <w:r w:rsidR="006431D6">
        <w:rPr>
          <w:rtl/>
        </w:rPr>
        <w:br/>
      </w:r>
      <w:r w:rsidR="006431D6">
        <w:rPr>
          <w:rFonts w:hint="cs"/>
          <w:rtl/>
        </w:rPr>
        <w:t>"</w:t>
      </w:r>
      <w:r w:rsidR="00A811DB">
        <w:rPr>
          <w:rtl/>
        </w:rPr>
        <w:t>الأصل</w:t>
      </w:r>
      <w:r w:rsidR="006431D6" w:rsidRPr="009548B9">
        <w:rPr>
          <w:rtl/>
        </w:rPr>
        <w:t xml:space="preserve"> منع العوض في المسابقة، ولا يجوز إلا لسبب</w:t>
      </w:r>
      <w:r w:rsidR="00AB0B9E" w:rsidRPr="00C85F0F">
        <w:rPr>
          <w:rtl/>
        </w:rPr>
        <w:fldChar w:fldCharType="begin"/>
      </w:r>
      <w:r w:rsidR="00945AC4" w:rsidRPr="00C85F0F">
        <w:instrText>XE</w:instrText>
      </w:r>
      <w:r w:rsidR="00945AC4" w:rsidRPr="00C85F0F">
        <w:rPr>
          <w:rtl/>
        </w:rPr>
        <w:instrText xml:space="preserve"> "</w:instrText>
      </w:r>
      <w:r w:rsidR="00945AC4" w:rsidRPr="00C85F0F">
        <w:rPr>
          <w:rFonts w:hint="cs"/>
          <w:rtl/>
        </w:rPr>
        <w:instrText>الأصلهومنعالعوضفيالمسابقة،ولايجوزإلالسبب</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6431D6" w:rsidRPr="00C85F0F">
        <w:rPr>
          <w:rFonts w:hint="cs"/>
          <w:rtl/>
        </w:rPr>
        <w:t>"</w:t>
      </w:r>
      <w:r w:rsidR="006431D6" w:rsidRPr="00C85F0F">
        <w:rPr>
          <w:rStyle w:val="af1"/>
          <w:b w:val="0"/>
          <w:bCs w:val="0"/>
          <w:szCs w:val="32"/>
          <w:rtl/>
        </w:rPr>
        <w:t>(</w:t>
      </w:r>
      <w:r w:rsidR="006431D6" w:rsidRPr="00C85F0F">
        <w:rPr>
          <w:rStyle w:val="af1"/>
          <w:b w:val="0"/>
          <w:bCs w:val="0"/>
          <w:szCs w:val="32"/>
          <w:rtl/>
        </w:rPr>
        <w:footnoteReference w:id="2220"/>
      </w:r>
      <w:r w:rsidR="006431D6" w:rsidRPr="00C85F0F">
        <w:rPr>
          <w:rStyle w:val="af1"/>
          <w:b w:val="0"/>
          <w:bCs w:val="0"/>
          <w:szCs w:val="32"/>
          <w:rtl/>
        </w:rPr>
        <w:t>)</w:t>
      </w:r>
      <w:bookmarkEnd w:id="520"/>
    </w:p>
    <w:p w:rsidR="00065E4B" w:rsidRPr="00C85F0F" w:rsidRDefault="00EB60EC" w:rsidP="00A8347C">
      <w:pPr>
        <w:pStyle w:val="aff3"/>
        <w:rPr>
          <w:rtl/>
        </w:rPr>
      </w:pPr>
      <w:bookmarkStart w:id="521" w:name="_Toc334046696"/>
      <w:r>
        <w:rPr>
          <w:rFonts w:hint="cs"/>
          <w:rtl/>
        </w:rPr>
        <w:t xml:space="preserve">                       </w:t>
      </w:r>
      <w:r w:rsidR="006F05AF">
        <w:rPr>
          <w:rFonts w:hint="cs"/>
          <w:rtl/>
        </w:rPr>
        <w:t xml:space="preserve">                 </w:t>
      </w:r>
      <w:r w:rsidR="006431D6" w:rsidRPr="00C85F0F">
        <w:rPr>
          <w:rFonts w:hint="cs"/>
          <w:rtl/>
        </w:rPr>
        <w:t>المطلب الأول</w:t>
      </w:r>
      <w:r w:rsidR="004F5A0D" w:rsidRPr="00C85F0F">
        <w:rPr>
          <w:rFonts w:hint="eastAsia"/>
          <w:rtl/>
        </w:rPr>
        <w:t> :</w:t>
      </w:r>
      <w:r w:rsidR="004F5A0D" w:rsidRPr="00C85F0F">
        <w:rPr>
          <w:rFonts w:hint="cs"/>
          <w:rtl/>
        </w:rPr>
        <w:br/>
      </w:r>
      <w:r>
        <w:rPr>
          <w:rFonts w:hint="cs"/>
          <w:rtl/>
        </w:rPr>
        <w:t xml:space="preserve">                       </w:t>
      </w:r>
      <w:r w:rsidR="006F05AF">
        <w:rPr>
          <w:rFonts w:hint="cs"/>
          <w:rtl/>
        </w:rPr>
        <w:t xml:space="preserve">                  </w:t>
      </w:r>
      <w:r w:rsidR="006431D6" w:rsidRPr="00C85F0F">
        <w:rPr>
          <w:rFonts w:hint="cs"/>
          <w:rtl/>
        </w:rPr>
        <w:t>شرح الضابط</w:t>
      </w:r>
      <w:bookmarkEnd w:id="521"/>
    </w:p>
    <w:p w:rsidR="00065E4B" w:rsidRPr="00C85F0F" w:rsidRDefault="00065E4B" w:rsidP="00597C20">
      <w:pPr>
        <w:pStyle w:val="53"/>
        <w:rPr>
          <w:rtl/>
        </w:rPr>
      </w:pPr>
      <w:r w:rsidRPr="00C85F0F">
        <w:rPr>
          <w:rFonts w:hint="cs"/>
          <w:rtl/>
        </w:rPr>
        <w:t>م</w:t>
      </w:r>
      <w:r w:rsidR="006431D6" w:rsidRPr="00C85F0F">
        <w:rPr>
          <w:rFonts w:hint="cs"/>
          <w:rtl/>
        </w:rPr>
        <w:t xml:space="preserve">عنى </w:t>
      </w:r>
      <w:r w:rsidR="006431D6" w:rsidRPr="00FB0118">
        <w:rPr>
          <w:rFonts w:hint="cs"/>
          <w:rtl/>
        </w:rPr>
        <w:t>الضابط</w:t>
      </w:r>
      <w:r w:rsidR="006431D6" w:rsidRPr="00C85F0F">
        <w:rPr>
          <w:rFonts w:hint="cs"/>
          <w:rtl/>
        </w:rPr>
        <w:t xml:space="preserve"> إجمالا:</w:t>
      </w:r>
    </w:p>
    <w:p w:rsidR="00065E4B" w:rsidRPr="00C85F0F" w:rsidRDefault="00065E4B" w:rsidP="00597C20">
      <w:pPr>
        <w:widowControl/>
        <w:autoSpaceDE w:val="0"/>
        <w:autoSpaceDN w:val="0"/>
        <w:adjustRightInd w:val="0"/>
        <w:ind w:firstLine="707"/>
        <w:rPr>
          <w:rFonts w:ascii="Traditional Arabic" w:hAnsi="Traditional Arabic"/>
          <w:noProof w:val="0"/>
          <w:rtl/>
          <w:lang w:eastAsia="en-US"/>
        </w:rPr>
      </w:pPr>
      <w:r w:rsidRPr="00C85F0F">
        <w:rPr>
          <w:rFonts w:ascii="Traditional Arabic" w:hAnsi="Traditional Arabic"/>
          <w:noProof w:val="0"/>
          <w:rtl/>
          <w:lang w:eastAsia="en-US"/>
        </w:rPr>
        <w:t>ي</w:t>
      </w:r>
      <w:r w:rsidR="006431D6" w:rsidRPr="00C85F0F">
        <w:rPr>
          <w:rFonts w:ascii="Traditional Arabic" w:hAnsi="Traditional Arabic"/>
          <w:noProof w:val="0"/>
          <w:rtl/>
          <w:lang w:eastAsia="en-US"/>
        </w:rPr>
        <w:t xml:space="preserve">نقسم </w:t>
      </w:r>
      <w:r w:rsidR="006431D6" w:rsidRPr="00C85F0F">
        <w:rPr>
          <w:rFonts w:ascii="Traditional Arabic" w:hAnsi="Traditional Arabic" w:hint="cs"/>
          <w:noProof w:val="0"/>
          <w:rtl/>
          <w:lang w:eastAsia="en-US"/>
        </w:rPr>
        <w:t>السَّبْق</w:t>
      </w:r>
      <w:r w:rsidR="006431D6" w:rsidRPr="00C85F0F">
        <w:rPr>
          <w:rStyle w:val="af1"/>
          <w:szCs w:val="32"/>
          <w:rtl/>
        </w:rPr>
        <w:t>(</w:t>
      </w:r>
      <w:r w:rsidR="006431D6" w:rsidRPr="00C85F0F">
        <w:rPr>
          <w:rStyle w:val="af1"/>
          <w:szCs w:val="32"/>
          <w:rtl/>
        </w:rPr>
        <w:footnoteReference w:id="2221"/>
      </w:r>
      <w:r w:rsidR="006431D6" w:rsidRPr="00C85F0F">
        <w:rPr>
          <w:rStyle w:val="af1"/>
          <w:szCs w:val="32"/>
          <w:rtl/>
        </w:rPr>
        <w:t>)</w:t>
      </w:r>
      <w:r w:rsidR="006431D6" w:rsidRPr="00C85F0F">
        <w:rPr>
          <w:rFonts w:ascii="Traditional Arabic" w:hAnsi="Traditional Arabic"/>
          <w:noProof w:val="0"/>
          <w:rtl/>
          <w:lang w:eastAsia="en-US"/>
        </w:rPr>
        <w:t>إلى ثلاثة أقسام:</w:t>
      </w:r>
    </w:p>
    <w:p w:rsidR="00065E4B" w:rsidRPr="00C85F0F" w:rsidRDefault="00065E4B" w:rsidP="00597C20">
      <w:pPr>
        <w:widowControl/>
        <w:autoSpaceDE w:val="0"/>
        <w:autoSpaceDN w:val="0"/>
        <w:adjustRightInd w:val="0"/>
        <w:ind w:firstLine="707"/>
        <w:rPr>
          <w:rFonts w:ascii="Traditional Arabic" w:hAnsi="Traditional Arabic"/>
          <w:noProof w:val="0"/>
          <w:rtl/>
          <w:lang w:eastAsia="en-US"/>
        </w:rPr>
      </w:pPr>
      <w:r w:rsidRPr="00C85F0F">
        <w:rPr>
          <w:rFonts w:ascii="Traditional Arabic" w:hAnsi="Traditional Arabic"/>
          <w:noProof w:val="0"/>
          <w:rtl/>
          <w:lang w:eastAsia="en-US"/>
        </w:rPr>
        <w:t>ق</w:t>
      </w:r>
      <w:r w:rsidR="006431D6" w:rsidRPr="00C85F0F">
        <w:rPr>
          <w:rFonts w:ascii="Traditional Arabic" w:hAnsi="Traditional Arabic"/>
          <w:noProof w:val="0"/>
          <w:rtl/>
          <w:lang w:eastAsia="en-US"/>
        </w:rPr>
        <w:t>سم لا يجوز لا ب</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ع</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و</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ض ولا بغيره.</w:t>
      </w:r>
    </w:p>
    <w:p w:rsidR="00065E4B" w:rsidRPr="00C85F0F" w:rsidRDefault="00065E4B" w:rsidP="00597C20">
      <w:pPr>
        <w:widowControl/>
        <w:autoSpaceDE w:val="0"/>
        <w:autoSpaceDN w:val="0"/>
        <w:adjustRightInd w:val="0"/>
        <w:ind w:firstLine="707"/>
        <w:rPr>
          <w:rFonts w:ascii="Traditional Arabic" w:hAnsi="Traditional Arabic"/>
          <w:noProof w:val="0"/>
          <w:rtl/>
          <w:lang w:eastAsia="en-US"/>
        </w:rPr>
      </w:pPr>
      <w:r w:rsidRPr="00C85F0F">
        <w:rPr>
          <w:rFonts w:ascii="Traditional Arabic" w:hAnsi="Traditional Arabic"/>
          <w:noProof w:val="0"/>
          <w:rtl/>
          <w:lang w:eastAsia="en-US"/>
        </w:rPr>
        <w:t>و</w:t>
      </w:r>
      <w:r w:rsidR="006431D6" w:rsidRPr="00C85F0F">
        <w:rPr>
          <w:rFonts w:ascii="Traditional Arabic" w:hAnsi="Traditional Arabic"/>
          <w:noProof w:val="0"/>
          <w:rtl/>
          <w:lang w:eastAsia="en-US"/>
        </w:rPr>
        <w:t>قسم يجوز بعوض وغيره.</w:t>
      </w:r>
    </w:p>
    <w:p w:rsidR="00065E4B" w:rsidRPr="00C85F0F" w:rsidRDefault="00065E4B" w:rsidP="00597C20">
      <w:pPr>
        <w:widowControl/>
        <w:autoSpaceDE w:val="0"/>
        <w:autoSpaceDN w:val="0"/>
        <w:adjustRightInd w:val="0"/>
        <w:ind w:firstLine="707"/>
        <w:rPr>
          <w:rFonts w:ascii="Traditional Arabic" w:hAnsi="Traditional Arabic"/>
          <w:noProof w:val="0"/>
          <w:rtl/>
          <w:lang w:eastAsia="en-US"/>
        </w:rPr>
      </w:pPr>
      <w:r w:rsidRPr="00C85F0F">
        <w:rPr>
          <w:rFonts w:ascii="Traditional Arabic" w:hAnsi="Traditional Arabic"/>
          <w:noProof w:val="0"/>
          <w:rtl/>
          <w:lang w:eastAsia="en-US"/>
        </w:rPr>
        <w:t>و</w:t>
      </w:r>
      <w:r w:rsidR="006431D6" w:rsidRPr="00C85F0F">
        <w:rPr>
          <w:rFonts w:ascii="Traditional Arabic" w:hAnsi="Traditional Arabic"/>
          <w:noProof w:val="0"/>
          <w:rtl/>
          <w:lang w:eastAsia="en-US"/>
        </w:rPr>
        <w:t>قسم يجوز بلا عوض، ولا يجوز بعوض.</w:t>
      </w:r>
    </w:p>
    <w:p w:rsidR="006431D6" w:rsidRPr="00C85F0F" w:rsidRDefault="00065E4B" w:rsidP="00597C20">
      <w:pPr>
        <w:widowControl/>
        <w:autoSpaceDE w:val="0"/>
        <w:autoSpaceDN w:val="0"/>
        <w:adjustRightInd w:val="0"/>
        <w:ind w:firstLine="707"/>
        <w:rPr>
          <w:rFonts w:ascii="Traditional Arabic" w:hAnsi="Traditional Arabic"/>
          <w:noProof w:val="0"/>
          <w:color w:val="auto"/>
          <w:rtl/>
          <w:lang w:eastAsia="en-US"/>
        </w:rPr>
      </w:pPr>
      <w:r w:rsidRPr="00C85F0F">
        <w:rPr>
          <w:rFonts w:ascii="Traditional Arabic" w:hAnsi="Traditional Arabic"/>
          <w:noProof w:val="0"/>
          <w:rtl/>
          <w:lang w:eastAsia="en-US"/>
        </w:rPr>
        <w:t>و</w:t>
      </w:r>
      <w:r w:rsidR="006431D6" w:rsidRPr="00C85F0F">
        <w:rPr>
          <w:rFonts w:ascii="Traditional Arabic" w:hAnsi="Traditional Arabic"/>
          <w:noProof w:val="0"/>
          <w:rtl/>
          <w:lang w:eastAsia="en-US"/>
        </w:rPr>
        <w:t>الأصل في</w:t>
      </w:r>
      <w:r w:rsidR="006431D6" w:rsidRPr="00C85F0F">
        <w:rPr>
          <w:rFonts w:ascii="Traditional Arabic" w:hAnsi="Traditional Arabic" w:hint="cs"/>
          <w:noProof w:val="0"/>
          <w:rtl/>
          <w:lang w:eastAsia="en-US"/>
        </w:rPr>
        <w:t xml:space="preserve"> السبق</w:t>
      </w:r>
      <w:r w:rsidR="006431D6" w:rsidRPr="00C85F0F">
        <w:rPr>
          <w:rFonts w:ascii="Traditional Arabic" w:hAnsi="Traditional Arabic"/>
          <w:noProof w:val="0"/>
          <w:rtl/>
          <w:lang w:eastAsia="en-US"/>
        </w:rPr>
        <w:t xml:space="preserve"> م</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ن</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ع العوض؛ لأنه من باب الم</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ي</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س</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ر، فإن</w:t>
      </w:r>
      <w:r w:rsidR="006F05A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الإنسان </w:t>
      </w:r>
      <w:r w:rsidR="006F05AF">
        <w:rPr>
          <w:rFonts w:ascii="Traditional Arabic" w:hAnsi="Traditional Arabic" w:hint="cs"/>
          <w:noProof w:val="0"/>
          <w:rtl/>
          <w:lang w:eastAsia="en-US"/>
        </w:rPr>
        <w:t xml:space="preserve">فيه </w:t>
      </w:r>
      <w:r w:rsidR="006431D6" w:rsidRPr="00C85F0F">
        <w:rPr>
          <w:rFonts w:ascii="Traditional Arabic" w:hAnsi="Traditional Arabic"/>
          <w:noProof w:val="0"/>
          <w:rtl/>
          <w:lang w:eastAsia="en-US"/>
        </w:rPr>
        <w:t>إما أن يكون غانما وإما أن يكون غارما، فإذا جعلنا مائة</w:t>
      </w:r>
      <w:r w:rsidR="006431D6" w:rsidRPr="00A811DB">
        <w:rPr>
          <w:rFonts w:ascii="Traditional Arabic" w:hAnsi="Traditional Arabic"/>
          <w:noProof w:val="0"/>
          <w:sz w:val="48"/>
          <w:szCs w:val="48"/>
          <w:rtl/>
          <w:lang w:eastAsia="en-US"/>
        </w:rPr>
        <w:t xml:space="preserve"> </w:t>
      </w:r>
      <w:r w:rsidR="00A811DB" w:rsidRPr="00A811DB">
        <w:rPr>
          <w:rFonts w:ascii="Traditional Arabic" w:hAnsi="Traditional Arabic" w:hint="cs"/>
          <w:noProof w:val="0"/>
          <w:sz w:val="48"/>
          <w:szCs w:val="48"/>
          <w:rtl/>
          <w:lang w:eastAsia="en-US"/>
        </w:rPr>
        <w:t>ريال</w:t>
      </w:r>
      <w:r w:rsidR="006431D6" w:rsidRPr="00C85F0F">
        <w:rPr>
          <w:rFonts w:ascii="Traditional Arabic" w:hAnsi="Traditional Arabic"/>
          <w:noProof w:val="0"/>
          <w:rtl/>
          <w:lang w:eastAsia="en-US"/>
        </w:rPr>
        <w:t xml:space="preserve"> لمن س</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ب</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ق، وت</w:t>
      </w:r>
      <w:r w:rsidR="006F05AF">
        <w:rPr>
          <w:rFonts w:ascii="Traditional Arabic" w:hAnsi="Traditional Arabic" w:hint="cs"/>
          <w:noProof w:val="0"/>
          <w:rtl/>
          <w:lang w:eastAsia="en-US"/>
        </w:rPr>
        <w:t>َ</w:t>
      </w:r>
      <w:r w:rsidR="006431D6" w:rsidRPr="00C85F0F">
        <w:rPr>
          <w:rFonts w:ascii="Traditional Arabic" w:hAnsi="Traditional Arabic"/>
          <w:noProof w:val="0"/>
          <w:rtl/>
          <w:lang w:eastAsia="en-US"/>
        </w:rPr>
        <w:t>ساب</w:t>
      </w:r>
      <w:r w:rsidR="006F05A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ق اثنان في الجري على الأقدام، </w:t>
      </w:r>
      <w:r w:rsidR="006431D6" w:rsidRPr="00C85F0F">
        <w:rPr>
          <w:rFonts w:ascii="Traditional Arabic" w:hAnsi="Traditional Arabic" w:hint="cs"/>
          <w:noProof w:val="0"/>
          <w:rtl/>
          <w:lang w:eastAsia="en-US"/>
        </w:rPr>
        <w:t>ف</w:t>
      </w:r>
      <w:r w:rsidR="006431D6" w:rsidRPr="00C85F0F">
        <w:rPr>
          <w:rFonts w:ascii="Traditional Arabic" w:hAnsi="Traditional Arabic"/>
          <w:noProof w:val="0"/>
          <w:rtl/>
          <w:lang w:eastAsia="en-US"/>
        </w:rPr>
        <w:t>إما أن يأخذ</w:t>
      </w:r>
      <w:r w:rsidR="006431D6" w:rsidRPr="00C85F0F">
        <w:rPr>
          <w:rFonts w:ascii="Traditional Arabic" w:hAnsi="Traditional Arabic" w:hint="cs"/>
          <w:noProof w:val="0"/>
          <w:rtl/>
          <w:lang w:eastAsia="en-US"/>
        </w:rPr>
        <w:t xml:space="preserve"> أحدهما</w:t>
      </w:r>
      <w:r w:rsidR="006F05AF">
        <w:rPr>
          <w:rFonts w:ascii="Traditional Arabic" w:hAnsi="Traditional Arabic" w:hint="cs"/>
          <w:noProof w:val="0"/>
          <w:rtl/>
          <w:lang w:eastAsia="en-US"/>
        </w:rPr>
        <w:t xml:space="preserve"> </w:t>
      </w:r>
      <w:r w:rsidR="006431D6" w:rsidRPr="00C85F0F">
        <w:rPr>
          <w:rFonts w:ascii="Traditional Arabic" w:hAnsi="Traditional Arabic" w:hint="cs"/>
          <w:noProof w:val="0"/>
          <w:rtl/>
          <w:lang w:eastAsia="en-US"/>
        </w:rPr>
        <w:t>ال</w:t>
      </w:r>
      <w:r w:rsidR="006431D6" w:rsidRPr="00C85F0F">
        <w:rPr>
          <w:rFonts w:ascii="Traditional Arabic" w:hAnsi="Traditional Arabic"/>
          <w:noProof w:val="0"/>
          <w:rtl/>
          <w:lang w:eastAsia="en-US"/>
        </w:rPr>
        <w:t>مائة من صاحبه في</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غ</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ن</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م،</w:t>
      </w:r>
      <w:r w:rsidR="006F05AF">
        <w:rPr>
          <w:rFonts w:ascii="Traditional Arabic" w:hAnsi="Traditional Arabic" w:hint="cs"/>
          <w:noProof w:val="0"/>
          <w:rtl/>
          <w:lang w:eastAsia="en-US"/>
        </w:rPr>
        <w:t xml:space="preserve"> </w:t>
      </w:r>
      <w:r w:rsidR="006431D6" w:rsidRPr="00C85F0F">
        <w:rPr>
          <w:rFonts w:ascii="Traditional Arabic" w:hAnsi="Traditional Arabic"/>
          <w:noProof w:val="0"/>
          <w:rtl/>
          <w:lang w:eastAsia="en-US"/>
        </w:rPr>
        <w:t>أو تؤخذ منه في</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غ</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ر</w:t>
      </w:r>
      <w:r w:rsidR="006431D6" w:rsidRPr="00C85F0F">
        <w:rPr>
          <w:rFonts w:ascii="Traditional Arabic" w:hAnsi="Traditional Arabic" w:hint="cs"/>
          <w:noProof w:val="0"/>
          <w:rtl/>
          <w:lang w:eastAsia="en-US"/>
        </w:rPr>
        <w:t>َ</w:t>
      </w:r>
      <w:r w:rsidR="006431D6" w:rsidRPr="00C85F0F">
        <w:rPr>
          <w:rFonts w:ascii="Traditional Arabic" w:hAnsi="Traditional Arabic"/>
          <w:noProof w:val="0"/>
          <w:rtl/>
          <w:lang w:eastAsia="en-US"/>
        </w:rPr>
        <w:t>م، فهو في</w:t>
      </w:r>
      <w:r w:rsidR="006F05AF">
        <w:rPr>
          <w:rFonts w:ascii="Traditional Arabic" w:hAnsi="Traditional Arabic"/>
          <w:noProof w:val="0"/>
          <w:rtl/>
          <w:lang w:eastAsia="en-US"/>
        </w:rPr>
        <w:t xml:space="preserve"> الحقيقة ميسر، ولذلك فالأصل </w:t>
      </w:r>
      <w:r w:rsidR="006431D6" w:rsidRPr="00C85F0F">
        <w:rPr>
          <w:rFonts w:ascii="Traditional Arabic" w:hAnsi="Traditional Arabic"/>
          <w:noProof w:val="0"/>
          <w:rtl/>
          <w:lang w:eastAsia="en-US"/>
        </w:rPr>
        <w:t xml:space="preserve"> م</w:t>
      </w:r>
      <w:r w:rsidR="006F05AF">
        <w:rPr>
          <w:rFonts w:ascii="Traditional Arabic" w:hAnsi="Traditional Arabic" w:hint="cs"/>
          <w:noProof w:val="0"/>
          <w:rtl/>
          <w:lang w:eastAsia="en-US"/>
        </w:rPr>
        <w:t>َ</w:t>
      </w:r>
      <w:r w:rsidR="006431D6" w:rsidRPr="00C85F0F">
        <w:rPr>
          <w:rFonts w:ascii="Traditional Arabic" w:hAnsi="Traditional Arabic"/>
          <w:noProof w:val="0"/>
          <w:rtl/>
          <w:lang w:eastAsia="en-US"/>
        </w:rPr>
        <w:t>ن</w:t>
      </w:r>
      <w:r w:rsidR="006F05AF">
        <w:rPr>
          <w:rFonts w:ascii="Traditional Arabic" w:hAnsi="Traditional Arabic" w:hint="cs"/>
          <w:noProof w:val="0"/>
          <w:rtl/>
          <w:lang w:eastAsia="en-US"/>
        </w:rPr>
        <w:t>ْ</w:t>
      </w:r>
      <w:r w:rsidR="006431D6" w:rsidRPr="00C85F0F">
        <w:rPr>
          <w:rFonts w:ascii="Traditional Arabic" w:hAnsi="Traditional Arabic"/>
          <w:noProof w:val="0"/>
          <w:rtl/>
          <w:lang w:eastAsia="en-US"/>
        </w:rPr>
        <w:t>ع</w:t>
      </w:r>
      <w:r w:rsidR="006F05AF">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العوض في المسابقة، ولا يجوز إلا لسبب</w:t>
      </w:r>
      <w:r w:rsidR="006431D6" w:rsidRPr="00C85F0F">
        <w:rPr>
          <w:rStyle w:val="af1"/>
          <w:szCs w:val="32"/>
          <w:rtl/>
        </w:rPr>
        <w:t>(</w:t>
      </w:r>
      <w:r w:rsidR="006431D6" w:rsidRPr="00C85F0F">
        <w:rPr>
          <w:rStyle w:val="af1"/>
          <w:szCs w:val="32"/>
          <w:rtl/>
        </w:rPr>
        <w:footnoteReference w:id="2222"/>
      </w:r>
      <w:r w:rsidR="006431D6" w:rsidRPr="00C85F0F">
        <w:rPr>
          <w:rStyle w:val="af1"/>
          <w:szCs w:val="32"/>
          <w:rtl/>
        </w:rPr>
        <w:t>)(</w:t>
      </w:r>
      <w:r w:rsidR="006431D6" w:rsidRPr="00C85F0F">
        <w:rPr>
          <w:rStyle w:val="af1"/>
          <w:szCs w:val="32"/>
          <w:rtl/>
        </w:rPr>
        <w:footnoteReference w:id="2223"/>
      </w:r>
      <w:r w:rsidR="006431D6" w:rsidRPr="00C85F0F">
        <w:rPr>
          <w:rStyle w:val="af1"/>
          <w:szCs w:val="32"/>
          <w:rtl/>
        </w:rPr>
        <w:t>)</w:t>
      </w:r>
      <w:r w:rsidR="006431D6" w:rsidRPr="00C85F0F">
        <w:rPr>
          <w:rFonts w:ascii="Traditional Arabic" w:hAnsi="Traditional Arabic" w:hint="cs"/>
          <w:noProof w:val="0"/>
          <w:color w:val="auto"/>
          <w:rtl/>
          <w:lang w:eastAsia="en-US"/>
        </w:rPr>
        <w:t>.</w:t>
      </w:r>
    </w:p>
    <w:p w:rsidR="006431D6" w:rsidRPr="00C85F0F" w:rsidRDefault="00EB60EC" w:rsidP="00A8347C">
      <w:pPr>
        <w:pStyle w:val="aff3"/>
        <w:rPr>
          <w:rtl/>
        </w:rPr>
      </w:pPr>
      <w:bookmarkStart w:id="522" w:name="_Toc334046697"/>
      <w:r>
        <w:rPr>
          <w:rFonts w:hint="cs"/>
          <w:rtl/>
        </w:rPr>
        <w:lastRenderedPageBreak/>
        <w:t xml:space="preserve">     </w:t>
      </w:r>
      <w:r w:rsidR="006F05AF">
        <w:rPr>
          <w:rFonts w:hint="cs"/>
          <w:rtl/>
        </w:rPr>
        <w:t xml:space="preserve">                           </w:t>
      </w:r>
      <w:r>
        <w:rPr>
          <w:rFonts w:hint="cs"/>
          <w:rtl/>
        </w:rPr>
        <w:t xml:space="preserve">     </w:t>
      </w:r>
      <w:r w:rsidR="006431D6" w:rsidRPr="00C85F0F">
        <w:rPr>
          <w:rFonts w:hint="cs"/>
          <w:rtl/>
        </w:rPr>
        <w:t>المطلب الثاني</w:t>
      </w:r>
      <w:r w:rsidR="004F5A0D" w:rsidRPr="00C85F0F">
        <w:rPr>
          <w:rFonts w:hint="eastAsia"/>
          <w:rtl/>
        </w:rPr>
        <w:t> :</w:t>
      </w:r>
      <w:r w:rsidR="004F5A0D" w:rsidRPr="00C85F0F">
        <w:rPr>
          <w:rFonts w:hint="cs"/>
          <w:rtl/>
        </w:rPr>
        <w:br/>
      </w:r>
      <w:r>
        <w:rPr>
          <w:rFonts w:hint="cs"/>
          <w:rtl/>
        </w:rPr>
        <w:t xml:space="preserve">        </w:t>
      </w:r>
      <w:r w:rsidR="006F05AF">
        <w:rPr>
          <w:rFonts w:hint="cs"/>
          <w:rtl/>
        </w:rPr>
        <w:t xml:space="preserve">                              </w:t>
      </w:r>
      <w:r w:rsidR="006431D6" w:rsidRPr="00C85F0F">
        <w:rPr>
          <w:rFonts w:hint="cs"/>
          <w:rtl/>
        </w:rPr>
        <w:t>أدلة الضابط</w:t>
      </w:r>
      <w:bookmarkEnd w:id="522"/>
    </w:p>
    <w:p w:rsidR="006431D6" w:rsidRPr="00C85F0F" w:rsidRDefault="006431D6" w:rsidP="000A76C7">
      <w:pPr>
        <w:pStyle w:val="afc"/>
        <w:widowControl/>
        <w:numPr>
          <w:ilvl w:val="0"/>
          <w:numId w:val="315"/>
        </w:numPr>
        <w:autoSpaceDE w:val="0"/>
        <w:autoSpaceDN w:val="0"/>
        <w:adjustRightInd w:val="0"/>
        <w:rPr>
          <w:rFonts w:ascii="Traditional Arabic" w:hAnsi="Traditional Arabic"/>
          <w:noProof w:val="0"/>
          <w:color w:val="auto"/>
          <w:lang w:eastAsia="en-US"/>
        </w:rPr>
      </w:pPr>
      <w:r w:rsidRPr="00C85F0F">
        <w:rPr>
          <w:rFonts w:ascii="Traditional Arabic" w:hAnsi="Traditional Arabic" w:hint="cs"/>
          <w:noProof w:val="0"/>
          <w:color w:val="auto"/>
          <w:rtl/>
          <w:lang w:eastAsia="en-US"/>
        </w:rPr>
        <w:t xml:space="preserve">قول الله تعالى: </w:t>
      </w:r>
      <w:bookmarkStart w:id="523" w:name="سورة_المائدة_90إلى91"/>
      <w:r w:rsidR="00735180" w:rsidRPr="00895507">
        <w:rPr>
          <w:rFonts w:ascii="QCF_BSML" w:hAnsi="QCF_BSML" w:cs="QCF_BSML"/>
          <w:noProof w:val="0"/>
          <w:rtl/>
          <w:lang w:eastAsia="en-US"/>
        </w:rPr>
        <w:t>ﭽ</w:t>
      </w:r>
      <w:r w:rsidR="00735180" w:rsidRPr="00895507">
        <w:rPr>
          <w:rFonts w:ascii="QCF_P123" w:hAnsi="QCF_P123" w:cs="QCF_P123"/>
          <w:noProof w:val="0"/>
          <w:rtl/>
          <w:lang w:eastAsia="en-US"/>
        </w:rPr>
        <w:t>ﭑ</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ﭒ</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ﭓ</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ﭔ</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ﭕ</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ﭖ</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ﭗ</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ﭘ</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ﭙ</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ﭚ</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ﭛ</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ﭜ</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ﭝ</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ﭞ</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ﭟ</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ﭠ</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ﭡ</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ﭢ</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ﭣ</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ﭤ</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ﭥ</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ﭦ</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ﭧ</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ﭨ</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ﭩ</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ﭪ</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ﭫ</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ﭬ</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ﭭ</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ﭮ</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ﭯ</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ﭰ</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ﭱ</w:t>
      </w:r>
      <w:r w:rsidR="006F05AF">
        <w:rPr>
          <w:rFonts w:ascii="QCF_P123" w:hAnsi="QCF_P123" w:cs="QCF_P123" w:hint="cs"/>
          <w:noProof w:val="0"/>
          <w:rtl/>
          <w:lang w:eastAsia="en-US"/>
        </w:rPr>
        <w:t xml:space="preserve"> </w:t>
      </w:r>
      <w:r w:rsidR="00735180" w:rsidRPr="00895507">
        <w:rPr>
          <w:rFonts w:ascii="QCF_P123" w:hAnsi="QCF_P123" w:cs="QCF_P123"/>
          <w:noProof w:val="0"/>
          <w:color w:val="0000A5"/>
          <w:rtl/>
          <w:lang w:eastAsia="en-US"/>
        </w:rPr>
        <w:t>ﭲ</w:t>
      </w:r>
      <w:r w:rsidR="006F05AF">
        <w:rPr>
          <w:rFonts w:ascii="QCF_P123" w:hAnsi="QCF_P123" w:cs="QCF_P123" w:hint="cs"/>
          <w:noProof w:val="0"/>
          <w:color w:val="0000A5"/>
          <w:rtl/>
          <w:lang w:eastAsia="en-US"/>
        </w:rPr>
        <w:t xml:space="preserve"> </w:t>
      </w:r>
      <w:r w:rsidR="00735180" w:rsidRPr="00895507">
        <w:rPr>
          <w:rFonts w:ascii="QCF_P123" w:hAnsi="QCF_P123" w:cs="QCF_P123"/>
          <w:noProof w:val="0"/>
          <w:rtl/>
          <w:lang w:eastAsia="en-US"/>
        </w:rPr>
        <w:t>ﭳ</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ﭴ</w:t>
      </w:r>
      <w:r w:rsidR="006F05AF">
        <w:rPr>
          <w:rFonts w:ascii="QCF_P123" w:hAnsi="QCF_P123" w:cs="QCF_P123" w:hint="cs"/>
          <w:noProof w:val="0"/>
          <w:rtl/>
          <w:lang w:eastAsia="en-US"/>
        </w:rPr>
        <w:t xml:space="preserve"> </w:t>
      </w:r>
      <w:r w:rsidR="00735180" w:rsidRPr="00895507">
        <w:rPr>
          <w:rFonts w:ascii="QCF_P123" w:hAnsi="QCF_P123" w:cs="QCF_P123"/>
          <w:noProof w:val="0"/>
          <w:rtl/>
          <w:lang w:eastAsia="en-US"/>
        </w:rPr>
        <w:t>ﭵ</w:t>
      </w:r>
      <w:r w:rsidR="00735180" w:rsidRPr="00895507">
        <w:rPr>
          <w:rFonts w:ascii="QCF_BSML" w:hAnsi="QCF_BSML" w:cs="QCF_BSML"/>
          <w:noProof w:val="0"/>
          <w:rtl/>
          <w:lang w:eastAsia="en-US"/>
        </w:rPr>
        <w:t>ﭼ</w:t>
      </w:r>
      <w:bookmarkEnd w:id="523"/>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المائدة: ٩٠ – ٩١</w:t>
      </w:r>
      <w:r w:rsidRPr="00C85F0F">
        <w:rPr>
          <w:rFonts w:ascii="Traditional Arabic" w:hAnsi="Traditional Arabic" w:hint="cs"/>
          <w:noProof w:val="0"/>
          <w:color w:val="auto"/>
          <w:rtl/>
          <w:lang w:eastAsia="en-US"/>
        </w:rPr>
        <w:t>].</w:t>
      </w:r>
    </w:p>
    <w:p w:rsidR="006431D6" w:rsidRPr="003A770A" w:rsidRDefault="006431D6" w:rsidP="00597C20">
      <w:pPr>
        <w:pStyle w:val="53"/>
        <w:rPr>
          <w:rtl/>
        </w:rPr>
      </w:pPr>
      <w:r w:rsidRPr="00C85F0F">
        <w:rPr>
          <w:rFonts w:hint="cs"/>
          <w:rtl/>
        </w:rPr>
        <w:t>وجه الدلالة:</w:t>
      </w:r>
    </w:p>
    <w:p w:rsidR="006431D6" w:rsidRPr="006F05AF" w:rsidRDefault="006431D6" w:rsidP="006F05AF">
      <w:pPr>
        <w:widowControl/>
        <w:autoSpaceDE w:val="0"/>
        <w:autoSpaceDN w:val="0"/>
        <w:adjustRightInd w:val="0"/>
        <w:ind w:firstLine="72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حرَّم الله</w:t>
      </w:r>
      <w:r w:rsidR="006F05AF">
        <w:rPr>
          <w:rFonts w:ascii="Traditional Arabic" w:hAnsi="Traditional Arabic" w:hint="cs"/>
          <w:noProof w:val="0"/>
          <w:color w:val="auto"/>
          <w:rtl/>
          <w:lang w:eastAsia="en-US"/>
        </w:rPr>
        <w:t>_</w:t>
      </w:r>
      <w:r w:rsidRPr="00C85F0F">
        <w:rPr>
          <w:rFonts w:ascii="Traditional Arabic" w:hAnsi="Traditional Arabic" w:hint="cs"/>
          <w:noProof w:val="0"/>
          <w:color w:val="auto"/>
          <w:rtl/>
          <w:lang w:eastAsia="en-US"/>
        </w:rPr>
        <w:t xml:space="preserve"> </w:t>
      </w:r>
      <w:r w:rsidR="00866D6A" w:rsidRPr="00C85F0F">
        <w:rPr>
          <w:rFonts w:hint="cs"/>
          <w:rtl/>
          <w:lang w:eastAsia="en-US"/>
        </w:rPr>
        <w:sym w:font="AGA Arabesque" w:char="F055"/>
      </w:r>
      <w:r w:rsidR="006F05AF">
        <w:rPr>
          <w:rFonts w:ascii="Traditional Arabic" w:hAnsi="Traditional Arabic" w:hint="cs"/>
          <w:noProof w:val="0"/>
          <w:color w:val="auto"/>
          <w:rtl/>
          <w:lang w:eastAsia="en-US"/>
        </w:rPr>
        <w:t>_</w:t>
      </w:r>
      <w:r w:rsidRPr="00C85F0F">
        <w:rPr>
          <w:rFonts w:ascii="Traditional Arabic" w:hAnsi="Traditional Arabic" w:hint="cs"/>
          <w:noProof w:val="0"/>
          <w:color w:val="auto"/>
          <w:rtl/>
          <w:lang w:eastAsia="en-US"/>
        </w:rPr>
        <w:t xml:space="preserve"> الميسر في هذه الآية،</w:t>
      </w:r>
      <w:r w:rsidR="00154102" w:rsidRPr="00C85F0F">
        <w:rPr>
          <w:rFonts w:ascii="Traditional Arabic" w:hAnsi="Traditional Arabic" w:hint="cs"/>
          <w:noProof w:val="0"/>
          <w:color w:val="auto"/>
          <w:rtl/>
          <w:lang w:eastAsia="en-US"/>
        </w:rPr>
        <w:t xml:space="preserve"> و</w:t>
      </w:r>
      <w:r w:rsidRPr="00C85F0F">
        <w:rPr>
          <w:rFonts w:ascii="Traditional Arabic" w:hAnsi="Traditional Arabic" w:hint="cs"/>
          <w:noProof w:val="0"/>
          <w:color w:val="auto"/>
          <w:rtl/>
          <w:lang w:eastAsia="en-US"/>
        </w:rPr>
        <w:t>المسابقة بعوض داخلة في الميسر؛</w:t>
      </w:r>
      <w:r w:rsidR="006F05AF">
        <w:rPr>
          <w:rFonts w:ascii="Traditional Arabic" w:hAnsi="Traditional Arabic" w:hint="cs"/>
          <w:noProof w:val="0"/>
          <w:color w:val="auto"/>
          <w:rtl/>
          <w:lang w:eastAsia="en-US"/>
        </w:rPr>
        <w:t xml:space="preserve"> </w:t>
      </w:r>
      <w:r w:rsidRPr="00C85F0F">
        <w:rPr>
          <w:rFonts w:hint="cs"/>
          <w:rtl/>
        </w:rPr>
        <w:t>لأن المتسابق فيها إما أن يغرم وإما أن يغنم، وكل عقد مترد</w:t>
      </w:r>
      <w:r w:rsidR="006F05AF">
        <w:rPr>
          <w:rFonts w:hint="cs"/>
          <w:rtl/>
        </w:rPr>
        <w:t>ِّ</w:t>
      </w:r>
      <w:r w:rsidRPr="00C85F0F">
        <w:rPr>
          <w:rFonts w:hint="cs"/>
          <w:rtl/>
        </w:rPr>
        <w:t>د بين الغ</w:t>
      </w:r>
      <w:r w:rsidR="006F05AF">
        <w:rPr>
          <w:rFonts w:hint="cs"/>
          <w:rtl/>
        </w:rPr>
        <w:t>ُ</w:t>
      </w:r>
      <w:r w:rsidRPr="00C85F0F">
        <w:rPr>
          <w:rFonts w:hint="cs"/>
          <w:rtl/>
        </w:rPr>
        <w:t>رم والغ</w:t>
      </w:r>
      <w:r w:rsidR="006F05AF">
        <w:rPr>
          <w:rFonts w:hint="cs"/>
          <w:rtl/>
        </w:rPr>
        <w:t>ُ</w:t>
      </w:r>
      <w:r w:rsidRPr="00C85F0F">
        <w:rPr>
          <w:rFonts w:hint="cs"/>
          <w:rtl/>
        </w:rPr>
        <w:t>نم فهو ميسر؛ لذلك كان الأصل منع المسابقة بعوض</w:t>
      </w:r>
      <w:r w:rsidRPr="00C85F0F">
        <w:rPr>
          <w:rStyle w:val="af1"/>
          <w:szCs w:val="32"/>
          <w:rtl/>
        </w:rPr>
        <w:t>(</w:t>
      </w:r>
      <w:r w:rsidRPr="00C85F0F">
        <w:rPr>
          <w:rStyle w:val="af1"/>
          <w:szCs w:val="32"/>
          <w:rtl/>
        </w:rPr>
        <w:footnoteReference w:id="2224"/>
      </w:r>
      <w:r w:rsidRPr="00C85F0F">
        <w:rPr>
          <w:rStyle w:val="af1"/>
          <w:szCs w:val="32"/>
          <w:rtl/>
        </w:rPr>
        <w:t>)</w:t>
      </w:r>
      <w:r w:rsidRPr="00C85F0F">
        <w:rPr>
          <w:rFonts w:hint="cs"/>
          <w:rtl/>
        </w:rPr>
        <w:t>.</w:t>
      </w:r>
    </w:p>
    <w:p w:rsidR="006431D6" w:rsidRPr="00C85F0F" w:rsidRDefault="006F05AF" w:rsidP="000A76C7">
      <w:pPr>
        <w:pStyle w:val="afc"/>
        <w:numPr>
          <w:ilvl w:val="0"/>
          <w:numId w:val="315"/>
        </w:numPr>
      </w:pPr>
      <w:r>
        <w:rPr>
          <w:rFonts w:hint="cs"/>
          <w:rtl/>
        </w:rPr>
        <w:t>حديث أبي هريرة_رضي الله عنه_</w:t>
      </w:r>
      <w:r w:rsidR="006431D6" w:rsidRPr="00C85F0F">
        <w:rPr>
          <w:rFonts w:hint="cs"/>
          <w:rtl/>
        </w:rPr>
        <w:t xml:space="preserve"> قال: قال رسول الله </w:t>
      </w:r>
      <w:r w:rsidR="00F350DE" w:rsidRPr="00C85F0F">
        <w:rPr>
          <w:rFonts w:ascii="Traditional Arabic" w:hAnsi="Traditional Arabic"/>
          <w:noProof w:val="0"/>
          <w:color w:val="auto"/>
          <w:rtl/>
          <w:lang w:eastAsia="en-US"/>
        </w:rPr>
        <w:sym w:font="AGA Arabesque" w:char="F072"/>
      </w:r>
      <w:r w:rsidR="006431D6" w:rsidRPr="00C85F0F">
        <w:rPr>
          <w:rFonts w:hint="cs"/>
          <w:rtl/>
        </w:rPr>
        <w:t>:</w:t>
      </w:r>
      <w:r>
        <w:rPr>
          <w:rFonts w:hint="cs"/>
          <w:rtl/>
        </w:rPr>
        <w:t xml:space="preserve"> </w:t>
      </w:r>
      <w:r w:rsidR="006431D6" w:rsidRPr="00C85F0F">
        <w:rPr>
          <w:rFonts w:hint="cs"/>
          <w:rtl/>
        </w:rPr>
        <w:t>"لا سَبَقَ</w:t>
      </w:r>
      <w:r w:rsidR="006431D6" w:rsidRPr="00C85F0F">
        <w:rPr>
          <w:rStyle w:val="af1"/>
          <w:szCs w:val="32"/>
          <w:rtl/>
        </w:rPr>
        <w:t>(</w:t>
      </w:r>
      <w:r w:rsidR="006431D6" w:rsidRPr="00C85F0F">
        <w:rPr>
          <w:rStyle w:val="af1"/>
          <w:szCs w:val="32"/>
          <w:rtl/>
        </w:rPr>
        <w:footnoteReference w:id="2225"/>
      </w:r>
      <w:r w:rsidR="006431D6" w:rsidRPr="00C85F0F">
        <w:rPr>
          <w:rStyle w:val="af1"/>
          <w:szCs w:val="32"/>
          <w:rtl/>
        </w:rPr>
        <w:t>)</w:t>
      </w:r>
      <w:r w:rsidR="006431D6" w:rsidRPr="00C85F0F">
        <w:rPr>
          <w:rFonts w:hint="cs"/>
          <w:rtl/>
        </w:rPr>
        <w:t xml:space="preserve"> إلا في خُفٍّ</w:t>
      </w:r>
      <w:r w:rsidR="006431D6" w:rsidRPr="00C85F0F">
        <w:rPr>
          <w:rStyle w:val="af1"/>
          <w:szCs w:val="32"/>
          <w:rtl/>
        </w:rPr>
        <w:t>(</w:t>
      </w:r>
      <w:r w:rsidR="006431D6" w:rsidRPr="00C85F0F">
        <w:rPr>
          <w:rStyle w:val="af1"/>
          <w:szCs w:val="32"/>
          <w:rtl/>
        </w:rPr>
        <w:footnoteReference w:id="2226"/>
      </w:r>
      <w:r w:rsidR="006431D6" w:rsidRPr="00C85F0F">
        <w:rPr>
          <w:rStyle w:val="af1"/>
          <w:szCs w:val="32"/>
          <w:rtl/>
        </w:rPr>
        <w:t>)</w:t>
      </w:r>
      <w:r w:rsidR="006431D6" w:rsidRPr="00C85F0F">
        <w:rPr>
          <w:rFonts w:hint="cs"/>
          <w:rtl/>
        </w:rPr>
        <w:t>، أو نَصْلٍ</w:t>
      </w:r>
      <w:r w:rsidR="006431D6" w:rsidRPr="00C85F0F">
        <w:rPr>
          <w:rStyle w:val="af1"/>
          <w:szCs w:val="32"/>
          <w:rtl/>
        </w:rPr>
        <w:t>(</w:t>
      </w:r>
      <w:r w:rsidR="006431D6" w:rsidRPr="00C85F0F">
        <w:rPr>
          <w:rStyle w:val="af1"/>
          <w:szCs w:val="32"/>
          <w:rtl/>
        </w:rPr>
        <w:footnoteReference w:id="2227"/>
      </w:r>
      <w:r w:rsidR="006431D6" w:rsidRPr="00C85F0F">
        <w:rPr>
          <w:rStyle w:val="af1"/>
          <w:szCs w:val="32"/>
          <w:rtl/>
        </w:rPr>
        <w:t>)</w:t>
      </w:r>
      <w:r w:rsidR="006431D6" w:rsidRPr="00C85F0F">
        <w:rPr>
          <w:rFonts w:hint="cs"/>
          <w:rtl/>
        </w:rPr>
        <w:t>، أو حافِرٍ</w:t>
      </w:r>
      <w:r w:rsidR="00AB0B9E" w:rsidRPr="00C85F0F">
        <w:fldChar w:fldCharType="begin"/>
      </w:r>
      <w:r w:rsidR="00311F3B" w:rsidRPr="00C85F0F">
        <w:instrText>XE</w:instrText>
      </w:r>
      <w:r w:rsidR="00311F3B" w:rsidRPr="00C85F0F">
        <w:rPr>
          <w:rtl/>
        </w:rPr>
        <w:instrText xml:space="preserve"> "</w:instrText>
      </w:r>
      <w:r w:rsidR="00311F3B" w:rsidRPr="00C85F0F">
        <w:rPr>
          <w:rFonts w:hint="cs"/>
          <w:rtl/>
        </w:rPr>
        <w:instrText>لا سَبَقَ إلا في خُفٍّ، أو نَصْلٍ، أو حافِرٍ</w:instrText>
      </w:r>
      <w:r w:rsidR="00311F3B" w:rsidRPr="00C85F0F">
        <w:rPr>
          <w:rtl/>
        </w:rPr>
        <w:instrText>"\</w:instrText>
      </w:r>
      <w:r w:rsidR="00311F3B" w:rsidRPr="00C85F0F">
        <w:instrText>fh</w:instrText>
      </w:r>
      <w:r w:rsidR="00AB0B9E" w:rsidRPr="00C85F0F">
        <w:fldChar w:fldCharType="end"/>
      </w:r>
      <w:r w:rsidR="006431D6" w:rsidRPr="00C85F0F">
        <w:rPr>
          <w:rFonts w:hint="cs"/>
          <w:rtl/>
        </w:rPr>
        <w:t>"</w:t>
      </w:r>
      <w:r w:rsidR="006431D6" w:rsidRPr="00C85F0F">
        <w:rPr>
          <w:rStyle w:val="af1"/>
          <w:szCs w:val="32"/>
          <w:rtl/>
        </w:rPr>
        <w:t>(</w:t>
      </w:r>
      <w:r w:rsidR="006431D6" w:rsidRPr="00C85F0F">
        <w:rPr>
          <w:rStyle w:val="af1"/>
          <w:szCs w:val="32"/>
          <w:rtl/>
        </w:rPr>
        <w:footnoteReference w:id="2228"/>
      </w:r>
      <w:r w:rsidR="006431D6" w:rsidRPr="00C85F0F">
        <w:rPr>
          <w:rStyle w:val="af1"/>
          <w:szCs w:val="32"/>
          <w:rtl/>
        </w:rPr>
        <w:t>)</w:t>
      </w:r>
      <w:r w:rsidR="006431D6" w:rsidRPr="00C85F0F">
        <w:rPr>
          <w:rFonts w:hint="cs"/>
          <w:rtl/>
        </w:rPr>
        <w:t>.</w:t>
      </w:r>
    </w:p>
    <w:p w:rsidR="006431D6" w:rsidRPr="00C85F0F" w:rsidRDefault="006431D6" w:rsidP="00FD3233">
      <w:pPr>
        <w:pStyle w:val="53"/>
        <w:rPr>
          <w:rtl/>
        </w:rPr>
      </w:pPr>
      <w:r w:rsidRPr="00C85F0F">
        <w:rPr>
          <w:rFonts w:hint="cs"/>
          <w:rtl/>
        </w:rPr>
        <w:lastRenderedPageBreak/>
        <w:t xml:space="preserve">وجه </w:t>
      </w:r>
      <w:r w:rsidRPr="00FD3233">
        <w:rPr>
          <w:rFonts w:hint="cs"/>
          <w:rtl/>
        </w:rPr>
        <w:t>الدلالة</w:t>
      </w:r>
      <w:r w:rsidRPr="00C85F0F">
        <w:rPr>
          <w:rFonts w:hint="cs"/>
          <w:rtl/>
        </w:rPr>
        <w:t>:</w:t>
      </w:r>
    </w:p>
    <w:p w:rsidR="00F228A9" w:rsidRPr="00C85F0F" w:rsidRDefault="006431D6" w:rsidP="00597C20">
      <w:pPr>
        <w:ind w:firstLine="720"/>
        <w:rPr>
          <w:rtl/>
        </w:rPr>
      </w:pPr>
      <w:r w:rsidRPr="00C85F0F">
        <w:rPr>
          <w:rFonts w:hint="cs"/>
          <w:rtl/>
        </w:rPr>
        <w:t>من فوائد الحديث تحريم المسابقة على</w:t>
      </w:r>
      <w:r w:rsidR="006F05AF">
        <w:rPr>
          <w:rFonts w:hint="cs"/>
          <w:rtl/>
        </w:rPr>
        <w:t xml:space="preserve"> عوض إلا في هذه الثلاث، وجه ذلك:</w:t>
      </w:r>
      <w:r w:rsidRPr="00C85F0F">
        <w:rPr>
          <w:rFonts w:hint="cs"/>
          <w:rtl/>
        </w:rPr>
        <w:t xml:space="preserve"> أن النفي الوارد في الحديث يراد به النهي، </w:t>
      </w:r>
      <w:r w:rsidR="006F05AF">
        <w:rPr>
          <w:rFonts w:hint="cs"/>
          <w:rtl/>
        </w:rPr>
        <w:t>والنهي يقتضي التحريم، فالأصل إذاً</w:t>
      </w:r>
      <w:r w:rsidRPr="00C85F0F">
        <w:rPr>
          <w:rFonts w:hint="cs"/>
          <w:rtl/>
        </w:rPr>
        <w:t xml:space="preserve"> منع المسابقة على عوض إلا ما اسُتثني</w:t>
      </w:r>
      <w:r w:rsidR="00B0307E">
        <w:rPr>
          <w:rFonts w:hint="cs"/>
          <w:rtl/>
        </w:rPr>
        <w:t>،</w:t>
      </w:r>
      <w:r w:rsidRPr="00C85F0F">
        <w:rPr>
          <w:rFonts w:hint="cs"/>
          <w:rtl/>
        </w:rPr>
        <w:t xml:space="preserve"> كالثلاثة المذكورة في هذا الحديث</w:t>
      </w:r>
      <w:r w:rsidRPr="00C85F0F">
        <w:rPr>
          <w:rStyle w:val="af1"/>
          <w:szCs w:val="32"/>
          <w:rtl/>
        </w:rPr>
        <w:t>(</w:t>
      </w:r>
      <w:r w:rsidRPr="00C85F0F">
        <w:rPr>
          <w:rStyle w:val="af1"/>
          <w:szCs w:val="32"/>
          <w:rtl/>
        </w:rPr>
        <w:footnoteReference w:id="2229"/>
      </w:r>
      <w:r w:rsidRPr="00C85F0F">
        <w:rPr>
          <w:rStyle w:val="af1"/>
          <w:szCs w:val="32"/>
          <w:rtl/>
        </w:rPr>
        <w:t>)</w:t>
      </w:r>
      <w:r w:rsidRPr="00C85F0F">
        <w:rPr>
          <w:rFonts w:hint="cs"/>
          <w:rtl/>
        </w:rPr>
        <w:t>.</w:t>
      </w:r>
    </w:p>
    <w:p w:rsidR="00F228A9" w:rsidRPr="00C85F0F" w:rsidRDefault="00B0307E" w:rsidP="00A8347C">
      <w:pPr>
        <w:pStyle w:val="aff3"/>
        <w:rPr>
          <w:rtl/>
        </w:rPr>
      </w:pPr>
      <w:bookmarkStart w:id="524" w:name="_Toc334046698"/>
      <w:r>
        <w:rPr>
          <w:rFonts w:hint="cs"/>
          <w:rtl/>
        </w:rPr>
        <w:t xml:space="preserve">                                </w:t>
      </w:r>
      <w:r w:rsidR="0070556A">
        <w:rPr>
          <w:rFonts w:hint="cs"/>
          <w:rtl/>
        </w:rPr>
        <w:t xml:space="preserve">          </w:t>
      </w:r>
      <w:r w:rsidR="00F228A9" w:rsidRPr="00C85F0F">
        <w:rPr>
          <w:rFonts w:hint="cs"/>
          <w:rtl/>
        </w:rPr>
        <w:t>المطلب الثالث</w:t>
      </w:r>
      <w:r w:rsidR="00F228A9" w:rsidRPr="00C85F0F">
        <w:rPr>
          <w:rFonts w:hint="eastAsia"/>
          <w:rtl/>
        </w:rPr>
        <w:t> :</w:t>
      </w:r>
      <w:r w:rsidR="00F228A9" w:rsidRPr="00C85F0F">
        <w:rPr>
          <w:rFonts w:hint="cs"/>
          <w:rtl/>
        </w:rPr>
        <w:br/>
      </w:r>
      <w:r w:rsidR="0070556A">
        <w:rPr>
          <w:rFonts w:hint="cs"/>
          <w:rtl/>
        </w:rPr>
        <w:t xml:space="preserve">                                         </w:t>
      </w:r>
      <w:r w:rsidR="00F228A9" w:rsidRPr="00C85F0F">
        <w:rPr>
          <w:rFonts w:hint="cs"/>
          <w:rtl/>
        </w:rPr>
        <w:t>تطبيقات الضابط</w:t>
      </w:r>
      <w:bookmarkEnd w:id="524"/>
    </w:p>
    <w:p w:rsidR="00F228A9" w:rsidRPr="00C85F0F" w:rsidRDefault="006431D6" w:rsidP="000A76C7">
      <w:pPr>
        <w:pStyle w:val="afc"/>
        <w:numPr>
          <w:ilvl w:val="0"/>
          <w:numId w:val="316"/>
        </w:numPr>
      </w:pPr>
      <w:r w:rsidRPr="00C85F0F">
        <w:rPr>
          <w:rFonts w:ascii="Traditional Arabic" w:hAnsi="Traditional Arabic" w:hint="cs"/>
          <w:rtl/>
        </w:rPr>
        <w:t>لا تجوز المسابقة على الأقدام بعوض في المذهب الحنبلي</w:t>
      </w:r>
      <w:r w:rsidRPr="00C85F0F">
        <w:rPr>
          <w:rStyle w:val="af1"/>
          <w:szCs w:val="32"/>
          <w:rtl/>
        </w:rPr>
        <w:t>(</w:t>
      </w:r>
      <w:r w:rsidRPr="00C85F0F">
        <w:rPr>
          <w:rStyle w:val="af1"/>
          <w:szCs w:val="32"/>
          <w:rtl/>
        </w:rPr>
        <w:footnoteReference w:id="2230"/>
      </w:r>
      <w:r w:rsidRPr="00C85F0F">
        <w:rPr>
          <w:rStyle w:val="af1"/>
          <w:szCs w:val="32"/>
          <w:rtl/>
        </w:rPr>
        <w:t>)</w:t>
      </w:r>
      <w:r w:rsidRPr="00C85F0F">
        <w:rPr>
          <w:rFonts w:ascii="Traditional Arabic" w:hAnsi="Traditional Arabic" w:hint="cs"/>
          <w:rtl/>
        </w:rPr>
        <w:t>؛ لأن الأصل منع العوض في المسابقة</w:t>
      </w:r>
      <w:r w:rsidRPr="00C85F0F">
        <w:rPr>
          <w:rStyle w:val="af1"/>
          <w:szCs w:val="32"/>
          <w:rtl/>
        </w:rPr>
        <w:t>(</w:t>
      </w:r>
      <w:r w:rsidRPr="00C85F0F">
        <w:rPr>
          <w:rStyle w:val="af1"/>
          <w:szCs w:val="32"/>
          <w:rtl/>
        </w:rPr>
        <w:footnoteReference w:id="2231"/>
      </w:r>
      <w:r w:rsidRPr="00C85F0F">
        <w:rPr>
          <w:rStyle w:val="af1"/>
          <w:szCs w:val="32"/>
          <w:rtl/>
        </w:rPr>
        <w:t>)</w:t>
      </w:r>
      <w:r w:rsidRPr="00C85F0F">
        <w:rPr>
          <w:rFonts w:ascii="Traditional Arabic" w:hAnsi="Traditional Arabic" w:hint="cs"/>
          <w:rtl/>
        </w:rPr>
        <w:t>.</w:t>
      </w:r>
    </w:p>
    <w:p w:rsidR="006431D6" w:rsidRPr="00C85F0F" w:rsidRDefault="006431D6" w:rsidP="00FD3233">
      <w:pPr>
        <w:pStyle w:val="53"/>
        <w:rPr>
          <w:rtl/>
        </w:rPr>
      </w:pPr>
      <w:r w:rsidRPr="00C85F0F">
        <w:rPr>
          <w:rFonts w:hint="cs"/>
          <w:rtl/>
        </w:rPr>
        <w:t xml:space="preserve">وجه اندراج </w:t>
      </w:r>
      <w:r w:rsidRPr="00FD3233">
        <w:rPr>
          <w:rFonts w:hint="cs"/>
          <w:rtl/>
        </w:rPr>
        <w:t>الفرع</w:t>
      </w:r>
      <w:r w:rsidRPr="00C85F0F">
        <w:rPr>
          <w:rFonts w:hint="cs"/>
          <w:rtl/>
        </w:rPr>
        <w:t xml:space="preserve"> تحت الضابط:</w:t>
      </w:r>
    </w:p>
    <w:p w:rsidR="006431D6" w:rsidRPr="00C85F0F" w:rsidRDefault="006431D6" w:rsidP="00597C20">
      <w:pPr>
        <w:ind w:firstLine="720"/>
        <w:rPr>
          <w:rtl/>
        </w:rPr>
      </w:pPr>
      <w:r w:rsidRPr="00C85F0F">
        <w:rPr>
          <w:rFonts w:hint="cs"/>
          <w:rtl/>
        </w:rPr>
        <w:t>الأصل منع العوض في المسابقة، وأنه لا يجوز إلا لسبب، كالمسابقة في الخيل والإبل والس</w:t>
      </w:r>
      <w:r w:rsidR="00B0307E">
        <w:rPr>
          <w:rFonts w:hint="cs"/>
          <w:rtl/>
        </w:rPr>
        <w:t>ِّ</w:t>
      </w:r>
      <w:r w:rsidRPr="00C85F0F">
        <w:rPr>
          <w:rFonts w:hint="cs"/>
          <w:rtl/>
        </w:rPr>
        <w:t>هام وما يلحق بها مما يعين على الجهاد في سبيل الله، ويبقى السباق على الأقدام على الأصل الذي هو منع العوض فيه.</w:t>
      </w:r>
    </w:p>
    <w:p w:rsidR="00B0307E" w:rsidRPr="00B0307E" w:rsidRDefault="006431D6" w:rsidP="000A76C7">
      <w:pPr>
        <w:pStyle w:val="afc"/>
        <w:numPr>
          <w:ilvl w:val="0"/>
          <w:numId w:val="316"/>
        </w:numPr>
      </w:pPr>
      <w:r w:rsidRPr="00C85F0F">
        <w:rPr>
          <w:rFonts w:ascii="Traditional Arabic" w:hAnsi="Traditional Arabic"/>
          <w:noProof w:val="0"/>
          <w:rtl/>
          <w:lang w:eastAsia="en-US"/>
        </w:rPr>
        <w:t>إذا كانت العلوم شرعي</w:t>
      </w:r>
      <w:r w:rsidR="00B0307E">
        <w:rPr>
          <w:rFonts w:ascii="Traditional Arabic" w:hAnsi="Traditional Arabic" w:hint="cs"/>
          <w:noProof w:val="0"/>
          <w:rtl/>
          <w:lang w:eastAsia="en-US"/>
        </w:rPr>
        <w:t>َّ</w:t>
      </w:r>
      <w:r w:rsidRPr="00C85F0F">
        <w:rPr>
          <w:rFonts w:ascii="Traditional Arabic" w:hAnsi="Traditional Arabic"/>
          <w:noProof w:val="0"/>
          <w:rtl/>
          <w:lang w:eastAsia="en-US"/>
        </w:rPr>
        <w:t>ة</w:t>
      </w:r>
      <w:r w:rsidR="00B0307E">
        <w:rPr>
          <w:rFonts w:ascii="Traditional Arabic" w:hAnsi="Traditional Arabic" w:hint="cs"/>
          <w:noProof w:val="0"/>
          <w:rtl/>
          <w:lang w:eastAsia="en-US"/>
        </w:rPr>
        <w:t>ً</w:t>
      </w:r>
      <w:r w:rsidRPr="00C85F0F">
        <w:rPr>
          <w:rFonts w:ascii="Traditional Arabic" w:hAnsi="Traditional Arabic"/>
          <w:noProof w:val="0"/>
          <w:rtl/>
          <w:lang w:eastAsia="en-US"/>
        </w:rPr>
        <w:t>، أو مما يعين على الجهاد كالصناعات الحربية، فالمذهب</w:t>
      </w:r>
      <w:r w:rsidRPr="00C85F0F">
        <w:rPr>
          <w:rStyle w:val="af1"/>
          <w:szCs w:val="32"/>
          <w:rtl/>
        </w:rPr>
        <w:t>(</w:t>
      </w:r>
      <w:r w:rsidRPr="00C85F0F">
        <w:rPr>
          <w:rStyle w:val="af1"/>
          <w:szCs w:val="32"/>
          <w:rtl/>
        </w:rPr>
        <w:footnoteReference w:id="2232"/>
      </w:r>
      <w:r w:rsidRPr="00C85F0F">
        <w:rPr>
          <w:rStyle w:val="af1"/>
          <w:szCs w:val="32"/>
          <w:rtl/>
        </w:rPr>
        <w:t>)</w:t>
      </w:r>
      <w:r w:rsidRPr="00C85F0F">
        <w:rPr>
          <w:rFonts w:ascii="Traditional Arabic" w:hAnsi="Traditional Arabic" w:hint="cs"/>
          <w:noProof w:val="0"/>
          <w:rtl/>
          <w:lang w:eastAsia="en-US"/>
        </w:rPr>
        <w:t xml:space="preserve">أنه </w:t>
      </w:r>
      <w:r w:rsidRPr="00C85F0F">
        <w:rPr>
          <w:rFonts w:ascii="Traditional Arabic" w:hAnsi="Traditional Arabic"/>
          <w:noProof w:val="0"/>
          <w:rtl/>
          <w:lang w:eastAsia="en-US"/>
        </w:rPr>
        <w:t>لا تجوز المسابقة عليها</w:t>
      </w:r>
      <w:r w:rsidR="00B0307E">
        <w:rPr>
          <w:rFonts w:ascii="Traditional Arabic" w:hAnsi="Traditional Arabic" w:hint="cs"/>
          <w:noProof w:val="0"/>
          <w:rtl/>
          <w:lang w:eastAsia="en-US"/>
        </w:rPr>
        <w:t>؛</w:t>
      </w:r>
      <w:r w:rsidRPr="00C85F0F">
        <w:rPr>
          <w:rFonts w:ascii="Traditional Arabic" w:hAnsi="Traditional Arabic"/>
          <w:noProof w:val="0"/>
          <w:rtl/>
          <w:lang w:eastAsia="en-US"/>
        </w:rPr>
        <w:t xml:space="preserve"> لحديث</w:t>
      </w:r>
      <w:r w:rsidRPr="00C85F0F">
        <w:rPr>
          <w:rFonts w:ascii="Traditional Arabic" w:hAnsi="Traditional Arabic" w:hint="cs"/>
          <w:noProof w:val="0"/>
          <w:rtl/>
          <w:lang w:eastAsia="en-US"/>
        </w:rPr>
        <w:t>" لا سبق إلا في خف أو نصل أو حافر</w:t>
      </w:r>
      <w:r w:rsidR="00AB0B9E" w:rsidRPr="00C85F0F">
        <w:rPr>
          <w:rFonts w:ascii="Traditional Arabic" w:hAnsi="Traditional Arabic"/>
          <w:noProof w:val="0"/>
          <w:lang w:eastAsia="en-US"/>
        </w:rPr>
        <w:fldChar w:fldCharType="begin"/>
      </w:r>
      <w:r w:rsidR="00311F3B" w:rsidRPr="00C85F0F">
        <w:rPr>
          <w:rFonts w:ascii="Traditional Arabic" w:hAnsi="Traditional Arabic"/>
          <w:noProof w:val="0"/>
          <w:lang w:eastAsia="en-US"/>
        </w:rPr>
        <w:instrText>XE</w:instrText>
      </w:r>
      <w:r w:rsidR="00311F3B" w:rsidRPr="00C85F0F">
        <w:rPr>
          <w:rFonts w:ascii="Traditional Arabic" w:hAnsi="Traditional Arabic"/>
          <w:noProof w:val="0"/>
          <w:rtl/>
          <w:lang w:eastAsia="en-US"/>
        </w:rPr>
        <w:instrText xml:space="preserve"> "</w:instrText>
      </w:r>
      <w:r w:rsidR="00311F3B" w:rsidRPr="00C85F0F">
        <w:rPr>
          <w:rFonts w:ascii="Traditional Arabic" w:hAnsi="Traditional Arabic" w:hint="cs"/>
          <w:noProof w:val="0"/>
          <w:rtl/>
          <w:lang w:eastAsia="en-US"/>
        </w:rPr>
        <w:instrText>لا سَبَقَ إلا في خُفٍّ، أو نَصْلٍ، أو حافِرٍ</w:instrText>
      </w:r>
      <w:r w:rsidR="00311F3B" w:rsidRPr="00C85F0F">
        <w:rPr>
          <w:rFonts w:ascii="Traditional Arabic" w:hAnsi="Traditional Arabic"/>
          <w:noProof w:val="0"/>
          <w:rtl/>
          <w:lang w:eastAsia="en-US"/>
        </w:rPr>
        <w:instrText>"\</w:instrText>
      </w:r>
      <w:r w:rsidR="00311F3B" w:rsidRPr="00C85F0F">
        <w:rPr>
          <w:rFonts w:ascii="Traditional Arabic" w:hAnsi="Traditional Arabic"/>
          <w:noProof w:val="0"/>
          <w:lang w:eastAsia="en-US"/>
        </w:rPr>
        <w:instrText>fh</w:instrText>
      </w:r>
      <w:r w:rsidR="00AB0B9E" w:rsidRPr="00C85F0F">
        <w:rPr>
          <w:rFonts w:ascii="Traditional Arabic" w:hAnsi="Traditional Arabic"/>
          <w:noProof w:val="0"/>
          <w:lang w:eastAsia="en-US"/>
        </w:rPr>
        <w:fldChar w:fldCharType="end"/>
      </w:r>
      <w:r w:rsidRPr="00C85F0F">
        <w:rPr>
          <w:rFonts w:ascii="Traditional Arabic" w:hAnsi="Traditional Arabic" w:hint="cs"/>
          <w:noProof w:val="0"/>
          <w:rtl/>
          <w:lang w:eastAsia="en-US"/>
        </w:rPr>
        <w:t>"</w:t>
      </w:r>
      <w:r w:rsidRPr="00C85F0F">
        <w:rPr>
          <w:rStyle w:val="af1"/>
          <w:szCs w:val="32"/>
          <w:rtl/>
        </w:rPr>
        <w:t>(</w:t>
      </w:r>
      <w:r w:rsidRPr="00C85F0F">
        <w:rPr>
          <w:rStyle w:val="af1"/>
          <w:szCs w:val="32"/>
          <w:rtl/>
        </w:rPr>
        <w:footnoteReference w:id="2233"/>
      </w:r>
      <w:r w:rsidRPr="00C85F0F">
        <w:rPr>
          <w:rStyle w:val="af1"/>
          <w:szCs w:val="32"/>
          <w:rtl/>
        </w:rPr>
        <w:t>)</w:t>
      </w:r>
      <w:r w:rsidRPr="00C85F0F">
        <w:rPr>
          <w:rFonts w:ascii="Traditional Arabic" w:hAnsi="Traditional Arabic"/>
          <w:noProof w:val="0"/>
          <w:rtl/>
          <w:lang w:eastAsia="en-US"/>
        </w:rPr>
        <w:t>، والراجح الجواز</w:t>
      </w:r>
      <w:r w:rsidR="00B0307E">
        <w:rPr>
          <w:rFonts w:ascii="Traditional Arabic" w:hAnsi="Traditional Arabic" w:hint="cs"/>
          <w:noProof w:val="0"/>
          <w:rtl/>
          <w:lang w:eastAsia="en-US"/>
        </w:rPr>
        <w:t>،</w:t>
      </w:r>
      <w:r w:rsidRPr="00C85F0F">
        <w:rPr>
          <w:rFonts w:ascii="Traditional Arabic" w:hAnsi="Traditional Arabic"/>
          <w:noProof w:val="0"/>
          <w:rtl/>
          <w:lang w:eastAsia="en-US"/>
        </w:rPr>
        <w:t xml:space="preserve"> وهو اختيار شيخ الإسلام ابن تيمية</w:t>
      </w:r>
      <w:r w:rsidR="00B0307E">
        <w:rPr>
          <w:rFonts w:ascii="Traditional Arabic" w:hAnsi="Traditional Arabic" w:hint="cs"/>
          <w:noProof w:val="0"/>
          <w:rtl/>
          <w:lang w:eastAsia="en-US"/>
        </w:rPr>
        <w:t>_</w:t>
      </w:r>
      <w:r w:rsidR="009A0575" w:rsidRPr="005D5694">
        <w:rPr>
          <w:rFonts w:ascii="Traditional Arabic" w:hAnsi="Traditional Arabic" w:cs="CTraditional Arabic" w:hint="cs"/>
          <w:rtl/>
        </w:rPr>
        <w:t>/</w:t>
      </w:r>
      <w:r w:rsidR="00B0307E">
        <w:rPr>
          <w:rFonts w:ascii="Traditional Arabic" w:hAnsi="Traditional Arabic" w:hint="cs"/>
          <w:noProof w:val="0"/>
          <w:rtl/>
          <w:lang w:eastAsia="en-US"/>
        </w:rPr>
        <w:t>_</w:t>
      </w:r>
      <w:r w:rsidRPr="00C85F0F">
        <w:rPr>
          <w:rStyle w:val="af1"/>
          <w:szCs w:val="32"/>
          <w:rtl/>
        </w:rPr>
        <w:t>(</w:t>
      </w:r>
      <w:r w:rsidRPr="00C85F0F">
        <w:rPr>
          <w:rStyle w:val="af1"/>
          <w:szCs w:val="32"/>
          <w:rtl/>
        </w:rPr>
        <w:footnoteReference w:id="2234"/>
      </w:r>
      <w:r w:rsidRPr="00C85F0F">
        <w:rPr>
          <w:rStyle w:val="af1"/>
          <w:szCs w:val="32"/>
          <w:rtl/>
        </w:rPr>
        <w:t>)</w:t>
      </w:r>
      <w:r w:rsidR="00B0307E">
        <w:rPr>
          <w:rFonts w:ascii="Traditional Arabic" w:hAnsi="Traditional Arabic" w:hint="cs"/>
          <w:noProof w:val="0"/>
          <w:rtl/>
          <w:lang w:eastAsia="en-US"/>
        </w:rPr>
        <w:t>؛</w:t>
      </w:r>
      <w:r w:rsidRPr="00C85F0F">
        <w:rPr>
          <w:rFonts w:ascii="Traditional Arabic" w:hAnsi="Traditional Arabic" w:hint="cs"/>
          <w:noProof w:val="0"/>
          <w:rtl/>
          <w:lang w:eastAsia="en-US"/>
        </w:rPr>
        <w:t xml:space="preserve"> </w:t>
      </w:r>
      <w:r w:rsidRPr="00C85F0F">
        <w:rPr>
          <w:rFonts w:ascii="Traditional Arabic" w:hAnsi="Traditional Arabic"/>
          <w:noProof w:val="0"/>
          <w:rtl/>
          <w:lang w:eastAsia="en-US"/>
        </w:rPr>
        <w:t>وذلك أن الدين الإسلامي قام بالسيف والعلم والدعوة، فإذا جاز</w:t>
      </w:r>
      <w:r w:rsidR="00B0307E">
        <w:rPr>
          <w:rFonts w:ascii="Traditional Arabic" w:hAnsi="Traditional Arabic" w:hint="cs"/>
          <w:noProof w:val="0"/>
          <w:rtl/>
          <w:lang w:eastAsia="en-US"/>
        </w:rPr>
        <w:t>َ</w:t>
      </w:r>
      <w:r w:rsidRPr="00C85F0F">
        <w:rPr>
          <w:rFonts w:ascii="Traditional Arabic" w:hAnsi="Traditional Arabic"/>
          <w:noProof w:val="0"/>
          <w:rtl/>
          <w:lang w:eastAsia="en-US"/>
        </w:rPr>
        <w:t>ت ال</w:t>
      </w:r>
      <w:r w:rsidR="00B0307E">
        <w:rPr>
          <w:rFonts w:ascii="Traditional Arabic" w:hAnsi="Traditional Arabic" w:hint="cs"/>
          <w:noProof w:val="0"/>
          <w:rtl/>
          <w:lang w:eastAsia="en-US"/>
        </w:rPr>
        <w:t>ْ</w:t>
      </w:r>
      <w:r w:rsidRPr="00C85F0F">
        <w:rPr>
          <w:rFonts w:ascii="Traditional Arabic" w:hAnsi="Traditional Arabic"/>
          <w:noProof w:val="0"/>
          <w:rtl/>
          <w:lang w:eastAsia="en-US"/>
        </w:rPr>
        <w:t>م</w:t>
      </w:r>
      <w:r w:rsidR="00B0307E">
        <w:rPr>
          <w:rFonts w:ascii="Traditional Arabic" w:hAnsi="Traditional Arabic" w:hint="cs"/>
          <w:noProof w:val="0"/>
          <w:rtl/>
          <w:lang w:eastAsia="en-US"/>
        </w:rPr>
        <w:t>ُ</w:t>
      </w:r>
      <w:r w:rsidRPr="00C85F0F">
        <w:rPr>
          <w:rFonts w:ascii="Traditional Arabic" w:hAnsi="Traditional Arabic"/>
          <w:noProof w:val="0"/>
          <w:rtl/>
          <w:lang w:eastAsia="en-US"/>
        </w:rPr>
        <w:t>راه</w:t>
      </w:r>
      <w:r w:rsidR="00B0307E">
        <w:rPr>
          <w:rFonts w:ascii="Traditional Arabic" w:hAnsi="Traditional Arabic" w:hint="cs"/>
          <w:noProof w:val="0"/>
          <w:rtl/>
          <w:lang w:eastAsia="en-US"/>
        </w:rPr>
        <w:t>َ</w:t>
      </w:r>
      <w:r w:rsidRPr="00C85F0F">
        <w:rPr>
          <w:rFonts w:ascii="Traditional Arabic" w:hAnsi="Traditional Arabic"/>
          <w:noProof w:val="0"/>
          <w:rtl/>
          <w:lang w:eastAsia="en-US"/>
        </w:rPr>
        <w:t xml:space="preserve">نة على </w:t>
      </w:r>
      <w:r w:rsidRPr="00C85F0F">
        <w:rPr>
          <w:rFonts w:ascii="Traditional Arabic" w:hAnsi="Traditional Arabic"/>
          <w:noProof w:val="0"/>
          <w:rtl/>
          <w:lang w:eastAsia="en-US"/>
        </w:rPr>
        <w:lastRenderedPageBreak/>
        <w:t>السيف ونحوه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جازت المراهنة على </w:t>
      </w:r>
      <w:r w:rsidR="00B0307E">
        <w:rPr>
          <w:rFonts w:ascii="Traditional Arabic" w:hAnsi="Traditional Arabic"/>
          <w:noProof w:val="0"/>
          <w:rtl/>
          <w:lang w:eastAsia="en-US"/>
        </w:rPr>
        <w:t>ما قام به من العلم</w:t>
      </w:r>
      <w:r w:rsidR="00B0307E">
        <w:rPr>
          <w:rFonts w:ascii="Traditional Arabic" w:hAnsi="Traditional Arabic" w:hint="cs"/>
          <w:noProof w:val="0"/>
          <w:rtl/>
          <w:lang w:eastAsia="en-US"/>
        </w:rPr>
        <w:t>.</w:t>
      </w:r>
    </w:p>
    <w:p w:rsidR="006431D6" w:rsidRPr="00C85F0F" w:rsidRDefault="006431D6" w:rsidP="00B0307E">
      <w:pPr>
        <w:pStyle w:val="afc"/>
        <w:ind w:left="1080" w:firstLine="0"/>
      </w:pPr>
      <w:r w:rsidRPr="00C85F0F">
        <w:rPr>
          <w:rFonts w:ascii="Traditional Arabic" w:hAnsi="Traditional Arabic"/>
          <w:noProof w:val="0"/>
          <w:rtl/>
          <w:lang w:eastAsia="en-US"/>
        </w:rPr>
        <w:t xml:space="preserve"> ولكن ينبغي تقييد هذا الإطلاق بما إذا لم يكن غرض الإنسان الحصول على المال فقط</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لا الوصول إلى الحكم الشرعي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فهنا ينبغي أن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منع</w:t>
      </w:r>
      <w:r w:rsidRPr="00C85F0F">
        <w:rPr>
          <w:rStyle w:val="af1"/>
          <w:szCs w:val="32"/>
          <w:rtl/>
        </w:rPr>
        <w:t>(</w:t>
      </w:r>
      <w:r w:rsidRPr="00C85F0F">
        <w:rPr>
          <w:rStyle w:val="af1"/>
          <w:szCs w:val="32"/>
          <w:rtl/>
        </w:rPr>
        <w:footnoteReference w:id="2235"/>
      </w:r>
      <w:r w:rsidRPr="00C85F0F">
        <w:rPr>
          <w:rStyle w:val="af1"/>
          <w:szCs w:val="32"/>
          <w:rtl/>
        </w:rPr>
        <w:t>)</w:t>
      </w:r>
      <w:r w:rsidRPr="00C85F0F">
        <w:rPr>
          <w:rFonts w:hint="cs"/>
          <w:rtl/>
        </w:rPr>
        <w:t>.</w:t>
      </w:r>
    </w:p>
    <w:p w:rsidR="006431D6" w:rsidRPr="00C85F0F" w:rsidRDefault="006431D6" w:rsidP="00FD3233">
      <w:pPr>
        <w:pStyle w:val="53"/>
        <w:rPr>
          <w:rtl/>
        </w:rPr>
      </w:pPr>
      <w:r w:rsidRPr="00C85F0F">
        <w:rPr>
          <w:rFonts w:hint="cs"/>
          <w:rtl/>
        </w:rPr>
        <w:t xml:space="preserve">وجه </w:t>
      </w:r>
      <w:r w:rsidRPr="00FD3233">
        <w:rPr>
          <w:rFonts w:hint="cs"/>
          <w:rtl/>
        </w:rPr>
        <w:t>اندراج</w:t>
      </w:r>
      <w:r w:rsidRPr="00C85F0F">
        <w:rPr>
          <w:rFonts w:hint="cs"/>
          <w:rtl/>
        </w:rPr>
        <w:t xml:space="preserve"> الفرع تحت الضابط:</w:t>
      </w:r>
    </w:p>
    <w:p w:rsidR="00F228A9" w:rsidRDefault="006431D6" w:rsidP="00597C20">
      <w:pPr>
        <w:ind w:firstLine="720"/>
        <w:rPr>
          <w:rtl/>
        </w:rPr>
      </w:pPr>
      <w:r w:rsidRPr="00C85F0F">
        <w:rPr>
          <w:rFonts w:hint="cs"/>
          <w:rtl/>
        </w:rPr>
        <w:t>هذا الفرع يندرج ت</w:t>
      </w:r>
      <w:r w:rsidR="00B0307E">
        <w:rPr>
          <w:rFonts w:hint="cs"/>
          <w:rtl/>
        </w:rPr>
        <w:t>حت الضابط بناءً على القول الأول؛</w:t>
      </w:r>
      <w:r w:rsidRPr="00C85F0F">
        <w:rPr>
          <w:rFonts w:hint="cs"/>
          <w:rtl/>
        </w:rPr>
        <w:t xml:space="preserve"> وذلك أن الأصل منع العوض في المسابقة</w:t>
      </w:r>
      <w:r w:rsidR="00B0307E">
        <w:rPr>
          <w:rFonts w:hint="cs"/>
          <w:rtl/>
        </w:rPr>
        <w:t xml:space="preserve"> إلا ما استثني في الشرع، وفي المذهب يستثنى ما ورد في</w:t>
      </w:r>
      <w:r w:rsidRPr="00C85F0F">
        <w:rPr>
          <w:rFonts w:hint="cs"/>
          <w:rtl/>
        </w:rPr>
        <w:t xml:space="preserve"> الحديث المتقد</w:t>
      </w:r>
      <w:r w:rsidR="00B0307E">
        <w:rPr>
          <w:rFonts w:hint="cs"/>
          <w:rtl/>
        </w:rPr>
        <w:t>ِّ</w:t>
      </w:r>
      <w:r w:rsidRPr="00C85F0F">
        <w:rPr>
          <w:rFonts w:hint="cs"/>
          <w:rtl/>
        </w:rPr>
        <w:t>م</w:t>
      </w:r>
      <w:r w:rsidR="00B0307E">
        <w:rPr>
          <w:rFonts w:hint="cs"/>
          <w:rtl/>
        </w:rPr>
        <w:t xml:space="preserve"> فقط</w:t>
      </w:r>
      <w:r w:rsidRPr="00C85F0F">
        <w:rPr>
          <w:rFonts w:hint="cs"/>
          <w:rtl/>
        </w:rPr>
        <w:t>.</w:t>
      </w:r>
    </w:p>
    <w:p w:rsidR="00EB60EC" w:rsidRDefault="00EB60EC" w:rsidP="00597C20">
      <w:pPr>
        <w:ind w:firstLine="720"/>
        <w:rPr>
          <w:rtl/>
        </w:rPr>
      </w:pPr>
    </w:p>
    <w:p w:rsidR="00EB60EC" w:rsidRPr="007A6F9A" w:rsidRDefault="00EB60EC" w:rsidP="00A811DB">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EB60EC" w:rsidRPr="00C85F0F" w:rsidRDefault="00EB60EC" w:rsidP="00597C20">
      <w:pPr>
        <w:ind w:firstLine="720"/>
        <w:rPr>
          <w:rtl/>
        </w:rPr>
      </w:pPr>
    </w:p>
    <w:p w:rsidR="006431D6" w:rsidRPr="00C85F0F" w:rsidRDefault="00E1798A" w:rsidP="000F5C0F">
      <w:pPr>
        <w:pStyle w:val="aff2"/>
        <w:rPr>
          <w:rtl/>
        </w:rPr>
      </w:pPr>
      <w:bookmarkStart w:id="525" w:name="_Toc334046699"/>
      <w:r w:rsidRPr="00C85F0F">
        <w:rPr>
          <w:rFonts w:ascii="Traditional Arabic" w:hAnsi="Traditional Arabic" w:hint="cs"/>
          <w:rtl/>
        </w:rPr>
        <w:lastRenderedPageBreak/>
        <w:t>المبحث الثاني</w:t>
      </w:r>
      <w:r w:rsidRPr="00C85F0F">
        <w:rPr>
          <w:rFonts w:ascii="Traditional Arabic" w:hAnsi="Traditional Arabic" w:hint="eastAsia"/>
          <w:rtl/>
        </w:rPr>
        <w:t> </w:t>
      </w:r>
      <w:r w:rsidRPr="00C85F0F">
        <w:rPr>
          <w:rFonts w:ascii="Traditional Arabic" w:hAnsi="Traditional Arabic" w:hint="cs"/>
          <w:rtl/>
        </w:rPr>
        <w:t>:</w:t>
      </w:r>
      <w:r w:rsidRPr="00C85F0F">
        <w:rPr>
          <w:rFonts w:ascii="Traditional Arabic" w:hAnsi="Traditional Arabic"/>
          <w:rtl/>
        </w:rPr>
        <w:br/>
      </w:r>
      <w:r w:rsidR="006431D6" w:rsidRPr="00C85F0F">
        <w:rPr>
          <w:rFonts w:hint="cs"/>
          <w:rtl/>
        </w:rPr>
        <w:t>ضابط</w:t>
      </w:r>
      <w:r w:rsidR="006431D6" w:rsidRPr="00C85F0F">
        <w:rPr>
          <w:rtl/>
        </w:rPr>
        <w:br/>
      </w:r>
      <w:r w:rsidR="006431D6" w:rsidRPr="00C85F0F">
        <w:rPr>
          <w:rFonts w:hint="cs"/>
          <w:rtl/>
        </w:rPr>
        <w:t>"يد المستعير يد أمانة</w:t>
      </w:r>
      <w:r w:rsidR="00AB0B9E" w:rsidRPr="00C85F0F">
        <w:rPr>
          <w:rtl/>
        </w:rPr>
        <w:fldChar w:fldCharType="begin"/>
      </w:r>
      <w:r w:rsidR="00945AC4" w:rsidRPr="00C85F0F">
        <w:rPr>
          <w:rFonts w:hint="cs"/>
        </w:rPr>
        <w:instrText>XE</w:instrText>
      </w:r>
      <w:r w:rsidR="00945AC4" w:rsidRPr="00C85F0F">
        <w:rPr>
          <w:rtl/>
        </w:rPr>
        <w:instrText xml:space="preserve"> "</w:instrText>
      </w:r>
      <w:r w:rsidR="00945AC4" w:rsidRPr="00C85F0F">
        <w:rPr>
          <w:rFonts w:hint="cs"/>
          <w:rtl/>
        </w:rPr>
        <w:instrText>يدالمستعيريدأمانة</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6431D6" w:rsidRPr="00C85F0F">
        <w:rPr>
          <w:rFonts w:hint="cs"/>
          <w:rtl/>
        </w:rPr>
        <w:t>"</w:t>
      </w:r>
      <w:r w:rsidR="006431D6" w:rsidRPr="00C85F0F">
        <w:rPr>
          <w:rStyle w:val="af1"/>
          <w:b w:val="0"/>
          <w:bCs w:val="0"/>
          <w:szCs w:val="32"/>
          <w:rtl/>
        </w:rPr>
        <w:t>(</w:t>
      </w:r>
      <w:r w:rsidR="006431D6" w:rsidRPr="00C85F0F">
        <w:rPr>
          <w:rStyle w:val="af1"/>
          <w:b w:val="0"/>
          <w:bCs w:val="0"/>
          <w:szCs w:val="32"/>
          <w:rtl/>
        </w:rPr>
        <w:footnoteReference w:id="2236"/>
      </w:r>
      <w:r w:rsidR="006431D6" w:rsidRPr="00C85F0F">
        <w:rPr>
          <w:rStyle w:val="af1"/>
          <w:b w:val="0"/>
          <w:bCs w:val="0"/>
          <w:szCs w:val="32"/>
          <w:rtl/>
        </w:rPr>
        <w:t>)</w:t>
      </w:r>
      <w:bookmarkEnd w:id="525"/>
    </w:p>
    <w:p w:rsidR="00065E4B" w:rsidRPr="00C85F0F" w:rsidRDefault="00EB60EC" w:rsidP="00A8347C">
      <w:pPr>
        <w:pStyle w:val="aff3"/>
        <w:rPr>
          <w:rtl/>
        </w:rPr>
      </w:pPr>
      <w:bookmarkStart w:id="526" w:name="_Toc334046700"/>
      <w:r>
        <w:rPr>
          <w:rFonts w:hint="cs"/>
          <w:rtl/>
        </w:rPr>
        <w:t xml:space="preserve">     </w:t>
      </w:r>
      <w:r w:rsidR="00B0307E">
        <w:rPr>
          <w:rFonts w:hint="cs"/>
          <w:rtl/>
        </w:rPr>
        <w:t xml:space="preserve">                    </w:t>
      </w:r>
      <w:r>
        <w:rPr>
          <w:rFonts w:hint="cs"/>
          <w:rtl/>
        </w:rPr>
        <w:t xml:space="preserve">               </w:t>
      </w:r>
      <w:r w:rsidR="006431D6" w:rsidRPr="00C85F0F">
        <w:rPr>
          <w:rFonts w:hint="cs"/>
          <w:rtl/>
        </w:rPr>
        <w:t>المطلب الأول</w:t>
      </w:r>
      <w:r w:rsidR="004F5A0D" w:rsidRPr="00C85F0F">
        <w:rPr>
          <w:rFonts w:hint="eastAsia"/>
          <w:rtl/>
        </w:rPr>
        <w:t> :</w:t>
      </w:r>
      <w:r w:rsidR="004F5A0D" w:rsidRPr="00C85F0F">
        <w:rPr>
          <w:rFonts w:hint="cs"/>
          <w:rtl/>
        </w:rPr>
        <w:br/>
      </w:r>
      <w:r>
        <w:rPr>
          <w:rFonts w:hint="cs"/>
          <w:rtl/>
        </w:rPr>
        <w:t xml:space="preserve">                   </w:t>
      </w:r>
      <w:r w:rsidR="00B0307E">
        <w:rPr>
          <w:rFonts w:hint="cs"/>
          <w:rtl/>
        </w:rPr>
        <w:t xml:space="preserve">                      </w:t>
      </w:r>
      <w:r w:rsidR="006431D6" w:rsidRPr="00C85F0F">
        <w:rPr>
          <w:rFonts w:hint="cs"/>
          <w:rtl/>
        </w:rPr>
        <w:t>شرح الضابط</w:t>
      </w:r>
      <w:bookmarkEnd w:id="526"/>
    </w:p>
    <w:p w:rsidR="006431D6" w:rsidRPr="00C85F0F" w:rsidRDefault="00065E4B" w:rsidP="00597C20">
      <w:pPr>
        <w:widowControl/>
        <w:autoSpaceDE w:val="0"/>
        <w:autoSpaceDN w:val="0"/>
        <w:adjustRightInd w:val="0"/>
        <w:ind w:firstLine="720"/>
        <w:rPr>
          <w:rFonts w:ascii="Simplified Arabic" w:hAnsi="Simplified Arabic" w:cs="Simplified Arabic"/>
          <w:noProof w:val="0"/>
          <w:color w:val="auto"/>
          <w:rtl/>
          <w:lang w:eastAsia="en-US"/>
        </w:rPr>
      </w:pPr>
      <w:r w:rsidRPr="00C85F0F">
        <w:rPr>
          <w:rFonts w:ascii="Traditional Arabic" w:hAnsi="Traditional Arabic"/>
          <w:noProof w:val="0"/>
          <w:color w:val="auto"/>
          <w:rtl/>
          <w:lang w:eastAsia="en-US"/>
        </w:rPr>
        <w:t>ي</w:t>
      </w:r>
      <w:r w:rsidR="006431D6" w:rsidRPr="00C85F0F">
        <w:rPr>
          <w:rFonts w:ascii="Traditional Arabic" w:hAnsi="Traditional Arabic"/>
          <w:noProof w:val="0"/>
          <w:color w:val="auto"/>
          <w:rtl/>
          <w:lang w:eastAsia="en-US"/>
        </w:rPr>
        <w:t>د المستعير يد</w:t>
      </w:r>
      <w:r w:rsidR="006431D6" w:rsidRPr="00C85F0F">
        <w:rPr>
          <w:rFonts w:ascii="Traditional Arabic" w:hAnsi="Traditional Arabic" w:hint="cs"/>
          <w:noProof w:val="0"/>
          <w:color w:val="auto"/>
          <w:rtl/>
          <w:lang w:eastAsia="en-US"/>
        </w:rPr>
        <w:t>ُ</w:t>
      </w:r>
      <w:r w:rsidR="00B0307E">
        <w:rPr>
          <w:rFonts w:ascii="Traditional Arabic" w:hAnsi="Traditional Arabic"/>
          <w:noProof w:val="0"/>
          <w:color w:val="auto"/>
          <w:rtl/>
          <w:lang w:eastAsia="en-US"/>
        </w:rPr>
        <w:t xml:space="preserve"> أمانة</w:t>
      </w:r>
      <w:r w:rsidR="00B0307E">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 xml:space="preserve"> ووجه </w:t>
      </w:r>
      <w:r w:rsidR="006431D6" w:rsidRPr="00C85F0F">
        <w:rPr>
          <w:rFonts w:ascii="Traditional Arabic" w:hAnsi="Traditional Arabic" w:hint="cs"/>
          <w:noProof w:val="0"/>
          <w:color w:val="auto"/>
          <w:rtl/>
          <w:lang w:eastAsia="en-US"/>
        </w:rPr>
        <w:t xml:space="preserve">ذلك </w:t>
      </w:r>
      <w:r w:rsidR="006431D6" w:rsidRPr="00C85F0F">
        <w:rPr>
          <w:rFonts w:ascii="Traditional Arabic" w:hAnsi="Traditional Arabic"/>
          <w:noProof w:val="0"/>
          <w:color w:val="auto"/>
          <w:rtl/>
          <w:lang w:eastAsia="en-US"/>
        </w:rPr>
        <w:t>أن العارية</w:t>
      </w:r>
      <w:r w:rsidR="00B0307E">
        <w:rPr>
          <w:rFonts w:ascii="Traditional Arabic" w:hAnsi="Traditional Arabic" w:hint="cs"/>
          <w:noProof w:val="0"/>
          <w:color w:val="auto"/>
          <w:rtl/>
          <w:lang w:eastAsia="en-US"/>
        </w:rPr>
        <w:t xml:space="preserve"> </w:t>
      </w:r>
      <w:r w:rsidR="006431D6" w:rsidRPr="00C85F0F">
        <w:rPr>
          <w:rFonts w:ascii="Traditional Arabic" w:hAnsi="Traditional Arabic"/>
          <w:noProof w:val="0"/>
          <w:color w:val="auto"/>
          <w:rtl/>
          <w:lang w:eastAsia="en-US"/>
        </w:rPr>
        <w:t>حصلت بيد المستعير بإذ</w:t>
      </w:r>
      <w:r w:rsidR="00B0307E">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ن</w:t>
      </w:r>
      <w:r w:rsidR="00B0307E">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 xml:space="preserve"> مال</w:t>
      </w:r>
      <w:r w:rsidR="00B0307E">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كها، وكل م</w:t>
      </w:r>
      <w:r w:rsidR="006431D6" w:rsidRPr="00C85F0F">
        <w:rPr>
          <w:rFonts w:ascii="Traditional Arabic" w:hAnsi="Traditional Arabic" w:hint="cs"/>
          <w:noProof w:val="0"/>
          <w:color w:val="auto"/>
          <w:rtl/>
          <w:lang w:eastAsia="en-US"/>
        </w:rPr>
        <w:t>ن</w:t>
      </w:r>
      <w:r w:rsidR="006431D6" w:rsidRPr="00C85F0F">
        <w:rPr>
          <w:rFonts w:ascii="Traditional Arabic" w:hAnsi="Traditional Arabic"/>
          <w:noProof w:val="0"/>
          <w:color w:val="auto"/>
          <w:rtl/>
          <w:lang w:eastAsia="en-US"/>
        </w:rPr>
        <w:t xml:space="preserve"> حصل</w:t>
      </w:r>
      <w:r w:rsidR="006431D6" w:rsidRPr="00C85F0F">
        <w:rPr>
          <w:rFonts w:ascii="Traditional Arabic" w:hAnsi="Traditional Arabic" w:hint="cs"/>
          <w:noProof w:val="0"/>
          <w:color w:val="auto"/>
          <w:rtl/>
          <w:lang w:eastAsia="en-US"/>
        </w:rPr>
        <w:t>ت</w:t>
      </w:r>
      <w:r w:rsidR="00B0307E">
        <w:rPr>
          <w:rFonts w:ascii="Traditional Arabic" w:hAnsi="Traditional Arabic" w:hint="cs"/>
          <w:noProof w:val="0"/>
          <w:color w:val="auto"/>
          <w:rtl/>
          <w:lang w:eastAsia="en-US"/>
        </w:rPr>
        <w:t xml:space="preserve"> </w:t>
      </w:r>
      <w:r w:rsidR="006431D6" w:rsidRPr="00C85F0F">
        <w:rPr>
          <w:rFonts w:ascii="Traditional Arabic" w:hAnsi="Traditional Arabic" w:hint="cs"/>
          <w:noProof w:val="0"/>
          <w:color w:val="auto"/>
          <w:rtl/>
          <w:lang w:eastAsia="en-US"/>
        </w:rPr>
        <w:t>بيده العين</w:t>
      </w:r>
      <w:r w:rsidR="00B0307E">
        <w:rPr>
          <w:rFonts w:ascii="Traditional Arabic" w:hAnsi="Traditional Arabic" w:hint="cs"/>
          <w:noProof w:val="0"/>
          <w:color w:val="auto"/>
          <w:rtl/>
          <w:lang w:eastAsia="en-US"/>
        </w:rPr>
        <w:t>ُ</w:t>
      </w:r>
      <w:r w:rsidR="006431D6" w:rsidRPr="00C85F0F">
        <w:rPr>
          <w:rFonts w:ascii="Traditional Arabic" w:hAnsi="Traditional Arabic" w:hint="cs"/>
          <w:noProof w:val="0"/>
          <w:color w:val="auto"/>
          <w:rtl/>
          <w:lang w:eastAsia="en-US"/>
        </w:rPr>
        <w:t xml:space="preserve"> </w:t>
      </w:r>
      <w:r w:rsidR="006431D6" w:rsidRPr="00C85F0F">
        <w:rPr>
          <w:rFonts w:ascii="Traditional Arabic" w:hAnsi="Traditional Arabic"/>
          <w:noProof w:val="0"/>
          <w:color w:val="auto"/>
          <w:rtl/>
          <w:lang w:eastAsia="en-US"/>
        </w:rPr>
        <w:t>بإذن</w:t>
      </w:r>
      <w:r w:rsidR="00B0307E">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 xml:space="preserve"> من ال</w:t>
      </w:r>
      <w:r w:rsidR="006431D6" w:rsidRPr="00C85F0F">
        <w:rPr>
          <w:rFonts w:ascii="Traditional Arabic" w:hAnsi="Traditional Arabic" w:hint="cs"/>
          <w:noProof w:val="0"/>
          <w:color w:val="auto"/>
          <w:rtl/>
          <w:lang w:eastAsia="en-US"/>
        </w:rPr>
        <w:t>شارع</w:t>
      </w:r>
      <w:r w:rsidR="006431D6" w:rsidRPr="00C85F0F">
        <w:rPr>
          <w:rFonts w:ascii="Traditional Arabic" w:hAnsi="Traditional Arabic"/>
          <w:noProof w:val="0"/>
          <w:color w:val="auto"/>
          <w:rtl/>
          <w:lang w:eastAsia="en-US"/>
        </w:rPr>
        <w:t>، أو إذن</w:t>
      </w:r>
      <w:r w:rsidR="00B0307E">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 xml:space="preserve"> من ال</w:t>
      </w:r>
      <w:r w:rsidR="006431D6" w:rsidRPr="00C85F0F">
        <w:rPr>
          <w:rFonts w:ascii="Traditional Arabic" w:hAnsi="Traditional Arabic" w:hint="cs"/>
          <w:noProof w:val="0"/>
          <w:color w:val="auto"/>
          <w:rtl/>
          <w:lang w:eastAsia="en-US"/>
        </w:rPr>
        <w:t>مالك</w:t>
      </w:r>
      <w:r w:rsidR="00B0307E">
        <w:rPr>
          <w:rFonts w:ascii="Traditional Arabic" w:hAnsi="Traditional Arabic" w:hint="cs"/>
          <w:noProof w:val="0"/>
          <w:color w:val="auto"/>
          <w:rtl/>
          <w:lang w:eastAsia="en-US"/>
        </w:rPr>
        <w:t xml:space="preserve"> </w:t>
      </w:r>
      <w:r w:rsidR="006431D6" w:rsidRPr="00C85F0F">
        <w:rPr>
          <w:rFonts w:ascii="Traditional Arabic" w:hAnsi="Traditional Arabic" w:hint="cs"/>
          <w:noProof w:val="0"/>
          <w:color w:val="auto"/>
          <w:rtl/>
          <w:lang w:eastAsia="en-US"/>
        </w:rPr>
        <w:t>ف</w:t>
      </w:r>
      <w:r w:rsidR="006431D6" w:rsidRPr="00C85F0F">
        <w:rPr>
          <w:rFonts w:ascii="Traditional Arabic" w:hAnsi="Traditional Arabic"/>
          <w:noProof w:val="0"/>
          <w:color w:val="auto"/>
          <w:rtl/>
          <w:lang w:eastAsia="en-US"/>
        </w:rPr>
        <w:t>يد</w:t>
      </w:r>
      <w:r w:rsidR="006431D6" w:rsidRPr="00C85F0F">
        <w:rPr>
          <w:rFonts w:ascii="Traditional Arabic" w:hAnsi="Traditional Arabic" w:hint="cs"/>
          <w:noProof w:val="0"/>
          <w:color w:val="auto"/>
          <w:rtl/>
          <w:lang w:eastAsia="en-US"/>
        </w:rPr>
        <w:t>ُه</w:t>
      </w:r>
      <w:r w:rsidR="00B0307E">
        <w:rPr>
          <w:rFonts w:ascii="Traditional Arabic" w:hAnsi="Traditional Arabic" w:hint="cs"/>
          <w:noProof w:val="0"/>
          <w:color w:val="auto"/>
          <w:rtl/>
          <w:lang w:eastAsia="en-US"/>
        </w:rPr>
        <w:t xml:space="preserve"> </w:t>
      </w:r>
      <w:r w:rsidR="006431D6" w:rsidRPr="00C85F0F">
        <w:rPr>
          <w:rFonts w:ascii="Traditional Arabic" w:hAnsi="Traditional Arabic" w:hint="cs"/>
          <w:noProof w:val="0"/>
          <w:color w:val="auto"/>
          <w:rtl/>
          <w:lang w:eastAsia="en-US"/>
        </w:rPr>
        <w:t>يد</w:t>
      </w:r>
      <w:r w:rsidR="00B0307E">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 xml:space="preserve"> أمانة</w:t>
      </w:r>
      <w:r w:rsidR="006431D6" w:rsidRPr="00C85F0F">
        <w:rPr>
          <w:rStyle w:val="af1"/>
          <w:szCs w:val="32"/>
          <w:rtl/>
        </w:rPr>
        <w:t>(</w:t>
      </w:r>
      <w:r w:rsidR="006431D6" w:rsidRPr="00C85F0F">
        <w:rPr>
          <w:rStyle w:val="af1"/>
          <w:szCs w:val="32"/>
          <w:rtl/>
        </w:rPr>
        <w:footnoteReference w:id="2237"/>
      </w:r>
      <w:r w:rsidR="006431D6" w:rsidRPr="00C85F0F">
        <w:rPr>
          <w:rStyle w:val="af1"/>
          <w:szCs w:val="32"/>
          <w:rtl/>
        </w:rPr>
        <w:t>)</w:t>
      </w:r>
      <w:r w:rsidR="006431D6" w:rsidRPr="00C85F0F">
        <w:rPr>
          <w:rFonts w:ascii="Traditional Arabic" w:hAnsi="Traditional Arabic" w:hint="cs"/>
          <w:noProof w:val="0"/>
          <w:color w:val="auto"/>
          <w:rtl/>
          <w:lang w:eastAsia="en-US"/>
        </w:rPr>
        <w:t>.</w:t>
      </w:r>
    </w:p>
    <w:p w:rsidR="00065E4B" w:rsidRPr="00C85F0F" w:rsidRDefault="00EB60EC" w:rsidP="00A8347C">
      <w:pPr>
        <w:pStyle w:val="aff3"/>
        <w:rPr>
          <w:rtl/>
        </w:rPr>
      </w:pPr>
      <w:bookmarkStart w:id="527" w:name="_Toc334046701"/>
      <w:r>
        <w:rPr>
          <w:rFonts w:hint="cs"/>
          <w:rtl/>
        </w:rPr>
        <w:t xml:space="preserve">                     </w:t>
      </w:r>
      <w:r w:rsidR="00B76A81">
        <w:rPr>
          <w:rFonts w:hint="cs"/>
          <w:rtl/>
        </w:rPr>
        <w:t xml:space="preserve">                  </w:t>
      </w:r>
      <w:r w:rsidR="006431D6" w:rsidRPr="00C85F0F">
        <w:rPr>
          <w:rtl/>
        </w:rPr>
        <w:t>المطلب الثاني</w:t>
      </w:r>
      <w:r w:rsidR="004F5A0D" w:rsidRPr="00C85F0F">
        <w:rPr>
          <w:rFonts w:hint="cs"/>
          <w:rtl/>
        </w:rPr>
        <w:t> :</w:t>
      </w:r>
      <w:r w:rsidR="004F5A0D" w:rsidRPr="00C85F0F">
        <w:rPr>
          <w:rFonts w:hint="cs"/>
          <w:rtl/>
        </w:rPr>
        <w:br/>
      </w:r>
      <w:r>
        <w:rPr>
          <w:rFonts w:hint="cs"/>
          <w:rtl/>
        </w:rPr>
        <w:t xml:space="preserve">                   </w:t>
      </w:r>
      <w:r w:rsidR="00B76A81">
        <w:rPr>
          <w:rFonts w:hint="cs"/>
          <w:rtl/>
        </w:rPr>
        <w:t xml:space="preserve">                     </w:t>
      </w:r>
      <w:r w:rsidR="00F72816">
        <w:rPr>
          <w:rFonts w:hint="cs"/>
          <w:rtl/>
        </w:rPr>
        <w:t xml:space="preserve"> </w:t>
      </w:r>
      <w:r w:rsidR="006431D6" w:rsidRPr="00C85F0F">
        <w:rPr>
          <w:rFonts w:hint="cs"/>
          <w:rtl/>
        </w:rPr>
        <w:t>أدلة الضابط</w:t>
      </w:r>
      <w:bookmarkEnd w:id="527"/>
    </w:p>
    <w:p w:rsidR="006431D6" w:rsidRPr="00C85F0F" w:rsidRDefault="00065E4B" w:rsidP="00597C20">
      <w:pPr>
        <w:ind w:firstLine="720"/>
        <w:rPr>
          <w:rtl/>
        </w:rPr>
      </w:pPr>
      <w:r w:rsidRPr="00C85F0F">
        <w:rPr>
          <w:rFonts w:hint="cs"/>
          <w:rtl/>
        </w:rPr>
        <w:t>ا</w:t>
      </w:r>
      <w:r w:rsidR="006431D6" w:rsidRPr="00C85F0F">
        <w:rPr>
          <w:rFonts w:hint="cs"/>
          <w:rtl/>
        </w:rPr>
        <w:t>لعارية حصلت بيد المستعير بإذن مالكها فكانت يده يد أمانة؛ لأن كل من حصلت العين بيده بإذن</w:t>
      </w:r>
      <w:r w:rsidR="00B76A81">
        <w:rPr>
          <w:rFonts w:hint="cs"/>
          <w:rtl/>
        </w:rPr>
        <w:t>ٍ</w:t>
      </w:r>
      <w:r w:rsidR="006431D6" w:rsidRPr="00C85F0F">
        <w:rPr>
          <w:rFonts w:hint="cs"/>
          <w:rtl/>
        </w:rPr>
        <w:t xml:space="preserve"> الشارع</w:t>
      </w:r>
      <w:r w:rsidR="00B76A81">
        <w:rPr>
          <w:rFonts w:hint="cs"/>
          <w:rtl/>
        </w:rPr>
        <w:t>،</w:t>
      </w:r>
      <w:r w:rsidR="006431D6" w:rsidRPr="00C85F0F">
        <w:rPr>
          <w:rFonts w:hint="cs"/>
          <w:rtl/>
        </w:rPr>
        <w:t xml:space="preserve"> أو إذن المالك</w:t>
      </w:r>
      <w:r w:rsidR="00B76A81">
        <w:rPr>
          <w:rFonts w:hint="cs"/>
          <w:rtl/>
        </w:rPr>
        <w:t>،</w:t>
      </w:r>
      <w:r w:rsidR="006431D6" w:rsidRPr="00C85F0F">
        <w:rPr>
          <w:rFonts w:hint="cs"/>
          <w:rtl/>
        </w:rPr>
        <w:t xml:space="preserve"> فيده يد أمانة</w:t>
      </w:r>
      <w:r w:rsidR="006431D6" w:rsidRPr="00C85F0F">
        <w:rPr>
          <w:rStyle w:val="af1"/>
          <w:szCs w:val="32"/>
          <w:rtl/>
        </w:rPr>
        <w:t>(</w:t>
      </w:r>
      <w:r w:rsidR="006431D6" w:rsidRPr="00C85F0F">
        <w:rPr>
          <w:rStyle w:val="af1"/>
          <w:szCs w:val="32"/>
          <w:rtl/>
        </w:rPr>
        <w:footnoteReference w:id="2238"/>
      </w:r>
      <w:r w:rsidR="006431D6" w:rsidRPr="00C85F0F">
        <w:rPr>
          <w:rStyle w:val="af1"/>
          <w:szCs w:val="32"/>
          <w:rtl/>
        </w:rPr>
        <w:t>)</w:t>
      </w:r>
      <w:r w:rsidR="006431D6" w:rsidRPr="00C85F0F">
        <w:rPr>
          <w:rFonts w:hint="cs"/>
          <w:rtl/>
        </w:rPr>
        <w:t>.</w:t>
      </w:r>
    </w:p>
    <w:p w:rsidR="00065E4B" w:rsidRPr="00C85F0F" w:rsidRDefault="00EB60EC" w:rsidP="00A8347C">
      <w:pPr>
        <w:pStyle w:val="aff3"/>
        <w:rPr>
          <w:rtl/>
        </w:rPr>
      </w:pPr>
      <w:bookmarkStart w:id="528" w:name="_Toc334046702"/>
      <w:r>
        <w:rPr>
          <w:rFonts w:hint="cs"/>
          <w:rtl/>
        </w:rPr>
        <w:t xml:space="preserve">                </w:t>
      </w:r>
      <w:r w:rsidR="00B76A81">
        <w:rPr>
          <w:rFonts w:hint="cs"/>
          <w:rtl/>
        </w:rPr>
        <w:t xml:space="preserve">                       </w:t>
      </w:r>
      <w:r w:rsidR="006431D6" w:rsidRPr="00C85F0F">
        <w:rPr>
          <w:rFonts w:hint="cs"/>
          <w:rtl/>
        </w:rPr>
        <w:t>المطلب الثالث</w:t>
      </w:r>
      <w:r w:rsidR="004F5A0D" w:rsidRPr="00C85F0F">
        <w:rPr>
          <w:rFonts w:hint="eastAsia"/>
          <w:rtl/>
        </w:rPr>
        <w:t> :</w:t>
      </w:r>
      <w:r w:rsidR="004F5A0D" w:rsidRPr="00C85F0F">
        <w:rPr>
          <w:rFonts w:hint="cs"/>
          <w:rtl/>
        </w:rPr>
        <w:br/>
      </w:r>
      <w:r>
        <w:rPr>
          <w:rFonts w:hint="cs"/>
          <w:rtl/>
        </w:rPr>
        <w:t xml:space="preserve">              </w:t>
      </w:r>
      <w:r w:rsidR="00B76A81">
        <w:rPr>
          <w:rFonts w:hint="cs"/>
          <w:rtl/>
        </w:rPr>
        <w:t xml:space="preserve">                     </w:t>
      </w:r>
      <w:r w:rsidR="0070556A">
        <w:rPr>
          <w:rFonts w:hint="cs"/>
          <w:rtl/>
        </w:rPr>
        <w:t xml:space="preserve">   </w:t>
      </w:r>
      <w:r w:rsidR="006431D6" w:rsidRPr="00C85F0F">
        <w:rPr>
          <w:rFonts w:hint="cs"/>
          <w:rtl/>
        </w:rPr>
        <w:t>تطبيقات الضابط</w:t>
      </w:r>
      <w:bookmarkEnd w:id="528"/>
    </w:p>
    <w:p w:rsidR="00065E4B" w:rsidRPr="00C85F0F" w:rsidRDefault="00065E4B" w:rsidP="00597C20">
      <w:pPr>
        <w:ind w:firstLine="720"/>
        <w:rPr>
          <w:rtl/>
        </w:rPr>
      </w:pPr>
      <w:r w:rsidRPr="00C85F0F">
        <w:rPr>
          <w:rFonts w:hint="cs"/>
          <w:rtl/>
        </w:rPr>
        <w:t>ا</w:t>
      </w:r>
      <w:r w:rsidR="006431D6" w:rsidRPr="00C85F0F">
        <w:rPr>
          <w:rFonts w:hint="cs"/>
          <w:rtl/>
        </w:rPr>
        <w:t>لعارية لا ت</w:t>
      </w:r>
      <w:r w:rsidR="00B76A81">
        <w:rPr>
          <w:rFonts w:hint="cs"/>
          <w:rtl/>
        </w:rPr>
        <w:t>ُ</w:t>
      </w:r>
      <w:r w:rsidR="006431D6" w:rsidRPr="00C85F0F">
        <w:rPr>
          <w:rFonts w:hint="cs"/>
          <w:rtl/>
        </w:rPr>
        <w:t xml:space="preserve">ضمن إلا بواحد من أمور ثلاثة: إذا تعدَّى المستعير، أو فرَّط، أو إذا شُرط عليه </w:t>
      </w:r>
      <w:r w:rsidR="006431D6" w:rsidRPr="00C85F0F">
        <w:rPr>
          <w:rFonts w:hint="cs"/>
          <w:rtl/>
        </w:rPr>
        <w:lastRenderedPageBreak/>
        <w:t>ضمانها</w:t>
      </w:r>
      <w:r w:rsidR="006431D6" w:rsidRPr="00C85F0F">
        <w:rPr>
          <w:rStyle w:val="af1"/>
          <w:szCs w:val="32"/>
          <w:rtl/>
        </w:rPr>
        <w:t>(</w:t>
      </w:r>
      <w:r w:rsidR="006431D6" w:rsidRPr="00C85F0F">
        <w:rPr>
          <w:rStyle w:val="af1"/>
          <w:szCs w:val="32"/>
          <w:rtl/>
        </w:rPr>
        <w:footnoteReference w:id="2239"/>
      </w:r>
      <w:r w:rsidR="006431D6" w:rsidRPr="00C85F0F">
        <w:rPr>
          <w:rStyle w:val="af1"/>
          <w:szCs w:val="32"/>
          <w:rtl/>
        </w:rPr>
        <w:t>)</w:t>
      </w:r>
      <w:r w:rsidR="006431D6" w:rsidRPr="00C85F0F">
        <w:rPr>
          <w:rFonts w:hint="cs"/>
          <w:rtl/>
        </w:rPr>
        <w:t>.</w:t>
      </w:r>
    </w:p>
    <w:p w:rsidR="00065E4B" w:rsidRPr="00C85F0F" w:rsidRDefault="00065E4B" w:rsidP="00597C20">
      <w:pPr>
        <w:ind w:firstLine="720"/>
        <w:rPr>
          <w:rtl/>
        </w:rPr>
      </w:pPr>
      <w:r w:rsidRPr="00C85F0F">
        <w:rPr>
          <w:rFonts w:hint="cs"/>
          <w:rtl/>
        </w:rPr>
        <w:t>أ</w:t>
      </w:r>
      <w:r w:rsidR="006431D6" w:rsidRPr="00C85F0F">
        <w:rPr>
          <w:rFonts w:hint="cs"/>
          <w:rtl/>
        </w:rPr>
        <w:t>ما كونه لا يضمن إلا مع التعدي أو التفريط</w:t>
      </w:r>
      <w:r w:rsidR="00B76A81">
        <w:rPr>
          <w:rFonts w:hint="cs"/>
          <w:rtl/>
        </w:rPr>
        <w:t>؛</w:t>
      </w:r>
      <w:r w:rsidR="006431D6" w:rsidRPr="00C85F0F">
        <w:rPr>
          <w:rFonts w:hint="cs"/>
          <w:rtl/>
        </w:rPr>
        <w:t xml:space="preserve"> </w:t>
      </w:r>
      <w:r w:rsidR="006431D6" w:rsidRPr="00C85F0F">
        <w:rPr>
          <w:rFonts w:ascii="Traditional Arabic" w:hAnsi="Traditional Arabic"/>
          <w:noProof w:val="0"/>
          <w:rtl/>
          <w:lang w:eastAsia="en-US"/>
        </w:rPr>
        <w:t>فلأنه بتعديه أو تفريطه زال</w:t>
      </w:r>
      <w:r w:rsidR="00B76A81">
        <w:rPr>
          <w:rFonts w:ascii="Traditional Arabic" w:hAnsi="Traditional Arabic" w:hint="cs"/>
          <w:noProof w:val="0"/>
          <w:rtl/>
          <w:lang w:eastAsia="en-US"/>
        </w:rPr>
        <w:t>َ</w:t>
      </w:r>
      <w:r w:rsidR="006431D6" w:rsidRPr="00C85F0F">
        <w:rPr>
          <w:rFonts w:ascii="Traditional Arabic" w:hAnsi="Traditional Arabic"/>
          <w:noProof w:val="0"/>
          <w:rtl/>
          <w:lang w:eastAsia="en-US"/>
        </w:rPr>
        <w:t xml:space="preserve"> ائتمان</w:t>
      </w:r>
      <w:r w:rsidR="00B76A81">
        <w:rPr>
          <w:rFonts w:ascii="Traditional Arabic" w:hAnsi="Traditional Arabic" w:hint="cs"/>
          <w:noProof w:val="0"/>
          <w:rtl/>
          <w:lang w:eastAsia="en-US"/>
        </w:rPr>
        <w:t>ُ</w:t>
      </w:r>
      <w:r w:rsidR="006431D6" w:rsidRPr="00C85F0F">
        <w:rPr>
          <w:rFonts w:ascii="Traditional Arabic" w:hAnsi="Traditional Arabic"/>
          <w:noProof w:val="0"/>
          <w:rtl/>
          <w:lang w:eastAsia="en-US"/>
        </w:rPr>
        <w:t>ه، فصار غير أمين</w:t>
      </w:r>
      <w:r w:rsidR="006431D6" w:rsidRPr="00C85F0F">
        <w:rPr>
          <w:rFonts w:hint="cs"/>
          <w:rtl/>
        </w:rPr>
        <w:t>، وكل يد ليست أمينة فإن عليها الضمان</w:t>
      </w:r>
      <w:r w:rsidR="006431D6" w:rsidRPr="00C85F0F">
        <w:rPr>
          <w:rStyle w:val="af1"/>
          <w:szCs w:val="32"/>
          <w:rtl/>
        </w:rPr>
        <w:t>(</w:t>
      </w:r>
      <w:r w:rsidR="006431D6" w:rsidRPr="00C85F0F">
        <w:rPr>
          <w:rStyle w:val="af1"/>
          <w:szCs w:val="32"/>
          <w:rtl/>
        </w:rPr>
        <w:footnoteReference w:id="2240"/>
      </w:r>
      <w:r w:rsidR="006431D6" w:rsidRPr="00C85F0F">
        <w:rPr>
          <w:rStyle w:val="af1"/>
          <w:szCs w:val="32"/>
          <w:rtl/>
        </w:rPr>
        <w:t>)</w:t>
      </w:r>
      <w:r w:rsidR="006431D6" w:rsidRPr="00C85F0F">
        <w:rPr>
          <w:rFonts w:hint="cs"/>
          <w:rtl/>
        </w:rPr>
        <w:t>.</w:t>
      </w:r>
    </w:p>
    <w:p w:rsidR="00065E4B" w:rsidRDefault="00065E4B" w:rsidP="00597C20">
      <w:pPr>
        <w:ind w:firstLine="720"/>
        <w:rPr>
          <w:rtl/>
        </w:rPr>
      </w:pPr>
      <w:r w:rsidRPr="00C85F0F">
        <w:rPr>
          <w:rFonts w:hint="cs"/>
          <w:rtl/>
        </w:rPr>
        <w:t>أ</w:t>
      </w:r>
      <w:r w:rsidR="006431D6" w:rsidRPr="00C85F0F">
        <w:rPr>
          <w:rFonts w:hint="cs"/>
          <w:rtl/>
        </w:rPr>
        <w:t xml:space="preserve">ما كونه يضمن إذا شرط عليه ذلك؛ فلقول النبي </w:t>
      </w:r>
      <w:r w:rsidR="00F350DE" w:rsidRPr="00C85F0F">
        <w:rPr>
          <w:rFonts w:ascii="Traditional Arabic" w:hAnsi="Traditional Arabic"/>
          <w:noProof w:val="0"/>
          <w:color w:val="auto"/>
          <w:rtl/>
          <w:lang w:eastAsia="en-US"/>
        </w:rPr>
        <w:sym w:font="AGA Arabesque" w:char="F072"/>
      </w:r>
      <w:r w:rsidR="006431D6" w:rsidRPr="00C85F0F">
        <w:rPr>
          <w:rFonts w:hint="cs"/>
          <w:rtl/>
        </w:rPr>
        <w:t>:</w:t>
      </w:r>
      <w:r w:rsidR="00B76A81">
        <w:rPr>
          <w:rFonts w:hint="cs"/>
          <w:rtl/>
        </w:rPr>
        <w:t xml:space="preserve"> </w:t>
      </w:r>
      <w:r w:rsidR="006431D6" w:rsidRPr="00C85F0F">
        <w:rPr>
          <w:rFonts w:hint="cs"/>
          <w:rtl/>
        </w:rPr>
        <w:t>"المسلمون على شروطهم</w:t>
      </w:r>
      <w:r w:rsidR="00AB0B9E" w:rsidRPr="00C85F0F">
        <w:fldChar w:fldCharType="begin"/>
      </w:r>
      <w:r w:rsidR="00E36E3D" w:rsidRPr="00C85F0F">
        <w:instrText>XE</w:instrText>
      </w:r>
      <w:r w:rsidR="00E36E3D" w:rsidRPr="00C85F0F">
        <w:rPr>
          <w:rtl/>
        </w:rPr>
        <w:instrText xml:space="preserve"> "</w:instrText>
      </w:r>
      <w:r w:rsidR="00E36E3D" w:rsidRPr="00C85F0F">
        <w:rPr>
          <w:rFonts w:hint="cs"/>
          <w:rtl/>
        </w:rPr>
        <w:instrText>الصلح جائز بين المسلمين، ......، والمسلمون على شروطهم</w:instrText>
      </w:r>
      <w:r w:rsidR="00E36E3D" w:rsidRPr="00C85F0F">
        <w:rPr>
          <w:rtl/>
        </w:rPr>
        <w:instrText>" \</w:instrText>
      </w:r>
      <w:r w:rsidR="00E36E3D" w:rsidRPr="00C85F0F">
        <w:instrText>fh</w:instrText>
      </w:r>
      <w:r w:rsidR="00AB0B9E" w:rsidRPr="00C85F0F">
        <w:fldChar w:fldCharType="end"/>
      </w:r>
      <w:r w:rsidR="006431D6">
        <w:rPr>
          <w:rFonts w:hint="cs"/>
          <w:rtl/>
        </w:rPr>
        <w:t>"</w:t>
      </w:r>
      <w:r w:rsidR="006431D6" w:rsidRPr="00C821A1">
        <w:rPr>
          <w:rStyle w:val="af1"/>
          <w:szCs w:val="32"/>
          <w:rtl/>
        </w:rPr>
        <w:t>(</w:t>
      </w:r>
      <w:r w:rsidR="006431D6" w:rsidRPr="00C821A1">
        <w:rPr>
          <w:rStyle w:val="af1"/>
          <w:szCs w:val="32"/>
          <w:rtl/>
        </w:rPr>
        <w:footnoteReference w:id="2241"/>
      </w:r>
      <w:r w:rsidR="006431D6" w:rsidRPr="00C821A1">
        <w:rPr>
          <w:rStyle w:val="af1"/>
          <w:szCs w:val="32"/>
          <w:rtl/>
        </w:rPr>
        <w:t>)(</w:t>
      </w:r>
      <w:r w:rsidR="006431D6" w:rsidRPr="00C821A1">
        <w:rPr>
          <w:rStyle w:val="af1"/>
          <w:szCs w:val="32"/>
          <w:rtl/>
        </w:rPr>
        <w:footnoteReference w:id="2242"/>
      </w:r>
      <w:r w:rsidR="006431D6" w:rsidRPr="00C821A1">
        <w:rPr>
          <w:rStyle w:val="af1"/>
          <w:szCs w:val="32"/>
          <w:rtl/>
        </w:rPr>
        <w:t>)</w:t>
      </w:r>
      <w:r w:rsidR="006431D6">
        <w:rPr>
          <w:rFonts w:hint="cs"/>
          <w:rtl/>
        </w:rPr>
        <w:t>.</w:t>
      </w:r>
    </w:p>
    <w:p w:rsidR="00065E4B" w:rsidRDefault="00065E4B" w:rsidP="00597C20">
      <w:pPr>
        <w:pStyle w:val="53"/>
        <w:rPr>
          <w:rtl/>
        </w:rPr>
      </w:pPr>
      <w:r>
        <w:rPr>
          <w:rFonts w:hint="cs"/>
          <w:rtl/>
        </w:rPr>
        <w:t>و</w:t>
      </w:r>
      <w:r w:rsidR="006431D6">
        <w:rPr>
          <w:rFonts w:hint="cs"/>
          <w:rtl/>
        </w:rPr>
        <w:t>جه اندراج الفرع تحت الضابط:</w:t>
      </w:r>
    </w:p>
    <w:p w:rsidR="006431D6" w:rsidRDefault="00065E4B" w:rsidP="00597C20">
      <w:pPr>
        <w:ind w:firstLine="720"/>
        <w:rPr>
          <w:rtl/>
        </w:rPr>
      </w:pPr>
      <w:r>
        <w:rPr>
          <w:rFonts w:hint="cs"/>
          <w:rtl/>
        </w:rPr>
        <w:t>ي</w:t>
      </w:r>
      <w:r w:rsidR="006431D6">
        <w:rPr>
          <w:rFonts w:hint="cs"/>
          <w:rtl/>
        </w:rPr>
        <w:t>ندرج هذا الفرع تحت ضابط يد المستعير أمينة، فيما يتعلق بالأمرين الأولين اللذين يضمن بسببهما المستعير</w:t>
      </w:r>
      <w:r w:rsidR="00B76A81">
        <w:rPr>
          <w:rFonts w:hint="cs"/>
          <w:rtl/>
        </w:rPr>
        <w:t>ُ</w:t>
      </w:r>
      <w:r w:rsidR="006431D6">
        <w:rPr>
          <w:rFonts w:hint="cs"/>
          <w:rtl/>
        </w:rPr>
        <w:t>، فلما كانت يد المستعير يداً أمينة، لم يضمن إلا مع</w:t>
      </w:r>
      <w:r w:rsidR="00B76A81">
        <w:rPr>
          <w:rFonts w:hint="cs"/>
          <w:rtl/>
        </w:rPr>
        <w:t xml:space="preserve"> التعدي والتفريط؛ لأن القاعدة تقول:</w:t>
      </w:r>
      <w:r w:rsidR="006431D6">
        <w:rPr>
          <w:rFonts w:hint="cs"/>
          <w:rtl/>
        </w:rPr>
        <w:t xml:space="preserve"> الأمين لا يضمن إلا إذا تعدى أو فرَّط</w:t>
      </w:r>
      <w:r w:rsidR="006431D6" w:rsidRPr="00C821A1">
        <w:rPr>
          <w:rStyle w:val="af1"/>
          <w:szCs w:val="32"/>
          <w:rtl/>
        </w:rPr>
        <w:t>(</w:t>
      </w:r>
      <w:r w:rsidR="006431D6" w:rsidRPr="00C821A1">
        <w:rPr>
          <w:rStyle w:val="af1"/>
          <w:szCs w:val="32"/>
          <w:rtl/>
        </w:rPr>
        <w:footnoteReference w:id="2243"/>
      </w:r>
      <w:r w:rsidR="006431D6" w:rsidRPr="00C821A1">
        <w:rPr>
          <w:rStyle w:val="af1"/>
          <w:szCs w:val="32"/>
          <w:rtl/>
        </w:rPr>
        <w:t>)</w:t>
      </w:r>
      <w:r w:rsidR="006431D6">
        <w:rPr>
          <w:rFonts w:hint="cs"/>
          <w:rtl/>
        </w:rPr>
        <w:t>.</w:t>
      </w:r>
    </w:p>
    <w:p w:rsidR="00EB60EC" w:rsidRDefault="00EB60EC" w:rsidP="00597C20">
      <w:pPr>
        <w:ind w:firstLine="720"/>
        <w:rPr>
          <w:rtl/>
        </w:rPr>
      </w:pPr>
    </w:p>
    <w:p w:rsidR="00EB60EC" w:rsidRPr="007A6F9A" w:rsidRDefault="00EB60EC" w:rsidP="00A811DB">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EB60EC" w:rsidRPr="0034006D" w:rsidRDefault="00EB60EC" w:rsidP="00597C20">
      <w:pPr>
        <w:ind w:firstLine="720"/>
        <w:rPr>
          <w:rtl/>
        </w:rPr>
      </w:pPr>
    </w:p>
    <w:p w:rsidR="006431D6" w:rsidRPr="00C85F0F" w:rsidRDefault="00E1798A" w:rsidP="000F5C0F">
      <w:pPr>
        <w:pStyle w:val="aff2"/>
        <w:rPr>
          <w:rtl/>
        </w:rPr>
      </w:pPr>
      <w:bookmarkStart w:id="529" w:name="_Toc334046703"/>
      <w:r w:rsidRPr="00D816CC">
        <w:rPr>
          <w:rFonts w:ascii="Traditional Arabic" w:hAnsi="Traditional Arabic" w:hint="cs"/>
          <w:rtl/>
        </w:rPr>
        <w:lastRenderedPageBreak/>
        <w:t>المبحث الثالث</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6431D6">
        <w:rPr>
          <w:rFonts w:hint="cs"/>
          <w:rtl/>
        </w:rPr>
        <w:t>ضابط</w:t>
      </w:r>
      <w:r w:rsidR="006431D6">
        <w:rPr>
          <w:rtl/>
        </w:rPr>
        <w:br/>
      </w:r>
      <w:r w:rsidR="006431D6">
        <w:rPr>
          <w:rFonts w:hint="cs"/>
          <w:rtl/>
        </w:rPr>
        <w:t>"كل من بيده مال جهل صاحبه وأيس من العثور عليه، فله أن يتصدق به بشرط الضمان</w:t>
      </w:r>
      <w:r w:rsidR="00AB0B9E" w:rsidRPr="00C85F0F">
        <w:rPr>
          <w:rtl/>
        </w:rPr>
        <w:fldChar w:fldCharType="begin"/>
      </w:r>
      <w:r w:rsidR="00945AC4" w:rsidRPr="00C85F0F">
        <w:rPr>
          <w:rFonts w:hint="cs"/>
        </w:rPr>
        <w:instrText>XE</w:instrText>
      </w:r>
      <w:r w:rsidR="00945AC4" w:rsidRPr="00C85F0F">
        <w:rPr>
          <w:rtl/>
        </w:rPr>
        <w:instrText xml:space="preserve"> "</w:instrText>
      </w:r>
      <w:r w:rsidR="00945AC4" w:rsidRPr="00C85F0F">
        <w:rPr>
          <w:rFonts w:hint="cs"/>
          <w:rtl/>
        </w:rPr>
        <w:instrText>كلمنبيدهمالجهلصاحبهوأيسمنالعثورعليه،فلهأنيتصدقبهبشرطالضمان</w:instrText>
      </w:r>
      <w:r w:rsidR="00945AC4" w:rsidRPr="00C85F0F">
        <w:rPr>
          <w:rtl/>
        </w:rPr>
        <w:instrText>"\</w:instrText>
      </w:r>
      <w:r w:rsidR="00945AC4" w:rsidRPr="00C85F0F">
        <w:rPr>
          <w:rFonts w:cs="Arial"/>
        </w:rPr>
        <w:instrText>fd</w:instrText>
      </w:r>
      <w:r w:rsidR="00945AC4" w:rsidRPr="00C85F0F">
        <w:rPr>
          <w:rtl/>
        </w:rPr>
        <w:instrText xml:space="preserve">" </w:instrText>
      </w:r>
      <w:r w:rsidR="00AB0B9E" w:rsidRPr="00C85F0F">
        <w:rPr>
          <w:rtl/>
        </w:rPr>
        <w:fldChar w:fldCharType="end"/>
      </w:r>
      <w:r w:rsidR="006431D6" w:rsidRPr="00C85F0F">
        <w:rPr>
          <w:rFonts w:hint="cs"/>
          <w:rtl/>
        </w:rPr>
        <w:t>"</w:t>
      </w:r>
      <w:r w:rsidR="006431D6" w:rsidRPr="00C85F0F">
        <w:rPr>
          <w:rStyle w:val="af1"/>
          <w:b w:val="0"/>
          <w:bCs w:val="0"/>
          <w:szCs w:val="32"/>
          <w:rtl/>
        </w:rPr>
        <w:t>(</w:t>
      </w:r>
      <w:r w:rsidR="006431D6" w:rsidRPr="00C85F0F">
        <w:rPr>
          <w:rStyle w:val="af1"/>
          <w:b w:val="0"/>
          <w:bCs w:val="0"/>
          <w:szCs w:val="32"/>
          <w:rtl/>
        </w:rPr>
        <w:footnoteReference w:id="2244"/>
      </w:r>
      <w:r w:rsidR="006431D6" w:rsidRPr="00C85F0F">
        <w:rPr>
          <w:rStyle w:val="af1"/>
          <w:b w:val="0"/>
          <w:bCs w:val="0"/>
          <w:szCs w:val="32"/>
          <w:rtl/>
        </w:rPr>
        <w:t>)</w:t>
      </w:r>
      <w:bookmarkEnd w:id="529"/>
    </w:p>
    <w:p w:rsidR="00065E4B" w:rsidRPr="00C85F0F" w:rsidRDefault="00EB60EC" w:rsidP="00A8347C">
      <w:pPr>
        <w:pStyle w:val="aff3"/>
        <w:rPr>
          <w:rtl/>
        </w:rPr>
      </w:pPr>
      <w:bookmarkStart w:id="530" w:name="_Toc334046704"/>
      <w:r>
        <w:rPr>
          <w:rFonts w:hint="cs"/>
          <w:rtl/>
        </w:rPr>
        <w:t xml:space="preserve">     </w:t>
      </w:r>
      <w:r w:rsidR="00B76A81">
        <w:rPr>
          <w:rFonts w:hint="cs"/>
          <w:rtl/>
        </w:rPr>
        <w:t xml:space="preserve">                       </w:t>
      </w:r>
      <w:r>
        <w:rPr>
          <w:rFonts w:hint="cs"/>
          <w:rtl/>
        </w:rPr>
        <w:t xml:space="preserve">            </w:t>
      </w:r>
      <w:r w:rsidR="006431D6" w:rsidRPr="00C85F0F">
        <w:rPr>
          <w:rFonts w:hint="cs"/>
          <w:rtl/>
        </w:rPr>
        <w:t>المطلب الأول</w:t>
      </w:r>
      <w:r w:rsidR="004F5A0D" w:rsidRPr="00C85F0F">
        <w:rPr>
          <w:rFonts w:hint="eastAsia"/>
          <w:rtl/>
        </w:rPr>
        <w:t> :</w:t>
      </w:r>
      <w:r w:rsidR="004F5A0D" w:rsidRPr="00C85F0F">
        <w:rPr>
          <w:rFonts w:hint="cs"/>
          <w:rtl/>
        </w:rPr>
        <w:br/>
      </w:r>
      <w:r>
        <w:rPr>
          <w:rFonts w:hint="cs"/>
          <w:rtl/>
        </w:rPr>
        <w:t xml:space="preserve">               </w:t>
      </w:r>
      <w:r w:rsidR="00B76A81">
        <w:rPr>
          <w:rFonts w:hint="cs"/>
          <w:rtl/>
        </w:rPr>
        <w:t xml:space="preserve">                          </w:t>
      </w:r>
      <w:r w:rsidR="006431D6" w:rsidRPr="00C85F0F">
        <w:rPr>
          <w:rFonts w:hint="cs"/>
          <w:rtl/>
        </w:rPr>
        <w:t>شرح الضابط</w:t>
      </w:r>
      <w:bookmarkEnd w:id="530"/>
    </w:p>
    <w:p w:rsidR="00065E4B" w:rsidRPr="00C85F0F" w:rsidRDefault="00A811DB" w:rsidP="00B76A81">
      <w:pPr>
        <w:ind w:firstLine="0"/>
        <w:rPr>
          <w:rtl/>
        </w:rPr>
      </w:pPr>
      <w:r>
        <w:rPr>
          <w:rFonts w:hint="cs"/>
          <w:rtl/>
        </w:rPr>
        <w:t xml:space="preserve">    </w:t>
      </w:r>
      <w:r w:rsidR="00065E4B" w:rsidRPr="00C85F0F">
        <w:rPr>
          <w:rFonts w:hint="cs"/>
          <w:rtl/>
        </w:rPr>
        <w:t>م</w:t>
      </w:r>
      <w:r w:rsidR="006431D6" w:rsidRPr="00C85F0F">
        <w:rPr>
          <w:rFonts w:hint="cs"/>
          <w:rtl/>
        </w:rPr>
        <w:t>ن كان بيده مالٌ لِغيره، وهو لا يعرف صاحبَه، فلا يخلو ذلك من أمرين:</w:t>
      </w:r>
    </w:p>
    <w:p w:rsidR="00065E4B" w:rsidRPr="00C85F0F" w:rsidRDefault="00A811DB" w:rsidP="00B76A81">
      <w:pPr>
        <w:ind w:firstLine="0"/>
        <w:rPr>
          <w:rtl/>
        </w:rPr>
      </w:pPr>
      <w:r>
        <w:rPr>
          <w:rFonts w:hint="cs"/>
          <w:rtl/>
        </w:rPr>
        <w:t xml:space="preserve">    </w:t>
      </w:r>
      <w:r w:rsidR="00065E4B" w:rsidRPr="00C85F0F">
        <w:rPr>
          <w:rFonts w:hint="cs"/>
          <w:rtl/>
        </w:rPr>
        <w:t>أ</w:t>
      </w:r>
      <w:r w:rsidR="006431D6" w:rsidRPr="00C85F0F">
        <w:rPr>
          <w:rFonts w:hint="cs"/>
          <w:rtl/>
        </w:rPr>
        <w:t>حدهما: أن يكون قد وجده، فهذا لُقَطَة له أحكام اللقطة</w:t>
      </w:r>
      <w:r w:rsidR="006431D6" w:rsidRPr="00C85F0F">
        <w:rPr>
          <w:rStyle w:val="af1"/>
          <w:szCs w:val="32"/>
          <w:rtl/>
        </w:rPr>
        <w:t>(</w:t>
      </w:r>
      <w:r w:rsidR="006431D6" w:rsidRPr="00C85F0F">
        <w:rPr>
          <w:rStyle w:val="af1"/>
          <w:szCs w:val="32"/>
          <w:rtl/>
        </w:rPr>
        <w:footnoteReference w:id="2245"/>
      </w:r>
      <w:r w:rsidR="006431D6" w:rsidRPr="00C85F0F">
        <w:rPr>
          <w:rStyle w:val="af1"/>
          <w:szCs w:val="32"/>
          <w:rtl/>
        </w:rPr>
        <w:t>)</w:t>
      </w:r>
      <w:r w:rsidR="006431D6" w:rsidRPr="00C85F0F">
        <w:rPr>
          <w:rFonts w:hint="cs"/>
          <w:rtl/>
        </w:rPr>
        <w:t>.</w:t>
      </w:r>
    </w:p>
    <w:p w:rsidR="00065E4B" w:rsidRPr="00C85F0F" w:rsidRDefault="00A811DB" w:rsidP="00B76A81">
      <w:pPr>
        <w:ind w:firstLine="0"/>
        <w:rPr>
          <w:rtl/>
        </w:rPr>
      </w:pPr>
      <w:r>
        <w:rPr>
          <w:rFonts w:hint="cs"/>
          <w:rtl/>
        </w:rPr>
        <w:t xml:space="preserve">    </w:t>
      </w:r>
      <w:r w:rsidR="00065E4B" w:rsidRPr="00C85F0F">
        <w:rPr>
          <w:rFonts w:hint="cs"/>
          <w:rtl/>
        </w:rPr>
        <w:t>ا</w:t>
      </w:r>
      <w:r w:rsidR="006431D6" w:rsidRPr="00C85F0F">
        <w:rPr>
          <w:rFonts w:hint="cs"/>
          <w:rtl/>
        </w:rPr>
        <w:t>لثاني: أن يكون غصباً أو أمانة أو عارية أو رهنا أو نحوها</w:t>
      </w:r>
      <w:r w:rsidR="006431D6" w:rsidRPr="00C85F0F">
        <w:rPr>
          <w:rStyle w:val="af1"/>
          <w:szCs w:val="32"/>
          <w:rtl/>
        </w:rPr>
        <w:t>(</w:t>
      </w:r>
      <w:r w:rsidR="006431D6" w:rsidRPr="00C85F0F">
        <w:rPr>
          <w:rStyle w:val="af1"/>
          <w:szCs w:val="32"/>
          <w:rtl/>
        </w:rPr>
        <w:footnoteReference w:id="2246"/>
      </w:r>
      <w:r w:rsidR="006431D6" w:rsidRPr="00C85F0F">
        <w:rPr>
          <w:rStyle w:val="af1"/>
          <w:szCs w:val="32"/>
          <w:rtl/>
        </w:rPr>
        <w:t>)</w:t>
      </w:r>
      <w:r w:rsidR="006431D6" w:rsidRPr="00C85F0F">
        <w:rPr>
          <w:rFonts w:hint="cs"/>
          <w:rtl/>
        </w:rPr>
        <w:t>، فهذا متى أَيِس من وجود صاحبه</w:t>
      </w:r>
      <w:r w:rsidR="00B76A81">
        <w:rPr>
          <w:rFonts w:hint="cs"/>
          <w:rtl/>
        </w:rPr>
        <w:t>،</w:t>
      </w:r>
      <w:r w:rsidR="006431D6" w:rsidRPr="00C85F0F">
        <w:rPr>
          <w:rFonts w:hint="cs"/>
          <w:rtl/>
        </w:rPr>
        <w:t xml:space="preserve"> وم</w:t>
      </w:r>
      <w:r w:rsidR="00B76A81">
        <w:rPr>
          <w:rFonts w:hint="cs"/>
          <w:rtl/>
        </w:rPr>
        <w:t>َ</w:t>
      </w:r>
      <w:r w:rsidR="006431D6" w:rsidRPr="00C85F0F">
        <w:rPr>
          <w:rFonts w:hint="cs"/>
          <w:rtl/>
        </w:rPr>
        <w:t>ن يقوم مقامَه من وكيل ووارث، خُيِّر بين أمرين:</w:t>
      </w:r>
    </w:p>
    <w:p w:rsidR="00065E4B" w:rsidRPr="00C85F0F" w:rsidRDefault="00A811DB" w:rsidP="00B76A81">
      <w:pPr>
        <w:ind w:firstLine="0"/>
        <w:rPr>
          <w:rtl/>
        </w:rPr>
      </w:pPr>
      <w:r>
        <w:rPr>
          <w:rFonts w:hint="cs"/>
          <w:rtl/>
        </w:rPr>
        <w:t xml:space="preserve">    </w:t>
      </w:r>
      <w:r w:rsidR="00065E4B" w:rsidRPr="00C85F0F">
        <w:rPr>
          <w:rFonts w:hint="cs"/>
          <w:rtl/>
        </w:rPr>
        <w:t>إ</w:t>
      </w:r>
      <w:r w:rsidR="006431D6" w:rsidRPr="00C85F0F">
        <w:rPr>
          <w:rFonts w:hint="cs"/>
          <w:rtl/>
        </w:rPr>
        <w:t>ما أن يدفعه إلى ولي الأمر؛ لأنه وليُّ مَن لا وليَّ له، والمتعذِّرُ عِلْمُه كالمعدوم، وإذا دفعه لوليِّ الأمر برئ من عُهْدَته، حتى لو وُجد بعد تسليمه لوليِّ الأمر لم يُلْزِمه بشيء؛ لأن هذا نهايةُ ما يَقْدِر عليه حيث دفعه للولي العام.</w:t>
      </w:r>
    </w:p>
    <w:p w:rsidR="006431D6" w:rsidRPr="00C85F0F" w:rsidRDefault="00A811DB" w:rsidP="00A811DB">
      <w:pPr>
        <w:ind w:firstLine="0"/>
        <w:rPr>
          <w:rtl/>
        </w:rPr>
      </w:pPr>
      <w:r>
        <w:rPr>
          <w:rFonts w:hint="cs"/>
          <w:rtl/>
        </w:rPr>
        <w:lastRenderedPageBreak/>
        <w:t xml:space="preserve">    </w:t>
      </w:r>
      <w:r w:rsidR="00065E4B" w:rsidRPr="00C85F0F">
        <w:rPr>
          <w:rFonts w:hint="cs"/>
          <w:rtl/>
        </w:rPr>
        <w:t>و</w:t>
      </w:r>
      <w:r w:rsidR="006431D6" w:rsidRPr="00C85F0F">
        <w:rPr>
          <w:rFonts w:hint="cs"/>
          <w:rtl/>
        </w:rPr>
        <w:t>إما أن يتصدق به عن صاحبه، فلو جاء بعد ذلك، فإن أجاز صَدَقته عنه فذاك، وإلا فله تغريمُه ويكون الأجرُ للمتصدِّق</w:t>
      </w:r>
      <w:r w:rsidR="006431D6" w:rsidRPr="00C85F0F">
        <w:rPr>
          <w:rStyle w:val="af1"/>
          <w:szCs w:val="32"/>
          <w:rtl/>
        </w:rPr>
        <w:t>(</w:t>
      </w:r>
      <w:r w:rsidR="006431D6" w:rsidRPr="00C85F0F">
        <w:rPr>
          <w:rStyle w:val="af1"/>
          <w:szCs w:val="32"/>
          <w:rtl/>
        </w:rPr>
        <w:footnoteReference w:id="2247"/>
      </w:r>
      <w:r w:rsidR="006431D6" w:rsidRPr="00C85F0F">
        <w:rPr>
          <w:rStyle w:val="af1"/>
          <w:szCs w:val="32"/>
          <w:rtl/>
        </w:rPr>
        <w:t>)</w:t>
      </w:r>
      <w:r w:rsidR="006431D6" w:rsidRPr="00C85F0F">
        <w:rPr>
          <w:rFonts w:hint="cs"/>
          <w:rtl/>
        </w:rPr>
        <w:t>.</w:t>
      </w:r>
    </w:p>
    <w:p w:rsidR="00065E4B" w:rsidRPr="00C85F0F" w:rsidRDefault="00EB60EC" w:rsidP="00A8347C">
      <w:pPr>
        <w:pStyle w:val="aff3"/>
        <w:rPr>
          <w:rtl/>
        </w:rPr>
      </w:pPr>
      <w:bookmarkStart w:id="531" w:name="_Toc334046705"/>
      <w:r>
        <w:rPr>
          <w:rFonts w:hint="cs"/>
          <w:rtl/>
        </w:rPr>
        <w:t xml:space="preserve">     </w:t>
      </w:r>
      <w:r w:rsidR="00B76A81">
        <w:rPr>
          <w:rFonts w:hint="cs"/>
          <w:rtl/>
        </w:rPr>
        <w:t xml:space="preserve">                         </w:t>
      </w:r>
      <w:r>
        <w:rPr>
          <w:rFonts w:hint="cs"/>
          <w:rtl/>
        </w:rPr>
        <w:t xml:space="preserve">           </w:t>
      </w:r>
      <w:r w:rsidR="006431D6" w:rsidRPr="00C85F0F">
        <w:rPr>
          <w:rFonts w:hint="cs"/>
          <w:rtl/>
        </w:rPr>
        <w:t>المطلب الثاني</w:t>
      </w:r>
      <w:r w:rsidR="004F5A0D" w:rsidRPr="00C85F0F">
        <w:rPr>
          <w:rFonts w:hint="eastAsia"/>
          <w:rtl/>
        </w:rPr>
        <w:t> :</w:t>
      </w:r>
      <w:r w:rsidR="004F5A0D" w:rsidRPr="00C85F0F">
        <w:rPr>
          <w:rFonts w:hint="cs"/>
          <w:rtl/>
        </w:rPr>
        <w:br/>
      </w:r>
      <w:r>
        <w:rPr>
          <w:rFonts w:hint="cs"/>
          <w:rtl/>
        </w:rPr>
        <w:t xml:space="preserve">               </w:t>
      </w:r>
      <w:r w:rsidR="00B76A81">
        <w:rPr>
          <w:rFonts w:hint="cs"/>
          <w:rtl/>
        </w:rPr>
        <w:t xml:space="preserve">                           </w:t>
      </w:r>
      <w:r w:rsidR="00F72816">
        <w:rPr>
          <w:rFonts w:hint="cs"/>
          <w:rtl/>
        </w:rPr>
        <w:t xml:space="preserve"> </w:t>
      </w:r>
      <w:r w:rsidR="006431D6" w:rsidRPr="00C85F0F">
        <w:rPr>
          <w:rFonts w:hint="cs"/>
          <w:rtl/>
        </w:rPr>
        <w:t>أدلة ال</w:t>
      </w:r>
      <w:bookmarkEnd w:id="531"/>
      <w:r w:rsidR="00B76A81">
        <w:rPr>
          <w:rFonts w:hint="cs"/>
          <w:rtl/>
        </w:rPr>
        <w:t>ضابط</w:t>
      </w:r>
    </w:p>
    <w:p w:rsidR="00065E4B" w:rsidRPr="00C85F0F" w:rsidRDefault="00065E4B" w:rsidP="00597C20">
      <w:pPr>
        <w:ind w:firstLine="720"/>
        <w:rPr>
          <w:color w:val="auto"/>
          <w:rtl/>
        </w:rPr>
      </w:pPr>
      <w:r w:rsidRPr="00C85F0F">
        <w:rPr>
          <w:rFonts w:hint="cs"/>
          <w:rtl/>
        </w:rPr>
        <w:t>د</w:t>
      </w:r>
      <w:r w:rsidR="0070556A">
        <w:rPr>
          <w:rFonts w:hint="cs"/>
          <w:rtl/>
        </w:rPr>
        <w:t xml:space="preserve">ل على هذا الضابط </w:t>
      </w:r>
      <w:r w:rsidR="006431D6" w:rsidRPr="00C85F0F">
        <w:rPr>
          <w:rFonts w:hint="cs"/>
          <w:rtl/>
        </w:rPr>
        <w:t>ع</w:t>
      </w:r>
      <w:r w:rsidR="0070556A">
        <w:rPr>
          <w:rFonts w:hint="cs"/>
          <w:rtl/>
        </w:rPr>
        <w:t>م</w:t>
      </w:r>
      <w:r w:rsidR="006431D6" w:rsidRPr="00C85F0F">
        <w:rPr>
          <w:rFonts w:hint="cs"/>
          <w:rtl/>
        </w:rPr>
        <w:t>ل الصحابة رضوان الله تعالى عليهم.</w:t>
      </w:r>
    </w:p>
    <w:p w:rsidR="00065E4B" w:rsidRDefault="00065E4B" w:rsidP="00597C20">
      <w:pPr>
        <w:ind w:firstLine="720"/>
        <w:rPr>
          <w:rFonts w:ascii="Traditional Arabic" w:hAnsi="Traditional Arabic"/>
          <w:noProof w:val="0"/>
          <w:color w:val="auto"/>
          <w:rtl/>
          <w:lang w:eastAsia="en-US"/>
        </w:rPr>
      </w:pPr>
      <w:r w:rsidRPr="00C85F0F">
        <w:rPr>
          <w:rFonts w:hint="cs"/>
          <w:color w:val="auto"/>
          <w:rtl/>
        </w:rPr>
        <w:t>ق</w:t>
      </w:r>
      <w:r w:rsidR="006431D6" w:rsidRPr="00C85F0F">
        <w:rPr>
          <w:rFonts w:hint="cs"/>
          <w:color w:val="auto"/>
          <w:rtl/>
        </w:rPr>
        <w:t xml:space="preserve">ال شيخ الإسلام ابن تيمية </w:t>
      </w:r>
      <w:r w:rsidR="00B76A81">
        <w:rPr>
          <w:rFonts w:hint="cs"/>
          <w:color w:val="auto"/>
          <w:rtl/>
        </w:rPr>
        <w:t>_</w:t>
      </w:r>
      <w:r w:rsidR="009A0575" w:rsidRPr="005D5694">
        <w:rPr>
          <w:rFonts w:ascii="Traditional Arabic" w:hAnsi="Traditional Arabic" w:cs="CTraditional Arabic" w:hint="cs"/>
          <w:rtl/>
        </w:rPr>
        <w:t>/</w:t>
      </w:r>
      <w:r w:rsidR="00B76A81">
        <w:rPr>
          <w:rFonts w:hint="cs"/>
          <w:color w:val="auto"/>
          <w:rtl/>
        </w:rPr>
        <w:t>_</w:t>
      </w:r>
      <w:r w:rsidR="006431D6" w:rsidRPr="00C85F0F">
        <w:rPr>
          <w:rFonts w:hint="cs"/>
          <w:color w:val="auto"/>
          <w:rtl/>
        </w:rPr>
        <w:t>: (</w:t>
      </w:r>
      <w:r w:rsidR="006431D6" w:rsidRPr="00C85F0F">
        <w:rPr>
          <w:rFonts w:ascii="Traditional Arabic" w:hAnsi="Traditional Arabic" w:hint="cs"/>
          <w:noProof w:val="0"/>
          <w:color w:val="auto"/>
          <w:rtl/>
          <w:lang w:eastAsia="en-US"/>
        </w:rPr>
        <w:t>و</w:t>
      </w:r>
      <w:r w:rsidR="006431D6" w:rsidRPr="00C85F0F">
        <w:rPr>
          <w:rFonts w:ascii="Traditional Arabic" w:hAnsi="Traditional Arabic"/>
          <w:noProof w:val="0"/>
          <w:color w:val="auto"/>
          <w:rtl/>
          <w:lang w:eastAsia="en-US"/>
        </w:rPr>
        <w:t>كان عبد الله بن مسعود قد اشترى جارية</w:t>
      </w:r>
      <w:r w:rsidR="006431D6" w:rsidRPr="00C85F0F">
        <w:rPr>
          <w:rFonts w:ascii="Traditional Arabic" w:hAnsi="Traditional Arabic" w:hint="cs"/>
          <w:noProof w:val="0"/>
          <w:color w:val="auto"/>
          <w:rtl/>
          <w:lang w:eastAsia="en-US"/>
        </w:rPr>
        <w:t>،</w:t>
      </w:r>
      <w:r w:rsidR="006431D6" w:rsidRPr="00C85F0F">
        <w:rPr>
          <w:rFonts w:ascii="Traditional Arabic" w:hAnsi="Traditional Arabic"/>
          <w:noProof w:val="0"/>
          <w:color w:val="auto"/>
          <w:rtl/>
          <w:lang w:eastAsia="en-US"/>
        </w:rPr>
        <w:t xml:space="preserve"> فدخل بيته ليأتي بالثمن فخرج فلم يجد البائع</w:t>
      </w:r>
      <w:r w:rsidR="006431D6" w:rsidRPr="00C85F0F">
        <w:rPr>
          <w:rFonts w:ascii="Traditional Arabic" w:hAnsi="Traditional Arabic" w:hint="cs"/>
          <w:noProof w:val="0"/>
          <w:color w:val="auto"/>
          <w:rtl/>
          <w:lang w:eastAsia="en-US"/>
        </w:rPr>
        <w:t>،</w:t>
      </w:r>
      <w:r w:rsidR="00AB0B9E" w:rsidRPr="00C85F0F">
        <w:rPr>
          <w:rFonts w:ascii="Traditional Arabic" w:hAnsi="Traditional Arabic"/>
          <w:noProof w:val="0"/>
          <w:color w:val="auto"/>
          <w:lang w:eastAsia="en-US"/>
        </w:rPr>
        <w:fldChar w:fldCharType="begin"/>
      </w:r>
      <w:r w:rsidR="002C1436" w:rsidRPr="00C85F0F">
        <w:instrText>XE</w:instrText>
      </w:r>
      <w:r w:rsidR="002C1436" w:rsidRPr="00C85F0F">
        <w:rPr>
          <w:rtl/>
        </w:rPr>
        <w:instrText xml:space="preserve"> "</w:instrText>
      </w:r>
      <w:r w:rsidR="002C1436" w:rsidRPr="00C85F0F">
        <w:rPr>
          <w:rFonts w:ascii="Traditional Arabic" w:hAnsi="Traditional Arabic" w:hint="cs"/>
          <w:noProof w:val="0"/>
          <w:color w:val="auto"/>
          <w:rtl/>
          <w:lang w:eastAsia="en-US"/>
        </w:rPr>
        <w:instrText>و</w:instrText>
      </w:r>
      <w:r w:rsidR="002C1436" w:rsidRPr="00C85F0F">
        <w:rPr>
          <w:rFonts w:ascii="Traditional Arabic" w:hAnsi="Traditional Arabic"/>
          <w:noProof w:val="0"/>
          <w:color w:val="auto"/>
          <w:rtl/>
          <w:lang w:eastAsia="en-US"/>
        </w:rPr>
        <w:instrText>كان عبد الله بن مسعود قد اشترى جارية</w:instrText>
      </w:r>
      <w:r w:rsidR="002C1436" w:rsidRPr="00C85F0F">
        <w:rPr>
          <w:rFonts w:ascii="Traditional Arabic" w:hAnsi="Traditional Arabic" w:hint="cs"/>
          <w:noProof w:val="0"/>
          <w:color w:val="auto"/>
          <w:rtl/>
          <w:lang w:eastAsia="en-US"/>
        </w:rPr>
        <w:instrText>،</w:instrText>
      </w:r>
      <w:r w:rsidR="002C1436" w:rsidRPr="00C85F0F">
        <w:rPr>
          <w:rFonts w:ascii="Traditional Arabic" w:hAnsi="Traditional Arabic"/>
          <w:noProof w:val="0"/>
          <w:color w:val="auto"/>
          <w:rtl/>
          <w:lang w:eastAsia="en-US"/>
        </w:rPr>
        <w:instrText xml:space="preserve"> فدخل بيته ليأتي بالثمن فخرج فلم يجد البائع</w:instrText>
      </w:r>
      <w:r w:rsidR="002C1436" w:rsidRPr="00C85F0F">
        <w:rPr>
          <w:rFonts w:ascii="Traditional Arabic" w:hAnsi="Traditional Arabic" w:hint="cs"/>
          <w:noProof w:val="0"/>
          <w:color w:val="auto"/>
          <w:rtl/>
          <w:lang w:eastAsia="en-US"/>
        </w:rPr>
        <w:instrText>،</w:instrText>
      </w:r>
      <w:r w:rsidR="002C1436" w:rsidRPr="00C85F0F">
        <w:rPr>
          <w:rtl/>
        </w:rPr>
        <w:instrText>" \</w:instrText>
      </w:r>
      <w:r w:rsidR="002C1436" w:rsidRPr="00C85F0F">
        <w:instrText>ft</w:instrText>
      </w:r>
      <w:r w:rsidR="00AB0B9E" w:rsidRPr="00C85F0F">
        <w:rPr>
          <w:rFonts w:ascii="Traditional Arabic" w:hAnsi="Traditional Arabic"/>
          <w:noProof w:val="0"/>
          <w:color w:val="auto"/>
          <w:lang w:eastAsia="en-US"/>
        </w:rPr>
        <w:fldChar w:fldCharType="end"/>
      </w:r>
      <w:r w:rsidR="006431D6" w:rsidRPr="00CE0B44">
        <w:rPr>
          <w:rFonts w:ascii="Traditional Arabic" w:hAnsi="Traditional Arabic"/>
          <w:noProof w:val="0"/>
          <w:color w:val="auto"/>
          <w:rtl/>
          <w:lang w:eastAsia="en-US"/>
        </w:rPr>
        <w:t xml:space="preserve"> فجعل يطوف على المساكين ويتصدق عليهم بالثمن</w:t>
      </w:r>
      <w:r w:rsidR="006431D6">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 xml:space="preserve"> ويقول : اللهم عن رب الجارية فإن قبل فذاك وإن لم يقبل فهو لي وعلي</w:t>
      </w:r>
      <w:r w:rsidR="006431D6">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 xml:space="preserve"> له مثل</w:t>
      </w:r>
      <w:r w:rsidR="006431D6">
        <w:rPr>
          <w:rFonts w:ascii="Traditional Arabic" w:hAnsi="Traditional Arabic" w:hint="cs"/>
          <w:noProof w:val="0"/>
          <w:color w:val="auto"/>
          <w:rtl/>
          <w:lang w:eastAsia="en-US"/>
        </w:rPr>
        <w:t>ُ</w:t>
      </w:r>
      <w:r w:rsidR="006431D6">
        <w:rPr>
          <w:rFonts w:ascii="Traditional Arabic" w:hAnsi="Traditional Arabic"/>
          <w:noProof w:val="0"/>
          <w:color w:val="auto"/>
          <w:rtl/>
          <w:lang w:eastAsia="en-US"/>
        </w:rPr>
        <w:t>ه يوم القيامة</w:t>
      </w:r>
      <w:r w:rsidR="006431D6" w:rsidRPr="00C821A1">
        <w:rPr>
          <w:rStyle w:val="af1"/>
          <w:szCs w:val="32"/>
          <w:rtl/>
        </w:rPr>
        <w:t>(</w:t>
      </w:r>
      <w:r w:rsidR="006431D6" w:rsidRPr="00C821A1">
        <w:rPr>
          <w:rStyle w:val="af1"/>
          <w:szCs w:val="32"/>
          <w:rtl/>
        </w:rPr>
        <w:footnoteReference w:id="2248"/>
      </w:r>
      <w:r w:rsidR="006431D6" w:rsidRPr="00C821A1">
        <w:rPr>
          <w:rStyle w:val="af1"/>
          <w:szCs w:val="32"/>
          <w:rtl/>
        </w:rPr>
        <w:t>)</w:t>
      </w:r>
      <w:r w:rsidR="006431D6" w:rsidRPr="00CE0B44">
        <w:rPr>
          <w:rFonts w:ascii="Traditional Arabic" w:hAnsi="Traditional Arabic"/>
          <w:noProof w:val="0"/>
          <w:color w:val="auto"/>
          <w:rtl/>
          <w:lang w:eastAsia="en-US"/>
        </w:rPr>
        <w:t>.</w:t>
      </w:r>
    </w:p>
    <w:p w:rsidR="006431D6" w:rsidRDefault="00065E4B" w:rsidP="00597C20">
      <w:pPr>
        <w:ind w:firstLine="720"/>
        <w:rPr>
          <w:rFonts w:ascii="Traditional Arabic" w:hAnsi="Traditional Arabic"/>
          <w:noProof w:val="0"/>
          <w:color w:val="auto"/>
          <w:rtl/>
          <w:lang w:eastAsia="en-US"/>
        </w:rPr>
      </w:pPr>
      <w:r w:rsidRPr="00CE0B44">
        <w:rPr>
          <w:rFonts w:ascii="Traditional Arabic" w:hAnsi="Traditional Arabic"/>
          <w:noProof w:val="0"/>
          <w:color w:val="auto"/>
          <w:rtl/>
          <w:lang w:eastAsia="en-US"/>
        </w:rPr>
        <w:t>و</w:t>
      </w:r>
      <w:r w:rsidR="006431D6" w:rsidRPr="00CE0B44">
        <w:rPr>
          <w:rFonts w:ascii="Traditional Arabic" w:hAnsi="Traditional Arabic"/>
          <w:noProof w:val="0"/>
          <w:color w:val="auto"/>
          <w:rtl/>
          <w:lang w:eastAsia="en-US"/>
        </w:rPr>
        <w:t>كذلك أفتى بعض التابعين</w:t>
      </w:r>
      <w:r w:rsidR="00A811DB">
        <w:rPr>
          <w:rFonts w:ascii="Traditional Arabic" w:hAnsi="Traditional Arabic" w:hint="cs"/>
          <w:noProof w:val="0"/>
          <w:color w:val="auto"/>
          <w:rtl/>
          <w:lang w:eastAsia="en-US"/>
        </w:rPr>
        <w:t xml:space="preserve"> </w:t>
      </w:r>
      <w:r w:rsidR="006431D6" w:rsidRPr="00CE0B44">
        <w:rPr>
          <w:rFonts w:ascii="Traditional Arabic" w:hAnsi="Traditional Arabic"/>
          <w:noProof w:val="0"/>
          <w:color w:val="auto"/>
          <w:rtl/>
          <w:lang w:eastAsia="en-US"/>
        </w:rPr>
        <w:t>م</w:t>
      </w:r>
      <w:r w:rsidR="00A811DB">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ن غل</w:t>
      </w:r>
      <w:r w:rsidR="006431D6">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 xml:space="preserve"> من الغنيمة وتاب بعد تفر</w:t>
      </w:r>
      <w:r w:rsidR="006431D6">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قهم أن يتصدق بذلك عنهم</w:t>
      </w:r>
      <w:r w:rsidR="006431D6">
        <w:rPr>
          <w:rFonts w:ascii="Traditional Arabic" w:hAnsi="Traditional Arabic" w:hint="cs"/>
          <w:noProof w:val="0"/>
          <w:color w:val="auto"/>
          <w:rtl/>
          <w:lang w:eastAsia="en-US"/>
        </w:rPr>
        <w:t>،</w:t>
      </w:r>
      <w:r w:rsidR="00AB0B9E">
        <w:rPr>
          <w:rFonts w:ascii="Traditional Arabic" w:hAnsi="Traditional Arabic"/>
          <w:noProof w:val="0"/>
          <w:color w:val="auto"/>
          <w:rtl/>
          <w:lang w:eastAsia="en-US"/>
        </w:rPr>
        <w:fldChar w:fldCharType="begin"/>
      </w:r>
      <w:r w:rsidR="00E21433" w:rsidRPr="00C85F0F">
        <w:instrText>XE</w:instrText>
      </w:r>
      <w:r w:rsidR="00E21433" w:rsidRPr="00C85F0F">
        <w:rPr>
          <w:rtl/>
        </w:rPr>
        <w:instrText xml:space="preserve"> "</w:instrText>
      </w:r>
      <w:r w:rsidR="00E21433" w:rsidRPr="00C85F0F">
        <w:rPr>
          <w:rFonts w:ascii="Traditional Arabic" w:hAnsi="Traditional Arabic"/>
          <w:noProof w:val="0"/>
          <w:color w:val="auto"/>
          <w:rtl/>
          <w:lang w:eastAsia="en-US"/>
        </w:rPr>
        <w:instrText>من غل</w:instrText>
      </w:r>
      <w:r w:rsidR="00E21433" w:rsidRPr="00C85F0F">
        <w:rPr>
          <w:rFonts w:ascii="Traditional Arabic" w:hAnsi="Traditional Arabic" w:hint="cs"/>
          <w:noProof w:val="0"/>
          <w:color w:val="auto"/>
          <w:rtl/>
          <w:lang w:eastAsia="en-US"/>
        </w:rPr>
        <w:instrText>َّ</w:instrText>
      </w:r>
      <w:r w:rsidR="00E21433" w:rsidRPr="00C85F0F">
        <w:rPr>
          <w:rFonts w:ascii="Traditional Arabic" w:hAnsi="Traditional Arabic"/>
          <w:noProof w:val="0"/>
          <w:color w:val="auto"/>
          <w:rtl/>
          <w:lang w:eastAsia="en-US"/>
        </w:rPr>
        <w:instrText xml:space="preserve"> من الغنيمة وتاب بعد تفر</w:instrText>
      </w:r>
      <w:r w:rsidR="00E21433" w:rsidRPr="00C85F0F">
        <w:rPr>
          <w:rFonts w:ascii="Traditional Arabic" w:hAnsi="Traditional Arabic" w:hint="cs"/>
          <w:noProof w:val="0"/>
          <w:color w:val="auto"/>
          <w:rtl/>
          <w:lang w:eastAsia="en-US"/>
        </w:rPr>
        <w:instrText>ُّ</w:instrText>
      </w:r>
      <w:r w:rsidR="00E21433" w:rsidRPr="00C85F0F">
        <w:rPr>
          <w:rFonts w:ascii="Traditional Arabic" w:hAnsi="Traditional Arabic"/>
          <w:noProof w:val="0"/>
          <w:color w:val="auto"/>
          <w:rtl/>
          <w:lang w:eastAsia="en-US"/>
        </w:rPr>
        <w:instrText>قهم أن يتصدق بذلك عنهم</w:instrText>
      </w:r>
      <w:r w:rsidR="00E21433" w:rsidRPr="00C85F0F">
        <w:rPr>
          <w:rFonts w:ascii="Traditional Arabic" w:hAnsi="Traditional Arabic" w:hint="cs"/>
          <w:noProof w:val="0"/>
          <w:color w:val="auto"/>
          <w:rtl/>
          <w:lang w:eastAsia="en-US"/>
        </w:rPr>
        <w:instrText>،</w:instrText>
      </w:r>
      <w:r w:rsidR="00E21433" w:rsidRPr="00C85F0F">
        <w:rPr>
          <w:rtl/>
        </w:rPr>
        <w:instrText>" \</w:instrText>
      </w:r>
      <w:r w:rsidR="00E21433" w:rsidRPr="00C85F0F">
        <w:instrText>f</w:instrText>
      </w:r>
      <w:r w:rsidR="00E21433">
        <w:instrText>t</w:instrText>
      </w:r>
      <w:r w:rsidR="00AB0B9E">
        <w:rPr>
          <w:rFonts w:ascii="Traditional Arabic" w:hAnsi="Traditional Arabic"/>
          <w:noProof w:val="0"/>
          <w:color w:val="auto"/>
          <w:rtl/>
          <w:lang w:eastAsia="en-US"/>
        </w:rPr>
        <w:fldChar w:fldCharType="end"/>
      </w:r>
      <w:r w:rsidR="006431D6" w:rsidRPr="00CE0B44">
        <w:rPr>
          <w:rFonts w:ascii="Traditional Arabic" w:hAnsi="Traditional Arabic"/>
          <w:noProof w:val="0"/>
          <w:color w:val="auto"/>
          <w:rtl/>
          <w:lang w:eastAsia="en-US"/>
        </w:rPr>
        <w:t xml:space="preserve"> ورضي بهذه الف</w:t>
      </w:r>
      <w:r w:rsidR="006431D6">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تيا الصحابة</w:t>
      </w:r>
      <w:r w:rsidR="00B76A81">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 xml:space="preserve"> والتابعون الذين ب</w:t>
      </w:r>
      <w:r w:rsidR="00B76A81">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ل</w:t>
      </w:r>
      <w:r w:rsidR="00B76A81">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غ</w:t>
      </w:r>
      <w:r w:rsidR="006431D6">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ت</w:t>
      </w:r>
      <w:r w:rsidR="006431D6">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ه</w:t>
      </w:r>
      <w:r w:rsidR="00B76A81">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م</w:t>
      </w:r>
      <w:r w:rsidR="006431D6">
        <w:rPr>
          <w:rFonts w:ascii="Traditional Arabic" w:hAnsi="Traditional Arabic" w:hint="cs"/>
          <w:noProof w:val="0"/>
          <w:color w:val="auto"/>
          <w:rtl/>
          <w:lang w:eastAsia="en-US"/>
        </w:rPr>
        <w:t>،</w:t>
      </w:r>
      <w:r w:rsidR="006431D6" w:rsidRPr="00CE0B44">
        <w:rPr>
          <w:rFonts w:ascii="Traditional Arabic" w:hAnsi="Traditional Arabic"/>
          <w:noProof w:val="0"/>
          <w:color w:val="auto"/>
          <w:rtl/>
          <w:lang w:eastAsia="en-US"/>
        </w:rPr>
        <w:t xml:space="preserve"> كمعاوية وغيره من أهل </w:t>
      </w:r>
      <w:r w:rsidR="006431D6" w:rsidRPr="00D66E41">
        <w:rPr>
          <w:rFonts w:ascii="Traditional Arabic" w:hAnsi="Traditional Arabic"/>
          <w:noProof w:val="0"/>
          <w:color w:val="000000" w:themeColor="text1"/>
          <w:rtl/>
          <w:lang w:eastAsia="en-US"/>
        </w:rPr>
        <w:t>ال</w:t>
      </w:r>
      <w:r w:rsidR="006431D6" w:rsidRPr="00CE0B44">
        <w:rPr>
          <w:rFonts w:ascii="Traditional Arabic" w:hAnsi="Traditional Arabic"/>
          <w:noProof w:val="0"/>
          <w:color w:val="auto"/>
          <w:rtl/>
          <w:lang w:eastAsia="en-US"/>
        </w:rPr>
        <w:t>شام</w:t>
      </w:r>
      <w:r w:rsidR="006431D6" w:rsidRPr="00C821A1">
        <w:rPr>
          <w:rStyle w:val="af1"/>
          <w:szCs w:val="32"/>
          <w:rtl/>
        </w:rPr>
        <w:t>(</w:t>
      </w:r>
      <w:r w:rsidR="006431D6" w:rsidRPr="00C821A1">
        <w:rPr>
          <w:rStyle w:val="af1"/>
          <w:szCs w:val="32"/>
          <w:rtl/>
        </w:rPr>
        <w:footnoteReference w:id="2249"/>
      </w:r>
      <w:r w:rsidR="006431D6" w:rsidRPr="00C821A1">
        <w:rPr>
          <w:rStyle w:val="af1"/>
          <w:szCs w:val="32"/>
          <w:rtl/>
        </w:rPr>
        <w:t>)</w:t>
      </w:r>
      <w:r w:rsidR="006431D6">
        <w:rPr>
          <w:rFonts w:ascii="Traditional Arabic" w:hAnsi="Traditional Arabic" w:hint="cs"/>
          <w:noProof w:val="0"/>
          <w:color w:val="auto"/>
          <w:rtl/>
          <w:lang w:eastAsia="en-US"/>
        </w:rPr>
        <w:t>)</w:t>
      </w:r>
      <w:r w:rsidR="006431D6" w:rsidRPr="00C821A1">
        <w:rPr>
          <w:rStyle w:val="af1"/>
          <w:szCs w:val="32"/>
          <w:rtl/>
        </w:rPr>
        <w:t>(</w:t>
      </w:r>
      <w:r w:rsidR="006431D6" w:rsidRPr="00C821A1">
        <w:rPr>
          <w:rStyle w:val="af1"/>
          <w:szCs w:val="32"/>
          <w:rtl/>
        </w:rPr>
        <w:footnoteReference w:id="2250"/>
      </w:r>
      <w:r w:rsidR="006431D6" w:rsidRPr="00C821A1">
        <w:rPr>
          <w:rStyle w:val="af1"/>
          <w:szCs w:val="32"/>
          <w:rtl/>
        </w:rPr>
        <w:t>)</w:t>
      </w:r>
      <w:r w:rsidR="006431D6">
        <w:rPr>
          <w:rFonts w:ascii="Traditional Arabic" w:hAnsi="Traditional Arabic" w:hint="cs"/>
          <w:noProof w:val="0"/>
          <w:color w:val="auto"/>
          <w:rtl/>
          <w:lang w:eastAsia="en-US"/>
        </w:rPr>
        <w:t>.</w:t>
      </w:r>
    </w:p>
    <w:p w:rsidR="006431D6" w:rsidRDefault="00EB60EC" w:rsidP="00A8347C">
      <w:pPr>
        <w:pStyle w:val="aff3"/>
        <w:rPr>
          <w:noProof w:val="0"/>
          <w:rtl/>
        </w:rPr>
      </w:pPr>
      <w:bookmarkStart w:id="532" w:name="_Toc334046706"/>
      <w:r>
        <w:rPr>
          <w:rFonts w:hint="cs"/>
          <w:rtl/>
        </w:rPr>
        <w:lastRenderedPageBreak/>
        <w:t xml:space="preserve">                </w:t>
      </w:r>
      <w:r w:rsidR="00B76A81">
        <w:rPr>
          <w:rFonts w:hint="cs"/>
          <w:rtl/>
        </w:rPr>
        <w:t xml:space="preserve">                        </w:t>
      </w:r>
      <w:r w:rsidR="006431D6" w:rsidRPr="004F5A0D">
        <w:rPr>
          <w:rFonts w:hint="cs"/>
          <w:rtl/>
        </w:rPr>
        <w:t>المطلب الثالث</w:t>
      </w:r>
      <w:r w:rsidR="004F5A0D">
        <w:rPr>
          <w:rFonts w:hint="eastAsia"/>
          <w:rtl/>
        </w:rPr>
        <w:t> :</w:t>
      </w:r>
      <w:r w:rsidR="004F5A0D">
        <w:rPr>
          <w:rFonts w:hint="cs"/>
          <w:rtl/>
        </w:rPr>
        <w:br/>
      </w:r>
      <w:r>
        <w:rPr>
          <w:rFonts w:hint="cs"/>
          <w:rtl/>
        </w:rPr>
        <w:t xml:space="preserve">             </w:t>
      </w:r>
      <w:r w:rsidR="0070556A">
        <w:rPr>
          <w:rFonts w:hint="cs"/>
          <w:rtl/>
        </w:rPr>
        <w:t xml:space="preserve">                          </w:t>
      </w:r>
      <w:r w:rsidR="006431D6" w:rsidRPr="004F5A0D">
        <w:rPr>
          <w:rFonts w:hint="cs"/>
          <w:rtl/>
        </w:rPr>
        <w:t>تطبيقات الضابط</w:t>
      </w:r>
      <w:bookmarkEnd w:id="532"/>
    </w:p>
    <w:p w:rsidR="006431D6" w:rsidRPr="005941B9" w:rsidRDefault="006431D6" w:rsidP="000A76C7">
      <w:pPr>
        <w:pStyle w:val="afc"/>
        <w:numPr>
          <w:ilvl w:val="0"/>
          <w:numId w:val="317"/>
        </w:numPr>
        <w:rPr>
          <w:rFonts w:ascii="Traditional Arabic" w:hAnsi="Traditional Arabic"/>
          <w:noProof w:val="0"/>
          <w:color w:val="auto"/>
          <w:lang w:eastAsia="en-US"/>
        </w:rPr>
      </w:pPr>
      <w:r w:rsidRPr="005941B9">
        <w:rPr>
          <w:rFonts w:ascii="Traditional Arabic" w:hAnsi="Traditional Arabic"/>
          <w:noProof w:val="0"/>
          <w:rtl/>
          <w:lang w:eastAsia="en-US"/>
        </w:rPr>
        <w:t>إن ج</w:t>
      </w:r>
      <w:r>
        <w:rPr>
          <w:rFonts w:ascii="Traditional Arabic" w:hAnsi="Traditional Arabic" w:hint="cs"/>
          <w:noProof w:val="0"/>
          <w:rtl/>
          <w:lang w:eastAsia="en-US"/>
        </w:rPr>
        <w:t>َ</w:t>
      </w:r>
      <w:r w:rsidRPr="005941B9">
        <w:rPr>
          <w:rFonts w:ascii="Traditional Arabic" w:hAnsi="Traditional Arabic"/>
          <w:noProof w:val="0"/>
          <w:rtl/>
          <w:lang w:eastAsia="en-US"/>
        </w:rPr>
        <w:t>ه</w:t>
      </w:r>
      <w:r>
        <w:rPr>
          <w:rFonts w:ascii="Traditional Arabic" w:hAnsi="Traditional Arabic" w:hint="cs"/>
          <w:noProof w:val="0"/>
          <w:rtl/>
          <w:lang w:eastAsia="en-US"/>
        </w:rPr>
        <w:t>ِ</w:t>
      </w:r>
      <w:r w:rsidRPr="005941B9">
        <w:rPr>
          <w:rFonts w:ascii="Traditional Arabic" w:hAnsi="Traditional Arabic"/>
          <w:noProof w:val="0"/>
          <w:rtl/>
          <w:lang w:eastAsia="en-US"/>
        </w:rPr>
        <w:t>ل الغاصب</w:t>
      </w:r>
      <w:r>
        <w:rPr>
          <w:rFonts w:ascii="Traditional Arabic" w:hAnsi="Traditional Arabic" w:hint="cs"/>
          <w:noProof w:val="0"/>
          <w:rtl/>
          <w:lang w:eastAsia="en-US"/>
        </w:rPr>
        <w:t>ُ</w:t>
      </w:r>
      <w:r w:rsidR="00EB60EC">
        <w:rPr>
          <w:rFonts w:ascii="Traditional Arabic" w:hAnsi="Traditional Arabic" w:hint="cs"/>
          <w:noProof w:val="0"/>
          <w:rtl/>
          <w:lang w:eastAsia="en-US"/>
        </w:rPr>
        <w:t xml:space="preserve"> </w:t>
      </w:r>
      <w:r w:rsidRPr="005941B9">
        <w:rPr>
          <w:rFonts w:ascii="Traditional Arabic" w:hAnsi="Traditional Arabic" w:hint="cs"/>
          <w:noProof w:val="0"/>
          <w:rtl/>
          <w:lang w:eastAsia="en-US"/>
        </w:rPr>
        <w:t>صاحب</w:t>
      </w:r>
      <w:r>
        <w:rPr>
          <w:rFonts w:ascii="Traditional Arabic" w:hAnsi="Traditional Arabic" w:hint="cs"/>
          <w:noProof w:val="0"/>
          <w:rtl/>
          <w:lang w:eastAsia="en-US"/>
        </w:rPr>
        <w:t>َ</w:t>
      </w:r>
      <w:r w:rsidRPr="005941B9">
        <w:rPr>
          <w:rFonts w:ascii="Traditional Arabic" w:hAnsi="Traditional Arabic"/>
          <w:noProof w:val="0"/>
          <w:rtl/>
          <w:lang w:eastAsia="en-US"/>
        </w:rPr>
        <w:t xml:space="preserve"> المغصوب</w:t>
      </w:r>
      <w:r w:rsidRPr="005941B9">
        <w:rPr>
          <w:rFonts w:ascii="Traditional Arabic" w:hAnsi="Traditional Arabic" w:hint="cs"/>
          <w:noProof w:val="0"/>
          <w:rtl/>
          <w:lang w:eastAsia="en-US"/>
        </w:rPr>
        <w:t xml:space="preserve"> تصدَّق به مضموناً عنه</w:t>
      </w:r>
      <w:r w:rsidRPr="00C821A1">
        <w:rPr>
          <w:rStyle w:val="af1"/>
          <w:szCs w:val="32"/>
          <w:rtl/>
        </w:rPr>
        <w:t>(</w:t>
      </w:r>
      <w:r w:rsidRPr="00C821A1">
        <w:rPr>
          <w:rStyle w:val="af1"/>
          <w:szCs w:val="32"/>
          <w:rtl/>
        </w:rPr>
        <w:footnoteReference w:id="2251"/>
      </w:r>
      <w:r w:rsidRPr="00C821A1">
        <w:rPr>
          <w:rStyle w:val="af1"/>
          <w:szCs w:val="32"/>
          <w:rtl/>
        </w:rPr>
        <w:t>)</w:t>
      </w:r>
      <w:r w:rsidRPr="005941B9">
        <w:rPr>
          <w:rFonts w:ascii="Traditional Arabic" w:hAnsi="Traditional Arabic" w:hint="cs"/>
          <w:noProof w:val="0"/>
          <w:rtl/>
          <w:lang w:eastAsia="en-US"/>
        </w:rPr>
        <w:t>.</w:t>
      </w:r>
    </w:p>
    <w:p w:rsidR="006431D6" w:rsidRDefault="006431D6" w:rsidP="00597C20">
      <w:pPr>
        <w:pStyle w:val="53"/>
        <w:rPr>
          <w:rtl/>
        </w:rPr>
      </w:pPr>
      <w:r>
        <w:rPr>
          <w:rFonts w:hint="cs"/>
          <w:rtl/>
        </w:rPr>
        <w:t>وجه اندراج الفرع تحت الضابط:</w:t>
      </w:r>
    </w:p>
    <w:p w:rsidR="006431D6" w:rsidRPr="003D4CB6" w:rsidRDefault="00B76A81" w:rsidP="00597C20">
      <w:pPr>
        <w:ind w:firstLine="720"/>
        <w:rPr>
          <w:rFonts w:ascii="Traditional Arabic" w:hAnsi="Traditional Arabic"/>
          <w:noProof w:val="0"/>
          <w:rtl/>
          <w:lang w:eastAsia="en-US"/>
        </w:rPr>
      </w:pPr>
      <w:r>
        <w:rPr>
          <w:rFonts w:ascii="Traditional Arabic" w:hAnsi="Traditional Arabic" w:hint="cs"/>
          <w:noProof w:val="0"/>
          <w:rtl/>
          <w:lang w:eastAsia="en-US"/>
        </w:rPr>
        <w:t>إ</w:t>
      </w:r>
      <w:r w:rsidR="006431D6" w:rsidRPr="003D4CB6">
        <w:rPr>
          <w:rFonts w:ascii="Traditional Arabic" w:hAnsi="Traditional Arabic" w:hint="cs"/>
          <w:noProof w:val="0"/>
          <w:rtl/>
          <w:lang w:eastAsia="en-US"/>
        </w:rPr>
        <w:t>ن الغاصب بيده مال</w:t>
      </w:r>
      <w:r>
        <w:rPr>
          <w:rFonts w:ascii="Traditional Arabic" w:hAnsi="Traditional Arabic" w:hint="cs"/>
          <w:noProof w:val="0"/>
          <w:rtl/>
          <w:lang w:eastAsia="en-US"/>
        </w:rPr>
        <w:t>ٌ</w:t>
      </w:r>
      <w:r w:rsidR="006431D6" w:rsidRPr="003D4CB6">
        <w:rPr>
          <w:rFonts w:ascii="Traditional Arabic" w:hAnsi="Traditional Arabic" w:hint="cs"/>
          <w:noProof w:val="0"/>
          <w:rtl/>
          <w:lang w:eastAsia="en-US"/>
        </w:rPr>
        <w:t xml:space="preserve"> لغيره</w:t>
      </w:r>
      <w:r>
        <w:rPr>
          <w:rFonts w:ascii="Traditional Arabic" w:hAnsi="Traditional Arabic" w:hint="cs"/>
          <w:noProof w:val="0"/>
          <w:rtl/>
          <w:lang w:eastAsia="en-US"/>
        </w:rPr>
        <w:t>،</w:t>
      </w:r>
      <w:r w:rsidR="006431D6" w:rsidRPr="003D4CB6">
        <w:rPr>
          <w:rFonts w:ascii="Traditional Arabic" w:hAnsi="Traditional Arabic" w:hint="cs"/>
          <w:noProof w:val="0"/>
          <w:rtl/>
          <w:lang w:eastAsia="en-US"/>
        </w:rPr>
        <w:t xml:space="preserve"> وقد جه</w:t>
      </w:r>
      <w:r>
        <w:rPr>
          <w:rFonts w:ascii="Traditional Arabic" w:hAnsi="Traditional Arabic" w:hint="cs"/>
          <w:noProof w:val="0"/>
          <w:rtl/>
          <w:lang w:eastAsia="en-US"/>
        </w:rPr>
        <w:t>ِ</w:t>
      </w:r>
      <w:r w:rsidR="006431D6" w:rsidRPr="003D4CB6">
        <w:rPr>
          <w:rFonts w:ascii="Traditional Arabic" w:hAnsi="Traditional Arabic" w:hint="cs"/>
          <w:noProof w:val="0"/>
          <w:rtl/>
          <w:lang w:eastAsia="en-US"/>
        </w:rPr>
        <w:t>ل صاحب</w:t>
      </w:r>
      <w:r>
        <w:rPr>
          <w:rFonts w:ascii="Traditional Arabic" w:hAnsi="Traditional Arabic" w:hint="cs"/>
          <w:noProof w:val="0"/>
          <w:rtl/>
          <w:lang w:eastAsia="en-US"/>
        </w:rPr>
        <w:t>َ</w:t>
      </w:r>
      <w:r w:rsidR="006431D6" w:rsidRPr="003D4CB6">
        <w:rPr>
          <w:rFonts w:ascii="Traditional Arabic" w:hAnsi="Traditional Arabic" w:hint="cs"/>
          <w:noProof w:val="0"/>
          <w:rtl/>
          <w:lang w:eastAsia="en-US"/>
        </w:rPr>
        <w:t xml:space="preserve">ه، فيتصدق به مضمونا عنه، </w:t>
      </w:r>
      <w:r w:rsidR="006431D6" w:rsidRPr="003D4CB6">
        <w:rPr>
          <w:rFonts w:ascii="Traditional Arabic" w:hAnsi="Traditional Arabic"/>
          <w:noProof w:val="0"/>
          <w:rtl/>
          <w:lang w:eastAsia="en-US"/>
        </w:rPr>
        <w:t xml:space="preserve">فإذا وجد </w:t>
      </w:r>
      <w:r w:rsidR="006431D6" w:rsidRPr="003D4CB6">
        <w:rPr>
          <w:rFonts w:ascii="Traditional Arabic" w:hAnsi="Traditional Arabic" w:hint="cs"/>
          <w:noProof w:val="0"/>
          <w:rtl/>
          <w:lang w:eastAsia="en-US"/>
        </w:rPr>
        <w:t>صاحبَه</w:t>
      </w:r>
      <w:r w:rsidR="006431D6" w:rsidRPr="003D4CB6">
        <w:rPr>
          <w:rFonts w:ascii="Traditional Arabic" w:hAnsi="Traditional Arabic"/>
          <w:noProof w:val="0"/>
          <w:rtl/>
          <w:lang w:eastAsia="en-US"/>
        </w:rPr>
        <w:t xml:space="preserve"> بعد أن تصدق به عنه فإنه يقول: أنت الآن مخي</w:t>
      </w:r>
      <w:r w:rsidR="006431D6" w:rsidRPr="003D4CB6">
        <w:rPr>
          <w:rFonts w:ascii="Traditional Arabic" w:hAnsi="Traditional Arabic" w:hint="cs"/>
          <w:noProof w:val="0"/>
          <w:rtl/>
          <w:lang w:eastAsia="en-US"/>
        </w:rPr>
        <w:t>َّ</w:t>
      </w:r>
      <w:r w:rsidR="006431D6" w:rsidRPr="003D4CB6">
        <w:rPr>
          <w:rFonts w:ascii="Traditional Arabic" w:hAnsi="Traditional Arabic"/>
          <w:noProof w:val="0"/>
          <w:rtl/>
          <w:lang w:eastAsia="en-US"/>
        </w:rPr>
        <w:t>ر</w:t>
      </w:r>
      <w:r w:rsidR="006431D6" w:rsidRPr="003D4CB6">
        <w:rPr>
          <w:rFonts w:ascii="Traditional Arabic" w:hAnsi="Traditional Arabic" w:hint="cs"/>
          <w:noProof w:val="0"/>
          <w:rtl/>
          <w:lang w:eastAsia="en-US"/>
        </w:rPr>
        <w:t>ٌ</w:t>
      </w:r>
      <w:r w:rsidR="006431D6" w:rsidRPr="003D4CB6">
        <w:rPr>
          <w:rFonts w:ascii="Traditional Arabic" w:hAnsi="Traditional Arabic"/>
          <w:noProof w:val="0"/>
          <w:rtl/>
          <w:lang w:eastAsia="en-US"/>
        </w:rPr>
        <w:t xml:space="preserve"> إن شئت</w:t>
      </w:r>
      <w:r w:rsidR="006431D6" w:rsidRPr="003D4CB6">
        <w:rPr>
          <w:rFonts w:ascii="Traditional Arabic" w:hAnsi="Traditional Arabic" w:hint="cs"/>
          <w:noProof w:val="0"/>
          <w:rtl/>
          <w:lang w:eastAsia="en-US"/>
        </w:rPr>
        <w:t>َ</w:t>
      </w:r>
      <w:r w:rsidR="006431D6" w:rsidRPr="003D4CB6">
        <w:rPr>
          <w:rFonts w:ascii="Traditional Arabic" w:hAnsi="Traditional Arabic"/>
          <w:noProof w:val="0"/>
          <w:rtl/>
          <w:lang w:eastAsia="en-US"/>
        </w:rPr>
        <w:t xml:space="preserve"> فأمض</w:t>
      </w:r>
      <w:r w:rsidR="006431D6" w:rsidRPr="003D4CB6">
        <w:rPr>
          <w:rFonts w:ascii="Traditional Arabic" w:hAnsi="Traditional Arabic" w:hint="cs"/>
          <w:noProof w:val="0"/>
          <w:rtl/>
          <w:lang w:eastAsia="en-US"/>
        </w:rPr>
        <w:t>ِ</w:t>
      </w:r>
      <w:r w:rsidR="006431D6" w:rsidRPr="003D4CB6">
        <w:rPr>
          <w:rFonts w:ascii="Traditional Arabic" w:hAnsi="Traditional Arabic"/>
          <w:noProof w:val="0"/>
          <w:rtl/>
          <w:lang w:eastAsia="en-US"/>
        </w:rPr>
        <w:t xml:space="preserve"> الصدقة</w:t>
      </w:r>
      <w:r w:rsidR="006431D6" w:rsidRPr="003D4CB6">
        <w:rPr>
          <w:rFonts w:ascii="Traditional Arabic" w:hAnsi="Traditional Arabic" w:hint="cs"/>
          <w:noProof w:val="0"/>
          <w:rtl/>
          <w:lang w:eastAsia="en-US"/>
        </w:rPr>
        <w:t>َ</w:t>
      </w:r>
      <w:r w:rsidR="006431D6" w:rsidRPr="003D4CB6">
        <w:rPr>
          <w:rFonts w:ascii="Traditional Arabic" w:hAnsi="Traditional Arabic"/>
          <w:noProof w:val="0"/>
          <w:rtl/>
          <w:lang w:eastAsia="en-US"/>
        </w:rPr>
        <w:t xml:space="preserve"> والأجر</w:t>
      </w:r>
      <w:r w:rsidR="006431D6" w:rsidRPr="003D4CB6">
        <w:rPr>
          <w:rFonts w:ascii="Traditional Arabic" w:hAnsi="Traditional Arabic" w:hint="cs"/>
          <w:noProof w:val="0"/>
          <w:rtl/>
          <w:lang w:eastAsia="en-US"/>
        </w:rPr>
        <w:t>ُ</w:t>
      </w:r>
      <w:r w:rsidR="006431D6" w:rsidRPr="003D4CB6">
        <w:rPr>
          <w:rFonts w:ascii="Traditional Arabic" w:hAnsi="Traditional Arabic"/>
          <w:noProof w:val="0"/>
          <w:rtl/>
          <w:lang w:eastAsia="en-US"/>
        </w:rPr>
        <w:t xml:space="preserve"> لك، وإن شئت ضمنت</w:t>
      </w:r>
      <w:r w:rsidR="006431D6" w:rsidRPr="003D4CB6">
        <w:rPr>
          <w:rFonts w:ascii="Traditional Arabic" w:hAnsi="Traditional Arabic" w:hint="cs"/>
          <w:noProof w:val="0"/>
          <w:rtl/>
          <w:lang w:eastAsia="en-US"/>
        </w:rPr>
        <w:t>ُ</w:t>
      </w:r>
      <w:r w:rsidR="006431D6" w:rsidRPr="003D4CB6">
        <w:rPr>
          <w:rFonts w:ascii="Traditional Arabic" w:hAnsi="Traditional Arabic"/>
          <w:noProof w:val="0"/>
          <w:rtl/>
          <w:lang w:eastAsia="en-US"/>
        </w:rPr>
        <w:t xml:space="preserve"> لك مال</w:t>
      </w:r>
      <w:r w:rsidR="006431D6" w:rsidRPr="003D4CB6">
        <w:rPr>
          <w:rFonts w:ascii="Traditional Arabic" w:hAnsi="Traditional Arabic" w:hint="cs"/>
          <w:noProof w:val="0"/>
          <w:rtl/>
          <w:lang w:eastAsia="en-US"/>
        </w:rPr>
        <w:t>َ</w:t>
      </w:r>
      <w:r w:rsidR="006431D6" w:rsidRPr="003D4CB6">
        <w:rPr>
          <w:rFonts w:ascii="Traditional Arabic" w:hAnsi="Traditional Arabic"/>
          <w:noProof w:val="0"/>
          <w:rtl/>
          <w:lang w:eastAsia="en-US"/>
        </w:rPr>
        <w:t>ك، و</w:t>
      </w:r>
      <w:r>
        <w:rPr>
          <w:rFonts w:ascii="Traditional Arabic" w:hAnsi="Traditional Arabic" w:hint="cs"/>
          <w:noProof w:val="0"/>
          <w:rtl/>
          <w:lang w:eastAsia="en-US"/>
        </w:rPr>
        <w:t xml:space="preserve">يكون </w:t>
      </w:r>
      <w:r w:rsidR="006431D6" w:rsidRPr="003D4CB6">
        <w:rPr>
          <w:rFonts w:ascii="Traditional Arabic" w:hAnsi="Traditional Arabic"/>
          <w:noProof w:val="0"/>
          <w:rtl/>
          <w:lang w:eastAsia="en-US"/>
        </w:rPr>
        <w:t>الأجر للغاصب</w:t>
      </w:r>
      <w:r w:rsidR="006431D6" w:rsidRPr="00C821A1">
        <w:rPr>
          <w:rStyle w:val="af1"/>
          <w:szCs w:val="32"/>
          <w:rtl/>
        </w:rPr>
        <w:t>(</w:t>
      </w:r>
      <w:r w:rsidR="006431D6" w:rsidRPr="00C821A1">
        <w:rPr>
          <w:rStyle w:val="af1"/>
          <w:szCs w:val="32"/>
          <w:rtl/>
        </w:rPr>
        <w:footnoteReference w:id="2252"/>
      </w:r>
      <w:r w:rsidR="006431D6" w:rsidRPr="00C821A1">
        <w:rPr>
          <w:rStyle w:val="af1"/>
          <w:szCs w:val="32"/>
          <w:rtl/>
        </w:rPr>
        <w:t>)</w:t>
      </w:r>
      <w:r w:rsidR="006431D6" w:rsidRPr="003D4CB6">
        <w:rPr>
          <w:rFonts w:ascii="Traditional Arabic" w:hAnsi="Traditional Arabic"/>
          <w:noProof w:val="0"/>
          <w:rtl/>
          <w:lang w:eastAsia="en-US"/>
        </w:rPr>
        <w:t>.</w:t>
      </w:r>
    </w:p>
    <w:p w:rsidR="006431D6" w:rsidRDefault="006431D6" w:rsidP="000A76C7">
      <w:pPr>
        <w:pStyle w:val="afc"/>
        <w:widowControl/>
        <w:numPr>
          <w:ilvl w:val="0"/>
          <w:numId w:val="317"/>
        </w:numPr>
        <w:autoSpaceDE w:val="0"/>
        <w:autoSpaceDN w:val="0"/>
        <w:adjustRightInd w:val="0"/>
        <w:rPr>
          <w:rFonts w:ascii="Traditional Arabic" w:hAnsi="Traditional Arabic"/>
          <w:noProof w:val="0"/>
          <w:lang w:eastAsia="en-US"/>
        </w:rPr>
      </w:pPr>
      <w:r w:rsidRPr="00107B85">
        <w:rPr>
          <w:rFonts w:ascii="Traditional Arabic" w:hAnsi="Traditional Arabic" w:hint="cs"/>
          <w:noProof w:val="0"/>
          <w:rtl/>
          <w:lang w:eastAsia="en-US"/>
        </w:rPr>
        <w:t xml:space="preserve">كذلك </w:t>
      </w:r>
      <w:r w:rsidRPr="00107B85">
        <w:rPr>
          <w:rFonts w:ascii="Traditional Arabic" w:hAnsi="Traditional Arabic"/>
          <w:noProof w:val="0"/>
          <w:rtl/>
          <w:lang w:eastAsia="en-US"/>
        </w:rPr>
        <w:t>يقال هذا في كل مال</w:t>
      </w:r>
      <w:r>
        <w:rPr>
          <w:rFonts w:ascii="Traditional Arabic" w:hAnsi="Traditional Arabic" w:hint="cs"/>
          <w:noProof w:val="0"/>
          <w:rtl/>
          <w:lang w:eastAsia="en-US"/>
        </w:rPr>
        <w:t>ٍ</w:t>
      </w:r>
      <w:r w:rsidRPr="00107B85">
        <w:rPr>
          <w:rFonts w:ascii="Traditional Arabic" w:hAnsi="Traditional Arabic"/>
          <w:noProof w:val="0"/>
          <w:rtl/>
          <w:lang w:eastAsia="en-US"/>
        </w:rPr>
        <w:t xml:space="preserve"> مجهول</w:t>
      </w:r>
      <w:r>
        <w:rPr>
          <w:rFonts w:ascii="Traditional Arabic" w:hAnsi="Traditional Arabic" w:hint="cs"/>
          <w:noProof w:val="0"/>
          <w:rtl/>
          <w:lang w:eastAsia="en-US"/>
        </w:rPr>
        <w:t>ٍ</w:t>
      </w:r>
      <w:r w:rsidRPr="00107B85">
        <w:rPr>
          <w:rFonts w:ascii="Traditional Arabic" w:hAnsi="Traditional Arabic"/>
          <w:noProof w:val="0"/>
          <w:rtl/>
          <w:lang w:eastAsia="en-US"/>
        </w:rPr>
        <w:t xml:space="preserve"> صاحب</w:t>
      </w:r>
      <w:r>
        <w:rPr>
          <w:rFonts w:ascii="Traditional Arabic" w:hAnsi="Traditional Arabic" w:hint="cs"/>
          <w:noProof w:val="0"/>
          <w:rtl/>
          <w:lang w:eastAsia="en-US"/>
        </w:rPr>
        <w:t>ُ</w:t>
      </w:r>
      <w:r w:rsidRPr="00107B85">
        <w:rPr>
          <w:rFonts w:ascii="Traditional Arabic" w:hAnsi="Traditional Arabic"/>
          <w:noProof w:val="0"/>
          <w:rtl/>
          <w:lang w:eastAsia="en-US"/>
        </w:rPr>
        <w:t>ه</w:t>
      </w:r>
      <w:r>
        <w:rPr>
          <w:rFonts w:ascii="Traditional Arabic" w:hAnsi="Traditional Arabic" w:hint="cs"/>
          <w:noProof w:val="0"/>
          <w:rtl/>
          <w:lang w:eastAsia="en-US"/>
        </w:rPr>
        <w:t>،</w:t>
      </w:r>
      <w:r w:rsidRPr="00107B85">
        <w:rPr>
          <w:rFonts w:ascii="Traditional Arabic" w:hAnsi="Traditional Arabic"/>
          <w:noProof w:val="0"/>
          <w:rtl/>
          <w:lang w:eastAsia="en-US"/>
        </w:rPr>
        <w:t>كوديعة أ</w:t>
      </w:r>
      <w:r>
        <w:rPr>
          <w:rFonts w:ascii="Traditional Arabic" w:hAnsi="Traditional Arabic" w:hint="cs"/>
          <w:noProof w:val="0"/>
          <w:rtl/>
          <w:lang w:eastAsia="en-US"/>
        </w:rPr>
        <w:t>ُ</w:t>
      </w:r>
      <w:r w:rsidRPr="00107B85">
        <w:rPr>
          <w:rFonts w:ascii="Traditional Arabic" w:hAnsi="Traditional Arabic"/>
          <w:noProof w:val="0"/>
          <w:rtl/>
          <w:lang w:eastAsia="en-US"/>
        </w:rPr>
        <w:t>ود</w:t>
      </w:r>
      <w:r>
        <w:rPr>
          <w:rFonts w:ascii="Traditional Arabic" w:hAnsi="Traditional Arabic" w:hint="cs"/>
          <w:noProof w:val="0"/>
          <w:rtl/>
          <w:lang w:eastAsia="en-US"/>
        </w:rPr>
        <w:t>ِ</w:t>
      </w:r>
      <w:r w:rsidRPr="00107B85">
        <w:rPr>
          <w:rFonts w:ascii="Traditional Arabic" w:hAnsi="Traditional Arabic"/>
          <w:noProof w:val="0"/>
          <w:rtl/>
          <w:lang w:eastAsia="en-US"/>
        </w:rPr>
        <w:t>ع</w:t>
      </w:r>
      <w:r>
        <w:rPr>
          <w:rFonts w:ascii="Traditional Arabic" w:hAnsi="Traditional Arabic" w:hint="cs"/>
          <w:noProof w:val="0"/>
          <w:rtl/>
          <w:lang w:eastAsia="en-US"/>
        </w:rPr>
        <w:t>َ</w:t>
      </w:r>
      <w:r w:rsidRPr="00107B85">
        <w:rPr>
          <w:rFonts w:ascii="Traditional Arabic" w:hAnsi="Traditional Arabic"/>
          <w:noProof w:val="0"/>
          <w:rtl/>
          <w:lang w:eastAsia="en-US"/>
        </w:rPr>
        <w:t>ها الإنسان ثم نسي الذي أ</w:t>
      </w:r>
      <w:r>
        <w:rPr>
          <w:rFonts w:ascii="Traditional Arabic" w:hAnsi="Traditional Arabic" w:hint="cs"/>
          <w:noProof w:val="0"/>
          <w:rtl/>
          <w:lang w:eastAsia="en-US"/>
        </w:rPr>
        <w:t>َ</w:t>
      </w:r>
      <w:r>
        <w:rPr>
          <w:rFonts w:ascii="Traditional Arabic" w:hAnsi="Traditional Arabic"/>
          <w:noProof w:val="0"/>
          <w:rtl/>
          <w:lang w:eastAsia="en-US"/>
        </w:rPr>
        <w:t xml:space="preserve">ودعها إياه، </w:t>
      </w:r>
      <w:r>
        <w:rPr>
          <w:rFonts w:ascii="Traditional Arabic" w:hAnsi="Traditional Arabic" w:hint="cs"/>
          <w:noProof w:val="0"/>
          <w:rtl/>
          <w:lang w:eastAsia="en-US"/>
        </w:rPr>
        <w:t>ف</w:t>
      </w:r>
      <w:r>
        <w:rPr>
          <w:rFonts w:ascii="Traditional Arabic" w:hAnsi="Traditional Arabic"/>
          <w:noProof w:val="0"/>
          <w:rtl/>
          <w:lang w:eastAsia="en-US"/>
        </w:rPr>
        <w:t xml:space="preserve">إذا </w:t>
      </w:r>
      <w:r w:rsidR="00B76A81">
        <w:rPr>
          <w:rFonts w:ascii="Traditional Arabic" w:hAnsi="Traditional Arabic"/>
          <w:noProof w:val="0"/>
          <w:rtl/>
          <w:lang w:eastAsia="en-US"/>
        </w:rPr>
        <w:t>أيس</w:t>
      </w:r>
      <w:r w:rsidRPr="00107B85">
        <w:rPr>
          <w:rFonts w:ascii="Traditional Arabic" w:hAnsi="Traditional Arabic"/>
          <w:noProof w:val="0"/>
          <w:rtl/>
          <w:lang w:eastAsia="en-US"/>
        </w:rPr>
        <w:t xml:space="preserve"> </w:t>
      </w:r>
      <w:r>
        <w:rPr>
          <w:rFonts w:ascii="Traditional Arabic" w:hAnsi="Traditional Arabic" w:hint="cs"/>
          <w:noProof w:val="0"/>
          <w:rtl/>
          <w:lang w:eastAsia="en-US"/>
        </w:rPr>
        <w:t xml:space="preserve">من العثور على صاحبه </w:t>
      </w:r>
      <w:r w:rsidRPr="00107B85">
        <w:rPr>
          <w:rFonts w:ascii="Traditional Arabic" w:hAnsi="Traditional Arabic"/>
          <w:noProof w:val="0"/>
          <w:rtl/>
          <w:lang w:eastAsia="en-US"/>
        </w:rPr>
        <w:t>تصد</w:t>
      </w:r>
      <w:r>
        <w:rPr>
          <w:rFonts w:ascii="Traditional Arabic" w:hAnsi="Traditional Arabic" w:hint="cs"/>
          <w:noProof w:val="0"/>
          <w:rtl/>
          <w:lang w:eastAsia="en-US"/>
        </w:rPr>
        <w:t>َّ</w:t>
      </w:r>
      <w:r w:rsidRPr="00107B85">
        <w:rPr>
          <w:rFonts w:ascii="Traditional Arabic" w:hAnsi="Traditional Arabic"/>
          <w:noProof w:val="0"/>
          <w:rtl/>
          <w:lang w:eastAsia="en-US"/>
        </w:rPr>
        <w:t>ق به</w:t>
      </w:r>
      <w:r w:rsidR="00B76A81">
        <w:rPr>
          <w:rFonts w:ascii="Traditional Arabic" w:hAnsi="Traditional Arabic" w:hint="cs"/>
          <w:noProof w:val="0"/>
          <w:rtl/>
          <w:lang w:eastAsia="en-US"/>
        </w:rPr>
        <w:t>ا</w:t>
      </w:r>
      <w:r w:rsidRPr="00107B85">
        <w:rPr>
          <w:rFonts w:ascii="Traditional Arabic" w:hAnsi="Traditional Arabic"/>
          <w:noProof w:val="0"/>
          <w:rtl/>
          <w:lang w:eastAsia="en-US"/>
        </w:rPr>
        <w:t xml:space="preserve"> مضمونا</w:t>
      </w:r>
      <w:r>
        <w:rPr>
          <w:rFonts w:ascii="Traditional Arabic" w:hAnsi="Traditional Arabic" w:hint="cs"/>
          <w:noProof w:val="0"/>
          <w:rtl/>
          <w:lang w:eastAsia="en-US"/>
        </w:rPr>
        <w:t xml:space="preserve"> عنه</w:t>
      </w:r>
      <w:r w:rsidRPr="00107B85">
        <w:rPr>
          <w:rFonts w:ascii="Traditional Arabic" w:hAnsi="Traditional Arabic"/>
          <w:noProof w:val="0"/>
          <w:rtl/>
          <w:lang w:eastAsia="en-US"/>
        </w:rPr>
        <w:t xml:space="preserve">، </w:t>
      </w:r>
      <w:r>
        <w:rPr>
          <w:rFonts w:ascii="Traditional Arabic" w:hAnsi="Traditional Arabic" w:hint="cs"/>
          <w:noProof w:val="0"/>
          <w:rtl/>
          <w:lang w:eastAsia="en-US"/>
        </w:rPr>
        <w:t>و</w:t>
      </w:r>
      <w:r w:rsidRPr="00107B85">
        <w:rPr>
          <w:rFonts w:ascii="Traditional Arabic" w:hAnsi="Traditional Arabic"/>
          <w:noProof w:val="0"/>
          <w:rtl/>
          <w:lang w:eastAsia="en-US"/>
        </w:rPr>
        <w:t>كذلك لو أن إنسانا يعمل خي</w:t>
      </w:r>
      <w:r w:rsidRPr="00107B85">
        <w:rPr>
          <w:rFonts w:ascii="Traditional Arabic" w:hAnsi="Traditional Arabic" w:hint="cs"/>
          <w:noProof w:val="0"/>
          <w:rtl/>
          <w:lang w:eastAsia="en-US"/>
        </w:rPr>
        <w:t>َّ</w:t>
      </w:r>
      <w:r w:rsidRPr="00107B85">
        <w:rPr>
          <w:rFonts w:ascii="Traditional Arabic" w:hAnsi="Traditional Arabic"/>
          <w:noProof w:val="0"/>
          <w:rtl/>
          <w:lang w:eastAsia="en-US"/>
        </w:rPr>
        <w:t>اطا</w:t>
      </w:r>
      <w:r w:rsidRPr="00107B85">
        <w:rPr>
          <w:rFonts w:ascii="Traditional Arabic" w:hAnsi="Traditional Arabic" w:hint="cs"/>
          <w:noProof w:val="0"/>
          <w:rtl/>
          <w:lang w:eastAsia="en-US"/>
        </w:rPr>
        <w:t>ً</w:t>
      </w:r>
      <w:r w:rsidRPr="00107B85">
        <w:rPr>
          <w:rFonts w:ascii="Traditional Arabic" w:hAnsi="Traditional Arabic"/>
          <w:noProof w:val="0"/>
          <w:rtl/>
          <w:lang w:eastAsia="en-US"/>
        </w:rPr>
        <w:t xml:space="preserve"> وأعطاه شخص ثوبا</w:t>
      </w:r>
      <w:r>
        <w:rPr>
          <w:rFonts w:ascii="Traditional Arabic" w:hAnsi="Traditional Arabic" w:hint="cs"/>
          <w:noProof w:val="0"/>
          <w:rtl/>
          <w:lang w:eastAsia="en-US"/>
        </w:rPr>
        <w:t>ً</w:t>
      </w:r>
      <w:r w:rsidRPr="00107B85">
        <w:rPr>
          <w:rFonts w:ascii="Traditional Arabic" w:hAnsi="Traditional Arabic"/>
          <w:noProof w:val="0"/>
          <w:rtl/>
          <w:lang w:eastAsia="en-US"/>
        </w:rPr>
        <w:t xml:space="preserve"> لي</w:t>
      </w:r>
      <w:r w:rsidRPr="00107B85">
        <w:rPr>
          <w:rFonts w:ascii="Traditional Arabic" w:hAnsi="Traditional Arabic" w:hint="cs"/>
          <w:noProof w:val="0"/>
          <w:rtl/>
          <w:lang w:eastAsia="en-US"/>
        </w:rPr>
        <w:t>َ</w:t>
      </w:r>
      <w:r w:rsidRPr="00107B85">
        <w:rPr>
          <w:rFonts w:ascii="Traditional Arabic" w:hAnsi="Traditional Arabic"/>
          <w:noProof w:val="0"/>
          <w:rtl/>
          <w:lang w:eastAsia="en-US"/>
        </w:rPr>
        <w:t>خ</w:t>
      </w:r>
      <w:r w:rsidRPr="00107B85">
        <w:rPr>
          <w:rFonts w:ascii="Traditional Arabic" w:hAnsi="Traditional Arabic" w:hint="cs"/>
          <w:noProof w:val="0"/>
          <w:rtl/>
          <w:lang w:eastAsia="en-US"/>
        </w:rPr>
        <w:t>ِ</w:t>
      </w:r>
      <w:r w:rsidRPr="00107B85">
        <w:rPr>
          <w:rFonts w:ascii="Traditional Arabic" w:hAnsi="Traditional Arabic"/>
          <w:noProof w:val="0"/>
          <w:rtl/>
          <w:lang w:eastAsia="en-US"/>
        </w:rPr>
        <w:t>يطه وذهب الر</w:t>
      </w:r>
      <w:r>
        <w:rPr>
          <w:rFonts w:ascii="Traditional Arabic" w:hAnsi="Traditional Arabic"/>
          <w:noProof w:val="0"/>
          <w:rtl/>
          <w:lang w:eastAsia="en-US"/>
        </w:rPr>
        <w:t>جل وأيس من</w:t>
      </w:r>
      <w:r>
        <w:rPr>
          <w:rFonts w:ascii="Traditional Arabic" w:hAnsi="Traditional Arabic" w:hint="cs"/>
          <w:noProof w:val="0"/>
          <w:rtl/>
          <w:lang w:eastAsia="en-US"/>
        </w:rPr>
        <w:t xml:space="preserve"> العثور عليه</w:t>
      </w:r>
      <w:r w:rsidRPr="00107B85">
        <w:rPr>
          <w:rFonts w:ascii="Traditional Arabic" w:hAnsi="Traditional Arabic"/>
          <w:noProof w:val="0"/>
          <w:rtl/>
          <w:lang w:eastAsia="en-US"/>
        </w:rPr>
        <w:t>، ف</w:t>
      </w:r>
      <w:r w:rsidRPr="00107B85">
        <w:rPr>
          <w:rFonts w:ascii="Traditional Arabic" w:hAnsi="Traditional Arabic" w:hint="cs"/>
          <w:noProof w:val="0"/>
          <w:rtl/>
          <w:lang w:eastAsia="en-US"/>
        </w:rPr>
        <w:t>إنه يتصدق بهذا الثوب</w:t>
      </w:r>
      <w:r w:rsidRPr="00107B85">
        <w:rPr>
          <w:rFonts w:ascii="Traditional Arabic" w:hAnsi="Traditional Arabic"/>
          <w:noProof w:val="0"/>
          <w:rtl/>
          <w:lang w:eastAsia="en-US"/>
        </w:rPr>
        <w:t xml:space="preserve"> مضمونا</w:t>
      </w:r>
      <w:r w:rsidRPr="00107B85">
        <w:rPr>
          <w:rFonts w:ascii="Traditional Arabic" w:hAnsi="Traditional Arabic" w:hint="cs"/>
          <w:noProof w:val="0"/>
          <w:rtl/>
          <w:lang w:eastAsia="en-US"/>
        </w:rPr>
        <w:t>ً عنه</w:t>
      </w:r>
      <w:r w:rsidRPr="00C821A1">
        <w:rPr>
          <w:rStyle w:val="af1"/>
          <w:szCs w:val="32"/>
          <w:rtl/>
        </w:rPr>
        <w:t>(</w:t>
      </w:r>
      <w:r w:rsidRPr="00C821A1">
        <w:rPr>
          <w:rStyle w:val="af1"/>
          <w:szCs w:val="32"/>
          <w:rtl/>
        </w:rPr>
        <w:footnoteReference w:id="2253"/>
      </w:r>
      <w:r w:rsidRPr="00C821A1">
        <w:rPr>
          <w:rStyle w:val="af1"/>
          <w:szCs w:val="32"/>
          <w:rtl/>
        </w:rPr>
        <w:t>)</w:t>
      </w:r>
      <w:r w:rsidRPr="00107B85">
        <w:rPr>
          <w:rFonts w:ascii="Traditional Arabic" w:hAnsi="Traditional Arabic"/>
          <w:noProof w:val="0"/>
          <w:rtl/>
          <w:lang w:eastAsia="en-US"/>
        </w:rPr>
        <w:t>.</w:t>
      </w:r>
    </w:p>
    <w:p w:rsidR="006431D6" w:rsidRDefault="006431D6" w:rsidP="00597C20">
      <w:pPr>
        <w:pStyle w:val="53"/>
        <w:rPr>
          <w:rtl/>
        </w:rPr>
      </w:pPr>
      <w:r>
        <w:rPr>
          <w:rFonts w:hint="cs"/>
          <w:rtl/>
        </w:rPr>
        <w:t>وجه اندراج الفرع تحت الضابط:</w:t>
      </w:r>
    </w:p>
    <w:p w:rsidR="006431D6" w:rsidRDefault="006431D6" w:rsidP="00597C20">
      <w:pPr>
        <w:widowControl/>
        <w:autoSpaceDE w:val="0"/>
        <w:autoSpaceDN w:val="0"/>
        <w:adjustRightInd w:val="0"/>
        <w:ind w:firstLine="720"/>
        <w:jc w:val="left"/>
        <w:rPr>
          <w:rFonts w:ascii="Traditional Arabic" w:hAnsi="Traditional Arabic"/>
          <w:noProof w:val="0"/>
          <w:rtl/>
          <w:lang w:eastAsia="en-US"/>
        </w:rPr>
      </w:pPr>
      <w:r w:rsidRPr="003D4CB6">
        <w:rPr>
          <w:rFonts w:ascii="Traditional Arabic" w:hAnsi="Traditional Arabic" w:hint="cs"/>
          <w:noProof w:val="0"/>
          <w:rtl/>
          <w:lang w:eastAsia="en-US"/>
        </w:rPr>
        <w:t>لما أيس هذا الشخص من العثور على صاحب الوديعة وصاحب الثوب تصدق به مضموناً عنه.</w:t>
      </w:r>
    </w:p>
    <w:p w:rsidR="00EB60EC" w:rsidRDefault="00EB60EC" w:rsidP="00597C20">
      <w:pPr>
        <w:widowControl/>
        <w:autoSpaceDE w:val="0"/>
        <w:autoSpaceDN w:val="0"/>
        <w:adjustRightInd w:val="0"/>
        <w:ind w:firstLine="720"/>
        <w:jc w:val="left"/>
        <w:rPr>
          <w:rFonts w:ascii="Traditional Arabic" w:hAnsi="Traditional Arabic"/>
          <w:noProof w:val="0"/>
          <w:rtl/>
          <w:lang w:eastAsia="en-US"/>
        </w:rPr>
      </w:pPr>
    </w:p>
    <w:p w:rsidR="00EB60EC" w:rsidRPr="007A6F9A" w:rsidRDefault="00EB60EC" w:rsidP="00A811DB">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EB60EC" w:rsidRPr="003D4CB6" w:rsidRDefault="00EB60EC" w:rsidP="00597C20">
      <w:pPr>
        <w:widowControl/>
        <w:autoSpaceDE w:val="0"/>
        <w:autoSpaceDN w:val="0"/>
        <w:adjustRightInd w:val="0"/>
        <w:ind w:firstLine="720"/>
        <w:jc w:val="left"/>
        <w:rPr>
          <w:rFonts w:ascii="Traditional Arabic" w:hAnsi="Traditional Arabic"/>
          <w:noProof w:val="0"/>
          <w:rtl/>
          <w:lang w:eastAsia="en-US"/>
        </w:rPr>
      </w:pPr>
    </w:p>
    <w:p w:rsidR="00D74CC0" w:rsidRPr="001B56A8" w:rsidRDefault="00D74CC0" w:rsidP="00597C20">
      <w:pPr>
        <w:pStyle w:val="aff0"/>
        <w:rPr>
          <w:rtl/>
        </w:rPr>
      </w:pPr>
      <w:bookmarkStart w:id="533" w:name="_Toc334046707"/>
      <w:r w:rsidRPr="001B56A8">
        <w:rPr>
          <w:rFonts w:hint="cs"/>
          <w:rtl/>
        </w:rPr>
        <w:lastRenderedPageBreak/>
        <w:t>الفصل الثامن</w:t>
      </w:r>
      <w:r w:rsidRPr="001B56A8">
        <w:rPr>
          <w:rFonts w:hint="eastAsia"/>
          <w:rtl/>
        </w:rPr>
        <w:t> :</w:t>
      </w:r>
      <w:r w:rsidRPr="001B56A8">
        <w:rPr>
          <w:rFonts w:hint="cs"/>
          <w:rtl/>
        </w:rPr>
        <w:t>الضوابط المتعلقة بباب الشفعة وباب وباب الوديعة</w:t>
      </w:r>
      <w:bookmarkEnd w:id="533"/>
    </w:p>
    <w:p w:rsidR="00D74CC0" w:rsidRPr="002D7A92" w:rsidRDefault="00D74CC0" w:rsidP="00597C20">
      <w:pPr>
        <w:spacing w:after="360" w:line="860" w:lineRule="exact"/>
        <w:ind w:right="851" w:firstLine="142"/>
        <w:rPr>
          <w:rFonts w:ascii="Traditional Arabic" w:hAnsi="Traditional Arabic"/>
          <w:b/>
          <w:bCs/>
          <w:u w:val="single"/>
          <w:rtl/>
        </w:rPr>
      </w:pPr>
      <w:r w:rsidRPr="002D7A92">
        <w:rPr>
          <w:rFonts w:ascii="Traditional Arabic" w:hAnsi="Traditional Arabic" w:hint="cs"/>
          <w:b/>
          <w:bCs/>
          <w:u w:val="single"/>
          <w:rtl/>
        </w:rPr>
        <w:t>وفيه ثلاثة مباحث:</w:t>
      </w:r>
    </w:p>
    <w:p w:rsidR="00D74CC0" w:rsidRDefault="00D74CC0" w:rsidP="00597C20">
      <w:pPr>
        <w:tabs>
          <w:tab w:val="left" w:pos="2833"/>
        </w:tabs>
        <w:ind w:left="2833" w:hanging="2268"/>
        <w:rPr>
          <w:rtl/>
        </w:rPr>
      </w:pPr>
      <w:r w:rsidRPr="00FD5687">
        <w:rPr>
          <w:rFonts w:hint="cs"/>
          <w:b/>
          <w:bCs/>
          <w:rtl/>
        </w:rPr>
        <w:t>المبحث الأول:</w:t>
      </w:r>
      <w:r w:rsidR="002F34AD">
        <w:rPr>
          <w:rFonts w:hint="cs"/>
          <w:rtl/>
        </w:rPr>
        <w:tab/>
      </w:r>
      <w:r w:rsidRPr="00031790">
        <w:rPr>
          <w:rFonts w:hint="cs"/>
          <w:rtl/>
        </w:rPr>
        <w:t>ضابط إذا انتقل الملك على وجه اختياري ففيه الشفعة</w:t>
      </w:r>
    </w:p>
    <w:p w:rsidR="00D74CC0" w:rsidRPr="00031790" w:rsidRDefault="00D74CC0" w:rsidP="00597C20">
      <w:pPr>
        <w:tabs>
          <w:tab w:val="left" w:pos="2833"/>
        </w:tabs>
        <w:ind w:left="2833" w:hanging="2268"/>
        <w:rPr>
          <w:rtl/>
        </w:rPr>
      </w:pPr>
      <w:r w:rsidRPr="00FD5687">
        <w:rPr>
          <w:rFonts w:hint="cs"/>
          <w:b/>
          <w:bCs/>
          <w:rtl/>
        </w:rPr>
        <w:t>المبحث الثاني:</w:t>
      </w:r>
      <w:r w:rsidR="002F34AD" w:rsidRPr="00FD5687">
        <w:rPr>
          <w:rFonts w:hint="cs"/>
          <w:rtl/>
        </w:rPr>
        <w:tab/>
      </w:r>
      <w:r w:rsidRPr="00031790">
        <w:rPr>
          <w:rFonts w:hint="cs"/>
          <w:rtl/>
        </w:rPr>
        <w:t xml:space="preserve">ضابط إذا تصرف المشتري </w:t>
      </w:r>
      <w:r w:rsidR="00A811DB">
        <w:rPr>
          <w:rFonts w:hint="cs"/>
          <w:rtl/>
        </w:rPr>
        <w:t xml:space="preserve">فيما اشتراه </w:t>
      </w:r>
      <w:r w:rsidRPr="00031790">
        <w:rPr>
          <w:rFonts w:hint="cs"/>
          <w:rtl/>
        </w:rPr>
        <w:t>تصرفا ينقل الملك على وجه لا تثبت فيه الشفعة ابتداء فإن الشفعة تسقط.</w:t>
      </w:r>
    </w:p>
    <w:p w:rsidR="00D74CC0" w:rsidRDefault="00D74CC0" w:rsidP="00597C20">
      <w:pPr>
        <w:tabs>
          <w:tab w:val="left" w:pos="2833"/>
        </w:tabs>
        <w:ind w:left="2833" w:hanging="2268"/>
        <w:rPr>
          <w:rtl/>
        </w:rPr>
      </w:pPr>
      <w:r w:rsidRPr="00FD5687">
        <w:rPr>
          <w:rFonts w:hint="cs"/>
          <w:b/>
          <w:bCs/>
          <w:rtl/>
        </w:rPr>
        <w:t>المبحث الثالث:</w:t>
      </w:r>
      <w:r w:rsidR="002F34AD">
        <w:rPr>
          <w:rFonts w:hint="cs"/>
          <w:rtl/>
        </w:rPr>
        <w:tab/>
      </w:r>
      <w:r w:rsidRPr="00031790">
        <w:rPr>
          <w:rFonts w:hint="cs"/>
          <w:rtl/>
        </w:rPr>
        <w:t>ضابط إذا عين المودع الحرز فأحرز المودع الوديعة فيما هو أشد فلا ضمان.</w:t>
      </w:r>
    </w:p>
    <w:p w:rsidR="006431D6" w:rsidRDefault="00E1798A" w:rsidP="000F5C0F">
      <w:pPr>
        <w:pStyle w:val="aff2"/>
        <w:rPr>
          <w:rStyle w:val="af1"/>
          <w:rtl/>
        </w:rPr>
      </w:pPr>
      <w:bookmarkStart w:id="534" w:name="_Toc334046708"/>
      <w:r w:rsidRPr="00D816CC">
        <w:rPr>
          <w:rFonts w:ascii="Traditional Arabic" w:hAnsi="Traditional Arabic" w:hint="cs"/>
          <w:rtl/>
        </w:rPr>
        <w:lastRenderedPageBreak/>
        <w:t>المبحث الأول</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6431D6">
        <w:rPr>
          <w:rFonts w:hint="cs"/>
          <w:rtl/>
        </w:rPr>
        <w:t>ضابط</w:t>
      </w:r>
      <w:r w:rsidR="006431D6">
        <w:rPr>
          <w:rtl/>
        </w:rPr>
        <w:br/>
      </w:r>
      <w:r w:rsidR="006431D6">
        <w:rPr>
          <w:rFonts w:hint="cs"/>
          <w:rtl/>
        </w:rPr>
        <w:t>"إذا انتقل الملك على وجه اختياري ففيه الشفعة</w:t>
      </w:r>
      <w:r w:rsidR="00AB0B9E">
        <w:rPr>
          <w:rtl/>
        </w:rPr>
        <w:fldChar w:fldCharType="begin"/>
      </w:r>
      <w:r w:rsidR="00945AC4">
        <w:rPr>
          <w:rFonts w:hint="cs"/>
        </w:rPr>
        <w:instrText>XE</w:instrText>
      </w:r>
      <w:r w:rsidR="00945AC4">
        <w:instrText xml:space="preserve"> "</w:instrText>
      </w:r>
      <w:r w:rsidR="00945AC4" w:rsidRPr="00A66F0A">
        <w:rPr>
          <w:rFonts w:cs="Arial" w:hint="cs"/>
          <w:rtl/>
        </w:rPr>
        <w:instrText>إذاانتقلالملكعلىوجهاختياريففيهالشفعة</w:instrText>
      </w:r>
      <w:r w:rsidR="00945AC4">
        <w:rPr>
          <w:rFonts w:cs="Arial"/>
        </w:rPr>
        <w:instrText>"\fd"</w:instrText>
      </w:r>
      <w:r w:rsidR="00AB0B9E">
        <w:rPr>
          <w:rtl/>
        </w:rPr>
        <w:fldChar w:fldCharType="end"/>
      </w:r>
      <w:r w:rsidR="006431D6">
        <w:rPr>
          <w:rFonts w:hint="cs"/>
          <w:rtl/>
        </w:rPr>
        <w:t>"</w:t>
      </w:r>
      <w:r w:rsidR="006431D6" w:rsidRPr="00C821A1">
        <w:rPr>
          <w:rStyle w:val="af1"/>
          <w:bCs w:val="0"/>
          <w:szCs w:val="32"/>
          <w:rtl/>
        </w:rPr>
        <w:t>(</w:t>
      </w:r>
      <w:r w:rsidR="006431D6" w:rsidRPr="00C821A1">
        <w:rPr>
          <w:rStyle w:val="af1"/>
          <w:bCs w:val="0"/>
          <w:szCs w:val="32"/>
          <w:rtl/>
        </w:rPr>
        <w:footnoteReference w:id="2254"/>
      </w:r>
      <w:r w:rsidR="006431D6" w:rsidRPr="00C821A1">
        <w:rPr>
          <w:rStyle w:val="af1"/>
          <w:bCs w:val="0"/>
          <w:szCs w:val="32"/>
          <w:rtl/>
        </w:rPr>
        <w:t>)</w:t>
      </w:r>
      <w:bookmarkEnd w:id="534"/>
    </w:p>
    <w:p w:rsidR="00065E4B" w:rsidRPr="009B3CE9" w:rsidRDefault="00EB60EC" w:rsidP="00A8347C">
      <w:pPr>
        <w:pStyle w:val="aff3"/>
        <w:rPr>
          <w:rtl/>
        </w:rPr>
      </w:pPr>
      <w:bookmarkStart w:id="535" w:name="_Toc334046709"/>
      <w:r>
        <w:rPr>
          <w:rFonts w:hint="cs"/>
          <w:rtl/>
        </w:rPr>
        <w:t xml:space="preserve">                   </w:t>
      </w:r>
      <w:r w:rsidR="00B76A81">
        <w:rPr>
          <w:rFonts w:hint="cs"/>
          <w:rtl/>
        </w:rPr>
        <w:t xml:space="preserve">                      </w:t>
      </w:r>
      <w:r w:rsidR="006431D6" w:rsidRPr="009B3CE9">
        <w:rPr>
          <w:rFonts w:hint="cs"/>
          <w:rtl/>
        </w:rPr>
        <w:t>المطلب الأول</w:t>
      </w:r>
      <w:r w:rsidR="009B3CE9">
        <w:rPr>
          <w:rFonts w:hint="eastAsia"/>
          <w:rtl/>
        </w:rPr>
        <w:t> :</w:t>
      </w:r>
      <w:r w:rsidR="009B3CE9">
        <w:rPr>
          <w:rFonts w:hint="cs"/>
          <w:rtl/>
        </w:rPr>
        <w:br/>
      </w:r>
      <w:r>
        <w:rPr>
          <w:rFonts w:hint="cs"/>
          <w:rtl/>
        </w:rPr>
        <w:t xml:space="preserve">                 </w:t>
      </w:r>
      <w:r w:rsidR="00B76A81">
        <w:rPr>
          <w:rFonts w:hint="cs"/>
          <w:rtl/>
        </w:rPr>
        <w:t xml:space="preserve">                         </w:t>
      </w:r>
      <w:r w:rsidR="006431D6" w:rsidRPr="009B3CE9">
        <w:rPr>
          <w:rFonts w:hint="cs"/>
          <w:rtl/>
        </w:rPr>
        <w:t>شرح الضابط</w:t>
      </w:r>
      <w:bookmarkEnd w:id="535"/>
    </w:p>
    <w:p w:rsidR="00065E4B" w:rsidRDefault="00065E4B" w:rsidP="00597C20">
      <w:pPr>
        <w:pStyle w:val="53"/>
        <w:rPr>
          <w:rtl/>
        </w:rPr>
      </w:pPr>
      <w:r>
        <w:rPr>
          <w:rFonts w:hint="cs"/>
          <w:rtl/>
        </w:rPr>
        <w:t>م</w:t>
      </w:r>
      <w:r w:rsidR="006431D6">
        <w:rPr>
          <w:rFonts w:hint="cs"/>
          <w:rtl/>
        </w:rPr>
        <w:t>عنى الضابط إجمالا:</w:t>
      </w:r>
    </w:p>
    <w:p w:rsidR="00065E4B" w:rsidRDefault="00065E4B" w:rsidP="00597C20">
      <w:pPr>
        <w:ind w:firstLine="720"/>
        <w:rPr>
          <w:rtl/>
        </w:rPr>
      </w:pPr>
      <w:r>
        <w:rPr>
          <w:rFonts w:hint="cs"/>
          <w:rtl/>
        </w:rPr>
        <w:t>ا</w:t>
      </w:r>
      <w:r w:rsidR="00073A3B">
        <w:rPr>
          <w:rFonts w:hint="cs"/>
          <w:rtl/>
        </w:rPr>
        <w:t>نتقال الملك لا يَخْلو</w:t>
      </w:r>
      <w:r w:rsidR="006431D6">
        <w:rPr>
          <w:rFonts w:hint="cs"/>
          <w:rtl/>
        </w:rPr>
        <w:t xml:space="preserve"> من حالين:</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Pr>
          <w:rFonts w:hint="cs"/>
          <w:rtl/>
        </w:rPr>
        <w:t>ا</w:t>
      </w:r>
      <w:r w:rsidR="006431D6">
        <w:rPr>
          <w:rFonts w:hint="cs"/>
          <w:rtl/>
        </w:rPr>
        <w:t xml:space="preserve">لأولى: أن يكون انتقالاً قهريّاً، </w:t>
      </w:r>
      <w:r w:rsidR="006431D6" w:rsidRPr="00F84668">
        <w:rPr>
          <w:rFonts w:ascii="Traditional Arabic" w:hAnsi="Traditional Arabic" w:hint="cs"/>
          <w:noProof w:val="0"/>
          <w:rtl/>
          <w:lang w:eastAsia="en-US"/>
        </w:rPr>
        <w:t>ف</w:t>
      </w:r>
      <w:r w:rsidR="006431D6" w:rsidRPr="00F84668">
        <w:rPr>
          <w:rFonts w:ascii="Traditional Arabic" w:hAnsi="Traditional Arabic"/>
          <w:noProof w:val="0"/>
          <w:rtl/>
          <w:lang w:eastAsia="en-US"/>
        </w:rPr>
        <w:t>لو أن الشريك مات وله ابن ير</w:t>
      </w:r>
      <w:r w:rsidR="006431D6">
        <w:rPr>
          <w:rFonts w:ascii="Traditional Arabic" w:hAnsi="Traditional Arabic"/>
          <w:noProof w:val="0"/>
          <w:rtl/>
          <w:lang w:eastAsia="en-US"/>
        </w:rPr>
        <w:t>ثه، فهنا</w:t>
      </w:r>
      <w:r w:rsidR="006431D6" w:rsidRPr="00F84668">
        <w:rPr>
          <w:rFonts w:ascii="Traditional Arabic" w:hAnsi="Traditional Arabic"/>
          <w:noProof w:val="0"/>
          <w:rtl/>
          <w:lang w:eastAsia="en-US"/>
        </w:rPr>
        <w:t xml:space="preserve"> انتقل </w:t>
      </w:r>
      <w:r w:rsidR="006431D6">
        <w:rPr>
          <w:rFonts w:ascii="Traditional Arabic" w:hAnsi="Traditional Arabic" w:hint="cs"/>
          <w:noProof w:val="0"/>
          <w:rtl/>
          <w:lang w:eastAsia="en-US"/>
        </w:rPr>
        <w:t xml:space="preserve">الملك </w:t>
      </w:r>
      <w:r w:rsidR="006431D6" w:rsidRPr="00F84668">
        <w:rPr>
          <w:rFonts w:ascii="Traditional Arabic" w:hAnsi="Traditional Arabic"/>
          <w:noProof w:val="0"/>
          <w:rtl/>
          <w:lang w:eastAsia="en-US"/>
        </w:rPr>
        <w:t>إلى الوارث قهرا</w:t>
      </w:r>
      <w:r w:rsidR="006431D6">
        <w:rPr>
          <w:rFonts w:hint="cs"/>
          <w:rtl/>
        </w:rPr>
        <w:t>،</w:t>
      </w:r>
      <w:r w:rsidR="006431D6" w:rsidRPr="00F84668">
        <w:rPr>
          <w:rFonts w:ascii="Traditional Arabic" w:hAnsi="Traditional Arabic"/>
          <w:noProof w:val="0"/>
          <w:rtl/>
          <w:lang w:eastAsia="en-US"/>
        </w:rPr>
        <w:t>حتى لو أراد ا</w:t>
      </w:r>
      <w:r w:rsidR="006431D6">
        <w:rPr>
          <w:rFonts w:ascii="Traditional Arabic" w:hAnsi="Traditional Arabic"/>
          <w:noProof w:val="0"/>
          <w:rtl/>
          <w:lang w:eastAsia="en-US"/>
        </w:rPr>
        <w:t xml:space="preserve">لوارث أن يتخلى </w:t>
      </w:r>
      <w:r w:rsidR="00A811DB">
        <w:rPr>
          <w:rFonts w:ascii="Traditional Arabic" w:hAnsi="Traditional Arabic" w:hint="cs"/>
          <w:noProof w:val="0"/>
          <w:rtl/>
          <w:lang w:eastAsia="en-US"/>
        </w:rPr>
        <w:t xml:space="preserve">عن </w:t>
      </w:r>
      <w:r w:rsidR="006431D6">
        <w:rPr>
          <w:rFonts w:ascii="Traditional Arabic" w:hAnsi="Traditional Arabic"/>
          <w:noProof w:val="0"/>
          <w:rtl/>
          <w:lang w:eastAsia="en-US"/>
        </w:rPr>
        <w:t>نصيب</w:t>
      </w:r>
      <w:r w:rsidR="006431D6">
        <w:rPr>
          <w:rFonts w:ascii="Traditional Arabic" w:hAnsi="Traditional Arabic" w:hint="cs"/>
          <w:noProof w:val="0"/>
          <w:rtl/>
          <w:lang w:eastAsia="en-US"/>
        </w:rPr>
        <w:t>ه</w:t>
      </w:r>
      <w:r w:rsidR="006431D6" w:rsidRPr="00F84668">
        <w:rPr>
          <w:rFonts w:ascii="Traditional Arabic" w:hAnsi="Traditional Arabic"/>
          <w:noProof w:val="0"/>
          <w:rtl/>
          <w:lang w:eastAsia="en-US"/>
        </w:rPr>
        <w:t xml:space="preserve"> من التر</w:t>
      </w:r>
      <w:r w:rsidR="006431D6">
        <w:rPr>
          <w:rFonts w:ascii="Traditional Arabic" w:hAnsi="Traditional Arabic" w:hint="cs"/>
          <w:noProof w:val="0"/>
          <w:rtl/>
          <w:lang w:eastAsia="en-US"/>
        </w:rPr>
        <w:t>ِ</w:t>
      </w:r>
      <w:r w:rsidR="006431D6" w:rsidRPr="00F84668">
        <w:rPr>
          <w:rFonts w:ascii="Traditional Arabic" w:hAnsi="Traditional Arabic"/>
          <w:noProof w:val="0"/>
          <w:rtl/>
          <w:lang w:eastAsia="en-US"/>
        </w:rPr>
        <w:t>كة</w:t>
      </w:r>
      <w:r w:rsidR="006431D6" w:rsidRPr="00C821A1">
        <w:rPr>
          <w:rStyle w:val="af1"/>
          <w:szCs w:val="32"/>
          <w:rtl/>
        </w:rPr>
        <w:t>(</w:t>
      </w:r>
      <w:r w:rsidR="006431D6" w:rsidRPr="00C821A1">
        <w:rPr>
          <w:rStyle w:val="af1"/>
          <w:szCs w:val="32"/>
          <w:rtl/>
        </w:rPr>
        <w:footnoteReference w:id="2255"/>
      </w:r>
      <w:r w:rsidR="006431D6" w:rsidRPr="00C821A1">
        <w:rPr>
          <w:rStyle w:val="af1"/>
          <w:szCs w:val="32"/>
          <w:rtl/>
        </w:rPr>
        <w:t>)</w:t>
      </w:r>
      <w:r w:rsidR="006431D6" w:rsidRPr="00F84668">
        <w:rPr>
          <w:rFonts w:ascii="Traditional Arabic" w:hAnsi="Traditional Arabic"/>
          <w:noProof w:val="0"/>
          <w:rtl/>
          <w:lang w:eastAsia="en-US"/>
        </w:rPr>
        <w:t>، فإنه لا يمكنه ذلك؛ لأن الله</w:t>
      </w:r>
      <w:r w:rsidR="00A811DB">
        <w:rPr>
          <w:rFonts w:ascii="Traditional Arabic" w:hAnsi="Traditional Arabic" w:hint="cs"/>
          <w:noProof w:val="0"/>
          <w:rtl/>
          <w:lang w:eastAsia="en-US"/>
        </w:rPr>
        <w:t xml:space="preserve"> </w:t>
      </w:r>
      <w:r w:rsidR="006431D6" w:rsidRPr="00F84668">
        <w:rPr>
          <w:rFonts w:ascii="Traditional Arabic" w:hAnsi="Traditional Arabic"/>
          <w:noProof w:val="0"/>
          <w:rtl/>
          <w:lang w:eastAsia="en-US"/>
        </w:rPr>
        <w:t>مل</w:t>
      </w:r>
      <w:r w:rsidR="006431D6">
        <w:rPr>
          <w:rFonts w:ascii="Traditional Arabic" w:hAnsi="Traditional Arabic" w:hint="cs"/>
          <w:noProof w:val="0"/>
          <w:rtl/>
          <w:lang w:eastAsia="en-US"/>
        </w:rPr>
        <w:t>َّ</w:t>
      </w:r>
      <w:r w:rsidR="006431D6" w:rsidRPr="00F84668">
        <w:rPr>
          <w:rFonts w:ascii="Traditional Arabic" w:hAnsi="Traditional Arabic"/>
          <w:noProof w:val="0"/>
          <w:rtl/>
          <w:lang w:eastAsia="en-US"/>
        </w:rPr>
        <w:t>كه إياه</w:t>
      </w:r>
      <w:r w:rsidR="006431D6">
        <w:rPr>
          <w:rFonts w:ascii="Traditional Arabic" w:hAnsi="Traditional Arabic" w:hint="cs"/>
          <w:noProof w:val="0"/>
          <w:rtl/>
          <w:lang w:eastAsia="en-US"/>
        </w:rPr>
        <w:t>، وانتقال الملك إذا كان قهريا فلا شفعة فيه؛ لأن الشريك لم ينقله باختياره.</w:t>
      </w:r>
    </w:p>
    <w:p w:rsidR="00F228A9"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ا</w:t>
      </w:r>
      <w:r w:rsidR="006431D6">
        <w:rPr>
          <w:rFonts w:ascii="Traditional Arabic" w:hAnsi="Traditional Arabic" w:hint="cs"/>
          <w:noProof w:val="0"/>
          <w:rtl/>
          <w:lang w:eastAsia="en-US"/>
        </w:rPr>
        <w:t>لثانية: أن يكون انتقالا اختياريّاً، فكلما خرج الشِّقْص من الشريك بالاختيار فإن للشريك أن يأخذ بالشفعة، سواء أكان الانتقال بعوض مالي كالبيع، أم بغير عوض مالي كالهبة</w:t>
      </w:r>
      <w:r w:rsidR="006431D6" w:rsidRPr="00C821A1">
        <w:rPr>
          <w:rStyle w:val="af1"/>
          <w:szCs w:val="32"/>
          <w:rtl/>
        </w:rPr>
        <w:t>(</w:t>
      </w:r>
      <w:r w:rsidR="006431D6" w:rsidRPr="00C821A1">
        <w:rPr>
          <w:rStyle w:val="af1"/>
          <w:szCs w:val="32"/>
          <w:rtl/>
        </w:rPr>
        <w:footnoteReference w:id="2256"/>
      </w:r>
      <w:r w:rsidR="006431D6" w:rsidRPr="00C821A1">
        <w:rPr>
          <w:rStyle w:val="af1"/>
          <w:szCs w:val="32"/>
          <w:rtl/>
        </w:rPr>
        <w:t>)</w:t>
      </w:r>
      <w:r w:rsidR="006431D6">
        <w:rPr>
          <w:rFonts w:ascii="Traditional Arabic" w:hAnsi="Traditional Arabic" w:hint="cs"/>
          <w:noProof w:val="0"/>
          <w:rtl/>
          <w:lang w:eastAsia="en-US"/>
        </w:rPr>
        <w:t>.</w:t>
      </w:r>
    </w:p>
    <w:p w:rsidR="00065E4B" w:rsidRPr="009B3CE9" w:rsidRDefault="00837895" w:rsidP="00A8347C">
      <w:pPr>
        <w:pStyle w:val="aff3"/>
        <w:rPr>
          <w:rtl/>
        </w:rPr>
      </w:pPr>
      <w:bookmarkStart w:id="536" w:name="_Toc334046710"/>
      <w:r>
        <w:rPr>
          <w:rFonts w:hint="cs"/>
          <w:rtl/>
        </w:rPr>
        <w:lastRenderedPageBreak/>
        <w:t xml:space="preserve">     </w:t>
      </w:r>
      <w:r w:rsidR="00073A3B">
        <w:rPr>
          <w:rFonts w:hint="cs"/>
          <w:rtl/>
        </w:rPr>
        <w:t xml:space="preserve">                              </w:t>
      </w:r>
      <w:r>
        <w:rPr>
          <w:rFonts w:hint="cs"/>
          <w:rtl/>
        </w:rPr>
        <w:t xml:space="preserve">       </w:t>
      </w:r>
      <w:r w:rsidR="006431D6" w:rsidRPr="009B3CE9">
        <w:rPr>
          <w:rFonts w:hint="cs"/>
          <w:rtl/>
        </w:rPr>
        <w:t>المطلب الثاني</w:t>
      </w:r>
      <w:r w:rsidR="009B3CE9">
        <w:rPr>
          <w:rFonts w:hint="eastAsia"/>
          <w:rtl/>
        </w:rPr>
        <w:t> :</w:t>
      </w:r>
      <w:r w:rsidR="009B3CE9">
        <w:rPr>
          <w:rFonts w:hint="cs"/>
          <w:rtl/>
        </w:rPr>
        <w:br/>
      </w:r>
      <w:r>
        <w:rPr>
          <w:rFonts w:hint="cs"/>
          <w:rtl/>
        </w:rPr>
        <w:t xml:space="preserve">           </w:t>
      </w:r>
      <w:r w:rsidR="00073A3B">
        <w:rPr>
          <w:rFonts w:hint="cs"/>
          <w:rtl/>
        </w:rPr>
        <w:t xml:space="preserve">                                 </w:t>
      </w:r>
      <w:r w:rsidR="006431D6" w:rsidRPr="009B3CE9">
        <w:rPr>
          <w:rFonts w:hint="cs"/>
          <w:rtl/>
        </w:rPr>
        <w:t>أدلة ال</w:t>
      </w:r>
      <w:bookmarkEnd w:id="536"/>
      <w:r w:rsidR="00E27972">
        <w:rPr>
          <w:rFonts w:hint="cs"/>
          <w:rtl/>
        </w:rPr>
        <w:t>ضابط</w:t>
      </w:r>
    </w:p>
    <w:p w:rsidR="00065E4B" w:rsidRDefault="00073A3B" w:rsidP="00073A3B">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sidRPr="00C93731">
        <w:rPr>
          <w:rFonts w:ascii="Traditional Arabic" w:hAnsi="Traditional Arabic" w:hint="cs"/>
          <w:noProof w:val="0"/>
          <w:rtl/>
          <w:lang w:eastAsia="en-US"/>
        </w:rPr>
        <w:t>إ</w:t>
      </w:r>
      <w:r w:rsidR="006431D6" w:rsidRPr="00C93731">
        <w:rPr>
          <w:rFonts w:ascii="Traditional Arabic" w:hAnsi="Traditional Arabic"/>
          <w:noProof w:val="0"/>
          <w:rtl/>
          <w:lang w:eastAsia="en-US"/>
        </w:rPr>
        <w:t>ن الحكمة من الشفعة إزالة ضررالشريك الجديد عن الشريك الأول؛</w:t>
      </w:r>
      <w:r>
        <w:rPr>
          <w:rFonts w:ascii="Traditional Arabic" w:hAnsi="Traditional Arabic" w:hint="cs"/>
          <w:noProof w:val="0"/>
          <w:rtl/>
          <w:lang w:eastAsia="en-US"/>
        </w:rPr>
        <w:t xml:space="preserve"> </w:t>
      </w:r>
      <w:r>
        <w:rPr>
          <w:rFonts w:ascii="Traditional Arabic" w:hAnsi="Traditional Arabic"/>
          <w:noProof w:val="0"/>
          <w:rtl/>
          <w:lang w:eastAsia="en-US"/>
        </w:rPr>
        <w:t>فهذا الشريك قد يكون</w:t>
      </w:r>
      <w:r w:rsidR="006431D6" w:rsidRPr="004552E4">
        <w:rPr>
          <w:rFonts w:ascii="Traditional Arabic" w:hAnsi="Traditional Arabic"/>
          <w:noProof w:val="0"/>
          <w:rtl/>
          <w:lang w:eastAsia="en-US"/>
        </w:rPr>
        <w:t xml:space="preserve"> سيئ</w:t>
      </w:r>
      <w:r>
        <w:rPr>
          <w:rFonts w:ascii="Traditional Arabic" w:hAnsi="Traditional Arabic" w:hint="cs"/>
          <w:noProof w:val="0"/>
          <w:rtl/>
          <w:lang w:eastAsia="en-US"/>
        </w:rPr>
        <w:t>َ</w:t>
      </w:r>
      <w:r w:rsidR="006431D6" w:rsidRPr="004552E4">
        <w:rPr>
          <w:rFonts w:ascii="Traditional Arabic" w:hAnsi="Traditional Arabic"/>
          <w:noProof w:val="0"/>
          <w:rtl/>
          <w:lang w:eastAsia="en-US"/>
        </w:rPr>
        <w:t xml:space="preserve"> الشركة م</w:t>
      </w:r>
      <w:r w:rsidR="006431D6">
        <w:rPr>
          <w:rFonts w:ascii="Traditional Arabic" w:hAnsi="Traditional Arabic" w:hint="cs"/>
          <w:noProof w:val="0"/>
          <w:rtl/>
          <w:lang w:eastAsia="en-US"/>
        </w:rPr>
        <w:t>ُ</w:t>
      </w:r>
      <w:r w:rsidR="006431D6" w:rsidRPr="004552E4">
        <w:rPr>
          <w:rFonts w:ascii="Traditional Arabic" w:hAnsi="Traditional Arabic"/>
          <w:noProof w:val="0"/>
          <w:rtl/>
          <w:lang w:eastAsia="en-US"/>
        </w:rPr>
        <w:t>تع</w:t>
      </w:r>
      <w:r w:rsidR="006431D6">
        <w:rPr>
          <w:rFonts w:ascii="Traditional Arabic" w:hAnsi="Traditional Arabic" w:hint="cs"/>
          <w:noProof w:val="0"/>
          <w:rtl/>
          <w:lang w:eastAsia="en-US"/>
        </w:rPr>
        <w:t>ِ</w:t>
      </w:r>
      <w:r w:rsidR="006431D6" w:rsidRPr="004552E4">
        <w:rPr>
          <w:rFonts w:ascii="Traditional Arabic" w:hAnsi="Traditional Arabic"/>
          <w:noProof w:val="0"/>
          <w:rtl/>
          <w:lang w:eastAsia="en-US"/>
        </w:rPr>
        <w:t>با</w:t>
      </w:r>
      <w:r w:rsidR="006431D6">
        <w:rPr>
          <w:rFonts w:ascii="Traditional Arabic" w:hAnsi="Traditional Arabic" w:hint="cs"/>
          <w:noProof w:val="0"/>
          <w:rtl/>
          <w:lang w:eastAsia="en-US"/>
        </w:rPr>
        <w:t>ً</w:t>
      </w:r>
      <w:r w:rsidR="006431D6" w:rsidRPr="004552E4">
        <w:rPr>
          <w:rFonts w:ascii="Traditional Arabic" w:hAnsi="Traditional Arabic"/>
          <w:noProof w:val="0"/>
          <w:rtl/>
          <w:lang w:eastAsia="en-US"/>
        </w:rPr>
        <w:t xml:space="preserve"> لشريكه ي</w:t>
      </w:r>
      <w:r w:rsidR="006431D6">
        <w:rPr>
          <w:rFonts w:ascii="Traditional Arabic" w:hAnsi="Traditional Arabic" w:hint="cs"/>
          <w:noProof w:val="0"/>
          <w:rtl/>
          <w:lang w:eastAsia="en-US"/>
        </w:rPr>
        <w:t>ُ</w:t>
      </w:r>
      <w:r w:rsidR="006431D6" w:rsidRPr="004552E4">
        <w:rPr>
          <w:rFonts w:ascii="Traditional Arabic" w:hAnsi="Traditional Arabic"/>
          <w:noProof w:val="0"/>
          <w:rtl/>
          <w:lang w:eastAsia="en-US"/>
        </w:rPr>
        <w:t>ح</w:t>
      </w:r>
      <w:r w:rsidR="006431D6">
        <w:rPr>
          <w:rFonts w:ascii="Traditional Arabic" w:hAnsi="Traditional Arabic" w:hint="cs"/>
          <w:noProof w:val="0"/>
          <w:rtl/>
          <w:lang w:eastAsia="en-US"/>
        </w:rPr>
        <w:t>ْ</w:t>
      </w:r>
      <w:r w:rsidR="006431D6" w:rsidRPr="004552E4">
        <w:rPr>
          <w:rFonts w:ascii="Traditional Arabic" w:hAnsi="Traditional Arabic"/>
          <w:noProof w:val="0"/>
          <w:rtl/>
          <w:lang w:eastAsia="en-US"/>
        </w:rPr>
        <w:t>و</w:t>
      </w:r>
      <w:r w:rsidR="006431D6">
        <w:rPr>
          <w:rFonts w:ascii="Traditional Arabic" w:hAnsi="Traditional Arabic" w:hint="cs"/>
          <w:noProof w:val="0"/>
          <w:rtl/>
          <w:lang w:eastAsia="en-US"/>
        </w:rPr>
        <w:t>ِ</w:t>
      </w:r>
      <w:r w:rsidR="006431D6" w:rsidRPr="004552E4">
        <w:rPr>
          <w:rFonts w:ascii="Traditional Arabic" w:hAnsi="Traditional Arabic"/>
          <w:noProof w:val="0"/>
          <w:rtl/>
          <w:lang w:eastAsia="en-US"/>
        </w:rPr>
        <w:t>جه إلى النزاع والخصومة دائما، فجعل الشارع للشريك أن يدفع ما يخشى من ضر</w:t>
      </w:r>
      <w:r w:rsidR="006431D6">
        <w:rPr>
          <w:rFonts w:ascii="Traditional Arabic" w:hAnsi="Traditional Arabic" w:hint="cs"/>
          <w:noProof w:val="0"/>
          <w:rtl/>
          <w:lang w:eastAsia="en-US"/>
        </w:rPr>
        <w:t>َ</w:t>
      </w:r>
      <w:r w:rsidR="006431D6" w:rsidRPr="004552E4">
        <w:rPr>
          <w:rFonts w:ascii="Traditional Arabic" w:hAnsi="Traditional Arabic"/>
          <w:noProof w:val="0"/>
          <w:rtl/>
          <w:lang w:eastAsia="en-US"/>
        </w:rPr>
        <w:t>ر</w:t>
      </w:r>
      <w:r w:rsidR="006431D6">
        <w:rPr>
          <w:rFonts w:ascii="Traditional Arabic" w:hAnsi="Traditional Arabic" w:hint="cs"/>
          <w:noProof w:val="0"/>
          <w:rtl/>
          <w:lang w:eastAsia="en-US"/>
        </w:rPr>
        <w:t>َ</w:t>
      </w:r>
      <w:r w:rsidR="006431D6" w:rsidRPr="004552E4">
        <w:rPr>
          <w:rFonts w:ascii="Traditional Arabic" w:hAnsi="Traditional Arabic"/>
          <w:noProof w:val="0"/>
          <w:rtl/>
          <w:lang w:eastAsia="en-US"/>
        </w:rPr>
        <w:t>ه بالشفعة</w:t>
      </w:r>
      <w:r w:rsidR="006431D6">
        <w:rPr>
          <w:rFonts w:ascii="Traditional Arabic" w:hAnsi="Traditional Arabic"/>
          <w:b/>
          <w:bCs/>
          <w:noProof w:val="0"/>
          <w:sz w:val="44"/>
          <w:szCs w:val="44"/>
          <w:rtl/>
          <w:lang w:eastAsia="en-US"/>
        </w:rPr>
        <w:t>.</w:t>
      </w:r>
    </w:p>
    <w:p w:rsidR="006431D6" w:rsidRDefault="00073A3B" w:rsidP="00073A3B">
      <w:pPr>
        <w:widowControl/>
        <w:autoSpaceDE w:val="0"/>
        <w:autoSpaceDN w:val="0"/>
        <w:adjustRightInd w:val="0"/>
        <w:ind w:firstLine="0"/>
        <w:rPr>
          <w:rFonts w:ascii="Traditional Arabic" w:hAnsi="Traditional Arabic"/>
          <w:noProof w:val="0"/>
          <w:rtl/>
          <w:lang w:eastAsia="en-US"/>
        </w:rPr>
      </w:pPr>
      <w:r>
        <w:rPr>
          <w:rFonts w:ascii="Traditional Arabic" w:hAnsi="Traditional Arabic" w:hint="cs"/>
          <w:noProof w:val="0"/>
          <w:rtl/>
          <w:lang w:eastAsia="en-US"/>
        </w:rPr>
        <w:t xml:space="preserve">    </w:t>
      </w:r>
      <w:r w:rsidR="00065E4B">
        <w:rPr>
          <w:rFonts w:ascii="Traditional Arabic" w:hAnsi="Traditional Arabic" w:hint="cs"/>
          <w:noProof w:val="0"/>
          <w:rtl/>
          <w:lang w:eastAsia="en-US"/>
        </w:rPr>
        <w:t>و</w:t>
      </w:r>
      <w:r w:rsidR="006431D6">
        <w:rPr>
          <w:rFonts w:ascii="Traditional Arabic" w:hAnsi="Traditional Arabic" w:hint="cs"/>
          <w:noProof w:val="0"/>
          <w:rtl/>
          <w:lang w:eastAsia="en-US"/>
        </w:rPr>
        <w:t xml:space="preserve">هذه </w:t>
      </w:r>
      <w:r w:rsidR="006431D6" w:rsidRPr="00C93731">
        <w:rPr>
          <w:rFonts w:ascii="Traditional Arabic" w:hAnsi="Traditional Arabic"/>
          <w:noProof w:val="0"/>
          <w:rtl/>
          <w:lang w:eastAsia="en-US"/>
        </w:rPr>
        <w:t>الحكمة من إثبا</w:t>
      </w:r>
      <w:r w:rsidR="006431D6">
        <w:rPr>
          <w:rFonts w:ascii="Traditional Arabic" w:hAnsi="Traditional Arabic"/>
          <w:noProof w:val="0"/>
          <w:rtl/>
          <w:lang w:eastAsia="en-US"/>
        </w:rPr>
        <w:t xml:space="preserve">ت الشفعة موجودة فيما خرج </w:t>
      </w:r>
      <w:r w:rsidR="006431D6">
        <w:rPr>
          <w:rFonts w:ascii="Traditional Arabic" w:hAnsi="Traditional Arabic" w:hint="cs"/>
          <w:noProof w:val="0"/>
          <w:rtl/>
          <w:lang w:eastAsia="en-US"/>
        </w:rPr>
        <w:t xml:space="preserve">عن </w:t>
      </w:r>
      <w:r w:rsidR="006431D6">
        <w:rPr>
          <w:rFonts w:ascii="Traditional Arabic" w:hAnsi="Traditional Arabic"/>
          <w:noProof w:val="0"/>
          <w:rtl/>
          <w:lang w:eastAsia="en-US"/>
        </w:rPr>
        <w:t>ملك</w:t>
      </w:r>
      <w:r w:rsidR="006431D6" w:rsidRPr="00C93731">
        <w:rPr>
          <w:rFonts w:ascii="Traditional Arabic" w:hAnsi="Traditional Arabic"/>
          <w:noProof w:val="0"/>
          <w:rtl/>
          <w:lang w:eastAsia="en-US"/>
        </w:rPr>
        <w:t xml:space="preserve"> الشريك </w:t>
      </w:r>
      <w:r w:rsidR="006431D6">
        <w:rPr>
          <w:rFonts w:ascii="Traditional Arabic" w:hAnsi="Traditional Arabic" w:hint="cs"/>
          <w:noProof w:val="0"/>
          <w:rtl/>
          <w:lang w:eastAsia="en-US"/>
        </w:rPr>
        <w:t>اختياراً، سواء أكان بعوض مالي أم بغير عوض مالي</w:t>
      </w:r>
      <w:r w:rsidR="006431D6" w:rsidRPr="00C93731">
        <w:rPr>
          <w:rFonts w:ascii="Traditional Arabic" w:hAnsi="Traditional Arabic"/>
          <w:noProof w:val="0"/>
          <w:rtl/>
          <w:lang w:eastAsia="en-US"/>
        </w:rPr>
        <w:t>، والحكمة</w:t>
      </w:r>
      <w:r w:rsidR="006431D6">
        <w:rPr>
          <w:rFonts w:ascii="Traditional Arabic" w:hAnsi="Traditional Arabic" w:hint="cs"/>
          <w:noProof w:val="0"/>
          <w:rtl/>
          <w:lang w:eastAsia="en-US"/>
        </w:rPr>
        <w:t>ُ</w:t>
      </w:r>
      <w:r w:rsidR="006431D6" w:rsidRPr="00C93731">
        <w:rPr>
          <w:rFonts w:ascii="Traditional Arabic" w:hAnsi="Traditional Arabic"/>
          <w:noProof w:val="0"/>
          <w:rtl/>
          <w:lang w:eastAsia="en-US"/>
        </w:rPr>
        <w:t xml:space="preserve"> إذا ثبتت</w:t>
      </w:r>
      <w:r>
        <w:rPr>
          <w:rFonts w:ascii="Traditional Arabic" w:hAnsi="Traditional Arabic" w:hint="cs"/>
          <w:noProof w:val="0"/>
          <w:rtl/>
          <w:lang w:eastAsia="en-US"/>
        </w:rPr>
        <w:t>،</w:t>
      </w:r>
      <w:r w:rsidR="006431D6" w:rsidRPr="00C93731">
        <w:rPr>
          <w:rFonts w:ascii="Traditional Arabic" w:hAnsi="Traditional Arabic"/>
          <w:noProof w:val="0"/>
          <w:rtl/>
          <w:lang w:eastAsia="en-US"/>
        </w:rPr>
        <w:t xml:space="preserve"> فإنه لا عبرة</w:t>
      </w:r>
      <w:r>
        <w:rPr>
          <w:rFonts w:ascii="Traditional Arabic" w:hAnsi="Traditional Arabic" w:hint="cs"/>
          <w:noProof w:val="0"/>
          <w:rtl/>
          <w:lang w:eastAsia="en-US"/>
        </w:rPr>
        <w:t>َ</w:t>
      </w:r>
      <w:r w:rsidR="006431D6" w:rsidRPr="00C93731">
        <w:rPr>
          <w:rFonts w:ascii="Traditional Arabic" w:hAnsi="Traditional Arabic"/>
          <w:noProof w:val="0"/>
          <w:rtl/>
          <w:lang w:eastAsia="en-US"/>
        </w:rPr>
        <w:t xml:space="preserve"> ب</w:t>
      </w:r>
      <w:r w:rsidR="006431D6">
        <w:rPr>
          <w:rFonts w:ascii="Traditional Arabic" w:hAnsi="Traditional Arabic"/>
          <w:noProof w:val="0"/>
          <w:rtl/>
          <w:lang w:eastAsia="en-US"/>
        </w:rPr>
        <w:t>اختلاف الصو</w:t>
      </w:r>
      <w:r w:rsidR="006431D6">
        <w:rPr>
          <w:rFonts w:ascii="Traditional Arabic" w:hAnsi="Traditional Arabic" w:hint="cs"/>
          <w:noProof w:val="0"/>
          <w:rtl/>
          <w:lang w:eastAsia="en-US"/>
        </w:rPr>
        <w:t>َ</w:t>
      </w:r>
      <w:r w:rsidR="006431D6">
        <w:rPr>
          <w:rFonts w:ascii="Traditional Arabic" w:hAnsi="Traditional Arabic"/>
          <w:noProof w:val="0"/>
          <w:rtl/>
          <w:lang w:eastAsia="en-US"/>
        </w:rPr>
        <w:t>ر</w:t>
      </w:r>
      <w:r w:rsidR="006431D6" w:rsidRPr="00C821A1">
        <w:rPr>
          <w:rStyle w:val="af1"/>
          <w:szCs w:val="32"/>
          <w:rtl/>
        </w:rPr>
        <w:t>(</w:t>
      </w:r>
      <w:r w:rsidR="006431D6" w:rsidRPr="00C821A1">
        <w:rPr>
          <w:rStyle w:val="af1"/>
          <w:szCs w:val="32"/>
          <w:rtl/>
        </w:rPr>
        <w:footnoteReference w:id="2257"/>
      </w:r>
      <w:r w:rsidR="006431D6" w:rsidRPr="00C821A1">
        <w:rPr>
          <w:rStyle w:val="af1"/>
          <w:szCs w:val="32"/>
          <w:rtl/>
        </w:rPr>
        <w:t>)</w:t>
      </w:r>
      <w:r w:rsidR="006431D6" w:rsidRPr="00C93731">
        <w:rPr>
          <w:rFonts w:ascii="Traditional Arabic" w:hAnsi="Traditional Arabic"/>
          <w:noProof w:val="0"/>
          <w:rtl/>
          <w:lang w:eastAsia="en-US"/>
        </w:rPr>
        <w:t>.</w:t>
      </w:r>
    </w:p>
    <w:p w:rsidR="006431D6" w:rsidRPr="009B3CE9" w:rsidRDefault="00837895" w:rsidP="00A8347C">
      <w:pPr>
        <w:pStyle w:val="aff3"/>
        <w:rPr>
          <w:rtl/>
        </w:rPr>
      </w:pPr>
      <w:bookmarkStart w:id="537" w:name="_Toc334046711"/>
      <w:r>
        <w:rPr>
          <w:rFonts w:hint="cs"/>
          <w:rtl/>
        </w:rPr>
        <w:t xml:space="preserve">                </w:t>
      </w:r>
      <w:r w:rsidR="00073A3B">
        <w:rPr>
          <w:rFonts w:hint="cs"/>
          <w:rtl/>
        </w:rPr>
        <w:t xml:space="preserve">                          </w:t>
      </w:r>
      <w:r w:rsidR="006431D6" w:rsidRPr="009B3CE9">
        <w:rPr>
          <w:rFonts w:hint="cs"/>
          <w:rtl/>
        </w:rPr>
        <w:t>المطلب الثالث</w:t>
      </w:r>
      <w:r w:rsidR="009B3CE9">
        <w:rPr>
          <w:rFonts w:hint="eastAsia"/>
          <w:rtl/>
        </w:rPr>
        <w:t> :</w:t>
      </w:r>
      <w:r w:rsidR="009B3CE9">
        <w:rPr>
          <w:rFonts w:hint="cs"/>
          <w:rtl/>
        </w:rPr>
        <w:br/>
      </w:r>
      <w:r>
        <w:rPr>
          <w:rFonts w:hint="cs"/>
          <w:rtl/>
        </w:rPr>
        <w:t xml:space="preserve">               </w:t>
      </w:r>
      <w:r w:rsidR="0070556A">
        <w:rPr>
          <w:rFonts w:hint="cs"/>
          <w:rtl/>
        </w:rPr>
        <w:t xml:space="preserve">                          </w:t>
      </w:r>
      <w:r w:rsidR="006431D6" w:rsidRPr="009B3CE9">
        <w:rPr>
          <w:rFonts w:hint="cs"/>
          <w:rtl/>
        </w:rPr>
        <w:t>تطبيقات الضابط</w:t>
      </w:r>
      <w:bookmarkEnd w:id="537"/>
    </w:p>
    <w:p w:rsidR="006431D6" w:rsidRDefault="006431D6" w:rsidP="000A76C7">
      <w:pPr>
        <w:pStyle w:val="afc"/>
        <w:widowControl/>
        <w:numPr>
          <w:ilvl w:val="0"/>
          <w:numId w:val="319"/>
        </w:numPr>
        <w:autoSpaceDE w:val="0"/>
        <w:autoSpaceDN w:val="0"/>
        <w:adjustRightInd w:val="0"/>
        <w:rPr>
          <w:rFonts w:ascii="Traditional Arabic" w:hAnsi="Traditional Arabic"/>
          <w:noProof w:val="0"/>
          <w:lang w:eastAsia="en-US"/>
        </w:rPr>
      </w:pPr>
      <w:r w:rsidRPr="00E966DB">
        <w:rPr>
          <w:rFonts w:ascii="Traditional Arabic" w:hAnsi="Traditional Arabic" w:hint="cs"/>
          <w:noProof w:val="0"/>
          <w:rtl/>
          <w:lang w:eastAsia="en-US"/>
        </w:rPr>
        <w:t xml:space="preserve">إذا </w:t>
      </w:r>
      <w:r w:rsidRPr="00E966DB">
        <w:rPr>
          <w:rFonts w:ascii="Traditional Arabic" w:hAnsi="Traditional Arabic"/>
          <w:noProof w:val="0"/>
          <w:rtl/>
          <w:lang w:eastAsia="en-US"/>
        </w:rPr>
        <w:t>وهب الشريك نصيبه،</w:t>
      </w:r>
      <w:r w:rsidRPr="00E966DB">
        <w:rPr>
          <w:rFonts w:ascii="Traditional Arabic" w:hAnsi="Traditional Arabic" w:hint="cs"/>
          <w:noProof w:val="0"/>
          <w:rtl/>
          <w:lang w:eastAsia="en-US"/>
        </w:rPr>
        <w:t xml:space="preserve"> أ</w:t>
      </w:r>
      <w:r w:rsidRPr="00E966DB">
        <w:rPr>
          <w:rFonts w:ascii="Traditional Arabic" w:hAnsi="Traditional Arabic"/>
          <w:noProof w:val="0"/>
          <w:rtl/>
          <w:lang w:eastAsia="en-US"/>
        </w:rPr>
        <w:t xml:space="preserve">و تصدق بحصته، </w:t>
      </w:r>
      <w:r w:rsidRPr="00E966DB">
        <w:rPr>
          <w:rFonts w:ascii="Traditional Arabic" w:hAnsi="Traditional Arabic" w:hint="cs"/>
          <w:noProof w:val="0"/>
          <w:rtl/>
          <w:lang w:eastAsia="en-US"/>
        </w:rPr>
        <w:t>أو</w:t>
      </w:r>
      <w:r w:rsidRPr="00E966DB">
        <w:rPr>
          <w:rFonts w:ascii="Traditional Arabic" w:hAnsi="Traditional Arabic"/>
          <w:noProof w:val="0"/>
          <w:rtl/>
          <w:lang w:eastAsia="en-US"/>
        </w:rPr>
        <w:t xml:space="preserve"> أ</w:t>
      </w:r>
      <w:r w:rsidR="00073A3B">
        <w:rPr>
          <w:rFonts w:ascii="Traditional Arabic" w:hAnsi="Traditional Arabic" w:hint="cs"/>
          <w:noProof w:val="0"/>
          <w:rtl/>
          <w:lang w:eastAsia="en-US"/>
        </w:rPr>
        <w:t>َ</w:t>
      </w:r>
      <w:r w:rsidRPr="00E966DB">
        <w:rPr>
          <w:rFonts w:ascii="Traditional Arabic" w:hAnsi="Traditional Arabic"/>
          <w:noProof w:val="0"/>
          <w:rtl/>
          <w:lang w:eastAsia="en-US"/>
        </w:rPr>
        <w:t>و</w:t>
      </w:r>
      <w:r w:rsidR="00073A3B">
        <w:rPr>
          <w:rFonts w:ascii="Traditional Arabic" w:hAnsi="Traditional Arabic" w:hint="cs"/>
          <w:noProof w:val="0"/>
          <w:rtl/>
          <w:lang w:eastAsia="en-US"/>
        </w:rPr>
        <w:t>ْ</w:t>
      </w:r>
      <w:r w:rsidRPr="00E966DB">
        <w:rPr>
          <w:rFonts w:ascii="Traditional Arabic" w:hAnsi="Traditional Arabic"/>
          <w:noProof w:val="0"/>
          <w:rtl/>
          <w:lang w:eastAsia="en-US"/>
        </w:rPr>
        <w:t>قفه على الفقراء</w:t>
      </w:r>
      <w:r w:rsidRPr="00E966DB">
        <w:rPr>
          <w:rFonts w:ascii="Traditional Arabic" w:hAnsi="Traditional Arabic" w:hint="cs"/>
          <w:noProof w:val="0"/>
          <w:rtl/>
          <w:lang w:eastAsia="en-US"/>
        </w:rPr>
        <w:t>، فإن لشريكه أن يشفع</w:t>
      </w:r>
      <w:r w:rsidRPr="00C821A1">
        <w:rPr>
          <w:rStyle w:val="af1"/>
          <w:szCs w:val="32"/>
          <w:rtl/>
        </w:rPr>
        <w:t>(</w:t>
      </w:r>
      <w:r w:rsidRPr="00C821A1">
        <w:rPr>
          <w:rStyle w:val="af1"/>
          <w:szCs w:val="32"/>
          <w:rtl/>
        </w:rPr>
        <w:footnoteReference w:id="2258"/>
      </w:r>
      <w:r w:rsidRPr="00C821A1">
        <w:rPr>
          <w:rStyle w:val="af1"/>
          <w:szCs w:val="32"/>
          <w:rtl/>
        </w:rPr>
        <w:t>)</w:t>
      </w:r>
      <w:r w:rsidRPr="00E966DB">
        <w:rPr>
          <w:rFonts w:ascii="Traditional Arabic" w:hAnsi="Traditional Arabic" w:hint="cs"/>
          <w:noProof w:val="0"/>
          <w:rtl/>
          <w:lang w:eastAsia="en-US"/>
        </w:rPr>
        <w:t>.</w:t>
      </w:r>
    </w:p>
    <w:p w:rsidR="006431D6" w:rsidRDefault="006431D6" w:rsidP="00597C20">
      <w:pPr>
        <w:pStyle w:val="53"/>
        <w:rPr>
          <w:rtl/>
        </w:rPr>
      </w:pPr>
      <w:r>
        <w:rPr>
          <w:rFonts w:hint="cs"/>
          <w:rtl/>
        </w:rPr>
        <w:t>وجه اندراج الفرع تحت الضابط:</w:t>
      </w:r>
    </w:p>
    <w:p w:rsidR="006431D6" w:rsidRPr="003D4CB6" w:rsidRDefault="00073A3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إ</w:t>
      </w:r>
      <w:r w:rsidR="006431D6" w:rsidRPr="003D4CB6">
        <w:rPr>
          <w:rFonts w:ascii="Traditional Arabic" w:hAnsi="Traditional Arabic" w:hint="cs"/>
          <w:noProof w:val="0"/>
          <w:rtl/>
          <w:lang w:eastAsia="en-US"/>
        </w:rPr>
        <w:t>ن الملك في هذه المسائل انتقل اختياريا سواء عن طريق الهبة أو الصدقة أو الوقف، وإذا انتقل الملك على وجه اختياري ففيه الشفعة.</w:t>
      </w:r>
    </w:p>
    <w:p w:rsidR="006431D6" w:rsidRDefault="006431D6" w:rsidP="000A76C7">
      <w:pPr>
        <w:pStyle w:val="afc"/>
        <w:widowControl/>
        <w:numPr>
          <w:ilvl w:val="0"/>
          <w:numId w:val="319"/>
        </w:numPr>
        <w:autoSpaceDE w:val="0"/>
        <w:autoSpaceDN w:val="0"/>
        <w:adjustRightInd w:val="0"/>
        <w:rPr>
          <w:rFonts w:ascii="Traditional Arabic" w:hAnsi="Traditional Arabic"/>
          <w:noProof w:val="0"/>
          <w:lang w:eastAsia="en-US"/>
        </w:rPr>
      </w:pPr>
      <w:r>
        <w:rPr>
          <w:rFonts w:ascii="Traditional Arabic" w:hAnsi="Traditional Arabic" w:hint="cs"/>
          <w:noProof w:val="0"/>
          <w:rtl/>
          <w:lang w:eastAsia="en-US"/>
        </w:rPr>
        <w:t>إذا جعل الشريك نصيب</w:t>
      </w:r>
      <w:r w:rsidR="00073A3B">
        <w:rPr>
          <w:rFonts w:ascii="Traditional Arabic" w:hAnsi="Traditional Arabic" w:hint="cs"/>
          <w:noProof w:val="0"/>
          <w:rtl/>
          <w:lang w:eastAsia="en-US"/>
        </w:rPr>
        <w:t>َ</w:t>
      </w:r>
      <w:r>
        <w:rPr>
          <w:rFonts w:ascii="Traditional Arabic" w:hAnsi="Traditional Arabic" w:hint="cs"/>
          <w:noProof w:val="0"/>
          <w:rtl/>
          <w:lang w:eastAsia="en-US"/>
        </w:rPr>
        <w:t>ه صداقاً</w:t>
      </w:r>
      <w:r w:rsidR="00073A3B">
        <w:rPr>
          <w:rFonts w:ascii="Traditional Arabic" w:hAnsi="Traditional Arabic" w:hint="cs"/>
          <w:noProof w:val="0"/>
          <w:rtl/>
          <w:lang w:eastAsia="en-US"/>
        </w:rPr>
        <w:t>،</w:t>
      </w:r>
      <w:r>
        <w:rPr>
          <w:rFonts w:ascii="Traditional Arabic" w:hAnsi="Traditional Arabic" w:hint="cs"/>
          <w:noProof w:val="0"/>
          <w:rtl/>
          <w:lang w:eastAsia="en-US"/>
        </w:rPr>
        <w:t xml:space="preserve"> أو عِوضاً</w:t>
      </w:r>
      <w:r w:rsidR="00073A3B">
        <w:rPr>
          <w:rFonts w:ascii="Traditional Arabic" w:hAnsi="Traditional Arabic" w:hint="cs"/>
          <w:noProof w:val="0"/>
          <w:rtl/>
          <w:lang w:eastAsia="en-US"/>
        </w:rPr>
        <w:t xml:space="preserve"> </w:t>
      </w:r>
      <w:r>
        <w:rPr>
          <w:rFonts w:ascii="Traditional Arabic" w:hAnsi="Traditional Arabic" w:hint="cs"/>
          <w:noProof w:val="0"/>
          <w:rtl/>
          <w:lang w:eastAsia="en-US"/>
        </w:rPr>
        <w:t>في خُلْعٍ</w:t>
      </w:r>
      <w:r w:rsidRPr="00C821A1">
        <w:rPr>
          <w:rStyle w:val="af1"/>
          <w:szCs w:val="32"/>
          <w:rtl/>
        </w:rPr>
        <w:t>(</w:t>
      </w:r>
      <w:r w:rsidRPr="00C821A1">
        <w:rPr>
          <w:rStyle w:val="af1"/>
          <w:szCs w:val="32"/>
          <w:rtl/>
        </w:rPr>
        <w:footnoteReference w:id="2259"/>
      </w:r>
      <w:r w:rsidRPr="00C821A1">
        <w:rPr>
          <w:rStyle w:val="af1"/>
          <w:szCs w:val="32"/>
          <w:rtl/>
        </w:rPr>
        <w:t>)</w:t>
      </w:r>
      <w:r w:rsidR="00073A3B">
        <w:rPr>
          <w:rFonts w:ascii="Traditional Arabic" w:hAnsi="Traditional Arabic" w:hint="cs"/>
          <w:noProof w:val="0"/>
          <w:rtl/>
          <w:lang w:eastAsia="en-US"/>
        </w:rPr>
        <w:t>،</w:t>
      </w:r>
      <w:r>
        <w:rPr>
          <w:rFonts w:ascii="Traditional Arabic" w:hAnsi="Traditional Arabic" w:hint="cs"/>
          <w:noProof w:val="0"/>
          <w:rtl/>
          <w:lang w:eastAsia="en-US"/>
        </w:rPr>
        <w:t xml:space="preserve"> فإن لشريكه أن يشفع</w:t>
      </w:r>
      <w:r w:rsidRPr="00C821A1">
        <w:rPr>
          <w:rStyle w:val="af1"/>
          <w:szCs w:val="32"/>
          <w:rtl/>
        </w:rPr>
        <w:t>(</w:t>
      </w:r>
      <w:r w:rsidRPr="00C821A1">
        <w:rPr>
          <w:rStyle w:val="af1"/>
          <w:szCs w:val="32"/>
          <w:rtl/>
        </w:rPr>
        <w:footnoteReference w:id="2260"/>
      </w:r>
      <w:r w:rsidRPr="00C821A1">
        <w:rPr>
          <w:rStyle w:val="af1"/>
          <w:szCs w:val="32"/>
          <w:rtl/>
        </w:rPr>
        <w:t>)</w:t>
      </w:r>
      <w:r>
        <w:rPr>
          <w:rFonts w:ascii="Traditional Arabic" w:hAnsi="Traditional Arabic" w:hint="cs"/>
          <w:noProof w:val="0"/>
          <w:rtl/>
          <w:lang w:eastAsia="en-US"/>
        </w:rPr>
        <w:t>.</w:t>
      </w:r>
    </w:p>
    <w:p w:rsidR="006431D6" w:rsidRDefault="006431D6" w:rsidP="00597C20">
      <w:pPr>
        <w:pStyle w:val="53"/>
        <w:rPr>
          <w:rtl/>
        </w:rPr>
      </w:pPr>
      <w:r>
        <w:rPr>
          <w:rFonts w:hint="cs"/>
          <w:rtl/>
        </w:rPr>
        <w:lastRenderedPageBreak/>
        <w:t>وجه اندراج الفرع تحت الضابط:</w:t>
      </w:r>
    </w:p>
    <w:p w:rsidR="006431D6" w:rsidRDefault="00073A3B" w:rsidP="00597C20">
      <w:pPr>
        <w:widowControl/>
        <w:autoSpaceDE w:val="0"/>
        <w:autoSpaceDN w:val="0"/>
        <w:adjustRightInd w:val="0"/>
        <w:ind w:firstLine="720"/>
        <w:jc w:val="left"/>
        <w:rPr>
          <w:rFonts w:ascii="Traditional Arabic" w:hAnsi="Traditional Arabic"/>
          <w:noProof w:val="0"/>
          <w:rtl/>
          <w:lang w:eastAsia="en-US"/>
        </w:rPr>
      </w:pPr>
      <w:r>
        <w:rPr>
          <w:rFonts w:ascii="Traditional Arabic" w:hAnsi="Traditional Arabic" w:hint="cs"/>
          <w:noProof w:val="0"/>
          <w:rtl/>
          <w:lang w:eastAsia="en-US"/>
        </w:rPr>
        <w:t>إ</w:t>
      </w:r>
      <w:r w:rsidR="006431D6" w:rsidRPr="003D4CB6">
        <w:rPr>
          <w:rFonts w:ascii="Traditional Arabic" w:hAnsi="Traditional Arabic" w:hint="cs"/>
          <w:noProof w:val="0"/>
          <w:rtl/>
          <w:lang w:eastAsia="en-US"/>
        </w:rPr>
        <w:t>ن الملك انتقل باختيار صاحبه، و</w:t>
      </w:r>
      <w:r w:rsidR="006431D6" w:rsidRPr="003D4CB6">
        <w:rPr>
          <w:rFonts w:ascii="Traditional Arabic" w:hAnsi="Traditional Arabic"/>
          <w:rtl/>
        </w:rPr>
        <w:t>الشفعة تثبت في كل انتقال اختيار</w:t>
      </w:r>
      <w:r w:rsidR="006431D6" w:rsidRPr="003D4CB6">
        <w:rPr>
          <w:rFonts w:ascii="Traditional Arabic" w:hAnsi="Traditional Arabic" w:hint="cs"/>
          <w:rtl/>
        </w:rPr>
        <w:t>ي</w:t>
      </w:r>
      <w:r w:rsidR="006431D6" w:rsidRPr="003D4CB6">
        <w:rPr>
          <w:rFonts w:ascii="Traditional Arabic" w:hAnsi="Traditional Arabic" w:hint="cs"/>
          <w:noProof w:val="0"/>
          <w:rtl/>
          <w:lang w:eastAsia="en-US"/>
        </w:rPr>
        <w:t>.</w:t>
      </w:r>
    </w:p>
    <w:p w:rsidR="00837895" w:rsidRDefault="00837895" w:rsidP="00597C20">
      <w:pPr>
        <w:widowControl/>
        <w:autoSpaceDE w:val="0"/>
        <w:autoSpaceDN w:val="0"/>
        <w:adjustRightInd w:val="0"/>
        <w:ind w:firstLine="720"/>
        <w:jc w:val="left"/>
        <w:rPr>
          <w:rFonts w:ascii="Traditional Arabic" w:hAnsi="Traditional Arabic"/>
          <w:noProof w:val="0"/>
          <w:rtl/>
          <w:lang w:eastAsia="en-US"/>
        </w:rPr>
      </w:pPr>
    </w:p>
    <w:p w:rsidR="00837895" w:rsidRPr="007A6F9A" w:rsidRDefault="00837895" w:rsidP="00A811DB">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837895" w:rsidRPr="003D4CB6" w:rsidRDefault="00837895" w:rsidP="00597C20">
      <w:pPr>
        <w:widowControl/>
        <w:autoSpaceDE w:val="0"/>
        <w:autoSpaceDN w:val="0"/>
        <w:adjustRightInd w:val="0"/>
        <w:ind w:firstLine="720"/>
        <w:jc w:val="left"/>
        <w:rPr>
          <w:rFonts w:ascii="Traditional Arabic" w:hAnsi="Traditional Arabic"/>
          <w:noProof w:val="0"/>
          <w:rtl/>
          <w:lang w:eastAsia="en-US"/>
        </w:rPr>
      </w:pPr>
    </w:p>
    <w:p w:rsidR="006431D6" w:rsidRDefault="00E1798A" w:rsidP="000F5C0F">
      <w:pPr>
        <w:pStyle w:val="aff2"/>
        <w:rPr>
          <w:rtl/>
        </w:rPr>
      </w:pPr>
      <w:bookmarkStart w:id="538" w:name="_Toc334046712"/>
      <w:r w:rsidRPr="00D816CC">
        <w:rPr>
          <w:rFonts w:ascii="Traditional Arabic" w:hAnsi="Traditional Arabic" w:hint="cs"/>
          <w:rtl/>
        </w:rPr>
        <w:lastRenderedPageBreak/>
        <w:t>المبحث الثاني</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6431D6">
        <w:rPr>
          <w:rFonts w:hint="cs"/>
          <w:rtl/>
        </w:rPr>
        <w:t>ضابط</w:t>
      </w:r>
      <w:r w:rsidR="005C189B">
        <w:rPr>
          <w:rtl/>
        </w:rPr>
        <w:br/>
      </w:r>
      <w:r w:rsidR="005C189B">
        <w:rPr>
          <w:rFonts w:hint="cs"/>
          <w:rtl/>
        </w:rPr>
        <w:t>"</w:t>
      </w:r>
      <w:r w:rsidR="006431D6" w:rsidRPr="00FC7509">
        <w:rPr>
          <w:rFonts w:hint="cs"/>
          <w:rtl/>
        </w:rPr>
        <w:t xml:space="preserve">إذا تصرف المشتري </w:t>
      </w:r>
      <w:r w:rsidR="006431D6">
        <w:rPr>
          <w:rFonts w:hint="cs"/>
          <w:rtl/>
        </w:rPr>
        <w:t xml:space="preserve">فيما اشتراه </w:t>
      </w:r>
      <w:r w:rsidR="006431D6" w:rsidRPr="00FC7509">
        <w:rPr>
          <w:rFonts w:hint="cs"/>
          <w:rtl/>
        </w:rPr>
        <w:t>تصرفا ينقل الملك على وجه لا تثبت فيه الشفعة</w:t>
      </w:r>
      <w:r w:rsidR="00837895">
        <w:rPr>
          <w:rFonts w:hint="cs"/>
          <w:rtl/>
        </w:rPr>
        <w:t xml:space="preserve"> </w:t>
      </w:r>
      <w:r w:rsidR="006431D6" w:rsidRPr="00FC7509">
        <w:rPr>
          <w:rFonts w:hint="cs"/>
          <w:rtl/>
        </w:rPr>
        <w:t>ابتداء</w:t>
      </w:r>
      <w:r w:rsidR="00073A3B">
        <w:rPr>
          <w:rFonts w:hint="cs"/>
          <w:rtl/>
        </w:rPr>
        <w:t>،</w:t>
      </w:r>
      <w:r w:rsidR="006431D6" w:rsidRPr="00FC7509">
        <w:rPr>
          <w:rFonts w:hint="cs"/>
          <w:rtl/>
        </w:rPr>
        <w:t xml:space="preserve"> فإن الشفعة تسقط</w:t>
      </w:r>
      <w:r w:rsidR="00AB0B9E">
        <w:rPr>
          <w:rtl/>
        </w:rPr>
        <w:fldChar w:fldCharType="begin"/>
      </w:r>
      <w:r w:rsidR="00945AC4">
        <w:rPr>
          <w:rFonts w:hint="cs"/>
        </w:rPr>
        <w:instrText>XE</w:instrText>
      </w:r>
      <w:r w:rsidR="00945AC4">
        <w:instrText xml:space="preserve"> "</w:instrText>
      </w:r>
      <w:r w:rsidR="00945AC4" w:rsidRPr="00A66F0A">
        <w:rPr>
          <w:rFonts w:cs="Arial" w:hint="cs"/>
          <w:rtl/>
        </w:rPr>
        <w:instrText>إذاتصرفالمشتريفيمااشتراهتصرفاينقلالملكعلىوجهلاتثبتفيهالشفعةابتداءفإنالشفعةتسقط</w:instrText>
      </w:r>
      <w:r w:rsidR="00945AC4">
        <w:rPr>
          <w:rFonts w:cs="Arial"/>
        </w:rPr>
        <w:instrText>"\fd"</w:instrText>
      </w:r>
      <w:r w:rsidR="00AB0B9E">
        <w:rPr>
          <w:rtl/>
        </w:rPr>
        <w:fldChar w:fldCharType="end"/>
      </w:r>
      <w:r w:rsidR="005C189B">
        <w:rPr>
          <w:rFonts w:hint="cs"/>
          <w:rtl/>
        </w:rPr>
        <w:t>"</w:t>
      </w:r>
      <w:r w:rsidR="006431D6" w:rsidRPr="00C821A1">
        <w:rPr>
          <w:rStyle w:val="af1"/>
          <w:bCs w:val="0"/>
          <w:szCs w:val="32"/>
          <w:rtl/>
        </w:rPr>
        <w:t>(</w:t>
      </w:r>
      <w:r w:rsidR="006431D6" w:rsidRPr="00C821A1">
        <w:rPr>
          <w:rStyle w:val="af1"/>
          <w:bCs w:val="0"/>
          <w:szCs w:val="32"/>
          <w:rtl/>
        </w:rPr>
        <w:footnoteReference w:id="2261"/>
      </w:r>
      <w:r w:rsidR="006431D6" w:rsidRPr="00C821A1">
        <w:rPr>
          <w:rStyle w:val="af1"/>
          <w:bCs w:val="0"/>
          <w:szCs w:val="32"/>
          <w:rtl/>
        </w:rPr>
        <w:t>)</w:t>
      </w:r>
      <w:bookmarkEnd w:id="538"/>
    </w:p>
    <w:p w:rsidR="00065E4B" w:rsidRPr="009B3CE9" w:rsidRDefault="00837895" w:rsidP="00A8347C">
      <w:pPr>
        <w:pStyle w:val="aff3"/>
        <w:rPr>
          <w:rtl/>
        </w:rPr>
      </w:pPr>
      <w:bookmarkStart w:id="539" w:name="_Toc334046713"/>
      <w:r>
        <w:rPr>
          <w:rFonts w:hint="cs"/>
          <w:rtl/>
        </w:rPr>
        <w:t xml:space="preserve">                 </w:t>
      </w:r>
      <w:r w:rsidR="00073A3B">
        <w:rPr>
          <w:rFonts w:hint="cs"/>
          <w:rtl/>
        </w:rPr>
        <w:t xml:space="preserve">                      </w:t>
      </w:r>
      <w:r>
        <w:rPr>
          <w:rFonts w:hint="cs"/>
          <w:rtl/>
        </w:rPr>
        <w:t xml:space="preserve"> </w:t>
      </w:r>
      <w:r w:rsidR="009B3CE9" w:rsidRPr="009B3CE9">
        <w:rPr>
          <w:rFonts w:hint="cs"/>
          <w:rtl/>
        </w:rPr>
        <w:t>المطلب الأول</w:t>
      </w:r>
      <w:r w:rsidR="009B3CE9">
        <w:rPr>
          <w:rFonts w:hint="eastAsia"/>
          <w:rtl/>
        </w:rPr>
        <w:t> :</w:t>
      </w:r>
      <w:r w:rsidR="009B3CE9">
        <w:rPr>
          <w:rFonts w:hint="cs"/>
          <w:rtl/>
        </w:rPr>
        <w:br/>
      </w:r>
      <w:r>
        <w:rPr>
          <w:rFonts w:hint="cs"/>
          <w:rtl/>
        </w:rPr>
        <w:t xml:space="preserve">                </w:t>
      </w:r>
      <w:r w:rsidR="00073A3B">
        <w:rPr>
          <w:rFonts w:hint="cs"/>
          <w:rtl/>
        </w:rPr>
        <w:t xml:space="preserve">                         </w:t>
      </w:r>
      <w:r w:rsidR="009B3CE9" w:rsidRPr="009B3CE9">
        <w:rPr>
          <w:rFonts w:hint="cs"/>
          <w:rtl/>
        </w:rPr>
        <w:t>شرح الضابط</w:t>
      </w:r>
      <w:bookmarkEnd w:id="539"/>
    </w:p>
    <w:p w:rsidR="00065E4B" w:rsidRDefault="00065E4B" w:rsidP="00597C20">
      <w:pPr>
        <w:pStyle w:val="53"/>
        <w:rPr>
          <w:rtl/>
        </w:rPr>
      </w:pPr>
      <w:r>
        <w:rPr>
          <w:rFonts w:hint="cs"/>
          <w:rtl/>
        </w:rPr>
        <w:t>م</w:t>
      </w:r>
      <w:r w:rsidR="006431D6">
        <w:rPr>
          <w:rFonts w:hint="cs"/>
          <w:rtl/>
        </w:rPr>
        <w:t>عنى الضابط إجمالا:</w:t>
      </w:r>
    </w:p>
    <w:p w:rsidR="006431D6" w:rsidRDefault="00065E4B" w:rsidP="00597C20">
      <w:pPr>
        <w:ind w:firstLine="720"/>
        <w:rPr>
          <w:rFonts w:ascii="Traditional Arabic" w:hAnsi="Traditional Arabic"/>
          <w:noProof w:val="0"/>
          <w:rtl/>
          <w:lang w:eastAsia="en-US"/>
        </w:rPr>
      </w:pPr>
      <w:r w:rsidRPr="001F1A14">
        <w:rPr>
          <w:rFonts w:hint="cs"/>
          <w:rtl/>
        </w:rPr>
        <w:t>إ</w:t>
      </w:r>
      <w:r w:rsidR="006431D6" w:rsidRPr="001F1A14">
        <w:rPr>
          <w:rFonts w:hint="cs"/>
          <w:rtl/>
        </w:rPr>
        <w:t>ذا تصر</w:t>
      </w:r>
      <w:r w:rsidR="006431D6">
        <w:rPr>
          <w:rFonts w:hint="cs"/>
          <w:rtl/>
        </w:rPr>
        <w:t>َّف م</w:t>
      </w:r>
      <w:r w:rsidR="006431D6" w:rsidRPr="001F1A14">
        <w:rPr>
          <w:rFonts w:hint="cs"/>
          <w:rtl/>
        </w:rPr>
        <w:t xml:space="preserve">شتري </w:t>
      </w:r>
      <w:r w:rsidR="006431D6">
        <w:rPr>
          <w:rFonts w:hint="cs"/>
          <w:rtl/>
        </w:rPr>
        <w:t xml:space="preserve">الشِّقْص </w:t>
      </w:r>
      <w:r w:rsidR="006431D6" w:rsidRPr="001F1A14">
        <w:rPr>
          <w:rFonts w:hint="cs"/>
          <w:rtl/>
        </w:rPr>
        <w:t>فيما اشتراه تصر</w:t>
      </w:r>
      <w:r w:rsidR="006431D6">
        <w:rPr>
          <w:rFonts w:hint="cs"/>
          <w:rtl/>
        </w:rPr>
        <w:t>ُّ</w:t>
      </w:r>
      <w:r w:rsidR="006431D6" w:rsidRPr="001F1A14">
        <w:rPr>
          <w:rFonts w:hint="cs"/>
          <w:rtl/>
        </w:rPr>
        <w:t>فا</w:t>
      </w:r>
      <w:r w:rsidR="006431D6">
        <w:rPr>
          <w:rFonts w:hint="cs"/>
          <w:rtl/>
        </w:rPr>
        <w:t>ً</w:t>
      </w:r>
      <w:r w:rsidR="006431D6" w:rsidRPr="001F1A14">
        <w:rPr>
          <w:rFonts w:hint="cs"/>
          <w:rtl/>
        </w:rPr>
        <w:t xml:space="preserve"> ينق</w:t>
      </w:r>
      <w:r w:rsidR="006431D6">
        <w:rPr>
          <w:rFonts w:hint="cs"/>
          <w:rtl/>
        </w:rPr>
        <w:t>ُ</w:t>
      </w:r>
      <w:r w:rsidR="006431D6" w:rsidRPr="001F1A14">
        <w:rPr>
          <w:rFonts w:hint="cs"/>
          <w:rtl/>
        </w:rPr>
        <w:t>ل الم</w:t>
      </w:r>
      <w:r w:rsidR="006431D6">
        <w:rPr>
          <w:rFonts w:hint="cs"/>
          <w:rtl/>
        </w:rPr>
        <w:t>ِ</w:t>
      </w:r>
      <w:r w:rsidR="006431D6" w:rsidRPr="001F1A14">
        <w:rPr>
          <w:rFonts w:hint="cs"/>
          <w:rtl/>
        </w:rPr>
        <w:t>لك على وجه</w:t>
      </w:r>
      <w:r w:rsidR="006431D6">
        <w:rPr>
          <w:rFonts w:hint="cs"/>
          <w:rtl/>
        </w:rPr>
        <w:t>ٍ</w:t>
      </w:r>
      <w:r w:rsidR="006431D6" w:rsidRPr="001F1A14">
        <w:rPr>
          <w:rFonts w:hint="cs"/>
          <w:rtl/>
        </w:rPr>
        <w:t xml:space="preserve"> لا تثب</w:t>
      </w:r>
      <w:r w:rsidR="006431D6">
        <w:rPr>
          <w:rFonts w:hint="cs"/>
          <w:rtl/>
        </w:rPr>
        <w:t>ُ</w:t>
      </w:r>
      <w:r w:rsidR="006431D6" w:rsidRPr="001F1A14">
        <w:rPr>
          <w:rFonts w:hint="cs"/>
          <w:rtl/>
        </w:rPr>
        <w:t>ت فيه الش</w:t>
      </w:r>
      <w:r w:rsidR="006431D6">
        <w:rPr>
          <w:rFonts w:hint="cs"/>
          <w:rtl/>
        </w:rPr>
        <w:t>ُّ</w:t>
      </w:r>
      <w:r w:rsidR="006431D6" w:rsidRPr="001F1A14">
        <w:rPr>
          <w:rFonts w:hint="cs"/>
          <w:rtl/>
        </w:rPr>
        <w:t>فعة</w:t>
      </w:r>
      <w:r w:rsidRPr="001F1A14">
        <w:rPr>
          <w:rFonts w:hint="cs"/>
          <w:rtl/>
        </w:rPr>
        <w:t>ا</w:t>
      </w:r>
      <w:r w:rsidR="006431D6" w:rsidRPr="001F1A14">
        <w:rPr>
          <w:rFonts w:hint="cs"/>
          <w:rtl/>
        </w:rPr>
        <w:t>بتداء</w:t>
      </w:r>
      <w:r w:rsidR="006431D6">
        <w:rPr>
          <w:rFonts w:hint="cs"/>
          <w:rtl/>
        </w:rPr>
        <w:t>ً</w:t>
      </w:r>
      <w:r w:rsidR="006431D6" w:rsidRPr="00C821A1">
        <w:rPr>
          <w:rStyle w:val="af1"/>
          <w:szCs w:val="32"/>
          <w:rtl/>
        </w:rPr>
        <w:t>(</w:t>
      </w:r>
      <w:r w:rsidR="006431D6" w:rsidRPr="00C821A1">
        <w:rPr>
          <w:rStyle w:val="af1"/>
          <w:szCs w:val="32"/>
          <w:rtl/>
        </w:rPr>
        <w:footnoteReference w:id="2262"/>
      </w:r>
      <w:r w:rsidR="006431D6" w:rsidRPr="00C821A1">
        <w:rPr>
          <w:rStyle w:val="af1"/>
          <w:szCs w:val="32"/>
          <w:rtl/>
        </w:rPr>
        <w:t>)</w:t>
      </w:r>
      <w:r w:rsidR="006431D6" w:rsidRPr="001F1A14">
        <w:rPr>
          <w:rFonts w:hint="cs"/>
          <w:rtl/>
        </w:rPr>
        <w:t xml:space="preserve">، كأن </w:t>
      </w:r>
      <w:r w:rsidR="006431D6" w:rsidRPr="00380D27">
        <w:rPr>
          <w:rFonts w:hint="cs"/>
          <w:rtl/>
        </w:rPr>
        <w:t>ي</w:t>
      </w:r>
      <w:r w:rsidR="006431D6">
        <w:rPr>
          <w:rFonts w:hint="cs"/>
          <w:rtl/>
        </w:rPr>
        <w:t>َ</w:t>
      </w:r>
      <w:r w:rsidR="006431D6" w:rsidRPr="00380D27">
        <w:rPr>
          <w:rFonts w:hint="cs"/>
          <w:rtl/>
        </w:rPr>
        <w:t>ه</w:t>
      </w:r>
      <w:r w:rsidR="006431D6">
        <w:rPr>
          <w:rFonts w:hint="cs"/>
          <w:rtl/>
        </w:rPr>
        <w:t>َ</w:t>
      </w:r>
      <w:r w:rsidR="006431D6" w:rsidRPr="00380D27">
        <w:rPr>
          <w:rFonts w:hint="cs"/>
          <w:rtl/>
        </w:rPr>
        <w:t>به أو</w:t>
      </w:r>
      <w:r w:rsidR="006431D6">
        <w:rPr>
          <w:rFonts w:hint="cs"/>
          <w:rtl/>
        </w:rPr>
        <w:t>يوقِفه أو يتصدق به، فإن الشفعة تسقط؛ لأن</w:t>
      </w:r>
      <w:r w:rsidR="00073A3B">
        <w:rPr>
          <w:rFonts w:ascii="Traditional Arabic" w:hAnsi="Traditional Arabic" w:hint="cs"/>
          <w:noProof w:val="0"/>
          <w:rtl/>
          <w:lang w:eastAsia="en-US"/>
        </w:rPr>
        <w:t xml:space="preserve"> </w:t>
      </w:r>
      <w:r w:rsidR="006431D6" w:rsidRPr="00380D27">
        <w:rPr>
          <w:rFonts w:ascii="Traditional Arabic" w:hAnsi="Traditional Arabic"/>
          <w:noProof w:val="0"/>
          <w:rtl/>
          <w:lang w:eastAsia="en-US"/>
        </w:rPr>
        <w:t xml:space="preserve">الشفعة إنما تثبت فيما إذا انتقل </w:t>
      </w:r>
      <w:r w:rsidR="006431D6">
        <w:rPr>
          <w:rFonts w:ascii="Traditional Arabic" w:hAnsi="Traditional Arabic" w:hint="cs"/>
          <w:noProof w:val="0"/>
          <w:rtl/>
          <w:lang w:eastAsia="en-US"/>
        </w:rPr>
        <w:t xml:space="preserve">الشقص </w:t>
      </w:r>
      <w:r w:rsidR="006431D6" w:rsidRPr="00380D27">
        <w:rPr>
          <w:rFonts w:ascii="Traditional Arabic" w:hAnsi="Traditional Arabic"/>
          <w:noProof w:val="0"/>
          <w:rtl/>
          <w:lang w:eastAsia="en-US"/>
        </w:rPr>
        <w:t>ب</w:t>
      </w:r>
      <w:r w:rsidR="006431D6">
        <w:rPr>
          <w:rFonts w:ascii="Traditional Arabic" w:hAnsi="Traditional Arabic" w:hint="cs"/>
          <w:noProof w:val="0"/>
          <w:rtl/>
          <w:lang w:eastAsia="en-US"/>
        </w:rPr>
        <w:t>ِ</w:t>
      </w:r>
      <w:r w:rsidR="006431D6" w:rsidRPr="00380D27">
        <w:rPr>
          <w:rFonts w:ascii="Traditional Arabic" w:hAnsi="Traditional Arabic"/>
          <w:noProof w:val="0"/>
          <w:rtl/>
          <w:lang w:eastAsia="en-US"/>
        </w:rPr>
        <w:t>ع</w:t>
      </w:r>
      <w:r w:rsidR="006431D6">
        <w:rPr>
          <w:rFonts w:ascii="Traditional Arabic" w:hAnsi="Traditional Arabic" w:hint="cs"/>
          <w:noProof w:val="0"/>
          <w:rtl/>
          <w:lang w:eastAsia="en-US"/>
        </w:rPr>
        <w:t>ِ</w:t>
      </w:r>
      <w:r w:rsidR="006431D6" w:rsidRPr="00380D27">
        <w:rPr>
          <w:rFonts w:ascii="Traditional Arabic" w:hAnsi="Traditional Arabic"/>
          <w:noProof w:val="0"/>
          <w:rtl/>
          <w:lang w:eastAsia="en-US"/>
        </w:rPr>
        <w:t>و</w:t>
      </w:r>
      <w:r w:rsidR="006431D6">
        <w:rPr>
          <w:rFonts w:ascii="Traditional Arabic" w:hAnsi="Traditional Arabic" w:hint="cs"/>
          <w:noProof w:val="0"/>
          <w:rtl/>
          <w:lang w:eastAsia="en-US"/>
        </w:rPr>
        <w:t>َ</w:t>
      </w:r>
      <w:r w:rsidR="006431D6" w:rsidRPr="00380D27">
        <w:rPr>
          <w:rFonts w:ascii="Traditional Arabic" w:hAnsi="Traditional Arabic"/>
          <w:noProof w:val="0"/>
          <w:rtl/>
          <w:lang w:eastAsia="en-US"/>
        </w:rPr>
        <w:t>ض</w:t>
      </w:r>
      <w:r w:rsidR="006431D6">
        <w:rPr>
          <w:rFonts w:ascii="Traditional Arabic" w:hAnsi="Traditional Arabic" w:hint="cs"/>
          <w:noProof w:val="0"/>
          <w:rtl/>
          <w:lang w:eastAsia="en-US"/>
        </w:rPr>
        <w:t>ٍ</w:t>
      </w:r>
      <w:r w:rsidR="006431D6" w:rsidRPr="00380D27">
        <w:rPr>
          <w:rFonts w:ascii="Traditional Arabic" w:hAnsi="Traditional Arabic"/>
          <w:noProof w:val="0"/>
          <w:rtl/>
          <w:lang w:eastAsia="en-US"/>
        </w:rPr>
        <w:t xml:space="preserve"> مالي</w:t>
      </w:r>
      <w:r w:rsidR="006431D6" w:rsidRPr="00C821A1">
        <w:rPr>
          <w:rStyle w:val="af1"/>
          <w:szCs w:val="32"/>
          <w:rtl/>
        </w:rPr>
        <w:t>(</w:t>
      </w:r>
      <w:r w:rsidR="006431D6" w:rsidRPr="00C821A1">
        <w:rPr>
          <w:rStyle w:val="af1"/>
          <w:szCs w:val="32"/>
          <w:rtl/>
        </w:rPr>
        <w:footnoteReference w:id="2263"/>
      </w:r>
      <w:r w:rsidR="006431D6" w:rsidRPr="00C821A1">
        <w:rPr>
          <w:rStyle w:val="af1"/>
          <w:szCs w:val="32"/>
          <w:rtl/>
        </w:rPr>
        <w:t>)</w:t>
      </w:r>
      <w:r w:rsidR="006431D6">
        <w:rPr>
          <w:rFonts w:ascii="Traditional Arabic" w:hAnsi="Traditional Arabic" w:hint="cs"/>
          <w:noProof w:val="0"/>
          <w:rtl/>
          <w:lang w:eastAsia="en-US"/>
        </w:rPr>
        <w:t>، والعوض في الوقف والهبة ليس ماليّاً</w:t>
      </w:r>
      <w:r w:rsidR="006431D6" w:rsidRPr="00C821A1">
        <w:rPr>
          <w:rStyle w:val="af1"/>
          <w:szCs w:val="32"/>
          <w:rtl/>
        </w:rPr>
        <w:t>(</w:t>
      </w:r>
      <w:r w:rsidR="006431D6" w:rsidRPr="00C821A1">
        <w:rPr>
          <w:rStyle w:val="af1"/>
          <w:szCs w:val="32"/>
          <w:rtl/>
        </w:rPr>
        <w:footnoteReference w:id="2264"/>
      </w:r>
      <w:r w:rsidR="006431D6" w:rsidRPr="00C821A1">
        <w:rPr>
          <w:rStyle w:val="af1"/>
          <w:szCs w:val="32"/>
          <w:rtl/>
        </w:rPr>
        <w:t>)</w:t>
      </w:r>
      <w:r w:rsidR="006431D6" w:rsidRPr="008409E3">
        <w:rPr>
          <w:rFonts w:ascii="Traditional Arabic" w:hAnsi="Traditional Arabic"/>
          <w:noProof w:val="0"/>
          <w:rtl/>
          <w:lang w:eastAsia="en-US"/>
        </w:rPr>
        <w:t>.</w:t>
      </w:r>
    </w:p>
    <w:p w:rsidR="00065E4B" w:rsidRPr="009B3CE9" w:rsidRDefault="00837895" w:rsidP="00A8347C">
      <w:pPr>
        <w:pStyle w:val="aff3"/>
        <w:rPr>
          <w:rtl/>
        </w:rPr>
      </w:pPr>
      <w:bookmarkStart w:id="540" w:name="_Toc334046714"/>
      <w:r>
        <w:rPr>
          <w:rFonts w:hint="cs"/>
          <w:rtl/>
        </w:rPr>
        <w:lastRenderedPageBreak/>
        <w:t xml:space="preserve">     </w:t>
      </w:r>
      <w:r w:rsidR="00073A3B">
        <w:rPr>
          <w:rFonts w:hint="cs"/>
          <w:rtl/>
        </w:rPr>
        <w:t xml:space="preserve">                            </w:t>
      </w:r>
      <w:r>
        <w:rPr>
          <w:rFonts w:hint="cs"/>
          <w:rtl/>
        </w:rPr>
        <w:t xml:space="preserve">         </w:t>
      </w:r>
      <w:r w:rsidR="006431D6" w:rsidRPr="009B3CE9">
        <w:rPr>
          <w:rFonts w:hint="cs"/>
          <w:rtl/>
        </w:rPr>
        <w:t>المطلب الثاني</w:t>
      </w:r>
      <w:r w:rsidR="009B3CE9">
        <w:rPr>
          <w:rFonts w:hint="eastAsia"/>
          <w:rtl/>
        </w:rPr>
        <w:t> :</w:t>
      </w:r>
      <w:r w:rsidR="009B3CE9">
        <w:rPr>
          <w:rFonts w:hint="cs"/>
          <w:rtl/>
        </w:rPr>
        <w:br/>
      </w:r>
      <w:r>
        <w:rPr>
          <w:rFonts w:hint="cs"/>
          <w:rtl/>
        </w:rPr>
        <w:t xml:space="preserve">            </w:t>
      </w:r>
      <w:r w:rsidR="00073A3B">
        <w:rPr>
          <w:rFonts w:hint="cs"/>
          <w:rtl/>
        </w:rPr>
        <w:t xml:space="preserve">                               </w:t>
      </w:r>
      <w:r w:rsidR="00A811DB">
        <w:rPr>
          <w:rFonts w:hint="cs"/>
          <w:rtl/>
        </w:rPr>
        <w:t xml:space="preserve"> </w:t>
      </w:r>
      <w:r w:rsidR="006431D6" w:rsidRPr="009B3CE9">
        <w:rPr>
          <w:rFonts w:hint="cs"/>
          <w:rtl/>
        </w:rPr>
        <w:t>أدلة الضابط</w:t>
      </w:r>
      <w:bookmarkEnd w:id="540"/>
    </w:p>
    <w:p w:rsidR="00F228A9" w:rsidRPr="00C13A2B" w:rsidRDefault="00065E4B" w:rsidP="00597C20">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ي</w:t>
      </w:r>
      <w:r w:rsidR="006431D6">
        <w:rPr>
          <w:rFonts w:ascii="Traditional Arabic" w:hAnsi="Traditional Arabic" w:hint="cs"/>
          <w:noProof w:val="0"/>
          <w:rtl/>
          <w:lang w:eastAsia="en-US"/>
        </w:rPr>
        <w:t>مكن أن يُستدل لهذا الضابط من جهة المعنى بأن المشتري إذا تصرف في الشقص بما لا تثبت به الشفعة ابتداءً، كوقفه وهبته والتصدُّق به، فإن الشفعة تسقط؛ لما فيه من الإضرار بالموهوب له والموقوف عليه والمتصدَّق عليه؛ لأنهم مَلَكوه بغير عوض، وسيزول عنهم ملكه بالشفعة بغير عوض؛ لأن الثمن سيأخذه المشتري، والضرر لا يُزال بالضرر</w:t>
      </w:r>
      <w:r w:rsidR="006431D6" w:rsidRPr="00C821A1">
        <w:rPr>
          <w:rStyle w:val="af1"/>
          <w:szCs w:val="32"/>
          <w:rtl/>
        </w:rPr>
        <w:t>(</w:t>
      </w:r>
      <w:r w:rsidR="006431D6" w:rsidRPr="00C821A1">
        <w:rPr>
          <w:rStyle w:val="af1"/>
          <w:szCs w:val="32"/>
          <w:rtl/>
        </w:rPr>
        <w:footnoteReference w:id="2265"/>
      </w:r>
      <w:r w:rsidR="006431D6" w:rsidRPr="00C821A1">
        <w:rPr>
          <w:rStyle w:val="af1"/>
          <w:szCs w:val="32"/>
          <w:rtl/>
        </w:rPr>
        <w:t>)</w:t>
      </w:r>
      <w:r w:rsidR="006431D6">
        <w:rPr>
          <w:rFonts w:ascii="Traditional Arabic" w:hAnsi="Traditional Arabic" w:hint="cs"/>
          <w:noProof w:val="0"/>
          <w:rtl/>
          <w:lang w:eastAsia="en-US"/>
        </w:rPr>
        <w:t>.</w:t>
      </w:r>
    </w:p>
    <w:p w:rsidR="006431D6" w:rsidRPr="00216282" w:rsidRDefault="00837895" w:rsidP="00A8347C">
      <w:pPr>
        <w:pStyle w:val="aff3"/>
        <w:rPr>
          <w:rtl/>
        </w:rPr>
      </w:pPr>
      <w:bookmarkStart w:id="541" w:name="_Toc334046715"/>
      <w:r>
        <w:rPr>
          <w:rFonts w:hint="cs"/>
          <w:rtl/>
        </w:rPr>
        <w:t xml:space="preserve">              </w:t>
      </w:r>
      <w:r w:rsidR="00073A3B">
        <w:rPr>
          <w:rFonts w:hint="cs"/>
          <w:rtl/>
        </w:rPr>
        <w:t xml:space="preserve">                           </w:t>
      </w:r>
      <w:r w:rsidR="006431D6">
        <w:rPr>
          <w:rFonts w:hint="cs"/>
          <w:rtl/>
        </w:rPr>
        <w:t>المطلب الثالث</w:t>
      </w:r>
      <w:r w:rsidR="009B3CE9">
        <w:rPr>
          <w:rFonts w:hint="eastAsia"/>
          <w:rtl/>
        </w:rPr>
        <w:t> :</w:t>
      </w:r>
      <w:r w:rsidR="009B3CE9">
        <w:rPr>
          <w:rFonts w:hint="cs"/>
          <w:rtl/>
        </w:rPr>
        <w:br/>
      </w:r>
      <w:r>
        <w:rPr>
          <w:rFonts w:hint="cs"/>
          <w:rtl/>
        </w:rPr>
        <w:t xml:space="preserve">            </w:t>
      </w:r>
      <w:r w:rsidR="0070556A">
        <w:rPr>
          <w:rFonts w:hint="cs"/>
          <w:rtl/>
        </w:rPr>
        <w:t xml:space="preserve">                            </w:t>
      </w:r>
      <w:r w:rsidR="006431D6">
        <w:rPr>
          <w:rFonts w:hint="cs"/>
          <w:rtl/>
        </w:rPr>
        <w:t>تطبيقات الضابط</w:t>
      </w:r>
      <w:bookmarkEnd w:id="541"/>
    </w:p>
    <w:p w:rsidR="00065E4B" w:rsidRPr="00216282" w:rsidRDefault="006431D6" w:rsidP="000A76C7">
      <w:pPr>
        <w:pStyle w:val="afc"/>
        <w:widowControl/>
        <w:numPr>
          <w:ilvl w:val="0"/>
          <w:numId w:val="320"/>
        </w:numPr>
        <w:autoSpaceDE w:val="0"/>
        <w:autoSpaceDN w:val="0"/>
        <w:adjustRightInd w:val="0"/>
        <w:rPr>
          <w:rFonts w:ascii="Traditional Arabic" w:hAnsi="Traditional Arabic"/>
          <w:noProof w:val="0"/>
          <w:rtl/>
          <w:lang w:eastAsia="en-US"/>
        </w:rPr>
      </w:pPr>
      <w:r w:rsidRPr="00216282">
        <w:rPr>
          <w:rFonts w:ascii="Traditional Arabic" w:hAnsi="Traditional Arabic"/>
          <w:noProof w:val="0"/>
          <w:rtl/>
          <w:lang w:eastAsia="en-US"/>
        </w:rPr>
        <w:t>إ</w:t>
      </w:r>
      <w:r w:rsidRPr="00216282">
        <w:rPr>
          <w:rFonts w:ascii="Traditional Arabic" w:hAnsi="Traditional Arabic" w:hint="cs"/>
          <w:noProof w:val="0"/>
          <w:rtl/>
          <w:lang w:eastAsia="en-US"/>
        </w:rPr>
        <w:t>ذا</w:t>
      </w:r>
      <w:r w:rsidRPr="00216282">
        <w:rPr>
          <w:rFonts w:ascii="Traditional Arabic" w:hAnsi="Traditional Arabic"/>
          <w:noProof w:val="0"/>
          <w:rtl/>
          <w:lang w:eastAsia="en-US"/>
        </w:rPr>
        <w:t xml:space="preserve"> تص</w:t>
      </w:r>
      <w:r w:rsidRPr="00216282">
        <w:rPr>
          <w:rFonts w:ascii="Traditional Arabic" w:hAnsi="Traditional Arabic" w:hint="cs"/>
          <w:noProof w:val="0"/>
          <w:rtl/>
          <w:lang w:eastAsia="en-US"/>
        </w:rPr>
        <w:t>رف</w:t>
      </w:r>
      <w:r w:rsidRPr="00216282">
        <w:rPr>
          <w:rFonts w:ascii="Traditional Arabic" w:hAnsi="Traditional Arabic"/>
          <w:noProof w:val="0"/>
          <w:rtl/>
          <w:lang w:eastAsia="en-US"/>
        </w:rPr>
        <w:t xml:space="preserve"> مشتري الشقص</w:t>
      </w:r>
      <w:r w:rsidRPr="00216282">
        <w:rPr>
          <w:rFonts w:ascii="Traditional Arabic" w:hAnsi="Traditional Arabic" w:hint="cs"/>
          <w:noProof w:val="0"/>
          <w:rtl/>
          <w:lang w:eastAsia="en-US"/>
        </w:rPr>
        <w:t xml:space="preserve"> ب</w:t>
      </w:r>
      <w:r>
        <w:rPr>
          <w:rFonts w:ascii="Traditional Arabic" w:hAnsi="Traditional Arabic" w:hint="cs"/>
          <w:noProof w:val="0"/>
          <w:rtl/>
          <w:lang w:eastAsia="en-US"/>
        </w:rPr>
        <w:t>ِ</w:t>
      </w:r>
      <w:r w:rsidRPr="00216282">
        <w:rPr>
          <w:rFonts w:ascii="Traditional Arabic" w:hAnsi="Traditional Arabic" w:hint="cs"/>
          <w:noProof w:val="0"/>
          <w:rtl/>
          <w:lang w:eastAsia="en-US"/>
        </w:rPr>
        <w:t>و</w:t>
      </w:r>
      <w:r>
        <w:rPr>
          <w:rFonts w:ascii="Traditional Arabic" w:hAnsi="Traditional Arabic" w:hint="cs"/>
          <w:noProof w:val="0"/>
          <w:rtl/>
          <w:lang w:eastAsia="en-US"/>
        </w:rPr>
        <w:t>َ</w:t>
      </w:r>
      <w:r w:rsidRPr="00216282">
        <w:rPr>
          <w:rFonts w:ascii="Traditional Arabic" w:hAnsi="Traditional Arabic" w:hint="cs"/>
          <w:noProof w:val="0"/>
          <w:rtl/>
          <w:lang w:eastAsia="en-US"/>
        </w:rPr>
        <w:t>ق</w:t>
      </w:r>
      <w:r>
        <w:rPr>
          <w:rFonts w:ascii="Traditional Arabic" w:hAnsi="Traditional Arabic" w:hint="cs"/>
          <w:noProof w:val="0"/>
          <w:rtl/>
          <w:lang w:eastAsia="en-US"/>
        </w:rPr>
        <w:t>ْ</w:t>
      </w:r>
      <w:r w:rsidRPr="00216282">
        <w:rPr>
          <w:rFonts w:ascii="Traditional Arabic" w:hAnsi="Traditional Arabic" w:hint="cs"/>
          <w:noProof w:val="0"/>
          <w:rtl/>
          <w:lang w:eastAsia="en-US"/>
        </w:rPr>
        <w:t>ف</w:t>
      </w:r>
      <w:r>
        <w:rPr>
          <w:rFonts w:ascii="Traditional Arabic" w:hAnsi="Traditional Arabic" w:hint="cs"/>
          <w:noProof w:val="0"/>
          <w:rtl/>
          <w:lang w:eastAsia="en-US"/>
        </w:rPr>
        <w:t>ِ</w:t>
      </w:r>
      <w:r w:rsidRPr="00216282">
        <w:rPr>
          <w:rFonts w:ascii="Traditional Arabic" w:hAnsi="Traditional Arabic" w:hint="cs"/>
          <w:noProof w:val="0"/>
          <w:rtl/>
          <w:lang w:eastAsia="en-US"/>
        </w:rPr>
        <w:t>ه</w:t>
      </w:r>
      <w:r>
        <w:rPr>
          <w:rFonts w:ascii="Traditional Arabic" w:hAnsi="Traditional Arabic" w:hint="cs"/>
          <w:noProof w:val="0"/>
          <w:rtl/>
          <w:lang w:eastAsia="en-US"/>
        </w:rPr>
        <w:t xml:space="preserve"> أو هِبته</w:t>
      </w:r>
      <w:r w:rsidRPr="00216282">
        <w:rPr>
          <w:rFonts w:ascii="Traditional Arabic" w:hAnsi="Traditional Arabic"/>
          <w:noProof w:val="0"/>
          <w:rtl/>
          <w:lang w:eastAsia="en-US"/>
        </w:rPr>
        <w:t xml:space="preserve">، </w:t>
      </w:r>
      <w:r w:rsidRPr="007E3748">
        <w:rPr>
          <w:rFonts w:ascii="Traditional Arabic" w:hAnsi="Traditional Arabic"/>
          <w:noProof w:val="0"/>
          <w:rtl/>
          <w:lang w:eastAsia="en-US"/>
        </w:rPr>
        <w:t>أو جعله صداقا</w:t>
      </w:r>
      <w:r>
        <w:rPr>
          <w:rFonts w:ascii="Traditional Arabic" w:hAnsi="Traditional Arabic" w:hint="cs"/>
          <w:noProof w:val="0"/>
          <w:rtl/>
          <w:lang w:eastAsia="en-US"/>
        </w:rPr>
        <w:t>ً</w:t>
      </w:r>
      <w:r w:rsidRPr="007E3748">
        <w:rPr>
          <w:rFonts w:ascii="Traditional Arabic" w:hAnsi="Traditional Arabic"/>
          <w:noProof w:val="0"/>
          <w:rtl/>
          <w:lang w:eastAsia="en-US"/>
        </w:rPr>
        <w:t>، أو جعل</w:t>
      </w:r>
      <w:r>
        <w:rPr>
          <w:rFonts w:ascii="Traditional Arabic" w:hAnsi="Traditional Arabic" w:hint="cs"/>
          <w:noProof w:val="0"/>
          <w:rtl/>
          <w:lang w:eastAsia="en-US"/>
        </w:rPr>
        <w:t>َ</w:t>
      </w:r>
      <w:r w:rsidRPr="007E3748">
        <w:rPr>
          <w:rFonts w:ascii="Traditional Arabic" w:hAnsi="Traditional Arabic"/>
          <w:noProof w:val="0"/>
          <w:rtl/>
          <w:lang w:eastAsia="en-US"/>
        </w:rPr>
        <w:t>ته المرأة عوضا</w:t>
      </w:r>
      <w:r>
        <w:rPr>
          <w:rFonts w:ascii="Traditional Arabic" w:hAnsi="Traditional Arabic" w:hint="cs"/>
          <w:noProof w:val="0"/>
          <w:rtl/>
          <w:lang w:eastAsia="en-US"/>
        </w:rPr>
        <w:t>ً</w:t>
      </w:r>
      <w:r w:rsidRPr="007E3748">
        <w:rPr>
          <w:rFonts w:ascii="Traditional Arabic" w:hAnsi="Traditional Arabic"/>
          <w:noProof w:val="0"/>
          <w:rtl/>
          <w:lang w:eastAsia="en-US"/>
        </w:rPr>
        <w:t xml:space="preserve"> عن خلع</w:t>
      </w:r>
      <w:r>
        <w:rPr>
          <w:rFonts w:ascii="Traditional Arabic" w:hAnsi="Traditional Arabic" w:hint="cs"/>
          <w:noProof w:val="0"/>
          <w:rtl/>
          <w:lang w:eastAsia="en-US"/>
        </w:rPr>
        <w:t xml:space="preserve">ٍ، </w:t>
      </w:r>
      <w:r w:rsidRPr="00216282">
        <w:rPr>
          <w:rFonts w:ascii="Traditional Arabic" w:hAnsi="Traditional Arabic"/>
          <w:noProof w:val="0"/>
          <w:rtl/>
          <w:lang w:eastAsia="en-US"/>
        </w:rPr>
        <w:t>فإن الشفعة تسق</w:t>
      </w:r>
      <w:r w:rsidRPr="00216282">
        <w:rPr>
          <w:rFonts w:ascii="Traditional Arabic" w:hAnsi="Traditional Arabic" w:hint="cs"/>
          <w:noProof w:val="0"/>
          <w:rtl/>
          <w:lang w:eastAsia="en-US"/>
        </w:rPr>
        <w:t>ط</w:t>
      </w:r>
      <w:r w:rsidRPr="00216282">
        <w:rPr>
          <w:rFonts w:ascii="Traditional Arabic" w:hAnsi="Traditional Arabic"/>
          <w:noProof w:val="0"/>
          <w:rtl/>
          <w:lang w:eastAsia="en-US"/>
        </w:rPr>
        <w:t>؛ لأن الشقص انتقل بعقد</w:t>
      </w:r>
      <w:r w:rsidRPr="00216282">
        <w:rPr>
          <w:rFonts w:ascii="Traditional Arabic" w:hAnsi="Traditional Arabic" w:hint="cs"/>
          <w:noProof w:val="0"/>
          <w:rtl/>
          <w:lang w:eastAsia="en-US"/>
        </w:rPr>
        <w:t>ٍ</w:t>
      </w:r>
      <w:r w:rsidRPr="00216282">
        <w:rPr>
          <w:rFonts w:ascii="Traditional Arabic" w:hAnsi="Traditional Arabic"/>
          <w:noProof w:val="0"/>
          <w:rtl/>
          <w:lang w:eastAsia="en-US"/>
        </w:rPr>
        <w:t xml:space="preserve"> لا تثب</w:t>
      </w:r>
      <w:r w:rsidRPr="00216282">
        <w:rPr>
          <w:rFonts w:ascii="Traditional Arabic" w:hAnsi="Traditional Arabic" w:hint="cs"/>
          <w:noProof w:val="0"/>
          <w:rtl/>
          <w:lang w:eastAsia="en-US"/>
        </w:rPr>
        <w:t>ُ</w:t>
      </w:r>
      <w:r w:rsidRPr="00216282">
        <w:rPr>
          <w:rFonts w:ascii="Traditional Arabic" w:hAnsi="Traditional Arabic"/>
          <w:noProof w:val="0"/>
          <w:rtl/>
          <w:lang w:eastAsia="en-US"/>
        </w:rPr>
        <w:t xml:space="preserve">ت به الشفعة؛ لأن الشفعة إنما تثبت فيما إذا انتقل </w:t>
      </w:r>
      <w:r>
        <w:rPr>
          <w:rFonts w:ascii="Traditional Arabic" w:hAnsi="Traditional Arabic" w:hint="cs"/>
          <w:noProof w:val="0"/>
          <w:rtl/>
          <w:lang w:eastAsia="en-US"/>
        </w:rPr>
        <w:t xml:space="preserve">الملك </w:t>
      </w:r>
      <w:r w:rsidRPr="00216282">
        <w:rPr>
          <w:rFonts w:ascii="Traditional Arabic" w:hAnsi="Traditional Arabic"/>
          <w:noProof w:val="0"/>
          <w:rtl/>
          <w:lang w:eastAsia="en-US"/>
        </w:rPr>
        <w:t>بعوض مالي</w:t>
      </w:r>
      <w:r>
        <w:rPr>
          <w:rFonts w:ascii="Traditional Arabic" w:hAnsi="Traditional Arabic" w:hint="cs"/>
          <w:noProof w:val="0"/>
          <w:rtl/>
          <w:lang w:eastAsia="en-US"/>
        </w:rPr>
        <w:t>،</w:t>
      </w:r>
      <w:r w:rsidRPr="00216282">
        <w:rPr>
          <w:rFonts w:ascii="Traditional Arabic" w:hAnsi="Traditional Arabic"/>
          <w:noProof w:val="0"/>
          <w:rtl/>
          <w:lang w:eastAsia="en-US"/>
        </w:rPr>
        <w:t xml:space="preserve"> وهنا انتقل الملك بغير عوض مالي.</w:t>
      </w:r>
    </w:p>
    <w:p w:rsidR="00065E4B" w:rsidRDefault="00065E4B" w:rsidP="00597C20">
      <w:pPr>
        <w:widowControl/>
        <w:autoSpaceDE w:val="0"/>
        <w:autoSpaceDN w:val="0"/>
        <w:adjustRightInd w:val="0"/>
        <w:ind w:firstLine="720"/>
        <w:rPr>
          <w:rFonts w:ascii="Traditional Arabic" w:hAnsi="Traditional Arabic"/>
          <w:noProof w:val="0"/>
          <w:rtl/>
          <w:lang w:eastAsia="en-US"/>
        </w:rPr>
      </w:pPr>
      <w:r w:rsidRPr="00216282">
        <w:rPr>
          <w:rFonts w:ascii="Traditional Arabic" w:hAnsi="Traditional Arabic"/>
          <w:noProof w:val="0"/>
          <w:rtl/>
          <w:lang w:eastAsia="en-US"/>
        </w:rPr>
        <w:t>و</w:t>
      </w:r>
      <w:r w:rsidR="006431D6" w:rsidRPr="00216282">
        <w:rPr>
          <w:rFonts w:ascii="Traditional Arabic" w:hAnsi="Traditional Arabic"/>
          <w:noProof w:val="0"/>
          <w:rtl/>
          <w:lang w:eastAsia="en-US"/>
        </w:rPr>
        <w:t>مثل ذلك أن يصير الشقص وقفا بمجرد الشراء، وذلك بأن يكون المال الذي اشتراه به المشتري بدلا</w:t>
      </w:r>
      <w:r w:rsidR="006431D6">
        <w:rPr>
          <w:rFonts w:ascii="Traditional Arabic" w:hAnsi="Traditional Arabic" w:hint="cs"/>
          <w:noProof w:val="0"/>
          <w:rtl/>
          <w:lang w:eastAsia="en-US"/>
        </w:rPr>
        <w:t>ً</w:t>
      </w:r>
      <w:r w:rsidR="006431D6" w:rsidRPr="00216282">
        <w:rPr>
          <w:rFonts w:ascii="Traditional Arabic" w:hAnsi="Traditional Arabic"/>
          <w:noProof w:val="0"/>
          <w:rtl/>
          <w:lang w:eastAsia="en-US"/>
        </w:rPr>
        <w:t xml:space="preserve"> عن وقف</w:t>
      </w:r>
      <w:r w:rsidR="006431D6">
        <w:rPr>
          <w:rFonts w:ascii="Traditional Arabic" w:hAnsi="Traditional Arabic" w:hint="cs"/>
          <w:noProof w:val="0"/>
          <w:rtl/>
          <w:lang w:eastAsia="en-US"/>
        </w:rPr>
        <w:t>ِ</w:t>
      </w:r>
      <w:r w:rsidR="006431D6" w:rsidRPr="00216282">
        <w:rPr>
          <w:rFonts w:ascii="Traditional Arabic" w:hAnsi="Traditional Arabic"/>
          <w:noProof w:val="0"/>
          <w:rtl/>
          <w:lang w:eastAsia="en-US"/>
        </w:rPr>
        <w:t xml:space="preserve"> بيع</w:t>
      </w:r>
      <w:r w:rsidR="006431D6">
        <w:rPr>
          <w:rFonts w:ascii="Traditional Arabic" w:hAnsi="Traditional Arabic" w:hint="cs"/>
          <w:noProof w:val="0"/>
          <w:rtl/>
          <w:lang w:eastAsia="en-US"/>
        </w:rPr>
        <w:t>ٍ</w:t>
      </w:r>
      <w:r w:rsidR="006431D6" w:rsidRPr="00C821A1">
        <w:rPr>
          <w:rStyle w:val="af1"/>
          <w:szCs w:val="32"/>
          <w:rtl/>
        </w:rPr>
        <w:t>(</w:t>
      </w:r>
      <w:r w:rsidR="006431D6" w:rsidRPr="00C821A1">
        <w:rPr>
          <w:rStyle w:val="af1"/>
          <w:szCs w:val="32"/>
          <w:rtl/>
        </w:rPr>
        <w:footnoteReference w:id="2266"/>
      </w:r>
      <w:r w:rsidR="006431D6" w:rsidRPr="00C821A1">
        <w:rPr>
          <w:rStyle w:val="af1"/>
          <w:szCs w:val="32"/>
          <w:rtl/>
        </w:rPr>
        <w:t>)</w:t>
      </w:r>
      <w:r w:rsidR="006431D6" w:rsidRPr="00216282">
        <w:rPr>
          <w:rFonts w:ascii="Traditional Arabic" w:hAnsi="Traditional Arabic" w:hint="cs"/>
          <w:noProof w:val="0"/>
          <w:rtl/>
          <w:lang w:eastAsia="en-US"/>
        </w:rPr>
        <w:t>.</w:t>
      </w:r>
    </w:p>
    <w:p w:rsidR="006431D6" w:rsidRDefault="00065E4B" w:rsidP="00597C20">
      <w:pPr>
        <w:pStyle w:val="53"/>
        <w:rPr>
          <w:rtl/>
        </w:rPr>
      </w:pPr>
      <w:r>
        <w:rPr>
          <w:rFonts w:hint="cs"/>
          <w:rtl/>
        </w:rPr>
        <w:t>و</w:t>
      </w:r>
      <w:r w:rsidR="006431D6">
        <w:rPr>
          <w:rFonts w:hint="cs"/>
          <w:rtl/>
        </w:rPr>
        <w:t>جه اندراج الفرع تحت الضابط:</w:t>
      </w:r>
    </w:p>
    <w:p w:rsidR="00837895" w:rsidRDefault="00073A3B" w:rsidP="00A811DB">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noProof w:val="0"/>
          <w:rtl/>
          <w:lang w:eastAsia="en-US"/>
        </w:rPr>
        <w:t>إ</w:t>
      </w:r>
      <w:r w:rsidR="006431D6">
        <w:rPr>
          <w:rFonts w:ascii="Traditional Arabic" w:hAnsi="Traditional Arabic" w:hint="cs"/>
          <w:noProof w:val="0"/>
          <w:rtl/>
          <w:lang w:eastAsia="en-US"/>
        </w:rPr>
        <w:t>ن مشتري الشقص تصرف في فيه تصرفا على وجه لا تثبت به الشفعة ابتداءً؛ لأن الشفعة لا تثبت فيما إذا انتقل الملك بعوض غير مالي؛ فلهذا فإن الشفعة تسقط.</w:t>
      </w:r>
    </w:p>
    <w:p w:rsidR="005C189B" w:rsidRDefault="00E1798A" w:rsidP="000F5C0F">
      <w:pPr>
        <w:pStyle w:val="aff2"/>
        <w:rPr>
          <w:rStyle w:val="af1"/>
          <w:rtl/>
        </w:rPr>
      </w:pPr>
      <w:bookmarkStart w:id="542" w:name="_Toc334046716"/>
      <w:r w:rsidRPr="00D816CC">
        <w:rPr>
          <w:rFonts w:ascii="Traditional Arabic" w:hAnsi="Traditional Arabic" w:hint="cs"/>
          <w:rtl/>
        </w:rPr>
        <w:lastRenderedPageBreak/>
        <w:t>المبحث الثالث</w:t>
      </w:r>
      <w:r>
        <w:rPr>
          <w:rFonts w:ascii="Traditional Arabic" w:hAnsi="Traditional Arabic" w:hint="eastAsia"/>
          <w:rtl/>
        </w:rPr>
        <w:t> </w:t>
      </w:r>
      <w:r w:rsidRPr="00D816CC">
        <w:rPr>
          <w:rFonts w:ascii="Traditional Arabic" w:hAnsi="Traditional Arabic" w:hint="cs"/>
          <w:rtl/>
        </w:rPr>
        <w:t>:</w:t>
      </w:r>
      <w:r>
        <w:rPr>
          <w:rFonts w:ascii="Traditional Arabic" w:hAnsi="Traditional Arabic"/>
          <w:rtl/>
        </w:rPr>
        <w:br/>
      </w:r>
      <w:r w:rsidR="005C189B">
        <w:rPr>
          <w:rFonts w:hint="cs"/>
          <w:rtl/>
        </w:rPr>
        <w:t>ضابط</w:t>
      </w:r>
      <w:r w:rsidR="005C189B">
        <w:rPr>
          <w:rtl/>
        </w:rPr>
        <w:br/>
      </w:r>
      <w:r w:rsidR="005C189B">
        <w:rPr>
          <w:rFonts w:hint="cs"/>
          <w:rtl/>
        </w:rPr>
        <w:t>"إذا عيَّن المودِع الحرز، فأحرز المودَع الوديعة فيما هو أشد، فلا ضمان</w:t>
      </w:r>
      <w:r w:rsidR="00AB0B9E">
        <w:rPr>
          <w:rtl/>
        </w:rPr>
        <w:fldChar w:fldCharType="begin"/>
      </w:r>
      <w:r w:rsidR="00945AC4">
        <w:rPr>
          <w:rFonts w:hint="cs"/>
        </w:rPr>
        <w:instrText>XE</w:instrText>
      </w:r>
      <w:r w:rsidR="00945AC4">
        <w:instrText xml:space="preserve"> "</w:instrText>
      </w:r>
      <w:r w:rsidR="00945AC4" w:rsidRPr="00A66F0A">
        <w:rPr>
          <w:rFonts w:cs="Arial" w:hint="cs"/>
          <w:rtl/>
        </w:rPr>
        <w:instrText>إذاعيَّنالمودِعالحرز،فأحرزالمودَعالوديعةفيماهوأشد،فلاضمان</w:instrText>
      </w:r>
      <w:r w:rsidR="00945AC4">
        <w:rPr>
          <w:rFonts w:cs="Arial"/>
        </w:rPr>
        <w:instrText>"\fd"</w:instrText>
      </w:r>
      <w:r w:rsidR="00AB0B9E">
        <w:rPr>
          <w:rtl/>
        </w:rPr>
        <w:fldChar w:fldCharType="end"/>
      </w:r>
      <w:r w:rsidR="005C189B">
        <w:rPr>
          <w:rFonts w:hint="cs"/>
          <w:rtl/>
        </w:rPr>
        <w:t>"</w:t>
      </w:r>
      <w:r w:rsidR="005C189B" w:rsidRPr="00C821A1">
        <w:rPr>
          <w:rStyle w:val="af1"/>
          <w:bCs w:val="0"/>
          <w:szCs w:val="32"/>
          <w:rtl/>
        </w:rPr>
        <w:t>(</w:t>
      </w:r>
      <w:r w:rsidR="005C189B" w:rsidRPr="00C821A1">
        <w:rPr>
          <w:rStyle w:val="af1"/>
          <w:bCs w:val="0"/>
          <w:szCs w:val="32"/>
          <w:rtl/>
        </w:rPr>
        <w:footnoteReference w:id="2267"/>
      </w:r>
      <w:r w:rsidR="005C189B" w:rsidRPr="00C821A1">
        <w:rPr>
          <w:rStyle w:val="af1"/>
          <w:bCs w:val="0"/>
          <w:szCs w:val="32"/>
          <w:rtl/>
        </w:rPr>
        <w:t>)</w:t>
      </w:r>
      <w:bookmarkEnd w:id="542"/>
    </w:p>
    <w:p w:rsidR="005C189B" w:rsidRPr="009B3CE9" w:rsidRDefault="00837895" w:rsidP="00A8347C">
      <w:pPr>
        <w:pStyle w:val="aff3"/>
        <w:rPr>
          <w:rtl/>
        </w:rPr>
      </w:pPr>
      <w:bookmarkStart w:id="543" w:name="_Toc334046717"/>
      <w:r>
        <w:rPr>
          <w:rFonts w:hint="cs"/>
          <w:rtl/>
        </w:rPr>
        <w:t xml:space="preserve">                       </w:t>
      </w:r>
      <w:r w:rsidR="00073A3B">
        <w:rPr>
          <w:rFonts w:hint="cs"/>
          <w:rtl/>
        </w:rPr>
        <w:t xml:space="preserve">                    </w:t>
      </w:r>
      <w:r w:rsidR="005C189B" w:rsidRPr="009B3CE9">
        <w:rPr>
          <w:rFonts w:hint="cs"/>
          <w:rtl/>
        </w:rPr>
        <w:t>المطلب الأول</w:t>
      </w:r>
      <w:r w:rsidR="009B3CE9">
        <w:rPr>
          <w:rFonts w:hint="eastAsia"/>
          <w:rtl/>
        </w:rPr>
        <w:t> :</w:t>
      </w:r>
      <w:r w:rsidR="009B3CE9">
        <w:rPr>
          <w:rFonts w:hint="cs"/>
          <w:rtl/>
        </w:rPr>
        <w:br/>
      </w:r>
      <w:r>
        <w:rPr>
          <w:rFonts w:hint="cs"/>
          <w:rtl/>
        </w:rPr>
        <w:t xml:space="preserve">                       </w:t>
      </w:r>
      <w:r w:rsidR="00073A3B">
        <w:rPr>
          <w:rFonts w:hint="cs"/>
          <w:rtl/>
        </w:rPr>
        <w:t xml:space="preserve">                     </w:t>
      </w:r>
      <w:r w:rsidR="005C189B" w:rsidRPr="009B3CE9">
        <w:rPr>
          <w:rFonts w:hint="cs"/>
          <w:rtl/>
        </w:rPr>
        <w:t>شرح الضابط</w:t>
      </w:r>
      <w:bookmarkEnd w:id="543"/>
    </w:p>
    <w:p w:rsidR="003D4CB6" w:rsidRPr="003D4CB6" w:rsidRDefault="005C189B" w:rsidP="00597C20">
      <w:pPr>
        <w:pStyle w:val="53"/>
        <w:rPr>
          <w:rtl/>
        </w:rPr>
      </w:pPr>
      <w:r w:rsidRPr="003D4CB6">
        <w:rPr>
          <w:rStyle w:val="af1"/>
          <w:rFonts w:hint="cs"/>
          <w:vertAlign w:val="baseline"/>
          <w:rtl/>
        </w:rPr>
        <w:t>الحِرْز</w:t>
      </w:r>
      <w:r w:rsidR="00AB0B9E">
        <w:fldChar w:fldCharType="begin"/>
      </w:r>
      <w:r w:rsidR="003A770A">
        <w:instrText xml:space="preserve"> XE "</w:instrText>
      </w:r>
      <w:r w:rsidR="003A770A" w:rsidRPr="003A770A">
        <w:rPr>
          <w:rStyle w:val="af1"/>
          <w:rFonts w:hint="cs"/>
          <w:b w:val="0"/>
          <w:bCs w:val="0"/>
          <w:vertAlign w:val="baseline"/>
          <w:rtl/>
        </w:rPr>
        <w:instrText>الحِرْز</w:instrText>
      </w:r>
      <w:r w:rsidR="003A770A">
        <w:instrText xml:space="preserve">" </w:instrText>
      </w:r>
      <w:r w:rsidR="003A770A" w:rsidRPr="003A770A">
        <w:instrText xml:space="preserve">\fm </w:instrText>
      </w:r>
      <w:r w:rsidR="00AB0B9E">
        <w:fldChar w:fldCharType="end"/>
      </w:r>
      <w:r w:rsidRPr="003D4CB6">
        <w:rPr>
          <w:rStyle w:val="af1"/>
          <w:rFonts w:hint="cs"/>
          <w:vertAlign w:val="baseline"/>
          <w:rtl/>
        </w:rPr>
        <w:t xml:space="preserve"> لغة:</w:t>
      </w:r>
    </w:p>
    <w:p w:rsidR="005C189B" w:rsidRDefault="005C189B" w:rsidP="00597C20">
      <w:pPr>
        <w:ind w:firstLine="720"/>
        <w:rPr>
          <w:b/>
          <w:bCs/>
          <w:rtl/>
        </w:rPr>
      </w:pPr>
      <w:r w:rsidRPr="00F31BF2">
        <w:rPr>
          <w:rFonts w:ascii="Traditional Arabic" w:hAnsi="Traditional Arabic"/>
          <w:noProof w:val="0"/>
          <w:rtl/>
          <w:lang w:eastAsia="en-US"/>
        </w:rPr>
        <w:t>المكان الذي ي</w:t>
      </w:r>
      <w:r>
        <w:rPr>
          <w:rFonts w:ascii="Traditional Arabic" w:hAnsi="Traditional Arabic" w:hint="cs"/>
          <w:noProof w:val="0"/>
          <w:rtl/>
          <w:lang w:eastAsia="en-US"/>
        </w:rPr>
        <w:t>ُ</w:t>
      </w:r>
      <w:r w:rsidRPr="00F31BF2">
        <w:rPr>
          <w:rFonts w:ascii="Traditional Arabic" w:hAnsi="Traditional Arabic"/>
          <w:noProof w:val="0"/>
          <w:rtl/>
          <w:lang w:eastAsia="en-US"/>
        </w:rPr>
        <w:t>حفظ فيه</w:t>
      </w:r>
      <w:r w:rsidRPr="00C821A1">
        <w:rPr>
          <w:rStyle w:val="af1"/>
          <w:szCs w:val="32"/>
          <w:rtl/>
        </w:rPr>
        <w:t>(</w:t>
      </w:r>
      <w:r w:rsidRPr="00C821A1">
        <w:rPr>
          <w:rStyle w:val="af1"/>
          <w:szCs w:val="32"/>
          <w:rtl/>
        </w:rPr>
        <w:footnoteReference w:id="2268"/>
      </w:r>
      <w:r w:rsidRPr="00C821A1">
        <w:rPr>
          <w:rStyle w:val="af1"/>
          <w:szCs w:val="32"/>
          <w:rtl/>
        </w:rPr>
        <w:t>)</w:t>
      </w:r>
      <w:r>
        <w:rPr>
          <w:rFonts w:ascii="Traditional Arabic" w:hAnsi="Traditional Arabic" w:hint="cs"/>
          <w:noProof w:val="0"/>
          <w:rtl/>
          <w:lang w:eastAsia="en-US"/>
        </w:rPr>
        <w:t>.</w:t>
      </w:r>
    </w:p>
    <w:p w:rsidR="005C189B" w:rsidRPr="00692D9E" w:rsidRDefault="005C189B" w:rsidP="00597C20">
      <w:pPr>
        <w:ind w:firstLine="720"/>
        <w:rPr>
          <w:rStyle w:val="af1"/>
          <w:vertAlign w:val="baseline"/>
          <w:rtl/>
        </w:rPr>
      </w:pPr>
      <w:r>
        <w:rPr>
          <w:rFonts w:hint="cs"/>
          <w:rtl/>
        </w:rPr>
        <w:t xml:space="preserve">يقول الشيخ ابن عثيمين </w:t>
      </w:r>
      <w:r w:rsidR="00073A3B">
        <w:rPr>
          <w:rFonts w:hint="cs"/>
          <w:rtl/>
        </w:rPr>
        <w:t>_</w:t>
      </w:r>
      <w:r w:rsidR="009A0575" w:rsidRPr="005D5694">
        <w:rPr>
          <w:rFonts w:ascii="Traditional Arabic" w:hAnsi="Traditional Arabic" w:cs="CTraditional Arabic" w:hint="cs"/>
          <w:rtl/>
        </w:rPr>
        <w:t>/</w:t>
      </w:r>
      <w:r w:rsidR="00073A3B">
        <w:rPr>
          <w:rFonts w:hint="cs"/>
          <w:rtl/>
        </w:rPr>
        <w:t>_</w:t>
      </w:r>
      <w:r>
        <w:rPr>
          <w:rFonts w:hint="cs"/>
          <w:rtl/>
        </w:rPr>
        <w:t>: (</w:t>
      </w:r>
      <w:r w:rsidRPr="00692D9E">
        <w:rPr>
          <w:rFonts w:ascii="Traditional Arabic" w:hAnsi="Traditional Arabic"/>
          <w:noProof w:val="0"/>
          <w:rtl/>
          <w:lang w:eastAsia="en-US"/>
        </w:rPr>
        <w:t>الحرز ما يصون الشيء</w:t>
      </w:r>
      <w:r>
        <w:rPr>
          <w:rFonts w:ascii="Traditional Arabic" w:hAnsi="Traditional Arabic" w:hint="cs"/>
          <w:noProof w:val="0"/>
          <w:rtl/>
          <w:lang w:eastAsia="en-US"/>
        </w:rPr>
        <w:t>َ</w:t>
      </w:r>
      <w:r w:rsidRPr="00692D9E">
        <w:rPr>
          <w:rFonts w:ascii="Traditional Arabic" w:hAnsi="Traditional Arabic"/>
          <w:noProof w:val="0"/>
          <w:rtl/>
          <w:lang w:eastAsia="en-US"/>
        </w:rPr>
        <w:t xml:space="preserve"> ويحميه، وهو يختلف بعدة اعتبارات، فيختلف باختلاف الأموال وباختلاف البلدان وباختلاف السلطان قوة</w:t>
      </w:r>
      <w:r>
        <w:rPr>
          <w:rFonts w:ascii="Traditional Arabic" w:hAnsi="Traditional Arabic" w:hint="cs"/>
          <w:noProof w:val="0"/>
          <w:rtl/>
          <w:lang w:eastAsia="en-US"/>
        </w:rPr>
        <w:t>ً</w:t>
      </w:r>
      <w:r w:rsidRPr="00692D9E">
        <w:rPr>
          <w:rFonts w:ascii="Traditional Arabic" w:hAnsi="Traditional Arabic"/>
          <w:noProof w:val="0"/>
          <w:rtl/>
          <w:lang w:eastAsia="en-US"/>
        </w:rPr>
        <w:t xml:space="preserve"> وضعفا</w:t>
      </w:r>
      <w:r>
        <w:rPr>
          <w:rFonts w:ascii="Traditional Arabic" w:hAnsi="Traditional Arabic" w:hint="cs"/>
          <w:noProof w:val="0"/>
          <w:rtl/>
          <w:lang w:eastAsia="en-US"/>
        </w:rPr>
        <w:t>ً</w:t>
      </w:r>
      <w:r w:rsidRPr="00692D9E">
        <w:rPr>
          <w:rFonts w:ascii="Traditional Arabic" w:hAnsi="Traditional Arabic"/>
          <w:noProof w:val="0"/>
          <w:rtl/>
          <w:lang w:eastAsia="en-US"/>
        </w:rPr>
        <w:t xml:space="preserve"> وعدلا</w:t>
      </w:r>
      <w:r>
        <w:rPr>
          <w:rFonts w:ascii="Traditional Arabic" w:hAnsi="Traditional Arabic" w:hint="cs"/>
          <w:noProof w:val="0"/>
          <w:rtl/>
          <w:lang w:eastAsia="en-US"/>
        </w:rPr>
        <w:t>ً</w:t>
      </w:r>
      <w:r w:rsidRPr="00692D9E">
        <w:rPr>
          <w:rFonts w:ascii="Traditional Arabic" w:hAnsi="Traditional Arabic"/>
          <w:noProof w:val="0"/>
          <w:rtl/>
          <w:lang w:eastAsia="en-US"/>
        </w:rPr>
        <w:t xml:space="preserve"> وج</w:t>
      </w:r>
      <w:r>
        <w:rPr>
          <w:rFonts w:ascii="Traditional Arabic" w:hAnsi="Traditional Arabic" w:hint="cs"/>
          <w:noProof w:val="0"/>
          <w:rtl/>
          <w:lang w:eastAsia="en-US"/>
        </w:rPr>
        <w:t>َ</w:t>
      </w:r>
      <w:r w:rsidRPr="00692D9E">
        <w:rPr>
          <w:rFonts w:ascii="Traditional Arabic" w:hAnsi="Traditional Arabic"/>
          <w:noProof w:val="0"/>
          <w:rtl/>
          <w:lang w:eastAsia="en-US"/>
        </w:rPr>
        <w:t>و</w:t>
      </w:r>
      <w:r>
        <w:rPr>
          <w:rFonts w:ascii="Traditional Arabic" w:hAnsi="Traditional Arabic" w:hint="cs"/>
          <w:noProof w:val="0"/>
          <w:rtl/>
          <w:lang w:eastAsia="en-US"/>
        </w:rPr>
        <w:t>ْ</w:t>
      </w:r>
      <w:r w:rsidRPr="00692D9E">
        <w:rPr>
          <w:rFonts w:ascii="Traditional Arabic" w:hAnsi="Traditional Arabic"/>
          <w:noProof w:val="0"/>
          <w:rtl/>
          <w:lang w:eastAsia="en-US"/>
        </w:rPr>
        <w:t>را</w:t>
      </w:r>
      <w:r>
        <w:rPr>
          <w:rFonts w:ascii="Traditional Arabic" w:hAnsi="Traditional Arabic" w:hint="cs"/>
          <w:noProof w:val="0"/>
          <w:rtl/>
          <w:lang w:eastAsia="en-US"/>
        </w:rPr>
        <w:t>ً</w:t>
      </w:r>
      <w:r w:rsidRPr="00692D9E">
        <w:rPr>
          <w:rFonts w:ascii="Traditional Arabic" w:hAnsi="Traditional Arabic"/>
          <w:noProof w:val="0"/>
          <w:rtl/>
          <w:lang w:eastAsia="en-US"/>
        </w:rPr>
        <w:t>، وباختلاف الأموال</w:t>
      </w:r>
      <w:r>
        <w:rPr>
          <w:rFonts w:hint="cs"/>
          <w:rtl/>
        </w:rPr>
        <w:t>)</w:t>
      </w:r>
      <w:r w:rsidRPr="00C821A1">
        <w:rPr>
          <w:rStyle w:val="af1"/>
          <w:szCs w:val="32"/>
          <w:rtl/>
        </w:rPr>
        <w:t>(</w:t>
      </w:r>
      <w:r w:rsidRPr="00C821A1">
        <w:rPr>
          <w:rStyle w:val="af1"/>
          <w:szCs w:val="32"/>
          <w:rtl/>
        </w:rPr>
        <w:footnoteReference w:id="2269"/>
      </w:r>
      <w:r w:rsidRPr="00C821A1">
        <w:rPr>
          <w:rStyle w:val="af1"/>
          <w:szCs w:val="32"/>
          <w:rtl/>
        </w:rPr>
        <w:t>)</w:t>
      </w:r>
      <w:r>
        <w:rPr>
          <w:rFonts w:hint="cs"/>
          <w:rtl/>
        </w:rPr>
        <w:t>.</w:t>
      </w:r>
    </w:p>
    <w:p w:rsidR="005C189B" w:rsidRDefault="005C189B" w:rsidP="00597C20">
      <w:pPr>
        <w:pStyle w:val="53"/>
        <w:rPr>
          <w:rtl/>
        </w:rPr>
      </w:pPr>
      <w:r>
        <w:rPr>
          <w:rFonts w:hint="cs"/>
          <w:rtl/>
        </w:rPr>
        <w:t>معنى الضابط إجمالا:</w:t>
      </w:r>
    </w:p>
    <w:p w:rsidR="00F228A9" w:rsidRDefault="005C189B" w:rsidP="00597C20">
      <w:pPr>
        <w:ind w:firstLine="720"/>
        <w:rPr>
          <w:rtl/>
        </w:rPr>
      </w:pPr>
      <w:r>
        <w:rPr>
          <w:rFonts w:hint="cs"/>
          <w:rtl/>
        </w:rPr>
        <w:t>إذا عيَّن المودِع حِرْزَ الوديعة، فحفِظها المودَع في حرزٍ أشدَّ مما عيَّنه</w:t>
      </w:r>
      <w:r w:rsidR="00DC357C">
        <w:rPr>
          <w:rFonts w:hint="cs"/>
          <w:rtl/>
        </w:rPr>
        <w:t xml:space="preserve"> المودِع، ثم</w:t>
      </w:r>
      <w:r>
        <w:rPr>
          <w:rFonts w:hint="cs"/>
          <w:rtl/>
        </w:rPr>
        <w:t xml:space="preserve"> تَلِفت</w:t>
      </w:r>
      <w:r w:rsidR="00DC357C">
        <w:rPr>
          <w:rFonts w:hint="cs"/>
          <w:rtl/>
        </w:rPr>
        <w:t>،</w:t>
      </w:r>
      <w:r>
        <w:rPr>
          <w:rFonts w:hint="cs"/>
          <w:rtl/>
        </w:rPr>
        <w:t xml:space="preserve"> فإن المودَع لا يضمن؛ لأن تق</w:t>
      </w:r>
      <w:r w:rsidR="00DC357C">
        <w:rPr>
          <w:rFonts w:hint="cs"/>
          <w:rtl/>
        </w:rPr>
        <w:t>ييده بهذا الحرز يقتضي ما هو مثلَ</w:t>
      </w:r>
      <w:r>
        <w:rPr>
          <w:rFonts w:hint="cs"/>
          <w:rtl/>
        </w:rPr>
        <w:t>ه فما فوق</w:t>
      </w:r>
      <w:r w:rsidR="00DC357C">
        <w:rPr>
          <w:rFonts w:hint="cs"/>
          <w:rtl/>
        </w:rPr>
        <w:t>،</w:t>
      </w:r>
      <w:r>
        <w:rPr>
          <w:rFonts w:hint="cs"/>
          <w:rtl/>
        </w:rPr>
        <w:t xml:space="preserve"> من باب أولى</w:t>
      </w:r>
      <w:r w:rsidRPr="00C821A1">
        <w:rPr>
          <w:rStyle w:val="af1"/>
          <w:szCs w:val="32"/>
          <w:rtl/>
        </w:rPr>
        <w:t>(</w:t>
      </w:r>
      <w:r w:rsidRPr="00C821A1">
        <w:rPr>
          <w:rStyle w:val="af1"/>
          <w:szCs w:val="32"/>
          <w:rtl/>
        </w:rPr>
        <w:footnoteReference w:id="2270"/>
      </w:r>
      <w:r w:rsidRPr="00C821A1">
        <w:rPr>
          <w:rStyle w:val="af1"/>
          <w:szCs w:val="32"/>
          <w:rtl/>
        </w:rPr>
        <w:t>)</w:t>
      </w:r>
      <w:r>
        <w:rPr>
          <w:rFonts w:hint="cs"/>
          <w:rtl/>
        </w:rPr>
        <w:t>.</w:t>
      </w:r>
    </w:p>
    <w:p w:rsidR="005C189B" w:rsidRDefault="00837895" w:rsidP="00A8347C">
      <w:pPr>
        <w:pStyle w:val="aff3"/>
        <w:rPr>
          <w:rtl/>
        </w:rPr>
      </w:pPr>
      <w:bookmarkStart w:id="544" w:name="_Toc334046718"/>
      <w:r>
        <w:rPr>
          <w:rFonts w:hint="cs"/>
          <w:rtl/>
        </w:rPr>
        <w:lastRenderedPageBreak/>
        <w:t xml:space="preserve">     </w:t>
      </w:r>
      <w:r w:rsidR="00DC357C">
        <w:rPr>
          <w:rFonts w:hint="cs"/>
          <w:rtl/>
        </w:rPr>
        <w:t xml:space="preserve">                       </w:t>
      </w:r>
      <w:r>
        <w:rPr>
          <w:rFonts w:hint="cs"/>
          <w:rtl/>
        </w:rPr>
        <w:t xml:space="preserve">               </w:t>
      </w:r>
      <w:r w:rsidR="005C189B">
        <w:rPr>
          <w:rFonts w:hint="cs"/>
          <w:rtl/>
        </w:rPr>
        <w:t>المطلب الثاني</w:t>
      </w:r>
      <w:r w:rsidR="009B3CE9">
        <w:rPr>
          <w:rFonts w:hint="eastAsia"/>
          <w:rtl/>
        </w:rPr>
        <w:t> :</w:t>
      </w:r>
      <w:r w:rsidR="009B3CE9">
        <w:rPr>
          <w:rFonts w:hint="cs"/>
          <w:rtl/>
        </w:rPr>
        <w:br/>
      </w:r>
      <w:r>
        <w:rPr>
          <w:rFonts w:hint="cs"/>
          <w:rtl/>
        </w:rPr>
        <w:t xml:space="preserve">                  </w:t>
      </w:r>
      <w:r w:rsidR="00DC357C">
        <w:rPr>
          <w:rFonts w:hint="cs"/>
          <w:rtl/>
        </w:rPr>
        <w:t xml:space="preserve">                           </w:t>
      </w:r>
      <w:r w:rsidR="005C189B">
        <w:rPr>
          <w:rFonts w:hint="cs"/>
          <w:rtl/>
        </w:rPr>
        <w:t>أدلة الضابط</w:t>
      </w:r>
      <w:bookmarkEnd w:id="544"/>
    </w:p>
    <w:p w:rsidR="00F228A9" w:rsidRDefault="005C189B" w:rsidP="00597C20">
      <w:pPr>
        <w:ind w:firstLine="720"/>
        <w:rPr>
          <w:rtl/>
        </w:rPr>
      </w:pPr>
      <w:r w:rsidRPr="00FC75E3">
        <w:rPr>
          <w:rFonts w:hint="cs"/>
          <w:rtl/>
        </w:rPr>
        <w:t>ي</w:t>
      </w:r>
      <w:r>
        <w:rPr>
          <w:rFonts w:hint="cs"/>
          <w:rtl/>
        </w:rPr>
        <w:t>ُ</w:t>
      </w:r>
      <w:r w:rsidRPr="00FC75E3">
        <w:rPr>
          <w:rFonts w:hint="cs"/>
          <w:rtl/>
        </w:rPr>
        <w:t>ستدل</w:t>
      </w:r>
      <w:r>
        <w:rPr>
          <w:rFonts w:hint="cs"/>
          <w:rtl/>
        </w:rPr>
        <w:t xml:space="preserve"> لهذا الضابط بقياس الأ</w:t>
      </w:r>
      <w:r w:rsidR="003A770A">
        <w:rPr>
          <w:rFonts w:hint="cs"/>
          <w:rtl/>
        </w:rPr>
        <w:t>َ</w:t>
      </w:r>
      <w:r>
        <w:rPr>
          <w:rFonts w:hint="cs"/>
          <w:rtl/>
        </w:rPr>
        <w:t>ولى</w:t>
      </w:r>
      <w:r w:rsidR="00AB0B9E">
        <w:rPr>
          <w:rtl/>
        </w:rPr>
        <w:fldChar w:fldCharType="begin"/>
      </w:r>
      <w:r w:rsidR="003A770A">
        <w:instrText xml:space="preserve"> XE "</w:instrText>
      </w:r>
      <w:r w:rsidR="003A770A" w:rsidRPr="00A00F78">
        <w:rPr>
          <w:rFonts w:hint="cs"/>
          <w:rtl/>
        </w:rPr>
        <w:instrText>قياس الأ</w:instrText>
      </w:r>
      <w:r w:rsidR="003A770A">
        <w:rPr>
          <w:rFonts w:hint="cs"/>
          <w:rtl/>
        </w:rPr>
        <w:instrText>َ</w:instrText>
      </w:r>
      <w:r w:rsidR="003A770A" w:rsidRPr="00A00F78">
        <w:rPr>
          <w:rFonts w:hint="cs"/>
          <w:rtl/>
        </w:rPr>
        <w:instrText>ولى</w:instrText>
      </w:r>
      <w:r w:rsidR="003A770A">
        <w:instrText xml:space="preserve">" </w:instrText>
      </w:r>
      <w:r w:rsidR="003A770A" w:rsidRPr="003A770A">
        <w:instrText xml:space="preserve">\fm </w:instrText>
      </w:r>
      <w:r w:rsidR="00AB0B9E">
        <w:rPr>
          <w:rtl/>
        </w:rPr>
        <w:fldChar w:fldCharType="end"/>
      </w:r>
      <w:r w:rsidRPr="00C821A1">
        <w:rPr>
          <w:rStyle w:val="af1"/>
          <w:szCs w:val="32"/>
          <w:rtl/>
        </w:rPr>
        <w:t>(</w:t>
      </w:r>
      <w:r w:rsidRPr="00C821A1">
        <w:rPr>
          <w:rStyle w:val="af1"/>
          <w:szCs w:val="32"/>
          <w:rtl/>
        </w:rPr>
        <w:footnoteReference w:id="2271"/>
      </w:r>
      <w:r w:rsidRPr="00C821A1">
        <w:rPr>
          <w:rStyle w:val="af1"/>
          <w:szCs w:val="32"/>
          <w:rtl/>
        </w:rPr>
        <w:t>)</w:t>
      </w:r>
      <w:r>
        <w:rPr>
          <w:rFonts w:hint="cs"/>
          <w:rtl/>
        </w:rPr>
        <w:t>، فإن المودَع إذا عيَّن حرزَ للوديعة، فأَحْرَزها المودَع في حرزٍ مثلِه، فلا ضمان عليه إذا تَلِفت الوديعة</w:t>
      </w:r>
      <w:r>
        <w:rPr>
          <w:rStyle w:val="af1"/>
          <w:rFonts w:hint="cs"/>
          <w:vertAlign w:val="baseline"/>
          <w:rtl/>
        </w:rPr>
        <w:t xml:space="preserve">؛ </w:t>
      </w:r>
      <w:r>
        <w:rPr>
          <w:rFonts w:hint="cs"/>
          <w:rtl/>
        </w:rPr>
        <w:t>لأن تقييده بهذا الحرز يقتضي ما هو مثلُه، ويقاس عليه ما كان أَحْرَزَ من باب أولى.</w:t>
      </w:r>
    </w:p>
    <w:p w:rsidR="005C189B" w:rsidRDefault="00837895" w:rsidP="00A8347C">
      <w:pPr>
        <w:pStyle w:val="aff3"/>
        <w:rPr>
          <w:rtl/>
        </w:rPr>
      </w:pPr>
      <w:bookmarkStart w:id="545" w:name="_Toc334046719"/>
      <w:r>
        <w:rPr>
          <w:rFonts w:hint="cs"/>
          <w:rtl/>
        </w:rPr>
        <w:t xml:space="preserve">               </w:t>
      </w:r>
      <w:r w:rsidR="00DC357C">
        <w:rPr>
          <w:rFonts w:hint="cs"/>
          <w:rtl/>
        </w:rPr>
        <w:t xml:space="preserve">                           </w:t>
      </w:r>
      <w:r w:rsidR="005C189B">
        <w:rPr>
          <w:rFonts w:hint="cs"/>
          <w:rtl/>
        </w:rPr>
        <w:t>المطلب الثالث</w:t>
      </w:r>
      <w:r w:rsidR="009B3CE9">
        <w:rPr>
          <w:rFonts w:hint="eastAsia"/>
          <w:rtl/>
        </w:rPr>
        <w:t> :</w:t>
      </w:r>
      <w:r w:rsidR="009B3CE9">
        <w:rPr>
          <w:rFonts w:hint="cs"/>
          <w:rtl/>
        </w:rPr>
        <w:br/>
      </w:r>
      <w:r>
        <w:rPr>
          <w:rFonts w:hint="cs"/>
          <w:rtl/>
        </w:rPr>
        <w:t xml:space="preserve">             </w:t>
      </w:r>
      <w:r w:rsidR="0070556A">
        <w:rPr>
          <w:rFonts w:hint="cs"/>
          <w:rtl/>
        </w:rPr>
        <w:t xml:space="preserve">                            </w:t>
      </w:r>
      <w:r w:rsidR="005C189B">
        <w:rPr>
          <w:rFonts w:hint="cs"/>
          <w:rtl/>
        </w:rPr>
        <w:t>تطبيقات الضابط</w:t>
      </w:r>
      <w:bookmarkEnd w:id="545"/>
    </w:p>
    <w:p w:rsidR="005C189B" w:rsidRDefault="005C189B" w:rsidP="000A76C7">
      <w:pPr>
        <w:pStyle w:val="afc"/>
        <w:widowControl/>
        <w:numPr>
          <w:ilvl w:val="0"/>
          <w:numId w:val="321"/>
        </w:numPr>
        <w:autoSpaceDE w:val="0"/>
        <w:autoSpaceDN w:val="0"/>
        <w:adjustRightInd w:val="0"/>
        <w:rPr>
          <w:rFonts w:ascii="Traditional Arabic" w:hAnsi="Traditional Arabic"/>
          <w:noProof w:val="0"/>
          <w:lang w:eastAsia="en-US"/>
        </w:rPr>
      </w:pPr>
      <w:r w:rsidRPr="00B87932">
        <w:rPr>
          <w:rFonts w:hint="cs"/>
          <w:rtl/>
        </w:rPr>
        <w:t>إذا عيَّن المودِع حرز الوديعة،فقال للمودَع: احفظها في كُمِّك</w:t>
      </w:r>
      <w:r>
        <w:rPr>
          <w:rFonts w:hint="cs"/>
          <w:rtl/>
        </w:rPr>
        <w:t>، فتركها في جيبه</w:t>
      </w:r>
      <w:r w:rsidR="00A811DB">
        <w:rPr>
          <w:rFonts w:hint="cs"/>
          <w:rtl/>
        </w:rPr>
        <w:t xml:space="preserve"> </w:t>
      </w:r>
      <w:r w:rsidRPr="00B87932">
        <w:rPr>
          <w:rFonts w:ascii="Traditional Arabic" w:hAnsi="Traditional Arabic" w:hint="cs"/>
          <w:noProof w:val="0"/>
          <w:rtl/>
          <w:lang w:eastAsia="en-US"/>
        </w:rPr>
        <w:t>وت</w:t>
      </w:r>
      <w:r w:rsidR="00A811DB">
        <w:rPr>
          <w:rFonts w:ascii="Traditional Arabic" w:hAnsi="Traditional Arabic" w:hint="cs"/>
          <w:noProof w:val="0"/>
          <w:rtl/>
          <w:lang w:eastAsia="en-US"/>
        </w:rPr>
        <w:t>َ</w:t>
      </w:r>
      <w:r w:rsidRPr="00B87932">
        <w:rPr>
          <w:rFonts w:ascii="Traditional Arabic" w:hAnsi="Traditional Arabic" w:hint="cs"/>
          <w:noProof w:val="0"/>
          <w:rtl/>
          <w:lang w:eastAsia="en-US"/>
        </w:rPr>
        <w:t>ل</w:t>
      </w:r>
      <w:r w:rsidR="00A811DB">
        <w:rPr>
          <w:rFonts w:ascii="Traditional Arabic" w:hAnsi="Traditional Arabic" w:hint="cs"/>
          <w:noProof w:val="0"/>
          <w:rtl/>
          <w:lang w:eastAsia="en-US"/>
        </w:rPr>
        <w:t>ِ</w:t>
      </w:r>
      <w:r w:rsidRPr="00B87932">
        <w:rPr>
          <w:rFonts w:ascii="Traditional Arabic" w:hAnsi="Traditional Arabic" w:hint="cs"/>
          <w:noProof w:val="0"/>
          <w:rtl/>
          <w:lang w:eastAsia="en-US"/>
        </w:rPr>
        <w:t>ف</w:t>
      </w:r>
      <w:r w:rsidR="00A811DB">
        <w:rPr>
          <w:rFonts w:ascii="Traditional Arabic" w:hAnsi="Traditional Arabic" w:hint="cs"/>
          <w:noProof w:val="0"/>
          <w:rtl/>
          <w:lang w:eastAsia="en-US"/>
        </w:rPr>
        <w:t>َ</w:t>
      </w:r>
      <w:r w:rsidRPr="00B87932">
        <w:rPr>
          <w:rFonts w:ascii="Traditional Arabic" w:hAnsi="Traditional Arabic" w:hint="cs"/>
          <w:noProof w:val="0"/>
          <w:rtl/>
          <w:lang w:eastAsia="en-US"/>
        </w:rPr>
        <w:t>ت</w:t>
      </w:r>
      <w:r w:rsidR="00A811DB">
        <w:rPr>
          <w:rFonts w:ascii="Traditional Arabic" w:hAnsi="Traditional Arabic" w:hint="cs"/>
          <w:noProof w:val="0"/>
          <w:rtl/>
          <w:lang w:eastAsia="en-US"/>
        </w:rPr>
        <w:t>ْ</w:t>
      </w:r>
      <w:r w:rsidRPr="00B87932">
        <w:rPr>
          <w:rFonts w:ascii="Traditional Arabic" w:hAnsi="Traditional Arabic" w:hint="cs"/>
          <w:noProof w:val="0"/>
          <w:rtl/>
          <w:lang w:eastAsia="en-US"/>
        </w:rPr>
        <w:t xml:space="preserve">، </w:t>
      </w:r>
      <w:r w:rsidRPr="00B87932">
        <w:rPr>
          <w:rFonts w:ascii="Traditional Arabic" w:hAnsi="Traditional Arabic"/>
          <w:noProof w:val="0"/>
          <w:rtl/>
          <w:lang w:eastAsia="en-US"/>
        </w:rPr>
        <w:t>فلا ضمان</w:t>
      </w:r>
      <w:r w:rsidRPr="00B87932">
        <w:rPr>
          <w:rFonts w:ascii="Traditional Arabic" w:hAnsi="Traditional Arabic" w:hint="cs"/>
          <w:noProof w:val="0"/>
          <w:rtl/>
          <w:lang w:eastAsia="en-US"/>
        </w:rPr>
        <w:t xml:space="preserve"> عليه</w:t>
      </w:r>
      <w:r w:rsidRPr="00B87932">
        <w:rPr>
          <w:rFonts w:ascii="Traditional Arabic" w:hAnsi="Traditional Arabic"/>
          <w:noProof w:val="0"/>
          <w:rtl/>
          <w:lang w:eastAsia="en-US"/>
        </w:rPr>
        <w:t>؛ لقاعدة أنه إذا عين الحرز</w:t>
      </w:r>
      <w:r w:rsidRPr="00B87932">
        <w:rPr>
          <w:rFonts w:ascii="Traditional Arabic" w:hAnsi="Traditional Arabic" w:hint="cs"/>
          <w:noProof w:val="0"/>
          <w:rtl/>
          <w:lang w:eastAsia="en-US"/>
        </w:rPr>
        <w:t>َ</w:t>
      </w:r>
      <w:r w:rsidRPr="00B87932">
        <w:rPr>
          <w:rFonts w:ascii="Traditional Arabic" w:hAnsi="Traditional Arabic"/>
          <w:noProof w:val="0"/>
          <w:rtl/>
          <w:lang w:eastAsia="en-US"/>
        </w:rPr>
        <w:t xml:space="preserve"> صاحب</w:t>
      </w:r>
      <w:r w:rsidRPr="00B87932">
        <w:rPr>
          <w:rFonts w:ascii="Traditional Arabic" w:hAnsi="Traditional Arabic" w:hint="cs"/>
          <w:noProof w:val="0"/>
          <w:rtl/>
          <w:lang w:eastAsia="en-US"/>
        </w:rPr>
        <w:t>ُ</w:t>
      </w:r>
      <w:r w:rsidRPr="00B87932">
        <w:rPr>
          <w:rFonts w:ascii="Traditional Arabic" w:hAnsi="Traditional Arabic"/>
          <w:noProof w:val="0"/>
          <w:rtl/>
          <w:lang w:eastAsia="en-US"/>
        </w:rPr>
        <w:t>ها، فأحرزها فيما هو أشد</w:t>
      </w:r>
      <w:r w:rsidRPr="00B87932">
        <w:rPr>
          <w:rFonts w:ascii="Traditional Arabic" w:hAnsi="Traditional Arabic" w:hint="cs"/>
          <w:noProof w:val="0"/>
          <w:rtl/>
          <w:lang w:eastAsia="en-US"/>
        </w:rPr>
        <w:t>ُّ،</w:t>
      </w:r>
      <w:r w:rsidRPr="00B87932">
        <w:rPr>
          <w:rFonts w:ascii="Traditional Arabic" w:hAnsi="Traditional Arabic"/>
          <w:noProof w:val="0"/>
          <w:rtl/>
          <w:lang w:eastAsia="en-US"/>
        </w:rPr>
        <w:t xml:space="preserve"> فلا ضمان، وكذا لو عي</w:t>
      </w:r>
      <w:r w:rsidRPr="00B87932">
        <w:rPr>
          <w:rFonts w:ascii="Traditional Arabic" w:hAnsi="Traditional Arabic" w:hint="cs"/>
          <w:noProof w:val="0"/>
          <w:rtl/>
          <w:lang w:eastAsia="en-US"/>
        </w:rPr>
        <w:t>َّ</w:t>
      </w:r>
      <w:r w:rsidRPr="00B87932">
        <w:rPr>
          <w:rFonts w:ascii="Traditional Arabic" w:hAnsi="Traditional Arabic"/>
          <w:noProof w:val="0"/>
          <w:rtl/>
          <w:lang w:eastAsia="en-US"/>
        </w:rPr>
        <w:t>ن يده فجعلها في جيبه فإنه لا يضمن؛ لأن الجيب أحفظ</w:t>
      </w:r>
      <w:r>
        <w:rPr>
          <w:rFonts w:ascii="Traditional Arabic" w:hAnsi="Traditional Arabic" w:hint="cs"/>
          <w:noProof w:val="0"/>
          <w:rtl/>
          <w:lang w:eastAsia="en-US"/>
        </w:rPr>
        <w:t>ُ</w:t>
      </w:r>
      <w:r w:rsidRPr="00B87932">
        <w:rPr>
          <w:rFonts w:ascii="Traditional Arabic" w:hAnsi="Traditional Arabic"/>
          <w:noProof w:val="0"/>
          <w:rtl/>
          <w:lang w:eastAsia="en-US"/>
        </w:rPr>
        <w:t xml:space="preserve"> من اليد</w:t>
      </w:r>
      <w:r w:rsidRPr="00C821A1">
        <w:rPr>
          <w:rStyle w:val="af1"/>
          <w:szCs w:val="32"/>
          <w:rtl/>
        </w:rPr>
        <w:t>(</w:t>
      </w:r>
      <w:r w:rsidRPr="00C821A1">
        <w:rPr>
          <w:rStyle w:val="af1"/>
          <w:szCs w:val="32"/>
          <w:rtl/>
        </w:rPr>
        <w:footnoteReference w:id="2272"/>
      </w:r>
      <w:r w:rsidRPr="00C821A1">
        <w:rPr>
          <w:rStyle w:val="af1"/>
          <w:szCs w:val="32"/>
          <w:rtl/>
        </w:rPr>
        <w:t>)</w:t>
      </w:r>
      <w:r w:rsidRPr="00B87932">
        <w:rPr>
          <w:rFonts w:ascii="Traditional Arabic" w:hAnsi="Traditional Arabic"/>
          <w:noProof w:val="0"/>
          <w:rtl/>
          <w:lang w:eastAsia="en-US"/>
        </w:rPr>
        <w:t>.</w:t>
      </w:r>
    </w:p>
    <w:p w:rsidR="005C189B" w:rsidRDefault="005C189B" w:rsidP="00597C20">
      <w:pPr>
        <w:pStyle w:val="53"/>
        <w:rPr>
          <w:rtl/>
        </w:rPr>
      </w:pPr>
      <w:r>
        <w:rPr>
          <w:rFonts w:hint="cs"/>
          <w:rtl/>
        </w:rPr>
        <w:t>وجه اندراج الفرع تحت الضابط:</w:t>
      </w:r>
    </w:p>
    <w:p w:rsidR="005C189B" w:rsidRPr="003D4CB6" w:rsidRDefault="005C189B" w:rsidP="00597C20">
      <w:pPr>
        <w:widowControl/>
        <w:autoSpaceDE w:val="0"/>
        <w:autoSpaceDN w:val="0"/>
        <w:adjustRightInd w:val="0"/>
        <w:ind w:firstLine="720"/>
        <w:rPr>
          <w:rFonts w:ascii="Traditional Arabic" w:hAnsi="Traditional Arabic"/>
          <w:noProof w:val="0"/>
          <w:rtl/>
          <w:lang w:eastAsia="en-US"/>
        </w:rPr>
      </w:pPr>
      <w:r w:rsidRPr="003D4CB6">
        <w:rPr>
          <w:rFonts w:ascii="Traditional Arabic" w:hAnsi="Traditional Arabic" w:hint="cs"/>
          <w:noProof w:val="0"/>
          <w:rtl/>
          <w:lang w:eastAsia="en-US"/>
        </w:rPr>
        <w:t>لاضمان على المودَع؛ لأنه حفظ الوديعة فيما هو أشدُّ، والضابط في ذلك أنه إذا عين المودع الحرز فأحرزها المودَع فيما هو أشدُّ، فلا ضمان عليه.</w:t>
      </w:r>
    </w:p>
    <w:p w:rsidR="005C189B" w:rsidRDefault="005C189B" w:rsidP="000A76C7">
      <w:pPr>
        <w:pStyle w:val="afc"/>
        <w:widowControl/>
        <w:numPr>
          <w:ilvl w:val="0"/>
          <w:numId w:val="321"/>
        </w:numPr>
        <w:autoSpaceDE w:val="0"/>
        <w:autoSpaceDN w:val="0"/>
        <w:adjustRightInd w:val="0"/>
        <w:rPr>
          <w:rFonts w:ascii="Traditional Arabic" w:hAnsi="Traditional Arabic"/>
          <w:noProof w:val="0"/>
          <w:lang w:eastAsia="en-US"/>
        </w:rPr>
      </w:pPr>
      <w:r>
        <w:rPr>
          <w:rFonts w:ascii="Traditional Arabic" w:hAnsi="Traditional Arabic" w:hint="cs"/>
          <w:noProof w:val="0"/>
          <w:rtl/>
          <w:lang w:eastAsia="en-US"/>
        </w:rPr>
        <w:t>إذا عين المودِع حرز الوديعة، فقال للمودَع: احفظها في جيبك، وكانت الوديعة خاتماً، فجعلها المودَع في أُصبُعه فتلفت، فلا ضمان عليه؛ لأن اليد أحرزُ لها من الجيب.</w:t>
      </w:r>
    </w:p>
    <w:p w:rsidR="005C189B" w:rsidRDefault="005C189B" w:rsidP="00597C20">
      <w:pPr>
        <w:pStyle w:val="53"/>
        <w:rPr>
          <w:rtl/>
        </w:rPr>
      </w:pPr>
      <w:r>
        <w:rPr>
          <w:rFonts w:hint="cs"/>
          <w:rtl/>
        </w:rPr>
        <w:lastRenderedPageBreak/>
        <w:t>وجه اندراج الفرع تحت الضابط:</w:t>
      </w:r>
    </w:p>
    <w:p w:rsidR="005C189B" w:rsidRPr="003D4CB6" w:rsidRDefault="005C189B" w:rsidP="00597C20">
      <w:pPr>
        <w:widowControl/>
        <w:autoSpaceDE w:val="0"/>
        <w:autoSpaceDN w:val="0"/>
        <w:adjustRightInd w:val="0"/>
        <w:ind w:firstLine="720"/>
        <w:rPr>
          <w:rFonts w:ascii="Traditional Arabic" w:hAnsi="Traditional Arabic"/>
          <w:noProof w:val="0"/>
          <w:rtl/>
          <w:lang w:eastAsia="en-US"/>
        </w:rPr>
      </w:pPr>
      <w:r w:rsidRPr="003D4CB6">
        <w:rPr>
          <w:rFonts w:ascii="Traditional Arabic" w:hAnsi="Traditional Arabic" w:hint="cs"/>
          <w:noProof w:val="0"/>
          <w:rtl/>
          <w:lang w:eastAsia="en-US"/>
        </w:rPr>
        <w:t>لا ضمان على المودَع؛ لأنه حفظ الخاتم فيما هو أحرز له، والضابط أنه إذا عين المودِع الحرز، فأحرزها المودَع فيما هو أشد، فلا ضمان عليه.</w:t>
      </w:r>
    </w:p>
    <w:p w:rsidR="00EE4769" w:rsidRDefault="00EE4769" w:rsidP="00597C20">
      <w:pPr>
        <w:pStyle w:val="afc"/>
        <w:widowControl/>
        <w:autoSpaceDE w:val="0"/>
        <w:autoSpaceDN w:val="0"/>
        <w:adjustRightInd w:val="0"/>
        <w:ind w:left="1080" w:firstLine="0"/>
        <w:jc w:val="left"/>
        <w:rPr>
          <w:rFonts w:ascii="Traditional Arabic" w:hAnsi="Traditional Arabic"/>
          <w:noProof w:val="0"/>
          <w:rtl/>
          <w:lang w:eastAsia="en-US"/>
        </w:rPr>
      </w:pPr>
    </w:p>
    <w:p w:rsidR="00837895" w:rsidRDefault="00837895" w:rsidP="00597C20">
      <w:pPr>
        <w:pStyle w:val="afc"/>
        <w:widowControl/>
        <w:autoSpaceDE w:val="0"/>
        <w:autoSpaceDN w:val="0"/>
        <w:adjustRightInd w:val="0"/>
        <w:ind w:left="1080" w:firstLine="0"/>
        <w:jc w:val="left"/>
        <w:rPr>
          <w:rFonts w:ascii="Traditional Arabic" w:hAnsi="Traditional Arabic"/>
          <w:noProof w:val="0"/>
          <w:rtl/>
          <w:lang w:eastAsia="en-US"/>
        </w:rPr>
      </w:pPr>
    </w:p>
    <w:p w:rsidR="00837895" w:rsidRPr="007A6F9A" w:rsidRDefault="00837895" w:rsidP="00A811DB">
      <w:pPr>
        <w:widowControl/>
        <w:autoSpaceDE w:val="0"/>
        <w:autoSpaceDN w:val="0"/>
        <w:adjustRightInd w:val="0"/>
        <w:ind w:firstLine="720"/>
        <w:rPr>
          <w:rFonts w:ascii="Traditional Arabic" w:hAnsi="Traditional Arabic"/>
          <w:noProof w:val="0"/>
          <w:rtl/>
          <w:lang w:eastAsia="en-US"/>
        </w:rPr>
      </w:pPr>
      <w:r>
        <w:rPr>
          <w:rFonts w:ascii="Traditional Arabic" w:hAnsi="Traditional Arabic" w:hint="cs"/>
          <w:b/>
          <w:bCs/>
          <w:noProof w:val="0"/>
          <w:rtl/>
          <w:lang w:eastAsia="en-US"/>
        </w:rPr>
        <w:t xml:space="preserve">                                 </w:t>
      </w:r>
    </w:p>
    <w:p w:rsidR="00837895" w:rsidRDefault="00837895" w:rsidP="00597C20">
      <w:pPr>
        <w:pStyle w:val="afc"/>
        <w:widowControl/>
        <w:autoSpaceDE w:val="0"/>
        <w:autoSpaceDN w:val="0"/>
        <w:adjustRightInd w:val="0"/>
        <w:ind w:left="1080" w:firstLine="0"/>
        <w:jc w:val="left"/>
        <w:rPr>
          <w:rFonts w:ascii="Traditional Arabic" w:hAnsi="Traditional Arabic"/>
          <w:noProof w:val="0"/>
          <w:rtl/>
          <w:lang w:eastAsia="en-US"/>
        </w:rPr>
        <w:sectPr w:rsidR="00837895" w:rsidSect="00AA794C">
          <w:footnotePr>
            <w:numRestart w:val="eachPage"/>
          </w:footnotePr>
          <w:pgSz w:w="11906" w:h="16838" w:code="9"/>
          <w:pgMar w:top="1418" w:right="1134" w:bottom="1418" w:left="1418" w:header="567" w:footer="737" w:gutter="567"/>
          <w:pgBorders w:display="firstPage">
            <w:top w:val="woodwork" w:sz="14" w:space="1" w:color="000000" w:themeColor="text1"/>
            <w:left w:val="woodwork" w:sz="14" w:space="4" w:color="000000" w:themeColor="text1"/>
            <w:bottom w:val="woodwork" w:sz="14" w:space="1" w:color="000000" w:themeColor="text1"/>
            <w:right w:val="woodwork" w:sz="14" w:space="4" w:color="000000" w:themeColor="text1"/>
          </w:pgBorders>
          <w:cols w:space="708"/>
          <w:titlePg/>
          <w:bidi/>
          <w:rtlGutter/>
          <w:docGrid w:linePitch="490"/>
        </w:sectPr>
      </w:pPr>
    </w:p>
    <w:p w:rsidR="004F5A0D" w:rsidRDefault="004F5A0D" w:rsidP="00597C20">
      <w:pPr>
        <w:widowControl/>
        <w:ind w:firstLine="0"/>
        <w:jc w:val="left"/>
        <w:rPr>
          <w:b/>
          <w:bCs/>
          <w:rtl/>
        </w:rPr>
      </w:pPr>
    </w:p>
    <w:p w:rsidR="004F5A0D" w:rsidRDefault="004F5A0D" w:rsidP="00597C20">
      <w:pPr>
        <w:pStyle w:val="aff1"/>
      </w:pPr>
      <w:bookmarkStart w:id="546" w:name="_Toc334046720"/>
      <w:r>
        <w:rPr>
          <w:rtl/>
        </w:rPr>
        <w:t>الخـــاتمــــة</w:t>
      </w:r>
      <w:bookmarkEnd w:id="546"/>
    </w:p>
    <w:p w:rsidR="004F5A0D" w:rsidRDefault="004F5A0D" w:rsidP="00597C20">
      <w:pPr>
        <w:spacing w:line="600" w:lineRule="exact"/>
        <w:jc w:val="lowKashida"/>
        <w:rPr>
          <w:rFonts w:ascii="Traditional Arabic" w:hAnsi="Traditional Arabic"/>
          <w:b/>
          <w:bCs/>
        </w:rPr>
      </w:pPr>
    </w:p>
    <w:p w:rsidR="004F5A0D" w:rsidRDefault="004F5A0D" w:rsidP="00597C20">
      <w:pPr>
        <w:spacing w:line="600" w:lineRule="exact"/>
        <w:jc w:val="lowKashida"/>
        <w:rPr>
          <w:rFonts w:ascii="Traditional Arabic" w:hAnsi="Traditional Arabic"/>
          <w:b/>
          <w:bCs/>
          <w:rtl/>
        </w:rPr>
      </w:pPr>
    </w:p>
    <w:p w:rsidR="004F5A0D" w:rsidRDefault="004F5A0D" w:rsidP="00597C20">
      <w:pPr>
        <w:spacing w:line="600" w:lineRule="exact"/>
        <w:jc w:val="lowKashida"/>
        <w:rPr>
          <w:rFonts w:ascii="Traditional Arabic" w:hAnsi="Traditional Arabic"/>
          <w:b/>
          <w:bCs/>
          <w:rtl/>
        </w:rPr>
      </w:pPr>
    </w:p>
    <w:p w:rsidR="004F5A0D" w:rsidRDefault="004F5A0D" w:rsidP="00597C20">
      <w:pPr>
        <w:spacing w:line="600" w:lineRule="exact"/>
        <w:jc w:val="lowKashida"/>
        <w:rPr>
          <w:rFonts w:ascii="Traditional Arabic" w:hAnsi="Traditional Arabic"/>
          <w:b/>
          <w:bCs/>
          <w:rtl/>
        </w:rPr>
      </w:pPr>
    </w:p>
    <w:p w:rsidR="004F5A0D" w:rsidRDefault="004F5A0D" w:rsidP="00597C20">
      <w:pPr>
        <w:spacing w:line="600" w:lineRule="exact"/>
        <w:jc w:val="lowKashida"/>
        <w:rPr>
          <w:rFonts w:ascii="Traditional Arabic" w:hAnsi="Traditional Arabic"/>
          <w:b/>
          <w:bCs/>
          <w:rtl/>
        </w:rPr>
      </w:pPr>
    </w:p>
    <w:p w:rsidR="004F5A0D" w:rsidRDefault="004F5A0D" w:rsidP="00597C20">
      <w:pPr>
        <w:spacing w:line="600" w:lineRule="exact"/>
        <w:jc w:val="lowKashida"/>
        <w:rPr>
          <w:rFonts w:ascii="Traditional Arabic" w:hAnsi="Traditional Arabic"/>
          <w:b/>
          <w:bCs/>
          <w:rtl/>
        </w:rPr>
      </w:pPr>
    </w:p>
    <w:p w:rsidR="004F5A0D" w:rsidRDefault="004F5A0D" w:rsidP="00597C20">
      <w:pPr>
        <w:spacing w:line="600" w:lineRule="exact"/>
        <w:jc w:val="lowKashida"/>
        <w:rPr>
          <w:rFonts w:ascii="Traditional Arabic" w:hAnsi="Traditional Arabic"/>
          <w:b/>
          <w:bCs/>
          <w:rtl/>
        </w:rPr>
      </w:pPr>
    </w:p>
    <w:p w:rsidR="004F5A0D" w:rsidRDefault="004F5A0D" w:rsidP="00597C20">
      <w:pPr>
        <w:spacing w:line="600" w:lineRule="exact"/>
        <w:jc w:val="lowKashida"/>
        <w:rPr>
          <w:rFonts w:ascii="Traditional Arabic" w:hAnsi="Traditional Arabic"/>
          <w:b/>
          <w:bCs/>
          <w:rtl/>
        </w:rPr>
      </w:pPr>
    </w:p>
    <w:p w:rsidR="009B3CE9" w:rsidRDefault="009B3CE9" w:rsidP="00597C20">
      <w:pPr>
        <w:widowControl/>
        <w:ind w:firstLine="0"/>
        <w:jc w:val="left"/>
        <w:rPr>
          <w:rFonts w:ascii="Traditional Arabic" w:hAnsi="Traditional Arabic"/>
          <w:rtl/>
        </w:rPr>
      </w:pPr>
      <w:r>
        <w:rPr>
          <w:rFonts w:ascii="Traditional Arabic" w:hAnsi="Traditional Arabic"/>
          <w:rtl/>
        </w:rPr>
        <w:br w:type="page"/>
      </w:r>
    </w:p>
    <w:p w:rsidR="004F5A0D" w:rsidRDefault="004F5A0D" w:rsidP="00597C20">
      <w:pPr>
        <w:spacing w:line="640" w:lineRule="exact"/>
        <w:jc w:val="lowKashida"/>
        <w:rPr>
          <w:rFonts w:ascii="Traditional Arabic" w:hAnsi="Traditional Arabic"/>
          <w:b/>
          <w:bCs/>
          <w:rtl/>
        </w:rPr>
      </w:pPr>
      <w:r>
        <w:rPr>
          <w:rFonts w:ascii="Traditional Arabic" w:hAnsi="Traditional Arabic"/>
          <w:rtl/>
        </w:rPr>
        <w:lastRenderedPageBreak/>
        <w:t>الحمد لله الذي بنعمته تتم الصالحات</w:t>
      </w:r>
      <w:r w:rsidR="00B76414">
        <w:rPr>
          <w:rFonts w:ascii="Traditional Arabic" w:hAnsi="Traditional Arabic"/>
          <w:rtl/>
        </w:rPr>
        <w:t>،</w:t>
      </w:r>
      <w:r>
        <w:rPr>
          <w:rFonts w:ascii="Traditional Arabic" w:hAnsi="Traditional Arabic"/>
          <w:rtl/>
        </w:rPr>
        <w:t xml:space="preserve"> وبفضله ورحمته تزول الشدائد والكربات</w:t>
      </w:r>
      <w:r w:rsidR="00B76414">
        <w:rPr>
          <w:rFonts w:ascii="Traditional Arabic" w:hAnsi="Traditional Arabic"/>
          <w:rtl/>
        </w:rPr>
        <w:t>،</w:t>
      </w:r>
      <w:r>
        <w:rPr>
          <w:rFonts w:ascii="Traditional Arabic" w:hAnsi="Traditional Arabic"/>
          <w:rtl/>
        </w:rPr>
        <w:t xml:space="preserve"> والصلاة والسلام على نبيه محمد المؤيَّد بالمعجزات</w:t>
      </w:r>
      <w:r w:rsidR="00B76414">
        <w:rPr>
          <w:rFonts w:ascii="Traditional Arabic" w:hAnsi="Traditional Arabic"/>
          <w:rtl/>
        </w:rPr>
        <w:t>،</w:t>
      </w:r>
      <w:r>
        <w:rPr>
          <w:rFonts w:ascii="Traditional Arabic" w:hAnsi="Traditional Arabic"/>
          <w:rtl/>
        </w:rPr>
        <w:t xml:space="preserve"> وعلى آله وأصحابه أولي النُهى والمكرمات</w:t>
      </w:r>
      <w:r w:rsidR="00B76414">
        <w:rPr>
          <w:rFonts w:ascii="Traditional Arabic" w:hAnsi="Traditional Arabic"/>
          <w:rtl/>
        </w:rPr>
        <w:t>،</w:t>
      </w:r>
      <w:r>
        <w:rPr>
          <w:rFonts w:ascii="Traditional Arabic" w:hAnsi="Traditional Arabic"/>
          <w:rtl/>
        </w:rPr>
        <w:t xml:space="preserve"> وسلَّم تسليماً كثيراً</w:t>
      </w:r>
      <w:r w:rsidR="00B76414">
        <w:rPr>
          <w:rFonts w:ascii="Traditional Arabic" w:hAnsi="Traditional Arabic"/>
          <w:rtl/>
        </w:rPr>
        <w:t>.</w:t>
      </w:r>
    </w:p>
    <w:p w:rsidR="00F228A9" w:rsidRDefault="004F5A0D" w:rsidP="00597C20">
      <w:pPr>
        <w:spacing w:line="640" w:lineRule="exact"/>
        <w:jc w:val="lowKashida"/>
        <w:rPr>
          <w:rFonts w:ascii="Traditional Arabic" w:hAnsi="Traditional Arabic"/>
          <w:rtl/>
        </w:rPr>
      </w:pPr>
      <w:r>
        <w:rPr>
          <w:rFonts w:ascii="Traditional Arabic" w:hAnsi="Traditional Arabic"/>
          <w:rtl/>
        </w:rPr>
        <w:t>أما بعـــد :</w:t>
      </w:r>
    </w:p>
    <w:p w:rsidR="00F228A9" w:rsidRDefault="004F5A0D" w:rsidP="00597C20">
      <w:pPr>
        <w:spacing w:line="640" w:lineRule="exact"/>
        <w:jc w:val="lowKashida"/>
        <w:rPr>
          <w:rFonts w:ascii="Traditional Arabic" w:hAnsi="Traditional Arabic"/>
          <w:rtl/>
        </w:rPr>
      </w:pPr>
      <w:r>
        <w:rPr>
          <w:rFonts w:ascii="Traditional Arabic" w:hAnsi="Traditional Arabic"/>
          <w:rtl/>
        </w:rPr>
        <w:t>فمن خلال معايشتي لهذا البحث ردحاً من الزمن</w:t>
      </w:r>
      <w:r w:rsidR="00B76414">
        <w:rPr>
          <w:rFonts w:ascii="Traditional Arabic" w:hAnsi="Traditional Arabic"/>
          <w:rtl/>
        </w:rPr>
        <w:t>،</w:t>
      </w:r>
      <w:r>
        <w:rPr>
          <w:rFonts w:ascii="Traditional Arabic" w:hAnsi="Traditional Arabic"/>
          <w:rtl/>
        </w:rPr>
        <w:t xml:space="preserve"> فقد توصَّلت إلى عدد من النتائج المهمة التي تمخَّض عنها</w:t>
      </w:r>
      <w:r w:rsidR="00B76414">
        <w:rPr>
          <w:rFonts w:ascii="Traditional Arabic" w:hAnsi="Traditional Arabic"/>
          <w:rtl/>
        </w:rPr>
        <w:t>،</w:t>
      </w:r>
      <w:r>
        <w:rPr>
          <w:rFonts w:ascii="Traditional Arabic" w:hAnsi="Traditional Arabic"/>
          <w:rtl/>
        </w:rPr>
        <w:t xml:space="preserve"> ومن أهمها ما يلي :</w:t>
      </w:r>
    </w:p>
    <w:p w:rsidR="004F5A0D" w:rsidRDefault="004F5A0D" w:rsidP="000A76C7">
      <w:pPr>
        <w:numPr>
          <w:ilvl w:val="0"/>
          <w:numId w:val="322"/>
        </w:numPr>
        <w:tabs>
          <w:tab w:val="num" w:pos="1123"/>
        </w:tabs>
        <w:spacing w:line="640" w:lineRule="exact"/>
        <w:ind w:left="1123" w:hanging="669"/>
        <w:jc w:val="lowKashida"/>
        <w:rPr>
          <w:rFonts w:ascii="Traditional Arabic" w:hAnsi="Traditional Arabic"/>
          <w:b/>
          <w:bCs/>
          <w:rtl/>
        </w:rPr>
      </w:pPr>
      <w:r>
        <w:rPr>
          <w:rFonts w:ascii="Traditional Arabic" w:hAnsi="Traditional Arabic"/>
          <w:rtl/>
        </w:rPr>
        <w:t>أهمية القواعد والضوابط الفقهية</w:t>
      </w:r>
      <w:r w:rsidR="00DC355D">
        <w:rPr>
          <w:rFonts w:ascii="Traditional Arabic" w:hAnsi="Traditional Arabic" w:hint="cs"/>
          <w:rtl/>
        </w:rPr>
        <w:t>؛</w:t>
      </w:r>
      <w:r>
        <w:rPr>
          <w:rFonts w:ascii="Traditional Arabic" w:hAnsi="Traditional Arabic"/>
          <w:rtl/>
        </w:rPr>
        <w:t xml:space="preserve"> إذ إنها تمثِّل زبدة الفقه الإسلامي وعصارته</w:t>
      </w:r>
      <w:r w:rsidR="00B76414">
        <w:rPr>
          <w:rFonts w:ascii="Traditional Arabic" w:hAnsi="Traditional Arabic"/>
          <w:rtl/>
        </w:rPr>
        <w:t>،</w:t>
      </w:r>
      <w:r>
        <w:rPr>
          <w:rFonts w:ascii="Traditional Arabic" w:hAnsi="Traditional Arabic"/>
          <w:rtl/>
        </w:rPr>
        <w:t xml:space="preserve"> كما أن لها دوراً في تيسير الفقه الإسلامي ولمِّ شتاته</w:t>
      </w:r>
      <w:r w:rsidR="00B76414">
        <w:rPr>
          <w:rFonts w:ascii="Traditional Arabic" w:hAnsi="Traditional Arabic"/>
          <w:rtl/>
        </w:rPr>
        <w:t>،</w:t>
      </w:r>
      <w:r w:rsidR="00DC355D">
        <w:rPr>
          <w:rFonts w:ascii="Traditional Arabic" w:hAnsi="Traditional Arabic" w:hint="cs"/>
          <w:rtl/>
        </w:rPr>
        <w:t xml:space="preserve"> وتكوين الملكة الفقهية لدى الفقيه والتي تؤهله لربط المسائل الفقهية بقواعدها وردها إلى أصولها، وتنزيل الأحكام على المسائل الواقعة. </w:t>
      </w:r>
    </w:p>
    <w:p w:rsidR="004F5A0D" w:rsidRDefault="00DC355D" w:rsidP="000A76C7">
      <w:pPr>
        <w:numPr>
          <w:ilvl w:val="0"/>
          <w:numId w:val="322"/>
        </w:numPr>
        <w:tabs>
          <w:tab w:val="num" w:pos="1123"/>
        </w:tabs>
        <w:spacing w:line="640" w:lineRule="exact"/>
        <w:ind w:left="1123" w:hanging="669"/>
        <w:jc w:val="lowKashida"/>
        <w:rPr>
          <w:rFonts w:ascii="Traditional Arabic" w:hAnsi="Traditional Arabic"/>
          <w:b/>
          <w:bCs/>
        </w:rPr>
      </w:pPr>
      <w:r>
        <w:rPr>
          <w:rFonts w:ascii="Traditional Arabic" w:hAnsi="Traditional Arabic" w:hint="cs"/>
          <w:rtl/>
        </w:rPr>
        <w:t>اهتمام</w:t>
      </w:r>
      <w:r w:rsidR="004F5A0D">
        <w:rPr>
          <w:rFonts w:ascii="Traditional Arabic" w:hAnsi="Traditional Arabic"/>
          <w:rtl/>
        </w:rPr>
        <w:t xml:space="preserve"> الشيخ ابن عثيمين </w:t>
      </w:r>
      <w:r w:rsidR="009A0575" w:rsidRPr="005D5694">
        <w:rPr>
          <w:rFonts w:ascii="Traditional Arabic" w:hAnsi="Traditional Arabic" w:cs="CTraditional Arabic" w:hint="cs"/>
          <w:rtl/>
        </w:rPr>
        <w:t>/</w:t>
      </w:r>
      <w:r w:rsidR="004F5A0D">
        <w:rPr>
          <w:rFonts w:ascii="Traditional Arabic" w:hAnsi="Traditional Arabic"/>
          <w:rtl/>
        </w:rPr>
        <w:t xml:space="preserve"> بال</w:t>
      </w:r>
      <w:r>
        <w:rPr>
          <w:rFonts w:ascii="Traditional Arabic" w:hAnsi="Traditional Arabic" w:hint="cs"/>
          <w:rtl/>
        </w:rPr>
        <w:t>ت</w:t>
      </w:r>
      <w:r>
        <w:rPr>
          <w:rFonts w:ascii="Traditional Arabic" w:hAnsi="Traditional Arabic"/>
          <w:rtl/>
        </w:rPr>
        <w:t>ق</w:t>
      </w:r>
      <w:r w:rsidR="004F5A0D">
        <w:rPr>
          <w:rFonts w:ascii="Traditional Arabic" w:hAnsi="Traditional Arabic"/>
          <w:rtl/>
        </w:rPr>
        <w:t>ع</w:t>
      </w:r>
      <w:r>
        <w:rPr>
          <w:rFonts w:ascii="Traditional Arabic" w:hAnsi="Traditional Arabic" w:hint="cs"/>
          <w:rtl/>
        </w:rPr>
        <w:t>ي</w:t>
      </w:r>
      <w:r w:rsidR="004F5A0D">
        <w:rPr>
          <w:rFonts w:ascii="Traditional Arabic" w:hAnsi="Traditional Arabic"/>
          <w:rtl/>
        </w:rPr>
        <w:t xml:space="preserve">د </w:t>
      </w:r>
      <w:r>
        <w:rPr>
          <w:rFonts w:ascii="Traditional Arabic" w:hAnsi="Traditional Arabic" w:hint="cs"/>
          <w:rtl/>
        </w:rPr>
        <w:t xml:space="preserve">والتأصيل </w:t>
      </w:r>
      <w:r>
        <w:rPr>
          <w:rFonts w:ascii="Traditional Arabic" w:hAnsi="Traditional Arabic"/>
          <w:rtl/>
        </w:rPr>
        <w:t>الفقه</w:t>
      </w:r>
      <w:r>
        <w:rPr>
          <w:rFonts w:ascii="Traditional Arabic" w:hAnsi="Traditional Arabic" w:hint="cs"/>
          <w:rtl/>
        </w:rPr>
        <w:t>ي</w:t>
      </w:r>
      <w:r w:rsidR="00B76414">
        <w:rPr>
          <w:rFonts w:ascii="Traditional Arabic" w:hAnsi="Traditional Arabic"/>
          <w:rtl/>
        </w:rPr>
        <w:t>،</w:t>
      </w:r>
      <w:r>
        <w:rPr>
          <w:rFonts w:ascii="Traditional Arabic" w:hAnsi="Traditional Arabic"/>
          <w:rtl/>
        </w:rPr>
        <w:t xml:space="preserve"> </w:t>
      </w:r>
      <w:r>
        <w:rPr>
          <w:rFonts w:ascii="Traditional Arabic" w:hAnsi="Traditional Arabic" w:hint="cs"/>
          <w:rtl/>
        </w:rPr>
        <w:t>وقد</w:t>
      </w:r>
      <w:r w:rsidR="004F5A0D">
        <w:rPr>
          <w:rFonts w:ascii="Traditional Arabic" w:hAnsi="Traditional Arabic"/>
          <w:rtl/>
        </w:rPr>
        <w:t xml:space="preserve"> </w:t>
      </w:r>
      <w:r>
        <w:rPr>
          <w:rFonts w:ascii="Traditional Arabic" w:hAnsi="Traditional Arabic" w:hint="cs"/>
          <w:rtl/>
        </w:rPr>
        <w:t xml:space="preserve">برز ذلك </w:t>
      </w:r>
      <w:r w:rsidR="004F5A0D">
        <w:rPr>
          <w:rFonts w:ascii="Traditional Arabic" w:hAnsi="Traditional Arabic"/>
          <w:rtl/>
        </w:rPr>
        <w:t>في كثير من اختياراته وترجيحاته الفقهية</w:t>
      </w:r>
      <w:r w:rsidR="00B76414">
        <w:rPr>
          <w:rFonts w:ascii="Traditional Arabic" w:hAnsi="Traditional Arabic"/>
          <w:rtl/>
        </w:rPr>
        <w:t>،</w:t>
      </w:r>
      <w:r w:rsidR="004F5A0D">
        <w:rPr>
          <w:rFonts w:ascii="Traditional Arabic" w:hAnsi="Traditional Arabic"/>
          <w:rtl/>
        </w:rPr>
        <w:t xml:space="preserve"> </w:t>
      </w:r>
      <w:r>
        <w:rPr>
          <w:rFonts w:ascii="Traditional Arabic" w:hAnsi="Traditional Arabic" w:hint="cs"/>
          <w:rtl/>
        </w:rPr>
        <w:t xml:space="preserve">مما جعل العلماء وطلبة العلم يعتمدون اختياراته، ويقبلون على </w:t>
      </w:r>
      <w:r w:rsidR="0016512E">
        <w:rPr>
          <w:rFonts w:ascii="Traditional Arabic" w:hAnsi="Traditional Arabic" w:hint="cs"/>
          <w:rtl/>
        </w:rPr>
        <w:t>مؤلفاته</w:t>
      </w:r>
      <w:r w:rsidR="00B76414">
        <w:rPr>
          <w:rFonts w:ascii="Traditional Arabic" w:hAnsi="Traditional Arabic"/>
          <w:rtl/>
        </w:rPr>
        <w:t>.</w:t>
      </w:r>
    </w:p>
    <w:p w:rsidR="004F5A0D" w:rsidRPr="0016512E" w:rsidRDefault="004F5A0D" w:rsidP="000A76C7">
      <w:pPr>
        <w:numPr>
          <w:ilvl w:val="0"/>
          <w:numId w:val="322"/>
        </w:numPr>
        <w:tabs>
          <w:tab w:val="num" w:pos="1123"/>
        </w:tabs>
        <w:spacing w:line="640" w:lineRule="exact"/>
        <w:ind w:left="1123" w:hanging="669"/>
        <w:jc w:val="lowKashida"/>
        <w:rPr>
          <w:rFonts w:ascii="Traditional Arabic" w:hAnsi="Traditional Arabic"/>
          <w:b/>
          <w:bCs/>
        </w:rPr>
      </w:pPr>
      <w:r>
        <w:rPr>
          <w:rFonts w:ascii="Traditional Arabic" w:hAnsi="Traditional Arabic"/>
          <w:rtl/>
        </w:rPr>
        <w:t xml:space="preserve">ساهم الشيخ ابن عثيمين </w:t>
      </w:r>
      <w:r w:rsidR="009A0575" w:rsidRPr="005D5694">
        <w:rPr>
          <w:rFonts w:ascii="Traditional Arabic" w:hAnsi="Traditional Arabic" w:cs="CTraditional Arabic" w:hint="cs"/>
          <w:rtl/>
        </w:rPr>
        <w:t>/</w:t>
      </w:r>
      <w:r>
        <w:rPr>
          <w:rFonts w:ascii="Traditional Arabic" w:hAnsi="Traditional Arabic"/>
          <w:rtl/>
        </w:rPr>
        <w:t xml:space="preserve"> مساهمة فعَّالة في خدمة علم القواعد الفقهية وإثرائه</w:t>
      </w:r>
      <w:r w:rsidR="00B76414">
        <w:rPr>
          <w:rFonts w:ascii="Traditional Arabic" w:hAnsi="Traditional Arabic"/>
          <w:rtl/>
        </w:rPr>
        <w:t>،</w:t>
      </w:r>
      <w:r>
        <w:rPr>
          <w:rFonts w:ascii="Traditional Arabic" w:hAnsi="Traditional Arabic"/>
          <w:rtl/>
        </w:rPr>
        <w:t xml:space="preserve"> شرحاً وتنظيراً واستدلالاً وتطبيقاً</w:t>
      </w:r>
      <w:r w:rsidR="00B76414">
        <w:rPr>
          <w:rFonts w:ascii="Traditional Arabic" w:hAnsi="Traditional Arabic"/>
          <w:rtl/>
        </w:rPr>
        <w:t>،</w:t>
      </w:r>
      <w:r>
        <w:rPr>
          <w:rFonts w:ascii="Traditional Arabic" w:hAnsi="Traditional Arabic"/>
          <w:rtl/>
        </w:rPr>
        <w:t xml:space="preserve"> إضافة إلى ما حوته مؤلفاته وأشرطته من القواعد الفقهية المبثوثة في تضاعيفها</w:t>
      </w:r>
      <w:r w:rsidR="00B76414">
        <w:rPr>
          <w:rFonts w:ascii="Traditional Arabic" w:hAnsi="Traditional Arabic"/>
          <w:rtl/>
        </w:rPr>
        <w:t>.</w:t>
      </w:r>
    </w:p>
    <w:p w:rsidR="0016512E" w:rsidRDefault="0016512E" w:rsidP="000A76C7">
      <w:pPr>
        <w:numPr>
          <w:ilvl w:val="0"/>
          <w:numId w:val="322"/>
        </w:numPr>
        <w:tabs>
          <w:tab w:val="num" w:pos="1123"/>
        </w:tabs>
        <w:spacing w:line="640" w:lineRule="exact"/>
        <w:ind w:left="1123" w:hanging="669"/>
        <w:jc w:val="lowKashida"/>
        <w:rPr>
          <w:rFonts w:ascii="Traditional Arabic" w:hAnsi="Traditional Arabic"/>
          <w:b/>
          <w:bCs/>
        </w:rPr>
      </w:pPr>
      <w:r>
        <w:rPr>
          <w:rFonts w:ascii="Traditional Arabic" w:hAnsi="Traditional Arabic" w:hint="cs"/>
          <w:rtl/>
        </w:rPr>
        <w:t xml:space="preserve">أبان هذا البحث عن ترجمة موجزة للشيخ ابن عثيمين _رحمه الله_ مع بيان مكانته العلمية وذكر شيء من آثاره العلمية المقروءة والمسموعة. </w:t>
      </w:r>
    </w:p>
    <w:p w:rsidR="004F5A0D" w:rsidRDefault="0016512E" w:rsidP="000A76C7">
      <w:pPr>
        <w:numPr>
          <w:ilvl w:val="0"/>
          <w:numId w:val="322"/>
        </w:numPr>
        <w:tabs>
          <w:tab w:val="num" w:pos="1123"/>
        </w:tabs>
        <w:spacing w:line="640" w:lineRule="exact"/>
        <w:ind w:left="1123" w:hanging="669"/>
        <w:jc w:val="lowKashida"/>
        <w:rPr>
          <w:rFonts w:ascii="Traditional Arabic" w:hAnsi="Traditional Arabic"/>
          <w:b/>
          <w:bCs/>
        </w:rPr>
      </w:pPr>
      <w:r>
        <w:rPr>
          <w:rFonts w:ascii="Traditional Arabic" w:hAnsi="Traditional Arabic" w:hint="cs"/>
          <w:rtl/>
        </w:rPr>
        <w:t>ورد في هذا البحث</w:t>
      </w:r>
      <w:r>
        <w:rPr>
          <w:rFonts w:ascii="Traditional Arabic" w:hAnsi="Traditional Arabic"/>
          <w:rtl/>
        </w:rPr>
        <w:t xml:space="preserve"> </w:t>
      </w:r>
      <w:r w:rsidR="004F5A0D">
        <w:rPr>
          <w:rFonts w:ascii="Traditional Arabic" w:hAnsi="Traditional Arabic"/>
          <w:rtl/>
        </w:rPr>
        <w:t xml:space="preserve">التعــــريف بكتاب "الشــــرح الممتع" للشـــــيخ ابن عثيمين – </w:t>
      </w:r>
      <w:r w:rsidR="009A0575" w:rsidRPr="005D5694">
        <w:rPr>
          <w:rFonts w:ascii="Traditional Arabic" w:hAnsi="Traditional Arabic" w:cs="CTraditional Arabic" w:hint="cs"/>
          <w:rtl/>
        </w:rPr>
        <w:t>/</w:t>
      </w:r>
      <w:r w:rsidR="004F5A0D">
        <w:rPr>
          <w:rFonts w:ascii="Traditional Arabic" w:hAnsi="Traditional Arabic"/>
          <w:rtl/>
        </w:rPr>
        <w:t xml:space="preserve"> –</w:t>
      </w:r>
      <w:r w:rsidR="00B76414">
        <w:rPr>
          <w:rFonts w:ascii="Traditional Arabic" w:hAnsi="Traditional Arabic"/>
          <w:rtl/>
        </w:rPr>
        <w:t>،</w:t>
      </w:r>
      <w:r>
        <w:rPr>
          <w:rFonts w:ascii="Traditional Arabic" w:hAnsi="Traditional Arabic" w:hint="cs"/>
          <w:rtl/>
        </w:rPr>
        <w:t xml:space="preserve"> ومنهجه في هذا الكتاب، مع التمثيل لبعض عناصره</w:t>
      </w:r>
      <w:r w:rsidR="00B76414">
        <w:rPr>
          <w:rFonts w:ascii="Traditional Arabic" w:hAnsi="Traditional Arabic"/>
          <w:rtl/>
        </w:rPr>
        <w:t>.</w:t>
      </w:r>
    </w:p>
    <w:p w:rsidR="00E109BF" w:rsidRPr="00E109BF" w:rsidRDefault="00E109BF" w:rsidP="00E109BF">
      <w:pPr>
        <w:numPr>
          <w:ilvl w:val="0"/>
          <w:numId w:val="322"/>
        </w:numPr>
        <w:tabs>
          <w:tab w:val="num" w:pos="1123"/>
        </w:tabs>
        <w:spacing w:line="640" w:lineRule="exact"/>
        <w:ind w:left="1123" w:hanging="669"/>
        <w:jc w:val="lowKashida"/>
        <w:rPr>
          <w:rFonts w:ascii="Traditional Arabic" w:hAnsi="Traditional Arabic"/>
          <w:b/>
          <w:bCs/>
        </w:rPr>
      </w:pPr>
      <w:r>
        <w:rPr>
          <w:rFonts w:ascii="Traditional Arabic" w:hAnsi="Traditional Arabic" w:hint="cs"/>
          <w:rtl/>
        </w:rPr>
        <w:t>ورد</w:t>
      </w:r>
      <w:r w:rsidR="00A811DB">
        <w:rPr>
          <w:rFonts w:ascii="Traditional Arabic" w:hAnsi="Traditional Arabic"/>
          <w:rtl/>
        </w:rPr>
        <w:t xml:space="preserve"> في هذا البحث</w:t>
      </w:r>
      <w:r w:rsidR="00A811DB">
        <w:rPr>
          <w:rFonts w:ascii="Traditional Arabic" w:hAnsi="Traditional Arabic" w:hint="cs"/>
          <w:rtl/>
        </w:rPr>
        <w:t xml:space="preserve"> ذكر أوجه الفرق بين القاعدة الفقهية</w:t>
      </w:r>
      <w:r>
        <w:rPr>
          <w:rFonts w:ascii="Traditional Arabic" w:hAnsi="Traditional Arabic" w:hint="cs"/>
          <w:rtl/>
        </w:rPr>
        <w:t xml:space="preserve"> وبين الضابط الفقهي </w:t>
      </w:r>
      <w:r>
        <w:rPr>
          <w:rFonts w:ascii="Traditional Arabic" w:hAnsi="Traditional Arabic" w:hint="cs"/>
          <w:rtl/>
        </w:rPr>
        <w:lastRenderedPageBreak/>
        <w:t>والقاعدة الأصولية</w:t>
      </w:r>
      <w:r>
        <w:rPr>
          <w:rFonts w:ascii="Traditional Arabic" w:hAnsi="Traditional Arabic"/>
          <w:rtl/>
        </w:rPr>
        <w:t>.</w:t>
      </w:r>
    </w:p>
    <w:p w:rsidR="004F5A0D" w:rsidRDefault="004F5A0D" w:rsidP="000A76C7">
      <w:pPr>
        <w:numPr>
          <w:ilvl w:val="0"/>
          <w:numId w:val="322"/>
        </w:numPr>
        <w:tabs>
          <w:tab w:val="num" w:pos="1123"/>
        </w:tabs>
        <w:spacing w:line="640" w:lineRule="exact"/>
        <w:ind w:left="1123" w:hanging="669"/>
        <w:jc w:val="lowKashida"/>
        <w:rPr>
          <w:rFonts w:ascii="Traditional Arabic" w:hAnsi="Traditional Arabic"/>
          <w:b/>
          <w:bCs/>
        </w:rPr>
      </w:pPr>
      <w:r>
        <w:rPr>
          <w:rFonts w:ascii="Traditional Arabic" w:hAnsi="Traditional Arabic"/>
          <w:rtl/>
        </w:rPr>
        <w:t>أبان هذ</w:t>
      </w:r>
      <w:r w:rsidR="00A811DB">
        <w:rPr>
          <w:rFonts w:ascii="Traditional Arabic" w:hAnsi="Traditional Arabic"/>
          <w:rtl/>
        </w:rPr>
        <w:t xml:space="preserve">ا البحث </w:t>
      </w:r>
      <w:r w:rsidR="00A811DB">
        <w:rPr>
          <w:rFonts w:ascii="Traditional Arabic" w:hAnsi="Traditional Arabic" w:hint="cs"/>
          <w:rtl/>
        </w:rPr>
        <w:t xml:space="preserve">عن </w:t>
      </w:r>
      <w:r w:rsidR="00A811DB">
        <w:rPr>
          <w:rFonts w:ascii="Traditional Arabic" w:hAnsi="Traditional Arabic"/>
          <w:rtl/>
        </w:rPr>
        <w:t>جملة</w:t>
      </w:r>
      <w:r>
        <w:rPr>
          <w:rFonts w:ascii="Traditional Arabic" w:hAnsi="Traditional Arabic"/>
          <w:rtl/>
        </w:rPr>
        <w:t xml:space="preserve"> </w:t>
      </w:r>
      <w:r w:rsidR="00A811DB">
        <w:rPr>
          <w:rFonts w:ascii="Traditional Arabic" w:hAnsi="Traditional Arabic" w:hint="cs"/>
          <w:rtl/>
        </w:rPr>
        <w:t xml:space="preserve">من المصادر التي استقى منها الشيخ </w:t>
      </w:r>
      <w:r>
        <w:rPr>
          <w:rFonts w:ascii="Traditional Arabic" w:hAnsi="Traditional Arabic"/>
          <w:rtl/>
        </w:rPr>
        <w:t xml:space="preserve">ابن عثيمين </w:t>
      </w:r>
      <w:r w:rsidR="0016512E">
        <w:rPr>
          <w:rFonts w:ascii="Traditional Arabic" w:hAnsi="Traditional Arabic" w:hint="cs"/>
          <w:rtl/>
        </w:rPr>
        <w:t>_</w:t>
      </w:r>
      <w:r w:rsidR="009A0575" w:rsidRPr="005D5694">
        <w:rPr>
          <w:rFonts w:ascii="Traditional Arabic" w:hAnsi="Traditional Arabic" w:cs="CTraditional Arabic" w:hint="cs"/>
          <w:rtl/>
        </w:rPr>
        <w:t>/</w:t>
      </w:r>
      <w:r w:rsidR="0016512E">
        <w:rPr>
          <w:rFonts w:ascii="Traditional Arabic" w:hAnsi="Traditional Arabic" w:hint="cs"/>
          <w:rtl/>
        </w:rPr>
        <w:t>_</w:t>
      </w:r>
      <w:r w:rsidR="00A811DB">
        <w:rPr>
          <w:rFonts w:ascii="Traditional Arabic" w:hAnsi="Traditional Arabic" w:hint="cs"/>
          <w:rtl/>
        </w:rPr>
        <w:t xml:space="preserve"> القاعدة الفقهية</w:t>
      </w:r>
      <w:r w:rsidR="00B41E0F">
        <w:rPr>
          <w:rFonts w:ascii="Traditional Arabic" w:hAnsi="Traditional Arabic" w:hint="cs"/>
          <w:rtl/>
        </w:rPr>
        <w:t>، وقد تأثر الشيخ في ذلك كثيرا بكل من شيخ الإسلام ابن تيمية وابن القيم والشيخ عبد الرحمن السعدي</w:t>
      </w:r>
      <w:r w:rsidR="00E109BF">
        <w:rPr>
          <w:rFonts w:ascii="Traditional Arabic" w:hAnsi="Traditional Arabic" w:hint="cs"/>
          <w:rtl/>
        </w:rPr>
        <w:t>.</w:t>
      </w:r>
    </w:p>
    <w:p w:rsidR="004F5A0D" w:rsidRDefault="004F5A0D" w:rsidP="000A76C7">
      <w:pPr>
        <w:numPr>
          <w:ilvl w:val="0"/>
          <w:numId w:val="322"/>
        </w:numPr>
        <w:tabs>
          <w:tab w:val="num" w:pos="1123"/>
        </w:tabs>
        <w:spacing w:line="640" w:lineRule="exact"/>
        <w:ind w:left="1123" w:hanging="669"/>
        <w:jc w:val="lowKashida"/>
        <w:rPr>
          <w:rFonts w:ascii="Traditional Arabic" w:hAnsi="Traditional Arabic"/>
          <w:b/>
          <w:bCs/>
        </w:rPr>
      </w:pPr>
      <w:r>
        <w:rPr>
          <w:rFonts w:ascii="Traditional Arabic" w:hAnsi="Traditional Arabic"/>
          <w:rtl/>
        </w:rPr>
        <w:t xml:space="preserve">حَوَت آثار الشيخ ابن عثيمين </w:t>
      </w:r>
      <w:r w:rsidR="009A0575" w:rsidRPr="005D5694">
        <w:rPr>
          <w:rFonts w:ascii="Traditional Arabic" w:hAnsi="Traditional Arabic" w:cs="CTraditional Arabic" w:hint="cs"/>
          <w:rtl/>
        </w:rPr>
        <w:t>/</w:t>
      </w:r>
      <w:r>
        <w:rPr>
          <w:rFonts w:ascii="Traditional Arabic" w:hAnsi="Traditional Arabic"/>
          <w:rtl/>
        </w:rPr>
        <w:t xml:space="preserve"> على عددٍ غير يسير من القواعد الفقهية</w:t>
      </w:r>
      <w:r w:rsidR="00B76414">
        <w:rPr>
          <w:rFonts w:ascii="Traditional Arabic" w:hAnsi="Traditional Arabic"/>
          <w:rtl/>
        </w:rPr>
        <w:t>،</w:t>
      </w:r>
      <w:r>
        <w:rPr>
          <w:rFonts w:ascii="Traditional Arabic" w:hAnsi="Traditional Arabic"/>
          <w:rtl/>
        </w:rPr>
        <w:t xml:space="preserve"> وقد امتازت تلك القواعد بالتأصيل</w:t>
      </w:r>
      <w:r w:rsidR="00B76414">
        <w:rPr>
          <w:rFonts w:ascii="Traditional Arabic" w:hAnsi="Traditional Arabic"/>
          <w:rtl/>
        </w:rPr>
        <w:t>،</w:t>
      </w:r>
      <w:r>
        <w:rPr>
          <w:rFonts w:ascii="Traditional Arabic" w:hAnsi="Traditional Arabic"/>
          <w:rtl/>
        </w:rPr>
        <w:t xml:space="preserve"> وارتباطها بواقع الناس</w:t>
      </w:r>
      <w:r w:rsidR="00B76414">
        <w:rPr>
          <w:rFonts w:ascii="Traditional Arabic" w:hAnsi="Traditional Arabic"/>
          <w:rtl/>
        </w:rPr>
        <w:t>،</w:t>
      </w:r>
      <w:r>
        <w:rPr>
          <w:rFonts w:ascii="Traditional Arabic" w:hAnsi="Traditional Arabic"/>
          <w:rtl/>
        </w:rPr>
        <w:t xml:space="preserve"> والوضوح والسهولة</w:t>
      </w:r>
      <w:r w:rsidR="00B76414">
        <w:rPr>
          <w:rFonts w:ascii="Traditional Arabic" w:hAnsi="Traditional Arabic"/>
          <w:rtl/>
        </w:rPr>
        <w:t>،</w:t>
      </w:r>
      <w:r>
        <w:rPr>
          <w:rFonts w:ascii="Traditional Arabic" w:hAnsi="Traditional Arabic"/>
          <w:rtl/>
        </w:rPr>
        <w:t xml:space="preserve"> والشمولية</w:t>
      </w:r>
      <w:r w:rsidR="00B76414">
        <w:rPr>
          <w:rFonts w:ascii="Traditional Arabic" w:hAnsi="Traditional Arabic"/>
          <w:rtl/>
        </w:rPr>
        <w:t>،</w:t>
      </w:r>
      <w:r>
        <w:rPr>
          <w:rFonts w:ascii="Traditional Arabic" w:hAnsi="Traditional Arabic"/>
          <w:rtl/>
        </w:rPr>
        <w:t xml:space="preserve"> والاعتماد عليها في الترجيح بين الأقوال</w:t>
      </w:r>
      <w:r w:rsidR="0016512E">
        <w:rPr>
          <w:rFonts w:ascii="Traditional Arabic" w:hAnsi="Traditional Arabic" w:hint="cs"/>
          <w:rtl/>
        </w:rPr>
        <w:t>، وقد بلغ عد</w:t>
      </w:r>
      <w:r w:rsidR="00A811DB">
        <w:rPr>
          <w:rFonts w:ascii="Traditional Arabic" w:hAnsi="Traditional Arabic" w:hint="cs"/>
          <w:rtl/>
        </w:rPr>
        <w:t xml:space="preserve">د القواعد الواردة هذا البحث </w:t>
      </w:r>
      <w:r w:rsidR="00B41E0F">
        <w:rPr>
          <w:rFonts w:ascii="Traditional Arabic" w:hAnsi="Traditional Arabic" w:hint="cs"/>
          <w:rtl/>
        </w:rPr>
        <w:t>تسعة وخمسين قاعدة فقهية، وسبعة عشر</w:t>
      </w:r>
      <w:r w:rsidR="0016512E">
        <w:rPr>
          <w:rFonts w:ascii="Traditional Arabic" w:hAnsi="Traditional Arabic" w:hint="cs"/>
          <w:rtl/>
        </w:rPr>
        <w:t xml:space="preserve"> ضابطا فقهيا</w:t>
      </w:r>
      <w:r w:rsidR="00B76414">
        <w:rPr>
          <w:rFonts w:ascii="Traditional Arabic" w:hAnsi="Traditional Arabic"/>
          <w:rtl/>
        </w:rPr>
        <w:t>.</w:t>
      </w:r>
    </w:p>
    <w:p w:rsidR="004F5A0D" w:rsidRDefault="004F5A0D" w:rsidP="000A76C7">
      <w:pPr>
        <w:numPr>
          <w:ilvl w:val="0"/>
          <w:numId w:val="322"/>
        </w:numPr>
        <w:tabs>
          <w:tab w:val="num" w:pos="1123"/>
        </w:tabs>
        <w:spacing w:line="640" w:lineRule="exact"/>
        <w:ind w:left="1123" w:hanging="669"/>
        <w:jc w:val="lowKashida"/>
        <w:rPr>
          <w:rFonts w:ascii="Traditional Arabic" w:hAnsi="Traditional Arabic"/>
          <w:b/>
          <w:bCs/>
        </w:rPr>
      </w:pPr>
      <w:r>
        <w:rPr>
          <w:rFonts w:ascii="Traditional Arabic" w:hAnsi="Traditional Arabic"/>
          <w:rtl/>
        </w:rPr>
        <w:t>ظهر أثر بعض القواعد جلي</w:t>
      </w:r>
      <w:r w:rsidR="0016512E">
        <w:rPr>
          <w:rFonts w:ascii="Traditional Arabic" w:hAnsi="Traditional Arabic" w:hint="cs"/>
          <w:rtl/>
        </w:rPr>
        <w:t>ّ</w:t>
      </w:r>
      <w:r>
        <w:rPr>
          <w:rFonts w:ascii="Traditional Arabic" w:hAnsi="Traditional Arabic"/>
          <w:rtl/>
        </w:rPr>
        <w:t>ا</w:t>
      </w:r>
      <w:r w:rsidR="0016512E">
        <w:rPr>
          <w:rFonts w:ascii="Traditional Arabic" w:hAnsi="Traditional Arabic" w:hint="cs"/>
          <w:rtl/>
        </w:rPr>
        <w:t>ً</w:t>
      </w:r>
      <w:r>
        <w:rPr>
          <w:rFonts w:ascii="Traditional Arabic" w:hAnsi="Traditional Arabic"/>
          <w:rtl/>
        </w:rPr>
        <w:t xml:space="preserve"> في فقه الشيخ ابن عثيمين </w:t>
      </w:r>
      <w:r w:rsidR="009A0575" w:rsidRPr="005D5694">
        <w:rPr>
          <w:rFonts w:ascii="Traditional Arabic" w:hAnsi="Traditional Arabic" w:cs="CTraditional Arabic" w:hint="cs"/>
          <w:rtl/>
        </w:rPr>
        <w:t>/</w:t>
      </w:r>
      <w:r>
        <w:rPr>
          <w:rFonts w:ascii="Traditional Arabic" w:hAnsi="Traditional Arabic"/>
          <w:rtl/>
        </w:rPr>
        <w:t xml:space="preserve"> في المعاملات المالية، ويمكن إجمالها في القواعد التالية:</w:t>
      </w:r>
    </w:p>
    <w:p w:rsidR="004F5A0D" w:rsidRDefault="004F5A0D"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rtl/>
        </w:rPr>
        <w:t>قاعدة إنما الأعمال بالنيات.</w:t>
      </w:r>
    </w:p>
    <w:p w:rsidR="004F5A0D" w:rsidRPr="004B4828" w:rsidRDefault="004F5A0D"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rtl/>
        </w:rPr>
        <w:t>قاعدة الحيل</w:t>
      </w:r>
      <w:r w:rsidR="00E109BF">
        <w:rPr>
          <w:rFonts w:ascii="Traditional Arabic" w:hAnsi="Traditional Arabic" w:hint="cs"/>
          <w:rtl/>
        </w:rPr>
        <w:t xml:space="preserve"> ممنوعة شرعا</w:t>
      </w:r>
      <w:r>
        <w:rPr>
          <w:rFonts w:ascii="Traditional Arabic" w:hAnsi="Traditional Arabic"/>
          <w:rtl/>
        </w:rPr>
        <w:t>.</w:t>
      </w:r>
    </w:p>
    <w:p w:rsidR="004B4828" w:rsidRDefault="004B4828"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hint="cs"/>
          <w:rtl/>
        </w:rPr>
        <w:t>قاعدة سد الذرائع.</w:t>
      </w:r>
    </w:p>
    <w:p w:rsidR="004F5A0D" w:rsidRDefault="004F5A0D"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rtl/>
        </w:rPr>
        <w:t>قاعدة المعاملة بنقيض القصد.</w:t>
      </w:r>
    </w:p>
    <w:p w:rsidR="004F5A0D" w:rsidRDefault="004F5A0D"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rtl/>
        </w:rPr>
        <w:t>قاعدة لا ضرر ولا ضرار.</w:t>
      </w:r>
    </w:p>
    <w:p w:rsidR="004F5A0D" w:rsidRDefault="004F5A0D"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rtl/>
        </w:rPr>
        <w:t>قاعدة المشقة تجلب التيسير.</w:t>
      </w:r>
    </w:p>
    <w:p w:rsidR="004F5A0D" w:rsidRDefault="004F5A0D"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rtl/>
        </w:rPr>
        <w:t>قاعدة الأصل بقاء ما كان على ما كان.</w:t>
      </w:r>
    </w:p>
    <w:p w:rsidR="004F5A0D" w:rsidRDefault="004B4828"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rtl/>
        </w:rPr>
        <w:t>ق</w:t>
      </w:r>
      <w:r>
        <w:rPr>
          <w:rFonts w:ascii="Traditional Arabic" w:hAnsi="Traditional Arabic" w:hint="cs"/>
          <w:rtl/>
        </w:rPr>
        <w:t>واعد</w:t>
      </w:r>
      <w:r w:rsidR="004F5A0D">
        <w:rPr>
          <w:rFonts w:ascii="Traditional Arabic" w:hAnsi="Traditional Arabic"/>
          <w:rtl/>
        </w:rPr>
        <w:t xml:space="preserve"> العرف.</w:t>
      </w:r>
    </w:p>
    <w:p w:rsidR="004B4828" w:rsidRPr="004B4828" w:rsidRDefault="004B4828" w:rsidP="000A76C7">
      <w:pPr>
        <w:numPr>
          <w:ilvl w:val="0"/>
          <w:numId w:val="323"/>
        </w:numPr>
        <w:tabs>
          <w:tab w:val="num" w:pos="1123"/>
        </w:tabs>
        <w:spacing w:line="640" w:lineRule="exact"/>
        <w:jc w:val="lowKashida"/>
        <w:rPr>
          <w:rFonts w:ascii="Traditional Arabic" w:hAnsi="Traditional Arabic"/>
        </w:rPr>
      </w:pPr>
      <w:r w:rsidRPr="004B4828">
        <w:rPr>
          <w:rFonts w:ascii="Traditional Arabic" w:hAnsi="Traditional Arabic" w:hint="cs"/>
          <w:rtl/>
        </w:rPr>
        <w:t>قواعد المصالح</w:t>
      </w:r>
      <w:r>
        <w:rPr>
          <w:rFonts w:ascii="Traditional Arabic" w:hAnsi="Traditional Arabic" w:hint="cs"/>
          <w:rtl/>
        </w:rPr>
        <w:t>.</w:t>
      </w:r>
    </w:p>
    <w:p w:rsidR="004F5A0D" w:rsidRDefault="004F5A0D"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rtl/>
        </w:rPr>
        <w:t>قاعدة الأصل في العقود والشروط الجواز والصحة.</w:t>
      </w:r>
    </w:p>
    <w:p w:rsidR="004F5A0D" w:rsidRDefault="004F5A0D" w:rsidP="000A76C7">
      <w:pPr>
        <w:numPr>
          <w:ilvl w:val="0"/>
          <w:numId w:val="323"/>
        </w:numPr>
        <w:tabs>
          <w:tab w:val="num" w:pos="1123"/>
        </w:tabs>
        <w:spacing w:line="640" w:lineRule="exact"/>
        <w:jc w:val="lowKashida"/>
        <w:rPr>
          <w:rFonts w:ascii="Traditional Arabic" w:hAnsi="Traditional Arabic"/>
          <w:b/>
          <w:bCs/>
        </w:rPr>
      </w:pPr>
      <w:r>
        <w:rPr>
          <w:rFonts w:ascii="Traditional Arabic" w:hAnsi="Traditional Arabic"/>
          <w:rtl/>
        </w:rPr>
        <w:t>قاعدة مدار المعاملات المحرمة على الظلم والغرر والربا.</w:t>
      </w:r>
    </w:p>
    <w:p w:rsidR="004F5A0D" w:rsidRDefault="004F5A0D" w:rsidP="00597C20">
      <w:pPr>
        <w:spacing w:line="640" w:lineRule="exact"/>
        <w:jc w:val="lowKashida"/>
        <w:rPr>
          <w:rFonts w:ascii="Traditional Arabic" w:hAnsi="Traditional Arabic"/>
          <w:b/>
          <w:bCs/>
          <w:rtl/>
        </w:rPr>
      </w:pPr>
      <w:r>
        <w:rPr>
          <w:rFonts w:ascii="Traditional Arabic" w:hAnsi="Traditional Arabic"/>
          <w:rtl/>
        </w:rPr>
        <w:lastRenderedPageBreak/>
        <w:t>ولعلَّ في هذه الدراسة – المتواضعة – ما يعزِّز الجهود الأخرى</w:t>
      </w:r>
      <w:r w:rsidR="00B76414">
        <w:rPr>
          <w:rFonts w:ascii="Traditional Arabic" w:hAnsi="Traditional Arabic"/>
          <w:rtl/>
        </w:rPr>
        <w:t>،</w:t>
      </w:r>
      <w:r>
        <w:rPr>
          <w:rFonts w:ascii="Traditional Arabic" w:hAnsi="Traditional Arabic"/>
          <w:rtl/>
        </w:rPr>
        <w:t xml:space="preserve"> المبذولة في علم القواعد </w:t>
      </w:r>
      <w:r w:rsidR="00E109BF">
        <w:rPr>
          <w:rFonts w:ascii="Traditional Arabic" w:hAnsi="Traditional Arabic" w:hint="cs"/>
          <w:rtl/>
        </w:rPr>
        <w:t>الفقهية</w:t>
      </w:r>
      <w:r w:rsidR="00B76414">
        <w:rPr>
          <w:rFonts w:ascii="Traditional Arabic" w:hAnsi="Traditional Arabic"/>
          <w:rtl/>
        </w:rPr>
        <w:t>،</w:t>
      </w:r>
      <w:r>
        <w:rPr>
          <w:rFonts w:ascii="Traditional Arabic" w:hAnsi="Traditional Arabic"/>
          <w:rtl/>
        </w:rPr>
        <w:t xml:space="preserve"> وأن تكون خطوة في طريق تنمية هذا العلم</w:t>
      </w:r>
      <w:r w:rsidR="00B76414">
        <w:rPr>
          <w:rFonts w:ascii="Traditional Arabic" w:hAnsi="Traditional Arabic"/>
          <w:rtl/>
        </w:rPr>
        <w:t>،</w:t>
      </w:r>
      <w:r>
        <w:rPr>
          <w:rFonts w:ascii="Traditional Arabic" w:hAnsi="Traditional Arabic"/>
          <w:rtl/>
        </w:rPr>
        <w:t xml:space="preserve"> وإثرائه وتأصيله نظريَّاً وتطبيقيِّاً.</w:t>
      </w:r>
    </w:p>
    <w:p w:rsidR="00F228A9" w:rsidRDefault="004F5A0D" w:rsidP="00E109BF">
      <w:pPr>
        <w:spacing w:line="640" w:lineRule="exact"/>
        <w:ind w:firstLine="0"/>
        <w:jc w:val="lowKashida"/>
        <w:rPr>
          <w:rFonts w:ascii="Traditional Arabic" w:hAnsi="Traditional Arabic"/>
          <w:rtl/>
        </w:rPr>
      </w:pPr>
      <w:r>
        <w:rPr>
          <w:rFonts w:ascii="Traditional Arabic" w:hAnsi="Traditional Arabic"/>
          <w:rtl/>
        </w:rPr>
        <w:t xml:space="preserve"> </w:t>
      </w:r>
      <w:r w:rsidR="00E109BF">
        <w:rPr>
          <w:rFonts w:ascii="Traditional Arabic" w:hAnsi="Traditional Arabic" w:hint="cs"/>
          <w:rtl/>
        </w:rPr>
        <w:t xml:space="preserve">   </w:t>
      </w:r>
      <w:r w:rsidR="00E109BF">
        <w:rPr>
          <w:rFonts w:ascii="Traditional Arabic" w:hAnsi="Traditional Arabic"/>
          <w:rtl/>
        </w:rPr>
        <w:t>و</w:t>
      </w:r>
      <w:r w:rsidR="00E109BF">
        <w:rPr>
          <w:rFonts w:ascii="Traditional Arabic" w:hAnsi="Traditional Arabic" w:hint="cs"/>
          <w:rtl/>
        </w:rPr>
        <w:t>في ال</w:t>
      </w:r>
      <w:r w:rsidR="00E109BF">
        <w:rPr>
          <w:rFonts w:ascii="Traditional Arabic" w:hAnsi="Traditional Arabic"/>
          <w:rtl/>
        </w:rPr>
        <w:t>خت</w:t>
      </w:r>
      <w:r w:rsidR="00E109BF">
        <w:rPr>
          <w:rFonts w:ascii="Traditional Arabic" w:hAnsi="Traditional Arabic" w:hint="cs"/>
          <w:rtl/>
        </w:rPr>
        <w:t>ا</w:t>
      </w:r>
      <w:r w:rsidR="00E109BF">
        <w:rPr>
          <w:rFonts w:ascii="Traditional Arabic" w:hAnsi="Traditional Arabic"/>
          <w:rtl/>
        </w:rPr>
        <w:t>م</w:t>
      </w:r>
      <w:r w:rsidR="00E109BF">
        <w:rPr>
          <w:rFonts w:ascii="Traditional Arabic" w:hAnsi="Traditional Arabic" w:hint="cs"/>
          <w:rtl/>
        </w:rPr>
        <w:t>،</w:t>
      </w:r>
      <w:r>
        <w:rPr>
          <w:rFonts w:ascii="Traditional Arabic" w:hAnsi="Traditional Arabic"/>
          <w:rtl/>
        </w:rPr>
        <w:t xml:space="preserve"> أحببت </w:t>
      </w:r>
      <w:r w:rsidR="00E109BF">
        <w:rPr>
          <w:rFonts w:ascii="Traditional Arabic" w:hAnsi="Traditional Arabic" w:hint="cs"/>
          <w:rtl/>
        </w:rPr>
        <w:t>ب</w:t>
      </w:r>
      <w:r>
        <w:rPr>
          <w:rFonts w:ascii="Traditional Arabic" w:hAnsi="Traditional Arabic"/>
          <w:rtl/>
        </w:rPr>
        <w:t>أن أضع بين يدي القارئ عدداً من التوصيات والمقترحات</w:t>
      </w:r>
      <w:r w:rsidR="00B76414">
        <w:rPr>
          <w:rFonts w:ascii="Traditional Arabic" w:hAnsi="Traditional Arabic"/>
          <w:rtl/>
        </w:rPr>
        <w:t>،</w:t>
      </w:r>
      <w:r>
        <w:rPr>
          <w:rFonts w:ascii="Traditional Arabic" w:hAnsi="Traditional Arabic"/>
          <w:rtl/>
        </w:rPr>
        <w:t xml:space="preserve"> النابعة من دراسة هذا البحث</w:t>
      </w:r>
      <w:r w:rsidR="00B76414">
        <w:rPr>
          <w:rFonts w:ascii="Traditional Arabic" w:hAnsi="Traditional Arabic"/>
          <w:rtl/>
        </w:rPr>
        <w:t>،</w:t>
      </w:r>
      <w:r>
        <w:rPr>
          <w:rFonts w:ascii="Traditional Arabic" w:hAnsi="Traditional Arabic"/>
          <w:rtl/>
        </w:rPr>
        <w:t xml:space="preserve"> وهي كالتالي :</w:t>
      </w:r>
    </w:p>
    <w:p w:rsidR="00F228A9" w:rsidRDefault="00F228A9" w:rsidP="000A76C7">
      <w:pPr>
        <w:numPr>
          <w:ilvl w:val="0"/>
          <w:numId w:val="324"/>
        </w:numPr>
        <w:tabs>
          <w:tab w:val="num" w:pos="1123"/>
        </w:tabs>
        <w:spacing w:line="640" w:lineRule="exact"/>
        <w:ind w:left="1123" w:hanging="669"/>
        <w:jc w:val="lowKashida"/>
        <w:rPr>
          <w:rFonts w:ascii="Traditional Arabic" w:hAnsi="Traditional Arabic"/>
          <w:b/>
          <w:bCs/>
          <w:rtl/>
        </w:rPr>
      </w:pPr>
      <w:r>
        <w:rPr>
          <w:rFonts w:ascii="Traditional Arabic" w:hAnsi="Traditional Arabic"/>
          <w:rtl/>
        </w:rPr>
        <w:t>ضرورة الاهتمام بمنهج القواعد الفقهية، وإدراجه – بصفة مستقلة – ضمن المناهج الدراسية لطلاب التخصصات الشرعية</w:t>
      </w:r>
      <w:r w:rsidR="005952BE">
        <w:rPr>
          <w:rFonts w:ascii="Traditional Arabic" w:hAnsi="Traditional Arabic" w:hint="cs"/>
          <w:rtl/>
        </w:rPr>
        <w:t>، والحرص على أن ي</w:t>
      </w:r>
      <w:r w:rsidR="00E109BF">
        <w:rPr>
          <w:rFonts w:ascii="Traditional Arabic" w:hAnsi="Traditional Arabic" w:hint="cs"/>
          <w:rtl/>
        </w:rPr>
        <w:t>ُ</w:t>
      </w:r>
      <w:r w:rsidR="005952BE">
        <w:rPr>
          <w:rFonts w:ascii="Traditional Arabic" w:hAnsi="Traditional Arabic" w:hint="cs"/>
          <w:rtl/>
        </w:rPr>
        <w:t>جمع فيه بين التأصيل والتفريع، وربط الفروع بالقواعد ببيان العلاقة بينها ووجه اندراج الفروع تحت القواعد، ووجه خروج بعض الفروع عن القواعد واستثنائها منها</w:t>
      </w:r>
      <w:r>
        <w:rPr>
          <w:rFonts w:ascii="Traditional Arabic" w:hAnsi="Traditional Arabic"/>
          <w:rtl/>
        </w:rPr>
        <w:t>.</w:t>
      </w:r>
    </w:p>
    <w:p w:rsidR="004F5A0D" w:rsidRDefault="004F5A0D" w:rsidP="000A76C7">
      <w:pPr>
        <w:numPr>
          <w:ilvl w:val="0"/>
          <w:numId w:val="324"/>
        </w:numPr>
        <w:tabs>
          <w:tab w:val="num" w:pos="1123"/>
        </w:tabs>
        <w:spacing w:line="640" w:lineRule="exact"/>
        <w:ind w:left="1123" w:hanging="669"/>
        <w:jc w:val="lowKashida"/>
        <w:rPr>
          <w:rFonts w:ascii="Traditional Arabic" w:hAnsi="Traditional Arabic"/>
          <w:b/>
          <w:bCs/>
          <w:rtl/>
        </w:rPr>
      </w:pPr>
      <w:r>
        <w:rPr>
          <w:rFonts w:ascii="Traditional Arabic" w:hAnsi="Traditional Arabic"/>
          <w:rtl/>
        </w:rPr>
        <w:t>انطلاقاً من أهميِّة علم القواعد الفقهية</w:t>
      </w:r>
      <w:r w:rsidR="00B76414">
        <w:rPr>
          <w:rFonts w:ascii="Traditional Arabic" w:hAnsi="Traditional Arabic"/>
          <w:rtl/>
        </w:rPr>
        <w:t>،</w:t>
      </w:r>
      <w:r>
        <w:rPr>
          <w:rFonts w:ascii="Traditional Arabic" w:hAnsi="Traditional Arabic"/>
          <w:rtl/>
        </w:rPr>
        <w:t xml:space="preserve"> فإني أدعو الباحثين إلى استخراج تلك القواعد والضوابط الفقهية</w:t>
      </w:r>
      <w:r w:rsidR="00B76414">
        <w:rPr>
          <w:rFonts w:ascii="Traditional Arabic" w:hAnsi="Traditional Arabic"/>
          <w:rtl/>
        </w:rPr>
        <w:t>،</w:t>
      </w:r>
      <w:r>
        <w:rPr>
          <w:rFonts w:ascii="Traditional Arabic" w:hAnsi="Traditional Arabic"/>
          <w:rtl/>
        </w:rPr>
        <w:t xml:space="preserve"> من بطون كتب أهل العلم في مصادر الفقه المختلفة في المذاهب الأربعة</w:t>
      </w:r>
      <w:r w:rsidR="00B76414">
        <w:rPr>
          <w:rFonts w:ascii="Traditional Arabic" w:hAnsi="Traditional Arabic"/>
          <w:rtl/>
        </w:rPr>
        <w:t>،</w:t>
      </w:r>
      <w:r>
        <w:rPr>
          <w:rFonts w:ascii="Traditional Arabic" w:hAnsi="Traditional Arabic"/>
          <w:rtl/>
        </w:rPr>
        <w:t xml:space="preserve"> ودراستها على المستوى النظري والتطبيقي</w:t>
      </w:r>
      <w:r w:rsidR="00B76414">
        <w:rPr>
          <w:rFonts w:ascii="Traditional Arabic" w:hAnsi="Traditional Arabic"/>
          <w:rtl/>
        </w:rPr>
        <w:t>،</w:t>
      </w:r>
      <w:r>
        <w:rPr>
          <w:rFonts w:ascii="Traditional Arabic" w:hAnsi="Traditional Arabic"/>
          <w:rtl/>
        </w:rPr>
        <w:t xml:space="preserve"> وربط ذلك بحياة الناس وشؤونهم المعاصرة</w:t>
      </w:r>
      <w:r w:rsidR="00B76414">
        <w:rPr>
          <w:rFonts w:ascii="Traditional Arabic" w:hAnsi="Traditional Arabic"/>
          <w:rtl/>
        </w:rPr>
        <w:t>.</w:t>
      </w:r>
    </w:p>
    <w:p w:rsidR="004F5A0D" w:rsidRDefault="004F5A0D" w:rsidP="000A76C7">
      <w:pPr>
        <w:numPr>
          <w:ilvl w:val="0"/>
          <w:numId w:val="324"/>
        </w:numPr>
        <w:tabs>
          <w:tab w:val="num" w:pos="1123"/>
        </w:tabs>
        <w:spacing w:line="640" w:lineRule="exact"/>
        <w:ind w:left="1123" w:hanging="669"/>
        <w:jc w:val="lowKashida"/>
        <w:rPr>
          <w:rFonts w:ascii="Traditional Arabic" w:hAnsi="Traditional Arabic"/>
          <w:b/>
          <w:bCs/>
        </w:rPr>
      </w:pPr>
      <w:r>
        <w:rPr>
          <w:rFonts w:ascii="Traditional Arabic" w:hAnsi="Traditional Arabic"/>
          <w:rtl/>
        </w:rPr>
        <w:t xml:space="preserve">مواصلة الجهود في خدمة جهود الشيخ ابن عثيمين </w:t>
      </w:r>
      <w:r w:rsidR="009A0575" w:rsidRPr="005D5694">
        <w:rPr>
          <w:rFonts w:ascii="Traditional Arabic" w:hAnsi="Traditional Arabic" w:cs="CTraditional Arabic" w:hint="cs"/>
          <w:rtl/>
        </w:rPr>
        <w:t>/</w:t>
      </w:r>
      <w:r>
        <w:rPr>
          <w:rFonts w:ascii="Traditional Arabic" w:hAnsi="Traditional Arabic"/>
          <w:rtl/>
        </w:rPr>
        <w:t xml:space="preserve"> في شتى الفنون، وبالأخص في علم القواعد القواعد الفقهية، فإن هذه القو</w:t>
      </w:r>
      <w:r w:rsidR="004B4828">
        <w:rPr>
          <w:rFonts w:ascii="Traditional Arabic" w:hAnsi="Traditional Arabic"/>
          <w:rtl/>
        </w:rPr>
        <w:t xml:space="preserve">اعد توجد منثورة في </w:t>
      </w:r>
      <w:r w:rsidR="004B4828">
        <w:rPr>
          <w:rFonts w:ascii="Traditional Arabic" w:hAnsi="Traditional Arabic" w:hint="cs"/>
          <w:rtl/>
        </w:rPr>
        <w:t>ك</w:t>
      </w:r>
      <w:r w:rsidR="00E109BF">
        <w:rPr>
          <w:rFonts w:ascii="Traditional Arabic" w:hAnsi="Traditional Arabic" w:hint="cs"/>
          <w:rtl/>
        </w:rPr>
        <w:t xml:space="preserve">تب الشيخ الأخرى، ككتاب </w:t>
      </w:r>
      <w:r w:rsidR="004B4828">
        <w:rPr>
          <w:rFonts w:ascii="Traditional Arabic" w:hAnsi="Traditional Arabic" w:hint="cs"/>
          <w:rtl/>
        </w:rPr>
        <w:t>لقاءات الباب المفتوح، ومجموع فتاوى ورسائل ابن عثيمين،</w:t>
      </w:r>
      <w:r>
        <w:rPr>
          <w:rFonts w:ascii="Traditional Arabic" w:hAnsi="Traditional Arabic"/>
          <w:rtl/>
        </w:rPr>
        <w:t xml:space="preserve"> وفتح ذي الجلال والإكرام، </w:t>
      </w:r>
      <w:r w:rsidR="004B4828">
        <w:rPr>
          <w:rFonts w:ascii="Traditional Arabic" w:hAnsi="Traditional Arabic" w:hint="cs"/>
          <w:rtl/>
        </w:rPr>
        <w:t>والتعليق على المنتقى</w:t>
      </w:r>
      <w:r w:rsidR="00E109BF">
        <w:rPr>
          <w:rFonts w:ascii="Traditional Arabic" w:hAnsi="Traditional Arabic" w:hint="cs"/>
          <w:rtl/>
        </w:rPr>
        <w:t>،</w:t>
      </w:r>
      <w:r w:rsidR="004B4828">
        <w:rPr>
          <w:rFonts w:ascii="Traditional Arabic" w:hAnsi="Traditional Arabic" w:hint="cs"/>
          <w:rtl/>
        </w:rPr>
        <w:t xml:space="preserve"> والتعليق على صحيح مسلم، والتعليق على </w:t>
      </w:r>
      <w:r w:rsidR="00E109BF">
        <w:rPr>
          <w:rFonts w:ascii="Traditional Arabic" w:hAnsi="Traditional Arabic" w:hint="cs"/>
          <w:rtl/>
        </w:rPr>
        <w:t xml:space="preserve">كتاب </w:t>
      </w:r>
      <w:r w:rsidR="004B4828">
        <w:rPr>
          <w:rFonts w:ascii="Traditional Arabic" w:hAnsi="Traditional Arabic" w:hint="cs"/>
          <w:rtl/>
        </w:rPr>
        <w:t xml:space="preserve">السياسة الشرعية، </w:t>
      </w:r>
      <w:r>
        <w:rPr>
          <w:rFonts w:ascii="Traditional Arabic" w:hAnsi="Traditional Arabic"/>
          <w:rtl/>
        </w:rPr>
        <w:t>كما أن تراث الشيخ لا يزال يخرج شيئا فشيئا</w:t>
      </w:r>
      <w:r w:rsidR="00E109BF">
        <w:rPr>
          <w:rFonts w:ascii="Traditional Arabic" w:hAnsi="Traditional Arabic" w:hint="cs"/>
          <w:rtl/>
        </w:rPr>
        <w:t>،</w:t>
      </w:r>
      <w:r>
        <w:rPr>
          <w:rFonts w:ascii="Traditional Arabic" w:hAnsi="Traditional Arabic"/>
          <w:rtl/>
        </w:rPr>
        <w:t xml:space="preserve"> </w:t>
      </w:r>
      <w:r w:rsidR="004B4828">
        <w:rPr>
          <w:rFonts w:ascii="Traditional Arabic" w:hAnsi="Traditional Arabic"/>
          <w:rtl/>
        </w:rPr>
        <w:t>فقد طبع مؤخرا تفسير سورة ال</w:t>
      </w:r>
      <w:r w:rsidR="004B4828">
        <w:rPr>
          <w:rFonts w:ascii="Traditional Arabic" w:hAnsi="Traditional Arabic" w:hint="cs"/>
          <w:rtl/>
        </w:rPr>
        <w:t>مائدة</w:t>
      </w:r>
      <w:r>
        <w:rPr>
          <w:rFonts w:ascii="Traditional Arabic" w:hAnsi="Traditional Arabic"/>
          <w:rtl/>
        </w:rPr>
        <w:t xml:space="preserve">، وفتاوى نور على الدرب ستطبع قريبا، ولا زالت مؤسسة الشيخ ابن عثيمين تسعى جاهدة في إخراج تراث الشيخ </w:t>
      </w:r>
      <w:r w:rsidR="009A0575" w:rsidRPr="005D5694">
        <w:rPr>
          <w:rFonts w:ascii="Traditional Arabic" w:hAnsi="Traditional Arabic" w:cs="CTraditional Arabic" w:hint="cs"/>
          <w:rtl/>
        </w:rPr>
        <w:t>/</w:t>
      </w:r>
      <w:r>
        <w:rPr>
          <w:rFonts w:ascii="Traditional Arabic" w:hAnsi="Traditional Arabic"/>
          <w:rtl/>
        </w:rPr>
        <w:t>، مما يستدعي من طلاب العلم بذل الجهد في استخراج القواعد</w:t>
      </w:r>
      <w:r w:rsidR="00E109BF">
        <w:rPr>
          <w:rFonts w:ascii="Traditional Arabic" w:hAnsi="Traditional Arabic" w:hint="cs"/>
          <w:rtl/>
        </w:rPr>
        <w:t>،</w:t>
      </w:r>
      <w:r>
        <w:rPr>
          <w:rFonts w:ascii="Traditional Arabic" w:hAnsi="Traditional Arabic"/>
          <w:rtl/>
        </w:rPr>
        <w:t xml:space="preserve"> ودراسة ما لم ي</w:t>
      </w:r>
      <w:r w:rsidR="00E109BF">
        <w:rPr>
          <w:rFonts w:ascii="Traditional Arabic" w:hAnsi="Traditional Arabic" w:hint="cs"/>
          <w:rtl/>
        </w:rPr>
        <w:t>ُ</w:t>
      </w:r>
      <w:r>
        <w:rPr>
          <w:rFonts w:ascii="Traditional Arabic" w:hAnsi="Traditional Arabic"/>
          <w:rtl/>
        </w:rPr>
        <w:t>درس منها من قبل الباحثين، وتعزيز الدراسات السابقة بمزيد من الفوائد والتأصيلات</w:t>
      </w:r>
      <w:r w:rsidR="00E109BF">
        <w:rPr>
          <w:rFonts w:ascii="Traditional Arabic" w:hAnsi="Traditional Arabic" w:hint="cs"/>
          <w:rtl/>
        </w:rPr>
        <w:t xml:space="preserve"> والتطبيقات</w:t>
      </w:r>
      <w:r>
        <w:rPr>
          <w:rFonts w:ascii="Traditional Arabic" w:hAnsi="Traditional Arabic"/>
          <w:rtl/>
        </w:rPr>
        <w:t>.</w:t>
      </w:r>
    </w:p>
    <w:p w:rsidR="00C407BE" w:rsidRPr="00C407BE" w:rsidRDefault="00C407BE" w:rsidP="000A76C7">
      <w:pPr>
        <w:numPr>
          <w:ilvl w:val="0"/>
          <w:numId w:val="324"/>
        </w:numPr>
        <w:tabs>
          <w:tab w:val="num" w:pos="1123"/>
        </w:tabs>
        <w:spacing w:line="640" w:lineRule="exact"/>
        <w:ind w:left="1123" w:hanging="669"/>
        <w:jc w:val="lowKashida"/>
        <w:rPr>
          <w:rFonts w:ascii="Traditional Arabic" w:hAnsi="Traditional Arabic"/>
        </w:rPr>
      </w:pPr>
      <w:r w:rsidRPr="00C407BE">
        <w:rPr>
          <w:rFonts w:ascii="Traditional Arabic" w:hAnsi="Traditional Arabic" w:hint="cs"/>
          <w:rtl/>
        </w:rPr>
        <w:lastRenderedPageBreak/>
        <w:t>مما يستحق أن ي</w:t>
      </w:r>
      <w:r>
        <w:rPr>
          <w:rFonts w:ascii="Traditional Arabic" w:hAnsi="Traditional Arabic" w:hint="cs"/>
          <w:rtl/>
        </w:rPr>
        <w:t>ُ</w:t>
      </w:r>
      <w:r w:rsidRPr="00C407BE">
        <w:rPr>
          <w:rFonts w:ascii="Traditional Arabic" w:hAnsi="Traditional Arabic" w:hint="cs"/>
          <w:rtl/>
        </w:rPr>
        <w:t>فرد ببحث مستقل</w:t>
      </w:r>
      <w:r>
        <w:rPr>
          <w:rFonts w:ascii="Traditional Arabic" w:hAnsi="Traditional Arabic" w:hint="cs"/>
          <w:rtl/>
        </w:rPr>
        <w:t xml:space="preserve"> دراسة منهج الشيخ العثيمين في الترجيح، وبالأخص الترجيح بالقواعد الفقهية، فإن الشيخ رحمه الله ق</w:t>
      </w:r>
      <w:r w:rsidR="001403DE">
        <w:rPr>
          <w:rFonts w:ascii="Traditional Arabic" w:hAnsi="Traditional Arabic" w:hint="cs"/>
          <w:rtl/>
        </w:rPr>
        <w:t>د برّز في هذا المجال، وهو أمر يلمسه من اشتغل بكتب الشيخ</w:t>
      </w:r>
      <w:r w:rsidR="00E109BF">
        <w:rPr>
          <w:rFonts w:ascii="Traditional Arabic" w:hAnsi="Traditional Arabic" w:hint="cs"/>
          <w:rtl/>
        </w:rPr>
        <w:t>،</w:t>
      </w:r>
      <w:r w:rsidR="001403DE">
        <w:rPr>
          <w:rFonts w:ascii="Traditional Arabic" w:hAnsi="Traditional Arabic" w:hint="cs"/>
          <w:rtl/>
        </w:rPr>
        <w:t xml:space="preserve"> وداوم النظر فيها.</w:t>
      </w:r>
      <w:r>
        <w:rPr>
          <w:rFonts w:ascii="Traditional Arabic" w:hAnsi="Traditional Arabic" w:hint="cs"/>
          <w:rtl/>
        </w:rPr>
        <w:t xml:space="preserve"> </w:t>
      </w:r>
    </w:p>
    <w:p w:rsidR="004F5A0D" w:rsidRDefault="00E109BF" w:rsidP="000A76C7">
      <w:pPr>
        <w:numPr>
          <w:ilvl w:val="0"/>
          <w:numId w:val="324"/>
        </w:numPr>
        <w:tabs>
          <w:tab w:val="num" w:pos="1123"/>
        </w:tabs>
        <w:spacing w:line="640" w:lineRule="exact"/>
        <w:ind w:left="1123" w:hanging="669"/>
        <w:jc w:val="lowKashida"/>
        <w:rPr>
          <w:rFonts w:ascii="Traditional Arabic" w:hAnsi="Traditional Arabic"/>
          <w:b/>
          <w:bCs/>
        </w:rPr>
      </w:pPr>
      <w:r>
        <w:rPr>
          <w:rFonts w:ascii="Traditional Arabic" w:hAnsi="Traditional Arabic"/>
          <w:rtl/>
        </w:rPr>
        <w:t>من المجالات المهمة التي ي</w:t>
      </w:r>
      <w:r>
        <w:rPr>
          <w:rFonts w:ascii="Traditional Arabic" w:hAnsi="Traditional Arabic" w:hint="cs"/>
          <w:rtl/>
        </w:rPr>
        <w:t>وصى</w:t>
      </w:r>
      <w:r w:rsidR="004F5A0D">
        <w:rPr>
          <w:rFonts w:ascii="Traditional Arabic" w:hAnsi="Traditional Arabic"/>
          <w:rtl/>
        </w:rPr>
        <w:t xml:space="preserve"> أن ي</w:t>
      </w:r>
      <w:r>
        <w:rPr>
          <w:rFonts w:ascii="Traditional Arabic" w:hAnsi="Traditional Arabic" w:hint="cs"/>
          <w:rtl/>
        </w:rPr>
        <w:t>ُ</w:t>
      </w:r>
      <w:r w:rsidR="004F5A0D">
        <w:rPr>
          <w:rFonts w:ascii="Traditional Arabic" w:hAnsi="Traditional Arabic"/>
          <w:rtl/>
        </w:rPr>
        <w:t xml:space="preserve">بحث فيها فيما يتعلق بفقه الشيخ ابن عثيمين </w:t>
      </w:r>
      <w:r w:rsidR="009A0575" w:rsidRPr="005D5694">
        <w:rPr>
          <w:rFonts w:ascii="Traditional Arabic" w:hAnsi="Traditional Arabic" w:cs="CTraditional Arabic" w:hint="cs"/>
          <w:rtl/>
        </w:rPr>
        <w:t>/</w:t>
      </w:r>
      <w:r w:rsidR="004F5A0D">
        <w:rPr>
          <w:rFonts w:ascii="Traditional Arabic" w:hAnsi="Traditional Arabic"/>
          <w:rtl/>
        </w:rPr>
        <w:t xml:space="preserve"> مقاصد الشريعة وفقه المصالح والمفاسد، فقد تميز </w:t>
      </w:r>
      <w:r>
        <w:rPr>
          <w:rFonts w:ascii="Traditional Arabic" w:hAnsi="Traditional Arabic"/>
          <w:rtl/>
        </w:rPr>
        <w:t>الشيخ في هذا الباب</w:t>
      </w:r>
      <w:r>
        <w:rPr>
          <w:rFonts w:ascii="Traditional Arabic" w:hAnsi="Traditional Arabic" w:hint="cs"/>
          <w:rtl/>
        </w:rPr>
        <w:t>،</w:t>
      </w:r>
      <w:r w:rsidR="004F5A0D">
        <w:rPr>
          <w:rFonts w:ascii="Traditional Arabic" w:hAnsi="Traditional Arabic"/>
          <w:rtl/>
        </w:rPr>
        <w:t xml:space="preserve"> مما يستدعي تسليط الضوء على هذا الجانب المهم من علم الشيخ.</w:t>
      </w:r>
    </w:p>
    <w:p w:rsidR="004B4828" w:rsidRPr="005952BE" w:rsidRDefault="009F1735" w:rsidP="000A76C7">
      <w:pPr>
        <w:numPr>
          <w:ilvl w:val="0"/>
          <w:numId w:val="324"/>
        </w:numPr>
        <w:tabs>
          <w:tab w:val="num" w:pos="1123"/>
        </w:tabs>
        <w:spacing w:line="640" w:lineRule="exact"/>
        <w:ind w:left="1123" w:hanging="669"/>
        <w:jc w:val="lowKashida"/>
        <w:rPr>
          <w:rFonts w:ascii="Traditional Arabic" w:hAnsi="Traditional Arabic"/>
          <w:b/>
          <w:bCs/>
        </w:rPr>
      </w:pPr>
      <w:r>
        <w:rPr>
          <w:rFonts w:ascii="Traditional Arabic" w:hAnsi="Traditional Arabic" w:hint="cs"/>
          <w:rtl/>
        </w:rPr>
        <w:t>كما أن الشيخ اهتم</w:t>
      </w:r>
      <w:r w:rsidR="004B4828">
        <w:rPr>
          <w:rFonts w:ascii="Traditional Arabic" w:hAnsi="Traditional Arabic" w:hint="cs"/>
          <w:rtl/>
        </w:rPr>
        <w:t xml:space="preserve"> </w:t>
      </w:r>
      <w:r>
        <w:rPr>
          <w:rFonts w:ascii="Traditional Arabic" w:hAnsi="Traditional Arabic" w:hint="cs"/>
          <w:rtl/>
        </w:rPr>
        <w:t>ب</w:t>
      </w:r>
      <w:r w:rsidR="004B4828">
        <w:rPr>
          <w:rFonts w:ascii="Traditional Arabic" w:hAnsi="Traditional Arabic" w:hint="cs"/>
          <w:rtl/>
        </w:rPr>
        <w:t>التقسيمات وذكر الفروق، وخاصة منها الفروق الفقهية، ف</w:t>
      </w:r>
      <w:r w:rsidR="005952BE">
        <w:rPr>
          <w:rFonts w:ascii="Traditional Arabic" w:hAnsi="Traditional Arabic" w:hint="cs"/>
          <w:rtl/>
        </w:rPr>
        <w:t xml:space="preserve">حبذا </w:t>
      </w:r>
      <w:r w:rsidR="004B4828">
        <w:rPr>
          <w:rFonts w:ascii="Traditional Arabic" w:hAnsi="Traditional Arabic" w:hint="cs"/>
          <w:rtl/>
        </w:rPr>
        <w:t>لو جمعت هذه الفروق والتقسيمات في بحث مستقل يجمع شتاتها من كتب الشيخ المتفرقة.</w:t>
      </w:r>
    </w:p>
    <w:p w:rsidR="005952BE" w:rsidRPr="005952BE" w:rsidRDefault="005952BE" w:rsidP="000A76C7">
      <w:pPr>
        <w:numPr>
          <w:ilvl w:val="0"/>
          <w:numId w:val="324"/>
        </w:numPr>
        <w:tabs>
          <w:tab w:val="num" w:pos="1123"/>
        </w:tabs>
        <w:spacing w:line="640" w:lineRule="exact"/>
        <w:ind w:left="1123" w:hanging="669"/>
        <w:jc w:val="lowKashida"/>
        <w:rPr>
          <w:rFonts w:ascii="Traditional Arabic" w:hAnsi="Traditional Arabic"/>
          <w:b/>
          <w:bCs/>
        </w:rPr>
      </w:pPr>
      <w:r>
        <w:rPr>
          <w:rFonts w:ascii="Traditional Arabic" w:hAnsi="Traditional Arabic" w:hint="cs"/>
          <w:rtl/>
        </w:rPr>
        <w:t xml:space="preserve">للشيخ ابن عثيمين جهود في </w:t>
      </w:r>
      <w:r w:rsidR="00E109BF">
        <w:rPr>
          <w:rFonts w:ascii="Traditional Arabic" w:hAnsi="Traditional Arabic" w:hint="cs"/>
          <w:rtl/>
        </w:rPr>
        <w:t>السياسة الشرعية وما يتعلق</w:t>
      </w:r>
      <w:r>
        <w:rPr>
          <w:rFonts w:ascii="Traditional Arabic" w:hAnsi="Traditional Arabic" w:hint="cs"/>
          <w:rtl/>
        </w:rPr>
        <w:t xml:space="preserve"> </w:t>
      </w:r>
      <w:r w:rsidR="00E109BF">
        <w:rPr>
          <w:rFonts w:ascii="Traditional Arabic" w:hAnsi="Traditional Arabic" w:hint="cs"/>
          <w:rtl/>
        </w:rPr>
        <w:t>ببعض ال</w:t>
      </w:r>
      <w:r>
        <w:rPr>
          <w:rFonts w:ascii="Traditional Arabic" w:hAnsi="Traditional Arabic" w:hint="cs"/>
          <w:rtl/>
        </w:rPr>
        <w:t xml:space="preserve">قضايا </w:t>
      </w:r>
      <w:r w:rsidR="00E109BF">
        <w:rPr>
          <w:rFonts w:ascii="Traditional Arabic" w:hAnsi="Traditional Arabic" w:hint="cs"/>
          <w:rtl/>
        </w:rPr>
        <w:t>ال</w:t>
      </w:r>
      <w:r>
        <w:rPr>
          <w:rFonts w:ascii="Traditional Arabic" w:hAnsi="Traditional Arabic" w:hint="cs"/>
          <w:rtl/>
        </w:rPr>
        <w:t>معاصرة و</w:t>
      </w:r>
      <w:r w:rsidR="00E109BF">
        <w:rPr>
          <w:rFonts w:ascii="Traditional Arabic" w:hAnsi="Traditional Arabic" w:hint="cs"/>
          <w:rtl/>
        </w:rPr>
        <w:t>ال</w:t>
      </w:r>
      <w:r>
        <w:rPr>
          <w:rFonts w:ascii="Traditional Arabic" w:hAnsi="Traditional Arabic" w:hint="cs"/>
          <w:rtl/>
        </w:rPr>
        <w:t xml:space="preserve">نوازل </w:t>
      </w:r>
      <w:r w:rsidR="00E109BF">
        <w:rPr>
          <w:rFonts w:ascii="Traditional Arabic" w:hAnsi="Traditional Arabic" w:hint="cs"/>
          <w:rtl/>
        </w:rPr>
        <w:t xml:space="preserve">التي </w:t>
      </w:r>
      <w:r>
        <w:rPr>
          <w:rFonts w:ascii="Traditional Arabic" w:hAnsi="Traditional Arabic" w:hint="cs"/>
          <w:rtl/>
        </w:rPr>
        <w:t>نزلت ببعض البلدان الإسلامية</w:t>
      </w:r>
      <w:r w:rsidR="00E109BF">
        <w:rPr>
          <w:rFonts w:ascii="Traditional Arabic" w:hAnsi="Traditional Arabic" w:hint="cs"/>
          <w:rtl/>
        </w:rPr>
        <w:t>،</w:t>
      </w:r>
      <w:r>
        <w:rPr>
          <w:rFonts w:ascii="Traditional Arabic" w:hAnsi="Traditional Arabic" w:hint="cs"/>
          <w:rtl/>
        </w:rPr>
        <w:t xml:space="preserve"> </w:t>
      </w:r>
      <w:r w:rsidR="00E109BF">
        <w:rPr>
          <w:rFonts w:ascii="Traditional Arabic" w:hAnsi="Traditional Arabic" w:hint="cs"/>
          <w:rtl/>
        </w:rPr>
        <w:t xml:space="preserve">والتي </w:t>
      </w:r>
      <w:r>
        <w:rPr>
          <w:rFonts w:ascii="Traditional Arabic" w:hAnsi="Traditional Arabic" w:hint="cs"/>
          <w:rtl/>
        </w:rPr>
        <w:t>عالجه</w:t>
      </w:r>
      <w:r w:rsidR="00E109BF">
        <w:rPr>
          <w:rFonts w:ascii="Traditional Arabic" w:hAnsi="Traditional Arabic" w:hint="cs"/>
          <w:rtl/>
        </w:rPr>
        <w:t>ا</w:t>
      </w:r>
      <w:r>
        <w:rPr>
          <w:rFonts w:ascii="Traditional Arabic" w:hAnsi="Traditional Arabic" w:hint="cs"/>
          <w:rtl/>
        </w:rPr>
        <w:t xml:space="preserve"> الشيخ رحمه الله بفقه عميق ونظر بعيد ثاقب، فلو جمعت جهود</w:t>
      </w:r>
      <w:r w:rsidR="00E109BF">
        <w:rPr>
          <w:rFonts w:ascii="Traditional Arabic" w:hAnsi="Traditional Arabic" w:hint="cs"/>
          <w:rtl/>
        </w:rPr>
        <w:t>ه في هذا الباب لكان في ذلك إبرا</w:t>
      </w:r>
      <w:r>
        <w:rPr>
          <w:rFonts w:ascii="Traditional Arabic" w:hAnsi="Traditional Arabic" w:hint="cs"/>
          <w:rtl/>
        </w:rPr>
        <w:t>ز لجانب مهم من فقه الشيخ وجهوده</w:t>
      </w:r>
      <w:r w:rsidR="00E109BF">
        <w:rPr>
          <w:rFonts w:ascii="Traditional Arabic" w:hAnsi="Traditional Arabic" w:hint="cs"/>
          <w:rtl/>
        </w:rPr>
        <w:t>_رحمه الله_</w:t>
      </w:r>
      <w:r>
        <w:rPr>
          <w:rFonts w:ascii="Traditional Arabic" w:hAnsi="Traditional Arabic" w:hint="cs"/>
          <w:rtl/>
        </w:rPr>
        <w:t>.</w:t>
      </w:r>
    </w:p>
    <w:p w:rsidR="004F5A0D" w:rsidRDefault="004F5A0D" w:rsidP="00597C20">
      <w:pPr>
        <w:spacing w:line="640" w:lineRule="exact"/>
        <w:jc w:val="lowKashida"/>
        <w:rPr>
          <w:rFonts w:ascii="Traditional Arabic" w:hAnsi="Traditional Arabic"/>
          <w:b/>
          <w:bCs/>
          <w:rtl/>
        </w:rPr>
      </w:pPr>
      <w:r>
        <w:rPr>
          <w:rFonts w:ascii="Traditional Arabic" w:hAnsi="Traditional Arabic"/>
          <w:rtl/>
        </w:rPr>
        <w:t xml:space="preserve">وختاماً : فإني أحمد الله </w:t>
      </w:r>
      <w:r w:rsidR="007A5619">
        <w:rPr>
          <w:rFonts w:ascii="Traditional Arabic" w:hAnsi="Traditional Arabic" w:hint="cs"/>
          <w:rtl/>
        </w:rPr>
        <w:t>_</w:t>
      </w:r>
      <w:r>
        <w:rPr>
          <w:rFonts w:ascii="Traditional Arabic" w:hAnsi="Traditional Arabic"/>
          <w:rtl/>
        </w:rPr>
        <w:t>جل وعلا</w:t>
      </w:r>
      <w:r w:rsidR="007A5619">
        <w:rPr>
          <w:rFonts w:ascii="Traditional Arabic" w:hAnsi="Traditional Arabic" w:hint="cs"/>
          <w:rtl/>
        </w:rPr>
        <w:t>_</w:t>
      </w:r>
      <w:r>
        <w:rPr>
          <w:rFonts w:ascii="Traditional Arabic" w:hAnsi="Traditional Arabic"/>
          <w:rtl/>
        </w:rPr>
        <w:t xml:space="preserve"> أولاً وآخراً</w:t>
      </w:r>
      <w:r w:rsidR="007A5619">
        <w:rPr>
          <w:rFonts w:ascii="Traditional Arabic" w:hAnsi="Traditional Arabic" w:hint="cs"/>
          <w:rtl/>
        </w:rPr>
        <w:t>،</w:t>
      </w:r>
      <w:r>
        <w:rPr>
          <w:rFonts w:ascii="Traditional Arabic" w:hAnsi="Traditional Arabic"/>
          <w:rtl/>
        </w:rPr>
        <w:t xml:space="preserve"> وظاهراً </w:t>
      </w:r>
      <w:r w:rsidR="007A5619">
        <w:rPr>
          <w:rFonts w:ascii="Traditional Arabic" w:hAnsi="Traditional Arabic" w:hint="cs"/>
          <w:rtl/>
        </w:rPr>
        <w:t xml:space="preserve"> </w:t>
      </w:r>
      <w:r>
        <w:rPr>
          <w:rFonts w:ascii="Traditional Arabic" w:hAnsi="Traditional Arabic"/>
          <w:rtl/>
        </w:rPr>
        <w:t>وباطناً</w:t>
      </w:r>
      <w:r w:rsidR="00B76414">
        <w:rPr>
          <w:rFonts w:ascii="Traditional Arabic" w:hAnsi="Traditional Arabic"/>
          <w:rtl/>
        </w:rPr>
        <w:t>،</w:t>
      </w:r>
      <w:r>
        <w:rPr>
          <w:rFonts w:ascii="Traditional Arabic" w:hAnsi="Traditional Arabic"/>
          <w:rtl/>
        </w:rPr>
        <w:t xml:space="preserve"> على نعمه الوافــرة وأفضالــه السابغة</w:t>
      </w:r>
      <w:r w:rsidR="00B76414">
        <w:rPr>
          <w:rFonts w:ascii="Traditional Arabic" w:hAnsi="Traditional Arabic"/>
          <w:rtl/>
        </w:rPr>
        <w:t>،</w:t>
      </w:r>
      <w:r>
        <w:rPr>
          <w:rFonts w:ascii="Traditional Arabic" w:hAnsi="Traditional Arabic"/>
          <w:rtl/>
        </w:rPr>
        <w:t xml:space="preserve"> حيث مَنَّ عليَّ بإتمام هذا العمل</w:t>
      </w:r>
      <w:r w:rsidR="00B76414">
        <w:rPr>
          <w:rFonts w:ascii="Traditional Arabic" w:hAnsi="Traditional Arabic"/>
          <w:rtl/>
        </w:rPr>
        <w:t>،</w:t>
      </w:r>
      <w:r>
        <w:rPr>
          <w:rFonts w:ascii="Traditional Arabic" w:hAnsi="Traditional Arabic"/>
          <w:rtl/>
        </w:rPr>
        <w:t xml:space="preserve"> مُقِرَّاً بالتقصير والزلل</w:t>
      </w:r>
      <w:r w:rsidR="00B76414">
        <w:rPr>
          <w:rFonts w:ascii="Traditional Arabic" w:hAnsi="Traditional Arabic"/>
          <w:rtl/>
        </w:rPr>
        <w:t>،</w:t>
      </w:r>
      <w:r>
        <w:rPr>
          <w:rFonts w:ascii="Traditional Arabic" w:hAnsi="Traditional Arabic"/>
          <w:rtl/>
        </w:rPr>
        <w:t xml:space="preserve"> ضارعاً إلى الله أن يتجاوز عني</w:t>
      </w:r>
      <w:r w:rsidR="00B76414">
        <w:rPr>
          <w:rFonts w:ascii="Traditional Arabic" w:hAnsi="Traditional Arabic"/>
          <w:rtl/>
        </w:rPr>
        <w:t>،</w:t>
      </w:r>
      <w:r>
        <w:rPr>
          <w:rFonts w:ascii="Traditional Arabic" w:hAnsi="Traditional Arabic"/>
          <w:rtl/>
        </w:rPr>
        <w:t xml:space="preserve"> وأسأله أن يتقبَّل مني</w:t>
      </w:r>
      <w:r w:rsidR="00B76414">
        <w:rPr>
          <w:rFonts w:ascii="Traditional Arabic" w:hAnsi="Traditional Arabic"/>
          <w:rtl/>
        </w:rPr>
        <w:t>،</w:t>
      </w:r>
      <w:r>
        <w:rPr>
          <w:rFonts w:ascii="Traditional Arabic" w:hAnsi="Traditional Arabic"/>
          <w:rtl/>
        </w:rPr>
        <w:t xml:space="preserve"> ورحم الله امرءاً أعان وأرشد</w:t>
      </w:r>
      <w:r w:rsidR="00B76414">
        <w:rPr>
          <w:rFonts w:ascii="Traditional Arabic" w:hAnsi="Traditional Arabic"/>
          <w:rtl/>
        </w:rPr>
        <w:t>،</w:t>
      </w:r>
      <w:r>
        <w:rPr>
          <w:rFonts w:ascii="Traditional Arabic" w:hAnsi="Traditional Arabic"/>
          <w:rtl/>
        </w:rPr>
        <w:t xml:space="preserve"> ونصح وسدَّد</w:t>
      </w:r>
      <w:r w:rsidR="00B76414">
        <w:rPr>
          <w:rFonts w:ascii="Traditional Arabic" w:hAnsi="Traditional Arabic"/>
          <w:rtl/>
        </w:rPr>
        <w:t>،</w:t>
      </w:r>
      <w:r>
        <w:rPr>
          <w:rFonts w:ascii="Traditional Arabic" w:hAnsi="Traditional Arabic"/>
          <w:rtl/>
        </w:rPr>
        <w:t xml:space="preserve"> وآخر دعوانا أن الحمد لله رب العالمين، وصلى الله وسلَّم على نبينا محمد وعلى آله وصحبه أجمعين</w:t>
      </w:r>
      <w:r w:rsidR="00B76414">
        <w:rPr>
          <w:rFonts w:ascii="Traditional Arabic" w:hAnsi="Traditional Arabic"/>
          <w:rtl/>
        </w:rPr>
        <w:t>.</w:t>
      </w:r>
    </w:p>
    <w:p w:rsidR="006431D6" w:rsidRPr="004F5A0D" w:rsidRDefault="006431D6" w:rsidP="00597C20">
      <w:pPr>
        <w:ind w:firstLine="0"/>
        <w:rPr>
          <w:b/>
          <w:bCs/>
        </w:rPr>
      </w:pPr>
    </w:p>
    <w:p w:rsidR="001673B4" w:rsidRDefault="001673B4" w:rsidP="00597C20">
      <w:pPr>
        <w:ind w:firstLine="0"/>
        <w:sectPr w:rsidR="001673B4" w:rsidSect="00B76414">
          <w:headerReference w:type="default" r:id="rId15"/>
          <w:footnotePr>
            <w:numRestart w:val="eachPage"/>
          </w:footnotePr>
          <w:pgSz w:w="11906" w:h="16838" w:code="9"/>
          <w:pgMar w:top="1418" w:right="1134" w:bottom="1418" w:left="1418" w:header="567" w:footer="737" w:gutter="567"/>
          <w:cols w:space="708"/>
          <w:titlePg/>
          <w:bidi/>
          <w:rtlGutter/>
          <w:docGrid w:linePitch="490"/>
        </w:sectPr>
      </w:pPr>
    </w:p>
    <w:p w:rsidR="00FC407C" w:rsidRPr="00C52BD8" w:rsidRDefault="00FC407C" w:rsidP="00597C20">
      <w:pPr>
        <w:spacing w:after="5040"/>
        <w:rPr>
          <w:sz w:val="72"/>
          <w:szCs w:val="72"/>
          <w:rtl/>
        </w:rPr>
      </w:pPr>
    </w:p>
    <w:p w:rsidR="00D74CC0" w:rsidRDefault="00E804FF" w:rsidP="00597C20">
      <w:pPr>
        <w:pStyle w:val="aff1"/>
        <w:rPr>
          <w:rtl/>
        </w:rPr>
      </w:pPr>
      <w:bookmarkStart w:id="547" w:name="_Toc334046721"/>
      <w:r>
        <w:rPr>
          <w:rFonts w:hint="cs"/>
          <w:rtl/>
        </w:rPr>
        <w:t>الفهارس</w:t>
      </w:r>
      <w:bookmarkEnd w:id="547"/>
    </w:p>
    <w:p w:rsidR="006960FA" w:rsidRDefault="006960FA" w:rsidP="00597C20">
      <w:pPr>
        <w:rPr>
          <w:rtl/>
        </w:rPr>
        <w:sectPr w:rsidR="006960FA" w:rsidSect="00FC407C">
          <w:headerReference w:type="default" r:id="rId16"/>
          <w:footnotePr>
            <w:numRestart w:val="eachPage"/>
          </w:footnotePr>
          <w:pgSz w:w="11906" w:h="16838" w:code="9"/>
          <w:pgMar w:top="1418" w:right="1134" w:bottom="1418" w:left="1418" w:header="567" w:footer="737" w:gutter="567"/>
          <w:pgBorders w:display="firstPage">
            <w:top w:val="woodwork" w:sz="14" w:space="1" w:color="000000" w:themeColor="text1"/>
            <w:left w:val="woodwork" w:sz="14" w:space="4" w:color="000000" w:themeColor="text1"/>
            <w:bottom w:val="woodwork" w:sz="14" w:space="1" w:color="000000" w:themeColor="text1"/>
            <w:right w:val="woodwork" w:sz="14" w:space="4" w:color="000000" w:themeColor="text1"/>
          </w:pgBorders>
          <w:cols w:space="708"/>
          <w:titlePg/>
          <w:bidi/>
          <w:rtlGutter/>
          <w:docGrid w:linePitch="490"/>
        </w:sectPr>
      </w:pPr>
    </w:p>
    <w:p w:rsidR="00E804FF" w:rsidRDefault="00E804FF" w:rsidP="00597C20">
      <w:pPr>
        <w:pStyle w:val="aff0"/>
        <w:rPr>
          <w:rtl/>
        </w:rPr>
      </w:pPr>
      <w:bookmarkStart w:id="548" w:name="_Toc334046722"/>
      <w:r>
        <w:rPr>
          <w:rFonts w:hint="cs"/>
          <w:rtl/>
        </w:rPr>
        <w:lastRenderedPageBreak/>
        <w:t>فهرس الآيات</w:t>
      </w:r>
      <w:bookmarkEnd w:id="548"/>
    </w:p>
    <w:p w:rsidR="001351E5" w:rsidRPr="00E90490" w:rsidRDefault="001351E5" w:rsidP="00597C20">
      <w:pPr>
        <w:ind w:left="-2" w:firstLine="0"/>
        <w:rPr>
          <w:rtl/>
        </w:rPr>
      </w:pPr>
    </w:p>
    <w:tbl>
      <w:tblPr>
        <w:tblStyle w:val="aff"/>
        <w:bidiVisual/>
        <w:tblW w:w="9037" w:type="dxa"/>
        <w:tblLayout w:type="fixed"/>
        <w:tblLook w:val="04A0"/>
      </w:tblPr>
      <w:tblGrid>
        <w:gridCol w:w="6627"/>
        <w:gridCol w:w="850"/>
        <w:gridCol w:w="1560"/>
      </w:tblGrid>
      <w:tr w:rsidR="00E90490" w:rsidRPr="00E90490" w:rsidTr="00FE332F">
        <w:trPr>
          <w:cantSplit/>
          <w:tblHeader/>
        </w:trPr>
        <w:tc>
          <w:tcPr>
            <w:tcW w:w="6627" w:type="dxa"/>
          </w:tcPr>
          <w:p w:rsidR="00E90490" w:rsidRPr="00E90490" w:rsidRDefault="00E90490" w:rsidP="00597C20">
            <w:pPr>
              <w:tabs>
                <w:tab w:val="right" w:leader="dot" w:pos="6802"/>
                <w:tab w:val="right" w:leader="dot" w:pos="8787"/>
              </w:tabs>
              <w:ind w:firstLine="0"/>
              <w:jc w:val="center"/>
              <w:rPr>
                <w:b/>
                <w:bCs/>
                <w:rtl/>
              </w:rPr>
            </w:pPr>
            <w:r w:rsidRPr="00E90490">
              <w:rPr>
                <w:rFonts w:hint="cs"/>
                <w:b/>
                <w:bCs/>
                <w:rtl/>
              </w:rPr>
              <w:t>الآية</w:t>
            </w:r>
          </w:p>
        </w:tc>
        <w:tc>
          <w:tcPr>
            <w:tcW w:w="850" w:type="dxa"/>
            <w:vAlign w:val="center"/>
          </w:tcPr>
          <w:p w:rsidR="00E90490" w:rsidRPr="00E90490" w:rsidRDefault="00E90490" w:rsidP="00597C20">
            <w:pPr>
              <w:tabs>
                <w:tab w:val="right" w:leader="dot" w:pos="6802"/>
                <w:tab w:val="right" w:leader="dot" w:pos="8787"/>
              </w:tabs>
              <w:ind w:firstLine="0"/>
              <w:jc w:val="center"/>
              <w:rPr>
                <w:b/>
                <w:bCs/>
                <w:rtl/>
              </w:rPr>
            </w:pPr>
            <w:r w:rsidRPr="00E90490">
              <w:rPr>
                <w:rFonts w:hint="cs"/>
                <w:b/>
                <w:bCs/>
                <w:rtl/>
              </w:rPr>
              <w:t>رقمها</w:t>
            </w:r>
          </w:p>
        </w:tc>
        <w:tc>
          <w:tcPr>
            <w:tcW w:w="1560" w:type="dxa"/>
            <w:vAlign w:val="center"/>
          </w:tcPr>
          <w:p w:rsidR="00E90490" w:rsidRPr="00E90490" w:rsidRDefault="00E90490" w:rsidP="00597C20">
            <w:pPr>
              <w:tabs>
                <w:tab w:val="right" w:leader="dot" w:pos="6802"/>
                <w:tab w:val="right" w:leader="dot" w:pos="8787"/>
              </w:tabs>
              <w:ind w:firstLine="0"/>
              <w:jc w:val="center"/>
              <w:rPr>
                <w:b/>
                <w:bCs/>
                <w:rtl/>
              </w:rPr>
            </w:pPr>
            <w:r w:rsidRPr="00E90490">
              <w:rPr>
                <w:rFonts w:hint="cs"/>
                <w:b/>
                <w:bCs/>
                <w:rtl/>
              </w:rPr>
              <w:t>الصفحة</w:t>
            </w:r>
          </w:p>
        </w:tc>
      </w:tr>
      <w:tr w:rsidR="00E90490" w:rsidRPr="00E90490" w:rsidTr="00FE332F">
        <w:trPr>
          <w:cantSplit/>
        </w:trPr>
        <w:tc>
          <w:tcPr>
            <w:tcW w:w="9037" w:type="dxa"/>
            <w:gridSpan w:val="3"/>
            <w:vAlign w:val="center"/>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البقرة</w:t>
            </w:r>
          </w:p>
        </w:tc>
      </w:tr>
      <w:tr w:rsidR="00D7493E" w:rsidRPr="00E90490" w:rsidTr="00FE332F">
        <w:trPr>
          <w:cantSplit/>
        </w:trPr>
        <w:tc>
          <w:tcPr>
            <w:tcW w:w="6627" w:type="dxa"/>
          </w:tcPr>
          <w:p w:rsidR="00D7493E" w:rsidRPr="001C03F0" w:rsidRDefault="002B0B5A" w:rsidP="00597C20">
            <w:pPr>
              <w:tabs>
                <w:tab w:val="right" w:leader="dot" w:pos="6802"/>
                <w:tab w:val="right" w:leader="dot" w:pos="8787"/>
              </w:tabs>
              <w:ind w:firstLine="0"/>
              <w:rPr>
                <w:rFonts w:ascii="QCF_BSML" w:hAnsi="QCF_BSML" w:cs="QCF_BSML"/>
                <w:noProof w:val="0"/>
                <w:rtl/>
                <w:lang w:eastAsia="en-US"/>
              </w:rPr>
            </w:pPr>
            <w:r w:rsidRPr="001F5C0A">
              <w:rPr>
                <w:rFonts w:ascii="QCF_BSML" w:hAnsi="QCF_BSML" w:cs="QCF_BSML"/>
                <w:noProof w:val="0"/>
                <w:rtl/>
                <w:lang w:eastAsia="en-US"/>
              </w:rPr>
              <w:t xml:space="preserve">ﭽ </w:t>
            </w:r>
            <w:r w:rsidRPr="001F5C0A">
              <w:rPr>
                <w:rFonts w:ascii="QCF_P005" w:hAnsi="QCF_P005" w:cs="QCF_P005"/>
                <w:noProof w:val="0"/>
                <w:rtl/>
                <w:lang w:eastAsia="en-US"/>
              </w:rPr>
              <w:t xml:space="preserve">ﯬ   ﯭ  ﯮ  ﯯ  ﯰ  ﯱ  ﯲ  ﯳ  </w:t>
            </w:r>
            <w:r w:rsidRPr="001F5C0A">
              <w:rPr>
                <w:rFonts w:ascii="QCF_BSML" w:hAnsi="QCF_BSML" w:cs="QCF_BSML"/>
                <w:noProof w:val="0"/>
                <w:rtl/>
                <w:lang w:eastAsia="en-US"/>
              </w:rPr>
              <w:t>ﭼ</w:t>
            </w:r>
          </w:p>
        </w:tc>
        <w:tc>
          <w:tcPr>
            <w:tcW w:w="850" w:type="dxa"/>
            <w:vAlign w:val="center"/>
          </w:tcPr>
          <w:p w:rsidR="00D7493E" w:rsidRPr="00E90490" w:rsidRDefault="002B0B5A" w:rsidP="00597C20">
            <w:pPr>
              <w:tabs>
                <w:tab w:val="right" w:leader="dot" w:pos="6802"/>
                <w:tab w:val="right" w:leader="dot" w:pos="8787"/>
              </w:tabs>
              <w:ind w:firstLine="0"/>
              <w:jc w:val="center"/>
              <w:rPr>
                <w:rtl/>
              </w:rPr>
            </w:pPr>
            <w:r>
              <w:rPr>
                <w:rFonts w:hint="cs"/>
                <w:rtl/>
              </w:rPr>
              <w:t>29</w:t>
            </w:r>
          </w:p>
        </w:tc>
        <w:tc>
          <w:tcPr>
            <w:tcW w:w="1560" w:type="dxa"/>
            <w:vAlign w:val="center"/>
          </w:tcPr>
          <w:p w:rsidR="00D7493E" w:rsidRPr="00E90490" w:rsidRDefault="002B0B5A" w:rsidP="00597C20">
            <w:pPr>
              <w:tabs>
                <w:tab w:val="right" w:leader="dot" w:pos="6802"/>
                <w:tab w:val="right" w:leader="dot" w:pos="8787"/>
              </w:tabs>
              <w:ind w:firstLine="0"/>
              <w:jc w:val="center"/>
              <w:rPr>
                <w:rtl/>
              </w:rPr>
            </w:pPr>
            <w:r>
              <w:rPr>
                <w:rFonts w:hint="cs"/>
                <w:rtl/>
              </w:rPr>
              <w:t>80</w:t>
            </w:r>
            <w:r w:rsidR="00F07DF3">
              <w:rPr>
                <w:rFonts w:hint="cs"/>
                <w:rtl/>
              </w:rPr>
              <w:t>، 88</w:t>
            </w:r>
          </w:p>
        </w:tc>
      </w:tr>
      <w:tr w:rsidR="00D7493E" w:rsidRPr="00E90490" w:rsidTr="00FE332F">
        <w:trPr>
          <w:cantSplit/>
        </w:trPr>
        <w:tc>
          <w:tcPr>
            <w:tcW w:w="6627" w:type="dxa"/>
          </w:tcPr>
          <w:p w:rsidR="00D7493E" w:rsidRPr="001C03F0" w:rsidRDefault="00F07DF3" w:rsidP="00597C20">
            <w:pPr>
              <w:tabs>
                <w:tab w:val="right" w:leader="dot" w:pos="6802"/>
                <w:tab w:val="right" w:leader="dot" w:pos="8787"/>
              </w:tabs>
              <w:ind w:firstLine="0"/>
              <w:rPr>
                <w:rFonts w:ascii="QCF_BSML" w:hAnsi="QCF_BSML" w:cs="QCF_BSML"/>
                <w:noProof w:val="0"/>
                <w:rtl/>
                <w:lang w:eastAsia="en-US"/>
              </w:rPr>
            </w:pPr>
            <w:r w:rsidRPr="00CE7DB5">
              <w:rPr>
                <w:rFonts w:ascii="QCF_BSML" w:hAnsi="QCF_BSML" w:cs="QCF_BSML"/>
                <w:noProof w:val="0"/>
                <w:rtl/>
                <w:lang w:eastAsia="en-US"/>
              </w:rPr>
              <w:t xml:space="preserve">ﭽ </w:t>
            </w:r>
            <w:r w:rsidRPr="00CE7DB5">
              <w:rPr>
                <w:rFonts w:ascii="QCF_P007" w:hAnsi="QCF_P007" w:cs="QCF_P007"/>
                <w:noProof w:val="0"/>
                <w:rtl/>
                <w:lang w:eastAsia="en-US"/>
              </w:rPr>
              <w:t xml:space="preserve">ﮛ  ﮜ  </w:t>
            </w:r>
            <w:r w:rsidRPr="00CE7DB5">
              <w:rPr>
                <w:rFonts w:ascii="QCF_BSML" w:hAnsi="QCF_BSML" w:cs="QCF_BSML"/>
                <w:noProof w:val="0"/>
                <w:rtl/>
                <w:lang w:eastAsia="en-US"/>
              </w:rPr>
              <w:t>ﭼ</w:t>
            </w:r>
          </w:p>
        </w:tc>
        <w:tc>
          <w:tcPr>
            <w:tcW w:w="850" w:type="dxa"/>
            <w:vAlign w:val="center"/>
          </w:tcPr>
          <w:p w:rsidR="00D7493E" w:rsidRPr="00E90490" w:rsidRDefault="00F07DF3" w:rsidP="00597C20">
            <w:pPr>
              <w:tabs>
                <w:tab w:val="right" w:leader="dot" w:pos="6802"/>
                <w:tab w:val="right" w:leader="dot" w:pos="8787"/>
              </w:tabs>
              <w:ind w:firstLine="0"/>
              <w:jc w:val="center"/>
              <w:rPr>
                <w:rtl/>
              </w:rPr>
            </w:pPr>
            <w:r>
              <w:rPr>
                <w:rFonts w:hint="cs"/>
                <w:rtl/>
              </w:rPr>
              <w:t>43</w:t>
            </w:r>
          </w:p>
        </w:tc>
        <w:tc>
          <w:tcPr>
            <w:tcW w:w="1560" w:type="dxa"/>
            <w:vAlign w:val="center"/>
          </w:tcPr>
          <w:p w:rsidR="00D7493E" w:rsidRPr="00E90490" w:rsidRDefault="00F07DF3" w:rsidP="00597C20">
            <w:pPr>
              <w:tabs>
                <w:tab w:val="right" w:leader="dot" w:pos="6802"/>
                <w:tab w:val="right" w:leader="dot" w:pos="8787"/>
              </w:tabs>
              <w:ind w:firstLine="0"/>
              <w:jc w:val="center"/>
              <w:rPr>
                <w:rtl/>
              </w:rPr>
            </w:pPr>
            <w:r>
              <w:rPr>
                <w:rFonts w:hint="cs"/>
                <w:rtl/>
              </w:rPr>
              <w:t>66</w:t>
            </w:r>
          </w:p>
        </w:tc>
      </w:tr>
      <w:tr w:rsidR="00E90490" w:rsidRPr="00E90490" w:rsidTr="00FE332F">
        <w:trPr>
          <w:cantSplit/>
        </w:trPr>
        <w:tc>
          <w:tcPr>
            <w:tcW w:w="6627" w:type="dxa"/>
          </w:tcPr>
          <w:p w:rsidR="00E90490" w:rsidRPr="00E90490" w:rsidRDefault="001A3826" w:rsidP="00597C20">
            <w:pPr>
              <w:tabs>
                <w:tab w:val="right" w:leader="dot" w:pos="6802"/>
                <w:tab w:val="right" w:leader="dot" w:pos="8787"/>
              </w:tabs>
              <w:ind w:firstLine="0"/>
            </w:pPr>
            <w:r w:rsidRPr="001C03F0">
              <w:rPr>
                <w:rFonts w:ascii="QCF_BSML" w:hAnsi="QCF_BSML" w:cs="QCF_BSML"/>
                <w:noProof w:val="0"/>
                <w:rtl/>
                <w:lang w:eastAsia="en-US"/>
              </w:rPr>
              <w:t>ﭽ</w:t>
            </w:r>
            <w:r w:rsidRPr="001C03F0">
              <w:rPr>
                <w:rFonts w:ascii="QCF_P010" w:hAnsi="QCF_P010" w:cs="QCF_P010"/>
                <w:noProof w:val="0"/>
                <w:rtl/>
                <w:lang w:eastAsia="en-US"/>
              </w:rPr>
              <w:t>ﮉ</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ﮊ</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ﮋ</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ﮌ</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ﮍ</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ﮎ</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ﮏ</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ﮐ</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ﮑ</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ﮒ</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ﮓ</w:t>
            </w:r>
            <w:r w:rsidRPr="001C03F0">
              <w:rPr>
                <w:rFonts w:ascii="QCF_P010" w:hAnsi="QCF_P010" w:cs="QCF_P010" w:hint="cs"/>
                <w:noProof w:val="0"/>
                <w:rtl/>
                <w:lang w:eastAsia="en-US"/>
              </w:rPr>
              <w:t xml:space="preserve"> </w:t>
            </w:r>
            <w:r w:rsidRPr="001C03F0">
              <w:rPr>
                <w:rFonts w:ascii="QCF_P010" w:hAnsi="QCF_P010" w:cs="QCF_P010"/>
                <w:noProof w:val="0"/>
                <w:rtl/>
                <w:lang w:eastAsia="en-US"/>
              </w:rPr>
              <w:t>ﮔ</w:t>
            </w:r>
            <w:r w:rsidRPr="001C03F0">
              <w:rPr>
                <w:rFonts w:ascii="QCF_BSML" w:hAnsi="QCF_BSML" w:cs="QCF_BSML"/>
                <w:noProof w:val="0"/>
                <w:color w:val="auto"/>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65</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سورة_البقرة_65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1A3826" w:rsidP="00597C20">
            <w:pPr>
              <w:tabs>
                <w:tab w:val="right" w:leader="dot" w:pos="6802"/>
                <w:tab w:val="right" w:leader="dot" w:pos="8787"/>
              </w:tabs>
              <w:ind w:firstLine="0"/>
            </w:pPr>
            <w:r w:rsidRPr="005805E3">
              <w:rPr>
                <w:rFonts w:ascii="QCF_BSML" w:hAnsi="QCF_BSML" w:cs="QCF_BSML"/>
                <w:noProof w:val="0"/>
                <w:rtl/>
                <w:lang w:eastAsia="en-US"/>
              </w:rPr>
              <w:t>ﭽ</w:t>
            </w:r>
            <w:r w:rsidRPr="005805E3">
              <w:rPr>
                <w:rFonts w:ascii="QCF_P010" w:hAnsi="QCF_P010" w:cs="QCF_P010"/>
                <w:noProof w:val="0"/>
                <w:rtl/>
                <w:lang w:eastAsia="en-US"/>
              </w:rPr>
              <w:t>ﮉ</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ﮊ</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ﮋ</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ﮌ</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ﮍ</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ﮎ</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ﮏ</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ﮐ</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ﮑ</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ﮒ</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ﮓ</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ﮔ</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ﮕ</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ﮖ</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ﮗ</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ﮘ</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ﮙ</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ﮚ</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ﮛ</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ﮜ</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ﮝ</w:t>
            </w:r>
            <w:r w:rsidRPr="005805E3">
              <w:rPr>
                <w:rFonts w:ascii="QCF_P010" w:hAnsi="QCF_P010" w:cs="QCF_P010" w:hint="cs"/>
                <w:noProof w:val="0"/>
                <w:rtl/>
                <w:lang w:eastAsia="en-US"/>
              </w:rPr>
              <w:t xml:space="preserve"> </w:t>
            </w:r>
            <w:r w:rsidRPr="005805E3">
              <w:rPr>
                <w:rFonts w:ascii="QCF_P010" w:hAnsi="QCF_P010" w:cs="QCF_P010"/>
                <w:noProof w:val="0"/>
                <w:rtl/>
                <w:lang w:eastAsia="en-US"/>
              </w:rPr>
              <w:t>ﮞ</w:t>
            </w:r>
            <w:r w:rsidRPr="005805E3">
              <w:rPr>
                <w:rFonts w:ascii="QCF_P010" w:hAnsi="QCF_P010" w:cs="QCF_P010" w:hint="cs"/>
                <w:noProof w:val="0"/>
                <w:rtl/>
                <w:lang w:eastAsia="en-US"/>
              </w:rPr>
              <w:t xml:space="preserve"> </w:t>
            </w:r>
            <w:r w:rsidRPr="005805E3">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 xml:space="preserve">65 </w:t>
            </w:r>
            <w:r w:rsidR="00C72363">
              <w:rPr>
                <w:rtl/>
              </w:rPr>
              <w:t>–</w:t>
            </w:r>
            <w:r w:rsidRPr="00E90490">
              <w:rPr>
                <w:rFonts w:hint="cs"/>
                <w:rtl/>
              </w:rPr>
              <w:t xml:space="preserve"> 66</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سورة_البقرة_65إلى66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1A3826" w:rsidP="00597C20">
            <w:pPr>
              <w:tabs>
                <w:tab w:val="right" w:leader="dot" w:pos="6802"/>
                <w:tab w:val="right" w:leader="dot" w:pos="8787"/>
              </w:tabs>
              <w:ind w:firstLine="0"/>
              <w:rPr>
                <w:rtl/>
              </w:rPr>
            </w:pPr>
            <w:r w:rsidRPr="00284B31">
              <w:rPr>
                <w:rFonts w:ascii="QCF_BSML" w:hAnsi="QCF_BSML" w:cs="QCF_BSML"/>
                <w:rtl/>
                <w:lang w:eastAsia="en-US"/>
              </w:rPr>
              <w:t>ﭽ</w:t>
            </w:r>
            <w:r w:rsidRPr="00284B31">
              <w:rPr>
                <w:rFonts w:ascii="QCF_P020" w:hAnsi="QCF_P020" w:cs="QCF_P020"/>
                <w:rtl/>
                <w:lang w:eastAsia="en-US"/>
              </w:rPr>
              <w:t>ﭑ</w:t>
            </w:r>
            <w:r>
              <w:rPr>
                <w:rFonts w:ascii="QCF_P020" w:hAnsi="QCF_P020" w:cs="QCF_P020" w:hint="cs"/>
                <w:rtl/>
                <w:lang w:eastAsia="en-US"/>
              </w:rPr>
              <w:t xml:space="preserve">   </w:t>
            </w:r>
            <w:r w:rsidRPr="00284B31">
              <w:rPr>
                <w:rFonts w:ascii="QCF_P020" w:hAnsi="QCF_P020" w:cs="QCF_P020"/>
                <w:rtl/>
                <w:lang w:eastAsia="en-US"/>
              </w:rPr>
              <w:t>ﭒ</w:t>
            </w:r>
            <w:r>
              <w:rPr>
                <w:rFonts w:ascii="QCF_P020" w:hAnsi="QCF_P020" w:cs="QCF_P020" w:hint="cs"/>
                <w:rtl/>
                <w:lang w:eastAsia="en-US"/>
              </w:rPr>
              <w:t xml:space="preserve">   </w:t>
            </w:r>
            <w:r w:rsidRPr="00284B31">
              <w:rPr>
                <w:rFonts w:ascii="QCF_P020" w:hAnsi="QCF_P020" w:cs="QCF_P020"/>
                <w:rtl/>
                <w:lang w:eastAsia="en-US"/>
              </w:rPr>
              <w:t>ﭓ</w:t>
            </w:r>
            <w:r>
              <w:rPr>
                <w:rFonts w:ascii="QCF_P020" w:hAnsi="QCF_P020" w:cs="QCF_P020" w:hint="cs"/>
                <w:rtl/>
                <w:lang w:eastAsia="en-US"/>
              </w:rPr>
              <w:t xml:space="preserve">  </w:t>
            </w:r>
            <w:r w:rsidRPr="00284B31">
              <w:rPr>
                <w:rFonts w:ascii="QCF_P020" w:hAnsi="QCF_P020" w:cs="QCF_P020"/>
                <w:rtl/>
                <w:lang w:eastAsia="en-US"/>
              </w:rPr>
              <w:t>ﭔ</w:t>
            </w:r>
            <w:r>
              <w:rPr>
                <w:rFonts w:ascii="QCF_P020" w:hAnsi="QCF_P020" w:cs="QCF_P020" w:hint="cs"/>
                <w:rtl/>
                <w:lang w:eastAsia="en-US"/>
              </w:rPr>
              <w:t xml:space="preserve">  </w:t>
            </w:r>
            <w:r w:rsidRPr="00284B31">
              <w:rPr>
                <w:rFonts w:ascii="QCF_P020" w:hAnsi="QCF_P020" w:cs="QCF_P020"/>
                <w:rtl/>
                <w:lang w:eastAsia="en-US"/>
              </w:rPr>
              <w:t>ﭕ</w:t>
            </w:r>
            <w:r>
              <w:rPr>
                <w:rFonts w:ascii="QCF_P020" w:hAnsi="QCF_P020" w:cs="QCF_P020" w:hint="cs"/>
                <w:rtl/>
                <w:lang w:eastAsia="en-US"/>
              </w:rPr>
              <w:t xml:space="preserve">  </w:t>
            </w:r>
            <w:r w:rsidRPr="00284B31">
              <w:rPr>
                <w:rFonts w:ascii="QCF_P020" w:hAnsi="QCF_P020" w:cs="QCF_P020"/>
                <w:rtl/>
                <w:lang w:eastAsia="en-US"/>
              </w:rPr>
              <w:t>ﭖ</w:t>
            </w:r>
            <w:r>
              <w:rPr>
                <w:rFonts w:ascii="QCF_P020" w:hAnsi="QCF_P020" w:cs="QCF_P020" w:hint="cs"/>
                <w:rtl/>
                <w:lang w:eastAsia="en-US"/>
              </w:rPr>
              <w:t xml:space="preserve">   </w:t>
            </w:r>
            <w:r w:rsidRPr="00284B31">
              <w:rPr>
                <w:rFonts w:ascii="QCF_P020" w:hAnsi="QCF_P020" w:cs="QCF_P020"/>
                <w:rtl/>
                <w:lang w:eastAsia="en-US"/>
              </w:rPr>
              <w:t>ﭗ</w:t>
            </w:r>
            <w:r>
              <w:rPr>
                <w:rFonts w:ascii="QCF_P020" w:hAnsi="QCF_P020" w:cs="QCF_P020" w:hint="cs"/>
                <w:rtl/>
                <w:lang w:eastAsia="en-US"/>
              </w:rPr>
              <w:t xml:space="preserve"> </w:t>
            </w:r>
            <w:r w:rsidRPr="00284B31">
              <w:rPr>
                <w:rFonts w:ascii="QCF_BSML" w:hAnsi="QCF_BSML" w:cs="QCF_BSML"/>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127</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rPr>
                <w:rFonts w:hint="cs"/>
              </w:rPr>
              <w:instrText>PAGEREF</w:instrText>
            </w:r>
            <w:r w:rsidR="00E90490" w:rsidRPr="00E90490">
              <w:rPr>
                <w:rFonts w:hint="cs"/>
                <w:rtl/>
              </w:rPr>
              <w:instrText xml:space="preserve"> سورة_البقرة_127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1A3826" w:rsidP="00597C20">
            <w:pPr>
              <w:tabs>
                <w:tab w:val="right" w:leader="dot" w:pos="6802"/>
                <w:tab w:val="right" w:leader="dot" w:pos="8787"/>
              </w:tabs>
              <w:ind w:firstLine="0"/>
            </w:pPr>
            <w:r w:rsidRPr="00D25E91">
              <w:rPr>
                <w:rFonts w:ascii="QCF_BSML" w:hAnsi="QCF_BSML" w:cs="QCF_BSML"/>
                <w:noProof w:val="0"/>
                <w:rtl/>
                <w:lang w:eastAsia="en-US"/>
              </w:rPr>
              <w:t>ﭽ</w:t>
            </w:r>
            <w:r>
              <w:rPr>
                <w:rFonts w:ascii="QCF_P023" w:hAnsi="QCF_P023" w:cs="QCF_P023"/>
                <w:noProof w:val="0"/>
                <w:rtl/>
                <w:lang w:eastAsia="en-US"/>
              </w:rPr>
              <w:t>ﯗ</w:t>
            </w:r>
            <w:r>
              <w:rPr>
                <w:rFonts w:ascii="QCF_P023" w:hAnsi="QCF_P023" w:cs="QCF_P023" w:hint="cs"/>
                <w:noProof w:val="0"/>
                <w:rtl/>
                <w:lang w:eastAsia="en-US"/>
              </w:rPr>
              <w:t xml:space="preserve"> </w:t>
            </w:r>
            <w:r>
              <w:rPr>
                <w:rFonts w:ascii="QCF_P023" w:hAnsi="QCF_P023" w:cs="QCF_P023"/>
                <w:noProof w:val="0"/>
                <w:rtl/>
                <w:lang w:eastAsia="en-US"/>
              </w:rPr>
              <w:t>ﯘ</w:t>
            </w:r>
            <w:r>
              <w:rPr>
                <w:rFonts w:ascii="QCF_P023" w:hAnsi="QCF_P023" w:cs="QCF_P023" w:hint="cs"/>
                <w:noProof w:val="0"/>
                <w:rtl/>
                <w:lang w:eastAsia="en-US"/>
              </w:rPr>
              <w:t xml:space="preserve"> </w:t>
            </w:r>
            <w:r>
              <w:rPr>
                <w:rFonts w:ascii="QCF_P023" w:hAnsi="QCF_P023" w:cs="QCF_P023"/>
                <w:noProof w:val="0"/>
                <w:rtl/>
                <w:lang w:eastAsia="en-US"/>
              </w:rPr>
              <w:t>ﯙ</w:t>
            </w:r>
            <w:r>
              <w:rPr>
                <w:rFonts w:ascii="QCF_P023" w:hAnsi="QCF_P023" w:cs="QCF_P023" w:hint="cs"/>
                <w:noProof w:val="0"/>
                <w:rtl/>
                <w:lang w:eastAsia="en-US"/>
              </w:rPr>
              <w:t xml:space="preserve"> </w:t>
            </w:r>
            <w:r>
              <w:rPr>
                <w:rFonts w:ascii="QCF_P023" w:hAnsi="QCF_P023" w:cs="QCF_P023"/>
                <w:noProof w:val="0"/>
                <w:rtl/>
                <w:lang w:eastAsia="en-US"/>
              </w:rPr>
              <w:t>ﯚ</w:t>
            </w:r>
            <w:r>
              <w:rPr>
                <w:rFonts w:ascii="QCF_P023" w:hAnsi="QCF_P023" w:cs="QCF_P023" w:hint="cs"/>
                <w:noProof w:val="0"/>
                <w:rtl/>
                <w:lang w:eastAsia="en-US"/>
              </w:rPr>
              <w:t xml:space="preserve"> </w:t>
            </w:r>
            <w:r>
              <w:rPr>
                <w:rFonts w:ascii="QCF_P023" w:hAnsi="QCF_P023" w:cs="QCF_P023"/>
                <w:noProof w:val="0"/>
                <w:rtl/>
                <w:lang w:eastAsia="en-US"/>
              </w:rPr>
              <w:t>ﯛ</w:t>
            </w:r>
            <w:r>
              <w:rPr>
                <w:rFonts w:ascii="QCF_P023" w:hAnsi="QCF_P023" w:cs="QCF_P023" w:hint="cs"/>
                <w:noProof w:val="0"/>
                <w:rtl/>
                <w:lang w:eastAsia="en-US"/>
              </w:rPr>
              <w:t xml:space="preserve"> </w:t>
            </w:r>
            <w:r>
              <w:rPr>
                <w:rFonts w:ascii="QCF_P023" w:hAnsi="QCF_P023" w:cs="QCF_P023"/>
                <w:noProof w:val="0"/>
                <w:rtl/>
                <w:lang w:eastAsia="en-US"/>
              </w:rPr>
              <w:t>ﯜ</w:t>
            </w:r>
            <w:r>
              <w:rPr>
                <w:rFonts w:ascii="QCF_P023" w:hAnsi="QCF_P023" w:cs="QCF_P023" w:hint="cs"/>
                <w:noProof w:val="0"/>
                <w:rtl/>
                <w:lang w:eastAsia="en-US"/>
              </w:rPr>
              <w:t xml:space="preserve"> </w:t>
            </w:r>
            <w:r>
              <w:rPr>
                <w:rFonts w:ascii="QCF_P023" w:hAnsi="QCF_P023" w:cs="QCF_P023"/>
                <w:noProof w:val="0"/>
                <w:rtl/>
                <w:lang w:eastAsia="en-US"/>
              </w:rPr>
              <w:t>ﯝ</w:t>
            </w:r>
            <w:r>
              <w:rPr>
                <w:rFonts w:ascii="QCF_P023" w:hAnsi="QCF_P023" w:cs="QCF_P023" w:hint="cs"/>
                <w:noProof w:val="0"/>
                <w:rtl/>
                <w:lang w:eastAsia="en-US"/>
              </w:rPr>
              <w:t xml:space="preserve"> </w:t>
            </w:r>
            <w:r>
              <w:rPr>
                <w:rFonts w:ascii="QCF_P023" w:hAnsi="QCF_P023" w:cs="QCF_P023"/>
                <w:noProof w:val="0"/>
                <w:rtl/>
                <w:lang w:eastAsia="en-US"/>
              </w:rPr>
              <w:t>ﯞ</w:t>
            </w:r>
            <w:r>
              <w:rPr>
                <w:rFonts w:ascii="QCF_P023" w:hAnsi="QCF_P023" w:cs="QCF_P023" w:hint="cs"/>
                <w:noProof w:val="0"/>
                <w:rtl/>
                <w:lang w:eastAsia="en-US"/>
              </w:rPr>
              <w:t xml:space="preserve"> </w:t>
            </w:r>
            <w:r w:rsidRPr="00D25E91">
              <w:rPr>
                <w:rFonts w:ascii="QCF_P023" w:hAnsi="QCF_P023" w:cs="QCF_P023"/>
                <w:noProof w:val="0"/>
                <w:rtl/>
                <w:lang w:eastAsia="en-US"/>
              </w:rPr>
              <w:t>ﯠ</w:t>
            </w:r>
            <w:r>
              <w:rPr>
                <w:rFonts w:ascii="QCF_P023" w:hAnsi="QCF_P023" w:cs="QCF_P023" w:hint="cs"/>
                <w:noProof w:val="0"/>
                <w:rtl/>
                <w:lang w:eastAsia="en-US"/>
              </w:rPr>
              <w:t xml:space="preserve"> </w:t>
            </w:r>
            <w:r w:rsidRPr="00D25E91">
              <w:rPr>
                <w:rFonts w:ascii="QCF_P023" w:hAnsi="QCF_P023" w:cs="QCF_P023"/>
                <w:noProof w:val="0"/>
                <w:rtl/>
                <w:lang w:eastAsia="en-US"/>
              </w:rPr>
              <w:t>ﯡ</w:t>
            </w:r>
            <w:r>
              <w:rPr>
                <w:rFonts w:ascii="QCF_P023" w:hAnsi="QCF_P023" w:cs="QCF_P023" w:hint="cs"/>
                <w:noProof w:val="0"/>
                <w:rtl/>
                <w:lang w:eastAsia="en-US"/>
              </w:rPr>
              <w:t xml:space="preserve">    </w:t>
            </w:r>
            <w:r w:rsidRPr="00D25E91">
              <w:rPr>
                <w:rFonts w:ascii="QCF_P023" w:hAnsi="QCF_P023" w:cs="QCF_P023"/>
                <w:noProof w:val="0"/>
                <w:rtl/>
                <w:lang w:eastAsia="en-US"/>
              </w:rPr>
              <w:t>ﯢ</w:t>
            </w:r>
            <w:r>
              <w:rPr>
                <w:rFonts w:ascii="QCF_P023" w:hAnsi="QCF_P023" w:cs="QCF_P023" w:hint="cs"/>
                <w:noProof w:val="0"/>
                <w:rtl/>
                <w:lang w:eastAsia="en-US"/>
              </w:rPr>
              <w:t xml:space="preserve"> </w:t>
            </w:r>
            <w:r w:rsidRPr="00D25E91">
              <w:rPr>
                <w:rFonts w:ascii="QCF_P023" w:hAnsi="QCF_P023" w:cs="QCF_P023"/>
                <w:noProof w:val="0"/>
                <w:rtl/>
                <w:lang w:eastAsia="en-US"/>
              </w:rPr>
              <w:t>ﯣ</w:t>
            </w:r>
            <w:r>
              <w:rPr>
                <w:rFonts w:ascii="QCF_P023" w:hAnsi="QCF_P023" w:cs="QCF_P023" w:hint="cs"/>
                <w:noProof w:val="0"/>
                <w:rtl/>
                <w:lang w:eastAsia="en-US"/>
              </w:rPr>
              <w:t xml:space="preserve"> </w:t>
            </w:r>
            <w:r w:rsidRPr="00D25E91">
              <w:rPr>
                <w:rFonts w:ascii="QCF_P023" w:hAnsi="QCF_P023" w:cs="QCF_P023"/>
                <w:noProof w:val="0"/>
                <w:rtl/>
                <w:lang w:eastAsia="en-US"/>
              </w:rPr>
              <w:t>ﯤ</w:t>
            </w:r>
            <w:r>
              <w:rPr>
                <w:rFonts w:ascii="QCF_P023" w:hAnsi="QCF_P023" w:cs="QCF_P023" w:hint="cs"/>
                <w:noProof w:val="0"/>
                <w:rtl/>
                <w:lang w:eastAsia="en-US"/>
              </w:rPr>
              <w:t xml:space="preserve"> </w:t>
            </w:r>
            <w:r w:rsidRPr="00D25E91">
              <w:rPr>
                <w:rFonts w:ascii="QCF_P023" w:hAnsi="QCF_P023" w:cs="QCF_P023"/>
                <w:noProof w:val="0"/>
                <w:rtl/>
                <w:lang w:eastAsia="en-US"/>
              </w:rPr>
              <w:t>ﯥ</w:t>
            </w:r>
            <w:r>
              <w:rPr>
                <w:rFonts w:ascii="QCF_P023" w:hAnsi="QCF_P023" w:cs="QCF_P023" w:hint="cs"/>
                <w:noProof w:val="0"/>
                <w:rtl/>
                <w:lang w:eastAsia="en-US"/>
              </w:rPr>
              <w:t xml:space="preserve"> </w:t>
            </w:r>
            <w:r w:rsidRPr="00D25E91">
              <w:rPr>
                <w:rFonts w:ascii="QCF_P023" w:hAnsi="QCF_P023" w:cs="QCF_P023"/>
                <w:noProof w:val="0"/>
                <w:rtl/>
                <w:lang w:eastAsia="en-US"/>
              </w:rPr>
              <w:t>ﯦ</w:t>
            </w:r>
            <w:r>
              <w:rPr>
                <w:rFonts w:ascii="QCF_P023" w:hAnsi="QCF_P023" w:cs="QCF_P023" w:hint="cs"/>
                <w:noProof w:val="0"/>
                <w:rtl/>
                <w:lang w:eastAsia="en-US"/>
              </w:rPr>
              <w:t xml:space="preserve"> </w:t>
            </w:r>
            <w:r w:rsidRPr="00D25E91">
              <w:rPr>
                <w:rFonts w:ascii="QCF_P023" w:hAnsi="QCF_P023" w:cs="QCF_P023"/>
                <w:noProof w:val="0"/>
                <w:rtl/>
                <w:lang w:eastAsia="en-US"/>
              </w:rPr>
              <w:t>ﯧ</w:t>
            </w:r>
            <w:r w:rsidRPr="00D25E91">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151</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سورة_البقرة_151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C72363" w:rsidP="00597C20">
            <w:pPr>
              <w:tabs>
                <w:tab w:val="right" w:leader="dot" w:pos="6802"/>
                <w:tab w:val="right" w:leader="dot" w:pos="8787"/>
              </w:tabs>
              <w:ind w:firstLine="0"/>
            </w:pPr>
            <w:r>
              <w:rPr>
                <w:rFonts w:ascii="Traditional Arabic" w:hAnsi="Traditional Arabic" w:hint="cs"/>
                <w:noProof w:val="0"/>
                <w:color w:val="auto"/>
                <w:rtl/>
                <w:lang w:eastAsia="en-US"/>
              </w:rPr>
              <w:lastRenderedPageBreak/>
              <w:t xml:space="preserve"> </w:t>
            </w:r>
            <w:r>
              <w:rPr>
                <w:rFonts w:ascii="QCF_BSML" w:hAnsi="QCF_BSML" w:cs="QCF_BSML" w:hint="cs"/>
                <w:noProof w:val="0"/>
                <w:rtl/>
                <w:lang w:eastAsia="en-US"/>
              </w:rPr>
              <w:t xml:space="preserve"> </w:t>
            </w:r>
            <w:r w:rsidRPr="00CF2E38">
              <w:rPr>
                <w:rFonts w:ascii="QCF_BSML" w:hAnsi="QCF_BSML" w:cs="QCF_BSML"/>
                <w:noProof w:val="0"/>
                <w:rtl/>
                <w:lang w:eastAsia="en-US"/>
              </w:rPr>
              <w:t>ﭽ</w:t>
            </w:r>
            <w:r w:rsidRPr="00CF2E38">
              <w:rPr>
                <w:rFonts w:ascii="QCF_P027" w:hAnsi="QCF_P027" w:cs="QCF_P027"/>
                <w:noProof w:val="0"/>
                <w:rtl/>
                <w:lang w:eastAsia="en-US"/>
              </w:rPr>
              <w:t>ﮉ</w:t>
            </w:r>
            <w:r>
              <w:rPr>
                <w:rFonts w:ascii="QCF_P027" w:hAnsi="QCF_P027" w:cs="QCF_P027" w:hint="cs"/>
                <w:noProof w:val="0"/>
                <w:rtl/>
                <w:lang w:eastAsia="en-US"/>
              </w:rPr>
              <w:t xml:space="preserve"> </w:t>
            </w:r>
            <w:r w:rsidRPr="00CF2E38">
              <w:rPr>
                <w:rFonts w:ascii="QCF_P027" w:hAnsi="QCF_P027" w:cs="QCF_P027"/>
                <w:noProof w:val="0"/>
                <w:rtl/>
                <w:lang w:eastAsia="en-US"/>
              </w:rPr>
              <w:t>ﮊ</w:t>
            </w:r>
            <w:r>
              <w:rPr>
                <w:rFonts w:ascii="QCF_P027" w:hAnsi="QCF_P027" w:cs="QCF_P027" w:hint="cs"/>
                <w:noProof w:val="0"/>
                <w:rtl/>
                <w:lang w:eastAsia="en-US"/>
              </w:rPr>
              <w:t xml:space="preserve"> </w:t>
            </w:r>
            <w:r w:rsidRPr="00CF2E38">
              <w:rPr>
                <w:rFonts w:ascii="QCF_P027" w:hAnsi="QCF_P027" w:cs="QCF_P027"/>
                <w:noProof w:val="0"/>
                <w:rtl/>
                <w:lang w:eastAsia="en-US"/>
              </w:rPr>
              <w:t>ﮋ</w:t>
            </w:r>
            <w:r>
              <w:rPr>
                <w:rFonts w:ascii="QCF_P027" w:hAnsi="QCF_P027" w:cs="QCF_P027" w:hint="cs"/>
                <w:noProof w:val="0"/>
                <w:rtl/>
                <w:lang w:eastAsia="en-US"/>
              </w:rPr>
              <w:t xml:space="preserve"> </w:t>
            </w:r>
            <w:r w:rsidRPr="00CF2E38">
              <w:rPr>
                <w:rFonts w:ascii="QCF_P027" w:hAnsi="QCF_P027" w:cs="QCF_P027"/>
                <w:noProof w:val="0"/>
                <w:rtl/>
                <w:lang w:eastAsia="en-US"/>
              </w:rPr>
              <w:t>ﮌ</w:t>
            </w:r>
            <w:r>
              <w:rPr>
                <w:rFonts w:ascii="QCF_P027" w:hAnsi="QCF_P027" w:cs="QCF_P027" w:hint="cs"/>
                <w:noProof w:val="0"/>
                <w:rtl/>
                <w:lang w:eastAsia="en-US"/>
              </w:rPr>
              <w:t xml:space="preserve"> </w:t>
            </w:r>
            <w:r w:rsidRPr="00CF2E38">
              <w:rPr>
                <w:rFonts w:ascii="QCF_P027" w:hAnsi="QCF_P027" w:cs="QCF_P027"/>
                <w:noProof w:val="0"/>
                <w:rtl/>
                <w:lang w:eastAsia="en-US"/>
              </w:rPr>
              <w:t>ﮍ</w:t>
            </w:r>
            <w:r>
              <w:rPr>
                <w:rFonts w:ascii="QCF_P027" w:hAnsi="QCF_P027" w:cs="QCF_P027" w:hint="cs"/>
                <w:noProof w:val="0"/>
                <w:rtl/>
                <w:lang w:eastAsia="en-US"/>
              </w:rPr>
              <w:t xml:space="preserve"> </w:t>
            </w:r>
            <w:r w:rsidRPr="00CF2E38">
              <w:rPr>
                <w:rFonts w:ascii="QCF_P027" w:hAnsi="QCF_P027" w:cs="QCF_P027"/>
                <w:noProof w:val="0"/>
                <w:rtl/>
                <w:lang w:eastAsia="en-US"/>
              </w:rPr>
              <w:t>ﮎ</w:t>
            </w:r>
            <w:r>
              <w:rPr>
                <w:rFonts w:ascii="QCF_P027" w:hAnsi="QCF_P027" w:cs="QCF_P027" w:hint="cs"/>
                <w:noProof w:val="0"/>
                <w:rtl/>
                <w:lang w:eastAsia="en-US"/>
              </w:rPr>
              <w:t xml:space="preserve"> </w:t>
            </w:r>
            <w:r w:rsidRPr="00CF2E38">
              <w:rPr>
                <w:rFonts w:ascii="QCF_P027" w:hAnsi="QCF_P027" w:cs="QCF_P027"/>
                <w:noProof w:val="0"/>
                <w:rtl/>
                <w:lang w:eastAsia="en-US"/>
              </w:rPr>
              <w:t>ﮏ</w:t>
            </w:r>
            <w:r>
              <w:rPr>
                <w:rFonts w:ascii="QCF_P027" w:hAnsi="QCF_P027" w:cs="QCF_P027" w:hint="cs"/>
                <w:noProof w:val="0"/>
                <w:rtl/>
                <w:lang w:eastAsia="en-US"/>
              </w:rPr>
              <w:t xml:space="preserve"> </w:t>
            </w:r>
            <w:r w:rsidRPr="00CF2E38">
              <w:rPr>
                <w:rFonts w:ascii="QCF_P027" w:hAnsi="QCF_P027" w:cs="QCF_P027"/>
                <w:noProof w:val="0"/>
                <w:rtl/>
                <w:lang w:eastAsia="en-US"/>
              </w:rPr>
              <w:t>ﮐ</w:t>
            </w:r>
            <w:r>
              <w:rPr>
                <w:rFonts w:ascii="QCF_P027" w:hAnsi="QCF_P027" w:cs="QCF_P027" w:hint="cs"/>
                <w:noProof w:val="0"/>
                <w:rtl/>
                <w:lang w:eastAsia="en-US"/>
              </w:rPr>
              <w:t xml:space="preserve"> </w:t>
            </w:r>
            <w:r w:rsidRPr="00CF2E38">
              <w:rPr>
                <w:rFonts w:ascii="QCF_P027" w:hAnsi="QCF_P027" w:cs="QCF_P027"/>
                <w:noProof w:val="0"/>
                <w:color w:val="0000A5"/>
                <w:rtl/>
                <w:lang w:eastAsia="en-US"/>
              </w:rPr>
              <w:t>ﮑ</w:t>
            </w:r>
            <w:r>
              <w:rPr>
                <w:rFonts w:ascii="QCF_P027" w:hAnsi="QCF_P027" w:cs="QCF_P027" w:hint="cs"/>
                <w:noProof w:val="0"/>
                <w:color w:val="0000A5"/>
                <w:rtl/>
                <w:lang w:eastAsia="en-US"/>
              </w:rPr>
              <w:t xml:space="preserve"> </w:t>
            </w:r>
            <w:r w:rsidRPr="00CF2E38">
              <w:rPr>
                <w:rFonts w:ascii="QCF_P027" w:hAnsi="QCF_P027" w:cs="QCF_P027"/>
                <w:noProof w:val="0"/>
                <w:rtl/>
                <w:lang w:eastAsia="en-US"/>
              </w:rPr>
              <w:t>ﮒ</w:t>
            </w:r>
            <w:r>
              <w:rPr>
                <w:rFonts w:ascii="QCF_P027" w:hAnsi="QCF_P027" w:cs="QCF_P027" w:hint="cs"/>
                <w:noProof w:val="0"/>
                <w:rtl/>
                <w:lang w:eastAsia="en-US"/>
              </w:rPr>
              <w:t xml:space="preserve"> </w:t>
            </w:r>
            <w:r w:rsidRPr="00CF2E38">
              <w:rPr>
                <w:rFonts w:ascii="QCF_P027" w:hAnsi="QCF_P027" w:cs="QCF_P027"/>
                <w:noProof w:val="0"/>
                <w:rtl/>
                <w:lang w:eastAsia="en-US"/>
              </w:rPr>
              <w:t>ﮓ</w:t>
            </w:r>
            <w:r>
              <w:rPr>
                <w:rFonts w:ascii="QCF_P027" w:hAnsi="QCF_P027" w:cs="QCF_P027" w:hint="cs"/>
                <w:noProof w:val="0"/>
                <w:rtl/>
                <w:lang w:eastAsia="en-US"/>
              </w:rPr>
              <w:t xml:space="preserve"> </w:t>
            </w:r>
            <w:r w:rsidRPr="00CF2E38">
              <w:rPr>
                <w:rFonts w:ascii="QCF_P027" w:hAnsi="QCF_P027" w:cs="QCF_P027"/>
                <w:noProof w:val="0"/>
                <w:rtl/>
                <w:lang w:eastAsia="en-US"/>
              </w:rPr>
              <w:t>ﮔ</w:t>
            </w:r>
            <w:r>
              <w:rPr>
                <w:rFonts w:ascii="QCF_P027" w:hAnsi="QCF_P027" w:cs="QCF_P027" w:hint="cs"/>
                <w:noProof w:val="0"/>
                <w:rtl/>
                <w:lang w:eastAsia="en-US"/>
              </w:rPr>
              <w:t xml:space="preserve"> </w:t>
            </w:r>
            <w:r w:rsidRPr="00CF2E38">
              <w:rPr>
                <w:rFonts w:ascii="QCF_P027" w:hAnsi="QCF_P027" w:cs="QCF_P027"/>
                <w:noProof w:val="0"/>
                <w:rtl/>
                <w:lang w:eastAsia="en-US"/>
              </w:rPr>
              <w:t>ﮕ</w:t>
            </w:r>
            <w:r>
              <w:rPr>
                <w:rFonts w:ascii="QCF_P027" w:hAnsi="QCF_P027" w:cs="QCF_P027" w:hint="cs"/>
                <w:noProof w:val="0"/>
                <w:rtl/>
                <w:lang w:eastAsia="en-US"/>
              </w:rPr>
              <w:t xml:space="preserve"> </w:t>
            </w:r>
            <w:r w:rsidRPr="00CF2E38">
              <w:rPr>
                <w:rFonts w:ascii="QCF_P027" w:hAnsi="QCF_P027" w:cs="QCF_P027"/>
                <w:noProof w:val="0"/>
                <w:rtl/>
                <w:lang w:eastAsia="en-US"/>
              </w:rPr>
              <w:t>ﮖ</w:t>
            </w:r>
            <w:r>
              <w:rPr>
                <w:rFonts w:ascii="QCF_P027" w:hAnsi="QCF_P027" w:cs="QCF_P027" w:hint="cs"/>
                <w:noProof w:val="0"/>
                <w:rtl/>
                <w:lang w:eastAsia="en-US"/>
              </w:rPr>
              <w:t xml:space="preserve"> </w:t>
            </w:r>
            <w:r w:rsidRPr="00CF2E38">
              <w:rPr>
                <w:rFonts w:ascii="QCF_P027" w:hAnsi="QCF_P027" w:cs="QCF_P027"/>
                <w:noProof w:val="0"/>
                <w:rtl/>
                <w:lang w:eastAsia="en-US"/>
              </w:rPr>
              <w:t>ﮗ</w:t>
            </w:r>
            <w:r>
              <w:rPr>
                <w:rFonts w:ascii="QCF_P027" w:hAnsi="QCF_P027" w:cs="QCF_P027" w:hint="cs"/>
                <w:noProof w:val="0"/>
                <w:rtl/>
                <w:lang w:eastAsia="en-US"/>
              </w:rPr>
              <w:t xml:space="preserve"> </w:t>
            </w:r>
            <w:r w:rsidRPr="00CF2E38">
              <w:rPr>
                <w:rFonts w:ascii="QCF_P027" w:hAnsi="QCF_P027" w:cs="QCF_P027"/>
                <w:noProof w:val="0"/>
                <w:color w:val="0000A5"/>
                <w:rtl/>
                <w:lang w:eastAsia="en-US"/>
              </w:rPr>
              <w:t>ﮘ</w:t>
            </w:r>
            <w:r>
              <w:rPr>
                <w:rFonts w:ascii="QCF_P027" w:hAnsi="QCF_P027" w:cs="QCF_P027" w:hint="cs"/>
                <w:noProof w:val="0"/>
                <w:color w:val="0000A5"/>
                <w:rtl/>
                <w:lang w:eastAsia="en-US"/>
              </w:rPr>
              <w:t xml:space="preserve"> </w:t>
            </w:r>
            <w:r w:rsidRPr="00CF2E38">
              <w:rPr>
                <w:rFonts w:ascii="QCF_P027" w:hAnsi="QCF_P027" w:cs="QCF_P027"/>
                <w:noProof w:val="0"/>
                <w:rtl/>
                <w:lang w:eastAsia="en-US"/>
              </w:rPr>
              <w:t>ﮙ</w:t>
            </w:r>
            <w:r>
              <w:rPr>
                <w:rFonts w:ascii="QCF_P027" w:hAnsi="QCF_P027" w:cs="QCF_P027" w:hint="cs"/>
                <w:noProof w:val="0"/>
                <w:rtl/>
                <w:lang w:eastAsia="en-US"/>
              </w:rPr>
              <w:t xml:space="preserve"> </w:t>
            </w:r>
            <w:r w:rsidRPr="00CF2E38">
              <w:rPr>
                <w:rFonts w:ascii="QCF_P027" w:hAnsi="QCF_P027" w:cs="QCF_P027"/>
                <w:noProof w:val="0"/>
                <w:rtl/>
                <w:lang w:eastAsia="en-US"/>
              </w:rPr>
              <w:t>ﮚ</w:t>
            </w:r>
            <w:r>
              <w:rPr>
                <w:rFonts w:ascii="QCF_P027" w:hAnsi="QCF_P027" w:cs="QCF_P027" w:hint="cs"/>
                <w:noProof w:val="0"/>
                <w:rtl/>
                <w:lang w:eastAsia="en-US"/>
              </w:rPr>
              <w:t xml:space="preserve"> </w:t>
            </w:r>
            <w:r w:rsidRPr="00CF2E38">
              <w:rPr>
                <w:rFonts w:ascii="QCF_P027" w:hAnsi="QCF_P027" w:cs="QCF_P027"/>
                <w:noProof w:val="0"/>
                <w:rtl/>
                <w:lang w:eastAsia="en-US"/>
              </w:rPr>
              <w:t>ﮛ</w:t>
            </w:r>
            <w:r>
              <w:rPr>
                <w:rFonts w:ascii="QCF_P027" w:hAnsi="QCF_P027" w:cs="QCF_P027" w:hint="cs"/>
                <w:noProof w:val="0"/>
                <w:rtl/>
                <w:lang w:eastAsia="en-US"/>
              </w:rPr>
              <w:t xml:space="preserve"> </w:t>
            </w:r>
            <w:r w:rsidRPr="00CF2E38">
              <w:rPr>
                <w:rFonts w:ascii="QCF_P027" w:hAnsi="QCF_P027" w:cs="QCF_P027"/>
                <w:noProof w:val="0"/>
                <w:rtl/>
                <w:lang w:eastAsia="en-US"/>
              </w:rPr>
              <w:t>ﮜ</w:t>
            </w:r>
            <w:r>
              <w:rPr>
                <w:rFonts w:ascii="QCF_P027" w:hAnsi="QCF_P027" w:cs="QCF_P027" w:hint="cs"/>
                <w:noProof w:val="0"/>
                <w:rtl/>
                <w:lang w:eastAsia="en-US"/>
              </w:rPr>
              <w:t xml:space="preserve"> </w:t>
            </w:r>
            <w:r w:rsidRPr="00CF2E38">
              <w:rPr>
                <w:rFonts w:ascii="QCF_P027" w:hAnsi="QCF_P027" w:cs="QCF_P027"/>
                <w:noProof w:val="0"/>
                <w:rtl/>
                <w:lang w:eastAsia="en-US"/>
              </w:rPr>
              <w:t>ﮝ</w:t>
            </w:r>
            <w:r>
              <w:rPr>
                <w:rFonts w:ascii="QCF_P027" w:hAnsi="QCF_P027" w:cs="QCF_P027" w:hint="cs"/>
                <w:noProof w:val="0"/>
                <w:rtl/>
                <w:lang w:eastAsia="en-US"/>
              </w:rPr>
              <w:t xml:space="preserve"> </w:t>
            </w:r>
            <w:r w:rsidRPr="00CF2E38">
              <w:rPr>
                <w:rFonts w:ascii="QCF_P027" w:hAnsi="QCF_P027" w:cs="QCF_P027"/>
                <w:noProof w:val="0"/>
                <w:rtl/>
                <w:lang w:eastAsia="en-US"/>
              </w:rPr>
              <w:t>ﮞ</w:t>
            </w:r>
            <w:r>
              <w:rPr>
                <w:rFonts w:ascii="QCF_P027" w:hAnsi="QCF_P027" w:cs="QCF_P027" w:hint="cs"/>
                <w:noProof w:val="0"/>
                <w:rtl/>
                <w:lang w:eastAsia="en-US"/>
              </w:rPr>
              <w:t xml:space="preserve"> </w:t>
            </w:r>
            <w:r w:rsidRPr="00CF2E38">
              <w:rPr>
                <w:rFonts w:ascii="QCF_P027" w:hAnsi="QCF_P027" w:cs="QCF_P027"/>
                <w:noProof w:val="0"/>
                <w:rtl/>
                <w:lang w:eastAsia="en-US"/>
              </w:rPr>
              <w:t>ﮟ</w:t>
            </w:r>
            <w:r>
              <w:rPr>
                <w:rFonts w:ascii="QCF_P027" w:hAnsi="QCF_P027" w:cs="QCF_P027" w:hint="cs"/>
                <w:noProof w:val="0"/>
                <w:rtl/>
                <w:lang w:eastAsia="en-US"/>
              </w:rPr>
              <w:t xml:space="preserve"> </w:t>
            </w:r>
            <w:r w:rsidRPr="00CF2E38">
              <w:rPr>
                <w:rFonts w:ascii="QCF_P027" w:hAnsi="QCF_P027" w:cs="QCF_P027"/>
                <w:noProof w:val="0"/>
                <w:rtl/>
                <w:lang w:eastAsia="en-US"/>
              </w:rPr>
              <w:t>ﮠ</w:t>
            </w:r>
            <w:r>
              <w:rPr>
                <w:rFonts w:ascii="QCF_P027" w:hAnsi="QCF_P027" w:cs="QCF_P027" w:hint="cs"/>
                <w:noProof w:val="0"/>
                <w:rtl/>
                <w:lang w:eastAsia="en-US"/>
              </w:rPr>
              <w:t xml:space="preserve"> </w:t>
            </w:r>
            <w:r w:rsidRPr="00CF2E38">
              <w:rPr>
                <w:rFonts w:ascii="QCF_P027" w:hAnsi="QCF_P027" w:cs="QCF_P027"/>
                <w:noProof w:val="0"/>
                <w:rtl/>
                <w:lang w:eastAsia="en-US"/>
              </w:rPr>
              <w:t>ﮡ</w:t>
            </w:r>
            <w:r>
              <w:rPr>
                <w:rFonts w:ascii="QCF_P027" w:hAnsi="QCF_P027" w:cs="QCF_P027" w:hint="cs"/>
                <w:noProof w:val="0"/>
                <w:rtl/>
                <w:lang w:eastAsia="en-US"/>
              </w:rPr>
              <w:t xml:space="preserve"> </w:t>
            </w:r>
            <w:r w:rsidRPr="00CF2E38">
              <w:rPr>
                <w:rFonts w:ascii="QCF_P027" w:hAnsi="QCF_P027" w:cs="QCF_P027"/>
                <w:noProof w:val="0"/>
                <w:rtl/>
                <w:lang w:eastAsia="en-US"/>
              </w:rPr>
              <w:t>ﮢ</w:t>
            </w:r>
            <w:r>
              <w:rPr>
                <w:rFonts w:ascii="QCF_P027" w:hAnsi="QCF_P027" w:cs="QCF_P027" w:hint="cs"/>
                <w:noProof w:val="0"/>
                <w:rtl/>
                <w:lang w:eastAsia="en-US"/>
              </w:rPr>
              <w:t xml:space="preserve"> </w:t>
            </w:r>
            <w:r w:rsidRPr="00CF2E38">
              <w:rPr>
                <w:rFonts w:ascii="QCF_P027" w:hAnsi="QCF_P027" w:cs="QCF_P027"/>
                <w:noProof w:val="0"/>
                <w:rtl/>
                <w:lang w:eastAsia="en-US"/>
              </w:rPr>
              <w:t>ﮣ</w:t>
            </w:r>
            <w:r>
              <w:rPr>
                <w:rFonts w:ascii="QCF_P027" w:hAnsi="QCF_P027" w:cs="QCF_P027" w:hint="cs"/>
                <w:noProof w:val="0"/>
                <w:rtl/>
                <w:lang w:eastAsia="en-US"/>
              </w:rPr>
              <w:t xml:space="preserve"> </w:t>
            </w:r>
            <w:r w:rsidRPr="00CF2E38">
              <w:rPr>
                <w:rFonts w:ascii="QCF_P027" w:hAnsi="QCF_P027" w:cs="QCF_P027"/>
                <w:noProof w:val="0"/>
                <w:color w:val="0000A5"/>
                <w:rtl/>
                <w:lang w:eastAsia="en-US"/>
              </w:rPr>
              <w:t>ﮤ</w:t>
            </w:r>
            <w:r>
              <w:rPr>
                <w:rFonts w:ascii="QCF_P027" w:hAnsi="QCF_P027" w:cs="QCF_P027" w:hint="cs"/>
                <w:noProof w:val="0"/>
                <w:color w:val="0000A5"/>
                <w:rtl/>
                <w:lang w:eastAsia="en-US"/>
              </w:rPr>
              <w:t xml:space="preserve"> </w:t>
            </w:r>
            <w:r w:rsidRPr="00CF2E38">
              <w:rPr>
                <w:rFonts w:ascii="QCF_P027" w:hAnsi="QCF_P027" w:cs="QCF_P027"/>
                <w:noProof w:val="0"/>
                <w:rtl/>
                <w:lang w:eastAsia="en-US"/>
              </w:rPr>
              <w:t>ﮥ</w:t>
            </w:r>
            <w:r>
              <w:rPr>
                <w:rFonts w:ascii="QCF_P027" w:hAnsi="QCF_P027" w:cs="QCF_P027" w:hint="cs"/>
                <w:noProof w:val="0"/>
                <w:rtl/>
                <w:lang w:eastAsia="en-US"/>
              </w:rPr>
              <w:t xml:space="preserve"> </w:t>
            </w:r>
            <w:r w:rsidRPr="00CF2E38">
              <w:rPr>
                <w:rFonts w:ascii="QCF_P027" w:hAnsi="QCF_P027" w:cs="QCF_P027"/>
                <w:noProof w:val="0"/>
                <w:rtl/>
                <w:lang w:eastAsia="en-US"/>
              </w:rPr>
              <w:t>ﮦ</w:t>
            </w:r>
            <w:r>
              <w:rPr>
                <w:rFonts w:ascii="QCF_P027" w:hAnsi="QCF_P027" w:cs="QCF_P027" w:hint="cs"/>
                <w:noProof w:val="0"/>
                <w:rtl/>
                <w:lang w:eastAsia="en-US"/>
              </w:rPr>
              <w:t xml:space="preserve"> </w:t>
            </w:r>
            <w:r w:rsidRPr="00CF2E38">
              <w:rPr>
                <w:rFonts w:ascii="QCF_P027" w:hAnsi="QCF_P027" w:cs="QCF_P027"/>
                <w:noProof w:val="0"/>
                <w:rtl/>
                <w:lang w:eastAsia="en-US"/>
              </w:rPr>
              <w:t>ﮧ</w:t>
            </w:r>
            <w:r>
              <w:rPr>
                <w:rFonts w:ascii="QCF_P027" w:hAnsi="QCF_P027" w:cs="QCF_P027" w:hint="cs"/>
                <w:noProof w:val="0"/>
                <w:rtl/>
                <w:lang w:eastAsia="en-US"/>
              </w:rPr>
              <w:t xml:space="preserve"> </w:t>
            </w:r>
            <w:r w:rsidRPr="00CF2E38">
              <w:rPr>
                <w:rFonts w:ascii="QCF_P027" w:hAnsi="QCF_P027" w:cs="QCF_P027"/>
                <w:noProof w:val="0"/>
                <w:rtl/>
                <w:lang w:eastAsia="en-US"/>
              </w:rPr>
              <w:t>ﮨ</w:t>
            </w:r>
            <w:r>
              <w:rPr>
                <w:rFonts w:ascii="QCF_P027" w:hAnsi="QCF_P027" w:cs="QCF_P027" w:hint="cs"/>
                <w:noProof w:val="0"/>
                <w:rtl/>
                <w:lang w:eastAsia="en-US"/>
              </w:rPr>
              <w:t xml:space="preserve"> </w:t>
            </w:r>
            <w:r w:rsidRPr="00CF2E38">
              <w:rPr>
                <w:rFonts w:ascii="QCF_P027" w:hAnsi="QCF_P027" w:cs="QCF_P027"/>
                <w:noProof w:val="0"/>
                <w:rtl/>
                <w:lang w:eastAsia="en-US"/>
              </w:rPr>
              <w:t>ﮩ</w:t>
            </w:r>
            <w:r>
              <w:rPr>
                <w:rFonts w:ascii="QCF_P027" w:hAnsi="QCF_P027" w:cs="QCF_P027" w:hint="cs"/>
                <w:noProof w:val="0"/>
                <w:rtl/>
                <w:lang w:eastAsia="en-US"/>
              </w:rPr>
              <w:t xml:space="preserve"> </w:t>
            </w:r>
            <w:r w:rsidRPr="00CF2E38">
              <w:rPr>
                <w:rFonts w:ascii="QCF_P027" w:hAnsi="QCF_P027" w:cs="QCF_P027"/>
                <w:noProof w:val="0"/>
                <w:color w:val="0000A5"/>
                <w:rtl/>
                <w:lang w:eastAsia="en-US"/>
              </w:rPr>
              <w:t>ﮪ</w:t>
            </w:r>
            <w:r>
              <w:rPr>
                <w:rFonts w:ascii="QCF_P027" w:hAnsi="QCF_P027" w:cs="QCF_P027" w:hint="cs"/>
                <w:noProof w:val="0"/>
                <w:color w:val="0000A5"/>
                <w:rtl/>
                <w:lang w:eastAsia="en-US"/>
              </w:rPr>
              <w:t xml:space="preserve"> </w:t>
            </w:r>
            <w:r w:rsidRPr="00CF2E38">
              <w:rPr>
                <w:rFonts w:ascii="QCF_P027" w:hAnsi="QCF_P027" w:cs="QCF_P027"/>
                <w:noProof w:val="0"/>
                <w:rtl/>
                <w:lang w:eastAsia="en-US"/>
              </w:rPr>
              <w:t>ﮫ</w:t>
            </w:r>
            <w:r>
              <w:rPr>
                <w:rFonts w:ascii="QCF_P027" w:hAnsi="QCF_P027" w:cs="QCF_P027" w:hint="cs"/>
                <w:noProof w:val="0"/>
                <w:rtl/>
                <w:lang w:eastAsia="en-US"/>
              </w:rPr>
              <w:t xml:space="preserve"> </w:t>
            </w:r>
            <w:r w:rsidRPr="00CF2E38">
              <w:rPr>
                <w:rFonts w:ascii="QCF_P027" w:hAnsi="QCF_P027" w:cs="QCF_P027"/>
                <w:noProof w:val="0"/>
                <w:rtl/>
                <w:lang w:eastAsia="en-US"/>
              </w:rPr>
              <w:t>ﮬ</w:t>
            </w:r>
            <w:r>
              <w:rPr>
                <w:rFonts w:ascii="QCF_P027" w:hAnsi="QCF_P027" w:cs="QCF_P027" w:hint="cs"/>
                <w:noProof w:val="0"/>
                <w:rtl/>
                <w:lang w:eastAsia="en-US"/>
              </w:rPr>
              <w:t xml:space="preserve"> </w:t>
            </w:r>
            <w:r w:rsidRPr="00CF2E38">
              <w:rPr>
                <w:rFonts w:ascii="QCF_P027" w:hAnsi="QCF_P027" w:cs="QCF_P027"/>
                <w:noProof w:val="0"/>
                <w:rtl/>
                <w:lang w:eastAsia="en-US"/>
              </w:rPr>
              <w:t>ﮭ</w:t>
            </w:r>
            <w:r>
              <w:rPr>
                <w:rFonts w:ascii="QCF_P027" w:hAnsi="QCF_P027" w:cs="QCF_P027" w:hint="cs"/>
                <w:noProof w:val="0"/>
                <w:rtl/>
                <w:lang w:eastAsia="en-US"/>
              </w:rPr>
              <w:t xml:space="preserve"> </w:t>
            </w:r>
            <w:r w:rsidRPr="00CF2E38">
              <w:rPr>
                <w:rFonts w:ascii="QCF_P027" w:hAnsi="QCF_P027" w:cs="QCF_P027"/>
                <w:noProof w:val="0"/>
                <w:rtl/>
                <w:lang w:eastAsia="en-US"/>
              </w:rPr>
              <w:t>ﮮ</w:t>
            </w:r>
            <w:r>
              <w:rPr>
                <w:rFonts w:ascii="QCF_P027" w:hAnsi="QCF_P027" w:cs="QCF_P027" w:hint="cs"/>
                <w:noProof w:val="0"/>
                <w:rtl/>
                <w:lang w:eastAsia="en-US"/>
              </w:rPr>
              <w:t xml:space="preserve"> </w:t>
            </w:r>
            <w:r w:rsidRPr="00CF2E38">
              <w:rPr>
                <w:rFonts w:ascii="QCF_P027" w:hAnsi="QCF_P027" w:cs="QCF_P027"/>
                <w:noProof w:val="0"/>
                <w:rtl/>
                <w:lang w:eastAsia="en-US"/>
              </w:rPr>
              <w:t>ﮯ</w:t>
            </w:r>
            <w:r>
              <w:rPr>
                <w:rFonts w:ascii="QCF_P027" w:hAnsi="QCF_P027" w:cs="QCF_P027" w:hint="cs"/>
                <w:noProof w:val="0"/>
                <w:rtl/>
                <w:lang w:eastAsia="en-US"/>
              </w:rPr>
              <w:t xml:space="preserve"> </w:t>
            </w:r>
            <w:r w:rsidRPr="00CF2E38">
              <w:rPr>
                <w:rFonts w:ascii="QCF_P027" w:hAnsi="QCF_P027" w:cs="QCF_P027"/>
                <w:noProof w:val="0"/>
                <w:rtl/>
                <w:lang w:eastAsia="en-US"/>
              </w:rPr>
              <w:t>ﮰ</w:t>
            </w:r>
            <w:r>
              <w:rPr>
                <w:rFonts w:ascii="QCF_P027" w:hAnsi="QCF_P027" w:cs="QCF_P027" w:hint="cs"/>
                <w:noProof w:val="0"/>
                <w:rtl/>
                <w:lang w:eastAsia="en-US"/>
              </w:rPr>
              <w:t xml:space="preserve"> </w:t>
            </w:r>
            <w:r w:rsidRPr="00CF2E38">
              <w:rPr>
                <w:rFonts w:ascii="QCF_P027" w:hAnsi="QCF_P027" w:cs="QCF_P027"/>
                <w:noProof w:val="0"/>
                <w:rtl/>
                <w:lang w:eastAsia="en-US"/>
              </w:rPr>
              <w:t>ﮱ</w:t>
            </w:r>
            <w:r w:rsidRPr="00CF2E38">
              <w:rPr>
                <w:rFonts w:ascii="QCF_BSML" w:hAnsi="QCF_BSML" w:cs="QCF_BSML"/>
                <w:noProof w:val="0"/>
                <w:rtl/>
                <w:lang w:eastAsia="en-US"/>
              </w:rPr>
              <w:t>ﭼ</w:t>
            </w:r>
          </w:p>
        </w:tc>
        <w:tc>
          <w:tcPr>
            <w:tcW w:w="850" w:type="dxa"/>
            <w:vAlign w:val="center"/>
          </w:tcPr>
          <w:p w:rsidR="00E90490" w:rsidRPr="00E90490" w:rsidRDefault="00E90490" w:rsidP="00C72363">
            <w:pPr>
              <w:tabs>
                <w:tab w:val="right" w:leader="dot" w:pos="6802"/>
                <w:tab w:val="right" w:leader="dot" w:pos="8787"/>
              </w:tabs>
              <w:ind w:firstLine="0"/>
              <w:rPr>
                <w:rtl/>
              </w:rPr>
            </w:pPr>
            <w:r w:rsidRPr="00E90490">
              <w:rPr>
                <w:rFonts w:hint="cs"/>
                <w:rtl/>
              </w:rPr>
              <w:t>17</w:t>
            </w:r>
            <w:r w:rsidR="00C72363">
              <w:rPr>
                <w:rFonts w:hint="cs"/>
                <w:rtl/>
              </w:rPr>
              <w:t>8</w:t>
            </w:r>
          </w:p>
        </w:tc>
        <w:tc>
          <w:tcPr>
            <w:tcW w:w="1560" w:type="dxa"/>
            <w:vAlign w:val="center"/>
          </w:tcPr>
          <w:p w:rsidR="00E90490" w:rsidRPr="00E90490" w:rsidRDefault="00C72363" w:rsidP="00C72363">
            <w:pPr>
              <w:tabs>
                <w:tab w:val="right" w:leader="dot" w:pos="6802"/>
                <w:tab w:val="right" w:leader="dot" w:pos="8787"/>
              </w:tabs>
              <w:ind w:firstLine="0"/>
              <w:rPr>
                <w:rtl/>
              </w:rPr>
            </w:pPr>
            <w:r>
              <w:rPr>
                <w:rFonts w:hint="cs"/>
                <w:rtl/>
              </w:rPr>
              <w:t>398</w:t>
            </w:r>
          </w:p>
        </w:tc>
      </w:tr>
      <w:tr w:rsidR="00E90490" w:rsidRPr="00E90490" w:rsidTr="00FE332F">
        <w:trPr>
          <w:cantSplit/>
        </w:trPr>
        <w:tc>
          <w:tcPr>
            <w:tcW w:w="6627" w:type="dxa"/>
          </w:tcPr>
          <w:p w:rsidR="00E90490" w:rsidRPr="00E90490" w:rsidRDefault="00C72363" w:rsidP="00597C20">
            <w:pPr>
              <w:tabs>
                <w:tab w:val="right" w:leader="dot" w:pos="6802"/>
                <w:tab w:val="right" w:leader="dot" w:pos="8787"/>
              </w:tabs>
              <w:ind w:firstLine="0"/>
            </w:pPr>
            <w:r w:rsidRPr="00D96272">
              <w:rPr>
                <w:rFonts w:ascii="QCF_BSML" w:hAnsi="QCF_BSML" w:cs="QCF_BSML"/>
                <w:noProof w:val="0"/>
                <w:rtl/>
                <w:lang w:eastAsia="en-US"/>
              </w:rPr>
              <w:t>ﭽ</w:t>
            </w:r>
            <w:r w:rsidRPr="00D96272">
              <w:rPr>
                <w:rFonts w:ascii="QCF_P029" w:hAnsi="QCF_P029" w:cs="QCF_P029"/>
                <w:noProof w:val="0"/>
                <w:rtl/>
                <w:lang w:eastAsia="en-US"/>
              </w:rPr>
              <w:t>ﮍ</w:t>
            </w:r>
            <w:r>
              <w:rPr>
                <w:rFonts w:ascii="QCF_P029" w:hAnsi="QCF_P029" w:cs="QCF_P029" w:hint="cs"/>
                <w:noProof w:val="0"/>
                <w:rtl/>
                <w:lang w:eastAsia="en-US"/>
              </w:rPr>
              <w:t xml:space="preserve"> </w:t>
            </w:r>
            <w:r w:rsidRPr="00D96272">
              <w:rPr>
                <w:rFonts w:ascii="QCF_P029" w:hAnsi="QCF_P029" w:cs="QCF_P029"/>
                <w:noProof w:val="0"/>
                <w:rtl/>
                <w:lang w:eastAsia="en-US"/>
              </w:rPr>
              <w:t>ﮎ</w:t>
            </w:r>
            <w:r>
              <w:rPr>
                <w:rFonts w:ascii="QCF_P029" w:hAnsi="QCF_P029" w:cs="QCF_P029" w:hint="cs"/>
                <w:noProof w:val="0"/>
                <w:rtl/>
                <w:lang w:eastAsia="en-US"/>
              </w:rPr>
              <w:t xml:space="preserve"> </w:t>
            </w:r>
            <w:r w:rsidRPr="00D96272">
              <w:rPr>
                <w:rFonts w:ascii="QCF_P029" w:hAnsi="QCF_P029" w:cs="QCF_P029"/>
                <w:noProof w:val="0"/>
                <w:rtl/>
                <w:lang w:eastAsia="en-US"/>
              </w:rPr>
              <w:t>ﮏ</w:t>
            </w:r>
            <w:r>
              <w:rPr>
                <w:rFonts w:ascii="QCF_P029" w:hAnsi="QCF_P029" w:cs="QCF_P029" w:hint="cs"/>
                <w:noProof w:val="0"/>
                <w:rtl/>
                <w:lang w:eastAsia="en-US"/>
              </w:rPr>
              <w:t xml:space="preserve"> </w:t>
            </w:r>
            <w:r w:rsidRPr="00D96272">
              <w:rPr>
                <w:rFonts w:ascii="QCF_P029" w:hAnsi="QCF_P029" w:cs="QCF_P029"/>
                <w:noProof w:val="0"/>
                <w:rtl/>
                <w:lang w:eastAsia="en-US"/>
              </w:rPr>
              <w:t>ﮐ</w:t>
            </w:r>
            <w:r>
              <w:rPr>
                <w:rFonts w:ascii="QCF_P029" w:hAnsi="QCF_P029" w:cs="QCF_P029" w:hint="cs"/>
                <w:noProof w:val="0"/>
                <w:rtl/>
                <w:lang w:eastAsia="en-US"/>
              </w:rPr>
              <w:t xml:space="preserve"> </w:t>
            </w:r>
            <w:r w:rsidRPr="00D96272">
              <w:rPr>
                <w:rFonts w:ascii="QCF_P029" w:hAnsi="QCF_P029" w:cs="QCF_P029"/>
                <w:noProof w:val="0"/>
                <w:rtl/>
                <w:lang w:eastAsia="en-US"/>
              </w:rPr>
              <w:t>ﮑ</w:t>
            </w:r>
            <w:r w:rsidRPr="00D96272">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181</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سورة_البقرة_181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C72363" w:rsidP="00597C20">
            <w:pPr>
              <w:tabs>
                <w:tab w:val="right" w:leader="dot" w:pos="6802"/>
                <w:tab w:val="right" w:leader="dot" w:pos="8787"/>
              </w:tabs>
              <w:ind w:firstLine="0"/>
              <w:rPr>
                <w:rtl/>
              </w:rPr>
            </w:pPr>
            <w:r>
              <w:rPr>
                <w:rFonts w:ascii="QCF_BSML" w:hAnsi="QCF_BSML" w:cs="QCF_BSML"/>
                <w:noProof w:val="0"/>
                <w:sz w:val="35"/>
                <w:szCs w:val="35"/>
                <w:rtl/>
                <w:lang w:val="fr-FR" w:eastAsia="en-US"/>
              </w:rPr>
              <w:t>ﭽ</w:t>
            </w:r>
            <w:r>
              <w:rPr>
                <w:rFonts w:ascii="QCF_P028" w:hAnsi="QCF_P028" w:cs="QCF_P028"/>
                <w:noProof w:val="0"/>
                <w:sz w:val="35"/>
                <w:szCs w:val="35"/>
                <w:rtl/>
                <w:lang w:val="fr-FR" w:eastAsia="en-US"/>
              </w:rPr>
              <w:t xml:space="preserve"> ﯗﯘﯙﯚﯛﯜﯝﯞ</w:t>
            </w:r>
            <w:r>
              <w:rPr>
                <w:rFonts w:ascii="QCF_BSML" w:hAnsi="QCF_BSML" w:cs="QCF_BSML"/>
                <w:noProof w:val="0"/>
                <w:sz w:val="35"/>
                <w:szCs w:val="35"/>
                <w:rtl/>
                <w:lang w:val="fr-FR"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185</w:t>
            </w:r>
          </w:p>
        </w:tc>
        <w:tc>
          <w:tcPr>
            <w:tcW w:w="1560" w:type="dxa"/>
            <w:vAlign w:val="center"/>
          </w:tcPr>
          <w:p w:rsidR="00E90490" w:rsidRPr="00E90490" w:rsidRDefault="00C72363" w:rsidP="00597C20">
            <w:pPr>
              <w:tabs>
                <w:tab w:val="right" w:leader="dot" w:pos="6802"/>
                <w:tab w:val="right" w:leader="dot" w:pos="8787"/>
              </w:tabs>
              <w:ind w:firstLine="0"/>
              <w:jc w:val="center"/>
              <w:rPr>
                <w:rtl/>
              </w:rPr>
            </w:pPr>
            <w:r>
              <w:rPr>
                <w:rFonts w:hint="cs"/>
                <w:rtl/>
              </w:rPr>
              <w:t>77</w:t>
            </w:r>
          </w:p>
        </w:tc>
      </w:tr>
      <w:tr w:rsidR="00E90490" w:rsidRPr="00E90490" w:rsidTr="00FE332F">
        <w:trPr>
          <w:cantSplit/>
        </w:trPr>
        <w:tc>
          <w:tcPr>
            <w:tcW w:w="6627" w:type="dxa"/>
          </w:tcPr>
          <w:p w:rsidR="00E90490" w:rsidRPr="00E90490" w:rsidRDefault="007A5619" w:rsidP="00597C20">
            <w:pPr>
              <w:tabs>
                <w:tab w:val="right" w:leader="dot" w:pos="6802"/>
                <w:tab w:val="right" w:leader="dot" w:pos="8787"/>
              </w:tabs>
              <w:ind w:firstLine="0"/>
              <w:rPr>
                <w:rtl/>
              </w:rPr>
            </w:pPr>
            <w:r w:rsidRPr="00541E23">
              <w:rPr>
                <w:rFonts w:ascii="QCF_BSML" w:hAnsi="QCF_BSML" w:cs="QCF_BSML"/>
                <w:noProof w:val="0"/>
                <w:rtl/>
                <w:lang w:eastAsia="en-US"/>
              </w:rPr>
              <w:t xml:space="preserve">ﭽ </w:t>
            </w:r>
            <w:r w:rsidRPr="00541E23">
              <w:rPr>
                <w:rFonts w:ascii="QCF_P029" w:hAnsi="QCF_P029" w:cs="QCF_P029"/>
                <w:noProof w:val="0"/>
                <w:rtl/>
                <w:lang w:eastAsia="en-US"/>
              </w:rPr>
              <w:t>ﮍﮎﮏﮐﮑ</w:t>
            </w:r>
            <w:r w:rsidRPr="00541E23">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187</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سورة_البقرة_187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7A5619" w:rsidP="00597C20">
            <w:pPr>
              <w:tabs>
                <w:tab w:val="right" w:leader="dot" w:pos="6802"/>
                <w:tab w:val="right" w:leader="dot" w:pos="8787"/>
              </w:tabs>
              <w:ind w:firstLine="0"/>
            </w:pPr>
            <w:r w:rsidRPr="004B08E2">
              <w:rPr>
                <w:rFonts w:ascii="QCF_BSML" w:hAnsi="QCF_BSML" w:cs="QCF_BSML"/>
                <w:noProof w:val="0"/>
                <w:rtl/>
                <w:lang w:eastAsia="en-US"/>
              </w:rPr>
              <w:t>ﭽ</w:t>
            </w:r>
            <w:r w:rsidRPr="004B08E2">
              <w:rPr>
                <w:rFonts w:ascii="QCF_P029" w:hAnsi="QCF_P029" w:cs="QCF_P029"/>
                <w:noProof w:val="0"/>
                <w:rtl/>
                <w:lang w:eastAsia="en-US"/>
              </w:rPr>
              <w:t>ﮛ</w:t>
            </w:r>
            <w:r>
              <w:rPr>
                <w:rFonts w:ascii="QCF_P029" w:hAnsi="QCF_P029" w:cs="QCF_P029" w:hint="cs"/>
                <w:noProof w:val="0"/>
                <w:rtl/>
                <w:lang w:eastAsia="en-US"/>
              </w:rPr>
              <w:t xml:space="preserve"> </w:t>
            </w:r>
            <w:r w:rsidRPr="004B08E2">
              <w:rPr>
                <w:rFonts w:ascii="QCF_P029" w:hAnsi="QCF_P029" w:cs="QCF_P029"/>
                <w:noProof w:val="0"/>
                <w:rtl/>
                <w:lang w:eastAsia="en-US"/>
              </w:rPr>
              <w:t>ﮜ</w:t>
            </w:r>
            <w:r>
              <w:rPr>
                <w:rFonts w:ascii="QCF_P029" w:hAnsi="QCF_P029" w:cs="QCF_P029" w:hint="cs"/>
                <w:noProof w:val="0"/>
                <w:rtl/>
                <w:lang w:eastAsia="en-US"/>
              </w:rPr>
              <w:t xml:space="preserve"> </w:t>
            </w:r>
            <w:r w:rsidRPr="004B08E2">
              <w:rPr>
                <w:rFonts w:ascii="QCF_P029" w:hAnsi="QCF_P029" w:cs="QCF_P029"/>
                <w:noProof w:val="0"/>
                <w:rtl/>
                <w:lang w:eastAsia="en-US"/>
              </w:rPr>
              <w:t>ﮝ</w:t>
            </w:r>
            <w:r>
              <w:rPr>
                <w:rFonts w:ascii="QCF_P029" w:hAnsi="QCF_P029" w:cs="QCF_P029" w:hint="cs"/>
                <w:noProof w:val="0"/>
                <w:rtl/>
                <w:lang w:eastAsia="en-US"/>
              </w:rPr>
              <w:t xml:space="preserve"> </w:t>
            </w:r>
            <w:r w:rsidRPr="004B08E2">
              <w:rPr>
                <w:rFonts w:ascii="QCF_P029" w:hAnsi="QCF_P029" w:cs="QCF_P029"/>
                <w:noProof w:val="0"/>
                <w:rtl/>
                <w:lang w:eastAsia="en-US"/>
              </w:rPr>
              <w:t>ﮞ</w:t>
            </w:r>
            <w:r>
              <w:rPr>
                <w:rFonts w:ascii="QCF_P029" w:hAnsi="QCF_P029" w:cs="QCF_P029" w:hint="cs"/>
                <w:noProof w:val="0"/>
                <w:rtl/>
                <w:lang w:eastAsia="en-US"/>
              </w:rPr>
              <w:t xml:space="preserve"> </w:t>
            </w:r>
            <w:r w:rsidRPr="004B08E2">
              <w:rPr>
                <w:rFonts w:ascii="QCF_P029" w:hAnsi="QCF_P029" w:cs="QCF_P029"/>
                <w:noProof w:val="0"/>
                <w:rtl/>
                <w:lang w:eastAsia="en-US"/>
              </w:rPr>
              <w:t>ﮟ</w:t>
            </w:r>
            <w:r>
              <w:rPr>
                <w:rFonts w:ascii="QCF_P029" w:hAnsi="QCF_P029" w:cs="QCF_P029" w:hint="cs"/>
                <w:noProof w:val="0"/>
                <w:rtl/>
                <w:lang w:eastAsia="en-US"/>
              </w:rPr>
              <w:t xml:space="preserve"> </w:t>
            </w:r>
            <w:r w:rsidRPr="004B08E2">
              <w:rPr>
                <w:rFonts w:ascii="QCF_P029" w:hAnsi="QCF_P029" w:cs="QCF_P029"/>
                <w:noProof w:val="0"/>
                <w:rtl/>
                <w:lang w:eastAsia="en-US"/>
              </w:rPr>
              <w:t>ﮠ</w:t>
            </w:r>
            <w:r>
              <w:rPr>
                <w:rFonts w:ascii="QCF_P029" w:hAnsi="QCF_P029" w:cs="QCF_P029" w:hint="cs"/>
                <w:noProof w:val="0"/>
                <w:rtl/>
                <w:lang w:eastAsia="en-US"/>
              </w:rPr>
              <w:t xml:space="preserve"> </w:t>
            </w:r>
            <w:r w:rsidRPr="004B08E2">
              <w:rPr>
                <w:rFonts w:ascii="QCF_P029" w:hAnsi="QCF_P029" w:cs="QCF_P029"/>
                <w:noProof w:val="0"/>
                <w:rtl/>
                <w:lang w:eastAsia="en-US"/>
              </w:rPr>
              <w:t>ﮡ</w:t>
            </w:r>
            <w:r>
              <w:rPr>
                <w:rFonts w:ascii="QCF_P029" w:hAnsi="QCF_P029" w:cs="QCF_P029" w:hint="cs"/>
                <w:noProof w:val="0"/>
                <w:rtl/>
                <w:lang w:eastAsia="en-US"/>
              </w:rPr>
              <w:t xml:space="preserve"> </w:t>
            </w:r>
            <w:r w:rsidRPr="004B08E2">
              <w:rPr>
                <w:rFonts w:ascii="QCF_P029" w:hAnsi="QCF_P029" w:cs="QCF_P029"/>
                <w:noProof w:val="0"/>
                <w:rtl/>
                <w:lang w:eastAsia="en-US"/>
              </w:rPr>
              <w:t>ﮢ</w:t>
            </w:r>
            <w:r>
              <w:rPr>
                <w:rFonts w:ascii="QCF_P029" w:hAnsi="QCF_P029" w:cs="QCF_P029" w:hint="cs"/>
                <w:noProof w:val="0"/>
                <w:rtl/>
                <w:lang w:eastAsia="en-US"/>
              </w:rPr>
              <w:t xml:space="preserve"> </w:t>
            </w:r>
            <w:r w:rsidRPr="004B08E2">
              <w:rPr>
                <w:rFonts w:ascii="QCF_P029" w:hAnsi="QCF_P029" w:cs="QCF_P029"/>
                <w:noProof w:val="0"/>
                <w:rtl/>
                <w:lang w:eastAsia="en-US"/>
              </w:rPr>
              <w:t>ﮣ</w:t>
            </w:r>
            <w:r>
              <w:rPr>
                <w:rFonts w:ascii="QCF_P029" w:hAnsi="QCF_P029" w:cs="QCF_P029" w:hint="cs"/>
                <w:noProof w:val="0"/>
                <w:rtl/>
                <w:lang w:eastAsia="en-US"/>
              </w:rPr>
              <w:t xml:space="preserve"> </w:t>
            </w:r>
            <w:r w:rsidRPr="004B08E2">
              <w:rPr>
                <w:rFonts w:ascii="QCF_P029" w:hAnsi="QCF_P029" w:cs="QCF_P029"/>
                <w:noProof w:val="0"/>
                <w:rtl/>
                <w:lang w:eastAsia="en-US"/>
              </w:rPr>
              <w:t>ﮤ</w:t>
            </w:r>
            <w:r>
              <w:rPr>
                <w:rFonts w:ascii="QCF_P029" w:hAnsi="QCF_P029" w:cs="QCF_P029" w:hint="cs"/>
                <w:noProof w:val="0"/>
                <w:rtl/>
                <w:lang w:eastAsia="en-US"/>
              </w:rPr>
              <w:t xml:space="preserve"> </w:t>
            </w:r>
            <w:r w:rsidRPr="004B08E2">
              <w:rPr>
                <w:rFonts w:ascii="QCF_P029" w:hAnsi="QCF_P029" w:cs="QCF_P029"/>
                <w:noProof w:val="0"/>
                <w:rtl/>
                <w:lang w:eastAsia="en-US"/>
              </w:rPr>
              <w:t>ﮥ</w:t>
            </w:r>
            <w:r>
              <w:rPr>
                <w:rFonts w:ascii="QCF_P029" w:hAnsi="QCF_P029" w:cs="QCF_P029" w:hint="cs"/>
                <w:noProof w:val="0"/>
                <w:rtl/>
                <w:lang w:eastAsia="en-US"/>
              </w:rPr>
              <w:t xml:space="preserve"> </w:t>
            </w:r>
            <w:r w:rsidRPr="004B08E2">
              <w:rPr>
                <w:rFonts w:ascii="QCF_P029" w:hAnsi="QCF_P029" w:cs="QCF_P029"/>
                <w:noProof w:val="0"/>
                <w:rtl/>
                <w:lang w:eastAsia="en-US"/>
              </w:rPr>
              <w:t>ﮦ</w:t>
            </w:r>
            <w:r>
              <w:rPr>
                <w:rFonts w:ascii="QCF_P029" w:hAnsi="QCF_P029" w:cs="QCF_P029" w:hint="cs"/>
                <w:noProof w:val="0"/>
                <w:rtl/>
                <w:lang w:eastAsia="en-US"/>
              </w:rPr>
              <w:t xml:space="preserve"> </w:t>
            </w:r>
            <w:r w:rsidRPr="004B08E2">
              <w:rPr>
                <w:rFonts w:ascii="QCF_P029" w:hAnsi="QCF_P029" w:cs="QCF_P029"/>
                <w:noProof w:val="0"/>
                <w:rtl/>
                <w:lang w:eastAsia="en-US"/>
              </w:rPr>
              <w:t>ﮧ</w:t>
            </w:r>
            <w:r>
              <w:rPr>
                <w:rFonts w:ascii="QCF_P029" w:hAnsi="QCF_P029" w:cs="QCF_P029" w:hint="cs"/>
                <w:noProof w:val="0"/>
                <w:rtl/>
                <w:lang w:eastAsia="en-US"/>
              </w:rPr>
              <w:t xml:space="preserve"> </w:t>
            </w:r>
            <w:r w:rsidRPr="004B08E2">
              <w:rPr>
                <w:rFonts w:ascii="QCF_P029" w:hAnsi="QCF_P029" w:cs="QCF_P029"/>
                <w:noProof w:val="0"/>
                <w:rtl/>
                <w:lang w:eastAsia="en-US"/>
              </w:rPr>
              <w:t>ﮨ</w:t>
            </w:r>
            <w:r>
              <w:rPr>
                <w:rFonts w:ascii="QCF_P029" w:hAnsi="QCF_P029" w:cs="QCF_P029" w:hint="cs"/>
                <w:noProof w:val="0"/>
                <w:rtl/>
                <w:lang w:eastAsia="en-US"/>
              </w:rPr>
              <w:t xml:space="preserve"> </w:t>
            </w:r>
            <w:r w:rsidRPr="004B08E2">
              <w:rPr>
                <w:rFonts w:ascii="QCF_P029" w:hAnsi="QCF_P029" w:cs="QCF_P029"/>
                <w:noProof w:val="0"/>
                <w:rtl/>
                <w:lang w:eastAsia="en-US"/>
              </w:rPr>
              <w:t>ﮩ</w:t>
            </w:r>
            <w:r>
              <w:rPr>
                <w:rFonts w:ascii="QCF_P029" w:hAnsi="QCF_P029" w:cs="QCF_P029" w:hint="cs"/>
                <w:noProof w:val="0"/>
                <w:rtl/>
                <w:lang w:eastAsia="en-US"/>
              </w:rPr>
              <w:t xml:space="preserve"> </w:t>
            </w:r>
            <w:r w:rsidRPr="004B08E2">
              <w:rPr>
                <w:rFonts w:ascii="QCF_P029" w:hAnsi="QCF_P029" w:cs="QCF_P029"/>
                <w:noProof w:val="0"/>
                <w:rtl/>
                <w:lang w:eastAsia="en-US"/>
              </w:rPr>
              <w:t>ﮪ</w:t>
            </w:r>
            <w:r>
              <w:rPr>
                <w:rFonts w:ascii="QCF_P029" w:hAnsi="QCF_P029" w:cs="QCF_P029" w:hint="cs"/>
                <w:noProof w:val="0"/>
                <w:rtl/>
                <w:lang w:eastAsia="en-US"/>
              </w:rPr>
              <w:t xml:space="preserve"> </w:t>
            </w:r>
            <w:r w:rsidRPr="004B08E2">
              <w:rPr>
                <w:rFonts w:ascii="QCF_P029" w:hAnsi="QCF_P029" w:cs="QCF_P029"/>
                <w:noProof w:val="0"/>
                <w:rtl/>
                <w:lang w:eastAsia="en-US"/>
              </w:rPr>
              <w:t>ﮫ</w:t>
            </w:r>
            <w:r w:rsidRPr="004B08E2">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188</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سورة_البقرة_188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7A5619" w:rsidP="00597C20">
            <w:pPr>
              <w:tabs>
                <w:tab w:val="right" w:leader="dot" w:pos="6802"/>
                <w:tab w:val="right" w:leader="dot" w:pos="8787"/>
              </w:tabs>
              <w:ind w:firstLine="0"/>
            </w:pPr>
            <w:r w:rsidRPr="00F90D89">
              <w:rPr>
                <w:rFonts w:ascii="QCF_BSML" w:hAnsi="QCF_BSML" w:cs="QCF_BSML"/>
                <w:noProof w:val="0"/>
                <w:color w:val="auto"/>
                <w:rtl/>
                <w:lang w:eastAsia="en-US"/>
              </w:rPr>
              <w:t>ﭽ</w:t>
            </w:r>
            <w:r w:rsidRPr="00F90D89">
              <w:rPr>
                <w:rFonts w:ascii="QCF_P034" w:hAnsi="QCF_P034" w:cs="QCF_P034"/>
                <w:noProof w:val="0"/>
                <w:color w:val="auto"/>
                <w:rtl/>
                <w:lang w:eastAsia="en-US"/>
              </w:rPr>
              <w:t>ﭑ</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ﭒ</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ﭓ</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ﭔ</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ﭕ</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ﭖ</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ﭗﭘ</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ﭙ</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ﭚ</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ﭛ</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ﭜ</w:t>
            </w:r>
            <w:r>
              <w:rPr>
                <w:rFonts w:ascii="QCF_P034" w:hAnsi="QCF_P034" w:cs="QCF_P034" w:hint="cs"/>
                <w:noProof w:val="0"/>
                <w:color w:val="auto"/>
                <w:rtl/>
                <w:lang w:eastAsia="en-US"/>
              </w:rPr>
              <w:t xml:space="preserve"> </w:t>
            </w:r>
            <w:r w:rsidRPr="00F90D89">
              <w:rPr>
                <w:rFonts w:ascii="QCF_P034" w:hAnsi="QCF_P034" w:cs="QCF_P034"/>
                <w:noProof w:val="0"/>
                <w:color w:val="auto"/>
                <w:rtl/>
                <w:lang w:eastAsia="en-US"/>
              </w:rPr>
              <w:t>ﭝ</w:t>
            </w:r>
            <w:r w:rsidRPr="00F90D89">
              <w:rPr>
                <w:rFonts w:ascii="QCF_BSML" w:hAnsi="QCF_BSML" w:cs="QCF_BSML"/>
                <w:noProof w:val="0"/>
                <w:color w:val="auto"/>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216</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سورة_البقرة_216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7A5619" w:rsidP="00597C20">
            <w:pPr>
              <w:tabs>
                <w:tab w:val="right" w:leader="dot" w:pos="6802"/>
                <w:tab w:val="right" w:leader="dot" w:pos="8787"/>
              </w:tabs>
              <w:ind w:firstLine="0"/>
            </w:pPr>
            <w:r w:rsidRPr="00650F9C">
              <w:rPr>
                <w:rFonts w:ascii="QCF_BSML" w:hAnsi="QCF_BSML" w:cs="QCF_BSML"/>
                <w:noProof w:val="0"/>
                <w:rtl/>
                <w:lang w:eastAsia="en-US"/>
              </w:rPr>
              <w:t>ﭽ</w:t>
            </w:r>
            <w:r w:rsidRPr="00650F9C">
              <w:rPr>
                <w:rFonts w:ascii="QCF_P034" w:hAnsi="QCF_P034" w:cs="QCF_P034"/>
                <w:noProof w:val="0"/>
                <w:rtl/>
                <w:lang w:eastAsia="en-US"/>
              </w:rPr>
              <w:t>ﯣ</w:t>
            </w:r>
            <w:r>
              <w:rPr>
                <w:rFonts w:ascii="QCF_P034" w:hAnsi="QCF_P034" w:cs="QCF_P034" w:hint="cs"/>
                <w:noProof w:val="0"/>
                <w:rtl/>
                <w:lang w:eastAsia="en-US"/>
              </w:rPr>
              <w:t xml:space="preserve"> </w:t>
            </w:r>
            <w:r w:rsidRPr="00650F9C">
              <w:rPr>
                <w:rFonts w:ascii="QCF_P034" w:hAnsi="QCF_P034" w:cs="QCF_P034"/>
                <w:noProof w:val="0"/>
                <w:rtl/>
                <w:lang w:eastAsia="en-US"/>
              </w:rPr>
              <w:t>ﯤ</w:t>
            </w:r>
            <w:r>
              <w:rPr>
                <w:rFonts w:ascii="QCF_P034" w:hAnsi="QCF_P034" w:cs="QCF_P034" w:hint="cs"/>
                <w:noProof w:val="0"/>
                <w:rtl/>
                <w:lang w:eastAsia="en-US"/>
              </w:rPr>
              <w:t xml:space="preserve"> </w:t>
            </w:r>
            <w:r w:rsidRPr="00650F9C">
              <w:rPr>
                <w:rFonts w:ascii="QCF_P034" w:hAnsi="QCF_P034" w:cs="QCF_P034"/>
                <w:noProof w:val="0"/>
                <w:rtl/>
                <w:lang w:eastAsia="en-US"/>
              </w:rPr>
              <w:t>ﯥ</w:t>
            </w:r>
            <w:r>
              <w:rPr>
                <w:rFonts w:ascii="QCF_P034" w:hAnsi="QCF_P034" w:cs="QCF_P034" w:hint="cs"/>
                <w:noProof w:val="0"/>
                <w:rtl/>
                <w:lang w:eastAsia="en-US"/>
              </w:rPr>
              <w:t xml:space="preserve"> </w:t>
            </w:r>
            <w:r w:rsidRPr="00650F9C">
              <w:rPr>
                <w:rFonts w:ascii="QCF_P034" w:hAnsi="QCF_P034" w:cs="QCF_P034"/>
                <w:noProof w:val="0"/>
                <w:rtl/>
                <w:lang w:eastAsia="en-US"/>
              </w:rPr>
              <w:t>ﯦ</w:t>
            </w:r>
            <w:r>
              <w:rPr>
                <w:rFonts w:ascii="QCF_P034" w:hAnsi="QCF_P034" w:cs="QCF_P034" w:hint="cs"/>
                <w:noProof w:val="0"/>
                <w:rtl/>
                <w:lang w:eastAsia="en-US"/>
              </w:rPr>
              <w:t xml:space="preserve"> </w:t>
            </w:r>
            <w:r w:rsidRPr="00650F9C">
              <w:rPr>
                <w:rFonts w:ascii="QCF_P034" w:hAnsi="QCF_P034" w:cs="QCF_P034"/>
                <w:noProof w:val="0"/>
                <w:color w:val="0000A5"/>
                <w:rtl/>
                <w:lang w:eastAsia="en-US"/>
              </w:rPr>
              <w:t>ﯧ</w:t>
            </w:r>
            <w:r>
              <w:rPr>
                <w:rFonts w:ascii="QCF_P034" w:hAnsi="QCF_P034" w:cs="QCF_P034"/>
                <w:noProof w:val="0"/>
                <w:rtl/>
                <w:lang w:eastAsia="en-US"/>
              </w:rPr>
              <w:t>ﯨ</w:t>
            </w:r>
            <w:r>
              <w:rPr>
                <w:rFonts w:ascii="QCF_P034" w:hAnsi="QCF_P034" w:cs="QCF_P034" w:hint="cs"/>
                <w:noProof w:val="0"/>
                <w:rtl/>
                <w:lang w:eastAsia="en-US"/>
              </w:rPr>
              <w:t xml:space="preserve">  </w:t>
            </w:r>
            <w:r>
              <w:rPr>
                <w:rFonts w:ascii="QCF_P034" w:hAnsi="QCF_P034" w:cs="QCF_P034"/>
                <w:noProof w:val="0"/>
                <w:rtl/>
                <w:lang w:eastAsia="en-US"/>
              </w:rPr>
              <w:t>ﯩﯪ</w:t>
            </w:r>
            <w:r>
              <w:rPr>
                <w:rFonts w:ascii="QCF_P034" w:hAnsi="QCF_P034" w:cs="QCF_P034" w:hint="cs"/>
                <w:noProof w:val="0"/>
                <w:rtl/>
                <w:lang w:eastAsia="en-US"/>
              </w:rPr>
              <w:t xml:space="preserve">  </w:t>
            </w:r>
            <w:r w:rsidRPr="00650F9C">
              <w:rPr>
                <w:rFonts w:ascii="QCF_P034" w:hAnsi="QCF_P034" w:cs="QCF_P034"/>
                <w:noProof w:val="0"/>
                <w:rtl/>
                <w:lang w:eastAsia="en-US"/>
              </w:rPr>
              <w:t>ﯫ</w:t>
            </w:r>
            <w:r>
              <w:rPr>
                <w:rFonts w:ascii="QCF_P034" w:hAnsi="QCF_P034" w:cs="QCF_P034" w:hint="cs"/>
                <w:noProof w:val="0"/>
                <w:rtl/>
                <w:lang w:eastAsia="en-US"/>
              </w:rPr>
              <w:t xml:space="preserve"> </w:t>
            </w:r>
            <w:r w:rsidRPr="00650F9C">
              <w:rPr>
                <w:rFonts w:ascii="QCF_P034" w:hAnsi="QCF_P034" w:cs="QCF_P034"/>
                <w:noProof w:val="0"/>
                <w:rtl/>
                <w:lang w:eastAsia="en-US"/>
              </w:rPr>
              <w:t>ﯬ</w:t>
            </w:r>
            <w:r>
              <w:rPr>
                <w:rFonts w:ascii="QCF_P034" w:hAnsi="QCF_P034" w:cs="QCF_P034" w:hint="cs"/>
                <w:noProof w:val="0"/>
                <w:rtl/>
                <w:lang w:eastAsia="en-US"/>
              </w:rPr>
              <w:t xml:space="preserve"> </w:t>
            </w:r>
            <w:r w:rsidRPr="00650F9C">
              <w:rPr>
                <w:rFonts w:ascii="QCF_P034" w:hAnsi="QCF_P034" w:cs="QCF_P034"/>
                <w:noProof w:val="0"/>
                <w:rtl/>
                <w:lang w:eastAsia="en-US"/>
              </w:rPr>
              <w:t>ﯭ</w:t>
            </w:r>
            <w:r>
              <w:rPr>
                <w:rFonts w:ascii="QCF_P034" w:hAnsi="QCF_P034" w:cs="QCF_P034" w:hint="cs"/>
                <w:noProof w:val="0"/>
                <w:rtl/>
                <w:lang w:eastAsia="en-US"/>
              </w:rPr>
              <w:t xml:space="preserve"> </w:t>
            </w:r>
            <w:r w:rsidRPr="00650F9C">
              <w:rPr>
                <w:rFonts w:ascii="QCF_P034" w:hAnsi="QCF_P034" w:cs="QCF_P034"/>
                <w:noProof w:val="0"/>
                <w:rtl/>
                <w:lang w:eastAsia="en-US"/>
              </w:rPr>
              <w:t>ﯮ</w:t>
            </w:r>
            <w:r>
              <w:rPr>
                <w:rFonts w:ascii="QCF_P034" w:hAnsi="QCF_P034" w:cs="QCF_P034" w:hint="cs"/>
                <w:noProof w:val="0"/>
                <w:rtl/>
                <w:lang w:eastAsia="en-US"/>
              </w:rPr>
              <w:t xml:space="preserve"> </w:t>
            </w:r>
            <w:r w:rsidRPr="00650F9C">
              <w:rPr>
                <w:rFonts w:ascii="QCF_P034" w:hAnsi="QCF_P034" w:cs="QCF_P034"/>
                <w:noProof w:val="0"/>
                <w:rtl/>
                <w:lang w:eastAsia="en-US"/>
              </w:rPr>
              <w:t>ﯯ</w:t>
            </w:r>
            <w:r>
              <w:rPr>
                <w:rFonts w:ascii="QCF_P034" w:hAnsi="QCF_P034" w:cs="QCF_P034" w:hint="cs"/>
                <w:noProof w:val="0"/>
                <w:rtl/>
                <w:lang w:eastAsia="en-US"/>
              </w:rPr>
              <w:t xml:space="preserve"> </w:t>
            </w:r>
            <w:r w:rsidRPr="00650F9C">
              <w:rPr>
                <w:rFonts w:ascii="QCF_P034" w:hAnsi="QCF_P034" w:cs="QCF_P034"/>
                <w:noProof w:val="0"/>
                <w:rtl/>
                <w:lang w:eastAsia="en-US"/>
              </w:rPr>
              <w:t>ﯰ</w:t>
            </w:r>
            <w:r>
              <w:rPr>
                <w:rFonts w:ascii="QCF_P034" w:hAnsi="QCF_P034" w:cs="QCF_P034" w:hint="cs"/>
                <w:noProof w:val="0"/>
                <w:rtl/>
                <w:lang w:eastAsia="en-US"/>
              </w:rPr>
              <w:t xml:space="preserve"> </w:t>
            </w:r>
            <w:r w:rsidRPr="00650F9C">
              <w:rPr>
                <w:rFonts w:ascii="QCF_P034" w:hAnsi="QCF_P034" w:cs="QCF_P034"/>
                <w:noProof w:val="0"/>
                <w:rtl/>
                <w:lang w:eastAsia="en-US"/>
              </w:rPr>
              <w:t>ﯱ</w:t>
            </w:r>
            <w:r w:rsidRPr="00650F9C">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219</w:t>
            </w:r>
          </w:p>
        </w:tc>
        <w:tc>
          <w:tcPr>
            <w:tcW w:w="1560" w:type="dxa"/>
            <w:vAlign w:val="center"/>
          </w:tcPr>
          <w:p w:rsidR="00E90490" w:rsidRPr="00E90490" w:rsidRDefault="00AB0B9E" w:rsidP="007A5619">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سورة_البقرة_219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Pr="00E90490">
              <w:rPr>
                <w:rtl/>
              </w:rPr>
              <w:fldChar w:fldCharType="begin"/>
            </w:r>
            <w:r w:rsidR="00E90490" w:rsidRPr="00E90490">
              <w:rPr>
                <w:rFonts w:hint="cs"/>
              </w:rPr>
              <w:instrText>PAGEREF</w:instrText>
            </w:r>
            <w:r w:rsidR="00E90490" w:rsidRPr="00E90490">
              <w:rPr>
                <w:rFonts w:hint="cs"/>
                <w:rtl/>
              </w:rPr>
              <w:instrText xml:space="preserve"> سورة_البقرة_219_2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p>
        </w:tc>
      </w:tr>
      <w:tr w:rsidR="00E90490" w:rsidRPr="00E90490" w:rsidTr="00FE332F">
        <w:trPr>
          <w:cantSplit/>
        </w:trPr>
        <w:tc>
          <w:tcPr>
            <w:tcW w:w="6627" w:type="dxa"/>
          </w:tcPr>
          <w:p w:rsidR="00E90490" w:rsidRPr="00E90490" w:rsidRDefault="007A5619" w:rsidP="00597C20">
            <w:pPr>
              <w:tabs>
                <w:tab w:val="right" w:leader="dot" w:pos="6802"/>
                <w:tab w:val="right" w:leader="dot" w:pos="8787"/>
              </w:tabs>
              <w:ind w:firstLine="0"/>
            </w:pPr>
            <w:r w:rsidRPr="00D80F33">
              <w:rPr>
                <w:rFonts w:ascii="QCF_BSML" w:hAnsi="QCF_BSML" w:cs="QCF_BSML"/>
                <w:noProof w:val="0"/>
                <w:rtl/>
                <w:lang w:eastAsia="en-US"/>
              </w:rPr>
              <w:t xml:space="preserve">ﭽ </w:t>
            </w:r>
            <w:r w:rsidRPr="00D80F33">
              <w:rPr>
                <w:rFonts w:ascii="QCF_P036" w:hAnsi="QCF_P036" w:cs="QCF_P036"/>
                <w:noProof w:val="0"/>
                <w:rtl/>
                <w:lang w:eastAsia="en-US"/>
              </w:rPr>
              <w:t>ﮘﮙﮚﮛﮜ</w:t>
            </w:r>
            <w:r w:rsidRPr="00D80F33">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228</w:t>
            </w:r>
          </w:p>
        </w:tc>
        <w:tc>
          <w:tcPr>
            <w:tcW w:w="1560" w:type="dxa"/>
            <w:vAlign w:val="center"/>
          </w:tcPr>
          <w:p w:rsidR="00E90490" w:rsidRPr="00E90490" w:rsidRDefault="00290D9A" w:rsidP="00290D9A">
            <w:pPr>
              <w:tabs>
                <w:tab w:val="right" w:leader="dot" w:pos="6802"/>
                <w:tab w:val="right" w:leader="dot" w:pos="8787"/>
              </w:tabs>
              <w:ind w:firstLine="0"/>
              <w:rPr>
                <w:rtl/>
              </w:rPr>
            </w:pPr>
            <w:r>
              <w:rPr>
                <w:rFonts w:hint="cs"/>
                <w:rtl/>
              </w:rPr>
              <w:t>142</w:t>
            </w:r>
          </w:p>
        </w:tc>
      </w:tr>
      <w:tr w:rsidR="00E90490" w:rsidRPr="00E90490" w:rsidTr="00FE332F">
        <w:trPr>
          <w:cantSplit/>
        </w:trPr>
        <w:tc>
          <w:tcPr>
            <w:tcW w:w="6627" w:type="dxa"/>
          </w:tcPr>
          <w:p w:rsidR="00E90490" w:rsidRPr="00E90490" w:rsidRDefault="00290D9A" w:rsidP="00597C20">
            <w:pPr>
              <w:tabs>
                <w:tab w:val="right" w:leader="dot" w:pos="6802"/>
                <w:tab w:val="right" w:leader="dot" w:pos="8787"/>
              </w:tabs>
              <w:ind w:firstLine="0"/>
              <w:rPr>
                <w:rtl/>
              </w:rPr>
            </w:pPr>
            <w:r w:rsidRPr="001C50AE">
              <w:rPr>
                <w:rFonts w:ascii="QCF_BSML" w:hAnsi="QCF_BSML" w:cs="QCF_BSML"/>
                <w:noProof w:val="0"/>
                <w:rtl/>
                <w:lang w:val="fr-FR" w:eastAsia="en-US"/>
              </w:rPr>
              <w:t xml:space="preserve">ﭽ </w:t>
            </w:r>
            <w:r w:rsidRPr="001C50AE">
              <w:rPr>
                <w:rFonts w:ascii="QCF_P036" w:hAnsi="QCF_P036" w:cs="QCF_P036"/>
                <w:noProof w:val="0"/>
                <w:rtl/>
                <w:lang w:val="fr-FR" w:eastAsia="en-US"/>
              </w:rPr>
              <w:t>ﮦﮧ</w:t>
            </w:r>
            <w:r w:rsidRPr="001C50AE">
              <w:rPr>
                <w:rFonts w:ascii="QCF_P036" w:hAnsi="QCF_P036" w:cs="QCF_P036"/>
                <w:noProof w:val="0"/>
                <w:color w:val="0000A5"/>
                <w:rtl/>
                <w:lang w:val="fr-FR" w:eastAsia="en-US"/>
              </w:rPr>
              <w:t>ﮨ</w:t>
            </w:r>
            <w:r w:rsidRPr="001C50AE">
              <w:rPr>
                <w:rFonts w:ascii="QCF_P036" w:hAnsi="QCF_P036" w:cs="QCF_P036"/>
                <w:noProof w:val="0"/>
                <w:rtl/>
                <w:lang w:val="fr-FR" w:eastAsia="en-US"/>
              </w:rPr>
              <w:t>ﮩﮪﮫﮬﮭ</w:t>
            </w:r>
            <w:r w:rsidRPr="001C50AE">
              <w:rPr>
                <w:rFonts w:ascii="QCF_P036" w:hAnsi="QCF_P036" w:cs="QCF_P036"/>
                <w:noProof w:val="0"/>
                <w:color w:val="0000A5"/>
                <w:rtl/>
                <w:lang w:val="fr-FR" w:eastAsia="en-US"/>
              </w:rPr>
              <w:t>ﮮ</w:t>
            </w:r>
            <w:r w:rsidRPr="001C50AE">
              <w:rPr>
                <w:rFonts w:ascii="QCF_P036" w:hAnsi="QCF_P036" w:cs="QCF_P036"/>
                <w:noProof w:val="0"/>
                <w:rtl/>
                <w:lang w:val="fr-FR" w:eastAsia="en-US"/>
              </w:rPr>
              <w:t>ﮯﮰﮱﯓﯔﯕﯖﯗﯘﯙﯚﯛﯜﯝﯞ</w:t>
            </w:r>
            <w:r w:rsidRPr="001C50AE">
              <w:rPr>
                <w:rFonts w:ascii="QCF_P036" w:hAnsi="QCF_P036" w:cs="QCF_P036"/>
                <w:noProof w:val="0"/>
                <w:color w:val="0000A5"/>
                <w:rtl/>
                <w:lang w:val="fr-FR" w:eastAsia="en-US"/>
              </w:rPr>
              <w:t>ﯟ</w:t>
            </w:r>
            <w:r w:rsidRPr="001C50AE">
              <w:rPr>
                <w:rFonts w:ascii="QCF_P036" w:hAnsi="QCF_P036" w:cs="QCF_P036"/>
                <w:noProof w:val="0"/>
                <w:rtl/>
                <w:lang w:val="fr-FR" w:eastAsia="en-US"/>
              </w:rPr>
              <w:t>ﯠﯡﯢﯣﯤﯥﯦﯧﯨﯩﯪﯫ</w:t>
            </w:r>
            <w:r w:rsidRPr="001C50AE">
              <w:rPr>
                <w:rFonts w:ascii="QCF_P036" w:hAnsi="QCF_P036" w:cs="QCF_P036"/>
                <w:noProof w:val="0"/>
                <w:color w:val="0000A5"/>
                <w:rtl/>
                <w:lang w:val="fr-FR" w:eastAsia="en-US"/>
              </w:rPr>
              <w:t>ﯬ</w:t>
            </w:r>
            <w:r w:rsidRPr="001C50AE">
              <w:rPr>
                <w:rFonts w:ascii="QCF_P036" w:hAnsi="QCF_P036" w:cs="QCF_P036"/>
                <w:noProof w:val="0"/>
                <w:rtl/>
                <w:lang w:val="fr-FR" w:eastAsia="en-US"/>
              </w:rPr>
              <w:t>ﯭﯮﯯﯰﯱ</w:t>
            </w:r>
            <w:r w:rsidRPr="001C50AE">
              <w:rPr>
                <w:rFonts w:ascii="QCF_P036" w:hAnsi="QCF_P036" w:cs="QCF_P036"/>
                <w:noProof w:val="0"/>
                <w:color w:val="0000A5"/>
                <w:rtl/>
                <w:lang w:val="fr-FR" w:eastAsia="en-US"/>
              </w:rPr>
              <w:t>ﯲ</w:t>
            </w:r>
            <w:r w:rsidRPr="001C50AE">
              <w:rPr>
                <w:rFonts w:ascii="QCF_P036" w:hAnsi="QCF_P036" w:cs="QCF_P036"/>
                <w:noProof w:val="0"/>
                <w:rtl/>
                <w:lang w:val="fr-FR" w:eastAsia="en-US"/>
              </w:rPr>
              <w:t>ﯳﯴﯵﯶﯷﯸﯹ</w:t>
            </w:r>
            <w:r w:rsidRPr="001C50AE">
              <w:rPr>
                <w:rFonts w:ascii="QCF_BSML" w:hAnsi="QCF_BSML" w:cs="QCF_BSML"/>
                <w:noProof w:val="0"/>
                <w:rtl/>
                <w:lang w:val="fr-FR"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229</w:t>
            </w:r>
          </w:p>
        </w:tc>
        <w:tc>
          <w:tcPr>
            <w:tcW w:w="1560" w:type="dxa"/>
            <w:vAlign w:val="center"/>
          </w:tcPr>
          <w:p w:rsidR="00E90490" w:rsidRPr="00E90490" w:rsidRDefault="00290D9A" w:rsidP="00290D9A">
            <w:pPr>
              <w:tabs>
                <w:tab w:val="right" w:leader="dot" w:pos="6802"/>
                <w:tab w:val="right" w:leader="dot" w:pos="8787"/>
              </w:tabs>
              <w:ind w:firstLine="0"/>
              <w:rPr>
                <w:rtl/>
              </w:rPr>
            </w:pPr>
            <w:r>
              <w:rPr>
                <w:rFonts w:hint="cs"/>
                <w:rtl/>
              </w:rPr>
              <w:t>78</w:t>
            </w:r>
            <w:r w:rsidR="00E90490" w:rsidRPr="00E90490">
              <w:rPr>
                <w:rFonts w:hint="cs"/>
                <w:rtl/>
              </w:rPr>
              <w:t>،</w:t>
            </w:r>
            <w:r>
              <w:rPr>
                <w:rFonts w:hint="cs"/>
                <w:rtl/>
              </w:rPr>
              <w:t xml:space="preserve"> </w:t>
            </w:r>
            <w:r w:rsidR="00E90490" w:rsidRPr="00E90490">
              <w:rPr>
                <w:rFonts w:hint="cs"/>
                <w:rtl/>
              </w:rPr>
              <w:t xml:space="preserve"> </w:t>
            </w:r>
            <w:r>
              <w:rPr>
                <w:rFonts w:hint="cs"/>
                <w:rtl/>
              </w:rPr>
              <w:t>177</w:t>
            </w:r>
          </w:p>
        </w:tc>
      </w:tr>
      <w:tr w:rsidR="00E90490" w:rsidRPr="00E90490" w:rsidTr="00FE332F">
        <w:trPr>
          <w:cantSplit/>
        </w:trPr>
        <w:tc>
          <w:tcPr>
            <w:tcW w:w="6627" w:type="dxa"/>
          </w:tcPr>
          <w:p w:rsidR="00E90490" w:rsidRPr="00E90490" w:rsidRDefault="00290D9A" w:rsidP="00597C20">
            <w:pPr>
              <w:tabs>
                <w:tab w:val="right" w:leader="dot" w:pos="6802"/>
                <w:tab w:val="right" w:leader="dot" w:pos="8787"/>
              </w:tabs>
              <w:ind w:firstLine="0"/>
              <w:rPr>
                <w:rtl/>
              </w:rPr>
            </w:pPr>
            <w:r w:rsidRPr="000D49DC">
              <w:rPr>
                <w:rFonts w:ascii="QCF_BSML" w:hAnsi="QCF_BSML" w:cs="QCF_BSML"/>
                <w:noProof w:val="0"/>
                <w:rtl/>
                <w:lang w:eastAsia="en-US"/>
              </w:rPr>
              <w:lastRenderedPageBreak/>
              <w:t xml:space="preserve">ﭽ </w:t>
            </w:r>
            <w:r w:rsidRPr="000D49DC">
              <w:rPr>
                <w:rFonts w:ascii="QCF_P037" w:hAnsi="QCF_P037" w:cs="QCF_P037"/>
                <w:noProof w:val="0"/>
                <w:rtl/>
                <w:lang w:eastAsia="en-US"/>
              </w:rPr>
              <w:t>ﭜ</w:t>
            </w:r>
            <w:r>
              <w:rPr>
                <w:rFonts w:ascii="QCF_P037" w:hAnsi="QCF_P037" w:cs="QCF_P037" w:hint="cs"/>
                <w:noProof w:val="0"/>
                <w:rtl/>
                <w:lang w:eastAsia="en-US"/>
              </w:rPr>
              <w:t xml:space="preserve"> </w:t>
            </w:r>
            <w:r w:rsidRPr="000D49DC">
              <w:rPr>
                <w:rFonts w:ascii="QCF_P037" w:hAnsi="QCF_P037" w:cs="QCF_P037"/>
                <w:noProof w:val="0"/>
                <w:rtl/>
                <w:lang w:eastAsia="en-US"/>
              </w:rPr>
              <w:t>ﭝ</w:t>
            </w:r>
            <w:r>
              <w:rPr>
                <w:rFonts w:ascii="QCF_P037" w:hAnsi="QCF_P037" w:cs="QCF_P037" w:hint="cs"/>
                <w:noProof w:val="0"/>
                <w:rtl/>
                <w:lang w:eastAsia="en-US"/>
              </w:rPr>
              <w:t xml:space="preserve"> </w:t>
            </w:r>
            <w:r w:rsidRPr="000D49DC">
              <w:rPr>
                <w:rFonts w:ascii="QCF_P037" w:hAnsi="QCF_P037" w:cs="QCF_P037"/>
                <w:noProof w:val="0"/>
                <w:rtl/>
                <w:lang w:eastAsia="en-US"/>
              </w:rPr>
              <w:t>ﭞ</w:t>
            </w:r>
            <w:r>
              <w:rPr>
                <w:rFonts w:ascii="QCF_P037" w:hAnsi="QCF_P037" w:cs="QCF_P037" w:hint="cs"/>
                <w:noProof w:val="0"/>
                <w:rtl/>
                <w:lang w:eastAsia="en-US"/>
              </w:rPr>
              <w:t xml:space="preserve"> </w:t>
            </w:r>
            <w:r w:rsidRPr="000D49DC">
              <w:rPr>
                <w:rFonts w:ascii="QCF_P037" w:hAnsi="QCF_P037" w:cs="QCF_P037"/>
                <w:noProof w:val="0"/>
                <w:rtl/>
                <w:lang w:eastAsia="en-US"/>
              </w:rPr>
              <w:t>ﭟ</w:t>
            </w:r>
            <w:r w:rsidRPr="000D49DC">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231</w:t>
            </w:r>
          </w:p>
        </w:tc>
        <w:tc>
          <w:tcPr>
            <w:tcW w:w="1560" w:type="dxa"/>
            <w:vAlign w:val="center"/>
          </w:tcPr>
          <w:p w:rsidR="00E90490" w:rsidRPr="00E90490" w:rsidRDefault="00E90490" w:rsidP="00290D9A">
            <w:pPr>
              <w:tabs>
                <w:tab w:val="right" w:leader="dot" w:pos="6802"/>
                <w:tab w:val="right" w:leader="dot" w:pos="8787"/>
              </w:tabs>
              <w:ind w:firstLine="0"/>
              <w:rPr>
                <w:rtl/>
              </w:rPr>
            </w:pPr>
            <w:r w:rsidRPr="00E90490">
              <w:rPr>
                <w:rFonts w:hint="cs"/>
                <w:rtl/>
              </w:rPr>
              <w:t xml:space="preserve"> </w:t>
            </w:r>
            <w:r w:rsidR="00AB0B9E" w:rsidRPr="00E90490">
              <w:rPr>
                <w:rtl/>
              </w:rPr>
              <w:fldChar w:fldCharType="begin"/>
            </w:r>
            <w:r w:rsidRPr="00E90490">
              <w:rPr>
                <w:rFonts w:hint="cs"/>
              </w:rPr>
              <w:instrText>PAGEREF</w:instrText>
            </w:r>
            <w:r w:rsidRPr="00E90490">
              <w:rPr>
                <w:rFonts w:hint="cs"/>
                <w:rtl/>
              </w:rPr>
              <w:instrText xml:space="preserve"> سورة_البقرة_231_2 \</w:instrText>
            </w:r>
            <w:r w:rsidRPr="00E90490">
              <w:rPr>
                <w:rFonts w:hint="cs"/>
              </w:rPr>
              <w:instrText>h</w:instrText>
            </w:r>
            <w:r w:rsidR="00AB0B9E" w:rsidRPr="00E90490">
              <w:rPr>
                <w:rtl/>
              </w:rPr>
            </w:r>
            <w:r w:rsidR="00AB0B9E" w:rsidRPr="00E90490">
              <w:rPr>
                <w:rtl/>
              </w:rPr>
              <w:fldChar w:fldCharType="separate"/>
            </w:r>
            <w:r w:rsidR="00982621">
              <w:rPr>
                <w:rtl/>
              </w:rPr>
              <w:t>25</w:t>
            </w:r>
            <w:r w:rsidR="00AB0B9E" w:rsidRPr="00E90490">
              <w:rPr>
                <w:rtl/>
              </w:rPr>
              <w:fldChar w:fldCharType="end"/>
            </w:r>
          </w:p>
        </w:tc>
      </w:tr>
      <w:tr w:rsidR="00E90490" w:rsidRPr="00E90490" w:rsidTr="00FE332F">
        <w:trPr>
          <w:cantSplit/>
        </w:trPr>
        <w:tc>
          <w:tcPr>
            <w:tcW w:w="6627" w:type="dxa"/>
          </w:tcPr>
          <w:p w:rsidR="00E90490" w:rsidRPr="00E90490" w:rsidRDefault="00290D9A" w:rsidP="00597C20">
            <w:pPr>
              <w:tabs>
                <w:tab w:val="right" w:leader="dot" w:pos="6802"/>
                <w:tab w:val="right" w:leader="dot" w:pos="8787"/>
              </w:tabs>
              <w:ind w:firstLine="0"/>
            </w:pPr>
            <w:r w:rsidRPr="000D49DC">
              <w:rPr>
                <w:rFonts w:ascii="QCF_BSML" w:hAnsi="QCF_BSML" w:cs="QCF_BSML"/>
                <w:noProof w:val="0"/>
                <w:rtl/>
                <w:lang w:eastAsia="en-US"/>
              </w:rPr>
              <w:t xml:space="preserve">ﭽ </w:t>
            </w:r>
            <w:r w:rsidRPr="000D49DC">
              <w:rPr>
                <w:rFonts w:ascii="QCF_P037" w:hAnsi="QCF_P037" w:cs="QCF_P037"/>
                <w:noProof w:val="0"/>
                <w:rtl/>
                <w:lang w:eastAsia="en-US"/>
              </w:rPr>
              <w:t>ﯤ</w:t>
            </w:r>
            <w:r>
              <w:rPr>
                <w:rFonts w:ascii="QCF_P037" w:hAnsi="QCF_P037" w:cs="QCF_P037" w:hint="cs"/>
                <w:noProof w:val="0"/>
                <w:rtl/>
                <w:lang w:eastAsia="en-US"/>
              </w:rPr>
              <w:t xml:space="preserve"> </w:t>
            </w:r>
            <w:r w:rsidRPr="000D49DC">
              <w:rPr>
                <w:rFonts w:ascii="QCF_P037" w:hAnsi="QCF_P037" w:cs="QCF_P037"/>
                <w:noProof w:val="0"/>
                <w:rtl/>
                <w:lang w:eastAsia="en-US"/>
              </w:rPr>
              <w:t>ﯥ</w:t>
            </w:r>
            <w:r>
              <w:rPr>
                <w:rFonts w:ascii="QCF_P037" w:hAnsi="QCF_P037" w:cs="QCF_P037" w:hint="cs"/>
                <w:noProof w:val="0"/>
                <w:rtl/>
                <w:lang w:eastAsia="en-US"/>
              </w:rPr>
              <w:t xml:space="preserve"> </w:t>
            </w:r>
            <w:r w:rsidRPr="000D49DC">
              <w:rPr>
                <w:rFonts w:ascii="QCF_P037" w:hAnsi="QCF_P037" w:cs="QCF_P037"/>
                <w:noProof w:val="0"/>
                <w:rtl/>
                <w:lang w:eastAsia="en-US"/>
              </w:rPr>
              <w:t>ﯦ</w:t>
            </w:r>
            <w:r>
              <w:rPr>
                <w:rFonts w:ascii="QCF_P037" w:hAnsi="QCF_P037" w:cs="QCF_P037" w:hint="cs"/>
                <w:noProof w:val="0"/>
                <w:rtl/>
                <w:lang w:eastAsia="en-US"/>
              </w:rPr>
              <w:t xml:space="preserve"> </w:t>
            </w:r>
            <w:r w:rsidRPr="000D49DC">
              <w:rPr>
                <w:rFonts w:ascii="QCF_P037" w:hAnsi="QCF_P037" w:cs="QCF_P037"/>
                <w:noProof w:val="0"/>
                <w:rtl/>
                <w:lang w:eastAsia="en-US"/>
              </w:rPr>
              <w:t>ﯧ</w:t>
            </w:r>
            <w:r>
              <w:rPr>
                <w:rFonts w:ascii="QCF_P037" w:hAnsi="QCF_P037" w:cs="QCF_P037" w:hint="cs"/>
                <w:noProof w:val="0"/>
                <w:rtl/>
                <w:lang w:eastAsia="en-US"/>
              </w:rPr>
              <w:t xml:space="preserve"> </w:t>
            </w:r>
            <w:r w:rsidRPr="000D49DC">
              <w:rPr>
                <w:rFonts w:ascii="QCF_P037" w:hAnsi="QCF_P037" w:cs="QCF_P037"/>
                <w:noProof w:val="0"/>
                <w:rtl/>
                <w:lang w:eastAsia="en-US"/>
              </w:rPr>
              <w:t>ﯨ</w:t>
            </w:r>
            <w:r>
              <w:rPr>
                <w:rFonts w:ascii="QCF_P037" w:hAnsi="QCF_P037" w:cs="QCF_P037" w:hint="cs"/>
                <w:noProof w:val="0"/>
                <w:rtl/>
                <w:lang w:eastAsia="en-US"/>
              </w:rPr>
              <w:t xml:space="preserve"> </w:t>
            </w:r>
            <w:r w:rsidRPr="000D49DC">
              <w:rPr>
                <w:rFonts w:ascii="QCF_P037" w:hAnsi="QCF_P037" w:cs="QCF_P037"/>
                <w:noProof w:val="0"/>
                <w:rtl/>
                <w:lang w:eastAsia="en-US"/>
              </w:rPr>
              <w:t>ﯩ</w:t>
            </w:r>
            <w:r>
              <w:rPr>
                <w:rFonts w:ascii="QCF_P037" w:hAnsi="QCF_P037" w:cs="QCF_P037" w:hint="cs"/>
                <w:noProof w:val="0"/>
                <w:rtl/>
                <w:lang w:eastAsia="en-US"/>
              </w:rPr>
              <w:t xml:space="preserve"> </w:t>
            </w:r>
            <w:r w:rsidRPr="000D49DC">
              <w:rPr>
                <w:rFonts w:ascii="QCF_P037" w:hAnsi="QCF_P037" w:cs="QCF_P037"/>
                <w:noProof w:val="0"/>
                <w:rtl/>
                <w:lang w:eastAsia="en-US"/>
              </w:rPr>
              <w:t>ﯪ</w:t>
            </w:r>
            <w:r>
              <w:rPr>
                <w:rFonts w:ascii="QCF_P037" w:hAnsi="QCF_P037" w:cs="QCF_P037" w:hint="cs"/>
                <w:noProof w:val="0"/>
                <w:rtl/>
                <w:lang w:eastAsia="en-US"/>
              </w:rPr>
              <w:t xml:space="preserve"> </w:t>
            </w:r>
            <w:r w:rsidRPr="000D49DC">
              <w:rPr>
                <w:rFonts w:ascii="QCF_P037" w:hAnsi="QCF_P037" w:cs="QCF_P037"/>
                <w:noProof w:val="0"/>
                <w:rtl/>
                <w:lang w:eastAsia="en-US"/>
              </w:rPr>
              <w:t>ﯫ</w:t>
            </w:r>
            <w:r w:rsidRPr="000D49DC">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233</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سورة_البقرة_233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290D9A" w:rsidP="00597C20">
            <w:pPr>
              <w:tabs>
                <w:tab w:val="right" w:leader="dot" w:pos="6802"/>
                <w:tab w:val="right" w:leader="dot" w:pos="8787"/>
              </w:tabs>
              <w:ind w:firstLine="0"/>
            </w:pPr>
            <w:r w:rsidRPr="0082684D">
              <w:rPr>
                <w:rFonts w:ascii="QCF_BSML" w:hAnsi="QCF_BSML" w:cs="QCF_BSML"/>
                <w:noProof w:val="0"/>
                <w:rtl/>
                <w:lang w:eastAsia="en-US"/>
              </w:rPr>
              <w:t>ﭽ</w:t>
            </w:r>
            <w:r w:rsidRPr="0082684D">
              <w:rPr>
                <w:rFonts w:ascii="QCF_P039" w:hAnsi="QCF_P039" w:cs="QCF_P039"/>
                <w:noProof w:val="0"/>
                <w:rtl/>
                <w:lang w:eastAsia="en-US"/>
              </w:rPr>
              <w:t>ﭚ</w:t>
            </w:r>
            <w:r>
              <w:rPr>
                <w:rFonts w:ascii="QCF_P039" w:hAnsi="QCF_P039" w:cs="QCF_P039" w:hint="cs"/>
                <w:noProof w:val="0"/>
                <w:rtl/>
                <w:lang w:eastAsia="en-US"/>
              </w:rPr>
              <w:t xml:space="preserve"> </w:t>
            </w:r>
            <w:r w:rsidRPr="0082684D">
              <w:rPr>
                <w:rFonts w:ascii="QCF_P039" w:hAnsi="QCF_P039" w:cs="QCF_P039"/>
                <w:noProof w:val="0"/>
                <w:rtl/>
                <w:lang w:eastAsia="en-US"/>
              </w:rPr>
              <w:t>ﭛ</w:t>
            </w:r>
            <w:r>
              <w:rPr>
                <w:rFonts w:ascii="QCF_P039" w:hAnsi="QCF_P039" w:cs="QCF_P039" w:hint="cs"/>
                <w:noProof w:val="0"/>
                <w:rtl/>
                <w:lang w:eastAsia="en-US"/>
              </w:rPr>
              <w:t xml:space="preserve"> </w:t>
            </w:r>
            <w:r w:rsidRPr="0082684D">
              <w:rPr>
                <w:rFonts w:ascii="QCF_P039" w:hAnsi="QCF_P039" w:cs="QCF_P039"/>
                <w:noProof w:val="0"/>
                <w:rtl/>
                <w:lang w:eastAsia="en-US"/>
              </w:rPr>
              <w:t>ﭜ</w:t>
            </w:r>
            <w:r>
              <w:rPr>
                <w:rFonts w:ascii="QCF_P039" w:hAnsi="QCF_P039" w:cs="QCF_P039" w:hint="cs"/>
                <w:noProof w:val="0"/>
                <w:rtl/>
                <w:lang w:eastAsia="en-US"/>
              </w:rPr>
              <w:t xml:space="preserve"> </w:t>
            </w:r>
            <w:r w:rsidRPr="0082684D">
              <w:rPr>
                <w:rFonts w:ascii="QCF_P039" w:hAnsi="QCF_P039" w:cs="QCF_P039"/>
                <w:noProof w:val="0"/>
                <w:rtl/>
                <w:lang w:eastAsia="en-US"/>
              </w:rPr>
              <w:t>ﭝ</w:t>
            </w:r>
            <w:r>
              <w:rPr>
                <w:rFonts w:ascii="QCF_P039" w:hAnsi="QCF_P039" w:cs="QCF_P039" w:hint="cs"/>
                <w:noProof w:val="0"/>
                <w:rtl/>
                <w:lang w:eastAsia="en-US"/>
              </w:rPr>
              <w:t xml:space="preserve"> </w:t>
            </w:r>
            <w:r w:rsidRPr="0082684D">
              <w:rPr>
                <w:rFonts w:ascii="QCF_P039" w:hAnsi="QCF_P039" w:cs="QCF_P039"/>
                <w:noProof w:val="0"/>
                <w:rtl/>
                <w:lang w:eastAsia="en-US"/>
              </w:rPr>
              <w:t>ﭞ</w:t>
            </w:r>
            <w:r>
              <w:rPr>
                <w:rFonts w:ascii="QCF_P039" w:hAnsi="QCF_P039" w:cs="QCF_P039" w:hint="cs"/>
                <w:noProof w:val="0"/>
                <w:rtl/>
                <w:lang w:eastAsia="en-US"/>
              </w:rPr>
              <w:t xml:space="preserve"> </w:t>
            </w:r>
            <w:r w:rsidRPr="0082684D">
              <w:rPr>
                <w:rFonts w:ascii="QCF_P039" w:hAnsi="QCF_P039" w:cs="QCF_P039"/>
                <w:noProof w:val="0"/>
                <w:color w:val="0000A5"/>
                <w:rtl/>
                <w:lang w:eastAsia="en-US"/>
              </w:rPr>
              <w:t>ﭟ</w:t>
            </w:r>
            <w:r>
              <w:rPr>
                <w:rFonts w:ascii="QCF_P039" w:hAnsi="QCF_P039" w:cs="QCF_P039" w:hint="cs"/>
                <w:noProof w:val="0"/>
                <w:color w:val="0000A5"/>
                <w:rtl/>
                <w:lang w:eastAsia="en-US"/>
              </w:rPr>
              <w:t xml:space="preserve"> </w:t>
            </w:r>
            <w:r w:rsidRPr="0082684D">
              <w:rPr>
                <w:rFonts w:ascii="QCF_P039" w:hAnsi="QCF_P039" w:cs="QCF_P039"/>
                <w:noProof w:val="0"/>
                <w:rtl/>
                <w:lang w:eastAsia="en-US"/>
              </w:rPr>
              <w:t>ﭠ</w:t>
            </w:r>
            <w:r>
              <w:rPr>
                <w:rFonts w:ascii="QCF_P039" w:hAnsi="QCF_P039" w:cs="QCF_P039" w:hint="cs"/>
                <w:noProof w:val="0"/>
                <w:rtl/>
                <w:lang w:eastAsia="en-US"/>
              </w:rPr>
              <w:t xml:space="preserve"> </w:t>
            </w:r>
            <w:r w:rsidRPr="0082684D">
              <w:rPr>
                <w:rFonts w:ascii="QCF_P039" w:hAnsi="QCF_P039" w:cs="QCF_P039"/>
                <w:noProof w:val="0"/>
                <w:rtl/>
                <w:lang w:eastAsia="en-US"/>
              </w:rPr>
              <w:t>ﭡ</w:t>
            </w:r>
            <w:r>
              <w:rPr>
                <w:rFonts w:ascii="QCF_P039" w:hAnsi="QCF_P039" w:cs="QCF_P039" w:hint="cs"/>
                <w:noProof w:val="0"/>
                <w:rtl/>
                <w:lang w:eastAsia="en-US"/>
              </w:rPr>
              <w:t xml:space="preserve"> </w:t>
            </w:r>
            <w:r w:rsidRPr="0082684D">
              <w:rPr>
                <w:rFonts w:ascii="QCF_P039" w:hAnsi="QCF_P039" w:cs="QCF_P039"/>
                <w:noProof w:val="0"/>
                <w:rtl/>
                <w:lang w:eastAsia="en-US"/>
              </w:rPr>
              <w:t>ﭢ</w:t>
            </w:r>
            <w:r>
              <w:rPr>
                <w:rFonts w:ascii="QCF_P039" w:hAnsi="QCF_P039" w:cs="QCF_P039" w:hint="cs"/>
                <w:noProof w:val="0"/>
                <w:rtl/>
                <w:lang w:eastAsia="en-US"/>
              </w:rPr>
              <w:t xml:space="preserve"> </w:t>
            </w:r>
            <w:r w:rsidRPr="0082684D">
              <w:rPr>
                <w:rFonts w:ascii="QCF_P039" w:hAnsi="QCF_P039" w:cs="QCF_P039"/>
                <w:noProof w:val="0"/>
                <w:rtl/>
                <w:lang w:eastAsia="en-US"/>
              </w:rPr>
              <w:t>ﭣ</w:t>
            </w:r>
            <w:r>
              <w:rPr>
                <w:rFonts w:ascii="QCF_P039" w:hAnsi="QCF_P039" w:cs="QCF_P039" w:hint="cs"/>
                <w:noProof w:val="0"/>
                <w:rtl/>
                <w:lang w:eastAsia="en-US"/>
              </w:rPr>
              <w:t xml:space="preserve"> </w:t>
            </w:r>
            <w:r w:rsidRPr="0082684D">
              <w:rPr>
                <w:rFonts w:ascii="QCF_P039" w:hAnsi="QCF_P039" w:cs="QCF_P039"/>
                <w:noProof w:val="0"/>
                <w:rtl/>
                <w:lang w:eastAsia="en-US"/>
              </w:rPr>
              <w:t>ﭤ</w:t>
            </w:r>
            <w:r>
              <w:rPr>
                <w:rFonts w:ascii="QCF_P039" w:hAnsi="QCF_P039" w:cs="QCF_P039" w:hint="cs"/>
                <w:noProof w:val="0"/>
                <w:rtl/>
                <w:lang w:eastAsia="en-US"/>
              </w:rPr>
              <w:t xml:space="preserve"> </w:t>
            </w:r>
            <w:r w:rsidRPr="0082684D">
              <w:rPr>
                <w:rFonts w:ascii="QCF_P039" w:hAnsi="QCF_P039" w:cs="QCF_P039"/>
                <w:noProof w:val="0"/>
                <w:rtl/>
                <w:lang w:eastAsia="en-US"/>
              </w:rPr>
              <w:t>ﭥ</w:t>
            </w:r>
            <w:r>
              <w:rPr>
                <w:rFonts w:ascii="QCF_P039" w:hAnsi="QCF_P039" w:cs="QCF_P039" w:hint="cs"/>
                <w:noProof w:val="0"/>
                <w:rtl/>
                <w:lang w:eastAsia="en-US"/>
              </w:rPr>
              <w:t xml:space="preserve"> </w:t>
            </w:r>
            <w:r w:rsidRPr="0082684D">
              <w:rPr>
                <w:rFonts w:ascii="QCF_P039" w:hAnsi="QCF_P039" w:cs="QCF_P039"/>
                <w:noProof w:val="0"/>
                <w:rtl/>
                <w:lang w:eastAsia="en-US"/>
              </w:rPr>
              <w:t>ﭦ</w:t>
            </w:r>
            <w:r>
              <w:rPr>
                <w:rFonts w:ascii="QCF_P039" w:hAnsi="QCF_P039" w:cs="QCF_P039" w:hint="cs"/>
                <w:noProof w:val="0"/>
                <w:rtl/>
                <w:lang w:eastAsia="en-US"/>
              </w:rPr>
              <w:t xml:space="preserve"> </w:t>
            </w:r>
            <w:r w:rsidRPr="0082684D">
              <w:rPr>
                <w:rFonts w:ascii="QCF_P039" w:hAnsi="QCF_P039" w:cs="QCF_P039"/>
                <w:noProof w:val="0"/>
                <w:rtl/>
                <w:lang w:eastAsia="en-US"/>
              </w:rPr>
              <w:t>ﭧ</w:t>
            </w:r>
            <w:r>
              <w:rPr>
                <w:rFonts w:ascii="QCF_P039" w:hAnsi="QCF_P039" w:cs="QCF_P039" w:hint="cs"/>
                <w:noProof w:val="0"/>
                <w:rtl/>
                <w:lang w:eastAsia="en-US"/>
              </w:rPr>
              <w:t xml:space="preserve"> </w:t>
            </w:r>
            <w:r w:rsidRPr="0082684D">
              <w:rPr>
                <w:rFonts w:ascii="QCF_P039" w:hAnsi="QCF_P039" w:cs="QCF_P039"/>
                <w:noProof w:val="0"/>
                <w:rtl/>
                <w:lang w:eastAsia="en-US"/>
              </w:rPr>
              <w:t>ﭨ</w:t>
            </w:r>
            <w:r>
              <w:rPr>
                <w:rFonts w:ascii="QCF_P039" w:hAnsi="QCF_P039" w:cs="QCF_P039" w:hint="cs"/>
                <w:noProof w:val="0"/>
                <w:rtl/>
                <w:lang w:eastAsia="en-US"/>
              </w:rPr>
              <w:t xml:space="preserve"> </w:t>
            </w:r>
            <w:r w:rsidRPr="0082684D">
              <w:rPr>
                <w:rFonts w:ascii="QCF_P039" w:hAnsi="QCF_P039" w:cs="QCF_P039"/>
                <w:noProof w:val="0"/>
                <w:rtl/>
                <w:lang w:eastAsia="en-US"/>
              </w:rPr>
              <w:t>ﭩ</w:t>
            </w:r>
            <w:r w:rsidRPr="0082684D">
              <w:rPr>
                <w:rFonts w:ascii="QCF_BSML" w:hAnsi="QCF_BSML" w:cs="QCF_BSML"/>
                <w:noProof w:val="0"/>
                <w:rtl/>
                <w:lang w:eastAsia="en-US"/>
              </w:rPr>
              <w:t>ﭼ</w:t>
            </w:r>
          </w:p>
        </w:tc>
        <w:tc>
          <w:tcPr>
            <w:tcW w:w="850" w:type="dxa"/>
            <w:vAlign w:val="center"/>
          </w:tcPr>
          <w:p w:rsidR="00E90490" w:rsidRPr="00E90490" w:rsidRDefault="00131B97" w:rsidP="00290D9A">
            <w:pPr>
              <w:tabs>
                <w:tab w:val="right" w:leader="dot" w:pos="6802"/>
                <w:tab w:val="right" w:leader="dot" w:pos="8787"/>
              </w:tabs>
              <w:ind w:firstLine="0"/>
              <w:rPr>
                <w:rtl/>
              </w:rPr>
            </w:pPr>
            <w:r>
              <w:rPr>
                <w:rFonts w:hint="cs"/>
                <w:rtl/>
              </w:rPr>
              <w:t>239</w:t>
            </w:r>
          </w:p>
        </w:tc>
        <w:tc>
          <w:tcPr>
            <w:tcW w:w="1560" w:type="dxa"/>
            <w:vAlign w:val="center"/>
          </w:tcPr>
          <w:p w:rsidR="00E90490" w:rsidRPr="00E90490" w:rsidRDefault="00E90490" w:rsidP="00290D9A">
            <w:pPr>
              <w:tabs>
                <w:tab w:val="right" w:leader="dot" w:pos="6802"/>
                <w:tab w:val="right" w:leader="dot" w:pos="8787"/>
              </w:tabs>
              <w:ind w:firstLine="0"/>
              <w:rPr>
                <w:rtl/>
              </w:rPr>
            </w:pPr>
            <w:r w:rsidRPr="00E90490">
              <w:rPr>
                <w:rFonts w:hint="cs"/>
                <w:rtl/>
              </w:rPr>
              <w:t xml:space="preserve"> </w:t>
            </w:r>
            <w:r w:rsidR="00AB0B9E" w:rsidRPr="00E90490">
              <w:rPr>
                <w:rtl/>
              </w:rPr>
              <w:fldChar w:fldCharType="begin"/>
            </w:r>
            <w:r w:rsidRPr="00E90490">
              <w:rPr>
                <w:rFonts w:hint="cs"/>
              </w:rPr>
              <w:instrText>PAGEREF</w:instrText>
            </w:r>
            <w:r w:rsidRPr="00E90490">
              <w:rPr>
                <w:rFonts w:hint="cs"/>
                <w:rtl/>
              </w:rPr>
              <w:instrText xml:space="preserve"> سورة_البقرة_239 \</w:instrText>
            </w:r>
            <w:r w:rsidRPr="00E90490">
              <w:rPr>
                <w:rFonts w:hint="cs"/>
              </w:rPr>
              <w:instrText>h</w:instrText>
            </w:r>
            <w:r w:rsidR="00AB0B9E" w:rsidRPr="00E90490">
              <w:rPr>
                <w:rtl/>
              </w:rPr>
            </w:r>
            <w:r w:rsidR="00AB0B9E" w:rsidRPr="00E90490">
              <w:rPr>
                <w:rtl/>
              </w:rPr>
              <w:fldChar w:fldCharType="separate"/>
            </w:r>
            <w:r w:rsidR="00982621">
              <w:rPr>
                <w:rtl/>
              </w:rPr>
              <w:t>25</w:t>
            </w:r>
            <w:r w:rsidR="00AB0B9E" w:rsidRPr="00E90490">
              <w:rPr>
                <w:rtl/>
              </w:rPr>
              <w:fldChar w:fldCharType="end"/>
            </w:r>
          </w:p>
        </w:tc>
      </w:tr>
      <w:tr w:rsidR="00E90490" w:rsidRPr="00E90490" w:rsidTr="00FE332F">
        <w:trPr>
          <w:cantSplit/>
        </w:trPr>
        <w:tc>
          <w:tcPr>
            <w:tcW w:w="6627" w:type="dxa"/>
          </w:tcPr>
          <w:p w:rsidR="00E90490" w:rsidRPr="00E90490" w:rsidRDefault="00131B97" w:rsidP="00597C20">
            <w:pPr>
              <w:tabs>
                <w:tab w:val="right" w:leader="dot" w:pos="6802"/>
                <w:tab w:val="right" w:leader="dot" w:pos="8787"/>
              </w:tabs>
              <w:ind w:firstLine="0"/>
              <w:rPr>
                <w:rtl/>
              </w:rPr>
            </w:pPr>
            <w:r w:rsidRPr="00155B21">
              <w:rPr>
                <w:rFonts w:ascii="QCF_BSML" w:hAnsi="QCF_BSML" w:cs="QCF_BSML"/>
                <w:noProof w:val="0"/>
                <w:rtl/>
                <w:lang w:eastAsia="en-US"/>
              </w:rPr>
              <w:t xml:space="preserve">ﭽ </w:t>
            </w:r>
            <w:r>
              <w:rPr>
                <w:rFonts w:ascii="QCF_BSML" w:hAnsi="QCF_BSML" w:cs="QCF_BSML" w:hint="cs"/>
                <w:noProof w:val="0"/>
                <w:rtl/>
                <w:lang w:eastAsia="en-US"/>
              </w:rPr>
              <w:t xml:space="preserve"> </w:t>
            </w:r>
            <w:r w:rsidRPr="00155B21">
              <w:rPr>
                <w:rFonts w:ascii="QCF_P047" w:hAnsi="QCF_P047" w:cs="QCF_P047"/>
                <w:noProof w:val="0"/>
                <w:rtl/>
                <w:lang w:eastAsia="en-US"/>
              </w:rPr>
              <w:t>ﭧ</w:t>
            </w:r>
            <w:r>
              <w:rPr>
                <w:rFonts w:ascii="QCF_P047" w:hAnsi="QCF_P047" w:cs="QCF_P047" w:hint="cs"/>
                <w:noProof w:val="0"/>
                <w:rtl/>
                <w:lang w:eastAsia="en-US"/>
              </w:rPr>
              <w:t xml:space="preserve"> </w:t>
            </w:r>
            <w:r w:rsidRPr="00155B21">
              <w:rPr>
                <w:rFonts w:ascii="QCF_P047" w:hAnsi="QCF_P047" w:cs="QCF_P047"/>
                <w:noProof w:val="0"/>
                <w:rtl/>
                <w:lang w:eastAsia="en-US"/>
              </w:rPr>
              <w:t>ﭨ</w:t>
            </w:r>
            <w:r>
              <w:rPr>
                <w:rFonts w:ascii="QCF_P047" w:hAnsi="QCF_P047" w:cs="QCF_P047" w:hint="cs"/>
                <w:noProof w:val="0"/>
                <w:rtl/>
                <w:lang w:eastAsia="en-US"/>
              </w:rPr>
              <w:t xml:space="preserve"> </w:t>
            </w:r>
            <w:r w:rsidRPr="00155B21">
              <w:rPr>
                <w:rFonts w:ascii="QCF_P047" w:hAnsi="QCF_P047" w:cs="QCF_P047"/>
                <w:noProof w:val="0"/>
                <w:rtl/>
                <w:lang w:eastAsia="en-US"/>
              </w:rPr>
              <w:t>ﭩ</w:t>
            </w:r>
            <w:r>
              <w:rPr>
                <w:rFonts w:ascii="QCF_P047" w:hAnsi="QCF_P047" w:cs="QCF_P047" w:hint="cs"/>
                <w:noProof w:val="0"/>
                <w:rtl/>
                <w:lang w:eastAsia="en-US"/>
              </w:rPr>
              <w:t xml:space="preserve"> </w:t>
            </w:r>
            <w:r w:rsidRPr="00155B21">
              <w:rPr>
                <w:rFonts w:ascii="QCF_P047" w:hAnsi="QCF_P047" w:cs="QCF_P047"/>
                <w:noProof w:val="0"/>
                <w:rtl/>
                <w:lang w:eastAsia="en-US"/>
              </w:rPr>
              <w:t>ﭪ</w:t>
            </w:r>
            <w:r>
              <w:rPr>
                <w:rFonts w:ascii="QCF_P047" w:hAnsi="QCF_P047" w:cs="QCF_P047" w:hint="cs"/>
                <w:noProof w:val="0"/>
                <w:rtl/>
                <w:lang w:eastAsia="en-US"/>
              </w:rPr>
              <w:t xml:space="preserve"> </w:t>
            </w:r>
            <w:r w:rsidRPr="00155B21">
              <w:rPr>
                <w:rFonts w:ascii="QCF_P047" w:hAnsi="QCF_P047" w:cs="QCF_P047"/>
                <w:noProof w:val="0"/>
                <w:rtl/>
                <w:lang w:eastAsia="en-US"/>
              </w:rPr>
              <w:t>ﭫ</w:t>
            </w:r>
            <w:r w:rsidRPr="00155B21">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275</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سورة_البقرة_275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Pr="00E90490">
              <w:rPr>
                <w:rtl/>
              </w:rPr>
              <w:fldChar w:fldCharType="begin"/>
            </w:r>
            <w:r w:rsidR="00E90490" w:rsidRPr="00E90490">
              <w:rPr>
                <w:rFonts w:hint="cs"/>
              </w:rPr>
              <w:instrText>PAGEREF</w:instrText>
            </w:r>
            <w:r w:rsidR="00E90490" w:rsidRPr="00E90490">
              <w:rPr>
                <w:rFonts w:hint="cs"/>
                <w:rtl/>
              </w:rPr>
              <w:instrText xml:space="preserve"> سورة_البقرة_275_2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131B97" w:rsidP="00597C20">
            <w:pPr>
              <w:tabs>
                <w:tab w:val="right" w:leader="dot" w:pos="6802"/>
                <w:tab w:val="right" w:leader="dot" w:pos="8787"/>
              </w:tabs>
              <w:ind w:firstLine="0"/>
              <w:rPr>
                <w:rtl/>
              </w:rPr>
            </w:pPr>
            <w:r w:rsidRPr="001C03F0">
              <w:rPr>
                <w:rFonts w:ascii="QCF_BSML" w:hAnsi="QCF_BSML" w:cs="QCF_BSML"/>
                <w:noProof w:val="0"/>
                <w:rtl/>
                <w:lang w:eastAsia="en-US"/>
              </w:rPr>
              <w:t>ﭽ</w:t>
            </w:r>
            <w:r w:rsidRPr="001C03F0">
              <w:rPr>
                <w:rFonts w:ascii="QCF_P047" w:hAnsi="QCF_P047" w:cs="QCF_P047"/>
                <w:noProof w:val="0"/>
                <w:rtl/>
                <w:lang w:eastAsia="en-US"/>
              </w:rPr>
              <w:t>ﮄ</w:t>
            </w:r>
            <w:r w:rsidRPr="001C03F0">
              <w:rPr>
                <w:rFonts w:ascii="QCF_P047" w:hAnsi="QCF_P047" w:cs="QCF_P047" w:hint="cs"/>
                <w:noProof w:val="0"/>
                <w:rtl/>
                <w:lang w:eastAsia="en-US"/>
              </w:rPr>
              <w:t xml:space="preserve"> </w:t>
            </w:r>
            <w:r w:rsidRPr="001C03F0">
              <w:rPr>
                <w:rFonts w:ascii="QCF_P047" w:hAnsi="QCF_P047" w:cs="QCF_P047"/>
                <w:noProof w:val="0"/>
                <w:rtl/>
                <w:lang w:eastAsia="en-US"/>
              </w:rPr>
              <w:t>ﮅ</w:t>
            </w:r>
            <w:r w:rsidRPr="001C03F0">
              <w:rPr>
                <w:rFonts w:ascii="QCF_P047" w:hAnsi="QCF_P047" w:cs="QCF_P047" w:hint="cs"/>
                <w:noProof w:val="0"/>
                <w:rtl/>
                <w:lang w:eastAsia="en-US"/>
              </w:rPr>
              <w:t xml:space="preserve"> </w:t>
            </w:r>
            <w:r w:rsidRPr="001C03F0">
              <w:rPr>
                <w:rFonts w:ascii="QCF_P047" w:hAnsi="QCF_P047" w:cs="QCF_P047"/>
                <w:noProof w:val="0"/>
                <w:rtl/>
                <w:lang w:eastAsia="en-US"/>
              </w:rPr>
              <w:t>ﮆ</w:t>
            </w:r>
            <w:r w:rsidRPr="001C03F0">
              <w:rPr>
                <w:rFonts w:ascii="QCF_P047" w:hAnsi="QCF_P047" w:cs="QCF_P047" w:hint="cs"/>
                <w:noProof w:val="0"/>
                <w:rtl/>
                <w:lang w:eastAsia="en-US"/>
              </w:rPr>
              <w:t xml:space="preserve"> </w:t>
            </w:r>
            <w:r w:rsidRPr="001C03F0">
              <w:rPr>
                <w:rFonts w:ascii="QCF_P047" w:hAnsi="QCF_P047" w:cs="QCF_P047"/>
                <w:noProof w:val="0"/>
                <w:rtl/>
                <w:lang w:eastAsia="en-US"/>
              </w:rPr>
              <w:t>ﮇ</w:t>
            </w:r>
            <w:r w:rsidRPr="001C03F0">
              <w:rPr>
                <w:rFonts w:ascii="QCF_P047" w:hAnsi="QCF_P047" w:cs="QCF_P047" w:hint="cs"/>
                <w:noProof w:val="0"/>
                <w:rtl/>
                <w:lang w:eastAsia="en-US"/>
              </w:rPr>
              <w:t xml:space="preserve"> </w:t>
            </w:r>
            <w:r w:rsidRPr="001C03F0">
              <w:rPr>
                <w:rFonts w:ascii="QCF_P047" w:hAnsi="QCF_P047" w:cs="QCF_P047"/>
                <w:noProof w:val="0"/>
                <w:rtl/>
                <w:lang w:eastAsia="en-US"/>
              </w:rPr>
              <w:t>ﮈ</w:t>
            </w:r>
            <w:r w:rsidRPr="001C03F0">
              <w:rPr>
                <w:rFonts w:ascii="QCF_P047" w:hAnsi="QCF_P047" w:cs="QCF_P047" w:hint="cs"/>
                <w:noProof w:val="0"/>
                <w:rtl/>
                <w:lang w:eastAsia="en-US"/>
              </w:rPr>
              <w:t xml:space="preserve"> </w:t>
            </w:r>
            <w:r w:rsidRPr="001C03F0">
              <w:rPr>
                <w:rFonts w:ascii="QCF_P047" w:hAnsi="QCF_P047" w:cs="QCF_P047"/>
                <w:noProof w:val="0"/>
                <w:color w:val="0000A5"/>
                <w:rtl/>
                <w:lang w:eastAsia="en-US"/>
              </w:rPr>
              <w:t>ﮉ</w:t>
            </w:r>
            <w:r w:rsidRPr="001C03F0">
              <w:rPr>
                <w:rFonts w:ascii="QCF_P047" w:hAnsi="QCF_P047" w:cs="QCF_P047" w:hint="cs"/>
                <w:noProof w:val="0"/>
                <w:color w:val="0000A5"/>
                <w:rtl/>
                <w:lang w:eastAsia="en-US"/>
              </w:rPr>
              <w:t xml:space="preserve"> </w:t>
            </w:r>
            <w:r w:rsidRPr="001C03F0">
              <w:rPr>
                <w:rFonts w:ascii="QCF_P047" w:hAnsi="QCF_P047" w:cs="QCF_P047"/>
                <w:noProof w:val="0"/>
                <w:rtl/>
                <w:lang w:eastAsia="en-US"/>
              </w:rPr>
              <w:t>ﮊ</w:t>
            </w:r>
            <w:r w:rsidRPr="001C03F0">
              <w:rPr>
                <w:rFonts w:ascii="QCF_P047" w:hAnsi="QCF_P047" w:cs="QCF_P047" w:hint="cs"/>
                <w:noProof w:val="0"/>
                <w:rtl/>
                <w:lang w:eastAsia="en-US"/>
              </w:rPr>
              <w:t xml:space="preserve"> </w:t>
            </w:r>
            <w:r w:rsidRPr="001C03F0">
              <w:rPr>
                <w:rFonts w:ascii="QCF_P047" w:hAnsi="QCF_P047" w:cs="QCF_P047"/>
                <w:noProof w:val="0"/>
                <w:rtl/>
                <w:lang w:eastAsia="en-US"/>
              </w:rPr>
              <w:t>ﮋ</w:t>
            </w:r>
            <w:r w:rsidRPr="001C03F0">
              <w:rPr>
                <w:rFonts w:ascii="QCF_P047" w:hAnsi="QCF_P047" w:cs="QCF_P047" w:hint="cs"/>
                <w:noProof w:val="0"/>
                <w:rtl/>
                <w:lang w:eastAsia="en-US"/>
              </w:rPr>
              <w:t xml:space="preserve"> </w:t>
            </w:r>
            <w:r w:rsidRPr="001C03F0">
              <w:rPr>
                <w:rFonts w:ascii="QCF_P047" w:hAnsi="QCF_P047" w:cs="QCF_P047"/>
                <w:noProof w:val="0"/>
                <w:rtl/>
                <w:lang w:eastAsia="en-US"/>
              </w:rPr>
              <w:t>ﮌ</w:t>
            </w:r>
            <w:r w:rsidRPr="001C03F0">
              <w:rPr>
                <w:rFonts w:ascii="QCF_P047" w:hAnsi="QCF_P047" w:cs="QCF_P047" w:hint="cs"/>
                <w:noProof w:val="0"/>
                <w:rtl/>
                <w:lang w:eastAsia="en-US"/>
              </w:rPr>
              <w:t xml:space="preserve"> </w:t>
            </w:r>
            <w:r w:rsidRPr="001C03F0">
              <w:rPr>
                <w:rFonts w:ascii="QCF_P047" w:hAnsi="QCF_P047" w:cs="QCF_P047"/>
                <w:noProof w:val="0"/>
                <w:rtl/>
                <w:lang w:eastAsia="en-US"/>
              </w:rPr>
              <w:t>ﮍ</w:t>
            </w:r>
            <w:r w:rsidRPr="001C03F0">
              <w:rPr>
                <w:rFonts w:ascii="QCF_P047" w:hAnsi="QCF_P047" w:cs="QCF_P047" w:hint="cs"/>
                <w:noProof w:val="0"/>
                <w:rtl/>
                <w:lang w:eastAsia="en-US"/>
              </w:rPr>
              <w:t xml:space="preserve"> </w:t>
            </w:r>
            <w:r w:rsidRPr="001C03F0">
              <w:rPr>
                <w:rFonts w:ascii="QCF_P047" w:hAnsi="QCF_P047" w:cs="QCF_P047"/>
                <w:noProof w:val="0"/>
                <w:rtl/>
                <w:lang w:eastAsia="en-US"/>
              </w:rPr>
              <w:t>ﮎ</w:t>
            </w:r>
            <w:r w:rsidRPr="001C03F0">
              <w:rPr>
                <w:rFonts w:ascii="QCF_P047" w:hAnsi="QCF_P047" w:cs="QCF_P047" w:hint="cs"/>
                <w:noProof w:val="0"/>
                <w:rtl/>
                <w:lang w:eastAsia="en-US"/>
              </w:rPr>
              <w:t xml:space="preserve"> </w:t>
            </w:r>
            <w:r w:rsidRPr="001C03F0">
              <w:rPr>
                <w:rFonts w:ascii="QCF_P047" w:hAnsi="QCF_P047" w:cs="QCF_P047"/>
                <w:noProof w:val="0"/>
                <w:rtl/>
                <w:lang w:eastAsia="en-US"/>
              </w:rPr>
              <w:t>ﮏ</w:t>
            </w:r>
            <w:r w:rsidRPr="001C03F0">
              <w:rPr>
                <w:rFonts w:ascii="QCF_P047" w:hAnsi="QCF_P047" w:cs="QCF_P047" w:hint="cs"/>
                <w:noProof w:val="0"/>
                <w:rtl/>
                <w:lang w:eastAsia="en-US"/>
              </w:rPr>
              <w:t xml:space="preserve"> </w:t>
            </w:r>
            <w:r w:rsidRPr="001C03F0">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276</w:t>
            </w:r>
          </w:p>
        </w:tc>
        <w:tc>
          <w:tcPr>
            <w:tcW w:w="1560" w:type="dxa"/>
            <w:vAlign w:val="center"/>
          </w:tcPr>
          <w:p w:rsidR="00E90490" w:rsidRPr="00E90490" w:rsidRDefault="00131B97" w:rsidP="00131B97">
            <w:pPr>
              <w:tabs>
                <w:tab w:val="right" w:leader="dot" w:pos="6802"/>
                <w:tab w:val="right" w:leader="dot" w:pos="8787"/>
              </w:tabs>
              <w:ind w:firstLine="0"/>
              <w:rPr>
                <w:rtl/>
              </w:rPr>
            </w:pPr>
            <w:r>
              <w:rPr>
                <w:rFonts w:hint="cs"/>
                <w:rtl/>
              </w:rPr>
              <w:t>78، 238</w:t>
            </w:r>
          </w:p>
        </w:tc>
      </w:tr>
      <w:tr w:rsidR="00E90490" w:rsidRPr="00E90490" w:rsidTr="00FE332F">
        <w:trPr>
          <w:cantSplit/>
        </w:trPr>
        <w:tc>
          <w:tcPr>
            <w:tcW w:w="6627" w:type="dxa"/>
          </w:tcPr>
          <w:p w:rsidR="00E90490" w:rsidRPr="00E90490" w:rsidRDefault="00131B97" w:rsidP="00597C20">
            <w:pPr>
              <w:tabs>
                <w:tab w:val="right" w:leader="dot" w:pos="6802"/>
                <w:tab w:val="right" w:leader="dot" w:pos="8787"/>
              </w:tabs>
              <w:ind w:firstLine="0"/>
            </w:pPr>
            <w:r w:rsidRPr="001F090D">
              <w:rPr>
                <w:rFonts w:ascii="QCF_BSML" w:hAnsi="QCF_BSML" w:cs="QCF_BSML"/>
                <w:noProof w:val="0"/>
                <w:rtl/>
                <w:lang w:eastAsia="en-US"/>
              </w:rPr>
              <w:t>ﭽ</w:t>
            </w:r>
            <w:r w:rsidRPr="001F090D">
              <w:rPr>
                <w:rFonts w:ascii="QCF_P047" w:hAnsi="QCF_P047" w:cs="QCF_P047"/>
                <w:noProof w:val="0"/>
                <w:rtl/>
                <w:lang w:eastAsia="en-US"/>
              </w:rPr>
              <w:t>ﯧ</w:t>
            </w:r>
            <w:r>
              <w:rPr>
                <w:rFonts w:ascii="QCF_P047" w:hAnsi="QCF_P047" w:cs="QCF_P047" w:hint="cs"/>
                <w:noProof w:val="0"/>
                <w:rtl/>
                <w:lang w:eastAsia="en-US"/>
              </w:rPr>
              <w:t xml:space="preserve"> </w:t>
            </w:r>
            <w:r w:rsidRPr="001F090D">
              <w:rPr>
                <w:rFonts w:ascii="QCF_P047" w:hAnsi="QCF_P047" w:cs="QCF_P047"/>
                <w:noProof w:val="0"/>
                <w:rtl/>
                <w:lang w:eastAsia="en-US"/>
              </w:rPr>
              <w:t>ﯨ</w:t>
            </w:r>
            <w:r>
              <w:rPr>
                <w:rFonts w:ascii="QCF_P047" w:hAnsi="QCF_P047" w:cs="QCF_P047" w:hint="cs"/>
                <w:noProof w:val="0"/>
                <w:rtl/>
                <w:lang w:eastAsia="en-US"/>
              </w:rPr>
              <w:t xml:space="preserve"> </w:t>
            </w:r>
            <w:r w:rsidRPr="001F090D">
              <w:rPr>
                <w:rFonts w:ascii="QCF_P047" w:hAnsi="QCF_P047" w:cs="QCF_P047"/>
                <w:noProof w:val="0"/>
                <w:rtl/>
                <w:lang w:eastAsia="en-US"/>
              </w:rPr>
              <w:t>ﯩ</w:t>
            </w:r>
            <w:r>
              <w:rPr>
                <w:rFonts w:ascii="QCF_P047" w:hAnsi="QCF_P047" w:cs="QCF_P047" w:hint="cs"/>
                <w:noProof w:val="0"/>
                <w:rtl/>
                <w:lang w:eastAsia="en-US"/>
              </w:rPr>
              <w:t xml:space="preserve"> </w:t>
            </w:r>
            <w:r w:rsidRPr="001F090D">
              <w:rPr>
                <w:rFonts w:ascii="QCF_P047" w:hAnsi="QCF_P047" w:cs="QCF_P047"/>
                <w:noProof w:val="0"/>
                <w:rtl/>
                <w:lang w:eastAsia="en-US"/>
              </w:rPr>
              <w:t>ﯪ</w:t>
            </w:r>
            <w:r>
              <w:rPr>
                <w:rFonts w:ascii="QCF_P047" w:hAnsi="QCF_P047" w:cs="QCF_P047" w:hint="cs"/>
                <w:noProof w:val="0"/>
                <w:rtl/>
                <w:lang w:eastAsia="en-US"/>
              </w:rPr>
              <w:t xml:space="preserve"> </w:t>
            </w:r>
            <w:r w:rsidRPr="001F090D">
              <w:rPr>
                <w:rFonts w:ascii="QCF_P047" w:hAnsi="QCF_P047" w:cs="QCF_P047"/>
                <w:noProof w:val="0"/>
                <w:rtl/>
                <w:lang w:eastAsia="en-US"/>
              </w:rPr>
              <w:t>ﯫ</w:t>
            </w:r>
            <w:r>
              <w:rPr>
                <w:rFonts w:ascii="QCF_P047" w:hAnsi="QCF_P047" w:cs="QCF_P047" w:hint="cs"/>
                <w:noProof w:val="0"/>
                <w:rtl/>
                <w:lang w:eastAsia="en-US"/>
              </w:rPr>
              <w:t xml:space="preserve"> </w:t>
            </w:r>
            <w:r w:rsidRPr="001F090D">
              <w:rPr>
                <w:rFonts w:ascii="QCF_P047" w:hAnsi="QCF_P047" w:cs="QCF_P047"/>
                <w:noProof w:val="0"/>
                <w:rtl/>
                <w:lang w:eastAsia="en-US"/>
              </w:rPr>
              <w:t>ﯬ</w:t>
            </w:r>
            <w:r>
              <w:rPr>
                <w:rFonts w:ascii="QCF_P047" w:hAnsi="QCF_P047" w:cs="QCF_P047" w:hint="cs"/>
                <w:noProof w:val="0"/>
                <w:rtl/>
                <w:lang w:eastAsia="en-US"/>
              </w:rPr>
              <w:t xml:space="preserve"> </w:t>
            </w:r>
            <w:r w:rsidRPr="001F090D">
              <w:rPr>
                <w:rFonts w:ascii="QCF_P047" w:hAnsi="QCF_P047" w:cs="QCF_P047"/>
                <w:noProof w:val="0"/>
                <w:rtl/>
                <w:lang w:eastAsia="en-US"/>
              </w:rPr>
              <w:t>ﯭ</w:t>
            </w:r>
            <w:r>
              <w:rPr>
                <w:rFonts w:ascii="QCF_P047" w:hAnsi="QCF_P047" w:cs="QCF_P047" w:hint="cs"/>
                <w:noProof w:val="0"/>
                <w:rtl/>
                <w:lang w:eastAsia="en-US"/>
              </w:rPr>
              <w:t xml:space="preserve"> </w:t>
            </w:r>
            <w:r w:rsidRPr="001F090D">
              <w:rPr>
                <w:rFonts w:ascii="QCF_P047" w:hAnsi="QCF_P047" w:cs="QCF_P047"/>
                <w:noProof w:val="0"/>
                <w:color w:val="0000A5"/>
                <w:rtl/>
                <w:lang w:eastAsia="en-US"/>
              </w:rPr>
              <w:t>ﯮ</w:t>
            </w:r>
            <w:r>
              <w:rPr>
                <w:rFonts w:ascii="QCF_P047" w:hAnsi="QCF_P047" w:cs="QCF_P047" w:hint="cs"/>
                <w:noProof w:val="0"/>
                <w:color w:val="0000A5"/>
                <w:rtl/>
                <w:lang w:eastAsia="en-US"/>
              </w:rPr>
              <w:t xml:space="preserve"> </w:t>
            </w:r>
            <w:r w:rsidRPr="001F090D">
              <w:rPr>
                <w:rFonts w:ascii="QCF_P047" w:hAnsi="QCF_P047" w:cs="QCF_P047"/>
                <w:noProof w:val="0"/>
                <w:rtl/>
                <w:lang w:eastAsia="en-US"/>
              </w:rPr>
              <w:t>ﯯ</w:t>
            </w:r>
            <w:r>
              <w:rPr>
                <w:rFonts w:ascii="QCF_P047" w:hAnsi="QCF_P047" w:cs="QCF_P047" w:hint="cs"/>
                <w:noProof w:val="0"/>
                <w:rtl/>
                <w:lang w:eastAsia="en-US"/>
              </w:rPr>
              <w:t xml:space="preserve"> </w:t>
            </w:r>
            <w:r w:rsidRPr="001F090D">
              <w:rPr>
                <w:rFonts w:ascii="QCF_P047" w:hAnsi="QCF_P047" w:cs="QCF_P047"/>
                <w:noProof w:val="0"/>
                <w:rtl/>
                <w:lang w:eastAsia="en-US"/>
              </w:rPr>
              <w:t>ﯰ</w:t>
            </w:r>
            <w:r>
              <w:rPr>
                <w:rFonts w:ascii="QCF_P047" w:hAnsi="QCF_P047" w:cs="QCF_P047" w:hint="cs"/>
                <w:noProof w:val="0"/>
                <w:rtl/>
                <w:lang w:eastAsia="en-US"/>
              </w:rPr>
              <w:t xml:space="preserve"> </w:t>
            </w:r>
            <w:r w:rsidRPr="001F090D">
              <w:rPr>
                <w:rFonts w:ascii="QCF_P047" w:hAnsi="QCF_P047" w:cs="QCF_P047"/>
                <w:noProof w:val="0"/>
                <w:rtl/>
                <w:lang w:eastAsia="en-US"/>
              </w:rPr>
              <w:t>ﯱ</w:t>
            </w:r>
            <w:r>
              <w:rPr>
                <w:rFonts w:ascii="QCF_P047" w:hAnsi="QCF_P047" w:cs="QCF_P047" w:hint="cs"/>
                <w:noProof w:val="0"/>
                <w:rtl/>
                <w:lang w:eastAsia="en-US"/>
              </w:rPr>
              <w:t xml:space="preserve"> </w:t>
            </w:r>
            <w:r w:rsidRPr="001F090D">
              <w:rPr>
                <w:rFonts w:ascii="QCF_P047" w:hAnsi="QCF_P047" w:cs="QCF_P047"/>
                <w:noProof w:val="0"/>
                <w:rtl/>
                <w:lang w:eastAsia="en-US"/>
              </w:rPr>
              <w:t>ﯲ</w:t>
            </w:r>
            <w:r>
              <w:rPr>
                <w:rFonts w:ascii="QCF_P047" w:hAnsi="QCF_P047" w:cs="QCF_P047" w:hint="cs"/>
                <w:noProof w:val="0"/>
                <w:rtl/>
                <w:lang w:eastAsia="en-US"/>
              </w:rPr>
              <w:t xml:space="preserve"> </w:t>
            </w:r>
            <w:r w:rsidRPr="001F090D">
              <w:rPr>
                <w:rFonts w:ascii="QCF_P047" w:hAnsi="QCF_P047" w:cs="QCF_P047"/>
                <w:noProof w:val="0"/>
                <w:color w:val="0000A5"/>
                <w:rtl/>
                <w:lang w:eastAsia="en-US"/>
              </w:rPr>
              <w:t>ﯳ</w:t>
            </w:r>
            <w:r>
              <w:rPr>
                <w:rFonts w:ascii="QCF_P047" w:hAnsi="QCF_P047" w:cs="QCF_P047" w:hint="cs"/>
                <w:noProof w:val="0"/>
                <w:color w:val="0000A5"/>
                <w:rtl/>
                <w:lang w:eastAsia="en-US"/>
              </w:rPr>
              <w:t xml:space="preserve"> </w:t>
            </w:r>
            <w:r w:rsidRPr="001F090D">
              <w:rPr>
                <w:rFonts w:ascii="QCF_P047" w:hAnsi="QCF_P047" w:cs="QCF_P047"/>
                <w:noProof w:val="0"/>
                <w:rtl/>
                <w:lang w:eastAsia="en-US"/>
              </w:rPr>
              <w:t>ﯴ</w:t>
            </w:r>
            <w:r>
              <w:rPr>
                <w:rFonts w:ascii="QCF_P047" w:hAnsi="QCF_P047" w:cs="QCF_P047" w:hint="cs"/>
                <w:noProof w:val="0"/>
                <w:rtl/>
                <w:lang w:eastAsia="en-US"/>
              </w:rPr>
              <w:t xml:space="preserve"> </w:t>
            </w:r>
            <w:r w:rsidRPr="001F090D">
              <w:rPr>
                <w:rFonts w:ascii="QCF_P047" w:hAnsi="QCF_P047" w:cs="QCF_P047"/>
                <w:noProof w:val="0"/>
                <w:rtl/>
                <w:lang w:eastAsia="en-US"/>
              </w:rPr>
              <w:t>ﯵ</w:t>
            </w:r>
            <w:r>
              <w:rPr>
                <w:rFonts w:ascii="QCF_P047" w:hAnsi="QCF_P047" w:cs="QCF_P047" w:hint="cs"/>
                <w:noProof w:val="0"/>
                <w:rtl/>
                <w:lang w:eastAsia="en-US"/>
              </w:rPr>
              <w:t xml:space="preserve"> </w:t>
            </w:r>
            <w:r w:rsidRPr="001F090D">
              <w:rPr>
                <w:rFonts w:ascii="QCF_P047" w:hAnsi="QCF_P047" w:cs="QCF_P047"/>
                <w:noProof w:val="0"/>
                <w:rtl/>
                <w:lang w:eastAsia="en-US"/>
              </w:rPr>
              <w:t xml:space="preserve"> </w:t>
            </w:r>
            <w:r>
              <w:rPr>
                <w:rFonts w:ascii="QCF_P047" w:hAnsi="QCF_P047" w:cs="QCF_P047" w:hint="cs"/>
                <w:noProof w:val="0"/>
                <w:rtl/>
                <w:lang w:eastAsia="en-US"/>
              </w:rPr>
              <w:t xml:space="preserve"> </w:t>
            </w:r>
            <w:r w:rsidRPr="001F090D">
              <w:rPr>
                <w:rFonts w:ascii="QCF_P047" w:hAnsi="QCF_P047" w:cs="QCF_P047"/>
                <w:noProof w:val="0"/>
                <w:rtl/>
                <w:lang w:eastAsia="en-US"/>
              </w:rPr>
              <w:t>ﯶ</w:t>
            </w:r>
            <w:r w:rsidRPr="001F090D">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280</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سورة_البقرة_280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201C63" w:rsidP="00597C20">
            <w:pPr>
              <w:tabs>
                <w:tab w:val="right" w:leader="dot" w:pos="6802"/>
                <w:tab w:val="right" w:leader="dot" w:pos="8787"/>
              </w:tabs>
              <w:ind w:firstLine="0"/>
              <w:rPr>
                <w:rtl/>
              </w:rPr>
            </w:pPr>
            <w:r w:rsidRPr="00F822A5">
              <w:rPr>
                <w:rFonts w:ascii="QCF_BSML" w:hAnsi="QCF_BSML" w:cs="QCF_BSML"/>
                <w:noProof w:val="0"/>
                <w:rtl/>
                <w:lang w:eastAsia="en-US"/>
              </w:rPr>
              <w:t xml:space="preserve">ﭽ </w:t>
            </w:r>
            <w:r w:rsidRPr="00F822A5">
              <w:rPr>
                <w:rFonts w:ascii="QCF_P048" w:hAnsi="QCF_P048" w:cs="QCF_P048"/>
                <w:noProof w:val="0"/>
                <w:rtl/>
                <w:lang w:eastAsia="en-US"/>
              </w:rPr>
              <w:t>ﭫ</w:t>
            </w:r>
            <w:r>
              <w:rPr>
                <w:rFonts w:ascii="QCF_P048" w:hAnsi="QCF_P048" w:cs="QCF_P048" w:hint="cs"/>
                <w:noProof w:val="0"/>
                <w:rtl/>
                <w:lang w:eastAsia="en-US"/>
              </w:rPr>
              <w:t xml:space="preserve"> </w:t>
            </w:r>
            <w:r w:rsidRPr="00F822A5">
              <w:rPr>
                <w:rFonts w:ascii="QCF_P048" w:hAnsi="QCF_P048" w:cs="QCF_P048"/>
                <w:noProof w:val="0"/>
                <w:rtl/>
                <w:lang w:eastAsia="en-US"/>
              </w:rPr>
              <w:t>ﭬ</w:t>
            </w:r>
            <w:r>
              <w:rPr>
                <w:rFonts w:ascii="QCF_P048" w:hAnsi="QCF_P048" w:cs="QCF_P048" w:hint="cs"/>
                <w:noProof w:val="0"/>
                <w:rtl/>
                <w:lang w:eastAsia="en-US"/>
              </w:rPr>
              <w:t xml:space="preserve"> </w:t>
            </w:r>
            <w:r w:rsidRPr="00F822A5">
              <w:rPr>
                <w:rFonts w:ascii="QCF_P048" w:hAnsi="QCF_P048" w:cs="QCF_P048"/>
                <w:noProof w:val="0"/>
                <w:rtl/>
                <w:lang w:eastAsia="en-US"/>
              </w:rPr>
              <w:t>ﭭ</w:t>
            </w:r>
            <w:r>
              <w:rPr>
                <w:rFonts w:ascii="QCF_P048" w:hAnsi="QCF_P048" w:cs="QCF_P048" w:hint="cs"/>
                <w:noProof w:val="0"/>
                <w:rtl/>
                <w:lang w:eastAsia="en-US"/>
              </w:rPr>
              <w:t xml:space="preserve"> </w:t>
            </w:r>
            <w:r w:rsidRPr="00F822A5">
              <w:rPr>
                <w:rFonts w:ascii="QCF_P048" w:hAnsi="QCF_P048" w:cs="QCF_P048"/>
                <w:noProof w:val="0"/>
                <w:rtl/>
                <w:lang w:eastAsia="en-US"/>
              </w:rPr>
              <w:t>ﭮ</w:t>
            </w:r>
            <w:r>
              <w:rPr>
                <w:rFonts w:ascii="QCF_P048" w:hAnsi="QCF_P048" w:cs="QCF_P048" w:hint="cs"/>
                <w:noProof w:val="0"/>
                <w:rtl/>
                <w:lang w:eastAsia="en-US"/>
              </w:rPr>
              <w:t xml:space="preserve"> </w:t>
            </w:r>
            <w:r w:rsidRPr="00F822A5">
              <w:rPr>
                <w:rFonts w:ascii="QCF_P048" w:hAnsi="QCF_P048" w:cs="QCF_P048"/>
                <w:noProof w:val="0"/>
                <w:rtl/>
                <w:lang w:eastAsia="en-US"/>
              </w:rPr>
              <w:t>ﭯ</w:t>
            </w:r>
            <w:r>
              <w:rPr>
                <w:rFonts w:ascii="QCF_P048" w:hAnsi="QCF_P048" w:cs="QCF_P048" w:hint="cs"/>
                <w:noProof w:val="0"/>
                <w:rtl/>
                <w:lang w:eastAsia="en-US"/>
              </w:rPr>
              <w:t xml:space="preserve"> </w:t>
            </w:r>
            <w:r w:rsidRPr="00F822A5">
              <w:rPr>
                <w:rFonts w:ascii="QCF_P048" w:hAnsi="QCF_P048" w:cs="QCF_P048"/>
                <w:noProof w:val="0"/>
                <w:rtl/>
                <w:lang w:eastAsia="en-US"/>
              </w:rPr>
              <w:t>ﭰ</w:t>
            </w:r>
            <w:r>
              <w:rPr>
                <w:rFonts w:ascii="QCF_P048" w:hAnsi="QCF_P048" w:cs="QCF_P048" w:hint="cs"/>
                <w:noProof w:val="0"/>
                <w:rtl/>
                <w:lang w:eastAsia="en-US"/>
              </w:rPr>
              <w:t xml:space="preserve"> </w:t>
            </w:r>
            <w:r w:rsidRPr="00F822A5">
              <w:rPr>
                <w:rFonts w:ascii="QCF_P048" w:hAnsi="QCF_P048" w:cs="QCF_P048"/>
                <w:noProof w:val="0"/>
                <w:rtl/>
                <w:lang w:eastAsia="en-US"/>
              </w:rPr>
              <w:t>ﭱ</w:t>
            </w:r>
            <w:r w:rsidRPr="00F822A5">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282</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rPr>
                <w:rFonts w:hint="cs"/>
              </w:rPr>
              <w:instrText>PAGEREF</w:instrText>
            </w:r>
            <w:r w:rsidR="00E90490" w:rsidRPr="00E90490">
              <w:rPr>
                <w:rFonts w:hint="cs"/>
                <w:rtl/>
              </w:rPr>
              <w:instrText xml:space="preserve"> سورة_البقرة_282_3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F07DF3" w:rsidP="00597C20">
            <w:pPr>
              <w:tabs>
                <w:tab w:val="right" w:leader="dot" w:pos="6802"/>
                <w:tab w:val="right" w:leader="dot" w:pos="8787"/>
              </w:tabs>
              <w:ind w:firstLine="0"/>
            </w:pPr>
            <w:r w:rsidRPr="009F1B97">
              <w:rPr>
                <w:rFonts w:ascii="QCF_BSML" w:hAnsi="QCF_BSML" w:cs="QCF_BSML"/>
                <w:rtl/>
              </w:rPr>
              <w:t xml:space="preserve">ﭽ </w:t>
            </w:r>
            <w:r w:rsidRPr="009F1B97">
              <w:rPr>
                <w:rFonts w:ascii="QCF_P049" w:hAnsi="QCF_P049" w:cs="QCF_P049"/>
                <w:rtl/>
              </w:rPr>
              <w:t>ﯗﯘﯙﯚﯛﯜ</w:t>
            </w:r>
            <w:r w:rsidRPr="009F1B97">
              <w:rPr>
                <w:rFonts w:ascii="QCF_BSML" w:hAnsi="QCF_BSML" w:cs="QCF_BSML"/>
                <w:rtl/>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286</w:t>
            </w:r>
          </w:p>
        </w:tc>
        <w:tc>
          <w:tcPr>
            <w:tcW w:w="1560" w:type="dxa"/>
            <w:vAlign w:val="center"/>
          </w:tcPr>
          <w:p w:rsidR="00E90490" w:rsidRPr="00E90490" w:rsidRDefault="00F07DF3" w:rsidP="00597C20">
            <w:pPr>
              <w:tabs>
                <w:tab w:val="right" w:leader="dot" w:pos="6802"/>
                <w:tab w:val="right" w:leader="dot" w:pos="8787"/>
              </w:tabs>
              <w:ind w:firstLine="0"/>
              <w:jc w:val="center"/>
              <w:rPr>
                <w:rtl/>
              </w:rPr>
            </w:pPr>
            <w:r>
              <w:rPr>
                <w:rFonts w:hint="cs"/>
                <w:rtl/>
              </w:rPr>
              <w:t>500</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آل عمران</w:t>
            </w:r>
          </w:p>
        </w:tc>
      </w:tr>
      <w:tr w:rsidR="00E90490" w:rsidRPr="00E90490" w:rsidTr="00FE332F">
        <w:trPr>
          <w:cantSplit/>
        </w:trPr>
        <w:tc>
          <w:tcPr>
            <w:tcW w:w="6627" w:type="dxa"/>
          </w:tcPr>
          <w:p w:rsidR="00E90490" w:rsidRPr="00E90490" w:rsidRDefault="00F07DF3" w:rsidP="00597C20">
            <w:pPr>
              <w:tabs>
                <w:tab w:val="right" w:leader="dot" w:pos="6802"/>
                <w:tab w:val="right" w:leader="dot" w:pos="8787"/>
              </w:tabs>
              <w:ind w:firstLine="0"/>
            </w:pPr>
            <w:r w:rsidRPr="002511EE">
              <w:rPr>
                <w:rFonts w:ascii="QCF_BSML" w:hAnsi="QCF_BSML" w:cs="QCF_BSML"/>
                <w:noProof w:val="0"/>
                <w:rtl/>
                <w:lang w:eastAsia="en-US"/>
              </w:rPr>
              <w:t>ﭽ</w:t>
            </w:r>
            <w:r w:rsidRPr="002511EE">
              <w:rPr>
                <w:rFonts w:ascii="QCF_P055" w:hAnsi="QCF_P055" w:cs="QCF_P055"/>
                <w:noProof w:val="0"/>
                <w:rtl/>
                <w:lang w:eastAsia="en-US"/>
              </w:rPr>
              <w:t>ﯟ</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ﯠ</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ﯡ</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ﯢ</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ﯣ</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ﯤ</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ﯥ</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ﯦ</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ﯧ</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ﯨ</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ﯩ</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ﯪ</w:t>
            </w:r>
            <w:r w:rsidRPr="002511EE">
              <w:rPr>
                <w:rFonts w:ascii="QCF_P055" w:hAnsi="QCF_P055" w:cs="QCF_P055" w:hint="cs"/>
                <w:noProof w:val="0"/>
                <w:rtl/>
                <w:lang w:eastAsia="en-US"/>
              </w:rPr>
              <w:t xml:space="preserve">  </w:t>
            </w:r>
            <w:r w:rsidRPr="002511EE">
              <w:rPr>
                <w:rFonts w:ascii="QCF_P055" w:hAnsi="QCF_P055" w:cs="QCF_P055"/>
                <w:noProof w:val="0"/>
                <w:rtl/>
                <w:lang w:eastAsia="en-US"/>
              </w:rPr>
              <w:t>ﯫﯬ</w:t>
            </w:r>
            <w:r w:rsidRPr="002511EE">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44</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سورة_آل_عمران_44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F07DF3" w:rsidP="00597C20">
            <w:pPr>
              <w:tabs>
                <w:tab w:val="right" w:leader="dot" w:pos="6802"/>
                <w:tab w:val="right" w:leader="dot" w:pos="8787"/>
              </w:tabs>
              <w:ind w:firstLine="0"/>
            </w:pPr>
            <w:r w:rsidRPr="00A470AA">
              <w:rPr>
                <w:rFonts w:ascii="QCF_BSML" w:hAnsi="QCF_BSML" w:cs="QCF_BSML"/>
                <w:noProof w:val="0"/>
                <w:rtl/>
                <w:lang w:eastAsia="en-US"/>
              </w:rPr>
              <w:t>ﭽ</w:t>
            </w:r>
            <w:r w:rsidRPr="00A470AA">
              <w:rPr>
                <w:rFonts w:ascii="QCF_P058" w:hAnsi="QCF_P058" w:cs="QCF_P058"/>
                <w:noProof w:val="0"/>
                <w:rtl/>
                <w:lang w:eastAsia="en-US"/>
              </w:rPr>
              <w:t>ﭪ</w:t>
            </w:r>
            <w:r>
              <w:rPr>
                <w:rFonts w:ascii="QCF_P058" w:hAnsi="QCF_P058" w:cs="QCF_P058" w:hint="cs"/>
                <w:noProof w:val="0"/>
                <w:rtl/>
                <w:lang w:eastAsia="en-US"/>
              </w:rPr>
              <w:t xml:space="preserve"> </w:t>
            </w:r>
            <w:r w:rsidRPr="00A470AA">
              <w:rPr>
                <w:rFonts w:ascii="QCF_P058" w:hAnsi="QCF_P058" w:cs="QCF_P058"/>
                <w:noProof w:val="0"/>
                <w:rtl/>
                <w:lang w:eastAsia="en-US"/>
              </w:rPr>
              <w:t>ﭫ</w:t>
            </w:r>
            <w:r>
              <w:rPr>
                <w:rFonts w:ascii="QCF_P058" w:hAnsi="QCF_P058" w:cs="QCF_P058" w:hint="cs"/>
                <w:noProof w:val="0"/>
                <w:rtl/>
                <w:lang w:eastAsia="en-US"/>
              </w:rPr>
              <w:t xml:space="preserve"> </w:t>
            </w:r>
            <w:r w:rsidRPr="00A470AA">
              <w:rPr>
                <w:rFonts w:ascii="QCF_P058" w:hAnsi="QCF_P058" w:cs="QCF_P058"/>
                <w:noProof w:val="0"/>
                <w:rtl/>
                <w:lang w:eastAsia="en-US"/>
              </w:rPr>
              <w:t>ﭬ</w:t>
            </w:r>
            <w:r>
              <w:rPr>
                <w:rFonts w:ascii="QCF_P058" w:hAnsi="QCF_P058" w:cs="QCF_P058" w:hint="cs"/>
                <w:noProof w:val="0"/>
                <w:rtl/>
                <w:lang w:eastAsia="en-US"/>
              </w:rPr>
              <w:t xml:space="preserve"> </w:t>
            </w:r>
            <w:r w:rsidRPr="00A470AA">
              <w:rPr>
                <w:rFonts w:ascii="QCF_P058" w:hAnsi="QCF_P058" w:cs="QCF_P058"/>
                <w:noProof w:val="0"/>
                <w:rtl/>
                <w:lang w:eastAsia="en-US"/>
              </w:rPr>
              <w:t>ﭭ</w:t>
            </w:r>
            <w:r>
              <w:rPr>
                <w:rFonts w:ascii="QCF_P058" w:hAnsi="QCF_P058" w:cs="QCF_P058" w:hint="cs"/>
                <w:noProof w:val="0"/>
                <w:rtl/>
                <w:lang w:eastAsia="en-US"/>
              </w:rPr>
              <w:t xml:space="preserve"> </w:t>
            </w:r>
            <w:r w:rsidRPr="00A470AA">
              <w:rPr>
                <w:rFonts w:ascii="QCF_P058" w:hAnsi="QCF_P058" w:cs="QCF_P058"/>
                <w:noProof w:val="0"/>
                <w:rtl/>
                <w:lang w:eastAsia="en-US"/>
              </w:rPr>
              <w:t>ﭮ</w:t>
            </w:r>
            <w:r>
              <w:rPr>
                <w:rFonts w:ascii="QCF_P058" w:hAnsi="QCF_P058" w:cs="QCF_P058" w:hint="cs"/>
                <w:noProof w:val="0"/>
                <w:rtl/>
                <w:lang w:eastAsia="en-US"/>
              </w:rPr>
              <w:t xml:space="preserve"> </w:t>
            </w:r>
            <w:r w:rsidRPr="00A470AA">
              <w:rPr>
                <w:rFonts w:ascii="QCF_P058" w:hAnsi="QCF_P058" w:cs="QCF_P058"/>
                <w:noProof w:val="0"/>
                <w:rtl/>
                <w:lang w:eastAsia="en-US"/>
              </w:rPr>
              <w:t>ﭯ</w:t>
            </w:r>
            <w:r>
              <w:rPr>
                <w:rFonts w:ascii="QCF_P058" w:hAnsi="QCF_P058" w:cs="QCF_P058" w:hint="cs"/>
                <w:noProof w:val="0"/>
                <w:rtl/>
                <w:lang w:eastAsia="en-US"/>
              </w:rPr>
              <w:t xml:space="preserve"> </w:t>
            </w:r>
            <w:r w:rsidRPr="00A470AA">
              <w:rPr>
                <w:rFonts w:ascii="QCF_P058" w:hAnsi="QCF_P058" w:cs="QCF_P058"/>
                <w:noProof w:val="0"/>
                <w:rtl/>
                <w:lang w:eastAsia="en-US"/>
              </w:rPr>
              <w:t>ﭰ</w:t>
            </w:r>
            <w:r>
              <w:rPr>
                <w:rFonts w:ascii="QCF_P058" w:hAnsi="QCF_P058" w:cs="QCF_P058" w:hint="cs"/>
                <w:noProof w:val="0"/>
                <w:rtl/>
                <w:lang w:eastAsia="en-US"/>
              </w:rPr>
              <w:t xml:space="preserve"> </w:t>
            </w:r>
            <w:r w:rsidRPr="00A470AA">
              <w:rPr>
                <w:rFonts w:ascii="QCF_P058" w:hAnsi="QCF_P058" w:cs="QCF_P058"/>
                <w:noProof w:val="0"/>
                <w:rtl/>
                <w:lang w:eastAsia="en-US"/>
              </w:rPr>
              <w:t>ﭱ</w:t>
            </w:r>
            <w:r>
              <w:rPr>
                <w:rFonts w:ascii="QCF_P058" w:hAnsi="QCF_P058" w:cs="QCF_P058" w:hint="cs"/>
                <w:noProof w:val="0"/>
                <w:rtl/>
                <w:lang w:eastAsia="en-US"/>
              </w:rPr>
              <w:t xml:space="preserve"> </w:t>
            </w:r>
            <w:r w:rsidRPr="00A470AA">
              <w:rPr>
                <w:rFonts w:ascii="QCF_P058" w:hAnsi="QCF_P058" w:cs="QCF_P058"/>
                <w:noProof w:val="0"/>
                <w:rtl/>
                <w:lang w:eastAsia="en-US"/>
              </w:rPr>
              <w:t>ﭲ</w:t>
            </w:r>
            <w:r>
              <w:rPr>
                <w:rFonts w:ascii="QCF_P058" w:hAnsi="QCF_P058" w:cs="QCF_P058" w:hint="cs"/>
                <w:noProof w:val="0"/>
                <w:rtl/>
                <w:lang w:eastAsia="en-US"/>
              </w:rPr>
              <w:t xml:space="preserve"> </w:t>
            </w:r>
            <w:r w:rsidRPr="00A470AA">
              <w:rPr>
                <w:rFonts w:ascii="QCF_P058" w:hAnsi="QCF_P058" w:cs="QCF_P058"/>
                <w:noProof w:val="0"/>
                <w:rtl/>
                <w:lang w:eastAsia="en-US"/>
              </w:rPr>
              <w:t>ﭳ</w:t>
            </w:r>
            <w:r>
              <w:rPr>
                <w:rFonts w:ascii="QCF_P058" w:hAnsi="QCF_P058" w:cs="QCF_P058" w:hint="cs"/>
                <w:noProof w:val="0"/>
                <w:rtl/>
                <w:lang w:eastAsia="en-US"/>
              </w:rPr>
              <w:t xml:space="preserve"> </w:t>
            </w:r>
            <w:r w:rsidRPr="00A470AA">
              <w:rPr>
                <w:rFonts w:ascii="QCF_P058" w:hAnsi="QCF_P058" w:cs="QCF_P058"/>
                <w:noProof w:val="0"/>
                <w:rtl/>
                <w:lang w:eastAsia="en-US"/>
              </w:rPr>
              <w:t>ﭴ</w:t>
            </w:r>
            <w:r>
              <w:rPr>
                <w:rFonts w:ascii="QCF_P058" w:hAnsi="QCF_P058" w:cs="QCF_P058" w:hint="cs"/>
                <w:noProof w:val="0"/>
                <w:rtl/>
                <w:lang w:eastAsia="en-US"/>
              </w:rPr>
              <w:t xml:space="preserve"> </w:t>
            </w:r>
            <w:r w:rsidRPr="00A470AA">
              <w:rPr>
                <w:rFonts w:ascii="QCF_P058" w:hAnsi="QCF_P058" w:cs="QCF_P058"/>
                <w:noProof w:val="0"/>
                <w:rtl/>
                <w:lang w:eastAsia="en-US"/>
              </w:rPr>
              <w:t>ﭵ</w:t>
            </w:r>
            <w:r>
              <w:rPr>
                <w:rFonts w:ascii="QCF_P058" w:hAnsi="QCF_P058" w:cs="QCF_P058" w:hint="cs"/>
                <w:noProof w:val="0"/>
                <w:rtl/>
                <w:lang w:eastAsia="en-US"/>
              </w:rPr>
              <w:t xml:space="preserve"> </w:t>
            </w:r>
            <w:r w:rsidRPr="00A470AA">
              <w:rPr>
                <w:rFonts w:ascii="QCF_P058" w:hAnsi="QCF_P058" w:cs="QCF_P058"/>
                <w:noProof w:val="0"/>
                <w:rtl/>
                <w:lang w:eastAsia="en-US"/>
              </w:rPr>
              <w:t>ﭶ</w:t>
            </w:r>
            <w:r>
              <w:rPr>
                <w:rFonts w:ascii="QCF_P058" w:hAnsi="QCF_P058" w:cs="QCF_P058" w:hint="cs"/>
                <w:noProof w:val="0"/>
                <w:rtl/>
                <w:lang w:eastAsia="en-US"/>
              </w:rPr>
              <w:t xml:space="preserve"> </w:t>
            </w:r>
            <w:r w:rsidRPr="00A470AA">
              <w:rPr>
                <w:rFonts w:ascii="QCF_P058" w:hAnsi="QCF_P058" w:cs="QCF_P058"/>
                <w:noProof w:val="0"/>
                <w:rtl/>
                <w:lang w:eastAsia="en-US"/>
              </w:rPr>
              <w:t>ﭷ</w:t>
            </w:r>
            <w:r>
              <w:rPr>
                <w:rFonts w:ascii="QCF_P058" w:hAnsi="QCF_P058" w:cs="QCF_P058" w:hint="cs"/>
                <w:noProof w:val="0"/>
                <w:rtl/>
                <w:lang w:eastAsia="en-US"/>
              </w:rPr>
              <w:t xml:space="preserve"> </w:t>
            </w:r>
            <w:r w:rsidRPr="00A470AA">
              <w:rPr>
                <w:rFonts w:ascii="QCF_P058" w:hAnsi="QCF_P058" w:cs="QCF_P058"/>
                <w:noProof w:val="0"/>
                <w:rtl/>
                <w:lang w:eastAsia="en-US"/>
              </w:rPr>
              <w:t>ﭸ</w:t>
            </w:r>
            <w:r>
              <w:rPr>
                <w:rFonts w:ascii="QCF_P058" w:hAnsi="QCF_P058" w:cs="QCF_P058" w:hint="cs"/>
                <w:noProof w:val="0"/>
                <w:rtl/>
                <w:lang w:eastAsia="en-US"/>
              </w:rPr>
              <w:t xml:space="preserve"> </w:t>
            </w:r>
            <w:r w:rsidRPr="00A470AA">
              <w:rPr>
                <w:rFonts w:ascii="QCF_P058" w:hAnsi="QCF_P058" w:cs="QCF_P058"/>
                <w:noProof w:val="0"/>
                <w:rtl/>
                <w:lang w:eastAsia="en-US"/>
              </w:rPr>
              <w:t>ﭹ</w:t>
            </w:r>
            <w:r>
              <w:rPr>
                <w:rFonts w:ascii="QCF_P058" w:hAnsi="QCF_P058" w:cs="QCF_P058" w:hint="cs"/>
                <w:noProof w:val="0"/>
                <w:rtl/>
                <w:lang w:eastAsia="en-US"/>
              </w:rPr>
              <w:t xml:space="preserve"> </w:t>
            </w:r>
            <w:r w:rsidRPr="00A470AA">
              <w:rPr>
                <w:rFonts w:ascii="QCF_P058" w:hAnsi="QCF_P058" w:cs="QCF_P058"/>
                <w:noProof w:val="0"/>
                <w:rtl/>
                <w:lang w:eastAsia="en-US"/>
              </w:rPr>
              <w:t>ﭺ</w:t>
            </w:r>
            <w:r>
              <w:rPr>
                <w:rFonts w:ascii="QCF_P058" w:hAnsi="QCF_P058" w:cs="QCF_P058" w:hint="cs"/>
                <w:noProof w:val="0"/>
                <w:rtl/>
                <w:lang w:eastAsia="en-US"/>
              </w:rPr>
              <w:t xml:space="preserve"> </w:t>
            </w:r>
            <w:r w:rsidRPr="00A470AA">
              <w:rPr>
                <w:rFonts w:ascii="QCF_P058" w:hAnsi="QCF_P058" w:cs="QCF_P058"/>
                <w:noProof w:val="0"/>
                <w:rtl/>
                <w:lang w:eastAsia="en-US"/>
              </w:rPr>
              <w:t>ﭻ</w:t>
            </w:r>
            <w:r>
              <w:rPr>
                <w:rFonts w:ascii="QCF_P058" w:hAnsi="QCF_P058" w:cs="QCF_P058" w:hint="cs"/>
                <w:noProof w:val="0"/>
                <w:rtl/>
                <w:lang w:eastAsia="en-US"/>
              </w:rPr>
              <w:t xml:space="preserve"> </w:t>
            </w:r>
            <w:r w:rsidRPr="00A470AA">
              <w:rPr>
                <w:rFonts w:ascii="QCF_P058" w:hAnsi="QCF_P058" w:cs="QCF_P058"/>
                <w:noProof w:val="0"/>
                <w:rtl/>
                <w:lang w:eastAsia="en-US"/>
              </w:rPr>
              <w:t>ﭼ</w:t>
            </w:r>
            <w:r>
              <w:rPr>
                <w:rFonts w:ascii="QCF_P058" w:hAnsi="QCF_P058" w:cs="QCF_P058" w:hint="cs"/>
                <w:noProof w:val="0"/>
                <w:rtl/>
                <w:lang w:eastAsia="en-US"/>
              </w:rPr>
              <w:t xml:space="preserve"> </w:t>
            </w:r>
            <w:r w:rsidRPr="00A470AA">
              <w:rPr>
                <w:rFonts w:ascii="QCF_P058" w:hAnsi="QCF_P058" w:cs="QCF_P058"/>
                <w:noProof w:val="0"/>
                <w:rtl/>
                <w:lang w:eastAsia="en-US"/>
              </w:rPr>
              <w:t>ﭽ</w:t>
            </w:r>
            <w:r>
              <w:rPr>
                <w:rFonts w:ascii="QCF_P058" w:hAnsi="QCF_P058" w:cs="QCF_P058" w:hint="cs"/>
                <w:noProof w:val="0"/>
                <w:rtl/>
                <w:lang w:eastAsia="en-US"/>
              </w:rPr>
              <w:t xml:space="preserve"> </w:t>
            </w:r>
            <w:r w:rsidRPr="00A470AA">
              <w:rPr>
                <w:rFonts w:ascii="QCF_P058" w:hAnsi="QCF_P058" w:cs="QCF_P058"/>
                <w:noProof w:val="0"/>
                <w:rtl/>
                <w:lang w:eastAsia="en-US"/>
              </w:rPr>
              <w:t>ﭾ</w:t>
            </w:r>
            <w:r>
              <w:rPr>
                <w:rFonts w:ascii="QCF_P058" w:hAnsi="QCF_P058" w:cs="QCF_P058" w:hint="cs"/>
                <w:noProof w:val="0"/>
                <w:rtl/>
                <w:lang w:eastAsia="en-US"/>
              </w:rPr>
              <w:t xml:space="preserve"> </w:t>
            </w:r>
            <w:r w:rsidRPr="00A470AA">
              <w:rPr>
                <w:rFonts w:ascii="QCF_P058" w:hAnsi="QCF_P058" w:cs="QCF_P058"/>
                <w:noProof w:val="0"/>
                <w:rtl/>
                <w:lang w:eastAsia="en-US"/>
              </w:rPr>
              <w:t>ﭿ</w:t>
            </w:r>
            <w:r>
              <w:rPr>
                <w:rFonts w:ascii="QCF_P058" w:hAnsi="QCF_P058" w:cs="QCF_P058" w:hint="cs"/>
                <w:noProof w:val="0"/>
                <w:rtl/>
                <w:lang w:eastAsia="en-US"/>
              </w:rPr>
              <w:t xml:space="preserve"> </w:t>
            </w:r>
            <w:r w:rsidRPr="00A470AA">
              <w:rPr>
                <w:rFonts w:ascii="QCF_P058" w:hAnsi="QCF_P058" w:cs="QCF_P058"/>
                <w:noProof w:val="0"/>
                <w:rtl/>
                <w:lang w:eastAsia="en-US"/>
              </w:rPr>
              <w:t>ﮀ</w:t>
            </w:r>
            <w:r>
              <w:rPr>
                <w:rFonts w:ascii="QCF_P058" w:hAnsi="QCF_P058" w:cs="QCF_P058" w:hint="cs"/>
                <w:noProof w:val="0"/>
                <w:rtl/>
                <w:lang w:eastAsia="en-US"/>
              </w:rPr>
              <w:t xml:space="preserve"> </w:t>
            </w:r>
            <w:r w:rsidRPr="00A470AA">
              <w:rPr>
                <w:rFonts w:ascii="QCF_P058" w:hAnsi="QCF_P058" w:cs="QCF_P058"/>
                <w:noProof w:val="0"/>
                <w:rtl/>
                <w:lang w:eastAsia="en-US"/>
              </w:rPr>
              <w:t>ﮁ</w:t>
            </w:r>
            <w:r>
              <w:rPr>
                <w:rFonts w:ascii="QCF_P058" w:hAnsi="QCF_P058" w:cs="QCF_P058" w:hint="cs"/>
                <w:noProof w:val="0"/>
                <w:rtl/>
                <w:lang w:eastAsia="en-US"/>
              </w:rPr>
              <w:t xml:space="preserve"> </w:t>
            </w:r>
            <w:r w:rsidRPr="00A470AA">
              <w:rPr>
                <w:rFonts w:ascii="QCF_P058" w:hAnsi="QCF_P058" w:cs="QCF_P058"/>
                <w:noProof w:val="0"/>
                <w:rtl/>
                <w:lang w:eastAsia="en-US"/>
              </w:rPr>
              <w:t>ﮂ</w:t>
            </w:r>
            <w:r>
              <w:rPr>
                <w:rFonts w:ascii="QCF_P058" w:hAnsi="QCF_P058" w:cs="QCF_P058" w:hint="cs"/>
                <w:noProof w:val="0"/>
                <w:rtl/>
                <w:lang w:eastAsia="en-US"/>
              </w:rPr>
              <w:t xml:space="preserve"> </w:t>
            </w:r>
            <w:r w:rsidRPr="00A470AA">
              <w:rPr>
                <w:rFonts w:ascii="QCF_P058" w:hAnsi="QCF_P058" w:cs="QCF_P058"/>
                <w:noProof w:val="0"/>
                <w:color w:val="0000A5"/>
                <w:rtl/>
                <w:lang w:eastAsia="en-US"/>
              </w:rPr>
              <w:t>ﮃ</w:t>
            </w:r>
            <w:r>
              <w:rPr>
                <w:rFonts w:ascii="QCF_P058" w:hAnsi="QCF_P058" w:cs="QCF_P058" w:hint="cs"/>
                <w:noProof w:val="0"/>
                <w:color w:val="0000A5"/>
                <w:rtl/>
                <w:lang w:eastAsia="en-US"/>
              </w:rPr>
              <w:t xml:space="preserve"> </w:t>
            </w:r>
            <w:r w:rsidRPr="00A470AA">
              <w:rPr>
                <w:rFonts w:ascii="QCF_P058" w:hAnsi="QCF_P058" w:cs="QCF_P058"/>
                <w:noProof w:val="0"/>
                <w:rtl/>
                <w:lang w:eastAsia="en-US"/>
              </w:rPr>
              <w:t>ﮄ</w:t>
            </w:r>
            <w:r>
              <w:rPr>
                <w:rFonts w:ascii="QCF_P058" w:hAnsi="QCF_P058" w:cs="QCF_P058" w:hint="cs"/>
                <w:noProof w:val="0"/>
                <w:rtl/>
                <w:lang w:eastAsia="en-US"/>
              </w:rPr>
              <w:t xml:space="preserve"> </w:t>
            </w:r>
            <w:r w:rsidRPr="00A470AA">
              <w:rPr>
                <w:rFonts w:ascii="QCF_P058" w:hAnsi="QCF_P058" w:cs="QCF_P058"/>
                <w:noProof w:val="0"/>
                <w:rtl/>
                <w:lang w:eastAsia="en-US"/>
              </w:rPr>
              <w:t>ﮅ</w:t>
            </w:r>
            <w:r>
              <w:rPr>
                <w:rFonts w:ascii="QCF_P058" w:hAnsi="QCF_P058" w:cs="QCF_P058" w:hint="cs"/>
                <w:noProof w:val="0"/>
                <w:rtl/>
                <w:lang w:eastAsia="en-US"/>
              </w:rPr>
              <w:t xml:space="preserve"> </w:t>
            </w:r>
            <w:r w:rsidRPr="00A470AA">
              <w:rPr>
                <w:rFonts w:ascii="QCF_P058" w:hAnsi="QCF_P058" w:cs="QCF_P058"/>
                <w:noProof w:val="0"/>
                <w:rtl/>
                <w:lang w:eastAsia="en-US"/>
              </w:rPr>
              <w:t>ﮆ</w:t>
            </w:r>
            <w:r>
              <w:rPr>
                <w:rFonts w:ascii="QCF_P058" w:hAnsi="QCF_P058" w:cs="QCF_P058" w:hint="cs"/>
                <w:noProof w:val="0"/>
                <w:rtl/>
                <w:lang w:eastAsia="en-US"/>
              </w:rPr>
              <w:t xml:space="preserve"> </w:t>
            </w:r>
            <w:r w:rsidRPr="00A470AA">
              <w:rPr>
                <w:rFonts w:ascii="QCF_P058" w:hAnsi="QCF_P058" w:cs="QCF_P058"/>
                <w:noProof w:val="0"/>
                <w:rtl/>
                <w:lang w:eastAsia="en-US"/>
              </w:rPr>
              <w:t>ﮇ</w:t>
            </w:r>
            <w:r>
              <w:rPr>
                <w:rFonts w:ascii="QCF_P058" w:hAnsi="QCF_P058" w:cs="QCF_P058" w:hint="cs"/>
                <w:noProof w:val="0"/>
                <w:rtl/>
                <w:lang w:eastAsia="en-US"/>
              </w:rPr>
              <w:t xml:space="preserve"> </w:t>
            </w:r>
            <w:r w:rsidRPr="00A470AA">
              <w:rPr>
                <w:rFonts w:ascii="QCF_P058" w:hAnsi="QCF_P058" w:cs="QCF_P058"/>
                <w:noProof w:val="0"/>
                <w:rtl/>
                <w:lang w:eastAsia="en-US"/>
              </w:rPr>
              <w:t>ﮈ</w:t>
            </w:r>
            <w:r>
              <w:rPr>
                <w:rFonts w:ascii="QCF_P058" w:hAnsi="QCF_P058" w:cs="QCF_P058" w:hint="cs"/>
                <w:noProof w:val="0"/>
                <w:rtl/>
                <w:lang w:eastAsia="en-US"/>
              </w:rPr>
              <w:t xml:space="preserve"> </w:t>
            </w:r>
            <w:r w:rsidRPr="00A470AA">
              <w:rPr>
                <w:rFonts w:ascii="QCF_P058" w:hAnsi="QCF_P058" w:cs="QCF_P058"/>
                <w:noProof w:val="0"/>
                <w:rtl/>
                <w:lang w:eastAsia="en-US"/>
              </w:rPr>
              <w:t>ﮉ</w:t>
            </w:r>
            <w:r w:rsidRPr="00A470AA">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64</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سورة_آل_عمران_64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lastRenderedPageBreak/>
              <w:t>النساء</w:t>
            </w:r>
          </w:p>
        </w:tc>
      </w:tr>
      <w:tr w:rsidR="00E90490" w:rsidRPr="00E90490" w:rsidTr="00FE332F">
        <w:trPr>
          <w:cantSplit/>
        </w:trPr>
        <w:tc>
          <w:tcPr>
            <w:tcW w:w="6627" w:type="dxa"/>
          </w:tcPr>
          <w:p w:rsidR="00E90490" w:rsidRPr="00E90490" w:rsidRDefault="002D06EB" w:rsidP="00597C20">
            <w:pPr>
              <w:tabs>
                <w:tab w:val="right" w:leader="dot" w:pos="6802"/>
                <w:tab w:val="right" w:leader="dot" w:pos="8787"/>
              </w:tabs>
              <w:ind w:firstLine="0"/>
            </w:pPr>
            <w:r w:rsidRPr="00541E23">
              <w:rPr>
                <w:rFonts w:ascii="QCF_BSML" w:hAnsi="QCF_BSML" w:cs="QCF_BSML"/>
                <w:noProof w:val="0"/>
                <w:rtl/>
                <w:lang w:eastAsia="en-US"/>
              </w:rPr>
              <w:t>ﭽ</w:t>
            </w:r>
            <w:r w:rsidRPr="00541E23">
              <w:rPr>
                <w:rFonts w:ascii="QCF_P077" w:hAnsi="QCF_P077" w:cs="QCF_P077"/>
                <w:noProof w:val="0"/>
                <w:rtl/>
                <w:lang w:eastAsia="en-US"/>
              </w:rPr>
              <w:t>ﮄ</w:t>
            </w:r>
            <w:r>
              <w:rPr>
                <w:rFonts w:ascii="QCF_P077" w:hAnsi="QCF_P077" w:cs="QCF_P077" w:hint="cs"/>
                <w:noProof w:val="0"/>
                <w:rtl/>
                <w:lang w:eastAsia="en-US"/>
              </w:rPr>
              <w:t xml:space="preserve"> </w:t>
            </w:r>
            <w:r w:rsidRPr="00541E23">
              <w:rPr>
                <w:rFonts w:ascii="QCF_P077" w:hAnsi="QCF_P077" w:cs="QCF_P077"/>
                <w:noProof w:val="0"/>
                <w:rtl/>
                <w:lang w:eastAsia="en-US"/>
              </w:rPr>
              <w:t>ﮅ</w:t>
            </w:r>
            <w:r>
              <w:rPr>
                <w:rFonts w:ascii="QCF_P077" w:hAnsi="QCF_P077" w:cs="QCF_P077" w:hint="cs"/>
                <w:noProof w:val="0"/>
                <w:rtl/>
                <w:lang w:eastAsia="en-US"/>
              </w:rPr>
              <w:t xml:space="preserve"> </w:t>
            </w:r>
            <w:r w:rsidRPr="00541E23">
              <w:rPr>
                <w:rFonts w:ascii="QCF_P077" w:hAnsi="QCF_P077" w:cs="QCF_P077"/>
                <w:noProof w:val="0"/>
                <w:rtl/>
                <w:lang w:eastAsia="en-US"/>
              </w:rPr>
              <w:t>ﮆ</w:t>
            </w:r>
            <w:r>
              <w:rPr>
                <w:rFonts w:ascii="QCF_P077" w:hAnsi="QCF_P077" w:cs="QCF_P077" w:hint="cs"/>
                <w:noProof w:val="0"/>
                <w:rtl/>
                <w:lang w:eastAsia="en-US"/>
              </w:rPr>
              <w:t xml:space="preserve"> </w:t>
            </w:r>
            <w:r w:rsidRPr="00541E23">
              <w:rPr>
                <w:rFonts w:ascii="QCF_P077" w:hAnsi="QCF_P077" w:cs="QCF_P077"/>
                <w:noProof w:val="0"/>
                <w:rtl/>
                <w:lang w:eastAsia="en-US"/>
              </w:rPr>
              <w:t>ﮇ</w:t>
            </w:r>
            <w:r>
              <w:rPr>
                <w:rFonts w:ascii="QCF_P077" w:hAnsi="QCF_P077" w:cs="QCF_P077" w:hint="cs"/>
                <w:noProof w:val="0"/>
                <w:rtl/>
                <w:lang w:eastAsia="en-US"/>
              </w:rPr>
              <w:t xml:space="preserve"> </w:t>
            </w:r>
            <w:r w:rsidRPr="00541E23">
              <w:rPr>
                <w:rFonts w:ascii="QCF_P077" w:hAnsi="QCF_P077" w:cs="QCF_P077"/>
                <w:noProof w:val="0"/>
                <w:rtl/>
                <w:lang w:eastAsia="en-US"/>
              </w:rPr>
              <w:t>ﮈ</w:t>
            </w:r>
            <w:r>
              <w:rPr>
                <w:rFonts w:ascii="QCF_P077" w:hAnsi="QCF_P077" w:cs="QCF_P077" w:hint="cs"/>
                <w:noProof w:val="0"/>
                <w:rtl/>
                <w:lang w:eastAsia="en-US"/>
              </w:rPr>
              <w:t xml:space="preserve"> </w:t>
            </w:r>
            <w:r w:rsidRPr="00541E23">
              <w:rPr>
                <w:rFonts w:ascii="QCF_P077" w:hAnsi="QCF_P077" w:cs="QCF_P077"/>
                <w:noProof w:val="0"/>
                <w:rtl/>
                <w:lang w:eastAsia="en-US"/>
              </w:rPr>
              <w:t>ﮉ</w:t>
            </w:r>
            <w:r>
              <w:rPr>
                <w:rFonts w:ascii="QCF_P077" w:hAnsi="QCF_P077" w:cs="QCF_P077" w:hint="cs"/>
                <w:noProof w:val="0"/>
                <w:rtl/>
                <w:lang w:eastAsia="en-US"/>
              </w:rPr>
              <w:t xml:space="preserve"> </w:t>
            </w:r>
            <w:r w:rsidRPr="00541E23">
              <w:rPr>
                <w:rFonts w:ascii="QCF_P077" w:hAnsi="QCF_P077" w:cs="QCF_P077"/>
                <w:noProof w:val="0"/>
                <w:rtl/>
                <w:lang w:eastAsia="en-US"/>
              </w:rPr>
              <w:t>ﮊ</w:t>
            </w:r>
            <w:r>
              <w:rPr>
                <w:rFonts w:ascii="QCF_P077" w:hAnsi="QCF_P077" w:cs="QCF_P077" w:hint="cs"/>
                <w:noProof w:val="0"/>
                <w:rtl/>
                <w:lang w:eastAsia="en-US"/>
              </w:rPr>
              <w:t xml:space="preserve"> </w:t>
            </w:r>
            <w:r w:rsidRPr="00541E23">
              <w:rPr>
                <w:rFonts w:ascii="QCF_P077" w:hAnsi="QCF_P077" w:cs="QCF_P077"/>
                <w:noProof w:val="0"/>
                <w:rtl/>
                <w:lang w:eastAsia="en-US"/>
              </w:rPr>
              <w:t>ﮋ</w:t>
            </w:r>
            <w:r>
              <w:rPr>
                <w:rFonts w:ascii="QCF_P077" w:hAnsi="QCF_P077" w:cs="QCF_P077" w:hint="cs"/>
                <w:noProof w:val="0"/>
                <w:rtl/>
                <w:lang w:eastAsia="en-US"/>
              </w:rPr>
              <w:t xml:space="preserve"> </w:t>
            </w:r>
            <w:r w:rsidRPr="00541E23">
              <w:rPr>
                <w:rFonts w:ascii="QCF_P077" w:hAnsi="QCF_P077" w:cs="QCF_P077"/>
                <w:noProof w:val="0"/>
                <w:rtl/>
                <w:lang w:eastAsia="en-US"/>
              </w:rPr>
              <w:t>ﮌ</w:t>
            </w:r>
            <w:r>
              <w:rPr>
                <w:rFonts w:ascii="QCF_P077" w:hAnsi="QCF_P077" w:cs="QCF_P077" w:hint="cs"/>
                <w:noProof w:val="0"/>
                <w:rtl/>
                <w:lang w:eastAsia="en-US"/>
              </w:rPr>
              <w:t xml:space="preserve"> </w:t>
            </w:r>
            <w:r w:rsidRPr="00541E23">
              <w:rPr>
                <w:rFonts w:ascii="QCF_P077" w:hAnsi="QCF_P077" w:cs="QCF_P077"/>
                <w:noProof w:val="0"/>
                <w:rtl/>
                <w:lang w:eastAsia="en-US"/>
              </w:rPr>
              <w:t>ﮍ</w:t>
            </w:r>
            <w:r>
              <w:rPr>
                <w:rFonts w:ascii="QCF_P077" w:hAnsi="QCF_P077" w:cs="QCF_P077" w:hint="cs"/>
                <w:noProof w:val="0"/>
                <w:rtl/>
                <w:lang w:eastAsia="en-US"/>
              </w:rPr>
              <w:t xml:space="preserve"> </w:t>
            </w:r>
            <w:r w:rsidRPr="00541E23">
              <w:rPr>
                <w:rFonts w:ascii="QCF_P077" w:hAnsi="QCF_P077" w:cs="QCF_P077"/>
                <w:noProof w:val="0"/>
                <w:rtl/>
                <w:lang w:eastAsia="en-US"/>
              </w:rPr>
              <w:t>ﮎ</w:t>
            </w:r>
            <w:r>
              <w:rPr>
                <w:rFonts w:ascii="QCF_P077" w:hAnsi="QCF_P077" w:cs="QCF_P077" w:hint="cs"/>
                <w:noProof w:val="0"/>
                <w:rtl/>
                <w:lang w:eastAsia="en-US"/>
              </w:rPr>
              <w:t xml:space="preserve"> </w:t>
            </w:r>
            <w:r w:rsidRPr="00541E23">
              <w:rPr>
                <w:rFonts w:ascii="QCF_P077" w:hAnsi="QCF_P077" w:cs="QCF_P077"/>
                <w:noProof w:val="0"/>
                <w:rtl/>
                <w:lang w:eastAsia="en-US"/>
              </w:rPr>
              <w:t>ﮏ</w:t>
            </w:r>
            <w:r>
              <w:rPr>
                <w:rFonts w:ascii="QCF_P077" w:hAnsi="QCF_P077" w:cs="QCF_P077" w:hint="cs"/>
                <w:noProof w:val="0"/>
                <w:rtl/>
                <w:lang w:eastAsia="en-US"/>
              </w:rPr>
              <w:t xml:space="preserve"> </w:t>
            </w:r>
            <w:r w:rsidRPr="00541E23">
              <w:rPr>
                <w:rFonts w:ascii="QCF_P077" w:hAnsi="QCF_P077" w:cs="QCF_P077"/>
                <w:noProof w:val="0"/>
                <w:rtl/>
                <w:lang w:eastAsia="en-US"/>
              </w:rPr>
              <w:t>ﮐ</w:t>
            </w:r>
            <w:r>
              <w:rPr>
                <w:rFonts w:ascii="QCF_P077" w:hAnsi="QCF_P077" w:cs="QCF_P077" w:hint="cs"/>
                <w:noProof w:val="0"/>
                <w:rtl/>
                <w:lang w:eastAsia="en-US"/>
              </w:rPr>
              <w:t xml:space="preserve"> </w:t>
            </w:r>
            <w:r w:rsidRPr="00541E23">
              <w:rPr>
                <w:rFonts w:ascii="QCF_P077" w:hAnsi="QCF_P077" w:cs="QCF_P077"/>
                <w:noProof w:val="0"/>
                <w:rtl/>
                <w:lang w:eastAsia="en-US"/>
              </w:rPr>
              <w:t>ﮑﮒ</w:t>
            </w:r>
            <w:r w:rsidRPr="00541E23">
              <w:rPr>
                <w:rFonts w:ascii="QCF_P077" w:hAnsi="QCF_P077" w:cs="QCF_P077"/>
                <w:noProof w:val="0"/>
                <w:color w:val="0000A5"/>
                <w:rtl/>
                <w:lang w:eastAsia="en-US"/>
              </w:rPr>
              <w:t>ﮓ</w:t>
            </w:r>
            <w:r w:rsidRPr="00541E23">
              <w:rPr>
                <w:rFonts w:ascii="QCF_P077" w:hAnsi="QCF_P077" w:cs="QCF_P077"/>
                <w:noProof w:val="0"/>
                <w:rtl/>
                <w:lang w:eastAsia="en-US"/>
              </w:rPr>
              <w:t>ﮔﮕﮖﮗﮘﮙﮚﮛﮜ</w:t>
            </w:r>
            <w:r w:rsidRPr="00541E23">
              <w:rPr>
                <w:rFonts w:ascii="QCF_P077" w:hAnsi="QCF_P077" w:cs="QCF_P077"/>
                <w:noProof w:val="0"/>
                <w:color w:val="0000A5"/>
                <w:rtl/>
                <w:lang w:eastAsia="en-US"/>
              </w:rPr>
              <w:t>ﮝ</w:t>
            </w:r>
            <w:r w:rsidRPr="00541E23">
              <w:rPr>
                <w:rFonts w:ascii="QCF_P077" w:hAnsi="QCF_P077" w:cs="QCF_P077"/>
                <w:noProof w:val="0"/>
                <w:rtl/>
                <w:lang w:eastAsia="en-US"/>
              </w:rPr>
              <w:t>ﮞﮟﮠﮡ</w:t>
            </w:r>
            <w:r w:rsidRPr="00541E23">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3</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سورة_النساء_3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2D06EB" w:rsidP="00597C20">
            <w:pPr>
              <w:tabs>
                <w:tab w:val="right" w:leader="dot" w:pos="6802"/>
                <w:tab w:val="right" w:leader="dot" w:pos="8787"/>
              </w:tabs>
              <w:ind w:firstLine="0"/>
              <w:rPr>
                <w:rtl/>
              </w:rPr>
            </w:pPr>
            <w:r w:rsidRPr="00195656">
              <w:rPr>
                <w:rFonts w:ascii="QCF_BSML" w:hAnsi="QCF_BSML" w:cs="QCF_BSML"/>
                <w:noProof w:val="0"/>
                <w:rtl/>
                <w:lang w:eastAsia="en-US"/>
              </w:rPr>
              <w:t>ﭽ</w:t>
            </w:r>
            <w:r w:rsidRPr="00195656">
              <w:rPr>
                <w:rFonts w:ascii="QCF_P077" w:hAnsi="QCF_P077" w:cs="QCF_P077"/>
                <w:noProof w:val="0"/>
                <w:rtl/>
                <w:lang w:eastAsia="en-US"/>
              </w:rPr>
              <w:t>ﮨ</w:t>
            </w:r>
            <w:r>
              <w:rPr>
                <w:rFonts w:ascii="QCF_P077" w:hAnsi="QCF_P077" w:cs="QCF_P077" w:hint="cs"/>
                <w:noProof w:val="0"/>
                <w:rtl/>
                <w:lang w:eastAsia="en-US"/>
              </w:rPr>
              <w:t xml:space="preserve"> </w:t>
            </w:r>
            <w:r w:rsidRPr="00195656">
              <w:rPr>
                <w:rFonts w:ascii="QCF_P077" w:hAnsi="QCF_P077" w:cs="QCF_P077"/>
                <w:noProof w:val="0"/>
                <w:rtl/>
                <w:lang w:eastAsia="en-US"/>
              </w:rPr>
              <w:t>ﮩ</w:t>
            </w:r>
            <w:r>
              <w:rPr>
                <w:rFonts w:ascii="QCF_P077" w:hAnsi="QCF_P077" w:cs="QCF_P077" w:hint="cs"/>
                <w:noProof w:val="0"/>
                <w:rtl/>
                <w:lang w:eastAsia="en-US"/>
              </w:rPr>
              <w:t xml:space="preserve"> </w:t>
            </w:r>
            <w:r w:rsidRPr="00195656">
              <w:rPr>
                <w:rFonts w:ascii="QCF_P077" w:hAnsi="QCF_P077" w:cs="QCF_P077"/>
                <w:noProof w:val="0"/>
                <w:rtl/>
                <w:lang w:eastAsia="en-US"/>
              </w:rPr>
              <w:t>ﮪ</w:t>
            </w:r>
            <w:r>
              <w:rPr>
                <w:rFonts w:ascii="QCF_P077" w:hAnsi="QCF_P077" w:cs="QCF_P077" w:hint="cs"/>
                <w:noProof w:val="0"/>
                <w:rtl/>
                <w:lang w:eastAsia="en-US"/>
              </w:rPr>
              <w:t xml:space="preserve"> </w:t>
            </w:r>
            <w:r w:rsidRPr="00195656">
              <w:rPr>
                <w:rFonts w:ascii="QCF_P077" w:hAnsi="QCF_P077" w:cs="QCF_P077"/>
                <w:noProof w:val="0"/>
                <w:rtl/>
                <w:lang w:eastAsia="en-US"/>
              </w:rPr>
              <w:t>ﮫ</w:t>
            </w:r>
            <w:r>
              <w:rPr>
                <w:rFonts w:ascii="QCF_P077" w:hAnsi="QCF_P077" w:cs="QCF_P077" w:hint="cs"/>
                <w:noProof w:val="0"/>
                <w:rtl/>
                <w:lang w:eastAsia="en-US"/>
              </w:rPr>
              <w:t xml:space="preserve"> </w:t>
            </w:r>
            <w:r w:rsidRPr="00195656">
              <w:rPr>
                <w:rFonts w:ascii="QCF_P077" w:hAnsi="QCF_P077" w:cs="QCF_P077"/>
                <w:noProof w:val="0"/>
                <w:rtl/>
                <w:lang w:eastAsia="en-US"/>
              </w:rPr>
              <w:t>ﮬ</w:t>
            </w:r>
            <w:r>
              <w:rPr>
                <w:rFonts w:ascii="QCF_P077" w:hAnsi="QCF_P077" w:cs="QCF_P077" w:hint="cs"/>
                <w:noProof w:val="0"/>
                <w:rtl/>
                <w:lang w:eastAsia="en-US"/>
              </w:rPr>
              <w:t xml:space="preserve"> </w:t>
            </w:r>
            <w:r w:rsidRPr="00195656">
              <w:rPr>
                <w:rFonts w:ascii="QCF_P077" w:hAnsi="QCF_P077" w:cs="QCF_P077"/>
                <w:noProof w:val="0"/>
                <w:rtl/>
                <w:lang w:eastAsia="en-US"/>
              </w:rPr>
              <w:t>ﮭ</w:t>
            </w:r>
            <w:r>
              <w:rPr>
                <w:rFonts w:ascii="QCF_P077" w:hAnsi="QCF_P077" w:cs="QCF_P077" w:hint="cs"/>
                <w:noProof w:val="0"/>
                <w:rtl/>
                <w:lang w:eastAsia="en-US"/>
              </w:rPr>
              <w:t xml:space="preserve"> </w:t>
            </w:r>
            <w:r w:rsidRPr="00195656">
              <w:rPr>
                <w:rFonts w:ascii="QCF_P077" w:hAnsi="QCF_P077" w:cs="QCF_P077"/>
                <w:noProof w:val="0"/>
                <w:rtl/>
                <w:lang w:eastAsia="en-US"/>
              </w:rPr>
              <w:t>ﮮ</w:t>
            </w:r>
            <w:r>
              <w:rPr>
                <w:rFonts w:ascii="QCF_P077" w:hAnsi="QCF_P077" w:cs="QCF_P077" w:hint="cs"/>
                <w:noProof w:val="0"/>
                <w:rtl/>
                <w:lang w:eastAsia="en-US"/>
              </w:rPr>
              <w:t xml:space="preserve"> </w:t>
            </w:r>
            <w:r w:rsidRPr="00195656">
              <w:rPr>
                <w:rFonts w:ascii="QCF_P077" w:hAnsi="QCF_P077" w:cs="QCF_P077"/>
                <w:noProof w:val="0"/>
                <w:rtl/>
                <w:lang w:eastAsia="en-US"/>
              </w:rPr>
              <w:t>ﮯ</w:t>
            </w:r>
            <w:r>
              <w:rPr>
                <w:rFonts w:ascii="QCF_P077" w:hAnsi="QCF_P077" w:cs="QCF_P077" w:hint="cs"/>
                <w:noProof w:val="0"/>
                <w:rtl/>
                <w:lang w:eastAsia="en-US"/>
              </w:rPr>
              <w:t xml:space="preserve"> </w:t>
            </w:r>
            <w:r w:rsidRPr="00195656">
              <w:rPr>
                <w:rFonts w:ascii="QCF_P077" w:hAnsi="QCF_P077" w:cs="QCF_P077"/>
                <w:noProof w:val="0"/>
                <w:rtl/>
                <w:lang w:eastAsia="en-US"/>
              </w:rPr>
              <w:t>ﮰ</w:t>
            </w:r>
            <w:r>
              <w:rPr>
                <w:rFonts w:ascii="QCF_P077" w:hAnsi="QCF_P077" w:cs="QCF_P077" w:hint="cs"/>
                <w:noProof w:val="0"/>
                <w:rtl/>
                <w:lang w:eastAsia="en-US"/>
              </w:rPr>
              <w:t xml:space="preserve"> </w:t>
            </w:r>
            <w:r w:rsidRPr="00195656">
              <w:rPr>
                <w:rFonts w:ascii="QCF_P077" w:hAnsi="QCF_P077" w:cs="QCF_P077"/>
                <w:noProof w:val="0"/>
                <w:rtl/>
                <w:lang w:eastAsia="en-US"/>
              </w:rPr>
              <w:t>ﮱ</w:t>
            </w:r>
            <w:r w:rsidRPr="00195656">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4</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سورة_النساء_4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2D06EB">
              <w:rPr>
                <w:rFonts w:hint="cs"/>
                <w:rtl/>
              </w:rPr>
              <w:t>0</w:t>
            </w:r>
          </w:p>
        </w:tc>
      </w:tr>
      <w:tr w:rsidR="00E90490" w:rsidRPr="00E90490" w:rsidTr="00FE332F">
        <w:trPr>
          <w:cantSplit/>
        </w:trPr>
        <w:tc>
          <w:tcPr>
            <w:tcW w:w="6627" w:type="dxa"/>
          </w:tcPr>
          <w:p w:rsidR="00E90490" w:rsidRPr="00E90490" w:rsidRDefault="002D06EB" w:rsidP="00597C20">
            <w:pPr>
              <w:tabs>
                <w:tab w:val="right" w:leader="dot" w:pos="6802"/>
                <w:tab w:val="right" w:leader="dot" w:pos="8787"/>
              </w:tabs>
              <w:ind w:firstLine="0"/>
              <w:rPr>
                <w:rtl/>
              </w:rPr>
            </w:pPr>
            <w:r w:rsidRPr="00F27847">
              <w:rPr>
                <w:rFonts w:ascii="QCF_BSML" w:hAnsi="QCF_BSML" w:cs="QCF_BSML"/>
                <w:noProof w:val="0"/>
                <w:rtl/>
                <w:lang w:eastAsia="en-US"/>
              </w:rPr>
              <w:t>ﭽ</w:t>
            </w:r>
            <w:r w:rsidRPr="00F27847">
              <w:rPr>
                <w:rFonts w:ascii="QCF_P077" w:hAnsi="QCF_P077" w:cs="QCF_P077"/>
                <w:noProof w:val="0"/>
                <w:rtl/>
                <w:lang w:eastAsia="en-US"/>
              </w:rPr>
              <w:t>ﯔ</w:t>
            </w:r>
            <w:r>
              <w:rPr>
                <w:rFonts w:ascii="QCF_P077" w:hAnsi="QCF_P077" w:cs="QCF_P077" w:hint="cs"/>
                <w:noProof w:val="0"/>
                <w:rtl/>
                <w:lang w:eastAsia="en-US"/>
              </w:rPr>
              <w:t xml:space="preserve"> </w:t>
            </w:r>
            <w:r w:rsidRPr="00F27847">
              <w:rPr>
                <w:rFonts w:ascii="QCF_P077" w:hAnsi="QCF_P077" w:cs="QCF_P077"/>
                <w:noProof w:val="0"/>
                <w:rtl/>
                <w:lang w:eastAsia="en-US"/>
              </w:rPr>
              <w:t>ﯕ</w:t>
            </w:r>
            <w:r>
              <w:rPr>
                <w:rFonts w:ascii="QCF_P077" w:hAnsi="QCF_P077" w:cs="QCF_P077" w:hint="cs"/>
                <w:noProof w:val="0"/>
                <w:rtl/>
                <w:lang w:eastAsia="en-US"/>
              </w:rPr>
              <w:t xml:space="preserve"> </w:t>
            </w:r>
            <w:r w:rsidRPr="00F27847">
              <w:rPr>
                <w:rFonts w:ascii="QCF_P077" w:hAnsi="QCF_P077" w:cs="QCF_P077"/>
                <w:noProof w:val="0"/>
                <w:rtl/>
                <w:lang w:eastAsia="en-US"/>
              </w:rPr>
              <w:t>ﯖ</w:t>
            </w:r>
            <w:r>
              <w:rPr>
                <w:rFonts w:ascii="QCF_P077" w:hAnsi="QCF_P077" w:cs="QCF_P077" w:hint="cs"/>
                <w:noProof w:val="0"/>
                <w:rtl/>
                <w:lang w:eastAsia="en-US"/>
              </w:rPr>
              <w:t xml:space="preserve"> </w:t>
            </w:r>
            <w:r w:rsidRPr="00F27847">
              <w:rPr>
                <w:rFonts w:ascii="QCF_P077" w:hAnsi="QCF_P077" w:cs="QCF_P077"/>
                <w:noProof w:val="0"/>
                <w:rtl/>
                <w:lang w:eastAsia="en-US"/>
              </w:rPr>
              <w:t>ﯗ</w:t>
            </w:r>
            <w:r>
              <w:rPr>
                <w:rFonts w:ascii="QCF_P077" w:hAnsi="QCF_P077" w:cs="QCF_P077" w:hint="cs"/>
                <w:noProof w:val="0"/>
                <w:rtl/>
                <w:lang w:eastAsia="en-US"/>
              </w:rPr>
              <w:t xml:space="preserve"> </w:t>
            </w:r>
            <w:r w:rsidRPr="00F27847">
              <w:rPr>
                <w:rFonts w:ascii="QCF_P077" w:hAnsi="QCF_P077" w:cs="QCF_P077"/>
                <w:noProof w:val="0"/>
                <w:rtl/>
                <w:lang w:eastAsia="en-US"/>
              </w:rPr>
              <w:t>ﯘ</w:t>
            </w:r>
            <w:r>
              <w:rPr>
                <w:rFonts w:ascii="QCF_P077" w:hAnsi="QCF_P077" w:cs="QCF_P077" w:hint="cs"/>
                <w:noProof w:val="0"/>
                <w:rtl/>
                <w:lang w:eastAsia="en-US"/>
              </w:rPr>
              <w:t xml:space="preserve"> </w:t>
            </w:r>
            <w:r w:rsidRPr="00F27847">
              <w:rPr>
                <w:rFonts w:ascii="QCF_P077" w:hAnsi="QCF_P077" w:cs="QCF_P077"/>
                <w:noProof w:val="0"/>
                <w:rtl/>
                <w:lang w:eastAsia="en-US"/>
              </w:rPr>
              <w:t>ﯙ</w:t>
            </w:r>
            <w:r>
              <w:rPr>
                <w:rFonts w:ascii="QCF_P077" w:hAnsi="QCF_P077" w:cs="QCF_P077" w:hint="cs"/>
                <w:noProof w:val="0"/>
                <w:rtl/>
                <w:lang w:eastAsia="en-US"/>
              </w:rPr>
              <w:t xml:space="preserve"> </w:t>
            </w:r>
            <w:r w:rsidRPr="00F27847">
              <w:rPr>
                <w:rFonts w:ascii="QCF_P077" w:hAnsi="QCF_P077" w:cs="QCF_P077"/>
                <w:noProof w:val="0"/>
                <w:rtl/>
                <w:lang w:eastAsia="en-US"/>
              </w:rPr>
              <w:t>ﯚ</w:t>
            </w:r>
            <w:r>
              <w:rPr>
                <w:rFonts w:ascii="QCF_P077" w:hAnsi="QCF_P077" w:cs="QCF_P077" w:hint="cs"/>
                <w:noProof w:val="0"/>
                <w:rtl/>
                <w:lang w:eastAsia="en-US"/>
              </w:rPr>
              <w:t xml:space="preserve"> </w:t>
            </w:r>
            <w:r w:rsidRPr="00F27847">
              <w:rPr>
                <w:rFonts w:ascii="QCF_P077" w:hAnsi="QCF_P077" w:cs="QCF_P077"/>
                <w:noProof w:val="0"/>
                <w:rtl/>
                <w:lang w:eastAsia="en-US"/>
              </w:rPr>
              <w:t>ﯛ</w:t>
            </w:r>
            <w:r>
              <w:rPr>
                <w:rFonts w:ascii="QCF_P077" w:hAnsi="QCF_P077" w:cs="QCF_P077" w:hint="cs"/>
                <w:noProof w:val="0"/>
                <w:rtl/>
                <w:lang w:eastAsia="en-US"/>
              </w:rPr>
              <w:t xml:space="preserve"> </w:t>
            </w:r>
            <w:r w:rsidRPr="00F27847">
              <w:rPr>
                <w:rFonts w:ascii="QCF_P077" w:hAnsi="QCF_P077" w:cs="QCF_P077"/>
                <w:noProof w:val="0"/>
                <w:rtl/>
                <w:lang w:eastAsia="en-US"/>
              </w:rPr>
              <w:t>ﯜ</w:t>
            </w:r>
            <w:r w:rsidRPr="00F27847">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5</w:t>
            </w:r>
          </w:p>
        </w:tc>
        <w:tc>
          <w:tcPr>
            <w:tcW w:w="1560" w:type="dxa"/>
            <w:vAlign w:val="center"/>
          </w:tcPr>
          <w:p w:rsidR="00E90490" w:rsidRPr="00E90490" w:rsidRDefault="002D06EB" w:rsidP="00597C20">
            <w:pPr>
              <w:tabs>
                <w:tab w:val="right" w:leader="dot" w:pos="6802"/>
                <w:tab w:val="right" w:leader="dot" w:pos="8787"/>
              </w:tabs>
              <w:ind w:firstLine="0"/>
              <w:jc w:val="center"/>
              <w:rPr>
                <w:rtl/>
              </w:rPr>
            </w:pPr>
            <w:r>
              <w:rPr>
                <w:rFonts w:hint="cs"/>
                <w:rtl/>
              </w:rPr>
              <w:t>557</w:t>
            </w:r>
          </w:p>
        </w:tc>
      </w:tr>
      <w:tr w:rsidR="00E90490" w:rsidRPr="00E90490" w:rsidTr="00FE332F">
        <w:trPr>
          <w:cantSplit/>
        </w:trPr>
        <w:tc>
          <w:tcPr>
            <w:tcW w:w="6627" w:type="dxa"/>
          </w:tcPr>
          <w:p w:rsidR="00E90490" w:rsidRPr="00E90490" w:rsidRDefault="002D06EB" w:rsidP="00597C20">
            <w:pPr>
              <w:tabs>
                <w:tab w:val="right" w:leader="dot" w:pos="6802"/>
                <w:tab w:val="right" w:leader="dot" w:pos="8787"/>
              </w:tabs>
              <w:ind w:firstLine="0"/>
              <w:rPr>
                <w:rtl/>
              </w:rPr>
            </w:pPr>
            <w:r w:rsidRPr="000D49DC">
              <w:rPr>
                <w:rFonts w:ascii="QCF_BSML" w:hAnsi="QCF_BSML" w:cs="QCF_BSML"/>
                <w:noProof w:val="0"/>
                <w:rtl/>
                <w:lang w:eastAsia="en-US"/>
              </w:rPr>
              <w:t>ﭽ</w:t>
            </w:r>
            <w:r>
              <w:rPr>
                <w:rFonts w:ascii="QCF_BSML" w:hAnsi="QCF_BSML" w:cs="QCF_BSML" w:hint="cs"/>
                <w:noProof w:val="0"/>
                <w:rtl/>
                <w:lang w:eastAsia="en-US"/>
              </w:rPr>
              <w:t xml:space="preserve"> </w:t>
            </w:r>
            <w:r w:rsidRPr="000D49DC">
              <w:rPr>
                <w:rFonts w:ascii="QCF_BSML" w:hAnsi="QCF_BSML" w:cs="QCF_BSML"/>
                <w:noProof w:val="0"/>
                <w:rtl/>
                <w:lang w:eastAsia="en-US"/>
              </w:rPr>
              <w:t xml:space="preserve"> </w:t>
            </w:r>
            <w:r w:rsidRPr="000D49DC">
              <w:rPr>
                <w:rFonts w:ascii="QCF_P079" w:hAnsi="QCF_P079" w:cs="QCF_P079"/>
                <w:noProof w:val="0"/>
                <w:rtl/>
                <w:lang w:eastAsia="en-US"/>
              </w:rPr>
              <w:t>ﮣ</w:t>
            </w:r>
            <w:r>
              <w:rPr>
                <w:rFonts w:ascii="QCF_P079" w:hAnsi="QCF_P079" w:cs="QCF_P079" w:hint="cs"/>
                <w:noProof w:val="0"/>
                <w:rtl/>
                <w:lang w:eastAsia="en-US"/>
              </w:rPr>
              <w:t xml:space="preserve"> </w:t>
            </w:r>
            <w:r w:rsidRPr="000D49DC">
              <w:rPr>
                <w:rFonts w:ascii="QCF_P079" w:hAnsi="QCF_P079" w:cs="QCF_P079"/>
                <w:noProof w:val="0"/>
                <w:rtl/>
                <w:lang w:eastAsia="en-US"/>
              </w:rPr>
              <w:t>ﮤ</w:t>
            </w:r>
            <w:r>
              <w:rPr>
                <w:rFonts w:ascii="QCF_P079" w:hAnsi="QCF_P079" w:cs="QCF_P079" w:hint="cs"/>
                <w:noProof w:val="0"/>
                <w:rtl/>
                <w:lang w:eastAsia="en-US"/>
              </w:rPr>
              <w:t xml:space="preserve"> </w:t>
            </w:r>
            <w:r w:rsidRPr="000D49DC">
              <w:rPr>
                <w:rFonts w:ascii="QCF_P079" w:hAnsi="QCF_P079" w:cs="QCF_P079"/>
                <w:noProof w:val="0"/>
                <w:rtl/>
                <w:lang w:eastAsia="en-US"/>
              </w:rPr>
              <w:t>ﮥ</w:t>
            </w:r>
            <w:r>
              <w:rPr>
                <w:rFonts w:ascii="QCF_P079" w:hAnsi="QCF_P079" w:cs="QCF_P079" w:hint="cs"/>
                <w:noProof w:val="0"/>
                <w:rtl/>
                <w:lang w:eastAsia="en-US"/>
              </w:rPr>
              <w:t xml:space="preserve"> </w:t>
            </w:r>
            <w:r w:rsidRPr="000D49DC">
              <w:rPr>
                <w:rFonts w:ascii="QCF_P079" w:hAnsi="QCF_P079" w:cs="QCF_P079"/>
                <w:noProof w:val="0"/>
                <w:rtl/>
                <w:lang w:eastAsia="en-US"/>
              </w:rPr>
              <w:t>ﮦ</w:t>
            </w:r>
            <w:r>
              <w:rPr>
                <w:rFonts w:ascii="QCF_P079" w:hAnsi="QCF_P079" w:cs="QCF_P079" w:hint="cs"/>
                <w:noProof w:val="0"/>
                <w:rtl/>
                <w:lang w:eastAsia="en-US"/>
              </w:rPr>
              <w:t xml:space="preserve"> </w:t>
            </w:r>
            <w:r w:rsidRPr="000D49DC">
              <w:rPr>
                <w:rFonts w:ascii="QCF_P079" w:hAnsi="QCF_P079" w:cs="QCF_P079"/>
                <w:noProof w:val="0"/>
                <w:rtl/>
                <w:lang w:eastAsia="en-US"/>
              </w:rPr>
              <w:t>ﮧ</w:t>
            </w:r>
            <w:r>
              <w:rPr>
                <w:rFonts w:ascii="QCF_P079" w:hAnsi="QCF_P079" w:cs="QCF_P079" w:hint="cs"/>
                <w:noProof w:val="0"/>
                <w:rtl/>
                <w:lang w:eastAsia="en-US"/>
              </w:rPr>
              <w:t xml:space="preserve"> </w:t>
            </w:r>
            <w:r w:rsidRPr="000D49DC">
              <w:rPr>
                <w:rFonts w:ascii="QCF_P079" w:hAnsi="QCF_P079" w:cs="QCF_P079"/>
                <w:noProof w:val="0"/>
                <w:rtl/>
                <w:lang w:eastAsia="en-US"/>
              </w:rPr>
              <w:t>ﮨ</w:t>
            </w:r>
            <w:r>
              <w:rPr>
                <w:rFonts w:ascii="QCF_P079" w:hAnsi="QCF_P079" w:cs="QCF_P079" w:hint="cs"/>
                <w:noProof w:val="0"/>
                <w:rtl/>
                <w:lang w:eastAsia="en-US"/>
              </w:rPr>
              <w:t xml:space="preserve"> </w:t>
            </w:r>
            <w:r w:rsidRPr="000D49DC">
              <w:rPr>
                <w:rFonts w:ascii="QCF_P079" w:hAnsi="QCF_P079" w:cs="QCF_P079"/>
                <w:noProof w:val="0"/>
                <w:rtl/>
                <w:lang w:eastAsia="en-US"/>
              </w:rPr>
              <w:t>ﮩ</w:t>
            </w:r>
            <w:r>
              <w:rPr>
                <w:rFonts w:ascii="QCF_P079" w:hAnsi="QCF_P079" w:cs="QCF_P079" w:hint="cs"/>
                <w:noProof w:val="0"/>
                <w:rtl/>
                <w:lang w:eastAsia="en-US"/>
              </w:rPr>
              <w:t xml:space="preserve"> </w:t>
            </w:r>
            <w:r w:rsidRPr="000D49DC">
              <w:rPr>
                <w:rFonts w:ascii="QCF_P079" w:hAnsi="QCF_P079" w:cs="QCF_P079"/>
                <w:noProof w:val="0"/>
                <w:rtl/>
                <w:lang w:eastAsia="en-US"/>
              </w:rPr>
              <w:t>ﮪ</w:t>
            </w:r>
            <w:r>
              <w:rPr>
                <w:rFonts w:ascii="QCF_P079" w:hAnsi="QCF_P079" w:cs="QCF_P079" w:hint="cs"/>
                <w:noProof w:val="0"/>
                <w:rtl/>
                <w:lang w:eastAsia="en-US"/>
              </w:rPr>
              <w:t xml:space="preserve"> </w:t>
            </w:r>
            <w:r w:rsidRPr="000D49DC">
              <w:rPr>
                <w:rFonts w:ascii="QCF_P079" w:hAnsi="QCF_P079" w:cs="QCF_P079"/>
                <w:noProof w:val="0"/>
                <w:rtl/>
                <w:lang w:eastAsia="en-US"/>
              </w:rPr>
              <w:t>ﮫ</w:t>
            </w:r>
            <w:r w:rsidRPr="000D49DC">
              <w:rPr>
                <w:rFonts w:ascii="QCF_BSML" w:hAnsi="QCF_BSML" w:cs="QCF_BSML"/>
                <w:noProof w:val="0"/>
                <w:color w:val="auto"/>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12</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سورة_النساء_12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D464C4" w:rsidRPr="00E90490" w:rsidTr="00FE332F">
        <w:trPr>
          <w:cantSplit/>
        </w:trPr>
        <w:tc>
          <w:tcPr>
            <w:tcW w:w="6627" w:type="dxa"/>
          </w:tcPr>
          <w:p w:rsidR="00D464C4" w:rsidRPr="00AF14CD" w:rsidRDefault="00D464C4" w:rsidP="00597C20">
            <w:pPr>
              <w:tabs>
                <w:tab w:val="right" w:leader="dot" w:pos="6802"/>
                <w:tab w:val="right" w:leader="dot" w:pos="8787"/>
              </w:tabs>
              <w:ind w:firstLine="0"/>
              <w:rPr>
                <w:rFonts w:ascii="QCF_BSML" w:hAnsi="QCF_BSML" w:cs="QCF_BSML"/>
                <w:noProof w:val="0"/>
                <w:rtl/>
                <w:lang w:eastAsia="en-US"/>
              </w:rPr>
            </w:pPr>
            <w:r w:rsidRPr="00D80F33">
              <w:rPr>
                <w:rFonts w:ascii="QCF_BSML" w:hAnsi="QCF_BSML" w:cs="QCF_BSML"/>
                <w:noProof w:val="0"/>
                <w:rtl/>
                <w:lang w:eastAsia="en-US"/>
              </w:rPr>
              <w:t xml:space="preserve">ﭽ </w:t>
            </w:r>
            <w:r w:rsidRPr="00D80F33">
              <w:rPr>
                <w:rFonts w:ascii="QCF_P080" w:hAnsi="QCF_P080" w:cs="QCF_P080"/>
                <w:noProof w:val="0"/>
                <w:rtl/>
                <w:lang w:eastAsia="en-US"/>
              </w:rPr>
              <w:t>ﯢﯣ</w:t>
            </w:r>
            <w:r w:rsidRPr="00D80F33">
              <w:rPr>
                <w:rFonts w:ascii="QCF_BSML" w:hAnsi="QCF_BSML" w:cs="QCF_BSML"/>
                <w:noProof w:val="0"/>
                <w:rtl/>
                <w:lang w:eastAsia="en-US"/>
              </w:rPr>
              <w:t>ﭼ</w:t>
            </w:r>
          </w:p>
        </w:tc>
        <w:tc>
          <w:tcPr>
            <w:tcW w:w="850" w:type="dxa"/>
            <w:vAlign w:val="center"/>
          </w:tcPr>
          <w:p w:rsidR="00D464C4" w:rsidRPr="00E90490" w:rsidRDefault="00D464C4" w:rsidP="00597C20">
            <w:pPr>
              <w:tabs>
                <w:tab w:val="right" w:leader="dot" w:pos="6802"/>
                <w:tab w:val="right" w:leader="dot" w:pos="8787"/>
              </w:tabs>
              <w:ind w:firstLine="0"/>
              <w:jc w:val="center"/>
              <w:rPr>
                <w:rtl/>
              </w:rPr>
            </w:pPr>
            <w:r>
              <w:rPr>
                <w:rFonts w:hint="cs"/>
                <w:rtl/>
              </w:rPr>
              <w:t>19</w:t>
            </w:r>
          </w:p>
        </w:tc>
        <w:tc>
          <w:tcPr>
            <w:tcW w:w="1560" w:type="dxa"/>
            <w:vAlign w:val="center"/>
          </w:tcPr>
          <w:p w:rsidR="00D464C4" w:rsidRPr="00E90490" w:rsidRDefault="00D464C4" w:rsidP="00597C20">
            <w:pPr>
              <w:tabs>
                <w:tab w:val="right" w:leader="dot" w:pos="6802"/>
                <w:tab w:val="right" w:leader="dot" w:pos="8787"/>
              </w:tabs>
              <w:ind w:firstLine="0"/>
              <w:jc w:val="center"/>
              <w:rPr>
                <w:rtl/>
              </w:rPr>
            </w:pPr>
            <w:r>
              <w:rPr>
                <w:rFonts w:hint="cs"/>
                <w:rtl/>
              </w:rPr>
              <w:t>142</w:t>
            </w:r>
          </w:p>
        </w:tc>
      </w:tr>
      <w:tr w:rsidR="00E90490" w:rsidRPr="00E90490" w:rsidTr="00FE332F">
        <w:trPr>
          <w:cantSplit/>
        </w:trPr>
        <w:tc>
          <w:tcPr>
            <w:tcW w:w="6627" w:type="dxa"/>
          </w:tcPr>
          <w:p w:rsidR="00E90490" w:rsidRPr="00E90490" w:rsidRDefault="00D464C4" w:rsidP="00597C20">
            <w:pPr>
              <w:tabs>
                <w:tab w:val="right" w:leader="dot" w:pos="6802"/>
                <w:tab w:val="right" w:leader="dot" w:pos="8787"/>
              </w:tabs>
              <w:ind w:firstLine="0"/>
              <w:rPr>
                <w:rtl/>
              </w:rPr>
            </w:pPr>
            <w:r w:rsidRPr="00AF14CD">
              <w:rPr>
                <w:rFonts w:ascii="QCF_BSML" w:hAnsi="QCF_BSML" w:cs="QCF_BSML"/>
                <w:noProof w:val="0"/>
                <w:rtl/>
                <w:lang w:eastAsia="en-US"/>
              </w:rPr>
              <w:t>ﭽ</w:t>
            </w:r>
            <w:r w:rsidRPr="00AF14CD">
              <w:rPr>
                <w:rFonts w:ascii="QCF_P082" w:hAnsi="QCF_P082" w:cs="QCF_P082"/>
                <w:noProof w:val="0"/>
                <w:rtl/>
                <w:lang w:eastAsia="en-US"/>
              </w:rPr>
              <w:t>ﭲ</w:t>
            </w:r>
            <w:r>
              <w:rPr>
                <w:rFonts w:ascii="QCF_P082" w:hAnsi="QCF_P082" w:cs="QCF_P082" w:hint="cs"/>
                <w:noProof w:val="0"/>
                <w:rtl/>
                <w:lang w:eastAsia="en-US"/>
              </w:rPr>
              <w:t xml:space="preserve"> </w:t>
            </w:r>
            <w:r w:rsidRPr="00AF14CD">
              <w:rPr>
                <w:rFonts w:ascii="QCF_P082" w:hAnsi="QCF_P082" w:cs="QCF_P082"/>
                <w:noProof w:val="0"/>
                <w:rtl/>
                <w:lang w:eastAsia="en-US"/>
              </w:rPr>
              <w:t>ﭳﭴ</w:t>
            </w:r>
            <w:r>
              <w:rPr>
                <w:rFonts w:ascii="QCF_P082" w:hAnsi="QCF_P082" w:cs="QCF_P082" w:hint="cs"/>
                <w:noProof w:val="0"/>
                <w:rtl/>
                <w:lang w:eastAsia="en-US"/>
              </w:rPr>
              <w:t xml:space="preserve"> </w:t>
            </w:r>
            <w:r w:rsidRPr="00AF14CD">
              <w:rPr>
                <w:rFonts w:ascii="QCF_P082" w:hAnsi="QCF_P082" w:cs="QCF_P082"/>
                <w:noProof w:val="0"/>
                <w:rtl/>
                <w:lang w:eastAsia="en-US"/>
              </w:rPr>
              <w:t>ﭵ</w:t>
            </w:r>
            <w:r>
              <w:rPr>
                <w:rFonts w:ascii="QCF_P082" w:hAnsi="QCF_P082" w:cs="QCF_P082" w:hint="cs"/>
                <w:noProof w:val="0"/>
                <w:rtl/>
                <w:lang w:eastAsia="en-US"/>
              </w:rPr>
              <w:t xml:space="preserve"> </w:t>
            </w:r>
            <w:r w:rsidRPr="00AF14CD">
              <w:rPr>
                <w:rFonts w:ascii="QCF_P082" w:hAnsi="QCF_P082" w:cs="QCF_P082"/>
                <w:noProof w:val="0"/>
                <w:rtl/>
                <w:lang w:eastAsia="en-US"/>
              </w:rPr>
              <w:t>ﭶ</w:t>
            </w:r>
            <w:r>
              <w:rPr>
                <w:rFonts w:ascii="QCF_P082" w:hAnsi="QCF_P082" w:cs="QCF_P082" w:hint="cs"/>
                <w:noProof w:val="0"/>
                <w:rtl/>
                <w:lang w:eastAsia="en-US"/>
              </w:rPr>
              <w:t xml:space="preserve"> </w:t>
            </w:r>
            <w:r w:rsidRPr="00AF14CD">
              <w:rPr>
                <w:rFonts w:ascii="QCF_P082" w:hAnsi="QCF_P082" w:cs="QCF_P082"/>
                <w:noProof w:val="0"/>
                <w:rtl/>
                <w:lang w:eastAsia="en-US"/>
              </w:rPr>
              <w:t>ﭷ</w:t>
            </w:r>
            <w:r>
              <w:rPr>
                <w:rFonts w:ascii="QCF_P082" w:hAnsi="QCF_P082" w:cs="QCF_P082" w:hint="cs"/>
                <w:noProof w:val="0"/>
                <w:rtl/>
                <w:lang w:eastAsia="en-US"/>
              </w:rPr>
              <w:t xml:space="preserve"> </w:t>
            </w:r>
            <w:r w:rsidRPr="00AF14CD">
              <w:rPr>
                <w:rFonts w:ascii="QCF_P082" w:hAnsi="QCF_P082" w:cs="QCF_P082"/>
                <w:noProof w:val="0"/>
                <w:rtl/>
                <w:lang w:eastAsia="en-US"/>
              </w:rPr>
              <w:t>ﭸ</w:t>
            </w:r>
            <w:r>
              <w:rPr>
                <w:rFonts w:ascii="QCF_P082" w:hAnsi="QCF_P082" w:cs="QCF_P082" w:hint="cs"/>
                <w:noProof w:val="0"/>
                <w:rtl/>
                <w:lang w:eastAsia="en-US"/>
              </w:rPr>
              <w:t xml:space="preserve"> </w:t>
            </w:r>
            <w:r w:rsidRPr="00AF14CD">
              <w:rPr>
                <w:rFonts w:ascii="QCF_P082" w:hAnsi="QCF_P082" w:cs="QCF_P082"/>
                <w:noProof w:val="0"/>
                <w:rtl/>
                <w:lang w:eastAsia="en-US"/>
              </w:rPr>
              <w:t>ﭹ</w:t>
            </w:r>
            <w:r>
              <w:rPr>
                <w:rFonts w:ascii="QCF_P082" w:hAnsi="QCF_P082" w:cs="QCF_P082" w:hint="cs"/>
                <w:noProof w:val="0"/>
                <w:rtl/>
                <w:lang w:eastAsia="en-US"/>
              </w:rPr>
              <w:t xml:space="preserve"> </w:t>
            </w:r>
            <w:r w:rsidRPr="00AF14CD">
              <w:rPr>
                <w:rFonts w:ascii="QCF_P082" w:hAnsi="QCF_P082" w:cs="QCF_P082"/>
                <w:noProof w:val="0"/>
                <w:rtl/>
                <w:lang w:eastAsia="en-US"/>
              </w:rPr>
              <w:t>ﭺ</w:t>
            </w:r>
            <w:r>
              <w:rPr>
                <w:rFonts w:ascii="QCF_P082" w:hAnsi="QCF_P082" w:cs="QCF_P082" w:hint="cs"/>
                <w:noProof w:val="0"/>
                <w:rtl/>
                <w:lang w:eastAsia="en-US"/>
              </w:rPr>
              <w:t xml:space="preserve"> </w:t>
            </w:r>
            <w:r w:rsidRPr="00AF14CD">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24</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سورة_النساء_24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D464C4" w:rsidP="00597C20">
            <w:pPr>
              <w:tabs>
                <w:tab w:val="right" w:leader="dot" w:pos="6802"/>
                <w:tab w:val="right" w:leader="dot" w:pos="8787"/>
              </w:tabs>
              <w:ind w:firstLine="0"/>
            </w:pPr>
            <w:r w:rsidRPr="00C77903">
              <w:rPr>
                <w:rFonts w:ascii="QCF_BSML" w:hAnsi="QCF_BSML" w:cs="QCF_BSML"/>
                <w:rtl/>
                <w:lang w:eastAsia="en-US"/>
              </w:rPr>
              <w:t>ﭽ</w:t>
            </w:r>
            <w:r w:rsidRPr="00C77903">
              <w:rPr>
                <w:rFonts w:ascii="QCF_P082" w:hAnsi="QCF_P082" w:cs="QCF_P082"/>
                <w:rtl/>
                <w:lang w:eastAsia="en-US"/>
              </w:rPr>
              <w:t>ﮂ</w:t>
            </w:r>
            <w:r>
              <w:rPr>
                <w:rFonts w:ascii="QCF_P082" w:hAnsi="QCF_P082" w:cs="QCF_P082" w:hint="cs"/>
                <w:rtl/>
                <w:lang w:eastAsia="en-US"/>
              </w:rPr>
              <w:t xml:space="preserve"> </w:t>
            </w:r>
            <w:r w:rsidRPr="00C77903">
              <w:rPr>
                <w:rFonts w:ascii="QCF_P082" w:hAnsi="QCF_P082" w:cs="QCF_P082"/>
                <w:rtl/>
                <w:lang w:eastAsia="en-US"/>
              </w:rPr>
              <w:t>ﮃ</w:t>
            </w:r>
            <w:r>
              <w:rPr>
                <w:rFonts w:ascii="QCF_P082" w:hAnsi="QCF_P082" w:cs="QCF_P082" w:hint="cs"/>
                <w:rtl/>
                <w:lang w:eastAsia="en-US"/>
              </w:rPr>
              <w:t xml:space="preserve"> </w:t>
            </w:r>
            <w:r w:rsidRPr="00C77903">
              <w:rPr>
                <w:rFonts w:ascii="QCF_P082" w:hAnsi="QCF_P082" w:cs="QCF_P082"/>
                <w:rtl/>
                <w:lang w:eastAsia="en-US"/>
              </w:rPr>
              <w:t>ﮄ</w:t>
            </w:r>
            <w:r>
              <w:rPr>
                <w:rFonts w:ascii="QCF_P082" w:hAnsi="QCF_P082" w:cs="QCF_P082" w:hint="cs"/>
                <w:rtl/>
                <w:lang w:eastAsia="en-US"/>
              </w:rPr>
              <w:t xml:space="preserve"> </w:t>
            </w:r>
            <w:r w:rsidRPr="00C77903">
              <w:rPr>
                <w:rFonts w:ascii="QCF_P082" w:hAnsi="QCF_P082" w:cs="QCF_P082"/>
                <w:rtl/>
                <w:lang w:eastAsia="en-US"/>
              </w:rPr>
              <w:t>ﮅ</w:t>
            </w:r>
            <w:r>
              <w:rPr>
                <w:rFonts w:ascii="QCF_P082" w:hAnsi="QCF_P082" w:cs="QCF_P082" w:hint="cs"/>
                <w:rtl/>
                <w:lang w:eastAsia="en-US"/>
              </w:rPr>
              <w:t xml:space="preserve"> </w:t>
            </w:r>
            <w:r w:rsidRPr="00C77903">
              <w:rPr>
                <w:rFonts w:ascii="QCF_P082" w:hAnsi="QCF_P082" w:cs="QCF_P082"/>
                <w:rtl/>
                <w:lang w:eastAsia="en-US"/>
              </w:rPr>
              <w:t>ﮆ</w:t>
            </w:r>
            <w:r>
              <w:rPr>
                <w:rFonts w:ascii="QCF_P082" w:hAnsi="QCF_P082" w:cs="QCF_P082" w:hint="cs"/>
                <w:rtl/>
                <w:lang w:eastAsia="en-US"/>
              </w:rPr>
              <w:t xml:space="preserve"> </w:t>
            </w:r>
            <w:r w:rsidRPr="00C77903">
              <w:rPr>
                <w:rFonts w:ascii="QCF_P082" w:hAnsi="QCF_P082" w:cs="QCF_P082"/>
                <w:rtl/>
                <w:lang w:eastAsia="en-US"/>
              </w:rPr>
              <w:t>ﮇ</w:t>
            </w:r>
            <w:r>
              <w:rPr>
                <w:rFonts w:ascii="QCF_P082" w:hAnsi="QCF_P082" w:cs="QCF_P082" w:hint="cs"/>
                <w:rtl/>
                <w:lang w:eastAsia="en-US"/>
              </w:rPr>
              <w:t xml:space="preserve"> </w:t>
            </w:r>
            <w:r w:rsidRPr="00C77903">
              <w:rPr>
                <w:rFonts w:ascii="QCF_P082" w:hAnsi="QCF_P082" w:cs="QCF_P082"/>
                <w:rtl/>
                <w:lang w:eastAsia="en-US"/>
              </w:rPr>
              <w:t>ﮈ</w:t>
            </w:r>
            <w:r>
              <w:rPr>
                <w:rFonts w:ascii="QCF_P082" w:hAnsi="QCF_P082" w:cs="QCF_P082" w:hint="cs"/>
                <w:rtl/>
                <w:lang w:eastAsia="en-US"/>
              </w:rPr>
              <w:t xml:space="preserve"> </w:t>
            </w:r>
            <w:r w:rsidRPr="00C77903">
              <w:rPr>
                <w:rFonts w:ascii="QCF_P082" w:hAnsi="QCF_P082" w:cs="QCF_P082"/>
                <w:rtl/>
                <w:lang w:eastAsia="en-US"/>
              </w:rPr>
              <w:t>ﮉ</w:t>
            </w:r>
            <w:r>
              <w:rPr>
                <w:rFonts w:ascii="QCF_P082" w:hAnsi="QCF_P082" w:cs="QCF_P082" w:hint="cs"/>
                <w:rtl/>
                <w:lang w:eastAsia="en-US"/>
              </w:rPr>
              <w:t xml:space="preserve"> </w:t>
            </w:r>
            <w:r w:rsidRPr="00C77903">
              <w:rPr>
                <w:rFonts w:ascii="QCF_P082" w:hAnsi="QCF_P082" w:cs="QCF_P082"/>
                <w:rtl/>
                <w:lang w:eastAsia="en-US"/>
              </w:rPr>
              <w:t>ﮊ</w:t>
            </w:r>
            <w:r>
              <w:rPr>
                <w:rFonts w:ascii="QCF_P082" w:hAnsi="QCF_P082" w:cs="QCF_P082" w:hint="cs"/>
                <w:rtl/>
                <w:lang w:eastAsia="en-US"/>
              </w:rPr>
              <w:t xml:space="preserve"> </w:t>
            </w:r>
            <w:r w:rsidRPr="00C77903">
              <w:rPr>
                <w:rFonts w:ascii="QCF_P082" w:hAnsi="QCF_P082" w:cs="QCF_P082"/>
                <w:rtl/>
                <w:lang w:eastAsia="en-US"/>
              </w:rPr>
              <w:t>ﮋ</w:t>
            </w:r>
            <w:r>
              <w:rPr>
                <w:rFonts w:ascii="QCF_P082" w:hAnsi="QCF_P082" w:cs="QCF_P082" w:hint="cs"/>
                <w:rtl/>
                <w:lang w:eastAsia="en-US"/>
              </w:rPr>
              <w:t xml:space="preserve"> </w:t>
            </w:r>
            <w:r w:rsidRPr="00C77903">
              <w:rPr>
                <w:rFonts w:ascii="QCF_P082" w:hAnsi="QCF_P082" w:cs="QCF_P082"/>
                <w:rtl/>
                <w:lang w:eastAsia="en-US"/>
              </w:rPr>
              <w:t>ﮌ</w:t>
            </w:r>
            <w:r>
              <w:rPr>
                <w:rFonts w:ascii="QCF_P082" w:hAnsi="QCF_P082" w:cs="QCF_P082" w:hint="cs"/>
                <w:rtl/>
                <w:lang w:eastAsia="en-US"/>
              </w:rPr>
              <w:t xml:space="preserve"> </w:t>
            </w:r>
            <w:r w:rsidRPr="00C77903">
              <w:rPr>
                <w:rFonts w:ascii="QCF_P082" w:hAnsi="QCF_P082" w:cs="QCF_P082"/>
                <w:rtl/>
                <w:lang w:eastAsia="en-US"/>
              </w:rPr>
              <w:t>ﮍ</w:t>
            </w:r>
            <w:r>
              <w:rPr>
                <w:rFonts w:ascii="QCF_P082" w:hAnsi="QCF_P082" w:cs="QCF_P082" w:hint="cs"/>
                <w:rtl/>
                <w:lang w:eastAsia="en-US"/>
              </w:rPr>
              <w:t xml:space="preserve"> </w:t>
            </w:r>
            <w:r w:rsidRPr="00C77903">
              <w:rPr>
                <w:rFonts w:ascii="QCF_P082" w:hAnsi="QCF_P082" w:cs="QCF_P082"/>
                <w:rtl/>
                <w:lang w:eastAsia="en-US"/>
              </w:rPr>
              <w:t>ﮎ</w:t>
            </w:r>
            <w:r>
              <w:rPr>
                <w:rFonts w:ascii="QCF_P082" w:hAnsi="QCF_P082" w:cs="QCF_P082" w:hint="cs"/>
                <w:rtl/>
                <w:lang w:eastAsia="en-US"/>
              </w:rPr>
              <w:t xml:space="preserve"> </w:t>
            </w:r>
            <w:r w:rsidRPr="00C77903">
              <w:rPr>
                <w:rFonts w:ascii="QCF_P082" w:hAnsi="QCF_P082" w:cs="QCF_P082"/>
                <w:rtl/>
                <w:lang w:eastAsia="en-US"/>
              </w:rPr>
              <w:t>ﮏ</w:t>
            </w:r>
            <w:r>
              <w:rPr>
                <w:rFonts w:ascii="QCF_P082" w:hAnsi="QCF_P082" w:cs="QCF_P082" w:hint="cs"/>
                <w:rtl/>
                <w:lang w:eastAsia="en-US"/>
              </w:rPr>
              <w:t xml:space="preserve">   </w:t>
            </w:r>
            <w:r w:rsidRPr="00C77903">
              <w:rPr>
                <w:rFonts w:ascii="QCF_P082" w:hAnsi="QCF_P082" w:cs="QCF_P082"/>
                <w:rtl/>
                <w:lang w:eastAsia="en-US"/>
              </w:rPr>
              <w:t>ﮐ</w:t>
            </w:r>
            <w:r>
              <w:rPr>
                <w:rFonts w:ascii="QCF_P082" w:hAnsi="QCF_P082" w:cs="QCF_P082" w:hint="cs"/>
                <w:rtl/>
                <w:lang w:eastAsia="en-US"/>
              </w:rPr>
              <w:t xml:space="preserve"> </w:t>
            </w:r>
            <w:r w:rsidRPr="00C77903">
              <w:rPr>
                <w:rFonts w:ascii="QCF_P082" w:hAnsi="QCF_P082" w:cs="QCF_P082"/>
                <w:rtl/>
                <w:lang w:eastAsia="en-US"/>
              </w:rPr>
              <w:t>ﮑ</w:t>
            </w:r>
            <w:r w:rsidRPr="00C77903">
              <w:rPr>
                <w:rFonts w:ascii="QCF_BSML" w:hAnsi="QCF_BSML" w:cs="QCF_BSML"/>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25</w:t>
            </w:r>
          </w:p>
        </w:tc>
        <w:tc>
          <w:tcPr>
            <w:tcW w:w="1560" w:type="dxa"/>
            <w:vAlign w:val="center"/>
          </w:tcPr>
          <w:p w:rsidR="00E90490" w:rsidRPr="00E90490" w:rsidRDefault="00D464C4" w:rsidP="00D464C4">
            <w:pPr>
              <w:tabs>
                <w:tab w:val="right" w:leader="dot" w:pos="6802"/>
                <w:tab w:val="right" w:leader="dot" w:pos="8787"/>
              </w:tabs>
              <w:ind w:firstLine="0"/>
              <w:rPr>
                <w:rtl/>
              </w:rPr>
            </w:pPr>
            <w:r>
              <w:rPr>
                <w:rFonts w:hint="cs"/>
                <w:rtl/>
              </w:rPr>
              <w:t>482</w:t>
            </w:r>
          </w:p>
        </w:tc>
      </w:tr>
      <w:tr w:rsidR="00E90490" w:rsidRPr="00E90490" w:rsidTr="00FE332F">
        <w:trPr>
          <w:cantSplit/>
        </w:trPr>
        <w:tc>
          <w:tcPr>
            <w:tcW w:w="6627" w:type="dxa"/>
          </w:tcPr>
          <w:p w:rsidR="00E90490" w:rsidRPr="00E90490" w:rsidRDefault="00D464C4" w:rsidP="00597C20">
            <w:pPr>
              <w:tabs>
                <w:tab w:val="right" w:leader="dot" w:pos="6802"/>
                <w:tab w:val="right" w:leader="dot" w:pos="8787"/>
              </w:tabs>
              <w:ind w:firstLine="0"/>
            </w:pPr>
            <w:r w:rsidRPr="00FB449C">
              <w:rPr>
                <w:rFonts w:ascii="QCF_BSML" w:hAnsi="QCF_BSML" w:cs="QCF_BSML"/>
                <w:noProof w:val="0"/>
                <w:rtl/>
                <w:lang w:eastAsia="en-US"/>
              </w:rPr>
              <w:t>ﭽ</w:t>
            </w:r>
            <w:r w:rsidRPr="00FB449C">
              <w:rPr>
                <w:rFonts w:ascii="QCF_P083" w:hAnsi="QCF_P083" w:cs="QCF_P083"/>
                <w:noProof w:val="0"/>
                <w:rtl/>
                <w:lang w:eastAsia="en-US"/>
              </w:rPr>
              <w:t>ﭟ</w:t>
            </w:r>
            <w:r>
              <w:rPr>
                <w:rFonts w:ascii="QCF_P083" w:hAnsi="QCF_P083" w:cs="QCF_P083" w:hint="cs"/>
                <w:noProof w:val="0"/>
                <w:rtl/>
                <w:lang w:eastAsia="en-US"/>
              </w:rPr>
              <w:t xml:space="preserve"> </w:t>
            </w:r>
            <w:r w:rsidRPr="00FB449C">
              <w:rPr>
                <w:rFonts w:ascii="QCF_P083" w:hAnsi="QCF_P083" w:cs="QCF_P083"/>
                <w:noProof w:val="0"/>
                <w:rtl/>
                <w:lang w:eastAsia="en-US"/>
              </w:rPr>
              <w:t>ﭠ</w:t>
            </w:r>
            <w:r>
              <w:rPr>
                <w:rFonts w:ascii="QCF_P083" w:hAnsi="QCF_P083" w:cs="QCF_P083" w:hint="cs"/>
                <w:noProof w:val="0"/>
                <w:rtl/>
                <w:lang w:eastAsia="en-US"/>
              </w:rPr>
              <w:t xml:space="preserve"> </w:t>
            </w:r>
            <w:r w:rsidRPr="00FB449C">
              <w:rPr>
                <w:rFonts w:ascii="QCF_P083" w:hAnsi="QCF_P083" w:cs="QCF_P083"/>
                <w:noProof w:val="0"/>
                <w:rtl/>
                <w:lang w:eastAsia="en-US"/>
              </w:rPr>
              <w:t>ﭡ</w:t>
            </w:r>
            <w:r>
              <w:rPr>
                <w:rFonts w:ascii="QCF_P083" w:hAnsi="QCF_P083" w:cs="QCF_P083" w:hint="cs"/>
                <w:noProof w:val="0"/>
                <w:rtl/>
                <w:lang w:eastAsia="en-US"/>
              </w:rPr>
              <w:t xml:space="preserve"> </w:t>
            </w:r>
            <w:r w:rsidRPr="00FB449C">
              <w:rPr>
                <w:rFonts w:ascii="QCF_P083" w:hAnsi="QCF_P083" w:cs="QCF_P083"/>
                <w:noProof w:val="0"/>
                <w:rtl/>
                <w:lang w:eastAsia="en-US"/>
              </w:rPr>
              <w:t>ﭢ</w:t>
            </w:r>
            <w:r>
              <w:rPr>
                <w:rFonts w:ascii="QCF_P083" w:hAnsi="QCF_P083" w:cs="QCF_P083" w:hint="cs"/>
                <w:noProof w:val="0"/>
                <w:rtl/>
                <w:lang w:eastAsia="en-US"/>
              </w:rPr>
              <w:t xml:space="preserve"> </w:t>
            </w:r>
            <w:r w:rsidRPr="00FB449C">
              <w:rPr>
                <w:rFonts w:ascii="QCF_P083" w:hAnsi="QCF_P083" w:cs="QCF_P083"/>
                <w:noProof w:val="0"/>
                <w:rtl/>
                <w:lang w:eastAsia="en-US"/>
              </w:rPr>
              <w:t>ﭣ</w:t>
            </w:r>
            <w:r w:rsidRPr="00FB449C">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28</w:t>
            </w:r>
          </w:p>
        </w:tc>
        <w:tc>
          <w:tcPr>
            <w:tcW w:w="1560" w:type="dxa"/>
            <w:vAlign w:val="center"/>
          </w:tcPr>
          <w:p w:rsidR="00E90490" w:rsidRPr="00E90490" w:rsidRDefault="00AB0B9E" w:rsidP="00D464C4">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سورة_النساء_28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00D464C4">
              <w:rPr>
                <w:rFonts w:hint="cs"/>
                <w:rtl/>
              </w:rPr>
              <w:t>500</w:t>
            </w:r>
          </w:p>
        </w:tc>
      </w:tr>
      <w:tr w:rsidR="00E90490" w:rsidRPr="00E90490" w:rsidTr="00FE332F">
        <w:trPr>
          <w:cantSplit/>
        </w:trPr>
        <w:tc>
          <w:tcPr>
            <w:tcW w:w="6627" w:type="dxa"/>
          </w:tcPr>
          <w:p w:rsidR="00E90490" w:rsidRPr="00E90490" w:rsidRDefault="00D464C4" w:rsidP="00597C20">
            <w:pPr>
              <w:tabs>
                <w:tab w:val="right" w:leader="dot" w:pos="6802"/>
                <w:tab w:val="right" w:leader="dot" w:pos="8787"/>
              </w:tabs>
              <w:ind w:firstLine="0"/>
              <w:rPr>
                <w:rtl/>
              </w:rPr>
            </w:pPr>
            <w:r w:rsidRPr="00AF62A6">
              <w:rPr>
                <w:rFonts w:ascii="QCF_BSML" w:hAnsi="QCF_BSML" w:cs="QCF_BSML"/>
                <w:noProof w:val="0"/>
                <w:rtl/>
                <w:lang w:eastAsia="en-US"/>
              </w:rPr>
              <w:t>ﭽ</w:t>
            </w:r>
            <w:r w:rsidRPr="00AF62A6">
              <w:rPr>
                <w:rFonts w:ascii="QCF_P083" w:hAnsi="QCF_P083" w:cs="QCF_P083"/>
                <w:noProof w:val="0"/>
                <w:rtl/>
                <w:lang w:eastAsia="en-US"/>
              </w:rPr>
              <w:t>ﭩ</w:t>
            </w:r>
            <w:r>
              <w:rPr>
                <w:rFonts w:ascii="QCF_P083" w:hAnsi="QCF_P083" w:cs="QCF_P083" w:hint="cs"/>
                <w:noProof w:val="0"/>
                <w:rtl/>
                <w:lang w:eastAsia="en-US"/>
              </w:rPr>
              <w:t xml:space="preserve"> </w:t>
            </w:r>
            <w:r w:rsidRPr="00AF62A6">
              <w:rPr>
                <w:rFonts w:ascii="QCF_P083" w:hAnsi="QCF_P083" w:cs="QCF_P083"/>
                <w:noProof w:val="0"/>
                <w:rtl/>
                <w:lang w:eastAsia="en-US"/>
              </w:rPr>
              <w:t>ﭪ</w:t>
            </w:r>
            <w:r>
              <w:rPr>
                <w:rFonts w:ascii="QCF_P083" w:hAnsi="QCF_P083" w:cs="QCF_P083" w:hint="cs"/>
                <w:noProof w:val="0"/>
                <w:rtl/>
                <w:lang w:eastAsia="en-US"/>
              </w:rPr>
              <w:t xml:space="preserve"> </w:t>
            </w:r>
            <w:r w:rsidRPr="00AF62A6">
              <w:rPr>
                <w:rFonts w:ascii="QCF_P083" w:hAnsi="QCF_P083" w:cs="QCF_P083"/>
                <w:noProof w:val="0"/>
                <w:rtl/>
                <w:lang w:eastAsia="en-US"/>
              </w:rPr>
              <w:t>ﭫ</w:t>
            </w:r>
            <w:r>
              <w:rPr>
                <w:rFonts w:ascii="QCF_P083" w:hAnsi="QCF_P083" w:cs="QCF_P083" w:hint="cs"/>
                <w:noProof w:val="0"/>
                <w:rtl/>
                <w:lang w:eastAsia="en-US"/>
              </w:rPr>
              <w:t xml:space="preserve"> </w:t>
            </w:r>
            <w:r w:rsidRPr="00AF62A6">
              <w:rPr>
                <w:rFonts w:ascii="QCF_P083" w:hAnsi="QCF_P083" w:cs="QCF_P083"/>
                <w:noProof w:val="0"/>
                <w:rtl/>
                <w:lang w:eastAsia="en-US"/>
              </w:rPr>
              <w:t>ﭬ</w:t>
            </w:r>
            <w:r>
              <w:rPr>
                <w:rFonts w:ascii="QCF_P083" w:hAnsi="QCF_P083" w:cs="QCF_P083" w:hint="cs"/>
                <w:noProof w:val="0"/>
                <w:rtl/>
                <w:lang w:eastAsia="en-US"/>
              </w:rPr>
              <w:t xml:space="preserve"> </w:t>
            </w:r>
            <w:r w:rsidRPr="00AF62A6">
              <w:rPr>
                <w:rFonts w:ascii="QCF_P083" w:hAnsi="QCF_P083" w:cs="QCF_P083"/>
                <w:noProof w:val="0"/>
                <w:rtl/>
                <w:lang w:eastAsia="en-US"/>
              </w:rPr>
              <w:t>ﭭ</w:t>
            </w:r>
            <w:r>
              <w:rPr>
                <w:rFonts w:ascii="QCF_P083" w:hAnsi="QCF_P083" w:cs="QCF_P083" w:hint="cs"/>
                <w:noProof w:val="0"/>
                <w:rtl/>
                <w:lang w:eastAsia="en-US"/>
              </w:rPr>
              <w:t xml:space="preserve"> </w:t>
            </w:r>
            <w:r w:rsidRPr="00AF62A6">
              <w:rPr>
                <w:rFonts w:ascii="QCF_P083" w:hAnsi="QCF_P083" w:cs="QCF_P083"/>
                <w:noProof w:val="0"/>
                <w:rtl/>
                <w:lang w:eastAsia="en-US"/>
              </w:rPr>
              <w:t>ﭮ</w:t>
            </w:r>
            <w:r>
              <w:rPr>
                <w:rFonts w:ascii="QCF_P083" w:hAnsi="QCF_P083" w:cs="QCF_P083" w:hint="cs"/>
                <w:noProof w:val="0"/>
                <w:rtl/>
                <w:lang w:eastAsia="en-US"/>
              </w:rPr>
              <w:t xml:space="preserve"> </w:t>
            </w:r>
            <w:r w:rsidRPr="00AF62A6">
              <w:rPr>
                <w:rFonts w:ascii="QCF_P083" w:hAnsi="QCF_P083" w:cs="QCF_P083"/>
                <w:noProof w:val="0"/>
                <w:rtl/>
                <w:lang w:eastAsia="en-US"/>
              </w:rPr>
              <w:t>ﭯ</w:t>
            </w:r>
            <w:r>
              <w:rPr>
                <w:rFonts w:ascii="QCF_P083" w:hAnsi="QCF_P083" w:cs="QCF_P083" w:hint="cs"/>
                <w:noProof w:val="0"/>
                <w:rtl/>
                <w:lang w:eastAsia="en-US"/>
              </w:rPr>
              <w:t xml:space="preserve"> </w:t>
            </w:r>
            <w:r w:rsidRPr="00AF62A6">
              <w:rPr>
                <w:rFonts w:ascii="QCF_P083" w:hAnsi="QCF_P083" w:cs="QCF_P083"/>
                <w:noProof w:val="0"/>
                <w:rtl/>
                <w:lang w:eastAsia="en-US"/>
              </w:rPr>
              <w:t>ﭰ</w:t>
            </w:r>
            <w:r>
              <w:rPr>
                <w:rFonts w:ascii="QCF_P083" w:hAnsi="QCF_P083" w:cs="QCF_P083" w:hint="cs"/>
                <w:noProof w:val="0"/>
                <w:rtl/>
                <w:lang w:eastAsia="en-US"/>
              </w:rPr>
              <w:t xml:space="preserve"> </w:t>
            </w:r>
            <w:r w:rsidRPr="00AF62A6">
              <w:rPr>
                <w:rFonts w:ascii="QCF_P083" w:hAnsi="QCF_P083" w:cs="QCF_P083"/>
                <w:noProof w:val="0"/>
                <w:rtl/>
                <w:lang w:eastAsia="en-US"/>
              </w:rPr>
              <w:t>ﭱ</w:t>
            </w:r>
            <w:r>
              <w:rPr>
                <w:rFonts w:ascii="QCF_P083" w:hAnsi="QCF_P083" w:cs="QCF_P083" w:hint="cs"/>
                <w:noProof w:val="0"/>
                <w:rtl/>
                <w:lang w:eastAsia="en-US"/>
              </w:rPr>
              <w:t xml:space="preserve"> </w:t>
            </w:r>
            <w:r w:rsidRPr="00AF62A6">
              <w:rPr>
                <w:rFonts w:ascii="QCF_P083" w:hAnsi="QCF_P083" w:cs="QCF_P083"/>
                <w:noProof w:val="0"/>
                <w:rtl/>
                <w:lang w:eastAsia="en-US"/>
              </w:rPr>
              <w:t>ﭲ</w:t>
            </w:r>
            <w:r>
              <w:rPr>
                <w:rFonts w:ascii="QCF_P083" w:hAnsi="QCF_P083" w:cs="QCF_P083" w:hint="cs"/>
                <w:noProof w:val="0"/>
                <w:rtl/>
                <w:lang w:eastAsia="en-US"/>
              </w:rPr>
              <w:t xml:space="preserve"> </w:t>
            </w:r>
            <w:r w:rsidRPr="00AF62A6">
              <w:rPr>
                <w:rFonts w:ascii="QCF_P083" w:hAnsi="QCF_P083" w:cs="QCF_P083"/>
                <w:noProof w:val="0"/>
                <w:rtl/>
                <w:lang w:eastAsia="en-US"/>
              </w:rPr>
              <w:t>ﭳ</w:t>
            </w:r>
            <w:r>
              <w:rPr>
                <w:rFonts w:ascii="QCF_P083" w:hAnsi="QCF_P083" w:cs="QCF_P083" w:hint="cs"/>
                <w:noProof w:val="0"/>
                <w:rtl/>
                <w:lang w:eastAsia="en-US"/>
              </w:rPr>
              <w:t xml:space="preserve"> </w:t>
            </w:r>
            <w:r w:rsidRPr="00AF62A6">
              <w:rPr>
                <w:rFonts w:ascii="QCF_P083" w:hAnsi="QCF_P083" w:cs="QCF_P083"/>
                <w:noProof w:val="0"/>
                <w:rtl/>
                <w:lang w:eastAsia="en-US"/>
              </w:rPr>
              <w:t>ﭴ</w:t>
            </w:r>
            <w:r>
              <w:rPr>
                <w:rFonts w:ascii="QCF_P083" w:hAnsi="QCF_P083" w:cs="QCF_P083" w:hint="cs"/>
                <w:noProof w:val="0"/>
                <w:rtl/>
                <w:lang w:eastAsia="en-US"/>
              </w:rPr>
              <w:t xml:space="preserve"> </w:t>
            </w:r>
            <w:r w:rsidRPr="00AF62A6">
              <w:rPr>
                <w:rFonts w:ascii="QCF_P083" w:hAnsi="QCF_P083" w:cs="QCF_P083"/>
                <w:noProof w:val="0"/>
                <w:rtl/>
                <w:lang w:eastAsia="en-US"/>
              </w:rPr>
              <w:t>ﭵ</w:t>
            </w:r>
            <w:r>
              <w:rPr>
                <w:rFonts w:ascii="QCF_P083" w:hAnsi="QCF_P083" w:cs="QCF_P083" w:hint="cs"/>
                <w:noProof w:val="0"/>
                <w:rtl/>
                <w:lang w:eastAsia="en-US"/>
              </w:rPr>
              <w:t xml:space="preserve"> </w:t>
            </w:r>
            <w:r w:rsidRPr="00AF62A6">
              <w:rPr>
                <w:rFonts w:ascii="QCF_P083" w:hAnsi="QCF_P083" w:cs="QCF_P083"/>
                <w:noProof w:val="0"/>
                <w:rtl/>
                <w:lang w:eastAsia="en-US"/>
              </w:rPr>
              <w:t>ﭶ</w:t>
            </w:r>
            <w:r>
              <w:rPr>
                <w:rFonts w:ascii="QCF_P083" w:hAnsi="QCF_P083" w:cs="QCF_P083" w:hint="cs"/>
                <w:noProof w:val="0"/>
                <w:rtl/>
                <w:lang w:eastAsia="en-US"/>
              </w:rPr>
              <w:t xml:space="preserve"> </w:t>
            </w:r>
            <w:r w:rsidRPr="00AF62A6">
              <w:rPr>
                <w:rFonts w:ascii="QCF_P083" w:hAnsi="QCF_P083" w:cs="QCF_P083"/>
                <w:noProof w:val="0"/>
                <w:rtl/>
                <w:lang w:eastAsia="en-US"/>
              </w:rPr>
              <w:t>ﭷ</w:t>
            </w:r>
            <w:r w:rsidRPr="00AF62A6">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29</w:t>
            </w:r>
          </w:p>
        </w:tc>
        <w:tc>
          <w:tcPr>
            <w:tcW w:w="1560" w:type="dxa"/>
            <w:vAlign w:val="center"/>
          </w:tcPr>
          <w:p w:rsidR="00E90490" w:rsidRPr="00E90490" w:rsidRDefault="00AB0B9E" w:rsidP="00CE6B25">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سورة_النساء_29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Pr="00E90490">
              <w:rPr>
                <w:rtl/>
              </w:rPr>
              <w:fldChar w:fldCharType="begin"/>
            </w:r>
            <w:r w:rsidR="00E90490" w:rsidRPr="00E90490">
              <w:rPr>
                <w:rFonts w:hint="cs"/>
              </w:rPr>
              <w:instrText>PAGEREF</w:instrText>
            </w:r>
            <w:r w:rsidR="00E90490" w:rsidRPr="00E90490">
              <w:rPr>
                <w:rFonts w:hint="cs"/>
                <w:rtl/>
              </w:rPr>
              <w:instrText xml:space="preserve"> سورة_النساء_29_2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r w:rsidR="00CE6B25">
              <w:rPr>
                <w:rFonts w:hint="cs"/>
                <w:rtl/>
              </w:rPr>
              <w:t>-319</w:t>
            </w:r>
            <w:r w:rsidR="00E90490" w:rsidRPr="00E90490">
              <w:rPr>
                <w:rFonts w:hint="cs"/>
                <w:rtl/>
              </w:rPr>
              <w:t xml:space="preserve">، </w:t>
            </w:r>
            <w:r w:rsidRPr="00E90490">
              <w:rPr>
                <w:rtl/>
              </w:rPr>
              <w:fldChar w:fldCharType="begin"/>
            </w:r>
            <w:r w:rsidR="00E90490" w:rsidRPr="00E90490">
              <w:rPr>
                <w:rFonts w:hint="cs"/>
              </w:rPr>
              <w:instrText>PAGEREF</w:instrText>
            </w:r>
            <w:r w:rsidR="00E90490" w:rsidRPr="00E90490">
              <w:rPr>
                <w:rFonts w:hint="cs"/>
                <w:rtl/>
              </w:rPr>
              <w:instrText xml:space="preserve"> سورة_النساء_29_3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00CE6B25">
              <w:rPr>
                <w:rFonts w:hint="cs"/>
                <w:rtl/>
              </w:rPr>
              <w:t>464</w:t>
            </w:r>
            <w:r w:rsidR="00E90490" w:rsidRPr="00E90490">
              <w:rPr>
                <w:rFonts w:hint="cs"/>
                <w:rtl/>
              </w:rPr>
              <w:t>(ح)</w:t>
            </w:r>
          </w:p>
        </w:tc>
      </w:tr>
      <w:tr w:rsidR="00E90490" w:rsidRPr="00E90490" w:rsidTr="00FE332F">
        <w:trPr>
          <w:cantSplit/>
        </w:trPr>
        <w:tc>
          <w:tcPr>
            <w:tcW w:w="6627" w:type="dxa"/>
          </w:tcPr>
          <w:p w:rsidR="00E90490" w:rsidRPr="00E90490" w:rsidRDefault="00CE6B25" w:rsidP="00597C20">
            <w:pPr>
              <w:tabs>
                <w:tab w:val="right" w:leader="dot" w:pos="6802"/>
                <w:tab w:val="right" w:leader="dot" w:pos="8787"/>
              </w:tabs>
              <w:ind w:firstLine="0"/>
            </w:pPr>
            <w:r w:rsidRPr="00C470A7">
              <w:rPr>
                <w:rFonts w:ascii="QCF_BSML" w:hAnsi="QCF_BSML" w:cs="QCF_BSML"/>
                <w:rtl/>
                <w:lang w:eastAsia="en-US"/>
              </w:rPr>
              <w:t>ﭽ</w:t>
            </w:r>
            <w:r w:rsidRPr="00C470A7">
              <w:rPr>
                <w:rFonts w:ascii="QCF_P085" w:hAnsi="QCF_P085" w:cs="QCF_P085"/>
                <w:rtl/>
                <w:lang w:eastAsia="en-US"/>
              </w:rPr>
              <w:t>ﯘ</w:t>
            </w:r>
            <w:r>
              <w:rPr>
                <w:rFonts w:ascii="QCF_P085" w:hAnsi="QCF_P085" w:cs="QCF_P085" w:hint="cs"/>
                <w:rtl/>
                <w:lang w:eastAsia="en-US"/>
              </w:rPr>
              <w:t xml:space="preserve"> </w:t>
            </w:r>
            <w:r w:rsidRPr="00C470A7">
              <w:rPr>
                <w:rFonts w:ascii="QCF_P085" w:hAnsi="QCF_P085" w:cs="QCF_P085"/>
                <w:rtl/>
                <w:lang w:eastAsia="en-US"/>
              </w:rPr>
              <w:t>ﯙ</w:t>
            </w:r>
            <w:r>
              <w:rPr>
                <w:rFonts w:ascii="QCF_P085" w:hAnsi="QCF_P085" w:cs="QCF_P085" w:hint="cs"/>
                <w:rtl/>
                <w:lang w:eastAsia="en-US"/>
              </w:rPr>
              <w:t xml:space="preserve"> </w:t>
            </w:r>
            <w:r w:rsidRPr="00C470A7">
              <w:rPr>
                <w:rFonts w:ascii="QCF_P085" w:hAnsi="QCF_P085" w:cs="QCF_P085"/>
                <w:rtl/>
                <w:lang w:eastAsia="en-US"/>
              </w:rPr>
              <w:t>ﯚ</w:t>
            </w:r>
            <w:r>
              <w:rPr>
                <w:rFonts w:ascii="QCF_P085" w:hAnsi="QCF_P085" w:cs="QCF_P085" w:hint="cs"/>
                <w:rtl/>
                <w:lang w:eastAsia="en-US"/>
              </w:rPr>
              <w:t xml:space="preserve"> </w:t>
            </w:r>
            <w:r w:rsidRPr="00C470A7">
              <w:rPr>
                <w:rFonts w:ascii="QCF_P085" w:hAnsi="QCF_P085" w:cs="QCF_P085"/>
                <w:rtl/>
                <w:lang w:eastAsia="en-US"/>
              </w:rPr>
              <w:t>ﯛ</w:t>
            </w:r>
            <w:r>
              <w:rPr>
                <w:rFonts w:ascii="QCF_P085" w:hAnsi="QCF_P085" w:cs="QCF_P085" w:hint="cs"/>
                <w:rtl/>
                <w:lang w:eastAsia="en-US"/>
              </w:rPr>
              <w:t xml:space="preserve"> </w:t>
            </w:r>
            <w:r w:rsidRPr="00C470A7">
              <w:rPr>
                <w:rFonts w:ascii="QCF_P085" w:hAnsi="QCF_P085" w:cs="QCF_P085"/>
                <w:rtl/>
                <w:lang w:eastAsia="en-US"/>
              </w:rPr>
              <w:t>ﯜ</w:t>
            </w:r>
            <w:r>
              <w:rPr>
                <w:rFonts w:ascii="QCF_P085" w:hAnsi="QCF_P085" w:cs="QCF_P085" w:hint="cs"/>
                <w:rtl/>
                <w:lang w:eastAsia="en-US"/>
              </w:rPr>
              <w:t xml:space="preserve"> </w:t>
            </w:r>
            <w:r w:rsidRPr="00C470A7">
              <w:rPr>
                <w:rFonts w:ascii="QCF_P085" w:hAnsi="QCF_P085" w:cs="QCF_P085"/>
                <w:rtl/>
                <w:lang w:eastAsia="en-US"/>
              </w:rPr>
              <w:t>ﯝ</w:t>
            </w:r>
            <w:r>
              <w:rPr>
                <w:rFonts w:ascii="QCF_P085" w:hAnsi="QCF_P085" w:cs="QCF_P085" w:hint="cs"/>
                <w:rtl/>
                <w:lang w:eastAsia="en-US"/>
              </w:rPr>
              <w:t xml:space="preserve"> </w:t>
            </w:r>
            <w:r w:rsidRPr="00C470A7">
              <w:rPr>
                <w:rFonts w:ascii="QCF_P085" w:hAnsi="QCF_P085" w:cs="QCF_P085"/>
                <w:rtl/>
                <w:lang w:eastAsia="en-US"/>
              </w:rPr>
              <w:t>ﯞ</w:t>
            </w:r>
            <w:r>
              <w:rPr>
                <w:rFonts w:ascii="QCF_P085" w:hAnsi="QCF_P085" w:cs="QCF_P085" w:hint="cs"/>
                <w:rtl/>
                <w:lang w:eastAsia="en-US"/>
              </w:rPr>
              <w:t xml:space="preserve"> </w:t>
            </w:r>
            <w:r w:rsidRPr="00C470A7">
              <w:rPr>
                <w:rFonts w:ascii="QCF_P085" w:hAnsi="QCF_P085" w:cs="QCF_P085"/>
                <w:rtl/>
                <w:lang w:eastAsia="en-US"/>
              </w:rPr>
              <w:t>ﯟ</w:t>
            </w:r>
            <w:r>
              <w:rPr>
                <w:rFonts w:ascii="QCF_P085" w:hAnsi="QCF_P085" w:cs="QCF_P085" w:hint="cs"/>
                <w:rtl/>
                <w:lang w:eastAsia="en-US"/>
              </w:rPr>
              <w:t xml:space="preserve"> </w:t>
            </w:r>
            <w:r w:rsidRPr="00C470A7">
              <w:rPr>
                <w:rFonts w:ascii="QCF_P085" w:hAnsi="QCF_P085" w:cs="QCF_P085"/>
                <w:rtl/>
                <w:lang w:eastAsia="en-US"/>
              </w:rPr>
              <w:t>ﯠ</w:t>
            </w:r>
            <w:r>
              <w:rPr>
                <w:rFonts w:ascii="QCF_P085" w:hAnsi="QCF_P085" w:cs="QCF_P085" w:hint="cs"/>
                <w:rtl/>
                <w:lang w:eastAsia="en-US"/>
              </w:rPr>
              <w:t xml:space="preserve"> </w:t>
            </w:r>
            <w:r w:rsidRPr="00C470A7">
              <w:rPr>
                <w:rFonts w:ascii="QCF_P085" w:hAnsi="QCF_P085" w:cs="QCF_P085"/>
                <w:rtl/>
                <w:lang w:eastAsia="en-US"/>
              </w:rPr>
              <w:t>ﯡ</w:t>
            </w:r>
            <w:r>
              <w:rPr>
                <w:rFonts w:ascii="QCF_P085" w:hAnsi="QCF_P085" w:cs="QCF_P085" w:hint="cs"/>
                <w:rtl/>
                <w:lang w:eastAsia="en-US"/>
              </w:rPr>
              <w:t xml:space="preserve"> </w:t>
            </w:r>
            <w:r w:rsidRPr="00C470A7">
              <w:rPr>
                <w:rFonts w:ascii="QCF_P085" w:hAnsi="QCF_P085" w:cs="QCF_P085"/>
                <w:rtl/>
                <w:lang w:eastAsia="en-US"/>
              </w:rPr>
              <w:t>ﯢ</w:t>
            </w:r>
            <w:r>
              <w:rPr>
                <w:rFonts w:ascii="QCF_P085" w:hAnsi="QCF_P085" w:cs="QCF_P085" w:hint="cs"/>
                <w:rtl/>
                <w:lang w:eastAsia="en-US"/>
              </w:rPr>
              <w:t xml:space="preserve"> </w:t>
            </w:r>
            <w:r w:rsidRPr="00C470A7">
              <w:rPr>
                <w:rFonts w:ascii="QCF_P085" w:hAnsi="QCF_P085" w:cs="QCF_P085"/>
                <w:rtl/>
                <w:lang w:eastAsia="en-US"/>
              </w:rPr>
              <w:t>ﯣ</w:t>
            </w:r>
            <w:r>
              <w:rPr>
                <w:rFonts w:ascii="QCF_P085" w:hAnsi="QCF_P085" w:cs="QCF_P085" w:hint="cs"/>
                <w:rtl/>
                <w:lang w:eastAsia="en-US"/>
              </w:rPr>
              <w:t xml:space="preserve"> </w:t>
            </w:r>
            <w:r w:rsidRPr="00C470A7">
              <w:rPr>
                <w:rFonts w:ascii="QCF_P085" w:hAnsi="QCF_P085" w:cs="QCF_P085"/>
                <w:rtl/>
                <w:lang w:eastAsia="en-US"/>
              </w:rPr>
              <w:t>ﯤ</w:t>
            </w:r>
            <w:r>
              <w:rPr>
                <w:rFonts w:ascii="QCF_P085" w:hAnsi="QCF_P085" w:cs="QCF_P085" w:hint="cs"/>
                <w:rtl/>
                <w:lang w:eastAsia="en-US"/>
              </w:rPr>
              <w:t xml:space="preserve"> </w:t>
            </w:r>
            <w:r w:rsidRPr="00C470A7">
              <w:rPr>
                <w:rFonts w:ascii="QCF_P085" w:hAnsi="QCF_P085" w:cs="QCF_P085"/>
                <w:rtl/>
                <w:lang w:eastAsia="en-US"/>
              </w:rPr>
              <w:t>ﯥ</w:t>
            </w:r>
            <w:r>
              <w:rPr>
                <w:rFonts w:ascii="QCF_P085" w:hAnsi="QCF_P085" w:cs="QCF_P085" w:hint="cs"/>
                <w:rtl/>
                <w:lang w:eastAsia="en-US"/>
              </w:rPr>
              <w:t xml:space="preserve"> </w:t>
            </w:r>
            <w:r w:rsidRPr="00C470A7">
              <w:rPr>
                <w:rFonts w:ascii="QCF_P085" w:hAnsi="QCF_P085" w:cs="QCF_P085"/>
                <w:rtl/>
                <w:lang w:eastAsia="en-US"/>
              </w:rPr>
              <w:t>ﯦ</w:t>
            </w:r>
            <w:r>
              <w:rPr>
                <w:rFonts w:ascii="QCF_P085" w:hAnsi="QCF_P085" w:cs="QCF_P085" w:hint="cs"/>
                <w:rtl/>
                <w:lang w:eastAsia="en-US"/>
              </w:rPr>
              <w:t xml:space="preserve"> </w:t>
            </w:r>
            <w:r w:rsidRPr="00C470A7">
              <w:rPr>
                <w:rFonts w:ascii="QCF_P085" w:hAnsi="QCF_P085" w:cs="QCF_P085"/>
                <w:rtl/>
                <w:lang w:eastAsia="en-US"/>
              </w:rPr>
              <w:t>ﯧ</w:t>
            </w:r>
            <w:r>
              <w:rPr>
                <w:rFonts w:ascii="QCF_P085" w:hAnsi="QCF_P085" w:cs="QCF_P085" w:hint="cs"/>
                <w:rtl/>
                <w:lang w:eastAsia="en-US"/>
              </w:rPr>
              <w:t xml:space="preserve"> </w:t>
            </w:r>
            <w:r w:rsidRPr="00C470A7">
              <w:rPr>
                <w:rFonts w:ascii="QCF_P085" w:hAnsi="QCF_P085" w:cs="QCF_P085"/>
                <w:rtl/>
                <w:lang w:eastAsia="en-US"/>
              </w:rPr>
              <w:t>ﯨ</w:t>
            </w:r>
            <w:r>
              <w:rPr>
                <w:rFonts w:ascii="QCF_P085" w:hAnsi="QCF_P085" w:cs="QCF_P085" w:hint="cs"/>
                <w:rtl/>
                <w:lang w:eastAsia="en-US"/>
              </w:rPr>
              <w:t xml:space="preserve"> </w:t>
            </w:r>
            <w:r w:rsidRPr="00C470A7">
              <w:rPr>
                <w:rFonts w:ascii="QCF_P085" w:hAnsi="QCF_P085" w:cs="QCF_P085"/>
                <w:rtl/>
                <w:lang w:eastAsia="en-US"/>
              </w:rPr>
              <w:t>ﯩ</w:t>
            </w:r>
            <w:r>
              <w:rPr>
                <w:rFonts w:ascii="QCF_P085" w:hAnsi="QCF_P085" w:cs="QCF_P085" w:hint="cs"/>
                <w:rtl/>
                <w:lang w:eastAsia="en-US"/>
              </w:rPr>
              <w:t xml:space="preserve"> </w:t>
            </w:r>
            <w:r w:rsidRPr="00C470A7">
              <w:rPr>
                <w:rFonts w:ascii="QCF_P085" w:hAnsi="QCF_P085" w:cs="QCF_P085"/>
                <w:rtl/>
                <w:lang w:eastAsia="en-US"/>
              </w:rPr>
              <w:t>ﯪ</w:t>
            </w:r>
            <w:r>
              <w:rPr>
                <w:rFonts w:ascii="QCF_P085" w:hAnsi="QCF_P085" w:cs="QCF_P085" w:hint="cs"/>
                <w:rtl/>
                <w:lang w:eastAsia="en-US"/>
              </w:rPr>
              <w:t xml:space="preserve"> </w:t>
            </w:r>
            <w:r w:rsidRPr="00C470A7">
              <w:rPr>
                <w:rFonts w:ascii="QCF_P085" w:hAnsi="QCF_P085" w:cs="QCF_P085"/>
                <w:rtl/>
                <w:lang w:eastAsia="en-US"/>
              </w:rPr>
              <w:t>ﯫ</w:t>
            </w:r>
            <w:r>
              <w:rPr>
                <w:rFonts w:ascii="QCF_P085" w:hAnsi="QCF_P085" w:cs="QCF_P085" w:hint="cs"/>
                <w:rtl/>
                <w:lang w:eastAsia="en-US"/>
              </w:rPr>
              <w:t xml:space="preserve"> </w:t>
            </w:r>
            <w:r w:rsidRPr="00C470A7">
              <w:rPr>
                <w:rFonts w:ascii="QCF_P085" w:hAnsi="QCF_P085" w:cs="QCF_P085"/>
                <w:rtl/>
                <w:lang w:eastAsia="en-US"/>
              </w:rPr>
              <w:t>ﯬ</w:t>
            </w:r>
            <w:r>
              <w:rPr>
                <w:rFonts w:ascii="QCF_P085" w:hAnsi="QCF_P085" w:cs="QCF_P085" w:hint="cs"/>
                <w:rtl/>
                <w:lang w:eastAsia="en-US"/>
              </w:rPr>
              <w:t xml:space="preserve"> </w:t>
            </w:r>
            <w:r w:rsidRPr="00C470A7">
              <w:rPr>
                <w:rFonts w:ascii="QCF_P085" w:hAnsi="QCF_P085" w:cs="QCF_P085"/>
                <w:rtl/>
                <w:lang w:eastAsia="en-US"/>
              </w:rPr>
              <w:t>ﯭ</w:t>
            </w:r>
            <w:r>
              <w:rPr>
                <w:rFonts w:ascii="QCF_P085" w:hAnsi="QCF_P085" w:cs="QCF_P085" w:hint="cs"/>
                <w:rtl/>
                <w:lang w:eastAsia="en-US"/>
              </w:rPr>
              <w:t xml:space="preserve"> </w:t>
            </w:r>
            <w:r w:rsidRPr="00C470A7">
              <w:rPr>
                <w:rFonts w:ascii="QCF_P085" w:hAnsi="QCF_P085" w:cs="QCF_P085"/>
                <w:rtl/>
                <w:lang w:eastAsia="en-US"/>
              </w:rPr>
              <w:t>ﯮ</w:t>
            </w:r>
            <w:r>
              <w:rPr>
                <w:rFonts w:ascii="QCF_P085" w:hAnsi="QCF_P085" w:cs="QCF_P085" w:hint="cs"/>
                <w:rtl/>
                <w:lang w:eastAsia="en-US"/>
              </w:rPr>
              <w:t xml:space="preserve"> </w:t>
            </w:r>
            <w:r w:rsidRPr="00C470A7">
              <w:rPr>
                <w:rFonts w:ascii="QCF_P085" w:hAnsi="QCF_P085" w:cs="QCF_P085"/>
                <w:rtl/>
                <w:lang w:eastAsia="en-US"/>
              </w:rPr>
              <w:t>ﯯ</w:t>
            </w:r>
            <w:r w:rsidRPr="00C470A7">
              <w:rPr>
                <w:rFonts w:ascii="QCF_BSML" w:hAnsi="QCF_BSML" w:cs="QCF_BSML"/>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43</w:t>
            </w:r>
          </w:p>
        </w:tc>
        <w:tc>
          <w:tcPr>
            <w:tcW w:w="1560" w:type="dxa"/>
            <w:vAlign w:val="center"/>
          </w:tcPr>
          <w:p w:rsidR="00E90490" w:rsidRPr="00E90490" w:rsidRDefault="00CE6B25" w:rsidP="00CE6B25">
            <w:pPr>
              <w:tabs>
                <w:tab w:val="right" w:leader="dot" w:pos="6802"/>
                <w:tab w:val="right" w:leader="dot" w:pos="8787"/>
              </w:tabs>
              <w:ind w:firstLine="0"/>
              <w:rPr>
                <w:rtl/>
              </w:rPr>
            </w:pPr>
            <w:r>
              <w:rPr>
                <w:rFonts w:hint="cs"/>
                <w:rtl/>
              </w:rPr>
              <w:t>483</w:t>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rPr>
                <w:rtl/>
              </w:rPr>
            </w:pPr>
            <w:r w:rsidRPr="00683508">
              <w:rPr>
                <w:rFonts w:ascii="QCF_BSML" w:hAnsi="QCF_BSML" w:cs="QCF_BSML"/>
                <w:noProof w:val="0"/>
                <w:rtl/>
                <w:lang w:eastAsia="en-US"/>
              </w:rPr>
              <w:t>ﭽ</w:t>
            </w:r>
            <w:r w:rsidRPr="00683508">
              <w:rPr>
                <w:rFonts w:ascii="QCF_P087" w:hAnsi="QCF_P087" w:cs="QCF_P087"/>
                <w:noProof w:val="0"/>
                <w:rtl/>
                <w:lang w:eastAsia="en-US"/>
              </w:rPr>
              <w:t>ﯙ</w:t>
            </w:r>
            <w:r>
              <w:rPr>
                <w:rFonts w:ascii="QCF_P087" w:hAnsi="QCF_P087" w:cs="QCF_P087" w:hint="cs"/>
                <w:noProof w:val="0"/>
                <w:rtl/>
                <w:lang w:eastAsia="en-US"/>
              </w:rPr>
              <w:t xml:space="preserve"> </w:t>
            </w:r>
            <w:r w:rsidRPr="00683508">
              <w:rPr>
                <w:rFonts w:ascii="QCF_P087" w:hAnsi="QCF_P087" w:cs="QCF_P087"/>
                <w:noProof w:val="0"/>
                <w:rtl/>
                <w:lang w:eastAsia="en-US"/>
              </w:rPr>
              <w:t>ﯚ</w:t>
            </w:r>
            <w:r>
              <w:rPr>
                <w:rFonts w:ascii="QCF_P087" w:hAnsi="QCF_P087" w:cs="QCF_P087" w:hint="cs"/>
                <w:noProof w:val="0"/>
                <w:rtl/>
                <w:lang w:eastAsia="en-US"/>
              </w:rPr>
              <w:t xml:space="preserve"> </w:t>
            </w:r>
            <w:r w:rsidRPr="00683508">
              <w:rPr>
                <w:rFonts w:ascii="QCF_P087" w:hAnsi="QCF_P087" w:cs="QCF_P087"/>
                <w:noProof w:val="0"/>
                <w:rtl/>
                <w:lang w:eastAsia="en-US"/>
              </w:rPr>
              <w:t>ﯛ</w:t>
            </w:r>
            <w:r>
              <w:rPr>
                <w:rFonts w:ascii="QCF_P087" w:hAnsi="QCF_P087" w:cs="QCF_P087" w:hint="cs"/>
                <w:noProof w:val="0"/>
                <w:rtl/>
                <w:lang w:eastAsia="en-US"/>
              </w:rPr>
              <w:t xml:space="preserve"> </w:t>
            </w:r>
            <w:r w:rsidRPr="00683508">
              <w:rPr>
                <w:rFonts w:ascii="QCF_P087" w:hAnsi="QCF_P087" w:cs="QCF_P087"/>
                <w:noProof w:val="0"/>
                <w:rtl/>
                <w:lang w:eastAsia="en-US"/>
              </w:rPr>
              <w:t>ﯜ</w:t>
            </w:r>
            <w:r>
              <w:rPr>
                <w:rFonts w:ascii="QCF_P087" w:hAnsi="QCF_P087" w:cs="QCF_P087" w:hint="cs"/>
                <w:noProof w:val="0"/>
                <w:rtl/>
                <w:lang w:eastAsia="en-US"/>
              </w:rPr>
              <w:t xml:space="preserve"> </w:t>
            </w:r>
            <w:r w:rsidRPr="00683508">
              <w:rPr>
                <w:rFonts w:ascii="QCF_P087" w:hAnsi="QCF_P087" w:cs="QCF_P087"/>
                <w:noProof w:val="0"/>
                <w:rtl/>
                <w:lang w:eastAsia="en-US"/>
              </w:rPr>
              <w:t>ﯝ</w:t>
            </w:r>
            <w:r>
              <w:rPr>
                <w:rFonts w:ascii="QCF_P087" w:hAnsi="QCF_P087" w:cs="QCF_P087" w:hint="cs"/>
                <w:noProof w:val="0"/>
                <w:rtl/>
                <w:lang w:eastAsia="en-US"/>
              </w:rPr>
              <w:t xml:space="preserve"> </w:t>
            </w:r>
            <w:r w:rsidRPr="00683508">
              <w:rPr>
                <w:rFonts w:ascii="QCF_P087" w:hAnsi="QCF_P087" w:cs="QCF_P087"/>
                <w:noProof w:val="0"/>
                <w:rtl/>
                <w:lang w:eastAsia="en-US"/>
              </w:rPr>
              <w:t>ﯞ</w:t>
            </w:r>
            <w:r>
              <w:rPr>
                <w:rFonts w:ascii="QCF_P087" w:hAnsi="QCF_P087" w:cs="QCF_P087" w:hint="cs"/>
                <w:noProof w:val="0"/>
                <w:rtl/>
                <w:lang w:eastAsia="en-US"/>
              </w:rPr>
              <w:t xml:space="preserve"> </w:t>
            </w:r>
            <w:r w:rsidRPr="00683508">
              <w:rPr>
                <w:rFonts w:ascii="QCF_P087" w:hAnsi="QCF_P087" w:cs="QCF_P087"/>
                <w:noProof w:val="0"/>
                <w:rtl/>
                <w:lang w:eastAsia="en-US"/>
              </w:rPr>
              <w:t>ﯟ</w:t>
            </w:r>
            <w:r>
              <w:rPr>
                <w:rFonts w:ascii="QCF_P087" w:hAnsi="QCF_P087" w:cs="QCF_P087" w:hint="cs"/>
                <w:noProof w:val="0"/>
                <w:rtl/>
                <w:lang w:eastAsia="en-US"/>
              </w:rPr>
              <w:t xml:space="preserve"> </w:t>
            </w:r>
            <w:r w:rsidRPr="00683508">
              <w:rPr>
                <w:rFonts w:ascii="QCF_P087" w:hAnsi="QCF_P087" w:cs="QCF_P087"/>
                <w:noProof w:val="0"/>
                <w:rtl/>
                <w:lang w:eastAsia="en-US"/>
              </w:rPr>
              <w:t>ﯠ</w:t>
            </w:r>
            <w:r>
              <w:rPr>
                <w:rFonts w:ascii="QCF_P087" w:hAnsi="QCF_P087" w:cs="QCF_P087" w:hint="cs"/>
                <w:noProof w:val="0"/>
                <w:rtl/>
                <w:lang w:eastAsia="en-US"/>
              </w:rPr>
              <w:t xml:space="preserve"> </w:t>
            </w:r>
            <w:r w:rsidRPr="00683508">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58</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سورة_النساء_58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rPr>
                <w:rtl/>
              </w:rPr>
            </w:pPr>
            <w:r w:rsidRPr="00284B31">
              <w:rPr>
                <w:rFonts w:ascii="QCF_BSML" w:hAnsi="QCF_BSML" w:cs="QCF_BSML"/>
                <w:rtl/>
                <w:lang w:eastAsia="en-US"/>
              </w:rPr>
              <w:t>ﭽ</w:t>
            </w:r>
            <w:r w:rsidRPr="00284B31">
              <w:rPr>
                <w:rFonts w:ascii="QCF_P090" w:hAnsi="QCF_P090" w:cs="QCF_P090"/>
                <w:rtl/>
                <w:lang w:eastAsia="en-US"/>
              </w:rPr>
              <w:t>ﯽ</w:t>
            </w:r>
            <w:r>
              <w:rPr>
                <w:rFonts w:ascii="QCF_P090" w:hAnsi="QCF_P090" w:cs="QCF_P090" w:hint="cs"/>
                <w:rtl/>
                <w:lang w:eastAsia="en-US"/>
              </w:rPr>
              <w:t xml:space="preserve"> </w:t>
            </w:r>
            <w:r w:rsidRPr="00284B31">
              <w:rPr>
                <w:rFonts w:ascii="QCF_P090" w:hAnsi="QCF_P090" w:cs="QCF_P090"/>
                <w:rtl/>
                <w:lang w:eastAsia="en-US"/>
              </w:rPr>
              <w:t>ﯾ</w:t>
            </w:r>
            <w:r>
              <w:rPr>
                <w:rFonts w:ascii="QCF_P090" w:hAnsi="QCF_P090" w:cs="QCF_P090" w:hint="cs"/>
                <w:rtl/>
                <w:lang w:eastAsia="en-US"/>
              </w:rPr>
              <w:t xml:space="preserve"> </w:t>
            </w:r>
            <w:r w:rsidRPr="00284B31">
              <w:rPr>
                <w:rFonts w:ascii="QCF_P090" w:hAnsi="QCF_P090" w:cs="QCF_P090"/>
                <w:rtl/>
                <w:lang w:eastAsia="en-US"/>
              </w:rPr>
              <w:t>ﯿ</w:t>
            </w:r>
            <w:r>
              <w:rPr>
                <w:rFonts w:ascii="QCF_P090" w:hAnsi="QCF_P090" w:cs="QCF_P090" w:hint="cs"/>
                <w:rtl/>
                <w:lang w:eastAsia="en-US"/>
              </w:rPr>
              <w:t xml:space="preserve"> </w:t>
            </w:r>
            <w:r w:rsidRPr="00284B31">
              <w:rPr>
                <w:rFonts w:ascii="QCF_P090" w:hAnsi="QCF_P090" w:cs="QCF_P090"/>
                <w:rtl/>
                <w:lang w:eastAsia="en-US"/>
              </w:rPr>
              <w:t>ﰀ</w:t>
            </w:r>
            <w:r>
              <w:rPr>
                <w:rFonts w:ascii="QCF_P090" w:hAnsi="QCF_P090" w:cs="QCF_P090" w:hint="cs"/>
                <w:rtl/>
                <w:lang w:eastAsia="en-US"/>
              </w:rPr>
              <w:t xml:space="preserve"> </w:t>
            </w:r>
            <w:r w:rsidRPr="00284B31">
              <w:rPr>
                <w:rFonts w:ascii="QCF_P090" w:hAnsi="QCF_P090" w:cs="QCF_P090"/>
                <w:rtl/>
                <w:lang w:eastAsia="en-US"/>
              </w:rPr>
              <w:t>ﰁ</w:t>
            </w:r>
            <w:r>
              <w:rPr>
                <w:rFonts w:ascii="QCF_P090" w:hAnsi="QCF_P090" w:cs="QCF_P090" w:hint="cs"/>
                <w:rtl/>
                <w:lang w:eastAsia="en-US"/>
              </w:rPr>
              <w:t xml:space="preserve"> </w:t>
            </w:r>
            <w:r w:rsidRPr="00284B31">
              <w:rPr>
                <w:rFonts w:ascii="QCF_P090" w:hAnsi="QCF_P090" w:cs="QCF_P090"/>
                <w:rtl/>
                <w:lang w:eastAsia="en-US"/>
              </w:rPr>
              <w:t>ﰂ</w:t>
            </w:r>
            <w:r>
              <w:rPr>
                <w:rFonts w:ascii="QCF_P090" w:hAnsi="QCF_P090" w:cs="QCF_P090" w:hint="cs"/>
                <w:rtl/>
                <w:lang w:eastAsia="en-US"/>
              </w:rPr>
              <w:t xml:space="preserve"> </w:t>
            </w:r>
            <w:r w:rsidRPr="00284B31">
              <w:rPr>
                <w:rFonts w:ascii="QCF_P090" w:hAnsi="QCF_P090" w:cs="QCF_P090"/>
                <w:rtl/>
                <w:lang w:eastAsia="en-US"/>
              </w:rPr>
              <w:t>ﰃ</w:t>
            </w:r>
            <w:r>
              <w:rPr>
                <w:rFonts w:ascii="QCF_P090" w:hAnsi="QCF_P090" w:cs="QCF_P090" w:hint="cs"/>
                <w:rtl/>
                <w:lang w:eastAsia="en-US"/>
              </w:rPr>
              <w:t xml:space="preserve"> </w:t>
            </w:r>
            <w:r w:rsidRPr="00284B31">
              <w:rPr>
                <w:rFonts w:ascii="QCF_P090" w:hAnsi="QCF_P090" w:cs="QCF_P090"/>
                <w:rtl/>
                <w:lang w:eastAsia="en-US"/>
              </w:rPr>
              <w:t xml:space="preserve"> </w:t>
            </w:r>
            <w:r>
              <w:rPr>
                <w:rFonts w:ascii="QCF_P090" w:hAnsi="QCF_P090" w:cs="QCF_P090" w:hint="cs"/>
                <w:rtl/>
                <w:lang w:eastAsia="en-US"/>
              </w:rPr>
              <w:t xml:space="preserve"> </w:t>
            </w:r>
            <w:r w:rsidRPr="00284B31">
              <w:rPr>
                <w:rFonts w:ascii="QCF_BSML" w:hAnsi="QCF_BSML" w:cs="QCF_BSML"/>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78</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سورة_النساء_78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rPr>
                <w:rtl/>
              </w:rPr>
            </w:pPr>
            <w:r w:rsidRPr="00B454E3">
              <w:rPr>
                <w:rFonts w:ascii="QCF_BSML" w:hAnsi="QCF_BSML" w:cs="QCF_BSML"/>
                <w:noProof w:val="0"/>
                <w:color w:val="auto"/>
                <w:rtl/>
                <w:lang w:eastAsia="en-US"/>
              </w:rPr>
              <w:lastRenderedPageBreak/>
              <w:t>ﭽ</w:t>
            </w:r>
            <w:r w:rsidRPr="00B454E3">
              <w:rPr>
                <w:rFonts w:ascii="QCF_P093" w:hAnsi="QCF_P093" w:cs="QCF_P093"/>
                <w:noProof w:val="0"/>
                <w:color w:val="auto"/>
                <w:rtl/>
                <w:lang w:eastAsia="en-US"/>
              </w:rPr>
              <w:t>ﭑ</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ﭒ</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ﭓ</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ﭔ</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ﭕ</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ﭖ</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ﭗ</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ﭘ</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ﭙ</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ﭚ</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ﭛ</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ﭜ</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ﭝ</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ﭞ</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ﭟ</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ﭠ</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ﭡ</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ﭢ</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ﭣ</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 xml:space="preserve"> </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ﭤ</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ﭥ</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ﭦ</w:t>
            </w:r>
            <w:r w:rsidRPr="00B454E3">
              <w:rPr>
                <w:rFonts w:ascii="QCF_P093" w:hAnsi="QCF_P093" w:cs="QCF_P093" w:hint="cs"/>
                <w:noProof w:val="0"/>
                <w:color w:val="auto"/>
                <w:rtl/>
                <w:lang w:eastAsia="en-US"/>
              </w:rPr>
              <w:t xml:space="preserve"> </w:t>
            </w:r>
            <w:r w:rsidRPr="00B454E3">
              <w:rPr>
                <w:rFonts w:ascii="QCF_P093" w:hAnsi="QCF_P093" w:cs="QCF_P093"/>
                <w:noProof w:val="0"/>
                <w:color w:val="auto"/>
                <w:rtl/>
                <w:lang w:eastAsia="en-US"/>
              </w:rPr>
              <w:t>ﭧ</w:t>
            </w:r>
            <w:r w:rsidRPr="00B454E3">
              <w:rPr>
                <w:rFonts w:ascii="QCF_BSML" w:hAnsi="QCF_BSML" w:cs="QCF_BSML"/>
                <w:noProof w:val="0"/>
                <w:color w:val="auto"/>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92</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سورة_النساء_92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pPr>
            <w:r w:rsidRPr="00C77903">
              <w:rPr>
                <w:rFonts w:ascii="QCF_BSML" w:hAnsi="QCF_BSML" w:cs="QCF_BSML"/>
                <w:rtl/>
                <w:lang w:eastAsia="en-US"/>
              </w:rPr>
              <w:t>ﭽ</w:t>
            </w:r>
            <w:r w:rsidRPr="00C77903">
              <w:rPr>
                <w:rFonts w:ascii="QCF_P094" w:hAnsi="QCF_P094" w:cs="QCF_P094"/>
                <w:rtl/>
                <w:lang w:eastAsia="en-US"/>
              </w:rPr>
              <w:t>ﯽ</w:t>
            </w:r>
            <w:r>
              <w:rPr>
                <w:rFonts w:ascii="QCF_P094" w:hAnsi="QCF_P094" w:cs="QCF_P094" w:hint="cs"/>
                <w:rtl/>
                <w:lang w:eastAsia="en-US"/>
              </w:rPr>
              <w:t xml:space="preserve"> </w:t>
            </w:r>
            <w:r w:rsidRPr="00C77903">
              <w:rPr>
                <w:rFonts w:ascii="QCF_P094" w:hAnsi="QCF_P094" w:cs="QCF_P094"/>
                <w:rtl/>
                <w:lang w:eastAsia="en-US"/>
              </w:rPr>
              <w:t>ﯾ</w:t>
            </w:r>
            <w:r>
              <w:rPr>
                <w:rFonts w:ascii="QCF_P094" w:hAnsi="QCF_P094" w:cs="QCF_P094" w:hint="cs"/>
                <w:rtl/>
                <w:lang w:eastAsia="en-US"/>
              </w:rPr>
              <w:t xml:space="preserve"> </w:t>
            </w:r>
            <w:r w:rsidRPr="00C77903">
              <w:rPr>
                <w:rFonts w:ascii="QCF_P094" w:hAnsi="QCF_P094" w:cs="QCF_P094"/>
                <w:rtl/>
                <w:lang w:eastAsia="en-US"/>
              </w:rPr>
              <w:t>ﯿ</w:t>
            </w:r>
            <w:r>
              <w:rPr>
                <w:rFonts w:ascii="QCF_P094" w:hAnsi="QCF_P094" w:cs="QCF_P094" w:hint="cs"/>
                <w:rtl/>
                <w:lang w:eastAsia="en-US"/>
              </w:rPr>
              <w:t xml:space="preserve"> </w:t>
            </w:r>
            <w:r w:rsidRPr="00C77903">
              <w:rPr>
                <w:rFonts w:ascii="QCF_P094" w:hAnsi="QCF_P094" w:cs="QCF_P094"/>
                <w:rtl/>
                <w:lang w:eastAsia="en-US"/>
              </w:rPr>
              <w:t>ﰀ</w:t>
            </w:r>
            <w:r>
              <w:rPr>
                <w:rFonts w:ascii="QCF_P094" w:hAnsi="QCF_P094" w:cs="QCF_P094" w:hint="cs"/>
                <w:rtl/>
                <w:lang w:eastAsia="en-US"/>
              </w:rPr>
              <w:t xml:space="preserve"> </w:t>
            </w:r>
            <w:r w:rsidRPr="00C77903">
              <w:rPr>
                <w:rFonts w:ascii="QCF_P094" w:hAnsi="QCF_P094" w:cs="QCF_P094"/>
                <w:rtl/>
                <w:lang w:eastAsia="en-US"/>
              </w:rPr>
              <w:t>ﰁ</w:t>
            </w:r>
            <w:r>
              <w:rPr>
                <w:rFonts w:ascii="QCF_P094" w:hAnsi="QCF_P094" w:cs="QCF_P094" w:hint="cs"/>
                <w:rtl/>
                <w:lang w:eastAsia="en-US"/>
              </w:rPr>
              <w:t xml:space="preserve"> </w:t>
            </w:r>
            <w:r w:rsidRPr="00C77903">
              <w:rPr>
                <w:rFonts w:ascii="QCF_P094" w:hAnsi="QCF_P094" w:cs="QCF_P094"/>
                <w:rtl/>
                <w:lang w:eastAsia="en-US"/>
              </w:rPr>
              <w:t>ﰂ</w:t>
            </w:r>
            <w:r>
              <w:rPr>
                <w:rFonts w:ascii="QCF_P094" w:hAnsi="QCF_P094" w:cs="QCF_P094" w:hint="cs"/>
                <w:rtl/>
                <w:lang w:eastAsia="en-US"/>
              </w:rPr>
              <w:t xml:space="preserve"> </w:t>
            </w:r>
            <w:r w:rsidRPr="00C77903">
              <w:rPr>
                <w:rFonts w:ascii="QCF_P094" w:hAnsi="QCF_P094" w:cs="QCF_P094"/>
                <w:rtl/>
                <w:lang w:eastAsia="en-US"/>
              </w:rPr>
              <w:t>ﰃ</w:t>
            </w:r>
            <w:r>
              <w:rPr>
                <w:rFonts w:ascii="QCF_P094" w:hAnsi="QCF_P094" w:cs="QCF_P094" w:hint="cs"/>
                <w:rtl/>
                <w:lang w:eastAsia="en-US"/>
              </w:rPr>
              <w:t xml:space="preserve"> </w:t>
            </w:r>
            <w:r w:rsidRPr="00C77903">
              <w:rPr>
                <w:rFonts w:ascii="QCF_P094" w:hAnsi="QCF_P094" w:cs="QCF_P094"/>
                <w:rtl/>
                <w:lang w:eastAsia="en-US"/>
              </w:rPr>
              <w:t>ﰄ</w:t>
            </w:r>
            <w:r>
              <w:rPr>
                <w:rFonts w:ascii="QCF_P094" w:hAnsi="QCF_P094" w:cs="QCF_P094" w:hint="cs"/>
                <w:rtl/>
                <w:lang w:eastAsia="en-US"/>
              </w:rPr>
              <w:t xml:space="preserve"> </w:t>
            </w:r>
            <w:r w:rsidRPr="00C77903">
              <w:rPr>
                <w:rFonts w:ascii="QCF_P094" w:hAnsi="QCF_P094" w:cs="QCF_P094"/>
                <w:rtl/>
                <w:lang w:eastAsia="en-US"/>
              </w:rPr>
              <w:t>ﰅ</w:t>
            </w:r>
            <w:r>
              <w:rPr>
                <w:rFonts w:ascii="QCF_P094" w:hAnsi="QCF_P094" w:cs="QCF_P094" w:hint="cs"/>
                <w:rtl/>
                <w:lang w:eastAsia="en-US"/>
              </w:rPr>
              <w:t xml:space="preserve"> </w:t>
            </w:r>
            <w:r w:rsidRPr="00C77903">
              <w:rPr>
                <w:rFonts w:ascii="QCF_P094" w:hAnsi="QCF_P094" w:cs="QCF_P094"/>
                <w:rtl/>
                <w:lang w:eastAsia="en-US"/>
              </w:rPr>
              <w:t>ﰆ</w:t>
            </w:r>
            <w:r>
              <w:rPr>
                <w:rFonts w:ascii="QCF_P094" w:hAnsi="QCF_P094" w:cs="QCF_P094" w:hint="cs"/>
                <w:rtl/>
                <w:lang w:eastAsia="en-US"/>
              </w:rPr>
              <w:t xml:space="preserve"> </w:t>
            </w:r>
            <w:r w:rsidRPr="00C77903">
              <w:rPr>
                <w:rFonts w:ascii="QCF_P094" w:hAnsi="QCF_P094" w:cs="QCF_P094"/>
                <w:rtl/>
                <w:lang w:eastAsia="en-US"/>
              </w:rPr>
              <w:t>ﰇ</w:t>
            </w:r>
            <w:r>
              <w:rPr>
                <w:rFonts w:ascii="QCF_P094" w:hAnsi="QCF_P094" w:cs="QCF_P094" w:hint="cs"/>
                <w:rtl/>
                <w:lang w:eastAsia="en-US"/>
              </w:rPr>
              <w:t xml:space="preserve"> </w:t>
            </w:r>
            <w:r w:rsidRPr="00C77903">
              <w:rPr>
                <w:rFonts w:ascii="QCF_P094" w:hAnsi="QCF_P094" w:cs="QCF_P094"/>
                <w:rtl/>
                <w:lang w:eastAsia="en-US"/>
              </w:rPr>
              <w:t>ﰈ</w:t>
            </w:r>
            <w:r>
              <w:rPr>
                <w:rFonts w:ascii="QCF_P094" w:hAnsi="QCF_P094" w:cs="QCF_P094" w:hint="cs"/>
                <w:rtl/>
                <w:lang w:eastAsia="en-US"/>
              </w:rPr>
              <w:t xml:space="preserve"> </w:t>
            </w:r>
            <w:r w:rsidRPr="00C77903">
              <w:rPr>
                <w:rFonts w:ascii="QCF_P094" w:hAnsi="QCF_P094" w:cs="QCF_P094"/>
                <w:rtl/>
                <w:lang w:eastAsia="en-US"/>
              </w:rPr>
              <w:t>ﰉ</w:t>
            </w:r>
            <w:r>
              <w:rPr>
                <w:rFonts w:ascii="QCF_P094" w:hAnsi="QCF_P094" w:cs="QCF_P094" w:hint="cs"/>
                <w:rtl/>
                <w:lang w:eastAsia="en-US"/>
              </w:rPr>
              <w:t xml:space="preserve"> </w:t>
            </w:r>
            <w:r w:rsidRPr="00C77903">
              <w:rPr>
                <w:rFonts w:ascii="QCF_P094" w:hAnsi="QCF_P094" w:cs="QCF_P094"/>
                <w:rtl/>
                <w:lang w:eastAsia="en-US"/>
              </w:rPr>
              <w:t>ﰊ</w:t>
            </w:r>
            <w:r>
              <w:rPr>
                <w:rFonts w:ascii="QCF_P094" w:hAnsi="QCF_P094" w:cs="QCF_P094" w:hint="cs"/>
                <w:rtl/>
                <w:lang w:eastAsia="en-US"/>
              </w:rPr>
              <w:t xml:space="preserve"> </w:t>
            </w:r>
            <w:r w:rsidRPr="00C77903">
              <w:rPr>
                <w:rFonts w:ascii="QCF_P094" w:hAnsi="QCF_P094" w:cs="QCF_P094"/>
                <w:rtl/>
                <w:lang w:eastAsia="en-US"/>
              </w:rPr>
              <w:t>ﰋ</w:t>
            </w:r>
            <w:r>
              <w:rPr>
                <w:rFonts w:ascii="QCF_P094" w:hAnsi="QCF_P094" w:cs="QCF_P094" w:hint="cs"/>
                <w:rtl/>
                <w:lang w:eastAsia="en-US"/>
              </w:rPr>
              <w:t xml:space="preserve"> </w:t>
            </w:r>
            <w:r w:rsidRPr="00C77903">
              <w:rPr>
                <w:rFonts w:ascii="QCF_P094" w:hAnsi="QCF_P094" w:cs="QCF_P094"/>
                <w:rtl/>
                <w:lang w:eastAsia="en-US"/>
              </w:rPr>
              <w:t>ﰌ</w:t>
            </w:r>
            <w:r>
              <w:rPr>
                <w:rFonts w:ascii="QCF_P094" w:hAnsi="QCF_P094" w:cs="QCF_P094" w:hint="cs"/>
                <w:rtl/>
                <w:lang w:eastAsia="en-US"/>
              </w:rPr>
              <w:t xml:space="preserve"> </w:t>
            </w:r>
            <w:r w:rsidRPr="00C77903">
              <w:rPr>
                <w:rFonts w:ascii="QCF_P094" w:hAnsi="QCF_P094" w:cs="QCF_P094"/>
                <w:rtl/>
                <w:lang w:eastAsia="en-US"/>
              </w:rPr>
              <w:t>ﰍ</w:t>
            </w:r>
            <w:r>
              <w:rPr>
                <w:rFonts w:ascii="QCF_P094" w:hAnsi="QCF_P094" w:cs="QCF_P094" w:hint="cs"/>
                <w:rtl/>
                <w:lang w:eastAsia="en-US"/>
              </w:rPr>
              <w:t xml:space="preserve"> </w:t>
            </w:r>
            <w:r w:rsidRPr="00C77903">
              <w:rPr>
                <w:rFonts w:ascii="QCF_P094" w:hAnsi="QCF_P094" w:cs="QCF_P094"/>
                <w:color w:val="0000A5"/>
                <w:rtl/>
                <w:lang w:eastAsia="en-US"/>
              </w:rPr>
              <w:t>ﰎ</w:t>
            </w:r>
            <w:r>
              <w:rPr>
                <w:rFonts w:ascii="QCF_P094" w:hAnsi="QCF_P094" w:cs="QCF_P094" w:hint="cs"/>
                <w:color w:val="0000A5"/>
                <w:rtl/>
                <w:lang w:eastAsia="en-US"/>
              </w:rPr>
              <w:t xml:space="preserve"> </w:t>
            </w:r>
            <w:r w:rsidRPr="00C77903">
              <w:rPr>
                <w:rFonts w:ascii="QCF_P094" w:hAnsi="QCF_P094" w:cs="QCF_P094"/>
                <w:rtl/>
                <w:lang w:eastAsia="en-US"/>
              </w:rPr>
              <w:t>ﰏ</w:t>
            </w:r>
            <w:r>
              <w:rPr>
                <w:rFonts w:ascii="QCF_P094" w:hAnsi="QCF_P094" w:cs="QCF_P094" w:hint="cs"/>
                <w:rtl/>
                <w:lang w:eastAsia="en-US"/>
              </w:rPr>
              <w:t xml:space="preserve"> </w:t>
            </w:r>
            <w:r w:rsidRPr="00C77903">
              <w:rPr>
                <w:rFonts w:ascii="QCF_P094" w:hAnsi="QCF_P094" w:cs="QCF_P094"/>
                <w:rtl/>
                <w:lang w:eastAsia="en-US"/>
              </w:rPr>
              <w:t>ﰐ</w:t>
            </w:r>
            <w:r>
              <w:rPr>
                <w:rFonts w:ascii="QCF_P094" w:hAnsi="QCF_P094" w:cs="QCF_P094" w:hint="cs"/>
                <w:rtl/>
                <w:lang w:eastAsia="en-US"/>
              </w:rPr>
              <w:t xml:space="preserve"> </w:t>
            </w:r>
            <w:r w:rsidRPr="00C77903">
              <w:rPr>
                <w:rFonts w:ascii="QCF_P094" w:hAnsi="QCF_P094" w:cs="QCF_P094"/>
                <w:rtl/>
                <w:lang w:eastAsia="en-US"/>
              </w:rPr>
              <w:t>ﰑ</w:t>
            </w:r>
            <w:r>
              <w:rPr>
                <w:rFonts w:ascii="QCF_P094" w:hAnsi="QCF_P094" w:cs="QCF_P094" w:hint="cs"/>
                <w:rtl/>
                <w:lang w:eastAsia="en-US"/>
              </w:rPr>
              <w:t xml:space="preserve"> </w:t>
            </w:r>
            <w:r w:rsidRPr="00C77903">
              <w:rPr>
                <w:rFonts w:ascii="QCF_P094" w:hAnsi="QCF_P094" w:cs="QCF_P094"/>
                <w:rtl/>
                <w:lang w:eastAsia="en-US"/>
              </w:rPr>
              <w:t xml:space="preserve"> </w:t>
            </w:r>
            <w:r>
              <w:rPr>
                <w:rFonts w:ascii="QCF_P094" w:hAnsi="QCF_P094" w:cs="QCF_P094" w:hint="cs"/>
                <w:rtl/>
                <w:lang w:eastAsia="en-US"/>
              </w:rPr>
              <w:t xml:space="preserve"> </w:t>
            </w:r>
            <w:r w:rsidRPr="00C77903">
              <w:rPr>
                <w:rFonts w:ascii="QCF_P094" w:hAnsi="QCF_P094" w:cs="QCF_P094"/>
                <w:rtl/>
                <w:lang w:eastAsia="en-US"/>
              </w:rPr>
              <w:t>ﰒ</w:t>
            </w:r>
            <w:r>
              <w:rPr>
                <w:rFonts w:ascii="QCF_P094" w:hAnsi="QCF_P094" w:cs="QCF_P094" w:hint="cs"/>
                <w:rtl/>
                <w:lang w:eastAsia="en-US"/>
              </w:rPr>
              <w:t xml:space="preserve"> </w:t>
            </w:r>
            <w:r w:rsidRPr="00C77903">
              <w:rPr>
                <w:rFonts w:ascii="QCF_P094" w:hAnsi="QCF_P094" w:cs="QCF_P094"/>
                <w:rtl/>
                <w:lang w:eastAsia="en-US"/>
              </w:rPr>
              <w:t>ﰓ</w:t>
            </w:r>
            <w:r>
              <w:rPr>
                <w:rFonts w:ascii="QCF_P094" w:hAnsi="QCF_P094" w:cs="QCF_P094" w:hint="cs"/>
                <w:rtl/>
                <w:lang w:eastAsia="en-US"/>
              </w:rPr>
              <w:t xml:space="preserve"> </w:t>
            </w:r>
            <w:r w:rsidRPr="00C77903">
              <w:rPr>
                <w:rFonts w:ascii="QCF_P094" w:hAnsi="QCF_P094" w:cs="QCF_P094"/>
                <w:rtl/>
                <w:lang w:eastAsia="en-US"/>
              </w:rPr>
              <w:t>ﰔ</w:t>
            </w:r>
            <w:r w:rsidRPr="00C77903">
              <w:rPr>
                <w:rFonts w:ascii="QCF_BSML" w:hAnsi="QCF_BSML" w:cs="QCF_BSML"/>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101</w:t>
            </w:r>
          </w:p>
        </w:tc>
        <w:tc>
          <w:tcPr>
            <w:tcW w:w="1560" w:type="dxa"/>
            <w:vAlign w:val="center"/>
          </w:tcPr>
          <w:p w:rsidR="00E90490" w:rsidRPr="00E90490" w:rsidRDefault="00D82F52" w:rsidP="00597C20">
            <w:pPr>
              <w:tabs>
                <w:tab w:val="right" w:leader="dot" w:pos="6802"/>
                <w:tab w:val="right" w:leader="dot" w:pos="8787"/>
              </w:tabs>
              <w:ind w:firstLine="0"/>
              <w:jc w:val="center"/>
              <w:rPr>
                <w:rtl/>
              </w:rPr>
            </w:pPr>
            <w:r>
              <w:rPr>
                <w:rFonts w:hint="cs"/>
                <w:rtl/>
              </w:rPr>
              <w:t>483</w:t>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pPr>
            <w:r w:rsidRPr="00DA1A7D">
              <w:rPr>
                <w:rFonts w:ascii="QCF_BSML" w:hAnsi="QCF_BSML" w:cs="QCF_BSML"/>
                <w:noProof w:val="0"/>
                <w:rtl/>
                <w:lang w:eastAsia="en-US"/>
              </w:rPr>
              <w:t>ﭽ</w:t>
            </w:r>
            <w:r w:rsidRPr="00DA1A7D">
              <w:rPr>
                <w:rFonts w:ascii="QCF_P095" w:hAnsi="QCF_P095" w:cs="QCF_P095"/>
                <w:noProof w:val="0"/>
                <w:rtl/>
                <w:lang w:eastAsia="en-US"/>
              </w:rPr>
              <w:t>ﮣ</w:t>
            </w:r>
            <w:r>
              <w:rPr>
                <w:rFonts w:ascii="QCF_P095" w:hAnsi="QCF_P095" w:cs="QCF_P095" w:hint="cs"/>
                <w:noProof w:val="0"/>
                <w:rtl/>
                <w:lang w:eastAsia="en-US"/>
              </w:rPr>
              <w:t xml:space="preserve"> </w:t>
            </w:r>
            <w:r w:rsidRPr="00DA1A7D">
              <w:rPr>
                <w:rFonts w:ascii="QCF_P095" w:hAnsi="QCF_P095" w:cs="QCF_P095"/>
                <w:noProof w:val="0"/>
                <w:rtl/>
                <w:lang w:eastAsia="en-US"/>
              </w:rPr>
              <w:t>ﮤ</w:t>
            </w:r>
            <w:r>
              <w:rPr>
                <w:rFonts w:ascii="QCF_P095" w:hAnsi="QCF_P095" w:cs="QCF_P095" w:hint="cs"/>
                <w:noProof w:val="0"/>
                <w:rtl/>
                <w:lang w:eastAsia="en-US"/>
              </w:rPr>
              <w:t xml:space="preserve"> </w:t>
            </w:r>
            <w:r w:rsidRPr="00DA1A7D">
              <w:rPr>
                <w:rFonts w:ascii="QCF_P095" w:hAnsi="QCF_P095" w:cs="QCF_P095"/>
                <w:noProof w:val="0"/>
                <w:rtl/>
                <w:lang w:eastAsia="en-US"/>
              </w:rPr>
              <w:t>ﮥ</w:t>
            </w:r>
            <w:r>
              <w:rPr>
                <w:rFonts w:ascii="QCF_P095" w:hAnsi="QCF_P095" w:cs="QCF_P095" w:hint="cs"/>
                <w:noProof w:val="0"/>
                <w:rtl/>
                <w:lang w:eastAsia="en-US"/>
              </w:rPr>
              <w:t xml:space="preserve"> </w:t>
            </w:r>
            <w:r w:rsidRPr="00DA1A7D">
              <w:rPr>
                <w:rFonts w:ascii="QCF_P095" w:hAnsi="QCF_P095" w:cs="QCF_P095"/>
                <w:noProof w:val="0"/>
                <w:rtl/>
                <w:lang w:eastAsia="en-US"/>
              </w:rPr>
              <w:t>ﮦ</w:t>
            </w:r>
            <w:r>
              <w:rPr>
                <w:rFonts w:ascii="QCF_P095" w:hAnsi="QCF_P095" w:cs="QCF_P095" w:hint="cs"/>
                <w:noProof w:val="0"/>
                <w:rtl/>
                <w:lang w:eastAsia="en-US"/>
              </w:rPr>
              <w:t xml:space="preserve"> </w:t>
            </w:r>
            <w:r w:rsidRPr="00DA1A7D">
              <w:rPr>
                <w:rFonts w:ascii="QCF_P095" w:hAnsi="QCF_P095" w:cs="QCF_P095"/>
                <w:noProof w:val="0"/>
                <w:rtl/>
                <w:lang w:eastAsia="en-US"/>
              </w:rPr>
              <w:t>ﮧ</w:t>
            </w:r>
            <w:r>
              <w:rPr>
                <w:rFonts w:ascii="QCF_P095" w:hAnsi="QCF_P095" w:cs="QCF_P095" w:hint="cs"/>
                <w:noProof w:val="0"/>
                <w:rtl/>
                <w:lang w:eastAsia="en-US"/>
              </w:rPr>
              <w:t xml:space="preserve"> </w:t>
            </w:r>
            <w:r w:rsidRPr="00DA1A7D">
              <w:rPr>
                <w:rFonts w:ascii="QCF_P095" w:hAnsi="QCF_P095" w:cs="QCF_P095"/>
                <w:noProof w:val="0"/>
                <w:rtl/>
                <w:lang w:eastAsia="en-US"/>
              </w:rPr>
              <w:t>ﮨﮩ</w:t>
            </w:r>
            <w:r w:rsidRPr="00DA1A7D">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103</w:t>
            </w:r>
          </w:p>
        </w:tc>
        <w:tc>
          <w:tcPr>
            <w:tcW w:w="1560" w:type="dxa"/>
            <w:vAlign w:val="center"/>
          </w:tcPr>
          <w:p w:rsidR="00E90490" w:rsidRPr="00E90490" w:rsidRDefault="00D82F52" w:rsidP="00597C20">
            <w:pPr>
              <w:tabs>
                <w:tab w:val="right" w:leader="dot" w:pos="6802"/>
                <w:tab w:val="right" w:leader="dot" w:pos="8787"/>
              </w:tabs>
              <w:ind w:firstLine="0"/>
              <w:jc w:val="center"/>
              <w:rPr>
                <w:rtl/>
              </w:rPr>
            </w:pPr>
            <w:r>
              <w:rPr>
                <w:rFonts w:hint="cs"/>
                <w:rtl/>
              </w:rPr>
              <w:t>493</w:t>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rPr>
                <w:rtl/>
              </w:rPr>
            </w:pPr>
            <w:r w:rsidRPr="005805E3">
              <w:rPr>
                <w:rFonts w:ascii="QCF_BSML" w:hAnsi="QCF_BSML" w:cs="QCF_BSML"/>
                <w:noProof w:val="0"/>
                <w:rtl/>
                <w:lang w:eastAsia="en-US"/>
              </w:rPr>
              <w:t xml:space="preserve">ﭽ </w:t>
            </w:r>
            <w:r w:rsidRPr="005805E3">
              <w:rPr>
                <w:rFonts w:ascii="QCF_P101" w:hAnsi="QCF_P101" w:cs="QCF_P101"/>
                <w:noProof w:val="0"/>
                <w:rtl/>
                <w:lang w:eastAsia="en-US"/>
              </w:rPr>
              <w:t>ﭸﭹﭺﭻﭼﭽ</w:t>
            </w:r>
            <w:r w:rsidRPr="005805E3">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142</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سورة_النساء_142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D82F52" w:rsidRDefault="00D82F52" w:rsidP="00597C20">
            <w:pPr>
              <w:tabs>
                <w:tab w:val="right" w:leader="dot" w:pos="6802"/>
                <w:tab w:val="right" w:leader="dot" w:pos="8787"/>
              </w:tabs>
              <w:ind w:firstLine="0"/>
            </w:pPr>
            <w:r w:rsidRPr="00D82F52">
              <w:rPr>
                <w:rFonts w:ascii="QCF_BSML" w:hAnsi="QCF_BSML" w:cs="QCF_BSML"/>
                <w:noProof w:val="0"/>
                <w:rtl/>
                <w:lang w:eastAsia="en-US"/>
              </w:rPr>
              <w:t>ﭽ</w:t>
            </w:r>
            <w:r w:rsidRPr="00D82F52">
              <w:rPr>
                <w:rFonts w:ascii="QCF_P103" w:hAnsi="QCF_P103" w:cs="QCF_P103"/>
                <w:noProof w:val="0"/>
                <w:rtl/>
                <w:lang w:eastAsia="en-US"/>
              </w:rPr>
              <w:t>ﮰ</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ﮱ</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ﯓ</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ﯔ</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ﯕ</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ﯖ</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ﯗ</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ﯘ</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ﯙ</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ﯚ</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ﯛ</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ﯜ</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ﯝ</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ﯞ</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ﯟ</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ﯠ</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ﯡ</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ﯢ</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ﯣ</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ﯤ</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ﯥ</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ﯦ</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ﯧ</w:t>
            </w:r>
            <w:r w:rsidRPr="00D82F52">
              <w:rPr>
                <w:rFonts w:ascii="QCF_P103" w:hAnsi="QCF_P103" w:cs="QCF_P103" w:hint="cs"/>
                <w:noProof w:val="0"/>
                <w:rtl/>
                <w:lang w:eastAsia="en-US"/>
              </w:rPr>
              <w:t xml:space="preserve">  </w:t>
            </w:r>
            <w:r w:rsidRPr="00D82F52">
              <w:rPr>
                <w:rFonts w:ascii="QCF_P103" w:hAnsi="QCF_P103" w:cs="QCF_P103"/>
                <w:noProof w:val="0"/>
                <w:rtl/>
                <w:lang w:eastAsia="en-US"/>
              </w:rPr>
              <w:t>ﯨ</w:t>
            </w:r>
            <w:r w:rsidRPr="00D82F52">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160-161</w:t>
            </w:r>
          </w:p>
        </w:tc>
        <w:tc>
          <w:tcPr>
            <w:tcW w:w="1560" w:type="dxa"/>
            <w:vAlign w:val="center"/>
          </w:tcPr>
          <w:p w:rsidR="00E90490" w:rsidRPr="00E90490" w:rsidRDefault="00D82F52" w:rsidP="00597C20">
            <w:pPr>
              <w:tabs>
                <w:tab w:val="right" w:leader="dot" w:pos="6802"/>
                <w:tab w:val="right" w:leader="dot" w:pos="8787"/>
              </w:tabs>
              <w:ind w:firstLine="0"/>
              <w:jc w:val="center"/>
              <w:rPr>
                <w:rtl/>
              </w:rPr>
            </w:pPr>
            <w:r>
              <w:rPr>
                <w:rFonts w:hint="cs"/>
                <w:rtl/>
              </w:rPr>
              <w:t xml:space="preserve"> 464-465</w:t>
            </w:r>
            <w:r w:rsidRPr="00E90490">
              <w:rPr>
                <w:rFonts w:hint="cs"/>
                <w:rtl/>
              </w:rPr>
              <w:t xml:space="preserve"> </w:t>
            </w:r>
            <w:r w:rsidR="00E90490" w:rsidRPr="00E90490">
              <w:rPr>
                <w:rFonts w:hint="cs"/>
                <w:rtl/>
              </w:rPr>
              <w:t>(ح)</w:t>
            </w:r>
          </w:p>
        </w:tc>
      </w:tr>
      <w:tr w:rsidR="00E90490" w:rsidRPr="00E90490" w:rsidTr="00FE332F">
        <w:trPr>
          <w:cantSplit/>
        </w:trPr>
        <w:tc>
          <w:tcPr>
            <w:tcW w:w="6627" w:type="dxa"/>
          </w:tcPr>
          <w:p w:rsidR="00E90490" w:rsidRPr="00D82F52" w:rsidRDefault="00D82F52" w:rsidP="00597C20">
            <w:pPr>
              <w:tabs>
                <w:tab w:val="right" w:leader="dot" w:pos="6802"/>
                <w:tab w:val="right" w:leader="dot" w:pos="8787"/>
              </w:tabs>
              <w:ind w:firstLine="0"/>
              <w:rPr>
                <w:rtl/>
              </w:rPr>
            </w:pPr>
            <w:r w:rsidRPr="00D82F52">
              <w:rPr>
                <w:rFonts w:ascii="QCF_BSML" w:hAnsi="QCF_BSML" w:cs="QCF_BSML"/>
                <w:noProof w:val="0"/>
                <w:rtl/>
                <w:lang w:eastAsia="en-US"/>
              </w:rPr>
              <w:t xml:space="preserve">ﭽ </w:t>
            </w:r>
            <w:r w:rsidRPr="00D82F52">
              <w:rPr>
                <w:rFonts w:ascii="QCF_P104" w:hAnsi="QCF_P104" w:cs="QCF_P104"/>
                <w:noProof w:val="0"/>
                <w:rtl/>
                <w:lang w:eastAsia="en-US"/>
              </w:rPr>
              <w:t>ﭒﭓﭔﭕﭖﭗﭘﭙﭚﭛ</w:t>
            </w:r>
            <w:r w:rsidRPr="00D82F52">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163</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سورة_النساء_163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D82F52">
              <w:rPr>
                <w:rFonts w:hint="cs"/>
                <w:rtl/>
              </w:rPr>
              <w:t>(ح)</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المائدة</w:t>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pPr>
            <w:r w:rsidRPr="00E7051E">
              <w:rPr>
                <w:rFonts w:ascii="QCF_BSML" w:hAnsi="QCF_BSML" w:cs="QCF_BSML"/>
                <w:noProof w:val="0"/>
                <w:rtl/>
                <w:lang w:eastAsia="en-US"/>
              </w:rPr>
              <w:t xml:space="preserve">ﭽ </w:t>
            </w:r>
            <w:r w:rsidRPr="00E7051E">
              <w:rPr>
                <w:rFonts w:ascii="QCF_P106" w:hAnsi="QCF_P106" w:cs="QCF_P106"/>
                <w:noProof w:val="0"/>
                <w:rtl/>
                <w:lang w:eastAsia="en-US"/>
              </w:rPr>
              <w:t>ﮊﮋﮌﮍﮎ</w:t>
            </w:r>
            <w:r w:rsidRPr="00E7051E">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سورة_المائدة_1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Pr="00E90490">
              <w:rPr>
                <w:rtl/>
              </w:rPr>
              <w:fldChar w:fldCharType="begin"/>
            </w:r>
            <w:r w:rsidR="00E90490" w:rsidRPr="00E90490">
              <w:rPr>
                <w:rFonts w:hint="cs"/>
              </w:rPr>
              <w:instrText>PAGEREF</w:instrText>
            </w:r>
            <w:r w:rsidR="00E90490" w:rsidRPr="00E90490">
              <w:rPr>
                <w:rFonts w:hint="cs"/>
                <w:rtl/>
              </w:rPr>
              <w:instrText xml:space="preserve"> سورة_المائدة_1_2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Pr="00E90490">
              <w:rPr>
                <w:rtl/>
              </w:rPr>
              <w:fldChar w:fldCharType="begin"/>
            </w:r>
            <w:r w:rsidR="00E90490" w:rsidRPr="00E90490">
              <w:rPr>
                <w:rFonts w:hint="cs"/>
              </w:rPr>
              <w:instrText>PAGEREF</w:instrText>
            </w:r>
            <w:r w:rsidR="00E90490" w:rsidRPr="00E90490">
              <w:rPr>
                <w:rFonts w:hint="cs"/>
                <w:rtl/>
              </w:rPr>
              <w:instrText xml:space="preserve"> سورة_المائدة_1_3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pPr>
            <w:r w:rsidRPr="00FB449C">
              <w:rPr>
                <w:rFonts w:ascii="QCF_BSML" w:hAnsi="QCF_BSML" w:cs="QCF_BSML"/>
                <w:noProof w:val="0"/>
                <w:rtl/>
                <w:lang w:eastAsia="en-US"/>
              </w:rPr>
              <w:t>ﭽ</w:t>
            </w:r>
            <w:r w:rsidRPr="00FB449C">
              <w:rPr>
                <w:rFonts w:ascii="QCF_P108" w:hAnsi="QCF_P108" w:cs="QCF_P108"/>
                <w:noProof w:val="0"/>
                <w:rtl/>
                <w:lang w:eastAsia="en-US"/>
              </w:rPr>
              <w:t>ﮂ</w:t>
            </w:r>
            <w:r>
              <w:rPr>
                <w:rFonts w:ascii="QCF_P108" w:hAnsi="QCF_P108" w:cs="QCF_P108" w:hint="cs"/>
                <w:noProof w:val="0"/>
                <w:rtl/>
                <w:lang w:eastAsia="en-US"/>
              </w:rPr>
              <w:t xml:space="preserve"> </w:t>
            </w:r>
            <w:r w:rsidRPr="00FB449C">
              <w:rPr>
                <w:rFonts w:ascii="QCF_P108" w:hAnsi="QCF_P108" w:cs="QCF_P108"/>
                <w:noProof w:val="0"/>
                <w:rtl/>
                <w:lang w:eastAsia="en-US"/>
              </w:rPr>
              <w:t>ﮃ</w:t>
            </w:r>
            <w:r>
              <w:rPr>
                <w:rFonts w:ascii="QCF_P108" w:hAnsi="QCF_P108" w:cs="QCF_P108" w:hint="cs"/>
                <w:noProof w:val="0"/>
                <w:rtl/>
                <w:lang w:eastAsia="en-US"/>
              </w:rPr>
              <w:t xml:space="preserve"> </w:t>
            </w:r>
            <w:r w:rsidRPr="00FB449C">
              <w:rPr>
                <w:rFonts w:ascii="QCF_P108" w:hAnsi="QCF_P108" w:cs="QCF_P108"/>
                <w:noProof w:val="0"/>
                <w:rtl/>
                <w:lang w:eastAsia="en-US"/>
              </w:rPr>
              <w:t>ﮄ</w:t>
            </w:r>
            <w:r>
              <w:rPr>
                <w:rFonts w:ascii="QCF_P108" w:hAnsi="QCF_P108" w:cs="QCF_P108" w:hint="cs"/>
                <w:noProof w:val="0"/>
                <w:rtl/>
                <w:lang w:eastAsia="en-US"/>
              </w:rPr>
              <w:t xml:space="preserve"> </w:t>
            </w:r>
            <w:r w:rsidRPr="00FB449C">
              <w:rPr>
                <w:rFonts w:ascii="QCF_P108" w:hAnsi="QCF_P108" w:cs="QCF_P108"/>
                <w:noProof w:val="0"/>
                <w:rtl/>
                <w:lang w:eastAsia="en-US"/>
              </w:rPr>
              <w:t>ﮅ</w:t>
            </w:r>
            <w:r>
              <w:rPr>
                <w:rFonts w:ascii="QCF_P108" w:hAnsi="QCF_P108" w:cs="QCF_P108" w:hint="cs"/>
                <w:noProof w:val="0"/>
                <w:rtl/>
                <w:lang w:eastAsia="en-US"/>
              </w:rPr>
              <w:t xml:space="preserve"> </w:t>
            </w:r>
            <w:r w:rsidRPr="00FB449C">
              <w:rPr>
                <w:rFonts w:ascii="QCF_P108" w:hAnsi="QCF_P108" w:cs="QCF_P108"/>
                <w:noProof w:val="0"/>
                <w:rtl/>
                <w:lang w:eastAsia="en-US"/>
              </w:rPr>
              <w:t>ﮆ</w:t>
            </w:r>
            <w:r>
              <w:rPr>
                <w:rFonts w:ascii="QCF_P108" w:hAnsi="QCF_P108" w:cs="QCF_P108" w:hint="cs"/>
                <w:noProof w:val="0"/>
                <w:rtl/>
                <w:lang w:eastAsia="en-US"/>
              </w:rPr>
              <w:t xml:space="preserve"> </w:t>
            </w:r>
            <w:r w:rsidRPr="00FB449C">
              <w:rPr>
                <w:rFonts w:ascii="QCF_P108" w:hAnsi="QCF_P108" w:cs="QCF_P108"/>
                <w:noProof w:val="0"/>
                <w:rtl/>
                <w:lang w:eastAsia="en-US"/>
              </w:rPr>
              <w:t>ﮇ</w:t>
            </w:r>
            <w:r>
              <w:rPr>
                <w:rFonts w:ascii="QCF_P108" w:hAnsi="QCF_P108" w:cs="QCF_P108" w:hint="cs"/>
                <w:noProof w:val="0"/>
                <w:rtl/>
                <w:lang w:eastAsia="en-US"/>
              </w:rPr>
              <w:t xml:space="preserve"> </w:t>
            </w:r>
            <w:r w:rsidRPr="00FB449C">
              <w:rPr>
                <w:rFonts w:ascii="QCF_P108" w:hAnsi="QCF_P108" w:cs="QCF_P108"/>
                <w:noProof w:val="0"/>
                <w:rtl/>
                <w:lang w:eastAsia="en-US"/>
              </w:rPr>
              <w:t>ﮈ</w:t>
            </w:r>
            <w:r w:rsidRPr="00FB449C">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6</w:t>
            </w:r>
          </w:p>
        </w:tc>
        <w:tc>
          <w:tcPr>
            <w:tcW w:w="1560" w:type="dxa"/>
            <w:vAlign w:val="center"/>
          </w:tcPr>
          <w:p w:rsidR="00E90490" w:rsidRPr="00E90490" w:rsidRDefault="00AB0B9E" w:rsidP="00D82F52">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سورة_المائدة_6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00D82F52">
              <w:rPr>
                <w:rFonts w:hint="cs"/>
                <w:rtl/>
              </w:rPr>
              <w:t>500</w:t>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rPr>
                <w:rtl/>
              </w:rPr>
            </w:pPr>
            <w:r w:rsidRPr="00650F9C">
              <w:rPr>
                <w:rFonts w:ascii="QCF_BSML" w:hAnsi="QCF_BSML" w:cs="QCF_BSML"/>
                <w:noProof w:val="0"/>
                <w:rtl/>
                <w:lang w:eastAsia="en-US"/>
              </w:rPr>
              <w:t xml:space="preserve">ﭽ </w:t>
            </w:r>
            <w:r w:rsidRPr="00650F9C">
              <w:rPr>
                <w:rFonts w:ascii="QCF_P123" w:hAnsi="QCF_P123" w:cs="QCF_P123"/>
                <w:noProof w:val="0"/>
                <w:rtl/>
                <w:lang w:eastAsia="en-US"/>
              </w:rPr>
              <w:t>ﭑﭒ</w:t>
            </w:r>
            <w:r>
              <w:rPr>
                <w:rFonts w:ascii="QCF_P123" w:hAnsi="QCF_P123" w:cs="QCF_P123" w:hint="cs"/>
                <w:noProof w:val="0"/>
                <w:rtl/>
                <w:lang w:eastAsia="en-US"/>
              </w:rPr>
              <w:t xml:space="preserve"> </w:t>
            </w:r>
            <w:r w:rsidRPr="00650F9C">
              <w:rPr>
                <w:rFonts w:ascii="QCF_P123" w:hAnsi="QCF_P123" w:cs="QCF_P123"/>
                <w:noProof w:val="0"/>
                <w:rtl/>
                <w:lang w:eastAsia="en-US"/>
              </w:rPr>
              <w:t>ﭓ</w:t>
            </w:r>
            <w:r>
              <w:rPr>
                <w:rFonts w:ascii="QCF_P123" w:hAnsi="QCF_P123" w:cs="QCF_P123" w:hint="cs"/>
                <w:noProof w:val="0"/>
                <w:rtl/>
                <w:lang w:eastAsia="en-US"/>
              </w:rPr>
              <w:t xml:space="preserve"> </w:t>
            </w:r>
            <w:r w:rsidRPr="00650F9C">
              <w:rPr>
                <w:rFonts w:ascii="QCF_P123" w:hAnsi="QCF_P123" w:cs="QCF_P123"/>
                <w:noProof w:val="0"/>
                <w:rtl/>
                <w:lang w:eastAsia="en-US"/>
              </w:rPr>
              <w:t>ﭔ</w:t>
            </w:r>
            <w:r>
              <w:rPr>
                <w:rFonts w:ascii="QCF_P123" w:hAnsi="QCF_P123" w:cs="QCF_P123" w:hint="cs"/>
                <w:noProof w:val="0"/>
                <w:rtl/>
                <w:lang w:eastAsia="en-US"/>
              </w:rPr>
              <w:t xml:space="preserve"> </w:t>
            </w:r>
            <w:r w:rsidRPr="00650F9C">
              <w:rPr>
                <w:rFonts w:ascii="QCF_P123" w:hAnsi="QCF_P123" w:cs="QCF_P123"/>
                <w:noProof w:val="0"/>
                <w:rtl/>
                <w:lang w:eastAsia="en-US"/>
              </w:rPr>
              <w:t>ﭕ</w:t>
            </w:r>
            <w:r>
              <w:rPr>
                <w:rFonts w:ascii="QCF_P123" w:hAnsi="QCF_P123" w:cs="QCF_P123" w:hint="cs"/>
                <w:noProof w:val="0"/>
                <w:rtl/>
                <w:lang w:eastAsia="en-US"/>
              </w:rPr>
              <w:t xml:space="preserve"> </w:t>
            </w:r>
            <w:r w:rsidRPr="00650F9C">
              <w:rPr>
                <w:rFonts w:ascii="QCF_P123" w:hAnsi="QCF_P123" w:cs="QCF_P123"/>
                <w:noProof w:val="0"/>
                <w:rtl/>
                <w:lang w:eastAsia="en-US"/>
              </w:rPr>
              <w:t>ﭖ</w:t>
            </w:r>
            <w:r>
              <w:rPr>
                <w:rFonts w:ascii="QCF_P123" w:hAnsi="QCF_P123" w:cs="QCF_P123" w:hint="cs"/>
                <w:noProof w:val="0"/>
                <w:rtl/>
                <w:lang w:eastAsia="en-US"/>
              </w:rPr>
              <w:t xml:space="preserve"> </w:t>
            </w:r>
            <w:r w:rsidRPr="00650F9C">
              <w:rPr>
                <w:rFonts w:ascii="QCF_P123" w:hAnsi="QCF_P123" w:cs="QCF_P123"/>
                <w:noProof w:val="0"/>
                <w:rtl/>
                <w:lang w:eastAsia="en-US"/>
              </w:rPr>
              <w:t>ﭗ</w:t>
            </w:r>
            <w:r>
              <w:rPr>
                <w:rFonts w:ascii="QCF_P123" w:hAnsi="QCF_P123" w:cs="QCF_P123" w:hint="cs"/>
                <w:noProof w:val="0"/>
                <w:rtl/>
                <w:lang w:eastAsia="en-US"/>
              </w:rPr>
              <w:t xml:space="preserve"> </w:t>
            </w:r>
            <w:r w:rsidRPr="00650F9C">
              <w:rPr>
                <w:rFonts w:ascii="QCF_P123" w:hAnsi="QCF_P123" w:cs="QCF_P123"/>
                <w:noProof w:val="0"/>
                <w:rtl/>
                <w:lang w:eastAsia="en-US"/>
              </w:rPr>
              <w:t>ﭘ</w:t>
            </w:r>
            <w:r>
              <w:rPr>
                <w:rFonts w:ascii="QCF_P123" w:hAnsi="QCF_P123" w:cs="QCF_P123" w:hint="cs"/>
                <w:noProof w:val="0"/>
                <w:rtl/>
                <w:lang w:eastAsia="en-US"/>
              </w:rPr>
              <w:t xml:space="preserve"> </w:t>
            </w:r>
            <w:r w:rsidRPr="00650F9C">
              <w:rPr>
                <w:rFonts w:ascii="QCF_P123" w:hAnsi="QCF_P123" w:cs="QCF_P123"/>
                <w:noProof w:val="0"/>
                <w:rtl/>
                <w:lang w:eastAsia="en-US"/>
              </w:rPr>
              <w:t>ﭙ</w:t>
            </w:r>
            <w:r>
              <w:rPr>
                <w:rFonts w:ascii="QCF_P123" w:hAnsi="QCF_P123" w:cs="QCF_P123" w:hint="cs"/>
                <w:noProof w:val="0"/>
                <w:rtl/>
                <w:lang w:eastAsia="en-US"/>
              </w:rPr>
              <w:t xml:space="preserve"> </w:t>
            </w:r>
            <w:r w:rsidRPr="00650F9C">
              <w:rPr>
                <w:rFonts w:ascii="QCF_P123" w:hAnsi="QCF_P123" w:cs="QCF_P123"/>
                <w:noProof w:val="0"/>
                <w:rtl/>
                <w:lang w:eastAsia="en-US"/>
              </w:rPr>
              <w:t>ﭚ</w:t>
            </w:r>
            <w:r>
              <w:rPr>
                <w:rFonts w:ascii="QCF_P123" w:hAnsi="QCF_P123" w:cs="QCF_P123" w:hint="cs"/>
                <w:noProof w:val="0"/>
                <w:rtl/>
                <w:lang w:eastAsia="en-US"/>
              </w:rPr>
              <w:t xml:space="preserve"> </w:t>
            </w:r>
            <w:r w:rsidRPr="00650F9C">
              <w:rPr>
                <w:rFonts w:ascii="QCF_P123" w:hAnsi="QCF_P123" w:cs="QCF_P123"/>
                <w:noProof w:val="0"/>
                <w:rtl/>
                <w:lang w:eastAsia="en-US"/>
              </w:rPr>
              <w:t>ﭛ</w:t>
            </w:r>
            <w:r>
              <w:rPr>
                <w:rFonts w:ascii="QCF_P123" w:hAnsi="QCF_P123" w:cs="QCF_P123" w:hint="cs"/>
                <w:noProof w:val="0"/>
                <w:rtl/>
                <w:lang w:eastAsia="en-US"/>
              </w:rPr>
              <w:t xml:space="preserve"> </w:t>
            </w:r>
            <w:r w:rsidRPr="00650F9C">
              <w:rPr>
                <w:rFonts w:ascii="QCF_P123" w:hAnsi="QCF_P123" w:cs="QCF_P123"/>
                <w:noProof w:val="0"/>
                <w:rtl/>
                <w:lang w:eastAsia="en-US"/>
              </w:rPr>
              <w:t>ﭜ</w:t>
            </w:r>
            <w:r>
              <w:rPr>
                <w:rFonts w:ascii="QCF_P123" w:hAnsi="QCF_P123" w:cs="QCF_P123" w:hint="cs"/>
                <w:noProof w:val="0"/>
                <w:rtl/>
                <w:lang w:eastAsia="en-US"/>
              </w:rPr>
              <w:t xml:space="preserve"> </w:t>
            </w:r>
            <w:r w:rsidRPr="00650F9C">
              <w:rPr>
                <w:rFonts w:ascii="QCF_P123" w:hAnsi="QCF_P123" w:cs="QCF_P123"/>
                <w:noProof w:val="0"/>
                <w:rtl/>
                <w:lang w:eastAsia="en-US"/>
              </w:rPr>
              <w:t>ﭝﭞﭟﭠ</w:t>
            </w:r>
            <w:r w:rsidRPr="00650F9C">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90</w:t>
            </w:r>
          </w:p>
        </w:tc>
        <w:tc>
          <w:tcPr>
            <w:tcW w:w="1560" w:type="dxa"/>
            <w:vAlign w:val="center"/>
          </w:tcPr>
          <w:p w:rsidR="00E90490" w:rsidRPr="00E90490" w:rsidRDefault="00AB0B9E" w:rsidP="00D82F52">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سورة_المائدة_90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A6051C">
              <w:rPr>
                <w:rFonts w:hint="cs"/>
                <w:rtl/>
              </w:rPr>
              <w:t>، 239(ح)</w:t>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rPr>
                <w:rtl/>
              </w:rPr>
            </w:pPr>
            <w:r w:rsidRPr="00895507">
              <w:rPr>
                <w:rFonts w:ascii="QCF_BSML" w:hAnsi="QCF_BSML" w:cs="QCF_BSML"/>
                <w:noProof w:val="0"/>
                <w:rtl/>
                <w:lang w:eastAsia="en-US"/>
              </w:rPr>
              <w:lastRenderedPageBreak/>
              <w:t>ﭽ</w:t>
            </w:r>
            <w:r w:rsidRPr="00895507">
              <w:rPr>
                <w:rFonts w:ascii="QCF_P123" w:hAnsi="QCF_P123" w:cs="QCF_P123"/>
                <w:noProof w:val="0"/>
                <w:rtl/>
                <w:lang w:eastAsia="en-US"/>
              </w:rPr>
              <w:t>ﭑ</w:t>
            </w:r>
            <w:r>
              <w:rPr>
                <w:rFonts w:ascii="QCF_P123" w:hAnsi="QCF_P123" w:cs="QCF_P123" w:hint="cs"/>
                <w:noProof w:val="0"/>
                <w:rtl/>
                <w:lang w:eastAsia="en-US"/>
              </w:rPr>
              <w:t xml:space="preserve"> </w:t>
            </w:r>
            <w:r w:rsidRPr="00895507">
              <w:rPr>
                <w:rFonts w:ascii="QCF_P123" w:hAnsi="QCF_P123" w:cs="QCF_P123"/>
                <w:noProof w:val="0"/>
                <w:rtl/>
                <w:lang w:eastAsia="en-US"/>
              </w:rPr>
              <w:t>ﭒ</w:t>
            </w:r>
            <w:r>
              <w:rPr>
                <w:rFonts w:ascii="QCF_P123" w:hAnsi="QCF_P123" w:cs="QCF_P123" w:hint="cs"/>
                <w:noProof w:val="0"/>
                <w:rtl/>
                <w:lang w:eastAsia="en-US"/>
              </w:rPr>
              <w:t xml:space="preserve"> </w:t>
            </w:r>
            <w:r w:rsidRPr="00895507">
              <w:rPr>
                <w:rFonts w:ascii="QCF_P123" w:hAnsi="QCF_P123" w:cs="QCF_P123"/>
                <w:noProof w:val="0"/>
                <w:rtl/>
                <w:lang w:eastAsia="en-US"/>
              </w:rPr>
              <w:t>ﭓ</w:t>
            </w:r>
            <w:r>
              <w:rPr>
                <w:rFonts w:ascii="QCF_P123" w:hAnsi="QCF_P123" w:cs="QCF_P123" w:hint="cs"/>
                <w:noProof w:val="0"/>
                <w:rtl/>
                <w:lang w:eastAsia="en-US"/>
              </w:rPr>
              <w:t xml:space="preserve"> </w:t>
            </w:r>
            <w:r w:rsidRPr="00895507">
              <w:rPr>
                <w:rFonts w:ascii="QCF_P123" w:hAnsi="QCF_P123" w:cs="QCF_P123"/>
                <w:noProof w:val="0"/>
                <w:rtl/>
                <w:lang w:eastAsia="en-US"/>
              </w:rPr>
              <w:t>ﭔ</w:t>
            </w:r>
            <w:r>
              <w:rPr>
                <w:rFonts w:ascii="QCF_P123" w:hAnsi="QCF_P123" w:cs="QCF_P123" w:hint="cs"/>
                <w:noProof w:val="0"/>
                <w:rtl/>
                <w:lang w:eastAsia="en-US"/>
              </w:rPr>
              <w:t xml:space="preserve"> </w:t>
            </w:r>
            <w:r w:rsidRPr="00895507">
              <w:rPr>
                <w:rFonts w:ascii="QCF_P123" w:hAnsi="QCF_P123" w:cs="QCF_P123"/>
                <w:noProof w:val="0"/>
                <w:rtl/>
                <w:lang w:eastAsia="en-US"/>
              </w:rPr>
              <w:t>ﭕ</w:t>
            </w:r>
            <w:r>
              <w:rPr>
                <w:rFonts w:ascii="QCF_P123" w:hAnsi="QCF_P123" w:cs="QCF_P123" w:hint="cs"/>
                <w:noProof w:val="0"/>
                <w:rtl/>
                <w:lang w:eastAsia="en-US"/>
              </w:rPr>
              <w:t xml:space="preserve"> </w:t>
            </w:r>
            <w:r w:rsidRPr="00895507">
              <w:rPr>
                <w:rFonts w:ascii="QCF_P123" w:hAnsi="QCF_P123" w:cs="QCF_P123"/>
                <w:noProof w:val="0"/>
                <w:rtl/>
                <w:lang w:eastAsia="en-US"/>
              </w:rPr>
              <w:t>ﭖ</w:t>
            </w:r>
            <w:r>
              <w:rPr>
                <w:rFonts w:ascii="QCF_P123" w:hAnsi="QCF_P123" w:cs="QCF_P123" w:hint="cs"/>
                <w:noProof w:val="0"/>
                <w:rtl/>
                <w:lang w:eastAsia="en-US"/>
              </w:rPr>
              <w:t xml:space="preserve"> </w:t>
            </w:r>
            <w:r w:rsidRPr="00895507">
              <w:rPr>
                <w:rFonts w:ascii="QCF_P123" w:hAnsi="QCF_P123" w:cs="QCF_P123"/>
                <w:noProof w:val="0"/>
                <w:rtl/>
                <w:lang w:eastAsia="en-US"/>
              </w:rPr>
              <w:t>ﭗ</w:t>
            </w:r>
            <w:r>
              <w:rPr>
                <w:rFonts w:ascii="QCF_P123" w:hAnsi="QCF_P123" w:cs="QCF_P123" w:hint="cs"/>
                <w:noProof w:val="0"/>
                <w:rtl/>
                <w:lang w:eastAsia="en-US"/>
              </w:rPr>
              <w:t xml:space="preserve"> </w:t>
            </w:r>
            <w:r w:rsidRPr="00895507">
              <w:rPr>
                <w:rFonts w:ascii="QCF_P123" w:hAnsi="QCF_P123" w:cs="QCF_P123"/>
                <w:noProof w:val="0"/>
                <w:rtl/>
                <w:lang w:eastAsia="en-US"/>
              </w:rPr>
              <w:t>ﭘ</w:t>
            </w:r>
            <w:r>
              <w:rPr>
                <w:rFonts w:ascii="QCF_P123" w:hAnsi="QCF_P123" w:cs="QCF_P123" w:hint="cs"/>
                <w:noProof w:val="0"/>
                <w:rtl/>
                <w:lang w:eastAsia="en-US"/>
              </w:rPr>
              <w:t xml:space="preserve"> </w:t>
            </w:r>
            <w:r w:rsidRPr="00895507">
              <w:rPr>
                <w:rFonts w:ascii="QCF_P123" w:hAnsi="QCF_P123" w:cs="QCF_P123"/>
                <w:noProof w:val="0"/>
                <w:rtl/>
                <w:lang w:eastAsia="en-US"/>
              </w:rPr>
              <w:t>ﭙ</w:t>
            </w:r>
            <w:r>
              <w:rPr>
                <w:rFonts w:ascii="QCF_P123" w:hAnsi="QCF_P123" w:cs="QCF_P123" w:hint="cs"/>
                <w:noProof w:val="0"/>
                <w:rtl/>
                <w:lang w:eastAsia="en-US"/>
              </w:rPr>
              <w:t xml:space="preserve"> </w:t>
            </w:r>
            <w:r w:rsidRPr="00895507">
              <w:rPr>
                <w:rFonts w:ascii="QCF_P123" w:hAnsi="QCF_P123" w:cs="QCF_P123"/>
                <w:noProof w:val="0"/>
                <w:rtl/>
                <w:lang w:eastAsia="en-US"/>
              </w:rPr>
              <w:t>ﭚ</w:t>
            </w:r>
            <w:r>
              <w:rPr>
                <w:rFonts w:ascii="QCF_P123" w:hAnsi="QCF_P123" w:cs="QCF_P123" w:hint="cs"/>
                <w:noProof w:val="0"/>
                <w:rtl/>
                <w:lang w:eastAsia="en-US"/>
              </w:rPr>
              <w:t xml:space="preserve"> </w:t>
            </w:r>
            <w:r w:rsidRPr="00895507">
              <w:rPr>
                <w:rFonts w:ascii="QCF_P123" w:hAnsi="QCF_P123" w:cs="QCF_P123"/>
                <w:noProof w:val="0"/>
                <w:rtl/>
                <w:lang w:eastAsia="en-US"/>
              </w:rPr>
              <w:t>ﭛ</w:t>
            </w:r>
            <w:r>
              <w:rPr>
                <w:rFonts w:ascii="QCF_P123" w:hAnsi="QCF_P123" w:cs="QCF_P123" w:hint="cs"/>
                <w:noProof w:val="0"/>
                <w:rtl/>
                <w:lang w:eastAsia="en-US"/>
              </w:rPr>
              <w:t xml:space="preserve"> </w:t>
            </w:r>
            <w:r w:rsidRPr="00895507">
              <w:rPr>
                <w:rFonts w:ascii="QCF_P123" w:hAnsi="QCF_P123" w:cs="QCF_P123"/>
                <w:noProof w:val="0"/>
                <w:rtl/>
                <w:lang w:eastAsia="en-US"/>
              </w:rPr>
              <w:t>ﭜ</w:t>
            </w:r>
            <w:r>
              <w:rPr>
                <w:rFonts w:ascii="QCF_P123" w:hAnsi="QCF_P123" w:cs="QCF_P123" w:hint="cs"/>
                <w:noProof w:val="0"/>
                <w:rtl/>
                <w:lang w:eastAsia="en-US"/>
              </w:rPr>
              <w:t xml:space="preserve"> </w:t>
            </w:r>
            <w:r w:rsidRPr="00895507">
              <w:rPr>
                <w:rFonts w:ascii="QCF_P123" w:hAnsi="QCF_P123" w:cs="QCF_P123"/>
                <w:noProof w:val="0"/>
                <w:rtl/>
                <w:lang w:eastAsia="en-US"/>
              </w:rPr>
              <w:t>ﭝ</w:t>
            </w:r>
            <w:r>
              <w:rPr>
                <w:rFonts w:ascii="QCF_P123" w:hAnsi="QCF_P123" w:cs="QCF_P123" w:hint="cs"/>
                <w:noProof w:val="0"/>
                <w:rtl/>
                <w:lang w:eastAsia="en-US"/>
              </w:rPr>
              <w:t xml:space="preserve"> </w:t>
            </w:r>
            <w:r w:rsidRPr="00895507">
              <w:rPr>
                <w:rFonts w:ascii="QCF_P123" w:hAnsi="QCF_P123" w:cs="QCF_P123"/>
                <w:noProof w:val="0"/>
                <w:rtl/>
                <w:lang w:eastAsia="en-US"/>
              </w:rPr>
              <w:t>ﭞ</w:t>
            </w:r>
            <w:r>
              <w:rPr>
                <w:rFonts w:ascii="QCF_P123" w:hAnsi="QCF_P123" w:cs="QCF_P123" w:hint="cs"/>
                <w:noProof w:val="0"/>
                <w:rtl/>
                <w:lang w:eastAsia="en-US"/>
              </w:rPr>
              <w:t xml:space="preserve"> </w:t>
            </w:r>
            <w:r w:rsidRPr="00895507">
              <w:rPr>
                <w:rFonts w:ascii="QCF_P123" w:hAnsi="QCF_P123" w:cs="QCF_P123"/>
                <w:noProof w:val="0"/>
                <w:rtl/>
                <w:lang w:eastAsia="en-US"/>
              </w:rPr>
              <w:t>ﭟ</w:t>
            </w:r>
            <w:r>
              <w:rPr>
                <w:rFonts w:ascii="QCF_P123" w:hAnsi="QCF_P123" w:cs="QCF_P123" w:hint="cs"/>
                <w:noProof w:val="0"/>
                <w:rtl/>
                <w:lang w:eastAsia="en-US"/>
              </w:rPr>
              <w:t xml:space="preserve"> </w:t>
            </w:r>
            <w:r w:rsidRPr="00895507">
              <w:rPr>
                <w:rFonts w:ascii="QCF_P123" w:hAnsi="QCF_P123" w:cs="QCF_P123"/>
                <w:noProof w:val="0"/>
                <w:rtl/>
                <w:lang w:eastAsia="en-US"/>
              </w:rPr>
              <w:t>ﭠ</w:t>
            </w:r>
            <w:r>
              <w:rPr>
                <w:rFonts w:ascii="QCF_P123" w:hAnsi="QCF_P123" w:cs="QCF_P123" w:hint="cs"/>
                <w:noProof w:val="0"/>
                <w:rtl/>
                <w:lang w:eastAsia="en-US"/>
              </w:rPr>
              <w:t xml:space="preserve"> </w:t>
            </w:r>
            <w:r w:rsidRPr="00895507">
              <w:rPr>
                <w:rFonts w:ascii="QCF_P123" w:hAnsi="QCF_P123" w:cs="QCF_P123"/>
                <w:noProof w:val="0"/>
                <w:rtl/>
                <w:lang w:eastAsia="en-US"/>
              </w:rPr>
              <w:t>ﭡ</w:t>
            </w:r>
            <w:r>
              <w:rPr>
                <w:rFonts w:ascii="QCF_P123" w:hAnsi="QCF_P123" w:cs="QCF_P123" w:hint="cs"/>
                <w:noProof w:val="0"/>
                <w:rtl/>
                <w:lang w:eastAsia="en-US"/>
              </w:rPr>
              <w:t xml:space="preserve"> </w:t>
            </w:r>
            <w:r w:rsidRPr="00895507">
              <w:rPr>
                <w:rFonts w:ascii="QCF_P123" w:hAnsi="QCF_P123" w:cs="QCF_P123"/>
                <w:noProof w:val="0"/>
                <w:rtl/>
                <w:lang w:eastAsia="en-US"/>
              </w:rPr>
              <w:t>ﭢ</w:t>
            </w:r>
            <w:r>
              <w:rPr>
                <w:rFonts w:ascii="QCF_P123" w:hAnsi="QCF_P123" w:cs="QCF_P123" w:hint="cs"/>
                <w:noProof w:val="0"/>
                <w:rtl/>
                <w:lang w:eastAsia="en-US"/>
              </w:rPr>
              <w:t xml:space="preserve"> </w:t>
            </w:r>
            <w:r w:rsidRPr="00895507">
              <w:rPr>
                <w:rFonts w:ascii="QCF_P123" w:hAnsi="QCF_P123" w:cs="QCF_P123"/>
                <w:noProof w:val="0"/>
                <w:rtl/>
                <w:lang w:eastAsia="en-US"/>
              </w:rPr>
              <w:t>ﭣ</w:t>
            </w:r>
            <w:r>
              <w:rPr>
                <w:rFonts w:ascii="QCF_P123" w:hAnsi="QCF_P123" w:cs="QCF_P123" w:hint="cs"/>
                <w:noProof w:val="0"/>
                <w:rtl/>
                <w:lang w:eastAsia="en-US"/>
              </w:rPr>
              <w:t xml:space="preserve"> </w:t>
            </w:r>
            <w:r w:rsidRPr="00895507">
              <w:rPr>
                <w:rFonts w:ascii="QCF_P123" w:hAnsi="QCF_P123" w:cs="QCF_P123"/>
                <w:noProof w:val="0"/>
                <w:rtl/>
                <w:lang w:eastAsia="en-US"/>
              </w:rPr>
              <w:t>ﭤ</w:t>
            </w:r>
            <w:r>
              <w:rPr>
                <w:rFonts w:ascii="QCF_P123" w:hAnsi="QCF_P123" w:cs="QCF_P123" w:hint="cs"/>
                <w:noProof w:val="0"/>
                <w:rtl/>
                <w:lang w:eastAsia="en-US"/>
              </w:rPr>
              <w:t xml:space="preserve"> </w:t>
            </w:r>
            <w:r w:rsidRPr="00895507">
              <w:rPr>
                <w:rFonts w:ascii="QCF_P123" w:hAnsi="QCF_P123" w:cs="QCF_P123"/>
                <w:noProof w:val="0"/>
                <w:rtl/>
                <w:lang w:eastAsia="en-US"/>
              </w:rPr>
              <w:t>ﭥ</w:t>
            </w:r>
            <w:r>
              <w:rPr>
                <w:rFonts w:ascii="QCF_P123" w:hAnsi="QCF_P123" w:cs="QCF_P123" w:hint="cs"/>
                <w:noProof w:val="0"/>
                <w:rtl/>
                <w:lang w:eastAsia="en-US"/>
              </w:rPr>
              <w:t xml:space="preserve"> </w:t>
            </w:r>
            <w:r w:rsidRPr="00895507">
              <w:rPr>
                <w:rFonts w:ascii="QCF_P123" w:hAnsi="QCF_P123" w:cs="QCF_P123"/>
                <w:noProof w:val="0"/>
                <w:rtl/>
                <w:lang w:eastAsia="en-US"/>
              </w:rPr>
              <w:t>ﭦ</w:t>
            </w:r>
            <w:r>
              <w:rPr>
                <w:rFonts w:ascii="QCF_P123" w:hAnsi="QCF_P123" w:cs="QCF_P123" w:hint="cs"/>
                <w:noProof w:val="0"/>
                <w:rtl/>
                <w:lang w:eastAsia="en-US"/>
              </w:rPr>
              <w:t xml:space="preserve"> </w:t>
            </w:r>
            <w:r w:rsidRPr="00895507">
              <w:rPr>
                <w:rFonts w:ascii="QCF_P123" w:hAnsi="QCF_P123" w:cs="QCF_P123"/>
                <w:noProof w:val="0"/>
                <w:rtl/>
                <w:lang w:eastAsia="en-US"/>
              </w:rPr>
              <w:t>ﭧ</w:t>
            </w:r>
            <w:r>
              <w:rPr>
                <w:rFonts w:ascii="QCF_P123" w:hAnsi="QCF_P123" w:cs="QCF_P123" w:hint="cs"/>
                <w:noProof w:val="0"/>
                <w:rtl/>
                <w:lang w:eastAsia="en-US"/>
              </w:rPr>
              <w:t xml:space="preserve"> </w:t>
            </w:r>
            <w:r w:rsidRPr="00895507">
              <w:rPr>
                <w:rFonts w:ascii="QCF_P123" w:hAnsi="QCF_P123" w:cs="QCF_P123"/>
                <w:noProof w:val="0"/>
                <w:rtl/>
                <w:lang w:eastAsia="en-US"/>
              </w:rPr>
              <w:t>ﭨ</w:t>
            </w:r>
            <w:r>
              <w:rPr>
                <w:rFonts w:ascii="QCF_P123" w:hAnsi="QCF_P123" w:cs="QCF_P123" w:hint="cs"/>
                <w:noProof w:val="0"/>
                <w:rtl/>
                <w:lang w:eastAsia="en-US"/>
              </w:rPr>
              <w:t xml:space="preserve"> </w:t>
            </w:r>
            <w:r w:rsidRPr="00895507">
              <w:rPr>
                <w:rFonts w:ascii="QCF_P123" w:hAnsi="QCF_P123" w:cs="QCF_P123"/>
                <w:noProof w:val="0"/>
                <w:rtl/>
                <w:lang w:eastAsia="en-US"/>
              </w:rPr>
              <w:t>ﭩ</w:t>
            </w:r>
            <w:r>
              <w:rPr>
                <w:rFonts w:ascii="QCF_P123" w:hAnsi="QCF_P123" w:cs="QCF_P123" w:hint="cs"/>
                <w:noProof w:val="0"/>
                <w:rtl/>
                <w:lang w:eastAsia="en-US"/>
              </w:rPr>
              <w:t xml:space="preserve"> </w:t>
            </w:r>
            <w:r w:rsidRPr="00895507">
              <w:rPr>
                <w:rFonts w:ascii="QCF_P123" w:hAnsi="QCF_P123" w:cs="QCF_P123"/>
                <w:noProof w:val="0"/>
                <w:rtl/>
                <w:lang w:eastAsia="en-US"/>
              </w:rPr>
              <w:t>ﭪ</w:t>
            </w:r>
            <w:r>
              <w:rPr>
                <w:rFonts w:ascii="QCF_P123" w:hAnsi="QCF_P123" w:cs="QCF_P123" w:hint="cs"/>
                <w:noProof w:val="0"/>
                <w:rtl/>
                <w:lang w:eastAsia="en-US"/>
              </w:rPr>
              <w:t xml:space="preserve"> </w:t>
            </w:r>
            <w:r w:rsidRPr="00895507">
              <w:rPr>
                <w:rFonts w:ascii="QCF_P123" w:hAnsi="QCF_P123" w:cs="QCF_P123"/>
                <w:noProof w:val="0"/>
                <w:rtl/>
                <w:lang w:eastAsia="en-US"/>
              </w:rPr>
              <w:t>ﭫ</w:t>
            </w:r>
            <w:r>
              <w:rPr>
                <w:rFonts w:ascii="QCF_P123" w:hAnsi="QCF_P123" w:cs="QCF_P123" w:hint="cs"/>
                <w:noProof w:val="0"/>
                <w:rtl/>
                <w:lang w:eastAsia="en-US"/>
              </w:rPr>
              <w:t xml:space="preserve"> </w:t>
            </w:r>
            <w:r w:rsidRPr="00895507">
              <w:rPr>
                <w:rFonts w:ascii="QCF_P123" w:hAnsi="QCF_P123" w:cs="QCF_P123"/>
                <w:noProof w:val="0"/>
                <w:rtl/>
                <w:lang w:eastAsia="en-US"/>
              </w:rPr>
              <w:t>ﭬ</w:t>
            </w:r>
            <w:r>
              <w:rPr>
                <w:rFonts w:ascii="QCF_P123" w:hAnsi="QCF_P123" w:cs="QCF_P123" w:hint="cs"/>
                <w:noProof w:val="0"/>
                <w:rtl/>
                <w:lang w:eastAsia="en-US"/>
              </w:rPr>
              <w:t xml:space="preserve"> </w:t>
            </w:r>
            <w:r w:rsidRPr="00895507">
              <w:rPr>
                <w:rFonts w:ascii="QCF_P123" w:hAnsi="QCF_P123" w:cs="QCF_P123"/>
                <w:noProof w:val="0"/>
                <w:rtl/>
                <w:lang w:eastAsia="en-US"/>
              </w:rPr>
              <w:t>ﭭ</w:t>
            </w:r>
            <w:r>
              <w:rPr>
                <w:rFonts w:ascii="QCF_P123" w:hAnsi="QCF_P123" w:cs="QCF_P123" w:hint="cs"/>
                <w:noProof w:val="0"/>
                <w:rtl/>
                <w:lang w:eastAsia="en-US"/>
              </w:rPr>
              <w:t xml:space="preserve"> </w:t>
            </w:r>
            <w:r w:rsidRPr="00895507">
              <w:rPr>
                <w:rFonts w:ascii="QCF_P123" w:hAnsi="QCF_P123" w:cs="QCF_P123"/>
                <w:noProof w:val="0"/>
                <w:rtl/>
                <w:lang w:eastAsia="en-US"/>
              </w:rPr>
              <w:t>ﭮ</w:t>
            </w:r>
            <w:r>
              <w:rPr>
                <w:rFonts w:ascii="QCF_P123" w:hAnsi="QCF_P123" w:cs="QCF_P123" w:hint="cs"/>
                <w:noProof w:val="0"/>
                <w:rtl/>
                <w:lang w:eastAsia="en-US"/>
              </w:rPr>
              <w:t xml:space="preserve"> </w:t>
            </w:r>
            <w:r w:rsidRPr="00895507">
              <w:rPr>
                <w:rFonts w:ascii="QCF_P123" w:hAnsi="QCF_P123" w:cs="QCF_P123"/>
                <w:noProof w:val="0"/>
                <w:rtl/>
                <w:lang w:eastAsia="en-US"/>
              </w:rPr>
              <w:t>ﭯ</w:t>
            </w:r>
            <w:r>
              <w:rPr>
                <w:rFonts w:ascii="QCF_P123" w:hAnsi="QCF_P123" w:cs="QCF_P123" w:hint="cs"/>
                <w:noProof w:val="0"/>
                <w:rtl/>
                <w:lang w:eastAsia="en-US"/>
              </w:rPr>
              <w:t xml:space="preserve"> </w:t>
            </w:r>
            <w:r w:rsidRPr="00895507">
              <w:rPr>
                <w:rFonts w:ascii="QCF_P123" w:hAnsi="QCF_P123" w:cs="QCF_P123"/>
                <w:noProof w:val="0"/>
                <w:rtl/>
                <w:lang w:eastAsia="en-US"/>
              </w:rPr>
              <w:t>ﭰ</w:t>
            </w:r>
            <w:r>
              <w:rPr>
                <w:rFonts w:ascii="QCF_P123" w:hAnsi="QCF_P123" w:cs="QCF_P123" w:hint="cs"/>
                <w:noProof w:val="0"/>
                <w:rtl/>
                <w:lang w:eastAsia="en-US"/>
              </w:rPr>
              <w:t xml:space="preserve"> </w:t>
            </w:r>
            <w:r w:rsidRPr="00895507">
              <w:rPr>
                <w:rFonts w:ascii="QCF_P123" w:hAnsi="QCF_P123" w:cs="QCF_P123"/>
                <w:noProof w:val="0"/>
                <w:rtl/>
                <w:lang w:eastAsia="en-US"/>
              </w:rPr>
              <w:t>ﭱ</w:t>
            </w:r>
            <w:r>
              <w:rPr>
                <w:rFonts w:ascii="QCF_P123" w:hAnsi="QCF_P123" w:cs="QCF_P123" w:hint="cs"/>
                <w:noProof w:val="0"/>
                <w:rtl/>
                <w:lang w:eastAsia="en-US"/>
              </w:rPr>
              <w:t xml:space="preserve"> </w:t>
            </w:r>
            <w:r w:rsidRPr="00895507">
              <w:rPr>
                <w:rFonts w:ascii="QCF_P123" w:hAnsi="QCF_P123" w:cs="QCF_P123"/>
                <w:noProof w:val="0"/>
                <w:color w:val="0000A5"/>
                <w:rtl/>
                <w:lang w:eastAsia="en-US"/>
              </w:rPr>
              <w:t>ﭲ</w:t>
            </w:r>
            <w:r>
              <w:rPr>
                <w:rFonts w:ascii="QCF_P123" w:hAnsi="QCF_P123" w:cs="QCF_P123" w:hint="cs"/>
                <w:noProof w:val="0"/>
                <w:color w:val="0000A5"/>
                <w:rtl/>
                <w:lang w:eastAsia="en-US"/>
              </w:rPr>
              <w:t xml:space="preserve"> </w:t>
            </w:r>
            <w:r w:rsidRPr="00895507">
              <w:rPr>
                <w:rFonts w:ascii="QCF_P123" w:hAnsi="QCF_P123" w:cs="QCF_P123"/>
                <w:noProof w:val="0"/>
                <w:rtl/>
                <w:lang w:eastAsia="en-US"/>
              </w:rPr>
              <w:t>ﭳ</w:t>
            </w:r>
            <w:r>
              <w:rPr>
                <w:rFonts w:ascii="QCF_P123" w:hAnsi="QCF_P123" w:cs="QCF_P123" w:hint="cs"/>
                <w:noProof w:val="0"/>
                <w:rtl/>
                <w:lang w:eastAsia="en-US"/>
              </w:rPr>
              <w:t xml:space="preserve"> </w:t>
            </w:r>
            <w:r w:rsidRPr="00895507">
              <w:rPr>
                <w:rFonts w:ascii="QCF_P123" w:hAnsi="QCF_P123" w:cs="QCF_P123"/>
                <w:noProof w:val="0"/>
                <w:rtl/>
                <w:lang w:eastAsia="en-US"/>
              </w:rPr>
              <w:t>ﭴ</w:t>
            </w:r>
            <w:r>
              <w:rPr>
                <w:rFonts w:ascii="QCF_P123" w:hAnsi="QCF_P123" w:cs="QCF_P123" w:hint="cs"/>
                <w:noProof w:val="0"/>
                <w:rtl/>
                <w:lang w:eastAsia="en-US"/>
              </w:rPr>
              <w:t xml:space="preserve"> </w:t>
            </w:r>
            <w:r w:rsidRPr="00895507">
              <w:rPr>
                <w:rFonts w:ascii="QCF_P123" w:hAnsi="QCF_P123" w:cs="QCF_P123"/>
                <w:noProof w:val="0"/>
                <w:rtl/>
                <w:lang w:eastAsia="en-US"/>
              </w:rPr>
              <w:t>ﭵ</w:t>
            </w:r>
            <w:r w:rsidRPr="00895507">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90 - 91</w:t>
            </w:r>
          </w:p>
        </w:tc>
        <w:tc>
          <w:tcPr>
            <w:tcW w:w="1560" w:type="dxa"/>
            <w:vAlign w:val="center"/>
          </w:tcPr>
          <w:p w:rsidR="00E90490" w:rsidRPr="00E90490" w:rsidRDefault="00D82F52" w:rsidP="00597C20">
            <w:pPr>
              <w:tabs>
                <w:tab w:val="right" w:leader="dot" w:pos="6802"/>
                <w:tab w:val="right" w:leader="dot" w:pos="8787"/>
              </w:tabs>
              <w:ind w:firstLine="0"/>
              <w:jc w:val="center"/>
              <w:rPr>
                <w:rtl/>
              </w:rPr>
            </w:pPr>
            <w:r>
              <w:rPr>
                <w:rFonts w:hint="cs"/>
                <w:rtl/>
              </w:rPr>
              <w:t>574</w:t>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pPr>
            <w:r w:rsidRPr="00427B84">
              <w:rPr>
                <w:rFonts w:ascii="QCF_BSML" w:hAnsi="QCF_BSML" w:cs="QCF_BSML"/>
                <w:noProof w:val="0"/>
                <w:rtl/>
                <w:lang w:eastAsia="en-US"/>
              </w:rPr>
              <w:t>ﭽ</w:t>
            </w:r>
            <w:r w:rsidRPr="00427B84">
              <w:rPr>
                <w:rFonts w:ascii="QCF_P123" w:hAnsi="QCF_P123" w:cs="QCF_P123"/>
                <w:noProof w:val="0"/>
                <w:rtl/>
                <w:lang w:eastAsia="en-US"/>
              </w:rPr>
              <w:t>ﭡ</w:t>
            </w:r>
            <w:r>
              <w:rPr>
                <w:rFonts w:ascii="QCF_P123" w:hAnsi="QCF_P123" w:cs="QCF_P123" w:hint="cs"/>
                <w:noProof w:val="0"/>
                <w:rtl/>
                <w:lang w:eastAsia="en-US"/>
              </w:rPr>
              <w:t xml:space="preserve"> </w:t>
            </w:r>
            <w:r w:rsidRPr="00427B84">
              <w:rPr>
                <w:rFonts w:ascii="QCF_P123" w:hAnsi="QCF_P123" w:cs="QCF_P123"/>
                <w:noProof w:val="0"/>
                <w:rtl/>
                <w:lang w:eastAsia="en-US"/>
              </w:rPr>
              <w:t>ﭢ</w:t>
            </w:r>
            <w:r>
              <w:rPr>
                <w:rFonts w:ascii="QCF_P123" w:hAnsi="QCF_P123" w:cs="QCF_P123" w:hint="cs"/>
                <w:noProof w:val="0"/>
                <w:rtl/>
                <w:lang w:eastAsia="en-US"/>
              </w:rPr>
              <w:t xml:space="preserve"> </w:t>
            </w:r>
            <w:r w:rsidRPr="00427B84">
              <w:rPr>
                <w:rFonts w:ascii="QCF_P123" w:hAnsi="QCF_P123" w:cs="QCF_P123"/>
                <w:noProof w:val="0"/>
                <w:rtl/>
                <w:lang w:eastAsia="en-US"/>
              </w:rPr>
              <w:t>ﭣ</w:t>
            </w:r>
            <w:r>
              <w:rPr>
                <w:rFonts w:ascii="QCF_P123" w:hAnsi="QCF_P123" w:cs="QCF_P123" w:hint="cs"/>
                <w:noProof w:val="0"/>
                <w:rtl/>
                <w:lang w:eastAsia="en-US"/>
              </w:rPr>
              <w:t xml:space="preserve"> </w:t>
            </w:r>
            <w:r w:rsidRPr="00427B84">
              <w:rPr>
                <w:rFonts w:ascii="QCF_P123" w:hAnsi="QCF_P123" w:cs="QCF_P123"/>
                <w:noProof w:val="0"/>
                <w:rtl/>
                <w:lang w:eastAsia="en-US"/>
              </w:rPr>
              <w:t>ﭤ</w:t>
            </w:r>
            <w:r>
              <w:rPr>
                <w:rFonts w:ascii="QCF_P123" w:hAnsi="QCF_P123" w:cs="QCF_P123" w:hint="cs"/>
                <w:noProof w:val="0"/>
                <w:rtl/>
                <w:lang w:eastAsia="en-US"/>
              </w:rPr>
              <w:t xml:space="preserve"> </w:t>
            </w:r>
            <w:r w:rsidRPr="00427B84">
              <w:rPr>
                <w:rFonts w:ascii="QCF_P123" w:hAnsi="QCF_P123" w:cs="QCF_P123"/>
                <w:noProof w:val="0"/>
                <w:rtl/>
                <w:lang w:eastAsia="en-US"/>
              </w:rPr>
              <w:t>ﭥ</w:t>
            </w:r>
            <w:r>
              <w:rPr>
                <w:rFonts w:ascii="QCF_P123" w:hAnsi="QCF_P123" w:cs="QCF_P123" w:hint="cs"/>
                <w:noProof w:val="0"/>
                <w:rtl/>
                <w:lang w:eastAsia="en-US"/>
              </w:rPr>
              <w:t xml:space="preserve"> </w:t>
            </w:r>
            <w:r w:rsidRPr="00427B84">
              <w:rPr>
                <w:rFonts w:ascii="QCF_P123" w:hAnsi="QCF_P123" w:cs="QCF_P123"/>
                <w:noProof w:val="0"/>
                <w:rtl/>
                <w:lang w:eastAsia="en-US"/>
              </w:rPr>
              <w:t>ﭦ</w:t>
            </w:r>
            <w:r>
              <w:rPr>
                <w:rFonts w:ascii="QCF_P123" w:hAnsi="QCF_P123" w:cs="QCF_P123" w:hint="cs"/>
                <w:noProof w:val="0"/>
                <w:rtl/>
                <w:lang w:eastAsia="en-US"/>
              </w:rPr>
              <w:t xml:space="preserve"> </w:t>
            </w:r>
            <w:r w:rsidRPr="00427B84">
              <w:rPr>
                <w:rFonts w:ascii="QCF_P123" w:hAnsi="QCF_P123" w:cs="QCF_P123"/>
                <w:noProof w:val="0"/>
                <w:rtl/>
                <w:lang w:eastAsia="en-US"/>
              </w:rPr>
              <w:t>ﭧ</w:t>
            </w:r>
            <w:r>
              <w:rPr>
                <w:rFonts w:ascii="QCF_P123" w:hAnsi="QCF_P123" w:cs="QCF_P123" w:hint="cs"/>
                <w:noProof w:val="0"/>
                <w:rtl/>
                <w:lang w:eastAsia="en-US"/>
              </w:rPr>
              <w:t xml:space="preserve"> </w:t>
            </w:r>
            <w:r w:rsidRPr="00427B84">
              <w:rPr>
                <w:rFonts w:ascii="QCF_P123" w:hAnsi="QCF_P123" w:cs="QCF_P123"/>
                <w:noProof w:val="0"/>
                <w:rtl/>
                <w:lang w:eastAsia="en-US"/>
              </w:rPr>
              <w:t>ﭨ</w:t>
            </w:r>
            <w:r>
              <w:rPr>
                <w:rFonts w:ascii="QCF_P123" w:hAnsi="QCF_P123" w:cs="QCF_P123" w:hint="cs"/>
                <w:noProof w:val="0"/>
                <w:rtl/>
                <w:lang w:eastAsia="en-US"/>
              </w:rPr>
              <w:t xml:space="preserve"> </w:t>
            </w:r>
            <w:r w:rsidRPr="00427B84">
              <w:rPr>
                <w:rFonts w:ascii="QCF_P123" w:hAnsi="QCF_P123" w:cs="QCF_P123"/>
                <w:noProof w:val="0"/>
                <w:rtl/>
                <w:lang w:eastAsia="en-US"/>
              </w:rPr>
              <w:t>ﭩ</w:t>
            </w:r>
            <w:r>
              <w:rPr>
                <w:rFonts w:ascii="QCF_P123" w:hAnsi="QCF_P123" w:cs="QCF_P123" w:hint="cs"/>
                <w:noProof w:val="0"/>
                <w:rtl/>
                <w:lang w:eastAsia="en-US"/>
              </w:rPr>
              <w:t xml:space="preserve"> </w:t>
            </w:r>
            <w:r w:rsidRPr="00427B84">
              <w:rPr>
                <w:rFonts w:ascii="QCF_P123" w:hAnsi="QCF_P123" w:cs="QCF_P123"/>
                <w:noProof w:val="0"/>
                <w:rtl/>
                <w:lang w:eastAsia="en-US"/>
              </w:rPr>
              <w:t>ﭪ</w:t>
            </w:r>
            <w:r>
              <w:rPr>
                <w:rFonts w:ascii="QCF_P123" w:hAnsi="QCF_P123" w:cs="QCF_P123" w:hint="cs"/>
                <w:noProof w:val="0"/>
                <w:rtl/>
                <w:lang w:eastAsia="en-US"/>
              </w:rPr>
              <w:t xml:space="preserve"> </w:t>
            </w:r>
            <w:r w:rsidRPr="00427B84">
              <w:rPr>
                <w:rFonts w:ascii="QCF_P123" w:hAnsi="QCF_P123" w:cs="QCF_P123"/>
                <w:noProof w:val="0"/>
                <w:rtl/>
                <w:lang w:eastAsia="en-US"/>
              </w:rPr>
              <w:t>ﭫ</w:t>
            </w:r>
            <w:r>
              <w:rPr>
                <w:rFonts w:ascii="QCF_P123" w:hAnsi="QCF_P123" w:cs="QCF_P123" w:hint="cs"/>
                <w:noProof w:val="0"/>
                <w:rtl/>
                <w:lang w:eastAsia="en-US"/>
              </w:rPr>
              <w:t xml:space="preserve"> </w:t>
            </w:r>
            <w:r w:rsidRPr="00427B84">
              <w:rPr>
                <w:rFonts w:ascii="QCF_P123" w:hAnsi="QCF_P123" w:cs="QCF_P123"/>
                <w:noProof w:val="0"/>
                <w:rtl/>
                <w:lang w:eastAsia="en-US"/>
              </w:rPr>
              <w:t>ﭬ</w:t>
            </w:r>
            <w:r>
              <w:rPr>
                <w:rFonts w:ascii="QCF_P123" w:hAnsi="QCF_P123" w:cs="QCF_P123" w:hint="cs"/>
                <w:noProof w:val="0"/>
                <w:rtl/>
                <w:lang w:eastAsia="en-US"/>
              </w:rPr>
              <w:t xml:space="preserve"> </w:t>
            </w:r>
            <w:r w:rsidRPr="00427B84">
              <w:rPr>
                <w:rFonts w:ascii="QCF_P123" w:hAnsi="QCF_P123" w:cs="QCF_P123"/>
                <w:noProof w:val="0"/>
                <w:rtl/>
                <w:lang w:eastAsia="en-US"/>
              </w:rPr>
              <w:t>ﭭ</w:t>
            </w:r>
            <w:r>
              <w:rPr>
                <w:rFonts w:ascii="QCF_P123" w:hAnsi="QCF_P123" w:cs="QCF_P123" w:hint="cs"/>
                <w:noProof w:val="0"/>
                <w:rtl/>
                <w:lang w:eastAsia="en-US"/>
              </w:rPr>
              <w:t xml:space="preserve"> </w:t>
            </w:r>
            <w:r w:rsidRPr="00427B84">
              <w:rPr>
                <w:rFonts w:ascii="QCF_P123" w:hAnsi="QCF_P123" w:cs="QCF_P123"/>
                <w:noProof w:val="0"/>
                <w:rtl/>
                <w:lang w:eastAsia="en-US"/>
              </w:rPr>
              <w:t>ﭮ</w:t>
            </w:r>
            <w:r>
              <w:rPr>
                <w:rFonts w:ascii="QCF_P123" w:hAnsi="QCF_P123" w:cs="QCF_P123" w:hint="cs"/>
                <w:noProof w:val="0"/>
                <w:rtl/>
                <w:lang w:eastAsia="en-US"/>
              </w:rPr>
              <w:t xml:space="preserve"> </w:t>
            </w:r>
            <w:r w:rsidRPr="00427B84">
              <w:rPr>
                <w:rFonts w:ascii="QCF_P123" w:hAnsi="QCF_P123" w:cs="QCF_P123"/>
                <w:noProof w:val="0"/>
                <w:rtl/>
                <w:lang w:eastAsia="en-US"/>
              </w:rPr>
              <w:t>ﭯ</w:t>
            </w:r>
            <w:r>
              <w:rPr>
                <w:rFonts w:ascii="QCF_P123" w:hAnsi="QCF_P123" w:cs="QCF_P123" w:hint="cs"/>
                <w:noProof w:val="0"/>
                <w:rtl/>
                <w:lang w:eastAsia="en-US"/>
              </w:rPr>
              <w:t xml:space="preserve">   </w:t>
            </w:r>
            <w:r w:rsidRPr="00427B84">
              <w:rPr>
                <w:rFonts w:ascii="QCF_P123" w:hAnsi="QCF_P123" w:cs="QCF_P123"/>
                <w:noProof w:val="0"/>
                <w:rtl/>
                <w:lang w:eastAsia="en-US"/>
              </w:rPr>
              <w:t>ﭰ</w:t>
            </w:r>
            <w:r>
              <w:rPr>
                <w:rFonts w:ascii="QCF_P123" w:hAnsi="QCF_P123" w:cs="QCF_P123" w:hint="cs"/>
                <w:noProof w:val="0"/>
                <w:rtl/>
                <w:lang w:eastAsia="en-US"/>
              </w:rPr>
              <w:t xml:space="preserve">   </w:t>
            </w:r>
            <w:r w:rsidRPr="00427B84">
              <w:rPr>
                <w:rFonts w:ascii="QCF_P123" w:hAnsi="QCF_P123" w:cs="QCF_P123"/>
                <w:noProof w:val="0"/>
                <w:rtl/>
                <w:lang w:eastAsia="en-US"/>
              </w:rPr>
              <w:t>ﭱ</w:t>
            </w:r>
            <w:r>
              <w:rPr>
                <w:rFonts w:ascii="QCF_P123" w:hAnsi="QCF_P123" w:cs="QCF_P123" w:hint="cs"/>
                <w:noProof w:val="0"/>
                <w:rtl/>
                <w:lang w:eastAsia="en-US"/>
              </w:rPr>
              <w:t xml:space="preserve">  </w:t>
            </w:r>
            <w:r w:rsidRPr="00427B84">
              <w:rPr>
                <w:rFonts w:ascii="QCF_P123" w:hAnsi="QCF_P123" w:cs="QCF_P123"/>
                <w:noProof w:val="0"/>
                <w:color w:val="0000A5"/>
                <w:rtl/>
                <w:lang w:eastAsia="en-US"/>
              </w:rPr>
              <w:t>ﭲ</w:t>
            </w:r>
            <w:r>
              <w:rPr>
                <w:rFonts w:ascii="QCF_P123" w:hAnsi="QCF_P123" w:cs="QCF_P123" w:hint="cs"/>
                <w:noProof w:val="0"/>
                <w:color w:val="0000A5"/>
                <w:rtl/>
                <w:lang w:eastAsia="en-US"/>
              </w:rPr>
              <w:t xml:space="preserve"> </w:t>
            </w:r>
            <w:r w:rsidRPr="00427B84">
              <w:rPr>
                <w:rFonts w:ascii="QCF_P123" w:hAnsi="QCF_P123" w:cs="QCF_P123"/>
                <w:noProof w:val="0"/>
                <w:rtl/>
                <w:lang w:eastAsia="en-US"/>
              </w:rPr>
              <w:t>ﭳ</w:t>
            </w:r>
            <w:r>
              <w:rPr>
                <w:rFonts w:ascii="QCF_P123" w:hAnsi="QCF_P123" w:cs="QCF_P123" w:hint="cs"/>
                <w:noProof w:val="0"/>
                <w:rtl/>
                <w:lang w:eastAsia="en-US"/>
              </w:rPr>
              <w:t xml:space="preserve">   </w:t>
            </w:r>
            <w:r w:rsidRPr="00427B84">
              <w:rPr>
                <w:rFonts w:ascii="QCF_P123" w:hAnsi="QCF_P123" w:cs="QCF_P123"/>
                <w:noProof w:val="0"/>
                <w:rtl/>
                <w:lang w:eastAsia="en-US"/>
              </w:rPr>
              <w:t>ﭴ</w:t>
            </w:r>
            <w:r>
              <w:rPr>
                <w:rFonts w:ascii="QCF_P123" w:hAnsi="QCF_P123" w:cs="QCF_P123" w:hint="cs"/>
                <w:noProof w:val="0"/>
                <w:rtl/>
                <w:lang w:eastAsia="en-US"/>
              </w:rPr>
              <w:t xml:space="preserve">   </w:t>
            </w:r>
            <w:r w:rsidRPr="00427B84">
              <w:rPr>
                <w:rFonts w:ascii="QCF_P123" w:hAnsi="QCF_P123" w:cs="QCF_P123"/>
                <w:noProof w:val="0"/>
                <w:rtl/>
                <w:lang w:eastAsia="en-US"/>
              </w:rPr>
              <w:t>ﭵ</w:t>
            </w:r>
            <w:r w:rsidRPr="00427B84">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91</w:t>
            </w:r>
          </w:p>
        </w:tc>
        <w:tc>
          <w:tcPr>
            <w:tcW w:w="1560" w:type="dxa"/>
            <w:vAlign w:val="center"/>
          </w:tcPr>
          <w:p w:rsidR="00E90490" w:rsidRPr="00E90490" w:rsidRDefault="00D82F52" w:rsidP="00597C20">
            <w:pPr>
              <w:tabs>
                <w:tab w:val="right" w:leader="dot" w:pos="6802"/>
                <w:tab w:val="right" w:leader="dot" w:pos="8787"/>
              </w:tabs>
              <w:ind w:firstLine="0"/>
              <w:jc w:val="center"/>
              <w:rPr>
                <w:rtl/>
              </w:rPr>
            </w:pPr>
            <w:r>
              <w:rPr>
                <w:rFonts w:hint="cs"/>
                <w:rtl/>
              </w:rPr>
              <w:t>439-440</w:t>
            </w:r>
          </w:p>
        </w:tc>
      </w:tr>
      <w:tr w:rsidR="00E90490" w:rsidRPr="00E90490" w:rsidTr="00FE332F">
        <w:trPr>
          <w:cantSplit/>
        </w:trPr>
        <w:tc>
          <w:tcPr>
            <w:tcW w:w="6627" w:type="dxa"/>
          </w:tcPr>
          <w:p w:rsidR="00E90490" w:rsidRPr="00E90490" w:rsidRDefault="00D82F52" w:rsidP="00597C20">
            <w:pPr>
              <w:tabs>
                <w:tab w:val="right" w:leader="dot" w:pos="6802"/>
                <w:tab w:val="right" w:leader="dot" w:pos="8787"/>
              </w:tabs>
              <w:ind w:firstLine="0"/>
            </w:pPr>
            <w:r w:rsidRPr="00F822A5">
              <w:rPr>
                <w:rFonts w:ascii="QCF_BSML" w:hAnsi="QCF_BSML" w:cs="QCF_BSML"/>
                <w:noProof w:val="0"/>
                <w:rtl/>
                <w:lang w:eastAsia="en-US"/>
              </w:rPr>
              <w:t>ﭽ</w:t>
            </w:r>
            <w:r w:rsidRPr="00F822A5">
              <w:rPr>
                <w:rFonts w:ascii="QCF_P124" w:hAnsi="QCF_P124" w:cs="QCF_P124"/>
                <w:noProof w:val="0"/>
                <w:rtl/>
                <w:lang w:eastAsia="en-US"/>
              </w:rPr>
              <w:t>ﮮ</w:t>
            </w:r>
            <w:r>
              <w:rPr>
                <w:rFonts w:ascii="QCF_P124" w:hAnsi="QCF_P124" w:cs="QCF_P124" w:hint="cs"/>
                <w:noProof w:val="0"/>
                <w:rtl/>
                <w:lang w:eastAsia="en-US"/>
              </w:rPr>
              <w:t xml:space="preserve"> </w:t>
            </w:r>
            <w:r w:rsidRPr="00F822A5">
              <w:rPr>
                <w:rFonts w:ascii="QCF_P124" w:hAnsi="QCF_P124" w:cs="QCF_P124"/>
                <w:noProof w:val="0"/>
                <w:rtl/>
                <w:lang w:eastAsia="en-US"/>
              </w:rPr>
              <w:t>ﮯ</w:t>
            </w:r>
            <w:r>
              <w:rPr>
                <w:rFonts w:ascii="QCF_P124" w:hAnsi="QCF_P124" w:cs="QCF_P124" w:hint="cs"/>
                <w:noProof w:val="0"/>
                <w:rtl/>
                <w:lang w:eastAsia="en-US"/>
              </w:rPr>
              <w:t xml:space="preserve"> </w:t>
            </w:r>
            <w:r w:rsidRPr="00F822A5">
              <w:rPr>
                <w:rFonts w:ascii="QCF_P124" w:hAnsi="QCF_P124" w:cs="QCF_P124"/>
                <w:noProof w:val="0"/>
                <w:rtl/>
                <w:lang w:eastAsia="en-US"/>
              </w:rPr>
              <w:t>ﮰ</w:t>
            </w:r>
            <w:r>
              <w:rPr>
                <w:rFonts w:ascii="QCF_P124" w:hAnsi="QCF_P124" w:cs="QCF_P124" w:hint="cs"/>
                <w:noProof w:val="0"/>
                <w:rtl/>
                <w:lang w:eastAsia="en-US"/>
              </w:rPr>
              <w:t xml:space="preserve"> </w:t>
            </w:r>
            <w:r w:rsidRPr="00F822A5">
              <w:rPr>
                <w:rFonts w:ascii="QCF_P124" w:hAnsi="QCF_P124" w:cs="QCF_P124"/>
                <w:noProof w:val="0"/>
                <w:rtl/>
                <w:lang w:eastAsia="en-US"/>
              </w:rPr>
              <w:t>ﮱ</w:t>
            </w:r>
            <w:r>
              <w:rPr>
                <w:rFonts w:ascii="QCF_P124" w:hAnsi="QCF_P124" w:cs="QCF_P124" w:hint="cs"/>
                <w:noProof w:val="0"/>
                <w:rtl/>
                <w:lang w:eastAsia="en-US"/>
              </w:rPr>
              <w:t xml:space="preserve"> </w:t>
            </w:r>
            <w:r w:rsidRPr="00F822A5">
              <w:rPr>
                <w:rFonts w:ascii="QCF_P124" w:hAnsi="QCF_P124" w:cs="QCF_P124"/>
                <w:noProof w:val="0"/>
                <w:rtl/>
                <w:lang w:eastAsia="en-US"/>
              </w:rPr>
              <w:t>ﯓ</w:t>
            </w:r>
            <w:r>
              <w:rPr>
                <w:rFonts w:ascii="QCF_P124" w:hAnsi="QCF_P124" w:cs="QCF_P124" w:hint="cs"/>
                <w:noProof w:val="0"/>
                <w:rtl/>
                <w:lang w:eastAsia="en-US"/>
              </w:rPr>
              <w:t xml:space="preserve"> </w:t>
            </w:r>
            <w:r w:rsidRPr="00F822A5">
              <w:rPr>
                <w:rFonts w:ascii="QCF_P124" w:hAnsi="QCF_P124" w:cs="QCF_P124"/>
                <w:noProof w:val="0"/>
                <w:rtl/>
                <w:lang w:eastAsia="en-US"/>
              </w:rPr>
              <w:t>ﯔ</w:t>
            </w:r>
            <w:r>
              <w:rPr>
                <w:rFonts w:ascii="QCF_P124" w:hAnsi="QCF_P124" w:cs="QCF_P124" w:hint="cs"/>
                <w:noProof w:val="0"/>
                <w:rtl/>
                <w:lang w:eastAsia="en-US"/>
              </w:rPr>
              <w:t xml:space="preserve"> </w:t>
            </w:r>
            <w:r w:rsidRPr="00F822A5">
              <w:rPr>
                <w:rFonts w:ascii="QCF_P124" w:hAnsi="QCF_P124" w:cs="QCF_P124"/>
                <w:noProof w:val="0"/>
                <w:rtl/>
                <w:lang w:eastAsia="en-US"/>
              </w:rPr>
              <w:t>ﯕ</w:t>
            </w:r>
            <w:r>
              <w:rPr>
                <w:rFonts w:ascii="QCF_P124" w:hAnsi="QCF_P124" w:cs="QCF_P124" w:hint="cs"/>
                <w:noProof w:val="0"/>
                <w:rtl/>
                <w:lang w:eastAsia="en-US"/>
              </w:rPr>
              <w:t xml:space="preserve"> </w:t>
            </w:r>
            <w:r w:rsidRPr="00F822A5">
              <w:rPr>
                <w:rFonts w:ascii="QCF_P124" w:hAnsi="QCF_P124" w:cs="QCF_P124"/>
                <w:noProof w:val="0"/>
                <w:rtl/>
                <w:lang w:eastAsia="en-US"/>
              </w:rPr>
              <w:t>ﯖ</w:t>
            </w:r>
            <w:r>
              <w:rPr>
                <w:rFonts w:ascii="QCF_P124" w:hAnsi="QCF_P124" w:cs="QCF_P124" w:hint="cs"/>
                <w:noProof w:val="0"/>
                <w:rtl/>
                <w:lang w:eastAsia="en-US"/>
              </w:rPr>
              <w:t xml:space="preserve"> </w:t>
            </w:r>
            <w:r w:rsidRPr="00F822A5">
              <w:rPr>
                <w:rFonts w:ascii="QCF_P124" w:hAnsi="QCF_P124" w:cs="QCF_P124"/>
                <w:noProof w:val="0"/>
                <w:rtl/>
                <w:lang w:eastAsia="en-US"/>
              </w:rPr>
              <w:t>ﯗ</w:t>
            </w:r>
            <w:r>
              <w:rPr>
                <w:rFonts w:ascii="QCF_P124" w:hAnsi="QCF_P124" w:cs="QCF_P124" w:hint="cs"/>
                <w:noProof w:val="0"/>
                <w:rtl/>
                <w:lang w:eastAsia="en-US"/>
              </w:rPr>
              <w:t xml:space="preserve"> </w:t>
            </w:r>
            <w:r w:rsidRPr="00F822A5">
              <w:rPr>
                <w:rFonts w:ascii="QCF_P124" w:hAnsi="QCF_P124" w:cs="QCF_P124"/>
                <w:noProof w:val="0"/>
                <w:rtl/>
                <w:lang w:eastAsia="en-US"/>
              </w:rPr>
              <w:t>ﯘ</w:t>
            </w:r>
            <w:r>
              <w:rPr>
                <w:rFonts w:ascii="QCF_P124" w:hAnsi="QCF_P124" w:cs="QCF_P124" w:hint="cs"/>
                <w:noProof w:val="0"/>
                <w:rtl/>
                <w:lang w:eastAsia="en-US"/>
              </w:rPr>
              <w:t xml:space="preserve"> </w:t>
            </w:r>
            <w:r w:rsidRPr="00F822A5">
              <w:rPr>
                <w:rFonts w:ascii="QCF_P124" w:hAnsi="QCF_P124" w:cs="QCF_P124"/>
                <w:noProof w:val="0"/>
                <w:rtl/>
                <w:lang w:eastAsia="en-US"/>
              </w:rPr>
              <w:t>ﯙ</w:t>
            </w:r>
            <w:r>
              <w:rPr>
                <w:rFonts w:ascii="QCF_P124" w:hAnsi="QCF_P124" w:cs="QCF_P124" w:hint="cs"/>
                <w:noProof w:val="0"/>
                <w:rtl/>
                <w:lang w:eastAsia="en-US"/>
              </w:rPr>
              <w:t xml:space="preserve"> </w:t>
            </w:r>
            <w:r w:rsidRPr="00F822A5">
              <w:rPr>
                <w:rFonts w:ascii="QCF_P124" w:hAnsi="QCF_P124" w:cs="QCF_P124"/>
                <w:noProof w:val="0"/>
                <w:rtl/>
                <w:lang w:eastAsia="en-US"/>
              </w:rPr>
              <w:t>ﯚ</w:t>
            </w:r>
            <w:r>
              <w:rPr>
                <w:rFonts w:ascii="QCF_P124" w:hAnsi="QCF_P124" w:cs="QCF_P124" w:hint="cs"/>
                <w:noProof w:val="0"/>
                <w:rtl/>
                <w:lang w:eastAsia="en-US"/>
              </w:rPr>
              <w:t xml:space="preserve"> </w:t>
            </w:r>
            <w:r w:rsidRPr="00F822A5">
              <w:rPr>
                <w:rFonts w:ascii="QCF_P124" w:hAnsi="QCF_P124" w:cs="QCF_P124"/>
                <w:noProof w:val="0"/>
                <w:rtl/>
                <w:lang w:eastAsia="en-US"/>
              </w:rPr>
              <w:t>ﯛ</w:t>
            </w:r>
            <w:r>
              <w:rPr>
                <w:rFonts w:ascii="QCF_P124" w:hAnsi="QCF_P124" w:cs="QCF_P124" w:hint="cs"/>
                <w:noProof w:val="0"/>
                <w:rtl/>
                <w:lang w:eastAsia="en-US"/>
              </w:rPr>
              <w:t xml:space="preserve"> </w:t>
            </w:r>
            <w:r w:rsidRPr="00F822A5">
              <w:rPr>
                <w:rFonts w:ascii="QCF_P124" w:hAnsi="QCF_P124" w:cs="QCF_P124"/>
                <w:noProof w:val="0"/>
                <w:rtl/>
                <w:lang w:eastAsia="en-US"/>
              </w:rPr>
              <w:t>ﯜ</w:t>
            </w:r>
            <w:r>
              <w:rPr>
                <w:rFonts w:ascii="QCF_P124" w:hAnsi="QCF_P124" w:cs="QCF_P124" w:hint="cs"/>
                <w:noProof w:val="0"/>
                <w:rtl/>
                <w:lang w:eastAsia="en-US"/>
              </w:rPr>
              <w:t xml:space="preserve"> </w:t>
            </w:r>
            <w:r w:rsidRPr="00F822A5">
              <w:rPr>
                <w:rFonts w:ascii="QCF_P124" w:hAnsi="QCF_P124" w:cs="QCF_P124"/>
                <w:noProof w:val="0"/>
                <w:rtl/>
                <w:lang w:eastAsia="en-US"/>
              </w:rPr>
              <w:t>ﯝ</w:t>
            </w:r>
            <w:r>
              <w:rPr>
                <w:rFonts w:ascii="QCF_P124" w:hAnsi="QCF_P124" w:cs="QCF_P124" w:hint="cs"/>
                <w:noProof w:val="0"/>
                <w:rtl/>
                <w:lang w:eastAsia="en-US"/>
              </w:rPr>
              <w:t xml:space="preserve"> </w:t>
            </w:r>
            <w:r w:rsidRPr="00F822A5">
              <w:rPr>
                <w:rFonts w:ascii="QCF_P124" w:hAnsi="QCF_P124" w:cs="QCF_P124"/>
                <w:noProof w:val="0"/>
                <w:rtl/>
                <w:lang w:eastAsia="en-US"/>
              </w:rPr>
              <w:t>ﯞ</w:t>
            </w:r>
            <w:r>
              <w:rPr>
                <w:rFonts w:ascii="QCF_P124" w:hAnsi="QCF_P124" w:cs="QCF_P124" w:hint="cs"/>
                <w:noProof w:val="0"/>
                <w:rtl/>
                <w:lang w:eastAsia="en-US"/>
              </w:rPr>
              <w:t xml:space="preserve"> </w:t>
            </w:r>
            <w:r w:rsidRPr="00F822A5">
              <w:rPr>
                <w:rFonts w:ascii="QCF_P124" w:hAnsi="QCF_P124" w:cs="QCF_P124"/>
                <w:noProof w:val="0"/>
                <w:rtl/>
                <w:lang w:eastAsia="en-US"/>
              </w:rPr>
              <w:t>ﯟ</w:t>
            </w:r>
            <w:r>
              <w:rPr>
                <w:rFonts w:ascii="QCF_P124" w:hAnsi="QCF_P124" w:cs="QCF_P124" w:hint="cs"/>
                <w:noProof w:val="0"/>
                <w:rtl/>
                <w:lang w:eastAsia="en-US"/>
              </w:rPr>
              <w:t xml:space="preserve"> </w:t>
            </w:r>
            <w:r w:rsidRPr="00F822A5">
              <w:rPr>
                <w:rFonts w:ascii="QCF_P124" w:hAnsi="QCF_P124" w:cs="QCF_P124"/>
                <w:noProof w:val="0"/>
                <w:rtl/>
                <w:lang w:eastAsia="en-US"/>
              </w:rPr>
              <w:t>ﯠ</w:t>
            </w:r>
            <w:r>
              <w:rPr>
                <w:rFonts w:ascii="QCF_P124" w:hAnsi="QCF_P124" w:cs="QCF_P124" w:hint="cs"/>
                <w:noProof w:val="0"/>
                <w:rtl/>
                <w:lang w:eastAsia="en-US"/>
              </w:rPr>
              <w:t xml:space="preserve"> </w:t>
            </w:r>
            <w:r w:rsidRPr="00F822A5">
              <w:rPr>
                <w:rFonts w:ascii="QCF_P124" w:hAnsi="QCF_P124" w:cs="QCF_P124"/>
                <w:noProof w:val="0"/>
                <w:rtl/>
                <w:lang w:eastAsia="en-US"/>
              </w:rPr>
              <w:t>ﯡ</w:t>
            </w:r>
            <w:r>
              <w:rPr>
                <w:rFonts w:ascii="QCF_P124" w:hAnsi="QCF_P124" w:cs="QCF_P124" w:hint="cs"/>
                <w:noProof w:val="0"/>
                <w:rtl/>
                <w:lang w:eastAsia="en-US"/>
              </w:rPr>
              <w:t xml:space="preserve"> </w:t>
            </w:r>
            <w:r w:rsidRPr="00F822A5">
              <w:rPr>
                <w:rFonts w:ascii="QCF_P124" w:hAnsi="QCF_P124" w:cs="QCF_P124"/>
                <w:noProof w:val="0"/>
                <w:rtl/>
                <w:lang w:eastAsia="en-US"/>
              </w:rPr>
              <w:t>ﯢ</w:t>
            </w:r>
            <w:r>
              <w:rPr>
                <w:rFonts w:ascii="QCF_P124" w:hAnsi="QCF_P124" w:cs="QCF_P124" w:hint="cs"/>
                <w:noProof w:val="0"/>
                <w:rtl/>
                <w:lang w:eastAsia="en-US"/>
              </w:rPr>
              <w:t xml:space="preserve"> </w:t>
            </w:r>
            <w:r w:rsidRPr="00F822A5">
              <w:rPr>
                <w:rFonts w:ascii="QCF_P124" w:hAnsi="QCF_P124" w:cs="QCF_P124"/>
                <w:noProof w:val="0"/>
                <w:rtl/>
                <w:lang w:eastAsia="en-US"/>
              </w:rPr>
              <w:t>ﯣ</w:t>
            </w:r>
            <w:r>
              <w:rPr>
                <w:rFonts w:ascii="QCF_P124" w:hAnsi="QCF_P124" w:cs="QCF_P124" w:hint="cs"/>
                <w:noProof w:val="0"/>
                <w:rtl/>
                <w:lang w:eastAsia="en-US"/>
              </w:rPr>
              <w:t xml:space="preserve"> </w:t>
            </w:r>
            <w:r w:rsidRPr="00F822A5">
              <w:rPr>
                <w:rFonts w:ascii="QCF_P124" w:hAnsi="QCF_P124" w:cs="QCF_P124"/>
                <w:noProof w:val="0"/>
                <w:rtl/>
                <w:lang w:eastAsia="en-US"/>
              </w:rPr>
              <w:t>ﯤ</w:t>
            </w:r>
            <w:r>
              <w:rPr>
                <w:rFonts w:ascii="QCF_P124" w:hAnsi="QCF_P124" w:cs="QCF_P124" w:hint="cs"/>
                <w:noProof w:val="0"/>
                <w:rtl/>
                <w:lang w:eastAsia="en-US"/>
              </w:rPr>
              <w:t xml:space="preserve"> </w:t>
            </w:r>
            <w:r w:rsidRPr="00F822A5">
              <w:rPr>
                <w:rFonts w:ascii="QCF_P124" w:hAnsi="QCF_P124" w:cs="QCF_P124"/>
                <w:noProof w:val="0"/>
                <w:color w:val="0000A5"/>
                <w:rtl/>
                <w:lang w:eastAsia="en-US"/>
              </w:rPr>
              <w:t>ﯥ</w:t>
            </w:r>
            <w:r>
              <w:rPr>
                <w:rFonts w:ascii="QCF_P124" w:hAnsi="QCF_P124" w:cs="QCF_P124" w:hint="cs"/>
                <w:noProof w:val="0"/>
                <w:color w:val="0000A5"/>
                <w:rtl/>
                <w:lang w:eastAsia="en-US"/>
              </w:rPr>
              <w:t xml:space="preserve"> </w:t>
            </w:r>
            <w:r w:rsidRPr="00F822A5">
              <w:rPr>
                <w:rFonts w:ascii="QCF_P124" w:hAnsi="QCF_P124" w:cs="QCF_P124"/>
                <w:noProof w:val="0"/>
                <w:rtl/>
                <w:lang w:eastAsia="en-US"/>
              </w:rPr>
              <w:t>ﯦ</w:t>
            </w:r>
            <w:r>
              <w:rPr>
                <w:rFonts w:ascii="QCF_P124" w:hAnsi="QCF_P124" w:cs="QCF_P124" w:hint="cs"/>
                <w:noProof w:val="0"/>
                <w:rtl/>
                <w:lang w:eastAsia="en-US"/>
              </w:rPr>
              <w:t xml:space="preserve"> </w:t>
            </w:r>
            <w:r w:rsidRPr="00F822A5">
              <w:rPr>
                <w:rFonts w:ascii="QCF_P124" w:hAnsi="QCF_P124" w:cs="QCF_P124"/>
                <w:noProof w:val="0"/>
                <w:rtl/>
                <w:lang w:eastAsia="en-US"/>
              </w:rPr>
              <w:t>ﯧ</w:t>
            </w:r>
            <w:r>
              <w:rPr>
                <w:rFonts w:ascii="QCF_P124" w:hAnsi="QCF_P124" w:cs="QCF_P124" w:hint="cs"/>
                <w:noProof w:val="0"/>
                <w:rtl/>
                <w:lang w:eastAsia="en-US"/>
              </w:rPr>
              <w:t xml:space="preserve"> </w:t>
            </w:r>
            <w:r w:rsidRPr="00F822A5">
              <w:rPr>
                <w:rFonts w:ascii="QCF_P124" w:hAnsi="QCF_P124" w:cs="QCF_P124"/>
                <w:noProof w:val="0"/>
                <w:rtl/>
                <w:lang w:eastAsia="en-US"/>
              </w:rPr>
              <w:t>ﯨ</w:t>
            </w:r>
            <w:r w:rsidRPr="00F822A5">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101</w:t>
            </w:r>
          </w:p>
        </w:tc>
        <w:tc>
          <w:tcPr>
            <w:tcW w:w="1560" w:type="dxa"/>
            <w:vAlign w:val="center"/>
          </w:tcPr>
          <w:p w:rsidR="00E90490" w:rsidRPr="00E90490" w:rsidRDefault="00AB0B9E" w:rsidP="00A6051C">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سورة_المائدة_101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6788">
              <w:rPr>
                <w:rFonts w:hint="cs"/>
                <w:rtl/>
              </w:rPr>
              <w:t>، 390(ح)</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الأنعام</w:t>
            </w:r>
          </w:p>
        </w:tc>
      </w:tr>
      <w:tr w:rsidR="00E90490" w:rsidRPr="00E90490" w:rsidTr="00FE332F">
        <w:trPr>
          <w:cantSplit/>
        </w:trPr>
        <w:tc>
          <w:tcPr>
            <w:tcW w:w="6627" w:type="dxa"/>
          </w:tcPr>
          <w:p w:rsidR="00E90490" w:rsidRPr="00E90490" w:rsidRDefault="00A6051C" w:rsidP="00597C20">
            <w:pPr>
              <w:tabs>
                <w:tab w:val="right" w:leader="dot" w:pos="6802"/>
                <w:tab w:val="right" w:leader="dot" w:pos="8787"/>
              </w:tabs>
              <w:ind w:firstLine="0"/>
            </w:pPr>
            <w:r w:rsidRPr="0067519F">
              <w:rPr>
                <w:rFonts w:ascii="QCF_BSML" w:hAnsi="QCF_BSML" w:cs="QCF_BSML"/>
                <w:noProof w:val="0"/>
                <w:rtl/>
                <w:lang w:eastAsia="en-US"/>
              </w:rPr>
              <w:t>ﭽ</w:t>
            </w:r>
            <w:r w:rsidRPr="0067519F">
              <w:rPr>
                <w:rFonts w:ascii="QCF_P141" w:hAnsi="QCF_P141" w:cs="QCF_P141"/>
                <w:noProof w:val="0"/>
                <w:rtl/>
                <w:lang w:eastAsia="en-US"/>
              </w:rPr>
              <w:t>ﮬ</w:t>
            </w:r>
            <w:r>
              <w:rPr>
                <w:rFonts w:ascii="QCF_P141" w:hAnsi="QCF_P141" w:cs="QCF_P141" w:hint="cs"/>
                <w:noProof w:val="0"/>
                <w:rtl/>
                <w:lang w:eastAsia="en-US"/>
              </w:rPr>
              <w:t xml:space="preserve"> </w:t>
            </w:r>
            <w:r w:rsidRPr="0067519F">
              <w:rPr>
                <w:rFonts w:ascii="QCF_P141" w:hAnsi="QCF_P141" w:cs="QCF_P141"/>
                <w:noProof w:val="0"/>
                <w:rtl/>
                <w:lang w:eastAsia="en-US"/>
              </w:rPr>
              <w:t>ﮭ</w:t>
            </w:r>
            <w:r>
              <w:rPr>
                <w:rFonts w:ascii="QCF_P141" w:hAnsi="QCF_P141" w:cs="QCF_P141" w:hint="cs"/>
                <w:noProof w:val="0"/>
                <w:rtl/>
                <w:lang w:eastAsia="en-US"/>
              </w:rPr>
              <w:t xml:space="preserve"> </w:t>
            </w:r>
            <w:r w:rsidRPr="0067519F">
              <w:rPr>
                <w:rFonts w:ascii="QCF_P141" w:hAnsi="QCF_P141" w:cs="QCF_P141"/>
                <w:noProof w:val="0"/>
                <w:rtl/>
                <w:lang w:eastAsia="en-US"/>
              </w:rPr>
              <w:t>ﮮ</w:t>
            </w:r>
            <w:r>
              <w:rPr>
                <w:rFonts w:ascii="QCF_P141" w:hAnsi="QCF_P141" w:cs="QCF_P141" w:hint="cs"/>
                <w:noProof w:val="0"/>
                <w:rtl/>
                <w:lang w:eastAsia="en-US"/>
              </w:rPr>
              <w:t xml:space="preserve"> </w:t>
            </w:r>
            <w:r w:rsidRPr="0067519F">
              <w:rPr>
                <w:rFonts w:ascii="QCF_P141" w:hAnsi="QCF_P141" w:cs="QCF_P141"/>
                <w:noProof w:val="0"/>
                <w:rtl/>
                <w:lang w:eastAsia="en-US"/>
              </w:rPr>
              <w:t>ﮯ</w:t>
            </w:r>
            <w:r>
              <w:rPr>
                <w:rFonts w:ascii="QCF_P141" w:hAnsi="QCF_P141" w:cs="QCF_P141" w:hint="cs"/>
                <w:noProof w:val="0"/>
                <w:rtl/>
                <w:lang w:eastAsia="en-US"/>
              </w:rPr>
              <w:t xml:space="preserve"> </w:t>
            </w:r>
            <w:r w:rsidRPr="0067519F">
              <w:rPr>
                <w:rFonts w:ascii="QCF_P141" w:hAnsi="QCF_P141" w:cs="QCF_P141"/>
                <w:noProof w:val="0"/>
                <w:rtl/>
                <w:lang w:eastAsia="en-US"/>
              </w:rPr>
              <w:t>ﮰ</w:t>
            </w:r>
            <w:r>
              <w:rPr>
                <w:rFonts w:ascii="QCF_P141" w:hAnsi="QCF_P141" w:cs="QCF_P141" w:hint="cs"/>
                <w:noProof w:val="0"/>
                <w:rtl/>
                <w:lang w:eastAsia="en-US"/>
              </w:rPr>
              <w:t xml:space="preserve"> </w:t>
            </w:r>
            <w:r w:rsidRPr="0067519F">
              <w:rPr>
                <w:rFonts w:ascii="QCF_P141" w:hAnsi="QCF_P141" w:cs="QCF_P141"/>
                <w:noProof w:val="0"/>
                <w:rtl/>
                <w:lang w:eastAsia="en-US"/>
              </w:rPr>
              <w:t>ﮱ</w:t>
            </w:r>
            <w:r>
              <w:rPr>
                <w:rFonts w:ascii="QCF_P141" w:hAnsi="QCF_P141" w:cs="QCF_P141" w:hint="cs"/>
                <w:noProof w:val="0"/>
                <w:rtl/>
                <w:lang w:eastAsia="en-US"/>
              </w:rPr>
              <w:t xml:space="preserve"> </w:t>
            </w:r>
            <w:r w:rsidRPr="0067519F">
              <w:rPr>
                <w:rFonts w:ascii="QCF_P141" w:hAnsi="QCF_P141" w:cs="QCF_P141"/>
                <w:noProof w:val="0"/>
                <w:rtl/>
                <w:lang w:eastAsia="en-US"/>
              </w:rPr>
              <w:t>ﯓ</w:t>
            </w:r>
            <w:r>
              <w:rPr>
                <w:rFonts w:ascii="QCF_P141" w:hAnsi="QCF_P141" w:cs="QCF_P141" w:hint="cs"/>
                <w:noProof w:val="0"/>
                <w:rtl/>
                <w:lang w:eastAsia="en-US"/>
              </w:rPr>
              <w:t xml:space="preserve"> </w:t>
            </w:r>
            <w:r w:rsidRPr="0067519F">
              <w:rPr>
                <w:rFonts w:ascii="QCF_P141" w:hAnsi="QCF_P141" w:cs="QCF_P141"/>
                <w:noProof w:val="0"/>
                <w:rtl/>
                <w:lang w:eastAsia="en-US"/>
              </w:rPr>
              <w:t>ﯔ</w:t>
            </w:r>
            <w:r>
              <w:rPr>
                <w:rFonts w:ascii="QCF_P141" w:hAnsi="QCF_P141" w:cs="QCF_P141" w:hint="cs"/>
                <w:noProof w:val="0"/>
                <w:rtl/>
                <w:lang w:eastAsia="en-US"/>
              </w:rPr>
              <w:t xml:space="preserve"> </w:t>
            </w:r>
            <w:r w:rsidRPr="0067519F">
              <w:rPr>
                <w:rFonts w:ascii="QCF_P141" w:hAnsi="QCF_P141" w:cs="QCF_P141"/>
                <w:noProof w:val="0"/>
                <w:rtl/>
                <w:lang w:eastAsia="en-US"/>
              </w:rPr>
              <w:t>ﯕ</w:t>
            </w:r>
            <w:r>
              <w:rPr>
                <w:rFonts w:ascii="QCF_P141" w:hAnsi="QCF_P141" w:cs="QCF_P141" w:hint="cs"/>
                <w:noProof w:val="0"/>
                <w:rtl/>
                <w:lang w:eastAsia="en-US"/>
              </w:rPr>
              <w:t xml:space="preserve"> </w:t>
            </w:r>
            <w:r w:rsidRPr="0067519F">
              <w:rPr>
                <w:rFonts w:ascii="QCF_P141" w:hAnsi="QCF_P141" w:cs="QCF_P141"/>
                <w:noProof w:val="0"/>
                <w:rtl/>
                <w:lang w:eastAsia="en-US"/>
              </w:rPr>
              <w:t>ﯖ</w:t>
            </w:r>
            <w:r>
              <w:rPr>
                <w:rFonts w:ascii="QCF_P141" w:hAnsi="QCF_P141" w:cs="QCF_P141" w:hint="cs"/>
                <w:noProof w:val="0"/>
                <w:rtl/>
                <w:lang w:eastAsia="en-US"/>
              </w:rPr>
              <w:t xml:space="preserve"> </w:t>
            </w:r>
            <w:r w:rsidRPr="0067519F">
              <w:rPr>
                <w:rFonts w:ascii="QCF_P141" w:hAnsi="QCF_P141" w:cs="QCF_P141"/>
                <w:noProof w:val="0"/>
                <w:rtl/>
                <w:lang w:eastAsia="en-US"/>
              </w:rPr>
              <w:t>ﯗ</w:t>
            </w:r>
            <w:r>
              <w:rPr>
                <w:rFonts w:ascii="QCF_P141" w:hAnsi="QCF_P141" w:cs="QCF_P141" w:hint="cs"/>
                <w:noProof w:val="0"/>
                <w:rtl/>
                <w:lang w:eastAsia="en-US"/>
              </w:rPr>
              <w:t xml:space="preserve"> </w:t>
            </w:r>
            <w:r w:rsidRPr="0067519F">
              <w:rPr>
                <w:rFonts w:ascii="QCF_P141" w:hAnsi="QCF_P141" w:cs="QCF_P141"/>
                <w:noProof w:val="0"/>
                <w:rtl/>
                <w:lang w:eastAsia="en-US"/>
              </w:rPr>
              <w:t>ﯘ</w:t>
            </w:r>
            <w:r w:rsidRPr="0067519F">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108</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سورة_الأنعام_108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Pr="00E90490">
              <w:rPr>
                <w:rtl/>
              </w:rPr>
              <w:fldChar w:fldCharType="begin"/>
            </w:r>
            <w:r w:rsidR="00E90490" w:rsidRPr="00E90490">
              <w:rPr>
                <w:rFonts w:hint="cs"/>
              </w:rPr>
              <w:instrText>PAGEREF</w:instrText>
            </w:r>
            <w:r w:rsidR="00E90490" w:rsidRPr="00E90490">
              <w:rPr>
                <w:rFonts w:hint="cs"/>
                <w:rtl/>
              </w:rPr>
              <w:instrText xml:space="preserve"> سورة_الأنعام_108_2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Pr="00E90490">
              <w:rPr>
                <w:rtl/>
              </w:rPr>
              <w:fldChar w:fldCharType="begin"/>
            </w:r>
            <w:r w:rsidR="00E90490" w:rsidRPr="00E90490">
              <w:rPr>
                <w:rFonts w:hint="cs"/>
              </w:rPr>
              <w:instrText>PAGEREF</w:instrText>
            </w:r>
            <w:r w:rsidR="00E90490" w:rsidRPr="00E90490">
              <w:rPr>
                <w:rFonts w:hint="cs"/>
                <w:rtl/>
              </w:rPr>
              <w:instrText xml:space="preserve"> سورة_الأنعام_108_3 \</w:instrText>
            </w:r>
            <w:r w:rsidR="00E90490" w:rsidRPr="00E90490">
              <w:rPr>
                <w:rFonts w:hint="cs"/>
              </w:rPr>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A6051C" w:rsidP="00597C20">
            <w:pPr>
              <w:tabs>
                <w:tab w:val="right" w:leader="dot" w:pos="6802"/>
                <w:tab w:val="right" w:leader="dot" w:pos="8787"/>
              </w:tabs>
              <w:ind w:firstLine="0"/>
              <w:rPr>
                <w:rtl/>
              </w:rPr>
            </w:pPr>
            <w:r w:rsidRPr="008A319B">
              <w:rPr>
                <w:rFonts w:ascii="QCF_BSML" w:hAnsi="QCF_BSML" w:cs="QCF_BSML"/>
                <w:noProof w:val="0"/>
                <w:rtl/>
                <w:lang w:eastAsia="en-US"/>
              </w:rPr>
              <w:t xml:space="preserve">ﭽ </w:t>
            </w:r>
            <w:r w:rsidRPr="008A319B">
              <w:rPr>
                <w:rFonts w:ascii="QCF_P149" w:hAnsi="QCF_P149" w:cs="QCF_P149"/>
                <w:noProof w:val="0"/>
                <w:rtl/>
                <w:lang w:eastAsia="en-US"/>
              </w:rPr>
              <w:t>ﭑﭒﭓﭔﭕﭖﭗﭘ</w:t>
            </w:r>
            <w:r w:rsidRPr="008A319B">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152</w:t>
            </w:r>
          </w:p>
        </w:tc>
        <w:tc>
          <w:tcPr>
            <w:tcW w:w="1560" w:type="dxa"/>
            <w:vAlign w:val="center"/>
          </w:tcPr>
          <w:p w:rsidR="00E90490" w:rsidRPr="00E90490" w:rsidRDefault="00A6051C" w:rsidP="00597C20">
            <w:pPr>
              <w:tabs>
                <w:tab w:val="right" w:leader="dot" w:pos="6802"/>
                <w:tab w:val="right" w:leader="dot" w:pos="8787"/>
              </w:tabs>
              <w:ind w:firstLine="0"/>
              <w:jc w:val="center"/>
              <w:rPr>
                <w:rtl/>
              </w:rPr>
            </w:pPr>
            <w:r>
              <w:rPr>
                <w:rFonts w:hint="cs"/>
                <w:rtl/>
              </w:rPr>
              <w:t>475</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التوبة</w:t>
            </w:r>
          </w:p>
        </w:tc>
      </w:tr>
      <w:tr w:rsidR="00E90490" w:rsidRPr="00E90490" w:rsidTr="00FE332F">
        <w:trPr>
          <w:cantSplit/>
        </w:trPr>
        <w:tc>
          <w:tcPr>
            <w:tcW w:w="6627" w:type="dxa"/>
          </w:tcPr>
          <w:p w:rsidR="00E90490" w:rsidRPr="00CD22F1" w:rsidRDefault="00CD22F1" w:rsidP="00597C20">
            <w:pPr>
              <w:tabs>
                <w:tab w:val="right" w:leader="dot" w:pos="6802"/>
                <w:tab w:val="right" w:leader="dot" w:pos="8787"/>
              </w:tabs>
              <w:ind w:firstLine="0"/>
            </w:pPr>
            <w:r w:rsidRPr="00CD22F1">
              <w:rPr>
                <w:rFonts w:ascii="QCF_BSML" w:hAnsi="QCF_BSML" w:cs="QCF_BSML"/>
                <w:noProof w:val="0"/>
                <w:rtl/>
                <w:lang w:eastAsia="en-US"/>
              </w:rPr>
              <w:t>ﭽ</w:t>
            </w:r>
            <w:r w:rsidRPr="00CD22F1">
              <w:rPr>
                <w:rFonts w:ascii="QCF_P192" w:hAnsi="QCF_P192" w:cs="QCF_P192"/>
                <w:noProof w:val="0"/>
                <w:rtl/>
                <w:lang w:eastAsia="en-US"/>
              </w:rPr>
              <w:t>ﭱ</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ﭲ</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ﭳ</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ﭴ</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ﭵ</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ﭶ</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ﭷ</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ﭸ</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ﭹ</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ﭺ</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ﭻ</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ﭼ</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ﭽ</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ﭾ</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ﭿ</w:t>
            </w:r>
            <w:r w:rsidRPr="00CD22F1">
              <w:rPr>
                <w:rFonts w:ascii="QCF_P192" w:hAnsi="QCF_P192" w:cs="QCF_P192" w:hint="cs"/>
                <w:noProof w:val="0"/>
                <w:rtl/>
                <w:lang w:eastAsia="en-US"/>
              </w:rPr>
              <w:t xml:space="preserve"> </w:t>
            </w:r>
            <w:r w:rsidRPr="00CD22F1">
              <w:rPr>
                <w:rFonts w:ascii="QCF_P192" w:hAnsi="QCF_P192" w:cs="QCF_P192"/>
                <w:noProof w:val="0"/>
                <w:rtl/>
                <w:lang w:eastAsia="en-US"/>
              </w:rPr>
              <w:t>ﮀ</w:t>
            </w:r>
            <w:r w:rsidRPr="00CD22F1">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34</w:t>
            </w:r>
          </w:p>
        </w:tc>
        <w:tc>
          <w:tcPr>
            <w:tcW w:w="1560" w:type="dxa"/>
            <w:vAlign w:val="center"/>
          </w:tcPr>
          <w:p w:rsidR="00E90490" w:rsidRPr="00E90490" w:rsidRDefault="00CD22F1" w:rsidP="00597C20">
            <w:pPr>
              <w:tabs>
                <w:tab w:val="right" w:leader="dot" w:pos="6802"/>
                <w:tab w:val="right" w:leader="dot" w:pos="8787"/>
              </w:tabs>
              <w:ind w:firstLine="0"/>
              <w:jc w:val="center"/>
              <w:rPr>
                <w:rtl/>
              </w:rPr>
            </w:pPr>
            <w:r>
              <w:rPr>
                <w:rFonts w:hint="cs"/>
                <w:rtl/>
              </w:rPr>
              <w:t>464</w:t>
            </w:r>
            <w:r w:rsidRPr="00E90490">
              <w:rPr>
                <w:rFonts w:hint="cs"/>
                <w:rtl/>
              </w:rPr>
              <w:t xml:space="preserve"> </w:t>
            </w:r>
            <w:r w:rsidR="00E90490" w:rsidRPr="00E90490">
              <w:rPr>
                <w:rFonts w:hint="cs"/>
                <w:rtl/>
              </w:rPr>
              <w:t>(ح)</w:t>
            </w:r>
          </w:p>
        </w:tc>
      </w:tr>
      <w:tr w:rsidR="00E90490" w:rsidRPr="00E90490" w:rsidTr="00FE332F">
        <w:trPr>
          <w:cantSplit/>
        </w:trPr>
        <w:tc>
          <w:tcPr>
            <w:tcW w:w="6627" w:type="dxa"/>
          </w:tcPr>
          <w:p w:rsidR="00E90490" w:rsidRPr="00E90490" w:rsidRDefault="00CD22F1" w:rsidP="00597C20">
            <w:pPr>
              <w:tabs>
                <w:tab w:val="right" w:leader="dot" w:pos="6802"/>
                <w:tab w:val="right" w:leader="dot" w:pos="8787"/>
              </w:tabs>
              <w:ind w:firstLine="0"/>
              <w:rPr>
                <w:rtl/>
              </w:rPr>
            </w:pPr>
            <w:r w:rsidRPr="0090198F">
              <w:rPr>
                <w:rFonts w:ascii="QCF_BSML" w:hAnsi="QCF_BSML" w:cs="QCF_BSML"/>
                <w:noProof w:val="0"/>
                <w:rtl/>
                <w:lang w:eastAsia="en-US"/>
              </w:rPr>
              <w:t>ﭽ</w:t>
            </w:r>
            <w:r w:rsidRPr="0090198F">
              <w:rPr>
                <w:rFonts w:ascii="QCF_P201" w:hAnsi="QCF_P201" w:cs="QCF_P201"/>
                <w:noProof w:val="0"/>
                <w:rtl/>
                <w:lang w:eastAsia="en-US"/>
              </w:rPr>
              <w:t>ﮣ</w:t>
            </w:r>
            <w:r>
              <w:rPr>
                <w:rFonts w:ascii="QCF_P201" w:hAnsi="QCF_P201" w:cs="QCF_P201" w:hint="cs"/>
                <w:noProof w:val="0"/>
                <w:rtl/>
                <w:lang w:eastAsia="en-US"/>
              </w:rPr>
              <w:t xml:space="preserve"> </w:t>
            </w:r>
            <w:r w:rsidRPr="0090198F">
              <w:rPr>
                <w:rFonts w:ascii="QCF_P201" w:hAnsi="QCF_P201" w:cs="QCF_P201"/>
                <w:noProof w:val="0"/>
                <w:rtl/>
                <w:lang w:eastAsia="en-US"/>
              </w:rPr>
              <w:t>ﮤ</w:t>
            </w:r>
            <w:r>
              <w:rPr>
                <w:rFonts w:ascii="QCF_P201" w:hAnsi="QCF_P201" w:cs="QCF_P201" w:hint="cs"/>
                <w:noProof w:val="0"/>
                <w:rtl/>
                <w:lang w:eastAsia="en-US"/>
              </w:rPr>
              <w:t xml:space="preserve"> </w:t>
            </w:r>
            <w:r w:rsidRPr="0090198F">
              <w:rPr>
                <w:rFonts w:ascii="QCF_P201" w:hAnsi="QCF_P201" w:cs="QCF_P201"/>
                <w:noProof w:val="0"/>
                <w:rtl/>
                <w:lang w:eastAsia="en-US"/>
              </w:rPr>
              <w:t>ﮥ</w:t>
            </w:r>
            <w:r>
              <w:rPr>
                <w:rFonts w:ascii="QCF_P201" w:hAnsi="QCF_P201" w:cs="QCF_P201" w:hint="cs"/>
                <w:noProof w:val="0"/>
                <w:rtl/>
                <w:lang w:eastAsia="en-US"/>
              </w:rPr>
              <w:t xml:space="preserve"> </w:t>
            </w:r>
            <w:r w:rsidRPr="0090198F">
              <w:rPr>
                <w:rFonts w:ascii="QCF_P201" w:hAnsi="QCF_P201" w:cs="QCF_P201"/>
                <w:noProof w:val="0"/>
                <w:rtl/>
                <w:lang w:eastAsia="en-US"/>
              </w:rPr>
              <w:t>ﮦ</w:t>
            </w:r>
            <w:r>
              <w:rPr>
                <w:rFonts w:ascii="QCF_P201" w:hAnsi="QCF_P201" w:cs="QCF_P201" w:hint="cs"/>
                <w:noProof w:val="0"/>
                <w:rtl/>
                <w:lang w:eastAsia="en-US"/>
              </w:rPr>
              <w:t xml:space="preserve"> </w:t>
            </w:r>
            <w:r w:rsidRPr="0090198F">
              <w:rPr>
                <w:rFonts w:ascii="QCF_P201" w:hAnsi="QCF_P201" w:cs="QCF_P201"/>
                <w:noProof w:val="0"/>
                <w:rtl/>
                <w:lang w:eastAsia="en-US"/>
              </w:rPr>
              <w:t>ﮧ</w:t>
            </w:r>
            <w:r w:rsidRPr="0090198F">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91</w:t>
            </w:r>
          </w:p>
        </w:tc>
        <w:tc>
          <w:tcPr>
            <w:tcW w:w="1560" w:type="dxa"/>
            <w:vAlign w:val="center"/>
          </w:tcPr>
          <w:p w:rsidR="00E90490" w:rsidRPr="00E90490" w:rsidRDefault="00AB0B9E" w:rsidP="00CD22F1">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سورة_التوبة_91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w:t>
            </w:r>
            <w:r w:rsidR="00CD22F1">
              <w:rPr>
                <w:rFonts w:hint="cs"/>
                <w:rtl/>
              </w:rPr>
              <w:t xml:space="preserve"> 353، 418</w:t>
            </w:r>
            <w:r w:rsidR="00E90490" w:rsidRPr="00E90490">
              <w:rPr>
                <w:rFonts w:hint="cs"/>
                <w:rtl/>
              </w:rPr>
              <w:t xml:space="preserve"> </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lastRenderedPageBreak/>
              <w:t>هود</w:t>
            </w:r>
          </w:p>
        </w:tc>
      </w:tr>
      <w:tr w:rsidR="00E90490" w:rsidRPr="00E90490" w:rsidTr="00FE332F">
        <w:trPr>
          <w:cantSplit/>
        </w:trPr>
        <w:tc>
          <w:tcPr>
            <w:tcW w:w="6627" w:type="dxa"/>
          </w:tcPr>
          <w:p w:rsidR="00E90490" w:rsidRPr="00E90490" w:rsidRDefault="00CD22F1" w:rsidP="00597C20">
            <w:pPr>
              <w:tabs>
                <w:tab w:val="right" w:leader="dot" w:pos="6802"/>
                <w:tab w:val="right" w:leader="dot" w:pos="8787"/>
              </w:tabs>
              <w:ind w:firstLine="0"/>
              <w:rPr>
                <w:rtl/>
              </w:rPr>
            </w:pPr>
            <w:r w:rsidRPr="00F85426">
              <w:rPr>
                <w:rFonts w:ascii="QCF_BSML" w:hAnsi="QCF_BSML" w:cs="QCF_BSML"/>
                <w:noProof w:val="0"/>
                <w:color w:val="auto"/>
                <w:rtl/>
                <w:lang w:eastAsia="en-US"/>
              </w:rPr>
              <w:t>ﭽ</w:t>
            </w:r>
            <w:r w:rsidRPr="00F85426">
              <w:rPr>
                <w:rFonts w:ascii="QCF_P223" w:hAnsi="QCF_P223" w:cs="QCF_P223"/>
                <w:noProof w:val="0"/>
                <w:color w:val="auto"/>
                <w:rtl/>
                <w:lang w:eastAsia="en-US"/>
              </w:rPr>
              <w:t>ﭷ</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ﭸ</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ﭹ</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ﭺ</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ﭻ</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ﭼ</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ﭽ</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ﭾ</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ﭿ</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ﮀ</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ﮁ</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ﮂ</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ﮃ</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ﮄ</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ﮅ</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ﮆ</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ﮇ</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ﮈ</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ﮉ</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ﮊ</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ﮋ</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ﮌ</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ﮍ</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ﮎ</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ﮏ</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ﮐ</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ﮑ</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ﮒ</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ﮓ</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ﮔ</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ﮕ</w:t>
            </w:r>
            <w:r>
              <w:rPr>
                <w:rFonts w:ascii="QCF_P223" w:hAnsi="QCF_P223" w:cs="QCF_P223" w:hint="cs"/>
                <w:noProof w:val="0"/>
                <w:color w:val="auto"/>
                <w:rtl/>
                <w:lang w:eastAsia="en-US"/>
              </w:rPr>
              <w:t xml:space="preserve"> </w:t>
            </w:r>
            <w:r w:rsidRPr="00F85426">
              <w:rPr>
                <w:rFonts w:ascii="QCF_P223" w:hAnsi="QCF_P223" w:cs="QCF_P223"/>
                <w:noProof w:val="0"/>
                <w:color w:val="auto"/>
                <w:rtl/>
                <w:lang w:eastAsia="en-US"/>
              </w:rPr>
              <w:t>ﮖ</w:t>
            </w:r>
            <w:r w:rsidRPr="00F85426">
              <w:rPr>
                <w:rFonts w:ascii="QCF_BSML" w:hAnsi="QCF_BSML" w:cs="QCF_BSML"/>
                <w:noProof w:val="0"/>
                <w:color w:val="auto"/>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15 - 16</w:t>
            </w:r>
          </w:p>
        </w:tc>
        <w:tc>
          <w:tcPr>
            <w:tcW w:w="1560" w:type="dxa"/>
            <w:vAlign w:val="center"/>
          </w:tcPr>
          <w:p w:rsidR="00E90490" w:rsidRPr="00E90490" w:rsidRDefault="00CD22F1" w:rsidP="00597C20">
            <w:pPr>
              <w:tabs>
                <w:tab w:val="right" w:leader="dot" w:pos="6802"/>
                <w:tab w:val="right" w:leader="dot" w:pos="8787"/>
              </w:tabs>
              <w:ind w:firstLine="0"/>
              <w:jc w:val="center"/>
              <w:rPr>
                <w:rtl/>
              </w:rPr>
            </w:pPr>
            <w:r>
              <w:rPr>
                <w:rFonts w:hint="cs"/>
                <w:rtl/>
              </w:rPr>
              <w:t>568</w:t>
            </w:r>
          </w:p>
        </w:tc>
      </w:tr>
      <w:tr w:rsidR="00E90490" w:rsidRPr="00E90490" w:rsidTr="00FE332F">
        <w:trPr>
          <w:cantSplit/>
        </w:trPr>
        <w:tc>
          <w:tcPr>
            <w:tcW w:w="6627" w:type="dxa"/>
          </w:tcPr>
          <w:p w:rsidR="00E90490" w:rsidRPr="00E90490" w:rsidRDefault="00CD22F1" w:rsidP="00597C20">
            <w:pPr>
              <w:tabs>
                <w:tab w:val="right" w:leader="dot" w:pos="6802"/>
                <w:tab w:val="right" w:leader="dot" w:pos="8787"/>
              </w:tabs>
              <w:ind w:firstLine="0"/>
              <w:rPr>
                <w:rtl/>
              </w:rPr>
            </w:pPr>
            <w:r w:rsidRPr="00284B31">
              <w:rPr>
                <w:rFonts w:ascii="QCF_BSML" w:hAnsi="QCF_BSML" w:cs="QCF_BSML"/>
                <w:rtl/>
                <w:lang w:eastAsia="en-US"/>
              </w:rPr>
              <w:t>ﭽ</w:t>
            </w:r>
            <w:r w:rsidRPr="00284B31">
              <w:rPr>
                <w:rFonts w:ascii="QCF_P232" w:hAnsi="QCF_P232" w:cs="QCF_P232"/>
                <w:rtl/>
                <w:lang w:eastAsia="en-US"/>
              </w:rPr>
              <w:t>ﭴ</w:t>
            </w:r>
            <w:r>
              <w:rPr>
                <w:rFonts w:ascii="QCF_P232" w:hAnsi="QCF_P232" w:cs="QCF_P232" w:hint="cs"/>
                <w:rtl/>
                <w:lang w:eastAsia="en-US"/>
              </w:rPr>
              <w:t xml:space="preserve"> </w:t>
            </w:r>
            <w:r w:rsidRPr="00284B31">
              <w:rPr>
                <w:rFonts w:ascii="QCF_P232" w:hAnsi="QCF_P232" w:cs="QCF_P232"/>
                <w:rtl/>
                <w:lang w:eastAsia="en-US"/>
              </w:rPr>
              <w:t>ﭵ</w:t>
            </w:r>
            <w:r>
              <w:rPr>
                <w:rFonts w:ascii="QCF_P232" w:hAnsi="QCF_P232" w:cs="QCF_P232" w:hint="cs"/>
                <w:rtl/>
                <w:lang w:eastAsia="en-US"/>
              </w:rPr>
              <w:t xml:space="preserve"> </w:t>
            </w:r>
            <w:r w:rsidRPr="00284B31">
              <w:rPr>
                <w:rFonts w:ascii="QCF_P232" w:hAnsi="QCF_P232" w:cs="QCF_P232"/>
                <w:rtl/>
                <w:lang w:eastAsia="en-US"/>
              </w:rPr>
              <w:t>ﭶ</w:t>
            </w:r>
            <w:r>
              <w:rPr>
                <w:rFonts w:ascii="QCF_P232" w:hAnsi="QCF_P232" w:cs="QCF_P232" w:hint="cs"/>
                <w:rtl/>
                <w:lang w:eastAsia="en-US"/>
              </w:rPr>
              <w:t xml:space="preserve"> </w:t>
            </w:r>
            <w:r w:rsidRPr="00284B31">
              <w:rPr>
                <w:rFonts w:ascii="QCF_P232" w:hAnsi="QCF_P232" w:cs="QCF_P232"/>
                <w:rtl/>
                <w:lang w:eastAsia="en-US"/>
              </w:rPr>
              <w:t>ﭷ</w:t>
            </w:r>
            <w:r>
              <w:rPr>
                <w:rFonts w:ascii="QCF_P232" w:hAnsi="QCF_P232" w:cs="QCF_P232" w:hint="cs"/>
                <w:rtl/>
                <w:lang w:eastAsia="en-US"/>
              </w:rPr>
              <w:t xml:space="preserve"> </w:t>
            </w:r>
            <w:r w:rsidRPr="00284B31">
              <w:rPr>
                <w:rFonts w:ascii="QCF_P232" w:hAnsi="QCF_P232" w:cs="QCF_P232"/>
                <w:rtl/>
                <w:lang w:eastAsia="en-US"/>
              </w:rPr>
              <w:t>ﭸ</w:t>
            </w:r>
            <w:r>
              <w:rPr>
                <w:rFonts w:ascii="QCF_P232" w:hAnsi="QCF_P232" w:cs="QCF_P232" w:hint="cs"/>
                <w:rtl/>
                <w:lang w:eastAsia="en-US"/>
              </w:rPr>
              <w:t xml:space="preserve"> </w:t>
            </w:r>
            <w:r w:rsidRPr="00284B31">
              <w:rPr>
                <w:rFonts w:ascii="QCF_P232" w:hAnsi="QCF_P232" w:cs="QCF_P232"/>
                <w:rtl/>
                <w:lang w:eastAsia="en-US"/>
              </w:rPr>
              <w:t>ﭹ</w:t>
            </w:r>
            <w:r>
              <w:rPr>
                <w:rFonts w:ascii="QCF_P232" w:hAnsi="QCF_P232" w:cs="QCF_P232" w:hint="cs"/>
                <w:rtl/>
                <w:lang w:eastAsia="en-US"/>
              </w:rPr>
              <w:t xml:space="preserve"> </w:t>
            </w:r>
            <w:r w:rsidRPr="00284B31">
              <w:rPr>
                <w:rFonts w:ascii="QCF_P232" w:hAnsi="QCF_P232" w:cs="QCF_P232"/>
                <w:rtl/>
                <w:lang w:eastAsia="en-US"/>
              </w:rPr>
              <w:t>ﭺ</w:t>
            </w:r>
            <w:r w:rsidRPr="00284B31">
              <w:rPr>
                <w:rFonts w:ascii="QCF_BSML" w:hAnsi="QCF_BSML" w:cs="QCF_BSML"/>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91</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سورة_هود_91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يوسف</w:t>
            </w:r>
          </w:p>
        </w:tc>
      </w:tr>
      <w:tr w:rsidR="00E90490" w:rsidRPr="00E90490" w:rsidTr="00FE332F">
        <w:trPr>
          <w:cantSplit/>
        </w:trPr>
        <w:tc>
          <w:tcPr>
            <w:tcW w:w="6627" w:type="dxa"/>
          </w:tcPr>
          <w:p w:rsidR="00E90490" w:rsidRPr="00E90490" w:rsidRDefault="00EC33FB" w:rsidP="00597C20">
            <w:pPr>
              <w:tabs>
                <w:tab w:val="right" w:leader="dot" w:pos="6802"/>
                <w:tab w:val="right" w:leader="dot" w:pos="8787"/>
              </w:tabs>
              <w:ind w:firstLine="0"/>
            </w:pPr>
            <w:r w:rsidRPr="00E90490">
              <w:rPr>
                <w:rFonts w:ascii="QCF_BSML" w:hAnsi="QCF_BSML" w:cs="QCF_BSML"/>
                <w:noProof w:val="0"/>
                <w:rtl/>
                <w:lang w:eastAsia="en-US"/>
              </w:rPr>
              <w:t>ﭽ</w:t>
            </w:r>
            <w:r w:rsidRPr="00E90490">
              <w:rPr>
                <w:rFonts w:ascii="QCF_P238" w:hAnsi="QCF_P238" w:cs="QCF_P238"/>
                <w:noProof w:val="0"/>
                <w:rtl/>
                <w:lang w:eastAsia="en-US"/>
              </w:rPr>
              <w:t>ﮜ ﮝ ﮞ ﮟ ﮠ</w:t>
            </w:r>
            <w:r w:rsidRPr="00E90490">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26</w:t>
            </w:r>
          </w:p>
        </w:tc>
        <w:tc>
          <w:tcPr>
            <w:tcW w:w="1560" w:type="dxa"/>
            <w:vAlign w:val="center"/>
          </w:tcPr>
          <w:p w:rsidR="00E90490" w:rsidRPr="00E90490" w:rsidRDefault="00EC33FB" w:rsidP="00597C20">
            <w:pPr>
              <w:tabs>
                <w:tab w:val="right" w:leader="dot" w:pos="6802"/>
                <w:tab w:val="right" w:leader="dot" w:pos="8787"/>
              </w:tabs>
              <w:ind w:firstLine="0"/>
              <w:jc w:val="center"/>
              <w:rPr>
                <w:rtl/>
              </w:rPr>
            </w:pPr>
            <w:r>
              <w:rPr>
                <w:rFonts w:hint="cs"/>
                <w:rtl/>
              </w:rPr>
              <w:t>433، 434</w:t>
            </w:r>
          </w:p>
        </w:tc>
      </w:tr>
      <w:tr w:rsidR="00E90490" w:rsidRPr="00E90490" w:rsidTr="00FE332F">
        <w:trPr>
          <w:cantSplit/>
        </w:trPr>
        <w:tc>
          <w:tcPr>
            <w:tcW w:w="6627" w:type="dxa"/>
          </w:tcPr>
          <w:p w:rsidR="00E90490" w:rsidRPr="00E90490" w:rsidRDefault="00EC33FB" w:rsidP="00597C20">
            <w:pPr>
              <w:tabs>
                <w:tab w:val="right" w:leader="dot" w:pos="6802"/>
                <w:tab w:val="right" w:leader="dot" w:pos="8787"/>
              </w:tabs>
              <w:ind w:firstLine="0"/>
              <w:rPr>
                <w:rtl/>
              </w:rPr>
            </w:pPr>
            <w:r w:rsidRPr="00E90490">
              <w:rPr>
                <w:rFonts w:ascii="QCF_BSML" w:hAnsi="QCF_BSML" w:cs="QCF_BSML"/>
                <w:noProof w:val="0"/>
                <w:rtl/>
                <w:lang w:eastAsia="en-US"/>
              </w:rPr>
              <w:t xml:space="preserve">ﭽ </w:t>
            </w:r>
            <w:r w:rsidRPr="00E90490">
              <w:rPr>
                <w:rFonts w:ascii="QCF_P238" w:hAnsi="QCF_P238" w:cs="QCF_P238"/>
                <w:noProof w:val="0"/>
                <w:rtl/>
                <w:lang w:eastAsia="en-US"/>
              </w:rPr>
              <w:t xml:space="preserve">ﮦ ﮧ  ﮨ ﮩ ﮪ ﮫ ﮬ ﮭ ﮮ ﮯ ﮰ ﮱ ﯓ  ﯔ ﯕ ﯖ ﯗ ﯘ ﯙ ﯚ ﯛ </w:t>
            </w:r>
            <w:r w:rsidRPr="00E90490">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26 - 27</w:t>
            </w:r>
          </w:p>
        </w:tc>
        <w:tc>
          <w:tcPr>
            <w:tcW w:w="1560" w:type="dxa"/>
            <w:vAlign w:val="center"/>
          </w:tcPr>
          <w:p w:rsidR="00E90490" w:rsidRPr="00E90490" w:rsidRDefault="00EC33FB" w:rsidP="00597C20">
            <w:pPr>
              <w:tabs>
                <w:tab w:val="right" w:leader="dot" w:pos="6802"/>
                <w:tab w:val="right" w:leader="dot" w:pos="8787"/>
              </w:tabs>
              <w:ind w:firstLine="0"/>
              <w:jc w:val="center"/>
              <w:rPr>
                <w:rtl/>
              </w:rPr>
            </w:pPr>
            <w:r>
              <w:rPr>
                <w:rFonts w:hint="cs"/>
                <w:rtl/>
              </w:rPr>
              <w:t>433، 434</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النحل</w:t>
            </w:r>
          </w:p>
        </w:tc>
      </w:tr>
      <w:tr w:rsidR="00E90490" w:rsidRPr="00E90490" w:rsidTr="00FE332F">
        <w:trPr>
          <w:cantSplit/>
        </w:trPr>
        <w:tc>
          <w:tcPr>
            <w:tcW w:w="6627" w:type="dxa"/>
          </w:tcPr>
          <w:p w:rsidR="00E90490" w:rsidRPr="00E90490" w:rsidRDefault="00EC33FB" w:rsidP="00597C20">
            <w:pPr>
              <w:tabs>
                <w:tab w:val="right" w:leader="dot" w:pos="6802"/>
                <w:tab w:val="right" w:leader="dot" w:pos="8787"/>
              </w:tabs>
              <w:ind w:firstLine="0"/>
            </w:pPr>
            <w:r w:rsidRPr="00284B31">
              <w:rPr>
                <w:rFonts w:ascii="QCF_BSML" w:hAnsi="QCF_BSML" w:cs="QCF_BSML"/>
                <w:rtl/>
                <w:lang w:eastAsia="en-US"/>
              </w:rPr>
              <w:t>ﭽ</w:t>
            </w:r>
            <w:r w:rsidRPr="00284B31">
              <w:rPr>
                <w:rFonts w:ascii="QCF_P269" w:hAnsi="QCF_P269" w:cs="QCF_P269"/>
                <w:rtl/>
                <w:lang w:eastAsia="en-US"/>
              </w:rPr>
              <w:t>ﯲ</w:t>
            </w:r>
            <w:r>
              <w:rPr>
                <w:rFonts w:ascii="QCF_P269" w:hAnsi="QCF_P269" w:cs="QCF_P269" w:hint="cs"/>
                <w:rtl/>
                <w:lang w:eastAsia="en-US"/>
              </w:rPr>
              <w:t xml:space="preserve">  </w:t>
            </w:r>
            <w:r w:rsidRPr="00284B31">
              <w:rPr>
                <w:rFonts w:ascii="QCF_P269" w:hAnsi="QCF_P269" w:cs="QCF_P269"/>
                <w:rtl/>
                <w:lang w:eastAsia="en-US"/>
              </w:rPr>
              <w:t>ﯳ</w:t>
            </w:r>
            <w:r>
              <w:rPr>
                <w:rFonts w:ascii="QCF_P269" w:hAnsi="QCF_P269" w:cs="QCF_P269" w:hint="cs"/>
                <w:rtl/>
                <w:lang w:eastAsia="en-US"/>
              </w:rPr>
              <w:t xml:space="preserve">  </w:t>
            </w:r>
            <w:r w:rsidRPr="00284B31">
              <w:rPr>
                <w:rFonts w:ascii="QCF_P269" w:hAnsi="QCF_P269" w:cs="QCF_P269"/>
                <w:rtl/>
                <w:lang w:eastAsia="en-US"/>
              </w:rPr>
              <w:t>ﯴ</w:t>
            </w:r>
            <w:r>
              <w:rPr>
                <w:rFonts w:ascii="QCF_P269" w:hAnsi="QCF_P269" w:cs="QCF_P269" w:hint="cs"/>
                <w:rtl/>
                <w:lang w:eastAsia="en-US"/>
              </w:rPr>
              <w:t xml:space="preserve">  </w:t>
            </w:r>
            <w:r w:rsidRPr="00284B31">
              <w:rPr>
                <w:rFonts w:ascii="QCF_P269" w:hAnsi="QCF_P269" w:cs="QCF_P269"/>
                <w:rtl/>
                <w:lang w:eastAsia="en-US"/>
              </w:rPr>
              <w:t>ﯵ</w:t>
            </w:r>
            <w:r>
              <w:rPr>
                <w:rFonts w:ascii="QCF_P269" w:hAnsi="QCF_P269" w:cs="QCF_P269" w:hint="cs"/>
                <w:rtl/>
                <w:lang w:eastAsia="en-US"/>
              </w:rPr>
              <w:t xml:space="preserve">   </w:t>
            </w:r>
            <w:r w:rsidRPr="00284B31">
              <w:rPr>
                <w:rFonts w:ascii="QCF_P269" w:hAnsi="QCF_P269" w:cs="QCF_P269"/>
                <w:rtl/>
                <w:lang w:eastAsia="en-US"/>
              </w:rPr>
              <w:t>ﯶ</w:t>
            </w:r>
            <w:r w:rsidRPr="00284B31">
              <w:rPr>
                <w:rFonts w:ascii="QCF_BSML" w:hAnsi="QCF_BSML" w:cs="QCF_BSML"/>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26</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سورة_النحل_26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الإسراء</w:t>
            </w:r>
          </w:p>
        </w:tc>
      </w:tr>
      <w:tr w:rsidR="00E90490" w:rsidRPr="00E90490" w:rsidTr="00FE332F">
        <w:trPr>
          <w:cantSplit/>
        </w:trPr>
        <w:tc>
          <w:tcPr>
            <w:tcW w:w="6627" w:type="dxa"/>
          </w:tcPr>
          <w:p w:rsidR="00E90490" w:rsidRPr="00E90490" w:rsidRDefault="00EC33FB" w:rsidP="00597C20">
            <w:pPr>
              <w:tabs>
                <w:tab w:val="right" w:leader="dot" w:pos="6802"/>
                <w:tab w:val="right" w:leader="dot" w:pos="8787"/>
              </w:tabs>
              <w:ind w:firstLine="0"/>
            </w:pPr>
            <w:r w:rsidRPr="00F23297">
              <w:rPr>
                <w:rFonts w:ascii="QCF_BSML" w:hAnsi="QCF_BSML" w:cs="QCF_BSML"/>
                <w:noProof w:val="0"/>
                <w:rtl/>
                <w:lang w:eastAsia="en-US"/>
              </w:rPr>
              <w:t>ﭽ</w:t>
            </w:r>
            <w:r w:rsidRPr="00F23297">
              <w:rPr>
                <w:rFonts w:ascii="QCF_P283" w:hAnsi="QCF_P283" w:cs="QCF_P283"/>
                <w:noProof w:val="0"/>
                <w:rtl/>
                <w:lang w:eastAsia="en-US"/>
              </w:rPr>
              <w:t>ﭟﭠﭡﭢﭣﭤﭥ</w:t>
            </w:r>
            <w:r w:rsidRPr="00F23297">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9</w:t>
            </w:r>
          </w:p>
        </w:tc>
        <w:tc>
          <w:tcPr>
            <w:tcW w:w="1560" w:type="dxa"/>
            <w:vAlign w:val="center"/>
          </w:tcPr>
          <w:p w:rsidR="00E90490" w:rsidRPr="00E90490" w:rsidRDefault="00AB0B9E" w:rsidP="00EC33FB">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سورة_الإسراء_9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EC33FB" w:rsidP="00597C20">
            <w:pPr>
              <w:tabs>
                <w:tab w:val="right" w:leader="dot" w:pos="6802"/>
                <w:tab w:val="right" w:leader="dot" w:pos="8787"/>
              </w:tabs>
              <w:ind w:firstLine="0"/>
              <w:rPr>
                <w:rtl/>
              </w:rPr>
            </w:pPr>
            <w:r w:rsidRPr="00D84B4C">
              <w:rPr>
                <w:rFonts w:ascii="QCF_BSML" w:hAnsi="QCF_BSML" w:cs="QCF_BSML"/>
                <w:noProof w:val="0"/>
                <w:rtl/>
                <w:lang w:eastAsia="en-US"/>
              </w:rPr>
              <w:t xml:space="preserve">ﭽ </w:t>
            </w:r>
            <w:r w:rsidRPr="00D84B4C">
              <w:rPr>
                <w:rFonts w:ascii="QCF_P285" w:hAnsi="QCF_P285" w:cs="QCF_P285"/>
                <w:noProof w:val="0"/>
                <w:rtl/>
                <w:lang w:eastAsia="en-US"/>
              </w:rPr>
              <w:t>ﯚﯛ</w:t>
            </w:r>
            <w:r w:rsidRPr="00D84B4C">
              <w:rPr>
                <w:rFonts w:ascii="QCF_P285" w:hAnsi="QCF_P285" w:cs="QCF_P285"/>
                <w:noProof w:val="0"/>
                <w:color w:val="0000A5"/>
                <w:rtl/>
                <w:lang w:eastAsia="en-US"/>
              </w:rPr>
              <w:t>ﯜ</w:t>
            </w:r>
            <w:r w:rsidRPr="00D84B4C">
              <w:rPr>
                <w:rFonts w:ascii="QCF_P285" w:hAnsi="QCF_P285" w:cs="QCF_P285"/>
                <w:noProof w:val="0"/>
                <w:rtl/>
                <w:lang w:eastAsia="en-US"/>
              </w:rPr>
              <w:t>ﯝﯞﯟﯠ</w:t>
            </w:r>
            <w:r w:rsidRPr="00D84B4C">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24</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سورة_الإسراء_24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الكهف</w:t>
            </w:r>
          </w:p>
        </w:tc>
      </w:tr>
      <w:tr w:rsidR="00E90490" w:rsidRPr="00E90490" w:rsidTr="00FE332F">
        <w:trPr>
          <w:cantSplit/>
        </w:trPr>
        <w:tc>
          <w:tcPr>
            <w:tcW w:w="6627" w:type="dxa"/>
          </w:tcPr>
          <w:p w:rsidR="00E90490" w:rsidRPr="00E90490" w:rsidRDefault="00EC33FB" w:rsidP="00597C20">
            <w:pPr>
              <w:tabs>
                <w:tab w:val="right" w:leader="dot" w:pos="6802"/>
                <w:tab w:val="right" w:leader="dot" w:pos="8787"/>
              </w:tabs>
              <w:ind w:firstLine="0"/>
            </w:pPr>
            <w:r w:rsidRPr="003E722C">
              <w:rPr>
                <w:rFonts w:ascii="QCF_BSML" w:hAnsi="QCF_BSML" w:cs="QCF_BSML"/>
                <w:noProof w:val="0"/>
                <w:rtl/>
                <w:lang w:eastAsia="en-US"/>
              </w:rPr>
              <w:t>ﭽ</w:t>
            </w:r>
            <w:r w:rsidRPr="003E722C">
              <w:rPr>
                <w:rFonts w:ascii="QCF_P301" w:hAnsi="QCF_P301" w:cs="QCF_P301"/>
                <w:noProof w:val="0"/>
                <w:rtl/>
                <w:lang w:eastAsia="en-US"/>
              </w:rPr>
              <w:t>ﯡ</w:t>
            </w:r>
            <w:r>
              <w:rPr>
                <w:rFonts w:ascii="QCF_P301" w:hAnsi="QCF_P301" w:cs="QCF_P301" w:hint="cs"/>
                <w:noProof w:val="0"/>
                <w:rtl/>
                <w:lang w:eastAsia="en-US"/>
              </w:rPr>
              <w:t xml:space="preserve"> </w:t>
            </w:r>
            <w:r w:rsidRPr="003E722C">
              <w:rPr>
                <w:rFonts w:ascii="QCF_P301" w:hAnsi="QCF_P301" w:cs="QCF_P301"/>
                <w:noProof w:val="0"/>
                <w:rtl/>
                <w:lang w:eastAsia="en-US"/>
              </w:rPr>
              <w:t>ﯢ</w:t>
            </w:r>
            <w:r>
              <w:rPr>
                <w:rFonts w:ascii="QCF_P301" w:hAnsi="QCF_P301" w:cs="QCF_P301" w:hint="cs"/>
                <w:noProof w:val="0"/>
                <w:rtl/>
                <w:lang w:eastAsia="en-US"/>
              </w:rPr>
              <w:t xml:space="preserve"> </w:t>
            </w:r>
            <w:r w:rsidRPr="003E722C">
              <w:rPr>
                <w:rFonts w:ascii="QCF_P301" w:hAnsi="QCF_P301" w:cs="QCF_P301"/>
                <w:noProof w:val="0"/>
                <w:rtl/>
                <w:lang w:eastAsia="en-US"/>
              </w:rPr>
              <w:t>ﯣ</w:t>
            </w:r>
            <w:r>
              <w:rPr>
                <w:rFonts w:ascii="QCF_P301" w:hAnsi="QCF_P301" w:cs="QCF_P301" w:hint="cs"/>
                <w:noProof w:val="0"/>
                <w:rtl/>
                <w:lang w:eastAsia="en-US"/>
              </w:rPr>
              <w:t xml:space="preserve"> </w:t>
            </w:r>
            <w:r w:rsidRPr="003E722C">
              <w:rPr>
                <w:rFonts w:ascii="QCF_P301" w:hAnsi="QCF_P301" w:cs="QCF_P301"/>
                <w:noProof w:val="0"/>
                <w:rtl/>
                <w:lang w:eastAsia="en-US"/>
              </w:rPr>
              <w:t>ﯤ</w:t>
            </w:r>
            <w:r>
              <w:rPr>
                <w:rFonts w:ascii="QCF_P301" w:hAnsi="QCF_P301" w:cs="QCF_P301" w:hint="cs"/>
                <w:noProof w:val="0"/>
                <w:rtl/>
                <w:lang w:eastAsia="en-US"/>
              </w:rPr>
              <w:t xml:space="preserve"> </w:t>
            </w:r>
            <w:r w:rsidRPr="003E722C">
              <w:rPr>
                <w:rFonts w:ascii="QCF_P301" w:hAnsi="QCF_P301" w:cs="QCF_P301"/>
                <w:noProof w:val="0"/>
                <w:rtl/>
                <w:lang w:eastAsia="en-US"/>
              </w:rPr>
              <w:t>ﯥ</w:t>
            </w:r>
            <w:r>
              <w:rPr>
                <w:rFonts w:ascii="QCF_P301" w:hAnsi="QCF_P301" w:cs="QCF_P301" w:hint="cs"/>
                <w:noProof w:val="0"/>
                <w:rtl/>
                <w:lang w:eastAsia="en-US"/>
              </w:rPr>
              <w:t xml:space="preserve"> </w:t>
            </w:r>
            <w:r w:rsidRPr="003E722C">
              <w:rPr>
                <w:rFonts w:ascii="QCF_P301" w:hAnsi="QCF_P301" w:cs="QCF_P301"/>
                <w:noProof w:val="0"/>
                <w:rtl/>
                <w:lang w:eastAsia="en-US"/>
              </w:rPr>
              <w:t>ﯦ</w:t>
            </w:r>
            <w:r>
              <w:rPr>
                <w:rFonts w:ascii="QCF_P301" w:hAnsi="QCF_P301" w:cs="QCF_P301" w:hint="cs"/>
                <w:noProof w:val="0"/>
                <w:rtl/>
                <w:lang w:eastAsia="en-US"/>
              </w:rPr>
              <w:t xml:space="preserve"> </w:t>
            </w:r>
            <w:r w:rsidRPr="003E722C">
              <w:rPr>
                <w:rFonts w:ascii="QCF_P301" w:hAnsi="QCF_P301" w:cs="QCF_P301"/>
                <w:noProof w:val="0"/>
                <w:rtl/>
                <w:lang w:eastAsia="en-US"/>
              </w:rPr>
              <w:t>ﯧ</w:t>
            </w:r>
            <w:r>
              <w:rPr>
                <w:rFonts w:ascii="QCF_P301" w:hAnsi="QCF_P301" w:cs="QCF_P301" w:hint="cs"/>
                <w:noProof w:val="0"/>
                <w:rtl/>
                <w:lang w:eastAsia="en-US"/>
              </w:rPr>
              <w:t xml:space="preserve"> </w:t>
            </w:r>
            <w:r w:rsidRPr="003E722C">
              <w:rPr>
                <w:rFonts w:ascii="QCF_P301" w:hAnsi="QCF_P301" w:cs="QCF_P301"/>
                <w:noProof w:val="0"/>
                <w:color w:val="0000A5"/>
                <w:rtl/>
                <w:lang w:eastAsia="en-US"/>
              </w:rPr>
              <w:t>ﯨ</w:t>
            </w:r>
            <w:r w:rsidRPr="003E722C">
              <w:rPr>
                <w:rFonts w:ascii="QCF_P301" w:hAnsi="QCF_P301" w:cs="QCF_P301"/>
                <w:noProof w:val="0"/>
                <w:rtl/>
                <w:lang w:eastAsia="en-US"/>
              </w:rPr>
              <w:t>ﯩ</w:t>
            </w:r>
            <w:r>
              <w:rPr>
                <w:rFonts w:ascii="QCF_P301" w:hAnsi="QCF_P301" w:cs="QCF_P301" w:hint="cs"/>
                <w:noProof w:val="0"/>
                <w:rtl/>
                <w:lang w:eastAsia="en-US"/>
              </w:rPr>
              <w:t xml:space="preserve"> </w:t>
            </w:r>
            <w:r w:rsidRPr="003E722C">
              <w:rPr>
                <w:rFonts w:ascii="QCF_P301" w:hAnsi="QCF_P301" w:cs="QCF_P301"/>
                <w:noProof w:val="0"/>
                <w:rtl/>
                <w:lang w:eastAsia="en-US"/>
              </w:rPr>
              <w:t>ﯪ</w:t>
            </w:r>
            <w:r>
              <w:rPr>
                <w:rFonts w:ascii="QCF_P301" w:hAnsi="QCF_P301" w:cs="QCF_P301" w:hint="cs"/>
                <w:noProof w:val="0"/>
                <w:rtl/>
                <w:lang w:eastAsia="en-US"/>
              </w:rPr>
              <w:t xml:space="preserve">    </w:t>
            </w:r>
            <w:r w:rsidRPr="003E722C">
              <w:rPr>
                <w:rFonts w:ascii="QCF_P301" w:hAnsi="QCF_P301" w:cs="QCF_P301"/>
                <w:noProof w:val="0"/>
                <w:rtl/>
                <w:lang w:eastAsia="en-US"/>
              </w:rPr>
              <w:t>ﯫ</w:t>
            </w:r>
            <w:r>
              <w:rPr>
                <w:rFonts w:ascii="QCF_P301" w:hAnsi="QCF_P301" w:cs="QCF_P301" w:hint="cs"/>
                <w:noProof w:val="0"/>
                <w:rtl/>
                <w:lang w:eastAsia="en-US"/>
              </w:rPr>
              <w:t xml:space="preserve"> </w:t>
            </w:r>
            <w:r w:rsidRPr="003E722C">
              <w:rPr>
                <w:rFonts w:ascii="QCF_P301" w:hAnsi="QCF_P301" w:cs="QCF_P301"/>
                <w:noProof w:val="0"/>
                <w:rtl/>
                <w:lang w:eastAsia="en-US"/>
              </w:rPr>
              <w:t>ﯬﯭ</w:t>
            </w:r>
            <w:r>
              <w:rPr>
                <w:rFonts w:ascii="QCF_P301" w:hAnsi="QCF_P301" w:cs="QCF_P301" w:hint="cs"/>
                <w:noProof w:val="0"/>
                <w:rtl/>
                <w:lang w:eastAsia="en-US"/>
              </w:rPr>
              <w:t xml:space="preserve"> </w:t>
            </w:r>
            <w:r w:rsidRPr="003E722C">
              <w:rPr>
                <w:rFonts w:ascii="QCF_P301" w:hAnsi="QCF_P301" w:cs="QCF_P301"/>
                <w:noProof w:val="0"/>
                <w:rtl/>
                <w:lang w:eastAsia="en-US"/>
              </w:rPr>
              <w:t>ﯮ</w:t>
            </w:r>
            <w:r>
              <w:rPr>
                <w:rFonts w:ascii="QCF_P301" w:hAnsi="QCF_P301" w:cs="QCF_P301" w:hint="cs"/>
                <w:noProof w:val="0"/>
                <w:rtl/>
                <w:lang w:eastAsia="en-US"/>
              </w:rPr>
              <w:t xml:space="preserve">  </w:t>
            </w:r>
            <w:r w:rsidRPr="003E722C">
              <w:rPr>
                <w:rFonts w:ascii="QCF_P301" w:hAnsi="QCF_P301" w:cs="QCF_P301"/>
                <w:noProof w:val="0"/>
                <w:rtl/>
                <w:lang w:eastAsia="en-US"/>
              </w:rPr>
              <w:t>ﯯ</w:t>
            </w:r>
            <w:r>
              <w:rPr>
                <w:rFonts w:ascii="QCF_P301" w:hAnsi="QCF_P301" w:cs="QCF_P301" w:hint="cs"/>
                <w:noProof w:val="0"/>
                <w:rtl/>
                <w:lang w:eastAsia="en-US"/>
              </w:rPr>
              <w:t xml:space="preserve"> </w:t>
            </w:r>
            <w:r w:rsidRPr="003E722C">
              <w:rPr>
                <w:rFonts w:ascii="QCF_P301" w:hAnsi="QCF_P301" w:cs="QCF_P301"/>
                <w:noProof w:val="0"/>
                <w:rtl/>
                <w:lang w:eastAsia="en-US"/>
              </w:rPr>
              <w:t>ﯰ</w:t>
            </w:r>
            <w:r w:rsidRPr="003E722C">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71</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سورة_الكهف_71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EC33FB" w:rsidP="00597C20">
            <w:pPr>
              <w:tabs>
                <w:tab w:val="right" w:leader="dot" w:pos="6802"/>
                <w:tab w:val="right" w:leader="dot" w:pos="8787"/>
              </w:tabs>
              <w:ind w:firstLine="0"/>
            </w:pPr>
            <w:r w:rsidRPr="003E722C">
              <w:rPr>
                <w:rFonts w:ascii="QCF_BSML" w:hAnsi="QCF_BSML" w:cs="QCF_BSML"/>
                <w:noProof w:val="0"/>
                <w:rtl/>
                <w:lang w:eastAsia="en-US"/>
              </w:rPr>
              <w:t>ﭽ</w:t>
            </w:r>
            <w:r w:rsidRPr="003E722C">
              <w:rPr>
                <w:rFonts w:ascii="QCF_P302" w:hAnsi="QCF_P302" w:cs="QCF_P302"/>
                <w:noProof w:val="0"/>
                <w:rtl/>
                <w:lang w:eastAsia="en-US"/>
              </w:rPr>
              <w:t>ﮓ</w:t>
            </w:r>
            <w:r>
              <w:rPr>
                <w:rFonts w:ascii="QCF_P302" w:hAnsi="QCF_P302" w:cs="QCF_P302" w:hint="cs"/>
                <w:noProof w:val="0"/>
                <w:rtl/>
                <w:lang w:eastAsia="en-US"/>
              </w:rPr>
              <w:t xml:space="preserve"> </w:t>
            </w:r>
            <w:r w:rsidRPr="003E722C">
              <w:rPr>
                <w:rFonts w:ascii="QCF_P302" w:hAnsi="QCF_P302" w:cs="QCF_P302"/>
                <w:noProof w:val="0"/>
                <w:rtl/>
                <w:lang w:eastAsia="en-US"/>
              </w:rPr>
              <w:t>ﮔ</w:t>
            </w:r>
            <w:r>
              <w:rPr>
                <w:rFonts w:ascii="QCF_P302" w:hAnsi="QCF_P302" w:cs="QCF_P302" w:hint="cs"/>
                <w:noProof w:val="0"/>
                <w:rtl/>
                <w:lang w:eastAsia="en-US"/>
              </w:rPr>
              <w:t xml:space="preserve"> </w:t>
            </w:r>
            <w:r w:rsidRPr="003E722C">
              <w:rPr>
                <w:rFonts w:ascii="QCF_P302" w:hAnsi="QCF_P302" w:cs="QCF_P302"/>
                <w:noProof w:val="0"/>
                <w:rtl/>
                <w:lang w:eastAsia="en-US"/>
              </w:rPr>
              <w:t>ﮕ</w:t>
            </w:r>
            <w:r>
              <w:rPr>
                <w:rFonts w:ascii="QCF_P302" w:hAnsi="QCF_P302" w:cs="QCF_P302" w:hint="cs"/>
                <w:noProof w:val="0"/>
                <w:rtl/>
                <w:lang w:eastAsia="en-US"/>
              </w:rPr>
              <w:t xml:space="preserve"> </w:t>
            </w:r>
            <w:r w:rsidRPr="003E722C">
              <w:rPr>
                <w:rFonts w:ascii="QCF_P302" w:hAnsi="QCF_P302" w:cs="QCF_P302"/>
                <w:noProof w:val="0"/>
                <w:rtl/>
                <w:lang w:eastAsia="en-US"/>
              </w:rPr>
              <w:t>ﮖ</w:t>
            </w:r>
            <w:r>
              <w:rPr>
                <w:rFonts w:ascii="QCF_P302" w:hAnsi="QCF_P302" w:cs="QCF_P302" w:hint="cs"/>
                <w:noProof w:val="0"/>
                <w:rtl/>
                <w:lang w:eastAsia="en-US"/>
              </w:rPr>
              <w:t xml:space="preserve"> </w:t>
            </w:r>
            <w:r w:rsidRPr="003E722C">
              <w:rPr>
                <w:rFonts w:ascii="QCF_P302" w:hAnsi="QCF_P302" w:cs="QCF_P302"/>
                <w:noProof w:val="0"/>
                <w:rtl/>
                <w:lang w:eastAsia="en-US"/>
              </w:rPr>
              <w:t>ﮗ</w:t>
            </w:r>
            <w:r>
              <w:rPr>
                <w:rFonts w:ascii="QCF_P302" w:hAnsi="QCF_P302" w:cs="QCF_P302" w:hint="cs"/>
                <w:noProof w:val="0"/>
                <w:rtl/>
                <w:lang w:eastAsia="en-US"/>
              </w:rPr>
              <w:t xml:space="preserve"> </w:t>
            </w:r>
            <w:r w:rsidRPr="003E722C">
              <w:rPr>
                <w:rFonts w:ascii="QCF_P302" w:hAnsi="QCF_P302" w:cs="QCF_P302"/>
                <w:noProof w:val="0"/>
                <w:rtl/>
                <w:lang w:eastAsia="en-US"/>
              </w:rPr>
              <w:t>ﮘﮙ</w:t>
            </w:r>
            <w:r>
              <w:rPr>
                <w:rFonts w:ascii="QCF_P302" w:hAnsi="QCF_P302" w:cs="QCF_P302" w:hint="cs"/>
                <w:noProof w:val="0"/>
                <w:rtl/>
                <w:lang w:eastAsia="en-US"/>
              </w:rPr>
              <w:t xml:space="preserve"> </w:t>
            </w:r>
            <w:r w:rsidRPr="003E722C">
              <w:rPr>
                <w:rFonts w:ascii="QCF_P302" w:hAnsi="QCF_P302" w:cs="QCF_P302"/>
                <w:noProof w:val="0"/>
                <w:rtl/>
                <w:lang w:eastAsia="en-US"/>
              </w:rPr>
              <w:t>ﮚ</w:t>
            </w:r>
            <w:r>
              <w:rPr>
                <w:rFonts w:ascii="QCF_P302" w:hAnsi="QCF_P302" w:cs="QCF_P302" w:hint="cs"/>
                <w:noProof w:val="0"/>
                <w:rtl/>
                <w:lang w:eastAsia="en-US"/>
              </w:rPr>
              <w:t xml:space="preserve"> </w:t>
            </w:r>
            <w:r w:rsidRPr="003E722C">
              <w:rPr>
                <w:rFonts w:ascii="QCF_P302" w:hAnsi="QCF_P302" w:cs="QCF_P302"/>
                <w:noProof w:val="0"/>
                <w:rtl/>
                <w:lang w:eastAsia="en-US"/>
              </w:rPr>
              <w:t>ﮛ</w:t>
            </w:r>
            <w:r>
              <w:rPr>
                <w:rFonts w:ascii="QCF_P302" w:hAnsi="QCF_P302" w:cs="QCF_P302" w:hint="cs"/>
                <w:noProof w:val="0"/>
                <w:rtl/>
                <w:lang w:eastAsia="en-US"/>
              </w:rPr>
              <w:t xml:space="preserve"> </w:t>
            </w:r>
            <w:r w:rsidRPr="003E722C">
              <w:rPr>
                <w:rFonts w:ascii="QCF_P302" w:hAnsi="QCF_P302" w:cs="QCF_P302"/>
                <w:noProof w:val="0"/>
                <w:rtl/>
                <w:lang w:eastAsia="en-US"/>
              </w:rPr>
              <w:t>ﮜ</w:t>
            </w:r>
            <w:r>
              <w:rPr>
                <w:rFonts w:ascii="QCF_P302" w:hAnsi="QCF_P302" w:cs="QCF_P302" w:hint="cs"/>
                <w:noProof w:val="0"/>
                <w:rtl/>
                <w:lang w:eastAsia="en-US"/>
              </w:rPr>
              <w:t xml:space="preserve">   </w:t>
            </w:r>
            <w:r w:rsidRPr="003E722C">
              <w:rPr>
                <w:rFonts w:ascii="QCF_P302" w:hAnsi="QCF_P302" w:cs="QCF_P302"/>
                <w:noProof w:val="0"/>
                <w:rtl/>
                <w:lang w:eastAsia="en-US"/>
              </w:rPr>
              <w:t>ﮝ</w:t>
            </w:r>
            <w:r>
              <w:rPr>
                <w:rFonts w:ascii="QCF_P302" w:hAnsi="QCF_P302" w:cs="QCF_P302" w:hint="cs"/>
                <w:noProof w:val="0"/>
                <w:rtl/>
                <w:lang w:eastAsia="en-US"/>
              </w:rPr>
              <w:t xml:space="preserve">  </w:t>
            </w:r>
            <w:r w:rsidRPr="003E722C">
              <w:rPr>
                <w:rFonts w:ascii="QCF_P302" w:hAnsi="QCF_P302" w:cs="QCF_P302"/>
                <w:noProof w:val="0"/>
                <w:rtl/>
                <w:lang w:eastAsia="en-US"/>
              </w:rPr>
              <w:t>ﮞ</w:t>
            </w:r>
            <w:r>
              <w:rPr>
                <w:rFonts w:ascii="QCF_P302" w:hAnsi="QCF_P302" w:cs="QCF_P302" w:hint="cs"/>
                <w:noProof w:val="0"/>
                <w:rtl/>
                <w:lang w:eastAsia="en-US"/>
              </w:rPr>
              <w:t xml:space="preserve"> </w:t>
            </w:r>
            <w:r w:rsidRPr="003E722C">
              <w:rPr>
                <w:rFonts w:ascii="QCF_P302" w:hAnsi="QCF_P302" w:cs="QCF_P302"/>
                <w:noProof w:val="0"/>
                <w:rtl/>
                <w:lang w:eastAsia="en-US"/>
              </w:rPr>
              <w:t>ﮟ</w:t>
            </w:r>
            <w:r>
              <w:rPr>
                <w:rFonts w:ascii="QCF_P302" w:hAnsi="QCF_P302" w:cs="QCF_P302" w:hint="cs"/>
                <w:noProof w:val="0"/>
                <w:rtl/>
                <w:lang w:eastAsia="en-US"/>
              </w:rPr>
              <w:t xml:space="preserve">  </w:t>
            </w:r>
            <w:r w:rsidRPr="003E722C">
              <w:rPr>
                <w:rFonts w:ascii="QCF_P302" w:hAnsi="QCF_P302" w:cs="QCF_P302"/>
                <w:noProof w:val="0"/>
                <w:rtl/>
                <w:lang w:eastAsia="en-US"/>
              </w:rPr>
              <w:t>ﮠ</w:t>
            </w:r>
            <w:r>
              <w:rPr>
                <w:rFonts w:ascii="QCF_P302" w:hAnsi="QCF_P302" w:cs="QCF_P302" w:hint="cs"/>
                <w:noProof w:val="0"/>
                <w:rtl/>
                <w:lang w:eastAsia="en-US"/>
              </w:rPr>
              <w:t xml:space="preserve">  </w:t>
            </w:r>
            <w:r w:rsidRPr="003E722C">
              <w:rPr>
                <w:rFonts w:ascii="QCF_P302" w:hAnsi="QCF_P302" w:cs="QCF_P302"/>
                <w:noProof w:val="0"/>
                <w:rtl/>
                <w:lang w:eastAsia="en-US"/>
              </w:rPr>
              <w:t>ﮡ</w:t>
            </w:r>
            <w:r>
              <w:rPr>
                <w:rFonts w:ascii="QCF_P302" w:hAnsi="QCF_P302" w:cs="QCF_P302" w:hint="cs"/>
                <w:noProof w:val="0"/>
                <w:rtl/>
                <w:lang w:eastAsia="en-US"/>
              </w:rPr>
              <w:t xml:space="preserve"> </w:t>
            </w:r>
            <w:r w:rsidRPr="003E722C">
              <w:rPr>
                <w:rFonts w:ascii="QCF_P302" w:hAnsi="QCF_P302" w:cs="QCF_P302"/>
                <w:noProof w:val="0"/>
                <w:rtl/>
                <w:lang w:eastAsia="en-US"/>
              </w:rPr>
              <w:t>ﮢﮣ</w:t>
            </w:r>
            <w:r w:rsidRPr="003E722C">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79</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سورة_الكهف_79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EC33FB" w:rsidP="00597C20">
            <w:pPr>
              <w:tabs>
                <w:tab w:val="right" w:leader="dot" w:pos="6802"/>
                <w:tab w:val="right" w:leader="dot" w:pos="8787"/>
              </w:tabs>
              <w:ind w:firstLine="0"/>
            </w:pPr>
            <w:r w:rsidRPr="004D0298">
              <w:rPr>
                <w:rFonts w:ascii="QCF_BSML" w:hAnsi="QCF_BSML" w:cs="QCF_BSML"/>
                <w:noProof w:val="0"/>
                <w:rtl/>
                <w:lang w:eastAsia="en-US"/>
              </w:rPr>
              <w:t>ﭽ</w:t>
            </w:r>
            <w:r>
              <w:rPr>
                <w:rFonts w:ascii="QCF_BSML" w:hAnsi="QCF_BSML" w:cs="QCF_BSML" w:hint="cs"/>
                <w:noProof w:val="0"/>
                <w:rtl/>
                <w:lang w:eastAsia="en-US"/>
              </w:rPr>
              <w:t xml:space="preserve"> </w:t>
            </w:r>
            <w:r w:rsidRPr="004D0298">
              <w:rPr>
                <w:rFonts w:ascii="QCF_P304" w:hAnsi="QCF_P304" w:cs="QCF_P304"/>
                <w:noProof w:val="0"/>
                <w:rtl/>
                <w:lang w:eastAsia="en-US"/>
              </w:rPr>
              <w:t>ﰐ</w:t>
            </w:r>
            <w:r>
              <w:rPr>
                <w:rFonts w:ascii="QCF_P304" w:hAnsi="QCF_P304" w:cs="QCF_P304" w:hint="cs"/>
                <w:noProof w:val="0"/>
                <w:rtl/>
                <w:lang w:eastAsia="en-US"/>
              </w:rPr>
              <w:t xml:space="preserve"> </w:t>
            </w:r>
            <w:r w:rsidRPr="004D0298">
              <w:rPr>
                <w:rFonts w:ascii="QCF_P304" w:hAnsi="QCF_P304" w:cs="QCF_P304"/>
                <w:noProof w:val="0"/>
                <w:rtl/>
                <w:lang w:eastAsia="en-US"/>
              </w:rPr>
              <w:t>ﰑ</w:t>
            </w:r>
            <w:r>
              <w:rPr>
                <w:rFonts w:ascii="QCF_P304" w:hAnsi="QCF_P304" w:cs="QCF_P304" w:hint="cs"/>
                <w:noProof w:val="0"/>
                <w:rtl/>
                <w:lang w:eastAsia="en-US"/>
              </w:rPr>
              <w:t xml:space="preserve"> </w:t>
            </w:r>
            <w:r w:rsidRPr="004D0298">
              <w:rPr>
                <w:rFonts w:ascii="QCF_P304" w:hAnsi="QCF_P304" w:cs="QCF_P304"/>
                <w:noProof w:val="0"/>
                <w:rtl/>
                <w:lang w:eastAsia="en-US"/>
              </w:rPr>
              <w:t>ﰒ</w:t>
            </w:r>
            <w:r>
              <w:rPr>
                <w:rFonts w:ascii="QCF_P304" w:hAnsi="QCF_P304" w:cs="QCF_P304" w:hint="cs"/>
                <w:noProof w:val="0"/>
                <w:rtl/>
                <w:lang w:eastAsia="en-US"/>
              </w:rPr>
              <w:t xml:space="preserve"> </w:t>
            </w:r>
            <w:r w:rsidRPr="004D0298">
              <w:rPr>
                <w:rFonts w:ascii="QCF_P304" w:hAnsi="QCF_P304" w:cs="QCF_P304"/>
                <w:noProof w:val="0"/>
                <w:rtl/>
                <w:lang w:eastAsia="en-US"/>
              </w:rPr>
              <w:t>ﰓ</w:t>
            </w:r>
            <w:r>
              <w:rPr>
                <w:rFonts w:ascii="QCF_P304" w:hAnsi="QCF_P304" w:cs="QCF_P304" w:hint="cs"/>
                <w:noProof w:val="0"/>
                <w:rtl/>
                <w:lang w:eastAsia="en-US"/>
              </w:rPr>
              <w:t xml:space="preserve"> </w:t>
            </w:r>
            <w:r w:rsidRPr="004D0298">
              <w:rPr>
                <w:rFonts w:ascii="QCF_P304" w:hAnsi="QCF_P304" w:cs="QCF_P304"/>
                <w:noProof w:val="0"/>
                <w:rtl/>
                <w:lang w:eastAsia="en-US"/>
              </w:rPr>
              <w:t>ﰔ</w:t>
            </w:r>
            <w:r>
              <w:rPr>
                <w:rFonts w:ascii="QCF_P304" w:hAnsi="QCF_P304" w:cs="QCF_P304" w:hint="cs"/>
                <w:noProof w:val="0"/>
                <w:rtl/>
                <w:lang w:eastAsia="en-US"/>
              </w:rPr>
              <w:t xml:space="preserve"> </w:t>
            </w:r>
            <w:r w:rsidRPr="004D0298">
              <w:rPr>
                <w:rFonts w:ascii="QCF_P304" w:hAnsi="QCF_P304" w:cs="QCF_P304"/>
                <w:noProof w:val="0"/>
                <w:rtl/>
                <w:lang w:eastAsia="en-US"/>
              </w:rPr>
              <w:t>ﰕ</w:t>
            </w:r>
            <w:r>
              <w:rPr>
                <w:rFonts w:ascii="QCF_P304" w:hAnsi="QCF_P304" w:cs="QCF_P304" w:hint="cs"/>
                <w:noProof w:val="0"/>
                <w:rtl/>
                <w:lang w:eastAsia="en-US"/>
              </w:rPr>
              <w:t xml:space="preserve"> </w:t>
            </w:r>
            <w:r w:rsidRPr="004D0298">
              <w:rPr>
                <w:rFonts w:ascii="QCF_P304" w:hAnsi="QCF_P304" w:cs="QCF_P304"/>
                <w:noProof w:val="0"/>
                <w:rtl/>
                <w:lang w:eastAsia="en-US"/>
              </w:rPr>
              <w:t>ﰖ</w:t>
            </w:r>
            <w:r>
              <w:rPr>
                <w:rFonts w:ascii="QCF_P304" w:hAnsi="QCF_P304" w:cs="QCF_P304" w:hint="cs"/>
                <w:noProof w:val="0"/>
                <w:rtl/>
                <w:lang w:eastAsia="en-US"/>
              </w:rPr>
              <w:t xml:space="preserve"> </w:t>
            </w:r>
            <w:r w:rsidRPr="004D0298">
              <w:rPr>
                <w:rFonts w:ascii="QCF_P304" w:hAnsi="QCF_P304" w:cs="QCF_P304"/>
                <w:noProof w:val="0"/>
                <w:rtl/>
                <w:lang w:eastAsia="en-US"/>
              </w:rPr>
              <w:t>ﰗ</w:t>
            </w:r>
            <w:r>
              <w:rPr>
                <w:rFonts w:ascii="QCF_P304" w:hAnsi="QCF_P304" w:cs="QCF_P304" w:hint="cs"/>
                <w:noProof w:val="0"/>
                <w:rtl/>
                <w:lang w:eastAsia="en-US"/>
              </w:rPr>
              <w:t xml:space="preserve"> </w:t>
            </w:r>
            <w:r w:rsidRPr="004D0298">
              <w:rPr>
                <w:rFonts w:ascii="QCF_P304" w:hAnsi="QCF_P304" w:cs="QCF_P304"/>
                <w:noProof w:val="0"/>
                <w:rtl/>
                <w:lang w:eastAsia="en-US"/>
              </w:rPr>
              <w:t>ﰘ</w:t>
            </w:r>
            <w:r>
              <w:rPr>
                <w:rFonts w:ascii="QCF_P304" w:hAnsi="QCF_P304" w:cs="QCF_P304" w:hint="cs"/>
                <w:noProof w:val="0"/>
                <w:rtl/>
                <w:lang w:eastAsia="en-US"/>
              </w:rPr>
              <w:t xml:space="preserve"> </w:t>
            </w:r>
            <w:r w:rsidRPr="004D0298">
              <w:rPr>
                <w:rFonts w:ascii="QCF_P304" w:hAnsi="QCF_P304" w:cs="QCF_P304"/>
                <w:noProof w:val="0"/>
                <w:rtl/>
                <w:lang w:eastAsia="en-US"/>
              </w:rPr>
              <w:t>ﰙ</w:t>
            </w:r>
            <w:r>
              <w:rPr>
                <w:rFonts w:ascii="QCF_P304" w:hAnsi="QCF_P304" w:cs="QCF_P304" w:hint="cs"/>
                <w:noProof w:val="0"/>
                <w:rtl/>
                <w:lang w:eastAsia="en-US"/>
              </w:rPr>
              <w:t xml:space="preserve"> </w:t>
            </w:r>
            <w:r w:rsidRPr="004D0298">
              <w:rPr>
                <w:rFonts w:ascii="QCF_P304" w:hAnsi="QCF_P304" w:cs="QCF_P304"/>
                <w:noProof w:val="0"/>
                <w:rtl/>
                <w:lang w:eastAsia="en-US"/>
              </w:rPr>
              <w:t>ﰚ</w:t>
            </w:r>
            <w:r>
              <w:rPr>
                <w:rFonts w:ascii="QCF_P304" w:hAnsi="QCF_P304" w:cs="QCF_P304" w:hint="cs"/>
                <w:noProof w:val="0"/>
                <w:rtl/>
                <w:lang w:eastAsia="en-US"/>
              </w:rPr>
              <w:t xml:space="preserve"> </w:t>
            </w:r>
            <w:r w:rsidRPr="004D0298">
              <w:rPr>
                <w:rFonts w:ascii="QCF_P304" w:hAnsi="QCF_P304" w:cs="QCF_P304"/>
                <w:noProof w:val="0"/>
                <w:rtl/>
                <w:lang w:eastAsia="en-US"/>
              </w:rPr>
              <w:t>ﰛ</w:t>
            </w:r>
            <w:r>
              <w:rPr>
                <w:rFonts w:ascii="QCF_P304" w:hAnsi="QCF_P304" w:cs="QCF_P304" w:hint="cs"/>
                <w:noProof w:val="0"/>
                <w:rtl/>
                <w:lang w:eastAsia="en-US"/>
              </w:rPr>
              <w:t xml:space="preserve"> </w:t>
            </w:r>
            <w:r w:rsidRPr="004D0298">
              <w:rPr>
                <w:rFonts w:ascii="QCF_P304" w:hAnsi="QCF_P304" w:cs="QCF_P304"/>
                <w:noProof w:val="0"/>
                <w:rtl/>
                <w:lang w:eastAsia="en-US"/>
              </w:rPr>
              <w:t>ﰜ</w:t>
            </w:r>
            <w:r w:rsidRPr="004D0298">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110</w:t>
            </w:r>
          </w:p>
        </w:tc>
        <w:tc>
          <w:tcPr>
            <w:tcW w:w="1560" w:type="dxa"/>
            <w:vAlign w:val="center"/>
          </w:tcPr>
          <w:p w:rsidR="00E90490" w:rsidRPr="00E90490" w:rsidRDefault="00F06593" w:rsidP="00597C20">
            <w:pPr>
              <w:tabs>
                <w:tab w:val="right" w:leader="dot" w:pos="6802"/>
                <w:tab w:val="right" w:leader="dot" w:pos="8787"/>
              </w:tabs>
              <w:ind w:firstLine="0"/>
              <w:jc w:val="center"/>
              <w:rPr>
                <w:rtl/>
              </w:rPr>
            </w:pPr>
            <w:r>
              <w:rPr>
                <w:rFonts w:hint="cs"/>
                <w:rtl/>
              </w:rPr>
              <w:t>493</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lastRenderedPageBreak/>
              <w:t>الحج</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pPr>
            <w:r w:rsidRPr="00C70F52">
              <w:rPr>
                <w:rFonts w:ascii="QCF_BSML" w:hAnsi="QCF_BSML" w:cs="QCF_BSML"/>
                <w:noProof w:val="0"/>
                <w:rtl/>
                <w:lang w:eastAsia="en-US"/>
              </w:rPr>
              <w:t>ﭽ</w:t>
            </w:r>
            <w:r w:rsidRPr="00C70F52">
              <w:rPr>
                <w:rFonts w:ascii="QCF_P332" w:hAnsi="QCF_P332" w:cs="QCF_P332"/>
                <w:noProof w:val="0"/>
                <w:rtl/>
                <w:lang w:eastAsia="en-US"/>
              </w:rPr>
              <w:t>ﯪﯫﯬﯭﯮﯯ</w:t>
            </w:r>
            <w:r w:rsidRPr="00C70F52">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5</w:t>
            </w:r>
          </w:p>
        </w:tc>
        <w:tc>
          <w:tcPr>
            <w:tcW w:w="1560" w:type="dxa"/>
            <w:vAlign w:val="center"/>
          </w:tcPr>
          <w:p w:rsidR="00E90490" w:rsidRPr="00E90490" w:rsidRDefault="00F06593" w:rsidP="00597C20">
            <w:pPr>
              <w:tabs>
                <w:tab w:val="right" w:leader="dot" w:pos="6802"/>
                <w:tab w:val="right" w:leader="dot" w:pos="8787"/>
              </w:tabs>
              <w:ind w:firstLine="0"/>
              <w:jc w:val="center"/>
              <w:rPr>
                <w:rtl/>
              </w:rPr>
            </w:pPr>
            <w:r>
              <w:rPr>
                <w:rFonts w:hint="cs"/>
                <w:rtl/>
              </w:rPr>
              <w:t>462</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rPr>
                <w:rtl/>
              </w:rPr>
            </w:pPr>
            <w:r w:rsidRPr="009F1B97">
              <w:rPr>
                <w:rFonts w:ascii="QCF_BSML" w:hAnsi="QCF_BSML" w:cs="QCF_BSML"/>
                <w:rtl/>
              </w:rPr>
              <w:t xml:space="preserve">ﭽ </w:t>
            </w:r>
            <w:r w:rsidRPr="009F1B97">
              <w:rPr>
                <w:rFonts w:ascii="QCF_P341" w:hAnsi="QCF_P341" w:cs="QCF_P341"/>
                <w:rtl/>
              </w:rPr>
              <w:t>ﮪﮫﮬﮭﮮﮯﮰ</w:t>
            </w:r>
            <w:r w:rsidRPr="009F1B97">
              <w:rPr>
                <w:rFonts w:ascii="QCF_BSML" w:hAnsi="QCF_BSML" w:cs="QCF_BSML"/>
                <w:rtl/>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78</w:t>
            </w:r>
          </w:p>
        </w:tc>
        <w:tc>
          <w:tcPr>
            <w:tcW w:w="1560" w:type="dxa"/>
            <w:vAlign w:val="center"/>
          </w:tcPr>
          <w:p w:rsidR="00E90490" w:rsidRPr="00E90490" w:rsidRDefault="00F06593" w:rsidP="00597C20">
            <w:pPr>
              <w:tabs>
                <w:tab w:val="right" w:leader="dot" w:pos="6802"/>
                <w:tab w:val="right" w:leader="dot" w:pos="8787"/>
              </w:tabs>
              <w:ind w:firstLine="0"/>
              <w:jc w:val="center"/>
              <w:rPr>
                <w:rtl/>
              </w:rPr>
            </w:pPr>
            <w:r>
              <w:rPr>
                <w:rFonts w:hint="cs"/>
                <w:rtl/>
              </w:rPr>
              <w:t>500</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المؤمنون</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pPr>
            <w:r w:rsidRPr="0058485A">
              <w:rPr>
                <w:rFonts w:ascii="QCF_BSML" w:hAnsi="QCF_BSML" w:cs="QCF_BSML"/>
                <w:noProof w:val="0"/>
                <w:rtl/>
                <w:lang w:eastAsia="en-US"/>
              </w:rPr>
              <w:t xml:space="preserve">ﭽ </w:t>
            </w:r>
            <w:r w:rsidRPr="0058485A">
              <w:rPr>
                <w:rFonts w:ascii="QCF_P346" w:hAnsi="QCF_P346" w:cs="QCF_P346"/>
                <w:noProof w:val="0"/>
                <w:rtl/>
                <w:lang w:eastAsia="en-US"/>
              </w:rPr>
              <w:t>ﯵﯶﯷﯸﯹﯺ</w:t>
            </w:r>
            <w:r w:rsidRPr="0058485A">
              <w:rPr>
                <w:rFonts w:ascii="QCF_P346" w:hAnsi="QCF_P346" w:cs="QCF_P346"/>
                <w:noProof w:val="0"/>
                <w:color w:val="0000A5"/>
                <w:rtl/>
                <w:lang w:eastAsia="en-US"/>
              </w:rPr>
              <w:t>ﯻ</w:t>
            </w:r>
            <w:r w:rsidRPr="0058485A">
              <w:rPr>
                <w:rFonts w:ascii="QCF_P346" w:hAnsi="QCF_P346" w:cs="QCF_P346"/>
                <w:noProof w:val="0"/>
                <w:rtl/>
                <w:lang w:eastAsia="en-US"/>
              </w:rPr>
              <w:t>ﯼﯽﯾ</w:t>
            </w:r>
            <w:r w:rsidRPr="0058485A">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72</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سورة_المؤمنون_72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النور</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pPr>
            <w:r w:rsidRPr="00A41734">
              <w:rPr>
                <w:rFonts w:ascii="QCF_BSML" w:hAnsi="QCF_BSML" w:cs="QCF_BSML"/>
                <w:noProof w:val="0"/>
                <w:rtl/>
                <w:lang w:eastAsia="en-US"/>
              </w:rPr>
              <w:t>ﭽ</w:t>
            </w:r>
            <w:r w:rsidRPr="00A41734">
              <w:rPr>
                <w:rFonts w:ascii="QCF_P353" w:hAnsi="QCF_P353" w:cs="QCF_P353"/>
                <w:noProof w:val="0"/>
                <w:rtl/>
                <w:lang w:eastAsia="en-US"/>
              </w:rPr>
              <w:t>ﭾ</w:t>
            </w:r>
            <w:r>
              <w:rPr>
                <w:rFonts w:ascii="QCF_P353" w:hAnsi="QCF_P353" w:cs="QCF_P353" w:hint="cs"/>
                <w:noProof w:val="0"/>
                <w:rtl/>
                <w:lang w:eastAsia="en-US"/>
              </w:rPr>
              <w:t xml:space="preserve"> </w:t>
            </w:r>
            <w:r w:rsidRPr="00A41734">
              <w:rPr>
                <w:rFonts w:ascii="QCF_P353" w:hAnsi="QCF_P353" w:cs="QCF_P353"/>
                <w:noProof w:val="0"/>
                <w:rtl/>
                <w:lang w:eastAsia="en-US"/>
              </w:rPr>
              <w:t>ﭿ</w:t>
            </w:r>
            <w:r>
              <w:rPr>
                <w:rFonts w:ascii="QCF_P353" w:hAnsi="QCF_P353" w:cs="QCF_P353" w:hint="cs"/>
                <w:noProof w:val="0"/>
                <w:rtl/>
                <w:lang w:eastAsia="en-US"/>
              </w:rPr>
              <w:t xml:space="preserve"> </w:t>
            </w:r>
            <w:r w:rsidRPr="00A41734">
              <w:rPr>
                <w:rFonts w:ascii="QCF_P353" w:hAnsi="QCF_P353" w:cs="QCF_P353"/>
                <w:noProof w:val="0"/>
                <w:rtl/>
                <w:lang w:eastAsia="en-US"/>
              </w:rPr>
              <w:t>ﮀ</w:t>
            </w:r>
            <w:r>
              <w:rPr>
                <w:rFonts w:ascii="QCF_P353" w:hAnsi="QCF_P353" w:cs="QCF_P353" w:hint="cs"/>
                <w:noProof w:val="0"/>
                <w:rtl/>
                <w:lang w:eastAsia="en-US"/>
              </w:rPr>
              <w:t xml:space="preserve"> </w:t>
            </w:r>
            <w:r w:rsidRPr="00A41734">
              <w:rPr>
                <w:rFonts w:ascii="QCF_P353" w:hAnsi="QCF_P353" w:cs="QCF_P353"/>
                <w:noProof w:val="0"/>
                <w:rtl/>
                <w:lang w:eastAsia="en-US"/>
              </w:rPr>
              <w:t>ﮁ</w:t>
            </w:r>
            <w:r>
              <w:rPr>
                <w:rFonts w:ascii="QCF_P353" w:hAnsi="QCF_P353" w:cs="QCF_P353" w:hint="cs"/>
                <w:noProof w:val="0"/>
                <w:rtl/>
                <w:lang w:eastAsia="en-US"/>
              </w:rPr>
              <w:t xml:space="preserve"> </w:t>
            </w:r>
            <w:r w:rsidRPr="00A41734">
              <w:rPr>
                <w:rFonts w:ascii="QCF_P353" w:hAnsi="QCF_P353" w:cs="QCF_P353"/>
                <w:noProof w:val="0"/>
                <w:rtl/>
                <w:lang w:eastAsia="en-US"/>
              </w:rPr>
              <w:t>ﮂ</w:t>
            </w:r>
            <w:r>
              <w:rPr>
                <w:rFonts w:ascii="QCF_P353" w:hAnsi="QCF_P353" w:cs="QCF_P353" w:hint="cs"/>
                <w:noProof w:val="0"/>
                <w:rtl/>
                <w:lang w:eastAsia="en-US"/>
              </w:rPr>
              <w:t xml:space="preserve"> </w:t>
            </w:r>
            <w:r w:rsidRPr="00A41734">
              <w:rPr>
                <w:rFonts w:ascii="QCF_P353" w:hAnsi="QCF_P353" w:cs="QCF_P353"/>
                <w:noProof w:val="0"/>
                <w:rtl/>
                <w:lang w:eastAsia="en-US"/>
              </w:rPr>
              <w:t>ﮃ</w:t>
            </w:r>
            <w:r>
              <w:rPr>
                <w:rFonts w:ascii="QCF_P353" w:hAnsi="QCF_P353" w:cs="QCF_P353" w:hint="cs"/>
                <w:noProof w:val="0"/>
                <w:rtl/>
                <w:lang w:eastAsia="en-US"/>
              </w:rPr>
              <w:t xml:space="preserve"> </w:t>
            </w:r>
            <w:r w:rsidRPr="00A41734">
              <w:rPr>
                <w:rFonts w:ascii="QCF_P353" w:hAnsi="QCF_P353" w:cs="QCF_P353"/>
                <w:noProof w:val="0"/>
                <w:rtl/>
                <w:lang w:eastAsia="en-US"/>
              </w:rPr>
              <w:t>ﮄ</w:t>
            </w:r>
            <w:r>
              <w:rPr>
                <w:rFonts w:ascii="QCF_P353" w:hAnsi="QCF_P353" w:cs="QCF_P353" w:hint="cs"/>
                <w:noProof w:val="0"/>
                <w:rtl/>
                <w:lang w:eastAsia="en-US"/>
              </w:rPr>
              <w:t xml:space="preserve"> </w:t>
            </w:r>
            <w:r w:rsidRPr="00A41734">
              <w:rPr>
                <w:rFonts w:ascii="QCF_P353" w:hAnsi="QCF_P353" w:cs="QCF_P353"/>
                <w:noProof w:val="0"/>
                <w:color w:val="0000A5"/>
                <w:rtl/>
                <w:lang w:eastAsia="en-US"/>
              </w:rPr>
              <w:t>ﮅ</w:t>
            </w:r>
            <w:r>
              <w:rPr>
                <w:rFonts w:ascii="QCF_P353" w:hAnsi="QCF_P353" w:cs="QCF_P353" w:hint="cs"/>
                <w:noProof w:val="0"/>
                <w:color w:val="0000A5"/>
                <w:rtl/>
                <w:lang w:eastAsia="en-US"/>
              </w:rPr>
              <w:t xml:space="preserve"> </w:t>
            </w:r>
            <w:r w:rsidRPr="00A41734">
              <w:rPr>
                <w:rFonts w:ascii="QCF_P353" w:hAnsi="QCF_P353" w:cs="QCF_P353"/>
                <w:noProof w:val="0"/>
                <w:rtl/>
                <w:lang w:eastAsia="en-US"/>
              </w:rPr>
              <w:t>ﮆ</w:t>
            </w:r>
            <w:r>
              <w:rPr>
                <w:rFonts w:ascii="QCF_P353" w:hAnsi="QCF_P353" w:cs="QCF_P353" w:hint="cs"/>
                <w:noProof w:val="0"/>
                <w:rtl/>
                <w:lang w:eastAsia="en-US"/>
              </w:rPr>
              <w:t xml:space="preserve"> </w:t>
            </w:r>
            <w:r w:rsidRPr="00A41734">
              <w:rPr>
                <w:rFonts w:ascii="QCF_P353" w:hAnsi="QCF_P353" w:cs="QCF_P353"/>
                <w:noProof w:val="0"/>
                <w:rtl/>
                <w:lang w:eastAsia="en-US"/>
              </w:rPr>
              <w:t>ﮇ</w:t>
            </w:r>
            <w:r>
              <w:rPr>
                <w:rFonts w:ascii="QCF_P353" w:hAnsi="QCF_P353" w:cs="QCF_P353" w:hint="cs"/>
                <w:noProof w:val="0"/>
                <w:rtl/>
                <w:lang w:eastAsia="en-US"/>
              </w:rPr>
              <w:t xml:space="preserve"> </w:t>
            </w:r>
            <w:r w:rsidRPr="00A41734">
              <w:rPr>
                <w:rFonts w:ascii="QCF_P353" w:hAnsi="QCF_P353" w:cs="QCF_P353"/>
                <w:noProof w:val="0"/>
                <w:rtl/>
                <w:lang w:eastAsia="en-US"/>
              </w:rPr>
              <w:t>ﮈ</w:t>
            </w:r>
            <w:r>
              <w:rPr>
                <w:rFonts w:ascii="QCF_P353" w:hAnsi="QCF_P353" w:cs="QCF_P353" w:hint="cs"/>
                <w:noProof w:val="0"/>
                <w:rtl/>
                <w:lang w:eastAsia="en-US"/>
              </w:rPr>
              <w:t xml:space="preserve"> </w:t>
            </w:r>
            <w:r w:rsidRPr="00A41734">
              <w:rPr>
                <w:rFonts w:ascii="QCF_P353" w:hAnsi="QCF_P353" w:cs="QCF_P353"/>
                <w:noProof w:val="0"/>
                <w:color w:val="0000A5"/>
                <w:rtl/>
                <w:lang w:eastAsia="en-US"/>
              </w:rPr>
              <w:t>ﮉ</w:t>
            </w:r>
            <w:r w:rsidRPr="00A41734">
              <w:rPr>
                <w:rFonts w:ascii="QCF_P353" w:hAnsi="QCF_P353" w:cs="QCF_P353"/>
                <w:noProof w:val="0"/>
                <w:rtl/>
                <w:lang w:eastAsia="en-US"/>
              </w:rPr>
              <w:t>ﮊ</w:t>
            </w:r>
            <w:r>
              <w:rPr>
                <w:rFonts w:ascii="QCF_P353" w:hAnsi="QCF_P353" w:cs="QCF_P353" w:hint="cs"/>
                <w:noProof w:val="0"/>
                <w:rtl/>
                <w:lang w:eastAsia="en-US"/>
              </w:rPr>
              <w:t xml:space="preserve"> </w:t>
            </w:r>
            <w:r w:rsidRPr="00A41734">
              <w:rPr>
                <w:rFonts w:ascii="QCF_P353" w:hAnsi="QCF_P353" w:cs="QCF_P353"/>
                <w:noProof w:val="0"/>
                <w:rtl/>
                <w:lang w:eastAsia="en-US"/>
              </w:rPr>
              <w:t>ﮋ</w:t>
            </w:r>
            <w:r>
              <w:rPr>
                <w:rFonts w:ascii="QCF_P353" w:hAnsi="QCF_P353" w:cs="QCF_P353" w:hint="cs"/>
                <w:noProof w:val="0"/>
                <w:rtl/>
                <w:lang w:eastAsia="en-US"/>
              </w:rPr>
              <w:t xml:space="preserve"> </w:t>
            </w:r>
            <w:r w:rsidRPr="00A41734">
              <w:rPr>
                <w:rFonts w:ascii="QCF_P353" w:hAnsi="QCF_P353" w:cs="QCF_P353"/>
                <w:noProof w:val="0"/>
                <w:rtl/>
                <w:lang w:eastAsia="en-US"/>
              </w:rPr>
              <w:t>ﮌ</w:t>
            </w:r>
            <w:r>
              <w:rPr>
                <w:rFonts w:ascii="QCF_P353" w:hAnsi="QCF_P353" w:cs="QCF_P353" w:hint="cs"/>
                <w:noProof w:val="0"/>
                <w:rtl/>
                <w:lang w:eastAsia="en-US"/>
              </w:rPr>
              <w:t xml:space="preserve"> </w:t>
            </w:r>
            <w:r w:rsidRPr="00A41734">
              <w:rPr>
                <w:rFonts w:ascii="QCF_P353" w:hAnsi="QCF_P353" w:cs="QCF_P353"/>
                <w:noProof w:val="0"/>
                <w:rtl/>
                <w:lang w:eastAsia="en-US"/>
              </w:rPr>
              <w:t>ﮍ</w:t>
            </w:r>
            <w:r>
              <w:rPr>
                <w:rFonts w:ascii="QCF_P353" w:hAnsi="QCF_P353" w:cs="QCF_P353" w:hint="cs"/>
                <w:noProof w:val="0"/>
                <w:rtl/>
                <w:lang w:eastAsia="en-US"/>
              </w:rPr>
              <w:t xml:space="preserve"> </w:t>
            </w:r>
            <w:r w:rsidRPr="00A41734">
              <w:rPr>
                <w:rFonts w:ascii="QCF_P353" w:hAnsi="QCF_P353" w:cs="QCF_P353"/>
                <w:noProof w:val="0"/>
                <w:rtl/>
                <w:lang w:eastAsia="en-US"/>
              </w:rPr>
              <w:t>ﮎ</w:t>
            </w:r>
            <w:r>
              <w:rPr>
                <w:rFonts w:ascii="QCF_P353" w:hAnsi="QCF_P353" w:cs="QCF_P353" w:hint="cs"/>
                <w:noProof w:val="0"/>
                <w:rtl/>
                <w:lang w:eastAsia="en-US"/>
              </w:rPr>
              <w:t xml:space="preserve"> </w:t>
            </w:r>
            <w:r w:rsidRPr="00A41734">
              <w:rPr>
                <w:rFonts w:ascii="QCF_P353" w:hAnsi="QCF_P353" w:cs="QCF_P353"/>
                <w:noProof w:val="0"/>
                <w:rtl/>
                <w:lang w:eastAsia="en-US"/>
              </w:rPr>
              <w:t>ﮏ</w:t>
            </w:r>
            <w:r>
              <w:rPr>
                <w:rFonts w:ascii="QCF_P353" w:hAnsi="QCF_P353" w:cs="QCF_P353" w:hint="cs"/>
                <w:noProof w:val="0"/>
                <w:rtl/>
                <w:lang w:eastAsia="en-US"/>
              </w:rPr>
              <w:t xml:space="preserve"> </w:t>
            </w:r>
            <w:r w:rsidRPr="00A41734">
              <w:rPr>
                <w:rFonts w:ascii="QCF_P353" w:hAnsi="QCF_P353" w:cs="QCF_P353"/>
                <w:noProof w:val="0"/>
                <w:rtl/>
                <w:lang w:eastAsia="en-US"/>
              </w:rPr>
              <w:t>ﮐ</w:t>
            </w:r>
            <w:r>
              <w:rPr>
                <w:rFonts w:ascii="QCF_P353" w:hAnsi="QCF_P353" w:cs="QCF_P353" w:hint="cs"/>
                <w:noProof w:val="0"/>
                <w:rtl/>
                <w:lang w:eastAsia="en-US"/>
              </w:rPr>
              <w:t xml:space="preserve"> </w:t>
            </w:r>
            <w:r w:rsidRPr="00A41734">
              <w:rPr>
                <w:rFonts w:ascii="QCF_P353" w:hAnsi="QCF_P353" w:cs="QCF_P353"/>
                <w:noProof w:val="0"/>
                <w:rtl/>
                <w:lang w:eastAsia="en-US"/>
              </w:rPr>
              <w:t>ﮑ</w:t>
            </w:r>
            <w:r>
              <w:rPr>
                <w:rFonts w:ascii="QCF_P353" w:hAnsi="QCF_P353" w:cs="QCF_P353" w:hint="cs"/>
                <w:noProof w:val="0"/>
                <w:rtl/>
                <w:lang w:eastAsia="en-US"/>
              </w:rPr>
              <w:t xml:space="preserve"> </w:t>
            </w:r>
            <w:r w:rsidRPr="00A41734">
              <w:rPr>
                <w:rFonts w:ascii="QCF_P353" w:hAnsi="QCF_P353" w:cs="QCF_P353"/>
                <w:noProof w:val="0"/>
                <w:rtl/>
                <w:lang w:eastAsia="en-US"/>
              </w:rPr>
              <w:t>ﮒ</w:t>
            </w:r>
            <w:r>
              <w:rPr>
                <w:rFonts w:ascii="QCF_P353" w:hAnsi="QCF_P353" w:cs="QCF_P353" w:hint="cs"/>
                <w:noProof w:val="0"/>
                <w:rtl/>
                <w:lang w:eastAsia="en-US"/>
              </w:rPr>
              <w:t xml:space="preserve"> </w:t>
            </w:r>
            <w:r w:rsidRPr="00A41734">
              <w:rPr>
                <w:rFonts w:ascii="QCF_P353" w:hAnsi="QCF_P353" w:cs="QCF_P353"/>
                <w:noProof w:val="0"/>
                <w:rtl/>
                <w:lang w:eastAsia="en-US"/>
              </w:rPr>
              <w:t>ﮓ</w:t>
            </w:r>
            <w:r>
              <w:rPr>
                <w:rFonts w:ascii="QCF_P353" w:hAnsi="QCF_P353" w:cs="QCF_P353" w:hint="cs"/>
                <w:noProof w:val="0"/>
                <w:rtl/>
                <w:lang w:eastAsia="en-US"/>
              </w:rPr>
              <w:t xml:space="preserve"> </w:t>
            </w:r>
            <w:r w:rsidRPr="00A41734">
              <w:rPr>
                <w:rFonts w:ascii="QCF_P353" w:hAnsi="QCF_P353" w:cs="QCF_P353"/>
                <w:noProof w:val="0"/>
                <w:rtl/>
                <w:lang w:eastAsia="en-US"/>
              </w:rPr>
              <w:t>ﮔ</w:t>
            </w:r>
            <w:r>
              <w:rPr>
                <w:rFonts w:ascii="QCF_P353" w:hAnsi="QCF_P353" w:cs="QCF_P353" w:hint="cs"/>
                <w:noProof w:val="0"/>
                <w:rtl/>
                <w:lang w:eastAsia="en-US"/>
              </w:rPr>
              <w:t xml:space="preserve"> </w:t>
            </w:r>
            <w:r w:rsidRPr="00A41734">
              <w:rPr>
                <w:rFonts w:ascii="QCF_P353" w:hAnsi="QCF_P353" w:cs="QCF_P353"/>
                <w:noProof w:val="0"/>
                <w:rtl/>
                <w:lang w:eastAsia="en-US"/>
              </w:rPr>
              <w:t>ﮕ</w:t>
            </w:r>
            <w:r>
              <w:rPr>
                <w:rFonts w:ascii="QCF_P353" w:hAnsi="QCF_P353" w:cs="QCF_P353" w:hint="cs"/>
                <w:noProof w:val="0"/>
                <w:rtl/>
                <w:lang w:eastAsia="en-US"/>
              </w:rPr>
              <w:t xml:space="preserve"> </w:t>
            </w:r>
            <w:r w:rsidRPr="00A41734">
              <w:rPr>
                <w:rFonts w:ascii="QCF_P353" w:hAnsi="QCF_P353" w:cs="QCF_P353"/>
                <w:noProof w:val="0"/>
                <w:rtl/>
                <w:lang w:eastAsia="en-US"/>
              </w:rPr>
              <w:t>ﮖ</w:t>
            </w:r>
            <w:r w:rsidRPr="00A41734">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30 - 31</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سورة_النور_30إلى31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الفرقان</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rPr>
                <w:rtl/>
              </w:rPr>
            </w:pPr>
            <w:r w:rsidRPr="00AC6E31">
              <w:rPr>
                <w:rFonts w:ascii="QCF_BSML" w:hAnsi="QCF_BSML" w:cs="QCF_BSML"/>
                <w:noProof w:val="0"/>
                <w:color w:val="auto"/>
                <w:rtl/>
                <w:lang w:eastAsia="en-US"/>
              </w:rPr>
              <w:t>ﭽ</w:t>
            </w:r>
            <w:r w:rsidRPr="00AC6E31">
              <w:rPr>
                <w:rFonts w:ascii="QCF_P362" w:hAnsi="QCF_P362" w:cs="QCF_P362"/>
                <w:noProof w:val="0"/>
                <w:color w:val="auto"/>
                <w:rtl/>
                <w:lang w:eastAsia="en-US"/>
              </w:rPr>
              <w:t>ﭲ</w:t>
            </w:r>
            <w:r>
              <w:rPr>
                <w:rFonts w:ascii="QCF_P362" w:hAnsi="QCF_P362" w:cs="QCF_P362" w:hint="cs"/>
                <w:noProof w:val="0"/>
                <w:color w:val="auto"/>
                <w:rtl/>
                <w:lang w:eastAsia="en-US"/>
              </w:rPr>
              <w:t xml:space="preserve"> </w:t>
            </w:r>
            <w:r w:rsidRPr="00AC6E31">
              <w:rPr>
                <w:rFonts w:ascii="QCF_P362" w:hAnsi="QCF_P362" w:cs="QCF_P362"/>
                <w:noProof w:val="0"/>
                <w:color w:val="auto"/>
                <w:rtl/>
                <w:lang w:eastAsia="en-US"/>
              </w:rPr>
              <w:t>ﭳ</w:t>
            </w:r>
            <w:r>
              <w:rPr>
                <w:rFonts w:ascii="QCF_P362" w:hAnsi="QCF_P362" w:cs="QCF_P362" w:hint="cs"/>
                <w:noProof w:val="0"/>
                <w:color w:val="auto"/>
                <w:rtl/>
                <w:lang w:eastAsia="en-US"/>
              </w:rPr>
              <w:t xml:space="preserve"> </w:t>
            </w:r>
            <w:r w:rsidRPr="00AC6E31">
              <w:rPr>
                <w:rFonts w:ascii="QCF_P362" w:hAnsi="QCF_P362" w:cs="QCF_P362"/>
                <w:noProof w:val="0"/>
                <w:color w:val="auto"/>
                <w:rtl/>
                <w:lang w:eastAsia="en-US"/>
              </w:rPr>
              <w:t>ﭴ</w:t>
            </w:r>
            <w:r>
              <w:rPr>
                <w:rFonts w:ascii="QCF_P362" w:hAnsi="QCF_P362" w:cs="QCF_P362" w:hint="cs"/>
                <w:noProof w:val="0"/>
                <w:color w:val="auto"/>
                <w:rtl/>
                <w:lang w:eastAsia="en-US"/>
              </w:rPr>
              <w:t xml:space="preserve"> </w:t>
            </w:r>
            <w:r w:rsidRPr="00AC6E31">
              <w:rPr>
                <w:rFonts w:ascii="QCF_P362" w:hAnsi="QCF_P362" w:cs="QCF_P362"/>
                <w:noProof w:val="0"/>
                <w:color w:val="auto"/>
                <w:rtl/>
                <w:lang w:eastAsia="en-US"/>
              </w:rPr>
              <w:t>ﭵ</w:t>
            </w:r>
            <w:r>
              <w:rPr>
                <w:rFonts w:ascii="QCF_P362" w:hAnsi="QCF_P362" w:cs="QCF_P362" w:hint="cs"/>
                <w:noProof w:val="0"/>
                <w:color w:val="auto"/>
                <w:rtl/>
                <w:lang w:eastAsia="en-US"/>
              </w:rPr>
              <w:t xml:space="preserve"> </w:t>
            </w:r>
            <w:r w:rsidRPr="00AC6E31">
              <w:rPr>
                <w:rFonts w:ascii="QCF_P362" w:hAnsi="QCF_P362" w:cs="QCF_P362"/>
                <w:noProof w:val="0"/>
                <w:color w:val="auto"/>
                <w:rtl/>
                <w:lang w:eastAsia="en-US"/>
              </w:rPr>
              <w:t>ﭶ</w:t>
            </w:r>
            <w:r>
              <w:rPr>
                <w:rFonts w:ascii="QCF_P362" w:hAnsi="QCF_P362" w:cs="QCF_P362" w:hint="cs"/>
                <w:noProof w:val="0"/>
                <w:color w:val="auto"/>
                <w:rtl/>
                <w:lang w:eastAsia="en-US"/>
              </w:rPr>
              <w:t xml:space="preserve"> </w:t>
            </w:r>
            <w:r w:rsidRPr="00AC6E31">
              <w:rPr>
                <w:rFonts w:ascii="QCF_P362" w:hAnsi="QCF_P362" w:cs="QCF_P362"/>
                <w:noProof w:val="0"/>
                <w:color w:val="auto"/>
                <w:rtl/>
                <w:lang w:eastAsia="en-US"/>
              </w:rPr>
              <w:t>ﭷ</w:t>
            </w:r>
            <w:r>
              <w:rPr>
                <w:rFonts w:ascii="QCF_P362" w:hAnsi="QCF_P362" w:cs="QCF_P362" w:hint="cs"/>
                <w:noProof w:val="0"/>
                <w:color w:val="auto"/>
                <w:rtl/>
                <w:lang w:eastAsia="en-US"/>
              </w:rPr>
              <w:t xml:space="preserve"> </w:t>
            </w:r>
            <w:r w:rsidRPr="00AC6E31">
              <w:rPr>
                <w:rFonts w:ascii="QCF_P362" w:hAnsi="QCF_P362" w:cs="QCF_P362"/>
                <w:noProof w:val="0"/>
                <w:color w:val="auto"/>
                <w:rtl/>
                <w:lang w:eastAsia="en-US"/>
              </w:rPr>
              <w:t>ﭸ</w:t>
            </w:r>
            <w:r>
              <w:rPr>
                <w:rFonts w:ascii="QCF_P362" w:hAnsi="QCF_P362" w:cs="QCF_P362" w:hint="cs"/>
                <w:noProof w:val="0"/>
                <w:color w:val="auto"/>
                <w:rtl/>
                <w:lang w:eastAsia="en-US"/>
              </w:rPr>
              <w:t xml:space="preserve"> </w:t>
            </w:r>
            <w:r w:rsidRPr="00AC6E31">
              <w:rPr>
                <w:rFonts w:ascii="QCF_P362" w:hAnsi="QCF_P362" w:cs="QCF_P362"/>
                <w:noProof w:val="0"/>
                <w:color w:val="auto"/>
                <w:rtl/>
                <w:lang w:eastAsia="en-US"/>
              </w:rPr>
              <w:t>ﭹ</w:t>
            </w:r>
            <w:r>
              <w:rPr>
                <w:rFonts w:ascii="QCF_P362" w:hAnsi="QCF_P362" w:cs="QCF_P362" w:hint="cs"/>
                <w:noProof w:val="0"/>
                <w:color w:val="auto"/>
                <w:rtl/>
                <w:lang w:eastAsia="en-US"/>
              </w:rPr>
              <w:t xml:space="preserve"> </w:t>
            </w:r>
            <w:r w:rsidRPr="00AC6E31">
              <w:rPr>
                <w:rFonts w:ascii="QCF_P362" w:hAnsi="QCF_P362" w:cs="QCF_P362"/>
                <w:noProof w:val="0"/>
                <w:color w:val="auto"/>
                <w:rtl/>
                <w:lang w:eastAsia="en-US"/>
              </w:rPr>
              <w:t>ﭺ</w:t>
            </w:r>
            <w:r w:rsidRPr="00AC6E31">
              <w:rPr>
                <w:rFonts w:ascii="QCF_BSML" w:hAnsi="QCF_BSML" w:cs="QCF_BSML"/>
                <w:noProof w:val="0"/>
                <w:color w:val="auto"/>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23</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سورة_الفرقان_23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القصص</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rPr>
                <w:rtl/>
              </w:rPr>
            </w:pPr>
            <w:r w:rsidRPr="00EF3646">
              <w:rPr>
                <w:rFonts w:ascii="QCF_BSML" w:hAnsi="QCF_BSML" w:cs="QCF_BSML"/>
                <w:color w:val="auto"/>
                <w:rtl/>
                <w:lang w:eastAsia="en-US"/>
              </w:rPr>
              <w:t>ﭽ</w:t>
            </w:r>
            <w:r w:rsidRPr="00EF3646">
              <w:rPr>
                <w:rFonts w:ascii="QCF_P393" w:hAnsi="QCF_P393" w:cs="QCF_P393"/>
                <w:color w:val="auto"/>
                <w:rtl/>
                <w:lang w:eastAsia="en-US"/>
              </w:rPr>
              <w:t>ﮢﮣﮤﮥﮦﮧ</w:t>
            </w:r>
            <w:r w:rsidRPr="00EF3646">
              <w:rPr>
                <w:rFonts w:ascii="QCF_BSML" w:hAnsi="QCF_BSML" w:cs="QCF_BSML"/>
                <w:color w:val="auto"/>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65</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سورة_القصص_65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الصافات</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pPr>
            <w:r w:rsidRPr="002511EE">
              <w:rPr>
                <w:rFonts w:ascii="QCF_BSML" w:hAnsi="QCF_BSML" w:cs="QCF_BSML"/>
                <w:noProof w:val="0"/>
                <w:rtl/>
                <w:lang w:eastAsia="en-US"/>
              </w:rPr>
              <w:t>ﭽ</w:t>
            </w:r>
            <w:r w:rsidRPr="002511EE">
              <w:rPr>
                <w:rFonts w:ascii="QCF_BSML" w:hAnsi="QCF_BSML" w:cs="QCF_BSML" w:hint="cs"/>
                <w:noProof w:val="0"/>
                <w:rtl/>
                <w:lang w:eastAsia="en-US"/>
              </w:rPr>
              <w:t xml:space="preserve"> </w:t>
            </w:r>
            <w:r w:rsidRPr="002511EE">
              <w:rPr>
                <w:rFonts w:ascii="QCF_P451" w:hAnsi="QCF_P451" w:cs="QCF_P451"/>
                <w:noProof w:val="0"/>
                <w:rtl/>
                <w:lang w:eastAsia="en-US"/>
              </w:rPr>
              <w:t>ﮋ</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ﮌ</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ﮍ</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ﮎ</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ﮏ</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ﮐ</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ﮑ</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ﮒ</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ﮓ</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ﮔ</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ﮕ</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ﮖ</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ﮗ</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ﮘ</w:t>
            </w:r>
            <w:r w:rsidRPr="002511EE">
              <w:rPr>
                <w:rFonts w:ascii="QCF_P451" w:hAnsi="QCF_P451" w:cs="QCF_P451" w:hint="cs"/>
                <w:noProof w:val="0"/>
                <w:rtl/>
                <w:lang w:eastAsia="en-US"/>
              </w:rPr>
              <w:t xml:space="preserve">    </w:t>
            </w:r>
            <w:r w:rsidRPr="002511EE">
              <w:rPr>
                <w:rFonts w:ascii="QCF_P451" w:hAnsi="QCF_P451" w:cs="QCF_P451"/>
                <w:noProof w:val="0"/>
                <w:rtl/>
                <w:lang w:eastAsia="en-US"/>
              </w:rPr>
              <w:t>ﮙ</w:t>
            </w:r>
            <w:r w:rsidRPr="002511EE">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139-141</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سورة_الصافات_139إلى141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ص</w:t>
            </w:r>
          </w:p>
        </w:tc>
      </w:tr>
      <w:tr w:rsidR="00E90490" w:rsidRPr="00E90490" w:rsidTr="00FE332F">
        <w:trPr>
          <w:cantSplit/>
        </w:trPr>
        <w:tc>
          <w:tcPr>
            <w:tcW w:w="6627" w:type="dxa"/>
          </w:tcPr>
          <w:p w:rsidR="00E90490" w:rsidRPr="00F06593" w:rsidRDefault="00F06593" w:rsidP="00597C20">
            <w:pPr>
              <w:tabs>
                <w:tab w:val="right" w:leader="dot" w:pos="6802"/>
                <w:tab w:val="right" w:leader="dot" w:pos="8787"/>
              </w:tabs>
              <w:ind w:firstLine="0"/>
            </w:pPr>
            <w:r w:rsidRPr="00F06593">
              <w:rPr>
                <w:rFonts w:ascii="QCF_BSML" w:hAnsi="QCF_BSML" w:cs="QCF_BSML"/>
                <w:noProof w:val="0"/>
                <w:rtl/>
                <w:lang w:eastAsia="en-US"/>
              </w:rPr>
              <w:t>ﭽ</w:t>
            </w:r>
            <w:r w:rsidRPr="00F06593">
              <w:rPr>
                <w:rFonts w:ascii="QCF_P455" w:hAnsi="QCF_P455" w:cs="QCF_P455"/>
                <w:noProof w:val="0"/>
                <w:rtl/>
                <w:lang w:eastAsia="en-US"/>
              </w:rPr>
              <w:t>ﭼ</w:t>
            </w:r>
            <w:r w:rsidRPr="00F06593">
              <w:rPr>
                <w:rFonts w:ascii="QCF_P455" w:hAnsi="QCF_P455" w:cs="QCF_P455" w:hint="cs"/>
                <w:noProof w:val="0"/>
                <w:rtl/>
                <w:lang w:eastAsia="en-US"/>
              </w:rPr>
              <w:t xml:space="preserve"> </w:t>
            </w:r>
            <w:r w:rsidRPr="00F06593">
              <w:rPr>
                <w:rFonts w:ascii="QCF_P455" w:hAnsi="QCF_P455" w:cs="QCF_P455"/>
                <w:noProof w:val="0"/>
                <w:rtl/>
                <w:lang w:eastAsia="en-US"/>
              </w:rPr>
              <w:t>ﭽ</w:t>
            </w:r>
            <w:r w:rsidRPr="00F06593">
              <w:rPr>
                <w:rFonts w:ascii="QCF_P455" w:hAnsi="QCF_P455" w:cs="QCF_P455" w:hint="cs"/>
                <w:noProof w:val="0"/>
                <w:rtl/>
                <w:lang w:eastAsia="en-US"/>
              </w:rPr>
              <w:t xml:space="preserve"> </w:t>
            </w:r>
            <w:r w:rsidRPr="00F06593">
              <w:rPr>
                <w:rFonts w:ascii="QCF_P455" w:hAnsi="QCF_P455" w:cs="QCF_P455"/>
                <w:noProof w:val="0"/>
                <w:rtl/>
                <w:lang w:eastAsia="en-US"/>
              </w:rPr>
              <w:t>ﭾ</w:t>
            </w:r>
            <w:r w:rsidRPr="00F06593">
              <w:rPr>
                <w:rFonts w:ascii="QCF_P455" w:hAnsi="QCF_P455" w:cs="QCF_P455" w:hint="cs"/>
                <w:noProof w:val="0"/>
                <w:rtl/>
                <w:lang w:eastAsia="en-US"/>
              </w:rPr>
              <w:t xml:space="preserve"> </w:t>
            </w:r>
            <w:r w:rsidRPr="00F06593">
              <w:rPr>
                <w:rFonts w:ascii="QCF_P455" w:hAnsi="QCF_P455" w:cs="QCF_P455"/>
                <w:noProof w:val="0"/>
                <w:color w:val="0000A5"/>
                <w:rtl/>
                <w:lang w:eastAsia="en-US"/>
              </w:rPr>
              <w:t>ﭿ</w:t>
            </w:r>
            <w:r w:rsidRPr="00F06593">
              <w:rPr>
                <w:rFonts w:ascii="QCF_P455" w:hAnsi="QCF_P455" w:cs="QCF_P455" w:hint="cs"/>
                <w:noProof w:val="0"/>
                <w:color w:val="0000A5"/>
                <w:rtl/>
                <w:lang w:eastAsia="en-US"/>
              </w:rPr>
              <w:t xml:space="preserve"> </w:t>
            </w:r>
            <w:r w:rsidRPr="00F06593">
              <w:rPr>
                <w:rFonts w:ascii="QCF_P455" w:hAnsi="QCF_P455" w:cs="QCF_P455"/>
                <w:noProof w:val="0"/>
                <w:rtl/>
                <w:lang w:eastAsia="en-US"/>
              </w:rPr>
              <w:t>ﮀ</w:t>
            </w:r>
            <w:r w:rsidRPr="00F06593">
              <w:rPr>
                <w:rFonts w:ascii="QCF_P455" w:hAnsi="QCF_P455" w:cs="QCF_P455" w:hint="cs"/>
                <w:noProof w:val="0"/>
                <w:rtl/>
                <w:lang w:eastAsia="en-US"/>
              </w:rPr>
              <w:t xml:space="preserve"> </w:t>
            </w:r>
            <w:r w:rsidRPr="00F06593">
              <w:rPr>
                <w:rFonts w:ascii="QCF_P455" w:hAnsi="QCF_P455" w:cs="QCF_P455"/>
                <w:noProof w:val="0"/>
                <w:rtl/>
                <w:lang w:eastAsia="en-US"/>
              </w:rPr>
              <w:t>ﮁ</w:t>
            </w:r>
            <w:r w:rsidRPr="00F06593">
              <w:rPr>
                <w:rFonts w:ascii="QCF_P455" w:hAnsi="QCF_P455" w:cs="QCF_P455" w:hint="cs"/>
                <w:noProof w:val="0"/>
                <w:rtl/>
                <w:lang w:eastAsia="en-US"/>
              </w:rPr>
              <w:t xml:space="preserve"> </w:t>
            </w:r>
            <w:r w:rsidRPr="00F06593">
              <w:rPr>
                <w:rFonts w:ascii="QCF_P455" w:hAnsi="QCF_P455" w:cs="QCF_P455"/>
                <w:noProof w:val="0"/>
                <w:color w:val="0000A5"/>
                <w:rtl/>
                <w:lang w:eastAsia="en-US"/>
              </w:rPr>
              <w:t>ﮂ</w:t>
            </w:r>
            <w:r w:rsidRPr="00F06593">
              <w:rPr>
                <w:rFonts w:ascii="QCF_P455" w:hAnsi="QCF_P455" w:cs="QCF_P455" w:hint="cs"/>
                <w:noProof w:val="0"/>
                <w:color w:val="0000A5"/>
                <w:rtl/>
                <w:lang w:eastAsia="en-US"/>
              </w:rPr>
              <w:t xml:space="preserve"> </w:t>
            </w:r>
            <w:r w:rsidRPr="00F06593">
              <w:rPr>
                <w:rFonts w:ascii="QCF_P455" w:hAnsi="QCF_P455" w:cs="QCF_P455"/>
                <w:noProof w:val="0"/>
                <w:rtl/>
                <w:lang w:eastAsia="en-US"/>
              </w:rPr>
              <w:t>ﮃﮄ</w:t>
            </w:r>
            <w:r w:rsidRPr="00F06593">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30</w:t>
            </w:r>
          </w:p>
        </w:tc>
        <w:tc>
          <w:tcPr>
            <w:tcW w:w="1560" w:type="dxa"/>
            <w:vAlign w:val="center"/>
          </w:tcPr>
          <w:p w:rsidR="00E90490" w:rsidRPr="00E90490" w:rsidRDefault="00F06593" w:rsidP="00597C20">
            <w:pPr>
              <w:tabs>
                <w:tab w:val="right" w:leader="dot" w:pos="6802"/>
                <w:tab w:val="right" w:leader="dot" w:pos="8787"/>
              </w:tabs>
              <w:ind w:firstLine="0"/>
              <w:jc w:val="center"/>
              <w:rPr>
                <w:rtl/>
              </w:rPr>
            </w:pPr>
            <w:r>
              <w:rPr>
                <w:rFonts w:hint="cs"/>
                <w:rtl/>
              </w:rPr>
              <w:t>434</w:t>
            </w:r>
            <w:r w:rsidRPr="00E90490">
              <w:rPr>
                <w:rFonts w:hint="cs"/>
                <w:rtl/>
              </w:rPr>
              <w:t xml:space="preserve"> </w:t>
            </w:r>
            <w:r w:rsidR="00E90490" w:rsidRPr="00E90490">
              <w:rPr>
                <w:rFonts w:hint="cs"/>
                <w:rtl/>
              </w:rPr>
              <w:t>(ح)</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الزمر</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pPr>
            <w:r w:rsidRPr="002A6954">
              <w:rPr>
                <w:rFonts w:ascii="QCF_BSML" w:hAnsi="QCF_BSML" w:cs="QCF_BSML"/>
                <w:noProof w:val="0"/>
                <w:rtl/>
                <w:lang w:eastAsia="en-US"/>
              </w:rPr>
              <w:t xml:space="preserve">ﭽ </w:t>
            </w:r>
            <w:r w:rsidRPr="002A6954">
              <w:rPr>
                <w:rFonts w:ascii="QCF_P458" w:hAnsi="QCF_P458" w:cs="QCF_P458"/>
                <w:noProof w:val="0"/>
                <w:rtl/>
                <w:lang w:eastAsia="en-US"/>
              </w:rPr>
              <w:t>ﮀﮁﮂﮃﮄ</w:t>
            </w:r>
            <w:r w:rsidRPr="002A6954">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سورة_الزمر_2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lastRenderedPageBreak/>
              <w:t>الشورى</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rPr>
                <w:rtl/>
              </w:rPr>
            </w:pPr>
            <w:r w:rsidRPr="002A6954">
              <w:rPr>
                <w:rFonts w:ascii="QCF_BSML" w:hAnsi="QCF_BSML" w:cs="QCF_BSML"/>
                <w:noProof w:val="0"/>
                <w:rtl/>
                <w:lang w:eastAsia="en-US"/>
              </w:rPr>
              <w:t>ﭽ</w:t>
            </w:r>
            <w:r w:rsidRPr="002A6954">
              <w:rPr>
                <w:rFonts w:ascii="QCF_P485" w:hAnsi="QCF_P485" w:cs="QCF_P485"/>
                <w:noProof w:val="0"/>
                <w:rtl/>
                <w:lang w:eastAsia="en-US"/>
              </w:rPr>
              <w:t>ﮕﮖﮗﮘﮙﮚﮛ</w:t>
            </w:r>
            <w:r>
              <w:rPr>
                <w:rFonts w:ascii="QCF_P485" w:hAnsi="QCF_P485" w:cs="QCF_P485" w:hint="cs"/>
                <w:noProof w:val="0"/>
                <w:rtl/>
                <w:lang w:eastAsia="en-US"/>
              </w:rPr>
              <w:t xml:space="preserve"> </w:t>
            </w:r>
            <w:r w:rsidRPr="002A6954">
              <w:rPr>
                <w:rFonts w:ascii="QCF_P485" w:hAnsi="QCF_P485" w:cs="QCF_P485"/>
                <w:noProof w:val="0"/>
                <w:rtl/>
                <w:lang w:eastAsia="en-US"/>
              </w:rPr>
              <w:t xml:space="preserve"> </w:t>
            </w:r>
            <w:r>
              <w:rPr>
                <w:rFonts w:ascii="QCF_P485" w:hAnsi="QCF_P485" w:cs="QCF_P485" w:hint="cs"/>
                <w:noProof w:val="0"/>
                <w:rtl/>
                <w:lang w:eastAsia="en-US"/>
              </w:rPr>
              <w:t xml:space="preserve"> </w:t>
            </w:r>
            <w:r w:rsidRPr="002A6954">
              <w:rPr>
                <w:rFonts w:ascii="QCF_P485" w:hAnsi="QCF_P485" w:cs="QCF_P485"/>
                <w:noProof w:val="0"/>
                <w:rtl/>
                <w:lang w:eastAsia="en-US"/>
              </w:rPr>
              <w:t>ﮜﮝ</w:t>
            </w:r>
            <w:r w:rsidRPr="002A6954">
              <w:rPr>
                <w:rFonts w:ascii="QCF_P485" w:hAnsi="QCF_P485" w:cs="QCF_P485"/>
                <w:noProof w:val="0"/>
                <w:color w:val="0000A5"/>
                <w:rtl/>
                <w:lang w:eastAsia="en-US"/>
              </w:rPr>
              <w:t>ﮞ</w:t>
            </w:r>
            <w:r w:rsidRPr="002A6954">
              <w:rPr>
                <w:rFonts w:ascii="QCF_P485" w:hAnsi="QCF_P485" w:cs="QCF_P485"/>
                <w:noProof w:val="0"/>
                <w:rtl/>
                <w:lang w:eastAsia="en-US"/>
              </w:rPr>
              <w:t>ﮟﮠﮡ</w:t>
            </w:r>
            <w:r>
              <w:rPr>
                <w:rFonts w:ascii="QCF_P485" w:hAnsi="QCF_P485" w:cs="QCF_P485"/>
                <w:noProof w:val="0"/>
                <w:rtl/>
                <w:lang w:eastAsia="en-US"/>
              </w:rPr>
              <w:t>ﮢ</w:t>
            </w:r>
            <w:r>
              <w:rPr>
                <w:rFonts w:ascii="QCF_P485" w:hAnsi="QCF_P485" w:cs="QCF_P485" w:hint="cs"/>
                <w:noProof w:val="0"/>
                <w:rtl/>
                <w:lang w:eastAsia="en-US"/>
              </w:rPr>
              <w:t xml:space="preserve"> </w:t>
            </w:r>
            <w:r>
              <w:rPr>
                <w:rFonts w:ascii="QCF_P485" w:hAnsi="QCF_P485" w:cs="QCF_P485"/>
                <w:noProof w:val="0"/>
                <w:rtl/>
                <w:lang w:eastAsia="en-US"/>
              </w:rPr>
              <w:t>ﮣ</w:t>
            </w:r>
            <w:r>
              <w:rPr>
                <w:rFonts w:ascii="QCF_P485" w:hAnsi="QCF_P485" w:cs="QCF_P485" w:hint="cs"/>
                <w:noProof w:val="0"/>
                <w:rtl/>
                <w:lang w:eastAsia="en-US"/>
              </w:rPr>
              <w:t xml:space="preserve"> </w:t>
            </w:r>
            <w:r>
              <w:rPr>
                <w:rFonts w:ascii="QCF_P485" w:hAnsi="QCF_P485" w:cs="QCF_P485"/>
                <w:noProof w:val="0"/>
                <w:rtl/>
                <w:lang w:eastAsia="en-US"/>
              </w:rPr>
              <w:t>ﮤ</w:t>
            </w:r>
            <w:r>
              <w:rPr>
                <w:rFonts w:ascii="QCF_P485" w:hAnsi="QCF_P485" w:cs="QCF_P485" w:hint="cs"/>
                <w:noProof w:val="0"/>
                <w:rtl/>
                <w:lang w:eastAsia="en-US"/>
              </w:rPr>
              <w:t xml:space="preserve"> </w:t>
            </w:r>
            <w:r>
              <w:rPr>
                <w:rFonts w:ascii="QCF_P485" w:hAnsi="QCF_P485" w:cs="QCF_P485"/>
                <w:noProof w:val="0"/>
                <w:rtl/>
                <w:lang w:eastAsia="en-US"/>
              </w:rPr>
              <w:t>ﮥ</w:t>
            </w:r>
            <w:r>
              <w:rPr>
                <w:rFonts w:ascii="QCF_P485" w:hAnsi="QCF_P485" w:cs="QCF_P485" w:hint="cs"/>
                <w:noProof w:val="0"/>
                <w:rtl/>
                <w:lang w:eastAsia="en-US"/>
              </w:rPr>
              <w:t xml:space="preserve">  </w:t>
            </w:r>
            <w:r>
              <w:rPr>
                <w:rFonts w:ascii="QCF_P485" w:hAnsi="QCF_P485" w:cs="QCF_P485"/>
                <w:noProof w:val="0"/>
                <w:rtl/>
                <w:lang w:eastAsia="en-US"/>
              </w:rPr>
              <w:t>ﮦﮧ</w:t>
            </w:r>
            <w:r>
              <w:rPr>
                <w:rFonts w:ascii="QCF_P485" w:hAnsi="QCF_P485" w:cs="QCF_P485" w:hint="cs"/>
                <w:noProof w:val="0"/>
                <w:rtl/>
                <w:lang w:eastAsia="en-US"/>
              </w:rPr>
              <w:t xml:space="preserve"> </w:t>
            </w:r>
            <w:r>
              <w:rPr>
                <w:rFonts w:ascii="QCF_P485" w:hAnsi="QCF_P485" w:cs="QCF_P485"/>
                <w:noProof w:val="0"/>
                <w:rtl/>
                <w:lang w:eastAsia="en-US"/>
              </w:rPr>
              <w:t>ﮨ</w:t>
            </w:r>
            <w:r>
              <w:rPr>
                <w:rFonts w:ascii="QCF_P485" w:hAnsi="QCF_P485" w:cs="QCF_P485" w:hint="cs"/>
                <w:noProof w:val="0"/>
                <w:rtl/>
                <w:lang w:eastAsia="en-US"/>
              </w:rPr>
              <w:t xml:space="preserve"> </w:t>
            </w:r>
            <w:r>
              <w:rPr>
                <w:rFonts w:ascii="QCF_P485" w:hAnsi="QCF_P485" w:cs="QCF_P485"/>
                <w:noProof w:val="0"/>
                <w:rtl/>
                <w:lang w:eastAsia="en-US"/>
              </w:rPr>
              <w:t>ﮩ</w:t>
            </w:r>
            <w:r>
              <w:rPr>
                <w:rFonts w:ascii="QCF_P485" w:hAnsi="QCF_P485" w:cs="QCF_P485" w:hint="cs"/>
                <w:noProof w:val="0"/>
                <w:rtl/>
                <w:lang w:eastAsia="en-US"/>
              </w:rPr>
              <w:t xml:space="preserve"> </w:t>
            </w:r>
            <w:r>
              <w:rPr>
                <w:rFonts w:ascii="QCF_P485" w:hAnsi="QCF_P485" w:cs="QCF_P485"/>
                <w:noProof w:val="0"/>
                <w:rtl/>
                <w:lang w:eastAsia="en-US"/>
              </w:rPr>
              <w:t>ﮪ</w:t>
            </w:r>
            <w:r>
              <w:rPr>
                <w:rFonts w:ascii="QCF_P485" w:hAnsi="QCF_P485" w:cs="QCF_P485" w:hint="cs"/>
                <w:noProof w:val="0"/>
                <w:rtl/>
                <w:lang w:eastAsia="en-US"/>
              </w:rPr>
              <w:t xml:space="preserve"> </w:t>
            </w:r>
            <w:r>
              <w:rPr>
                <w:rFonts w:ascii="QCF_P485" w:hAnsi="QCF_P485" w:cs="QCF_P485"/>
                <w:noProof w:val="0"/>
                <w:rtl/>
                <w:lang w:eastAsia="en-US"/>
              </w:rPr>
              <w:t>ﮫ</w:t>
            </w:r>
            <w:r w:rsidRPr="002A6954">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20</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سورة_الشورى_20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rPr>
                <w:rtl/>
              </w:rPr>
            </w:pPr>
            <w:r w:rsidRPr="002948BC">
              <w:rPr>
                <w:rFonts w:ascii="QCF_BSML" w:hAnsi="QCF_BSML" w:cs="QCF_BSML"/>
                <w:noProof w:val="0"/>
                <w:color w:val="auto"/>
                <w:rtl/>
                <w:lang w:eastAsia="en-US"/>
              </w:rPr>
              <w:t>ﭽ</w:t>
            </w:r>
            <w:r w:rsidRPr="002948BC">
              <w:rPr>
                <w:rFonts w:ascii="QCF_P487" w:hAnsi="QCF_P487" w:cs="QCF_P487"/>
                <w:noProof w:val="0"/>
                <w:color w:val="auto"/>
                <w:rtl/>
                <w:lang w:eastAsia="en-US"/>
              </w:rPr>
              <w:t>ﯨ</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ﯩ</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ﯪ</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ﯫ</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ﯬ</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ﯭ</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ﯮ</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ﯯ</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ﯰ</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ﯱ</w:t>
            </w:r>
            <w:r>
              <w:rPr>
                <w:rFonts w:ascii="QCF_P487" w:hAnsi="QCF_P487" w:cs="QCF_P487" w:hint="cs"/>
                <w:noProof w:val="0"/>
                <w:color w:val="auto"/>
                <w:rtl/>
                <w:lang w:eastAsia="en-US"/>
              </w:rPr>
              <w:t xml:space="preserve"> </w:t>
            </w:r>
            <w:r w:rsidRPr="002948BC">
              <w:rPr>
                <w:rFonts w:ascii="QCF_P487" w:hAnsi="QCF_P487" w:cs="QCF_P487"/>
                <w:noProof w:val="0"/>
                <w:color w:val="auto"/>
                <w:rtl/>
                <w:lang w:eastAsia="en-US"/>
              </w:rPr>
              <w:t>ﯲ</w:t>
            </w:r>
            <w:r w:rsidRPr="002948BC">
              <w:rPr>
                <w:rFonts w:ascii="QCF_BSML" w:hAnsi="QCF_BSML" w:cs="QCF_BSML"/>
                <w:noProof w:val="0"/>
                <w:color w:val="auto"/>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42</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سورة_الشورى_42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الحجرات</w:t>
            </w:r>
          </w:p>
        </w:tc>
      </w:tr>
      <w:tr w:rsidR="00E90490" w:rsidRPr="00E90490" w:rsidTr="00FE332F">
        <w:trPr>
          <w:cantSplit/>
        </w:trPr>
        <w:tc>
          <w:tcPr>
            <w:tcW w:w="6627" w:type="dxa"/>
          </w:tcPr>
          <w:p w:rsidR="00E90490" w:rsidRPr="00F06593" w:rsidRDefault="00F06593" w:rsidP="00597C20">
            <w:pPr>
              <w:tabs>
                <w:tab w:val="right" w:leader="dot" w:pos="6802"/>
                <w:tab w:val="right" w:leader="dot" w:pos="8787"/>
              </w:tabs>
              <w:ind w:firstLine="0"/>
              <w:rPr>
                <w:rtl/>
              </w:rPr>
            </w:pPr>
            <w:r w:rsidRPr="00F06593">
              <w:rPr>
                <w:rFonts w:ascii="QCF_BSML" w:hAnsi="QCF_BSML" w:cs="QCF_BSML"/>
                <w:noProof w:val="0"/>
                <w:rtl/>
                <w:lang w:eastAsia="en-US"/>
              </w:rPr>
              <w:t xml:space="preserve">ﭽ </w:t>
            </w:r>
            <w:r w:rsidRPr="00F06593">
              <w:rPr>
                <w:rFonts w:ascii="QCF_P516" w:hAnsi="QCF_P516" w:cs="QCF_P516"/>
                <w:noProof w:val="0"/>
                <w:rtl/>
                <w:lang w:eastAsia="en-US"/>
              </w:rPr>
              <w:t>ﮙﮚﮛﮜﮝﮞﮟ</w:t>
            </w:r>
            <w:r w:rsidRPr="00F06593">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9</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سورة_الحجرات_9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(ح)</w:t>
            </w:r>
          </w:p>
        </w:tc>
      </w:tr>
      <w:tr w:rsidR="00E90490" w:rsidRPr="00E90490" w:rsidTr="00FE332F">
        <w:trPr>
          <w:cantSplit/>
        </w:trPr>
        <w:tc>
          <w:tcPr>
            <w:tcW w:w="6627" w:type="dxa"/>
          </w:tcPr>
          <w:p w:rsidR="00E90490" w:rsidRPr="00E90490" w:rsidRDefault="00F06593" w:rsidP="00597C20">
            <w:pPr>
              <w:tabs>
                <w:tab w:val="right" w:leader="dot" w:pos="6802"/>
                <w:tab w:val="right" w:leader="dot" w:pos="8787"/>
              </w:tabs>
              <w:ind w:firstLine="0"/>
              <w:rPr>
                <w:rtl/>
              </w:rPr>
            </w:pPr>
            <w:r w:rsidRPr="007F56CD">
              <w:rPr>
                <w:rFonts w:ascii="QCF_BSML" w:hAnsi="QCF_BSML" w:cs="QCF_BSML"/>
                <w:noProof w:val="0"/>
                <w:rtl/>
                <w:lang w:eastAsia="en-US"/>
              </w:rPr>
              <w:t xml:space="preserve">ﭽ </w:t>
            </w:r>
            <w:r w:rsidRPr="007F56CD">
              <w:rPr>
                <w:rFonts w:ascii="QCF_P517" w:hAnsi="QCF_P517" w:cs="QCF_P517"/>
                <w:noProof w:val="0"/>
                <w:rtl/>
                <w:lang w:eastAsia="en-US"/>
              </w:rPr>
              <w:t>ﭑﭒﭓﭔﭕﭖﭗﭘ ﭙﭚﭛ</w:t>
            </w:r>
            <w:r w:rsidRPr="007F56CD">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12</w:t>
            </w:r>
          </w:p>
        </w:tc>
        <w:tc>
          <w:tcPr>
            <w:tcW w:w="1560" w:type="dxa"/>
            <w:vAlign w:val="center"/>
          </w:tcPr>
          <w:p w:rsidR="00E90490" w:rsidRPr="00E90490" w:rsidRDefault="002A0C79" w:rsidP="00597C20">
            <w:pPr>
              <w:tabs>
                <w:tab w:val="right" w:leader="dot" w:pos="6802"/>
                <w:tab w:val="right" w:leader="dot" w:pos="8787"/>
              </w:tabs>
              <w:ind w:firstLine="0"/>
              <w:jc w:val="center"/>
              <w:rPr>
                <w:rtl/>
              </w:rPr>
            </w:pPr>
            <w:r>
              <w:rPr>
                <w:rFonts w:hint="cs"/>
                <w:rtl/>
              </w:rPr>
              <w:t>454</w:t>
            </w:r>
          </w:p>
        </w:tc>
      </w:tr>
      <w:tr w:rsidR="00E90490" w:rsidRPr="00E90490" w:rsidTr="00FE332F">
        <w:trPr>
          <w:cantSplit/>
        </w:trPr>
        <w:tc>
          <w:tcPr>
            <w:tcW w:w="9037" w:type="dxa"/>
            <w:gridSpan w:val="3"/>
          </w:tcPr>
          <w:p w:rsidR="00E90490" w:rsidRPr="00E90490" w:rsidRDefault="00F07DF3" w:rsidP="00597C20">
            <w:pPr>
              <w:keepNext/>
              <w:tabs>
                <w:tab w:val="right" w:leader="dot" w:pos="6802"/>
                <w:tab w:val="right" w:leader="dot" w:pos="8787"/>
              </w:tabs>
              <w:ind w:firstLine="0"/>
              <w:jc w:val="center"/>
              <w:rPr>
                <w:b/>
                <w:bCs/>
                <w:rtl/>
              </w:rPr>
            </w:pPr>
            <w:r>
              <w:rPr>
                <w:rFonts w:hint="cs"/>
                <w:b/>
                <w:bCs/>
                <w:rtl/>
              </w:rPr>
              <w:t>الرحم</w:t>
            </w:r>
            <w:r w:rsidR="00E90490" w:rsidRPr="00E90490">
              <w:rPr>
                <w:rFonts w:hint="cs"/>
                <w:b/>
                <w:bCs/>
                <w:rtl/>
              </w:rPr>
              <w:t>ن</w:t>
            </w:r>
          </w:p>
        </w:tc>
      </w:tr>
      <w:tr w:rsidR="00E90490" w:rsidRPr="00E90490" w:rsidTr="00FE332F">
        <w:trPr>
          <w:cantSplit/>
        </w:trPr>
        <w:tc>
          <w:tcPr>
            <w:tcW w:w="6627" w:type="dxa"/>
          </w:tcPr>
          <w:p w:rsidR="00E90490" w:rsidRPr="00E90490" w:rsidRDefault="002A0C79" w:rsidP="00597C20">
            <w:pPr>
              <w:tabs>
                <w:tab w:val="right" w:leader="dot" w:pos="6802"/>
                <w:tab w:val="right" w:leader="dot" w:pos="8787"/>
              </w:tabs>
              <w:ind w:firstLine="0"/>
            </w:pPr>
            <w:r w:rsidRPr="00DD4E1A">
              <w:rPr>
                <w:rFonts w:ascii="QCF_BSML" w:hAnsi="QCF_BSML" w:cs="QCF_BSML"/>
                <w:noProof w:val="0"/>
                <w:rtl/>
                <w:lang w:eastAsia="en-US"/>
              </w:rPr>
              <w:t>ﭽ</w:t>
            </w:r>
            <w:r w:rsidRPr="00DD4E1A">
              <w:rPr>
                <w:rFonts w:ascii="QCF_P533" w:hAnsi="QCF_P533" w:cs="QCF_P533"/>
                <w:noProof w:val="0"/>
                <w:rtl/>
                <w:lang w:eastAsia="en-US"/>
              </w:rPr>
              <w:t>ﯟ</w:t>
            </w:r>
            <w:r>
              <w:rPr>
                <w:rFonts w:ascii="QCF_P533" w:hAnsi="QCF_P533" w:cs="QCF_P533" w:hint="cs"/>
                <w:noProof w:val="0"/>
                <w:rtl/>
                <w:lang w:eastAsia="en-US"/>
              </w:rPr>
              <w:t xml:space="preserve"> </w:t>
            </w:r>
            <w:r w:rsidRPr="00DD4E1A">
              <w:rPr>
                <w:rFonts w:ascii="QCF_P533" w:hAnsi="QCF_P533" w:cs="QCF_P533"/>
                <w:noProof w:val="0"/>
                <w:rtl/>
                <w:lang w:eastAsia="en-US"/>
              </w:rPr>
              <w:t>ﯠ</w:t>
            </w:r>
            <w:r>
              <w:rPr>
                <w:rFonts w:ascii="QCF_P533" w:hAnsi="QCF_P533" w:cs="QCF_P533" w:hint="cs"/>
                <w:noProof w:val="0"/>
                <w:rtl/>
                <w:lang w:eastAsia="en-US"/>
              </w:rPr>
              <w:t xml:space="preserve"> </w:t>
            </w:r>
            <w:r w:rsidRPr="00DD4E1A">
              <w:rPr>
                <w:rFonts w:ascii="QCF_P533" w:hAnsi="QCF_P533" w:cs="QCF_P533"/>
                <w:noProof w:val="0"/>
                <w:rtl/>
                <w:lang w:eastAsia="en-US"/>
              </w:rPr>
              <w:t>ﯡ</w:t>
            </w:r>
            <w:r>
              <w:rPr>
                <w:rFonts w:ascii="QCF_P533" w:hAnsi="QCF_P533" w:cs="QCF_P533" w:hint="cs"/>
                <w:noProof w:val="0"/>
                <w:rtl/>
                <w:lang w:eastAsia="en-US"/>
              </w:rPr>
              <w:t xml:space="preserve"> </w:t>
            </w:r>
            <w:r w:rsidRPr="00DD4E1A">
              <w:rPr>
                <w:rFonts w:ascii="QCF_P533" w:hAnsi="QCF_P533" w:cs="QCF_P533"/>
                <w:noProof w:val="0"/>
                <w:rtl/>
                <w:lang w:eastAsia="en-US"/>
              </w:rPr>
              <w:t>ﯢ</w:t>
            </w:r>
            <w:r>
              <w:rPr>
                <w:rFonts w:ascii="QCF_P533" w:hAnsi="QCF_P533" w:cs="QCF_P533" w:hint="cs"/>
                <w:noProof w:val="0"/>
                <w:rtl/>
                <w:lang w:eastAsia="en-US"/>
              </w:rPr>
              <w:t xml:space="preserve"> </w:t>
            </w:r>
            <w:r w:rsidRPr="00DD4E1A">
              <w:rPr>
                <w:rFonts w:ascii="QCF_P533" w:hAnsi="QCF_P533" w:cs="QCF_P533"/>
                <w:noProof w:val="0"/>
                <w:rtl/>
                <w:lang w:eastAsia="en-US"/>
              </w:rPr>
              <w:t>ﯣ</w:t>
            </w:r>
            <w:r w:rsidRPr="00DD4E1A">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60</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سورة_الرحمان_60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الجمعة</w:t>
            </w:r>
          </w:p>
        </w:tc>
      </w:tr>
      <w:tr w:rsidR="00E90490" w:rsidRPr="00E90490" w:rsidTr="00FE332F">
        <w:trPr>
          <w:cantSplit/>
        </w:trPr>
        <w:tc>
          <w:tcPr>
            <w:tcW w:w="6627" w:type="dxa"/>
          </w:tcPr>
          <w:p w:rsidR="00E90490" w:rsidRPr="00E90490" w:rsidRDefault="002A0C79" w:rsidP="00597C20">
            <w:pPr>
              <w:tabs>
                <w:tab w:val="right" w:leader="dot" w:pos="6802"/>
                <w:tab w:val="right" w:leader="dot" w:pos="8787"/>
              </w:tabs>
              <w:ind w:firstLine="0"/>
            </w:pPr>
            <w:r w:rsidRPr="00CA2029">
              <w:rPr>
                <w:rFonts w:ascii="QCF_BSML" w:hAnsi="QCF_BSML" w:cs="QCF_BSML"/>
                <w:noProof w:val="0"/>
                <w:rtl/>
                <w:lang w:eastAsia="en-US"/>
              </w:rPr>
              <w:t>ﭽ</w:t>
            </w:r>
            <w:r w:rsidRPr="00CA2029">
              <w:rPr>
                <w:rFonts w:ascii="QCF_P554" w:hAnsi="QCF_P554" w:cs="QCF_P554"/>
                <w:noProof w:val="0"/>
                <w:rtl/>
                <w:lang w:eastAsia="en-US"/>
              </w:rPr>
              <w:t>ﭑ</w:t>
            </w:r>
            <w:r>
              <w:rPr>
                <w:rFonts w:ascii="QCF_P554" w:hAnsi="QCF_P554" w:cs="QCF_P554" w:hint="cs"/>
                <w:noProof w:val="0"/>
                <w:rtl/>
                <w:lang w:eastAsia="en-US"/>
              </w:rPr>
              <w:t xml:space="preserve"> </w:t>
            </w:r>
            <w:r w:rsidRPr="00CA2029">
              <w:rPr>
                <w:rFonts w:ascii="QCF_P554" w:hAnsi="QCF_P554" w:cs="QCF_P554"/>
                <w:noProof w:val="0"/>
                <w:rtl/>
                <w:lang w:eastAsia="en-US"/>
              </w:rPr>
              <w:t>ﭒ</w:t>
            </w:r>
            <w:r>
              <w:rPr>
                <w:rFonts w:ascii="QCF_P554" w:hAnsi="QCF_P554" w:cs="QCF_P554" w:hint="cs"/>
                <w:noProof w:val="0"/>
                <w:rtl/>
                <w:lang w:eastAsia="en-US"/>
              </w:rPr>
              <w:t xml:space="preserve"> </w:t>
            </w:r>
            <w:r w:rsidRPr="00CA2029">
              <w:rPr>
                <w:rFonts w:ascii="QCF_P554" w:hAnsi="QCF_P554" w:cs="QCF_P554"/>
                <w:noProof w:val="0"/>
                <w:rtl/>
                <w:lang w:eastAsia="en-US"/>
              </w:rPr>
              <w:t>ﭓ</w:t>
            </w:r>
            <w:r>
              <w:rPr>
                <w:rFonts w:ascii="QCF_P554" w:hAnsi="QCF_P554" w:cs="QCF_P554" w:hint="cs"/>
                <w:noProof w:val="0"/>
                <w:rtl/>
                <w:lang w:eastAsia="en-US"/>
              </w:rPr>
              <w:t xml:space="preserve"> </w:t>
            </w:r>
            <w:r w:rsidRPr="00CA2029">
              <w:rPr>
                <w:rFonts w:ascii="QCF_P554" w:hAnsi="QCF_P554" w:cs="QCF_P554"/>
                <w:noProof w:val="0"/>
                <w:rtl/>
                <w:lang w:eastAsia="en-US"/>
              </w:rPr>
              <w:t>ﭔ</w:t>
            </w:r>
            <w:r>
              <w:rPr>
                <w:rFonts w:ascii="QCF_P554" w:hAnsi="QCF_P554" w:cs="QCF_P554" w:hint="cs"/>
                <w:noProof w:val="0"/>
                <w:rtl/>
                <w:lang w:eastAsia="en-US"/>
              </w:rPr>
              <w:t xml:space="preserve"> </w:t>
            </w:r>
            <w:r w:rsidRPr="00CA2029">
              <w:rPr>
                <w:rFonts w:ascii="QCF_P554" w:hAnsi="QCF_P554" w:cs="QCF_P554"/>
                <w:noProof w:val="0"/>
                <w:rtl/>
                <w:lang w:eastAsia="en-US"/>
              </w:rPr>
              <w:t>ﭕ</w:t>
            </w:r>
            <w:r>
              <w:rPr>
                <w:rFonts w:ascii="QCF_P554" w:hAnsi="QCF_P554" w:cs="QCF_P554" w:hint="cs"/>
                <w:noProof w:val="0"/>
                <w:rtl/>
                <w:lang w:eastAsia="en-US"/>
              </w:rPr>
              <w:t xml:space="preserve"> </w:t>
            </w:r>
            <w:r w:rsidRPr="00CA2029">
              <w:rPr>
                <w:rFonts w:ascii="QCF_P554" w:hAnsi="QCF_P554" w:cs="QCF_P554"/>
                <w:noProof w:val="0"/>
                <w:rtl/>
                <w:lang w:eastAsia="en-US"/>
              </w:rPr>
              <w:t>ﭖ</w:t>
            </w:r>
            <w:r>
              <w:rPr>
                <w:rFonts w:ascii="QCF_P554" w:hAnsi="QCF_P554" w:cs="QCF_P554" w:hint="cs"/>
                <w:noProof w:val="0"/>
                <w:rtl/>
                <w:lang w:eastAsia="en-US"/>
              </w:rPr>
              <w:t xml:space="preserve"> </w:t>
            </w:r>
            <w:r w:rsidRPr="00CA2029">
              <w:rPr>
                <w:rFonts w:ascii="QCF_P554" w:hAnsi="QCF_P554" w:cs="QCF_P554"/>
                <w:noProof w:val="0"/>
                <w:rtl/>
                <w:lang w:eastAsia="en-US"/>
              </w:rPr>
              <w:t>ﭗ</w:t>
            </w:r>
            <w:r>
              <w:rPr>
                <w:rFonts w:ascii="QCF_P554" w:hAnsi="QCF_P554" w:cs="QCF_P554" w:hint="cs"/>
                <w:noProof w:val="0"/>
                <w:rtl/>
                <w:lang w:eastAsia="en-US"/>
              </w:rPr>
              <w:t xml:space="preserve"> </w:t>
            </w:r>
            <w:r w:rsidRPr="00CA2029">
              <w:rPr>
                <w:rFonts w:ascii="QCF_P554" w:hAnsi="QCF_P554" w:cs="QCF_P554"/>
                <w:noProof w:val="0"/>
                <w:rtl/>
                <w:lang w:eastAsia="en-US"/>
              </w:rPr>
              <w:t>ﭘ</w:t>
            </w:r>
            <w:r>
              <w:rPr>
                <w:rFonts w:ascii="QCF_P554" w:hAnsi="QCF_P554" w:cs="QCF_P554" w:hint="cs"/>
                <w:noProof w:val="0"/>
                <w:rtl/>
                <w:lang w:eastAsia="en-US"/>
              </w:rPr>
              <w:t xml:space="preserve"> </w:t>
            </w:r>
            <w:r w:rsidRPr="00CA2029">
              <w:rPr>
                <w:rFonts w:ascii="QCF_P554" w:hAnsi="QCF_P554" w:cs="QCF_P554"/>
                <w:noProof w:val="0"/>
                <w:rtl/>
                <w:lang w:eastAsia="en-US"/>
              </w:rPr>
              <w:t>ﭙ</w:t>
            </w:r>
            <w:r>
              <w:rPr>
                <w:rFonts w:ascii="QCF_P554" w:hAnsi="QCF_P554" w:cs="QCF_P554" w:hint="cs"/>
                <w:noProof w:val="0"/>
                <w:rtl/>
                <w:lang w:eastAsia="en-US"/>
              </w:rPr>
              <w:t xml:space="preserve"> </w:t>
            </w:r>
            <w:r w:rsidRPr="00CA2029">
              <w:rPr>
                <w:rFonts w:ascii="QCF_P554" w:hAnsi="QCF_P554" w:cs="QCF_P554"/>
                <w:noProof w:val="0"/>
                <w:rtl/>
                <w:lang w:eastAsia="en-US"/>
              </w:rPr>
              <w:t>ﭚ</w:t>
            </w:r>
            <w:r>
              <w:rPr>
                <w:rFonts w:ascii="QCF_P554" w:hAnsi="QCF_P554" w:cs="QCF_P554" w:hint="cs"/>
                <w:noProof w:val="0"/>
                <w:rtl/>
                <w:lang w:eastAsia="en-US"/>
              </w:rPr>
              <w:t xml:space="preserve"> </w:t>
            </w:r>
            <w:r w:rsidRPr="00CA2029">
              <w:rPr>
                <w:rFonts w:ascii="QCF_P554" w:hAnsi="QCF_P554" w:cs="QCF_P554"/>
                <w:noProof w:val="0"/>
                <w:rtl/>
                <w:lang w:eastAsia="en-US"/>
              </w:rPr>
              <w:t>ﭛ</w:t>
            </w:r>
            <w:r>
              <w:rPr>
                <w:rFonts w:ascii="QCF_P554" w:hAnsi="QCF_P554" w:cs="QCF_P554" w:hint="cs"/>
                <w:noProof w:val="0"/>
                <w:rtl/>
                <w:lang w:eastAsia="en-US"/>
              </w:rPr>
              <w:t xml:space="preserve"> </w:t>
            </w:r>
            <w:r w:rsidRPr="00CA2029">
              <w:rPr>
                <w:rFonts w:ascii="QCF_P554" w:hAnsi="QCF_P554" w:cs="QCF_P554"/>
                <w:noProof w:val="0"/>
                <w:rtl/>
                <w:lang w:eastAsia="en-US"/>
              </w:rPr>
              <w:t>ﭜ</w:t>
            </w:r>
            <w:r>
              <w:rPr>
                <w:rFonts w:ascii="QCF_P554" w:hAnsi="QCF_P554" w:cs="QCF_P554" w:hint="cs"/>
                <w:noProof w:val="0"/>
                <w:rtl/>
                <w:lang w:eastAsia="en-US"/>
              </w:rPr>
              <w:t xml:space="preserve"> </w:t>
            </w:r>
            <w:r w:rsidRPr="00CA2029">
              <w:rPr>
                <w:rFonts w:ascii="QCF_P554" w:hAnsi="QCF_P554" w:cs="QCF_P554"/>
                <w:noProof w:val="0"/>
                <w:rtl/>
                <w:lang w:eastAsia="en-US"/>
              </w:rPr>
              <w:t>ﭝ</w:t>
            </w:r>
            <w:r>
              <w:rPr>
                <w:rFonts w:ascii="QCF_P554" w:hAnsi="QCF_P554" w:cs="QCF_P554" w:hint="cs"/>
                <w:noProof w:val="0"/>
                <w:rtl/>
                <w:lang w:eastAsia="en-US"/>
              </w:rPr>
              <w:t xml:space="preserve"> </w:t>
            </w:r>
            <w:r w:rsidRPr="00CA2029">
              <w:rPr>
                <w:rFonts w:ascii="QCF_P554" w:hAnsi="QCF_P554" w:cs="QCF_P554"/>
                <w:noProof w:val="0"/>
                <w:rtl/>
                <w:lang w:eastAsia="en-US"/>
              </w:rPr>
              <w:t>ﭞ</w:t>
            </w:r>
            <w:r>
              <w:rPr>
                <w:rFonts w:ascii="QCF_P554" w:hAnsi="QCF_P554" w:cs="QCF_P554" w:hint="cs"/>
                <w:noProof w:val="0"/>
                <w:rtl/>
                <w:lang w:eastAsia="en-US"/>
              </w:rPr>
              <w:t xml:space="preserve"> </w:t>
            </w:r>
            <w:r w:rsidRPr="00CA2029">
              <w:rPr>
                <w:rFonts w:ascii="QCF_P554" w:hAnsi="QCF_P554" w:cs="QCF_P554"/>
                <w:noProof w:val="0"/>
                <w:rtl/>
                <w:lang w:eastAsia="en-US"/>
              </w:rPr>
              <w:t>ﭟ</w:t>
            </w:r>
            <w:r>
              <w:rPr>
                <w:rFonts w:ascii="QCF_P554" w:hAnsi="QCF_P554" w:cs="QCF_P554" w:hint="cs"/>
                <w:noProof w:val="0"/>
                <w:rtl/>
                <w:lang w:eastAsia="en-US"/>
              </w:rPr>
              <w:t xml:space="preserve"> </w:t>
            </w:r>
            <w:r w:rsidRPr="00CA2029">
              <w:rPr>
                <w:rFonts w:ascii="QCF_P554" w:hAnsi="QCF_P554" w:cs="QCF_P554"/>
                <w:noProof w:val="0"/>
                <w:color w:val="0000A5"/>
                <w:rtl/>
                <w:lang w:eastAsia="en-US"/>
              </w:rPr>
              <w:t>ﭠ</w:t>
            </w:r>
            <w:r>
              <w:rPr>
                <w:rFonts w:ascii="QCF_P554" w:hAnsi="QCF_P554" w:cs="QCF_P554" w:hint="cs"/>
                <w:noProof w:val="0"/>
                <w:color w:val="0000A5"/>
                <w:rtl/>
                <w:lang w:eastAsia="en-US"/>
              </w:rPr>
              <w:t xml:space="preserve"> </w:t>
            </w:r>
            <w:r w:rsidRPr="00CA2029">
              <w:rPr>
                <w:rFonts w:ascii="QCF_P554" w:hAnsi="QCF_P554" w:cs="QCF_P554"/>
                <w:noProof w:val="0"/>
                <w:rtl/>
                <w:lang w:eastAsia="en-US"/>
              </w:rPr>
              <w:t>ﭡﭢ</w:t>
            </w:r>
            <w:r>
              <w:rPr>
                <w:rFonts w:ascii="QCF_P554" w:hAnsi="QCF_P554" w:cs="QCF_P554" w:hint="cs"/>
                <w:noProof w:val="0"/>
                <w:rtl/>
                <w:lang w:eastAsia="en-US"/>
              </w:rPr>
              <w:t xml:space="preserve"> </w:t>
            </w:r>
            <w:r w:rsidRPr="00CA2029">
              <w:rPr>
                <w:rFonts w:ascii="QCF_P554" w:hAnsi="QCF_P554" w:cs="QCF_P554"/>
                <w:noProof w:val="0"/>
                <w:rtl/>
                <w:lang w:eastAsia="en-US"/>
              </w:rPr>
              <w:t>ﭣ</w:t>
            </w:r>
            <w:r>
              <w:rPr>
                <w:rFonts w:ascii="QCF_P554" w:hAnsi="QCF_P554" w:cs="QCF_P554" w:hint="cs"/>
                <w:noProof w:val="0"/>
                <w:rtl/>
                <w:lang w:eastAsia="en-US"/>
              </w:rPr>
              <w:t xml:space="preserve"> </w:t>
            </w:r>
            <w:r w:rsidRPr="00CA2029">
              <w:rPr>
                <w:rFonts w:ascii="QCF_P554" w:hAnsi="QCF_P554" w:cs="QCF_P554"/>
                <w:noProof w:val="0"/>
                <w:rtl/>
                <w:lang w:eastAsia="en-US"/>
              </w:rPr>
              <w:t>ﭤ</w:t>
            </w:r>
            <w:r>
              <w:rPr>
                <w:rFonts w:ascii="QCF_P554" w:hAnsi="QCF_P554" w:cs="QCF_P554" w:hint="cs"/>
                <w:noProof w:val="0"/>
                <w:rtl/>
                <w:lang w:eastAsia="en-US"/>
              </w:rPr>
              <w:t xml:space="preserve"> </w:t>
            </w:r>
            <w:r w:rsidRPr="00CA2029">
              <w:rPr>
                <w:rFonts w:ascii="QCF_P554" w:hAnsi="QCF_P554" w:cs="QCF_P554"/>
                <w:noProof w:val="0"/>
                <w:rtl/>
                <w:lang w:eastAsia="en-US"/>
              </w:rPr>
              <w:t>ﭥ</w:t>
            </w:r>
            <w:r>
              <w:rPr>
                <w:rFonts w:ascii="QCF_P554" w:hAnsi="QCF_P554" w:cs="QCF_P554" w:hint="cs"/>
                <w:noProof w:val="0"/>
                <w:rtl/>
                <w:lang w:eastAsia="en-US"/>
              </w:rPr>
              <w:t xml:space="preserve"> </w:t>
            </w:r>
            <w:r w:rsidRPr="00CA2029">
              <w:rPr>
                <w:rFonts w:ascii="QCF_P554" w:hAnsi="QCF_P554" w:cs="QCF_P554"/>
                <w:noProof w:val="0"/>
                <w:rtl/>
                <w:lang w:eastAsia="en-US"/>
              </w:rPr>
              <w:t>ﭦ</w:t>
            </w:r>
            <w:r w:rsidRPr="00CA2029">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9</w:t>
            </w:r>
          </w:p>
        </w:tc>
        <w:tc>
          <w:tcPr>
            <w:tcW w:w="1560" w:type="dxa"/>
            <w:vAlign w:val="center"/>
          </w:tcPr>
          <w:p w:rsidR="00E90490" w:rsidRPr="00E90490" w:rsidRDefault="002A0C79" w:rsidP="00597C20">
            <w:pPr>
              <w:tabs>
                <w:tab w:val="right" w:leader="dot" w:pos="6802"/>
                <w:tab w:val="right" w:leader="dot" w:pos="8787"/>
              </w:tabs>
              <w:ind w:firstLine="0"/>
              <w:jc w:val="center"/>
              <w:rPr>
                <w:rtl/>
              </w:rPr>
            </w:pPr>
            <w:r>
              <w:rPr>
                <w:rFonts w:hint="cs"/>
                <w:rtl/>
              </w:rPr>
              <w:t>494</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التغابن</w:t>
            </w:r>
          </w:p>
        </w:tc>
      </w:tr>
      <w:tr w:rsidR="00E90490" w:rsidRPr="00E90490" w:rsidTr="00FE332F">
        <w:trPr>
          <w:cantSplit/>
        </w:trPr>
        <w:tc>
          <w:tcPr>
            <w:tcW w:w="6627" w:type="dxa"/>
          </w:tcPr>
          <w:p w:rsidR="00E90490" w:rsidRPr="00E90490" w:rsidRDefault="002A0C79" w:rsidP="00597C20">
            <w:pPr>
              <w:tabs>
                <w:tab w:val="right" w:leader="dot" w:pos="6802"/>
                <w:tab w:val="right" w:leader="dot" w:pos="8787"/>
              </w:tabs>
              <w:ind w:firstLine="0"/>
            </w:pPr>
            <w:r>
              <w:rPr>
                <w:rFonts w:ascii="QCF_BSML" w:hAnsi="QCF_BSML" w:cs="QCF_BSML"/>
                <w:noProof w:val="0"/>
                <w:sz w:val="35"/>
                <w:szCs w:val="35"/>
                <w:rtl/>
                <w:lang w:val="fr-FR" w:eastAsia="en-US"/>
              </w:rPr>
              <w:t xml:space="preserve">ﭽ </w:t>
            </w:r>
            <w:r>
              <w:rPr>
                <w:rFonts w:ascii="QCF_P557" w:hAnsi="QCF_P557" w:cs="QCF_P557"/>
                <w:noProof w:val="0"/>
                <w:sz w:val="35"/>
                <w:szCs w:val="35"/>
                <w:rtl/>
                <w:lang w:val="fr-FR" w:eastAsia="en-US"/>
              </w:rPr>
              <w:t>ﮧﮨﮩﮪ</w:t>
            </w:r>
            <w:r>
              <w:rPr>
                <w:rFonts w:ascii="QCF_BSML" w:hAnsi="QCF_BSML" w:cs="QCF_BSML"/>
                <w:noProof w:val="0"/>
                <w:sz w:val="35"/>
                <w:szCs w:val="35"/>
                <w:rtl/>
                <w:lang w:val="fr-FR"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16</w:t>
            </w:r>
          </w:p>
        </w:tc>
        <w:tc>
          <w:tcPr>
            <w:tcW w:w="1560" w:type="dxa"/>
            <w:vAlign w:val="center"/>
          </w:tcPr>
          <w:p w:rsidR="00E90490" w:rsidRPr="00E90490" w:rsidRDefault="002A0C79" w:rsidP="00597C20">
            <w:pPr>
              <w:tabs>
                <w:tab w:val="right" w:leader="dot" w:pos="6802"/>
                <w:tab w:val="right" w:leader="dot" w:pos="8787"/>
              </w:tabs>
              <w:ind w:firstLine="0"/>
              <w:jc w:val="center"/>
              <w:rPr>
                <w:rtl/>
              </w:rPr>
            </w:pPr>
            <w:r>
              <w:rPr>
                <w:rFonts w:hint="cs"/>
                <w:rtl/>
              </w:rPr>
              <w:t>76، 500</w:t>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الطلاق</w:t>
            </w:r>
          </w:p>
        </w:tc>
      </w:tr>
      <w:tr w:rsidR="00E90490" w:rsidRPr="00E90490" w:rsidTr="00FE332F">
        <w:trPr>
          <w:cantSplit/>
        </w:trPr>
        <w:tc>
          <w:tcPr>
            <w:tcW w:w="6627" w:type="dxa"/>
          </w:tcPr>
          <w:p w:rsidR="00E90490" w:rsidRPr="00E90490" w:rsidRDefault="002A0C79" w:rsidP="00597C20">
            <w:pPr>
              <w:tabs>
                <w:tab w:val="right" w:leader="dot" w:pos="6802"/>
                <w:tab w:val="right" w:leader="dot" w:pos="8787"/>
              </w:tabs>
              <w:ind w:firstLine="0"/>
            </w:pPr>
            <w:r w:rsidRPr="00404E39">
              <w:rPr>
                <w:rFonts w:ascii="QCF_BSML" w:hAnsi="QCF_BSML" w:cs="QCF_BSML"/>
                <w:noProof w:val="0"/>
                <w:rtl/>
                <w:lang w:eastAsia="en-US"/>
              </w:rPr>
              <w:t xml:space="preserve">ﭽ </w:t>
            </w:r>
            <w:r w:rsidRPr="00404E39">
              <w:rPr>
                <w:rFonts w:ascii="QCF_P559" w:hAnsi="QCF_P559" w:cs="QCF_P559"/>
                <w:noProof w:val="0"/>
                <w:rtl/>
                <w:lang w:eastAsia="en-US"/>
              </w:rPr>
              <w:t>ﭦﭧﭨﭩﭪ</w:t>
            </w:r>
            <w:r w:rsidRPr="00404E39">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6</w:t>
            </w:r>
          </w:p>
        </w:tc>
        <w:tc>
          <w:tcPr>
            <w:tcW w:w="1560" w:type="dxa"/>
            <w:vAlign w:val="center"/>
          </w:tcPr>
          <w:p w:rsidR="00E90490" w:rsidRPr="00E90490" w:rsidRDefault="00AB0B9E" w:rsidP="002A0C79">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سورة_الطلاق_6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r w:rsidR="00E90490" w:rsidRPr="00E90490">
              <w:rPr>
                <w:rFonts w:hint="cs"/>
                <w:rtl/>
              </w:rPr>
              <w:t xml:space="preserve">، </w:t>
            </w:r>
            <w:r w:rsidR="002A0C79">
              <w:rPr>
                <w:rFonts w:hint="cs"/>
                <w:rtl/>
              </w:rPr>
              <w:t>512</w:t>
            </w:r>
          </w:p>
        </w:tc>
      </w:tr>
      <w:tr w:rsidR="00E90490" w:rsidRPr="00E90490" w:rsidTr="00FE332F">
        <w:trPr>
          <w:cantSplit/>
        </w:trPr>
        <w:tc>
          <w:tcPr>
            <w:tcW w:w="9037" w:type="dxa"/>
            <w:gridSpan w:val="3"/>
          </w:tcPr>
          <w:p w:rsidR="00E90490" w:rsidRPr="00E90490" w:rsidRDefault="00D82F52" w:rsidP="00597C20">
            <w:pPr>
              <w:keepNext/>
              <w:tabs>
                <w:tab w:val="right" w:leader="dot" w:pos="6802"/>
                <w:tab w:val="right" w:leader="dot" w:pos="8787"/>
              </w:tabs>
              <w:ind w:firstLine="0"/>
              <w:jc w:val="center"/>
              <w:rPr>
                <w:b/>
                <w:bCs/>
                <w:rtl/>
              </w:rPr>
            </w:pPr>
            <w:r>
              <w:rPr>
                <w:rFonts w:hint="cs"/>
                <w:b/>
                <w:bCs/>
                <w:rtl/>
              </w:rPr>
              <w:lastRenderedPageBreak/>
              <w:t>الق</w:t>
            </w:r>
            <w:r w:rsidR="00E90490" w:rsidRPr="00E90490">
              <w:rPr>
                <w:rFonts w:hint="cs"/>
                <w:b/>
                <w:bCs/>
                <w:rtl/>
              </w:rPr>
              <w:t>لم</w:t>
            </w:r>
          </w:p>
        </w:tc>
      </w:tr>
      <w:tr w:rsidR="00E90490" w:rsidRPr="00E90490" w:rsidTr="00FE332F">
        <w:trPr>
          <w:cantSplit/>
        </w:trPr>
        <w:tc>
          <w:tcPr>
            <w:tcW w:w="6627" w:type="dxa"/>
          </w:tcPr>
          <w:p w:rsidR="00E90490" w:rsidRPr="00E90490" w:rsidRDefault="002A0C79" w:rsidP="00597C20">
            <w:pPr>
              <w:tabs>
                <w:tab w:val="right" w:leader="dot" w:pos="6802"/>
                <w:tab w:val="right" w:leader="dot" w:pos="8787"/>
              </w:tabs>
              <w:ind w:firstLine="0"/>
            </w:pPr>
            <w:r w:rsidRPr="001C03F0">
              <w:rPr>
                <w:rFonts w:ascii="QCF_BSML" w:hAnsi="QCF_BSML" w:cs="QCF_BSML"/>
                <w:noProof w:val="0"/>
                <w:rtl/>
                <w:lang w:eastAsia="en-US"/>
              </w:rPr>
              <w:t>ﭽ</w:t>
            </w:r>
            <w:r w:rsidRPr="001C03F0">
              <w:rPr>
                <w:rFonts w:ascii="QCF_P565" w:hAnsi="QCF_P565" w:cs="QCF_P565"/>
                <w:noProof w:val="0"/>
                <w:rtl/>
                <w:lang w:eastAsia="en-US"/>
              </w:rPr>
              <w:t>ﭕ</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ﭖ</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ﭗ</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ﭘ</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ﭙ</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ﭚ</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ﭛ</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ﭜ</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ﭝ</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ﭞ</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ﭟ</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ﭠ</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ﭡ</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ﭢ</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ﭣ</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ﭤ</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ﭥ</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ﭦ</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ﭧ</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ﭨ</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ﭩ</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ﭪ</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ﭫ</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ﭬ</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ﭭ</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ﭮ</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ﭯ</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ﭰ</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ﭱ</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ﭲ</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ﭳ</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ﭴ</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ﭵ</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ﭶ</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ﭷ</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ﭸ</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ﭹ</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ﭺ</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ﭻ</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ﭼ</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ﭽ</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ﭾ</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ﭿ</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ﮀ</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ﮁ</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ﮂ</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ﮃ</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ﮄ</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ﮅ</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ﮆ</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ﮇ</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ﮈ</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ﮉ</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ﮊ</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ﮋ</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ﮌ</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ﮍ</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ﮎ</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ﮏ</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ﮐ</w:t>
            </w:r>
            <w:r w:rsidRPr="001C03F0">
              <w:rPr>
                <w:rFonts w:ascii="QCF_P565" w:hAnsi="QCF_P565" w:cs="QCF_P565" w:hint="cs"/>
                <w:noProof w:val="0"/>
                <w:rtl/>
                <w:lang w:eastAsia="en-US"/>
              </w:rPr>
              <w:t xml:space="preserve"> </w:t>
            </w:r>
            <w:r w:rsidRPr="001C03F0">
              <w:rPr>
                <w:rFonts w:ascii="QCF_P565" w:hAnsi="QCF_P565" w:cs="QCF_P565"/>
                <w:noProof w:val="0"/>
                <w:rtl/>
                <w:lang w:eastAsia="en-US"/>
              </w:rPr>
              <w:t>ﮑ</w:t>
            </w:r>
            <w:r w:rsidRPr="001C03F0">
              <w:rPr>
                <w:rFonts w:ascii="QCF_P565" w:hAnsi="QCF_P565" w:cs="QCF_P565" w:hint="cs"/>
                <w:noProof w:val="0"/>
                <w:rtl/>
                <w:lang w:eastAsia="en-US"/>
              </w:rPr>
              <w:t xml:space="preserve"> </w:t>
            </w:r>
            <w:r w:rsidRPr="001C03F0">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17 - 27</w:t>
            </w:r>
          </w:p>
        </w:tc>
        <w:tc>
          <w:tcPr>
            <w:tcW w:w="1560" w:type="dxa"/>
            <w:vAlign w:val="center"/>
          </w:tcPr>
          <w:p w:rsidR="00E90490" w:rsidRPr="00E90490" w:rsidRDefault="00AB0B9E" w:rsidP="00597C20">
            <w:pPr>
              <w:tabs>
                <w:tab w:val="right" w:leader="dot" w:pos="6802"/>
                <w:tab w:val="right" w:leader="dot" w:pos="8787"/>
              </w:tabs>
              <w:ind w:firstLine="0"/>
              <w:jc w:val="center"/>
              <w:rPr>
                <w:rtl/>
              </w:rPr>
            </w:pPr>
            <w:r w:rsidRPr="00E90490">
              <w:rPr>
                <w:rtl/>
              </w:rPr>
              <w:fldChar w:fldCharType="begin"/>
            </w:r>
            <w:r w:rsidR="00E90490" w:rsidRPr="00E90490">
              <w:instrText>PAGEREF</w:instrText>
            </w:r>
            <w:r w:rsidR="00E90490" w:rsidRPr="00E90490">
              <w:rPr>
                <w:rtl/>
              </w:rPr>
              <w:instrText xml:space="preserve"> سورة_القلم_17إلى27 \</w:instrText>
            </w:r>
            <w:r w:rsidR="00E90490" w:rsidRPr="00E90490">
              <w:instrText>h</w:instrText>
            </w:r>
            <w:r w:rsidRPr="00E90490">
              <w:rPr>
                <w:rtl/>
              </w:rPr>
            </w:r>
            <w:r w:rsidRPr="00E90490">
              <w:rPr>
                <w:rtl/>
              </w:rPr>
              <w:fldChar w:fldCharType="separate"/>
            </w:r>
            <w:r w:rsidR="00982621">
              <w:rPr>
                <w:rtl/>
              </w:rPr>
              <w:t>25</w:t>
            </w:r>
            <w:r w:rsidRPr="00E90490">
              <w:rPr>
                <w:rtl/>
              </w:rPr>
              <w:fldChar w:fldCharType="end"/>
            </w:r>
          </w:p>
        </w:tc>
      </w:tr>
      <w:tr w:rsidR="00E90490" w:rsidRPr="00E90490" w:rsidTr="00FE332F">
        <w:trPr>
          <w:cantSplit/>
        </w:trPr>
        <w:tc>
          <w:tcPr>
            <w:tcW w:w="9037" w:type="dxa"/>
            <w:gridSpan w:val="3"/>
          </w:tcPr>
          <w:p w:rsidR="00E90490" w:rsidRPr="00E90490" w:rsidRDefault="00E90490" w:rsidP="00597C20">
            <w:pPr>
              <w:keepNext/>
              <w:tabs>
                <w:tab w:val="right" w:leader="dot" w:pos="6802"/>
                <w:tab w:val="right" w:leader="dot" w:pos="8787"/>
              </w:tabs>
              <w:ind w:firstLine="0"/>
              <w:jc w:val="center"/>
              <w:rPr>
                <w:b/>
                <w:bCs/>
                <w:rtl/>
              </w:rPr>
            </w:pPr>
            <w:r w:rsidRPr="00E90490">
              <w:rPr>
                <w:rFonts w:hint="cs"/>
                <w:b/>
                <w:bCs/>
                <w:rtl/>
              </w:rPr>
              <w:t>المزمل</w:t>
            </w:r>
          </w:p>
        </w:tc>
      </w:tr>
      <w:tr w:rsidR="00E90490" w:rsidRPr="00E90490" w:rsidTr="00FE332F">
        <w:trPr>
          <w:cantSplit/>
        </w:trPr>
        <w:tc>
          <w:tcPr>
            <w:tcW w:w="6627" w:type="dxa"/>
          </w:tcPr>
          <w:p w:rsidR="00E90490" w:rsidRPr="002A0C79" w:rsidRDefault="002A0C79" w:rsidP="00597C20">
            <w:pPr>
              <w:tabs>
                <w:tab w:val="right" w:leader="dot" w:pos="6802"/>
                <w:tab w:val="right" w:leader="dot" w:pos="8787"/>
              </w:tabs>
              <w:ind w:firstLine="0"/>
            </w:pPr>
            <w:r w:rsidRPr="002A0C79">
              <w:rPr>
                <w:rFonts w:ascii="QCF_BSML" w:hAnsi="QCF_BSML" w:cs="QCF_BSML"/>
                <w:noProof w:val="0"/>
                <w:rtl/>
                <w:lang w:eastAsia="en-US"/>
              </w:rPr>
              <w:t xml:space="preserve">ﭽ </w:t>
            </w:r>
            <w:r w:rsidRPr="002A0C79">
              <w:rPr>
                <w:rFonts w:ascii="QCF_P575" w:hAnsi="QCF_P575" w:cs="QCF_P575"/>
                <w:noProof w:val="0"/>
                <w:rtl/>
                <w:lang w:eastAsia="en-US"/>
              </w:rPr>
              <w:t>ﭺﭻﭼﭽ</w:t>
            </w:r>
            <w:r w:rsidRPr="002A0C79">
              <w:rPr>
                <w:rFonts w:ascii="QCF_BSML" w:hAnsi="QCF_BSML" w:cs="QCF_BSML"/>
                <w:noProof w:val="0"/>
                <w:rtl/>
                <w:lang w:eastAsia="en-US"/>
              </w:rPr>
              <w:t>ﭼ</w:t>
            </w:r>
          </w:p>
        </w:tc>
        <w:tc>
          <w:tcPr>
            <w:tcW w:w="850" w:type="dxa"/>
            <w:vAlign w:val="center"/>
          </w:tcPr>
          <w:p w:rsidR="00E90490" w:rsidRPr="00E90490" w:rsidRDefault="00E90490" w:rsidP="00597C20">
            <w:pPr>
              <w:tabs>
                <w:tab w:val="right" w:leader="dot" w:pos="6802"/>
                <w:tab w:val="right" w:leader="dot" w:pos="8787"/>
              </w:tabs>
              <w:ind w:firstLine="0"/>
              <w:jc w:val="center"/>
              <w:rPr>
                <w:rtl/>
              </w:rPr>
            </w:pPr>
            <w:r w:rsidRPr="00E90490">
              <w:rPr>
                <w:rFonts w:hint="cs"/>
                <w:rtl/>
              </w:rPr>
              <w:t>2</w:t>
            </w:r>
          </w:p>
        </w:tc>
        <w:tc>
          <w:tcPr>
            <w:tcW w:w="1560" w:type="dxa"/>
            <w:vAlign w:val="center"/>
          </w:tcPr>
          <w:p w:rsidR="00E90490" w:rsidRPr="00E90490" w:rsidRDefault="002A0C79" w:rsidP="00597C20">
            <w:pPr>
              <w:tabs>
                <w:tab w:val="right" w:leader="dot" w:pos="6802"/>
                <w:tab w:val="right" w:leader="dot" w:pos="8787"/>
              </w:tabs>
              <w:ind w:firstLine="0"/>
              <w:jc w:val="center"/>
              <w:rPr>
                <w:rtl/>
              </w:rPr>
            </w:pPr>
            <w:r>
              <w:rPr>
                <w:rFonts w:hint="cs"/>
                <w:rtl/>
              </w:rPr>
              <w:t>429(ح)</w:t>
            </w:r>
          </w:p>
        </w:tc>
      </w:tr>
    </w:tbl>
    <w:p w:rsidR="00E90490" w:rsidRDefault="00E90490" w:rsidP="00597C20">
      <w:pPr>
        <w:ind w:firstLine="0"/>
        <w:rPr>
          <w:rtl/>
        </w:rPr>
      </w:pPr>
    </w:p>
    <w:p w:rsidR="00E90490" w:rsidRDefault="00E90490" w:rsidP="00597C20">
      <w:pPr>
        <w:ind w:firstLine="0"/>
        <w:rPr>
          <w:rtl/>
        </w:rPr>
        <w:sectPr w:rsidR="00E90490" w:rsidSect="000E3D46">
          <w:footerReference w:type="first" r:id="rId17"/>
          <w:footnotePr>
            <w:numRestart w:val="eachPage"/>
          </w:footnotePr>
          <w:pgSz w:w="11906" w:h="16838" w:code="9"/>
          <w:pgMar w:top="1418" w:right="1134" w:bottom="1418" w:left="1418" w:header="567" w:footer="737" w:gutter="567"/>
          <w:cols w:space="708"/>
          <w:bidi/>
          <w:rtlGutter/>
          <w:docGrid w:linePitch="490"/>
        </w:sectPr>
      </w:pPr>
    </w:p>
    <w:p w:rsidR="001351E5" w:rsidRDefault="001351E5" w:rsidP="00597C20">
      <w:pPr>
        <w:pStyle w:val="aff0"/>
        <w:rPr>
          <w:rtl/>
        </w:rPr>
      </w:pPr>
      <w:bookmarkStart w:id="549" w:name="_Toc334046723"/>
      <w:r>
        <w:rPr>
          <w:rFonts w:hint="cs"/>
          <w:rtl/>
        </w:rPr>
        <w:lastRenderedPageBreak/>
        <w:t>فهرس الأحاديث</w:t>
      </w:r>
      <w:bookmarkEnd w:id="549"/>
    </w:p>
    <w:p w:rsidR="007927E8" w:rsidRDefault="00AB0B9E" w:rsidP="00597C20">
      <w:pPr>
        <w:widowControl/>
        <w:ind w:firstLine="0"/>
        <w:jc w:val="left"/>
        <w:rPr>
          <w:rtl/>
        </w:rPr>
        <w:sectPr w:rsidR="007927E8" w:rsidSect="000E3D46">
          <w:footnotePr>
            <w:numRestart w:val="eachPage"/>
          </w:footnotePr>
          <w:pgSz w:w="11906" w:h="16838" w:code="9"/>
          <w:pgMar w:top="1418" w:right="1134" w:bottom="1418" w:left="1418" w:header="567" w:footer="737" w:gutter="567"/>
          <w:cols w:space="708"/>
          <w:bidi/>
          <w:rtlGutter/>
          <w:docGrid w:linePitch="490"/>
        </w:sectPr>
      </w:pPr>
      <w:r>
        <w:rPr>
          <w:rtl/>
        </w:rPr>
        <w:fldChar w:fldCharType="begin"/>
      </w:r>
      <w:r w:rsidR="0092403A">
        <w:rPr>
          <w:rFonts w:hint="cs"/>
        </w:rPr>
        <w:instrText>INDEX</w:instrText>
      </w:r>
      <w:r w:rsidR="0092403A">
        <w:rPr>
          <w:rFonts w:hint="cs"/>
          <w:rtl/>
        </w:rPr>
        <w:instrText xml:space="preserve"> \</w:instrText>
      </w:r>
      <w:r w:rsidR="0092403A">
        <w:rPr>
          <w:rFonts w:hint="cs"/>
        </w:rPr>
        <w:instrText>e "</w:instrText>
      </w:r>
      <w:r w:rsidR="0092403A">
        <w:rPr>
          <w:rFonts w:hint="cs"/>
          <w:rtl/>
        </w:rPr>
        <w:tab/>
      </w:r>
      <w:r w:rsidR="0092403A">
        <w:rPr>
          <w:rFonts w:hint="cs"/>
        </w:rPr>
        <w:instrText>" \c "1" \z "5121</w:instrText>
      </w:r>
      <w:r w:rsidR="0092403A">
        <w:rPr>
          <w:rFonts w:hint="cs"/>
          <w:rtl/>
        </w:rPr>
        <w:instrText>"</w:instrText>
      </w:r>
      <w:r w:rsidR="00BA3B15">
        <w:instrText xml:space="preserve"> \l "</w:instrText>
      </w:r>
      <w:r w:rsidR="00BA3B15">
        <w:rPr>
          <w:rFonts w:hint="cs"/>
          <w:rtl/>
          <w:lang w:bidi="ar-DZ"/>
        </w:rPr>
        <w:instrText>،</w:instrText>
      </w:r>
      <w:r w:rsidR="00BA3B15">
        <w:rPr>
          <w:lang w:val="fr-FR" w:bidi="ar-DZ"/>
        </w:rPr>
        <w:instrText xml:space="preserve">" </w:instrText>
      </w:r>
      <w:r>
        <w:rPr>
          <w:rtl/>
        </w:rPr>
        <w:fldChar w:fldCharType="separate"/>
      </w:r>
    </w:p>
    <w:p w:rsidR="000F705E" w:rsidRDefault="00AB0B9E" w:rsidP="00597C20">
      <w:pPr>
        <w:widowControl/>
        <w:ind w:firstLine="0"/>
        <w:jc w:val="left"/>
      </w:pPr>
      <w:r>
        <w:rPr>
          <w:rtl/>
        </w:rPr>
        <w:lastRenderedPageBreak/>
        <w:fldChar w:fldCharType="end"/>
      </w:r>
      <w:r>
        <w:fldChar w:fldCharType="begin"/>
      </w:r>
      <w:r w:rsidR="007927E8">
        <w:instrText xml:space="preserve"> INDEX \fh</w:instrText>
      </w:r>
      <w:r w:rsidR="00DB69B2" w:rsidRPr="00DB69B2">
        <w:instrText xml:space="preserve"> \e "</w:instrText>
      </w:r>
      <w:r w:rsidR="00DB69B2" w:rsidRPr="00DB69B2">
        <w:tab/>
        <w:instrText>" \c "1" \z "5121"  \l "</w:instrText>
      </w:r>
      <w:r w:rsidR="00DB69B2" w:rsidRPr="00DB69B2">
        <w:rPr>
          <w:rtl/>
        </w:rPr>
        <w:instrText xml:space="preserve">، </w:instrText>
      </w:r>
      <w:r w:rsidR="00DB69B2">
        <w:instrText xml:space="preserve">" </w:instrText>
      </w:r>
      <w:r w:rsidR="007927E8">
        <w:instrText xml:space="preserve">\* MERGEFORMAT </w:instrText>
      </w:r>
      <w:r>
        <w:fldChar w:fldCharType="separate"/>
      </w:r>
    </w:p>
    <w:p w:rsidR="000F705E" w:rsidRDefault="000F705E" w:rsidP="00597C20">
      <w:pPr>
        <w:widowControl/>
        <w:ind w:firstLine="0"/>
        <w:jc w:val="left"/>
        <w:sectPr w:rsidR="000F705E" w:rsidSect="000F705E">
          <w:footnotePr>
            <w:numRestart w:val="eachPage"/>
          </w:footnotePr>
          <w:type w:val="continuous"/>
          <w:pgSz w:w="11906" w:h="16838" w:code="9"/>
          <w:pgMar w:top="1418" w:right="1134" w:bottom="1418" w:left="1418" w:header="567" w:footer="737" w:gutter="567"/>
          <w:cols w:space="708"/>
          <w:titlePg/>
          <w:bidi/>
          <w:rtlGutter/>
          <w:docGrid w:linePitch="490"/>
        </w:sectPr>
      </w:pPr>
    </w:p>
    <w:p w:rsidR="000F705E" w:rsidRDefault="000F705E" w:rsidP="00DF6CD7">
      <w:pPr>
        <w:pStyle w:val="Index1"/>
        <w:rPr>
          <w:rtl/>
        </w:rPr>
      </w:pPr>
      <w:r w:rsidRPr="009C5753">
        <w:rPr>
          <w:rFonts w:ascii="Traditional Arabic" w:hAnsi="Traditional Arabic" w:hint="eastAsia"/>
          <w:rtl/>
          <w:lang w:eastAsia="en-US"/>
        </w:rPr>
        <w:lastRenderedPageBreak/>
        <w:t>أَتُراني</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ماكَسْتُكَ</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لآخُذ</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جملك؟</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خُذْ</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جملَك</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ودراهمَك</w:t>
      </w:r>
      <w:r w:rsidR="004E0ED0">
        <w:rPr>
          <w:rFonts w:ascii="Traditional Arabic" w:hAnsi="Traditional Arabic" w:hint="cs"/>
          <w:rtl/>
          <w:lang w:eastAsia="en-US"/>
        </w:rPr>
        <w:t>،</w:t>
      </w:r>
      <w:r w:rsidRPr="009C5753">
        <w:rPr>
          <w:rFonts w:ascii="Traditional Arabic" w:hAnsi="Traditional Arabic"/>
          <w:rtl/>
          <w:lang w:eastAsia="en-US"/>
        </w:rPr>
        <w:t xml:space="preserve"> </w:t>
      </w:r>
      <w:r w:rsidRPr="009C5753">
        <w:rPr>
          <w:rFonts w:ascii="Traditional Arabic" w:hAnsi="Traditional Arabic" w:hint="eastAsia"/>
          <w:rtl/>
          <w:lang w:eastAsia="en-US"/>
        </w:rPr>
        <w:t>فهو</w:t>
      </w:r>
      <w:r w:rsidR="002A0C79">
        <w:rPr>
          <w:rFonts w:ascii="Traditional Arabic" w:hAnsi="Traditional Arabic" w:hint="cs"/>
          <w:rtl/>
          <w:lang w:eastAsia="en-US"/>
        </w:rPr>
        <w:t xml:space="preserve"> </w:t>
      </w:r>
      <w:r w:rsidRPr="009C5753">
        <w:rPr>
          <w:rFonts w:ascii="Traditional Arabic" w:hAnsi="Traditional Arabic" w:hint="eastAsia"/>
          <w:rtl/>
          <w:lang w:eastAsia="en-US"/>
        </w:rPr>
        <w:t>لك</w:t>
      </w:r>
      <w:r>
        <w:rPr>
          <w:rtl/>
          <w:lang w:bidi="ar-DZ"/>
        </w:rPr>
        <w:tab/>
      </w:r>
      <w:r w:rsidR="00DF6CD7">
        <w:rPr>
          <w:rFonts w:hint="cs"/>
          <w:rtl/>
          <w:lang w:bidi="ar-DZ"/>
        </w:rPr>
        <w:t>168</w:t>
      </w:r>
    </w:p>
    <w:p w:rsidR="000F705E" w:rsidRDefault="000F705E" w:rsidP="00DF6CD7">
      <w:pPr>
        <w:pStyle w:val="Index1"/>
        <w:rPr>
          <w:rtl/>
        </w:rPr>
      </w:pPr>
      <w:r w:rsidRPr="009C5753">
        <w:rPr>
          <w:rFonts w:ascii="Traditional Arabic" w:hAnsi="Traditional Arabic" w:hint="eastAsia"/>
          <w:rtl/>
          <w:lang w:eastAsia="en-US"/>
        </w:rPr>
        <w:t>أحق</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الشروط</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أن</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توَفّوا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بهما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استحللتم</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به</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الفروج</w:t>
      </w:r>
      <w:r>
        <w:rPr>
          <w:rtl/>
          <w:lang w:bidi="ar-DZ"/>
        </w:rPr>
        <w:tab/>
      </w:r>
      <w:r w:rsidR="00DF6CD7">
        <w:rPr>
          <w:rFonts w:hint="cs"/>
          <w:rtl/>
          <w:lang w:bidi="ar-DZ"/>
        </w:rPr>
        <w:t>301</w:t>
      </w:r>
    </w:p>
    <w:p w:rsidR="000F705E" w:rsidRDefault="000F705E" w:rsidP="00DF6CD7">
      <w:pPr>
        <w:pStyle w:val="Index1"/>
        <w:rPr>
          <w:rtl/>
        </w:rPr>
      </w:pPr>
      <w:r w:rsidRPr="009C5753">
        <w:rPr>
          <w:rFonts w:ascii="Traditional Arabic" w:hAnsi="Traditional Arabic" w:hint="eastAsia"/>
          <w:rtl/>
          <w:lang w:eastAsia="en-US"/>
        </w:rPr>
        <w:t>إذا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أرسلت</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كلبك</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فاذكر</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اسم</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الله،</w:t>
      </w:r>
      <w:r>
        <w:rPr>
          <w:rtl/>
          <w:lang w:bidi="ar-DZ"/>
        </w:rPr>
        <w:tab/>
      </w:r>
      <w:r w:rsidR="00DF6CD7">
        <w:rPr>
          <w:rFonts w:hint="cs"/>
          <w:rtl/>
          <w:lang w:bidi="ar-DZ"/>
        </w:rPr>
        <w:t>126</w:t>
      </w:r>
    </w:p>
    <w:p w:rsidR="00A74341" w:rsidRPr="00A74341" w:rsidRDefault="00A74341" w:rsidP="00A74341">
      <w:pPr>
        <w:ind w:firstLine="0"/>
        <w:rPr>
          <w:rtl/>
        </w:rPr>
      </w:pPr>
      <w:r>
        <w:rPr>
          <w:rFonts w:hint="cs"/>
          <w:rtl/>
        </w:rPr>
        <w:t>إذا التقى المسلمان بسيفيهما.........................................................204</w:t>
      </w:r>
    </w:p>
    <w:p w:rsidR="000F705E" w:rsidRDefault="000F705E" w:rsidP="00DF6CD7">
      <w:pPr>
        <w:pStyle w:val="Index1"/>
        <w:rPr>
          <w:rtl/>
        </w:rPr>
      </w:pPr>
      <w:r w:rsidRPr="009C5753">
        <w:rPr>
          <w:rFonts w:ascii="Traditional Arabic" w:hAnsi="Traditional Arabic" w:hint="eastAsia"/>
          <w:rtl/>
          <w:lang w:eastAsia="en-US"/>
        </w:rPr>
        <w:t>إذا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أم</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أحدكم</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الناس</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فليخفِّف،</w:t>
      </w:r>
      <w:r>
        <w:rPr>
          <w:rtl/>
          <w:lang w:bidi="ar-DZ"/>
        </w:rPr>
        <w:tab/>
      </w:r>
      <w:r w:rsidR="00DF6CD7">
        <w:rPr>
          <w:rFonts w:hint="cs"/>
          <w:rtl/>
        </w:rPr>
        <w:t>476</w:t>
      </w:r>
    </w:p>
    <w:p w:rsidR="000F705E" w:rsidRDefault="000F705E" w:rsidP="00DF6CD7">
      <w:pPr>
        <w:pStyle w:val="Index1"/>
        <w:rPr>
          <w:rtl/>
        </w:rPr>
      </w:pPr>
      <w:r w:rsidRPr="009C5753">
        <w:rPr>
          <w:rFonts w:ascii="Traditional Arabic" w:hAnsi="Traditional Arabic" w:hint="eastAsia"/>
          <w:rtl/>
          <w:lang w:eastAsia="en-US"/>
        </w:rPr>
        <w:t>إذا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تَبايَع</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الرجلان،</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فكلُّ</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واحدٍ</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منهما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بالخِيار</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ما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لم</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يتفرَّقا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وكانا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جميعا،</w:t>
      </w:r>
      <w:r>
        <w:rPr>
          <w:rtl/>
          <w:lang w:bidi="ar-DZ"/>
        </w:rPr>
        <w:tab/>
      </w:r>
      <w:r w:rsidR="00DF6CD7">
        <w:rPr>
          <w:rFonts w:hint="cs"/>
          <w:rtl/>
          <w:lang w:bidi="ar-DZ"/>
        </w:rPr>
        <w:t xml:space="preserve">399، </w:t>
      </w:r>
      <w:r w:rsidR="00DF6CD7">
        <w:rPr>
          <w:rFonts w:hint="cs"/>
          <w:rtl/>
        </w:rPr>
        <w:t>520</w:t>
      </w:r>
    </w:p>
    <w:p w:rsidR="000F705E" w:rsidRDefault="000F705E" w:rsidP="00DF6CD7">
      <w:pPr>
        <w:pStyle w:val="Index1"/>
        <w:rPr>
          <w:rtl/>
        </w:rPr>
      </w:pPr>
      <w:r w:rsidRPr="009C5753">
        <w:rPr>
          <w:rFonts w:ascii="Traditional Arabic" w:hAnsi="Traditional Arabic" w:hint="eastAsia"/>
          <w:rtl/>
        </w:rPr>
        <w:t>إذا</w:t>
      </w:r>
      <w:r w:rsidR="004E0ED0">
        <w:rPr>
          <w:rFonts w:ascii="Traditional Arabic" w:hAnsi="Traditional Arabic" w:hint="cs"/>
          <w:rtl/>
        </w:rPr>
        <w:t xml:space="preserve"> </w:t>
      </w:r>
      <w:r w:rsidRPr="009C5753">
        <w:rPr>
          <w:rFonts w:ascii="Traditional Arabic" w:hAnsi="Traditional Arabic" w:hint="eastAsia"/>
          <w:rtl/>
        </w:rPr>
        <w:t>وَجد</w:t>
      </w:r>
      <w:r w:rsidR="004E0ED0">
        <w:rPr>
          <w:rFonts w:ascii="Traditional Arabic" w:hAnsi="Traditional Arabic" w:hint="cs"/>
          <w:rtl/>
        </w:rPr>
        <w:t xml:space="preserve"> </w:t>
      </w:r>
      <w:r w:rsidRPr="009C5753">
        <w:rPr>
          <w:rFonts w:ascii="Traditional Arabic" w:hAnsi="Traditional Arabic" w:hint="eastAsia"/>
          <w:rtl/>
        </w:rPr>
        <w:t>أحدُكم</w:t>
      </w:r>
      <w:r w:rsidR="004E0ED0">
        <w:rPr>
          <w:rFonts w:ascii="Traditional Arabic" w:hAnsi="Traditional Arabic" w:hint="cs"/>
          <w:rtl/>
        </w:rPr>
        <w:t xml:space="preserve"> </w:t>
      </w:r>
      <w:r w:rsidRPr="009C5753">
        <w:rPr>
          <w:rFonts w:ascii="Traditional Arabic" w:hAnsi="Traditional Arabic" w:hint="eastAsia"/>
          <w:rtl/>
        </w:rPr>
        <w:t>في</w:t>
      </w:r>
      <w:r w:rsidR="004E0ED0">
        <w:rPr>
          <w:rFonts w:ascii="Traditional Arabic" w:hAnsi="Traditional Arabic" w:hint="cs"/>
          <w:rtl/>
        </w:rPr>
        <w:t xml:space="preserve"> </w:t>
      </w:r>
      <w:r w:rsidRPr="009C5753">
        <w:rPr>
          <w:rFonts w:ascii="Traditional Arabic" w:hAnsi="Traditional Arabic" w:hint="eastAsia"/>
          <w:rtl/>
        </w:rPr>
        <w:t>بطنه</w:t>
      </w:r>
      <w:r w:rsidR="004E0ED0">
        <w:rPr>
          <w:rFonts w:ascii="Traditional Arabic" w:hAnsi="Traditional Arabic" w:hint="cs"/>
          <w:rtl/>
        </w:rPr>
        <w:t xml:space="preserve"> </w:t>
      </w:r>
      <w:r w:rsidRPr="009C5753">
        <w:rPr>
          <w:rFonts w:ascii="Traditional Arabic" w:hAnsi="Traditional Arabic" w:hint="eastAsia"/>
          <w:rtl/>
        </w:rPr>
        <w:t>شيئاً</w:t>
      </w:r>
      <w:r w:rsidR="004E0ED0">
        <w:rPr>
          <w:rFonts w:ascii="Traditional Arabic" w:hAnsi="Traditional Arabic" w:hint="cs"/>
          <w:rtl/>
        </w:rPr>
        <w:t xml:space="preserve"> </w:t>
      </w:r>
      <w:r w:rsidRPr="009C5753">
        <w:rPr>
          <w:rFonts w:ascii="Traditional Arabic" w:hAnsi="Traditional Arabic" w:hint="eastAsia"/>
          <w:rtl/>
        </w:rPr>
        <w:t>فأشكل</w:t>
      </w:r>
      <w:r w:rsidR="004E0ED0">
        <w:rPr>
          <w:rFonts w:ascii="Traditional Arabic" w:hAnsi="Traditional Arabic" w:hint="cs"/>
          <w:rtl/>
        </w:rPr>
        <w:t xml:space="preserve"> </w:t>
      </w:r>
      <w:r w:rsidRPr="009C5753">
        <w:rPr>
          <w:rFonts w:ascii="Traditional Arabic" w:hAnsi="Traditional Arabic" w:hint="eastAsia"/>
          <w:rtl/>
        </w:rPr>
        <w:t>عليه</w:t>
      </w:r>
      <w:r w:rsidR="004E0ED0">
        <w:rPr>
          <w:rFonts w:ascii="Traditional Arabic" w:hAnsi="Traditional Arabic" w:hint="cs"/>
          <w:rtl/>
        </w:rPr>
        <w:t xml:space="preserve"> </w:t>
      </w:r>
      <w:r w:rsidRPr="009C5753">
        <w:rPr>
          <w:rFonts w:ascii="Traditional Arabic" w:hAnsi="Traditional Arabic" w:hint="eastAsia"/>
          <w:rtl/>
        </w:rPr>
        <w:t>أخرج</w:t>
      </w:r>
      <w:r w:rsidR="004E0ED0">
        <w:rPr>
          <w:rFonts w:ascii="Traditional Arabic" w:hAnsi="Traditional Arabic" w:hint="cs"/>
          <w:rtl/>
        </w:rPr>
        <w:t xml:space="preserve"> </w:t>
      </w:r>
      <w:r w:rsidRPr="009C5753">
        <w:rPr>
          <w:rFonts w:ascii="Traditional Arabic" w:hAnsi="Traditional Arabic" w:hint="eastAsia"/>
          <w:rtl/>
        </w:rPr>
        <w:t>منه</w:t>
      </w:r>
      <w:r w:rsidR="004E0ED0">
        <w:rPr>
          <w:rFonts w:ascii="Traditional Arabic" w:hAnsi="Traditional Arabic" w:hint="cs"/>
          <w:rtl/>
        </w:rPr>
        <w:t xml:space="preserve"> </w:t>
      </w:r>
      <w:r w:rsidRPr="009C5753">
        <w:rPr>
          <w:rFonts w:ascii="Traditional Arabic" w:hAnsi="Traditional Arabic" w:hint="eastAsia"/>
          <w:rtl/>
        </w:rPr>
        <w:t>شيء</w:t>
      </w:r>
      <w:r w:rsidR="004E0ED0">
        <w:rPr>
          <w:rFonts w:ascii="Traditional Arabic" w:hAnsi="Traditional Arabic" w:hint="cs"/>
          <w:rtl/>
        </w:rPr>
        <w:t xml:space="preserve"> </w:t>
      </w:r>
      <w:r w:rsidRPr="009C5753">
        <w:rPr>
          <w:rFonts w:ascii="Traditional Arabic" w:hAnsi="Traditional Arabic" w:hint="eastAsia"/>
          <w:rtl/>
        </w:rPr>
        <w:t>أم</w:t>
      </w:r>
      <w:r w:rsidR="004E0ED0">
        <w:rPr>
          <w:rFonts w:ascii="Traditional Arabic" w:hAnsi="Traditional Arabic" w:hint="cs"/>
          <w:rtl/>
        </w:rPr>
        <w:t xml:space="preserve"> </w:t>
      </w:r>
      <w:r w:rsidRPr="009C5753">
        <w:rPr>
          <w:rFonts w:ascii="Traditional Arabic" w:hAnsi="Traditional Arabic" w:hint="eastAsia"/>
          <w:rtl/>
        </w:rPr>
        <w:t>لا،</w:t>
      </w:r>
      <w:r>
        <w:rPr>
          <w:rtl/>
          <w:lang w:bidi="ar-DZ"/>
        </w:rPr>
        <w:tab/>
      </w:r>
      <w:r w:rsidR="00DF6CD7">
        <w:rPr>
          <w:rFonts w:hint="cs"/>
          <w:rtl/>
        </w:rPr>
        <w:t>132، 284</w:t>
      </w:r>
    </w:p>
    <w:p w:rsidR="000F705E" w:rsidRDefault="000F705E">
      <w:pPr>
        <w:pStyle w:val="Index1"/>
        <w:rPr>
          <w:rtl/>
        </w:rPr>
      </w:pPr>
      <w:r w:rsidRPr="009C5753">
        <w:rPr>
          <w:rFonts w:ascii="Traditional Arabic" w:hAnsi="Traditional Arabic" w:hint="eastAsia"/>
          <w:rtl/>
          <w:lang w:eastAsia="en-US"/>
        </w:rPr>
        <w:t>أعطاه</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النبي</w:t>
      </w:r>
      <w:r w:rsidR="004E0ED0">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4E0ED0">
        <w:rPr>
          <w:rFonts w:ascii="Traditional Arabic" w:hAnsi="Traditional Arabic" w:hint="cs"/>
          <w:rtl/>
          <w:lang w:eastAsia="en-US"/>
        </w:rPr>
        <w:t xml:space="preserve"> </w:t>
      </w:r>
      <w:r w:rsidRPr="009C5753">
        <w:rPr>
          <w:rFonts w:ascii="Traditional Arabic" w:hAnsi="Traditional Arabic" w:hint="eastAsia"/>
          <w:rtl/>
          <w:lang w:eastAsia="en-US"/>
        </w:rPr>
        <w:t>ديناراً</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يشتري</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له</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به</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شاةً،</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فاشترى</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له</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به</w:t>
      </w:r>
      <w:r w:rsidR="004E0ED0">
        <w:rPr>
          <w:rFonts w:ascii="Traditional Arabic" w:hAnsi="Traditional Arabic" w:hint="cs"/>
          <w:rtl/>
          <w:lang w:eastAsia="en-US"/>
        </w:rPr>
        <w:t xml:space="preserve"> </w:t>
      </w:r>
      <w:r w:rsidRPr="009C5753">
        <w:rPr>
          <w:rFonts w:ascii="Traditional Arabic" w:hAnsi="Traditional Arabic" w:hint="eastAsia"/>
          <w:rtl/>
          <w:lang w:eastAsia="en-US"/>
        </w:rPr>
        <w:t>شاتَيْن</w:t>
      </w:r>
      <w:r>
        <w:rPr>
          <w:rtl/>
          <w:lang w:bidi="ar-DZ"/>
        </w:rPr>
        <w:tab/>
      </w:r>
      <w:r w:rsidR="00DF6CD7">
        <w:rPr>
          <w:rFonts w:hint="cs"/>
          <w:rtl/>
        </w:rPr>
        <w:t>155</w:t>
      </w:r>
    </w:p>
    <w:p w:rsidR="000F705E" w:rsidRDefault="000F705E">
      <w:pPr>
        <w:pStyle w:val="Index1"/>
        <w:rPr>
          <w:rtl/>
        </w:rPr>
      </w:pPr>
      <w:r w:rsidRPr="009C5753">
        <w:rPr>
          <w:rFonts w:ascii="Traditional Arabic" w:hAnsi="Traditional Arabic" w:hint="eastAsia"/>
          <w:rtl/>
          <w:lang w:eastAsia="en-US"/>
        </w:rPr>
        <w:t>إن</w:t>
      </w:r>
      <w:r w:rsidR="002A0C79">
        <w:rPr>
          <w:rFonts w:ascii="Traditional Arabic" w:hAnsi="Traditional Arabic" w:hint="cs"/>
          <w:rtl/>
          <w:lang w:eastAsia="en-US"/>
        </w:rPr>
        <w:t xml:space="preserve"> </w:t>
      </w:r>
      <w:r w:rsidRPr="009C5753">
        <w:rPr>
          <w:rFonts w:ascii="Traditional Arabic" w:hAnsi="Traditional Arabic" w:hint="eastAsia"/>
          <w:rtl/>
          <w:lang w:eastAsia="en-US"/>
        </w:rPr>
        <w:t>أحق</w:t>
      </w:r>
      <w:r w:rsidR="002A0C79">
        <w:rPr>
          <w:rFonts w:ascii="Traditional Arabic" w:hAnsi="Traditional Arabic" w:hint="cs"/>
          <w:rtl/>
          <w:lang w:eastAsia="en-US"/>
        </w:rPr>
        <w:t xml:space="preserve"> </w:t>
      </w:r>
      <w:r w:rsidRPr="009C5753">
        <w:rPr>
          <w:rFonts w:ascii="Traditional Arabic" w:hAnsi="Traditional Arabic" w:hint="eastAsia"/>
          <w:rtl/>
          <w:lang w:eastAsia="en-US"/>
        </w:rPr>
        <w:t>ما</w:t>
      </w:r>
      <w:r w:rsidR="002A0C79">
        <w:rPr>
          <w:rFonts w:ascii="Traditional Arabic" w:hAnsi="Traditional Arabic" w:hint="cs"/>
          <w:rtl/>
          <w:lang w:eastAsia="en-US"/>
        </w:rPr>
        <w:t xml:space="preserve"> </w:t>
      </w:r>
      <w:r w:rsidRPr="009C5753">
        <w:rPr>
          <w:rFonts w:ascii="Traditional Arabic" w:hAnsi="Traditional Arabic" w:hint="eastAsia"/>
          <w:rtl/>
          <w:lang w:eastAsia="en-US"/>
        </w:rPr>
        <w:t>أخذتم</w:t>
      </w:r>
      <w:r w:rsidR="002A0C79">
        <w:rPr>
          <w:rFonts w:ascii="Traditional Arabic" w:hAnsi="Traditional Arabic" w:hint="cs"/>
          <w:rtl/>
          <w:lang w:eastAsia="en-US"/>
        </w:rPr>
        <w:t xml:space="preserve"> </w:t>
      </w:r>
      <w:r w:rsidRPr="009C5753">
        <w:rPr>
          <w:rFonts w:ascii="Traditional Arabic" w:hAnsi="Traditional Arabic" w:hint="eastAsia"/>
          <w:rtl/>
          <w:lang w:eastAsia="en-US"/>
        </w:rPr>
        <w:t>عليه</w:t>
      </w:r>
      <w:r w:rsidR="002A0C79">
        <w:rPr>
          <w:rFonts w:ascii="Traditional Arabic" w:hAnsi="Traditional Arabic" w:hint="cs"/>
          <w:rtl/>
          <w:lang w:eastAsia="en-US"/>
        </w:rPr>
        <w:t xml:space="preserve"> </w:t>
      </w:r>
      <w:r w:rsidRPr="009C5753">
        <w:rPr>
          <w:rFonts w:ascii="Traditional Arabic" w:hAnsi="Traditional Arabic" w:hint="eastAsia"/>
          <w:rtl/>
          <w:lang w:eastAsia="en-US"/>
        </w:rPr>
        <w:t>أجرا</w:t>
      </w:r>
      <w:r w:rsidR="002A0C79">
        <w:rPr>
          <w:rFonts w:ascii="Traditional Arabic" w:hAnsi="Traditional Arabic" w:hint="cs"/>
          <w:rtl/>
          <w:lang w:eastAsia="en-US"/>
        </w:rPr>
        <w:t xml:space="preserve"> </w:t>
      </w:r>
      <w:r w:rsidRPr="009C5753">
        <w:rPr>
          <w:rFonts w:ascii="Traditional Arabic" w:hAnsi="Traditional Arabic" w:hint="eastAsia"/>
          <w:rtl/>
          <w:lang w:eastAsia="en-US"/>
        </w:rPr>
        <w:t>كتاب</w:t>
      </w:r>
      <w:r w:rsidR="002A0C79">
        <w:rPr>
          <w:rFonts w:ascii="Traditional Arabic" w:hAnsi="Traditional Arabic" w:hint="cs"/>
          <w:rtl/>
          <w:lang w:eastAsia="en-US"/>
        </w:rPr>
        <w:t xml:space="preserve"> </w:t>
      </w:r>
      <w:r w:rsidR="00DF6CD7">
        <w:rPr>
          <w:rFonts w:ascii="Traditional Arabic" w:hAnsi="Traditional Arabic" w:hint="eastAsia"/>
          <w:rtl/>
          <w:lang w:eastAsia="en-US"/>
        </w:rPr>
        <w:t>الل</w:t>
      </w:r>
      <w:r w:rsidR="00DF6CD7">
        <w:rPr>
          <w:rFonts w:ascii="Traditional Arabic" w:hAnsi="Traditional Arabic" w:hint="cs"/>
          <w:rtl/>
          <w:lang w:eastAsia="en-US"/>
        </w:rPr>
        <w:t>ه</w:t>
      </w:r>
      <w:r w:rsidR="00DF6CD7">
        <w:rPr>
          <w:rFonts w:hint="cs"/>
          <w:rtl/>
        </w:rPr>
        <w:t>................................................569</w:t>
      </w:r>
    </w:p>
    <w:p w:rsidR="000F705E" w:rsidRDefault="000F705E">
      <w:pPr>
        <w:pStyle w:val="Index1"/>
        <w:rPr>
          <w:rtl/>
        </w:rPr>
      </w:pPr>
      <w:r w:rsidRPr="009C5753">
        <w:rPr>
          <w:rFonts w:ascii="Traditional Arabic" w:hAnsi="Traditional Arabic" w:hint="eastAsia"/>
          <w:rtl/>
        </w:rPr>
        <w:t>إن</w:t>
      </w:r>
      <w:r w:rsidR="0006641A">
        <w:rPr>
          <w:rFonts w:ascii="Traditional Arabic" w:hAnsi="Traditional Arabic" w:hint="cs"/>
          <w:rtl/>
        </w:rPr>
        <w:t xml:space="preserve"> </w:t>
      </w:r>
      <w:r w:rsidRPr="009C5753">
        <w:rPr>
          <w:rFonts w:ascii="Traditional Arabic" w:hAnsi="Traditional Arabic" w:hint="eastAsia"/>
          <w:rtl/>
        </w:rPr>
        <w:t>الحلال</w:t>
      </w:r>
      <w:r w:rsidR="0006641A">
        <w:rPr>
          <w:rFonts w:ascii="Traditional Arabic" w:hAnsi="Traditional Arabic" w:hint="cs"/>
          <w:rtl/>
        </w:rPr>
        <w:t xml:space="preserve"> </w:t>
      </w:r>
      <w:r w:rsidRPr="009C5753">
        <w:rPr>
          <w:rFonts w:ascii="Traditional Arabic" w:hAnsi="Traditional Arabic" w:hint="eastAsia"/>
          <w:rtl/>
        </w:rPr>
        <w:t>بيِّن</w:t>
      </w:r>
      <w:r w:rsidR="0006641A">
        <w:rPr>
          <w:rFonts w:ascii="Traditional Arabic" w:hAnsi="Traditional Arabic" w:hint="cs"/>
          <w:rtl/>
        </w:rPr>
        <w:t xml:space="preserve"> </w:t>
      </w:r>
      <w:r w:rsidRPr="009C5753">
        <w:rPr>
          <w:rFonts w:ascii="Traditional Arabic" w:hAnsi="Traditional Arabic" w:hint="eastAsia"/>
          <w:rtl/>
        </w:rPr>
        <w:t>وإن</w:t>
      </w:r>
      <w:r w:rsidR="0006641A">
        <w:rPr>
          <w:rFonts w:ascii="Traditional Arabic" w:hAnsi="Traditional Arabic" w:hint="cs"/>
          <w:rtl/>
        </w:rPr>
        <w:t xml:space="preserve"> </w:t>
      </w:r>
      <w:r w:rsidRPr="009C5753">
        <w:rPr>
          <w:rFonts w:ascii="Traditional Arabic" w:hAnsi="Traditional Arabic" w:hint="eastAsia"/>
          <w:rtl/>
        </w:rPr>
        <w:t>الحرام</w:t>
      </w:r>
      <w:r w:rsidR="0006641A">
        <w:rPr>
          <w:rFonts w:ascii="Traditional Arabic" w:hAnsi="Traditional Arabic" w:hint="cs"/>
          <w:rtl/>
        </w:rPr>
        <w:t xml:space="preserve"> </w:t>
      </w:r>
      <w:r w:rsidRPr="009C5753">
        <w:rPr>
          <w:rFonts w:ascii="Traditional Arabic" w:hAnsi="Traditional Arabic" w:hint="eastAsia"/>
          <w:rtl/>
        </w:rPr>
        <w:t>بيِّن،</w:t>
      </w:r>
      <w:r w:rsidR="00DF6CD7">
        <w:rPr>
          <w:rtl/>
          <w:lang w:bidi="ar-DZ"/>
        </w:rPr>
        <w:tab/>
      </w:r>
      <w:r w:rsidR="00DF6CD7">
        <w:rPr>
          <w:rFonts w:hint="cs"/>
          <w:rtl/>
        </w:rPr>
        <w:t>126</w:t>
      </w:r>
      <w:r>
        <w:rPr>
          <w:rFonts w:hint="eastAsia"/>
          <w:rtl/>
          <w:lang w:bidi="ar-DZ"/>
        </w:rPr>
        <w:t>،</w:t>
      </w:r>
      <w:r w:rsidR="00DF6CD7">
        <w:rPr>
          <w:rFonts w:hint="cs"/>
          <w:rtl/>
        </w:rPr>
        <w:t>187</w:t>
      </w:r>
      <w:r>
        <w:rPr>
          <w:rFonts w:hint="eastAsia"/>
          <w:rtl/>
          <w:lang w:bidi="ar-DZ"/>
        </w:rPr>
        <w:t>،</w:t>
      </w:r>
      <w:r w:rsidR="00DF6CD7">
        <w:rPr>
          <w:rFonts w:hint="cs"/>
          <w:rtl/>
        </w:rPr>
        <w:t xml:space="preserve">454 </w:t>
      </w:r>
    </w:p>
    <w:p w:rsidR="000F705E" w:rsidRDefault="000F705E" w:rsidP="00DF6CD7">
      <w:pPr>
        <w:pStyle w:val="Index1"/>
        <w:rPr>
          <w:rtl/>
        </w:rPr>
      </w:pPr>
      <w:r w:rsidRPr="009C5753">
        <w:rPr>
          <w:rFonts w:ascii="Traditional Arabic" w:hAnsi="Traditional Arabic" w:hint="eastAsia"/>
          <w:rtl/>
        </w:rPr>
        <w:t>إِنَّ</w:t>
      </w:r>
      <w:r w:rsidR="0006641A">
        <w:rPr>
          <w:rFonts w:ascii="Traditional Arabic" w:hAnsi="Traditional Arabic" w:hint="cs"/>
          <w:rtl/>
        </w:rPr>
        <w:t xml:space="preserve"> </w:t>
      </w:r>
      <w:r w:rsidRPr="009C5753">
        <w:rPr>
          <w:rFonts w:ascii="Traditional Arabic" w:hAnsi="Traditional Arabic" w:hint="eastAsia"/>
          <w:rtl/>
        </w:rPr>
        <w:t>الدِّينَ</w:t>
      </w:r>
      <w:r w:rsidR="0006641A">
        <w:rPr>
          <w:rFonts w:ascii="Traditional Arabic" w:hAnsi="Traditional Arabic" w:hint="cs"/>
          <w:rtl/>
        </w:rPr>
        <w:t xml:space="preserve"> </w:t>
      </w:r>
      <w:r w:rsidRPr="009C5753">
        <w:rPr>
          <w:rFonts w:ascii="Traditional Arabic" w:hAnsi="Traditional Arabic" w:hint="eastAsia"/>
          <w:rtl/>
        </w:rPr>
        <w:t>يُسْرٌ</w:t>
      </w:r>
      <w:r w:rsidR="0006641A">
        <w:rPr>
          <w:rFonts w:ascii="Traditional Arabic" w:hAnsi="Traditional Arabic" w:hint="cs"/>
          <w:rtl/>
        </w:rPr>
        <w:t xml:space="preserve"> </w:t>
      </w:r>
      <w:r w:rsidRPr="009C5753">
        <w:rPr>
          <w:rFonts w:ascii="Traditional Arabic" w:hAnsi="Traditional Arabic" w:hint="eastAsia"/>
          <w:rtl/>
        </w:rPr>
        <w:t>وَلَنْ</w:t>
      </w:r>
      <w:r w:rsidR="0006641A">
        <w:rPr>
          <w:rFonts w:ascii="Traditional Arabic" w:hAnsi="Traditional Arabic" w:hint="cs"/>
          <w:rtl/>
        </w:rPr>
        <w:t xml:space="preserve"> </w:t>
      </w:r>
      <w:r w:rsidRPr="009C5753">
        <w:rPr>
          <w:rFonts w:ascii="Traditional Arabic" w:hAnsi="Traditional Arabic" w:hint="eastAsia"/>
          <w:rtl/>
        </w:rPr>
        <w:t>يُشَادَّ</w:t>
      </w:r>
      <w:r w:rsidR="0006641A">
        <w:rPr>
          <w:rFonts w:ascii="Traditional Arabic" w:hAnsi="Traditional Arabic" w:hint="cs"/>
          <w:rtl/>
        </w:rPr>
        <w:t xml:space="preserve"> </w:t>
      </w:r>
      <w:r w:rsidRPr="009C5753">
        <w:rPr>
          <w:rFonts w:ascii="Traditional Arabic" w:hAnsi="Traditional Arabic" w:hint="eastAsia"/>
          <w:rtl/>
        </w:rPr>
        <w:t>الدِّينَ</w:t>
      </w:r>
      <w:r w:rsidR="0006641A">
        <w:rPr>
          <w:rFonts w:ascii="Traditional Arabic" w:hAnsi="Traditional Arabic" w:hint="cs"/>
          <w:rtl/>
        </w:rPr>
        <w:t xml:space="preserve"> </w:t>
      </w:r>
      <w:r w:rsidRPr="009C5753">
        <w:rPr>
          <w:rFonts w:ascii="Traditional Arabic" w:hAnsi="Traditional Arabic" w:hint="eastAsia"/>
          <w:rtl/>
        </w:rPr>
        <w:t>أَحَدٌ</w:t>
      </w:r>
      <w:r w:rsidR="0006641A">
        <w:rPr>
          <w:rFonts w:ascii="Traditional Arabic" w:hAnsi="Traditional Arabic" w:hint="cs"/>
          <w:rtl/>
        </w:rPr>
        <w:t xml:space="preserve"> </w:t>
      </w:r>
      <w:r w:rsidRPr="009C5753">
        <w:rPr>
          <w:rFonts w:ascii="Traditional Arabic" w:hAnsi="Traditional Arabic" w:hint="eastAsia"/>
          <w:rtl/>
        </w:rPr>
        <w:t>إِلاَّ</w:t>
      </w:r>
      <w:r w:rsidR="0006641A">
        <w:rPr>
          <w:rFonts w:ascii="Traditional Arabic" w:hAnsi="Traditional Arabic" w:hint="cs"/>
          <w:rtl/>
        </w:rPr>
        <w:t xml:space="preserve"> </w:t>
      </w:r>
      <w:r w:rsidRPr="009C5753">
        <w:rPr>
          <w:rFonts w:ascii="Traditional Arabic" w:hAnsi="Traditional Arabic" w:hint="eastAsia"/>
          <w:rtl/>
        </w:rPr>
        <w:t>غَلَبَهُ</w:t>
      </w:r>
      <w:r>
        <w:rPr>
          <w:rtl/>
          <w:lang w:bidi="ar-DZ"/>
        </w:rPr>
        <w:tab/>
      </w:r>
      <w:r w:rsidR="00DF6CD7">
        <w:rPr>
          <w:rFonts w:hint="cs"/>
          <w:rtl/>
        </w:rPr>
        <w:t>501</w:t>
      </w:r>
    </w:p>
    <w:p w:rsidR="000F705E" w:rsidRDefault="000F705E">
      <w:pPr>
        <w:pStyle w:val="Index1"/>
        <w:rPr>
          <w:rtl/>
        </w:rPr>
      </w:pPr>
      <w:r w:rsidRPr="009C5753">
        <w:rPr>
          <w:rFonts w:ascii="Traditional Arabic" w:hAnsi="Traditional Arabic" w:hint="eastAsia"/>
          <w:rtl/>
          <w:lang w:eastAsia="en-US"/>
        </w:rPr>
        <w:t>إن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بني</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هشام</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بن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المغيرة</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استأْذَنوني</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في</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أن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يُنْكِحوا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ابنَتَهم</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عليَّ</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بن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أبي</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طالب</w:t>
      </w:r>
      <w:r w:rsidR="003840B8">
        <w:rPr>
          <w:rFonts w:ascii="Traditional Arabic" w:hAnsi="Traditional Arabic" w:hint="cs"/>
          <w:rtl/>
          <w:lang w:eastAsia="en-US"/>
        </w:rPr>
        <w:t>................</w:t>
      </w:r>
      <w:r w:rsidR="003840B8">
        <w:rPr>
          <w:rtl/>
          <w:lang w:bidi="ar-DZ"/>
        </w:rPr>
        <w:t>1</w:t>
      </w:r>
      <w:r w:rsidR="003840B8">
        <w:rPr>
          <w:rFonts w:hint="cs"/>
          <w:rtl/>
        </w:rPr>
        <w:t>50</w:t>
      </w:r>
    </w:p>
    <w:p w:rsidR="000F705E" w:rsidRDefault="000F705E">
      <w:pPr>
        <w:pStyle w:val="Index1"/>
        <w:rPr>
          <w:rtl/>
        </w:rPr>
      </w:pPr>
      <w:r w:rsidRPr="009C5753">
        <w:rPr>
          <w:rFonts w:ascii="Traditional Arabic" w:hAnsi="Traditional Arabic" w:hint="eastAsia"/>
          <w:rtl/>
          <w:lang w:eastAsia="en-US"/>
        </w:rPr>
        <w:t>إن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خِيار</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الناس</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أحسنُهم</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قضاءً</w:t>
      </w:r>
      <w:r w:rsidR="003840B8">
        <w:rPr>
          <w:rFonts w:ascii="Traditional Arabic" w:hAnsi="Traditional Arabic" w:hint="cs"/>
          <w:rtl/>
          <w:lang w:eastAsia="en-US"/>
        </w:rPr>
        <w:t>................................................</w:t>
      </w:r>
      <w:r w:rsidR="003840B8">
        <w:rPr>
          <w:rFonts w:hint="cs"/>
          <w:rtl/>
        </w:rPr>
        <w:t>152، 547</w:t>
      </w:r>
    </w:p>
    <w:p w:rsidR="00CD5467" w:rsidRPr="00CD5467" w:rsidRDefault="00CD5467" w:rsidP="00CD5467">
      <w:pPr>
        <w:ind w:firstLine="0"/>
        <w:rPr>
          <w:rtl/>
        </w:rPr>
      </w:pPr>
      <w:r>
        <w:rPr>
          <w:rFonts w:hint="cs"/>
          <w:rtl/>
        </w:rPr>
        <w:t>إن الله ورسوله حرم بيع الخمر والميتة والخنزير والأصنام.............................</w:t>
      </w:r>
      <w:r w:rsidR="00C40ACF">
        <w:rPr>
          <w:rFonts w:hint="cs"/>
          <w:rtl/>
        </w:rPr>
        <w:t>......212</w:t>
      </w:r>
    </w:p>
    <w:p w:rsidR="000F705E" w:rsidRDefault="000F705E">
      <w:pPr>
        <w:pStyle w:val="Index1"/>
        <w:rPr>
          <w:rtl/>
          <w:lang w:bidi="ar-DZ"/>
        </w:rPr>
      </w:pPr>
      <w:r w:rsidRPr="009C5753">
        <w:rPr>
          <w:rFonts w:ascii="Traditional Arabic" w:hAnsi="Traditional Arabic" w:hint="eastAsia"/>
          <w:rtl/>
        </w:rPr>
        <w:t>إنما</w:t>
      </w:r>
      <w:r w:rsidR="0006641A">
        <w:rPr>
          <w:rFonts w:ascii="Traditional Arabic" w:hAnsi="Traditional Arabic" w:hint="cs"/>
          <w:rtl/>
        </w:rPr>
        <w:t xml:space="preserve"> </w:t>
      </w:r>
      <w:r w:rsidRPr="009C5753">
        <w:rPr>
          <w:rFonts w:ascii="Traditional Arabic" w:hAnsi="Traditional Arabic" w:hint="eastAsia"/>
          <w:rtl/>
        </w:rPr>
        <w:t>الأعمال</w:t>
      </w:r>
      <w:r w:rsidR="0006641A">
        <w:rPr>
          <w:rFonts w:ascii="Traditional Arabic" w:hAnsi="Traditional Arabic" w:hint="cs"/>
          <w:rtl/>
        </w:rPr>
        <w:t xml:space="preserve"> </w:t>
      </w:r>
      <w:r w:rsidRPr="009C5753">
        <w:rPr>
          <w:rFonts w:ascii="Traditional Arabic" w:hAnsi="Traditional Arabic" w:hint="eastAsia"/>
          <w:rtl/>
        </w:rPr>
        <w:t>بالنيَّات</w:t>
      </w:r>
      <w:r w:rsidR="0006641A">
        <w:rPr>
          <w:rFonts w:ascii="Traditional Arabic" w:hAnsi="Traditional Arabic" w:hint="cs"/>
          <w:rtl/>
        </w:rPr>
        <w:t xml:space="preserve"> </w:t>
      </w:r>
      <w:r w:rsidRPr="009C5753">
        <w:rPr>
          <w:rFonts w:ascii="Traditional Arabic" w:hAnsi="Traditional Arabic" w:hint="eastAsia"/>
          <w:rtl/>
        </w:rPr>
        <w:t>وإنما</w:t>
      </w:r>
      <w:r w:rsidR="0006641A">
        <w:rPr>
          <w:rFonts w:ascii="Traditional Arabic" w:hAnsi="Traditional Arabic" w:hint="cs"/>
          <w:rtl/>
        </w:rPr>
        <w:t xml:space="preserve"> </w:t>
      </w:r>
      <w:r w:rsidRPr="009C5753">
        <w:rPr>
          <w:rFonts w:ascii="Traditional Arabic" w:hAnsi="Traditional Arabic" w:hint="eastAsia"/>
          <w:rtl/>
        </w:rPr>
        <w:t>لِكُلِّ</w:t>
      </w:r>
      <w:r w:rsidR="0006641A">
        <w:rPr>
          <w:rFonts w:ascii="Traditional Arabic" w:hAnsi="Traditional Arabic" w:hint="cs"/>
          <w:rtl/>
        </w:rPr>
        <w:t xml:space="preserve"> </w:t>
      </w:r>
      <w:r w:rsidRPr="009C5753">
        <w:rPr>
          <w:rFonts w:ascii="Traditional Arabic" w:hAnsi="Traditional Arabic" w:hint="eastAsia"/>
          <w:rtl/>
        </w:rPr>
        <w:t>امرئٍ</w:t>
      </w:r>
      <w:r w:rsidR="0006641A">
        <w:rPr>
          <w:rFonts w:ascii="Traditional Arabic" w:hAnsi="Traditional Arabic" w:hint="cs"/>
          <w:rtl/>
        </w:rPr>
        <w:t xml:space="preserve"> </w:t>
      </w:r>
      <w:r w:rsidRPr="009C5753">
        <w:rPr>
          <w:rFonts w:ascii="Traditional Arabic" w:hAnsi="Traditional Arabic" w:hint="eastAsia"/>
          <w:rtl/>
        </w:rPr>
        <w:t>ما</w:t>
      </w:r>
      <w:r w:rsidR="0006641A">
        <w:rPr>
          <w:rFonts w:ascii="Traditional Arabic" w:hAnsi="Traditional Arabic" w:hint="cs"/>
          <w:rtl/>
        </w:rPr>
        <w:t xml:space="preserve"> </w:t>
      </w:r>
      <w:r w:rsidR="00AD64C2">
        <w:rPr>
          <w:rFonts w:ascii="Traditional Arabic" w:hAnsi="Traditional Arabic" w:hint="eastAsia"/>
          <w:rtl/>
        </w:rPr>
        <w:t>نوى</w:t>
      </w:r>
      <w:r w:rsidR="00AD64C2">
        <w:rPr>
          <w:rFonts w:ascii="Traditional Arabic" w:hAnsi="Traditional Arabic" w:hint="cs"/>
          <w:rtl/>
        </w:rPr>
        <w:t>...............167، 199، 202، 203، 228</w:t>
      </w:r>
    </w:p>
    <w:p w:rsidR="000F705E" w:rsidRDefault="000F705E">
      <w:pPr>
        <w:pStyle w:val="Index1"/>
        <w:rPr>
          <w:rtl/>
        </w:rPr>
      </w:pPr>
      <w:r w:rsidRPr="009C5753">
        <w:rPr>
          <w:rFonts w:ascii="Traditional Arabic" w:hAnsi="Traditional Arabic" w:hint="eastAsia"/>
          <w:rtl/>
          <w:lang w:eastAsia="en-US"/>
        </w:rPr>
        <w:t>إنما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هذه</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رَكْضَةٌ</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من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رَكَضات</w:t>
      </w:r>
      <w:r w:rsidR="0006641A">
        <w:rPr>
          <w:rFonts w:ascii="Traditional Arabic" w:hAnsi="Traditional Arabic" w:hint="cs"/>
          <w:rtl/>
          <w:lang w:eastAsia="en-US"/>
        </w:rPr>
        <w:t xml:space="preserve"> </w:t>
      </w:r>
      <w:r w:rsidR="00AD64C2">
        <w:rPr>
          <w:rFonts w:ascii="Traditional Arabic" w:hAnsi="Traditional Arabic" w:hint="eastAsia"/>
          <w:rtl/>
          <w:lang w:eastAsia="en-US"/>
        </w:rPr>
        <w:t>ال</w:t>
      </w:r>
      <w:r w:rsidR="00AD64C2">
        <w:rPr>
          <w:rFonts w:ascii="Traditional Arabic" w:hAnsi="Traditional Arabic" w:hint="cs"/>
          <w:rtl/>
          <w:lang w:eastAsia="en-US"/>
        </w:rPr>
        <w:t>شي</w:t>
      </w:r>
      <w:r w:rsidR="00AD64C2">
        <w:rPr>
          <w:rFonts w:ascii="Traditional Arabic" w:hAnsi="Traditional Arabic" w:hint="eastAsia"/>
          <w:rtl/>
          <w:lang w:eastAsia="en-US"/>
        </w:rPr>
        <w:t>ط</w:t>
      </w:r>
      <w:r w:rsidR="00AD64C2">
        <w:rPr>
          <w:rFonts w:ascii="Traditional Arabic" w:hAnsi="Traditional Arabic" w:hint="cs"/>
          <w:rtl/>
          <w:lang w:eastAsia="en-US"/>
        </w:rPr>
        <w:t>ان...........................................</w:t>
      </w:r>
      <w:r w:rsidR="00AD64C2">
        <w:rPr>
          <w:rFonts w:hint="cs"/>
          <w:rtl/>
          <w:lang w:bidi="ar-DZ"/>
        </w:rPr>
        <w:t>133، 336</w:t>
      </w:r>
    </w:p>
    <w:p w:rsidR="000F705E" w:rsidRDefault="000F705E" w:rsidP="00AD64C2">
      <w:pPr>
        <w:pStyle w:val="Index1"/>
        <w:rPr>
          <w:rtl/>
        </w:rPr>
      </w:pPr>
      <w:r w:rsidRPr="009C5753">
        <w:rPr>
          <w:rFonts w:ascii="Traditional Arabic" w:hAnsi="Traditional Arabic" w:hint="eastAsia"/>
          <w:rtl/>
        </w:rPr>
        <w:t>إنما</w:t>
      </w:r>
      <w:r w:rsidR="0006641A">
        <w:rPr>
          <w:rFonts w:ascii="Traditional Arabic" w:hAnsi="Traditional Arabic" w:hint="cs"/>
          <w:rtl/>
        </w:rPr>
        <w:t xml:space="preserve"> </w:t>
      </w:r>
      <w:r w:rsidRPr="009C5753">
        <w:rPr>
          <w:rFonts w:ascii="Traditional Arabic" w:hAnsi="Traditional Arabic" w:hint="eastAsia"/>
          <w:rtl/>
        </w:rPr>
        <w:t>هي</w:t>
      </w:r>
      <w:r w:rsidR="0006641A">
        <w:rPr>
          <w:rFonts w:ascii="Traditional Arabic" w:hAnsi="Traditional Arabic" w:hint="cs"/>
          <w:rtl/>
        </w:rPr>
        <w:t xml:space="preserve"> </w:t>
      </w:r>
      <w:r w:rsidRPr="009C5753">
        <w:rPr>
          <w:rFonts w:ascii="Traditional Arabic" w:hAnsi="Traditional Arabic" w:hint="eastAsia"/>
          <w:rtl/>
        </w:rPr>
        <w:t>طُعْمَةٌ</w:t>
      </w:r>
      <w:r w:rsidR="0006641A">
        <w:rPr>
          <w:rFonts w:ascii="Traditional Arabic" w:hAnsi="Traditional Arabic" w:hint="cs"/>
          <w:rtl/>
        </w:rPr>
        <w:t xml:space="preserve"> </w:t>
      </w:r>
      <w:r w:rsidRPr="009C5753">
        <w:rPr>
          <w:rFonts w:ascii="Traditional Arabic" w:hAnsi="Traditional Arabic" w:hint="eastAsia"/>
          <w:rtl/>
        </w:rPr>
        <w:t>أَطْعَمَكُموها</w:t>
      </w:r>
      <w:r w:rsidR="0006641A">
        <w:rPr>
          <w:rFonts w:ascii="Traditional Arabic" w:hAnsi="Traditional Arabic" w:hint="cs"/>
          <w:rtl/>
        </w:rPr>
        <w:t xml:space="preserve"> </w:t>
      </w:r>
      <w:r w:rsidRPr="009C5753">
        <w:rPr>
          <w:rFonts w:ascii="Traditional Arabic" w:hAnsi="Traditional Arabic" w:hint="eastAsia"/>
          <w:rtl/>
        </w:rPr>
        <w:t>الله</w:t>
      </w:r>
      <w:r>
        <w:rPr>
          <w:rtl/>
          <w:lang w:bidi="ar-DZ"/>
        </w:rPr>
        <w:tab/>
      </w:r>
      <w:r w:rsidR="00AD64C2">
        <w:rPr>
          <w:rFonts w:hint="cs"/>
          <w:rtl/>
        </w:rPr>
        <w:t>270</w:t>
      </w:r>
    </w:p>
    <w:p w:rsidR="000F705E" w:rsidRDefault="000F705E">
      <w:pPr>
        <w:pStyle w:val="Index1"/>
        <w:rPr>
          <w:rtl/>
          <w:lang w:bidi="ar-DZ"/>
        </w:rPr>
      </w:pPr>
      <w:r w:rsidRPr="009C5753">
        <w:rPr>
          <w:rFonts w:ascii="Traditional Arabic" w:hAnsi="Traditional Arabic" w:hint="eastAsia"/>
          <w:rtl/>
          <w:lang w:eastAsia="en-US"/>
        </w:rPr>
        <w:t>أَهْدَتْ</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بعضُ</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أزواج</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النبي</w:t>
      </w:r>
      <w:r w:rsidR="00AD64C2">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06641A">
        <w:rPr>
          <w:rFonts w:ascii="Traditional Arabic" w:hAnsi="Traditional Arabic" w:hint="cs"/>
          <w:rtl/>
          <w:lang w:eastAsia="en-US"/>
        </w:rPr>
        <w:t xml:space="preserve"> </w:t>
      </w:r>
      <w:r w:rsidRPr="009C5753">
        <w:rPr>
          <w:rFonts w:ascii="Traditional Arabic" w:hAnsi="Traditional Arabic" w:hint="eastAsia"/>
          <w:rtl/>
          <w:lang w:eastAsia="en-US"/>
        </w:rPr>
        <w:t>إلى</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النبي</w:t>
      </w:r>
      <w:r w:rsidR="00AD64C2">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06641A">
        <w:rPr>
          <w:rFonts w:ascii="Traditional Arabic" w:hAnsi="Traditional Arabic" w:hint="cs"/>
          <w:rtl/>
          <w:lang w:eastAsia="en-US"/>
        </w:rPr>
        <w:t xml:space="preserve"> </w:t>
      </w:r>
      <w:r w:rsidRPr="009C5753">
        <w:rPr>
          <w:rFonts w:ascii="Traditional Arabic" w:hAnsi="Traditional Arabic" w:hint="eastAsia"/>
          <w:rtl/>
          <w:lang w:eastAsia="en-US"/>
        </w:rPr>
        <w:t>طعاماً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في</w:t>
      </w:r>
      <w:r w:rsidR="0006641A">
        <w:rPr>
          <w:rFonts w:ascii="Traditional Arabic" w:hAnsi="Traditional Arabic" w:hint="cs"/>
          <w:rtl/>
          <w:lang w:eastAsia="en-US"/>
        </w:rPr>
        <w:t xml:space="preserve"> </w:t>
      </w:r>
      <w:r w:rsidR="00AD64C2">
        <w:rPr>
          <w:rFonts w:ascii="Traditional Arabic" w:hAnsi="Traditional Arabic" w:hint="eastAsia"/>
          <w:rtl/>
          <w:lang w:eastAsia="en-US"/>
        </w:rPr>
        <w:t>قَصْعَة</w:t>
      </w:r>
      <w:r w:rsidR="00AD64C2">
        <w:rPr>
          <w:rFonts w:ascii="Traditional Arabic" w:hAnsi="Traditional Arabic" w:hint="cs"/>
          <w:rtl/>
          <w:lang w:eastAsia="en-US"/>
        </w:rPr>
        <w:t>........................358، 546</w:t>
      </w:r>
    </w:p>
    <w:p w:rsidR="000F705E" w:rsidRDefault="000F705E" w:rsidP="00AD64C2">
      <w:pPr>
        <w:pStyle w:val="Index1"/>
        <w:rPr>
          <w:rtl/>
        </w:rPr>
      </w:pPr>
      <w:r w:rsidRPr="009C5753">
        <w:rPr>
          <w:rFonts w:ascii="Traditional Arabic" w:hAnsi="Traditional Arabic" w:hint="eastAsia"/>
          <w:rtl/>
          <w:lang w:eastAsia="en-US"/>
        </w:rPr>
        <w:lastRenderedPageBreak/>
        <w:t>أيما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امرأة</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نكحت</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بغير</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إذن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وليها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فنكاحها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باطل</w:t>
      </w:r>
      <w:r>
        <w:rPr>
          <w:rtl/>
          <w:lang w:bidi="ar-DZ"/>
        </w:rPr>
        <w:tab/>
      </w:r>
      <w:r w:rsidR="00AD64C2">
        <w:rPr>
          <w:rFonts w:hint="cs"/>
          <w:rtl/>
          <w:lang w:bidi="ar-DZ"/>
        </w:rPr>
        <w:t>507</w:t>
      </w:r>
    </w:p>
    <w:p w:rsidR="00A74341" w:rsidRPr="00A74341" w:rsidRDefault="00A74341" w:rsidP="00A74341">
      <w:pPr>
        <w:pStyle w:val="Index1"/>
        <w:rPr>
          <w:rtl/>
        </w:rPr>
      </w:pPr>
      <w:r>
        <w:rPr>
          <w:rFonts w:hint="eastAsia"/>
          <w:rtl/>
        </w:rPr>
        <w:t>البينة</w:t>
      </w:r>
      <w:r>
        <w:rPr>
          <w:rFonts w:hint="cs"/>
          <w:rtl/>
        </w:rPr>
        <w:t xml:space="preserve"> </w:t>
      </w:r>
      <w:r>
        <w:rPr>
          <w:rFonts w:hint="eastAsia"/>
          <w:rtl/>
        </w:rPr>
        <w:t>على</w:t>
      </w:r>
      <w:r>
        <w:rPr>
          <w:rFonts w:hint="cs"/>
          <w:rtl/>
        </w:rPr>
        <w:t xml:space="preserve"> </w:t>
      </w:r>
      <w:r>
        <w:rPr>
          <w:rFonts w:hint="eastAsia"/>
          <w:rtl/>
        </w:rPr>
        <w:t>المدعي</w:t>
      </w:r>
      <w:r>
        <w:rPr>
          <w:rFonts w:hint="cs"/>
          <w:rtl/>
        </w:rPr>
        <w:t xml:space="preserve"> </w:t>
      </w:r>
      <w:r>
        <w:rPr>
          <w:rFonts w:hint="eastAsia"/>
          <w:rtl/>
        </w:rPr>
        <w:t>واليمين</w:t>
      </w:r>
      <w:r>
        <w:rPr>
          <w:rFonts w:hint="cs"/>
          <w:rtl/>
        </w:rPr>
        <w:t xml:space="preserve"> </w:t>
      </w:r>
      <w:r>
        <w:rPr>
          <w:rFonts w:hint="eastAsia"/>
          <w:rtl/>
        </w:rPr>
        <w:t>على</w:t>
      </w:r>
      <w:r>
        <w:rPr>
          <w:rFonts w:hint="cs"/>
          <w:rtl/>
        </w:rPr>
        <w:t xml:space="preserve"> </w:t>
      </w:r>
      <w:r>
        <w:rPr>
          <w:rFonts w:hint="eastAsia"/>
          <w:rtl/>
        </w:rPr>
        <w:t>من</w:t>
      </w:r>
      <w:r>
        <w:rPr>
          <w:rFonts w:hint="cs"/>
          <w:rtl/>
        </w:rPr>
        <w:t xml:space="preserve"> </w:t>
      </w:r>
      <w:r>
        <w:rPr>
          <w:rFonts w:hint="eastAsia"/>
          <w:rtl/>
        </w:rPr>
        <w:t>أنكر</w:t>
      </w:r>
      <w:r>
        <w:rPr>
          <w:rtl/>
          <w:lang w:bidi="ar-DZ"/>
        </w:rPr>
        <w:tab/>
      </w:r>
      <w:r>
        <w:rPr>
          <w:rFonts w:hint="cs"/>
          <w:rtl/>
        </w:rPr>
        <w:t>428</w:t>
      </w:r>
    </w:p>
    <w:p w:rsidR="000F705E" w:rsidRDefault="000F705E">
      <w:pPr>
        <w:pStyle w:val="Index1"/>
        <w:rPr>
          <w:rtl/>
          <w:lang w:bidi="ar-DZ"/>
        </w:rPr>
      </w:pPr>
      <w:r w:rsidRPr="009C5753">
        <w:rPr>
          <w:rFonts w:ascii="Traditional Arabic" w:hAnsi="Traditional Arabic" w:hint="eastAsia"/>
          <w:rtl/>
          <w:lang w:eastAsia="en-US"/>
        </w:rPr>
        <w:t>جاء</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رجل</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إلى</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رسول</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الله</w:t>
      </w:r>
      <w:r w:rsidR="0006641A">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06641A">
        <w:rPr>
          <w:rFonts w:ascii="Traditional Arabic" w:hAnsi="Traditional Arabic" w:hint="cs"/>
          <w:rtl/>
          <w:lang w:eastAsia="en-US"/>
        </w:rPr>
        <w:t xml:space="preserve"> </w:t>
      </w:r>
      <w:r w:rsidRPr="009C5753">
        <w:rPr>
          <w:rFonts w:ascii="Traditional Arabic" w:hAnsi="Traditional Arabic" w:hint="eastAsia"/>
          <w:rtl/>
          <w:lang w:eastAsia="en-US"/>
        </w:rPr>
        <w:t>فقال</w:t>
      </w:r>
      <w:r w:rsidRPr="009C5753">
        <w:rPr>
          <w:rFonts w:ascii="Traditional Arabic" w:hAnsi="Traditional Arabic"/>
          <w:rtl/>
          <w:lang w:eastAsia="en-US"/>
        </w:rPr>
        <w:t xml:space="preserve">: </w:t>
      </w:r>
      <w:r w:rsidRPr="009C5753">
        <w:rPr>
          <w:rFonts w:ascii="Traditional Arabic" w:hAnsi="Traditional Arabic" w:hint="eastAsia"/>
          <w:rtl/>
          <w:lang w:eastAsia="en-US"/>
        </w:rPr>
        <w:t>يا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رسول</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الله</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أرأيتَ</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إن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جاء</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رجل</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يريد</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أَخْذ</w:t>
      </w:r>
      <w:r w:rsidR="0006641A">
        <w:rPr>
          <w:rFonts w:ascii="Traditional Arabic" w:hAnsi="Traditional Arabic" w:hint="cs"/>
          <w:rtl/>
          <w:lang w:eastAsia="en-US"/>
        </w:rPr>
        <w:t xml:space="preserve"> </w:t>
      </w:r>
      <w:r w:rsidR="00A63D3A">
        <w:rPr>
          <w:rFonts w:ascii="Traditional Arabic" w:hAnsi="Traditional Arabic" w:hint="eastAsia"/>
          <w:rtl/>
          <w:lang w:eastAsia="en-US"/>
        </w:rPr>
        <w:t>مالي</w:t>
      </w:r>
      <w:r w:rsidR="00A63D3A">
        <w:rPr>
          <w:rFonts w:ascii="Traditional Arabic" w:hAnsi="Traditional Arabic" w:hint="cs"/>
          <w:rtl/>
          <w:lang w:eastAsia="en-US"/>
        </w:rPr>
        <w:t>؟260، 364</w:t>
      </w:r>
    </w:p>
    <w:p w:rsidR="00186935" w:rsidRPr="00186935" w:rsidRDefault="00186935" w:rsidP="00186935">
      <w:pPr>
        <w:ind w:firstLine="0"/>
        <w:rPr>
          <w:rtl/>
        </w:rPr>
      </w:pPr>
      <w:r>
        <w:rPr>
          <w:rFonts w:hint="cs"/>
          <w:rtl/>
        </w:rPr>
        <w:t>حديث جابر في حجة النبي صلى الله عليه وسلم.......................................393</w:t>
      </w:r>
    </w:p>
    <w:p w:rsidR="000F705E" w:rsidRDefault="000F705E">
      <w:pPr>
        <w:pStyle w:val="Index1"/>
        <w:rPr>
          <w:rtl/>
        </w:rPr>
      </w:pPr>
      <w:r w:rsidRPr="009C5753">
        <w:rPr>
          <w:rFonts w:ascii="Traditional Arabic" w:hAnsi="Traditional Arabic" w:hint="eastAsia"/>
          <w:rtl/>
          <w:lang w:eastAsia="en-US"/>
        </w:rPr>
        <w:t>خُذي</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مِن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مالِه</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بالمعروف</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ما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يكفيك،</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ويكفي</w:t>
      </w:r>
      <w:r w:rsidR="0006641A">
        <w:rPr>
          <w:rFonts w:ascii="Traditional Arabic" w:hAnsi="Traditional Arabic" w:hint="cs"/>
          <w:rtl/>
          <w:lang w:eastAsia="en-US"/>
        </w:rPr>
        <w:t xml:space="preserve"> </w:t>
      </w:r>
      <w:r w:rsidR="00A63D3A">
        <w:rPr>
          <w:rFonts w:ascii="Traditional Arabic" w:hAnsi="Traditional Arabic" w:hint="eastAsia"/>
          <w:rtl/>
          <w:lang w:eastAsia="en-US"/>
        </w:rPr>
        <w:t>بَني</w:t>
      </w:r>
      <w:r w:rsidR="00A63D3A">
        <w:rPr>
          <w:rFonts w:ascii="Traditional Arabic" w:hAnsi="Traditional Arabic" w:hint="cs"/>
          <w:rtl/>
          <w:lang w:eastAsia="en-US"/>
        </w:rPr>
        <w:t>ك</w:t>
      </w:r>
      <w:r w:rsidR="00A63D3A">
        <w:rPr>
          <w:rFonts w:hint="cs"/>
          <w:rtl/>
          <w:lang w:bidi="ar-DZ"/>
        </w:rPr>
        <w:t>....................</w:t>
      </w:r>
      <w:r w:rsidR="00A63D3A">
        <w:rPr>
          <w:rFonts w:hint="cs"/>
          <w:rtl/>
        </w:rPr>
        <w:t>....</w:t>
      </w:r>
      <w:r w:rsidR="00A63D3A">
        <w:rPr>
          <w:rFonts w:hint="cs"/>
          <w:rtl/>
          <w:lang w:bidi="ar-DZ"/>
        </w:rPr>
        <w:t>.</w:t>
      </w:r>
      <w:r w:rsidR="00A63D3A">
        <w:rPr>
          <w:rFonts w:hint="cs"/>
          <w:rtl/>
        </w:rPr>
        <w:t>78، 109، 144</w:t>
      </w:r>
    </w:p>
    <w:p w:rsidR="00A74341" w:rsidRPr="00A74341" w:rsidRDefault="00A74341" w:rsidP="00A74341">
      <w:pPr>
        <w:pStyle w:val="Index1"/>
        <w:rPr>
          <w:rtl/>
        </w:rPr>
      </w:pPr>
      <w:r>
        <w:rPr>
          <w:rFonts w:hint="eastAsia"/>
          <w:rtl/>
        </w:rPr>
        <w:t>الخراج</w:t>
      </w:r>
      <w:r>
        <w:rPr>
          <w:rFonts w:hint="cs"/>
          <w:rtl/>
        </w:rPr>
        <w:t xml:space="preserve"> </w:t>
      </w:r>
      <w:r>
        <w:rPr>
          <w:rFonts w:hint="eastAsia"/>
          <w:rtl/>
        </w:rPr>
        <w:t>بالضمان</w:t>
      </w:r>
      <w:r>
        <w:rPr>
          <w:rtl/>
          <w:lang w:bidi="ar-DZ"/>
        </w:rPr>
        <w:tab/>
      </w:r>
      <w:r>
        <w:rPr>
          <w:rFonts w:hint="cs"/>
          <w:rtl/>
        </w:rPr>
        <w:t>348، 350</w:t>
      </w:r>
    </w:p>
    <w:p w:rsidR="000F705E" w:rsidRDefault="000F705E" w:rsidP="00A63D3A">
      <w:pPr>
        <w:pStyle w:val="Index1"/>
        <w:rPr>
          <w:rtl/>
        </w:rPr>
      </w:pPr>
      <w:r w:rsidRPr="009C5753">
        <w:rPr>
          <w:rFonts w:ascii="Traditional Arabic" w:hAnsi="Traditional Arabic" w:hint="eastAsia"/>
          <w:rtl/>
          <w:lang w:eastAsia="en-US"/>
        </w:rPr>
        <w:t>دع</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ما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يريبك</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إلى</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ما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لا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يريبك</w:t>
      </w:r>
      <w:r>
        <w:rPr>
          <w:rtl/>
          <w:lang w:bidi="ar-DZ"/>
        </w:rPr>
        <w:tab/>
      </w:r>
      <w:r w:rsidR="00A63D3A">
        <w:rPr>
          <w:rFonts w:hint="cs"/>
          <w:rtl/>
          <w:lang w:bidi="ar-DZ"/>
        </w:rPr>
        <w:t>455</w:t>
      </w:r>
    </w:p>
    <w:p w:rsidR="000F705E" w:rsidRDefault="000F705E" w:rsidP="00A63D3A">
      <w:pPr>
        <w:pStyle w:val="Index1"/>
        <w:rPr>
          <w:rtl/>
        </w:rPr>
      </w:pPr>
      <w:r w:rsidRPr="009C5753">
        <w:rPr>
          <w:rFonts w:ascii="Traditional Arabic" w:hAnsi="Traditional Arabic" w:hint="eastAsia"/>
          <w:rtl/>
          <w:lang w:eastAsia="en-US"/>
        </w:rPr>
        <w:t>دعوه،</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فإن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لصاحب</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الحق</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مقالاً،</w:t>
      </w:r>
      <w:r>
        <w:rPr>
          <w:rtl/>
          <w:lang w:bidi="ar-DZ"/>
        </w:rPr>
        <w:tab/>
      </w:r>
      <w:r w:rsidR="00A63D3A">
        <w:rPr>
          <w:rFonts w:hint="cs"/>
          <w:rtl/>
        </w:rPr>
        <w:t>546</w:t>
      </w:r>
    </w:p>
    <w:p w:rsidR="00A74341" w:rsidRPr="00A74341" w:rsidRDefault="00A74341" w:rsidP="00A74341">
      <w:pPr>
        <w:pStyle w:val="Index1"/>
        <w:rPr>
          <w:rtl/>
        </w:rPr>
      </w:pPr>
      <w:r>
        <w:rPr>
          <w:rFonts w:ascii="Traditional Arabic" w:hAnsi="Traditional Arabic" w:hint="eastAsia"/>
          <w:rtl/>
          <w:lang w:eastAsia="en-US"/>
        </w:rPr>
        <w:t>الذهب</w:t>
      </w:r>
      <w:r>
        <w:rPr>
          <w:rFonts w:ascii="Traditional Arabic" w:hAnsi="Traditional Arabic" w:hint="cs"/>
          <w:rtl/>
          <w:lang w:eastAsia="en-US"/>
        </w:rPr>
        <w:t xml:space="preserve"> ب</w:t>
      </w:r>
      <w:r w:rsidRPr="009C5753">
        <w:rPr>
          <w:rFonts w:ascii="Traditional Arabic" w:hAnsi="Traditional Arabic" w:hint="eastAsia"/>
          <w:rtl/>
          <w:lang w:eastAsia="en-US"/>
        </w:rPr>
        <w:t>الذهب</w:t>
      </w:r>
      <w:r>
        <w:rPr>
          <w:rFonts w:ascii="Traditional Arabic" w:hAnsi="Traditional Arabic" w:hint="cs"/>
          <w:rtl/>
          <w:lang w:eastAsia="en-US"/>
        </w:rPr>
        <w:t xml:space="preserve"> </w:t>
      </w:r>
      <w:r w:rsidRPr="009C5753">
        <w:rPr>
          <w:rFonts w:ascii="Traditional Arabic" w:hAnsi="Traditional Arabic" w:hint="eastAsia"/>
          <w:rtl/>
          <w:lang w:eastAsia="en-US"/>
        </w:rPr>
        <w:t>والفضة</w:t>
      </w:r>
      <w:r>
        <w:rPr>
          <w:rFonts w:ascii="Traditional Arabic" w:hAnsi="Traditional Arabic" w:hint="cs"/>
          <w:rtl/>
          <w:lang w:eastAsia="en-US"/>
        </w:rPr>
        <w:t xml:space="preserve"> </w:t>
      </w:r>
      <w:r w:rsidRPr="009C5753">
        <w:rPr>
          <w:rFonts w:ascii="Traditional Arabic" w:hAnsi="Traditional Arabic" w:hint="eastAsia"/>
          <w:rtl/>
          <w:lang w:eastAsia="en-US"/>
        </w:rPr>
        <w:t>بالفضة</w:t>
      </w:r>
      <w:r>
        <w:rPr>
          <w:rFonts w:hint="cs"/>
          <w:rtl/>
          <w:lang w:bidi="ar-DZ"/>
        </w:rPr>
        <w:t>..................................................</w:t>
      </w:r>
      <w:r>
        <w:rPr>
          <w:rFonts w:hint="cs"/>
          <w:rtl/>
        </w:rPr>
        <w:t>462(ح)</w:t>
      </w:r>
    </w:p>
    <w:p w:rsidR="000F705E" w:rsidRDefault="000F705E" w:rsidP="00A63D3A">
      <w:pPr>
        <w:pStyle w:val="Index1"/>
        <w:rPr>
          <w:rtl/>
        </w:rPr>
      </w:pPr>
      <w:r w:rsidRPr="009C5753">
        <w:rPr>
          <w:rFonts w:ascii="Traditional Arabic" w:hAnsi="Traditional Arabic" w:hint="eastAsia"/>
          <w:rtl/>
        </w:rPr>
        <w:t>رخَّص</w:t>
      </w:r>
      <w:r w:rsidR="0006641A">
        <w:rPr>
          <w:rFonts w:ascii="Traditional Arabic" w:hAnsi="Traditional Arabic" w:hint="cs"/>
          <w:rtl/>
        </w:rPr>
        <w:t xml:space="preserve"> </w:t>
      </w:r>
      <w:r w:rsidRPr="009C5753">
        <w:rPr>
          <w:rFonts w:ascii="Traditional Arabic" w:hAnsi="Traditional Arabic" w:hint="eastAsia"/>
          <w:rtl/>
        </w:rPr>
        <w:t>النبي</w:t>
      </w:r>
      <w:r w:rsidR="0006641A">
        <w:rPr>
          <w:rFonts w:ascii="Traditional Arabic" w:hAnsi="Traditional Arabic" w:hint="cs"/>
          <w:rtl/>
        </w:rPr>
        <w:t xml:space="preserve"> </w:t>
      </w:r>
      <w:r w:rsidRPr="00C85F0F">
        <w:rPr>
          <w:rFonts w:ascii="Traditional Arabic" w:hAnsi="Traditional Arabic"/>
          <w:color w:val="auto"/>
          <w:rtl/>
          <w:lang w:eastAsia="en-US"/>
        </w:rPr>
        <w:sym w:font="AGA Arabesque" w:char="F072"/>
      </w:r>
      <w:r w:rsidR="0006641A">
        <w:rPr>
          <w:rFonts w:ascii="Traditional Arabic" w:hAnsi="Traditional Arabic" w:hint="cs"/>
          <w:rtl/>
        </w:rPr>
        <w:t xml:space="preserve"> </w:t>
      </w:r>
      <w:r w:rsidRPr="009C5753">
        <w:rPr>
          <w:rFonts w:ascii="Traditional Arabic" w:hAnsi="Traditional Arabic" w:hint="eastAsia"/>
          <w:rtl/>
        </w:rPr>
        <w:t>في</w:t>
      </w:r>
      <w:r w:rsidR="0006641A">
        <w:rPr>
          <w:rFonts w:ascii="Traditional Arabic" w:hAnsi="Traditional Arabic" w:hint="cs"/>
          <w:rtl/>
        </w:rPr>
        <w:t xml:space="preserve"> </w:t>
      </w:r>
      <w:r w:rsidRPr="009C5753">
        <w:rPr>
          <w:rFonts w:ascii="Traditional Arabic" w:hAnsi="Traditional Arabic" w:hint="eastAsia"/>
          <w:rtl/>
        </w:rPr>
        <w:t>بيع</w:t>
      </w:r>
      <w:r w:rsidR="0006641A">
        <w:rPr>
          <w:rFonts w:ascii="Traditional Arabic" w:hAnsi="Traditional Arabic" w:hint="cs"/>
          <w:rtl/>
        </w:rPr>
        <w:t xml:space="preserve"> </w:t>
      </w:r>
      <w:r w:rsidRPr="009C5753">
        <w:rPr>
          <w:rFonts w:ascii="Traditional Arabic" w:hAnsi="Traditional Arabic" w:hint="eastAsia"/>
          <w:rtl/>
        </w:rPr>
        <w:t>العرايا</w:t>
      </w:r>
      <w:r>
        <w:rPr>
          <w:rtl/>
          <w:lang w:bidi="ar-DZ"/>
        </w:rPr>
        <w:tab/>
      </w:r>
      <w:r w:rsidR="00A63D3A">
        <w:rPr>
          <w:rFonts w:hint="cs"/>
          <w:rtl/>
          <w:lang w:bidi="ar-DZ"/>
        </w:rPr>
        <w:t>197</w:t>
      </w:r>
    </w:p>
    <w:p w:rsidR="000F705E" w:rsidRDefault="000F705E" w:rsidP="00A63D3A">
      <w:pPr>
        <w:pStyle w:val="Index1"/>
        <w:rPr>
          <w:rtl/>
        </w:rPr>
      </w:pPr>
      <w:r w:rsidRPr="009C5753">
        <w:rPr>
          <w:rFonts w:ascii="Traditional Arabic" w:hAnsi="Traditional Arabic" w:hint="eastAsia"/>
          <w:rtl/>
        </w:rPr>
        <w:t>رخَّص</w:t>
      </w:r>
      <w:r w:rsidR="0006641A">
        <w:rPr>
          <w:rFonts w:ascii="Traditional Arabic" w:hAnsi="Traditional Arabic" w:hint="cs"/>
          <w:rtl/>
        </w:rPr>
        <w:t xml:space="preserve"> </w:t>
      </w:r>
      <w:r w:rsidRPr="009C5753">
        <w:rPr>
          <w:rFonts w:ascii="Traditional Arabic" w:hAnsi="Traditional Arabic" w:hint="eastAsia"/>
          <w:rtl/>
        </w:rPr>
        <w:t>لعبدالرحمن</w:t>
      </w:r>
      <w:r w:rsidR="0006641A">
        <w:rPr>
          <w:rFonts w:ascii="Traditional Arabic" w:hAnsi="Traditional Arabic" w:hint="cs"/>
          <w:rtl/>
        </w:rPr>
        <w:t xml:space="preserve"> </w:t>
      </w:r>
      <w:r w:rsidRPr="009C5753">
        <w:rPr>
          <w:rFonts w:ascii="Traditional Arabic" w:hAnsi="Traditional Arabic" w:hint="eastAsia"/>
          <w:rtl/>
        </w:rPr>
        <w:t>بن</w:t>
      </w:r>
      <w:r w:rsidR="0006641A">
        <w:rPr>
          <w:rFonts w:ascii="Traditional Arabic" w:hAnsi="Traditional Arabic" w:hint="cs"/>
          <w:rtl/>
        </w:rPr>
        <w:t xml:space="preserve"> </w:t>
      </w:r>
      <w:r w:rsidRPr="009C5753">
        <w:rPr>
          <w:rFonts w:ascii="Traditional Arabic" w:hAnsi="Traditional Arabic" w:hint="eastAsia"/>
          <w:rtl/>
        </w:rPr>
        <w:t>عوف</w:t>
      </w:r>
      <w:r w:rsidR="0006641A">
        <w:rPr>
          <w:rFonts w:ascii="Traditional Arabic" w:hAnsi="Traditional Arabic" w:hint="cs"/>
          <w:rtl/>
        </w:rPr>
        <w:t xml:space="preserve"> </w:t>
      </w:r>
      <w:r w:rsidRPr="009C5753">
        <w:rPr>
          <w:rFonts w:ascii="Traditional Arabic" w:hAnsi="Traditional Arabic" w:hint="eastAsia"/>
          <w:rtl/>
        </w:rPr>
        <w:t>والزبير،</w:t>
      </w:r>
      <w:r w:rsidR="0006641A">
        <w:rPr>
          <w:rFonts w:ascii="Traditional Arabic" w:hAnsi="Traditional Arabic" w:hint="cs"/>
          <w:rtl/>
        </w:rPr>
        <w:t xml:space="preserve"> </w:t>
      </w:r>
      <w:r w:rsidRPr="009C5753">
        <w:rPr>
          <w:rFonts w:ascii="Traditional Arabic" w:hAnsi="Traditional Arabic" w:hint="eastAsia"/>
          <w:rtl/>
        </w:rPr>
        <w:t>في</w:t>
      </w:r>
      <w:r w:rsidR="0006641A">
        <w:rPr>
          <w:rFonts w:ascii="Traditional Arabic" w:hAnsi="Traditional Arabic" w:hint="cs"/>
          <w:rtl/>
        </w:rPr>
        <w:t xml:space="preserve"> </w:t>
      </w:r>
      <w:r w:rsidRPr="009C5753">
        <w:rPr>
          <w:rFonts w:ascii="Traditional Arabic" w:hAnsi="Traditional Arabic" w:hint="eastAsia"/>
          <w:rtl/>
        </w:rPr>
        <w:t>قميصٍ</w:t>
      </w:r>
      <w:r w:rsidR="0006641A">
        <w:rPr>
          <w:rFonts w:ascii="Traditional Arabic" w:hAnsi="Traditional Arabic" w:hint="cs"/>
          <w:rtl/>
        </w:rPr>
        <w:t xml:space="preserve"> </w:t>
      </w:r>
      <w:r w:rsidRPr="009C5753">
        <w:rPr>
          <w:rFonts w:ascii="Traditional Arabic" w:hAnsi="Traditional Arabic" w:hint="eastAsia"/>
          <w:rtl/>
        </w:rPr>
        <w:t>من</w:t>
      </w:r>
      <w:r w:rsidR="0006641A">
        <w:rPr>
          <w:rFonts w:ascii="Traditional Arabic" w:hAnsi="Traditional Arabic" w:hint="cs"/>
          <w:rtl/>
        </w:rPr>
        <w:t xml:space="preserve"> </w:t>
      </w:r>
      <w:r w:rsidRPr="009C5753">
        <w:rPr>
          <w:rFonts w:ascii="Traditional Arabic" w:hAnsi="Traditional Arabic" w:hint="eastAsia"/>
          <w:rtl/>
        </w:rPr>
        <w:t>حرير،</w:t>
      </w:r>
      <w:r w:rsidR="0006641A">
        <w:rPr>
          <w:rFonts w:ascii="Traditional Arabic" w:hAnsi="Traditional Arabic" w:hint="cs"/>
          <w:rtl/>
        </w:rPr>
        <w:t xml:space="preserve"> </w:t>
      </w:r>
      <w:r w:rsidRPr="009C5753">
        <w:rPr>
          <w:rFonts w:ascii="Traditional Arabic" w:hAnsi="Traditional Arabic" w:hint="eastAsia"/>
          <w:rtl/>
        </w:rPr>
        <w:t>من</w:t>
      </w:r>
      <w:r w:rsidR="0006641A">
        <w:rPr>
          <w:rFonts w:ascii="Traditional Arabic" w:hAnsi="Traditional Arabic" w:hint="cs"/>
          <w:rtl/>
        </w:rPr>
        <w:t xml:space="preserve"> </w:t>
      </w:r>
      <w:r w:rsidRPr="009C5753">
        <w:rPr>
          <w:rFonts w:ascii="Traditional Arabic" w:hAnsi="Traditional Arabic" w:hint="eastAsia"/>
          <w:rtl/>
        </w:rPr>
        <w:t>حِكَّةٍ</w:t>
      </w:r>
      <w:r w:rsidR="0006641A">
        <w:rPr>
          <w:rFonts w:ascii="Traditional Arabic" w:hAnsi="Traditional Arabic" w:hint="cs"/>
          <w:rtl/>
        </w:rPr>
        <w:t xml:space="preserve"> </w:t>
      </w:r>
      <w:r w:rsidRPr="009C5753">
        <w:rPr>
          <w:rFonts w:ascii="Traditional Arabic" w:hAnsi="Traditional Arabic" w:hint="eastAsia"/>
          <w:rtl/>
        </w:rPr>
        <w:t>كانت</w:t>
      </w:r>
      <w:r w:rsidR="0006641A">
        <w:rPr>
          <w:rFonts w:ascii="Traditional Arabic" w:hAnsi="Traditional Arabic" w:hint="cs"/>
          <w:rtl/>
        </w:rPr>
        <w:t xml:space="preserve"> </w:t>
      </w:r>
      <w:r w:rsidRPr="009C5753">
        <w:rPr>
          <w:rFonts w:ascii="Traditional Arabic" w:hAnsi="Traditional Arabic" w:hint="eastAsia"/>
          <w:rtl/>
        </w:rPr>
        <w:t>بهما</w:t>
      </w:r>
      <w:r>
        <w:rPr>
          <w:rtl/>
          <w:lang w:bidi="ar-DZ"/>
        </w:rPr>
        <w:tab/>
      </w:r>
      <w:r w:rsidR="00A63D3A">
        <w:rPr>
          <w:rFonts w:hint="cs"/>
          <w:rtl/>
          <w:lang w:bidi="ar-DZ"/>
        </w:rPr>
        <w:t>196</w:t>
      </w:r>
    </w:p>
    <w:p w:rsidR="000F705E" w:rsidRDefault="000F705E" w:rsidP="00A63D3A">
      <w:pPr>
        <w:pStyle w:val="Index1"/>
        <w:rPr>
          <w:rtl/>
        </w:rPr>
      </w:pPr>
      <w:r w:rsidRPr="009C5753">
        <w:rPr>
          <w:rFonts w:ascii="Traditional Arabic" w:hAnsi="Traditional Arabic" w:hint="eastAsia"/>
          <w:rtl/>
          <w:lang w:eastAsia="en-US"/>
        </w:rPr>
        <w:t>سأله</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عن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اللقطة،</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فقال</w:t>
      </w:r>
      <w:r w:rsidRPr="009C5753">
        <w:rPr>
          <w:rFonts w:ascii="Traditional Arabic" w:hAnsi="Traditional Arabic"/>
          <w:rtl/>
          <w:lang w:eastAsia="en-US"/>
        </w:rPr>
        <w:t xml:space="preserve">: </w:t>
      </w:r>
      <w:r w:rsidRPr="009C5753">
        <w:rPr>
          <w:rFonts w:ascii="Traditional Arabic" w:hAnsi="Traditional Arabic" w:hint="eastAsia"/>
          <w:rtl/>
          <w:lang w:eastAsia="en-US"/>
        </w:rPr>
        <w:t>اعرف</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عِفَاصَها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ووِكاءَها،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ثم</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عَرِّفْها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سَنَةً،</w:t>
      </w:r>
      <w:r>
        <w:rPr>
          <w:rtl/>
          <w:lang w:bidi="ar-DZ"/>
        </w:rPr>
        <w:tab/>
      </w:r>
      <w:r w:rsidR="00A63D3A">
        <w:rPr>
          <w:rFonts w:hint="cs"/>
          <w:rtl/>
        </w:rPr>
        <w:t>286</w:t>
      </w:r>
    </w:p>
    <w:p w:rsidR="000F705E" w:rsidRDefault="000F705E" w:rsidP="00A63D3A">
      <w:pPr>
        <w:pStyle w:val="Index1"/>
        <w:rPr>
          <w:rtl/>
        </w:rPr>
      </w:pPr>
      <w:r w:rsidRPr="009C5753">
        <w:rPr>
          <w:rFonts w:ascii="Traditional Arabic" w:hAnsi="Traditional Arabic" w:hint="eastAsia"/>
          <w:rtl/>
          <w:lang w:eastAsia="en-US"/>
        </w:rPr>
        <w:t>سمعت</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النبي</w:t>
      </w:r>
      <w:r w:rsidR="0006641A">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06641A">
        <w:rPr>
          <w:rFonts w:ascii="Traditional Arabic" w:hAnsi="Traditional Arabic" w:hint="cs"/>
          <w:rtl/>
          <w:lang w:eastAsia="en-US"/>
        </w:rPr>
        <w:t xml:space="preserve"> </w:t>
      </w:r>
      <w:r w:rsidRPr="009C5753">
        <w:rPr>
          <w:rFonts w:ascii="Traditional Arabic" w:hAnsi="Traditional Arabic" w:hint="eastAsia"/>
          <w:rtl/>
          <w:lang w:eastAsia="en-US"/>
        </w:rPr>
        <w:t>ينهى</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عن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الصلاة</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عند</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طلوع</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الشمس</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وعند</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غروبها</w:t>
      </w:r>
      <w:r>
        <w:rPr>
          <w:rtl/>
          <w:lang w:bidi="ar-DZ"/>
        </w:rPr>
        <w:tab/>
      </w:r>
      <w:r w:rsidR="00A63D3A">
        <w:rPr>
          <w:rFonts w:hint="cs"/>
          <w:rtl/>
        </w:rPr>
        <w:t>188</w:t>
      </w:r>
    </w:p>
    <w:p w:rsidR="000F705E" w:rsidRDefault="000F705E">
      <w:pPr>
        <w:pStyle w:val="Index1"/>
        <w:rPr>
          <w:rtl/>
        </w:rPr>
      </w:pPr>
      <w:r w:rsidRPr="009C5753">
        <w:rPr>
          <w:rFonts w:ascii="Traditional Arabic" w:hAnsi="Traditional Arabic" w:hint="eastAsia"/>
          <w:rtl/>
          <w:lang w:eastAsia="en-US"/>
        </w:rPr>
        <w:t>سُئل</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النبي</w:t>
      </w:r>
      <w:r w:rsidR="0006641A">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06641A">
        <w:rPr>
          <w:rFonts w:ascii="Traditional Arabic" w:hAnsi="Traditional Arabic" w:hint="cs"/>
          <w:rtl/>
          <w:lang w:eastAsia="en-US"/>
        </w:rPr>
        <w:t xml:space="preserve"> </w:t>
      </w:r>
      <w:r w:rsidRPr="009C5753">
        <w:rPr>
          <w:rFonts w:ascii="Traditional Arabic" w:hAnsi="Traditional Arabic" w:hint="eastAsia"/>
          <w:rtl/>
          <w:lang w:eastAsia="en-US"/>
        </w:rPr>
        <w:t>عن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الخمر</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تتخذ</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خلا؟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قال</w:t>
      </w:r>
      <w:r w:rsidRPr="009C5753">
        <w:rPr>
          <w:rFonts w:ascii="Traditional Arabic" w:hAnsi="Traditional Arabic"/>
          <w:rtl/>
          <w:lang w:eastAsia="en-US"/>
        </w:rPr>
        <w:t>: "</w:t>
      </w:r>
      <w:r w:rsidRPr="009C5753">
        <w:rPr>
          <w:rFonts w:ascii="Traditional Arabic" w:hAnsi="Traditional Arabic" w:hint="eastAsia"/>
          <w:rtl/>
          <w:lang w:eastAsia="en-US"/>
        </w:rPr>
        <w:t>لا</w:t>
      </w:r>
      <w:r w:rsidRPr="009C5753">
        <w:rPr>
          <w:rFonts w:ascii="Traditional Arabic" w:hAnsi="Traditional Arabic"/>
          <w:rtl/>
          <w:lang w:eastAsia="en-US"/>
        </w:rPr>
        <w:t>"</w:t>
      </w:r>
      <w:r w:rsidR="00A63D3A">
        <w:rPr>
          <w:rFonts w:hint="cs"/>
          <w:rtl/>
          <w:lang w:bidi="ar-DZ"/>
        </w:rPr>
        <w:t>....................................</w:t>
      </w:r>
      <w:r w:rsidR="00646B94">
        <w:rPr>
          <w:rFonts w:hint="cs"/>
          <w:rtl/>
          <w:lang w:bidi="ar-DZ"/>
        </w:rPr>
        <w:t>.</w:t>
      </w:r>
      <w:r w:rsidR="00A63D3A">
        <w:rPr>
          <w:rFonts w:hint="cs"/>
          <w:rtl/>
          <w:lang w:bidi="ar-DZ"/>
        </w:rPr>
        <w:t>...188</w:t>
      </w:r>
    </w:p>
    <w:p w:rsidR="000F705E" w:rsidRDefault="000F705E" w:rsidP="00646B94">
      <w:pPr>
        <w:pStyle w:val="Index1"/>
        <w:rPr>
          <w:rtl/>
        </w:rPr>
      </w:pPr>
      <w:r w:rsidRPr="009C5753">
        <w:rPr>
          <w:rFonts w:ascii="Traditional Arabic" w:hAnsi="Traditional Arabic" w:hint="eastAsia"/>
          <w:rtl/>
          <w:lang w:eastAsia="en-US"/>
        </w:rPr>
        <w:t>صلى</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بنا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رسول</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الله</w:t>
      </w:r>
      <w:r w:rsidR="0006641A">
        <w:rPr>
          <w:rFonts w:ascii="Traditional Arabic" w:hAnsi="Traditional Arabic" w:hint="cs"/>
          <w:rtl/>
          <w:lang w:eastAsia="en-US"/>
        </w:rPr>
        <w:t xml:space="preserve"> صلى الله عليه وسلم </w:t>
      </w:r>
      <w:r w:rsidRPr="009C5753">
        <w:rPr>
          <w:rFonts w:ascii="Traditional Arabic" w:hAnsi="Traditional Arabic" w:hint="eastAsia"/>
          <w:rtl/>
          <w:lang w:eastAsia="en-US"/>
        </w:rPr>
        <w:t>إحدى</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صلاتي</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العَشِيّ</w:t>
      </w:r>
      <w:r>
        <w:rPr>
          <w:rtl/>
          <w:lang w:bidi="ar-DZ"/>
        </w:rPr>
        <w:tab/>
      </w:r>
      <w:r w:rsidR="00646B94">
        <w:rPr>
          <w:rFonts w:hint="cs"/>
          <w:rtl/>
          <w:lang w:bidi="ar-DZ"/>
        </w:rPr>
        <w:t>134</w:t>
      </w:r>
    </w:p>
    <w:p w:rsidR="00A74341" w:rsidRPr="00A74341" w:rsidRDefault="00A74341" w:rsidP="00A74341">
      <w:pPr>
        <w:pStyle w:val="Index1"/>
        <w:rPr>
          <w:rtl/>
        </w:rPr>
      </w:pPr>
      <w:r w:rsidRPr="009C5753">
        <w:rPr>
          <w:rFonts w:ascii="Traditional Arabic" w:hAnsi="Traditional Arabic" w:hint="eastAsia"/>
          <w:rtl/>
          <w:lang w:eastAsia="en-US"/>
        </w:rPr>
        <w:t>الصلح</w:t>
      </w:r>
      <w:r>
        <w:rPr>
          <w:rFonts w:ascii="Traditional Arabic" w:hAnsi="Traditional Arabic" w:hint="cs"/>
          <w:rtl/>
          <w:lang w:eastAsia="en-US"/>
        </w:rPr>
        <w:t xml:space="preserve"> </w:t>
      </w:r>
      <w:r w:rsidRPr="009C5753">
        <w:rPr>
          <w:rFonts w:ascii="Traditional Arabic" w:hAnsi="Traditional Arabic" w:hint="eastAsia"/>
          <w:rtl/>
          <w:lang w:eastAsia="en-US"/>
        </w:rPr>
        <w:t>جائز</w:t>
      </w:r>
      <w:r>
        <w:rPr>
          <w:rFonts w:ascii="Traditional Arabic" w:hAnsi="Traditional Arabic" w:hint="cs"/>
          <w:rtl/>
          <w:lang w:eastAsia="en-US"/>
        </w:rPr>
        <w:t xml:space="preserve"> </w:t>
      </w:r>
      <w:r w:rsidRPr="009C5753">
        <w:rPr>
          <w:rFonts w:ascii="Traditional Arabic" w:hAnsi="Traditional Arabic" w:hint="eastAsia"/>
          <w:rtl/>
          <w:lang w:eastAsia="en-US"/>
        </w:rPr>
        <w:t>بين</w:t>
      </w:r>
      <w:r>
        <w:rPr>
          <w:rFonts w:ascii="Traditional Arabic" w:hAnsi="Traditional Arabic" w:hint="cs"/>
          <w:rtl/>
          <w:lang w:eastAsia="en-US"/>
        </w:rPr>
        <w:t xml:space="preserve"> </w:t>
      </w:r>
      <w:r w:rsidRPr="009C5753">
        <w:rPr>
          <w:rFonts w:ascii="Traditional Arabic" w:hAnsi="Traditional Arabic" w:hint="eastAsia"/>
          <w:rtl/>
          <w:lang w:eastAsia="en-US"/>
        </w:rPr>
        <w:t>المسلمين،</w:t>
      </w:r>
      <w:r w:rsidRPr="009C5753">
        <w:rPr>
          <w:rFonts w:ascii="Traditional Arabic" w:hAnsi="Traditional Arabic"/>
          <w:rtl/>
          <w:lang w:eastAsia="en-US"/>
        </w:rPr>
        <w:t xml:space="preserve"> ......</w:t>
      </w:r>
      <w:r w:rsidRPr="009C5753">
        <w:rPr>
          <w:rFonts w:ascii="Traditional Arabic" w:hAnsi="Traditional Arabic" w:hint="eastAsia"/>
          <w:rtl/>
          <w:lang w:eastAsia="en-US"/>
        </w:rPr>
        <w:t>،والمسلمون</w:t>
      </w:r>
      <w:r>
        <w:rPr>
          <w:rFonts w:ascii="Traditional Arabic" w:hAnsi="Traditional Arabic" w:hint="cs"/>
          <w:rtl/>
          <w:lang w:eastAsia="en-US"/>
        </w:rPr>
        <w:t xml:space="preserve"> </w:t>
      </w:r>
      <w:r w:rsidRPr="009C5753">
        <w:rPr>
          <w:rFonts w:ascii="Traditional Arabic" w:hAnsi="Traditional Arabic" w:hint="eastAsia"/>
          <w:rtl/>
          <w:lang w:eastAsia="en-US"/>
        </w:rPr>
        <w:t>على</w:t>
      </w:r>
      <w:r>
        <w:rPr>
          <w:rFonts w:ascii="Traditional Arabic" w:hAnsi="Traditional Arabic" w:hint="cs"/>
          <w:rtl/>
          <w:lang w:eastAsia="en-US"/>
        </w:rPr>
        <w:t xml:space="preserve"> </w:t>
      </w:r>
      <w:r w:rsidRPr="009C5753">
        <w:rPr>
          <w:rFonts w:ascii="Traditional Arabic" w:hAnsi="Traditional Arabic" w:hint="eastAsia"/>
          <w:rtl/>
          <w:lang w:eastAsia="en-US"/>
        </w:rPr>
        <w:t>شروطهم</w:t>
      </w:r>
      <w:r>
        <w:rPr>
          <w:rtl/>
          <w:lang w:bidi="ar-DZ"/>
        </w:rPr>
        <w:tab/>
      </w:r>
      <w:r>
        <w:rPr>
          <w:rFonts w:hint="cs"/>
          <w:rtl/>
        </w:rPr>
        <w:t xml:space="preserve">88، </w:t>
      </w:r>
      <w:r>
        <w:rPr>
          <w:rtl/>
          <w:lang w:bidi="ar-DZ"/>
        </w:rPr>
        <w:t>3</w:t>
      </w:r>
      <w:r>
        <w:rPr>
          <w:rFonts w:hint="cs"/>
          <w:rtl/>
        </w:rPr>
        <w:t>00</w:t>
      </w:r>
      <w:r>
        <w:rPr>
          <w:rFonts w:hint="eastAsia"/>
          <w:rtl/>
          <w:lang w:bidi="ar-DZ"/>
        </w:rPr>
        <w:t>،</w:t>
      </w:r>
      <w:r>
        <w:rPr>
          <w:rtl/>
          <w:lang w:bidi="ar-DZ"/>
        </w:rPr>
        <w:t xml:space="preserve"> </w:t>
      </w:r>
      <w:r>
        <w:rPr>
          <w:rFonts w:hint="cs"/>
          <w:rtl/>
          <w:lang w:bidi="ar-DZ"/>
        </w:rPr>
        <w:t>578</w:t>
      </w:r>
    </w:p>
    <w:p w:rsidR="000F705E" w:rsidRDefault="000F705E">
      <w:pPr>
        <w:pStyle w:val="Index1"/>
        <w:rPr>
          <w:rtl/>
        </w:rPr>
      </w:pPr>
      <w:r w:rsidRPr="009C5753">
        <w:rPr>
          <w:rFonts w:ascii="Traditional Arabic" w:hAnsi="Traditional Arabic" w:hint="eastAsia"/>
          <w:rtl/>
        </w:rPr>
        <w:t>صيد</w:t>
      </w:r>
      <w:r w:rsidR="0006641A">
        <w:rPr>
          <w:rFonts w:ascii="Traditional Arabic" w:hAnsi="Traditional Arabic" w:hint="cs"/>
          <w:rtl/>
        </w:rPr>
        <w:t xml:space="preserve"> </w:t>
      </w:r>
      <w:r w:rsidRPr="009C5753">
        <w:rPr>
          <w:rFonts w:ascii="Traditional Arabic" w:hAnsi="Traditional Arabic" w:hint="eastAsia"/>
          <w:rtl/>
        </w:rPr>
        <w:t>البَّر</w:t>
      </w:r>
      <w:r w:rsidR="0006641A">
        <w:rPr>
          <w:rFonts w:ascii="Traditional Arabic" w:hAnsi="Traditional Arabic" w:hint="cs"/>
          <w:rtl/>
        </w:rPr>
        <w:t xml:space="preserve"> </w:t>
      </w:r>
      <w:r w:rsidRPr="009C5753">
        <w:rPr>
          <w:rFonts w:ascii="Traditional Arabic" w:hAnsi="Traditional Arabic" w:hint="eastAsia"/>
          <w:rtl/>
        </w:rPr>
        <w:t>لكم</w:t>
      </w:r>
      <w:r w:rsidR="0006641A">
        <w:rPr>
          <w:rFonts w:ascii="Traditional Arabic" w:hAnsi="Traditional Arabic" w:hint="cs"/>
          <w:rtl/>
        </w:rPr>
        <w:t xml:space="preserve"> </w:t>
      </w:r>
      <w:r w:rsidRPr="009C5753">
        <w:rPr>
          <w:rFonts w:ascii="Traditional Arabic" w:hAnsi="Traditional Arabic" w:hint="eastAsia"/>
          <w:rtl/>
        </w:rPr>
        <w:t>حلال</w:t>
      </w:r>
      <w:r w:rsidR="0006641A">
        <w:rPr>
          <w:rFonts w:ascii="Traditional Arabic" w:hAnsi="Traditional Arabic" w:hint="cs"/>
          <w:rtl/>
        </w:rPr>
        <w:t xml:space="preserve"> </w:t>
      </w:r>
      <w:r w:rsidRPr="009C5753">
        <w:rPr>
          <w:rFonts w:ascii="Traditional Arabic" w:hAnsi="Traditional Arabic" w:hint="eastAsia"/>
          <w:rtl/>
        </w:rPr>
        <w:t>و</w:t>
      </w:r>
      <w:r w:rsidR="0006641A">
        <w:rPr>
          <w:rFonts w:ascii="Traditional Arabic" w:hAnsi="Traditional Arabic" w:hint="cs"/>
          <w:rtl/>
        </w:rPr>
        <w:t xml:space="preserve"> </w:t>
      </w:r>
      <w:r w:rsidRPr="009C5753">
        <w:rPr>
          <w:rFonts w:ascii="Traditional Arabic" w:hAnsi="Traditional Arabic" w:hint="eastAsia"/>
          <w:rtl/>
        </w:rPr>
        <w:t>أنتم</w:t>
      </w:r>
      <w:r w:rsidR="0006641A">
        <w:rPr>
          <w:rFonts w:ascii="Traditional Arabic" w:hAnsi="Traditional Arabic" w:hint="cs"/>
          <w:rtl/>
        </w:rPr>
        <w:t xml:space="preserve"> </w:t>
      </w:r>
      <w:r w:rsidRPr="009C5753">
        <w:rPr>
          <w:rFonts w:ascii="Traditional Arabic" w:hAnsi="Traditional Arabic" w:hint="eastAsia"/>
          <w:rtl/>
        </w:rPr>
        <w:t>حُرُمٌ</w:t>
      </w:r>
      <w:r w:rsidR="0006641A">
        <w:rPr>
          <w:rFonts w:ascii="Traditional Arabic" w:hAnsi="Traditional Arabic" w:hint="cs"/>
          <w:rtl/>
        </w:rPr>
        <w:t xml:space="preserve"> </w:t>
      </w:r>
      <w:r w:rsidRPr="009C5753">
        <w:rPr>
          <w:rFonts w:ascii="Traditional Arabic" w:hAnsi="Traditional Arabic" w:hint="eastAsia"/>
          <w:rtl/>
        </w:rPr>
        <w:t>مالم</w:t>
      </w:r>
      <w:r w:rsidR="0006641A">
        <w:rPr>
          <w:rFonts w:ascii="Traditional Arabic" w:hAnsi="Traditional Arabic" w:hint="cs"/>
          <w:rtl/>
        </w:rPr>
        <w:t xml:space="preserve"> </w:t>
      </w:r>
      <w:r w:rsidRPr="009C5753">
        <w:rPr>
          <w:rFonts w:ascii="Traditional Arabic" w:hAnsi="Traditional Arabic" w:hint="eastAsia"/>
          <w:rtl/>
        </w:rPr>
        <w:t>تَصيدوه،</w:t>
      </w:r>
      <w:r w:rsidR="0006641A">
        <w:rPr>
          <w:rFonts w:ascii="Traditional Arabic" w:hAnsi="Traditional Arabic" w:hint="cs"/>
          <w:rtl/>
        </w:rPr>
        <w:t xml:space="preserve"> </w:t>
      </w:r>
      <w:r w:rsidRPr="009C5753">
        <w:rPr>
          <w:rFonts w:ascii="Traditional Arabic" w:hAnsi="Traditional Arabic" w:hint="eastAsia"/>
          <w:rtl/>
        </w:rPr>
        <w:t>أو</w:t>
      </w:r>
      <w:r w:rsidR="0006641A">
        <w:rPr>
          <w:rFonts w:ascii="Traditional Arabic" w:hAnsi="Traditional Arabic" w:hint="cs"/>
          <w:rtl/>
        </w:rPr>
        <w:t xml:space="preserve"> </w:t>
      </w:r>
      <w:r w:rsidRPr="009C5753">
        <w:rPr>
          <w:rFonts w:ascii="Traditional Arabic" w:hAnsi="Traditional Arabic" w:hint="eastAsia"/>
          <w:rtl/>
        </w:rPr>
        <w:t>يُصَدْ</w:t>
      </w:r>
      <w:r w:rsidR="0006641A">
        <w:rPr>
          <w:rFonts w:ascii="Traditional Arabic" w:hAnsi="Traditional Arabic" w:hint="cs"/>
          <w:rtl/>
        </w:rPr>
        <w:t xml:space="preserve"> </w:t>
      </w:r>
      <w:r w:rsidRPr="009C5753">
        <w:rPr>
          <w:rFonts w:ascii="Traditional Arabic" w:hAnsi="Traditional Arabic" w:hint="eastAsia"/>
          <w:rtl/>
        </w:rPr>
        <w:t>لكم</w:t>
      </w:r>
      <w:r w:rsidR="00646B94">
        <w:rPr>
          <w:rFonts w:hint="cs"/>
          <w:rtl/>
          <w:lang w:bidi="ar-DZ"/>
        </w:rPr>
        <w:t>............................269</w:t>
      </w:r>
    </w:p>
    <w:p w:rsidR="00A74341" w:rsidRPr="00A74341" w:rsidRDefault="00A74341" w:rsidP="00A74341">
      <w:pPr>
        <w:pStyle w:val="Index1"/>
        <w:rPr>
          <w:rtl/>
        </w:rPr>
      </w:pPr>
      <w:r w:rsidRPr="009C5753">
        <w:rPr>
          <w:rFonts w:ascii="Traditional Arabic" w:hAnsi="Traditional Arabic" w:hint="eastAsia"/>
          <w:rtl/>
          <w:lang w:eastAsia="en-US"/>
        </w:rPr>
        <w:t>العَجماءُ</w:t>
      </w:r>
      <w:r>
        <w:rPr>
          <w:rFonts w:ascii="Traditional Arabic" w:hAnsi="Traditional Arabic" w:hint="cs"/>
          <w:rtl/>
          <w:lang w:eastAsia="en-US"/>
        </w:rPr>
        <w:t xml:space="preserve"> </w:t>
      </w:r>
      <w:r w:rsidRPr="009C5753">
        <w:rPr>
          <w:rFonts w:ascii="Traditional Arabic" w:hAnsi="Traditional Arabic" w:hint="eastAsia"/>
          <w:rtl/>
          <w:lang w:eastAsia="en-US"/>
        </w:rPr>
        <w:t>جُبار،</w:t>
      </w:r>
      <w:r>
        <w:rPr>
          <w:rFonts w:ascii="Traditional Arabic" w:hAnsi="Traditional Arabic" w:hint="cs"/>
          <w:rtl/>
          <w:lang w:eastAsia="en-US"/>
        </w:rPr>
        <w:t xml:space="preserve"> </w:t>
      </w:r>
      <w:r w:rsidRPr="009C5753">
        <w:rPr>
          <w:rFonts w:ascii="Traditional Arabic" w:hAnsi="Traditional Arabic" w:hint="eastAsia"/>
          <w:rtl/>
          <w:lang w:eastAsia="en-US"/>
        </w:rPr>
        <w:t>والبئر</w:t>
      </w:r>
      <w:r>
        <w:rPr>
          <w:rFonts w:ascii="Traditional Arabic" w:hAnsi="Traditional Arabic" w:hint="cs"/>
          <w:rtl/>
          <w:lang w:eastAsia="en-US"/>
        </w:rPr>
        <w:t xml:space="preserve"> </w:t>
      </w:r>
      <w:r w:rsidRPr="009C5753">
        <w:rPr>
          <w:rFonts w:ascii="Traditional Arabic" w:hAnsi="Traditional Arabic" w:hint="eastAsia"/>
          <w:rtl/>
          <w:lang w:eastAsia="en-US"/>
        </w:rPr>
        <w:t>جبار،</w:t>
      </w:r>
      <w:r>
        <w:rPr>
          <w:rFonts w:ascii="Traditional Arabic" w:hAnsi="Traditional Arabic" w:hint="cs"/>
          <w:rtl/>
          <w:lang w:eastAsia="en-US"/>
        </w:rPr>
        <w:t xml:space="preserve"> </w:t>
      </w:r>
      <w:r w:rsidRPr="009C5753">
        <w:rPr>
          <w:rFonts w:ascii="Traditional Arabic" w:hAnsi="Traditional Arabic" w:hint="eastAsia"/>
          <w:rtl/>
          <w:lang w:eastAsia="en-US"/>
        </w:rPr>
        <w:t>والمعدن</w:t>
      </w:r>
      <w:r>
        <w:rPr>
          <w:rFonts w:ascii="Traditional Arabic" w:hAnsi="Traditional Arabic" w:hint="cs"/>
          <w:rtl/>
          <w:lang w:eastAsia="en-US"/>
        </w:rPr>
        <w:t xml:space="preserve"> </w:t>
      </w:r>
      <w:r w:rsidRPr="009C5753">
        <w:rPr>
          <w:rFonts w:ascii="Traditional Arabic" w:hAnsi="Traditional Arabic" w:hint="eastAsia"/>
          <w:rtl/>
          <w:lang w:eastAsia="en-US"/>
        </w:rPr>
        <w:t>جبار،</w:t>
      </w:r>
      <w:r>
        <w:rPr>
          <w:rFonts w:ascii="Traditional Arabic" w:hAnsi="Traditional Arabic" w:hint="cs"/>
          <w:rtl/>
          <w:lang w:eastAsia="en-US"/>
        </w:rPr>
        <w:t xml:space="preserve"> </w:t>
      </w:r>
      <w:r w:rsidRPr="009C5753">
        <w:rPr>
          <w:rFonts w:ascii="Traditional Arabic" w:hAnsi="Traditional Arabic" w:hint="eastAsia"/>
          <w:rtl/>
          <w:lang w:eastAsia="en-US"/>
        </w:rPr>
        <w:t>وفي</w:t>
      </w:r>
      <w:r>
        <w:rPr>
          <w:rFonts w:ascii="Traditional Arabic" w:hAnsi="Traditional Arabic" w:hint="cs"/>
          <w:rtl/>
          <w:lang w:eastAsia="en-US"/>
        </w:rPr>
        <w:t xml:space="preserve"> </w:t>
      </w:r>
      <w:r w:rsidRPr="009C5753">
        <w:rPr>
          <w:rFonts w:ascii="Traditional Arabic" w:hAnsi="Traditional Arabic" w:hint="eastAsia"/>
          <w:rtl/>
          <w:lang w:eastAsia="en-US"/>
        </w:rPr>
        <w:t>الرِّكاز</w:t>
      </w:r>
      <w:r>
        <w:rPr>
          <w:rFonts w:ascii="Traditional Arabic" w:hAnsi="Traditional Arabic" w:hint="cs"/>
          <w:rtl/>
          <w:lang w:eastAsia="en-US"/>
        </w:rPr>
        <w:t xml:space="preserve"> </w:t>
      </w:r>
      <w:r w:rsidRPr="009C5753">
        <w:rPr>
          <w:rFonts w:ascii="Traditional Arabic" w:hAnsi="Traditional Arabic" w:hint="eastAsia"/>
          <w:rtl/>
          <w:lang w:eastAsia="en-US"/>
        </w:rPr>
        <w:t>الخُمُس</w:t>
      </w:r>
      <w:r>
        <w:rPr>
          <w:rtl/>
          <w:lang w:bidi="ar-DZ"/>
        </w:rPr>
        <w:tab/>
      </w:r>
      <w:r>
        <w:rPr>
          <w:rFonts w:hint="cs"/>
          <w:rtl/>
          <w:lang w:bidi="ar-DZ"/>
        </w:rPr>
        <w:t>77، 343</w:t>
      </w:r>
    </w:p>
    <w:p w:rsidR="000F705E" w:rsidRDefault="000F705E" w:rsidP="00646B94">
      <w:pPr>
        <w:pStyle w:val="Index1"/>
        <w:rPr>
          <w:rtl/>
        </w:rPr>
      </w:pPr>
      <w:r>
        <w:rPr>
          <w:rFonts w:hint="eastAsia"/>
          <w:rtl/>
        </w:rPr>
        <w:t>على</w:t>
      </w:r>
      <w:r w:rsidR="0006641A">
        <w:rPr>
          <w:rFonts w:hint="cs"/>
          <w:rtl/>
        </w:rPr>
        <w:t xml:space="preserve"> </w:t>
      </w:r>
      <w:r>
        <w:rPr>
          <w:rFonts w:hint="eastAsia"/>
          <w:rtl/>
        </w:rPr>
        <w:t>اليد</w:t>
      </w:r>
      <w:r w:rsidR="0006641A">
        <w:rPr>
          <w:rFonts w:hint="cs"/>
          <w:rtl/>
        </w:rPr>
        <w:t xml:space="preserve"> </w:t>
      </w:r>
      <w:r>
        <w:rPr>
          <w:rFonts w:hint="eastAsia"/>
          <w:rtl/>
        </w:rPr>
        <w:t>ما</w:t>
      </w:r>
      <w:r w:rsidR="0006641A">
        <w:rPr>
          <w:rFonts w:hint="cs"/>
          <w:rtl/>
        </w:rPr>
        <w:t xml:space="preserve"> </w:t>
      </w:r>
      <w:r>
        <w:rPr>
          <w:rFonts w:hint="eastAsia"/>
          <w:rtl/>
        </w:rPr>
        <w:t>أخذت</w:t>
      </w:r>
      <w:r w:rsidR="0006641A">
        <w:rPr>
          <w:rFonts w:hint="cs"/>
          <w:rtl/>
        </w:rPr>
        <w:t xml:space="preserve"> </w:t>
      </w:r>
      <w:r>
        <w:rPr>
          <w:rFonts w:hint="eastAsia"/>
          <w:rtl/>
        </w:rPr>
        <w:t>حتى</w:t>
      </w:r>
      <w:r w:rsidR="0006641A">
        <w:rPr>
          <w:rFonts w:hint="cs"/>
          <w:rtl/>
        </w:rPr>
        <w:t xml:space="preserve"> </w:t>
      </w:r>
      <w:r>
        <w:rPr>
          <w:rFonts w:hint="eastAsia"/>
          <w:rtl/>
        </w:rPr>
        <w:t>تُؤدِّيه</w:t>
      </w:r>
      <w:r w:rsidR="00646B94">
        <w:rPr>
          <w:rFonts w:hint="cs"/>
          <w:rtl/>
          <w:lang w:bidi="ar-DZ"/>
        </w:rPr>
        <w:t>................................................332، 540</w:t>
      </w:r>
    </w:p>
    <w:p w:rsidR="000F705E" w:rsidRDefault="000F705E" w:rsidP="00646B94">
      <w:pPr>
        <w:pStyle w:val="Index1"/>
        <w:rPr>
          <w:rtl/>
        </w:rPr>
      </w:pPr>
      <w:r w:rsidRPr="009C5753">
        <w:rPr>
          <w:rFonts w:ascii="Traditional Arabic" w:hAnsi="Traditional Arabic" w:hint="eastAsia"/>
          <w:rtl/>
          <w:lang w:eastAsia="en-US"/>
        </w:rPr>
        <w:t>فإن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دماءكم</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وأموالكم</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وأعراضكم</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عليكم</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حرام</w:t>
      </w:r>
      <w:r>
        <w:rPr>
          <w:rtl/>
          <w:lang w:bidi="ar-DZ"/>
        </w:rPr>
        <w:tab/>
      </w:r>
      <w:r w:rsidR="00646B94">
        <w:rPr>
          <w:rFonts w:hint="cs"/>
          <w:rtl/>
        </w:rPr>
        <w:t>318</w:t>
      </w:r>
    </w:p>
    <w:p w:rsidR="000F705E" w:rsidRDefault="000F705E" w:rsidP="00646B94">
      <w:pPr>
        <w:pStyle w:val="Index1"/>
        <w:rPr>
          <w:rtl/>
        </w:rPr>
      </w:pPr>
      <w:r>
        <w:rPr>
          <w:rFonts w:hint="eastAsia"/>
          <w:rtl/>
        </w:rPr>
        <w:t>فقال</w:t>
      </w:r>
      <w:r w:rsidR="0006641A">
        <w:rPr>
          <w:rFonts w:hint="cs"/>
          <w:rtl/>
        </w:rPr>
        <w:t xml:space="preserve"> </w:t>
      </w:r>
      <w:r>
        <w:rPr>
          <w:rFonts w:hint="eastAsia"/>
          <w:rtl/>
        </w:rPr>
        <w:t>رسول</w:t>
      </w:r>
      <w:r w:rsidR="0006641A">
        <w:rPr>
          <w:rFonts w:hint="cs"/>
          <w:rtl/>
        </w:rPr>
        <w:t xml:space="preserve"> </w:t>
      </w:r>
      <w:r>
        <w:rPr>
          <w:rFonts w:hint="eastAsia"/>
          <w:rtl/>
        </w:rPr>
        <w:t>الله</w:t>
      </w:r>
      <w:r w:rsidR="0006641A">
        <w:rPr>
          <w:rFonts w:hint="cs"/>
          <w:rtl/>
        </w:rPr>
        <w:t xml:space="preserve"> </w:t>
      </w:r>
      <w:r w:rsidRPr="00C85F0F">
        <w:rPr>
          <w:rFonts w:ascii="Traditional Arabic" w:hAnsi="Traditional Arabic"/>
          <w:color w:val="auto"/>
          <w:rtl/>
          <w:lang w:eastAsia="en-US"/>
        </w:rPr>
        <w:sym w:font="AGA Arabesque" w:char="F072"/>
      </w:r>
      <w:r w:rsidR="0006641A">
        <w:rPr>
          <w:rFonts w:hint="cs"/>
          <w:rtl/>
        </w:rPr>
        <w:t xml:space="preserve"> </w:t>
      </w:r>
      <w:r>
        <w:rPr>
          <w:rFonts w:hint="eastAsia"/>
          <w:rtl/>
        </w:rPr>
        <w:t>بيده</w:t>
      </w:r>
      <w:r w:rsidR="0006641A">
        <w:rPr>
          <w:rFonts w:hint="cs"/>
          <w:rtl/>
        </w:rPr>
        <w:t xml:space="preserve"> </w:t>
      </w:r>
      <w:r>
        <w:rPr>
          <w:rFonts w:hint="eastAsia"/>
          <w:rtl/>
        </w:rPr>
        <w:t>اليمنى</w:t>
      </w:r>
      <w:r>
        <w:rPr>
          <w:rtl/>
        </w:rPr>
        <w:t>:</w:t>
      </w:r>
      <w:r w:rsidR="0006641A">
        <w:rPr>
          <w:rFonts w:hint="cs"/>
          <w:rtl/>
        </w:rPr>
        <w:t xml:space="preserve"> </w:t>
      </w:r>
      <w:r>
        <w:rPr>
          <w:rtl/>
        </w:rPr>
        <w:t>"</w:t>
      </w:r>
      <w:r>
        <w:rPr>
          <w:rFonts w:hint="eastAsia"/>
          <w:rtl/>
        </w:rPr>
        <w:t>هذه</w:t>
      </w:r>
      <w:r w:rsidR="0006641A">
        <w:rPr>
          <w:rFonts w:hint="cs"/>
          <w:rtl/>
        </w:rPr>
        <w:t xml:space="preserve"> </w:t>
      </w:r>
      <w:r>
        <w:rPr>
          <w:rFonts w:hint="eastAsia"/>
          <w:rtl/>
        </w:rPr>
        <w:t>يد</w:t>
      </w:r>
      <w:r w:rsidR="0006641A">
        <w:rPr>
          <w:rFonts w:hint="cs"/>
          <w:rtl/>
        </w:rPr>
        <w:t xml:space="preserve"> </w:t>
      </w:r>
      <w:r>
        <w:rPr>
          <w:rFonts w:hint="eastAsia"/>
          <w:rtl/>
        </w:rPr>
        <w:t>عثمان</w:t>
      </w:r>
      <w:r>
        <w:rPr>
          <w:rtl/>
        </w:rPr>
        <w:t>"</w:t>
      </w:r>
      <w:r>
        <w:rPr>
          <w:rFonts w:hint="eastAsia"/>
          <w:rtl/>
        </w:rPr>
        <w:t>،</w:t>
      </w:r>
      <w:r>
        <w:rPr>
          <w:rtl/>
          <w:lang w:bidi="ar-DZ"/>
        </w:rPr>
        <w:tab/>
      </w:r>
      <w:r w:rsidR="00646B94">
        <w:rPr>
          <w:rFonts w:hint="cs"/>
          <w:rtl/>
          <w:lang w:bidi="ar-DZ"/>
        </w:rPr>
        <w:t>156</w:t>
      </w:r>
    </w:p>
    <w:p w:rsidR="000F705E" w:rsidRDefault="000F705E">
      <w:pPr>
        <w:pStyle w:val="Index1"/>
        <w:rPr>
          <w:rtl/>
        </w:rPr>
      </w:pPr>
      <w:r w:rsidRPr="009C5753">
        <w:rPr>
          <w:rFonts w:ascii="Traditional Arabic" w:hAnsi="Traditional Arabic" w:hint="eastAsia"/>
          <w:rtl/>
          <w:lang w:eastAsia="en-US"/>
        </w:rPr>
        <w:t>قضى</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النبي</w:t>
      </w:r>
      <w:r w:rsidR="0006641A">
        <w:rPr>
          <w:rFonts w:ascii="Traditional Arabic" w:hAnsi="Traditional Arabic" w:hint="cs"/>
          <w:rtl/>
          <w:lang w:eastAsia="en-US"/>
        </w:rPr>
        <w:t xml:space="preserve"> صلى الله عليه وسلم </w:t>
      </w:r>
      <w:r w:rsidRPr="009C5753">
        <w:rPr>
          <w:rFonts w:ascii="Traditional Arabic" w:hAnsi="Traditional Arabic" w:hint="eastAsia"/>
          <w:rtl/>
          <w:lang w:eastAsia="en-US"/>
        </w:rPr>
        <w:t>بالشفعة</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في</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كل</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ما</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لم</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يُقْسَم</w:t>
      </w:r>
      <w:r w:rsidR="00646B94">
        <w:rPr>
          <w:rFonts w:hint="cs"/>
          <w:rtl/>
        </w:rPr>
        <w:t>............................400</w:t>
      </w:r>
    </w:p>
    <w:p w:rsidR="000F705E" w:rsidRDefault="000F705E" w:rsidP="00646B94">
      <w:pPr>
        <w:pStyle w:val="Index1"/>
        <w:rPr>
          <w:rtl/>
        </w:rPr>
      </w:pPr>
      <w:r w:rsidRPr="009C5753">
        <w:rPr>
          <w:rFonts w:ascii="Traditional Arabic" w:hAnsi="Traditional Arabic" w:hint="eastAsia"/>
          <w:rtl/>
          <w:lang w:eastAsia="en-US"/>
        </w:rPr>
        <w:t>قضى</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رسول</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الله</w:t>
      </w:r>
      <w:r w:rsidR="0006641A">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06641A">
        <w:rPr>
          <w:rFonts w:ascii="Traditional Arabic" w:hAnsi="Traditional Arabic" w:hint="cs"/>
          <w:rtl/>
          <w:lang w:eastAsia="en-US"/>
        </w:rPr>
        <w:t xml:space="preserve"> </w:t>
      </w:r>
      <w:r w:rsidRPr="009C5753">
        <w:rPr>
          <w:rFonts w:ascii="Traditional Arabic" w:hAnsi="Traditional Arabic" w:hint="eastAsia"/>
          <w:rtl/>
          <w:lang w:eastAsia="en-US"/>
        </w:rPr>
        <w:t>أنَّ</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حِفْظَ</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الحَوائِط</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بالنهار</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على</w:t>
      </w:r>
      <w:r w:rsidR="0006641A">
        <w:rPr>
          <w:rFonts w:ascii="Traditional Arabic" w:hAnsi="Traditional Arabic" w:hint="cs"/>
          <w:rtl/>
          <w:lang w:eastAsia="en-US"/>
        </w:rPr>
        <w:t xml:space="preserve"> </w:t>
      </w:r>
      <w:r w:rsidRPr="009C5753">
        <w:rPr>
          <w:rFonts w:ascii="Traditional Arabic" w:hAnsi="Traditional Arabic" w:hint="eastAsia"/>
          <w:rtl/>
          <w:lang w:eastAsia="en-US"/>
        </w:rPr>
        <w:t>أهلها،</w:t>
      </w:r>
      <w:r>
        <w:rPr>
          <w:rtl/>
          <w:lang w:bidi="ar-DZ"/>
        </w:rPr>
        <w:tab/>
      </w:r>
      <w:r w:rsidR="00646B94">
        <w:rPr>
          <w:rFonts w:hint="cs"/>
          <w:rtl/>
        </w:rPr>
        <w:t>344</w:t>
      </w:r>
    </w:p>
    <w:p w:rsidR="00CD5467" w:rsidRPr="00CD5467" w:rsidRDefault="00CD5467" w:rsidP="00CD5467">
      <w:pPr>
        <w:ind w:firstLine="0"/>
        <w:rPr>
          <w:rtl/>
        </w:rPr>
      </w:pPr>
      <w:r>
        <w:rPr>
          <w:rFonts w:hint="cs"/>
          <w:rtl/>
        </w:rPr>
        <w:t>كان أبي يزيد أخرج دنانير يتصدق بها.................................................204</w:t>
      </w:r>
    </w:p>
    <w:p w:rsidR="000F705E" w:rsidRDefault="000F705E" w:rsidP="00AF3C55">
      <w:pPr>
        <w:pStyle w:val="Index1"/>
        <w:rPr>
          <w:rtl/>
        </w:rPr>
      </w:pPr>
      <w:r w:rsidRPr="009C5753">
        <w:rPr>
          <w:rFonts w:ascii="Traditional Arabic" w:hAnsi="Traditional Arabic" w:hint="eastAsia"/>
          <w:rtl/>
        </w:rPr>
        <w:t>كان</w:t>
      </w:r>
      <w:r w:rsidR="0006641A">
        <w:rPr>
          <w:rFonts w:ascii="Traditional Arabic" w:hAnsi="Traditional Arabic" w:hint="cs"/>
          <w:rtl/>
        </w:rPr>
        <w:t xml:space="preserve"> </w:t>
      </w:r>
      <w:r w:rsidRPr="009C5753">
        <w:rPr>
          <w:rFonts w:ascii="Traditional Arabic" w:hAnsi="Traditional Arabic" w:hint="eastAsia"/>
          <w:rtl/>
        </w:rPr>
        <w:t>رسول</w:t>
      </w:r>
      <w:r w:rsidR="0006641A">
        <w:rPr>
          <w:rFonts w:ascii="Traditional Arabic" w:hAnsi="Traditional Arabic" w:hint="cs"/>
          <w:rtl/>
        </w:rPr>
        <w:t xml:space="preserve"> </w:t>
      </w:r>
      <w:r w:rsidRPr="009C5753">
        <w:rPr>
          <w:rFonts w:ascii="Traditional Arabic" w:hAnsi="Traditional Arabic" w:hint="eastAsia"/>
          <w:rtl/>
        </w:rPr>
        <w:t>الله</w:t>
      </w:r>
      <w:r w:rsidR="0006641A">
        <w:rPr>
          <w:rFonts w:ascii="Traditional Arabic" w:hAnsi="Traditional Arabic" w:hint="cs"/>
          <w:rtl/>
        </w:rPr>
        <w:t xml:space="preserve"> </w:t>
      </w:r>
      <w:r w:rsidRPr="00C85F0F">
        <w:rPr>
          <w:rFonts w:ascii="Traditional Arabic" w:hAnsi="Traditional Arabic"/>
          <w:rtl/>
        </w:rPr>
        <w:sym w:font="AGA Arabesque" w:char="F065"/>
      </w:r>
      <w:r w:rsidR="0006641A">
        <w:rPr>
          <w:rFonts w:ascii="Traditional Arabic" w:hAnsi="Traditional Arabic" w:hint="cs"/>
          <w:rtl/>
        </w:rPr>
        <w:t xml:space="preserve"> </w:t>
      </w:r>
      <w:r w:rsidRPr="009C5753">
        <w:rPr>
          <w:rFonts w:ascii="Traditional Arabic" w:hAnsi="Traditional Arabic" w:hint="eastAsia"/>
          <w:rtl/>
        </w:rPr>
        <w:t>إذا</w:t>
      </w:r>
      <w:r w:rsidR="0006641A">
        <w:rPr>
          <w:rFonts w:ascii="Traditional Arabic" w:hAnsi="Traditional Arabic" w:hint="cs"/>
          <w:rtl/>
        </w:rPr>
        <w:t xml:space="preserve"> </w:t>
      </w:r>
      <w:r w:rsidRPr="009C5753">
        <w:rPr>
          <w:rFonts w:ascii="Traditional Arabic" w:hAnsi="Traditional Arabic" w:hint="eastAsia"/>
          <w:rtl/>
        </w:rPr>
        <w:t>أراد</w:t>
      </w:r>
      <w:r w:rsidR="0006641A">
        <w:rPr>
          <w:rFonts w:ascii="Traditional Arabic" w:hAnsi="Traditional Arabic" w:hint="cs"/>
          <w:rtl/>
        </w:rPr>
        <w:t xml:space="preserve"> </w:t>
      </w:r>
      <w:r w:rsidRPr="009C5753">
        <w:rPr>
          <w:rFonts w:ascii="Traditional Arabic" w:hAnsi="Traditional Arabic" w:hint="eastAsia"/>
          <w:rtl/>
        </w:rPr>
        <w:t>سفراً</w:t>
      </w:r>
      <w:r w:rsidR="0006641A">
        <w:rPr>
          <w:rFonts w:ascii="Traditional Arabic" w:hAnsi="Traditional Arabic" w:hint="cs"/>
          <w:rtl/>
        </w:rPr>
        <w:t xml:space="preserve"> </w:t>
      </w:r>
      <w:r w:rsidRPr="009C5753">
        <w:rPr>
          <w:rFonts w:ascii="Traditional Arabic" w:hAnsi="Traditional Arabic" w:hint="eastAsia"/>
          <w:rtl/>
        </w:rPr>
        <w:t>أَقْرَع</w:t>
      </w:r>
      <w:r w:rsidR="0006641A">
        <w:rPr>
          <w:rFonts w:ascii="Traditional Arabic" w:hAnsi="Traditional Arabic" w:hint="cs"/>
          <w:rtl/>
        </w:rPr>
        <w:t xml:space="preserve"> </w:t>
      </w:r>
      <w:r w:rsidRPr="009C5753">
        <w:rPr>
          <w:rFonts w:ascii="Traditional Arabic" w:hAnsi="Traditional Arabic" w:hint="eastAsia"/>
          <w:rtl/>
        </w:rPr>
        <w:t>بين</w:t>
      </w:r>
      <w:r w:rsidR="0006641A">
        <w:rPr>
          <w:rFonts w:ascii="Traditional Arabic" w:hAnsi="Traditional Arabic" w:hint="cs"/>
          <w:rtl/>
        </w:rPr>
        <w:t xml:space="preserve"> </w:t>
      </w:r>
      <w:r w:rsidRPr="009C5753">
        <w:rPr>
          <w:rFonts w:ascii="Traditional Arabic" w:hAnsi="Traditional Arabic" w:hint="eastAsia"/>
          <w:rtl/>
        </w:rPr>
        <w:t>نسائه،</w:t>
      </w:r>
      <w:r>
        <w:rPr>
          <w:rtl/>
          <w:lang w:bidi="ar-DZ"/>
        </w:rPr>
        <w:tab/>
      </w:r>
      <w:r w:rsidR="00AF3C55">
        <w:rPr>
          <w:rFonts w:hint="cs"/>
          <w:rtl/>
          <w:lang w:bidi="ar-DZ"/>
        </w:rPr>
        <w:t>407</w:t>
      </w:r>
    </w:p>
    <w:p w:rsidR="000F705E" w:rsidRDefault="000F705E" w:rsidP="00AF3C55">
      <w:pPr>
        <w:pStyle w:val="Index1"/>
        <w:rPr>
          <w:rtl/>
        </w:rPr>
      </w:pPr>
      <w:r w:rsidRPr="009C5753">
        <w:rPr>
          <w:rFonts w:ascii="Traditional Arabic" w:hAnsi="Traditional Arabic" w:hint="eastAsia"/>
          <w:rtl/>
          <w:lang w:eastAsia="en-US"/>
        </w:rPr>
        <w:t>كانت</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امرأتان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معهما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ابناهما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جاء</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الذئب</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فذهب</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بابن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إحداهما</w:t>
      </w:r>
      <w:r>
        <w:rPr>
          <w:rtl/>
          <w:lang w:bidi="ar-DZ"/>
        </w:rPr>
        <w:tab/>
      </w:r>
      <w:r w:rsidR="00AF3C55">
        <w:rPr>
          <w:rFonts w:hint="cs"/>
          <w:rtl/>
        </w:rPr>
        <w:t>434</w:t>
      </w:r>
    </w:p>
    <w:p w:rsidR="000F705E" w:rsidRDefault="000F705E" w:rsidP="00AF3C55">
      <w:pPr>
        <w:pStyle w:val="Index1"/>
        <w:rPr>
          <w:rtl/>
        </w:rPr>
      </w:pPr>
      <w:r w:rsidRPr="009C5753">
        <w:rPr>
          <w:rFonts w:ascii="Traditional Arabic" w:hAnsi="Traditional Arabic" w:hint="eastAsia"/>
          <w:rtl/>
        </w:rPr>
        <w:lastRenderedPageBreak/>
        <w:t>كتاب</w:t>
      </w:r>
      <w:r w:rsidR="009B6EF3">
        <w:rPr>
          <w:rFonts w:ascii="Traditional Arabic" w:hAnsi="Traditional Arabic" w:hint="cs"/>
          <w:rtl/>
        </w:rPr>
        <w:t xml:space="preserve"> </w:t>
      </w:r>
      <w:r w:rsidRPr="009C5753">
        <w:rPr>
          <w:rFonts w:ascii="Traditional Arabic" w:hAnsi="Traditional Arabic" w:hint="eastAsia"/>
          <w:rtl/>
        </w:rPr>
        <w:t>النبي</w:t>
      </w:r>
      <w:r w:rsidR="009B6EF3">
        <w:rPr>
          <w:rFonts w:ascii="Traditional Arabic" w:hAnsi="Traditional Arabic" w:hint="cs"/>
          <w:rtl/>
        </w:rPr>
        <w:t xml:space="preserve"> </w:t>
      </w:r>
      <w:r w:rsidRPr="00C85F0F">
        <w:rPr>
          <w:rFonts w:ascii="Traditional Arabic" w:hAnsi="Traditional Arabic"/>
          <w:color w:val="auto"/>
          <w:rtl/>
          <w:lang w:eastAsia="en-US"/>
        </w:rPr>
        <w:sym w:font="AGA Arabesque" w:char="F072"/>
      </w:r>
      <w:r w:rsidR="009B6EF3">
        <w:rPr>
          <w:rFonts w:ascii="Traditional Arabic" w:hAnsi="Traditional Arabic" w:hint="cs"/>
          <w:rtl/>
        </w:rPr>
        <w:t xml:space="preserve"> </w:t>
      </w:r>
      <w:r w:rsidRPr="009C5753">
        <w:rPr>
          <w:rFonts w:ascii="Traditional Arabic" w:hAnsi="Traditional Arabic" w:hint="eastAsia"/>
          <w:rtl/>
        </w:rPr>
        <w:t>الذي</w:t>
      </w:r>
      <w:r w:rsidR="009B6EF3">
        <w:rPr>
          <w:rFonts w:ascii="Traditional Arabic" w:hAnsi="Traditional Arabic" w:hint="cs"/>
          <w:rtl/>
        </w:rPr>
        <w:t xml:space="preserve"> </w:t>
      </w:r>
      <w:r w:rsidRPr="009C5753">
        <w:rPr>
          <w:rFonts w:ascii="Traditional Arabic" w:hAnsi="Traditional Arabic" w:hint="eastAsia"/>
          <w:rtl/>
        </w:rPr>
        <w:t>بعث</w:t>
      </w:r>
      <w:r w:rsidR="009B6EF3">
        <w:rPr>
          <w:rFonts w:ascii="Traditional Arabic" w:hAnsi="Traditional Arabic" w:hint="cs"/>
          <w:rtl/>
        </w:rPr>
        <w:t xml:space="preserve"> </w:t>
      </w:r>
      <w:r w:rsidRPr="009C5753">
        <w:rPr>
          <w:rFonts w:ascii="Traditional Arabic" w:hAnsi="Traditional Arabic" w:hint="eastAsia"/>
          <w:rtl/>
        </w:rPr>
        <w:t>به</w:t>
      </w:r>
      <w:r w:rsidR="009B6EF3">
        <w:rPr>
          <w:rFonts w:ascii="Traditional Arabic" w:hAnsi="Traditional Arabic" w:hint="cs"/>
          <w:rtl/>
        </w:rPr>
        <w:t xml:space="preserve"> </w:t>
      </w:r>
      <w:r w:rsidR="00AF3C55">
        <w:rPr>
          <w:rFonts w:ascii="Traditional Arabic" w:hAnsi="Traditional Arabic" w:hint="eastAsia"/>
          <w:rtl/>
        </w:rPr>
        <w:t>دِحْيَة</w:t>
      </w:r>
      <w:r w:rsidR="00AF3C55">
        <w:rPr>
          <w:rFonts w:ascii="Traditional Arabic" w:hAnsi="Traditional Arabic" w:hint="cs"/>
          <w:rtl/>
        </w:rPr>
        <w:t>َ</w:t>
      </w:r>
      <w:r w:rsidR="009B6EF3">
        <w:rPr>
          <w:rFonts w:ascii="Traditional Arabic" w:hAnsi="Traditional Arabic" w:hint="cs"/>
          <w:rtl/>
        </w:rPr>
        <w:t xml:space="preserve"> </w:t>
      </w:r>
      <w:r w:rsidRPr="009C5753">
        <w:rPr>
          <w:rFonts w:ascii="Traditional Arabic" w:hAnsi="Traditional Arabic" w:hint="eastAsia"/>
          <w:rtl/>
        </w:rPr>
        <w:t>اإلى</w:t>
      </w:r>
      <w:r w:rsidR="009B6EF3">
        <w:rPr>
          <w:rFonts w:ascii="Traditional Arabic" w:hAnsi="Traditional Arabic" w:hint="cs"/>
          <w:rtl/>
        </w:rPr>
        <w:t xml:space="preserve"> </w:t>
      </w:r>
      <w:r w:rsidRPr="009C5753">
        <w:rPr>
          <w:rFonts w:ascii="Traditional Arabic" w:hAnsi="Traditional Arabic" w:hint="eastAsia"/>
          <w:rtl/>
        </w:rPr>
        <w:t>عظيم</w:t>
      </w:r>
      <w:r w:rsidR="009B6EF3">
        <w:rPr>
          <w:rFonts w:ascii="Traditional Arabic" w:hAnsi="Traditional Arabic" w:hint="cs"/>
          <w:rtl/>
        </w:rPr>
        <w:t xml:space="preserve"> </w:t>
      </w:r>
      <w:r w:rsidRPr="009C5753">
        <w:rPr>
          <w:rFonts w:ascii="Traditional Arabic" w:hAnsi="Traditional Arabic" w:hint="eastAsia"/>
          <w:rtl/>
        </w:rPr>
        <w:t>بُصْرى،</w:t>
      </w:r>
      <w:r w:rsidR="009B6EF3">
        <w:rPr>
          <w:rFonts w:ascii="Traditional Arabic" w:hAnsi="Traditional Arabic" w:hint="cs"/>
          <w:rtl/>
        </w:rPr>
        <w:t xml:space="preserve"> </w:t>
      </w:r>
      <w:r w:rsidRPr="009C5753">
        <w:rPr>
          <w:rFonts w:ascii="Traditional Arabic" w:hAnsi="Traditional Arabic" w:hint="eastAsia"/>
          <w:rtl/>
        </w:rPr>
        <w:t>فدفعه</w:t>
      </w:r>
      <w:r w:rsidR="009B6EF3">
        <w:rPr>
          <w:rFonts w:ascii="Traditional Arabic" w:hAnsi="Traditional Arabic" w:hint="cs"/>
          <w:rtl/>
        </w:rPr>
        <w:t xml:space="preserve"> </w:t>
      </w:r>
      <w:r w:rsidRPr="009C5753">
        <w:rPr>
          <w:rFonts w:ascii="Traditional Arabic" w:hAnsi="Traditional Arabic" w:hint="eastAsia"/>
          <w:rtl/>
        </w:rPr>
        <w:t>إلى</w:t>
      </w:r>
      <w:r w:rsidR="009B6EF3">
        <w:rPr>
          <w:rFonts w:ascii="Traditional Arabic" w:hAnsi="Traditional Arabic" w:hint="cs"/>
          <w:rtl/>
        </w:rPr>
        <w:t xml:space="preserve"> </w:t>
      </w:r>
      <w:r w:rsidRPr="009C5753">
        <w:rPr>
          <w:rFonts w:ascii="Traditional Arabic" w:hAnsi="Traditional Arabic" w:hint="eastAsia"/>
          <w:rtl/>
        </w:rPr>
        <w:t>هِرَقْل</w:t>
      </w:r>
      <w:r>
        <w:rPr>
          <w:rtl/>
          <w:lang w:bidi="ar-DZ"/>
        </w:rPr>
        <w:tab/>
      </w:r>
      <w:r w:rsidR="00AF3C55">
        <w:rPr>
          <w:rFonts w:hint="cs"/>
          <w:rtl/>
          <w:lang w:bidi="ar-DZ"/>
        </w:rPr>
        <w:t>324</w:t>
      </w:r>
    </w:p>
    <w:p w:rsidR="000F705E" w:rsidRDefault="000F705E">
      <w:pPr>
        <w:pStyle w:val="Index1"/>
        <w:rPr>
          <w:rtl/>
        </w:rPr>
      </w:pPr>
      <w:r w:rsidRPr="009C5753">
        <w:rPr>
          <w:rFonts w:ascii="Traditional Arabic" w:hAnsi="Traditional Arabic" w:hint="eastAsia"/>
          <w:rtl/>
          <w:lang w:eastAsia="en-US"/>
        </w:rPr>
        <w:t>كل</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شرط</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ليس</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في</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كتاب</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الله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فهو</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باطل</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وإن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كان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مائة</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شرط</w:t>
      </w:r>
      <w:r w:rsidR="00AF3C55">
        <w:rPr>
          <w:rFonts w:hint="cs"/>
          <w:rtl/>
          <w:lang w:bidi="ar-DZ"/>
        </w:rPr>
        <w:t>............................301</w:t>
      </w:r>
    </w:p>
    <w:p w:rsidR="000F705E" w:rsidRDefault="000F705E">
      <w:pPr>
        <w:pStyle w:val="Index1"/>
        <w:rPr>
          <w:rtl/>
        </w:rPr>
      </w:pPr>
      <w:r>
        <w:rPr>
          <w:rFonts w:hint="eastAsia"/>
          <w:rtl/>
        </w:rPr>
        <w:t>كل</w:t>
      </w:r>
      <w:r w:rsidR="009B6EF3">
        <w:rPr>
          <w:rFonts w:hint="cs"/>
          <w:rtl/>
        </w:rPr>
        <w:t xml:space="preserve"> </w:t>
      </w:r>
      <w:r>
        <w:rPr>
          <w:rFonts w:hint="eastAsia"/>
          <w:rtl/>
        </w:rPr>
        <w:t>قرض</w:t>
      </w:r>
      <w:r w:rsidR="009B6EF3">
        <w:rPr>
          <w:rFonts w:hint="cs"/>
          <w:rtl/>
        </w:rPr>
        <w:t xml:space="preserve"> </w:t>
      </w:r>
      <w:r>
        <w:rPr>
          <w:rFonts w:hint="eastAsia"/>
          <w:rtl/>
        </w:rPr>
        <w:t>جر</w:t>
      </w:r>
      <w:r w:rsidR="009B6EF3">
        <w:rPr>
          <w:rFonts w:hint="cs"/>
          <w:rtl/>
        </w:rPr>
        <w:t xml:space="preserve"> </w:t>
      </w:r>
      <w:r>
        <w:rPr>
          <w:rFonts w:hint="eastAsia"/>
          <w:rtl/>
        </w:rPr>
        <w:t>منفعة</w:t>
      </w:r>
      <w:r w:rsidR="009B6EF3">
        <w:rPr>
          <w:rFonts w:hint="cs"/>
          <w:rtl/>
        </w:rPr>
        <w:t xml:space="preserve"> </w:t>
      </w:r>
      <w:r>
        <w:rPr>
          <w:rFonts w:hint="eastAsia"/>
          <w:rtl/>
        </w:rPr>
        <w:t>فهو</w:t>
      </w:r>
      <w:r w:rsidR="009B6EF3">
        <w:rPr>
          <w:rFonts w:hint="cs"/>
          <w:rtl/>
        </w:rPr>
        <w:t xml:space="preserve"> </w:t>
      </w:r>
      <w:r>
        <w:rPr>
          <w:rFonts w:hint="eastAsia"/>
          <w:rtl/>
        </w:rPr>
        <w:t>ربا</w:t>
      </w:r>
      <w:r w:rsidR="00AF3C55">
        <w:rPr>
          <w:rFonts w:hint="cs"/>
          <w:rtl/>
          <w:lang w:bidi="ar-DZ"/>
        </w:rPr>
        <w:t>....................................................</w:t>
      </w:r>
      <w:r w:rsidR="00AF3C55">
        <w:rPr>
          <w:rFonts w:hint="cs"/>
          <w:rtl/>
        </w:rPr>
        <w:t>89، 525</w:t>
      </w:r>
    </w:p>
    <w:p w:rsidR="000F705E" w:rsidRDefault="000F705E" w:rsidP="00AF3C55">
      <w:pPr>
        <w:pStyle w:val="Index1"/>
        <w:rPr>
          <w:rtl/>
        </w:rPr>
      </w:pPr>
      <w:r>
        <w:rPr>
          <w:rFonts w:hint="eastAsia"/>
          <w:rtl/>
        </w:rPr>
        <w:t>كنا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نسلِّم</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على</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النبي</w:t>
      </w:r>
      <w:r w:rsidR="009B6EF3">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9B6EF3">
        <w:rPr>
          <w:rFonts w:ascii="Traditional Arabic" w:hAnsi="Traditional Arabic" w:hint="cs"/>
          <w:rtl/>
          <w:lang w:eastAsia="en-US"/>
        </w:rPr>
        <w:t xml:space="preserve"> </w:t>
      </w:r>
      <w:r w:rsidRPr="009C5753">
        <w:rPr>
          <w:rFonts w:ascii="Traditional Arabic" w:hAnsi="Traditional Arabic" w:hint="eastAsia"/>
          <w:rtl/>
          <w:lang w:eastAsia="en-US"/>
        </w:rPr>
        <w:t>وهو</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في</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الصلاة</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فيردُّ</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علينا،</w:t>
      </w:r>
      <w:r>
        <w:rPr>
          <w:rtl/>
          <w:lang w:bidi="ar-DZ"/>
        </w:rPr>
        <w:tab/>
      </w:r>
      <w:r w:rsidR="00AF3C55">
        <w:rPr>
          <w:rFonts w:hint="cs"/>
          <w:rtl/>
          <w:lang w:bidi="ar-DZ"/>
        </w:rPr>
        <w:t>486</w:t>
      </w:r>
    </w:p>
    <w:p w:rsidR="000F705E" w:rsidRDefault="000F705E" w:rsidP="00AF3C55">
      <w:pPr>
        <w:pStyle w:val="Index1"/>
        <w:rPr>
          <w:rtl/>
        </w:rPr>
      </w:pPr>
      <w:r w:rsidRPr="009C5753">
        <w:rPr>
          <w:rFonts w:ascii="Traditional Arabic" w:hAnsi="Traditional Arabic" w:hint="eastAsia"/>
          <w:rtl/>
        </w:rPr>
        <w:t>لاتَحاسَدوا،</w:t>
      </w:r>
      <w:r w:rsidR="009B6EF3">
        <w:rPr>
          <w:rFonts w:ascii="Traditional Arabic" w:hAnsi="Traditional Arabic" w:hint="cs"/>
          <w:rtl/>
        </w:rPr>
        <w:t xml:space="preserve"> </w:t>
      </w:r>
      <w:r w:rsidRPr="009C5753">
        <w:rPr>
          <w:rFonts w:ascii="Traditional Arabic" w:hAnsi="Traditional Arabic" w:hint="eastAsia"/>
          <w:rtl/>
        </w:rPr>
        <w:t>ولاتَناجشوا،</w:t>
      </w:r>
      <w:r w:rsidR="009B6EF3">
        <w:rPr>
          <w:rFonts w:ascii="Traditional Arabic" w:hAnsi="Traditional Arabic" w:hint="cs"/>
          <w:rtl/>
        </w:rPr>
        <w:t xml:space="preserve"> </w:t>
      </w:r>
      <w:r w:rsidRPr="009C5753">
        <w:rPr>
          <w:rFonts w:ascii="Traditional Arabic" w:hAnsi="Traditional Arabic" w:hint="eastAsia"/>
          <w:rtl/>
        </w:rPr>
        <w:t>ولاتَباغضوا،</w:t>
      </w:r>
      <w:r w:rsidR="009B6EF3">
        <w:rPr>
          <w:rFonts w:ascii="Traditional Arabic" w:hAnsi="Traditional Arabic" w:hint="cs"/>
          <w:rtl/>
        </w:rPr>
        <w:t xml:space="preserve"> </w:t>
      </w:r>
      <w:r w:rsidRPr="009C5753">
        <w:rPr>
          <w:rFonts w:ascii="Traditional Arabic" w:hAnsi="Traditional Arabic" w:hint="eastAsia"/>
          <w:rtl/>
        </w:rPr>
        <w:t>ولاتَدابروا،</w:t>
      </w:r>
      <w:r>
        <w:rPr>
          <w:rtl/>
          <w:lang w:bidi="ar-DZ"/>
        </w:rPr>
        <w:tab/>
      </w:r>
      <w:r w:rsidR="00AF3C55">
        <w:rPr>
          <w:rFonts w:hint="cs"/>
          <w:rtl/>
        </w:rPr>
        <w:t>440</w:t>
      </w:r>
    </w:p>
    <w:p w:rsidR="000F705E" w:rsidRDefault="000F705E">
      <w:pPr>
        <w:pStyle w:val="Index1"/>
        <w:rPr>
          <w:rtl/>
        </w:rPr>
      </w:pPr>
      <w:r w:rsidRPr="009C5753">
        <w:rPr>
          <w:rFonts w:ascii="Traditional Arabic" w:hAnsi="Traditional Arabic" w:hint="eastAsia"/>
          <w:rtl/>
          <w:lang w:eastAsia="en-US"/>
        </w:rPr>
        <w:t>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تزال</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أمتي</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على</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سنتي</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ما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لم</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تنتظر</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بفطرها</w:t>
      </w:r>
      <w:r w:rsidR="009B6EF3">
        <w:rPr>
          <w:rFonts w:ascii="Traditional Arabic" w:hAnsi="Traditional Arabic" w:hint="cs"/>
          <w:rtl/>
          <w:lang w:eastAsia="en-US"/>
        </w:rPr>
        <w:t xml:space="preserve"> </w:t>
      </w:r>
      <w:r w:rsidR="00AF3C55">
        <w:rPr>
          <w:rFonts w:ascii="Traditional Arabic" w:hAnsi="Traditional Arabic" w:hint="eastAsia"/>
          <w:rtl/>
          <w:lang w:eastAsia="en-US"/>
        </w:rPr>
        <w:t>النجو</w:t>
      </w:r>
      <w:r w:rsidR="00AF3C55">
        <w:rPr>
          <w:rFonts w:ascii="Traditional Arabic" w:hAnsi="Traditional Arabic" w:hint="cs"/>
          <w:rtl/>
          <w:lang w:eastAsia="en-US"/>
        </w:rPr>
        <w:t>م</w:t>
      </w:r>
      <w:r w:rsidR="00AF3C55">
        <w:rPr>
          <w:rFonts w:hint="cs"/>
          <w:rtl/>
          <w:lang w:bidi="ar-DZ"/>
        </w:rPr>
        <w:t>......................................134</w:t>
      </w:r>
    </w:p>
    <w:p w:rsidR="000F705E" w:rsidRDefault="000F705E" w:rsidP="00AF3C55">
      <w:pPr>
        <w:pStyle w:val="Index1"/>
        <w:rPr>
          <w:rtl/>
        </w:rPr>
      </w:pPr>
      <w:r>
        <w:rPr>
          <w:rFonts w:hint="eastAsia"/>
          <w:rtl/>
        </w:rPr>
        <w:t>لا</w:t>
      </w:r>
      <w:r w:rsidR="009B6EF3">
        <w:rPr>
          <w:rFonts w:hint="cs"/>
          <w:rtl/>
        </w:rPr>
        <w:t xml:space="preserve"> </w:t>
      </w:r>
      <w:r>
        <w:rPr>
          <w:rFonts w:hint="eastAsia"/>
          <w:rtl/>
        </w:rPr>
        <w:t>سَبَقَ</w:t>
      </w:r>
      <w:r w:rsidR="009B6EF3">
        <w:rPr>
          <w:rFonts w:hint="cs"/>
          <w:rtl/>
        </w:rPr>
        <w:t xml:space="preserve"> </w:t>
      </w:r>
      <w:r>
        <w:rPr>
          <w:rFonts w:hint="eastAsia"/>
          <w:rtl/>
        </w:rPr>
        <w:t>إلا</w:t>
      </w:r>
      <w:r w:rsidR="009B6EF3">
        <w:rPr>
          <w:rFonts w:hint="cs"/>
          <w:rtl/>
        </w:rPr>
        <w:t xml:space="preserve"> </w:t>
      </w:r>
      <w:r>
        <w:rPr>
          <w:rFonts w:hint="eastAsia"/>
          <w:rtl/>
        </w:rPr>
        <w:t>في</w:t>
      </w:r>
      <w:r w:rsidR="009B6EF3">
        <w:rPr>
          <w:rFonts w:hint="cs"/>
          <w:rtl/>
        </w:rPr>
        <w:t xml:space="preserve"> </w:t>
      </w:r>
      <w:r>
        <w:rPr>
          <w:rFonts w:hint="eastAsia"/>
          <w:rtl/>
        </w:rPr>
        <w:t>خُفٍّ،</w:t>
      </w:r>
      <w:r w:rsidR="009B6EF3">
        <w:rPr>
          <w:rFonts w:hint="cs"/>
          <w:rtl/>
        </w:rPr>
        <w:t xml:space="preserve"> </w:t>
      </w:r>
      <w:r>
        <w:rPr>
          <w:rFonts w:hint="eastAsia"/>
          <w:rtl/>
        </w:rPr>
        <w:t>أونَصْلٍ،</w:t>
      </w:r>
      <w:r w:rsidR="009B6EF3">
        <w:rPr>
          <w:rFonts w:hint="cs"/>
          <w:rtl/>
        </w:rPr>
        <w:t xml:space="preserve"> </w:t>
      </w:r>
      <w:r>
        <w:rPr>
          <w:rFonts w:hint="eastAsia"/>
          <w:rtl/>
        </w:rPr>
        <w:t>أوحافِرٍ</w:t>
      </w:r>
      <w:r w:rsidR="00AF3C55">
        <w:rPr>
          <w:rFonts w:hint="cs"/>
          <w:rtl/>
          <w:lang w:bidi="ar-DZ"/>
        </w:rPr>
        <w:t>..........................................574، 575</w:t>
      </w:r>
    </w:p>
    <w:p w:rsidR="000F705E" w:rsidRDefault="000F705E">
      <w:pPr>
        <w:pStyle w:val="Index1"/>
        <w:rPr>
          <w:rtl/>
        </w:rPr>
      </w:pPr>
      <w:r w:rsidRPr="009C5753">
        <w:rPr>
          <w:rFonts w:ascii="Traditional Arabic" w:hAnsi="Traditional Arabic" w:hint="eastAsia"/>
          <w:rtl/>
          <w:lang w:eastAsia="en-US"/>
        </w:rPr>
        <w:t>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ضرر</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ولا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ضرار</w:t>
      </w:r>
      <w:r>
        <w:rPr>
          <w:rtl/>
          <w:lang w:bidi="ar-DZ"/>
        </w:rPr>
        <w:tab/>
      </w:r>
      <w:r w:rsidR="00AF3C55">
        <w:rPr>
          <w:rtl/>
          <w:lang w:bidi="ar-DZ"/>
        </w:rPr>
        <w:t>1</w:t>
      </w:r>
      <w:r w:rsidR="00AF3C55">
        <w:rPr>
          <w:rFonts w:hint="cs"/>
          <w:rtl/>
          <w:lang w:bidi="ar-DZ"/>
        </w:rPr>
        <w:t xml:space="preserve">01، </w:t>
      </w:r>
      <w:r w:rsidR="00AF3C55">
        <w:rPr>
          <w:rFonts w:hint="cs"/>
          <w:rtl/>
        </w:rPr>
        <w:t>244، 253، 254، 265</w:t>
      </w:r>
    </w:p>
    <w:p w:rsidR="000F705E" w:rsidRDefault="000F705E">
      <w:pPr>
        <w:pStyle w:val="Index1"/>
        <w:rPr>
          <w:rtl/>
        </w:rPr>
      </w:pPr>
      <w:r w:rsidRPr="009C5753">
        <w:rPr>
          <w:rFonts w:ascii="Traditional Arabic" w:hAnsi="Traditional Arabic" w:hint="eastAsia"/>
          <w:rtl/>
        </w:rPr>
        <w:t>لا</w:t>
      </w:r>
      <w:r w:rsidR="009B6EF3">
        <w:rPr>
          <w:rFonts w:ascii="Traditional Arabic" w:hAnsi="Traditional Arabic" w:hint="cs"/>
          <w:rtl/>
        </w:rPr>
        <w:t xml:space="preserve"> </w:t>
      </w:r>
      <w:r w:rsidRPr="009C5753">
        <w:rPr>
          <w:rFonts w:ascii="Traditional Arabic" w:hAnsi="Traditional Arabic" w:hint="eastAsia"/>
          <w:rtl/>
        </w:rPr>
        <w:t>يبلغ</w:t>
      </w:r>
      <w:r w:rsidR="009B6EF3">
        <w:rPr>
          <w:rFonts w:ascii="Traditional Arabic" w:hAnsi="Traditional Arabic" w:hint="cs"/>
          <w:rtl/>
        </w:rPr>
        <w:t xml:space="preserve"> </w:t>
      </w:r>
      <w:r w:rsidRPr="009C5753">
        <w:rPr>
          <w:rFonts w:ascii="Traditional Arabic" w:hAnsi="Traditional Arabic" w:hint="eastAsia"/>
          <w:rtl/>
        </w:rPr>
        <w:t>العبد</w:t>
      </w:r>
      <w:r w:rsidR="009B6EF3">
        <w:rPr>
          <w:rFonts w:ascii="Traditional Arabic" w:hAnsi="Traditional Arabic" w:hint="cs"/>
          <w:rtl/>
        </w:rPr>
        <w:t xml:space="preserve"> </w:t>
      </w:r>
      <w:r w:rsidRPr="009C5753">
        <w:rPr>
          <w:rFonts w:ascii="Traditional Arabic" w:hAnsi="Traditional Arabic" w:hint="eastAsia"/>
          <w:rtl/>
        </w:rPr>
        <w:t>أن</w:t>
      </w:r>
      <w:r w:rsidR="009B6EF3">
        <w:rPr>
          <w:rFonts w:ascii="Traditional Arabic" w:hAnsi="Traditional Arabic" w:hint="cs"/>
          <w:rtl/>
        </w:rPr>
        <w:t xml:space="preserve"> </w:t>
      </w:r>
      <w:r w:rsidRPr="009C5753">
        <w:rPr>
          <w:rFonts w:ascii="Traditional Arabic" w:hAnsi="Traditional Arabic" w:hint="eastAsia"/>
          <w:rtl/>
        </w:rPr>
        <w:t>يكون</w:t>
      </w:r>
      <w:r w:rsidR="009B6EF3">
        <w:rPr>
          <w:rFonts w:ascii="Traditional Arabic" w:hAnsi="Traditional Arabic" w:hint="cs"/>
          <w:rtl/>
        </w:rPr>
        <w:t xml:space="preserve"> </w:t>
      </w:r>
      <w:r w:rsidRPr="009C5753">
        <w:rPr>
          <w:rFonts w:ascii="Traditional Arabic" w:hAnsi="Traditional Arabic" w:hint="eastAsia"/>
          <w:rtl/>
        </w:rPr>
        <w:t>من</w:t>
      </w:r>
      <w:r w:rsidR="009B6EF3">
        <w:rPr>
          <w:rFonts w:ascii="Traditional Arabic" w:hAnsi="Traditional Arabic" w:hint="cs"/>
          <w:rtl/>
        </w:rPr>
        <w:t xml:space="preserve"> </w:t>
      </w:r>
      <w:r w:rsidRPr="009C5753">
        <w:rPr>
          <w:rFonts w:ascii="Traditional Arabic" w:hAnsi="Traditional Arabic" w:hint="eastAsia"/>
          <w:rtl/>
        </w:rPr>
        <w:t>المتقين،</w:t>
      </w:r>
      <w:r w:rsidR="009B6EF3">
        <w:rPr>
          <w:rFonts w:ascii="Traditional Arabic" w:hAnsi="Traditional Arabic" w:hint="cs"/>
          <w:rtl/>
        </w:rPr>
        <w:t xml:space="preserve"> </w:t>
      </w:r>
      <w:r w:rsidRPr="009C5753">
        <w:rPr>
          <w:rFonts w:ascii="Traditional Arabic" w:hAnsi="Traditional Arabic" w:hint="eastAsia"/>
          <w:rtl/>
        </w:rPr>
        <w:t>حتى</w:t>
      </w:r>
      <w:r w:rsidR="009B6EF3">
        <w:rPr>
          <w:rFonts w:ascii="Traditional Arabic" w:hAnsi="Traditional Arabic" w:hint="cs"/>
          <w:rtl/>
        </w:rPr>
        <w:t xml:space="preserve"> </w:t>
      </w:r>
      <w:r w:rsidRPr="009C5753">
        <w:rPr>
          <w:rFonts w:ascii="Traditional Arabic" w:hAnsi="Traditional Arabic" w:hint="eastAsia"/>
          <w:rtl/>
        </w:rPr>
        <w:t>يَدَعَ</w:t>
      </w:r>
      <w:r w:rsidR="009B6EF3">
        <w:rPr>
          <w:rFonts w:ascii="Traditional Arabic" w:hAnsi="Traditional Arabic" w:hint="cs"/>
          <w:rtl/>
        </w:rPr>
        <w:t xml:space="preserve"> </w:t>
      </w:r>
      <w:r w:rsidRPr="009C5753">
        <w:rPr>
          <w:rFonts w:ascii="Traditional Arabic" w:hAnsi="Traditional Arabic" w:hint="eastAsia"/>
          <w:rtl/>
        </w:rPr>
        <w:t>ما</w:t>
      </w:r>
      <w:r w:rsidR="009B6EF3">
        <w:rPr>
          <w:rFonts w:ascii="Traditional Arabic" w:hAnsi="Traditional Arabic" w:hint="cs"/>
          <w:rtl/>
        </w:rPr>
        <w:t xml:space="preserve"> </w:t>
      </w:r>
      <w:r w:rsidRPr="009C5753">
        <w:rPr>
          <w:rFonts w:ascii="Traditional Arabic" w:hAnsi="Traditional Arabic" w:hint="eastAsia"/>
          <w:rtl/>
        </w:rPr>
        <w:t>لا</w:t>
      </w:r>
      <w:r w:rsidR="009B6EF3">
        <w:rPr>
          <w:rFonts w:ascii="Traditional Arabic" w:hAnsi="Traditional Arabic" w:hint="cs"/>
          <w:rtl/>
        </w:rPr>
        <w:t xml:space="preserve"> </w:t>
      </w:r>
      <w:r w:rsidRPr="009C5753">
        <w:rPr>
          <w:rFonts w:ascii="Traditional Arabic" w:hAnsi="Traditional Arabic" w:hint="eastAsia"/>
          <w:rtl/>
        </w:rPr>
        <w:t>بأس</w:t>
      </w:r>
      <w:r w:rsidR="009B6EF3">
        <w:rPr>
          <w:rFonts w:ascii="Traditional Arabic" w:hAnsi="Traditional Arabic" w:hint="cs"/>
          <w:rtl/>
        </w:rPr>
        <w:t xml:space="preserve"> </w:t>
      </w:r>
      <w:r w:rsidRPr="009C5753">
        <w:rPr>
          <w:rFonts w:ascii="Traditional Arabic" w:hAnsi="Traditional Arabic" w:hint="eastAsia"/>
          <w:rtl/>
        </w:rPr>
        <w:t>به</w:t>
      </w:r>
      <w:r w:rsidR="00AF3C55">
        <w:rPr>
          <w:rtl/>
          <w:lang w:bidi="ar-DZ"/>
        </w:rPr>
        <w:tab/>
        <w:t>1</w:t>
      </w:r>
      <w:r w:rsidR="00AF3C55">
        <w:rPr>
          <w:rFonts w:hint="cs"/>
          <w:rtl/>
        </w:rPr>
        <w:t>25</w:t>
      </w:r>
    </w:p>
    <w:p w:rsidR="000F705E" w:rsidRDefault="000F705E">
      <w:pPr>
        <w:pStyle w:val="Index1"/>
        <w:rPr>
          <w:rtl/>
          <w:lang w:bidi="ar-DZ"/>
        </w:rPr>
      </w:pPr>
      <w:r w:rsidRPr="009C5753">
        <w:rPr>
          <w:rFonts w:ascii="Traditional Arabic" w:hAnsi="Traditional Arabic" w:hint="eastAsia"/>
          <w:rtl/>
          <w:lang w:eastAsia="en-US"/>
        </w:rPr>
        <w:t>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يَحِلُّ</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لامرئٍ</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مِن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مالِ</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أخيه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إلا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ما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أعطاه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مِن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طِيبِ</w:t>
      </w:r>
      <w:r w:rsidR="009B6EF3">
        <w:rPr>
          <w:rFonts w:ascii="Traditional Arabic" w:hAnsi="Traditional Arabic" w:hint="cs"/>
          <w:rtl/>
          <w:lang w:eastAsia="en-US"/>
        </w:rPr>
        <w:t xml:space="preserve"> </w:t>
      </w:r>
      <w:r w:rsidR="00AF3C55">
        <w:rPr>
          <w:rFonts w:ascii="Traditional Arabic" w:hAnsi="Traditional Arabic" w:hint="eastAsia"/>
          <w:rtl/>
          <w:lang w:eastAsia="en-US"/>
        </w:rPr>
        <w:t>نَفْسٍ</w:t>
      </w:r>
      <w:r w:rsidR="00AF3C55">
        <w:rPr>
          <w:rFonts w:ascii="Traditional Arabic" w:hAnsi="Traditional Arabic" w:hint="cs"/>
          <w:rtl/>
          <w:lang w:eastAsia="en-US"/>
        </w:rPr>
        <w:t>...............................318</w:t>
      </w:r>
    </w:p>
    <w:p w:rsidR="000F705E" w:rsidRDefault="000F705E" w:rsidP="00AF3C55">
      <w:pPr>
        <w:pStyle w:val="Index1"/>
        <w:rPr>
          <w:rtl/>
        </w:rPr>
      </w:pPr>
      <w:r w:rsidRPr="009C5753">
        <w:rPr>
          <w:rFonts w:ascii="Traditional Arabic" w:hAnsi="Traditional Arabic" w:hint="eastAsia"/>
          <w:rtl/>
          <w:lang w:eastAsia="en-US"/>
        </w:rPr>
        <w:t>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يَغْلَقُ</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الرهنُ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من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صاحِبه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الذي</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رَهَنه،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له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غُنْمه،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وعليه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غُرْمه</w:t>
      </w:r>
      <w:r>
        <w:rPr>
          <w:rtl/>
          <w:lang w:bidi="ar-DZ"/>
        </w:rPr>
        <w:tab/>
      </w:r>
      <w:r w:rsidR="00AF3C55">
        <w:rPr>
          <w:rFonts w:hint="cs"/>
          <w:rtl/>
        </w:rPr>
        <w:t>348</w:t>
      </w:r>
    </w:p>
    <w:p w:rsidR="000F705E" w:rsidRDefault="000F705E" w:rsidP="00AF3C55">
      <w:pPr>
        <w:pStyle w:val="Index1"/>
        <w:rPr>
          <w:rtl/>
        </w:rPr>
      </w:pPr>
      <w:r w:rsidRPr="009C5753">
        <w:rPr>
          <w:rFonts w:ascii="Traditional Arabic" w:hAnsi="Traditional Arabic" w:hint="eastAsia"/>
          <w:rtl/>
          <w:lang w:eastAsia="en-US"/>
        </w:rPr>
        <w:t>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ينصرف</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حتى</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يسمع</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صوتا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أويجد</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ريحا</w:t>
      </w:r>
      <w:r w:rsidR="00AF3C55">
        <w:rPr>
          <w:rFonts w:hint="cs"/>
          <w:rtl/>
          <w:lang w:bidi="ar-DZ"/>
        </w:rPr>
        <w:t>.......................................</w:t>
      </w:r>
      <w:r w:rsidR="00AF3C55">
        <w:rPr>
          <w:rFonts w:hint="cs"/>
          <w:rtl/>
        </w:rPr>
        <w:t>.</w:t>
      </w:r>
      <w:r w:rsidR="00AF3C55">
        <w:rPr>
          <w:rFonts w:hint="cs"/>
          <w:rtl/>
          <w:lang w:bidi="ar-DZ"/>
        </w:rPr>
        <w:t>..</w:t>
      </w:r>
      <w:r w:rsidR="00AF3C55">
        <w:rPr>
          <w:rFonts w:hint="cs"/>
          <w:rtl/>
        </w:rPr>
        <w:t>78، 284</w:t>
      </w:r>
    </w:p>
    <w:p w:rsidR="000F705E" w:rsidRDefault="000F705E" w:rsidP="00A65721">
      <w:pPr>
        <w:pStyle w:val="Index1"/>
        <w:rPr>
          <w:rtl/>
        </w:rPr>
      </w:pPr>
      <w:r w:rsidRPr="009C5753">
        <w:rPr>
          <w:rFonts w:ascii="Traditional Arabic" w:hAnsi="Traditional Arabic" w:hint="eastAsia"/>
          <w:rtl/>
          <w:lang w:eastAsia="en-US"/>
        </w:rPr>
        <w:t>لعن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النبي</w:t>
      </w:r>
      <w:r w:rsidR="009B6EF3">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النامِصة</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والمتنمِّصة</w:t>
      </w:r>
      <w:r>
        <w:rPr>
          <w:rtl/>
          <w:lang w:bidi="ar-DZ"/>
        </w:rPr>
        <w:tab/>
      </w:r>
      <w:r w:rsidR="00A65721">
        <w:rPr>
          <w:rFonts w:hint="cs"/>
          <w:rtl/>
          <w:lang w:bidi="ar-DZ"/>
        </w:rPr>
        <w:t>390</w:t>
      </w:r>
    </w:p>
    <w:p w:rsidR="000F705E" w:rsidRDefault="000F705E" w:rsidP="00A65721">
      <w:pPr>
        <w:pStyle w:val="Index1"/>
        <w:rPr>
          <w:rtl/>
        </w:rPr>
      </w:pPr>
      <w:r w:rsidRPr="009C5753">
        <w:rPr>
          <w:rFonts w:ascii="Traditional Arabic" w:hAnsi="Traditional Arabic" w:hint="eastAsia"/>
          <w:rtl/>
        </w:rPr>
        <w:t>لو</w:t>
      </w:r>
      <w:r w:rsidR="009B6EF3">
        <w:rPr>
          <w:rFonts w:ascii="Traditional Arabic" w:hAnsi="Traditional Arabic" w:hint="cs"/>
          <w:rtl/>
        </w:rPr>
        <w:t xml:space="preserve"> </w:t>
      </w:r>
      <w:r w:rsidRPr="009C5753">
        <w:rPr>
          <w:rFonts w:ascii="Traditional Arabic" w:hAnsi="Traditional Arabic" w:hint="eastAsia"/>
          <w:rtl/>
        </w:rPr>
        <w:t>يُعطى</w:t>
      </w:r>
      <w:r w:rsidR="009B6EF3">
        <w:rPr>
          <w:rFonts w:ascii="Traditional Arabic" w:hAnsi="Traditional Arabic" w:hint="cs"/>
          <w:rtl/>
        </w:rPr>
        <w:t xml:space="preserve"> </w:t>
      </w:r>
      <w:r w:rsidRPr="009C5753">
        <w:rPr>
          <w:rFonts w:ascii="Traditional Arabic" w:hAnsi="Traditional Arabic" w:hint="eastAsia"/>
          <w:rtl/>
        </w:rPr>
        <w:t>الناس</w:t>
      </w:r>
      <w:r w:rsidR="009B6EF3">
        <w:rPr>
          <w:rFonts w:ascii="Traditional Arabic" w:hAnsi="Traditional Arabic" w:hint="cs"/>
          <w:rtl/>
        </w:rPr>
        <w:t xml:space="preserve"> </w:t>
      </w:r>
      <w:r w:rsidRPr="009C5753">
        <w:rPr>
          <w:rFonts w:ascii="Traditional Arabic" w:hAnsi="Traditional Arabic" w:hint="eastAsia"/>
          <w:rtl/>
        </w:rPr>
        <w:t>بدعواهم</w:t>
      </w:r>
      <w:r w:rsidR="009B6EF3">
        <w:rPr>
          <w:rFonts w:ascii="Traditional Arabic" w:hAnsi="Traditional Arabic" w:hint="cs"/>
          <w:rtl/>
        </w:rPr>
        <w:t xml:space="preserve"> </w:t>
      </w:r>
      <w:r w:rsidRPr="009C5753">
        <w:rPr>
          <w:rFonts w:ascii="Traditional Arabic" w:hAnsi="Traditional Arabic" w:hint="eastAsia"/>
          <w:rtl/>
        </w:rPr>
        <w:t>لادَّعى</w:t>
      </w:r>
      <w:r w:rsidR="009B6EF3">
        <w:rPr>
          <w:rFonts w:ascii="Traditional Arabic" w:hAnsi="Traditional Arabic" w:hint="cs"/>
          <w:rtl/>
        </w:rPr>
        <w:t xml:space="preserve"> </w:t>
      </w:r>
      <w:r w:rsidRPr="009C5753">
        <w:rPr>
          <w:rFonts w:ascii="Traditional Arabic" w:hAnsi="Traditional Arabic" w:hint="eastAsia"/>
          <w:rtl/>
        </w:rPr>
        <w:t>ناسٌ</w:t>
      </w:r>
      <w:r w:rsidR="009B6EF3">
        <w:rPr>
          <w:rFonts w:ascii="Traditional Arabic" w:hAnsi="Traditional Arabic" w:hint="cs"/>
          <w:rtl/>
        </w:rPr>
        <w:t xml:space="preserve"> </w:t>
      </w:r>
      <w:r w:rsidRPr="009C5753">
        <w:rPr>
          <w:rFonts w:ascii="Traditional Arabic" w:hAnsi="Traditional Arabic" w:hint="eastAsia"/>
          <w:rtl/>
        </w:rPr>
        <w:t>دماءَ</w:t>
      </w:r>
      <w:r w:rsidR="009B6EF3">
        <w:rPr>
          <w:rFonts w:ascii="Traditional Arabic" w:hAnsi="Traditional Arabic" w:hint="cs"/>
          <w:rtl/>
        </w:rPr>
        <w:t xml:space="preserve"> </w:t>
      </w:r>
      <w:r w:rsidRPr="009C5753">
        <w:rPr>
          <w:rFonts w:ascii="Traditional Arabic" w:hAnsi="Traditional Arabic" w:hint="eastAsia"/>
          <w:rtl/>
        </w:rPr>
        <w:t>رِجالٍ</w:t>
      </w:r>
      <w:r w:rsidR="009B6EF3">
        <w:rPr>
          <w:rFonts w:ascii="Traditional Arabic" w:hAnsi="Traditional Arabic" w:hint="cs"/>
          <w:rtl/>
        </w:rPr>
        <w:t xml:space="preserve"> </w:t>
      </w:r>
      <w:r w:rsidRPr="009C5753">
        <w:rPr>
          <w:rFonts w:ascii="Traditional Arabic" w:hAnsi="Traditional Arabic" w:hint="eastAsia"/>
          <w:rtl/>
        </w:rPr>
        <w:t>وأموالهم،</w:t>
      </w:r>
      <w:r w:rsidR="00A65721">
        <w:rPr>
          <w:rtl/>
          <w:lang w:bidi="ar-DZ"/>
        </w:rPr>
        <w:tab/>
      </w:r>
      <w:r w:rsidR="00A65721">
        <w:rPr>
          <w:rFonts w:hint="cs"/>
          <w:rtl/>
          <w:lang w:bidi="ar-DZ"/>
        </w:rPr>
        <w:t>291، 413، 428</w:t>
      </w:r>
    </w:p>
    <w:p w:rsidR="000F705E" w:rsidRDefault="000F705E">
      <w:pPr>
        <w:pStyle w:val="Index1"/>
        <w:rPr>
          <w:rtl/>
          <w:lang w:bidi="ar-DZ"/>
        </w:rPr>
      </w:pPr>
      <w:r w:rsidRPr="009C5753">
        <w:rPr>
          <w:rFonts w:ascii="Traditional Arabic" w:hAnsi="Traditional Arabic" w:hint="eastAsia"/>
          <w:rtl/>
        </w:rPr>
        <w:t>لو</w:t>
      </w:r>
      <w:r w:rsidR="009B6EF3">
        <w:rPr>
          <w:rFonts w:ascii="Traditional Arabic" w:hAnsi="Traditional Arabic" w:hint="cs"/>
          <w:rtl/>
        </w:rPr>
        <w:t xml:space="preserve"> </w:t>
      </w:r>
      <w:r w:rsidRPr="009C5753">
        <w:rPr>
          <w:rFonts w:ascii="Traditional Arabic" w:hAnsi="Traditional Arabic" w:hint="eastAsia"/>
          <w:rtl/>
        </w:rPr>
        <w:t>يعلم</w:t>
      </w:r>
      <w:r w:rsidR="009B6EF3">
        <w:rPr>
          <w:rFonts w:ascii="Traditional Arabic" w:hAnsi="Traditional Arabic" w:hint="cs"/>
          <w:rtl/>
        </w:rPr>
        <w:t xml:space="preserve"> </w:t>
      </w:r>
      <w:r w:rsidRPr="009C5753">
        <w:rPr>
          <w:rFonts w:ascii="Traditional Arabic" w:hAnsi="Traditional Arabic" w:hint="eastAsia"/>
          <w:rtl/>
        </w:rPr>
        <w:t>الناس</w:t>
      </w:r>
      <w:r w:rsidR="009B6EF3">
        <w:rPr>
          <w:rFonts w:ascii="Traditional Arabic" w:hAnsi="Traditional Arabic" w:hint="cs"/>
          <w:rtl/>
        </w:rPr>
        <w:t xml:space="preserve"> </w:t>
      </w:r>
      <w:r w:rsidRPr="009C5753">
        <w:rPr>
          <w:rFonts w:ascii="Traditional Arabic" w:hAnsi="Traditional Arabic" w:hint="eastAsia"/>
          <w:rtl/>
        </w:rPr>
        <w:t>ما</w:t>
      </w:r>
      <w:r w:rsidR="009B6EF3">
        <w:rPr>
          <w:rFonts w:ascii="Traditional Arabic" w:hAnsi="Traditional Arabic" w:hint="cs"/>
          <w:rtl/>
        </w:rPr>
        <w:t xml:space="preserve"> </w:t>
      </w:r>
      <w:r w:rsidRPr="009C5753">
        <w:rPr>
          <w:rFonts w:ascii="Traditional Arabic" w:hAnsi="Traditional Arabic" w:hint="eastAsia"/>
          <w:rtl/>
        </w:rPr>
        <w:t>في</w:t>
      </w:r>
      <w:r w:rsidR="009B6EF3">
        <w:rPr>
          <w:rFonts w:ascii="Traditional Arabic" w:hAnsi="Traditional Arabic" w:hint="cs"/>
          <w:rtl/>
        </w:rPr>
        <w:t xml:space="preserve"> </w:t>
      </w:r>
      <w:r w:rsidRPr="009C5753">
        <w:rPr>
          <w:rFonts w:ascii="Traditional Arabic" w:hAnsi="Traditional Arabic" w:hint="eastAsia"/>
          <w:rtl/>
        </w:rPr>
        <w:t>النداء</w:t>
      </w:r>
      <w:r w:rsidR="009B6EF3">
        <w:rPr>
          <w:rFonts w:ascii="Traditional Arabic" w:hAnsi="Traditional Arabic" w:hint="cs"/>
          <w:rtl/>
        </w:rPr>
        <w:t xml:space="preserve"> </w:t>
      </w:r>
      <w:r w:rsidRPr="009C5753">
        <w:rPr>
          <w:rFonts w:ascii="Traditional Arabic" w:hAnsi="Traditional Arabic" w:hint="eastAsia"/>
          <w:rtl/>
        </w:rPr>
        <w:t>والصف</w:t>
      </w:r>
      <w:r w:rsidR="009B6EF3">
        <w:rPr>
          <w:rFonts w:ascii="Traditional Arabic" w:hAnsi="Traditional Arabic" w:hint="cs"/>
          <w:rtl/>
        </w:rPr>
        <w:t xml:space="preserve"> </w:t>
      </w:r>
      <w:r w:rsidR="00887C19">
        <w:rPr>
          <w:rFonts w:ascii="Traditional Arabic" w:hAnsi="Traditional Arabic" w:hint="eastAsia"/>
          <w:rtl/>
        </w:rPr>
        <w:t>الأول</w:t>
      </w:r>
      <w:r w:rsidR="00887C19">
        <w:rPr>
          <w:rFonts w:ascii="Traditional Arabic" w:hAnsi="Traditional Arabic" w:hint="cs"/>
          <w:rtl/>
        </w:rPr>
        <w:t>.............................................406</w:t>
      </w:r>
    </w:p>
    <w:p w:rsidR="000F705E" w:rsidRDefault="000F705E">
      <w:pPr>
        <w:pStyle w:val="Index1"/>
        <w:rPr>
          <w:rtl/>
        </w:rPr>
      </w:pPr>
      <w:r w:rsidRPr="009C5753">
        <w:rPr>
          <w:rFonts w:ascii="Traditional Arabic" w:hAnsi="Traditional Arabic" w:hint="eastAsia"/>
          <w:rtl/>
        </w:rPr>
        <w:t>لَوْلاَ</w:t>
      </w:r>
      <w:r w:rsidR="009B6EF3">
        <w:rPr>
          <w:rFonts w:ascii="Traditional Arabic" w:hAnsi="Traditional Arabic" w:hint="cs"/>
          <w:rtl/>
        </w:rPr>
        <w:t xml:space="preserve"> </w:t>
      </w:r>
      <w:r w:rsidRPr="009C5753">
        <w:rPr>
          <w:rFonts w:ascii="Traditional Arabic" w:hAnsi="Traditional Arabic" w:hint="eastAsia"/>
          <w:rtl/>
        </w:rPr>
        <w:t>أَنْ</w:t>
      </w:r>
      <w:r w:rsidR="009B6EF3">
        <w:rPr>
          <w:rFonts w:ascii="Traditional Arabic" w:hAnsi="Traditional Arabic" w:hint="cs"/>
          <w:rtl/>
        </w:rPr>
        <w:t xml:space="preserve"> </w:t>
      </w:r>
      <w:r w:rsidRPr="009C5753">
        <w:rPr>
          <w:rFonts w:ascii="Traditional Arabic" w:hAnsi="Traditional Arabic" w:hint="eastAsia"/>
          <w:rtl/>
        </w:rPr>
        <w:t>أَشُقَّ</w:t>
      </w:r>
      <w:r w:rsidR="009B6EF3">
        <w:rPr>
          <w:rFonts w:ascii="Traditional Arabic" w:hAnsi="Traditional Arabic" w:hint="cs"/>
          <w:rtl/>
        </w:rPr>
        <w:t xml:space="preserve"> </w:t>
      </w:r>
      <w:r w:rsidRPr="009C5753">
        <w:rPr>
          <w:rFonts w:ascii="Traditional Arabic" w:hAnsi="Traditional Arabic" w:hint="eastAsia"/>
          <w:rtl/>
        </w:rPr>
        <w:t>عَلَى</w:t>
      </w:r>
      <w:r w:rsidR="009B6EF3">
        <w:rPr>
          <w:rFonts w:ascii="Traditional Arabic" w:hAnsi="Traditional Arabic" w:hint="cs"/>
          <w:rtl/>
        </w:rPr>
        <w:t xml:space="preserve"> </w:t>
      </w:r>
      <w:r w:rsidRPr="009C5753">
        <w:rPr>
          <w:rFonts w:ascii="Traditional Arabic" w:hAnsi="Traditional Arabic" w:hint="eastAsia"/>
          <w:rtl/>
        </w:rPr>
        <w:t>أُمَّتِي</w:t>
      </w:r>
      <w:r w:rsidR="009B6EF3">
        <w:rPr>
          <w:rFonts w:ascii="Traditional Arabic" w:hAnsi="Traditional Arabic" w:hint="cs"/>
          <w:rtl/>
        </w:rPr>
        <w:t xml:space="preserve"> </w:t>
      </w:r>
      <w:r w:rsidRPr="009C5753">
        <w:rPr>
          <w:rFonts w:ascii="Traditional Arabic" w:hAnsi="Traditional Arabic" w:hint="eastAsia"/>
          <w:rtl/>
        </w:rPr>
        <w:t>لأَمَرْتُهُمْ</w:t>
      </w:r>
      <w:r w:rsidR="009B6EF3">
        <w:rPr>
          <w:rFonts w:ascii="Traditional Arabic" w:hAnsi="Traditional Arabic" w:hint="cs"/>
          <w:rtl/>
        </w:rPr>
        <w:t xml:space="preserve"> </w:t>
      </w:r>
      <w:r w:rsidRPr="009C5753">
        <w:rPr>
          <w:rFonts w:ascii="Traditional Arabic" w:hAnsi="Traditional Arabic" w:hint="eastAsia"/>
          <w:rtl/>
        </w:rPr>
        <w:t>بِالسِّوَاكِ</w:t>
      </w:r>
      <w:r w:rsidR="009B6EF3">
        <w:rPr>
          <w:rFonts w:ascii="Traditional Arabic" w:hAnsi="Traditional Arabic" w:hint="cs"/>
          <w:rtl/>
        </w:rPr>
        <w:t xml:space="preserve"> </w:t>
      </w:r>
      <w:r w:rsidRPr="009C5753">
        <w:rPr>
          <w:rFonts w:ascii="Traditional Arabic" w:hAnsi="Traditional Arabic" w:hint="eastAsia"/>
          <w:rtl/>
        </w:rPr>
        <w:t>عِنْدَ</w:t>
      </w:r>
      <w:r w:rsidR="009B6EF3">
        <w:rPr>
          <w:rFonts w:ascii="Traditional Arabic" w:hAnsi="Traditional Arabic" w:hint="cs"/>
          <w:rtl/>
        </w:rPr>
        <w:t xml:space="preserve"> </w:t>
      </w:r>
      <w:r w:rsidRPr="009C5753">
        <w:rPr>
          <w:rFonts w:ascii="Traditional Arabic" w:hAnsi="Traditional Arabic" w:hint="eastAsia"/>
          <w:rtl/>
        </w:rPr>
        <w:t>كُلِّ</w:t>
      </w:r>
      <w:r w:rsidR="009B6EF3">
        <w:rPr>
          <w:rFonts w:ascii="Traditional Arabic" w:hAnsi="Traditional Arabic" w:hint="cs"/>
          <w:rtl/>
        </w:rPr>
        <w:t xml:space="preserve"> </w:t>
      </w:r>
      <w:r w:rsidRPr="009C5753">
        <w:rPr>
          <w:rFonts w:ascii="Traditional Arabic" w:hAnsi="Traditional Arabic" w:hint="eastAsia"/>
          <w:rtl/>
        </w:rPr>
        <w:t>وُضُوءٍ</w:t>
      </w:r>
      <w:r w:rsidR="00887C19">
        <w:rPr>
          <w:rFonts w:hint="cs"/>
          <w:rtl/>
          <w:lang w:bidi="ar-DZ"/>
        </w:rPr>
        <w:t>................................</w:t>
      </w:r>
      <w:r w:rsidR="00887C19">
        <w:rPr>
          <w:rtl/>
          <w:lang w:bidi="ar-DZ"/>
        </w:rPr>
        <w:t>5</w:t>
      </w:r>
      <w:r w:rsidR="00887C19">
        <w:rPr>
          <w:rFonts w:hint="cs"/>
          <w:rtl/>
          <w:lang w:bidi="ar-DZ"/>
        </w:rPr>
        <w:t>01</w:t>
      </w:r>
    </w:p>
    <w:p w:rsidR="000F705E" w:rsidRDefault="000F705E" w:rsidP="00AF3C55">
      <w:pPr>
        <w:pStyle w:val="Index1"/>
        <w:rPr>
          <w:rtl/>
        </w:rPr>
      </w:pPr>
      <w:r w:rsidRPr="009C5753">
        <w:rPr>
          <w:rFonts w:ascii="Traditional Arabic" w:hAnsi="Traditional Arabic" w:hint="eastAsia"/>
          <w:rtl/>
          <w:lang w:eastAsia="en-US"/>
        </w:rPr>
        <w:t>ما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بالُ</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رِجالٍ</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يشترطون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شروطاً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ليست</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في</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كتاب</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الله،</w:t>
      </w:r>
      <w:r>
        <w:rPr>
          <w:rtl/>
          <w:lang w:bidi="ar-DZ"/>
        </w:rPr>
        <w:tab/>
      </w:r>
      <w:r w:rsidR="00AF3C55">
        <w:rPr>
          <w:rFonts w:hint="cs"/>
          <w:rtl/>
        </w:rPr>
        <w:t>372</w:t>
      </w:r>
    </w:p>
    <w:p w:rsidR="000F705E" w:rsidRDefault="000F705E">
      <w:pPr>
        <w:pStyle w:val="Index1"/>
        <w:rPr>
          <w:rtl/>
        </w:rPr>
      </w:pPr>
      <w:r w:rsidRPr="009C5753">
        <w:rPr>
          <w:rFonts w:ascii="Traditional Arabic" w:hAnsi="Traditional Arabic" w:hint="eastAsia"/>
          <w:rtl/>
        </w:rPr>
        <w:t>مَثَل</w:t>
      </w:r>
      <w:r w:rsidR="009B6EF3">
        <w:rPr>
          <w:rFonts w:ascii="Traditional Arabic" w:hAnsi="Traditional Arabic" w:hint="cs"/>
          <w:rtl/>
        </w:rPr>
        <w:t xml:space="preserve"> </w:t>
      </w:r>
      <w:r w:rsidRPr="009C5753">
        <w:rPr>
          <w:rFonts w:ascii="Traditional Arabic" w:hAnsi="Traditional Arabic" w:hint="eastAsia"/>
          <w:rtl/>
        </w:rPr>
        <w:t>القائم</w:t>
      </w:r>
      <w:r w:rsidR="009B6EF3">
        <w:rPr>
          <w:rFonts w:ascii="Traditional Arabic" w:hAnsi="Traditional Arabic" w:hint="cs"/>
          <w:rtl/>
        </w:rPr>
        <w:t xml:space="preserve"> </w:t>
      </w:r>
      <w:r w:rsidRPr="009C5753">
        <w:rPr>
          <w:rFonts w:ascii="Traditional Arabic" w:hAnsi="Traditional Arabic" w:hint="eastAsia"/>
          <w:rtl/>
        </w:rPr>
        <w:t>على</w:t>
      </w:r>
      <w:r w:rsidR="009B6EF3">
        <w:rPr>
          <w:rFonts w:ascii="Traditional Arabic" w:hAnsi="Traditional Arabic" w:hint="cs"/>
          <w:rtl/>
        </w:rPr>
        <w:t xml:space="preserve"> </w:t>
      </w:r>
      <w:r w:rsidRPr="009C5753">
        <w:rPr>
          <w:rFonts w:ascii="Traditional Arabic" w:hAnsi="Traditional Arabic" w:hint="eastAsia"/>
          <w:rtl/>
        </w:rPr>
        <w:t>حدود</w:t>
      </w:r>
      <w:r w:rsidR="009B6EF3">
        <w:rPr>
          <w:rFonts w:ascii="Traditional Arabic" w:hAnsi="Traditional Arabic" w:hint="cs"/>
          <w:rtl/>
        </w:rPr>
        <w:t xml:space="preserve"> </w:t>
      </w:r>
      <w:r w:rsidRPr="009C5753">
        <w:rPr>
          <w:rFonts w:ascii="Traditional Arabic" w:hAnsi="Traditional Arabic" w:hint="eastAsia"/>
          <w:rtl/>
        </w:rPr>
        <w:t>الله</w:t>
      </w:r>
      <w:r w:rsidR="009B6EF3">
        <w:rPr>
          <w:rFonts w:ascii="Traditional Arabic" w:hAnsi="Traditional Arabic" w:hint="cs"/>
          <w:rtl/>
        </w:rPr>
        <w:t xml:space="preserve"> </w:t>
      </w:r>
      <w:r w:rsidRPr="009C5753">
        <w:rPr>
          <w:rFonts w:ascii="Traditional Arabic" w:hAnsi="Traditional Arabic" w:hint="eastAsia"/>
          <w:rtl/>
        </w:rPr>
        <w:t>والواقع</w:t>
      </w:r>
      <w:r w:rsidR="009B6EF3">
        <w:rPr>
          <w:rFonts w:ascii="Traditional Arabic" w:hAnsi="Traditional Arabic" w:hint="cs"/>
          <w:rtl/>
        </w:rPr>
        <w:t xml:space="preserve"> </w:t>
      </w:r>
      <w:r w:rsidRPr="009C5753">
        <w:rPr>
          <w:rFonts w:ascii="Traditional Arabic" w:hAnsi="Traditional Arabic" w:hint="eastAsia"/>
          <w:rtl/>
        </w:rPr>
        <w:t>فيها،</w:t>
      </w:r>
      <w:r w:rsidR="009B6EF3">
        <w:rPr>
          <w:rFonts w:ascii="Traditional Arabic" w:hAnsi="Traditional Arabic" w:hint="cs"/>
          <w:rtl/>
        </w:rPr>
        <w:t xml:space="preserve"> </w:t>
      </w:r>
      <w:r w:rsidRPr="009C5753">
        <w:rPr>
          <w:rFonts w:ascii="Traditional Arabic" w:hAnsi="Traditional Arabic" w:hint="eastAsia"/>
          <w:rtl/>
        </w:rPr>
        <w:t>كمثل</w:t>
      </w:r>
      <w:r w:rsidR="009B6EF3">
        <w:rPr>
          <w:rFonts w:ascii="Traditional Arabic" w:hAnsi="Traditional Arabic" w:hint="cs"/>
          <w:rtl/>
        </w:rPr>
        <w:t xml:space="preserve"> </w:t>
      </w:r>
      <w:r w:rsidRPr="009C5753">
        <w:rPr>
          <w:rFonts w:ascii="Traditional Arabic" w:hAnsi="Traditional Arabic" w:hint="eastAsia"/>
          <w:rtl/>
        </w:rPr>
        <w:t>قوم</w:t>
      </w:r>
      <w:r w:rsidR="009B6EF3">
        <w:rPr>
          <w:rFonts w:ascii="Traditional Arabic" w:hAnsi="Traditional Arabic" w:hint="cs"/>
          <w:rtl/>
        </w:rPr>
        <w:t xml:space="preserve"> </w:t>
      </w:r>
      <w:r w:rsidRPr="009C5753">
        <w:rPr>
          <w:rFonts w:ascii="Traditional Arabic" w:hAnsi="Traditional Arabic" w:hint="eastAsia"/>
          <w:rtl/>
        </w:rPr>
        <w:t>اسْتَهَموا</w:t>
      </w:r>
      <w:r w:rsidR="009B6EF3">
        <w:rPr>
          <w:rFonts w:ascii="Traditional Arabic" w:hAnsi="Traditional Arabic" w:hint="cs"/>
          <w:rtl/>
        </w:rPr>
        <w:t xml:space="preserve"> </w:t>
      </w:r>
      <w:r w:rsidRPr="009C5753">
        <w:rPr>
          <w:rFonts w:ascii="Traditional Arabic" w:hAnsi="Traditional Arabic" w:hint="eastAsia"/>
          <w:rtl/>
        </w:rPr>
        <w:t>على</w:t>
      </w:r>
      <w:r w:rsidR="009B6EF3">
        <w:rPr>
          <w:rFonts w:ascii="Traditional Arabic" w:hAnsi="Traditional Arabic" w:hint="cs"/>
          <w:rtl/>
        </w:rPr>
        <w:t xml:space="preserve"> </w:t>
      </w:r>
      <w:r w:rsidRPr="009C5753">
        <w:rPr>
          <w:rFonts w:ascii="Traditional Arabic" w:hAnsi="Traditional Arabic" w:hint="eastAsia"/>
          <w:rtl/>
        </w:rPr>
        <w:t>سفينة،</w:t>
      </w:r>
      <w:r w:rsidR="00887C19">
        <w:rPr>
          <w:rtl/>
          <w:lang w:bidi="ar-DZ"/>
        </w:rPr>
        <w:tab/>
        <w:t>4</w:t>
      </w:r>
      <w:r w:rsidR="00887C19">
        <w:rPr>
          <w:rFonts w:hint="cs"/>
          <w:rtl/>
          <w:lang w:bidi="ar-DZ"/>
        </w:rPr>
        <w:t>07</w:t>
      </w:r>
    </w:p>
    <w:p w:rsidR="000F705E" w:rsidRDefault="000F705E">
      <w:pPr>
        <w:pStyle w:val="Index1"/>
        <w:rPr>
          <w:rtl/>
        </w:rPr>
      </w:pPr>
      <w:r w:rsidRPr="009C5753">
        <w:rPr>
          <w:rFonts w:ascii="Traditional Arabic" w:hAnsi="Traditional Arabic" w:hint="eastAsia"/>
          <w:rtl/>
          <w:lang w:eastAsia="en-US"/>
        </w:rPr>
        <w:t>من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أحيا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أرضاً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مَيِّتةً</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فهي</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له،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وليس</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لِعِرْقٍ</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ظالمٍ</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حقٌّ</w:t>
      </w:r>
      <w:r w:rsidR="00887C19">
        <w:rPr>
          <w:rtl/>
          <w:lang w:bidi="ar-DZ"/>
        </w:rPr>
        <w:tab/>
      </w:r>
      <w:r w:rsidR="00887C19">
        <w:rPr>
          <w:rFonts w:hint="cs"/>
          <w:rtl/>
        </w:rPr>
        <w:t>163، 332، 333</w:t>
      </w:r>
    </w:p>
    <w:p w:rsidR="000D4E7A" w:rsidRPr="000D4E7A" w:rsidRDefault="000D4E7A" w:rsidP="000D4E7A">
      <w:pPr>
        <w:ind w:firstLine="0"/>
        <w:rPr>
          <w:rtl/>
        </w:rPr>
      </w:pPr>
      <w:r w:rsidRPr="003C1718">
        <w:rPr>
          <w:rFonts w:ascii="Traditional Arabic" w:hAnsi="Traditional Arabic"/>
          <w:noProof w:val="0"/>
          <w:rtl/>
          <w:lang w:eastAsia="en-US"/>
        </w:rPr>
        <w:t>من أسدى إليكم معروفا فكافئوه</w:t>
      </w:r>
      <w:r>
        <w:rPr>
          <w:rFonts w:hint="cs"/>
          <w:rtl/>
        </w:rPr>
        <w:t>.....................................................220</w:t>
      </w:r>
    </w:p>
    <w:p w:rsidR="000F705E" w:rsidRDefault="000F705E" w:rsidP="00887C19">
      <w:pPr>
        <w:pStyle w:val="Index1"/>
        <w:rPr>
          <w:rtl/>
          <w:lang w:bidi="ar-DZ"/>
        </w:rPr>
      </w:pPr>
      <w:r w:rsidRPr="009C5753">
        <w:rPr>
          <w:rFonts w:ascii="Traditional Arabic" w:hAnsi="Traditional Arabic" w:hint="eastAsia"/>
          <w:rtl/>
          <w:lang w:eastAsia="en-US"/>
        </w:rPr>
        <w:t>من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باع</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نخلاً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قد</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أُبِّرت</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فثمرُها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للبائع</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إلا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يشترط</w:t>
      </w:r>
      <w:r w:rsidR="009B6EF3">
        <w:rPr>
          <w:rFonts w:ascii="Traditional Arabic" w:hAnsi="Traditional Arabic" w:hint="cs"/>
          <w:rtl/>
          <w:lang w:eastAsia="en-US"/>
        </w:rPr>
        <w:t xml:space="preserve"> </w:t>
      </w:r>
      <w:r w:rsidR="00887C19">
        <w:rPr>
          <w:rFonts w:ascii="Traditional Arabic" w:hAnsi="Traditional Arabic" w:hint="eastAsia"/>
          <w:rtl/>
          <w:lang w:eastAsia="en-US"/>
        </w:rPr>
        <w:t>المبتا</w:t>
      </w:r>
      <w:r w:rsidR="00887C19">
        <w:rPr>
          <w:rFonts w:ascii="Traditional Arabic" w:hAnsi="Traditional Arabic" w:hint="cs"/>
          <w:rtl/>
          <w:lang w:eastAsia="en-US"/>
        </w:rPr>
        <w:t>ع..........................269، 272</w:t>
      </w:r>
      <w:r>
        <w:rPr>
          <w:rtl/>
          <w:lang w:bidi="ar-DZ"/>
        </w:rPr>
        <w:t xml:space="preserve"> </w:t>
      </w:r>
    </w:p>
    <w:p w:rsidR="000F705E" w:rsidRDefault="000F705E">
      <w:pPr>
        <w:pStyle w:val="Index1"/>
        <w:rPr>
          <w:rtl/>
        </w:rPr>
      </w:pPr>
      <w:r w:rsidRPr="009C5753">
        <w:rPr>
          <w:rFonts w:ascii="Traditional Arabic" w:hAnsi="Traditional Arabic" w:hint="eastAsia"/>
          <w:rtl/>
          <w:lang w:eastAsia="en-US"/>
        </w:rPr>
        <w:t>مَن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ضَارَّ</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أَضَرَّ</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اللَّهُ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به،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ومن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شاقَّ</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شاقَّ</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الله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عليه</w:t>
      </w:r>
      <w:r w:rsidR="00887C19">
        <w:rPr>
          <w:rtl/>
          <w:lang w:bidi="ar-DZ"/>
        </w:rPr>
        <w:tab/>
      </w:r>
      <w:r w:rsidR="00887C19">
        <w:rPr>
          <w:rFonts w:hint="cs"/>
          <w:rtl/>
          <w:lang w:bidi="ar-DZ"/>
        </w:rPr>
        <w:t>250</w:t>
      </w:r>
    </w:p>
    <w:p w:rsidR="000F705E" w:rsidRDefault="000F705E">
      <w:pPr>
        <w:pStyle w:val="Index1"/>
        <w:rPr>
          <w:rtl/>
        </w:rPr>
      </w:pPr>
      <w:r w:rsidRPr="009C5753">
        <w:rPr>
          <w:rFonts w:ascii="Traditional Arabic" w:hAnsi="Traditional Arabic" w:hint="eastAsia"/>
          <w:rtl/>
          <w:lang w:eastAsia="en-US"/>
        </w:rPr>
        <w:t>من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عمل</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عملا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ليس</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عليه</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أمرنا</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فهو</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رد</w:t>
      </w:r>
      <w:r w:rsidR="00887C19">
        <w:rPr>
          <w:rFonts w:hint="cs"/>
          <w:rtl/>
          <w:lang w:bidi="ar-DZ"/>
        </w:rPr>
        <w:t>.........................................372، 568</w:t>
      </w:r>
    </w:p>
    <w:p w:rsidR="000D4E7A" w:rsidRPr="000D4E7A" w:rsidRDefault="000D4E7A" w:rsidP="000D4E7A">
      <w:pPr>
        <w:ind w:firstLine="0"/>
        <w:rPr>
          <w:rtl/>
        </w:rPr>
      </w:pPr>
      <w:r w:rsidRPr="00B3614D">
        <w:rPr>
          <w:rFonts w:ascii="Traditional Arabic" w:hAnsi="Traditional Arabic"/>
          <w:noProof w:val="0"/>
          <w:color w:val="auto"/>
          <w:rtl/>
          <w:lang w:eastAsia="en-US"/>
        </w:rPr>
        <w:t xml:space="preserve">نهى </w:t>
      </w:r>
      <w:r>
        <w:rPr>
          <w:rFonts w:ascii="Traditional Arabic" w:hAnsi="Traditional Arabic" w:hint="cs"/>
          <w:rtl/>
        </w:rPr>
        <w:t>صلى الله عليه وسلم</w:t>
      </w:r>
      <w:r>
        <w:rPr>
          <w:rFonts w:ascii="Traditional Arabic" w:hAnsi="Traditional Arabic"/>
          <w:noProof w:val="0"/>
          <w:color w:val="auto"/>
          <w:rtl/>
          <w:lang w:eastAsia="en-US"/>
        </w:rPr>
        <w:t xml:space="preserve"> عن إضاعة المال</w:t>
      </w:r>
      <w:r>
        <w:rPr>
          <w:rFonts w:ascii="Traditional Arabic" w:hAnsi="Traditional Arabic" w:hint="cs"/>
          <w:noProof w:val="0"/>
          <w:color w:val="auto"/>
          <w:rtl/>
          <w:lang w:eastAsia="en-US"/>
        </w:rPr>
        <w:t>.............................................390</w:t>
      </w:r>
    </w:p>
    <w:p w:rsidR="000F705E" w:rsidRDefault="000F705E">
      <w:pPr>
        <w:pStyle w:val="Index1"/>
        <w:rPr>
          <w:rtl/>
        </w:rPr>
      </w:pPr>
      <w:r w:rsidRPr="009C5753">
        <w:rPr>
          <w:rFonts w:ascii="Traditional Arabic" w:hAnsi="Traditional Arabic" w:hint="eastAsia"/>
          <w:rtl/>
          <w:lang w:eastAsia="en-US"/>
        </w:rPr>
        <w:t>نهى</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النبي</w:t>
      </w:r>
      <w:r w:rsidR="009B6EF3">
        <w:rPr>
          <w:rFonts w:ascii="Traditional Arabic" w:hAnsi="Traditional Arabic" w:hint="cs"/>
          <w:rtl/>
          <w:lang w:eastAsia="en-US"/>
        </w:rPr>
        <w:t xml:space="preserve"> </w:t>
      </w:r>
      <w:r w:rsidRPr="00C85F0F">
        <w:rPr>
          <w:rFonts w:ascii="Traditional Arabic" w:hAnsi="Traditional Arabic"/>
          <w:color w:val="auto"/>
          <w:rtl/>
          <w:lang w:eastAsia="en-US"/>
        </w:rPr>
        <w:sym w:font="AGA Arabesque" w:char="F072"/>
      </w:r>
      <w:r w:rsidR="009B6EF3">
        <w:rPr>
          <w:rFonts w:ascii="Traditional Arabic" w:hAnsi="Traditional Arabic" w:hint="cs"/>
          <w:rtl/>
          <w:lang w:eastAsia="en-US"/>
        </w:rPr>
        <w:t xml:space="preserve"> </w:t>
      </w:r>
      <w:r w:rsidRPr="009C5753">
        <w:rPr>
          <w:rFonts w:ascii="Traditional Arabic" w:hAnsi="Traditional Arabic" w:hint="eastAsia"/>
          <w:rtl/>
          <w:lang w:eastAsia="en-US"/>
        </w:rPr>
        <w:t>عن</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بيع</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الثمار</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حتى</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يبدو</w:t>
      </w:r>
      <w:r w:rsidR="009B6EF3">
        <w:rPr>
          <w:rFonts w:ascii="Traditional Arabic" w:hAnsi="Traditional Arabic" w:hint="cs"/>
          <w:rtl/>
          <w:lang w:eastAsia="en-US"/>
        </w:rPr>
        <w:t xml:space="preserve"> </w:t>
      </w:r>
      <w:r w:rsidRPr="009C5753">
        <w:rPr>
          <w:rFonts w:ascii="Traditional Arabic" w:hAnsi="Traditional Arabic" w:hint="eastAsia"/>
          <w:rtl/>
          <w:lang w:eastAsia="en-US"/>
        </w:rPr>
        <w:t>صلاحها</w:t>
      </w:r>
      <w:r w:rsidR="00887C19">
        <w:rPr>
          <w:rFonts w:hint="cs"/>
          <w:rtl/>
        </w:rPr>
        <w:t>........................................272</w:t>
      </w:r>
    </w:p>
    <w:p w:rsidR="000F705E" w:rsidRDefault="000F705E">
      <w:pPr>
        <w:pStyle w:val="Index1"/>
        <w:rPr>
          <w:rtl/>
        </w:rPr>
      </w:pPr>
      <w:r w:rsidRPr="009C5753">
        <w:rPr>
          <w:rFonts w:ascii="Traditional Arabic" w:hAnsi="Traditional Arabic" w:hint="eastAsia"/>
          <w:rtl/>
        </w:rPr>
        <w:t>نهى</w:t>
      </w:r>
      <w:r w:rsidR="009B6EF3">
        <w:rPr>
          <w:rFonts w:ascii="Traditional Arabic" w:hAnsi="Traditional Arabic" w:hint="cs"/>
          <w:rtl/>
        </w:rPr>
        <w:t xml:space="preserve"> </w:t>
      </w:r>
      <w:r w:rsidRPr="009C5753">
        <w:rPr>
          <w:rFonts w:ascii="Traditional Arabic" w:hAnsi="Traditional Arabic" w:hint="eastAsia"/>
          <w:rtl/>
        </w:rPr>
        <w:t>رسول</w:t>
      </w:r>
      <w:r w:rsidR="009B6EF3">
        <w:rPr>
          <w:rFonts w:ascii="Traditional Arabic" w:hAnsi="Traditional Arabic" w:hint="cs"/>
          <w:rtl/>
        </w:rPr>
        <w:t xml:space="preserve"> </w:t>
      </w:r>
      <w:r w:rsidRPr="009C5753">
        <w:rPr>
          <w:rFonts w:ascii="Traditional Arabic" w:hAnsi="Traditional Arabic" w:hint="eastAsia"/>
          <w:rtl/>
        </w:rPr>
        <w:t>الله</w:t>
      </w:r>
      <w:r w:rsidR="009B6EF3">
        <w:rPr>
          <w:rFonts w:ascii="Traditional Arabic" w:hAnsi="Traditional Arabic" w:hint="cs"/>
          <w:rtl/>
        </w:rPr>
        <w:t xml:space="preserve"> </w:t>
      </w:r>
      <w:r w:rsidRPr="00C85F0F">
        <w:rPr>
          <w:rFonts w:ascii="Traditional Arabic" w:hAnsi="Traditional Arabic"/>
          <w:color w:val="auto"/>
          <w:rtl/>
          <w:lang w:eastAsia="en-US"/>
        </w:rPr>
        <w:sym w:font="AGA Arabesque" w:char="F072"/>
      </w:r>
      <w:r w:rsidR="009B6EF3">
        <w:rPr>
          <w:rFonts w:ascii="Traditional Arabic" w:hAnsi="Traditional Arabic" w:hint="cs"/>
          <w:rtl/>
        </w:rPr>
        <w:t xml:space="preserve"> </w:t>
      </w:r>
      <w:r w:rsidRPr="009C5753">
        <w:rPr>
          <w:rFonts w:ascii="Traditional Arabic" w:hAnsi="Traditional Arabic" w:hint="eastAsia"/>
          <w:rtl/>
        </w:rPr>
        <w:t>أن</w:t>
      </w:r>
      <w:r w:rsidR="009B6EF3">
        <w:rPr>
          <w:rFonts w:ascii="Traditional Arabic" w:hAnsi="Traditional Arabic" w:hint="cs"/>
          <w:rtl/>
        </w:rPr>
        <w:t xml:space="preserve"> </w:t>
      </w:r>
      <w:r w:rsidRPr="009C5753">
        <w:rPr>
          <w:rFonts w:ascii="Traditional Arabic" w:hAnsi="Traditional Arabic" w:hint="eastAsia"/>
          <w:rtl/>
        </w:rPr>
        <w:t>يُجَصَّص</w:t>
      </w:r>
      <w:r w:rsidR="009B6EF3">
        <w:rPr>
          <w:rFonts w:ascii="Traditional Arabic" w:hAnsi="Traditional Arabic" w:hint="cs"/>
          <w:rtl/>
        </w:rPr>
        <w:t xml:space="preserve"> </w:t>
      </w:r>
      <w:r w:rsidR="00887C19">
        <w:rPr>
          <w:rFonts w:ascii="Traditional Arabic" w:hAnsi="Traditional Arabic" w:hint="eastAsia"/>
          <w:rtl/>
        </w:rPr>
        <w:t>القبرُ</w:t>
      </w:r>
      <w:r w:rsidR="00887C19">
        <w:rPr>
          <w:rFonts w:hint="cs"/>
          <w:rtl/>
          <w:lang w:bidi="ar-DZ"/>
        </w:rPr>
        <w:t>............................................</w:t>
      </w:r>
      <w:r w:rsidR="00887C19">
        <w:rPr>
          <w:rFonts w:hint="cs"/>
          <w:rtl/>
        </w:rPr>
        <w:t>.......187</w:t>
      </w:r>
    </w:p>
    <w:p w:rsidR="00C40ACF" w:rsidRDefault="000F705E" w:rsidP="00C40ACF">
      <w:pPr>
        <w:pStyle w:val="Index1"/>
        <w:rPr>
          <w:rtl/>
          <w:lang w:bidi="ar-DZ"/>
        </w:rPr>
      </w:pPr>
      <w:r w:rsidRPr="009C5753">
        <w:rPr>
          <w:rFonts w:ascii="Traditional Arabic" w:hAnsi="Traditional Arabic" w:hint="eastAsia"/>
          <w:rtl/>
        </w:rPr>
        <w:lastRenderedPageBreak/>
        <w:t>نهى</w:t>
      </w:r>
      <w:r w:rsidR="009B6EF3">
        <w:rPr>
          <w:rFonts w:ascii="Traditional Arabic" w:hAnsi="Traditional Arabic" w:hint="cs"/>
          <w:rtl/>
        </w:rPr>
        <w:t xml:space="preserve"> </w:t>
      </w:r>
      <w:r w:rsidRPr="009C5753">
        <w:rPr>
          <w:rFonts w:ascii="Traditional Arabic" w:hAnsi="Traditional Arabic" w:hint="eastAsia"/>
          <w:rtl/>
        </w:rPr>
        <w:t>رسول</w:t>
      </w:r>
      <w:r w:rsidR="009B6EF3">
        <w:rPr>
          <w:rFonts w:ascii="Traditional Arabic" w:hAnsi="Traditional Arabic" w:hint="cs"/>
          <w:rtl/>
        </w:rPr>
        <w:t xml:space="preserve"> </w:t>
      </w:r>
      <w:r w:rsidRPr="009C5753">
        <w:rPr>
          <w:rFonts w:ascii="Traditional Arabic" w:hAnsi="Traditional Arabic" w:hint="eastAsia"/>
          <w:rtl/>
        </w:rPr>
        <w:t>الله</w:t>
      </w:r>
      <w:r w:rsidR="009B6EF3">
        <w:rPr>
          <w:rFonts w:ascii="Traditional Arabic" w:hAnsi="Traditional Arabic" w:hint="cs"/>
          <w:rtl/>
        </w:rPr>
        <w:t xml:space="preserve"> </w:t>
      </w:r>
      <w:r w:rsidRPr="00C85F0F">
        <w:rPr>
          <w:rFonts w:ascii="Traditional Arabic" w:hAnsi="Traditional Arabic"/>
          <w:color w:val="auto"/>
          <w:rtl/>
          <w:lang w:eastAsia="en-US"/>
        </w:rPr>
        <w:sym w:font="AGA Arabesque" w:char="F072"/>
      </w:r>
      <w:r w:rsidR="009B6EF3">
        <w:rPr>
          <w:rFonts w:ascii="Traditional Arabic" w:hAnsi="Traditional Arabic" w:hint="cs"/>
          <w:rtl/>
        </w:rPr>
        <w:t xml:space="preserve"> </w:t>
      </w:r>
      <w:r w:rsidRPr="009C5753">
        <w:rPr>
          <w:rFonts w:ascii="Traditional Arabic" w:hAnsi="Traditional Arabic" w:hint="eastAsia"/>
          <w:rtl/>
        </w:rPr>
        <w:t>عن</w:t>
      </w:r>
      <w:r w:rsidR="009B6EF3">
        <w:rPr>
          <w:rFonts w:ascii="Traditional Arabic" w:hAnsi="Traditional Arabic" w:hint="cs"/>
          <w:rtl/>
        </w:rPr>
        <w:t xml:space="preserve"> </w:t>
      </w:r>
      <w:r w:rsidRPr="009C5753">
        <w:rPr>
          <w:rFonts w:ascii="Traditional Arabic" w:hAnsi="Traditional Arabic" w:hint="eastAsia"/>
          <w:rtl/>
        </w:rPr>
        <w:t>بيع</w:t>
      </w:r>
      <w:r w:rsidR="009B6EF3">
        <w:rPr>
          <w:rFonts w:ascii="Traditional Arabic" w:hAnsi="Traditional Arabic" w:hint="cs"/>
          <w:rtl/>
        </w:rPr>
        <w:t xml:space="preserve"> </w:t>
      </w:r>
      <w:r w:rsidRPr="009C5753">
        <w:rPr>
          <w:rFonts w:ascii="Traditional Arabic" w:hAnsi="Traditional Arabic" w:hint="eastAsia"/>
          <w:rtl/>
        </w:rPr>
        <w:t>الحَصاة</w:t>
      </w:r>
      <w:r w:rsidR="009B6EF3">
        <w:rPr>
          <w:rFonts w:ascii="Traditional Arabic" w:hAnsi="Traditional Arabic" w:hint="cs"/>
          <w:rtl/>
        </w:rPr>
        <w:t xml:space="preserve"> </w:t>
      </w:r>
      <w:r w:rsidRPr="009C5753">
        <w:rPr>
          <w:rFonts w:ascii="Traditional Arabic" w:hAnsi="Traditional Arabic" w:hint="eastAsia"/>
          <w:rtl/>
        </w:rPr>
        <w:t>وعن</w:t>
      </w:r>
      <w:r w:rsidR="009B6EF3">
        <w:rPr>
          <w:rFonts w:ascii="Traditional Arabic" w:hAnsi="Traditional Arabic" w:hint="cs"/>
          <w:rtl/>
        </w:rPr>
        <w:t xml:space="preserve"> </w:t>
      </w:r>
      <w:r w:rsidRPr="009C5753">
        <w:rPr>
          <w:rFonts w:ascii="Traditional Arabic" w:hAnsi="Traditional Arabic" w:hint="eastAsia"/>
          <w:rtl/>
        </w:rPr>
        <w:t>بيع</w:t>
      </w:r>
      <w:r w:rsidR="009B6EF3">
        <w:rPr>
          <w:rFonts w:ascii="Traditional Arabic" w:hAnsi="Traditional Arabic" w:hint="cs"/>
          <w:rtl/>
        </w:rPr>
        <w:t xml:space="preserve"> </w:t>
      </w:r>
      <w:r w:rsidRPr="009C5753">
        <w:rPr>
          <w:rFonts w:ascii="Traditional Arabic" w:hAnsi="Traditional Arabic" w:hint="eastAsia"/>
          <w:rtl/>
        </w:rPr>
        <w:t>الغرر</w:t>
      </w:r>
      <w:r w:rsidR="00223FD5">
        <w:rPr>
          <w:rFonts w:ascii="Traditional Arabic" w:hAnsi="Traditional Arabic" w:hint="cs"/>
          <w:rtl/>
        </w:rPr>
        <w:t>................................</w:t>
      </w:r>
      <w:r w:rsidR="00223FD5">
        <w:rPr>
          <w:rFonts w:hint="cs"/>
          <w:rtl/>
          <w:lang w:bidi="ar-DZ"/>
        </w:rPr>
        <w:t>271، 441، 465، 466، 471، 518، 538</w:t>
      </w:r>
      <w:r w:rsidR="00C40ACF">
        <w:rPr>
          <w:rFonts w:hint="cs"/>
          <w:rtl/>
          <w:lang w:bidi="ar-DZ"/>
        </w:rPr>
        <w:t>.</w:t>
      </w:r>
      <w:r>
        <w:rPr>
          <w:rtl/>
          <w:lang w:bidi="ar-DZ"/>
        </w:rPr>
        <w:t xml:space="preserve"> </w:t>
      </w:r>
    </w:p>
    <w:p w:rsidR="00A74341" w:rsidRPr="00A74341" w:rsidRDefault="00A74341" w:rsidP="00A74341">
      <w:pPr>
        <w:pStyle w:val="Index1"/>
        <w:rPr>
          <w:rtl/>
        </w:rPr>
      </w:pPr>
      <w:r w:rsidRPr="009C5753">
        <w:rPr>
          <w:rFonts w:ascii="Traditional Arabic" w:hAnsi="Traditional Arabic" w:hint="eastAsia"/>
          <w:rtl/>
          <w:lang w:eastAsia="en-US"/>
        </w:rPr>
        <w:t>الولد</w:t>
      </w:r>
      <w:r>
        <w:rPr>
          <w:rFonts w:ascii="Traditional Arabic" w:hAnsi="Traditional Arabic" w:hint="cs"/>
          <w:rtl/>
          <w:lang w:eastAsia="en-US"/>
        </w:rPr>
        <w:t xml:space="preserve"> </w:t>
      </w:r>
      <w:r w:rsidRPr="009C5753">
        <w:rPr>
          <w:rFonts w:ascii="Traditional Arabic" w:hAnsi="Traditional Arabic" w:hint="eastAsia"/>
          <w:rtl/>
          <w:lang w:eastAsia="en-US"/>
        </w:rPr>
        <w:t>للفِراش</w:t>
      </w:r>
      <w:r>
        <w:rPr>
          <w:rFonts w:ascii="Traditional Arabic" w:hAnsi="Traditional Arabic" w:hint="cs"/>
          <w:rtl/>
          <w:lang w:eastAsia="en-US"/>
        </w:rPr>
        <w:t xml:space="preserve"> </w:t>
      </w:r>
      <w:r w:rsidRPr="009C5753">
        <w:rPr>
          <w:rFonts w:ascii="Traditional Arabic" w:hAnsi="Traditional Arabic" w:hint="eastAsia"/>
          <w:rtl/>
          <w:lang w:eastAsia="en-US"/>
        </w:rPr>
        <w:t>وللعاهِر</w:t>
      </w:r>
      <w:r>
        <w:rPr>
          <w:rFonts w:ascii="Traditional Arabic" w:hAnsi="Traditional Arabic" w:hint="cs"/>
          <w:rtl/>
          <w:lang w:eastAsia="en-US"/>
        </w:rPr>
        <w:t xml:space="preserve"> </w:t>
      </w:r>
      <w:r>
        <w:rPr>
          <w:rFonts w:ascii="Traditional Arabic" w:hAnsi="Traditional Arabic" w:hint="eastAsia"/>
          <w:rtl/>
          <w:lang w:eastAsia="en-US"/>
        </w:rPr>
        <w:t>الحَجَر</w:t>
      </w:r>
      <w:r>
        <w:rPr>
          <w:rFonts w:hint="cs"/>
          <w:rtl/>
        </w:rPr>
        <w:t>..................................................448، 455</w:t>
      </w:r>
    </w:p>
    <w:p w:rsidR="000F705E" w:rsidRDefault="000F705E" w:rsidP="00223FD5">
      <w:pPr>
        <w:pStyle w:val="Index1"/>
        <w:rPr>
          <w:rtl/>
          <w:lang w:bidi="ar-DZ"/>
        </w:rPr>
      </w:pPr>
      <w:r w:rsidRPr="009C5753">
        <w:rPr>
          <w:rFonts w:ascii="Traditional Arabic" w:hAnsi="Traditional Arabic" w:hint="eastAsia"/>
          <w:rtl/>
        </w:rPr>
        <w:t>يا</w:t>
      </w:r>
      <w:r w:rsidR="009B6EF3">
        <w:rPr>
          <w:rFonts w:ascii="Traditional Arabic" w:hAnsi="Traditional Arabic" w:hint="cs"/>
          <w:rtl/>
        </w:rPr>
        <w:t xml:space="preserve"> </w:t>
      </w:r>
      <w:r w:rsidRPr="009C5753">
        <w:rPr>
          <w:rFonts w:ascii="Traditional Arabic" w:hAnsi="Traditional Arabic" w:hint="eastAsia"/>
          <w:rtl/>
        </w:rPr>
        <w:t>عائشة</w:t>
      </w:r>
      <w:r w:rsidR="009B6EF3">
        <w:rPr>
          <w:rFonts w:ascii="Traditional Arabic" w:hAnsi="Traditional Arabic" w:hint="cs"/>
          <w:rtl/>
        </w:rPr>
        <w:t xml:space="preserve"> </w:t>
      </w:r>
      <w:r w:rsidRPr="009C5753">
        <w:rPr>
          <w:rFonts w:ascii="Traditional Arabic" w:hAnsi="Traditional Arabic" w:hint="eastAsia"/>
          <w:rtl/>
        </w:rPr>
        <w:t>لولا</w:t>
      </w:r>
      <w:r w:rsidR="009B6EF3">
        <w:rPr>
          <w:rFonts w:ascii="Traditional Arabic" w:hAnsi="Traditional Arabic" w:hint="cs"/>
          <w:rtl/>
        </w:rPr>
        <w:t xml:space="preserve"> </w:t>
      </w:r>
      <w:r w:rsidRPr="009C5753">
        <w:rPr>
          <w:rFonts w:ascii="Traditional Arabic" w:hAnsi="Traditional Arabic" w:hint="eastAsia"/>
          <w:rtl/>
        </w:rPr>
        <w:t>قومُك</w:t>
      </w:r>
      <w:r w:rsidR="009B6EF3">
        <w:rPr>
          <w:rFonts w:ascii="Traditional Arabic" w:hAnsi="Traditional Arabic" w:hint="cs"/>
          <w:rtl/>
        </w:rPr>
        <w:t xml:space="preserve"> </w:t>
      </w:r>
      <w:r w:rsidRPr="009C5753">
        <w:rPr>
          <w:rFonts w:ascii="Traditional Arabic" w:hAnsi="Traditional Arabic" w:hint="eastAsia"/>
          <w:rtl/>
        </w:rPr>
        <w:t>حديثٌ</w:t>
      </w:r>
      <w:r w:rsidR="009B6EF3">
        <w:rPr>
          <w:rFonts w:ascii="Traditional Arabic" w:hAnsi="Traditional Arabic" w:hint="cs"/>
          <w:rtl/>
        </w:rPr>
        <w:t xml:space="preserve"> </w:t>
      </w:r>
      <w:r w:rsidRPr="009C5753">
        <w:rPr>
          <w:rFonts w:ascii="Traditional Arabic" w:hAnsi="Traditional Arabic" w:hint="eastAsia"/>
          <w:rtl/>
        </w:rPr>
        <w:t>عهدُهم</w:t>
      </w:r>
      <w:r w:rsidR="009B6EF3">
        <w:rPr>
          <w:rFonts w:ascii="Traditional Arabic" w:hAnsi="Traditional Arabic" w:hint="cs"/>
          <w:rtl/>
        </w:rPr>
        <w:t xml:space="preserve"> </w:t>
      </w:r>
      <w:r w:rsidR="00223FD5">
        <w:rPr>
          <w:rFonts w:ascii="Traditional Arabic" w:hAnsi="Traditional Arabic" w:hint="eastAsia"/>
          <w:rtl/>
        </w:rPr>
        <w:t>بِكُفــرٍ</w:t>
      </w:r>
      <w:r w:rsidR="00223FD5">
        <w:rPr>
          <w:rFonts w:ascii="Traditional Arabic" w:hAnsi="Traditional Arabic" w:hint="cs"/>
          <w:rtl/>
        </w:rPr>
        <w:t>............................................118</w:t>
      </w:r>
    </w:p>
    <w:p w:rsidR="00CD5467" w:rsidRDefault="00B43C9F" w:rsidP="00CD5467">
      <w:pPr>
        <w:ind w:firstLine="0"/>
        <w:rPr>
          <w:rtl/>
        </w:rPr>
      </w:pPr>
      <w:r>
        <w:rPr>
          <w:rFonts w:hint="cs"/>
          <w:rtl/>
          <w:lang w:bidi="ar-DZ"/>
        </w:rPr>
        <w:t>يغزو جيش الكعبة...............................................................</w:t>
      </w:r>
      <w:r w:rsidR="00CD5467">
        <w:rPr>
          <w:rFonts w:hint="cs"/>
          <w:rtl/>
          <w:lang w:bidi="ar-DZ"/>
        </w:rPr>
        <w:t>.</w:t>
      </w:r>
      <w:r>
        <w:rPr>
          <w:rFonts w:hint="cs"/>
          <w:rtl/>
          <w:lang w:bidi="ar-DZ"/>
        </w:rPr>
        <w:t>..</w:t>
      </w:r>
      <w:r w:rsidR="00CD5467">
        <w:rPr>
          <w:rFonts w:hint="cs"/>
          <w:rtl/>
        </w:rPr>
        <w:t>203</w:t>
      </w:r>
    </w:p>
    <w:p w:rsidR="00A203B2" w:rsidRPr="00B43C9F" w:rsidRDefault="00A203B2" w:rsidP="00CD5467">
      <w:pPr>
        <w:ind w:firstLine="0"/>
        <w:rPr>
          <w:rtl/>
        </w:rPr>
      </w:pPr>
      <w:r>
        <w:rPr>
          <w:rFonts w:hint="cs"/>
          <w:rtl/>
        </w:rPr>
        <w:t xml:space="preserve">يقدم عليكم قوم....................................................................393 </w:t>
      </w:r>
    </w:p>
    <w:p w:rsidR="000F705E" w:rsidRDefault="000F705E" w:rsidP="00597C20">
      <w:pPr>
        <w:widowControl/>
        <w:ind w:firstLine="0"/>
        <w:jc w:val="left"/>
        <w:sectPr w:rsidR="000F705E" w:rsidSect="000F705E">
          <w:footnotePr>
            <w:numRestart w:val="eachPage"/>
          </w:footnotePr>
          <w:type w:val="continuous"/>
          <w:pgSz w:w="11906" w:h="16838" w:code="9"/>
          <w:pgMar w:top="1418" w:right="1134" w:bottom="1418" w:left="1418" w:header="567" w:footer="737" w:gutter="567"/>
          <w:cols w:space="720"/>
          <w:titlePg/>
          <w:bidi/>
          <w:rtlGutter/>
          <w:docGrid w:linePitch="490"/>
        </w:sectPr>
      </w:pPr>
    </w:p>
    <w:p w:rsidR="00FB770A" w:rsidRDefault="00AB0B9E" w:rsidP="00597C20">
      <w:pPr>
        <w:widowControl/>
        <w:ind w:firstLine="0"/>
        <w:jc w:val="left"/>
        <w:rPr>
          <w:rtl/>
        </w:rPr>
      </w:pPr>
      <w:r>
        <w:lastRenderedPageBreak/>
        <w:fldChar w:fldCharType="end"/>
      </w:r>
    </w:p>
    <w:p w:rsidR="00FF4366" w:rsidRDefault="00FF4366" w:rsidP="00597C20">
      <w:pPr>
        <w:widowControl/>
        <w:ind w:firstLine="0"/>
        <w:jc w:val="left"/>
        <w:rPr>
          <w:rtl/>
        </w:rPr>
        <w:sectPr w:rsidR="00FF4366" w:rsidSect="000F705E">
          <w:footnotePr>
            <w:numRestart w:val="eachPage"/>
          </w:footnotePr>
          <w:type w:val="continuous"/>
          <w:pgSz w:w="11906" w:h="16838" w:code="9"/>
          <w:pgMar w:top="1418" w:right="1134" w:bottom="1418" w:left="1418" w:header="567" w:footer="737" w:gutter="567"/>
          <w:cols w:space="708"/>
          <w:titlePg/>
          <w:bidi/>
          <w:rtlGutter/>
          <w:docGrid w:linePitch="490"/>
        </w:sectPr>
      </w:pPr>
    </w:p>
    <w:p w:rsidR="00FF4366" w:rsidRDefault="00FF4366" w:rsidP="00597C20">
      <w:pPr>
        <w:pStyle w:val="aff0"/>
        <w:rPr>
          <w:rtl/>
        </w:rPr>
      </w:pPr>
      <w:bookmarkStart w:id="550" w:name="_Toc334046724"/>
      <w:r>
        <w:rPr>
          <w:rFonts w:hint="cs"/>
          <w:rtl/>
        </w:rPr>
        <w:lastRenderedPageBreak/>
        <w:t>فهرس الآثار</w:t>
      </w:r>
      <w:bookmarkEnd w:id="550"/>
    </w:p>
    <w:p w:rsidR="000F705E" w:rsidRDefault="00AB0B9E" w:rsidP="00597C20">
      <w:pPr>
        <w:ind w:firstLine="0"/>
        <w:rPr>
          <w:rtl/>
          <w:lang w:bidi="ar-DZ"/>
        </w:rPr>
        <w:sectPr w:rsidR="000F705E" w:rsidSect="000F705E">
          <w:footnotePr>
            <w:numRestart w:val="eachPage"/>
          </w:footnotePr>
          <w:pgSz w:w="11906" w:h="16838" w:code="9"/>
          <w:pgMar w:top="1418" w:right="1134" w:bottom="1418" w:left="1418" w:header="567" w:footer="737" w:gutter="567"/>
          <w:cols w:space="708"/>
          <w:titlePg/>
          <w:bidi/>
          <w:rtlGutter/>
          <w:docGrid w:linePitch="490"/>
        </w:sectPr>
      </w:pPr>
      <w:r>
        <w:rPr>
          <w:rtl/>
          <w:lang w:bidi="ar-DZ"/>
        </w:rPr>
        <w:fldChar w:fldCharType="begin"/>
      </w:r>
      <w:r w:rsidR="00E21433">
        <w:rPr>
          <w:rFonts w:hint="cs"/>
          <w:lang w:bidi="ar-DZ"/>
        </w:rPr>
        <w:instrText xml:space="preserve">INDEX \ft </w:instrText>
      </w:r>
      <w:r w:rsidR="00E21433" w:rsidRPr="00DB69B2">
        <w:instrText>\e "</w:instrText>
      </w:r>
      <w:r w:rsidR="00E21433" w:rsidRPr="00DB69B2">
        <w:tab/>
        <w:instrText>" \c "1" \z "5121"  \l "</w:instrText>
      </w:r>
      <w:r w:rsidR="00E21433" w:rsidRPr="00DB69B2">
        <w:rPr>
          <w:rtl/>
        </w:rPr>
        <w:instrText xml:space="preserve">، </w:instrText>
      </w:r>
      <w:r w:rsidR="00E21433">
        <w:instrText xml:space="preserve">" </w:instrText>
      </w:r>
      <w:r w:rsidR="00E21433">
        <w:rPr>
          <w:rFonts w:hint="cs"/>
          <w:lang w:bidi="ar-DZ"/>
        </w:rPr>
        <w:instrText>\* MERGEFORMAT</w:instrText>
      </w:r>
      <w:r>
        <w:rPr>
          <w:rtl/>
          <w:lang w:bidi="ar-DZ"/>
        </w:rPr>
        <w:fldChar w:fldCharType="separate"/>
      </w:r>
    </w:p>
    <w:p w:rsidR="00FA3484" w:rsidRPr="00FA3484" w:rsidRDefault="00FA3484" w:rsidP="00FA3484">
      <w:pPr>
        <w:pStyle w:val="Index1"/>
        <w:rPr>
          <w:rtl/>
        </w:rPr>
      </w:pPr>
      <w:r>
        <w:rPr>
          <w:rFonts w:ascii="Traditional Arabic" w:hAnsi="Traditional Arabic" w:hint="cs"/>
          <w:rtl/>
          <w:lang w:eastAsia="en-US"/>
        </w:rPr>
        <w:lastRenderedPageBreak/>
        <w:t xml:space="preserve">أفتى </w:t>
      </w:r>
      <w:r w:rsidRPr="00395467">
        <w:rPr>
          <w:rFonts w:ascii="Traditional Arabic" w:hAnsi="Traditional Arabic" w:hint="eastAsia"/>
          <w:rtl/>
          <w:lang w:eastAsia="en-US"/>
        </w:rPr>
        <w:t>من</w:t>
      </w:r>
      <w:r>
        <w:rPr>
          <w:rFonts w:ascii="Traditional Arabic" w:hAnsi="Traditional Arabic" w:hint="cs"/>
          <w:rtl/>
          <w:lang w:eastAsia="en-US"/>
        </w:rPr>
        <w:t xml:space="preserve"> </w:t>
      </w:r>
      <w:r w:rsidRPr="00395467">
        <w:rPr>
          <w:rFonts w:ascii="Traditional Arabic" w:hAnsi="Traditional Arabic" w:hint="eastAsia"/>
          <w:rtl/>
          <w:lang w:eastAsia="en-US"/>
        </w:rPr>
        <w:t>غلَّ</w:t>
      </w:r>
      <w:r>
        <w:rPr>
          <w:rFonts w:ascii="Traditional Arabic" w:hAnsi="Traditional Arabic" w:hint="cs"/>
          <w:rtl/>
          <w:lang w:eastAsia="en-US"/>
        </w:rPr>
        <w:t xml:space="preserve"> </w:t>
      </w:r>
      <w:r w:rsidRPr="00395467">
        <w:rPr>
          <w:rFonts w:ascii="Traditional Arabic" w:hAnsi="Traditional Arabic" w:hint="eastAsia"/>
          <w:rtl/>
          <w:lang w:eastAsia="en-US"/>
        </w:rPr>
        <w:t>من</w:t>
      </w:r>
      <w:r>
        <w:rPr>
          <w:rFonts w:ascii="Traditional Arabic" w:hAnsi="Traditional Arabic" w:hint="cs"/>
          <w:rtl/>
          <w:lang w:eastAsia="en-US"/>
        </w:rPr>
        <w:t xml:space="preserve"> </w:t>
      </w:r>
      <w:r w:rsidRPr="00395467">
        <w:rPr>
          <w:rFonts w:ascii="Traditional Arabic" w:hAnsi="Traditional Arabic" w:hint="eastAsia"/>
          <w:rtl/>
          <w:lang w:eastAsia="en-US"/>
        </w:rPr>
        <w:t>الغنيمة</w:t>
      </w:r>
      <w:r>
        <w:rPr>
          <w:rFonts w:ascii="Traditional Arabic" w:hAnsi="Traditional Arabic" w:hint="cs"/>
          <w:rtl/>
          <w:lang w:eastAsia="en-US"/>
        </w:rPr>
        <w:t xml:space="preserve"> </w:t>
      </w:r>
      <w:r w:rsidRPr="00395467">
        <w:rPr>
          <w:rFonts w:ascii="Traditional Arabic" w:hAnsi="Traditional Arabic" w:hint="eastAsia"/>
          <w:rtl/>
          <w:lang w:eastAsia="en-US"/>
        </w:rPr>
        <w:t>وتاب</w:t>
      </w:r>
      <w:r>
        <w:rPr>
          <w:rFonts w:ascii="Traditional Arabic" w:hAnsi="Traditional Arabic" w:hint="cs"/>
          <w:rtl/>
          <w:lang w:eastAsia="en-US"/>
        </w:rPr>
        <w:t xml:space="preserve"> </w:t>
      </w:r>
      <w:r w:rsidRPr="00395467">
        <w:rPr>
          <w:rFonts w:ascii="Traditional Arabic" w:hAnsi="Traditional Arabic" w:hint="eastAsia"/>
          <w:rtl/>
          <w:lang w:eastAsia="en-US"/>
        </w:rPr>
        <w:t>بعد</w:t>
      </w:r>
      <w:r>
        <w:rPr>
          <w:rFonts w:ascii="Traditional Arabic" w:hAnsi="Traditional Arabic" w:hint="cs"/>
          <w:rtl/>
          <w:lang w:eastAsia="en-US"/>
        </w:rPr>
        <w:t xml:space="preserve"> </w:t>
      </w:r>
      <w:r w:rsidRPr="00395467">
        <w:rPr>
          <w:rFonts w:ascii="Traditional Arabic" w:hAnsi="Traditional Arabic" w:hint="eastAsia"/>
          <w:rtl/>
          <w:lang w:eastAsia="en-US"/>
        </w:rPr>
        <w:t>تفرُّقهم</w:t>
      </w:r>
      <w:r>
        <w:rPr>
          <w:rFonts w:ascii="Traditional Arabic" w:hAnsi="Traditional Arabic" w:hint="cs"/>
          <w:rtl/>
          <w:lang w:eastAsia="en-US"/>
        </w:rPr>
        <w:t xml:space="preserve"> </w:t>
      </w:r>
      <w:r w:rsidRPr="00395467">
        <w:rPr>
          <w:rFonts w:ascii="Traditional Arabic" w:hAnsi="Traditional Arabic" w:hint="eastAsia"/>
          <w:rtl/>
          <w:lang w:eastAsia="en-US"/>
        </w:rPr>
        <w:t>أن</w:t>
      </w:r>
      <w:r>
        <w:rPr>
          <w:rFonts w:ascii="Traditional Arabic" w:hAnsi="Traditional Arabic" w:hint="cs"/>
          <w:rtl/>
          <w:lang w:eastAsia="en-US"/>
        </w:rPr>
        <w:t xml:space="preserve"> </w:t>
      </w:r>
      <w:r w:rsidRPr="00395467">
        <w:rPr>
          <w:rFonts w:ascii="Traditional Arabic" w:hAnsi="Traditional Arabic" w:hint="eastAsia"/>
          <w:rtl/>
          <w:lang w:eastAsia="en-US"/>
        </w:rPr>
        <w:t>يتصدق</w:t>
      </w:r>
      <w:r>
        <w:rPr>
          <w:rFonts w:ascii="Traditional Arabic" w:hAnsi="Traditional Arabic" w:hint="cs"/>
          <w:rtl/>
          <w:lang w:eastAsia="en-US"/>
        </w:rPr>
        <w:t xml:space="preserve"> </w:t>
      </w:r>
      <w:r w:rsidRPr="00395467">
        <w:rPr>
          <w:rFonts w:ascii="Traditional Arabic" w:hAnsi="Traditional Arabic" w:hint="eastAsia"/>
          <w:rtl/>
          <w:lang w:eastAsia="en-US"/>
        </w:rPr>
        <w:t>بذلك</w:t>
      </w:r>
      <w:r>
        <w:rPr>
          <w:rFonts w:ascii="Traditional Arabic" w:hAnsi="Traditional Arabic" w:hint="cs"/>
          <w:rtl/>
          <w:lang w:eastAsia="en-US"/>
        </w:rPr>
        <w:t xml:space="preserve"> </w:t>
      </w:r>
      <w:r w:rsidRPr="00395467">
        <w:rPr>
          <w:rFonts w:ascii="Traditional Arabic" w:hAnsi="Traditional Arabic" w:hint="eastAsia"/>
          <w:rtl/>
          <w:lang w:eastAsia="en-US"/>
        </w:rPr>
        <w:t>عنهم،</w:t>
      </w:r>
      <w:r>
        <w:rPr>
          <w:rtl/>
          <w:lang w:bidi="ar-DZ"/>
        </w:rPr>
        <w:tab/>
      </w:r>
      <w:r>
        <w:rPr>
          <w:rFonts w:hint="cs"/>
          <w:rtl/>
        </w:rPr>
        <w:t>580</w:t>
      </w:r>
    </w:p>
    <w:p w:rsidR="000F705E" w:rsidRDefault="000F705E">
      <w:pPr>
        <w:pStyle w:val="Index1"/>
        <w:rPr>
          <w:rtl/>
        </w:rPr>
      </w:pPr>
      <w:r w:rsidRPr="00395467">
        <w:rPr>
          <w:rFonts w:ascii="Traditional Arabic" w:hAnsi="Traditional Arabic" w:hint="eastAsia"/>
          <w:rtl/>
        </w:rPr>
        <w:t>كل</w:t>
      </w:r>
      <w:r w:rsidR="00AB390D">
        <w:rPr>
          <w:rFonts w:ascii="Traditional Arabic" w:hAnsi="Traditional Arabic" w:hint="cs"/>
          <w:rtl/>
        </w:rPr>
        <w:t xml:space="preserve"> </w:t>
      </w:r>
      <w:r w:rsidRPr="00395467">
        <w:rPr>
          <w:rFonts w:ascii="Traditional Arabic" w:hAnsi="Traditional Arabic" w:hint="eastAsia"/>
          <w:rtl/>
        </w:rPr>
        <w:t>قرض</w:t>
      </w:r>
      <w:r w:rsidR="00AB390D">
        <w:rPr>
          <w:rFonts w:ascii="Traditional Arabic" w:hAnsi="Traditional Arabic" w:hint="cs"/>
          <w:rtl/>
        </w:rPr>
        <w:t xml:space="preserve"> </w:t>
      </w:r>
      <w:r w:rsidRPr="00395467">
        <w:rPr>
          <w:rFonts w:ascii="Traditional Arabic" w:hAnsi="Traditional Arabic" w:hint="eastAsia"/>
          <w:rtl/>
        </w:rPr>
        <w:t>جر</w:t>
      </w:r>
      <w:r w:rsidR="00AB390D">
        <w:rPr>
          <w:rFonts w:ascii="Traditional Arabic" w:hAnsi="Traditional Arabic" w:hint="cs"/>
          <w:rtl/>
        </w:rPr>
        <w:t xml:space="preserve"> </w:t>
      </w:r>
      <w:r w:rsidRPr="00395467">
        <w:rPr>
          <w:rFonts w:ascii="Traditional Arabic" w:hAnsi="Traditional Arabic" w:hint="eastAsia"/>
          <w:rtl/>
        </w:rPr>
        <w:t>منفعة</w:t>
      </w:r>
      <w:r w:rsidR="00AB390D">
        <w:rPr>
          <w:rFonts w:ascii="Traditional Arabic" w:hAnsi="Traditional Arabic" w:hint="cs"/>
          <w:rtl/>
        </w:rPr>
        <w:t xml:space="preserve"> </w:t>
      </w:r>
      <w:r w:rsidRPr="00395467">
        <w:rPr>
          <w:rFonts w:ascii="Traditional Arabic" w:hAnsi="Traditional Arabic" w:hint="eastAsia"/>
          <w:rtl/>
        </w:rPr>
        <w:t>فهو</w:t>
      </w:r>
      <w:r w:rsidR="00AB390D">
        <w:rPr>
          <w:rFonts w:ascii="Traditional Arabic" w:hAnsi="Traditional Arabic" w:hint="cs"/>
          <w:rtl/>
        </w:rPr>
        <w:t xml:space="preserve"> </w:t>
      </w:r>
      <w:r w:rsidRPr="00395467">
        <w:rPr>
          <w:rFonts w:ascii="Traditional Arabic" w:hAnsi="Traditional Arabic" w:hint="eastAsia"/>
          <w:rtl/>
        </w:rPr>
        <w:t>وجه</w:t>
      </w:r>
      <w:r w:rsidR="00AB390D">
        <w:rPr>
          <w:rFonts w:ascii="Traditional Arabic" w:hAnsi="Traditional Arabic" w:hint="cs"/>
          <w:rtl/>
        </w:rPr>
        <w:t xml:space="preserve"> </w:t>
      </w:r>
      <w:r w:rsidRPr="00395467">
        <w:rPr>
          <w:rFonts w:ascii="Traditional Arabic" w:hAnsi="Traditional Arabic" w:hint="eastAsia"/>
          <w:rtl/>
        </w:rPr>
        <w:t>من</w:t>
      </w:r>
      <w:r w:rsidR="00AB390D">
        <w:rPr>
          <w:rFonts w:ascii="Traditional Arabic" w:hAnsi="Traditional Arabic" w:hint="cs"/>
          <w:rtl/>
        </w:rPr>
        <w:t xml:space="preserve"> </w:t>
      </w:r>
      <w:r w:rsidRPr="00395467">
        <w:rPr>
          <w:rFonts w:ascii="Traditional Arabic" w:hAnsi="Traditional Arabic" w:hint="eastAsia"/>
          <w:rtl/>
        </w:rPr>
        <w:t>وجوه</w:t>
      </w:r>
      <w:r w:rsidR="00AB390D">
        <w:rPr>
          <w:rFonts w:ascii="Traditional Arabic" w:hAnsi="Traditional Arabic" w:hint="cs"/>
          <w:rtl/>
        </w:rPr>
        <w:t xml:space="preserve"> </w:t>
      </w:r>
      <w:r w:rsidRPr="00395467">
        <w:rPr>
          <w:rFonts w:ascii="Traditional Arabic" w:hAnsi="Traditional Arabic" w:hint="eastAsia"/>
          <w:rtl/>
        </w:rPr>
        <w:t>الربا</w:t>
      </w:r>
      <w:r w:rsidR="00FA3484">
        <w:rPr>
          <w:rFonts w:hint="cs"/>
          <w:rtl/>
          <w:lang w:bidi="ar-DZ"/>
        </w:rPr>
        <w:t>........................................89(ح)</w:t>
      </w:r>
    </w:p>
    <w:p w:rsidR="000F705E" w:rsidRDefault="000F705E" w:rsidP="00FA3484">
      <w:pPr>
        <w:pStyle w:val="Index1"/>
        <w:rPr>
          <w:rtl/>
        </w:rPr>
      </w:pPr>
      <w:r w:rsidRPr="00395467">
        <w:rPr>
          <w:rFonts w:ascii="Traditional Arabic" w:hAnsi="Traditional Arabic" w:hint="eastAsia"/>
          <w:rtl/>
          <w:lang w:eastAsia="en-US"/>
        </w:rPr>
        <w:t>وجد</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عمر</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في</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بيت</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رجل</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من</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ثقيف</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شراباً،</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فأمر</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به</w:t>
      </w:r>
      <w:r w:rsidR="00AB390D">
        <w:rPr>
          <w:rFonts w:ascii="Traditional Arabic" w:hAnsi="Traditional Arabic" w:hint="cs"/>
          <w:rtl/>
          <w:lang w:eastAsia="en-US"/>
        </w:rPr>
        <w:t xml:space="preserve"> </w:t>
      </w:r>
      <w:r w:rsidR="00AB390D">
        <w:rPr>
          <w:rFonts w:ascii="Traditional Arabic" w:hAnsi="Traditional Arabic" w:hint="eastAsia"/>
          <w:rtl/>
          <w:lang w:eastAsia="en-US"/>
        </w:rPr>
        <w:t>فأُحْرق</w:t>
      </w:r>
      <w:r>
        <w:rPr>
          <w:rtl/>
          <w:lang w:bidi="ar-DZ"/>
        </w:rPr>
        <w:tab/>
      </w:r>
      <w:r w:rsidR="00FA3484">
        <w:rPr>
          <w:rFonts w:hint="cs"/>
          <w:rtl/>
        </w:rPr>
        <w:t>270</w:t>
      </w:r>
    </w:p>
    <w:p w:rsidR="00FA3484" w:rsidRPr="00FA3484" w:rsidRDefault="00FA3484" w:rsidP="00FA3484">
      <w:pPr>
        <w:pStyle w:val="Index1"/>
        <w:rPr>
          <w:rtl/>
        </w:rPr>
      </w:pPr>
      <w:r w:rsidRPr="00395467">
        <w:rPr>
          <w:rFonts w:ascii="Traditional Arabic" w:hAnsi="Traditional Arabic" w:hint="eastAsia"/>
          <w:rtl/>
          <w:lang w:eastAsia="en-US"/>
        </w:rPr>
        <w:t>الوضيعة</w:t>
      </w:r>
      <w:r>
        <w:rPr>
          <w:rFonts w:ascii="Traditional Arabic" w:hAnsi="Traditional Arabic" w:hint="cs"/>
          <w:rtl/>
          <w:lang w:eastAsia="en-US"/>
        </w:rPr>
        <w:t xml:space="preserve"> </w:t>
      </w:r>
      <w:r w:rsidRPr="00395467">
        <w:rPr>
          <w:rFonts w:ascii="Traditional Arabic" w:hAnsi="Traditional Arabic" w:hint="eastAsia"/>
          <w:rtl/>
          <w:lang w:eastAsia="en-US"/>
        </w:rPr>
        <w:t>على</w:t>
      </w:r>
      <w:r>
        <w:rPr>
          <w:rFonts w:ascii="Traditional Arabic" w:hAnsi="Traditional Arabic" w:hint="cs"/>
          <w:rtl/>
          <w:lang w:eastAsia="en-US"/>
        </w:rPr>
        <w:t xml:space="preserve"> </w:t>
      </w:r>
      <w:r w:rsidRPr="00395467">
        <w:rPr>
          <w:rFonts w:ascii="Traditional Arabic" w:hAnsi="Traditional Arabic" w:hint="eastAsia"/>
          <w:rtl/>
          <w:lang w:eastAsia="en-US"/>
        </w:rPr>
        <w:t>المال،</w:t>
      </w:r>
      <w:r>
        <w:rPr>
          <w:rFonts w:ascii="Traditional Arabic" w:hAnsi="Traditional Arabic" w:hint="cs"/>
          <w:rtl/>
          <w:lang w:eastAsia="en-US"/>
        </w:rPr>
        <w:t xml:space="preserve"> </w:t>
      </w:r>
      <w:r w:rsidRPr="00395467">
        <w:rPr>
          <w:rFonts w:ascii="Traditional Arabic" w:hAnsi="Traditional Arabic" w:hint="eastAsia"/>
          <w:rtl/>
          <w:lang w:eastAsia="en-US"/>
        </w:rPr>
        <w:t>والربح</w:t>
      </w:r>
      <w:r>
        <w:rPr>
          <w:rFonts w:ascii="Traditional Arabic" w:hAnsi="Traditional Arabic" w:hint="cs"/>
          <w:rtl/>
          <w:lang w:eastAsia="en-US"/>
        </w:rPr>
        <w:t xml:space="preserve"> </w:t>
      </w:r>
      <w:r w:rsidRPr="00395467">
        <w:rPr>
          <w:rFonts w:ascii="Traditional Arabic" w:hAnsi="Traditional Arabic" w:hint="eastAsia"/>
          <w:rtl/>
          <w:lang w:eastAsia="en-US"/>
        </w:rPr>
        <w:t>على</w:t>
      </w:r>
      <w:r>
        <w:rPr>
          <w:rFonts w:ascii="Traditional Arabic" w:hAnsi="Traditional Arabic" w:hint="cs"/>
          <w:rtl/>
          <w:lang w:eastAsia="en-US"/>
        </w:rPr>
        <w:t xml:space="preserve"> </w:t>
      </w:r>
      <w:r w:rsidRPr="00395467">
        <w:rPr>
          <w:rFonts w:ascii="Traditional Arabic" w:hAnsi="Traditional Arabic" w:hint="eastAsia"/>
          <w:rtl/>
          <w:lang w:eastAsia="en-US"/>
        </w:rPr>
        <w:t>ما</w:t>
      </w:r>
      <w:r>
        <w:rPr>
          <w:rFonts w:ascii="Traditional Arabic" w:hAnsi="Traditional Arabic" w:hint="cs"/>
          <w:rtl/>
          <w:lang w:eastAsia="en-US"/>
        </w:rPr>
        <w:t xml:space="preserve"> </w:t>
      </w:r>
      <w:r w:rsidRPr="00395467">
        <w:rPr>
          <w:rFonts w:ascii="Traditional Arabic" w:hAnsi="Traditional Arabic" w:hint="eastAsia"/>
          <w:rtl/>
          <w:lang w:eastAsia="en-US"/>
        </w:rPr>
        <w:t>اصطلحوا</w:t>
      </w:r>
      <w:r>
        <w:rPr>
          <w:rFonts w:ascii="Traditional Arabic" w:hAnsi="Traditional Arabic" w:hint="cs"/>
          <w:rtl/>
          <w:lang w:eastAsia="en-US"/>
        </w:rPr>
        <w:t xml:space="preserve"> </w:t>
      </w:r>
      <w:r w:rsidRPr="00395467">
        <w:rPr>
          <w:rFonts w:ascii="Traditional Arabic" w:hAnsi="Traditional Arabic" w:hint="eastAsia"/>
          <w:rtl/>
          <w:lang w:eastAsia="en-US"/>
        </w:rPr>
        <w:t>عليه</w:t>
      </w:r>
      <w:r>
        <w:rPr>
          <w:rtl/>
          <w:lang w:bidi="ar-DZ"/>
        </w:rPr>
        <w:tab/>
      </w:r>
      <w:r>
        <w:rPr>
          <w:rFonts w:hint="cs"/>
          <w:rtl/>
        </w:rPr>
        <w:t>561</w:t>
      </w:r>
    </w:p>
    <w:p w:rsidR="000F705E" w:rsidRDefault="000F705E" w:rsidP="00FA3484">
      <w:pPr>
        <w:pStyle w:val="Index1"/>
        <w:rPr>
          <w:rtl/>
        </w:rPr>
      </w:pPr>
      <w:r w:rsidRPr="00395467">
        <w:rPr>
          <w:rFonts w:ascii="Traditional Arabic" w:hAnsi="Traditional Arabic" w:hint="eastAsia"/>
          <w:rtl/>
          <w:lang w:eastAsia="en-US"/>
        </w:rPr>
        <w:t>وكان</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عبدالله</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بن</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مسعود</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قد</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اشترى</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جارية،</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فدخل</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بيته</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ليأتي</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بالثمن</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فخرج</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فلم</w:t>
      </w:r>
      <w:r w:rsidR="00AB390D">
        <w:rPr>
          <w:rFonts w:ascii="Traditional Arabic" w:hAnsi="Traditional Arabic" w:hint="cs"/>
          <w:rtl/>
          <w:lang w:eastAsia="en-US"/>
        </w:rPr>
        <w:t xml:space="preserve"> </w:t>
      </w:r>
      <w:r w:rsidRPr="00395467">
        <w:rPr>
          <w:rFonts w:ascii="Traditional Arabic" w:hAnsi="Traditional Arabic" w:hint="eastAsia"/>
          <w:rtl/>
          <w:lang w:eastAsia="en-US"/>
        </w:rPr>
        <w:t>يجد</w:t>
      </w:r>
      <w:r w:rsidR="00AB390D">
        <w:rPr>
          <w:rFonts w:ascii="Traditional Arabic" w:hAnsi="Traditional Arabic" w:hint="cs"/>
          <w:rtl/>
          <w:lang w:eastAsia="en-US"/>
        </w:rPr>
        <w:t xml:space="preserve"> </w:t>
      </w:r>
      <w:r w:rsidR="00AB390D">
        <w:rPr>
          <w:rFonts w:ascii="Traditional Arabic" w:hAnsi="Traditional Arabic" w:hint="eastAsia"/>
          <w:rtl/>
          <w:lang w:eastAsia="en-US"/>
        </w:rPr>
        <w:t>البائع</w:t>
      </w:r>
      <w:r>
        <w:rPr>
          <w:rtl/>
          <w:lang w:bidi="ar-DZ"/>
        </w:rPr>
        <w:tab/>
      </w:r>
      <w:r w:rsidR="00FA3484">
        <w:rPr>
          <w:rFonts w:hint="cs"/>
          <w:rtl/>
        </w:rPr>
        <w:t>580</w:t>
      </w:r>
    </w:p>
    <w:p w:rsidR="000F705E" w:rsidRDefault="000F705E" w:rsidP="00597C20">
      <w:pPr>
        <w:ind w:firstLine="0"/>
        <w:rPr>
          <w:rtl/>
        </w:rPr>
        <w:sectPr w:rsidR="000F705E" w:rsidSect="000F705E">
          <w:footnotePr>
            <w:numRestart w:val="eachPage"/>
          </w:footnotePr>
          <w:type w:val="continuous"/>
          <w:pgSz w:w="11906" w:h="16838" w:code="9"/>
          <w:pgMar w:top="1418" w:right="1134" w:bottom="1418" w:left="1418" w:header="567" w:footer="737" w:gutter="567"/>
          <w:cols w:space="720"/>
          <w:titlePg/>
          <w:bidi/>
          <w:rtlGutter/>
          <w:docGrid w:linePitch="490"/>
        </w:sectPr>
      </w:pPr>
    </w:p>
    <w:p w:rsidR="00FF4366" w:rsidRDefault="00AB0B9E" w:rsidP="00597C20">
      <w:pPr>
        <w:ind w:firstLine="0"/>
        <w:rPr>
          <w:rtl/>
          <w:lang w:bidi="ar-DZ"/>
        </w:rPr>
      </w:pPr>
      <w:r>
        <w:rPr>
          <w:rtl/>
          <w:lang w:bidi="ar-DZ"/>
        </w:rPr>
        <w:lastRenderedPageBreak/>
        <w:fldChar w:fldCharType="end"/>
      </w:r>
    </w:p>
    <w:p w:rsidR="00E21433" w:rsidRDefault="00E21433" w:rsidP="00597C20">
      <w:pPr>
        <w:ind w:firstLine="0"/>
        <w:rPr>
          <w:rtl/>
          <w:lang w:bidi="ar-DZ"/>
        </w:rPr>
      </w:pPr>
    </w:p>
    <w:p w:rsidR="00FF4366" w:rsidRDefault="00FF4366" w:rsidP="00597C20">
      <w:pPr>
        <w:ind w:firstLine="0"/>
        <w:rPr>
          <w:rtl/>
          <w:lang w:bidi="ar-DZ"/>
        </w:rPr>
        <w:sectPr w:rsidR="00FF4366" w:rsidSect="000F705E">
          <w:footnotePr>
            <w:numRestart w:val="eachPage"/>
          </w:footnotePr>
          <w:type w:val="continuous"/>
          <w:pgSz w:w="11906" w:h="16838" w:code="9"/>
          <w:pgMar w:top="1418" w:right="1134" w:bottom="1418" w:left="1418" w:header="567" w:footer="737" w:gutter="567"/>
          <w:cols w:space="708"/>
          <w:titlePg/>
          <w:bidi/>
          <w:rtlGutter/>
          <w:docGrid w:linePitch="490"/>
        </w:sectPr>
      </w:pPr>
    </w:p>
    <w:p w:rsidR="00FF4366" w:rsidRDefault="000E23B1" w:rsidP="00597C20">
      <w:pPr>
        <w:pStyle w:val="aff0"/>
        <w:rPr>
          <w:rtl/>
        </w:rPr>
      </w:pPr>
      <w:bookmarkStart w:id="551" w:name="_Toc334046725"/>
      <w:r w:rsidRPr="000E23B1">
        <w:rPr>
          <w:rFonts w:hint="cs"/>
          <w:rtl/>
        </w:rPr>
        <w:lastRenderedPageBreak/>
        <w:t>فهرس الأعلام المترجم لهم في البحث</w:t>
      </w:r>
      <w:bookmarkEnd w:id="551"/>
    </w:p>
    <w:p w:rsidR="001C3F19" w:rsidRDefault="00AB0B9E" w:rsidP="00597C20">
      <w:pPr>
        <w:ind w:firstLine="0"/>
        <w:rPr>
          <w:rtl/>
          <w:lang w:bidi="ar-DZ"/>
        </w:rPr>
        <w:sectPr w:rsidR="001C3F19" w:rsidSect="001C3F19">
          <w:footnotePr>
            <w:numRestart w:val="eachPage"/>
          </w:footnotePr>
          <w:pgSz w:w="11906" w:h="16838" w:code="9"/>
          <w:pgMar w:top="1418" w:right="1134" w:bottom="1418" w:left="1418" w:header="567" w:footer="737" w:gutter="567"/>
          <w:cols w:space="708"/>
          <w:titlePg/>
          <w:bidi/>
          <w:rtlGutter/>
          <w:docGrid w:linePitch="490"/>
        </w:sectPr>
      </w:pPr>
      <w:r>
        <w:rPr>
          <w:rtl/>
          <w:lang w:bidi="ar-DZ"/>
        </w:rPr>
        <w:fldChar w:fldCharType="begin"/>
      </w:r>
      <w:r w:rsidR="004F50F0">
        <w:rPr>
          <w:rFonts w:hint="cs"/>
          <w:lang w:bidi="ar-DZ"/>
        </w:rPr>
        <w:instrText xml:space="preserve">INDEX \fa </w:instrText>
      </w:r>
      <w:r w:rsidR="004F50F0" w:rsidRPr="00DB69B2">
        <w:instrText>\e "</w:instrText>
      </w:r>
      <w:r w:rsidR="004F50F0" w:rsidRPr="00DB69B2">
        <w:tab/>
        <w:instrText>" \c "1" \z "5121"  \l "</w:instrText>
      </w:r>
      <w:r w:rsidR="004F50F0" w:rsidRPr="00DB69B2">
        <w:rPr>
          <w:rtl/>
        </w:rPr>
        <w:instrText xml:space="preserve">، </w:instrText>
      </w:r>
      <w:r w:rsidR="004F50F0">
        <w:instrText xml:space="preserve">" </w:instrText>
      </w:r>
      <w:r w:rsidR="004F50F0">
        <w:rPr>
          <w:rFonts w:hint="cs"/>
          <w:lang w:bidi="ar-DZ"/>
        </w:rPr>
        <w:instrText>\* MERGEFORMAT</w:instrText>
      </w:r>
      <w:r>
        <w:rPr>
          <w:rtl/>
          <w:lang w:bidi="ar-DZ"/>
        </w:rPr>
        <w:fldChar w:fldCharType="separate"/>
      </w:r>
    </w:p>
    <w:p w:rsidR="00C40ACF" w:rsidRDefault="00C40ACF" w:rsidP="009C63DD">
      <w:pPr>
        <w:pStyle w:val="Index1"/>
        <w:rPr>
          <w:rFonts w:ascii="Traditional Arabic" w:hAnsi="Traditional Arabic"/>
          <w:rtl/>
          <w:lang w:eastAsia="en-US"/>
        </w:rPr>
      </w:pPr>
      <w:r>
        <w:rPr>
          <w:rFonts w:ascii="Traditional Arabic" w:hAnsi="Traditional Arabic" w:hint="cs"/>
          <w:rtl/>
          <w:lang w:eastAsia="en-US"/>
        </w:rPr>
        <w:lastRenderedPageBreak/>
        <w:t>أبو صرمة......................................................................... 250</w:t>
      </w:r>
    </w:p>
    <w:p w:rsidR="00C40ACF" w:rsidRPr="00C40ACF" w:rsidRDefault="00C40ACF" w:rsidP="00C40ACF">
      <w:pPr>
        <w:ind w:firstLine="0"/>
        <w:rPr>
          <w:rtl/>
          <w:lang w:eastAsia="en-US"/>
        </w:rPr>
      </w:pPr>
      <w:r>
        <w:rPr>
          <w:rFonts w:hint="cs"/>
          <w:rtl/>
          <w:lang w:eastAsia="en-US"/>
        </w:rPr>
        <w:t>أبو قتادة....................................................................269، 270</w:t>
      </w:r>
    </w:p>
    <w:p w:rsidR="001C3F19" w:rsidRDefault="001C3F19" w:rsidP="009C63DD">
      <w:pPr>
        <w:pStyle w:val="Index1"/>
        <w:rPr>
          <w:rtl/>
        </w:rPr>
      </w:pPr>
      <w:r w:rsidRPr="003A4FEF">
        <w:rPr>
          <w:rFonts w:ascii="Traditional Arabic" w:hAnsi="Traditional Arabic" w:hint="eastAsia"/>
          <w:rtl/>
          <w:lang w:eastAsia="en-US"/>
        </w:rPr>
        <w:t>الحارث</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بن</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أبي</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شمَّر</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الغَسَّاني</w:t>
      </w:r>
      <w:r w:rsidR="009C63DD">
        <w:rPr>
          <w:rFonts w:hint="cs"/>
          <w:rtl/>
          <w:lang w:bidi="ar-DZ"/>
        </w:rPr>
        <w:t xml:space="preserve"> (عظيم بُصرى)</w:t>
      </w:r>
      <w:r>
        <w:rPr>
          <w:rtl/>
          <w:lang w:bidi="ar-DZ"/>
        </w:rPr>
        <w:tab/>
      </w:r>
      <w:r w:rsidR="009C63DD">
        <w:rPr>
          <w:rFonts w:hint="cs"/>
          <w:rtl/>
        </w:rPr>
        <w:t>324</w:t>
      </w:r>
    </w:p>
    <w:p w:rsidR="001C3F19" w:rsidRDefault="001C3F19">
      <w:pPr>
        <w:pStyle w:val="Index1"/>
        <w:rPr>
          <w:rtl/>
        </w:rPr>
      </w:pPr>
      <w:r w:rsidRPr="003A4FEF">
        <w:rPr>
          <w:rFonts w:ascii="Traditional Arabic" w:hAnsi="Traditional Arabic" w:hint="eastAsia"/>
          <w:rtl/>
          <w:lang w:eastAsia="en-US"/>
        </w:rPr>
        <w:t>حمنةَبنت</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جَحْش</w:t>
      </w:r>
      <w:r w:rsidR="009C63DD">
        <w:rPr>
          <w:rFonts w:hint="cs"/>
          <w:rtl/>
          <w:lang w:bidi="ar-DZ"/>
        </w:rPr>
        <w:t>......................................................133، 134، 326</w:t>
      </w:r>
    </w:p>
    <w:p w:rsidR="00C332D4" w:rsidRPr="00C332D4" w:rsidRDefault="00C332D4" w:rsidP="00C332D4">
      <w:pPr>
        <w:ind w:firstLine="0"/>
        <w:rPr>
          <w:rtl/>
        </w:rPr>
      </w:pPr>
      <w:r>
        <w:rPr>
          <w:rFonts w:hint="cs"/>
          <w:rtl/>
        </w:rPr>
        <w:t>دحية الكلبي.......................................................................324</w:t>
      </w:r>
    </w:p>
    <w:p w:rsidR="001C3F19" w:rsidRDefault="001C3F19" w:rsidP="009C63DD">
      <w:pPr>
        <w:pStyle w:val="Index1"/>
        <w:rPr>
          <w:rtl/>
        </w:rPr>
      </w:pPr>
      <w:r>
        <w:rPr>
          <w:rFonts w:hint="eastAsia"/>
          <w:rtl/>
        </w:rPr>
        <w:t>ذو</w:t>
      </w:r>
      <w:r w:rsidR="00C2536E">
        <w:rPr>
          <w:rFonts w:hint="cs"/>
          <w:rtl/>
        </w:rPr>
        <w:t xml:space="preserve"> </w:t>
      </w:r>
      <w:r>
        <w:rPr>
          <w:rFonts w:hint="eastAsia"/>
          <w:rtl/>
        </w:rPr>
        <w:t>اليدين</w:t>
      </w:r>
      <w:r>
        <w:rPr>
          <w:rtl/>
          <w:lang w:bidi="ar-DZ"/>
        </w:rPr>
        <w:tab/>
      </w:r>
      <w:r w:rsidR="009C63DD">
        <w:rPr>
          <w:rFonts w:hint="cs"/>
          <w:rtl/>
          <w:lang w:bidi="ar-DZ"/>
        </w:rPr>
        <w:t>135</w:t>
      </w:r>
    </w:p>
    <w:p w:rsidR="001C3F19" w:rsidRDefault="001C3F19">
      <w:pPr>
        <w:pStyle w:val="Index1"/>
        <w:rPr>
          <w:rtl/>
        </w:rPr>
      </w:pPr>
      <w:r w:rsidRPr="003A4FEF">
        <w:rPr>
          <w:rFonts w:ascii="Traditional Arabic" w:hAnsi="Traditional Arabic" w:hint="eastAsia"/>
          <w:rtl/>
          <w:lang w:eastAsia="en-US"/>
        </w:rPr>
        <w:t>سودة</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بنت</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زمعة</w:t>
      </w:r>
      <w:r w:rsidR="009C63DD">
        <w:rPr>
          <w:rFonts w:hint="cs"/>
          <w:rtl/>
          <w:lang w:bidi="ar-DZ"/>
        </w:rPr>
        <w:t>......................................................</w:t>
      </w:r>
      <w:r w:rsidR="009C63DD">
        <w:rPr>
          <w:rFonts w:hint="cs"/>
          <w:rtl/>
        </w:rPr>
        <w:t>448، 455، 456</w:t>
      </w:r>
    </w:p>
    <w:p w:rsidR="001C3F19" w:rsidRDefault="001C3F19" w:rsidP="009C63DD">
      <w:pPr>
        <w:pStyle w:val="Index1"/>
        <w:rPr>
          <w:rtl/>
        </w:rPr>
      </w:pPr>
      <w:r w:rsidRPr="003A4FEF">
        <w:rPr>
          <w:rFonts w:ascii="Traditional Arabic" w:hAnsi="Traditional Arabic" w:hint="eastAsia"/>
          <w:rtl/>
          <w:lang w:eastAsia="en-US"/>
        </w:rPr>
        <w:t>عبد</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بن</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زمعة</w:t>
      </w:r>
      <w:r>
        <w:rPr>
          <w:rtl/>
          <w:lang w:bidi="ar-DZ"/>
        </w:rPr>
        <w:tab/>
      </w:r>
      <w:r w:rsidR="009C63DD">
        <w:rPr>
          <w:rFonts w:hint="cs"/>
          <w:rtl/>
          <w:lang w:bidi="ar-DZ"/>
        </w:rPr>
        <w:t xml:space="preserve">447، 448، </w:t>
      </w:r>
      <w:r w:rsidR="009C63DD">
        <w:rPr>
          <w:rFonts w:hint="cs"/>
          <w:rtl/>
        </w:rPr>
        <w:t>455</w:t>
      </w:r>
    </w:p>
    <w:p w:rsidR="001C3F19" w:rsidRDefault="001C3F19" w:rsidP="002768D7">
      <w:pPr>
        <w:pStyle w:val="Index1"/>
        <w:rPr>
          <w:rtl/>
        </w:rPr>
      </w:pPr>
      <w:r w:rsidRPr="003A4FEF">
        <w:rPr>
          <w:rFonts w:ascii="Traditional Arabic" w:hAnsi="Traditional Arabic" w:hint="eastAsia"/>
          <w:rtl/>
        </w:rPr>
        <w:t>عبدالرحمن</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سليمان</w:t>
      </w:r>
      <w:r w:rsidR="00C2536E">
        <w:rPr>
          <w:rFonts w:ascii="Traditional Arabic" w:hAnsi="Traditional Arabic" w:hint="cs"/>
          <w:rtl/>
        </w:rPr>
        <w:t xml:space="preserve"> </w:t>
      </w:r>
      <w:r w:rsidRPr="003A4FEF">
        <w:rPr>
          <w:rFonts w:ascii="Traditional Arabic" w:hAnsi="Traditional Arabic" w:hint="eastAsia"/>
          <w:rtl/>
        </w:rPr>
        <w:t>آلدامغ</w:t>
      </w:r>
      <w:r>
        <w:rPr>
          <w:rtl/>
          <w:lang w:bidi="ar-DZ"/>
        </w:rPr>
        <w:tab/>
      </w:r>
      <w:r w:rsidR="002768D7">
        <w:rPr>
          <w:rFonts w:hint="cs"/>
          <w:rtl/>
          <w:lang w:bidi="ar-DZ"/>
        </w:rPr>
        <w:t>24</w:t>
      </w:r>
    </w:p>
    <w:p w:rsidR="001C3F19" w:rsidRDefault="001C3F19">
      <w:pPr>
        <w:pStyle w:val="Index1"/>
        <w:rPr>
          <w:rtl/>
        </w:rPr>
      </w:pPr>
      <w:r w:rsidRPr="003A4FEF">
        <w:rPr>
          <w:rFonts w:ascii="Traditional Arabic" w:hAnsi="Traditional Arabic" w:hint="eastAsia"/>
          <w:rtl/>
        </w:rPr>
        <w:t>عبدالرحمن</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علي</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عبد</w:t>
      </w:r>
      <w:r w:rsidR="00C2536E">
        <w:rPr>
          <w:rFonts w:ascii="Traditional Arabic" w:hAnsi="Traditional Arabic" w:hint="cs"/>
          <w:rtl/>
        </w:rPr>
        <w:t xml:space="preserve"> </w:t>
      </w:r>
      <w:r w:rsidRPr="003A4FEF">
        <w:rPr>
          <w:rFonts w:ascii="Traditional Arabic" w:hAnsi="Traditional Arabic" w:hint="eastAsia"/>
          <w:rtl/>
        </w:rPr>
        <w:t>العزيز</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عودان</w:t>
      </w:r>
      <w:r w:rsidR="002768D7">
        <w:rPr>
          <w:rFonts w:hint="cs"/>
          <w:rtl/>
          <w:lang w:bidi="ar-DZ"/>
        </w:rPr>
        <w:t>.............................................24</w:t>
      </w:r>
    </w:p>
    <w:p w:rsidR="001C3F19" w:rsidRDefault="001C3F19" w:rsidP="002768D7">
      <w:pPr>
        <w:pStyle w:val="Index1"/>
        <w:rPr>
          <w:rtl/>
        </w:rPr>
      </w:pPr>
      <w:r w:rsidRPr="003A4FEF">
        <w:rPr>
          <w:rFonts w:ascii="Traditional Arabic" w:hAnsi="Traditional Arabic" w:hint="eastAsia"/>
          <w:rtl/>
        </w:rPr>
        <w:t>عبدالرحمن</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يوسف</w:t>
      </w:r>
      <w:r w:rsidR="00C2536E">
        <w:rPr>
          <w:rFonts w:ascii="Traditional Arabic" w:hAnsi="Traditional Arabic" w:hint="cs"/>
          <w:rtl/>
        </w:rPr>
        <w:t xml:space="preserve"> </w:t>
      </w:r>
      <w:r w:rsidRPr="003A4FEF">
        <w:rPr>
          <w:rFonts w:ascii="Traditional Arabic" w:hAnsi="Traditional Arabic" w:hint="eastAsia"/>
          <w:rtl/>
        </w:rPr>
        <w:t>الفلاني</w:t>
      </w:r>
      <w:r w:rsidR="00C2536E">
        <w:rPr>
          <w:rFonts w:ascii="Traditional Arabic" w:hAnsi="Traditional Arabic" w:hint="cs"/>
          <w:rtl/>
        </w:rPr>
        <w:t xml:space="preserve"> </w:t>
      </w:r>
      <w:r w:rsidR="00C2536E">
        <w:rPr>
          <w:rFonts w:ascii="Traditional Arabic" w:hAnsi="Traditional Arabic" w:hint="eastAsia"/>
          <w:rtl/>
        </w:rPr>
        <w:t>ا</w:t>
      </w:r>
      <w:r w:rsidR="00C2536E">
        <w:rPr>
          <w:rFonts w:ascii="Traditional Arabic" w:hAnsi="Traditional Arabic" w:hint="cs"/>
          <w:rtl/>
        </w:rPr>
        <w:t>لإ</w:t>
      </w:r>
      <w:r w:rsidRPr="003A4FEF">
        <w:rPr>
          <w:rFonts w:ascii="Traditional Arabic" w:hAnsi="Traditional Arabic" w:hint="eastAsia"/>
          <w:rtl/>
        </w:rPr>
        <w:t>فريقي</w:t>
      </w:r>
      <w:r w:rsidR="002768D7">
        <w:rPr>
          <w:rFonts w:hint="cs"/>
          <w:rtl/>
          <w:lang w:bidi="ar-DZ"/>
        </w:rPr>
        <w:t>..................................................29</w:t>
      </w:r>
    </w:p>
    <w:p w:rsidR="001C3F19" w:rsidRDefault="001C3F19" w:rsidP="002768D7">
      <w:pPr>
        <w:pStyle w:val="Index1"/>
        <w:rPr>
          <w:rtl/>
        </w:rPr>
      </w:pPr>
      <w:r w:rsidRPr="003A4FEF">
        <w:rPr>
          <w:rFonts w:ascii="Traditional Arabic" w:hAnsi="Traditional Arabic" w:hint="eastAsia"/>
          <w:rtl/>
        </w:rPr>
        <w:t>عبدالعزيز</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صالح</w:t>
      </w:r>
      <w:r w:rsidR="00C2536E">
        <w:rPr>
          <w:rFonts w:ascii="Traditional Arabic" w:hAnsi="Traditional Arabic" w:hint="cs"/>
          <w:rtl/>
        </w:rPr>
        <w:t xml:space="preserve"> </w:t>
      </w:r>
      <w:r w:rsidRPr="003A4FEF">
        <w:rPr>
          <w:rFonts w:ascii="Traditional Arabic" w:hAnsi="Traditional Arabic" w:hint="eastAsia"/>
          <w:rtl/>
        </w:rPr>
        <w:t>آلدامغ</w:t>
      </w:r>
      <w:r w:rsidR="002768D7">
        <w:rPr>
          <w:rFonts w:hint="cs"/>
          <w:rtl/>
        </w:rPr>
        <w:t>............................................................29</w:t>
      </w:r>
    </w:p>
    <w:p w:rsidR="001C3F19" w:rsidRDefault="001C3F19">
      <w:pPr>
        <w:pStyle w:val="Index1"/>
        <w:rPr>
          <w:rtl/>
        </w:rPr>
      </w:pPr>
      <w:r w:rsidRPr="003A4FEF">
        <w:rPr>
          <w:rFonts w:ascii="Traditional Arabic" w:hAnsi="Traditional Arabic" w:hint="eastAsia"/>
          <w:rtl/>
        </w:rPr>
        <w:t>عبدالعزيز</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ناصر</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عبد</w:t>
      </w:r>
      <w:r w:rsidR="00C2536E">
        <w:rPr>
          <w:rFonts w:ascii="Traditional Arabic" w:hAnsi="Traditional Arabic" w:hint="cs"/>
          <w:rtl/>
        </w:rPr>
        <w:t xml:space="preserve"> </w:t>
      </w:r>
      <w:r w:rsidRPr="003A4FEF">
        <w:rPr>
          <w:rFonts w:ascii="Traditional Arabic" w:hAnsi="Traditional Arabic" w:hint="eastAsia"/>
          <w:rtl/>
        </w:rPr>
        <w:t>الله</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رشيد</w:t>
      </w:r>
      <w:r w:rsidR="002768D7">
        <w:rPr>
          <w:rFonts w:hint="cs"/>
          <w:rtl/>
          <w:lang w:bidi="ar-DZ"/>
        </w:rPr>
        <w:t>...........................................28_29</w:t>
      </w:r>
    </w:p>
    <w:p w:rsidR="001C3F19" w:rsidRDefault="001C3F19" w:rsidP="002768D7">
      <w:pPr>
        <w:pStyle w:val="Index1"/>
        <w:rPr>
          <w:rtl/>
        </w:rPr>
      </w:pPr>
      <w:r w:rsidRPr="003A4FEF">
        <w:rPr>
          <w:rFonts w:ascii="Traditional Arabic" w:hAnsi="Traditional Arabic" w:hint="eastAsia"/>
          <w:rtl/>
        </w:rPr>
        <w:t>عُتبة</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أبي</w:t>
      </w:r>
      <w:r w:rsidR="00C2536E">
        <w:rPr>
          <w:rFonts w:ascii="Traditional Arabic" w:hAnsi="Traditional Arabic" w:hint="cs"/>
          <w:rtl/>
        </w:rPr>
        <w:t xml:space="preserve"> </w:t>
      </w:r>
      <w:r w:rsidRPr="003A4FEF">
        <w:rPr>
          <w:rFonts w:ascii="Traditional Arabic" w:hAnsi="Traditional Arabic" w:hint="eastAsia"/>
          <w:rtl/>
        </w:rPr>
        <w:t>وقاص</w:t>
      </w:r>
      <w:r>
        <w:rPr>
          <w:rtl/>
          <w:lang w:bidi="ar-DZ"/>
        </w:rPr>
        <w:tab/>
      </w:r>
      <w:r w:rsidR="002768D7">
        <w:rPr>
          <w:rFonts w:hint="cs"/>
          <w:rtl/>
        </w:rPr>
        <w:t>447، 448، 455، 456</w:t>
      </w:r>
    </w:p>
    <w:p w:rsidR="001C3F19" w:rsidRDefault="00C2536E">
      <w:pPr>
        <w:pStyle w:val="Index1"/>
        <w:rPr>
          <w:rtl/>
          <w:lang w:bidi="ar-DZ"/>
        </w:rPr>
      </w:pPr>
      <w:r>
        <w:rPr>
          <w:rFonts w:hint="eastAsia"/>
          <w:rtl/>
        </w:rPr>
        <w:t>عُرْوَة</w:t>
      </w:r>
      <w:r>
        <w:rPr>
          <w:rFonts w:hint="cs"/>
          <w:rtl/>
        </w:rPr>
        <w:t xml:space="preserve"> </w:t>
      </w:r>
      <w:r>
        <w:rPr>
          <w:rFonts w:hint="eastAsia"/>
          <w:rtl/>
        </w:rPr>
        <w:t>بن</w:t>
      </w:r>
      <w:r>
        <w:rPr>
          <w:rFonts w:hint="cs"/>
          <w:rtl/>
        </w:rPr>
        <w:t xml:space="preserve"> </w:t>
      </w:r>
      <w:r w:rsidR="001C3F19">
        <w:rPr>
          <w:rFonts w:hint="eastAsia"/>
          <w:rtl/>
        </w:rPr>
        <w:t>الجَعْدِ</w:t>
      </w:r>
      <w:r>
        <w:rPr>
          <w:rFonts w:hint="cs"/>
          <w:rtl/>
        </w:rPr>
        <w:t xml:space="preserve"> </w:t>
      </w:r>
      <w:r w:rsidR="001C3F19">
        <w:rPr>
          <w:rFonts w:hint="eastAsia"/>
          <w:rtl/>
        </w:rPr>
        <w:t>البارِقي</w:t>
      </w:r>
      <w:r w:rsidR="001C3F19">
        <w:rPr>
          <w:rtl/>
          <w:lang w:bidi="ar-DZ"/>
        </w:rPr>
        <w:tab/>
        <w:t>200</w:t>
      </w:r>
    </w:p>
    <w:p w:rsidR="001C3F19" w:rsidRDefault="001C3F19">
      <w:pPr>
        <w:pStyle w:val="Index1"/>
        <w:rPr>
          <w:rtl/>
        </w:rPr>
      </w:pPr>
      <w:r w:rsidRPr="003A4FEF">
        <w:rPr>
          <w:rFonts w:ascii="Traditional Arabic" w:hAnsi="Traditional Arabic" w:hint="eastAsia"/>
          <w:rtl/>
        </w:rPr>
        <w:t>ع</w:t>
      </w:r>
      <w:r w:rsidR="00C2536E">
        <w:rPr>
          <w:rFonts w:ascii="Traditional Arabic" w:hAnsi="Traditional Arabic" w:hint="cs"/>
          <w:rtl/>
        </w:rPr>
        <w:t>َ</w:t>
      </w:r>
      <w:r w:rsidRPr="003A4FEF">
        <w:rPr>
          <w:rFonts w:ascii="Traditional Arabic" w:hAnsi="Traditional Arabic" w:hint="eastAsia"/>
          <w:rtl/>
        </w:rPr>
        <w:t>ط</w:t>
      </w:r>
      <w:r w:rsidR="00C2536E">
        <w:rPr>
          <w:rFonts w:ascii="Traditional Arabic" w:hAnsi="Traditional Arabic" w:hint="cs"/>
          <w:rtl/>
        </w:rPr>
        <w:t>ِ</w:t>
      </w:r>
      <w:r w:rsidRPr="003A4FEF">
        <w:rPr>
          <w:rFonts w:ascii="Traditional Arabic" w:hAnsi="Traditional Arabic" w:hint="eastAsia"/>
          <w:rtl/>
        </w:rPr>
        <w:t>ي</w:t>
      </w:r>
      <w:r w:rsidR="00C2536E">
        <w:rPr>
          <w:rFonts w:ascii="Traditional Arabic" w:hAnsi="Traditional Arabic" w:hint="cs"/>
          <w:rtl/>
        </w:rPr>
        <w:t>َّ</w:t>
      </w:r>
      <w:r w:rsidRPr="003A4FEF">
        <w:rPr>
          <w:rFonts w:ascii="Traditional Arabic" w:hAnsi="Traditional Arabic" w:hint="eastAsia"/>
          <w:rtl/>
        </w:rPr>
        <w:t>ة</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ع</w:t>
      </w:r>
      <w:r w:rsidR="00C2536E">
        <w:rPr>
          <w:rFonts w:ascii="Traditional Arabic" w:hAnsi="Traditional Arabic" w:hint="cs"/>
          <w:rtl/>
        </w:rPr>
        <w:t>ُ</w:t>
      </w:r>
      <w:r w:rsidRPr="003A4FEF">
        <w:rPr>
          <w:rFonts w:ascii="Traditional Arabic" w:hAnsi="Traditional Arabic" w:hint="eastAsia"/>
          <w:rtl/>
        </w:rPr>
        <w:t>روة</w:t>
      </w:r>
      <w:r w:rsidR="00C2536E">
        <w:rPr>
          <w:rFonts w:ascii="Traditional Arabic" w:hAnsi="Traditional Arabic" w:hint="cs"/>
          <w:rtl/>
        </w:rPr>
        <w:t xml:space="preserve"> </w:t>
      </w:r>
      <w:r w:rsidRPr="003A4FEF">
        <w:rPr>
          <w:rFonts w:ascii="Traditional Arabic" w:hAnsi="Traditional Arabic" w:hint="eastAsia"/>
          <w:rtl/>
        </w:rPr>
        <w:t>السعدي</w:t>
      </w:r>
      <w:r w:rsidR="002768D7">
        <w:rPr>
          <w:rtl/>
          <w:lang w:bidi="ar-DZ"/>
        </w:rPr>
        <w:tab/>
      </w:r>
      <w:r w:rsidR="002768D7">
        <w:rPr>
          <w:rFonts w:hint="cs"/>
          <w:rtl/>
        </w:rPr>
        <w:t>155، 156</w:t>
      </w:r>
    </w:p>
    <w:p w:rsidR="001C3F19" w:rsidRDefault="001C3F19">
      <w:pPr>
        <w:pStyle w:val="Index1"/>
        <w:rPr>
          <w:rtl/>
        </w:rPr>
      </w:pPr>
      <w:r w:rsidRPr="003A4FEF">
        <w:rPr>
          <w:rFonts w:ascii="Traditional Arabic" w:hAnsi="Traditional Arabic" w:hint="eastAsia"/>
          <w:rtl/>
          <w:lang w:eastAsia="en-US"/>
        </w:rPr>
        <w:t>عُقْبة</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بن</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عامِر</w:t>
      </w:r>
      <w:r w:rsidR="00C2536E">
        <w:rPr>
          <w:rFonts w:ascii="Traditional Arabic" w:hAnsi="Traditional Arabic" w:hint="cs"/>
          <w:rtl/>
          <w:lang w:eastAsia="en-US"/>
        </w:rPr>
        <w:t xml:space="preserve"> </w:t>
      </w:r>
      <w:r w:rsidRPr="003A4FEF">
        <w:rPr>
          <w:rFonts w:ascii="Traditional Arabic" w:hAnsi="Traditional Arabic" w:hint="eastAsia"/>
          <w:rtl/>
          <w:lang w:eastAsia="en-US"/>
        </w:rPr>
        <w:t>الجهني</w:t>
      </w:r>
      <w:r w:rsidR="002768D7">
        <w:rPr>
          <w:rtl/>
          <w:lang w:bidi="ar-DZ"/>
        </w:rPr>
        <w:tab/>
      </w:r>
      <w:r w:rsidR="002768D7">
        <w:rPr>
          <w:rFonts w:hint="cs"/>
          <w:rtl/>
        </w:rPr>
        <w:t>301</w:t>
      </w:r>
    </w:p>
    <w:p w:rsidR="001C3F19" w:rsidRDefault="001C3F19">
      <w:pPr>
        <w:pStyle w:val="Index1"/>
        <w:rPr>
          <w:rtl/>
        </w:rPr>
      </w:pPr>
      <w:r w:rsidRPr="003A4FEF">
        <w:rPr>
          <w:rFonts w:ascii="Traditional Arabic" w:hAnsi="Traditional Arabic" w:hint="eastAsia"/>
          <w:rtl/>
        </w:rPr>
        <w:t>علي</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عبد</w:t>
      </w:r>
      <w:r w:rsidR="00C2536E">
        <w:rPr>
          <w:rFonts w:ascii="Traditional Arabic" w:hAnsi="Traditional Arabic" w:hint="cs"/>
          <w:rtl/>
        </w:rPr>
        <w:t xml:space="preserve"> </w:t>
      </w:r>
      <w:r w:rsidRPr="003A4FEF">
        <w:rPr>
          <w:rFonts w:ascii="Traditional Arabic" w:hAnsi="Traditional Arabic" w:hint="eastAsia"/>
          <w:rtl/>
        </w:rPr>
        <w:t>الله</w:t>
      </w:r>
      <w:r w:rsidR="00C2536E">
        <w:rPr>
          <w:rFonts w:ascii="Traditional Arabic" w:hAnsi="Traditional Arabic" w:hint="cs"/>
          <w:rtl/>
        </w:rPr>
        <w:t xml:space="preserve"> </w:t>
      </w:r>
      <w:r w:rsidRPr="003A4FEF">
        <w:rPr>
          <w:rFonts w:ascii="Traditional Arabic" w:hAnsi="Traditional Arabic" w:hint="eastAsia"/>
          <w:rtl/>
        </w:rPr>
        <w:t>بن</w:t>
      </w:r>
      <w:r w:rsidR="00C2536E">
        <w:rPr>
          <w:rFonts w:ascii="Traditional Arabic" w:hAnsi="Traditional Arabic" w:hint="cs"/>
          <w:rtl/>
        </w:rPr>
        <w:t xml:space="preserve"> </w:t>
      </w:r>
      <w:r w:rsidRPr="003A4FEF">
        <w:rPr>
          <w:rFonts w:ascii="Traditional Arabic" w:hAnsi="Traditional Arabic" w:hint="eastAsia"/>
          <w:rtl/>
        </w:rPr>
        <w:t>شحيتان</w:t>
      </w:r>
      <w:r w:rsidR="00C2536E">
        <w:rPr>
          <w:rFonts w:ascii="Traditional Arabic" w:hAnsi="Traditional Arabic" w:hint="cs"/>
          <w:rtl/>
        </w:rPr>
        <w:t xml:space="preserve"> </w:t>
      </w:r>
      <w:r w:rsidRPr="003A4FEF">
        <w:rPr>
          <w:rFonts w:ascii="Traditional Arabic" w:hAnsi="Traditional Arabic" w:hint="eastAsia"/>
          <w:rtl/>
        </w:rPr>
        <w:t>العنزي</w:t>
      </w:r>
      <w:r w:rsidR="002768D7">
        <w:rPr>
          <w:rtl/>
          <w:lang w:bidi="ar-DZ"/>
        </w:rPr>
        <w:tab/>
      </w:r>
      <w:r w:rsidR="002768D7">
        <w:rPr>
          <w:rFonts w:hint="cs"/>
          <w:rtl/>
          <w:lang w:bidi="ar-DZ"/>
        </w:rPr>
        <w:t>24</w:t>
      </w:r>
    </w:p>
    <w:p w:rsidR="00C2536E" w:rsidRDefault="00C2536E" w:rsidP="009F1735">
      <w:pPr>
        <w:pStyle w:val="Index1"/>
        <w:rPr>
          <w:rtl/>
          <w:lang w:bidi="ar-DZ"/>
        </w:rPr>
      </w:pPr>
      <w:r>
        <w:rPr>
          <w:rFonts w:ascii="Traditional Arabic" w:hAnsi="Traditional Arabic" w:hint="eastAsia"/>
          <w:rtl/>
        </w:rPr>
        <w:t>محمد</w:t>
      </w:r>
      <w:r>
        <w:rPr>
          <w:rFonts w:ascii="Traditional Arabic" w:hAnsi="Traditional Arabic" w:hint="cs"/>
          <w:rtl/>
        </w:rPr>
        <w:t xml:space="preserve"> </w:t>
      </w:r>
      <w:r>
        <w:rPr>
          <w:rFonts w:ascii="Traditional Arabic" w:hAnsi="Traditional Arabic" w:hint="eastAsia"/>
          <w:rtl/>
        </w:rPr>
        <w:t>بن</w:t>
      </w:r>
      <w:r>
        <w:rPr>
          <w:rFonts w:ascii="Traditional Arabic" w:hAnsi="Traditional Arabic" w:hint="cs"/>
          <w:rtl/>
        </w:rPr>
        <w:t xml:space="preserve"> </w:t>
      </w:r>
      <w:r>
        <w:rPr>
          <w:rFonts w:ascii="Traditional Arabic" w:hAnsi="Traditional Arabic" w:hint="eastAsia"/>
          <w:rtl/>
        </w:rPr>
        <w:t>عبد</w:t>
      </w:r>
      <w:r>
        <w:rPr>
          <w:rFonts w:ascii="Traditional Arabic" w:hAnsi="Traditional Arabic" w:hint="cs"/>
          <w:rtl/>
        </w:rPr>
        <w:t xml:space="preserve"> </w:t>
      </w:r>
      <w:r>
        <w:rPr>
          <w:rFonts w:ascii="Traditional Arabic" w:hAnsi="Traditional Arabic" w:hint="eastAsia"/>
          <w:rtl/>
        </w:rPr>
        <w:t>العزيز</w:t>
      </w:r>
      <w:r>
        <w:rPr>
          <w:rFonts w:ascii="Traditional Arabic" w:hAnsi="Traditional Arabic" w:hint="cs"/>
          <w:rtl/>
        </w:rPr>
        <w:t xml:space="preserve"> </w:t>
      </w:r>
      <w:r>
        <w:rPr>
          <w:rFonts w:ascii="Traditional Arabic" w:hAnsi="Traditional Arabic" w:hint="eastAsia"/>
          <w:rtl/>
        </w:rPr>
        <w:t>بن</w:t>
      </w:r>
      <w:r>
        <w:rPr>
          <w:rFonts w:ascii="Traditional Arabic" w:hAnsi="Traditional Arabic" w:hint="cs"/>
          <w:rtl/>
        </w:rPr>
        <w:t xml:space="preserve"> </w:t>
      </w:r>
      <w:r>
        <w:rPr>
          <w:rFonts w:ascii="Traditional Arabic" w:hAnsi="Traditional Arabic" w:hint="eastAsia"/>
          <w:rtl/>
        </w:rPr>
        <w:t>عبدالله</w:t>
      </w:r>
      <w:r>
        <w:rPr>
          <w:rFonts w:ascii="Traditional Arabic" w:hAnsi="Traditional Arabic" w:hint="cs"/>
          <w:rtl/>
        </w:rPr>
        <w:t xml:space="preserve"> المطوع</w:t>
      </w:r>
      <w:r w:rsidR="002768D7">
        <w:rPr>
          <w:rFonts w:ascii="Traditional Arabic" w:hAnsi="Traditional Arabic" w:hint="cs"/>
          <w:rtl/>
        </w:rPr>
        <w:t>..................................................28</w:t>
      </w:r>
    </w:p>
    <w:p w:rsidR="00C332D4" w:rsidRPr="00C332D4" w:rsidRDefault="00C332D4" w:rsidP="00C332D4">
      <w:pPr>
        <w:pStyle w:val="Index1"/>
        <w:rPr>
          <w:rtl/>
        </w:rPr>
      </w:pPr>
      <w:r>
        <w:rPr>
          <w:rFonts w:ascii="Traditional Arabic" w:hAnsi="Traditional Arabic" w:hint="eastAsia"/>
          <w:rtl/>
          <w:lang w:eastAsia="en-US"/>
        </w:rPr>
        <w:lastRenderedPageBreak/>
        <w:t>المِسْوَر</w:t>
      </w:r>
      <w:r>
        <w:rPr>
          <w:rFonts w:ascii="Traditional Arabic" w:hAnsi="Traditional Arabic" w:hint="cs"/>
          <w:rtl/>
          <w:lang w:eastAsia="en-US"/>
        </w:rPr>
        <w:t xml:space="preserve"> </w:t>
      </w:r>
      <w:r>
        <w:rPr>
          <w:rFonts w:ascii="Traditional Arabic" w:hAnsi="Traditional Arabic" w:hint="eastAsia"/>
          <w:rtl/>
          <w:lang w:eastAsia="en-US"/>
        </w:rPr>
        <w:t>بن</w:t>
      </w:r>
      <w:r>
        <w:rPr>
          <w:rFonts w:ascii="Traditional Arabic" w:hAnsi="Traditional Arabic" w:hint="cs"/>
          <w:rtl/>
          <w:lang w:eastAsia="en-US"/>
        </w:rPr>
        <w:t xml:space="preserve"> </w:t>
      </w:r>
      <w:r w:rsidRPr="003A4FEF">
        <w:rPr>
          <w:rFonts w:ascii="Traditional Arabic" w:hAnsi="Traditional Arabic" w:hint="eastAsia"/>
          <w:rtl/>
          <w:lang w:eastAsia="en-US"/>
        </w:rPr>
        <w:t>م</w:t>
      </w:r>
      <w:r>
        <w:rPr>
          <w:rFonts w:ascii="Traditional Arabic" w:hAnsi="Traditional Arabic" w:hint="eastAsia"/>
          <w:rtl/>
          <w:lang w:eastAsia="en-US"/>
        </w:rPr>
        <w:t>َخْرَمَة</w:t>
      </w:r>
      <w:r>
        <w:rPr>
          <w:rFonts w:hint="cs"/>
          <w:rtl/>
          <w:lang w:bidi="ar-DZ"/>
        </w:rPr>
        <w:t>....................................................................150</w:t>
      </w:r>
    </w:p>
    <w:p w:rsidR="00C2536E" w:rsidRDefault="002768D7" w:rsidP="009F1735">
      <w:pPr>
        <w:pStyle w:val="Index1"/>
        <w:rPr>
          <w:rtl/>
        </w:rPr>
      </w:pPr>
      <w:r>
        <w:rPr>
          <w:rFonts w:hint="cs"/>
          <w:rtl/>
        </w:rPr>
        <w:t>موسى بن أحمد الحجاوي.............................................................48</w:t>
      </w:r>
    </w:p>
    <w:p w:rsidR="001C3F19" w:rsidRDefault="00C2536E" w:rsidP="009F1735">
      <w:pPr>
        <w:pStyle w:val="Index1"/>
        <w:rPr>
          <w:rtl/>
        </w:rPr>
      </w:pPr>
      <w:r>
        <w:rPr>
          <w:rFonts w:hint="cs"/>
          <w:rtl/>
        </w:rPr>
        <w:t>النجاشي</w:t>
      </w:r>
      <w:r w:rsidR="002768D7">
        <w:rPr>
          <w:rFonts w:hint="cs"/>
          <w:rtl/>
          <w:lang w:bidi="ar-DZ"/>
        </w:rPr>
        <w:t>..........................................................................486</w:t>
      </w:r>
    </w:p>
    <w:p w:rsidR="001C3F19" w:rsidRDefault="001C3F19">
      <w:pPr>
        <w:pStyle w:val="Index1"/>
        <w:rPr>
          <w:rtl/>
        </w:rPr>
      </w:pPr>
      <w:r w:rsidRPr="003A4FEF">
        <w:rPr>
          <w:rFonts w:ascii="Traditional Arabic" w:hAnsi="Traditional Arabic" w:hint="eastAsia"/>
          <w:rtl/>
          <w:lang w:eastAsia="en-US"/>
        </w:rPr>
        <w:t>هرقل</w:t>
      </w:r>
      <w:r w:rsidR="002768D7">
        <w:rPr>
          <w:rtl/>
          <w:lang w:bidi="ar-DZ"/>
        </w:rPr>
        <w:tab/>
      </w:r>
      <w:r w:rsidR="002768D7">
        <w:rPr>
          <w:rFonts w:hint="cs"/>
          <w:rtl/>
        </w:rPr>
        <w:t>325</w:t>
      </w:r>
    </w:p>
    <w:p w:rsidR="001C3F19" w:rsidRDefault="001C3F19" w:rsidP="00597C20">
      <w:pPr>
        <w:ind w:firstLine="0"/>
        <w:rPr>
          <w:rtl/>
          <w:lang w:bidi="ar-DZ"/>
        </w:rPr>
        <w:sectPr w:rsidR="001C3F19" w:rsidSect="001C3F19">
          <w:footnotePr>
            <w:numRestart w:val="eachPage"/>
          </w:footnotePr>
          <w:type w:val="continuous"/>
          <w:pgSz w:w="11906" w:h="16838" w:code="9"/>
          <w:pgMar w:top="1418" w:right="1134" w:bottom="1418" w:left="1418" w:header="567" w:footer="737" w:gutter="567"/>
          <w:cols w:space="720"/>
          <w:titlePg/>
          <w:bidi/>
          <w:rtlGutter/>
          <w:docGrid w:linePitch="490"/>
        </w:sectPr>
      </w:pPr>
    </w:p>
    <w:p w:rsidR="00FF4366" w:rsidRDefault="00AB0B9E" w:rsidP="00597C20">
      <w:pPr>
        <w:ind w:firstLine="0"/>
        <w:rPr>
          <w:rtl/>
          <w:lang w:bidi="ar-DZ"/>
        </w:rPr>
      </w:pPr>
      <w:r>
        <w:rPr>
          <w:rtl/>
          <w:lang w:bidi="ar-DZ"/>
        </w:rPr>
        <w:lastRenderedPageBreak/>
        <w:fldChar w:fldCharType="end"/>
      </w:r>
    </w:p>
    <w:p w:rsidR="004F50F0" w:rsidRDefault="004F50F0" w:rsidP="00597C20">
      <w:pPr>
        <w:ind w:firstLine="0"/>
        <w:rPr>
          <w:rtl/>
          <w:lang w:bidi="ar-DZ"/>
        </w:rPr>
      </w:pPr>
    </w:p>
    <w:p w:rsidR="000E23B1" w:rsidRDefault="000E23B1" w:rsidP="00597C20">
      <w:pPr>
        <w:ind w:firstLine="0"/>
        <w:rPr>
          <w:rtl/>
          <w:lang w:bidi="ar-DZ"/>
        </w:rPr>
        <w:sectPr w:rsidR="000E23B1" w:rsidSect="001C3F19">
          <w:footnotePr>
            <w:numRestart w:val="eachPage"/>
          </w:footnotePr>
          <w:type w:val="continuous"/>
          <w:pgSz w:w="11906" w:h="16838" w:code="9"/>
          <w:pgMar w:top="1418" w:right="1134" w:bottom="1418" w:left="1418" w:header="567" w:footer="737" w:gutter="567"/>
          <w:cols w:space="708"/>
          <w:titlePg/>
          <w:bidi/>
          <w:rtlGutter/>
          <w:docGrid w:linePitch="490"/>
        </w:sectPr>
      </w:pPr>
    </w:p>
    <w:p w:rsidR="001C3F19" w:rsidRDefault="000E23B1" w:rsidP="00A74341">
      <w:pPr>
        <w:pStyle w:val="aff0"/>
        <w:rPr>
          <w:rtl/>
        </w:rPr>
        <w:sectPr w:rsidR="001C3F19" w:rsidSect="001C3F19">
          <w:footnotePr>
            <w:numRestart w:val="eachPage"/>
          </w:footnotePr>
          <w:pgSz w:w="11906" w:h="16838" w:code="9"/>
          <w:pgMar w:top="1418" w:right="1134" w:bottom="1418" w:left="1418" w:header="567" w:footer="737" w:gutter="567"/>
          <w:cols w:space="708"/>
          <w:titlePg/>
          <w:bidi/>
          <w:rtlGutter/>
          <w:docGrid w:linePitch="490"/>
        </w:sectPr>
      </w:pPr>
      <w:bookmarkStart w:id="552" w:name="_Toc334046726"/>
      <w:r>
        <w:rPr>
          <w:rFonts w:hint="cs"/>
          <w:rtl/>
        </w:rPr>
        <w:lastRenderedPageBreak/>
        <w:t>فهرس ا</w:t>
      </w:r>
      <w:r w:rsidR="001B2229">
        <w:rPr>
          <w:rFonts w:hint="cs"/>
          <w:rtl/>
        </w:rPr>
        <w:t>لمصطلحات العلمية والكلمات الغري</w:t>
      </w:r>
      <w:r>
        <w:rPr>
          <w:rFonts w:hint="cs"/>
          <w:rtl/>
        </w:rPr>
        <w:t>ب</w:t>
      </w:r>
      <w:bookmarkEnd w:id="552"/>
      <w:r w:rsidR="00A74341">
        <w:rPr>
          <w:rFonts w:hint="cs"/>
          <w:rtl/>
        </w:rPr>
        <w:t>ة</w:t>
      </w:r>
      <w:r w:rsidR="00AB0B9E" w:rsidRPr="00AB0B9E">
        <w:rPr>
          <w:rtl/>
        </w:rPr>
        <w:fldChar w:fldCharType="begin"/>
      </w:r>
      <w:r w:rsidR="00D3267C">
        <w:rPr>
          <w:rFonts w:hint="cs"/>
        </w:rPr>
        <w:instrText>INDEX \fm</w:instrText>
      </w:r>
      <w:r w:rsidR="00D3267C" w:rsidRPr="00DB69B2">
        <w:instrText>\e "</w:instrText>
      </w:r>
      <w:r w:rsidR="00D3267C" w:rsidRPr="00DB69B2">
        <w:tab/>
        <w:instrText>" \c "</w:instrText>
      </w:r>
      <w:r w:rsidR="0019788E">
        <w:instrText>2</w:instrText>
      </w:r>
      <w:r w:rsidR="00D3267C" w:rsidRPr="00DB69B2">
        <w:instrText>" \z "5121"  \l "</w:instrText>
      </w:r>
      <w:r w:rsidR="00D3267C" w:rsidRPr="00DB69B2">
        <w:rPr>
          <w:rtl/>
        </w:rPr>
        <w:instrText xml:space="preserve">، </w:instrText>
      </w:r>
      <w:r w:rsidR="00D3267C">
        <w:instrText xml:space="preserve">" </w:instrText>
      </w:r>
      <w:r w:rsidR="00D3267C">
        <w:rPr>
          <w:rFonts w:hint="cs"/>
          <w:lang w:bidi="ar-DZ"/>
        </w:rPr>
        <w:instrText>\</w:instrText>
      </w:r>
      <w:r w:rsidR="00D3267C">
        <w:rPr>
          <w:rFonts w:hint="cs"/>
        </w:rPr>
        <w:instrText>* MERGEFORMAT</w:instrText>
      </w:r>
      <w:r w:rsidR="00AB0B9E" w:rsidRPr="00AB0B9E">
        <w:rPr>
          <w:rtl/>
        </w:rPr>
        <w:fldChar w:fldCharType="separate"/>
      </w:r>
    </w:p>
    <w:p w:rsidR="007E1439" w:rsidRDefault="007E1439" w:rsidP="004D1DEC">
      <w:pPr>
        <w:pStyle w:val="Index1"/>
        <w:tabs>
          <w:tab w:val="right" w:leader="dot" w:pos="4023"/>
        </w:tabs>
        <w:rPr>
          <w:rFonts w:ascii="Traditional Arabic" w:hAnsi="Traditional Arabic"/>
          <w:rtl/>
        </w:rPr>
      </w:pPr>
      <w:r>
        <w:rPr>
          <w:rFonts w:ascii="Traditional Arabic" w:hAnsi="Traditional Arabic" w:hint="cs"/>
          <w:rtl/>
        </w:rPr>
        <w:lastRenderedPageBreak/>
        <w:t>الأثلة..............................145</w:t>
      </w:r>
    </w:p>
    <w:p w:rsidR="00C332D4" w:rsidRPr="00C332D4" w:rsidRDefault="00C332D4" w:rsidP="004D1DEC">
      <w:pPr>
        <w:pStyle w:val="Index1"/>
        <w:tabs>
          <w:tab w:val="right" w:leader="dot" w:pos="4023"/>
        </w:tabs>
        <w:rPr>
          <w:rtl/>
        </w:rPr>
      </w:pPr>
      <w:r w:rsidRPr="00AC7EA9">
        <w:rPr>
          <w:rFonts w:ascii="Traditional Arabic" w:hAnsi="Traditional Arabic" w:hint="eastAsia"/>
          <w:rtl/>
        </w:rPr>
        <w:t>الإجارة</w:t>
      </w:r>
      <w:r>
        <w:rPr>
          <w:rtl/>
          <w:lang w:bidi="ar-DZ"/>
        </w:rPr>
        <w:tab/>
      </w:r>
      <w:r w:rsidR="004D1DEC">
        <w:rPr>
          <w:rFonts w:hint="cs"/>
          <w:rtl/>
          <w:lang w:bidi="ar-DZ"/>
        </w:rPr>
        <w:t>308</w:t>
      </w:r>
    </w:p>
    <w:p w:rsidR="001C3F19" w:rsidRDefault="001C3F19" w:rsidP="004D1DEC">
      <w:pPr>
        <w:pStyle w:val="Index1"/>
        <w:tabs>
          <w:tab w:val="right" w:leader="dot" w:pos="4023"/>
        </w:tabs>
        <w:rPr>
          <w:rtl/>
        </w:rPr>
      </w:pPr>
      <w:r w:rsidRPr="00AC7EA9">
        <w:rPr>
          <w:rFonts w:ascii="Traditional Arabic" w:hAnsi="Traditional Arabic" w:hint="eastAsia"/>
          <w:rtl/>
          <w:lang w:eastAsia="en-US"/>
        </w:rPr>
        <w:t>إحياء</w:t>
      </w:r>
      <w:r w:rsidR="009F1735">
        <w:rPr>
          <w:rFonts w:ascii="Traditional Arabic" w:hAnsi="Traditional Arabic" w:hint="cs"/>
          <w:rtl/>
          <w:lang w:eastAsia="en-US"/>
        </w:rPr>
        <w:t xml:space="preserve"> </w:t>
      </w:r>
      <w:r w:rsidRPr="00AC7EA9">
        <w:rPr>
          <w:rFonts w:ascii="Traditional Arabic" w:hAnsi="Traditional Arabic" w:hint="eastAsia"/>
          <w:rtl/>
          <w:lang w:eastAsia="en-US"/>
        </w:rPr>
        <w:t>الأرض</w:t>
      </w:r>
      <w:r w:rsidR="009F1735">
        <w:rPr>
          <w:rFonts w:ascii="Traditional Arabic" w:hAnsi="Traditional Arabic" w:hint="cs"/>
          <w:rtl/>
          <w:lang w:eastAsia="en-US"/>
        </w:rPr>
        <w:t xml:space="preserve"> </w:t>
      </w:r>
      <w:r w:rsidRPr="00AC7EA9">
        <w:rPr>
          <w:rFonts w:ascii="Traditional Arabic" w:hAnsi="Traditional Arabic" w:hint="eastAsia"/>
          <w:rtl/>
          <w:lang w:eastAsia="en-US"/>
        </w:rPr>
        <w:t>الموات</w:t>
      </w:r>
      <w:r>
        <w:rPr>
          <w:rtl/>
          <w:lang w:bidi="ar-DZ"/>
        </w:rPr>
        <w:tab/>
      </w:r>
      <w:r w:rsidR="004D1DEC">
        <w:rPr>
          <w:rFonts w:hint="cs"/>
          <w:rtl/>
          <w:lang w:bidi="ar-DZ"/>
        </w:rPr>
        <w:t>163</w:t>
      </w:r>
    </w:p>
    <w:p w:rsidR="00C332D4" w:rsidRDefault="00C332D4" w:rsidP="004D1DEC">
      <w:pPr>
        <w:pStyle w:val="Index1"/>
        <w:tabs>
          <w:tab w:val="right" w:leader="dot" w:pos="4023"/>
        </w:tabs>
        <w:rPr>
          <w:rtl/>
        </w:rPr>
      </w:pPr>
      <w:r>
        <w:rPr>
          <w:rFonts w:hint="eastAsia"/>
          <w:rtl/>
        </w:rPr>
        <w:t>الأرجح</w:t>
      </w:r>
      <w:r>
        <w:rPr>
          <w:rtl/>
          <w:lang w:bidi="ar-DZ"/>
        </w:rPr>
        <w:tab/>
      </w:r>
      <w:r w:rsidR="004D1DEC">
        <w:rPr>
          <w:rFonts w:hint="cs"/>
          <w:rtl/>
          <w:lang w:bidi="ar-DZ"/>
        </w:rPr>
        <w:t>107</w:t>
      </w:r>
    </w:p>
    <w:p w:rsidR="00C332D4" w:rsidRDefault="00C332D4" w:rsidP="004D1DEC">
      <w:pPr>
        <w:pStyle w:val="Index1"/>
        <w:tabs>
          <w:tab w:val="right" w:leader="dot" w:pos="4023"/>
        </w:tabs>
        <w:rPr>
          <w:rtl/>
        </w:rPr>
      </w:pPr>
      <w:r w:rsidRPr="00AC7EA9">
        <w:rPr>
          <w:rFonts w:ascii="Traditional Arabic" w:hAnsi="Traditional Arabic" w:hint="eastAsia"/>
          <w:rtl/>
          <w:lang w:eastAsia="en-US"/>
        </w:rPr>
        <w:t>الأرض</w:t>
      </w:r>
      <w:r>
        <w:rPr>
          <w:rFonts w:ascii="Traditional Arabic" w:hAnsi="Traditional Arabic" w:hint="cs"/>
          <w:rtl/>
          <w:lang w:eastAsia="en-US"/>
        </w:rPr>
        <w:t xml:space="preserve"> </w:t>
      </w:r>
      <w:r w:rsidRPr="00AC7EA9">
        <w:rPr>
          <w:rFonts w:ascii="Traditional Arabic" w:hAnsi="Traditional Arabic" w:hint="eastAsia"/>
          <w:rtl/>
          <w:lang w:eastAsia="en-US"/>
        </w:rPr>
        <w:t>المَوات</w:t>
      </w:r>
      <w:r>
        <w:rPr>
          <w:rtl/>
          <w:lang w:bidi="ar-DZ"/>
        </w:rPr>
        <w:tab/>
      </w:r>
      <w:r w:rsidR="004D1DEC">
        <w:rPr>
          <w:rFonts w:hint="cs"/>
          <w:rtl/>
          <w:lang w:bidi="ar-DZ"/>
        </w:rPr>
        <w:t>163</w:t>
      </w:r>
    </w:p>
    <w:p w:rsidR="00C332D4" w:rsidRDefault="00C332D4" w:rsidP="00C332D4">
      <w:pPr>
        <w:pStyle w:val="Index1"/>
        <w:tabs>
          <w:tab w:val="right" w:leader="dot" w:pos="4023"/>
        </w:tabs>
        <w:rPr>
          <w:rtl/>
        </w:rPr>
      </w:pPr>
      <w:r w:rsidRPr="00AC7EA9">
        <w:rPr>
          <w:rFonts w:ascii="Traditional Arabic" w:hAnsi="Traditional Arabic" w:hint="eastAsia"/>
          <w:rtl/>
        </w:rPr>
        <w:t>الإرفاق</w:t>
      </w:r>
      <w:r>
        <w:rPr>
          <w:rtl/>
          <w:lang w:bidi="ar-DZ"/>
        </w:rPr>
        <w:tab/>
      </w:r>
      <w:r w:rsidR="00C33E18">
        <w:rPr>
          <w:rFonts w:hint="cs"/>
          <w:rtl/>
          <w:lang w:bidi="ar-DZ"/>
        </w:rPr>
        <w:t>381</w:t>
      </w:r>
    </w:p>
    <w:p w:rsidR="00C332D4" w:rsidRDefault="00C332D4" w:rsidP="00C332D4">
      <w:pPr>
        <w:pStyle w:val="Index1"/>
        <w:tabs>
          <w:tab w:val="right" w:leader="dot" w:pos="4023"/>
        </w:tabs>
        <w:rPr>
          <w:rtl/>
        </w:rPr>
      </w:pPr>
      <w:r w:rsidRPr="00AC7EA9">
        <w:rPr>
          <w:rFonts w:ascii="Traditional Arabic" w:hAnsi="Traditional Arabic" w:hint="eastAsia"/>
          <w:rtl/>
        </w:rPr>
        <w:t>الأريسيون</w:t>
      </w:r>
      <w:r w:rsidR="00C33E18">
        <w:rPr>
          <w:rFonts w:ascii="Traditional Arabic" w:hAnsi="Traditional Arabic" w:hint="cs"/>
          <w:rtl/>
        </w:rPr>
        <w:t>..........................</w:t>
      </w:r>
      <w:r w:rsidR="00C33E18">
        <w:rPr>
          <w:rtl/>
          <w:lang w:bidi="ar-DZ"/>
        </w:rPr>
        <w:t>3</w:t>
      </w:r>
      <w:r w:rsidR="00C33E18">
        <w:rPr>
          <w:rFonts w:hint="cs"/>
          <w:rtl/>
          <w:lang w:bidi="ar-DZ"/>
        </w:rPr>
        <w:t>25</w:t>
      </w:r>
    </w:p>
    <w:p w:rsidR="00C332D4" w:rsidRDefault="00C332D4" w:rsidP="00C332D4">
      <w:pPr>
        <w:pStyle w:val="Index1"/>
        <w:tabs>
          <w:tab w:val="right" w:leader="dot" w:pos="4023"/>
        </w:tabs>
        <w:rPr>
          <w:rtl/>
        </w:rPr>
      </w:pPr>
      <w:r w:rsidRPr="00AC7EA9">
        <w:rPr>
          <w:rFonts w:ascii="Traditional Arabic" w:hAnsi="Traditional Arabic" w:hint="eastAsia"/>
          <w:rtl/>
        </w:rPr>
        <w:t>الاستصحاب</w:t>
      </w:r>
      <w:r w:rsidR="00C33E18">
        <w:rPr>
          <w:rtl/>
          <w:lang w:bidi="ar-DZ"/>
        </w:rPr>
        <w:tab/>
      </w:r>
      <w:r w:rsidR="00C33E18">
        <w:rPr>
          <w:rFonts w:hint="cs"/>
          <w:rtl/>
          <w:lang w:bidi="ar-DZ"/>
        </w:rPr>
        <w:t>283</w:t>
      </w:r>
    </w:p>
    <w:p w:rsidR="00C332D4" w:rsidRPr="00C332D4" w:rsidRDefault="00C332D4" w:rsidP="00C332D4">
      <w:pPr>
        <w:pStyle w:val="Index1"/>
        <w:tabs>
          <w:tab w:val="right" w:leader="dot" w:pos="4023"/>
        </w:tabs>
        <w:rPr>
          <w:rtl/>
        </w:rPr>
      </w:pPr>
      <w:r w:rsidRPr="00AC7EA9">
        <w:rPr>
          <w:rFonts w:hint="eastAsia"/>
          <w:b/>
          <w:bCs/>
          <w:rtl/>
        </w:rPr>
        <w:t>الاستيفاء</w:t>
      </w:r>
      <w:r w:rsidR="00C33E18">
        <w:rPr>
          <w:rFonts w:hint="cs"/>
          <w:rtl/>
        </w:rPr>
        <w:t>..........................551</w:t>
      </w:r>
    </w:p>
    <w:p w:rsidR="001C3F19" w:rsidRDefault="001C3F19">
      <w:pPr>
        <w:pStyle w:val="Index1"/>
        <w:tabs>
          <w:tab w:val="right" w:leader="dot" w:pos="4023"/>
        </w:tabs>
        <w:rPr>
          <w:rtl/>
        </w:rPr>
      </w:pPr>
      <w:r>
        <w:rPr>
          <w:rFonts w:hint="eastAsia"/>
          <w:rtl/>
        </w:rPr>
        <w:t>أسواقهم</w:t>
      </w:r>
      <w:r w:rsidR="00C33E18">
        <w:rPr>
          <w:rtl/>
          <w:lang w:bidi="ar-DZ"/>
        </w:rPr>
        <w:tab/>
        <w:t>2</w:t>
      </w:r>
      <w:r w:rsidR="00C33E18">
        <w:rPr>
          <w:rFonts w:hint="cs"/>
          <w:rtl/>
          <w:lang w:bidi="ar-DZ"/>
        </w:rPr>
        <w:t>03</w:t>
      </w:r>
    </w:p>
    <w:p w:rsidR="001C3F19" w:rsidRDefault="001C3F19">
      <w:pPr>
        <w:pStyle w:val="Index1"/>
        <w:tabs>
          <w:tab w:val="right" w:leader="dot" w:pos="4023"/>
        </w:tabs>
        <w:rPr>
          <w:rtl/>
        </w:rPr>
      </w:pPr>
      <w:r w:rsidRPr="00AC7EA9">
        <w:rPr>
          <w:rFonts w:ascii="Traditional Arabic" w:hAnsi="Traditional Arabic" w:hint="eastAsia"/>
          <w:rtl/>
          <w:lang w:eastAsia="en-US"/>
        </w:rPr>
        <w:t>اشتدادُ</w:t>
      </w:r>
      <w:r w:rsidR="009F1735">
        <w:rPr>
          <w:rFonts w:ascii="Traditional Arabic" w:hAnsi="Traditional Arabic" w:hint="cs"/>
          <w:rtl/>
          <w:lang w:eastAsia="en-US"/>
        </w:rPr>
        <w:t xml:space="preserve"> </w:t>
      </w:r>
      <w:r w:rsidRPr="00AC7EA9">
        <w:rPr>
          <w:rFonts w:ascii="Traditional Arabic" w:hAnsi="Traditional Arabic" w:hint="eastAsia"/>
          <w:rtl/>
          <w:lang w:eastAsia="en-US"/>
        </w:rPr>
        <w:t>الحَب</w:t>
      </w:r>
      <w:r w:rsidR="00C33E18">
        <w:rPr>
          <w:rtl/>
          <w:lang w:bidi="ar-DZ"/>
        </w:rPr>
        <w:tab/>
        <w:t>4</w:t>
      </w:r>
      <w:r w:rsidR="00C33E18">
        <w:rPr>
          <w:rFonts w:hint="cs"/>
          <w:rtl/>
        </w:rPr>
        <w:t>42</w:t>
      </w:r>
    </w:p>
    <w:p w:rsidR="001C3F19" w:rsidRDefault="001C3F19">
      <w:pPr>
        <w:pStyle w:val="Index1"/>
        <w:tabs>
          <w:tab w:val="right" w:leader="dot" w:pos="4023"/>
        </w:tabs>
        <w:rPr>
          <w:rtl/>
        </w:rPr>
      </w:pPr>
      <w:r w:rsidRPr="00AC7EA9">
        <w:rPr>
          <w:rFonts w:hint="eastAsia"/>
          <w:bCs/>
          <w:rtl/>
        </w:rPr>
        <w:t>أصول</w:t>
      </w:r>
      <w:r w:rsidR="009F1735">
        <w:rPr>
          <w:rFonts w:hint="cs"/>
          <w:bCs/>
          <w:rtl/>
        </w:rPr>
        <w:t xml:space="preserve"> </w:t>
      </w:r>
      <w:r w:rsidRPr="00AC7EA9">
        <w:rPr>
          <w:rFonts w:hint="eastAsia"/>
          <w:bCs/>
          <w:rtl/>
        </w:rPr>
        <w:t>الفقه</w:t>
      </w:r>
      <w:r w:rsidR="006B4842">
        <w:rPr>
          <w:rtl/>
          <w:lang w:bidi="ar-DZ"/>
        </w:rPr>
        <w:tab/>
      </w:r>
      <w:r w:rsidR="006B4842">
        <w:rPr>
          <w:rFonts w:hint="cs"/>
          <w:rtl/>
          <w:lang w:bidi="ar-DZ"/>
        </w:rPr>
        <w:t>72</w:t>
      </w:r>
    </w:p>
    <w:p w:rsidR="00C332D4" w:rsidRDefault="00C332D4" w:rsidP="00C332D4">
      <w:pPr>
        <w:pStyle w:val="Index1"/>
        <w:tabs>
          <w:tab w:val="right" w:leader="dot" w:pos="4023"/>
        </w:tabs>
        <w:rPr>
          <w:rtl/>
        </w:rPr>
      </w:pPr>
      <w:r w:rsidRPr="00AC7EA9">
        <w:rPr>
          <w:rFonts w:hint="eastAsia"/>
          <w:bCs/>
          <w:rtl/>
        </w:rPr>
        <w:t>الأصل</w:t>
      </w:r>
      <w:r w:rsidR="00191E9B">
        <w:rPr>
          <w:rtl/>
          <w:lang w:bidi="ar-DZ"/>
        </w:rPr>
        <w:tab/>
      </w:r>
      <w:r w:rsidR="005F2B9C">
        <w:rPr>
          <w:rFonts w:hint="cs"/>
          <w:rtl/>
          <w:lang w:bidi="ar-DZ"/>
        </w:rPr>
        <w:t>68</w:t>
      </w:r>
    </w:p>
    <w:p w:rsidR="00C332D4" w:rsidRDefault="00C332D4" w:rsidP="005F2B9C">
      <w:pPr>
        <w:pStyle w:val="Index1"/>
        <w:tabs>
          <w:tab w:val="right" w:leader="dot" w:pos="4023"/>
        </w:tabs>
        <w:rPr>
          <w:rtl/>
        </w:rPr>
      </w:pPr>
      <w:r w:rsidRPr="00AC7EA9">
        <w:rPr>
          <w:rFonts w:hint="eastAsia"/>
          <w:b/>
          <w:bCs/>
          <w:rtl/>
        </w:rPr>
        <w:t>الأصلح</w:t>
      </w:r>
      <w:r>
        <w:rPr>
          <w:rtl/>
          <w:lang w:bidi="ar-DZ"/>
        </w:rPr>
        <w:tab/>
      </w:r>
      <w:r w:rsidR="005F2B9C">
        <w:rPr>
          <w:rFonts w:hint="cs"/>
          <w:rtl/>
        </w:rPr>
        <w:t>474</w:t>
      </w:r>
    </w:p>
    <w:p w:rsidR="00C332D4" w:rsidRPr="00C332D4" w:rsidRDefault="00C332D4" w:rsidP="00C332D4">
      <w:pPr>
        <w:pStyle w:val="Index1"/>
        <w:tabs>
          <w:tab w:val="right" w:leader="dot" w:pos="4023"/>
        </w:tabs>
        <w:rPr>
          <w:rtl/>
        </w:rPr>
      </w:pPr>
      <w:r>
        <w:rPr>
          <w:rFonts w:hint="eastAsia"/>
          <w:rtl/>
        </w:rPr>
        <w:t>الأعمال</w:t>
      </w:r>
      <w:r w:rsidR="005F2B9C">
        <w:rPr>
          <w:rtl/>
          <w:lang w:bidi="ar-DZ"/>
        </w:rPr>
        <w:tab/>
        <w:t>2</w:t>
      </w:r>
      <w:r w:rsidR="005F2B9C">
        <w:rPr>
          <w:rFonts w:hint="cs"/>
          <w:rtl/>
        </w:rPr>
        <w:t>00</w:t>
      </w:r>
    </w:p>
    <w:p w:rsidR="001C3F19" w:rsidRDefault="001C3F19">
      <w:pPr>
        <w:pStyle w:val="Index1"/>
        <w:tabs>
          <w:tab w:val="right" w:leader="dot" w:pos="4023"/>
        </w:tabs>
        <w:rPr>
          <w:rtl/>
        </w:rPr>
      </w:pPr>
      <w:r w:rsidRPr="00AC7EA9">
        <w:rPr>
          <w:rFonts w:ascii="Traditional Arabic" w:hAnsi="Traditional Arabic" w:hint="eastAsia"/>
          <w:rtl/>
          <w:lang w:eastAsia="en-US"/>
        </w:rPr>
        <w:t>أعوز</w:t>
      </w:r>
      <w:r w:rsidR="005F2B9C">
        <w:rPr>
          <w:rtl/>
          <w:lang w:bidi="ar-DZ"/>
        </w:rPr>
        <w:tab/>
      </w:r>
      <w:r w:rsidR="005F2B9C">
        <w:rPr>
          <w:rFonts w:hint="cs"/>
          <w:rtl/>
        </w:rPr>
        <w:t>483</w:t>
      </w:r>
    </w:p>
    <w:p w:rsidR="001C3F19" w:rsidRDefault="001C3F19">
      <w:pPr>
        <w:pStyle w:val="Index1"/>
        <w:tabs>
          <w:tab w:val="right" w:leader="dot" w:pos="4023"/>
        </w:tabs>
        <w:rPr>
          <w:rtl/>
        </w:rPr>
      </w:pPr>
      <w:r w:rsidRPr="00AC7EA9">
        <w:rPr>
          <w:rFonts w:ascii="Traditional Arabic" w:hAnsi="Traditional Arabic" w:hint="eastAsia"/>
          <w:rtl/>
          <w:lang w:eastAsia="en-US"/>
        </w:rPr>
        <w:t>أعيا</w:t>
      </w:r>
      <w:r w:rsidR="005F2B9C">
        <w:rPr>
          <w:rtl/>
          <w:lang w:bidi="ar-DZ"/>
        </w:rPr>
        <w:tab/>
      </w:r>
      <w:r w:rsidR="005F2B9C">
        <w:rPr>
          <w:rFonts w:hint="cs"/>
          <w:rtl/>
        </w:rPr>
        <w:t>167</w:t>
      </w:r>
    </w:p>
    <w:p w:rsidR="001C3F19" w:rsidRDefault="001C3F19">
      <w:pPr>
        <w:pStyle w:val="Index1"/>
        <w:tabs>
          <w:tab w:val="right" w:leader="dot" w:pos="4023"/>
        </w:tabs>
        <w:rPr>
          <w:rtl/>
        </w:rPr>
      </w:pPr>
      <w:r>
        <w:rPr>
          <w:rFonts w:hint="eastAsia"/>
          <w:rtl/>
        </w:rPr>
        <w:t>الأغلب</w:t>
      </w:r>
      <w:r>
        <w:rPr>
          <w:rtl/>
          <w:lang w:bidi="ar-DZ"/>
        </w:rPr>
        <w:tab/>
      </w:r>
      <w:r w:rsidR="00AB545C">
        <w:rPr>
          <w:rtl/>
          <w:lang w:bidi="ar-DZ"/>
        </w:rPr>
        <w:t>3</w:t>
      </w:r>
      <w:r w:rsidR="00AB545C">
        <w:rPr>
          <w:rFonts w:hint="cs"/>
          <w:rtl/>
        </w:rPr>
        <w:t>23</w:t>
      </w:r>
    </w:p>
    <w:p w:rsidR="001C3F19" w:rsidRDefault="001C3F19" w:rsidP="00AB545C">
      <w:pPr>
        <w:pStyle w:val="Index1"/>
        <w:tabs>
          <w:tab w:val="right" w:leader="dot" w:pos="4023"/>
        </w:tabs>
        <w:rPr>
          <w:rtl/>
        </w:rPr>
      </w:pPr>
      <w:r w:rsidRPr="00AC7EA9">
        <w:rPr>
          <w:rFonts w:ascii="Tahoma" w:hAnsi="Tahoma" w:hint="eastAsia"/>
          <w:rtl/>
        </w:rPr>
        <w:t>الالتزام</w:t>
      </w:r>
      <w:r>
        <w:rPr>
          <w:rtl/>
          <w:lang w:bidi="ar-DZ"/>
        </w:rPr>
        <w:tab/>
      </w:r>
      <w:r w:rsidR="003966B8">
        <w:rPr>
          <w:rFonts w:hint="cs"/>
          <w:rtl/>
        </w:rPr>
        <w:t>296</w:t>
      </w:r>
    </w:p>
    <w:p w:rsidR="001C3F19" w:rsidRDefault="001C3F19">
      <w:pPr>
        <w:pStyle w:val="Index1"/>
        <w:tabs>
          <w:tab w:val="right" w:leader="dot" w:pos="4023"/>
        </w:tabs>
        <w:rPr>
          <w:rtl/>
        </w:rPr>
      </w:pPr>
      <w:r w:rsidRPr="00AC7EA9">
        <w:rPr>
          <w:rFonts w:hint="eastAsia"/>
          <w:bCs/>
          <w:rtl/>
        </w:rPr>
        <w:lastRenderedPageBreak/>
        <w:t>الألفاظ</w:t>
      </w:r>
      <w:r>
        <w:rPr>
          <w:rtl/>
          <w:lang w:bidi="ar-DZ"/>
        </w:rPr>
        <w:tab/>
      </w:r>
      <w:r w:rsidR="003966B8">
        <w:rPr>
          <w:rFonts w:hint="cs"/>
          <w:rtl/>
        </w:rPr>
        <w:t>211</w:t>
      </w:r>
    </w:p>
    <w:p w:rsidR="001C3F19" w:rsidRDefault="001C3F19">
      <w:pPr>
        <w:pStyle w:val="Index1"/>
        <w:tabs>
          <w:tab w:val="right" w:leader="dot" w:pos="4023"/>
        </w:tabs>
        <w:rPr>
          <w:rtl/>
        </w:rPr>
      </w:pPr>
      <w:r w:rsidRPr="00AC7EA9">
        <w:rPr>
          <w:rFonts w:hint="eastAsia"/>
          <w:b/>
          <w:bCs/>
          <w:rtl/>
        </w:rPr>
        <w:t>الأمين</w:t>
      </w:r>
      <w:r w:rsidR="003966B8">
        <w:rPr>
          <w:rtl/>
          <w:lang w:bidi="ar-DZ"/>
        </w:rPr>
        <w:tab/>
        <w:t>4</w:t>
      </w:r>
      <w:r w:rsidR="003966B8">
        <w:rPr>
          <w:rFonts w:hint="cs"/>
          <w:rtl/>
        </w:rPr>
        <w:t>16</w:t>
      </w:r>
    </w:p>
    <w:p w:rsidR="001C3F19" w:rsidRDefault="001C3F19">
      <w:pPr>
        <w:pStyle w:val="Index1"/>
        <w:tabs>
          <w:tab w:val="right" w:leader="dot" w:pos="4023"/>
        </w:tabs>
        <w:rPr>
          <w:rtl/>
        </w:rPr>
      </w:pPr>
      <w:r w:rsidRPr="00AC7EA9">
        <w:rPr>
          <w:rFonts w:ascii="Traditional Arabic" w:hAnsi="Traditional Arabic" w:hint="eastAsia"/>
          <w:rtl/>
        </w:rPr>
        <w:t>الأهلية</w:t>
      </w:r>
      <w:r w:rsidR="003966B8">
        <w:rPr>
          <w:rtl/>
          <w:lang w:bidi="ar-DZ"/>
        </w:rPr>
        <w:tab/>
      </w:r>
      <w:r w:rsidR="003966B8">
        <w:rPr>
          <w:rFonts w:hint="cs"/>
          <w:rtl/>
        </w:rPr>
        <w:t>499</w:t>
      </w:r>
    </w:p>
    <w:p w:rsidR="001C3F19" w:rsidRDefault="001C3F19" w:rsidP="003966B8">
      <w:pPr>
        <w:pStyle w:val="Index1"/>
        <w:tabs>
          <w:tab w:val="right" w:leader="dot" w:pos="4023"/>
        </w:tabs>
        <w:rPr>
          <w:rtl/>
        </w:rPr>
      </w:pPr>
      <w:r>
        <w:rPr>
          <w:rFonts w:hint="eastAsia"/>
          <w:rtl/>
        </w:rPr>
        <w:t>الأوان</w:t>
      </w:r>
      <w:r>
        <w:rPr>
          <w:rtl/>
          <w:lang w:bidi="ar-DZ"/>
        </w:rPr>
        <w:tab/>
      </w:r>
      <w:r w:rsidR="003966B8">
        <w:rPr>
          <w:rFonts w:hint="cs"/>
          <w:rtl/>
        </w:rPr>
        <w:t>239</w:t>
      </w:r>
    </w:p>
    <w:p w:rsidR="001C3F19" w:rsidRDefault="001C3F19">
      <w:pPr>
        <w:pStyle w:val="Index1"/>
        <w:tabs>
          <w:tab w:val="right" w:leader="dot" w:pos="4023"/>
        </w:tabs>
        <w:rPr>
          <w:rtl/>
        </w:rPr>
      </w:pPr>
      <w:r w:rsidRPr="00AC7EA9">
        <w:rPr>
          <w:rFonts w:ascii="Traditional Arabic" w:hAnsi="Traditional Arabic" w:hint="eastAsia"/>
          <w:rtl/>
        </w:rPr>
        <w:t>الأوسق</w:t>
      </w:r>
      <w:r w:rsidR="003966B8">
        <w:rPr>
          <w:rFonts w:hint="cs"/>
          <w:rtl/>
        </w:rPr>
        <w:t>............................197</w:t>
      </w:r>
    </w:p>
    <w:p w:rsidR="0036336E" w:rsidRPr="0036336E" w:rsidRDefault="0036336E" w:rsidP="0036336E">
      <w:pPr>
        <w:pStyle w:val="Index1"/>
        <w:tabs>
          <w:tab w:val="right" w:leader="dot" w:pos="4023"/>
        </w:tabs>
        <w:rPr>
          <w:rtl/>
        </w:rPr>
      </w:pPr>
      <w:r>
        <w:rPr>
          <w:rFonts w:ascii="Traditional Arabic" w:hAnsi="Traditional Arabic" w:hint="cs"/>
          <w:rtl/>
        </w:rPr>
        <w:t>أ</w:t>
      </w:r>
      <w:r w:rsidRPr="00AC7EA9">
        <w:rPr>
          <w:rFonts w:ascii="Traditional Arabic" w:hAnsi="Traditional Arabic" w:hint="eastAsia"/>
          <w:rtl/>
        </w:rPr>
        <w:t>ُوقيَّة</w:t>
      </w:r>
      <w:r w:rsidR="00D55333">
        <w:rPr>
          <w:rtl/>
          <w:lang w:bidi="ar-DZ"/>
        </w:rPr>
        <w:tab/>
      </w:r>
      <w:r w:rsidR="00D55333">
        <w:rPr>
          <w:rFonts w:hint="cs"/>
          <w:rtl/>
        </w:rPr>
        <w:t>168</w:t>
      </w:r>
    </w:p>
    <w:p w:rsidR="001C3F19" w:rsidRDefault="001C3F19">
      <w:pPr>
        <w:pStyle w:val="Index1"/>
        <w:tabs>
          <w:tab w:val="right" w:leader="dot" w:pos="4023"/>
        </w:tabs>
        <w:rPr>
          <w:rtl/>
        </w:rPr>
      </w:pPr>
      <w:r w:rsidRPr="00AC7EA9">
        <w:rPr>
          <w:rFonts w:hint="eastAsia"/>
          <w:b/>
          <w:bCs/>
          <w:rtl/>
        </w:rPr>
        <w:t>البَدَل</w:t>
      </w:r>
      <w:r w:rsidR="00D55333">
        <w:rPr>
          <w:rtl/>
          <w:lang w:bidi="ar-DZ"/>
        </w:rPr>
        <w:tab/>
      </w:r>
      <w:r w:rsidR="00D55333">
        <w:rPr>
          <w:rFonts w:hint="cs"/>
          <w:rtl/>
        </w:rPr>
        <w:t>481</w:t>
      </w:r>
    </w:p>
    <w:p w:rsidR="001C3F19" w:rsidRDefault="001C3F19">
      <w:pPr>
        <w:pStyle w:val="Index1"/>
        <w:tabs>
          <w:tab w:val="right" w:leader="dot" w:pos="4023"/>
        </w:tabs>
        <w:rPr>
          <w:rtl/>
        </w:rPr>
      </w:pPr>
      <w:r>
        <w:rPr>
          <w:rFonts w:hint="eastAsia"/>
          <w:rtl/>
        </w:rPr>
        <w:t>البراءة</w:t>
      </w:r>
      <w:r>
        <w:rPr>
          <w:rtl/>
          <w:lang w:bidi="ar-DZ"/>
        </w:rPr>
        <w:tab/>
      </w:r>
      <w:r w:rsidR="00D55333">
        <w:rPr>
          <w:rFonts w:hint="cs"/>
          <w:rtl/>
        </w:rPr>
        <w:t>289</w:t>
      </w:r>
    </w:p>
    <w:p w:rsidR="001C3F19" w:rsidRDefault="001C3F19">
      <w:pPr>
        <w:pStyle w:val="Index1"/>
        <w:tabs>
          <w:tab w:val="right" w:leader="dot" w:pos="4023"/>
        </w:tabs>
        <w:rPr>
          <w:rtl/>
        </w:rPr>
      </w:pPr>
      <w:r w:rsidRPr="00AC7EA9">
        <w:rPr>
          <w:rFonts w:ascii="Traditional Arabic" w:hAnsi="Traditional Arabic" w:hint="eastAsia"/>
          <w:rtl/>
        </w:rPr>
        <w:t>البَكر</w:t>
      </w:r>
      <w:r>
        <w:rPr>
          <w:rtl/>
          <w:lang w:bidi="ar-DZ"/>
        </w:rPr>
        <w:tab/>
      </w:r>
      <w:r w:rsidR="00D55333">
        <w:rPr>
          <w:rFonts w:hint="cs"/>
          <w:rtl/>
        </w:rPr>
        <w:t>534</w:t>
      </w:r>
    </w:p>
    <w:p w:rsidR="001C3F19" w:rsidRDefault="001C3F19">
      <w:pPr>
        <w:pStyle w:val="Index1"/>
        <w:tabs>
          <w:tab w:val="right" w:leader="dot" w:pos="4023"/>
        </w:tabs>
        <w:rPr>
          <w:rtl/>
        </w:rPr>
      </w:pPr>
      <w:r w:rsidRPr="00AC7EA9">
        <w:rPr>
          <w:rFonts w:ascii="Traditional Arabic" w:hAnsi="Traditional Arabic" w:hint="eastAsia"/>
          <w:rtl/>
        </w:rPr>
        <w:t>البواسير</w:t>
      </w:r>
      <w:r>
        <w:rPr>
          <w:rtl/>
          <w:lang w:bidi="ar-DZ"/>
        </w:rPr>
        <w:tab/>
      </w:r>
      <w:r w:rsidR="00D55333">
        <w:rPr>
          <w:rFonts w:hint="cs"/>
          <w:rtl/>
        </w:rPr>
        <w:t>391</w:t>
      </w:r>
    </w:p>
    <w:p w:rsidR="001C3F19" w:rsidRDefault="001C3F19">
      <w:pPr>
        <w:pStyle w:val="Index1"/>
        <w:tabs>
          <w:tab w:val="right" w:leader="dot" w:pos="4023"/>
        </w:tabs>
        <w:rPr>
          <w:rtl/>
        </w:rPr>
      </w:pPr>
      <w:r>
        <w:rPr>
          <w:rFonts w:hint="eastAsia"/>
          <w:rtl/>
        </w:rPr>
        <w:t>البيداء</w:t>
      </w:r>
      <w:r>
        <w:rPr>
          <w:rtl/>
          <w:lang w:bidi="ar-DZ"/>
        </w:rPr>
        <w:tab/>
      </w:r>
      <w:r w:rsidR="00C33E18">
        <w:rPr>
          <w:rtl/>
          <w:lang w:bidi="ar-DZ"/>
        </w:rPr>
        <w:t>2</w:t>
      </w:r>
      <w:r w:rsidR="00C33E18">
        <w:rPr>
          <w:rFonts w:hint="cs"/>
          <w:rtl/>
          <w:lang w:bidi="ar-DZ"/>
        </w:rPr>
        <w:t>03</w:t>
      </w:r>
    </w:p>
    <w:p w:rsidR="001C3F19" w:rsidRDefault="001C3F19">
      <w:pPr>
        <w:pStyle w:val="Index1"/>
        <w:tabs>
          <w:tab w:val="right" w:leader="dot" w:pos="4023"/>
        </w:tabs>
        <w:rPr>
          <w:rtl/>
        </w:rPr>
      </w:pPr>
      <w:r w:rsidRPr="00AC7EA9">
        <w:rPr>
          <w:rFonts w:hint="eastAsia"/>
          <w:b/>
          <w:bCs/>
          <w:rtl/>
        </w:rPr>
        <w:t>البيع</w:t>
      </w:r>
      <w:r w:rsidR="00EE1A85">
        <w:rPr>
          <w:rFonts w:hint="cs"/>
          <w:rtl/>
        </w:rPr>
        <w:t>..............................532</w:t>
      </w:r>
    </w:p>
    <w:p w:rsidR="005A21A8" w:rsidRPr="005A21A8" w:rsidRDefault="005A21A8" w:rsidP="005A21A8">
      <w:pPr>
        <w:ind w:firstLine="0"/>
        <w:rPr>
          <w:rtl/>
        </w:rPr>
      </w:pPr>
      <w:r>
        <w:rPr>
          <w:rFonts w:hint="cs"/>
          <w:rtl/>
        </w:rPr>
        <w:t>بيع الحصاة.........................441</w:t>
      </w:r>
    </w:p>
    <w:p w:rsidR="001C3F19" w:rsidRDefault="001C3F19" w:rsidP="00EE1A85">
      <w:pPr>
        <w:pStyle w:val="Index1"/>
        <w:tabs>
          <w:tab w:val="right" w:leader="dot" w:pos="4023"/>
        </w:tabs>
        <w:rPr>
          <w:rtl/>
        </w:rPr>
      </w:pPr>
      <w:r w:rsidRPr="00AC7EA9">
        <w:rPr>
          <w:rFonts w:hint="eastAsia"/>
          <w:b/>
          <w:bCs/>
          <w:rtl/>
        </w:rPr>
        <w:t>البيِّنة</w:t>
      </w:r>
      <w:r>
        <w:rPr>
          <w:rtl/>
          <w:lang w:bidi="ar-DZ"/>
        </w:rPr>
        <w:tab/>
      </w:r>
      <w:r w:rsidR="00EE1A85">
        <w:rPr>
          <w:rFonts w:hint="cs"/>
          <w:rtl/>
        </w:rPr>
        <w:t>426</w:t>
      </w:r>
    </w:p>
    <w:p w:rsidR="001C3F19" w:rsidRDefault="001C3F19" w:rsidP="00EE1A85">
      <w:pPr>
        <w:pStyle w:val="Index1"/>
        <w:tabs>
          <w:tab w:val="right" w:leader="dot" w:pos="4023"/>
        </w:tabs>
        <w:rPr>
          <w:rtl/>
        </w:rPr>
      </w:pPr>
      <w:r w:rsidRPr="00AC7EA9">
        <w:rPr>
          <w:rFonts w:ascii="Traditional Arabic" w:hAnsi="Traditional Arabic" w:hint="eastAsia"/>
          <w:rtl/>
        </w:rPr>
        <w:t>التأمين</w:t>
      </w:r>
      <w:r>
        <w:rPr>
          <w:rtl/>
          <w:lang w:bidi="ar-DZ"/>
        </w:rPr>
        <w:tab/>
      </w:r>
      <w:r w:rsidR="00EE1A85">
        <w:rPr>
          <w:rFonts w:hint="cs"/>
          <w:rtl/>
        </w:rPr>
        <w:t>470</w:t>
      </w:r>
    </w:p>
    <w:p w:rsidR="001C3F19" w:rsidRDefault="001C3F19" w:rsidP="00EE1A85">
      <w:pPr>
        <w:pStyle w:val="Index1"/>
        <w:tabs>
          <w:tab w:val="right" w:leader="dot" w:pos="4023"/>
        </w:tabs>
        <w:rPr>
          <w:rtl/>
          <w:lang w:bidi="ar-DZ"/>
        </w:rPr>
      </w:pPr>
      <w:r w:rsidRPr="00AC7EA9">
        <w:rPr>
          <w:rFonts w:ascii="Traditional Arabic" w:hAnsi="Traditional Arabic" w:hint="eastAsia"/>
          <w:rtl/>
        </w:rPr>
        <w:t>التأمين</w:t>
      </w:r>
      <w:r w:rsidR="009F1735">
        <w:rPr>
          <w:rFonts w:ascii="Traditional Arabic" w:hAnsi="Traditional Arabic" w:hint="cs"/>
          <w:rtl/>
        </w:rPr>
        <w:t xml:space="preserve"> </w:t>
      </w:r>
      <w:r w:rsidRPr="00AC7EA9">
        <w:rPr>
          <w:rFonts w:ascii="Traditional Arabic" w:hAnsi="Traditional Arabic" w:hint="eastAsia"/>
          <w:rtl/>
        </w:rPr>
        <w:t>التجاري</w:t>
      </w:r>
      <w:r>
        <w:rPr>
          <w:rtl/>
          <w:lang w:bidi="ar-DZ"/>
        </w:rPr>
        <w:tab/>
      </w:r>
      <w:r w:rsidR="00EE1A85">
        <w:rPr>
          <w:rFonts w:hint="cs"/>
          <w:rtl/>
        </w:rPr>
        <w:t>470</w:t>
      </w:r>
    </w:p>
    <w:p w:rsidR="001C3F19" w:rsidRDefault="001C3F19" w:rsidP="00EE1A85">
      <w:pPr>
        <w:pStyle w:val="Index1"/>
        <w:tabs>
          <w:tab w:val="right" w:leader="dot" w:pos="4023"/>
        </w:tabs>
        <w:rPr>
          <w:rtl/>
          <w:lang w:bidi="ar-DZ"/>
        </w:rPr>
      </w:pPr>
      <w:r w:rsidRPr="00AC7EA9">
        <w:rPr>
          <w:rFonts w:ascii="Traditional Arabic" w:hAnsi="Traditional Arabic" w:hint="eastAsia"/>
          <w:rtl/>
        </w:rPr>
        <w:t>التأمين</w:t>
      </w:r>
      <w:r w:rsidR="009F1735">
        <w:rPr>
          <w:rFonts w:ascii="Traditional Arabic" w:hAnsi="Traditional Arabic" w:hint="cs"/>
          <w:rtl/>
        </w:rPr>
        <w:t xml:space="preserve"> </w:t>
      </w:r>
      <w:r w:rsidRPr="00AC7EA9">
        <w:rPr>
          <w:rFonts w:ascii="Traditional Arabic" w:hAnsi="Traditional Arabic" w:hint="eastAsia"/>
          <w:rtl/>
        </w:rPr>
        <w:t>التعاوني</w:t>
      </w:r>
      <w:r>
        <w:rPr>
          <w:rtl/>
          <w:lang w:bidi="ar-DZ"/>
        </w:rPr>
        <w:tab/>
      </w:r>
      <w:r w:rsidR="00EE1A85">
        <w:rPr>
          <w:rFonts w:hint="cs"/>
          <w:rtl/>
        </w:rPr>
        <w:t>470</w:t>
      </w:r>
    </w:p>
    <w:p w:rsidR="0036336E" w:rsidRDefault="0036336E" w:rsidP="008F2337">
      <w:pPr>
        <w:pStyle w:val="Index1"/>
        <w:tabs>
          <w:tab w:val="right" w:leader="dot" w:pos="4023"/>
        </w:tabs>
        <w:rPr>
          <w:rtl/>
        </w:rPr>
      </w:pPr>
      <w:r w:rsidRPr="00AC7EA9">
        <w:rPr>
          <w:rFonts w:hint="eastAsia"/>
          <w:b/>
          <w:bCs/>
          <w:rtl/>
        </w:rPr>
        <w:t>تتبعض</w:t>
      </w:r>
      <w:r>
        <w:rPr>
          <w:rtl/>
          <w:lang w:bidi="ar-DZ"/>
        </w:rPr>
        <w:tab/>
      </w:r>
      <w:r w:rsidR="008F2337">
        <w:rPr>
          <w:rFonts w:hint="cs"/>
          <w:rtl/>
        </w:rPr>
        <w:t>446</w:t>
      </w:r>
    </w:p>
    <w:p w:rsidR="0036336E" w:rsidRPr="0036336E" w:rsidRDefault="0036336E" w:rsidP="008F2337">
      <w:pPr>
        <w:pStyle w:val="Index1"/>
        <w:tabs>
          <w:tab w:val="right" w:leader="dot" w:pos="4023"/>
        </w:tabs>
        <w:rPr>
          <w:rtl/>
        </w:rPr>
      </w:pPr>
      <w:r>
        <w:rPr>
          <w:rFonts w:hint="eastAsia"/>
          <w:rtl/>
        </w:rPr>
        <w:t>تجصيص</w:t>
      </w:r>
      <w:r>
        <w:rPr>
          <w:rtl/>
          <w:lang w:bidi="ar-DZ"/>
        </w:rPr>
        <w:tab/>
      </w:r>
      <w:r w:rsidR="008F2337">
        <w:rPr>
          <w:rFonts w:hint="cs"/>
          <w:rtl/>
        </w:rPr>
        <w:t>178</w:t>
      </w:r>
    </w:p>
    <w:p w:rsidR="001C3F19" w:rsidRDefault="001C3F19" w:rsidP="00BA7ADD">
      <w:pPr>
        <w:pStyle w:val="Index1"/>
        <w:tabs>
          <w:tab w:val="right" w:leader="dot" w:pos="4023"/>
        </w:tabs>
        <w:rPr>
          <w:rtl/>
        </w:rPr>
      </w:pPr>
      <w:r w:rsidRPr="00AC7EA9">
        <w:rPr>
          <w:rFonts w:hint="eastAsia"/>
          <w:bCs/>
          <w:rtl/>
        </w:rPr>
        <w:lastRenderedPageBreak/>
        <w:t>التحريم</w:t>
      </w:r>
      <w:r>
        <w:rPr>
          <w:rtl/>
          <w:lang w:bidi="ar-DZ"/>
        </w:rPr>
        <w:tab/>
      </w:r>
      <w:r w:rsidR="00BA7ADD">
        <w:rPr>
          <w:rFonts w:hint="cs"/>
          <w:rtl/>
        </w:rPr>
        <w:t>124</w:t>
      </w:r>
    </w:p>
    <w:p w:rsidR="001C3F19" w:rsidRDefault="001C3F19">
      <w:pPr>
        <w:pStyle w:val="Index1"/>
        <w:tabs>
          <w:tab w:val="right" w:leader="dot" w:pos="4023"/>
        </w:tabs>
        <w:rPr>
          <w:rtl/>
        </w:rPr>
      </w:pPr>
      <w:r w:rsidRPr="00AC7EA9">
        <w:rPr>
          <w:rFonts w:hint="eastAsia"/>
          <w:bCs/>
          <w:rtl/>
        </w:rPr>
        <w:t>التحليل</w:t>
      </w:r>
      <w:r>
        <w:rPr>
          <w:rtl/>
          <w:lang w:bidi="ar-DZ"/>
        </w:rPr>
        <w:tab/>
      </w:r>
      <w:r w:rsidR="00BA7ADD">
        <w:rPr>
          <w:rFonts w:hint="cs"/>
          <w:rtl/>
        </w:rPr>
        <w:t>123-124</w:t>
      </w:r>
    </w:p>
    <w:p w:rsidR="001C3F19" w:rsidRDefault="001C3F19" w:rsidP="00BA7ADD">
      <w:pPr>
        <w:pStyle w:val="Index1"/>
        <w:tabs>
          <w:tab w:val="right" w:leader="dot" w:pos="4023"/>
        </w:tabs>
        <w:rPr>
          <w:rtl/>
        </w:rPr>
      </w:pPr>
      <w:r w:rsidRPr="00AC7EA9">
        <w:rPr>
          <w:rFonts w:ascii="Traditional Arabic" w:hAnsi="Traditional Arabic" w:hint="eastAsia"/>
          <w:rtl/>
        </w:rPr>
        <w:t>التدابر</w:t>
      </w:r>
      <w:r>
        <w:rPr>
          <w:rtl/>
          <w:lang w:bidi="ar-DZ"/>
        </w:rPr>
        <w:tab/>
      </w:r>
      <w:r w:rsidR="00BA7ADD">
        <w:rPr>
          <w:rFonts w:hint="cs"/>
          <w:rtl/>
        </w:rPr>
        <w:t>440</w:t>
      </w:r>
    </w:p>
    <w:p w:rsidR="0036336E" w:rsidRPr="0036336E" w:rsidRDefault="0036336E" w:rsidP="00BA7ADD">
      <w:pPr>
        <w:pStyle w:val="Index1"/>
        <w:tabs>
          <w:tab w:val="right" w:leader="dot" w:pos="4023"/>
        </w:tabs>
        <w:rPr>
          <w:rtl/>
        </w:rPr>
      </w:pPr>
      <w:r w:rsidRPr="00AC7EA9">
        <w:rPr>
          <w:rFonts w:ascii="Traditional Arabic" w:hAnsi="Traditional Arabic" w:hint="eastAsia"/>
          <w:rtl/>
        </w:rPr>
        <w:t>تربو</w:t>
      </w:r>
      <w:r>
        <w:rPr>
          <w:rtl/>
          <w:lang w:bidi="ar-DZ"/>
        </w:rPr>
        <w:tab/>
      </w:r>
      <w:r w:rsidR="00BA7ADD">
        <w:rPr>
          <w:rFonts w:hint="cs"/>
          <w:rtl/>
        </w:rPr>
        <w:t>105</w:t>
      </w:r>
    </w:p>
    <w:p w:rsidR="001C3F19" w:rsidRDefault="001C3F19" w:rsidP="00BA7ADD">
      <w:pPr>
        <w:pStyle w:val="Index1"/>
        <w:tabs>
          <w:tab w:val="right" w:leader="dot" w:pos="4023"/>
        </w:tabs>
        <w:rPr>
          <w:rtl/>
        </w:rPr>
      </w:pPr>
      <w:r w:rsidRPr="00AC7EA9">
        <w:rPr>
          <w:rFonts w:ascii="Traditional Arabic" w:hAnsi="Traditional Arabic" w:hint="eastAsia"/>
          <w:rtl/>
        </w:rPr>
        <w:t>التركة</w:t>
      </w:r>
      <w:r>
        <w:rPr>
          <w:rtl/>
          <w:lang w:bidi="ar-DZ"/>
        </w:rPr>
        <w:tab/>
      </w:r>
      <w:r w:rsidR="00BA7ADD">
        <w:rPr>
          <w:rFonts w:hint="cs"/>
          <w:rtl/>
        </w:rPr>
        <w:t>583</w:t>
      </w:r>
    </w:p>
    <w:p w:rsidR="001C3F19" w:rsidRDefault="001C3F19" w:rsidP="00BA7ADD">
      <w:pPr>
        <w:pStyle w:val="Index1"/>
        <w:tabs>
          <w:tab w:val="right" w:leader="dot" w:pos="4023"/>
        </w:tabs>
        <w:rPr>
          <w:rtl/>
        </w:rPr>
      </w:pPr>
      <w:r w:rsidRPr="00AC7EA9">
        <w:rPr>
          <w:rFonts w:hint="eastAsia"/>
          <w:b/>
          <w:bCs/>
          <w:rtl/>
        </w:rPr>
        <w:t>التصرُّف</w:t>
      </w:r>
      <w:r>
        <w:rPr>
          <w:rtl/>
          <w:lang w:bidi="ar-DZ"/>
        </w:rPr>
        <w:tab/>
      </w:r>
      <w:r w:rsidR="00BA7ADD">
        <w:rPr>
          <w:rFonts w:hint="cs"/>
          <w:rtl/>
        </w:rPr>
        <w:t>555</w:t>
      </w:r>
    </w:p>
    <w:p w:rsidR="001C3F19" w:rsidRDefault="001C3F19" w:rsidP="00BA7ADD">
      <w:pPr>
        <w:pStyle w:val="Index1"/>
        <w:tabs>
          <w:tab w:val="right" w:leader="dot" w:pos="4023"/>
        </w:tabs>
        <w:rPr>
          <w:rtl/>
        </w:rPr>
      </w:pPr>
      <w:r w:rsidRPr="00AC7EA9">
        <w:rPr>
          <w:rFonts w:hint="eastAsia"/>
          <w:b/>
          <w:bCs/>
          <w:rtl/>
        </w:rPr>
        <w:t>التعارُض</w:t>
      </w:r>
      <w:r>
        <w:rPr>
          <w:rtl/>
          <w:lang w:bidi="ar-DZ"/>
        </w:rPr>
        <w:tab/>
      </w:r>
      <w:r w:rsidR="00BA7ADD">
        <w:rPr>
          <w:rFonts w:hint="cs"/>
          <w:rtl/>
        </w:rPr>
        <w:t>107</w:t>
      </w:r>
    </w:p>
    <w:p w:rsidR="001C3F19" w:rsidRDefault="001C3F19" w:rsidP="00BA7ADD">
      <w:pPr>
        <w:pStyle w:val="Index1"/>
        <w:tabs>
          <w:tab w:val="right" w:leader="dot" w:pos="4023"/>
        </w:tabs>
        <w:rPr>
          <w:rtl/>
        </w:rPr>
      </w:pPr>
      <w:r w:rsidRPr="00AC7EA9">
        <w:rPr>
          <w:rFonts w:hint="eastAsia"/>
          <w:b/>
          <w:bCs/>
          <w:rtl/>
        </w:rPr>
        <w:t>التعدي</w:t>
      </w:r>
      <w:r>
        <w:rPr>
          <w:rtl/>
          <w:lang w:bidi="ar-DZ"/>
        </w:rPr>
        <w:tab/>
      </w:r>
      <w:r w:rsidR="00BA7ADD">
        <w:rPr>
          <w:rFonts w:hint="cs"/>
          <w:rtl/>
        </w:rPr>
        <w:t>352</w:t>
      </w:r>
    </w:p>
    <w:p w:rsidR="0036336E" w:rsidRPr="0036336E" w:rsidRDefault="0036336E" w:rsidP="00BA7ADD">
      <w:pPr>
        <w:pStyle w:val="Index1"/>
        <w:tabs>
          <w:tab w:val="right" w:leader="dot" w:pos="4023"/>
        </w:tabs>
        <w:rPr>
          <w:rtl/>
        </w:rPr>
      </w:pPr>
      <w:r w:rsidRPr="00AC7EA9">
        <w:rPr>
          <w:rFonts w:hint="eastAsia"/>
          <w:b/>
          <w:bCs/>
          <w:rtl/>
        </w:rPr>
        <w:t>تعذَّر</w:t>
      </w:r>
      <w:r>
        <w:rPr>
          <w:rtl/>
          <w:lang w:bidi="ar-DZ"/>
        </w:rPr>
        <w:tab/>
      </w:r>
      <w:r w:rsidR="00BA7ADD">
        <w:rPr>
          <w:rFonts w:hint="cs"/>
          <w:rtl/>
        </w:rPr>
        <w:t>480</w:t>
      </w:r>
    </w:p>
    <w:p w:rsidR="001C3F19" w:rsidRDefault="001C3F19" w:rsidP="00BA7ADD">
      <w:pPr>
        <w:pStyle w:val="Index1"/>
        <w:tabs>
          <w:tab w:val="right" w:leader="dot" w:pos="4023"/>
        </w:tabs>
        <w:rPr>
          <w:rtl/>
        </w:rPr>
      </w:pPr>
      <w:r w:rsidRPr="00AC7EA9">
        <w:rPr>
          <w:rFonts w:ascii="Traditional Arabic" w:hAnsi="Traditional Arabic" w:hint="eastAsia"/>
          <w:rtl/>
        </w:rPr>
        <w:t>التعزير</w:t>
      </w:r>
      <w:r>
        <w:rPr>
          <w:rtl/>
          <w:lang w:bidi="ar-DZ"/>
        </w:rPr>
        <w:tab/>
      </w:r>
      <w:r w:rsidR="00BA7ADD">
        <w:rPr>
          <w:rFonts w:hint="cs"/>
          <w:rtl/>
        </w:rPr>
        <w:t>237</w:t>
      </w:r>
    </w:p>
    <w:p w:rsidR="001C3F19" w:rsidRDefault="001C3F19" w:rsidP="00BA7ADD">
      <w:pPr>
        <w:pStyle w:val="Index1"/>
        <w:tabs>
          <w:tab w:val="right" w:leader="dot" w:pos="4023"/>
        </w:tabs>
        <w:rPr>
          <w:rtl/>
        </w:rPr>
      </w:pPr>
      <w:r w:rsidRPr="00AC7EA9">
        <w:rPr>
          <w:rFonts w:hint="eastAsia"/>
          <w:bCs/>
          <w:rtl/>
        </w:rPr>
        <w:t>التفريط</w:t>
      </w:r>
      <w:r>
        <w:rPr>
          <w:rtl/>
          <w:lang w:bidi="ar-DZ"/>
        </w:rPr>
        <w:tab/>
      </w:r>
      <w:r w:rsidR="00BA7ADD">
        <w:rPr>
          <w:rFonts w:hint="cs"/>
          <w:rtl/>
        </w:rPr>
        <w:t>352</w:t>
      </w:r>
    </w:p>
    <w:p w:rsidR="008F2337" w:rsidRPr="008F2337" w:rsidRDefault="008F2337" w:rsidP="008F2337">
      <w:pPr>
        <w:pStyle w:val="Index1"/>
        <w:tabs>
          <w:tab w:val="right" w:leader="dot" w:pos="4023"/>
        </w:tabs>
        <w:rPr>
          <w:rtl/>
        </w:rPr>
      </w:pPr>
      <w:r>
        <w:rPr>
          <w:rFonts w:hint="cs"/>
          <w:rtl/>
          <w:lang w:bidi="ar-DZ"/>
        </w:rPr>
        <w:t>تفريق الصفقة......................</w:t>
      </w:r>
      <w:r w:rsidRPr="008F2337">
        <w:rPr>
          <w:rFonts w:hint="cs"/>
          <w:rtl/>
        </w:rPr>
        <w:t xml:space="preserve"> </w:t>
      </w:r>
      <w:r>
        <w:rPr>
          <w:rFonts w:hint="cs"/>
          <w:rtl/>
        </w:rPr>
        <w:t>446</w:t>
      </w:r>
    </w:p>
    <w:p w:rsidR="001C3F19" w:rsidRDefault="003966B8">
      <w:pPr>
        <w:pStyle w:val="Index1"/>
        <w:tabs>
          <w:tab w:val="right" w:leader="dot" w:pos="4023"/>
        </w:tabs>
        <w:rPr>
          <w:rtl/>
        </w:rPr>
      </w:pPr>
      <w:r>
        <w:rPr>
          <w:rFonts w:ascii="Traditional Arabic" w:hAnsi="Traditional Arabic" w:hint="eastAsia"/>
          <w:rtl/>
        </w:rPr>
        <w:t>التكلي</w:t>
      </w:r>
      <w:r>
        <w:rPr>
          <w:rFonts w:ascii="Traditional Arabic" w:hAnsi="Traditional Arabic" w:hint="cs"/>
          <w:rtl/>
        </w:rPr>
        <w:t>ف</w:t>
      </w:r>
      <w:r>
        <w:rPr>
          <w:rFonts w:hint="cs"/>
          <w:rtl/>
          <w:lang w:bidi="ar-DZ"/>
        </w:rPr>
        <w:t>...........................499</w:t>
      </w:r>
    </w:p>
    <w:p w:rsidR="001C3F19" w:rsidRDefault="001C3F19" w:rsidP="00BA7ADD">
      <w:pPr>
        <w:pStyle w:val="Index1"/>
        <w:tabs>
          <w:tab w:val="right" w:leader="dot" w:pos="4023"/>
        </w:tabs>
        <w:rPr>
          <w:rtl/>
          <w:lang w:bidi="ar-DZ"/>
        </w:rPr>
      </w:pPr>
      <w:r w:rsidRPr="00AC7EA9">
        <w:rPr>
          <w:rFonts w:ascii="Traditional Arabic" w:hAnsi="Traditional Arabic" w:hint="eastAsia"/>
          <w:rtl/>
        </w:rPr>
        <w:t>التناجُش</w:t>
      </w:r>
      <w:r>
        <w:rPr>
          <w:rtl/>
          <w:lang w:bidi="ar-DZ"/>
        </w:rPr>
        <w:tab/>
      </w:r>
      <w:r w:rsidR="00BA7ADD">
        <w:rPr>
          <w:rFonts w:hint="cs"/>
          <w:rtl/>
        </w:rPr>
        <w:t>440</w:t>
      </w:r>
    </w:p>
    <w:p w:rsidR="001C3F19" w:rsidRDefault="001C3F19" w:rsidP="00BA7ADD">
      <w:pPr>
        <w:pStyle w:val="Index1"/>
        <w:tabs>
          <w:tab w:val="right" w:leader="dot" w:pos="4023"/>
        </w:tabs>
        <w:rPr>
          <w:rtl/>
        </w:rPr>
      </w:pPr>
      <w:r w:rsidRPr="00AC7EA9">
        <w:rPr>
          <w:rFonts w:ascii="Traditional Arabic" w:hAnsi="Traditional Arabic" w:hint="eastAsia"/>
          <w:rtl/>
        </w:rPr>
        <w:t>التولية</w:t>
      </w:r>
      <w:r>
        <w:rPr>
          <w:rtl/>
          <w:lang w:bidi="ar-DZ"/>
        </w:rPr>
        <w:tab/>
      </w:r>
      <w:r w:rsidR="00BA7ADD">
        <w:rPr>
          <w:rFonts w:hint="cs"/>
          <w:rtl/>
        </w:rPr>
        <w:t>241</w:t>
      </w:r>
    </w:p>
    <w:p w:rsidR="001C3F19" w:rsidRDefault="001C3F19" w:rsidP="00BA7ADD">
      <w:pPr>
        <w:pStyle w:val="Index1"/>
        <w:tabs>
          <w:tab w:val="right" w:leader="dot" w:pos="4023"/>
        </w:tabs>
        <w:rPr>
          <w:rtl/>
        </w:rPr>
      </w:pPr>
      <w:r w:rsidRPr="00AC7EA9">
        <w:rPr>
          <w:rFonts w:ascii="Traditional Arabic" w:hAnsi="Traditional Arabic" w:hint="eastAsia"/>
          <w:rtl/>
        </w:rPr>
        <w:t>التيسير</w:t>
      </w:r>
      <w:r>
        <w:rPr>
          <w:rtl/>
          <w:lang w:bidi="ar-DZ"/>
        </w:rPr>
        <w:tab/>
      </w:r>
      <w:r w:rsidR="00BA7ADD">
        <w:rPr>
          <w:rFonts w:hint="cs"/>
          <w:rtl/>
        </w:rPr>
        <w:t>498</w:t>
      </w:r>
    </w:p>
    <w:p w:rsidR="0036336E" w:rsidRPr="0036336E" w:rsidRDefault="0036336E" w:rsidP="00BA7ADD">
      <w:pPr>
        <w:pStyle w:val="Index1"/>
        <w:tabs>
          <w:tab w:val="right" w:leader="dot" w:pos="4023"/>
        </w:tabs>
        <w:rPr>
          <w:rtl/>
        </w:rPr>
      </w:pPr>
      <w:r w:rsidRPr="00AC7EA9">
        <w:rPr>
          <w:rFonts w:ascii="Traditional Arabic" w:hAnsi="Traditional Arabic" w:hint="eastAsia"/>
          <w:rtl/>
        </w:rPr>
        <w:t>ثقيف</w:t>
      </w:r>
      <w:r>
        <w:rPr>
          <w:rtl/>
          <w:lang w:bidi="ar-DZ"/>
        </w:rPr>
        <w:tab/>
      </w:r>
      <w:r w:rsidR="00BA7ADD">
        <w:rPr>
          <w:rFonts w:hint="cs"/>
          <w:rtl/>
        </w:rPr>
        <w:t>270</w:t>
      </w:r>
    </w:p>
    <w:p w:rsidR="0036336E" w:rsidRPr="0036336E" w:rsidRDefault="001C3F19" w:rsidP="00E874DB">
      <w:pPr>
        <w:pStyle w:val="Index1"/>
        <w:tabs>
          <w:tab w:val="right" w:leader="dot" w:pos="4023"/>
        </w:tabs>
        <w:rPr>
          <w:rtl/>
        </w:rPr>
      </w:pPr>
      <w:r w:rsidRPr="00AC7EA9">
        <w:rPr>
          <w:rFonts w:ascii="Traditional Arabic" w:hAnsi="Traditional Arabic" w:hint="eastAsia"/>
          <w:rtl/>
          <w:lang w:eastAsia="en-US"/>
        </w:rPr>
        <w:t>الثلمة</w:t>
      </w:r>
      <w:r>
        <w:rPr>
          <w:rtl/>
          <w:lang w:bidi="ar-DZ"/>
        </w:rPr>
        <w:tab/>
      </w:r>
      <w:r w:rsidR="00E874DB">
        <w:rPr>
          <w:rFonts w:hint="cs"/>
          <w:rtl/>
        </w:rPr>
        <w:t>184</w:t>
      </w:r>
    </w:p>
    <w:p w:rsidR="001C3F19" w:rsidRDefault="001C3F19" w:rsidP="00E874DB">
      <w:pPr>
        <w:pStyle w:val="Index1"/>
        <w:tabs>
          <w:tab w:val="right" w:leader="dot" w:pos="4023"/>
        </w:tabs>
        <w:rPr>
          <w:rtl/>
        </w:rPr>
      </w:pPr>
      <w:r w:rsidRPr="00AC7EA9">
        <w:rPr>
          <w:rFonts w:hint="eastAsia"/>
          <w:bCs/>
          <w:rtl/>
        </w:rPr>
        <w:t>الجُبَار</w:t>
      </w:r>
      <w:r>
        <w:rPr>
          <w:rtl/>
          <w:lang w:bidi="ar-DZ"/>
        </w:rPr>
        <w:tab/>
      </w:r>
      <w:r w:rsidR="00E874DB">
        <w:rPr>
          <w:rFonts w:hint="cs"/>
          <w:rtl/>
        </w:rPr>
        <w:t>341</w:t>
      </w:r>
    </w:p>
    <w:p w:rsidR="001C3F19" w:rsidRDefault="001C3F19">
      <w:pPr>
        <w:pStyle w:val="Index1"/>
        <w:tabs>
          <w:tab w:val="right" w:leader="dot" w:pos="4023"/>
        </w:tabs>
        <w:rPr>
          <w:rtl/>
        </w:rPr>
      </w:pPr>
      <w:r w:rsidRPr="00AC7EA9">
        <w:rPr>
          <w:rFonts w:ascii="Traditional Arabic" w:hAnsi="Traditional Arabic" w:hint="eastAsia"/>
          <w:rtl/>
        </w:rPr>
        <w:t>الجرب</w:t>
      </w:r>
      <w:r w:rsidR="003966B8">
        <w:rPr>
          <w:rFonts w:hint="cs"/>
          <w:rtl/>
        </w:rPr>
        <w:t>.............................197</w:t>
      </w:r>
    </w:p>
    <w:p w:rsidR="001C3F19" w:rsidRDefault="001C3F19" w:rsidP="00E874DB">
      <w:pPr>
        <w:pStyle w:val="Index1"/>
        <w:tabs>
          <w:tab w:val="right" w:leader="dot" w:pos="4023"/>
        </w:tabs>
        <w:rPr>
          <w:rtl/>
        </w:rPr>
      </w:pPr>
      <w:r w:rsidRPr="00AC7EA9">
        <w:rPr>
          <w:rFonts w:ascii="Traditional Arabic" w:hAnsi="Traditional Arabic" w:hint="eastAsia"/>
          <w:rtl/>
        </w:rPr>
        <w:t>الج</w:t>
      </w:r>
      <w:r w:rsidR="00C2536E">
        <w:rPr>
          <w:rFonts w:ascii="Traditional Arabic" w:hAnsi="Traditional Arabic" w:hint="cs"/>
          <w:rtl/>
        </w:rPr>
        <w:t>َ</w:t>
      </w:r>
      <w:r w:rsidRPr="00AC7EA9">
        <w:rPr>
          <w:rFonts w:ascii="Traditional Arabic" w:hAnsi="Traditional Arabic" w:hint="eastAsia"/>
          <w:rtl/>
        </w:rPr>
        <w:t>عالة</w:t>
      </w:r>
      <w:r>
        <w:rPr>
          <w:rtl/>
          <w:lang w:bidi="ar-DZ"/>
        </w:rPr>
        <w:tab/>
      </w:r>
      <w:r w:rsidR="00E874DB">
        <w:rPr>
          <w:rFonts w:hint="cs"/>
          <w:rtl/>
        </w:rPr>
        <w:t>265</w:t>
      </w:r>
    </w:p>
    <w:p w:rsidR="0036336E" w:rsidRPr="0036336E" w:rsidRDefault="001C3F19" w:rsidP="00E874DB">
      <w:pPr>
        <w:pStyle w:val="Index1"/>
        <w:tabs>
          <w:tab w:val="right" w:leader="dot" w:pos="4023"/>
        </w:tabs>
        <w:rPr>
          <w:rtl/>
        </w:rPr>
      </w:pPr>
      <w:r w:rsidRPr="00AC7EA9">
        <w:rPr>
          <w:rFonts w:ascii="Traditional Arabic" w:hAnsi="Traditional Arabic" w:hint="eastAsia"/>
          <w:rtl/>
        </w:rPr>
        <w:t>الج</w:t>
      </w:r>
      <w:r w:rsidR="00C2536E">
        <w:rPr>
          <w:rFonts w:ascii="Traditional Arabic" w:hAnsi="Traditional Arabic" w:hint="cs"/>
          <w:rtl/>
        </w:rPr>
        <w:t>ُ</w:t>
      </w:r>
      <w:r w:rsidRPr="00AC7EA9">
        <w:rPr>
          <w:rFonts w:ascii="Traditional Arabic" w:hAnsi="Traditional Arabic" w:hint="eastAsia"/>
          <w:rtl/>
        </w:rPr>
        <w:t>عل</w:t>
      </w:r>
      <w:r>
        <w:rPr>
          <w:rtl/>
          <w:lang w:bidi="ar-DZ"/>
        </w:rPr>
        <w:tab/>
      </w:r>
      <w:r w:rsidR="00E874DB">
        <w:rPr>
          <w:rFonts w:hint="cs"/>
          <w:rtl/>
        </w:rPr>
        <w:t>414</w:t>
      </w:r>
    </w:p>
    <w:p w:rsidR="001C3F19" w:rsidRDefault="001C3F19" w:rsidP="00BA7ADD">
      <w:pPr>
        <w:pStyle w:val="Index1"/>
        <w:tabs>
          <w:tab w:val="right" w:leader="dot" w:pos="4023"/>
        </w:tabs>
        <w:rPr>
          <w:rtl/>
          <w:lang w:bidi="ar-DZ"/>
        </w:rPr>
      </w:pPr>
      <w:r>
        <w:rPr>
          <w:rFonts w:hint="eastAsia"/>
          <w:rtl/>
        </w:rPr>
        <w:t>الجَلْب</w:t>
      </w:r>
      <w:r>
        <w:rPr>
          <w:rtl/>
          <w:lang w:bidi="ar-DZ"/>
        </w:rPr>
        <w:tab/>
      </w:r>
      <w:r w:rsidR="00BA7ADD">
        <w:rPr>
          <w:rFonts w:hint="cs"/>
          <w:rtl/>
        </w:rPr>
        <w:t>114، 498</w:t>
      </w:r>
    </w:p>
    <w:p w:rsidR="001C3F19" w:rsidRDefault="001C3F19" w:rsidP="00E874DB">
      <w:pPr>
        <w:pStyle w:val="Index1"/>
        <w:tabs>
          <w:tab w:val="right" w:leader="dot" w:pos="4023"/>
        </w:tabs>
        <w:rPr>
          <w:rtl/>
        </w:rPr>
      </w:pPr>
      <w:r w:rsidRPr="00AC7EA9">
        <w:rPr>
          <w:rFonts w:ascii="Traditional Arabic" w:hAnsi="Traditional Arabic" w:hint="eastAsia"/>
          <w:rtl/>
        </w:rPr>
        <w:t>الجناية</w:t>
      </w:r>
      <w:r>
        <w:rPr>
          <w:rtl/>
          <w:lang w:bidi="ar-DZ"/>
        </w:rPr>
        <w:tab/>
      </w:r>
      <w:r w:rsidR="00E874DB">
        <w:rPr>
          <w:rFonts w:hint="cs"/>
          <w:rtl/>
        </w:rPr>
        <w:t>317</w:t>
      </w:r>
    </w:p>
    <w:p w:rsidR="001C3F19" w:rsidRDefault="001C3F19" w:rsidP="00E874DB">
      <w:pPr>
        <w:pStyle w:val="Index1"/>
        <w:tabs>
          <w:tab w:val="right" w:leader="dot" w:pos="4023"/>
        </w:tabs>
        <w:rPr>
          <w:rtl/>
        </w:rPr>
      </w:pPr>
      <w:r w:rsidRPr="00AC7EA9">
        <w:rPr>
          <w:rFonts w:ascii="Traditional Arabic" w:hAnsi="Traditional Arabic" w:hint="eastAsia"/>
          <w:rtl/>
        </w:rPr>
        <w:t>الجنس</w:t>
      </w:r>
      <w:r>
        <w:rPr>
          <w:rtl/>
          <w:lang w:bidi="ar-DZ"/>
        </w:rPr>
        <w:tab/>
      </w:r>
      <w:r w:rsidR="00E874DB">
        <w:rPr>
          <w:rFonts w:hint="cs"/>
          <w:rtl/>
        </w:rPr>
        <w:t>189</w:t>
      </w:r>
    </w:p>
    <w:p w:rsidR="001C3F19" w:rsidRDefault="001C3F19" w:rsidP="00E874DB">
      <w:pPr>
        <w:pStyle w:val="Index1"/>
        <w:tabs>
          <w:tab w:val="right" w:leader="dot" w:pos="4023"/>
        </w:tabs>
        <w:rPr>
          <w:rtl/>
        </w:rPr>
      </w:pPr>
      <w:r w:rsidRPr="00AC7EA9">
        <w:rPr>
          <w:rFonts w:ascii="Traditional Arabic" w:hAnsi="Traditional Arabic" w:hint="eastAsia"/>
          <w:rtl/>
        </w:rPr>
        <w:lastRenderedPageBreak/>
        <w:t>الجهالة</w:t>
      </w:r>
      <w:r w:rsidR="009F1735">
        <w:rPr>
          <w:rFonts w:ascii="Traditional Arabic" w:hAnsi="Traditional Arabic" w:hint="cs"/>
          <w:rtl/>
        </w:rPr>
        <w:t xml:space="preserve"> </w:t>
      </w:r>
      <w:r w:rsidRPr="00AC7EA9">
        <w:rPr>
          <w:rFonts w:ascii="Traditional Arabic" w:hAnsi="Traditional Arabic" w:hint="eastAsia"/>
          <w:rtl/>
        </w:rPr>
        <w:t>في</w:t>
      </w:r>
      <w:r w:rsidR="009F1735">
        <w:rPr>
          <w:rFonts w:ascii="Traditional Arabic" w:hAnsi="Traditional Arabic" w:hint="cs"/>
          <w:rtl/>
        </w:rPr>
        <w:t xml:space="preserve"> </w:t>
      </w:r>
      <w:r w:rsidRPr="00AC7EA9">
        <w:rPr>
          <w:rFonts w:ascii="Traditional Arabic" w:hAnsi="Traditional Arabic" w:hint="eastAsia"/>
          <w:rtl/>
        </w:rPr>
        <w:t>العقود</w:t>
      </w:r>
      <w:r>
        <w:rPr>
          <w:rtl/>
          <w:lang w:bidi="ar-DZ"/>
        </w:rPr>
        <w:tab/>
      </w:r>
      <w:r w:rsidR="00E874DB">
        <w:rPr>
          <w:rFonts w:hint="cs"/>
          <w:rtl/>
        </w:rPr>
        <w:t>503</w:t>
      </w:r>
    </w:p>
    <w:p w:rsidR="001C3F19" w:rsidRDefault="001C3F19" w:rsidP="00E874DB">
      <w:pPr>
        <w:pStyle w:val="Index1"/>
        <w:tabs>
          <w:tab w:val="right" w:leader="dot" w:pos="4023"/>
        </w:tabs>
        <w:rPr>
          <w:rtl/>
        </w:rPr>
      </w:pPr>
      <w:r w:rsidRPr="00AC7EA9">
        <w:rPr>
          <w:rFonts w:hint="eastAsia"/>
          <w:bCs/>
          <w:rtl/>
        </w:rPr>
        <w:t>الجواز</w:t>
      </w:r>
      <w:r>
        <w:rPr>
          <w:rtl/>
          <w:lang w:bidi="ar-DZ"/>
        </w:rPr>
        <w:tab/>
      </w:r>
      <w:r w:rsidR="00E874DB">
        <w:rPr>
          <w:rFonts w:hint="cs"/>
          <w:rtl/>
        </w:rPr>
        <w:t>297</w:t>
      </w:r>
    </w:p>
    <w:p w:rsidR="001C3F19" w:rsidRDefault="001C3F19" w:rsidP="00E874DB">
      <w:pPr>
        <w:pStyle w:val="Index1"/>
        <w:tabs>
          <w:tab w:val="right" w:leader="dot" w:pos="4023"/>
        </w:tabs>
        <w:rPr>
          <w:rtl/>
        </w:rPr>
      </w:pPr>
      <w:r>
        <w:rPr>
          <w:rFonts w:hint="eastAsia"/>
          <w:rtl/>
        </w:rPr>
        <w:t>الحاجة</w:t>
      </w:r>
      <w:r>
        <w:rPr>
          <w:rtl/>
          <w:lang w:bidi="ar-DZ"/>
        </w:rPr>
        <w:tab/>
      </w:r>
      <w:r w:rsidR="00E874DB">
        <w:rPr>
          <w:rFonts w:hint="cs"/>
          <w:rtl/>
        </w:rPr>
        <w:t>193، 194</w:t>
      </w:r>
    </w:p>
    <w:p w:rsidR="001C3F19" w:rsidRDefault="001C3F19" w:rsidP="00545161">
      <w:pPr>
        <w:pStyle w:val="Index1"/>
        <w:tabs>
          <w:tab w:val="right" w:leader="dot" w:pos="4023"/>
        </w:tabs>
        <w:rPr>
          <w:rtl/>
        </w:rPr>
      </w:pPr>
      <w:r w:rsidRPr="00AC7EA9">
        <w:rPr>
          <w:rFonts w:ascii="Traditional Arabic" w:hAnsi="Traditional Arabic" w:hint="eastAsia"/>
          <w:rtl/>
        </w:rPr>
        <w:t>الحجر</w:t>
      </w:r>
      <w:r>
        <w:rPr>
          <w:rtl/>
          <w:lang w:bidi="ar-DZ"/>
        </w:rPr>
        <w:tab/>
      </w:r>
      <w:r w:rsidR="00545161">
        <w:rPr>
          <w:rFonts w:hint="cs"/>
          <w:rtl/>
        </w:rPr>
        <w:t>190</w:t>
      </w:r>
    </w:p>
    <w:p w:rsidR="001C3F19" w:rsidRDefault="001C3F19" w:rsidP="00545161">
      <w:pPr>
        <w:pStyle w:val="Index1"/>
        <w:tabs>
          <w:tab w:val="right" w:leader="dot" w:pos="4023"/>
        </w:tabs>
        <w:rPr>
          <w:rtl/>
        </w:rPr>
      </w:pPr>
      <w:r>
        <w:rPr>
          <w:rFonts w:hint="eastAsia"/>
          <w:rtl/>
        </w:rPr>
        <w:t>الحَدّ</w:t>
      </w:r>
      <w:r>
        <w:rPr>
          <w:rtl/>
          <w:lang w:bidi="ar-DZ"/>
        </w:rPr>
        <w:tab/>
      </w:r>
      <w:r w:rsidR="00545161">
        <w:rPr>
          <w:rFonts w:hint="cs"/>
          <w:rtl/>
        </w:rPr>
        <w:t>160-161</w:t>
      </w:r>
    </w:p>
    <w:p w:rsidR="001C3F19" w:rsidRDefault="001C3F19" w:rsidP="00545161">
      <w:pPr>
        <w:pStyle w:val="Index1"/>
        <w:tabs>
          <w:tab w:val="right" w:leader="dot" w:pos="4023"/>
        </w:tabs>
        <w:rPr>
          <w:rtl/>
        </w:rPr>
      </w:pPr>
      <w:r w:rsidRPr="00AC7EA9">
        <w:rPr>
          <w:rFonts w:hint="eastAsia"/>
          <w:bCs/>
          <w:rtl/>
        </w:rPr>
        <w:t>الحرام</w:t>
      </w:r>
      <w:r>
        <w:rPr>
          <w:rtl/>
          <w:lang w:bidi="ar-DZ"/>
        </w:rPr>
        <w:tab/>
      </w:r>
      <w:r w:rsidR="00545161">
        <w:rPr>
          <w:rFonts w:hint="cs"/>
          <w:rtl/>
        </w:rPr>
        <w:t>371-372</w:t>
      </w:r>
    </w:p>
    <w:p w:rsidR="001C3F19" w:rsidRDefault="001C3F19" w:rsidP="007E1439">
      <w:pPr>
        <w:pStyle w:val="Index1"/>
        <w:tabs>
          <w:tab w:val="right" w:leader="dot" w:pos="4023"/>
        </w:tabs>
        <w:rPr>
          <w:rtl/>
        </w:rPr>
      </w:pPr>
      <w:r w:rsidRPr="00AC7EA9">
        <w:rPr>
          <w:rFonts w:hint="eastAsia"/>
          <w:b/>
          <w:bCs/>
          <w:rtl/>
        </w:rPr>
        <w:t>الحِرْز</w:t>
      </w:r>
      <w:r>
        <w:rPr>
          <w:rtl/>
          <w:lang w:bidi="ar-DZ"/>
        </w:rPr>
        <w:tab/>
      </w:r>
      <w:r w:rsidR="007E1439">
        <w:rPr>
          <w:rFonts w:hint="cs"/>
          <w:rtl/>
        </w:rPr>
        <w:t>588</w:t>
      </w:r>
    </w:p>
    <w:p w:rsidR="001C3F19" w:rsidRDefault="001C3F19" w:rsidP="007E1439">
      <w:pPr>
        <w:pStyle w:val="Index1"/>
        <w:tabs>
          <w:tab w:val="right" w:leader="dot" w:pos="4023"/>
        </w:tabs>
        <w:rPr>
          <w:rtl/>
        </w:rPr>
      </w:pPr>
      <w:r w:rsidRPr="00AC7EA9">
        <w:rPr>
          <w:rFonts w:ascii="Traditional Arabic" w:hAnsi="Traditional Arabic" w:hint="eastAsia"/>
          <w:rtl/>
        </w:rPr>
        <w:t>الحَضانة</w:t>
      </w:r>
      <w:r>
        <w:rPr>
          <w:rtl/>
          <w:lang w:bidi="ar-DZ"/>
        </w:rPr>
        <w:tab/>
      </w:r>
      <w:r w:rsidR="007E1439">
        <w:rPr>
          <w:rFonts w:hint="cs"/>
          <w:rtl/>
        </w:rPr>
        <w:t>397</w:t>
      </w:r>
    </w:p>
    <w:p w:rsidR="001C3F19" w:rsidRDefault="001C3F19" w:rsidP="007E1439">
      <w:pPr>
        <w:pStyle w:val="Index1"/>
        <w:tabs>
          <w:tab w:val="right" w:leader="dot" w:pos="4023"/>
        </w:tabs>
        <w:rPr>
          <w:rtl/>
        </w:rPr>
      </w:pPr>
      <w:r>
        <w:rPr>
          <w:rFonts w:hint="eastAsia"/>
          <w:rtl/>
        </w:rPr>
        <w:t>الحق</w:t>
      </w:r>
      <w:r>
        <w:rPr>
          <w:rtl/>
          <w:lang w:bidi="ar-DZ"/>
        </w:rPr>
        <w:tab/>
      </w:r>
      <w:r w:rsidR="007E1439">
        <w:rPr>
          <w:rFonts w:hint="cs"/>
          <w:rtl/>
        </w:rPr>
        <w:t>397</w:t>
      </w:r>
    </w:p>
    <w:p w:rsidR="001C3F19" w:rsidRDefault="001C3F19" w:rsidP="007E1439">
      <w:pPr>
        <w:pStyle w:val="Index1"/>
        <w:tabs>
          <w:tab w:val="right" w:leader="dot" w:pos="4023"/>
        </w:tabs>
        <w:rPr>
          <w:rtl/>
        </w:rPr>
      </w:pPr>
      <w:r w:rsidRPr="00AC7EA9">
        <w:rPr>
          <w:rFonts w:ascii="Traditional Arabic" w:hAnsi="Traditional Arabic" w:hint="eastAsia"/>
          <w:rtl/>
        </w:rPr>
        <w:t>الحكة</w:t>
      </w:r>
      <w:r>
        <w:rPr>
          <w:rtl/>
          <w:lang w:bidi="ar-DZ"/>
        </w:rPr>
        <w:tab/>
      </w:r>
      <w:r w:rsidR="007E1439">
        <w:rPr>
          <w:rFonts w:hint="cs"/>
          <w:rtl/>
        </w:rPr>
        <w:t>196</w:t>
      </w:r>
    </w:p>
    <w:p w:rsidR="001C3F19" w:rsidRDefault="001C3F19" w:rsidP="007E1439">
      <w:pPr>
        <w:pStyle w:val="Index1"/>
        <w:tabs>
          <w:tab w:val="right" w:leader="dot" w:pos="4023"/>
        </w:tabs>
        <w:rPr>
          <w:rtl/>
        </w:rPr>
      </w:pPr>
      <w:r>
        <w:rPr>
          <w:rFonts w:hint="eastAsia"/>
          <w:rtl/>
        </w:rPr>
        <w:t>الحكم</w:t>
      </w:r>
      <w:r>
        <w:rPr>
          <w:rtl/>
          <w:lang w:bidi="ar-DZ"/>
        </w:rPr>
        <w:tab/>
      </w:r>
      <w:r w:rsidR="007E1439">
        <w:rPr>
          <w:rFonts w:hint="cs"/>
          <w:rtl/>
          <w:lang w:bidi="ar-DZ"/>
        </w:rPr>
        <w:t>384-385</w:t>
      </w:r>
    </w:p>
    <w:p w:rsidR="001C3F19" w:rsidRDefault="001C3F19" w:rsidP="007E1439">
      <w:pPr>
        <w:pStyle w:val="Index1"/>
        <w:tabs>
          <w:tab w:val="right" w:leader="dot" w:pos="4023"/>
        </w:tabs>
        <w:rPr>
          <w:rtl/>
        </w:rPr>
      </w:pPr>
      <w:r w:rsidRPr="00AC7EA9">
        <w:rPr>
          <w:rFonts w:hint="eastAsia"/>
          <w:bCs/>
          <w:rtl/>
        </w:rPr>
        <w:t>الحكم</w:t>
      </w:r>
      <w:r w:rsidR="009F1735">
        <w:rPr>
          <w:rFonts w:hint="cs"/>
          <w:bCs/>
          <w:rtl/>
        </w:rPr>
        <w:t xml:space="preserve"> </w:t>
      </w:r>
      <w:r w:rsidRPr="00AC7EA9">
        <w:rPr>
          <w:rFonts w:hint="eastAsia"/>
          <w:bCs/>
          <w:rtl/>
        </w:rPr>
        <w:t>الشرعي</w:t>
      </w:r>
      <w:r>
        <w:rPr>
          <w:rtl/>
          <w:lang w:bidi="ar-DZ"/>
        </w:rPr>
        <w:tab/>
      </w:r>
      <w:r w:rsidR="007E1439">
        <w:rPr>
          <w:rFonts w:hint="cs"/>
          <w:rtl/>
          <w:lang w:bidi="ar-DZ"/>
        </w:rPr>
        <w:t>385</w:t>
      </w:r>
    </w:p>
    <w:p w:rsidR="001C3F19" w:rsidRDefault="001C3F19" w:rsidP="007E1439">
      <w:pPr>
        <w:pStyle w:val="Index1"/>
        <w:tabs>
          <w:tab w:val="right" w:leader="dot" w:pos="4023"/>
        </w:tabs>
        <w:rPr>
          <w:rtl/>
        </w:rPr>
      </w:pPr>
      <w:r w:rsidRPr="00AC7EA9">
        <w:rPr>
          <w:rFonts w:hint="eastAsia"/>
          <w:bCs/>
          <w:rtl/>
        </w:rPr>
        <w:t>الحكم</w:t>
      </w:r>
      <w:r w:rsidR="009F1735">
        <w:rPr>
          <w:rFonts w:hint="cs"/>
          <w:bCs/>
          <w:rtl/>
        </w:rPr>
        <w:t xml:space="preserve"> </w:t>
      </w:r>
      <w:r w:rsidRPr="00AC7EA9">
        <w:rPr>
          <w:rFonts w:hint="eastAsia"/>
          <w:bCs/>
          <w:rtl/>
        </w:rPr>
        <w:t>العادي</w:t>
      </w:r>
      <w:r>
        <w:rPr>
          <w:rtl/>
          <w:lang w:bidi="ar-DZ"/>
        </w:rPr>
        <w:tab/>
      </w:r>
      <w:r w:rsidR="007E1439">
        <w:rPr>
          <w:rFonts w:hint="cs"/>
          <w:rtl/>
          <w:lang w:bidi="ar-DZ"/>
        </w:rPr>
        <w:t>385</w:t>
      </w:r>
    </w:p>
    <w:p w:rsidR="001C3F19" w:rsidRDefault="001C3F19" w:rsidP="007E1439">
      <w:pPr>
        <w:pStyle w:val="Index1"/>
        <w:tabs>
          <w:tab w:val="right" w:leader="dot" w:pos="4023"/>
        </w:tabs>
        <w:rPr>
          <w:rtl/>
        </w:rPr>
      </w:pPr>
      <w:r w:rsidRPr="00AC7EA9">
        <w:rPr>
          <w:rFonts w:hint="eastAsia"/>
          <w:bCs/>
          <w:rtl/>
        </w:rPr>
        <w:t>الحكم</w:t>
      </w:r>
      <w:r w:rsidR="009F1735">
        <w:rPr>
          <w:rFonts w:hint="cs"/>
          <w:bCs/>
          <w:rtl/>
        </w:rPr>
        <w:t xml:space="preserve"> </w:t>
      </w:r>
      <w:r w:rsidRPr="00AC7EA9">
        <w:rPr>
          <w:rFonts w:hint="eastAsia"/>
          <w:bCs/>
          <w:rtl/>
        </w:rPr>
        <w:t>العقلي</w:t>
      </w:r>
      <w:r>
        <w:rPr>
          <w:rtl/>
          <w:lang w:bidi="ar-DZ"/>
        </w:rPr>
        <w:tab/>
      </w:r>
      <w:r w:rsidR="007E1439">
        <w:rPr>
          <w:rFonts w:hint="cs"/>
          <w:rtl/>
        </w:rPr>
        <w:t>385</w:t>
      </w:r>
    </w:p>
    <w:p w:rsidR="001C3F19" w:rsidRDefault="001C3F19">
      <w:pPr>
        <w:pStyle w:val="Index1"/>
        <w:tabs>
          <w:tab w:val="right" w:leader="dot" w:pos="4023"/>
        </w:tabs>
        <w:rPr>
          <w:rtl/>
        </w:rPr>
      </w:pPr>
      <w:r w:rsidRPr="00AC7EA9">
        <w:rPr>
          <w:rFonts w:ascii="Traditional Arabic" w:hAnsi="Traditional Arabic" w:hint="eastAsia"/>
          <w:rtl/>
        </w:rPr>
        <w:t>الحَوالة</w:t>
      </w:r>
      <w:r w:rsidR="00C33E18">
        <w:rPr>
          <w:rtl/>
          <w:lang w:bidi="ar-DZ"/>
        </w:rPr>
        <w:tab/>
      </w:r>
      <w:r w:rsidR="00C33E18">
        <w:rPr>
          <w:rFonts w:hint="cs"/>
          <w:rtl/>
          <w:lang w:bidi="ar-DZ"/>
        </w:rPr>
        <w:t>381</w:t>
      </w:r>
    </w:p>
    <w:p w:rsidR="001C3F19" w:rsidRDefault="001C3F19" w:rsidP="007E1439">
      <w:pPr>
        <w:pStyle w:val="Index1"/>
        <w:tabs>
          <w:tab w:val="right" w:leader="dot" w:pos="4023"/>
        </w:tabs>
        <w:rPr>
          <w:rtl/>
        </w:rPr>
      </w:pPr>
      <w:r>
        <w:rPr>
          <w:rFonts w:hint="eastAsia"/>
          <w:rtl/>
        </w:rPr>
        <w:t>الحِيَل</w:t>
      </w:r>
      <w:r>
        <w:rPr>
          <w:rtl/>
          <w:lang w:bidi="ar-DZ"/>
        </w:rPr>
        <w:tab/>
      </w:r>
      <w:r w:rsidR="007E1439">
        <w:rPr>
          <w:rFonts w:hint="cs"/>
          <w:rtl/>
        </w:rPr>
        <w:t>225</w:t>
      </w:r>
    </w:p>
    <w:p w:rsidR="001C3F19" w:rsidRDefault="001C3F19" w:rsidP="007E1439">
      <w:pPr>
        <w:pStyle w:val="Index1"/>
        <w:tabs>
          <w:tab w:val="right" w:leader="dot" w:pos="4023"/>
        </w:tabs>
        <w:rPr>
          <w:rtl/>
        </w:rPr>
      </w:pPr>
      <w:r>
        <w:rPr>
          <w:rFonts w:hint="eastAsia"/>
          <w:rtl/>
        </w:rPr>
        <w:t>الخَراج</w:t>
      </w:r>
      <w:r>
        <w:rPr>
          <w:rtl/>
          <w:lang w:bidi="ar-DZ"/>
        </w:rPr>
        <w:tab/>
      </w:r>
      <w:r w:rsidR="007E1439">
        <w:rPr>
          <w:rFonts w:hint="cs"/>
          <w:rtl/>
        </w:rPr>
        <w:t>346</w:t>
      </w:r>
    </w:p>
    <w:p w:rsidR="001C3F19" w:rsidRDefault="001C3F19" w:rsidP="007E1439">
      <w:pPr>
        <w:pStyle w:val="Index1"/>
        <w:tabs>
          <w:tab w:val="right" w:leader="dot" w:pos="4023"/>
        </w:tabs>
        <w:rPr>
          <w:rtl/>
        </w:rPr>
      </w:pPr>
      <w:r>
        <w:rPr>
          <w:rFonts w:hint="eastAsia"/>
          <w:rtl/>
        </w:rPr>
        <w:t>الخِصاء</w:t>
      </w:r>
      <w:r>
        <w:rPr>
          <w:rtl/>
          <w:lang w:bidi="ar-DZ"/>
        </w:rPr>
        <w:tab/>
      </w:r>
      <w:r w:rsidR="007E1439">
        <w:rPr>
          <w:rFonts w:hint="cs"/>
          <w:rtl/>
        </w:rPr>
        <w:t>206</w:t>
      </w:r>
    </w:p>
    <w:p w:rsidR="001C3F19" w:rsidRDefault="001C3F19" w:rsidP="007E1439">
      <w:pPr>
        <w:pStyle w:val="Index1"/>
        <w:tabs>
          <w:tab w:val="right" w:leader="dot" w:pos="4023"/>
        </w:tabs>
        <w:rPr>
          <w:rtl/>
        </w:rPr>
      </w:pPr>
      <w:r w:rsidRPr="00AC7EA9">
        <w:rPr>
          <w:rFonts w:ascii="Traditional Arabic" w:hAnsi="Traditional Arabic" w:hint="eastAsia"/>
          <w:rtl/>
          <w:lang w:eastAsia="en-US"/>
        </w:rPr>
        <w:t>الخُفّ</w:t>
      </w:r>
      <w:r>
        <w:rPr>
          <w:rtl/>
          <w:lang w:bidi="ar-DZ"/>
        </w:rPr>
        <w:tab/>
      </w:r>
      <w:r w:rsidR="007E1439">
        <w:rPr>
          <w:rFonts w:hint="cs"/>
          <w:rtl/>
        </w:rPr>
        <w:t>574</w:t>
      </w:r>
    </w:p>
    <w:p w:rsidR="001C3F19" w:rsidRDefault="001C3F19">
      <w:pPr>
        <w:pStyle w:val="Index1"/>
        <w:tabs>
          <w:tab w:val="right" w:leader="dot" w:pos="4023"/>
        </w:tabs>
        <w:rPr>
          <w:rtl/>
          <w:lang w:bidi="ar-DZ"/>
        </w:rPr>
      </w:pPr>
      <w:r w:rsidRPr="00AC7EA9">
        <w:rPr>
          <w:rFonts w:ascii="Traditional Arabic" w:hAnsi="Traditional Arabic" w:hint="eastAsia"/>
          <w:rtl/>
        </w:rPr>
        <w:t>الخلع</w:t>
      </w:r>
      <w:r>
        <w:rPr>
          <w:rtl/>
          <w:lang w:bidi="ar-DZ"/>
        </w:rPr>
        <w:tab/>
        <w:t>643</w:t>
      </w:r>
    </w:p>
    <w:p w:rsidR="001C3F19" w:rsidRDefault="001C3F19">
      <w:pPr>
        <w:pStyle w:val="Index1"/>
        <w:tabs>
          <w:tab w:val="right" w:leader="dot" w:pos="4023"/>
        </w:tabs>
        <w:rPr>
          <w:rtl/>
          <w:lang w:bidi="ar-DZ"/>
        </w:rPr>
      </w:pPr>
      <w:r>
        <w:rPr>
          <w:rFonts w:hint="eastAsia"/>
          <w:rtl/>
        </w:rPr>
        <w:t>الخُلف</w:t>
      </w:r>
      <w:r>
        <w:rPr>
          <w:rtl/>
          <w:lang w:bidi="ar-DZ"/>
        </w:rPr>
        <w:tab/>
        <w:t>303</w:t>
      </w:r>
    </w:p>
    <w:p w:rsidR="001C3F19" w:rsidRDefault="001C3F19" w:rsidP="007E1439">
      <w:pPr>
        <w:pStyle w:val="Index1"/>
        <w:tabs>
          <w:tab w:val="right" w:leader="dot" w:pos="4023"/>
        </w:tabs>
        <w:rPr>
          <w:rtl/>
        </w:rPr>
      </w:pPr>
      <w:r w:rsidRPr="00AC7EA9">
        <w:rPr>
          <w:rFonts w:ascii="Traditional Arabic" w:hAnsi="Traditional Arabic" w:hint="eastAsia"/>
          <w:rtl/>
          <w:lang w:eastAsia="en-US"/>
        </w:rPr>
        <w:t>الخيار</w:t>
      </w:r>
      <w:r>
        <w:rPr>
          <w:rtl/>
          <w:lang w:bidi="ar-DZ"/>
        </w:rPr>
        <w:tab/>
      </w:r>
      <w:r w:rsidR="007E1439">
        <w:rPr>
          <w:rFonts w:hint="cs"/>
          <w:rtl/>
        </w:rPr>
        <w:t>145</w:t>
      </w:r>
    </w:p>
    <w:p w:rsidR="001C3F19" w:rsidRDefault="001C3F19" w:rsidP="007E1439">
      <w:pPr>
        <w:pStyle w:val="Index1"/>
        <w:tabs>
          <w:tab w:val="right" w:leader="dot" w:pos="4023"/>
        </w:tabs>
        <w:rPr>
          <w:rtl/>
        </w:rPr>
      </w:pPr>
      <w:r>
        <w:rPr>
          <w:rFonts w:hint="eastAsia"/>
          <w:rtl/>
        </w:rPr>
        <w:t>الدَّرْء</w:t>
      </w:r>
      <w:r>
        <w:rPr>
          <w:rtl/>
          <w:lang w:bidi="ar-DZ"/>
        </w:rPr>
        <w:tab/>
      </w:r>
      <w:r w:rsidR="007E1439">
        <w:rPr>
          <w:rFonts w:hint="cs"/>
          <w:rtl/>
        </w:rPr>
        <w:t>114</w:t>
      </w:r>
    </w:p>
    <w:p w:rsidR="001C3F19" w:rsidRDefault="001C3F19" w:rsidP="00EE1A85">
      <w:pPr>
        <w:pStyle w:val="Index1"/>
        <w:tabs>
          <w:tab w:val="right" w:leader="dot" w:pos="4023"/>
        </w:tabs>
        <w:rPr>
          <w:rtl/>
        </w:rPr>
      </w:pPr>
      <w:r w:rsidRPr="00AC7EA9">
        <w:rPr>
          <w:rFonts w:ascii="Traditional Arabic" w:hAnsi="Traditional Arabic" w:hint="eastAsia"/>
          <w:rtl/>
        </w:rPr>
        <w:t>الدعاوى</w:t>
      </w:r>
      <w:r>
        <w:rPr>
          <w:rtl/>
          <w:lang w:bidi="ar-DZ"/>
        </w:rPr>
        <w:tab/>
      </w:r>
      <w:r w:rsidR="00EE1A85">
        <w:rPr>
          <w:rFonts w:hint="cs"/>
          <w:rtl/>
        </w:rPr>
        <w:t>426</w:t>
      </w:r>
    </w:p>
    <w:p w:rsidR="001C3F19" w:rsidRDefault="001C3F19" w:rsidP="007E1439">
      <w:pPr>
        <w:pStyle w:val="Index1"/>
        <w:tabs>
          <w:tab w:val="right" w:leader="dot" w:pos="4023"/>
        </w:tabs>
        <w:rPr>
          <w:rtl/>
        </w:rPr>
      </w:pPr>
      <w:r w:rsidRPr="00AC7EA9">
        <w:rPr>
          <w:rFonts w:ascii="Traditional Arabic" w:hAnsi="Traditional Arabic" w:hint="eastAsia"/>
          <w:rtl/>
        </w:rPr>
        <w:t>الدية</w:t>
      </w:r>
      <w:r>
        <w:rPr>
          <w:rtl/>
          <w:lang w:bidi="ar-DZ"/>
        </w:rPr>
        <w:tab/>
      </w:r>
      <w:r w:rsidR="007E1439">
        <w:rPr>
          <w:rFonts w:hint="cs"/>
          <w:rtl/>
        </w:rPr>
        <w:t>350</w:t>
      </w:r>
    </w:p>
    <w:p w:rsidR="001C3F19" w:rsidRDefault="001C3F19" w:rsidP="007E1439">
      <w:pPr>
        <w:pStyle w:val="Index1"/>
        <w:tabs>
          <w:tab w:val="right" w:leader="dot" w:pos="4023"/>
        </w:tabs>
        <w:rPr>
          <w:rtl/>
        </w:rPr>
      </w:pPr>
      <w:r w:rsidRPr="00AC7EA9">
        <w:rPr>
          <w:rFonts w:hint="eastAsia"/>
          <w:bCs/>
          <w:rtl/>
        </w:rPr>
        <w:lastRenderedPageBreak/>
        <w:t>الذرائع</w:t>
      </w:r>
      <w:r>
        <w:rPr>
          <w:rtl/>
          <w:lang w:bidi="ar-DZ"/>
        </w:rPr>
        <w:tab/>
      </w:r>
      <w:r w:rsidR="007E1439">
        <w:rPr>
          <w:rFonts w:hint="cs"/>
          <w:rtl/>
        </w:rPr>
        <w:t>184</w:t>
      </w:r>
    </w:p>
    <w:p w:rsidR="001C3F19" w:rsidRDefault="001C3F19">
      <w:pPr>
        <w:pStyle w:val="Index1"/>
        <w:tabs>
          <w:tab w:val="right" w:leader="dot" w:pos="4023"/>
        </w:tabs>
        <w:rPr>
          <w:rtl/>
        </w:rPr>
      </w:pPr>
      <w:r w:rsidRPr="00AC7EA9">
        <w:rPr>
          <w:rFonts w:hint="eastAsia"/>
          <w:bCs/>
          <w:rtl/>
        </w:rPr>
        <w:t>الذِّمة</w:t>
      </w:r>
      <w:r>
        <w:rPr>
          <w:rtl/>
          <w:lang w:bidi="ar-DZ"/>
        </w:rPr>
        <w:tab/>
      </w:r>
      <w:r w:rsidR="00D55333">
        <w:rPr>
          <w:rFonts w:hint="cs"/>
          <w:rtl/>
        </w:rPr>
        <w:t>289</w:t>
      </w:r>
    </w:p>
    <w:p w:rsidR="001C3F19" w:rsidRDefault="001C3F19" w:rsidP="007E1439">
      <w:pPr>
        <w:pStyle w:val="Index1"/>
        <w:tabs>
          <w:tab w:val="right" w:leader="dot" w:pos="4023"/>
        </w:tabs>
        <w:rPr>
          <w:rtl/>
        </w:rPr>
      </w:pPr>
      <w:r w:rsidRPr="00AC7EA9">
        <w:rPr>
          <w:rFonts w:ascii="Traditional Arabic" w:hAnsi="Traditional Arabic" w:hint="eastAsia"/>
          <w:rtl/>
        </w:rPr>
        <w:t>الذميون</w:t>
      </w:r>
      <w:r>
        <w:rPr>
          <w:rtl/>
          <w:lang w:bidi="ar-DZ"/>
        </w:rPr>
        <w:tab/>
      </w:r>
      <w:r w:rsidR="007E1439">
        <w:rPr>
          <w:rFonts w:hint="cs"/>
          <w:rtl/>
          <w:lang w:bidi="ar-DZ"/>
        </w:rPr>
        <w:t>315</w:t>
      </w:r>
    </w:p>
    <w:p w:rsidR="001C3F19" w:rsidRDefault="001C3F19" w:rsidP="00F202CA">
      <w:pPr>
        <w:pStyle w:val="Index1"/>
        <w:tabs>
          <w:tab w:val="right" w:leader="dot" w:pos="4023"/>
        </w:tabs>
        <w:rPr>
          <w:rtl/>
        </w:rPr>
      </w:pPr>
      <w:r w:rsidRPr="00AC7EA9">
        <w:rPr>
          <w:rFonts w:hint="eastAsia"/>
          <w:b/>
          <w:bCs/>
          <w:rtl/>
        </w:rPr>
        <w:t>الربا</w:t>
      </w:r>
      <w:r>
        <w:rPr>
          <w:rtl/>
          <w:lang w:bidi="ar-DZ"/>
        </w:rPr>
        <w:tab/>
      </w:r>
      <w:r w:rsidR="00F202CA">
        <w:rPr>
          <w:rFonts w:hint="cs"/>
          <w:rtl/>
        </w:rPr>
        <w:t>462</w:t>
      </w:r>
    </w:p>
    <w:p w:rsidR="00590407" w:rsidRDefault="00590407" w:rsidP="00BA7ADD">
      <w:pPr>
        <w:pStyle w:val="Index1"/>
        <w:tabs>
          <w:tab w:val="right" w:leader="dot" w:pos="4023"/>
        </w:tabs>
        <w:rPr>
          <w:rtl/>
        </w:rPr>
      </w:pPr>
      <w:r w:rsidRPr="00AC7EA9">
        <w:rPr>
          <w:rFonts w:ascii="Traditional Arabic" w:hAnsi="Traditional Arabic" w:hint="eastAsia"/>
          <w:rtl/>
        </w:rPr>
        <w:t>ربا</w:t>
      </w:r>
      <w:r>
        <w:rPr>
          <w:rFonts w:ascii="Traditional Arabic" w:hAnsi="Traditional Arabic" w:hint="cs"/>
          <w:rtl/>
        </w:rPr>
        <w:t xml:space="preserve"> </w:t>
      </w:r>
      <w:r w:rsidRPr="00AC7EA9">
        <w:rPr>
          <w:rFonts w:ascii="Traditional Arabic" w:hAnsi="Traditional Arabic" w:hint="eastAsia"/>
          <w:rtl/>
        </w:rPr>
        <w:t>الفضل</w:t>
      </w:r>
      <w:r>
        <w:rPr>
          <w:rtl/>
          <w:lang w:bidi="ar-DZ"/>
        </w:rPr>
        <w:tab/>
      </w:r>
      <w:r w:rsidR="00BA7ADD">
        <w:rPr>
          <w:rFonts w:hint="cs"/>
          <w:rtl/>
        </w:rPr>
        <w:t>110</w:t>
      </w:r>
    </w:p>
    <w:p w:rsidR="00590407" w:rsidRPr="00590407" w:rsidRDefault="00590407" w:rsidP="00BA7ADD">
      <w:pPr>
        <w:ind w:firstLine="0"/>
        <w:rPr>
          <w:rtl/>
        </w:rPr>
      </w:pPr>
      <w:r w:rsidRPr="00AC7EA9">
        <w:rPr>
          <w:rFonts w:ascii="Traditional Arabic" w:hAnsi="Traditional Arabic" w:hint="eastAsia"/>
          <w:rtl/>
        </w:rPr>
        <w:t>ربا</w:t>
      </w:r>
      <w:r>
        <w:rPr>
          <w:rFonts w:ascii="Traditional Arabic" w:hAnsi="Traditional Arabic" w:hint="cs"/>
          <w:rtl/>
        </w:rPr>
        <w:t xml:space="preserve"> </w:t>
      </w:r>
      <w:r w:rsidRPr="00AC7EA9">
        <w:rPr>
          <w:rFonts w:ascii="Traditional Arabic" w:hAnsi="Traditional Arabic" w:hint="eastAsia"/>
          <w:rtl/>
        </w:rPr>
        <w:t>النسيئة</w:t>
      </w:r>
      <w:r>
        <w:rPr>
          <w:rFonts w:hint="cs"/>
          <w:rtl/>
        </w:rPr>
        <w:t>..........................</w:t>
      </w:r>
      <w:r w:rsidR="00BA7ADD">
        <w:rPr>
          <w:rFonts w:hint="cs"/>
          <w:rtl/>
        </w:rPr>
        <w:t>110</w:t>
      </w:r>
    </w:p>
    <w:p w:rsidR="001C3F19" w:rsidRDefault="001C3F19" w:rsidP="00F202CA">
      <w:pPr>
        <w:pStyle w:val="Index1"/>
        <w:tabs>
          <w:tab w:val="right" w:leader="dot" w:pos="4023"/>
        </w:tabs>
        <w:rPr>
          <w:rtl/>
        </w:rPr>
      </w:pPr>
      <w:r w:rsidRPr="00AC7EA9">
        <w:rPr>
          <w:rFonts w:ascii="Traditional Arabic" w:hAnsi="Traditional Arabic" w:hint="eastAsia"/>
          <w:rtl/>
        </w:rPr>
        <w:t>الربطة</w:t>
      </w:r>
      <w:r>
        <w:rPr>
          <w:rtl/>
          <w:lang w:bidi="ar-DZ"/>
        </w:rPr>
        <w:tab/>
      </w:r>
      <w:r w:rsidR="00F202CA">
        <w:rPr>
          <w:rFonts w:hint="cs"/>
          <w:rtl/>
        </w:rPr>
        <w:t>467</w:t>
      </w:r>
    </w:p>
    <w:p w:rsidR="001C3F19" w:rsidRDefault="001C3F19">
      <w:pPr>
        <w:pStyle w:val="Index1"/>
        <w:tabs>
          <w:tab w:val="right" w:leader="dot" w:pos="4023"/>
        </w:tabs>
        <w:rPr>
          <w:rtl/>
        </w:rPr>
      </w:pPr>
      <w:r w:rsidRPr="00AC7EA9">
        <w:rPr>
          <w:rFonts w:ascii="Traditional Arabic" w:hAnsi="Traditional Arabic" w:hint="eastAsia"/>
          <w:rtl/>
        </w:rPr>
        <w:t>الرخصة</w:t>
      </w:r>
      <w:r w:rsidR="00D55333">
        <w:rPr>
          <w:rtl/>
          <w:lang w:bidi="ar-DZ"/>
        </w:rPr>
        <w:tab/>
      </w:r>
      <w:r w:rsidR="00D55333">
        <w:rPr>
          <w:rFonts w:hint="cs"/>
          <w:rtl/>
        </w:rPr>
        <w:t>481</w:t>
      </w:r>
    </w:p>
    <w:p w:rsidR="005A21A8" w:rsidRDefault="001C3F19" w:rsidP="005A21A8">
      <w:pPr>
        <w:pStyle w:val="Index1"/>
        <w:tabs>
          <w:tab w:val="right" w:leader="dot" w:pos="4023"/>
        </w:tabs>
        <w:rPr>
          <w:rtl/>
        </w:rPr>
      </w:pPr>
      <w:r w:rsidRPr="00AC7EA9">
        <w:rPr>
          <w:rFonts w:hint="eastAsia"/>
          <w:bCs/>
          <w:rtl/>
        </w:rPr>
        <w:t>الرِّضا</w:t>
      </w:r>
      <w:r>
        <w:rPr>
          <w:rtl/>
          <w:lang w:bidi="ar-DZ"/>
        </w:rPr>
        <w:tab/>
      </w:r>
      <w:r w:rsidR="005A21A8">
        <w:rPr>
          <w:rFonts w:hint="cs"/>
          <w:rtl/>
        </w:rPr>
        <w:t>377_378</w:t>
      </w:r>
    </w:p>
    <w:p w:rsidR="001C3F19" w:rsidRDefault="001C3F19" w:rsidP="005A21A8">
      <w:pPr>
        <w:pStyle w:val="Index1"/>
        <w:tabs>
          <w:tab w:val="right" w:leader="dot" w:pos="4023"/>
        </w:tabs>
        <w:rPr>
          <w:rtl/>
        </w:rPr>
      </w:pPr>
      <w:r w:rsidRPr="00AC7EA9">
        <w:rPr>
          <w:rFonts w:ascii="Traditional Arabic" w:hAnsi="Traditional Arabic" w:hint="eastAsia"/>
          <w:rtl/>
        </w:rPr>
        <w:t>الر</w:t>
      </w:r>
      <w:r w:rsidR="00C2536E">
        <w:rPr>
          <w:rFonts w:ascii="Traditional Arabic" w:hAnsi="Traditional Arabic" w:hint="cs"/>
          <w:rtl/>
        </w:rPr>
        <w:t>ِّ</w:t>
      </w:r>
      <w:r w:rsidRPr="00AC7EA9">
        <w:rPr>
          <w:rFonts w:ascii="Traditional Arabic" w:hAnsi="Traditional Arabic" w:hint="eastAsia"/>
          <w:rtl/>
        </w:rPr>
        <w:t>كاز</w:t>
      </w:r>
      <w:r>
        <w:rPr>
          <w:rtl/>
          <w:lang w:bidi="ar-DZ"/>
        </w:rPr>
        <w:tab/>
      </w:r>
      <w:r w:rsidR="005A21A8">
        <w:rPr>
          <w:rFonts w:hint="cs"/>
          <w:rtl/>
        </w:rPr>
        <w:t>342</w:t>
      </w:r>
    </w:p>
    <w:p w:rsidR="001C3F19" w:rsidRDefault="001C3F19" w:rsidP="005A21A8">
      <w:pPr>
        <w:pStyle w:val="Index1"/>
        <w:tabs>
          <w:tab w:val="right" w:leader="dot" w:pos="4023"/>
        </w:tabs>
        <w:rPr>
          <w:rtl/>
        </w:rPr>
      </w:pPr>
      <w:r w:rsidRPr="00AC7EA9">
        <w:rPr>
          <w:rFonts w:ascii="Traditional Arabic" w:hAnsi="Traditional Arabic" w:hint="eastAsia"/>
          <w:rtl/>
        </w:rPr>
        <w:t>الرم</w:t>
      </w:r>
      <w:r w:rsidR="00C2536E">
        <w:rPr>
          <w:rFonts w:ascii="Traditional Arabic" w:hAnsi="Traditional Arabic" w:hint="cs"/>
          <w:rtl/>
        </w:rPr>
        <w:t>َ</w:t>
      </w:r>
      <w:r w:rsidRPr="00AC7EA9">
        <w:rPr>
          <w:rFonts w:ascii="Traditional Arabic" w:hAnsi="Traditional Arabic" w:hint="eastAsia"/>
          <w:rtl/>
        </w:rPr>
        <w:t>ل</w:t>
      </w:r>
      <w:r>
        <w:rPr>
          <w:rtl/>
          <w:lang w:bidi="ar-DZ"/>
        </w:rPr>
        <w:tab/>
      </w:r>
      <w:r w:rsidR="005A21A8">
        <w:rPr>
          <w:rFonts w:hint="cs"/>
          <w:rtl/>
        </w:rPr>
        <w:t>393</w:t>
      </w:r>
    </w:p>
    <w:p w:rsidR="001C3F19" w:rsidRDefault="001C3F19" w:rsidP="00545161">
      <w:pPr>
        <w:pStyle w:val="Index1"/>
        <w:tabs>
          <w:tab w:val="right" w:leader="dot" w:pos="4023"/>
        </w:tabs>
        <w:rPr>
          <w:rtl/>
        </w:rPr>
      </w:pPr>
      <w:r>
        <w:rPr>
          <w:rFonts w:hint="eastAsia"/>
          <w:rtl/>
        </w:rPr>
        <w:t>الرهن</w:t>
      </w:r>
      <w:r>
        <w:rPr>
          <w:rtl/>
          <w:lang w:bidi="ar-DZ"/>
        </w:rPr>
        <w:tab/>
      </w:r>
      <w:r w:rsidR="00545161">
        <w:rPr>
          <w:rFonts w:hint="cs"/>
          <w:rtl/>
        </w:rPr>
        <w:t>190</w:t>
      </w:r>
    </w:p>
    <w:p w:rsidR="001C3F19" w:rsidRDefault="001C3F19" w:rsidP="005A21A8">
      <w:pPr>
        <w:pStyle w:val="Index1"/>
        <w:tabs>
          <w:tab w:val="right" w:leader="dot" w:pos="4023"/>
        </w:tabs>
        <w:rPr>
          <w:rtl/>
        </w:rPr>
      </w:pPr>
      <w:r w:rsidRPr="00AC7EA9">
        <w:rPr>
          <w:rFonts w:hint="eastAsia"/>
          <w:b/>
          <w:bCs/>
          <w:rtl/>
        </w:rPr>
        <w:t>السبب</w:t>
      </w:r>
      <w:r>
        <w:rPr>
          <w:rtl/>
          <w:lang w:bidi="ar-DZ"/>
        </w:rPr>
        <w:tab/>
      </w:r>
      <w:r w:rsidR="005A21A8">
        <w:rPr>
          <w:rFonts w:hint="cs"/>
          <w:rtl/>
        </w:rPr>
        <w:t>490-491</w:t>
      </w:r>
    </w:p>
    <w:p w:rsidR="001C3F19" w:rsidRDefault="001C3F19" w:rsidP="007E1439">
      <w:pPr>
        <w:pStyle w:val="Index1"/>
        <w:tabs>
          <w:tab w:val="right" w:leader="dot" w:pos="4023"/>
        </w:tabs>
        <w:rPr>
          <w:rtl/>
        </w:rPr>
      </w:pPr>
      <w:r w:rsidRPr="00AC7EA9">
        <w:rPr>
          <w:rFonts w:ascii="Traditional Arabic" w:hAnsi="Traditional Arabic" w:hint="eastAsia"/>
          <w:rtl/>
        </w:rPr>
        <w:t>السبَق</w:t>
      </w:r>
      <w:r>
        <w:rPr>
          <w:rtl/>
          <w:lang w:bidi="ar-DZ"/>
        </w:rPr>
        <w:tab/>
      </w:r>
      <w:r w:rsidR="007E1439">
        <w:rPr>
          <w:rFonts w:hint="cs"/>
          <w:rtl/>
        </w:rPr>
        <w:t>574</w:t>
      </w:r>
    </w:p>
    <w:p w:rsidR="001C3F19" w:rsidRDefault="001C3F19" w:rsidP="005A21A8">
      <w:pPr>
        <w:pStyle w:val="Index1"/>
        <w:tabs>
          <w:tab w:val="right" w:leader="dot" w:pos="4023"/>
        </w:tabs>
        <w:rPr>
          <w:rtl/>
        </w:rPr>
      </w:pPr>
      <w:r w:rsidRPr="00AC7EA9">
        <w:rPr>
          <w:rFonts w:ascii="Traditional Arabic" w:hAnsi="Traditional Arabic" w:hint="eastAsia"/>
          <w:rtl/>
        </w:rPr>
        <w:t>السبْق</w:t>
      </w:r>
      <w:r>
        <w:rPr>
          <w:rtl/>
          <w:lang w:bidi="ar-DZ"/>
        </w:rPr>
        <w:tab/>
      </w:r>
      <w:r w:rsidR="005A21A8">
        <w:rPr>
          <w:rFonts w:hint="cs"/>
          <w:rtl/>
        </w:rPr>
        <w:t>104</w:t>
      </w:r>
    </w:p>
    <w:p w:rsidR="001C3F19" w:rsidRDefault="001C3F19" w:rsidP="007E1439">
      <w:pPr>
        <w:pStyle w:val="Index1"/>
        <w:tabs>
          <w:tab w:val="right" w:leader="dot" w:pos="4023"/>
        </w:tabs>
        <w:rPr>
          <w:rtl/>
        </w:rPr>
      </w:pPr>
      <w:r>
        <w:rPr>
          <w:rFonts w:hint="eastAsia"/>
          <w:rtl/>
        </w:rPr>
        <w:t>السَّدّ</w:t>
      </w:r>
      <w:r>
        <w:rPr>
          <w:rtl/>
          <w:lang w:bidi="ar-DZ"/>
        </w:rPr>
        <w:tab/>
      </w:r>
      <w:r w:rsidR="007E1439">
        <w:rPr>
          <w:rFonts w:hint="cs"/>
          <w:rtl/>
        </w:rPr>
        <w:t>184</w:t>
      </w:r>
    </w:p>
    <w:p w:rsidR="001C3F19" w:rsidRDefault="001C3F19" w:rsidP="005A21A8">
      <w:pPr>
        <w:pStyle w:val="Index1"/>
        <w:tabs>
          <w:tab w:val="right" w:leader="dot" w:pos="4023"/>
        </w:tabs>
        <w:rPr>
          <w:rtl/>
        </w:rPr>
      </w:pPr>
      <w:r w:rsidRPr="00AC7EA9">
        <w:rPr>
          <w:rFonts w:ascii="Traditional Arabic" w:hAnsi="Traditional Arabic" w:hint="eastAsia"/>
          <w:rtl/>
          <w:lang w:eastAsia="en-US"/>
        </w:rPr>
        <w:t>السَّرَعان</w:t>
      </w:r>
      <w:r>
        <w:rPr>
          <w:rtl/>
          <w:lang w:bidi="ar-DZ"/>
        </w:rPr>
        <w:tab/>
      </w:r>
      <w:r w:rsidR="005A21A8">
        <w:rPr>
          <w:rFonts w:hint="cs"/>
          <w:rtl/>
        </w:rPr>
        <w:t>135</w:t>
      </w:r>
    </w:p>
    <w:p w:rsidR="001C3F19" w:rsidRDefault="001C3F19" w:rsidP="005A21A8">
      <w:pPr>
        <w:pStyle w:val="Index1"/>
        <w:tabs>
          <w:tab w:val="right" w:leader="dot" w:pos="4023"/>
        </w:tabs>
        <w:rPr>
          <w:rtl/>
        </w:rPr>
      </w:pPr>
      <w:r w:rsidRPr="00AC7EA9">
        <w:rPr>
          <w:rFonts w:ascii="Traditional Arabic" w:hAnsi="Traditional Arabic" w:hint="eastAsia"/>
          <w:rtl/>
        </w:rPr>
        <w:t>السّكّة</w:t>
      </w:r>
      <w:r>
        <w:rPr>
          <w:rtl/>
          <w:lang w:bidi="ar-DZ"/>
        </w:rPr>
        <w:tab/>
      </w:r>
      <w:r w:rsidR="005A21A8">
        <w:rPr>
          <w:rFonts w:hint="cs"/>
          <w:rtl/>
        </w:rPr>
        <w:t>252</w:t>
      </w:r>
    </w:p>
    <w:p w:rsidR="005A21A8" w:rsidRDefault="001C3F19" w:rsidP="005A21A8">
      <w:pPr>
        <w:pStyle w:val="Index1"/>
        <w:tabs>
          <w:tab w:val="right" w:leader="dot" w:pos="4023"/>
        </w:tabs>
        <w:rPr>
          <w:rtl/>
        </w:rPr>
      </w:pPr>
      <w:r w:rsidRPr="00AC7EA9">
        <w:rPr>
          <w:rFonts w:hint="eastAsia"/>
          <w:b/>
          <w:bCs/>
          <w:rtl/>
        </w:rPr>
        <w:t>السُّلطان</w:t>
      </w:r>
      <w:r>
        <w:rPr>
          <w:rtl/>
          <w:lang w:bidi="ar-DZ"/>
        </w:rPr>
        <w:tab/>
      </w:r>
      <w:r w:rsidR="005A21A8">
        <w:rPr>
          <w:rFonts w:hint="cs"/>
          <w:rtl/>
        </w:rPr>
        <w:t>506</w:t>
      </w:r>
    </w:p>
    <w:p w:rsidR="001C3F19" w:rsidRDefault="001C3F19" w:rsidP="005A21A8">
      <w:pPr>
        <w:pStyle w:val="Index1"/>
        <w:tabs>
          <w:tab w:val="right" w:leader="dot" w:pos="4023"/>
        </w:tabs>
        <w:rPr>
          <w:rtl/>
        </w:rPr>
      </w:pPr>
      <w:r w:rsidRPr="00AC7EA9">
        <w:rPr>
          <w:rFonts w:ascii="Traditional Arabic" w:hAnsi="Traditional Arabic" w:hint="eastAsia"/>
          <w:rtl/>
        </w:rPr>
        <w:t>السَّلَم</w:t>
      </w:r>
      <w:r>
        <w:rPr>
          <w:rtl/>
          <w:lang w:bidi="ar-DZ"/>
        </w:rPr>
        <w:tab/>
      </w:r>
      <w:r w:rsidR="005A21A8">
        <w:rPr>
          <w:rFonts w:hint="cs"/>
          <w:rtl/>
        </w:rPr>
        <w:t>169</w:t>
      </w:r>
    </w:p>
    <w:p w:rsidR="00590407" w:rsidRPr="00590407" w:rsidRDefault="00590407" w:rsidP="005A21A8">
      <w:pPr>
        <w:pStyle w:val="Index1"/>
        <w:tabs>
          <w:tab w:val="right" w:leader="dot" w:pos="4023"/>
        </w:tabs>
        <w:rPr>
          <w:rtl/>
        </w:rPr>
      </w:pPr>
      <w:r w:rsidRPr="00AC7EA9">
        <w:rPr>
          <w:rFonts w:ascii="Traditional Arabic" w:hAnsi="Traditional Arabic" w:hint="eastAsia"/>
          <w:rtl/>
          <w:lang w:eastAsia="en-US"/>
        </w:rPr>
        <w:t>شرد</w:t>
      </w:r>
      <w:r>
        <w:rPr>
          <w:rtl/>
          <w:lang w:bidi="ar-DZ"/>
        </w:rPr>
        <w:tab/>
      </w:r>
      <w:r w:rsidR="005A21A8">
        <w:rPr>
          <w:rFonts w:hint="cs"/>
          <w:rtl/>
        </w:rPr>
        <w:t>441</w:t>
      </w:r>
    </w:p>
    <w:p w:rsidR="001C3F19" w:rsidRDefault="001C3F19">
      <w:pPr>
        <w:pStyle w:val="Index1"/>
        <w:tabs>
          <w:tab w:val="right" w:leader="dot" w:pos="4023"/>
        </w:tabs>
        <w:rPr>
          <w:rtl/>
        </w:rPr>
      </w:pPr>
      <w:r w:rsidRPr="00AC7EA9">
        <w:rPr>
          <w:rFonts w:hint="eastAsia"/>
          <w:bCs/>
          <w:rtl/>
        </w:rPr>
        <w:t>الشرط</w:t>
      </w:r>
      <w:r w:rsidR="003966B8">
        <w:rPr>
          <w:rtl/>
          <w:lang w:bidi="ar-DZ"/>
        </w:rPr>
        <w:tab/>
      </w:r>
      <w:r w:rsidR="003966B8">
        <w:rPr>
          <w:rFonts w:hint="cs"/>
          <w:rtl/>
          <w:lang w:bidi="ar-DZ"/>
        </w:rPr>
        <w:t>296</w:t>
      </w:r>
    </w:p>
    <w:p w:rsidR="001C3F19" w:rsidRDefault="001C3F19">
      <w:pPr>
        <w:pStyle w:val="Index1"/>
        <w:tabs>
          <w:tab w:val="right" w:leader="dot" w:pos="4023"/>
        </w:tabs>
        <w:rPr>
          <w:rtl/>
          <w:lang w:bidi="ar-DZ"/>
        </w:rPr>
      </w:pPr>
      <w:r w:rsidRPr="00AC7EA9">
        <w:rPr>
          <w:rFonts w:ascii="Traditional Arabic" w:hAnsi="Traditional Arabic" w:hint="eastAsia"/>
          <w:rtl/>
        </w:rPr>
        <w:t>الشركة</w:t>
      </w:r>
      <w:r>
        <w:rPr>
          <w:rtl/>
          <w:lang w:bidi="ar-DZ"/>
        </w:rPr>
        <w:tab/>
        <w:t>365</w:t>
      </w:r>
    </w:p>
    <w:p w:rsidR="00590407" w:rsidRDefault="00590407" w:rsidP="00590407">
      <w:pPr>
        <w:pStyle w:val="Index1"/>
        <w:tabs>
          <w:tab w:val="right" w:leader="dot" w:pos="4023"/>
        </w:tabs>
        <w:rPr>
          <w:rtl/>
          <w:lang w:bidi="ar-DZ"/>
        </w:rPr>
      </w:pPr>
      <w:r w:rsidRPr="00AC7EA9">
        <w:rPr>
          <w:rFonts w:ascii="Traditional Arabic" w:hAnsi="Traditional Arabic" w:hint="eastAsia"/>
          <w:rtl/>
        </w:rPr>
        <w:t>شركة</w:t>
      </w:r>
      <w:r>
        <w:rPr>
          <w:rFonts w:ascii="Traditional Arabic" w:hAnsi="Traditional Arabic" w:hint="cs"/>
          <w:rtl/>
        </w:rPr>
        <w:t xml:space="preserve"> </w:t>
      </w:r>
      <w:r w:rsidRPr="00AC7EA9">
        <w:rPr>
          <w:rFonts w:ascii="Traditional Arabic" w:hAnsi="Traditional Arabic" w:hint="eastAsia"/>
          <w:rtl/>
        </w:rPr>
        <w:t>المفاوضة</w:t>
      </w:r>
      <w:r>
        <w:rPr>
          <w:rtl/>
          <w:lang w:bidi="ar-DZ"/>
        </w:rPr>
        <w:tab/>
        <w:t>306</w:t>
      </w:r>
    </w:p>
    <w:p w:rsidR="00F202CA" w:rsidRPr="00F202CA" w:rsidRDefault="00F202CA" w:rsidP="00F202CA">
      <w:pPr>
        <w:ind w:firstLine="0"/>
        <w:rPr>
          <w:rtl/>
        </w:rPr>
      </w:pPr>
      <w:r>
        <w:rPr>
          <w:rFonts w:hint="cs"/>
          <w:rtl/>
          <w:lang w:bidi="ar-DZ"/>
        </w:rPr>
        <w:t>شركة الوجوه........................</w:t>
      </w:r>
      <w:r>
        <w:rPr>
          <w:rFonts w:hint="cs"/>
          <w:rtl/>
        </w:rPr>
        <w:t>561</w:t>
      </w:r>
    </w:p>
    <w:p w:rsidR="001C3F19" w:rsidRDefault="001C3F19" w:rsidP="005A21A8">
      <w:pPr>
        <w:pStyle w:val="Index1"/>
        <w:tabs>
          <w:tab w:val="right" w:leader="dot" w:pos="4023"/>
        </w:tabs>
        <w:rPr>
          <w:rtl/>
          <w:lang w:bidi="ar-DZ"/>
        </w:rPr>
      </w:pPr>
      <w:r w:rsidRPr="00AC7EA9">
        <w:rPr>
          <w:rFonts w:ascii="Traditional Arabic" w:hAnsi="Traditional Arabic" w:hint="eastAsia"/>
          <w:rtl/>
        </w:rPr>
        <w:lastRenderedPageBreak/>
        <w:t>الشُّفْعة</w:t>
      </w:r>
      <w:r>
        <w:rPr>
          <w:rtl/>
          <w:lang w:bidi="ar-DZ"/>
        </w:rPr>
        <w:tab/>
      </w:r>
      <w:r w:rsidR="005A21A8">
        <w:rPr>
          <w:rFonts w:hint="cs"/>
          <w:rtl/>
          <w:lang w:bidi="ar-DZ"/>
        </w:rPr>
        <w:t>80</w:t>
      </w:r>
    </w:p>
    <w:p w:rsidR="001C3F19" w:rsidRDefault="001C3F19">
      <w:pPr>
        <w:pStyle w:val="Index1"/>
        <w:tabs>
          <w:tab w:val="right" w:leader="dot" w:pos="4023"/>
        </w:tabs>
        <w:rPr>
          <w:rtl/>
          <w:lang w:bidi="ar-DZ"/>
        </w:rPr>
      </w:pPr>
      <w:r w:rsidRPr="00AC7EA9">
        <w:rPr>
          <w:rFonts w:ascii="Traditional Arabic" w:hAnsi="Traditional Arabic" w:hint="eastAsia"/>
          <w:rtl/>
        </w:rPr>
        <w:t>الشقص</w:t>
      </w:r>
      <w:r>
        <w:rPr>
          <w:rtl/>
          <w:lang w:bidi="ar-DZ"/>
        </w:rPr>
        <w:tab/>
        <w:t>544</w:t>
      </w:r>
    </w:p>
    <w:p w:rsidR="001C3F19" w:rsidRDefault="001C3F19" w:rsidP="005A21A8">
      <w:pPr>
        <w:pStyle w:val="Index1"/>
        <w:tabs>
          <w:tab w:val="right" w:leader="dot" w:pos="4023"/>
        </w:tabs>
        <w:rPr>
          <w:rtl/>
        </w:rPr>
      </w:pPr>
      <w:r w:rsidRPr="00AC7EA9">
        <w:rPr>
          <w:rFonts w:ascii="Traditional Arabic" w:hAnsi="Traditional Arabic" w:hint="eastAsia"/>
          <w:rtl/>
        </w:rPr>
        <w:t>الصائل</w:t>
      </w:r>
      <w:r>
        <w:rPr>
          <w:rtl/>
          <w:lang w:bidi="ar-DZ"/>
        </w:rPr>
        <w:tab/>
      </w:r>
      <w:r w:rsidR="005A21A8">
        <w:rPr>
          <w:rFonts w:hint="cs"/>
          <w:rtl/>
        </w:rPr>
        <w:t>257</w:t>
      </w:r>
    </w:p>
    <w:p w:rsidR="001C3F19" w:rsidRDefault="001C3F19" w:rsidP="00E874DB">
      <w:pPr>
        <w:pStyle w:val="Index1"/>
        <w:tabs>
          <w:tab w:val="right" w:leader="dot" w:pos="4023"/>
        </w:tabs>
        <w:rPr>
          <w:rtl/>
        </w:rPr>
      </w:pPr>
      <w:r w:rsidRPr="00AC7EA9">
        <w:rPr>
          <w:rFonts w:hint="eastAsia"/>
          <w:bCs/>
          <w:rtl/>
        </w:rPr>
        <w:t>الصحة</w:t>
      </w:r>
      <w:r>
        <w:rPr>
          <w:rtl/>
          <w:lang w:bidi="ar-DZ"/>
        </w:rPr>
        <w:tab/>
      </w:r>
      <w:r w:rsidR="00E874DB">
        <w:rPr>
          <w:rFonts w:hint="cs"/>
          <w:rtl/>
        </w:rPr>
        <w:t>298</w:t>
      </w:r>
    </w:p>
    <w:p w:rsidR="001C3F19" w:rsidRDefault="001C3F19" w:rsidP="008F2337">
      <w:pPr>
        <w:pStyle w:val="Index1"/>
        <w:tabs>
          <w:tab w:val="right" w:leader="dot" w:pos="4023"/>
        </w:tabs>
        <w:rPr>
          <w:rtl/>
        </w:rPr>
      </w:pPr>
      <w:r w:rsidRPr="00AC7EA9">
        <w:rPr>
          <w:rFonts w:ascii="Traditional Arabic" w:hAnsi="Traditional Arabic" w:hint="eastAsia"/>
          <w:rtl/>
        </w:rPr>
        <w:t>الصفقة</w:t>
      </w:r>
      <w:r>
        <w:rPr>
          <w:rtl/>
          <w:lang w:bidi="ar-DZ"/>
        </w:rPr>
        <w:tab/>
      </w:r>
      <w:r w:rsidR="008F2337">
        <w:rPr>
          <w:rFonts w:hint="cs"/>
          <w:rtl/>
        </w:rPr>
        <w:t>446</w:t>
      </w:r>
    </w:p>
    <w:p w:rsidR="001C3F19" w:rsidRDefault="001C3F19" w:rsidP="005A21A8">
      <w:pPr>
        <w:pStyle w:val="Index1"/>
        <w:tabs>
          <w:tab w:val="right" w:leader="dot" w:pos="4023"/>
        </w:tabs>
        <w:rPr>
          <w:rtl/>
        </w:rPr>
      </w:pPr>
      <w:r>
        <w:rPr>
          <w:rFonts w:hint="eastAsia"/>
          <w:rtl/>
        </w:rPr>
        <w:t>الصَّوْل</w:t>
      </w:r>
      <w:r>
        <w:rPr>
          <w:rtl/>
          <w:lang w:bidi="ar-DZ"/>
        </w:rPr>
        <w:tab/>
      </w:r>
      <w:r w:rsidR="005A21A8">
        <w:rPr>
          <w:rFonts w:hint="cs"/>
          <w:rtl/>
        </w:rPr>
        <w:t>259</w:t>
      </w:r>
    </w:p>
    <w:p w:rsidR="001C3F19" w:rsidRDefault="001C3F19" w:rsidP="005A21A8">
      <w:pPr>
        <w:pStyle w:val="Index1"/>
        <w:tabs>
          <w:tab w:val="right" w:leader="dot" w:pos="4023"/>
        </w:tabs>
        <w:rPr>
          <w:rtl/>
        </w:rPr>
      </w:pPr>
      <w:r>
        <w:rPr>
          <w:rFonts w:hint="eastAsia"/>
          <w:rtl/>
        </w:rPr>
        <w:t>الضابط</w:t>
      </w:r>
      <w:r>
        <w:rPr>
          <w:rtl/>
          <w:lang w:bidi="ar-DZ"/>
        </w:rPr>
        <w:tab/>
      </w:r>
      <w:r w:rsidR="005A21A8">
        <w:rPr>
          <w:rFonts w:hint="cs"/>
          <w:rtl/>
        </w:rPr>
        <w:t>66</w:t>
      </w:r>
    </w:p>
    <w:p w:rsidR="001C3F19" w:rsidRDefault="001C3F19" w:rsidP="005A21A8">
      <w:pPr>
        <w:pStyle w:val="Index1"/>
        <w:tabs>
          <w:tab w:val="right" w:leader="dot" w:pos="4023"/>
        </w:tabs>
        <w:rPr>
          <w:rtl/>
        </w:rPr>
      </w:pPr>
      <w:r w:rsidRPr="00AC7EA9">
        <w:rPr>
          <w:rFonts w:ascii="Traditional Arabic" w:hAnsi="Traditional Arabic" w:hint="eastAsia"/>
          <w:rtl/>
        </w:rPr>
        <w:t>الضابط</w:t>
      </w:r>
      <w:r w:rsidR="009F1735">
        <w:rPr>
          <w:rFonts w:ascii="Traditional Arabic" w:hAnsi="Traditional Arabic" w:hint="cs"/>
          <w:rtl/>
        </w:rPr>
        <w:t xml:space="preserve"> </w:t>
      </w:r>
      <w:r w:rsidRPr="00AC7EA9">
        <w:rPr>
          <w:rFonts w:ascii="Traditional Arabic" w:hAnsi="Traditional Arabic" w:hint="eastAsia"/>
          <w:rtl/>
        </w:rPr>
        <w:t>الفقهي</w:t>
      </w:r>
      <w:r>
        <w:rPr>
          <w:rtl/>
          <w:lang w:bidi="ar-DZ"/>
        </w:rPr>
        <w:tab/>
      </w:r>
      <w:r w:rsidR="005A21A8">
        <w:rPr>
          <w:rFonts w:hint="cs"/>
          <w:rtl/>
          <w:lang w:bidi="ar-DZ"/>
        </w:rPr>
        <w:t>68</w:t>
      </w:r>
    </w:p>
    <w:p w:rsidR="001C3F19" w:rsidRDefault="001C3F19" w:rsidP="005346C6">
      <w:pPr>
        <w:pStyle w:val="Index1"/>
        <w:tabs>
          <w:tab w:val="right" w:leader="dot" w:pos="4023"/>
        </w:tabs>
        <w:rPr>
          <w:rtl/>
        </w:rPr>
      </w:pPr>
      <w:r w:rsidRPr="00AC7EA9">
        <w:rPr>
          <w:rFonts w:ascii="Traditional Arabic" w:hAnsi="Traditional Arabic" w:hint="eastAsia"/>
          <w:rtl/>
        </w:rPr>
        <w:t>الضالة</w:t>
      </w:r>
      <w:r>
        <w:rPr>
          <w:rtl/>
          <w:lang w:bidi="ar-DZ"/>
        </w:rPr>
        <w:tab/>
      </w:r>
      <w:r w:rsidR="005346C6">
        <w:rPr>
          <w:rFonts w:hint="cs"/>
          <w:rtl/>
        </w:rPr>
        <w:t>365</w:t>
      </w:r>
    </w:p>
    <w:p w:rsidR="001C3F19" w:rsidRDefault="001C3F19" w:rsidP="005346C6">
      <w:pPr>
        <w:pStyle w:val="Index1"/>
        <w:tabs>
          <w:tab w:val="right" w:leader="dot" w:pos="4023"/>
        </w:tabs>
        <w:rPr>
          <w:rtl/>
        </w:rPr>
      </w:pPr>
      <w:r w:rsidRPr="00AC7EA9">
        <w:rPr>
          <w:rFonts w:hint="eastAsia"/>
          <w:bCs/>
          <w:rtl/>
        </w:rPr>
        <w:t>الضِّرار</w:t>
      </w:r>
      <w:r>
        <w:rPr>
          <w:rtl/>
          <w:lang w:bidi="ar-DZ"/>
        </w:rPr>
        <w:tab/>
      </w:r>
      <w:r w:rsidR="005346C6">
        <w:rPr>
          <w:rFonts w:hint="cs"/>
          <w:rtl/>
        </w:rPr>
        <w:t>246</w:t>
      </w:r>
    </w:p>
    <w:p w:rsidR="001C3F19" w:rsidRDefault="001C3F19" w:rsidP="005346C6">
      <w:pPr>
        <w:pStyle w:val="Index1"/>
        <w:tabs>
          <w:tab w:val="right" w:leader="dot" w:pos="4023"/>
        </w:tabs>
        <w:rPr>
          <w:rtl/>
        </w:rPr>
      </w:pPr>
      <w:r w:rsidRPr="00AC7EA9">
        <w:rPr>
          <w:rFonts w:hint="eastAsia"/>
          <w:bCs/>
          <w:rtl/>
        </w:rPr>
        <w:t>الضَّرَر</w:t>
      </w:r>
      <w:r>
        <w:rPr>
          <w:rtl/>
          <w:lang w:bidi="ar-DZ"/>
        </w:rPr>
        <w:tab/>
      </w:r>
      <w:r w:rsidR="005346C6">
        <w:rPr>
          <w:rFonts w:hint="cs"/>
          <w:rtl/>
        </w:rPr>
        <w:t>246</w:t>
      </w:r>
    </w:p>
    <w:p w:rsidR="005346C6" w:rsidRDefault="001C3F19" w:rsidP="005346C6">
      <w:pPr>
        <w:pStyle w:val="Index1"/>
        <w:tabs>
          <w:tab w:val="right" w:leader="dot" w:pos="4023"/>
        </w:tabs>
        <w:rPr>
          <w:rtl/>
        </w:rPr>
      </w:pPr>
      <w:r w:rsidRPr="00AC7EA9">
        <w:rPr>
          <w:rFonts w:hint="eastAsia"/>
          <w:bCs/>
          <w:rtl/>
        </w:rPr>
        <w:t>الضمان</w:t>
      </w:r>
      <w:r>
        <w:rPr>
          <w:rtl/>
          <w:lang w:bidi="ar-DZ"/>
        </w:rPr>
        <w:tab/>
      </w:r>
      <w:r w:rsidR="005346C6">
        <w:rPr>
          <w:rFonts w:hint="cs"/>
          <w:rtl/>
        </w:rPr>
        <w:t>55</w:t>
      </w:r>
    </w:p>
    <w:p w:rsidR="001C3F19" w:rsidRDefault="001C3F19" w:rsidP="005346C6">
      <w:pPr>
        <w:pStyle w:val="Index1"/>
        <w:tabs>
          <w:tab w:val="right" w:leader="dot" w:pos="4023"/>
        </w:tabs>
        <w:rPr>
          <w:rtl/>
        </w:rPr>
      </w:pPr>
      <w:r w:rsidRPr="00AC7EA9">
        <w:rPr>
          <w:rFonts w:ascii="Traditional Arabic" w:hAnsi="Traditional Arabic" w:hint="eastAsia"/>
          <w:rtl/>
          <w:lang w:eastAsia="en-US"/>
        </w:rPr>
        <w:t>الطريق</w:t>
      </w:r>
      <w:r w:rsidR="009F1735">
        <w:rPr>
          <w:rFonts w:ascii="Traditional Arabic" w:hAnsi="Traditional Arabic" w:hint="cs"/>
          <w:rtl/>
          <w:lang w:eastAsia="en-US"/>
        </w:rPr>
        <w:t xml:space="preserve"> </w:t>
      </w:r>
      <w:r w:rsidRPr="00AC7EA9">
        <w:rPr>
          <w:rFonts w:ascii="Traditional Arabic" w:hAnsi="Traditional Arabic" w:hint="eastAsia"/>
          <w:rtl/>
          <w:lang w:eastAsia="en-US"/>
        </w:rPr>
        <w:t>النافذ</w:t>
      </w:r>
      <w:r>
        <w:rPr>
          <w:rtl/>
          <w:lang w:bidi="ar-DZ"/>
        </w:rPr>
        <w:tab/>
      </w:r>
      <w:r w:rsidR="005346C6">
        <w:rPr>
          <w:rFonts w:hint="cs"/>
          <w:rtl/>
        </w:rPr>
        <w:t>104</w:t>
      </w:r>
    </w:p>
    <w:p w:rsidR="001C3F19" w:rsidRDefault="001C3F19" w:rsidP="005346C6">
      <w:pPr>
        <w:pStyle w:val="Index1"/>
        <w:tabs>
          <w:tab w:val="right" w:leader="dot" w:pos="4023"/>
        </w:tabs>
        <w:rPr>
          <w:rtl/>
        </w:rPr>
      </w:pPr>
      <w:r w:rsidRPr="00AC7EA9">
        <w:rPr>
          <w:rFonts w:hint="eastAsia"/>
          <w:bCs/>
          <w:rtl/>
        </w:rPr>
        <w:t>الظاهر</w:t>
      </w:r>
      <w:r>
        <w:rPr>
          <w:rtl/>
          <w:lang w:bidi="ar-DZ"/>
        </w:rPr>
        <w:tab/>
      </w:r>
      <w:r w:rsidR="005346C6">
        <w:rPr>
          <w:rFonts w:hint="cs"/>
          <w:rtl/>
        </w:rPr>
        <w:t>131-132</w:t>
      </w:r>
    </w:p>
    <w:p w:rsidR="001C3F19" w:rsidRDefault="001C3F19" w:rsidP="005346C6">
      <w:pPr>
        <w:pStyle w:val="Index1"/>
        <w:tabs>
          <w:tab w:val="right" w:leader="dot" w:pos="4023"/>
        </w:tabs>
        <w:rPr>
          <w:rtl/>
          <w:lang w:bidi="ar-DZ"/>
        </w:rPr>
      </w:pPr>
      <w:r w:rsidRPr="00AC7EA9">
        <w:rPr>
          <w:rFonts w:hint="eastAsia"/>
          <w:bCs/>
          <w:rtl/>
        </w:rPr>
        <w:t>العادة</w:t>
      </w:r>
      <w:r>
        <w:rPr>
          <w:rtl/>
          <w:lang w:bidi="ar-DZ"/>
        </w:rPr>
        <w:tab/>
      </w:r>
      <w:r w:rsidR="005346C6">
        <w:rPr>
          <w:rFonts w:hint="cs"/>
          <w:rtl/>
        </w:rPr>
        <w:t>141</w:t>
      </w:r>
      <w:r>
        <w:rPr>
          <w:rtl/>
          <w:lang w:bidi="ar-DZ"/>
        </w:rPr>
        <w:t xml:space="preserve"> </w:t>
      </w:r>
    </w:p>
    <w:p w:rsidR="005346C6" w:rsidRDefault="001C3F19" w:rsidP="005346C6">
      <w:pPr>
        <w:pStyle w:val="Index1"/>
        <w:tabs>
          <w:tab w:val="right" w:leader="dot" w:pos="4023"/>
        </w:tabs>
        <w:rPr>
          <w:rtl/>
        </w:rPr>
      </w:pPr>
      <w:r w:rsidRPr="00AC7EA9">
        <w:rPr>
          <w:rFonts w:ascii="Traditional Arabic" w:hAnsi="Traditional Arabic" w:hint="eastAsia"/>
          <w:rtl/>
        </w:rPr>
        <w:t>العارية</w:t>
      </w:r>
      <w:r>
        <w:rPr>
          <w:rtl/>
          <w:lang w:bidi="ar-DZ"/>
        </w:rPr>
        <w:tab/>
      </w:r>
      <w:r w:rsidR="005346C6">
        <w:rPr>
          <w:rFonts w:hint="cs"/>
          <w:rtl/>
          <w:lang w:bidi="ar-DZ"/>
        </w:rPr>
        <w:t>308</w:t>
      </w:r>
    </w:p>
    <w:p w:rsidR="001C3F19" w:rsidRDefault="001C3F19" w:rsidP="005346C6">
      <w:pPr>
        <w:pStyle w:val="Index1"/>
        <w:tabs>
          <w:tab w:val="right" w:leader="dot" w:pos="4023"/>
        </w:tabs>
        <w:rPr>
          <w:rtl/>
        </w:rPr>
      </w:pPr>
      <w:r w:rsidRPr="00AC7EA9">
        <w:rPr>
          <w:rFonts w:ascii="Traditional Arabic" w:hAnsi="Traditional Arabic" w:hint="eastAsia"/>
          <w:rtl/>
          <w:lang w:eastAsia="en-US"/>
        </w:rPr>
        <w:t>العاهر</w:t>
      </w:r>
      <w:r>
        <w:rPr>
          <w:rtl/>
          <w:lang w:bidi="ar-DZ"/>
        </w:rPr>
        <w:tab/>
      </w:r>
      <w:r w:rsidR="005346C6">
        <w:rPr>
          <w:rFonts w:hint="cs"/>
          <w:rtl/>
        </w:rPr>
        <w:t>448</w:t>
      </w:r>
    </w:p>
    <w:p w:rsidR="001C3F19" w:rsidRDefault="001C3F19" w:rsidP="005346C6">
      <w:pPr>
        <w:pStyle w:val="Index1"/>
        <w:tabs>
          <w:tab w:val="right" w:leader="dot" w:pos="4023"/>
        </w:tabs>
        <w:rPr>
          <w:rtl/>
        </w:rPr>
      </w:pPr>
      <w:r w:rsidRPr="00AC7EA9">
        <w:rPr>
          <w:rFonts w:ascii="Traditional Arabic" w:hAnsi="Traditional Arabic" w:hint="eastAsia"/>
          <w:rtl/>
        </w:rPr>
        <w:t>العبد</w:t>
      </w:r>
      <w:r w:rsidR="009F1735">
        <w:rPr>
          <w:rFonts w:ascii="Traditional Arabic" w:hAnsi="Traditional Arabic" w:hint="cs"/>
          <w:rtl/>
        </w:rPr>
        <w:t xml:space="preserve"> </w:t>
      </w:r>
      <w:r w:rsidRPr="00AC7EA9">
        <w:rPr>
          <w:rFonts w:ascii="Traditional Arabic" w:hAnsi="Traditional Arabic" w:hint="eastAsia"/>
          <w:rtl/>
        </w:rPr>
        <w:t>الآبق</w:t>
      </w:r>
      <w:r>
        <w:rPr>
          <w:rtl/>
          <w:lang w:bidi="ar-DZ"/>
        </w:rPr>
        <w:tab/>
      </w:r>
      <w:r w:rsidR="005346C6">
        <w:rPr>
          <w:rFonts w:hint="cs"/>
          <w:rtl/>
        </w:rPr>
        <w:t>460</w:t>
      </w:r>
    </w:p>
    <w:p w:rsidR="001C3F19" w:rsidRDefault="001C3F19">
      <w:pPr>
        <w:pStyle w:val="Index1"/>
        <w:tabs>
          <w:tab w:val="right" w:leader="dot" w:pos="4023"/>
        </w:tabs>
        <w:rPr>
          <w:rtl/>
        </w:rPr>
      </w:pPr>
      <w:r>
        <w:rPr>
          <w:rFonts w:hint="eastAsia"/>
          <w:rtl/>
        </w:rPr>
        <w:t>العِبْرَة</w:t>
      </w:r>
      <w:r w:rsidR="003966B8">
        <w:rPr>
          <w:rFonts w:hint="cs"/>
          <w:rtl/>
          <w:lang w:bidi="ar-DZ"/>
        </w:rPr>
        <w:t>..............................211</w:t>
      </w:r>
    </w:p>
    <w:p w:rsidR="001C3F19" w:rsidRDefault="001C3F19" w:rsidP="00F202CA">
      <w:pPr>
        <w:pStyle w:val="Index1"/>
        <w:tabs>
          <w:tab w:val="right" w:leader="dot" w:pos="4023"/>
        </w:tabs>
        <w:rPr>
          <w:rtl/>
        </w:rPr>
      </w:pPr>
      <w:r w:rsidRPr="00AC7EA9">
        <w:rPr>
          <w:rFonts w:ascii="Tahoma" w:hAnsi="Tahoma" w:hint="eastAsia"/>
          <w:rtl/>
        </w:rPr>
        <w:t>العتق</w:t>
      </w:r>
      <w:r>
        <w:rPr>
          <w:rtl/>
          <w:lang w:bidi="ar-DZ"/>
        </w:rPr>
        <w:tab/>
      </w:r>
      <w:r w:rsidR="00F202CA">
        <w:rPr>
          <w:rFonts w:hint="cs"/>
          <w:rtl/>
        </w:rPr>
        <w:t>521</w:t>
      </w:r>
    </w:p>
    <w:p w:rsidR="001C3F19" w:rsidRDefault="001C3F19" w:rsidP="00E874DB">
      <w:pPr>
        <w:pStyle w:val="Index1"/>
        <w:tabs>
          <w:tab w:val="right" w:leader="dot" w:pos="4023"/>
        </w:tabs>
        <w:rPr>
          <w:rtl/>
          <w:lang w:bidi="ar-DZ"/>
        </w:rPr>
      </w:pPr>
      <w:r>
        <w:rPr>
          <w:rFonts w:hint="eastAsia"/>
          <w:rtl/>
        </w:rPr>
        <w:t>العجماء</w:t>
      </w:r>
      <w:r>
        <w:rPr>
          <w:rtl/>
          <w:lang w:bidi="ar-DZ"/>
        </w:rPr>
        <w:tab/>
      </w:r>
      <w:r w:rsidR="00E874DB">
        <w:rPr>
          <w:rFonts w:hint="cs"/>
          <w:rtl/>
        </w:rPr>
        <w:t>341</w:t>
      </w:r>
    </w:p>
    <w:p w:rsidR="001C3F19" w:rsidRDefault="001C3F19" w:rsidP="00BA7ADD">
      <w:pPr>
        <w:pStyle w:val="Index1"/>
        <w:tabs>
          <w:tab w:val="right" w:leader="dot" w:pos="4023"/>
        </w:tabs>
        <w:rPr>
          <w:rtl/>
        </w:rPr>
      </w:pPr>
      <w:r w:rsidRPr="00AC7EA9">
        <w:rPr>
          <w:rFonts w:ascii="Traditional Arabic" w:hAnsi="Traditional Arabic" w:hint="eastAsia"/>
          <w:rtl/>
        </w:rPr>
        <w:t>العرايا</w:t>
      </w:r>
      <w:r>
        <w:rPr>
          <w:rtl/>
          <w:lang w:bidi="ar-DZ"/>
        </w:rPr>
        <w:tab/>
      </w:r>
      <w:r w:rsidR="00BA7ADD">
        <w:rPr>
          <w:rFonts w:hint="cs"/>
          <w:rtl/>
        </w:rPr>
        <w:t>105</w:t>
      </w:r>
    </w:p>
    <w:p w:rsidR="001C3F19" w:rsidRDefault="001C3F19" w:rsidP="005346C6">
      <w:pPr>
        <w:pStyle w:val="Index1"/>
        <w:tabs>
          <w:tab w:val="right" w:leader="dot" w:pos="4023"/>
        </w:tabs>
        <w:rPr>
          <w:rtl/>
        </w:rPr>
      </w:pPr>
      <w:r>
        <w:rPr>
          <w:rFonts w:hint="eastAsia"/>
          <w:rtl/>
        </w:rPr>
        <w:t>العُرْف</w:t>
      </w:r>
      <w:r>
        <w:rPr>
          <w:rtl/>
          <w:lang w:bidi="ar-DZ"/>
        </w:rPr>
        <w:tab/>
      </w:r>
      <w:r w:rsidR="005346C6">
        <w:rPr>
          <w:rFonts w:hint="cs"/>
          <w:rtl/>
        </w:rPr>
        <w:t>141</w:t>
      </w:r>
    </w:p>
    <w:p w:rsidR="00590407" w:rsidRPr="00590407" w:rsidRDefault="00590407" w:rsidP="005346C6">
      <w:pPr>
        <w:pStyle w:val="Index1"/>
        <w:tabs>
          <w:tab w:val="right" w:leader="dot" w:pos="4023"/>
        </w:tabs>
        <w:rPr>
          <w:rtl/>
        </w:rPr>
      </w:pPr>
      <w:r w:rsidRPr="00AC7EA9">
        <w:rPr>
          <w:rFonts w:ascii="Traditional Arabic" w:hAnsi="Traditional Arabic" w:hint="eastAsia"/>
          <w:rtl/>
        </w:rPr>
        <w:t>عُرْف</w:t>
      </w:r>
      <w:r>
        <w:rPr>
          <w:rFonts w:ascii="Traditional Arabic" w:hAnsi="Traditional Arabic" w:hint="cs"/>
          <w:rtl/>
        </w:rPr>
        <w:t xml:space="preserve"> </w:t>
      </w:r>
      <w:r w:rsidRPr="00AC7EA9">
        <w:rPr>
          <w:rFonts w:ascii="Traditional Arabic" w:hAnsi="Traditional Arabic" w:hint="eastAsia"/>
          <w:rtl/>
        </w:rPr>
        <w:t>الدابَّة</w:t>
      </w:r>
      <w:r>
        <w:rPr>
          <w:rtl/>
          <w:lang w:bidi="ar-DZ"/>
        </w:rPr>
        <w:tab/>
      </w:r>
      <w:r w:rsidR="005346C6">
        <w:rPr>
          <w:rFonts w:hint="cs"/>
          <w:rtl/>
        </w:rPr>
        <w:t>141</w:t>
      </w:r>
    </w:p>
    <w:p w:rsidR="001C3F19" w:rsidRDefault="001C3F19">
      <w:pPr>
        <w:pStyle w:val="Index1"/>
        <w:tabs>
          <w:tab w:val="right" w:leader="dot" w:pos="4023"/>
        </w:tabs>
        <w:rPr>
          <w:rtl/>
        </w:rPr>
      </w:pPr>
      <w:r w:rsidRPr="00AC7EA9">
        <w:rPr>
          <w:rFonts w:ascii="Traditional Arabic" w:hAnsi="Traditional Arabic" w:hint="eastAsia"/>
          <w:rtl/>
        </w:rPr>
        <w:t>العزيمة</w:t>
      </w:r>
      <w:r>
        <w:rPr>
          <w:rtl/>
          <w:lang w:bidi="ar-DZ"/>
        </w:rPr>
        <w:tab/>
      </w:r>
      <w:r w:rsidR="005F2B9C">
        <w:rPr>
          <w:rFonts w:hint="cs"/>
          <w:rtl/>
        </w:rPr>
        <w:t>483</w:t>
      </w:r>
    </w:p>
    <w:p w:rsidR="001C3F19" w:rsidRDefault="001C3F19" w:rsidP="005346C6">
      <w:pPr>
        <w:pStyle w:val="Index1"/>
        <w:tabs>
          <w:tab w:val="right" w:leader="dot" w:pos="4023"/>
        </w:tabs>
        <w:rPr>
          <w:rtl/>
        </w:rPr>
      </w:pPr>
      <w:r w:rsidRPr="00AC7EA9">
        <w:rPr>
          <w:rFonts w:ascii="Traditional Arabic" w:hAnsi="Traditional Arabic" w:hint="eastAsia"/>
          <w:rtl/>
        </w:rPr>
        <w:lastRenderedPageBreak/>
        <w:t>العسيب</w:t>
      </w:r>
      <w:r>
        <w:rPr>
          <w:rtl/>
          <w:lang w:bidi="ar-DZ"/>
        </w:rPr>
        <w:tab/>
      </w:r>
      <w:r w:rsidR="005346C6">
        <w:rPr>
          <w:rFonts w:hint="cs"/>
          <w:rtl/>
        </w:rPr>
        <w:t>347</w:t>
      </w:r>
    </w:p>
    <w:p w:rsidR="001C3F19" w:rsidRDefault="001C3F19" w:rsidP="007E1439">
      <w:pPr>
        <w:pStyle w:val="Index1"/>
        <w:tabs>
          <w:tab w:val="right" w:leader="dot" w:pos="4023"/>
        </w:tabs>
        <w:rPr>
          <w:rtl/>
        </w:rPr>
      </w:pPr>
      <w:r w:rsidRPr="00AC7EA9">
        <w:rPr>
          <w:rFonts w:ascii="Traditional Arabic" w:hAnsi="Traditional Arabic" w:hint="eastAsia"/>
          <w:rtl/>
        </w:rPr>
        <w:t>العصبة</w:t>
      </w:r>
      <w:r>
        <w:rPr>
          <w:rtl/>
          <w:lang w:bidi="ar-DZ"/>
        </w:rPr>
        <w:tab/>
      </w:r>
      <w:r w:rsidR="007E1439">
        <w:rPr>
          <w:rFonts w:hint="cs"/>
          <w:rtl/>
        </w:rPr>
        <w:t>350</w:t>
      </w:r>
    </w:p>
    <w:p w:rsidR="001C3F19" w:rsidRDefault="001C3F19" w:rsidP="007E1439">
      <w:pPr>
        <w:pStyle w:val="Index1"/>
        <w:tabs>
          <w:tab w:val="right" w:leader="dot" w:pos="4023"/>
        </w:tabs>
        <w:rPr>
          <w:rtl/>
        </w:rPr>
      </w:pPr>
      <w:r w:rsidRPr="00AC7EA9">
        <w:rPr>
          <w:rFonts w:hint="eastAsia"/>
          <w:bCs/>
          <w:rtl/>
        </w:rPr>
        <w:t>العصمة</w:t>
      </w:r>
      <w:r w:rsidR="007E1439">
        <w:rPr>
          <w:rFonts w:hint="cs"/>
          <w:bCs/>
          <w:rtl/>
        </w:rPr>
        <w:t>...........................316</w:t>
      </w:r>
      <w:r w:rsidR="009F1735">
        <w:rPr>
          <w:rFonts w:hint="cs"/>
          <w:bCs/>
          <w:rtl/>
        </w:rPr>
        <w:t xml:space="preserve"> </w:t>
      </w:r>
      <w:r w:rsidR="002E5C43">
        <w:rPr>
          <w:rFonts w:hint="cs"/>
          <w:bCs/>
          <w:rtl/>
        </w:rPr>
        <w:t xml:space="preserve">العصمة </w:t>
      </w:r>
      <w:r w:rsidRPr="00AC7EA9">
        <w:rPr>
          <w:rFonts w:hint="eastAsia"/>
          <w:bCs/>
          <w:rtl/>
        </w:rPr>
        <w:t>المُؤَثِّمة</w:t>
      </w:r>
      <w:r w:rsidR="002E5C43">
        <w:rPr>
          <w:rFonts w:hint="cs"/>
          <w:rtl/>
        </w:rPr>
        <w:t>......</w:t>
      </w:r>
      <w:r w:rsidR="007E1439">
        <w:rPr>
          <w:rFonts w:hint="cs"/>
          <w:rtl/>
        </w:rPr>
        <w:t>..............316</w:t>
      </w:r>
    </w:p>
    <w:p w:rsidR="002E5C43" w:rsidRPr="002E5C43" w:rsidRDefault="002E5C43" w:rsidP="002E5C43">
      <w:pPr>
        <w:ind w:firstLine="0"/>
        <w:rPr>
          <w:rtl/>
        </w:rPr>
      </w:pPr>
      <w:r>
        <w:rPr>
          <w:rFonts w:hint="cs"/>
          <w:rtl/>
        </w:rPr>
        <w:t>العصمة المقوِّمة......................316</w:t>
      </w:r>
    </w:p>
    <w:p w:rsidR="001C3F19" w:rsidRDefault="001C3F19">
      <w:pPr>
        <w:pStyle w:val="Index1"/>
        <w:tabs>
          <w:tab w:val="right" w:leader="dot" w:pos="4023"/>
        </w:tabs>
        <w:rPr>
          <w:rtl/>
        </w:rPr>
      </w:pPr>
      <w:r>
        <w:rPr>
          <w:rFonts w:hint="eastAsia"/>
          <w:rtl/>
        </w:rPr>
        <w:t>العقد</w:t>
      </w:r>
      <w:r>
        <w:rPr>
          <w:rtl/>
          <w:lang w:bidi="ar-DZ"/>
        </w:rPr>
        <w:tab/>
      </w:r>
      <w:r w:rsidR="003966B8">
        <w:rPr>
          <w:rFonts w:hint="cs"/>
          <w:rtl/>
          <w:lang w:bidi="ar-DZ"/>
        </w:rPr>
        <w:t>296</w:t>
      </w:r>
    </w:p>
    <w:p w:rsidR="00590407" w:rsidRPr="00590407" w:rsidRDefault="00590407" w:rsidP="00C33E18">
      <w:pPr>
        <w:pStyle w:val="Index1"/>
        <w:tabs>
          <w:tab w:val="right" w:leader="dot" w:pos="4023"/>
        </w:tabs>
        <w:rPr>
          <w:rtl/>
        </w:rPr>
      </w:pPr>
      <w:r w:rsidRPr="00AC7EA9">
        <w:rPr>
          <w:rFonts w:ascii="Traditional Arabic" w:hAnsi="Traditional Arabic" w:hint="eastAsia"/>
          <w:rtl/>
        </w:rPr>
        <w:t>عقود</w:t>
      </w:r>
      <w:r>
        <w:rPr>
          <w:rFonts w:ascii="Traditional Arabic" w:hAnsi="Traditional Arabic" w:hint="cs"/>
          <w:rtl/>
        </w:rPr>
        <w:t xml:space="preserve"> </w:t>
      </w:r>
      <w:r w:rsidRPr="00AC7EA9">
        <w:rPr>
          <w:rFonts w:ascii="Traditional Arabic" w:hAnsi="Traditional Arabic" w:hint="eastAsia"/>
          <w:rtl/>
        </w:rPr>
        <w:t>الإرفاق</w:t>
      </w:r>
      <w:r>
        <w:rPr>
          <w:rtl/>
          <w:lang w:bidi="ar-DZ"/>
        </w:rPr>
        <w:tab/>
      </w:r>
      <w:r w:rsidR="00C33E18">
        <w:rPr>
          <w:rFonts w:hint="cs"/>
          <w:rtl/>
          <w:lang w:bidi="ar-DZ"/>
        </w:rPr>
        <w:t>381</w:t>
      </w:r>
    </w:p>
    <w:p w:rsidR="00590407" w:rsidRPr="00590407" w:rsidRDefault="00590407" w:rsidP="00D53F55">
      <w:pPr>
        <w:pStyle w:val="Index1"/>
        <w:tabs>
          <w:tab w:val="right" w:leader="dot" w:pos="4023"/>
        </w:tabs>
        <w:rPr>
          <w:rtl/>
        </w:rPr>
      </w:pPr>
      <w:r w:rsidRPr="00AC7EA9">
        <w:rPr>
          <w:rFonts w:ascii="Traditional Arabic" w:hAnsi="Traditional Arabic" w:hint="eastAsia"/>
          <w:rtl/>
        </w:rPr>
        <w:t>عقود</w:t>
      </w:r>
      <w:r>
        <w:rPr>
          <w:rFonts w:ascii="Traditional Arabic" w:hAnsi="Traditional Arabic" w:hint="cs"/>
          <w:rtl/>
        </w:rPr>
        <w:t xml:space="preserve"> </w:t>
      </w:r>
      <w:r w:rsidRPr="00AC7EA9">
        <w:rPr>
          <w:rFonts w:ascii="Traditional Arabic" w:hAnsi="Traditional Arabic" w:hint="eastAsia"/>
          <w:rtl/>
        </w:rPr>
        <w:t>التبرُّعات</w:t>
      </w:r>
      <w:r>
        <w:rPr>
          <w:rtl/>
          <w:lang w:bidi="ar-DZ"/>
        </w:rPr>
        <w:tab/>
      </w:r>
      <w:r w:rsidR="00D53F55">
        <w:rPr>
          <w:rFonts w:hint="cs"/>
          <w:rtl/>
        </w:rPr>
        <w:t>376</w:t>
      </w:r>
    </w:p>
    <w:p w:rsidR="001C3F19" w:rsidRDefault="001C3F19" w:rsidP="00D53F55">
      <w:pPr>
        <w:pStyle w:val="Index1"/>
        <w:tabs>
          <w:tab w:val="right" w:leader="dot" w:pos="4023"/>
        </w:tabs>
        <w:rPr>
          <w:rtl/>
        </w:rPr>
      </w:pPr>
      <w:r w:rsidRPr="00AC7EA9">
        <w:rPr>
          <w:rFonts w:hint="eastAsia"/>
          <w:bCs/>
          <w:rtl/>
        </w:rPr>
        <w:t>العقود</w:t>
      </w:r>
      <w:r w:rsidR="009F1735">
        <w:rPr>
          <w:rFonts w:hint="cs"/>
          <w:bCs/>
          <w:rtl/>
        </w:rPr>
        <w:t xml:space="preserve"> </w:t>
      </w:r>
      <w:r w:rsidRPr="00AC7EA9">
        <w:rPr>
          <w:rFonts w:hint="eastAsia"/>
          <w:bCs/>
          <w:rtl/>
        </w:rPr>
        <w:t>الجائزة</w:t>
      </w:r>
      <w:r>
        <w:rPr>
          <w:rtl/>
          <w:lang w:bidi="ar-DZ"/>
        </w:rPr>
        <w:tab/>
      </w:r>
      <w:r w:rsidR="00D53F55">
        <w:rPr>
          <w:rFonts w:hint="cs"/>
          <w:rtl/>
          <w:lang w:bidi="ar-DZ"/>
        </w:rPr>
        <w:t>263</w:t>
      </w:r>
    </w:p>
    <w:p w:rsidR="001C3F19" w:rsidRDefault="001C3F19" w:rsidP="00D53F55">
      <w:pPr>
        <w:pStyle w:val="Index1"/>
        <w:tabs>
          <w:tab w:val="right" w:leader="dot" w:pos="4023"/>
        </w:tabs>
        <w:rPr>
          <w:rtl/>
        </w:rPr>
      </w:pPr>
      <w:r>
        <w:rPr>
          <w:rFonts w:hint="eastAsia"/>
          <w:rtl/>
        </w:rPr>
        <w:t>العقود</w:t>
      </w:r>
      <w:r w:rsidR="009F1735">
        <w:rPr>
          <w:rFonts w:hint="cs"/>
          <w:rtl/>
        </w:rPr>
        <w:t xml:space="preserve"> </w:t>
      </w:r>
      <w:r>
        <w:rPr>
          <w:rFonts w:hint="eastAsia"/>
          <w:rtl/>
        </w:rPr>
        <w:t>اللازمة</w:t>
      </w:r>
      <w:r>
        <w:rPr>
          <w:rtl/>
          <w:lang w:bidi="ar-DZ"/>
        </w:rPr>
        <w:tab/>
      </w:r>
      <w:r w:rsidR="00D53F55">
        <w:rPr>
          <w:rFonts w:hint="cs"/>
          <w:rtl/>
        </w:rPr>
        <w:t>263</w:t>
      </w:r>
    </w:p>
    <w:p w:rsidR="00590407" w:rsidRPr="00590407" w:rsidRDefault="00590407" w:rsidP="00D53F55">
      <w:pPr>
        <w:pStyle w:val="Index1"/>
        <w:tabs>
          <w:tab w:val="right" w:leader="dot" w:pos="4023"/>
        </w:tabs>
        <w:rPr>
          <w:rtl/>
        </w:rPr>
      </w:pPr>
      <w:r w:rsidRPr="00AC7EA9">
        <w:rPr>
          <w:rFonts w:ascii="Traditional Arabic" w:hAnsi="Traditional Arabic" w:hint="eastAsia"/>
          <w:rtl/>
        </w:rPr>
        <w:t>عقود</w:t>
      </w:r>
      <w:r>
        <w:rPr>
          <w:rFonts w:ascii="Traditional Arabic" w:hAnsi="Traditional Arabic" w:hint="cs"/>
          <w:rtl/>
        </w:rPr>
        <w:t xml:space="preserve"> </w:t>
      </w:r>
      <w:r w:rsidRPr="00AC7EA9">
        <w:rPr>
          <w:rFonts w:ascii="Traditional Arabic" w:hAnsi="Traditional Arabic" w:hint="eastAsia"/>
          <w:rtl/>
        </w:rPr>
        <w:t>المُعاوَضات</w:t>
      </w:r>
      <w:r>
        <w:rPr>
          <w:rtl/>
          <w:lang w:bidi="ar-DZ"/>
        </w:rPr>
        <w:tab/>
      </w:r>
      <w:r w:rsidR="00D53F55">
        <w:rPr>
          <w:rFonts w:hint="cs"/>
          <w:rtl/>
        </w:rPr>
        <w:t>376</w:t>
      </w:r>
    </w:p>
    <w:p w:rsidR="001C3F19" w:rsidRDefault="001C3F19" w:rsidP="00D53F55">
      <w:pPr>
        <w:pStyle w:val="Index1"/>
        <w:tabs>
          <w:tab w:val="right" w:leader="dot" w:pos="4023"/>
        </w:tabs>
        <w:rPr>
          <w:rtl/>
        </w:rPr>
      </w:pPr>
      <w:r w:rsidRPr="00AC7EA9">
        <w:rPr>
          <w:rFonts w:hint="eastAsia"/>
          <w:bCs/>
          <w:rtl/>
        </w:rPr>
        <w:t>العلة</w:t>
      </w:r>
      <w:r>
        <w:rPr>
          <w:rtl/>
          <w:lang w:bidi="ar-DZ"/>
        </w:rPr>
        <w:tab/>
      </w:r>
      <w:r w:rsidR="00D53F55">
        <w:rPr>
          <w:rFonts w:hint="cs"/>
          <w:rtl/>
        </w:rPr>
        <w:t>386</w:t>
      </w:r>
    </w:p>
    <w:p w:rsidR="001C3F19" w:rsidRDefault="001C3F19" w:rsidP="00D53F55">
      <w:pPr>
        <w:pStyle w:val="Index1"/>
        <w:tabs>
          <w:tab w:val="right" w:leader="dot" w:pos="4023"/>
        </w:tabs>
        <w:rPr>
          <w:rtl/>
        </w:rPr>
      </w:pPr>
      <w:r w:rsidRPr="00AC7EA9">
        <w:rPr>
          <w:rFonts w:ascii="Traditional Arabic" w:hAnsi="Traditional Arabic" w:hint="eastAsia"/>
          <w:rtl/>
        </w:rPr>
        <w:t>العل</w:t>
      </w:r>
      <w:r w:rsidR="00C2536E">
        <w:rPr>
          <w:rFonts w:ascii="Traditional Arabic" w:hAnsi="Traditional Arabic" w:hint="cs"/>
          <w:rtl/>
        </w:rPr>
        <w:t>َ</w:t>
      </w:r>
      <w:r w:rsidRPr="00AC7EA9">
        <w:rPr>
          <w:rFonts w:ascii="Traditional Arabic" w:hAnsi="Traditional Arabic" w:hint="eastAsia"/>
          <w:rtl/>
        </w:rPr>
        <w:t>ق</w:t>
      </w:r>
      <w:r>
        <w:rPr>
          <w:rtl/>
          <w:lang w:bidi="ar-DZ"/>
        </w:rPr>
        <w:tab/>
      </w:r>
      <w:r w:rsidR="00D53F55">
        <w:rPr>
          <w:rFonts w:hint="cs"/>
          <w:rtl/>
        </w:rPr>
        <w:t>390</w:t>
      </w:r>
    </w:p>
    <w:p w:rsidR="002C0E04" w:rsidRPr="002C0E04" w:rsidRDefault="002C0E04" w:rsidP="002C0E04">
      <w:pPr>
        <w:ind w:firstLine="0"/>
        <w:rPr>
          <w:rtl/>
        </w:rPr>
      </w:pPr>
      <w:r>
        <w:rPr>
          <w:rFonts w:hint="cs"/>
          <w:rtl/>
        </w:rPr>
        <w:t>العنوة..............................502</w:t>
      </w:r>
    </w:p>
    <w:p w:rsidR="001C3F19" w:rsidRDefault="001C3F19">
      <w:pPr>
        <w:pStyle w:val="Index1"/>
        <w:tabs>
          <w:tab w:val="right" w:leader="dot" w:pos="4023"/>
        </w:tabs>
        <w:rPr>
          <w:rtl/>
        </w:rPr>
      </w:pPr>
      <w:r w:rsidRPr="00AC7EA9">
        <w:rPr>
          <w:rFonts w:ascii="Traditional Arabic" w:hAnsi="Traditional Arabic" w:hint="eastAsia"/>
          <w:rtl/>
        </w:rPr>
        <w:t>العوارض</w:t>
      </w:r>
      <w:r w:rsidR="003966B8">
        <w:rPr>
          <w:rtl/>
          <w:lang w:bidi="ar-DZ"/>
        </w:rPr>
        <w:tab/>
      </w:r>
      <w:r w:rsidR="003966B8">
        <w:rPr>
          <w:rFonts w:hint="cs"/>
          <w:rtl/>
        </w:rPr>
        <w:t>499</w:t>
      </w:r>
    </w:p>
    <w:p w:rsidR="00590407" w:rsidRPr="00590407" w:rsidRDefault="00411DD1" w:rsidP="003966B8">
      <w:pPr>
        <w:pStyle w:val="Index1"/>
        <w:tabs>
          <w:tab w:val="right" w:leader="dot" w:pos="4023"/>
        </w:tabs>
        <w:rPr>
          <w:rtl/>
        </w:rPr>
      </w:pPr>
      <w:r w:rsidRPr="00AC7EA9">
        <w:rPr>
          <w:rFonts w:ascii="Traditional Arabic" w:hAnsi="Traditional Arabic" w:hint="eastAsia"/>
          <w:rtl/>
        </w:rPr>
        <w:t>عوارض</w:t>
      </w:r>
      <w:r>
        <w:rPr>
          <w:rFonts w:ascii="Traditional Arabic" w:hAnsi="Traditional Arabic" w:hint="cs"/>
          <w:rtl/>
        </w:rPr>
        <w:t xml:space="preserve"> </w:t>
      </w:r>
      <w:r w:rsidRPr="00AC7EA9">
        <w:rPr>
          <w:rFonts w:ascii="Traditional Arabic" w:hAnsi="Traditional Arabic" w:hint="eastAsia"/>
          <w:rtl/>
        </w:rPr>
        <w:t>الأهلية</w:t>
      </w:r>
      <w:r>
        <w:rPr>
          <w:rtl/>
          <w:lang w:bidi="ar-DZ"/>
        </w:rPr>
        <w:tab/>
      </w:r>
      <w:r w:rsidR="003966B8">
        <w:rPr>
          <w:rFonts w:hint="cs"/>
          <w:rtl/>
        </w:rPr>
        <w:t>499</w:t>
      </w:r>
    </w:p>
    <w:p w:rsidR="001C3F19" w:rsidRDefault="001C3F19" w:rsidP="00D53F55">
      <w:pPr>
        <w:pStyle w:val="Index1"/>
        <w:tabs>
          <w:tab w:val="right" w:leader="dot" w:pos="4023"/>
        </w:tabs>
        <w:rPr>
          <w:rtl/>
        </w:rPr>
      </w:pPr>
      <w:r>
        <w:rPr>
          <w:rFonts w:hint="eastAsia"/>
          <w:rtl/>
        </w:rPr>
        <w:t>العينة</w:t>
      </w:r>
      <w:r>
        <w:rPr>
          <w:rtl/>
          <w:lang w:bidi="ar-DZ"/>
        </w:rPr>
        <w:tab/>
      </w:r>
      <w:r w:rsidR="00D53F55">
        <w:rPr>
          <w:rFonts w:hint="cs"/>
          <w:rtl/>
        </w:rPr>
        <w:t>229</w:t>
      </w:r>
    </w:p>
    <w:p w:rsidR="001C3F19" w:rsidRDefault="001C3F19" w:rsidP="00D53F55">
      <w:pPr>
        <w:pStyle w:val="Index1"/>
        <w:tabs>
          <w:tab w:val="right" w:leader="dot" w:pos="4023"/>
        </w:tabs>
        <w:rPr>
          <w:rtl/>
        </w:rPr>
      </w:pPr>
      <w:r w:rsidRPr="00AC7EA9">
        <w:rPr>
          <w:rFonts w:hint="eastAsia"/>
          <w:b/>
          <w:bCs/>
          <w:rtl/>
        </w:rPr>
        <w:t>الغارم</w:t>
      </w:r>
      <w:r>
        <w:rPr>
          <w:rtl/>
          <w:lang w:bidi="ar-DZ"/>
        </w:rPr>
        <w:tab/>
      </w:r>
      <w:r w:rsidR="00D53F55">
        <w:rPr>
          <w:rFonts w:hint="cs"/>
          <w:rtl/>
        </w:rPr>
        <w:t>412</w:t>
      </w:r>
    </w:p>
    <w:p w:rsidR="001C3F19" w:rsidRDefault="001C3F19" w:rsidP="00D53F55">
      <w:pPr>
        <w:pStyle w:val="Index1"/>
        <w:tabs>
          <w:tab w:val="right" w:leader="dot" w:pos="4023"/>
        </w:tabs>
        <w:rPr>
          <w:rtl/>
        </w:rPr>
      </w:pPr>
      <w:r>
        <w:rPr>
          <w:rFonts w:hint="eastAsia"/>
          <w:rtl/>
        </w:rPr>
        <w:t>الغاصب</w:t>
      </w:r>
      <w:r>
        <w:rPr>
          <w:rtl/>
          <w:lang w:bidi="ar-DZ"/>
        </w:rPr>
        <w:tab/>
      </w:r>
      <w:r w:rsidR="00D53F55">
        <w:rPr>
          <w:rFonts w:hint="cs"/>
          <w:rtl/>
        </w:rPr>
        <w:t>331</w:t>
      </w:r>
    </w:p>
    <w:p w:rsidR="001C3F19" w:rsidRDefault="001C3F19" w:rsidP="005346C6">
      <w:pPr>
        <w:pStyle w:val="Index1"/>
        <w:tabs>
          <w:tab w:val="right" w:leader="dot" w:pos="4023"/>
        </w:tabs>
        <w:rPr>
          <w:rtl/>
        </w:rPr>
      </w:pPr>
      <w:r w:rsidRPr="00AC7EA9">
        <w:rPr>
          <w:rFonts w:ascii="Traditional Arabic" w:hAnsi="Traditional Arabic" w:hint="eastAsia"/>
          <w:rtl/>
          <w:lang w:eastAsia="en-US"/>
        </w:rPr>
        <w:t>الغال</w:t>
      </w:r>
      <w:r>
        <w:rPr>
          <w:rtl/>
          <w:lang w:bidi="ar-DZ"/>
        </w:rPr>
        <w:tab/>
      </w:r>
      <w:r w:rsidR="005346C6">
        <w:rPr>
          <w:rFonts w:hint="cs"/>
          <w:rtl/>
        </w:rPr>
        <w:t>361</w:t>
      </w:r>
    </w:p>
    <w:p w:rsidR="001C3F19" w:rsidRDefault="001C3F19" w:rsidP="00D53F55">
      <w:pPr>
        <w:pStyle w:val="Index1"/>
        <w:tabs>
          <w:tab w:val="right" w:leader="dot" w:pos="4023"/>
        </w:tabs>
        <w:rPr>
          <w:rtl/>
        </w:rPr>
      </w:pPr>
      <w:r w:rsidRPr="00AC7EA9">
        <w:rPr>
          <w:rFonts w:ascii="Traditional Arabic" w:hAnsi="Traditional Arabic" w:hint="eastAsia"/>
          <w:rtl/>
          <w:lang w:eastAsia="en-US"/>
        </w:rPr>
        <w:t>الغالب</w:t>
      </w:r>
      <w:r>
        <w:rPr>
          <w:rtl/>
          <w:lang w:bidi="ar-DZ"/>
        </w:rPr>
        <w:tab/>
      </w:r>
      <w:r w:rsidR="00D53F55">
        <w:rPr>
          <w:rFonts w:hint="cs"/>
          <w:rtl/>
        </w:rPr>
        <w:t>323</w:t>
      </w:r>
    </w:p>
    <w:p w:rsidR="001C3F19" w:rsidRDefault="001C3F19" w:rsidP="00D53F55">
      <w:pPr>
        <w:pStyle w:val="Index1"/>
        <w:tabs>
          <w:tab w:val="right" w:leader="dot" w:pos="4023"/>
        </w:tabs>
        <w:rPr>
          <w:rtl/>
        </w:rPr>
      </w:pPr>
      <w:r w:rsidRPr="00AC7EA9">
        <w:rPr>
          <w:rFonts w:ascii="Traditional Arabic" w:hAnsi="Traditional Arabic" w:hint="eastAsia"/>
          <w:rtl/>
          <w:lang w:eastAsia="en-US"/>
        </w:rPr>
        <w:t>الغَبْن</w:t>
      </w:r>
      <w:r>
        <w:rPr>
          <w:rtl/>
          <w:lang w:bidi="ar-DZ"/>
        </w:rPr>
        <w:tab/>
      </w:r>
      <w:r w:rsidR="00D53F55">
        <w:rPr>
          <w:rFonts w:hint="cs"/>
          <w:rtl/>
        </w:rPr>
        <w:t>102</w:t>
      </w:r>
    </w:p>
    <w:p w:rsidR="00D53F55" w:rsidRPr="00D53F55" w:rsidRDefault="00D53F55" w:rsidP="00D53F55">
      <w:pPr>
        <w:ind w:firstLine="0"/>
        <w:rPr>
          <w:rtl/>
        </w:rPr>
      </w:pPr>
      <w:r>
        <w:rPr>
          <w:rFonts w:hint="cs"/>
          <w:rtl/>
        </w:rPr>
        <w:t>الغترة..............................431</w:t>
      </w:r>
    </w:p>
    <w:p w:rsidR="001C3F19" w:rsidRDefault="001C3F19" w:rsidP="005346C6">
      <w:pPr>
        <w:pStyle w:val="Index1"/>
        <w:tabs>
          <w:tab w:val="right" w:leader="dot" w:pos="4023"/>
        </w:tabs>
        <w:rPr>
          <w:rtl/>
        </w:rPr>
      </w:pPr>
      <w:r w:rsidRPr="00AC7EA9">
        <w:rPr>
          <w:rFonts w:ascii="Traditional Arabic" w:hAnsi="Traditional Arabic" w:hint="eastAsia"/>
          <w:rtl/>
        </w:rPr>
        <w:t>الغِرّ</w:t>
      </w:r>
      <w:r>
        <w:rPr>
          <w:rtl/>
          <w:lang w:bidi="ar-DZ"/>
        </w:rPr>
        <w:tab/>
      </w:r>
      <w:r w:rsidR="005346C6">
        <w:rPr>
          <w:rFonts w:hint="cs"/>
          <w:rtl/>
        </w:rPr>
        <w:t>364</w:t>
      </w:r>
    </w:p>
    <w:p w:rsidR="001C3F19" w:rsidRDefault="001C3F19" w:rsidP="00D53F55">
      <w:pPr>
        <w:pStyle w:val="Index1"/>
        <w:tabs>
          <w:tab w:val="right" w:leader="dot" w:pos="4023"/>
        </w:tabs>
        <w:rPr>
          <w:rtl/>
        </w:rPr>
      </w:pPr>
      <w:r w:rsidRPr="00AC7EA9">
        <w:rPr>
          <w:rFonts w:hint="eastAsia"/>
          <w:b/>
          <w:bCs/>
          <w:rtl/>
        </w:rPr>
        <w:t>الغرر</w:t>
      </w:r>
      <w:r>
        <w:rPr>
          <w:rtl/>
          <w:lang w:bidi="ar-DZ"/>
        </w:rPr>
        <w:tab/>
      </w:r>
      <w:r w:rsidR="00D53F55">
        <w:rPr>
          <w:rFonts w:hint="cs"/>
          <w:rtl/>
        </w:rPr>
        <w:t>460-461</w:t>
      </w:r>
    </w:p>
    <w:p w:rsidR="001C3F19" w:rsidRDefault="001C3F19" w:rsidP="00F202CA">
      <w:pPr>
        <w:pStyle w:val="Index1"/>
        <w:tabs>
          <w:tab w:val="right" w:leader="dot" w:pos="4023"/>
        </w:tabs>
        <w:rPr>
          <w:rtl/>
        </w:rPr>
      </w:pPr>
      <w:r w:rsidRPr="00AC7EA9">
        <w:rPr>
          <w:rFonts w:hint="eastAsia"/>
          <w:b/>
          <w:bCs/>
          <w:rtl/>
        </w:rPr>
        <w:lastRenderedPageBreak/>
        <w:t>الغرض</w:t>
      </w:r>
      <w:r>
        <w:rPr>
          <w:rtl/>
          <w:lang w:bidi="ar-DZ"/>
        </w:rPr>
        <w:tab/>
      </w:r>
      <w:r w:rsidR="00F202CA">
        <w:rPr>
          <w:rFonts w:hint="cs"/>
          <w:rtl/>
        </w:rPr>
        <w:t>516</w:t>
      </w:r>
    </w:p>
    <w:p w:rsidR="001C3F19" w:rsidRDefault="001C3F19" w:rsidP="00D53F55">
      <w:pPr>
        <w:pStyle w:val="Index1"/>
        <w:tabs>
          <w:tab w:val="right" w:leader="dot" w:pos="4023"/>
        </w:tabs>
        <w:rPr>
          <w:rtl/>
        </w:rPr>
      </w:pPr>
      <w:r w:rsidRPr="00AC7EA9">
        <w:rPr>
          <w:rFonts w:ascii="Traditional Arabic" w:hAnsi="Traditional Arabic" w:hint="eastAsia"/>
          <w:rtl/>
        </w:rPr>
        <w:t>الغرماء</w:t>
      </w:r>
      <w:r>
        <w:rPr>
          <w:rtl/>
          <w:lang w:bidi="ar-DZ"/>
        </w:rPr>
        <w:tab/>
      </w:r>
      <w:r w:rsidR="00D53F55">
        <w:rPr>
          <w:rFonts w:hint="cs"/>
          <w:rtl/>
        </w:rPr>
        <w:t>488</w:t>
      </w:r>
    </w:p>
    <w:p w:rsidR="001C3F19" w:rsidRDefault="001C3F19" w:rsidP="005A21A8">
      <w:pPr>
        <w:pStyle w:val="Index1"/>
        <w:tabs>
          <w:tab w:val="right" w:leader="dot" w:pos="4023"/>
        </w:tabs>
        <w:rPr>
          <w:rtl/>
        </w:rPr>
      </w:pPr>
      <w:r w:rsidRPr="00AC7EA9">
        <w:rPr>
          <w:rFonts w:ascii="Traditional Arabic" w:hAnsi="Traditional Arabic" w:hint="eastAsia"/>
          <w:rtl/>
        </w:rPr>
        <w:t>الغرور</w:t>
      </w:r>
      <w:r>
        <w:rPr>
          <w:rtl/>
          <w:lang w:bidi="ar-DZ"/>
        </w:rPr>
        <w:tab/>
      </w:r>
      <w:r w:rsidR="005A21A8">
        <w:rPr>
          <w:rFonts w:hint="cs"/>
          <w:rtl/>
        </w:rPr>
        <w:t>336</w:t>
      </w:r>
    </w:p>
    <w:p w:rsidR="001C3F19" w:rsidRDefault="001C3F19" w:rsidP="005346C6">
      <w:pPr>
        <w:pStyle w:val="Index1"/>
        <w:tabs>
          <w:tab w:val="right" w:leader="dot" w:pos="4023"/>
        </w:tabs>
        <w:rPr>
          <w:rtl/>
        </w:rPr>
      </w:pPr>
      <w:r w:rsidRPr="00AC7EA9">
        <w:rPr>
          <w:rFonts w:ascii="Traditional Arabic" w:hAnsi="Traditional Arabic" w:hint="eastAsia"/>
          <w:rtl/>
        </w:rPr>
        <w:t>الغرير</w:t>
      </w:r>
      <w:r>
        <w:rPr>
          <w:rtl/>
          <w:lang w:bidi="ar-DZ"/>
        </w:rPr>
        <w:tab/>
      </w:r>
      <w:r w:rsidR="005346C6">
        <w:rPr>
          <w:rFonts w:hint="cs"/>
          <w:rtl/>
        </w:rPr>
        <w:t>364</w:t>
      </w:r>
    </w:p>
    <w:p w:rsidR="001C3F19" w:rsidRDefault="001C3F19" w:rsidP="00D53F55">
      <w:pPr>
        <w:pStyle w:val="Index1"/>
        <w:tabs>
          <w:tab w:val="right" w:leader="dot" w:pos="4023"/>
        </w:tabs>
        <w:rPr>
          <w:rtl/>
        </w:rPr>
      </w:pPr>
      <w:r w:rsidRPr="00AC7EA9">
        <w:rPr>
          <w:rFonts w:hint="eastAsia"/>
          <w:b/>
          <w:bCs/>
          <w:rtl/>
        </w:rPr>
        <w:t>الفاسد</w:t>
      </w:r>
      <w:r>
        <w:rPr>
          <w:rtl/>
          <w:lang w:bidi="ar-DZ"/>
        </w:rPr>
        <w:tab/>
      </w:r>
      <w:r w:rsidR="00D53F55">
        <w:rPr>
          <w:rFonts w:hint="cs"/>
          <w:rtl/>
        </w:rPr>
        <w:t>370</w:t>
      </w:r>
    </w:p>
    <w:p w:rsidR="001C3F19" w:rsidRDefault="001C3F19" w:rsidP="007E1439">
      <w:pPr>
        <w:pStyle w:val="Index1"/>
        <w:tabs>
          <w:tab w:val="right" w:leader="dot" w:pos="4023"/>
        </w:tabs>
        <w:rPr>
          <w:rtl/>
        </w:rPr>
      </w:pPr>
      <w:r>
        <w:rPr>
          <w:rFonts w:hint="eastAsia"/>
          <w:rtl/>
        </w:rPr>
        <w:t>الفحل</w:t>
      </w:r>
      <w:r>
        <w:rPr>
          <w:rtl/>
          <w:lang w:bidi="ar-DZ"/>
        </w:rPr>
        <w:tab/>
      </w:r>
      <w:r w:rsidR="007E1439">
        <w:rPr>
          <w:rFonts w:hint="cs"/>
          <w:rtl/>
        </w:rPr>
        <w:t>206</w:t>
      </w:r>
    </w:p>
    <w:p w:rsidR="001C3F19" w:rsidRDefault="001C3F19" w:rsidP="005346C6">
      <w:pPr>
        <w:pStyle w:val="Index1"/>
        <w:tabs>
          <w:tab w:val="right" w:leader="dot" w:pos="4023"/>
        </w:tabs>
        <w:rPr>
          <w:rtl/>
        </w:rPr>
      </w:pPr>
      <w:r w:rsidRPr="00AC7EA9">
        <w:rPr>
          <w:rFonts w:hint="eastAsia"/>
          <w:b/>
          <w:bCs/>
          <w:rtl/>
        </w:rPr>
        <w:t>الفسخ</w:t>
      </w:r>
      <w:r>
        <w:rPr>
          <w:rtl/>
          <w:lang w:bidi="ar-DZ"/>
        </w:rPr>
        <w:tab/>
      </w:r>
      <w:r w:rsidR="005346C6">
        <w:rPr>
          <w:rFonts w:hint="cs"/>
          <w:rtl/>
        </w:rPr>
        <w:t>347</w:t>
      </w:r>
    </w:p>
    <w:p w:rsidR="001C3F19" w:rsidRDefault="001C3F19">
      <w:pPr>
        <w:pStyle w:val="Index1"/>
        <w:tabs>
          <w:tab w:val="right" w:leader="dot" w:pos="4023"/>
        </w:tabs>
        <w:rPr>
          <w:rtl/>
          <w:lang w:bidi="ar-DZ"/>
        </w:rPr>
      </w:pPr>
      <w:r w:rsidRPr="00AC7EA9">
        <w:rPr>
          <w:rFonts w:ascii="Traditional Arabic" w:hAnsi="Traditional Arabic" w:hint="eastAsia"/>
          <w:rtl/>
        </w:rPr>
        <w:t>الفسيل</w:t>
      </w:r>
      <w:r>
        <w:rPr>
          <w:rtl/>
          <w:lang w:bidi="ar-DZ"/>
        </w:rPr>
        <w:tab/>
        <w:t>403</w:t>
      </w:r>
    </w:p>
    <w:p w:rsidR="00D53F55" w:rsidRPr="00D53F55" w:rsidRDefault="00D53F55" w:rsidP="00D53F55">
      <w:pPr>
        <w:ind w:firstLine="0"/>
        <w:rPr>
          <w:rtl/>
        </w:rPr>
      </w:pPr>
      <w:r>
        <w:rPr>
          <w:rFonts w:hint="cs"/>
          <w:rtl/>
          <w:lang w:bidi="ar-DZ"/>
        </w:rPr>
        <w:t>الفضولي............................102</w:t>
      </w:r>
    </w:p>
    <w:p w:rsidR="001C3F19" w:rsidRDefault="001C3F19" w:rsidP="005A21A8">
      <w:pPr>
        <w:pStyle w:val="Index1"/>
        <w:tabs>
          <w:tab w:val="right" w:leader="dot" w:pos="4023"/>
        </w:tabs>
        <w:rPr>
          <w:rtl/>
        </w:rPr>
      </w:pPr>
      <w:r w:rsidRPr="00AC7EA9">
        <w:rPr>
          <w:rFonts w:hint="eastAsia"/>
          <w:bCs/>
          <w:rtl/>
        </w:rPr>
        <w:t>الفقه</w:t>
      </w:r>
      <w:r>
        <w:rPr>
          <w:rtl/>
          <w:lang w:bidi="ar-DZ"/>
        </w:rPr>
        <w:tab/>
      </w:r>
      <w:r w:rsidR="005A21A8">
        <w:rPr>
          <w:rFonts w:hint="cs"/>
          <w:rtl/>
        </w:rPr>
        <w:t>63</w:t>
      </w:r>
    </w:p>
    <w:p w:rsidR="001C3F19" w:rsidRDefault="001C3F19" w:rsidP="005A21A8">
      <w:pPr>
        <w:pStyle w:val="Index1"/>
        <w:tabs>
          <w:tab w:val="right" w:leader="dot" w:pos="4023"/>
        </w:tabs>
        <w:rPr>
          <w:rtl/>
        </w:rPr>
      </w:pPr>
      <w:r w:rsidRPr="00AC7EA9">
        <w:rPr>
          <w:rFonts w:hint="eastAsia"/>
          <w:bCs/>
          <w:rtl/>
        </w:rPr>
        <w:t>القاعدة</w:t>
      </w:r>
      <w:r>
        <w:rPr>
          <w:rtl/>
          <w:lang w:bidi="ar-DZ"/>
        </w:rPr>
        <w:tab/>
      </w:r>
      <w:r w:rsidR="005A21A8">
        <w:rPr>
          <w:rFonts w:hint="cs"/>
          <w:rtl/>
        </w:rPr>
        <w:t>62-63</w:t>
      </w:r>
    </w:p>
    <w:p w:rsidR="005A21A8" w:rsidRPr="005A21A8" w:rsidRDefault="005A21A8" w:rsidP="005A21A8">
      <w:pPr>
        <w:ind w:firstLine="0"/>
        <w:rPr>
          <w:rtl/>
        </w:rPr>
      </w:pPr>
      <w:r>
        <w:rPr>
          <w:rFonts w:hint="cs"/>
          <w:rtl/>
        </w:rPr>
        <w:t>القاعدة الأصولية.....................72</w:t>
      </w:r>
    </w:p>
    <w:p w:rsidR="001C3F19" w:rsidRDefault="001C3F19" w:rsidP="005A21A8">
      <w:pPr>
        <w:pStyle w:val="Index1"/>
        <w:tabs>
          <w:tab w:val="right" w:leader="dot" w:pos="4023"/>
        </w:tabs>
        <w:rPr>
          <w:rtl/>
        </w:rPr>
      </w:pPr>
      <w:r w:rsidRPr="00AC7EA9">
        <w:rPr>
          <w:rFonts w:ascii="Traditional Arabic" w:hAnsi="Traditional Arabic" w:hint="eastAsia"/>
          <w:rtl/>
        </w:rPr>
        <w:t>القاعدة</w:t>
      </w:r>
      <w:r w:rsidR="00C2536E">
        <w:rPr>
          <w:rFonts w:ascii="Traditional Arabic" w:hAnsi="Traditional Arabic" w:hint="cs"/>
          <w:rtl/>
        </w:rPr>
        <w:t xml:space="preserve"> </w:t>
      </w:r>
      <w:r w:rsidRPr="00AC7EA9">
        <w:rPr>
          <w:rFonts w:ascii="Traditional Arabic" w:hAnsi="Traditional Arabic" w:hint="eastAsia"/>
          <w:rtl/>
        </w:rPr>
        <w:t>الفقهية</w:t>
      </w:r>
      <w:r>
        <w:rPr>
          <w:rtl/>
          <w:lang w:bidi="ar-DZ"/>
        </w:rPr>
        <w:tab/>
      </w:r>
      <w:r w:rsidR="005A21A8">
        <w:rPr>
          <w:rFonts w:hint="cs"/>
          <w:rtl/>
        </w:rPr>
        <w:t>65</w:t>
      </w:r>
    </w:p>
    <w:p w:rsidR="001C3F19" w:rsidRDefault="001C3F19" w:rsidP="00D53F55">
      <w:pPr>
        <w:pStyle w:val="Index1"/>
        <w:tabs>
          <w:tab w:val="right" w:leader="dot" w:pos="4023"/>
        </w:tabs>
        <w:rPr>
          <w:rtl/>
        </w:rPr>
      </w:pPr>
      <w:r w:rsidRPr="00AC7EA9">
        <w:rPr>
          <w:rFonts w:ascii="Traditional Arabic" w:hAnsi="Traditional Arabic" w:hint="eastAsia"/>
          <w:rtl/>
        </w:rPr>
        <w:t>القرائن</w:t>
      </w:r>
      <w:r>
        <w:rPr>
          <w:rtl/>
          <w:lang w:bidi="ar-DZ"/>
        </w:rPr>
        <w:tab/>
      </w:r>
      <w:r w:rsidR="00D53F55">
        <w:rPr>
          <w:rFonts w:hint="cs"/>
          <w:rtl/>
        </w:rPr>
        <w:t>431</w:t>
      </w:r>
    </w:p>
    <w:p w:rsidR="001C3F19" w:rsidRDefault="001C3F19" w:rsidP="00F202CA">
      <w:pPr>
        <w:pStyle w:val="Index1"/>
        <w:tabs>
          <w:tab w:val="right" w:leader="dot" w:pos="4023"/>
        </w:tabs>
        <w:rPr>
          <w:rtl/>
        </w:rPr>
      </w:pPr>
      <w:r w:rsidRPr="00AC7EA9">
        <w:rPr>
          <w:rFonts w:hint="eastAsia"/>
          <w:b/>
          <w:bCs/>
          <w:rtl/>
        </w:rPr>
        <w:t>القُرْبة</w:t>
      </w:r>
      <w:r>
        <w:rPr>
          <w:rtl/>
          <w:lang w:bidi="ar-DZ"/>
        </w:rPr>
        <w:tab/>
      </w:r>
      <w:r w:rsidR="00F202CA">
        <w:rPr>
          <w:rFonts w:hint="cs"/>
          <w:rtl/>
        </w:rPr>
        <w:t>567</w:t>
      </w:r>
    </w:p>
    <w:p w:rsidR="001C3F19" w:rsidRDefault="001C3F19" w:rsidP="0058316B">
      <w:pPr>
        <w:pStyle w:val="Index1"/>
        <w:tabs>
          <w:tab w:val="right" w:leader="dot" w:pos="4023"/>
        </w:tabs>
        <w:rPr>
          <w:rtl/>
        </w:rPr>
      </w:pPr>
      <w:r>
        <w:rPr>
          <w:rFonts w:hint="eastAsia"/>
          <w:rtl/>
        </w:rPr>
        <w:t>القرض</w:t>
      </w:r>
      <w:r>
        <w:rPr>
          <w:rtl/>
          <w:lang w:bidi="ar-DZ"/>
        </w:rPr>
        <w:tab/>
      </w:r>
      <w:r w:rsidR="0058316B">
        <w:rPr>
          <w:rFonts w:hint="cs"/>
          <w:rtl/>
          <w:lang w:bidi="ar-DZ"/>
        </w:rPr>
        <w:t>205</w:t>
      </w:r>
    </w:p>
    <w:p w:rsidR="001C3F19" w:rsidRDefault="001C3F19" w:rsidP="0058316B">
      <w:pPr>
        <w:pStyle w:val="Index1"/>
        <w:tabs>
          <w:tab w:val="right" w:leader="dot" w:pos="4023"/>
        </w:tabs>
        <w:rPr>
          <w:rtl/>
        </w:rPr>
      </w:pPr>
      <w:r>
        <w:rPr>
          <w:rFonts w:hint="eastAsia"/>
          <w:rtl/>
        </w:rPr>
        <w:t>القُرْعَة</w:t>
      </w:r>
      <w:r>
        <w:rPr>
          <w:rtl/>
          <w:lang w:bidi="ar-DZ"/>
        </w:rPr>
        <w:tab/>
      </w:r>
      <w:r w:rsidR="0058316B">
        <w:rPr>
          <w:rFonts w:hint="cs"/>
          <w:rtl/>
        </w:rPr>
        <w:t>404</w:t>
      </w:r>
    </w:p>
    <w:p w:rsidR="001C3F19" w:rsidRDefault="001C3F19" w:rsidP="0058316B">
      <w:pPr>
        <w:pStyle w:val="Index1"/>
        <w:tabs>
          <w:tab w:val="right" w:leader="dot" w:pos="4023"/>
        </w:tabs>
        <w:rPr>
          <w:rtl/>
        </w:rPr>
      </w:pPr>
      <w:r w:rsidRPr="00AC7EA9">
        <w:rPr>
          <w:rFonts w:hint="eastAsia"/>
          <w:bCs/>
          <w:rtl/>
        </w:rPr>
        <w:t>القَصْد</w:t>
      </w:r>
      <w:r>
        <w:rPr>
          <w:rtl/>
          <w:lang w:bidi="ar-DZ"/>
        </w:rPr>
        <w:tab/>
      </w:r>
      <w:r w:rsidR="0058316B">
        <w:rPr>
          <w:rFonts w:hint="cs"/>
          <w:rtl/>
        </w:rPr>
        <w:t>175، 236</w:t>
      </w:r>
    </w:p>
    <w:p w:rsidR="005A21A8" w:rsidRPr="005A21A8" w:rsidRDefault="005A21A8" w:rsidP="005A21A8">
      <w:pPr>
        <w:ind w:firstLine="0"/>
        <w:rPr>
          <w:rtl/>
        </w:rPr>
      </w:pPr>
      <w:r>
        <w:rPr>
          <w:rFonts w:hint="cs"/>
          <w:rtl/>
          <w:lang w:bidi="ar-DZ"/>
        </w:rPr>
        <w:t>القضية.............................</w:t>
      </w:r>
      <w:r>
        <w:rPr>
          <w:rFonts w:hint="cs"/>
          <w:rtl/>
        </w:rPr>
        <w:t>.63</w:t>
      </w:r>
    </w:p>
    <w:p w:rsidR="001C3F19" w:rsidRDefault="001C3F19" w:rsidP="00024B2B">
      <w:pPr>
        <w:pStyle w:val="Index1"/>
        <w:tabs>
          <w:tab w:val="right" w:leader="dot" w:pos="4023"/>
        </w:tabs>
        <w:rPr>
          <w:rtl/>
        </w:rPr>
      </w:pPr>
      <w:r>
        <w:rPr>
          <w:rFonts w:hint="eastAsia"/>
          <w:rtl/>
        </w:rPr>
        <w:t>القمار</w:t>
      </w:r>
      <w:r>
        <w:rPr>
          <w:rtl/>
          <w:lang w:bidi="ar-DZ"/>
        </w:rPr>
        <w:tab/>
      </w:r>
      <w:r w:rsidR="00024B2B">
        <w:rPr>
          <w:rFonts w:hint="cs"/>
          <w:rtl/>
        </w:rPr>
        <w:t>231</w:t>
      </w:r>
    </w:p>
    <w:p w:rsidR="001C3F19" w:rsidRDefault="001C3F19" w:rsidP="00024B2B">
      <w:pPr>
        <w:pStyle w:val="Index1"/>
        <w:tabs>
          <w:tab w:val="right" w:leader="dot" w:pos="4023"/>
        </w:tabs>
        <w:rPr>
          <w:rtl/>
        </w:rPr>
      </w:pPr>
      <w:r w:rsidRPr="00AC7EA9">
        <w:rPr>
          <w:rFonts w:ascii="Traditional Arabic" w:hAnsi="Traditional Arabic" w:hint="eastAsia"/>
          <w:rtl/>
        </w:rPr>
        <w:t>القياس</w:t>
      </w:r>
      <w:r>
        <w:rPr>
          <w:rtl/>
          <w:lang w:bidi="ar-DZ"/>
        </w:rPr>
        <w:tab/>
      </w:r>
      <w:r w:rsidR="00024B2B">
        <w:rPr>
          <w:rFonts w:hint="cs"/>
          <w:rtl/>
        </w:rPr>
        <w:t>385</w:t>
      </w:r>
    </w:p>
    <w:p w:rsidR="00411DD1" w:rsidRDefault="00411DD1" w:rsidP="007E1439">
      <w:pPr>
        <w:pStyle w:val="Index1"/>
        <w:tabs>
          <w:tab w:val="right" w:leader="dot" w:pos="4023"/>
        </w:tabs>
        <w:rPr>
          <w:rtl/>
        </w:rPr>
      </w:pPr>
      <w:r>
        <w:rPr>
          <w:rFonts w:hint="eastAsia"/>
          <w:rtl/>
        </w:rPr>
        <w:t>قياس</w:t>
      </w:r>
      <w:r>
        <w:rPr>
          <w:rFonts w:hint="cs"/>
          <w:rtl/>
        </w:rPr>
        <w:t xml:space="preserve"> </w:t>
      </w:r>
      <w:r>
        <w:rPr>
          <w:rFonts w:hint="eastAsia"/>
          <w:rtl/>
        </w:rPr>
        <w:t>الأَولى</w:t>
      </w:r>
      <w:r>
        <w:rPr>
          <w:rtl/>
          <w:lang w:bidi="ar-DZ"/>
        </w:rPr>
        <w:tab/>
      </w:r>
      <w:r w:rsidR="007E1439">
        <w:rPr>
          <w:rFonts w:hint="cs"/>
          <w:rtl/>
        </w:rPr>
        <w:t>589</w:t>
      </w:r>
    </w:p>
    <w:p w:rsidR="003966B8" w:rsidRPr="003966B8" w:rsidRDefault="003966B8" w:rsidP="003966B8">
      <w:pPr>
        <w:ind w:firstLine="0"/>
        <w:rPr>
          <w:rtl/>
        </w:rPr>
      </w:pPr>
      <w:r>
        <w:rPr>
          <w:rFonts w:hint="cs"/>
          <w:rtl/>
          <w:lang w:bidi="ar-DZ"/>
        </w:rPr>
        <w:t>القياس على الرخص.................499</w:t>
      </w:r>
    </w:p>
    <w:p w:rsidR="001C3F19" w:rsidRDefault="001C3F19" w:rsidP="005346C6">
      <w:pPr>
        <w:pStyle w:val="Index1"/>
        <w:tabs>
          <w:tab w:val="right" w:leader="dot" w:pos="4023"/>
        </w:tabs>
        <w:rPr>
          <w:rtl/>
        </w:rPr>
      </w:pPr>
      <w:r w:rsidRPr="00AC7EA9">
        <w:rPr>
          <w:rFonts w:ascii="Traditional Arabic" w:hAnsi="Traditional Arabic" w:hint="eastAsia"/>
          <w:rtl/>
        </w:rPr>
        <w:t>الكفالة</w:t>
      </w:r>
      <w:r>
        <w:rPr>
          <w:rtl/>
          <w:lang w:bidi="ar-DZ"/>
        </w:rPr>
        <w:tab/>
      </w:r>
      <w:r w:rsidR="005346C6">
        <w:rPr>
          <w:rFonts w:hint="cs"/>
          <w:rtl/>
        </w:rPr>
        <w:t>55</w:t>
      </w:r>
    </w:p>
    <w:p w:rsidR="001C3F19" w:rsidRDefault="001C3F19" w:rsidP="00024B2B">
      <w:pPr>
        <w:pStyle w:val="Index1"/>
        <w:tabs>
          <w:tab w:val="right" w:leader="dot" w:pos="4023"/>
        </w:tabs>
        <w:rPr>
          <w:rtl/>
        </w:rPr>
      </w:pPr>
      <w:r w:rsidRPr="00AC7EA9">
        <w:rPr>
          <w:rFonts w:ascii="Traditional Arabic" w:hAnsi="Traditional Arabic" w:hint="eastAsia"/>
          <w:rtl/>
          <w:lang w:eastAsia="en-US"/>
        </w:rPr>
        <w:t>الكفيل</w:t>
      </w:r>
      <w:r>
        <w:rPr>
          <w:rtl/>
          <w:lang w:bidi="ar-DZ"/>
        </w:rPr>
        <w:tab/>
      </w:r>
      <w:r w:rsidR="00024B2B">
        <w:rPr>
          <w:rFonts w:hint="cs"/>
          <w:rtl/>
        </w:rPr>
        <w:t>274</w:t>
      </w:r>
    </w:p>
    <w:p w:rsidR="001C3F19" w:rsidRDefault="001C3F19" w:rsidP="005346C6">
      <w:pPr>
        <w:pStyle w:val="Index1"/>
        <w:tabs>
          <w:tab w:val="right" w:leader="dot" w:pos="4023"/>
        </w:tabs>
        <w:rPr>
          <w:rtl/>
        </w:rPr>
      </w:pPr>
      <w:r w:rsidRPr="00AC7EA9">
        <w:rPr>
          <w:rFonts w:ascii="Traditional Arabic" w:hAnsi="Traditional Arabic" w:hint="eastAsia"/>
          <w:rtl/>
          <w:lang w:eastAsia="en-US"/>
        </w:rPr>
        <w:lastRenderedPageBreak/>
        <w:t>الكلب</w:t>
      </w:r>
      <w:r w:rsidR="009F1735">
        <w:rPr>
          <w:rFonts w:ascii="Traditional Arabic" w:hAnsi="Traditional Arabic" w:hint="cs"/>
          <w:rtl/>
          <w:lang w:eastAsia="en-US"/>
        </w:rPr>
        <w:t xml:space="preserve"> </w:t>
      </w:r>
      <w:r w:rsidRPr="00AC7EA9">
        <w:rPr>
          <w:rFonts w:ascii="Traditional Arabic" w:hAnsi="Traditional Arabic" w:hint="eastAsia"/>
          <w:rtl/>
          <w:lang w:eastAsia="en-US"/>
        </w:rPr>
        <w:t>العقور</w:t>
      </w:r>
      <w:r w:rsidR="00411DD1">
        <w:rPr>
          <w:rtl/>
          <w:lang w:bidi="ar-DZ"/>
        </w:rPr>
        <w:tab/>
      </w:r>
      <w:r w:rsidR="005346C6">
        <w:rPr>
          <w:rFonts w:hint="cs"/>
          <w:rtl/>
        </w:rPr>
        <w:t>343</w:t>
      </w:r>
    </w:p>
    <w:p w:rsidR="001C3F19" w:rsidRDefault="001C3F19" w:rsidP="00024B2B">
      <w:pPr>
        <w:pStyle w:val="Index1"/>
        <w:tabs>
          <w:tab w:val="right" w:leader="dot" w:pos="4023"/>
        </w:tabs>
        <w:rPr>
          <w:rtl/>
        </w:rPr>
      </w:pPr>
      <w:r w:rsidRPr="00AC7EA9">
        <w:rPr>
          <w:rFonts w:ascii="Tahoma" w:hAnsi="Tahoma" w:hint="eastAsia"/>
          <w:rtl/>
        </w:rPr>
        <w:t>اللقطة</w:t>
      </w:r>
      <w:r>
        <w:rPr>
          <w:rtl/>
          <w:lang w:bidi="ar-DZ"/>
        </w:rPr>
        <w:tab/>
      </w:r>
      <w:r w:rsidR="00024B2B">
        <w:rPr>
          <w:rFonts w:hint="cs"/>
          <w:rtl/>
        </w:rPr>
        <w:t>286</w:t>
      </w:r>
    </w:p>
    <w:p w:rsidR="001C3F19" w:rsidRDefault="001C3F19" w:rsidP="00024B2B">
      <w:pPr>
        <w:pStyle w:val="Index1"/>
        <w:tabs>
          <w:tab w:val="right" w:leader="dot" w:pos="4023"/>
        </w:tabs>
        <w:rPr>
          <w:rtl/>
        </w:rPr>
      </w:pPr>
      <w:r w:rsidRPr="00AC7EA9">
        <w:rPr>
          <w:rFonts w:ascii="Traditional Arabic" w:hAnsi="Traditional Arabic" w:hint="eastAsia"/>
          <w:rtl/>
        </w:rPr>
        <w:t>اللَّقيط</w:t>
      </w:r>
      <w:r>
        <w:rPr>
          <w:rtl/>
          <w:lang w:bidi="ar-DZ"/>
        </w:rPr>
        <w:tab/>
      </w:r>
      <w:r w:rsidR="00024B2B">
        <w:rPr>
          <w:rFonts w:hint="cs"/>
          <w:rtl/>
        </w:rPr>
        <w:t>222</w:t>
      </w:r>
    </w:p>
    <w:p w:rsidR="001C3F19" w:rsidRDefault="001C3F19" w:rsidP="007E1439">
      <w:pPr>
        <w:pStyle w:val="Index1"/>
        <w:tabs>
          <w:tab w:val="right" w:leader="dot" w:pos="4023"/>
        </w:tabs>
        <w:rPr>
          <w:rtl/>
        </w:rPr>
      </w:pPr>
      <w:r>
        <w:rPr>
          <w:rFonts w:hint="eastAsia"/>
          <w:rtl/>
        </w:rPr>
        <w:t>المال</w:t>
      </w:r>
      <w:r>
        <w:rPr>
          <w:rtl/>
          <w:lang w:bidi="ar-DZ"/>
        </w:rPr>
        <w:tab/>
      </w:r>
      <w:r w:rsidR="007E1439">
        <w:rPr>
          <w:rFonts w:hint="cs"/>
          <w:rtl/>
        </w:rPr>
        <w:t>315</w:t>
      </w:r>
    </w:p>
    <w:p w:rsidR="00411DD1" w:rsidRPr="00411DD1" w:rsidRDefault="00411DD1" w:rsidP="00411DD1">
      <w:pPr>
        <w:pStyle w:val="Index1"/>
        <w:tabs>
          <w:tab w:val="right" w:leader="dot" w:pos="4023"/>
        </w:tabs>
        <w:rPr>
          <w:rtl/>
          <w:lang w:bidi="ar-DZ"/>
        </w:rPr>
      </w:pPr>
      <w:r w:rsidRPr="00AC7EA9">
        <w:rPr>
          <w:rFonts w:ascii="Traditional Arabic" w:hAnsi="Traditional Arabic" w:hint="eastAsia"/>
          <w:rtl/>
          <w:lang w:eastAsia="en-US"/>
        </w:rPr>
        <w:t>ماكَسَ</w:t>
      </w:r>
      <w:r>
        <w:rPr>
          <w:rtl/>
          <w:lang w:bidi="ar-DZ"/>
        </w:rPr>
        <w:tab/>
        <w:t>215</w:t>
      </w:r>
    </w:p>
    <w:p w:rsidR="001C3F19" w:rsidRDefault="001C3F19" w:rsidP="005A21A8">
      <w:pPr>
        <w:pStyle w:val="Index1"/>
        <w:tabs>
          <w:tab w:val="right" w:leader="dot" w:pos="4023"/>
        </w:tabs>
        <w:rPr>
          <w:rtl/>
        </w:rPr>
      </w:pPr>
      <w:r w:rsidRPr="00AC7EA9">
        <w:rPr>
          <w:rFonts w:hint="eastAsia"/>
          <w:b/>
          <w:bCs/>
          <w:rtl/>
        </w:rPr>
        <w:t>المانع</w:t>
      </w:r>
      <w:r>
        <w:rPr>
          <w:rtl/>
          <w:lang w:bidi="ar-DZ"/>
        </w:rPr>
        <w:tab/>
      </w:r>
      <w:r w:rsidR="005A21A8">
        <w:rPr>
          <w:rFonts w:hint="cs"/>
          <w:rtl/>
        </w:rPr>
        <w:t>491</w:t>
      </w:r>
    </w:p>
    <w:p w:rsidR="001C3F19" w:rsidRDefault="001C3F19" w:rsidP="005A21A8">
      <w:pPr>
        <w:pStyle w:val="Index1"/>
        <w:tabs>
          <w:tab w:val="right" w:leader="dot" w:pos="4023"/>
        </w:tabs>
        <w:rPr>
          <w:rtl/>
        </w:rPr>
      </w:pPr>
      <w:r w:rsidRPr="00AC7EA9">
        <w:rPr>
          <w:rFonts w:hint="eastAsia"/>
          <w:bCs/>
          <w:rtl/>
        </w:rPr>
        <w:t>المباشر</w:t>
      </w:r>
      <w:r>
        <w:rPr>
          <w:rtl/>
          <w:lang w:bidi="ar-DZ"/>
        </w:rPr>
        <w:tab/>
      </w:r>
      <w:r w:rsidR="005A21A8">
        <w:rPr>
          <w:rFonts w:hint="cs"/>
          <w:rtl/>
        </w:rPr>
        <w:t>337</w:t>
      </w:r>
    </w:p>
    <w:p w:rsidR="001C3F19" w:rsidRDefault="001C3F19" w:rsidP="005A21A8">
      <w:pPr>
        <w:pStyle w:val="Index1"/>
        <w:tabs>
          <w:tab w:val="right" w:leader="dot" w:pos="4023"/>
        </w:tabs>
        <w:rPr>
          <w:rtl/>
        </w:rPr>
      </w:pPr>
      <w:r>
        <w:rPr>
          <w:rFonts w:hint="eastAsia"/>
          <w:rtl/>
        </w:rPr>
        <w:t>المتسبِّب</w:t>
      </w:r>
      <w:r>
        <w:rPr>
          <w:rtl/>
          <w:lang w:bidi="ar-DZ"/>
        </w:rPr>
        <w:tab/>
      </w:r>
      <w:r w:rsidR="005A21A8">
        <w:rPr>
          <w:rFonts w:hint="cs"/>
          <w:rtl/>
        </w:rPr>
        <w:t>336</w:t>
      </w:r>
    </w:p>
    <w:p w:rsidR="001C3F19" w:rsidRDefault="001C3F19" w:rsidP="00F202CA">
      <w:pPr>
        <w:pStyle w:val="Index1"/>
        <w:tabs>
          <w:tab w:val="right" w:leader="dot" w:pos="4023"/>
        </w:tabs>
        <w:rPr>
          <w:rtl/>
        </w:rPr>
      </w:pPr>
      <w:r w:rsidRPr="00AC7EA9">
        <w:rPr>
          <w:rFonts w:hint="eastAsia"/>
          <w:b/>
          <w:bCs/>
          <w:rtl/>
        </w:rPr>
        <w:t>المُتقوَّم</w:t>
      </w:r>
      <w:r>
        <w:rPr>
          <w:rtl/>
          <w:lang w:bidi="ar-DZ"/>
        </w:rPr>
        <w:tab/>
      </w:r>
      <w:r w:rsidR="00F202CA">
        <w:rPr>
          <w:rFonts w:hint="cs"/>
          <w:rtl/>
        </w:rPr>
        <w:t>545</w:t>
      </w:r>
    </w:p>
    <w:p w:rsidR="001C3F19" w:rsidRDefault="001C3F19" w:rsidP="00D55333">
      <w:pPr>
        <w:pStyle w:val="Index1"/>
        <w:tabs>
          <w:tab w:val="right" w:leader="dot" w:pos="4023"/>
        </w:tabs>
        <w:rPr>
          <w:rtl/>
          <w:lang w:bidi="ar-DZ"/>
        </w:rPr>
      </w:pPr>
      <w:r w:rsidRPr="00AC7EA9">
        <w:rPr>
          <w:rFonts w:ascii="Traditional Arabic" w:hAnsi="Traditional Arabic" w:hint="eastAsia"/>
          <w:rtl/>
          <w:lang w:eastAsia="en-US"/>
        </w:rPr>
        <w:t>المُتَنَمِّصة</w:t>
      </w:r>
      <w:r>
        <w:rPr>
          <w:rtl/>
          <w:lang w:bidi="ar-DZ"/>
        </w:rPr>
        <w:tab/>
      </w:r>
      <w:r w:rsidR="00D55333">
        <w:rPr>
          <w:rFonts w:hint="cs"/>
          <w:rtl/>
        </w:rPr>
        <w:t>391</w:t>
      </w:r>
    </w:p>
    <w:p w:rsidR="00F202CA" w:rsidRPr="00F202CA" w:rsidRDefault="00F202CA" w:rsidP="00F202CA">
      <w:pPr>
        <w:ind w:firstLine="0"/>
        <w:rPr>
          <w:rtl/>
        </w:rPr>
      </w:pPr>
      <w:r>
        <w:rPr>
          <w:rFonts w:hint="cs"/>
          <w:rtl/>
          <w:lang w:bidi="ar-DZ"/>
        </w:rPr>
        <w:t>المثل...............................</w:t>
      </w:r>
      <w:r>
        <w:rPr>
          <w:rFonts w:hint="cs"/>
          <w:rtl/>
        </w:rPr>
        <w:t>543</w:t>
      </w:r>
    </w:p>
    <w:p w:rsidR="001C3F19" w:rsidRDefault="001C3F19" w:rsidP="00F202CA">
      <w:pPr>
        <w:pStyle w:val="Index1"/>
        <w:tabs>
          <w:tab w:val="right" w:leader="dot" w:pos="4023"/>
        </w:tabs>
        <w:rPr>
          <w:rtl/>
        </w:rPr>
      </w:pPr>
      <w:r w:rsidRPr="00AC7EA9">
        <w:rPr>
          <w:rFonts w:hint="eastAsia"/>
          <w:b/>
          <w:bCs/>
          <w:rtl/>
        </w:rPr>
        <w:t>المِثْلِيّ</w:t>
      </w:r>
      <w:r>
        <w:rPr>
          <w:rtl/>
          <w:lang w:bidi="ar-DZ"/>
        </w:rPr>
        <w:tab/>
      </w:r>
      <w:r w:rsidR="00F202CA">
        <w:rPr>
          <w:rFonts w:hint="cs"/>
          <w:rtl/>
        </w:rPr>
        <w:t>543-544</w:t>
      </w:r>
    </w:p>
    <w:p w:rsidR="001C3F19" w:rsidRDefault="001C3F19" w:rsidP="00024B2B">
      <w:pPr>
        <w:pStyle w:val="Index1"/>
        <w:tabs>
          <w:tab w:val="right" w:leader="dot" w:pos="4023"/>
        </w:tabs>
        <w:rPr>
          <w:rtl/>
        </w:rPr>
      </w:pPr>
      <w:r w:rsidRPr="00AC7EA9">
        <w:rPr>
          <w:rFonts w:hint="eastAsia"/>
          <w:b/>
          <w:bCs/>
          <w:rtl/>
        </w:rPr>
        <w:t>المجلِس</w:t>
      </w:r>
      <w:r>
        <w:rPr>
          <w:rtl/>
          <w:lang w:bidi="ar-DZ"/>
        </w:rPr>
        <w:tab/>
      </w:r>
      <w:r w:rsidR="00024B2B">
        <w:rPr>
          <w:rFonts w:hint="cs"/>
          <w:rtl/>
        </w:rPr>
        <w:t>520</w:t>
      </w:r>
    </w:p>
    <w:p w:rsidR="007E1439" w:rsidRDefault="001C3F19" w:rsidP="007E1439">
      <w:pPr>
        <w:pStyle w:val="Index1"/>
        <w:tabs>
          <w:tab w:val="right" w:leader="dot" w:pos="4023"/>
        </w:tabs>
        <w:rPr>
          <w:rtl/>
        </w:rPr>
      </w:pPr>
      <w:r w:rsidRPr="00AC7EA9">
        <w:rPr>
          <w:rFonts w:hint="eastAsia"/>
          <w:bCs/>
          <w:rtl/>
        </w:rPr>
        <w:t>المحترَم</w:t>
      </w:r>
      <w:r>
        <w:rPr>
          <w:rtl/>
          <w:lang w:bidi="ar-DZ"/>
        </w:rPr>
        <w:tab/>
      </w:r>
      <w:r w:rsidR="007E1439">
        <w:rPr>
          <w:rFonts w:hint="cs"/>
          <w:rtl/>
        </w:rPr>
        <w:t>315</w:t>
      </w:r>
    </w:p>
    <w:p w:rsidR="001C3F19" w:rsidRPr="007E1439" w:rsidRDefault="001C3F19" w:rsidP="005A21A8">
      <w:pPr>
        <w:pStyle w:val="Index1"/>
        <w:tabs>
          <w:tab w:val="right" w:leader="dot" w:pos="4023"/>
        </w:tabs>
        <w:rPr>
          <w:rFonts w:ascii="Traditional Arabic" w:hAnsi="Traditional Arabic"/>
          <w:rtl/>
        </w:rPr>
      </w:pPr>
      <w:r w:rsidRPr="00AC7EA9">
        <w:rPr>
          <w:rFonts w:ascii="Traditional Arabic" w:hAnsi="Traditional Arabic" w:hint="eastAsia"/>
          <w:rtl/>
        </w:rPr>
        <w:t>المخاطرة</w:t>
      </w:r>
      <w:r>
        <w:rPr>
          <w:rtl/>
          <w:lang w:bidi="ar-DZ"/>
        </w:rPr>
        <w:tab/>
      </w:r>
      <w:r w:rsidR="005A21A8">
        <w:rPr>
          <w:rFonts w:hint="cs"/>
          <w:rtl/>
        </w:rPr>
        <w:t>441</w:t>
      </w:r>
    </w:p>
    <w:p w:rsidR="001C3F19" w:rsidRDefault="001C3F19" w:rsidP="005A21A8">
      <w:pPr>
        <w:pStyle w:val="Index1"/>
        <w:tabs>
          <w:tab w:val="right" w:leader="dot" w:pos="4023"/>
        </w:tabs>
        <w:rPr>
          <w:rtl/>
        </w:rPr>
      </w:pPr>
      <w:r w:rsidRPr="00AC7EA9">
        <w:rPr>
          <w:rFonts w:ascii="Traditional Arabic" w:hAnsi="Traditional Arabic" w:hint="eastAsia"/>
          <w:rtl/>
        </w:rPr>
        <w:t>المسابقة</w:t>
      </w:r>
      <w:r>
        <w:rPr>
          <w:rtl/>
          <w:lang w:bidi="ar-DZ"/>
        </w:rPr>
        <w:tab/>
      </w:r>
      <w:r w:rsidR="005A21A8">
        <w:rPr>
          <w:rFonts w:hint="cs"/>
          <w:rtl/>
        </w:rPr>
        <w:t>104</w:t>
      </w:r>
    </w:p>
    <w:p w:rsidR="001C3F19" w:rsidRDefault="001C3F19" w:rsidP="00024B2B">
      <w:pPr>
        <w:pStyle w:val="Index1"/>
        <w:tabs>
          <w:tab w:val="right" w:leader="dot" w:pos="4023"/>
        </w:tabs>
        <w:rPr>
          <w:rtl/>
        </w:rPr>
      </w:pPr>
      <w:r w:rsidRPr="00AC7EA9">
        <w:rPr>
          <w:rFonts w:ascii="Traditional Arabic" w:hAnsi="Traditional Arabic" w:hint="eastAsia"/>
          <w:rtl/>
          <w:lang w:eastAsia="en-US"/>
        </w:rPr>
        <w:t>المساقاة</w:t>
      </w:r>
      <w:r>
        <w:rPr>
          <w:rtl/>
          <w:lang w:bidi="ar-DZ"/>
        </w:rPr>
        <w:tab/>
      </w:r>
      <w:r w:rsidR="00024B2B">
        <w:rPr>
          <w:rFonts w:hint="cs"/>
          <w:rtl/>
        </w:rPr>
        <w:t>305</w:t>
      </w:r>
    </w:p>
    <w:p w:rsidR="001C3F19" w:rsidRDefault="001C3F19" w:rsidP="00024B2B">
      <w:pPr>
        <w:pStyle w:val="Index1"/>
        <w:tabs>
          <w:tab w:val="right" w:leader="dot" w:pos="4023"/>
        </w:tabs>
        <w:rPr>
          <w:rtl/>
        </w:rPr>
      </w:pPr>
      <w:r w:rsidRPr="00AC7EA9">
        <w:rPr>
          <w:rFonts w:ascii="Traditional Arabic" w:hAnsi="Traditional Arabic" w:hint="eastAsia"/>
          <w:rtl/>
        </w:rPr>
        <w:t>المسبَّل</w:t>
      </w:r>
      <w:r>
        <w:rPr>
          <w:rtl/>
          <w:lang w:bidi="ar-DZ"/>
        </w:rPr>
        <w:tab/>
      </w:r>
      <w:r w:rsidR="00024B2B">
        <w:rPr>
          <w:rFonts w:hint="cs"/>
          <w:rtl/>
        </w:rPr>
        <w:t>485</w:t>
      </w:r>
    </w:p>
    <w:p w:rsidR="007E1439" w:rsidRDefault="001C3F19" w:rsidP="007E1439">
      <w:pPr>
        <w:pStyle w:val="Index1"/>
        <w:tabs>
          <w:tab w:val="right" w:leader="dot" w:pos="4023"/>
        </w:tabs>
        <w:rPr>
          <w:rtl/>
        </w:rPr>
      </w:pPr>
      <w:r w:rsidRPr="00AC7EA9">
        <w:rPr>
          <w:rFonts w:ascii="Traditional Arabic" w:hAnsi="Traditional Arabic" w:hint="eastAsia"/>
          <w:rtl/>
        </w:rPr>
        <w:t>المستأمَنون</w:t>
      </w:r>
      <w:r>
        <w:rPr>
          <w:rtl/>
          <w:lang w:bidi="ar-DZ"/>
        </w:rPr>
        <w:tab/>
      </w:r>
      <w:r w:rsidR="007E1439">
        <w:rPr>
          <w:rFonts w:hint="cs"/>
          <w:rtl/>
          <w:lang w:bidi="ar-DZ"/>
        </w:rPr>
        <w:t>316</w:t>
      </w:r>
    </w:p>
    <w:p w:rsidR="001C3F19" w:rsidRDefault="001C3F19" w:rsidP="00024B2B">
      <w:pPr>
        <w:pStyle w:val="Index1"/>
        <w:tabs>
          <w:tab w:val="right" w:leader="dot" w:pos="4023"/>
        </w:tabs>
        <w:rPr>
          <w:rtl/>
        </w:rPr>
      </w:pPr>
      <w:r w:rsidRPr="00AC7EA9">
        <w:rPr>
          <w:rFonts w:hint="eastAsia"/>
          <w:b/>
          <w:bCs/>
          <w:rtl/>
        </w:rPr>
        <w:t>المشغول</w:t>
      </w:r>
      <w:r>
        <w:rPr>
          <w:rtl/>
          <w:lang w:bidi="ar-DZ"/>
        </w:rPr>
        <w:tab/>
      </w:r>
      <w:r w:rsidR="00024B2B">
        <w:rPr>
          <w:rFonts w:hint="cs"/>
          <w:rtl/>
        </w:rPr>
        <w:t>486</w:t>
      </w:r>
    </w:p>
    <w:p w:rsidR="001C3F19" w:rsidRDefault="001C3F19" w:rsidP="00B46E10">
      <w:pPr>
        <w:pStyle w:val="Index1"/>
        <w:tabs>
          <w:tab w:val="right" w:leader="dot" w:pos="4023"/>
        </w:tabs>
        <w:rPr>
          <w:rtl/>
        </w:rPr>
      </w:pPr>
      <w:r w:rsidRPr="00AC7EA9">
        <w:rPr>
          <w:rFonts w:hint="eastAsia"/>
          <w:b/>
          <w:bCs/>
          <w:rtl/>
        </w:rPr>
        <w:t>المشقة</w:t>
      </w:r>
      <w:r>
        <w:rPr>
          <w:rtl/>
          <w:lang w:bidi="ar-DZ"/>
        </w:rPr>
        <w:tab/>
      </w:r>
      <w:r w:rsidR="00B46E10">
        <w:rPr>
          <w:rFonts w:hint="cs"/>
          <w:rtl/>
        </w:rPr>
        <w:t>498</w:t>
      </w:r>
    </w:p>
    <w:p w:rsidR="001C3F19" w:rsidRDefault="001C3F19" w:rsidP="00B46E10">
      <w:pPr>
        <w:pStyle w:val="Index1"/>
        <w:tabs>
          <w:tab w:val="right" w:leader="dot" w:pos="4023"/>
        </w:tabs>
        <w:rPr>
          <w:rtl/>
        </w:rPr>
      </w:pPr>
      <w:r w:rsidRPr="00AC7EA9">
        <w:rPr>
          <w:rFonts w:hint="eastAsia"/>
          <w:bCs/>
          <w:rtl/>
        </w:rPr>
        <w:t>المصلحة</w:t>
      </w:r>
      <w:r>
        <w:rPr>
          <w:rtl/>
          <w:lang w:bidi="ar-DZ"/>
        </w:rPr>
        <w:tab/>
      </w:r>
      <w:r w:rsidR="00B46E10">
        <w:rPr>
          <w:rFonts w:hint="cs"/>
          <w:rtl/>
        </w:rPr>
        <w:t>98</w:t>
      </w:r>
    </w:p>
    <w:p w:rsidR="001C3F19" w:rsidRDefault="001C3F19">
      <w:pPr>
        <w:pStyle w:val="Index1"/>
        <w:tabs>
          <w:tab w:val="right" w:leader="dot" w:pos="4023"/>
        </w:tabs>
        <w:rPr>
          <w:rtl/>
          <w:lang w:bidi="ar-DZ"/>
        </w:rPr>
      </w:pPr>
      <w:r w:rsidRPr="00AC7EA9">
        <w:rPr>
          <w:rFonts w:ascii="Traditional Arabic" w:hAnsi="Traditional Arabic" w:hint="eastAsia"/>
          <w:rtl/>
        </w:rPr>
        <w:t>المضاربة</w:t>
      </w:r>
      <w:r>
        <w:rPr>
          <w:rtl/>
          <w:lang w:bidi="ar-DZ"/>
        </w:rPr>
        <w:tab/>
        <w:t>486</w:t>
      </w:r>
    </w:p>
    <w:p w:rsidR="001C3F19" w:rsidRDefault="001C3F19">
      <w:pPr>
        <w:pStyle w:val="Index1"/>
        <w:tabs>
          <w:tab w:val="right" w:leader="dot" w:pos="4023"/>
        </w:tabs>
        <w:rPr>
          <w:rtl/>
          <w:lang w:bidi="ar-DZ"/>
        </w:rPr>
      </w:pPr>
      <w:r w:rsidRPr="00AC7EA9">
        <w:rPr>
          <w:rFonts w:ascii="Traditional Arabic" w:hAnsi="Traditional Arabic" w:hint="eastAsia"/>
          <w:rtl/>
        </w:rPr>
        <w:t>المعاطاة</w:t>
      </w:r>
      <w:r>
        <w:rPr>
          <w:rtl/>
          <w:lang w:bidi="ar-DZ"/>
        </w:rPr>
        <w:tab/>
        <w:t>217</w:t>
      </w:r>
    </w:p>
    <w:p w:rsidR="001C3F19" w:rsidRDefault="001C3F19">
      <w:pPr>
        <w:pStyle w:val="Index1"/>
        <w:tabs>
          <w:tab w:val="right" w:leader="dot" w:pos="4023"/>
        </w:tabs>
        <w:rPr>
          <w:rtl/>
          <w:lang w:bidi="ar-DZ"/>
        </w:rPr>
      </w:pPr>
      <w:r>
        <w:rPr>
          <w:rFonts w:hint="eastAsia"/>
          <w:rtl/>
        </w:rPr>
        <w:t>المعاملات</w:t>
      </w:r>
      <w:r>
        <w:rPr>
          <w:rtl/>
          <w:lang w:bidi="ar-DZ"/>
        </w:rPr>
        <w:tab/>
        <w:t>364</w:t>
      </w:r>
    </w:p>
    <w:p w:rsidR="001C3F19" w:rsidRDefault="001C3F19" w:rsidP="0058316B">
      <w:pPr>
        <w:pStyle w:val="Index1"/>
        <w:tabs>
          <w:tab w:val="right" w:leader="dot" w:pos="4023"/>
        </w:tabs>
        <w:rPr>
          <w:rtl/>
        </w:rPr>
      </w:pPr>
      <w:r>
        <w:rPr>
          <w:rFonts w:hint="eastAsia"/>
          <w:rtl/>
        </w:rPr>
        <w:lastRenderedPageBreak/>
        <w:t>المُعامَلة</w:t>
      </w:r>
      <w:r>
        <w:rPr>
          <w:rtl/>
          <w:lang w:bidi="ar-DZ"/>
        </w:rPr>
        <w:tab/>
      </w:r>
      <w:r w:rsidR="0058316B">
        <w:rPr>
          <w:rFonts w:hint="cs"/>
          <w:rtl/>
        </w:rPr>
        <w:t>235</w:t>
      </w:r>
    </w:p>
    <w:p w:rsidR="001C3F19" w:rsidRDefault="001C3F19">
      <w:pPr>
        <w:pStyle w:val="Index1"/>
        <w:tabs>
          <w:tab w:val="right" w:leader="dot" w:pos="4023"/>
        </w:tabs>
        <w:rPr>
          <w:rtl/>
        </w:rPr>
      </w:pPr>
      <w:r>
        <w:rPr>
          <w:rFonts w:hint="eastAsia"/>
          <w:rtl/>
        </w:rPr>
        <w:t>المعاني</w:t>
      </w:r>
      <w:r w:rsidR="003966B8">
        <w:rPr>
          <w:rFonts w:hint="cs"/>
          <w:rtl/>
          <w:lang w:bidi="ar-DZ"/>
        </w:rPr>
        <w:t>..............................</w:t>
      </w:r>
      <w:r w:rsidR="003966B8">
        <w:rPr>
          <w:rtl/>
          <w:lang w:bidi="ar-DZ"/>
        </w:rPr>
        <w:t>2</w:t>
      </w:r>
      <w:r w:rsidR="003966B8">
        <w:rPr>
          <w:rFonts w:hint="cs"/>
          <w:rtl/>
        </w:rPr>
        <w:t>11</w:t>
      </w:r>
    </w:p>
    <w:p w:rsidR="001C3F19" w:rsidRDefault="001C3F19" w:rsidP="007E1439">
      <w:pPr>
        <w:pStyle w:val="Index1"/>
        <w:tabs>
          <w:tab w:val="right" w:leader="dot" w:pos="4023"/>
        </w:tabs>
        <w:rPr>
          <w:rtl/>
        </w:rPr>
      </w:pPr>
      <w:r w:rsidRPr="00AC7EA9">
        <w:rPr>
          <w:rFonts w:ascii="Traditional Arabic" w:hAnsi="Traditional Arabic" w:hint="eastAsia"/>
          <w:rtl/>
        </w:rPr>
        <w:t>المعاهدون</w:t>
      </w:r>
      <w:r>
        <w:rPr>
          <w:rtl/>
          <w:lang w:bidi="ar-DZ"/>
        </w:rPr>
        <w:tab/>
      </w:r>
      <w:r w:rsidR="007E1439">
        <w:rPr>
          <w:rFonts w:hint="cs"/>
          <w:rtl/>
        </w:rPr>
        <w:t>315</w:t>
      </w:r>
    </w:p>
    <w:p w:rsidR="001C3F19" w:rsidRDefault="001C3F19" w:rsidP="003966B8">
      <w:pPr>
        <w:pStyle w:val="Index1"/>
        <w:tabs>
          <w:tab w:val="right" w:leader="dot" w:pos="4023"/>
        </w:tabs>
        <w:rPr>
          <w:rtl/>
        </w:rPr>
      </w:pPr>
      <w:r w:rsidRPr="00AC7EA9">
        <w:rPr>
          <w:rFonts w:ascii="Traditional Arabic" w:hAnsi="Traditional Arabic" w:hint="eastAsia"/>
          <w:rtl/>
        </w:rPr>
        <w:t>المعدول</w:t>
      </w:r>
      <w:r w:rsidR="009F1735">
        <w:rPr>
          <w:rFonts w:ascii="Traditional Arabic" w:hAnsi="Traditional Arabic" w:hint="cs"/>
          <w:rtl/>
        </w:rPr>
        <w:t xml:space="preserve"> </w:t>
      </w:r>
      <w:r w:rsidRPr="00AC7EA9">
        <w:rPr>
          <w:rFonts w:ascii="Traditional Arabic" w:hAnsi="Traditional Arabic" w:hint="eastAsia"/>
          <w:rtl/>
        </w:rPr>
        <w:t>به</w:t>
      </w:r>
      <w:r w:rsidR="009F1735">
        <w:rPr>
          <w:rFonts w:ascii="Traditional Arabic" w:hAnsi="Traditional Arabic" w:hint="cs"/>
          <w:rtl/>
        </w:rPr>
        <w:t xml:space="preserve"> </w:t>
      </w:r>
      <w:r w:rsidRPr="00AC7EA9">
        <w:rPr>
          <w:rFonts w:ascii="Traditional Arabic" w:hAnsi="Traditional Arabic" w:hint="eastAsia"/>
          <w:rtl/>
        </w:rPr>
        <w:t>عن</w:t>
      </w:r>
      <w:r w:rsidR="009F1735">
        <w:rPr>
          <w:rFonts w:ascii="Traditional Arabic" w:hAnsi="Traditional Arabic" w:hint="cs"/>
          <w:rtl/>
        </w:rPr>
        <w:t xml:space="preserve"> </w:t>
      </w:r>
      <w:r w:rsidRPr="00AC7EA9">
        <w:rPr>
          <w:rFonts w:ascii="Traditional Arabic" w:hAnsi="Traditional Arabic" w:hint="eastAsia"/>
          <w:rtl/>
        </w:rPr>
        <w:t>سنن</w:t>
      </w:r>
      <w:r w:rsidR="009F1735">
        <w:rPr>
          <w:rFonts w:ascii="Traditional Arabic" w:hAnsi="Traditional Arabic" w:hint="cs"/>
          <w:rtl/>
        </w:rPr>
        <w:t xml:space="preserve"> </w:t>
      </w:r>
      <w:r w:rsidRPr="00AC7EA9">
        <w:rPr>
          <w:rFonts w:ascii="Traditional Arabic" w:hAnsi="Traditional Arabic" w:hint="eastAsia"/>
          <w:rtl/>
        </w:rPr>
        <w:t>القياس</w:t>
      </w:r>
      <w:r w:rsidR="003966B8">
        <w:rPr>
          <w:rtl/>
          <w:lang w:bidi="ar-DZ"/>
        </w:rPr>
        <w:tab/>
      </w:r>
      <w:r w:rsidR="003966B8">
        <w:rPr>
          <w:rFonts w:hint="cs"/>
          <w:rtl/>
        </w:rPr>
        <w:t>499</w:t>
      </w:r>
    </w:p>
    <w:p w:rsidR="001C3F19" w:rsidRDefault="001C3F19" w:rsidP="00F202CA">
      <w:pPr>
        <w:pStyle w:val="Index1"/>
        <w:tabs>
          <w:tab w:val="right" w:leader="dot" w:pos="4023"/>
        </w:tabs>
        <w:rPr>
          <w:rtl/>
        </w:rPr>
      </w:pPr>
      <w:r w:rsidRPr="00AC7EA9">
        <w:rPr>
          <w:rFonts w:hint="eastAsia"/>
          <w:b/>
          <w:bCs/>
          <w:rtl/>
        </w:rPr>
        <w:t>المغْرَم</w:t>
      </w:r>
      <w:r>
        <w:rPr>
          <w:rtl/>
          <w:lang w:bidi="ar-DZ"/>
        </w:rPr>
        <w:tab/>
      </w:r>
      <w:r w:rsidR="00F202CA">
        <w:rPr>
          <w:rFonts w:hint="cs"/>
          <w:rtl/>
        </w:rPr>
        <w:t>563</w:t>
      </w:r>
    </w:p>
    <w:p w:rsidR="001C3F19" w:rsidRDefault="001C3F19" w:rsidP="00F202CA">
      <w:pPr>
        <w:pStyle w:val="Index1"/>
        <w:tabs>
          <w:tab w:val="right" w:leader="dot" w:pos="4023"/>
        </w:tabs>
        <w:rPr>
          <w:rtl/>
          <w:lang w:bidi="ar-DZ"/>
        </w:rPr>
      </w:pPr>
      <w:r w:rsidRPr="00AC7EA9">
        <w:rPr>
          <w:rFonts w:hint="eastAsia"/>
          <w:b/>
          <w:bCs/>
          <w:rtl/>
        </w:rPr>
        <w:t>المغْنَم</w:t>
      </w:r>
      <w:r>
        <w:rPr>
          <w:rtl/>
          <w:lang w:bidi="ar-DZ"/>
        </w:rPr>
        <w:tab/>
      </w:r>
      <w:r w:rsidR="00F202CA">
        <w:rPr>
          <w:rFonts w:hint="cs"/>
          <w:rtl/>
        </w:rPr>
        <w:t>563</w:t>
      </w:r>
    </w:p>
    <w:p w:rsidR="001C3F19" w:rsidRDefault="001C3F19" w:rsidP="00F202CA">
      <w:pPr>
        <w:pStyle w:val="Index1"/>
        <w:tabs>
          <w:tab w:val="right" w:leader="dot" w:pos="4023"/>
        </w:tabs>
        <w:rPr>
          <w:rtl/>
        </w:rPr>
      </w:pPr>
      <w:r w:rsidRPr="00AC7EA9">
        <w:rPr>
          <w:rFonts w:ascii="Traditional Arabic" w:hAnsi="Traditional Arabic" w:hint="eastAsia"/>
          <w:rtl/>
        </w:rPr>
        <w:t>المفازة</w:t>
      </w:r>
      <w:r>
        <w:rPr>
          <w:rtl/>
          <w:lang w:bidi="ar-DZ"/>
        </w:rPr>
        <w:tab/>
      </w:r>
      <w:r w:rsidR="00F202CA">
        <w:rPr>
          <w:rFonts w:hint="cs"/>
          <w:rtl/>
        </w:rPr>
        <w:t>549</w:t>
      </w:r>
    </w:p>
    <w:p w:rsidR="001C3F19" w:rsidRDefault="001C3F19" w:rsidP="00B46E10">
      <w:pPr>
        <w:pStyle w:val="Index1"/>
        <w:tabs>
          <w:tab w:val="right" w:leader="dot" w:pos="4023"/>
        </w:tabs>
        <w:rPr>
          <w:rtl/>
        </w:rPr>
      </w:pPr>
      <w:r w:rsidRPr="00AC7EA9">
        <w:rPr>
          <w:rFonts w:hint="eastAsia"/>
          <w:bCs/>
          <w:rtl/>
        </w:rPr>
        <w:t>المفسدة</w:t>
      </w:r>
      <w:r>
        <w:rPr>
          <w:rtl/>
          <w:lang w:bidi="ar-DZ"/>
        </w:rPr>
        <w:tab/>
      </w:r>
      <w:r w:rsidR="00B46E10">
        <w:rPr>
          <w:rFonts w:hint="cs"/>
          <w:rtl/>
        </w:rPr>
        <w:t>98</w:t>
      </w:r>
    </w:p>
    <w:p w:rsidR="001C3F19" w:rsidRDefault="001C3F19" w:rsidP="00F540AA">
      <w:pPr>
        <w:pStyle w:val="Index1"/>
        <w:tabs>
          <w:tab w:val="right" w:leader="dot" w:pos="4023"/>
        </w:tabs>
        <w:rPr>
          <w:rtl/>
        </w:rPr>
      </w:pPr>
      <w:r w:rsidRPr="00AC7EA9">
        <w:rPr>
          <w:rFonts w:hint="eastAsia"/>
          <w:bCs/>
          <w:rtl/>
        </w:rPr>
        <w:t>المقاصد</w:t>
      </w:r>
      <w:r>
        <w:rPr>
          <w:rtl/>
          <w:lang w:bidi="ar-DZ"/>
        </w:rPr>
        <w:tab/>
      </w:r>
      <w:r w:rsidR="00F540AA">
        <w:rPr>
          <w:rFonts w:hint="cs"/>
          <w:rtl/>
        </w:rPr>
        <w:t>174-175</w:t>
      </w:r>
    </w:p>
    <w:p w:rsidR="005346C6" w:rsidRPr="005346C6" w:rsidRDefault="005346C6" w:rsidP="005346C6">
      <w:pPr>
        <w:ind w:firstLine="0"/>
        <w:rPr>
          <w:rtl/>
        </w:rPr>
      </w:pPr>
      <w:r>
        <w:rPr>
          <w:rFonts w:hint="cs"/>
          <w:rtl/>
        </w:rPr>
        <w:t>المقبوض على وجه السوم.............354</w:t>
      </w:r>
    </w:p>
    <w:p w:rsidR="001C3F19" w:rsidRDefault="001C3F19" w:rsidP="00024B2B">
      <w:pPr>
        <w:pStyle w:val="Index1"/>
        <w:tabs>
          <w:tab w:val="right" w:leader="dot" w:pos="4023"/>
        </w:tabs>
        <w:rPr>
          <w:rtl/>
        </w:rPr>
      </w:pPr>
      <w:r w:rsidRPr="00AC7EA9">
        <w:rPr>
          <w:rFonts w:ascii="Traditional Arabic" w:hAnsi="Traditional Arabic" w:hint="eastAsia"/>
          <w:rtl/>
        </w:rPr>
        <w:t>المكفول</w:t>
      </w:r>
      <w:r w:rsidR="00C2536E">
        <w:rPr>
          <w:rFonts w:ascii="Traditional Arabic" w:hAnsi="Traditional Arabic" w:hint="cs"/>
          <w:rtl/>
        </w:rPr>
        <w:t xml:space="preserve"> </w:t>
      </w:r>
      <w:r w:rsidRPr="00AC7EA9">
        <w:rPr>
          <w:rFonts w:ascii="Traditional Arabic" w:hAnsi="Traditional Arabic" w:hint="eastAsia"/>
          <w:rtl/>
        </w:rPr>
        <w:t>عنه</w:t>
      </w:r>
      <w:r>
        <w:rPr>
          <w:rtl/>
          <w:lang w:bidi="ar-DZ"/>
        </w:rPr>
        <w:tab/>
      </w:r>
      <w:r w:rsidR="00024B2B">
        <w:rPr>
          <w:rFonts w:hint="cs"/>
          <w:rtl/>
        </w:rPr>
        <w:t>274</w:t>
      </w:r>
    </w:p>
    <w:p w:rsidR="001C3F19" w:rsidRDefault="001C3F19" w:rsidP="005346C6">
      <w:pPr>
        <w:pStyle w:val="Index1"/>
        <w:tabs>
          <w:tab w:val="right" w:leader="dot" w:pos="4023"/>
        </w:tabs>
        <w:rPr>
          <w:rtl/>
        </w:rPr>
      </w:pPr>
      <w:r>
        <w:rPr>
          <w:rFonts w:hint="eastAsia"/>
          <w:rtl/>
          <w:lang w:bidi="ar-DZ"/>
        </w:rPr>
        <w:t>الملجئ</w:t>
      </w:r>
      <w:r>
        <w:rPr>
          <w:rtl/>
          <w:lang w:bidi="ar-DZ"/>
        </w:rPr>
        <w:tab/>
      </w:r>
      <w:r w:rsidR="005346C6">
        <w:rPr>
          <w:rFonts w:hint="cs"/>
          <w:rtl/>
        </w:rPr>
        <w:t>357</w:t>
      </w:r>
    </w:p>
    <w:p w:rsidR="001C3F19" w:rsidRDefault="001C3F19" w:rsidP="00B46E10">
      <w:pPr>
        <w:pStyle w:val="Index1"/>
        <w:tabs>
          <w:tab w:val="right" w:leader="dot" w:pos="4023"/>
        </w:tabs>
        <w:rPr>
          <w:rtl/>
        </w:rPr>
      </w:pPr>
      <w:r w:rsidRPr="00AC7EA9">
        <w:rPr>
          <w:rFonts w:hint="eastAsia"/>
          <w:b/>
          <w:bCs/>
          <w:rtl/>
        </w:rPr>
        <w:t>المنافع</w:t>
      </w:r>
      <w:r>
        <w:rPr>
          <w:rtl/>
          <w:lang w:bidi="ar-DZ"/>
        </w:rPr>
        <w:tab/>
      </w:r>
      <w:r w:rsidR="00B46E10">
        <w:rPr>
          <w:rFonts w:hint="cs"/>
          <w:rtl/>
        </w:rPr>
        <w:t>511</w:t>
      </w:r>
    </w:p>
    <w:p w:rsidR="001C3F19" w:rsidRDefault="001C3F19" w:rsidP="00BA7ADD">
      <w:pPr>
        <w:pStyle w:val="Index1"/>
        <w:tabs>
          <w:tab w:val="right" w:leader="dot" w:pos="4023"/>
        </w:tabs>
        <w:rPr>
          <w:rtl/>
        </w:rPr>
      </w:pPr>
      <w:r>
        <w:rPr>
          <w:rFonts w:hint="eastAsia"/>
          <w:rtl/>
        </w:rPr>
        <w:t>الموجِب</w:t>
      </w:r>
      <w:r>
        <w:rPr>
          <w:rtl/>
          <w:lang w:bidi="ar-DZ"/>
        </w:rPr>
        <w:tab/>
      </w:r>
      <w:r w:rsidR="00BA7ADD">
        <w:rPr>
          <w:rFonts w:hint="cs"/>
          <w:rtl/>
        </w:rPr>
        <w:t>123</w:t>
      </w:r>
    </w:p>
    <w:p w:rsidR="001C3F19" w:rsidRDefault="001C3F19" w:rsidP="005346C6">
      <w:pPr>
        <w:pStyle w:val="Index1"/>
        <w:tabs>
          <w:tab w:val="right" w:leader="dot" w:pos="4023"/>
        </w:tabs>
        <w:rPr>
          <w:rtl/>
        </w:rPr>
      </w:pPr>
      <w:r w:rsidRPr="00AC7EA9">
        <w:rPr>
          <w:rFonts w:ascii="Traditional Arabic" w:hAnsi="Traditional Arabic" w:hint="eastAsia"/>
          <w:rtl/>
          <w:lang w:eastAsia="en-US"/>
        </w:rPr>
        <w:t>الميازيب</w:t>
      </w:r>
      <w:r>
        <w:rPr>
          <w:rtl/>
          <w:lang w:bidi="ar-DZ"/>
        </w:rPr>
        <w:tab/>
      </w:r>
      <w:r w:rsidR="005346C6">
        <w:rPr>
          <w:rFonts w:hint="cs"/>
          <w:rtl/>
        </w:rPr>
        <w:t>104</w:t>
      </w:r>
    </w:p>
    <w:p w:rsidR="00BA7ADD" w:rsidRDefault="001C3F19" w:rsidP="00BA7ADD">
      <w:pPr>
        <w:pStyle w:val="Index1"/>
        <w:tabs>
          <w:tab w:val="right" w:leader="dot" w:pos="4023"/>
        </w:tabs>
        <w:rPr>
          <w:rtl/>
        </w:rPr>
      </w:pPr>
      <w:r w:rsidRPr="00AC7EA9">
        <w:rPr>
          <w:rFonts w:ascii="Traditional Arabic" w:hAnsi="Traditional Arabic" w:hint="eastAsia"/>
          <w:rtl/>
          <w:lang w:eastAsia="en-US"/>
        </w:rPr>
        <w:t>الميسر</w:t>
      </w:r>
      <w:r>
        <w:rPr>
          <w:rtl/>
          <w:lang w:bidi="ar-DZ"/>
        </w:rPr>
        <w:tab/>
      </w:r>
      <w:r w:rsidR="00BA7ADD">
        <w:rPr>
          <w:rFonts w:hint="cs"/>
          <w:rtl/>
        </w:rPr>
        <w:t>105</w:t>
      </w:r>
    </w:p>
    <w:p w:rsidR="001C3F19" w:rsidRDefault="001C3F19" w:rsidP="00BA7ADD">
      <w:pPr>
        <w:pStyle w:val="Index1"/>
        <w:tabs>
          <w:tab w:val="right" w:leader="dot" w:pos="4023"/>
        </w:tabs>
        <w:rPr>
          <w:rtl/>
        </w:rPr>
      </w:pPr>
      <w:r w:rsidRPr="00AC7EA9">
        <w:rPr>
          <w:rFonts w:hint="eastAsia"/>
          <w:bCs/>
          <w:rtl/>
        </w:rPr>
        <w:t>النادر</w:t>
      </w:r>
      <w:r w:rsidR="00AB545C">
        <w:rPr>
          <w:rtl/>
          <w:lang w:bidi="ar-DZ"/>
        </w:rPr>
        <w:tab/>
        <w:t>3</w:t>
      </w:r>
      <w:r w:rsidR="00AB545C">
        <w:rPr>
          <w:rFonts w:hint="cs"/>
          <w:rtl/>
          <w:lang w:bidi="ar-DZ"/>
        </w:rPr>
        <w:t>23</w:t>
      </w:r>
    </w:p>
    <w:p w:rsidR="001C3F19" w:rsidRDefault="001C3F19" w:rsidP="00D55333">
      <w:pPr>
        <w:pStyle w:val="Index1"/>
        <w:tabs>
          <w:tab w:val="right" w:leader="dot" w:pos="4023"/>
        </w:tabs>
        <w:rPr>
          <w:rtl/>
          <w:lang w:bidi="ar-DZ"/>
        </w:rPr>
      </w:pPr>
      <w:r w:rsidRPr="00AC7EA9">
        <w:rPr>
          <w:rFonts w:ascii="Traditional Arabic" w:hAnsi="Traditional Arabic" w:hint="eastAsia"/>
          <w:rtl/>
          <w:lang w:eastAsia="en-US"/>
        </w:rPr>
        <w:t>النَّامِصة</w:t>
      </w:r>
      <w:r>
        <w:rPr>
          <w:rtl/>
          <w:lang w:bidi="ar-DZ"/>
        </w:rPr>
        <w:tab/>
      </w:r>
      <w:r w:rsidR="00D55333">
        <w:rPr>
          <w:rFonts w:hint="cs"/>
          <w:rtl/>
        </w:rPr>
        <w:t>391</w:t>
      </w:r>
    </w:p>
    <w:p w:rsidR="00411DD1" w:rsidRPr="00411DD1" w:rsidRDefault="00411DD1" w:rsidP="005346C6">
      <w:pPr>
        <w:pStyle w:val="Index1"/>
        <w:tabs>
          <w:tab w:val="right" w:leader="dot" w:pos="4023"/>
        </w:tabs>
        <w:rPr>
          <w:rtl/>
        </w:rPr>
      </w:pPr>
      <w:r w:rsidRPr="00AC7EA9">
        <w:rPr>
          <w:rFonts w:ascii="Traditional Arabic" w:hAnsi="Traditional Arabic" w:hint="eastAsia"/>
          <w:rtl/>
        </w:rPr>
        <w:t>نبا</w:t>
      </w:r>
      <w:r>
        <w:rPr>
          <w:rtl/>
          <w:lang w:bidi="ar-DZ"/>
        </w:rPr>
        <w:tab/>
      </w:r>
      <w:r w:rsidR="005346C6">
        <w:rPr>
          <w:rFonts w:hint="cs"/>
          <w:rtl/>
        </w:rPr>
        <w:t>141</w:t>
      </w:r>
    </w:p>
    <w:p w:rsidR="001C3F19" w:rsidRDefault="001C3F19" w:rsidP="007E1439">
      <w:pPr>
        <w:pStyle w:val="Index1"/>
        <w:tabs>
          <w:tab w:val="right" w:leader="dot" w:pos="4023"/>
        </w:tabs>
        <w:rPr>
          <w:rtl/>
        </w:rPr>
      </w:pPr>
      <w:r w:rsidRPr="00AC7EA9">
        <w:rPr>
          <w:rFonts w:ascii="Traditional Arabic" w:hAnsi="Traditional Arabic" w:hint="eastAsia"/>
          <w:rtl/>
        </w:rPr>
        <w:t>النصل</w:t>
      </w:r>
      <w:r>
        <w:rPr>
          <w:rtl/>
          <w:lang w:bidi="ar-DZ"/>
        </w:rPr>
        <w:tab/>
      </w:r>
      <w:r w:rsidR="007E1439">
        <w:rPr>
          <w:rFonts w:hint="cs"/>
          <w:rtl/>
        </w:rPr>
        <w:t>574</w:t>
      </w:r>
    </w:p>
    <w:p w:rsidR="001C3F19" w:rsidRDefault="001C3F19" w:rsidP="0058316B">
      <w:pPr>
        <w:pStyle w:val="Index1"/>
        <w:tabs>
          <w:tab w:val="right" w:leader="dot" w:pos="4023"/>
        </w:tabs>
        <w:rPr>
          <w:rtl/>
        </w:rPr>
      </w:pPr>
      <w:r w:rsidRPr="00AC7EA9">
        <w:rPr>
          <w:rFonts w:hint="eastAsia"/>
          <w:bCs/>
          <w:rtl/>
        </w:rPr>
        <w:t>النقيض</w:t>
      </w:r>
      <w:r>
        <w:rPr>
          <w:rtl/>
          <w:lang w:bidi="ar-DZ"/>
        </w:rPr>
        <w:tab/>
      </w:r>
      <w:r w:rsidR="0058316B">
        <w:rPr>
          <w:rFonts w:hint="cs"/>
          <w:rtl/>
        </w:rPr>
        <w:t>235</w:t>
      </w:r>
    </w:p>
    <w:p w:rsidR="001C3F19" w:rsidRDefault="001C3F19" w:rsidP="00F202CA">
      <w:pPr>
        <w:pStyle w:val="Index1"/>
        <w:tabs>
          <w:tab w:val="right" w:leader="dot" w:pos="4023"/>
        </w:tabs>
        <w:rPr>
          <w:rtl/>
        </w:rPr>
      </w:pPr>
      <w:r w:rsidRPr="00AC7EA9">
        <w:rPr>
          <w:rFonts w:ascii="Tahoma" w:hAnsi="Tahoma" w:hint="eastAsia"/>
          <w:rtl/>
        </w:rPr>
        <w:t>النكاح</w:t>
      </w:r>
      <w:r>
        <w:rPr>
          <w:rtl/>
          <w:lang w:bidi="ar-DZ"/>
        </w:rPr>
        <w:tab/>
      </w:r>
      <w:r w:rsidR="00F202CA">
        <w:rPr>
          <w:rFonts w:hint="cs"/>
          <w:rtl/>
        </w:rPr>
        <w:t>557</w:t>
      </w:r>
    </w:p>
    <w:p w:rsidR="001C3F19" w:rsidRDefault="001C3F19" w:rsidP="00B46E10">
      <w:pPr>
        <w:pStyle w:val="Index1"/>
        <w:tabs>
          <w:tab w:val="right" w:leader="dot" w:pos="4023"/>
        </w:tabs>
        <w:rPr>
          <w:rtl/>
        </w:rPr>
      </w:pPr>
      <w:r w:rsidRPr="00AC7EA9">
        <w:rPr>
          <w:rFonts w:hint="eastAsia"/>
          <w:bCs/>
          <w:rtl/>
        </w:rPr>
        <w:t>النيّات</w:t>
      </w:r>
      <w:r>
        <w:rPr>
          <w:rtl/>
          <w:lang w:bidi="ar-DZ"/>
        </w:rPr>
        <w:tab/>
      </w:r>
      <w:r w:rsidR="00B46E10">
        <w:rPr>
          <w:rFonts w:hint="cs"/>
          <w:rtl/>
        </w:rPr>
        <w:t>201</w:t>
      </w:r>
    </w:p>
    <w:p w:rsidR="001C3F19" w:rsidRDefault="001C3F19" w:rsidP="007E1439">
      <w:pPr>
        <w:pStyle w:val="Index1"/>
        <w:tabs>
          <w:tab w:val="right" w:leader="dot" w:pos="4023"/>
        </w:tabs>
        <w:rPr>
          <w:rtl/>
        </w:rPr>
      </w:pPr>
      <w:r>
        <w:rPr>
          <w:rFonts w:hint="eastAsia"/>
          <w:rtl/>
        </w:rPr>
        <w:t>الهبة</w:t>
      </w:r>
      <w:r>
        <w:rPr>
          <w:rtl/>
          <w:lang w:bidi="ar-DZ"/>
        </w:rPr>
        <w:tab/>
      </w:r>
      <w:r w:rsidR="007E1439">
        <w:rPr>
          <w:rFonts w:hint="cs"/>
          <w:rtl/>
        </w:rPr>
        <w:t>206</w:t>
      </w:r>
    </w:p>
    <w:p w:rsidR="001C3F19" w:rsidRDefault="001C3F19" w:rsidP="00B46E10">
      <w:pPr>
        <w:pStyle w:val="Index1"/>
        <w:tabs>
          <w:tab w:val="right" w:leader="dot" w:pos="4023"/>
        </w:tabs>
        <w:rPr>
          <w:rtl/>
        </w:rPr>
      </w:pPr>
      <w:r>
        <w:rPr>
          <w:rFonts w:hint="eastAsia"/>
          <w:rtl/>
        </w:rPr>
        <w:t>الواجب</w:t>
      </w:r>
      <w:r>
        <w:rPr>
          <w:rtl/>
          <w:lang w:bidi="ar-DZ"/>
        </w:rPr>
        <w:tab/>
      </w:r>
      <w:r w:rsidR="00B46E10">
        <w:rPr>
          <w:rFonts w:hint="cs"/>
          <w:rtl/>
        </w:rPr>
        <w:t>217</w:t>
      </w:r>
    </w:p>
    <w:p w:rsidR="001C3F19" w:rsidRDefault="001C3F19" w:rsidP="00B46E10">
      <w:pPr>
        <w:pStyle w:val="Index1"/>
        <w:tabs>
          <w:tab w:val="right" w:leader="dot" w:pos="4023"/>
        </w:tabs>
        <w:rPr>
          <w:rtl/>
        </w:rPr>
      </w:pPr>
      <w:r w:rsidRPr="00AC7EA9">
        <w:rPr>
          <w:rFonts w:ascii="Traditional Arabic" w:hAnsi="Traditional Arabic" w:hint="eastAsia"/>
          <w:rtl/>
          <w:lang w:eastAsia="en-US"/>
        </w:rPr>
        <w:lastRenderedPageBreak/>
        <w:t>الوثيقة</w:t>
      </w:r>
      <w:r>
        <w:rPr>
          <w:rtl/>
          <w:lang w:bidi="ar-DZ"/>
        </w:rPr>
        <w:tab/>
      </w:r>
      <w:r w:rsidR="00B46E10">
        <w:rPr>
          <w:rFonts w:hint="cs"/>
          <w:rtl/>
        </w:rPr>
        <w:t>378</w:t>
      </w:r>
    </w:p>
    <w:p w:rsidR="001C3F19" w:rsidRDefault="001C3F19" w:rsidP="00B46E10">
      <w:pPr>
        <w:pStyle w:val="Index1"/>
        <w:tabs>
          <w:tab w:val="right" w:leader="dot" w:pos="4023"/>
        </w:tabs>
        <w:rPr>
          <w:rtl/>
        </w:rPr>
      </w:pPr>
      <w:r w:rsidRPr="00AC7EA9">
        <w:rPr>
          <w:rFonts w:ascii="Traditional Arabic" w:hAnsi="Traditional Arabic" w:hint="eastAsia"/>
          <w:rtl/>
        </w:rPr>
        <w:t>الوثيقة</w:t>
      </w:r>
      <w:r w:rsidR="009F1735">
        <w:rPr>
          <w:rFonts w:ascii="Traditional Arabic" w:hAnsi="Traditional Arabic" w:hint="cs"/>
          <w:rtl/>
        </w:rPr>
        <w:t xml:space="preserve"> </w:t>
      </w:r>
      <w:r w:rsidRPr="00AC7EA9">
        <w:rPr>
          <w:rFonts w:ascii="Traditional Arabic" w:hAnsi="Traditional Arabic" w:hint="eastAsia"/>
          <w:rtl/>
        </w:rPr>
        <w:t>بالدَّين</w:t>
      </w:r>
      <w:r>
        <w:rPr>
          <w:rtl/>
          <w:lang w:bidi="ar-DZ"/>
        </w:rPr>
        <w:tab/>
      </w:r>
      <w:r w:rsidR="00B46E10">
        <w:rPr>
          <w:rFonts w:hint="cs"/>
          <w:rtl/>
        </w:rPr>
        <w:t>378</w:t>
      </w:r>
    </w:p>
    <w:p w:rsidR="00411DD1" w:rsidRPr="00411DD1" w:rsidRDefault="00411DD1" w:rsidP="00411DD1">
      <w:pPr>
        <w:pStyle w:val="Index1"/>
        <w:tabs>
          <w:tab w:val="right" w:leader="dot" w:pos="4023"/>
        </w:tabs>
        <w:rPr>
          <w:rtl/>
          <w:lang w:bidi="ar-DZ"/>
        </w:rPr>
      </w:pPr>
      <w:r w:rsidRPr="00AC7EA9">
        <w:rPr>
          <w:rFonts w:ascii="Tahoma" w:hAnsi="Tahoma" w:hint="eastAsia"/>
          <w:rtl/>
        </w:rPr>
        <w:t>وجد</w:t>
      </w:r>
      <w:r>
        <w:rPr>
          <w:rFonts w:ascii="Tahoma" w:hAnsi="Tahoma" w:hint="cs"/>
          <w:rtl/>
        </w:rPr>
        <w:t xml:space="preserve"> </w:t>
      </w:r>
      <w:r w:rsidRPr="00AC7EA9">
        <w:rPr>
          <w:rFonts w:ascii="Tahoma" w:hAnsi="Tahoma" w:hint="eastAsia"/>
          <w:rtl/>
        </w:rPr>
        <w:t>نفاذا</w:t>
      </w:r>
      <w:r>
        <w:rPr>
          <w:rtl/>
          <w:lang w:bidi="ar-DZ"/>
        </w:rPr>
        <w:tab/>
        <w:t>261</w:t>
      </w:r>
    </w:p>
    <w:p w:rsidR="001C3F19" w:rsidRDefault="001C3F19" w:rsidP="00B46E10">
      <w:pPr>
        <w:pStyle w:val="Index1"/>
        <w:tabs>
          <w:tab w:val="right" w:leader="dot" w:pos="4023"/>
        </w:tabs>
        <w:rPr>
          <w:rtl/>
        </w:rPr>
      </w:pPr>
      <w:r>
        <w:rPr>
          <w:rFonts w:hint="eastAsia"/>
          <w:rtl/>
        </w:rPr>
        <w:t>الوديعة</w:t>
      </w:r>
      <w:r>
        <w:rPr>
          <w:rtl/>
          <w:lang w:bidi="ar-DZ"/>
        </w:rPr>
        <w:tab/>
      </w:r>
      <w:r w:rsidR="00B46E10">
        <w:rPr>
          <w:rFonts w:hint="cs"/>
          <w:rtl/>
        </w:rPr>
        <w:t>180</w:t>
      </w:r>
    </w:p>
    <w:p w:rsidR="001C3F19" w:rsidRDefault="001C3F19" w:rsidP="00F540AA">
      <w:pPr>
        <w:pStyle w:val="Index1"/>
        <w:tabs>
          <w:tab w:val="right" w:leader="dot" w:pos="4023"/>
        </w:tabs>
        <w:rPr>
          <w:rtl/>
        </w:rPr>
      </w:pPr>
      <w:r>
        <w:rPr>
          <w:rFonts w:hint="eastAsia"/>
          <w:rtl/>
        </w:rPr>
        <w:t>الوسائل</w:t>
      </w:r>
      <w:r>
        <w:rPr>
          <w:rtl/>
          <w:lang w:bidi="ar-DZ"/>
        </w:rPr>
        <w:tab/>
      </w:r>
      <w:r w:rsidR="00F540AA">
        <w:rPr>
          <w:rFonts w:hint="cs"/>
          <w:rtl/>
        </w:rPr>
        <w:t>174</w:t>
      </w:r>
    </w:p>
    <w:p w:rsidR="001C3F19" w:rsidRDefault="001C3F19" w:rsidP="00B46E10">
      <w:pPr>
        <w:pStyle w:val="Index1"/>
        <w:tabs>
          <w:tab w:val="right" w:leader="dot" w:pos="4023"/>
        </w:tabs>
        <w:rPr>
          <w:rtl/>
        </w:rPr>
      </w:pPr>
      <w:r w:rsidRPr="00AC7EA9">
        <w:rPr>
          <w:rFonts w:ascii="Traditional Arabic" w:hAnsi="Traditional Arabic" w:hint="eastAsia"/>
          <w:rtl/>
          <w:lang w:eastAsia="en-US"/>
        </w:rPr>
        <w:t>الوَصية</w:t>
      </w:r>
      <w:r>
        <w:rPr>
          <w:rtl/>
          <w:lang w:bidi="ar-DZ"/>
        </w:rPr>
        <w:tab/>
      </w:r>
      <w:r w:rsidR="00B46E10">
        <w:rPr>
          <w:rFonts w:hint="cs"/>
          <w:rtl/>
        </w:rPr>
        <w:t>379</w:t>
      </w:r>
    </w:p>
    <w:p w:rsidR="001C3F19" w:rsidRDefault="001C3F19" w:rsidP="00F202CA">
      <w:pPr>
        <w:pStyle w:val="Index1"/>
        <w:tabs>
          <w:tab w:val="right" w:leader="dot" w:pos="4023"/>
        </w:tabs>
        <w:rPr>
          <w:rtl/>
        </w:rPr>
      </w:pPr>
      <w:r w:rsidRPr="00AC7EA9">
        <w:rPr>
          <w:rFonts w:hint="eastAsia"/>
          <w:b/>
          <w:bCs/>
          <w:rtl/>
        </w:rPr>
        <w:lastRenderedPageBreak/>
        <w:t>الوضيعة</w:t>
      </w:r>
      <w:r>
        <w:rPr>
          <w:rtl/>
          <w:lang w:bidi="ar-DZ"/>
        </w:rPr>
        <w:tab/>
      </w:r>
      <w:r w:rsidR="00F202CA">
        <w:rPr>
          <w:rFonts w:hint="cs"/>
          <w:rtl/>
        </w:rPr>
        <w:t>560</w:t>
      </w:r>
    </w:p>
    <w:p w:rsidR="001C3F19" w:rsidRDefault="001C3F19" w:rsidP="00B46E10">
      <w:pPr>
        <w:pStyle w:val="Index1"/>
        <w:tabs>
          <w:tab w:val="right" w:leader="dot" w:pos="4023"/>
        </w:tabs>
        <w:rPr>
          <w:rtl/>
        </w:rPr>
      </w:pPr>
      <w:r w:rsidRPr="00AC7EA9">
        <w:rPr>
          <w:rFonts w:ascii="Traditional Arabic" w:hAnsi="Traditional Arabic" w:hint="eastAsia"/>
          <w:rtl/>
        </w:rPr>
        <w:t>الوقف</w:t>
      </w:r>
      <w:r>
        <w:rPr>
          <w:rtl/>
          <w:lang w:bidi="ar-DZ"/>
        </w:rPr>
        <w:tab/>
      </w:r>
      <w:r w:rsidR="002C0E04">
        <w:rPr>
          <w:rFonts w:hint="cs"/>
          <w:rtl/>
        </w:rPr>
        <w:t>379</w:t>
      </w:r>
    </w:p>
    <w:p w:rsidR="001C3F19" w:rsidRDefault="001C3F19" w:rsidP="005346C6">
      <w:pPr>
        <w:pStyle w:val="Index1"/>
        <w:tabs>
          <w:tab w:val="right" w:leader="dot" w:pos="4023"/>
        </w:tabs>
        <w:rPr>
          <w:rtl/>
        </w:rPr>
      </w:pPr>
      <w:r w:rsidRPr="00AC7EA9">
        <w:rPr>
          <w:rFonts w:ascii="Traditional Arabic" w:hAnsi="Traditional Arabic" w:hint="eastAsia"/>
          <w:rtl/>
        </w:rPr>
        <w:t>الوكالة</w:t>
      </w:r>
      <w:r>
        <w:rPr>
          <w:rtl/>
          <w:lang w:bidi="ar-DZ"/>
        </w:rPr>
        <w:tab/>
      </w:r>
      <w:r w:rsidR="005346C6">
        <w:rPr>
          <w:rFonts w:hint="cs"/>
          <w:rtl/>
        </w:rPr>
        <w:t>308</w:t>
      </w:r>
    </w:p>
    <w:p w:rsidR="001C3F19" w:rsidRDefault="001C3F19" w:rsidP="002C0E04">
      <w:pPr>
        <w:pStyle w:val="Index1"/>
        <w:tabs>
          <w:tab w:val="right" w:leader="dot" w:pos="4023"/>
        </w:tabs>
        <w:rPr>
          <w:rtl/>
        </w:rPr>
      </w:pPr>
      <w:r w:rsidRPr="00AC7EA9">
        <w:rPr>
          <w:rFonts w:ascii="Traditional Arabic" w:hAnsi="Traditional Arabic" w:hint="eastAsia"/>
          <w:rtl/>
          <w:lang w:eastAsia="en-US"/>
        </w:rPr>
        <w:t>الوليدة</w:t>
      </w:r>
      <w:r>
        <w:rPr>
          <w:rtl/>
          <w:lang w:bidi="ar-DZ"/>
        </w:rPr>
        <w:tab/>
      </w:r>
      <w:r w:rsidR="002C0E04">
        <w:rPr>
          <w:rFonts w:hint="cs"/>
          <w:rtl/>
        </w:rPr>
        <w:t>447</w:t>
      </w:r>
    </w:p>
    <w:p w:rsidR="001C3F19" w:rsidRDefault="00AB545C" w:rsidP="00597C20">
      <w:pPr>
        <w:ind w:firstLine="0"/>
        <w:rPr>
          <w:rtl/>
        </w:rPr>
        <w:sectPr w:rsidR="001C3F19" w:rsidSect="001C3F19">
          <w:footnotePr>
            <w:numRestart w:val="eachPage"/>
          </w:footnotePr>
          <w:type w:val="continuous"/>
          <w:pgSz w:w="11906" w:h="16838" w:code="9"/>
          <w:pgMar w:top="1418" w:right="1134" w:bottom="1418" w:left="1418" w:header="567" w:footer="737" w:gutter="567"/>
          <w:cols w:num="2" w:space="720"/>
          <w:titlePg/>
          <w:bidi/>
          <w:rtlGutter/>
          <w:docGrid w:linePitch="490"/>
        </w:sectPr>
      </w:pPr>
      <w:r>
        <w:rPr>
          <w:rFonts w:hint="cs"/>
          <w:rtl/>
        </w:rPr>
        <w:t>يسي</w:t>
      </w:r>
      <w:r w:rsidR="003966B8">
        <w:rPr>
          <w:rFonts w:hint="cs"/>
          <w:rtl/>
        </w:rPr>
        <w:t>ِّ</w:t>
      </w:r>
      <w:r>
        <w:rPr>
          <w:rFonts w:hint="cs"/>
          <w:rtl/>
        </w:rPr>
        <w:t>به..............................167</w:t>
      </w:r>
    </w:p>
    <w:p w:rsidR="000E23B1" w:rsidRDefault="00AB0B9E" w:rsidP="00597C20">
      <w:pPr>
        <w:ind w:firstLine="0"/>
        <w:rPr>
          <w:rtl/>
        </w:rPr>
      </w:pPr>
      <w:r>
        <w:rPr>
          <w:rtl/>
        </w:rPr>
        <w:lastRenderedPageBreak/>
        <w:fldChar w:fldCharType="end"/>
      </w:r>
    </w:p>
    <w:p w:rsidR="00BF43ED" w:rsidRDefault="00BF43ED" w:rsidP="00597C20">
      <w:pPr>
        <w:ind w:firstLine="0"/>
        <w:rPr>
          <w:rtl/>
        </w:rPr>
      </w:pPr>
    </w:p>
    <w:p w:rsidR="001B2229" w:rsidRDefault="001B2229" w:rsidP="00597C20">
      <w:pPr>
        <w:ind w:firstLine="0"/>
        <w:rPr>
          <w:rtl/>
        </w:rPr>
        <w:sectPr w:rsidR="001B2229" w:rsidSect="001C3F19">
          <w:footnotePr>
            <w:numRestart w:val="eachPage"/>
          </w:footnotePr>
          <w:type w:val="continuous"/>
          <w:pgSz w:w="11906" w:h="16838" w:code="9"/>
          <w:pgMar w:top="1418" w:right="1134" w:bottom="1418" w:left="1418" w:header="567" w:footer="737" w:gutter="567"/>
          <w:cols w:space="708"/>
          <w:titlePg/>
          <w:bidi/>
          <w:rtlGutter/>
          <w:docGrid w:linePitch="490"/>
        </w:sectPr>
      </w:pPr>
    </w:p>
    <w:p w:rsidR="001B2229" w:rsidRDefault="001B2229" w:rsidP="00597C20">
      <w:pPr>
        <w:pStyle w:val="aff0"/>
        <w:rPr>
          <w:rtl/>
        </w:rPr>
      </w:pPr>
      <w:bookmarkStart w:id="553" w:name="_Toc334046727"/>
      <w:r w:rsidRPr="000E23B1">
        <w:rPr>
          <w:rFonts w:hint="cs"/>
          <w:rtl/>
        </w:rPr>
        <w:lastRenderedPageBreak/>
        <w:t>فهرس ال</w:t>
      </w:r>
      <w:r>
        <w:rPr>
          <w:rFonts w:hint="cs"/>
          <w:rtl/>
        </w:rPr>
        <w:t>قواعد الفقهية</w:t>
      </w:r>
      <w:bookmarkEnd w:id="553"/>
    </w:p>
    <w:p w:rsidR="006E11B5" w:rsidRDefault="006E11B5" w:rsidP="006E11B5">
      <w:pPr>
        <w:ind w:firstLine="0"/>
        <w:rPr>
          <w:rtl/>
        </w:rPr>
      </w:pPr>
      <w:r w:rsidRPr="00C85F0F">
        <w:rPr>
          <w:rFonts w:hint="cs"/>
          <w:rtl/>
        </w:rPr>
        <w:t>إبقاء ما كان أولى</w:t>
      </w:r>
      <w:r w:rsidR="006734C7">
        <w:rPr>
          <w:rFonts w:hint="cs"/>
          <w:rtl/>
        </w:rPr>
        <w:t>..................................................................</w:t>
      </w:r>
      <w:r w:rsidRPr="00C85F0F">
        <w:rPr>
          <w:rFonts w:hint="cs"/>
          <w:rtl/>
        </w:rPr>
        <w:t>.</w:t>
      </w:r>
      <w:r>
        <w:rPr>
          <w:rFonts w:hint="cs"/>
          <w:rtl/>
        </w:rPr>
        <w:t>281</w:t>
      </w:r>
    </w:p>
    <w:p w:rsidR="006E11B5" w:rsidRDefault="006E11B5" w:rsidP="006E11B5">
      <w:pPr>
        <w:ind w:firstLine="0"/>
        <w:rPr>
          <w:color w:val="auto"/>
          <w:rtl/>
        </w:rPr>
      </w:pPr>
      <w:r>
        <w:rPr>
          <w:rFonts w:hint="cs"/>
          <w:color w:val="auto"/>
          <w:rtl/>
        </w:rPr>
        <w:t>الإتلاف يستوي فيه المتعمِّد والجاهل والناسي</w:t>
      </w:r>
      <w:r w:rsidR="006734C7">
        <w:rPr>
          <w:rFonts w:hint="cs"/>
          <w:color w:val="auto"/>
          <w:rtl/>
        </w:rPr>
        <w:t>.........................................</w:t>
      </w:r>
      <w:r>
        <w:rPr>
          <w:rFonts w:hint="cs"/>
          <w:color w:val="auto"/>
          <w:rtl/>
        </w:rPr>
        <w:t>.357</w:t>
      </w:r>
    </w:p>
    <w:p w:rsidR="006E11B5" w:rsidRPr="00C85F0F" w:rsidRDefault="006E11B5" w:rsidP="006E11B5">
      <w:pPr>
        <w:ind w:firstLine="0"/>
        <w:rPr>
          <w:color w:val="auto"/>
        </w:rPr>
      </w:pPr>
      <w:r w:rsidRPr="00C85F0F">
        <w:rPr>
          <w:rFonts w:hint="cs"/>
          <w:color w:val="auto"/>
          <w:rtl/>
        </w:rPr>
        <w:t xml:space="preserve">الأجزاء </w:t>
      </w:r>
      <w:r w:rsidRPr="00C85F0F">
        <w:rPr>
          <w:rFonts w:ascii="Traditional Arabic" w:hAnsi="Traditional Arabic"/>
          <w:noProof w:val="0"/>
          <w:color w:val="auto"/>
          <w:rtl/>
          <w:lang w:eastAsia="en-US"/>
        </w:rPr>
        <w:t>التي تتول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 وت</w:t>
      </w:r>
      <w:r>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w:t>
      </w:r>
      <w:r>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تاب</w:t>
      </w:r>
      <w:r>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شيئا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فشيئا بمنزلة المنافع</w:t>
      </w:r>
      <w:r w:rsidR="006734C7">
        <w:rPr>
          <w:rFonts w:hint="cs"/>
          <w:color w:val="auto"/>
          <w:rtl/>
        </w:rPr>
        <w:t>......................................</w:t>
      </w:r>
      <w:r w:rsidRPr="00C85F0F">
        <w:rPr>
          <w:rFonts w:hint="cs"/>
          <w:color w:val="auto"/>
          <w:rtl/>
        </w:rPr>
        <w:t>.</w:t>
      </w:r>
      <w:r>
        <w:rPr>
          <w:rFonts w:hint="cs"/>
          <w:color w:val="auto"/>
          <w:rtl/>
        </w:rPr>
        <w:t>510</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noProof w:val="0"/>
          <w:color w:val="auto"/>
          <w:rtl/>
          <w:lang w:eastAsia="en-US"/>
        </w:rPr>
        <w:t>الاحتياط</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أن نجعل المعدوم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كالموجود والموهوم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كالمحق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w:t>
      </w:r>
      <w:r w:rsidR="006734C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ascii="Traditional Arabic" w:hAnsi="Traditional Arabic" w:hint="cs"/>
          <w:noProof w:val="0"/>
          <w:color w:val="auto"/>
          <w:rtl/>
          <w:lang w:eastAsia="en-US"/>
        </w:rPr>
        <w:t>452</w:t>
      </w:r>
    </w:p>
    <w:p w:rsidR="006E11B5" w:rsidRDefault="006E11B5" w:rsidP="006E11B5">
      <w:pPr>
        <w:ind w:firstLine="0"/>
        <w:rPr>
          <w:rtl/>
        </w:rPr>
      </w:pPr>
      <w:r w:rsidRPr="00C85F0F">
        <w:rPr>
          <w:rFonts w:hint="cs"/>
          <w:rtl/>
        </w:rPr>
        <w:t>الأحكام الأصولية والفروعية لا تَتِمُّ إلا بأمرين: وجود الشروط والأركان وانتفاء الموانع</w:t>
      </w:r>
      <w:r w:rsidR="006734C7">
        <w:rPr>
          <w:rFonts w:hint="cs"/>
          <w:rtl/>
        </w:rPr>
        <w:t>......</w:t>
      </w:r>
      <w:r w:rsidRPr="00C85F0F">
        <w:rPr>
          <w:rFonts w:hint="cs"/>
          <w:rtl/>
        </w:rPr>
        <w:t>.</w:t>
      </w:r>
      <w:r>
        <w:rPr>
          <w:rFonts w:hint="cs"/>
          <w:rtl/>
        </w:rPr>
        <w:t>490</w:t>
      </w:r>
    </w:p>
    <w:p w:rsidR="006E11B5" w:rsidRPr="00C85F0F" w:rsidRDefault="006E11B5" w:rsidP="006E11B5">
      <w:pPr>
        <w:ind w:firstLine="0"/>
        <w:rPr>
          <w:rFonts w:ascii="Traditional Arabic" w:hAnsi="Traditional Arabic"/>
          <w:rtl/>
        </w:rPr>
      </w:pPr>
      <w:r w:rsidRPr="00C85F0F">
        <w:rPr>
          <w:rFonts w:ascii="Traditional Arabic" w:hAnsi="Traditional Arabic"/>
          <w:rtl/>
        </w:rPr>
        <w:t>أحكام الت</w:t>
      </w:r>
      <w:r w:rsidRPr="00C85F0F">
        <w:rPr>
          <w:rFonts w:ascii="Traditional Arabic" w:hAnsi="Traditional Arabic" w:hint="cs"/>
          <w:rtl/>
        </w:rPr>
        <w:t>َّ</w:t>
      </w:r>
      <w:r w:rsidRPr="00C85F0F">
        <w:rPr>
          <w:rFonts w:ascii="Traditional Arabic" w:hAnsi="Traditional Arabic"/>
          <w:rtl/>
        </w:rPr>
        <w:t>ب</w:t>
      </w:r>
      <w:r w:rsidRPr="00C85F0F">
        <w:rPr>
          <w:rFonts w:ascii="Traditional Arabic" w:hAnsi="Traditional Arabic" w:hint="cs"/>
          <w:rtl/>
        </w:rPr>
        <w:t>َ</w:t>
      </w:r>
      <w:r w:rsidRPr="00C85F0F">
        <w:rPr>
          <w:rFonts w:ascii="Traditional Arabic" w:hAnsi="Traditional Arabic"/>
          <w:rtl/>
        </w:rPr>
        <w:t>ع يثبت فيها ما لا يثبت في المتبوعات</w:t>
      </w:r>
      <w:r w:rsidR="006734C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267</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noProof w:val="0"/>
          <w:color w:val="auto"/>
          <w:rtl/>
          <w:lang w:eastAsia="en-US"/>
        </w:rPr>
        <w:t>الأحكام المترتبة على القرائن تدور معها كيفما دارت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وتبط</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ل معها </w:t>
      </w:r>
      <w:r w:rsidRPr="00C85F0F">
        <w:rPr>
          <w:rFonts w:ascii="Traditional Arabic" w:hAnsi="Traditional Arabic" w:hint="cs"/>
          <w:noProof w:val="0"/>
          <w:color w:val="auto"/>
          <w:rtl/>
          <w:lang w:eastAsia="en-US"/>
        </w:rPr>
        <w:t>إ</w:t>
      </w:r>
      <w:r w:rsidRPr="00C85F0F">
        <w:rPr>
          <w:rFonts w:ascii="Traditional Arabic" w:hAnsi="Traditional Arabic"/>
          <w:noProof w:val="0"/>
          <w:color w:val="auto"/>
          <w:rtl/>
          <w:lang w:eastAsia="en-US"/>
        </w:rPr>
        <w:t>ذا بطلت</w:t>
      </w:r>
      <w:r w:rsidR="006734C7">
        <w:rPr>
          <w:rFonts w:hint="cs"/>
          <w:color w:val="auto"/>
          <w:rtl/>
        </w:rPr>
        <w:t>.............</w:t>
      </w:r>
      <w:r w:rsidRPr="00C85F0F">
        <w:rPr>
          <w:rFonts w:hint="cs"/>
          <w:color w:val="auto"/>
          <w:rtl/>
        </w:rPr>
        <w:t>.</w:t>
      </w:r>
      <w:r>
        <w:rPr>
          <w:rFonts w:ascii="Traditional Arabic" w:hAnsi="Traditional Arabic" w:hint="cs"/>
          <w:noProof w:val="0"/>
          <w:color w:val="auto"/>
          <w:rtl/>
          <w:lang w:eastAsia="en-US"/>
        </w:rPr>
        <w:t>432</w:t>
      </w:r>
    </w:p>
    <w:p w:rsidR="006E11B5" w:rsidRDefault="006E11B5" w:rsidP="006E11B5">
      <w:pPr>
        <w:ind w:firstLine="0"/>
        <w:jc w:val="left"/>
        <w:rPr>
          <w:color w:val="auto"/>
          <w:rtl/>
        </w:rPr>
      </w:pPr>
      <w:r w:rsidRPr="00C85F0F">
        <w:rPr>
          <w:rFonts w:hint="cs"/>
          <w:color w:val="auto"/>
          <w:rtl/>
        </w:rPr>
        <w:t>أحكام الوسائل كأحكام المقاص</w:t>
      </w:r>
      <w:r>
        <w:rPr>
          <w:rFonts w:hint="cs"/>
          <w:color w:val="auto"/>
          <w:rtl/>
        </w:rPr>
        <w:t>د</w:t>
      </w:r>
      <w:r w:rsidR="006734C7">
        <w:rPr>
          <w:rFonts w:hint="cs"/>
          <w:color w:val="auto"/>
          <w:rtl/>
        </w:rPr>
        <w:t>....................................................</w:t>
      </w:r>
      <w:r w:rsidRPr="00C85F0F">
        <w:rPr>
          <w:rFonts w:hint="cs"/>
          <w:color w:val="auto"/>
          <w:rtl/>
        </w:rPr>
        <w:t>.</w:t>
      </w:r>
      <w:r>
        <w:rPr>
          <w:rFonts w:hint="cs"/>
          <w:color w:val="auto"/>
          <w:rtl/>
        </w:rPr>
        <w:t>174</w:t>
      </w:r>
    </w:p>
    <w:p w:rsidR="006E11B5" w:rsidRDefault="006E11B5" w:rsidP="006E11B5">
      <w:pPr>
        <w:pStyle w:val="a7"/>
        <w:spacing w:line="440" w:lineRule="exact"/>
        <w:jc w:val="lowKashida"/>
        <w:rPr>
          <w:rFonts w:ascii="Traditional Arabic" w:hAnsi="Traditional Arabic"/>
          <w:color w:val="auto"/>
          <w:rtl/>
        </w:rPr>
      </w:pPr>
      <w:r w:rsidRPr="00A71F5D">
        <w:rPr>
          <w:rFonts w:ascii="Traditional Arabic" w:hAnsi="Traditional Arabic" w:hint="cs"/>
          <w:color w:val="auto"/>
          <w:sz w:val="36"/>
          <w:szCs w:val="36"/>
          <w:rtl/>
        </w:rPr>
        <w:t>الأحكام إنما هي للغالب الكثير، والنادر في حُكم المعدوم</w:t>
      </w:r>
      <w:r w:rsidR="006734C7">
        <w:rPr>
          <w:rFonts w:ascii="Traditional Arabic" w:hAnsi="Traditional Arabic" w:hint="cs"/>
          <w:color w:val="auto"/>
          <w:sz w:val="36"/>
          <w:szCs w:val="36"/>
          <w:rtl/>
        </w:rPr>
        <w:t>............................</w:t>
      </w:r>
      <w:r w:rsidRPr="00A71F5D">
        <w:rPr>
          <w:rFonts w:ascii="Traditional Arabic" w:hAnsi="Traditional Arabic" w:hint="cs"/>
          <w:color w:val="auto"/>
          <w:sz w:val="36"/>
          <w:szCs w:val="36"/>
          <w:rtl/>
        </w:rPr>
        <w:t>.</w:t>
      </w:r>
      <w:r w:rsidRPr="00345E2B">
        <w:rPr>
          <w:rFonts w:ascii="Traditional Arabic" w:hAnsi="Traditional Arabic" w:hint="cs"/>
          <w:color w:val="auto"/>
          <w:sz w:val="36"/>
          <w:szCs w:val="36"/>
          <w:rtl/>
        </w:rPr>
        <w:t>322</w:t>
      </w:r>
    </w:p>
    <w:p w:rsidR="006E11B5" w:rsidRDefault="006E11B5" w:rsidP="006E11B5">
      <w:pPr>
        <w:ind w:firstLine="0"/>
        <w:rPr>
          <w:rFonts w:ascii="Traditional Arabic" w:hAnsi="Traditional Arabic"/>
          <w:noProof w:val="0"/>
          <w:color w:val="auto"/>
          <w:rtl/>
          <w:lang w:eastAsia="en-US"/>
        </w:rPr>
      </w:pPr>
      <w:r w:rsidRPr="00C85F0F">
        <w:rPr>
          <w:rFonts w:hint="cs"/>
          <w:rtl/>
        </w:rPr>
        <w:t>الأحكام تتبعض</w:t>
      </w:r>
      <w:r w:rsidR="006734C7">
        <w:rPr>
          <w:rFonts w:hint="cs"/>
          <w:rtl/>
        </w:rPr>
        <w:t>...................................................................</w:t>
      </w:r>
      <w:r w:rsidRPr="00C85F0F">
        <w:rPr>
          <w:rFonts w:hint="cs"/>
          <w:rtl/>
        </w:rPr>
        <w:t>.</w:t>
      </w:r>
      <w:r>
        <w:rPr>
          <w:rFonts w:hint="cs"/>
          <w:rtl/>
        </w:rPr>
        <w:t>445</w:t>
      </w:r>
    </w:p>
    <w:p w:rsidR="006E11B5" w:rsidRDefault="006E11B5" w:rsidP="006E11B5">
      <w:pPr>
        <w:ind w:firstLine="0"/>
        <w:rPr>
          <w:rtl/>
        </w:rPr>
      </w:pPr>
      <w:r w:rsidRPr="00C85F0F">
        <w:rPr>
          <w:rFonts w:hint="cs"/>
          <w:rtl/>
        </w:rPr>
        <w:t>الأحكام قد تتبعَّض</w:t>
      </w:r>
      <w:r w:rsidR="006734C7">
        <w:rPr>
          <w:rFonts w:hint="cs"/>
          <w:rtl/>
        </w:rPr>
        <w:t>................................................................</w:t>
      </w:r>
      <w:r w:rsidRPr="00C85F0F">
        <w:rPr>
          <w:rFonts w:hint="cs"/>
          <w:rtl/>
        </w:rPr>
        <w:t>.</w:t>
      </w:r>
      <w:r>
        <w:rPr>
          <w:rFonts w:hint="cs"/>
          <w:rtl/>
        </w:rPr>
        <w:t>445</w:t>
      </w:r>
    </w:p>
    <w:p w:rsidR="006E11B5" w:rsidRPr="00A71F5D" w:rsidRDefault="006E11B5" w:rsidP="006E11B5">
      <w:pPr>
        <w:pStyle w:val="a7"/>
        <w:spacing w:line="440" w:lineRule="exact"/>
        <w:jc w:val="lowKashida"/>
        <w:rPr>
          <w:rFonts w:ascii="Traditional Arabic" w:hAnsi="Traditional Arabic"/>
          <w:color w:val="auto"/>
          <w:sz w:val="36"/>
          <w:szCs w:val="36"/>
          <w:rtl/>
        </w:rPr>
      </w:pPr>
      <w:r w:rsidRPr="00A71F5D">
        <w:rPr>
          <w:rFonts w:ascii="Traditional Arabic" w:hAnsi="Traditional Arabic" w:hint="cs"/>
          <w:color w:val="auto"/>
          <w:sz w:val="36"/>
          <w:szCs w:val="36"/>
          <w:rtl/>
        </w:rPr>
        <w:t>اختلف المالكية في اعتبار حكم النادر في نفسه، أو إلحاقه بالغالب.</w:t>
      </w:r>
      <w:r w:rsidR="006734C7">
        <w:rPr>
          <w:rFonts w:ascii="Traditional Arabic" w:hAnsi="Traditional Arabic" w:hint="cs"/>
          <w:color w:val="auto"/>
          <w:sz w:val="36"/>
          <w:szCs w:val="36"/>
          <w:rtl/>
        </w:rPr>
        <w:t>...................</w:t>
      </w:r>
      <w:r w:rsidRPr="00345E2B">
        <w:rPr>
          <w:rFonts w:ascii="Traditional Arabic" w:hAnsi="Traditional Arabic" w:hint="cs"/>
          <w:color w:val="auto"/>
          <w:sz w:val="36"/>
          <w:szCs w:val="36"/>
          <w:rtl/>
        </w:rPr>
        <w:t xml:space="preserve"> 322</w:t>
      </w:r>
    </w:p>
    <w:p w:rsidR="006E11B5" w:rsidRPr="00C85F0F" w:rsidRDefault="006E11B5" w:rsidP="006E11B5">
      <w:pPr>
        <w:ind w:firstLine="0"/>
        <w:rPr>
          <w:rtl/>
        </w:rPr>
      </w:pPr>
      <w:r w:rsidRPr="00C85F0F">
        <w:rPr>
          <w:rFonts w:ascii="Traditional Arabic" w:hAnsi="Traditional Arabic"/>
          <w:noProof w:val="0"/>
          <w:rtl/>
          <w:lang w:eastAsia="en-US"/>
        </w:rPr>
        <w:t>إذا اجتمع التسبب والمباشرة 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بت المباشرة</w:t>
      </w:r>
      <w:r w:rsidR="006734C7">
        <w:rPr>
          <w:rFonts w:hint="cs"/>
          <w:rtl/>
        </w:rPr>
        <w:t>...........................................</w:t>
      </w:r>
      <w:r w:rsidRPr="00C85F0F">
        <w:rPr>
          <w:rFonts w:hint="cs"/>
          <w:rtl/>
        </w:rPr>
        <w:t>.</w:t>
      </w:r>
      <w:r>
        <w:rPr>
          <w:rFonts w:hint="cs"/>
          <w:rtl/>
        </w:rPr>
        <w:t>335</w:t>
      </w:r>
    </w:p>
    <w:p w:rsidR="006E11B5" w:rsidRDefault="006E11B5" w:rsidP="006E11B5">
      <w:pPr>
        <w:ind w:firstLine="0"/>
        <w:rPr>
          <w:rtl/>
        </w:rPr>
      </w:pPr>
      <w:r w:rsidRPr="00C85F0F">
        <w:rPr>
          <w:rFonts w:hint="cs"/>
          <w:rtl/>
        </w:rPr>
        <w:t>إذا اجتمع الحلال والحرام أو المبيح والمحرِّم غُلِّب جانبُ المحرِّم</w:t>
      </w:r>
      <w:r w:rsidR="006734C7">
        <w:rPr>
          <w:rFonts w:hint="cs"/>
          <w:rtl/>
        </w:rPr>
        <w:t>............................</w:t>
      </w:r>
      <w:r w:rsidRPr="00C85F0F">
        <w:rPr>
          <w:rFonts w:hint="cs"/>
          <w:rtl/>
        </w:rPr>
        <w:t>.</w:t>
      </w:r>
      <w:r>
        <w:rPr>
          <w:rFonts w:hint="cs"/>
          <w:rtl/>
        </w:rPr>
        <w:t>122</w:t>
      </w:r>
    </w:p>
    <w:p w:rsidR="006E11B5" w:rsidRDefault="006E11B5" w:rsidP="006E11B5">
      <w:pPr>
        <w:ind w:firstLine="0"/>
        <w:rPr>
          <w:rtl/>
        </w:rPr>
      </w:pPr>
      <w:r w:rsidRPr="00C85F0F">
        <w:rPr>
          <w:rFonts w:hint="cs"/>
          <w:rtl/>
        </w:rPr>
        <w:t>إذا اجتمع الحلال والحرام غَلَبَ الحرام</w:t>
      </w:r>
      <w:r w:rsidR="006734C7">
        <w:rPr>
          <w:rFonts w:hint="cs"/>
          <w:rtl/>
        </w:rPr>
        <w:t>.................................................</w:t>
      </w:r>
      <w:r w:rsidRPr="00C85F0F">
        <w:rPr>
          <w:rFonts w:hint="cs"/>
          <w:rtl/>
        </w:rPr>
        <w:t>.</w:t>
      </w:r>
      <w:r>
        <w:rPr>
          <w:rFonts w:hint="cs"/>
          <w:rtl/>
        </w:rPr>
        <w:t>122</w:t>
      </w:r>
    </w:p>
    <w:p w:rsidR="006E11B5" w:rsidRDefault="006E11B5" w:rsidP="006E11B5">
      <w:pPr>
        <w:ind w:firstLine="0"/>
        <w:rPr>
          <w:color w:val="auto"/>
          <w:rtl/>
        </w:rPr>
      </w:pPr>
      <w:r w:rsidRPr="00C85F0F">
        <w:rPr>
          <w:rFonts w:ascii="Traditional Arabic" w:hAnsi="Traditional Arabic"/>
          <w:noProof w:val="0"/>
          <w:rtl/>
          <w:lang w:eastAsia="en-US"/>
        </w:rPr>
        <w:t>إذا اجتمع السبب والمباشرة سقط 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كم السبب</w:t>
      </w:r>
      <w:r w:rsidR="006734C7">
        <w:rPr>
          <w:rFonts w:ascii="Traditional Arabic" w:hAnsi="Traditional Arabic" w:hint="cs"/>
          <w:noProof w:val="0"/>
          <w:rtl/>
          <w:lang w:eastAsia="en-US"/>
        </w:rPr>
        <w:t>.......................................</w:t>
      </w:r>
      <w:r w:rsidRPr="00C85F0F">
        <w:rPr>
          <w:rFonts w:ascii="Traditional Arabic" w:hAnsi="Traditional Arabic"/>
          <w:noProof w:val="0"/>
          <w:rtl/>
          <w:lang w:eastAsia="en-US"/>
        </w:rPr>
        <w:t>.</w:t>
      </w:r>
      <w:r>
        <w:rPr>
          <w:rFonts w:hint="cs"/>
          <w:color w:val="auto"/>
          <w:rtl/>
        </w:rPr>
        <w:t>336</w:t>
      </w:r>
    </w:p>
    <w:p w:rsidR="006E11B5" w:rsidRDefault="006E11B5" w:rsidP="006E11B5">
      <w:pPr>
        <w:ind w:firstLine="0"/>
        <w:rPr>
          <w:rtl/>
        </w:rPr>
      </w:pPr>
      <w:r w:rsidRPr="00C85F0F">
        <w:rPr>
          <w:rFonts w:ascii="Traditional Arabic" w:hAnsi="Traditional Arabic"/>
          <w:noProof w:val="0"/>
          <w:rtl/>
          <w:lang w:eastAsia="en-US"/>
        </w:rPr>
        <w:t>إذا اجتمع السبب والمباش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أو الغ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رور</w:t>
      </w:r>
      <w:r>
        <w:rPr>
          <w:rStyle w:val="af1"/>
          <w:rFonts w:hint="cs"/>
          <w:szCs w:val="32"/>
          <w:rtl/>
        </w:rPr>
        <w:t xml:space="preserve"> </w:t>
      </w:r>
      <w:r w:rsidRPr="00C85F0F">
        <w:rPr>
          <w:rFonts w:ascii="Traditional Arabic" w:hAnsi="Traditional Arabic"/>
          <w:noProof w:val="0"/>
          <w:rtl/>
          <w:lang w:eastAsia="en-US"/>
        </w:rPr>
        <w:t>والمباشرة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 المباشرة</w:t>
      </w:r>
      <w:r w:rsidR="006734C7">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hint="cs"/>
          <w:rtl/>
        </w:rPr>
        <w:t>336</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noProof w:val="0"/>
          <w:color w:val="auto"/>
          <w:rtl/>
          <w:lang w:eastAsia="en-US"/>
        </w:rPr>
        <w:t>إذا اجتمع المباشر والمتسبب أضيف الحكم إلى المباشر</w:t>
      </w:r>
      <w:r w:rsidR="006734C7">
        <w:rPr>
          <w:rFonts w:hint="cs"/>
          <w:color w:val="auto"/>
          <w:rtl/>
        </w:rPr>
        <w:t>..................................</w:t>
      </w:r>
      <w:r w:rsidRPr="00C85F0F">
        <w:rPr>
          <w:rFonts w:hint="cs"/>
          <w:color w:val="auto"/>
          <w:rtl/>
        </w:rPr>
        <w:t>.</w:t>
      </w:r>
      <w:r>
        <w:rPr>
          <w:rFonts w:ascii="Traditional Arabic" w:hAnsi="Traditional Arabic" w:hint="cs"/>
          <w:noProof w:val="0"/>
          <w:color w:val="auto"/>
          <w:rtl/>
          <w:lang w:eastAsia="en-US"/>
        </w:rPr>
        <w:t>336</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color w:val="auto"/>
          <w:rtl/>
          <w:lang w:eastAsia="en-US"/>
        </w:rPr>
        <w:t>إذا اجتمع المباش</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 والمتسب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 يضاف الح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كم إلى المباشر</w:t>
      </w:r>
      <w:r w:rsidR="006734C7">
        <w:rPr>
          <w:rFonts w:ascii="Traditional Arabic" w:hAnsi="Traditional Arabic" w:hint="cs"/>
          <w:noProof w:val="0"/>
          <w:color w:val="auto"/>
          <w:rtl/>
          <w:lang w:eastAsia="en-US"/>
        </w:rPr>
        <w:t>.................................</w:t>
      </w:r>
      <w:r w:rsidRPr="00C85F0F">
        <w:rPr>
          <w:rFonts w:hint="cs"/>
          <w:color w:val="auto"/>
          <w:rtl/>
        </w:rPr>
        <w:t>.</w:t>
      </w:r>
      <w:r>
        <w:rPr>
          <w:rFonts w:ascii="Traditional Arabic" w:hAnsi="Traditional Arabic" w:hint="cs"/>
          <w:noProof w:val="0"/>
          <w:rtl/>
          <w:lang w:eastAsia="en-US"/>
        </w:rPr>
        <w:t>336</w:t>
      </w:r>
    </w:p>
    <w:p w:rsidR="006E11B5" w:rsidRDefault="006E11B5" w:rsidP="006E11B5">
      <w:pPr>
        <w:ind w:firstLine="0"/>
        <w:rPr>
          <w:rtl/>
        </w:rPr>
      </w:pPr>
      <w:r w:rsidRPr="00C85F0F">
        <w:rPr>
          <w:rFonts w:hint="cs"/>
          <w:rtl/>
        </w:rPr>
        <w:lastRenderedPageBreak/>
        <w:t>إذا اجتمع المعنى الموجِبُ للحظر والموجب للإباحة في شيء واحد يُغَلَّب الموجب للحظر</w:t>
      </w:r>
      <w:r w:rsidR="006734C7">
        <w:rPr>
          <w:rFonts w:hint="cs"/>
          <w:rtl/>
        </w:rPr>
        <w:t>...</w:t>
      </w:r>
      <w:r w:rsidRPr="00C85F0F">
        <w:rPr>
          <w:rFonts w:hint="cs"/>
          <w:rtl/>
        </w:rPr>
        <w:t>.</w:t>
      </w:r>
      <w:r>
        <w:rPr>
          <w:rFonts w:hint="cs"/>
          <w:rtl/>
        </w:rPr>
        <w:t>123</w:t>
      </w:r>
    </w:p>
    <w:p w:rsidR="006E11B5" w:rsidRDefault="006E11B5" w:rsidP="006E11B5">
      <w:pPr>
        <w:ind w:firstLine="0"/>
        <w:rPr>
          <w:rtl/>
        </w:rPr>
      </w:pPr>
      <w:r w:rsidRPr="00C85F0F">
        <w:rPr>
          <w:rFonts w:hint="cs"/>
          <w:rtl/>
        </w:rPr>
        <w:t>إذا اجتمع حَظْرٌ وإباحة غلِّب جانب الحظر</w:t>
      </w:r>
      <w:r w:rsidR="006734C7">
        <w:rPr>
          <w:rFonts w:hint="cs"/>
          <w:rtl/>
        </w:rPr>
        <w:t>..........................................</w:t>
      </w:r>
      <w:r w:rsidRPr="00C85F0F">
        <w:rPr>
          <w:rFonts w:hint="cs"/>
          <w:rtl/>
        </w:rPr>
        <w:t>.</w:t>
      </w:r>
      <w:r>
        <w:rPr>
          <w:rFonts w:hint="cs"/>
          <w:rtl/>
        </w:rPr>
        <w:t>122</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rtl/>
          <w:lang w:eastAsia="en-US"/>
        </w:rPr>
        <w:t>إذا اجتمع سببان: مبيح وحاظر، غُل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 جانب الحظر</w:t>
      </w:r>
      <w:r w:rsidR="006734C7">
        <w:rPr>
          <w:rFonts w:ascii="Traditional Arabic" w:hAnsi="Traditional Arabic" w:hint="cs"/>
          <w:noProof w:val="0"/>
          <w:rtl/>
          <w:lang w:eastAsia="en-US"/>
        </w:rPr>
        <w:t>..................................</w:t>
      </w:r>
      <w:r w:rsidRPr="00C85F0F">
        <w:rPr>
          <w:rFonts w:ascii="Traditional Arabic" w:hAnsi="Traditional Arabic"/>
          <w:noProof w:val="0"/>
          <w:rtl/>
          <w:lang w:eastAsia="en-US"/>
        </w:rPr>
        <w:t>.</w:t>
      </w:r>
      <w:r>
        <w:rPr>
          <w:rFonts w:ascii="Traditional Arabic" w:hAnsi="Traditional Arabic" w:hint="cs"/>
          <w:noProof w:val="0"/>
          <w:rtl/>
          <w:lang w:eastAsia="en-US"/>
        </w:rPr>
        <w:t>122</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color w:val="auto"/>
          <w:rtl/>
          <w:lang w:eastAsia="en-US"/>
        </w:rPr>
        <w:t>إذا اجتمع في شيء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مبيح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وحاظر، ولم يتميز المبيح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الحاظر، فإنه يغل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 جانب الحاظر</w:t>
      </w:r>
      <w:r w:rsidR="006734C7">
        <w:rPr>
          <w:rFonts w:ascii="Traditional Arabic" w:hAnsi="Traditional Arabic" w:hint="cs"/>
          <w:noProof w:val="0"/>
          <w:color w:val="auto"/>
          <w:rtl/>
          <w:lang w:eastAsia="en-US"/>
        </w:rPr>
        <w:t>...</w:t>
      </w:r>
      <w:r w:rsidRPr="00C85F0F">
        <w:rPr>
          <w:rFonts w:hint="cs"/>
          <w:color w:val="auto"/>
          <w:rtl/>
        </w:rPr>
        <w:t>.</w:t>
      </w:r>
      <w:r>
        <w:rPr>
          <w:rFonts w:ascii="Traditional Arabic" w:hAnsi="Traditional Arabic" w:hint="cs"/>
          <w:noProof w:val="0"/>
          <w:rtl/>
          <w:lang w:eastAsia="en-US"/>
        </w:rPr>
        <w:t>122</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rtl/>
          <w:lang w:eastAsia="en-US"/>
        </w:rPr>
        <w:t>إذا اجتمع مبيح وحاظر غُلِّبَ جانب الحظر</w:t>
      </w:r>
      <w:r w:rsidR="006734C7">
        <w:rPr>
          <w:rFonts w:hint="cs"/>
          <w:rtl/>
        </w:rPr>
        <w:t>...........................................</w:t>
      </w:r>
      <w:r w:rsidRPr="00C85F0F">
        <w:rPr>
          <w:rFonts w:hint="cs"/>
          <w:rtl/>
        </w:rPr>
        <w:t>.</w:t>
      </w:r>
      <w:r>
        <w:rPr>
          <w:rFonts w:ascii="Traditional Arabic" w:hAnsi="Traditional Arabic" w:hint="cs"/>
          <w:noProof w:val="0"/>
          <w:rtl/>
          <w:lang w:eastAsia="en-US"/>
        </w:rPr>
        <w:t>121</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noProof w:val="0"/>
          <w:rtl/>
          <w:lang w:eastAsia="en-US"/>
        </w:rPr>
        <w:t>إذا اجتمع مبيح وحاظر فالح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كم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حاظر</w:t>
      </w:r>
      <w:r w:rsidR="006734C7">
        <w:rPr>
          <w:rFonts w:hint="cs"/>
          <w:rtl/>
        </w:rPr>
        <w:t>..............................................</w:t>
      </w:r>
      <w:r w:rsidRPr="00C85F0F">
        <w:rPr>
          <w:rFonts w:hint="cs"/>
          <w:rtl/>
        </w:rPr>
        <w:t>.</w:t>
      </w:r>
      <w:r>
        <w:rPr>
          <w:rFonts w:hint="cs"/>
          <w:rtl/>
        </w:rPr>
        <w:t>121</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rtl/>
          <w:lang w:eastAsia="en-US"/>
        </w:rPr>
        <w:t>إذا اجتمع مبيح وحاظر</w:t>
      </w:r>
      <w:r w:rsidRPr="00C85F0F">
        <w:rPr>
          <w:rFonts w:hint="cs"/>
          <w:rtl/>
        </w:rPr>
        <w:t xml:space="preserve"> قُدِّمَ الحاظر على المبيح</w:t>
      </w:r>
      <w:r w:rsidR="006734C7">
        <w:rPr>
          <w:rFonts w:hint="cs"/>
          <w:rtl/>
        </w:rPr>
        <w:t>........................................</w:t>
      </w:r>
      <w:r w:rsidRPr="00C85F0F">
        <w:rPr>
          <w:rFonts w:hint="cs"/>
          <w:rtl/>
        </w:rPr>
        <w:t>.</w:t>
      </w:r>
      <w:r>
        <w:rPr>
          <w:rFonts w:ascii="Traditional Arabic" w:hAnsi="Traditional Arabic" w:hint="cs"/>
          <w:noProof w:val="0"/>
          <w:rtl/>
          <w:lang w:eastAsia="en-US"/>
        </w:rPr>
        <w:t>121</w:t>
      </w:r>
    </w:p>
    <w:p w:rsidR="006E11B5" w:rsidRDefault="006E11B5" w:rsidP="006E11B5">
      <w:pPr>
        <w:ind w:firstLine="0"/>
        <w:rPr>
          <w:rtl/>
        </w:rPr>
      </w:pPr>
      <w:r w:rsidRPr="00C85F0F">
        <w:rPr>
          <w:rFonts w:ascii="Traditional Arabic" w:hAnsi="Traditional Arabic"/>
          <w:noProof w:val="0"/>
          <w:rtl/>
          <w:lang w:eastAsia="en-US"/>
        </w:rPr>
        <w:t>إذا اجتمع مبيح وحاظر</w:t>
      </w:r>
      <w:r w:rsidRPr="00C85F0F">
        <w:rPr>
          <w:rFonts w:hint="cs"/>
          <w:rtl/>
        </w:rPr>
        <w:t xml:space="preserve"> وتعذَّر انفكاكُ أحدِهما عن الآخَر فإنه يغلَّب جانِبُ الحظر</w:t>
      </w:r>
      <w:r w:rsidR="006734C7">
        <w:rPr>
          <w:rFonts w:hint="cs"/>
          <w:rtl/>
        </w:rPr>
        <w:t>........</w:t>
      </w:r>
      <w:r w:rsidRPr="00C85F0F">
        <w:rPr>
          <w:rFonts w:hint="cs"/>
          <w:rtl/>
        </w:rPr>
        <w:t>.</w:t>
      </w:r>
      <w:r>
        <w:rPr>
          <w:rFonts w:hint="cs"/>
          <w:rtl/>
        </w:rPr>
        <w:t>122</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rtl/>
          <w:lang w:eastAsia="en-US"/>
        </w:rPr>
        <w:t>إِذا اجتمع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بيحٌ وحاظ</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ولم يتميَّز أحدُهما بِرُجْحَانٍ، فإِنه يُغلَّب جانب 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ظ</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006734C7">
        <w:rPr>
          <w:rFonts w:hint="cs"/>
          <w:rtl/>
        </w:rPr>
        <w:t>.............</w:t>
      </w:r>
      <w:r w:rsidRPr="00C85F0F">
        <w:rPr>
          <w:rFonts w:hint="cs"/>
          <w:rtl/>
        </w:rPr>
        <w:t>.</w:t>
      </w:r>
      <w:r>
        <w:rPr>
          <w:rFonts w:ascii="Traditional Arabic" w:hAnsi="Traditional Arabic" w:hint="cs"/>
          <w:noProof w:val="0"/>
          <w:rtl/>
          <w:lang w:eastAsia="en-US"/>
        </w:rPr>
        <w:t>121</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rtl/>
          <w:lang w:eastAsia="en-US"/>
        </w:rPr>
        <w:t>إذا اجتمع متسب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 ومباش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فالضمان على المباشر</w:t>
      </w:r>
      <w:r w:rsidR="006734C7">
        <w:rPr>
          <w:rFonts w:hint="cs"/>
          <w:rtl/>
        </w:rPr>
        <w:t>.....................................</w:t>
      </w:r>
      <w:r w:rsidRPr="00C85F0F">
        <w:rPr>
          <w:rFonts w:hint="cs"/>
          <w:rtl/>
        </w:rPr>
        <w:t>.</w:t>
      </w:r>
      <w:r>
        <w:rPr>
          <w:rFonts w:ascii="Traditional Arabic" w:hAnsi="Traditional Arabic" w:hint="cs"/>
          <w:noProof w:val="0"/>
          <w:rtl/>
          <w:lang w:eastAsia="en-US"/>
        </w:rPr>
        <w:t>335</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color w:val="auto"/>
          <w:rtl/>
          <w:lang w:eastAsia="en-US"/>
        </w:rPr>
        <w:t>إذا اجتمع متسبب ومباشر</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w:t>
      </w:r>
      <w:r w:rsidRPr="00C85F0F">
        <w:rPr>
          <w:rFonts w:ascii="Traditional Arabic" w:hAnsi="Traditional Arabic" w:hint="cs"/>
          <w:noProof w:val="0"/>
          <w:color w:val="auto"/>
          <w:rtl/>
          <w:lang w:eastAsia="en-US"/>
        </w:rPr>
        <w:t>يم</w:t>
      </w:r>
      <w:r w:rsidRPr="00C85F0F">
        <w:rPr>
          <w:rFonts w:ascii="Traditional Arabic" w:hAnsi="Traditional Arabic"/>
          <w:noProof w:val="0"/>
          <w:color w:val="auto"/>
          <w:rtl/>
          <w:lang w:eastAsia="en-US"/>
        </w:rPr>
        <w:t>كن إحالة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الضمان عليه فالضمان على المباشر</w:t>
      </w:r>
      <w:r w:rsidR="006734C7">
        <w:rPr>
          <w:rFonts w:hint="cs"/>
          <w:color w:val="auto"/>
          <w:rtl/>
        </w:rPr>
        <w:t>..............</w:t>
      </w:r>
      <w:r w:rsidRPr="00C85F0F">
        <w:rPr>
          <w:rFonts w:hint="cs"/>
          <w:color w:val="auto"/>
          <w:rtl/>
        </w:rPr>
        <w:t>.</w:t>
      </w:r>
      <w:r>
        <w:rPr>
          <w:rFonts w:ascii="Traditional Arabic" w:hAnsi="Traditional Arabic" w:hint="cs"/>
          <w:noProof w:val="0"/>
          <w:rtl/>
          <w:lang w:eastAsia="en-US"/>
        </w:rPr>
        <w:t>335</w:t>
      </w:r>
    </w:p>
    <w:p w:rsidR="006E11B5" w:rsidRDefault="006E11B5" w:rsidP="006E11B5">
      <w:pPr>
        <w:ind w:firstLine="0"/>
        <w:rPr>
          <w:rFonts w:ascii="Traditional Arabic" w:hAnsi="Traditional Arabic"/>
          <w:noProof w:val="0"/>
          <w:color w:val="auto"/>
          <w:rtl/>
          <w:lang w:eastAsia="en-US"/>
        </w:rPr>
      </w:pPr>
      <w:r>
        <w:rPr>
          <w:rFonts w:hint="cs"/>
          <w:rtl/>
        </w:rPr>
        <w:t>إذا اجتمع موجِبُ التحليل والتحريم على وجهٍ لا تمييزَ بينهما غُلِّب جانِبُ التحريم</w:t>
      </w:r>
      <w:r w:rsidR="006734C7">
        <w:rPr>
          <w:rFonts w:ascii="Traditional Arabic" w:hAnsi="Traditional Arabic" w:hint="cs"/>
          <w:noProof w:val="0"/>
          <w:color w:val="auto"/>
          <w:rtl/>
          <w:lang w:eastAsia="en-US"/>
        </w:rPr>
        <w:t>.........</w:t>
      </w:r>
      <w:r>
        <w:rPr>
          <w:rFonts w:ascii="Traditional Arabic" w:hAnsi="Traditional Arabic" w:hint="cs"/>
          <w:noProof w:val="0"/>
          <w:color w:val="auto"/>
          <w:rtl/>
          <w:lang w:eastAsia="en-US"/>
        </w:rPr>
        <w:t>.121</w:t>
      </w:r>
    </w:p>
    <w:p w:rsidR="006E11B5" w:rsidRPr="006E4921" w:rsidRDefault="006E11B5" w:rsidP="006E11B5">
      <w:pPr>
        <w:pStyle w:val="a7"/>
        <w:jc w:val="lowKashida"/>
        <w:rPr>
          <w:rFonts w:ascii="Traditional Arabic" w:hAnsi="Traditional Arabic"/>
          <w:noProof w:val="0"/>
          <w:color w:val="auto"/>
          <w:sz w:val="36"/>
          <w:szCs w:val="36"/>
          <w:rtl/>
          <w:lang w:eastAsia="en-US"/>
        </w:rPr>
      </w:pPr>
      <w:r w:rsidRPr="006E4921">
        <w:rPr>
          <w:rFonts w:ascii="Traditional Arabic" w:hAnsi="Traditional Arabic" w:hint="cs"/>
          <w:noProof w:val="0"/>
          <w:color w:val="auto"/>
          <w:sz w:val="36"/>
          <w:szCs w:val="36"/>
          <w:rtl/>
          <w:lang w:eastAsia="en-US"/>
        </w:rPr>
        <w:t>إذا اجتمعت مصالح ومفاسد، وتعذَّر الجمع، فإن رجحت المصالح حصَّلناها.</w:t>
      </w:r>
      <w:r w:rsidR="006734C7">
        <w:rPr>
          <w:rFonts w:ascii="Traditional Arabic" w:hAnsi="Traditional Arabic" w:hint="cs"/>
          <w:noProof w:val="0"/>
          <w:color w:val="auto"/>
          <w:sz w:val="36"/>
          <w:szCs w:val="36"/>
          <w:rtl/>
          <w:lang w:eastAsia="en-US"/>
        </w:rPr>
        <w:t>...........</w:t>
      </w:r>
      <w:r w:rsidRPr="006E4921">
        <w:rPr>
          <w:rFonts w:ascii="Traditional Arabic" w:hAnsi="Traditional Arabic" w:hint="cs"/>
          <w:noProof w:val="0"/>
          <w:color w:val="auto"/>
          <w:sz w:val="36"/>
          <w:szCs w:val="36"/>
          <w:rtl/>
          <w:lang w:eastAsia="en-US"/>
        </w:rPr>
        <w:t>.</w:t>
      </w:r>
      <w:r>
        <w:rPr>
          <w:rFonts w:ascii="Traditional Arabic" w:hAnsi="Traditional Arabic" w:hint="cs"/>
          <w:noProof w:val="0"/>
          <w:color w:val="auto"/>
          <w:sz w:val="36"/>
          <w:szCs w:val="36"/>
          <w:rtl/>
          <w:lang w:eastAsia="en-US"/>
        </w:rPr>
        <w:t>106</w:t>
      </w:r>
    </w:p>
    <w:p w:rsidR="006E11B5" w:rsidRDefault="006E11B5" w:rsidP="006E11B5">
      <w:pPr>
        <w:ind w:firstLine="0"/>
        <w:rPr>
          <w:rFonts w:ascii="Traditional Arabic" w:hAnsi="Traditional Arabic"/>
          <w:rtl/>
        </w:rPr>
      </w:pPr>
      <w:r w:rsidRPr="00C85F0F">
        <w:rPr>
          <w:rFonts w:hint="cs"/>
          <w:color w:val="auto"/>
          <w:rtl/>
        </w:rPr>
        <w:t>إذا ارتفع الأصلُ، امتنع بقاءُ الفرع ب</w:t>
      </w:r>
      <w:r>
        <w:rPr>
          <w:rFonts w:hint="cs"/>
          <w:color w:val="auto"/>
          <w:rtl/>
        </w:rPr>
        <w:t>َ</w:t>
      </w:r>
      <w:r w:rsidRPr="00C85F0F">
        <w:rPr>
          <w:rFonts w:hint="cs"/>
          <w:color w:val="auto"/>
          <w:rtl/>
        </w:rPr>
        <w:t>عد</w:t>
      </w:r>
      <w:r>
        <w:rPr>
          <w:rFonts w:hint="cs"/>
          <w:color w:val="auto"/>
          <w:rtl/>
        </w:rPr>
        <w:t>َ</w:t>
      </w:r>
      <w:r w:rsidRPr="00C85F0F">
        <w:rPr>
          <w:rFonts w:hint="cs"/>
          <w:color w:val="auto"/>
          <w:rtl/>
        </w:rPr>
        <w:t>ه</w:t>
      </w:r>
      <w:r>
        <w:rPr>
          <w:rFonts w:ascii="Traditional Arabic" w:hAnsi="Traditional Arabic" w:hint="cs"/>
          <w:rtl/>
        </w:rPr>
        <w:t>.</w:t>
      </w:r>
      <w:r w:rsidR="000D7CE2">
        <w:rPr>
          <w:rFonts w:ascii="Traditional Arabic" w:hAnsi="Traditional Arabic" w:hint="cs"/>
          <w:rtl/>
        </w:rPr>
        <w:t>..............................................</w:t>
      </w:r>
      <w:r>
        <w:rPr>
          <w:rFonts w:ascii="Traditional Arabic" w:hAnsi="Traditional Arabic" w:hint="cs"/>
          <w:rtl/>
        </w:rPr>
        <w:t>274</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rtl/>
          <w:lang w:eastAsia="en-US"/>
        </w:rPr>
        <w:t>إذا استند إتلاف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أموال الآدميين ونفوسهم إلى مباش</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رة وسبب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تعل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 الضمان بالمباشرة</w:t>
      </w:r>
      <w:r w:rsidR="000D7CE2">
        <w:rPr>
          <w:rFonts w:ascii="Traditional Arabic" w:hAnsi="Traditional Arabic" w:hint="cs"/>
          <w:noProof w:val="0"/>
          <w:rtl/>
          <w:lang w:eastAsia="en-US"/>
        </w:rPr>
        <w:t>.....</w:t>
      </w:r>
      <w:r>
        <w:rPr>
          <w:rFonts w:ascii="Traditional Arabic" w:hAnsi="Traditional Arabic" w:hint="cs"/>
          <w:noProof w:val="0"/>
          <w:rtl/>
          <w:lang w:eastAsia="en-US"/>
        </w:rPr>
        <w:t>.</w:t>
      </w:r>
      <w:r>
        <w:rPr>
          <w:rFonts w:hint="cs"/>
          <w:rtl/>
        </w:rPr>
        <w:t>335</w:t>
      </w:r>
    </w:p>
    <w:p w:rsidR="006E11B5" w:rsidRDefault="006E11B5" w:rsidP="006E11B5">
      <w:pPr>
        <w:ind w:firstLine="0"/>
        <w:rPr>
          <w:rtl/>
        </w:rPr>
      </w:pPr>
      <w:r w:rsidRPr="00C85F0F">
        <w:rPr>
          <w:rFonts w:hint="cs"/>
          <w:rtl/>
        </w:rPr>
        <w:t>إذا استوى الحلالُ والحرامُ يَغلِبُ الحرامُ الحلالَ</w:t>
      </w:r>
      <w:r w:rsidR="000D7CE2">
        <w:rPr>
          <w:rFonts w:hint="cs"/>
          <w:rtl/>
        </w:rPr>
        <w:t>.........................................</w:t>
      </w:r>
      <w:r w:rsidRPr="00C85F0F">
        <w:rPr>
          <w:rFonts w:hint="cs"/>
          <w:rtl/>
        </w:rPr>
        <w:t>.</w:t>
      </w:r>
      <w:r>
        <w:rPr>
          <w:rFonts w:hint="cs"/>
          <w:rtl/>
        </w:rPr>
        <w:t>123</w:t>
      </w:r>
    </w:p>
    <w:p w:rsidR="006E11B5" w:rsidRDefault="006E11B5" w:rsidP="006E11B5">
      <w:pPr>
        <w:ind w:firstLine="0"/>
        <w:rPr>
          <w:rtl/>
        </w:rPr>
      </w:pPr>
      <w:r w:rsidRPr="00C85F0F">
        <w:rPr>
          <w:rFonts w:hint="cs"/>
          <w:rtl/>
        </w:rPr>
        <w:t>إذا امْتَزَج التحريمُ والتحليل غَلَّبْنا التحريمَ على التحليل</w:t>
      </w:r>
      <w:r w:rsidR="000D7CE2">
        <w:rPr>
          <w:rFonts w:hint="cs"/>
          <w:rtl/>
        </w:rPr>
        <w:t>..................................</w:t>
      </w:r>
      <w:r w:rsidRPr="00C85F0F">
        <w:rPr>
          <w:rFonts w:hint="cs"/>
          <w:rtl/>
        </w:rPr>
        <w:t>.</w:t>
      </w:r>
      <w:r>
        <w:rPr>
          <w:rFonts w:hint="cs"/>
          <w:rtl/>
        </w:rPr>
        <w:t>123</w:t>
      </w:r>
    </w:p>
    <w:p w:rsidR="006E11B5" w:rsidRDefault="006E11B5" w:rsidP="006E11B5">
      <w:pPr>
        <w:ind w:firstLine="0"/>
        <w:rPr>
          <w:rFonts w:ascii="Traditional Arabic" w:hAnsi="Traditional Arabic"/>
          <w:rtl/>
        </w:rPr>
      </w:pPr>
      <w:r w:rsidRPr="003E7B4D">
        <w:rPr>
          <w:rFonts w:ascii="Traditional Arabic" w:hAnsi="Traditional Arabic"/>
          <w:noProof w:val="0"/>
          <w:color w:val="auto"/>
          <w:rtl/>
          <w:lang w:eastAsia="en-US"/>
        </w:rPr>
        <w:t>إذا برئ الأصل</w:t>
      </w:r>
      <w:r w:rsidRPr="003E7B4D">
        <w:rPr>
          <w:rFonts w:ascii="Traditional Arabic" w:hAnsi="Traditional Arabic" w:hint="cs"/>
          <w:noProof w:val="0"/>
          <w:color w:val="auto"/>
          <w:rtl/>
          <w:lang w:eastAsia="en-US"/>
        </w:rPr>
        <w:t>ُ</w:t>
      </w:r>
      <w:r w:rsidRPr="003E7B4D">
        <w:rPr>
          <w:rFonts w:ascii="Traditional Arabic" w:hAnsi="Traditional Arabic"/>
          <w:noProof w:val="0"/>
          <w:color w:val="auto"/>
          <w:rtl/>
          <w:lang w:eastAsia="en-US"/>
        </w:rPr>
        <w:t xml:space="preserve"> برئ الفرع</w:t>
      </w:r>
      <w:r w:rsidRPr="003E7B4D">
        <w:rPr>
          <w:rFonts w:ascii="Traditional Arabic" w:hAnsi="Traditional Arabic" w:hint="cs"/>
          <w:noProof w:val="0"/>
          <w:color w:val="auto"/>
          <w:rtl/>
          <w:lang w:eastAsia="en-US"/>
        </w:rPr>
        <w:t>ُ</w:t>
      </w:r>
      <w:r w:rsidR="000D7CE2">
        <w:rPr>
          <w:rFonts w:ascii="Traditional Arabic" w:hAnsi="Traditional Arabic" w:hint="cs"/>
          <w:rtl/>
        </w:rPr>
        <w:t>...........................................................</w:t>
      </w:r>
      <w:r>
        <w:rPr>
          <w:rFonts w:ascii="Traditional Arabic" w:hAnsi="Traditional Arabic" w:hint="cs"/>
          <w:rtl/>
        </w:rPr>
        <w:t>.274</w:t>
      </w:r>
    </w:p>
    <w:p w:rsidR="006E11B5" w:rsidRPr="00C85F0F" w:rsidRDefault="006E11B5" w:rsidP="006E11B5">
      <w:pPr>
        <w:spacing w:line="640" w:lineRule="exact"/>
        <w:ind w:firstLine="0"/>
        <w:jc w:val="left"/>
        <w:rPr>
          <w:rFonts w:ascii="Traditional Arabic" w:hAnsi="Traditional Arabic"/>
          <w:color w:val="auto"/>
        </w:rPr>
      </w:pPr>
      <w:r w:rsidRPr="00C85F0F">
        <w:rPr>
          <w:rFonts w:ascii="Traditional Arabic" w:hAnsi="Traditional Arabic" w:hint="cs"/>
          <w:color w:val="auto"/>
          <w:rtl/>
        </w:rPr>
        <w:t>إذا بطَل الأصل يصار إلى البدل</w:t>
      </w:r>
      <w:r w:rsidR="000D7CE2">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480</w:t>
      </w:r>
    </w:p>
    <w:p w:rsidR="006E11B5" w:rsidRPr="00C85F0F" w:rsidRDefault="006E11B5" w:rsidP="006E11B5">
      <w:pPr>
        <w:ind w:firstLine="0"/>
      </w:pPr>
      <w:r w:rsidRPr="00C85F0F">
        <w:rPr>
          <w:rFonts w:hint="cs"/>
          <w:rtl/>
        </w:rPr>
        <w:t>إذا ترتَّب على المأذون مَحْذورٌ مُنِع</w:t>
      </w:r>
      <w:r w:rsidR="000D7CE2">
        <w:rPr>
          <w:rFonts w:hint="cs"/>
          <w:rtl/>
        </w:rPr>
        <w:t>....................................................</w:t>
      </w:r>
      <w:r w:rsidRPr="00C85F0F">
        <w:rPr>
          <w:rFonts w:hint="cs"/>
          <w:rtl/>
        </w:rPr>
        <w:t>.</w:t>
      </w:r>
      <w:r>
        <w:rPr>
          <w:rFonts w:hint="cs"/>
          <w:rtl/>
        </w:rPr>
        <w:t>182</w:t>
      </w:r>
    </w:p>
    <w:p w:rsidR="006E11B5" w:rsidRDefault="006E11B5" w:rsidP="006E11B5">
      <w:pPr>
        <w:ind w:firstLine="0"/>
        <w:rPr>
          <w:rtl/>
        </w:rPr>
      </w:pPr>
      <w:r w:rsidRPr="00C85F0F">
        <w:rPr>
          <w:rFonts w:hint="cs"/>
          <w:rtl/>
        </w:rPr>
        <w:t>إذا تَساوَت الحقوقُ نُقْرِع، والقُرْعة طريقٌ شرعي لِلْمُتَساوِيات</w:t>
      </w:r>
      <w:r w:rsidR="000D7CE2">
        <w:rPr>
          <w:rFonts w:hint="cs"/>
          <w:rtl/>
        </w:rPr>
        <w:t>............................</w:t>
      </w:r>
      <w:r w:rsidRPr="00C85F0F">
        <w:rPr>
          <w:rFonts w:hint="cs"/>
          <w:rtl/>
        </w:rPr>
        <w:t>.</w:t>
      </w:r>
      <w:r>
        <w:rPr>
          <w:rFonts w:hint="cs"/>
          <w:rtl/>
        </w:rPr>
        <w:t>402</w:t>
      </w:r>
    </w:p>
    <w:p w:rsidR="006E11B5" w:rsidRPr="00C85F0F" w:rsidRDefault="006E11B5" w:rsidP="006E11B5">
      <w:pPr>
        <w:widowControl/>
        <w:autoSpaceDE w:val="0"/>
        <w:autoSpaceDN w:val="0"/>
        <w:adjustRightInd w:val="0"/>
        <w:ind w:firstLine="0"/>
        <w:rPr>
          <w:rFonts w:ascii="Traditional Arabic" w:hAnsi="Traditional Arabic"/>
          <w:noProof w:val="0"/>
          <w:lang w:eastAsia="en-US"/>
        </w:rPr>
      </w:pPr>
      <w:r w:rsidRPr="00C85F0F">
        <w:rPr>
          <w:rFonts w:ascii="Traditional Arabic" w:hAnsi="Traditional Arabic"/>
          <w:noProof w:val="0"/>
          <w:rtl/>
          <w:lang w:eastAsia="en-US"/>
        </w:rPr>
        <w:t>إذا تضم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الف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ضر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أح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الطر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 العقود الجائزة 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لاز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ءا</w:t>
      </w:r>
      <w:r w:rsidRPr="00C85F0F">
        <w:rPr>
          <w:rFonts w:ascii="Traditional Arabic" w:hAnsi="Traditional Arabic" w:hint="cs"/>
          <w:noProof w:val="0"/>
          <w:rtl/>
          <w:lang w:eastAsia="en-US"/>
        </w:rPr>
        <w:t>ً</w:t>
      </w:r>
      <w:r>
        <w:rPr>
          <w:rFonts w:ascii="Traditional Arabic" w:hAnsi="Traditional Arabic" w:hint="cs"/>
          <w:noProof w:val="0"/>
          <w:rtl/>
          <w:lang w:eastAsia="en-US"/>
        </w:rPr>
        <w:t xml:space="preserve"> </w:t>
      </w:r>
      <w:r w:rsidRPr="00C85F0F">
        <w:rPr>
          <w:rFonts w:ascii="Traditional Arabic" w:hAnsi="Traditional Arabic"/>
          <w:noProof w:val="0"/>
          <w:rtl/>
          <w:lang w:eastAsia="en-US"/>
        </w:rPr>
        <w:t>للض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000D7CE2">
        <w:rPr>
          <w:rFonts w:ascii="Traditional Arabic" w:hAnsi="Traditional Arabic" w:hint="cs"/>
          <w:noProof w:val="0"/>
          <w:rtl/>
          <w:lang w:eastAsia="en-US"/>
        </w:rPr>
        <w:t>....</w:t>
      </w:r>
      <w:r w:rsidRPr="00C85F0F">
        <w:rPr>
          <w:rFonts w:ascii="Traditional Arabic" w:hAnsi="Traditional Arabic"/>
          <w:noProof w:val="0"/>
          <w:rtl/>
          <w:lang w:eastAsia="en-US"/>
        </w:rPr>
        <w:t>.</w:t>
      </w:r>
      <w:r>
        <w:rPr>
          <w:rFonts w:ascii="Traditional Arabic" w:hAnsi="Traditional Arabic" w:hint="cs"/>
          <w:noProof w:val="0"/>
          <w:rtl/>
          <w:lang w:eastAsia="en-US"/>
        </w:rPr>
        <w:t>262</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إذا تعارض أصل وظاهر أيهما يقدمَّ؟</w:t>
      </w:r>
      <w:r w:rsidR="000D7CE2">
        <w:rPr>
          <w:rFonts w:ascii="Traditional Arabic" w:hAnsi="Traditional Arabic" w:hint="cs"/>
          <w:noProof w:val="0"/>
          <w:color w:val="auto"/>
          <w:rtl/>
          <w:lang w:eastAsia="en-US"/>
        </w:rPr>
        <w:t>.................................................</w:t>
      </w:r>
      <w:r>
        <w:rPr>
          <w:rFonts w:ascii="Traditional Arabic" w:hAnsi="Traditional Arabic" w:hint="cs"/>
          <w:noProof w:val="0"/>
          <w:color w:val="auto"/>
          <w:rtl/>
          <w:lang w:eastAsia="en-US"/>
        </w:rPr>
        <w:t>131</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hint="cs"/>
          <w:noProof w:val="0"/>
          <w:color w:val="auto"/>
          <w:rtl/>
          <w:lang w:eastAsia="en-US"/>
        </w:rPr>
        <w:t>إذا تعارض أصل وظاهر فللمالكية في المقدَّم منهما قولان</w:t>
      </w:r>
      <w:r w:rsidR="000D7CE2">
        <w:rPr>
          <w:rFonts w:ascii="Traditional Arabic" w:hAnsi="Traditional Arabic" w:hint="cs"/>
          <w:noProof w:val="0"/>
          <w:color w:val="auto"/>
          <w:rtl/>
          <w:lang w:eastAsia="en-US"/>
        </w:rPr>
        <w:t>...............................</w:t>
      </w:r>
      <w:r>
        <w:rPr>
          <w:rFonts w:ascii="Traditional Arabic" w:hAnsi="Traditional Arabic" w:hint="cs"/>
          <w:noProof w:val="0"/>
          <w:color w:val="auto"/>
          <w:rtl/>
          <w:lang w:eastAsia="en-US"/>
        </w:rPr>
        <w:t>.</w:t>
      </w:r>
      <w:r>
        <w:rPr>
          <w:rFonts w:ascii="Traditional Arabic" w:hAnsi="Traditional Arabic" w:hint="cs"/>
          <w:noProof w:val="0"/>
          <w:rtl/>
          <w:lang w:eastAsia="en-US"/>
        </w:rPr>
        <w:t>130</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hint="cs"/>
          <w:noProof w:val="0"/>
          <w:rtl/>
          <w:lang w:eastAsia="en-US"/>
        </w:rPr>
        <w:t>إذا تعارض أصلان أخذنا بالأحوط منهما</w:t>
      </w:r>
      <w:r w:rsidR="000D7CE2">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130</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hint="cs"/>
          <w:noProof w:val="0"/>
          <w:rtl/>
          <w:lang w:eastAsia="en-US"/>
        </w:rPr>
        <w:lastRenderedPageBreak/>
        <w:t>إذا تعارض أصلان جرى غالبا قولان</w:t>
      </w:r>
      <w:r w:rsidR="000D7CE2">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130</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hint="cs"/>
          <w:noProof w:val="0"/>
          <w:rtl/>
          <w:lang w:eastAsia="en-US"/>
        </w:rPr>
        <w:t>إذا تعارَض أصلان عُمل بالأرجح منهما؛ لاِعْت</w:t>
      </w:r>
      <w:r>
        <w:rPr>
          <w:rFonts w:ascii="Traditional Arabic" w:hAnsi="Traditional Arabic" w:hint="cs"/>
          <w:noProof w:val="0"/>
          <w:rtl/>
          <w:lang w:eastAsia="en-US"/>
        </w:rPr>
        <w:t>ِضاده بما يرجِّحه</w:t>
      </w:r>
      <w:r w:rsidR="000D7CE2">
        <w:rPr>
          <w:rFonts w:ascii="Traditional Arabic" w:hAnsi="Traditional Arabic" w:hint="cs"/>
          <w:noProof w:val="0"/>
          <w:rtl/>
          <w:lang w:eastAsia="en-US"/>
        </w:rPr>
        <w:t>.........................</w:t>
      </w:r>
      <w:r>
        <w:rPr>
          <w:rFonts w:ascii="Traditional Arabic" w:hAnsi="Traditional Arabic" w:hint="cs"/>
          <w:noProof w:val="0"/>
          <w:rtl/>
          <w:lang w:eastAsia="en-US"/>
        </w:rPr>
        <w:t>.130</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hint="cs"/>
          <w:noProof w:val="0"/>
          <w:rtl/>
          <w:lang w:eastAsia="en-US"/>
        </w:rPr>
        <w:t xml:space="preserve">إذا تعارض أصلان، أو أصل وظاهر جرى غالبا قولان للشافعي </w:t>
      </w:r>
      <w:r w:rsidRPr="005D5694">
        <w:rPr>
          <w:rFonts w:ascii="Traditional Arabic" w:hAnsi="Traditional Arabic" w:cs="CTraditional Arabic" w:hint="cs"/>
          <w:noProof w:val="0"/>
          <w:color w:val="auto"/>
          <w:rtl/>
          <w:lang w:eastAsia="en-US"/>
        </w:rPr>
        <w:t>/</w:t>
      </w:r>
      <w:r w:rsidR="000D7CE2">
        <w:rPr>
          <w:rFonts w:ascii="Traditional Arabic" w:hAnsi="Traditional Arabic" w:hint="cs"/>
          <w:noProof w:val="0"/>
          <w:rtl/>
          <w:lang w:eastAsia="en-US"/>
        </w:rPr>
        <w:t>....................</w:t>
      </w:r>
      <w:r>
        <w:rPr>
          <w:rFonts w:ascii="Traditional Arabic" w:hAnsi="Traditional Arabic" w:hint="cs"/>
          <w:noProof w:val="0"/>
          <w:rtl/>
          <w:lang w:eastAsia="en-US"/>
        </w:rPr>
        <w:t>.130</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hint="cs"/>
          <w:noProof w:val="0"/>
          <w:rtl/>
          <w:lang w:eastAsia="en-US"/>
        </w:rPr>
        <w:t>إذا تعارض أصلان، أو أصل وظاهر، وجب النظر في الترجيح</w:t>
      </w:r>
      <w:r w:rsidR="000D7CE2">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color w:val="auto"/>
          <w:rtl/>
          <w:lang w:eastAsia="en-US"/>
        </w:rPr>
        <w:t>130</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noProof w:val="0"/>
          <w:color w:val="auto"/>
          <w:rtl/>
          <w:lang w:eastAsia="en-US"/>
        </w:rPr>
        <w:t>إذا تعارض الأصل والظاهر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فإن</w:t>
      </w:r>
      <w:r>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كان الظاهر حجة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يجب قبول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 شرعا</w:t>
      </w:r>
      <w:r>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فهو مقد</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م</w:t>
      </w:r>
      <w:r w:rsidR="000D7CE2">
        <w:rPr>
          <w:rFonts w:ascii="Traditional Arabic" w:hAnsi="Traditional Arabic" w:hint="cs"/>
          <w:noProof w:val="0"/>
          <w:color w:val="auto"/>
          <w:rtl/>
          <w:lang w:eastAsia="en-US"/>
        </w:rPr>
        <w:t>........</w:t>
      </w:r>
      <w:r>
        <w:rPr>
          <w:rFonts w:ascii="Traditional Arabic" w:hAnsi="Traditional Arabic" w:hint="cs"/>
          <w:noProof w:val="0"/>
          <w:color w:val="auto"/>
          <w:rtl/>
          <w:lang w:eastAsia="en-US"/>
        </w:rPr>
        <w:t>.131</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hint="cs"/>
          <w:noProof w:val="0"/>
          <w:rtl/>
          <w:lang w:eastAsia="en-US"/>
        </w:rPr>
        <w:t xml:space="preserve">إذا </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عار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ض</w:t>
      </w:r>
      <w:r w:rsidRPr="00C85F0F">
        <w:rPr>
          <w:rFonts w:ascii="Traditional Arabic" w:hAnsi="Traditional Arabic" w:hint="cs"/>
          <w:noProof w:val="0"/>
          <w:rtl/>
          <w:lang w:eastAsia="en-US"/>
        </w:rPr>
        <w:t xml:space="preserve"> الأصل والظاهر، أو تعارض</w:t>
      </w:r>
      <w:r w:rsidRPr="00C85F0F">
        <w:rPr>
          <w:rFonts w:ascii="Traditional Arabic" w:hAnsi="Traditional Arabic"/>
          <w:noProof w:val="0"/>
          <w:rtl/>
          <w:lang w:eastAsia="en-US"/>
        </w:rPr>
        <w:t xml:space="preserve"> أصلان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 أحد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هما على الآخر</w:t>
      </w:r>
      <w:r w:rsidR="000D7CE2">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129</w:t>
      </w:r>
    </w:p>
    <w:p w:rsidR="006E11B5" w:rsidRPr="00C85F0F" w:rsidRDefault="006E11B5" w:rsidP="006E11B5">
      <w:pPr>
        <w:ind w:firstLine="0"/>
        <w:rPr>
          <w:color w:val="auto"/>
        </w:rPr>
      </w:pPr>
      <w:r w:rsidRPr="00C85F0F">
        <w:rPr>
          <w:rFonts w:hint="cs"/>
          <w:color w:val="auto"/>
          <w:rtl/>
        </w:rPr>
        <w:t>إذا تعارَض القصد واللفظ أيُّهما يُقدَّم ؟</w:t>
      </w:r>
      <w:r w:rsidR="000D7CE2">
        <w:rPr>
          <w:rFonts w:hint="cs"/>
          <w:color w:val="auto"/>
          <w:rtl/>
        </w:rPr>
        <w:t>...............................................</w:t>
      </w:r>
      <w:r>
        <w:rPr>
          <w:rFonts w:hint="cs"/>
          <w:color w:val="auto"/>
          <w:rtl/>
        </w:rPr>
        <w:t>210</w:t>
      </w:r>
    </w:p>
    <w:p w:rsidR="006E11B5" w:rsidRDefault="006E11B5" w:rsidP="006E11B5">
      <w:pPr>
        <w:ind w:firstLine="0"/>
        <w:rPr>
          <w:rtl/>
        </w:rPr>
      </w:pPr>
      <w:r w:rsidRPr="00C85F0F">
        <w:rPr>
          <w:rFonts w:hint="cs"/>
          <w:rtl/>
        </w:rPr>
        <w:t>إذا تعارَض المُقْتضي والمانِع يقدَّم المانع</w:t>
      </w:r>
      <w:r w:rsidR="000D7CE2">
        <w:rPr>
          <w:rFonts w:hint="cs"/>
          <w:rtl/>
        </w:rPr>
        <w:t>................................................</w:t>
      </w:r>
      <w:r w:rsidRPr="00C85F0F">
        <w:rPr>
          <w:rFonts w:hint="cs"/>
          <w:rtl/>
        </w:rPr>
        <w:t>.</w:t>
      </w:r>
      <w:r>
        <w:rPr>
          <w:rFonts w:hint="cs"/>
          <w:rtl/>
        </w:rPr>
        <w:t>122</w:t>
      </w:r>
    </w:p>
    <w:p w:rsidR="006E11B5" w:rsidRDefault="006E11B5" w:rsidP="006E11B5">
      <w:pPr>
        <w:ind w:firstLine="0"/>
        <w:rPr>
          <w:color w:val="auto"/>
          <w:rtl/>
        </w:rPr>
      </w:pPr>
      <w:r w:rsidRPr="00C85F0F">
        <w:rPr>
          <w:rFonts w:hint="cs"/>
          <w:color w:val="auto"/>
          <w:rtl/>
        </w:rPr>
        <w:t xml:space="preserve">إذا </w:t>
      </w:r>
      <w:r w:rsidRPr="00C85F0F">
        <w:rPr>
          <w:rFonts w:ascii="Traditional Arabic" w:hAnsi="Traditional Arabic"/>
          <w:noProof w:val="0"/>
          <w:rtl/>
          <w:lang w:eastAsia="en-US"/>
        </w:rPr>
        <w:t>تعارضت</w:t>
      </w:r>
      <w:r>
        <w:rPr>
          <w:rFonts w:ascii="Traditional Arabic" w:hAnsi="Traditional Arabic" w:hint="cs"/>
          <w:noProof w:val="0"/>
          <w:rtl/>
          <w:lang w:eastAsia="en-US"/>
        </w:rPr>
        <w:t xml:space="preserve"> </w:t>
      </w:r>
      <w:r w:rsidRPr="00C85F0F">
        <w:rPr>
          <w:rFonts w:ascii="Traditional Arabic" w:hAnsi="Traditional Arabic"/>
          <w:noProof w:val="0"/>
          <w:rtl/>
          <w:lang w:eastAsia="en-US"/>
        </w:rPr>
        <w:t>المصالح والمفاسد مع التساوي، أو مع ترج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 المفاسد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 </w:t>
      </w:r>
      <w:r w:rsidRPr="00C85F0F">
        <w:rPr>
          <w:rFonts w:ascii="Traditional Arabic" w:hAnsi="Traditional Arabic"/>
          <w:noProof w:val="0"/>
          <w:color w:val="auto"/>
          <w:rtl/>
          <w:lang w:eastAsia="en-US"/>
        </w:rPr>
        <w:t xml:space="preserve">درء </w:t>
      </w:r>
      <w:r w:rsidRPr="00C85F0F">
        <w:rPr>
          <w:rFonts w:ascii="Traditional Arabic" w:hAnsi="Traditional Arabic"/>
          <w:noProof w:val="0"/>
          <w:rtl/>
          <w:lang w:eastAsia="en-US"/>
        </w:rPr>
        <w:t>المفسدة أولى</w:t>
      </w:r>
      <w:r w:rsidR="000D7CE2">
        <w:rPr>
          <w:rFonts w:ascii="Traditional Arabic" w:hAnsi="Traditional Arabic" w:hint="cs"/>
          <w:noProof w:val="0"/>
          <w:rtl/>
          <w:lang w:eastAsia="en-US"/>
        </w:rPr>
        <w:t>...</w:t>
      </w:r>
      <w:r>
        <w:rPr>
          <w:rFonts w:ascii="Traditional Arabic" w:hAnsi="Traditional Arabic" w:hint="cs"/>
          <w:noProof w:val="0"/>
          <w:rtl/>
          <w:lang w:eastAsia="en-US"/>
        </w:rPr>
        <w:t xml:space="preserve">.113 </w:t>
      </w:r>
    </w:p>
    <w:p w:rsidR="006E11B5" w:rsidRPr="006E4921" w:rsidRDefault="006E11B5" w:rsidP="006E11B5">
      <w:pPr>
        <w:pStyle w:val="a7"/>
        <w:jc w:val="lowKashida"/>
        <w:rPr>
          <w:rFonts w:ascii="Traditional Arabic" w:hAnsi="Traditional Arabic"/>
          <w:noProof w:val="0"/>
          <w:color w:val="auto"/>
          <w:sz w:val="36"/>
          <w:szCs w:val="36"/>
          <w:rtl/>
          <w:lang w:eastAsia="en-US"/>
        </w:rPr>
      </w:pPr>
      <w:r w:rsidRPr="006E4921">
        <w:rPr>
          <w:rFonts w:ascii="Traditional Arabic" w:hAnsi="Traditional Arabic" w:hint="cs"/>
          <w:noProof w:val="0"/>
          <w:color w:val="auto"/>
          <w:sz w:val="36"/>
          <w:szCs w:val="36"/>
          <w:rtl/>
          <w:lang w:eastAsia="en-US"/>
        </w:rPr>
        <w:t>إذا تعارضت المصالح والمفاسد، فإنه يجب ترجيح الراجح منها</w:t>
      </w:r>
      <w:r>
        <w:rPr>
          <w:rFonts w:ascii="Traditional Arabic" w:hAnsi="Traditional Arabic" w:hint="cs"/>
          <w:noProof w:val="0"/>
          <w:color w:val="auto"/>
          <w:sz w:val="36"/>
          <w:szCs w:val="36"/>
          <w:rtl/>
          <w:lang w:eastAsia="en-US"/>
        </w:rPr>
        <w:t>.</w:t>
      </w:r>
      <w:r w:rsidR="000D7CE2">
        <w:rPr>
          <w:rFonts w:ascii="Traditional Arabic" w:hAnsi="Traditional Arabic" w:hint="cs"/>
          <w:noProof w:val="0"/>
          <w:color w:val="auto"/>
          <w:sz w:val="36"/>
          <w:szCs w:val="36"/>
          <w:rtl/>
          <w:lang w:eastAsia="en-US"/>
        </w:rPr>
        <w:t>.........................</w:t>
      </w:r>
      <w:r w:rsidRPr="00326BBC">
        <w:rPr>
          <w:rFonts w:ascii="Traditional Arabic" w:hAnsi="Traditional Arabic" w:hint="cs"/>
          <w:noProof w:val="0"/>
          <w:color w:val="auto"/>
          <w:sz w:val="36"/>
          <w:szCs w:val="36"/>
          <w:rtl/>
          <w:lang w:eastAsia="en-US"/>
        </w:rPr>
        <w:t xml:space="preserve"> </w:t>
      </w:r>
      <w:r>
        <w:rPr>
          <w:rFonts w:ascii="Traditional Arabic" w:hAnsi="Traditional Arabic" w:hint="cs"/>
          <w:noProof w:val="0"/>
          <w:color w:val="auto"/>
          <w:sz w:val="36"/>
          <w:szCs w:val="36"/>
          <w:rtl/>
          <w:lang w:eastAsia="en-US"/>
        </w:rPr>
        <w:t>106</w:t>
      </w:r>
    </w:p>
    <w:p w:rsidR="006E11B5" w:rsidRPr="006E4921" w:rsidRDefault="006E11B5" w:rsidP="006E11B5">
      <w:pPr>
        <w:pStyle w:val="a7"/>
        <w:jc w:val="lowKashida"/>
        <w:rPr>
          <w:rFonts w:ascii="Traditional Arabic" w:hAnsi="Traditional Arabic"/>
          <w:noProof w:val="0"/>
          <w:color w:val="auto"/>
          <w:sz w:val="36"/>
          <w:szCs w:val="36"/>
          <w:rtl/>
          <w:lang w:eastAsia="en-US"/>
        </w:rPr>
      </w:pPr>
      <w:r w:rsidRPr="006E4921">
        <w:rPr>
          <w:rFonts w:ascii="Traditional Arabic" w:hAnsi="Traditional Arabic" w:hint="cs"/>
          <w:noProof w:val="0"/>
          <w:color w:val="auto"/>
          <w:sz w:val="36"/>
          <w:szCs w:val="36"/>
          <w:rtl/>
          <w:lang w:eastAsia="en-US"/>
        </w:rPr>
        <w:t>إذا تعارضت المصلحة والمفسدة قُدِّم أرجحهما.</w:t>
      </w:r>
      <w:r w:rsidR="000D7CE2">
        <w:rPr>
          <w:rFonts w:ascii="Traditional Arabic" w:hAnsi="Traditional Arabic" w:hint="cs"/>
          <w:noProof w:val="0"/>
          <w:color w:val="auto"/>
          <w:sz w:val="36"/>
          <w:szCs w:val="36"/>
          <w:rtl/>
          <w:lang w:eastAsia="en-US"/>
        </w:rPr>
        <w:t>......................................</w:t>
      </w:r>
      <w:r w:rsidRPr="00326BBC">
        <w:rPr>
          <w:rFonts w:ascii="Traditional Arabic" w:hAnsi="Traditional Arabic" w:hint="cs"/>
          <w:noProof w:val="0"/>
          <w:color w:val="auto"/>
          <w:sz w:val="36"/>
          <w:szCs w:val="36"/>
          <w:rtl/>
          <w:lang w:eastAsia="en-US"/>
        </w:rPr>
        <w:t xml:space="preserve"> </w:t>
      </w:r>
      <w:r>
        <w:rPr>
          <w:rFonts w:ascii="Traditional Arabic" w:hAnsi="Traditional Arabic" w:hint="cs"/>
          <w:noProof w:val="0"/>
          <w:color w:val="auto"/>
          <w:sz w:val="36"/>
          <w:szCs w:val="36"/>
          <w:rtl/>
          <w:lang w:eastAsia="en-US"/>
        </w:rPr>
        <w:t>106</w:t>
      </w:r>
    </w:p>
    <w:p w:rsidR="006E11B5" w:rsidRPr="006E4921" w:rsidRDefault="006E11B5" w:rsidP="006E11B5">
      <w:pPr>
        <w:pStyle w:val="a7"/>
        <w:jc w:val="lowKashida"/>
        <w:rPr>
          <w:rFonts w:ascii="Traditional Arabic" w:hAnsi="Traditional Arabic"/>
          <w:noProof w:val="0"/>
          <w:color w:val="auto"/>
          <w:sz w:val="36"/>
          <w:szCs w:val="36"/>
          <w:rtl/>
          <w:lang w:eastAsia="en-US"/>
        </w:rPr>
      </w:pPr>
      <w:r w:rsidRPr="006E4921">
        <w:rPr>
          <w:rFonts w:ascii="Traditional Arabic" w:hAnsi="Traditional Arabic" w:hint="cs"/>
          <w:noProof w:val="0"/>
          <w:color w:val="auto"/>
          <w:sz w:val="36"/>
          <w:szCs w:val="36"/>
          <w:rtl/>
          <w:lang w:eastAsia="en-US"/>
        </w:rPr>
        <w:t>إذا تعارضت المفسدة المرجوحة والمصلحة الراجحة اغتُفرت المفسدة.</w:t>
      </w:r>
      <w:r w:rsidR="000D7CE2">
        <w:rPr>
          <w:rFonts w:ascii="Traditional Arabic" w:hAnsi="Traditional Arabic" w:hint="cs"/>
          <w:noProof w:val="0"/>
          <w:color w:val="auto"/>
          <w:sz w:val="36"/>
          <w:szCs w:val="36"/>
          <w:rtl/>
          <w:lang w:eastAsia="en-US"/>
        </w:rPr>
        <w:t>....................</w:t>
      </w:r>
      <w:r w:rsidRPr="00326BBC">
        <w:rPr>
          <w:rFonts w:ascii="Traditional Arabic" w:hAnsi="Traditional Arabic" w:hint="cs"/>
          <w:noProof w:val="0"/>
          <w:color w:val="auto"/>
          <w:sz w:val="36"/>
          <w:szCs w:val="36"/>
          <w:rtl/>
          <w:lang w:eastAsia="en-US"/>
        </w:rPr>
        <w:t xml:space="preserve"> </w:t>
      </w:r>
      <w:r>
        <w:rPr>
          <w:rFonts w:ascii="Traditional Arabic" w:hAnsi="Traditional Arabic" w:hint="cs"/>
          <w:noProof w:val="0"/>
          <w:color w:val="auto"/>
          <w:sz w:val="36"/>
          <w:szCs w:val="36"/>
          <w:rtl/>
          <w:lang w:eastAsia="en-US"/>
        </w:rPr>
        <w:t>106</w:t>
      </w:r>
    </w:p>
    <w:p w:rsidR="006E11B5" w:rsidRDefault="006E11B5" w:rsidP="006E11B5">
      <w:pPr>
        <w:spacing w:line="640" w:lineRule="exact"/>
        <w:ind w:firstLine="0"/>
        <w:jc w:val="left"/>
        <w:rPr>
          <w:rFonts w:ascii="Traditional Arabic" w:hAnsi="Traditional Arabic"/>
          <w:rtl/>
          <w:lang w:eastAsia="en-US"/>
        </w:rPr>
      </w:pPr>
      <w:r w:rsidRPr="00C85F0F">
        <w:rPr>
          <w:rFonts w:ascii="Traditional Arabic" w:hAnsi="Traditional Arabic"/>
          <w:rtl/>
        </w:rPr>
        <w:t>إذا تعذ</w:t>
      </w:r>
      <w:r w:rsidRPr="00C85F0F">
        <w:rPr>
          <w:rFonts w:ascii="Traditional Arabic" w:hAnsi="Traditional Arabic" w:hint="cs"/>
          <w:rtl/>
        </w:rPr>
        <w:t>َّ</w:t>
      </w:r>
      <w:r w:rsidRPr="00C85F0F">
        <w:rPr>
          <w:rFonts w:ascii="Traditional Arabic" w:hAnsi="Traditional Arabic"/>
          <w:rtl/>
        </w:rPr>
        <w:t>ر الأصل</w:t>
      </w:r>
      <w:r w:rsidRPr="00C85F0F">
        <w:rPr>
          <w:rFonts w:ascii="Traditional Arabic" w:hAnsi="Traditional Arabic" w:hint="cs"/>
          <w:rtl/>
        </w:rPr>
        <w:t>ُ</w:t>
      </w:r>
      <w:r w:rsidRPr="00C85F0F">
        <w:rPr>
          <w:rFonts w:ascii="Traditional Arabic" w:hAnsi="Traditional Arabic"/>
          <w:rtl/>
        </w:rPr>
        <w:t xml:space="preserve"> ر</w:t>
      </w:r>
      <w:r w:rsidRPr="00C85F0F">
        <w:rPr>
          <w:rFonts w:ascii="Traditional Arabic" w:hAnsi="Traditional Arabic" w:hint="cs"/>
          <w:rtl/>
        </w:rPr>
        <w:t>َ</w:t>
      </w:r>
      <w:r w:rsidRPr="00C85F0F">
        <w:rPr>
          <w:rFonts w:ascii="Traditional Arabic" w:hAnsi="Traditional Arabic"/>
          <w:rtl/>
        </w:rPr>
        <w:t>جعنا إلى البد</w:t>
      </w:r>
      <w:r w:rsidRPr="00C85F0F">
        <w:rPr>
          <w:rFonts w:ascii="Traditional Arabic" w:hAnsi="Traditional Arabic" w:hint="cs"/>
          <w:rtl/>
        </w:rPr>
        <w:t>َ</w:t>
      </w:r>
      <w:r w:rsidRPr="00C85F0F">
        <w:rPr>
          <w:rFonts w:ascii="Traditional Arabic" w:hAnsi="Traditional Arabic"/>
          <w:rtl/>
        </w:rPr>
        <w:t>ل</w:t>
      </w:r>
      <w:r w:rsidR="000D7CE2">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479</w:t>
      </w:r>
    </w:p>
    <w:p w:rsidR="006E11B5" w:rsidRDefault="006E11B5" w:rsidP="006E11B5">
      <w:pPr>
        <w:spacing w:line="640" w:lineRule="exact"/>
        <w:ind w:firstLine="0"/>
        <w:jc w:val="left"/>
        <w:rPr>
          <w:rFonts w:ascii="Traditional Arabic" w:hAnsi="Traditional Arabic"/>
          <w:color w:val="auto"/>
          <w:rtl/>
        </w:rPr>
      </w:pPr>
      <w:r w:rsidRPr="00C85F0F">
        <w:rPr>
          <w:rFonts w:ascii="Traditional Arabic" w:hAnsi="Traditional Arabic" w:hint="cs"/>
          <w:color w:val="auto"/>
          <w:rtl/>
        </w:rPr>
        <w:t>إذا تعذَّر الأصل يصار إلى البدل</w:t>
      </w:r>
      <w:r w:rsidR="000D7CE2">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480</w:t>
      </w:r>
    </w:p>
    <w:p w:rsidR="006E11B5" w:rsidRDefault="006E11B5" w:rsidP="006E11B5">
      <w:pPr>
        <w:ind w:firstLine="0"/>
        <w:rPr>
          <w:rtl/>
        </w:rPr>
      </w:pPr>
      <w:r w:rsidRPr="00C85F0F">
        <w:rPr>
          <w:rFonts w:hint="cs"/>
          <w:rtl/>
        </w:rPr>
        <w:t>إذا خُيِّر العبد بين شيئين فأكثر، فإن كان التخيير لمصلحته فهو تخيير تشهٍّ واختيار</w:t>
      </w:r>
      <w:r w:rsidR="000D7CE2">
        <w:rPr>
          <w:rFonts w:hint="cs"/>
          <w:rtl/>
        </w:rPr>
        <w:t>.........</w:t>
      </w:r>
      <w:r>
        <w:rPr>
          <w:rFonts w:hint="cs"/>
          <w:rtl/>
        </w:rPr>
        <w:t>.474</w:t>
      </w:r>
    </w:p>
    <w:p w:rsidR="006E11B5" w:rsidRPr="00C85F0F" w:rsidRDefault="006E11B5" w:rsidP="006E11B5">
      <w:pPr>
        <w:ind w:firstLine="0"/>
      </w:pPr>
      <w:r w:rsidRPr="00C85F0F">
        <w:rPr>
          <w:rFonts w:hint="cs"/>
          <w:rtl/>
        </w:rPr>
        <w:t>إذا زالت العلة زال المعلول</w:t>
      </w:r>
      <w:r w:rsidR="000D7CE2">
        <w:rPr>
          <w:rFonts w:hint="cs"/>
          <w:rtl/>
        </w:rPr>
        <w:t>..........................................................</w:t>
      </w:r>
      <w:r w:rsidRPr="00C85F0F">
        <w:rPr>
          <w:rFonts w:hint="cs"/>
          <w:rtl/>
        </w:rPr>
        <w:t>.</w:t>
      </w:r>
      <w:r>
        <w:rPr>
          <w:rFonts w:hint="cs"/>
          <w:rtl/>
        </w:rPr>
        <w:t>383</w:t>
      </w:r>
    </w:p>
    <w:p w:rsidR="006E11B5" w:rsidRDefault="006E11B5" w:rsidP="006E11B5">
      <w:pPr>
        <w:ind w:firstLine="0"/>
        <w:rPr>
          <w:rFonts w:ascii="Traditional Arabic" w:hAnsi="Traditional Arabic"/>
          <w:rtl/>
        </w:rPr>
      </w:pPr>
      <w:r w:rsidRPr="00C85F0F">
        <w:rPr>
          <w:rFonts w:ascii="Traditional Arabic" w:hAnsi="Traditional Arabic" w:hint="cs"/>
          <w:noProof w:val="0"/>
          <w:rtl/>
          <w:lang w:eastAsia="en-US"/>
        </w:rPr>
        <w:t>إذا سقط الأصل سقط الفرع</w:t>
      </w:r>
      <w:r w:rsidR="000D7CE2">
        <w:rPr>
          <w:rFonts w:ascii="Traditional Arabic" w:hAnsi="Traditional Arabic" w:hint="cs"/>
          <w:rtl/>
        </w:rPr>
        <w:t>........................................................</w:t>
      </w:r>
      <w:r>
        <w:rPr>
          <w:rFonts w:ascii="Traditional Arabic" w:hAnsi="Traditional Arabic" w:hint="cs"/>
          <w:rtl/>
        </w:rPr>
        <w:t>.275</w:t>
      </w:r>
    </w:p>
    <w:p w:rsidR="006E11B5" w:rsidRDefault="006E11B5" w:rsidP="006E11B5">
      <w:pPr>
        <w:pStyle w:val="afc"/>
        <w:spacing w:after="200"/>
        <w:ind w:left="-1" w:firstLine="0"/>
        <w:jc w:val="left"/>
        <w:rPr>
          <w:rFonts w:ascii="Traditional Arabic" w:hAnsi="Traditional Arabic"/>
          <w:rtl/>
        </w:rPr>
      </w:pPr>
      <w:r w:rsidRPr="00C85F0F">
        <w:rPr>
          <w:rFonts w:ascii="Traditional Arabic" w:hAnsi="Traditional Arabic"/>
          <w:rtl/>
        </w:rPr>
        <w:t xml:space="preserve">إذا ضاق الأمر </w:t>
      </w:r>
      <w:r w:rsidRPr="00C85F0F">
        <w:rPr>
          <w:rFonts w:ascii="Traditional Arabic" w:hAnsi="Traditional Arabic" w:hint="cs"/>
          <w:rtl/>
        </w:rPr>
        <w:t>ا</w:t>
      </w:r>
      <w:r w:rsidRPr="00C85F0F">
        <w:rPr>
          <w:rFonts w:ascii="Traditional Arabic" w:hAnsi="Traditional Arabic"/>
          <w:rtl/>
        </w:rPr>
        <w:t>ت</w:t>
      </w:r>
      <w:r>
        <w:rPr>
          <w:rFonts w:ascii="Traditional Arabic" w:hAnsi="Traditional Arabic" w:hint="cs"/>
          <w:rtl/>
        </w:rPr>
        <w:t>َّ</w:t>
      </w:r>
      <w:r w:rsidRPr="00C85F0F">
        <w:rPr>
          <w:rFonts w:ascii="Traditional Arabic" w:hAnsi="Traditional Arabic"/>
          <w:rtl/>
        </w:rPr>
        <w:t>سع</w:t>
      </w:r>
      <w:r w:rsidR="000D7CE2">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497</w:t>
      </w:r>
    </w:p>
    <w:p w:rsidR="006E11B5" w:rsidRDefault="006E11B5" w:rsidP="006E11B5">
      <w:pPr>
        <w:ind w:firstLine="0"/>
        <w:rPr>
          <w:rtl/>
        </w:rPr>
      </w:pPr>
      <w:r w:rsidRPr="00C85F0F">
        <w:rPr>
          <w:rFonts w:hint="cs"/>
          <w:rtl/>
        </w:rPr>
        <w:t>إذا علَّق الشارع حكماً بسبب أو علة زال ذلك الحكم بزوالها</w:t>
      </w:r>
      <w:r w:rsidR="000D7CE2">
        <w:rPr>
          <w:rFonts w:hint="cs"/>
          <w:rtl/>
        </w:rPr>
        <w:t>...........................</w:t>
      </w:r>
      <w:r w:rsidRPr="00C85F0F">
        <w:rPr>
          <w:rFonts w:hint="cs"/>
          <w:rtl/>
        </w:rPr>
        <w:t>.</w:t>
      </w:r>
      <w:r>
        <w:rPr>
          <w:rFonts w:hint="cs"/>
          <w:rtl/>
        </w:rPr>
        <w:t>384</w:t>
      </w:r>
    </w:p>
    <w:p w:rsidR="006E11B5" w:rsidRDefault="006E11B5" w:rsidP="006E11B5">
      <w:pPr>
        <w:ind w:firstLine="0"/>
        <w:rPr>
          <w:color w:val="auto"/>
          <w:rtl/>
        </w:rPr>
      </w:pPr>
      <w:r w:rsidRPr="00C85F0F">
        <w:rPr>
          <w:rFonts w:ascii="Traditional Arabic" w:hAnsi="Traditional Arabic" w:hint="cs"/>
          <w:noProof w:val="0"/>
          <w:color w:val="auto"/>
          <w:rtl/>
          <w:lang w:eastAsia="en-US"/>
        </w:rPr>
        <w:t>إذا قَوِيَت القرائنُ قُدِّمَت على الأصل</w:t>
      </w:r>
      <w:r w:rsidR="000D7CE2">
        <w:rPr>
          <w:rFonts w:ascii="Traditional Arabic" w:hAnsi="Traditional Arabic" w:hint="cs"/>
          <w:rtl/>
          <w:lang w:eastAsia="en-US"/>
        </w:rPr>
        <w:t>................................................</w:t>
      </w:r>
      <w:r w:rsidRPr="00C85F0F">
        <w:rPr>
          <w:rFonts w:ascii="Traditional Arabic" w:hAnsi="Traditional Arabic" w:hint="cs"/>
          <w:rtl/>
          <w:lang w:eastAsia="en-US"/>
        </w:rPr>
        <w:t>.</w:t>
      </w:r>
      <w:r>
        <w:rPr>
          <w:rFonts w:hint="cs"/>
          <w:color w:val="auto"/>
          <w:rtl/>
        </w:rPr>
        <w:t>432</w:t>
      </w:r>
    </w:p>
    <w:p w:rsidR="006E11B5" w:rsidRDefault="006E11B5" w:rsidP="006E11B5">
      <w:pPr>
        <w:ind w:firstLine="0"/>
        <w:jc w:val="left"/>
        <w:rPr>
          <w:rtl/>
        </w:rPr>
      </w:pPr>
      <w:r w:rsidRPr="00C85F0F">
        <w:rPr>
          <w:rFonts w:hint="cs"/>
          <w:rtl/>
        </w:rPr>
        <w:t>إذا كان المباحُ وسيلةً لمأمور به أُمِر به، وإذا كان وسيلة لمنهيٍّ عنه نُهِي عنه</w:t>
      </w:r>
      <w:r w:rsidR="000D7CE2">
        <w:rPr>
          <w:rFonts w:hint="cs"/>
          <w:rtl/>
        </w:rPr>
        <w:t>................</w:t>
      </w:r>
      <w:r w:rsidRPr="00C85F0F">
        <w:rPr>
          <w:rFonts w:hint="cs"/>
          <w:rtl/>
        </w:rPr>
        <w:t>.</w:t>
      </w:r>
      <w:r>
        <w:rPr>
          <w:rFonts w:hint="cs"/>
          <w:rtl/>
        </w:rPr>
        <w:t>172</w:t>
      </w:r>
    </w:p>
    <w:p w:rsidR="006E11B5" w:rsidRPr="00C85F0F" w:rsidRDefault="006E11B5" w:rsidP="006E11B5">
      <w:pPr>
        <w:ind w:firstLine="0"/>
      </w:pPr>
      <w:r w:rsidRPr="00C85F0F">
        <w:rPr>
          <w:rFonts w:hint="cs"/>
          <w:rtl/>
        </w:rPr>
        <w:t>الإذن العادي أو الشرعي يُنزَّل عند المالكية مَنْزِلة القولي</w:t>
      </w:r>
      <w:r w:rsidR="000D7CE2">
        <w:rPr>
          <w:rFonts w:hint="cs"/>
          <w:rtl/>
        </w:rPr>
        <w:t>................................</w:t>
      </w:r>
      <w:r w:rsidRPr="00C85F0F">
        <w:rPr>
          <w:rFonts w:hint="cs"/>
          <w:rtl/>
        </w:rPr>
        <w:t>.</w:t>
      </w:r>
      <w:r>
        <w:rPr>
          <w:rFonts w:hint="cs"/>
          <w:rtl/>
        </w:rPr>
        <w:t>154</w:t>
      </w:r>
    </w:p>
    <w:p w:rsidR="006E11B5" w:rsidRPr="00C85F0F" w:rsidRDefault="006E11B5" w:rsidP="006E11B5">
      <w:pPr>
        <w:ind w:firstLine="0"/>
      </w:pPr>
      <w:r w:rsidRPr="00C85F0F">
        <w:rPr>
          <w:rFonts w:hint="cs"/>
          <w:rtl/>
        </w:rPr>
        <w:t>الإذْنُ العُرفي كالإذن اللَّفظي</w:t>
      </w:r>
      <w:r w:rsidR="000D7CE2">
        <w:rPr>
          <w:rFonts w:hint="cs"/>
          <w:rtl/>
        </w:rPr>
        <w:t>.........................................................</w:t>
      </w:r>
      <w:r w:rsidRPr="00C85F0F">
        <w:rPr>
          <w:rFonts w:hint="cs"/>
          <w:rtl/>
        </w:rPr>
        <w:t>.</w:t>
      </w:r>
      <w:r>
        <w:rPr>
          <w:rFonts w:hint="cs"/>
          <w:rtl/>
        </w:rPr>
        <w:t>154</w:t>
      </w:r>
    </w:p>
    <w:p w:rsidR="006E11B5" w:rsidRDefault="006E11B5" w:rsidP="006E11B5">
      <w:pPr>
        <w:ind w:firstLine="0"/>
        <w:rPr>
          <w:rtl/>
        </w:rPr>
      </w:pPr>
      <w:r w:rsidRPr="00C85F0F">
        <w:rPr>
          <w:rFonts w:hint="cs"/>
          <w:rtl/>
        </w:rPr>
        <w:t>الإذن العرفي كالحقيق</w:t>
      </w:r>
      <w:r>
        <w:rPr>
          <w:rFonts w:hint="cs"/>
          <w:rtl/>
        </w:rPr>
        <w:t>ي</w:t>
      </w:r>
      <w:r w:rsidR="000D7CE2">
        <w:rPr>
          <w:rFonts w:hint="cs"/>
          <w:rtl/>
        </w:rPr>
        <w:t>..............................................................</w:t>
      </w:r>
      <w:r w:rsidRPr="00C85F0F">
        <w:rPr>
          <w:rFonts w:hint="cs"/>
          <w:rtl/>
        </w:rPr>
        <w:t>.</w:t>
      </w:r>
      <w:r>
        <w:rPr>
          <w:rFonts w:hint="cs"/>
          <w:rtl/>
        </w:rPr>
        <w:t>154</w:t>
      </w:r>
    </w:p>
    <w:p w:rsidR="006E11B5" w:rsidRPr="00C85F0F" w:rsidRDefault="006E11B5" w:rsidP="006E11B5">
      <w:pPr>
        <w:ind w:firstLine="0"/>
      </w:pPr>
      <w:r w:rsidRPr="00C85F0F">
        <w:rPr>
          <w:rFonts w:hint="cs"/>
          <w:rtl/>
        </w:rPr>
        <w:t>الإذْن العُرفي يَجري مَجْرى الإذْن اللَّفظي</w:t>
      </w:r>
      <w:r w:rsidR="000D7CE2">
        <w:rPr>
          <w:rFonts w:hint="cs"/>
          <w:rtl/>
        </w:rPr>
        <w:t>...............................................</w:t>
      </w:r>
      <w:r w:rsidRPr="00C85F0F">
        <w:rPr>
          <w:rFonts w:hint="cs"/>
          <w:rtl/>
        </w:rPr>
        <w:t>.</w:t>
      </w:r>
      <w:r>
        <w:rPr>
          <w:rFonts w:hint="cs"/>
          <w:rtl/>
        </w:rPr>
        <w:t>154</w:t>
      </w:r>
    </w:p>
    <w:p w:rsidR="006E11B5" w:rsidRPr="00C85F0F" w:rsidRDefault="006E11B5" w:rsidP="006E11B5">
      <w:pPr>
        <w:ind w:firstLine="0"/>
      </w:pPr>
      <w:r w:rsidRPr="00C85F0F">
        <w:rPr>
          <w:rFonts w:hint="cs"/>
          <w:rtl/>
        </w:rPr>
        <w:lastRenderedPageBreak/>
        <w:t>الإذن العرفية: كالإذن الحقيقية</w:t>
      </w:r>
      <w:r w:rsidR="000D7CE2">
        <w:rPr>
          <w:rFonts w:hint="cs"/>
          <w:rtl/>
        </w:rPr>
        <w:t>......................................................</w:t>
      </w:r>
      <w:r w:rsidRPr="00C85F0F">
        <w:rPr>
          <w:rFonts w:hint="cs"/>
          <w:rtl/>
        </w:rPr>
        <w:t>.</w:t>
      </w:r>
      <w:r>
        <w:rPr>
          <w:rFonts w:hint="cs"/>
          <w:rtl/>
        </w:rPr>
        <w:t>154</w:t>
      </w:r>
    </w:p>
    <w:p w:rsidR="006E11B5" w:rsidRDefault="006E11B5" w:rsidP="006E11B5">
      <w:pPr>
        <w:ind w:firstLine="0"/>
        <w:rPr>
          <w:color w:val="auto"/>
          <w:rtl/>
        </w:rPr>
      </w:pPr>
      <w:r w:rsidRPr="00C85F0F">
        <w:rPr>
          <w:rFonts w:ascii="Traditional Arabic" w:hAnsi="Traditional Arabic"/>
          <w:noProof w:val="0"/>
          <w:color w:val="auto"/>
          <w:rtl/>
          <w:lang w:eastAsia="en-US"/>
        </w:rPr>
        <w:t>ارتفاع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الواقع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شرعا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حال</w:t>
      </w:r>
      <w:r>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وأما تقدير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ارتفاع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w:t>
      </w:r>
      <w:r>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مع 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جوده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w:t>
      </w:r>
      <w:r w:rsidRPr="00C85F0F">
        <w:rPr>
          <w:rFonts w:ascii="Traditional Arabic" w:hAnsi="Traditional Arabic" w:hint="cs"/>
          <w:noProof w:val="0"/>
          <w:color w:val="auto"/>
          <w:rtl/>
          <w:lang w:eastAsia="en-US"/>
        </w:rPr>
        <w:t>ٌ</w:t>
      </w:r>
      <w:r w:rsidR="000D7CE2">
        <w:rPr>
          <w:rFonts w:hint="cs"/>
          <w:color w:val="auto"/>
          <w:rtl/>
        </w:rPr>
        <w:t>.........................</w:t>
      </w:r>
      <w:r w:rsidRPr="00C85F0F">
        <w:rPr>
          <w:rFonts w:hint="cs"/>
          <w:color w:val="auto"/>
          <w:rtl/>
        </w:rPr>
        <w:t>.</w:t>
      </w:r>
      <w:r>
        <w:rPr>
          <w:rFonts w:hint="cs"/>
          <w:color w:val="auto"/>
          <w:rtl/>
        </w:rPr>
        <w:t>452</w:t>
      </w:r>
    </w:p>
    <w:p w:rsidR="006E11B5" w:rsidRDefault="006E11B5" w:rsidP="006E11B5">
      <w:pPr>
        <w:widowControl/>
        <w:autoSpaceDE w:val="0"/>
        <w:autoSpaceDN w:val="0"/>
        <w:adjustRightInd w:val="0"/>
        <w:ind w:firstLine="0"/>
        <w:jc w:val="left"/>
        <w:rPr>
          <w:rFonts w:ascii="Traditional Arabic" w:hAnsi="Traditional Arabic"/>
          <w:noProof w:val="0"/>
          <w:rtl/>
          <w:lang w:eastAsia="en-US"/>
        </w:rPr>
      </w:pPr>
      <w:r w:rsidRPr="00C85F0F">
        <w:rPr>
          <w:rFonts w:ascii="Traditional Arabic" w:hAnsi="Traditional Arabic" w:hint="cs"/>
          <w:noProof w:val="0"/>
          <w:rtl/>
          <w:lang w:eastAsia="en-US"/>
        </w:rPr>
        <w:t>استعمال القر</w:t>
      </w:r>
      <w:r>
        <w:rPr>
          <w:rFonts w:ascii="Traditional Arabic" w:hAnsi="Traditional Arabic" w:hint="cs"/>
          <w:noProof w:val="0"/>
          <w:rtl/>
          <w:lang w:eastAsia="en-US"/>
        </w:rPr>
        <w:t>عة لِتمييز المستحق أصلٌ في الشرع</w:t>
      </w:r>
      <w:r w:rsidR="000D7CE2">
        <w:rPr>
          <w:rFonts w:ascii="Traditional Arabic" w:hAnsi="Traditional Arabic" w:hint="cs"/>
          <w:noProof w:val="0"/>
          <w:rtl/>
          <w:lang w:eastAsia="en-US"/>
        </w:rPr>
        <w:t>.......................................</w:t>
      </w:r>
      <w:r>
        <w:rPr>
          <w:rFonts w:ascii="Traditional Arabic" w:hAnsi="Traditional Arabic" w:hint="cs"/>
          <w:noProof w:val="0"/>
          <w:rtl/>
          <w:lang w:eastAsia="en-US"/>
        </w:rPr>
        <w:t>.403</w:t>
      </w:r>
    </w:p>
    <w:p w:rsidR="006E11B5" w:rsidRPr="00C85F0F" w:rsidRDefault="006E11B5" w:rsidP="006E11B5">
      <w:pPr>
        <w:ind w:firstLine="0"/>
      </w:pPr>
      <w:r w:rsidRPr="00C85F0F">
        <w:rPr>
          <w:rFonts w:hint="cs"/>
          <w:rtl/>
        </w:rPr>
        <w:t>الأشياءُ لا تتمُّ إلا باجتماعِ الشروط وانتفاء الموانع</w:t>
      </w:r>
      <w:r w:rsidR="000D7CE2">
        <w:rPr>
          <w:rFonts w:hint="cs"/>
          <w:rtl/>
        </w:rPr>
        <w:t>.....................................</w:t>
      </w:r>
      <w:r w:rsidRPr="00C85F0F">
        <w:rPr>
          <w:rFonts w:hint="cs"/>
          <w:rtl/>
        </w:rPr>
        <w:t>.</w:t>
      </w:r>
      <w:r>
        <w:rPr>
          <w:rFonts w:hint="cs"/>
          <w:rtl/>
        </w:rPr>
        <w:t>489</w:t>
      </w:r>
    </w:p>
    <w:p w:rsidR="006E11B5" w:rsidRDefault="006E11B5" w:rsidP="006E11B5">
      <w:pPr>
        <w:ind w:firstLine="0"/>
        <w:rPr>
          <w:rtl/>
        </w:rPr>
      </w:pPr>
      <w:r w:rsidRPr="00C85F0F">
        <w:rPr>
          <w:rFonts w:hint="cs"/>
          <w:rtl/>
        </w:rPr>
        <w:t>الأصل احترام أموال الناس، فلا يح</w:t>
      </w:r>
      <w:r>
        <w:rPr>
          <w:rFonts w:hint="cs"/>
          <w:rtl/>
        </w:rPr>
        <w:t>ِ</w:t>
      </w:r>
      <w:r w:rsidRPr="00C85F0F">
        <w:rPr>
          <w:rFonts w:hint="cs"/>
          <w:rtl/>
        </w:rPr>
        <w:t>ل لأحد مالُ غيرِه إلا بطيب نفسه</w:t>
      </w:r>
      <w:r w:rsidR="000D7CE2">
        <w:rPr>
          <w:rFonts w:hint="cs"/>
          <w:rtl/>
        </w:rPr>
        <w:t>....................</w:t>
      </w:r>
      <w:r w:rsidRPr="00C85F0F">
        <w:rPr>
          <w:rFonts w:hint="cs"/>
          <w:rtl/>
        </w:rPr>
        <w:t>.</w:t>
      </w:r>
      <w:r>
        <w:rPr>
          <w:rFonts w:hint="cs"/>
          <w:rtl/>
        </w:rPr>
        <w:t>315</w:t>
      </w:r>
    </w:p>
    <w:p w:rsidR="006E11B5" w:rsidRPr="00C85F0F" w:rsidRDefault="006E11B5" w:rsidP="006E11B5">
      <w:pPr>
        <w:ind w:firstLine="0"/>
      </w:pPr>
      <w:r w:rsidRPr="00C85F0F">
        <w:rPr>
          <w:rFonts w:hint="cs"/>
          <w:rtl/>
        </w:rPr>
        <w:t>الأصل احترامُ مالِ المسلم</w:t>
      </w:r>
      <w:r w:rsidR="000D7CE2">
        <w:rPr>
          <w:rFonts w:hint="cs"/>
          <w:rtl/>
        </w:rPr>
        <w:t>...........................................................</w:t>
      </w:r>
      <w:r w:rsidRPr="00C85F0F">
        <w:rPr>
          <w:rFonts w:hint="cs"/>
          <w:rtl/>
        </w:rPr>
        <w:t>.</w:t>
      </w:r>
      <w:r>
        <w:rPr>
          <w:rFonts w:hint="cs"/>
          <w:rtl/>
        </w:rPr>
        <w:t>313</w:t>
      </w:r>
    </w:p>
    <w:p w:rsidR="006E11B5" w:rsidRDefault="006E11B5" w:rsidP="006E11B5">
      <w:pPr>
        <w:spacing w:line="640" w:lineRule="exact"/>
        <w:ind w:firstLine="0"/>
        <w:jc w:val="left"/>
        <w:rPr>
          <w:rFonts w:ascii="Traditional Arabic" w:hAnsi="Traditional Arabic"/>
          <w:rtl/>
        </w:rPr>
      </w:pPr>
      <w:r w:rsidRPr="00C85F0F">
        <w:rPr>
          <w:rFonts w:ascii="Traditional Arabic" w:hAnsi="Traditional Arabic" w:hint="cs"/>
          <w:color w:val="auto"/>
          <w:rtl/>
          <w:lang w:eastAsia="en-US"/>
        </w:rPr>
        <w:t>الأصل إذا لم يحصل به المقصود قام بدلُه مقامَه</w:t>
      </w:r>
      <w:r w:rsidR="000D7CE2">
        <w:rPr>
          <w:rFonts w:ascii="Traditional Arabic" w:hAnsi="Traditional Arabic" w:hint="cs"/>
          <w:color w:val="auto"/>
          <w:rtl/>
          <w:lang w:eastAsia="en-US"/>
        </w:rPr>
        <w:t>........................................</w:t>
      </w:r>
      <w:r w:rsidRPr="00C85F0F">
        <w:rPr>
          <w:rFonts w:ascii="Traditional Arabic" w:hAnsi="Traditional Arabic" w:hint="cs"/>
          <w:color w:val="auto"/>
          <w:rtl/>
          <w:lang w:eastAsia="en-US"/>
        </w:rPr>
        <w:t>.</w:t>
      </w:r>
      <w:r>
        <w:rPr>
          <w:rFonts w:ascii="Traditional Arabic" w:hAnsi="Traditional Arabic" w:hint="cs"/>
          <w:color w:val="auto"/>
          <w:rtl/>
          <w:lang w:eastAsia="en-US"/>
        </w:rPr>
        <w:t>479</w:t>
      </w:r>
    </w:p>
    <w:p w:rsidR="006E11B5" w:rsidRPr="00A71F5D" w:rsidRDefault="006E11B5" w:rsidP="006E11B5">
      <w:pPr>
        <w:pStyle w:val="a7"/>
        <w:spacing w:line="440" w:lineRule="exact"/>
        <w:jc w:val="lowKashida"/>
        <w:rPr>
          <w:rFonts w:ascii="Traditional Arabic" w:hAnsi="Traditional Arabic"/>
          <w:color w:val="auto"/>
          <w:sz w:val="36"/>
          <w:szCs w:val="36"/>
          <w:rtl/>
        </w:rPr>
      </w:pPr>
      <w:r w:rsidRPr="00A71F5D">
        <w:rPr>
          <w:rFonts w:ascii="Traditional Arabic" w:hAnsi="Traditional Arabic"/>
          <w:noProof w:val="0"/>
          <w:color w:val="auto"/>
          <w:sz w:val="36"/>
          <w:szCs w:val="36"/>
          <w:rtl/>
          <w:lang w:eastAsia="en-US"/>
        </w:rPr>
        <w:t>الأصل اعتبار</w:t>
      </w:r>
      <w:r w:rsidRPr="00A71F5D">
        <w:rPr>
          <w:rFonts w:ascii="Traditional Arabic" w:hAnsi="Traditional Arabic" w:hint="cs"/>
          <w:noProof w:val="0"/>
          <w:color w:val="auto"/>
          <w:sz w:val="36"/>
          <w:szCs w:val="36"/>
          <w:rtl/>
          <w:lang w:eastAsia="en-US"/>
        </w:rPr>
        <w:t>ُ</w:t>
      </w:r>
      <w:r w:rsidRPr="00A71F5D">
        <w:rPr>
          <w:rFonts w:ascii="Traditional Arabic" w:hAnsi="Traditional Arabic"/>
          <w:noProof w:val="0"/>
          <w:color w:val="auto"/>
          <w:sz w:val="36"/>
          <w:szCs w:val="36"/>
          <w:rtl/>
          <w:lang w:eastAsia="en-US"/>
        </w:rPr>
        <w:t xml:space="preserve"> الغالب، وتقديم</w:t>
      </w:r>
      <w:r w:rsidRPr="00A71F5D">
        <w:rPr>
          <w:rFonts w:ascii="Traditional Arabic" w:hAnsi="Traditional Arabic" w:hint="cs"/>
          <w:noProof w:val="0"/>
          <w:color w:val="auto"/>
          <w:sz w:val="36"/>
          <w:szCs w:val="36"/>
          <w:rtl/>
          <w:lang w:eastAsia="en-US"/>
        </w:rPr>
        <w:t>ُ</w:t>
      </w:r>
      <w:r w:rsidRPr="00A71F5D">
        <w:rPr>
          <w:rFonts w:ascii="Traditional Arabic" w:hAnsi="Traditional Arabic"/>
          <w:noProof w:val="0"/>
          <w:color w:val="auto"/>
          <w:sz w:val="36"/>
          <w:szCs w:val="36"/>
          <w:rtl/>
          <w:lang w:eastAsia="en-US"/>
        </w:rPr>
        <w:t>ه على النادر</w:t>
      </w:r>
      <w:r w:rsidR="000D7CE2">
        <w:rPr>
          <w:rFonts w:ascii="Traditional Arabic" w:hAnsi="Traditional Arabic" w:hint="cs"/>
          <w:noProof w:val="0"/>
          <w:sz w:val="36"/>
          <w:szCs w:val="36"/>
          <w:rtl/>
          <w:lang w:eastAsia="en-US"/>
        </w:rPr>
        <w:t>...........................................</w:t>
      </w:r>
      <w:r w:rsidRPr="00A71F5D">
        <w:rPr>
          <w:rFonts w:ascii="Traditional Arabic" w:hAnsi="Traditional Arabic"/>
          <w:noProof w:val="0"/>
          <w:sz w:val="36"/>
          <w:szCs w:val="36"/>
          <w:rtl/>
          <w:lang w:eastAsia="en-US"/>
        </w:rPr>
        <w:t>.</w:t>
      </w:r>
      <w:r>
        <w:rPr>
          <w:rFonts w:ascii="Traditional Arabic" w:hAnsi="Traditional Arabic" w:hint="cs"/>
          <w:color w:val="auto"/>
          <w:sz w:val="36"/>
          <w:szCs w:val="36"/>
          <w:rtl/>
        </w:rPr>
        <w:t>322</w:t>
      </w:r>
    </w:p>
    <w:p w:rsidR="006E11B5" w:rsidRDefault="006E11B5" w:rsidP="006E11B5">
      <w:pPr>
        <w:ind w:firstLine="0"/>
        <w:rPr>
          <w:rtl/>
        </w:rPr>
      </w:pPr>
      <w:r w:rsidRPr="00C85F0F">
        <w:rPr>
          <w:rFonts w:hint="cs"/>
          <w:rtl/>
        </w:rPr>
        <w:t>الأصل البراءةُ قبل ثبوت التكليف وعِمارةِ الذمة</w:t>
      </w:r>
      <w:r w:rsidR="000D7CE2">
        <w:rPr>
          <w:rFonts w:hint="cs"/>
          <w:rtl/>
        </w:rPr>
        <w:t>.......................................</w:t>
      </w:r>
      <w:r w:rsidRPr="00C85F0F">
        <w:rPr>
          <w:rFonts w:hint="cs"/>
          <w:rtl/>
        </w:rPr>
        <w:t>.</w:t>
      </w:r>
      <w:r>
        <w:rPr>
          <w:rFonts w:hint="cs"/>
          <w:rtl/>
        </w:rPr>
        <w:t>288</w:t>
      </w:r>
    </w:p>
    <w:p w:rsidR="006E11B5" w:rsidRDefault="006E11B5" w:rsidP="006E11B5">
      <w:pPr>
        <w:pStyle w:val="a7"/>
        <w:spacing w:line="440" w:lineRule="exact"/>
        <w:jc w:val="lowKashida"/>
        <w:rPr>
          <w:rFonts w:ascii="Traditional Arabic" w:hAnsi="Traditional Arabic"/>
          <w:color w:val="auto"/>
          <w:rtl/>
        </w:rPr>
      </w:pPr>
      <w:r w:rsidRPr="00A71F5D">
        <w:rPr>
          <w:rFonts w:ascii="Traditional Arabic" w:hAnsi="Traditional Arabic" w:hint="cs"/>
          <w:color w:val="auto"/>
          <w:sz w:val="36"/>
          <w:szCs w:val="36"/>
          <w:rtl/>
        </w:rPr>
        <w:t>الأصل إلحاق الفرد بالأعمّ الأغلب دون النادر</w:t>
      </w:r>
      <w:r w:rsidR="000D7CE2">
        <w:rPr>
          <w:rFonts w:ascii="Traditional Arabic" w:hAnsi="Traditional Arabic" w:hint="cs"/>
          <w:color w:val="auto"/>
          <w:sz w:val="36"/>
          <w:szCs w:val="36"/>
          <w:rtl/>
        </w:rPr>
        <w:t>.......................................</w:t>
      </w:r>
      <w:r w:rsidRPr="00345E2B">
        <w:rPr>
          <w:rFonts w:ascii="Traditional Arabic" w:hAnsi="Traditional Arabic" w:hint="cs"/>
          <w:color w:val="auto"/>
          <w:sz w:val="36"/>
          <w:szCs w:val="36"/>
          <w:rtl/>
        </w:rPr>
        <w:t>.322</w:t>
      </w:r>
    </w:p>
    <w:p w:rsidR="006E11B5" w:rsidRPr="00531753" w:rsidRDefault="006E11B5" w:rsidP="006E11B5">
      <w:pPr>
        <w:pStyle w:val="a7"/>
        <w:jc w:val="lowKashida"/>
        <w:rPr>
          <w:rFonts w:ascii="Traditional Arabic" w:hAnsi="Traditional Arabic"/>
          <w:color w:val="auto"/>
          <w:sz w:val="36"/>
          <w:szCs w:val="36"/>
        </w:rPr>
      </w:pPr>
      <w:r w:rsidRPr="00531753">
        <w:rPr>
          <w:rFonts w:ascii="Traditional Arabic" w:hAnsi="Traditional Arabic"/>
          <w:noProof w:val="0"/>
          <w:color w:val="auto"/>
          <w:sz w:val="36"/>
          <w:szCs w:val="36"/>
          <w:rtl/>
          <w:lang w:eastAsia="en-US"/>
        </w:rPr>
        <w:t>أصل الشريعة مبن</w:t>
      </w:r>
      <w:r w:rsidRPr="00531753">
        <w:rPr>
          <w:rFonts w:ascii="Traditional Arabic" w:hAnsi="Traditional Arabic" w:hint="cs"/>
          <w:noProof w:val="0"/>
          <w:color w:val="auto"/>
          <w:sz w:val="36"/>
          <w:szCs w:val="36"/>
          <w:rtl/>
          <w:lang w:eastAsia="en-US"/>
        </w:rPr>
        <w:t>يٌّ</w:t>
      </w:r>
      <w:r w:rsidRPr="00531753">
        <w:rPr>
          <w:rFonts w:ascii="Traditional Arabic" w:hAnsi="Traditional Arabic"/>
          <w:noProof w:val="0"/>
          <w:color w:val="auto"/>
          <w:sz w:val="36"/>
          <w:szCs w:val="36"/>
          <w:rtl/>
          <w:lang w:eastAsia="en-US"/>
        </w:rPr>
        <w:t xml:space="preserve"> على المصالح الخالصة أو الراجحة</w:t>
      </w:r>
      <w:r w:rsidR="000D7CE2">
        <w:rPr>
          <w:rFonts w:ascii="Traditional Arabic" w:hAnsi="Traditional Arabic" w:hint="cs"/>
          <w:color w:val="auto"/>
          <w:sz w:val="36"/>
          <w:szCs w:val="36"/>
          <w:rtl/>
        </w:rPr>
        <w:t>....................................</w:t>
      </w:r>
      <w:r w:rsidRPr="00531753">
        <w:rPr>
          <w:rFonts w:ascii="Traditional Arabic" w:hAnsi="Traditional Arabic" w:hint="cs"/>
          <w:color w:val="auto"/>
          <w:sz w:val="36"/>
          <w:szCs w:val="36"/>
          <w:rtl/>
        </w:rPr>
        <w:t>.</w:t>
      </w:r>
      <w:r>
        <w:rPr>
          <w:rFonts w:ascii="Traditional Arabic" w:hAnsi="Traditional Arabic" w:hint="cs"/>
          <w:color w:val="auto"/>
          <w:sz w:val="36"/>
          <w:szCs w:val="36"/>
          <w:rtl/>
        </w:rPr>
        <w:t>96</w:t>
      </w:r>
    </w:p>
    <w:p w:rsidR="006E11B5" w:rsidRPr="00C85F0F" w:rsidRDefault="006E11B5" w:rsidP="006E11B5">
      <w:pPr>
        <w:ind w:firstLine="0"/>
      </w:pPr>
      <w:r w:rsidRPr="00C85F0F">
        <w:rPr>
          <w:rFonts w:hint="cs"/>
          <w:rtl/>
        </w:rPr>
        <w:t>الأصل أن الأشياء لا تتمُّ إلا بِوُجودِ أسبابِها وشروطِها وانتفاءِ موانِعها</w:t>
      </w:r>
      <w:r w:rsidR="000D7CE2">
        <w:rPr>
          <w:rFonts w:hint="cs"/>
          <w:rtl/>
        </w:rPr>
        <w:t>....................</w:t>
      </w:r>
      <w:r w:rsidRPr="00C85F0F">
        <w:rPr>
          <w:rFonts w:hint="cs"/>
          <w:rtl/>
        </w:rPr>
        <w:t>.</w:t>
      </w:r>
      <w:r>
        <w:rPr>
          <w:rFonts w:hint="cs"/>
          <w:rtl/>
        </w:rPr>
        <w:t>489</w:t>
      </w:r>
    </w:p>
    <w:p w:rsidR="006E11B5" w:rsidRPr="00C85F0F" w:rsidRDefault="006E11B5" w:rsidP="006E11B5">
      <w:pPr>
        <w:ind w:firstLine="0"/>
        <w:rPr>
          <w:rtl/>
        </w:rPr>
      </w:pPr>
      <w:r w:rsidRPr="00C85F0F">
        <w:rPr>
          <w:rFonts w:hint="cs"/>
          <w:rtl/>
        </w:rPr>
        <w:t>الأصل أن الغارم يُقبل قوله</w:t>
      </w:r>
      <w:r w:rsidR="000D7CE2">
        <w:rPr>
          <w:rFonts w:hint="cs"/>
          <w:rtl/>
        </w:rPr>
        <w:t>..........................................................</w:t>
      </w:r>
      <w:r w:rsidRPr="00C85F0F">
        <w:rPr>
          <w:rFonts w:hint="cs"/>
          <w:rtl/>
        </w:rPr>
        <w:t>.</w:t>
      </w:r>
      <w:r>
        <w:rPr>
          <w:rFonts w:hint="cs"/>
          <w:rtl/>
        </w:rPr>
        <w:t>411</w:t>
      </w:r>
    </w:p>
    <w:p w:rsidR="006E11B5" w:rsidRDefault="006E11B5" w:rsidP="006E11B5">
      <w:pPr>
        <w:ind w:firstLine="0"/>
        <w:rPr>
          <w:rtl/>
        </w:rPr>
      </w:pPr>
      <w:r w:rsidRPr="00C85F0F">
        <w:rPr>
          <w:rFonts w:hint="cs"/>
          <w:rtl/>
        </w:rPr>
        <w:t>الأصل أن تزول الأحكام بِزوال عِلَلِها</w:t>
      </w:r>
      <w:r w:rsidR="000D7CE2">
        <w:rPr>
          <w:rFonts w:hint="cs"/>
          <w:rtl/>
        </w:rPr>
        <w:t>................................................</w:t>
      </w:r>
      <w:r w:rsidRPr="00C85F0F">
        <w:rPr>
          <w:rFonts w:hint="cs"/>
          <w:rtl/>
        </w:rPr>
        <w:t>.</w:t>
      </w:r>
      <w:r>
        <w:rPr>
          <w:rFonts w:hint="cs"/>
          <w:rtl/>
        </w:rPr>
        <w:t>384</w:t>
      </w:r>
    </w:p>
    <w:p w:rsidR="006E11B5" w:rsidRDefault="006E11B5" w:rsidP="006E11B5">
      <w:pPr>
        <w:ind w:firstLine="0"/>
        <w:rPr>
          <w:rtl/>
        </w:rPr>
      </w:pPr>
      <w:r w:rsidRPr="00C85F0F">
        <w:rPr>
          <w:rFonts w:hint="cs"/>
          <w:rtl/>
        </w:rPr>
        <w:t>الأصل أن حق الغير لا ينتقل عنه إلى غيره إلا برضاه</w:t>
      </w:r>
      <w:r w:rsidR="000D7CE2">
        <w:rPr>
          <w:rFonts w:hint="cs"/>
          <w:rtl/>
        </w:rPr>
        <w:t>..................................</w:t>
      </w:r>
      <w:r w:rsidRPr="00C85F0F">
        <w:rPr>
          <w:rFonts w:hint="cs"/>
          <w:rtl/>
        </w:rPr>
        <w:t>.</w:t>
      </w:r>
      <w:r>
        <w:rPr>
          <w:rFonts w:hint="cs"/>
          <w:rtl/>
        </w:rPr>
        <w:t>396</w:t>
      </w:r>
    </w:p>
    <w:p w:rsidR="006E11B5" w:rsidRPr="00C85F0F" w:rsidRDefault="006E11B5" w:rsidP="006E11B5">
      <w:pPr>
        <w:ind w:firstLine="0"/>
      </w:pPr>
      <w:r w:rsidRPr="00C85F0F">
        <w:rPr>
          <w:rFonts w:hint="cs"/>
          <w:rtl/>
        </w:rPr>
        <w:t>الأصل أن كلَّ مَن ثَبَتَ له حقٌّ فإنه لا يَسقط إلا بما يدلُّ على رِضاه</w:t>
      </w:r>
      <w:r w:rsidR="000D7CE2">
        <w:rPr>
          <w:rFonts w:hint="cs"/>
          <w:rtl/>
        </w:rPr>
        <w:t>....................</w:t>
      </w:r>
      <w:r w:rsidRPr="00C85F0F">
        <w:rPr>
          <w:rFonts w:hint="cs"/>
          <w:rtl/>
        </w:rPr>
        <w:t>.</w:t>
      </w:r>
      <w:r>
        <w:rPr>
          <w:rFonts w:hint="cs"/>
          <w:rtl/>
        </w:rPr>
        <w:t>395</w:t>
      </w:r>
    </w:p>
    <w:p w:rsidR="006E11B5" w:rsidRDefault="006E11B5" w:rsidP="006E11B5">
      <w:pPr>
        <w:ind w:firstLine="0"/>
        <w:rPr>
          <w:rtl/>
        </w:rPr>
      </w:pPr>
      <w:r w:rsidRPr="00C85F0F">
        <w:rPr>
          <w:rFonts w:hint="cs"/>
          <w:rtl/>
        </w:rPr>
        <w:t>الأصل أنه لا يُنتزَعَ مِن الإنسان ما هو ملْكُه إلا بطِيبِ نفسه</w:t>
      </w:r>
      <w:r w:rsidR="000D7CE2">
        <w:rPr>
          <w:rFonts w:hint="cs"/>
          <w:rtl/>
        </w:rPr>
        <w:t>...........................</w:t>
      </w:r>
      <w:r w:rsidRPr="00C85F0F">
        <w:rPr>
          <w:rFonts w:hint="cs"/>
          <w:rtl/>
        </w:rPr>
        <w:t>.</w:t>
      </w:r>
      <w:r>
        <w:rPr>
          <w:rFonts w:hint="cs"/>
          <w:rtl/>
        </w:rPr>
        <w:t>396</w:t>
      </w:r>
    </w:p>
    <w:p w:rsidR="006E11B5" w:rsidRDefault="006E11B5" w:rsidP="006E11B5">
      <w:pPr>
        <w:ind w:firstLine="0"/>
        <w:rPr>
          <w:rtl/>
        </w:rPr>
      </w:pPr>
      <w:r w:rsidRPr="00C85F0F">
        <w:rPr>
          <w:rFonts w:hint="cs"/>
          <w:rtl/>
        </w:rPr>
        <w:t>الأصل براءة الذِّمة</w:t>
      </w:r>
      <w:r w:rsidR="000D7CE2">
        <w:rPr>
          <w:rFonts w:hint="cs"/>
          <w:rtl/>
        </w:rPr>
        <w:t>.................................................................</w:t>
      </w:r>
      <w:r>
        <w:rPr>
          <w:rFonts w:hint="cs"/>
          <w:rtl/>
        </w:rPr>
        <w:t>.288</w:t>
      </w:r>
    </w:p>
    <w:p w:rsidR="006E11B5" w:rsidRDefault="006E11B5" w:rsidP="006E11B5">
      <w:pPr>
        <w:ind w:firstLine="0"/>
        <w:rPr>
          <w:rtl/>
        </w:rPr>
      </w:pPr>
      <w:r w:rsidRPr="00C85F0F">
        <w:rPr>
          <w:rFonts w:ascii="Traditional Arabic" w:hAnsi="Traditional Arabic"/>
          <w:noProof w:val="0"/>
          <w:color w:val="auto"/>
          <w:rtl/>
          <w:lang w:eastAsia="en-US"/>
        </w:rPr>
        <w:t>ا</w:t>
      </w:r>
      <w:r w:rsidRPr="00C85F0F">
        <w:rPr>
          <w:rFonts w:ascii="Traditional Arabic" w:hAnsi="Traditional Arabic" w:hint="cs"/>
          <w:noProof w:val="0"/>
          <w:color w:val="auto"/>
          <w:rtl/>
          <w:lang w:eastAsia="en-US"/>
        </w:rPr>
        <w:t>لأ</w:t>
      </w:r>
      <w:r w:rsidRPr="00C85F0F">
        <w:rPr>
          <w:rFonts w:ascii="Traditional Arabic" w:hAnsi="Traditional Arabic"/>
          <w:noProof w:val="0"/>
          <w:color w:val="auto"/>
          <w:rtl/>
          <w:lang w:eastAsia="en-US"/>
        </w:rPr>
        <w:t>صل بقاءُ الْمُتحقِّقِ فيبقى الأمرُ على ما كان مُتحقِّقا</w:t>
      </w:r>
      <w:r w:rsidRPr="00C85F0F">
        <w:rPr>
          <w:rFonts w:ascii="Traditional Arabic" w:hAnsi="Traditional Arabic" w:hint="cs"/>
          <w:noProof w:val="0"/>
          <w:color w:val="auto"/>
          <w:rtl/>
          <w:lang w:eastAsia="en-US"/>
        </w:rPr>
        <w:t>ً</w:t>
      </w:r>
      <w:r w:rsidRPr="00C85F0F">
        <w:rPr>
          <w:rFonts w:hint="cs"/>
          <w:color w:val="auto"/>
          <w:rtl/>
        </w:rPr>
        <w:t>.</w:t>
      </w:r>
      <w:r w:rsidR="000D7CE2">
        <w:rPr>
          <w:rFonts w:hint="cs"/>
          <w:color w:val="auto"/>
          <w:rtl/>
        </w:rPr>
        <w:t>................................</w:t>
      </w:r>
      <w:r>
        <w:rPr>
          <w:rFonts w:hint="cs"/>
          <w:rtl/>
        </w:rPr>
        <w:t>281</w:t>
      </w:r>
    </w:p>
    <w:p w:rsidR="006E11B5" w:rsidRDefault="006E11B5" w:rsidP="006E11B5">
      <w:pPr>
        <w:ind w:firstLine="0"/>
        <w:rPr>
          <w:rFonts w:ascii="Traditional Arabic" w:hAnsi="Traditional Arabic"/>
          <w:rtl/>
        </w:rPr>
      </w:pPr>
      <w:r w:rsidRPr="00C85F0F">
        <w:rPr>
          <w:rFonts w:hint="cs"/>
          <w:rtl/>
        </w:rPr>
        <w:t>الأصل بقاءُ ما كان على ما كان</w:t>
      </w:r>
      <w:r w:rsidR="000D7CE2">
        <w:rPr>
          <w:rFonts w:ascii="Traditional Arabic" w:hAnsi="Traditional Arabic" w:hint="cs"/>
          <w:rtl/>
        </w:rPr>
        <w:t>..............................................</w:t>
      </w:r>
      <w:r>
        <w:rPr>
          <w:rFonts w:ascii="Traditional Arabic" w:hAnsi="Traditional Arabic" w:hint="cs"/>
          <w:rtl/>
        </w:rPr>
        <w:t>.280</w:t>
      </w:r>
      <w:r w:rsidR="000D7CE2">
        <w:rPr>
          <w:rFonts w:ascii="Traditional Arabic" w:hAnsi="Traditional Arabic" w:hint="cs"/>
          <w:rtl/>
        </w:rPr>
        <w:t>، 281</w:t>
      </w:r>
    </w:p>
    <w:p w:rsidR="006E11B5" w:rsidRPr="00C85F0F" w:rsidRDefault="006E11B5" w:rsidP="006E11B5">
      <w:pPr>
        <w:ind w:firstLine="0"/>
      </w:pPr>
      <w:r w:rsidRPr="00C85F0F">
        <w:rPr>
          <w:rFonts w:hint="cs"/>
          <w:rtl/>
        </w:rPr>
        <w:t>الأصل حُرْمَةُ المال</w:t>
      </w:r>
      <w:r w:rsidR="000D7CE2">
        <w:rPr>
          <w:rFonts w:hint="cs"/>
          <w:rtl/>
        </w:rPr>
        <w:t>.................................................................</w:t>
      </w:r>
      <w:r w:rsidRPr="00C85F0F">
        <w:rPr>
          <w:rFonts w:hint="cs"/>
          <w:rtl/>
        </w:rPr>
        <w:t>.</w:t>
      </w:r>
      <w:r>
        <w:rPr>
          <w:rFonts w:hint="cs"/>
          <w:rtl/>
        </w:rPr>
        <w:t>314</w:t>
      </w:r>
    </w:p>
    <w:p w:rsidR="006E11B5" w:rsidRDefault="006E11B5" w:rsidP="006E11B5">
      <w:pPr>
        <w:ind w:firstLine="0"/>
        <w:rPr>
          <w:rtl/>
        </w:rPr>
      </w:pPr>
      <w:r w:rsidRPr="00C85F0F">
        <w:rPr>
          <w:rFonts w:hint="cs"/>
          <w:rtl/>
        </w:rPr>
        <w:t>الأصل حرمة مال الغي</w:t>
      </w:r>
      <w:r>
        <w:rPr>
          <w:rFonts w:hint="cs"/>
          <w:rtl/>
        </w:rPr>
        <w:t>ر</w:t>
      </w:r>
      <w:r w:rsidR="000D7CE2">
        <w:rPr>
          <w:rFonts w:hint="cs"/>
          <w:rtl/>
        </w:rPr>
        <w:t>.............................................................</w:t>
      </w:r>
      <w:r w:rsidRPr="00C85F0F">
        <w:rPr>
          <w:rFonts w:hint="cs"/>
          <w:rtl/>
        </w:rPr>
        <w:t>.</w:t>
      </w:r>
      <w:r>
        <w:rPr>
          <w:rFonts w:hint="cs"/>
          <w:rtl/>
        </w:rPr>
        <w:t>314</w:t>
      </w:r>
    </w:p>
    <w:p w:rsidR="006E11B5" w:rsidRPr="00C85F0F" w:rsidRDefault="006E11B5" w:rsidP="006E11B5">
      <w:pPr>
        <w:ind w:firstLine="0"/>
      </w:pPr>
      <w:r w:rsidRPr="00C85F0F">
        <w:rPr>
          <w:rFonts w:hint="cs"/>
          <w:rtl/>
        </w:rPr>
        <w:t>الأصل حرمة مال المسلم</w:t>
      </w:r>
      <w:r w:rsidR="000D7CE2">
        <w:rPr>
          <w:rFonts w:hint="cs"/>
          <w:rtl/>
        </w:rPr>
        <w:t>...........................................................</w:t>
      </w:r>
      <w:r w:rsidRPr="00C85F0F">
        <w:rPr>
          <w:rFonts w:hint="cs"/>
          <w:rtl/>
        </w:rPr>
        <w:t>.</w:t>
      </w:r>
      <w:r>
        <w:rPr>
          <w:rFonts w:hint="cs"/>
          <w:rtl/>
        </w:rPr>
        <w:t>314</w:t>
      </w:r>
    </w:p>
    <w:p w:rsidR="006E11B5" w:rsidRDefault="006E11B5" w:rsidP="006E11B5">
      <w:pPr>
        <w:ind w:firstLine="0"/>
        <w:rPr>
          <w:rtl/>
        </w:rPr>
      </w:pPr>
      <w:r w:rsidRPr="00C85F0F">
        <w:rPr>
          <w:rFonts w:hint="cs"/>
          <w:rtl/>
        </w:rPr>
        <w:t xml:space="preserve">الأصل عدمُ انتزاعِ </w:t>
      </w:r>
      <w:r>
        <w:rPr>
          <w:rFonts w:hint="cs"/>
          <w:rtl/>
        </w:rPr>
        <w:t>الإنسانِ المالَ</w:t>
      </w:r>
      <w:r w:rsidRPr="00C85F0F">
        <w:rPr>
          <w:rFonts w:hint="cs"/>
          <w:rtl/>
        </w:rPr>
        <w:t xml:space="preserve"> من غيره إلا بِرِضاه</w:t>
      </w:r>
      <w:r w:rsidR="000D7CE2">
        <w:rPr>
          <w:rFonts w:hint="cs"/>
          <w:rtl/>
        </w:rPr>
        <w:t>....................................</w:t>
      </w:r>
      <w:r w:rsidRPr="00C85F0F">
        <w:rPr>
          <w:rFonts w:hint="cs"/>
          <w:rtl/>
        </w:rPr>
        <w:t>.</w:t>
      </w:r>
      <w:r>
        <w:rPr>
          <w:rFonts w:hint="cs"/>
          <w:rtl/>
        </w:rPr>
        <w:t>314</w:t>
      </w:r>
    </w:p>
    <w:p w:rsidR="006E11B5" w:rsidRDefault="006E11B5" w:rsidP="006E11B5">
      <w:pPr>
        <w:ind w:firstLine="0"/>
        <w:rPr>
          <w:rtl/>
        </w:rPr>
      </w:pPr>
      <w:r w:rsidRPr="00C85F0F">
        <w:rPr>
          <w:rFonts w:hint="cs"/>
          <w:rtl/>
        </w:rPr>
        <w:t>الأصل عدم انتزاع ملْكِ الإنسان منه إلا برضاه</w:t>
      </w:r>
      <w:r w:rsidR="000D7CE2">
        <w:rPr>
          <w:rFonts w:hint="cs"/>
          <w:rtl/>
        </w:rPr>
        <w:t>........................................</w:t>
      </w:r>
      <w:r w:rsidRPr="00C85F0F">
        <w:rPr>
          <w:rFonts w:hint="cs"/>
          <w:rtl/>
        </w:rPr>
        <w:t>.</w:t>
      </w:r>
      <w:r>
        <w:rPr>
          <w:rFonts w:hint="cs"/>
          <w:rtl/>
        </w:rPr>
        <w:t>314</w:t>
      </w:r>
    </w:p>
    <w:p w:rsidR="006E11B5" w:rsidRDefault="006E11B5" w:rsidP="006E11B5">
      <w:pPr>
        <w:ind w:firstLine="0"/>
        <w:rPr>
          <w:rtl/>
        </w:rPr>
      </w:pPr>
      <w:r w:rsidRPr="00C85F0F">
        <w:rPr>
          <w:rFonts w:hint="cs"/>
          <w:rtl/>
        </w:rPr>
        <w:t>الأصل عدم انتزاع ملك الإنسان منه إلا برِضاه</w:t>
      </w:r>
      <w:r w:rsidR="000D7CE2">
        <w:rPr>
          <w:rFonts w:hint="cs"/>
          <w:rtl/>
        </w:rPr>
        <w:t>........................................</w:t>
      </w:r>
      <w:r w:rsidRPr="00C85F0F">
        <w:rPr>
          <w:rFonts w:hint="cs"/>
          <w:rtl/>
        </w:rPr>
        <w:t>.</w:t>
      </w:r>
      <w:r>
        <w:rPr>
          <w:rFonts w:hint="cs"/>
          <w:rtl/>
        </w:rPr>
        <w:t>396</w:t>
      </w:r>
    </w:p>
    <w:p w:rsidR="006E11B5" w:rsidRDefault="006E11B5" w:rsidP="006E11B5">
      <w:pPr>
        <w:ind w:firstLine="0"/>
        <w:rPr>
          <w:rtl/>
        </w:rPr>
      </w:pPr>
      <w:r w:rsidRPr="00C85F0F">
        <w:rPr>
          <w:rFonts w:hint="cs"/>
          <w:rtl/>
        </w:rPr>
        <w:lastRenderedPageBreak/>
        <w:t>الأصل في إتلافات البهائم أنه لا شيء فيه</w:t>
      </w:r>
      <w:r>
        <w:rPr>
          <w:rFonts w:hint="cs"/>
          <w:rtl/>
        </w:rPr>
        <w:t>ا</w:t>
      </w:r>
      <w:r w:rsidR="000D7CE2">
        <w:rPr>
          <w:rFonts w:hint="cs"/>
          <w:rtl/>
        </w:rPr>
        <w:t>...........................................</w:t>
      </w:r>
      <w:r w:rsidRPr="00C85F0F">
        <w:rPr>
          <w:rFonts w:hint="cs"/>
          <w:rtl/>
        </w:rPr>
        <w:t>.</w:t>
      </w:r>
      <w:r>
        <w:rPr>
          <w:rFonts w:hint="cs"/>
          <w:rtl/>
        </w:rPr>
        <w:t>340</w:t>
      </w:r>
    </w:p>
    <w:p w:rsidR="006E11B5" w:rsidRDefault="006E11B5" w:rsidP="006E11B5">
      <w:pPr>
        <w:ind w:firstLine="0"/>
        <w:rPr>
          <w:rtl/>
        </w:rPr>
      </w:pPr>
      <w:r w:rsidRPr="00C85F0F">
        <w:rPr>
          <w:rFonts w:hint="cs"/>
          <w:rtl/>
        </w:rPr>
        <w:t>الأصل في الأموال التحريم</w:t>
      </w:r>
      <w:r w:rsidR="000D7CE2">
        <w:rPr>
          <w:rFonts w:hint="cs"/>
          <w:rtl/>
        </w:rPr>
        <w:t>...........................................................</w:t>
      </w:r>
      <w:r w:rsidRPr="00C85F0F">
        <w:rPr>
          <w:rFonts w:hint="cs"/>
          <w:rtl/>
        </w:rPr>
        <w:t>.</w:t>
      </w:r>
      <w:r>
        <w:rPr>
          <w:rFonts w:hint="cs"/>
          <w:rtl/>
        </w:rPr>
        <w:t>314</w:t>
      </w:r>
    </w:p>
    <w:p w:rsidR="006E11B5" w:rsidRDefault="006E11B5" w:rsidP="006E11B5">
      <w:pPr>
        <w:ind w:firstLine="0"/>
        <w:rPr>
          <w:rtl/>
        </w:rPr>
      </w:pPr>
      <w:r w:rsidRPr="00C85F0F">
        <w:rPr>
          <w:rFonts w:hint="cs"/>
          <w:rtl/>
        </w:rPr>
        <w:t>الأصل في الأموال العصمة</w:t>
      </w:r>
      <w:r w:rsidR="000D7CE2">
        <w:rPr>
          <w:rFonts w:hint="cs"/>
          <w:rtl/>
        </w:rPr>
        <w:t>..........................................................</w:t>
      </w:r>
      <w:r w:rsidRPr="00C85F0F">
        <w:rPr>
          <w:rFonts w:hint="cs"/>
          <w:rtl/>
        </w:rPr>
        <w:t>.</w:t>
      </w:r>
      <w:r>
        <w:rPr>
          <w:rFonts w:hint="cs"/>
          <w:rtl/>
        </w:rPr>
        <w:t>314</w:t>
      </w:r>
    </w:p>
    <w:p w:rsidR="006E11B5" w:rsidRDefault="006E11B5" w:rsidP="006E11B5">
      <w:pPr>
        <w:ind w:firstLine="0"/>
        <w:rPr>
          <w:rtl/>
        </w:rPr>
      </w:pPr>
      <w:r w:rsidRPr="00C85F0F">
        <w:rPr>
          <w:rFonts w:hint="cs"/>
          <w:rtl/>
        </w:rPr>
        <w:t>الأصل في البيع والشراء الحل</w:t>
      </w:r>
      <w:r w:rsidR="000D7CE2">
        <w:rPr>
          <w:rFonts w:hint="cs"/>
          <w:rtl/>
        </w:rPr>
        <w:t>........................................................</w:t>
      </w:r>
      <w:r w:rsidRPr="00C85F0F">
        <w:rPr>
          <w:rFonts w:hint="cs"/>
          <w:rtl/>
        </w:rPr>
        <w:t>.</w:t>
      </w:r>
      <w:r>
        <w:rPr>
          <w:rFonts w:hint="cs"/>
          <w:rtl/>
        </w:rPr>
        <w:t>293</w:t>
      </w:r>
    </w:p>
    <w:p w:rsidR="006E11B5" w:rsidRDefault="006E11B5" w:rsidP="006E11B5">
      <w:pPr>
        <w:ind w:firstLine="0"/>
        <w:rPr>
          <w:rtl/>
        </w:rPr>
      </w:pPr>
      <w:r w:rsidRPr="00C85F0F">
        <w:rPr>
          <w:rFonts w:hint="cs"/>
          <w:rtl/>
        </w:rPr>
        <w:t>الأصل في البيوع الإباحة</w:t>
      </w:r>
      <w:r w:rsidR="000D7CE2">
        <w:rPr>
          <w:rFonts w:hint="cs"/>
          <w:rtl/>
        </w:rPr>
        <w:t>............................................................</w:t>
      </w:r>
      <w:r w:rsidRPr="00C85F0F">
        <w:rPr>
          <w:rFonts w:hint="cs"/>
          <w:rtl/>
        </w:rPr>
        <w:t>.</w:t>
      </w:r>
      <w:r>
        <w:rPr>
          <w:rFonts w:hint="cs"/>
          <w:rtl/>
        </w:rPr>
        <w:t>295</w:t>
      </w:r>
    </w:p>
    <w:p w:rsidR="006E11B5" w:rsidRDefault="006E11B5" w:rsidP="006E11B5">
      <w:pPr>
        <w:ind w:firstLine="0"/>
        <w:rPr>
          <w:rtl/>
        </w:rPr>
      </w:pPr>
      <w:r w:rsidRPr="00C85F0F">
        <w:rPr>
          <w:rFonts w:hint="cs"/>
          <w:rtl/>
        </w:rPr>
        <w:t>الأصل في البيوع والمعاملات والتجارات كلها الحل والإطلاق</w:t>
      </w:r>
      <w:r w:rsidR="000D7CE2">
        <w:rPr>
          <w:rFonts w:hint="cs"/>
          <w:rtl/>
        </w:rPr>
        <w:t>............................</w:t>
      </w:r>
      <w:r w:rsidRPr="00C85F0F">
        <w:rPr>
          <w:rFonts w:hint="cs"/>
          <w:rtl/>
        </w:rPr>
        <w:t>.</w:t>
      </w:r>
      <w:r>
        <w:rPr>
          <w:rFonts w:hint="cs"/>
          <w:rtl/>
        </w:rPr>
        <w:t>295</w:t>
      </w:r>
    </w:p>
    <w:p w:rsidR="006E11B5" w:rsidRDefault="006E11B5" w:rsidP="006E11B5">
      <w:pPr>
        <w:ind w:firstLine="0"/>
        <w:rPr>
          <w:rtl/>
        </w:rPr>
      </w:pPr>
      <w:r w:rsidRPr="00C85F0F">
        <w:rPr>
          <w:rFonts w:hint="cs"/>
          <w:rtl/>
        </w:rPr>
        <w:t>الأصل في الشروط الحل والصحة</w:t>
      </w:r>
      <w:r w:rsidR="000D7CE2">
        <w:rPr>
          <w:rFonts w:hint="cs"/>
          <w:rtl/>
        </w:rPr>
        <w:t>....................................................</w:t>
      </w:r>
      <w:r w:rsidRPr="00C85F0F">
        <w:rPr>
          <w:rFonts w:hint="cs"/>
          <w:rtl/>
        </w:rPr>
        <w:t>.</w:t>
      </w:r>
      <w:r>
        <w:rPr>
          <w:rFonts w:hint="cs"/>
          <w:rtl/>
        </w:rPr>
        <w:t>294</w:t>
      </w:r>
    </w:p>
    <w:p w:rsidR="006E11B5" w:rsidRDefault="006E11B5" w:rsidP="006E11B5">
      <w:pPr>
        <w:ind w:firstLine="0"/>
        <w:rPr>
          <w:rtl/>
        </w:rPr>
      </w:pPr>
      <w:r w:rsidRPr="00C85F0F">
        <w:rPr>
          <w:rFonts w:hint="cs"/>
          <w:rtl/>
        </w:rPr>
        <w:t>الأصل في الشروط الحل</w:t>
      </w:r>
      <w:r w:rsidR="000D7CE2">
        <w:rPr>
          <w:rFonts w:hint="cs"/>
          <w:rtl/>
        </w:rPr>
        <w:t>............................................................</w:t>
      </w:r>
      <w:r w:rsidRPr="00C85F0F">
        <w:rPr>
          <w:rFonts w:hint="cs"/>
          <w:rtl/>
        </w:rPr>
        <w:t>.</w:t>
      </w:r>
      <w:r>
        <w:rPr>
          <w:rFonts w:hint="cs"/>
          <w:rtl/>
        </w:rPr>
        <w:t>294</w:t>
      </w:r>
    </w:p>
    <w:p w:rsidR="006E11B5" w:rsidRDefault="006E11B5" w:rsidP="006E11B5">
      <w:pPr>
        <w:ind w:firstLine="0"/>
        <w:rPr>
          <w:rtl/>
        </w:rPr>
      </w:pPr>
      <w:r w:rsidRPr="00C85F0F">
        <w:rPr>
          <w:rFonts w:hint="cs"/>
          <w:rtl/>
        </w:rPr>
        <w:t>الأصل في الشروط الصحة واللزوم</w:t>
      </w:r>
      <w:r w:rsidR="000D7CE2">
        <w:rPr>
          <w:rFonts w:hint="cs"/>
          <w:rtl/>
        </w:rPr>
        <w:t>...................................................</w:t>
      </w:r>
      <w:r w:rsidRPr="00C85F0F">
        <w:rPr>
          <w:rFonts w:hint="cs"/>
          <w:rtl/>
        </w:rPr>
        <w:t>.</w:t>
      </w:r>
      <w:r>
        <w:rPr>
          <w:rFonts w:hint="cs"/>
          <w:rtl/>
        </w:rPr>
        <w:t>294</w:t>
      </w:r>
    </w:p>
    <w:p w:rsidR="006E11B5" w:rsidRDefault="006E11B5" w:rsidP="006E11B5">
      <w:pPr>
        <w:ind w:firstLine="0"/>
        <w:rPr>
          <w:rtl/>
        </w:rPr>
      </w:pPr>
      <w:r w:rsidRPr="00C85F0F">
        <w:rPr>
          <w:rFonts w:hint="cs"/>
          <w:rtl/>
        </w:rPr>
        <w:t>الأصل في الشروط الصحة</w:t>
      </w:r>
      <w:r w:rsidR="000D7CE2">
        <w:rPr>
          <w:rFonts w:hint="cs"/>
          <w:rtl/>
        </w:rPr>
        <w:t>..........................................................</w:t>
      </w:r>
      <w:r w:rsidRPr="00C85F0F">
        <w:rPr>
          <w:rFonts w:hint="cs"/>
          <w:rtl/>
        </w:rPr>
        <w:t>.</w:t>
      </w:r>
      <w:r>
        <w:rPr>
          <w:rFonts w:hint="cs"/>
          <w:rtl/>
        </w:rPr>
        <w:t>294</w:t>
      </w:r>
    </w:p>
    <w:p w:rsidR="006E11B5" w:rsidRDefault="006E11B5" w:rsidP="006E11B5">
      <w:pPr>
        <w:ind w:firstLine="0"/>
        <w:rPr>
          <w:rtl/>
        </w:rPr>
      </w:pPr>
      <w:r w:rsidRPr="00C85F0F">
        <w:rPr>
          <w:rFonts w:hint="cs"/>
          <w:rtl/>
        </w:rPr>
        <w:t>الأصل في الشروط والْمُصالحَات الحل والصحة واللُّزوم</w:t>
      </w:r>
      <w:r w:rsidR="000D7CE2">
        <w:rPr>
          <w:rFonts w:hint="cs"/>
          <w:rtl/>
        </w:rPr>
        <w:t>..................................</w:t>
      </w:r>
      <w:r w:rsidRPr="00C85F0F">
        <w:rPr>
          <w:rFonts w:hint="cs"/>
          <w:rtl/>
        </w:rPr>
        <w:t>.</w:t>
      </w:r>
      <w:r>
        <w:rPr>
          <w:rFonts w:hint="cs"/>
          <w:rtl/>
        </w:rPr>
        <w:t>294</w:t>
      </w:r>
    </w:p>
    <w:p w:rsidR="006E11B5" w:rsidRDefault="006E11B5" w:rsidP="006E11B5">
      <w:pPr>
        <w:ind w:firstLine="0"/>
        <w:rPr>
          <w:rtl/>
        </w:rPr>
      </w:pPr>
      <w:r w:rsidRPr="00C85F0F">
        <w:rPr>
          <w:rFonts w:hint="cs"/>
          <w:rtl/>
        </w:rPr>
        <w:t>الأصل في العقود الحل والإباحة</w:t>
      </w:r>
      <w:r w:rsidR="000D7CE2">
        <w:rPr>
          <w:rFonts w:hint="cs"/>
          <w:rtl/>
        </w:rPr>
        <w:t>.....................................................</w:t>
      </w:r>
      <w:r w:rsidRPr="00C85F0F">
        <w:rPr>
          <w:rFonts w:hint="cs"/>
          <w:rtl/>
        </w:rPr>
        <w:t>.</w:t>
      </w:r>
      <w:r>
        <w:rPr>
          <w:rFonts w:hint="cs"/>
          <w:rtl/>
        </w:rPr>
        <w:t>294</w:t>
      </w:r>
    </w:p>
    <w:p w:rsidR="006E11B5" w:rsidRDefault="006E11B5" w:rsidP="006E11B5">
      <w:pPr>
        <w:ind w:firstLine="0"/>
        <w:rPr>
          <w:rtl/>
        </w:rPr>
      </w:pPr>
      <w:r w:rsidRPr="00C85F0F">
        <w:rPr>
          <w:rFonts w:hint="cs"/>
          <w:rtl/>
        </w:rPr>
        <w:t>الأصل في العقود الصحة</w:t>
      </w:r>
      <w:r w:rsidR="000D7CE2">
        <w:rPr>
          <w:rFonts w:hint="cs"/>
          <w:rtl/>
        </w:rPr>
        <w:t>...........................................................</w:t>
      </w:r>
      <w:r w:rsidRPr="00C85F0F">
        <w:rPr>
          <w:rFonts w:hint="cs"/>
          <w:rtl/>
        </w:rPr>
        <w:t>.</w:t>
      </w:r>
      <w:r>
        <w:rPr>
          <w:rFonts w:hint="cs"/>
          <w:rtl/>
        </w:rPr>
        <w:t>295</w:t>
      </w:r>
    </w:p>
    <w:p w:rsidR="006E11B5" w:rsidRPr="00C85F0F" w:rsidRDefault="006E11B5" w:rsidP="006E11B5">
      <w:pPr>
        <w:ind w:firstLine="0"/>
      </w:pPr>
      <w:r w:rsidRPr="00C85F0F">
        <w:rPr>
          <w:rFonts w:hint="cs"/>
          <w:rtl/>
        </w:rPr>
        <w:t>الأصل في العقود رِضا المتعاقِدَين ومُوجَبُها هو ما أَوْجَباهُ على أنفسهما بالتَّعاقُد</w:t>
      </w:r>
      <w:r w:rsidR="000D7CE2">
        <w:rPr>
          <w:rFonts w:hint="cs"/>
          <w:rtl/>
        </w:rPr>
        <w:t>...........</w:t>
      </w:r>
      <w:r w:rsidRPr="00C85F0F">
        <w:rPr>
          <w:rFonts w:hint="cs"/>
          <w:rtl/>
        </w:rPr>
        <w:t>.</w:t>
      </w:r>
      <w:r>
        <w:rPr>
          <w:rFonts w:hint="cs"/>
          <w:rtl/>
        </w:rPr>
        <w:t>376</w:t>
      </w:r>
    </w:p>
    <w:p w:rsidR="006E11B5" w:rsidRDefault="006E11B5" w:rsidP="006E11B5">
      <w:pPr>
        <w:ind w:firstLine="0"/>
        <w:rPr>
          <w:rtl/>
        </w:rPr>
      </w:pPr>
      <w:r w:rsidRPr="00C85F0F">
        <w:rPr>
          <w:rFonts w:hint="cs"/>
          <w:rtl/>
        </w:rPr>
        <w:t>الأصل في العقود عموما وفي البيع خصوصا الصحة</w:t>
      </w:r>
      <w:r w:rsidR="000D7CE2">
        <w:rPr>
          <w:rFonts w:hint="cs"/>
          <w:rtl/>
        </w:rPr>
        <w:t>....................................</w:t>
      </w:r>
      <w:r w:rsidRPr="00C85F0F">
        <w:rPr>
          <w:rFonts w:hint="cs"/>
          <w:rtl/>
        </w:rPr>
        <w:t>.</w:t>
      </w:r>
      <w:r>
        <w:rPr>
          <w:rFonts w:hint="cs"/>
          <w:rtl/>
        </w:rPr>
        <w:t>295</w:t>
      </w:r>
    </w:p>
    <w:p w:rsidR="006E11B5" w:rsidRDefault="006E11B5" w:rsidP="006E11B5">
      <w:pPr>
        <w:ind w:firstLine="0"/>
        <w:rPr>
          <w:rtl/>
        </w:rPr>
      </w:pPr>
      <w:r w:rsidRPr="00C85F0F">
        <w:rPr>
          <w:rFonts w:hint="cs"/>
          <w:rtl/>
        </w:rPr>
        <w:t>الأصل في العقود والشروط الجواز والصحة</w:t>
      </w:r>
      <w:r w:rsidR="000D7CE2">
        <w:rPr>
          <w:rFonts w:hint="cs"/>
          <w:rtl/>
        </w:rPr>
        <w:t>............................................</w:t>
      </w:r>
      <w:r w:rsidRPr="00C85F0F">
        <w:rPr>
          <w:rFonts w:hint="cs"/>
          <w:rtl/>
        </w:rPr>
        <w:t>.</w:t>
      </w:r>
      <w:r>
        <w:rPr>
          <w:rFonts w:hint="cs"/>
          <w:rtl/>
        </w:rPr>
        <w:t>294</w:t>
      </w:r>
    </w:p>
    <w:p w:rsidR="006E11B5" w:rsidRDefault="006E11B5" w:rsidP="006E11B5">
      <w:pPr>
        <w:ind w:firstLine="0"/>
        <w:rPr>
          <w:rtl/>
        </w:rPr>
      </w:pPr>
      <w:r w:rsidRPr="00C85F0F">
        <w:rPr>
          <w:rFonts w:hint="cs"/>
          <w:rtl/>
        </w:rPr>
        <w:t>الأصل في العقود والشروط الصحة</w:t>
      </w:r>
      <w:r w:rsidR="000D7CE2">
        <w:rPr>
          <w:rFonts w:hint="cs"/>
          <w:rtl/>
        </w:rPr>
        <w:t>...................................................</w:t>
      </w:r>
      <w:r w:rsidRPr="00C85F0F">
        <w:rPr>
          <w:rFonts w:hint="cs"/>
          <w:rtl/>
        </w:rPr>
        <w:t>.</w:t>
      </w:r>
      <w:r>
        <w:rPr>
          <w:rFonts w:hint="cs"/>
          <w:rtl/>
        </w:rPr>
        <w:t>295</w:t>
      </w:r>
    </w:p>
    <w:p w:rsidR="006E11B5" w:rsidRDefault="006E11B5" w:rsidP="006E11B5">
      <w:pPr>
        <w:ind w:firstLine="0"/>
        <w:rPr>
          <w:rtl/>
        </w:rPr>
      </w:pPr>
      <w:r w:rsidRPr="00C85F0F">
        <w:rPr>
          <w:rFonts w:hint="cs"/>
          <w:rtl/>
        </w:rPr>
        <w:t>الأصل في العقود والمعاملات الصحة</w:t>
      </w:r>
      <w:r w:rsidR="000D7CE2">
        <w:rPr>
          <w:rFonts w:hint="cs"/>
          <w:rtl/>
        </w:rPr>
        <w:t>.................................................</w:t>
      </w:r>
      <w:r w:rsidRPr="00C85F0F">
        <w:rPr>
          <w:rFonts w:hint="cs"/>
          <w:rtl/>
        </w:rPr>
        <w:t>.</w:t>
      </w:r>
      <w:r>
        <w:rPr>
          <w:rFonts w:hint="cs"/>
          <w:rtl/>
        </w:rPr>
        <w:t>295</w:t>
      </w:r>
    </w:p>
    <w:p w:rsidR="006E11B5" w:rsidRDefault="006E11B5" w:rsidP="006E11B5">
      <w:pPr>
        <w:ind w:firstLine="0"/>
        <w:rPr>
          <w:rtl/>
        </w:rPr>
      </w:pPr>
      <w:r w:rsidRPr="00C85F0F">
        <w:rPr>
          <w:rFonts w:hint="cs"/>
          <w:rtl/>
        </w:rPr>
        <w:t>الأصل في العقود وشروطها الجواز والصحة</w:t>
      </w:r>
      <w:r w:rsidR="000D7CE2">
        <w:rPr>
          <w:rFonts w:hint="cs"/>
          <w:rtl/>
        </w:rPr>
        <w:t>............................................</w:t>
      </w:r>
      <w:r w:rsidRPr="00C85F0F">
        <w:rPr>
          <w:rFonts w:hint="cs"/>
          <w:rtl/>
        </w:rPr>
        <w:t>.</w:t>
      </w:r>
      <w:r>
        <w:rPr>
          <w:rFonts w:hint="cs"/>
          <w:rtl/>
        </w:rPr>
        <w:t>294</w:t>
      </w:r>
    </w:p>
    <w:p w:rsidR="006E11B5" w:rsidRDefault="006E11B5" w:rsidP="006E11B5">
      <w:pPr>
        <w:ind w:firstLine="0"/>
        <w:rPr>
          <w:rtl/>
        </w:rPr>
      </w:pPr>
      <w:r w:rsidRPr="00C85F0F">
        <w:rPr>
          <w:rFonts w:hint="cs"/>
          <w:rtl/>
        </w:rPr>
        <w:t>الأصل في الْمُبايَعات والعقود الحِلّ والصحة</w:t>
      </w:r>
      <w:r w:rsidR="000D7CE2">
        <w:rPr>
          <w:rFonts w:hint="cs"/>
          <w:rtl/>
        </w:rPr>
        <w:t>...........................................</w:t>
      </w:r>
      <w:r w:rsidRPr="00C85F0F">
        <w:rPr>
          <w:rFonts w:hint="cs"/>
          <w:rtl/>
        </w:rPr>
        <w:t>.</w:t>
      </w:r>
      <w:r>
        <w:rPr>
          <w:rFonts w:hint="cs"/>
          <w:rtl/>
        </w:rPr>
        <w:t>293</w:t>
      </w:r>
    </w:p>
    <w:p w:rsidR="006E11B5" w:rsidRDefault="006E11B5" w:rsidP="006E11B5">
      <w:pPr>
        <w:ind w:firstLine="0"/>
        <w:rPr>
          <w:rtl/>
        </w:rPr>
      </w:pPr>
      <w:r w:rsidRPr="00C85F0F">
        <w:rPr>
          <w:rFonts w:hint="cs"/>
          <w:rtl/>
        </w:rPr>
        <w:t>الأصل في المعاملات الحل حتى يقوم دليل على التحريم</w:t>
      </w:r>
      <w:r w:rsidR="000D7CE2">
        <w:rPr>
          <w:rFonts w:hint="cs"/>
          <w:rtl/>
        </w:rPr>
        <w:t>.................................</w:t>
      </w:r>
      <w:r w:rsidRPr="00C85F0F">
        <w:rPr>
          <w:rFonts w:hint="cs"/>
          <w:rtl/>
        </w:rPr>
        <w:t>.</w:t>
      </w:r>
      <w:r>
        <w:rPr>
          <w:rFonts w:hint="cs"/>
          <w:rtl/>
        </w:rPr>
        <w:t>293</w:t>
      </w:r>
    </w:p>
    <w:p w:rsidR="006E11B5" w:rsidRDefault="006E11B5" w:rsidP="006E11B5">
      <w:pPr>
        <w:ind w:firstLine="0"/>
        <w:rPr>
          <w:rtl/>
        </w:rPr>
      </w:pPr>
      <w:r w:rsidRPr="00C85F0F">
        <w:rPr>
          <w:rFonts w:hint="cs"/>
          <w:rtl/>
        </w:rPr>
        <w:t>الأصل في المعاملات الحل والإباحة</w:t>
      </w:r>
      <w:r w:rsidR="000D7CE2">
        <w:rPr>
          <w:rFonts w:hint="cs"/>
          <w:rtl/>
        </w:rPr>
        <w:t>..................................................</w:t>
      </w:r>
      <w:r w:rsidRPr="00C85F0F">
        <w:rPr>
          <w:rFonts w:hint="cs"/>
          <w:rtl/>
        </w:rPr>
        <w:t>.</w:t>
      </w:r>
      <w:r>
        <w:rPr>
          <w:rFonts w:hint="cs"/>
          <w:rtl/>
        </w:rPr>
        <w:t>293</w:t>
      </w:r>
    </w:p>
    <w:p w:rsidR="006E11B5" w:rsidRDefault="006E11B5" w:rsidP="006E11B5">
      <w:pPr>
        <w:ind w:firstLine="0"/>
        <w:rPr>
          <w:rtl/>
        </w:rPr>
      </w:pPr>
      <w:r w:rsidRPr="00C85F0F">
        <w:rPr>
          <w:rFonts w:hint="cs"/>
          <w:rtl/>
        </w:rPr>
        <w:t>الأصل في المعاملات الحل والصحة</w:t>
      </w:r>
      <w:r w:rsidR="000D7CE2">
        <w:rPr>
          <w:rFonts w:hint="cs"/>
          <w:rtl/>
        </w:rPr>
        <w:t>..................................................</w:t>
      </w:r>
      <w:r w:rsidRPr="00C85F0F">
        <w:rPr>
          <w:rFonts w:hint="cs"/>
          <w:rtl/>
        </w:rPr>
        <w:t>.</w:t>
      </w:r>
      <w:r>
        <w:rPr>
          <w:rFonts w:hint="cs"/>
          <w:rtl/>
        </w:rPr>
        <w:t>294</w:t>
      </w:r>
    </w:p>
    <w:p w:rsidR="006E11B5" w:rsidRPr="00C85F0F" w:rsidRDefault="006E11B5" w:rsidP="006E11B5">
      <w:pPr>
        <w:ind w:firstLine="0"/>
      </w:pPr>
      <w:r w:rsidRPr="00C85F0F">
        <w:rPr>
          <w:rFonts w:hint="cs"/>
          <w:rtl/>
        </w:rPr>
        <w:t>الأصل في المعاملات الصحة وفي العقود اللُّزوم</w:t>
      </w:r>
      <w:r w:rsidR="000D7CE2">
        <w:rPr>
          <w:rFonts w:hint="cs"/>
          <w:rtl/>
        </w:rPr>
        <w:t>........................................</w:t>
      </w:r>
      <w:r w:rsidRPr="00C85F0F">
        <w:rPr>
          <w:rFonts w:hint="cs"/>
          <w:rtl/>
        </w:rPr>
        <w:t>.</w:t>
      </w:r>
      <w:r>
        <w:rPr>
          <w:rFonts w:hint="cs"/>
          <w:rtl/>
        </w:rPr>
        <w:t>295</w:t>
      </w:r>
    </w:p>
    <w:p w:rsidR="006E11B5" w:rsidRDefault="006E11B5" w:rsidP="006E11B5">
      <w:pPr>
        <w:ind w:firstLine="0"/>
        <w:rPr>
          <w:rtl/>
        </w:rPr>
      </w:pPr>
      <w:r w:rsidRPr="00C85F0F">
        <w:rPr>
          <w:rFonts w:hint="cs"/>
          <w:rtl/>
        </w:rPr>
        <w:t>الأصل في المعصوم تحريمُ دمه وماله وعِرضه، فلا تُباح إلا بحق</w:t>
      </w:r>
      <w:r w:rsidR="000D7CE2">
        <w:rPr>
          <w:rFonts w:hint="cs"/>
          <w:rtl/>
        </w:rPr>
        <w:t>...........................</w:t>
      </w:r>
      <w:r w:rsidRPr="00C85F0F">
        <w:rPr>
          <w:rFonts w:hint="cs"/>
          <w:rtl/>
        </w:rPr>
        <w:t>.</w:t>
      </w:r>
      <w:r>
        <w:rPr>
          <w:rFonts w:hint="cs"/>
          <w:rtl/>
        </w:rPr>
        <w:t>314</w:t>
      </w:r>
    </w:p>
    <w:p w:rsidR="006E11B5" w:rsidRDefault="006E11B5" w:rsidP="006E11B5">
      <w:pPr>
        <w:ind w:firstLine="0"/>
        <w:rPr>
          <w:rtl/>
        </w:rPr>
      </w:pPr>
      <w:r w:rsidRPr="00C85F0F">
        <w:rPr>
          <w:rFonts w:hint="cs"/>
          <w:rtl/>
        </w:rPr>
        <w:t>الأصل في أموال المحترَمين العِصْمَة</w:t>
      </w:r>
      <w:r w:rsidR="000D7CE2">
        <w:rPr>
          <w:rFonts w:hint="cs"/>
          <w:rtl/>
        </w:rPr>
        <w:t>....................................................</w:t>
      </w:r>
      <w:r w:rsidRPr="00C85F0F">
        <w:rPr>
          <w:rFonts w:hint="cs"/>
          <w:rtl/>
        </w:rPr>
        <w:t>.</w:t>
      </w:r>
      <w:r>
        <w:rPr>
          <w:rFonts w:hint="cs"/>
          <w:rtl/>
        </w:rPr>
        <w:t>313</w:t>
      </w:r>
    </w:p>
    <w:p w:rsidR="001659D7" w:rsidRPr="001659D7" w:rsidRDefault="001659D7" w:rsidP="001659D7">
      <w:pPr>
        <w:ind w:firstLine="0"/>
        <w:rPr>
          <w:rFonts w:ascii="Traditional Arabic" w:hAnsi="Traditional Arabic"/>
          <w:noProof w:val="0"/>
          <w:lang w:eastAsia="en-US"/>
        </w:rPr>
      </w:pPr>
      <w:r>
        <w:rPr>
          <w:rFonts w:ascii="Traditional Arabic" w:hAnsi="Traditional Arabic" w:hint="cs"/>
          <w:noProof w:val="0"/>
          <w:rtl/>
          <w:lang w:eastAsia="en-US"/>
        </w:rPr>
        <w:lastRenderedPageBreak/>
        <w:t>ا</w:t>
      </w:r>
      <w:r w:rsidRPr="00C85F0F">
        <w:rPr>
          <w:rFonts w:ascii="Traditional Arabic" w:hAnsi="Traditional Arabic" w:hint="cs"/>
          <w:noProof w:val="0"/>
          <w:rtl/>
          <w:lang w:eastAsia="en-US"/>
        </w:rPr>
        <w:t>لأصل في جميع الاختلافات أن يُقبَل قول مَن الأصلُ معه،</w:t>
      </w:r>
      <w:r>
        <w:rPr>
          <w:rFonts w:ascii="Traditional Arabic" w:hAnsi="Traditional Arabic" w:hint="cs"/>
          <w:noProof w:val="0"/>
          <w:rtl/>
          <w:lang w:eastAsia="en-US"/>
        </w:rPr>
        <w:t xml:space="preserve"> </w:t>
      </w:r>
      <w:r w:rsidRPr="00C85F0F">
        <w:rPr>
          <w:rFonts w:ascii="Traditional Arabic" w:hAnsi="Traditional Arabic" w:hint="cs"/>
          <w:noProof w:val="0"/>
          <w:rtl/>
          <w:lang w:eastAsia="en-US"/>
        </w:rPr>
        <w:t>إلا أن يكون الظاهرُ أقوى</w:t>
      </w:r>
      <w:r>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129</w:t>
      </w:r>
    </w:p>
    <w:p w:rsidR="006E11B5" w:rsidRDefault="006E11B5" w:rsidP="006E11B5">
      <w:pPr>
        <w:ind w:firstLine="0"/>
        <w:rPr>
          <w:rtl/>
        </w:rPr>
      </w:pPr>
      <w:r w:rsidRPr="00C85F0F">
        <w:rPr>
          <w:rFonts w:hint="cs"/>
          <w:rtl/>
        </w:rPr>
        <w:t>الأصل في دماء المعصومين وأموالهم وأعراضهم التحريم، فلا تَحِلُّ إلا بحق</w:t>
      </w:r>
      <w:r w:rsidR="000D7CE2">
        <w:rPr>
          <w:rFonts w:hint="cs"/>
          <w:rtl/>
        </w:rPr>
        <w:t>..................</w:t>
      </w:r>
      <w:r w:rsidRPr="00C85F0F">
        <w:rPr>
          <w:rFonts w:hint="cs"/>
          <w:rtl/>
        </w:rPr>
        <w:t>.</w:t>
      </w:r>
      <w:r>
        <w:rPr>
          <w:rFonts w:hint="cs"/>
          <w:rtl/>
        </w:rPr>
        <w:t>314</w:t>
      </w:r>
    </w:p>
    <w:p w:rsidR="006E11B5" w:rsidRDefault="006E11B5" w:rsidP="006E11B5">
      <w:pPr>
        <w:ind w:firstLine="0"/>
        <w:rPr>
          <w:rtl/>
        </w:rPr>
      </w:pPr>
      <w:r w:rsidRPr="00C85F0F">
        <w:rPr>
          <w:rFonts w:hint="cs"/>
          <w:rtl/>
        </w:rPr>
        <w:t>الأصل في عقود المسلمين الصحة والسلامة</w:t>
      </w:r>
      <w:r w:rsidR="000D7CE2">
        <w:rPr>
          <w:rFonts w:hint="cs"/>
          <w:rtl/>
        </w:rPr>
        <w:t>...........................................</w:t>
      </w:r>
      <w:r w:rsidRPr="00C85F0F">
        <w:rPr>
          <w:rFonts w:hint="cs"/>
          <w:rtl/>
        </w:rPr>
        <w:t>.</w:t>
      </w:r>
      <w:r>
        <w:rPr>
          <w:rFonts w:hint="cs"/>
          <w:rtl/>
        </w:rPr>
        <w:t>295</w:t>
      </w:r>
    </w:p>
    <w:p w:rsidR="006E11B5" w:rsidRPr="00C85F0F" w:rsidRDefault="006E11B5" w:rsidP="006E11B5">
      <w:pPr>
        <w:ind w:firstLine="0"/>
      </w:pPr>
      <w:r w:rsidRPr="00C85F0F">
        <w:rPr>
          <w:rFonts w:hint="cs"/>
          <w:rtl/>
        </w:rPr>
        <w:t>الأصل في مال الغير أنه محترم لا يجوز الانتفاع به</w:t>
      </w:r>
      <w:r w:rsidR="000D7CE2">
        <w:rPr>
          <w:rFonts w:hint="cs"/>
          <w:rtl/>
        </w:rPr>
        <w:t>......................................</w:t>
      </w:r>
      <w:r w:rsidRPr="00C85F0F">
        <w:rPr>
          <w:rFonts w:hint="cs"/>
          <w:rtl/>
        </w:rPr>
        <w:t>.</w:t>
      </w:r>
      <w:r>
        <w:rPr>
          <w:rFonts w:hint="cs"/>
          <w:rtl/>
        </w:rPr>
        <w:t>313</w:t>
      </w:r>
    </w:p>
    <w:p w:rsidR="006E11B5" w:rsidRDefault="006E11B5" w:rsidP="006E11B5">
      <w:pPr>
        <w:ind w:firstLine="0"/>
        <w:rPr>
          <w:rtl/>
        </w:rPr>
      </w:pPr>
      <w:r w:rsidRPr="00C85F0F">
        <w:rPr>
          <w:rFonts w:hint="cs"/>
          <w:rtl/>
        </w:rPr>
        <w:t>الأصل في مال المسلم أنه محترَم</w:t>
      </w:r>
      <w:r w:rsidR="000D7CE2">
        <w:rPr>
          <w:rFonts w:hint="cs"/>
          <w:rtl/>
        </w:rPr>
        <w:t>......................................................</w:t>
      </w:r>
      <w:r w:rsidRPr="00C85F0F">
        <w:rPr>
          <w:rFonts w:hint="cs"/>
          <w:rtl/>
        </w:rPr>
        <w:t>.</w:t>
      </w:r>
      <w:r>
        <w:rPr>
          <w:rFonts w:hint="cs"/>
          <w:rtl/>
        </w:rPr>
        <w:t>313</w:t>
      </w:r>
    </w:p>
    <w:p w:rsidR="006E11B5" w:rsidRPr="00C85F0F" w:rsidRDefault="006E11B5" w:rsidP="006E11B5">
      <w:pPr>
        <w:ind w:firstLine="0"/>
      </w:pPr>
      <w:r w:rsidRPr="00C85F0F">
        <w:rPr>
          <w:rFonts w:hint="cs"/>
          <w:rtl/>
        </w:rPr>
        <w:t>الأصل فيما أَتْلَفَت البهيمةُ عدمُ الضمان</w:t>
      </w:r>
      <w:r w:rsidR="000D7CE2">
        <w:rPr>
          <w:rFonts w:hint="cs"/>
          <w:rtl/>
        </w:rPr>
        <w:t>.............................................</w:t>
      </w:r>
      <w:r w:rsidRPr="00C85F0F">
        <w:rPr>
          <w:rFonts w:hint="cs"/>
          <w:rtl/>
        </w:rPr>
        <w:t>.</w:t>
      </w:r>
      <w:r>
        <w:rPr>
          <w:rFonts w:hint="cs"/>
          <w:rtl/>
        </w:rPr>
        <w:t>340</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hint="cs"/>
          <w:noProof w:val="0"/>
          <w:rtl/>
          <w:lang w:eastAsia="en-US"/>
        </w:rPr>
        <w:t>الأصلان إذا تعارضا في لَوازمهما فقد يعطى كل أصل حُكمَه، و</w:t>
      </w:r>
      <w:r>
        <w:rPr>
          <w:rFonts w:ascii="Traditional Arabic" w:hAnsi="Traditional Arabic" w:hint="cs"/>
          <w:noProof w:val="0"/>
          <w:rtl/>
          <w:lang w:eastAsia="en-US"/>
        </w:rPr>
        <w:t>إن تناقضا</w:t>
      </w:r>
      <w:r w:rsidR="000D7CE2">
        <w:rPr>
          <w:rFonts w:ascii="Traditional Arabic" w:hAnsi="Traditional Arabic" w:hint="cs"/>
          <w:noProof w:val="0"/>
          <w:rtl/>
          <w:lang w:eastAsia="en-US"/>
        </w:rPr>
        <w:t>...............</w:t>
      </w:r>
      <w:r>
        <w:rPr>
          <w:rFonts w:ascii="Traditional Arabic" w:hAnsi="Traditional Arabic" w:hint="cs"/>
          <w:noProof w:val="0"/>
          <w:rtl/>
          <w:lang w:eastAsia="en-US"/>
        </w:rPr>
        <w:t>.130</w:t>
      </w:r>
    </w:p>
    <w:p w:rsidR="006E11B5" w:rsidRPr="00C85F0F" w:rsidRDefault="006E11B5" w:rsidP="006E11B5">
      <w:pPr>
        <w:spacing w:line="640" w:lineRule="exact"/>
        <w:ind w:firstLine="0"/>
        <w:jc w:val="left"/>
        <w:rPr>
          <w:rFonts w:ascii="Traditional Arabic" w:hAnsi="Traditional Arabic"/>
          <w:color w:val="auto"/>
        </w:rPr>
      </w:pPr>
      <w:r w:rsidRPr="00C85F0F">
        <w:rPr>
          <w:rFonts w:ascii="Traditional Arabic" w:hAnsi="Traditional Arabic" w:hint="cs"/>
          <w:color w:val="auto"/>
          <w:rtl/>
        </w:rPr>
        <w:t>الأصول التي لها أبدال تنتقل إليها عند العجز مع القدرة على الأصل في ثاني الحال</w:t>
      </w:r>
      <w:r w:rsidR="000D7CE2">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480</w:t>
      </w:r>
    </w:p>
    <w:p w:rsidR="006E11B5" w:rsidRPr="00C85F0F" w:rsidRDefault="006E11B5" w:rsidP="006E11B5">
      <w:pPr>
        <w:ind w:firstLine="0"/>
      </w:pPr>
      <w:r w:rsidRPr="00C85F0F">
        <w:rPr>
          <w:rFonts w:hint="cs"/>
          <w:rtl/>
        </w:rPr>
        <w:t>الاطِّراد العُرفي كالشرط اللفظي</w:t>
      </w:r>
      <w:r w:rsidR="000D7CE2">
        <w:rPr>
          <w:rFonts w:hint="cs"/>
          <w:rtl/>
        </w:rPr>
        <w:t>.......................................................</w:t>
      </w:r>
      <w:r w:rsidRPr="00C85F0F">
        <w:rPr>
          <w:rFonts w:hint="cs"/>
          <w:rtl/>
        </w:rPr>
        <w:t>.</w:t>
      </w:r>
      <w:r>
        <w:rPr>
          <w:rFonts w:hint="cs"/>
          <w:rtl/>
        </w:rPr>
        <w:t>148</w:t>
      </w:r>
    </w:p>
    <w:p w:rsidR="006E11B5" w:rsidRPr="00C85F0F" w:rsidRDefault="006E11B5" w:rsidP="006E11B5">
      <w:pPr>
        <w:ind w:firstLine="0"/>
        <w:rPr>
          <w:color w:val="auto"/>
        </w:rPr>
      </w:pPr>
      <w:r w:rsidRPr="00C85F0F">
        <w:rPr>
          <w:rFonts w:hint="cs"/>
          <w:color w:val="auto"/>
          <w:rtl/>
        </w:rPr>
        <w:t>الاعتِبار في العقود بالمعاني والمقاصد لا بمجرَّد اللفظ</w:t>
      </w:r>
      <w:r w:rsidR="000D7CE2">
        <w:rPr>
          <w:rFonts w:hint="cs"/>
          <w:color w:val="auto"/>
          <w:rtl/>
        </w:rPr>
        <w:t>....................................</w:t>
      </w:r>
      <w:r w:rsidRPr="00C85F0F">
        <w:rPr>
          <w:rFonts w:hint="cs"/>
          <w:color w:val="auto"/>
          <w:rtl/>
        </w:rPr>
        <w:t>.</w:t>
      </w:r>
      <w:r>
        <w:rPr>
          <w:rFonts w:hint="cs"/>
          <w:color w:val="auto"/>
          <w:rtl/>
        </w:rPr>
        <w:t>210</w:t>
      </w:r>
    </w:p>
    <w:p w:rsidR="006E11B5" w:rsidRPr="00C85F0F" w:rsidRDefault="006E11B5" w:rsidP="006E11B5">
      <w:pPr>
        <w:ind w:firstLine="0"/>
        <w:rPr>
          <w:color w:val="auto"/>
        </w:rPr>
      </w:pPr>
      <w:r w:rsidRPr="00C85F0F">
        <w:rPr>
          <w:rFonts w:ascii="Traditional Arabic" w:hAnsi="Traditional Arabic"/>
          <w:noProof w:val="0"/>
          <w:rtl/>
          <w:lang w:eastAsia="en-US"/>
        </w:rPr>
        <w:t>الاعتبار في العقود بحقائقها ومقاصدها لا بمجرد ألفاظها</w:t>
      </w:r>
      <w:r w:rsidR="000D7CE2">
        <w:rPr>
          <w:rFonts w:hint="cs"/>
          <w:color w:val="auto"/>
          <w:rtl/>
        </w:rPr>
        <w:t>...............................</w:t>
      </w:r>
      <w:r w:rsidRPr="00C85F0F">
        <w:rPr>
          <w:rFonts w:hint="cs"/>
          <w:color w:val="auto"/>
          <w:rtl/>
        </w:rPr>
        <w:t>.</w:t>
      </w:r>
      <w:r>
        <w:rPr>
          <w:rFonts w:hint="cs"/>
          <w:color w:val="auto"/>
          <w:rtl/>
        </w:rPr>
        <w:t>210</w:t>
      </w:r>
    </w:p>
    <w:p w:rsidR="006E11B5" w:rsidRPr="00C85F0F" w:rsidRDefault="006E11B5" w:rsidP="006E11B5">
      <w:pPr>
        <w:ind w:firstLine="0"/>
        <w:rPr>
          <w:color w:val="auto"/>
          <w:rtl/>
        </w:rPr>
      </w:pPr>
      <w:r w:rsidRPr="00C85F0F">
        <w:rPr>
          <w:rFonts w:hint="cs"/>
          <w:color w:val="auto"/>
          <w:rtl/>
        </w:rPr>
        <w:t>الاعتبار في العقود بظواهرها أم بمعانيها؟</w:t>
      </w:r>
      <w:r w:rsidR="000D7CE2">
        <w:rPr>
          <w:rFonts w:hint="cs"/>
          <w:color w:val="auto"/>
          <w:rtl/>
        </w:rPr>
        <w:t>...............................................</w:t>
      </w:r>
      <w:r>
        <w:rPr>
          <w:rFonts w:hint="cs"/>
          <w:color w:val="auto"/>
          <w:rtl/>
        </w:rPr>
        <w:t>210</w:t>
      </w:r>
    </w:p>
    <w:p w:rsidR="006E11B5" w:rsidRPr="00C85F0F" w:rsidRDefault="006E11B5" w:rsidP="006E11B5">
      <w:pPr>
        <w:ind w:firstLine="0"/>
        <w:rPr>
          <w:color w:val="auto"/>
        </w:rPr>
      </w:pPr>
      <w:r w:rsidRPr="00C85F0F">
        <w:rPr>
          <w:rFonts w:hint="cs"/>
          <w:color w:val="auto"/>
          <w:rtl/>
        </w:rPr>
        <w:t>الاعتبار في العقود والأفعال بحقائقها ومقاصدها، دون ظواهرِ ألفاظها وأفعالها</w:t>
      </w:r>
      <w:r w:rsidR="000D7CE2">
        <w:rPr>
          <w:rFonts w:hint="cs"/>
          <w:color w:val="auto"/>
          <w:rtl/>
        </w:rPr>
        <w:t>.............</w:t>
      </w:r>
      <w:r w:rsidRPr="00C85F0F">
        <w:rPr>
          <w:rFonts w:hint="cs"/>
          <w:color w:val="auto"/>
          <w:rtl/>
        </w:rPr>
        <w:t>.</w:t>
      </w:r>
      <w:r>
        <w:rPr>
          <w:rFonts w:hint="cs"/>
          <w:color w:val="auto"/>
          <w:rtl/>
        </w:rPr>
        <w:t>210</w:t>
      </w:r>
    </w:p>
    <w:p w:rsidR="006E11B5" w:rsidRPr="00C85F0F" w:rsidRDefault="006E11B5" w:rsidP="006E11B5">
      <w:pPr>
        <w:ind w:firstLine="0"/>
        <w:rPr>
          <w:rStyle w:val="af1"/>
          <w:color w:val="auto"/>
          <w:vertAlign w:val="baseline"/>
        </w:rPr>
      </w:pPr>
      <w:r w:rsidRPr="00C85F0F">
        <w:rPr>
          <w:rFonts w:hint="cs"/>
          <w:color w:val="auto"/>
          <w:rtl/>
        </w:rPr>
        <w:t>الاعتبار للمعنى لا للألفاظ</w:t>
      </w:r>
      <w:r w:rsidR="000D7CE2">
        <w:rPr>
          <w:rFonts w:hint="cs"/>
          <w:color w:val="auto"/>
          <w:rtl/>
        </w:rPr>
        <w:t>..........................................................</w:t>
      </w:r>
      <w:r w:rsidRPr="00C85F0F">
        <w:rPr>
          <w:rFonts w:hint="cs"/>
          <w:color w:val="auto"/>
          <w:rtl/>
        </w:rPr>
        <w:t>.</w:t>
      </w:r>
      <w:r>
        <w:rPr>
          <w:rFonts w:hint="cs"/>
          <w:color w:val="auto"/>
          <w:rtl/>
        </w:rPr>
        <w:t>210</w:t>
      </w:r>
    </w:p>
    <w:p w:rsidR="006E11B5" w:rsidRPr="00C85F0F" w:rsidRDefault="006E11B5" w:rsidP="006E11B5">
      <w:pPr>
        <w:ind w:firstLine="0"/>
        <w:rPr>
          <w:rtl/>
        </w:rPr>
      </w:pPr>
      <w:r w:rsidRPr="00C85F0F">
        <w:rPr>
          <w:rFonts w:hint="cs"/>
          <w:rtl/>
        </w:rPr>
        <w:t>الاعتماد على ما في نفس الأمر</w:t>
      </w:r>
      <w:r w:rsidR="00E90F51">
        <w:rPr>
          <w:rFonts w:hint="cs"/>
          <w:rtl/>
        </w:rPr>
        <w:t>.....................................................</w:t>
      </w:r>
      <w:r w:rsidRPr="00C85F0F">
        <w:rPr>
          <w:rFonts w:hint="cs"/>
          <w:rtl/>
        </w:rPr>
        <w:t>.</w:t>
      </w:r>
      <w:r>
        <w:rPr>
          <w:rFonts w:hint="cs"/>
          <w:rtl/>
        </w:rPr>
        <w:t>307</w:t>
      </w:r>
    </w:p>
    <w:p w:rsidR="006E11B5" w:rsidRPr="00C85F0F" w:rsidRDefault="006E11B5" w:rsidP="006E11B5">
      <w:pPr>
        <w:ind w:firstLine="0"/>
      </w:pPr>
      <w:r w:rsidRPr="00C85F0F">
        <w:rPr>
          <w:rFonts w:hint="cs"/>
          <w:rtl/>
        </w:rPr>
        <w:t>الأعراف المطَّرِدَة كالألفاظ المنطوقة</w:t>
      </w:r>
      <w:r w:rsidR="00E90F51">
        <w:rPr>
          <w:rFonts w:hint="cs"/>
          <w:rtl/>
        </w:rPr>
        <w:t>...................................................</w:t>
      </w:r>
      <w:r w:rsidRPr="00C85F0F">
        <w:rPr>
          <w:rFonts w:hint="cs"/>
          <w:rtl/>
        </w:rPr>
        <w:t>.</w:t>
      </w:r>
      <w:r>
        <w:rPr>
          <w:rFonts w:hint="cs"/>
          <w:rtl/>
        </w:rPr>
        <w:t>148</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hint="cs"/>
          <w:noProof w:val="0"/>
          <w:rtl/>
          <w:lang w:eastAsia="en-US"/>
        </w:rPr>
        <w:t>أعظم المحاذير المانعة من صحة المعاملات: الربا والغرر والظلم</w:t>
      </w:r>
      <w:r w:rsidR="00E90F51">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460</w:t>
      </w:r>
    </w:p>
    <w:p w:rsidR="006E11B5" w:rsidRDefault="006E11B5" w:rsidP="006E11B5">
      <w:pPr>
        <w:ind w:firstLine="0"/>
        <w:rPr>
          <w:rFonts w:ascii="Traditional Arabic" w:hAnsi="Traditional Arabic"/>
          <w:rtl/>
        </w:rPr>
      </w:pPr>
      <w:r w:rsidRPr="00C85F0F">
        <w:rPr>
          <w:rFonts w:ascii="Traditional Arabic" w:hAnsi="Traditional Arabic" w:hint="cs"/>
          <w:rtl/>
        </w:rPr>
        <w:t>الأعمال بالنيات</w:t>
      </w:r>
      <w:r w:rsidR="00E90F51">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199، 200</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الأعيان التي تأتي شيئا فشيئا بمنزلة المنافع</w:t>
      </w:r>
      <w:r w:rsidR="00E90F51">
        <w:rPr>
          <w:rFonts w:hint="cs"/>
          <w:color w:val="auto"/>
          <w:rtl/>
        </w:rPr>
        <w:t>..............................................</w:t>
      </w:r>
      <w:r w:rsidRPr="00C85F0F">
        <w:rPr>
          <w:rFonts w:hint="cs"/>
          <w:color w:val="auto"/>
          <w:rtl/>
        </w:rPr>
        <w:t>.</w:t>
      </w:r>
      <w:r>
        <w:rPr>
          <w:rFonts w:hint="cs"/>
          <w:color w:val="auto"/>
          <w:rtl/>
        </w:rPr>
        <w:t>510</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noProof w:val="0"/>
          <w:color w:val="auto"/>
          <w:rtl/>
          <w:lang w:eastAsia="en-US"/>
        </w:rPr>
        <w:t>الأعيان التي تحد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ث شيئا بعد شيء مع بقاء أصلها حكم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 حكم</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المنافع</w:t>
      </w:r>
      <w:r w:rsidR="00E90F51">
        <w:rPr>
          <w:rFonts w:hint="cs"/>
          <w:color w:val="auto"/>
          <w:rtl/>
        </w:rPr>
        <w:t>.................</w:t>
      </w:r>
      <w:r w:rsidRPr="00C85F0F">
        <w:rPr>
          <w:rFonts w:hint="cs"/>
          <w:color w:val="auto"/>
          <w:rtl/>
        </w:rPr>
        <w:t>.</w:t>
      </w:r>
      <w:r>
        <w:rPr>
          <w:rFonts w:hint="cs"/>
          <w:color w:val="auto"/>
          <w:rtl/>
        </w:rPr>
        <w:t>510</w:t>
      </w:r>
    </w:p>
    <w:p w:rsidR="006E11B5" w:rsidRDefault="006E11B5" w:rsidP="006E11B5">
      <w:pPr>
        <w:ind w:firstLine="0"/>
        <w:rPr>
          <w:rFonts w:ascii="Traditional Arabic" w:hAnsi="Traditional Arabic"/>
          <w:noProof w:val="0"/>
          <w:color w:val="auto"/>
          <w:rtl/>
          <w:lang w:eastAsia="en-US"/>
        </w:rPr>
      </w:pPr>
      <w:r w:rsidRPr="00C85F0F">
        <w:rPr>
          <w:rFonts w:hint="cs"/>
          <w:color w:val="auto"/>
          <w:rtl/>
        </w:rPr>
        <w:t>الأعيان التي تحدُث شيئا فشيئا كالمنافع</w:t>
      </w:r>
      <w:r w:rsidR="00E90F51">
        <w:rPr>
          <w:rFonts w:hint="cs"/>
          <w:color w:val="auto"/>
          <w:rtl/>
        </w:rPr>
        <w:t>...............................................</w:t>
      </w:r>
      <w:r w:rsidRPr="00C85F0F">
        <w:rPr>
          <w:rFonts w:hint="cs"/>
          <w:color w:val="auto"/>
          <w:rtl/>
        </w:rPr>
        <w:t>.</w:t>
      </w:r>
      <w:r>
        <w:rPr>
          <w:rFonts w:hint="cs"/>
          <w:color w:val="auto"/>
          <w:rtl/>
        </w:rPr>
        <w:t>510</w:t>
      </w:r>
    </w:p>
    <w:p w:rsidR="006E11B5" w:rsidRDefault="006E11B5" w:rsidP="006E11B5">
      <w:pPr>
        <w:ind w:firstLine="0"/>
        <w:rPr>
          <w:color w:val="auto"/>
          <w:rtl/>
        </w:rPr>
      </w:pPr>
      <w:r w:rsidRPr="00C85F0F">
        <w:rPr>
          <w:rFonts w:hint="cs"/>
          <w:color w:val="auto"/>
          <w:rtl/>
        </w:rPr>
        <w:t>الأعيان التي تحدُث شيئا فشيئا مع بقاء أصلها حكمها حكم المنافع</w:t>
      </w:r>
      <w:r w:rsidR="00E90F51">
        <w:rPr>
          <w:rFonts w:hint="cs"/>
          <w:color w:val="auto"/>
          <w:rtl/>
        </w:rPr>
        <w:t>.....................</w:t>
      </w:r>
      <w:r w:rsidRPr="00C85F0F">
        <w:rPr>
          <w:rFonts w:hint="cs"/>
          <w:color w:val="auto"/>
          <w:rtl/>
        </w:rPr>
        <w:t>.</w:t>
      </w:r>
      <w:r>
        <w:rPr>
          <w:rFonts w:hint="cs"/>
          <w:color w:val="auto"/>
          <w:rtl/>
        </w:rPr>
        <w:t>510</w:t>
      </w:r>
    </w:p>
    <w:p w:rsidR="006E11B5" w:rsidRPr="00C85F0F" w:rsidRDefault="006E11B5" w:rsidP="006E11B5">
      <w:pPr>
        <w:ind w:firstLine="0"/>
        <w:rPr>
          <w:color w:val="auto"/>
        </w:rPr>
      </w:pPr>
      <w:r w:rsidRPr="00C85F0F">
        <w:rPr>
          <w:rFonts w:hint="cs"/>
          <w:color w:val="auto"/>
          <w:rtl/>
        </w:rPr>
        <w:t>الأعيان التي يَخْلُف بعضُها بعضاً بمنزلة المنافع</w:t>
      </w:r>
      <w:r w:rsidR="00E90F51">
        <w:rPr>
          <w:rFonts w:hint="cs"/>
          <w:color w:val="auto"/>
          <w:rtl/>
        </w:rPr>
        <w:t>..........................................</w:t>
      </w:r>
      <w:r w:rsidRPr="00C85F0F">
        <w:rPr>
          <w:rFonts w:hint="cs"/>
          <w:color w:val="auto"/>
          <w:rtl/>
        </w:rPr>
        <w:t>.</w:t>
      </w:r>
      <w:r>
        <w:rPr>
          <w:rFonts w:hint="cs"/>
          <w:color w:val="auto"/>
          <w:rtl/>
        </w:rPr>
        <w:t>510</w:t>
      </w:r>
    </w:p>
    <w:p w:rsidR="006E11B5" w:rsidRDefault="006E11B5" w:rsidP="006E11B5">
      <w:pPr>
        <w:ind w:firstLine="0"/>
        <w:rPr>
          <w:rtl/>
        </w:rPr>
      </w:pPr>
      <w:r w:rsidRPr="00C85F0F">
        <w:rPr>
          <w:rFonts w:hint="cs"/>
          <w:rtl/>
        </w:rPr>
        <w:t>أموال الناس محرَّمة على غيرهم إلا بما أَحلَّ الله من بيعٍ أو غيره</w:t>
      </w:r>
      <w:r w:rsidR="00E90F51">
        <w:rPr>
          <w:rFonts w:hint="cs"/>
          <w:rtl/>
        </w:rPr>
        <w:t>..........................</w:t>
      </w:r>
      <w:r w:rsidRPr="00C85F0F">
        <w:rPr>
          <w:rFonts w:hint="cs"/>
          <w:rtl/>
        </w:rPr>
        <w:t>.</w:t>
      </w:r>
      <w:r>
        <w:rPr>
          <w:rFonts w:hint="cs"/>
          <w:rtl/>
        </w:rPr>
        <w:t>315</w:t>
      </w:r>
    </w:p>
    <w:p w:rsidR="006E11B5" w:rsidRDefault="006E11B5" w:rsidP="006E11B5">
      <w:pPr>
        <w:ind w:firstLine="0"/>
        <w:rPr>
          <w:color w:val="auto"/>
          <w:rtl/>
        </w:rPr>
      </w:pPr>
      <w:r w:rsidRPr="00C85F0F">
        <w:rPr>
          <w:rFonts w:hint="cs"/>
          <w:color w:val="auto"/>
          <w:rtl/>
        </w:rPr>
        <w:t>الأمور الشرعية بمقاصدها ومعانيها، لا</w:t>
      </w:r>
      <w:r w:rsidR="00E90F51">
        <w:rPr>
          <w:rFonts w:hint="cs"/>
          <w:color w:val="auto"/>
          <w:rtl/>
        </w:rPr>
        <w:t xml:space="preserve"> </w:t>
      </w:r>
      <w:r w:rsidRPr="00C85F0F">
        <w:rPr>
          <w:rFonts w:hint="cs"/>
          <w:color w:val="auto"/>
          <w:rtl/>
        </w:rPr>
        <w:t>بألفاظها ورُسومها</w:t>
      </w:r>
      <w:r w:rsidR="00E90F51">
        <w:rPr>
          <w:rFonts w:hint="cs"/>
          <w:color w:val="auto"/>
          <w:rtl/>
        </w:rPr>
        <w:t>...............................</w:t>
      </w:r>
      <w:r w:rsidRPr="00C85F0F">
        <w:rPr>
          <w:rFonts w:hint="cs"/>
          <w:color w:val="auto"/>
          <w:rtl/>
        </w:rPr>
        <w:t>.</w:t>
      </w:r>
      <w:r>
        <w:rPr>
          <w:rFonts w:hint="cs"/>
          <w:color w:val="auto"/>
          <w:rtl/>
        </w:rPr>
        <w:t>210</w:t>
      </w:r>
    </w:p>
    <w:p w:rsidR="006E11B5" w:rsidRDefault="006E11B5" w:rsidP="006E11B5">
      <w:pPr>
        <w:ind w:firstLine="0"/>
        <w:rPr>
          <w:rFonts w:ascii="Traditional Arabic" w:hAnsi="Traditional Arabic"/>
          <w:rtl/>
        </w:rPr>
      </w:pPr>
      <w:r w:rsidRPr="00865918">
        <w:rPr>
          <w:rFonts w:ascii="Traditional Arabic" w:hAnsi="Traditional Arabic" w:hint="cs"/>
          <w:rtl/>
        </w:rPr>
        <w:lastRenderedPageBreak/>
        <w:t>الأمور بمقاصدها</w:t>
      </w:r>
      <w:r w:rsidR="00E90F51">
        <w:rPr>
          <w:rFonts w:ascii="Traditional Arabic" w:hAnsi="Traditional Arabic" w:hint="cs"/>
          <w:rtl/>
        </w:rPr>
        <w:t>...................................................................</w:t>
      </w:r>
      <w:r>
        <w:rPr>
          <w:rFonts w:ascii="Traditional Arabic" w:hAnsi="Traditional Arabic" w:hint="cs"/>
          <w:rtl/>
        </w:rPr>
        <w:t>.199</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الأمين إذا لم يتعد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ولم يفر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 فلا ضمان</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عليه</w:t>
      </w:r>
      <w:r w:rsidR="00E90F51">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hint="cs"/>
          <w:color w:val="auto"/>
          <w:rtl/>
        </w:rPr>
        <w:t>351</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الأمين لا يضمن إلا إذا تعد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ى أو فر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w:t>
      </w:r>
      <w:r w:rsidR="00E90F51">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hint="cs"/>
          <w:color w:val="auto"/>
          <w:rtl/>
        </w:rPr>
        <w:t>351</w:t>
      </w:r>
    </w:p>
    <w:p w:rsidR="006E11B5" w:rsidRPr="00C85F0F" w:rsidRDefault="006E11B5" w:rsidP="006E11B5">
      <w:pPr>
        <w:ind w:firstLine="0"/>
        <w:rPr>
          <w:color w:val="auto"/>
          <w:rtl/>
        </w:rPr>
      </w:pPr>
      <w:r w:rsidRPr="00C85F0F">
        <w:rPr>
          <w:rFonts w:ascii="Traditional Arabic" w:hAnsi="Traditional Arabic"/>
          <w:noProof w:val="0"/>
          <w:color w:val="auto"/>
          <w:rtl/>
          <w:lang w:eastAsia="en-US"/>
        </w:rPr>
        <w:t>الأمين لا يضمن إلا بتعد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أو تفريط</w:t>
      </w:r>
      <w:r w:rsidR="00E90F51">
        <w:rPr>
          <w:rFonts w:hint="cs"/>
          <w:color w:val="auto"/>
          <w:rtl/>
        </w:rPr>
        <w:t>..................................................</w:t>
      </w:r>
      <w:r w:rsidRPr="00C85F0F">
        <w:rPr>
          <w:rFonts w:hint="cs"/>
          <w:color w:val="auto"/>
          <w:rtl/>
        </w:rPr>
        <w:t>.</w:t>
      </w:r>
      <w:r>
        <w:rPr>
          <w:rFonts w:hint="cs"/>
          <w:color w:val="auto"/>
          <w:rtl/>
        </w:rPr>
        <w:t>351</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الأمين يقبل قوله فيما أ</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نفقه على ما ائتمن فيه</w:t>
      </w:r>
      <w:r w:rsidR="00E90F51">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ascii="Traditional Arabic" w:hAnsi="Traditional Arabic" w:hint="cs"/>
          <w:noProof w:val="0"/>
          <w:color w:val="auto"/>
          <w:rtl/>
          <w:lang w:eastAsia="en-US"/>
        </w:rPr>
        <w:t>415</w:t>
      </w:r>
    </w:p>
    <w:p w:rsidR="006E11B5" w:rsidRPr="00A71F5D" w:rsidRDefault="006E11B5" w:rsidP="006E11B5">
      <w:pPr>
        <w:pStyle w:val="a7"/>
        <w:spacing w:line="440" w:lineRule="exact"/>
        <w:jc w:val="lowKashida"/>
        <w:rPr>
          <w:rFonts w:ascii="Traditional Arabic" w:hAnsi="Traditional Arabic"/>
          <w:color w:val="auto"/>
          <w:sz w:val="36"/>
          <w:szCs w:val="36"/>
          <w:rtl/>
        </w:rPr>
      </w:pPr>
      <w:r w:rsidRPr="00A71F5D">
        <w:rPr>
          <w:rFonts w:ascii="Traditional Arabic" w:hAnsi="Traditional Arabic" w:hint="cs"/>
          <w:color w:val="auto"/>
          <w:sz w:val="36"/>
          <w:szCs w:val="36"/>
          <w:rtl/>
        </w:rPr>
        <w:t>إن النادر هل يُلْحَق بجنسه أو بنفسه؟</w:t>
      </w:r>
      <w:r w:rsidR="00E90F51">
        <w:rPr>
          <w:rFonts w:ascii="Traditional Arabic" w:hAnsi="Traditional Arabic" w:hint="cs"/>
          <w:color w:val="auto"/>
          <w:sz w:val="36"/>
          <w:szCs w:val="36"/>
          <w:rtl/>
        </w:rPr>
        <w:t>................................................</w:t>
      </w:r>
      <w:r w:rsidRPr="00345E2B">
        <w:rPr>
          <w:rFonts w:ascii="Traditional Arabic" w:hAnsi="Traditional Arabic" w:hint="cs"/>
          <w:color w:val="auto"/>
          <w:sz w:val="36"/>
          <w:szCs w:val="36"/>
          <w:rtl/>
        </w:rPr>
        <w:t>322</w:t>
      </w:r>
    </w:p>
    <w:p w:rsidR="006E11B5" w:rsidRDefault="006E11B5" w:rsidP="006E11B5">
      <w:pPr>
        <w:ind w:firstLine="0"/>
        <w:rPr>
          <w:rFonts w:ascii="Traditional Arabic" w:hAnsi="Traditional Arabic"/>
          <w:rtl/>
        </w:rPr>
      </w:pPr>
      <w:r>
        <w:rPr>
          <w:rFonts w:ascii="Traditional Arabic" w:hAnsi="Traditional Arabic" w:hint="cs"/>
          <w:rtl/>
        </w:rPr>
        <w:t>إنما الأعمال بالنيات</w:t>
      </w:r>
      <w:r w:rsidR="00E90F51">
        <w:rPr>
          <w:rFonts w:ascii="Traditional Arabic" w:hAnsi="Traditional Arabic" w:hint="cs"/>
          <w:rtl/>
        </w:rPr>
        <w:t>........................................................</w:t>
      </w:r>
      <w:r>
        <w:rPr>
          <w:rFonts w:ascii="Traditional Arabic" w:hAnsi="Traditional Arabic" w:hint="cs"/>
          <w:rtl/>
        </w:rPr>
        <w:t>.199، 200</w:t>
      </w:r>
    </w:p>
    <w:p w:rsidR="006E11B5" w:rsidRDefault="006E11B5" w:rsidP="006E11B5">
      <w:pPr>
        <w:pStyle w:val="a7"/>
        <w:spacing w:line="440" w:lineRule="exact"/>
        <w:jc w:val="lowKashida"/>
        <w:rPr>
          <w:rFonts w:ascii="Traditional Arabic" w:hAnsi="Traditional Arabic"/>
          <w:color w:val="auto"/>
          <w:sz w:val="36"/>
          <w:szCs w:val="36"/>
          <w:rtl/>
        </w:rPr>
      </w:pPr>
      <w:r w:rsidRPr="00345E2B">
        <w:rPr>
          <w:sz w:val="36"/>
          <w:szCs w:val="36"/>
          <w:rtl/>
        </w:rPr>
        <w:t>الأيدي المترتبة على يد الغاصب كلها أيدي ضمان</w:t>
      </w:r>
      <w:r w:rsidR="00E90F51">
        <w:rPr>
          <w:rFonts w:ascii="Traditional Arabic" w:hAnsi="Traditional Arabic" w:hint="cs"/>
          <w:color w:val="auto"/>
          <w:sz w:val="36"/>
          <w:szCs w:val="36"/>
          <w:rtl/>
        </w:rPr>
        <w:t>..................................</w:t>
      </w:r>
      <w:r>
        <w:rPr>
          <w:rFonts w:ascii="Traditional Arabic" w:hAnsi="Traditional Arabic" w:hint="cs"/>
          <w:color w:val="auto"/>
          <w:sz w:val="36"/>
          <w:szCs w:val="36"/>
          <w:rtl/>
        </w:rPr>
        <w:t>.330</w:t>
      </w:r>
    </w:p>
    <w:p w:rsidR="006E11B5" w:rsidRPr="00C85F0F" w:rsidRDefault="006E11B5" w:rsidP="006E11B5">
      <w:pPr>
        <w:ind w:firstLine="0"/>
      </w:pPr>
      <w:r w:rsidRPr="00C85F0F">
        <w:rPr>
          <w:rFonts w:hint="cs"/>
          <w:rtl/>
        </w:rPr>
        <w:t>إيقاع العقود الفاسدة والشروط الفاسدة حرام لا يجوز</w:t>
      </w:r>
      <w:r w:rsidR="00E90F51">
        <w:rPr>
          <w:rFonts w:hint="cs"/>
          <w:rtl/>
        </w:rPr>
        <w:t>..................................</w:t>
      </w:r>
      <w:r w:rsidRPr="00C85F0F">
        <w:rPr>
          <w:rFonts w:hint="cs"/>
          <w:rtl/>
        </w:rPr>
        <w:t>.</w:t>
      </w:r>
      <w:r>
        <w:rPr>
          <w:rFonts w:hint="cs"/>
          <w:rtl/>
        </w:rPr>
        <w:t>369</w:t>
      </w:r>
    </w:p>
    <w:p w:rsidR="006E11B5" w:rsidRDefault="006E11B5" w:rsidP="006E11B5">
      <w:pPr>
        <w:spacing w:line="640" w:lineRule="exact"/>
        <w:ind w:firstLine="0"/>
        <w:jc w:val="left"/>
        <w:rPr>
          <w:rFonts w:ascii="Traditional Arabic" w:hAnsi="Traditional Arabic"/>
          <w:color w:val="auto"/>
          <w:rtl/>
          <w:lang w:eastAsia="en-US"/>
        </w:rPr>
      </w:pPr>
      <w:r w:rsidRPr="00C85F0F">
        <w:rPr>
          <w:rFonts w:ascii="Traditional Arabic" w:hAnsi="Traditional Arabic"/>
          <w:rtl/>
          <w:lang w:eastAsia="en-US"/>
        </w:rPr>
        <w:t>البدل</w:t>
      </w:r>
      <w:r>
        <w:rPr>
          <w:rFonts w:ascii="Traditional Arabic" w:hAnsi="Traditional Arabic" w:hint="cs"/>
          <w:rtl/>
          <w:lang w:eastAsia="en-US"/>
        </w:rPr>
        <w:t>ُ</w:t>
      </w:r>
      <w:r w:rsidRPr="00C85F0F">
        <w:rPr>
          <w:rFonts w:ascii="Traditional Arabic" w:hAnsi="Traditional Arabic"/>
          <w:rtl/>
          <w:lang w:eastAsia="en-US"/>
        </w:rPr>
        <w:t xml:space="preserve"> إنما ش</w:t>
      </w:r>
      <w:r w:rsidRPr="00C85F0F">
        <w:rPr>
          <w:rFonts w:ascii="Traditional Arabic" w:hAnsi="Traditional Arabic" w:hint="cs"/>
          <w:rtl/>
          <w:lang w:eastAsia="en-US"/>
        </w:rPr>
        <w:t>ُ</w:t>
      </w:r>
      <w:r w:rsidRPr="00C85F0F">
        <w:rPr>
          <w:rFonts w:ascii="Traditional Arabic" w:hAnsi="Traditional Arabic"/>
          <w:rtl/>
          <w:lang w:eastAsia="en-US"/>
        </w:rPr>
        <w:t>رع عند تعذ</w:t>
      </w:r>
      <w:r w:rsidRPr="00C85F0F">
        <w:rPr>
          <w:rFonts w:ascii="Traditional Arabic" w:hAnsi="Traditional Arabic" w:hint="cs"/>
          <w:rtl/>
          <w:lang w:eastAsia="en-US"/>
        </w:rPr>
        <w:t>ُّ</w:t>
      </w:r>
      <w:r w:rsidRPr="00C85F0F">
        <w:rPr>
          <w:rFonts w:ascii="Traditional Arabic" w:hAnsi="Traditional Arabic"/>
          <w:rtl/>
          <w:lang w:eastAsia="en-US"/>
        </w:rPr>
        <w:t>ر المبدل منه</w:t>
      </w:r>
      <w:r w:rsidR="00E90F51">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479</w:t>
      </w:r>
    </w:p>
    <w:p w:rsidR="006E11B5" w:rsidRDefault="006E11B5" w:rsidP="006E11B5">
      <w:pPr>
        <w:ind w:firstLine="0"/>
        <w:rPr>
          <w:rtl/>
        </w:rPr>
      </w:pPr>
      <w:r w:rsidRPr="00C85F0F">
        <w:rPr>
          <w:rFonts w:hint="cs"/>
          <w:rtl/>
        </w:rPr>
        <w:t>بقاءُ ما عُرِف ثبوتُه لِعدم الدليل المزيل لا لوجود الدليل الْمُبَقِّي</w:t>
      </w:r>
      <w:r w:rsidR="00E90F51">
        <w:rPr>
          <w:rFonts w:hint="cs"/>
          <w:rtl/>
        </w:rPr>
        <w:t>..........................</w:t>
      </w:r>
      <w:r w:rsidRPr="00C85F0F">
        <w:rPr>
          <w:rFonts w:hint="cs"/>
          <w:rtl/>
        </w:rPr>
        <w:t>.</w:t>
      </w:r>
      <w:r>
        <w:rPr>
          <w:rFonts w:hint="cs"/>
          <w:rtl/>
        </w:rPr>
        <w:t>281</w:t>
      </w:r>
    </w:p>
    <w:p w:rsidR="006E11B5" w:rsidRDefault="006E11B5" w:rsidP="006E11B5">
      <w:pPr>
        <w:ind w:firstLine="0"/>
        <w:rPr>
          <w:rtl/>
        </w:rPr>
      </w:pPr>
      <w:r w:rsidRPr="00C85F0F">
        <w:rPr>
          <w:rFonts w:hint="cs"/>
          <w:rtl/>
        </w:rPr>
        <w:t>بينةً ألزِمْ لكلِّ مُدَّعٍ</w:t>
      </w:r>
      <w:r>
        <w:rPr>
          <w:rFonts w:hint="cs"/>
          <w:rtl/>
        </w:rPr>
        <w:t xml:space="preserve">        </w:t>
      </w:r>
      <w:r w:rsidRPr="00C85F0F">
        <w:rPr>
          <w:rFonts w:hint="cs"/>
          <w:rtl/>
        </w:rPr>
        <w:t xml:space="preserve">ومُنكِراً </w:t>
      </w:r>
      <w:r>
        <w:rPr>
          <w:rFonts w:hint="cs"/>
          <w:rtl/>
        </w:rPr>
        <w:t xml:space="preserve"> </w:t>
      </w:r>
      <w:r w:rsidRPr="00C85F0F">
        <w:rPr>
          <w:rFonts w:hint="cs"/>
          <w:rtl/>
        </w:rPr>
        <w:t xml:space="preserve">ألزِم </w:t>
      </w:r>
      <w:r>
        <w:rPr>
          <w:rFonts w:hint="cs"/>
          <w:rtl/>
        </w:rPr>
        <w:t xml:space="preserve"> </w:t>
      </w:r>
      <w:r w:rsidRPr="00C85F0F">
        <w:rPr>
          <w:rFonts w:hint="cs"/>
          <w:rtl/>
        </w:rPr>
        <w:t>يميناً</w:t>
      </w:r>
      <w:r>
        <w:rPr>
          <w:rFonts w:hint="cs"/>
          <w:rtl/>
        </w:rPr>
        <w:t xml:space="preserve"> </w:t>
      </w:r>
      <w:r w:rsidRPr="00C85F0F">
        <w:rPr>
          <w:rFonts w:hint="cs"/>
          <w:rtl/>
        </w:rPr>
        <w:t xml:space="preserve"> تُطِعِ</w:t>
      </w:r>
      <w:r w:rsidR="00E90F51">
        <w:rPr>
          <w:rFonts w:hint="cs"/>
          <w:rtl/>
        </w:rPr>
        <w:t>.....................................</w:t>
      </w:r>
      <w:r w:rsidRPr="00C85F0F">
        <w:rPr>
          <w:rFonts w:hint="cs"/>
          <w:rtl/>
        </w:rPr>
        <w:t>.</w:t>
      </w:r>
      <w:r>
        <w:rPr>
          <w:rFonts w:hint="cs"/>
          <w:rtl/>
        </w:rPr>
        <w:t>425</w:t>
      </w:r>
    </w:p>
    <w:p w:rsidR="006E11B5" w:rsidRDefault="006E11B5" w:rsidP="006E11B5">
      <w:pPr>
        <w:ind w:firstLine="0"/>
        <w:rPr>
          <w:rtl/>
        </w:rPr>
      </w:pPr>
      <w:r>
        <w:rPr>
          <w:rFonts w:hint="cs"/>
          <w:rtl/>
        </w:rPr>
        <w:t>البينة على المدعي واليمين على من أنكر</w:t>
      </w:r>
      <w:r w:rsidR="00E90F51">
        <w:rPr>
          <w:rFonts w:hint="cs"/>
          <w:rtl/>
        </w:rPr>
        <w:t>.......................................</w:t>
      </w:r>
      <w:r>
        <w:rPr>
          <w:rFonts w:hint="cs"/>
          <w:rtl/>
        </w:rPr>
        <w:t>.411، 425</w:t>
      </w:r>
    </w:p>
    <w:p w:rsidR="006E11B5" w:rsidRDefault="006E11B5" w:rsidP="006E11B5">
      <w:pPr>
        <w:ind w:firstLine="0"/>
        <w:rPr>
          <w:rFonts w:ascii="Traditional Arabic" w:hAnsi="Traditional Arabic"/>
          <w:rtl/>
        </w:rPr>
      </w:pPr>
      <w:r w:rsidRPr="00C85F0F">
        <w:rPr>
          <w:rFonts w:ascii="Traditional Arabic" w:hAnsi="Traditional Arabic"/>
          <w:noProof w:val="0"/>
          <w:color w:val="auto"/>
          <w:rtl/>
          <w:lang w:eastAsia="en-US"/>
        </w:rPr>
        <w:t>التابع يسقط بسقوط المتبوع</w:t>
      </w:r>
      <w:r w:rsidR="00E90F51">
        <w:rPr>
          <w:rFonts w:ascii="Traditional Arabic" w:hAnsi="Traditional Arabic" w:hint="cs"/>
          <w:rtl/>
        </w:rPr>
        <w:t>.........................................................</w:t>
      </w:r>
      <w:r>
        <w:rPr>
          <w:rFonts w:ascii="Traditional Arabic" w:hAnsi="Traditional Arabic" w:hint="cs"/>
          <w:rtl/>
        </w:rPr>
        <w:t>.274</w:t>
      </w:r>
    </w:p>
    <w:p w:rsidR="006E11B5" w:rsidRDefault="006E11B5" w:rsidP="006E11B5">
      <w:pPr>
        <w:ind w:firstLine="0"/>
        <w:rPr>
          <w:rtl/>
        </w:rPr>
      </w:pPr>
      <w:r w:rsidRPr="00C85F0F">
        <w:rPr>
          <w:rFonts w:hint="cs"/>
          <w:rtl/>
        </w:rPr>
        <w:t>التحيُّل على إسقاط الواجب لا يُسْقِطه، كما أن التحيّل على الحرام لا يُبيحه</w:t>
      </w:r>
      <w:r w:rsidR="00E90F51">
        <w:rPr>
          <w:rFonts w:hint="cs"/>
          <w:rtl/>
        </w:rPr>
        <w:t>.............</w:t>
      </w:r>
      <w:r w:rsidRPr="00C85F0F">
        <w:rPr>
          <w:rFonts w:hint="cs"/>
          <w:rtl/>
        </w:rPr>
        <w:t>.</w:t>
      </w:r>
      <w:r>
        <w:rPr>
          <w:rFonts w:hint="cs"/>
          <w:rtl/>
        </w:rPr>
        <w:t>223</w:t>
      </w:r>
    </w:p>
    <w:p w:rsidR="006E11B5" w:rsidRPr="00C85F0F" w:rsidRDefault="006E11B5" w:rsidP="006E11B5">
      <w:pPr>
        <w:ind w:firstLine="0"/>
      </w:pPr>
      <w:r w:rsidRPr="00C85F0F">
        <w:rPr>
          <w:rFonts w:ascii="Traditional Arabic" w:hAnsi="Traditional Arabic"/>
          <w:noProof w:val="0"/>
          <w:rtl/>
          <w:lang w:eastAsia="en-US"/>
        </w:rPr>
        <w:t>التخيير يكون تخيير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مصلحة إذا كان الإنسان يتصرف لغيره</w:t>
      </w:r>
      <w:r w:rsidR="00E90F51">
        <w:rPr>
          <w:rFonts w:ascii="Traditional Arabic" w:hAnsi="Traditional Arabic" w:hint="cs"/>
          <w:noProof w:val="0"/>
          <w:rtl/>
          <w:lang w:eastAsia="en-US"/>
        </w:rPr>
        <w:t>.............................</w:t>
      </w:r>
      <w:r>
        <w:rPr>
          <w:rFonts w:ascii="Traditional Arabic" w:hAnsi="Traditional Arabic" w:hint="cs"/>
          <w:noProof w:val="0"/>
          <w:rtl/>
          <w:lang w:eastAsia="en-US"/>
        </w:rPr>
        <w:t>.474</w:t>
      </w:r>
    </w:p>
    <w:p w:rsidR="006E11B5" w:rsidRDefault="006E11B5" w:rsidP="006E11B5">
      <w:pPr>
        <w:widowControl/>
        <w:autoSpaceDE w:val="0"/>
        <w:autoSpaceDN w:val="0"/>
        <w:adjustRightInd w:val="0"/>
        <w:ind w:firstLine="0"/>
        <w:jc w:val="left"/>
        <w:rPr>
          <w:rFonts w:ascii="Traditional Arabic" w:hAnsi="Traditional Arabic"/>
          <w:noProof w:val="0"/>
          <w:rtl/>
          <w:lang w:eastAsia="en-US"/>
        </w:rPr>
      </w:pPr>
      <w:r w:rsidRPr="00C85F0F">
        <w:rPr>
          <w:rFonts w:ascii="Traditional Arabic" w:hAnsi="Traditional Arabic" w:hint="cs"/>
          <w:noProof w:val="0"/>
          <w:rtl/>
          <w:lang w:eastAsia="en-US"/>
        </w:rPr>
        <w:t>تُستعمل القرعة عند التَّزاحُم ولا مُمَيِّزَ لأحدهما، أو إذا علِمنا أن الشيء لأحدهما وجهِلناه</w:t>
      </w:r>
      <w:r w:rsidR="00E90F51">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403</w:t>
      </w:r>
    </w:p>
    <w:p w:rsidR="006E11B5" w:rsidRDefault="006E11B5" w:rsidP="006E11B5">
      <w:pPr>
        <w:widowControl/>
        <w:autoSpaceDE w:val="0"/>
        <w:autoSpaceDN w:val="0"/>
        <w:adjustRightInd w:val="0"/>
        <w:ind w:firstLine="0"/>
        <w:jc w:val="left"/>
        <w:rPr>
          <w:rFonts w:ascii="Traditional Arabic" w:hAnsi="Traditional Arabic"/>
          <w:noProof w:val="0"/>
          <w:rtl/>
          <w:lang w:eastAsia="en-US"/>
        </w:rPr>
      </w:pPr>
      <w:r w:rsidRPr="00C85F0F">
        <w:rPr>
          <w:rFonts w:ascii="Traditional Arabic" w:hAnsi="Traditional Arabic" w:hint="cs"/>
          <w:noProof w:val="0"/>
          <w:rtl/>
          <w:lang w:eastAsia="en-US"/>
        </w:rPr>
        <w:t>تُستعمَل القرعة في تمييز المستحق إذا ثبت الاستحقاق ابتداءً لِمُبْهَمٍ غيرِ معيَّن</w:t>
      </w:r>
      <w:r w:rsidR="00E90F51">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403</w:t>
      </w:r>
    </w:p>
    <w:p w:rsidR="006E11B5" w:rsidRDefault="006E11B5" w:rsidP="006E11B5">
      <w:pPr>
        <w:ind w:firstLine="0"/>
        <w:rPr>
          <w:rtl/>
        </w:rPr>
      </w:pPr>
      <w:r w:rsidRPr="00C85F0F">
        <w:rPr>
          <w:rFonts w:hint="cs"/>
          <w:rtl/>
        </w:rPr>
        <w:t>تعاطي العقود الفاسدة حرام</w:t>
      </w:r>
      <w:r w:rsidR="00E90F51">
        <w:rPr>
          <w:rFonts w:hint="cs"/>
          <w:rtl/>
        </w:rPr>
        <w:t>........................................................</w:t>
      </w:r>
      <w:r w:rsidRPr="00C85F0F">
        <w:rPr>
          <w:rFonts w:hint="cs"/>
          <w:rtl/>
        </w:rPr>
        <w:t>.</w:t>
      </w:r>
      <w:r>
        <w:rPr>
          <w:rFonts w:hint="cs"/>
          <w:rtl/>
        </w:rPr>
        <w:t>369</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rtl/>
          <w:lang w:eastAsia="en-US"/>
        </w:rPr>
        <w:t>الت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فاس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 في العقود الجائزة متى تضم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ضررا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أحد المتعاق</w:t>
      </w:r>
      <w:r w:rsidRPr="00C85F0F">
        <w:rPr>
          <w:rFonts w:ascii="Traditional Arabic" w:hAnsi="Traditional Arabic" w:hint="cs"/>
          <w:noProof w:val="0"/>
          <w:rtl/>
          <w:lang w:eastAsia="en-US"/>
        </w:rPr>
        <w:t>ِ</w:t>
      </w:r>
      <w:r>
        <w:rPr>
          <w:rFonts w:ascii="Traditional Arabic" w:hAnsi="Traditional Arabic"/>
          <w:noProof w:val="0"/>
          <w:rtl/>
          <w:lang w:eastAsia="en-US"/>
        </w:rPr>
        <w:t>دين</w:t>
      </w:r>
      <w:r>
        <w:rPr>
          <w:rFonts w:ascii="Traditional Arabic" w:hAnsi="Traditional Arabic" w:hint="cs"/>
          <w:noProof w:val="0"/>
          <w:rtl/>
          <w:lang w:eastAsia="en-US"/>
        </w:rPr>
        <w:t>...</w:t>
      </w:r>
      <w:r w:rsidRPr="00C85F0F">
        <w:rPr>
          <w:rFonts w:ascii="Traditional Arabic" w:hAnsi="Traditional Arabic"/>
          <w:noProof w:val="0"/>
          <w:rtl/>
          <w:lang w:eastAsia="en-US"/>
        </w:rPr>
        <w:t>لم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ولم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ذ</w:t>
      </w:r>
      <w:r w:rsidR="00E90F51">
        <w:rPr>
          <w:rFonts w:ascii="Traditional Arabic" w:hAnsi="Traditional Arabic" w:hint="cs"/>
          <w:noProof w:val="0"/>
          <w:rtl/>
          <w:lang w:eastAsia="en-US"/>
        </w:rPr>
        <w:t>........</w:t>
      </w:r>
      <w:r>
        <w:rPr>
          <w:rFonts w:ascii="Traditional Arabic" w:hAnsi="Traditional Arabic" w:hint="cs"/>
          <w:noProof w:val="0"/>
          <w:rtl/>
          <w:lang w:eastAsia="en-US"/>
        </w:rPr>
        <w:t>.262</w:t>
      </w:r>
    </w:p>
    <w:p w:rsidR="006E11B5" w:rsidRDefault="006E11B5" w:rsidP="006E11B5">
      <w:pPr>
        <w:pStyle w:val="a7"/>
        <w:jc w:val="lowKashida"/>
        <w:rPr>
          <w:rFonts w:ascii="Traditional Arabic" w:hAnsi="Traditional Arabic"/>
          <w:noProof w:val="0"/>
          <w:color w:val="auto"/>
          <w:sz w:val="36"/>
          <w:szCs w:val="36"/>
          <w:rtl/>
          <w:lang w:eastAsia="en-US"/>
        </w:rPr>
      </w:pPr>
      <w:r w:rsidRPr="006E4921">
        <w:rPr>
          <w:rFonts w:ascii="Traditional Arabic" w:hAnsi="Traditional Arabic" w:hint="cs"/>
          <w:noProof w:val="0"/>
          <w:color w:val="auto"/>
          <w:sz w:val="36"/>
          <w:szCs w:val="36"/>
          <w:rtl/>
          <w:lang w:eastAsia="en-US"/>
        </w:rPr>
        <w:t>تُقدَّم المصلحة الغالبة على المفسدة النادرة ولا تُترك لها.</w:t>
      </w:r>
      <w:r w:rsidR="00E90F51">
        <w:rPr>
          <w:rFonts w:ascii="Traditional Arabic" w:hAnsi="Traditional Arabic" w:hint="cs"/>
          <w:noProof w:val="0"/>
          <w:color w:val="auto"/>
          <w:sz w:val="36"/>
          <w:szCs w:val="36"/>
          <w:rtl/>
          <w:lang w:eastAsia="en-US"/>
        </w:rPr>
        <w:t>...............................</w:t>
      </w:r>
      <w:r w:rsidRPr="00326BBC">
        <w:rPr>
          <w:rFonts w:ascii="Traditional Arabic" w:hAnsi="Traditional Arabic" w:hint="cs"/>
          <w:noProof w:val="0"/>
          <w:color w:val="auto"/>
          <w:sz w:val="36"/>
          <w:szCs w:val="36"/>
          <w:rtl/>
          <w:lang w:eastAsia="en-US"/>
        </w:rPr>
        <w:t xml:space="preserve"> </w:t>
      </w:r>
      <w:r>
        <w:rPr>
          <w:rFonts w:ascii="Traditional Arabic" w:hAnsi="Traditional Arabic" w:hint="cs"/>
          <w:noProof w:val="0"/>
          <w:color w:val="auto"/>
          <w:sz w:val="36"/>
          <w:szCs w:val="36"/>
          <w:rtl/>
          <w:lang w:eastAsia="en-US"/>
        </w:rPr>
        <w:t>106</w:t>
      </w:r>
    </w:p>
    <w:p w:rsidR="006E11B5" w:rsidRDefault="006E11B5" w:rsidP="006E11B5">
      <w:pPr>
        <w:ind w:firstLine="0"/>
        <w:rPr>
          <w:color w:val="auto"/>
          <w:rtl/>
        </w:rPr>
      </w:pPr>
      <w:r w:rsidRPr="00DE3F96">
        <w:rPr>
          <w:rFonts w:hint="cs"/>
          <w:color w:val="auto"/>
          <w:rtl/>
        </w:rPr>
        <w:t>التلَف في يد الأمين غير مضمون إذا لم يتعدَّ أو يفرِّط، وفي يد الظالم مضمونٌ مطلقاً</w:t>
      </w:r>
      <w:r w:rsidR="00E90F51">
        <w:rPr>
          <w:rFonts w:hint="cs"/>
          <w:color w:val="auto"/>
          <w:rtl/>
        </w:rPr>
        <w:t>......</w:t>
      </w:r>
      <w:r w:rsidRPr="00DE3F96">
        <w:rPr>
          <w:rFonts w:hint="cs"/>
          <w:color w:val="auto"/>
          <w:rtl/>
        </w:rPr>
        <w:t>.</w:t>
      </w:r>
      <w:r>
        <w:rPr>
          <w:rFonts w:hint="cs"/>
          <w:color w:val="auto"/>
          <w:rtl/>
        </w:rPr>
        <w:t>351</w:t>
      </w:r>
    </w:p>
    <w:p w:rsidR="006E11B5" w:rsidRDefault="006E11B5" w:rsidP="006E11B5">
      <w:pPr>
        <w:ind w:firstLine="0"/>
        <w:rPr>
          <w:rtl/>
        </w:rPr>
      </w:pPr>
      <w:r w:rsidRPr="00C85F0F">
        <w:rPr>
          <w:rFonts w:hint="cs"/>
          <w:color w:val="auto"/>
          <w:rtl/>
        </w:rPr>
        <w:t>تنعقِد العقود بكلِّ ما دَلَّ على مَقْصودها مِن قولٍ أو فِعل</w:t>
      </w:r>
      <w:r w:rsidR="00E90F51">
        <w:rPr>
          <w:rFonts w:hint="cs"/>
          <w:color w:val="auto"/>
          <w:rtl/>
        </w:rPr>
        <w:t>..............................</w:t>
      </w:r>
      <w:r w:rsidRPr="00C85F0F">
        <w:rPr>
          <w:rFonts w:hint="cs"/>
          <w:color w:val="auto"/>
          <w:rtl/>
        </w:rPr>
        <w:t>.</w:t>
      </w:r>
      <w:r>
        <w:rPr>
          <w:rFonts w:hint="cs"/>
          <w:rtl/>
        </w:rPr>
        <w:t>166</w:t>
      </w:r>
    </w:p>
    <w:p w:rsidR="006E11B5" w:rsidRDefault="006E11B5" w:rsidP="006E11B5">
      <w:pPr>
        <w:ind w:firstLine="0"/>
        <w:rPr>
          <w:rtl/>
        </w:rPr>
      </w:pPr>
      <w:r w:rsidRPr="00C85F0F">
        <w:rPr>
          <w:rFonts w:hint="cs"/>
          <w:rtl/>
        </w:rPr>
        <w:t>تنعقِد العقود بكلِّ ما دلَّ عليها من قولٍ أو فِعلٍ</w:t>
      </w:r>
      <w:r w:rsidR="00E90F51">
        <w:rPr>
          <w:rFonts w:hint="cs"/>
          <w:rtl/>
        </w:rPr>
        <w:t>.......................................</w:t>
      </w:r>
      <w:r w:rsidRPr="00C85F0F">
        <w:rPr>
          <w:rFonts w:hint="cs"/>
          <w:rtl/>
        </w:rPr>
        <w:t>.</w:t>
      </w:r>
      <w:r>
        <w:rPr>
          <w:rFonts w:hint="cs"/>
          <w:rtl/>
        </w:rPr>
        <w:t>166</w:t>
      </w:r>
    </w:p>
    <w:p w:rsidR="006E11B5" w:rsidRPr="00C85F0F" w:rsidRDefault="006E11B5" w:rsidP="006E11B5">
      <w:pPr>
        <w:ind w:firstLine="0"/>
      </w:pPr>
      <w:r w:rsidRPr="00C85F0F">
        <w:rPr>
          <w:rFonts w:hint="cs"/>
          <w:rtl/>
        </w:rPr>
        <w:t>جميع الأشياء لا تَتِمُّ إلا بِشُروطها وانْتِفاءِ مَوانِعها</w:t>
      </w:r>
      <w:r w:rsidR="00E90F51">
        <w:rPr>
          <w:rFonts w:hint="cs"/>
          <w:rtl/>
        </w:rPr>
        <w:t>......................................</w:t>
      </w:r>
      <w:r w:rsidRPr="00C85F0F">
        <w:rPr>
          <w:rFonts w:hint="cs"/>
          <w:rtl/>
        </w:rPr>
        <w:t>.</w:t>
      </w:r>
      <w:r>
        <w:rPr>
          <w:rFonts w:hint="cs"/>
          <w:rtl/>
        </w:rPr>
        <w:t>489</w:t>
      </w:r>
    </w:p>
    <w:p w:rsidR="006E11B5" w:rsidRDefault="006E11B5" w:rsidP="006E11B5">
      <w:pPr>
        <w:ind w:firstLine="0"/>
        <w:rPr>
          <w:rtl/>
        </w:rPr>
      </w:pPr>
      <w:r w:rsidRPr="00C85F0F">
        <w:rPr>
          <w:rFonts w:hint="cs"/>
          <w:rtl/>
        </w:rPr>
        <w:t xml:space="preserve">جميع الحِيَل التي يَتوصَّل بها الإنسان إلى </w:t>
      </w:r>
      <w:r>
        <w:rPr>
          <w:rFonts w:hint="cs"/>
          <w:rtl/>
        </w:rPr>
        <w:t>إسقاطِ واجب أو فِعْلِ محرَّم</w:t>
      </w:r>
      <w:r w:rsidRPr="00C85F0F">
        <w:rPr>
          <w:rFonts w:hint="cs"/>
          <w:rtl/>
        </w:rPr>
        <w:t xml:space="preserve"> باطلة</w:t>
      </w:r>
      <w:r w:rsidR="00E90F51">
        <w:rPr>
          <w:rFonts w:hint="cs"/>
          <w:rtl/>
        </w:rPr>
        <w:t>................</w:t>
      </w:r>
      <w:r w:rsidRPr="00C85F0F">
        <w:rPr>
          <w:rFonts w:hint="cs"/>
          <w:rtl/>
        </w:rPr>
        <w:t>.</w:t>
      </w:r>
      <w:r>
        <w:rPr>
          <w:rFonts w:hint="cs"/>
          <w:rtl/>
        </w:rPr>
        <w:t>224</w:t>
      </w:r>
    </w:p>
    <w:p w:rsidR="006E11B5" w:rsidRPr="00C85F0F" w:rsidRDefault="006E11B5" w:rsidP="006E11B5">
      <w:pPr>
        <w:ind w:firstLine="0"/>
      </w:pPr>
      <w:r w:rsidRPr="00C85F0F">
        <w:rPr>
          <w:rFonts w:hint="cs"/>
          <w:rtl/>
        </w:rPr>
        <w:lastRenderedPageBreak/>
        <w:t>جميع العقود الفاسدة يحرُم تَعاطيها، وجميع الشروط الفاسدة في العقود يحرم تعاطيها</w:t>
      </w:r>
      <w:r w:rsidR="00E90F51">
        <w:rPr>
          <w:rFonts w:hint="cs"/>
          <w:rtl/>
        </w:rPr>
        <w:t>........</w:t>
      </w:r>
      <w:r w:rsidRPr="00C85F0F">
        <w:rPr>
          <w:rFonts w:hint="cs"/>
          <w:rtl/>
        </w:rPr>
        <w:t>.</w:t>
      </w:r>
      <w:r>
        <w:rPr>
          <w:rFonts w:hint="cs"/>
          <w:rtl/>
        </w:rPr>
        <w:t>369</w:t>
      </w:r>
    </w:p>
    <w:p w:rsidR="006E11B5" w:rsidRPr="00C85F0F" w:rsidRDefault="006E11B5" w:rsidP="006E11B5">
      <w:pPr>
        <w:ind w:firstLine="0"/>
      </w:pPr>
      <w:r w:rsidRPr="00C85F0F">
        <w:rPr>
          <w:rFonts w:hint="cs"/>
          <w:rtl/>
        </w:rPr>
        <w:t>جميع العقود تنعقِد بكلِّ ما دلَّ عليها مِن قولٍ أو فِعلٍ</w:t>
      </w:r>
      <w:r w:rsidR="00E90F51">
        <w:rPr>
          <w:rFonts w:hint="cs"/>
          <w:rtl/>
        </w:rPr>
        <w:t>..................................</w:t>
      </w:r>
      <w:r w:rsidRPr="00C85F0F">
        <w:rPr>
          <w:rFonts w:hint="cs"/>
          <w:rtl/>
        </w:rPr>
        <w:t>.</w:t>
      </w:r>
      <w:r>
        <w:rPr>
          <w:rFonts w:hint="cs"/>
          <w:rtl/>
        </w:rPr>
        <w:t>165</w:t>
      </w:r>
    </w:p>
    <w:p w:rsidR="006E11B5" w:rsidRDefault="006E11B5" w:rsidP="006E11B5">
      <w:pPr>
        <w:ind w:firstLine="0"/>
        <w:rPr>
          <w:color w:val="auto"/>
          <w:rtl/>
        </w:rPr>
      </w:pPr>
      <w:r w:rsidRPr="00C85F0F">
        <w:rPr>
          <w:rFonts w:hint="cs"/>
          <w:rtl/>
        </w:rPr>
        <w:t>جميع العقود تنعقِد بما تَعارَفَهُ الناس</w:t>
      </w:r>
      <w:r w:rsidR="00E90F51">
        <w:rPr>
          <w:rFonts w:hint="cs"/>
          <w:rtl/>
        </w:rPr>
        <w:t>...................................................</w:t>
      </w:r>
      <w:r w:rsidRPr="00C85F0F">
        <w:rPr>
          <w:rFonts w:hint="cs"/>
          <w:rtl/>
        </w:rPr>
        <w:t>.</w:t>
      </w:r>
      <w:r>
        <w:rPr>
          <w:rFonts w:hint="cs"/>
          <w:rtl/>
        </w:rPr>
        <w:t>165</w:t>
      </w:r>
    </w:p>
    <w:p w:rsidR="006E11B5" w:rsidRPr="00C85F0F" w:rsidRDefault="006E11B5" w:rsidP="006E11B5">
      <w:pPr>
        <w:ind w:firstLine="0"/>
      </w:pPr>
      <w:r w:rsidRPr="00C85F0F">
        <w:rPr>
          <w:rFonts w:ascii="Traditional Arabic" w:hAnsi="Traditional Arabic"/>
          <w:noProof w:val="0"/>
          <w:rtl/>
          <w:lang w:eastAsia="en-US"/>
        </w:rPr>
        <w:t>جميع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العقود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تنعق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بما دل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عليه اللفظ</w:t>
      </w:r>
      <w:r w:rsidRPr="00C85F0F">
        <w:rPr>
          <w:rFonts w:ascii="Traditional Arabic" w:hAnsi="Traditional Arabic" w:hint="cs"/>
          <w:noProof w:val="0"/>
          <w:rtl/>
          <w:lang w:eastAsia="en-US"/>
        </w:rPr>
        <w:t>ُ</w:t>
      </w:r>
      <w:r>
        <w:rPr>
          <w:rFonts w:ascii="Traditional Arabic" w:hAnsi="Traditional Arabic" w:hint="cs"/>
          <w:noProof w:val="0"/>
          <w:rtl/>
          <w:lang w:eastAsia="en-US"/>
        </w:rPr>
        <w:t xml:space="preserve"> </w:t>
      </w:r>
      <w:r w:rsidRPr="00C85F0F">
        <w:rPr>
          <w:rFonts w:ascii="Traditional Arabic" w:hAnsi="Traditional Arabic"/>
          <w:noProof w:val="0"/>
          <w:rtl/>
          <w:lang w:eastAsia="en-US"/>
        </w:rPr>
        <w:t>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فا</w:t>
      </w:r>
      <w:r w:rsidRPr="00C85F0F">
        <w:rPr>
          <w:rFonts w:ascii="Traditional Arabic" w:hAnsi="Traditional Arabic" w:hint="cs"/>
          <w:noProof w:val="0"/>
          <w:rtl/>
          <w:lang w:eastAsia="en-US"/>
        </w:rPr>
        <w:t>ً</w:t>
      </w:r>
      <w:r w:rsidR="00E90F51">
        <w:rPr>
          <w:rFonts w:hint="cs"/>
          <w:rtl/>
        </w:rPr>
        <w:t>............................................</w:t>
      </w:r>
      <w:r w:rsidRPr="00C85F0F">
        <w:rPr>
          <w:rFonts w:hint="cs"/>
          <w:rtl/>
        </w:rPr>
        <w:t>.</w:t>
      </w:r>
      <w:r>
        <w:rPr>
          <w:rFonts w:hint="cs"/>
          <w:rtl/>
        </w:rPr>
        <w:t>165</w:t>
      </w:r>
    </w:p>
    <w:p w:rsidR="006E11B5" w:rsidRPr="00C85F0F" w:rsidRDefault="006E11B5" w:rsidP="006E11B5">
      <w:pPr>
        <w:ind w:firstLine="0"/>
      </w:pPr>
      <w:r w:rsidRPr="00C85F0F">
        <w:rPr>
          <w:rFonts w:hint="cs"/>
          <w:rtl/>
        </w:rPr>
        <w:t>جميع العقود والشروط الفاسدة: عَقْدُها حرام واشتراطُها حرام</w:t>
      </w:r>
      <w:r w:rsidR="00E90F51">
        <w:rPr>
          <w:rFonts w:hint="cs"/>
          <w:rtl/>
        </w:rPr>
        <w:t>...........................</w:t>
      </w:r>
      <w:r w:rsidRPr="00C85F0F">
        <w:rPr>
          <w:rFonts w:hint="cs"/>
          <w:rtl/>
        </w:rPr>
        <w:t>.</w:t>
      </w:r>
      <w:r>
        <w:rPr>
          <w:rFonts w:hint="cs"/>
          <w:rtl/>
        </w:rPr>
        <w:t>368</w:t>
      </w:r>
    </w:p>
    <w:p w:rsidR="006E11B5" w:rsidRPr="00C85F0F" w:rsidRDefault="006E11B5" w:rsidP="006E11B5">
      <w:pPr>
        <w:ind w:firstLine="0"/>
      </w:pPr>
      <w:r w:rsidRPr="00C85F0F">
        <w:rPr>
          <w:rFonts w:hint="cs"/>
          <w:rtl/>
        </w:rPr>
        <w:t>جميعُ العقود والفُسوخ لابدَّ فيها من الرِّضا</w:t>
      </w:r>
      <w:r w:rsidR="00E90F51">
        <w:rPr>
          <w:rFonts w:hint="cs"/>
          <w:rtl/>
        </w:rPr>
        <w:t>............................................</w:t>
      </w:r>
      <w:r w:rsidRPr="00C85F0F">
        <w:rPr>
          <w:rFonts w:hint="cs"/>
          <w:rtl/>
        </w:rPr>
        <w:t>.</w:t>
      </w:r>
      <w:r>
        <w:rPr>
          <w:rFonts w:hint="cs"/>
          <w:rtl/>
        </w:rPr>
        <w:t>376</w:t>
      </w:r>
    </w:p>
    <w:p w:rsidR="006E11B5" w:rsidRDefault="006E11B5" w:rsidP="006E11B5">
      <w:pPr>
        <w:ind w:firstLine="0"/>
        <w:jc w:val="left"/>
        <w:rPr>
          <w:rtl/>
        </w:rPr>
      </w:pPr>
      <w:r>
        <w:rPr>
          <w:rFonts w:hint="cs"/>
          <w:rtl/>
        </w:rPr>
        <w:t xml:space="preserve">جميع المباحات من عقود </w:t>
      </w:r>
      <w:r w:rsidRPr="00E129F3">
        <w:rPr>
          <w:rFonts w:ascii="Traditional Arabic" w:hAnsi="Traditional Arabic"/>
          <w:rtl/>
        </w:rPr>
        <w:t>وأفعال ﺇذا تضمّنت</w:t>
      </w:r>
      <w:r>
        <w:rPr>
          <w:rFonts w:hint="cs"/>
          <w:rtl/>
        </w:rPr>
        <w:t xml:space="preserve"> ضرر</w:t>
      </w:r>
      <w:r>
        <w:rPr>
          <w:rFonts w:ascii="Traditional Arabic" w:hAnsi="Traditional Arabic"/>
          <w:rtl/>
        </w:rPr>
        <w:t>ً</w:t>
      </w:r>
      <w:r>
        <w:rPr>
          <w:rFonts w:hint="cs"/>
          <w:rtl/>
        </w:rPr>
        <w:t>ا على الآخرين صارت ممنوعة</w:t>
      </w:r>
      <w:r>
        <w:rPr>
          <w:rFonts w:ascii="Traditional Arabic" w:hAnsi="Traditional Arabic"/>
          <w:rtl/>
        </w:rPr>
        <w:t>ً</w:t>
      </w:r>
      <w:r w:rsidR="00E90F51">
        <w:rPr>
          <w:rFonts w:hint="cs"/>
          <w:rtl/>
        </w:rPr>
        <w:t>...........</w:t>
      </w:r>
      <w:r>
        <w:rPr>
          <w:rFonts w:hint="cs"/>
          <w:rtl/>
        </w:rPr>
        <w:t>.245</w:t>
      </w:r>
    </w:p>
    <w:p w:rsidR="006E11B5" w:rsidRDefault="006E11B5" w:rsidP="006E11B5">
      <w:pPr>
        <w:pStyle w:val="a7"/>
        <w:jc w:val="lowKashida"/>
        <w:rPr>
          <w:rFonts w:ascii="Traditional Arabic" w:hAnsi="Traditional Arabic"/>
          <w:noProof w:val="0"/>
          <w:color w:val="auto"/>
          <w:rtl/>
          <w:lang w:eastAsia="en-US"/>
        </w:rPr>
      </w:pPr>
      <w:r>
        <w:rPr>
          <w:rFonts w:ascii="Traditional Arabic" w:hAnsi="Traditional Arabic" w:hint="cs"/>
          <w:color w:val="auto"/>
          <w:sz w:val="36"/>
          <w:szCs w:val="36"/>
          <w:rtl/>
        </w:rPr>
        <w:t>جميع ما أمر به إنما أمر به لجلب مصلحة أو مصالح، أو لدرء مفسدة أو مفاسد...</w:t>
      </w:r>
      <w:r w:rsidR="00E90F51">
        <w:rPr>
          <w:rFonts w:ascii="Traditional Arabic" w:hAnsi="Traditional Arabic" w:hint="cs"/>
          <w:color w:val="auto"/>
          <w:sz w:val="36"/>
          <w:szCs w:val="36"/>
          <w:rtl/>
        </w:rPr>
        <w:t>........</w:t>
      </w:r>
      <w:r>
        <w:rPr>
          <w:rFonts w:ascii="Traditional Arabic" w:hAnsi="Traditional Arabic" w:hint="cs"/>
          <w:color w:val="auto"/>
          <w:sz w:val="36"/>
          <w:szCs w:val="36"/>
          <w:rtl/>
        </w:rPr>
        <w:t>.97</w:t>
      </w:r>
    </w:p>
    <w:p w:rsidR="006E11B5" w:rsidRDefault="006E11B5" w:rsidP="006E11B5">
      <w:pPr>
        <w:ind w:firstLine="0"/>
        <w:rPr>
          <w:rtl/>
        </w:rPr>
      </w:pPr>
      <w:r w:rsidRPr="00C85F0F">
        <w:rPr>
          <w:rFonts w:hint="cs"/>
          <w:rtl/>
        </w:rPr>
        <w:t>جناية العجماء جبار</w:t>
      </w:r>
      <w:r w:rsidR="00E90F51">
        <w:rPr>
          <w:rFonts w:hint="cs"/>
          <w:rtl/>
        </w:rPr>
        <w:t>...............................................................</w:t>
      </w:r>
      <w:r w:rsidRPr="00C85F0F">
        <w:rPr>
          <w:rFonts w:hint="cs"/>
          <w:rtl/>
        </w:rPr>
        <w:t>.</w:t>
      </w:r>
      <w:r>
        <w:rPr>
          <w:rFonts w:hint="cs"/>
          <w:rtl/>
        </w:rPr>
        <w:t>340</w:t>
      </w:r>
    </w:p>
    <w:p w:rsidR="006E11B5" w:rsidRDefault="006E11B5" w:rsidP="006E11B5">
      <w:pPr>
        <w:ind w:firstLine="0"/>
        <w:rPr>
          <w:color w:val="auto"/>
          <w:rtl/>
        </w:rPr>
      </w:pPr>
      <w:r w:rsidRPr="00C85F0F">
        <w:rPr>
          <w:rFonts w:hint="cs"/>
          <w:color w:val="auto"/>
          <w:rtl/>
        </w:rPr>
        <w:t>الجواز الشرعي يُنافي الضمان</w:t>
      </w:r>
      <w:r w:rsidR="00E90F51">
        <w:rPr>
          <w:rFonts w:hint="cs"/>
          <w:color w:val="auto"/>
          <w:rtl/>
        </w:rPr>
        <w:t>........................................................</w:t>
      </w:r>
      <w:r w:rsidRPr="00C85F0F">
        <w:rPr>
          <w:rFonts w:hint="cs"/>
          <w:color w:val="auto"/>
          <w:rtl/>
        </w:rPr>
        <w:t>.</w:t>
      </w:r>
      <w:r>
        <w:rPr>
          <w:rFonts w:hint="cs"/>
          <w:color w:val="auto"/>
          <w:rtl/>
        </w:rPr>
        <w:t>363</w:t>
      </w:r>
    </w:p>
    <w:p w:rsidR="006E11B5" w:rsidRDefault="006E11B5" w:rsidP="006E11B5">
      <w:pPr>
        <w:ind w:firstLine="0"/>
        <w:rPr>
          <w:color w:val="auto"/>
          <w:rtl/>
        </w:rPr>
      </w:pPr>
      <w:r w:rsidRPr="00C85F0F">
        <w:rPr>
          <w:rFonts w:ascii="Traditional Arabic" w:hAnsi="Traditional Arabic"/>
          <w:noProof w:val="0"/>
          <w:color w:val="auto"/>
          <w:rtl/>
          <w:lang w:eastAsia="en-US"/>
        </w:rPr>
        <w:t>الحاكم ولي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ليس له ولي</w:t>
      </w:r>
      <w:r w:rsidRPr="00C85F0F">
        <w:rPr>
          <w:rFonts w:ascii="Traditional Arabic" w:hAnsi="Traditional Arabic" w:hint="cs"/>
          <w:noProof w:val="0"/>
          <w:color w:val="auto"/>
          <w:rtl/>
          <w:lang w:eastAsia="en-US"/>
        </w:rPr>
        <w:t>ٌّ</w:t>
      </w:r>
      <w:r w:rsidR="00E90F51">
        <w:rPr>
          <w:rFonts w:hint="cs"/>
          <w:color w:val="auto"/>
          <w:rtl/>
        </w:rPr>
        <w:t>.........................................................</w:t>
      </w:r>
      <w:r w:rsidRPr="00C85F0F">
        <w:rPr>
          <w:rFonts w:hint="cs"/>
          <w:color w:val="auto"/>
          <w:rtl/>
        </w:rPr>
        <w:t>.</w:t>
      </w:r>
      <w:r>
        <w:rPr>
          <w:rFonts w:hint="cs"/>
          <w:color w:val="auto"/>
          <w:rtl/>
        </w:rPr>
        <w:t>505</w:t>
      </w:r>
    </w:p>
    <w:p w:rsidR="006E11B5" w:rsidRDefault="006E11B5" w:rsidP="006E11B5">
      <w:pPr>
        <w:pStyle w:val="afc"/>
        <w:spacing w:after="200"/>
        <w:ind w:left="-1" w:firstLine="0"/>
        <w:jc w:val="left"/>
        <w:rPr>
          <w:rFonts w:ascii="Traditional Arabic" w:hAnsi="Traditional Arabic"/>
          <w:rtl/>
        </w:rPr>
      </w:pPr>
      <w:r>
        <w:rPr>
          <w:rFonts w:ascii="Traditional Arabic" w:hAnsi="Traditional Arabic" w:hint="cs"/>
          <w:rtl/>
        </w:rPr>
        <w:t>الحرج مرفوع</w:t>
      </w:r>
      <w:r w:rsidR="00E90F51">
        <w:rPr>
          <w:rFonts w:ascii="Traditional Arabic" w:hAnsi="Traditional Arabic" w:hint="cs"/>
          <w:rtl/>
        </w:rPr>
        <w:t>.......................................................................</w:t>
      </w:r>
      <w:r>
        <w:rPr>
          <w:rFonts w:ascii="Traditional Arabic" w:hAnsi="Traditional Arabic" w:hint="cs"/>
          <w:rtl/>
        </w:rPr>
        <w:t>.498</w:t>
      </w:r>
    </w:p>
    <w:p w:rsidR="006E11B5" w:rsidRDefault="006E11B5" w:rsidP="006E11B5">
      <w:pPr>
        <w:ind w:firstLine="0"/>
        <w:rPr>
          <w:rtl/>
        </w:rPr>
      </w:pPr>
      <w:r w:rsidRPr="00C85F0F">
        <w:rPr>
          <w:rFonts w:hint="cs"/>
          <w:rtl/>
        </w:rPr>
        <w:t>حقُّ الآدمي لا يسقط بالشُّبهة وهو مبنيٌّ على المضايَقة</w:t>
      </w:r>
      <w:r w:rsidR="00E90F51">
        <w:rPr>
          <w:rFonts w:hint="cs"/>
          <w:rtl/>
        </w:rPr>
        <w:t>.................................</w:t>
      </w:r>
      <w:r w:rsidRPr="00C85F0F">
        <w:rPr>
          <w:rFonts w:hint="cs"/>
          <w:rtl/>
        </w:rPr>
        <w:t>.</w:t>
      </w:r>
      <w:r>
        <w:rPr>
          <w:rFonts w:hint="cs"/>
          <w:rtl/>
        </w:rPr>
        <w:t>396</w:t>
      </w:r>
    </w:p>
    <w:p w:rsidR="006E11B5" w:rsidRPr="00C85F0F" w:rsidRDefault="006E11B5" w:rsidP="006E11B5">
      <w:pPr>
        <w:ind w:firstLine="0"/>
      </w:pPr>
      <w:r w:rsidRPr="00C85F0F">
        <w:rPr>
          <w:rFonts w:hint="cs"/>
          <w:rtl/>
        </w:rPr>
        <w:t>حقُّ الآدَميِّ له إسقاطُه إذا لم يتضمَّن شيئاً محرَّماً</w:t>
      </w:r>
      <w:r w:rsidR="00E90F51">
        <w:rPr>
          <w:rFonts w:hint="cs"/>
          <w:rtl/>
        </w:rPr>
        <w:t>......................................</w:t>
      </w:r>
      <w:r w:rsidRPr="00C85F0F">
        <w:rPr>
          <w:rFonts w:hint="cs"/>
          <w:rtl/>
        </w:rPr>
        <w:t>.</w:t>
      </w:r>
      <w:r>
        <w:rPr>
          <w:rFonts w:hint="cs"/>
          <w:rtl/>
        </w:rPr>
        <w:t>395</w:t>
      </w:r>
    </w:p>
    <w:p w:rsidR="006E11B5" w:rsidRPr="00C85F0F" w:rsidRDefault="006E11B5" w:rsidP="006E11B5">
      <w:pPr>
        <w:ind w:firstLine="0"/>
        <w:rPr>
          <w:rtl/>
        </w:rPr>
      </w:pPr>
      <w:r w:rsidRPr="00C85F0F">
        <w:rPr>
          <w:rFonts w:hint="cs"/>
          <w:rtl/>
        </w:rPr>
        <w:t>حقُّ الآدَميِّ مَبْنيٌّ على الْمُشاحَّة</w:t>
      </w:r>
      <w:r w:rsidR="00E90F51">
        <w:rPr>
          <w:rFonts w:hint="cs"/>
          <w:rtl/>
        </w:rPr>
        <w:t>.....................................................</w:t>
      </w:r>
      <w:r w:rsidRPr="00C85F0F">
        <w:rPr>
          <w:rFonts w:hint="cs"/>
          <w:rtl/>
        </w:rPr>
        <w:t>.</w:t>
      </w:r>
      <w:r>
        <w:rPr>
          <w:rFonts w:hint="cs"/>
          <w:rtl/>
        </w:rPr>
        <w:t>395</w:t>
      </w:r>
    </w:p>
    <w:p w:rsidR="006E11B5" w:rsidRDefault="006E11B5" w:rsidP="006E11B5">
      <w:pPr>
        <w:ind w:firstLine="0"/>
        <w:rPr>
          <w:rtl/>
        </w:rPr>
      </w:pPr>
      <w:r w:rsidRPr="00C85F0F">
        <w:rPr>
          <w:rFonts w:hint="cs"/>
          <w:rtl/>
        </w:rPr>
        <w:t>حقُّ الإنسان لا يجوز إبطالُه عليه مِن غير رضاه</w:t>
      </w:r>
      <w:r w:rsidR="00E90F51">
        <w:rPr>
          <w:rFonts w:hint="cs"/>
          <w:rtl/>
        </w:rPr>
        <w:t>.......................................</w:t>
      </w:r>
      <w:r w:rsidRPr="00C85F0F">
        <w:rPr>
          <w:rFonts w:hint="cs"/>
          <w:rtl/>
        </w:rPr>
        <w:t>.</w:t>
      </w:r>
      <w:r>
        <w:rPr>
          <w:rFonts w:hint="cs"/>
          <w:rtl/>
        </w:rPr>
        <w:t>396</w:t>
      </w:r>
    </w:p>
    <w:p w:rsidR="006E11B5" w:rsidRDefault="006E11B5" w:rsidP="006E11B5">
      <w:pPr>
        <w:ind w:firstLine="0"/>
        <w:rPr>
          <w:rtl/>
        </w:rPr>
      </w:pPr>
      <w:r w:rsidRPr="00C85F0F">
        <w:rPr>
          <w:rFonts w:hint="cs"/>
          <w:rtl/>
        </w:rPr>
        <w:t>حقُّ الله مبنيٌّ على السُّهولة والمسامَحة</w:t>
      </w:r>
      <w:r>
        <w:rPr>
          <w:rFonts w:hint="cs"/>
          <w:rtl/>
        </w:rPr>
        <w:t>،</w:t>
      </w:r>
      <w:r w:rsidRPr="00C85F0F">
        <w:rPr>
          <w:rFonts w:hint="cs"/>
          <w:rtl/>
        </w:rPr>
        <w:t xml:space="preserve"> بِخِلافِ حق الآدمي فإنه مبنيٌّ على الشُّحِّ والضَّيْق</w:t>
      </w:r>
      <w:r w:rsidR="00E90F51">
        <w:rPr>
          <w:rFonts w:hint="cs"/>
          <w:rtl/>
        </w:rPr>
        <w:t>....</w:t>
      </w:r>
      <w:r w:rsidRPr="00C85F0F">
        <w:rPr>
          <w:rFonts w:hint="cs"/>
          <w:rtl/>
        </w:rPr>
        <w:t>.</w:t>
      </w:r>
      <w:r>
        <w:rPr>
          <w:rFonts w:hint="cs"/>
          <w:rtl/>
        </w:rPr>
        <w:t>396</w:t>
      </w:r>
    </w:p>
    <w:p w:rsidR="006E11B5" w:rsidRDefault="006E11B5" w:rsidP="006E11B5">
      <w:pPr>
        <w:ind w:firstLine="0"/>
        <w:rPr>
          <w:rtl/>
        </w:rPr>
      </w:pPr>
      <w:r w:rsidRPr="00C85F0F">
        <w:rPr>
          <w:rFonts w:hint="cs"/>
          <w:rtl/>
        </w:rPr>
        <w:t>الحقُّ بعد ما يثبُت لا يسقط إلا بإسقاطِ صاحِبِ الحق صريحاً أو دلالةً</w:t>
      </w:r>
      <w:r w:rsidR="00E90F51">
        <w:rPr>
          <w:rFonts w:hint="cs"/>
          <w:rtl/>
        </w:rPr>
        <w:t>..................</w:t>
      </w:r>
      <w:r w:rsidRPr="00C85F0F">
        <w:rPr>
          <w:rFonts w:hint="cs"/>
          <w:rtl/>
        </w:rPr>
        <w:t>.</w:t>
      </w:r>
      <w:r>
        <w:rPr>
          <w:rFonts w:hint="cs"/>
          <w:rtl/>
        </w:rPr>
        <w:t>396</w:t>
      </w:r>
    </w:p>
    <w:p w:rsidR="006E11B5" w:rsidRDefault="006E11B5" w:rsidP="006E11B5">
      <w:pPr>
        <w:widowControl/>
        <w:autoSpaceDE w:val="0"/>
        <w:autoSpaceDN w:val="0"/>
        <w:adjustRightInd w:val="0"/>
        <w:ind w:firstLine="0"/>
        <w:jc w:val="left"/>
        <w:rPr>
          <w:rFonts w:ascii="Traditional Arabic" w:hAnsi="Traditional Arabic"/>
          <w:noProof w:val="0"/>
          <w:rtl/>
          <w:lang w:eastAsia="en-US"/>
        </w:rPr>
      </w:pPr>
      <w:r w:rsidRPr="00C85F0F">
        <w:rPr>
          <w:rFonts w:ascii="Traditional Arabic" w:hAnsi="Traditional Arabic"/>
          <w:noProof w:val="0"/>
          <w:color w:val="auto"/>
          <w:rtl/>
          <w:lang w:eastAsia="en-US"/>
        </w:rPr>
        <w:t>الحقوق إذا 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ساو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 على وجه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لا يمكن التمييز بينها إلا </w:t>
      </w:r>
      <w:r w:rsidRPr="00C85F0F">
        <w:rPr>
          <w:rFonts w:ascii="Traditional Arabic" w:hAnsi="Traditional Arabic" w:hint="cs"/>
          <w:noProof w:val="0"/>
          <w:color w:val="auto"/>
          <w:rtl/>
          <w:lang w:eastAsia="en-US"/>
        </w:rPr>
        <w:t>با</w:t>
      </w:r>
      <w:r w:rsidRPr="00C85F0F">
        <w:rPr>
          <w:rFonts w:ascii="Traditional Arabic" w:hAnsi="Traditional Arabic"/>
          <w:noProof w:val="0"/>
          <w:color w:val="auto"/>
          <w:rtl/>
          <w:lang w:eastAsia="en-US"/>
        </w:rPr>
        <w:t>لقرعة صح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استعمال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 فيها</w:t>
      </w:r>
      <w:r w:rsidR="00E90F51">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403</w:t>
      </w:r>
    </w:p>
    <w:p w:rsidR="006E11B5" w:rsidRDefault="006E11B5" w:rsidP="006E11B5">
      <w:pPr>
        <w:widowControl/>
        <w:autoSpaceDE w:val="0"/>
        <w:autoSpaceDN w:val="0"/>
        <w:adjustRightInd w:val="0"/>
        <w:ind w:firstLine="0"/>
        <w:jc w:val="left"/>
        <w:rPr>
          <w:rFonts w:ascii="Traditional Arabic" w:hAnsi="Traditional Arabic"/>
          <w:noProof w:val="0"/>
          <w:rtl/>
          <w:lang w:eastAsia="en-US"/>
        </w:rPr>
      </w:pPr>
      <w:r w:rsidRPr="00C85F0F">
        <w:rPr>
          <w:rFonts w:ascii="Traditional Arabic" w:hAnsi="Traditional Arabic" w:hint="cs"/>
          <w:noProof w:val="0"/>
          <w:rtl/>
          <w:lang w:eastAsia="en-US"/>
        </w:rPr>
        <w:t>الحقوق إذا تَساوَتْ مِن غير تمييزٍ استُعملتْ القرعة</w:t>
      </w:r>
      <w:r w:rsidR="00E90F51">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404</w:t>
      </w:r>
    </w:p>
    <w:p w:rsidR="006E11B5" w:rsidRDefault="006E11B5" w:rsidP="006E11B5">
      <w:pPr>
        <w:ind w:firstLine="0"/>
        <w:rPr>
          <w:rtl/>
        </w:rPr>
      </w:pPr>
      <w:r w:rsidRPr="00C85F0F">
        <w:rPr>
          <w:rFonts w:hint="cs"/>
          <w:rtl/>
        </w:rPr>
        <w:t>حقوق العباد إنما تسقط بإذن العباد</w:t>
      </w:r>
      <w:r w:rsidR="00E90F51">
        <w:rPr>
          <w:rFonts w:hint="cs"/>
          <w:rtl/>
        </w:rPr>
        <w:t>..................................................</w:t>
      </w:r>
      <w:r w:rsidRPr="00C85F0F">
        <w:rPr>
          <w:rFonts w:hint="cs"/>
          <w:rtl/>
        </w:rPr>
        <w:t>.</w:t>
      </w:r>
      <w:r>
        <w:rPr>
          <w:rFonts w:hint="cs"/>
          <w:rtl/>
        </w:rPr>
        <w:t>396</w:t>
      </w:r>
    </w:p>
    <w:p w:rsidR="006E11B5" w:rsidRDefault="006E11B5" w:rsidP="006E11B5">
      <w:pPr>
        <w:ind w:firstLine="0"/>
        <w:rPr>
          <w:rtl/>
        </w:rPr>
      </w:pPr>
      <w:r w:rsidRPr="00C85F0F">
        <w:rPr>
          <w:rFonts w:hint="cs"/>
          <w:rtl/>
        </w:rPr>
        <w:t>الحكم إذا ثبت بِعِلةٍ يزول بزوالها</w:t>
      </w:r>
      <w:r w:rsidR="00E90F51">
        <w:rPr>
          <w:rFonts w:hint="cs"/>
          <w:rtl/>
        </w:rPr>
        <w:t>.....................................................</w:t>
      </w:r>
      <w:r w:rsidRPr="00C85F0F">
        <w:rPr>
          <w:rFonts w:hint="cs"/>
          <w:rtl/>
        </w:rPr>
        <w:t>.</w:t>
      </w:r>
      <w:r>
        <w:rPr>
          <w:rFonts w:hint="cs"/>
          <w:rtl/>
        </w:rPr>
        <w:t>384</w:t>
      </w:r>
    </w:p>
    <w:p w:rsidR="006E11B5" w:rsidRDefault="006E11B5" w:rsidP="006E11B5">
      <w:pPr>
        <w:ind w:firstLine="0"/>
        <w:rPr>
          <w:rtl/>
        </w:rPr>
      </w:pPr>
      <w:r w:rsidRPr="00C85F0F">
        <w:rPr>
          <w:rFonts w:ascii="Traditional Arabic" w:hAnsi="Traditional Arabic"/>
          <w:noProof w:val="0"/>
          <w:rtl/>
          <w:lang w:eastAsia="en-US"/>
        </w:rPr>
        <w:t>الحكم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إنما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بوجود 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وانتفاء</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مانعه</w:t>
      </w:r>
      <w:r w:rsidR="00E90F51">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490</w:t>
      </w:r>
    </w:p>
    <w:p w:rsidR="006E11B5" w:rsidRDefault="006E11B5" w:rsidP="006E11B5">
      <w:pPr>
        <w:ind w:firstLine="0"/>
        <w:rPr>
          <w:rFonts w:ascii="Traditional Arabic" w:hAnsi="Traditional Arabic"/>
          <w:rtl/>
        </w:rPr>
      </w:pPr>
      <w:r w:rsidRPr="00865918">
        <w:rPr>
          <w:rFonts w:ascii="Traditional Arabic" w:hAnsi="Traditional Arabic" w:hint="cs"/>
          <w:rtl/>
        </w:rPr>
        <w:t>الحكم على ا</w:t>
      </w:r>
      <w:r w:rsidRPr="00865918">
        <w:rPr>
          <w:rFonts w:ascii="Traditional Arabic" w:hAnsi="Traditional Arabic"/>
          <w:rtl/>
        </w:rPr>
        <w:t>ﻹ</w:t>
      </w:r>
      <w:r w:rsidRPr="00865918">
        <w:rPr>
          <w:rFonts w:ascii="Traditional Arabic" w:hAnsi="Traditional Arabic" w:hint="cs"/>
          <w:rtl/>
        </w:rPr>
        <w:t>نسان بني</w:t>
      </w:r>
      <w:r w:rsidRPr="00865918">
        <w:rPr>
          <w:rFonts w:ascii="Traditional Arabic" w:hAnsi="Traditional Arabic"/>
          <w:rtl/>
        </w:rPr>
        <w:t>ّ</w:t>
      </w:r>
      <w:r w:rsidRPr="00865918">
        <w:rPr>
          <w:rFonts w:ascii="Traditional Arabic" w:hAnsi="Traditional Arabic" w:hint="cs"/>
          <w:rtl/>
        </w:rPr>
        <w:t>ته</w:t>
      </w:r>
      <w:r w:rsidR="00E90F51">
        <w:rPr>
          <w:rFonts w:ascii="Traditional Arabic" w:hAnsi="Traditional Arabic" w:hint="cs"/>
          <w:rtl/>
        </w:rPr>
        <w:t>...........................................................</w:t>
      </w:r>
      <w:r w:rsidRPr="00865918">
        <w:rPr>
          <w:rFonts w:ascii="Traditional Arabic" w:hAnsi="Traditional Arabic" w:hint="cs"/>
          <w:rtl/>
        </w:rPr>
        <w:t>.</w:t>
      </w:r>
      <w:r>
        <w:rPr>
          <w:rFonts w:ascii="Traditional Arabic" w:hAnsi="Traditional Arabic" w:hint="cs"/>
          <w:rtl/>
        </w:rPr>
        <w:t>200</w:t>
      </w:r>
    </w:p>
    <w:p w:rsidR="006E11B5" w:rsidRPr="00C85F0F" w:rsidRDefault="006E11B5" w:rsidP="006E11B5">
      <w:pPr>
        <w:ind w:firstLine="0"/>
        <w:rPr>
          <w:rFonts w:ascii="Traditional Arabic" w:hAnsi="Traditional Arabic"/>
        </w:rPr>
      </w:pPr>
      <w:r w:rsidRPr="00C85F0F">
        <w:rPr>
          <w:rFonts w:ascii="Traditional Arabic" w:hAnsi="Traditional Arabic" w:hint="cs"/>
          <w:rtl/>
        </w:rPr>
        <w:t>الحكم للأغلب والأكثر</w:t>
      </w:r>
      <w:r w:rsidR="00E90F51">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321</w:t>
      </w:r>
    </w:p>
    <w:p w:rsidR="006E11B5" w:rsidRPr="00C85F0F" w:rsidRDefault="006E11B5" w:rsidP="006E11B5">
      <w:pPr>
        <w:ind w:firstLine="0"/>
      </w:pPr>
      <w:r w:rsidRPr="00C85F0F">
        <w:rPr>
          <w:rFonts w:hint="cs"/>
          <w:rtl/>
        </w:rPr>
        <w:lastRenderedPageBreak/>
        <w:t>الحكم يدور مع علته وجوداً وعدماً</w:t>
      </w:r>
      <w:r w:rsidR="00E90F51">
        <w:rPr>
          <w:rFonts w:hint="cs"/>
          <w:rtl/>
        </w:rPr>
        <w:t>..................................................</w:t>
      </w:r>
      <w:r>
        <w:rPr>
          <w:rFonts w:hint="cs"/>
          <w:rtl/>
        </w:rPr>
        <w:t>.383</w:t>
      </w:r>
    </w:p>
    <w:p w:rsidR="006E11B5" w:rsidRDefault="006E11B5" w:rsidP="006E11B5">
      <w:pPr>
        <w:ind w:firstLine="0"/>
        <w:rPr>
          <w:rtl/>
        </w:rPr>
      </w:pPr>
      <w:r w:rsidRPr="00C85F0F">
        <w:rPr>
          <w:rFonts w:hint="cs"/>
          <w:rtl/>
        </w:rPr>
        <w:t>الحكم يدور مع علته وجودا وعدما</w:t>
      </w:r>
      <w:r w:rsidR="00E90F51">
        <w:rPr>
          <w:rFonts w:hint="cs"/>
          <w:rtl/>
        </w:rPr>
        <w:t>..................................................</w:t>
      </w:r>
      <w:r w:rsidRPr="00C85F0F">
        <w:rPr>
          <w:rFonts w:hint="cs"/>
          <w:rtl/>
        </w:rPr>
        <w:t>.</w:t>
      </w:r>
      <w:r>
        <w:rPr>
          <w:rFonts w:hint="cs"/>
          <w:rtl/>
        </w:rPr>
        <w:t>384</w:t>
      </w:r>
    </w:p>
    <w:p w:rsidR="006E11B5" w:rsidRPr="00C85F0F" w:rsidRDefault="006E11B5" w:rsidP="006E11B5">
      <w:pPr>
        <w:ind w:firstLine="0"/>
      </w:pPr>
      <w:r w:rsidRPr="00C85F0F">
        <w:rPr>
          <w:rFonts w:hint="cs"/>
          <w:rtl/>
        </w:rPr>
        <w:t>الحكم يدور مع علته</w:t>
      </w:r>
      <w:r w:rsidR="00E90F51">
        <w:rPr>
          <w:rFonts w:hint="cs"/>
          <w:rtl/>
        </w:rPr>
        <w:t>...............................................................</w:t>
      </w:r>
      <w:r w:rsidRPr="00C85F0F">
        <w:rPr>
          <w:rFonts w:hint="cs"/>
          <w:rtl/>
        </w:rPr>
        <w:t>.</w:t>
      </w:r>
      <w:r>
        <w:rPr>
          <w:rFonts w:hint="cs"/>
          <w:rtl/>
        </w:rPr>
        <w:t>383</w:t>
      </w:r>
    </w:p>
    <w:p w:rsidR="006E11B5" w:rsidRDefault="006E11B5" w:rsidP="006E11B5">
      <w:pPr>
        <w:pStyle w:val="a7"/>
        <w:spacing w:line="440" w:lineRule="exact"/>
        <w:jc w:val="lowKashida"/>
        <w:rPr>
          <w:rFonts w:ascii="Traditional Arabic" w:hAnsi="Traditional Arabic"/>
          <w:color w:val="auto"/>
          <w:sz w:val="36"/>
          <w:szCs w:val="36"/>
          <w:rtl/>
        </w:rPr>
      </w:pPr>
      <w:r w:rsidRPr="00345E2B">
        <w:rPr>
          <w:rFonts w:ascii="Traditional Arabic" w:hAnsi="Traditional Arabic" w:hint="cs"/>
          <w:color w:val="auto"/>
          <w:sz w:val="36"/>
          <w:szCs w:val="36"/>
          <w:rtl/>
        </w:rPr>
        <w:t>الحكم ينبني على العام الغالب دون الشاذ النادر</w:t>
      </w:r>
      <w:r w:rsidR="00E90F51">
        <w:rPr>
          <w:rFonts w:ascii="Traditional Arabic" w:hAnsi="Traditional Arabic" w:hint="cs"/>
          <w:color w:val="auto"/>
          <w:sz w:val="36"/>
          <w:szCs w:val="36"/>
          <w:rtl/>
        </w:rPr>
        <w:t>.....................................</w:t>
      </w:r>
      <w:r w:rsidRPr="00345E2B">
        <w:rPr>
          <w:rFonts w:ascii="Traditional Arabic" w:hAnsi="Traditional Arabic" w:hint="cs"/>
          <w:color w:val="auto"/>
          <w:sz w:val="36"/>
          <w:szCs w:val="36"/>
          <w:rtl/>
        </w:rPr>
        <w:t>.</w:t>
      </w:r>
      <w:r>
        <w:rPr>
          <w:rFonts w:ascii="Traditional Arabic" w:hAnsi="Traditional Arabic" w:hint="cs"/>
          <w:color w:val="auto"/>
          <w:sz w:val="36"/>
          <w:szCs w:val="36"/>
          <w:rtl/>
        </w:rPr>
        <w:t>323</w:t>
      </w:r>
    </w:p>
    <w:p w:rsidR="006E11B5" w:rsidRDefault="006E11B5" w:rsidP="006E11B5">
      <w:pPr>
        <w:ind w:firstLine="0"/>
        <w:rPr>
          <w:rtl/>
        </w:rPr>
      </w:pPr>
      <w:r w:rsidRPr="00C85F0F">
        <w:rPr>
          <w:rFonts w:hint="cs"/>
          <w:rtl/>
        </w:rPr>
        <w:t>الحِيَل ممنوعةٌ شرعًا</w:t>
      </w:r>
      <w:r w:rsidR="00E90F51">
        <w:rPr>
          <w:rFonts w:hint="cs"/>
          <w:rtl/>
        </w:rPr>
        <w:t>.................................................................</w:t>
      </w:r>
      <w:r w:rsidRPr="00C85F0F">
        <w:rPr>
          <w:rFonts w:hint="cs"/>
          <w:rtl/>
        </w:rPr>
        <w:t>.</w:t>
      </w:r>
      <w:r>
        <w:rPr>
          <w:rFonts w:hint="cs"/>
          <w:rtl/>
        </w:rPr>
        <w:t>223</w:t>
      </w:r>
    </w:p>
    <w:p w:rsidR="006E11B5" w:rsidRPr="00C85F0F" w:rsidRDefault="006E11B5" w:rsidP="006E11B5">
      <w:pPr>
        <w:ind w:firstLine="0"/>
      </w:pPr>
      <w:r w:rsidRPr="00C85F0F">
        <w:rPr>
          <w:rFonts w:hint="cs"/>
          <w:rtl/>
        </w:rPr>
        <w:t>الخَراج بالضمان</w:t>
      </w:r>
      <w:r w:rsidR="00E90F51">
        <w:rPr>
          <w:rFonts w:hint="cs"/>
          <w:rtl/>
        </w:rPr>
        <w:t>...................................................................</w:t>
      </w:r>
      <w:r w:rsidRPr="00C85F0F">
        <w:rPr>
          <w:rFonts w:hint="cs"/>
          <w:rtl/>
        </w:rPr>
        <w:t>.</w:t>
      </w:r>
      <w:r>
        <w:rPr>
          <w:rFonts w:hint="cs"/>
          <w:rtl/>
        </w:rPr>
        <w:t>345</w:t>
      </w:r>
    </w:p>
    <w:p w:rsidR="006E11B5" w:rsidRDefault="006E11B5" w:rsidP="006E11B5">
      <w:pPr>
        <w:ind w:firstLine="0"/>
        <w:rPr>
          <w:color w:val="auto"/>
          <w:rtl/>
        </w:rPr>
      </w:pPr>
      <w:r w:rsidRPr="00C85F0F">
        <w:rPr>
          <w:rFonts w:ascii="Traditional Arabic" w:hAnsi="Traditional Arabic"/>
          <w:noProof w:val="0"/>
          <w:color w:val="auto"/>
          <w:rtl/>
          <w:lang w:eastAsia="en-US"/>
        </w:rPr>
        <w:t>درء المفاسد أولى من جلب المصالح</w:t>
      </w:r>
      <w:r w:rsidR="00E90F51">
        <w:rPr>
          <w:rFonts w:hint="cs"/>
          <w:color w:val="auto"/>
          <w:rtl/>
        </w:rPr>
        <w:t>..................................................</w:t>
      </w:r>
      <w:r w:rsidRPr="00C85F0F">
        <w:rPr>
          <w:rFonts w:hint="cs"/>
          <w:color w:val="auto"/>
          <w:rtl/>
        </w:rPr>
        <w:t>.</w:t>
      </w:r>
      <w:r>
        <w:rPr>
          <w:rFonts w:hint="cs"/>
          <w:color w:val="auto"/>
          <w:rtl/>
        </w:rPr>
        <w:t>113</w:t>
      </w:r>
    </w:p>
    <w:p w:rsidR="006E11B5" w:rsidRDefault="006E11B5" w:rsidP="006E11B5">
      <w:pPr>
        <w:ind w:firstLine="0"/>
        <w:rPr>
          <w:color w:val="auto"/>
          <w:rtl/>
        </w:rPr>
      </w:pPr>
      <w:r w:rsidRPr="00C85F0F">
        <w:rPr>
          <w:rFonts w:hint="cs"/>
          <w:color w:val="auto"/>
          <w:rtl/>
        </w:rPr>
        <w:t>درء المفاسد أولى من جلب المصالح</w:t>
      </w:r>
      <w:r w:rsidR="00E90F51">
        <w:rPr>
          <w:rFonts w:hint="cs"/>
          <w:color w:val="auto"/>
          <w:rtl/>
        </w:rPr>
        <w:t>..................................................</w:t>
      </w:r>
      <w:r w:rsidRPr="00C85F0F">
        <w:rPr>
          <w:rFonts w:hint="cs"/>
          <w:color w:val="auto"/>
          <w:rtl/>
        </w:rPr>
        <w:t>.</w:t>
      </w:r>
      <w:r>
        <w:rPr>
          <w:rFonts w:hint="cs"/>
          <w:color w:val="auto"/>
          <w:rtl/>
        </w:rPr>
        <w:t>114</w:t>
      </w:r>
    </w:p>
    <w:p w:rsidR="006E11B5" w:rsidRDefault="006E11B5" w:rsidP="006E11B5">
      <w:pPr>
        <w:ind w:firstLine="0"/>
        <w:rPr>
          <w:rFonts w:ascii="Traditional Arabic" w:hAnsi="Traditional Arabic"/>
          <w:noProof w:val="0"/>
          <w:rtl/>
          <w:lang w:eastAsia="en-US"/>
        </w:rPr>
      </w:pPr>
      <w:r w:rsidRPr="00C85F0F">
        <w:rPr>
          <w:rFonts w:hint="cs"/>
          <w:color w:val="auto"/>
          <w:rtl/>
        </w:rPr>
        <w:t>درء المفاسد أولى من جلب المنافع</w:t>
      </w:r>
      <w:r w:rsidR="00E90F51">
        <w:rPr>
          <w:rFonts w:hint="cs"/>
          <w:color w:val="auto"/>
          <w:rtl/>
        </w:rPr>
        <w:t>...................................................</w:t>
      </w:r>
      <w:r w:rsidRPr="00C85F0F">
        <w:rPr>
          <w:rFonts w:hint="cs"/>
          <w:color w:val="auto"/>
          <w:rtl/>
        </w:rPr>
        <w:t>.</w:t>
      </w:r>
      <w:r>
        <w:rPr>
          <w:rFonts w:hint="cs"/>
          <w:color w:val="auto"/>
          <w:rtl/>
        </w:rPr>
        <w:t>114</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المفاسد مقد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 على ج</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 المصالح</w:t>
      </w:r>
      <w:r w:rsidR="00E90F51">
        <w:rPr>
          <w:rFonts w:hint="cs"/>
          <w:color w:val="auto"/>
          <w:rtl/>
        </w:rPr>
        <w:t>................................................</w:t>
      </w:r>
      <w:r w:rsidRPr="00C85F0F">
        <w:rPr>
          <w:rFonts w:hint="cs"/>
          <w:color w:val="auto"/>
          <w:rtl/>
        </w:rPr>
        <w:t>.</w:t>
      </w:r>
      <w:r>
        <w:rPr>
          <w:rFonts w:hint="cs"/>
          <w:color w:val="auto"/>
          <w:rtl/>
        </w:rPr>
        <w:t>113</w:t>
      </w:r>
    </w:p>
    <w:p w:rsidR="006E11B5" w:rsidRPr="00C85F0F" w:rsidRDefault="006E11B5" w:rsidP="006E11B5">
      <w:pPr>
        <w:ind w:firstLine="0"/>
        <w:rPr>
          <w:color w:val="auto"/>
        </w:rPr>
      </w:pPr>
      <w:r w:rsidRPr="00C85F0F">
        <w:rPr>
          <w:rFonts w:hint="cs"/>
          <w:color w:val="auto"/>
          <w:rtl/>
        </w:rPr>
        <w:t>درء المفاسد مقدَّم على جلب المصالح</w:t>
      </w:r>
      <w:r w:rsidR="00E90F51">
        <w:rPr>
          <w:rFonts w:hint="cs"/>
          <w:color w:val="auto"/>
          <w:rtl/>
        </w:rPr>
        <w:t>................................................</w:t>
      </w:r>
      <w:r w:rsidRPr="00C85F0F">
        <w:rPr>
          <w:rFonts w:hint="cs"/>
          <w:color w:val="auto"/>
          <w:rtl/>
        </w:rPr>
        <w:t>.</w:t>
      </w:r>
      <w:r>
        <w:rPr>
          <w:rFonts w:hint="cs"/>
          <w:color w:val="auto"/>
          <w:rtl/>
        </w:rPr>
        <w:t>114</w:t>
      </w:r>
    </w:p>
    <w:p w:rsidR="006E11B5" w:rsidRPr="00C85F0F" w:rsidRDefault="006E11B5" w:rsidP="006E11B5">
      <w:pPr>
        <w:ind w:firstLine="0"/>
        <w:rPr>
          <w:color w:val="auto"/>
        </w:rPr>
      </w:pPr>
      <w:r w:rsidRPr="00C85F0F">
        <w:rPr>
          <w:rFonts w:hint="cs"/>
          <w:color w:val="auto"/>
          <w:rtl/>
        </w:rPr>
        <w:t>دفع الضرر أولى من جلب النفع</w:t>
      </w:r>
      <w:r w:rsidR="00E90F51">
        <w:rPr>
          <w:rFonts w:hint="cs"/>
          <w:color w:val="auto"/>
          <w:rtl/>
        </w:rPr>
        <w:t>.....................................................</w:t>
      </w:r>
      <w:r w:rsidRPr="00C85F0F">
        <w:rPr>
          <w:rFonts w:hint="cs"/>
          <w:color w:val="auto"/>
          <w:rtl/>
        </w:rPr>
        <w:t>.</w:t>
      </w:r>
      <w:r>
        <w:rPr>
          <w:rFonts w:hint="cs"/>
          <w:color w:val="auto"/>
          <w:rtl/>
        </w:rPr>
        <w:t>113</w:t>
      </w:r>
    </w:p>
    <w:p w:rsidR="006E11B5" w:rsidRDefault="006E11B5" w:rsidP="006E11B5">
      <w:pPr>
        <w:ind w:firstLine="0"/>
        <w:rPr>
          <w:rFonts w:ascii="Traditional Arabic" w:hAnsi="Traditional Arabic"/>
          <w:noProof w:val="0"/>
          <w:rtl/>
          <w:lang w:eastAsia="en-US"/>
        </w:rPr>
      </w:pPr>
      <w:r w:rsidRPr="00C85F0F">
        <w:rPr>
          <w:rFonts w:hint="cs"/>
          <w:color w:val="auto"/>
          <w:rtl/>
        </w:rPr>
        <w:t>دَفْع المفسدة مقدَّم على جلب المصلحة</w:t>
      </w:r>
      <w:r w:rsidR="00E90F51">
        <w:rPr>
          <w:rFonts w:hint="cs"/>
          <w:color w:val="auto"/>
          <w:rtl/>
        </w:rPr>
        <w:t>..............................................</w:t>
      </w:r>
      <w:r w:rsidRPr="00C85F0F">
        <w:rPr>
          <w:rFonts w:hint="cs"/>
          <w:color w:val="auto"/>
          <w:rtl/>
        </w:rPr>
        <w:t>.</w:t>
      </w:r>
      <w:r>
        <w:rPr>
          <w:rFonts w:ascii="Traditional Arabic" w:hAnsi="Traditional Arabic" w:hint="cs"/>
          <w:noProof w:val="0"/>
          <w:rtl/>
          <w:lang w:eastAsia="en-US"/>
        </w:rPr>
        <w:t>113</w:t>
      </w:r>
    </w:p>
    <w:p w:rsidR="006E11B5" w:rsidRDefault="006E11B5" w:rsidP="006E11B5">
      <w:pPr>
        <w:ind w:firstLine="0"/>
        <w:rPr>
          <w:rtl/>
        </w:rPr>
      </w:pPr>
      <w:r w:rsidRPr="00C85F0F">
        <w:rPr>
          <w:rFonts w:hint="cs"/>
          <w:rtl/>
        </w:rPr>
        <w:t>دلالةُ الإذن من حيثُ العُرفُ كالتصريح بالإذن</w:t>
      </w:r>
      <w:r w:rsidR="00E90F51">
        <w:rPr>
          <w:rFonts w:hint="cs"/>
          <w:rtl/>
        </w:rPr>
        <w:t>.......................................</w:t>
      </w:r>
      <w:r w:rsidRPr="00C85F0F">
        <w:rPr>
          <w:rFonts w:hint="cs"/>
          <w:rtl/>
        </w:rPr>
        <w:t>.</w:t>
      </w:r>
      <w:r>
        <w:rPr>
          <w:rFonts w:hint="cs"/>
          <w:rtl/>
        </w:rPr>
        <w:t>155</w:t>
      </w:r>
    </w:p>
    <w:p w:rsidR="006E11B5" w:rsidRDefault="006E11B5" w:rsidP="006E11B5">
      <w:pPr>
        <w:pStyle w:val="a7"/>
        <w:jc w:val="lowKashida"/>
        <w:rPr>
          <w:rFonts w:ascii="Traditional Arabic" w:hAnsi="Traditional Arabic"/>
          <w:color w:val="auto"/>
          <w:sz w:val="36"/>
          <w:szCs w:val="36"/>
          <w:rtl/>
        </w:rPr>
      </w:pPr>
      <w:r w:rsidRPr="00531753">
        <w:rPr>
          <w:rFonts w:ascii="Traditional Arabic" w:hAnsi="Traditional Arabic" w:hint="cs"/>
          <w:color w:val="auto"/>
          <w:sz w:val="36"/>
          <w:szCs w:val="36"/>
          <w:rtl/>
        </w:rPr>
        <w:t>الدين مبنيٌّ على المصالح</w:t>
      </w:r>
      <w:r>
        <w:rPr>
          <w:rFonts w:ascii="Traditional Arabic" w:hAnsi="Traditional Arabic" w:hint="cs"/>
          <w:color w:val="auto"/>
          <w:sz w:val="36"/>
          <w:szCs w:val="36"/>
          <w:rtl/>
        </w:rPr>
        <w:t xml:space="preserve">        </w:t>
      </w:r>
      <w:r w:rsidRPr="00531753">
        <w:rPr>
          <w:rFonts w:ascii="Traditional Arabic" w:hAnsi="Traditional Arabic" w:hint="cs"/>
          <w:color w:val="auto"/>
          <w:sz w:val="36"/>
          <w:szCs w:val="36"/>
          <w:rtl/>
        </w:rPr>
        <w:t>في جَلْبِها والدَّرْءِ للقبائح.</w:t>
      </w:r>
      <w:r>
        <w:rPr>
          <w:rFonts w:ascii="Traditional Arabic" w:hAnsi="Traditional Arabic" w:hint="cs"/>
          <w:color w:val="auto"/>
          <w:sz w:val="36"/>
          <w:szCs w:val="36"/>
          <w:rtl/>
        </w:rPr>
        <w:t>..</w:t>
      </w:r>
      <w:r w:rsidR="00E90F51">
        <w:rPr>
          <w:rFonts w:ascii="Traditional Arabic" w:hAnsi="Traditional Arabic" w:hint="cs"/>
          <w:color w:val="auto"/>
          <w:sz w:val="36"/>
          <w:szCs w:val="36"/>
          <w:rtl/>
        </w:rPr>
        <w:t>.............................</w:t>
      </w:r>
      <w:r>
        <w:rPr>
          <w:rFonts w:ascii="Traditional Arabic" w:hAnsi="Traditional Arabic" w:hint="cs"/>
          <w:color w:val="auto"/>
          <w:sz w:val="36"/>
          <w:szCs w:val="36"/>
          <w:rtl/>
        </w:rPr>
        <w:t>..97</w:t>
      </w:r>
    </w:p>
    <w:p w:rsidR="006E11B5" w:rsidRPr="00C85F0F" w:rsidRDefault="006E11B5" w:rsidP="006E11B5">
      <w:pPr>
        <w:pStyle w:val="afc"/>
        <w:spacing w:after="200"/>
        <w:ind w:left="-1" w:firstLine="0"/>
        <w:jc w:val="left"/>
        <w:rPr>
          <w:rFonts w:ascii="Traditional Arabic" w:hAnsi="Traditional Arabic"/>
        </w:rPr>
      </w:pPr>
      <w:r>
        <w:rPr>
          <w:rFonts w:ascii="Traditional Arabic" w:hAnsi="Traditional Arabic"/>
          <w:rtl/>
        </w:rPr>
        <w:t>الدين يسر</w:t>
      </w:r>
      <w:r w:rsidR="00E90F51">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497</w:t>
      </w:r>
    </w:p>
    <w:p w:rsidR="006E11B5" w:rsidRDefault="006E11B5" w:rsidP="006E11B5">
      <w:pPr>
        <w:ind w:firstLine="0"/>
        <w:rPr>
          <w:rtl/>
        </w:rPr>
      </w:pPr>
      <w:r w:rsidRPr="00C85F0F">
        <w:rPr>
          <w:rFonts w:hint="cs"/>
          <w:rtl/>
        </w:rPr>
        <w:t>الذرائع إلى الحلال والحرام تُشْبه معاني الحلال والحرام</w:t>
      </w:r>
      <w:r w:rsidR="00E90F51">
        <w:rPr>
          <w:rFonts w:hint="cs"/>
          <w:rtl/>
        </w:rPr>
        <w:t>...................................</w:t>
      </w:r>
      <w:r w:rsidRPr="00C85F0F">
        <w:rPr>
          <w:rFonts w:hint="cs"/>
          <w:rtl/>
        </w:rPr>
        <w:t>.</w:t>
      </w:r>
      <w:r>
        <w:rPr>
          <w:rFonts w:hint="cs"/>
          <w:rtl/>
        </w:rPr>
        <w:t>183</w:t>
      </w:r>
    </w:p>
    <w:p w:rsidR="006E11B5" w:rsidRDefault="006E11B5" w:rsidP="006E11B5">
      <w:pPr>
        <w:ind w:firstLine="0"/>
        <w:rPr>
          <w:color w:val="auto"/>
          <w:rtl/>
        </w:rPr>
      </w:pPr>
      <w:r w:rsidRPr="00C85F0F">
        <w:rPr>
          <w:rFonts w:ascii="Traditional Arabic" w:hAnsi="Traditional Arabic"/>
          <w:noProof w:val="0"/>
          <w:color w:val="auto"/>
          <w:rtl/>
          <w:lang w:eastAsia="en-US"/>
        </w:rPr>
        <w:t>الذرائع يجب أن 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إذا كانت ذريعة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إلى محر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00E90F51">
        <w:rPr>
          <w:rFonts w:hint="cs"/>
          <w:color w:val="auto"/>
          <w:rtl/>
        </w:rPr>
        <w:t>........................................</w:t>
      </w:r>
      <w:r w:rsidRPr="00C85F0F">
        <w:rPr>
          <w:rFonts w:hint="cs"/>
          <w:color w:val="auto"/>
          <w:rtl/>
        </w:rPr>
        <w:t>.</w:t>
      </w:r>
      <w:r>
        <w:rPr>
          <w:rFonts w:hint="cs"/>
          <w:color w:val="auto"/>
          <w:rtl/>
        </w:rPr>
        <w:t>182</w:t>
      </w:r>
    </w:p>
    <w:p w:rsidR="006E11B5" w:rsidRDefault="006E11B5" w:rsidP="006E11B5">
      <w:pPr>
        <w:ind w:firstLine="0"/>
        <w:rPr>
          <w:rFonts w:ascii="Traditional Arabic" w:hAnsi="Traditional Arabic"/>
          <w:noProof w:val="0"/>
          <w:rtl/>
          <w:lang w:eastAsia="en-US"/>
        </w:rPr>
      </w:pPr>
      <w:r w:rsidRPr="00C85F0F">
        <w:rPr>
          <w:rFonts w:hint="cs"/>
          <w:rtl/>
        </w:rPr>
        <w:t>الذي ما جاء فيه حَدٌّ في الشرع، فإنه يُرجَع فيه إلى العُرف</w:t>
      </w:r>
      <w:r w:rsidR="00E90F51">
        <w:rPr>
          <w:rFonts w:hint="cs"/>
          <w:rtl/>
        </w:rPr>
        <w:t>..............................</w:t>
      </w:r>
      <w:r w:rsidRPr="00C85F0F">
        <w:rPr>
          <w:rFonts w:hint="cs"/>
          <w:rtl/>
        </w:rPr>
        <w:t>.</w:t>
      </w:r>
      <w:r>
        <w:rPr>
          <w:rFonts w:ascii="Traditional Arabic" w:hAnsi="Traditional Arabic" w:hint="cs"/>
          <w:noProof w:val="0"/>
          <w:rtl/>
          <w:lang w:eastAsia="en-US"/>
        </w:rPr>
        <w:t>159</w:t>
      </w:r>
    </w:p>
    <w:p w:rsidR="006E11B5" w:rsidRPr="00C85F0F" w:rsidRDefault="006E11B5" w:rsidP="006E11B5">
      <w:pPr>
        <w:ind w:firstLine="0"/>
        <w:rPr>
          <w:color w:val="auto"/>
        </w:rPr>
      </w:pPr>
      <w:r w:rsidRPr="00C85F0F">
        <w:rPr>
          <w:rFonts w:ascii="Traditional Arabic" w:hAnsi="Traditional Arabic"/>
          <w:noProof w:val="0"/>
          <w:rtl/>
          <w:lang w:eastAsia="en-US"/>
        </w:rPr>
        <w:t>الرضا بالشيء رضا بما يتول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منه</w:t>
      </w:r>
      <w:r w:rsidR="00E90F51">
        <w:rPr>
          <w:rFonts w:hint="cs"/>
          <w:color w:val="auto"/>
          <w:rtl/>
        </w:rPr>
        <w:t>.....................................................</w:t>
      </w:r>
      <w:r w:rsidRPr="00C85F0F">
        <w:rPr>
          <w:rFonts w:hint="cs"/>
          <w:color w:val="auto"/>
          <w:rtl/>
        </w:rPr>
        <w:t>.</w:t>
      </w:r>
      <w:r>
        <w:rPr>
          <w:rFonts w:hint="cs"/>
          <w:color w:val="auto"/>
          <w:rtl/>
        </w:rPr>
        <w:t>363</w:t>
      </w:r>
    </w:p>
    <w:p w:rsidR="006E11B5" w:rsidRPr="00C85F0F" w:rsidRDefault="006E11B5" w:rsidP="006E11B5">
      <w:pPr>
        <w:ind w:firstLine="0"/>
      </w:pPr>
      <w:r w:rsidRPr="00C85F0F">
        <w:rPr>
          <w:rFonts w:hint="cs"/>
          <w:rtl/>
        </w:rPr>
        <w:t>الرِّضا لابدَّ منه في جميع العقود</w:t>
      </w:r>
      <w:r w:rsidR="00E90F51">
        <w:rPr>
          <w:rFonts w:hint="cs"/>
          <w:rtl/>
        </w:rPr>
        <w:t>......................................................</w:t>
      </w:r>
      <w:r w:rsidRPr="00C85F0F">
        <w:rPr>
          <w:rFonts w:hint="cs"/>
          <w:rtl/>
        </w:rPr>
        <w:t>.</w:t>
      </w:r>
      <w:r>
        <w:rPr>
          <w:rFonts w:hint="cs"/>
          <w:rtl/>
        </w:rPr>
        <w:t>376</w:t>
      </w:r>
    </w:p>
    <w:p w:rsidR="006E11B5" w:rsidRPr="00C85F0F" w:rsidRDefault="006E11B5" w:rsidP="006E11B5">
      <w:pPr>
        <w:ind w:firstLine="0"/>
      </w:pPr>
      <w:r w:rsidRPr="00C85F0F">
        <w:rPr>
          <w:rFonts w:hint="cs"/>
          <w:rtl/>
        </w:rPr>
        <w:t>السبب المقرِّب من الشيء جاز مَجْراهُ في الحِلِّ والحُرْمة والوجوب</w:t>
      </w:r>
      <w:r w:rsidR="00E90F51">
        <w:rPr>
          <w:rFonts w:hint="cs"/>
          <w:rtl/>
        </w:rPr>
        <w:t>..........................</w:t>
      </w:r>
      <w:r w:rsidRPr="00C85F0F">
        <w:rPr>
          <w:rFonts w:hint="cs"/>
          <w:rtl/>
        </w:rPr>
        <w:t>.</w:t>
      </w:r>
      <w:r>
        <w:rPr>
          <w:rFonts w:hint="cs"/>
          <w:rtl/>
        </w:rPr>
        <w:t>183</w:t>
      </w:r>
    </w:p>
    <w:p w:rsidR="006E11B5" w:rsidRPr="00C85F0F" w:rsidRDefault="006E11B5" w:rsidP="006E11B5">
      <w:pPr>
        <w:ind w:firstLine="0"/>
      </w:pPr>
      <w:r w:rsidRPr="00C85F0F">
        <w:rPr>
          <w:rFonts w:hint="cs"/>
          <w:rtl/>
        </w:rPr>
        <w:t>سَدُّ الذرائع</w:t>
      </w:r>
      <w:r w:rsidR="00E90F51">
        <w:rPr>
          <w:rFonts w:hint="cs"/>
          <w:rtl/>
        </w:rPr>
        <w:t>.......................................................................</w:t>
      </w:r>
      <w:r w:rsidRPr="00C85F0F">
        <w:rPr>
          <w:rFonts w:hint="cs"/>
          <w:rtl/>
        </w:rPr>
        <w:t>.</w:t>
      </w:r>
      <w:r>
        <w:rPr>
          <w:rFonts w:hint="cs"/>
          <w:rtl/>
        </w:rPr>
        <w:t>182</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الس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لطان ولي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لا ولي</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له</w:t>
      </w:r>
      <w:r w:rsidR="00E90F51">
        <w:rPr>
          <w:rFonts w:hint="cs"/>
          <w:color w:val="auto"/>
          <w:rtl/>
        </w:rPr>
        <w:t>..........................................................</w:t>
      </w:r>
      <w:r w:rsidRPr="00C85F0F">
        <w:rPr>
          <w:rFonts w:hint="cs"/>
          <w:color w:val="auto"/>
          <w:rtl/>
        </w:rPr>
        <w:t>.</w:t>
      </w:r>
      <w:r>
        <w:rPr>
          <w:rFonts w:hint="cs"/>
          <w:color w:val="auto"/>
          <w:rtl/>
        </w:rPr>
        <w:t>505</w:t>
      </w:r>
    </w:p>
    <w:p w:rsidR="006E11B5" w:rsidRDefault="006E11B5" w:rsidP="006E11B5">
      <w:pPr>
        <w:pStyle w:val="a7"/>
        <w:jc w:val="lowKashida"/>
        <w:rPr>
          <w:rFonts w:ascii="Traditional Arabic" w:hAnsi="Traditional Arabic"/>
          <w:color w:val="auto"/>
          <w:sz w:val="36"/>
          <w:szCs w:val="36"/>
          <w:rtl/>
        </w:rPr>
      </w:pPr>
      <w:r w:rsidRPr="00531753">
        <w:rPr>
          <w:rFonts w:ascii="Traditional Arabic" w:hAnsi="Traditional Arabic" w:hint="cs"/>
          <w:color w:val="auto"/>
          <w:sz w:val="36"/>
          <w:szCs w:val="36"/>
          <w:rtl/>
        </w:rPr>
        <w:t>الشارع لا يأمر</w:t>
      </w:r>
      <w:r>
        <w:rPr>
          <w:rFonts w:ascii="Traditional Arabic" w:hAnsi="Traditional Arabic" w:hint="cs"/>
          <w:color w:val="auto"/>
          <w:sz w:val="36"/>
          <w:szCs w:val="36"/>
          <w:rtl/>
        </w:rPr>
        <w:t xml:space="preserve"> إلا بما مصلحتُه خالصة أو راجحة.....</w:t>
      </w:r>
      <w:r w:rsidR="00E90F51">
        <w:rPr>
          <w:rFonts w:ascii="Traditional Arabic" w:hAnsi="Traditional Arabic" w:hint="cs"/>
          <w:color w:val="auto"/>
          <w:sz w:val="36"/>
          <w:szCs w:val="36"/>
          <w:rtl/>
        </w:rPr>
        <w:t>.................................</w:t>
      </w:r>
      <w:r>
        <w:rPr>
          <w:rFonts w:ascii="Traditional Arabic" w:hAnsi="Traditional Arabic" w:hint="cs"/>
          <w:color w:val="auto"/>
          <w:sz w:val="36"/>
          <w:szCs w:val="36"/>
          <w:rtl/>
        </w:rPr>
        <w:t>.97</w:t>
      </w:r>
      <w:r w:rsidRPr="00531753">
        <w:rPr>
          <w:rFonts w:ascii="Traditional Arabic" w:hAnsi="Traditional Arabic" w:hint="cs"/>
          <w:color w:val="auto"/>
          <w:sz w:val="36"/>
          <w:szCs w:val="36"/>
          <w:rtl/>
        </w:rPr>
        <w:t xml:space="preserve"> </w:t>
      </w:r>
    </w:p>
    <w:p w:rsidR="006E11B5" w:rsidRPr="00531753" w:rsidRDefault="006E11B5" w:rsidP="006E11B5">
      <w:pPr>
        <w:pStyle w:val="a7"/>
        <w:jc w:val="lowKashida"/>
        <w:rPr>
          <w:rFonts w:ascii="Traditional Arabic" w:hAnsi="Traditional Arabic"/>
          <w:sz w:val="36"/>
          <w:szCs w:val="36"/>
        </w:rPr>
      </w:pPr>
      <w:r w:rsidRPr="00531753">
        <w:rPr>
          <w:rFonts w:hint="cs"/>
          <w:sz w:val="36"/>
          <w:szCs w:val="36"/>
          <w:rtl/>
        </w:rPr>
        <w:lastRenderedPageBreak/>
        <w:t>الشارع يأتي بدرء المفاسد وجلب المصالح</w:t>
      </w:r>
      <w:r w:rsidR="00E90F51">
        <w:rPr>
          <w:rFonts w:hint="cs"/>
          <w:sz w:val="36"/>
          <w:szCs w:val="36"/>
          <w:rtl/>
        </w:rPr>
        <w:t>..............................................</w:t>
      </w:r>
      <w:r w:rsidRPr="00531753">
        <w:rPr>
          <w:rFonts w:ascii="Traditional Arabic" w:hAnsi="Traditional Arabic"/>
          <w:sz w:val="36"/>
          <w:szCs w:val="36"/>
          <w:rtl/>
        </w:rPr>
        <w:t>.</w:t>
      </w:r>
      <w:r>
        <w:rPr>
          <w:rFonts w:ascii="Traditional Arabic" w:hAnsi="Traditional Arabic" w:hint="cs"/>
          <w:sz w:val="36"/>
          <w:szCs w:val="36"/>
          <w:rtl/>
        </w:rPr>
        <w:t>96</w:t>
      </w:r>
    </w:p>
    <w:p w:rsidR="006E11B5" w:rsidRDefault="006E11B5" w:rsidP="006E11B5">
      <w:pPr>
        <w:ind w:firstLine="0"/>
        <w:rPr>
          <w:rtl/>
        </w:rPr>
      </w:pPr>
      <w:r w:rsidRPr="00C85F0F">
        <w:rPr>
          <w:rFonts w:ascii="Traditional Arabic" w:hAnsi="Traditional Arabic"/>
          <w:rtl/>
        </w:rPr>
        <w:t>الشارع يمنع كل ما ي</w:t>
      </w:r>
      <w:r w:rsidRPr="00C85F0F">
        <w:rPr>
          <w:rFonts w:ascii="Traditional Arabic" w:hAnsi="Traditional Arabic" w:hint="cs"/>
          <w:rtl/>
        </w:rPr>
        <w:t>ُ</w:t>
      </w:r>
      <w:r w:rsidRPr="00C85F0F">
        <w:rPr>
          <w:rFonts w:ascii="Traditional Arabic" w:hAnsi="Traditional Arabic"/>
          <w:rtl/>
        </w:rPr>
        <w:t>ح</w:t>
      </w:r>
      <w:r w:rsidRPr="00C85F0F">
        <w:rPr>
          <w:rFonts w:ascii="Traditional Arabic" w:hAnsi="Traditional Arabic" w:hint="cs"/>
          <w:rtl/>
        </w:rPr>
        <w:t>ْ</w:t>
      </w:r>
      <w:r w:rsidRPr="00C85F0F">
        <w:rPr>
          <w:rFonts w:ascii="Traditional Arabic" w:hAnsi="Traditional Arabic"/>
          <w:rtl/>
        </w:rPr>
        <w:t>د</w:t>
      </w:r>
      <w:r w:rsidRPr="00C85F0F">
        <w:rPr>
          <w:rFonts w:ascii="Traditional Arabic" w:hAnsi="Traditional Arabic" w:hint="cs"/>
          <w:rtl/>
        </w:rPr>
        <w:t>ِ</w:t>
      </w:r>
      <w:r w:rsidRPr="00C85F0F">
        <w:rPr>
          <w:rFonts w:ascii="Traditional Arabic" w:hAnsi="Traditional Arabic"/>
          <w:rtl/>
        </w:rPr>
        <w:t>ث البغضاء والعداوة</w:t>
      </w:r>
      <w:r w:rsidR="00E90F51">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438</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rtl/>
        </w:rPr>
        <w:t>الشارع ينه</w:t>
      </w:r>
      <w:r w:rsidRPr="00C85F0F">
        <w:rPr>
          <w:rFonts w:ascii="Traditional Arabic" w:hAnsi="Traditional Arabic" w:hint="cs"/>
          <w:rtl/>
        </w:rPr>
        <w:t>ى</w:t>
      </w:r>
      <w:r w:rsidRPr="00C85F0F">
        <w:rPr>
          <w:rFonts w:ascii="Traditional Arabic" w:hAnsi="Traditional Arabic"/>
          <w:rtl/>
        </w:rPr>
        <w:t xml:space="preserve"> عن كل ما </w:t>
      </w:r>
      <w:r w:rsidRPr="00C85F0F">
        <w:rPr>
          <w:rFonts w:ascii="Traditional Arabic" w:hAnsi="Traditional Arabic" w:hint="cs"/>
          <w:rtl/>
        </w:rPr>
        <w:t>ي</w:t>
      </w:r>
      <w:r w:rsidRPr="00C85F0F">
        <w:rPr>
          <w:rFonts w:ascii="Traditional Arabic" w:hAnsi="Traditional Arabic"/>
          <w:rtl/>
        </w:rPr>
        <w:t>وج</w:t>
      </w:r>
      <w:r w:rsidRPr="00C85F0F">
        <w:rPr>
          <w:rFonts w:ascii="Traditional Arabic" w:hAnsi="Traditional Arabic" w:hint="cs"/>
          <w:rtl/>
        </w:rPr>
        <w:t>ِ</w:t>
      </w:r>
      <w:r w:rsidRPr="00C85F0F">
        <w:rPr>
          <w:rFonts w:ascii="Traditional Arabic" w:hAnsi="Traditional Arabic"/>
          <w:rtl/>
        </w:rPr>
        <w:t>ب الخ</w:t>
      </w:r>
      <w:r w:rsidRPr="00C85F0F">
        <w:rPr>
          <w:rFonts w:ascii="Traditional Arabic" w:hAnsi="Traditional Arabic" w:hint="cs"/>
          <w:rtl/>
        </w:rPr>
        <w:t>ُ</w:t>
      </w:r>
      <w:r w:rsidRPr="00C85F0F">
        <w:rPr>
          <w:rFonts w:ascii="Traditional Arabic" w:hAnsi="Traditional Arabic"/>
          <w:rtl/>
        </w:rPr>
        <w:t>صومة والبغضاء والعداوة</w:t>
      </w:r>
      <w:r w:rsidR="00E90F51">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438</w:t>
      </w:r>
    </w:p>
    <w:p w:rsidR="006E11B5" w:rsidRDefault="006E11B5" w:rsidP="006E11B5">
      <w:pPr>
        <w:pStyle w:val="a7"/>
        <w:jc w:val="lowKashida"/>
        <w:rPr>
          <w:rFonts w:ascii="Traditional Arabic" w:hAnsi="Traditional Arabic"/>
          <w:noProof w:val="0"/>
          <w:color w:val="auto"/>
          <w:sz w:val="36"/>
          <w:szCs w:val="36"/>
          <w:rtl/>
          <w:lang w:eastAsia="en-US"/>
        </w:rPr>
      </w:pPr>
      <w:r w:rsidRPr="00531753">
        <w:rPr>
          <w:rFonts w:ascii="Traditional Arabic" w:hAnsi="Traditional Arabic"/>
          <w:noProof w:val="0"/>
          <w:color w:val="auto"/>
          <w:sz w:val="36"/>
          <w:szCs w:val="36"/>
          <w:rtl/>
          <w:lang w:eastAsia="en-US"/>
        </w:rPr>
        <w:t>الشرائع م</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ب</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ناها على المصالح بحس</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ب الإمكان وتكميل</w:t>
      </w:r>
      <w:r w:rsidRPr="00531753">
        <w:rPr>
          <w:rFonts w:ascii="Traditional Arabic" w:hAnsi="Traditional Arabic" w:hint="cs"/>
          <w:noProof w:val="0"/>
          <w:color w:val="auto"/>
          <w:sz w:val="36"/>
          <w:szCs w:val="36"/>
          <w:rtl/>
          <w:lang w:eastAsia="en-US"/>
        </w:rPr>
        <w:t>ِ</w:t>
      </w:r>
      <w:r w:rsidRPr="00531753">
        <w:rPr>
          <w:rFonts w:ascii="Traditional Arabic" w:hAnsi="Traditional Arabic"/>
          <w:noProof w:val="0"/>
          <w:color w:val="auto"/>
          <w:sz w:val="36"/>
          <w:szCs w:val="36"/>
          <w:rtl/>
          <w:lang w:eastAsia="en-US"/>
        </w:rPr>
        <w:t>ها</w:t>
      </w:r>
      <w:r>
        <w:rPr>
          <w:rFonts w:ascii="Traditional Arabic" w:hAnsi="Traditional Arabic" w:hint="cs"/>
          <w:noProof w:val="0"/>
          <w:color w:val="auto"/>
          <w:sz w:val="36"/>
          <w:szCs w:val="36"/>
          <w:rtl/>
          <w:lang w:eastAsia="en-US"/>
        </w:rPr>
        <w:t>....</w:t>
      </w:r>
      <w:r w:rsidR="00E90F51">
        <w:rPr>
          <w:rFonts w:ascii="Traditional Arabic" w:hAnsi="Traditional Arabic" w:hint="cs"/>
          <w:noProof w:val="0"/>
          <w:color w:val="auto"/>
          <w:sz w:val="36"/>
          <w:szCs w:val="36"/>
          <w:rtl/>
          <w:lang w:eastAsia="en-US"/>
        </w:rPr>
        <w:t>.............................</w:t>
      </w:r>
      <w:r>
        <w:rPr>
          <w:rFonts w:ascii="Traditional Arabic" w:hAnsi="Traditional Arabic" w:hint="cs"/>
          <w:noProof w:val="0"/>
          <w:color w:val="auto"/>
          <w:sz w:val="36"/>
          <w:szCs w:val="36"/>
          <w:rtl/>
          <w:lang w:eastAsia="en-US"/>
        </w:rPr>
        <w:t>.97</w:t>
      </w:r>
      <w:r w:rsidRPr="00531753">
        <w:rPr>
          <w:rFonts w:ascii="Traditional Arabic" w:hAnsi="Traditional Arabic"/>
          <w:noProof w:val="0"/>
          <w:color w:val="auto"/>
          <w:sz w:val="36"/>
          <w:szCs w:val="36"/>
          <w:rtl/>
          <w:lang w:eastAsia="en-US"/>
        </w:rPr>
        <w:t xml:space="preserve"> </w:t>
      </w:r>
    </w:p>
    <w:p w:rsidR="006E11B5" w:rsidRPr="00C85F0F" w:rsidRDefault="006E11B5" w:rsidP="006E11B5">
      <w:pPr>
        <w:ind w:firstLine="0"/>
      </w:pPr>
      <w:r w:rsidRPr="00C85F0F">
        <w:rPr>
          <w:rFonts w:hint="cs"/>
          <w:rtl/>
        </w:rPr>
        <w:t>الشرط العُرفي المطَّرد كالشرط اللفظي</w:t>
      </w:r>
      <w:r w:rsidR="00E90F51">
        <w:rPr>
          <w:rFonts w:hint="cs"/>
          <w:rtl/>
        </w:rPr>
        <w:t>.................................................</w:t>
      </w:r>
      <w:r w:rsidRPr="00C85F0F">
        <w:rPr>
          <w:rFonts w:hint="cs"/>
          <w:rtl/>
        </w:rPr>
        <w:t>.</w:t>
      </w:r>
      <w:r>
        <w:rPr>
          <w:rFonts w:hint="cs"/>
          <w:rtl/>
        </w:rPr>
        <w:t>148</w:t>
      </w:r>
    </w:p>
    <w:p w:rsidR="006E11B5" w:rsidRPr="007D21D0" w:rsidRDefault="006E11B5" w:rsidP="006E11B5">
      <w:pPr>
        <w:ind w:firstLine="0"/>
        <w:rPr>
          <w:rFonts w:ascii="Traditional Arabic" w:hAnsi="Traditional Arabic"/>
          <w:color w:val="auto"/>
          <w:rtl/>
        </w:rPr>
      </w:pPr>
      <w:r w:rsidRPr="00C85F0F">
        <w:rPr>
          <w:rFonts w:ascii="Traditional Arabic" w:hAnsi="Traditional Arabic"/>
          <w:noProof w:val="0"/>
          <w:rtl/>
          <w:lang w:eastAsia="en-US"/>
        </w:rPr>
        <w:t>الشر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 الع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رفي كالشر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ط الل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ظي</w:t>
      </w:r>
      <w:r w:rsidR="00E90F51">
        <w:rPr>
          <w:rFonts w:hint="cs"/>
          <w:rtl/>
        </w:rPr>
        <w:t>................................................</w:t>
      </w:r>
      <w:r w:rsidRPr="00C85F0F">
        <w:rPr>
          <w:rFonts w:hint="cs"/>
          <w:rtl/>
        </w:rPr>
        <w:t>.</w:t>
      </w:r>
      <w:r>
        <w:rPr>
          <w:rFonts w:ascii="Traditional Arabic" w:hAnsi="Traditional Arabic" w:hint="cs"/>
          <w:color w:val="auto"/>
          <w:rtl/>
        </w:rPr>
        <w:t>148، 149</w:t>
      </w:r>
    </w:p>
    <w:p w:rsidR="006E11B5" w:rsidRPr="00C85F0F" w:rsidRDefault="006E11B5" w:rsidP="006E11B5">
      <w:pPr>
        <w:ind w:firstLine="0"/>
        <w:rPr>
          <w:rtl/>
        </w:rPr>
      </w:pPr>
      <w:r w:rsidRPr="00C85F0F">
        <w:rPr>
          <w:rFonts w:hint="cs"/>
          <w:rtl/>
        </w:rPr>
        <w:t>الشرْط العُرْفي كاللَّفْظي</w:t>
      </w:r>
      <w:r w:rsidR="0023301F">
        <w:rPr>
          <w:rFonts w:hint="cs"/>
          <w:rtl/>
        </w:rPr>
        <w:t>.............................................................</w:t>
      </w:r>
      <w:r w:rsidRPr="00C85F0F">
        <w:rPr>
          <w:rFonts w:hint="cs"/>
          <w:rtl/>
        </w:rPr>
        <w:t>.</w:t>
      </w:r>
      <w:r>
        <w:rPr>
          <w:rFonts w:hint="cs"/>
          <w:rtl/>
        </w:rPr>
        <w:t>149</w:t>
      </w:r>
    </w:p>
    <w:p w:rsidR="006E11B5" w:rsidRPr="00C85F0F" w:rsidRDefault="006E11B5" w:rsidP="006E11B5">
      <w:pPr>
        <w:ind w:firstLine="0"/>
        <w:rPr>
          <w:rFonts w:ascii="Traditional Arabic" w:hAnsi="Traditional Arabic"/>
          <w:noProof w:val="0"/>
          <w:sz w:val="32"/>
          <w:szCs w:val="32"/>
          <w:lang w:eastAsia="en-US"/>
        </w:rPr>
      </w:pPr>
      <w:r w:rsidRPr="00C85F0F">
        <w:rPr>
          <w:rFonts w:ascii="Traditional Arabic" w:hAnsi="Traditional Arabic"/>
          <w:noProof w:val="0"/>
          <w:rtl/>
          <w:lang w:eastAsia="en-US"/>
        </w:rPr>
        <w:t>الشرع جاء بسد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كل ما يوج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ب النزاع</w:t>
      </w:r>
      <w:r w:rsidR="003864B7">
        <w:rPr>
          <w:rFonts w:ascii="Traditional Arabic" w:hAnsi="Traditional Arabic" w:hint="cs"/>
          <w:noProof w:val="0"/>
          <w:sz w:val="32"/>
          <w:szCs w:val="32"/>
          <w:rtl/>
          <w:lang w:eastAsia="en-US"/>
        </w:rPr>
        <w:t>.......................</w:t>
      </w:r>
      <w:r w:rsidR="0023301F">
        <w:rPr>
          <w:rFonts w:ascii="Traditional Arabic" w:hAnsi="Traditional Arabic" w:hint="cs"/>
          <w:noProof w:val="0"/>
          <w:sz w:val="32"/>
          <w:szCs w:val="32"/>
          <w:rtl/>
          <w:lang w:eastAsia="en-US"/>
        </w:rPr>
        <w:t>...............................</w:t>
      </w:r>
      <w:r w:rsidR="003864B7">
        <w:rPr>
          <w:rFonts w:ascii="Traditional Arabic" w:hAnsi="Traditional Arabic" w:hint="cs"/>
          <w:noProof w:val="0"/>
          <w:sz w:val="32"/>
          <w:szCs w:val="32"/>
          <w:rtl/>
          <w:lang w:eastAsia="en-US"/>
        </w:rPr>
        <w:t>.</w:t>
      </w:r>
      <w:r w:rsidRPr="00C85F0F">
        <w:rPr>
          <w:rFonts w:ascii="Traditional Arabic" w:hAnsi="Traditional Arabic"/>
          <w:noProof w:val="0"/>
          <w:sz w:val="32"/>
          <w:szCs w:val="32"/>
          <w:rtl/>
          <w:lang w:eastAsia="en-US"/>
        </w:rPr>
        <w:t>.</w:t>
      </w:r>
      <w:r w:rsidRPr="0023301F">
        <w:rPr>
          <w:rFonts w:ascii="Traditional Arabic" w:hAnsi="Traditional Arabic" w:hint="cs"/>
          <w:noProof w:val="0"/>
          <w:rtl/>
          <w:lang w:eastAsia="en-US"/>
        </w:rPr>
        <w:t>438</w:t>
      </w:r>
    </w:p>
    <w:p w:rsidR="006E11B5" w:rsidRPr="00531753" w:rsidRDefault="006E11B5" w:rsidP="006E11B5">
      <w:pPr>
        <w:ind w:firstLine="0"/>
      </w:pPr>
      <w:r w:rsidRPr="00531753">
        <w:rPr>
          <w:rFonts w:hint="cs"/>
          <w:rtl/>
        </w:rPr>
        <w:t>الشرع مبنيٌّ على تحصيل المصالح ودرء المفاسد</w:t>
      </w:r>
      <w:r w:rsidR="003864B7">
        <w:rPr>
          <w:rFonts w:hint="cs"/>
          <w:rtl/>
        </w:rPr>
        <w:t>...........................................</w:t>
      </w:r>
      <w:r w:rsidRPr="00531753">
        <w:rPr>
          <w:rFonts w:hint="cs"/>
          <w:rtl/>
        </w:rPr>
        <w:t>.</w:t>
      </w:r>
      <w:r>
        <w:rPr>
          <w:rFonts w:hint="cs"/>
          <w:rtl/>
        </w:rPr>
        <w:t>96</w:t>
      </w:r>
    </w:p>
    <w:p w:rsidR="006E11B5" w:rsidRDefault="006E11B5" w:rsidP="006E11B5">
      <w:pPr>
        <w:ind w:firstLine="0"/>
        <w:rPr>
          <w:rtl/>
        </w:rPr>
      </w:pPr>
      <w:r w:rsidRPr="00531753">
        <w:rPr>
          <w:rFonts w:hint="cs"/>
          <w:rtl/>
        </w:rPr>
        <w:t>الشريعة إنما تأمر بما مصلحتُه خالصة أو راجحة</w:t>
      </w:r>
      <w:r>
        <w:rPr>
          <w:rFonts w:hint="cs"/>
          <w:rtl/>
        </w:rPr>
        <w:t>...........</w:t>
      </w:r>
      <w:r w:rsidR="003864B7">
        <w:rPr>
          <w:rFonts w:hint="cs"/>
          <w:rtl/>
        </w:rPr>
        <w:t>.............................</w:t>
      </w:r>
      <w:r w:rsidRPr="00531753">
        <w:rPr>
          <w:rFonts w:hint="cs"/>
          <w:rtl/>
        </w:rPr>
        <w:t>.</w:t>
      </w:r>
      <w:r w:rsidRPr="008D7E40">
        <w:rPr>
          <w:rFonts w:hint="cs"/>
          <w:rtl/>
        </w:rPr>
        <w:t xml:space="preserve"> </w:t>
      </w:r>
      <w:r>
        <w:rPr>
          <w:rFonts w:hint="cs"/>
          <w:rtl/>
        </w:rPr>
        <w:t>96</w:t>
      </w:r>
    </w:p>
    <w:p w:rsidR="006E11B5" w:rsidRPr="00C85F0F" w:rsidRDefault="006E11B5" w:rsidP="006E11B5">
      <w:pPr>
        <w:ind w:firstLine="0"/>
        <w:rPr>
          <w:rFonts w:ascii="Traditional Arabic" w:hAnsi="Traditional Arabic"/>
          <w:color w:val="auto"/>
        </w:rPr>
      </w:pPr>
      <w:r w:rsidRPr="00C85F0F">
        <w:rPr>
          <w:rFonts w:ascii="Traditional Arabic" w:hAnsi="Traditional Arabic"/>
          <w:rtl/>
        </w:rPr>
        <w:t>الشريعة تقطع كل شيء يكون سبباً للن</w:t>
      </w:r>
      <w:r w:rsidRPr="00C85F0F">
        <w:rPr>
          <w:rFonts w:ascii="Traditional Arabic" w:hAnsi="Traditional Arabic" w:hint="cs"/>
          <w:rtl/>
        </w:rPr>
        <w:t>ِّ</w:t>
      </w:r>
      <w:r w:rsidRPr="00C85F0F">
        <w:rPr>
          <w:rFonts w:ascii="Traditional Arabic" w:hAnsi="Traditional Arabic"/>
          <w:rtl/>
        </w:rPr>
        <w:t>زاع والبغضاء والف</w:t>
      </w:r>
      <w:r w:rsidRPr="00C85F0F">
        <w:rPr>
          <w:rFonts w:ascii="Traditional Arabic" w:hAnsi="Traditional Arabic" w:hint="cs"/>
          <w:rtl/>
        </w:rPr>
        <w:t>ُ</w:t>
      </w:r>
      <w:r w:rsidRPr="00C85F0F">
        <w:rPr>
          <w:rFonts w:ascii="Traditional Arabic" w:hAnsi="Traditional Arabic"/>
          <w:rtl/>
        </w:rPr>
        <w:t>رقة</w:t>
      </w:r>
      <w:r w:rsidR="003864B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438</w:t>
      </w:r>
    </w:p>
    <w:p w:rsidR="006E11B5" w:rsidRPr="00531753" w:rsidRDefault="006E11B5" w:rsidP="006E11B5">
      <w:pPr>
        <w:ind w:firstLine="0"/>
      </w:pPr>
      <w:r w:rsidRPr="00531753">
        <w:rPr>
          <w:rFonts w:hint="cs"/>
          <w:rtl/>
        </w:rPr>
        <w:t>الشريعة جاءت باستجلاب المصالح ودفع المفاسد.</w:t>
      </w:r>
      <w:r w:rsidR="003864B7">
        <w:rPr>
          <w:rFonts w:hint="cs"/>
          <w:rtl/>
        </w:rPr>
        <w:t>......................................</w:t>
      </w:r>
      <w:r w:rsidRPr="008D7E40">
        <w:rPr>
          <w:rFonts w:hint="cs"/>
          <w:rtl/>
        </w:rPr>
        <w:t xml:space="preserve"> </w:t>
      </w:r>
      <w:r>
        <w:rPr>
          <w:rFonts w:hint="cs"/>
          <w:rtl/>
        </w:rPr>
        <w:t>96</w:t>
      </w:r>
    </w:p>
    <w:p w:rsidR="006E11B5" w:rsidRPr="00531753" w:rsidRDefault="006E11B5" w:rsidP="006E11B5">
      <w:pPr>
        <w:pStyle w:val="a7"/>
        <w:jc w:val="lowKashida"/>
        <w:rPr>
          <w:rFonts w:ascii="Traditional Arabic" w:hAnsi="Traditional Arabic"/>
          <w:color w:val="auto"/>
          <w:sz w:val="36"/>
          <w:szCs w:val="36"/>
        </w:rPr>
      </w:pPr>
      <w:r w:rsidRPr="00531753">
        <w:rPr>
          <w:rFonts w:ascii="Traditional Arabic" w:hAnsi="Traditional Arabic" w:hint="cs"/>
          <w:color w:val="auto"/>
          <w:sz w:val="36"/>
          <w:szCs w:val="36"/>
          <w:rtl/>
        </w:rPr>
        <w:t>الشريعة جاءت بتحصيل المصالح وتكميلها، وتعطيل المفاسد وتقليلها بحسب الإمكان</w:t>
      </w:r>
      <w:r>
        <w:rPr>
          <w:rFonts w:ascii="Traditional Arabic" w:hAnsi="Traditional Arabic" w:hint="cs"/>
          <w:color w:val="auto"/>
          <w:sz w:val="36"/>
          <w:szCs w:val="36"/>
          <w:rtl/>
        </w:rPr>
        <w:t>..</w:t>
      </w:r>
      <w:r w:rsidR="003864B7">
        <w:rPr>
          <w:rFonts w:ascii="Traditional Arabic" w:hAnsi="Traditional Arabic" w:hint="cs"/>
          <w:color w:val="auto"/>
          <w:sz w:val="36"/>
          <w:szCs w:val="36"/>
          <w:rtl/>
        </w:rPr>
        <w:t>..</w:t>
      </w:r>
      <w:r w:rsidRPr="00531753">
        <w:rPr>
          <w:rFonts w:ascii="Traditional Arabic" w:hAnsi="Traditional Arabic" w:hint="cs"/>
          <w:color w:val="auto"/>
          <w:sz w:val="36"/>
          <w:szCs w:val="36"/>
          <w:rtl/>
        </w:rPr>
        <w:t>.</w:t>
      </w:r>
      <w:r>
        <w:rPr>
          <w:rFonts w:ascii="Traditional Arabic" w:hAnsi="Traditional Arabic" w:hint="cs"/>
          <w:color w:val="auto"/>
          <w:sz w:val="36"/>
          <w:szCs w:val="36"/>
          <w:rtl/>
        </w:rPr>
        <w:t>97</w:t>
      </w:r>
    </w:p>
    <w:p w:rsidR="006E11B5" w:rsidRDefault="006E11B5" w:rsidP="006E11B5">
      <w:pPr>
        <w:ind w:firstLine="0"/>
        <w:rPr>
          <w:rtl/>
        </w:rPr>
      </w:pPr>
      <w:r w:rsidRPr="00531753">
        <w:rPr>
          <w:rFonts w:hint="cs"/>
          <w:rtl/>
        </w:rPr>
        <w:t>الشريعة جاءت بتحقيق المصالح وإبطال المفاسد.</w:t>
      </w:r>
      <w:r>
        <w:rPr>
          <w:rFonts w:hint="cs"/>
          <w:rtl/>
        </w:rPr>
        <w:t>.</w:t>
      </w:r>
      <w:r w:rsidR="003864B7">
        <w:rPr>
          <w:rFonts w:hint="cs"/>
          <w:rtl/>
        </w:rPr>
        <w:t>......................................</w:t>
      </w:r>
      <w:r>
        <w:rPr>
          <w:rFonts w:hint="cs"/>
          <w:rtl/>
        </w:rPr>
        <w:t>..97</w:t>
      </w:r>
    </w:p>
    <w:p w:rsidR="006E11B5" w:rsidRDefault="006E11B5" w:rsidP="006E11B5">
      <w:pPr>
        <w:ind w:firstLine="0"/>
        <w:rPr>
          <w:rtl/>
        </w:rPr>
      </w:pPr>
      <w:r>
        <w:rPr>
          <w:rFonts w:hint="cs"/>
          <w:rtl/>
        </w:rPr>
        <w:t>الشريعة جاءت بتعطيل المفاسد أو تقليلها إذا لم يمكن تعطيلها</w:t>
      </w:r>
      <w:r w:rsidR="003864B7">
        <w:rPr>
          <w:rFonts w:hint="cs"/>
          <w:rtl/>
        </w:rPr>
        <w:t>.........................</w:t>
      </w:r>
      <w:r>
        <w:rPr>
          <w:rFonts w:hint="cs"/>
          <w:rtl/>
        </w:rPr>
        <w:t>...97</w:t>
      </w:r>
    </w:p>
    <w:p w:rsidR="006E11B5" w:rsidRPr="00531753" w:rsidRDefault="006E11B5" w:rsidP="006E11B5">
      <w:pPr>
        <w:ind w:firstLine="0"/>
      </w:pPr>
      <w:r w:rsidRPr="00531753">
        <w:rPr>
          <w:rFonts w:hint="cs"/>
          <w:rtl/>
        </w:rPr>
        <w:t>الشريعة مبنيَّة على جلب المصالح ودفع المضارّ</w:t>
      </w:r>
      <w:r w:rsidR="003864B7">
        <w:rPr>
          <w:rFonts w:hint="cs"/>
          <w:rtl/>
        </w:rPr>
        <w:t>.........................................</w:t>
      </w:r>
      <w:r w:rsidRPr="00531753">
        <w:rPr>
          <w:rFonts w:hint="cs"/>
          <w:rtl/>
        </w:rPr>
        <w:t>.</w:t>
      </w:r>
      <w:r w:rsidRPr="008D7E40">
        <w:rPr>
          <w:rFonts w:hint="cs"/>
          <w:rtl/>
        </w:rPr>
        <w:t xml:space="preserve"> </w:t>
      </w:r>
      <w:r>
        <w:rPr>
          <w:rFonts w:hint="cs"/>
          <w:rtl/>
        </w:rPr>
        <w:t>96</w:t>
      </w:r>
    </w:p>
    <w:p w:rsidR="006E11B5" w:rsidRDefault="006E11B5" w:rsidP="006E11B5">
      <w:pPr>
        <w:ind w:firstLine="0"/>
        <w:rPr>
          <w:rtl/>
        </w:rPr>
      </w:pPr>
      <w:r w:rsidRPr="00C85F0F">
        <w:rPr>
          <w:rFonts w:hint="cs"/>
          <w:rtl/>
        </w:rPr>
        <w:t>شَغْل المشغول لا يجوز بخلافِ شَغْل الفارغ</w:t>
      </w:r>
      <w:r w:rsidR="003864B7">
        <w:rPr>
          <w:rFonts w:hint="cs"/>
          <w:rtl/>
        </w:rPr>
        <w:t>............................................</w:t>
      </w:r>
      <w:r w:rsidRPr="00C85F0F">
        <w:rPr>
          <w:rFonts w:hint="cs"/>
          <w:rtl/>
        </w:rPr>
        <w:t>.</w:t>
      </w:r>
      <w:r>
        <w:rPr>
          <w:rFonts w:hint="cs"/>
          <w:rtl/>
        </w:rPr>
        <w:t>485</w:t>
      </w:r>
    </w:p>
    <w:p w:rsidR="006E11B5" w:rsidRDefault="006E11B5" w:rsidP="006E11B5">
      <w:pPr>
        <w:ind w:firstLine="0"/>
        <w:rPr>
          <w:rtl/>
        </w:rPr>
      </w:pPr>
      <w:r w:rsidRPr="00C85F0F">
        <w:rPr>
          <w:rFonts w:hint="cs"/>
          <w:rtl/>
        </w:rPr>
        <w:t>الشيءُ إذا لم يُقيَّد بالشرع أُحِيلَ على العُرف</w:t>
      </w:r>
      <w:r w:rsidR="003864B7">
        <w:rPr>
          <w:rFonts w:hint="cs"/>
          <w:rtl/>
        </w:rPr>
        <w:t>..........................................</w:t>
      </w:r>
      <w:r w:rsidRPr="00C85F0F">
        <w:rPr>
          <w:rFonts w:hint="cs"/>
          <w:rtl/>
        </w:rPr>
        <w:t>.</w:t>
      </w:r>
      <w:r>
        <w:rPr>
          <w:rFonts w:hint="cs"/>
          <w:rtl/>
        </w:rPr>
        <w:t>158</w:t>
      </w:r>
    </w:p>
    <w:p w:rsidR="006E11B5" w:rsidRDefault="006E11B5" w:rsidP="006E11B5">
      <w:pPr>
        <w:ind w:firstLine="0"/>
        <w:rPr>
          <w:rtl/>
        </w:rPr>
      </w:pPr>
      <w:r w:rsidRPr="00C85F0F">
        <w:rPr>
          <w:rFonts w:hint="cs"/>
          <w:rtl/>
        </w:rPr>
        <w:t>الشيءُ الذي أَوْجبه اللهُ مِن ب</w:t>
      </w:r>
      <w:r>
        <w:rPr>
          <w:rFonts w:hint="cs"/>
          <w:rtl/>
        </w:rPr>
        <w:t>اب الحقوق على الناس...</w:t>
      </w:r>
      <w:r w:rsidRPr="00C85F0F">
        <w:rPr>
          <w:rFonts w:hint="cs"/>
          <w:rtl/>
        </w:rPr>
        <w:t xml:space="preserve"> إذا أَسْقَطه مَن له الحقُّ سَقط</w:t>
      </w:r>
      <w:r w:rsidR="003864B7">
        <w:rPr>
          <w:rFonts w:hint="cs"/>
          <w:rtl/>
        </w:rPr>
        <w:t>......</w:t>
      </w:r>
      <w:r w:rsidRPr="00C85F0F">
        <w:rPr>
          <w:rFonts w:hint="cs"/>
          <w:rtl/>
        </w:rPr>
        <w:t>.</w:t>
      </w:r>
      <w:r>
        <w:rPr>
          <w:rFonts w:hint="cs"/>
          <w:rtl/>
        </w:rPr>
        <w:t>395</w:t>
      </w:r>
    </w:p>
    <w:p w:rsidR="006E11B5" w:rsidRPr="00031026" w:rsidRDefault="006E11B5" w:rsidP="006E11B5">
      <w:pPr>
        <w:ind w:firstLine="0"/>
        <w:jc w:val="left"/>
        <w:rPr>
          <w:rFonts w:ascii="Traditional Arabic" w:hAnsi="Traditional Arabic"/>
        </w:rPr>
      </w:pPr>
      <w:r>
        <w:rPr>
          <w:rFonts w:ascii="Traditional Arabic" w:hAnsi="Traditional Arabic" w:hint="cs"/>
          <w:rtl/>
        </w:rPr>
        <w:t>الضرر في الشريعة ا</w:t>
      </w:r>
      <w:r>
        <w:rPr>
          <w:rFonts w:ascii="Traditional Arabic" w:hAnsi="Traditional Arabic"/>
          <w:rtl/>
        </w:rPr>
        <w:t>ﻹ</w:t>
      </w:r>
      <w:r>
        <w:rPr>
          <w:rFonts w:ascii="Traditional Arabic" w:hAnsi="Traditional Arabic" w:hint="cs"/>
          <w:rtl/>
        </w:rPr>
        <w:t>سلامية مدفوع ومرفوع</w:t>
      </w:r>
      <w:r w:rsidR="003864B7">
        <w:rPr>
          <w:rFonts w:ascii="Traditional Arabic" w:hAnsi="Traditional Arabic" w:hint="cs"/>
          <w:rtl/>
        </w:rPr>
        <w:t>...........................................</w:t>
      </w:r>
      <w:r>
        <w:rPr>
          <w:rFonts w:ascii="Traditional Arabic" w:hAnsi="Traditional Arabic" w:hint="cs"/>
          <w:rtl/>
        </w:rPr>
        <w:t>.245</w:t>
      </w:r>
    </w:p>
    <w:p w:rsidR="006E11B5" w:rsidRDefault="006E11B5" w:rsidP="006E11B5">
      <w:pPr>
        <w:ind w:firstLine="0"/>
        <w:jc w:val="left"/>
        <w:rPr>
          <w:rFonts w:ascii="Traditional Arabic" w:hAnsi="Traditional Arabic"/>
          <w:noProof w:val="0"/>
          <w:color w:val="auto"/>
          <w:rtl/>
          <w:lang w:eastAsia="en-US"/>
        </w:rPr>
      </w:pPr>
      <w:r>
        <w:rPr>
          <w:rFonts w:ascii="Traditional Arabic" w:hAnsi="Traditional Arabic" w:hint="cs"/>
          <w:rtl/>
        </w:rPr>
        <w:t>الضرر م</w:t>
      </w:r>
      <w:r>
        <w:rPr>
          <w:rFonts w:ascii="Traditional Arabic" w:hAnsi="Traditional Arabic"/>
          <w:rtl/>
        </w:rPr>
        <w:t>ُ</w:t>
      </w:r>
      <w:r>
        <w:rPr>
          <w:rFonts w:ascii="Traditional Arabic" w:hAnsi="Traditional Arabic" w:hint="cs"/>
          <w:rtl/>
        </w:rPr>
        <w:t>زال</w:t>
      </w:r>
      <w:r w:rsidR="003864B7">
        <w:rPr>
          <w:rFonts w:ascii="Traditional Arabic" w:hAnsi="Traditional Arabic" w:hint="cs"/>
          <w:rtl/>
        </w:rPr>
        <w:t>.......................................................................</w:t>
      </w:r>
      <w:r>
        <w:rPr>
          <w:rFonts w:ascii="Traditional Arabic" w:hAnsi="Traditional Arabic" w:hint="cs"/>
          <w:rtl/>
        </w:rPr>
        <w:t>.245</w:t>
      </w:r>
    </w:p>
    <w:p w:rsidR="006E11B5" w:rsidRDefault="006E11B5" w:rsidP="006E11B5">
      <w:pPr>
        <w:ind w:firstLine="0"/>
        <w:jc w:val="left"/>
      </w:pPr>
      <w:r>
        <w:rPr>
          <w:rFonts w:hint="cs"/>
          <w:rtl/>
        </w:rPr>
        <w:t>الضرر ممنوع شرع</w:t>
      </w:r>
      <w:r>
        <w:rPr>
          <w:rFonts w:ascii="Traditional Arabic" w:hAnsi="Traditional Arabic"/>
          <w:rtl/>
        </w:rPr>
        <w:t>ً</w:t>
      </w:r>
      <w:r>
        <w:rPr>
          <w:rFonts w:hint="cs"/>
          <w:rtl/>
        </w:rPr>
        <w:t>ا</w:t>
      </w:r>
      <w:r w:rsidR="003864B7">
        <w:rPr>
          <w:rFonts w:hint="cs"/>
          <w:rtl/>
        </w:rPr>
        <w:t>.................................................................</w:t>
      </w:r>
      <w:r>
        <w:rPr>
          <w:rFonts w:hint="cs"/>
          <w:rtl/>
        </w:rPr>
        <w:t>.245</w:t>
      </w:r>
    </w:p>
    <w:p w:rsidR="006E11B5" w:rsidRDefault="006E11B5" w:rsidP="006E11B5">
      <w:pPr>
        <w:ind w:firstLine="0"/>
        <w:jc w:val="left"/>
      </w:pPr>
      <w:r>
        <w:rPr>
          <w:rFonts w:hint="cs"/>
          <w:rtl/>
        </w:rPr>
        <w:t>الضرر م</w:t>
      </w:r>
      <w:r>
        <w:rPr>
          <w:rFonts w:ascii="Traditional Arabic" w:hAnsi="Traditional Arabic"/>
          <w:rtl/>
        </w:rPr>
        <w:t>ُ</w:t>
      </w:r>
      <w:r>
        <w:rPr>
          <w:rFonts w:hint="cs"/>
          <w:rtl/>
        </w:rPr>
        <w:t>ن</w:t>
      </w:r>
      <w:r>
        <w:rPr>
          <w:rFonts w:ascii="Traditional Arabic" w:hAnsi="Traditional Arabic"/>
          <w:rtl/>
        </w:rPr>
        <w:t>ْ</w:t>
      </w:r>
      <w:r>
        <w:rPr>
          <w:rFonts w:hint="cs"/>
          <w:rtl/>
        </w:rPr>
        <w:t>ت</w:t>
      </w:r>
      <w:r>
        <w:rPr>
          <w:rFonts w:ascii="Traditional Arabic" w:hAnsi="Traditional Arabic"/>
          <w:rtl/>
        </w:rPr>
        <w:t>َ</w:t>
      </w:r>
      <w:r>
        <w:rPr>
          <w:rFonts w:hint="cs"/>
          <w:rtl/>
        </w:rPr>
        <w:t>ف</w:t>
      </w:r>
      <w:r>
        <w:rPr>
          <w:rFonts w:ascii="Traditional Arabic" w:hAnsi="Traditional Arabic"/>
          <w:rtl/>
        </w:rPr>
        <w:t>ٍ</w:t>
      </w:r>
      <w:r>
        <w:rPr>
          <w:rFonts w:hint="cs"/>
          <w:rtl/>
        </w:rPr>
        <w:t xml:space="preserve"> شرع</w:t>
      </w:r>
      <w:r>
        <w:rPr>
          <w:rFonts w:ascii="Traditional Arabic" w:hAnsi="Traditional Arabic"/>
          <w:rtl/>
        </w:rPr>
        <w:t>ً</w:t>
      </w:r>
      <w:r>
        <w:rPr>
          <w:rFonts w:hint="cs"/>
          <w:rtl/>
        </w:rPr>
        <w:t>ا</w:t>
      </w:r>
      <w:r w:rsidR="003864B7">
        <w:rPr>
          <w:rFonts w:hint="cs"/>
          <w:rtl/>
        </w:rPr>
        <w:t>................................................................</w:t>
      </w:r>
      <w:r>
        <w:rPr>
          <w:rFonts w:hint="cs"/>
          <w:rtl/>
        </w:rPr>
        <w:t>.245</w:t>
      </w:r>
    </w:p>
    <w:p w:rsidR="006E11B5" w:rsidRDefault="006E11B5" w:rsidP="006E11B5">
      <w:pPr>
        <w:ind w:firstLine="0"/>
        <w:jc w:val="left"/>
        <w:rPr>
          <w:rFonts w:ascii="Traditional Arabic" w:hAnsi="Traditional Arabic"/>
          <w:rtl/>
        </w:rPr>
      </w:pPr>
      <w:r>
        <w:rPr>
          <w:rFonts w:ascii="Traditional Arabic" w:hAnsi="Traditional Arabic" w:hint="cs"/>
          <w:rtl/>
        </w:rPr>
        <w:t>الضرر ي</w:t>
      </w:r>
      <w:r>
        <w:rPr>
          <w:rFonts w:ascii="Traditional Arabic" w:hAnsi="Traditional Arabic"/>
          <w:rtl/>
        </w:rPr>
        <w:t>ُ</w:t>
      </w:r>
      <w:r>
        <w:rPr>
          <w:rFonts w:ascii="Traditional Arabic" w:hAnsi="Traditional Arabic" w:hint="cs"/>
          <w:rtl/>
        </w:rPr>
        <w:t>زال</w:t>
      </w:r>
      <w:r w:rsidR="003864B7">
        <w:rPr>
          <w:rFonts w:ascii="Traditional Arabic" w:hAnsi="Traditional Arabic" w:hint="cs"/>
          <w:rtl/>
        </w:rPr>
        <w:t>........................................................................</w:t>
      </w:r>
      <w:r>
        <w:rPr>
          <w:rFonts w:ascii="Traditional Arabic" w:hAnsi="Traditional Arabic" w:hint="cs"/>
          <w:rtl/>
        </w:rPr>
        <w:t>.245</w:t>
      </w:r>
    </w:p>
    <w:p w:rsidR="006E11B5" w:rsidRDefault="006E11B5" w:rsidP="006E11B5">
      <w:pPr>
        <w:ind w:firstLine="0"/>
        <w:rPr>
          <w:rFonts w:ascii="Traditional Arabic" w:hAnsi="Traditional Arabic"/>
          <w:noProof w:val="0"/>
          <w:rtl/>
          <w:lang w:eastAsia="en-US"/>
        </w:rPr>
      </w:pPr>
      <w:r w:rsidRPr="00C85F0F">
        <w:rPr>
          <w:rFonts w:hint="cs"/>
          <w:rtl/>
        </w:rPr>
        <w:t>الظاهر إذا قَوِي غُلِّب على الأصل</w:t>
      </w:r>
      <w:r w:rsidR="003864B7">
        <w:rPr>
          <w:rFonts w:hint="cs"/>
          <w:rtl/>
        </w:rPr>
        <w:t>...................................................</w:t>
      </w:r>
      <w:r w:rsidRPr="00C85F0F">
        <w:rPr>
          <w:rFonts w:hint="cs"/>
          <w:rtl/>
        </w:rPr>
        <w:t>.</w:t>
      </w:r>
      <w:r>
        <w:rPr>
          <w:rFonts w:ascii="Traditional Arabic" w:hAnsi="Traditional Arabic" w:hint="cs"/>
          <w:noProof w:val="0"/>
          <w:rtl/>
          <w:lang w:eastAsia="en-US"/>
        </w:rPr>
        <w:t>129</w:t>
      </w:r>
    </w:p>
    <w:p w:rsidR="006E11B5" w:rsidRPr="00C85F0F" w:rsidRDefault="006E11B5" w:rsidP="006E11B5">
      <w:pPr>
        <w:ind w:firstLine="0"/>
      </w:pPr>
      <w:r w:rsidRPr="00C85F0F">
        <w:rPr>
          <w:rFonts w:hint="cs"/>
          <w:rtl/>
        </w:rPr>
        <w:t>العادة المطَّرِدَة في ناحيةٍ هل تنزَّل عادتُهم منزلةَ الشرْط؟</w:t>
      </w:r>
      <w:r w:rsidR="003864B7">
        <w:rPr>
          <w:rFonts w:hint="cs"/>
          <w:rtl/>
        </w:rPr>
        <w:t>.................................</w:t>
      </w:r>
      <w:r w:rsidRPr="00C85F0F">
        <w:rPr>
          <w:rFonts w:hint="cs"/>
          <w:rtl/>
        </w:rPr>
        <w:t>.</w:t>
      </w:r>
      <w:r>
        <w:rPr>
          <w:rFonts w:hint="cs"/>
          <w:rtl/>
        </w:rPr>
        <w:t>149</w:t>
      </w:r>
    </w:p>
    <w:p w:rsidR="006E11B5" w:rsidRPr="00C85F0F" w:rsidRDefault="006E11B5" w:rsidP="006E11B5">
      <w:pPr>
        <w:ind w:firstLine="0"/>
        <w:rPr>
          <w:rStyle w:val="af1"/>
          <w:vertAlign w:val="baseline"/>
        </w:rPr>
      </w:pPr>
      <w:r w:rsidRPr="00C85F0F">
        <w:rPr>
          <w:rFonts w:hint="cs"/>
          <w:rtl/>
        </w:rPr>
        <w:lastRenderedPageBreak/>
        <w:t>العادة المطَّرِدَة هل تنزَّل مَنزِلةَ الشرْط؟</w:t>
      </w:r>
      <w:r w:rsidR="003864B7">
        <w:rPr>
          <w:rFonts w:hint="cs"/>
          <w:rtl/>
        </w:rPr>
        <w:t>..................................................</w:t>
      </w:r>
      <w:r>
        <w:rPr>
          <w:rFonts w:hint="cs"/>
          <w:rtl/>
        </w:rPr>
        <w:t>149</w:t>
      </w:r>
    </w:p>
    <w:p w:rsidR="006E11B5" w:rsidRPr="00C85F0F" w:rsidRDefault="006E11B5" w:rsidP="006E11B5">
      <w:pPr>
        <w:ind w:firstLine="0"/>
        <w:rPr>
          <w:rStyle w:val="af1"/>
          <w:vertAlign w:val="baseline"/>
        </w:rPr>
      </w:pPr>
      <w:r w:rsidRPr="00C85F0F">
        <w:rPr>
          <w:rFonts w:hint="cs"/>
          <w:rtl/>
        </w:rPr>
        <w:t>العادة عند مالِك كالشرْط تقيِّد المطلَق وتخصِّص العام</w:t>
      </w:r>
      <w:r w:rsidR="003864B7">
        <w:rPr>
          <w:rFonts w:hint="cs"/>
          <w:rtl/>
        </w:rPr>
        <w:t>..................................</w:t>
      </w:r>
      <w:r w:rsidRPr="00C85F0F">
        <w:rPr>
          <w:rFonts w:hint="cs"/>
          <w:rtl/>
        </w:rPr>
        <w:t>.</w:t>
      </w:r>
      <w:r>
        <w:rPr>
          <w:rFonts w:hint="cs"/>
          <w:rtl/>
        </w:rPr>
        <w:t>149</w:t>
      </w:r>
    </w:p>
    <w:p w:rsidR="006E11B5" w:rsidRPr="00C85F0F" w:rsidRDefault="006E11B5" w:rsidP="006E11B5">
      <w:pPr>
        <w:ind w:firstLine="0"/>
        <w:rPr>
          <w:rFonts w:ascii="Traditional Arabic" w:hAnsi="Traditional Arabic"/>
        </w:rPr>
      </w:pPr>
      <w:r w:rsidRPr="00C85F0F">
        <w:rPr>
          <w:rFonts w:ascii="Traditional Arabic" w:hAnsi="Traditional Arabic" w:hint="cs"/>
          <w:rtl/>
        </w:rPr>
        <w:t>العبرة بالأعمِّ الأكثر، والنادر لا حكم له</w:t>
      </w:r>
      <w:r w:rsidR="003864B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321</w:t>
      </w:r>
    </w:p>
    <w:p w:rsidR="006E11B5" w:rsidRPr="00C85F0F" w:rsidRDefault="006E11B5" w:rsidP="006E11B5">
      <w:pPr>
        <w:ind w:firstLine="0"/>
        <w:rPr>
          <w:rFonts w:ascii="Traditional Arabic" w:hAnsi="Traditional Arabic"/>
        </w:rPr>
      </w:pPr>
      <w:r w:rsidRPr="00C85F0F">
        <w:rPr>
          <w:rFonts w:ascii="Traditional Arabic" w:hAnsi="Traditional Arabic" w:hint="cs"/>
          <w:rtl/>
        </w:rPr>
        <w:t>العبرة بالأغلب والنادر لا حكم له</w:t>
      </w:r>
      <w:r w:rsidR="003864B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321</w:t>
      </w:r>
    </w:p>
    <w:p w:rsidR="006E11B5" w:rsidRPr="00A71F5D" w:rsidRDefault="006E11B5" w:rsidP="006E11B5">
      <w:pPr>
        <w:pStyle w:val="a7"/>
        <w:spacing w:line="440" w:lineRule="exact"/>
        <w:jc w:val="lowKashida"/>
        <w:rPr>
          <w:rFonts w:ascii="Traditional Arabic" w:hAnsi="Traditional Arabic"/>
          <w:color w:val="auto"/>
          <w:sz w:val="36"/>
          <w:szCs w:val="36"/>
          <w:rtl/>
        </w:rPr>
      </w:pPr>
      <w:r w:rsidRPr="00A71F5D">
        <w:rPr>
          <w:rFonts w:ascii="Traditional Arabic" w:hAnsi="Traditional Arabic" w:hint="cs"/>
          <w:color w:val="auto"/>
          <w:sz w:val="36"/>
          <w:szCs w:val="36"/>
          <w:rtl/>
        </w:rPr>
        <w:t>العبرة بالغالب والنادر لا حكم له.</w:t>
      </w:r>
      <w:r w:rsidR="003864B7">
        <w:rPr>
          <w:rFonts w:ascii="Traditional Arabic" w:hAnsi="Traditional Arabic" w:hint="cs"/>
          <w:color w:val="auto"/>
          <w:sz w:val="36"/>
          <w:szCs w:val="36"/>
          <w:rtl/>
        </w:rPr>
        <w:t>.................................................</w:t>
      </w:r>
      <w:r w:rsidRPr="00345E2B">
        <w:rPr>
          <w:rFonts w:ascii="Traditional Arabic" w:hAnsi="Traditional Arabic" w:hint="cs"/>
          <w:color w:val="auto"/>
          <w:sz w:val="36"/>
          <w:szCs w:val="36"/>
          <w:rtl/>
        </w:rPr>
        <w:t xml:space="preserve"> 322</w:t>
      </w:r>
    </w:p>
    <w:p w:rsidR="006E11B5" w:rsidRPr="00345E2B" w:rsidRDefault="006E11B5" w:rsidP="006E11B5">
      <w:pPr>
        <w:pStyle w:val="a7"/>
        <w:spacing w:line="440" w:lineRule="exact"/>
        <w:jc w:val="lowKashida"/>
        <w:rPr>
          <w:rFonts w:ascii="Traditional Arabic" w:hAnsi="Traditional Arabic"/>
          <w:color w:val="auto"/>
          <w:sz w:val="36"/>
          <w:szCs w:val="36"/>
          <w:rtl/>
        </w:rPr>
      </w:pPr>
      <w:r w:rsidRPr="00345E2B">
        <w:rPr>
          <w:rFonts w:ascii="Traditional Arabic" w:hAnsi="Traditional Arabic" w:hint="cs"/>
          <w:color w:val="auto"/>
          <w:sz w:val="36"/>
          <w:szCs w:val="36"/>
          <w:rtl/>
        </w:rPr>
        <w:t>العبرة بالغالب ولا عبرة بالنادر</w:t>
      </w:r>
      <w:r w:rsidR="003864B7">
        <w:rPr>
          <w:rFonts w:ascii="Traditional Arabic" w:hAnsi="Traditional Arabic" w:hint="cs"/>
          <w:color w:val="auto"/>
          <w:sz w:val="36"/>
          <w:szCs w:val="36"/>
          <w:rtl/>
        </w:rPr>
        <w:t>.....................................................</w:t>
      </w:r>
      <w:r w:rsidRPr="00345E2B">
        <w:rPr>
          <w:rFonts w:ascii="Traditional Arabic" w:hAnsi="Traditional Arabic" w:hint="cs"/>
          <w:color w:val="auto"/>
          <w:sz w:val="36"/>
          <w:szCs w:val="36"/>
          <w:rtl/>
        </w:rPr>
        <w:t>.</w:t>
      </w:r>
      <w:r>
        <w:rPr>
          <w:rFonts w:ascii="Traditional Arabic" w:hAnsi="Traditional Arabic" w:hint="cs"/>
          <w:color w:val="auto"/>
          <w:sz w:val="36"/>
          <w:szCs w:val="36"/>
          <w:rtl/>
        </w:rPr>
        <w:t>323</w:t>
      </w:r>
    </w:p>
    <w:p w:rsidR="006E11B5" w:rsidRPr="00C85F0F" w:rsidRDefault="006E11B5" w:rsidP="006E11B5">
      <w:pPr>
        <w:ind w:firstLine="0"/>
        <w:rPr>
          <w:color w:val="auto"/>
        </w:rPr>
      </w:pPr>
      <w:r w:rsidRPr="00C85F0F">
        <w:rPr>
          <w:rFonts w:ascii="Traditional Arabic" w:hAnsi="Traditional Arabic" w:hint="cs"/>
          <w:noProof w:val="0"/>
          <w:color w:val="auto"/>
          <w:rtl/>
          <w:lang w:eastAsia="en-US"/>
        </w:rPr>
        <w:t>العبرة بالمعاملات بما في نفس الأمر</w:t>
      </w:r>
      <w:r w:rsidR="003864B7">
        <w:rPr>
          <w:rFonts w:ascii="Traditional Arabic" w:hAnsi="Traditional Arabic" w:hint="cs"/>
          <w:rtl/>
          <w:lang w:eastAsia="en-US"/>
        </w:rPr>
        <w:t>..................................................</w:t>
      </w:r>
      <w:r w:rsidRPr="00C85F0F">
        <w:rPr>
          <w:rFonts w:ascii="Traditional Arabic" w:hAnsi="Traditional Arabic" w:hint="cs"/>
          <w:rtl/>
          <w:lang w:eastAsia="en-US"/>
        </w:rPr>
        <w:t>.</w:t>
      </w:r>
      <w:r>
        <w:rPr>
          <w:rFonts w:hint="cs"/>
          <w:color w:val="auto"/>
          <w:rtl/>
        </w:rPr>
        <w:t>308</w:t>
      </w:r>
    </w:p>
    <w:p w:rsidR="006E11B5" w:rsidRPr="00C85F0F" w:rsidRDefault="006E11B5" w:rsidP="006E11B5">
      <w:pPr>
        <w:ind w:firstLine="0"/>
        <w:rPr>
          <w:color w:val="auto"/>
        </w:rPr>
      </w:pPr>
      <w:r w:rsidRPr="00C85F0F">
        <w:rPr>
          <w:rFonts w:ascii="Traditional Arabic" w:hAnsi="Traditional Arabic" w:hint="cs"/>
          <w:noProof w:val="0"/>
          <w:color w:val="auto"/>
          <w:rtl/>
          <w:lang w:eastAsia="en-US"/>
        </w:rPr>
        <w:t>العبرة بالمعاملات لِما في نفس</w:t>
      </w:r>
      <w:r w:rsidRPr="00C85F0F">
        <w:rPr>
          <w:rFonts w:hint="cs"/>
          <w:color w:val="auto"/>
          <w:rtl/>
        </w:rPr>
        <w:t xml:space="preserve"> الأمر، لا لِما في ظنِّ المكلف</w:t>
      </w:r>
      <w:r w:rsidR="003864B7">
        <w:rPr>
          <w:rFonts w:hint="cs"/>
          <w:color w:val="auto"/>
          <w:rtl/>
        </w:rPr>
        <w:t>............................</w:t>
      </w:r>
      <w:r w:rsidRPr="00C85F0F">
        <w:rPr>
          <w:rFonts w:hint="cs"/>
          <w:color w:val="auto"/>
          <w:rtl/>
        </w:rPr>
        <w:t>.</w:t>
      </w:r>
      <w:r>
        <w:rPr>
          <w:rFonts w:hint="cs"/>
          <w:color w:val="auto"/>
          <w:rtl/>
        </w:rPr>
        <w:t>308</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العبرة بالمعاني لا بالألفاظ</w:t>
      </w:r>
      <w:r w:rsidR="003864B7">
        <w:rPr>
          <w:rFonts w:hint="cs"/>
          <w:color w:val="auto"/>
          <w:rtl/>
        </w:rPr>
        <w:t>...........................................................</w:t>
      </w:r>
      <w:r w:rsidRPr="00C85F0F">
        <w:rPr>
          <w:rFonts w:hint="cs"/>
          <w:color w:val="auto"/>
          <w:rtl/>
        </w:rPr>
        <w:t>.</w:t>
      </w:r>
      <w:r>
        <w:rPr>
          <w:rFonts w:hint="cs"/>
          <w:color w:val="auto"/>
          <w:rtl/>
        </w:rPr>
        <w:t>209</w:t>
      </w:r>
    </w:p>
    <w:p w:rsidR="006E11B5" w:rsidRDefault="006E11B5" w:rsidP="006E11B5">
      <w:pPr>
        <w:ind w:firstLine="0"/>
        <w:rPr>
          <w:rFonts w:ascii="Traditional Arabic" w:hAnsi="Traditional Arabic"/>
          <w:rtl/>
        </w:rPr>
      </w:pPr>
      <w:r w:rsidRPr="00865918">
        <w:rPr>
          <w:rFonts w:ascii="Traditional Arabic" w:hAnsi="Traditional Arabic" w:hint="cs"/>
          <w:rtl/>
        </w:rPr>
        <w:t>العبرة في الأفعال بالمقاصد</w:t>
      </w:r>
      <w:r w:rsidR="003864B7">
        <w:rPr>
          <w:rFonts w:ascii="Traditional Arabic" w:hAnsi="Traditional Arabic" w:hint="cs"/>
          <w:rtl/>
        </w:rPr>
        <w:t>..........................................................</w:t>
      </w:r>
      <w:r w:rsidRPr="00865918">
        <w:rPr>
          <w:rFonts w:ascii="Traditional Arabic" w:hAnsi="Traditional Arabic" w:hint="cs"/>
          <w:rtl/>
        </w:rPr>
        <w:t>.</w:t>
      </w:r>
      <w:r>
        <w:rPr>
          <w:rFonts w:ascii="Traditional Arabic" w:hAnsi="Traditional Arabic" w:hint="cs"/>
          <w:rtl/>
        </w:rPr>
        <w:t>199</w:t>
      </w:r>
    </w:p>
    <w:p w:rsidR="006E11B5" w:rsidRPr="00C85F0F" w:rsidRDefault="006E11B5" w:rsidP="006E11B5">
      <w:pPr>
        <w:ind w:firstLine="0"/>
      </w:pPr>
      <w:r w:rsidRPr="00C85F0F">
        <w:rPr>
          <w:rFonts w:hint="cs"/>
          <w:rtl/>
        </w:rPr>
        <w:t>العِبْرَة في الألفاظ بمعانيها</w:t>
      </w:r>
      <w:r w:rsidR="003864B7">
        <w:rPr>
          <w:rFonts w:hint="cs"/>
          <w:rtl/>
        </w:rPr>
        <w:t>...........................................................</w:t>
      </w:r>
      <w:r w:rsidRPr="00C85F0F">
        <w:rPr>
          <w:rFonts w:hint="cs"/>
          <w:rtl/>
        </w:rPr>
        <w:t>.</w:t>
      </w:r>
      <w:r>
        <w:rPr>
          <w:rFonts w:hint="cs"/>
          <w:rtl/>
        </w:rPr>
        <w:t>209</w:t>
      </w:r>
    </w:p>
    <w:p w:rsidR="006E11B5" w:rsidRDefault="006E11B5" w:rsidP="006E11B5">
      <w:pPr>
        <w:ind w:firstLine="0"/>
        <w:rPr>
          <w:color w:val="auto"/>
          <w:rtl/>
        </w:rPr>
      </w:pPr>
      <w:r w:rsidRPr="00C85F0F">
        <w:rPr>
          <w:rFonts w:hint="cs"/>
          <w:color w:val="auto"/>
          <w:rtl/>
        </w:rPr>
        <w:t>العبرة في الأمور بمعانيها لا بصورها</w:t>
      </w:r>
      <w:r w:rsidR="003864B7">
        <w:rPr>
          <w:rFonts w:hint="cs"/>
          <w:color w:val="auto"/>
          <w:rtl/>
        </w:rPr>
        <w:t>...................................................</w:t>
      </w:r>
      <w:r w:rsidRPr="00C85F0F">
        <w:rPr>
          <w:rFonts w:hint="cs"/>
          <w:color w:val="auto"/>
          <w:rtl/>
        </w:rPr>
        <w:t>.</w:t>
      </w:r>
      <w:r>
        <w:rPr>
          <w:rFonts w:hint="cs"/>
          <w:color w:val="auto"/>
          <w:rtl/>
        </w:rPr>
        <w:t>209</w:t>
      </w:r>
    </w:p>
    <w:p w:rsidR="006E11B5" w:rsidRDefault="006E11B5" w:rsidP="006E11B5">
      <w:pPr>
        <w:ind w:firstLine="0"/>
        <w:rPr>
          <w:rFonts w:ascii="Traditional Arabic" w:hAnsi="Traditional Arabic"/>
          <w:rtl/>
        </w:rPr>
      </w:pPr>
      <w:r w:rsidRPr="00865918">
        <w:rPr>
          <w:rFonts w:ascii="Traditional Arabic" w:hAnsi="Traditional Arabic" w:hint="cs"/>
          <w:rtl/>
        </w:rPr>
        <w:t>العبرة في الأمور بمقاصدها</w:t>
      </w:r>
      <w:r w:rsidR="003864B7">
        <w:rPr>
          <w:rFonts w:ascii="Traditional Arabic" w:hAnsi="Traditional Arabic" w:hint="cs"/>
          <w:rtl/>
        </w:rPr>
        <w:t>...........................................................</w:t>
      </w:r>
      <w:r w:rsidRPr="00865918">
        <w:rPr>
          <w:rFonts w:ascii="Traditional Arabic" w:hAnsi="Traditional Arabic" w:hint="cs"/>
          <w:rtl/>
        </w:rPr>
        <w:t>.</w:t>
      </w:r>
      <w:r>
        <w:rPr>
          <w:rFonts w:ascii="Traditional Arabic" w:hAnsi="Traditional Arabic" w:hint="cs"/>
          <w:rtl/>
        </w:rPr>
        <w:t>200</w:t>
      </w:r>
    </w:p>
    <w:p w:rsidR="006E11B5" w:rsidRPr="00C85F0F" w:rsidRDefault="006E11B5" w:rsidP="006E11B5">
      <w:pPr>
        <w:ind w:firstLine="0"/>
        <w:rPr>
          <w:color w:val="auto"/>
        </w:rPr>
      </w:pPr>
      <w:r w:rsidRPr="00C85F0F">
        <w:rPr>
          <w:rFonts w:hint="cs"/>
          <w:color w:val="auto"/>
          <w:rtl/>
        </w:rPr>
        <w:t>العبرة في العقود بمعانيها لا بِصوَرها</w:t>
      </w:r>
      <w:r w:rsidR="003864B7">
        <w:rPr>
          <w:rFonts w:hint="cs"/>
          <w:color w:val="auto"/>
          <w:rtl/>
        </w:rPr>
        <w:t>...................................................</w:t>
      </w:r>
      <w:r w:rsidRPr="00C85F0F">
        <w:rPr>
          <w:rFonts w:hint="cs"/>
          <w:color w:val="auto"/>
          <w:rtl/>
        </w:rPr>
        <w:t>.</w:t>
      </w:r>
      <w:r>
        <w:rPr>
          <w:rFonts w:hint="cs"/>
          <w:color w:val="auto"/>
          <w:rtl/>
        </w:rPr>
        <w:t>209</w:t>
      </w:r>
    </w:p>
    <w:p w:rsidR="006E11B5" w:rsidRPr="00C85F0F" w:rsidRDefault="006E11B5" w:rsidP="006E11B5">
      <w:pPr>
        <w:ind w:firstLine="0"/>
        <w:rPr>
          <w:color w:val="auto"/>
        </w:rPr>
      </w:pPr>
      <w:r w:rsidRPr="00C85F0F">
        <w:rPr>
          <w:rFonts w:hint="cs"/>
          <w:color w:val="auto"/>
          <w:rtl/>
        </w:rPr>
        <w:t>العبرة في العقود للمقاصد والمعاني لا للألفاظ والمباني</w:t>
      </w:r>
      <w:r w:rsidR="003864B7">
        <w:rPr>
          <w:rFonts w:hint="cs"/>
          <w:color w:val="auto"/>
          <w:rtl/>
        </w:rPr>
        <w:t>...................................</w:t>
      </w:r>
      <w:r w:rsidRPr="00C85F0F">
        <w:rPr>
          <w:rFonts w:hint="cs"/>
          <w:color w:val="auto"/>
          <w:rtl/>
        </w:rPr>
        <w:t>.</w:t>
      </w:r>
      <w:r>
        <w:rPr>
          <w:rFonts w:hint="cs"/>
          <w:color w:val="auto"/>
          <w:rtl/>
        </w:rPr>
        <w:t>210</w:t>
      </w:r>
    </w:p>
    <w:p w:rsidR="006E11B5" w:rsidRDefault="006E11B5" w:rsidP="006E11B5">
      <w:pPr>
        <w:ind w:firstLine="0"/>
        <w:rPr>
          <w:rFonts w:ascii="Traditional Arabic" w:hAnsi="Traditional Arabic"/>
          <w:noProof w:val="0"/>
          <w:rtl/>
          <w:lang w:eastAsia="en-US"/>
        </w:rPr>
      </w:pPr>
      <w:r w:rsidRPr="00C85F0F">
        <w:rPr>
          <w:rFonts w:hint="cs"/>
          <w:rtl/>
        </w:rPr>
        <w:t>العبرة في المعاملات بما في نفس الأمر</w:t>
      </w:r>
      <w:r w:rsidR="003864B7">
        <w:rPr>
          <w:rFonts w:hint="cs"/>
          <w:rtl/>
        </w:rPr>
        <w:t>.................................................</w:t>
      </w:r>
      <w:r w:rsidRPr="00C85F0F">
        <w:rPr>
          <w:rFonts w:hint="cs"/>
          <w:rtl/>
        </w:rPr>
        <w:t>.</w:t>
      </w:r>
      <w:r>
        <w:rPr>
          <w:rFonts w:ascii="Traditional Arabic" w:hAnsi="Traditional Arabic" w:hint="cs"/>
          <w:noProof w:val="0"/>
          <w:rtl/>
          <w:lang w:eastAsia="en-US"/>
        </w:rPr>
        <w:t>307</w:t>
      </w:r>
    </w:p>
    <w:p w:rsidR="006E11B5" w:rsidRPr="00C85F0F" w:rsidRDefault="006E11B5" w:rsidP="006E11B5">
      <w:pPr>
        <w:ind w:firstLine="0"/>
      </w:pPr>
      <w:r w:rsidRPr="00C85F0F">
        <w:rPr>
          <w:rFonts w:hint="cs"/>
          <w:rtl/>
        </w:rPr>
        <w:t>العبرة في المعاملات غالباً بما في نفس الأمر</w:t>
      </w:r>
      <w:r w:rsidR="003864B7">
        <w:rPr>
          <w:rFonts w:hint="cs"/>
          <w:rtl/>
        </w:rPr>
        <w:t>............................................</w:t>
      </w:r>
      <w:r w:rsidRPr="00C85F0F">
        <w:rPr>
          <w:rFonts w:hint="cs"/>
          <w:rtl/>
        </w:rPr>
        <w:t>.</w:t>
      </w:r>
      <w:r>
        <w:rPr>
          <w:rFonts w:hint="cs"/>
          <w:rtl/>
        </w:rPr>
        <w:t>307</w:t>
      </w:r>
    </w:p>
    <w:p w:rsidR="006E11B5" w:rsidRDefault="006E11B5" w:rsidP="006E11B5">
      <w:pPr>
        <w:pStyle w:val="a7"/>
        <w:spacing w:line="440" w:lineRule="exact"/>
        <w:jc w:val="lowKashida"/>
        <w:rPr>
          <w:rFonts w:ascii="Traditional Arabic" w:hAnsi="Traditional Arabic"/>
          <w:color w:val="auto"/>
          <w:rtl/>
        </w:rPr>
      </w:pPr>
      <w:r w:rsidRPr="00A71F5D">
        <w:rPr>
          <w:rFonts w:ascii="Traditional Arabic" w:hAnsi="Traditional Arabic" w:hint="cs"/>
          <w:color w:val="auto"/>
          <w:sz w:val="36"/>
          <w:szCs w:val="36"/>
          <w:rtl/>
        </w:rPr>
        <w:t>العبرة للغالب الشائع لا للنادر.</w:t>
      </w:r>
      <w:r w:rsidR="003864B7">
        <w:rPr>
          <w:rFonts w:ascii="Traditional Arabic" w:hAnsi="Traditional Arabic" w:hint="cs"/>
          <w:color w:val="auto"/>
          <w:sz w:val="36"/>
          <w:szCs w:val="36"/>
          <w:rtl/>
        </w:rPr>
        <w:t>.....................................................</w:t>
      </w:r>
      <w:r w:rsidRPr="00345E2B">
        <w:rPr>
          <w:rFonts w:ascii="Traditional Arabic" w:hAnsi="Traditional Arabic" w:hint="cs"/>
          <w:color w:val="auto"/>
          <w:sz w:val="36"/>
          <w:szCs w:val="36"/>
          <w:rtl/>
        </w:rPr>
        <w:t xml:space="preserve"> 322</w:t>
      </w:r>
    </w:p>
    <w:p w:rsidR="006E11B5" w:rsidRDefault="006E11B5" w:rsidP="006E11B5">
      <w:pPr>
        <w:ind w:firstLine="0"/>
        <w:rPr>
          <w:rtl/>
        </w:rPr>
      </w:pPr>
      <w:r w:rsidRPr="00C85F0F">
        <w:rPr>
          <w:rFonts w:hint="cs"/>
          <w:rtl/>
        </w:rPr>
        <w:t>العَجْماء جُبَار</w:t>
      </w:r>
      <w:r w:rsidR="003864B7">
        <w:rPr>
          <w:rFonts w:hint="cs"/>
          <w:rtl/>
        </w:rPr>
        <w:t>.....................................................................</w:t>
      </w:r>
      <w:r w:rsidRPr="00C85F0F">
        <w:rPr>
          <w:rFonts w:hint="cs"/>
          <w:rtl/>
        </w:rPr>
        <w:t>.</w:t>
      </w:r>
      <w:r>
        <w:rPr>
          <w:rFonts w:hint="cs"/>
          <w:rtl/>
        </w:rPr>
        <w:t>340</w:t>
      </w:r>
    </w:p>
    <w:p w:rsidR="006E11B5" w:rsidRPr="00C85F0F" w:rsidRDefault="006E11B5" w:rsidP="006E11B5">
      <w:pPr>
        <w:ind w:firstLine="0"/>
      </w:pPr>
      <w:r w:rsidRPr="00C85F0F">
        <w:rPr>
          <w:rFonts w:hint="cs"/>
          <w:rtl/>
        </w:rPr>
        <w:t>العُرف ال</w:t>
      </w:r>
      <w:r>
        <w:rPr>
          <w:rFonts w:hint="cs"/>
          <w:rtl/>
        </w:rPr>
        <w:t>ْ</w:t>
      </w:r>
      <w:r w:rsidRPr="00C85F0F">
        <w:rPr>
          <w:rFonts w:hint="cs"/>
          <w:rtl/>
        </w:rPr>
        <w:t>م</w:t>
      </w:r>
      <w:r>
        <w:rPr>
          <w:rFonts w:hint="cs"/>
          <w:rtl/>
        </w:rPr>
        <w:t>ُ</w:t>
      </w:r>
      <w:r w:rsidRPr="00C85F0F">
        <w:rPr>
          <w:rFonts w:hint="cs"/>
          <w:rtl/>
        </w:rPr>
        <w:t>طَّرِد كالشرط اللفظي</w:t>
      </w:r>
      <w:r w:rsidR="003864B7">
        <w:rPr>
          <w:rFonts w:hint="cs"/>
          <w:rtl/>
        </w:rPr>
        <w:t>......................................................</w:t>
      </w:r>
      <w:r w:rsidRPr="00C85F0F">
        <w:rPr>
          <w:rFonts w:hint="cs"/>
          <w:rtl/>
        </w:rPr>
        <w:t>.</w:t>
      </w:r>
      <w:r>
        <w:rPr>
          <w:rFonts w:hint="cs"/>
          <w:rtl/>
        </w:rPr>
        <w:t>148</w:t>
      </w:r>
    </w:p>
    <w:p w:rsidR="006E11B5" w:rsidRDefault="006E11B5" w:rsidP="006E11B5">
      <w:pPr>
        <w:ind w:firstLine="0"/>
        <w:rPr>
          <w:rtl/>
        </w:rPr>
      </w:pPr>
      <w:r w:rsidRPr="00C85F0F">
        <w:rPr>
          <w:rFonts w:hint="cs"/>
          <w:rtl/>
        </w:rPr>
        <w:t>العُرف المعروف كالشرط المشروط</w:t>
      </w:r>
      <w:r w:rsidR="003864B7">
        <w:rPr>
          <w:rFonts w:hint="cs"/>
          <w:rtl/>
        </w:rPr>
        <w:t>....................................................</w:t>
      </w:r>
      <w:r w:rsidRPr="00C85F0F">
        <w:rPr>
          <w:rFonts w:hint="cs"/>
          <w:rtl/>
        </w:rPr>
        <w:t>.</w:t>
      </w:r>
      <w:r>
        <w:rPr>
          <w:rFonts w:hint="cs"/>
          <w:rtl/>
        </w:rPr>
        <w:t>149</w:t>
      </w:r>
    </w:p>
    <w:p w:rsidR="006E11B5" w:rsidRDefault="006E11B5" w:rsidP="006E11B5">
      <w:pPr>
        <w:ind w:firstLine="0"/>
        <w:rPr>
          <w:rFonts w:ascii="Traditional Arabic" w:hAnsi="Traditional Arabic"/>
          <w:rtl/>
        </w:rPr>
      </w:pPr>
      <w:r w:rsidRPr="00C85F0F">
        <w:rPr>
          <w:rFonts w:ascii="Traditional Arabic" w:hAnsi="Traditional Arabic" w:hint="cs"/>
          <w:rtl/>
        </w:rPr>
        <w:t>العرُف والعادة يُرجع إليه في كلِّ حُكْمٍ حَكَم به الشارع، ولم يَحُدَّهُ بحدٍّ</w:t>
      </w:r>
      <w:r w:rsidR="003864B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160</w:t>
      </w:r>
    </w:p>
    <w:p w:rsidR="006E11B5" w:rsidRDefault="006E11B5" w:rsidP="006E11B5">
      <w:pPr>
        <w:ind w:firstLine="0"/>
        <w:rPr>
          <w:rFonts w:ascii="Traditional Arabic" w:hAnsi="Traditional Arabic"/>
          <w:noProof w:val="0"/>
          <w:rtl/>
          <w:lang w:eastAsia="en-US"/>
        </w:rPr>
      </w:pPr>
      <w:r w:rsidRPr="00C85F0F">
        <w:rPr>
          <w:rFonts w:hint="cs"/>
          <w:rtl/>
        </w:rPr>
        <w:t>العقود الجائزة إذا اقتضى فَسْخُها ضرَراً على الآخَر امْتَنَع وصارَتْ لازِمةً</w:t>
      </w:r>
      <w:r w:rsidR="003864B7">
        <w:rPr>
          <w:rFonts w:hint="cs"/>
          <w:rtl/>
        </w:rPr>
        <w:t>..................</w:t>
      </w:r>
      <w:r w:rsidRPr="00C85F0F">
        <w:rPr>
          <w:rFonts w:hint="cs"/>
          <w:rtl/>
        </w:rPr>
        <w:t>.</w:t>
      </w:r>
      <w:r>
        <w:rPr>
          <w:rFonts w:ascii="Traditional Arabic" w:hAnsi="Traditional Arabic" w:hint="cs"/>
          <w:noProof w:val="0"/>
          <w:rtl/>
          <w:lang w:eastAsia="en-US"/>
        </w:rPr>
        <w:t>262</w:t>
      </w:r>
    </w:p>
    <w:p w:rsidR="006E11B5" w:rsidRDefault="006E11B5" w:rsidP="006E11B5">
      <w:pPr>
        <w:ind w:firstLine="0"/>
        <w:rPr>
          <w:rFonts w:ascii="Traditional Arabic" w:hAnsi="Traditional Arabic"/>
          <w:noProof w:val="0"/>
          <w:rtl/>
          <w:lang w:eastAsia="en-US"/>
        </w:rPr>
      </w:pPr>
      <w:r w:rsidRPr="00C85F0F">
        <w:rPr>
          <w:rFonts w:hint="cs"/>
          <w:rtl/>
        </w:rPr>
        <w:t>العقود تصح بكلِّ ما دَلَّ على مَقْصودها مِن قولٍ أو فِعل</w:t>
      </w:r>
      <w:r w:rsidR="003864B7">
        <w:rPr>
          <w:rFonts w:hint="cs"/>
          <w:rtl/>
        </w:rPr>
        <w:t>..............................</w:t>
      </w:r>
      <w:r w:rsidRPr="00C85F0F">
        <w:rPr>
          <w:rFonts w:hint="cs"/>
          <w:rtl/>
        </w:rPr>
        <w:t>.</w:t>
      </w:r>
      <w:r>
        <w:rPr>
          <w:rFonts w:ascii="Traditional Arabic" w:hAnsi="Traditional Arabic" w:hint="cs"/>
          <w:noProof w:val="0"/>
          <w:rtl/>
          <w:lang w:eastAsia="en-US"/>
        </w:rPr>
        <w:t>166</w:t>
      </w:r>
    </w:p>
    <w:p w:rsidR="006E11B5" w:rsidRPr="00C85F0F" w:rsidRDefault="006E11B5" w:rsidP="006E11B5">
      <w:pPr>
        <w:ind w:firstLine="0"/>
      </w:pPr>
      <w:r w:rsidRPr="00C85F0F">
        <w:rPr>
          <w:rFonts w:hint="cs"/>
          <w:rtl/>
        </w:rPr>
        <w:t>العقود تَنعقِد بما دَلَّ عليها عُرْفاً</w:t>
      </w:r>
      <w:r w:rsidR="003864B7">
        <w:rPr>
          <w:rFonts w:hint="cs"/>
          <w:rtl/>
        </w:rPr>
        <w:t>......................................................</w:t>
      </w:r>
      <w:r w:rsidRPr="00C85F0F">
        <w:rPr>
          <w:rFonts w:hint="cs"/>
          <w:rtl/>
        </w:rPr>
        <w:t>.</w:t>
      </w:r>
      <w:r>
        <w:rPr>
          <w:rFonts w:hint="cs"/>
          <w:rtl/>
        </w:rPr>
        <w:t>165</w:t>
      </w:r>
    </w:p>
    <w:p w:rsidR="006E11B5" w:rsidRPr="00C85F0F" w:rsidRDefault="006E11B5" w:rsidP="006E11B5">
      <w:pPr>
        <w:ind w:firstLine="0"/>
      </w:pPr>
      <w:r w:rsidRPr="00C85F0F">
        <w:rPr>
          <w:rFonts w:hint="cs"/>
          <w:rtl/>
        </w:rPr>
        <w:t>العقود تنعقد بما دلَّ عليها</w:t>
      </w:r>
      <w:r w:rsidR="003864B7">
        <w:rPr>
          <w:rFonts w:hint="cs"/>
          <w:rtl/>
        </w:rPr>
        <w:t>..........................................................</w:t>
      </w:r>
      <w:r w:rsidRPr="00C85F0F">
        <w:rPr>
          <w:rFonts w:hint="cs"/>
          <w:rtl/>
        </w:rPr>
        <w:t>.</w:t>
      </w:r>
      <w:r>
        <w:rPr>
          <w:rFonts w:hint="cs"/>
          <w:rtl/>
        </w:rPr>
        <w:t>165</w:t>
      </w:r>
    </w:p>
    <w:p w:rsidR="006E11B5" w:rsidRDefault="006E11B5" w:rsidP="006E11B5">
      <w:pPr>
        <w:ind w:firstLine="0"/>
        <w:rPr>
          <w:rtl/>
        </w:rPr>
      </w:pPr>
      <w:r w:rsidRPr="00C85F0F">
        <w:rPr>
          <w:rFonts w:ascii="Traditional Arabic" w:hAnsi="Traditional Arabic"/>
          <w:noProof w:val="0"/>
          <w:rtl/>
          <w:lang w:eastAsia="en-US"/>
        </w:rPr>
        <w:lastRenderedPageBreak/>
        <w:t>العقود تنعقد بما يدل على مقصودها من قول أو فعل</w:t>
      </w:r>
      <w:r w:rsidR="003864B7">
        <w:rPr>
          <w:rFonts w:hint="cs"/>
          <w:rtl/>
        </w:rPr>
        <w:t>..................................</w:t>
      </w:r>
      <w:r w:rsidRPr="00C85F0F">
        <w:rPr>
          <w:rtl/>
        </w:rPr>
        <w:t>.</w:t>
      </w:r>
      <w:r>
        <w:rPr>
          <w:rFonts w:hint="cs"/>
          <w:rtl/>
        </w:rPr>
        <w:t>166</w:t>
      </w:r>
    </w:p>
    <w:p w:rsidR="006E11B5" w:rsidRPr="00C85F0F" w:rsidRDefault="006E11B5" w:rsidP="006E11B5">
      <w:pPr>
        <w:ind w:firstLine="0"/>
        <w:rPr>
          <w:rFonts w:ascii="Traditional Arabic" w:hAnsi="Traditional Arabic"/>
          <w:noProof w:val="0"/>
          <w:color w:val="auto"/>
          <w:lang w:eastAsia="en-US"/>
        </w:rPr>
      </w:pPr>
      <w:r w:rsidRPr="00C85F0F">
        <w:rPr>
          <w:rFonts w:ascii="Traditional Arabic" w:hAnsi="Traditional Arabic"/>
          <w:noProof w:val="0"/>
          <w:rtl/>
          <w:lang w:eastAsia="en-US"/>
        </w:rPr>
        <w:t>العقود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عتب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فيها نفس</w:t>
      </w:r>
      <w:r w:rsidRPr="00C85F0F">
        <w:rPr>
          <w:rFonts w:ascii="Traditional Arabic" w:hAnsi="Traditional Arabic" w:hint="cs"/>
          <w:noProof w:val="0"/>
          <w:rtl/>
          <w:lang w:eastAsia="en-US"/>
        </w:rPr>
        <w:t>ُ</w:t>
      </w:r>
      <w:r>
        <w:rPr>
          <w:rFonts w:ascii="Traditional Arabic" w:hAnsi="Traditional Arabic" w:hint="cs"/>
          <w:noProof w:val="0"/>
          <w:rtl/>
          <w:lang w:eastAsia="en-US"/>
        </w:rPr>
        <w:t xml:space="preserve"> </w:t>
      </w:r>
      <w:r w:rsidRPr="00C85F0F">
        <w:rPr>
          <w:rFonts w:ascii="Traditional Arabic" w:hAnsi="Traditional Arabic"/>
          <w:noProof w:val="0"/>
          <w:rtl/>
          <w:lang w:eastAsia="en-US"/>
        </w:rPr>
        <w:t>الواقع</w:t>
      </w:r>
      <w:r w:rsidR="003864B7">
        <w:rPr>
          <w:rFonts w:ascii="Traditional Arabic" w:hAnsi="Traditional Arabic" w:hint="cs"/>
          <w:noProof w:val="0"/>
          <w:rtl/>
          <w:lang w:eastAsia="en-US"/>
        </w:rPr>
        <w:t>........................................................</w:t>
      </w:r>
      <w:r w:rsidRPr="00C85F0F">
        <w:rPr>
          <w:rFonts w:ascii="Traditional Arabic" w:hAnsi="Traditional Arabic"/>
          <w:noProof w:val="0"/>
          <w:rtl/>
          <w:lang w:eastAsia="en-US"/>
        </w:rPr>
        <w:t>.</w:t>
      </w:r>
      <w:r>
        <w:rPr>
          <w:rFonts w:ascii="Traditional Arabic" w:hAnsi="Traditional Arabic" w:hint="cs"/>
          <w:noProof w:val="0"/>
          <w:color w:val="auto"/>
          <w:rtl/>
          <w:lang w:eastAsia="en-US"/>
        </w:rPr>
        <w:t>307</w:t>
      </w:r>
    </w:p>
    <w:p w:rsidR="006E11B5" w:rsidRDefault="006E11B5" w:rsidP="006E11B5">
      <w:pPr>
        <w:ind w:firstLine="0"/>
        <w:rPr>
          <w:rtl/>
        </w:rPr>
      </w:pPr>
      <w:r w:rsidRPr="00C85F0F">
        <w:rPr>
          <w:rFonts w:hint="cs"/>
          <w:rtl/>
        </w:rPr>
        <w:t>العلة إذا زالت هل يزول الحكم بِزَوالها أم لا؟</w:t>
      </w:r>
      <w:r w:rsidR="003864B7">
        <w:rPr>
          <w:rFonts w:hint="cs"/>
          <w:rtl/>
        </w:rPr>
        <w:t>...........................................</w:t>
      </w:r>
      <w:r>
        <w:rPr>
          <w:rFonts w:hint="cs"/>
          <w:rtl/>
        </w:rPr>
        <w:t>384</w:t>
      </w:r>
    </w:p>
    <w:p w:rsidR="006E11B5" w:rsidRDefault="006E11B5" w:rsidP="006E11B5">
      <w:pPr>
        <w:ind w:firstLine="0"/>
        <w:rPr>
          <w:color w:val="auto"/>
          <w:rtl/>
        </w:rPr>
      </w:pPr>
      <w:r w:rsidRPr="00C85F0F">
        <w:rPr>
          <w:rFonts w:hint="cs"/>
          <w:color w:val="auto"/>
          <w:rtl/>
        </w:rPr>
        <w:t>عناية الشرع بِدرء المفاسد أشدُّ من عنايته بجلب المصالح</w:t>
      </w:r>
      <w:r w:rsidR="003864B7">
        <w:rPr>
          <w:rFonts w:hint="cs"/>
          <w:color w:val="auto"/>
          <w:rtl/>
        </w:rPr>
        <w:t>................................</w:t>
      </w:r>
      <w:r w:rsidRPr="00C85F0F">
        <w:rPr>
          <w:rFonts w:hint="cs"/>
          <w:color w:val="auto"/>
          <w:rtl/>
        </w:rPr>
        <w:t>.</w:t>
      </w:r>
      <w:r>
        <w:rPr>
          <w:rFonts w:hint="cs"/>
          <w:color w:val="auto"/>
          <w:rtl/>
        </w:rPr>
        <w:t>114</w:t>
      </w:r>
    </w:p>
    <w:p w:rsidR="006E11B5" w:rsidRDefault="006E11B5" w:rsidP="006E11B5">
      <w:pPr>
        <w:ind w:firstLine="0"/>
        <w:rPr>
          <w:rtl/>
        </w:rPr>
      </w:pPr>
      <w:r w:rsidRPr="00C85F0F">
        <w:rPr>
          <w:rFonts w:hint="cs"/>
          <w:rtl/>
        </w:rPr>
        <w:t>الغارم قولهُ مقبول</w:t>
      </w:r>
      <w:r w:rsidR="003864B7">
        <w:rPr>
          <w:rFonts w:hint="cs"/>
          <w:rtl/>
        </w:rPr>
        <w:t>..................................................................</w:t>
      </w:r>
      <w:r w:rsidRPr="00C85F0F">
        <w:rPr>
          <w:rFonts w:hint="cs"/>
          <w:rtl/>
        </w:rPr>
        <w:t>.</w:t>
      </w:r>
      <w:r>
        <w:rPr>
          <w:rFonts w:hint="cs"/>
          <w:rtl/>
        </w:rPr>
        <w:t>411</w:t>
      </w:r>
    </w:p>
    <w:p w:rsidR="006E11B5" w:rsidRDefault="006E11B5" w:rsidP="006E11B5">
      <w:pPr>
        <w:ind w:firstLine="0"/>
        <w:rPr>
          <w:rFonts w:ascii="Traditional Arabic" w:hAnsi="Traditional Arabic"/>
          <w:noProof w:val="0"/>
          <w:color w:val="auto"/>
          <w:rtl/>
          <w:lang w:eastAsia="en-US"/>
        </w:rPr>
      </w:pPr>
      <w:r w:rsidRPr="00C85F0F">
        <w:rPr>
          <w:rFonts w:hint="cs"/>
          <w:rtl/>
        </w:rPr>
        <w:t>الغَرامة تتعلق بالمباشرة، وبالسبب تارةً، وتارةً بهما</w:t>
      </w:r>
      <w:r w:rsidR="003864B7">
        <w:rPr>
          <w:rFonts w:hint="cs"/>
          <w:rtl/>
        </w:rPr>
        <w:t>......................................</w:t>
      </w:r>
      <w:r w:rsidRPr="00C85F0F">
        <w:rPr>
          <w:rFonts w:hint="cs"/>
          <w:rtl/>
        </w:rPr>
        <w:t>.</w:t>
      </w:r>
      <w:r>
        <w:rPr>
          <w:rFonts w:ascii="Traditional Arabic" w:hAnsi="Traditional Arabic" w:hint="cs"/>
          <w:noProof w:val="0"/>
          <w:color w:val="auto"/>
          <w:rtl/>
          <w:lang w:eastAsia="en-US"/>
        </w:rPr>
        <w:t>336</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hint="cs"/>
          <w:noProof w:val="0"/>
          <w:rtl/>
          <w:lang w:eastAsia="en-US"/>
        </w:rPr>
        <w:t>الغرر والمي</w:t>
      </w:r>
      <w:r>
        <w:rPr>
          <w:rFonts w:ascii="Traditional Arabic" w:hAnsi="Traditional Arabic" w:hint="cs"/>
          <w:noProof w:val="0"/>
          <w:rtl/>
          <w:lang w:eastAsia="en-US"/>
        </w:rPr>
        <w:t>سر محظور في المُعاوَضات والْمُ</w:t>
      </w:r>
      <w:r w:rsidRPr="00C85F0F">
        <w:rPr>
          <w:rFonts w:ascii="Traditional Arabic" w:hAnsi="Traditional Arabic" w:hint="cs"/>
          <w:noProof w:val="0"/>
          <w:rtl/>
          <w:lang w:eastAsia="en-US"/>
        </w:rPr>
        <w:t>غالَبات</w:t>
      </w:r>
      <w:r w:rsidR="003864B7">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460</w:t>
      </w:r>
    </w:p>
    <w:p w:rsidR="006E11B5" w:rsidRDefault="006E11B5" w:rsidP="006E11B5">
      <w:pPr>
        <w:ind w:firstLine="0"/>
      </w:pPr>
      <w:r w:rsidRPr="00C85F0F">
        <w:rPr>
          <w:rFonts w:hint="cs"/>
          <w:rtl/>
        </w:rPr>
        <w:t>الغُرْم بالغُنْم</w:t>
      </w:r>
      <w:r w:rsidR="003864B7">
        <w:rPr>
          <w:rFonts w:hint="cs"/>
          <w:rtl/>
        </w:rPr>
        <w:t>.................................................................</w:t>
      </w:r>
      <w:r w:rsidRPr="00C85F0F">
        <w:rPr>
          <w:rFonts w:hint="cs"/>
          <w:rtl/>
        </w:rPr>
        <w:t>.</w:t>
      </w:r>
      <w:r>
        <w:rPr>
          <w:rFonts w:hint="cs"/>
          <w:rtl/>
        </w:rPr>
        <w:t>345، 346</w:t>
      </w:r>
    </w:p>
    <w:p w:rsidR="006E11B5" w:rsidRPr="00C85F0F" w:rsidRDefault="006E11B5" w:rsidP="006E11B5">
      <w:pPr>
        <w:ind w:firstLine="0"/>
      </w:pPr>
      <w:r w:rsidRPr="00C85F0F">
        <w:rPr>
          <w:rFonts w:hint="cs"/>
          <w:rtl/>
        </w:rPr>
        <w:t>الغنم بالغرم</w:t>
      </w:r>
      <w:r w:rsidR="003864B7">
        <w:rPr>
          <w:rFonts w:hint="cs"/>
          <w:rtl/>
        </w:rPr>
        <w:t>.......................................................................</w:t>
      </w:r>
      <w:r w:rsidRPr="00C85F0F">
        <w:rPr>
          <w:rFonts w:hint="cs"/>
          <w:rtl/>
        </w:rPr>
        <w:t>.</w:t>
      </w:r>
      <w:r>
        <w:rPr>
          <w:rFonts w:hint="cs"/>
          <w:rtl/>
        </w:rPr>
        <w:t>345</w:t>
      </w:r>
    </w:p>
    <w:p w:rsidR="006E11B5" w:rsidRPr="004A53A0" w:rsidRDefault="006E11B5" w:rsidP="006E11B5">
      <w:pPr>
        <w:pStyle w:val="afc"/>
        <w:spacing w:after="200"/>
        <w:ind w:left="-973" w:firstLine="0"/>
        <w:jc w:val="left"/>
        <w:rPr>
          <w:rFonts w:ascii="Traditional Arabic" w:hAnsi="Traditional Arabic"/>
        </w:rPr>
      </w:pPr>
      <w:r>
        <w:rPr>
          <w:rFonts w:ascii="Traditional Arabic" w:hAnsi="Traditional Arabic" w:hint="cs"/>
          <w:rtl/>
        </w:rPr>
        <w:t xml:space="preserve">           </w:t>
      </w:r>
      <w:r>
        <w:rPr>
          <w:rFonts w:ascii="Traditional Arabic" w:hAnsi="Traditional Arabic"/>
          <w:rtl/>
        </w:rPr>
        <w:t>فاج</w:t>
      </w:r>
      <w:r>
        <w:rPr>
          <w:rFonts w:ascii="Traditional Arabic" w:hAnsi="Traditional Arabic" w:hint="cs"/>
          <w:rtl/>
        </w:rPr>
        <w:t>ْ</w:t>
      </w:r>
      <w:r>
        <w:rPr>
          <w:rFonts w:ascii="Traditional Arabic" w:hAnsi="Traditional Arabic"/>
          <w:rtl/>
        </w:rPr>
        <w:t>ل</w:t>
      </w:r>
      <w:r>
        <w:rPr>
          <w:rFonts w:ascii="Traditional Arabic" w:hAnsi="Traditional Arabic" w:hint="cs"/>
          <w:rtl/>
        </w:rPr>
        <w:t>ِ</w:t>
      </w:r>
      <w:r>
        <w:rPr>
          <w:rFonts w:ascii="Traditional Arabic" w:hAnsi="Traditional Arabic"/>
          <w:rtl/>
        </w:rPr>
        <w:t>ب</w:t>
      </w:r>
      <w:r>
        <w:rPr>
          <w:rFonts w:ascii="Traditional Arabic" w:hAnsi="Traditional Arabic" w:hint="cs"/>
          <w:rtl/>
        </w:rPr>
        <w:t>ْ</w:t>
      </w:r>
      <w:r>
        <w:rPr>
          <w:rFonts w:ascii="Traditional Arabic" w:hAnsi="Traditional Arabic"/>
          <w:rtl/>
        </w:rPr>
        <w:t xml:space="preserve"> ل</w:t>
      </w:r>
      <w:r>
        <w:rPr>
          <w:rFonts w:ascii="Traditional Arabic" w:hAnsi="Traditional Arabic" w:hint="cs"/>
          <w:rtl/>
        </w:rPr>
        <w:t>ِ</w:t>
      </w:r>
      <w:r>
        <w:rPr>
          <w:rFonts w:ascii="Traditional Arabic" w:hAnsi="Traditional Arabic"/>
          <w:rtl/>
        </w:rPr>
        <w:t>تيسير</w:t>
      </w:r>
      <w:r>
        <w:rPr>
          <w:rFonts w:ascii="Traditional Arabic" w:hAnsi="Traditional Arabic" w:hint="cs"/>
          <w:rtl/>
        </w:rPr>
        <w:t>ٍ</w:t>
      </w:r>
      <w:r>
        <w:rPr>
          <w:rFonts w:ascii="Traditional Arabic" w:hAnsi="Traditional Arabic"/>
          <w:rtl/>
        </w:rPr>
        <w:t xml:space="preserve"> بكل</w:t>
      </w:r>
      <w:r>
        <w:rPr>
          <w:rFonts w:ascii="Traditional Arabic" w:hAnsi="Traditional Arabic" w:hint="cs"/>
          <w:rtl/>
        </w:rPr>
        <w:t>ِّ</w:t>
      </w:r>
      <w:r>
        <w:rPr>
          <w:rFonts w:ascii="Traditional Arabic" w:hAnsi="Traditional Arabic"/>
          <w:rtl/>
        </w:rPr>
        <w:t xml:space="preserve"> ذي ش</w:t>
      </w:r>
      <w:r>
        <w:rPr>
          <w:rFonts w:ascii="Traditional Arabic" w:hAnsi="Traditional Arabic" w:hint="cs"/>
          <w:rtl/>
        </w:rPr>
        <w:t>َ</w:t>
      </w:r>
      <w:r>
        <w:rPr>
          <w:rFonts w:ascii="Traditional Arabic" w:hAnsi="Traditional Arabic"/>
          <w:rtl/>
        </w:rPr>
        <w:t>ط</w:t>
      </w:r>
      <w:r>
        <w:rPr>
          <w:rFonts w:ascii="Traditional Arabic" w:hAnsi="Traditional Arabic" w:hint="cs"/>
          <w:rtl/>
        </w:rPr>
        <w:t>َ</w:t>
      </w:r>
      <w:r>
        <w:rPr>
          <w:rFonts w:ascii="Traditional Arabic" w:hAnsi="Traditional Arabic"/>
          <w:rtl/>
        </w:rPr>
        <w:t>ط</w:t>
      </w:r>
      <w:r>
        <w:rPr>
          <w:rFonts w:ascii="Traditional Arabic" w:hAnsi="Traditional Arabic" w:hint="cs"/>
          <w:rtl/>
        </w:rPr>
        <w:t xml:space="preserve">     فليس في الدين الحنيف مِن شطط</w:t>
      </w:r>
      <w:r w:rsidR="003864B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497</w:t>
      </w:r>
    </w:p>
    <w:p w:rsidR="006E11B5" w:rsidRDefault="006E11B5" w:rsidP="006E11B5">
      <w:pPr>
        <w:spacing w:line="640" w:lineRule="exact"/>
        <w:ind w:firstLine="0"/>
        <w:jc w:val="left"/>
        <w:rPr>
          <w:rFonts w:ascii="Traditional Arabic" w:hAnsi="Traditional Arabic"/>
          <w:rtl/>
        </w:rPr>
      </w:pPr>
      <w:r w:rsidRPr="00C85F0F">
        <w:rPr>
          <w:rFonts w:ascii="Traditional Arabic" w:hAnsi="Traditional Arabic" w:hint="cs"/>
          <w:rtl/>
        </w:rPr>
        <w:t>الفروع والأبدال لا يُصار إليها إلا عند تعذُّر الأصول</w:t>
      </w:r>
      <w:r w:rsidR="003864B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479</w:t>
      </w:r>
    </w:p>
    <w:p w:rsidR="006E11B5" w:rsidRDefault="006E11B5" w:rsidP="006E11B5">
      <w:pPr>
        <w:ind w:firstLine="0"/>
        <w:rPr>
          <w:rtl/>
        </w:rPr>
      </w:pPr>
      <w:r w:rsidRPr="00C85F0F">
        <w:rPr>
          <w:rFonts w:hint="cs"/>
          <w:rtl/>
        </w:rPr>
        <w:t>فِعل العجماء جبار</w:t>
      </w:r>
      <w:r w:rsidR="003864B7">
        <w:rPr>
          <w:rFonts w:hint="cs"/>
          <w:rtl/>
        </w:rPr>
        <w:t>................................................................</w:t>
      </w:r>
      <w:r w:rsidRPr="00C85F0F">
        <w:rPr>
          <w:rFonts w:hint="cs"/>
          <w:rtl/>
        </w:rPr>
        <w:t>.</w:t>
      </w:r>
      <w:r>
        <w:rPr>
          <w:rFonts w:hint="cs"/>
          <w:rtl/>
        </w:rPr>
        <w:t>340</w:t>
      </w:r>
    </w:p>
    <w:p w:rsidR="006E11B5" w:rsidRDefault="006E11B5" w:rsidP="006E11B5">
      <w:pPr>
        <w:ind w:firstLine="0"/>
        <w:rPr>
          <w:color w:val="auto"/>
          <w:rtl/>
        </w:rPr>
      </w:pPr>
      <w:r w:rsidRPr="00C85F0F">
        <w:rPr>
          <w:rFonts w:ascii="Traditional Arabic" w:hAnsi="Traditional Arabic"/>
          <w:noProof w:val="0"/>
          <w:color w:val="auto"/>
          <w:rtl/>
          <w:lang w:eastAsia="en-US"/>
        </w:rPr>
        <w:t>الف</w:t>
      </w:r>
      <w:r w:rsidRPr="00C85F0F">
        <w:rPr>
          <w:rFonts w:ascii="Traditional Arabic" w:hAnsi="Traditional Arabic" w:hint="cs"/>
          <w:noProof w:val="0"/>
          <w:color w:val="auto"/>
          <w:rtl/>
          <w:lang w:eastAsia="en-US"/>
        </w:rPr>
        <w:t>و</w:t>
      </w:r>
      <w:r w:rsidRPr="00C85F0F">
        <w:rPr>
          <w:rFonts w:ascii="Traditional Arabic" w:hAnsi="Traditional Arabic"/>
          <w:noProof w:val="0"/>
          <w:color w:val="auto"/>
          <w:rtl/>
          <w:lang w:eastAsia="en-US"/>
        </w:rPr>
        <w:t>ائد التي 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ستخل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 مع بقاء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أصلها تجري مجرى المن</w:t>
      </w:r>
      <w:r w:rsidRPr="00C85F0F">
        <w:rPr>
          <w:rFonts w:ascii="Traditional Arabic" w:hAnsi="Traditional Arabic" w:hint="cs"/>
          <w:noProof w:val="0"/>
          <w:color w:val="auto"/>
          <w:rtl/>
          <w:lang w:eastAsia="en-US"/>
        </w:rPr>
        <w:t>ا</w:t>
      </w:r>
      <w:r w:rsidRPr="00C85F0F">
        <w:rPr>
          <w:rFonts w:ascii="Traditional Arabic" w:hAnsi="Traditional Arabic"/>
          <w:noProof w:val="0"/>
          <w:color w:val="auto"/>
          <w:rtl/>
          <w:lang w:eastAsia="en-US"/>
        </w:rPr>
        <w:t>فع</w:t>
      </w:r>
      <w:r w:rsidR="003864B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ascii="Traditional Arabic" w:hAnsi="Traditional Arabic" w:hint="cs"/>
          <w:noProof w:val="0"/>
          <w:color w:val="auto"/>
          <w:rtl/>
          <w:lang w:eastAsia="en-US"/>
        </w:rPr>
        <w:t>510</w:t>
      </w:r>
    </w:p>
    <w:p w:rsidR="006E11B5" w:rsidRDefault="006E11B5" w:rsidP="006E11B5">
      <w:pPr>
        <w:ind w:firstLine="0"/>
        <w:rPr>
          <w:color w:val="auto"/>
          <w:rtl/>
        </w:rPr>
      </w:pPr>
      <w:r w:rsidRPr="00C85F0F">
        <w:rPr>
          <w:rFonts w:hint="cs"/>
          <w:color w:val="auto"/>
          <w:rtl/>
        </w:rPr>
        <w:t>قاعدة الاحتياط</w:t>
      </w:r>
      <w:r w:rsidR="003864B7">
        <w:rPr>
          <w:rFonts w:hint="cs"/>
          <w:color w:val="auto"/>
          <w:rtl/>
        </w:rPr>
        <w:t>............................................................</w:t>
      </w:r>
      <w:r w:rsidRPr="00C85F0F">
        <w:rPr>
          <w:rFonts w:hint="cs"/>
          <w:color w:val="auto"/>
          <w:rtl/>
        </w:rPr>
        <w:t>.</w:t>
      </w:r>
      <w:r>
        <w:rPr>
          <w:rFonts w:hint="cs"/>
          <w:color w:val="auto"/>
          <w:rtl/>
        </w:rPr>
        <w:t>451، 452</w:t>
      </w:r>
    </w:p>
    <w:p w:rsidR="006E11B5" w:rsidRDefault="006E11B5" w:rsidP="006E11B5">
      <w:pPr>
        <w:pStyle w:val="a7"/>
        <w:spacing w:line="440" w:lineRule="exact"/>
        <w:jc w:val="lowKashida"/>
        <w:rPr>
          <w:rFonts w:ascii="Traditional Arabic" w:hAnsi="Traditional Arabic"/>
          <w:color w:val="auto"/>
          <w:sz w:val="36"/>
          <w:szCs w:val="36"/>
          <w:rtl/>
        </w:rPr>
      </w:pPr>
      <w:r w:rsidRPr="00345E2B">
        <w:rPr>
          <w:rFonts w:ascii="Traditional Arabic" w:hAnsi="Traditional Arabic"/>
          <w:noProof w:val="0"/>
          <w:color w:val="auto"/>
          <w:sz w:val="36"/>
          <w:szCs w:val="36"/>
          <w:rtl/>
          <w:lang w:eastAsia="en-US"/>
        </w:rPr>
        <w:t>القاعدة الثالثة والتسعون</w:t>
      </w:r>
      <w:r w:rsidRPr="00345E2B">
        <w:rPr>
          <w:rFonts w:ascii="Traditional Arabic" w:hAnsi="Traditional Arabic" w:hint="cs"/>
          <w:noProof w:val="0"/>
          <w:color w:val="auto"/>
          <w:sz w:val="36"/>
          <w:szCs w:val="36"/>
          <w:rtl/>
          <w:lang w:eastAsia="en-US"/>
        </w:rPr>
        <w:t>:</w:t>
      </w:r>
      <w:r w:rsidRPr="00345E2B">
        <w:rPr>
          <w:rFonts w:ascii="Traditional Arabic" w:hAnsi="Traditional Arabic"/>
          <w:noProof w:val="0"/>
          <w:color w:val="auto"/>
          <w:sz w:val="36"/>
          <w:szCs w:val="36"/>
          <w:rtl/>
          <w:lang w:eastAsia="en-US"/>
        </w:rPr>
        <w:t xml:space="preserve"> من قبض مغصوبا من غا</w:t>
      </w:r>
      <w:r w:rsidRPr="00345E2B">
        <w:rPr>
          <w:rFonts w:ascii="Traditional Arabic" w:hAnsi="Traditional Arabic" w:hint="cs"/>
          <w:noProof w:val="0"/>
          <w:color w:val="auto"/>
          <w:sz w:val="36"/>
          <w:szCs w:val="36"/>
          <w:rtl/>
          <w:lang w:eastAsia="en-US"/>
        </w:rPr>
        <w:t>ِ</w:t>
      </w:r>
      <w:r w:rsidRPr="00345E2B">
        <w:rPr>
          <w:rFonts w:ascii="Traditional Arabic" w:hAnsi="Traditional Arabic"/>
          <w:noProof w:val="0"/>
          <w:color w:val="auto"/>
          <w:sz w:val="36"/>
          <w:szCs w:val="36"/>
          <w:rtl/>
          <w:lang w:eastAsia="en-US"/>
        </w:rPr>
        <w:t>صبه ولم يعلم أنه مغصوب</w:t>
      </w:r>
      <w:r w:rsidR="003864B7">
        <w:rPr>
          <w:rFonts w:ascii="Traditional Arabic" w:hAnsi="Traditional Arabic" w:hint="cs"/>
          <w:noProof w:val="0"/>
          <w:color w:val="auto"/>
          <w:sz w:val="36"/>
          <w:szCs w:val="36"/>
          <w:rtl/>
          <w:lang w:eastAsia="en-US"/>
        </w:rPr>
        <w:t>.............</w:t>
      </w:r>
      <w:r>
        <w:rPr>
          <w:rFonts w:ascii="Traditional Arabic" w:hAnsi="Traditional Arabic" w:hint="cs"/>
          <w:noProof w:val="0"/>
          <w:color w:val="auto"/>
          <w:sz w:val="36"/>
          <w:szCs w:val="36"/>
          <w:rtl/>
          <w:lang w:eastAsia="en-US"/>
        </w:rPr>
        <w:t>.</w:t>
      </w:r>
      <w:r>
        <w:rPr>
          <w:rFonts w:ascii="Traditional Arabic" w:hAnsi="Traditional Arabic" w:hint="cs"/>
          <w:color w:val="auto"/>
          <w:sz w:val="36"/>
          <w:szCs w:val="36"/>
          <w:rtl/>
        </w:rPr>
        <w:t>330</w:t>
      </w:r>
    </w:p>
    <w:p w:rsidR="006E11B5" w:rsidRDefault="006E11B5" w:rsidP="006E11B5">
      <w:pPr>
        <w:ind w:firstLine="0"/>
        <w:rPr>
          <w:color w:val="auto"/>
          <w:rtl/>
        </w:rPr>
      </w:pPr>
      <w:r w:rsidRPr="00C85F0F">
        <w:rPr>
          <w:rFonts w:hint="cs"/>
          <w:color w:val="auto"/>
          <w:rtl/>
        </w:rPr>
        <w:t>القاعدة الرابعة والأربعون: في قبول قول الأُمَناء في الرد والتلَف</w:t>
      </w:r>
      <w:r w:rsidR="003864B7">
        <w:rPr>
          <w:rFonts w:hint="cs"/>
          <w:color w:val="auto"/>
          <w:rtl/>
        </w:rPr>
        <w:t>...........................</w:t>
      </w:r>
      <w:r w:rsidRPr="00C85F0F">
        <w:rPr>
          <w:rFonts w:hint="cs"/>
          <w:color w:val="auto"/>
          <w:rtl/>
        </w:rPr>
        <w:t>.</w:t>
      </w:r>
      <w:r>
        <w:rPr>
          <w:rFonts w:hint="cs"/>
          <w:color w:val="auto"/>
          <w:rtl/>
        </w:rPr>
        <w:t>416</w:t>
      </w:r>
    </w:p>
    <w:p w:rsidR="006E11B5" w:rsidRPr="00C85F0F" w:rsidRDefault="006E11B5" w:rsidP="006E11B5">
      <w:pPr>
        <w:ind w:firstLine="0"/>
        <w:rPr>
          <w:rFonts w:ascii="Traditional Arabic" w:hAnsi="Traditional Arabic"/>
          <w:color w:val="auto"/>
        </w:rPr>
      </w:pPr>
      <w:r w:rsidRPr="00C85F0F">
        <w:rPr>
          <w:rFonts w:ascii="Traditional Arabic" w:hAnsi="Traditional Arabic"/>
          <w:noProof w:val="0"/>
          <w:color w:val="auto"/>
          <w:rtl/>
          <w:lang w:eastAsia="en-US"/>
        </w:rPr>
        <w:t>القاعدة العامة في الشريعة تغليب جانب الأكثر</w:t>
      </w:r>
      <w:r w:rsidR="003864B7">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321</w:t>
      </w:r>
    </w:p>
    <w:p w:rsidR="006E11B5" w:rsidRDefault="006E11B5" w:rsidP="006E11B5">
      <w:pPr>
        <w:ind w:firstLine="0"/>
        <w:rPr>
          <w:color w:val="auto"/>
          <w:rtl/>
        </w:rPr>
      </w:pPr>
      <w:r w:rsidRPr="00C85F0F">
        <w:rPr>
          <w:rFonts w:hint="cs"/>
          <w:color w:val="auto"/>
          <w:rtl/>
        </w:rPr>
        <w:t>قاعدة</w:t>
      </w:r>
      <w:r>
        <w:rPr>
          <w:rFonts w:hint="cs"/>
          <w:color w:val="auto"/>
          <w:rtl/>
        </w:rPr>
        <w:t xml:space="preserve"> </w:t>
      </w:r>
      <w:r w:rsidRPr="00C85F0F">
        <w:rPr>
          <w:rFonts w:hint="cs"/>
          <w:color w:val="auto"/>
          <w:rtl/>
        </w:rPr>
        <w:t>العمل بالاحتياط</w:t>
      </w:r>
      <w:r w:rsidR="003864B7">
        <w:rPr>
          <w:rFonts w:hint="cs"/>
          <w:color w:val="auto"/>
          <w:rtl/>
        </w:rPr>
        <w:t>............................................................</w:t>
      </w:r>
      <w:r w:rsidRPr="00C85F0F">
        <w:rPr>
          <w:rFonts w:hint="cs"/>
          <w:color w:val="auto"/>
          <w:rtl/>
        </w:rPr>
        <w:t>.</w:t>
      </w:r>
      <w:r>
        <w:rPr>
          <w:rFonts w:hint="cs"/>
          <w:color w:val="auto"/>
          <w:rtl/>
        </w:rPr>
        <w:t>452</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القاعدة أن المباشر والمتسبب كلاهُما ضامن، لكن إذا اجتمعا قُدِّم تضمين المباشر</w:t>
      </w:r>
      <w:r w:rsidR="003864B7">
        <w:rPr>
          <w:rFonts w:hint="cs"/>
          <w:color w:val="auto"/>
          <w:rtl/>
        </w:rPr>
        <w:t>..........</w:t>
      </w:r>
      <w:r w:rsidRPr="00C85F0F">
        <w:rPr>
          <w:rFonts w:hint="cs"/>
          <w:color w:val="auto"/>
          <w:rtl/>
        </w:rPr>
        <w:t>.</w:t>
      </w:r>
      <w:r>
        <w:rPr>
          <w:rFonts w:ascii="Traditional Arabic" w:hAnsi="Traditional Arabic" w:hint="cs"/>
          <w:noProof w:val="0"/>
          <w:color w:val="auto"/>
          <w:rtl/>
          <w:lang w:eastAsia="en-US"/>
        </w:rPr>
        <w:t>336</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القاعدة في الأمين أنه لا يضمن ما تل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 تحت يده إلا بتعد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أو تفريط</w:t>
      </w:r>
      <w:r w:rsidR="003864B7">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hint="cs"/>
          <w:color w:val="auto"/>
          <w:rtl/>
        </w:rPr>
        <w:t>351</w:t>
      </w:r>
    </w:p>
    <w:p w:rsidR="006E11B5" w:rsidRPr="00C85F0F" w:rsidRDefault="006E11B5" w:rsidP="006E11B5">
      <w:pPr>
        <w:ind w:firstLine="0"/>
      </w:pPr>
      <w:r w:rsidRPr="00C85F0F">
        <w:rPr>
          <w:rFonts w:hint="cs"/>
          <w:rtl/>
        </w:rPr>
        <w:t>قاعدة فِيمَن يَرْجِع بما أَنفق على مالِ غيرِه بغيرِ إذْنه</w:t>
      </w:r>
      <w:r w:rsidR="003864B7">
        <w:rPr>
          <w:rFonts w:hint="cs"/>
          <w:rtl/>
        </w:rPr>
        <w:t>....................................</w:t>
      </w:r>
      <w:r w:rsidRPr="00C85F0F">
        <w:rPr>
          <w:rFonts w:hint="cs"/>
          <w:rtl/>
        </w:rPr>
        <w:t>.</w:t>
      </w:r>
      <w:r>
        <w:rPr>
          <w:rFonts w:hint="cs"/>
          <w:rtl/>
        </w:rPr>
        <w:t>216</w:t>
      </w:r>
    </w:p>
    <w:p w:rsidR="006E11B5" w:rsidRDefault="006E11B5" w:rsidP="006E11B5">
      <w:pPr>
        <w:ind w:firstLine="0"/>
        <w:rPr>
          <w:rtl/>
        </w:rPr>
      </w:pPr>
      <w:r w:rsidRPr="00C85F0F">
        <w:rPr>
          <w:rFonts w:hint="cs"/>
          <w:rtl/>
        </w:rPr>
        <w:t>قاعدة ما ي</w:t>
      </w:r>
      <w:r>
        <w:rPr>
          <w:rFonts w:hint="cs"/>
          <w:rtl/>
        </w:rPr>
        <w:t>ُ</w:t>
      </w:r>
      <w:r w:rsidRPr="00C85F0F">
        <w:rPr>
          <w:rFonts w:hint="cs"/>
          <w:rtl/>
        </w:rPr>
        <w:t>شترط فيه اجتماع الشروط والأسباب وانتفاء الموانع</w:t>
      </w:r>
      <w:r w:rsidR="003864B7">
        <w:rPr>
          <w:rFonts w:hint="cs"/>
          <w:rtl/>
        </w:rPr>
        <w:t>..........................</w:t>
      </w:r>
      <w:r w:rsidRPr="00C85F0F">
        <w:rPr>
          <w:rFonts w:hint="cs"/>
          <w:rtl/>
        </w:rPr>
        <w:t>.</w:t>
      </w:r>
      <w:r>
        <w:rPr>
          <w:rFonts w:hint="cs"/>
          <w:rtl/>
        </w:rPr>
        <w:t>490</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color w:val="auto"/>
          <w:rtl/>
          <w:lang w:eastAsia="en-US"/>
        </w:rPr>
        <w:t>قد تتبعَّض الأحكامُ بحسَب تفاو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 أسبابها</w:t>
      </w:r>
      <w:r w:rsidR="00097387">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hint="cs"/>
          <w:color w:val="auto"/>
          <w:rtl/>
        </w:rPr>
        <w:t>445</w:t>
      </w:r>
    </w:p>
    <w:p w:rsidR="006E11B5" w:rsidRDefault="006E11B5" w:rsidP="006E11B5">
      <w:pPr>
        <w:ind w:firstLine="0"/>
        <w:rPr>
          <w:rFonts w:ascii="Traditional Arabic" w:hAnsi="Traditional Arabic"/>
          <w:rtl/>
        </w:rPr>
      </w:pPr>
      <w:r w:rsidRPr="00C85F0F">
        <w:rPr>
          <w:rFonts w:hint="cs"/>
          <w:rtl/>
        </w:rPr>
        <w:t>قد تكون الحاجة سبباً لإباحة المحرَّم، إذا كان التحريم خفيفاً، كالذي يحرم تحريمَ الوسائل</w:t>
      </w:r>
      <w:r w:rsidR="00097387">
        <w:rPr>
          <w:rFonts w:hint="cs"/>
          <w:rtl/>
        </w:rPr>
        <w:t>....</w:t>
      </w:r>
      <w:r w:rsidRPr="00C85F0F">
        <w:rPr>
          <w:rFonts w:hint="cs"/>
          <w:rtl/>
        </w:rPr>
        <w:t>.</w:t>
      </w:r>
      <w:r>
        <w:rPr>
          <w:rFonts w:hint="cs"/>
          <w:rtl/>
        </w:rPr>
        <w:t>193</w:t>
      </w:r>
    </w:p>
    <w:p w:rsidR="006E11B5" w:rsidRPr="008B2568" w:rsidRDefault="006E11B5" w:rsidP="006E11B5">
      <w:pPr>
        <w:ind w:firstLine="0"/>
        <w:rPr>
          <w:rFonts w:ascii="Traditional Arabic" w:hAnsi="Traditional Arabic"/>
          <w:noProof w:val="0"/>
          <w:lang w:eastAsia="en-US"/>
        </w:rPr>
      </w:pPr>
      <w:r w:rsidRPr="00C85F0F">
        <w:rPr>
          <w:rFonts w:ascii="Traditional Arabic" w:hAnsi="Traditional Arabic" w:hint="cs"/>
          <w:noProof w:val="0"/>
          <w:rtl/>
          <w:lang w:eastAsia="en-US"/>
        </w:rPr>
        <w:t>قد يتعارض أصلان، ولا يتقدم أحدهما على الآخر، بل يُعمل بكل منهما</w:t>
      </w:r>
      <w:r w:rsidR="00097387">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130</w:t>
      </w:r>
    </w:p>
    <w:p w:rsidR="006E11B5" w:rsidRDefault="006E11B5" w:rsidP="006E11B5">
      <w:pPr>
        <w:ind w:firstLine="0"/>
        <w:rPr>
          <w:rtl/>
        </w:rPr>
      </w:pPr>
      <w:r w:rsidRPr="00C85F0F">
        <w:rPr>
          <w:rFonts w:hint="cs"/>
          <w:rtl/>
        </w:rPr>
        <w:lastRenderedPageBreak/>
        <w:t>قد يثبت الشيءُ لِغيرهِ تَبَعْ</w:t>
      </w:r>
      <w:r>
        <w:rPr>
          <w:rFonts w:hint="cs"/>
          <w:rtl/>
        </w:rPr>
        <w:t xml:space="preserve">       </w:t>
      </w:r>
      <w:r w:rsidRPr="00C85F0F">
        <w:rPr>
          <w:rFonts w:hint="cs"/>
          <w:rtl/>
        </w:rPr>
        <w:t>وإنْ يكُنْ لو استقلَّ لامْتَنَعْ</w:t>
      </w:r>
      <w:r w:rsidR="00097387">
        <w:rPr>
          <w:rFonts w:hint="cs"/>
          <w:rtl/>
        </w:rPr>
        <w:t>.............................</w:t>
      </w:r>
      <w:r w:rsidRPr="00C85F0F">
        <w:rPr>
          <w:rFonts w:hint="cs"/>
          <w:rtl/>
        </w:rPr>
        <w:t>.</w:t>
      </w:r>
      <w:r>
        <w:rPr>
          <w:rFonts w:hint="cs"/>
          <w:rtl/>
        </w:rPr>
        <w:t>267</w:t>
      </w:r>
    </w:p>
    <w:p w:rsidR="006E11B5" w:rsidRDefault="006E11B5" w:rsidP="006E11B5">
      <w:pPr>
        <w:ind w:firstLine="0"/>
        <w:rPr>
          <w:rtl/>
        </w:rPr>
      </w:pPr>
      <w:r w:rsidRPr="00C85F0F">
        <w:rPr>
          <w:rFonts w:hint="cs"/>
          <w:rtl/>
        </w:rPr>
        <w:t>قد يَسوغ في الشيء تابِعاً ما يمتنِع فيه مستقلاًّ تغليباً للمتبوع</w:t>
      </w:r>
      <w:r w:rsidR="00097387">
        <w:rPr>
          <w:rFonts w:hint="cs"/>
          <w:rtl/>
        </w:rPr>
        <w:t>............................</w:t>
      </w:r>
      <w:r w:rsidRPr="00C85F0F">
        <w:rPr>
          <w:rFonts w:hint="cs"/>
          <w:rtl/>
        </w:rPr>
        <w:t>.</w:t>
      </w:r>
      <w:r>
        <w:rPr>
          <w:rFonts w:hint="cs"/>
          <w:rtl/>
        </w:rPr>
        <w:t>267</w:t>
      </w:r>
    </w:p>
    <w:p w:rsidR="006E11B5" w:rsidRDefault="006E11B5" w:rsidP="006E11B5">
      <w:pPr>
        <w:ind w:firstLine="0"/>
        <w:rPr>
          <w:rtl/>
        </w:rPr>
      </w:pPr>
      <w:r w:rsidRPr="00C85F0F">
        <w:rPr>
          <w:rFonts w:hint="cs"/>
          <w:rtl/>
        </w:rPr>
        <w:t>قرائن الأحوال شواهدُ بمنزلة البينة</w:t>
      </w:r>
      <w:r w:rsidR="00097387">
        <w:rPr>
          <w:rFonts w:hint="cs"/>
          <w:rtl/>
        </w:rPr>
        <w:t>....................................................</w:t>
      </w:r>
      <w:r w:rsidRPr="00C85F0F">
        <w:rPr>
          <w:rFonts w:hint="cs"/>
          <w:rtl/>
        </w:rPr>
        <w:t>.</w:t>
      </w:r>
      <w:r>
        <w:rPr>
          <w:rFonts w:hint="cs"/>
          <w:rtl/>
        </w:rPr>
        <w:t>432</w:t>
      </w:r>
    </w:p>
    <w:p w:rsidR="006E11B5" w:rsidRDefault="006E11B5" w:rsidP="006E11B5">
      <w:pPr>
        <w:ind w:firstLine="0"/>
        <w:rPr>
          <w:rFonts w:ascii="Traditional Arabic" w:hAnsi="Traditional Arabic"/>
          <w:noProof w:val="0"/>
          <w:color w:val="auto"/>
          <w:rtl/>
          <w:lang w:eastAsia="en-US"/>
        </w:rPr>
      </w:pPr>
      <w:r w:rsidRPr="00C85F0F">
        <w:rPr>
          <w:rFonts w:hint="cs"/>
          <w:rtl/>
        </w:rPr>
        <w:t>القرائن تُقدَّم على الأصل</w:t>
      </w:r>
      <w:r w:rsidR="00097387">
        <w:rPr>
          <w:rFonts w:hint="cs"/>
          <w:rtl/>
        </w:rPr>
        <w:t>...........................................................</w:t>
      </w:r>
      <w:r>
        <w:rPr>
          <w:rFonts w:hint="cs"/>
          <w:rtl/>
        </w:rPr>
        <w:t>.</w:t>
      </w:r>
      <w:r>
        <w:rPr>
          <w:rFonts w:ascii="Traditional Arabic" w:hAnsi="Traditional Arabic" w:hint="cs"/>
          <w:noProof w:val="0"/>
          <w:color w:val="auto"/>
          <w:rtl/>
          <w:lang w:eastAsia="en-US"/>
        </w:rPr>
        <w:t>432</w:t>
      </w:r>
    </w:p>
    <w:p w:rsidR="006E11B5" w:rsidRDefault="006E11B5" w:rsidP="006E11B5">
      <w:pPr>
        <w:ind w:firstLine="0"/>
        <w:rPr>
          <w:rtl/>
        </w:rPr>
      </w:pPr>
      <w:r w:rsidRPr="00C85F0F">
        <w:rPr>
          <w:rFonts w:hint="cs"/>
          <w:rtl/>
        </w:rPr>
        <w:t>القرائن دلائل</w:t>
      </w:r>
      <w:r w:rsidR="00097387">
        <w:rPr>
          <w:rFonts w:hint="cs"/>
          <w:rtl/>
        </w:rPr>
        <w:t>......................................................................</w:t>
      </w:r>
      <w:r w:rsidRPr="00C85F0F">
        <w:rPr>
          <w:rFonts w:hint="cs"/>
          <w:rtl/>
        </w:rPr>
        <w:t>.</w:t>
      </w:r>
      <w:r>
        <w:rPr>
          <w:rFonts w:hint="cs"/>
          <w:rtl/>
        </w:rPr>
        <w:t>432</w:t>
      </w:r>
    </w:p>
    <w:p w:rsidR="006E11B5" w:rsidRPr="00C85F0F" w:rsidRDefault="006E11B5" w:rsidP="006E11B5">
      <w:pPr>
        <w:widowControl/>
        <w:autoSpaceDE w:val="0"/>
        <w:autoSpaceDN w:val="0"/>
        <w:adjustRightInd w:val="0"/>
        <w:ind w:firstLine="0"/>
        <w:jc w:val="left"/>
        <w:rPr>
          <w:rFonts w:ascii="Traditional Arabic" w:hAnsi="Traditional Arabic"/>
          <w:noProof w:val="0"/>
          <w:lang w:eastAsia="en-US"/>
        </w:rPr>
      </w:pPr>
      <w:r w:rsidRPr="00C85F0F">
        <w:rPr>
          <w:rFonts w:ascii="Traditional Arabic" w:hAnsi="Traditional Arabic"/>
          <w:noProof w:val="0"/>
          <w:rtl/>
          <w:lang w:eastAsia="en-US"/>
        </w:rPr>
        <w:t>القرعة ثابتة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كل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حق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ين متساوي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 xml:space="preserve"> لا يمكن التمييز بينهما</w:t>
      </w:r>
      <w:r w:rsidR="00097387">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402</w:t>
      </w:r>
    </w:p>
    <w:p w:rsidR="006E11B5" w:rsidRPr="00C85F0F" w:rsidRDefault="006E11B5" w:rsidP="006E11B5">
      <w:pPr>
        <w:widowControl/>
        <w:autoSpaceDE w:val="0"/>
        <w:autoSpaceDN w:val="0"/>
        <w:adjustRightInd w:val="0"/>
        <w:ind w:firstLine="0"/>
        <w:jc w:val="left"/>
        <w:rPr>
          <w:rFonts w:ascii="Traditional Arabic" w:hAnsi="Traditional Arabic"/>
          <w:noProof w:val="0"/>
          <w:sz w:val="44"/>
          <w:szCs w:val="44"/>
          <w:lang w:eastAsia="en-US"/>
        </w:rPr>
      </w:pPr>
      <w:r w:rsidRPr="00C85F0F">
        <w:rPr>
          <w:rFonts w:ascii="Traditional Arabic" w:hAnsi="Traditional Arabic"/>
          <w:noProof w:val="0"/>
          <w:color w:val="auto"/>
          <w:rtl/>
          <w:lang w:eastAsia="en-US"/>
        </w:rPr>
        <w:t>القرعة سبيل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للت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عيين إذا لم 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جد غير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ها</w:t>
      </w:r>
      <w:r w:rsidR="00097387">
        <w:rPr>
          <w:rFonts w:ascii="Traditional Arabic" w:hAnsi="Traditional Arabic" w:hint="cs"/>
          <w:noProof w:val="0"/>
          <w:sz w:val="44"/>
          <w:szCs w:val="44"/>
          <w:rtl/>
          <w:lang w:eastAsia="en-US"/>
        </w:rPr>
        <w:t>........................................</w:t>
      </w:r>
      <w:r w:rsidRPr="00C85F0F">
        <w:rPr>
          <w:rFonts w:ascii="Traditional Arabic" w:hAnsi="Traditional Arabic" w:hint="cs"/>
          <w:noProof w:val="0"/>
          <w:sz w:val="44"/>
          <w:szCs w:val="44"/>
          <w:rtl/>
          <w:lang w:eastAsia="en-US"/>
        </w:rPr>
        <w:t>.</w:t>
      </w:r>
      <w:r w:rsidRPr="007C1998">
        <w:rPr>
          <w:rFonts w:ascii="Traditional Arabic" w:hAnsi="Traditional Arabic" w:hint="cs"/>
          <w:noProof w:val="0"/>
          <w:rtl/>
          <w:lang w:eastAsia="en-US"/>
        </w:rPr>
        <w:t>402</w:t>
      </w:r>
    </w:p>
    <w:p w:rsidR="006E11B5" w:rsidRDefault="006E11B5" w:rsidP="006E11B5">
      <w:pPr>
        <w:widowControl/>
        <w:autoSpaceDE w:val="0"/>
        <w:autoSpaceDN w:val="0"/>
        <w:adjustRightInd w:val="0"/>
        <w:ind w:firstLine="0"/>
        <w:jc w:val="left"/>
        <w:rPr>
          <w:rFonts w:ascii="Traditional Arabic" w:hAnsi="Traditional Arabic"/>
          <w:noProof w:val="0"/>
          <w:rtl/>
          <w:lang w:eastAsia="en-US"/>
        </w:rPr>
      </w:pPr>
      <w:r w:rsidRPr="00C85F0F">
        <w:rPr>
          <w:rFonts w:ascii="Traditional Arabic" w:hAnsi="Traditional Arabic" w:hint="cs"/>
          <w:noProof w:val="0"/>
          <w:rtl/>
          <w:lang w:eastAsia="en-US"/>
        </w:rPr>
        <w:t>القرعة طريق شرعي لإثبات المستحق</w:t>
      </w:r>
      <w:r w:rsidR="00097387">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402</w:t>
      </w:r>
    </w:p>
    <w:p w:rsidR="006E11B5" w:rsidRPr="00FA65AE" w:rsidRDefault="006E11B5" w:rsidP="006E11B5">
      <w:pPr>
        <w:ind w:firstLine="0"/>
        <w:rPr>
          <w:rtl/>
        </w:rPr>
      </w:pPr>
      <w:r>
        <w:rPr>
          <w:rFonts w:hint="cs"/>
          <w:rtl/>
        </w:rPr>
        <w:t>القُرْعة</w:t>
      </w:r>
      <w:r w:rsidRPr="00C85F0F">
        <w:rPr>
          <w:rFonts w:hint="cs"/>
          <w:rtl/>
        </w:rPr>
        <w:t xml:space="preserve"> طريق شرعي لتعيين الْمُبْهَم</w:t>
      </w:r>
      <w:r w:rsidR="00097387">
        <w:rPr>
          <w:rFonts w:hint="cs"/>
          <w:rtl/>
        </w:rPr>
        <w:t>...................................................</w:t>
      </w:r>
      <w:r w:rsidRPr="00C85F0F">
        <w:rPr>
          <w:rFonts w:hint="cs"/>
          <w:rtl/>
        </w:rPr>
        <w:t>.</w:t>
      </w:r>
      <w:r>
        <w:rPr>
          <w:rFonts w:hint="cs"/>
          <w:rtl/>
        </w:rPr>
        <w:t>402</w:t>
      </w:r>
    </w:p>
    <w:p w:rsidR="006E11B5" w:rsidRDefault="006E11B5" w:rsidP="006E11B5">
      <w:pPr>
        <w:widowControl/>
        <w:autoSpaceDE w:val="0"/>
        <w:autoSpaceDN w:val="0"/>
        <w:adjustRightInd w:val="0"/>
        <w:ind w:firstLine="0"/>
        <w:jc w:val="left"/>
        <w:rPr>
          <w:rFonts w:ascii="Traditional Arabic" w:hAnsi="Traditional Arabic"/>
          <w:noProof w:val="0"/>
          <w:color w:val="auto"/>
          <w:rtl/>
          <w:lang w:eastAsia="en-US"/>
        </w:rPr>
      </w:pPr>
      <w:r w:rsidRPr="00C85F0F">
        <w:rPr>
          <w:rFonts w:ascii="Traditional Arabic" w:hAnsi="Traditional Arabic" w:hint="cs"/>
          <w:noProof w:val="0"/>
          <w:rtl/>
          <w:lang w:eastAsia="en-US"/>
        </w:rPr>
        <w:t>القرعة طريق شرعي للتمييز بين المستحِقِّين</w:t>
      </w:r>
      <w:r w:rsidR="00097387">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403</w:t>
      </w:r>
    </w:p>
    <w:p w:rsidR="006E11B5" w:rsidRDefault="006E11B5" w:rsidP="006E11B5">
      <w:pPr>
        <w:ind w:firstLine="0"/>
        <w:rPr>
          <w:rtl/>
        </w:rPr>
      </w:pPr>
      <w:r w:rsidRPr="00C85F0F">
        <w:rPr>
          <w:rFonts w:hint="cs"/>
          <w:rtl/>
        </w:rPr>
        <w:t>الكتابُ والسُّنةُ إذا أُطْلِقَ الشيءُ فيهما، وليس له حَدٌّ شرعيٌّ، فإن مرجعَه إلى العُرف</w:t>
      </w:r>
      <w:r w:rsidR="00097387">
        <w:rPr>
          <w:rFonts w:hint="cs"/>
          <w:rtl/>
        </w:rPr>
        <w:t>......</w:t>
      </w:r>
      <w:r w:rsidRPr="00C85F0F">
        <w:rPr>
          <w:rFonts w:hint="cs"/>
          <w:rtl/>
        </w:rPr>
        <w:t>.</w:t>
      </w:r>
      <w:r>
        <w:rPr>
          <w:rFonts w:hint="cs"/>
          <w:rtl/>
        </w:rPr>
        <w:t>158</w:t>
      </w:r>
    </w:p>
    <w:p w:rsidR="006E11B5" w:rsidRDefault="006E11B5" w:rsidP="006E11B5">
      <w:pPr>
        <w:ind w:firstLine="0"/>
        <w:rPr>
          <w:color w:val="auto"/>
          <w:rtl/>
        </w:rPr>
      </w:pPr>
      <w:r w:rsidRPr="00C85F0F">
        <w:rPr>
          <w:rFonts w:hint="cs"/>
          <w:color w:val="auto"/>
          <w:rtl/>
        </w:rPr>
        <w:t xml:space="preserve">كل </w:t>
      </w:r>
      <w:r>
        <w:rPr>
          <w:rFonts w:hint="cs"/>
          <w:color w:val="auto"/>
          <w:rtl/>
        </w:rPr>
        <w:t xml:space="preserve"> </w:t>
      </w:r>
      <w:r w:rsidRPr="00C85F0F">
        <w:rPr>
          <w:rFonts w:hint="cs"/>
          <w:color w:val="auto"/>
          <w:rtl/>
        </w:rPr>
        <w:t xml:space="preserve">أمين </w:t>
      </w:r>
      <w:r>
        <w:rPr>
          <w:rFonts w:hint="cs"/>
          <w:color w:val="auto"/>
          <w:rtl/>
        </w:rPr>
        <w:t xml:space="preserve"> </w:t>
      </w:r>
      <w:r w:rsidRPr="00C85F0F">
        <w:rPr>
          <w:rFonts w:hint="cs"/>
          <w:color w:val="auto"/>
          <w:rtl/>
        </w:rPr>
        <w:t xml:space="preserve">يدَّعي </w:t>
      </w:r>
      <w:r>
        <w:rPr>
          <w:rFonts w:hint="cs"/>
          <w:color w:val="auto"/>
          <w:rtl/>
        </w:rPr>
        <w:t xml:space="preserve"> </w:t>
      </w:r>
      <w:r w:rsidRPr="00C85F0F">
        <w:rPr>
          <w:rFonts w:hint="cs"/>
          <w:color w:val="auto"/>
          <w:rtl/>
        </w:rPr>
        <w:t xml:space="preserve">الردَّ </w:t>
      </w:r>
      <w:r>
        <w:rPr>
          <w:rFonts w:hint="cs"/>
          <w:color w:val="auto"/>
          <w:rtl/>
        </w:rPr>
        <w:t xml:space="preserve">   </w:t>
      </w:r>
      <w:r w:rsidRPr="00C85F0F">
        <w:rPr>
          <w:rFonts w:hint="cs"/>
          <w:color w:val="auto"/>
          <w:rtl/>
        </w:rPr>
        <w:t>قُبِلْ</w:t>
      </w:r>
      <w:r>
        <w:rPr>
          <w:rFonts w:hint="cs"/>
          <w:color w:val="auto"/>
          <w:rtl/>
        </w:rPr>
        <w:t xml:space="preserve">          </w:t>
      </w:r>
      <w:r w:rsidRPr="00C85F0F">
        <w:rPr>
          <w:rFonts w:hint="cs"/>
          <w:color w:val="auto"/>
          <w:rtl/>
        </w:rPr>
        <w:t>ما لم يكن فيما له حظٌّ حَصَلْ</w:t>
      </w:r>
      <w:r w:rsidR="00097387">
        <w:rPr>
          <w:rFonts w:hint="cs"/>
          <w:color w:val="auto"/>
          <w:rtl/>
        </w:rPr>
        <w:t>..................</w:t>
      </w:r>
      <w:r>
        <w:rPr>
          <w:rFonts w:hint="cs"/>
          <w:color w:val="auto"/>
          <w:rtl/>
        </w:rPr>
        <w:t>.415</w:t>
      </w:r>
    </w:p>
    <w:p w:rsidR="006E11B5" w:rsidRDefault="006E11B5" w:rsidP="006E11B5">
      <w:pPr>
        <w:ind w:firstLine="0"/>
        <w:rPr>
          <w:rFonts w:ascii="Traditional Arabic" w:hAnsi="Traditional Arabic"/>
          <w:rtl/>
        </w:rPr>
      </w:pPr>
      <w:r w:rsidRPr="00C85F0F">
        <w:rPr>
          <w:rFonts w:ascii="Traditional Arabic" w:hAnsi="Traditional Arabic" w:hint="cs"/>
          <w:rtl/>
        </w:rPr>
        <w:t>كلُّ اسمٍ ليس له حَدٌّ في اللغة ولا في الشرع، فالمرجِعُ فيه إلى العُرف</w:t>
      </w:r>
      <w:r w:rsidR="0009738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160</w:t>
      </w:r>
    </w:p>
    <w:p w:rsidR="006E11B5" w:rsidRPr="00C85F0F" w:rsidRDefault="006E11B5" w:rsidP="006E11B5">
      <w:pPr>
        <w:ind w:firstLine="0"/>
      </w:pPr>
      <w:r w:rsidRPr="00C85F0F">
        <w:rPr>
          <w:rFonts w:hint="cs"/>
          <w:rtl/>
        </w:rPr>
        <w:t>كل أمرٍ يُتَذَرَّعُ به إلى محظورٍ فهو محظور</w:t>
      </w:r>
      <w:r w:rsidR="00097387">
        <w:rPr>
          <w:rFonts w:hint="cs"/>
          <w:rtl/>
        </w:rPr>
        <w:t>..............................................</w:t>
      </w:r>
      <w:r w:rsidRPr="00C85F0F">
        <w:rPr>
          <w:rFonts w:hint="cs"/>
          <w:rtl/>
        </w:rPr>
        <w:t>.</w:t>
      </w:r>
      <w:r>
        <w:rPr>
          <w:rFonts w:hint="cs"/>
          <w:rtl/>
        </w:rPr>
        <w:t>183</w:t>
      </w:r>
    </w:p>
    <w:p w:rsidR="006E11B5" w:rsidRPr="00C85F0F" w:rsidRDefault="006E11B5" w:rsidP="006E11B5">
      <w:pPr>
        <w:ind w:firstLine="0"/>
        <w:rPr>
          <w:color w:val="auto"/>
        </w:rPr>
      </w:pPr>
      <w:r w:rsidRPr="00C85F0F">
        <w:rPr>
          <w:rFonts w:ascii="Traditional Arabic" w:hAnsi="Traditional Arabic" w:hint="cs"/>
          <w:noProof w:val="0"/>
          <w:color w:val="auto"/>
          <w:rtl/>
          <w:lang w:eastAsia="en-US"/>
        </w:rPr>
        <w:t>كل أمين إذا ادعى التلف فإنه يقبل قوله بيمينه</w:t>
      </w:r>
      <w:r w:rsidR="00097387">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415</w:t>
      </w:r>
    </w:p>
    <w:p w:rsidR="006E11B5" w:rsidRDefault="006E11B5" w:rsidP="006E11B5">
      <w:pPr>
        <w:ind w:firstLine="0"/>
        <w:rPr>
          <w:color w:val="auto"/>
          <w:rtl/>
        </w:rPr>
      </w:pPr>
      <w:r w:rsidRPr="00C85F0F">
        <w:rPr>
          <w:rFonts w:ascii="Traditional Arabic" w:hAnsi="Traditional Arabic"/>
          <w:noProof w:val="0"/>
          <w:color w:val="auto"/>
          <w:rtl/>
          <w:lang w:eastAsia="en-US"/>
        </w:rPr>
        <w:t>كل أمين فالقول قول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في الرد على من ائتمنه</w:t>
      </w:r>
      <w:r w:rsidR="00097387">
        <w:rPr>
          <w:rFonts w:hint="cs"/>
          <w:color w:val="auto"/>
          <w:rtl/>
        </w:rPr>
        <w:t>..........................................</w:t>
      </w:r>
      <w:r w:rsidRPr="00C85F0F">
        <w:rPr>
          <w:rFonts w:hint="cs"/>
          <w:color w:val="auto"/>
          <w:rtl/>
        </w:rPr>
        <w:t>.</w:t>
      </w:r>
      <w:r>
        <w:rPr>
          <w:rFonts w:hint="cs"/>
          <w:color w:val="auto"/>
          <w:rtl/>
        </w:rPr>
        <w:t>416</w:t>
      </w:r>
    </w:p>
    <w:p w:rsidR="006E11B5" w:rsidRDefault="006E11B5" w:rsidP="006E11B5">
      <w:pPr>
        <w:ind w:firstLine="0"/>
        <w:rPr>
          <w:rFonts w:ascii="Traditional Arabic" w:hAnsi="Traditional Arabic"/>
          <w:noProof w:val="0"/>
          <w:color w:val="auto"/>
          <w:rtl/>
          <w:lang w:eastAsia="en-US"/>
        </w:rPr>
      </w:pPr>
      <w:r w:rsidRPr="00C85F0F">
        <w:rPr>
          <w:rFonts w:hint="cs"/>
          <w:color w:val="auto"/>
          <w:rtl/>
        </w:rPr>
        <w:t>كل أمين فقوله مقبول في التلف</w:t>
      </w:r>
      <w:r w:rsidR="00097387">
        <w:rPr>
          <w:rFonts w:hint="cs"/>
          <w:color w:val="auto"/>
          <w:rtl/>
        </w:rPr>
        <w:t>.....................................................</w:t>
      </w:r>
      <w:r w:rsidRPr="00C85F0F">
        <w:rPr>
          <w:rFonts w:hint="cs"/>
          <w:color w:val="auto"/>
          <w:rtl/>
        </w:rPr>
        <w:t>.</w:t>
      </w:r>
      <w:r>
        <w:rPr>
          <w:rFonts w:hint="cs"/>
          <w:color w:val="auto"/>
          <w:rtl/>
        </w:rPr>
        <w:t>415</w:t>
      </w:r>
    </w:p>
    <w:p w:rsidR="006E11B5" w:rsidRPr="00C85F0F" w:rsidRDefault="006E11B5" w:rsidP="006E11B5">
      <w:pPr>
        <w:ind w:firstLine="0"/>
      </w:pPr>
      <w:r w:rsidRPr="00C85F0F">
        <w:rPr>
          <w:rFonts w:hint="cs"/>
          <w:rtl/>
        </w:rPr>
        <w:t>كل أمين يدَّعي الردَّ قُبل</w:t>
      </w:r>
      <w:r w:rsidR="00097387">
        <w:rPr>
          <w:rFonts w:hint="cs"/>
          <w:rtl/>
        </w:rPr>
        <w:t>............................................................</w:t>
      </w:r>
      <w:r w:rsidRPr="00C85F0F">
        <w:rPr>
          <w:rFonts w:hint="cs"/>
          <w:rtl/>
        </w:rPr>
        <w:t>.</w:t>
      </w:r>
      <w:r>
        <w:rPr>
          <w:rFonts w:hint="cs"/>
          <w:rtl/>
        </w:rPr>
        <w:t>415</w:t>
      </w:r>
    </w:p>
    <w:p w:rsidR="006E11B5" w:rsidRPr="00C85F0F" w:rsidRDefault="006E11B5" w:rsidP="006E11B5">
      <w:pPr>
        <w:ind w:firstLine="0"/>
      </w:pPr>
      <w:r>
        <w:rPr>
          <w:rFonts w:hint="cs"/>
          <w:rtl/>
        </w:rPr>
        <w:t>كل إنسان أمين</w:t>
      </w:r>
      <w:r w:rsidRPr="00C85F0F">
        <w:rPr>
          <w:rFonts w:hint="cs"/>
          <w:rtl/>
        </w:rPr>
        <w:t xml:space="preserve"> يُقبل قوله فيما ائتُمن فيه</w:t>
      </w:r>
      <w:r w:rsidR="00097387">
        <w:rPr>
          <w:rFonts w:hint="cs"/>
          <w:rtl/>
        </w:rPr>
        <w:t>............................................</w:t>
      </w:r>
      <w:r w:rsidRPr="00C85F0F">
        <w:rPr>
          <w:rFonts w:hint="cs"/>
          <w:rtl/>
        </w:rPr>
        <w:t>.</w:t>
      </w:r>
      <w:r>
        <w:rPr>
          <w:rFonts w:hint="cs"/>
          <w:rtl/>
        </w:rPr>
        <w:t>415</w:t>
      </w:r>
    </w:p>
    <w:p w:rsidR="006E11B5" w:rsidRPr="00C85F0F" w:rsidRDefault="006E11B5" w:rsidP="006E11B5">
      <w:pPr>
        <w:ind w:firstLine="0"/>
      </w:pPr>
      <w:r w:rsidRPr="00C85F0F">
        <w:rPr>
          <w:rFonts w:hint="cs"/>
          <w:rtl/>
        </w:rPr>
        <w:t>كل حرامٍ فالوسيلةُ إليه مثلُه</w:t>
      </w:r>
      <w:r w:rsidR="00097387">
        <w:rPr>
          <w:rFonts w:hint="cs"/>
          <w:rtl/>
        </w:rPr>
        <w:t>.........................................................</w:t>
      </w:r>
      <w:r w:rsidRPr="00C85F0F">
        <w:rPr>
          <w:rFonts w:hint="cs"/>
          <w:rtl/>
        </w:rPr>
        <w:t>.</w:t>
      </w:r>
      <w:r>
        <w:rPr>
          <w:rFonts w:hint="cs"/>
          <w:rtl/>
        </w:rPr>
        <w:t>183</w:t>
      </w:r>
    </w:p>
    <w:p w:rsidR="006E11B5" w:rsidRPr="00C85F0F" w:rsidRDefault="006E11B5" w:rsidP="006E11B5">
      <w:pPr>
        <w:ind w:firstLine="0"/>
        <w:rPr>
          <w:rFonts w:ascii="Traditional Arabic" w:hAnsi="Traditional Arabic"/>
        </w:rPr>
      </w:pPr>
      <w:r w:rsidRPr="00C85F0F">
        <w:rPr>
          <w:rFonts w:ascii="Traditional Arabic" w:hAnsi="Traditional Arabic" w:hint="cs"/>
          <w:rtl/>
        </w:rPr>
        <w:t>كل حرج فإنه م</w:t>
      </w:r>
      <w:r>
        <w:rPr>
          <w:rFonts w:ascii="Traditional Arabic" w:hAnsi="Traditional Arabic" w:hint="cs"/>
          <w:rtl/>
        </w:rPr>
        <w:t>ُ</w:t>
      </w:r>
      <w:r w:rsidRPr="00C85F0F">
        <w:rPr>
          <w:rFonts w:ascii="Traditional Arabic" w:hAnsi="Traditional Arabic" w:hint="cs"/>
          <w:rtl/>
        </w:rPr>
        <w:t>ن</w:t>
      </w:r>
      <w:r>
        <w:rPr>
          <w:rFonts w:ascii="Traditional Arabic" w:hAnsi="Traditional Arabic" w:hint="cs"/>
          <w:rtl/>
        </w:rPr>
        <w:t>ْ</w:t>
      </w:r>
      <w:r w:rsidRPr="00C85F0F">
        <w:rPr>
          <w:rFonts w:ascii="Traditional Arabic" w:hAnsi="Traditional Arabic" w:hint="cs"/>
          <w:rtl/>
        </w:rPr>
        <w:t>تف</w:t>
      </w:r>
      <w:r>
        <w:rPr>
          <w:rFonts w:ascii="Traditional Arabic" w:hAnsi="Traditional Arabic" w:hint="cs"/>
          <w:rtl/>
        </w:rPr>
        <w:t>ٍ</w:t>
      </w:r>
      <w:r w:rsidRPr="00C85F0F">
        <w:rPr>
          <w:rFonts w:ascii="Traditional Arabic" w:hAnsi="Traditional Arabic" w:hint="cs"/>
          <w:rtl/>
        </w:rPr>
        <w:t xml:space="preserve"> شرعا</w:t>
      </w:r>
      <w:r w:rsidR="0009738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497</w:t>
      </w:r>
    </w:p>
    <w:p w:rsidR="006E11B5" w:rsidRDefault="006E11B5" w:rsidP="006E11B5">
      <w:pPr>
        <w:widowControl/>
        <w:autoSpaceDE w:val="0"/>
        <w:autoSpaceDN w:val="0"/>
        <w:adjustRightInd w:val="0"/>
        <w:ind w:firstLine="0"/>
        <w:jc w:val="left"/>
        <w:rPr>
          <w:rFonts w:ascii="Traditional Arabic" w:hAnsi="Traditional Arabic"/>
          <w:noProof w:val="0"/>
          <w:rtl/>
          <w:lang w:eastAsia="en-US"/>
        </w:rPr>
      </w:pPr>
      <w:r w:rsidRPr="00C85F0F">
        <w:rPr>
          <w:rFonts w:ascii="Traditional Arabic" w:hAnsi="Traditional Arabic"/>
          <w:noProof w:val="0"/>
          <w:color w:val="auto"/>
          <w:rtl/>
          <w:lang w:eastAsia="en-US"/>
        </w:rPr>
        <w:t>كل حق</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اخت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لط بغير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وجه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لنا الق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 في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00097387">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403</w:t>
      </w:r>
    </w:p>
    <w:p w:rsidR="006E11B5" w:rsidRDefault="006E11B5" w:rsidP="006E11B5">
      <w:pPr>
        <w:ind w:firstLine="0"/>
        <w:rPr>
          <w:rtl/>
        </w:rPr>
      </w:pPr>
      <w:r w:rsidRPr="00C85F0F">
        <w:rPr>
          <w:rFonts w:hint="cs"/>
          <w:rtl/>
        </w:rPr>
        <w:t>كل حيلة تضمَّنت إسقاطَ حقٍّ لله أو لآدَميّ فهي مُنْدَرِجة فيما يُستحَلّ به الْمَحارِم</w:t>
      </w:r>
      <w:r w:rsidR="00097387">
        <w:rPr>
          <w:rFonts w:hint="cs"/>
          <w:rtl/>
        </w:rPr>
        <w:t>....</w:t>
      </w:r>
      <w:r w:rsidRPr="00C85F0F">
        <w:rPr>
          <w:rFonts w:hint="cs"/>
          <w:rtl/>
        </w:rPr>
        <w:t>.</w:t>
      </w:r>
      <w:r w:rsidR="00097387">
        <w:rPr>
          <w:rFonts w:hint="cs"/>
          <w:rtl/>
        </w:rPr>
        <w:t>...</w:t>
      </w:r>
      <w:r>
        <w:rPr>
          <w:rFonts w:hint="cs"/>
          <w:rtl/>
        </w:rPr>
        <w:t>224</w:t>
      </w:r>
    </w:p>
    <w:p w:rsidR="006E11B5" w:rsidRDefault="006E11B5" w:rsidP="006E11B5">
      <w:pPr>
        <w:ind w:firstLine="0"/>
        <w:rPr>
          <w:rtl/>
        </w:rPr>
      </w:pPr>
      <w:r w:rsidRPr="00C85F0F">
        <w:rPr>
          <w:rFonts w:hint="cs"/>
          <w:rtl/>
        </w:rPr>
        <w:t>كل حيلة على إسقاطِ واجب أو انْتِهاكِ محرَّم فهي حرام</w:t>
      </w:r>
      <w:r w:rsidR="00097387">
        <w:rPr>
          <w:rFonts w:hint="cs"/>
          <w:rtl/>
        </w:rPr>
        <w:t>................................</w:t>
      </w:r>
      <w:r w:rsidRPr="00C85F0F">
        <w:rPr>
          <w:rFonts w:hint="cs"/>
          <w:rtl/>
        </w:rPr>
        <w:t>.</w:t>
      </w:r>
      <w:r>
        <w:rPr>
          <w:rFonts w:hint="cs"/>
          <w:rtl/>
        </w:rPr>
        <w:t>223</w:t>
      </w:r>
    </w:p>
    <w:p w:rsidR="006E11B5" w:rsidRPr="00C85F0F" w:rsidRDefault="006E11B5" w:rsidP="006E11B5">
      <w:pPr>
        <w:ind w:firstLine="0"/>
      </w:pPr>
      <w:r w:rsidRPr="00C85F0F">
        <w:rPr>
          <w:rFonts w:hint="cs"/>
          <w:rtl/>
        </w:rPr>
        <w:t>كلُّ ذي حقٍّ فَلَهُ أن يُسْقِط حقَّه</w:t>
      </w:r>
      <w:r w:rsidR="00097387">
        <w:rPr>
          <w:rFonts w:hint="cs"/>
          <w:rtl/>
        </w:rPr>
        <w:t>....................................................</w:t>
      </w:r>
      <w:r w:rsidRPr="00C85F0F">
        <w:rPr>
          <w:rFonts w:hint="cs"/>
          <w:rtl/>
        </w:rPr>
        <w:t>.</w:t>
      </w:r>
      <w:r>
        <w:rPr>
          <w:rFonts w:hint="cs"/>
          <w:rtl/>
        </w:rPr>
        <w:t>395</w:t>
      </w:r>
    </w:p>
    <w:p w:rsidR="006E11B5" w:rsidRDefault="006E11B5" w:rsidP="006E11B5">
      <w:pPr>
        <w:ind w:firstLine="0"/>
        <w:rPr>
          <w:rtl/>
        </w:rPr>
      </w:pPr>
      <w:r w:rsidRPr="00C85F0F">
        <w:rPr>
          <w:rFonts w:hint="cs"/>
          <w:rtl/>
        </w:rPr>
        <w:lastRenderedPageBreak/>
        <w:t>كل سببٍ يُفضي إلى الفساد نُهي عنه إذا لم يكن فيه مصلحة راجحة</w:t>
      </w:r>
      <w:r w:rsidR="00097387">
        <w:rPr>
          <w:rFonts w:hint="cs"/>
          <w:rtl/>
        </w:rPr>
        <w:t>...................</w:t>
      </w:r>
      <w:r>
        <w:rPr>
          <w:rFonts w:hint="cs"/>
          <w:rtl/>
        </w:rPr>
        <w:t>.183</w:t>
      </w:r>
    </w:p>
    <w:p w:rsidR="006E11B5" w:rsidRPr="00C85F0F" w:rsidRDefault="006E11B5" w:rsidP="006E11B5">
      <w:pPr>
        <w:ind w:firstLine="0"/>
      </w:pPr>
      <w:r w:rsidRPr="00C85F0F">
        <w:rPr>
          <w:rFonts w:hint="cs"/>
          <w:rtl/>
        </w:rPr>
        <w:t>كل شرط فاسد فهو حرام</w:t>
      </w:r>
      <w:r w:rsidR="00097387">
        <w:rPr>
          <w:rFonts w:hint="cs"/>
          <w:rtl/>
        </w:rPr>
        <w:t>..........................................................</w:t>
      </w:r>
      <w:r w:rsidRPr="00C85F0F">
        <w:rPr>
          <w:rFonts w:hint="cs"/>
          <w:rtl/>
        </w:rPr>
        <w:t>.</w:t>
      </w:r>
      <w:r>
        <w:rPr>
          <w:rFonts w:hint="cs"/>
          <w:rtl/>
        </w:rPr>
        <w:t>368</w:t>
      </w:r>
    </w:p>
    <w:p w:rsidR="006E11B5" w:rsidRDefault="006E11B5" w:rsidP="006E11B5">
      <w:pPr>
        <w:ind w:firstLine="0"/>
        <w:rPr>
          <w:rFonts w:ascii="Traditional Arabic" w:hAnsi="Traditional Arabic"/>
          <w:rtl/>
        </w:rPr>
      </w:pPr>
      <w:r w:rsidRPr="00C85F0F">
        <w:rPr>
          <w:rFonts w:hint="cs"/>
          <w:rtl/>
        </w:rPr>
        <w:t>كلُّ شيءٍ أتى في ال</w:t>
      </w:r>
      <w:r>
        <w:rPr>
          <w:rFonts w:hint="cs"/>
          <w:rtl/>
        </w:rPr>
        <w:t>نصِّ...</w:t>
      </w:r>
      <w:r w:rsidRPr="00C85F0F">
        <w:rPr>
          <w:rFonts w:hint="cs"/>
          <w:rtl/>
        </w:rPr>
        <w:t>ولم يُحَدَّد، فإنه يُرْجَعُ فيه إلى العرف</w:t>
      </w:r>
      <w:r w:rsidR="00097387">
        <w:rPr>
          <w:rFonts w:hint="cs"/>
          <w:rtl/>
        </w:rPr>
        <w:t>..........................</w:t>
      </w:r>
      <w:r w:rsidRPr="00C85F0F">
        <w:rPr>
          <w:rFonts w:hint="cs"/>
          <w:rtl/>
        </w:rPr>
        <w:t>.</w:t>
      </w:r>
      <w:r>
        <w:rPr>
          <w:rFonts w:ascii="Traditional Arabic" w:hAnsi="Traditional Arabic" w:hint="cs"/>
          <w:rtl/>
        </w:rPr>
        <w:t>159</w:t>
      </w:r>
    </w:p>
    <w:p w:rsidR="006E11B5" w:rsidRDefault="006E11B5" w:rsidP="006E11B5">
      <w:pPr>
        <w:ind w:firstLine="0"/>
        <w:rPr>
          <w:rtl/>
        </w:rPr>
      </w:pPr>
      <w:r w:rsidRPr="00C85F0F">
        <w:rPr>
          <w:rFonts w:hint="cs"/>
          <w:rtl/>
        </w:rPr>
        <w:t>كلُّ شيءٍ أتى ولم يُحدَّد، يُرْجَع فيه إلى العُرف</w:t>
      </w:r>
      <w:r w:rsidR="00097387">
        <w:rPr>
          <w:rFonts w:hint="cs"/>
          <w:rtl/>
        </w:rPr>
        <w:t>.........................................</w:t>
      </w:r>
      <w:r w:rsidRPr="00C85F0F">
        <w:rPr>
          <w:rFonts w:hint="cs"/>
          <w:rtl/>
        </w:rPr>
        <w:t>.</w:t>
      </w:r>
      <w:r>
        <w:rPr>
          <w:rFonts w:hint="cs"/>
          <w:rtl/>
        </w:rPr>
        <w:t>158</w:t>
      </w:r>
    </w:p>
    <w:p w:rsidR="006E11B5" w:rsidRDefault="006E11B5" w:rsidP="006E11B5">
      <w:pPr>
        <w:ind w:firstLine="0"/>
        <w:rPr>
          <w:color w:val="auto"/>
          <w:rtl/>
        </w:rPr>
      </w:pPr>
      <w:r w:rsidRPr="00C85F0F">
        <w:rPr>
          <w:rFonts w:hint="cs"/>
          <w:color w:val="auto"/>
          <w:rtl/>
        </w:rPr>
        <w:t>كل شيء أ</w:t>
      </w:r>
      <w:r>
        <w:rPr>
          <w:rFonts w:hint="cs"/>
          <w:color w:val="auto"/>
          <w:rtl/>
        </w:rPr>
        <w:t>ُ</w:t>
      </w:r>
      <w:r w:rsidRPr="00C85F0F">
        <w:rPr>
          <w:rFonts w:hint="cs"/>
          <w:color w:val="auto"/>
          <w:rtl/>
        </w:rPr>
        <w:t>خذ بإذن الشرع أو بإذن مالكه فإنه غير مضمون إلا بتعد أو تفريط</w:t>
      </w:r>
      <w:r w:rsidR="00097387">
        <w:rPr>
          <w:rFonts w:hint="cs"/>
          <w:color w:val="auto"/>
          <w:rtl/>
        </w:rPr>
        <w:t>...........</w:t>
      </w:r>
      <w:r w:rsidRPr="00C85F0F">
        <w:rPr>
          <w:rFonts w:hint="cs"/>
          <w:color w:val="auto"/>
          <w:rtl/>
        </w:rPr>
        <w:t>.</w:t>
      </w:r>
      <w:r>
        <w:rPr>
          <w:rFonts w:hint="cs"/>
          <w:color w:val="auto"/>
          <w:rtl/>
        </w:rPr>
        <w:t>351</w:t>
      </w:r>
    </w:p>
    <w:p w:rsidR="006E11B5" w:rsidRPr="00C85F0F" w:rsidRDefault="006E11B5" w:rsidP="006E11B5">
      <w:pPr>
        <w:ind w:firstLine="0"/>
      </w:pPr>
      <w:r w:rsidRPr="00C85F0F">
        <w:rPr>
          <w:rFonts w:hint="cs"/>
          <w:rtl/>
        </w:rPr>
        <w:t>كل شيء لايصحّ فهو حرام</w:t>
      </w:r>
      <w:r w:rsidR="00097387">
        <w:rPr>
          <w:rFonts w:hint="cs"/>
          <w:rtl/>
        </w:rPr>
        <w:t>........................................................</w:t>
      </w:r>
      <w:r w:rsidRPr="00C85F0F">
        <w:rPr>
          <w:rFonts w:hint="cs"/>
          <w:rtl/>
        </w:rPr>
        <w:t>.</w:t>
      </w:r>
      <w:r>
        <w:rPr>
          <w:rFonts w:hint="cs"/>
          <w:rtl/>
        </w:rPr>
        <w:t>368</w:t>
      </w:r>
    </w:p>
    <w:p w:rsidR="006E11B5" w:rsidRDefault="006E11B5" w:rsidP="006E11B5">
      <w:pPr>
        <w:ind w:firstLine="0"/>
        <w:jc w:val="left"/>
        <w:rPr>
          <w:rFonts w:ascii="Traditional Arabic" w:hAnsi="Traditional Arabic"/>
          <w:rtl/>
        </w:rPr>
      </w:pPr>
      <w:r>
        <w:rPr>
          <w:rFonts w:ascii="Traditional Arabic" w:hAnsi="Traditional Arabic" w:hint="cs"/>
          <w:rtl/>
        </w:rPr>
        <w:t>كل شيء م</w:t>
      </w:r>
      <w:r>
        <w:rPr>
          <w:rFonts w:ascii="Traditional Arabic" w:hAnsi="Traditional Arabic"/>
          <w:rtl/>
        </w:rPr>
        <w:t>ُ</w:t>
      </w:r>
      <w:r>
        <w:rPr>
          <w:rFonts w:ascii="Traditional Arabic" w:hAnsi="Traditional Arabic" w:hint="cs"/>
          <w:rtl/>
        </w:rPr>
        <w:t>ض</w:t>
      </w:r>
      <w:r>
        <w:rPr>
          <w:rFonts w:ascii="Traditional Arabic" w:hAnsi="Traditional Arabic"/>
          <w:rtl/>
        </w:rPr>
        <w:t>ِ</w:t>
      </w:r>
      <w:r>
        <w:rPr>
          <w:rFonts w:ascii="Traditional Arabic" w:hAnsi="Traditional Arabic" w:hint="cs"/>
          <w:rtl/>
        </w:rPr>
        <w:t>ر</w:t>
      </w:r>
      <w:r>
        <w:rPr>
          <w:rFonts w:ascii="Traditional Arabic" w:hAnsi="Traditional Arabic"/>
          <w:rtl/>
        </w:rPr>
        <w:t>ّ</w:t>
      </w:r>
      <w:r>
        <w:rPr>
          <w:rFonts w:ascii="Traditional Arabic" w:hAnsi="Traditional Arabic" w:hint="cs"/>
          <w:rtl/>
        </w:rPr>
        <w:t xml:space="preserve"> </w:t>
      </w:r>
      <w:r>
        <w:rPr>
          <w:rFonts w:ascii="Traditional Arabic" w:hAnsi="Traditional Arabic"/>
          <w:rtl/>
        </w:rPr>
        <w:t>ﻓﺈ</w:t>
      </w:r>
      <w:r>
        <w:rPr>
          <w:rFonts w:ascii="Traditional Arabic" w:hAnsi="Traditional Arabic" w:hint="cs"/>
          <w:rtl/>
        </w:rPr>
        <w:t>نه منهي</w:t>
      </w:r>
      <w:r>
        <w:rPr>
          <w:rFonts w:ascii="Traditional Arabic" w:hAnsi="Traditional Arabic"/>
          <w:rtl/>
        </w:rPr>
        <w:t>ٌّ</w:t>
      </w:r>
      <w:r>
        <w:rPr>
          <w:rFonts w:ascii="Traditional Arabic" w:hAnsi="Traditional Arabic" w:hint="cs"/>
          <w:rtl/>
        </w:rPr>
        <w:t xml:space="preserve"> عنه شرع</w:t>
      </w:r>
      <w:r>
        <w:rPr>
          <w:rFonts w:ascii="Traditional Arabic" w:hAnsi="Traditional Arabic"/>
          <w:rtl/>
        </w:rPr>
        <w:t>ً</w:t>
      </w:r>
      <w:r>
        <w:rPr>
          <w:rFonts w:ascii="Traditional Arabic" w:hAnsi="Traditional Arabic" w:hint="cs"/>
          <w:rtl/>
        </w:rPr>
        <w:t>ا</w:t>
      </w:r>
      <w:r w:rsidR="00097387">
        <w:rPr>
          <w:rFonts w:ascii="Traditional Arabic" w:hAnsi="Traditional Arabic" w:hint="cs"/>
          <w:rtl/>
        </w:rPr>
        <w:t>.................................................</w:t>
      </w:r>
      <w:r>
        <w:rPr>
          <w:rFonts w:ascii="Traditional Arabic" w:hAnsi="Traditional Arabic" w:hint="cs"/>
          <w:rtl/>
        </w:rPr>
        <w:t>.245</w:t>
      </w:r>
    </w:p>
    <w:p w:rsidR="006E11B5" w:rsidRPr="00C85F0F" w:rsidRDefault="006E11B5" w:rsidP="006E11B5">
      <w:pPr>
        <w:ind w:firstLine="0"/>
      </w:pPr>
      <w:r w:rsidRPr="00C85F0F">
        <w:rPr>
          <w:rFonts w:hint="cs"/>
          <w:rtl/>
        </w:rPr>
        <w:t>كلُّ شيء من عبادةٍ أو مُعامَلةٍ لا يصحُّ إلا باجتماع شروطه وانتفاء موانعه</w:t>
      </w:r>
      <w:r w:rsidR="00097387">
        <w:rPr>
          <w:rFonts w:hint="cs"/>
          <w:rtl/>
        </w:rPr>
        <w:t>...............</w:t>
      </w:r>
      <w:r w:rsidRPr="00C85F0F">
        <w:rPr>
          <w:rFonts w:hint="cs"/>
          <w:rtl/>
        </w:rPr>
        <w:t>.</w:t>
      </w:r>
      <w:r>
        <w:rPr>
          <w:rFonts w:hint="cs"/>
          <w:rtl/>
        </w:rPr>
        <w:t>489</w:t>
      </w:r>
    </w:p>
    <w:p w:rsidR="006E11B5" w:rsidRDefault="006E11B5" w:rsidP="006E11B5">
      <w:pPr>
        <w:ind w:firstLine="0"/>
        <w:rPr>
          <w:rtl/>
        </w:rPr>
      </w:pPr>
      <w:r w:rsidRPr="00C85F0F">
        <w:rPr>
          <w:rFonts w:hint="cs"/>
          <w:rtl/>
        </w:rPr>
        <w:t>كل شيء يأتي به الشرع مِن غيرِ تحديدٍ، فإنه يُرجَع فيه إلى العُرف</w:t>
      </w:r>
      <w:r w:rsidR="00097387">
        <w:rPr>
          <w:rFonts w:hint="cs"/>
          <w:rtl/>
        </w:rPr>
        <w:t>.......................</w:t>
      </w:r>
      <w:r w:rsidRPr="00C85F0F">
        <w:rPr>
          <w:rFonts w:hint="cs"/>
          <w:rtl/>
        </w:rPr>
        <w:t>.</w:t>
      </w:r>
      <w:r>
        <w:rPr>
          <w:rFonts w:hint="cs"/>
          <w:rtl/>
        </w:rPr>
        <w:t>158</w:t>
      </w:r>
    </w:p>
    <w:p w:rsidR="006E11B5" w:rsidRDefault="006E11B5" w:rsidP="006E11B5">
      <w:pPr>
        <w:ind w:firstLine="0"/>
        <w:rPr>
          <w:rtl/>
        </w:rPr>
      </w:pPr>
      <w:r w:rsidRPr="00C85F0F">
        <w:rPr>
          <w:rFonts w:ascii="Traditional Arabic" w:hAnsi="Traditional Arabic"/>
          <w:noProof w:val="0"/>
          <w:rtl/>
          <w:lang w:eastAsia="en-US"/>
        </w:rPr>
        <w:t>كل شيء يطلقه الشارع ولم يقيده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فإنه يرجع فيه إلى العرف</w:t>
      </w:r>
      <w:r w:rsidR="00097387">
        <w:rPr>
          <w:rFonts w:ascii="Traditional Arabic" w:hAnsi="Traditional Arabic" w:hint="cs"/>
          <w:noProof w:val="0"/>
          <w:rtl/>
          <w:lang w:eastAsia="en-US"/>
        </w:rPr>
        <w:t>............................</w:t>
      </w:r>
      <w:r w:rsidRPr="00C85F0F">
        <w:rPr>
          <w:rFonts w:ascii="Traditional Arabic" w:hAnsi="Traditional Arabic"/>
          <w:noProof w:val="0"/>
          <w:rtl/>
          <w:lang w:eastAsia="en-US"/>
        </w:rPr>
        <w:t>.</w:t>
      </w:r>
      <w:r>
        <w:rPr>
          <w:rFonts w:ascii="Traditional Arabic" w:hAnsi="Traditional Arabic" w:hint="cs"/>
          <w:noProof w:val="0"/>
          <w:rtl/>
          <w:lang w:eastAsia="en-US"/>
        </w:rPr>
        <w:t>159</w:t>
      </w:r>
    </w:p>
    <w:p w:rsidR="006E11B5" w:rsidRDefault="006E11B5" w:rsidP="006E11B5">
      <w:pPr>
        <w:ind w:firstLine="0"/>
        <w:jc w:val="left"/>
        <w:rPr>
          <w:rFonts w:ascii="Traditional Arabic" w:hAnsi="Traditional Arabic"/>
        </w:rPr>
      </w:pPr>
      <w:r w:rsidRPr="00386532">
        <w:rPr>
          <w:rFonts w:ascii="Traditional Arabic" w:hAnsi="Traditional Arabic"/>
          <w:rtl/>
        </w:rPr>
        <w:t>كل ضار</w:t>
      </w:r>
      <w:r>
        <w:rPr>
          <w:rFonts w:ascii="Traditional Arabic" w:hAnsi="Traditional Arabic"/>
          <w:rtl/>
        </w:rPr>
        <w:t>ّ</w:t>
      </w:r>
      <w:r w:rsidRPr="00386532">
        <w:rPr>
          <w:rFonts w:ascii="Traditional Arabic" w:hAnsi="Traditional Arabic"/>
          <w:rtl/>
        </w:rPr>
        <w:t xml:space="preserve"> ﻓﺈنه ممنوع شرع</w:t>
      </w:r>
      <w:r>
        <w:rPr>
          <w:rFonts w:ascii="Traditional Arabic" w:hAnsi="Traditional Arabic"/>
          <w:rtl/>
        </w:rPr>
        <w:t>ً</w:t>
      </w:r>
      <w:r>
        <w:rPr>
          <w:rFonts w:ascii="Traditional Arabic" w:hAnsi="Traditional Arabic" w:hint="cs"/>
          <w:rtl/>
        </w:rPr>
        <w:t>ا</w:t>
      </w:r>
      <w:r w:rsidR="00097387">
        <w:rPr>
          <w:rFonts w:ascii="Traditional Arabic" w:hAnsi="Traditional Arabic" w:hint="cs"/>
          <w:rtl/>
        </w:rPr>
        <w:t>..........................................................</w:t>
      </w:r>
      <w:r>
        <w:rPr>
          <w:rFonts w:ascii="Traditional Arabic" w:hAnsi="Traditional Arabic" w:hint="cs"/>
          <w:rtl/>
        </w:rPr>
        <w:t>.245</w:t>
      </w:r>
    </w:p>
    <w:p w:rsidR="006E11B5" w:rsidRDefault="006E11B5" w:rsidP="006E11B5">
      <w:pPr>
        <w:ind w:firstLine="0"/>
        <w:rPr>
          <w:rtl/>
        </w:rPr>
      </w:pPr>
      <w:r w:rsidRPr="00C85F0F">
        <w:rPr>
          <w:rFonts w:ascii="Traditional Arabic" w:hAnsi="Traditional Arabic"/>
          <w:noProof w:val="0"/>
          <w:rtl/>
          <w:lang w:eastAsia="en-US"/>
        </w:rPr>
        <w:t>كل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عقد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جائز</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من الطرفين فإن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لكل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منهما 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س</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إلا إذا 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ص</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 الإض</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رار</w:t>
      </w:r>
      <w:r w:rsidRPr="00C85F0F">
        <w:rPr>
          <w:rFonts w:ascii="Traditional Arabic" w:hAnsi="Traditional Arabic" w:hint="cs"/>
          <w:noProof w:val="0"/>
          <w:rtl/>
          <w:lang w:eastAsia="en-US"/>
        </w:rPr>
        <w:t>َ</w:t>
      </w:r>
      <w:r>
        <w:rPr>
          <w:rFonts w:ascii="Traditional Arabic" w:hAnsi="Traditional Arabic" w:hint="cs"/>
          <w:noProof w:val="0"/>
          <w:rtl/>
          <w:lang w:eastAsia="en-US"/>
        </w:rPr>
        <w:t xml:space="preserve"> </w:t>
      </w:r>
      <w:r w:rsidRPr="00C85F0F">
        <w:rPr>
          <w:rFonts w:ascii="Traditional Arabic" w:hAnsi="Traditional Arabic"/>
          <w:noProof w:val="0"/>
          <w:rtl/>
          <w:lang w:eastAsia="en-US"/>
        </w:rPr>
        <w:t>بالآخ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00097387">
        <w:rPr>
          <w:rFonts w:hint="cs"/>
          <w:rtl/>
        </w:rPr>
        <w:t>..........</w:t>
      </w:r>
      <w:r w:rsidRPr="00C85F0F">
        <w:rPr>
          <w:rFonts w:hint="cs"/>
          <w:rtl/>
        </w:rPr>
        <w:t>.</w:t>
      </w:r>
      <w:r>
        <w:rPr>
          <w:rFonts w:hint="cs"/>
          <w:rtl/>
        </w:rPr>
        <w:t>262</w:t>
      </w:r>
    </w:p>
    <w:p w:rsidR="006E11B5" w:rsidRPr="00C85F0F" w:rsidRDefault="006E11B5" w:rsidP="006E11B5">
      <w:pPr>
        <w:ind w:firstLine="0"/>
      </w:pPr>
      <w:r w:rsidRPr="00C85F0F">
        <w:rPr>
          <w:rFonts w:hint="cs"/>
          <w:rtl/>
        </w:rPr>
        <w:t>كل عقد فاسد وكل شرط فاسد وكل عبادة فاسدة، فإنه يحرُم المُضِيُّ فيها</w:t>
      </w:r>
      <w:r w:rsidR="00097387">
        <w:rPr>
          <w:rFonts w:hint="cs"/>
          <w:rtl/>
        </w:rPr>
        <w:t>................</w:t>
      </w:r>
      <w:r w:rsidRPr="00C85F0F">
        <w:rPr>
          <w:rFonts w:hint="cs"/>
          <w:rtl/>
        </w:rPr>
        <w:t>.</w:t>
      </w:r>
      <w:r>
        <w:rPr>
          <w:rFonts w:hint="cs"/>
          <w:rtl/>
        </w:rPr>
        <w:t>368</w:t>
      </w:r>
    </w:p>
    <w:p w:rsidR="006E11B5" w:rsidRPr="00C85F0F" w:rsidRDefault="006E11B5" w:rsidP="006E11B5">
      <w:pPr>
        <w:ind w:firstLine="0"/>
      </w:pPr>
      <w:r w:rsidRPr="00C85F0F">
        <w:rPr>
          <w:rFonts w:hint="cs"/>
          <w:rtl/>
        </w:rPr>
        <w:t>كل عقد فاسد، وكل شرط فاسد... فهو حرام</w:t>
      </w:r>
      <w:r w:rsidR="00097387">
        <w:rPr>
          <w:rFonts w:hint="cs"/>
          <w:rtl/>
        </w:rPr>
        <w:t>.......................................</w:t>
      </w:r>
      <w:r w:rsidRPr="00C85F0F">
        <w:rPr>
          <w:rFonts w:hint="cs"/>
          <w:rtl/>
        </w:rPr>
        <w:t>.</w:t>
      </w:r>
      <w:r>
        <w:rPr>
          <w:rFonts w:hint="cs"/>
          <w:rtl/>
        </w:rPr>
        <w:t>368</w:t>
      </w:r>
    </w:p>
    <w:p w:rsidR="006E11B5" w:rsidRDefault="006E11B5" w:rsidP="006E11B5">
      <w:pPr>
        <w:ind w:firstLine="0"/>
        <w:rPr>
          <w:rtl/>
        </w:rPr>
      </w:pPr>
      <w:r w:rsidRPr="00C85F0F">
        <w:rPr>
          <w:rFonts w:hint="cs"/>
          <w:rtl/>
        </w:rPr>
        <w:t>كل غارِمٍ فالقولُ قولُه</w:t>
      </w:r>
      <w:r w:rsidR="00097387">
        <w:rPr>
          <w:rFonts w:hint="cs"/>
          <w:rtl/>
        </w:rPr>
        <w:t>..............................................................</w:t>
      </w:r>
      <w:r w:rsidRPr="00C85F0F">
        <w:rPr>
          <w:rFonts w:hint="cs"/>
          <w:rtl/>
        </w:rPr>
        <w:t>.</w:t>
      </w:r>
      <w:r>
        <w:rPr>
          <w:rFonts w:hint="cs"/>
          <w:rtl/>
        </w:rPr>
        <w:t>411</w:t>
      </w:r>
    </w:p>
    <w:p w:rsidR="006E11B5" w:rsidRPr="00C85F0F" w:rsidRDefault="006E11B5" w:rsidP="006E11B5">
      <w:pPr>
        <w:ind w:firstLine="0"/>
      </w:pPr>
      <w:r w:rsidRPr="00C85F0F">
        <w:rPr>
          <w:rFonts w:hint="cs"/>
          <w:rtl/>
        </w:rPr>
        <w:t>كل غارم فإنه يُقبل قوله فيما غَرِم مع يمينه</w:t>
      </w:r>
      <w:r w:rsidR="00097387">
        <w:rPr>
          <w:rFonts w:hint="cs"/>
          <w:rtl/>
        </w:rPr>
        <w:t>............................................</w:t>
      </w:r>
      <w:r w:rsidRPr="00C85F0F">
        <w:rPr>
          <w:rFonts w:hint="cs"/>
          <w:rtl/>
        </w:rPr>
        <w:t>.</w:t>
      </w:r>
      <w:r>
        <w:rPr>
          <w:rFonts w:hint="cs"/>
          <w:rtl/>
        </w:rPr>
        <w:t>411</w:t>
      </w:r>
    </w:p>
    <w:p w:rsidR="006E11B5" w:rsidRDefault="006E11B5" w:rsidP="006E11B5">
      <w:pPr>
        <w:ind w:firstLine="0"/>
        <w:rPr>
          <w:rtl/>
        </w:rPr>
      </w:pPr>
      <w:r w:rsidRPr="00C85F0F">
        <w:rPr>
          <w:rFonts w:hint="cs"/>
          <w:rtl/>
        </w:rPr>
        <w:t>كل فاسد من العبادات والعقود والشروط فإنه محرَّم</w:t>
      </w:r>
      <w:r w:rsidR="00097387">
        <w:rPr>
          <w:rFonts w:hint="cs"/>
          <w:rtl/>
        </w:rPr>
        <w:t>....................................</w:t>
      </w:r>
      <w:r w:rsidRPr="00C85F0F">
        <w:rPr>
          <w:rFonts w:hint="cs"/>
          <w:rtl/>
        </w:rPr>
        <w:t>.</w:t>
      </w:r>
      <w:r>
        <w:rPr>
          <w:rFonts w:hint="cs"/>
          <w:rtl/>
        </w:rPr>
        <w:t>368</w:t>
      </w:r>
    </w:p>
    <w:p w:rsidR="006E11B5" w:rsidRPr="00C85F0F" w:rsidRDefault="006E11B5" w:rsidP="006E11B5">
      <w:pPr>
        <w:ind w:firstLine="0"/>
      </w:pPr>
      <w:r w:rsidRPr="00C85F0F">
        <w:rPr>
          <w:rFonts w:ascii="Traditional Arabic" w:hAnsi="Traditional Arabic" w:hint="cs"/>
          <w:rtl/>
        </w:rPr>
        <w:t>كلُّ لَفْظٍ يدُلُّ على العقد فإن اللفظ ينعقِد به</w:t>
      </w:r>
      <w:r w:rsidR="00097387">
        <w:rPr>
          <w:rFonts w:ascii="Traditional Arabic" w:hAnsi="Traditional Arabic" w:hint="cs"/>
          <w:rtl/>
        </w:rPr>
        <w:t>.........................................</w:t>
      </w:r>
      <w:r w:rsidRPr="00C85F0F">
        <w:rPr>
          <w:rFonts w:ascii="Traditional Arabic" w:hAnsi="Traditional Arabic" w:hint="cs"/>
          <w:rtl/>
        </w:rPr>
        <w:t>.</w:t>
      </w:r>
      <w:r>
        <w:rPr>
          <w:rFonts w:hint="cs"/>
          <w:rtl/>
        </w:rPr>
        <w:t>165</w:t>
      </w:r>
    </w:p>
    <w:p w:rsidR="006E11B5" w:rsidRDefault="006E11B5" w:rsidP="006E11B5">
      <w:pPr>
        <w:ind w:firstLine="0"/>
        <w:rPr>
          <w:rFonts w:ascii="Traditional Arabic" w:hAnsi="Traditional Arabic"/>
          <w:rtl/>
        </w:rPr>
      </w:pPr>
      <w:r w:rsidRPr="00C85F0F">
        <w:rPr>
          <w:rFonts w:ascii="Traditional Arabic" w:hAnsi="Traditional Arabic"/>
          <w:rtl/>
        </w:rPr>
        <w:t>كل ما أتى في الكتاب والسنة م</w:t>
      </w:r>
      <w:r w:rsidRPr="00C85F0F">
        <w:rPr>
          <w:rFonts w:ascii="Traditional Arabic" w:hAnsi="Traditional Arabic" w:hint="cs"/>
          <w:rtl/>
        </w:rPr>
        <w:t>ُ</w:t>
      </w:r>
      <w:r w:rsidRPr="00C85F0F">
        <w:rPr>
          <w:rFonts w:ascii="Traditional Arabic" w:hAnsi="Traditional Arabic"/>
          <w:rtl/>
        </w:rPr>
        <w:t>طلقاً بدون ق</w:t>
      </w:r>
      <w:r w:rsidRPr="00C85F0F">
        <w:rPr>
          <w:rFonts w:ascii="Traditional Arabic" w:hAnsi="Traditional Arabic" w:hint="cs"/>
          <w:rtl/>
        </w:rPr>
        <w:t>َ</w:t>
      </w:r>
      <w:r w:rsidRPr="00C85F0F">
        <w:rPr>
          <w:rFonts w:ascii="Traditional Arabic" w:hAnsi="Traditional Arabic"/>
          <w:rtl/>
        </w:rPr>
        <w:t>ي</w:t>
      </w:r>
      <w:r w:rsidRPr="00C85F0F">
        <w:rPr>
          <w:rFonts w:ascii="Traditional Arabic" w:hAnsi="Traditional Arabic" w:hint="cs"/>
          <w:rtl/>
        </w:rPr>
        <w:t>ْ</w:t>
      </w:r>
      <w:r w:rsidRPr="00C85F0F">
        <w:rPr>
          <w:rFonts w:ascii="Traditional Arabic" w:hAnsi="Traditional Arabic"/>
          <w:rtl/>
        </w:rPr>
        <w:t>د</w:t>
      </w:r>
      <w:r w:rsidRPr="00C85F0F">
        <w:rPr>
          <w:rFonts w:ascii="Traditional Arabic" w:hAnsi="Traditional Arabic" w:hint="cs"/>
          <w:rtl/>
        </w:rPr>
        <w:t>ٍ</w:t>
      </w:r>
      <w:r w:rsidRPr="00C85F0F">
        <w:rPr>
          <w:rFonts w:ascii="Traditional Arabic" w:hAnsi="Traditional Arabic"/>
          <w:rtl/>
        </w:rPr>
        <w:t xml:space="preserve"> شرعي</w:t>
      </w:r>
      <w:r w:rsidRPr="00C85F0F">
        <w:rPr>
          <w:rFonts w:ascii="Traditional Arabic" w:hAnsi="Traditional Arabic" w:hint="cs"/>
          <w:rtl/>
        </w:rPr>
        <w:t>ٍّ</w:t>
      </w:r>
      <w:r w:rsidRPr="00C85F0F">
        <w:rPr>
          <w:rFonts w:ascii="Traditional Arabic" w:hAnsi="Traditional Arabic"/>
          <w:rtl/>
        </w:rPr>
        <w:t>، فإنه يُرج</w:t>
      </w:r>
      <w:r w:rsidRPr="00C85F0F">
        <w:rPr>
          <w:rFonts w:ascii="Traditional Arabic" w:hAnsi="Traditional Arabic" w:hint="cs"/>
          <w:rtl/>
        </w:rPr>
        <w:t>َ</w:t>
      </w:r>
      <w:r w:rsidRPr="00C85F0F">
        <w:rPr>
          <w:rFonts w:ascii="Traditional Arabic" w:hAnsi="Traditional Arabic"/>
          <w:rtl/>
        </w:rPr>
        <w:t>ع فيه إلى العُرف</w:t>
      </w:r>
      <w:r w:rsidR="0009738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159</w:t>
      </w:r>
    </w:p>
    <w:p w:rsidR="006E11B5" w:rsidRPr="00C85F0F" w:rsidRDefault="006E11B5" w:rsidP="006E11B5">
      <w:pPr>
        <w:ind w:firstLine="0"/>
        <w:rPr>
          <w:rFonts w:ascii="Traditional Arabic" w:hAnsi="Traditional Arabic"/>
        </w:rPr>
      </w:pPr>
      <w:r w:rsidRPr="00C85F0F">
        <w:rPr>
          <w:rFonts w:ascii="Traditional Arabic" w:hAnsi="Traditional Arabic"/>
          <w:rtl/>
        </w:rPr>
        <w:t>كل ما أد</w:t>
      </w:r>
      <w:r w:rsidRPr="00C85F0F">
        <w:rPr>
          <w:rFonts w:ascii="Traditional Arabic" w:hAnsi="Traditional Arabic" w:hint="cs"/>
          <w:rtl/>
        </w:rPr>
        <w:t>َّ</w:t>
      </w:r>
      <w:r w:rsidRPr="00C85F0F">
        <w:rPr>
          <w:rFonts w:ascii="Traditional Arabic" w:hAnsi="Traditional Arabic"/>
          <w:rtl/>
        </w:rPr>
        <w:t>ى إلى البغضاء والعداوة فإن الشرع يمنع</w:t>
      </w:r>
      <w:r w:rsidRPr="00C85F0F">
        <w:rPr>
          <w:rFonts w:ascii="Traditional Arabic" w:hAnsi="Traditional Arabic" w:hint="cs"/>
          <w:rtl/>
        </w:rPr>
        <w:t>ُ</w:t>
      </w:r>
      <w:r w:rsidRPr="00C85F0F">
        <w:rPr>
          <w:rFonts w:ascii="Traditional Arabic" w:hAnsi="Traditional Arabic"/>
          <w:rtl/>
        </w:rPr>
        <w:t>ه</w:t>
      </w:r>
      <w:r w:rsidR="0009738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438</w:t>
      </w:r>
    </w:p>
    <w:p w:rsidR="006E11B5" w:rsidRDefault="006E11B5" w:rsidP="006E11B5">
      <w:pPr>
        <w:widowControl/>
        <w:autoSpaceDE w:val="0"/>
        <w:autoSpaceDN w:val="0"/>
        <w:adjustRightInd w:val="0"/>
        <w:ind w:firstLine="0"/>
        <w:jc w:val="left"/>
        <w:rPr>
          <w:rFonts w:ascii="Traditional Arabic" w:hAnsi="Traditional Arabic"/>
          <w:noProof w:val="0"/>
          <w:color w:val="auto"/>
          <w:rtl/>
          <w:lang w:eastAsia="en-US"/>
        </w:rPr>
      </w:pPr>
      <w:r w:rsidRPr="00C85F0F">
        <w:rPr>
          <w:rFonts w:ascii="Traditional Arabic" w:hAnsi="Traditional Arabic" w:hint="cs"/>
          <w:noProof w:val="0"/>
          <w:rtl/>
          <w:lang w:eastAsia="en-US"/>
        </w:rPr>
        <w:t>كلُّ ما اشتَبَه فيه الأمرُ بدون تمييز، وبدون أن يخرُج مخرَج الميسِر، فإن القرعة تجري فيه</w:t>
      </w:r>
      <w:r w:rsidR="00097387">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403</w:t>
      </w:r>
    </w:p>
    <w:p w:rsidR="006E11B5" w:rsidRDefault="006E11B5" w:rsidP="006E11B5">
      <w:pPr>
        <w:ind w:firstLine="0"/>
        <w:rPr>
          <w:rtl/>
        </w:rPr>
      </w:pPr>
      <w:r w:rsidRPr="00C85F0F">
        <w:rPr>
          <w:rFonts w:hint="cs"/>
          <w:rtl/>
        </w:rPr>
        <w:t>كلُّ ما أَطْلَقَهُ الشارعُ وليس له حَدٌّ في الشرع، فمرجعُه إلى العُرف</w:t>
      </w:r>
      <w:r w:rsidR="00097387">
        <w:rPr>
          <w:rFonts w:hint="cs"/>
          <w:rtl/>
        </w:rPr>
        <w:t>.......................</w:t>
      </w:r>
      <w:r w:rsidRPr="00C85F0F">
        <w:rPr>
          <w:rFonts w:hint="cs"/>
          <w:rtl/>
        </w:rPr>
        <w:t>.</w:t>
      </w:r>
      <w:r>
        <w:rPr>
          <w:rFonts w:hint="cs"/>
          <w:rtl/>
        </w:rPr>
        <w:t>158</w:t>
      </w:r>
    </w:p>
    <w:p w:rsidR="006E11B5" w:rsidRDefault="006E11B5" w:rsidP="006E11B5">
      <w:pPr>
        <w:ind w:firstLine="0"/>
        <w:rPr>
          <w:rFonts w:ascii="Traditional Arabic" w:hAnsi="Traditional Arabic"/>
          <w:rtl/>
        </w:rPr>
      </w:pPr>
      <w:r w:rsidRPr="00C85F0F">
        <w:rPr>
          <w:rFonts w:ascii="Traditional Arabic" w:hAnsi="Traditional Arabic" w:hint="cs"/>
          <w:rtl/>
        </w:rPr>
        <w:t>كل ما أطلقه الشرع وليس له ضابط شرعي، فإنه يُرجع في تحديده إلى العرف</w:t>
      </w:r>
      <w:r w:rsidR="0009738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159</w:t>
      </w:r>
    </w:p>
    <w:p w:rsidR="006E11B5" w:rsidRPr="00C85F0F" w:rsidRDefault="006E11B5" w:rsidP="006E11B5">
      <w:pPr>
        <w:ind w:firstLine="0"/>
        <w:rPr>
          <w:rFonts w:ascii="Traditional Arabic" w:hAnsi="Traditional Arabic"/>
          <w:color w:val="auto"/>
        </w:rPr>
      </w:pPr>
      <w:r w:rsidRPr="00C85F0F">
        <w:rPr>
          <w:rFonts w:ascii="Traditional Arabic" w:hAnsi="Traditional Arabic"/>
          <w:color w:val="auto"/>
          <w:rtl/>
        </w:rPr>
        <w:t>كل ما أوجب العداوة والبغضاء بين المسلمين فإنه محرم</w:t>
      </w:r>
      <w:r w:rsidR="00097387">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438</w:t>
      </w:r>
    </w:p>
    <w:p w:rsidR="006E11B5" w:rsidRDefault="006E11B5" w:rsidP="006E11B5">
      <w:pPr>
        <w:ind w:firstLine="0"/>
        <w:rPr>
          <w:rFonts w:ascii="Traditional Arabic" w:hAnsi="Traditional Arabic"/>
          <w:rtl/>
        </w:rPr>
      </w:pPr>
      <w:r w:rsidRPr="00C85F0F">
        <w:rPr>
          <w:rFonts w:hint="cs"/>
          <w:rtl/>
        </w:rPr>
        <w:t>كلُّ ما جاء في الكتاب والسنة غيرَ مقيَّد فإنه يُحْمل على العُرف</w:t>
      </w:r>
      <w:r w:rsidR="00097387">
        <w:rPr>
          <w:rFonts w:hint="cs"/>
          <w:rtl/>
        </w:rPr>
        <w:t>........................</w:t>
      </w:r>
      <w:r w:rsidRPr="00C85F0F">
        <w:rPr>
          <w:rFonts w:hint="cs"/>
          <w:rtl/>
        </w:rPr>
        <w:t>.</w:t>
      </w:r>
      <w:r>
        <w:rPr>
          <w:rFonts w:ascii="Traditional Arabic" w:hAnsi="Traditional Arabic" w:hint="cs"/>
          <w:rtl/>
        </w:rPr>
        <w:t>159</w:t>
      </w:r>
    </w:p>
    <w:p w:rsidR="006E11B5" w:rsidRDefault="006E11B5" w:rsidP="006E11B5">
      <w:pPr>
        <w:ind w:firstLine="0"/>
        <w:rPr>
          <w:rFonts w:ascii="Traditional Arabic" w:hAnsi="Traditional Arabic"/>
          <w:noProof w:val="0"/>
          <w:rtl/>
          <w:lang w:eastAsia="en-US"/>
        </w:rPr>
      </w:pPr>
      <w:r w:rsidRPr="00C85F0F">
        <w:rPr>
          <w:rFonts w:hint="cs"/>
          <w:rtl/>
        </w:rPr>
        <w:t>كل م</w:t>
      </w:r>
      <w:r>
        <w:rPr>
          <w:rFonts w:hint="cs"/>
          <w:rtl/>
        </w:rPr>
        <w:t>ا جُعل فيه الخيار لشخص... فالواجب</w:t>
      </w:r>
      <w:r w:rsidRPr="00C85F0F">
        <w:rPr>
          <w:rFonts w:hint="cs"/>
          <w:rtl/>
        </w:rPr>
        <w:t xml:space="preserve"> عليه اتِّباع الأصلح</w:t>
      </w:r>
      <w:r w:rsidR="00097387">
        <w:rPr>
          <w:rFonts w:hint="cs"/>
          <w:rtl/>
        </w:rPr>
        <w:t>........................</w:t>
      </w:r>
      <w:r>
        <w:rPr>
          <w:rFonts w:hint="cs"/>
          <w:rtl/>
        </w:rPr>
        <w:t>.474</w:t>
      </w:r>
    </w:p>
    <w:p w:rsidR="006E11B5" w:rsidRPr="00C85F0F" w:rsidRDefault="006E11B5" w:rsidP="006E11B5">
      <w:pPr>
        <w:ind w:firstLine="0"/>
      </w:pPr>
      <w:r w:rsidRPr="00C85F0F">
        <w:rPr>
          <w:rFonts w:hint="cs"/>
          <w:rtl/>
        </w:rPr>
        <w:lastRenderedPageBreak/>
        <w:t>كلُّ ما دلَّ على المعنى فهو مما تنعقِد به العقود</w:t>
      </w:r>
      <w:r w:rsidR="00097387">
        <w:rPr>
          <w:rFonts w:hint="cs"/>
          <w:rtl/>
        </w:rPr>
        <w:t>........................................</w:t>
      </w:r>
      <w:r w:rsidRPr="00C85F0F">
        <w:rPr>
          <w:rFonts w:hint="cs"/>
          <w:rtl/>
        </w:rPr>
        <w:t>.</w:t>
      </w:r>
      <w:r>
        <w:rPr>
          <w:rFonts w:hint="cs"/>
          <w:rtl/>
        </w:rPr>
        <w:t>165</w:t>
      </w:r>
    </w:p>
    <w:p w:rsidR="006E11B5" w:rsidRDefault="006E11B5" w:rsidP="006E11B5">
      <w:pPr>
        <w:ind w:firstLine="0"/>
        <w:rPr>
          <w:rFonts w:ascii="Traditional Arabic" w:hAnsi="Traditional Arabic"/>
          <w:rtl/>
        </w:rPr>
      </w:pPr>
      <w:r w:rsidRPr="00C85F0F">
        <w:rPr>
          <w:rFonts w:ascii="Traditional Arabic" w:hAnsi="Traditional Arabic"/>
          <w:noProof w:val="0"/>
          <w:color w:val="auto"/>
          <w:rtl/>
          <w:lang w:eastAsia="en-US"/>
        </w:rPr>
        <w:t>كل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 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به الشرع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طلقا</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ولا ضاب</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ط</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له فيه، ولا في اللغة،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رج</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فيه إلى الع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رف</w:t>
      </w:r>
      <w:r w:rsidR="0009738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ascii="Traditional Arabic" w:hAnsi="Traditional Arabic" w:hint="cs"/>
          <w:rtl/>
        </w:rPr>
        <w:t>160</w:t>
      </w:r>
    </w:p>
    <w:p w:rsidR="006E11B5" w:rsidRDefault="006E11B5" w:rsidP="006E11B5">
      <w:pPr>
        <w:ind w:firstLine="0"/>
        <w:rPr>
          <w:rtl/>
        </w:rPr>
      </w:pPr>
      <w:r w:rsidRPr="00C85F0F">
        <w:rPr>
          <w:rFonts w:hint="cs"/>
          <w:rtl/>
        </w:rPr>
        <w:t>كل متصرف عن الغير فعليه أن يتصرف بالمصلحة</w:t>
      </w:r>
      <w:r w:rsidR="00097387">
        <w:rPr>
          <w:rFonts w:hint="cs"/>
          <w:rtl/>
        </w:rPr>
        <w:t>.....................................</w:t>
      </w:r>
      <w:r w:rsidRPr="00C85F0F">
        <w:rPr>
          <w:rFonts w:hint="cs"/>
          <w:rtl/>
        </w:rPr>
        <w:t>.</w:t>
      </w:r>
      <w:r>
        <w:rPr>
          <w:rFonts w:hint="cs"/>
          <w:rtl/>
        </w:rPr>
        <w:t>474</w:t>
      </w:r>
    </w:p>
    <w:p w:rsidR="006E11B5" w:rsidRDefault="006E11B5" w:rsidP="006E11B5">
      <w:pPr>
        <w:ind w:firstLine="0"/>
        <w:rPr>
          <w:color w:val="auto"/>
        </w:rPr>
      </w:pPr>
      <w:r>
        <w:rPr>
          <w:rFonts w:hint="cs"/>
          <w:color w:val="auto"/>
          <w:rtl/>
        </w:rPr>
        <w:t>كل مُتْلَفٍ فهو مضمونٌ على مُتلِفه</w:t>
      </w:r>
      <w:r w:rsidR="00097387">
        <w:rPr>
          <w:rFonts w:hint="cs"/>
          <w:color w:val="auto"/>
          <w:rtl/>
        </w:rPr>
        <w:t>..................................................</w:t>
      </w:r>
      <w:r>
        <w:rPr>
          <w:rFonts w:hint="cs"/>
          <w:color w:val="auto"/>
          <w:rtl/>
        </w:rPr>
        <w:t>.356</w:t>
      </w:r>
    </w:p>
    <w:p w:rsidR="006E11B5" w:rsidRDefault="006E11B5" w:rsidP="006E11B5">
      <w:pPr>
        <w:ind w:firstLine="0"/>
        <w:jc w:val="left"/>
        <w:rPr>
          <w:rFonts w:ascii="Traditional Arabic" w:hAnsi="Traditional Arabic"/>
          <w:noProof w:val="0"/>
          <w:color w:val="auto"/>
          <w:rtl/>
          <w:lang w:eastAsia="en-US"/>
        </w:rPr>
      </w:pPr>
      <w:r w:rsidRPr="00C85F0F">
        <w:rPr>
          <w:rFonts w:ascii="Traditional Arabic" w:hAnsi="Traditional Arabic"/>
          <w:noProof w:val="0"/>
          <w:color w:val="auto"/>
          <w:rtl/>
          <w:lang w:eastAsia="en-US"/>
        </w:rPr>
        <w:t>كل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مدفوع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أ</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ذاه</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فلا 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رمة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له، وكل ما أ</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بيح إتلاف</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ص</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و</w:t>
      </w:r>
      <w:r w:rsidRPr="00C85F0F">
        <w:rPr>
          <w:rFonts w:ascii="Traditional Arabic" w:hAnsi="Traditional Arabic" w:hint="cs"/>
          <w:noProof w:val="0"/>
          <w:color w:val="auto"/>
          <w:rtl/>
          <w:lang w:eastAsia="en-US"/>
        </w:rPr>
        <w:t xml:space="preserve">ْلِه </w:t>
      </w:r>
      <w:r w:rsidRPr="00C85F0F">
        <w:rPr>
          <w:rFonts w:ascii="Traditional Arabic" w:hAnsi="Traditional Arabic"/>
          <w:noProof w:val="0"/>
          <w:color w:val="auto"/>
          <w:rtl/>
          <w:lang w:eastAsia="en-US"/>
        </w:rPr>
        <w:t>فإن</w:t>
      </w:r>
      <w:r w:rsidRPr="00C85F0F">
        <w:rPr>
          <w:rFonts w:ascii="Traditional Arabic" w:hAnsi="Traditional Arabic" w:hint="cs"/>
          <w:noProof w:val="0"/>
          <w:color w:val="auto"/>
          <w:rtl/>
          <w:lang w:eastAsia="en-US"/>
        </w:rPr>
        <w:t xml:space="preserve">ه </w:t>
      </w:r>
      <w:r w:rsidRPr="00C85F0F">
        <w:rPr>
          <w:rFonts w:ascii="Traditional Arabic" w:hAnsi="Traditional Arabic"/>
          <w:noProof w:val="0"/>
          <w:color w:val="auto"/>
          <w:rtl/>
          <w:lang w:eastAsia="en-US"/>
        </w:rPr>
        <w:t>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داف</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بالأسهل فالأسهل</w:t>
      </w:r>
      <w:r w:rsidR="00097387">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257</w:t>
      </w:r>
    </w:p>
    <w:p w:rsidR="006E11B5" w:rsidRDefault="006E11B5" w:rsidP="006E11B5">
      <w:pPr>
        <w:ind w:firstLine="0"/>
        <w:rPr>
          <w:rtl/>
        </w:rPr>
      </w:pPr>
      <w:r w:rsidRPr="00C85F0F">
        <w:rPr>
          <w:rFonts w:hint="cs"/>
          <w:rtl/>
        </w:rPr>
        <w:t>كلُّ معلومِ الوجودِ فالأصل بقاءُ وجوده، وكل معلومِ العدَم فالأصل بقاءُ عدَمه</w:t>
      </w:r>
      <w:r w:rsidR="00097387">
        <w:rPr>
          <w:rFonts w:ascii="Traditional Arabic" w:hAnsi="Traditional Arabic" w:hint="cs"/>
          <w:rtl/>
        </w:rPr>
        <w:t>............</w:t>
      </w:r>
      <w:r>
        <w:rPr>
          <w:rFonts w:ascii="Traditional Arabic" w:hAnsi="Traditional Arabic" w:hint="cs"/>
          <w:rtl/>
        </w:rPr>
        <w:t>.281</w:t>
      </w:r>
    </w:p>
    <w:p w:rsidR="006E11B5" w:rsidRDefault="006E11B5" w:rsidP="006E11B5">
      <w:pPr>
        <w:ind w:firstLine="0"/>
        <w:rPr>
          <w:rtl/>
        </w:rPr>
      </w:pPr>
      <w:r w:rsidRPr="00C85F0F">
        <w:rPr>
          <w:rtl/>
        </w:rPr>
        <w:t>كل م</w:t>
      </w:r>
      <w:r w:rsidRPr="00C85F0F">
        <w:rPr>
          <w:rFonts w:hint="cs"/>
          <w:rtl/>
        </w:rPr>
        <w:t>َ</w:t>
      </w:r>
      <w:r w:rsidRPr="00C85F0F">
        <w:rPr>
          <w:rtl/>
        </w:rPr>
        <w:t>ن ابتغى في تكاليف الشريعة غير</w:t>
      </w:r>
      <w:r w:rsidRPr="00C85F0F">
        <w:rPr>
          <w:rFonts w:hint="cs"/>
          <w:rtl/>
        </w:rPr>
        <w:t>َ</w:t>
      </w:r>
      <w:r w:rsidRPr="00C85F0F">
        <w:rPr>
          <w:rtl/>
        </w:rPr>
        <w:t xml:space="preserve"> ما ش</w:t>
      </w:r>
      <w:r w:rsidRPr="00C85F0F">
        <w:rPr>
          <w:rFonts w:hint="cs"/>
          <w:rtl/>
        </w:rPr>
        <w:t>ُ</w:t>
      </w:r>
      <w:r w:rsidRPr="00C85F0F">
        <w:rPr>
          <w:rtl/>
        </w:rPr>
        <w:t>ر</w:t>
      </w:r>
      <w:r w:rsidRPr="00C85F0F">
        <w:rPr>
          <w:rFonts w:hint="cs"/>
          <w:rtl/>
        </w:rPr>
        <w:t>ِ</w:t>
      </w:r>
      <w:r w:rsidRPr="00C85F0F">
        <w:rPr>
          <w:rtl/>
        </w:rPr>
        <w:t>ع</w:t>
      </w:r>
      <w:r w:rsidRPr="00C85F0F">
        <w:rPr>
          <w:rFonts w:hint="cs"/>
          <w:rtl/>
        </w:rPr>
        <w:t>َ</w:t>
      </w:r>
      <w:r w:rsidRPr="00C85F0F">
        <w:rPr>
          <w:rtl/>
        </w:rPr>
        <w:t>ت</w:t>
      </w:r>
      <w:r w:rsidRPr="00C85F0F">
        <w:rPr>
          <w:rFonts w:hint="cs"/>
          <w:rtl/>
        </w:rPr>
        <w:t>ْ</w:t>
      </w:r>
      <w:r w:rsidRPr="00C85F0F">
        <w:rPr>
          <w:rtl/>
        </w:rPr>
        <w:t xml:space="preserve"> له فقد ناق</w:t>
      </w:r>
      <w:r w:rsidRPr="00C85F0F">
        <w:rPr>
          <w:rFonts w:hint="cs"/>
          <w:rtl/>
        </w:rPr>
        <w:t>َ</w:t>
      </w:r>
      <w:r w:rsidRPr="00C85F0F">
        <w:rPr>
          <w:rtl/>
        </w:rPr>
        <w:t>ض</w:t>
      </w:r>
      <w:r>
        <w:rPr>
          <w:rFonts w:hint="cs"/>
          <w:rtl/>
        </w:rPr>
        <w:t xml:space="preserve"> </w:t>
      </w:r>
      <w:r w:rsidRPr="00C85F0F">
        <w:rPr>
          <w:rtl/>
        </w:rPr>
        <w:t>الشريع</w:t>
      </w:r>
      <w:r>
        <w:rPr>
          <w:rFonts w:hint="cs"/>
          <w:rtl/>
        </w:rPr>
        <w:t>ة</w:t>
      </w:r>
      <w:r w:rsidR="00097387">
        <w:rPr>
          <w:rFonts w:hint="cs"/>
          <w:rtl/>
        </w:rPr>
        <w:t>.................</w:t>
      </w:r>
      <w:r w:rsidRPr="00C85F0F">
        <w:rPr>
          <w:rFonts w:hint="cs"/>
          <w:rtl/>
        </w:rPr>
        <w:t>.</w:t>
      </w:r>
      <w:r>
        <w:rPr>
          <w:rFonts w:hint="cs"/>
          <w:rtl/>
        </w:rPr>
        <w:t>224</w:t>
      </w:r>
    </w:p>
    <w:p w:rsidR="006E11B5" w:rsidRDefault="006E11B5" w:rsidP="006E11B5">
      <w:pPr>
        <w:ind w:firstLine="0"/>
        <w:rPr>
          <w:color w:val="auto"/>
        </w:rPr>
      </w:pPr>
      <w:r w:rsidRPr="00B7793F">
        <w:rPr>
          <w:rFonts w:ascii="Traditional Arabic" w:hAnsi="Traditional Arabic"/>
          <w:noProof w:val="0"/>
          <w:color w:val="auto"/>
          <w:rtl/>
          <w:lang w:eastAsia="en-US"/>
        </w:rPr>
        <w:t>كل من أتلف م</w:t>
      </w:r>
      <w:r>
        <w:rPr>
          <w:rFonts w:ascii="Traditional Arabic" w:hAnsi="Traditional Arabic" w:hint="cs"/>
          <w:noProof w:val="0"/>
          <w:color w:val="auto"/>
          <w:rtl/>
          <w:lang w:eastAsia="en-US"/>
        </w:rPr>
        <w:t>ُ</w:t>
      </w:r>
      <w:r w:rsidRPr="00B7793F">
        <w:rPr>
          <w:rFonts w:ascii="Traditional Arabic" w:hAnsi="Traditional Arabic"/>
          <w:noProof w:val="0"/>
          <w:color w:val="auto"/>
          <w:rtl/>
          <w:lang w:eastAsia="en-US"/>
        </w:rPr>
        <w:t>حتر</w:t>
      </w:r>
      <w:r>
        <w:rPr>
          <w:rFonts w:ascii="Traditional Arabic" w:hAnsi="Traditional Arabic" w:hint="cs"/>
          <w:noProof w:val="0"/>
          <w:color w:val="auto"/>
          <w:rtl/>
          <w:lang w:eastAsia="en-US"/>
        </w:rPr>
        <w:t>َ</w:t>
      </w:r>
      <w:r w:rsidRPr="00B7793F">
        <w:rPr>
          <w:rFonts w:ascii="Traditional Arabic" w:hAnsi="Traditional Arabic"/>
          <w:noProof w:val="0"/>
          <w:color w:val="auto"/>
          <w:rtl/>
          <w:lang w:eastAsia="en-US"/>
        </w:rPr>
        <w:t>ما</w:t>
      </w:r>
      <w:r>
        <w:rPr>
          <w:rFonts w:ascii="Traditional Arabic" w:hAnsi="Traditional Arabic" w:hint="cs"/>
          <w:noProof w:val="0"/>
          <w:color w:val="auto"/>
          <w:rtl/>
          <w:lang w:eastAsia="en-US"/>
        </w:rPr>
        <w:t>ً</w:t>
      </w:r>
      <w:r w:rsidRPr="00B7793F">
        <w:rPr>
          <w:rFonts w:ascii="Traditional Arabic" w:hAnsi="Traditional Arabic"/>
          <w:noProof w:val="0"/>
          <w:color w:val="auto"/>
          <w:rtl/>
          <w:lang w:eastAsia="en-US"/>
        </w:rPr>
        <w:t xml:space="preserve"> فعليه الضمان</w:t>
      </w:r>
      <w:r>
        <w:rPr>
          <w:rFonts w:ascii="Traditional Arabic" w:hAnsi="Traditional Arabic" w:hint="cs"/>
          <w:noProof w:val="0"/>
          <w:color w:val="auto"/>
          <w:rtl/>
          <w:lang w:eastAsia="en-US"/>
        </w:rPr>
        <w:t>،</w:t>
      </w:r>
      <w:r w:rsidRPr="00B7793F">
        <w:rPr>
          <w:rFonts w:ascii="Traditional Arabic" w:hAnsi="Traditional Arabic"/>
          <w:noProof w:val="0"/>
          <w:color w:val="auto"/>
          <w:rtl/>
          <w:lang w:eastAsia="en-US"/>
        </w:rPr>
        <w:t xml:space="preserve"> سواء</w:t>
      </w:r>
      <w:r>
        <w:rPr>
          <w:rFonts w:ascii="Traditional Arabic" w:hAnsi="Traditional Arabic" w:hint="cs"/>
          <w:noProof w:val="0"/>
          <w:color w:val="auto"/>
          <w:rtl/>
          <w:lang w:eastAsia="en-US"/>
        </w:rPr>
        <w:t>ٌ</w:t>
      </w:r>
      <w:r w:rsidRPr="00B7793F">
        <w:rPr>
          <w:rFonts w:ascii="Traditional Arabic" w:hAnsi="Traditional Arabic"/>
          <w:noProof w:val="0"/>
          <w:color w:val="auto"/>
          <w:rtl/>
          <w:lang w:eastAsia="en-US"/>
        </w:rPr>
        <w:t xml:space="preserve"> كان عالما</w:t>
      </w:r>
      <w:r>
        <w:rPr>
          <w:rFonts w:ascii="Traditional Arabic" w:hAnsi="Traditional Arabic" w:hint="cs"/>
          <w:noProof w:val="0"/>
          <w:color w:val="auto"/>
          <w:rtl/>
          <w:lang w:eastAsia="en-US"/>
        </w:rPr>
        <w:t>ً</w:t>
      </w:r>
      <w:r w:rsidRPr="00B7793F">
        <w:rPr>
          <w:rFonts w:ascii="Traditional Arabic" w:hAnsi="Traditional Arabic"/>
          <w:noProof w:val="0"/>
          <w:color w:val="auto"/>
          <w:rtl/>
          <w:lang w:eastAsia="en-US"/>
        </w:rPr>
        <w:t xml:space="preserve"> </w:t>
      </w:r>
      <w:r>
        <w:rPr>
          <w:rFonts w:ascii="Traditional Arabic" w:hAnsi="Traditional Arabic" w:hint="cs"/>
          <w:noProof w:val="0"/>
          <w:color w:val="auto"/>
          <w:rtl/>
          <w:lang w:eastAsia="en-US"/>
        </w:rPr>
        <w:t xml:space="preserve"> </w:t>
      </w:r>
      <w:r w:rsidRPr="00B7793F">
        <w:rPr>
          <w:rFonts w:ascii="Traditional Arabic" w:hAnsi="Traditional Arabic"/>
          <w:noProof w:val="0"/>
          <w:color w:val="auto"/>
          <w:rtl/>
          <w:lang w:eastAsia="en-US"/>
        </w:rPr>
        <w:t>أو جاهلا</w:t>
      </w:r>
      <w:r>
        <w:rPr>
          <w:rFonts w:ascii="Traditional Arabic" w:hAnsi="Traditional Arabic" w:hint="cs"/>
          <w:noProof w:val="0"/>
          <w:color w:val="auto"/>
          <w:rtl/>
          <w:lang w:eastAsia="en-US"/>
        </w:rPr>
        <w:t>ً</w:t>
      </w:r>
      <w:r w:rsidRPr="00B7793F">
        <w:rPr>
          <w:rFonts w:ascii="Traditional Arabic" w:hAnsi="Traditional Arabic"/>
          <w:noProof w:val="0"/>
          <w:color w:val="auto"/>
          <w:rtl/>
          <w:lang w:eastAsia="en-US"/>
        </w:rPr>
        <w:t xml:space="preserve"> </w:t>
      </w:r>
      <w:r>
        <w:rPr>
          <w:rFonts w:ascii="Traditional Arabic" w:hAnsi="Traditional Arabic" w:hint="cs"/>
          <w:noProof w:val="0"/>
          <w:color w:val="auto"/>
          <w:rtl/>
          <w:lang w:eastAsia="en-US"/>
        </w:rPr>
        <w:t xml:space="preserve"> </w:t>
      </w:r>
      <w:r w:rsidRPr="00B7793F">
        <w:rPr>
          <w:rFonts w:ascii="Traditional Arabic" w:hAnsi="Traditional Arabic"/>
          <w:noProof w:val="0"/>
          <w:color w:val="auto"/>
          <w:rtl/>
          <w:lang w:eastAsia="en-US"/>
        </w:rPr>
        <w:t>أو ناسيا</w:t>
      </w:r>
      <w:r>
        <w:rPr>
          <w:rFonts w:ascii="Traditional Arabic" w:hAnsi="Traditional Arabic" w:hint="cs"/>
          <w:noProof w:val="0"/>
          <w:color w:val="auto"/>
          <w:rtl/>
          <w:lang w:eastAsia="en-US"/>
        </w:rPr>
        <w:t>ً</w:t>
      </w:r>
      <w:r w:rsidRPr="00B7793F">
        <w:rPr>
          <w:rFonts w:ascii="Traditional Arabic" w:hAnsi="Traditional Arabic"/>
          <w:noProof w:val="0"/>
          <w:color w:val="auto"/>
          <w:rtl/>
          <w:lang w:eastAsia="en-US"/>
        </w:rPr>
        <w:t xml:space="preserve"> </w:t>
      </w:r>
      <w:r>
        <w:rPr>
          <w:rFonts w:ascii="Traditional Arabic" w:hAnsi="Traditional Arabic" w:hint="cs"/>
          <w:noProof w:val="0"/>
          <w:color w:val="auto"/>
          <w:rtl/>
          <w:lang w:eastAsia="en-US"/>
        </w:rPr>
        <w:t xml:space="preserve">... </w:t>
      </w:r>
      <w:r>
        <w:rPr>
          <w:rFonts w:ascii="Traditional Arabic" w:hAnsi="Traditional Arabic"/>
          <w:noProof w:val="0"/>
          <w:color w:val="auto"/>
          <w:rtl/>
          <w:lang w:eastAsia="en-US"/>
        </w:rPr>
        <w:t>أو</w:t>
      </w:r>
      <w:r>
        <w:rPr>
          <w:rFonts w:ascii="Traditional Arabic" w:hAnsi="Traditional Arabic" w:hint="cs"/>
          <w:noProof w:val="0"/>
          <w:color w:val="auto"/>
          <w:rtl/>
          <w:lang w:eastAsia="en-US"/>
        </w:rPr>
        <w:t xml:space="preserve"> </w:t>
      </w:r>
      <w:r w:rsidRPr="00B7793F">
        <w:rPr>
          <w:rFonts w:ascii="Traditional Arabic" w:hAnsi="Traditional Arabic"/>
          <w:noProof w:val="0"/>
          <w:color w:val="auto"/>
          <w:rtl/>
          <w:lang w:eastAsia="en-US"/>
        </w:rPr>
        <w:t>مخطئا</w:t>
      </w:r>
      <w:r>
        <w:rPr>
          <w:rFonts w:ascii="Traditional Arabic" w:hAnsi="Traditional Arabic" w:hint="cs"/>
          <w:noProof w:val="0"/>
          <w:color w:val="auto"/>
          <w:rtl/>
          <w:lang w:eastAsia="en-US"/>
        </w:rPr>
        <w:t>ً.</w:t>
      </w:r>
      <w:r w:rsidR="00097387">
        <w:rPr>
          <w:rFonts w:ascii="Traditional Arabic" w:hAnsi="Traditional Arabic" w:hint="cs"/>
          <w:noProof w:val="0"/>
          <w:color w:val="auto"/>
          <w:rtl/>
          <w:lang w:eastAsia="en-US"/>
        </w:rPr>
        <w:t>....</w:t>
      </w:r>
      <w:r>
        <w:rPr>
          <w:rFonts w:ascii="Traditional Arabic" w:hAnsi="Traditional Arabic" w:hint="cs"/>
          <w:noProof w:val="0"/>
          <w:color w:val="auto"/>
          <w:rtl/>
          <w:lang w:eastAsia="en-US"/>
        </w:rPr>
        <w:t>356</w:t>
      </w:r>
    </w:p>
    <w:p w:rsidR="006E11B5" w:rsidRPr="00C85F0F" w:rsidRDefault="006E11B5" w:rsidP="006E11B5">
      <w:pPr>
        <w:ind w:firstLine="0"/>
      </w:pPr>
      <w:r w:rsidRPr="00C85F0F">
        <w:rPr>
          <w:rFonts w:ascii="Traditional Arabic" w:hAnsi="Traditional Arabic" w:hint="cs"/>
          <w:noProof w:val="0"/>
          <w:rtl/>
          <w:lang w:eastAsia="en-US"/>
        </w:rPr>
        <w:t xml:space="preserve">كلُّ </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 أد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ى عن غير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ينا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واجبا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فإنه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رج</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 إن نوى الرجوع، ولو بغير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إذ</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w:t>
      </w:r>
      <w:r w:rsidR="00097387">
        <w:rPr>
          <w:rFonts w:ascii="Traditional Arabic" w:hAnsi="Traditional Arabic" w:hint="cs"/>
          <w:noProof w:val="0"/>
          <w:rtl/>
          <w:lang w:eastAsia="en-US"/>
        </w:rPr>
        <w:t>..............</w:t>
      </w:r>
      <w:r>
        <w:rPr>
          <w:rFonts w:ascii="Traditional Arabic" w:hAnsi="Traditional Arabic" w:hint="cs"/>
          <w:noProof w:val="0"/>
          <w:rtl/>
          <w:lang w:eastAsia="en-US"/>
        </w:rPr>
        <w:t>.216</w:t>
      </w:r>
    </w:p>
    <w:p w:rsidR="006E11B5" w:rsidRPr="00C85F0F" w:rsidRDefault="006E11B5" w:rsidP="006E11B5">
      <w:pPr>
        <w:ind w:firstLine="0"/>
      </w:pPr>
      <w:r w:rsidRPr="00C85F0F">
        <w:rPr>
          <w:rFonts w:ascii="Traditional Arabic" w:hAnsi="Traditional Arabic"/>
          <w:noProof w:val="0"/>
          <w:rtl/>
          <w:lang w:eastAsia="en-US"/>
        </w:rPr>
        <w:t>كل من يتصرف لغيره إذا 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بين شيئين فإن تخييره للمصلحة وليس للتشه</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00097387">
        <w:rPr>
          <w:rFonts w:hint="cs"/>
          <w:rtl/>
        </w:rPr>
        <w:t>............</w:t>
      </w:r>
      <w:r w:rsidRPr="00C85F0F">
        <w:rPr>
          <w:rFonts w:hint="cs"/>
          <w:rtl/>
        </w:rPr>
        <w:t>.</w:t>
      </w:r>
      <w:r>
        <w:rPr>
          <w:rFonts w:hint="cs"/>
          <w:rtl/>
        </w:rPr>
        <w:t>473</w:t>
      </w:r>
    </w:p>
    <w:p w:rsidR="006E11B5" w:rsidRPr="00C85F0F" w:rsidRDefault="006E11B5" w:rsidP="006E11B5">
      <w:pPr>
        <w:ind w:firstLine="0"/>
        <w:rPr>
          <w:color w:val="auto"/>
        </w:rPr>
      </w:pPr>
      <w:r w:rsidRPr="00C85F0F">
        <w:rPr>
          <w:rFonts w:ascii="Traditional Arabic" w:hAnsi="Traditional Arabic" w:hint="cs"/>
          <w:noProof w:val="0"/>
          <w:color w:val="auto"/>
          <w:rtl/>
          <w:lang w:eastAsia="en-US"/>
        </w:rPr>
        <w:t>كل يدٍ أمينة إذا لم يحصُل منها تعدٍّ ولا تفريط فلا ضمان عليها</w:t>
      </w:r>
      <w:r w:rsidR="00097387">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hint="cs"/>
          <w:color w:val="auto"/>
          <w:rtl/>
        </w:rPr>
        <w:t>351</w:t>
      </w:r>
    </w:p>
    <w:p w:rsidR="006E11B5" w:rsidRDefault="006E11B5" w:rsidP="006E11B5">
      <w:pPr>
        <w:pStyle w:val="a7"/>
        <w:spacing w:line="440" w:lineRule="exact"/>
        <w:jc w:val="lowKashida"/>
        <w:rPr>
          <w:rFonts w:ascii="Traditional Arabic" w:hAnsi="Traditional Arabic"/>
          <w:color w:val="auto"/>
          <w:sz w:val="36"/>
          <w:szCs w:val="36"/>
          <w:rtl/>
        </w:rPr>
      </w:pPr>
      <w:r w:rsidRPr="00345E2B">
        <w:rPr>
          <w:rFonts w:ascii="Traditional Arabic" w:hAnsi="Traditional Arabic"/>
          <w:noProof w:val="0"/>
          <w:color w:val="auto"/>
          <w:sz w:val="36"/>
          <w:szCs w:val="36"/>
          <w:rtl/>
          <w:lang w:eastAsia="en-US"/>
        </w:rPr>
        <w:t>كل يد</w:t>
      </w:r>
      <w:r w:rsidRPr="00345E2B">
        <w:rPr>
          <w:rFonts w:ascii="Traditional Arabic" w:hAnsi="Traditional Arabic" w:hint="cs"/>
          <w:noProof w:val="0"/>
          <w:color w:val="auto"/>
          <w:sz w:val="36"/>
          <w:szCs w:val="36"/>
          <w:rtl/>
          <w:lang w:eastAsia="en-US"/>
        </w:rPr>
        <w:t>ٍ</w:t>
      </w:r>
      <w:r w:rsidRPr="00345E2B">
        <w:rPr>
          <w:rFonts w:ascii="Traditional Arabic" w:hAnsi="Traditional Arabic"/>
          <w:noProof w:val="0"/>
          <w:color w:val="auto"/>
          <w:sz w:val="36"/>
          <w:szCs w:val="36"/>
          <w:rtl/>
          <w:lang w:eastAsia="en-US"/>
        </w:rPr>
        <w:t xml:space="preserve"> ترت</w:t>
      </w:r>
      <w:r w:rsidRPr="00345E2B">
        <w:rPr>
          <w:rFonts w:ascii="Traditional Arabic" w:hAnsi="Traditional Arabic" w:hint="cs"/>
          <w:noProof w:val="0"/>
          <w:color w:val="auto"/>
          <w:sz w:val="36"/>
          <w:szCs w:val="36"/>
          <w:rtl/>
          <w:lang w:eastAsia="en-US"/>
        </w:rPr>
        <w:t>َّ</w:t>
      </w:r>
      <w:r w:rsidRPr="00345E2B">
        <w:rPr>
          <w:rFonts w:ascii="Traditional Arabic" w:hAnsi="Traditional Arabic"/>
          <w:noProof w:val="0"/>
          <w:color w:val="auto"/>
          <w:sz w:val="36"/>
          <w:szCs w:val="36"/>
          <w:rtl/>
          <w:lang w:eastAsia="en-US"/>
        </w:rPr>
        <w:t>ب</w:t>
      </w:r>
      <w:r w:rsidRPr="00345E2B">
        <w:rPr>
          <w:rFonts w:ascii="Traditional Arabic" w:hAnsi="Traditional Arabic" w:hint="cs"/>
          <w:noProof w:val="0"/>
          <w:color w:val="auto"/>
          <w:sz w:val="36"/>
          <w:szCs w:val="36"/>
          <w:rtl/>
          <w:lang w:eastAsia="en-US"/>
        </w:rPr>
        <w:t>َ</w:t>
      </w:r>
      <w:r w:rsidRPr="00345E2B">
        <w:rPr>
          <w:rFonts w:ascii="Traditional Arabic" w:hAnsi="Traditional Arabic"/>
          <w:noProof w:val="0"/>
          <w:color w:val="auto"/>
          <w:sz w:val="36"/>
          <w:szCs w:val="36"/>
          <w:rtl/>
          <w:lang w:eastAsia="en-US"/>
        </w:rPr>
        <w:t>ت</w:t>
      </w:r>
      <w:r w:rsidRPr="00345E2B">
        <w:rPr>
          <w:rFonts w:ascii="Traditional Arabic" w:hAnsi="Traditional Arabic" w:hint="cs"/>
          <w:noProof w:val="0"/>
          <w:color w:val="auto"/>
          <w:sz w:val="36"/>
          <w:szCs w:val="36"/>
          <w:rtl/>
          <w:lang w:eastAsia="en-US"/>
        </w:rPr>
        <w:t>ْ</w:t>
      </w:r>
      <w:r w:rsidRPr="00345E2B">
        <w:rPr>
          <w:rFonts w:ascii="Traditional Arabic" w:hAnsi="Traditional Arabic"/>
          <w:noProof w:val="0"/>
          <w:color w:val="auto"/>
          <w:sz w:val="36"/>
          <w:szCs w:val="36"/>
          <w:rtl/>
          <w:lang w:eastAsia="en-US"/>
        </w:rPr>
        <w:t xml:space="preserve"> على يد</w:t>
      </w:r>
      <w:r w:rsidRPr="00345E2B">
        <w:rPr>
          <w:rFonts w:ascii="Traditional Arabic" w:hAnsi="Traditional Arabic" w:hint="cs"/>
          <w:noProof w:val="0"/>
          <w:color w:val="auto"/>
          <w:sz w:val="36"/>
          <w:szCs w:val="36"/>
          <w:rtl/>
          <w:lang w:eastAsia="en-US"/>
        </w:rPr>
        <w:t>ِ</w:t>
      </w:r>
      <w:r w:rsidRPr="00345E2B">
        <w:rPr>
          <w:rFonts w:ascii="Traditional Arabic" w:hAnsi="Traditional Arabic"/>
          <w:noProof w:val="0"/>
          <w:color w:val="auto"/>
          <w:sz w:val="36"/>
          <w:szCs w:val="36"/>
          <w:rtl/>
          <w:lang w:eastAsia="en-US"/>
        </w:rPr>
        <w:t xml:space="preserve"> الغاصب فهي يد</w:t>
      </w:r>
      <w:r w:rsidRPr="00345E2B">
        <w:rPr>
          <w:rFonts w:ascii="Traditional Arabic" w:hAnsi="Traditional Arabic" w:hint="cs"/>
          <w:noProof w:val="0"/>
          <w:color w:val="auto"/>
          <w:sz w:val="36"/>
          <w:szCs w:val="36"/>
          <w:rtl/>
          <w:lang w:eastAsia="en-US"/>
        </w:rPr>
        <w:t>ُ</w:t>
      </w:r>
      <w:r w:rsidRPr="00345E2B">
        <w:rPr>
          <w:rFonts w:ascii="Traditional Arabic" w:hAnsi="Traditional Arabic"/>
          <w:noProof w:val="0"/>
          <w:color w:val="auto"/>
          <w:sz w:val="36"/>
          <w:szCs w:val="36"/>
          <w:rtl/>
          <w:lang w:eastAsia="en-US"/>
        </w:rPr>
        <w:t xml:space="preserve"> ضمان</w:t>
      </w:r>
      <w:r w:rsidRPr="00345E2B">
        <w:rPr>
          <w:rFonts w:ascii="Traditional Arabic" w:hAnsi="Traditional Arabic" w:hint="cs"/>
          <w:noProof w:val="0"/>
          <w:color w:val="auto"/>
          <w:sz w:val="36"/>
          <w:szCs w:val="36"/>
          <w:rtl/>
          <w:lang w:eastAsia="en-US"/>
        </w:rPr>
        <w:t>ٍ</w:t>
      </w:r>
      <w:r w:rsidR="00097387">
        <w:rPr>
          <w:rFonts w:ascii="Traditional Arabic" w:hAnsi="Traditional Arabic" w:hint="cs"/>
          <w:color w:val="auto"/>
          <w:sz w:val="36"/>
          <w:szCs w:val="36"/>
          <w:rtl/>
        </w:rPr>
        <w:t>.......................................</w:t>
      </w:r>
      <w:r w:rsidRPr="00345E2B">
        <w:rPr>
          <w:rFonts w:ascii="Traditional Arabic" w:hAnsi="Traditional Arabic" w:hint="cs"/>
          <w:color w:val="auto"/>
          <w:sz w:val="36"/>
          <w:szCs w:val="36"/>
          <w:rtl/>
        </w:rPr>
        <w:t>.</w:t>
      </w:r>
      <w:r>
        <w:rPr>
          <w:rFonts w:ascii="Traditional Arabic" w:hAnsi="Traditional Arabic" w:hint="cs"/>
          <w:color w:val="auto"/>
          <w:sz w:val="36"/>
          <w:szCs w:val="36"/>
          <w:rtl/>
        </w:rPr>
        <w:t>330</w:t>
      </w:r>
    </w:p>
    <w:p w:rsidR="006E11B5" w:rsidRPr="00C85F0F" w:rsidRDefault="006E11B5" w:rsidP="006E11B5">
      <w:pPr>
        <w:pStyle w:val="afc"/>
        <w:spacing w:after="200"/>
        <w:ind w:left="-1" w:firstLine="0"/>
        <w:jc w:val="left"/>
        <w:rPr>
          <w:rFonts w:ascii="Traditional Arabic" w:hAnsi="Traditional Arabic"/>
        </w:rPr>
      </w:pPr>
      <w:r>
        <w:rPr>
          <w:rFonts w:ascii="Traditional Arabic" w:hAnsi="Traditional Arabic"/>
          <w:rtl/>
        </w:rPr>
        <w:t>كلما و</w:t>
      </w:r>
      <w:r>
        <w:rPr>
          <w:rFonts w:ascii="Traditional Arabic" w:hAnsi="Traditional Arabic" w:hint="cs"/>
          <w:rtl/>
        </w:rPr>
        <w:t>ُ</w:t>
      </w:r>
      <w:r>
        <w:rPr>
          <w:rFonts w:ascii="Traditional Arabic" w:hAnsi="Traditional Arabic"/>
          <w:rtl/>
        </w:rPr>
        <w:t>جدت المشقة و</w:t>
      </w:r>
      <w:r>
        <w:rPr>
          <w:rFonts w:ascii="Traditional Arabic" w:hAnsi="Traditional Arabic" w:hint="cs"/>
          <w:rtl/>
        </w:rPr>
        <w:t>ُ</w:t>
      </w:r>
      <w:r>
        <w:rPr>
          <w:rFonts w:ascii="Traditional Arabic" w:hAnsi="Traditional Arabic"/>
          <w:rtl/>
        </w:rPr>
        <w:t>جد التيسير</w:t>
      </w:r>
      <w:r w:rsidR="0009738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497</w:t>
      </w:r>
    </w:p>
    <w:p w:rsidR="006E11B5" w:rsidRDefault="006E11B5" w:rsidP="006E11B5">
      <w:pPr>
        <w:ind w:firstLine="0"/>
        <w:rPr>
          <w:rFonts w:ascii="Traditional Arabic" w:hAnsi="Traditional Arabic"/>
          <w:noProof w:val="0"/>
          <w:rtl/>
          <w:lang w:eastAsia="en-US"/>
        </w:rPr>
      </w:pPr>
      <w:r w:rsidRPr="00C85F0F">
        <w:rPr>
          <w:rFonts w:hint="cs"/>
          <w:rtl/>
        </w:rPr>
        <w:t>لا تَتِمُّ الأحكام إلا بوجود شرائطها وانتفاء موانعها</w:t>
      </w:r>
      <w:r w:rsidR="00097387">
        <w:rPr>
          <w:rFonts w:hint="cs"/>
          <w:rtl/>
        </w:rPr>
        <w:t>.....................................</w:t>
      </w:r>
      <w:r w:rsidRPr="00C85F0F">
        <w:rPr>
          <w:rFonts w:hint="cs"/>
          <w:rtl/>
        </w:rPr>
        <w:t>.</w:t>
      </w:r>
      <w:r>
        <w:rPr>
          <w:rFonts w:hint="cs"/>
          <w:rtl/>
        </w:rPr>
        <w:t>490</w:t>
      </w:r>
    </w:p>
    <w:p w:rsidR="006E11B5" w:rsidRDefault="006E11B5" w:rsidP="006E11B5">
      <w:pPr>
        <w:ind w:firstLine="0"/>
        <w:rPr>
          <w:rFonts w:ascii="Traditional Arabic" w:hAnsi="Traditional Arabic"/>
          <w:noProof w:val="0"/>
          <w:rtl/>
          <w:lang w:eastAsia="en-US"/>
        </w:rPr>
      </w:pPr>
      <w:r w:rsidRPr="00C85F0F">
        <w:rPr>
          <w:rFonts w:hint="cs"/>
          <w:rtl/>
        </w:rPr>
        <w:t>لا تتمُّ الأمور حتى تُوجَدَ أسبابُها وشروطُها، وتَنْتَفِيَ موانعُها</w:t>
      </w:r>
      <w:r w:rsidR="00097387">
        <w:rPr>
          <w:rFonts w:hint="cs"/>
          <w:rtl/>
        </w:rPr>
        <w:t>.............................</w:t>
      </w:r>
      <w:r w:rsidRPr="00C85F0F">
        <w:rPr>
          <w:rFonts w:hint="cs"/>
          <w:rtl/>
        </w:rPr>
        <w:t>.</w:t>
      </w:r>
      <w:r>
        <w:rPr>
          <w:rFonts w:hint="cs"/>
          <w:rtl/>
        </w:rPr>
        <w:t>489</w:t>
      </w:r>
    </w:p>
    <w:p w:rsidR="006E11B5" w:rsidRPr="00201568" w:rsidRDefault="006E11B5" w:rsidP="006E11B5">
      <w:pPr>
        <w:ind w:firstLine="0"/>
        <w:jc w:val="left"/>
        <w:rPr>
          <w:rFonts w:ascii="Traditional Arabic" w:hAnsi="Traditional Arabic"/>
        </w:rPr>
      </w:pPr>
      <w:r w:rsidRPr="00C85F0F">
        <w:rPr>
          <w:rFonts w:hint="cs"/>
          <w:rtl/>
        </w:rPr>
        <w:t>لا ضرر و</w:t>
      </w:r>
      <w:r>
        <w:rPr>
          <w:rFonts w:hint="cs"/>
          <w:rtl/>
        </w:rPr>
        <w:t>لاضرار</w:t>
      </w:r>
      <w:r w:rsidR="00097387">
        <w:rPr>
          <w:rFonts w:ascii="Traditional Arabic" w:hAnsi="Traditional Arabic" w:hint="cs"/>
          <w:rtl/>
        </w:rPr>
        <w:t>............................................................</w:t>
      </w:r>
      <w:r>
        <w:rPr>
          <w:rFonts w:ascii="Traditional Arabic" w:hAnsi="Traditional Arabic" w:hint="cs"/>
          <w:rtl/>
        </w:rPr>
        <w:t>.244، 245</w:t>
      </w:r>
    </w:p>
    <w:p w:rsidR="006E11B5" w:rsidRPr="00F46329" w:rsidRDefault="006E11B5" w:rsidP="006E11B5">
      <w:pPr>
        <w:ind w:firstLine="0"/>
        <w:rPr>
          <w:rFonts w:ascii="Traditional Arabic" w:hAnsi="Traditional Arabic"/>
          <w:noProof w:val="0"/>
          <w:lang w:eastAsia="en-US"/>
        </w:rPr>
      </w:pPr>
      <w:r w:rsidRPr="00C85F0F">
        <w:rPr>
          <w:rFonts w:ascii="Traditional Arabic" w:hAnsi="Traditional Arabic"/>
          <w:noProof w:val="0"/>
          <w:rtl/>
          <w:lang w:eastAsia="en-US"/>
        </w:rPr>
        <w:t>لا ضمان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المتسبب مع المباشر إلا إذا كانت المباشرة مبني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على السبب</w:t>
      </w:r>
      <w:r w:rsidR="00097387">
        <w:rPr>
          <w:rFonts w:ascii="Traditional Arabic" w:hAnsi="Traditional Arabic" w:hint="cs"/>
          <w:noProof w:val="0"/>
          <w:rtl/>
          <w:lang w:eastAsia="en-US"/>
        </w:rPr>
        <w:t>..............</w:t>
      </w:r>
      <w:r w:rsidRPr="00C85F0F">
        <w:rPr>
          <w:rFonts w:ascii="Traditional Arabic" w:hAnsi="Traditional Arabic"/>
          <w:noProof w:val="0"/>
          <w:rtl/>
          <w:lang w:eastAsia="en-US"/>
        </w:rPr>
        <w:t>.</w:t>
      </w:r>
      <w:r>
        <w:rPr>
          <w:rFonts w:ascii="Traditional Arabic" w:hAnsi="Traditional Arabic" w:hint="cs"/>
          <w:noProof w:val="0"/>
          <w:rtl/>
          <w:lang w:eastAsia="en-US"/>
        </w:rPr>
        <w:t>335</w:t>
      </w:r>
    </w:p>
    <w:p w:rsidR="006E11B5" w:rsidRPr="00C85F0F" w:rsidRDefault="006E11B5" w:rsidP="006E11B5">
      <w:pPr>
        <w:ind w:firstLine="0"/>
      </w:pPr>
      <w:r w:rsidRPr="00C85F0F">
        <w:rPr>
          <w:rFonts w:hint="cs"/>
          <w:rtl/>
        </w:rPr>
        <w:t>لا يتمُّ الشيء إلا بوجود شروطه وانتفاء موانعه</w:t>
      </w:r>
      <w:r w:rsidR="00097387">
        <w:rPr>
          <w:rFonts w:hint="cs"/>
          <w:rtl/>
        </w:rPr>
        <w:t>........................................</w:t>
      </w:r>
      <w:r w:rsidRPr="00C85F0F">
        <w:rPr>
          <w:rFonts w:hint="cs"/>
          <w:rtl/>
        </w:rPr>
        <w:t>.</w:t>
      </w:r>
      <w:r>
        <w:rPr>
          <w:rFonts w:hint="cs"/>
          <w:rtl/>
        </w:rPr>
        <w:t>489</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لا يجوز استحلال أموال المعصومين إلا بدليل</w:t>
      </w:r>
      <w:r w:rsidR="00097387">
        <w:rPr>
          <w:rFonts w:hint="cs"/>
          <w:color w:val="auto"/>
          <w:rtl/>
        </w:rPr>
        <w:t>.........................................</w:t>
      </w:r>
      <w:r w:rsidRPr="00C85F0F">
        <w:rPr>
          <w:rFonts w:hint="cs"/>
          <w:color w:val="auto"/>
          <w:rtl/>
        </w:rPr>
        <w:t>.</w:t>
      </w:r>
      <w:r>
        <w:rPr>
          <w:rFonts w:hint="cs"/>
          <w:color w:val="auto"/>
          <w:rtl/>
        </w:rPr>
        <w:t>313</w:t>
      </w:r>
    </w:p>
    <w:p w:rsidR="006E11B5" w:rsidRDefault="006E11B5" w:rsidP="006E11B5">
      <w:pPr>
        <w:ind w:firstLine="0"/>
        <w:rPr>
          <w:rtl/>
        </w:rPr>
      </w:pPr>
      <w:r w:rsidRPr="00C85F0F">
        <w:rPr>
          <w:rFonts w:hint="cs"/>
          <w:rtl/>
        </w:rPr>
        <w:t>لا يجوز للإنسان أن يمضي في عبادة تبيَّن له أنها فاسدة، ولا في عقدٍ تبيَّن له أنه فاسد</w:t>
      </w:r>
      <w:r w:rsidR="00097387">
        <w:rPr>
          <w:rFonts w:hint="cs"/>
          <w:rtl/>
        </w:rPr>
        <w:t>.....</w:t>
      </w:r>
      <w:r w:rsidRPr="00C85F0F">
        <w:rPr>
          <w:rFonts w:hint="cs"/>
          <w:rtl/>
        </w:rPr>
        <w:t>.</w:t>
      </w:r>
      <w:r>
        <w:rPr>
          <w:rFonts w:hint="cs"/>
          <w:rtl/>
        </w:rPr>
        <w:t>369</w:t>
      </w:r>
    </w:p>
    <w:p w:rsidR="006E11B5" w:rsidRDefault="006E11B5" w:rsidP="006E11B5">
      <w:pPr>
        <w:ind w:firstLine="0"/>
        <w:rPr>
          <w:rtl/>
        </w:rPr>
      </w:pPr>
      <w:r w:rsidRPr="00C85F0F">
        <w:rPr>
          <w:rFonts w:ascii="Traditional Arabic" w:hAnsi="Traditional Arabic"/>
          <w:noProof w:val="0"/>
          <w:rtl/>
          <w:lang w:eastAsia="en-US"/>
        </w:rPr>
        <w:t>لا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 بالشيء إلا بعد و</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جود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أسباب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ه وشروطه وانتفاء</w:t>
      </w:r>
      <w:r w:rsidRPr="00C85F0F">
        <w:rPr>
          <w:rFonts w:ascii="Traditional Arabic" w:hAnsi="Traditional Arabic" w:hint="cs"/>
          <w:noProof w:val="0"/>
          <w:rtl/>
          <w:lang w:eastAsia="en-US"/>
        </w:rPr>
        <w:t>ِ</w:t>
      </w:r>
      <w:r>
        <w:rPr>
          <w:rFonts w:ascii="Traditional Arabic" w:hAnsi="Traditional Arabic" w:hint="cs"/>
          <w:noProof w:val="0"/>
          <w:rtl/>
          <w:lang w:eastAsia="en-US"/>
        </w:rPr>
        <w:t xml:space="preserve"> </w:t>
      </w:r>
      <w:r w:rsidRPr="00C85F0F">
        <w:rPr>
          <w:rFonts w:ascii="Traditional Arabic" w:hAnsi="Traditional Arabic"/>
          <w:noProof w:val="0"/>
          <w:rtl/>
          <w:lang w:eastAsia="en-US"/>
        </w:rPr>
        <w:t>موانعه</w:t>
      </w:r>
      <w:r w:rsidR="00097387">
        <w:rPr>
          <w:rFonts w:ascii="Traditional Arabic" w:hAnsi="Traditional Arabic" w:hint="cs"/>
          <w:noProof w:val="0"/>
          <w:rtl/>
          <w:lang w:eastAsia="en-US"/>
        </w:rPr>
        <w:t>...........................</w:t>
      </w:r>
      <w:r w:rsidRPr="00C85F0F">
        <w:rPr>
          <w:rFonts w:ascii="Traditional Arabic" w:hAnsi="Traditional Arabic"/>
          <w:noProof w:val="0"/>
          <w:rtl/>
          <w:lang w:eastAsia="en-US"/>
        </w:rPr>
        <w:t>.</w:t>
      </w:r>
      <w:r>
        <w:rPr>
          <w:rFonts w:ascii="Traditional Arabic" w:hAnsi="Traditional Arabic" w:hint="cs"/>
          <w:noProof w:val="0"/>
          <w:rtl/>
          <w:lang w:eastAsia="en-US"/>
        </w:rPr>
        <w:t>490</w:t>
      </w:r>
    </w:p>
    <w:p w:rsidR="006E11B5" w:rsidRDefault="006E11B5" w:rsidP="006E11B5">
      <w:pPr>
        <w:spacing w:line="640" w:lineRule="exact"/>
        <w:ind w:firstLine="0"/>
        <w:jc w:val="left"/>
        <w:rPr>
          <w:rFonts w:ascii="Traditional Arabic" w:hAnsi="Traditional Arabic"/>
          <w:rtl/>
        </w:rPr>
      </w:pPr>
      <w:r w:rsidRPr="00C85F0F">
        <w:rPr>
          <w:rFonts w:ascii="Traditional Arabic" w:hAnsi="Traditional Arabic" w:hint="cs"/>
          <w:rtl/>
        </w:rPr>
        <w:t>لا يقوم البدل حتى يتعذَّر ال</w:t>
      </w:r>
      <w:r>
        <w:rPr>
          <w:rFonts w:ascii="Traditional Arabic" w:hAnsi="Traditional Arabic" w:hint="cs"/>
          <w:rtl/>
        </w:rPr>
        <w:t>ْ</w:t>
      </w:r>
      <w:r w:rsidRPr="00C85F0F">
        <w:rPr>
          <w:rFonts w:ascii="Traditional Arabic" w:hAnsi="Traditional Arabic" w:hint="cs"/>
          <w:rtl/>
        </w:rPr>
        <w:t>م</w:t>
      </w:r>
      <w:r>
        <w:rPr>
          <w:rFonts w:ascii="Traditional Arabic" w:hAnsi="Traditional Arabic" w:hint="cs"/>
          <w:rtl/>
        </w:rPr>
        <w:t>ُ</w:t>
      </w:r>
      <w:r w:rsidRPr="00C85F0F">
        <w:rPr>
          <w:rFonts w:ascii="Traditional Arabic" w:hAnsi="Traditional Arabic" w:hint="cs"/>
          <w:rtl/>
        </w:rPr>
        <w:t>بدَل منه</w:t>
      </w:r>
      <w:r w:rsidR="0009738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479</w:t>
      </w:r>
    </w:p>
    <w:p w:rsidR="006E11B5" w:rsidRDefault="006E11B5" w:rsidP="006E11B5">
      <w:pPr>
        <w:pStyle w:val="a7"/>
        <w:spacing w:line="440" w:lineRule="exact"/>
        <w:jc w:val="lowKashida"/>
        <w:rPr>
          <w:rFonts w:ascii="Traditional Arabic" w:hAnsi="Traditional Arabic"/>
          <w:noProof w:val="0"/>
          <w:color w:val="auto"/>
          <w:rtl/>
          <w:lang w:eastAsia="en-US"/>
        </w:rPr>
      </w:pPr>
      <w:r w:rsidRPr="00C85F0F">
        <w:rPr>
          <w:rFonts w:ascii="Traditional Arabic" w:hAnsi="Traditional Arabic"/>
          <w:sz w:val="36"/>
          <w:szCs w:val="36"/>
          <w:rtl/>
        </w:rPr>
        <w:t>لا ينبغي أن تُحم</w:t>
      </w:r>
      <w:r w:rsidRPr="00C85F0F">
        <w:rPr>
          <w:rFonts w:ascii="Traditional Arabic" w:hAnsi="Traditional Arabic" w:hint="cs"/>
          <w:sz w:val="36"/>
          <w:szCs w:val="36"/>
          <w:rtl/>
        </w:rPr>
        <w:t>َ</w:t>
      </w:r>
      <w:r w:rsidRPr="00C85F0F">
        <w:rPr>
          <w:rFonts w:ascii="Traditional Arabic" w:hAnsi="Traditional Arabic"/>
          <w:sz w:val="36"/>
          <w:szCs w:val="36"/>
          <w:rtl/>
        </w:rPr>
        <w:t>ل الأحكام الشرعية على الأمور النادرة</w:t>
      </w:r>
      <w:r w:rsidR="001659D7">
        <w:rPr>
          <w:rFonts w:ascii="Traditional Arabic" w:hAnsi="Traditional Arabic" w:hint="cs"/>
          <w:sz w:val="36"/>
          <w:szCs w:val="36"/>
          <w:rtl/>
        </w:rPr>
        <w:t>................................</w:t>
      </w:r>
      <w:r w:rsidRPr="00C85F0F">
        <w:rPr>
          <w:rFonts w:ascii="Traditional Arabic" w:hAnsi="Traditional Arabic"/>
          <w:sz w:val="36"/>
          <w:szCs w:val="36"/>
          <w:rtl/>
        </w:rPr>
        <w:t>.</w:t>
      </w:r>
      <w:r>
        <w:rPr>
          <w:rFonts w:ascii="Traditional Arabic" w:hAnsi="Traditional Arabic" w:hint="cs"/>
          <w:sz w:val="36"/>
          <w:szCs w:val="36"/>
          <w:rtl/>
        </w:rPr>
        <w:t>321</w:t>
      </w:r>
    </w:p>
    <w:p w:rsidR="006E11B5" w:rsidRPr="00C85F0F" w:rsidRDefault="006E11B5" w:rsidP="006E11B5">
      <w:pPr>
        <w:ind w:firstLine="0"/>
      </w:pPr>
      <w:r w:rsidRPr="00C85F0F">
        <w:rPr>
          <w:rFonts w:hint="cs"/>
          <w:rtl/>
        </w:rPr>
        <w:t>لابدَّ في جميع العقود والفسوخ أن تكون صادِرةً عن رِضا واختيارٍ</w:t>
      </w:r>
      <w:r w:rsidR="001659D7">
        <w:rPr>
          <w:rFonts w:hint="cs"/>
          <w:rtl/>
        </w:rPr>
        <w:t>........................</w:t>
      </w:r>
      <w:r w:rsidRPr="00C85F0F">
        <w:rPr>
          <w:rFonts w:hint="cs"/>
          <w:rtl/>
        </w:rPr>
        <w:t>.</w:t>
      </w:r>
      <w:r>
        <w:rPr>
          <w:rFonts w:hint="cs"/>
          <w:rtl/>
        </w:rPr>
        <w:t>376</w:t>
      </w:r>
    </w:p>
    <w:p w:rsidR="006E11B5" w:rsidRDefault="006E11B5" w:rsidP="006E11B5">
      <w:pPr>
        <w:ind w:firstLine="0"/>
        <w:rPr>
          <w:rtl/>
        </w:rPr>
      </w:pPr>
      <w:r w:rsidRPr="00C85F0F">
        <w:rPr>
          <w:rFonts w:hint="cs"/>
          <w:rtl/>
        </w:rPr>
        <w:t>لابدَّ من التَّراضي في جميع عقود المُعاوَضات، وعقود التَّبرُّعات</w:t>
      </w:r>
      <w:r>
        <w:rPr>
          <w:rFonts w:hint="cs"/>
          <w:szCs w:val="32"/>
          <w:rtl/>
        </w:rPr>
        <w:t xml:space="preserve">، </w:t>
      </w:r>
      <w:r>
        <w:rPr>
          <w:rFonts w:hint="cs"/>
          <w:rtl/>
        </w:rPr>
        <w:t>والفسوخ الاختيارية</w:t>
      </w:r>
      <w:r w:rsidR="001659D7">
        <w:rPr>
          <w:rFonts w:hint="cs"/>
          <w:rtl/>
        </w:rPr>
        <w:t>........</w:t>
      </w:r>
      <w:r>
        <w:rPr>
          <w:rFonts w:hint="cs"/>
          <w:rtl/>
        </w:rPr>
        <w:t>.376</w:t>
      </w:r>
    </w:p>
    <w:p w:rsidR="006E11B5" w:rsidRPr="00C85F0F" w:rsidRDefault="006E11B5" w:rsidP="006E11B5">
      <w:pPr>
        <w:ind w:firstLine="0"/>
      </w:pPr>
      <w:r w:rsidRPr="00C85F0F">
        <w:rPr>
          <w:rFonts w:ascii="Traditional Arabic" w:hAnsi="Traditional Arabic"/>
          <w:noProof w:val="0"/>
          <w:color w:val="auto"/>
          <w:rtl/>
          <w:lang w:eastAsia="en-US"/>
        </w:rPr>
        <w:lastRenderedPageBreak/>
        <w:t>لكن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 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للذ</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ريعة</w:t>
      </w:r>
      <w:r>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يجوز للحاجة كالع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ة</w:t>
      </w:r>
      <w:r w:rsidR="001659D7">
        <w:rPr>
          <w:rFonts w:ascii="Traditional Arabic" w:hAnsi="Traditional Arabic" w:hint="cs"/>
          <w:noProof w:val="0"/>
          <w:color w:val="auto"/>
          <w:rtl/>
          <w:lang w:eastAsia="en-US"/>
        </w:rPr>
        <w:t>......................................</w:t>
      </w:r>
      <w:r>
        <w:rPr>
          <w:rFonts w:ascii="Traditional Arabic" w:hAnsi="Traditional Arabic" w:hint="cs"/>
          <w:noProof w:val="0"/>
          <w:color w:val="auto"/>
          <w:rtl/>
          <w:lang w:eastAsia="en-US"/>
        </w:rPr>
        <w:t>.192</w:t>
      </w:r>
    </w:p>
    <w:p w:rsidR="006E11B5" w:rsidRPr="00C85F0F" w:rsidRDefault="006E11B5" w:rsidP="006E11B5">
      <w:pPr>
        <w:ind w:firstLine="0"/>
        <w:jc w:val="left"/>
      </w:pPr>
      <w:r w:rsidRPr="00C85F0F">
        <w:rPr>
          <w:rFonts w:hint="cs"/>
          <w:rtl/>
        </w:rPr>
        <w:t>لِلوسائل أحكامُ المقاصد</w:t>
      </w:r>
      <w:r w:rsidR="001659D7">
        <w:rPr>
          <w:rFonts w:hint="cs"/>
          <w:rtl/>
        </w:rPr>
        <w:t>............................................................</w:t>
      </w:r>
      <w:r w:rsidRPr="00C85F0F">
        <w:rPr>
          <w:rFonts w:hint="cs"/>
          <w:rtl/>
        </w:rPr>
        <w:t>.</w:t>
      </w:r>
      <w:r>
        <w:rPr>
          <w:rFonts w:hint="cs"/>
          <w:rtl/>
        </w:rPr>
        <w:t>172</w:t>
      </w:r>
    </w:p>
    <w:p w:rsidR="006E11B5" w:rsidRDefault="006E11B5" w:rsidP="006E11B5">
      <w:pPr>
        <w:ind w:firstLine="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لِلْوَسائل أحكامُ المقاصد</w:t>
      </w:r>
      <w:r w:rsidR="001659D7">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173</w:t>
      </w:r>
    </w:p>
    <w:p w:rsidR="006E11B5" w:rsidRDefault="006E11B5" w:rsidP="006E11B5">
      <w:pPr>
        <w:ind w:firstLine="0"/>
        <w:rPr>
          <w:rFonts w:ascii="Traditional Arabic" w:hAnsi="Traditional Arabic"/>
          <w:rtl/>
        </w:rPr>
      </w:pPr>
      <w:r w:rsidRPr="00C85F0F">
        <w:rPr>
          <w:rFonts w:ascii="Traditional Arabic" w:hAnsi="Traditional Arabic"/>
          <w:rtl/>
        </w:rPr>
        <w:t xml:space="preserve">الله </w:t>
      </w:r>
      <w:r w:rsidRPr="00C85F0F">
        <w:rPr>
          <w:rFonts w:ascii="Traditional Arabic" w:hAnsi="Traditional Arabic" w:hint="cs"/>
          <w:noProof w:val="0"/>
          <w:color w:val="auto"/>
          <w:rtl/>
          <w:lang w:eastAsia="en-US"/>
        </w:rPr>
        <w:sym w:font="AGA Arabesque" w:char="F055"/>
      </w:r>
      <w:r>
        <w:rPr>
          <w:rFonts w:ascii="Traditional Arabic" w:hAnsi="Traditional Arabic"/>
          <w:rtl/>
        </w:rPr>
        <w:t xml:space="preserve"> يجلب التيسير على عباد</w:t>
      </w:r>
      <w:r>
        <w:rPr>
          <w:rFonts w:ascii="Traditional Arabic" w:hAnsi="Traditional Arabic" w:hint="cs"/>
          <w:rtl/>
        </w:rPr>
        <w:t>ه</w:t>
      </w:r>
      <w:r w:rsidR="001659D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496</w:t>
      </w:r>
    </w:p>
    <w:p w:rsidR="006E11B5" w:rsidRDefault="006E11B5" w:rsidP="006E11B5">
      <w:pPr>
        <w:ind w:firstLine="0"/>
        <w:rPr>
          <w:rtl/>
        </w:rPr>
      </w:pPr>
      <w:r w:rsidRPr="00C85F0F">
        <w:rPr>
          <w:rFonts w:hint="cs"/>
          <w:rtl/>
        </w:rPr>
        <w:t>ليس لأحد أن يأخذ مالَ أحدٍ بلا سبَب شرعي</w:t>
      </w:r>
      <w:r w:rsidR="001659D7">
        <w:rPr>
          <w:rFonts w:hint="cs"/>
          <w:rtl/>
        </w:rPr>
        <w:t>.......................................</w:t>
      </w:r>
      <w:r w:rsidRPr="00C85F0F">
        <w:rPr>
          <w:rFonts w:hint="cs"/>
          <w:rtl/>
        </w:rPr>
        <w:t>.</w:t>
      </w:r>
      <w:r>
        <w:rPr>
          <w:rFonts w:hint="cs"/>
          <w:rtl/>
        </w:rPr>
        <w:t>314</w:t>
      </w:r>
    </w:p>
    <w:p w:rsidR="006E11B5" w:rsidRDefault="006E11B5" w:rsidP="006E11B5">
      <w:pPr>
        <w:ind w:firstLine="0"/>
        <w:rPr>
          <w:rtl/>
        </w:rPr>
      </w:pPr>
      <w:r w:rsidRPr="00C85F0F">
        <w:rPr>
          <w:rFonts w:hint="cs"/>
          <w:rtl/>
        </w:rPr>
        <w:t>ما أتى ولم يُحَدَّد بالشَّرْع، فمَرْجِعُهُ إلى العُرْف</w:t>
      </w:r>
      <w:r w:rsidR="001659D7">
        <w:rPr>
          <w:rFonts w:hint="cs"/>
          <w:rtl/>
        </w:rPr>
        <w:t>..........................................</w:t>
      </w:r>
      <w:r w:rsidRPr="00C85F0F">
        <w:rPr>
          <w:rFonts w:hint="cs"/>
          <w:rtl/>
        </w:rPr>
        <w:t>.</w:t>
      </w:r>
      <w:r>
        <w:rPr>
          <w:rFonts w:hint="cs"/>
          <w:rtl/>
        </w:rPr>
        <w:t>158</w:t>
      </w:r>
    </w:p>
    <w:p w:rsidR="006E11B5" w:rsidRDefault="006E11B5" w:rsidP="006E11B5">
      <w:pPr>
        <w:ind w:firstLine="0"/>
        <w:rPr>
          <w:rtl/>
        </w:rPr>
      </w:pPr>
      <w:r w:rsidRPr="00C85F0F">
        <w:rPr>
          <w:rFonts w:hint="cs"/>
          <w:rtl/>
        </w:rPr>
        <w:t>ما اجتمع الحلالُ والحرام إلا غَلَب الحرامُ</w:t>
      </w:r>
      <w:r w:rsidR="001659D7">
        <w:rPr>
          <w:rFonts w:hint="cs"/>
          <w:rtl/>
        </w:rPr>
        <w:t>..............................................</w:t>
      </w:r>
      <w:r w:rsidRPr="00C85F0F">
        <w:rPr>
          <w:rFonts w:hint="cs"/>
          <w:rtl/>
        </w:rPr>
        <w:t>.</w:t>
      </w:r>
      <w:r>
        <w:rPr>
          <w:rFonts w:hint="cs"/>
          <w:rtl/>
        </w:rPr>
        <w:t>122</w:t>
      </w:r>
    </w:p>
    <w:p w:rsidR="006E11B5" w:rsidRPr="00C85F0F" w:rsidRDefault="006E11B5" w:rsidP="006E11B5">
      <w:pPr>
        <w:ind w:firstLine="0"/>
      </w:pPr>
      <w:r w:rsidRPr="00C85F0F">
        <w:rPr>
          <w:rFonts w:hint="cs"/>
          <w:rtl/>
        </w:rPr>
        <w:t>ما اجتمع الحلالُ والحرام إلا وغَلَب الحرامُ الحلالَ</w:t>
      </w:r>
      <w:r w:rsidR="001659D7">
        <w:rPr>
          <w:rFonts w:hint="cs"/>
          <w:rtl/>
        </w:rPr>
        <w:t>......................................</w:t>
      </w:r>
      <w:r w:rsidRPr="00C85F0F">
        <w:rPr>
          <w:rFonts w:hint="cs"/>
          <w:rtl/>
        </w:rPr>
        <w:t>.</w:t>
      </w:r>
      <w:r>
        <w:rPr>
          <w:rFonts w:hint="cs"/>
          <w:rtl/>
        </w:rPr>
        <w:t>122</w:t>
      </w:r>
    </w:p>
    <w:p w:rsidR="006E11B5" w:rsidRDefault="006E11B5" w:rsidP="006E11B5">
      <w:pPr>
        <w:ind w:firstLine="0"/>
        <w:rPr>
          <w:rtl/>
        </w:rPr>
      </w:pPr>
      <w:r w:rsidRPr="00C85F0F">
        <w:rPr>
          <w:rFonts w:hint="cs"/>
          <w:rtl/>
        </w:rPr>
        <w:t>ما اجتمع محرِّمٌ ومبيح إلا غلب المحرِّم</w:t>
      </w:r>
      <w:r w:rsidR="001659D7">
        <w:rPr>
          <w:rFonts w:hint="cs"/>
          <w:rtl/>
        </w:rPr>
        <w:t>.................................................</w:t>
      </w:r>
      <w:r w:rsidRPr="00C85F0F">
        <w:rPr>
          <w:rFonts w:hint="cs"/>
          <w:rtl/>
        </w:rPr>
        <w:t>.</w:t>
      </w:r>
      <w:r>
        <w:rPr>
          <w:rFonts w:hint="cs"/>
          <w:rtl/>
        </w:rPr>
        <w:t>123</w:t>
      </w:r>
    </w:p>
    <w:p w:rsidR="006E11B5" w:rsidRPr="00C85F0F" w:rsidRDefault="006E11B5" w:rsidP="006E11B5">
      <w:pPr>
        <w:ind w:firstLine="0"/>
      </w:pPr>
      <w:r w:rsidRPr="00C85F0F">
        <w:rPr>
          <w:rFonts w:ascii="Traditional Arabic" w:hAnsi="Traditional Arabic"/>
          <w:noProof w:val="0"/>
          <w:rtl/>
          <w:lang w:eastAsia="en-US"/>
        </w:rPr>
        <w:t>ما اط</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به الع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رف كالمشروط لفظا</w:t>
      </w:r>
      <w:r w:rsidRPr="00C85F0F">
        <w:rPr>
          <w:rFonts w:ascii="Traditional Arabic" w:hAnsi="Traditional Arabic" w:hint="cs"/>
          <w:noProof w:val="0"/>
          <w:rtl/>
          <w:lang w:eastAsia="en-US"/>
        </w:rPr>
        <w:t>ً</w:t>
      </w:r>
      <w:r w:rsidR="001659D7">
        <w:rPr>
          <w:rFonts w:hint="cs"/>
          <w:rtl/>
        </w:rPr>
        <w:t>....................................................</w:t>
      </w:r>
      <w:r w:rsidRPr="00C85F0F">
        <w:rPr>
          <w:rFonts w:hint="cs"/>
          <w:rtl/>
        </w:rPr>
        <w:t>.</w:t>
      </w:r>
      <w:r>
        <w:rPr>
          <w:rFonts w:hint="cs"/>
          <w:rtl/>
        </w:rPr>
        <w:t>148</w:t>
      </w:r>
    </w:p>
    <w:p w:rsidR="006E11B5" w:rsidRPr="00C85F0F" w:rsidRDefault="006E11B5" w:rsidP="006E11B5">
      <w:pPr>
        <w:ind w:firstLine="0"/>
      </w:pPr>
      <w:r w:rsidRPr="00C85F0F">
        <w:rPr>
          <w:rFonts w:hint="cs"/>
          <w:rtl/>
        </w:rPr>
        <w:t>ما أَفْضى إلى الحرام حرامٌ</w:t>
      </w:r>
      <w:r w:rsidR="001659D7">
        <w:rPr>
          <w:rFonts w:hint="cs"/>
          <w:rtl/>
        </w:rPr>
        <w:t>............................................................</w:t>
      </w:r>
      <w:r w:rsidRPr="00C85F0F">
        <w:rPr>
          <w:rFonts w:hint="cs"/>
          <w:rtl/>
        </w:rPr>
        <w:t>.</w:t>
      </w:r>
      <w:r>
        <w:rPr>
          <w:rFonts w:hint="cs"/>
          <w:rtl/>
        </w:rPr>
        <w:t>183</w:t>
      </w:r>
    </w:p>
    <w:p w:rsidR="006E11B5" w:rsidRPr="00C85F0F" w:rsidRDefault="006E11B5" w:rsidP="006E11B5">
      <w:pPr>
        <w:ind w:firstLine="0"/>
        <w:rPr>
          <w:color w:val="auto"/>
        </w:rPr>
      </w:pPr>
      <w:r w:rsidRPr="00C85F0F">
        <w:rPr>
          <w:rFonts w:hint="cs"/>
          <w:color w:val="auto"/>
          <w:rtl/>
        </w:rPr>
        <w:t>ما أَفْضى إلى المحرم أو كان ذريعةً له كان محرما</w:t>
      </w:r>
      <w:r w:rsidR="001659D7">
        <w:rPr>
          <w:rFonts w:hint="cs"/>
          <w:color w:val="auto"/>
          <w:rtl/>
        </w:rPr>
        <w:t>.........................................</w:t>
      </w:r>
      <w:r w:rsidRPr="00C85F0F">
        <w:rPr>
          <w:rFonts w:hint="cs"/>
          <w:color w:val="auto"/>
          <w:rtl/>
        </w:rPr>
        <w:t>.</w:t>
      </w:r>
      <w:r>
        <w:rPr>
          <w:rFonts w:hint="cs"/>
          <w:color w:val="auto"/>
          <w:rtl/>
        </w:rPr>
        <w:t>182</w:t>
      </w:r>
    </w:p>
    <w:p w:rsidR="006E11B5" w:rsidRPr="00C85F0F" w:rsidRDefault="006E11B5" w:rsidP="006E11B5">
      <w:pPr>
        <w:ind w:firstLine="0"/>
      </w:pPr>
      <w:r w:rsidRPr="00C85F0F">
        <w:rPr>
          <w:rFonts w:hint="cs"/>
          <w:rtl/>
        </w:rPr>
        <w:t xml:space="preserve">ما أَوْجَبَه اللهُ </w:t>
      </w:r>
      <w:r>
        <w:rPr>
          <w:rFonts w:ascii="Traditional Arabic" w:hAnsi="Traditional Arabic" w:hint="cs"/>
          <w:noProof w:val="0"/>
          <w:color w:val="auto"/>
          <w:rtl/>
          <w:lang w:eastAsia="en-US"/>
        </w:rPr>
        <w:t>عز وجل</w:t>
      </w:r>
      <w:r w:rsidRPr="00C85F0F">
        <w:rPr>
          <w:rFonts w:hint="cs"/>
          <w:rtl/>
        </w:rPr>
        <w:t xml:space="preserve"> لِحَقِّ الإنسان وأَسْقَطَ حقَّه، فلا إثْمَ على مَن لم يَقُمْ به</w:t>
      </w:r>
      <w:r w:rsidR="001659D7">
        <w:rPr>
          <w:rFonts w:hint="cs"/>
          <w:rtl/>
        </w:rPr>
        <w:t>.............</w:t>
      </w:r>
      <w:r w:rsidRPr="00C85F0F">
        <w:rPr>
          <w:rFonts w:hint="cs"/>
          <w:rtl/>
        </w:rPr>
        <w:t>.</w:t>
      </w:r>
      <w:r>
        <w:rPr>
          <w:rFonts w:hint="cs"/>
          <w:rtl/>
        </w:rPr>
        <w:t>395</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ما ترتب على المأذون فغير مضمون</w:t>
      </w:r>
      <w:r w:rsidR="001659D7">
        <w:rPr>
          <w:rFonts w:hint="cs"/>
          <w:color w:val="auto"/>
          <w:rtl/>
        </w:rPr>
        <w:t>..................................................</w:t>
      </w:r>
      <w:r w:rsidRPr="00C85F0F">
        <w:rPr>
          <w:rFonts w:hint="cs"/>
          <w:color w:val="auto"/>
          <w:rtl/>
        </w:rPr>
        <w:t>.</w:t>
      </w:r>
      <w:r>
        <w:rPr>
          <w:rFonts w:hint="cs"/>
          <w:color w:val="auto"/>
          <w:rtl/>
        </w:rPr>
        <w:t>362</w:t>
      </w:r>
    </w:p>
    <w:p w:rsidR="006E11B5" w:rsidRPr="00C85F0F" w:rsidRDefault="006E11B5" w:rsidP="006E11B5">
      <w:pPr>
        <w:ind w:firstLine="0"/>
      </w:pPr>
      <w:r w:rsidRPr="00C85F0F">
        <w:rPr>
          <w:rFonts w:hint="cs"/>
          <w:rtl/>
        </w:rPr>
        <w:t>ما ترتَّب على المأذون فليس بمضمون</w:t>
      </w:r>
      <w:r w:rsidR="001659D7">
        <w:rPr>
          <w:rFonts w:hint="cs"/>
          <w:rtl/>
        </w:rPr>
        <w:t>.................................................</w:t>
      </w:r>
      <w:r w:rsidRPr="00C85F0F">
        <w:rPr>
          <w:rFonts w:hint="cs"/>
          <w:rtl/>
        </w:rPr>
        <w:t>.</w:t>
      </w:r>
      <w:r>
        <w:rPr>
          <w:rFonts w:hint="cs"/>
          <w:rtl/>
        </w:rPr>
        <w:t>362</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ما ترتب على المأذون فليس بمضمون، وما ترتب على غير المأذون فهو مضمون</w:t>
      </w:r>
      <w:r w:rsidR="001659D7">
        <w:rPr>
          <w:rFonts w:hint="cs"/>
          <w:color w:val="auto"/>
          <w:rtl/>
        </w:rPr>
        <w:t>...........</w:t>
      </w:r>
      <w:r w:rsidRPr="00C85F0F">
        <w:rPr>
          <w:rFonts w:hint="cs"/>
          <w:color w:val="auto"/>
          <w:rtl/>
        </w:rPr>
        <w:t>.</w:t>
      </w:r>
      <w:r>
        <w:rPr>
          <w:rFonts w:hint="cs"/>
          <w:color w:val="auto"/>
          <w:rtl/>
        </w:rPr>
        <w:t>362</w:t>
      </w:r>
    </w:p>
    <w:p w:rsidR="006E11B5" w:rsidRPr="00C85F0F" w:rsidRDefault="006E11B5" w:rsidP="006E11B5">
      <w:pPr>
        <w:ind w:firstLine="0"/>
        <w:rPr>
          <w:color w:val="auto"/>
        </w:rPr>
      </w:pPr>
      <w:r w:rsidRPr="00C85F0F">
        <w:rPr>
          <w:rFonts w:hint="cs"/>
          <w:color w:val="auto"/>
          <w:rtl/>
        </w:rPr>
        <w:t>ما ترتب على المأذون فهو غير مضمون، والعكس بالعكس</w:t>
      </w:r>
      <w:r w:rsidR="001659D7">
        <w:rPr>
          <w:rFonts w:hint="cs"/>
          <w:color w:val="auto"/>
          <w:rtl/>
        </w:rPr>
        <w:t>.............................</w:t>
      </w:r>
      <w:r w:rsidRPr="00C85F0F">
        <w:rPr>
          <w:rFonts w:hint="cs"/>
          <w:color w:val="auto"/>
          <w:rtl/>
        </w:rPr>
        <w:t>.</w:t>
      </w:r>
      <w:r>
        <w:rPr>
          <w:rFonts w:hint="cs"/>
          <w:color w:val="auto"/>
          <w:rtl/>
        </w:rPr>
        <w:t>363</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 xml:space="preserve">ما ترتب على غير </w:t>
      </w:r>
      <w:r w:rsidRPr="00C85F0F">
        <w:rPr>
          <w:rFonts w:ascii="Traditional Arabic" w:hAnsi="Traditional Arabic" w:hint="cs"/>
          <w:noProof w:val="0"/>
          <w:color w:val="auto"/>
          <w:rtl/>
          <w:lang w:eastAsia="en-US"/>
        </w:rPr>
        <w:t>ال</w:t>
      </w:r>
      <w:r w:rsidRPr="00C85F0F">
        <w:rPr>
          <w:rFonts w:ascii="Traditional Arabic" w:hAnsi="Traditional Arabic"/>
          <w:noProof w:val="0"/>
          <w:color w:val="auto"/>
          <w:rtl/>
          <w:lang w:eastAsia="en-US"/>
        </w:rPr>
        <w:t>مأذون فهو مضمون</w:t>
      </w:r>
      <w:r w:rsidR="001659D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hint="cs"/>
          <w:color w:val="auto"/>
          <w:rtl/>
        </w:rPr>
        <w:t>362</w:t>
      </w:r>
    </w:p>
    <w:p w:rsidR="006E11B5" w:rsidRPr="00C85F0F" w:rsidRDefault="006E11B5" w:rsidP="006E11B5">
      <w:pPr>
        <w:ind w:firstLine="0"/>
        <w:rPr>
          <w:color w:val="auto"/>
          <w:rtl/>
        </w:rPr>
      </w:pPr>
      <w:r w:rsidRPr="00C85F0F">
        <w:rPr>
          <w:rFonts w:hint="cs"/>
          <w:color w:val="auto"/>
          <w:rtl/>
        </w:rPr>
        <w:t>ما تولَّد من مأذون فيه لم يُضْمن</w:t>
      </w:r>
      <w:r w:rsidR="001659D7">
        <w:rPr>
          <w:rFonts w:hint="cs"/>
          <w:color w:val="auto"/>
          <w:rtl/>
        </w:rPr>
        <w:t>.....................................................</w:t>
      </w:r>
      <w:r w:rsidRPr="00C85F0F">
        <w:rPr>
          <w:rFonts w:hint="cs"/>
          <w:color w:val="auto"/>
          <w:rtl/>
        </w:rPr>
        <w:t>.</w:t>
      </w:r>
      <w:r>
        <w:rPr>
          <w:rFonts w:hint="cs"/>
          <w:color w:val="auto"/>
          <w:rtl/>
        </w:rPr>
        <w:t>362</w:t>
      </w:r>
    </w:p>
    <w:p w:rsidR="006E11B5" w:rsidRDefault="006E11B5" w:rsidP="006E11B5">
      <w:pPr>
        <w:ind w:firstLine="0"/>
        <w:rPr>
          <w:rtl/>
        </w:rPr>
      </w:pPr>
      <w:r w:rsidRPr="00C85F0F">
        <w:rPr>
          <w:rFonts w:hint="cs"/>
          <w:rtl/>
        </w:rPr>
        <w:t>ما ثبت بِزمانٍ يُحكَم بِبقائه ما لم يوجد الْمُزيل.</w:t>
      </w:r>
      <w:r w:rsidR="001659D7">
        <w:rPr>
          <w:rFonts w:hint="cs"/>
          <w:rtl/>
        </w:rPr>
        <w:t>.........................................</w:t>
      </w:r>
      <w:r>
        <w:rPr>
          <w:rFonts w:hint="cs"/>
          <w:rtl/>
        </w:rPr>
        <w:t>281</w:t>
      </w:r>
    </w:p>
    <w:p w:rsidR="006E11B5" w:rsidRDefault="006E11B5" w:rsidP="006E11B5">
      <w:pPr>
        <w:ind w:firstLine="0"/>
        <w:rPr>
          <w:rtl/>
        </w:rPr>
      </w:pPr>
      <w:r w:rsidRPr="00C85F0F">
        <w:rPr>
          <w:rFonts w:hint="cs"/>
          <w:rtl/>
        </w:rPr>
        <w:t>ما جاء في الكتاب والسنة</w:t>
      </w:r>
      <w:r>
        <w:rPr>
          <w:rFonts w:hint="cs"/>
          <w:rtl/>
        </w:rPr>
        <w:t xml:space="preserve"> مُطْلَقاً بِغيرِ تحديد...</w:t>
      </w:r>
      <w:r w:rsidRPr="00C85F0F">
        <w:rPr>
          <w:rFonts w:hint="cs"/>
          <w:rtl/>
        </w:rPr>
        <w:t>فإنه يُرْجَع في تحديده إلى العُرف</w:t>
      </w:r>
      <w:r w:rsidR="001659D7">
        <w:rPr>
          <w:rFonts w:hint="cs"/>
          <w:rtl/>
        </w:rPr>
        <w:t>...........</w:t>
      </w:r>
      <w:r w:rsidRPr="00C85F0F">
        <w:rPr>
          <w:rFonts w:hint="cs"/>
          <w:rtl/>
        </w:rPr>
        <w:t>.</w:t>
      </w:r>
      <w:r>
        <w:rPr>
          <w:rFonts w:hint="cs"/>
          <w:rtl/>
        </w:rPr>
        <w:t>159</w:t>
      </w:r>
    </w:p>
    <w:p w:rsidR="006E11B5" w:rsidRPr="00C85F0F" w:rsidRDefault="006E11B5" w:rsidP="006E11B5">
      <w:pPr>
        <w:ind w:firstLine="0"/>
      </w:pPr>
      <w:r w:rsidRPr="00C85F0F">
        <w:rPr>
          <w:rFonts w:hint="cs"/>
          <w:rtl/>
        </w:rPr>
        <w:t>ما حُرِّمَ تحريمَ الوسائل أباحته الحاجة</w:t>
      </w:r>
      <w:r w:rsidR="001659D7">
        <w:rPr>
          <w:rFonts w:hint="cs"/>
          <w:rtl/>
        </w:rPr>
        <w:t>.................................................</w:t>
      </w:r>
      <w:r w:rsidRPr="00C85F0F">
        <w:rPr>
          <w:rFonts w:hint="cs"/>
          <w:rtl/>
        </w:rPr>
        <w:t>.</w:t>
      </w:r>
      <w:r>
        <w:rPr>
          <w:rFonts w:hint="cs"/>
          <w:rtl/>
        </w:rPr>
        <w:t>192</w:t>
      </w:r>
    </w:p>
    <w:p w:rsidR="006E11B5" w:rsidRPr="00C85F0F" w:rsidRDefault="006E11B5" w:rsidP="006E11B5">
      <w:pPr>
        <w:ind w:firstLine="0"/>
      </w:pPr>
      <w:r w:rsidRPr="00C85F0F">
        <w:rPr>
          <w:rFonts w:hint="cs"/>
          <w:rtl/>
        </w:rPr>
        <w:t>ما حُرِّم تحريمَ الوسائلِ جازَ للحاجة</w:t>
      </w:r>
      <w:r w:rsidR="001659D7">
        <w:rPr>
          <w:rFonts w:hint="cs"/>
          <w:rtl/>
        </w:rPr>
        <w:t>..................................................</w:t>
      </w:r>
      <w:r w:rsidRPr="00C85F0F">
        <w:rPr>
          <w:rFonts w:hint="cs"/>
          <w:rtl/>
        </w:rPr>
        <w:t>.</w:t>
      </w:r>
      <w:r>
        <w:rPr>
          <w:rFonts w:hint="cs"/>
          <w:rtl/>
        </w:rPr>
        <w:t>192</w:t>
      </w:r>
    </w:p>
    <w:p w:rsidR="006E11B5" w:rsidRPr="00C85F0F" w:rsidRDefault="006E11B5" w:rsidP="006E11B5">
      <w:pPr>
        <w:ind w:firstLine="0"/>
      </w:pPr>
      <w:r w:rsidRPr="00C85F0F">
        <w:rPr>
          <w:rFonts w:hint="cs"/>
          <w:rtl/>
        </w:rPr>
        <w:t>ما حَرُمَ تحريمَ الوسائل فإنه يُباح للحاجة والمصلحة الراجحة</w:t>
      </w:r>
      <w:r w:rsidR="001659D7">
        <w:rPr>
          <w:rFonts w:hint="cs"/>
          <w:rtl/>
        </w:rPr>
        <w:t>.............................</w:t>
      </w:r>
      <w:r w:rsidRPr="00C85F0F">
        <w:rPr>
          <w:rFonts w:hint="cs"/>
          <w:rtl/>
        </w:rPr>
        <w:t>.</w:t>
      </w:r>
      <w:r>
        <w:rPr>
          <w:rFonts w:hint="cs"/>
          <w:rtl/>
        </w:rPr>
        <w:t>193</w:t>
      </w:r>
    </w:p>
    <w:p w:rsidR="006E11B5" w:rsidRPr="00C85F0F" w:rsidRDefault="006E11B5" w:rsidP="006E11B5">
      <w:pPr>
        <w:ind w:firstLine="0"/>
      </w:pPr>
      <w:r w:rsidRPr="00C85F0F">
        <w:rPr>
          <w:rFonts w:hint="cs"/>
          <w:rtl/>
        </w:rPr>
        <w:t>ما حُرِّم سدّاً للذريعة فإنه تُبيحُه الحاجة</w:t>
      </w:r>
      <w:r w:rsidR="001659D7">
        <w:rPr>
          <w:rFonts w:hint="cs"/>
          <w:rtl/>
        </w:rPr>
        <w:t>...............................................</w:t>
      </w:r>
      <w:r w:rsidRPr="00C85F0F">
        <w:rPr>
          <w:rFonts w:hint="cs"/>
          <w:rtl/>
        </w:rPr>
        <w:t>.</w:t>
      </w:r>
      <w:r>
        <w:rPr>
          <w:rFonts w:hint="cs"/>
          <w:rtl/>
        </w:rPr>
        <w:t>192</w:t>
      </w:r>
    </w:p>
    <w:p w:rsidR="006E11B5" w:rsidRPr="00C85F0F" w:rsidRDefault="006E11B5" w:rsidP="006E11B5">
      <w:pPr>
        <w:ind w:firstLine="0"/>
      </w:pPr>
      <w:r w:rsidRPr="00C85F0F">
        <w:rPr>
          <w:rFonts w:hint="cs"/>
          <w:rtl/>
        </w:rPr>
        <w:t>ما حُرِّمَ لِسَدِّ الذرائع فإنه يُباح للحاجة والمصلحة الراجحة</w:t>
      </w:r>
      <w:r w:rsidR="001659D7">
        <w:rPr>
          <w:rFonts w:hint="cs"/>
          <w:rtl/>
        </w:rPr>
        <w:t>..............................</w:t>
      </w:r>
      <w:r w:rsidRPr="00C85F0F">
        <w:rPr>
          <w:rFonts w:hint="cs"/>
          <w:rtl/>
        </w:rPr>
        <w:t>.</w:t>
      </w:r>
      <w:r>
        <w:rPr>
          <w:rFonts w:hint="cs"/>
          <w:rtl/>
        </w:rPr>
        <w:t>193</w:t>
      </w:r>
    </w:p>
    <w:p w:rsidR="006E11B5" w:rsidRPr="00C85F0F" w:rsidRDefault="006E11B5" w:rsidP="006E11B5">
      <w:pPr>
        <w:ind w:firstLine="0"/>
        <w:jc w:val="left"/>
        <w:rPr>
          <w:rtl/>
        </w:rPr>
      </w:pPr>
      <w:r w:rsidRPr="00C85F0F">
        <w:rPr>
          <w:rtl/>
        </w:rPr>
        <w:lastRenderedPageBreak/>
        <w:t>ما ر</w:t>
      </w:r>
      <w:r w:rsidRPr="00C85F0F">
        <w:rPr>
          <w:rFonts w:hint="cs"/>
          <w:rtl/>
        </w:rPr>
        <w:t>َ</w:t>
      </w:r>
      <w:r w:rsidRPr="00C85F0F">
        <w:rPr>
          <w:rtl/>
        </w:rPr>
        <w:t>بط به الشارع</w:t>
      </w:r>
      <w:r w:rsidRPr="00C85F0F">
        <w:rPr>
          <w:rFonts w:hint="cs"/>
          <w:rtl/>
        </w:rPr>
        <w:t>ُ</w:t>
      </w:r>
      <w:r w:rsidRPr="00C85F0F">
        <w:rPr>
          <w:rtl/>
        </w:rPr>
        <w:t xml:space="preserve"> ح</w:t>
      </w:r>
      <w:r w:rsidRPr="00C85F0F">
        <w:rPr>
          <w:rFonts w:hint="cs"/>
          <w:rtl/>
        </w:rPr>
        <w:t>ُ</w:t>
      </w:r>
      <w:r w:rsidRPr="00C85F0F">
        <w:rPr>
          <w:rtl/>
        </w:rPr>
        <w:t>كم</w:t>
      </w:r>
      <w:r w:rsidRPr="00C85F0F">
        <w:rPr>
          <w:rFonts w:hint="cs"/>
          <w:rtl/>
        </w:rPr>
        <w:t>ً</w:t>
      </w:r>
      <w:r w:rsidRPr="00C85F0F">
        <w:rPr>
          <w:rtl/>
        </w:rPr>
        <w:t>ا</w:t>
      </w:r>
      <w:r w:rsidRPr="00C85F0F">
        <w:rPr>
          <w:rFonts w:hint="cs"/>
          <w:rtl/>
        </w:rPr>
        <w:t>،</w:t>
      </w:r>
      <w:r w:rsidRPr="00C85F0F">
        <w:rPr>
          <w:rtl/>
        </w:rPr>
        <w:t xml:space="preserve"> فع</w:t>
      </w:r>
      <w:r w:rsidRPr="00C85F0F">
        <w:rPr>
          <w:rFonts w:hint="cs"/>
          <w:rtl/>
        </w:rPr>
        <w:t>َ</w:t>
      </w:r>
      <w:r w:rsidRPr="00C85F0F">
        <w:rPr>
          <w:rtl/>
        </w:rPr>
        <w:t>م</w:t>
      </w:r>
      <w:r w:rsidRPr="00C85F0F">
        <w:rPr>
          <w:rFonts w:hint="cs"/>
          <w:rtl/>
        </w:rPr>
        <w:t>َ</w:t>
      </w:r>
      <w:r w:rsidRPr="00C85F0F">
        <w:rPr>
          <w:rtl/>
        </w:rPr>
        <w:t>د الم</w:t>
      </w:r>
      <w:r w:rsidRPr="00C85F0F">
        <w:rPr>
          <w:rFonts w:hint="cs"/>
          <w:rtl/>
        </w:rPr>
        <w:t>َكلَّ</w:t>
      </w:r>
      <w:r w:rsidRPr="00C85F0F">
        <w:rPr>
          <w:rtl/>
        </w:rPr>
        <w:t>ف</w:t>
      </w:r>
      <w:r w:rsidRPr="00C85F0F">
        <w:rPr>
          <w:rFonts w:hint="cs"/>
          <w:rtl/>
        </w:rPr>
        <w:t>ُ</w:t>
      </w:r>
      <w:r w:rsidRPr="00C85F0F">
        <w:rPr>
          <w:rtl/>
        </w:rPr>
        <w:t xml:space="preserve"> إلى اس</w:t>
      </w:r>
      <w:r w:rsidRPr="00C85F0F">
        <w:rPr>
          <w:rFonts w:hint="cs"/>
          <w:rtl/>
        </w:rPr>
        <w:t>ْ</w:t>
      </w:r>
      <w:r w:rsidRPr="00C85F0F">
        <w:rPr>
          <w:rtl/>
        </w:rPr>
        <w:t>ت</w:t>
      </w:r>
      <w:r w:rsidRPr="00C85F0F">
        <w:rPr>
          <w:rFonts w:hint="cs"/>
          <w:rtl/>
        </w:rPr>
        <w:t>ِ</w:t>
      </w:r>
      <w:r w:rsidRPr="00C85F0F">
        <w:rPr>
          <w:rtl/>
        </w:rPr>
        <w:t>ع</w:t>
      </w:r>
      <w:r w:rsidRPr="00C85F0F">
        <w:rPr>
          <w:rFonts w:hint="cs"/>
          <w:rtl/>
        </w:rPr>
        <w:t>ْ</w:t>
      </w:r>
      <w:r w:rsidRPr="00C85F0F">
        <w:rPr>
          <w:rtl/>
        </w:rPr>
        <w:t>جاله ل</w:t>
      </w:r>
      <w:r w:rsidRPr="00C85F0F">
        <w:rPr>
          <w:rFonts w:hint="cs"/>
          <w:rtl/>
        </w:rPr>
        <w:t>ِ</w:t>
      </w:r>
      <w:r w:rsidRPr="00C85F0F">
        <w:rPr>
          <w:rtl/>
        </w:rPr>
        <w:t>ي</w:t>
      </w:r>
      <w:r w:rsidRPr="00C85F0F">
        <w:rPr>
          <w:rFonts w:hint="cs"/>
          <w:rtl/>
        </w:rPr>
        <w:t>َ</w:t>
      </w:r>
      <w:r>
        <w:rPr>
          <w:rtl/>
        </w:rPr>
        <w:t>نال ذلك الحكم</w:t>
      </w:r>
      <w:r>
        <w:rPr>
          <w:rFonts w:hint="cs"/>
          <w:rtl/>
        </w:rPr>
        <w:t>.</w:t>
      </w:r>
      <w:r w:rsidR="001659D7">
        <w:rPr>
          <w:rFonts w:hint="cs"/>
          <w:rtl/>
        </w:rPr>
        <w:t>...............</w:t>
      </w:r>
      <w:r>
        <w:rPr>
          <w:rFonts w:hint="cs"/>
          <w:rtl/>
        </w:rPr>
        <w:t xml:space="preserve"> 234</w:t>
      </w:r>
    </w:p>
    <w:p w:rsidR="006E11B5" w:rsidRDefault="006E11B5" w:rsidP="006E11B5">
      <w:pPr>
        <w:ind w:firstLine="0"/>
        <w:rPr>
          <w:rtl/>
        </w:rPr>
      </w:pPr>
      <w:r w:rsidRPr="00C85F0F">
        <w:rPr>
          <w:rtl/>
        </w:rPr>
        <w:t>ما في ض</w:t>
      </w:r>
      <w:r w:rsidRPr="00C85F0F">
        <w:rPr>
          <w:rFonts w:hint="cs"/>
          <w:rtl/>
        </w:rPr>
        <w:t>ِ</w:t>
      </w:r>
      <w:r w:rsidRPr="00C85F0F">
        <w:rPr>
          <w:rtl/>
        </w:rPr>
        <w:t>م</w:t>
      </w:r>
      <w:r w:rsidRPr="00C85F0F">
        <w:rPr>
          <w:rFonts w:hint="cs"/>
          <w:rtl/>
        </w:rPr>
        <w:t>ْ</w:t>
      </w:r>
      <w:r w:rsidRPr="00C85F0F">
        <w:rPr>
          <w:rtl/>
        </w:rPr>
        <w:t>ن</w:t>
      </w:r>
      <w:r w:rsidRPr="00C85F0F">
        <w:rPr>
          <w:rFonts w:hint="cs"/>
          <w:rtl/>
        </w:rPr>
        <w:t>ِ</w:t>
      </w:r>
      <w:r w:rsidRPr="00C85F0F">
        <w:rPr>
          <w:rtl/>
        </w:rPr>
        <w:t xml:space="preserve"> المحر</w:t>
      </w:r>
      <w:r w:rsidRPr="00C85F0F">
        <w:rPr>
          <w:rFonts w:hint="cs"/>
          <w:rtl/>
        </w:rPr>
        <w:t>َّ</w:t>
      </w:r>
      <w:r w:rsidRPr="00C85F0F">
        <w:rPr>
          <w:rtl/>
        </w:rPr>
        <w:t>مات من المفاسد والمأمورات من المصالح ي</w:t>
      </w:r>
      <w:r w:rsidRPr="00C85F0F">
        <w:rPr>
          <w:rFonts w:hint="cs"/>
          <w:rtl/>
        </w:rPr>
        <w:t>ُ</w:t>
      </w:r>
      <w:r w:rsidRPr="00C85F0F">
        <w:rPr>
          <w:rtl/>
        </w:rPr>
        <w:t>م</w:t>
      </w:r>
      <w:r w:rsidRPr="00C85F0F">
        <w:rPr>
          <w:rFonts w:hint="cs"/>
          <w:rtl/>
        </w:rPr>
        <w:t>ْ</w:t>
      </w:r>
      <w:r w:rsidRPr="00C85F0F">
        <w:rPr>
          <w:rtl/>
        </w:rPr>
        <w:t>ن</w:t>
      </w:r>
      <w:r w:rsidRPr="00C85F0F">
        <w:rPr>
          <w:rFonts w:hint="cs"/>
          <w:rtl/>
        </w:rPr>
        <w:t>َ</w:t>
      </w:r>
      <w:r w:rsidRPr="00C85F0F">
        <w:rPr>
          <w:rtl/>
        </w:rPr>
        <w:t xml:space="preserve">ع </w:t>
      </w:r>
      <w:r w:rsidRPr="00C85F0F">
        <w:rPr>
          <w:rFonts w:hint="cs"/>
          <w:rtl/>
        </w:rPr>
        <w:t>أ</w:t>
      </w:r>
      <w:r w:rsidRPr="00C85F0F">
        <w:rPr>
          <w:rtl/>
        </w:rPr>
        <w:t>ن ي</w:t>
      </w:r>
      <w:r w:rsidRPr="00C85F0F">
        <w:rPr>
          <w:rFonts w:hint="cs"/>
          <w:rtl/>
        </w:rPr>
        <w:t>ُ</w:t>
      </w:r>
      <w:r w:rsidRPr="00C85F0F">
        <w:rPr>
          <w:rtl/>
        </w:rPr>
        <w:t>ش</w:t>
      </w:r>
      <w:r w:rsidRPr="00C85F0F">
        <w:rPr>
          <w:rFonts w:hint="cs"/>
          <w:rtl/>
        </w:rPr>
        <w:t>ْ</w:t>
      </w:r>
      <w:r w:rsidRPr="00C85F0F">
        <w:rPr>
          <w:rtl/>
        </w:rPr>
        <w:t>ر</w:t>
      </w:r>
      <w:r w:rsidRPr="00C85F0F">
        <w:rPr>
          <w:rFonts w:hint="cs"/>
          <w:rtl/>
        </w:rPr>
        <w:t>َ</w:t>
      </w:r>
      <w:r w:rsidRPr="00C85F0F">
        <w:rPr>
          <w:rtl/>
        </w:rPr>
        <w:t xml:space="preserve">ع </w:t>
      </w:r>
      <w:r w:rsidRPr="00C85F0F">
        <w:rPr>
          <w:rFonts w:hint="cs"/>
          <w:rtl/>
        </w:rPr>
        <w:t>إ</w:t>
      </w:r>
      <w:r w:rsidRPr="00C85F0F">
        <w:rPr>
          <w:rtl/>
        </w:rPr>
        <w:t>ليها التحي</w:t>
      </w:r>
      <w:r w:rsidRPr="00C85F0F">
        <w:rPr>
          <w:rFonts w:hint="cs"/>
          <w:rtl/>
        </w:rPr>
        <w:t>ُّ</w:t>
      </w:r>
      <w:r w:rsidRPr="00C85F0F">
        <w:rPr>
          <w:rtl/>
        </w:rPr>
        <w:t>ل</w:t>
      </w:r>
      <w:r w:rsidR="001659D7">
        <w:rPr>
          <w:rFonts w:hint="cs"/>
          <w:rtl/>
        </w:rPr>
        <w:t>.......</w:t>
      </w:r>
      <w:r w:rsidRPr="00C85F0F">
        <w:rPr>
          <w:rFonts w:hint="cs"/>
          <w:rtl/>
        </w:rPr>
        <w:t>.</w:t>
      </w:r>
      <w:r>
        <w:rPr>
          <w:rFonts w:hint="cs"/>
          <w:rtl/>
        </w:rPr>
        <w:t>224</w:t>
      </w:r>
    </w:p>
    <w:p w:rsidR="006E11B5" w:rsidRPr="00C85F0F" w:rsidRDefault="006E11B5" w:rsidP="006E11B5">
      <w:pPr>
        <w:ind w:firstLine="0"/>
      </w:pPr>
      <w:r w:rsidRPr="00C85F0F">
        <w:rPr>
          <w:rFonts w:hint="cs"/>
          <w:rtl/>
        </w:rPr>
        <w:t>ما كان ذريعةً إلى الباطل فهو باطل</w:t>
      </w:r>
      <w:r w:rsidR="001659D7">
        <w:rPr>
          <w:rFonts w:hint="cs"/>
          <w:rtl/>
        </w:rPr>
        <w:t>..................................................</w:t>
      </w:r>
      <w:r w:rsidRPr="00C85F0F">
        <w:rPr>
          <w:rFonts w:hint="cs"/>
          <w:rtl/>
        </w:rPr>
        <w:t>.</w:t>
      </w:r>
      <w:r>
        <w:rPr>
          <w:rFonts w:hint="cs"/>
          <w:rtl/>
        </w:rPr>
        <w:t>182</w:t>
      </w:r>
    </w:p>
    <w:p w:rsidR="006E11B5" w:rsidRPr="00C85F0F" w:rsidRDefault="006E11B5" w:rsidP="006E11B5">
      <w:pPr>
        <w:ind w:firstLine="0"/>
        <w:rPr>
          <w:color w:val="auto"/>
          <w:rtl/>
        </w:rPr>
      </w:pPr>
      <w:r w:rsidRPr="00C85F0F">
        <w:rPr>
          <w:rFonts w:ascii="Traditional Arabic" w:hAnsi="Traditional Arabic"/>
          <w:noProof w:val="0"/>
          <w:color w:val="auto"/>
          <w:rtl/>
          <w:lang w:eastAsia="en-US"/>
        </w:rPr>
        <w:t>ما كان ذريعة</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للحرام فهو حرام</w:t>
      </w:r>
      <w:r w:rsidR="001659D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hint="cs"/>
          <w:color w:val="auto"/>
          <w:rtl/>
        </w:rPr>
        <w:t>182</w:t>
      </w:r>
    </w:p>
    <w:p w:rsidR="006E11B5" w:rsidRPr="00C85F0F" w:rsidRDefault="006E11B5" w:rsidP="006E11B5">
      <w:pPr>
        <w:ind w:firstLine="0"/>
      </w:pPr>
      <w:r w:rsidRPr="00C85F0F">
        <w:rPr>
          <w:rFonts w:hint="cs"/>
          <w:rtl/>
        </w:rPr>
        <w:t>ما كان سبباً لحرامٍ حرام</w:t>
      </w:r>
      <w:r w:rsidR="001659D7">
        <w:rPr>
          <w:rFonts w:hint="cs"/>
          <w:rtl/>
        </w:rPr>
        <w:t>.............................................................</w:t>
      </w:r>
      <w:r w:rsidRPr="00C85F0F">
        <w:rPr>
          <w:rFonts w:hint="cs"/>
          <w:rtl/>
        </w:rPr>
        <w:t>.</w:t>
      </w:r>
      <w:r>
        <w:rPr>
          <w:rFonts w:hint="cs"/>
          <w:rtl/>
        </w:rPr>
        <w:t>183</w:t>
      </w:r>
    </w:p>
    <w:p w:rsidR="006E11B5" w:rsidRDefault="006E11B5" w:rsidP="006E11B5">
      <w:pPr>
        <w:ind w:firstLine="0"/>
        <w:jc w:val="left"/>
        <w:rPr>
          <w:rtl/>
        </w:rPr>
      </w:pPr>
      <w:r w:rsidRPr="0033140B">
        <w:rPr>
          <w:rFonts w:ascii="Traditional Arabic" w:hAnsi="Traditional Arabic"/>
          <w:rtl/>
        </w:rPr>
        <w:t>ما كان فيه ضرر ﻓﺈنه ممنوع شرعًا</w:t>
      </w:r>
      <w:r w:rsidR="001659D7">
        <w:rPr>
          <w:rFonts w:ascii="Traditional Arabic" w:hAnsi="Traditional Arabic" w:hint="cs"/>
          <w:rtl/>
        </w:rPr>
        <w:t>....................................................</w:t>
      </w:r>
      <w:r w:rsidRPr="0033140B">
        <w:rPr>
          <w:rFonts w:ascii="Traditional Arabic" w:hAnsi="Traditional Arabic"/>
          <w:rtl/>
        </w:rPr>
        <w:t>.</w:t>
      </w:r>
      <w:r>
        <w:rPr>
          <w:rFonts w:ascii="Traditional Arabic" w:hAnsi="Traditional Arabic" w:hint="cs"/>
          <w:rtl/>
        </w:rPr>
        <w:t>244</w:t>
      </w:r>
    </w:p>
    <w:p w:rsidR="006E11B5" w:rsidRDefault="006E11B5" w:rsidP="006E11B5">
      <w:pPr>
        <w:ind w:firstLine="0"/>
        <w:jc w:val="left"/>
        <w:rPr>
          <w:rFonts w:ascii="Traditional Arabic" w:hAnsi="Traditional Arabic"/>
          <w:noProof w:val="0"/>
          <w:color w:val="auto"/>
          <w:rtl/>
          <w:lang w:eastAsia="en-US"/>
        </w:rPr>
      </w:pPr>
      <w:r w:rsidRPr="00C85F0F">
        <w:rPr>
          <w:rFonts w:hint="cs"/>
          <w:rtl/>
        </w:rPr>
        <w:t>ما لا يتم الواجب إلا به فهو واجب</w:t>
      </w:r>
      <w:r w:rsidR="001659D7">
        <w:rPr>
          <w:rFonts w:hint="cs"/>
          <w:rtl/>
        </w:rPr>
        <w:t>.................................................</w:t>
      </w:r>
      <w:r w:rsidRPr="00C85F0F">
        <w:rPr>
          <w:rFonts w:hint="cs"/>
          <w:rtl/>
        </w:rPr>
        <w:t>.</w:t>
      </w:r>
      <w:r>
        <w:rPr>
          <w:rFonts w:hint="cs"/>
          <w:rtl/>
        </w:rPr>
        <w:t>173</w:t>
      </w:r>
    </w:p>
    <w:p w:rsidR="006E11B5" w:rsidRDefault="006E11B5" w:rsidP="006E11B5">
      <w:pPr>
        <w:ind w:firstLine="0"/>
        <w:rPr>
          <w:rtl/>
        </w:rPr>
      </w:pPr>
      <w:r w:rsidRPr="00C85F0F">
        <w:rPr>
          <w:rFonts w:hint="cs"/>
          <w:rtl/>
        </w:rPr>
        <w:t>ما لم يُحَدَّ شَرْعاً فمرجِعُه إلى العُرف</w:t>
      </w:r>
      <w:r w:rsidR="001659D7">
        <w:rPr>
          <w:rFonts w:hint="cs"/>
          <w:rtl/>
        </w:rPr>
        <w:t>..................................................</w:t>
      </w:r>
      <w:r w:rsidRPr="00C85F0F">
        <w:rPr>
          <w:rFonts w:hint="cs"/>
          <w:rtl/>
        </w:rPr>
        <w:t>.</w:t>
      </w:r>
      <w:r>
        <w:rPr>
          <w:rFonts w:hint="cs"/>
          <w:rtl/>
        </w:rPr>
        <w:t>159</w:t>
      </w:r>
    </w:p>
    <w:p w:rsidR="006E11B5" w:rsidRDefault="006E11B5" w:rsidP="006E11B5">
      <w:pPr>
        <w:ind w:firstLine="0"/>
        <w:rPr>
          <w:rFonts w:ascii="Traditional Arabic" w:hAnsi="Traditional Arabic"/>
          <w:rtl/>
        </w:rPr>
      </w:pPr>
      <w:r w:rsidRPr="00C85F0F">
        <w:rPr>
          <w:rFonts w:ascii="Traditional Arabic" w:hAnsi="Traditional Arabic" w:hint="cs"/>
          <w:rtl/>
        </w:rPr>
        <w:t>ما لم يُقَدِّرْهُ الشارعُ فإنه يُرجع فيه إلى العُرف</w:t>
      </w:r>
      <w:r w:rsidR="001659D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160</w:t>
      </w:r>
    </w:p>
    <w:p w:rsidR="006E11B5" w:rsidRDefault="006E11B5" w:rsidP="006E11B5">
      <w:pPr>
        <w:ind w:firstLine="0"/>
        <w:rPr>
          <w:rFonts w:ascii="Traditional Arabic" w:hAnsi="Traditional Arabic"/>
          <w:rtl/>
        </w:rPr>
      </w:pPr>
      <w:r w:rsidRPr="00C85F0F">
        <w:rPr>
          <w:rFonts w:ascii="Traditional Arabic" w:hAnsi="Traditional Arabic" w:hint="cs"/>
          <w:rtl/>
        </w:rPr>
        <w:t>ما لم يقدِّره الله ورسوله من الحقوق الواجبة فالمرجِع فيه إلى العُرف</w:t>
      </w:r>
      <w:r w:rsidR="001659D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160</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hint="cs"/>
          <w:rtl/>
        </w:rPr>
        <w:t>ما ليس له ضابِطٌ في اللغة ولا في الشرع يُرجَع فيه إلى العرف</w:t>
      </w:r>
      <w:r w:rsidR="001659D7">
        <w:rPr>
          <w:rFonts w:ascii="Traditional Arabic" w:hAnsi="Traditional Arabic" w:hint="cs"/>
          <w:rtl/>
        </w:rPr>
        <w:t>............................</w:t>
      </w:r>
      <w:r w:rsidRPr="00C85F0F">
        <w:rPr>
          <w:rFonts w:ascii="Traditional Arabic" w:hAnsi="Traditional Arabic" w:hint="cs"/>
          <w:rtl/>
        </w:rPr>
        <w:t>.</w:t>
      </w:r>
      <w:r>
        <w:rPr>
          <w:rFonts w:ascii="Traditional Arabic" w:hAnsi="Traditional Arabic" w:hint="cs"/>
          <w:noProof w:val="0"/>
          <w:color w:val="auto"/>
          <w:rtl/>
          <w:lang w:eastAsia="en-US"/>
        </w:rPr>
        <w:t>160</w:t>
      </w:r>
    </w:p>
    <w:p w:rsidR="006E11B5" w:rsidRDefault="006E11B5" w:rsidP="006E11B5">
      <w:pPr>
        <w:ind w:firstLine="0"/>
        <w:rPr>
          <w:rFonts w:ascii="Traditional Arabic" w:hAnsi="Traditional Arabic"/>
          <w:rtl/>
        </w:rPr>
      </w:pPr>
      <w:r w:rsidRPr="00C85F0F">
        <w:rPr>
          <w:rFonts w:ascii="Traditional Arabic" w:hAnsi="Traditional Arabic"/>
          <w:rtl/>
        </w:rPr>
        <w:t>ماكان فيه حرج ومشقة فإنه ي</w:t>
      </w:r>
      <w:r>
        <w:rPr>
          <w:rFonts w:ascii="Traditional Arabic" w:hAnsi="Traditional Arabic" w:hint="cs"/>
          <w:rtl/>
        </w:rPr>
        <w:t>ُ</w:t>
      </w:r>
      <w:r w:rsidRPr="00C85F0F">
        <w:rPr>
          <w:rFonts w:ascii="Traditional Arabic" w:hAnsi="Traditional Arabic"/>
          <w:rtl/>
        </w:rPr>
        <w:t>نهى عنه شرعا</w:t>
      </w:r>
      <w:r w:rsidR="001659D7">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497</w:t>
      </w:r>
    </w:p>
    <w:p w:rsidR="006E11B5" w:rsidRDefault="006E11B5" w:rsidP="006E11B5">
      <w:pPr>
        <w:ind w:firstLine="0"/>
        <w:jc w:val="left"/>
        <w:rPr>
          <w:rtl/>
        </w:rPr>
      </w:pPr>
      <w:r w:rsidRPr="00C85F0F">
        <w:rPr>
          <w:rFonts w:hint="cs"/>
          <w:rtl/>
        </w:rPr>
        <w:t>المباحُ إذا كان وسيلةً إلى شيء أُعطي حُكمَه</w:t>
      </w:r>
      <w:r w:rsidR="001659D7">
        <w:rPr>
          <w:rFonts w:hint="cs"/>
          <w:rtl/>
        </w:rPr>
        <w:t>..........................................</w:t>
      </w:r>
      <w:r w:rsidRPr="00C85F0F">
        <w:rPr>
          <w:rFonts w:hint="cs"/>
          <w:rtl/>
        </w:rPr>
        <w:t>.</w:t>
      </w:r>
      <w:r>
        <w:rPr>
          <w:rFonts w:hint="cs"/>
          <w:rtl/>
        </w:rPr>
        <w:t>172</w:t>
      </w:r>
    </w:p>
    <w:p w:rsidR="006E11B5" w:rsidRPr="00C85F0F" w:rsidRDefault="006E11B5" w:rsidP="006E11B5">
      <w:pPr>
        <w:ind w:firstLine="0"/>
      </w:pPr>
      <w:r w:rsidRPr="00C85F0F">
        <w:rPr>
          <w:rFonts w:ascii="Traditional Arabic" w:hAnsi="Traditional Arabic"/>
          <w:noProof w:val="0"/>
          <w:rtl/>
          <w:lang w:eastAsia="en-US"/>
        </w:rPr>
        <w:t>المتصر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 لغيره يجب أن يتصر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 بالأحظ</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والمتصرف لنفسه يتصرف بما شاء</w:t>
      </w:r>
      <w:r w:rsidR="001659D7">
        <w:rPr>
          <w:rFonts w:ascii="Traditional Arabic" w:hAnsi="Traditional Arabic" w:hint="cs"/>
          <w:noProof w:val="0"/>
          <w:rtl/>
          <w:lang w:eastAsia="en-US"/>
        </w:rPr>
        <w:t>..............</w:t>
      </w:r>
      <w:r w:rsidRPr="00C85F0F">
        <w:rPr>
          <w:rFonts w:hint="cs"/>
          <w:rtl/>
        </w:rPr>
        <w:t>.</w:t>
      </w:r>
      <w:r>
        <w:rPr>
          <w:rFonts w:hint="cs"/>
          <w:rtl/>
        </w:rPr>
        <w:t>473</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المتولد من مأذون فيه لا أثر له</w:t>
      </w:r>
      <w:r w:rsidR="001659D7">
        <w:rPr>
          <w:rFonts w:hint="cs"/>
          <w:color w:val="auto"/>
          <w:rtl/>
        </w:rPr>
        <w:t>.......................................................</w:t>
      </w:r>
      <w:r w:rsidRPr="00C85F0F">
        <w:rPr>
          <w:rFonts w:hint="cs"/>
          <w:color w:val="auto"/>
          <w:rtl/>
        </w:rPr>
        <w:t>.</w:t>
      </w:r>
      <w:r>
        <w:rPr>
          <w:rFonts w:hint="cs"/>
          <w:color w:val="auto"/>
          <w:rtl/>
        </w:rPr>
        <w:t>363</w:t>
      </w:r>
    </w:p>
    <w:p w:rsidR="006E11B5" w:rsidRDefault="006E11B5" w:rsidP="006E11B5">
      <w:pPr>
        <w:ind w:firstLine="0"/>
        <w:rPr>
          <w:color w:val="auto"/>
          <w:rtl/>
        </w:rPr>
      </w:pPr>
      <w:r w:rsidRPr="00C85F0F">
        <w:rPr>
          <w:rFonts w:hint="cs"/>
          <w:color w:val="auto"/>
          <w:rtl/>
        </w:rPr>
        <w:t>المتولِّد من مأذونٍ فيه لا أثَرَ له، بخلاف المتولد من منهيٍّ عنه</w:t>
      </w:r>
      <w:r w:rsidR="001659D7">
        <w:rPr>
          <w:rFonts w:hint="cs"/>
          <w:color w:val="auto"/>
          <w:rtl/>
        </w:rPr>
        <w:t>...........................</w:t>
      </w:r>
      <w:r w:rsidRPr="00C85F0F">
        <w:rPr>
          <w:rFonts w:hint="cs"/>
          <w:color w:val="auto"/>
          <w:rtl/>
        </w:rPr>
        <w:t>.</w:t>
      </w:r>
      <w:r>
        <w:rPr>
          <w:rFonts w:hint="cs"/>
          <w:color w:val="auto"/>
          <w:rtl/>
        </w:rPr>
        <w:t>362</w:t>
      </w:r>
    </w:p>
    <w:p w:rsidR="006E11B5" w:rsidRDefault="006E11B5" w:rsidP="006E11B5">
      <w:pPr>
        <w:ind w:firstLine="0"/>
        <w:jc w:val="left"/>
        <w:rPr>
          <w:rFonts w:ascii="Traditional Arabic" w:hAnsi="Traditional Arabic"/>
          <w:rtl/>
        </w:rPr>
      </w:pPr>
      <w:r>
        <w:rPr>
          <w:rFonts w:ascii="Traditional Arabic" w:hAnsi="Traditional Arabic" w:hint="cs"/>
          <w:rtl/>
        </w:rPr>
        <w:t>متى ثبت الضرر وجب ر</w:t>
      </w:r>
      <w:r>
        <w:rPr>
          <w:rFonts w:ascii="Traditional Arabic" w:hAnsi="Traditional Arabic"/>
          <w:rtl/>
        </w:rPr>
        <w:t>َ</w:t>
      </w:r>
      <w:r>
        <w:rPr>
          <w:rFonts w:ascii="Traditional Arabic" w:hAnsi="Traditional Arabic" w:hint="cs"/>
          <w:rtl/>
        </w:rPr>
        <w:t>ف</w:t>
      </w:r>
      <w:r>
        <w:rPr>
          <w:rFonts w:ascii="Traditional Arabic" w:hAnsi="Traditional Arabic"/>
          <w:rtl/>
        </w:rPr>
        <w:t>ْ</w:t>
      </w:r>
      <w:r>
        <w:rPr>
          <w:rFonts w:ascii="Traditional Arabic" w:hAnsi="Traditional Arabic" w:hint="cs"/>
          <w:rtl/>
        </w:rPr>
        <w:t>ع</w:t>
      </w:r>
      <w:r>
        <w:rPr>
          <w:rFonts w:ascii="Traditional Arabic" w:hAnsi="Traditional Arabic"/>
          <w:rtl/>
        </w:rPr>
        <w:t>ُ</w:t>
      </w:r>
      <w:r>
        <w:rPr>
          <w:rFonts w:ascii="Traditional Arabic" w:hAnsi="Traditional Arabic" w:hint="cs"/>
          <w:rtl/>
        </w:rPr>
        <w:t>ه، و متى ثبت ا</w:t>
      </w:r>
      <w:r>
        <w:rPr>
          <w:rFonts w:ascii="Traditional Arabic" w:hAnsi="Traditional Arabic"/>
          <w:rtl/>
        </w:rPr>
        <w:t>ﻹ</w:t>
      </w:r>
      <w:r>
        <w:rPr>
          <w:rFonts w:ascii="Traditional Arabic" w:hAnsi="Traditional Arabic" w:hint="cs"/>
          <w:rtl/>
        </w:rPr>
        <w:t>ضرار وجب رفعه مع عقوبة قاصد ا</w:t>
      </w:r>
      <w:r>
        <w:rPr>
          <w:rFonts w:ascii="Traditional Arabic" w:hAnsi="Traditional Arabic"/>
          <w:rtl/>
        </w:rPr>
        <w:t>ﻹ</w:t>
      </w:r>
      <w:r>
        <w:rPr>
          <w:rFonts w:ascii="Traditional Arabic" w:hAnsi="Traditional Arabic" w:hint="cs"/>
          <w:rtl/>
        </w:rPr>
        <w:t>ضرار</w:t>
      </w:r>
      <w:r w:rsidR="001659D7">
        <w:rPr>
          <w:rFonts w:ascii="Traditional Arabic" w:hAnsi="Traditional Arabic" w:hint="cs"/>
          <w:rtl/>
        </w:rPr>
        <w:t>....</w:t>
      </w:r>
      <w:r>
        <w:rPr>
          <w:rFonts w:ascii="Traditional Arabic" w:hAnsi="Traditional Arabic" w:hint="cs"/>
          <w:rtl/>
        </w:rPr>
        <w:t>.245</w:t>
      </w:r>
    </w:p>
    <w:p w:rsidR="006E11B5" w:rsidRDefault="006E11B5" w:rsidP="006E11B5">
      <w:pPr>
        <w:ind w:firstLine="0"/>
        <w:jc w:val="left"/>
        <w:rPr>
          <w:rFonts w:ascii="Traditional Arabic" w:hAnsi="Traditional Arabic"/>
          <w:rtl/>
        </w:rPr>
      </w:pPr>
      <w:r w:rsidRPr="00E041CD">
        <w:rPr>
          <w:rFonts w:ascii="Traditional Arabic" w:hAnsi="Traditional Arabic" w:hint="cs"/>
          <w:rtl/>
        </w:rPr>
        <w:t>متى و</w:t>
      </w:r>
      <w:r w:rsidRPr="00E041CD">
        <w:rPr>
          <w:rFonts w:ascii="Traditional Arabic" w:hAnsi="Traditional Arabic"/>
          <w:rtl/>
        </w:rPr>
        <w:t>ُ</w:t>
      </w:r>
      <w:r w:rsidRPr="00E041CD">
        <w:rPr>
          <w:rFonts w:ascii="Traditional Arabic" w:hAnsi="Traditional Arabic" w:hint="cs"/>
          <w:rtl/>
        </w:rPr>
        <w:t>ج</w:t>
      </w:r>
      <w:r w:rsidRPr="00E041CD">
        <w:rPr>
          <w:rFonts w:ascii="Traditional Arabic" w:hAnsi="Traditional Arabic"/>
          <w:rtl/>
        </w:rPr>
        <w:t>ِ</w:t>
      </w:r>
      <w:r w:rsidRPr="00E041CD">
        <w:rPr>
          <w:rFonts w:ascii="Traditional Arabic" w:hAnsi="Traditional Arabic" w:hint="cs"/>
          <w:rtl/>
        </w:rPr>
        <w:t>د</w:t>
      </w:r>
      <w:r w:rsidRPr="00E041CD">
        <w:rPr>
          <w:rFonts w:ascii="Traditional Arabic" w:hAnsi="Traditional Arabic"/>
          <w:rtl/>
        </w:rPr>
        <w:t>َ</w:t>
      </w:r>
      <w:r w:rsidRPr="00E041CD">
        <w:rPr>
          <w:rFonts w:ascii="Traditional Arabic" w:hAnsi="Traditional Arabic" w:hint="cs"/>
          <w:rtl/>
        </w:rPr>
        <w:t xml:space="preserve"> الضرر وجب ر</w:t>
      </w:r>
      <w:r>
        <w:rPr>
          <w:rFonts w:ascii="Traditional Arabic" w:hAnsi="Traditional Arabic"/>
          <w:rtl/>
        </w:rPr>
        <w:t>َ</w:t>
      </w:r>
      <w:r w:rsidRPr="00E041CD">
        <w:rPr>
          <w:rFonts w:ascii="Traditional Arabic" w:hAnsi="Traditional Arabic" w:hint="cs"/>
          <w:rtl/>
        </w:rPr>
        <w:t>ف</w:t>
      </w:r>
      <w:r>
        <w:rPr>
          <w:rFonts w:ascii="Traditional Arabic" w:hAnsi="Traditional Arabic"/>
          <w:rtl/>
        </w:rPr>
        <w:t>ْ</w:t>
      </w:r>
      <w:r w:rsidRPr="00E041CD">
        <w:rPr>
          <w:rFonts w:ascii="Traditional Arabic" w:hAnsi="Traditional Arabic" w:hint="cs"/>
          <w:rtl/>
        </w:rPr>
        <w:t>عه،</w:t>
      </w:r>
      <w:r>
        <w:rPr>
          <w:rFonts w:ascii="Traditional Arabic" w:hAnsi="Traditional Arabic" w:hint="cs"/>
          <w:rtl/>
        </w:rPr>
        <w:t xml:space="preserve"> و</w:t>
      </w:r>
      <w:r w:rsidRPr="00E041CD">
        <w:rPr>
          <w:rFonts w:ascii="Traditional Arabic" w:hAnsi="Traditional Arabic" w:hint="cs"/>
          <w:rtl/>
        </w:rPr>
        <w:t>متى ق</w:t>
      </w:r>
      <w:r w:rsidRPr="00E041CD">
        <w:rPr>
          <w:rFonts w:ascii="Traditional Arabic" w:hAnsi="Traditional Arabic"/>
          <w:rtl/>
        </w:rPr>
        <w:t>ُ</w:t>
      </w:r>
      <w:r w:rsidRPr="00E041CD">
        <w:rPr>
          <w:rFonts w:ascii="Traditional Arabic" w:hAnsi="Traditional Arabic" w:hint="cs"/>
          <w:rtl/>
        </w:rPr>
        <w:t>ص</w:t>
      </w:r>
      <w:r w:rsidRPr="00E041CD">
        <w:rPr>
          <w:rFonts w:ascii="Traditional Arabic" w:hAnsi="Traditional Arabic"/>
          <w:rtl/>
        </w:rPr>
        <w:t>ِ</w:t>
      </w:r>
      <w:r w:rsidRPr="00E041CD">
        <w:rPr>
          <w:rFonts w:ascii="Traditional Arabic" w:hAnsi="Traditional Arabic" w:hint="cs"/>
          <w:rtl/>
        </w:rPr>
        <w:t>د</w:t>
      </w:r>
      <w:r w:rsidRPr="00E041CD">
        <w:rPr>
          <w:rFonts w:ascii="Traditional Arabic" w:hAnsi="Traditional Arabic"/>
          <w:rtl/>
        </w:rPr>
        <w:t>َ</w:t>
      </w:r>
      <w:r w:rsidRPr="00E041CD">
        <w:rPr>
          <w:rFonts w:ascii="Traditional Arabic" w:hAnsi="Traditional Arabic" w:hint="cs"/>
          <w:rtl/>
        </w:rPr>
        <w:t>ت الم</w:t>
      </w:r>
      <w:r w:rsidRPr="00E041CD">
        <w:rPr>
          <w:rFonts w:ascii="Traditional Arabic" w:hAnsi="Traditional Arabic"/>
          <w:rtl/>
        </w:rPr>
        <w:t>ُ</w:t>
      </w:r>
      <w:r w:rsidRPr="00E041CD">
        <w:rPr>
          <w:rFonts w:ascii="Traditional Arabic" w:hAnsi="Traditional Arabic" w:hint="cs"/>
          <w:rtl/>
        </w:rPr>
        <w:t>ضار</w:t>
      </w:r>
      <w:r w:rsidRPr="00E041CD">
        <w:rPr>
          <w:rFonts w:ascii="Traditional Arabic" w:hAnsi="Traditional Arabic"/>
          <w:rtl/>
        </w:rPr>
        <w:t>ّ</w:t>
      </w:r>
      <w:r w:rsidRPr="00E041CD">
        <w:rPr>
          <w:rFonts w:ascii="Traditional Arabic" w:hAnsi="Traditional Arabic" w:hint="cs"/>
          <w:rtl/>
        </w:rPr>
        <w:t xml:space="preserve">ة </w:t>
      </w:r>
      <w:r w:rsidRPr="00E041CD">
        <w:rPr>
          <w:rFonts w:ascii="Traditional Arabic" w:hAnsi="Traditional Arabic"/>
          <w:rtl/>
        </w:rPr>
        <w:t>ﻓﺈ</w:t>
      </w:r>
      <w:r w:rsidRPr="00E041CD">
        <w:rPr>
          <w:rFonts w:ascii="Traditional Arabic" w:hAnsi="Traditional Arabic" w:hint="cs"/>
          <w:rtl/>
        </w:rPr>
        <w:t>نها حرام</w:t>
      </w:r>
      <w:r w:rsidR="001659D7">
        <w:rPr>
          <w:rFonts w:ascii="Traditional Arabic" w:hAnsi="Traditional Arabic" w:hint="cs"/>
          <w:rtl/>
        </w:rPr>
        <w:t>...........................</w:t>
      </w:r>
      <w:r w:rsidRPr="00E041CD">
        <w:rPr>
          <w:rFonts w:ascii="Traditional Arabic" w:hAnsi="Traditional Arabic" w:hint="cs"/>
          <w:rtl/>
        </w:rPr>
        <w:t>.</w:t>
      </w:r>
      <w:r>
        <w:rPr>
          <w:rFonts w:ascii="Traditional Arabic" w:hAnsi="Traditional Arabic" w:hint="cs"/>
          <w:rtl/>
        </w:rPr>
        <w:t>245</w:t>
      </w:r>
    </w:p>
    <w:p w:rsidR="006E11B5" w:rsidRPr="00C85F0F" w:rsidRDefault="006E11B5" w:rsidP="006E11B5">
      <w:pPr>
        <w:ind w:firstLine="0"/>
      </w:pPr>
      <w:r w:rsidRPr="00C85F0F">
        <w:rPr>
          <w:rFonts w:hint="cs"/>
          <w:rtl/>
        </w:rPr>
        <w:t>مَدار المعاملات المحرَّمة</w:t>
      </w:r>
      <w:r>
        <w:rPr>
          <w:rFonts w:hint="cs"/>
          <w:rtl/>
        </w:rPr>
        <w:t xml:space="preserve"> </w:t>
      </w:r>
      <w:r w:rsidRPr="00C85F0F">
        <w:rPr>
          <w:rFonts w:hint="cs"/>
          <w:rtl/>
        </w:rPr>
        <w:t>على الربا والظلم والغَرَر</w:t>
      </w:r>
      <w:r w:rsidR="001659D7">
        <w:rPr>
          <w:rFonts w:hint="cs"/>
          <w:rtl/>
        </w:rPr>
        <w:t>........................................</w:t>
      </w:r>
      <w:r w:rsidRPr="00C85F0F">
        <w:rPr>
          <w:rFonts w:hint="cs"/>
          <w:rtl/>
        </w:rPr>
        <w:t>.</w:t>
      </w:r>
      <w:r>
        <w:rPr>
          <w:rFonts w:hint="cs"/>
          <w:rtl/>
        </w:rPr>
        <w:t>459</w:t>
      </w:r>
    </w:p>
    <w:p w:rsidR="006E11B5" w:rsidRPr="00C85F0F" w:rsidRDefault="006E11B5" w:rsidP="006E11B5">
      <w:pPr>
        <w:ind w:firstLine="0"/>
        <w:rPr>
          <w:rFonts w:ascii="Traditional Arabic" w:hAnsi="Traditional Arabic"/>
          <w:color w:val="auto"/>
          <w:rtl/>
        </w:rPr>
      </w:pPr>
      <w:r w:rsidRPr="00C85F0F">
        <w:rPr>
          <w:rFonts w:ascii="Traditional Arabic" w:hAnsi="Traditional Arabic"/>
          <w:noProof w:val="0"/>
          <w:color w:val="auto"/>
          <w:rtl/>
          <w:lang w:eastAsia="en-US"/>
        </w:rPr>
        <w:t>المرج</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 فيما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داو</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الناس</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من الكلام والأفعال إلى الع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رف</w:t>
      </w:r>
      <w:r w:rsidR="001659D7">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140</w:t>
      </w:r>
    </w:p>
    <w:p w:rsidR="006E11B5" w:rsidRDefault="006E11B5" w:rsidP="006E11B5">
      <w:pPr>
        <w:ind w:firstLine="0"/>
        <w:rPr>
          <w:rtl/>
        </w:rPr>
      </w:pPr>
      <w:r w:rsidRPr="00C85F0F">
        <w:rPr>
          <w:rFonts w:hint="cs"/>
          <w:rtl/>
        </w:rPr>
        <w:t>المسلمون على شروطهم</w:t>
      </w:r>
      <w:r w:rsidR="001659D7">
        <w:rPr>
          <w:rFonts w:hint="cs"/>
          <w:rtl/>
        </w:rPr>
        <w:t>.....................................................</w:t>
      </w:r>
      <w:r w:rsidRPr="00C85F0F">
        <w:rPr>
          <w:rFonts w:hint="cs"/>
          <w:rtl/>
        </w:rPr>
        <w:t>.</w:t>
      </w:r>
      <w:r>
        <w:rPr>
          <w:rFonts w:hint="cs"/>
          <w:rtl/>
        </w:rPr>
        <w:t>294، 295</w:t>
      </w:r>
    </w:p>
    <w:p w:rsidR="006E11B5" w:rsidRDefault="006E11B5" w:rsidP="006E11B5">
      <w:pPr>
        <w:ind w:firstLine="0"/>
        <w:rPr>
          <w:rFonts w:ascii="Traditional Arabic" w:hAnsi="Traditional Arabic"/>
          <w:color w:val="auto"/>
          <w:rtl/>
        </w:rPr>
      </w:pPr>
      <w:r w:rsidRPr="00C85F0F">
        <w:rPr>
          <w:rFonts w:ascii="Traditional Arabic" w:hAnsi="Traditional Arabic" w:hint="cs"/>
          <w:color w:val="auto"/>
          <w:rtl/>
        </w:rPr>
        <w:t>المسمَّى العُرفي يقدَّم على المسمَّى اللُّغَوي</w:t>
      </w:r>
      <w:r w:rsidR="001659D7">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140</w:t>
      </w:r>
    </w:p>
    <w:p w:rsidR="006E11B5" w:rsidRPr="00C85F0F" w:rsidRDefault="006E11B5" w:rsidP="006E11B5">
      <w:pPr>
        <w:ind w:firstLine="0"/>
      </w:pPr>
      <w:r w:rsidRPr="00C85F0F">
        <w:rPr>
          <w:rFonts w:hint="cs"/>
          <w:rtl/>
        </w:rPr>
        <w:t>المشروط عُرفاً كالمشروط لَفْظا</w:t>
      </w:r>
      <w:r w:rsidRPr="00C85F0F">
        <w:rPr>
          <w:rStyle w:val="af1"/>
          <w:rFonts w:hint="cs"/>
          <w:vertAlign w:val="baseline"/>
          <w:rtl/>
        </w:rPr>
        <w:t>ً</w:t>
      </w:r>
      <w:r w:rsidR="001659D7">
        <w:rPr>
          <w:rFonts w:hint="cs"/>
          <w:rtl/>
        </w:rPr>
        <w:t>........................................................</w:t>
      </w:r>
      <w:r w:rsidRPr="00C85F0F">
        <w:rPr>
          <w:rFonts w:hint="cs"/>
          <w:rtl/>
        </w:rPr>
        <w:t>.</w:t>
      </w:r>
      <w:r>
        <w:rPr>
          <w:rFonts w:hint="cs"/>
          <w:rtl/>
        </w:rPr>
        <w:t>149</w:t>
      </w:r>
    </w:p>
    <w:p w:rsidR="006E11B5" w:rsidRDefault="006E11B5" w:rsidP="006E11B5">
      <w:pPr>
        <w:ind w:firstLine="0"/>
        <w:rPr>
          <w:rtl/>
        </w:rPr>
      </w:pPr>
      <w:r w:rsidRPr="00C85F0F">
        <w:rPr>
          <w:rFonts w:hint="cs"/>
          <w:rtl/>
        </w:rPr>
        <w:t>المشغول لايُشْغَل</w:t>
      </w:r>
      <w:r w:rsidR="001659D7">
        <w:rPr>
          <w:rFonts w:hint="cs"/>
          <w:rtl/>
        </w:rPr>
        <w:t>...................................................................</w:t>
      </w:r>
      <w:r w:rsidRPr="00C85F0F">
        <w:rPr>
          <w:rFonts w:hint="cs"/>
          <w:rtl/>
        </w:rPr>
        <w:t>.</w:t>
      </w:r>
      <w:r>
        <w:rPr>
          <w:rFonts w:hint="cs"/>
          <w:rtl/>
        </w:rPr>
        <w:t>485</w:t>
      </w:r>
    </w:p>
    <w:p w:rsidR="006E11B5" w:rsidRDefault="006E11B5" w:rsidP="006E11B5">
      <w:pPr>
        <w:ind w:firstLine="0"/>
        <w:rPr>
          <w:rFonts w:ascii="Traditional Arabic" w:hAnsi="Traditional Arabic"/>
          <w:rtl/>
        </w:rPr>
      </w:pPr>
      <w:r>
        <w:rPr>
          <w:rFonts w:ascii="Traditional Arabic" w:hAnsi="Traditional Arabic" w:hint="cs"/>
          <w:rtl/>
        </w:rPr>
        <w:t>المشقة تجلب التيسير</w:t>
      </w:r>
      <w:r w:rsidR="001659D7">
        <w:rPr>
          <w:rFonts w:ascii="Traditional Arabic" w:hAnsi="Traditional Arabic" w:hint="cs"/>
          <w:rtl/>
        </w:rPr>
        <w:t>........................................................</w:t>
      </w:r>
      <w:r>
        <w:rPr>
          <w:rFonts w:ascii="Traditional Arabic" w:hAnsi="Traditional Arabic" w:hint="cs"/>
          <w:rtl/>
        </w:rPr>
        <w:t>.496، 497</w:t>
      </w:r>
    </w:p>
    <w:p w:rsidR="006E11B5" w:rsidRDefault="006E11B5" w:rsidP="006E11B5">
      <w:pPr>
        <w:ind w:firstLine="0"/>
        <w:jc w:val="left"/>
        <w:rPr>
          <w:rtl/>
        </w:rPr>
      </w:pPr>
      <w:r>
        <w:rPr>
          <w:rFonts w:ascii="Traditional Arabic" w:hAnsi="Traditional Arabic" w:hint="cs"/>
          <w:rtl/>
        </w:rPr>
        <w:t>المضار</w:t>
      </w:r>
      <w:r>
        <w:rPr>
          <w:rFonts w:ascii="Traditional Arabic" w:hAnsi="Traditional Arabic"/>
          <w:rtl/>
        </w:rPr>
        <w:t>ّ</w:t>
      </w:r>
      <w:r>
        <w:rPr>
          <w:rFonts w:ascii="Traditional Arabic" w:hAnsi="Traditional Arabic" w:hint="cs"/>
          <w:rtl/>
        </w:rPr>
        <w:t>ة ممنوعة شرع</w:t>
      </w:r>
      <w:r>
        <w:rPr>
          <w:rFonts w:ascii="Traditional Arabic" w:hAnsi="Traditional Arabic"/>
          <w:rtl/>
        </w:rPr>
        <w:t>ً</w:t>
      </w:r>
      <w:r>
        <w:rPr>
          <w:rFonts w:ascii="Traditional Arabic" w:hAnsi="Traditional Arabic" w:hint="cs"/>
          <w:rtl/>
        </w:rPr>
        <w:t>ا</w:t>
      </w:r>
      <w:r w:rsidR="001659D7">
        <w:rPr>
          <w:rFonts w:ascii="Traditional Arabic" w:hAnsi="Traditional Arabic" w:hint="cs"/>
          <w:rtl/>
        </w:rPr>
        <w:t>................................................................</w:t>
      </w:r>
      <w:r>
        <w:rPr>
          <w:rFonts w:ascii="Traditional Arabic" w:hAnsi="Traditional Arabic" w:hint="cs"/>
          <w:rtl/>
        </w:rPr>
        <w:t>.244</w:t>
      </w:r>
    </w:p>
    <w:p w:rsidR="006E11B5" w:rsidRPr="00C85F0F" w:rsidRDefault="006E11B5" w:rsidP="006E11B5">
      <w:pPr>
        <w:ind w:firstLine="0"/>
        <w:jc w:val="left"/>
        <w:rPr>
          <w:rtl/>
        </w:rPr>
      </w:pPr>
      <w:r w:rsidRPr="00C85F0F">
        <w:rPr>
          <w:rFonts w:hint="cs"/>
          <w:rtl/>
        </w:rPr>
        <w:lastRenderedPageBreak/>
        <w:t>الْمُعارَضَة بِنَقيض الْمَقْصود</w:t>
      </w:r>
      <w:r w:rsidR="001659D7">
        <w:rPr>
          <w:rFonts w:hint="cs"/>
          <w:rtl/>
        </w:rPr>
        <w:t>.........................................................</w:t>
      </w:r>
      <w:r w:rsidRPr="00C85F0F">
        <w:rPr>
          <w:rFonts w:hint="cs"/>
          <w:rtl/>
        </w:rPr>
        <w:t>.</w:t>
      </w:r>
      <w:r>
        <w:rPr>
          <w:rFonts w:hint="cs"/>
          <w:rtl/>
        </w:rPr>
        <w:t>234</w:t>
      </w:r>
    </w:p>
    <w:p w:rsidR="006E11B5" w:rsidRDefault="006E11B5" w:rsidP="006E11B5">
      <w:pPr>
        <w:ind w:firstLine="0"/>
        <w:rPr>
          <w:rtl/>
        </w:rPr>
      </w:pPr>
      <w:r w:rsidRPr="00C85F0F">
        <w:rPr>
          <w:rFonts w:hint="cs"/>
          <w:rtl/>
        </w:rPr>
        <w:t>الْمُعَاقَبَة بِنَقيض القصْد</w:t>
      </w:r>
      <w:r w:rsidR="001659D7">
        <w:rPr>
          <w:rFonts w:hint="cs"/>
          <w:rtl/>
        </w:rPr>
        <w:t>......................................................</w:t>
      </w:r>
      <w:r w:rsidRPr="00C85F0F">
        <w:rPr>
          <w:rFonts w:hint="cs"/>
          <w:rtl/>
        </w:rPr>
        <w:t>.</w:t>
      </w:r>
      <w:r>
        <w:rPr>
          <w:rFonts w:hint="cs"/>
          <w:rtl/>
        </w:rPr>
        <w:t>233، 234</w:t>
      </w:r>
    </w:p>
    <w:p w:rsidR="006E11B5" w:rsidRDefault="006E11B5" w:rsidP="006E11B5">
      <w:pPr>
        <w:ind w:firstLine="0"/>
        <w:rPr>
          <w:rFonts w:ascii="Traditional Arabic" w:hAnsi="Traditional Arabic"/>
          <w:noProof w:val="0"/>
          <w:rtl/>
          <w:lang w:eastAsia="en-US"/>
        </w:rPr>
      </w:pPr>
      <w:r w:rsidRPr="00C85F0F">
        <w:rPr>
          <w:rFonts w:hint="cs"/>
          <w:rtl/>
        </w:rPr>
        <w:t>المعاملات الممنوعة مَبْناها على ثلاثة أشياء: الظلم والغرر والمَيْسِر</w:t>
      </w:r>
      <w:r w:rsidR="001659D7">
        <w:rPr>
          <w:rFonts w:hint="cs"/>
          <w:rtl/>
        </w:rPr>
        <w:t>........................</w:t>
      </w:r>
      <w:r w:rsidRPr="00C85F0F">
        <w:rPr>
          <w:rFonts w:hint="cs"/>
          <w:rtl/>
        </w:rPr>
        <w:t>.</w:t>
      </w:r>
      <w:r>
        <w:rPr>
          <w:rFonts w:hint="cs"/>
          <w:rtl/>
        </w:rPr>
        <w:t>459</w:t>
      </w:r>
    </w:p>
    <w:p w:rsidR="006E11B5" w:rsidRDefault="006E11B5" w:rsidP="006E11B5">
      <w:pPr>
        <w:ind w:firstLine="0"/>
        <w:rPr>
          <w:rtl/>
        </w:rPr>
      </w:pPr>
      <w:r w:rsidRPr="00C85F0F">
        <w:rPr>
          <w:rFonts w:hint="cs"/>
          <w:rtl/>
        </w:rPr>
        <w:t>المعامَلة بنقيض القصد</w:t>
      </w:r>
      <w:r w:rsidR="001659D7">
        <w:rPr>
          <w:rFonts w:hint="cs"/>
          <w:rtl/>
        </w:rPr>
        <w:t>..............................................................</w:t>
      </w:r>
      <w:r w:rsidRPr="00C85F0F">
        <w:rPr>
          <w:rFonts w:hint="cs"/>
          <w:rtl/>
        </w:rPr>
        <w:t>.</w:t>
      </w:r>
      <w:r>
        <w:rPr>
          <w:rFonts w:hint="cs"/>
          <w:rtl/>
        </w:rPr>
        <w:t>233</w:t>
      </w:r>
    </w:p>
    <w:p w:rsidR="006E11B5" w:rsidRPr="00C85F0F" w:rsidRDefault="006E11B5" w:rsidP="006E11B5">
      <w:pPr>
        <w:ind w:firstLine="0"/>
        <w:jc w:val="left"/>
      </w:pPr>
      <w:r w:rsidRPr="00C85F0F">
        <w:rPr>
          <w:rFonts w:hint="cs"/>
          <w:rtl/>
        </w:rPr>
        <w:t>المعامَلة بنقيض المقْصود</w:t>
      </w:r>
      <w:r w:rsidR="001659D7">
        <w:rPr>
          <w:rFonts w:hint="cs"/>
          <w:rtl/>
        </w:rPr>
        <w:t>.............................................................</w:t>
      </w:r>
      <w:r w:rsidRPr="00C85F0F">
        <w:rPr>
          <w:rFonts w:hint="cs"/>
          <w:rtl/>
        </w:rPr>
        <w:t>.</w:t>
      </w:r>
      <w:r>
        <w:rPr>
          <w:rFonts w:hint="cs"/>
          <w:rtl/>
        </w:rPr>
        <w:t>234</w:t>
      </w:r>
    </w:p>
    <w:p w:rsidR="006E11B5" w:rsidRPr="00C85F0F" w:rsidRDefault="006E11B5" w:rsidP="006E11B5">
      <w:pPr>
        <w:ind w:firstLine="0"/>
      </w:pPr>
      <w:r w:rsidRPr="00C85F0F">
        <w:rPr>
          <w:rStyle w:val="af1"/>
          <w:rFonts w:hint="cs"/>
          <w:vertAlign w:val="baseline"/>
          <w:rtl/>
        </w:rPr>
        <w:t>المعروف عُرفاً كالمشروط</w:t>
      </w:r>
      <w:r w:rsidRPr="00C85F0F">
        <w:rPr>
          <w:rFonts w:hint="cs"/>
          <w:rtl/>
        </w:rPr>
        <w:t xml:space="preserve"> شرْطاً</w:t>
      </w:r>
      <w:r w:rsidR="001659D7">
        <w:rPr>
          <w:rFonts w:hint="cs"/>
          <w:rtl/>
        </w:rPr>
        <w:t>.......................................................</w:t>
      </w:r>
      <w:r w:rsidRPr="00C85F0F">
        <w:rPr>
          <w:rFonts w:hint="cs"/>
          <w:rtl/>
        </w:rPr>
        <w:t>.</w:t>
      </w:r>
      <w:r>
        <w:rPr>
          <w:rFonts w:hint="cs"/>
          <w:rtl/>
        </w:rPr>
        <w:t>149</w:t>
      </w:r>
    </w:p>
    <w:p w:rsidR="006E11B5" w:rsidRPr="00C85F0F" w:rsidRDefault="006E11B5" w:rsidP="006E11B5">
      <w:pPr>
        <w:ind w:firstLine="0"/>
      </w:pPr>
      <w:r w:rsidRPr="00C85F0F">
        <w:rPr>
          <w:rStyle w:val="af1"/>
          <w:rFonts w:hint="cs"/>
          <w:vertAlign w:val="baseline"/>
          <w:rtl/>
        </w:rPr>
        <w:t>المعروف ع</w:t>
      </w:r>
      <w:r w:rsidRPr="00C85F0F">
        <w:rPr>
          <w:rFonts w:hint="cs"/>
          <w:rtl/>
        </w:rPr>
        <w:t>ُ</w:t>
      </w:r>
      <w:r w:rsidRPr="00C85F0F">
        <w:rPr>
          <w:rStyle w:val="af1"/>
          <w:rFonts w:hint="cs"/>
          <w:vertAlign w:val="baseline"/>
          <w:rtl/>
        </w:rPr>
        <w:t>رْفاً كالمشروط</w:t>
      </w:r>
      <w:r w:rsidRPr="00C85F0F">
        <w:rPr>
          <w:rFonts w:hint="cs"/>
          <w:rtl/>
        </w:rPr>
        <w:t xml:space="preserve"> شرْعاً</w:t>
      </w:r>
      <w:r w:rsidR="001659D7">
        <w:rPr>
          <w:rFonts w:hint="cs"/>
          <w:rtl/>
        </w:rPr>
        <w:t>.......................................................</w:t>
      </w:r>
      <w:r w:rsidRPr="00C85F0F">
        <w:rPr>
          <w:rFonts w:hint="cs"/>
          <w:rtl/>
        </w:rPr>
        <w:t>.</w:t>
      </w:r>
      <w:r>
        <w:rPr>
          <w:rFonts w:hint="cs"/>
          <w:rtl/>
        </w:rPr>
        <w:t>149</w:t>
      </w:r>
    </w:p>
    <w:p w:rsidR="006E11B5" w:rsidRDefault="006E11B5" w:rsidP="006E11B5">
      <w:pPr>
        <w:ind w:firstLine="0"/>
        <w:rPr>
          <w:rtl/>
        </w:rPr>
      </w:pPr>
      <w:r w:rsidRPr="00C85F0F">
        <w:rPr>
          <w:rFonts w:hint="cs"/>
          <w:rtl/>
        </w:rPr>
        <w:t>مَفاسِدُ المحرَّمات لا تزول بالحِيَل</w:t>
      </w:r>
      <w:r w:rsidR="001659D7">
        <w:rPr>
          <w:rFonts w:hint="cs"/>
          <w:rtl/>
        </w:rPr>
        <w:t>.....................................................</w:t>
      </w:r>
      <w:r w:rsidRPr="00C85F0F">
        <w:rPr>
          <w:rFonts w:hint="cs"/>
          <w:rtl/>
        </w:rPr>
        <w:t>.</w:t>
      </w:r>
      <w:r>
        <w:rPr>
          <w:rFonts w:hint="cs"/>
          <w:rtl/>
        </w:rPr>
        <w:t>223</w:t>
      </w:r>
    </w:p>
    <w:p w:rsidR="006E11B5" w:rsidRPr="00C85F0F" w:rsidRDefault="006E11B5" w:rsidP="006E11B5">
      <w:pPr>
        <w:ind w:firstLine="0"/>
        <w:jc w:val="left"/>
      </w:pPr>
      <w:r w:rsidRPr="00C85F0F">
        <w:rPr>
          <w:rFonts w:hint="cs"/>
          <w:rtl/>
        </w:rPr>
        <w:t>الْمُقابَلَة بنقيض القصد</w:t>
      </w:r>
      <w:r w:rsidR="001659D7">
        <w:rPr>
          <w:rFonts w:hint="cs"/>
          <w:rtl/>
        </w:rPr>
        <w:t>.............................................................</w:t>
      </w:r>
      <w:r w:rsidRPr="00C85F0F">
        <w:rPr>
          <w:rFonts w:hint="cs"/>
          <w:rtl/>
        </w:rPr>
        <w:t>.</w:t>
      </w:r>
      <w:r>
        <w:rPr>
          <w:rFonts w:hint="cs"/>
          <w:rtl/>
        </w:rPr>
        <w:t>234</w:t>
      </w:r>
    </w:p>
    <w:p w:rsidR="006E11B5" w:rsidRPr="00C85F0F" w:rsidRDefault="006E11B5" w:rsidP="006E11B5">
      <w:pPr>
        <w:ind w:firstLine="0"/>
      </w:pPr>
      <w:r w:rsidRPr="00C85F0F">
        <w:rPr>
          <w:rFonts w:ascii="Traditional Arabic" w:hAnsi="Traditional Arabic"/>
          <w:noProof w:val="0"/>
          <w:rtl/>
          <w:lang w:eastAsia="en-US"/>
        </w:rPr>
        <w:t>المقصود من الألفاظ هو المعاني، فإذا ظهر المعنى اك</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ت</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نا به بأي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صيغة</w:t>
      </w:r>
      <w:r w:rsidRPr="00C85F0F">
        <w:rPr>
          <w:rFonts w:ascii="Traditional Arabic" w:hAnsi="Traditional Arabic" w:hint="cs"/>
          <w:noProof w:val="0"/>
          <w:rtl/>
          <w:lang w:eastAsia="en-US"/>
        </w:rPr>
        <w:t>ٍ</w:t>
      </w:r>
      <w:r>
        <w:rPr>
          <w:rFonts w:ascii="Traditional Arabic" w:hAnsi="Traditional Arabic" w:hint="cs"/>
          <w:noProof w:val="0"/>
          <w:rtl/>
          <w:lang w:eastAsia="en-US"/>
        </w:rPr>
        <w:t xml:space="preserve"> </w:t>
      </w:r>
      <w:r w:rsidRPr="00C85F0F">
        <w:rPr>
          <w:rFonts w:ascii="Traditional Arabic" w:hAnsi="Traditional Arabic"/>
          <w:noProof w:val="0"/>
          <w:rtl/>
          <w:lang w:eastAsia="en-US"/>
        </w:rPr>
        <w:t>كانت</w:t>
      </w:r>
      <w:r w:rsidR="001659D7">
        <w:rPr>
          <w:rFonts w:ascii="Traditional Arabic" w:hAnsi="Traditional Arabic" w:hint="cs"/>
          <w:noProof w:val="0"/>
          <w:rtl/>
          <w:lang w:eastAsia="en-US"/>
        </w:rPr>
        <w:t>.............</w:t>
      </w:r>
      <w:r w:rsidRPr="00C85F0F">
        <w:rPr>
          <w:rFonts w:hint="cs"/>
          <w:rtl/>
        </w:rPr>
        <w:t>.</w:t>
      </w:r>
      <w:r>
        <w:rPr>
          <w:rFonts w:hint="cs"/>
          <w:rtl/>
        </w:rPr>
        <w:t>209</w:t>
      </w:r>
    </w:p>
    <w:p w:rsidR="006E11B5" w:rsidRDefault="006E11B5" w:rsidP="006E11B5">
      <w:pPr>
        <w:ind w:firstLine="0"/>
        <w:jc w:val="left"/>
        <w:rPr>
          <w:rFonts w:ascii="Traditional Arabic" w:hAnsi="Traditional Arabic"/>
          <w:noProof w:val="0"/>
          <w:color w:val="auto"/>
          <w:rtl/>
          <w:lang w:eastAsia="en-US"/>
        </w:rPr>
      </w:pPr>
      <w:r>
        <w:rPr>
          <w:rFonts w:ascii="Traditional Arabic" w:hAnsi="Traditional Arabic" w:hint="cs"/>
          <w:noProof w:val="0"/>
          <w:color w:val="auto"/>
          <w:rtl/>
          <w:lang w:eastAsia="en-US"/>
        </w:rPr>
        <w:t>من أتلف شيئا</w:t>
      </w:r>
      <w:r w:rsidRPr="00C85F0F">
        <w:rPr>
          <w:rFonts w:ascii="Traditional Arabic" w:hAnsi="Traditional Arabic" w:hint="cs"/>
          <w:noProof w:val="0"/>
          <w:color w:val="auto"/>
          <w:rtl/>
          <w:lang w:eastAsia="en-US"/>
        </w:rPr>
        <w:t xml:space="preserve"> فعليه الضمان</w:t>
      </w:r>
      <w:r w:rsidR="001659D7">
        <w:rPr>
          <w:rFonts w:ascii="Traditional Arabic" w:hAnsi="Traditional Arabic" w:hint="cs"/>
          <w:noProof w:val="0"/>
          <w:color w:val="auto"/>
          <w:rtl/>
          <w:lang w:eastAsia="en-US"/>
        </w:rPr>
        <w:t>..................................................257، 356</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من أتلف شيئاً لدفع أذاه له لم يضمنه، وإن أتلفه لدفع أذاه به ضمنه</w:t>
      </w:r>
      <w:r w:rsidR="001659D7">
        <w:rPr>
          <w:rFonts w:ascii="Traditional Arabic" w:hAnsi="Traditional Arabic" w:hint="cs"/>
          <w:noProof w:val="0"/>
          <w:color w:val="auto"/>
          <w:rtl/>
          <w:lang w:eastAsia="en-US"/>
        </w:rPr>
        <w:t>....................</w:t>
      </w:r>
      <w:r>
        <w:rPr>
          <w:rFonts w:ascii="Traditional Arabic" w:hAnsi="Traditional Arabic" w:hint="cs"/>
          <w:noProof w:val="0"/>
          <w:color w:val="auto"/>
          <w:rtl/>
          <w:lang w:eastAsia="en-US"/>
        </w:rPr>
        <w:t>.258</w:t>
      </w:r>
    </w:p>
    <w:p w:rsidR="006E11B5" w:rsidRDefault="006E11B5" w:rsidP="006E11B5">
      <w:pPr>
        <w:ind w:firstLine="0"/>
        <w:rPr>
          <w:color w:val="auto"/>
          <w:rtl/>
        </w:rPr>
      </w:pPr>
      <w:r w:rsidRPr="000769E0">
        <w:rPr>
          <w:rFonts w:ascii="Traditional Arabic" w:hAnsi="Traditional Arabic"/>
          <w:noProof w:val="0"/>
          <w:rtl/>
          <w:lang w:eastAsia="en-US"/>
        </w:rPr>
        <w:t xml:space="preserve">من أتلف مضمونا </w:t>
      </w:r>
      <w:r>
        <w:rPr>
          <w:rFonts w:ascii="Traditional Arabic" w:hAnsi="Traditional Arabic" w:hint="cs"/>
          <w:noProof w:val="0"/>
          <w:rtl/>
          <w:lang w:eastAsia="en-US"/>
        </w:rPr>
        <w:t>ً</w:t>
      </w:r>
      <w:r w:rsidRPr="000769E0">
        <w:rPr>
          <w:rFonts w:ascii="Traditional Arabic" w:hAnsi="Traditional Arabic"/>
          <w:noProof w:val="0"/>
          <w:rtl/>
          <w:lang w:eastAsia="en-US"/>
        </w:rPr>
        <w:t>كان ضمان</w:t>
      </w:r>
      <w:r>
        <w:rPr>
          <w:rFonts w:ascii="Traditional Arabic" w:hAnsi="Traditional Arabic" w:hint="cs"/>
          <w:noProof w:val="0"/>
          <w:rtl/>
          <w:lang w:eastAsia="en-US"/>
        </w:rPr>
        <w:t>ُ</w:t>
      </w:r>
      <w:r w:rsidRPr="000769E0">
        <w:rPr>
          <w:rFonts w:ascii="Traditional Arabic" w:hAnsi="Traditional Arabic"/>
          <w:noProof w:val="0"/>
          <w:rtl/>
          <w:lang w:eastAsia="en-US"/>
        </w:rPr>
        <w:t>ه عليه</w:t>
      </w:r>
      <w:r w:rsidR="001659D7">
        <w:rPr>
          <w:rFonts w:hint="cs"/>
          <w:color w:val="auto"/>
          <w:rtl/>
        </w:rPr>
        <w:t>..................................................</w:t>
      </w:r>
      <w:r>
        <w:rPr>
          <w:rFonts w:hint="cs"/>
          <w:color w:val="auto"/>
          <w:rtl/>
        </w:rPr>
        <w:t>.356</w:t>
      </w:r>
    </w:p>
    <w:p w:rsidR="006E11B5" w:rsidRDefault="006E11B5" w:rsidP="006E11B5">
      <w:pPr>
        <w:ind w:firstLine="0"/>
        <w:rPr>
          <w:rtl/>
        </w:rPr>
      </w:pPr>
      <w:r w:rsidRPr="00C85F0F">
        <w:rPr>
          <w:rFonts w:hint="cs"/>
          <w:rtl/>
        </w:rPr>
        <w:t>مَن أتى بِسَبَب يُفيد الملكَ أو الحِلَّ أو يُسقِط الواجبات على وَجْهٍ محرَّم</w:t>
      </w:r>
      <w:r w:rsidR="001659D7">
        <w:rPr>
          <w:rFonts w:hint="cs"/>
          <w:rtl/>
        </w:rPr>
        <w:t>............</w:t>
      </w:r>
      <w:r w:rsidRPr="00C85F0F">
        <w:rPr>
          <w:rFonts w:hint="cs"/>
          <w:rtl/>
        </w:rPr>
        <w:t>.</w:t>
      </w:r>
      <w:r>
        <w:rPr>
          <w:rFonts w:hint="cs"/>
          <w:rtl/>
        </w:rPr>
        <w:t>224، 234</w:t>
      </w:r>
    </w:p>
    <w:p w:rsidR="006E11B5" w:rsidRDefault="006E11B5" w:rsidP="006E11B5">
      <w:pPr>
        <w:ind w:firstLine="0"/>
        <w:rPr>
          <w:rtl/>
        </w:rPr>
      </w:pPr>
      <w:r w:rsidRPr="00C85F0F">
        <w:rPr>
          <w:rFonts w:hint="cs"/>
          <w:rtl/>
        </w:rPr>
        <w:t>مَن أدَّى عن غيرِه واجباً بِنيَّةِ الرجوع عليه رَجَع، وإلا فلا</w:t>
      </w:r>
      <w:r w:rsidR="001659D7">
        <w:rPr>
          <w:rFonts w:hint="cs"/>
          <w:rtl/>
        </w:rPr>
        <w:t>...............................</w:t>
      </w:r>
      <w:r w:rsidRPr="00C85F0F">
        <w:rPr>
          <w:rFonts w:hint="cs"/>
          <w:rtl/>
        </w:rPr>
        <w:t>.</w:t>
      </w:r>
      <w:r>
        <w:rPr>
          <w:rFonts w:hint="cs"/>
          <w:rtl/>
        </w:rPr>
        <w:t>216</w:t>
      </w:r>
    </w:p>
    <w:p w:rsidR="006E11B5" w:rsidRPr="00C85F0F" w:rsidRDefault="006E11B5" w:rsidP="006E11B5">
      <w:pPr>
        <w:ind w:firstLine="0"/>
        <w:rPr>
          <w:rtl/>
        </w:rPr>
      </w:pPr>
      <w:r w:rsidRPr="00C85F0F">
        <w:rPr>
          <w:rFonts w:hint="cs"/>
          <w:rtl/>
        </w:rPr>
        <w:t>مَن أدَّى عن غيرِه واجباً رَجَع عليه وإنْ فَعَله بغيرِ إذْنِه</w:t>
      </w:r>
      <w:r w:rsidR="001659D7">
        <w:rPr>
          <w:rFonts w:hint="cs"/>
          <w:rtl/>
        </w:rPr>
        <w:t>..................................</w:t>
      </w:r>
      <w:r w:rsidRPr="00C85F0F">
        <w:rPr>
          <w:rFonts w:hint="cs"/>
          <w:rtl/>
        </w:rPr>
        <w:t>.</w:t>
      </w:r>
      <w:r>
        <w:rPr>
          <w:rFonts w:hint="cs"/>
          <w:rtl/>
        </w:rPr>
        <w:t>216</w:t>
      </w:r>
    </w:p>
    <w:p w:rsidR="006E11B5" w:rsidRDefault="006E11B5" w:rsidP="006E11B5">
      <w:pPr>
        <w:ind w:firstLine="0"/>
        <w:rPr>
          <w:rtl/>
        </w:rPr>
      </w:pPr>
      <w:r w:rsidRPr="00C85F0F">
        <w:rPr>
          <w:rFonts w:hint="cs"/>
          <w:rtl/>
        </w:rPr>
        <w:t>مَن أدَّى عن غيرِه واجباً يَبْرَأُ به بِنيَّةِ الرجوع عليه رَجع، وإلا فلا</w:t>
      </w:r>
      <w:r w:rsidR="001659D7">
        <w:rPr>
          <w:rFonts w:hint="cs"/>
          <w:rtl/>
        </w:rPr>
        <w:t>.........................</w:t>
      </w:r>
      <w:r w:rsidRPr="00C85F0F">
        <w:rPr>
          <w:rFonts w:hint="cs"/>
          <w:rtl/>
        </w:rPr>
        <w:t>.</w:t>
      </w:r>
      <w:r>
        <w:rPr>
          <w:rFonts w:hint="cs"/>
          <w:rtl/>
        </w:rPr>
        <w:t>216</w:t>
      </w:r>
    </w:p>
    <w:p w:rsidR="006E11B5" w:rsidRDefault="006E11B5" w:rsidP="006E11B5">
      <w:pPr>
        <w:ind w:firstLine="0"/>
        <w:rPr>
          <w:rtl/>
        </w:rPr>
      </w:pPr>
      <w:r w:rsidRPr="00C85F0F">
        <w:rPr>
          <w:rFonts w:hint="cs"/>
          <w:rtl/>
        </w:rPr>
        <w:t>من أراد التَّحَيُّل على إسقاطِ الواجب أو فِعلِ المحرَّم عوقِب بِنَقيضِ قَصْدِه</w:t>
      </w:r>
      <w:r w:rsidR="001659D7">
        <w:rPr>
          <w:rFonts w:hint="cs"/>
          <w:rtl/>
        </w:rPr>
        <w:t>.................</w:t>
      </w:r>
      <w:r w:rsidRPr="00C85F0F">
        <w:rPr>
          <w:rFonts w:hint="cs"/>
          <w:rtl/>
        </w:rPr>
        <w:t>.</w:t>
      </w:r>
      <w:r>
        <w:rPr>
          <w:rFonts w:hint="cs"/>
          <w:rtl/>
        </w:rPr>
        <w:t>223</w:t>
      </w:r>
    </w:p>
    <w:p w:rsidR="006E11B5" w:rsidRPr="00C85F0F" w:rsidRDefault="006E11B5" w:rsidP="006E11B5">
      <w:pPr>
        <w:ind w:firstLine="0"/>
        <w:jc w:val="left"/>
      </w:pPr>
      <w:r w:rsidRPr="00C85F0F">
        <w:rPr>
          <w:rFonts w:hint="cs"/>
          <w:rtl/>
        </w:rPr>
        <w:t>من استعْجل شيئًا قبل أوانه، ولم تكن المصلحة في ثُبوته، عوقِب بحرمانه</w:t>
      </w:r>
      <w:r w:rsidR="001659D7">
        <w:rPr>
          <w:rFonts w:hint="cs"/>
          <w:rtl/>
        </w:rPr>
        <w:t>..................</w:t>
      </w:r>
      <w:r w:rsidRPr="00C85F0F">
        <w:rPr>
          <w:rFonts w:hint="cs"/>
          <w:rtl/>
        </w:rPr>
        <w:t>.</w:t>
      </w:r>
      <w:r>
        <w:rPr>
          <w:rFonts w:hint="cs"/>
          <w:rtl/>
        </w:rPr>
        <w:t>235</w:t>
      </w:r>
    </w:p>
    <w:p w:rsidR="006E11B5" w:rsidRDefault="006E11B5" w:rsidP="006E11B5">
      <w:pPr>
        <w:ind w:firstLine="0"/>
        <w:jc w:val="left"/>
        <w:rPr>
          <w:rtl/>
        </w:rPr>
      </w:pPr>
      <w:r w:rsidRPr="00C85F0F">
        <w:rPr>
          <w:rFonts w:hint="cs"/>
          <w:rtl/>
        </w:rPr>
        <w:t>من استعجل ما أخَّره الشرعُ يُجازى بِرَدِّه</w:t>
      </w:r>
      <w:r w:rsidR="001659D7">
        <w:rPr>
          <w:rFonts w:hint="cs"/>
          <w:rtl/>
        </w:rPr>
        <w:t>..............................................</w:t>
      </w:r>
      <w:r w:rsidRPr="00C85F0F">
        <w:rPr>
          <w:rFonts w:hint="cs"/>
          <w:rtl/>
        </w:rPr>
        <w:t>.</w:t>
      </w:r>
      <w:r>
        <w:rPr>
          <w:rFonts w:hint="cs"/>
          <w:rtl/>
        </w:rPr>
        <w:t>235</w:t>
      </w:r>
    </w:p>
    <w:p w:rsidR="006E11B5" w:rsidRPr="00C85F0F" w:rsidRDefault="006E11B5" w:rsidP="006E11B5">
      <w:pPr>
        <w:ind w:firstLine="0"/>
        <w:jc w:val="left"/>
      </w:pPr>
      <w:r w:rsidRPr="00C85F0F">
        <w:rPr>
          <w:rFonts w:hint="cs"/>
          <w:rtl/>
        </w:rPr>
        <w:t>مِن الأصول المعامَلةُ بنقيض المقصود الفاسِد</w:t>
      </w:r>
      <w:r w:rsidR="001659D7">
        <w:rPr>
          <w:rFonts w:hint="cs"/>
          <w:rtl/>
        </w:rPr>
        <w:t>..........................................</w:t>
      </w:r>
      <w:r w:rsidRPr="00C85F0F">
        <w:rPr>
          <w:rFonts w:hint="cs"/>
          <w:rtl/>
        </w:rPr>
        <w:t>.</w:t>
      </w:r>
      <w:r>
        <w:rPr>
          <w:rFonts w:hint="cs"/>
          <w:rtl/>
        </w:rPr>
        <w:t>235</w:t>
      </w:r>
    </w:p>
    <w:p w:rsidR="006E11B5" w:rsidRDefault="006E11B5" w:rsidP="006E11B5">
      <w:pPr>
        <w:ind w:firstLine="0"/>
        <w:rPr>
          <w:color w:val="auto"/>
          <w:rtl/>
        </w:rPr>
      </w:pP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تصر</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ف في شيء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يظن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أنه لا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فتبي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أنه كان يمل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كه، وفيها الخلاف</w:t>
      </w:r>
      <w:r w:rsidR="001659D7">
        <w:rPr>
          <w:rFonts w:hint="cs"/>
          <w:color w:val="auto"/>
          <w:rtl/>
        </w:rPr>
        <w:t>...............</w:t>
      </w:r>
      <w:r w:rsidRPr="00C85F0F">
        <w:rPr>
          <w:rFonts w:hint="cs"/>
          <w:color w:val="auto"/>
          <w:rtl/>
        </w:rPr>
        <w:t>.</w:t>
      </w:r>
      <w:r>
        <w:rPr>
          <w:rFonts w:hint="cs"/>
          <w:color w:val="auto"/>
          <w:rtl/>
        </w:rPr>
        <w:t>307</w:t>
      </w:r>
    </w:p>
    <w:p w:rsidR="006E11B5" w:rsidRPr="00C85F0F" w:rsidRDefault="006E11B5" w:rsidP="006E11B5">
      <w:pPr>
        <w:ind w:firstLine="0"/>
        <w:jc w:val="left"/>
      </w:pPr>
      <w:r w:rsidRPr="00C85F0F">
        <w:rPr>
          <w:rFonts w:hint="cs"/>
          <w:rtl/>
        </w:rPr>
        <w:t>من تعجَّل الشيءَ قبْل أَوانِه عوقِب بِحِرْمانه</w:t>
      </w:r>
      <w:r w:rsidR="001659D7">
        <w:rPr>
          <w:rFonts w:hint="cs"/>
          <w:rtl/>
        </w:rPr>
        <w:t>............................................</w:t>
      </w:r>
      <w:r w:rsidRPr="00C85F0F">
        <w:rPr>
          <w:rFonts w:hint="cs"/>
          <w:rtl/>
        </w:rPr>
        <w:t>.</w:t>
      </w:r>
      <w:r>
        <w:rPr>
          <w:rFonts w:hint="cs"/>
          <w:rtl/>
        </w:rPr>
        <w:t>234</w:t>
      </w:r>
    </w:p>
    <w:p w:rsidR="006E11B5" w:rsidRPr="00C85F0F" w:rsidRDefault="006E11B5" w:rsidP="006E11B5">
      <w:pPr>
        <w:ind w:firstLine="0"/>
        <w:jc w:val="left"/>
      </w:pPr>
      <w:r w:rsidRPr="00C85F0F">
        <w:rPr>
          <w:rFonts w:hint="cs"/>
          <w:rtl/>
        </w:rPr>
        <w:t>من تعجَّل حَقَّه، أو ما أُبيحَ له قبْل وقْته، على وجهٍ محرَّم، عوقِب بِحِرْمانه</w:t>
      </w:r>
      <w:r w:rsidR="001659D7">
        <w:rPr>
          <w:rFonts w:hint="cs"/>
          <w:rtl/>
        </w:rPr>
        <w:t>.................</w:t>
      </w:r>
      <w:r w:rsidRPr="00C85F0F">
        <w:rPr>
          <w:rFonts w:hint="cs"/>
          <w:rtl/>
        </w:rPr>
        <w:t>.</w:t>
      </w:r>
      <w:r>
        <w:rPr>
          <w:rFonts w:hint="cs"/>
          <w:rtl/>
        </w:rPr>
        <w:t>235</w:t>
      </w:r>
    </w:p>
    <w:p w:rsidR="006E11B5" w:rsidRDefault="006E11B5" w:rsidP="006E11B5">
      <w:pPr>
        <w:ind w:firstLine="0"/>
        <w:rPr>
          <w:rtl/>
        </w:rPr>
      </w:pPr>
      <w:r w:rsidRPr="00C85F0F">
        <w:rPr>
          <w:rFonts w:hint="cs"/>
          <w:rtl/>
        </w:rPr>
        <w:t>مَن تَعَجَّل شيئًا قَبْل أَوانِه على وَجْهٍ محرَّم عوقِب بِحِرْمانِه</w:t>
      </w:r>
      <w:r w:rsidR="001659D7">
        <w:rPr>
          <w:rFonts w:hint="cs"/>
          <w:rtl/>
        </w:rPr>
        <w:t>................................</w:t>
      </w:r>
      <w:r w:rsidRPr="00C85F0F">
        <w:rPr>
          <w:rFonts w:hint="cs"/>
          <w:rtl/>
        </w:rPr>
        <w:t>.</w:t>
      </w:r>
      <w:r>
        <w:rPr>
          <w:rFonts w:hint="cs"/>
          <w:rtl/>
        </w:rPr>
        <w:t>233</w:t>
      </w:r>
    </w:p>
    <w:p w:rsidR="006E11B5" w:rsidRDefault="006E11B5" w:rsidP="006E11B5">
      <w:pPr>
        <w:ind w:firstLine="0"/>
        <w:jc w:val="left"/>
        <w:rPr>
          <w:rtl/>
        </w:rPr>
      </w:pPr>
      <w:r w:rsidRPr="00C85F0F">
        <w:rPr>
          <w:rFonts w:hint="cs"/>
          <w:rtl/>
        </w:rPr>
        <w:t>مَن تَعَجَّل شيئًا قَبْل أَوانِه عوقِب بِحِرْمانِه</w:t>
      </w:r>
      <w:r w:rsidR="001659D7">
        <w:rPr>
          <w:rFonts w:hint="cs"/>
          <w:rtl/>
        </w:rPr>
        <w:t>..............................................</w:t>
      </w:r>
      <w:r w:rsidRPr="00C85F0F">
        <w:rPr>
          <w:rFonts w:hint="cs"/>
          <w:rtl/>
        </w:rPr>
        <w:t>.</w:t>
      </w:r>
      <w:r>
        <w:rPr>
          <w:rFonts w:hint="cs"/>
          <w:rtl/>
        </w:rPr>
        <w:t>234</w:t>
      </w:r>
    </w:p>
    <w:p w:rsidR="006E11B5" w:rsidRPr="00C85F0F" w:rsidRDefault="006E11B5" w:rsidP="006E11B5">
      <w:pPr>
        <w:widowControl/>
        <w:autoSpaceDE w:val="0"/>
        <w:autoSpaceDN w:val="0"/>
        <w:adjustRightInd w:val="0"/>
        <w:ind w:firstLine="0"/>
        <w:rPr>
          <w:rFonts w:ascii="Simplified Arabic" w:hAnsi="Simplified Arabic" w:cs="Simplified Arabic"/>
          <w:noProof w:val="0"/>
          <w:color w:val="auto"/>
          <w:rtl/>
          <w:lang w:eastAsia="en-US"/>
        </w:rPr>
      </w:pPr>
      <w:r w:rsidRPr="00C85F0F">
        <w:rPr>
          <w:rFonts w:ascii="Traditional Arabic" w:hAnsi="Traditional Arabic"/>
          <w:noProof w:val="0"/>
          <w:color w:val="auto"/>
          <w:rtl/>
          <w:lang w:eastAsia="en-US"/>
        </w:rPr>
        <w:lastRenderedPageBreak/>
        <w:t>من خ</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 بين شيئين ويتصرف لغيره</w:t>
      </w:r>
      <w:r w:rsidRPr="00C85F0F">
        <w:rPr>
          <w:rFonts w:ascii="Simplified Arabic" w:hAnsi="Simplified Arabic" w:hint="cs"/>
          <w:noProof w:val="0"/>
          <w:color w:val="auto"/>
          <w:rtl/>
          <w:lang w:eastAsia="en-US"/>
        </w:rPr>
        <w:t xml:space="preserve">، </w:t>
      </w:r>
      <w:r w:rsidRPr="00C85F0F">
        <w:rPr>
          <w:rFonts w:ascii="Traditional Arabic" w:hAnsi="Traditional Arabic"/>
          <w:noProof w:val="0"/>
          <w:rtl/>
          <w:lang w:eastAsia="en-US"/>
        </w:rPr>
        <w:t>وجب عليه 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عل الأصلح</w:t>
      </w:r>
      <w:r w:rsidR="001659D7">
        <w:rPr>
          <w:rFonts w:ascii="Traditional Arabic" w:hAnsi="Traditional Arabic" w:hint="cs"/>
          <w:noProof w:val="0"/>
          <w:rtl/>
          <w:lang w:eastAsia="en-US"/>
        </w:rPr>
        <w:t>...........................</w:t>
      </w:r>
      <w:r w:rsidRPr="00C85F0F">
        <w:rPr>
          <w:rFonts w:ascii="Traditional Arabic" w:hAnsi="Traditional Arabic" w:hint="cs"/>
          <w:noProof w:val="0"/>
          <w:rtl/>
          <w:lang w:eastAsia="en-US"/>
        </w:rPr>
        <w:t>.</w:t>
      </w:r>
      <w:r>
        <w:rPr>
          <w:rFonts w:ascii="Traditional Arabic" w:hAnsi="Traditional Arabic" w:hint="cs"/>
          <w:noProof w:val="0"/>
          <w:rtl/>
          <w:lang w:eastAsia="en-US"/>
        </w:rPr>
        <w:t>473</w:t>
      </w:r>
    </w:p>
    <w:p w:rsidR="006E11B5" w:rsidRDefault="006E11B5" w:rsidP="006E11B5">
      <w:pPr>
        <w:ind w:firstLine="0"/>
        <w:rPr>
          <w:rtl/>
        </w:rPr>
      </w:pPr>
      <w:r w:rsidRPr="00C85F0F">
        <w:rPr>
          <w:rFonts w:ascii="Traditional Arabic" w:hAnsi="Traditional Arabic"/>
          <w:noProof w:val="0"/>
          <w:rtl/>
          <w:lang w:eastAsia="en-US"/>
        </w:rPr>
        <w:t>من خ</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 فيما يفعله لغيره بولايته عليه وبوكالة مطلقة: لم ي</w:t>
      </w:r>
      <w:r w:rsidRPr="00C85F0F">
        <w:rPr>
          <w:rFonts w:ascii="Traditional Arabic" w:hAnsi="Traditional Arabic" w:hint="cs"/>
          <w:noProof w:val="0"/>
          <w:rtl/>
          <w:lang w:eastAsia="en-US"/>
        </w:rPr>
        <w:t>ُبَ</w:t>
      </w:r>
      <w:r w:rsidRPr="00C85F0F">
        <w:rPr>
          <w:rFonts w:ascii="Traditional Arabic" w:hAnsi="Traditional Arabic"/>
          <w:noProof w:val="0"/>
          <w:rtl/>
          <w:lang w:eastAsia="en-US"/>
        </w:rPr>
        <w:t>ح له فيها ف</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عل ما شاء</w:t>
      </w:r>
      <w:r w:rsidR="001659D7">
        <w:rPr>
          <w:rFonts w:ascii="Traditional Arabic" w:hAnsi="Traditional Arabic" w:hint="cs"/>
          <w:noProof w:val="0"/>
          <w:rtl/>
          <w:lang w:eastAsia="en-US"/>
        </w:rPr>
        <w:t>..........</w:t>
      </w:r>
      <w:r>
        <w:rPr>
          <w:rFonts w:ascii="Traditional Arabic" w:hAnsi="Traditional Arabic" w:hint="cs"/>
          <w:noProof w:val="0"/>
          <w:rtl/>
          <w:lang w:eastAsia="en-US"/>
        </w:rPr>
        <w:t>.474</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ن قبض الشيء</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نفس</w:t>
      </w:r>
      <w:r w:rsidRPr="00C85F0F">
        <w:rPr>
          <w:rFonts w:ascii="Traditional Arabic" w:hAnsi="Traditional Arabic" w:hint="cs"/>
          <w:noProof w:val="0"/>
          <w:color w:val="auto"/>
          <w:rtl/>
          <w:lang w:eastAsia="en-US"/>
        </w:rPr>
        <w:t>ه</w:t>
      </w:r>
      <w:r w:rsidRPr="00C85F0F">
        <w:rPr>
          <w:rFonts w:ascii="Traditional Arabic" w:hAnsi="Traditional Arabic"/>
          <w:noProof w:val="0"/>
          <w:color w:val="auto"/>
          <w:rtl/>
          <w:lang w:eastAsia="en-US"/>
        </w:rPr>
        <w:t xml:space="preserve"> لم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قبل قول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ه في الرد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ومن قبضه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كه</w:t>
      </w:r>
      <w:r w:rsidR="001659D7">
        <w:rPr>
          <w:rFonts w:hint="cs"/>
          <w:color w:val="auto"/>
          <w:rtl/>
        </w:rPr>
        <w:t>.................</w:t>
      </w:r>
      <w:r w:rsidRPr="00C85F0F">
        <w:rPr>
          <w:rFonts w:hint="cs"/>
          <w:color w:val="auto"/>
          <w:rtl/>
        </w:rPr>
        <w:t>.</w:t>
      </w:r>
      <w:r>
        <w:rPr>
          <w:rFonts w:hint="cs"/>
          <w:color w:val="auto"/>
          <w:rtl/>
        </w:rPr>
        <w:t>421</w:t>
      </w:r>
    </w:p>
    <w:p w:rsidR="006E11B5" w:rsidRDefault="006E11B5" w:rsidP="006E11B5">
      <w:pPr>
        <w:widowControl/>
        <w:autoSpaceDE w:val="0"/>
        <w:autoSpaceDN w:val="0"/>
        <w:adjustRightInd w:val="0"/>
        <w:ind w:firstLine="0"/>
        <w:jc w:val="left"/>
        <w:rPr>
          <w:rFonts w:ascii="Traditional Arabic" w:hAnsi="Traditional Arabic"/>
          <w:noProof w:val="0"/>
          <w:rtl/>
          <w:lang w:eastAsia="en-US"/>
        </w:rPr>
      </w:pPr>
      <w:r w:rsidRPr="00C85F0F">
        <w:rPr>
          <w:rFonts w:ascii="Traditional Arabic" w:hAnsi="Traditional Arabic"/>
          <w:noProof w:val="0"/>
          <w:color w:val="auto"/>
          <w:rtl/>
          <w:lang w:eastAsia="en-US"/>
        </w:rPr>
        <w:t>من قبض العين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مالكها 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بل قوله في الرد</w:t>
      </w:r>
      <w:r w:rsidRPr="00C85F0F">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ومن قبض العين لمصلحته</w:t>
      </w:r>
      <w:r w:rsidR="001659D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ascii="Traditional Arabic" w:hAnsi="Traditional Arabic" w:hint="cs"/>
          <w:noProof w:val="0"/>
          <w:color w:val="auto"/>
          <w:rtl/>
          <w:lang w:eastAsia="en-US"/>
        </w:rPr>
        <w:t>421</w:t>
      </w:r>
    </w:p>
    <w:p w:rsidR="006E11B5" w:rsidRDefault="006E11B5" w:rsidP="006E11B5">
      <w:pPr>
        <w:widowControl/>
        <w:autoSpaceDE w:val="0"/>
        <w:autoSpaceDN w:val="0"/>
        <w:adjustRightInd w:val="0"/>
        <w:ind w:firstLine="0"/>
        <w:jc w:val="left"/>
        <w:rPr>
          <w:rFonts w:ascii="Traditional Arabic" w:hAnsi="Traditional Arabic"/>
          <w:noProof w:val="0"/>
          <w:color w:val="auto"/>
          <w:rtl/>
          <w:lang w:eastAsia="en-US"/>
        </w:rPr>
      </w:pPr>
      <w:r w:rsidRPr="00C85F0F">
        <w:rPr>
          <w:rFonts w:ascii="Traditional Arabic" w:hAnsi="Traditional Arabic"/>
          <w:noProof w:val="0"/>
          <w:color w:val="auto"/>
          <w:rtl/>
          <w:lang w:eastAsia="en-US"/>
        </w:rPr>
        <w:t>من قبض العين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نفسه لم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قبل قوله في الرد</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ف</w:t>
      </w:r>
      <w:r w:rsidRPr="00C85F0F">
        <w:rPr>
          <w:rFonts w:ascii="Traditional Arabic" w:hAnsi="Traditional Arabic" w:hint="cs"/>
          <w:noProof w:val="0"/>
          <w:color w:val="auto"/>
          <w:rtl/>
          <w:lang w:eastAsia="en-US"/>
        </w:rPr>
        <w:t>إ</w:t>
      </w:r>
      <w:r w:rsidRPr="00C85F0F">
        <w:rPr>
          <w:rFonts w:ascii="Traditional Arabic" w:hAnsi="Traditional Arabic"/>
          <w:noProof w:val="0"/>
          <w:color w:val="auto"/>
          <w:rtl/>
          <w:lang w:eastAsia="en-US"/>
        </w:rPr>
        <w:t>ن قبضها لحظ</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مالكها ق</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بل</w:t>
      </w:r>
      <w:r w:rsidR="001659D7">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w:t>
      </w:r>
      <w:r>
        <w:rPr>
          <w:rFonts w:ascii="Traditional Arabic" w:hAnsi="Traditional Arabic" w:hint="cs"/>
          <w:noProof w:val="0"/>
          <w:color w:val="auto"/>
          <w:rtl/>
          <w:lang w:eastAsia="en-US"/>
        </w:rPr>
        <w:t>422</w:t>
      </w:r>
    </w:p>
    <w:p w:rsidR="006E11B5" w:rsidRPr="00C85F0F" w:rsidRDefault="006E11B5" w:rsidP="006E11B5">
      <w:pPr>
        <w:ind w:firstLine="0"/>
        <w:rPr>
          <w:color w:val="auto"/>
        </w:rPr>
      </w:pPr>
      <w:r w:rsidRPr="00C85F0F">
        <w:rPr>
          <w:rFonts w:ascii="Traditional Arabic" w:hAnsi="Traditional Arabic"/>
          <w:noProof w:val="0"/>
          <w:color w:val="auto"/>
          <w:rtl/>
          <w:lang w:eastAsia="en-US"/>
        </w:rPr>
        <w:t>من قبض العين لمصلحة نفسه لم ي</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قبل قوله في الرد</w:t>
      </w:r>
      <w:r w:rsidR="001659D7">
        <w:rPr>
          <w:rFonts w:ascii="Traditional Arabic" w:hAnsi="Traditional Arabic" w:hint="cs"/>
          <w:noProof w:val="0"/>
          <w:color w:val="auto"/>
          <w:rtl/>
          <w:lang w:eastAsia="en-US"/>
        </w:rPr>
        <w:t>.....................................</w:t>
      </w:r>
      <w:r w:rsidRPr="00C85F0F">
        <w:rPr>
          <w:rFonts w:hint="cs"/>
          <w:color w:val="auto"/>
          <w:rtl/>
        </w:rPr>
        <w:t>.</w:t>
      </w:r>
      <w:r>
        <w:rPr>
          <w:rFonts w:hint="cs"/>
          <w:color w:val="auto"/>
          <w:rtl/>
        </w:rPr>
        <w:t>421</w:t>
      </w:r>
    </w:p>
    <w:p w:rsidR="006E11B5" w:rsidRDefault="006E11B5" w:rsidP="006E11B5">
      <w:pPr>
        <w:widowControl/>
        <w:autoSpaceDE w:val="0"/>
        <w:autoSpaceDN w:val="0"/>
        <w:adjustRightInd w:val="0"/>
        <w:ind w:firstLine="0"/>
        <w:jc w:val="left"/>
        <w:rPr>
          <w:rFonts w:ascii="Traditional Arabic" w:hAnsi="Traditional Arabic"/>
          <w:noProof w:val="0"/>
          <w:color w:val="auto"/>
          <w:rtl/>
          <w:lang w:eastAsia="en-US"/>
        </w:rPr>
      </w:pPr>
      <w:r w:rsidRPr="00C85F0F">
        <w:rPr>
          <w:rFonts w:ascii="Traditional Arabic" w:hAnsi="Traditional Arabic"/>
          <w:noProof w:val="0"/>
          <w:rtl/>
          <w:lang w:eastAsia="en-US"/>
        </w:rPr>
        <w:t>من قبض شيئا</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ل</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غ</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ضه لا 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قبل قوله في الرد إلى المالك</w:t>
      </w:r>
      <w:r w:rsidR="001659D7">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421</w:t>
      </w:r>
    </w:p>
    <w:p w:rsidR="006E11B5" w:rsidRPr="00C85F0F" w:rsidRDefault="006E11B5" w:rsidP="006E11B5">
      <w:pPr>
        <w:ind w:firstLine="0"/>
      </w:pPr>
      <w:r w:rsidRPr="00C85F0F">
        <w:rPr>
          <w:rFonts w:hint="cs"/>
          <w:rtl/>
        </w:rPr>
        <w:t>من كان له الغنم فعليه الغرم</w:t>
      </w:r>
      <w:r w:rsidR="001659D7">
        <w:rPr>
          <w:rFonts w:hint="cs"/>
          <w:rtl/>
        </w:rPr>
        <w:t>.........................................................</w:t>
      </w:r>
      <w:r w:rsidRPr="00C85F0F">
        <w:rPr>
          <w:rFonts w:hint="cs"/>
          <w:rtl/>
        </w:rPr>
        <w:t>.</w:t>
      </w:r>
      <w:r>
        <w:rPr>
          <w:rFonts w:hint="cs"/>
          <w:rtl/>
        </w:rPr>
        <w:t>345</w:t>
      </w:r>
    </w:p>
    <w:p w:rsidR="006E11B5" w:rsidRDefault="006E11B5" w:rsidP="006E11B5">
      <w:pPr>
        <w:ind w:firstLine="0"/>
        <w:rPr>
          <w:rtl/>
        </w:rPr>
      </w:pPr>
      <w:r w:rsidRPr="00C85F0F">
        <w:rPr>
          <w:rFonts w:hint="cs"/>
          <w:rtl/>
        </w:rPr>
        <w:t>مَن مَلَك الغُنْم كان عليه الغُرْم</w:t>
      </w:r>
      <w:r w:rsidR="001659D7">
        <w:rPr>
          <w:rFonts w:hint="cs"/>
          <w:rtl/>
        </w:rPr>
        <w:t>.......................................................</w:t>
      </w:r>
      <w:r w:rsidRPr="00C85F0F">
        <w:rPr>
          <w:rFonts w:hint="cs"/>
          <w:rtl/>
        </w:rPr>
        <w:t>.</w:t>
      </w:r>
      <w:r>
        <w:rPr>
          <w:rFonts w:hint="cs"/>
          <w:rtl/>
        </w:rPr>
        <w:t>345</w:t>
      </w:r>
    </w:p>
    <w:p w:rsidR="006E11B5" w:rsidRDefault="006E11B5" w:rsidP="006E11B5">
      <w:pPr>
        <w:ind w:firstLine="0"/>
        <w:rPr>
          <w:rFonts w:ascii="Traditional Arabic" w:hAnsi="Traditional Arabic"/>
          <w:noProof w:val="0"/>
          <w:rtl/>
          <w:lang w:eastAsia="en-US"/>
        </w:rPr>
      </w:pPr>
      <w:r w:rsidRPr="00C85F0F">
        <w:rPr>
          <w:rFonts w:ascii="Traditional Arabic" w:hAnsi="Traditional Arabic"/>
          <w:noProof w:val="0"/>
          <w:rtl/>
          <w:lang w:eastAsia="en-US"/>
        </w:rPr>
        <w:t>من يتصرف لغيره فإنه يجب عليه أن يعمل بالأحسن</w:t>
      </w:r>
      <w:r w:rsidR="001659D7">
        <w:rPr>
          <w:rFonts w:ascii="Traditional Arabic" w:hAnsi="Traditional Arabic" w:hint="cs"/>
          <w:noProof w:val="0"/>
          <w:rtl/>
          <w:lang w:eastAsia="en-US"/>
        </w:rPr>
        <w:t>...................................</w:t>
      </w:r>
      <w:r w:rsidRPr="00C85F0F">
        <w:rPr>
          <w:rFonts w:ascii="Traditional Arabic" w:hAnsi="Traditional Arabic"/>
          <w:noProof w:val="0"/>
          <w:rtl/>
          <w:lang w:eastAsia="en-US"/>
        </w:rPr>
        <w:t>.</w:t>
      </w:r>
      <w:r>
        <w:rPr>
          <w:rFonts w:ascii="Traditional Arabic" w:hAnsi="Traditional Arabic" w:hint="cs"/>
          <w:noProof w:val="0"/>
          <w:rtl/>
          <w:lang w:eastAsia="en-US"/>
        </w:rPr>
        <w:t>473</w:t>
      </w:r>
    </w:p>
    <w:p w:rsidR="006E11B5" w:rsidRPr="00C85F0F" w:rsidRDefault="006E11B5" w:rsidP="006E11B5">
      <w:pPr>
        <w:ind w:firstLine="0"/>
        <w:rPr>
          <w:rFonts w:ascii="Traditional Arabic" w:hAnsi="Traditional Arabic"/>
        </w:rPr>
      </w:pPr>
      <w:r w:rsidRPr="00C85F0F">
        <w:rPr>
          <w:rFonts w:ascii="Traditional Arabic" w:hAnsi="Traditional Arabic" w:hint="cs"/>
          <w:rtl/>
        </w:rPr>
        <w:t>النادِر لا حُكم له.</w:t>
      </w:r>
      <w:r w:rsidR="001659D7">
        <w:rPr>
          <w:rFonts w:ascii="Traditional Arabic" w:hAnsi="Traditional Arabic" w:hint="cs"/>
          <w:rtl/>
        </w:rPr>
        <w:t>..................................................................</w:t>
      </w:r>
      <w:r>
        <w:rPr>
          <w:rFonts w:ascii="Traditional Arabic" w:hAnsi="Traditional Arabic" w:hint="cs"/>
          <w:rtl/>
        </w:rPr>
        <w:t>321</w:t>
      </w:r>
    </w:p>
    <w:p w:rsidR="006E11B5" w:rsidRPr="00A71F5D" w:rsidRDefault="006E11B5" w:rsidP="006E11B5">
      <w:pPr>
        <w:pStyle w:val="a7"/>
        <w:spacing w:line="440" w:lineRule="exact"/>
        <w:jc w:val="lowKashida"/>
        <w:rPr>
          <w:rFonts w:ascii="Traditional Arabic" w:hAnsi="Traditional Arabic"/>
          <w:color w:val="auto"/>
          <w:sz w:val="36"/>
          <w:szCs w:val="36"/>
          <w:rtl/>
        </w:rPr>
      </w:pPr>
      <w:r w:rsidRPr="00A71F5D">
        <w:rPr>
          <w:rFonts w:ascii="Traditional Arabic" w:hAnsi="Traditional Arabic" w:hint="cs"/>
          <w:color w:val="auto"/>
          <w:sz w:val="36"/>
          <w:szCs w:val="36"/>
          <w:rtl/>
        </w:rPr>
        <w:t>النادر هل يُعتبَر بنفسه، أم يُلْحَق بجنسه؟</w:t>
      </w:r>
      <w:r w:rsidR="001659D7">
        <w:rPr>
          <w:rFonts w:ascii="Traditional Arabic" w:hAnsi="Traditional Arabic" w:hint="cs"/>
          <w:color w:val="auto"/>
          <w:sz w:val="36"/>
          <w:szCs w:val="36"/>
          <w:rtl/>
        </w:rPr>
        <w:t>..............................................</w:t>
      </w:r>
      <w:r w:rsidRPr="00345E2B">
        <w:rPr>
          <w:rFonts w:ascii="Traditional Arabic" w:hAnsi="Traditional Arabic" w:hint="cs"/>
          <w:color w:val="auto"/>
          <w:sz w:val="36"/>
          <w:szCs w:val="36"/>
          <w:rtl/>
        </w:rPr>
        <w:t>322</w:t>
      </w:r>
    </w:p>
    <w:p w:rsidR="006E11B5" w:rsidRPr="00A71F5D" w:rsidRDefault="006E11B5" w:rsidP="006E11B5">
      <w:pPr>
        <w:pStyle w:val="a7"/>
        <w:spacing w:line="440" w:lineRule="exact"/>
        <w:jc w:val="lowKashida"/>
        <w:rPr>
          <w:rFonts w:ascii="Traditional Arabic" w:hAnsi="Traditional Arabic"/>
          <w:color w:val="auto"/>
          <w:sz w:val="36"/>
          <w:szCs w:val="36"/>
          <w:rtl/>
        </w:rPr>
      </w:pPr>
      <w:r w:rsidRPr="00A71F5D">
        <w:rPr>
          <w:rFonts w:ascii="Traditional Arabic" w:hAnsi="Traditional Arabic" w:hint="cs"/>
          <w:color w:val="auto"/>
          <w:sz w:val="36"/>
          <w:szCs w:val="36"/>
          <w:rtl/>
        </w:rPr>
        <w:t>النادر يجري عليه حكم الغالب، ولا يُلتفت إليه بل يُعمل بالغالب.</w:t>
      </w:r>
      <w:r w:rsidR="001659D7">
        <w:rPr>
          <w:rFonts w:ascii="Traditional Arabic" w:hAnsi="Traditional Arabic" w:hint="cs"/>
          <w:color w:val="auto"/>
          <w:sz w:val="36"/>
          <w:szCs w:val="36"/>
          <w:rtl/>
        </w:rPr>
        <w:t>.....................</w:t>
      </w:r>
      <w:r w:rsidRPr="00345E2B">
        <w:rPr>
          <w:rFonts w:ascii="Traditional Arabic" w:hAnsi="Traditional Arabic" w:hint="cs"/>
          <w:color w:val="auto"/>
          <w:sz w:val="36"/>
          <w:szCs w:val="36"/>
          <w:rtl/>
        </w:rPr>
        <w:t xml:space="preserve"> 322</w:t>
      </w:r>
    </w:p>
    <w:p w:rsidR="006E11B5" w:rsidRDefault="006E11B5" w:rsidP="006E11B5">
      <w:pPr>
        <w:ind w:firstLine="0"/>
        <w:rPr>
          <w:rtl/>
        </w:rPr>
      </w:pPr>
      <w:r w:rsidRPr="00C85F0F">
        <w:rPr>
          <w:rFonts w:ascii="Traditional Arabic" w:hAnsi="Traditional Arabic"/>
          <w:noProof w:val="0"/>
          <w:rtl/>
          <w:lang w:eastAsia="en-US"/>
        </w:rPr>
        <w:t>الن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عمة ب</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د</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الن</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قمة، والنقمة بقدر النعمة</w:t>
      </w:r>
      <w:r w:rsidR="001659D7">
        <w:rPr>
          <w:rFonts w:hint="cs"/>
          <w:rtl/>
        </w:rPr>
        <w:t>.............................................</w:t>
      </w:r>
      <w:r w:rsidRPr="00C85F0F">
        <w:rPr>
          <w:rFonts w:hint="cs"/>
          <w:rtl/>
        </w:rPr>
        <w:t>.</w:t>
      </w:r>
      <w:r>
        <w:rPr>
          <w:rFonts w:hint="cs"/>
          <w:rtl/>
        </w:rPr>
        <w:t>346</w:t>
      </w:r>
    </w:p>
    <w:p w:rsidR="006E11B5" w:rsidRDefault="006E11B5" w:rsidP="006E11B5">
      <w:pPr>
        <w:ind w:firstLine="0"/>
        <w:rPr>
          <w:rtl/>
        </w:rPr>
      </w:pPr>
      <w:r w:rsidRPr="00C85F0F">
        <w:rPr>
          <w:rFonts w:hint="cs"/>
          <w:rtl/>
        </w:rPr>
        <w:t>النهي إذا كان لِسَدِّ الذريعة أُبيح للمصلحة الراجحة</w:t>
      </w:r>
      <w:r w:rsidR="001659D7">
        <w:rPr>
          <w:rFonts w:hint="cs"/>
          <w:rtl/>
        </w:rPr>
        <w:t>....................................</w:t>
      </w:r>
      <w:r w:rsidRPr="00C85F0F">
        <w:rPr>
          <w:rFonts w:hint="cs"/>
          <w:rtl/>
        </w:rPr>
        <w:t>.</w:t>
      </w:r>
      <w:r>
        <w:rPr>
          <w:rFonts w:hint="cs"/>
          <w:rtl/>
        </w:rPr>
        <w:t>192</w:t>
      </w:r>
    </w:p>
    <w:p w:rsidR="006E11B5" w:rsidRPr="00A71F5D" w:rsidRDefault="006E11B5" w:rsidP="006E11B5">
      <w:pPr>
        <w:pStyle w:val="a7"/>
        <w:spacing w:line="440" w:lineRule="exact"/>
        <w:jc w:val="lowKashida"/>
        <w:rPr>
          <w:rFonts w:ascii="Traditional Arabic" w:hAnsi="Traditional Arabic"/>
          <w:color w:val="auto"/>
          <w:sz w:val="36"/>
          <w:szCs w:val="36"/>
          <w:rtl/>
        </w:rPr>
      </w:pPr>
      <w:r w:rsidRPr="00A71F5D">
        <w:rPr>
          <w:rFonts w:ascii="Traditional Arabic" w:hAnsi="Traditional Arabic" w:hint="cs"/>
          <w:color w:val="auto"/>
          <w:sz w:val="36"/>
          <w:szCs w:val="36"/>
          <w:rtl/>
        </w:rPr>
        <w:t>نَوادِر الصُّوَر هل يُعطى لها حكم نفسها أو حكم غالبها.</w:t>
      </w:r>
      <w:r w:rsidR="001659D7">
        <w:rPr>
          <w:rFonts w:ascii="Traditional Arabic" w:hAnsi="Traditional Arabic" w:hint="cs"/>
          <w:color w:val="auto"/>
          <w:sz w:val="36"/>
          <w:szCs w:val="36"/>
          <w:rtl/>
        </w:rPr>
        <w:t>.............................</w:t>
      </w:r>
      <w:r w:rsidRPr="00345E2B">
        <w:rPr>
          <w:rFonts w:ascii="Traditional Arabic" w:hAnsi="Traditional Arabic" w:hint="cs"/>
          <w:color w:val="auto"/>
          <w:sz w:val="36"/>
          <w:szCs w:val="36"/>
          <w:rtl/>
        </w:rPr>
        <w:t xml:space="preserve"> 322</w:t>
      </w:r>
    </w:p>
    <w:p w:rsidR="006E11B5" w:rsidRDefault="006E11B5" w:rsidP="006E11B5">
      <w:pPr>
        <w:ind w:firstLine="0"/>
        <w:rPr>
          <w:color w:val="auto"/>
          <w:rtl/>
        </w:rPr>
      </w:pPr>
      <w:r w:rsidRPr="00C85F0F">
        <w:rPr>
          <w:rFonts w:hint="cs"/>
          <w:color w:val="auto"/>
          <w:rtl/>
        </w:rPr>
        <w:t>هل العِبرة بصِيَغِ العقود أم بمعانيها ؟</w:t>
      </w:r>
      <w:r w:rsidR="001659D7">
        <w:rPr>
          <w:rFonts w:hint="cs"/>
          <w:color w:val="auto"/>
          <w:rtl/>
        </w:rPr>
        <w:t>..................................................</w:t>
      </w:r>
      <w:r>
        <w:rPr>
          <w:rFonts w:hint="cs"/>
          <w:color w:val="auto"/>
          <w:rtl/>
        </w:rPr>
        <w:t>210</w:t>
      </w:r>
    </w:p>
    <w:p w:rsidR="006E11B5" w:rsidRPr="00C85F0F" w:rsidRDefault="006E11B5" w:rsidP="006E11B5">
      <w:pPr>
        <w:ind w:firstLine="0"/>
        <w:rPr>
          <w:color w:val="auto"/>
        </w:rPr>
      </w:pPr>
      <w:r w:rsidRPr="00C85F0F">
        <w:rPr>
          <w:rFonts w:hint="cs"/>
          <w:color w:val="auto"/>
          <w:rtl/>
        </w:rPr>
        <w:t>هل النظر إلى الموجود أو المقصود؟</w:t>
      </w:r>
      <w:r w:rsidR="001659D7">
        <w:rPr>
          <w:rFonts w:hint="cs"/>
          <w:color w:val="auto"/>
          <w:rtl/>
        </w:rPr>
        <w:t>....................................................</w:t>
      </w:r>
      <w:r>
        <w:rPr>
          <w:rFonts w:hint="cs"/>
          <w:color w:val="auto"/>
          <w:rtl/>
        </w:rPr>
        <w:t>308</w:t>
      </w:r>
    </w:p>
    <w:p w:rsidR="006E11B5" w:rsidRPr="00C85F0F" w:rsidRDefault="006E11B5" w:rsidP="006E11B5">
      <w:pPr>
        <w:ind w:firstLine="0"/>
      </w:pPr>
      <w:r w:rsidRPr="00C85F0F">
        <w:rPr>
          <w:rFonts w:hint="cs"/>
          <w:rtl/>
        </w:rPr>
        <w:t>الواجب أن تكون أموال الناس محترَمة</w:t>
      </w:r>
      <w:r w:rsidR="001659D7">
        <w:rPr>
          <w:rFonts w:hint="cs"/>
          <w:rtl/>
        </w:rPr>
        <w:t>................................................</w:t>
      </w:r>
      <w:r w:rsidRPr="00C85F0F">
        <w:rPr>
          <w:rFonts w:hint="cs"/>
          <w:rtl/>
        </w:rPr>
        <w:t>.</w:t>
      </w:r>
      <w:r>
        <w:rPr>
          <w:rFonts w:hint="cs"/>
          <w:rtl/>
        </w:rPr>
        <w:t>313</w:t>
      </w:r>
    </w:p>
    <w:p w:rsidR="006E11B5" w:rsidRDefault="006E11B5" w:rsidP="006E11B5">
      <w:pPr>
        <w:ind w:firstLine="0"/>
        <w:rPr>
          <w:rFonts w:ascii="Traditional Arabic" w:hAnsi="Traditional Arabic"/>
          <w:color w:val="auto"/>
          <w:rtl/>
        </w:rPr>
      </w:pPr>
      <w:r w:rsidRPr="00C85F0F">
        <w:rPr>
          <w:rFonts w:ascii="Traditional Arabic" w:hAnsi="Traditional Arabic"/>
          <w:noProof w:val="0"/>
          <w:color w:val="auto"/>
          <w:rtl/>
          <w:lang w:eastAsia="en-US"/>
        </w:rPr>
        <w:t>الواجب ح</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الألفاظ على لسان</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أهل</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 xml:space="preserve"> </w:t>
      </w:r>
      <w:r w:rsidRPr="00C85F0F">
        <w:rPr>
          <w:rFonts w:ascii="Traditional Arabic" w:hAnsi="Traditional Arabic"/>
          <w:noProof w:val="0"/>
          <w:color w:val="auto"/>
          <w:rtl/>
          <w:lang w:eastAsia="en-US"/>
        </w:rPr>
        <w:t>الع</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رف</w:t>
      </w:r>
      <w:r w:rsidR="001659D7">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140</w:t>
      </w:r>
    </w:p>
    <w:p w:rsidR="006E11B5" w:rsidRPr="00C85F0F" w:rsidRDefault="006E11B5" w:rsidP="006E11B5">
      <w:pPr>
        <w:ind w:firstLine="0"/>
      </w:pPr>
      <w:r w:rsidRPr="00C85F0F">
        <w:rPr>
          <w:rFonts w:ascii="Traditional Arabic" w:hAnsi="Traditional Arabic"/>
          <w:noProof w:val="0"/>
          <w:rtl/>
          <w:lang w:eastAsia="en-US"/>
        </w:rPr>
        <w:t>الواجب على من تصر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ف لغيره أن يفعل ما هو أحسن</w:t>
      </w:r>
      <w:r>
        <w:rPr>
          <w:rFonts w:ascii="Traditional Arabic" w:hAnsi="Traditional Arabic" w:hint="cs"/>
          <w:noProof w:val="0"/>
          <w:rtl/>
          <w:lang w:eastAsia="en-US"/>
        </w:rPr>
        <w:t>.................................</w:t>
      </w:r>
      <w:r w:rsidRPr="00C85F0F">
        <w:rPr>
          <w:rFonts w:ascii="Traditional Arabic" w:hAnsi="Traditional Arabic"/>
          <w:noProof w:val="0"/>
          <w:rtl/>
          <w:lang w:eastAsia="en-US"/>
        </w:rPr>
        <w:t>.</w:t>
      </w:r>
      <w:r>
        <w:rPr>
          <w:rFonts w:ascii="Traditional Arabic" w:hAnsi="Traditional Arabic" w:hint="cs"/>
          <w:noProof w:val="0"/>
          <w:rtl/>
          <w:lang w:eastAsia="en-US"/>
        </w:rPr>
        <w:t>473</w:t>
      </w:r>
    </w:p>
    <w:p w:rsidR="006E11B5" w:rsidRDefault="006E11B5" w:rsidP="006E11B5">
      <w:pPr>
        <w:ind w:firstLine="0"/>
        <w:rPr>
          <w:rtl/>
        </w:rPr>
      </w:pPr>
      <w:r w:rsidRPr="00C85F0F">
        <w:rPr>
          <w:rFonts w:hint="cs"/>
          <w:rtl/>
        </w:rPr>
        <w:t>واجعلْ كلفظٍ كلَّ عُرفٍ مُطَّرِدْ</w:t>
      </w:r>
      <w:r>
        <w:rPr>
          <w:rFonts w:hint="cs"/>
          <w:rtl/>
        </w:rPr>
        <w:t xml:space="preserve">      </w:t>
      </w:r>
      <w:r w:rsidRPr="00C85F0F">
        <w:rPr>
          <w:rFonts w:hint="cs"/>
          <w:rtl/>
        </w:rPr>
        <w:t>فشرْطُنا العُرْفيُّ</w:t>
      </w:r>
      <w:r>
        <w:rPr>
          <w:rFonts w:hint="cs"/>
          <w:rtl/>
        </w:rPr>
        <w:t xml:space="preserve"> </w:t>
      </w:r>
      <w:r w:rsidRPr="00C85F0F">
        <w:rPr>
          <w:rFonts w:hint="cs"/>
          <w:rtl/>
        </w:rPr>
        <w:t xml:space="preserve"> كاللَّفظِيْ يَرِدْ</w:t>
      </w:r>
      <w:r>
        <w:rPr>
          <w:rFonts w:hint="cs"/>
          <w:rtl/>
        </w:rPr>
        <w:t>.........................</w:t>
      </w:r>
      <w:r w:rsidRPr="00C85F0F">
        <w:rPr>
          <w:rFonts w:hint="cs"/>
          <w:rtl/>
        </w:rPr>
        <w:t>.</w:t>
      </w:r>
      <w:r>
        <w:rPr>
          <w:rFonts w:hint="cs"/>
          <w:rtl/>
        </w:rPr>
        <w:t>148</w:t>
      </w:r>
    </w:p>
    <w:p w:rsidR="006E11B5" w:rsidRDefault="006E11B5" w:rsidP="006E11B5">
      <w:pPr>
        <w:ind w:firstLine="0"/>
        <w:rPr>
          <w:rtl/>
        </w:rPr>
      </w:pPr>
      <w:r w:rsidRPr="00C85F0F">
        <w:rPr>
          <w:rFonts w:hint="cs"/>
          <w:rtl/>
        </w:rPr>
        <w:t>واحكُم لكل عامل بنِيَّتِه</w:t>
      </w:r>
      <w:r>
        <w:rPr>
          <w:rFonts w:hint="cs"/>
          <w:rtl/>
        </w:rPr>
        <w:t xml:space="preserve">     </w:t>
      </w:r>
      <w:r w:rsidRPr="00EF1161">
        <w:rPr>
          <w:rFonts w:hint="cs"/>
          <w:rtl/>
        </w:rPr>
        <w:t>واسدُدْ على المحتال باب حِيلَتِهْ</w:t>
      </w:r>
      <w:r>
        <w:rPr>
          <w:rFonts w:hint="cs"/>
          <w:rtl/>
        </w:rPr>
        <w:t>..............................224</w:t>
      </w:r>
    </w:p>
    <w:p w:rsidR="006E11B5" w:rsidRPr="00C85F0F" w:rsidRDefault="006E11B5" w:rsidP="006E11B5">
      <w:pPr>
        <w:ind w:firstLine="0"/>
      </w:pPr>
      <w:r w:rsidRPr="00C85F0F">
        <w:rPr>
          <w:rFonts w:hint="cs"/>
          <w:rtl/>
        </w:rPr>
        <w:t>والشيءُ لا يَتِمُّ إلا أن تَتِمْ</w:t>
      </w:r>
      <w:r>
        <w:rPr>
          <w:rFonts w:hint="cs"/>
          <w:rtl/>
        </w:rPr>
        <w:t xml:space="preserve">          </w:t>
      </w:r>
      <w:r w:rsidRPr="00C85F0F">
        <w:rPr>
          <w:rFonts w:hint="cs"/>
          <w:rtl/>
        </w:rPr>
        <w:t>شُروطُه</w:t>
      </w:r>
      <w:r>
        <w:rPr>
          <w:rFonts w:hint="cs"/>
          <w:rtl/>
        </w:rPr>
        <w:t xml:space="preserve"> </w:t>
      </w:r>
      <w:r w:rsidRPr="00C85F0F">
        <w:rPr>
          <w:rFonts w:hint="cs"/>
          <w:rtl/>
        </w:rPr>
        <w:t xml:space="preserve"> ومانعٌ </w:t>
      </w:r>
      <w:r>
        <w:rPr>
          <w:rFonts w:hint="cs"/>
          <w:rtl/>
        </w:rPr>
        <w:t xml:space="preserve"> </w:t>
      </w:r>
      <w:r w:rsidRPr="00C85F0F">
        <w:rPr>
          <w:rFonts w:hint="cs"/>
          <w:rtl/>
        </w:rPr>
        <w:t xml:space="preserve">منه </w:t>
      </w:r>
      <w:r>
        <w:rPr>
          <w:rFonts w:hint="cs"/>
          <w:rtl/>
        </w:rPr>
        <w:t xml:space="preserve"> </w:t>
      </w:r>
      <w:r w:rsidRPr="00C85F0F">
        <w:rPr>
          <w:rFonts w:hint="cs"/>
          <w:rtl/>
        </w:rPr>
        <w:t>عُدِمْ</w:t>
      </w:r>
      <w:r>
        <w:rPr>
          <w:rFonts w:hint="cs"/>
          <w:rtl/>
        </w:rPr>
        <w:t>...........................</w:t>
      </w:r>
      <w:r w:rsidRPr="00C85F0F">
        <w:rPr>
          <w:rFonts w:hint="cs"/>
          <w:rtl/>
        </w:rPr>
        <w:t>.</w:t>
      </w:r>
      <w:r>
        <w:rPr>
          <w:rFonts w:hint="cs"/>
          <w:rtl/>
        </w:rPr>
        <w:t>489</w:t>
      </w:r>
    </w:p>
    <w:p w:rsidR="006E11B5" w:rsidRDefault="006E11B5" w:rsidP="006E11B5">
      <w:pPr>
        <w:ind w:firstLine="0"/>
        <w:rPr>
          <w:rtl/>
        </w:rPr>
      </w:pPr>
      <w:r w:rsidRPr="00C85F0F">
        <w:rPr>
          <w:rFonts w:hint="cs"/>
          <w:rtl/>
        </w:rPr>
        <w:t>والظنُّ في العبادة المُعْتَبَر</w:t>
      </w:r>
      <w:r>
        <w:rPr>
          <w:rFonts w:hint="cs"/>
          <w:rtl/>
        </w:rPr>
        <w:t xml:space="preserve">      </w:t>
      </w:r>
      <w:r w:rsidRPr="00C85F0F">
        <w:rPr>
          <w:rFonts w:hint="cs"/>
          <w:rtl/>
        </w:rPr>
        <w:t>ونَفْسَ الأمرِ في العُقود اعْتَبَروا</w:t>
      </w:r>
      <w:r>
        <w:rPr>
          <w:rFonts w:hint="cs"/>
          <w:rtl/>
        </w:rPr>
        <w:t>..............................</w:t>
      </w:r>
      <w:r w:rsidRPr="00C85F0F">
        <w:rPr>
          <w:rFonts w:hint="cs"/>
          <w:rtl/>
        </w:rPr>
        <w:t>.</w:t>
      </w:r>
      <w:r>
        <w:rPr>
          <w:rFonts w:hint="cs"/>
          <w:rtl/>
        </w:rPr>
        <w:t>307</w:t>
      </w:r>
    </w:p>
    <w:p w:rsidR="006E11B5" w:rsidRDefault="006E11B5" w:rsidP="006E11B5">
      <w:pPr>
        <w:ind w:firstLine="0"/>
        <w:rPr>
          <w:rFonts w:ascii="Traditional Arabic" w:hAnsi="Traditional Arabic"/>
          <w:rtl/>
        </w:rPr>
      </w:pPr>
      <w:r w:rsidRPr="00C85F0F">
        <w:rPr>
          <w:rFonts w:ascii="Traditional Arabic" w:hAnsi="Traditional Arabic" w:hint="cs"/>
          <w:rtl/>
        </w:rPr>
        <w:t>والعُرف مَعمولٌ به إذا وَرَدْحُكمٌ من الشرع الشريف لم يُحَدَّ</w:t>
      </w:r>
      <w:r>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160</w:t>
      </w:r>
    </w:p>
    <w:p w:rsidR="006E11B5" w:rsidRDefault="006E11B5" w:rsidP="006E11B5">
      <w:pPr>
        <w:ind w:firstLine="0"/>
        <w:jc w:val="left"/>
        <w:rPr>
          <w:rFonts w:ascii="Traditional Arabic" w:hAnsi="Traditional Arabic"/>
          <w:noProof w:val="0"/>
          <w:color w:val="auto"/>
          <w:rtl/>
          <w:lang w:eastAsia="en-US"/>
        </w:rPr>
      </w:pPr>
      <w:r w:rsidRPr="00C85F0F">
        <w:rPr>
          <w:rFonts w:ascii="Traditional Arabic" w:hAnsi="Traditional Arabic"/>
          <w:noProof w:val="0"/>
          <w:color w:val="auto"/>
          <w:rtl/>
          <w:lang w:eastAsia="en-US"/>
        </w:rPr>
        <w:lastRenderedPageBreak/>
        <w:t>وُجوب ا</w:t>
      </w:r>
      <w:r w:rsidRPr="00C85F0F">
        <w:rPr>
          <w:rFonts w:ascii="Traditional Arabic" w:hAnsi="Traditional Arabic" w:hint="cs"/>
          <w:noProof w:val="0"/>
          <w:color w:val="auto"/>
          <w:rtl/>
          <w:lang w:eastAsia="en-US"/>
        </w:rPr>
        <w:t>ل</w:t>
      </w:r>
      <w:r w:rsidRPr="00C85F0F">
        <w:rPr>
          <w:rFonts w:ascii="Traditional Arabic" w:hAnsi="Traditional Arabic"/>
          <w:noProof w:val="0"/>
          <w:color w:val="auto"/>
          <w:rtl/>
          <w:lang w:eastAsia="en-US"/>
        </w:rPr>
        <w:t>وسائل تَبَعٌ لِوجوب المَقاصد</w:t>
      </w:r>
      <w:r>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173</w:t>
      </w:r>
    </w:p>
    <w:p w:rsidR="006E11B5" w:rsidRDefault="006E11B5" w:rsidP="006E11B5">
      <w:pPr>
        <w:ind w:firstLine="0"/>
        <w:jc w:val="left"/>
        <w:rPr>
          <w:rtl/>
        </w:rPr>
      </w:pPr>
      <w:r w:rsidRPr="00C85F0F">
        <w:rPr>
          <w:rFonts w:hint="cs"/>
          <w:rtl/>
        </w:rPr>
        <w:t>وسائلُ الحرامِ حرام</w:t>
      </w:r>
      <w:r>
        <w:rPr>
          <w:rFonts w:hint="cs"/>
          <w:rtl/>
        </w:rPr>
        <w:t>.................................................................</w:t>
      </w:r>
      <w:r w:rsidRPr="00C85F0F">
        <w:rPr>
          <w:rFonts w:hint="cs"/>
          <w:rtl/>
        </w:rPr>
        <w:t>.</w:t>
      </w:r>
      <w:r>
        <w:rPr>
          <w:rFonts w:hint="cs"/>
          <w:rtl/>
        </w:rPr>
        <w:t>172</w:t>
      </w:r>
    </w:p>
    <w:p w:rsidR="006E11B5" w:rsidRPr="00C85F0F" w:rsidRDefault="006E11B5" w:rsidP="006E11B5">
      <w:pPr>
        <w:ind w:firstLine="0"/>
      </w:pPr>
      <w:r w:rsidRPr="00C85F0F">
        <w:rPr>
          <w:rFonts w:hint="cs"/>
          <w:rtl/>
        </w:rPr>
        <w:t>وسائل الحرام حرام</w:t>
      </w:r>
      <w:r>
        <w:rPr>
          <w:rFonts w:hint="cs"/>
          <w:rtl/>
        </w:rPr>
        <w:t>.................................................................</w:t>
      </w:r>
      <w:r w:rsidRPr="00C85F0F">
        <w:rPr>
          <w:rFonts w:hint="cs"/>
          <w:rtl/>
        </w:rPr>
        <w:t>.</w:t>
      </w:r>
      <w:r>
        <w:rPr>
          <w:rFonts w:hint="cs"/>
          <w:rtl/>
        </w:rPr>
        <w:t>183</w:t>
      </w:r>
    </w:p>
    <w:p w:rsidR="006E11B5" w:rsidRDefault="006E11B5" w:rsidP="006E11B5">
      <w:pPr>
        <w:ind w:firstLine="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الوسائلُ تَتبعُ المقاصدَ في أحكامها</w:t>
      </w:r>
      <w:r>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173</w:t>
      </w:r>
    </w:p>
    <w:p w:rsidR="006E11B5" w:rsidRDefault="006E11B5" w:rsidP="006E11B5">
      <w:pPr>
        <w:ind w:firstLine="0"/>
        <w:jc w:val="left"/>
        <w:rPr>
          <w:rFonts w:ascii="Traditional Arabic" w:hAnsi="Traditional Arabic"/>
          <w:noProof w:val="0"/>
          <w:color w:val="auto"/>
          <w:rtl/>
          <w:lang w:eastAsia="en-US"/>
        </w:rPr>
      </w:pPr>
      <w:r w:rsidRPr="00C85F0F">
        <w:rPr>
          <w:rFonts w:ascii="Traditional Arabic" w:hAnsi="Traditional Arabic"/>
          <w:noProof w:val="0"/>
          <w:color w:val="auto"/>
          <w:rtl/>
          <w:lang w:eastAsia="en-US"/>
        </w:rPr>
        <w:t>ا</w:t>
      </w:r>
      <w:r w:rsidRPr="00C85F0F">
        <w:rPr>
          <w:rFonts w:ascii="Traditional Arabic" w:hAnsi="Traditional Arabic" w:hint="cs"/>
          <w:noProof w:val="0"/>
          <w:color w:val="auto"/>
          <w:rtl/>
          <w:lang w:eastAsia="en-US"/>
        </w:rPr>
        <w:t>ل</w:t>
      </w:r>
      <w:r w:rsidRPr="00C85F0F">
        <w:rPr>
          <w:rFonts w:ascii="Traditional Arabic" w:hAnsi="Traditional Arabic"/>
          <w:noProof w:val="0"/>
          <w:color w:val="auto"/>
          <w:rtl/>
          <w:lang w:eastAsia="en-US"/>
        </w:rPr>
        <w:t>وسائل</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ت</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عطى حُكْم</w:t>
      </w:r>
      <w:r w:rsidRPr="00C85F0F">
        <w:rPr>
          <w:rFonts w:ascii="Traditional Arabic" w:hAnsi="Traditional Arabic" w:hint="cs"/>
          <w:noProof w:val="0"/>
          <w:color w:val="auto"/>
          <w:rtl/>
          <w:lang w:eastAsia="en-US"/>
        </w:rPr>
        <w:t>َ</w:t>
      </w:r>
      <w:r w:rsidRPr="00C85F0F">
        <w:rPr>
          <w:rFonts w:ascii="Traditional Arabic" w:hAnsi="Traditional Arabic"/>
          <w:noProof w:val="0"/>
          <w:color w:val="auto"/>
          <w:rtl/>
          <w:lang w:eastAsia="en-US"/>
        </w:rPr>
        <w:t xml:space="preserve"> الم</w:t>
      </w:r>
      <w:r w:rsidRPr="00C85F0F">
        <w:rPr>
          <w:rFonts w:ascii="Traditional Arabic" w:hAnsi="Traditional Arabic" w:hint="cs"/>
          <w:noProof w:val="0"/>
          <w:color w:val="auto"/>
          <w:rtl/>
          <w:lang w:eastAsia="en-US"/>
        </w:rPr>
        <w:t>ق</w:t>
      </w:r>
      <w:r w:rsidRPr="00C85F0F">
        <w:rPr>
          <w:rFonts w:ascii="Traditional Arabic" w:hAnsi="Traditional Arabic"/>
          <w:noProof w:val="0"/>
          <w:color w:val="auto"/>
          <w:rtl/>
          <w:lang w:eastAsia="en-US"/>
        </w:rPr>
        <w:t>اصد</w:t>
      </w:r>
      <w:r>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173</w:t>
      </w:r>
    </w:p>
    <w:p w:rsidR="006E11B5" w:rsidRPr="00C85F0F" w:rsidRDefault="006E11B5" w:rsidP="006E11B5">
      <w:pPr>
        <w:ind w:firstLine="0"/>
        <w:jc w:val="left"/>
      </w:pPr>
      <w:r w:rsidRPr="00C85F0F">
        <w:rPr>
          <w:rFonts w:hint="cs"/>
          <w:rtl/>
        </w:rPr>
        <w:t>الوسائل لها أحكام المقاصد</w:t>
      </w:r>
      <w:r>
        <w:rPr>
          <w:rFonts w:hint="cs"/>
          <w:rtl/>
        </w:rPr>
        <w:t>.........................................................</w:t>
      </w:r>
      <w:r w:rsidRPr="00C85F0F">
        <w:rPr>
          <w:rFonts w:hint="cs"/>
          <w:rtl/>
        </w:rPr>
        <w:t>.</w:t>
      </w:r>
      <w:r>
        <w:rPr>
          <w:rFonts w:hint="cs"/>
          <w:rtl/>
        </w:rPr>
        <w:t>172</w:t>
      </w:r>
    </w:p>
    <w:p w:rsidR="006E11B5" w:rsidRDefault="006E11B5" w:rsidP="006E11B5">
      <w:pPr>
        <w:ind w:firstLine="0"/>
        <w:jc w:val="left"/>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الوسائل لها أحكام المقاصد</w:t>
      </w:r>
      <w:r>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173</w:t>
      </w:r>
    </w:p>
    <w:p w:rsidR="006E11B5" w:rsidRDefault="006E11B5" w:rsidP="006E11B5">
      <w:pPr>
        <w:ind w:firstLine="0"/>
        <w:jc w:val="left"/>
        <w:rPr>
          <w:color w:val="auto"/>
          <w:rtl/>
        </w:rPr>
      </w:pPr>
      <w:r w:rsidRPr="00C85F0F">
        <w:rPr>
          <w:rFonts w:ascii="Traditional Arabic" w:hAnsi="Traditional Arabic" w:hint="cs"/>
          <w:noProof w:val="0"/>
          <w:color w:val="auto"/>
          <w:rtl/>
          <w:lang w:eastAsia="en-US"/>
        </w:rPr>
        <w:t>وسيلةُ المقصود تابعةٌ للمقصود</w:t>
      </w:r>
      <w:r>
        <w:rPr>
          <w:rFonts w:hint="cs"/>
          <w:color w:val="auto"/>
          <w:rtl/>
        </w:rPr>
        <w:t>.......................................................</w:t>
      </w:r>
      <w:r w:rsidRPr="00C85F0F">
        <w:rPr>
          <w:rFonts w:hint="cs"/>
          <w:color w:val="auto"/>
          <w:rtl/>
        </w:rPr>
        <w:t>.</w:t>
      </w:r>
      <w:r>
        <w:rPr>
          <w:rFonts w:hint="cs"/>
          <w:color w:val="auto"/>
          <w:rtl/>
        </w:rPr>
        <w:t>174</w:t>
      </w:r>
    </w:p>
    <w:p w:rsidR="006E11B5" w:rsidRDefault="006E11B5" w:rsidP="006E11B5">
      <w:pPr>
        <w:ind w:firstLine="0"/>
        <w:jc w:val="left"/>
        <w:rPr>
          <w:color w:val="auto"/>
          <w:rtl/>
        </w:rPr>
      </w:pPr>
      <w:r w:rsidRPr="00C85F0F">
        <w:rPr>
          <w:rFonts w:hint="cs"/>
          <w:color w:val="auto"/>
          <w:rtl/>
        </w:rPr>
        <w:t>الوسيلة إلى الحرام حرام</w:t>
      </w:r>
      <w:r>
        <w:rPr>
          <w:rFonts w:hint="cs"/>
          <w:color w:val="auto"/>
          <w:rtl/>
        </w:rPr>
        <w:t>.............................................................</w:t>
      </w:r>
      <w:r w:rsidRPr="00C85F0F">
        <w:rPr>
          <w:rFonts w:hint="cs"/>
          <w:color w:val="auto"/>
          <w:rtl/>
        </w:rPr>
        <w:t>.</w:t>
      </w:r>
      <w:r>
        <w:rPr>
          <w:rFonts w:hint="cs"/>
          <w:color w:val="auto"/>
          <w:rtl/>
        </w:rPr>
        <w:t>174</w:t>
      </w:r>
    </w:p>
    <w:p w:rsidR="006E11B5" w:rsidRDefault="006E11B5" w:rsidP="006E11B5">
      <w:pPr>
        <w:ind w:firstLine="0"/>
        <w:rPr>
          <w:rtl/>
        </w:rPr>
      </w:pPr>
      <w:r w:rsidRPr="00C85F0F">
        <w:rPr>
          <w:rFonts w:hint="cs"/>
          <w:rtl/>
        </w:rPr>
        <w:t>وكلُّ حكم دائرٌ معْ علته</w:t>
      </w:r>
      <w:r>
        <w:rPr>
          <w:rFonts w:hint="cs"/>
          <w:rtl/>
        </w:rPr>
        <w:t xml:space="preserve">     </w:t>
      </w:r>
      <w:r w:rsidRPr="00C85F0F">
        <w:rPr>
          <w:rFonts w:hint="cs"/>
          <w:rtl/>
        </w:rPr>
        <w:t>وهي التي قد أوجبت لِشِرْعَتِه</w:t>
      </w:r>
      <w:r>
        <w:rPr>
          <w:rFonts w:hint="cs"/>
          <w:rtl/>
        </w:rPr>
        <w:t>..............................</w:t>
      </w:r>
      <w:r w:rsidRPr="00C85F0F">
        <w:rPr>
          <w:rFonts w:hint="cs"/>
          <w:rtl/>
        </w:rPr>
        <w:t>.</w:t>
      </w:r>
      <w:r>
        <w:rPr>
          <w:rFonts w:hint="cs"/>
          <w:rtl/>
        </w:rPr>
        <w:t>384</w:t>
      </w:r>
    </w:p>
    <w:p w:rsidR="006E11B5" w:rsidRDefault="006E11B5" w:rsidP="006E11B5">
      <w:pPr>
        <w:ind w:firstLine="0"/>
        <w:rPr>
          <w:rtl/>
        </w:rPr>
      </w:pPr>
      <w:r w:rsidRPr="00C85F0F">
        <w:rPr>
          <w:rFonts w:hint="cs"/>
          <w:rtl/>
        </w:rPr>
        <w:t>وكل حكمٍ فلِعلةٍ تَبِعْ</w:t>
      </w:r>
      <w:r>
        <w:rPr>
          <w:rFonts w:hint="cs"/>
          <w:rtl/>
        </w:rPr>
        <w:t xml:space="preserve">      </w:t>
      </w:r>
      <w:r w:rsidRPr="00C85F0F">
        <w:rPr>
          <w:rFonts w:hint="cs"/>
          <w:rtl/>
        </w:rPr>
        <w:t>إن وُجدتْ يوجد وإلا يمتن</w:t>
      </w:r>
      <w:r>
        <w:rPr>
          <w:rFonts w:hint="cs"/>
          <w:rtl/>
        </w:rPr>
        <w:t>ِ</w:t>
      </w:r>
      <w:r w:rsidRPr="00C85F0F">
        <w:rPr>
          <w:rFonts w:hint="cs"/>
          <w:rtl/>
        </w:rPr>
        <w:t>ع</w:t>
      </w:r>
      <w:r>
        <w:rPr>
          <w:rFonts w:hint="cs"/>
          <w:rtl/>
        </w:rPr>
        <w:t>..................................</w:t>
      </w:r>
      <w:r w:rsidRPr="00C85F0F">
        <w:rPr>
          <w:rFonts w:hint="cs"/>
          <w:rtl/>
        </w:rPr>
        <w:t>.</w:t>
      </w:r>
      <w:r>
        <w:rPr>
          <w:rFonts w:hint="cs"/>
          <w:rtl/>
        </w:rPr>
        <w:t>383</w:t>
      </w:r>
    </w:p>
    <w:p w:rsidR="006E11B5" w:rsidRDefault="006E11B5" w:rsidP="006E11B5">
      <w:pPr>
        <w:ind w:firstLine="0"/>
        <w:rPr>
          <w:rtl/>
        </w:rPr>
      </w:pPr>
      <w:r w:rsidRPr="00C85F0F">
        <w:rPr>
          <w:rFonts w:ascii="Traditional Arabic" w:hAnsi="Traditional Arabic"/>
          <w:rtl/>
        </w:rPr>
        <w:t xml:space="preserve">وكلُّ ما أَتَى ولم يُحدَّدِ </w:t>
      </w:r>
      <w:r w:rsidRPr="00C85F0F">
        <w:rPr>
          <w:rFonts w:ascii="Traditional Arabic" w:hAnsi="Traditional Arabic"/>
          <w:rtl/>
        </w:rPr>
        <w:tab/>
        <w:t>بالشرعِ كالح</w:t>
      </w:r>
      <w:r w:rsidRPr="00C85F0F">
        <w:rPr>
          <w:rFonts w:ascii="Traditional Arabic" w:hAnsi="Traditional Arabic" w:hint="cs"/>
          <w:rtl/>
        </w:rPr>
        <w:t>ِ</w:t>
      </w:r>
      <w:r w:rsidRPr="00C85F0F">
        <w:rPr>
          <w:rFonts w:ascii="Traditional Arabic" w:hAnsi="Traditional Arabic"/>
          <w:rtl/>
        </w:rPr>
        <w:t>ر</w:t>
      </w:r>
      <w:r w:rsidRPr="00C85F0F">
        <w:rPr>
          <w:rFonts w:ascii="Traditional Arabic" w:hAnsi="Traditional Arabic" w:hint="cs"/>
          <w:rtl/>
        </w:rPr>
        <w:t>ْ</w:t>
      </w:r>
      <w:r w:rsidRPr="00C85F0F">
        <w:rPr>
          <w:rFonts w:ascii="Traditional Arabic" w:hAnsi="Traditional Arabic"/>
          <w:rtl/>
        </w:rPr>
        <w:t>زِ ف</w:t>
      </w:r>
      <w:r w:rsidRPr="00C85F0F">
        <w:rPr>
          <w:rFonts w:ascii="Traditional Arabic" w:hAnsi="Traditional Arabic" w:hint="cs"/>
          <w:rtl/>
        </w:rPr>
        <w:t>َ</w:t>
      </w:r>
      <w:r w:rsidRPr="00C85F0F">
        <w:rPr>
          <w:rFonts w:ascii="Traditional Arabic" w:hAnsi="Traditional Arabic"/>
          <w:rtl/>
        </w:rPr>
        <w:t>ب</w:t>
      </w:r>
      <w:r w:rsidRPr="00C85F0F">
        <w:rPr>
          <w:rFonts w:ascii="Traditional Arabic" w:hAnsi="Traditional Arabic" w:hint="cs"/>
          <w:rtl/>
        </w:rPr>
        <w:t>ِ</w:t>
      </w:r>
      <w:r w:rsidRPr="00C85F0F">
        <w:rPr>
          <w:rFonts w:ascii="Traditional Arabic" w:hAnsi="Traditional Arabic"/>
          <w:rtl/>
        </w:rPr>
        <w:t>الع</w:t>
      </w:r>
      <w:r w:rsidRPr="00C85F0F">
        <w:rPr>
          <w:rFonts w:ascii="Traditional Arabic" w:hAnsi="Traditional Arabic" w:hint="cs"/>
          <w:rtl/>
        </w:rPr>
        <w:t>ُ</w:t>
      </w:r>
      <w:r w:rsidRPr="00C85F0F">
        <w:rPr>
          <w:rFonts w:ascii="Traditional Arabic" w:hAnsi="Traditional Arabic"/>
          <w:rtl/>
        </w:rPr>
        <w:t>رفِ احْدُدِ</w:t>
      </w:r>
      <w:r>
        <w:rPr>
          <w:rFonts w:ascii="Traditional Arabic" w:hAnsi="Traditional Arabic" w:hint="cs"/>
          <w:rtl/>
        </w:rPr>
        <w:t>.................................</w:t>
      </w:r>
      <w:r w:rsidRPr="00C85F0F">
        <w:rPr>
          <w:rFonts w:ascii="Traditional Arabic" w:hAnsi="Traditional Arabic" w:hint="cs"/>
          <w:rtl/>
        </w:rPr>
        <w:t>.</w:t>
      </w:r>
      <w:r>
        <w:rPr>
          <w:rFonts w:hint="cs"/>
          <w:rtl/>
        </w:rPr>
        <w:t>159</w:t>
      </w:r>
    </w:p>
    <w:p w:rsidR="006E11B5" w:rsidRDefault="006E11B5" w:rsidP="006E11B5">
      <w:pPr>
        <w:ind w:firstLine="0"/>
        <w:rPr>
          <w:color w:val="auto"/>
          <w:rtl/>
        </w:rPr>
      </w:pPr>
      <w:r w:rsidRPr="00C85F0F">
        <w:rPr>
          <w:rFonts w:ascii="Traditional Arabic" w:hAnsi="Traditional Arabic" w:hint="cs"/>
          <w:noProof w:val="0"/>
          <w:color w:val="auto"/>
          <w:rtl/>
          <w:lang w:eastAsia="en-US"/>
        </w:rPr>
        <w:t>وكلُّ ما يحصُل مما قد أُذِن</w:t>
      </w:r>
      <w:r>
        <w:rPr>
          <w:rFonts w:hint="cs"/>
          <w:color w:val="auto"/>
          <w:rtl/>
        </w:rPr>
        <w:t xml:space="preserve">      </w:t>
      </w:r>
      <w:r w:rsidRPr="00C85F0F">
        <w:rPr>
          <w:rFonts w:hint="cs"/>
          <w:color w:val="auto"/>
          <w:rtl/>
        </w:rPr>
        <w:t>فليس مضموناً وعكسُه ضُمِنْ</w:t>
      </w:r>
      <w:r>
        <w:rPr>
          <w:rFonts w:hint="cs"/>
          <w:color w:val="auto"/>
          <w:rtl/>
        </w:rPr>
        <w:t>...........................</w:t>
      </w:r>
      <w:r w:rsidRPr="00C85F0F">
        <w:rPr>
          <w:rFonts w:hint="cs"/>
          <w:color w:val="auto"/>
          <w:rtl/>
        </w:rPr>
        <w:t>.</w:t>
      </w:r>
      <w:r>
        <w:rPr>
          <w:rFonts w:hint="cs"/>
          <w:color w:val="auto"/>
          <w:rtl/>
        </w:rPr>
        <w:t>362</w:t>
      </w:r>
    </w:p>
    <w:p w:rsidR="006E11B5" w:rsidRDefault="006E11B5" w:rsidP="006E11B5">
      <w:pPr>
        <w:ind w:firstLine="0"/>
        <w:rPr>
          <w:rFonts w:ascii="Traditional Arabic" w:hAnsi="Traditional Arabic"/>
          <w:noProof w:val="0"/>
          <w:rtl/>
          <w:lang w:eastAsia="en-US"/>
        </w:rPr>
      </w:pPr>
      <w:r>
        <w:rPr>
          <w:rFonts w:hint="cs"/>
          <w:color w:val="auto"/>
          <w:rtl/>
        </w:rPr>
        <w:t>وكلُّ متلَف فمضمون إذا       لم يكن الإتلافُ مِن دَفْعِ الأذى..........................</w:t>
      </w:r>
      <w:r>
        <w:rPr>
          <w:rFonts w:ascii="Traditional Arabic" w:hAnsi="Traditional Arabic" w:hint="cs"/>
          <w:noProof w:val="0"/>
          <w:rtl/>
          <w:lang w:eastAsia="en-US"/>
        </w:rPr>
        <w:t>356</w:t>
      </w:r>
    </w:p>
    <w:p w:rsidR="006E11B5" w:rsidRPr="00C85F0F" w:rsidRDefault="006E11B5" w:rsidP="006E11B5">
      <w:pPr>
        <w:ind w:firstLine="0"/>
        <w:rPr>
          <w:rFonts w:ascii="Traditional Arabic" w:hAnsi="Traditional Arabic"/>
          <w:noProof w:val="0"/>
          <w:color w:val="auto"/>
          <w:lang w:eastAsia="en-US"/>
        </w:rPr>
      </w:pPr>
      <w:r w:rsidRPr="00C85F0F">
        <w:rPr>
          <w:rFonts w:ascii="Traditional Arabic" w:hAnsi="Traditional Arabic" w:hint="cs"/>
          <w:noProof w:val="0"/>
          <w:color w:val="auto"/>
          <w:rtl/>
          <w:lang w:eastAsia="en-US"/>
        </w:rPr>
        <w:t>و</w:t>
      </w:r>
      <w:r>
        <w:rPr>
          <w:rFonts w:ascii="Traditional Arabic" w:hAnsi="Traditional Arabic" w:hint="cs"/>
          <w:noProof w:val="0"/>
          <w:color w:val="auto"/>
          <w:rtl/>
          <w:lang w:eastAsia="en-US"/>
        </w:rPr>
        <w:t>كل مُتْلَ</w:t>
      </w:r>
      <w:r w:rsidRPr="00C85F0F">
        <w:rPr>
          <w:rFonts w:ascii="Traditional Arabic" w:hAnsi="Traditional Arabic" w:hint="cs"/>
          <w:noProof w:val="0"/>
          <w:color w:val="auto"/>
          <w:rtl/>
          <w:lang w:eastAsia="en-US"/>
        </w:rPr>
        <w:t>فٍ فمضمونٌ إذا</w:t>
      </w:r>
      <w:r>
        <w:rPr>
          <w:rFonts w:ascii="Traditional Arabic" w:hAnsi="Traditional Arabic" w:hint="cs"/>
          <w:noProof w:val="0"/>
          <w:color w:val="auto"/>
          <w:rtl/>
          <w:lang w:eastAsia="en-US"/>
        </w:rPr>
        <w:t xml:space="preserve">      </w:t>
      </w:r>
      <w:r w:rsidRPr="00C85F0F">
        <w:rPr>
          <w:rFonts w:ascii="Traditional Arabic" w:hAnsi="Traditional Arabic" w:hint="cs"/>
          <w:noProof w:val="0"/>
          <w:color w:val="auto"/>
          <w:rtl/>
          <w:lang w:eastAsia="en-US"/>
        </w:rPr>
        <w:t>لم يكن الإتلافُ من دَفْعِ الأذى</w:t>
      </w:r>
      <w:r>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257</w:t>
      </w:r>
    </w:p>
    <w:p w:rsidR="006E11B5" w:rsidRDefault="006E11B5" w:rsidP="006E11B5">
      <w:pPr>
        <w:ind w:firstLine="0"/>
        <w:rPr>
          <w:rtl/>
        </w:rPr>
      </w:pPr>
      <w:r w:rsidRPr="00C85F0F">
        <w:rPr>
          <w:rFonts w:hint="cs"/>
          <w:rtl/>
        </w:rPr>
        <w:t>وكل مشغول فلا يشغَّل</w:t>
      </w:r>
      <w:r>
        <w:rPr>
          <w:rFonts w:hint="cs"/>
          <w:rtl/>
        </w:rPr>
        <w:t xml:space="preserve">      </w:t>
      </w:r>
      <w:r w:rsidRPr="00C85F0F">
        <w:rPr>
          <w:rFonts w:hint="cs"/>
          <w:rtl/>
        </w:rPr>
        <w:t>مثالُه</w:t>
      </w:r>
      <w:r>
        <w:rPr>
          <w:rFonts w:hint="cs"/>
          <w:rtl/>
        </w:rPr>
        <w:t xml:space="preserve"> </w:t>
      </w:r>
      <w:r w:rsidRPr="00C85F0F">
        <w:rPr>
          <w:rFonts w:hint="cs"/>
          <w:rtl/>
        </w:rPr>
        <w:t xml:space="preserve"> المرهون </w:t>
      </w:r>
      <w:r>
        <w:rPr>
          <w:rFonts w:hint="cs"/>
          <w:rtl/>
        </w:rPr>
        <w:t xml:space="preserve"> </w:t>
      </w:r>
      <w:r w:rsidRPr="00C85F0F">
        <w:rPr>
          <w:rFonts w:hint="cs"/>
          <w:rtl/>
        </w:rPr>
        <w:t>والمسبَّل</w:t>
      </w:r>
      <w:r>
        <w:rPr>
          <w:rFonts w:hint="cs"/>
          <w:rtl/>
        </w:rPr>
        <w:t>...................................</w:t>
      </w:r>
      <w:r w:rsidRPr="00C85F0F">
        <w:rPr>
          <w:rFonts w:hint="cs"/>
          <w:rtl/>
        </w:rPr>
        <w:t>.</w:t>
      </w:r>
      <w:r>
        <w:rPr>
          <w:rFonts w:hint="cs"/>
          <w:rtl/>
        </w:rPr>
        <w:t>485</w:t>
      </w:r>
    </w:p>
    <w:p w:rsidR="006E11B5" w:rsidRDefault="006E11B5" w:rsidP="006E11B5">
      <w:pPr>
        <w:ind w:firstLine="0"/>
        <w:rPr>
          <w:rtl/>
        </w:rPr>
      </w:pPr>
      <w:r w:rsidRPr="00C85F0F">
        <w:rPr>
          <w:rFonts w:hint="cs"/>
          <w:rtl/>
        </w:rPr>
        <w:t>وكل مشغول فليس يُشْغَلُ</w:t>
      </w:r>
      <w:r>
        <w:rPr>
          <w:rFonts w:hint="cs"/>
          <w:rtl/>
        </w:rPr>
        <w:t xml:space="preserve">        </w:t>
      </w:r>
      <w:r w:rsidRPr="00C85F0F">
        <w:rPr>
          <w:rFonts w:hint="cs"/>
          <w:rtl/>
        </w:rPr>
        <w:t xml:space="preserve">بُمسقِطٍ </w:t>
      </w:r>
      <w:r>
        <w:rPr>
          <w:rFonts w:hint="cs"/>
          <w:rtl/>
        </w:rPr>
        <w:t xml:space="preserve"> </w:t>
      </w:r>
      <w:r w:rsidRPr="00C85F0F">
        <w:rPr>
          <w:rFonts w:hint="cs"/>
          <w:rtl/>
        </w:rPr>
        <w:t>ل</w:t>
      </w:r>
      <w:r>
        <w:rPr>
          <w:rFonts w:hint="cs"/>
          <w:rtl/>
        </w:rPr>
        <w:t>ِ</w:t>
      </w:r>
      <w:r w:rsidRPr="00C85F0F">
        <w:rPr>
          <w:rFonts w:hint="cs"/>
          <w:rtl/>
        </w:rPr>
        <w:t xml:space="preserve">ما </w:t>
      </w:r>
      <w:r>
        <w:rPr>
          <w:rFonts w:hint="cs"/>
          <w:rtl/>
        </w:rPr>
        <w:t xml:space="preserve"> </w:t>
      </w:r>
      <w:r w:rsidRPr="00C85F0F">
        <w:rPr>
          <w:rFonts w:hint="cs"/>
          <w:rtl/>
        </w:rPr>
        <w:t xml:space="preserve">به </w:t>
      </w:r>
      <w:r>
        <w:rPr>
          <w:rFonts w:hint="cs"/>
          <w:rtl/>
        </w:rPr>
        <w:t xml:space="preserve"> </w:t>
      </w:r>
      <w:r w:rsidRPr="00C85F0F">
        <w:rPr>
          <w:rFonts w:hint="cs"/>
          <w:rtl/>
        </w:rPr>
        <w:t>ينشغِلُ</w:t>
      </w:r>
      <w:r>
        <w:rPr>
          <w:rFonts w:hint="cs"/>
          <w:rtl/>
        </w:rPr>
        <w:t>..............................</w:t>
      </w:r>
      <w:r w:rsidRPr="00C85F0F">
        <w:rPr>
          <w:rFonts w:hint="cs"/>
          <w:rtl/>
        </w:rPr>
        <w:t>.</w:t>
      </w:r>
      <w:r>
        <w:rPr>
          <w:rFonts w:hint="cs"/>
          <w:rtl/>
        </w:rPr>
        <w:t>485</w:t>
      </w:r>
    </w:p>
    <w:p w:rsidR="006E11B5" w:rsidRPr="00C85F0F" w:rsidRDefault="006E11B5" w:rsidP="006E11B5">
      <w:pPr>
        <w:ind w:firstLine="0"/>
        <w:rPr>
          <w:color w:val="auto"/>
          <w:rtl/>
        </w:rPr>
      </w:pPr>
      <w:r w:rsidRPr="00C85F0F">
        <w:rPr>
          <w:rFonts w:hint="cs"/>
          <w:color w:val="auto"/>
          <w:rtl/>
        </w:rPr>
        <w:t xml:space="preserve">وكلُّما نشأ عن المأذون </w:t>
      </w:r>
      <w:r>
        <w:rPr>
          <w:rFonts w:hint="cs"/>
          <w:color w:val="auto"/>
          <w:rtl/>
        </w:rPr>
        <w:t xml:space="preserve">       </w:t>
      </w:r>
      <w:r w:rsidRPr="00C85F0F">
        <w:rPr>
          <w:rFonts w:hint="cs"/>
          <w:color w:val="auto"/>
          <w:rtl/>
        </w:rPr>
        <w:t>فذاك أمرٌ ليس بالمضمون</w:t>
      </w:r>
      <w:r>
        <w:rPr>
          <w:rFonts w:hint="cs"/>
          <w:color w:val="auto"/>
          <w:rtl/>
        </w:rPr>
        <w:t>.................................</w:t>
      </w:r>
      <w:r w:rsidRPr="00C85F0F">
        <w:rPr>
          <w:rFonts w:hint="cs"/>
          <w:color w:val="auto"/>
          <w:rtl/>
        </w:rPr>
        <w:t>.</w:t>
      </w:r>
      <w:r>
        <w:rPr>
          <w:rFonts w:hint="cs"/>
          <w:color w:val="auto"/>
          <w:rtl/>
        </w:rPr>
        <w:t>363</w:t>
      </w:r>
    </w:p>
    <w:p w:rsidR="006E11B5" w:rsidRDefault="006E11B5" w:rsidP="006E11B5">
      <w:pPr>
        <w:ind w:firstLine="0"/>
        <w:rPr>
          <w:rFonts w:ascii="Traditional Arabic" w:hAnsi="Traditional Arabic"/>
          <w:rtl/>
        </w:rPr>
      </w:pPr>
      <w:r w:rsidRPr="00C85F0F">
        <w:rPr>
          <w:rFonts w:hint="cs"/>
          <w:rtl/>
        </w:rPr>
        <w:t>ولا يَتِمُّ الحكمُ حتى تجتمعْ</w:t>
      </w:r>
      <w:r>
        <w:rPr>
          <w:rFonts w:hint="cs"/>
          <w:rtl/>
        </w:rPr>
        <w:t xml:space="preserve">       </w:t>
      </w:r>
      <w:r w:rsidRPr="00C85F0F">
        <w:rPr>
          <w:rFonts w:hint="cs"/>
          <w:rtl/>
        </w:rPr>
        <w:t>كلُّ الشروط والموانعْ ترتفِعْ</w:t>
      </w:r>
      <w:r>
        <w:rPr>
          <w:rFonts w:hint="cs"/>
          <w:rtl/>
        </w:rPr>
        <w:t>.............................</w:t>
      </w:r>
      <w:r w:rsidRPr="00C85F0F">
        <w:rPr>
          <w:rFonts w:hint="cs"/>
          <w:rtl/>
        </w:rPr>
        <w:t>.</w:t>
      </w:r>
      <w:r>
        <w:rPr>
          <w:rFonts w:hint="cs"/>
          <w:rtl/>
        </w:rPr>
        <w:t>490</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hint="cs"/>
          <w:noProof w:val="0"/>
          <w:color w:val="auto"/>
          <w:rtl/>
          <w:lang w:eastAsia="en-US"/>
        </w:rPr>
        <w:t>ومُتْلِفُ مُؤذيهِ ليس يَضمَنُ</w:t>
      </w:r>
      <w:r>
        <w:rPr>
          <w:rFonts w:ascii="Traditional Arabic" w:hAnsi="Traditional Arabic" w:hint="cs"/>
          <w:noProof w:val="0"/>
          <w:color w:val="auto"/>
          <w:rtl/>
          <w:lang w:eastAsia="en-US"/>
        </w:rPr>
        <w:t xml:space="preserve">         </w:t>
      </w:r>
      <w:r w:rsidRPr="00C85F0F">
        <w:rPr>
          <w:rFonts w:ascii="Traditional Arabic" w:hAnsi="Traditional Arabic" w:hint="cs"/>
          <w:noProof w:val="0"/>
          <w:color w:val="auto"/>
          <w:rtl/>
          <w:lang w:eastAsia="en-US"/>
        </w:rPr>
        <w:t>بعد الدفاع بالتي هي أحسنُ</w:t>
      </w:r>
      <w:r>
        <w:rPr>
          <w:rFonts w:ascii="Traditional Arabic" w:hAnsi="Traditional Arabic" w:hint="cs"/>
          <w:noProof w:val="0"/>
          <w:color w:val="auto"/>
          <w:rtl/>
          <w:lang w:eastAsia="en-US"/>
        </w:rPr>
        <w:t>.........................</w:t>
      </w:r>
      <w:r w:rsidRPr="00C85F0F">
        <w:rPr>
          <w:rFonts w:ascii="Traditional Arabic" w:hAnsi="Traditional Arabic" w:hint="cs"/>
          <w:noProof w:val="0"/>
          <w:color w:val="auto"/>
          <w:rtl/>
          <w:lang w:eastAsia="en-US"/>
        </w:rPr>
        <w:t>.</w:t>
      </w:r>
      <w:r>
        <w:rPr>
          <w:rFonts w:ascii="Traditional Arabic" w:hAnsi="Traditional Arabic" w:hint="cs"/>
          <w:noProof w:val="0"/>
          <w:color w:val="auto"/>
          <w:rtl/>
          <w:lang w:eastAsia="en-US"/>
        </w:rPr>
        <w:t>258</w:t>
      </w:r>
    </w:p>
    <w:p w:rsidR="006E11B5" w:rsidRDefault="006E11B5" w:rsidP="006E11B5">
      <w:pPr>
        <w:ind w:firstLine="0"/>
        <w:rPr>
          <w:rFonts w:ascii="Traditional Arabic" w:hAnsi="Traditional Arabic"/>
          <w:rtl/>
        </w:rPr>
      </w:pPr>
      <w:r w:rsidRPr="00C85F0F">
        <w:rPr>
          <w:rFonts w:ascii="Traditional Arabic" w:hAnsi="Traditional Arabic" w:hint="cs"/>
          <w:rtl/>
        </w:rPr>
        <w:t>ومن مسائل الأحكام في التبَعْ</w:t>
      </w:r>
      <w:r>
        <w:rPr>
          <w:rFonts w:ascii="Traditional Arabic" w:hAnsi="Traditional Arabic" w:hint="cs"/>
          <w:rtl/>
        </w:rPr>
        <w:t xml:space="preserve">      </w:t>
      </w:r>
      <w:r w:rsidRPr="00C85F0F">
        <w:rPr>
          <w:rFonts w:ascii="Traditional Arabic" w:hAnsi="Traditional Arabic" w:hint="cs"/>
          <w:rtl/>
        </w:rPr>
        <w:t>يثب</w:t>
      </w:r>
      <w:r>
        <w:rPr>
          <w:rFonts w:ascii="Traditional Arabic" w:hAnsi="Traditional Arabic" w:hint="cs"/>
          <w:rtl/>
        </w:rPr>
        <w:t>ُ</w:t>
      </w:r>
      <w:r w:rsidRPr="00C85F0F">
        <w:rPr>
          <w:rFonts w:ascii="Traditional Arabic" w:hAnsi="Traditional Arabic" w:hint="cs"/>
          <w:rtl/>
        </w:rPr>
        <w:t>ت لا إذا استقلَّ فَوَقَعْ</w:t>
      </w:r>
      <w:r>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268</w:t>
      </w:r>
    </w:p>
    <w:p w:rsidR="006E11B5" w:rsidRDefault="006E11B5" w:rsidP="006E11B5">
      <w:pPr>
        <w:ind w:firstLine="0"/>
        <w:rPr>
          <w:rtl/>
        </w:rPr>
      </w:pPr>
      <w:r w:rsidRPr="00C85F0F">
        <w:rPr>
          <w:rFonts w:hint="cs"/>
          <w:rtl/>
        </w:rPr>
        <w:t>ومَن يُؤَدِّ عن أخيه واجب</w:t>
      </w:r>
      <w:r>
        <w:rPr>
          <w:rFonts w:hint="cs"/>
          <w:rtl/>
        </w:rPr>
        <w:t xml:space="preserve">ا     </w:t>
      </w:r>
      <w:r w:rsidRPr="00C85F0F">
        <w:rPr>
          <w:rFonts w:hint="cs"/>
          <w:rtl/>
        </w:rPr>
        <w:t>له الرجوعُ إن نَوى يُطالبا</w:t>
      </w:r>
      <w:r>
        <w:rPr>
          <w:rFonts w:hint="cs"/>
          <w:rtl/>
        </w:rPr>
        <w:t>.................................</w:t>
      </w:r>
      <w:r w:rsidRPr="00C85F0F">
        <w:rPr>
          <w:rFonts w:hint="cs"/>
          <w:rtl/>
        </w:rPr>
        <w:t>.</w:t>
      </w:r>
      <w:r>
        <w:rPr>
          <w:rFonts w:hint="cs"/>
          <w:rtl/>
        </w:rPr>
        <w:t>217</w:t>
      </w:r>
    </w:p>
    <w:p w:rsidR="006E11B5" w:rsidRPr="00C85F0F" w:rsidRDefault="006E11B5" w:rsidP="006E11B5">
      <w:pPr>
        <w:ind w:firstLine="0"/>
      </w:pPr>
      <w:r w:rsidRPr="00C85F0F">
        <w:rPr>
          <w:rFonts w:hint="cs"/>
          <w:rtl/>
        </w:rPr>
        <w:t>ويحرُم المضيّ فيما فَسَدا</w:t>
      </w:r>
      <w:r>
        <w:rPr>
          <w:rFonts w:hint="cs"/>
          <w:rtl/>
        </w:rPr>
        <w:t xml:space="preserve">     </w:t>
      </w:r>
      <w:r w:rsidRPr="00C85F0F">
        <w:rPr>
          <w:rFonts w:hint="cs"/>
          <w:rtl/>
        </w:rPr>
        <w:t>إلا بحجٍّ واعتمارٍ أبدا</w:t>
      </w:r>
      <w:r>
        <w:rPr>
          <w:rFonts w:hint="cs"/>
          <w:rtl/>
        </w:rPr>
        <w:t>......................................</w:t>
      </w:r>
      <w:r w:rsidRPr="00C85F0F">
        <w:rPr>
          <w:rFonts w:hint="cs"/>
          <w:rtl/>
        </w:rPr>
        <w:t>.</w:t>
      </w:r>
      <w:r>
        <w:rPr>
          <w:rFonts w:hint="cs"/>
          <w:rtl/>
        </w:rPr>
        <w:t>369</w:t>
      </w:r>
    </w:p>
    <w:p w:rsidR="006E11B5" w:rsidRPr="00C85F0F" w:rsidRDefault="006E11B5" w:rsidP="006E11B5">
      <w:pPr>
        <w:ind w:firstLine="0"/>
      </w:pPr>
      <w:r w:rsidRPr="00C85F0F">
        <w:rPr>
          <w:rFonts w:hint="cs"/>
          <w:rtl/>
        </w:rPr>
        <w:t>يثبُت تَبَعاً ما لا يثبت استقلالاً</w:t>
      </w:r>
      <w:r>
        <w:rPr>
          <w:rFonts w:hint="cs"/>
          <w:rtl/>
        </w:rPr>
        <w:t>......................................................</w:t>
      </w:r>
      <w:r w:rsidRPr="00C85F0F">
        <w:rPr>
          <w:rFonts w:hint="cs"/>
          <w:rtl/>
        </w:rPr>
        <w:t>.</w:t>
      </w:r>
      <w:r>
        <w:rPr>
          <w:rFonts w:hint="cs"/>
          <w:rtl/>
        </w:rPr>
        <w:t>267</w:t>
      </w:r>
    </w:p>
    <w:p w:rsidR="006E11B5" w:rsidRPr="00C85F0F" w:rsidRDefault="006E11B5" w:rsidP="006E11B5">
      <w:pPr>
        <w:ind w:firstLine="0"/>
      </w:pPr>
      <w:r w:rsidRPr="00C85F0F">
        <w:rPr>
          <w:rFonts w:hint="cs"/>
          <w:rtl/>
        </w:rPr>
        <w:t>يثبت تبعا ما لا يثبت استقلالا</w:t>
      </w:r>
      <w:r>
        <w:rPr>
          <w:rFonts w:hint="cs"/>
          <w:rtl/>
        </w:rPr>
        <w:t>......................................................</w:t>
      </w:r>
      <w:r w:rsidRPr="00C85F0F">
        <w:rPr>
          <w:rFonts w:hint="cs"/>
          <w:rtl/>
        </w:rPr>
        <w:t>.</w:t>
      </w:r>
      <w:r>
        <w:rPr>
          <w:rFonts w:hint="cs"/>
          <w:rtl/>
        </w:rPr>
        <w:t>268</w:t>
      </w:r>
    </w:p>
    <w:p w:rsidR="006E11B5" w:rsidRPr="00C85F0F" w:rsidRDefault="006E11B5" w:rsidP="006E11B5">
      <w:pPr>
        <w:ind w:firstLine="0"/>
      </w:pPr>
      <w:r w:rsidRPr="00C85F0F">
        <w:rPr>
          <w:rFonts w:hint="cs"/>
          <w:rtl/>
        </w:rPr>
        <w:t>يثبت في التابع ما لا يثبت في المستقِل</w:t>
      </w:r>
      <w:r>
        <w:rPr>
          <w:rFonts w:hint="cs"/>
          <w:rtl/>
        </w:rPr>
        <w:t>................................................</w:t>
      </w:r>
      <w:r w:rsidRPr="00C85F0F">
        <w:rPr>
          <w:rFonts w:hint="cs"/>
          <w:rtl/>
        </w:rPr>
        <w:t>.</w:t>
      </w:r>
      <w:r>
        <w:rPr>
          <w:rFonts w:hint="cs"/>
          <w:rtl/>
        </w:rPr>
        <w:t>267</w:t>
      </w:r>
    </w:p>
    <w:p w:rsidR="006E11B5" w:rsidRDefault="006E11B5" w:rsidP="006E11B5">
      <w:pPr>
        <w:ind w:firstLine="0"/>
        <w:rPr>
          <w:rFonts w:ascii="Traditional Arabic" w:hAnsi="Traditional Arabic"/>
          <w:noProof w:val="0"/>
          <w:color w:val="auto"/>
          <w:rtl/>
          <w:lang w:eastAsia="en-US"/>
        </w:rPr>
      </w:pPr>
      <w:r w:rsidRPr="00C85F0F">
        <w:rPr>
          <w:rFonts w:ascii="Traditional Arabic" w:hAnsi="Traditional Arabic"/>
          <w:noProof w:val="0"/>
          <w:rtl/>
          <w:lang w:eastAsia="en-US"/>
        </w:rPr>
        <w:lastRenderedPageBreak/>
        <w:t>ي</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حتاط الشرع</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في الخروج من 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رمة إلى الإباحة أكثر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 xml:space="preserve"> من الخروج من الإباحة إلى الح</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ر</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م</w:t>
      </w:r>
      <w:r w:rsidRPr="00C85F0F">
        <w:rPr>
          <w:rFonts w:ascii="Traditional Arabic" w:hAnsi="Traditional Arabic" w:hint="cs"/>
          <w:noProof w:val="0"/>
          <w:rtl/>
          <w:lang w:eastAsia="en-US"/>
        </w:rPr>
        <w:t>َ</w:t>
      </w:r>
      <w:r w:rsidRPr="00C85F0F">
        <w:rPr>
          <w:rFonts w:ascii="Traditional Arabic" w:hAnsi="Traditional Arabic"/>
          <w:noProof w:val="0"/>
          <w:rtl/>
          <w:lang w:eastAsia="en-US"/>
        </w:rPr>
        <w:t>ة</w:t>
      </w:r>
      <w:r>
        <w:rPr>
          <w:rFonts w:hint="cs"/>
          <w:rtl/>
        </w:rPr>
        <w:t>......</w:t>
      </w:r>
      <w:r w:rsidRPr="00C85F0F">
        <w:rPr>
          <w:rFonts w:hint="cs"/>
          <w:rtl/>
        </w:rPr>
        <w:t>.</w:t>
      </w:r>
      <w:r>
        <w:rPr>
          <w:rFonts w:hint="cs"/>
          <w:rtl/>
        </w:rPr>
        <w:t>452</w:t>
      </w:r>
    </w:p>
    <w:p w:rsidR="006E11B5" w:rsidRDefault="006E11B5" w:rsidP="006E11B5">
      <w:pPr>
        <w:ind w:firstLine="0"/>
        <w:rPr>
          <w:rFonts w:ascii="Traditional Arabic" w:hAnsi="Traditional Arabic"/>
          <w:color w:val="auto"/>
          <w:rtl/>
        </w:rPr>
      </w:pPr>
      <w:r w:rsidRPr="00C85F0F">
        <w:rPr>
          <w:rFonts w:ascii="Traditional Arabic" w:hAnsi="Traditional Arabic" w:hint="cs"/>
          <w:color w:val="auto"/>
          <w:rtl/>
        </w:rPr>
        <w:t>يُحْمَل كلام الناس على ما جرَتْ به عادَتُهم في خِطابهم</w:t>
      </w:r>
      <w:r>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140</w:t>
      </w:r>
    </w:p>
    <w:p w:rsidR="006E11B5" w:rsidRPr="00C85F0F" w:rsidRDefault="006E11B5" w:rsidP="006E11B5">
      <w:pPr>
        <w:ind w:firstLine="0"/>
        <w:rPr>
          <w:rFonts w:ascii="Traditional Arabic" w:hAnsi="Traditional Arabic"/>
        </w:rPr>
      </w:pPr>
      <w:r w:rsidRPr="00C85F0F">
        <w:rPr>
          <w:rFonts w:ascii="Traditional Arabic" w:hAnsi="Traditional Arabic"/>
          <w:rtl/>
        </w:rPr>
        <w:t>ي</w:t>
      </w:r>
      <w:r w:rsidRPr="00C85F0F">
        <w:rPr>
          <w:rFonts w:ascii="Traditional Arabic" w:hAnsi="Traditional Arabic" w:hint="cs"/>
          <w:rtl/>
        </w:rPr>
        <w:t>َ</w:t>
      </w:r>
      <w:r w:rsidRPr="00C85F0F">
        <w:rPr>
          <w:rFonts w:ascii="Traditional Arabic" w:hAnsi="Traditional Arabic"/>
          <w:rtl/>
        </w:rPr>
        <w:t xml:space="preserve">دخل </w:t>
      </w:r>
      <w:r w:rsidRPr="00C85F0F">
        <w:rPr>
          <w:rFonts w:ascii="Traditional Arabic" w:hAnsi="Traditional Arabic" w:hint="cs"/>
          <w:rtl/>
        </w:rPr>
        <w:t xml:space="preserve">في الفَرْد والعقود </w:t>
      </w:r>
      <w:r w:rsidRPr="00C85F0F">
        <w:rPr>
          <w:rFonts w:ascii="Traditional Arabic" w:hAnsi="Traditional Arabic"/>
          <w:rtl/>
        </w:rPr>
        <w:t>تبعاً ما لا يدخل استقلالاً</w:t>
      </w:r>
      <w:r>
        <w:rPr>
          <w:rFonts w:ascii="Traditional Arabic" w:hAnsi="Traditional Arabic" w:hint="cs"/>
          <w:rtl/>
        </w:rPr>
        <w:t>.....................................</w:t>
      </w:r>
      <w:r w:rsidRPr="00C85F0F">
        <w:rPr>
          <w:rFonts w:ascii="Traditional Arabic" w:hAnsi="Traditional Arabic" w:hint="cs"/>
          <w:rtl/>
        </w:rPr>
        <w:t>.</w:t>
      </w:r>
      <w:r>
        <w:rPr>
          <w:rFonts w:ascii="Traditional Arabic" w:hAnsi="Traditional Arabic" w:hint="cs"/>
          <w:rtl/>
        </w:rPr>
        <w:t>267</w:t>
      </w:r>
    </w:p>
    <w:p w:rsidR="006E11B5" w:rsidRPr="00C85F0F" w:rsidRDefault="006E11B5" w:rsidP="006E11B5">
      <w:pPr>
        <w:ind w:firstLine="0"/>
        <w:rPr>
          <w:color w:val="auto"/>
        </w:rPr>
      </w:pPr>
      <w:r w:rsidRPr="00C85F0F">
        <w:rPr>
          <w:rFonts w:hint="cs"/>
          <w:color w:val="auto"/>
          <w:rtl/>
        </w:rPr>
        <w:t>يُقبل قول الأمناء في الذي تحت أيديهم من التصرُّفات والإتلاف وغيرها</w:t>
      </w:r>
      <w:r>
        <w:rPr>
          <w:rFonts w:hint="cs"/>
          <w:color w:val="auto"/>
          <w:rtl/>
        </w:rPr>
        <w:t>.................</w:t>
      </w:r>
      <w:r w:rsidRPr="00C85F0F">
        <w:rPr>
          <w:rFonts w:hint="cs"/>
          <w:color w:val="auto"/>
          <w:rtl/>
        </w:rPr>
        <w:t>.</w:t>
      </w:r>
      <w:r>
        <w:rPr>
          <w:rFonts w:hint="cs"/>
          <w:color w:val="auto"/>
          <w:rtl/>
        </w:rPr>
        <w:t>416</w:t>
      </w:r>
    </w:p>
    <w:p w:rsidR="006E11B5" w:rsidRPr="006E11B5" w:rsidRDefault="006E11B5" w:rsidP="006E11B5">
      <w:pPr>
        <w:spacing w:line="640" w:lineRule="exact"/>
        <w:ind w:firstLine="0"/>
        <w:jc w:val="left"/>
        <w:rPr>
          <w:rFonts w:ascii="Traditional Arabic" w:hAnsi="Traditional Arabic"/>
          <w:color w:val="auto"/>
        </w:rPr>
      </w:pPr>
      <w:r w:rsidRPr="00C85F0F">
        <w:rPr>
          <w:rFonts w:ascii="Traditional Arabic" w:hAnsi="Traditional Arabic" w:hint="cs"/>
          <w:color w:val="auto"/>
          <w:rtl/>
        </w:rPr>
        <w:t>يقوم البدل مَقام المبدل، ولكن لا يصار إليه إلا عند تعذُّر الأصل</w:t>
      </w:r>
      <w:r>
        <w:rPr>
          <w:rFonts w:ascii="Traditional Arabic" w:hAnsi="Traditional Arabic" w:hint="cs"/>
          <w:color w:val="auto"/>
          <w:rtl/>
        </w:rPr>
        <w:t>.......................</w:t>
      </w:r>
      <w:r w:rsidRPr="00C85F0F">
        <w:rPr>
          <w:rFonts w:ascii="Traditional Arabic" w:hAnsi="Traditional Arabic" w:hint="cs"/>
          <w:color w:val="auto"/>
          <w:rtl/>
        </w:rPr>
        <w:t>.</w:t>
      </w:r>
      <w:r>
        <w:rPr>
          <w:rFonts w:ascii="Traditional Arabic" w:hAnsi="Traditional Arabic" w:hint="cs"/>
          <w:color w:val="auto"/>
          <w:rtl/>
        </w:rPr>
        <w:t>480</w:t>
      </w:r>
    </w:p>
    <w:p w:rsidR="006E11B5" w:rsidRDefault="006E11B5" w:rsidP="006E11B5">
      <w:pPr>
        <w:ind w:firstLine="0"/>
        <w:rPr>
          <w:rFonts w:ascii="Traditional Arabic" w:hAnsi="Traditional Arabic"/>
        </w:rPr>
      </w:pPr>
    </w:p>
    <w:p w:rsidR="006E11B5" w:rsidRPr="00C85F0F" w:rsidRDefault="006E11B5" w:rsidP="006E11B5">
      <w:pPr>
        <w:ind w:firstLine="0"/>
      </w:pPr>
    </w:p>
    <w:p w:rsidR="006E11B5" w:rsidRPr="00C85F0F" w:rsidRDefault="006E11B5" w:rsidP="006E11B5">
      <w:pPr>
        <w:ind w:firstLine="0"/>
        <w:rPr>
          <w:rtl/>
        </w:rPr>
      </w:pPr>
    </w:p>
    <w:p w:rsidR="006E11B5" w:rsidRPr="00C85F0F" w:rsidRDefault="006E11B5" w:rsidP="006E11B5">
      <w:pPr>
        <w:spacing w:line="640" w:lineRule="exact"/>
        <w:ind w:firstLine="0"/>
        <w:jc w:val="left"/>
        <w:rPr>
          <w:rFonts w:ascii="Traditional Arabic" w:hAnsi="Traditional Arabic"/>
          <w:color w:val="auto"/>
        </w:rPr>
      </w:pPr>
    </w:p>
    <w:p w:rsidR="006E11B5" w:rsidRPr="00C85F0F" w:rsidRDefault="006E11B5" w:rsidP="006E11B5">
      <w:pPr>
        <w:spacing w:line="640" w:lineRule="exact"/>
        <w:ind w:firstLine="0"/>
        <w:jc w:val="left"/>
        <w:rPr>
          <w:rFonts w:ascii="Traditional Arabic" w:hAnsi="Traditional Arabic"/>
          <w:rtl/>
        </w:rPr>
      </w:pPr>
    </w:p>
    <w:p w:rsidR="006E11B5" w:rsidRPr="00C85F0F" w:rsidRDefault="006E11B5" w:rsidP="006E11B5">
      <w:pPr>
        <w:ind w:firstLine="0"/>
      </w:pPr>
    </w:p>
    <w:p w:rsidR="006E11B5" w:rsidRPr="00C85F0F" w:rsidRDefault="006E11B5" w:rsidP="006E11B5">
      <w:pPr>
        <w:ind w:firstLine="0"/>
        <w:rPr>
          <w:rFonts w:ascii="Traditional Arabic" w:hAnsi="Traditional Arabic"/>
          <w:noProof w:val="0"/>
          <w:lang w:eastAsia="en-US"/>
        </w:rPr>
      </w:pPr>
    </w:p>
    <w:p w:rsidR="006E11B5" w:rsidRPr="00C85F0F" w:rsidRDefault="006E11B5" w:rsidP="006E11B5">
      <w:pPr>
        <w:ind w:firstLine="0"/>
        <w:rPr>
          <w:rFonts w:ascii="Traditional Arabic" w:hAnsi="Traditional Arabic"/>
          <w:noProof w:val="0"/>
          <w:rtl/>
          <w:lang w:eastAsia="en-US"/>
        </w:rPr>
      </w:pPr>
    </w:p>
    <w:p w:rsidR="006E11B5" w:rsidRPr="00C85F0F" w:rsidRDefault="006E11B5" w:rsidP="006E11B5">
      <w:pPr>
        <w:ind w:firstLine="0"/>
      </w:pPr>
    </w:p>
    <w:p w:rsidR="006E11B5" w:rsidRPr="00C85F0F" w:rsidRDefault="006E11B5" w:rsidP="006E11B5">
      <w:pPr>
        <w:ind w:firstLine="0"/>
        <w:rPr>
          <w:color w:val="auto"/>
        </w:rPr>
      </w:pPr>
    </w:p>
    <w:p w:rsidR="006E11B5" w:rsidRDefault="006E11B5" w:rsidP="006E11B5">
      <w:pPr>
        <w:ind w:firstLine="0"/>
        <w:rPr>
          <w:color w:val="auto"/>
          <w:rtl/>
        </w:rPr>
      </w:pPr>
    </w:p>
    <w:p w:rsidR="006E11B5" w:rsidRPr="00C85F0F" w:rsidRDefault="006E11B5" w:rsidP="006E11B5">
      <w:pPr>
        <w:pStyle w:val="afc"/>
        <w:rPr>
          <w:color w:val="auto"/>
        </w:rPr>
      </w:pPr>
    </w:p>
    <w:p w:rsidR="006E11B5" w:rsidRPr="00C85F0F" w:rsidRDefault="006E11B5" w:rsidP="006E11B5">
      <w:pPr>
        <w:ind w:firstLine="0"/>
        <w:rPr>
          <w:rFonts w:ascii="Traditional Arabic" w:hAnsi="Traditional Arabic"/>
          <w:color w:val="auto"/>
        </w:rPr>
      </w:pPr>
    </w:p>
    <w:p w:rsidR="006E11B5" w:rsidRPr="00C85F0F" w:rsidRDefault="006E11B5" w:rsidP="006E11B5">
      <w:pPr>
        <w:ind w:firstLine="0"/>
        <w:rPr>
          <w:color w:val="auto"/>
        </w:rPr>
      </w:pPr>
    </w:p>
    <w:p w:rsidR="006E11B5" w:rsidRPr="00C85F0F" w:rsidRDefault="006E11B5" w:rsidP="006E11B5">
      <w:pPr>
        <w:ind w:firstLine="0"/>
      </w:pPr>
    </w:p>
    <w:p w:rsidR="006E11B5" w:rsidRPr="00C85F0F" w:rsidRDefault="006E11B5" w:rsidP="006E11B5">
      <w:pPr>
        <w:widowControl/>
        <w:autoSpaceDE w:val="0"/>
        <w:autoSpaceDN w:val="0"/>
        <w:adjustRightInd w:val="0"/>
        <w:ind w:firstLine="0"/>
        <w:jc w:val="left"/>
        <w:rPr>
          <w:rFonts w:ascii="Traditional Arabic" w:hAnsi="Traditional Arabic"/>
          <w:noProof w:val="0"/>
          <w:color w:val="auto"/>
          <w:lang w:eastAsia="en-US"/>
        </w:rPr>
      </w:pPr>
    </w:p>
    <w:p w:rsidR="006E11B5" w:rsidRPr="00C85F0F" w:rsidRDefault="006E11B5" w:rsidP="006E11B5">
      <w:pPr>
        <w:widowControl/>
        <w:autoSpaceDE w:val="0"/>
        <w:autoSpaceDN w:val="0"/>
        <w:adjustRightInd w:val="0"/>
        <w:ind w:firstLine="0"/>
        <w:jc w:val="left"/>
        <w:rPr>
          <w:rFonts w:ascii="Traditional Arabic" w:hAnsi="Traditional Arabic"/>
          <w:noProof w:val="0"/>
          <w:color w:val="auto"/>
          <w:lang w:eastAsia="en-US"/>
        </w:rPr>
      </w:pPr>
    </w:p>
    <w:p w:rsidR="006E11B5" w:rsidRPr="00C85F0F" w:rsidRDefault="006E11B5" w:rsidP="006E11B5">
      <w:pPr>
        <w:ind w:firstLine="0"/>
      </w:pPr>
    </w:p>
    <w:p w:rsidR="006E11B5" w:rsidRPr="00C85F0F" w:rsidRDefault="006E11B5" w:rsidP="006E11B5">
      <w:pPr>
        <w:widowControl/>
        <w:autoSpaceDE w:val="0"/>
        <w:autoSpaceDN w:val="0"/>
        <w:adjustRightInd w:val="0"/>
        <w:ind w:firstLine="0"/>
        <w:jc w:val="left"/>
        <w:rPr>
          <w:rFonts w:ascii="Traditional Arabic" w:hAnsi="Traditional Arabic"/>
          <w:noProof w:val="0"/>
          <w:lang w:eastAsia="en-US"/>
        </w:rPr>
      </w:pPr>
    </w:p>
    <w:p w:rsidR="001B2229" w:rsidRDefault="001B2229" w:rsidP="006E11B5">
      <w:pPr>
        <w:ind w:firstLine="0"/>
        <w:sectPr w:rsidR="001B2229" w:rsidSect="001C3F19">
          <w:footnotePr>
            <w:numRestart w:val="eachPage"/>
          </w:footnotePr>
          <w:type w:val="continuous"/>
          <w:pgSz w:w="11906" w:h="16838" w:code="9"/>
          <w:pgMar w:top="1418" w:right="1134" w:bottom="1418" w:left="1418" w:header="567" w:footer="737" w:gutter="567"/>
          <w:cols w:space="708"/>
          <w:titlePg/>
          <w:bidi/>
          <w:rtlGutter/>
          <w:docGrid w:linePitch="490"/>
        </w:sectPr>
      </w:pPr>
    </w:p>
    <w:p w:rsidR="001B2229" w:rsidRDefault="001B2229" w:rsidP="00597C20">
      <w:pPr>
        <w:pStyle w:val="aff0"/>
        <w:rPr>
          <w:rtl/>
        </w:rPr>
      </w:pPr>
      <w:bookmarkStart w:id="554" w:name="_Toc334046728"/>
      <w:r w:rsidRPr="000E23B1">
        <w:rPr>
          <w:rFonts w:hint="cs"/>
          <w:rtl/>
        </w:rPr>
        <w:lastRenderedPageBreak/>
        <w:t>فهرس ال</w:t>
      </w:r>
      <w:r>
        <w:rPr>
          <w:rFonts w:hint="cs"/>
          <w:rtl/>
        </w:rPr>
        <w:t>ضوابط الفقهية</w:t>
      </w:r>
      <w:bookmarkEnd w:id="554"/>
    </w:p>
    <w:p w:rsidR="001C3F19" w:rsidRDefault="00AB0B9E" w:rsidP="00597C20">
      <w:pPr>
        <w:ind w:firstLine="0"/>
        <w:rPr>
          <w:rtl/>
        </w:rPr>
        <w:sectPr w:rsidR="001C3F19" w:rsidSect="001C3F19">
          <w:footnotePr>
            <w:numRestart w:val="eachPage"/>
          </w:footnotePr>
          <w:type w:val="continuous"/>
          <w:pgSz w:w="11906" w:h="16838" w:code="9"/>
          <w:pgMar w:top="1418" w:right="1134" w:bottom="1418" w:left="1418" w:header="567" w:footer="737" w:gutter="567"/>
          <w:cols w:space="708"/>
          <w:titlePg/>
          <w:bidi/>
          <w:rtlGutter/>
          <w:docGrid w:linePitch="490"/>
        </w:sectPr>
      </w:pPr>
      <w:r>
        <w:rPr>
          <w:rtl/>
        </w:rPr>
        <w:fldChar w:fldCharType="begin"/>
      </w:r>
      <w:r w:rsidR="00C821A1">
        <w:instrText>INDEX \fd \e "</w:instrText>
      </w:r>
      <w:r w:rsidR="00C821A1">
        <w:rPr>
          <w:rtl/>
        </w:rPr>
        <w:tab/>
      </w:r>
      <w:r w:rsidR="00C821A1">
        <w:instrText>" \c "</w:instrText>
      </w:r>
      <w:r w:rsidR="00C821A1">
        <w:rPr>
          <w:rtl/>
        </w:rPr>
        <w:instrText>1</w:instrText>
      </w:r>
      <w:r w:rsidR="00C821A1">
        <w:instrText>" \z "</w:instrText>
      </w:r>
      <w:r w:rsidR="00C821A1">
        <w:rPr>
          <w:rtl/>
        </w:rPr>
        <w:instrText>5121</w:instrText>
      </w:r>
      <w:r w:rsidR="00C821A1">
        <w:instrText>"  \l "</w:instrText>
      </w:r>
      <w:r w:rsidR="00C821A1">
        <w:rPr>
          <w:rtl/>
        </w:rPr>
        <w:instrText xml:space="preserve">، </w:instrText>
      </w:r>
      <w:r w:rsidR="00C821A1">
        <w:instrText>" \* Charformat \* MERGEFORMAT</w:instrText>
      </w:r>
      <w:r>
        <w:rPr>
          <w:rtl/>
        </w:rPr>
        <w:fldChar w:fldCharType="separate"/>
      </w:r>
    </w:p>
    <w:p w:rsidR="004B6B30" w:rsidRDefault="001C3F19" w:rsidP="004B6B30">
      <w:pPr>
        <w:pStyle w:val="Index1"/>
        <w:rPr>
          <w:rtl/>
        </w:rPr>
      </w:pPr>
      <w:r w:rsidRPr="001C3F19">
        <w:rPr>
          <w:rFonts w:hint="eastAsia"/>
          <w:rtl/>
        </w:rPr>
        <w:lastRenderedPageBreak/>
        <w:t>إ</w:t>
      </w:r>
      <w:r w:rsidR="004B6B30" w:rsidRPr="004B6B30">
        <w:rPr>
          <w:rFonts w:hint="eastAsia"/>
          <w:rtl/>
        </w:rPr>
        <w:t xml:space="preserve"> </w:t>
      </w:r>
      <w:r w:rsidR="004B6B30" w:rsidRPr="001C3F19">
        <w:rPr>
          <w:rFonts w:hint="eastAsia"/>
          <w:rtl/>
        </w:rPr>
        <w:t>إذا</w:t>
      </w:r>
      <w:r w:rsidR="004B6B30">
        <w:rPr>
          <w:rFonts w:hint="cs"/>
          <w:rtl/>
        </w:rPr>
        <w:t xml:space="preserve"> </w:t>
      </w:r>
      <w:r w:rsidR="004B6B30" w:rsidRPr="001C3F19">
        <w:rPr>
          <w:rFonts w:hint="eastAsia"/>
          <w:rtl/>
        </w:rPr>
        <w:t>تصرف</w:t>
      </w:r>
      <w:r w:rsidR="004B6B30">
        <w:rPr>
          <w:rFonts w:hint="cs"/>
          <w:rtl/>
        </w:rPr>
        <w:t xml:space="preserve"> </w:t>
      </w:r>
      <w:r w:rsidR="004B6B30" w:rsidRPr="001C3F19">
        <w:rPr>
          <w:rFonts w:hint="eastAsia"/>
          <w:rtl/>
        </w:rPr>
        <w:t>المشتري</w:t>
      </w:r>
      <w:r w:rsidR="004B6B30">
        <w:rPr>
          <w:rFonts w:hint="cs"/>
          <w:rtl/>
        </w:rPr>
        <w:t xml:space="preserve"> </w:t>
      </w:r>
      <w:r w:rsidR="004B6B30" w:rsidRPr="001C3F19">
        <w:rPr>
          <w:rFonts w:hint="eastAsia"/>
          <w:rtl/>
        </w:rPr>
        <w:t>فيما</w:t>
      </w:r>
      <w:r w:rsidR="004B6B30">
        <w:rPr>
          <w:rFonts w:hint="cs"/>
          <w:rtl/>
        </w:rPr>
        <w:t xml:space="preserve"> </w:t>
      </w:r>
      <w:r w:rsidR="004B6B30" w:rsidRPr="001C3F19">
        <w:rPr>
          <w:rFonts w:hint="eastAsia"/>
          <w:rtl/>
        </w:rPr>
        <w:t>اشتراه</w:t>
      </w:r>
      <w:r w:rsidR="004B6B30">
        <w:rPr>
          <w:rFonts w:hint="cs"/>
          <w:rtl/>
        </w:rPr>
        <w:t xml:space="preserve"> </w:t>
      </w:r>
      <w:r w:rsidR="004B6B30" w:rsidRPr="001C3F19">
        <w:rPr>
          <w:rFonts w:hint="eastAsia"/>
          <w:rtl/>
        </w:rPr>
        <w:t>تصرفا</w:t>
      </w:r>
      <w:r w:rsidR="004B6B30">
        <w:rPr>
          <w:rFonts w:hint="cs"/>
          <w:rtl/>
        </w:rPr>
        <w:t xml:space="preserve"> </w:t>
      </w:r>
      <w:r w:rsidR="004B6B30" w:rsidRPr="001C3F19">
        <w:rPr>
          <w:rFonts w:hint="eastAsia"/>
          <w:rtl/>
        </w:rPr>
        <w:t>ينقل</w:t>
      </w:r>
      <w:r w:rsidR="004B6B30">
        <w:rPr>
          <w:rFonts w:hint="cs"/>
          <w:rtl/>
        </w:rPr>
        <w:t xml:space="preserve"> </w:t>
      </w:r>
      <w:r w:rsidR="004B6B30" w:rsidRPr="001C3F19">
        <w:rPr>
          <w:rFonts w:hint="eastAsia"/>
          <w:rtl/>
        </w:rPr>
        <w:t>الملك</w:t>
      </w:r>
      <w:r w:rsidR="004B6B30">
        <w:rPr>
          <w:rFonts w:hint="cs"/>
          <w:rtl/>
        </w:rPr>
        <w:t xml:space="preserve"> </w:t>
      </w:r>
      <w:r w:rsidR="004B6B30" w:rsidRPr="001C3F19">
        <w:rPr>
          <w:rFonts w:hint="eastAsia"/>
          <w:rtl/>
        </w:rPr>
        <w:t>على</w:t>
      </w:r>
      <w:r w:rsidR="004B6B30">
        <w:rPr>
          <w:rFonts w:hint="cs"/>
          <w:rtl/>
        </w:rPr>
        <w:t xml:space="preserve"> </w:t>
      </w:r>
      <w:r w:rsidR="004B6B30" w:rsidRPr="001C3F19">
        <w:rPr>
          <w:rFonts w:hint="eastAsia"/>
          <w:rtl/>
        </w:rPr>
        <w:t>وجه</w:t>
      </w:r>
      <w:r w:rsidR="004B6B30">
        <w:rPr>
          <w:rFonts w:hint="cs"/>
          <w:rtl/>
        </w:rPr>
        <w:t xml:space="preserve"> </w:t>
      </w:r>
      <w:r w:rsidR="004B6B30" w:rsidRPr="001C3F19">
        <w:rPr>
          <w:rFonts w:hint="eastAsia"/>
          <w:rtl/>
        </w:rPr>
        <w:t>لا</w:t>
      </w:r>
      <w:r w:rsidR="004B6B30">
        <w:rPr>
          <w:rFonts w:hint="cs"/>
          <w:rtl/>
        </w:rPr>
        <w:t xml:space="preserve"> </w:t>
      </w:r>
      <w:r w:rsidR="004B6B30" w:rsidRPr="001C3F19">
        <w:rPr>
          <w:rFonts w:hint="eastAsia"/>
          <w:rtl/>
        </w:rPr>
        <w:t>تثبت</w:t>
      </w:r>
      <w:r w:rsidR="004B6B30">
        <w:rPr>
          <w:rFonts w:hint="cs"/>
          <w:rtl/>
        </w:rPr>
        <w:t xml:space="preserve"> </w:t>
      </w:r>
      <w:r w:rsidR="004B6B30" w:rsidRPr="001C3F19">
        <w:rPr>
          <w:rFonts w:hint="eastAsia"/>
          <w:rtl/>
        </w:rPr>
        <w:t>فيه</w:t>
      </w:r>
      <w:r w:rsidR="004B6B30">
        <w:rPr>
          <w:rFonts w:hint="cs"/>
          <w:rtl/>
        </w:rPr>
        <w:t xml:space="preserve"> </w:t>
      </w:r>
      <w:r w:rsidR="004B6B30" w:rsidRPr="001C3F19">
        <w:rPr>
          <w:rFonts w:hint="eastAsia"/>
          <w:rtl/>
        </w:rPr>
        <w:t>الشفعة</w:t>
      </w:r>
      <w:r w:rsidR="004B6B30">
        <w:rPr>
          <w:rFonts w:hint="cs"/>
          <w:rtl/>
        </w:rPr>
        <w:t xml:space="preserve"> </w:t>
      </w:r>
      <w:r w:rsidR="004B6B30" w:rsidRPr="001C3F19">
        <w:rPr>
          <w:rFonts w:hint="eastAsia"/>
          <w:rtl/>
        </w:rPr>
        <w:t>ابتداء</w:t>
      </w:r>
      <w:r w:rsidR="004B6B30">
        <w:rPr>
          <w:rFonts w:hint="cs"/>
          <w:rtl/>
        </w:rPr>
        <w:t>...586</w:t>
      </w:r>
    </w:p>
    <w:p w:rsidR="004B6B30" w:rsidRDefault="004B6B30" w:rsidP="004B6B30">
      <w:pPr>
        <w:pStyle w:val="Index1"/>
        <w:rPr>
          <w:rtl/>
        </w:rPr>
      </w:pPr>
      <w:r w:rsidRPr="001C3F19">
        <w:rPr>
          <w:rFonts w:hint="eastAsia"/>
          <w:rtl/>
        </w:rPr>
        <w:t>إذا</w:t>
      </w:r>
      <w:r>
        <w:rPr>
          <w:rFonts w:hint="cs"/>
          <w:rtl/>
        </w:rPr>
        <w:t xml:space="preserve"> </w:t>
      </w:r>
      <w:r w:rsidRPr="001C3F19">
        <w:rPr>
          <w:rFonts w:hint="eastAsia"/>
          <w:rtl/>
        </w:rPr>
        <w:t>عيَّن</w:t>
      </w:r>
      <w:r>
        <w:rPr>
          <w:rFonts w:hint="cs"/>
          <w:rtl/>
        </w:rPr>
        <w:t xml:space="preserve"> </w:t>
      </w:r>
      <w:r w:rsidRPr="001C3F19">
        <w:rPr>
          <w:rFonts w:hint="eastAsia"/>
          <w:rtl/>
        </w:rPr>
        <w:t>المودِع</w:t>
      </w:r>
      <w:r>
        <w:rPr>
          <w:rFonts w:hint="cs"/>
          <w:rtl/>
        </w:rPr>
        <w:t xml:space="preserve"> </w:t>
      </w:r>
      <w:r w:rsidRPr="001C3F19">
        <w:rPr>
          <w:rFonts w:hint="eastAsia"/>
          <w:rtl/>
        </w:rPr>
        <w:t>الحرز،</w:t>
      </w:r>
      <w:r>
        <w:rPr>
          <w:rFonts w:hint="cs"/>
          <w:rtl/>
        </w:rPr>
        <w:t xml:space="preserve"> </w:t>
      </w:r>
      <w:r w:rsidRPr="001C3F19">
        <w:rPr>
          <w:rFonts w:hint="eastAsia"/>
          <w:rtl/>
        </w:rPr>
        <w:t>فأحرز</w:t>
      </w:r>
      <w:r>
        <w:rPr>
          <w:rFonts w:hint="cs"/>
          <w:rtl/>
        </w:rPr>
        <w:t xml:space="preserve"> </w:t>
      </w:r>
      <w:r w:rsidRPr="001C3F19">
        <w:rPr>
          <w:rFonts w:hint="eastAsia"/>
          <w:rtl/>
        </w:rPr>
        <w:t>المودَع</w:t>
      </w:r>
      <w:r>
        <w:rPr>
          <w:rFonts w:hint="cs"/>
          <w:rtl/>
        </w:rPr>
        <w:t xml:space="preserve"> </w:t>
      </w:r>
      <w:r w:rsidRPr="001C3F19">
        <w:rPr>
          <w:rFonts w:hint="eastAsia"/>
          <w:rtl/>
        </w:rPr>
        <w:t>الوديعة</w:t>
      </w:r>
      <w:r>
        <w:rPr>
          <w:rFonts w:hint="cs"/>
          <w:rtl/>
        </w:rPr>
        <w:t xml:space="preserve"> </w:t>
      </w:r>
      <w:r w:rsidRPr="001C3F19">
        <w:rPr>
          <w:rFonts w:hint="eastAsia"/>
          <w:rtl/>
        </w:rPr>
        <w:t>فيما</w:t>
      </w:r>
      <w:r>
        <w:rPr>
          <w:rFonts w:hint="cs"/>
          <w:rtl/>
        </w:rPr>
        <w:t xml:space="preserve"> </w:t>
      </w:r>
      <w:r w:rsidRPr="001C3F19">
        <w:rPr>
          <w:rFonts w:hint="eastAsia"/>
          <w:rtl/>
        </w:rPr>
        <w:t>هو</w:t>
      </w:r>
      <w:r>
        <w:rPr>
          <w:rFonts w:hint="cs"/>
          <w:rtl/>
        </w:rPr>
        <w:t xml:space="preserve"> </w:t>
      </w:r>
      <w:r w:rsidRPr="001C3F19">
        <w:rPr>
          <w:rFonts w:hint="eastAsia"/>
          <w:rtl/>
        </w:rPr>
        <w:t>أشد،</w:t>
      </w:r>
      <w:r>
        <w:rPr>
          <w:rFonts w:hint="cs"/>
          <w:rtl/>
        </w:rPr>
        <w:t xml:space="preserve"> </w:t>
      </w:r>
      <w:r w:rsidRPr="001C3F19">
        <w:rPr>
          <w:rFonts w:hint="eastAsia"/>
          <w:rtl/>
        </w:rPr>
        <w:t>فلا</w:t>
      </w:r>
      <w:r>
        <w:rPr>
          <w:rFonts w:hint="cs"/>
          <w:rtl/>
        </w:rPr>
        <w:t xml:space="preserve"> </w:t>
      </w:r>
      <w:r w:rsidRPr="001C3F19">
        <w:rPr>
          <w:rFonts w:hint="eastAsia"/>
          <w:rtl/>
        </w:rPr>
        <w:t>ضمان</w:t>
      </w:r>
      <w:r>
        <w:rPr>
          <w:rFonts w:hint="cs"/>
          <w:rtl/>
        </w:rPr>
        <w:t>..................588</w:t>
      </w:r>
    </w:p>
    <w:p w:rsidR="004B6B30" w:rsidRDefault="004B6B30" w:rsidP="004B6B30">
      <w:pPr>
        <w:pStyle w:val="Index1"/>
        <w:rPr>
          <w:rtl/>
        </w:rPr>
      </w:pPr>
      <w:r>
        <w:rPr>
          <w:rFonts w:hint="eastAsia"/>
          <w:rtl/>
        </w:rPr>
        <w:t>الأصل</w:t>
      </w:r>
      <w:r>
        <w:rPr>
          <w:rFonts w:hint="cs"/>
          <w:rtl/>
        </w:rPr>
        <w:t xml:space="preserve"> </w:t>
      </w:r>
      <w:r>
        <w:rPr>
          <w:rFonts w:hint="eastAsia"/>
          <w:rtl/>
        </w:rPr>
        <w:t>في</w:t>
      </w:r>
      <w:r>
        <w:rPr>
          <w:rFonts w:hint="cs"/>
          <w:rtl/>
        </w:rPr>
        <w:t xml:space="preserve"> </w:t>
      </w:r>
      <w:r>
        <w:rPr>
          <w:rFonts w:hint="eastAsia"/>
          <w:rtl/>
        </w:rPr>
        <w:t>الشركة</w:t>
      </w:r>
      <w:r>
        <w:rPr>
          <w:rFonts w:hint="cs"/>
          <w:rtl/>
        </w:rPr>
        <w:t xml:space="preserve"> </w:t>
      </w:r>
      <w:r>
        <w:rPr>
          <w:rFonts w:hint="eastAsia"/>
          <w:rtl/>
        </w:rPr>
        <w:t>اشتراك</w:t>
      </w:r>
      <w:r>
        <w:rPr>
          <w:rFonts w:hint="cs"/>
          <w:rtl/>
        </w:rPr>
        <w:t xml:space="preserve"> </w:t>
      </w:r>
      <w:r>
        <w:rPr>
          <w:rFonts w:hint="eastAsia"/>
          <w:rtl/>
        </w:rPr>
        <w:t>الشريكين</w:t>
      </w:r>
      <w:r>
        <w:rPr>
          <w:rFonts w:hint="cs"/>
          <w:rtl/>
        </w:rPr>
        <w:t xml:space="preserve"> </w:t>
      </w:r>
      <w:r>
        <w:rPr>
          <w:rFonts w:hint="eastAsia"/>
          <w:rtl/>
        </w:rPr>
        <w:t>في</w:t>
      </w:r>
      <w:r>
        <w:rPr>
          <w:rFonts w:hint="cs"/>
          <w:rtl/>
        </w:rPr>
        <w:t xml:space="preserve"> </w:t>
      </w:r>
      <w:r>
        <w:rPr>
          <w:rFonts w:hint="eastAsia"/>
          <w:rtl/>
        </w:rPr>
        <w:t>المغنم</w:t>
      </w:r>
      <w:r>
        <w:rPr>
          <w:rFonts w:hint="cs"/>
          <w:rtl/>
        </w:rPr>
        <w:t xml:space="preserve"> </w:t>
      </w:r>
      <w:r>
        <w:rPr>
          <w:rFonts w:hint="eastAsia"/>
          <w:rtl/>
        </w:rPr>
        <w:t>والمغرم</w:t>
      </w:r>
      <w:r>
        <w:rPr>
          <w:rFonts w:hint="cs"/>
          <w:rtl/>
        </w:rPr>
        <w:t>..................................563</w:t>
      </w:r>
    </w:p>
    <w:p w:rsidR="004B6B30" w:rsidRPr="0000302E" w:rsidRDefault="004B6B30" w:rsidP="004B6B30">
      <w:pPr>
        <w:ind w:firstLine="0"/>
        <w:rPr>
          <w:rtl/>
        </w:rPr>
      </w:pPr>
      <w:r w:rsidRPr="008803C3">
        <w:rPr>
          <w:rFonts w:ascii="Traditional Arabic" w:hAnsi="Traditional Arabic"/>
          <w:noProof w:val="0"/>
          <w:color w:val="auto"/>
          <w:rtl/>
          <w:lang w:eastAsia="en-US"/>
        </w:rPr>
        <w:t>الأصل فيمن قبض مال غيره الضمان</w:t>
      </w:r>
      <w:r>
        <w:rPr>
          <w:rFonts w:hint="cs"/>
          <w:rtl/>
        </w:rPr>
        <w:t>.............................................</w:t>
      </w:r>
      <w:r w:rsidRPr="008803C3">
        <w:rPr>
          <w:rFonts w:hint="cs"/>
          <w:rtl/>
        </w:rPr>
        <w:t>.</w:t>
      </w:r>
      <w:r>
        <w:rPr>
          <w:rFonts w:hint="cs"/>
          <w:rtl/>
        </w:rPr>
        <w:t>540</w:t>
      </w:r>
    </w:p>
    <w:p w:rsidR="004B6B30" w:rsidRDefault="004B6B30" w:rsidP="004B6B30">
      <w:pPr>
        <w:pStyle w:val="Index1"/>
        <w:rPr>
          <w:rtl/>
        </w:rPr>
      </w:pPr>
      <w:r>
        <w:rPr>
          <w:rFonts w:hint="cs"/>
          <w:rtl/>
        </w:rPr>
        <w:t xml:space="preserve"> </w:t>
      </w:r>
      <w:r>
        <w:rPr>
          <w:rFonts w:hint="eastAsia"/>
          <w:rtl/>
        </w:rPr>
        <w:t>الأصل</w:t>
      </w:r>
      <w:r>
        <w:rPr>
          <w:rFonts w:hint="cs"/>
          <w:rtl/>
        </w:rPr>
        <w:t xml:space="preserve"> </w:t>
      </w:r>
      <w:r>
        <w:rPr>
          <w:rFonts w:hint="eastAsia"/>
          <w:rtl/>
        </w:rPr>
        <w:t>فيمن</w:t>
      </w:r>
      <w:r>
        <w:rPr>
          <w:rFonts w:hint="cs"/>
          <w:rtl/>
        </w:rPr>
        <w:t xml:space="preserve"> </w:t>
      </w:r>
      <w:r>
        <w:rPr>
          <w:rFonts w:hint="eastAsia"/>
          <w:rtl/>
        </w:rPr>
        <w:t>قبض</w:t>
      </w:r>
      <w:r>
        <w:rPr>
          <w:rFonts w:hint="cs"/>
          <w:rtl/>
        </w:rPr>
        <w:t xml:space="preserve"> </w:t>
      </w:r>
      <w:r>
        <w:rPr>
          <w:rFonts w:hint="eastAsia"/>
          <w:rtl/>
        </w:rPr>
        <w:t>ملك</w:t>
      </w:r>
      <w:r>
        <w:rPr>
          <w:rFonts w:hint="cs"/>
          <w:rtl/>
        </w:rPr>
        <w:t xml:space="preserve"> </w:t>
      </w:r>
      <w:r>
        <w:rPr>
          <w:rFonts w:hint="eastAsia"/>
          <w:rtl/>
        </w:rPr>
        <w:t>غيره</w:t>
      </w:r>
      <w:r>
        <w:rPr>
          <w:rFonts w:hint="cs"/>
          <w:rtl/>
        </w:rPr>
        <w:t xml:space="preserve"> </w:t>
      </w:r>
      <w:r>
        <w:rPr>
          <w:rFonts w:hint="eastAsia"/>
          <w:rtl/>
        </w:rPr>
        <w:t>أنه</w:t>
      </w:r>
      <w:r>
        <w:rPr>
          <w:rFonts w:hint="cs"/>
          <w:rtl/>
        </w:rPr>
        <w:t xml:space="preserve"> </w:t>
      </w:r>
      <w:r>
        <w:rPr>
          <w:rFonts w:hint="eastAsia"/>
          <w:rtl/>
        </w:rPr>
        <w:t>مضمون</w:t>
      </w:r>
      <w:r>
        <w:rPr>
          <w:rFonts w:hint="cs"/>
          <w:rtl/>
        </w:rPr>
        <w:t xml:space="preserve"> </w:t>
      </w:r>
      <w:r>
        <w:rPr>
          <w:rFonts w:hint="eastAsia"/>
          <w:rtl/>
        </w:rPr>
        <w:t>عليه</w:t>
      </w:r>
      <w:r>
        <w:rPr>
          <w:rtl/>
        </w:rPr>
        <w:tab/>
      </w:r>
      <w:r>
        <w:rPr>
          <w:rFonts w:hint="cs"/>
          <w:rtl/>
        </w:rPr>
        <w:t>....................................540</w:t>
      </w:r>
    </w:p>
    <w:p w:rsidR="004B6B30" w:rsidRDefault="004B6B30" w:rsidP="004B6B30">
      <w:pPr>
        <w:pStyle w:val="Index1"/>
        <w:rPr>
          <w:rtl/>
        </w:rPr>
      </w:pPr>
      <w:r>
        <w:rPr>
          <w:rFonts w:hint="eastAsia"/>
          <w:rtl/>
        </w:rPr>
        <w:t>الأصل</w:t>
      </w:r>
      <w:r>
        <w:rPr>
          <w:rFonts w:hint="cs"/>
          <w:rtl/>
        </w:rPr>
        <w:t xml:space="preserve"> </w:t>
      </w:r>
      <w:r>
        <w:rPr>
          <w:rFonts w:hint="eastAsia"/>
          <w:rtl/>
        </w:rPr>
        <w:t>منع</w:t>
      </w:r>
      <w:r>
        <w:rPr>
          <w:rFonts w:hint="cs"/>
          <w:rtl/>
        </w:rPr>
        <w:t xml:space="preserve"> </w:t>
      </w:r>
      <w:r>
        <w:rPr>
          <w:rFonts w:hint="eastAsia"/>
          <w:rtl/>
        </w:rPr>
        <w:t>العوض</w:t>
      </w:r>
      <w:r>
        <w:rPr>
          <w:rFonts w:hint="cs"/>
          <w:rtl/>
        </w:rPr>
        <w:t xml:space="preserve"> </w:t>
      </w:r>
      <w:r>
        <w:rPr>
          <w:rFonts w:hint="eastAsia"/>
          <w:rtl/>
        </w:rPr>
        <w:t>في</w:t>
      </w:r>
      <w:r>
        <w:rPr>
          <w:rFonts w:hint="cs"/>
          <w:rtl/>
        </w:rPr>
        <w:t xml:space="preserve"> </w:t>
      </w:r>
      <w:r>
        <w:rPr>
          <w:rFonts w:hint="eastAsia"/>
          <w:rtl/>
        </w:rPr>
        <w:t>المسابقة،</w:t>
      </w:r>
      <w:r>
        <w:rPr>
          <w:rFonts w:hint="cs"/>
          <w:rtl/>
        </w:rPr>
        <w:t xml:space="preserve"> </w:t>
      </w:r>
      <w:r>
        <w:rPr>
          <w:rFonts w:hint="eastAsia"/>
          <w:rtl/>
        </w:rPr>
        <w:t>ولا</w:t>
      </w:r>
      <w:r>
        <w:rPr>
          <w:rFonts w:hint="cs"/>
          <w:rtl/>
        </w:rPr>
        <w:t xml:space="preserve"> </w:t>
      </w:r>
      <w:r>
        <w:rPr>
          <w:rFonts w:hint="eastAsia"/>
          <w:rtl/>
        </w:rPr>
        <w:t>يجوز</w:t>
      </w:r>
      <w:r>
        <w:rPr>
          <w:rFonts w:hint="cs"/>
          <w:rtl/>
        </w:rPr>
        <w:t xml:space="preserve"> </w:t>
      </w:r>
      <w:r>
        <w:rPr>
          <w:rFonts w:hint="eastAsia"/>
          <w:rtl/>
        </w:rPr>
        <w:t>إلا</w:t>
      </w:r>
      <w:r>
        <w:rPr>
          <w:rFonts w:hint="cs"/>
          <w:rtl/>
        </w:rPr>
        <w:t xml:space="preserve"> </w:t>
      </w:r>
      <w:r>
        <w:rPr>
          <w:rFonts w:hint="eastAsia"/>
          <w:rtl/>
        </w:rPr>
        <w:t>لسبب</w:t>
      </w:r>
      <w:r>
        <w:rPr>
          <w:rFonts w:hint="cs"/>
          <w:rtl/>
        </w:rPr>
        <w:t>.................................573</w:t>
      </w:r>
    </w:p>
    <w:p w:rsidR="004B6B30" w:rsidRPr="008803C3" w:rsidRDefault="004B6B30" w:rsidP="004B6B30">
      <w:pPr>
        <w:ind w:firstLine="0"/>
        <w:rPr>
          <w:rtl/>
        </w:rPr>
      </w:pPr>
      <w:r w:rsidRPr="008803C3">
        <w:rPr>
          <w:rFonts w:ascii="Traditional Arabic" w:hAnsi="Traditional Arabic"/>
          <w:noProof w:val="0"/>
          <w:color w:val="auto"/>
          <w:rtl/>
          <w:lang w:eastAsia="en-US"/>
        </w:rPr>
        <w:t>الأعمال الصالحة لا يمكن أن يأخذ الإنسان عليها أجرا من الدنيا</w:t>
      </w:r>
      <w:r>
        <w:rPr>
          <w:rFonts w:ascii="Traditional Arabic" w:hAnsi="Traditional Arabic" w:hint="cs"/>
          <w:noProof w:val="0"/>
          <w:color w:val="auto"/>
          <w:rtl/>
          <w:lang w:eastAsia="en-US"/>
        </w:rPr>
        <w:t>....................</w:t>
      </w:r>
      <w:r w:rsidRPr="008803C3">
        <w:rPr>
          <w:rFonts w:ascii="Traditional Arabic" w:hAnsi="Traditional Arabic"/>
          <w:noProof w:val="0"/>
          <w:color w:val="auto"/>
          <w:rtl/>
          <w:lang w:eastAsia="en-US"/>
        </w:rPr>
        <w:t>.</w:t>
      </w:r>
      <w:r>
        <w:rPr>
          <w:rFonts w:hint="cs"/>
          <w:rtl/>
        </w:rPr>
        <w:t>567</w:t>
      </w:r>
    </w:p>
    <w:p w:rsidR="004B6B30" w:rsidRDefault="004B6B30" w:rsidP="004B6B30">
      <w:pPr>
        <w:ind w:firstLine="0"/>
        <w:rPr>
          <w:rtl/>
        </w:rPr>
      </w:pPr>
      <w:r w:rsidRPr="008803C3">
        <w:rPr>
          <w:rFonts w:ascii="Traditional Arabic" w:hAnsi="Traditional Arabic" w:hint="cs"/>
          <w:color w:val="auto"/>
          <w:rtl/>
        </w:rPr>
        <w:t>الأمر الواجب ليس له أجرة</w:t>
      </w:r>
      <w:r>
        <w:rPr>
          <w:rFonts w:ascii="Traditional Arabic" w:hAnsi="Traditional Arabic" w:hint="cs"/>
          <w:color w:val="auto"/>
          <w:rtl/>
        </w:rPr>
        <w:t>......................................................</w:t>
      </w:r>
      <w:r w:rsidRPr="008803C3">
        <w:rPr>
          <w:rFonts w:ascii="Traditional Arabic" w:hAnsi="Traditional Arabic" w:hint="cs"/>
          <w:color w:val="auto"/>
          <w:rtl/>
        </w:rPr>
        <w:t>.</w:t>
      </w:r>
      <w:r>
        <w:rPr>
          <w:rFonts w:hint="cs"/>
          <w:rtl/>
        </w:rPr>
        <w:t>567</w:t>
      </w:r>
    </w:p>
    <w:p w:rsidR="004B6B30" w:rsidRDefault="004B6B30" w:rsidP="004B6B30">
      <w:pPr>
        <w:pStyle w:val="Index1"/>
        <w:rPr>
          <w:rtl/>
        </w:rPr>
      </w:pPr>
      <w:r>
        <w:rPr>
          <w:rFonts w:hint="eastAsia"/>
          <w:rtl/>
        </w:rPr>
        <w:t>الحوالة</w:t>
      </w:r>
      <w:r>
        <w:rPr>
          <w:rFonts w:hint="cs"/>
          <w:rtl/>
        </w:rPr>
        <w:t xml:space="preserve"> </w:t>
      </w:r>
      <w:r>
        <w:rPr>
          <w:rFonts w:hint="eastAsia"/>
          <w:rtl/>
        </w:rPr>
        <w:t>من</w:t>
      </w:r>
      <w:r>
        <w:rPr>
          <w:rFonts w:hint="cs"/>
          <w:rtl/>
        </w:rPr>
        <w:t xml:space="preserve"> </w:t>
      </w:r>
      <w:r>
        <w:rPr>
          <w:rFonts w:hint="eastAsia"/>
          <w:rtl/>
        </w:rPr>
        <w:t>باب</w:t>
      </w:r>
      <w:r>
        <w:rPr>
          <w:rFonts w:hint="cs"/>
          <w:rtl/>
        </w:rPr>
        <w:t xml:space="preserve"> </w:t>
      </w:r>
      <w:r>
        <w:rPr>
          <w:rFonts w:hint="eastAsia"/>
          <w:rtl/>
        </w:rPr>
        <w:t>الاستيفاء،</w:t>
      </w:r>
      <w:r>
        <w:rPr>
          <w:rFonts w:hint="cs"/>
          <w:rtl/>
        </w:rPr>
        <w:t xml:space="preserve"> </w:t>
      </w:r>
      <w:r>
        <w:rPr>
          <w:rFonts w:hint="eastAsia"/>
          <w:rtl/>
        </w:rPr>
        <w:t>فإذا</w:t>
      </w:r>
      <w:r>
        <w:rPr>
          <w:rFonts w:hint="cs"/>
          <w:rtl/>
        </w:rPr>
        <w:t xml:space="preserve"> </w:t>
      </w:r>
      <w:r>
        <w:rPr>
          <w:rFonts w:hint="eastAsia"/>
          <w:rtl/>
        </w:rPr>
        <w:t>انقلبت</w:t>
      </w:r>
      <w:r>
        <w:rPr>
          <w:rFonts w:hint="cs"/>
          <w:rtl/>
        </w:rPr>
        <w:t xml:space="preserve"> </w:t>
      </w:r>
      <w:r>
        <w:rPr>
          <w:rFonts w:hint="eastAsia"/>
          <w:rtl/>
        </w:rPr>
        <w:t>إلى</w:t>
      </w:r>
      <w:r>
        <w:rPr>
          <w:rFonts w:hint="cs"/>
          <w:rtl/>
        </w:rPr>
        <w:t xml:space="preserve"> </w:t>
      </w:r>
      <w:r>
        <w:rPr>
          <w:rFonts w:hint="eastAsia"/>
          <w:rtl/>
        </w:rPr>
        <w:t>معاوضة</w:t>
      </w:r>
      <w:r>
        <w:rPr>
          <w:rFonts w:hint="cs"/>
          <w:rtl/>
        </w:rPr>
        <w:t xml:space="preserve"> </w:t>
      </w:r>
      <w:r>
        <w:rPr>
          <w:rFonts w:hint="eastAsia"/>
          <w:rtl/>
        </w:rPr>
        <w:t>صار</w:t>
      </w:r>
      <w:r>
        <w:rPr>
          <w:rFonts w:hint="cs"/>
          <w:rtl/>
        </w:rPr>
        <w:t xml:space="preserve"> </w:t>
      </w:r>
      <w:r>
        <w:rPr>
          <w:rFonts w:hint="eastAsia"/>
          <w:rtl/>
        </w:rPr>
        <w:t>لابد</w:t>
      </w:r>
      <w:r>
        <w:rPr>
          <w:rFonts w:hint="cs"/>
          <w:rtl/>
        </w:rPr>
        <w:t xml:space="preserve"> </w:t>
      </w:r>
      <w:r>
        <w:rPr>
          <w:rFonts w:hint="eastAsia"/>
          <w:rtl/>
        </w:rPr>
        <w:t>فيها</w:t>
      </w:r>
      <w:r>
        <w:rPr>
          <w:rFonts w:hint="cs"/>
          <w:rtl/>
        </w:rPr>
        <w:t xml:space="preserve"> </w:t>
      </w:r>
      <w:r>
        <w:rPr>
          <w:rFonts w:hint="eastAsia"/>
          <w:rtl/>
        </w:rPr>
        <w:t>من</w:t>
      </w:r>
      <w:r>
        <w:rPr>
          <w:rFonts w:hint="cs"/>
          <w:rtl/>
        </w:rPr>
        <w:t xml:space="preserve"> </w:t>
      </w:r>
      <w:r>
        <w:rPr>
          <w:rFonts w:hint="eastAsia"/>
          <w:rtl/>
        </w:rPr>
        <w:t>مراعاة</w:t>
      </w:r>
      <w:r>
        <w:rPr>
          <w:rFonts w:hint="cs"/>
          <w:rtl/>
        </w:rPr>
        <w:t xml:space="preserve"> </w:t>
      </w:r>
      <w:r>
        <w:rPr>
          <w:rFonts w:hint="eastAsia"/>
          <w:rtl/>
        </w:rPr>
        <w:t>شروط</w:t>
      </w:r>
      <w:r>
        <w:rPr>
          <w:rFonts w:hint="cs"/>
          <w:rtl/>
        </w:rPr>
        <w:t xml:space="preserve"> </w:t>
      </w:r>
      <w:r>
        <w:rPr>
          <w:rFonts w:hint="eastAsia"/>
          <w:rtl/>
        </w:rPr>
        <w:t>البيع</w:t>
      </w:r>
      <w:r>
        <w:rPr>
          <w:rFonts w:hint="cs"/>
          <w:rtl/>
        </w:rPr>
        <w:t>........................................................................551</w:t>
      </w:r>
    </w:p>
    <w:p w:rsidR="004B6B30" w:rsidRDefault="004B6B30" w:rsidP="004B6B30">
      <w:pPr>
        <w:ind w:firstLine="0"/>
        <w:rPr>
          <w:rtl/>
        </w:rPr>
      </w:pPr>
      <w:r w:rsidRPr="0000302E">
        <w:rPr>
          <w:rFonts w:ascii="Traditional Arabic" w:hAnsi="Traditional Arabic"/>
          <w:noProof w:val="0"/>
          <w:color w:val="auto"/>
          <w:rtl/>
          <w:lang w:eastAsia="en-US"/>
        </w:rPr>
        <w:t>الخيار يثب</w:t>
      </w:r>
      <w:r w:rsidRPr="0000302E">
        <w:rPr>
          <w:rFonts w:ascii="Traditional Arabic" w:hAnsi="Traditional Arabic" w:hint="cs"/>
          <w:noProof w:val="0"/>
          <w:color w:val="auto"/>
          <w:rtl/>
          <w:lang w:eastAsia="en-US"/>
        </w:rPr>
        <w:t>ُ</w:t>
      </w:r>
      <w:r w:rsidRPr="0000302E">
        <w:rPr>
          <w:rFonts w:ascii="Traditional Arabic" w:hAnsi="Traditional Arabic"/>
          <w:noProof w:val="0"/>
          <w:color w:val="auto"/>
          <w:rtl/>
          <w:lang w:eastAsia="en-US"/>
        </w:rPr>
        <w:t>ت فيما يف</w:t>
      </w:r>
      <w:r w:rsidRPr="0000302E">
        <w:rPr>
          <w:rFonts w:ascii="Traditional Arabic" w:hAnsi="Traditional Arabic" w:hint="cs"/>
          <w:noProof w:val="0"/>
          <w:color w:val="auto"/>
          <w:rtl/>
          <w:lang w:eastAsia="en-US"/>
        </w:rPr>
        <w:t>ُ</w:t>
      </w:r>
      <w:r w:rsidRPr="0000302E">
        <w:rPr>
          <w:rFonts w:ascii="Traditional Arabic" w:hAnsi="Traditional Arabic"/>
          <w:noProof w:val="0"/>
          <w:color w:val="auto"/>
          <w:rtl/>
          <w:lang w:eastAsia="en-US"/>
        </w:rPr>
        <w:t>وت به مقصود</w:t>
      </w:r>
      <w:r w:rsidRPr="0000302E">
        <w:rPr>
          <w:rFonts w:ascii="Traditional Arabic" w:hAnsi="Traditional Arabic" w:hint="cs"/>
          <w:noProof w:val="0"/>
          <w:color w:val="auto"/>
          <w:rtl/>
          <w:lang w:eastAsia="en-US"/>
        </w:rPr>
        <w:t>ُ</w:t>
      </w:r>
      <w:r w:rsidRPr="0000302E">
        <w:rPr>
          <w:rFonts w:ascii="Traditional Arabic" w:hAnsi="Traditional Arabic"/>
          <w:noProof w:val="0"/>
          <w:color w:val="auto"/>
          <w:rtl/>
          <w:lang w:eastAsia="en-US"/>
        </w:rPr>
        <w:t xml:space="preserve"> أحد المتعاقدين</w:t>
      </w:r>
      <w:r>
        <w:rPr>
          <w:rFonts w:ascii="Traditional Arabic" w:hAnsi="Traditional Arabic" w:hint="cs"/>
          <w:noProof w:val="0"/>
          <w:color w:val="auto"/>
          <w:rtl/>
          <w:lang w:eastAsia="en-US"/>
        </w:rPr>
        <w:t>..................................</w:t>
      </w:r>
      <w:r w:rsidRPr="0000302E">
        <w:rPr>
          <w:rFonts w:ascii="Traditional Arabic" w:hAnsi="Traditional Arabic" w:hint="cs"/>
          <w:noProof w:val="0"/>
          <w:color w:val="auto"/>
          <w:rtl/>
          <w:lang w:eastAsia="en-US"/>
        </w:rPr>
        <w:t>.</w:t>
      </w:r>
      <w:r>
        <w:rPr>
          <w:rFonts w:hint="cs"/>
          <w:rtl/>
        </w:rPr>
        <w:t>516</w:t>
      </w:r>
    </w:p>
    <w:p w:rsidR="004B6B30" w:rsidRDefault="004B6B30" w:rsidP="004B6B30">
      <w:pPr>
        <w:pStyle w:val="Index1"/>
        <w:rPr>
          <w:rtl/>
        </w:rPr>
      </w:pPr>
      <w:r w:rsidRPr="001C3F19">
        <w:rPr>
          <w:rFonts w:hint="eastAsia"/>
          <w:rtl/>
        </w:rPr>
        <w:t>ذا</w:t>
      </w:r>
      <w:r>
        <w:rPr>
          <w:rFonts w:hint="cs"/>
          <w:rtl/>
        </w:rPr>
        <w:t xml:space="preserve"> </w:t>
      </w:r>
      <w:r w:rsidRPr="001C3F19">
        <w:rPr>
          <w:rFonts w:hint="eastAsia"/>
          <w:rtl/>
        </w:rPr>
        <w:t>انتقل</w:t>
      </w:r>
      <w:r>
        <w:rPr>
          <w:rFonts w:hint="cs"/>
          <w:rtl/>
        </w:rPr>
        <w:t xml:space="preserve"> </w:t>
      </w:r>
      <w:r w:rsidRPr="001C3F19">
        <w:rPr>
          <w:rFonts w:hint="eastAsia"/>
          <w:rtl/>
        </w:rPr>
        <w:t>الملك</w:t>
      </w:r>
      <w:r>
        <w:rPr>
          <w:rFonts w:hint="cs"/>
          <w:rtl/>
        </w:rPr>
        <w:t xml:space="preserve"> </w:t>
      </w:r>
      <w:r w:rsidRPr="001C3F19">
        <w:rPr>
          <w:rFonts w:hint="eastAsia"/>
          <w:rtl/>
        </w:rPr>
        <w:t>على</w:t>
      </w:r>
      <w:r>
        <w:rPr>
          <w:rFonts w:hint="cs"/>
          <w:rtl/>
        </w:rPr>
        <w:t xml:space="preserve"> </w:t>
      </w:r>
      <w:r w:rsidRPr="001C3F19">
        <w:rPr>
          <w:rFonts w:hint="eastAsia"/>
          <w:rtl/>
        </w:rPr>
        <w:t>وجه</w:t>
      </w:r>
      <w:r>
        <w:rPr>
          <w:rFonts w:hint="cs"/>
          <w:rtl/>
        </w:rPr>
        <w:t xml:space="preserve"> </w:t>
      </w:r>
      <w:r w:rsidRPr="001C3F19">
        <w:rPr>
          <w:rFonts w:hint="eastAsia"/>
          <w:rtl/>
        </w:rPr>
        <w:t>اختياري</w:t>
      </w:r>
      <w:r>
        <w:rPr>
          <w:rFonts w:hint="cs"/>
          <w:rtl/>
        </w:rPr>
        <w:t xml:space="preserve"> </w:t>
      </w:r>
      <w:r w:rsidRPr="001C3F19">
        <w:rPr>
          <w:rFonts w:hint="eastAsia"/>
          <w:rtl/>
        </w:rPr>
        <w:t>ففيه</w:t>
      </w:r>
      <w:r>
        <w:rPr>
          <w:rFonts w:hint="cs"/>
          <w:rtl/>
        </w:rPr>
        <w:t xml:space="preserve"> </w:t>
      </w:r>
      <w:r w:rsidRPr="001C3F19">
        <w:rPr>
          <w:rFonts w:hint="eastAsia"/>
          <w:rtl/>
        </w:rPr>
        <w:t>الشفعة</w:t>
      </w:r>
      <w:r>
        <w:rPr>
          <w:rFonts w:hint="cs"/>
          <w:rtl/>
        </w:rPr>
        <w:t>.....................................</w:t>
      </w:r>
      <w:r>
        <w:rPr>
          <w:rtl/>
        </w:rPr>
        <w:tab/>
      </w:r>
      <w:r>
        <w:rPr>
          <w:rFonts w:hint="cs"/>
          <w:rtl/>
        </w:rPr>
        <w:t>583</w:t>
      </w:r>
    </w:p>
    <w:p w:rsidR="004B6B30" w:rsidRPr="0000302E" w:rsidRDefault="004B6B30" w:rsidP="004B6B30">
      <w:pPr>
        <w:widowControl/>
        <w:autoSpaceDE w:val="0"/>
        <w:autoSpaceDN w:val="0"/>
        <w:adjustRightInd w:val="0"/>
        <w:ind w:firstLine="0"/>
        <w:jc w:val="left"/>
        <w:rPr>
          <w:rFonts w:ascii="Traditional Arabic" w:hAnsi="Traditional Arabic"/>
          <w:noProof w:val="0"/>
          <w:rtl/>
          <w:lang w:eastAsia="en-US"/>
        </w:rPr>
      </w:pPr>
      <w:r w:rsidRPr="0000302E">
        <w:rPr>
          <w:rFonts w:ascii="Traditional Arabic" w:hAnsi="Traditional Arabic"/>
          <w:noProof w:val="0"/>
          <w:rtl/>
          <w:lang w:eastAsia="en-US"/>
        </w:rPr>
        <w:t>الشركة مبنية على أصل، وهو اشتراك الشريكين في المغنم والمغرم.</w:t>
      </w:r>
      <w:r>
        <w:rPr>
          <w:rFonts w:ascii="Traditional Arabic" w:hAnsi="Traditional Arabic" w:hint="cs"/>
          <w:noProof w:val="0"/>
          <w:rtl/>
          <w:lang w:eastAsia="en-US"/>
        </w:rPr>
        <w:t>......................</w:t>
      </w:r>
      <w:r w:rsidRPr="0000302E">
        <w:rPr>
          <w:rFonts w:ascii="Traditional Arabic" w:hAnsi="Traditional Arabic" w:hint="cs"/>
          <w:noProof w:val="0"/>
          <w:rtl/>
          <w:lang w:eastAsia="en-US"/>
        </w:rPr>
        <w:t xml:space="preserve"> </w:t>
      </w:r>
      <w:r>
        <w:rPr>
          <w:rFonts w:ascii="Traditional Arabic" w:hAnsi="Traditional Arabic" w:hint="cs"/>
          <w:noProof w:val="0"/>
          <w:rtl/>
          <w:lang w:eastAsia="en-US"/>
        </w:rPr>
        <w:t>563</w:t>
      </w:r>
    </w:p>
    <w:p w:rsidR="004B6B30" w:rsidRPr="0000302E" w:rsidRDefault="004B6B30" w:rsidP="004B6B30">
      <w:pPr>
        <w:ind w:firstLine="0"/>
        <w:rPr>
          <w:rtl/>
        </w:rPr>
      </w:pPr>
      <w:r w:rsidRPr="0000302E">
        <w:rPr>
          <w:rFonts w:ascii="Traditional Arabic" w:hAnsi="Traditional Arabic"/>
          <w:rtl/>
        </w:rPr>
        <w:t>الشفعة تثبت في كل انتقال اختياري</w:t>
      </w:r>
      <w:r>
        <w:rPr>
          <w:rFonts w:ascii="Traditional Arabic" w:hAnsi="Traditional Arabic" w:hint="cs"/>
          <w:rtl/>
        </w:rPr>
        <w:t>..............................................</w:t>
      </w:r>
      <w:r w:rsidRPr="0000302E">
        <w:rPr>
          <w:rFonts w:ascii="Traditional Arabic" w:hAnsi="Traditional Arabic"/>
          <w:rtl/>
        </w:rPr>
        <w:t>.</w:t>
      </w:r>
      <w:r>
        <w:rPr>
          <w:rFonts w:hint="cs"/>
          <w:rtl/>
        </w:rPr>
        <w:t>583</w:t>
      </w:r>
    </w:p>
    <w:p w:rsidR="004B6B30" w:rsidRDefault="004B6B30" w:rsidP="004B6B30">
      <w:pPr>
        <w:ind w:firstLine="0"/>
        <w:rPr>
          <w:rtl/>
        </w:rPr>
      </w:pPr>
      <w:r w:rsidRPr="008803C3">
        <w:rPr>
          <w:rFonts w:ascii="Traditional Arabic" w:hAnsi="Traditional Arabic"/>
          <w:noProof w:val="0"/>
          <w:rtl/>
          <w:lang w:eastAsia="en-US"/>
        </w:rPr>
        <w:t>العبادات لا يجوز أخذ الأجرة عليها</w:t>
      </w:r>
      <w:r>
        <w:rPr>
          <w:rFonts w:ascii="Traditional Arabic" w:hAnsi="Traditional Arabic" w:hint="cs"/>
          <w:rtl/>
        </w:rPr>
        <w:t>...............................................</w:t>
      </w:r>
      <w:r w:rsidRPr="008803C3">
        <w:rPr>
          <w:rFonts w:ascii="Traditional Arabic" w:hAnsi="Traditional Arabic"/>
          <w:rtl/>
        </w:rPr>
        <w:t>.</w:t>
      </w:r>
      <w:r>
        <w:rPr>
          <w:rFonts w:hint="cs"/>
          <w:rtl/>
        </w:rPr>
        <w:t>567</w:t>
      </w:r>
    </w:p>
    <w:p w:rsidR="004B6B30" w:rsidRDefault="004B6B30" w:rsidP="004B6B30">
      <w:pPr>
        <w:widowControl/>
        <w:autoSpaceDE w:val="0"/>
        <w:autoSpaceDN w:val="0"/>
        <w:adjustRightInd w:val="0"/>
        <w:ind w:firstLine="0"/>
        <w:jc w:val="left"/>
        <w:rPr>
          <w:rFonts w:ascii="Traditional Arabic" w:hAnsi="Traditional Arabic"/>
          <w:noProof w:val="0"/>
          <w:rtl/>
          <w:lang w:eastAsia="en-US"/>
        </w:rPr>
      </w:pPr>
      <w:r w:rsidRPr="0000302E">
        <w:rPr>
          <w:rFonts w:ascii="Traditional Arabic" w:hAnsi="Traditional Arabic"/>
          <w:noProof w:val="0"/>
          <w:rtl/>
          <w:lang w:eastAsia="en-US"/>
        </w:rPr>
        <w:t>القاعدة الأصلية في المشاركة تساوي الشريكين في المغنم والمغرم.</w:t>
      </w:r>
      <w:r>
        <w:rPr>
          <w:rFonts w:ascii="Traditional Arabic" w:hAnsi="Traditional Arabic" w:hint="cs"/>
          <w:noProof w:val="0"/>
          <w:rtl/>
          <w:lang w:eastAsia="en-US"/>
        </w:rPr>
        <w:t>......................</w:t>
      </w:r>
      <w:r w:rsidRPr="0000302E">
        <w:rPr>
          <w:rFonts w:ascii="Traditional Arabic" w:hAnsi="Traditional Arabic" w:hint="cs"/>
          <w:noProof w:val="0"/>
          <w:rtl/>
          <w:lang w:eastAsia="en-US"/>
        </w:rPr>
        <w:t xml:space="preserve"> </w:t>
      </w:r>
      <w:r>
        <w:rPr>
          <w:rFonts w:ascii="Traditional Arabic" w:hAnsi="Traditional Arabic" w:hint="cs"/>
          <w:noProof w:val="0"/>
          <w:rtl/>
          <w:lang w:eastAsia="en-US"/>
        </w:rPr>
        <w:t>563</w:t>
      </w:r>
    </w:p>
    <w:p w:rsidR="004B6B30" w:rsidRPr="0000302E" w:rsidRDefault="004B6B30" w:rsidP="004B6B30">
      <w:pPr>
        <w:ind w:firstLine="0"/>
        <w:rPr>
          <w:rtl/>
        </w:rPr>
      </w:pPr>
      <w:r w:rsidRPr="0000302E">
        <w:rPr>
          <w:rFonts w:ascii="Traditional Arabic" w:hAnsi="Traditional Arabic"/>
          <w:rtl/>
        </w:rPr>
        <w:t>قاعدة الشركات أن يتساوى الشريكان في المغنم والمغرم</w:t>
      </w:r>
      <w:r>
        <w:rPr>
          <w:rFonts w:ascii="Traditional Arabic" w:hAnsi="Traditional Arabic" w:hint="cs"/>
          <w:rtl/>
        </w:rPr>
        <w:t xml:space="preserve"> إلا في المضاربة.................</w:t>
      </w:r>
      <w:r w:rsidRPr="0000302E">
        <w:rPr>
          <w:rFonts w:ascii="Traditional Arabic" w:hAnsi="Traditional Arabic" w:hint="cs"/>
          <w:rtl/>
        </w:rPr>
        <w:t>.</w:t>
      </w:r>
      <w:r>
        <w:rPr>
          <w:rFonts w:ascii="Traditional Arabic" w:hAnsi="Traditional Arabic" w:hint="cs"/>
          <w:rtl/>
        </w:rPr>
        <w:t>563</w:t>
      </w:r>
    </w:p>
    <w:p w:rsidR="004B6B30" w:rsidRPr="0000302E" w:rsidRDefault="004B6B30" w:rsidP="004B6B30">
      <w:pPr>
        <w:widowControl/>
        <w:autoSpaceDE w:val="0"/>
        <w:autoSpaceDN w:val="0"/>
        <w:adjustRightInd w:val="0"/>
        <w:ind w:firstLine="0"/>
        <w:jc w:val="left"/>
        <w:rPr>
          <w:rFonts w:ascii="Traditional Arabic" w:hAnsi="Traditional Arabic"/>
          <w:rtl/>
        </w:rPr>
      </w:pPr>
      <w:r w:rsidRPr="0000302E">
        <w:rPr>
          <w:rFonts w:ascii="Traditional Arabic" w:hAnsi="Traditional Arabic"/>
          <w:noProof w:val="0"/>
          <w:rtl/>
          <w:lang w:eastAsia="en-US"/>
        </w:rPr>
        <w:t>القاعدة في المشاركة أن يتساوى الشريكان في المغنم والمغرم</w:t>
      </w:r>
      <w:r w:rsidRPr="0000302E">
        <w:rPr>
          <w:rFonts w:ascii="Traditional Arabic" w:hAnsi="Traditional Arabic"/>
          <w:rtl/>
        </w:rPr>
        <w:t>.</w:t>
      </w:r>
      <w:r>
        <w:rPr>
          <w:rFonts w:ascii="Traditional Arabic" w:hAnsi="Traditional Arabic" w:hint="cs"/>
          <w:rtl/>
        </w:rPr>
        <w:t>..........................</w:t>
      </w:r>
      <w:r w:rsidRPr="0000302E">
        <w:rPr>
          <w:rFonts w:ascii="Traditional Arabic" w:hAnsi="Traditional Arabic" w:hint="cs"/>
          <w:rtl/>
        </w:rPr>
        <w:t xml:space="preserve"> </w:t>
      </w:r>
      <w:r>
        <w:rPr>
          <w:rFonts w:ascii="Traditional Arabic" w:hAnsi="Traditional Arabic" w:hint="cs"/>
          <w:rtl/>
        </w:rPr>
        <w:t>563</w:t>
      </w:r>
    </w:p>
    <w:p w:rsidR="004B6B30" w:rsidRPr="000819CF" w:rsidRDefault="004B6B30" w:rsidP="004B6B30">
      <w:pPr>
        <w:ind w:firstLine="0"/>
        <w:rPr>
          <w:rtl/>
        </w:rPr>
      </w:pPr>
      <w:r w:rsidRPr="000819CF">
        <w:rPr>
          <w:rFonts w:ascii="Traditional Arabic" w:hAnsi="Traditional Arabic"/>
          <w:rtl/>
        </w:rPr>
        <w:t>كل بيع يجري فيه ربا الفضل فإنه يجري فيه ربا النسيئة ولا عكس</w:t>
      </w:r>
      <w:r>
        <w:rPr>
          <w:rFonts w:hint="cs"/>
          <w:rtl/>
        </w:rPr>
        <w:t>......................528</w:t>
      </w:r>
    </w:p>
    <w:p w:rsidR="004B6B30" w:rsidRDefault="004B6B30" w:rsidP="004B6B30">
      <w:pPr>
        <w:ind w:firstLine="0"/>
        <w:rPr>
          <w:rtl/>
        </w:rPr>
      </w:pPr>
      <w:r w:rsidRPr="000819CF">
        <w:rPr>
          <w:rFonts w:ascii="Traditional Arabic" w:hAnsi="Traditional Arabic"/>
          <w:rtl/>
        </w:rPr>
        <w:lastRenderedPageBreak/>
        <w:t>كل شرط جر نفعا للمقرض فهو محرم</w:t>
      </w:r>
      <w:r>
        <w:rPr>
          <w:rFonts w:hint="cs"/>
          <w:rtl/>
        </w:rPr>
        <w:t>..............................................524</w:t>
      </w:r>
    </w:p>
    <w:p w:rsidR="004B6B30" w:rsidRDefault="004B6B30" w:rsidP="004B6B30">
      <w:pPr>
        <w:ind w:firstLine="0"/>
        <w:rPr>
          <w:rtl/>
        </w:rPr>
      </w:pPr>
      <w:r w:rsidRPr="000819CF">
        <w:rPr>
          <w:rFonts w:ascii="Traditional Arabic" w:hAnsi="Traditional Arabic"/>
          <w:noProof w:val="0"/>
          <w:rtl/>
          <w:lang w:eastAsia="en-US"/>
        </w:rPr>
        <w:t>كل شيء حرُم فيه ربا الفضل فإنه يحرم فيه ربا النسيئة، لا العكس</w:t>
      </w:r>
      <w:r>
        <w:rPr>
          <w:rFonts w:hint="cs"/>
          <w:rtl/>
        </w:rPr>
        <w:t>.....................528</w:t>
      </w:r>
    </w:p>
    <w:p w:rsidR="004B6B30" w:rsidRDefault="004B6B30" w:rsidP="004B6B30">
      <w:pPr>
        <w:ind w:firstLine="0"/>
        <w:rPr>
          <w:rtl/>
        </w:rPr>
      </w:pPr>
      <w:r w:rsidRPr="008803C3">
        <w:rPr>
          <w:rFonts w:ascii="Traditional Arabic" w:hAnsi="Traditional Arabic"/>
          <w:noProof w:val="0"/>
          <w:rtl/>
          <w:lang w:eastAsia="en-US"/>
        </w:rPr>
        <w:t>كل شيء لا يقع إلا قربة فإنه لا يصح أن يقع عليه عقد الإجارة</w:t>
      </w:r>
      <w:r>
        <w:rPr>
          <w:rFonts w:ascii="Traditional Arabic" w:hAnsi="Traditional Arabic" w:hint="cs"/>
          <w:noProof w:val="0"/>
          <w:rtl/>
          <w:lang w:eastAsia="en-US"/>
        </w:rPr>
        <w:t>....................</w:t>
      </w:r>
      <w:r w:rsidRPr="008803C3">
        <w:rPr>
          <w:rFonts w:ascii="Traditional Arabic" w:hAnsi="Traditional Arabic"/>
          <w:noProof w:val="0"/>
          <w:rtl/>
          <w:lang w:eastAsia="en-US"/>
        </w:rPr>
        <w:t>.</w:t>
      </w:r>
      <w:r>
        <w:rPr>
          <w:rFonts w:hint="cs"/>
          <w:rtl/>
        </w:rPr>
        <w:t>567</w:t>
      </w:r>
    </w:p>
    <w:p w:rsidR="004B6B30" w:rsidRDefault="004B6B30" w:rsidP="004B6B30">
      <w:pPr>
        <w:pStyle w:val="Index1"/>
        <w:rPr>
          <w:rtl/>
        </w:rPr>
      </w:pPr>
      <w:r>
        <w:rPr>
          <w:rFonts w:hint="eastAsia"/>
          <w:rtl/>
        </w:rPr>
        <w:t>كل</w:t>
      </w:r>
      <w:r>
        <w:rPr>
          <w:rFonts w:hint="cs"/>
          <w:rtl/>
        </w:rPr>
        <w:t xml:space="preserve"> </w:t>
      </w:r>
      <w:r>
        <w:rPr>
          <w:rFonts w:hint="eastAsia"/>
          <w:rtl/>
        </w:rPr>
        <w:t>شيئين</w:t>
      </w:r>
      <w:r>
        <w:rPr>
          <w:rFonts w:hint="cs"/>
          <w:rtl/>
        </w:rPr>
        <w:t xml:space="preserve"> </w:t>
      </w:r>
      <w:r>
        <w:rPr>
          <w:rFonts w:hint="eastAsia"/>
          <w:rtl/>
        </w:rPr>
        <w:t>يجري</w:t>
      </w:r>
      <w:r>
        <w:rPr>
          <w:rFonts w:hint="cs"/>
          <w:rtl/>
        </w:rPr>
        <w:t xml:space="preserve"> </w:t>
      </w:r>
      <w:r>
        <w:rPr>
          <w:rFonts w:hint="eastAsia"/>
          <w:rtl/>
        </w:rPr>
        <w:t>بينهما</w:t>
      </w:r>
      <w:r>
        <w:rPr>
          <w:rFonts w:hint="cs"/>
          <w:rtl/>
        </w:rPr>
        <w:t xml:space="preserve"> </w:t>
      </w:r>
      <w:r>
        <w:rPr>
          <w:rFonts w:hint="eastAsia"/>
          <w:rtl/>
        </w:rPr>
        <w:t>ربا</w:t>
      </w:r>
      <w:r>
        <w:rPr>
          <w:rFonts w:hint="cs"/>
          <w:rtl/>
        </w:rPr>
        <w:t xml:space="preserve"> </w:t>
      </w:r>
      <w:r>
        <w:rPr>
          <w:rFonts w:hint="eastAsia"/>
          <w:rtl/>
        </w:rPr>
        <w:t>الفضل</w:t>
      </w:r>
      <w:r>
        <w:rPr>
          <w:rFonts w:hint="cs"/>
          <w:rtl/>
        </w:rPr>
        <w:t xml:space="preserve"> </w:t>
      </w:r>
      <w:r>
        <w:rPr>
          <w:rFonts w:hint="eastAsia"/>
          <w:rtl/>
        </w:rPr>
        <w:t>فبينهما</w:t>
      </w:r>
      <w:r>
        <w:rPr>
          <w:rFonts w:hint="cs"/>
          <w:rtl/>
        </w:rPr>
        <w:t xml:space="preserve"> </w:t>
      </w:r>
      <w:r>
        <w:rPr>
          <w:rFonts w:hint="eastAsia"/>
          <w:rtl/>
        </w:rPr>
        <w:t>ربا</w:t>
      </w:r>
      <w:r>
        <w:rPr>
          <w:rFonts w:hint="cs"/>
          <w:rtl/>
        </w:rPr>
        <w:t xml:space="preserve"> </w:t>
      </w:r>
      <w:r>
        <w:rPr>
          <w:rFonts w:hint="eastAsia"/>
          <w:rtl/>
        </w:rPr>
        <w:t>النسيئة</w:t>
      </w:r>
      <w:r>
        <w:rPr>
          <w:rFonts w:hint="cs"/>
          <w:rtl/>
        </w:rPr>
        <w:t xml:space="preserve">، </w:t>
      </w:r>
      <w:r>
        <w:rPr>
          <w:rFonts w:hint="eastAsia"/>
          <w:rtl/>
        </w:rPr>
        <w:t>ولا</w:t>
      </w:r>
      <w:r>
        <w:rPr>
          <w:rFonts w:hint="cs"/>
          <w:rtl/>
        </w:rPr>
        <w:t xml:space="preserve"> </w:t>
      </w:r>
      <w:r>
        <w:rPr>
          <w:rFonts w:hint="eastAsia"/>
          <w:rtl/>
        </w:rPr>
        <w:t>عكس</w:t>
      </w:r>
      <w:r>
        <w:rPr>
          <w:rFonts w:hint="cs"/>
          <w:rtl/>
        </w:rPr>
        <w:t>.....................528</w:t>
      </w:r>
    </w:p>
    <w:p w:rsidR="004B6B30" w:rsidRDefault="004B6B30" w:rsidP="004B6B30">
      <w:pPr>
        <w:pStyle w:val="Index1"/>
        <w:rPr>
          <w:rtl/>
        </w:rPr>
      </w:pPr>
      <w:r>
        <w:rPr>
          <w:rFonts w:hint="eastAsia"/>
          <w:rtl/>
        </w:rPr>
        <w:t>كل</w:t>
      </w:r>
      <w:r>
        <w:rPr>
          <w:rFonts w:hint="cs"/>
          <w:rtl/>
        </w:rPr>
        <w:t xml:space="preserve"> </w:t>
      </w:r>
      <w:r>
        <w:rPr>
          <w:rFonts w:hint="eastAsia"/>
          <w:rtl/>
        </w:rPr>
        <w:t>عقد</w:t>
      </w:r>
      <w:r>
        <w:rPr>
          <w:rFonts w:hint="cs"/>
          <w:rtl/>
        </w:rPr>
        <w:t xml:space="preserve"> </w:t>
      </w:r>
      <w:r>
        <w:rPr>
          <w:rFonts w:hint="eastAsia"/>
          <w:rtl/>
        </w:rPr>
        <w:t>جائز</w:t>
      </w:r>
      <w:r>
        <w:rPr>
          <w:rFonts w:hint="cs"/>
          <w:rtl/>
        </w:rPr>
        <w:t xml:space="preserve"> </w:t>
      </w:r>
      <w:r>
        <w:rPr>
          <w:rFonts w:hint="eastAsia"/>
          <w:rtl/>
        </w:rPr>
        <w:t>فليس</w:t>
      </w:r>
      <w:r>
        <w:rPr>
          <w:rFonts w:hint="cs"/>
          <w:rtl/>
        </w:rPr>
        <w:t xml:space="preserve"> </w:t>
      </w:r>
      <w:r>
        <w:rPr>
          <w:rFonts w:hint="eastAsia"/>
          <w:rtl/>
        </w:rPr>
        <w:t>فيه</w:t>
      </w:r>
      <w:r>
        <w:rPr>
          <w:rFonts w:hint="cs"/>
          <w:rtl/>
        </w:rPr>
        <w:t xml:space="preserve"> </w:t>
      </w:r>
      <w:r>
        <w:rPr>
          <w:rFonts w:hint="eastAsia"/>
          <w:rtl/>
        </w:rPr>
        <w:t>خيار</w:t>
      </w:r>
      <w:r>
        <w:rPr>
          <w:rFonts w:hint="cs"/>
          <w:rtl/>
        </w:rPr>
        <w:t xml:space="preserve"> </w:t>
      </w:r>
      <w:r>
        <w:rPr>
          <w:rFonts w:hint="eastAsia"/>
          <w:rtl/>
        </w:rPr>
        <w:t>المجلس</w:t>
      </w:r>
      <w:r>
        <w:rPr>
          <w:rFonts w:hint="cs"/>
          <w:rtl/>
        </w:rPr>
        <w:t>..............................................520</w:t>
      </w:r>
    </w:p>
    <w:p w:rsidR="004B6B30" w:rsidRDefault="004B6B30" w:rsidP="004B6B30">
      <w:pPr>
        <w:pStyle w:val="Index1"/>
        <w:rPr>
          <w:rtl/>
        </w:rPr>
      </w:pPr>
      <w:r>
        <w:rPr>
          <w:rFonts w:hint="eastAsia"/>
          <w:rtl/>
        </w:rPr>
        <w:t>كل</w:t>
      </w:r>
      <w:r>
        <w:rPr>
          <w:rFonts w:hint="cs"/>
          <w:rtl/>
        </w:rPr>
        <w:t xml:space="preserve"> </w:t>
      </w:r>
      <w:r>
        <w:rPr>
          <w:rFonts w:hint="eastAsia"/>
          <w:rtl/>
        </w:rPr>
        <w:t>عمل</w:t>
      </w:r>
      <w:r>
        <w:rPr>
          <w:rFonts w:hint="cs"/>
          <w:rtl/>
        </w:rPr>
        <w:t xml:space="preserve"> ... </w:t>
      </w:r>
      <w:r>
        <w:rPr>
          <w:rFonts w:hint="eastAsia"/>
          <w:rtl/>
        </w:rPr>
        <w:t>وما</w:t>
      </w:r>
      <w:r>
        <w:rPr>
          <w:rFonts w:hint="cs"/>
          <w:rtl/>
        </w:rPr>
        <w:t xml:space="preserve"> </w:t>
      </w:r>
      <w:r>
        <w:rPr>
          <w:rFonts w:hint="eastAsia"/>
          <w:rtl/>
        </w:rPr>
        <w:t>كان</w:t>
      </w:r>
      <w:r>
        <w:rPr>
          <w:rFonts w:hint="cs"/>
          <w:rtl/>
        </w:rPr>
        <w:t xml:space="preserve"> </w:t>
      </w:r>
      <w:r>
        <w:rPr>
          <w:rFonts w:hint="eastAsia"/>
          <w:rtl/>
        </w:rPr>
        <w:t>نفعه</w:t>
      </w:r>
      <w:r>
        <w:rPr>
          <w:rFonts w:hint="cs"/>
          <w:rtl/>
        </w:rPr>
        <w:t xml:space="preserve"> </w:t>
      </w:r>
      <w:r>
        <w:rPr>
          <w:rFonts w:hint="eastAsia"/>
          <w:rtl/>
        </w:rPr>
        <w:t>متعديا</w:t>
      </w:r>
      <w:r>
        <w:rPr>
          <w:rFonts w:hint="cs"/>
          <w:rtl/>
        </w:rPr>
        <w:t xml:space="preserve"> </w:t>
      </w:r>
      <w:r>
        <w:rPr>
          <w:rFonts w:hint="eastAsia"/>
          <w:rtl/>
        </w:rPr>
        <w:t>من</w:t>
      </w:r>
      <w:r>
        <w:rPr>
          <w:rFonts w:hint="cs"/>
          <w:rtl/>
        </w:rPr>
        <w:t xml:space="preserve"> </w:t>
      </w:r>
      <w:r>
        <w:rPr>
          <w:rFonts w:hint="eastAsia"/>
          <w:rtl/>
        </w:rPr>
        <w:t>القرب</w:t>
      </w:r>
      <w:r>
        <w:rPr>
          <w:rFonts w:hint="cs"/>
          <w:rtl/>
        </w:rPr>
        <w:t xml:space="preserve"> صح عقد الإجارة عليه.................567</w:t>
      </w:r>
    </w:p>
    <w:p w:rsidR="004B6B30" w:rsidRDefault="004B6B30" w:rsidP="004B6B30">
      <w:pPr>
        <w:ind w:firstLine="0"/>
        <w:rPr>
          <w:rtl/>
        </w:rPr>
      </w:pPr>
      <w:r w:rsidRPr="008803C3">
        <w:rPr>
          <w:rFonts w:ascii="Traditional Arabic" w:hAnsi="Traditional Arabic"/>
          <w:noProof w:val="0"/>
          <w:color w:val="auto"/>
          <w:rtl/>
          <w:lang w:eastAsia="en-US"/>
        </w:rPr>
        <w:t>كل عمل لا يقع إلا قربة فإنه لا يصح أن يؤخذ عليه أجرة</w:t>
      </w:r>
      <w:r>
        <w:rPr>
          <w:rFonts w:ascii="Traditional Arabic" w:hAnsi="Traditional Arabic" w:hint="cs"/>
          <w:color w:val="auto"/>
          <w:rtl/>
        </w:rPr>
        <w:t>..........................</w:t>
      </w:r>
      <w:r w:rsidRPr="008803C3">
        <w:rPr>
          <w:rFonts w:ascii="Traditional Arabic" w:hAnsi="Traditional Arabic"/>
          <w:color w:val="auto"/>
          <w:rtl/>
        </w:rPr>
        <w:t>.</w:t>
      </w:r>
      <w:r>
        <w:rPr>
          <w:rFonts w:hint="cs"/>
          <w:rtl/>
        </w:rPr>
        <w:t>567</w:t>
      </w:r>
    </w:p>
    <w:p w:rsidR="004B6B30" w:rsidRDefault="004B6B30" w:rsidP="004B6B30">
      <w:pPr>
        <w:pStyle w:val="Index1"/>
        <w:rPr>
          <w:rtl/>
        </w:rPr>
      </w:pPr>
      <w:r>
        <w:rPr>
          <w:rFonts w:hint="eastAsia"/>
          <w:rtl/>
        </w:rPr>
        <w:t>كل</w:t>
      </w:r>
      <w:r>
        <w:rPr>
          <w:rFonts w:hint="cs"/>
          <w:rtl/>
        </w:rPr>
        <w:t xml:space="preserve"> </w:t>
      </w:r>
      <w:r>
        <w:rPr>
          <w:rFonts w:hint="eastAsia"/>
          <w:rtl/>
        </w:rPr>
        <w:t>عين</w:t>
      </w:r>
      <w:r>
        <w:rPr>
          <w:rFonts w:hint="cs"/>
          <w:rtl/>
        </w:rPr>
        <w:t xml:space="preserve"> </w:t>
      </w:r>
      <w:r>
        <w:rPr>
          <w:rFonts w:hint="eastAsia"/>
          <w:rtl/>
        </w:rPr>
        <w:t>يجوز</w:t>
      </w:r>
      <w:r>
        <w:rPr>
          <w:rFonts w:hint="cs"/>
          <w:rtl/>
        </w:rPr>
        <w:t xml:space="preserve"> </w:t>
      </w:r>
      <w:r>
        <w:rPr>
          <w:rFonts w:hint="eastAsia"/>
          <w:rtl/>
        </w:rPr>
        <w:t>بيعها</w:t>
      </w:r>
      <w:r>
        <w:rPr>
          <w:rFonts w:hint="cs"/>
          <w:rtl/>
        </w:rPr>
        <w:t xml:space="preserve"> </w:t>
      </w:r>
      <w:r>
        <w:rPr>
          <w:rFonts w:hint="eastAsia"/>
          <w:rtl/>
        </w:rPr>
        <w:t>يجوز</w:t>
      </w:r>
      <w:r>
        <w:rPr>
          <w:rFonts w:hint="cs"/>
          <w:rtl/>
        </w:rPr>
        <w:t xml:space="preserve"> </w:t>
      </w:r>
      <w:r>
        <w:rPr>
          <w:rFonts w:hint="eastAsia"/>
          <w:rtl/>
        </w:rPr>
        <w:t>رهنها،</w:t>
      </w:r>
      <w:r>
        <w:rPr>
          <w:rFonts w:hint="cs"/>
          <w:rtl/>
        </w:rPr>
        <w:t xml:space="preserve"> </w:t>
      </w:r>
      <w:r>
        <w:rPr>
          <w:rFonts w:hint="eastAsia"/>
          <w:rtl/>
        </w:rPr>
        <w:t>وما</w:t>
      </w:r>
      <w:r>
        <w:rPr>
          <w:rFonts w:hint="cs"/>
          <w:rtl/>
        </w:rPr>
        <w:t xml:space="preserve"> </w:t>
      </w:r>
      <w:r>
        <w:rPr>
          <w:rFonts w:hint="eastAsia"/>
          <w:rtl/>
        </w:rPr>
        <w:t>لا</w:t>
      </w:r>
      <w:r>
        <w:rPr>
          <w:rFonts w:hint="cs"/>
          <w:rtl/>
        </w:rPr>
        <w:t xml:space="preserve"> </w:t>
      </w:r>
      <w:r>
        <w:rPr>
          <w:rFonts w:hint="eastAsia"/>
          <w:rtl/>
        </w:rPr>
        <w:t>فلا</w:t>
      </w:r>
      <w:r>
        <w:rPr>
          <w:rFonts w:hint="cs"/>
          <w:rtl/>
        </w:rPr>
        <w:t>.........................................536</w:t>
      </w:r>
    </w:p>
    <w:p w:rsidR="004B6B30" w:rsidRDefault="004B6B30" w:rsidP="004B6B30">
      <w:pPr>
        <w:ind w:firstLine="0"/>
        <w:rPr>
          <w:rtl/>
        </w:rPr>
      </w:pPr>
      <w:r w:rsidRPr="000819CF">
        <w:rPr>
          <w:rFonts w:ascii="Traditional Arabic" w:hAnsi="Traditional Arabic"/>
          <w:rtl/>
        </w:rPr>
        <w:t>كل قرض جر منفعة بشرط فهو ربا</w:t>
      </w:r>
      <w:r>
        <w:rPr>
          <w:rFonts w:ascii="Traditional Arabic" w:hAnsi="Traditional Arabic" w:hint="cs"/>
          <w:rtl/>
        </w:rPr>
        <w:t>...............................................</w:t>
      </w:r>
      <w:r w:rsidRPr="000819CF">
        <w:rPr>
          <w:rFonts w:ascii="Traditional Arabic" w:hAnsi="Traditional Arabic"/>
          <w:rtl/>
        </w:rPr>
        <w:t>.</w:t>
      </w:r>
      <w:r>
        <w:rPr>
          <w:rFonts w:hint="cs"/>
          <w:rtl/>
        </w:rPr>
        <w:t>524</w:t>
      </w:r>
    </w:p>
    <w:p w:rsidR="004B6B30" w:rsidRDefault="004B6B30" w:rsidP="004B6B30">
      <w:pPr>
        <w:pStyle w:val="Index1"/>
        <w:rPr>
          <w:rtl/>
        </w:rPr>
      </w:pPr>
      <w:r>
        <w:rPr>
          <w:rFonts w:hint="eastAsia"/>
          <w:rtl/>
        </w:rPr>
        <w:t>كل</w:t>
      </w:r>
      <w:r>
        <w:rPr>
          <w:rFonts w:hint="cs"/>
          <w:rtl/>
        </w:rPr>
        <w:t xml:space="preserve"> </w:t>
      </w:r>
      <w:r>
        <w:rPr>
          <w:rFonts w:hint="eastAsia"/>
          <w:rtl/>
        </w:rPr>
        <w:t>قرض</w:t>
      </w:r>
      <w:r>
        <w:rPr>
          <w:rFonts w:hint="cs"/>
          <w:rtl/>
        </w:rPr>
        <w:t xml:space="preserve"> </w:t>
      </w:r>
      <w:r>
        <w:rPr>
          <w:rFonts w:hint="eastAsia"/>
          <w:rtl/>
        </w:rPr>
        <w:t>جر</w:t>
      </w:r>
      <w:r>
        <w:rPr>
          <w:rFonts w:hint="cs"/>
          <w:rtl/>
        </w:rPr>
        <w:t xml:space="preserve"> </w:t>
      </w:r>
      <w:r>
        <w:rPr>
          <w:rFonts w:hint="eastAsia"/>
          <w:rtl/>
        </w:rPr>
        <w:t>منفعة</w:t>
      </w:r>
      <w:r>
        <w:rPr>
          <w:rFonts w:hint="cs"/>
          <w:rtl/>
        </w:rPr>
        <w:t xml:space="preserve"> </w:t>
      </w:r>
      <w:r>
        <w:rPr>
          <w:rFonts w:hint="eastAsia"/>
          <w:rtl/>
        </w:rPr>
        <w:t>فهو</w:t>
      </w:r>
      <w:r>
        <w:rPr>
          <w:rFonts w:hint="cs"/>
          <w:rtl/>
        </w:rPr>
        <w:t xml:space="preserve"> </w:t>
      </w:r>
      <w:r>
        <w:rPr>
          <w:rFonts w:hint="eastAsia"/>
          <w:rtl/>
        </w:rPr>
        <w:t>ربا</w:t>
      </w:r>
      <w:r>
        <w:rPr>
          <w:rFonts w:hint="cs"/>
          <w:rtl/>
        </w:rPr>
        <w:t>......................................................524</w:t>
      </w:r>
    </w:p>
    <w:p w:rsidR="004B6B30" w:rsidRPr="000819CF" w:rsidRDefault="004B6B30" w:rsidP="004B6B30">
      <w:pPr>
        <w:ind w:firstLine="0"/>
        <w:rPr>
          <w:rtl/>
        </w:rPr>
      </w:pPr>
      <w:r w:rsidRPr="000819CF">
        <w:rPr>
          <w:rFonts w:ascii="Traditional Arabic" w:hAnsi="Traditional Arabic"/>
          <w:rtl/>
        </w:rPr>
        <w:t>كل قرض جر نفعا فهو ربا</w:t>
      </w:r>
      <w:r>
        <w:rPr>
          <w:rFonts w:ascii="Traditional Arabic" w:hAnsi="Traditional Arabic" w:hint="cs"/>
          <w:rtl/>
        </w:rPr>
        <w:t>......................................................</w:t>
      </w:r>
      <w:r w:rsidRPr="000819CF">
        <w:rPr>
          <w:rFonts w:ascii="Traditional Arabic" w:hAnsi="Traditional Arabic"/>
          <w:rtl/>
        </w:rPr>
        <w:t>.</w:t>
      </w:r>
      <w:r>
        <w:rPr>
          <w:rFonts w:hint="cs"/>
          <w:rtl/>
        </w:rPr>
        <w:t>524</w:t>
      </w:r>
    </w:p>
    <w:p w:rsidR="004B6B30" w:rsidRDefault="004B6B30" w:rsidP="004B6B30">
      <w:pPr>
        <w:pStyle w:val="Index1"/>
        <w:rPr>
          <w:rtl/>
        </w:rPr>
      </w:pPr>
      <w:r>
        <w:rPr>
          <w:rFonts w:hint="eastAsia"/>
          <w:rtl/>
        </w:rPr>
        <w:t>كل</w:t>
      </w:r>
      <w:r>
        <w:rPr>
          <w:rFonts w:hint="cs"/>
          <w:rtl/>
        </w:rPr>
        <w:t xml:space="preserve"> </w:t>
      </w:r>
      <w:r>
        <w:rPr>
          <w:rFonts w:hint="eastAsia"/>
          <w:rtl/>
        </w:rPr>
        <w:t>ما</w:t>
      </w:r>
      <w:r>
        <w:rPr>
          <w:rFonts w:hint="cs"/>
          <w:rtl/>
        </w:rPr>
        <w:t xml:space="preserve"> </w:t>
      </w:r>
      <w:r>
        <w:rPr>
          <w:rFonts w:hint="eastAsia"/>
          <w:rtl/>
        </w:rPr>
        <w:t>صح</w:t>
      </w:r>
      <w:r>
        <w:rPr>
          <w:rFonts w:hint="cs"/>
          <w:rtl/>
        </w:rPr>
        <w:t xml:space="preserve"> </w:t>
      </w:r>
      <w:r>
        <w:rPr>
          <w:rFonts w:hint="eastAsia"/>
          <w:rtl/>
        </w:rPr>
        <w:t>بيعه</w:t>
      </w:r>
      <w:r>
        <w:rPr>
          <w:rFonts w:hint="cs"/>
          <w:rtl/>
        </w:rPr>
        <w:t xml:space="preserve"> </w:t>
      </w:r>
      <w:r>
        <w:rPr>
          <w:rFonts w:hint="eastAsia"/>
          <w:rtl/>
        </w:rPr>
        <w:t>صح</w:t>
      </w:r>
      <w:r>
        <w:rPr>
          <w:rFonts w:hint="cs"/>
          <w:rtl/>
        </w:rPr>
        <w:t xml:space="preserve"> </w:t>
      </w:r>
      <w:r>
        <w:rPr>
          <w:rFonts w:hint="eastAsia"/>
          <w:rtl/>
        </w:rPr>
        <w:t>قرضه،</w:t>
      </w:r>
      <w:r>
        <w:rPr>
          <w:rFonts w:hint="cs"/>
          <w:rtl/>
        </w:rPr>
        <w:t xml:space="preserve"> </w:t>
      </w:r>
      <w:r>
        <w:rPr>
          <w:rFonts w:hint="eastAsia"/>
          <w:rtl/>
        </w:rPr>
        <w:t>وكل</w:t>
      </w:r>
      <w:r>
        <w:rPr>
          <w:rFonts w:hint="cs"/>
          <w:rtl/>
        </w:rPr>
        <w:t xml:space="preserve"> </w:t>
      </w:r>
      <w:r>
        <w:rPr>
          <w:rFonts w:hint="eastAsia"/>
          <w:rtl/>
        </w:rPr>
        <w:t>ما</w:t>
      </w:r>
      <w:r>
        <w:rPr>
          <w:rFonts w:hint="cs"/>
          <w:rtl/>
        </w:rPr>
        <w:t xml:space="preserve"> </w:t>
      </w:r>
      <w:r>
        <w:rPr>
          <w:rFonts w:hint="eastAsia"/>
          <w:rtl/>
        </w:rPr>
        <w:t>لا</w:t>
      </w:r>
      <w:r>
        <w:rPr>
          <w:rFonts w:hint="cs"/>
          <w:rtl/>
        </w:rPr>
        <w:t xml:space="preserve"> </w:t>
      </w:r>
      <w:r>
        <w:rPr>
          <w:rFonts w:hint="eastAsia"/>
          <w:rtl/>
        </w:rPr>
        <w:t>يصح</w:t>
      </w:r>
      <w:r>
        <w:rPr>
          <w:rFonts w:hint="cs"/>
          <w:rtl/>
        </w:rPr>
        <w:t xml:space="preserve"> </w:t>
      </w:r>
      <w:r>
        <w:rPr>
          <w:rFonts w:hint="eastAsia"/>
          <w:rtl/>
        </w:rPr>
        <w:t>بيعه</w:t>
      </w:r>
      <w:r>
        <w:rPr>
          <w:rFonts w:hint="cs"/>
          <w:rtl/>
        </w:rPr>
        <w:t xml:space="preserve"> </w:t>
      </w:r>
      <w:r>
        <w:rPr>
          <w:rFonts w:hint="eastAsia"/>
          <w:rtl/>
        </w:rPr>
        <w:t>لا</w:t>
      </w:r>
      <w:r>
        <w:rPr>
          <w:rFonts w:hint="cs"/>
          <w:rtl/>
        </w:rPr>
        <w:t xml:space="preserve"> </w:t>
      </w:r>
      <w:r>
        <w:rPr>
          <w:rFonts w:hint="eastAsia"/>
          <w:rtl/>
        </w:rPr>
        <w:t>يصح</w:t>
      </w:r>
      <w:r>
        <w:rPr>
          <w:rFonts w:hint="cs"/>
          <w:rtl/>
        </w:rPr>
        <w:t xml:space="preserve"> </w:t>
      </w:r>
      <w:r>
        <w:rPr>
          <w:rFonts w:hint="eastAsia"/>
          <w:rtl/>
        </w:rPr>
        <w:t>قرضه</w:t>
      </w:r>
      <w:r>
        <w:rPr>
          <w:rFonts w:hint="cs"/>
          <w:rtl/>
        </w:rPr>
        <w:t>....................532</w:t>
      </w:r>
    </w:p>
    <w:p w:rsidR="004B6B30" w:rsidRDefault="004B6B30" w:rsidP="004B6B30">
      <w:pPr>
        <w:pStyle w:val="Index1"/>
        <w:rPr>
          <w:rtl/>
        </w:rPr>
      </w:pPr>
      <w:r>
        <w:rPr>
          <w:rFonts w:hint="eastAsia"/>
          <w:rtl/>
        </w:rPr>
        <w:t>كل</w:t>
      </w:r>
      <w:r>
        <w:rPr>
          <w:rFonts w:hint="cs"/>
          <w:rtl/>
        </w:rPr>
        <w:t xml:space="preserve"> </w:t>
      </w:r>
      <w:r>
        <w:rPr>
          <w:rFonts w:hint="eastAsia"/>
          <w:rtl/>
        </w:rPr>
        <w:t>من</w:t>
      </w:r>
      <w:r>
        <w:rPr>
          <w:rFonts w:hint="cs"/>
          <w:rtl/>
        </w:rPr>
        <w:t xml:space="preserve"> </w:t>
      </w:r>
      <w:r>
        <w:rPr>
          <w:rFonts w:hint="eastAsia"/>
          <w:rtl/>
        </w:rPr>
        <w:t>بيده</w:t>
      </w:r>
      <w:r>
        <w:rPr>
          <w:rFonts w:hint="cs"/>
          <w:rtl/>
        </w:rPr>
        <w:t xml:space="preserve"> </w:t>
      </w:r>
      <w:r>
        <w:rPr>
          <w:rFonts w:hint="eastAsia"/>
          <w:rtl/>
        </w:rPr>
        <w:t>مال</w:t>
      </w:r>
      <w:r>
        <w:rPr>
          <w:rFonts w:hint="cs"/>
          <w:rtl/>
        </w:rPr>
        <w:t xml:space="preserve"> </w:t>
      </w:r>
      <w:r>
        <w:rPr>
          <w:rFonts w:hint="eastAsia"/>
          <w:rtl/>
        </w:rPr>
        <w:t>جهل</w:t>
      </w:r>
      <w:r>
        <w:rPr>
          <w:rFonts w:hint="cs"/>
          <w:rtl/>
        </w:rPr>
        <w:t xml:space="preserve"> </w:t>
      </w:r>
      <w:r>
        <w:rPr>
          <w:rFonts w:hint="eastAsia"/>
          <w:rtl/>
        </w:rPr>
        <w:t>صاحبه</w:t>
      </w:r>
      <w:r>
        <w:rPr>
          <w:rFonts w:hint="cs"/>
          <w:rtl/>
        </w:rPr>
        <w:t xml:space="preserve">... </w:t>
      </w:r>
      <w:r>
        <w:rPr>
          <w:rFonts w:hint="eastAsia"/>
          <w:rtl/>
        </w:rPr>
        <w:t>فله</w:t>
      </w:r>
      <w:r>
        <w:rPr>
          <w:rFonts w:hint="cs"/>
          <w:rtl/>
        </w:rPr>
        <w:t xml:space="preserve"> </w:t>
      </w:r>
      <w:r>
        <w:rPr>
          <w:rFonts w:hint="eastAsia"/>
          <w:rtl/>
        </w:rPr>
        <w:t>أن</w:t>
      </w:r>
      <w:r>
        <w:rPr>
          <w:rFonts w:hint="cs"/>
          <w:rtl/>
        </w:rPr>
        <w:t xml:space="preserve"> </w:t>
      </w:r>
      <w:r>
        <w:rPr>
          <w:rFonts w:hint="eastAsia"/>
          <w:rtl/>
        </w:rPr>
        <w:t>يتصدق</w:t>
      </w:r>
      <w:r>
        <w:rPr>
          <w:rFonts w:hint="cs"/>
          <w:rtl/>
        </w:rPr>
        <w:t xml:space="preserve"> </w:t>
      </w:r>
      <w:r>
        <w:rPr>
          <w:rFonts w:hint="eastAsia"/>
          <w:rtl/>
        </w:rPr>
        <w:t>به</w:t>
      </w:r>
      <w:r>
        <w:rPr>
          <w:rFonts w:hint="cs"/>
          <w:rtl/>
        </w:rPr>
        <w:t xml:space="preserve"> </w:t>
      </w:r>
      <w:r>
        <w:rPr>
          <w:rFonts w:hint="eastAsia"/>
          <w:rtl/>
        </w:rPr>
        <w:t>بشرط</w:t>
      </w:r>
      <w:r>
        <w:rPr>
          <w:rFonts w:hint="cs"/>
          <w:rtl/>
        </w:rPr>
        <w:t xml:space="preserve"> </w:t>
      </w:r>
      <w:r>
        <w:rPr>
          <w:rFonts w:hint="eastAsia"/>
          <w:rtl/>
        </w:rPr>
        <w:t>الضما</w:t>
      </w:r>
      <w:r>
        <w:rPr>
          <w:rFonts w:hint="cs"/>
          <w:rtl/>
        </w:rPr>
        <w:t>ن..................579</w:t>
      </w:r>
    </w:p>
    <w:p w:rsidR="004B6B30" w:rsidRDefault="004B6B30" w:rsidP="004B6B30">
      <w:pPr>
        <w:pStyle w:val="Index1"/>
        <w:rPr>
          <w:rtl/>
        </w:rPr>
      </w:pPr>
      <w:r>
        <w:rPr>
          <w:rFonts w:hint="eastAsia"/>
          <w:rtl/>
        </w:rPr>
        <w:t>كل</w:t>
      </w:r>
      <w:r>
        <w:rPr>
          <w:rFonts w:hint="cs"/>
          <w:rtl/>
        </w:rPr>
        <w:t xml:space="preserve"> </w:t>
      </w:r>
      <w:r>
        <w:rPr>
          <w:rFonts w:hint="eastAsia"/>
          <w:rtl/>
        </w:rPr>
        <w:t>من</w:t>
      </w:r>
      <w:r>
        <w:rPr>
          <w:rFonts w:hint="cs"/>
          <w:rtl/>
        </w:rPr>
        <w:t xml:space="preserve"> </w:t>
      </w:r>
      <w:r>
        <w:rPr>
          <w:rFonts w:hint="eastAsia"/>
          <w:rtl/>
        </w:rPr>
        <w:t>له</w:t>
      </w:r>
      <w:r>
        <w:rPr>
          <w:rFonts w:hint="cs"/>
          <w:rtl/>
        </w:rPr>
        <w:t xml:space="preserve"> </w:t>
      </w:r>
      <w:r>
        <w:rPr>
          <w:rFonts w:hint="eastAsia"/>
          <w:rtl/>
        </w:rPr>
        <w:t>التصرف</w:t>
      </w:r>
      <w:r>
        <w:rPr>
          <w:rFonts w:hint="cs"/>
          <w:rtl/>
        </w:rPr>
        <w:t xml:space="preserve"> </w:t>
      </w:r>
      <w:r>
        <w:rPr>
          <w:rFonts w:hint="eastAsia"/>
          <w:rtl/>
        </w:rPr>
        <w:t>في</w:t>
      </w:r>
      <w:r>
        <w:rPr>
          <w:rFonts w:hint="cs"/>
          <w:rtl/>
        </w:rPr>
        <w:t xml:space="preserve"> </w:t>
      </w:r>
      <w:r>
        <w:rPr>
          <w:rFonts w:hint="eastAsia"/>
          <w:rtl/>
        </w:rPr>
        <w:t>شيء</w:t>
      </w:r>
      <w:r>
        <w:rPr>
          <w:rFonts w:hint="cs"/>
          <w:rtl/>
        </w:rPr>
        <w:t xml:space="preserve"> </w:t>
      </w:r>
      <w:r>
        <w:rPr>
          <w:rFonts w:hint="eastAsia"/>
          <w:rtl/>
        </w:rPr>
        <w:t>فله</w:t>
      </w:r>
      <w:r>
        <w:rPr>
          <w:rFonts w:hint="cs"/>
          <w:rtl/>
        </w:rPr>
        <w:t xml:space="preserve"> </w:t>
      </w:r>
      <w:r>
        <w:rPr>
          <w:rFonts w:hint="eastAsia"/>
          <w:rtl/>
        </w:rPr>
        <w:t>أن</w:t>
      </w:r>
      <w:r>
        <w:rPr>
          <w:rFonts w:hint="cs"/>
          <w:rtl/>
        </w:rPr>
        <w:t xml:space="preserve"> </w:t>
      </w:r>
      <w:r>
        <w:rPr>
          <w:rFonts w:hint="eastAsia"/>
          <w:rtl/>
        </w:rPr>
        <w:t>يوكل</w:t>
      </w:r>
      <w:r>
        <w:rPr>
          <w:rFonts w:hint="cs"/>
          <w:rtl/>
        </w:rPr>
        <w:t xml:space="preserve"> </w:t>
      </w:r>
      <w:r>
        <w:rPr>
          <w:rFonts w:hint="eastAsia"/>
          <w:rtl/>
        </w:rPr>
        <w:t>وله</w:t>
      </w:r>
      <w:r>
        <w:rPr>
          <w:rFonts w:hint="cs"/>
          <w:rtl/>
        </w:rPr>
        <w:t xml:space="preserve"> </w:t>
      </w:r>
      <w:r>
        <w:rPr>
          <w:rFonts w:hint="eastAsia"/>
          <w:rtl/>
        </w:rPr>
        <w:t>أن</w:t>
      </w:r>
      <w:r>
        <w:rPr>
          <w:rFonts w:hint="cs"/>
          <w:rtl/>
        </w:rPr>
        <w:t xml:space="preserve"> </w:t>
      </w:r>
      <w:r>
        <w:rPr>
          <w:rFonts w:hint="eastAsia"/>
          <w:rtl/>
        </w:rPr>
        <w:t>يتوكل</w:t>
      </w:r>
      <w:r>
        <w:rPr>
          <w:rFonts w:hint="cs"/>
          <w:rtl/>
        </w:rPr>
        <w:t>..............................554</w:t>
      </w:r>
    </w:p>
    <w:p w:rsidR="004B6B30" w:rsidRDefault="004B6B30" w:rsidP="004B6B30">
      <w:pPr>
        <w:ind w:firstLine="0"/>
        <w:rPr>
          <w:rtl/>
        </w:rPr>
      </w:pPr>
      <w:r w:rsidRPr="0000302E">
        <w:rPr>
          <w:rFonts w:ascii="Traditional Arabic" w:hAnsi="Traditional Arabic"/>
          <w:noProof w:val="0"/>
          <w:rtl/>
          <w:lang w:eastAsia="en-US"/>
        </w:rPr>
        <w:t>كلما خرج الشقص بالاختيار فإن للشريك أن يأخذ بالشفعة</w:t>
      </w:r>
      <w:r>
        <w:rPr>
          <w:rFonts w:ascii="Traditional Arabic" w:hAnsi="Traditional Arabic" w:hint="cs"/>
          <w:noProof w:val="0"/>
          <w:rtl/>
          <w:lang w:eastAsia="en-US"/>
        </w:rPr>
        <w:t>........................</w:t>
      </w:r>
      <w:r>
        <w:rPr>
          <w:rFonts w:hint="cs"/>
          <w:rtl/>
        </w:rPr>
        <w:t>.583</w:t>
      </w:r>
    </w:p>
    <w:p w:rsidR="004B6B30" w:rsidRDefault="004B6B30" w:rsidP="004B6B30">
      <w:pPr>
        <w:ind w:firstLine="0"/>
        <w:rPr>
          <w:rtl/>
        </w:rPr>
      </w:pPr>
      <w:r w:rsidRPr="000819CF">
        <w:rPr>
          <w:rFonts w:ascii="Traditional Arabic" w:hAnsi="Traditional Arabic"/>
          <w:noProof w:val="0"/>
          <w:rtl/>
          <w:lang w:eastAsia="en-US"/>
        </w:rPr>
        <w:t>متى حرم ربا الفضل حرم ربا النسيئة</w:t>
      </w:r>
      <w:r>
        <w:rPr>
          <w:rFonts w:hint="cs"/>
          <w:rtl/>
        </w:rPr>
        <w:t>................................................528</w:t>
      </w:r>
    </w:p>
    <w:p w:rsidR="004B6B30" w:rsidRPr="006734C7" w:rsidRDefault="004B6B30" w:rsidP="004B6B30">
      <w:pPr>
        <w:ind w:firstLine="0"/>
        <w:rPr>
          <w:rtl/>
        </w:rPr>
      </w:pPr>
      <w:r>
        <w:rPr>
          <w:rFonts w:hint="eastAsia"/>
          <w:rtl/>
        </w:rPr>
        <w:t>المثلي</w:t>
      </w:r>
      <w:r>
        <w:rPr>
          <w:rFonts w:hint="cs"/>
          <w:rtl/>
        </w:rPr>
        <w:t xml:space="preserve"> </w:t>
      </w:r>
      <w:r>
        <w:rPr>
          <w:rFonts w:hint="eastAsia"/>
          <w:rtl/>
        </w:rPr>
        <w:t>يضمن</w:t>
      </w:r>
      <w:r>
        <w:rPr>
          <w:rFonts w:hint="cs"/>
          <w:rtl/>
        </w:rPr>
        <w:t xml:space="preserve"> </w:t>
      </w:r>
      <w:r>
        <w:rPr>
          <w:rFonts w:hint="eastAsia"/>
          <w:rtl/>
        </w:rPr>
        <w:t>بمثله،</w:t>
      </w:r>
      <w:r>
        <w:rPr>
          <w:rFonts w:hint="cs"/>
          <w:rtl/>
        </w:rPr>
        <w:t xml:space="preserve"> </w:t>
      </w:r>
      <w:r>
        <w:rPr>
          <w:rFonts w:hint="eastAsia"/>
          <w:rtl/>
        </w:rPr>
        <w:t>والمتقوَّم</w:t>
      </w:r>
      <w:r>
        <w:rPr>
          <w:rFonts w:hint="cs"/>
          <w:rtl/>
        </w:rPr>
        <w:t xml:space="preserve"> </w:t>
      </w:r>
      <w:r>
        <w:rPr>
          <w:rFonts w:hint="eastAsia"/>
          <w:rtl/>
        </w:rPr>
        <w:t>يضمن</w:t>
      </w:r>
      <w:r>
        <w:rPr>
          <w:rFonts w:hint="cs"/>
          <w:rtl/>
        </w:rPr>
        <w:t xml:space="preserve"> </w:t>
      </w:r>
      <w:r>
        <w:rPr>
          <w:rFonts w:hint="eastAsia"/>
          <w:rtl/>
        </w:rPr>
        <w:t>بقيمته</w:t>
      </w:r>
      <w:r>
        <w:rPr>
          <w:rFonts w:hint="cs"/>
          <w:rtl/>
        </w:rPr>
        <w:t>..........................................</w:t>
      </w:r>
      <w:r>
        <w:rPr>
          <w:rtl/>
        </w:rPr>
        <w:tab/>
      </w:r>
      <w:r>
        <w:rPr>
          <w:rFonts w:hint="cs"/>
          <w:rtl/>
        </w:rPr>
        <w:t>543</w:t>
      </w:r>
    </w:p>
    <w:p w:rsidR="004B6B30" w:rsidRDefault="004B6B30" w:rsidP="004B6B30">
      <w:pPr>
        <w:ind w:firstLine="0"/>
        <w:rPr>
          <w:rtl/>
        </w:rPr>
      </w:pPr>
      <w:r w:rsidRPr="008803C3">
        <w:rPr>
          <w:rFonts w:ascii="Traditional Arabic" w:hAnsi="Traditional Arabic"/>
          <w:noProof w:val="0"/>
          <w:color w:val="auto"/>
          <w:rtl/>
          <w:lang w:eastAsia="en-US"/>
        </w:rPr>
        <w:t>مسائل القرب لا يصح الاستئجار عليها</w:t>
      </w:r>
      <w:r>
        <w:rPr>
          <w:rFonts w:ascii="Traditional Arabic" w:hAnsi="Traditional Arabic" w:hint="cs"/>
          <w:color w:val="auto"/>
          <w:rtl/>
        </w:rPr>
        <w:t>...........................................</w:t>
      </w:r>
      <w:r w:rsidRPr="008803C3">
        <w:rPr>
          <w:rFonts w:ascii="Traditional Arabic" w:hAnsi="Traditional Arabic"/>
          <w:color w:val="auto"/>
          <w:rtl/>
        </w:rPr>
        <w:t>.</w:t>
      </w:r>
      <w:r>
        <w:rPr>
          <w:rFonts w:hint="cs"/>
          <w:rtl/>
        </w:rPr>
        <w:t>567</w:t>
      </w:r>
    </w:p>
    <w:p w:rsidR="004B6B30" w:rsidRDefault="004B6B30" w:rsidP="004B6B30">
      <w:pPr>
        <w:pStyle w:val="Index1"/>
        <w:rPr>
          <w:rtl/>
        </w:rPr>
      </w:pPr>
      <w:r>
        <w:rPr>
          <w:rFonts w:hint="eastAsia"/>
          <w:rtl/>
        </w:rPr>
        <w:t>من</w:t>
      </w:r>
      <w:r>
        <w:rPr>
          <w:rFonts w:hint="cs"/>
          <w:rtl/>
        </w:rPr>
        <w:t xml:space="preserve"> </w:t>
      </w:r>
      <w:r>
        <w:rPr>
          <w:rFonts w:hint="eastAsia"/>
          <w:rtl/>
        </w:rPr>
        <w:t>فات</w:t>
      </w:r>
      <w:r>
        <w:rPr>
          <w:rFonts w:hint="cs"/>
          <w:rtl/>
        </w:rPr>
        <w:t xml:space="preserve"> </w:t>
      </w:r>
      <w:r>
        <w:rPr>
          <w:rFonts w:hint="eastAsia"/>
          <w:rtl/>
        </w:rPr>
        <w:t>غرضه</w:t>
      </w:r>
      <w:r>
        <w:rPr>
          <w:rFonts w:hint="cs"/>
          <w:rtl/>
        </w:rPr>
        <w:t xml:space="preserve"> </w:t>
      </w:r>
      <w:r>
        <w:rPr>
          <w:rFonts w:hint="eastAsia"/>
          <w:rtl/>
        </w:rPr>
        <w:t>فله</w:t>
      </w:r>
      <w:r>
        <w:rPr>
          <w:rFonts w:hint="cs"/>
          <w:rtl/>
        </w:rPr>
        <w:t xml:space="preserve"> </w:t>
      </w:r>
      <w:r>
        <w:rPr>
          <w:rFonts w:hint="eastAsia"/>
          <w:rtl/>
        </w:rPr>
        <w:t>الخيار</w:t>
      </w:r>
      <w:r>
        <w:rPr>
          <w:rFonts w:hint="cs"/>
          <w:rtl/>
        </w:rPr>
        <w:t>.........................................................516</w:t>
      </w:r>
    </w:p>
    <w:p w:rsidR="004B6B30" w:rsidRPr="0000302E" w:rsidRDefault="004B6B30" w:rsidP="004B6B30">
      <w:pPr>
        <w:ind w:firstLine="0"/>
        <w:rPr>
          <w:rtl/>
        </w:rPr>
      </w:pPr>
      <w:r>
        <w:rPr>
          <w:rFonts w:hint="cs"/>
          <w:rtl/>
        </w:rPr>
        <w:t>الوضيعة بقدر المال...............................................................560</w:t>
      </w:r>
    </w:p>
    <w:p w:rsidR="004B6B30" w:rsidRPr="008803C3" w:rsidRDefault="004B6B30" w:rsidP="004B6B30">
      <w:pPr>
        <w:ind w:firstLine="0"/>
        <w:rPr>
          <w:color w:val="auto"/>
        </w:rPr>
      </w:pPr>
      <w:r w:rsidRPr="008803C3">
        <w:rPr>
          <w:rFonts w:hint="cs"/>
          <w:color w:val="auto"/>
          <w:rtl/>
        </w:rPr>
        <w:t>يد المستعير يد أمانة</w:t>
      </w:r>
      <w:r>
        <w:rPr>
          <w:rFonts w:hint="cs"/>
          <w:color w:val="auto"/>
          <w:rtl/>
        </w:rPr>
        <w:t>..............................................................577</w:t>
      </w:r>
    </w:p>
    <w:p w:rsidR="001C3F19" w:rsidRDefault="001C3F19" w:rsidP="006734C7">
      <w:pPr>
        <w:pStyle w:val="Index1"/>
        <w:rPr>
          <w:rtl/>
        </w:rPr>
        <w:sectPr w:rsidR="001C3F19" w:rsidSect="001C3F19">
          <w:footnotePr>
            <w:numRestart w:val="eachPage"/>
          </w:footnotePr>
          <w:type w:val="continuous"/>
          <w:pgSz w:w="11906" w:h="16838" w:code="9"/>
          <w:pgMar w:top="1418" w:right="1134" w:bottom="1418" w:left="1418" w:header="567" w:footer="737" w:gutter="567"/>
          <w:cols w:space="720"/>
          <w:titlePg/>
          <w:bidi/>
          <w:rtlGutter/>
          <w:docGrid w:linePitch="490"/>
        </w:sectPr>
      </w:pPr>
    </w:p>
    <w:p w:rsidR="001351E5" w:rsidRDefault="00AB0B9E" w:rsidP="00597C20">
      <w:pPr>
        <w:ind w:firstLine="0"/>
        <w:rPr>
          <w:rtl/>
        </w:rPr>
      </w:pPr>
      <w:r>
        <w:rPr>
          <w:rtl/>
        </w:rPr>
        <w:lastRenderedPageBreak/>
        <w:fldChar w:fldCharType="end"/>
      </w:r>
    </w:p>
    <w:p w:rsidR="00531753" w:rsidRDefault="00531753" w:rsidP="00597C20">
      <w:pPr>
        <w:ind w:firstLine="0"/>
      </w:pPr>
    </w:p>
    <w:p w:rsidR="00531753" w:rsidRDefault="00531753" w:rsidP="00597C20">
      <w:pPr>
        <w:ind w:firstLine="0"/>
        <w:sectPr w:rsidR="00531753" w:rsidSect="001C3F19">
          <w:footnotePr>
            <w:numRestart w:val="eachPage"/>
          </w:footnotePr>
          <w:type w:val="continuous"/>
          <w:pgSz w:w="11906" w:h="16838" w:code="9"/>
          <w:pgMar w:top="1418" w:right="1134" w:bottom="1418" w:left="1418" w:header="567" w:footer="737" w:gutter="567"/>
          <w:cols w:space="708"/>
          <w:titlePg/>
          <w:bidi/>
          <w:rtlGutter/>
          <w:docGrid w:linePitch="490"/>
        </w:sectPr>
      </w:pPr>
    </w:p>
    <w:p w:rsidR="00531753" w:rsidRDefault="00531753" w:rsidP="00597C20">
      <w:pPr>
        <w:pStyle w:val="aff0"/>
        <w:rPr>
          <w:rtl/>
        </w:rPr>
      </w:pPr>
      <w:bookmarkStart w:id="555" w:name="_Toc334046729"/>
      <w:r w:rsidRPr="000E23B1">
        <w:rPr>
          <w:rFonts w:hint="cs"/>
          <w:rtl/>
        </w:rPr>
        <w:lastRenderedPageBreak/>
        <w:t>فهرس ال</w:t>
      </w:r>
      <w:r>
        <w:rPr>
          <w:rFonts w:hint="cs"/>
          <w:rtl/>
        </w:rPr>
        <w:t>مصادر والمراجع</w:t>
      </w:r>
      <w:bookmarkEnd w:id="555"/>
    </w:p>
    <w:p w:rsidR="006960FA" w:rsidRDefault="006960FA" w:rsidP="00597C20">
      <w:pPr>
        <w:spacing w:line="360" w:lineRule="auto"/>
        <w:ind w:left="1132" w:firstLine="0"/>
        <w:rPr>
          <w:b/>
          <w:bCs/>
          <w:rtl/>
        </w:rPr>
      </w:pPr>
      <w:r w:rsidRPr="006960FA">
        <w:rPr>
          <w:b/>
          <w:bCs/>
          <w:rtl/>
        </w:rPr>
        <w:t>أولاً : كتب الشيخ ابن عثيمـين (رحمه الله)</w:t>
      </w:r>
    </w:p>
    <w:p w:rsidR="006960FA" w:rsidRPr="006960FA" w:rsidRDefault="006960FA" w:rsidP="00597C20">
      <w:pPr>
        <w:spacing w:line="360" w:lineRule="auto"/>
        <w:ind w:left="1132" w:firstLine="0"/>
        <w:rPr>
          <w:b/>
          <w:bCs/>
        </w:rPr>
      </w:pPr>
      <w:r w:rsidRPr="006960FA">
        <w:rPr>
          <w:b/>
          <w:bCs/>
          <w:rtl/>
        </w:rPr>
        <w:t xml:space="preserve">ثانياً : المصـادر والمراجـع </w:t>
      </w:r>
      <w:r>
        <w:rPr>
          <w:b/>
          <w:bCs/>
          <w:rtl/>
        </w:rPr>
        <w:t>المطبوعــة</w:t>
      </w:r>
    </w:p>
    <w:p w:rsidR="006960FA" w:rsidRPr="006960FA" w:rsidRDefault="006960FA" w:rsidP="00597C20">
      <w:pPr>
        <w:spacing w:line="360" w:lineRule="auto"/>
        <w:ind w:left="1132" w:firstLine="0"/>
        <w:rPr>
          <w:b/>
          <w:bCs/>
          <w:rtl/>
        </w:rPr>
      </w:pPr>
      <w:r w:rsidRPr="006960FA">
        <w:rPr>
          <w:b/>
          <w:bCs/>
          <w:rtl/>
        </w:rPr>
        <w:t>ثالثاً :  الأشرطة السمعية</w:t>
      </w:r>
    </w:p>
    <w:p w:rsidR="006960FA" w:rsidRDefault="006960FA" w:rsidP="00597C20">
      <w:pPr>
        <w:widowControl/>
        <w:ind w:firstLine="0"/>
        <w:jc w:val="left"/>
        <w:rPr>
          <w:rtl/>
        </w:rPr>
      </w:pPr>
      <w:r>
        <w:rPr>
          <w:rtl/>
        </w:rPr>
        <w:br w:type="page"/>
      </w:r>
    </w:p>
    <w:p w:rsidR="006960FA" w:rsidRPr="006960FA" w:rsidRDefault="006960FA" w:rsidP="00597C20">
      <w:pPr>
        <w:pStyle w:val="53"/>
        <w:rPr>
          <w:rtl/>
        </w:rPr>
      </w:pPr>
      <w:r w:rsidRPr="006960FA">
        <w:rPr>
          <w:rtl/>
        </w:rPr>
        <w:lastRenderedPageBreak/>
        <w:t>أولاً : كتب الشيخ ابن عثيمـين (رحمه الله) :</w:t>
      </w:r>
    </w:p>
    <w:p w:rsidR="006960FA" w:rsidRPr="006960FA" w:rsidRDefault="006960FA" w:rsidP="000A76C7">
      <w:pPr>
        <w:pStyle w:val="afc"/>
        <w:numPr>
          <w:ilvl w:val="0"/>
          <w:numId w:val="325"/>
        </w:numPr>
      </w:pPr>
      <w:r w:rsidRPr="006960FA">
        <w:rPr>
          <w:rtl/>
        </w:rPr>
        <w:t>أحكام من ال</w:t>
      </w:r>
      <w:r w:rsidR="00102A1C">
        <w:rPr>
          <w:rtl/>
        </w:rPr>
        <w:t xml:space="preserve">قرآن الكريم، مدار الوطن، </w:t>
      </w:r>
      <w:r w:rsidR="00102A1C">
        <w:rPr>
          <w:rFonts w:hint="cs"/>
          <w:rtl/>
        </w:rPr>
        <w:t>الرياض، الطبعة الأولى: 1428ه.</w:t>
      </w:r>
    </w:p>
    <w:p w:rsidR="006960FA" w:rsidRDefault="006960FA" w:rsidP="000A76C7">
      <w:pPr>
        <w:pStyle w:val="afc"/>
        <w:numPr>
          <w:ilvl w:val="0"/>
          <w:numId w:val="325"/>
        </w:numPr>
      </w:pPr>
      <w:r w:rsidRPr="006960FA">
        <w:rPr>
          <w:rtl/>
        </w:rPr>
        <w:t>الأصول من علم الأصول، الطبعة الأول</w:t>
      </w:r>
      <w:r w:rsidRPr="006960FA">
        <w:rPr>
          <w:rFonts w:hint="cs"/>
          <w:rtl/>
        </w:rPr>
        <w:t>ى</w:t>
      </w:r>
      <w:r w:rsidRPr="006960FA">
        <w:rPr>
          <w:rtl/>
        </w:rPr>
        <w:t>، دار ابن الجوزي ، 1424هـ.</w:t>
      </w:r>
    </w:p>
    <w:p w:rsidR="008D0F19" w:rsidRPr="006960FA" w:rsidRDefault="008D0F19" w:rsidP="000A76C7">
      <w:pPr>
        <w:pStyle w:val="afc"/>
        <w:numPr>
          <w:ilvl w:val="0"/>
          <w:numId w:val="325"/>
        </w:numPr>
      </w:pPr>
      <w:r>
        <w:rPr>
          <w:rFonts w:hint="cs"/>
          <w:rtl/>
        </w:rPr>
        <w:t>تسهيل الفرائض، دار ابن الجوزي، الرياض، 1430ه.</w:t>
      </w:r>
    </w:p>
    <w:p w:rsidR="006960FA" w:rsidRDefault="006960FA" w:rsidP="000A76C7">
      <w:pPr>
        <w:pStyle w:val="afc"/>
        <w:numPr>
          <w:ilvl w:val="0"/>
          <w:numId w:val="325"/>
        </w:numPr>
      </w:pPr>
      <w:r w:rsidRPr="006960FA">
        <w:rPr>
          <w:rtl/>
        </w:rPr>
        <w:t>التعليق على السياسية الشرعية في إصلاح الراعي والرعية لشيخ الإسلام ابن تيمية، الطبعة الأولى، مدار الوطن ، 1427هـ.</w:t>
      </w:r>
    </w:p>
    <w:p w:rsidR="00102A1C" w:rsidRDefault="00102A1C" w:rsidP="000A76C7">
      <w:pPr>
        <w:pStyle w:val="afc"/>
        <w:numPr>
          <w:ilvl w:val="0"/>
          <w:numId w:val="325"/>
        </w:numPr>
      </w:pPr>
      <w:r>
        <w:rPr>
          <w:rFonts w:hint="cs"/>
          <w:rtl/>
        </w:rPr>
        <w:t>التعليق على القواعد الحسان المتعلقة بتفسي</w:t>
      </w:r>
      <w:r w:rsidR="00FA5AFB">
        <w:rPr>
          <w:rFonts w:hint="cs"/>
          <w:rtl/>
        </w:rPr>
        <w:t>ر القرآن، دار ابن الجوزي، الدمام</w:t>
      </w:r>
      <w:r>
        <w:rPr>
          <w:rFonts w:hint="cs"/>
          <w:rtl/>
        </w:rPr>
        <w:t>، الطبعة الأولى: 1431ه.</w:t>
      </w:r>
    </w:p>
    <w:p w:rsidR="00102A1C" w:rsidRPr="006960FA" w:rsidRDefault="00102A1C" w:rsidP="000A76C7">
      <w:pPr>
        <w:pStyle w:val="afc"/>
        <w:numPr>
          <w:ilvl w:val="0"/>
          <w:numId w:val="325"/>
        </w:numPr>
      </w:pPr>
      <w:r>
        <w:rPr>
          <w:rFonts w:hint="cs"/>
          <w:rtl/>
        </w:rPr>
        <w:t>التعليق على القواعد والأصول الجامعة والفروق والتقاسيم البديعة النافعة</w:t>
      </w:r>
      <w:r w:rsidR="00CC47BA">
        <w:rPr>
          <w:rFonts w:hint="cs"/>
          <w:rtl/>
        </w:rPr>
        <w:t>، طبع مؤسسة الشيخ محمد بن صالح العثيمين الخيرية، الطبعة الأولى: 1430ه.</w:t>
      </w:r>
    </w:p>
    <w:p w:rsidR="006960FA" w:rsidRPr="006960FA" w:rsidRDefault="006960FA" w:rsidP="000A76C7">
      <w:pPr>
        <w:pStyle w:val="afc"/>
        <w:numPr>
          <w:ilvl w:val="0"/>
          <w:numId w:val="325"/>
        </w:numPr>
        <w:rPr>
          <w:rtl/>
        </w:rPr>
      </w:pPr>
      <w:r w:rsidRPr="006960FA">
        <w:rPr>
          <w:rtl/>
        </w:rPr>
        <w:t>التعليق على المنتقى من أخبار المصطفى (</w:t>
      </w:r>
      <w:r w:rsidRPr="006960FA">
        <w:sym w:font="AGA Arabesque" w:char="F065"/>
      </w:r>
      <w:r w:rsidRPr="006960FA">
        <w:rPr>
          <w:rtl/>
        </w:rPr>
        <w:t>)، الطبعة الأولى، دار المحدِّث، 1426هـ.</w:t>
      </w:r>
    </w:p>
    <w:p w:rsidR="006960FA" w:rsidRDefault="006960FA" w:rsidP="000A76C7">
      <w:pPr>
        <w:pStyle w:val="afc"/>
        <w:numPr>
          <w:ilvl w:val="0"/>
          <w:numId w:val="325"/>
        </w:numPr>
      </w:pPr>
      <w:r w:rsidRPr="006960FA">
        <w:rPr>
          <w:rtl/>
        </w:rPr>
        <w:t>التعليق على صحيح مسلم، الطبعة الأولى، مكتبة الرشد، 1427هـ.</w:t>
      </w:r>
    </w:p>
    <w:p w:rsidR="00342CD0" w:rsidRPr="006960FA" w:rsidRDefault="00342CD0" w:rsidP="000A76C7">
      <w:pPr>
        <w:pStyle w:val="afc"/>
        <w:numPr>
          <w:ilvl w:val="0"/>
          <w:numId w:val="325"/>
        </w:numPr>
      </w:pPr>
      <w:r>
        <w:rPr>
          <w:rFonts w:hint="cs"/>
          <w:rtl/>
        </w:rPr>
        <w:t>التفسير الثمين للعلامة ا</w:t>
      </w:r>
      <w:bookmarkStart w:id="556" w:name="_GoBack"/>
      <w:bookmarkEnd w:id="556"/>
      <w:r>
        <w:rPr>
          <w:rFonts w:hint="cs"/>
          <w:rtl/>
        </w:rPr>
        <w:t>لعثيمين، اعتنى به: أشرف بن كمال، مكتبة الطبري، القاهرة، الطبعة الأولى: 1430ه.</w:t>
      </w:r>
    </w:p>
    <w:p w:rsidR="006960FA" w:rsidRDefault="006960FA" w:rsidP="000A76C7">
      <w:pPr>
        <w:pStyle w:val="afc"/>
        <w:numPr>
          <w:ilvl w:val="0"/>
          <w:numId w:val="325"/>
        </w:numPr>
      </w:pPr>
      <w:r w:rsidRPr="006960FA">
        <w:rPr>
          <w:rtl/>
        </w:rPr>
        <w:t>تفسير القرآن الكريم (سورة آل عمران)، الطبعة الأول</w:t>
      </w:r>
      <w:r w:rsidRPr="006960FA">
        <w:rPr>
          <w:rFonts w:hint="cs"/>
          <w:rtl/>
        </w:rPr>
        <w:t>ى</w:t>
      </w:r>
      <w:r w:rsidRPr="006960FA">
        <w:rPr>
          <w:rtl/>
        </w:rPr>
        <w:t>، دار ابن الجوزي، 1426هـ.</w:t>
      </w:r>
    </w:p>
    <w:p w:rsidR="00DF4499" w:rsidRDefault="00DF4499" w:rsidP="000A76C7">
      <w:pPr>
        <w:pStyle w:val="afc"/>
        <w:numPr>
          <w:ilvl w:val="0"/>
          <w:numId w:val="325"/>
        </w:numPr>
      </w:pPr>
      <w:r>
        <w:rPr>
          <w:rFonts w:hint="cs"/>
          <w:rtl/>
        </w:rPr>
        <w:t xml:space="preserve">تفسير القرآن الكريم (سورة ص)، دار الثريا، </w:t>
      </w:r>
      <w:r w:rsidR="001B6D44">
        <w:rPr>
          <w:rFonts w:hint="cs"/>
          <w:rtl/>
        </w:rPr>
        <w:t>الرياض، الطبعة الأولى: 1425ه.</w:t>
      </w:r>
    </w:p>
    <w:p w:rsidR="00615DA1" w:rsidRDefault="00615DA1" w:rsidP="000A76C7">
      <w:pPr>
        <w:pStyle w:val="afc"/>
        <w:numPr>
          <w:ilvl w:val="0"/>
          <w:numId w:val="325"/>
        </w:numPr>
      </w:pPr>
      <w:r>
        <w:rPr>
          <w:rFonts w:hint="cs"/>
          <w:rtl/>
        </w:rPr>
        <w:t>تفسير القرآن الكريم (سورة الصافات)، دار الثريا، الرياض، الطبعة الأولى: 1424ه.</w:t>
      </w:r>
    </w:p>
    <w:p w:rsidR="000A00CE" w:rsidRPr="006960FA" w:rsidRDefault="000A00CE" w:rsidP="000A76C7">
      <w:pPr>
        <w:pStyle w:val="afc"/>
        <w:numPr>
          <w:ilvl w:val="0"/>
          <w:numId w:val="325"/>
        </w:numPr>
      </w:pPr>
      <w:r>
        <w:rPr>
          <w:rFonts w:hint="cs"/>
          <w:rtl/>
        </w:rPr>
        <w:t>تفسير القرآن الكريم (سورة النساء)، دار ابن الجوزي، الدمام، الطبعة الأولى: 1430ه.</w:t>
      </w:r>
    </w:p>
    <w:p w:rsidR="006960FA" w:rsidRDefault="006960FA" w:rsidP="000A76C7">
      <w:pPr>
        <w:pStyle w:val="afc"/>
        <w:numPr>
          <w:ilvl w:val="0"/>
          <w:numId w:val="325"/>
        </w:numPr>
      </w:pPr>
      <w:r w:rsidRPr="006960FA">
        <w:rPr>
          <w:rtl/>
        </w:rPr>
        <w:t>تفســير القرآن الكريم (الفاتحة – البقرة)، الطبعة الأولى، دار ابن الجوزي، 1423هـ.</w:t>
      </w:r>
    </w:p>
    <w:p w:rsidR="00395178" w:rsidRDefault="0084207F" w:rsidP="000A76C7">
      <w:pPr>
        <w:pStyle w:val="afc"/>
        <w:numPr>
          <w:ilvl w:val="0"/>
          <w:numId w:val="325"/>
        </w:numPr>
      </w:pPr>
      <w:r>
        <w:rPr>
          <w:rFonts w:hint="cs"/>
          <w:rtl/>
        </w:rPr>
        <w:t>تنبيه الأفهام شرح عمدة الأحكام</w:t>
      </w:r>
      <w:r w:rsidR="00455F51">
        <w:rPr>
          <w:rFonts w:hint="cs"/>
          <w:rtl/>
        </w:rPr>
        <w:t>، مكتبة الصحابة، الشارقة، الطبعة الأولى.</w:t>
      </w:r>
    </w:p>
    <w:p w:rsidR="0084207F" w:rsidRPr="006960FA" w:rsidRDefault="00395178" w:rsidP="000A76C7">
      <w:pPr>
        <w:pStyle w:val="afc"/>
        <w:numPr>
          <w:ilvl w:val="0"/>
          <w:numId w:val="325"/>
        </w:numPr>
      </w:pPr>
      <w:r>
        <w:rPr>
          <w:rFonts w:hint="cs"/>
          <w:rtl/>
        </w:rPr>
        <w:t>شرح آية الطهارة من سورة المائدة، دار النفائس والآثار، الكويت، الطبعة الأولى: 1413ه.</w:t>
      </w:r>
      <w:r w:rsidR="0084207F">
        <w:rPr>
          <w:rFonts w:hint="cs"/>
          <w:rtl/>
        </w:rPr>
        <w:t xml:space="preserve"> </w:t>
      </w:r>
    </w:p>
    <w:p w:rsidR="006960FA" w:rsidRDefault="006960FA" w:rsidP="000A76C7">
      <w:pPr>
        <w:pStyle w:val="afc"/>
        <w:numPr>
          <w:ilvl w:val="0"/>
          <w:numId w:val="325"/>
        </w:numPr>
      </w:pPr>
      <w:r w:rsidRPr="006960FA">
        <w:rPr>
          <w:rtl/>
        </w:rPr>
        <w:t>شرح الأربعين النووية ، الطبعة الأول</w:t>
      </w:r>
      <w:r w:rsidRPr="006960FA">
        <w:rPr>
          <w:rFonts w:hint="cs"/>
          <w:rtl/>
        </w:rPr>
        <w:t>ى</w:t>
      </w:r>
      <w:r w:rsidR="000A00CE">
        <w:rPr>
          <w:rtl/>
        </w:rPr>
        <w:t>، دار الثريا، 1424هـ</w:t>
      </w:r>
      <w:r w:rsidR="000A00CE">
        <w:rPr>
          <w:rFonts w:hint="cs"/>
          <w:rtl/>
        </w:rPr>
        <w:t>.</w:t>
      </w:r>
    </w:p>
    <w:p w:rsidR="00AF295C" w:rsidRPr="006960FA" w:rsidRDefault="00AF295C" w:rsidP="000A76C7">
      <w:pPr>
        <w:pStyle w:val="afc"/>
        <w:numPr>
          <w:ilvl w:val="0"/>
          <w:numId w:val="325"/>
        </w:numPr>
      </w:pPr>
      <w:r>
        <w:rPr>
          <w:rFonts w:hint="cs"/>
          <w:rtl/>
        </w:rPr>
        <w:t>شرح صحيح البخاري، المكتبة الإسلامية، القاهرة، والنبلاء للكتاب، مراكش، الطبعة الأولى: 1428ه.</w:t>
      </w:r>
    </w:p>
    <w:p w:rsidR="006960FA" w:rsidRPr="006960FA" w:rsidRDefault="006960FA" w:rsidP="000A76C7">
      <w:pPr>
        <w:pStyle w:val="afc"/>
        <w:numPr>
          <w:ilvl w:val="0"/>
          <w:numId w:val="325"/>
        </w:numPr>
      </w:pPr>
      <w:r w:rsidRPr="006960FA">
        <w:rPr>
          <w:rtl/>
        </w:rPr>
        <w:lastRenderedPageBreak/>
        <w:t>شرح العقيدة الواسطية، إعداد: فهد بن ناصر السليمان، الطبعة الثانية، طبع على نفقة سليمان بن عبدالعزيز الراجحي، 1420هـ.</w:t>
      </w:r>
    </w:p>
    <w:p w:rsidR="006960FA" w:rsidRPr="006960FA" w:rsidRDefault="006960FA" w:rsidP="000A76C7">
      <w:pPr>
        <w:pStyle w:val="afc"/>
        <w:numPr>
          <w:ilvl w:val="0"/>
          <w:numId w:val="325"/>
        </w:numPr>
      </w:pPr>
      <w:r w:rsidRPr="006960FA">
        <w:rPr>
          <w:rtl/>
        </w:rPr>
        <w:t>الشرح الممتع على زاد المستقنع، الطبعة الأولى، دار ابن الجوزي، 1422هـ، 1423هـ، 1424هـ ، 1425هـ ، 1426هـ ، 1427هـ ، 1428هـ.</w:t>
      </w:r>
    </w:p>
    <w:p w:rsidR="006960FA" w:rsidRDefault="006960FA" w:rsidP="000A76C7">
      <w:pPr>
        <w:pStyle w:val="afc"/>
        <w:numPr>
          <w:ilvl w:val="0"/>
          <w:numId w:val="325"/>
        </w:numPr>
      </w:pPr>
      <w:r w:rsidRPr="006960FA">
        <w:rPr>
          <w:rtl/>
        </w:rPr>
        <w:t>شـرح رياض الصالحين من كلام س</w:t>
      </w:r>
      <w:r w:rsidR="0084207F">
        <w:rPr>
          <w:rtl/>
        </w:rPr>
        <w:t>يد المرسلين، مدار الوطن،</w:t>
      </w:r>
      <w:r w:rsidR="0084207F">
        <w:rPr>
          <w:rFonts w:hint="cs"/>
          <w:rtl/>
        </w:rPr>
        <w:t xml:space="preserve"> الرياض،</w:t>
      </w:r>
      <w:r w:rsidR="0084207F">
        <w:rPr>
          <w:rtl/>
        </w:rPr>
        <w:t xml:space="preserve"> </w:t>
      </w:r>
      <w:r w:rsidR="0084207F">
        <w:rPr>
          <w:rFonts w:hint="cs"/>
          <w:rtl/>
        </w:rPr>
        <w:t>1426</w:t>
      </w:r>
      <w:r w:rsidRPr="006960FA">
        <w:rPr>
          <w:rtl/>
        </w:rPr>
        <w:t>هـ.</w:t>
      </w:r>
    </w:p>
    <w:p w:rsidR="00CC47BA" w:rsidRPr="006960FA" w:rsidRDefault="00CC47BA" w:rsidP="000A76C7">
      <w:pPr>
        <w:pStyle w:val="afc"/>
        <w:numPr>
          <w:ilvl w:val="0"/>
          <w:numId w:val="325"/>
        </w:numPr>
      </w:pPr>
      <w:r>
        <w:rPr>
          <w:rFonts w:hint="cs"/>
          <w:rtl/>
        </w:rPr>
        <w:t>شرح منظومة أصول الفقه وقواعده، دار ابن الجوزي، الرياض، الطبعة الثانية: 1430ه.</w:t>
      </w:r>
    </w:p>
    <w:p w:rsidR="006960FA" w:rsidRDefault="006960FA" w:rsidP="000A76C7">
      <w:pPr>
        <w:pStyle w:val="afc"/>
        <w:numPr>
          <w:ilvl w:val="0"/>
          <w:numId w:val="325"/>
        </w:numPr>
      </w:pPr>
      <w:r w:rsidRPr="006960FA">
        <w:rPr>
          <w:rtl/>
        </w:rPr>
        <w:t>شرح نظم الورقات في أصول الفقه ، الطبعة الأولى، دار ابن الجوزي ، 1425هـ.</w:t>
      </w:r>
    </w:p>
    <w:p w:rsidR="00184C26" w:rsidRPr="006960FA" w:rsidRDefault="00184C26" w:rsidP="000A76C7">
      <w:pPr>
        <w:pStyle w:val="afc"/>
        <w:numPr>
          <w:ilvl w:val="0"/>
          <w:numId w:val="325"/>
        </w:numPr>
      </w:pPr>
      <w:r>
        <w:rPr>
          <w:rFonts w:hint="cs"/>
          <w:rtl/>
        </w:rPr>
        <w:t>ا</w:t>
      </w:r>
      <w:r w:rsidR="00172146">
        <w:rPr>
          <w:rFonts w:hint="cs"/>
          <w:rtl/>
        </w:rPr>
        <w:t>لضياء اللامع من الخطب الجوامع، القسم الأول، طبع ونشر: الرئاسة العامة لإدارات البحوث العلمية والإفتاء والدعوة والإرشاد، الرياض، الطبعة الثالثة: 1403ه.</w:t>
      </w:r>
    </w:p>
    <w:p w:rsidR="006960FA" w:rsidRPr="006960FA" w:rsidRDefault="006960FA" w:rsidP="000A76C7">
      <w:pPr>
        <w:pStyle w:val="afc"/>
        <w:numPr>
          <w:ilvl w:val="0"/>
          <w:numId w:val="325"/>
        </w:numPr>
      </w:pPr>
      <w:r w:rsidRPr="006960FA">
        <w:rPr>
          <w:rtl/>
        </w:rPr>
        <w:t>فتاوى أركان الإسلام، جمع وترتيب: فهد بن ناصر السلمان، الطبعة الثانية، دار الثريا ، 1426هـ.</w:t>
      </w:r>
    </w:p>
    <w:p w:rsidR="006960FA" w:rsidRPr="006960FA" w:rsidRDefault="006960FA" w:rsidP="000A76C7">
      <w:pPr>
        <w:pStyle w:val="afc"/>
        <w:numPr>
          <w:ilvl w:val="0"/>
          <w:numId w:val="325"/>
        </w:numPr>
      </w:pPr>
      <w:r w:rsidRPr="006960FA">
        <w:rPr>
          <w:rtl/>
        </w:rPr>
        <w:t>فتح ذي الجلال والإكرام بشرح بلوغ المرام، الطبعة الأولى، مدار الوطن، 1426هـ.</w:t>
      </w:r>
    </w:p>
    <w:p w:rsidR="006960FA" w:rsidRPr="006960FA" w:rsidRDefault="006960FA" w:rsidP="000A76C7">
      <w:pPr>
        <w:pStyle w:val="afc"/>
        <w:numPr>
          <w:ilvl w:val="0"/>
          <w:numId w:val="325"/>
        </w:numPr>
      </w:pPr>
      <w:r w:rsidRPr="006960FA">
        <w:rPr>
          <w:rtl/>
        </w:rPr>
        <w:t xml:space="preserve">فتح ذي الجلال والإكرام بشرح بلوغ المرام، تحقيق وتعليق: صبحي بن محمد رمضان، وأم إسراء بنت عرفة بيومي، </w:t>
      </w:r>
      <w:r w:rsidR="00172146">
        <w:rPr>
          <w:rFonts w:hint="cs"/>
          <w:rtl/>
        </w:rPr>
        <w:t xml:space="preserve">المكتبة الإسلامية، </w:t>
      </w:r>
      <w:r w:rsidR="00172146">
        <w:rPr>
          <w:rtl/>
        </w:rPr>
        <w:t>الطبعة الأولى</w:t>
      </w:r>
      <w:r w:rsidR="00172146">
        <w:rPr>
          <w:rFonts w:hint="cs"/>
          <w:rtl/>
        </w:rPr>
        <w:t>:</w:t>
      </w:r>
      <w:r w:rsidRPr="006960FA">
        <w:rPr>
          <w:rtl/>
        </w:rPr>
        <w:t xml:space="preserve"> 1427هـ.</w:t>
      </w:r>
    </w:p>
    <w:p w:rsidR="006960FA" w:rsidRPr="006960FA" w:rsidRDefault="006960FA" w:rsidP="000A76C7">
      <w:pPr>
        <w:pStyle w:val="afc"/>
        <w:numPr>
          <w:ilvl w:val="0"/>
          <w:numId w:val="325"/>
        </w:numPr>
      </w:pPr>
      <w:r w:rsidRPr="006960FA">
        <w:rPr>
          <w:rtl/>
        </w:rPr>
        <w:t>فقه العبادات، مدار الوطن، 1425هـ.</w:t>
      </w:r>
    </w:p>
    <w:p w:rsidR="00382990" w:rsidRPr="006960FA" w:rsidRDefault="00D858FA" w:rsidP="00D858FA">
      <w:pPr>
        <w:pStyle w:val="53"/>
        <w:numPr>
          <w:ilvl w:val="0"/>
          <w:numId w:val="325"/>
        </w:numPr>
        <w:rPr>
          <w:rtl/>
        </w:rPr>
      </w:pPr>
      <w:r w:rsidRPr="006960FA">
        <w:rPr>
          <w:rtl/>
        </w:rPr>
        <w:t>ثانياً : المصـادر والمراجـع المطبوعــة :</w:t>
      </w:r>
    </w:p>
    <w:p w:rsidR="003246CE" w:rsidRDefault="003246CE" w:rsidP="000A76C7">
      <w:pPr>
        <w:pStyle w:val="afc"/>
        <w:numPr>
          <w:ilvl w:val="0"/>
          <w:numId w:val="325"/>
        </w:numPr>
      </w:pPr>
      <w:r>
        <w:rPr>
          <w:rFonts w:hint="cs"/>
          <w:rtl/>
        </w:rPr>
        <w:t>القرآن الكريم.</w:t>
      </w:r>
    </w:p>
    <w:p w:rsidR="00382990" w:rsidRDefault="00382990" w:rsidP="000A76C7">
      <w:pPr>
        <w:pStyle w:val="afc"/>
        <w:numPr>
          <w:ilvl w:val="0"/>
          <w:numId w:val="325"/>
        </w:numPr>
      </w:pPr>
      <w:r>
        <w:rPr>
          <w:rFonts w:hint="cs"/>
          <w:rtl/>
        </w:rPr>
        <w:t>ابن عثيمين  الزاهد، جمع وتأليف: ناصر بن مسفر الزهراني، دار ابن الجوزي، الدمام، الطبعة الأولى: 1422ه.</w:t>
      </w:r>
    </w:p>
    <w:p w:rsidR="00382990" w:rsidRPr="006960FA" w:rsidRDefault="00382990" w:rsidP="000A76C7">
      <w:pPr>
        <w:pStyle w:val="afc"/>
        <w:numPr>
          <w:ilvl w:val="0"/>
          <w:numId w:val="325"/>
        </w:numPr>
        <w:rPr>
          <w:rtl/>
        </w:rPr>
      </w:pPr>
      <w:r>
        <w:rPr>
          <w:rFonts w:hint="cs"/>
          <w:rtl/>
        </w:rPr>
        <w:t>الإبهاج في شرح المنهاج على منهاج الوصول إلى علم الأصول لتقي الدين علي بن عبد الكافي السبكي وولده تاج الدين عبد الوهاب بن علي السبكي، تحقيق: شعبان محمد إسماعيل، المكتبة المكية، مكة، ودار ابن حزم، بيروت، الطبعة الأولى: 1425ه.</w:t>
      </w:r>
    </w:p>
    <w:p w:rsidR="00382990" w:rsidRPr="006960FA" w:rsidRDefault="00382990" w:rsidP="000A76C7">
      <w:pPr>
        <w:pStyle w:val="afc"/>
        <w:numPr>
          <w:ilvl w:val="0"/>
          <w:numId w:val="325"/>
        </w:numPr>
        <w:rPr>
          <w:rtl/>
        </w:rPr>
      </w:pPr>
      <w:r w:rsidRPr="006960FA">
        <w:rPr>
          <w:rtl/>
        </w:rPr>
        <w:t>الإثبات بالقرائن في الفقه الإسلامي لإبراهيم بن محمد الفايز</w:t>
      </w:r>
      <w:r w:rsidRPr="006960FA">
        <w:rPr>
          <w:rFonts w:hint="cs"/>
          <w:rtl/>
        </w:rPr>
        <w:t xml:space="preserve">، </w:t>
      </w:r>
      <w:r w:rsidRPr="006960FA">
        <w:rPr>
          <w:rtl/>
        </w:rPr>
        <w:t>المكتب الإسلامي بيروت ومكتبة أسامة الرياض</w:t>
      </w:r>
      <w:r w:rsidRPr="006960FA">
        <w:rPr>
          <w:rFonts w:hint="cs"/>
          <w:rtl/>
        </w:rPr>
        <w:t xml:space="preserve">، </w:t>
      </w:r>
      <w:r w:rsidRPr="006960FA">
        <w:rPr>
          <w:rtl/>
        </w:rPr>
        <w:t>الطبعة الثانية: 1403ه.</w:t>
      </w:r>
    </w:p>
    <w:p w:rsidR="00382990" w:rsidRPr="00D22935" w:rsidRDefault="00382990" w:rsidP="000A76C7">
      <w:pPr>
        <w:pStyle w:val="afc"/>
        <w:numPr>
          <w:ilvl w:val="0"/>
          <w:numId w:val="325"/>
        </w:numPr>
      </w:pPr>
      <w:r>
        <w:rPr>
          <w:rFonts w:hint="cs"/>
          <w:rtl/>
        </w:rPr>
        <w:t xml:space="preserve">أثر الأدلة المختلف فيها في اختلاف الفقهاء في الفقه الإسلامي لمصطفى ديب البغا، دار </w:t>
      </w:r>
      <w:r>
        <w:rPr>
          <w:rFonts w:hint="cs"/>
          <w:rtl/>
        </w:rPr>
        <w:lastRenderedPageBreak/>
        <w:t xml:space="preserve">القلم، دمشق، ودار العلوم الإنسانية، دمشق، الطبعة الرابعة: 1428ه.  </w:t>
      </w:r>
    </w:p>
    <w:p w:rsidR="00382990" w:rsidRDefault="00382990" w:rsidP="000A76C7">
      <w:pPr>
        <w:pStyle w:val="afc"/>
        <w:numPr>
          <w:ilvl w:val="0"/>
          <w:numId w:val="325"/>
        </w:numPr>
      </w:pPr>
      <w:r>
        <w:rPr>
          <w:rFonts w:hint="cs"/>
          <w:rtl/>
        </w:rPr>
        <w:t>الإجماع لبي بكر محمد بن إبراهيم بن المنذر النيسابوري، تحقيق: أبي حماد صغير أحمد بن محمد حنيف، دار عالم الكتب، 1424ه.</w:t>
      </w:r>
    </w:p>
    <w:p w:rsidR="00382990" w:rsidRDefault="00382990" w:rsidP="000A76C7">
      <w:pPr>
        <w:pStyle w:val="afc"/>
        <w:numPr>
          <w:ilvl w:val="0"/>
          <w:numId w:val="325"/>
        </w:numPr>
      </w:pPr>
      <w:r>
        <w:rPr>
          <w:rFonts w:hint="cs"/>
          <w:rtl/>
        </w:rPr>
        <w:t>أحكام القرآن لأبي محمد عبد المنعم بن عبد الرحيم، المعروف بابن الفرس الأندلسي، تحقيق: طه بوسريح ومنجية السوايحي وصلاح الدين بوعفيف، دار ابن حزم، بيروت، الطبعة الأولى: 1427ه.</w:t>
      </w:r>
    </w:p>
    <w:p w:rsidR="00382990" w:rsidRDefault="00382990" w:rsidP="000A76C7">
      <w:pPr>
        <w:pStyle w:val="afc"/>
        <w:numPr>
          <w:ilvl w:val="0"/>
          <w:numId w:val="325"/>
        </w:numPr>
      </w:pPr>
      <w:r>
        <w:rPr>
          <w:rFonts w:hint="cs"/>
          <w:rtl/>
        </w:rPr>
        <w:t>أحكام أهل الذمة لشمس الدين أبي عبد الله محمد بن أبي بكر، المعروف بابن قيم الجوزية، تحقيق: صبحي الصالح، دار العلم للملايين، بيروت، الطبعة الثالثة: 1983م.</w:t>
      </w:r>
    </w:p>
    <w:p w:rsidR="00382990" w:rsidRDefault="00382990" w:rsidP="000A76C7">
      <w:pPr>
        <w:pStyle w:val="afc"/>
        <w:numPr>
          <w:ilvl w:val="0"/>
          <w:numId w:val="325"/>
        </w:numPr>
      </w:pPr>
      <w:r>
        <w:rPr>
          <w:rFonts w:hint="cs"/>
          <w:rtl/>
        </w:rPr>
        <w:t xml:space="preserve">أحكام تصرفات الوكيل في عقود المعاوضات المالية لسلطان بن إبراهيم بن سلطان الهاشمي، دار البحوث للدراسات الإسلامية وإحياء التراث بالإمارات العربية المتحدة، الطبعة الأولى: 1422ه. </w:t>
      </w:r>
    </w:p>
    <w:p w:rsidR="00382990" w:rsidRDefault="00382990" w:rsidP="000A76C7">
      <w:pPr>
        <w:pStyle w:val="afc"/>
        <w:numPr>
          <w:ilvl w:val="0"/>
          <w:numId w:val="325"/>
        </w:numPr>
      </w:pPr>
      <w:r>
        <w:rPr>
          <w:rFonts w:hint="cs"/>
          <w:rtl/>
        </w:rPr>
        <w:t xml:space="preserve">الإحكام شرح أصول الأحكام لأبي محمد علي بن أحمد بن سعيد بن حزم الظاهري. </w:t>
      </w:r>
    </w:p>
    <w:p w:rsidR="00382990" w:rsidRDefault="00382990" w:rsidP="000A76C7">
      <w:pPr>
        <w:pStyle w:val="afc"/>
        <w:numPr>
          <w:ilvl w:val="0"/>
          <w:numId w:val="325"/>
        </w:numPr>
      </w:pPr>
      <w:r>
        <w:rPr>
          <w:rFonts w:hint="cs"/>
          <w:rtl/>
        </w:rPr>
        <w:t>الإحكام في أصول الأحكام لعلي بن محمد الآمدي، تعليق: عبد الرزاق عفيفي، دار الصميعي، الرياض، الطبعة الأولى: 1424ه.</w:t>
      </w:r>
    </w:p>
    <w:p w:rsidR="00382990" w:rsidRPr="006960FA" w:rsidRDefault="00382990" w:rsidP="000A76C7">
      <w:pPr>
        <w:pStyle w:val="afc"/>
        <w:numPr>
          <w:ilvl w:val="0"/>
          <w:numId w:val="325"/>
        </w:numPr>
        <w:rPr>
          <w:rtl/>
        </w:rPr>
      </w:pPr>
      <w:r w:rsidRPr="006960FA">
        <w:rPr>
          <w:rtl/>
        </w:rPr>
        <w:t>الأخبار العلمية من الاختيارات الفقهية لشيخ الإسلام ابن تيمية لعلاء الدين أبي الحسن علي بن محمد بن عباس البعلي، ومعه تعليقات وتصحيحات لفضيلة الشيخ محمد بن صالح العثيمين</w:t>
      </w:r>
      <w:r w:rsidRPr="006960FA">
        <w:rPr>
          <w:rFonts w:hint="cs"/>
          <w:rtl/>
        </w:rPr>
        <w:t>،</w:t>
      </w:r>
      <w:r w:rsidRPr="006960FA">
        <w:rPr>
          <w:rtl/>
        </w:rPr>
        <w:t xml:space="preserve"> تحقيق: أحمد بن حسن الخليل</w:t>
      </w:r>
      <w:r w:rsidRPr="006960FA">
        <w:rPr>
          <w:rFonts w:hint="cs"/>
          <w:rtl/>
        </w:rPr>
        <w:t xml:space="preserve">، </w:t>
      </w:r>
      <w:r w:rsidRPr="006960FA">
        <w:rPr>
          <w:rtl/>
        </w:rPr>
        <w:t>دار العاصمة</w:t>
      </w:r>
      <w:r w:rsidRPr="006960FA">
        <w:rPr>
          <w:rFonts w:hint="cs"/>
          <w:rtl/>
        </w:rPr>
        <w:t>، ال</w:t>
      </w:r>
      <w:r w:rsidRPr="006960FA">
        <w:rPr>
          <w:rtl/>
        </w:rPr>
        <w:t>ط</w:t>
      </w:r>
      <w:r w:rsidRPr="006960FA">
        <w:rPr>
          <w:rFonts w:hint="cs"/>
          <w:rtl/>
        </w:rPr>
        <w:t xml:space="preserve">بعة الأولى: </w:t>
      </w:r>
      <w:r w:rsidRPr="006960FA">
        <w:rPr>
          <w:rtl/>
        </w:rPr>
        <w:t>1418ه.</w:t>
      </w:r>
    </w:p>
    <w:p w:rsidR="00382990" w:rsidRDefault="00382990" w:rsidP="000A76C7">
      <w:pPr>
        <w:pStyle w:val="afc"/>
        <w:numPr>
          <w:ilvl w:val="0"/>
          <w:numId w:val="325"/>
        </w:numPr>
      </w:pPr>
      <w:r>
        <w:rPr>
          <w:rFonts w:hint="cs"/>
          <w:rtl/>
        </w:rPr>
        <w:t>اختلاف الدارين وآثاره في الشريعة الإسلامية لعبد العزيز بن مبروك الأحمدي، مطبوعات الجامعة الإسلامية بالمدينة المنورة، الطبعة الأولى: 1424ه.</w:t>
      </w:r>
    </w:p>
    <w:p w:rsidR="00382990" w:rsidRDefault="00382990" w:rsidP="000A76C7">
      <w:pPr>
        <w:pStyle w:val="afc"/>
        <w:numPr>
          <w:ilvl w:val="0"/>
          <w:numId w:val="325"/>
        </w:numPr>
      </w:pPr>
      <w:r>
        <w:rPr>
          <w:rFonts w:hint="cs"/>
          <w:rtl/>
        </w:rPr>
        <w:t>الاختيارات والترجيحات للشيخ محمد بن صالح العثيمين في كتابه الشرح الممتع لعبد الله بن يوسف الحافي، دار إيلاف الدولية، الكويت، الطبعة الأولى: 1420ه.</w:t>
      </w:r>
    </w:p>
    <w:p w:rsidR="00382990" w:rsidRDefault="00382990" w:rsidP="000A76C7">
      <w:pPr>
        <w:pStyle w:val="afc"/>
        <w:numPr>
          <w:ilvl w:val="0"/>
          <w:numId w:val="325"/>
        </w:numPr>
      </w:pPr>
      <w:r>
        <w:rPr>
          <w:rFonts w:hint="cs"/>
          <w:rtl/>
        </w:rPr>
        <w:t>إرشاد أولي البصائر والألباب لنيل الفقه بأقرب الطرق وأيسر الأسباب لعبد الرحمن بن ناصر السعدي، مكتبة المعارف، الرياض، 1400ه.</w:t>
      </w:r>
    </w:p>
    <w:p w:rsidR="00382990" w:rsidRPr="006960FA" w:rsidRDefault="00382990" w:rsidP="000A76C7">
      <w:pPr>
        <w:pStyle w:val="afc"/>
        <w:numPr>
          <w:ilvl w:val="0"/>
          <w:numId w:val="325"/>
        </w:numPr>
        <w:rPr>
          <w:rtl/>
        </w:rPr>
      </w:pPr>
      <w:r w:rsidRPr="006960FA">
        <w:rPr>
          <w:rFonts w:hint="cs"/>
          <w:rtl/>
        </w:rPr>
        <w:t>إرواء الغليل في تخريج أحاديث منار السبيل لمحمد ناصر الدين الألباني، إشراف: محمد زهير الشاويش، المكتب الإسلامي، الكبعة الأولى: 1399ه.</w:t>
      </w:r>
    </w:p>
    <w:p w:rsidR="00382990" w:rsidRPr="006960FA" w:rsidRDefault="00382990" w:rsidP="000A76C7">
      <w:pPr>
        <w:pStyle w:val="afc"/>
        <w:numPr>
          <w:ilvl w:val="0"/>
          <w:numId w:val="325"/>
        </w:numPr>
        <w:rPr>
          <w:rtl/>
        </w:rPr>
      </w:pPr>
      <w:r>
        <w:rPr>
          <w:rFonts w:hint="cs"/>
          <w:rtl/>
        </w:rPr>
        <w:lastRenderedPageBreak/>
        <w:t>أساس البلاغة لأبي القاسم جار الله محمود بن عمر بن أحمد الزمخشري، تحقيق: محمد باسل عيون السود، دار الكتب العلمية، بيروت، الطبعة الأولى: 1419ه.</w:t>
      </w:r>
    </w:p>
    <w:p w:rsidR="00382990" w:rsidRDefault="00382990" w:rsidP="000A76C7">
      <w:pPr>
        <w:pStyle w:val="afc"/>
        <w:numPr>
          <w:ilvl w:val="0"/>
          <w:numId w:val="325"/>
        </w:numPr>
      </w:pPr>
      <w:r>
        <w:rPr>
          <w:rFonts w:hint="cs"/>
          <w:rtl/>
        </w:rPr>
        <w:t>الاستثناء من القواعد الفقهية (أسبابه وآثاره) لعبد الرحمن بن عبد الله الشعلان، طبع جامعة  الإمام محمد بن سعود الإسلامية، الرياض، 1426ه.</w:t>
      </w:r>
    </w:p>
    <w:p w:rsidR="00382990" w:rsidRPr="006960FA" w:rsidRDefault="00382990" w:rsidP="000A76C7">
      <w:pPr>
        <w:pStyle w:val="afc"/>
        <w:numPr>
          <w:ilvl w:val="0"/>
          <w:numId w:val="325"/>
        </w:numPr>
        <w:rPr>
          <w:rtl/>
        </w:rPr>
      </w:pPr>
      <w:r>
        <w:rPr>
          <w:rFonts w:hint="cs"/>
          <w:rtl/>
        </w:rPr>
        <w:t>الاستيعاب في معرفة الأصحاب لأبي عمر يوسف بن عبد الله بن محمد بن عبد البر، تحقيق: علي محمد البجاوي، دار الجيل، بيروت، الطبعة الأولى: 1412ه.</w:t>
      </w:r>
    </w:p>
    <w:p w:rsidR="00382990" w:rsidRDefault="00382990" w:rsidP="000A76C7">
      <w:pPr>
        <w:pStyle w:val="afc"/>
        <w:numPr>
          <w:ilvl w:val="0"/>
          <w:numId w:val="325"/>
        </w:numPr>
      </w:pPr>
      <w:r>
        <w:rPr>
          <w:rFonts w:hint="cs"/>
          <w:rtl/>
        </w:rPr>
        <w:t>أسد الغابة في معرفة الصحابة لعز الدين أبي الحسن علي بن محمد ابن الأثير الجزري، دار الفكر، 1393ه.</w:t>
      </w:r>
    </w:p>
    <w:p w:rsidR="00382990" w:rsidRPr="006960FA" w:rsidRDefault="00382990" w:rsidP="000A76C7">
      <w:pPr>
        <w:pStyle w:val="afc"/>
        <w:numPr>
          <w:ilvl w:val="0"/>
          <w:numId w:val="325"/>
        </w:numPr>
        <w:rPr>
          <w:rtl/>
        </w:rPr>
      </w:pPr>
      <w:r w:rsidRPr="006960FA">
        <w:rPr>
          <w:rtl/>
        </w:rPr>
        <w:t>أسنى المطالب شرح روض الطالب لأبي يحي زكريا الأنصاري</w:t>
      </w:r>
      <w:r w:rsidRPr="006960FA">
        <w:rPr>
          <w:rFonts w:hint="cs"/>
          <w:rtl/>
        </w:rPr>
        <w:t>،</w:t>
      </w:r>
      <w:r w:rsidRPr="006960FA">
        <w:rPr>
          <w:rtl/>
        </w:rPr>
        <w:t xml:space="preserve"> دار الكتب العلمية</w:t>
      </w:r>
      <w:r w:rsidRPr="006960FA">
        <w:rPr>
          <w:rFonts w:hint="cs"/>
          <w:rtl/>
        </w:rPr>
        <w:t xml:space="preserve">، </w:t>
      </w:r>
      <w:r w:rsidRPr="006960FA">
        <w:rPr>
          <w:rtl/>
        </w:rPr>
        <w:t>ضبط نصه وخرج أحاديثه وعلق عليه محمد محمد تامر</w:t>
      </w:r>
      <w:r w:rsidRPr="006960FA">
        <w:rPr>
          <w:rFonts w:hint="cs"/>
          <w:rtl/>
        </w:rPr>
        <w:t>، ال</w:t>
      </w:r>
      <w:r w:rsidRPr="006960FA">
        <w:rPr>
          <w:rtl/>
        </w:rPr>
        <w:t>ط</w:t>
      </w:r>
      <w:r w:rsidRPr="006960FA">
        <w:rPr>
          <w:rFonts w:hint="cs"/>
          <w:rtl/>
        </w:rPr>
        <w:t xml:space="preserve">بعة الأولى: </w:t>
      </w:r>
      <w:r w:rsidRPr="006960FA">
        <w:rPr>
          <w:rtl/>
        </w:rPr>
        <w:t>1422ه.</w:t>
      </w:r>
    </w:p>
    <w:p w:rsidR="00382990" w:rsidRDefault="00382990" w:rsidP="00B83647">
      <w:pPr>
        <w:pStyle w:val="afc"/>
        <w:numPr>
          <w:ilvl w:val="0"/>
          <w:numId w:val="325"/>
        </w:numPr>
      </w:pPr>
      <w:r w:rsidRPr="006960FA">
        <w:rPr>
          <w:rtl/>
        </w:rPr>
        <w:t xml:space="preserve">الأشباه </w:t>
      </w:r>
      <w:r>
        <w:rPr>
          <w:rtl/>
        </w:rPr>
        <w:t>والنظائر في فقه الشافعية ل</w:t>
      </w:r>
      <w:r w:rsidRPr="006960FA">
        <w:rPr>
          <w:rtl/>
        </w:rPr>
        <w:t>أبي عبد الله محمد بن مكي بن عبد الصمد بن المرحَّل، المعروف بابن الوكي</w:t>
      </w:r>
      <w:r w:rsidRPr="006960FA">
        <w:rPr>
          <w:rFonts w:hint="cs"/>
          <w:rtl/>
        </w:rPr>
        <w:t xml:space="preserve">ل، </w:t>
      </w:r>
      <w:r w:rsidRPr="006960FA">
        <w:rPr>
          <w:rtl/>
        </w:rPr>
        <w:t>تحقيق محمد حسن محمد حسن إسماعيل</w:t>
      </w:r>
      <w:r w:rsidRPr="006960FA">
        <w:rPr>
          <w:rFonts w:hint="cs"/>
          <w:rtl/>
        </w:rPr>
        <w:t>،</w:t>
      </w:r>
      <w:r w:rsidRPr="006960FA">
        <w:rPr>
          <w:rtl/>
        </w:rPr>
        <w:t xml:space="preserve"> دار الكتب العلمية</w:t>
      </w:r>
      <w:r w:rsidRPr="006960FA">
        <w:rPr>
          <w:rFonts w:hint="cs"/>
          <w:rtl/>
        </w:rPr>
        <w:t xml:space="preserve">، </w:t>
      </w:r>
      <w:r w:rsidRPr="006960FA">
        <w:rPr>
          <w:rtl/>
        </w:rPr>
        <w:t>الطبعة الأولى</w:t>
      </w:r>
      <w:r w:rsidRPr="006960FA">
        <w:rPr>
          <w:rFonts w:hint="cs"/>
          <w:rtl/>
        </w:rPr>
        <w:t>:</w:t>
      </w:r>
      <w:r w:rsidRPr="006960FA">
        <w:rPr>
          <w:rtl/>
        </w:rPr>
        <w:t>1423</w:t>
      </w:r>
      <w:r w:rsidRPr="006960FA">
        <w:rPr>
          <w:rFonts w:hint="cs"/>
          <w:rtl/>
        </w:rPr>
        <w:t>ه</w:t>
      </w:r>
      <w:r w:rsidRPr="006960FA">
        <w:rPr>
          <w:rtl/>
        </w:rPr>
        <w:t>.</w:t>
      </w:r>
      <w:r>
        <w:rPr>
          <w:rFonts w:hint="cs"/>
          <w:rtl/>
        </w:rPr>
        <w:t xml:space="preserve"> الأنصاري، المعروف ب"ابن الملقن"، تحقيق ودراسة: مصطفى محمود الأزهري، دار ابن القيم، الرياض، ودار ابن عفان، القاهرة، الطبعة الأولى: 1431ه.  </w:t>
      </w:r>
    </w:p>
    <w:p w:rsidR="00382990" w:rsidRPr="006960FA" w:rsidRDefault="00382990" w:rsidP="000A76C7">
      <w:pPr>
        <w:pStyle w:val="afc"/>
        <w:numPr>
          <w:ilvl w:val="0"/>
          <w:numId w:val="325"/>
        </w:numPr>
        <w:rPr>
          <w:rtl/>
        </w:rPr>
      </w:pPr>
      <w:r>
        <w:rPr>
          <w:rFonts w:hint="cs"/>
          <w:rtl/>
        </w:rPr>
        <w:t>الأشباه والنظائر في قواعد الفقه أو قواعد ابن الملقن لسراج الدين أبي حفص عمر بن علي</w:t>
      </w:r>
    </w:p>
    <w:p w:rsidR="00382990" w:rsidRPr="006960FA" w:rsidRDefault="00382990" w:rsidP="000A76C7">
      <w:pPr>
        <w:pStyle w:val="afc"/>
        <w:numPr>
          <w:ilvl w:val="0"/>
          <w:numId w:val="325"/>
        </w:numPr>
        <w:rPr>
          <w:rtl/>
        </w:rPr>
      </w:pPr>
      <w:r w:rsidRPr="006960FA">
        <w:rPr>
          <w:rFonts w:hint="cs"/>
          <w:rtl/>
        </w:rPr>
        <w:t>الأشباه والنظائر في قواعد وفروع فقه الشافعية لجلال الدين عبد الرحمن السيوطي، دار الكتب العلمية، الطبعة الأولى: 1403ه.</w:t>
      </w:r>
    </w:p>
    <w:p w:rsidR="00382990" w:rsidRDefault="00382990" w:rsidP="000A76C7">
      <w:pPr>
        <w:pStyle w:val="afc"/>
        <w:numPr>
          <w:ilvl w:val="0"/>
          <w:numId w:val="325"/>
        </w:numPr>
      </w:pPr>
      <w:r w:rsidRPr="006960FA">
        <w:rPr>
          <w:rFonts w:hint="cs"/>
          <w:rtl/>
        </w:rPr>
        <w:t xml:space="preserve"> الأشباه والنظائر لتاج الدين عبد الوهاب بن علي السبكي، تحقيق: عادل عبد الموجود وعلي معوض، دار الكتب العلمية: الطبعة الولى: 1411ه.</w:t>
      </w:r>
    </w:p>
    <w:p w:rsidR="00382990" w:rsidRPr="006960FA" w:rsidRDefault="00382990" w:rsidP="000A76C7">
      <w:pPr>
        <w:pStyle w:val="afc"/>
        <w:numPr>
          <w:ilvl w:val="0"/>
          <w:numId w:val="325"/>
        </w:numPr>
        <w:rPr>
          <w:rtl/>
        </w:rPr>
      </w:pPr>
      <w:r w:rsidRPr="006960FA">
        <w:rPr>
          <w:rFonts w:hint="cs"/>
          <w:rtl/>
        </w:rPr>
        <w:t>الأشباه والنظائر لزين الدين بن إبراهيم المعروف بابن نجيم الحنفي، وبحاشيته نزهة النو</w:t>
      </w:r>
      <w:r>
        <w:rPr>
          <w:rFonts w:hint="cs"/>
          <w:rtl/>
        </w:rPr>
        <w:t>اظر على الأشباه والنظائر لمحمد أ</w:t>
      </w:r>
      <w:r w:rsidRPr="006960FA">
        <w:rPr>
          <w:rFonts w:hint="cs"/>
          <w:rtl/>
        </w:rPr>
        <w:t>مين بن عمر المعروف بابن عابدين، تحقيق: محمد مطيع عبد الحافظ، دار الفكر، الطبعة الأولى: 1403ه.</w:t>
      </w:r>
    </w:p>
    <w:p w:rsidR="00382990" w:rsidRDefault="00382990" w:rsidP="000A76C7">
      <w:pPr>
        <w:pStyle w:val="afc"/>
        <w:numPr>
          <w:ilvl w:val="0"/>
          <w:numId w:val="325"/>
        </w:numPr>
      </w:pPr>
      <w:r>
        <w:rPr>
          <w:rFonts w:hint="cs"/>
          <w:rtl/>
        </w:rPr>
        <w:t>الإصابة في تمييز الصحابة لأبي الفضل أحمد بن علي بن حجر العسقلاني، تحقيق: عبد الله بن عبد المحسن التركي، دار هجر، القاهرة، الطبعة الأولى: 1429ه.</w:t>
      </w:r>
    </w:p>
    <w:p w:rsidR="00382990" w:rsidRDefault="00382990" w:rsidP="000A76C7">
      <w:pPr>
        <w:pStyle w:val="afc"/>
        <w:numPr>
          <w:ilvl w:val="0"/>
          <w:numId w:val="325"/>
        </w:numPr>
      </w:pPr>
      <w:r>
        <w:rPr>
          <w:rFonts w:hint="cs"/>
          <w:rtl/>
        </w:rPr>
        <w:lastRenderedPageBreak/>
        <w:t>الأصل والظاهر في القواعد الفقهية لأحمد بن عبد الرحمن بن ناصر الرشيد، طبع جامعة  الإمام محمد بن سعود الإسلامية، الطبعة الأولى: 1429ه.</w:t>
      </w:r>
    </w:p>
    <w:p w:rsidR="00382990" w:rsidRDefault="00382990" w:rsidP="000A76C7">
      <w:pPr>
        <w:pStyle w:val="afc"/>
        <w:numPr>
          <w:ilvl w:val="0"/>
          <w:numId w:val="325"/>
        </w:numPr>
      </w:pPr>
      <w:r>
        <w:rPr>
          <w:rFonts w:hint="cs"/>
          <w:rtl/>
        </w:rPr>
        <w:t>أصول السرخسي لأبي بكر محمد بن أحمد بن أبي سهل السرخسي، تحقيق: أبو الوفاء الأفغاني، دار المعرفة، بيروت.</w:t>
      </w:r>
    </w:p>
    <w:p w:rsidR="00382990" w:rsidRDefault="00382990" w:rsidP="000A76C7">
      <w:pPr>
        <w:pStyle w:val="afc"/>
        <w:numPr>
          <w:ilvl w:val="0"/>
          <w:numId w:val="325"/>
        </w:numPr>
      </w:pPr>
      <w:r>
        <w:rPr>
          <w:rFonts w:hint="cs"/>
          <w:rtl/>
        </w:rPr>
        <w:t>أصول جوامع فيما يحل ويحرم من المعاملات، لعبد الرحمن بن ناصر السعدي، راجعه: هشام بن محمد سعيد آل برغش، دار الوطن، الرياض، الطبعة الأولى: 1420ه.</w:t>
      </w:r>
    </w:p>
    <w:p w:rsidR="00382990" w:rsidRDefault="00382990" w:rsidP="000A76C7">
      <w:pPr>
        <w:pStyle w:val="afc"/>
        <w:numPr>
          <w:ilvl w:val="0"/>
          <w:numId w:val="325"/>
        </w:numPr>
      </w:pPr>
      <w:r>
        <w:rPr>
          <w:rFonts w:hint="cs"/>
          <w:rtl/>
        </w:rPr>
        <w:t>الأصول والضوابط لأبي زكريا يحي بن شرف النووي، تحقيق: محمد حسن هيتو، دار البشائر الإسلامية، بيروت، الطبعة الأولى: 1406ه.</w:t>
      </w:r>
    </w:p>
    <w:p w:rsidR="00382990" w:rsidRDefault="00382990" w:rsidP="000A76C7">
      <w:pPr>
        <w:pStyle w:val="afc"/>
        <w:numPr>
          <w:ilvl w:val="0"/>
          <w:numId w:val="325"/>
        </w:numPr>
      </w:pPr>
      <w:r>
        <w:rPr>
          <w:rFonts w:hint="cs"/>
          <w:rtl/>
        </w:rPr>
        <w:t xml:space="preserve">إعداد المهج للاستفادة من المنهج في قواعد الفقه المالكي لأحمد بن أحمد المختار الجكني الشنقيطي، راجعه: عبد الله إبراهيم الأنصاري، إدارة إحياء التراث الإسلامي بدولة قطر، 1403ه.    </w:t>
      </w:r>
    </w:p>
    <w:p w:rsidR="00382990" w:rsidRPr="006960FA" w:rsidRDefault="00382990" w:rsidP="000A76C7">
      <w:pPr>
        <w:pStyle w:val="afc"/>
        <w:numPr>
          <w:ilvl w:val="0"/>
          <w:numId w:val="325"/>
        </w:numPr>
        <w:rPr>
          <w:rtl/>
        </w:rPr>
      </w:pPr>
      <w:r w:rsidRPr="006960FA">
        <w:rPr>
          <w:rFonts w:hint="cs"/>
          <w:rtl/>
        </w:rPr>
        <w:t>إعلام الموقعين عن رب العالمين لأبي عبد الله محمد بن أبي بكر بن أيوب، المعروف بابن قيم الجوزية، تحقيق: مشهور بن حسن آل سلمان، دار ابن الجوزي، الطبعة الأولى: 1423ه.</w:t>
      </w:r>
    </w:p>
    <w:p w:rsidR="00382990" w:rsidRDefault="00382990" w:rsidP="000A76C7">
      <w:pPr>
        <w:pStyle w:val="afc"/>
        <w:numPr>
          <w:ilvl w:val="0"/>
          <w:numId w:val="325"/>
        </w:numPr>
      </w:pPr>
      <w:r>
        <w:rPr>
          <w:rFonts w:hint="cs"/>
          <w:rtl/>
        </w:rPr>
        <w:t xml:space="preserve">الإعلام بفوائد عمدة الأحكام لأبي حفص عمر بن علي بن أحمد الأنصاري، المعروف </w:t>
      </w:r>
      <w:r>
        <w:rPr>
          <w:rFonts w:ascii="Traditional Arabic" w:hAnsi="Traditional Arabic"/>
          <w:rtl/>
        </w:rPr>
        <w:t>ﺏ</w:t>
      </w:r>
      <w:r>
        <w:rPr>
          <w:rFonts w:hint="cs"/>
          <w:rtl/>
        </w:rPr>
        <w:t>"ابن الملقن"، تحقيق: عبد العزيز بن أحمد المشيقح، دار العاصمة، الرياض، الطبعة الأولى: 1417ه.</w:t>
      </w:r>
    </w:p>
    <w:p w:rsidR="00382990" w:rsidRDefault="00382990" w:rsidP="000A76C7">
      <w:pPr>
        <w:pStyle w:val="afc"/>
        <w:numPr>
          <w:ilvl w:val="0"/>
          <w:numId w:val="325"/>
        </w:numPr>
      </w:pPr>
      <w:r>
        <w:rPr>
          <w:rFonts w:hint="cs"/>
          <w:rtl/>
        </w:rPr>
        <w:t>إغاثة الجموع بترجيحات ابن عثيمين في البيوع مقارنة بما استقر عليه المذهب الحنبلي من أول كتاب البيع إلى نهاية باب الربا، دراسة فقهية مقارنة، لمحمد بن بعسوس العمري، دار ابن الجوزي، الرياض، الطبعة الأولى: 1427ه.</w:t>
      </w:r>
    </w:p>
    <w:p w:rsidR="00382990" w:rsidRDefault="00382990" w:rsidP="000A76C7">
      <w:pPr>
        <w:pStyle w:val="afc"/>
        <w:numPr>
          <w:ilvl w:val="0"/>
          <w:numId w:val="325"/>
        </w:numPr>
      </w:pPr>
      <w:r>
        <w:rPr>
          <w:rFonts w:hint="cs"/>
          <w:rtl/>
        </w:rPr>
        <w:t>الإقناع لطالب الانتفاع لشرف الدين موسى بن أحمد بن موسى الحجاوي، تحقيق: عبد الله بن عبد المحسن التركي، دار هجر، الطبعة الثالثة: 1423ه.</w:t>
      </w:r>
    </w:p>
    <w:p w:rsidR="00382990" w:rsidRDefault="00382990" w:rsidP="00094FA0">
      <w:pPr>
        <w:pStyle w:val="afc"/>
        <w:numPr>
          <w:ilvl w:val="0"/>
          <w:numId w:val="325"/>
        </w:numPr>
      </w:pPr>
      <w:r>
        <w:rPr>
          <w:rFonts w:hint="cs"/>
          <w:rtl/>
        </w:rPr>
        <w:t>إكمال المعلم بفوائد مسلم لأبي الفضل عياض بن موسى بن عياض اليحصبي، تحقيق: يحي إسماعيل، دار الوفاء، المنصورة، الطبعة الأولى: 1419ه.</w:t>
      </w:r>
    </w:p>
    <w:p w:rsidR="00382990" w:rsidRPr="006960FA" w:rsidRDefault="00382990" w:rsidP="000A76C7">
      <w:pPr>
        <w:pStyle w:val="afc"/>
        <w:numPr>
          <w:ilvl w:val="0"/>
          <w:numId w:val="325"/>
        </w:numPr>
        <w:rPr>
          <w:rtl/>
        </w:rPr>
      </w:pPr>
      <w:r>
        <w:rPr>
          <w:rFonts w:hint="cs"/>
          <w:rtl/>
        </w:rPr>
        <w:t xml:space="preserve">الأمنية في إدراك النية لشهاب الدين أبي العباس أحمد بن إدريس القرافي، تحقيق: مساعد </w:t>
      </w:r>
      <w:r>
        <w:rPr>
          <w:rFonts w:hint="cs"/>
          <w:rtl/>
        </w:rPr>
        <w:lastRenderedPageBreak/>
        <w:t>بن قاسم الفالح، مكتبة الحرمين، الرياض، الطبعة الأولى: 1408ه.</w:t>
      </w:r>
    </w:p>
    <w:p w:rsidR="00382990" w:rsidRDefault="00382990" w:rsidP="000A76C7">
      <w:pPr>
        <w:pStyle w:val="afc"/>
        <w:numPr>
          <w:ilvl w:val="0"/>
          <w:numId w:val="325"/>
        </w:numPr>
      </w:pPr>
      <w:r>
        <w:rPr>
          <w:rFonts w:hint="cs"/>
          <w:rtl/>
        </w:rPr>
        <w:t>أنيس الفقهاء في تعريفات الألفاظ المتداولة بين الفقهاء لقاسم بن عبد الله القونوي، تحقيق: أحمد بن عبد الرزاق الكبيسي، دار ابن الجوزي، الدمام، الطبعة الأولى: 1427ه.</w:t>
      </w:r>
    </w:p>
    <w:p w:rsidR="00382990" w:rsidRDefault="00382990" w:rsidP="000A76C7">
      <w:pPr>
        <w:pStyle w:val="afc"/>
        <w:numPr>
          <w:ilvl w:val="0"/>
          <w:numId w:val="325"/>
        </w:numPr>
      </w:pPr>
      <w:r w:rsidRPr="006960FA">
        <w:rPr>
          <w:rFonts w:hint="cs"/>
          <w:rtl/>
        </w:rPr>
        <w:t>إيضاح القواعد الفقهية لطلاب المدرسة الصولتية لعبد الله بن سعيد بن محمد عبادي اللحجي، مطبعة المدني: 1388ه.</w:t>
      </w:r>
    </w:p>
    <w:p w:rsidR="00382990" w:rsidRDefault="00382990" w:rsidP="000A76C7">
      <w:pPr>
        <w:pStyle w:val="afc"/>
        <w:numPr>
          <w:ilvl w:val="0"/>
          <w:numId w:val="325"/>
        </w:numPr>
      </w:pPr>
      <w:r w:rsidRPr="006960FA">
        <w:rPr>
          <w:rFonts w:hint="cs"/>
          <w:rtl/>
        </w:rPr>
        <w:t>إيضاح المسالك إلى قواعد  أبي عبد الله مالك لأحمد بن يحي الونشريسي، دراسة وتحقيق: الصادق الغرياني، دار ابن حزم، الطبعة الأولى: 1427ه.</w:t>
      </w:r>
    </w:p>
    <w:p w:rsidR="00382990" w:rsidRDefault="00382990" w:rsidP="000A76C7">
      <w:pPr>
        <w:pStyle w:val="afc"/>
        <w:numPr>
          <w:ilvl w:val="0"/>
          <w:numId w:val="325"/>
        </w:numPr>
      </w:pPr>
      <w:r>
        <w:rPr>
          <w:rFonts w:hint="cs"/>
          <w:rtl/>
        </w:rPr>
        <w:t>البحر المحيط لبدر الدين محمد بن بهادر بن عبد الله لزركشي، قام بتحريره: عبد القادر عبد الله العاني، طبع وزارة الشؤون الإسلامية والأوقاف بالكويت، الطبعة الثانية: 1413ه.</w:t>
      </w:r>
    </w:p>
    <w:p w:rsidR="00382990" w:rsidRDefault="00382990" w:rsidP="000A76C7">
      <w:pPr>
        <w:pStyle w:val="afc"/>
        <w:numPr>
          <w:ilvl w:val="0"/>
          <w:numId w:val="325"/>
        </w:numPr>
      </w:pPr>
      <w:r>
        <w:rPr>
          <w:rFonts w:hint="cs"/>
          <w:rtl/>
        </w:rPr>
        <w:t>بدائع الصنائع في ترتيب الشرائع لعلاء الدين أبي بكر بن مسعود الكاساني، تحقيق: علي معوض وعادل عبد الموجود، دار الكتب العلمية، بيروت، الطبعة الأولى: 1418ه.</w:t>
      </w:r>
    </w:p>
    <w:p w:rsidR="00382990" w:rsidRDefault="00382990" w:rsidP="000A76C7">
      <w:pPr>
        <w:pStyle w:val="afc"/>
        <w:numPr>
          <w:ilvl w:val="0"/>
          <w:numId w:val="325"/>
        </w:numPr>
      </w:pPr>
      <w:r>
        <w:rPr>
          <w:rFonts w:hint="cs"/>
          <w:rtl/>
        </w:rPr>
        <w:t>بدائع الفوائد لأبي عبد الله محمد بن أبي بكر بن أيوب ابن قيم الجوزية، تحقيق: علي بن محمد العمران، دار عالم الفوائد، مكة، الطبعة الأولى: 1425ه.</w:t>
      </w:r>
    </w:p>
    <w:p w:rsidR="00382990" w:rsidRDefault="00382990" w:rsidP="000A76C7">
      <w:pPr>
        <w:pStyle w:val="afc"/>
        <w:numPr>
          <w:ilvl w:val="0"/>
          <w:numId w:val="325"/>
        </w:numPr>
      </w:pPr>
      <w:r>
        <w:rPr>
          <w:rFonts w:hint="cs"/>
          <w:rtl/>
        </w:rPr>
        <w:t>البدر الطالع في حل جمع الجوامع لمحمد بن أحمد الشافعي، المعروف بجلال المحلي، ومعه حاشية حسن بن محمد بن محمود العطار على شرح الجلال المحلي، دار الكتب العلمية، بيروت.</w:t>
      </w:r>
    </w:p>
    <w:p w:rsidR="00382990" w:rsidRDefault="00382990" w:rsidP="000A76C7">
      <w:pPr>
        <w:pStyle w:val="afc"/>
        <w:numPr>
          <w:ilvl w:val="0"/>
          <w:numId w:val="325"/>
        </w:numPr>
      </w:pPr>
      <w:r>
        <w:rPr>
          <w:rFonts w:hint="cs"/>
          <w:rtl/>
        </w:rPr>
        <w:t>بغية الباحث عن زوائد مسند الحارث لنور الدين علي بن سليمان بن أبي بكر الهيثمي، تحقيق ودراسة: حسين أحمد صالح الباكري، طبع الجامعة الإسلامية بالمدينة المنورة، الطبعة الأولى: 1413ه.</w:t>
      </w:r>
    </w:p>
    <w:p w:rsidR="00382990" w:rsidRDefault="00382990" w:rsidP="000A76C7">
      <w:pPr>
        <w:pStyle w:val="afc"/>
        <w:numPr>
          <w:ilvl w:val="0"/>
          <w:numId w:val="325"/>
        </w:numPr>
      </w:pPr>
      <w:r>
        <w:rPr>
          <w:rFonts w:hint="cs"/>
          <w:rtl/>
        </w:rPr>
        <w:t>بلوغ المرام من أدلة الأحكام لأحمد بن علي بن حجر العسقلاني، تحقيق: عصام موسى هادي، دار الصديق، الجبيل، الطبعة الأولى: 1423ه.</w:t>
      </w:r>
    </w:p>
    <w:p w:rsidR="00382990" w:rsidRPr="002B66A0" w:rsidRDefault="00382990" w:rsidP="000A76C7">
      <w:pPr>
        <w:pStyle w:val="afc"/>
        <w:numPr>
          <w:ilvl w:val="0"/>
          <w:numId w:val="325"/>
        </w:numPr>
      </w:pPr>
      <w:r>
        <w:rPr>
          <w:rFonts w:hint="cs"/>
          <w:rtl/>
        </w:rPr>
        <w:t>بهجة قلوب الأبرار وقرة عيون الأخيار في شرح جوامع الأخبار لعبد الرحمن بن ناصر السعدي، طبع وزارة الشؤون الإسلامية والأوقاف والدعوة والإرشاد بالمملكة العربية السعودية، الطبعة الأولى: 1422ه.</w:t>
      </w:r>
    </w:p>
    <w:p w:rsidR="00382990" w:rsidRDefault="00382990" w:rsidP="000A76C7">
      <w:pPr>
        <w:pStyle w:val="afc"/>
        <w:numPr>
          <w:ilvl w:val="0"/>
          <w:numId w:val="325"/>
        </w:numPr>
      </w:pPr>
      <w:r w:rsidRPr="006960FA">
        <w:rPr>
          <w:rFonts w:hint="cs"/>
          <w:rtl/>
        </w:rPr>
        <w:t xml:space="preserve">بيان الدليل على بطلان التحليل، ابن تيمية، تحقيق:أحمد بن محمد الخليل، دار ابن </w:t>
      </w:r>
      <w:r w:rsidRPr="006960FA">
        <w:rPr>
          <w:rFonts w:hint="cs"/>
          <w:rtl/>
        </w:rPr>
        <w:lastRenderedPageBreak/>
        <w:t>الجوزي، الطبعة الأولى:1421ه.</w:t>
      </w:r>
    </w:p>
    <w:p w:rsidR="00382990" w:rsidRDefault="00382990" w:rsidP="000A76C7">
      <w:pPr>
        <w:pStyle w:val="afc"/>
        <w:numPr>
          <w:ilvl w:val="0"/>
          <w:numId w:val="325"/>
        </w:numPr>
      </w:pPr>
      <w:r w:rsidRPr="006960FA">
        <w:rPr>
          <w:rtl/>
        </w:rPr>
        <w:t>تاج العروس من جواهر القاموس</w:t>
      </w:r>
      <w:r w:rsidRPr="006960FA">
        <w:rPr>
          <w:rFonts w:hint="cs"/>
          <w:rtl/>
        </w:rPr>
        <w:t xml:space="preserve">، لأبي الفيض </w:t>
      </w:r>
      <w:r w:rsidRPr="006960FA">
        <w:rPr>
          <w:rtl/>
        </w:rPr>
        <w:t>محمّد بن محمّد بن عبد الرزّاق الحسين</w:t>
      </w:r>
      <w:r w:rsidRPr="006960FA">
        <w:rPr>
          <w:rFonts w:hint="cs"/>
          <w:rtl/>
        </w:rPr>
        <w:t>ي</w:t>
      </w:r>
      <w:r w:rsidRPr="006960FA">
        <w:rPr>
          <w:rtl/>
        </w:rPr>
        <w:t>، الملقّب بمرتضى، الزَّبيدي</w:t>
      </w:r>
      <w:r w:rsidRPr="006960FA">
        <w:rPr>
          <w:rFonts w:hint="cs"/>
          <w:rtl/>
        </w:rPr>
        <w:t>، ت</w:t>
      </w:r>
      <w:r w:rsidRPr="006960FA">
        <w:rPr>
          <w:rtl/>
        </w:rPr>
        <w:t>حق</w:t>
      </w:r>
      <w:r w:rsidRPr="006960FA">
        <w:rPr>
          <w:rFonts w:hint="cs"/>
          <w:rtl/>
        </w:rPr>
        <w:t>ي</w:t>
      </w:r>
      <w:r w:rsidRPr="006960FA">
        <w:rPr>
          <w:rtl/>
        </w:rPr>
        <w:t xml:space="preserve">ق: </w:t>
      </w:r>
      <w:r w:rsidRPr="006960FA">
        <w:rPr>
          <w:rFonts w:hint="cs"/>
          <w:rtl/>
        </w:rPr>
        <w:t>عبد الستار أحمد فراج،طبعته وزارة الإرشاد والأنباء بدولة الكويت:1385ه.</w:t>
      </w:r>
    </w:p>
    <w:p w:rsidR="00382990" w:rsidRDefault="00382990" w:rsidP="000A76C7">
      <w:pPr>
        <w:pStyle w:val="afc"/>
        <w:numPr>
          <w:ilvl w:val="0"/>
          <w:numId w:val="325"/>
        </w:numPr>
      </w:pPr>
      <w:r>
        <w:rPr>
          <w:rFonts w:hint="cs"/>
          <w:rtl/>
        </w:rPr>
        <w:t>التأمين الإسلامي دراسة فقهية تأصيلية مقارنة بالتأمين التجاري مع التطبيقات العملية لعلي محيي الدين علي القره داغي، دار البشائر الإسلامية، بيروت، الطبعة الأولى: 1425ه.</w:t>
      </w:r>
    </w:p>
    <w:p w:rsidR="00382990" w:rsidRDefault="00382990" w:rsidP="000A76C7">
      <w:pPr>
        <w:pStyle w:val="afc"/>
        <w:numPr>
          <w:ilvl w:val="0"/>
          <w:numId w:val="325"/>
        </w:numPr>
      </w:pPr>
      <w:r>
        <w:rPr>
          <w:rFonts w:hint="cs"/>
          <w:rtl/>
        </w:rPr>
        <w:t xml:space="preserve">التعريفات لعلي بن محمد الشريف الجرجاني، مكتبة لبنان، بيروت، 1985م. </w:t>
      </w:r>
    </w:p>
    <w:p w:rsidR="00382990" w:rsidRDefault="00382990" w:rsidP="000A76C7">
      <w:pPr>
        <w:pStyle w:val="afc"/>
        <w:numPr>
          <w:ilvl w:val="0"/>
          <w:numId w:val="325"/>
        </w:numPr>
      </w:pPr>
      <w:r>
        <w:rPr>
          <w:rFonts w:hint="cs"/>
          <w:rtl/>
        </w:rPr>
        <w:t>تعليقة على القواعد والأصول الجامعة لابن سعدي، لحمد بن إبراهيم بن محمد العثمان، الطبعة الأولى: 1430ه.</w:t>
      </w:r>
    </w:p>
    <w:p w:rsidR="00382990" w:rsidRDefault="00382990" w:rsidP="000A76C7">
      <w:pPr>
        <w:pStyle w:val="afc"/>
        <w:numPr>
          <w:ilvl w:val="0"/>
          <w:numId w:val="325"/>
        </w:numPr>
      </w:pPr>
      <w:r>
        <w:rPr>
          <w:rFonts w:hint="cs"/>
          <w:rtl/>
        </w:rPr>
        <w:t>التعيين في شرح الأربعين لنجم الدين سليمان بن عبد القوي بن عبد الكريم الطوفي، تحقيق: أحمد حاج محمد عثمان، مؤسسة الريان، بيروت، والمكتبة المكية، مكة، الطبعة الأولى: 1419ه.</w:t>
      </w:r>
    </w:p>
    <w:p w:rsidR="00382990" w:rsidRPr="006960FA" w:rsidRDefault="00382990" w:rsidP="000A76C7">
      <w:pPr>
        <w:pStyle w:val="afc"/>
        <w:numPr>
          <w:ilvl w:val="0"/>
          <w:numId w:val="325"/>
        </w:numPr>
        <w:rPr>
          <w:rtl/>
        </w:rPr>
      </w:pPr>
      <w:r>
        <w:rPr>
          <w:rFonts w:hint="cs"/>
          <w:rtl/>
        </w:rPr>
        <w:t xml:space="preserve">تفسير القرآن العظيم لعماد الدين أبي الفداء إسماعيل بن كثير الدمشقي، تحقيق: مصطفى السيد محمد وآخرون، مؤسسة قرطبة، ومكتبة أولاد الشيخ للتراث، الطبعة الأولى: 1421ه. </w:t>
      </w:r>
    </w:p>
    <w:p w:rsidR="00382990" w:rsidRDefault="00382990" w:rsidP="000A76C7">
      <w:pPr>
        <w:pStyle w:val="afc"/>
        <w:numPr>
          <w:ilvl w:val="0"/>
          <w:numId w:val="325"/>
        </w:numPr>
      </w:pPr>
      <w:r>
        <w:rPr>
          <w:rFonts w:hint="cs"/>
          <w:rtl/>
        </w:rPr>
        <w:t>تقريب الوصول إلى علم الأصول لأبي القاسم محمد بن أحمد بن جُزي الغرناطي المالكي، تحقيق: محمد المختار بن الشيخ محمد الأمين الشنقيطي، الطبعة الثانية: 1423ه.</w:t>
      </w:r>
    </w:p>
    <w:p w:rsidR="00382990" w:rsidRPr="006960FA" w:rsidRDefault="00382990" w:rsidP="000A76C7">
      <w:pPr>
        <w:pStyle w:val="afc"/>
        <w:numPr>
          <w:ilvl w:val="0"/>
          <w:numId w:val="325"/>
        </w:numPr>
        <w:rPr>
          <w:rtl/>
        </w:rPr>
      </w:pPr>
      <w:r w:rsidRPr="006960FA">
        <w:rPr>
          <w:rFonts w:hint="cs"/>
          <w:rtl/>
        </w:rPr>
        <w:t>تقرير القواعد وتحرير الفوائد لزين الدين عبد الرحمن بن أحمد بن رجب الحنبلي، ضبط نصه وعلق عليه وخرج أحاديثه، مشهور حسن سلمان، دار ابن عفان</w:t>
      </w:r>
      <w:r>
        <w:rPr>
          <w:rFonts w:hint="cs"/>
          <w:rtl/>
        </w:rPr>
        <w:t>، 1424ه</w:t>
      </w:r>
      <w:r w:rsidRPr="006960FA">
        <w:rPr>
          <w:rFonts w:hint="cs"/>
          <w:rtl/>
        </w:rPr>
        <w:t>.</w:t>
      </w:r>
    </w:p>
    <w:p w:rsidR="00382990" w:rsidRDefault="00382990" w:rsidP="000A76C7">
      <w:pPr>
        <w:pStyle w:val="afc"/>
        <w:numPr>
          <w:ilvl w:val="0"/>
          <w:numId w:val="325"/>
        </w:numPr>
      </w:pPr>
      <w:r>
        <w:rPr>
          <w:rFonts w:hint="cs"/>
          <w:rtl/>
        </w:rPr>
        <w:t>التقرير والتحبير في علم الأصول الجامع بين اصطلاحي الحنفية والشافعية على تحرير الكمال بن الهمام لابن أمير الحاج، دار الفكر، بيروت، الطبعة الأولى: 1417ه.</w:t>
      </w:r>
    </w:p>
    <w:p w:rsidR="00382990" w:rsidRDefault="00382990" w:rsidP="000A76C7">
      <w:pPr>
        <w:pStyle w:val="afc"/>
        <w:numPr>
          <w:ilvl w:val="0"/>
          <w:numId w:val="325"/>
        </w:numPr>
      </w:pPr>
      <w:r w:rsidRPr="002B66A0">
        <w:rPr>
          <w:rFonts w:ascii="Traditional Arabic" w:hAnsi="Traditional Arabic"/>
          <w:rtl/>
        </w:rPr>
        <w:t>التلويح شرح التوضيح لمتن التنقيح في أصول الفقه لسعد الدين مسعود ابن عمر التفتزاني</w:t>
      </w:r>
      <w:r>
        <w:rPr>
          <w:rFonts w:hint="cs"/>
          <w:rtl/>
        </w:rPr>
        <w:t>، ضبطه وخرج أحاديثه وآياته: زكريا عميرات، دار الكتب العلمية، بيروت، الطبعة الأولى.</w:t>
      </w:r>
    </w:p>
    <w:p w:rsidR="00382990" w:rsidRDefault="00382990" w:rsidP="000A76C7">
      <w:pPr>
        <w:pStyle w:val="afc"/>
        <w:numPr>
          <w:ilvl w:val="0"/>
          <w:numId w:val="325"/>
        </w:numPr>
      </w:pPr>
      <w:r>
        <w:rPr>
          <w:rFonts w:hint="cs"/>
          <w:rtl/>
        </w:rPr>
        <w:t xml:space="preserve">التمهيد في تخريج الفروع على الأصول لجمال الدين أبي محمد عبد الرحيم بن الحسن </w:t>
      </w:r>
      <w:r>
        <w:rPr>
          <w:rFonts w:hint="cs"/>
          <w:rtl/>
        </w:rPr>
        <w:lastRenderedPageBreak/>
        <w:t>الإسنوي، تحقيق: محمد حسن هيتو، مؤسسة الرسالة، بيروت، الطبعة الثانية: 1401ه.</w:t>
      </w:r>
    </w:p>
    <w:p w:rsidR="00382990" w:rsidRDefault="00382990" w:rsidP="000A76C7">
      <w:pPr>
        <w:pStyle w:val="afc"/>
        <w:numPr>
          <w:ilvl w:val="0"/>
          <w:numId w:val="325"/>
        </w:numPr>
      </w:pPr>
      <w:r>
        <w:rPr>
          <w:rFonts w:hint="cs"/>
          <w:rtl/>
        </w:rPr>
        <w:t>تنقيح الفصول في اختصار المحصول في الصول لشهاب الدين أبي العباس أحمد بن إدريس بن عبد الرحمن القرافي، تحقيق: طه عبد الرؤوف سعد، مكتبة الكليات الأزهرية، القاهرة، ودار الفكر، القاهرة، الطبعة الأولى: 1393ه.</w:t>
      </w:r>
    </w:p>
    <w:p w:rsidR="00382990" w:rsidRDefault="00382990" w:rsidP="000A76C7">
      <w:pPr>
        <w:pStyle w:val="afc"/>
        <w:numPr>
          <w:ilvl w:val="0"/>
          <w:numId w:val="325"/>
        </w:numPr>
      </w:pPr>
      <w:r>
        <w:rPr>
          <w:rFonts w:hint="cs"/>
          <w:rtl/>
        </w:rPr>
        <w:t>تهذيب الأسماء واللغات لأبي زكريا محيي الدين بن شرف النووي، دار الكتب العلمية، بيروت.</w:t>
      </w:r>
    </w:p>
    <w:p w:rsidR="00382990" w:rsidRDefault="00382990" w:rsidP="000A76C7">
      <w:pPr>
        <w:pStyle w:val="afc"/>
        <w:numPr>
          <w:ilvl w:val="0"/>
          <w:numId w:val="325"/>
        </w:numPr>
      </w:pPr>
      <w:r w:rsidRPr="006960FA">
        <w:rPr>
          <w:rtl/>
        </w:rPr>
        <w:t>تهذيب التهذيب ل</w:t>
      </w:r>
      <w:r w:rsidRPr="006960FA">
        <w:rPr>
          <w:rFonts w:hint="cs"/>
          <w:rtl/>
        </w:rPr>
        <w:t xml:space="preserve">أبي الفضل أحمد بن علي </w:t>
      </w:r>
      <w:r w:rsidRPr="006960FA">
        <w:rPr>
          <w:rtl/>
        </w:rPr>
        <w:t>بن حجر</w:t>
      </w:r>
      <w:r w:rsidRPr="006960FA">
        <w:rPr>
          <w:rFonts w:hint="cs"/>
          <w:rtl/>
        </w:rPr>
        <w:t xml:space="preserve"> العسقلاني، </w:t>
      </w:r>
      <w:r w:rsidRPr="006960FA">
        <w:rPr>
          <w:rtl/>
        </w:rPr>
        <w:t>ت</w:t>
      </w:r>
      <w:r w:rsidRPr="006960FA">
        <w:rPr>
          <w:rFonts w:hint="cs"/>
          <w:rtl/>
        </w:rPr>
        <w:t xml:space="preserve">حقيق: </w:t>
      </w:r>
      <w:r w:rsidRPr="006960FA">
        <w:rPr>
          <w:rtl/>
        </w:rPr>
        <w:t>مصطفى عبد القادر عطا</w:t>
      </w:r>
      <w:r w:rsidRPr="006960FA">
        <w:rPr>
          <w:rFonts w:hint="cs"/>
          <w:rtl/>
        </w:rPr>
        <w:t>،</w:t>
      </w:r>
      <w:r w:rsidRPr="006960FA">
        <w:rPr>
          <w:rtl/>
        </w:rPr>
        <w:t xml:space="preserve"> دار الكتب العلمية</w:t>
      </w:r>
      <w:r w:rsidRPr="006960FA">
        <w:rPr>
          <w:rFonts w:hint="cs"/>
          <w:rtl/>
        </w:rPr>
        <w:t>، ال</w:t>
      </w:r>
      <w:r w:rsidRPr="006960FA">
        <w:rPr>
          <w:rtl/>
        </w:rPr>
        <w:t>ط</w:t>
      </w:r>
      <w:r w:rsidRPr="006960FA">
        <w:rPr>
          <w:rFonts w:hint="cs"/>
          <w:rtl/>
        </w:rPr>
        <w:t>بعة الأولى:</w:t>
      </w:r>
      <w:r w:rsidRPr="006960FA">
        <w:rPr>
          <w:rtl/>
        </w:rPr>
        <w:t>1415</w:t>
      </w:r>
      <w:r w:rsidRPr="006960FA">
        <w:rPr>
          <w:rFonts w:hint="cs"/>
          <w:rtl/>
        </w:rPr>
        <w:t>ه.</w:t>
      </w:r>
      <w:r w:rsidRPr="006960FA">
        <w:rPr>
          <w:rtl/>
        </w:rPr>
        <w:t>ت</w:t>
      </w:r>
      <w:r w:rsidRPr="006960FA">
        <w:rPr>
          <w:rFonts w:hint="cs"/>
          <w:rtl/>
        </w:rPr>
        <w:t xml:space="preserve">حقيق: </w:t>
      </w:r>
      <w:r w:rsidRPr="006960FA">
        <w:rPr>
          <w:rtl/>
        </w:rPr>
        <w:t>مصطفى عبد القادر عطا.</w:t>
      </w:r>
    </w:p>
    <w:p w:rsidR="00382990" w:rsidRDefault="00382990" w:rsidP="000A76C7">
      <w:pPr>
        <w:pStyle w:val="afc"/>
        <w:numPr>
          <w:ilvl w:val="0"/>
          <w:numId w:val="325"/>
        </w:numPr>
      </w:pPr>
      <w:r>
        <w:rPr>
          <w:rFonts w:hint="cs"/>
          <w:rtl/>
        </w:rPr>
        <w:t>تهذيب السنن لأبي عبد الله محمد بن أبي بكر بن أيوب الزُرعي، المعروف بابن قيم الجوزية، تحقيق: إسماعيل بن غازي مرحبا، مكتبة المعارف، الرياض، الطبعة الأولى: 1428ه.</w:t>
      </w:r>
    </w:p>
    <w:p w:rsidR="00382990" w:rsidRPr="006960FA" w:rsidRDefault="00382990" w:rsidP="000A76C7">
      <w:pPr>
        <w:pStyle w:val="afc"/>
        <w:numPr>
          <w:ilvl w:val="0"/>
          <w:numId w:val="325"/>
        </w:numPr>
        <w:rPr>
          <w:rtl/>
        </w:rPr>
      </w:pPr>
      <w:r w:rsidRPr="006960FA">
        <w:rPr>
          <w:rtl/>
        </w:rPr>
        <w:t>التوقيف على مهمات التعاريف لمحمد عبد الؤوف المناوي</w:t>
      </w:r>
      <w:r w:rsidRPr="006960FA">
        <w:rPr>
          <w:rFonts w:hint="cs"/>
          <w:rtl/>
        </w:rPr>
        <w:t xml:space="preserve">، </w:t>
      </w:r>
      <w:r w:rsidRPr="006960FA">
        <w:rPr>
          <w:rtl/>
        </w:rPr>
        <w:t>تحقيق محمد رضوان الداية</w:t>
      </w:r>
      <w:r w:rsidRPr="006960FA">
        <w:rPr>
          <w:rFonts w:hint="cs"/>
          <w:rtl/>
        </w:rPr>
        <w:t xml:space="preserve">، </w:t>
      </w:r>
      <w:r w:rsidRPr="006960FA">
        <w:rPr>
          <w:rtl/>
        </w:rPr>
        <w:t>الطبعة الأولى: دار الفكر المعاصر</w:t>
      </w:r>
      <w:r w:rsidRPr="006960FA">
        <w:rPr>
          <w:rFonts w:hint="cs"/>
          <w:rtl/>
        </w:rPr>
        <w:t xml:space="preserve"> بيروت</w:t>
      </w:r>
      <w:r w:rsidRPr="006960FA">
        <w:rPr>
          <w:rtl/>
        </w:rPr>
        <w:t>، ودار الفكر دمش</w:t>
      </w:r>
      <w:r w:rsidRPr="006960FA">
        <w:rPr>
          <w:rFonts w:hint="cs"/>
          <w:rtl/>
        </w:rPr>
        <w:t>ق</w:t>
      </w:r>
      <w:r w:rsidRPr="006960FA">
        <w:rPr>
          <w:rtl/>
        </w:rPr>
        <w:t xml:space="preserve">،1410ه. </w:t>
      </w:r>
    </w:p>
    <w:p w:rsidR="00382990" w:rsidRPr="006960FA" w:rsidRDefault="00382990" w:rsidP="000A76C7">
      <w:pPr>
        <w:pStyle w:val="afc"/>
        <w:numPr>
          <w:ilvl w:val="0"/>
          <w:numId w:val="325"/>
        </w:numPr>
        <w:rPr>
          <w:rtl/>
        </w:rPr>
      </w:pPr>
      <w:r w:rsidRPr="006960FA">
        <w:rPr>
          <w:rFonts w:hint="cs"/>
          <w:rtl/>
        </w:rPr>
        <w:t xml:space="preserve">تيبسير الكريم الرحمن في تفسير كلام المنان لعبد الرحمن بن ناصر السعدي، تحقيق: عبد الرحمن </w:t>
      </w:r>
      <w:r>
        <w:rPr>
          <w:rFonts w:hint="cs"/>
          <w:rtl/>
        </w:rPr>
        <w:t xml:space="preserve">بن معلا </w:t>
      </w:r>
      <w:r w:rsidRPr="006960FA">
        <w:rPr>
          <w:rFonts w:hint="cs"/>
          <w:rtl/>
        </w:rPr>
        <w:t>اللويحق، مؤسسة الرسالة</w:t>
      </w:r>
      <w:r>
        <w:rPr>
          <w:rFonts w:hint="cs"/>
          <w:rtl/>
        </w:rPr>
        <w:t>، الطبعة الأولى: 1423ه</w:t>
      </w:r>
      <w:r w:rsidRPr="006960FA">
        <w:rPr>
          <w:rFonts w:hint="cs"/>
          <w:rtl/>
        </w:rPr>
        <w:t>.</w:t>
      </w:r>
    </w:p>
    <w:p w:rsidR="00382990" w:rsidRDefault="00382990" w:rsidP="000A76C7">
      <w:pPr>
        <w:pStyle w:val="afc"/>
        <w:numPr>
          <w:ilvl w:val="0"/>
          <w:numId w:val="325"/>
        </w:numPr>
      </w:pPr>
      <w:r>
        <w:rPr>
          <w:rFonts w:hint="cs"/>
          <w:rtl/>
        </w:rPr>
        <w:t>تيسير اللطيف المنان في خلاصة تفسير القرآن لعبد الرحمن بن ناصر السعدي، طبع وزارة الشؤون الإسلامية والأوقاف والدعوة والإرشاد، الطبعة الأولى: 1422ه.</w:t>
      </w:r>
    </w:p>
    <w:p w:rsidR="00382990" w:rsidRPr="006960FA" w:rsidRDefault="00382990" w:rsidP="000A76C7">
      <w:pPr>
        <w:pStyle w:val="afc"/>
        <w:numPr>
          <w:ilvl w:val="0"/>
          <w:numId w:val="325"/>
        </w:numPr>
        <w:rPr>
          <w:rtl/>
        </w:rPr>
      </w:pPr>
      <w:r w:rsidRPr="006960FA">
        <w:rPr>
          <w:rFonts w:hint="cs"/>
          <w:rtl/>
        </w:rPr>
        <w:t xml:space="preserve">الجامع الصحيح لأبي عبد الله محمد بن إسماعيل بن إبراهيم البخاري، </w:t>
      </w:r>
      <w:r>
        <w:rPr>
          <w:rFonts w:hint="cs"/>
          <w:rtl/>
        </w:rPr>
        <w:t xml:space="preserve">المسمى: الجامع المسند الصحيح المختصر من أمور رسول الله صلى الله عليه وسلم وسننه وأيامه، </w:t>
      </w:r>
      <w:r w:rsidRPr="006960FA">
        <w:rPr>
          <w:rFonts w:hint="cs"/>
          <w:rtl/>
        </w:rPr>
        <w:t>اعتنى به: محمد زهير بن ناصر الناصر، دار طوق النجاة، الطبعة الأولى: 1428ه.</w:t>
      </w:r>
    </w:p>
    <w:p w:rsidR="00382990" w:rsidRPr="006960FA" w:rsidRDefault="00382990" w:rsidP="000A76C7">
      <w:pPr>
        <w:pStyle w:val="afc"/>
        <w:numPr>
          <w:ilvl w:val="0"/>
          <w:numId w:val="325"/>
        </w:numPr>
        <w:rPr>
          <w:rtl/>
        </w:rPr>
      </w:pPr>
      <w:r>
        <w:rPr>
          <w:rFonts w:hint="cs"/>
          <w:rtl/>
        </w:rPr>
        <w:t xml:space="preserve">جامع العلوم والحكم في شرح خمسين حديثا من جوامع الكلم لزين الدين أبي الفرج عبد الرحمن بن شهاب الدين البغدادي، المعروف ب"ابن رجب الحنبلي"، تحقيق وتعليق: طارق بن عوض الله بن محمد، دار ابن الجوزي، الدمام، الطبعة الرابعة: 1423ه. </w:t>
      </w:r>
    </w:p>
    <w:p w:rsidR="00382990" w:rsidRPr="00D64015" w:rsidRDefault="00382990" w:rsidP="00D64015">
      <w:pPr>
        <w:pStyle w:val="afc"/>
        <w:widowControl/>
        <w:numPr>
          <w:ilvl w:val="0"/>
          <w:numId w:val="325"/>
        </w:numPr>
        <w:autoSpaceDE w:val="0"/>
        <w:autoSpaceDN w:val="0"/>
        <w:adjustRightInd w:val="0"/>
        <w:jc w:val="left"/>
        <w:rPr>
          <w:rFonts w:ascii="Traditional Arabic" w:hAnsi="Traditional Arabic"/>
          <w:noProof w:val="0"/>
          <w:color w:val="auto"/>
          <w:lang w:eastAsia="en-US"/>
        </w:rPr>
      </w:pPr>
      <w:r w:rsidRPr="00D64015">
        <w:rPr>
          <w:rFonts w:ascii="Traditional Arabic" w:hAnsi="Traditional Arabic"/>
          <w:noProof w:val="0"/>
          <w:color w:val="auto"/>
          <w:rtl/>
          <w:lang w:eastAsia="en-US"/>
        </w:rPr>
        <w:t>جامع المسائل لتقي الدين أب</w:t>
      </w:r>
      <w:r w:rsidRPr="00D64015">
        <w:rPr>
          <w:rFonts w:ascii="Traditional Arabic" w:hAnsi="Traditional Arabic" w:hint="cs"/>
          <w:noProof w:val="0"/>
          <w:color w:val="auto"/>
          <w:rtl/>
          <w:lang w:eastAsia="en-US"/>
        </w:rPr>
        <w:t>ي</w:t>
      </w:r>
      <w:r w:rsidRPr="00D64015">
        <w:rPr>
          <w:rFonts w:ascii="Traditional Arabic" w:hAnsi="Traditional Arabic"/>
          <w:noProof w:val="0"/>
          <w:color w:val="auto"/>
          <w:rtl/>
          <w:lang w:eastAsia="en-US"/>
        </w:rPr>
        <w:t xml:space="preserve"> العباس أحمد بن عبد الحليم بن عبد السلام بن تيمية</w:t>
      </w:r>
      <w:r w:rsidRPr="00D64015">
        <w:rPr>
          <w:rFonts w:ascii="Traditional Arabic" w:hAnsi="Traditional Arabic" w:hint="cs"/>
          <w:noProof w:val="0"/>
          <w:color w:val="auto"/>
          <w:rtl/>
          <w:lang w:eastAsia="en-US"/>
        </w:rPr>
        <w:t xml:space="preserve">، </w:t>
      </w:r>
      <w:r w:rsidRPr="00D64015">
        <w:rPr>
          <w:rFonts w:ascii="Traditional Arabic" w:hAnsi="Traditional Arabic"/>
          <w:noProof w:val="0"/>
          <w:color w:val="auto"/>
          <w:rtl/>
          <w:lang w:eastAsia="en-US"/>
        </w:rPr>
        <w:t>تحقيق : محمد عزير شمس</w:t>
      </w:r>
      <w:r w:rsidRPr="00D64015">
        <w:rPr>
          <w:rFonts w:ascii="Traditional Arabic" w:hAnsi="Traditional Arabic" w:hint="cs"/>
          <w:noProof w:val="0"/>
          <w:color w:val="auto"/>
          <w:rtl/>
          <w:lang w:eastAsia="en-US"/>
        </w:rPr>
        <w:t xml:space="preserve">، </w:t>
      </w:r>
      <w:r w:rsidRPr="00D64015">
        <w:rPr>
          <w:rFonts w:ascii="Traditional Arabic" w:hAnsi="Traditional Arabic"/>
          <w:noProof w:val="0"/>
          <w:color w:val="auto"/>
          <w:rtl/>
          <w:lang w:eastAsia="en-US"/>
        </w:rPr>
        <w:t>دار عالم الفوائد الطبعة: الأولى ، 1422 هـ</w:t>
      </w:r>
    </w:p>
    <w:p w:rsidR="00382990" w:rsidRDefault="00382990" w:rsidP="000A76C7">
      <w:pPr>
        <w:pStyle w:val="afc"/>
        <w:numPr>
          <w:ilvl w:val="0"/>
          <w:numId w:val="325"/>
        </w:numPr>
      </w:pPr>
      <w:r>
        <w:rPr>
          <w:rFonts w:hint="cs"/>
          <w:rtl/>
        </w:rPr>
        <w:lastRenderedPageBreak/>
        <w:t>الجامع لحياة العلامة محمد بن صالح العثيمين_رحمه الله_ العلمية والعملية وما قيل فيه من المراثي، لوليد بن أحمد الحسين، مجلة الحكمة، العدد العاشر، الطبعة الأولى: 1422ه.</w:t>
      </w:r>
    </w:p>
    <w:p w:rsidR="00382990" w:rsidRDefault="00382990" w:rsidP="000A76C7">
      <w:pPr>
        <w:pStyle w:val="afc"/>
        <w:numPr>
          <w:ilvl w:val="0"/>
          <w:numId w:val="325"/>
        </w:numPr>
      </w:pPr>
      <w:r>
        <w:rPr>
          <w:rFonts w:hint="cs"/>
          <w:rtl/>
        </w:rPr>
        <w:t>الحاجة وأثرها في الأحكام دراسة نظرية تطبيقية لأحمد بن عبد الرحمن بن ناصر الرشيد، دار كنوز إشبيليا، الرياض، الطبعة الأولى: 1429ه.</w:t>
      </w:r>
    </w:p>
    <w:p w:rsidR="00382990" w:rsidRPr="006960FA" w:rsidRDefault="00382990" w:rsidP="000A76C7">
      <w:pPr>
        <w:pStyle w:val="afc"/>
        <w:numPr>
          <w:ilvl w:val="0"/>
          <w:numId w:val="325"/>
        </w:numPr>
        <w:rPr>
          <w:rtl/>
        </w:rPr>
      </w:pPr>
      <w:r w:rsidRPr="006960FA">
        <w:rPr>
          <w:rtl/>
        </w:rPr>
        <w:t>حاشية الروض المربع شرح زاد المستقنع لعبد الرحمن بن محمد بن قاسم النجدي</w:t>
      </w:r>
      <w:r w:rsidRPr="006960FA">
        <w:rPr>
          <w:rFonts w:hint="cs"/>
          <w:rtl/>
        </w:rPr>
        <w:t>، ال</w:t>
      </w:r>
      <w:r w:rsidRPr="006960FA">
        <w:rPr>
          <w:rtl/>
        </w:rPr>
        <w:t>ط</w:t>
      </w:r>
      <w:r w:rsidRPr="006960FA">
        <w:rPr>
          <w:rFonts w:hint="cs"/>
          <w:rtl/>
        </w:rPr>
        <w:t xml:space="preserve">بعة الأولى: </w:t>
      </w:r>
      <w:r w:rsidRPr="006960FA">
        <w:rPr>
          <w:rtl/>
        </w:rPr>
        <w:t>1398.</w:t>
      </w:r>
    </w:p>
    <w:p w:rsidR="00382990" w:rsidRDefault="00382990" w:rsidP="000A76C7">
      <w:pPr>
        <w:pStyle w:val="afc"/>
        <w:numPr>
          <w:ilvl w:val="0"/>
          <w:numId w:val="325"/>
        </w:numPr>
      </w:pPr>
      <w:r>
        <w:rPr>
          <w:rFonts w:hint="cs"/>
          <w:rtl/>
        </w:rPr>
        <w:t>حاشية العضد على مختصر المنتهى لابن الحاجب مع حاشية التفتزاني، مراجعة وتصحيح: شعبان محمد إسماعيل، مكتبة الكليات الأزهرية، 1393ه.</w:t>
      </w:r>
    </w:p>
    <w:p w:rsidR="00382990" w:rsidRDefault="00382990" w:rsidP="000A76C7">
      <w:pPr>
        <w:pStyle w:val="afc"/>
        <w:numPr>
          <w:ilvl w:val="0"/>
          <w:numId w:val="325"/>
        </w:numPr>
      </w:pPr>
      <w:r>
        <w:rPr>
          <w:rFonts w:hint="cs"/>
          <w:rtl/>
        </w:rPr>
        <w:t>حاشية العلامة البناني على شرح الجلال المحلي على متن جمع الجوامع، وبهامشها تقريرات شيخ الإسلام عبد الرحمن الشربيني، مطبعة مصطفى البابي الحلبي وأولاده بمصر، الطبعة الثانية: 1356ه.</w:t>
      </w:r>
    </w:p>
    <w:p w:rsidR="00382990" w:rsidRDefault="00382990" w:rsidP="000A76C7">
      <w:pPr>
        <w:pStyle w:val="afc"/>
        <w:numPr>
          <w:ilvl w:val="0"/>
          <w:numId w:val="325"/>
        </w:numPr>
      </w:pPr>
      <w:r>
        <w:rPr>
          <w:rFonts w:hint="cs"/>
          <w:rtl/>
        </w:rPr>
        <w:t xml:space="preserve">الحدود في أصول الفقه لأبي الوليد سليمان بن خلف الباجي المالكي، تحقيق ودراسة: مصطفى محمود الأزهري، دار ابن القيم، الرياض، ودار ابن عفان، القاهرة، الطبعة الأولى: 1429ه. </w:t>
      </w:r>
    </w:p>
    <w:p w:rsidR="00382990" w:rsidRDefault="00382990" w:rsidP="000A76C7">
      <w:pPr>
        <w:pStyle w:val="afc"/>
        <w:numPr>
          <w:ilvl w:val="0"/>
          <w:numId w:val="325"/>
        </w:numPr>
      </w:pPr>
      <w:r>
        <w:rPr>
          <w:rFonts w:hint="cs"/>
          <w:rtl/>
        </w:rPr>
        <w:t>درر الحكام شرح مجلة الأحكام لعلي حيدر، تعريب المحامي فهمي الحسيني، دار عالم الكتب، طبعة خاصة: 1423ه.</w:t>
      </w:r>
    </w:p>
    <w:p w:rsidR="00382990" w:rsidRPr="006960FA" w:rsidRDefault="00382990" w:rsidP="000A76C7">
      <w:pPr>
        <w:pStyle w:val="afc"/>
        <w:numPr>
          <w:ilvl w:val="0"/>
          <w:numId w:val="325"/>
        </w:numPr>
        <w:rPr>
          <w:rtl/>
        </w:rPr>
      </w:pPr>
      <w:r w:rsidRPr="006960FA">
        <w:rPr>
          <w:rtl/>
        </w:rPr>
        <w:t>دليل الطالب لنيل المطالب لمرعي بن يوسف الكرمي الحنبلي</w:t>
      </w:r>
      <w:r w:rsidRPr="006960FA">
        <w:rPr>
          <w:rFonts w:hint="cs"/>
          <w:rtl/>
        </w:rPr>
        <w:t>،ا</w:t>
      </w:r>
      <w:r w:rsidRPr="006960FA">
        <w:rPr>
          <w:rtl/>
        </w:rPr>
        <w:t>ع</w:t>
      </w:r>
      <w:r w:rsidRPr="006960FA">
        <w:rPr>
          <w:rFonts w:hint="cs"/>
          <w:rtl/>
        </w:rPr>
        <w:t>تناء:</w:t>
      </w:r>
      <w:r w:rsidRPr="006960FA">
        <w:rPr>
          <w:rtl/>
        </w:rPr>
        <w:t xml:space="preserve"> سلطان بن عبد الرحمن العيد</w:t>
      </w:r>
      <w:r w:rsidRPr="006960FA">
        <w:rPr>
          <w:rFonts w:hint="cs"/>
          <w:rtl/>
        </w:rPr>
        <w:t xml:space="preserve">، </w:t>
      </w:r>
      <w:r w:rsidRPr="006960FA">
        <w:rPr>
          <w:rtl/>
        </w:rPr>
        <w:t>مؤسسة الرسالة</w:t>
      </w:r>
      <w:r>
        <w:rPr>
          <w:rFonts w:hint="cs"/>
          <w:rtl/>
        </w:rPr>
        <w:t>، بيروت، الطبعة الأولى: 1417ه</w:t>
      </w:r>
      <w:r w:rsidRPr="006960FA">
        <w:rPr>
          <w:rFonts w:hint="cs"/>
          <w:rtl/>
        </w:rPr>
        <w:t>.</w:t>
      </w:r>
    </w:p>
    <w:p w:rsidR="00382990" w:rsidRDefault="00382990" w:rsidP="000A76C7">
      <w:pPr>
        <w:pStyle w:val="afc"/>
        <w:numPr>
          <w:ilvl w:val="0"/>
          <w:numId w:val="325"/>
        </w:numPr>
      </w:pPr>
      <w:r w:rsidRPr="006960FA">
        <w:rPr>
          <w:rFonts w:hint="cs"/>
          <w:rtl/>
        </w:rPr>
        <w:t>الذخيرة ل</w:t>
      </w:r>
      <w:r w:rsidRPr="006960FA">
        <w:rPr>
          <w:rtl/>
        </w:rPr>
        <w:t>أب</w:t>
      </w:r>
      <w:r w:rsidRPr="006960FA">
        <w:rPr>
          <w:rFonts w:hint="cs"/>
          <w:rtl/>
        </w:rPr>
        <w:t>ي</w:t>
      </w:r>
      <w:r w:rsidRPr="006960FA">
        <w:rPr>
          <w:rtl/>
        </w:rPr>
        <w:t xml:space="preserve"> العباس شهاب الدين أحمد بن إدريس</w:t>
      </w:r>
      <w:r w:rsidRPr="006960FA">
        <w:rPr>
          <w:rFonts w:hint="cs"/>
          <w:rtl/>
        </w:rPr>
        <w:t xml:space="preserve"> القرافي، تحقبق: </w:t>
      </w:r>
      <w:r w:rsidRPr="006960FA">
        <w:rPr>
          <w:rtl/>
        </w:rPr>
        <w:t>محمد حجي</w:t>
      </w:r>
      <w:r w:rsidRPr="006960FA">
        <w:rPr>
          <w:rFonts w:hint="cs"/>
          <w:rtl/>
        </w:rPr>
        <w:t xml:space="preserve">، </w:t>
      </w:r>
      <w:r w:rsidRPr="006960FA">
        <w:rPr>
          <w:rtl/>
        </w:rPr>
        <w:t>سعيد أعراب</w:t>
      </w:r>
      <w:r w:rsidRPr="006960FA">
        <w:rPr>
          <w:rFonts w:hint="cs"/>
          <w:rtl/>
        </w:rPr>
        <w:t xml:space="preserve"> و</w:t>
      </w:r>
      <w:r>
        <w:rPr>
          <w:rtl/>
        </w:rPr>
        <w:t>محمد بو</w:t>
      </w:r>
      <w:r w:rsidRPr="006960FA">
        <w:rPr>
          <w:rtl/>
        </w:rPr>
        <w:t>خبزة</w:t>
      </w:r>
      <w:r w:rsidRPr="006960FA">
        <w:rPr>
          <w:rFonts w:hint="cs"/>
          <w:rtl/>
        </w:rPr>
        <w:t xml:space="preserve">، </w:t>
      </w:r>
      <w:r w:rsidRPr="006960FA">
        <w:rPr>
          <w:rtl/>
        </w:rPr>
        <w:t>دار الغرب الإسلامي- بيروت</w:t>
      </w:r>
      <w:r w:rsidRPr="006960FA">
        <w:rPr>
          <w:rFonts w:hint="cs"/>
          <w:rtl/>
        </w:rPr>
        <w:t xml:space="preserve">، </w:t>
      </w:r>
      <w:r w:rsidRPr="006960FA">
        <w:rPr>
          <w:rtl/>
        </w:rPr>
        <w:t>الطبعة: الأولى، 1994 م</w:t>
      </w:r>
      <w:r w:rsidRPr="006960FA">
        <w:rPr>
          <w:rFonts w:hint="cs"/>
          <w:rtl/>
        </w:rPr>
        <w:t>.</w:t>
      </w:r>
    </w:p>
    <w:p w:rsidR="00625977" w:rsidRPr="006960FA" w:rsidRDefault="00625977" w:rsidP="000A76C7">
      <w:pPr>
        <w:pStyle w:val="afc"/>
        <w:numPr>
          <w:ilvl w:val="0"/>
          <w:numId w:val="325"/>
        </w:numPr>
        <w:rPr>
          <w:rtl/>
        </w:rPr>
      </w:pPr>
      <w:r>
        <w:rPr>
          <w:rFonts w:hint="cs"/>
          <w:rtl/>
        </w:rPr>
        <w:t>الرخص الشرعية وإثباتها بالقياس لعبد الكريم النملة، مكتبة الرشد.</w:t>
      </w:r>
    </w:p>
    <w:p w:rsidR="00382990" w:rsidRDefault="00382990" w:rsidP="000A76C7">
      <w:pPr>
        <w:pStyle w:val="afc"/>
        <w:numPr>
          <w:ilvl w:val="0"/>
          <w:numId w:val="325"/>
        </w:numPr>
      </w:pPr>
      <w:r>
        <w:rPr>
          <w:rFonts w:hint="cs"/>
          <w:rtl/>
        </w:rPr>
        <w:t xml:space="preserve">الرخصة الشرعية في الأصول والقواعد الفقهية ونماذج تطبيقية في فتاوى شرعية لبعض المعاملات المالية، لعمر عبد الله كامل، المكتبة المكية، مكة، ودار ابن حزم، بيروت، الطبعة الأولى: 1420ه. </w:t>
      </w:r>
    </w:p>
    <w:p w:rsidR="00382990" w:rsidRDefault="00382990" w:rsidP="000A76C7">
      <w:pPr>
        <w:pStyle w:val="afc"/>
        <w:numPr>
          <w:ilvl w:val="0"/>
          <w:numId w:val="325"/>
        </w:numPr>
      </w:pPr>
      <w:r w:rsidRPr="006960FA">
        <w:rPr>
          <w:rtl/>
        </w:rPr>
        <w:t>رسالة لطيفة جامعة في أصول الفقه المهمة ل</w:t>
      </w:r>
      <w:r w:rsidRPr="006960FA">
        <w:rPr>
          <w:rFonts w:hint="cs"/>
          <w:rtl/>
        </w:rPr>
        <w:t xml:space="preserve">عبد الرحمن </w:t>
      </w:r>
      <w:r w:rsidRPr="006960FA">
        <w:rPr>
          <w:rtl/>
        </w:rPr>
        <w:t>بن</w:t>
      </w:r>
      <w:r w:rsidRPr="006960FA">
        <w:rPr>
          <w:rFonts w:hint="cs"/>
          <w:rtl/>
        </w:rPr>
        <w:t xml:space="preserve"> ناصر السعدي، </w:t>
      </w:r>
      <w:r w:rsidRPr="006960FA">
        <w:rPr>
          <w:rtl/>
        </w:rPr>
        <w:t xml:space="preserve">وبذيلها </w:t>
      </w:r>
      <w:r w:rsidRPr="006960FA">
        <w:rPr>
          <w:rtl/>
        </w:rPr>
        <w:lastRenderedPageBreak/>
        <w:t>التعليقات المنيفة على فصول الرسالة السعدية اللطيفة لأبي الحارث نادر بن سعيد آل مبارك التعمري</w:t>
      </w:r>
      <w:r w:rsidRPr="006960FA">
        <w:rPr>
          <w:rFonts w:hint="cs"/>
          <w:rtl/>
        </w:rPr>
        <w:t>،</w:t>
      </w:r>
      <w:r w:rsidRPr="006960FA">
        <w:rPr>
          <w:rtl/>
        </w:rPr>
        <w:t xml:space="preserve"> دار ابن حزم</w:t>
      </w:r>
      <w:r w:rsidRPr="006960FA">
        <w:rPr>
          <w:rFonts w:hint="cs"/>
          <w:rtl/>
        </w:rPr>
        <w:t>، ال</w:t>
      </w:r>
      <w:r w:rsidRPr="006960FA">
        <w:rPr>
          <w:rtl/>
        </w:rPr>
        <w:t>ط</w:t>
      </w:r>
      <w:r w:rsidRPr="006960FA">
        <w:rPr>
          <w:rFonts w:hint="cs"/>
          <w:rtl/>
        </w:rPr>
        <w:t xml:space="preserve">بعة الأولى: </w:t>
      </w:r>
      <w:r w:rsidRPr="006960FA">
        <w:rPr>
          <w:rtl/>
        </w:rPr>
        <w:t>1418</w:t>
      </w:r>
      <w:r w:rsidRPr="006960FA">
        <w:rPr>
          <w:rFonts w:hint="cs"/>
          <w:rtl/>
        </w:rPr>
        <w:t>ه</w:t>
      </w:r>
      <w:r w:rsidRPr="006960FA">
        <w:rPr>
          <w:rtl/>
        </w:rPr>
        <w:t>.</w:t>
      </w:r>
    </w:p>
    <w:p w:rsidR="00382990" w:rsidRDefault="00382990" w:rsidP="000A76C7">
      <w:pPr>
        <w:pStyle w:val="afc"/>
        <w:numPr>
          <w:ilvl w:val="0"/>
          <w:numId w:val="325"/>
        </w:numPr>
      </w:pPr>
      <w:r>
        <w:rPr>
          <w:rFonts w:hint="cs"/>
          <w:rtl/>
        </w:rPr>
        <w:t>رفع النقاب عن تنقيح الشهاب لأبي علي حسين بن علي بن طلحة الرجراجي الشوشاوي، تحقيق: عبد الرحمن بن عبد الله الجبرين، مكتبة الرشد، الرياض، الطبعة الأولى: 1425ه.</w:t>
      </w:r>
    </w:p>
    <w:p w:rsidR="00382990" w:rsidRPr="006960FA" w:rsidRDefault="00382990" w:rsidP="000A76C7">
      <w:pPr>
        <w:pStyle w:val="afc"/>
        <w:numPr>
          <w:ilvl w:val="0"/>
          <w:numId w:val="325"/>
        </w:numPr>
        <w:rPr>
          <w:rtl/>
        </w:rPr>
      </w:pPr>
      <w:r w:rsidRPr="006960FA">
        <w:rPr>
          <w:rFonts w:hint="cs"/>
          <w:rtl/>
        </w:rPr>
        <w:t>الروض المربع شرح زاد المستقنع ل</w:t>
      </w:r>
      <w:r w:rsidRPr="006960FA">
        <w:rPr>
          <w:rtl/>
        </w:rPr>
        <w:t>منصور بن يونس بن صلاح الدين بن حس</w:t>
      </w:r>
      <w:r w:rsidRPr="006960FA">
        <w:rPr>
          <w:rFonts w:hint="cs"/>
          <w:rtl/>
        </w:rPr>
        <w:t>ن</w:t>
      </w:r>
      <w:r w:rsidRPr="006960FA">
        <w:rPr>
          <w:rtl/>
        </w:rPr>
        <w:t xml:space="preserve"> البهوتى</w:t>
      </w:r>
      <w:r w:rsidRPr="006960FA">
        <w:rPr>
          <w:rFonts w:hint="cs"/>
          <w:rtl/>
        </w:rPr>
        <w:t>، تحقيق عبد الله الطيار وآخرون، دار الوطن، الطبعة الثانية:</w:t>
      </w:r>
      <w:r>
        <w:rPr>
          <w:rFonts w:hint="cs"/>
          <w:rtl/>
        </w:rPr>
        <w:t xml:space="preserve"> </w:t>
      </w:r>
      <w:r w:rsidRPr="006960FA">
        <w:rPr>
          <w:rFonts w:hint="cs"/>
          <w:rtl/>
        </w:rPr>
        <w:t>1426ه.</w:t>
      </w:r>
    </w:p>
    <w:p w:rsidR="00382990" w:rsidRPr="006960FA" w:rsidRDefault="00382990" w:rsidP="000A76C7">
      <w:pPr>
        <w:pStyle w:val="afc"/>
        <w:numPr>
          <w:ilvl w:val="0"/>
          <w:numId w:val="325"/>
        </w:numPr>
        <w:rPr>
          <w:rtl/>
        </w:rPr>
      </w:pPr>
      <w:r w:rsidRPr="006960FA">
        <w:rPr>
          <w:rtl/>
        </w:rPr>
        <w:t>روضة الطالبين وعمدة المفتين</w:t>
      </w:r>
      <w:r w:rsidRPr="006960FA">
        <w:rPr>
          <w:rFonts w:hint="cs"/>
          <w:rtl/>
        </w:rPr>
        <w:t>، ل</w:t>
      </w:r>
      <w:r w:rsidRPr="006960FA">
        <w:rPr>
          <w:rtl/>
        </w:rPr>
        <w:t>أب</w:t>
      </w:r>
      <w:r w:rsidRPr="006960FA">
        <w:rPr>
          <w:rFonts w:hint="cs"/>
          <w:rtl/>
        </w:rPr>
        <w:t>ي</w:t>
      </w:r>
      <w:r w:rsidRPr="006960FA">
        <w:rPr>
          <w:rtl/>
        </w:rPr>
        <w:t xml:space="preserve"> زكريا محيي الدين يحيى بن شرف النوو</w:t>
      </w:r>
      <w:r w:rsidRPr="006960FA">
        <w:rPr>
          <w:rFonts w:hint="cs"/>
          <w:rtl/>
        </w:rPr>
        <w:t xml:space="preserve">ي، </w:t>
      </w:r>
      <w:r w:rsidRPr="006960FA">
        <w:rPr>
          <w:rtl/>
        </w:rPr>
        <w:t>تحقيق: زهير الشاويش</w:t>
      </w:r>
      <w:r w:rsidRPr="006960FA">
        <w:rPr>
          <w:rFonts w:hint="cs"/>
          <w:rtl/>
        </w:rPr>
        <w:t xml:space="preserve">، </w:t>
      </w:r>
      <w:r w:rsidRPr="006960FA">
        <w:rPr>
          <w:rtl/>
        </w:rPr>
        <w:t>المكتب الإسلامي، بيروت- دمشق- عمان</w:t>
      </w:r>
      <w:r w:rsidRPr="006960FA">
        <w:rPr>
          <w:rFonts w:hint="cs"/>
          <w:rtl/>
        </w:rPr>
        <w:t xml:space="preserve">، </w:t>
      </w:r>
      <w:r w:rsidRPr="006960FA">
        <w:rPr>
          <w:rtl/>
        </w:rPr>
        <w:t>الطبعة: الثالثة، 1412ه</w:t>
      </w:r>
      <w:r w:rsidRPr="006960FA">
        <w:rPr>
          <w:rFonts w:hint="cs"/>
          <w:rtl/>
        </w:rPr>
        <w:t>.</w:t>
      </w:r>
    </w:p>
    <w:p w:rsidR="00382990" w:rsidRDefault="00382990" w:rsidP="00B473F2">
      <w:pPr>
        <w:pStyle w:val="afc"/>
        <w:numPr>
          <w:ilvl w:val="0"/>
          <w:numId w:val="325"/>
        </w:numPr>
      </w:pPr>
      <w:r>
        <w:rPr>
          <w:rFonts w:hint="cs"/>
          <w:rtl/>
        </w:rPr>
        <w:t>روضة الفوائد شرح منظومة القواعد لابن سعدي لمصطفى بن كرامة الله مخدوم، دار إشبيليا، الرياض، الطبعة الأولى: 1420ه.</w:t>
      </w:r>
    </w:p>
    <w:p w:rsidR="00382990" w:rsidRDefault="00382990" w:rsidP="000A76C7">
      <w:pPr>
        <w:pStyle w:val="afc"/>
        <w:numPr>
          <w:ilvl w:val="0"/>
          <w:numId w:val="325"/>
        </w:numPr>
      </w:pPr>
      <w:r w:rsidRPr="006960FA">
        <w:rPr>
          <w:rtl/>
        </w:rPr>
        <w:t>روضة المحبين ونزهة المشتاقين لشمس الدين محمد بن أبي بكر بن قيم الجوزية، دار النبلاء</w:t>
      </w:r>
      <w:r w:rsidRPr="006960FA">
        <w:rPr>
          <w:rFonts w:hint="cs"/>
          <w:rtl/>
        </w:rPr>
        <w:t>.</w:t>
      </w:r>
    </w:p>
    <w:p w:rsidR="00382990" w:rsidRDefault="00382990" w:rsidP="000A76C7">
      <w:pPr>
        <w:pStyle w:val="afc"/>
        <w:numPr>
          <w:ilvl w:val="0"/>
          <w:numId w:val="325"/>
        </w:numPr>
      </w:pPr>
      <w:r>
        <w:rPr>
          <w:rFonts w:hint="cs"/>
          <w:rtl/>
        </w:rPr>
        <w:t xml:space="preserve">روضة الناظر وجنة المناظر في أصول الفقه على مذهب  الإمام أحمد بن حنبل لموفق الدين عبد الله بن أحمد بن محمد بن قدامة المقدسي، تحقيق: عبد الكريم بن علي بن محمد النملة، مكتبة الرشد، الرياض، وشركة الرياض، الطبعة الخامسة: 1417ه. </w:t>
      </w:r>
    </w:p>
    <w:p w:rsidR="00382990" w:rsidRPr="00A56C29" w:rsidRDefault="00382990" w:rsidP="00A56C29">
      <w:pPr>
        <w:pStyle w:val="afc"/>
        <w:numPr>
          <w:ilvl w:val="0"/>
          <w:numId w:val="325"/>
        </w:numPr>
        <w:rPr>
          <w:rtl/>
        </w:rPr>
      </w:pPr>
      <w:r>
        <w:rPr>
          <w:rFonts w:hint="cs"/>
          <w:rtl/>
        </w:rPr>
        <w:t>روضة الناظرين عن مآثر علماء نجد وحوادث السنين لمحمد بن عثمان بن صالح القاضي، مطبعة الحلبي، الطبعة الثانية: 1403ه.</w:t>
      </w:r>
    </w:p>
    <w:p w:rsidR="00382990" w:rsidRDefault="00382990" w:rsidP="000A76C7">
      <w:pPr>
        <w:pStyle w:val="afc"/>
        <w:numPr>
          <w:ilvl w:val="0"/>
          <w:numId w:val="325"/>
        </w:numPr>
      </w:pPr>
      <w:r w:rsidRPr="006960FA">
        <w:rPr>
          <w:rtl/>
        </w:rPr>
        <w:t>زاد المستقنع في اختصار المقنع لشرف الدين موسى بن أحمد الحجاوي</w:t>
      </w:r>
      <w:r w:rsidRPr="006960FA">
        <w:rPr>
          <w:rFonts w:hint="cs"/>
          <w:rtl/>
        </w:rPr>
        <w:t xml:space="preserve">، </w:t>
      </w:r>
      <w:r w:rsidRPr="006960FA">
        <w:rPr>
          <w:rtl/>
        </w:rPr>
        <w:t>تحقيق وضبط: عبد الرحمن بن علي العسكر</w:t>
      </w:r>
      <w:r w:rsidRPr="006960FA">
        <w:rPr>
          <w:rFonts w:hint="cs"/>
          <w:rtl/>
        </w:rPr>
        <w:t xml:space="preserve">، </w:t>
      </w:r>
      <w:r w:rsidRPr="006960FA">
        <w:rPr>
          <w:rtl/>
        </w:rPr>
        <w:t>مدار الوطن للنشر</w:t>
      </w:r>
      <w:r w:rsidRPr="006960FA">
        <w:rPr>
          <w:rFonts w:hint="cs"/>
          <w:rtl/>
        </w:rPr>
        <w:t xml:space="preserve">، </w:t>
      </w:r>
      <w:r w:rsidRPr="006960FA">
        <w:rPr>
          <w:rtl/>
        </w:rPr>
        <w:t>الطبعة الأولى</w:t>
      </w:r>
      <w:r w:rsidRPr="006960FA">
        <w:rPr>
          <w:rFonts w:hint="cs"/>
          <w:rtl/>
        </w:rPr>
        <w:t xml:space="preserve">، </w:t>
      </w:r>
      <w:r w:rsidRPr="006960FA">
        <w:rPr>
          <w:rtl/>
        </w:rPr>
        <w:t>1425ه.</w:t>
      </w:r>
    </w:p>
    <w:p w:rsidR="00382990" w:rsidRDefault="00382990" w:rsidP="000A76C7">
      <w:pPr>
        <w:pStyle w:val="afc"/>
        <w:numPr>
          <w:ilvl w:val="0"/>
          <w:numId w:val="325"/>
        </w:numPr>
      </w:pPr>
      <w:r>
        <w:rPr>
          <w:rFonts w:hint="cs"/>
          <w:rtl/>
        </w:rPr>
        <w:t xml:space="preserve">زاد المستقنع </w:t>
      </w:r>
      <w:r w:rsidRPr="006960FA">
        <w:rPr>
          <w:rtl/>
        </w:rPr>
        <w:t>في اختصار المقنع لشرف الدين موسى بن أحمد الحجاوي</w:t>
      </w:r>
      <w:r>
        <w:rPr>
          <w:rFonts w:hint="cs"/>
          <w:rtl/>
        </w:rPr>
        <w:t>، تحقيق: محمد بن عبد الله بن صالح الهبدان، دار ابن الجوزي، الدمام، الطبعة الثانية: 1428ه.</w:t>
      </w:r>
    </w:p>
    <w:p w:rsidR="00382990" w:rsidRDefault="00382990" w:rsidP="000A76C7">
      <w:pPr>
        <w:pStyle w:val="afc"/>
        <w:numPr>
          <w:ilvl w:val="0"/>
          <w:numId w:val="325"/>
        </w:numPr>
      </w:pPr>
      <w:r>
        <w:rPr>
          <w:rFonts w:hint="cs"/>
          <w:rtl/>
        </w:rPr>
        <w:t>زاد المسير في علم التفسير لأبي الفرج جمال الدين عبد الرحمن بن علي بن محمد الجوزي،  المكتب الإسلامي، بيروت، الطبعة الثالثة: 1404ه.</w:t>
      </w:r>
    </w:p>
    <w:p w:rsidR="00382990" w:rsidRPr="006960FA" w:rsidRDefault="00382990" w:rsidP="000A76C7">
      <w:pPr>
        <w:pStyle w:val="afc"/>
        <w:numPr>
          <w:ilvl w:val="0"/>
          <w:numId w:val="325"/>
        </w:numPr>
        <w:rPr>
          <w:rtl/>
        </w:rPr>
      </w:pPr>
      <w:r>
        <w:rPr>
          <w:rFonts w:hint="cs"/>
          <w:rtl/>
        </w:rPr>
        <w:t xml:space="preserve">زاد المعاد في هدي خير العباد لشمس الدين أبي عبد الله محمد بن أبي بكر، المعروف بابن قيم الجوزية، تحقيق: شعيب الأرنؤوط وعبد القادر الأرنؤوط، مؤسسة الرسالة، بيروتن </w:t>
      </w:r>
      <w:r>
        <w:rPr>
          <w:rFonts w:hint="cs"/>
          <w:rtl/>
        </w:rPr>
        <w:lastRenderedPageBreak/>
        <w:t xml:space="preserve">ومكتبة المنار الإسلامية، الكويت، الطبعة السابعة والعشرون: 1415ه. </w:t>
      </w:r>
    </w:p>
    <w:p w:rsidR="00382990" w:rsidRPr="006960FA" w:rsidRDefault="00382990" w:rsidP="000A76C7">
      <w:pPr>
        <w:pStyle w:val="afc"/>
        <w:numPr>
          <w:ilvl w:val="0"/>
          <w:numId w:val="325"/>
        </w:numPr>
        <w:rPr>
          <w:rtl/>
        </w:rPr>
      </w:pPr>
      <w:r w:rsidRPr="006960FA">
        <w:rPr>
          <w:rtl/>
        </w:rPr>
        <w:t>سبل السلام الموصلة إلى بلوغ المرام لمحمد بن إسماعيل الأمير الصنعاني</w:t>
      </w:r>
      <w:r w:rsidRPr="006960FA">
        <w:rPr>
          <w:rFonts w:hint="cs"/>
          <w:rtl/>
        </w:rPr>
        <w:t xml:space="preserve">، </w:t>
      </w:r>
      <w:r w:rsidRPr="006960FA">
        <w:rPr>
          <w:rtl/>
        </w:rPr>
        <w:t>تحقيق</w:t>
      </w:r>
      <w:r w:rsidRPr="006960FA">
        <w:rPr>
          <w:rFonts w:hint="cs"/>
          <w:rtl/>
        </w:rPr>
        <w:t>:</w:t>
      </w:r>
      <w:r w:rsidRPr="006960FA">
        <w:rPr>
          <w:rtl/>
        </w:rPr>
        <w:t xml:space="preserve"> محمد صبحي حسن حلاق</w:t>
      </w:r>
      <w:r w:rsidRPr="006960FA">
        <w:rPr>
          <w:rFonts w:hint="cs"/>
          <w:rtl/>
        </w:rPr>
        <w:t xml:space="preserve">، </w:t>
      </w:r>
      <w:r w:rsidRPr="006960FA">
        <w:rPr>
          <w:rtl/>
        </w:rPr>
        <w:t>دار ابن الجوزي</w:t>
      </w:r>
      <w:r w:rsidRPr="006960FA">
        <w:rPr>
          <w:rFonts w:hint="cs"/>
          <w:rtl/>
        </w:rPr>
        <w:t>،</w:t>
      </w:r>
      <w:r>
        <w:rPr>
          <w:rFonts w:hint="cs"/>
          <w:rtl/>
        </w:rPr>
        <w:t xml:space="preserve"> الدمام،</w:t>
      </w:r>
      <w:r w:rsidRPr="006960FA">
        <w:rPr>
          <w:rFonts w:hint="cs"/>
          <w:rtl/>
        </w:rPr>
        <w:t xml:space="preserve"> </w:t>
      </w:r>
      <w:r w:rsidRPr="006960FA">
        <w:rPr>
          <w:rtl/>
        </w:rPr>
        <w:t>الطبعة الثانية:1421ه.</w:t>
      </w:r>
    </w:p>
    <w:p w:rsidR="00382990" w:rsidRPr="00931A6E" w:rsidRDefault="00382990" w:rsidP="000A76C7">
      <w:pPr>
        <w:pStyle w:val="afc"/>
        <w:numPr>
          <w:ilvl w:val="0"/>
          <w:numId w:val="325"/>
        </w:numPr>
      </w:pPr>
      <w:r w:rsidRPr="00931A6E">
        <w:rPr>
          <w:rFonts w:ascii="Traditional Arabic" w:hAnsi="Traditional Arabic" w:hint="cs"/>
          <w:rtl/>
        </w:rPr>
        <w:t>السحب الوابلة على ضرائح الحنابلة لمحمد بن عبد الله بن حميد النجدي، تحقيق: بكر بن عبد الله أبو زيد وعبد الرحمن بن سليمان العثيمين، مؤسسة الرسالة، بيروت، الطبعة الأولى: 1416ه.</w:t>
      </w:r>
    </w:p>
    <w:p w:rsidR="00382990" w:rsidRDefault="00382990" w:rsidP="000A76C7">
      <w:pPr>
        <w:pStyle w:val="afc"/>
        <w:numPr>
          <w:ilvl w:val="0"/>
          <w:numId w:val="325"/>
        </w:numPr>
      </w:pPr>
      <w:r>
        <w:rPr>
          <w:rFonts w:hint="cs"/>
          <w:rtl/>
        </w:rPr>
        <w:t>سد الذرائع في الشريعة الإسلامية لمحمد هشام البرهاني، دار الفكر، دمشق، الطبعة الأولى: 1406ه.</w:t>
      </w:r>
    </w:p>
    <w:p w:rsidR="00382990" w:rsidRDefault="00382990" w:rsidP="000A76C7">
      <w:pPr>
        <w:pStyle w:val="afc"/>
        <w:numPr>
          <w:ilvl w:val="0"/>
          <w:numId w:val="325"/>
        </w:numPr>
      </w:pPr>
      <w:r>
        <w:rPr>
          <w:rFonts w:hint="cs"/>
          <w:rtl/>
        </w:rPr>
        <w:t>سلسلة الأحاديث الصحيحة وشيء من فقهها وفوائدها لمحمد ناصر الدين الألباني، مكتبة المعارف، الرياض، الطبعة الأولى: 1416ه.</w:t>
      </w:r>
    </w:p>
    <w:p w:rsidR="00382990" w:rsidRDefault="00382990" w:rsidP="000A76C7">
      <w:pPr>
        <w:pStyle w:val="afc"/>
        <w:numPr>
          <w:ilvl w:val="0"/>
          <w:numId w:val="325"/>
        </w:numPr>
      </w:pPr>
      <w:r>
        <w:rPr>
          <w:rFonts w:hint="cs"/>
          <w:rtl/>
        </w:rPr>
        <w:t>سلسلة الأحاديث الضعيفة والموضوعة وأثرها السيء في الأمة لمحمد ناصر الدين الألباني، مكتبة المعارف، الرياض، الطبعة الأولى: 1412ه.</w:t>
      </w:r>
    </w:p>
    <w:p w:rsidR="00382990" w:rsidRPr="006960FA" w:rsidRDefault="00382990" w:rsidP="000A76C7">
      <w:pPr>
        <w:pStyle w:val="afc"/>
        <w:numPr>
          <w:ilvl w:val="0"/>
          <w:numId w:val="325"/>
        </w:numPr>
        <w:rPr>
          <w:rtl/>
        </w:rPr>
      </w:pPr>
      <w:r w:rsidRPr="006960FA">
        <w:rPr>
          <w:rFonts w:hint="cs"/>
          <w:rtl/>
        </w:rPr>
        <w:t xml:space="preserve">سنن ابن ماجة بشرح </w:t>
      </w:r>
      <w:r w:rsidRPr="006960FA">
        <w:rPr>
          <w:rtl/>
        </w:rPr>
        <w:t xml:space="preserve"> أبي الحسن </w:t>
      </w:r>
      <w:r w:rsidRPr="006960FA">
        <w:rPr>
          <w:rFonts w:hint="cs"/>
          <w:rtl/>
        </w:rPr>
        <w:t xml:space="preserve">الحنفي </w:t>
      </w:r>
      <w:r w:rsidRPr="006960FA">
        <w:rPr>
          <w:rtl/>
        </w:rPr>
        <w:t>السندي</w:t>
      </w:r>
      <w:r w:rsidRPr="006960FA">
        <w:rPr>
          <w:rFonts w:hint="cs"/>
          <w:rtl/>
        </w:rPr>
        <w:t>، وبحاشية تعليقات مصباح الزجاجة في زوائد ابن ماجة للإمام البوصيري، تحقيق: خليل مأمون شيحا،</w:t>
      </w:r>
      <w:r w:rsidRPr="006960FA">
        <w:rPr>
          <w:rtl/>
        </w:rPr>
        <w:t xml:space="preserve"> دار المعرفة بيروت.</w:t>
      </w:r>
    </w:p>
    <w:p w:rsidR="00382990" w:rsidRPr="006960FA" w:rsidRDefault="00382990" w:rsidP="000A76C7">
      <w:pPr>
        <w:pStyle w:val="afc"/>
        <w:numPr>
          <w:ilvl w:val="0"/>
          <w:numId w:val="325"/>
        </w:numPr>
        <w:rPr>
          <w:rtl/>
        </w:rPr>
      </w:pPr>
      <w:r>
        <w:rPr>
          <w:rFonts w:hint="cs"/>
          <w:rtl/>
        </w:rPr>
        <w:t>السنن الكبرى لأبي بكر أحمد بن الحسين الخراساني البيهقي، ضبط متنه وقدم له: عبد السلام بن محمد علوش، مكتبة الرشد، الرياض، الطبعة الأولى: 1425ه.</w:t>
      </w:r>
    </w:p>
    <w:p w:rsidR="00382990" w:rsidRPr="006960FA" w:rsidRDefault="00382990" w:rsidP="000A76C7">
      <w:pPr>
        <w:pStyle w:val="afc"/>
        <w:numPr>
          <w:ilvl w:val="0"/>
          <w:numId w:val="325"/>
        </w:numPr>
        <w:rPr>
          <w:rtl/>
        </w:rPr>
      </w:pPr>
      <w:r w:rsidRPr="006960FA">
        <w:rPr>
          <w:rFonts w:hint="cs"/>
          <w:rtl/>
        </w:rPr>
        <w:t>ال</w:t>
      </w:r>
      <w:r w:rsidRPr="006960FA">
        <w:rPr>
          <w:rtl/>
        </w:rPr>
        <w:t xml:space="preserve">سنن الكبرى </w:t>
      </w:r>
      <w:r w:rsidRPr="006960FA">
        <w:rPr>
          <w:rFonts w:hint="cs"/>
          <w:rtl/>
        </w:rPr>
        <w:t>ل</w:t>
      </w:r>
      <w:r w:rsidRPr="006960FA">
        <w:rPr>
          <w:rtl/>
        </w:rPr>
        <w:t>أب</w:t>
      </w:r>
      <w:r w:rsidRPr="006960FA">
        <w:rPr>
          <w:rFonts w:hint="cs"/>
          <w:rtl/>
        </w:rPr>
        <w:t>ي</w:t>
      </w:r>
      <w:r w:rsidRPr="006960FA">
        <w:rPr>
          <w:rtl/>
        </w:rPr>
        <w:t xml:space="preserve"> عبد الرحمن أحمد بن شعيب بن علي</w:t>
      </w:r>
      <w:r w:rsidRPr="006960FA">
        <w:rPr>
          <w:rFonts w:hint="cs"/>
          <w:rtl/>
        </w:rPr>
        <w:t xml:space="preserve"> النسائي، </w:t>
      </w:r>
      <w:r w:rsidRPr="006960FA">
        <w:rPr>
          <w:rtl/>
        </w:rPr>
        <w:t>م</w:t>
      </w:r>
      <w:r w:rsidRPr="006960FA">
        <w:rPr>
          <w:rFonts w:hint="cs"/>
          <w:rtl/>
        </w:rPr>
        <w:t>ؤ</w:t>
      </w:r>
      <w:r w:rsidRPr="006960FA">
        <w:rPr>
          <w:rtl/>
        </w:rPr>
        <w:t>سسة الرسالة</w:t>
      </w:r>
      <w:r w:rsidRPr="006960FA">
        <w:rPr>
          <w:rFonts w:hint="cs"/>
          <w:rtl/>
        </w:rPr>
        <w:t>،</w:t>
      </w:r>
      <w:r w:rsidRPr="006960FA">
        <w:rPr>
          <w:rtl/>
        </w:rPr>
        <w:t xml:space="preserve"> تحقيق: حسن عبد المنعم شلبي</w:t>
      </w:r>
      <w:r w:rsidRPr="006960FA">
        <w:rPr>
          <w:rFonts w:hint="cs"/>
          <w:rtl/>
        </w:rPr>
        <w:t>،</w:t>
      </w:r>
      <w:r w:rsidRPr="006960FA">
        <w:rPr>
          <w:rtl/>
        </w:rPr>
        <w:t xml:space="preserve"> الطبعة الأولى:1421ه.</w:t>
      </w:r>
    </w:p>
    <w:p w:rsidR="00382990" w:rsidRPr="006960FA" w:rsidRDefault="00382990" w:rsidP="000A76C7">
      <w:pPr>
        <w:pStyle w:val="afc"/>
        <w:numPr>
          <w:ilvl w:val="0"/>
          <w:numId w:val="325"/>
        </w:numPr>
        <w:rPr>
          <w:rtl/>
        </w:rPr>
      </w:pPr>
      <w:r w:rsidRPr="006960FA">
        <w:rPr>
          <w:rFonts w:hint="cs"/>
          <w:rtl/>
        </w:rPr>
        <w:t>ال</w:t>
      </w:r>
      <w:r w:rsidRPr="006960FA">
        <w:rPr>
          <w:rtl/>
        </w:rPr>
        <w:t xml:space="preserve">سنن </w:t>
      </w:r>
      <w:r w:rsidRPr="006960FA">
        <w:rPr>
          <w:rFonts w:hint="cs"/>
          <w:rtl/>
        </w:rPr>
        <w:t>ل</w:t>
      </w:r>
      <w:r w:rsidRPr="006960FA">
        <w:rPr>
          <w:rtl/>
        </w:rPr>
        <w:t>أب</w:t>
      </w:r>
      <w:r w:rsidRPr="006960FA">
        <w:rPr>
          <w:rFonts w:hint="cs"/>
          <w:rtl/>
        </w:rPr>
        <w:t>ي</w:t>
      </w:r>
      <w:r w:rsidRPr="006960FA">
        <w:rPr>
          <w:rtl/>
        </w:rPr>
        <w:t xml:space="preserve"> داود سليمان بن الأشعث السجستاني</w:t>
      </w:r>
      <w:r w:rsidRPr="006960FA">
        <w:rPr>
          <w:rFonts w:hint="cs"/>
          <w:rtl/>
        </w:rPr>
        <w:t xml:space="preserve">، </w:t>
      </w:r>
      <w:r w:rsidRPr="006960FA">
        <w:rPr>
          <w:rtl/>
        </w:rPr>
        <w:t>تحقيق</w:t>
      </w:r>
      <w:r>
        <w:rPr>
          <w:rFonts w:hint="cs"/>
          <w:rtl/>
        </w:rPr>
        <w:t>:</w:t>
      </w:r>
      <w:r w:rsidRPr="006960FA">
        <w:rPr>
          <w:rtl/>
        </w:rPr>
        <w:t xml:space="preserve"> عزت الدعاس</w:t>
      </w:r>
      <w:r w:rsidRPr="006960FA">
        <w:rPr>
          <w:rFonts w:hint="cs"/>
          <w:rtl/>
        </w:rPr>
        <w:t xml:space="preserve">، </w:t>
      </w:r>
      <w:r w:rsidRPr="006960FA">
        <w:rPr>
          <w:rtl/>
        </w:rPr>
        <w:t>دار ابن حزم</w:t>
      </w:r>
      <w:r w:rsidRPr="006960FA">
        <w:rPr>
          <w:rFonts w:hint="cs"/>
          <w:rtl/>
        </w:rPr>
        <w:t>،</w:t>
      </w:r>
      <w:r>
        <w:rPr>
          <w:rFonts w:hint="cs"/>
          <w:rtl/>
        </w:rPr>
        <w:t xml:space="preserve"> </w:t>
      </w:r>
      <w:r w:rsidRPr="006960FA">
        <w:rPr>
          <w:rtl/>
        </w:rPr>
        <w:t>الطبعة الأولى: 1418ه.</w:t>
      </w:r>
    </w:p>
    <w:p w:rsidR="00382990" w:rsidRPr="006960FA" w:rsidRDefault="00382990" w:rsidP="000A76C7">
      <w:pPr>
        <w:pStyle w:val="afc"/>
        <w:numPr>
          <w:ilvl w:val="0"/>
          <w:numId w:val="325"/>
        </w:numPr>
        <w:rPr>
          <w:rtl/>
        </w:rPr>
      </w:pPr>
      <w:r w:rsidRPr="006960FA">
        <w:rPr>
          <w:rFonts w:hint="cs"/>
          <w:rtl/>
        </w:rPr>
        <w:t>ال</w:t>
      </w:r>
      <w:r w:rsidRPr="006960FA">
        <w:rPr>
          <w:rtl/>
        </w:rPr>
        <w:t>سنن لأبي عبد الله محمد بن يزيدالقزويني</w:t>
      </w:r>
      <w:r w:rsidRPr="006960FA">
        <w:rPr>
          <w:rFonts w:hint="cs"/>
          <w:rtl/>
        </w:rPr>
        <w:t xml:space="preserve"> ابن ماجة،</w:t>
      </w:r>
      <w:r w:rsidRPr="006960FA">
        <w:rPr>
          <w:rtl/>
        </w:rPr>
        <w:t xml:space="preserve"> تحق</w:t>
      </w:r>
      <w:r w:rsidRPr="006960FA">
        <w:rPr>
          <w:rFonts w:hint="cs"/>
          <w:rtl/>
        </w:rPr>
        <w:t>ي</w:t>
      </w:r>
      <w:r w:rsidRPr="006960FA">
        <w:rPr>
          <w:rtl/>
        </w:rPr>
        <w:t>ق</w:t>
      </w:r>
      <w:r w:rsidRPr="006960FA">
        <w:rPr>
          <w:rFonts w:hint="cs"/>
          <w:rtl/>
        </w:rPr>
        <w:t>:</w:t>
      </w:r>
      <w:r w:rsidRPr="006960FA">
        <w:rPr>
          <w:rtl/>
        </w:rPr>
        <w:t xml:space="preserve"> بشار عواد</w:t>
      </w:r>
      <w:r w:rsidRPr="006960FA">
        <w:rPr>
          <w:rFonts w:hint="cs"/>
          <w:rtl/>
        </w:rPr>
        <w:t xml:space="preserve">، </w:t>
      </w:r>
      <w:r w:rsidRPr="006960FA">
        <w:rPr>
          <w:rtl/>
        </w:rPr>
        <w:t>دار الجيل</w:t>
      </w:r>
      <w:r w:rsidRPr="006960FA">
        <w:rPr>
          <w:rFonts w:hint="cs"/>
          <w:rtl/>
        </w:rPr>
        <w:t xml:space="preserve">، </w:t>
      </w:r>
      <w:r w:rsidRPr="006960FA">
        <w:rPr>
          <w:rtl/>
        </w:rPr>
        <w:t>الطبعة الأولى: 1418ه.</w:t>
      </w:r>
    </w:p>
    <w:p w:rsidR="00382990" w:rsidRDefault="00382990" w:rsidP="000A76C7">
      <w:pPr>
        <w:pStyle w:val="afc"/>
        <w:numPr>
          <w:ilvl w:val="0"/>
          <w:numId w:val="325"/>
        </w:numPr>
      </w:pPr>
      <w:r w:rsidRPr="006960FA">
        <w:rPr>
          <w:rFonts w:hint="cs"/>
          <w:rtl/>
        </w:rPr>
        <w:t>ال</w:t>
      </w:r>
      <w:r w:rsidRPr="006960FA">
        <w:rPr>
          <w:rtl/>
        </w:rPr>
        <w:t>سنن لأبي عيسى محمد بن عيسى</w:t>
      </w:r>
      <w:r w:rsidRPr="006960FA">
        <w:rPr>
          <w:rFonts w:hint="cs"/>
          <w:rtl/>
        </w:rPr>
        <w:t xml:space="preserve"> ا</w:t>
      </w:r>
      <w:r w:rsidRPr="006960FA">
        <w:rPr>
          <w:rtl/>
        </w:rPr>
        <w:t>لترمذي</w:t>
      </w:r>
      <w:r w:rsidRPr="006960FA">
        <w:rPr>
          <w:rFonts w:hint="cs"/>
          <w:rtl/>
        </w:rPr>
        <w:t>،</w:t>
      </w:r>
      <w:r w:rsidRPr="006960FA">
        <w:rPr>
          <w:rtl/>
        </w:rPr>
        <w:t xml:space="preserve"> دار الغرب الإسلامي</w:t>
      </w:r>
      <w:r w:rsidRPr="006960FA">
        <w:rPr>
          <w:rFonts w:hint="cs"/>
          <w:rtl/>
        </w:rPr>
        <w:t xml:space="preserve">، </w:t>
      </w:r>
      <w:r w:rsidRPr="006960FA">
        <w:rPr>
          <w:rtl/>
        </w:rPr>
        <w:t>تحقيق</w:t>
      </w:r>
      <w:r w:rsidRPr="006960FA">
        <w:rPr>
          <w:rFonts w:hint="cs"/>
          <w:rtl/>
        </w:rPr>
        <w:t>:</w:t>
      </w:r>
      <w:r w:rsidRPr="006960FA">
        <w:rPr>
          <w:rtl/>
        </w:rPr>
        <w:t xml:space="preserve"> بشار عواد</w:t>
      </w:r>
      <w:r w:rsidRPr="006960FA">
        <w:rPr>
          <w:rFonts w:hint="cs"/>
          <w:rtl/>
        </w:rPr>
        <w:t>،</w:t>
      </w:r>
      <w:r w:rsidRPr="006960FA">
        <w:rPr>
          <w:rtl/>
        </w:rPr>
        <w:t xml:space="preserve"> الطبعة الأولى: 1996م.</w:t>
      </w:r>
    </w:p>
    <w:p w:rsidR="00382990" w:rsidRDefault="00382990" w:rsidP="000A76C7">
      <w:pPr>
        <w:pStyle w:val="afc"/>
        <w:numPr>
          <w:ilvl w:val="0"/>
          <w:numId w:val="325"/>
        </w:numPr>
      </w:pPr>
      <w:r w:rsidRPr="006960FA">
        <w:rPr>
          <w:rFonts w:hint="cs"/>
          <w:rtl/>
        </w:rPr>
        <w:t>ال</w:t>
      </w:r>
      <w:r w:rsidRPr="006960FA">
        <w:rPr>
          <w:rtl/>
        </w:rPr>
        <w:t xml:space="preserve">سنن لعلي بن عمر الدارقطني، وبذيله التعليق المغني على الدارقطني لمحمد شمس الحق </w:t>
      </w:r>
      <w:r w:rsidRPr="006960FA">
        <w:rPr>
          <w:rtl/>
        </w:rPr>
        <w:lastRenderedPageBreak/>
        <w:t>العظيم آبادي</w:t>
      </w:r>
      <w:r w:rsidRPr="006960FA">
        <w:rPr>
          <w:rFonts w:hint="cs"/>
          <w:rtl/>
        </w:rPr>
        <w:t>،</w:t>
      </w:r>
      <w:r w:rsidRPr="006960FA">
        <w:rPr>
          <w:rtl/>
        </w:rPr>
        <w:t xml:space="preserve"> تحقيق: شعيب الأرناؤوط وحسن عبد المنعم شلبي ومحمد كامل قره بللي</w:t>
      </w:r>
      <w:r w:rsidRPr="006960FA">
        <w:rPr>
          <w:rFonts w:hint="cs"/>
          <w:rtl/>
        </w:rPr>
        <w:t>،</w:t>
      </w:r>
      <w:r w:rsidRPr="006960FA">
        <w:rPr>
          <w:rtl/>
        </w:rPr>
        <w:t xml:space="preserve"> مؤسسة الرسالة</w:t>
      </w:r>
      <w:r w:rsidRPr="006960FA">
        <w:rPr>
          <w:rFonts w:hint="cs"/>
          <w:rtl/>
        </w:rPr>
        <w:t xml:space="preserve">، </w:t>
      </w:r>
      <w:r w:rsidRPr="006960FA">
        <w:rPr>
          <w:rtl/>
        </w:rPr>
        <w:t xml:space="preserve">الطبعة الأولى: 1424ه. </w:t>
      </w:r>
    </w:p>
    <w:p w:rsidR="00382990" w:rsidRDefault="00382990" w:rsidP="000A76C7">
      <w:pPr>
        <w:pStyle w:val="afc"/>
        <w:numPr>
          <w:ilvl w:val="0"/>
          <w:numId w:val="325"/>
        </w:numPr>
      </w:pPr>
      <w:r>
        <w:rPr>
          <w:rFonts w:hint="cs"/>
          <w:rtl/>
        </w:rPr>
        <w:t>شرح الأربعين النووية في الأحاديث الصحيحة النبوية لمحمد بن علي بن دقيق العيد، دار ابن حزم، بيروت، الطبعة الأولى: 1417ه.</w:t>
      </w:r>
    </w:p>
    <w:p w:rsidR="00382990" w:rsidRPr="006960FA" w:rsidRDefault="00382990" w:rsidP="000A76C7">
      <w:pPr>
        <w:pStyle w:val="afc"/>
        <w:numPr>
          <w:ilvl w:val="0"/>
          <w:numId w:val="325"/>
        </w:numPr>
        <w:rPr>
          <w:rtl/>
        </w:rPr>
      </w:pPr>
      <w:r w:rsidRPr="006960FA">
        <w:rPr>
          <w:rtl/>
        </w:rPr>
        <w:t>شرح العمدة في الفقه"كتاب الطهارة" لأحمد بن عبد الحليم بن تيمية</w:t>
      </w:r>
      <w:r w:rsidRPr="006960FA">
        <w:rPr>
          <w:rFonts w:hint="cs"/>
          <w:rtl/>
        </w:rPr>
        <w:t xml:space="preserve">، </w:t>
      </w:r>
      <w:r w:rsidRPr="006960FA">
        <w:rPr>
          <w:rtl/>
        </w:rPr>
        <w:t>تحقيق ودراسة: سعود بن صالح العطيشان</w:t>
      </w:r>
      <w:r w:rsidRPr="006960FA">
        <w:rPr>
          <w:rFonts w:hint="cs"/>
          <w:rtl/>
        </w:rPr>
        <w:t>، ال</w:t>
      </w:r>
      <w:r w:rsidRPr="006960FA">
        <w:rPr>
          <w:rtl/>
        </w:rPr>
        <w:t>ط</w:t>
      </w:r>
      <w:r w:rsidRPr="006960FA">
        <w:rPr>
          <w:rFonts w:hint="cs"/>
          <w:rtl/>
        </w:rPr>
        <w:t>بعة الأولى:</w:t>
      </w:r>
      <w:r w:rsidRPr="006960FA">
        <w:rPr>
          <w:rtl/>
        </w:rPr>
        <w:t>1412</w:t>
      </w:r>
      <w:r w:rsidRPr="006960FA">
        <w:rPr>
          <w:rFonts w:hint="cs"/>
          <w:rtl/>
        </w:rPr>
        <w:t>ه</w:t>
      </w:r>
      <w:r w:rsidRPr="006960FA">
        <w:rPr>
          <w:rtl/>
        </w:rPr>
        <w:t>.</w:t>
      </w:r>
    </w:p>
    <w:p w:rsidR="00382990" w:rsidRPr="006960FA" w:rsidRDefault="00382990" w:rsidP="000A76C7">
      <w:pPr>
        <w:pStyle w:val="afc"/>
        <w:numPr>
          <w:ilvl w:val="0"/>
          <w:numId w:val="325"/>
        </w:numPr>
        <w:rPr>
          <w:rtl/>
        </w:rPr>
      </w:pPr>
      <w:r w:rsidRPr="006960FA">
        <w:rPr>
          <w:rFonts w:hint="cs"/>
          <w:rtl/>
        </w:rPr>
        <w:t>شرح القواعد الفقهية لأحمد بن محمد الزرقا، تنسيق ومراجة: عبد الستار أبو غدة، دار ا</w:t>
      </w:r>
      <w:r>
        <w:rPr>
          <w:rFonts w:hint="cs"/>
          <w:rtl/>
        </w:rPr>
        <w:t>لقلم، دمشق، الطبعة الثانية: 1430ه</w:t>
      </w:r>
      <w:r w:rsidRPr="006960FA">
        <w:rPr>
          <w:rFonts w:hint="cs"/>
          <w:rtl/>
        </w:rPr>
        <w:t>.</w:t>
      </w:r>
    </w:p>
    <w:p w:rsidR="00382990" w:rsidRPr="006960FA" w:rsidRDefault="00382990" w:rsidP="000A76C7">
      <w:pPr>
        <w:pStyle w:val="afc"/>
        <w:numPr>
          <w:ilvl w:val="0"/>
          <w:numId w:val="325"/>
        </w:numPr>
        <w:rPr>
          <w:rtl/>
        </w:rPr>
      </w:pPr>
      <w:r w:rsidRPr="006960FA">
        <w:rPr>
          <w:rtl/>
        </w:rPr>
        <w:t>شرح الكوكب المنير</w:t>
      </w:r>
      <w:r w:rsidRPr="006960FA">
        <w:rPr>
          <w:rFonts w:hint="cs"/>
          <w:rtl/>
        </w:rPr>
        <w:t xml:space="preserve"> ل</w:t>
      </w:r>
      <w:r w:rsidRPr="006960FA">
        <w:rPr>
          <w:rtl/>
        </w:rPr>
        <w:t>تقي الدين أب</w:t>
      </w:r>
      <w:r w:rsidRPr="006960FA">
        <w:rPr>
          <w:rFonts w:hint="cs"/>
          <w:rtl/>
        </w:rPr>
        <w:t>ي</w:t>
      </w:r>
      <w:r w:rsidRPr="006960FA">
        <w:rPr>
          <w:rtl/>
        </w:rPr>
        <w:t xml:space="preserve"> البقاء محمد بن أحمد بن عبد العزيز الفتوحي</w:t>
      </w:r>
      <w:r w:rsidRPr="006960FA">
        <w:rPr>
          <w:rFonts w:hint="cs"/>
          <w:rtl/>
        </w:rPr>
        <w:t>،</w:t>
      </w:r>
      <w:r w:rsidRPr="006960FA">
        <w:rPr>
          <w:rtl/>
        </w:rPr>
        <w:t xml:space="preserve"> المعروف بابن النجار</w:t>
      </w:r>
      <w:r w:rsidRPr="006960FA">
        <w:rPr>
          <w:rFonts w:hint="cs"/>
          <w:rtl/>
        </w:rPr>
        <w:t>، ت</w:t>
      </w:r>
      <w:r w:rsidRPr="006960FA">
        <w:rPr>
          <w:rtl/>
        </w:rPr>
        <w:t>حق</w:t>
      </w:r>
      <w:r w:rsidRPr="006960FA">
        <w:rPr>
          <w:rFonts w:hint="cs"/>
          <w:rtl/>
        </w:rPr>
        <w:t>ي</w:t>
      </w:r>
      <w:r w:rsidRPr="006960FA">
        <w:rPr>
          <w:rtl/>
        </w:rPr>
        <w:t>ق: محمد الزحيلي ونزيه حماد</w:t>
      </w:r>
      <w:r w:rsidRPr="006960FA">
        <w:rPr>
          <w:rFonts w:hint="cs"/>
          <w:rtl/>
        </w:rPr>
        <w:t xml:space="preserve">، </w:t>
      </w:r>
      <w:r w:rsidRPr="006960FA">
        <w:rPr>
          <w:rtl/>
        </w:rPr>
        <w:t>مكتبة العبيكان</w:t>
      </w:r>
      <w:r w:rsidRPr="006960FA">
        <w:rPr>
          <w:rFonts w:hint="cs"/>
          <w:rtl/>
        </w:rPr>
        <w:t xml:space="preserve">، </w:t>
      </w:r>
      <w:r w:rsidRPr="006960FA">
        <w:rPr>
          <w:rtl/>
        </w:rPr>
        <w:t>الطبعة الثانية 1418هـ</w:t>
      </w:r>
      <w:r w:rsidRPr="006960FA">
        <w:rPr>
          <w:rFonts w:hint="cs"/>
          <w:rtl/>
        </w:rPr>
        <w:t>.</w:t>
      </w:r>
    </w:p>
    <w:p w:rsidR="00382990" w:rsidRPr="006960FA" w:rsidRDefault="00382990" w:rsidP="000A76C7">
      <w:pPr>
        <w:pStyle w:val="afc"/>
        <w:numPr>
          <w:ilvl w:val="0"/>
          <w:numId w:val="325"/>
        </w:numPr>
        <w:rPr>
          <w:rtl/>
        </w:rPr>
      </w:pPr>
      <w:r>
        <w:rPr>
          <w:rFonts w:hint="cs"/>
          <w:rtl/>
        </w:rPr>
        <w:t>شرح المنظومة السعدية في القواعد الفقهية لسعد بن ناصر بن عبد العزيز الشثري، تخريج: عبد الله بن عمر بن طاهر، دار إشبيليا، الرياض، الطبعة الثانية: 1426ه.</w:t>
      </w:r>
    </w:p>
    <w:p w:rsidR="00382990" w:rsidRDefault="00382990" w:rsidP="000A76C7">
      <w:pPr>
        <w:pStyle w:val="afc"/>
        <w:numPr>
          <w:ilvl w:val="0"/>
          <w:numId w:val="325"/>
        </w:numPr>
      </w:pPr>
      <w:r>
        <w:rPr>
          <w:rFonts w:hint="cs"/>
          <w:rtl/>
        </w:rPr>
        <w:t>شرح المنهج المنخب إلى قواعد المذهب لعلي بن أحمد بن علي المنجور، دراسة وتحقيق: محمد الشيخ محمد الأمين، دار عبد الله الشنقيطي، مكة، ودار عالم الكتب، بيروت، الطبعة الأولى: 1423ه.</w:t>
      </w:r>
    </w:p>
    <w:p w:rsidR="00382990" w:rsidRPr="006960FA" w:rsidRDefault="00382990" w:rsidP="000A76C7">
      <w:pPr>
        <w:pStyle w:val="afc"/>
        <w:numPr>
          <w:ilvl w:val="0"/>
          <w:numId w:val="325"/>
        </w:numPr>
        <w:rPr>
          <w:rtl/>
        </w:rPr>
      </w:pPr>
      <w:r w:rsidRPr="006960FA">
        <w:rPr>
          <w:rFonts w:hint="cs"/>
          <w:rtl/>
        </w:rPr>
        <w:t xml:space="preserve">شرح اليواقيت الثمينة فيما انتمى لعالم المدينة في القواعد والنظائر والفوائد الفقهية، لأبي عبد الله محمد بن أبي القاسم السجلماسي، دراسة وتحقيق: عبد الباقي بدوي، مكتبة الرشد، الطبعة الأولى: 1425ه. </w:t>
      </w:r>
    </w:p>
    <w:p w:rsidR="00382990" w:rsidRDefault="00382990" w:rsidP="000A76C7">
      <w:pPr>
        <w:pStyle w:val="afc"/>
        <w:numPr>
          <w:ilvl w:val="0"/>
          <w:numId w:val="325"/>
        </w:numPr>
      </w:pPr>
      <w:r>
        <w:rPr>
          <w:rFonts w:hint="cs"/>
          <w:rtl/>
        </w:rPr>
        <w:t>شرح تحفة أهل في تجريد أصول قواعد ابن رجب لعبد الكريم بن محمد اللاحم، دار كنوز إشبيليا، الرياض، الطبعة الثانية: 1431ه.</w:t>
      </w:r>
    </w:p>
    <w:p w:rsidR="00382990" w:rsidRDefault="00382990" w:rsidP="000A76C7">
      <w:pPr>
        <w:pStyle w:val="afc"/>
        <w:numPr>
          <w:ilvl w:val="0"/>
          <w:numId w:val="325"/>
        </w:numPr>
      </w:pPr>
      <w:r>
        <w:rPr>
          <w:rFonts w:hint="cs"/>
          <w:rtl/>
        </w:rPr>
        <w:t>شرح مجلة الأحكام العدلية لمحمد حالد الأتاسي، المكتبة الجيبية، باكستان.</w:t>
      </w:r>
    </w:p>
    <w:p w:rsidR="00382990" w:rsidRPr="006960FA" w:rsidRDefault="00382990" w:rsidP="000A76C7">
      <w:pPr>
        <w:pStyle w:val="afc"/>
        <w:numPr>
          <w:ilvl w:val="0"/>
          <w:numId w:val="325"/>
        </w:numPr>
        <w:rPr>
          <w:rtl/>
        </w:rPr>
      </w:pPr>
      <w:r w:rsidRPr="006960FA">
        <w:rPr>
          <w:rtl/>
        </w:rPr>
        <w:t>شرح مختصر الروضة</w:t>
      </w:r>
      <w:r w:rsidRPr="006960FA">
        <w:rPr>
          <w:rFonts w:hint="cs"/>
          <w:rtl/>
        </w:rPr>
        <w:t xml:space="preserve"> لنجم الدين </w:t>
      </w:r>
      <w:r w:rsidRPr="006960FA">
        <w:rPr>
          <w:rtl/>
        </w:rPr>
        <w:t>سليمان بن عبد القوي بن الكريم الطوفي،</w:t>
      </w:r>
      <w:r w:rsidRPr="006960FA">
        <w:rPr>
          <w:rFonts w:hint="cs"/>
          <w:rtl/>
        </w:rPr>
        <w:t xml:space="preserve"> ت</w:t>
      </w:r>
      <w:r w:rsidRPr="006960FA">
        <w:rPr>
          <w:rtl/>
        </w:rPr>
        <w:t>حق</w:t>
      </w:r>
      <w:r w:rsidRPr="006960FA">
        <w:rPr>
          <w:rFonts w:hint="cs"/>
          <w:rtl/>
        </w:rPr>
        <w:t>ي</w:t>
      </w:r>
      <w:r w:rsidRPr="006960FA">
        <w:rPr>
          <w:rtl/>
        </w:rPr>
        <w:t>ق :عبد الله بن عبد المحسن التركي</w:t>
      </w:r>
      <w:r w:rsidRPr="006960FA">
        <w:rPr>
          <w:rFonts w:hint="cs"/>
          <w:rtl/>
        </w:rPr>
        <w:t xml:space="preserve">، </w:t>
      </w:r>
      <w:r w:rsidRPr="006960FA">
        <w:rPr>
          <w:rtl/>
        </w:rPr>
        <w:t>مؤسسة الرسالة</w:t>
      </w:r>
      <w:r w:rsidRPr="006960FA">
        <w:rPr>
          <w:rFonts w:hint="cs"/>
          <w:rtl/>
        </w:rPr>
        <w:t xml:space="preserve">، </w:t>
      </w:r>
      <w:r w:rsidRPr="006960FA">
        <w:rPr>
          <w:rtl/>
        </w:rPr>
        <w:t>الطبعة الأولى</w:t>
      </w:r>
      <w:r w:rsidRPr="006960FA">
        <w:rPr>
          <w:rFonts w:hint="cs"/>
          <w:rtl/>
        </w:rPr>
        <w:t>:</w:t>
      </w:r>
      <w:r w:rsidRPr="006960FA">
        <w:rPr>
          <w:rtl/>
        </w:rPr>
        <w:t xml:space="preserve"> 1407 هـ</w:t>
      </w:r>
      <w:r w:rsidRPr="006960FA">
        <w:rPr>
          <w:rFonts w:hint="cs"/>
          <w:rtl/>
        </w:rPr>
        <w:t>.</w:t>
      </w:r>
    </w:p>
    <w:p w:rsidR="00382990" w:rsidRDefault="00382990" w:rsidP="000A76C7">
      <w:pPr>
        <w:pStyle w:val="afc"/>
        <w:numPr>
          <w:ilvl w:val="0"/>
          <w:numId w:val="325"/>
        </w:numPr>
      </w:pPr>
      <w:r>
        <w:rPr>
          <w:rFonts w:hint="cs"/>
          <w:rtl/>
        </w:rPr>
        <w:t>شرح منتهى الإرادات دقائق أولي التهى لشرح النتهى لمنصور بن يونس بن إدريس البهوتي، تحقيق: عبد الله بن عبد المحسن التركي، مؤسسة الرسالة، الطبعة الأولى: 1421ه.</w:t>
      </w:r>
    </w:p>
    <w:p w:rsidR="00382990" w:rsidRDefault="00382990" w:rsidP="000A76C7">
      <w:pPr>
        <w:pStyle w:val="afc"/>
        <w:numPr>
          <w:ilvl w:val="0"/>
          <w:numId w:val="325"/>
        </w:numPr>
      </w:pPr>
      <w:r>
        <w:rPr>
          <w:rFonts w:hint="cs"/>
          <w:rtl/>
        </w:rPr>
        <w:lastRenderedPageBreak/>
        <w:t>شفاء الغليل في بيان الشبه والمخيل ومسالك التعليل لأبي حامد محمد بن محمد الغزالي، وضع حواشيه: زكريا عميرات، دار الكتب العلمية، بيروت، الطبعة الأولى: 1420ه.</w:t>
      </w:r>
    </w:p>
    <w:p w:rsidR="00382990" w:rsidRPr="006960FA" w:rsidRDefault="00382990" w:rsidP="000A76C7">
      <w:pPr>
        <w:pStyle w:val="afc"/>
        <w:numPr>
          <w:ilvl w:val="0"/>
          <w:numId w:val="325"/>
        </w:numPr>
        <w:rPr>
          <w:rtl/>
        </w:rPr>
      </w:pPr>
      <w:r w:rsidRPr="006960FA">
        <w:rPr>
          <w:rtl/>
        </w:rPr>
        <w:t>الصحاح تاج اللغة وصحاح العربية لإسماعيل بن حماد الجوهري</w:t>
      </w:r>
      <w:r w:rsidRPr="006960FA">
        <w:rPr>
          <w:rFonts w:hint="cs"/>
          <w:rtl/>
        </w:rPr>
        <w:t>،</w:t>
      </w:r>
      <w:r w:rsidRPr="006960FA">
        <w:rPr>
          <w:rtl/>
        </w:rPr>
        <w:t xml:space="preserve"> تحقيق: أحمد عبد الغفور عطار</w:t>
      </w:r>
      <w:r w:rsidRPr="006960FA">
        <w:rPr>
          <w:rFonts w:hint="cs"/>
          <w:rtl/>
        </w:rPr>
        <w:t xml:space="preserve">، </w:t>
      </w:r>
      <w:r w:rsidRPr="006960FA">
        <w:rPr>
          <w:rtl/>
        </w:rPr>
        <w:t>طبع دار العلم للملايين</w:t>
      </w:r>
      <w:r w:rsidRPr="006960FA">
        <w:rPr>
          <w:rFonts w:hint="cs"/>
          <w:rtl/>
        </w:rPr>
        <w:t xml:space="preserve">، </w:t>
      </w:r>
      <w:r w:rsidRPr="006960FA">
        <w:rPr>
          <w:rtl/>
        </w:rPr>
        <w:t>الطبعة الثالثة:1404ه.</w:t>
      </w:r>
    </w:p>
    <w:p w:rsidR="00382990" w:rsidRDefault="00382990" w:rsidP="000A76C7">
      <w:pPr>
        <w:pStyle w:val="afc"/>
        <w:numPr>
          <w:ilvl w:val="0"/>
          <w:numId w:val="325"/>
        </w:numPr>
      </w:pPr>
      <w:r>
        <w:rPr>
          <w:rFonts w:hint="cs"/>
          <w:rtl/>
        </w:rPr>
        <w:t>صحيح الترغيب والترهيب لمحمد ناصر الدين الألباني، مكتبة المعارف، الرياض، الطبعة الأولى: 1421ه.</w:t>
      </w:r>
    </w:p>
    <w:p w:rsidR="00382990" w:rsidRDefault="00382990" w:rsidP="000A76C7">
      <w:pPr>
        <w:pStyle w:val="afc"/>
        <w:numPr>
          <w:ilvl w:val="0"/>
          <w:numId w:val="325"/>
        </w:numPr>
      </w:pPr>
      <w:r>
        <w:rPr>
          <w:rFonts w:hint="cs"/>
          <w:rtl/>
        </w:rPr>
        <w:t>صحيح الجامع الصغير وزيادته (الفتح الكبير) لمحمد ناصر الدين الألباني، المكتي الإسلامي، الطبعة الثالثة: 1408ه.</w:t>
      </w:r>
    </w:p>
    <w:p w:rsidR="00382990" w:rsidRDefault="00382990" w:rsidP="000A76C7">
      <w:pPr>
        <w:pStyle w:val="afc"/>
        <w:numPr>
          <w:ilvl w:val="0"/>
          <w:numId w:val="325"/>
        </w:numPr>
      </w:pPr>
      <w:r>
        <w:rPr>
          <w:rFonts w:hint="cs"/>
          <w:rtl/>
        </w:rPr>
        <w:t>صحيح سنن أبي داود لمحمد ناصر الدين الألباني، مكتبة المعارف، الرياض، الطبعة الأولى: 1419ه.</w:t>
      </w:r>
    </w:p>
    <w:p w:rsidR="00382990" w:rsidRPr="006960FA" w:rsidRDefault="00382990" w:rsidP="000A76C7">
      <w:pPr>
        <w:pStyle w:val="afc"/>
        <w:numPr>
          <w:ilvl w:val="0"/>
          <w:numId w:val="325"/>
        </w:numPr>
        <w:rPr>
          <w:rtl/>
        </w:rPr>
      </w:pPr>
      <w:r w:rsidRPr="006960FA">
        <w:rPr>
          <w:rFonts w:hint="cs"/>
          <w:rtl/>
        </w:rPr>
        <w:t>صحيح مسلم المسمى</w:t>
      </w:r>
      <w:r>
        <w:rPr>
          <w:rFonts w:hint="cs"/>
          <w:rtl/>
        </w:rPr>
        <w:t>:</w:t>
      </w:r>
      <w:r w:rsidRPr="006960FA">
        <w:rPr>
          <w:rFonts w:hint="cs"/>
          <w:rtl/>
        </w:rPr>
        <w:t xml:space="preserve"> المسند الصحيح المختصر من السنن بنقل العدل عن العدل إلى رسول الله صلى الله عليه وسلم لأبي الحسين مسلم بن الحجاج القشيري النيسابوري، اعتنى به: أبو قتيبة نظر بن محمد الفريابي، دار طيبة، الطبعة الأولى: 1427ه.</w:t>
      </w:r>
    </w:p>
    <w:p w:rsidR="00382990" w:rsidRPr="006960FA" w:rsidRDefault="00382990" w:rsidP="000A76C7">
      <w:pPr>
        <w:pStyle w:val="afc"/>
        <w:numPr>
          <w:ilvl w:val="0"/>
          <w:numId w:val="325"/>
        </w:numPr>
        <w:rPr>
          <w:rtl/>
        </w:rPr>
      </w:pPr>
      <w:r w:rsidRPr="006960FA">
        <w:rPr>
          <w:rtl/>
        </w:rPr>
        <w:t>ضعيف الجامع الصغير وزيادته لمحمد ناصر الدين الألباني</w:t>
      </w:r>
      <w:r w:rsidRPr="006960FA">
        <w:rPr>
          <w:rFonts w:hint="cs"/>
          <w:rtl/>
        </w:rPr>
        <w:t xml:space="preserve">، </w:t>
      </w:r>
      <w:r w:rsidRPr="006960FA">
        <w:rPr>
          <w:rtl/>
        </w:rPr>
        <w:t>المكتب الإسلامي</w:t>
      </w:r>
      <w:r w:rsidRPr="006960FA">
        <w:rPr>
          <w:rFonts w:hint="cs"/>
          <w:rtl/>
        </w:rPr>
        <w:t>، 1408ه.</w:t>
      </w:r>
    </w:p>
    <w:p w:rsidR="00382990" w:rsidRDefault="00382990" w:rsidP="000A76C7">
      <w:pPr>
        <w:pStyle w:val="afc"/>
        <w:numPr>
          <w:ilvl w:val="0"/>
          <w:numId w:val="325"/>
        </w:numPr>
      </w:pPr>
      <w:r>
        <w:rPr>
          <w:rFonts w:hint="cs"/>
          <w:rtl/>
        </w:rPr>
        <w:t>ضوابط في باب الربا لخالد بن علي المشيقح، جمعية الشريعة بجامعة الكويت.</w:t>
      </w:r>
    </w:p>
    <w:p w:rsidR="00382990" w:rsidRDefault="00382990" w:rsidP="000A76C7">
      <w:pPr>
        <w:pStyle w:val="afc"/>
        <w:numPr>
          <w:ilvl w:val="0"/>
          <w:numId w:val="325"/>
        </w:numPr>
      </w:pPr>
      <w:r>
        <w:rPr>
          <w:rFonts w:hint="cs"/>
          <w:rtl/>
        </w:rPr>
        <w:t>الطرق الحكمية في السياسة الشرعية لأبي عبد الله محمد بن أبي بكر بن أيوب، المعروف بابن قيم الجوزية، تحقيق: نايف بن أحمد الحمد، دار عالم الفوائد، الطبعة الأولى: 1428ه.</w:t>
      </w:r>
    </w:p>
    <w:p w:rsidR="00382990" w:rsidRDefault="00382990" w:rsidP="000A76C7">
      <w:pPr>
        <w:pStyle w:val="afc"/>
        <w:numPr>
          <w:ilvl w:val="0"/>
          <w:numId w:val="325"/>
        </w:numPr>
      </w:pPr>
      <w:r>
        <w:rPr>
          <w:rFonts w:hint="cs"/>
          <w:rtl/>
        </w:rPr>
        <w:t>طريق الوصول إلى العلم المأمول بمعرفة القواعد والضوابط والأصول لعبد الرحمن بن ناصر السعدي، دار البصيرة، الإسكندرية، الطبعة الأولى: 2000م.</w:t>
      </w:r>
    </w:p>
    <w:p w:rsidR="00382990" w:rsidRPr="006960FA" w:rsidRDefault="00382990" w:rsidP="000A76C7">
      <w:pPr>
        <w:pStyle w:val="afc"/>
        <w:numPr>
          <w:ilvl w:val="0"/>
          <w:numId w:val="325"/>
        </w:numPr>
        <w:rPr>
          <w:rtl/>
        </w:rPr>
      </w:pPr>
      <w:r w:rsidRPr="006960FA">
        <w:rPr>
          <w:rtl/>
        </w:rPr>
        <w:t>عارضة الأحوذي بشرح صحيح الترمذي لأبي بكر محمد بن عبد الله بن أحمد بن العربي، دار الكتب العلمية</w:t>
      </w:r>
      <w:r w:rsidRPr="006960FA">
        <w:rPr>
          <w:rFonts w:hint="cs"/>
          <w:rtl/>
        </w:rPr>
        <w:t>.</w:t>
      </w:r>
    </w:p>
    <w:p w:rsidR="00382990" w:rsidRDefault="00382990" w:rsidP="000A76C7">
      <w:pPr>
        <w:pStyle w:val="afc"/>
        <w:numPr>
          <w:ilvl w:val="0"/>
          <w:numId w:val="325"/>
        </w:numPr>
      </w:pPr>
      <w:r>
        <w:rPr>
          <w:rFonts w:hint="cs"/>
          <w:rtl/>
        </w:rPr>
        <w:t>العقود لأحمد بن عبد الحليم بن عبد السلام بن تيمية، ضبطه وخرج أحاديثه وعلق عليه: أبو يعقوب نشأت بن كمال المصري، مكتبة المورد، الطبعة الأولى: 1423ه.</w:t>
      </w:r>
    </w:p>
    <w:p w:rsidR="00382990" w:rsidRDefault="00382990" w:rsidP="000A76C7">
      <w:pPr>
        <w:pStyle w:val="afc"/>
        <w:numPr>
          <w:ilvl w:val="0"/>
          <w:numId w:val="325"/>
        </w:numPr>
      </w:pPr>
      <w:r>
        <w:rPr>
          <w:rFonts w:hint="cs"/>
          <w:rtl/>
        </w:rPr>
        <w:t xml:space="preserve">علماء نجد خلال ثمانية قرون لعبد الله بن عبد الرحمن بن صالح البسام، دار العاصمة، </w:t>
      </w:r>
      <w:r>
        <w:rPr>
          <w:rFonts w:hint="cs"/>
          <w:rtl/>
        </w:rPr>
        <w:lastRenderedPageBreak/>
        <w:t>الرياض، الطبعة الثانية: 1419ه.</w:t>
      </w:r>
    </w:p>
    <w:p w:rsidR="00382990" w:rsidRPr="00270884" w:rsidRDefault="00382990" w:rsidP="000A76C7">
      <w:pPr>
        <w:pStyle w:val="afc"/>
        <w:numPr>
          <w:ilvl w:val="0"/>
          <w:numId w:val="325"/>
        </w:numPr>
        <w:rPr>
          <w:rtl/>
        </w:rPr>
      </w:pPr>
      <w:r>
        <w:rPr>
          <w:rFonts w:hint="cs"/>
          <w:rtl/>
        </w:rPr>
        <w:t>علماء ومفكرون عرفتهم لمحمد المجذوب، دار عالم المعرفة، جدة، الطبعة الثانية: 1403ه.</w:t>
      </w:r>
    </w:p>
    <w:p w:rsidR="00382990" w:rsidRDefault="00382990" w:rsidP="000A76C7">
      <w:pPr>
        <w:pStyle w:val="afc"/>
        <w:numPr>
          <w:ilvl w:val="0"/>
          <w:numId w:val="325"/>
        </w:numPr>
      </w:pPr>
      <w:r>
        <w:rPr>
          <w:rFonts w:hint="cs"/>
          <w:rtl/>
        </w:rPr>
        <w:t>عمدة القاري شرح صحيح البخاري لبدر الدين أبي محمد محمود بن أحمد العيني، ضبطه وصححه: عبد الله محمود محمد عمر، دار الكتب العلمية، بيروت، الطبعة الأولى: 1421ه.</w:t>
      </w:r>
    </w:p>
    <w:p w:rsidR="00382990" w:rsidRDefault="00382990" w:rsidP="000A76C7">
      <w:pPr>
        <w:pStyle w:val="afc"/>
        <w:numPr>
          <w:ilvl w:val="0"/>
          <w:numId w:val="325"/>
        </w:numPr>
      </w:pPr>
      <w:r>
        <w:rPr>
          <w:rFonts w:hint="cs"/>
          <w:rtl/>
        </w:rPr>
        <w:t>العمل بالاحتياط في الفقه الإسلامي لمنيب بن محمود شاكر، دار النفائس، الرياض، الطبعة الأولى: 1418ه.</w:t>
      </w:r>
    </w:p>
    <w:p w:rsidR="00382990" w:rsidRDefault="00382990" w:rsidP="000A76C7">
      <w:pPr>
        <w:pStyle w:val="afc"/>
        <w:numPr>
          <w:ilvl w:val="0"/>
          <w:numId w:val="325"/>
        </w:numPr>
      </w:pPr>
      <w:r w:rsidRPr="006960FA">
        <w:rPr>
          <w:rtl/>
        </w:rPr>
        <w:t>عون المعبود شرح سنن أبي داود لأبي الطيب محمد شمس الحق آبادي، ومعه حاشية ابن القيم</w:t>
      </w:r>
      <w:r w:rsidRPr="006960FA">
        <w:rPr>
          <w:rFonts w:hint="cs"/>
          <w:rtl/>
        </w:rPr>
        <w:t xml:space="preserve">، </w:t>
      </w:r>
      <w:r w:rsidRPr="006960FA">
        <w:rPr>
          <w:rtl/>
        </w:rPr>
        <w:t>ضبط وتحقيق: عبد الرحمن محمد عثمان</w:t>
      </w:r>
      <w:r>
        <w:rPr>
          <w:rFonts w:hint="cs"/>
          <w:rtl/>
        </w:rPr>
        <w:t>،</w:t>
      </w:r>
      <w:r w:rsidRPr="006960FA">
        <w:rPr>
          <w:rFonts w:hint="cs"/>
          <w:rtl/>
        </w:rPr>
        <w:t xml:space="preserve"> </w:t>
      </w:r>
      <w:r w:rsidRPr="006960FA">
        <w:rPr>
          <w:rtl/>
        </w:rPr>
        <w:t>المكتبة السلفية بالمدينة</w:t>
      </w:r>
      <w:r w:rsidRPr="006960FA">
        <w:rPr>
          <w:rFonts w:hint="cs"/>
          <w:rtl/>
        </w:rPr>
        <w:t xml:space="preserve">، </w:t>
      </w:r>
      <w:r w:rsidRPr="006960FA">
        <w:rPr>
          <w:rtl/>
        </w:rPr>
        <w:t>الطبعة الثانية: 1388ه.</w:t>
      </w:r>
    </w:p>
    <w:p w:rsidR="00382990" w:rsidRPr="006960FA" w:rsidRDefault="00382990" w:rsidP="000A76C7">
      <w:pPr>
        <w:pStyle w:val="afc"/>
        <w:numPr>
          <w:ilvl w:val="0"/>
          <w:numId w:val="325"/>
        </w:numPr>
        <w:rPr>
          <w:rtl/>
        </w:rPr>
      </w:pPr>
      <w:r w:rsidRPr="006960FA">
        <w:rPr>
          <w:rtl/>
        </w:rPr>
        <w:t>غريب الحديث لأبي عبيد القاسم بن سلام</w:t>
      </w:r>
      <w:r w:rsidRPr="006960FA">
        <w:rPr>
          <w:rFonts w:hint="cs"/>
          <w:rtl/>
        </w:rPr>
        <w:t xml:space="preserve">، </w:t>
      </w:r>
      <w:r w:rsidRPr="006960FA">
        <w:rPr>
          <w:rtl/>
        </w:rPr>
        <w:t>تحقيق: حسين محمد محمد شرف وعبد السلام محمد هارون</w:t>
      </w:r>
      <w:r w:rsidRPr="006960FA">
        <w:rPr>
          <w:rFonts w:hint="cs"/>
          <w:rtl/>
        </w:rPr>
        <w:t xml:space="preserve">، </w:t>
      </w:r>
      <w:r w:rsidRPr="006960FA">
        <w:rPr>
          <w:rtl/>
        </w:rPr>
        <w:t>طبع الهيئة العامة لشؤون المطابع الأميرية بالقاهرة</w:t>
      </w:r>
      <w:r w:rsidRPr="006960FA">
        <w:rPr>
          <w:rFonts w:hint="cs"/>
          <w:rtl/>
        </w:rPr>
        <w:t xml:space="preserve">، </w:t>
      </w:r>
      <w:r w:rsidRPr="006960FA">
        <w:rPr>
          <w:rtl/>
        </w:rPr>
        <w:t>1404ه.</w:t>
      </w:r>
    </w:p>
    <w:p w:rsidR="00382990" w:rsidRPr="006960FA" w:rsidRDefault="00382990" w:rsidP="000A76C7">
      <w:pPr>
        <w:pStyle w:val="afc"/>
        <w:numPr>
          <w:ilvl w:val="0"/>
          <w:numId w:val="325"/>
        </w:numPr>
        <w:rPr>
          <w:rtl/>
        </w:rPr>
      </w:pPr>
      <w:r w:rsidRPr="006960FA">
        <w:rPr>
          <w:rFonts w:hint="cs"/>
          <w:rtl/>
        </w:rPr>
        <w:t xml:space="preserve">غمز عيون البصائر في شرح الأشباه والنظائر لابن نجيم لأحمد بن محمد </w:t>
      </w:r>
      <w:r>
        <w:rPr>
          <w:rFonts w:hint="cs"/>
          <w:rtl/>
        </w:rPr>
        <w:t xml:space="preserve">الحسني </w:t>
      </w:r>
      <w:r w:rsidRPr="006960FA">
        <w:rPr>
          <w:rFonts w:hint="cs"/>
          <w:rtl/>
        </w:rPr>
        <w:t>الحموي، دار الكتب العلمية، الطبعة الأولى: 1405ه.</w:t>
      </w:r>
    </w:p>
    <w:p w:rsidR="00382990" w:rsidRDefault="00382990" w:rsidP="000A76C7">
      <w:pPr>
        <w:pStyle w:val="afc"/>
        <w:numPr>
          <w:ilvl w:val="0"/>
          <w:numId w:val="325"/>
        </w:numPr>
      </w:pPr>
      <w:r>
        <w:rPr>
          <w:rFonts w:hint="cs"/>
          <w:rtl/>
        </w:rPr>
        <w:t>الفتاوى السعدية لعبد الرحمن بن ناصر السعدي، مكتبة المعارف، الرياض، الطبعة الأولى: 1388ه.</w:t>
      </w:r>
    </w:p>
    <w:p w:rsidR="00382990" w:rsidRPr="006960FA" w:rsidRDefault="00382990" w:rsidP="000A76C7">
      <w:pPr>
        <w:pStyle w:val="afc"/>
        <w:numPr>
          <w:ilvl w:val="0"/>
          <w:numId w:val="325"/>
        </w:numPr>
        <w:rPr>
          <w:rtl/>
        </w:rPr>
      </w:pPr>
      <w:r>
        <w:rPr>
          <w:rFonts w:hint="cs"/>
          <w:rtl/>
        </w:rPr>
        <w:t>فتح الباري شرح صحيح البخاري لأبي الفضل أحمد بن علي بن حجر العسقلاني، رقم كتبها وأبوابها وأحاديثها: محمد فؤاد عبد الباقي، دار السلام، الرياض، الطبعة الأولى: 1421ه.</w:t>
      </w:r>
    </w:p>
    <w:p w:rsidR="00382990" w:rsidRPr="006960FA" w:rsidRDefault="00382990" w:rsidP="00094FA0">
      <w:pPr>
        <w:pStyle w:val="afc"/>
        <w:numPr>
          <w:ilvl w:val="0"/>
          <w:numId w:val="325"/>
        </w:numPr>
        <w:rPr>
          <w:rtl/>
        </w:rPr>
      </w:pPr>
      <w:r>
        <w:rPr>
          <w:rFonts w:hint="cs"/>
          <w:rtl/>
        </w:rPr>
        <w:t>فتح القدير الجامع بين فني الرواية والدراية من علم التفسير لمحمد بن علي بن محمد الشوكاني، تحقيق: عبد الرحمن عميرة، دار الوفاء، 1994م.</w:t>
      </w:r>
    </w:p>
    <w:p w:rsidR="00382990" w:rsidRDefault="00382990" w:rsidP="000A76C7">
      <w:pPr>
        <w:pStyle w:val="afc"/>
        <w:numPr>
          <w:ilvl w:val="0"/>
          <w:numId w:val="325"/>
        </w:numPr>
      </w:pPr>
      <w:r>
        <w:rPr>
          <w:rFonts w:hint="cs"/>
          <w:rtl/>
        </w:rPr>
        <w:t>الفرق بين القاعدة الأصولية والفقهية، لحمد بن حمدي الصاعدي، مجلة الجامعة الإسلامية بالمدينة المنورة، العدد: 130_السنة: 38، 1426ه.</w:t>
      </w:r>
    </w:p>
    <w:p w:rsidR="00382990" w:rsidRDefault="00382990" w:rsidP="000A76C7">
      <w:pPr>
        <w:pStyle w:val="afc"/>
        <w:numPr>
          <w:ilvl w:val="0"/>
          <w:numId w:val="325"/>
        </w:numPr>
      </w:pPr>
      <w:r>
        <w:rPr>
          <w:rFonts w:hint="cs"/>
          <w:rtl/>
        </w:rPr>
        <w:t>الفروع الفقهية المندرجة تحت قاعدة المظنة تنزل منزلة المئنة_جمعا ودراسة_ لديارا سياك، مطبوعات الجامعة الإسلامية بالمدينة المنورة، الطبعة الأولى: 1431ه.</w:t>
      </w:r>
    </w:p>
    <w:p w:rsidR="00382990" w:rsidRDefault="00382990" w:rsidP="000A76C7">
      <w:pPr>
        <w:pStyle w:val="afc"/>
        <w:numPr>
          <w:ilvl w:val="0"/>
          <w:numId w:val="325"/>
        </w:numPr>
      </w:pPr>
      <w:r>
        <w:rPr>
          <w:rFonts w:hint="cs"/>
          <w:rtl/>
        </w:rPr>
        <w:lastRenderedPageBreak/>
        <w:t>الفروق اللغوية لأبي هلال الحسن بن عبد الله العسكري، ضبط وتحقيق: حسام الدين القدسي، دار الكتب العلمية، بيروت.</w:t>
      </w:r>
    </w:p>
    <w:p w:rsidR="00382990" w:rsidRDefault="00382990" w:rsidP="000A76C7">
      <w:pPr>
        <w:pStyle w:val="afc"/>
        <w:numPr>
          <w:ilvl w:val="0"/>
          <w:numId w:val="325"/>
        </w:numPr>
      </w:pPr>
      <w:r w:rsidRPr="006960FA">
        <w:rPr>
          <w:rFonts w:hint="cs"/>
          <w:rtl/>
        </w:rPr>
        <w:t>الفروق لشهاب الدين أبي العباس أحمد بن إدريس القرافي، وبحاشيته إدرار الشروق على أنواء الفروق لابن الشاط، تحقيق وتعليق: عمر حسن القيام، مؤسسة الرسالة، الطبعة الأولى: 1424ه.</w:t>
      </w:r>
    </w:p>
    <w:p w:rsidR="00382990" w:rsidRDefault="00382990" w:rsidP="000A76C7">
      <w:pPr>
        <w:pStyle w:val="afc"/>
        <w:numPr>
          <w:ilvl w:val="0"/>
          <w:numId w:val="325"/>
        </w:numPr>
      </w:pPr>
      <w:r>
        <w:rPr>
          <w:rFonts w:hint="cs"/>
          <w:rtl/>
        </w:rPr>
        <w:t xml:space="preserve">الفروق لشهاب الدين القرافي، وبهامشه إدرار الشروق على أنواء الفروق لأبي القاسم قاسم بن عبد الله الأنصاري المعروف ب"ابن الشاط"، وبهامش الكتابين تهذيب الفروق والقواعد السنية في الأسرار الفقهية لمحمد علي بن حسين، دار المعرفة، بيروت. </w:t>
      </w:r>
    </w:p>
    <w:p w:rsidR="00382990" w:rsidRDefault="00382990" w:rsidP="000A76C7">
      <w:pPr>
        <w:pStyle w:val="afc"/>
        <w:numPr>
          <w:ilvl w:val="0"/>
          <w:numId w:val="325"/>
        </w:numPr>
      </w:pPr>
      <w:r>
        <w:rPr>
          <w:rFonts w:hint="cs"/>
          <w:rtl/>
        </w:rPr>
        <w:t>الفقه الإسلامي وأدلته لوهبة الزحيلي، دار الفكر، دمشق، الطبعة الثانية: 1405ه.</w:t>
      </w:r>
    </w:p>
    <w:p w:rsidR="00382990" w:rsidRDefault="00382990" w:rsidP="000A76C7">
      <w:pPr>
        <w:pStyle w:val="afc"/>
        <w:numPr>
          <w:ilvl w:val="0"/>
          <w:numId w:val="325"/>
        </w:numPr>
      </w:pPr>
      <w:r>
        <w:rPr>
          <w:rFonts w:hint="cs"/>
          <w:rtl/>
        </w:rPr>
        <w:t>فواتح الرحموت بشرح مسلم الثبوت لعبد العلي محمد نظام الدين محمد السهالوي الأنصاري، ضبطه وصححه: عبد الله محمود محمد عمر، دار الكتب العلمية، بيروت، الطبعة الأولى: 1423ه.</w:t>
      </w:r>
    </w:p>
    <w:p w:rsidR="00382990" w:rsidRDefault="00382990" w:rsidP="000A76C7">
      <w:pPr>
        <w:pStyle w:val="afc"/>
        <w:numPr>
          <w:ilvl w:val="0"/>
          <w:numId w:val="325"/>
        </w:numPr>
      </w:pPr>
      <w:r>
        <w:rPr>
          <w:rFonts w:hint="cs"/>
          <w:rtl/>
        </w:rPr>
        <w:t>الفوائد الجنية حاشية المواهب السنية شرح الفرائد البهية في نظم القواعد الفقهية لأبي الفيض محمد ياسين بن عيسى الفاداني المكي، اعتنى بطبعه وقدم له: رمزي سعد الدين دمشقية، دار البشائر الإسلامية، بيروت، الطبعة الثانية: 1417ه.</w:t>
      </w:r>
    </w:p>
    <w:p w:rsidR="00382990" w:rsidRDefault="00382990" w:rsidP="000A76C7">
      <w:pPr>
        <w:pStyle w:val="afc"/>
        <w:numPr>
          <w:ilvl w:val="0"/>
          <w:numId w:val="325"/>
        </w:numPr>
      </w:pPr>
      <w:r>
        <w:rPr>
          <w:rFonts w:hint="cs"/>
          <w:rtl/>
        </w:rPr>
        <w:t>فيض القدير شرح الجامع الصغير من أحاديث البشير النذير لحمد عبد الرؤوف المناوي، ضبطه وصححه: أحمد عبد السلام، دار الكتب العلمية، بيروت، 1422ه.</w:t>
      </w:r>
    </w:p>
    <w:p w:rsidR="00382990" w:rsidRDefault="00382990" w:rsidP="000A76C7">
      <w:pPr>
        <w:pStyle w:val="afc"/>
        <w:numPr>
          <w:ilvl w:val="0"/>
          <w:numId w:val="325"/>
        </w:numPr>
      </w:pPr>
      <w:r>
        <w:rPr>
          <w:rFonts w:hint="cs"/>
          <w:rtl/>
        </w:rPr>
        <w:t>قاعدة الأصل في الأشياء الإباحة لأحمد بن عبد الله الضويحي، طبع جامعة  الإمام محمد بن سعود الإسلامية، الرياض، 1428ه.</w:t>
      </w:r>
    </w:p>
    <w:p w:rsidR="00382990" w:rsidRDefault="00382990" w:rsidP="000A76C7">
      <w:pPr>
        <w:pStyle w:val="afc"/>
        <w:numPr>
          <w:ilvl w:val="0"/>
          <w:numId w:val="325"/>
        </w:numPr>
      </w:pPr>
      <w:r>
        <w:rPr>
          <w:rFonts w:hint="cs"/>
          <w:rtl/>
        </w:rPr>
        <w:t>قاعدة الأمور بمقاصدها دراسة نظرية تأصيلية، مكتبة الرشد، الرياض، الطبعة الأولى: 1419ه.</w:t>
      </w:r>
    </w:p>
    <w:p w:rsidR="00382990" w:rsidRDefault="00382990" w:rsidP="000A76C7">
      <w:pPr>
        <w:pStyle w:val="afc"/>
        <w:numPr>
          <w:ilvl w:val="0"/>
          <w:numId w:val="325"/>
        </w:numPr>
      </w:pPr>
      <w:r>
        <w:rPr>
          <w:rFonts w:hint="cs"/>
          <w:rtl/>
        </w:rPr>
        <w:t>قاعدة العادة محكمة دراسة نظرية تأصيلية تطبيقية ليعقوب بن عبد الوهاب الباحسين، مكتبة الرشد، الرياض، الطبعة الأولى: 1423ه.</w:t>
      </w:r>
    </w:p>
    <w:p w:rsidR="00382990" w:rsidRDefault="00382990" w:rsidP="000A76C7">
      <w:pPr>
        <w:pStyle w:val="afc"/>
        <w:numPr>
          <w:ilvl w:val="0"/>
          <w:numId w:val="325"/>
        </w:numPr>
      </w:pPr>
      <w:r>
        <w:rPr>
          <w:rFonts w:hint="cs"/>
          <w:rtl/>
        </w:rPr>
        <w:t>قاعدة المشقة تجلب التيسير دراسة نظرية-تأصيلية-تطبيقية ليعقوب بن عبد الوهاب الباحسين، مكتبة الرشد، الرياض، الطبعة الثانية: 1426ه.</w:t>
      </w:r>
    </w:p>
    <w:p w:rsidR="00382990" w:rsidRDefault="00382990" w:rsidP="000A76C7">
      <w:pPr>
        <w:pStyle w:val="afc"/>
        <w:numPr>
          <w:ilvl w:val="0"/>
          <w:numId w:val="325"/>
        </w:numPr>
      </w:pPr>
      <w:r>
        <w:rPr>
          <w:rFonts w:hint="cs"/>
          <w:rtl/>
        </w:rPr>
        <w:lastRenderedPageBreak/>
        <w:t>قاعدة اليقين لا يزول بالشك دراسة نظرية تأصيلية تطبيقية ليعقوب بن عبد الوهاب الباحسين، مكتبة الرشد، الرياض، 1417ه.</w:t>
      </w:r>
    </w:p>
    <w:p w:rsidR="00382990" w:rsidRDefault="00382990" w:rsidP="000A76C7">
      <w:pPr>
        <w:pStyle w:val="afc"/>
        <w:numPr>
          <w:ilvl w:val="0"/>
          <w:numId w:val="325"/>
        </w:numPr>
      </w:pPr>
      <w:r>
        <w:rPr>
          <w:rFonts w:hint="cs"/>
          <w:rtl/>
        </w:rPr>
        <w:t>قاعدة من استعجل الشيء قبل أوانه عوقب بحرمانه دراسة تأصيلية تطبيقية لناصر بن محمد بن مشري الغامدي، دار طيبة الخضراء، مكة والمدينة المنورة، الطبعة الأولى: 1432ه.</w:t>
      </w:r>
    </w:p>
    <w:p w:rsidR="00382990" w:rsidRDefault="00382990" w:rsidP="000A76C7">
      <w:pPr>
        <w:pStyle w:val="afc"/>
        <w:numPr>
          <w:ilvl w:val="0"/>
          <w:numId w:val="325"/>
        </w:numPr>
      </w:pPr>
      <w:r>
        <w:rPr>
          <w:rFonts w:hint="cs"/>
          <w:rtl/>
        </w:rPr>
        <w:t xml:space="preserve">القاموس الفقهي لغة واصطلاحا لسعدي أبي جيب، دار الفكر، دمشق، الطبعة الأولى: 1402ه. </w:t>
      </w:r>
    </w:p>
    <w:p w:rsidR="00382990" w:rsidRDefault="00382990" w:rsidP="000A76C7">
      <w:pPr>
        <w:pStyle w:val="afc"/>
        <w:numPr>
          <w:ilvl w:val="0"/>
          <w:numId w:val="325"/>
        </w:numPr>
      </w:pPr>
      <w:r w:rsidRPr="006960FA">
        <w:rPr>
          <w:rtl/>
        </w:rPr>
        <w:t>القاموس المحيط ل</w:t>
      </w:r>
      <w:r w:rsidRPr="006960FA">
        <w:rPr>
          <w:rFonts w:hint="cs"/>
          <w:rtl/>
        </w:rPr>
        <w:t>أبي طاهر محمد بن يعقوب ا</w:t>
      </w:r>
      <w:r w:rsidRPr="006960FA">
        <w:rPr>
          <w:rtl/>
        </w:rPr>
        <w:t>لفيرورز آبادي</w:t>
      </w:r>
      <w:r w:rsidRPr="006960FA">
        <w:rPr>
          <w:rFonts w:hint="cs"/>
          <w:rtl/>
        </w:rPr>
        <w:t>،</w:t>
      </w:r>
      <w:r w:rsidRPr="006960FA">
        <w:rPr>
          <w:rtl/>
        </w:rPr>
        <w:t xml:space="preserve"> طبعة الهيئة المصرية العامة للكتاب</w:t>
      </w:r>
      <w:r w:rsidRPr="006960FA">
        <w:rPr>
          <w:rFonts w:hint="cs"/>
          <w:rtl/>
        </w:rPr>
        <w:t xml:space="preserve">، </w:t>
      </w:r>
      <w:r w:rsidRPr="006960FA">
        <w:rPr>
          <w:rtl/>
        </w:rPr>
        <w:t>1398ه.</w:t>
      </w:r>
    </w:p>
    <w:p w:rsidR="00382990" w:rsidRPr="006960FA" w:rsidRDefault="00382990" w:rsidP="000A76C7">
      <w:pPr>
        <w:pStyle w:val="afc"/>
        <w:numPr>
          <w:ilvl w:val="0"/>
          <w:numId w:val="325"/>
        </w:numPr>
        <w:rPr>
          <w:rtl/>
        </w:rPr>
      </w:pPr>
      <w:r w:rsidRPr="006960FA">
        <w:rPr>
          <w:rtl/>
        </w:rPr>
        <w:t>القضاء بالقرائن في الشريعة الإسلامية لعبد الله علي عيدروس البار</w:t>
      </w:r>
      <w:r w:rsidRPr="006960FA">
        <w:rPr>
          <w:rFonts w:hint="cs"/>
          <w:rtl/>
        </w:rPr>
        <w:t>،</w:t>
      </w:r>
      <w:r w:rsidRPr="006960FA">
        <w:rPr>
          <w:rtl/>
        </w:rPr>
        <w:t xml:space="preserve"> رسالة مقدمة لنيل درجة ماجستير في فرع الفقه وأصوله بجامعة الملك عبد العزيز</w:t>
      </w:r>
      <w:r w:rsidRPr="006960FA">
        <w:rPr>
          <w:rFonts w:hint="cs"/>
          <w:rtl/>
        </w:rPr>
        <w:t xml:space="preserve">، </w:t>
      </w:r>
      <w:r w:rsidRPr="006960FA">
        <w:rPr>
          <w:rtl/>
        </w:rPr>
        <w:t>إشراف الدكتور محمد الخضراوي</w:t>
      </w:r>
      <w:r w:rsidRPr="006960FA">
        <w:rPr>
          <w:rFonts w:hint="cs"/>
          <w:rtl/>
        </w:rPr>
        <w:t xml:space="preserve">، </w:t>
      </w:r>
      <w:r w:rsidRPr="006960FA">
        <w:rPr>
          <w:rtl/>
        </w:rPr>
        <w:t xml:space="preserve">1398ه. </w:t>
      </w:r>
    </w:p>
    <w:p w:rsidR="00382990" w:rsidRPr="006960FA" w:rsidRDefault="00382990" w:rsidP="000A76C7">
      <w:pPr>
        <w:pStyle w:val="afc"/>
        <w:numPr>
          <w:ilvl w:val="0"/>
          <w:numId w:val="325"/>
        </w:numPr>
        <w:rPr>
          <w:rtl/>
        </w:rPr>
      </w:pPr>
      <w:r w:rsidRPr="006960FA">
        <w:rPr>
          <w:rFonts w:hint="cs"/>
          <w:rtl/>
        </w:rPr>
        <w:t>قواعد الأحكام في إصلاح الأنام لعز الدين عبد العزيز بن عبد السلام، تحقيق: نزيه حماد وعثمان ضميرية، دار القلم دمشق، الطبعة الأولى: 1421ه.</w:t>
      </w:r>
    </w:p>
    <w:p w:rsidR="00382990" w:rsidRDefault="00382990" w:rsidP="000A76C7">
      <w:pPr>
        <w:pStyle w:val="afc"/>
        <w:numPr>
          <w:ilvl w:val="0"/>
          <w:numId w:val="325"/>
        </w:numPr>
      </w:pPr>
      <w:r>
        <w:rPr>
          <w:rFonts w:hint="cs"/>
          <w:rtl/>
        </w:rPr>
        <w:t>القواعد الأصولية والقواعد والضوابط والفوائد والفروق الفقهية من الشرح الممتع لابن عثيمين، ويليه: شرح منظومة القواعد والأصول لابن عثيمين لسعود بن عبد الله الغديان، دار التدمرية، الرياض، الطبعة الأولى: 1432ه.</w:t>
      </w:r>
    </w:p>
    <w:p w:rsidR="00382990" w:rsidRPr="006960FA" w:rsidRDefault="00382990" w:rsidP="000A76C7">
      <w:pPr>
        <w:pStyle w:val="afc"/>
        <w:numPr>
          <w:ilvl w:val="0"/>
          <w:numId w:val="325"/>
        </w:numPr>
        <w:rPr>
          <w:rtl/>
        </w:rPr>
      </w:pPr>
      <w:r w:rsidRPr="006960FA">
        <w:rPr>
          <w:rtl/>
        </w:rPr>
        <w:t>القواعد الحسان المتعلقة بتفسير القرآن لعبد الرحمن بن ناصر السعدي</w:t>
      </w:r>
      <w:r w:rsidRPr="006960FA">
        <w:rPr>
          <w:rFonts w:hint="cs"/>
          <w:rtl/>
        </w:rPr>
        <w:t xml:space="preserve">، </w:t>
      </w:r>
      <w:r w:rsidRPr="006960FA">
        <w:rPr>
          <w:rtl/>
        </w:rPr>
        <w:t>دار ابن الجوزي</w:t>
      </w:r>
      <w:r w:rsidRPr="006960FA">
        <w:rPr>
          <w:rFonts w:hint="cs"/>
          <w:rtl/>
        </w:rPr>
        <w:t>، ال</w:t>
      </w:r>
      <w:r w:rsidRPr="006960FA">
        <w:rPr>
          <w:rtl/>
        </w:rPr>
        <w:t>ط</w:t>
      </w:r>
      <w:r w:rsidRPr="006960FA">
        <w:rPr>
          <w:rFonts w:hint="cs"/>
          <w:rtl/>
        </w:rPr>
        <w:t xml:space="preserve">بعة الأولى: </w:t>
      </w:r>
      <w:r w:rsidRPr="006960FA">
        <w:rPr>
          <w:rtl/>
        </w:rPr>
        <w:t>1413</w:t>
      </w:r>
      <w:r w:rsidRPr="006960FA">
        <w:rPr>
          <w:rFonts w:hint="cs"/>
          <w:rtl/>
        </w:rPr>
        <w:t>ه.</w:t>
      </w:r>
    </w:p>
    <w:p w:rsidR="00382990" w:rsidRDefault="00382990" w:rsidP="000A76C7">
      <w:pPr>
        <w:pStyle w:val="afc"/>
        <w:numPr>
          <w:ilvl w:val="0"/>
          <w:numId w:val="325"/>
        </w:numPr>
      </w:pPr>
      <w:r>
        <w:rPr>
          <w:rFonts w:hint="cs"/>
          <w:rtl/>
        </w:rPr>
        <w:t>قواعد الفقه الإسلامي من خلال كتاب الإشراف على مسائل الخلاف لمحمد الروكي، دار القلم، دمشق، ومجمع الفقه الإسلامي، جدة، الطبعة الأولى: 1419ه.</w:t>
      </w:r>
    </w:p>
    <w:p w:rsidR="00382990" w:rsidRDefault="00382990" w:rsidP="000A76C7">
      <w:pPr>
        <w:pStyle w:val="afc"/>
        <w:numPr>
          <w:ilvl w:val="0"/>
          <w:numId w:val="325"/>
        </w:numPr>
      </w:pPr>
      <w:r>
        <w:rPr>
          <w:rFonts w:hint="cs"/>
          <w:rtl/>
        </w:rPr>
        <w:t>القواعد الفقهية الكبرى وماتفرع عنها لصالح بن غانم السدلان، دار بلنسية، الرياض، الطبعة الأولى: 1417ه.</w:t>
      </w:r>
    </w:p>
    <w:p w:rsidR="00382990" w:rsidRDefault="00382990" w:rsidP="000A76C7">
      <w:pPr>
        <w:pStyle w:val="afc"/>
        <w:numPr>
          <w:ilvl w:val="0"/>
          <w:numId w:val="325"/>
        </w:numPr>
      </w:pPr>
      <w:r>
        <w:rPr>
          <w:rFonts w:hint="cs"/>
          <w:rtl/>
        </w:rPr>
        <w:t xml:space="preserve">القواعد الفقهية المبادئ-المقومات-المصادر-الدليلية-التطور-دراسة نظرية-تحليلية-تأصيلية-تاريخية ليعقوب بن عبد الوهاب الباحسين، مكتبة الرشد، الرياض، وشركة </w:t>
      </w:r>
      <w:r>
        <w:rPr>
          <w:rFonts w:hint="cs"/>
          <w:rtl/>
        </w:rPr>
        <w:lastRenderedPageBreak/>
        <w:t>الرياض للنشر، الطبعة الأولى: 1418ه.</w:t>
      </w:r>
    </w:p>
    <w:p w:rsidR="00382990" w:rsidRPr="006960FA" w:rsidRDefault="00382990" w:rsidP="000A76C7">
      <w:pPr>
        <w:pStyle w:val="afc"/>
        <w:numPr>
          <w:ilvl w:val="0"/>
          <w:numId w:val="325"/>
        </w:numPr>
        <w:rPr>
          <w:rtl/>
        </w:rPr>
      </w:pPr>
      <w:r w:rsidRPr="006960FA">
        <w:rPr>
          <w:rFonts w:hint="cs"/>
          <w:rtl/>
        </w:rPr>
        <w:t>القواعد الفقهية المستخرجة من كتاب إعلام الموقعين للعلامة ابن القيم الجوزية لعبد المجيد حمعة الجزائري، دار ابن القيم ودار ابن عفان.</w:t>
      </w:r>
    </w:p>
    <w:p w:rsidR="00382990" w:rsidRDefault="00382990" w:rsidP="000A76C7">
      <w:pPr>
        <w:pStyle w:val="afc"/>
        <w:numPr>
          <w:ilvl w:val="0"/>
          <w:numId w:val="325"/>
        </w:numPr>
      </w:pPr>
      <w:r>
        <w:rPr>
          <w:rFonts w:hint="cs"/>
          <w:rtl/>
        </w:rPr>
        <w:t xml:space="preserve">القواعد الفقهية عند الحنابلة للوليد بن عبد الرحمن بن محمد آل فريَّان، رسالة لنيل درجة العالمية العالية "الدكتوراه" بشعبة الفقه بكلية الشريعة بالجامعة الإسلامية بالمدينة المنورة، إشراف: أ.د محمد حمود الوائلي، 1412ه. </w:t>
      </w:r>
    </w:p>
    <w:p w:rsidR="00382990" w:rsidRDefault="00382990" w:rsidP="000A76C7">
      <w:pPr>
        <w:pStyle w:val="afc"/>
        <w:numPr>
          <w:ilvl w:val="0"/>
          <w:numId w:val="325"/>
        </w:numPr>
      </w:pPr>
      <w:r>
        <w:rPr>
          <w:rFonts w:hint="cs"/>
          <w:rtl/>
        </w:rPr>
        <w:t>القواعد الفقهية لعبد الرحمن بن ناصر السعدي، تحقيق ودراسة: سليمان بن عبد الله بن حمود أبا الخيل، 1423ه.</w:t>
      </w:r>
    </w:p>
    <w:p w:rsidR="00382990" w:rsidRDefault="00382990" w:rsidP="000A76C7">
      <w:pPr>
        <w:pStyle w:val="afc"/>
        <w:numPr>
          <w:ilvl w:val="0"/>
          <w:numId w:val="325"/>
        </w:numPr>
      </w:pPr>
      <w:r>
        <w:rPr>
          <w:rFonts w:hint="cs"/>
          <w:rtl/>
        </w:rPr>
        <w:t>القواعد الفقهية للدعوى القضائية وتطبيقاتها في النظام القضائي في المملكة العربية السعودية لحسين بن عبد العزيز آل الشيخ، دار التوحيد، الرياض، الطبعة الأولى: 1428ه.</w:t>
      </w:r>
    </w:p>
    <w:p w:rsidR="00382990" w:rsidRDefault="00382990" w:rsidP="000A76C7">
      <w:pPr>
        <w:pStyle w:val="afc"/>
        <w:numPr>
          <w:ilvl w:val="0"/>
          <w:numId w:val="325"/>
        </w:numPr>
      </w:pPr>
      <w:r>
        <w:rPr>
          <w:rFonts w:hint="cs"/>
          <w:rtl/>
        </w:rPr>
        <w:t>القواعد الفقهية مفهومها ، نشأتها، تطورها، دراسة مؤلفاتها، أدلتها، مهمتها، تطبيقاتها لعلي بن احمد الندوي، دار القلم، دمشق، الطبعة الثامنة: 1430ه.</w:t>
      </w:r>
    </w:p>
    <w:p w:rsidR="00382990" w:rsidRPr="006960FA" w:rsidRDefault="00382990" w:rsidP="000A76C7">
      <w:pPr>
        <w:pStyle w:val="afc"/>
        <w:numPr>
          <w:ilvl w:val="0"/>
          <w:numId w:val="325"/>
        </w:numPr>
        <w:rPr>
          <w:rtl/>
        </w:rPr>
      </w:pPr>
      <w:r w:rsidRPr="006960FA">
        <w:rPr>
          <w:rFonts w:hint="cs"/>
          <w:rtl/>
        </w:rPr>
        <w:t>القواعد الفقهية وتطبيقاتها في المذاهب الأربعة لمحمد الزحيلي، دار الفكر دمشق، الطبة الأولى: 1427ه.</w:t>
      </w:r>
    </w:p>
    <w:p w:rsidR="00382990" w:rsidRDefault="00382990" w:rsidP="000A76C7">
      <w:pPr>
        <w:pStyle w:val="afc"/>
        <w:numPr>
          <w:ilvl w:val="0"/>
          <w:numId w:val="325"/>
        </w:numPr>
      </w:pPr>
      <w:r w:rsidRPr="006960FA">
        <w:rPr>
          <w:rtl/>
        </w:rPr>
        <w:t>القواعد الفقهيه بين ا</w:t>
      </w:r>
      <w:r w:rsidRPr="006960FA">
        <w:rPr>
          <w:rFonts w:hint="cs"/>
          <w:rtl/>
        </w:rPr>
        <w:t>لأ</w:t>
      </w:r>
      <w:r w:rsidRPr="006960FA">
        <w:rPr>
          <w:rtl/>
        </w:rPr>
        <w:t>صاله و التوجيه  لمحمد بكر</w:t>
      </w:r>
      <w:r>
        <w:rPr>
          <w:rtl/>
        </w:rPr>
        <w:t xml:space="preserve"> اسماعيل، دار المنار،  الطبعة </w:t>
      </w:r>
      <w:r w:rsidRPr="006960FA">
        <w:rPr>
          <w:rtl/>
        </w:rPr>
        <w:t>الأولى:  1997</w:t>
      </w:r>
      <w:r w:rsidRPr="006960FA">
        <w:rPr>
          <w:rFonts w:hint="cs"/>
          <w:rtl/>
        </w:rPr>
        <w:t>م.</w:t>
      </w:r>
    </w:p>
    <w:p w:rsidR="00382990" w:rsidRPr="006960FA" w:rsidRDefault="00382990" w:rsidP="000A76C7">
      <w:pPr>
        <w:pStyle w:val="afc"/>
        <w:numPr>
          <w:ilvl w:val="0"/>
          <w:numId w:val="325"/>
        </w:numPr>
        <w:rPr>
          <w:rtl/>
        </w:rPr>
      </w:pPr>
      <w:r>
        <w:rPr>
          <w:rFonts w:hint="cs"/>
          <w:rtl/>
        </w:rPr>
        <w:t>القواعد الكبرى في الفقه الإسلامي لعبد الله بن عبد العزيز العجلان، 1416ه.</w:t>
      </w:r>
    </w:p>
    <w:p w:rsidR="00382990" w:rsidRDefault="00382990" w:rsidP="000A76C7">
      <w:pPr>
        <w:pStyle w:val="afc"/>
        <w:numPr>
          <w:ilvl w:val="0"/>
          <w:numId w:val="325"/>
        </w:numPr>
      </w:pPr>
      <w:r>
        <w:rPr>
          <w:rFonts w:hint="cs"/>
          <w:rtl/>
        </w:rPr>
        <w:t xml:space="preserve">القواعد الكلية والضوابط الفقهية في الشريعة الإسلامية لمحمد عثمان شبير، دار الفرقان، عمان، الطبعة الأولى: 1420ه. </w:t>
      </w:r>
    </w:p>
    <w:p w:rsidR="00382990" w:rsidRDefault="00382990" w:rsidP="000A76C7">
      <w:pPr>
        <w:pStyle w:val="afc"/>
        <w:numPr>
          <w:ilvl w:val="0"/>
          <w:numId w:val="325"/>
        </w:numPr>
      </w:pPr>
      <w:r>
        <w:rPr>
          <w:rFonts w:hint="cs"/>
          <w:rtl/>
        </w:rPr>
        <w:t xml:space="preserve">القواعد الكلية والضوابط الفقهية لجمال الدين يوسف بن الحسين بن عبد الهادي الحنبلي، تحقيق وتعليق: جاسم بن سليمان الفهيد الدوسري، دار البشائر الإسلامية، بيروت، الطبعة الأولى: 1415ه. </w:t>
      </w:r>
    </w:p>
    <w:p w:rsidR="00382990" w:rsidRDefault="00382990" w:rsidP="000A76C7">
      <w:pPr>
        <w:pStyle w:val="afc"/>
        <w:numPr>
          <w:ilvl w:val="0"/>
          <w:numId w:val="325"/>
        </w:numPr>
      </w:pPr>
      <w:r>
        <w:rPr>
          <w:rFonts w:hint="cs"/>
          <w:rtl/>
        </w:rPr>
        <w:t xml:space="preserve">القواعد المشتركة بين أصول الفقه والقواعد الفقهية، لسليمان بن سليم الله الرحيلي، رسالة مقدمة لنيل درجة العالمية العالية "الدكتوراه" بقسم أصول الفقه بكلية الشريعة بالجامعة </w:t>
      </w:r>
      <w:r>
        <w:rPr>
          <w:rFonts w:hint="cs"/>
          <w:rtl/>
        </w:rPr>
        <w:lastRenderedPageBreak/>
        <w:t>الإسلامية بالمدينة المنورة، إشراف:  أ.د: عمر عبد العزيز محمد، العام الجامعي: 1415ه.</w:t>
      </w:r>
    </w:p>
    <w:p w:rsidR="00382990" w:rsidRDefault="00382990" w:rsidP="000A76C7">
      <w:pPr>
        <w:pStyle w:val="afc"/>
        <w:numPr>
          <w:ilvl w:val="0"/>
          <w:numId w:val="325"/>
        </w:numPr>
      </w:pPr>
      <w:r>
        <w:rPr>
          <w:rFonts w:hint="cs"/>
          <w:rtl/>
        </w:rPr>
        <w:t>القواعد النورانية الفقهية لأحمد بن عبد الحليم بن عبد السلام بن تيمية، حققه وخرج أحاديثه: أحمد بن محمد الخليل، دار ابن الجوزي، الدمام، الطبعة الأولى: 1422ه.</w:t>
      </w:r>
    </w:p>
    <w:p w:rsidR="00382990" w:rsidRDefault="00382990" w:rsidP="000A76C7">
      <w:pPr>
        <w:pStyle w:val="afc"/>
        <w:numPr>
          <w:ilvl w:val="0"/>
          <w:numId w:val="325"/>
        </w:numPr>
      </w:pPr>
      <w:r w:rsidRPr="0007192E">
        <w:rPr>
          <w:rFonts w:hint="cs"/>
          <w:rtl/>
        </w:rPr>
        <w:t xml:space="preserve"> </w:t>
      </w:r>
      <w:r>
        <w:rPr>
          <w:rFonts w:hint="cs"/>
          <w:rtl/>
        </w:rPr>
        <w:t>قواعد الوسائل في الشريعة الإسلامية دراسة أصولية في ضوء المقاصد الشرعية لمصطفى بن كرامة الله مخدوم، دار إشبيليا، الرياض، الطبعة الأولى: 1420ه.</w:t>
      </w:r>
    </w:p>
    <w:p w:rsidR="00382990" w:rsidRDefault="00382990" w:rsidP="000A76C7">
      <w:pPr>
        <w:pStyle w:val="afc"/>
        <w:numPr>
          <w:ilvl w:val="0"/>
          <w:numId w:val="325"/>
        </w:numPr>
      </w:pPr>
      <w:r>
        <w:rPr>
          <w:rFonts w:hint="cs"/>
          <w:rtl/>
        </w:rPr>
        <w:t>قواعد تعارض المصالح والمفاسد لسليمان بن سليم الله الرحيلي، مجلة الجامعة الإسلامية بالمدينة المنورة، العدد: 143_السنة41_1429ه.</w:t>
      </w:r>
    </w:p>
    <w:p w:rsidR="00382990" w:rsidRPr="006960FA" w:rsidRDefault="00382990" w:rsidP="000A76C7">
      <w:pPr>
        <w:pStyle w:val="afc"/>
        <w:numPr>
          <w:ilvl w:val="0"/>
          <w:numId w:val="325"/>
        </w:numPr>
        <w:rPr>
          <w:rtl/>
        </w:rPr>
      </w:pPr>
      <w:r w:rsidRPr="006960FA">
        <w:rPr>
          <w:rFonts w:hint="cs"/>
          <w:rtl/>
        </w:rPr>
        <w:t xml:space="preserve"> القواعد لأبي بكر بن محمد بن عبد المؤمن المعروف بتقي الدين الحصني، دراسة وتحقيق: عبد الرحمن الشعلان وجبريل بن محمد البصيلي، مكتبة الرشد، الطبعة الأولى: 1418ه.</w:t>
      </w:r>
    </w:p>
    <w:p w:rsidR="00382990" w:rsidRPr="006960FA" w:rsidRDefault="00382990" w:rsidP="000A76C7">
      <w:pPr>
        <w:pStyle w:val="afc"/>
        <w:numPr>
          <w:ilvl w:val="0"/>
          <w:numId w:val="325"/>
        </w:numPr>
        <w:rPr>
          <w:rtl/>
        </w:rPr>
      </w:pPr>
      <w:r w:rsidRPr="006960FA">
        <w:rPr>
          <w:rFonts w:hint="cs"/>
          <w:rtl/>
        </w:rPr>
        <w:t>القواعد لأبي عبد الله محمد بن محمد المقري، تحقيق: أحمد بن عبد الله بن حميد، طبع بمعهد البحوث العلمية وإحياء التراث الإسلامي بجامعة أم القرى بمكة.</w:t>
      </w:r>
    </w:p>
    <w:p w:rsidR="00382990" w:rsidRDefault="00382990" w:rsidP="000A76C7">
      <w:pPr>
        <w:pStyle w:val="afc"/>
        <w:numPr>
          <w:ilvl w:val="0"/>
          <w:numId w:val="325"/>
        </w:numPr>
      </w:pPr>
      <w:r>
        <w:rPr>
          <w:rFonts w:hint="cs"/>
          <w:rtl/>
        </w:rPr>
        <w:t>القواعد والأصول الجامعة والفروق والتقاسيم البديعة النافعة، لعبد الرحمن بن ناصر السعدي، تحقيق: خالد بن علي المشيقح، دار الوطن، الرياض، الطبعة الثانية: 1422ه.</w:t>
      </w:r>
    </w:p>
    <w:p w:rsidR="00382990" w:rsidRDefault="00382990" w:rsidP="000A76C7">
      <w:pPr>
        <w:pStyle w:val="afc"/>
        <w:numPr>
          <w:ilvl w:val="0"/>
          <w:numId w:val="325"/>
        </w:numPr>
      </w:pPr>
      <w:r>
        <w:rPr>
          <w:rFonts w:hint="cs"/>
          <w:rtl/>
        </w:rPr>
        <w:t>القواعد والضوابط الفقهية القرافية زمرة التمليكات المالية لعادل بن عبد القادر قوته، دار البشائر الإسلامية، بيروت، الطبعة الأولى: 1425ه.</w:t>
      </w:r>
    </w:p>
    <w:p w:rsidR="00382990" w:rsidRDefault="00382990" w:rsidP="000A76C7">
      <w:pPr>
        <w:pStyle w:val="afc"/>
        <w:numPr>
          <w:ilvl w:val="0"/>
          <w:numId w:val="325"/>
        </w:numPr>
      </w:pPr>
      <w:r>
        <w:rPr>
          <w:rFonts w:hint="cs"/>
          <w:rtl/>
        </w:rPr>
        <w:t>القواعد والضوابط الفقهية المتضمنة للتيسير لعبد الرحمن بن صالح العبد اللطيف، طبع الجامعة الإسلامية بالمدينة المنورة، الطبعة الأولى: 1423ه.</w:t>
      </w:r>
    </w:p>
    <w:p w:rsidR="00382990" w:rsidRPr="006960FA" w:rsidRDefault="00382990" w:rsidP="000A76C7">
      <w:pPr>
        <w:pStyle w:val="afc"/>
        <w:numPr>
          <w:ilvl w:val="0"/>
          <w:numId w:val="325"/>
        </w:numPr>
        <w:rPr>
          <w:rtl/>
        </w:rPr>
      </w:pPr>
      <w:r w:rsidRPr="006960FA">
        <w:rPr>
          <w:rFonts w:hint="cs"/>
          <w:rtl/>
        </w:rPr>
        <w:t>القواعد والضوابط الفقهية عند  ابن القيم في فقه الأسرة، لفؤاد صدقة مرداد، رسالة مقدمة لنيل درجة الدكتوراه في الفقه بجامعة أم القرى بمكة، إشراف فرج زهران، 1428-1429ه.</w:t>
      </w:r>
    </w:p>
    <w:p w:rsidR="00382990" w:rsidRPr="006960FA" w:rsidRDefault="00382990" w:rsidP="000A76C7">
      <w:pPr>
        <w:pStyle w:val="afc"/>
        <w:numPr>
          <w:ilvl w:val="0"/>
          <w:numId w:val="325"/>
        </w:numPr>
        <w:rPr>
          <w:rtl/>
        </w:rPr>
      </w:pPr>
      <w:r w:rsidRPr="006960FA">
        <w:rPr>
          <w:rFonts w:hint="cs"/>
          <w:rtl/>
        </w:rPr>
        <w:t xml:space="preserve">القواعد والضوابط الفقهية عند  ابن دقيق العيد من خلال كتابه إحكام الأحكام شرح عمدة الأحكام-جمعا ودراسة-لياسر بن علي بن مسعود آل شويّه القحطاني، رسالة مقدمة لنيل درجة الماجستير بجامعة أم القرى بمكة، </w:t>
      </w:r>
      <w:r>
        <w:rPr>
          <w:rFonts w:hint="cs"/>
          <w:rtl/>
        </w:rPr>
        <w:t xml:space="preserve">قسم الفقه، </w:t>
      </w:r>
      <w:r w:rsidRPr="006960FA">
        <w:rPr>
          <w:rFonts w:hint="cs"/>
          <w:rtl/>
        </w:rPr>
        <w:t>إشراف عبد الله بن حمد الغطيمل، 1429-1430ه.</w:t>
      </w:r>
    </w:p>
    <w:p w:rsidR="00382990" w:rsidRDefault="00382990" w:rsidP="000A76C7">
      <w:pPr>
        <w:pStyle w:val="afc"/>
        <w:numPr>
          <w:ilvl w:val="0"/>
          <w:numId w:val="325"/>
        </w:numPr>
      </w:pPr>
      <w:r>
        <w:rPr>
          <w:rFonts w:hint="cs"/>
          <w:rtl/>
        </w:rPr>
        <w:t xml:space="preserve">القواعد والضوابط الفقهية عند ابن تيمية في فقه الأسرة، لمحمد بن عبد الله الصواط، مكتبة </w:t>
      </w:r>
      <w:r>
        <w:rPr>
          <w:rFonts w:hint="cs"/>
          <w:rtl/>
        </w:rPr>
        <w:lastRenderedPageBreak/>
        <w:t>دار البيان الحديثة، الطائف، الطبعة الأولى: 1422ه.</w:t>
      </w:r>
    </w:p>
    <w:p w:rsidR="004533B3" w:rsidRDefault="004533B3" w:rsidP="004533B3">
      <w:pPr>
        <w:pStyle w:val="afc"/>
        <w:numPr>
          <w:ilvl w:val="0"/>
          <w:numId w:val="325"/>
        </w:numPr>
      </w:pPr>
      <w:r w:rsidRPr="0007192E">
        <w:rPr>
          <w:rFonts w:ascii="Traditional Arabic" w:hAnsi="Traditional Arabic" w:hint="cs"/>
          <w:rtl/>
        </w:rPr>
        <w:t>القواعد والضوابط الفقهية عند الشيخ ابن عثيمين في الشرح الممتع من كتاب العبادات لتركي بن عبد الله بن صالح الميمان</w:t>
      </w:r>
      <w:r>
        <w:rPr>
          <w:rFonts w:hint="cs"/>
          <w:rtl/>
        </w:rPr>
        <w:t xml:space="preserve">، رسالة ماجستير مقدمة لقسم الفقه وأصوله-شعبة الفقه- بجامعة أم القرى بمكة بإشراف الأستاذ الدكتور: عبد الله بن حمد بن ناصر الغطيمل، 1428-1111429ه. </w:t>
      </w:r>
    </w:p>
    <w:p w:rsidR="00382990" w:rsidRDefault="00382990" w:rsidP="000A76C7">
      <w:pPr>
        <w:pStyle w:val="afc"/>
        <w:numPr>
          <w:ilvl w:val="0"/>
          <w:numId w:val="325"/>
        </w:numPr>
      </w:pPr>
      <w:r>
        <w:rPr>
          <w:rFonts w:hint="cs"/>
          <w:rtl/>
        </w:rPr>
        <w:t>القواعد والضوابط الفقهية عند شيخ الإسلام ابن تيمية في الأقضية والشهادات والقسمة والإقرارات، رسالة ماجستير مقدمة من الطالب: عبد الله عبيد عامر النفاعي، شعبة الفقه بكلية الشريعة بجامعة أم القرى، إشراف: الدكتور ناصر عبد الله الميمان، 1424ه.</w:t>
      </w:r>
    </w:p>
    <w:p w:rsidR="00382990" w:rsidRDefault="00382990" w:rsidP="000A76C7">
      <w:pPr>
        <w:pStyle w:val="afc"/>
        <w:numPr>
          <w:ilvl w:val="0"/>
          <w:numId w:val="325"/>
        </w:numPr>
      </w:pPr>
      <w:r>
        <w:rPr>
          <w:rFonts w:hint="cs"/>
          <w:rtl/>
        </w:rPr>
        <w:t>القواعد والضوابط الفقهية عند شيخ الإسلام ابن تيمية في كتابي الجهاد والوقف، رسالة ماجستير مقدمة لشعبة الفقه بقسم الدراسات العليا الشرعية بجامعة أم القرى بمكة، قدمها الباحث: محمد بن مرزا عالم بخاري، بإشراف: الدكتور عابد بن محمد السفياني، عام: 1423ه.</w:t>
      </w:r>
    </w:p>
    <w:p w:rsidR="00382990" w:rsidRDefault="00382990" w:rsidP="000A76C7">
      <w:pPr>
        <w:pStyle w:val="afc"/>
        <w:numPr>
          <w:ilvl w:val="0"/>
          <w:numId w:val="325"/>
        </w:numPr>
      </w:pPr>
      <w:r>
        <w:rPr>
          <w:rFonts w:hint="cs"/>
          <w:rtl/>
        </w:rPr>
        <w:t>القواعد والضوابط الفقهية في الجهالة المؤثرة في العقود وآثارها، لدهام بن كريم بن شبيب أبي خشبة الفضلي، رسالة مقدمة لنيل درجة العالمية العالية "الدكتوراه" بقسم الفقه بكلية الشريعة بالجامعة الإسلامية بالمدينة المنورة، إشراف: أ.د: حمد بن حماد الحماد، العام الجامعي: (1426-1427)ه.</w:t>
      </w:r>
    </w:p>
    <w:p w:rsidR="00382990" w:rsidRDefault="00382990" w:rsidP="000A76C7">
      <w:pPr>
        <w:pStyle w:val="afc"/>
        <w:numPr>
          <w:ilvl w:val="0"/>
          <w:numId w:val="325"/>
        </w:numPr>
      </w:pPr>
      <w:r w:rsidRPr="00270884">
        <w:rPr>
          <w:rFonts w:ascii="Traditional Arabic" w:hAnsi="Traditional Arabic" w:hint="cs"/>
          <w:rtl/>
        </w:rPr>
        <w:t>القواعد والضوابط الفقهية في الضمان المالي لحمد بن محمد الهاجري</w:t>
      </w:r>
      <w:r>
        <w:rPr>
          <w:rFonts w:hint="cs"/>
          <w:rtl/>
        </w:rPr>
        <w:t>، دار كنوز إشبيليا الرياض، الطبعة الأولى: 1429ه.</w:t>
      </w:r>
    </w:p>
    <w:p w:rsidR="00382990" w:rsidRDefault="00382990" w:rsidP="00263298">
      <w:pPr>
        <w:pStyle w:val="afc"/>
        <w:numPr>
          <w:ilvl w:val="0"/>
          <w:numId w:val="325"/>
        </w:numPr>
      </w:pPr>
      <w:r>
        <w:rPr>
          <w:rFonts w:hint="cs"/>
          <w:rtl/>
        </w:rPr>
        <w:t>القواعد والضوابط الفقهية للمعاملات المالية عند ابن تيمية جمعا وراسة لعبد السلام بن إبراهيم بن محمد الحصين، دار التأصيل، القاهرة، الطبعة الأولى: 1422ه.</w:t>
      </w:r>
    </w:p>
    <w:p w:rsidR="00382990" w:rsidRDefault="00382990" w:rsidP="000A76C7">
      <w:pPr>
        <w:pStyle w:val="afc"/>
        <w:numPr>
          <w:ilvl w:val="0"/>
          <w:numId w:val="325"/>
        </w:numPr>
      </w:pPr>
      <w:r>
        <w:rPr>
          <w:rFonts w:hint="cs"/>
          <w:rtl/>
        </w:rPr>
        <w:t>القواعد والضوابط الفقهية من خلال كتاب بداية المجتهد ونهاية المقتصد لابن رشد الحفيد، لعبد الوهاب بن محمد جامع إيليشن، طبع الجامعة الإسلامية بالمدينة المنورة، الطبعة الأولى: 1430ه.</w:t>
      </w:r>
    </w:p>
    <w:p w:rsidR="00382990" w:rsidRDefault="00382990" w:rsidP="000A76C7">
      <w:pPr>
        <w:pStyle w:val="afc"/>
        <w:numPr>
          <w:ilvl w:val="0"/>
          <w:numId w:val="325"/>
        </w:numPr>
      </w:pPr>
      <w:r>
        <w:rPr>
          <w:rFonts w:hint="cs"/>
          <w:rtl/>
        </w:rPr>
        <w:t xml:space="preserve">القواعد والضوابط الفقهية من كتاب معالم السنن شرح سنن أبي داود للإمام أبي سليمان الخطابي، رسالة مقدمة لنيل درجة الماجستير في الشريعة والدراسات الإسلامية بجامعة أم </w:t>
      </w:r>
      <w:r>
        <w:rPr>
          <w:rFonts w:hint="cs"/>
          <w:rtl/>
        </w:rPr>
        <w:lastRenderedPageBreak/>
        <w:t>القرى بمكة، للطالب: سلطان بن حمود بن ثلاب العمري، إشراف الدكتور: سعيد مصيلحي، 1425ه.</w:t>
      </w:r>
    </w:p>
    <w:p w:rsidR="00382990" w:rsidRDefault="00382990" w:rsidP="000A76C7">
      <w:pPr>
        <w:pStyle w:val="afc"/>
        <w:numPr>
          <w:ilvl w:val="0"/>
          <w:numId w:val="325"/>
        </w:numPr>
      </w:pPr>
      <w:r w:rsidRPr="006960FA">
        <w:rPr>
          <w:rtl/>
        </w:rPr>
        <w:t>القــول المفيد على كتاب التوحيد، الطبعة الثانية، دار ابن الجوزي، 1424هـ.</w:t>
      </w:r>
    </w:p>
    <w:p w:rsidR="00382990" w:rsidRDefault="00382990" w:rsidP="000A76C7">
      <w:pPr>
        <w:pStyle w:val="afc"/>
        <w:numPr>
          <w:ilvl w:val="0"/>
          <w:numId w:val="325"/>
        </w:numPr>
      </w:pPr>
      <w:r>
        <w:rPr>
          <w:rFonts w:hint="cs"/>
          <w:rtl/>
        </w:rPr>
        <w:t>الكافي في فقه  الإمام المبجل أحمد بن حنبل لأبي محمد موفق الدين عبد الله بن قدامة المقدسي، المكتب الإسلامي، دمشق، الطبعة الأولى: 1382ه.</w:t>
      </w:r>
    </w:p>
    <w:p w:rsidR="00382990" w:rsidRDefault="00382990" w:rsidP="00B3706D">
      <w:pPr>
        <w:pStyle w:val="afc"/>
        <w:numPr>
          <w:ilvl w:val="0"/>
          <w:numId w:val="325"/>
        </w:numPr>
      </w:pPr>
      <w:r w:rsidRPr="006960FA">
        <w:rPr>
          <w:rtl/>
        </w:rPr>
        <w:t>كتاب الأموال لأبي عبيد القاسم بن سلام</w:t>
      </w:r>
      <w:r w:rsidRPr="006960FA">
        <w:rPr>
          <w:rFonts w:hint="cs"/>
          <w:rtl/>
        </w:rPr>
        <w:t xml:space="preserve">، </w:t>
      </w:r>
      <w:r w:rsidRPr="006960FA">
        <w:rPr>
          <w:rtl/>
        </w:rPr>
        <w:t>تحقيق أبي أنس سيد رجب</w:t>
      </w:r>
      <w:r w:rsidRPr="006960FA">
        <w:rPr>
          <w:rFonts w:hint="cs"/>
          <w:rtl/>
        </w:rPr>
        <w:t xml:space="preserve">، </w:t>
      </w:r>
      <w:r>
        <w:rPr>
          <w:rtl/>
        </w:rPr>
        <w:t>دار الهدي النبوي</w:t>
      </w:r>
      <w:r>
        <w:rPr>
          <w:rFonts w:hint="cs"/>
          <w:rtl/>
        </w:rPr>
        <w:t>،</w:t>
      </w:r>
      <w:r>
        <w:rPr>
          <w:rtl/>
        </w:rPr>
        <w:t xml:space="preserve"> </w:t>
      </w:r>
      <w:r>
        <w:rPr>
          <w:rFonts w:hint="cs"/>
          <w:rtl/>
        </w:rPr>
        <w:t>المنصورة،</w:t>
      </w:r>
      <w:r>
        <w:rPr>
          <w:rtl/>
        </w:rPr>
        <w:t xml:space="preserve"> ودار الفضيلة</w:t>
      </w:r>
      <w:r>
        <w:rPr>
          <w:rFonts w:hint="cs"/>
          <w:rtl/>
        </w:rPr>
        <w:t>، الرياض</w:t>
      </w:r>
      <w:r w:rsidRPr="006960FA">
        <w:rPr>
          <w:rFonts w:hint="cs"/>
          <w:rtl/>
        </w:rPr>
        <w:t xml:space="preserve">، </w:t>
      </w:r>
      <w:r w:rsidRPr="006960FA">
        <w:rPr>
          <w:rtl/>
        </w:rPr>
        <w:t>الطبعة الأولى: 1424ه</w:t>
      </w:r>
      <w:r w:rsidRPr="006960FA">
        <w:rPr>
          <w:rFonts w:hint="cs"/>
          <w:rtl/>
        </w:rPr>
        <w:t>.</w:t>
      </w:r>
    </w:p>
    <w:p w:rsidR="00382990" w:rsidRDefault="00382990" w:rsidP="000A76C7">
      <w:pPr>
        <w:pStyle w:val="afc"/>
        <w:numPr>
          <w:ilvl w:val="0"/>
          <w:numId w:val="325"/>
        </w:numPr>
      </w:pPr>
      <w:r w:rsidRPr="006960FA">
        <w:rPr>
          <w:rtl/>
        </w:rPr>
        <w:t>كتاب السنن لسعيد بن منصور بن شعبة الخراساني المكي</w:t>
      </w:r>
      <w:r w:rsidRPr="006960FA">
        <w:rPr>
          <w:rFonts w:hint="cs"/>
          <w:rtl/>
        </w:rPr>
        <w:t>، ت</w:t>
      </w:r>
      <w:r w:rsidRPr="006960FA">
        <w:rPr>
          <w:rtl/>
        </w:rPr>
        <w:t>حق</w:t>
      </w:r>
      <w:r w:rsidRPr="006960FA">
        <w:rPr>
          <w:rFonts w:hint="cs"/>
          <w:rtl/>
        </w:rPr>
        <w:t>ي</w:t>
      </w:r>
      <w:r w:rsidRPr="006960FA">
        <w:rPr>
          <w:rtl/>
        </w:rPr>
        <w:t>ق و</w:t>
      </w:r>
      <w:r w:rsidRPr="006960FA">
        <w:rPr>
          <w:rFonts w:hint="cs"/>
          <w:rtl/>
        </w:rPr>
        <w:t>ت</w:t>
      </w:r>
      <w:r w:rsidRPr="006960FA">
        <w:rPr>
          <w:rtl/>
        </w:rPr>
        <w:t>عل</w:t>
      </w:r>
      <w:r w:rsidRPr="006960FA">
        <w:rPr>
          <w:rFonts w:hint="cs"/>
          <w:rtl/>
        </w:rPr>
        <w:t>ي</w:t>
      </w:r>
      <w:r w:rsidRPr="006960FA">
        <w:rPr>
          <w:rtl/>
        </w:rPr>
        <w:t>ق: حبيب الرحمن الأعظمي</w:t>
      </w:r>
      <w:r w:rsidRPr="006960FA">
        <w:rPr>
          <w:rFonts w:hint="cs"/>
          <w:rtl/>
        </w:rPr>
        <w:t xml:space="preserve">، </w:t>
      </w:r>
      <w:r w:rsidRPr="006960FA">
        <w:rPr>
          <w:rtl/>
        </w:rPr>
        <w:t>الدار السلفية بالهند</w:t>
      </w:r>
      <w:r w:rsidRPr="006960FA">
        <w:rPr>
          <w:rFonts w:hint="cs"/>
          <w:rtl/>
        </w:rPr>
        <w:t xml:space="preserve">، </w:t>
      </w:r>
      <w:r w:rsidRPr="006960FA">
        <w:rPr>
          <w:rtl/>
        </w:rPr>
        <w:t>الطبعة الأولى: 1403ه.</w:t>
      </w:r>
    </w:p>
    <w:p w:rsidR="00382990" w:rsidRPr="006960FA" w:rsidRDefault="00382990" w:rsidP="000A76C7">
      <w:pPr>
        <w:pStyle w:val="afc"/>
        <w:numPr>
          <w:ilvl w:val="0"/>
          <w:numId w:val="325"/>
        </w:numPr>
      </w:pPr>
      <w:r>
        <w:rPr>
          <w:rFonts w:hint="cs"/>
          <w:rtl/>
        </w:rPr>
        <w:t>كتاب العلم، إعداد: فهد بن ناصر السليمان، دار الثريا، الرياض، الطبعة الأولى: 1420ه.</w:t>
      </w:r>
    </w:p>
    <w:p w:rsidR="00382990" w:rsidRDefault="00382990" w:rsidP="000A76C7">
      <w:pPr>
        <w:pStyle w:val="afc"/>
        <w:numPr>
          <w:ilvl w:val="0"/>
          <w:numId w:val="325"/>
        </w:numPr>
      </w:pPr>
      <w:r>
        <w:rPr>
          <w:rFonts w:hint="cs"/>
          <w:rtl/>
        </w:rPr>
        <w:t>كشف الأسرار عن أصول فخر الإسلام البزدوي لعلاء الدين عبد العزيز بن أحمد البخاري، ضبط وتعليق وتخريج: دار الكتاب العربي، بيروت، الطبعة الثانية: 1414ه.</w:t>
      </w:r>
    </w:p>
    <w:p w:rsidR="00382990" w:rsidRDefault="00382990" w:rsidP="000A76C7">
      <w:pPr>
        <w:pStyle w:val="afc"/>
        <w:numPr>
          <w:ilvl w:val="0"/>
          <w:numId w:val="325"/>
        </w:numPr>
      </w:pPr>
      <w:r w:rsidRPr="006960FA">
        <w:rPr>
          <w:rtl/>
        </w:rPr>
        <w:t>الكليات الفقهية لأبي عبد الله المقري</w:t>
      </w:r>
      <w:r w:rsidRPr="006960FA">
        <w:rPr>
          <w:rFonts w:hint="cs"/>
          <w:rtl/>
        </w:rPr>
        <w:t xml:space="preserve">، </w:t>
      </w:r>
      <w:r w:rsidRPr="006960FA">
        <w:rPr>
          <w:rtl/>
        </w:rPr>
        <w:t>تحقيق محمد بن الهادي أبو الأجفان</w:t>
      </w:r>
      <w:r w:rsidRPr="006960FA">
        <w:rPr>
          <w:rFonts w:hint="cs"/>
          <w:rtl/>
        </w:rPr>
        <w:t xml:space="preserve">، </w:t>
      </w:r>
      <w:r w:rsidRPr="006960FA">
        <w:rPr>
          <w:rtl/>
        </w:rPr>
        <w:t>الدار العربية للكتاب</w:t>
      </w:r>
      <w:r w:rsidRPr="006960FA">
        <w:rPr>
          <w:rFonts w:hint="cs"/>
          <w:rtl/>
        </w:rPr>
        <w:t>:</w:t>
      </w:r>
      <w:r w:rsidRPr="006960FA">
        <w:rPr>
          <w:rtl/>
        </w:rPr>
        <w:t xml:space="preserve">1997م. </w:t>
      </w:r>
    </w:p>
    <w:p w:rsidR="00382990" w:rsidRPr="00B41E0F" w:rsidRDefault="00382990" w:rsidP="000A76C7">
      <w:pPr>
        <w:pStyle w:val="afc"/>
        <w:numPr>
          <w:ilvl w:val="0"/>
          <w:numId w:val="325"/>
        </w:numPr>
      </w:pPr>
      <w:r w:rsidRPr="00B41E0F">
        <w:rPr>
          <w:rFonts w:ascii="Traditional Arabic" w:hAnsi="Traditional Arabic" w:hint="cs"/>
          <w:rtl/>
        </w:rPr>
        <w:t>الكوكب السائرة بأعيان المائة العاشرة لنجم الدين محمد بن محمد الغزي، وضع حواشيه: خليل المنصور، دار الكتب العلمية، بيروت، الطبعة الأولى: 1418.</w:t>
      </w:r>
    </w:p>
    <w:p w:rsidR="00382990" w:rsidRPr="006960FA" w:rsidRDefault="00382990" w:rsidP="000A76C7">
      <w:pPr>
        <w:pStyle w:val="afc"/>
        <w:numPr>
          <w:ilvl w:val="0"/>
          <w:numId w:val="325"/>
        </w:numPr>
        <w:rPr>
          <w:rtl/>
        </w:rPr>
      </w:pPr>
      <w:r w:rsidRPr="006960FA">
        <w:rPr>
          <w:rFonts w:hint="cs"/>
          <w:rtl/>
        </w:rPr>
        <w:t xml:space="preserve"> لسان العرب لأبي</w:t>
      </w:r>
      <w:r w:rsidRPr="006960FA">
        <w:rPr>
          <w:rtl/>
        </w:rPr>
        <w:t xml:space="preserve"> الفضل جمال الدين م</w:t>
      </w:r>
      <w:r w:rsidRPr="006960FA">
        <w:rPr>
          <w:rFonts w:hint="cs"/>
          <w:rtl/>
        </w:rPr>
        <w:t>ح</w:t>
      </w:r>
      <w:r w:rsidRPr="006960FA">
        <w:rPr>
          <w:rtl/>
        </w:rPr>
        <w:t>مد بن مكرم بن منظور ا</w:t>
      </w:r>
      <w:r w:rsidRPr="006960FA">
        <w:rPr>
          <w:rFonts w:hint="cs"/>
          <w:rtl/>
        </w:rPr>
        <w:t>لإ</w:t>
      </w:r>
      <w:r w:rsidRPr="006960FA">
        <w:rPr>
          <w:rtl/>
        </w:rPr>
        <w:t>فريق</w:t>
      </w:r>
      <w:r w:rsidRPr="006960FA">
        <w:rPr>
          <w:rFonts w:hint="cs"/>
          <w:rtl/>
        </w:rPr>
        <w:t>ي، تحقيق عبد الله علي الكبير وآخرون، دار المعارف.</w:t>
      </w:r>
    </w:p>
    <w:p w:rsidR="00382990" w:rsidRPr="006960FA" w:rsidRDefault="00382990" w:rsidP="000A76C7">
      <w:pPr>
        <w:pStyle w:val="afc"/>
        <w:numPr>
          <w:ilvl w:val="0"/>
          <w:numId w:val="325"/>
        </w:numPr>
      </w:pPr>
      <w:r w:rsidRPr="006960FA">
        <w:rPr>
          <w:rtl/>
        </w:rPr>
        <w:t>لقاءات الباب المفتوح، إعداد :د. عبدالله بن محمد الطيا</w:t>
      </w:r>
      <w:r w:rsidRPr="006960FA">
        <w:rPr>
          <w:rFonts w:hint="cs"/>
          <w:rtl/>
        </w:rPr>
        <w:t>ر</w:t>
      </w:r>
      <w:r w:rsidRPr="006960FA">
        <w:rPr>
          <w:rtl/>
        </w:rPr>
        <w:t>، دار البصيرة.</w:t>
      </w:r>
    </w:p>
    <w:p w:rsidR="00382990" w:rsidRDefault="00382990" w:rsidP="000A76C7">
      <w:pPr>
        <w:pStyle w:val="afc"/>
        <w:numPr>
          <w:ilvl w:val="0"/>
          <w:numId w:val="325"/>
        </w:numPr>
      </w:pPr>
      <w:r>
        <w:rPr>
          <w:rFonts w:hint="cs"/>
          <w:rtl/>
        </w:rPr>
        <w:t>مبدأ الرضا في العقود دراسة مقارنة في الفقه الإسلامي والقانون المدني: ( الروماني والفرنسي والإنجليزي والمصري والعراقي) لعلي محيي الدين علي القره داغي، دار البشائر الإسلامية، بيروت، الطبعة الأولى: 1406ه.</w:t>
      </w:r>
    </w:p>
    <w:p w:rsidR="00382990" w:rsidRDefault="00382990" w:rsidP="000A76C7">
      <w:pPr>
        <w:pStyle w:val="afc"/>
        <w:numPr>
          <w:ilvl w:val="0"/>
          <w:numId w:val="325"/>
        </w:numPr>
      </w:pPr>
      <w:r>
        <w:rPr>
          <w:rFonts w:hint="cs"/>
          <w:rtl/>
        </w:rPr>
        <w:t xml:space="preserve">مجلة الأحكام الشرعية على مذهب  الإمام أحمد بن حنبل الشيباني لأحمد بن عبد الله القاري، دراسة وتحقيق: عبد الوهاب أبو سليمان ومحمد إبراهيم أحمد علي، مطبوعات </w:t>
      </w:r>
      <w:r>
        <w:rPr>
          <w:rFonts w:hint="cs"/>
          <w:rtl/>
        </w:rPr>
        <w:lastRenderedPageBreak/>
        <w:t>تهامة، جدة، الطبعة الأولى: 1401ه.</w:t>
      </w:r>
    </w:p>
    <w:p w:rsidR="00382990" w:rsidRDefault="00382990" w:rsidP="000A76C7">
      <w:pPr>
        <w:pStyle w:val="afc"/>
        <w:numPr>
          <w:ilvl w:val="0"/>
          <w:numId w:val="325"/>
        </w:numPr>
      </w:pPr>
      <w:r>
        <w:rPr>
          <w:rFonts w:hint="cs"/>
          <w:rtl/>
        </w:rPr>
        <w:t>مجلة الأحكام العدلية، المطبعة الأدبية، بيروت، 1302ه.</w:t>
      </w:r>
    </w:p>
    <w:p w:rsidR="00382990" w:rsidRDefault="00382990" w:rsidP="000A76C7">
      <w:pPr>
        <w:pStyle w:val="afc"/>
        <w:numPr>
          <w:ilvl w:val="0"/>
          <w:numId w:val="325"/>
        </w:numPr>
      </w:pPr>
      <w:r w:rsidRPr="006960FA">
        <w:rPr>
          <w:rFonts w:hint="cs"/>
          <w:rtl/>
        </w:rPr>
        <w:t xml:space="preserve">مجموع الفتاوى لشيخ الإسلام تقي الدين أحمد بن عبد الحليم بن عبد السلام بن تيمية، طبع مجمع الملك فهد لطباعة المصحف الشريف، جمع: عبد الرحمن بن محمد قاسم. </w:t>
      </w:r>
    </w:p>
    <w:p w:rsidR="00382990" w:rsidRDefault="00382990" w:rsidP="000A76C7">
      <w:pPr>
        <w:pStyle w:val="afc"/>
        <w:numPr>
          <w:ilvl w:val="0"/>
          <w:numId w:val="325"/>
        </w:numPr>
      </w:pPr>
      <w:r>
        <w:rPr>
          <w:rFonts w:hint="cs"/>
          <w:rtl/>
        </w:rPr>
        <w:t>المجموع المذهب في قواعد المذهب لصلاح الدين خليل كيكلدي العلائي، دراسة وتحقيق: مجيد علي العبيدي وأحمد خضير عباس، دار عمار، عمانن والمكتبة المكية، مكة، 1425ه.</w:t>
      </w:r>
    </w:p>
    <w:p w:rsidR="00382990" w:rsidRDefault="00382990" w:rsidP="000A76C7">
      <w:pPr>
        <w:pStyle w:val="afc"/>
        <w:numPr>
          <w:ilvl w:val="0"/>
          <w:numId w:val="325"/>
        </w:numPr>
      </w:pPr>
      <w:r>
        <w:rPr>
          <w:rFonts w:hint="cs"/>
          <w:rtl/>
        </w:rPr>
        <w:t xml:space="preserve"> المجموع شرح المهذب لأبي زكريا محيي الدين يحي بن شرف النووي، تحقيق: محمد نجيب المطيعي، دار عالم الكتب، الرياض، طبعة خاصة: 1423ه.</w:t>
      </w:r>
    </w:p>
    <w:p w:rsidR="00382990" w:rsidRPr="006960FA" w:rsidRDefault="00382990" w:rsidP="000A76C7">
      <w:pPr>
        <w:pStyle w:val="afc"/>
        <w:numPr>
          <w:ilvl w:val="0"/>
          <w:numId w:val="325"/>
        </w:numPr>
      </w:pPr>
      <w:r w:rsidRPr="006960FA">
        <w:rPr>
          <w:rtl/>
        </w:rPr>
        <w:t>مجموع فتاوى ورسائل فضيلة الشيخ محمد بن صالح العثيمين، جمع وترتيب: فهد بن ناصر السليمان، دار الثريا، 1424هـ.</w:t>
      </w:r>
    </w:p>
    <w:p w:rsidR="00382990" w:rsidRDefault="00382990" w:rsidP="00D7400D">
      <w:pPr>
        <w:pStyle w:val="afc"/>
        <w:numPr>
          <w:ilvl w:val="0"/>
          <w:numId w:val="325"/>
        </w:numPr>
      </w:pPr>
      <w:r>
        <w:rPr>
          <w:rFonts w:hint="cs"/>
          <w:rtl/>
        </w:rPr>
        <w:t xml:space="preserve">المحصول في علم أصول الفقه لفخر الدين محمد بن عمر الرازي، تحقيق: جابر فياض العلواني، مؤسسة الرسالة، بيروت، الطبعة الثالثة: 1418ه. </w:t>
      </w:r>
    </w:p>
    <w:p w:rsidR="00382990" w:rsidRDefault="00382990" w:rsidP="000A76C7">
      <w:pPr>
        <w:pStyle w:val="afc"/>
        <w:numPr>
          <w:ilvl w:val="0"/>
          <w:numId w:val="325"/>
        </w:numPr>
      </w:pPr>
      <w:r>
        <w:rPr>
          <w:rFonts w:hint="cs"/>
          <w:rtl/>
        </w:rPr>
        <w:t>المحلى لأبي محمد علي بن أحمد بن سعيد بن حزم، تحقيق: محمد منير الدمشقي، إدارة الطباعة المنيرية، مصر، الطبعة الأولى: 1351ه.</w:t>
      </w:r>
    </w:p>
    <w:p w:rsidR="00382990" w:rsidRDefault="00382990" w:rsidP="000A76C7">
      <w:pPr>
        <w:pStyle w:val="afc"/>
        <w:numPr>
          <w:ilvl w:val="0"/>
          <w:numId w:val="325"/>
        </w:numPr>
      </w:pPr>
      <w:r>
        <w:rPr>
          <w:rFonts w:hint="cs"/>
          <w:rtl/>
        </w:rPr>
        <w:t>المختصر في أصول الفقه على مذهب  الإمام أحمد بن حنبل لعلاء الدين أبي الحسن علي بن بن محمد البعلي، المعروف بابن اللحام، تحقيق: محمد مظهر بقا، طبع جامعة الملم عبد العزيز، مكة، 1400ه.</w:t>
      </w:r>
    </w:p>
    <w:p w:rsidR="00382990" w:rsidRDefault="00382990" w:rsidP="000A76C7">
      <w:pPr>
        <w:pStyle w:val="afc"/>
        <w:numPr>
          <w:ilvl w:val="0"/>
          <w:numId w:val="325"/>
        </w:numPr>
      </w:pPr>
      <w:r w:rsidRPr="006960FA">
        <w:rPr>
          <w:rFonts w:hint="cs"/>
          <w:rtl/>
        </w:rPr>
        <w:t>مختصر من قواعد العلائي وكلام الأسنوي</w:t>
      </w:r>
      <w:r>
        <w:rPr>
          <w:rFonts w:hint="cs"/>
          <w:rtl/>
        </w:rPr>
        <w:t xml:space="preserve"> </w:t>
      </w:r>
      <w:r w:rsidRPr="006960FA">
        <w:rPr>
          <w:rFonts w:hint="cs"/>
          <w:rtl/>
        </w:rPr>
        <w:t>لأبي الثناء نور الدين محمود بن أحمد الحموي الفيومي المعروف بابن خطيب الدهشة، دراسة وتحقيق: مصطفى محمود الينجويني، طبع اللجنة الوطنية للاحتفال بمطلع القرن الخامس الهجري في الجمهورية العراقية.</w:t>
      </w:r>
    </w:p>
    <w:p w:rsidR="00382990" w:rsidRDefault="00382990" w:rsidP="000A76C7">
      <w:pPr>
        <w:pStyle w:val="afc"/>
        <w:numPr>
          <w:ilvl w:val="0"/>
          <w:numId w:val="325"/>
        </w:numPr>
      </w:pPr>
      <w:r>
        <w:rPr>
          <w:rFonts w:hint="cs"/>
          <w:rtl/>
        </w:rPr>
        <w:t>مختصر منتهى السؤل والأمل في علمي الأصول والجدل لجمال الدين أبي عمرو عثمان بن عمر بن أبي بكر، المعروف ب"ابن الحاجب"، دراسة وتحقيق وتعليق: نذير حمادو، الشركة الجزائرية اللبنانية، الجزائر، ودار ابن حزم، بيروت، الطبعة الأولى: 1427ه.</w:t>
      </w:r>
    </w:p>
    <w:p w:rsidR="00382990" w:rsidRPr="006960FA" w:rsidRDefault="00382990" w:rsidP="000A76C7">
      <w:pPr>
        <w:pStyle w:val="afc"/>
        <w:numPr>
          <w:ilvl w:val="0"/>
          <w:numId w:val="325"/>
        </w:numPr>
        <w:rPr>
          <w:rtl/>
        </w:rPr>
      </w:pPr>
      <w:r>
        <w:rPr>
          <w:rFonts w:hint="cs"/>
          <w:rtl/>
        </w:rPr>
        <w:t>المدخل الفقهي العام لمصطفى أحمد الزرقا، دار القلم، دمشق، الطبعة الثانية: 1425ه.</w:t>
      </w:r>
    </w:p>
    <w:p w:rsidR="00382990" w:rsidRPr="00AE5091" w:rsidRDefault="00382990" w:rsidP="00AE5091">
      <w:pPr>
        <w:pStyle w:val="afc"/>
        <w:widowControl/>
        <w:numPr>
          <w:ilvl w:val="0"/>
          <w:numId w:val="325"/>
        </w:numPr>
        <w:autoSpaceDE w:val="0"/>
        <w:autoSpaceDN w:val="0"/>
        <w:adjustRightInd w:val="0"/>
        <w:jc w:val="left"/>
        <w:rPr>
          <w:rFonts w:ascii="Traditional Arabic" w:hAnsi="Traditional Arabic"/>
          <w:noProof w:val="0"/>
          <w:color w:val="auto"/>
          <w:lang w:eastAsia="en-US" w:bidi="ar-DZ"/>
        </w:rPr>
      </w:pPr>
      <w:r w:rsidRPr="00AE5091">
        <w:rPr>
          <w:rFonts w:ascii="Traditional Arabic" w:hAnsi="Traditional Arabic"/>
          <w:noProof w:val="0"/>
          <w:color w:val="auto"/>
          <w:rtl/>
          <w:lang w:eastAsia="en-US" w:bidi="ar-DZ"/>
        </w:rPr>
        <w:lastRenderedPageBreak/>
        <w:t xml:space="preserve">المدخل المفصل </w:t>
      </w:r>
      <w:r w:rsidRPr="00AE5091">
        <w:rPr>
          <w:rFonts w:ascii="Traditional Arabic" w:hAnsi="Traditional Arabic" w:hint="cs"/>
          <w:noProof w:val="0"/>
          <w:color w:val="auto"/>
          <w:rtl/>
          <w:lang w:eastAsia="en-US"/>
        </w:rPr>
        <w:t>إ</w:t>
      </w:r>
      <w:r w:rsidRPr="00AE5091">
        <w:rPr>
          <w:rFonts w:ascii="Traditional Arabic" w:hAnsi="Traditional Arabic"/>
          <w:noProof w:val="0"/>
          <w:color w:val="auto"/>
          <w:rtl/>
          <w:lang w:eastAsia="en-US"/>
        </w:rPr>
        <w:t>ل</w:t>
      </w:r>
      <w:r w:rsidRPr="00AE5091">
        <w:rPr>
          <w:rFonts w:ascii="Traditional Arabic" w:hAnsi="Traditional Arabic" w:hint="cs"/>
          <w:noProof w:val="0"/>
          <w:color w:val="auto"/>
          <w:rtl/>
          <w:lang w:eastAsia="en-US"/>
        </w:rPr>
        <w:t>ى فقه</w:t>
      </w:r>
      <w:r w:rsidRPr="00AE5091">
        <w:rPr>
          <w:rFonts w:ascii="Traditional Arabic" w:hAnsi="Traditional Arabic"/>
          <w:noProof w:val="0"/>
          <w:color w:val="auto"/>
          <w:rtl/>
          <w:lang w:eastAsia="en-US" w:bidi="ar-DZ"/>
        </w:rPr>
        <w:t xml:space="preserve">  </w:t>
      </w:r>
      <w:r>
        <w:rPr>
          <w:rFonts w:ascii="Traditional Arabic" w:hAnsi="Traditional Arabic" w:hint="cs"/>
          <w:noProof w:val="0"/>
          <w:color w:val="auto"/>
          <w:rtl/>
          <w:lang w:eastAsia="en-US"/>
        </w:rPr>
        <w:t xml:space="preserve">الإمام </w:t>
      </w:r>
      <w:r w:rsidRPr="00AE5091">
        <w:rPr>
          <w:rFonts w:ascii="Traditional Arabic" w:hAnsi="Traditional Arabic"/>
          <w:noProof w:val="0"/>
          <w:color w:val="auto"/>
          <w:rtl/>
          <w:lang w:eastAsia="en-US" w:bidi="ar-DZ"/>
        </w:rPr>
        <w:t>أحمد</w:t>
      </w:r>
      <w:r w:rsidRPr="00AE5091">
        <w:rPr>
          <w:rFonts w:ascii="Traditional Arabic" w:hAnsi="Traditional Arabic" w:hint="cs"/>
          <w:noProof w:val="0"/>
          <w:color w:val="auto"/>
          <w:rtl/>
          <w:lang w:eastAsia="en-US" w:bidi="ar-DZ"/>
        </w:rPr>
        <w:t xml:space="preserve"> </w:t>
      </w:r>
      <w:r w:rsidRPr="00AE5091">
        <w:rPr>
          <w:rFonts w:ascii="Traditional Arabic" w:hAnsi="Traditional Arabic" w:hint="cs"/>
          <w:noProof w:val="0"/>
          <w:color w:val="auto"/>
          <w:rtl/>
          <w:lang w:eastAsia="en-US"/>
        </w:rPr>
        <w:t>بن حنبل وتخريجات الأصحاب</w:t>
      </w:r>
      <w:r w:rsidRPr="00AE5091">
        <w:rPr>
          <w:rFonts w:ascii="Traditional Arabic" w:hAnsi="Traditional Arabic"/>
          <w:noProof w:val="0"/>
          <w:color w:val="auto"/>
          <w:rtl/>
          <w:lang w:eastAsia="en-US" w:bidi="ar-DZ"/>
        </w:rPr>
        <w:t xml:space="preserve">  </w:t>
      </w:r>
      <w:r w:rsidRPr="00AE5091">
        <w:rPr>
          <w:rFonts w:ascii="Traditional Arabic" w:hAnsi="Traditional Arabic" w:hint="cs"/>
          <w:noProof w:val="0"/>
          <w:color w:val="auto"/>
          <w:rtl/>
          <w:lang w:eastAsia="en-US" w:bidi="ar-DZ"/>
        </w:rPr>
        <w:t>ل</w:t>
      </w:r>
      <w:r w:rsidRPr="00AE5091">
        <w:rPr>
          <w:rFonts w:ascii="Traditional Arabic" w:hAnsi="Traditional Arabic"/>
          <w:noProof w:val="0"/>
          <w:color w:val="auto"/>
          <w:rtl/>
          <w:lang w:eastAsia="en-US" w:bidi="ar-DZ"/>
        </w:rPr>
        <w:t xml:space="preserve">بكر </w:t>
      </w:r>
      <w:r w:rsidRPr="00AE5091">
        <w:rPr>
          <w:rFonts w:ascii="Traditional Arabic" w:hAnsi="Traditional Arabic" w:hint="cs"/>
          <w:noProof w:val="0"/>
          <w:color w:val="auto"/>
          <w:rtl/>
          <w:lang w:eastAsia="en-US" w:bidi="ar-DZ"/>
        </w:rPr>
        <w:t xml:space="preserve">بن عبد الله </w:t>
      </w:r>
      <w:r w:rsidRPr="00AE5091">
        <w:rPr>
          <w:rFonts w:ascii="Traditional Arabic" w:hAnsi="Traditional Arabic"/>
          <w:noProof w:val="0"/>
          <w:color w:val="auto"/>
          <w:rtl/>
          <w:lang w:eastAsia="en-US" w:bidi="ar-DZ"/>
        </w:rPr>
        <w:t>أبو زيد</w:t>
      </w:r>
      <w:r w:rsidRPr="00AE5091">
        <w:rPr>
          <w:rFonts w:ascii="Traditional Arabic" w:hAnsi="Traditional Arabic" w:hint="cs"/>
          <w:noProof w:val="0"/>
          <w:color w:val="auto"/>
          <w:rtl/>
          <w:lang w:eastAsia="en-US" w:bidi="ar-DZ"/>
        </w:rPr>
        <w:t>،</w:t>
      </w:r>
      <w:r w:rsidRPr="00AE5091">
        <w:rPr>
          <w:rFonts w:ascii="Traditional Arabic" w:hAnsi="Traditional Arabic"/>
          <w:noProof w:val="0"/>
          <w:color w:val="auto"/>
          <w:rtl/>
          <w:lang w:eastAsia="en-US" w:bidi="ar-DZ"/>
        </w:rPr>
        <w:t xml:space="preserve"> دار العاصم</w:t>
      </w:r>
      <w:r w:rsidRPr="00AE5091">
        <w:rPr>
          <w:rFonts w:ascii="Traditional Arabic" w:hAnsi="Traditional Arabic" w:hint="cs"/>
          <w:noProof w:val="0"/>
          <w:color w:val="auto"/>
          <w:rtl/>
          <w:lang w:eastAsia="en-US"/>
        </w:rPr>
        <w:t>ة، الرياض،</w:t>
      </w:r>
      <w:r w:rsidRPr="00AE5091">
        <w:rPr>
          <w:rFonts w:ascii="Traditional Arabic" w:hAnsi="Traditional Arabic"/>
          <w:noProof w:val="0"/>
          <w:color w:val="auto"/>
          <w:rtl/>
          <w:lang w:eastAsia="en-US" w:bidi="ar-DZ"/>
        </w:rPr>
        <w:t xml:space="preserve"> الطبعة</w:t>
      </w:r>
      <w:r w:rsidRPr="00AE5091">
        <w:rPr>
          <w:rFonts w:ascii="Traditional Arabic" w:hAnsi="Traditional Arabic" w:hint="cs"/>
          <w:noProof w:val="0"/>
          <w:color w:val="auto"/>
          <w:rtl/>
          <w:lang w:eastAsia="en-US"/>
        </w:rPr>
        <w:t xml:space="preserve"> الأولى: </w:t>
      </w:r>
      <w:r w:rsidRPr="00AE5091">
        <w:rPr>
          <w:rFonts w:ascii="Traditional Arabic" w:hAnsi="Traditional Arabic"/>
          <w:noProof w:val="0"/>
          <w:color w:val="auto"/>
          <w:rtl/>
          <w:lang w:eastAsia="en-US" w:bidi="ar-DZ"/>
        </w:rPr>
        <w:t xml:space="preserve">  </w:t>
      </w:r>
      <w:r w:rsidRPr="00AE5091">
        <w:rPr>
          <w:rFonts w:ascii="Traditional Arabic" w:hAnsi="Traditional Arabic" w:hint="cs"/>
          <w:noProof w:val="0"/>
          <w:color w:val="auto"/>
          <w:rtl/>
          <w:lang w:eastAsia="en-US"/>
        </w:rPr>
        <w:t>1417ه.</w:t>
      </w:r>
    </w:p>
    <w:p w:rsidR="00382990" w:rsidRDefault="00382990" w:rsidP="000A76C7">
      <w:pPr>
        <w:pStyle w:val="afc"/>
        <w:numPr>
          <w:ilvl w:val="0"/>
          <w:numId w:val="325"/>
        </w:numPr>
      </w:pPr>
      <w:r>
        <w:rPr>
          <w:rFonts w:hint="cs"/>
          <w:rtl/>
        </w:rPr>
        <w:t>المدخل لدراسة الشريعة الإسلامية لعبد الكريم زيدان، مكتبة القدس، بغداد، ومؤسسة الرسالة، بيروت، الطبعة السادسة: 1402ه.</w:t>
      </w:r>
    </w:p>
    <w:p w:rsidR="00382990" w:rsidRPr="006960FA" w:rsidRDefault="00382990" w:rsidP="000A76C7">
      <w:pPr>
        <w:pStyle w:val="afc"/>
        <w:numPr>
          <w:ilvl w:val="0"/>
          <w:numId w:val="325"/>
        </w:numPr>
        <w:rPr>
          <w:rtl/>
        </w:rPr>
      </w:pPr>
      <w:r>
        <w:rPr>
          <w:rFonts w:hint="cs"/>
          <w:rtl/>
        </w:rPr>
        <w:t>مذكرة أصول الفقه على روضة الناظر لمحمد الأمين بن المختار الشنقيطي، المكتبة السلفية، المدينة المنورة.</w:t>
      </w:r>
    </w:p>
    <w:p w:rsidR="00382990" w:rsidRDefault="00382990" w:rsidP="000A76C7">
      <w:pPr>
        <w:pStyle w:val="afc"/>
        <w:numPr>
          <w:ilvl w:val="0"/>
          <w:numId w:val="325"/>
        </w:numPr>
      </w:pPr>
      <w:r>
        <w:rPr>
          <w:rFonts w:hint="cs"/>
          <w:rtl/>
        </w:rPr>
        <w:t>مرآة الأصول شرح مرقاة الوصول لمنلا خسرو، الشركة الصحافية العثمانية، 1321ه.</w:t>
      </w:r>
    </w:p>
    <w:p w:rsidR="00382990" w:rsidRDefault="00382990" w:rsidP="000A76C7">
      <w:pPr>
        <w:pStyle w:val="afc"/>
        <w:numPr>
          <w:ilvl w:val="0"/>
          <w:numId w:val="325"/>
        </w:numPr>
      </w:pPr>
      <w:r w:rsidRPr="006960FA">
        <w:rPr>
          <w:rtl/>
        </w:rPr>
        <w:t>المستدرك على الصحيحين لأبي عبد الله الحاكم النيسابوري وبذيله تتبع أوهام الحاكم التي سكت عليها الذهبي لأبي عبد الرحمن مقبل بن هادي الوادعي</w:t>
      </w:r>
      <w:r w:rsidRPr="006960FA">
        <w:rPr>
          <w:rFonts w:hint="cs"/>
          <w:rtl/>
        </w:rPr>
        <w:t>،</w:t>
      </w:r>
      <w:r w:rsidRPr="006960FA">
        <w:rPr>
          <w:rtl/>
        </w:rPr>
        <w:t xml:space="preserve"> دار الحرمين للطباعة والنش</w:t>
      </w:r>
      <w:r w:rsidRPr="006960FA">
        <w:rPr>
          <w:rFonts w:hint="cs"/>
          <w:rtl/>
        </w:rPr>
        <w:t>ر،</w:t>
      </w:r>
      <w:r w:rsidRPr="006960FA">
        <w:rPr>
          <w:rtl/>
        </w:rPr>
        <w:t xml:space="preserve"> الطبعة الأولى:  1417ه.</w:t>
      </w:r>
    </w:p>
    <w:p w:rsidR="00382990" w:rsidRDefault="00382990" w:rsidP="000A76C7">
      <w:pPr>
        <w:pStyle w:val="afc"/>
        <w:numPr>
          <w:ilvl w:val="0"/>
          <w:numId w:val="325"/>
        </w:numPr>
      </w:pPr>
      <w:r>
        <w:rPr>
          <w:rFonts w:hint="cs"/>
          <w:rtl/>
        </w:rPr>
        <w:t xml:space="preserve">المستدرك على مجموع فتاوى شيخ الإسلام ابن تيمية، جمع وترتيب: محمد بن عبد الرحمن بن محمد بن قاسم، الطبعة الأولى: 1418ه. </w:t>
      </w:r>
    </w:p>
    <w:p w:rsidR="00382990" w:rsidRPr="006960FA" w:rsidRDefault="00382990" w:rsidP="000A76C7">
      <w:pPr>
        <w:pStyle w:val="afc"/>
        <w:numPr>
          <w:ilvl w:val="0"/>
          <w:numId w:val="325"/>
        </w:numPr>
        <w:rPr>
          <w:rtl/>
        </w:rPr>
      </w:pPr>
      <w:r>
        <w:rPr>
          <w:rFonts w:hint="cs"/>
          <w:rtl/>
        </w:rPr>
        <w:t>المستصفى من علم الأصول لأبي حامد محمد بن محمد الغزالي، دراسة وتحقيق: حمزة زهير حافظ.</w:t>
      </w:r>
    </w:p>
    <w:p w:rsidR="00382990" w:rsidRPr="006960FA" w:rsidRDefault="00382990" w:rsidP="000A76C7">
      <w:pPr>
        <w:pStyle w:val="afc"/>
        <w:numPr>
          <w:ilvl w:val="0"/>
          <w:numId w:val="325"/>
        </w:numPr>
        <w:rPr>
          <w:rtl/>
        </w:rPr>
      </w:pPr>
      <w:r w:rsidRPr="006960FA">
        <w:rPr>
          <w:rtl/>
        </w:rPr>
        <w:t xml:space="preserve">مسند </w:t>
      </w:r>
      <w:r>
        <w:rPr>
          <w:rFonts w:hint="cs"/>
          <w:rtl/>
        </w:rPr>
        <w:t>الإمام</w:t>
      </w:r>
      <w:r w:rsidRPr="006960FA">
        <w:rPr>
          <w:rtl/>
        </w:rPr>
        <w:t xml:space="preserve"> أحمد بن حنبل</w:t>
      </w:r>
      <w:r w:rsidRPr="006960FA">
        <w:rPr>
          <w:rFonts w:hint="cs"/>
          <w:rtl/>
        </w:rPr>
        <w:t>، ل</w:t>
      </w:r>
      <w:r w:rsidRPr="006960FA">
        <w:rPr>
          <w:rtl/>
        </w:rPr>
        <w:t>أب</w:t>
      </w:r>
      <w:r w:rsidRPr="006960FA">
        <w:rPr>
          <w:rFonts w:hint="cs"/>
          <w:rtl/>
        </w:rPr>
        <w:t>ي</w:t>
      </w:r>
      <w:r w:rsidRPr="006960FA">
        <w:rPr>
          <w:rtl/>
        </w:rPr>
        <w:t xml:space="preserve"> عبد الله أحمد بن محمد بن حنبل الشيباني</w:t>
      </w:r>
      <w:r w:rsidRPr="006960FA">
        <w:rPr>
          <w:rFonts w:hint="cs"/>
          <w:rtl/>
        </w:rPr>
        <w:t>، ت</w:t>
      </w:r>
      <w:r w:rsidRPr="006960FA">
        <w:rPr>
          <w:rtl/>
        </w:rPr>
        <w:t>حق</w:t>
      </w:r>
      <w:r w:rsidRPr="006960FA">
        <w:rPr>
          <w:rFonts w:hint="cs"/>
          <w:rtl/>
        </w:rPr>
        <w:t>ي</w:t>
      </w:r>
      <w:r w:rsidRPr="006960FA">
        <w:rPr>
          <w:rtl/>
        </w:rPr>
        <w:t xml:space="preserve">ق: شعيب الأرنؤوط </w:t>
      </w:r>
      <w:r w:rsidRPr="006960FA">
        <w:rPr>
          <w:rFonts w:hint="cs"/>
          <w:rtl/>
        </w:rPr>
        <w:t>-</w:t>
      </w:r>
      <w:r w:rsidRPr="006960FA">
        <w:rPr>
          <w:rtl/>
        </w:rPr>
        <w:t xml:space="preserve"> عادل مرشد، وآخرون</w:t>
      </w:r>
      <w:r w:rsidRPr="006960FA">
        <w:rPr>
          <w:rFonts w:hint="cs"/>
          <w:rtl/>
        </w:rPr>
        <w:t xml:space="preserve">، </w:t>
      </w:r>
      <w:r w:rsidRPr="006960FA">
        <w:rPr>
          <w:rtl/>
        </w:rPr>
        <w:t>مؤسسة الرسالة</w:t>
      </w:r>
      <w:r w:rsidRPr="006960FA">
        <w:rPr>
          <w:rFonts w:hint="cs"/>
          <w:rtl/>
        </w:rPr>
        <w:t xml:space="preserve">، </w:t>
      </w:r>
      <w:r w:rsidRPr="006960FA">
        <w:rPr>
          <w:rtl/>
        </w:rPr>
        <w:t>الطبعة: الأولى</w:t>
      </w:r>
      <w:r w:rsidRPr="006960FA">
        <w:rPr>
          <w:rFonts w:hint="cs"/>
          <w:rtl/>
        </w:rPr>
        <w:t>:</w:t>
      </w:r>
      <w:r w:rsidRPr="006960FA">
        <w:rPr>
          <w:rtl/>
        </w:rPr>
        <w:t xml:space="preserve"> 1421 هـ</w:t>
      </w:r>
      <w:r w:rsidRPr="006960FA">
        <w:rPr>
          <w:rFonts w:hint="cs"/>
          <w:rtl/>
        </w:rPr>
        <w:t>.</w:t>
      </w:r>
    </w:p>
    <w:p w:rsidR="00382990" w:rsidRDefault="00382990" w:rsidP="000A76C7">
      <w:pPr>
        <w:pStyle w:val="afc"/>
        <w:numPr>
          <w:ilvl w:val="0"/>
          <w:numId w:val="325"/>
        </w:numPr>
      </w:pPr>
      <w:r w:rsidRPr="006960FA">
        <w:rPr>
          <w:rFonts w:hint="cs"/>
          <w:rtl/>
        </w:rPr>
        <w:t xml:space="preserve">المصباح المنير لأبي العباس </w:t>
      </w:r>
      <w:r w:rsidRPr="006960FA">
        <w:rPr>
          <w:rtl/>
        </w:rPr>
        <w:t>أحمد بن محمد بن علي الفيومي</w:t>
      </w:r>
      <w:r w:rsidRPr="006960FA">
        <w:rPr>
          <w:rFonts w:hint="cs"/>
          <w:rtl/>
        </w:rPr>
        <w:t>، تحقيق: ع</w:t>
      </w:r>
      <w:r>
        <w:rPr>
          <w:rFonts w:hint="cs"/>
          <w:rtl/>
        </w:rPr>
        <w:t>ادل مرشد.</w:t>
      </w:r>
    </w:p>
    <w:p w:rsidR="00382990" w:rsidRPr="006960FA" w:rsidRDefault="00382990" w:rsidP="000A76C7">
      <w:pPr>
        <w:pStyle w:val="afc"/>
        <w:numPr>
          <w:ilvl w:val="0"/>
          <w:numId w:val="325"/>
        </w:numPr>
        <w:rPr>
          <w:rtl/>
        </w:rPr>
      </w:pPr>
      <w:r w:rsidRPr="006960FA">
        <w:rPr>
          <w:rFonts w:hint="cs"/>
          <w:rtl/>
        </w:rPr>
        <w:t>ال</w:t>
      </w:r>
      <w:r w:rsidRPr="006960FA">
        <w:rPr>
          <w:rtl/>
        </w:rPr>
        <w:t xml:space="preserve">مصنف </w:t>
      </w:r>
      <w:r w:rsidRPr="006960FA">
        <w:rPr>
          <w:rFonts w:hint="cs"/>
          <w:rtl/>
        </w:rPr>
        <w:t xml:space="preserve">لأبي بكر </w:t>
      </w:r>
      <w:r w:rsidRPr="006960FA">
        <w:rPr>
          <w:rtl/>
        </w:rPr>
        <w:t>عبد الرزاق</w:t>
      </w:r>
      <w:r w:rsidRPr="006960FA">
        <w:rPr>
          <w:rFonts w:hint="cs"/>
          <w:rtl/>
        </w:rPr>
        <w:t xml:space="preserve"> بن همام الصنعاني،</w:t>
      </w:r>
      <w:r w:rsidRPr="006960FA">
        <w:rPr>
          <w:rtl/>
        </w:rPr>
        <w:t xml:space="preserve"> تحقيق حبيب الرحمن الأعظمي</w:t>
      </w:r>
      <w:r w:rsidRPr="006960FA">
        <w:rPr>
          <w:rFonts w:hint="cs"/>
          <w:rtl/>
        </w:rPr>
        <w:t>.</w:t>
      </w:r>
    </w:p>
    <w:p w:rsidR="00382990" w:rsidRPr="006960FA" w:rsidRDefault="00382990" w:rsidP="000A76C7">
      <w:pPr>
        <w:pStyle w:val="afc"/>
        <w:numPr>
          <w:ilvl w:val="0"/>
          <w:numId w:val="325"/>
        </w:numPr>
        <w:rPr>
          <w:rtl/>
        </w:rPr>
      </w:pPr>
      <w:r w:rsidRPr="006960FA">
        <w:rPr>
          <w:rFonts w:hint="cs"/>
          <w:rtl/>
        </w:rPr>
        <w:t>ال</w:t>
      </w:r>
      <w:r w:rsidRPr="006960FA">
        <w:rPr>
          <w:rtl/>
        </w:rPr>
        <w:t xml:space="preserve">مصنف </w:t>
      </w:r>
      <w:r w:rsidRPr="006960FA">
        <w:rPr>
          <w:rFonts w:hint="cs"/>
          <w:rtl/>
        </w:rPr>
        <w:t xml:space="preserve">لأبي بكر عبد الله بن محمد </w:t>
      </w:r>
      <w:r w:rsidRPr="006960FA">
        <w:rPr>
          <w:rtl/>
        </w:rPr>
        <w:t>بن أبي شيبة</w:t>
      </w:r>
      <w:r w:rsidRPr="006960FA">
        <w:rPr>
          <w:rFonts w:hint="cs"/>
          <w:rtl/>
        </w:rPr>
        <w:t xml:space="preserve"> العبسي، </w:t>
      </w:r>
      <w:r w:rsidRPr="006960FA">
        <w:rPr>
          <w:rtl/>
        </w:rPr>
        <w:t>تحقيق</w:t>
      </w:r>
      <w:r w:rsidRPr="006960FA">
        <w:rPr>
          <w:rFonts w:hint="cs"/>
          <w:rtl/>
        </w:rPr>
        <w:t xml:space="preserve">:محمد </w:t>
      </w:r>
      <w:r w:rsidRPr="006960FA">
        <w:rPr>
          <w:rtl/>
        </w:rPr>
        <w:t>عوامة</w:t>
      </w:r>
      <w:r w:rsidRPr="006960FA">
        <w:rPr>
          <w:rFonts w:hint="cs"/>
          <w:rtl/>
        </w:rPr>
        <w:t>، شركة دار القبلة ومؤسسة علوم القرآن، الطبعة الأولى: 1427ه.</w:t>
      </w:r>
    </w:p>
    <w:p w:rsidR="00382990" w:rsidRDefault="00382990" w:rsidP="000A76C7">
      <w:pPr>
        <w:pStyle w:val="afc"/>
        <w:numPr>
          <w:ilvl w:val="0"/>
          <w:numId w:val="325"/>
        </w:numPr>
      </w:pPr>
      <w:r w:rsidRPr="006960FA">
        <w:rPr>
          <w:rtl/>
        </w:rPr>
        <w:t>المطلع على ألفاظ المقنع لشمس الدين أبي عبد الله محمد بن أبي الفتح البعلي</w:t>
      </w:r>
      <w:r w:rsidRPr="006960FA">
        <w:rPr>
          <w:rFonts w:hint="cs"/>
          <w:rtl/>
        </w:rPr>
        <w:t xml:space="preserve">، </w:t>
      </w:r>
      <w:r w:rsidRPr="006960FA">
        <w:rPr>
          <w:rtl/>
        </w:rPr>
        <w:t>تحقيق: محمود الأرناؤوط وياسين محمود الخطيب</w:t>
      </w:r>
      <w:r w:rsidRPr="006960FA">
        <w:rPr>
          <w:rFonts w:hint="cs"/>
          <w:rtl/>
        </w:rPr>
        <w:t xml:space="preserve">، </w:t>
      </w:r>
      <w:r w:rsidRPr="006960FA">
        <w:rPr>
          <w:rtl/>
        </w:rPr>
        <w:t>مكتبة السوادي جدة</w:t>
      </w:r>
      <w:r w:rsidRPr="006960FA">
        <w:rPr>
          <w:rFonts w:hint="cs"/>
          <w:rtl/>
        </w:rPr>
        <w:t>، ال</w:t>
      </w:r>
      <w:r w:rsidRPr="006960FA">
        <w:rPr>
          <w:rtl/>
        </w:rPr>
        <w:t>ط</w:t>
      </w:r>
      <w:r w:rsidRPr="006960FA">
        <w:rPr>
          <w:rFonts w:hint="cs"/>
          <w:rtl/>
        </w:rPr>
        <w:t xml:space="preserve">بعةالأولى: </w:t>
      </w:r>
      <w:r w:rsidRPr="006960FA">
        <w:rPr>
          <w:rtl/>
        </w:rPr>
        <w:t>1423ه.</w:t>
      </w:r>
    </w:p>
    <w:p w:rsidR="00382990" w:rsidRDefault="00382990" w:rsidP="000A76C7">
      <w:pPr>
        <w:pStyle w:val="afc"/>
        <w:numPr>
          <w:ilvl w:val="0"/>
          <w:numId w:val="325"/>
        </w:numPr>
      </w:pPr>
      <w:r>
        <w:rPr>
          <w:rFonts w:hint="cs"/>
          <w:rtl/>
        </w:rPr>
        <w:t>المطلع على دقائق زاد المستقنع-المعاملات المالية- لعبد الكريم بن محمد اللاحم، دار كنزز إشبيليا، الرياض، الطبعة الأولى: 1429ه.</w:t>
      </w:r>
    </w:p>
    <w:p w:rsidR="00382990" w:rsidRDefault="00382990" w:rsidP="000A76C7">
      <w:pPr>
        <w:pStyle w:val="afc"/>
        <w:numPr>
          <w:ilvl w:val="0"/>
          <w:numId w:val="325"/>
        </w:numPr>
      </w:pPr>
      <w:r>
        <w:rPr>
          <w:rFonts w:hint="cs"/>
          <w:rtl/>
        </w:rPr>
        <w:t xml:space="preserve">معالم أصول الفقه عند أهل السنة والجماعة لمحمد بن حسين الجيزاني، دار ابن الجوزي، </w:t>
      </w:r>
      <w:r>
        <w:rPr>
          <w:rFonts w:hint="cs"/>
          <w:rtl/>
        </w:rPr>
        <w:lastRenderedPageBreak/>
        <w:t>الدمام، الطبعة الأولى: 1416ه.</w:t>
      </w:r>
    </w:p>
    <w:p w:rsidR="00382990" w:rsidRPr="006960FA" w:rsidRDefault="00382990" w:rsidP="000A76C7">
      <w:pPr>
        <w:pStyle w:val="afc"/>
        <w:numPr>
          <w:ilvl w:val="0"/>
          <w:numId w:val="325"/>
        </w:numPr>
        <w:rPr>
          <w:rtl/>
        </w:rPr>
      </w:pPr>
      <w:r>
        <w:rPr>
          <w:rFonts w:hint="cs"/>
          <w:rtl/>
        </w:rPr>
        <w:t>المعتمد في أصول الفقه لأبي الحسين محمد بن علي بن الطيب البصري المعتزلي، اعتنى بتهذيبه وتحقيقه: محمد حميد الله، المعهد العلمي الفرنسي للدراسات العربية، دمشق، 1964م.</w:t>
      </w:r>
    </w:p>
    <w:p w:rsidR="00382990" w:rsidRDefault="00382990" w:rsidP="000A76C7">
      <w:pPr>
        <w:pStyle w:val="afc"/>
        <w:numPr>
          <w:ilvl w:val="0"/>
          <w:numId w:val="325"/>
        </w:numPr>
      </w:pPr>
      <w:r w:rsidRPr="006960FA">
        <w:rPr>
          <w:rFonts w:hint="cs"/>
          <w:rtl/>
        </w:rPr>
        <w:t>معجم البلدان لشهاب الدين أبي عبد الله ياقوت بن عبد الله الحموي، دار صادر، 1397ه.</w:t>
      </w:r>
    </w:p>
    <w:p w:rsidR="00382990" w:rsidRDefault="00382990" w:rsidP="000A76C7">
      <w:pPr>
        <w:pStyle w:val="afc"/>
        <w:numPr>
          <w:ilvl w:val="0"/>
          <w:numId w:val="325"/>
        </w:numPr>
      </w:pPr>
      <w:r>
        <w:rPr>
          <w:rFonts w:hint="cs"/>
          <w:rtl/>
        </w:rPr>
        <w:t xml:space="preserve">المعجم الكبير لأبي القاسم سليمان بن أحمد الطبراني، تحقيق وتخريج: حمدي عبد المجيد السلفي، مكتبة ابن تيمية، القاهرة،  </w:t>
      </w:r>
    </w:p>
    <w:p w:rsidR="00382990" w:rsidRDefault="00382990" w:rsidP="000A76C7">
      <w:pPr>
        <w:pStyle w:val="afc"/>
        <w:numPr>
          <w:ilvl w:val="0"/>
          <w:numId w:val="325"/>
        </w:numPr>
      </w:pPr>
      <w:r w:rsidRPr="006960FA">
        <w:rPr>
          <w:rtl/>
        </w:rPr>
        <w:t>معجم اللغة العربية المعاصرة لأحمد مختار عبد الحميد عمر، بمساعدة فريق عمل</w:t>
      </w:r>
      <w:r w:rsidRPr="006960FA">
        <w:rPr>
          <w:rFonts w:hint="cs"/>
          <w:rtl/>
        </w:rPr>
        <w:t xml:space="preserve">، </w:t>
      </w:r>
      <w:r w:rsidRPr="006960FA">
        <w:rPr>
          <w:rtl/>
        </w:rPr>
        <w:t>دار عالم الكتب، الطبعة الأولى، 1429 هـ.</w:t>
      </w:r>
    </w:p>
    <w:p w:rsidR="00382990" w:rsidRDefault="00382990" w:rsidP="000A76C7">
      <w:pPr>
        <w:pStyle w:val="afc"/>
        <w:numPr>
          <w:ilvl w:val="0"/>
          <w:numId w:val="325"/>
        </w:numPr>
      </w:pPr>
      <w:r w:rsidRPr="006960FA">
        <w:rPr>
          <w:rtl/>
        </w:rPr>
        <w:t>معجم المصطلحات المالية والاقتصادية في لغة الفقهاء</w:t>
      </w:r>
      <w:r w:rsidRPr="006960FA">
        <w:rPr>
          <w:rFonts w:hint="cs"/>
          <w:rtl/>
        </w:rPr>
        <w:t xml:space="preserve"> ل</w:t>
      </w:r>
      <w:r w:rsidRPr="006960FA">
        <w:rPr>
          <w:rtl/>
        </w:rPr>
        <w:t>لدكتور نزيه حماد</w:t>
      </w:r>
      <w:r w:rsidRPr="006960FA">
        <w:rPr>
          <w:rFonts w:hint="cs"/>
          <w:rtl/>
        </w:rPr>
        <w:t xml:space="preserve">، </w:t>
      </w:r>
      <w:r w:rsidRPr="006960FA">
        <w:rPr>
          <w:rtl/>
        </w:rPr>
        <w:t>دار القلم دمشق</w:t>
      </w:r>
      <w:r w:rsidRPr="006960FA">
        <w:rPr>
          <w:rFonts w:hint="cs"/>
          <w:rtl/>
        </w:rPr>
        <w:t xml:space="preserve">، </w:t>
      </w:r>
      <w:r w:rsidRPr="006960FA">
        <w:rPr>
          <w:rtl/>
        </w:rPr>
        <w:t>الطبعة الأولى</w:t>
      </w:r>
      <w:r w:rsidRPr="006960FA">
        <w:rPr>
          <w:rFonts w:hint="cs"/>
          <w:rtl/>
        </w:rPr>
        <w:t>:</w:t>
      </w:r>
      <w:r w:rsidRPr="006960FA">
        <w:rPr>
          <w:rtl/>
        </w:rPr>
        <w:t>1429.</w:t>
      </w:r>
    </w:p>
    <w:p w:rsidR="00382990" w:rsidRPr="006960FA" w:rsidRDefault="00382990" w:rsidP="000A76C7">
      <w:pPr>
        <w:pStyle w:val="afc"/>
        <w:numPr>
          <w:ilvl w:val="0"/>
          <w:numId w:val="325"/>
        </w:numPr>
        <w:rPr>
          <w:rtl/>
        </w:rPr>
      </w:pPr>
      <w:r w:rsidRPr="006960FA">
        <w:rPr>
          <w:rtl/>
        </w:rPr>
        <w:t>المعجم الوسيط</w:t>
      </w:r>
      <w:r w:rsidRPr="006960FA">
        <w:rPr>
          <w:rFonts w:hint="cs"/>
          <w:rtl/>
        </w:rPr>
        <w:t xml:space="preserve">، تأليف: </w:t>
      </w:r>
      <w:r w:rsidRPr="006960FA">
        <w:rPr>
          <w:rtl/>
        </w:rPr>
        <w:t>إبراهيم مصطفى ـ أحمد الزيات ـ حامد عبد القادر ـ محمد النجار</w:t>
      </w:r>
      <w:r w:rsidRPr="006960FA">
        <w:rPr>
          <w:rFonts w:hint="cs"/>
          <w:rtl/>
        </w:rPr>
        <w:t>، مكتبة الشروق الدولية، الطبعة الرابعة: 1425ه.</w:t>
      </w:r>
    </w:p>
    <w:p w:rsidR="00382990" w:rsidRDefault="00382990" w:rsidP="000A76C7">
      <w:pPr>
        <w:pStyle w:val="afc"/>
        <w:numPr>
          <w:ilvl w:val="0"/>
          <w:numId w:val="325"/>
        </w:numPr>
      </w:pPr>
      <w:r>
        <w:rPr>
          <w:rFonts w:hint="cs"/>
          <w:rtl/>
        </w:rPr>
        <w:t>معجم قبائل العرب القديمة والحديثة لعمر رضا كحالة، مؤسسة الرسالة، بيروت، الطبعة الثامنة: 1418ه.</w:t>
      </w:r>
    </w:p>
    <w:p w:rsidR="00382990" w:rsidRDefault="00382990" w:rsidP="000A76C7">
      <w:pPr>
        <w:pStyle w:val="afc"/>
        <w:numPr>
          <w:ilvl w:val="0"/>
          <w:numId w:val="325"/>
        </w:numPr>
      </w:pPr>
      <w:r>
        <w:rPr>
          <w:rFonts w:hint="cs"/>
          <w:rtl/>
        </w:rPr>
        <w:t>معجم لغة الفقهاء إنجليزي_عربي_فرنسي لمحمد رواس قلعجي، دار النفائس، بيروت، الطبعة الثالثة: 1416ه.</w:t>
      </w:r>
    </w:p>
    <w:p w:rsidR="00382990" w:rsidRDefault="00382990" w:rsidP="000A76C7">
      <w:pPr>
        <w:pStyle w:val="afc"/>
        <w:numPr>
          <w:ilvl w:val="0"/>
          <w:numId w:val="325"/>
        </w:numPr>
      </w:pPr>
      <w:r>
        <w:rPr>
          <w:rFonts w:hint="cs"/>
          <w:rtl/>
        </w:rPr>
        <w:t>المعدول به عن القياس حقيقته وحكمه وموقف شيخ الإسلام ابن تيمية منه لعمر بن عبد العزيز، مكتبة الدار، المدينة المنورة، الطبعة الأولى: 1408ه.</w:t>
      </w:r>
    </w:p>
    <w:p w:rsidR="00382990" w:rsidRDefault="00382990" w:rsidP="000A76C7">
      <w:pPr>
        <w:pStyle w:val="afc"/>
        <w:numPr>
          <w:ilvl w:val="0"/>
          <w:numId w:val="325"/>
        </w:numPr>
      </w:pPr>
      <w:r>
        <w:rPr>
          <w:rFonts w:hint="cs"/>
          <w:rtl/>
        </w:rPr>
        <w:t>معرفة الصحابة لأبي نعيم أحمد بن عبد الله بن أحمد الأصبهاني، تحقيق: عادل يوسف العزازي، دار الوطن، الرياض، الطبعة الأولى: 1419ه.</w:t>
      </w:r>
    </w:p>
    <w:p w:rsidR="00382990" w:rsidRPr="006960FA" w:rsidRDefault="00382990" w:rsidP="000A76C7">
      <w:pPr>
        <w:pStyle w:val="afc"/>
        <w:numPr>
          <w:ilvl w:val="0"/>
          <w:numId w:val="325"/>
        </w:numPr>
        <w:rPr>
          <w:rtl/>
        </w:rPr>
      </w:pPr>
      <w:r w:rsidRPr="006960FA">
        <w:rPr>
          <w:rtl/>
        </w:rPr>
        <w:t>مغني اللبيب عن كتب الأعاريب، لجمال الدين أبي محمد عبد الله بن يوسف بن هشام الأنصاري</w:t>
      </w:r>
      <w:r w:rsidRPr="006960FA">
        <w:rPr>
          <w:rFonts w:hint="cs"/>
          <w:rtl/>
        </w:rPr>
        <w:t xml:space="preserve">، </w:t>
      </w:r>
      <w:r w:rsidRPr="006960FA">
        <w:rPr>
          <w:rtl/>
        </w:rPr>
        <w:t>تحقيق وشرح: الدكتور عبد اللطيف محمد الخطيب</w:t>
      </w:r>
      <w:r w:rsidRPr="006960FA">
        <w:rPr>
          <w:rFonts w:hint="cs"/>
          <w:rtl/>
        </w:rPr>
        <w:t xml:space="preserve">، </w:t>
      </w:r>
      <w:r w:rsidRPr="006960FA">
        <w:rPr>
          <w:rtl/>
        </w:rPr>
        <w:t>الطبعة الأولى:1421</w:t>
      </w:r>
      <w:r w:rsidRPr="006960FA">
        <w:rPr>
          <w:rFonts w:hint="cs"/>
          <w:rtl/>
        </w:rPr>
        <w:t>ه</w:t>
      </w:r>
      <w:r w:rsidRPr="006960FA">
        <w:rPr>
          <w:rtl/>
        </w:rPr>
        <w:t>.</w:t>
      </w:r>
    </w:p>
    <w:p w:rsidR="00382990" w:rsidRDefault="00382990" w:rsidP="000A76C7">
      <w:pPr>
        <w:pStyle w:val="afc"/>
        <w:numPr>
          <w:ilvl w:val="0"/>
          <w:numId w:val="325"/>
        </w:numPr>
      </w:pPr>
      <w:r>
        <w:rPr>
          <w:rFonts w:hint="cs"/>
          <w:rtl/>
        </w:rPr>
        <w:t xml:space="preserve">مغني ذوي الأفهام عن الكتب الكثيرة في الأحكام على مذهب  الإمام المبجل أحمد بن </w:t>
      </w:r>
      <w:r>
        <w:rPr>
          <w:rFonts w:hint="cs"/>
          <w:rtl/>
        </w:rPr>
        <w:lastRenderedPageBreak/>
        <w:t>حنبل لجمال الدين يوسف بن الحسن بن عبد الهادي، اعتنى به: أشرف بن عبد المقصود، مكتبة طبرية، الرياض، ومكتبة أضواء السلف، الطبعة الأولى: 1426ه.</w:t>
      </w:r>
    </w:p>
    <w:p w:rsidR="00382990" w:rsidRPr="006960FA" w:rsidRDefault="00382990" w:rsidP="000A76C7">
      <w:pPr>
        <w:pStyle w:val="afc"/>
        <w:numPr>
          <w:ilvl w:val="0"/>
          <w:numId w:val="325"/>
        </w:numPr>
        <w:rPr>
          <w:rtl/>
        </w:rPr>
      </w:pPr>
      <w:r w:rsidRPr="006960FA">
        <w:rPr>
          <w:rFonts w:hint="cs"/>
          <w:rtl/>
        </w:rPr>
        <w:t>المغني شرح مختصر الخرقي لموفق الدين أبي محمد عبد الله بن أحمد بن قدامة المقدسي، تحقيق: عبد الله التركي وعبد الفتاح الحلو، دار عالم الكتب، الطبعة الثالثة: 1417ه.</w:t>
      </w:r>
    </w:p>
    <w:p w:rsidR="00382990" w:rsidRDefault="00382990" w:rsidP="000A76C7">
      <w:pPr>
        <w:pStyle w:val="afc"/>
        <w:numPr>
          <w:ilvl w:val="0"/>
          <w:numId w:val="325"/>
        </w:numPr>
      </w:pPr>
      <w:r>
        <w:rPr>
          <w:rFonts w:hint="cs"/>
          <w:rtl/>
        </w:rPr>
        <w:t>المغني لموفق الدين عبد الله بن أحمد بن قدامة المقدسي، ويليه الشرح الكبير لشمس الدين عبد الرحمن بن محمد بن قدامة المقدسي، دار الكتاب العربي، بيروت، 1403ه.</w:t>
      </w:r>
    </w:p>
    <w:p w:rsidR="00382990" w:rsidRDefault="00382990" w:rsidP="000A76C7">
      <w:pPr>
        <w:pStyle w:val="afc"/>
        <w:numPr>
          <w:ilvl w:val="0"/>
          <w:numId w:val="325"/>
        </w:numPr>
      </w:pPr>
      <w:r>
        <w:rPr>
          <w:rFonts w:hint="cs"/>
          <w:rtl/>
        </w:rPr>
        <w:t>مفتاح دار السعادة ومنشور ولاية أهل العلم والإرادة لشمس الدين أبي عبد الله محمد بن أبي بكر المعروف ب"ابن قيم الجوزية"، ضبط وتعليق وتخريج: علي حسن بن علي الحلبي، دار ابن عفان، الخبر، الطبعة الأولى: 1419ه.</w:t>
      </w:r>
    </w:p>
    <w:p w:rsidR="00382990" w:rsidRPr="006960FA" w:rsidRDefault="00382990" w:rsidP="000A76C7">
      <w:pPr>
        <w:pStyle w:val="afc"/>
        <w:numPr>
          <w:ilvl w:val="0"/>
          <w:numId w:val="325"/>
        </w:numPr>
        <w:rPr>
          <w:rtl/>
        </w:rPr>
      </w:pPr>
      <w:r>
        <w:rPr>
          <w:rFonts w:hint="cs"/>
          <w:rtl/>
        </w:rPr>
        <w:t>مفردات ألفاظ القرآن للراغب الأصفهاني، تحقيق: صفوان عدنان داوودي، دار القلم، دمشق، والدار الشامية، بيروت، الطبعة الرابعة: 1430ه.</w:t>
      </w:r>
    </w:p>
    <w:p w:rsidR="00382990" w:rsidRDefault="00382990" w:rsidP="000A76C7">
      <w:pPr>
        <w:pStyle w:val="afc"/>
        <w:numPr>
          <w:ilvl w:val="0"/>
          <w:numId w:val="325"/>
        </w:numPr>
      </w:pPr>
      <w:r>
        <w:rPr>
          <w:rFonts w:hint="cs"/>
          <w:rtl/>
        </w:rPr>
        <w:t>المفصل في القواعد الفقهية ليعقوب بن عبد الوهاب الباحسين، دار التدمرية، الرياض، الطبعة الأولى: 1431ه.</w:t>
      </w:r>
    </w:p>
    <w:p w:rsidR="00382990" w:rsidRDefault="00382990" w:rsidP="000A76C7">
      <w:pPr>
        <w:pStyle w:val="afc"/>
        <w:numPr>
          <w:ilvl w:val="0"/>
          <w:numId w:val="325"/>
        </w:numPr>
      </w:pPr>
      <w:r w:rsidRPr="006960FA">
        <w:rPr>
          <w:rtl/>
        </w:rPr>
        <w:t>مقاييس اللغة</w:t>
      </w:r>
      <w:r w:rsidRPr="006960FA">
        <w:rPr>
          <w:rFonts w:hint="cs"/>
          <w:rtl/>
        </w:rPr>
        <w:t xml:space="preserve"> ل</w:t>
      </w:r>
      <w:r w:rsidRPr="006960FA">
        <w:rPr>
          <w:rtl/>
        </w:rPr>
        <w:t>أ</w:t>
      </w:r>
      <w:r w:rsidRPr="006960FA">
        <w:rPr>
          <w:rFonts w:hint="cs"/>
          <w:rtl/>
        </w:rPr>
        <w:t>بي الحسين أ</w:t>
      </w:r>
      <w:r w:rsidRPr="006960FA">
        <w:rPr>
          <w:rtl/>
        </w:rPr>
        <w:t xml:space="preserve">حمد بن فارس بن زكرياء القزويني، </w:t>
      </w:r>
      <w:r w:rsidRPr="006960FA">
        <w:rPr>
          <w:rFonts w:hint="cs"/>
          <w:rtl/>
        </w:rPr>
        <w:t>ت</w:t>
      </w:r>
      <w:r w:rsidRPr="006960FA">
        <w:rPr>
          <w:rtl/>
        </w:rPr>
        <w:t>حق</w:t>
      </w:r>
      <w:r w:rsidRPr="006960FA">
        <w:rPr>
          <w:rFonts w:hint="cs"/>
          <w:rtl/>
        </w:rPr>
        <w:t>ي</w:t>
      </w:r>
      <w:r w:rsidRPr="006960FA">
        <w:rPr>
          <w:rtl/>
        </w:rPr>
        <w:t>ق: عبد السلام محمد هارون</w:t>
      </w:r>
      <w:r w:rsidRPr="006960FA">
        <w:rPr>
          <w:rFonts w:hint="cs"/>
          <w:rtl/>
        </w:rPr>
        <w:t xml:space="preserve">، </w:t>
      </w:r>
      <w:r w:rsidRPr="006960FA">
        <w:rPr>
          <w:rtl/>
        </w:rPr>
        <w:t>دار الفكر</w:t>
      </w:r>
      <w:r w:rsidRPr="006960FA">
        <w:rPr>
          <w:rFonts w:hint="cs"/>
          <w:rtl/>
        </w:rPr>
        <w:t xml:space="preserve">: </w:t>
      </w:r>
      <w:r w:rsidRPr="006960FA">
        <w:rPr>
          <w:rtl/>
        </w:rPr>
        <w:t>1399هـ</w:t>
      </w:r>
      <w:r w:rsidRPr="006960FA">
        <w:rPr>
          <w:rFonts w:hint="cs"/>
          <w:rtl/>
        </w:rPr>
        <w:t>.</w:t>
      </w:r>
    </w:p>
    <w:p w:rsidR="00382990" w:rsidRPr="006960FA" w:rsidRDefault="00382990" w:rsidP="000A76C7">
      <w:pPr>
        <w:pStyle w:val="afc"/>
        <w:numPr>
          <w:ilvl w:val="0"/>
          <w:numId w:val="325"/>
        </w:numPr>
        <w:rPr>
          <w:rtl/>
        </w:rPr>
      </w:pPr>
      <w:r>
        <w:rPr>
          <w:rFonts w:hint="cs"/>
          <w:rtl/>
        </w:rPr>
        <w:t xml:space="preserve">المقدمات الممهدات لبيان ما اقتضته رسوم المدونة من الأحكام الشرعيات والتحصيلات المحكمات لأمهات مسائلها المشكلات لأبي الوليد محمد بن أحمد بن رشد القرطبي، تحقيق: محمد حجي، دار الغرب الإسلامي، بيروت، الطبعة الأولى: 1408ه. </w:t>
      </w:r>
    </w:p>
    <w:p w:rsidR="00382990" w:rsidRPr="006960FA" w:rsidRDefault="00382990" w:rsidP="000A76C7">
      <w:pPr>
        <w:pStyle w:val="afc"/>
        <w:numPr>
          <w:ilvl w:val="0"/>
          <w:numId w:val="325"/>
        </w:numPr>
        <w:rPr>
          <w:rtl/>
        </w:rPr>
      </w:pPr>
      <w:r w:rsidRPr="006960FA">
        <w:rPr>
          <w:rtl/>
        </w:rPr>
        <w:t>المقنع في فقه إمام أهل السنة أحمد بن حنبل الشيباني. ل</w:t>
      </w:r>
      <w:r>
        <w:rPr>
          <w:rFonts w:hint="cs"/>
          <w:rtl/>
        </w:rPr>
        <w:t xml:space="preserve">موفق الدين أبي محمد عبد الله بن أحمد بن محمد </w:t>
      </w:r>
      <w:r w:rsidRPr="006960FA">
        <w:rPr>
          <w:rtl/>
        </w:rPr>
        <w:t>بن قدامة المقدسي.</w:t>
      </w:r>
      <w:r>
        <w:rPr>
          <w:rFonts w:hint="cs"/>
          <w:rtl/>
        </w:rPr>
        <w:t xml:space="preserve"> </w:t>
      </w:r>
      <w:r w:rsidRPr="006960FA">
        <w:rPr>
          <w:rtl/>
        </w:rPr>
        <w:t>المطبعة السلفية ومكتبتها</w:t>
      </w:r>
      <w:r w:rsidRPr="006960FA">
        <w:rPr>
          <w:rFonts w:hint="cs"/>
          <w:rtl/>
        </w:rPr>
        <w:t xml:space="preserve">، </w:t>
      </w:r>
      <w:r w:rsidRPr="006960FA">
        <w:rPr>
          <w:rtl/>
        </w:rPr>
        <w:t xml:space="preserve"> طبع على نفقة الشيخ علي بن الشيخ عبد الله الثاني حاكم قطر المعظم</w:t>
      </w:r>
      <w:r w:rsidRPr="006960FA">
        <w:rPr>
          <w:rFonts w:hint="cs"/>
          <w:rtl/>
        </w:rPr>
        <w:t xml:space="preserve">، </w:t>
      </w:r>
      <w:r w:rsidRPr="006960FA">
        <w:rPr>
          <w:rtl/>
        </w:rPr>
        <w:t xml:space="preserve"> اعتناء</w:t>
      </w:r>
      <w:r w:rsidRPr="006960FA">
        <w:rPr>
          <w:rFonts w:hint="cs"/>
          <w:rtl/>
        </w:rPr>
        <w:t>:</w:t>
      </w:r>
      <w:r w:rsidRPr="006960FA">
        <w:rPr>
          <w:rtl/>
        </w:rPr>
        <w:t xml:space="preserve"> قاسم بن درويش فخرو. </w:t>
      </w:r>
    </w:p>
    <w:p w:rsidR="00382990" w:rsidRPr="006960FA" w:rsidRDefault="00382990" w:rsidP="000A76C7">
      <w:pPr>
        <w:pStyle w:val="afc"/>
        <w:numPr>
          <w:ilvl w:val="0"/>
          <w:numId w:val="325"/>
        </w:numPr>
        <w:rPr>
          <w:rtl/>
        </w:rPr>
      </w:pPr>
      <w:r w:rsidRPr="006960FA">
        <w:rPr>
          <w:rFonts w:hint="cs"/>
          <w:rtl/>
        </w:rPr>
        <w:t>المقنع لموفق الدين أبي محمد عبد الله بن أحمد بن قدامة المقدسي، والشرح الكبير لشمس الدين أبي الفرج عبد الرحمن بن محمد بن قدامة المقدسي، ومعهما الإنصاف في معرفة الراجح من الخلاف لعلاء الدين أبي الحسن علي بن سليمان بن أحمد المرداوي، تحقيق: عبد الله التركي وعبد الفتاح الحلو، دار هجر، الطبعة الأولى: 1414ه.</w:t>
      </w:r>
    </w:p>
    <w:p w:rsidR="00382990" w:rsidRDefault="00382990" w:rsidP="000A76C7">
      <w:pPr>
        <w:pStyle w:val="afc"/>
        <w:numPr>
          <w:ilvl w:val="0"/>
          <w:numId w:val="325"/>
        </w:numPr>
      </w:pPr>
      <w:r>
        <w:rPr>
          <w:rFonts w:hint="cs"/>
          <w:rtl/>
        </w:rPr>
        <w:lastRenderedPageBreak/>
        <w:t>المقنع لموفق الدين عبد الله بن أحمد بن قدمة المقدسي، والشرح الكبير لشمس الدين عبد الرحمن بن محمد بن قدامة المقدسي، والإنصاف في معرفة الراجح من الخلاف لعلاء الدين علي بن سليمان المرداوي، تحقيق: عبد الله بن عبد المحسن التركي، وعبد الفتاح محمد الحلو، دار هجر، الطبعة الأولى: 1414ه.</w:t>
      </w:r>
    </w:p>
    <w:p w:rsidR="00382990" w:rsidRDefault="00382990" w:rsidP="000A76C7">
      <w:pPr>
        <w:pStyle w:val="afc"/>
        <w:numPr>
          <w:ilvl w:val="0"/>
          <w:numId w:val="325"/>
        </w:numPr>
      </w:pPr>
      <w:r>
        <w:rPr>
          <w:rFonts w:hint="cs"/>
          <w:rtl/>
        </w:rPr>
        <w:t>المنتقى شرح الموطأ لأبي الوليد سليمان بن خلف بن سعد بن أيوب الباجي، تحقيق: محمد عبد القادر أحمد عطا، دار الكتب العلمية، بيروت، الطبعة الأولى: 1420ه.</w:t>
      </w:r>
    </w:p>
    <w:p w:rsidR="00382990" w:rsidRPr="006960FA" w:rsidRDefault="00382990" w:rsidP="000A76C7">
      <w:pPr>
        <w:pStyle w:val="afc"/>
        <w:numPr>
          <w:ilvl w:val="0"/>
          <w:numId w:val="325"/>
        </w:numPr>
      </w:pPr>
      <w:r w:rsidRPr="006960FA">
        <w:rPr>
          <w:rtl/>
        </w:rPr>
        <w:t>المنتقى من فرائد الفوائد، دار الوطن، 1424هـ.</w:t>
      </w:r>
    </w:p>
    <w:p w:rsidR="00382990" w:rsidRDefault="00382990" w:rsidP="000A76C7">
      <w:pPr>
        <w:pStyle w:val="afc"/>
        <w:numPr>
          <w:ilvl w:val="0"/>
          <w:numId w:val="325"/>
        </w:numPr>
      </w:pPr>
      <w:r w:rsidRPr="006960FA">
        <w:rPr>
          <w:rFonts w:hint="cs"/>
          <w:rtl/>
        </w:rPr>
        <w:t>المنثور في القواعد لبدر الدين محمد بن بهادر الزركشي، تيسير فائق أحمد محمود، طبع وزارة الأوقاف والشؤون الإسلامية بدولة الكويت، الطبعة الأولى: 1402ه.</w:t>
      </w:r>
    </w:p>
    <w:p w:rsidR="00382990" w:rsidRDefault="00382990" w:rsidP="000A76C7">
      <w:pPr>
        <w:pStyle w:val="afc"/>
        <w:numPr>
          <w:ilvl w:val="0"/>
          <w:numId w:val="325"/>
        </w:numPr>
      </w:pPr>
      <w:r>
        <w:rPr>
          <w:rFonts w:hint="cs"/>
          <w:rtl/>
        </w:rPr>
        <w:t>منظومة القواعد الفقهية وشرحها لعبد الرحمن بن ناصر السعدي، اعتنى بها: خالد بن عبد الله المصلح، دار ابن الجوزي، الدمام، الطبعة الأولى: 1423ه.</w:t>
      </w:r>
    </w:p>
    <w:p w:rsidR="00382990" w:rsidRPr="006960FA" w:rsidRDefault="00382990" w:rsidP="000A76C7">
      <w:pPr>
        <w:pStyle w:val="afc"/>
        <w:numPr>
          <w:ilvl w:val="0"/>
          <w:numId w:val="325"/>
        </w:numPr>
        <w:rPr>
          <w:rtl/>
        </w:rPr>
      </w:pPr>
      <w:r w:rsidRPr="006960FA">
        <w:rPr>
          <w:rtl/>
        </w:rPr>
        <w:t>منظومة في أصول الفقه وقواعد فقهية،  دار المحمدي،  الطبعة الثانية:1420هـ.</w:t>
      </w:r>
    </w:p>
    <w:p w:rsidR="00382990" w:rsidRDefault="00382990" w:rsidP="000A76C7">
      <w:pPr>
        <w:pStyle w:val="afc"/>
        <w:numPr>
          <w:ilvl w:val="0"/>
          <w:numId w:val="325"/>
        </w:numPr>
      </w:pPr>
      <w:r>
        <w:rPr>
          <w:rFonts w:hint="cs"/>
          <w:rtl/>
        </w:rPr>
        <w:t>منهاج السنة النبوية لأبي العباس أحمد بن عبد الحليم بن عبد السلام بن تيمية، تحقيق: محمد رشاد سالم، طبع جامعة  الإمام محمد بن سعود الإسلامية، الطبعة الثانية: 1406ه.</w:t>
      </w:r>
    </w:p>
    <w:p w:rsidR="00382990" w:rsidRDefault="00382990" w:rsidP="000A76C7">
      <w:pPr>
        <w:pStyle w:val="afc"/>
        <w:numPr>
          <w:ilvl w:val="0"/>
          <w:numId w:val="325"/>
        </w:numPr>
      </w:pPr>
      <w:r>
        <w:rPr>
          <w:rFonts w:hint="cs"/>
          <w:rtl/>
        </w:rPr>
        <w:t>منهاج الوصول إلى علم الأصول للقاضي ناصر الدين عبد الله بن عمر البيضاوي، تحقيق: شعبان محمد إسماعيل، دار ابن حزم، بيروت، الطبعة الأولى: 1429ه.</w:t>
      </w:r>
    </w:p>
    <w:p w:rsidR="00382990" w:rsidRPr="006960FA" w:rsidRDefault="00382990" w:rsidP="000A76C7">
      <w:pPr>
        <w:pStyle w:val="afc"/>
        <w:numPr>
          <w:ilvl w:val="0"/>
          <w:numId w:val="325"/>
        </w:numPr>
        <w:rPr>
          <w:rtl/>
        </w:rPr>
      </w:pPr>
      <w:r>
        <w:rPr>
          <w:rFonts w:hint="cs"/>
          <w:rtl/>
        </w:rPr>
        <w:t>المنهاج شرح صحيح مسلم بن الحجاج لمحي الدين النووي، تحقيق وتخريج: خليل مأمون شيحا، دار المعرفة، بيروت، الطبعة الثانية: 1415ه.</w:t>
      </w:r>
    </w:p>
    <w:p w:rsidR="00382990" w:rsidRDefault="00382990" w:rsidP="00A56C29">
      <w:pPr>
        <w:pStyle w:val="afc"/>
        <w:numPr>
          <w:ilvl w:val="0"/>
          <w:numId w:val="325"/>
        </w:numPr>
      </w:pPr>
      <w:r w:rsidRPr="00A56C29">
        <w:rPr>
          <w:rFonts w:ascii="Traditional Arabic" w:hAnsi="Traditional Arabic"/>
          <w:rtl/>
        </w:rPr>
        <w:t xml:space="preserve">المنهج الفقهي للشيخ محمد بن صالح العثيمين </w:t>
      </w:r>
      <w:r w:rsidRPr="00A56C29">
        <w:rPr>
          <w:rFonts w:ascii="Traditional Arabic" w:hAnsi="Traditional Arabic" w:hint="cs"/>
          <w:rtl/>
        </w:rPr>
        <w:t>ل</w:t>
      </w:r>
      <w:r w:rsidRPr="00A56C29">
        <w:rPr>
          <w:rFonts w:ascii="Traditional Arabic" w:hAnsi="Traditional Arabic"/>
          <w:rtl/>
        </w:rPr>
        <w:t>خالد المشيقح، مجلة البيان، العدد (160)</w:t>
      </w:r>
      <w:r>
        <w:rPr>
          <w:rFonts w:ascii="Traditional Arabic" w:hAnsi="Traditional Arabic" w:hint="cs"/>
          <w:rtl/>
        </w:rPr>
        <w:t xml:space="preserve">، </w:t>
      </w:r>
      <w:r w:rsidRPr="00A56C29">
        <w:rPr>
          <w:rFonts w:ascii="Traditional Arabic" w:hAnsi="Traditional Arabic"/>
          <w:rtl/>
        </w:rPr>
        <w:t>ذو الحجة 1421هـ، مارس 2001م.</w:t>
      </w:r>
    </w:p>
    <w:p w:rsidR="00382990" w:rsidRDefault="00382990" w:rsidP="000A76C7">
      <w:pPr>
        <w:pStyle w:val="afc"/>
        <w:numPr>
          <w:ilvl w:val="0"/>
          <w:numId w:val="325"/>
        </w:numPr>
      </w:pPr>
      <w:r>
        <w:rPr>
          <w:rFonts w:hint="cs"/>
          <w:rtl/>
        </w:rPr>
        <w:t xml:space="preserve">الموافقات في أصول الشريعة لأبي إسحاق الشاطبي، اعتنى به: محمد عبد الله دراز، دار الفكر العربي.  </w:t>
      </w:r>
    </w:p>
    <w:p w:rsidR="00382990" w:rsidRDefault="00382990" w:rsidP="000A76C7">
      <w:pPr>
        <w:pStyle w:val="afc"/>
        <w:numPr>
          <w:ilvl w:val="0"/>
          <w:numId w:val="325"/>
        </w:numPr>
      </w:pPr>
      <w:r>
        <w:rPr>
          <w:rFonts w:hint="cs"/>
          <w:rtl/>
        </w:rPr>
        <w:t>الموافقات لأبي إسحاق إبراهيم بن موسى بن محمد اللخمي الشاطبي، تحقيق: مشهور حسن آل سلمان، دار ابن عفان، الخُبر، الطبعة الأولى: 1417ه.</w:t>
      </w:r>
    </w:p>
    <w:p w:rsidR="00382990" w:rsidRPr="006960FA" w:rsidRDefault="00382990" w:rsidP="000A76C7">
      <w:pPr>
        <w:pStyle w:val="afc"/>
        <w:numPr>
          <w:ilvl w:val="0"/>
          <w:numId w:val="325"/>
        </w:numPr>
        <w:rPr>
          <w:rtl/>
        </w:rPr>
      </w:pPr>
      <w:r>
        <w:rPr>
          <w:rFonts w:hint="cs"/>
          <w:rtl/>
        </w:rPr>
        <w:lastRenderedPageBreak/>
        <w:t>مواهب الجليل لشرح مختصر خليل لأبي عبد الله محمد بن محمد المغربي المعروف ب"الحطاب الرعيني"، ضبطه وخرج آياته وأحاديثه: زكريا عميرات، دار عالم الكتب، طبعة خاصة: 1423ه.</w:t>
      </w:r>
    </w:p>
    <w:p w:rsidR="00382990" w:rsidRDefault="00382990" w:rsidP="000A76C7">
      <w:pPr>
        <w:pStyle w:val="afc"/>
        <w:numPr>
          <w:ilvl w:val="0"/>
          <w:numId w:val="325"/>
        </w:numPr>
      </w:pPr>
      <w:r w:rsidRPr="006960FA">
        <w:rPr>
          <w:rFonts w:hint="cs"/>
          <w:rtl/>
        </w:rPr>
        <w:t>موسوعة القواعد الفقهية لمحمد صدقي البورنو، مؤسسة الرسالة، الطبعة الأولى: 1424ه.</w:t>
      </w:r>
    </w:p>
    <w:p w:rsidR="00382990" w:rsidRDefault="00382990" w:rsidP="000A76C7">
      <w:pPr>
        <w:pStyle w:val="afc"/>
        <w:numPr>
          <w:ilvl w:val="0"/>
          <w:numId w:val="325"/>
        </w:numPr>
      </w:pPr>
      <w:r w:rsidRPr="006960FA">
        <w:rPr>
          <w:rFonts w:hint="cs"/>
          <w:rtl/>
        </w:rPr>
        <w:t>موسوعة القواعد والضوابط الفقهية الحاكمة للمعاملات المالية في الفقه الإسلامي لعلي أحمد الندوي، 1419ه.</w:t>
      </w:r>
    </w:p>
    <w:p w:rsidR="00382990" w:rsidRDefault="00382990" w:rsidP="000A76C7">
      <w:pPr>
        <w:pStyle w:val="afc"/>
        <w:numPr>
          <w:ilvl w:val="0"/>
          <w:numId w:val="325"/>
        </w:numPr>
      </w:pPr>
      <w:r>
        <w:rPr>
          <w:rFonts w:hint="cs"/>
          <w:rtl/>
        </w:rPr>
        <w:t>موسوعة شروح الموطأ للإمام مالك بن أنس: التمهيد والاستذكار لأبي عمر يوسف بن عبد الله بن عبد البر، والقبس لأبي بكر محمد بن عبد الله بن العربي، تحقيق: عبد الله بن عبد المحسن التركي، الطبعة الأولى: 1426ه.</w:t>
      </w:r>
    </w:p>
    <w:p w:rsidR="00382990" w:rsidRDefault="00382990" w:rsidP="000A76C7">
      <w:pPr>
        <w:pStyle w:val="afc"/>
        <w:numPr>
          <w:ilvl w:val="0"/>
          <w:numId w:val="325"/>
        </w:numPr>
      </w:pPr>
      <w:r w:rsidRPr="00D22935">
        <w:rPr>
          <w:rFonts w:ascii="Traditional Arabic" w:hAnsi="Traditional Arabic"/>
          <w:rtl/>
        </w:rPr>
        <w:t>نشر البنود على مراقي الصعود لسيدي عبد الله العلوي الشنقيطي</w:t>
      </w:r>
      <w:r>
        <w:rPr>
          <w:rFonts w:hint="cs"/>
          <w:rtl/>
        </w:rPr>
        <w:t>، طبع تحت إشراف اللجنة المشتركة لنشر التراث الإسلامي بين حكومة المملكة المغربية وحكومة دولة الإمارات العربية المتحدة.</w:t>
      </w:r>
    </w:p>
    <w:p w:rsidR="00382990" w:rsidRDefault="00382990" w:rsidP="00094FA0">
      <w:pPr>
        <w:pStyle w:val="afc"/>
        <w:numPr>
          <w:ilvl w:val="0"/>
          <w:numId w:val="325"/>
        </w:numPr>
      </w:pPr>
      <w:r>
        <w:rPr>
          <w:rFonts w:hint="cs"/>
          <w:rtl/>
        </w:rPr>
        <w:t xml:space="preserve">نظرية الاحتياط الفقهي دراسة تأصيلية تطبيقية لمحمد عمر سماعي، دار ابن حزم، بيروت، الطبعة الأولى: 1428ه.  </w:t>
      </w:r>
    </w:p>
    <w:p w:rsidR="00382990" w:rsidRDefault="00382990" w:rsidP="000A76C7">
      <w:pPr>
        <w:pStyle w:val="afc"/>
        <w:numPr>
          <w:ilvl w:val="0"/>
          <w:numId w:val="325"/>
        </w:numPr>
      </w:pPr>
      <w:r>
        <w:rPr>
          <w:rFonts w:hint="cs"/>
          <w:rtl/>
        </w:rPr>
        <w:t>نظرية الأصل والظاهر في الفقه الإسلامي لمحمد عمر سماعي، دار ابن حزم، بيروت، الطبعة الأولى: 1426ه.</w:t>
      </w:r>
    </w:p>
    <w:p w:rsidR="00382990" w:rsidRPr="006960FA" w:rsidRDefault="00382990" w:rsidP="000A76C7">
      <w:pPr>
        <w:pStyle w:val="afc"/>
        <w:numPr>
          <w:ilvl w:val="0"/>
          <w:numId w:val="325"/>
        </w:numPr>
        <w:rPr>
          <w:rtl/>
        </w:rPr>
      </w:pPr>
      <w:r>
        <w:rPr>
          <w:rFonts w:hint="cs"/>
          <w:rtl/>
        </w:rPr>
        <w:t>نظرية التقعيد الفقهي وأثرها في اختلاف الفقهاء لمحمد الروكي، دار الصفاء، الجزائر العاصمة، ودار ابن حزم، بيروت، الطبعة الأولى: 1421ه.</w:t>
      </w:r>
    </w:p>
    <w:p w:rsidR="00382990" w:rsidRPr="006960FA" w:rsidRDefault="00382990" w:rsidP="000A76C7">
      <w:pPr>
        <w:pStyle w:val="afc"/>
        <w:numPr>
          <w:ilvl w:val="0"/>
          <w:numId w:val="325"/>
        </w:numPr>
        <w:rPr>
          <w:rtl/>
        </w:rPr>
      </w:pPr>
      <w:r>
        <w:rPr>
          <w:rFonts w:hint="cs"/>
          <w:rtl/>
        </w:rPr>
        <w:t>نظرية الضرورة الشرعية مقارنة مع القانون الوضعي لوهبة الزحيلي، مؤسسة الرسالة، بيروت، الطبعة الرابعة: 1405ه.</w:t>
      </w:r>
    </w:p>
    <w:p w:rsidR="00382990" w:rsidRDefault="00382990" w:rsidP="000A76C7">
      <w:pPr>
        <w:pStyle w:val="afc"/>
        <w:numPr>
          <w:ilvl w:val="0"/>
          <w:numId w:val="325"/>
        </w:numPr>
      </w:pPr>
      <w:r>
        <w:rPr>
          <w:rFonts w:hint="cs"/>
          <w:rtl/>
        </w:rPr>
        <w:t>نظرية الضمان في الفقه الإسلامي العام لمحمد فوزي فيض الله، مكتبة دار الحديث بالكويت، الطبعة الثانية: 1406ه.</w:t>
      </w:r>
    </w:p>
    <w:p w:rsidR="00382990" w:rsidRDefault="00382990" w:rsidP="000A76C7">
      <w:pPr>
        <w:pStyle w:val="afc"/>
        <w:numPr>
          <w:ilvl w:val="0"/>
          <w:numId w:val="325"/>
        </w:numPr>
      </w:pPr>
      <w:r>
        <w:rPr>
          <w:rFonts w:hint="cs"/>
          <w:rtl/>
        </w:rPr>
        <w:t>نظم الفرائد لما تضمنه حديث ذي اليدين من الفوائد لأبي سعيد صلاح الدين خليل بن كيكلدي العلائي، تحقيق وتعليق: بدر بن عبد الله البدر، دار ابن الجوزي، الدمام، الطبعة الأولى: 1416ه.</w:t>
      </w:r>
    </w:p>
    <w:p w:rsidR="00382990" w:rsidRDefault="00382990" w:rsidP="000A76C7">
      <w:pPr>
        <w:pStyle w:val="afc"/>
        <w:numPr>
          <w:ilvl w:val="0"/>
          <w:numId w:val="325"/>
        </w:numPr>
      </w:pPr>
      <w:r>
        <w:rPr>
          <w:rFonts w:hint="cs"/>
          <w:rtl/>
        </w:rPr>
        <w:lastRenderedPageBreak/>
        <w:t>نفائس الأصول في شرح المحصول لشهاب الدين أبي العباس أحمد بن إدريس بن عبد الرحمن القرافي، تحقيق: عادل عبد الموجود، وعلي معوض، مكتبة مصطفى الباز، الطبعة الأولى: 1416ه.</w:t>
      </w:r>
    </w:p>
    <w:p w:rsidR="00382990" w:rsidRDefault="00382990" w:rsidP="000A76C7">
      <w:pPr>
        <w:pStyle w:val="afc"/>
        <w:numPr>
          <w:ilvl w:val="0"/>
          <w:numId w:val="325"/>
        </w:numPr>
      </w:pPr>
      <w:r>
        <w:rPr>
          <w:rFonts w:hint="cs"/>
          <w:rtl/>
        </w:rPr>
        <w:t>نهاية الوصول في دراية الأصول لصفي الدين محمد بن عبد الرحيم الأرموي الهندي، تحقيق: صالح بن سليمان اليوسف وسعد بن سالم السويح، المكتبة التجارية، مكة.</w:t>
      </w:r>
    </w:p>
    <w:p w:rsidR="00382990" w:rsidRPr="006960FA" w:rsidRDefault="00382990" w:rsidP="000A76C7">
      <w:pPr>
        <w:pStyle w:val="afc"/>
        <w:numPr>
          <w:ilvl w:val="0"/>
          <w:numId w:val="325"/>
        </w:numPr>
        <w:rPr>
          <w:rtl/>
        </w:rPr>
      </w:pPr>
      <w:r>
        <w:rPr>
          <w:rFonts w:hint="cs"/>
          <w:rtl/>
        </w:rPr>
        <w:t xml:space="preserve">النهاية في غريب الحديث والأثر لمجد الدين أبي السعادات المبارك بن محمد الجزري، المعروف بابن الأثير، تحقيق: طاهر أحمد الزاوي، ومحمود محمد الطناحي، دار إحياء التراث العربي، بيروت، </w:t>
      </w:r>
    </w:p>
    <w:p w:rsidR="00382990" w:rsidRDefault="00382990" w:rsidP="000A76C7">
      <w:pPr>
        <w:pStyle w:val="afc"/>
        <w:numPr>
          <w:ilvl w:val="0"/>
          <w:numId w:val="325"/>
        </w:numPr>
      </w:pPr>
      <w:r>
        <w:rPr>
          <w:rFonts w:hint="cs"/>
          <w:rtl/>
        </w:rPr>
        <w:t>نيل الأوطار من أسرار منتقى الأخبار لمحمد بن علي الشوكاني، تحقيق: محمد صبحي بن حسن حلاق، دار ابن الجوزي، الدمام، الطبعة الأولى: 1427ه.</w:t>
      </w:r>
    </w:p>
    <w:p w:rsidR="00382990" w:rsidRPr="006960FA" w:rsidRDefault="00382990" w:rsidP="00B3706D">
      <w:pPr>
        <w:pStyle w:val="afc"/>
        <w:numPr>
          <w:ilvl w:val="0"/>
          <w:numId w:val="325"/>
        </w:numPr>
        <w:rPr>
          <w:rtl/>
        </w:rPr>
      </w:pPr>
      <w:r>
        <w:rPr>
          <w:rFonts w:hint="cs"/>
          <w:rtl/>
        </w:rPr>
        <w:t>نيل السول على مرتقى الوصول لمحمد يحي الولاتي، قام بتصحيحه وتدقيقه ومراجعته: بابا محمد عبد الله محمد يحي الولاتي، دار عالم الكتب، الرياض، 1412ه.</w:t>
      </w:r>
    </w:p>
    <w:p w:rsidR="00382990" w:rsidRDefault="00382990" w:rsidP="000A76C7">
      <w:pPr>
        <w:pStyle w:val="afc"/>
        <w:numPr>
          <w:ilvl w:val="0"/>
          <w:numId w:val="325"/>
        </w:numPr>
      </w:pPr>
      <w:r>
        <w:rPr>
          <w:rFonts w:hint="cs"/>
          <w:rtl/>
        </w:rPr>
        <w:t>الوجيز في إيضاح قواعد الفقه الكلية لحمد صدقي بن أحمد البورنو، مؤسسة الرسالة، بيروت، الطبعة الخامسة: 1422ه.</w:t>
      </w:r>
    </w:p>
    <w:p w:rsidR="00382990" w:rsidRDefault="00382990" w:rsidP="000A76C7">
      <w:pPr>
        <w:pStyle w:val="afc"/>
        <w:numPr>
          <w:ilvl w:val="0"/>
          <w:numId w:val="325"/>
        </w:numPr>
      </w:pPr>
      <w:r>
        <w:rPr>
          <w:rFonts w:hint="cs"/>
          <w:rtl/>
        </w:rPr>
        <w:t>الوصف المناسب لشرع الحكم لأحمد محمود عبد الوهاب الشنقيطي، طبع الجامعة الإسلامية بالمدينة المنورة، 1415ه.</w:t>
      </w:r>
    </w:p>
    <w:p w:rsidR="00671EFE" w:rsidRDefault="00671EFE" w:rsidP="009118FF">
      <w:pPr>
        <w:ind w:firstLine="0"/>
        <w:rPr>
          <w:bCs/>
          <w:rtl/>
        </w:rPr>
      </w:pPr>
    </w:p>
    <w:p w:rsidR="00671EFE" w:rsidRDefault="00671EFE" w:rsidP="009118FF">
      <w:pPr>
        <w:ind w:firstLine="0"/>
        <w:rPr>
          <w:bCs/>
          <w:rtl/>
        </w:rPr>
      </w:pPr>
    </w:p>
    <w:p w:rsidR="00671EFE" w:rsidRDefault="00671EFE" w:rsidP="009118FF">
      <w:pPr>
        <w:ind w:firstLine="0"/>
        <w:rPr>
          <w:bCs/>
          <w:rtl/>
        </w:rPr>
      </w:pPr>
    </w:p>
    <w:p w:rsidR="00671EFE" w:rsidRDefault="00671EFE" w:rsidP="009118FF">
      <w:pPr>
        <w:ind w:firstLine="0"/>
        <w:rPr>
          <w:bCs/>
          <w:rtl/>
        </w:rPr>
      </w:pPr>
    </w:p>
    <w:p w:rsidR="00671EFE" w:rsidRDefault="00671EFE" w:rsidP="009118FF">
      <w:pPr>
        <w:ind w:firstLine="0"/>
        <w:rPr>
          <w:bCs/>
          <w:rtl/>
        </w:rPr>
      </w:pPr>
    </w:p>
    <w:p w:rsidR="00671EFE" w:rsidRDefault="00671EFE" w:rsidP="009118FF">
      <w:pPr>
        <w:ind w:firstLine="0"/>
        <w:rPr>
          <w:bCs/>
          <w:rtl/>
        </w:rPr>
      </w:pPr>
    </w:p>
    <w:p w:rsidR="00671EFE" w:rsidRDefault="00671EFE" w:rsidP="009118FF">
      <w:pPr>
        <w:ind w:firstLine="0"/>
        <w:rPr>
          <w:bCs/>
          <w:rtl/>
        </w:rPr>
      </w:pPr>
    </w:p>
    <w:p w:rsidR="00671EFE" w:rsidRDefault="00671EFE" w:rsidP="009118FF">
      <w:pPr>
        <w:ind w:firstLine="0"/>
        <w:rPr>
          <w:bCs/>
          <w:rtl/>
        </w:rPr>
      </w:pPr>
    </w:p>
    <w:p w:rsidR="00671EFE" w:rsidRDefault="00671EFE" w:rsidP="009118FF">
      <w:pPr>
        <w:ind w:firstLine="0"/>
        <w:rPr>
          <w:bCs/>
          <w:rtl/>
        </w:rPr>
      </w:pPr>
    </w:p>
    <w:p w:rsidR="009118FF" w:rsidRDefault="009118FF" w:rsidP="009118FF">
      <w:pPr>
        <w:ind w:firstLine="0"/>
        <w:rPr>
          <w:rtl/>
        </w:rPr>
      </w:pPr>
      <w:r>
        <w:rPr>
          <w:rFonts w:hint="cs"/>
          <w:bCs/>
          <w:rtl/>
        </w:rPr>
        <w:lastRenderedPageBreak/>
        <w:t>ث</w:t>
      </w:r>
      <w:r>
        <w:rPr>
          <w:bCs/>
          <w:rtl/>
        </w:rPr>
        <w:t>ا</w:t>
      </w:r>
      <w:r>
        <w:rPr>
          <w:rFonts w:hint="cs"/>
          <w:bCs/>
          <w:rtl/>
        </w:rPr>
        <w:t>لث</w:t>
      </w:r>
      <w:r w:rsidRPr="006960FA">
        <w:rPr>
          <w:bCs/>
          <w:rtl/>
        </w:rPr>
        <w:t>اً</w:t>
      </w:r>
      <w:r>
        <w:rPr>
          <w:rFonts w:hint="cs"/>
          <w:rtl/>
        </w:rPr>
        <w:t xml:space="preserve">: </w:t>
      </w:r>
      <w:r w:rsidRPr="009118FF">
        <w:rPr>
          <w:rFonts w:hint="cs"/>
          <w:b/>
          <w:bCs/>
          <w:rtl/>
        </w:rPr>
        <w:t>المجلات والدوريات والندوات:</w:t>
      </w:r>
    </w:p>
    <w:p w:rsidR="009118FF" w:rsidRDefault="009118FF" w:rsidP="009118FF">
      <w:pPr>
        <w:pStyle w:val="afc"/>
        <w:numPr>
          <w:ilvl w:val="0"/>
          <w:numId w:val="339"/>
        </w:numPr>
      </w:pPr>
      <w:r>
        <w:rPr>
          <w:rFonts w:hint="cs"/>
          <w:rtl/>
        </w:rPr>
        <w:t>بحوث ندوة الشيخ محمد العثيمين العلمية، طبع بمطبعة سفير بالرياض بإشراف جامعة القصيم، الطبعة الأولى: 1432ه.</w:t>
      </w:r>
    </w:p>
    <w:p w:rsidR="004D2E66" w:rsidRDefault="004D2E66" w:rsidP="004D2E66">
      <w:pPr>
        <w:pStyle w:val="afc"/>
        <w:numPr>
          <w:ilvl w:val="0"/>
          <w:numId w:val="339"/>
        </w:numPr>
      </w:pPr>
      <w:r w:rsidRPr="00331F14">
        <w:rPr>
          <w:rFonts w:hint="cs"/>
          <w:rtl/>
        </w:rPr>
        <w:t>مجلة البيان</w:t>
      </w:r>
      <w:r w:rsidRPr="00331F14">
        <w:rPr>
          <w:rFonts w:ascii="Traditional Arabic" w:hAnsi="Traditional Arabic"/>
          <w:rtl/>
        </w:rPr>
        <w:t>، العدد (160)</w:t>
      </w:r>
      <w:r w:rsidRPr="00331F14">
        <w:rPr>
          <w:rFonts w:ascii="Traditional Arabic" w:hAnsi="Traditional Arabic" w:hint="cs"/>
          <w:rtl/>
        </w:rPr>
        <w:t>_</w:t>
      </w:r>
      <w:r w:rsidRPr="00331F14">
        <w:rPr>
          <w:rFonts w:ascii="Traditional Arabic" w:hAnsi="Traditional Arabic"/>
          <w:rtl/>
        </w:rPr>
        <w:t xml:space="preserve"> ذو الحجة 1421ه</w:t>
      </w:r>
      <w:r w:rsidRPr="00331F14">
        <w:rPr>
          <w:rFonts w:ascii="Traditional Arabic" w:hAnsi="Traditional Arabic" w:hint="cs"/>
          <w:rtl/>
        </w:rPr>
        <w:t>، مارس 2001م</w:t>
      </w:r>
      <w:r w:rsidRPr="00331F14">
        <w:rPr>
          <w:rFonts w:ascii="Traditional Arabic" w:hAnsi="Traditional Arabic"/>
          <w:rtl/>
        </w:rPr>
        <w:t>ـ.</w:t>
      </w:r>
      <w:r w:rsidRPr="00331F14">
        <w:rPr>
          <w:rFonts w:hint="cs"/>
          <w:rtl/>
        </w:rPr>
        <w:t xml:space="preserve">  </w:t>
      </w:r>
    </w:p>
    <w:p w:rsidR="00331F14" w:rsidRDefault="00331F14" w:rsidP="009118FF">
      <w:pPr>
        <w:pStyle w:val="afc"/>
        <w:numPr>
          <w:ilvl w:val="0"/>
          <w:numId w:val="339"/>
        </w:numPr>
      </w:pPr>
      <w:r>
        <w:rPr>
          <w:rFonts w:hint="cs"/>
          <w:rtl/>
        </w:rPr>
        <w:t>مجلة الجامعة الإسلامية بالمدينة المنورة، العدد:41.</w:t>
      </w:r>
    </w:p>
    <w:p w:rsidR="005F5567" w:rsidRDefault="009118FF" w:rsidP="005F5567">
      <w:pPr>
        <w:pStyle w:val="afc"/>
        <w:numPr>
          <w:ilvl w:val="0"/>
          <w:numId w:val="325"/>
        </w:numPr>
      </w:pPr>
      <w:r>
        <w:rPr>
          <w:rFonts w:hint="cs"/>
          <w:rtl/>
        </w:rPr>
        <w:t>مجلة الجامعة الإسلامية</w:t>
      </w:r>
      <w:r w:rsidR="005F5567">
        <w:rPr>
          <w:rFonts w:hint="cs"/>
          <w:rtl/>
        </w:rPr>
        <w:t xml:space="preserve"> بالمدينة المنورة، العدد: 143_السنة41_1429ه.</w:t>
      </w:r>
    </w:p>
    <w:p w:rsidR="005F5567" w:rsidRDefault="005F5567" w:rsidP="009118FF">
      <w:pPr>
        <w:pStyle w:val="afc"/>
        <w:numPr>
          <w:ilvl w:val="0"/>
          <w:numId w:val="339"/>
        </w:numPr>
      </w:pPr>
      <w:r>
        <w:rPr>
          <w:rFonts w:hint="cs"/>
          <w:rtl/>
        </w:rPr>
        <w:t>مجلة الجامعة الإسلامية بالمدينة المنورة، العدد: 130_السنة 38_1426ه.</w:t>
      </w:r>
    </w:p>
    <w:p w:rsidR="006960FA" w:rsidRPr="006960FA" w:rsidRDefault="004D2E66" w:rsidP="00671EFE">
      <w:pPr>
        <w:pStyle w:val="afc"/>
        <w:numPr>
          <w:ilvl w:val="0"/>
          <w:numId w:val="339"/>
        </w:numPr>
      </w:pPr>
      <w:r>
        <w:rPr>
          <w:rFonts w:hint="cs"/>
          <w:rtl/>
        </w:rPr>
        <w:t>مجلة الحكمة، العدد: 10.</w:t>
      </w:r>
    </w:p>
    <w:p w:rsidR="006960FA" w:rsidRPr="006960FA" w:rsidRDefault="009118FF" w:rsidP="00597C20">
      <w:pPr>
        <w:ind w:firstLine="0"/>
        <w:rPr>
          <w:bCs/>
          <w:rtl/>
        </w:rPr>
      </w:pPr>
      <w:r>
        <w:rPr>
          <w:rFonts w:hint="cs"/>
          <w:bCs/>
          <w:rtl/>
        </w:rPr>
        <w:t>ر</w:t>
      </w:r>
      <w:r w:rsidR="00130929">
        <w:rPr>
          <w:bCs/>
          <w:rtl/>
        </w:rPr>
        <w:t>ا</w:t>
      </w:r>
      <w:r>
        <w:rPr>
          <w:rFonts w:hint="cs"/>
          <w:bCs/>
          <w:rtl/>
        </w:rPr>
        <w:t>بعاً</w:t>
      </w:r>
      <w:r w:rsidR="006960FA" w:rsidRPr="006960FA">
        <w:rPr>
          <w:bCs/>
          <w:rtl/>
        </w:rPr>
        <w:t xml:space="preserve"> : الأقراص الحاسوبية و المواقع الإلكترونية :</w:t>
      </w:r>
    </w:p>
    <w:p w:rsidR="006960FA" w:rsidRPr="006960FA" w:rsidRDefault="006960FA" w:rsidP="000A76C7">
      <w:pPr>
        <w:pStyle w:val="afc"/>
        <w:numPr>
          <w:ilvl w:val="0"/>
          <w:numId w:val="326"/>
        </w:numPr>
        <w:rPr>
          <w:rtl/>
        </w:rPr>
      </w:pPr>
      <w:r w:rsidRPr="006960FA">
        <w:rPr>
          <w:rtl/>
        </w:rPr>
        <w:t>فتاوى نور على الدرب النصيـــــة ، لفضيلة الشيخ محمد بن صالح العثيمين  رحمه الله تعالى، مؤسسة الشيخ محمد بن صالح العثيمين الخيرية ، الإصدار الأول ، 1427هـ/2006م</w:t>
      </w:r>
      <w:r w:rsidR="00A56C29">
        <w:rPr>
          <w:rFonts w:hint="cs"/>
          <w:rtl/>
        </w:rPr>
        <w:t xml:space="preserve">، </w:t>
      </w:r>
      <w:r w:rsidR="00A56C29">
        <w:t>cd</w:t>
      </w:r>
      <w:r w:rsidRPr="006960FA">
        <w:rPr>
          <w:rtl/>
        </w:rPr>
        <w:t xml:space="preserve"> .</w:t>
      </w:r>
    </w:p>
    <w:p w:rsidR="006960FA" w:rsidRPr="006960FA" w:rsidRDefault="006960FA" w:rsidP="000A76C7">
      <w:pPr>
        <w:pStyle w:val="afc"/>
        <w:numPr>
          <w:ilvl w:val="0"/>
          <w:numId w:val="326"/>
        </w:numPr>
      </w:pPr>
      <w:r w:rsidRPr="006960FA">
        <w:rPr>
          <w:rtl/>
        </w:rPr>
        <w:t>موقع فضيلة الشيخ العلاَّمة محمد بن صالح العثيمين  رحمه الله :</w:t>
      </w:r>
    </w:p>
    <w:p w:rsidR="006960FA" w:rsidRPr="006960FA" w:rsidRDefault="006960FA" w:rsidP="00A56C29">
      <w:pPr>
        <w:pStyle w:val="afc"/>
        <w:ind w:left="1440" w:firstLine="0"/>
        <w:rPr>
          <w:b/>
          <w:bCs/>
        </w:rPr>
      </w:pPr>
      <w:r w:rsidRPr="006960FA">
        <w:rPr>
          <w:rFonts w:hint="cs"/>
          <w:rtl/>
        </w:rPr>
        <w:t>(</w:t>
      </w:r>
      <w:r w:rsidRPr="006960FA">
        <w:t>www.binothaimeen.com</w:t>
      </w:r>
      <w:r w:rsidRPr="006960FA">
        <w:rPr>
          <w:rFonts w:hint="cs"/>
          <w:rtl/>
        </w:rPr>
        <w:t>)</w:t>
      </w:r>
    </w:p>
    <w:p w:rsidR="00FF4366" w:rsidRDefault="00FF4366" w:rsidP="00597C20">
      <w:pPr>
        <w:ind w:firstLine="0"/>
        <w:rPr>
          <w:rtl/>
        </w:rPr>
      </w:pPr>
    </w:p>
    <w:p w:rsidR="001351E5" w:rsidRDefault="001351E5" w:rsidP="00597C20">
      <w:pPr>
        <w:ind w:firstLine="0"/>
        <w:rPr>
          <w:rtl/>
        </w:rPr>
        <w:sectPr w:rsidR="001351E5" w:rsidSect="000E3D46">
          <w:footnotePr>
            <w:numRestart w:val="eachPage"/>
          </w:footnotePr>
          <w:pgSz w:w="11906" w:h="16838" w:code="9"/>
          <w:pgMar w:top="1418" w:right="1134" w:bottom="1418" w:left="1418" w:header="567" w:footer="737" w:gutter="567"/>
          <w:cols w:space="708"/>
          <w:bidi/>
          <w:rtlGutter/>
          <w:docGrid w:linePitch="490"/>
        </w:sectPr>
      </w:pPr>
    </w:p>
    <w:p w:rsidR="003F2815" w:rsidRDefault="003F2815" w:rsidP="003F2815">
      <w:pPr>
        <w:pStyle w:val="aff0"/>
        <w:rPr>
          <w:rtl/>
          <w:lang w:bidi="ar-DZ"/>
        </w:rPr>
      </w:pPr>
      <w:bookmarkStart w:id="557" w:name="_Toc334046730"/>
      <w:r w:rsidRPr="000E23B1">
        <w:rPr>
          <w:rFonts w:hint="cs"/>
          <w:rtl/>
        </w:rPr>
        <w:lastRenderedPageBreak/>
        <w:t xml:space="preserve">فهرس </w:t>
      </w:r>
      <w:r>
        <w:rPr>
          <w:rFonts w:hint="cs"/>
          <w:rtl/>
          <w:lang w:bidi="ar-DZ"/>
        </w:rPr>
        <w:t>الموضوعات</w:t>
      </w:r>
      <w:bookmarkEnd w:id="557"/>
    </w:p>
    <w:p w:rsidR="00AD0AE5" w:rsidRDefault="00AB0B9E">
      <w:pPr>
        <w:pStyle w:val="15"/>
        <w:rPr>
          <w:rFonts w:asciiTheme="minorHAnsi" w:eastAsiaTheme="minorEastAsia" w:hAnsiTheme="minorHAnsi" w:cstheme="minorBidi"/>
          <w:b w:val="0"/>
          <w:bCs w:val="0"/>
          <w:color w:val="auto"/>
          <w:sz w:val="22"/>
          <w:szCs w:val="22"/>
          <w:rtl/>
          <w:lang w:val="fr-FR" w:eastAsia="fr-FR"/>
        </w:rPr>
      </w:pPr>
      <w:r w:rsidRPr="00AB0B9E">
        <w:rPr>
          <w:rtl/>
        </w:rPr>
        <w:fldChar w:fldCharType="begin"/>
      </w:r>
      <w:r w:rsidR="001673B4">
        <w:rPr>
          <w:rFonts w:hint="cs"/>
        </w:rPr>
        <w:instrText>TOC</w:instrText>
      </w:r>
      <w:r w:rsidR="001673B4">
        <w:rPr>
          <w:rFonts w:hint="cs"/>
          <w:rtl/>
        </w:rPr>
        <w:instrText xml:space="preserve"> \</w:instrText>
      </w:r>
      <w:r w:rsidR="001673B4">
        <w:rPr>
          <w:rFonts w:hint="cs"/>
        </w:rPr>
        <w:instrText>o "1-4" \h \z \u</w:instrText>
      </w:r>
      <w:r w:rsidRPr="00AB0B9E">
        <w:rPr>
          <w:rtl/>
        </w:rPr>
        <w:fldChar w:fldCharType="separate"/>
      </w:r>
      <w:hyperlink w:anchor="_Toc334046265" w:history="1">
        <w:r w:rsidR="00AD0AE5" w:rsidRPr="00282605">
          <w:rPr>
            <w:rStyle w:val="Hyperlink"/>
            <w:rFonts w:hint="eastAsia"/>
            <w:rtl/>
          </w:rPr>
          <w:t>شكر</w:t>
        </w:r>
        <w:r w:rsidR="00C407BE">
          <w:rPr>
            <w:rStyle w:val="Hyperlink"/>
            <w:rFonts w:hint="cs"/>
            <w:rtl/>
          </w:rPr>
          <w:t xml:space="preserve"> </w:t>
        </w:r>
        <w:r w:rsidR="00AD0AE5" w:rsidRPr="00282605">
          <w:rPr>
            <w:rStyle w:val="Hyperlink"/>
            <w:rFonts w:hint="eastAsia"/>
            <w:rtl/>
          </w:rPr>
          <w:t>وتقدير</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334046265 </w:instrText>
        </w:r>
        <w:r w:rsidR="00AD0AE5">
          <w:rPr>
            <w:webHidden/>
          </w:rPr>
          <w:instrText>\h</w:instrText>
        </w:r>
        <w:r>
          <w:rPr>
            <w:webHidden/>
            <w:rtl/>
          </w:rPr>
        </w:r>
        <w:r>
          <w:rPr>
            <w:webHidden/>
            <w:rtl/>
          </w:rPr>
          <w:fldChar w:fldCharType="separate"/>
        </w:r>
        <w:r w:rsidR="00982621">
          <w:rPr>
            <w:webHidden/>
            <w:rtl/>
          </w:rPr>
          <w:t>3</w:t>
        </w:r>
        <w:r>
          <w:rPr>
            <w:webHidden/>
            <w:rtl/>
          </w:rPr>
          <w:fldChar w:fldCharType="end"/>
        </w:r>
      </w:hyperlink>
    </w:p>
    <w:p w:rsidR="00AD0AE5" w:rsidRDefault="00AB0B9E">
      <w:pPr>
        <w:pStyle w:val="15"/>
        <w:rPr>
          <w:rFonts w:asciiTheme="minorHAnsi" w:eastAsiaTheme="minorEastAsia" w:hAnsiTheme="minorHAnsi" w:cstheme="minorBidi"/>
          <w:b w:val="0"/>
          <w:bCs w:val="0"/>
          <w:color w:val="auto"/>
          <w:sz w:val="22"/>
          <w:szCs w:val="22"/>
          <w:rtl/>
          <w:lang w:val="fr-FR" w:eastAsia="fr-FR"/>
        </w:rPr>
      </w:pPr>
      <w:hyperlink w:anchor="_Toc334046266" w:history="1">
        <w:r w:rsidR="00AD0AE5" w:rsidRPr="00282605">
          <w:rPr>
            <w:rStyle w:val="Hyperlink"/>
            <w:rFonts w:hint="eastAsia"/>
            <w:rtl/>
          </w:rPr>
          <w:t>مقدمـة</w:t>
        </w:r>
        <w:r w:rsidR="00C407BE">
          <w:rPr>
            <w:rStyle w:val="Hyperlink"/>
            <w:rFonts w:hint="cs"/>
            <w:rtl/>
          </w:rPr>
          <w:t xml:space="preserve"> </w:t>
        </w:r>
        <w:r w:rsidR="00AD0AE5" w:rsidRPr="00282605">
          <w:rPr>
            <w:rStyle w:val="Hyperlink"/>
            <w:rFonts w:hint="eastAsia"/>
            <w:rtl/>
          </w:rPr>
          <w:t>البحث</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334046266 </w:instrText>
        </w:r>
        <w:r w:rsidR="00AD0AE5">
          <w:rPr>
            <w:webHidden/>
          </w:rPr>
          <w:instrText>\h</w:instrText>
        </w:r>
        <w:r>
          <w:rPr>
            <w:webHidden/>
            <w:rtl/>
          </w:rPr>
        </w:r>
        <w:r>
          <w:rPr>
            <w:webHidden/>
            <w:rtl/>
          </w:rPr>
          <w:fldChar w:fldCharType="separate"/>
        </w:r>
        <w:r w:rsidR="00982621">
          <w:rPr>
            <w:webHidden/>
            <w:rtl/>
          </w:rPr>
          <w:t>6</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67" w:history="1">
        <w:r w:rsidR="00AD0AE5" w:rsidRPr="00282605">
          <w:rPr>
            <w:rStyle w:val="Hyperlink"/>
            <w:rFonts w:hint="eastAsia"/>
            <w:rtl/>
          </w:rPr>
          <w:t>الافتتاحية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334046267 </w:instrText>
        </w:r>
        <w:r w:rsidR="00AD0AE5">
          <w:rPr>
            <w:webHidden/>
          </w:rPr>
          <w:instrText>\h</w:instrText>
        </w:r>
        <w:r>
          <w:rPr>
            <w:webHidden/>
            <w:rtl/>
          </w:rPr>
        </w:r>
        <w:r>
          <w:rPr>
            <w:webHidden/>
            <w:rtl/>
          </w:rPr>
          <w:fldChar w:fldCharType="separate"/>
        </w:r>
        <w:r w:rsidR="00982621">
          <w:rPr>
            <w:webHidden/>
            <w:rtl/>
          </w:rPr>
          <w:t>7</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68" w:history="1">
        <w:r w:rsidR="00AD0AE5" w:rsidRPr="00282605">
          <w:rPr>
            <w:rStyle w:val="Hyperlink"/>
            <w:rFonts w:hint="eastAsia"/>
            <w:rtl/>
          </w:rPr>
          <w:t>أسباب</w:t>
        </w:r>
        <w:r w:rsidR="00E37224">
          <w:rPr>
            <w:rStyle w:val="Hyperlink"/>
            <w:rFonts w:hint="cs"/>
            <w:rtl/>
          </w:rPr>
          <w:t xml:space="preserve"> </w:t>
        </w:r>
        <w:r w:rsidR="00AD0AE5" w:rsidRPr="00282605">
          <w:rPr>
            <w:rStyle w:val="Hyperlink"/>
            <w:rFonts w:hint="eastAsia"/>
            <w:rtl/>
          </w:rPr>
          <w:t>اختيارالموضوع</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334046268 </w:instrText>
        </w:r>
        <w:r w:rsidR="00AD0AE5">
          <w:rPr>
            <w:webHidden/>
          </w:rPr>
          <w:instrText>\h</w:instrText>
        </w:r>
        <w:r>
          <w:rPr>
            <w:webHidden/>
            <w:rtl/>
          </w:rPr>
        </w:r>
        <w:r>
          <w:rPr>
            <w:webHidden/>
            <w:rtl/>
          </w:rPr>
          <w:fldChar w:fldCharType="separate"/>
        </w:r>
        <w:r w:rsidR="00982621">
          <w:rPr>
            <w:webHidden/>
            <w:rtl/>
          </w:rPr>
          <w:t>8</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69" w:history="1">
        <w:r w:rsidR="00AD0AE5" w:rsidRPr="00282605">
          <w:rPr>
            <w:rStyle w:val="Hyperlink"/>
            <w:rFonts w:hint="eastAsia"/>
            <w:rtl/>
          </w:rPr>
          <w:t>الدراسات</w:t>
        </w:r>
        <w:r w:rsidR="00E37224">
          <w:rPr>
            <w:rStyle w:val="Hyperlink"/>
            <w:rFonts w:hint="cs"/>
            <w:rtl/>
          </w:rPr>
          <w:t xml:space="preserve"> </w:t>
        </w:r>
        <w:r w:rsidR="00AD0AE5" w:rsidRPr="00282605">
          <w:rPr>
            <w:rStyle w:val="Hyperlink"/>
            <w:rFonts w:hint="eastAsia"/>
            <w:rtl/>
          </w:rPr>
          <w:t>السابقة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334046269 </w:instrText>
        </w:r>
        <w:r w:rsidR="00AD0AE5">
          <w:rPr>
            <w:webHidden/>
          </w:rPr>
          <w:instrText>\h</w:instrText>
        </w:r>
        <w:r>
          <w:rPr>
            <w:webHidden/>
            <w:rtl/>
          </w:rPr>
        </w:r>
        <w:r>
          <w:rPr>
            <w:webHidden/>
            <w:rtl/>
          </w:rPr>
          <w:fldChar w:fldCharType="separate"/>
        </w:r>
        <w:r w:rsidR="00982621">
          <w:rPr>
            <w:webHidden/>
            <w:rtl/>
          </w:rPr>
          <w:t>8</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70" w:history="1">
        <w:r w:rsidR="00AD0AE5" w:rsidRPr="00282605">
          <w:rPr>
            <w:rStyle w:val="Hyperlink"/>
            <w:rFonts w:hint="eastAsia"/>
            <w:rtl/>
          </w:rPr>
          <w:t>خطة</w:t>
        </w:r>
        <w:r w:rsidR="00E37224">
          <w:rPr>
            <w:rStyle w:val="Hyperlink"/>
            <w:rFonts w:hint="cs"/>
            <w:rtl/>
          </w:rPr>
          <w:t xml:space="preserve"> </w:t>
        </w:r>
        <w:r w:rsidR="00AD0AE5" w:rsidRPr="00282605">
          <w:rPr>
            <w:rStyle w:val="Hyperlink"/>
            <w:rFonts w:hint="eastAsia"/>
            <w:rtl/>
          </w:rPr>
          <w:t>البحث</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334046270 </w:instrText>
        </w:r>
        <w:r w:rsidR="00AD0AE5">
          <w:rPr>
            <w:webHidden/>
          </w:rPr>
          <w:instrText>\h</w:instrText>
        </w:r>
        <w:r>
          <w:rPr>
            <w:webHidden/>
            <w:rtl/>
          </w:rPr>
        </w:r>
        <w:r>
          <w:rPr>
            <w:webHidden/>
            <w:rtl/>
          </w:rPr>
          <w:fldChar w:fldCharType="separate"/>
        </w:r>
        <w:r w:rsidR="00982621">
          <w:rPr>
            <w:webHidden/>
            <w:rtl/>
          </w:rPr>
          <w:t>10</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71" w:history="1">
        <w:r w:rsidR="00AD0AE5" w:rsidRPr="00282605">
          <w:rPr>
            <w:rStyle w:val="Hyperlink"/>
            <w:rFonts w:hint="eastAsia"/>
            <w:rtl/>
          </w:rPr>
          <w:t>منهج</w:t>
        </w:r>
        <w:r w:rsidR="00E37224">
          <w:rPr>
            <w:rStyle w:val="Hyperlink"/>
            <w:rFonts w:hint="cs"/>
            <w:rtl/>
          </w:rPr>
          <w:t xml:space="preserve"> </w:t>
        </w:r>
        <w:r w:rsidR="00AD0AE5" w:rsidRPr="00282605">
          <w:rPr>
            <w:rStyle w:val="Hyperlink"/>
            <w:rFonts w:hint="eastAsia"/>
            <w:rtl/>
          </w:rPr>
          <w:t>البحث</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334046271 </w:instrText>
        </w:r>
        <w:r w:rsidR="00AD0AE5">
          <w:rPr>
            <w:webHidden/>
          </w:rPr>
          <w:instrText>\h</w:instrText>
        </w:r>
        <w:r>
          <w:rPr>
            <w:webHidden/>
            <w:rtl/>
          </w:rPr>
        </w:r>
        <w:r>
          <w:rPr>
            <w:webHidden/>
            <w:rtl/>
          </w:rPr>
          <w:fldChar w:fldCharType="separate"/>
        </w:r>
        <w:r w:rsidR="00982621">
          <w:rPr>
            <w:webHidden/>
            <w:rtl/>
          </w:rPr>
          <w:t>17</w:t>
        </w:r>
        <w:r>
          <w:rPr>
            <w:webHidden/>
            <w:rtl/>
          </w:rPr>
          <w:fldChar w:fldCharType="end"/>
        </w:r>
      </w:hyperlink>
    </w:p>
    <w:p w:rsidR="00AD0AE5" w:rsidRDefault="00AB0B9E">
      <w:pPr>
        <w:pStyle w:val="15"/>
        <w:rPr>
          <w:rFonts w:asciiTheme="minorHAnsi" w:eastAsiaTheme="minorEastAsia" w:hAnsiTheme="minorHAnsi" w:cstheme="minorBidi"/>
          <w:b w:val="0"/>
          <w:bCs w:val="0"/>
          <w:color w:val="auto"/>
          <w:sz w:val="22"/>
          <w:szCs w:val="22"/>
          <w:rtl/>
          <w:lang w:val="fr-FR" w:eastAsia="fr-FR"/>
        </w:rPr>
      </w:pPr>
      <w:hyperlink w:anchor="_Toc334046272" w:history="1">
        <w:r w:rsidR="00AD0AE5" w:rsidRPr="00282605">
          <w:rPr>
            <w:rStyle w:val="Hyperlink"/>
            <w:rFonts w:hint="eastAsia"/>
            <w:rtl/>
          </w:rPr>
          <w:t>التمهيد</w:t>
        </w:r>
        <w:r w:rsidR="00AD0AE5" w:rsidRPr="00282605">
          <w:rPr>
            <w:rStyle w:val="Hyperlink"/>
            <w:rtl/>
          </w:rPr>
          <w:t xml:space="preserve">: </w:t>
        </w:r>
        <w:r w:rsidR="00AD0AE5" w:rsidRPr="00282605">
          <w:rPr>
            <w:rStyle w:val="Hyperlink"/>
            <w:rFonts w:hint="eastAsia"/>
            <w:rtl/>
          </w:rPr>
          <w:t>التعريف</w:t>
        </w:r>
        <w:r w:rsidR="00E37224">
          <w:rPr>
            <w:rStyle w:val="Hyperlink"/>
            <w:rFonts w:hint="cs"/>
            <w:rtl/>
          </w:rPr>
          <w:t xml:space="preserve"> </w:t>
        </w:r>
        <w:r w:rsidR="00AD0AE5" w:rsidRPr="00282605">
          <w:rPr>
            <w:rStyle w:val="Hyperlink"/>
            <w:rFonts w:hint="eastAsia"/>
            <w:rtl/>
          </w:rPr>
          <w:t>بمفردات</w:t>
        </w:r>
        <w:r w:rsidR="00E37224">
          <w:rPr>
            <w:rStyle w:val="Hyperlink"/>
            <w:rFonts w:hint="cs"/>
            <w:rtl/>
          </w:rPr>
          <w:t xml:space="preserve"> </w:t>
        </w:r>
        <w:r w:rsidR="00AD0AE5" w:rsidRPr="00282605">
          <w:rPr>
            <w:rStyle w:val="Hyperlink"/>
            <w:rFonts w:hint="eastAsia"/>
            <w:rtl/>
          </w:rPr>
          <w:t>عنوان</w:t>
        </w:r>
        <w:r w:rsidR="00E37224">
          <w:rPr>
            <w:rStyle w:val="Hyperlink"/>
            <w:rFonts w:hint="cs"/>
            <w:rtl/>
          </w:rPr>
          <w:t xml:space="preserve"> </w:t>
        </w:r>
        <w:r w:rsidR="00AD0AE5" w:rsidRPr="00282605">
          <w:rPr>
            <w:rStyle w:val="Hyperlink"/>
            <w:rFonts w:hint="eastAsia"/>
            <w:rtl/>
          </w:rPr>
          <w:t>الرسالة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334046272 </w:instrText>
        </w:r>
        <w:r w:rsidR="00AD0AE5">
          <w:rPr>
            <w:webHidden/>
          </w:rPr>
          <w:instrText>\h</w:instrText>
        </w:r>
        <w:r>
          <w:rPr>
            <w:webHidden/>
            <w:rtl/>
          </w:rPr>
        </w:r>
        <w:r>
          <w:rPr>
            <w:webHidden/>
            <w:rtl/>
          </w:rPr>
          <w:fldChar w:fldCharType="separate"/>
        </w:r>
        <w:r w:rsidR="00982621">
          <w:rPr>
            <w:webHidden/>
            <w:rtl/>
          </w:rPr>
          <w:t>21</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273" w:history="1">
        <w:r w:rsidR="00AD0AE5" w:rsidRPr="00282605">
          <w:rPr>
            <w:rStyle w:val="Hyperlink"/>
            <w:rFonts w:hint="eastAsia"/>
            <w:rtl/>
          </w:rPr>
          <w:t>المبحث</w:t>
        </w:r>
        <w:r w:rsidR="00E37224">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ترجمة</w:t>
        </w:r>
        <w:r w:rsidR="00E37224">
          <w:rPr>
            <w:rStyle w:val="Hyperlink"/>
            <w:rFonts w:hint="cs"/>
            <w:rtl/>
          </w:rPr>
          <w:t xml:space="preserve"> </w:t>
        </w:r>
        <w:r w:rsidR="00AD0AE5" w:rsidRPr="00282605">
          <w:rPr>
            <w:rStyle w:val="Hyperlink"/>
            <w:rFonts w:hint="eastAsia"/>
            <w:rtl/>
          </w:rPr>
          <w:t>الشيخ</w:t>
        </w:r>
        <w:r w:rsidR="00E37224">
          <w:rPr>
            <w:rStyle w:val="Hyperlink"/>
            <w:rFonts w:hint="cs"/>
            <w:rtl/>
          </w:rPr>
          <w:t xml:space="preserve"> </w:t>
        </w:r>
        <w:r w:rsidR="00AD0AE5" w:rsidRPr="00282605">
          <w:rPr>
            <w:rStyle w:val="Hyperlink"/>
            <w:rFonts w:hint="eastAsia"/>
            <w:rtl/>
          </w:rPr>
          <w:t>ابن</w:t>
        </w:r>
        <w:r w:rsidR="00E37224">
          <w:rPr>
            <w:rStyle w:val="Hyperlink"/>
            <w:rFonts w:hint="cs"/>
            <w:rtl/>
          </w:rPr>
          <w:t xml:space="preserve"> </w:t>
        </w:r>
        <w:r w:rsidR="00AD0AE5" w:rsidRPr="00282605">
          <w:rPr>
            <w:rStyle w:val="Hyperlink"/>
            <w:rFonts w:hint="eastAsia"/>
            <w:rtl/>
          </w:rPr>
          <w:t>عثيمين</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334046273 </w:instrText>
        </w:r>
        <w:r w:rsidR="00AD0AE5">
          <w:rPr>
            <w:webHidden/>
          </w:rPr>
          <w:instrText>\h</w:instrText>
        </w:r>
        <w:r>
          <w:rPr>
            <w:webHidden/>
            <w:rtl/>
          </w:rPr>
        </w:r>
        <w:r>
          <w:rPr>
            <w:webHidden/>
            <w:rtl/>
          </w:rPr>
          <w:fldChar w:fldCharType="separate"/>
        </w:r>
        <w:r w:rsidR="00982621">
          <w:rPr>
            <w:webHidden/>
            <w:rtl/>
          </w:rPr>
          <w:t>22</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74"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اسمه</w:t>
        </w:r>
        <w:r w:rsidR="00E37224">
          <w:rPr>
            <w:rStyle w:val="Hyperlink"/>
            <w:rFonts w:hint="cs"/>
            <w:rtl/>
          </w:rPr>
          <w:t xml:space="preserve"> </w:t>
        </w:r>
        <w:r w:rsidR="00AD0AE5" w:rsidRPr="00282605">
          <w:rPr>
            <w:rStyle w:val="Hyperlink"/>
            <w:rFonts w:hint="eastAsia"/>
            <w:rtl/>
          </w:rPr>
          <w:t>ونسبه</w:t>
        </w:r>
        <w:r w:rsidR="00E37224">
          <w:rPr>
            <w:rStyle w:val="Hyperlink"/>
            <w:rFonts w:hint="cs"/>
            <w:rtl/>
          </w:rPr>
          <w:t xml:space="preserve"> </w:t>
        </w:r>
        <w:r w:rsidR="00AD0AE5" w:rsidRPr="00282605">
          <w:rPr>
            <w:rStyle w:val="Hyperlink"/>
            <w:rFonts w:hint="eastAsia"/>
            <w:rtl/>
          </w:rPr>
          <w:t>ولقبه</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334046274 </w:instrText>
        </w:r>
        <w:r w:rsidR="00AD0AE5">
          <w:rPr>
            <w:webHidden/>
          </w:rPr>
          <w:instrText>\h</w:instrText>
        </w:r>
        <w:r>
          <w:rPr>
            <w:webHidden/>
            <w:rtl/>
          </w:rPr>
        </w:r>
        <w:r>
          <w:rPr>
            <w:webHidden/>
            <w:rtl/>
          </w:rPr>
          <w:fldChar w:fldCharType="separate"/>
        </w:r>
        <w:r w:rsidR="00982621">
          <w:rPr>
            <w:webHidden/>
            <w:rtl/>
          </w:rPr>
          <w:t>23</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75"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ولادته</w:t>
        </w:r>
        <w:r w:rsidR="00E37224">
          <w:rPr>
            <w:rStyle w:val="Hyperlink"/>
            <w:rFonts w:hint="cs"/>
            <w:rtl/>
          </w:rPr>
          <w:t xml:space="preserve"> </w:t>
        </w:r>
        <w:r w:rsidR="00AD0AE5" w:rsidRPr="00282605">
          <w:rPr>
            <w:rStyle w:val="Hyperlink"/>
            <w:rFonts w:hint="eastAsia"/>
            <w:rtl/>
          </w:rPr>
          <w:t>ونشأته</w:t>
        </w:r>
        <w:r w:rsidR="00E37224">
          <w:rPr>
            <w:rStyle w:val="Hyperlink"/>
            <w:rFonts w:hint="cs"/>
            <w:rtl/>
          </w:rPr>
          <w:t xml:space="preserve"> </w:t>
        </w:r>
        <w:r w:rsidR="00AD0AE5" w:rsidRPr="00282605">
          <w:rPr>
            <w:rStyle w:val="Hyperlink"/>
            <w:rFonts w:hint="eastAsia"/>
            <w:rtl/>
          </w:rPr>
          <w:t>ووفاته</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334046275 </w:instrText>
        </w:r>
        <w:r w:rsidR="00AD0AE5">
          <w:rPr>
            <w:webHidden/>
          </w:rPr>
          <w:instrText>\h</w:instrText>
        </w:r>
        <w:r>
          <w:rPr>
            <w:webHidden/>
            <w:rtl/>
          </w:rPr>
        </w:r>
        <w:r>
          <w:rPr>
            <w:webHidden/>
            <w:rtl/>
          </w:rPr>
          <w:fldChar w:fldCharType="separate"/>
        </w:r>
        <w:r w:rsidR="00982621">
          <w:rPr>
            <w:webHidden/>
            <w:rtl/>
          </w:rPr>
          <w:t>23</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76"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شيوخه</w:t>
        </w:r>
        <w:r w:rsidR="00E37224">
          <w:rPr>
            <w:rStyle w:val="Hyperlink"/>
            <w:rFonts w:hint="cs"/>
            <w:rtl/>
          </w:rPr>
          <w:t xml:space="preserve"> </w:t>
        </w:r>
        <w:r w:rsidR="00AD0AE5" w:rsidRPr="00282605">
          <w:rPr>
            <w:rStyle w:val="Hyperlink"/>
            <w:rFonts w:hint="eastAsia"/>
            <w:rtl/>
          </w:rPr>
          <w:t>وتلاميذه</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77"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مكانته</w:t>
        </w:r>
        <w:r w:rsidR="00E37224">
          <w:rPr>
            <w:rStyle w:val="Hyperlink"/>
            <w:rFonts w:hint="cs"/>
            <w:rtl/>
          </w:rPr>
          <w:t xml:space="preserve"> </w:t>
        </w:r>
        <w:r w:rsidR="00AD0AE5" w:rsidRPr="00282605">
          <w:rPr>
            <w:rStyle w:val="Hyperlink"/>
            <w:rFonts w:hint="eastAsia"/>
            <w:rtl/>
          </w:rPr>
          <w:t>العلمية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78"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F70505">
          <w:rPr>
            <w:rStyle w:val="Hyperlink"/>
            <w:rFonts w:hint="cs"/>
            <w:rtl/>
          </w:rPr>
          <w:t>آثار</w:t>
        </w:r>
        <w:r w:rsidR="00AD0AE5" w:rsidRPr="00282605">
          <w:rPr>
            <w:rStyle w:val="Hyperlink"/>
            <w:rFonts w:hint="eastAsia"/>
            <w:rtl/>
          </w:rPr>
          <w:t>ه</w:t>
        </w:r>
        <w:r w:rsidR="00F70505">
          <w:rPr>
            <w:rStyle w:val="Hyperlink"/>
            <w:rFonts w:hint="cs"/>
            <w:rtl/>
          </w:rPr>
          <w:t xml:space="preserve"> العلمية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279" w:history="1">
        <w:r w:rsidR="00AD0AE5" w:rsidRPr="00282605">
          <w:rPr>
            <w:rStyle w:val="Hyperlink"/>
            <w:rFonts w:hint="eastAsia"/>
            <w:rtl/>
          </w:rPr>
          <w:t>المبحث</w:t>
        </w:r>
        <w:r w:rsidR="00E37224">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التعريف</w:t>
        </w:r>
        <w:r w:rsidR="00E37224">
          <w:rPr>
            <w:rStyle w:val="Hyperlink"/>
            <w:rFonts w:hint="cs"/>
            <w:rtl/>
          </w:rPr>
          <w:t xml:space="preserve"> </w:t>
        </w:r>
        <w:r w:rsidR="00AD0AE5" w:rsidRPr="00282605">
          <w:rPr>
            <w:rStyle w:val="Hyperlink"/>
            <w:rFonts w:hint="eastAsia"/>
            <w:rtl/>
          </w:rPr>
          <w:t>بكتاب</w:t>
        </w:r>
        <w:r w:rsidR="00E37224">
          <w:rPr>
            <w:rStyle w:val="Hyperlink"/>
            <w:rFonts w:hint="cs"/>
            <w:rtl/>
          </w:rPr>
          <w:t xml:space="preserve"> </w:t>
        </w:r>
        <w:r w:rsidR="00AD0AE5" w:rsidRPr="00282605">
          <w:rPr>
            <w:rStyle w:val="Hyperlink"/>
            <w:rtl/>
          </w:rPr>
          <w:t>"</w:t>
        </w:r>
        <w:r w:rsidR="00AD0AE5" w:rsidRPr="00282605">
          <w:rPr>
            <w:rStyle w:val="Hyperlink"/>
            <w:rFonts w:hint="eastAsia"/>
            <w:rtl/>
          </w:rPr>
          <w:t>الشرح</w:t>
        </w:r>
        <w:r w:rsidR="00E37224">
          <w:rPr>
            <w:rStyle w:val="Hyperlink"/>
            <w:rFonts w:hint="cs"/>
            <w:rtl/>
          </w:rPr>
          <w:t xml:space="preserve"> </w:t>
        </w:r>
        <w:r w:rsidR="00AD0AE5" w:rsidRPr="00282605">
          <w:rPr>
            <w:rStyle w:val="Hyperlink"/>
            <w:rFonts w:hint="eastAsia"/>
            <w:rtl/>
          </w:rPr>
          <w:t>الممتع</w:t>
        </w:r>
        <w:r w:rsidR="00AD0AE5" w:rsidRPr="00282605">
          <w:rPr>
            <w:rStyle w:val="Hyperlink"/>
            <w:rtl/>
          </w:rPr>
          <w:t>"</w:t>
        </w:r>
        <w:r w:rsidR="00E37224">
          <w:rPr>
            <w:rStyle w:val="Hyperlink"/>
            <w:rFonts w:hint="cs"/>
            <w:rtl/>
          </w:rPr>
          <w:t xml:space="preserve"> </w:t>
        </w:r>
        <w:r w:rsidR="00AD0AE5" w:rsidRPr="00282605">
          <w:rPr>
            <w:rStyle w:val="Hyperlink"/>
            <w:rFonts w:hint="eastAsia"/>
            <w:rtl/>
          </w:rPr>
          <w:t>ومنهج</w:t>
        </w:r>
        <w:r w:rsidR="00E37224">
          <w:rPr>
            <w:rStyle w:val="Hyperlink"/>
            <w:rFonts w:hint="cs"/>
            <w:rtl/>
          </w:rPr>
          <w:t xml:space="preserve"> </w:t>
        </w:r>
        <w:r w:rsidR="00AD0AE5" w:rsidRPr="00282605">
          <w:rPr>
            <w:rStyle w:val="Hyperlink"/>
            <w:rFonts w:hint="eastAsia"/>
            <w:rtl/>
          </w:rPr>
          <w:t>الشيخ</w:t>
        </w:r>
        <w:r w:rsidR="00E37224">
          <w:rPr>
            <w:rStyle w:val="Hyperlink"/>
            <w:rFonts w:hint="cs"/>
            <w:rtl/>
          </w:rPr>
          <w:t xml:space="preserve"> </w:t>
        </w:r>
        <w:r w:rsidR="00AD0AE5" w:rsidRPr="00282605">
          <w:rPr>
            <w:rStyle w:val="Hyperlink"/>
            <w:rFonts w:hint="eastAsia"/>
            <w:rtl/>
          </w:rPr>
          <w:t>ابن</w:t>
        </w:r>
        <w:r w:rsidR="00E37224">
          <w:rPr>
            <w:rStyle w:val="Hyperlink"/>
            <w:rFonts w:hint="cs"/>
            <w:rtl/>
          </w:rPr>
          <w:t xml:space="preserve"> </w:t>
        </w:r>
        <w:r w:rsidR="00AD0AE5" w:rsidRPr="00282605">
          <w:rPr>
            <w:rStyle w:val="Hyperlink"/>
            <w:rFonts w:hint="eastAsia"/>
            <w:rtl/>
          </w:rPr>
          <w:t>عثيمين</w:t>
        </w:r>
        <w:r w:rsidR="00E37224">
          <w:rPr>
            <w:rStyle w:val="Hyperlink"/>
            <w:rFonts w:hint="cs"/>
            <w:rtl/>
          </w:rPr>
          <w:t xml:space="preserve"> </w:t>
        </w:r>
        <w:r w:rsidR="00AD0AE5" w:rsidRPr="00282605">
          <w:rPr>
            <w:rStyle w:val="Hyperlink"/>
            <w:rFonts w:hint="eastAsia"/>
            <w:rtl/>
          </w:rPr>
          <w:t>في</w:t>
        </w:r>
        <w:r w:rsidR="00E37224">
          <w:rPr>
            <w:rStyle w:val="Hyperlink"/>
            <w:rFonts w:hint="cs"/>
            <w:rtl/>
          </w:rPr>
          <w:t xml:space="preserve"> </w:t>
        </w:r>
        <w:r w:rsidR="00AD0AE5" w:rsidRPr="00282605">
          <w:rPr>
            <w:rStyle w:val="Hyperlink"/>
            <w:rFonts w:hint="eastAsia"/>
            <w:rtl/>
          </w:rPr>
          <w:t>الكتاب</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334046279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80"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F70505">
          <w:rPr>
            <w:rStyle w:val="Hyperlink"/>
            <w:rFonts w:hint="cs"/>
            <w:rtl/>
          </w:rPr>
          <w:t>التعريف بكتاب الشرح الممتع و</w:t>
        </w:r>
        <w:r w:rsidR="00F70505">
          <w:rPr>
            <w:rStyle w:val="Hyperlink"/>
            <w:rFonts w:hint="eastAsia"/>
            <w:rtl/>
          </w:rPr>
          <w:t>قيم</w:t>
        </w:r>
        <w:r w:rsidR="00F70505">
          <w:rPr>
            <w:rStyle w:val="Hyperlink"/>
            <w:rFonts w:hint="cs"/>
            <w:rtl/>
          </w:rPr>
          <w:t>ته</w:t>
        </w:r>
        <w:r w:rsidR="00E37224">
          <w:rPr>
            <w:rStyle w:val="Hyperlink"/>
            <w:rFonts w:hint="cs"/>
            <w:rtl/>
          </w:rPr>
          <w:t xml:space="preserve"> </w:t>
        </w:r>
        <w:r w:rsidR="00AD0AE5" w:rsidRPr="00282605">
          <w:rPr>
            <w:rStyle w:val="Hyperlink"/>
            <w:rFonts w:hint="eastAsia"/>
            <w:rtl/>
          </w:rPr>
          <w:t>العلمية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81"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منهج</w:t>
        </w:r>
        <w:r w:rsidR="00E37224">
          <w:rPr>
            <w:rStyle w:val="Hyperlink"/>
            <w:rFonts w:hint="cs"/>
            <w:rtl/>
          </w:rPr>
          <w:t xml:space="preserve"> </w:t>
        </w:r>
        <w:r w:rsidR="00AD0AE5" w:rsidRPr="00282605">
          <w:rPr>
            <w:rStyle w:val="Hyperlink"/>
            <w:rFonts w:hint="eastAsia"/>
            <w:rtl/>
          </w:rPr>
          <w:t>الشيخ</w:t>
        </w:r>
        <w:r w:rsidR="00E37224">
          <w:rPr>
            <w:rStyle w:val="Hyperlink"/>
            <w:rFonts w:hint="cs"/>
            <w:rtl/>
          </w:rPr>
          <w:t xml:space="preserve"> </w:t>
        </w:r>
        <w:r w:rsidR="00AD0AE5" w:rsidRPr="00282605">
          <w:rPr>
            <w:rStyle w:val="Hyperlink"/>
            <w:rFonts w:hint="eastAsia"/>
            <w:rtl/>
          </w:rPr>
          <w:t>ابن</w:t>
        </w:r>
        <w:r w:rsidR="00E37224">
          <w:rPr>
            <w:rStyle w:val="Hyperlink"/>
            <w:rFonts w:hint="cs"/>
            <w:rtl/>
          </w:rPr>
          <w:t xml:space="preserve"> </w:t>
        </w:r>
        <w:r w:rsidR="00AD0AE5" w:rsidRPr="00282605">
          <w:rPr>
            <w:rStyle w:val="Hyperlink"/>
            <w:rFonts w:hint="eastAsia"/>
            <w:rtl/>
          </w:rPr>
          <w:t>عثيمين</w:t>
        </w:r>
        <w:r w:rsidR="00E37224">
          <w:rPr>
            <w:rStyle w:val="Hyperlink"/>
            <w:rFonts w:hint="cs"/>
            <w:rtl/>
          </w:rPr>
          <w:t xml:space="preserve"> </w:t>
        </w:r>
        <w:r w:rsidR="00AD0AE5" w:rsidRPr="00282605">
          <w:rPr>
            <w:rStyle w:val="Hyperlink"/>
            <w:rFonts w:hint="eastAsia"/>
            <w:rtl/>
          </w:rPr>
          <w:t>في</w:t>
        </w:r>
        <w:r w:rsidR="00E37224">
          <w:rPr>
            <w:rStyle w:val="Hyperlink"/>
            <w:rFonts w:hint="cs"/>
            <w:rtl/>
          </w:rPr>
          <w:t xml:space="preserve"> </w:t>
        </w:r>
        <w:r w:rsidR="00AD0AE5" w:rsidRPr="00282605">
          <w:rPr>
            <w:rStyle w:val="Hyperlink"/>
            <w:rFonts w:hint="eastAsia"/>
            <w:rtl/>
          </w:rPr>
          <w:t>الكتاب</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282" w:history="1">
        <w:r w:rsidR="00AD0AE5" w:rsidRPr="00282605">
          <w:rPr>
            <w:rStyle w:val="Hyperlink"/>
            <w:rFonts w:hint="eastAsia"/>
            <w:rtl/>
          </w:rPr>
          <w:t>المبحث</w:t>
        </w:r>
        <w:r w:rsidR="00E37224">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F70505">
          <w:rPr>
            <w:rStyle w:val="Hyperlink"/>
            <w:rFonts w:hint="cs"/>
            <w:rtl/>
          </w:rPr>
          <w:t>الفرق</w:t>
        </w:r>
        <w:r w:rsidR="00E37224">
          <w:rPr>
            <w:rStyle w:val="Hyperlink"/>
            <w:rFonts w:hint="cs"/>
            <w:rtl/>
          </w:rPr>
          <w:t xml:space="preserve"> </w:t>
        </w:r>
        <w:r w:rsidR="00F70505">
          <w:rPr>
            <w:rStyle w:val="Hyperlink"/>
            <w:rFonts w:hint="cs"/>
            <w:rtl/>
          </w:rPr>
          <w:t xml:space="preserve">بين </w:t>
        </w:r>
        <w:r w:rsidR="00AD0AE5" w:rsidRPr="00282605">
          <w:rPr>
            <w:rStyle w:val="Hyperlink"/>
            <w:rFonts w:hint="eastAsia"/>
            <w:rtl/>
          </w:rPr>
          <w:t>القاعدة</w:t>
        </w:r>
        <w:r w:rsidR="00E37224">
          <w:rPr>
            <w:rStyle w:val="Hyperlink"/>
            <w:rFonts w:hint="cs"/>
            <w:rtl/>
          </w:rPr>
          <w:t xml:space="preserve"> </w:t>
        </w:r>
        <w:r w:rsidR="00AD0AE5" w:rsidRPr="00282605">
          <w:rPr>
            <w:rStyle w:val="Hyperlink"/>
            <w:rFonts w:hint="eastAsia"/>
            <w:rtl/>
          </w:rPr>
          <w:t>الفقهية</w:t>
        </w:r>
        <w:r w:rsidR="00E37224">
          <w:rPr>
            <w:rStyle w:val="Hyperlink"/>
            <w:rFonts w:hint="cs"/>
            <w:rtl/>
          </w:rPr>
          <w:t xml:space="preserve"> </w:t>
        </w:r>
        <w:r w:rsidR="00AD0AE5" w:rsidRPr="00282605">
          <w:rPr>
            <w:rStyle w:val="Hyperlink"/>
            <w:rFonts w:hint="eastAsia"/>
            <w:rtl/>
          </w:rPr>
          <w:t>والضابط</w:t>
        </w:r>
        <w:r w:rsidR="00E37224">
          <w:rPr>
            <w:rStyle w:val="Hyperlink"/>
            <w:rFonts w:hint="cs"/>
            <w:rtl/>
          </w:rPr>
          <w:t xml:space="preserve"> </w:t>
        </w:r>
        <w:r w:rsidR="00AD0AE5" w:rsidRPr="00282605">
          <w:rPr>
            <w:rStyle w:val="Hyperlink"/>
            <w:rFonts w:hint="eastAsia"/>
            <w:rtl/>
          </w:rPr>
          <w:t>الفقهي</w:t>
        </w:r>
        <w:r w:rsidR="00E37224">
          <w:rPr>
            <w:rStyle w:val="Hyperlink"/>
            <w:rFonts w:hint="cs"/>
            <w:rtl/>
          </w:rPr>
          <w:t xml:space="preserve"> </w:t>
        </w:r>
        <w:r w:rsidR="00F70505">
          <w:rPr>
            <w:rStyle w:val="Hyperlink"/>
            <w:rFonts w:hint="eastAsia"/>
            <w:rtl/>
          </w:rPr>
          <w:t>وال</w:t>
        </w:r>
        <w:r w:rsidR="00F70505">
          <w:rPr>
            <w:rStyle w:val="Hyperlink"/>
            <w:rFonts w:hint="cs"/>
            <w:rtl/>
          </w:rPr>
          <w:t>قاعدة الأصولية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83"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تعريف</w:t>
        </w:r>
        <w:r w:rsidR="00E37224">
          <w:rPr>
            <w:rStyle w:val="Hyperlink"/>
            <w:rFonts w:hint="cs"/>
            <w:rtl/>
          </w:rPr>
          <w:t xml:space="preserve"> </w:t>
        </w:r>
        <w:r w:rsidR="00AD0AE5" w:rsidRPr="00282605">
          <w:rPr>
            <w:rStyle w:val="Hyperlink"/>
            <w:rFonts w:hint="eastAsia"/>
            <w:rtl/>
          </w:rPr>
          <w:t>القاعدة</w:t>
        </w:r>
        <w:r w:rsidR="00E37224">
          <w:rPr>
            <w:rStyle w:val="Hyperlink"/>
            <w:rFonts w:hint="cs"/>
            <w:rtl/>
          </w:rPr>
          <w:t xml:space="preserve"> </w:t>
        </w:r>
        <w:r w:rsidR="00AD0AE5" w:rsidRPr="00282605">
          <w:rPr>
            <w:rStyle w:val="Hyperlink"/>
            <w:rFonts w:hint="eastAsia"/>
            <w:rtl/>
          </w:rPr>
          <w:t>الفقهية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84"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تعريف</w:t>
        </w:r>
        <w:r w:rsidR="00E37224">
          <w:rPr>
            <w:rStyle w:val="Hyperlink"/>
            <w:rFonts w:hint="cs"/>
            <w:rtl/>
          </w:rPr>
          <w:t xml:space="preserve"> </w:t>
        </w:r>
        <w:r w:rsidR="00AD0AE5" w:rsidRPr="00282605">
          <w:rPr>
            <w:rStyle w:val="Hyperlink"/>
            <w:rFonts w:hint="eastAsia"/>
            <w:rtl/>
          </w:rPr>
          <w:t>الضابط</w:t>
        </w:r>
        <w:r w:rsidR="00E37224">
          <w:rPr>
            <w:rStyle w:val="Hyperlink"/>
            <w:rFonts w:hint="cs"/>
            <w:rtl/>
          </w:rPr>
          <w:t xml:space="preserve"> </w:t>
        </w:r>
        <w:r w:rsidR="00AD0AE5" w:rsidRPr="00282605">
          <w:rPr>
            <w:rStyle w:val="Hyperlink"/>
            <w:rFonts w:hint="eastAsia"/>
            <w:rtl/>
          </w:rPr>
          <w:t>الفقهي</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85"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تعريف</w:t>
        </w:r>
        <w:r w:rsidR="00E37224">
          <w:rPr>
            <w:rStyle w:val="Hyperlink"/>
            <w:rFonts w:hint="cs"/>
            <w:rtl/>
          </w:rPr>
          <w:t xml:space="preserve"> </w:t>
        </w:r>
        <w:r w:rsidR="00AD0AE5" w:rsidRPr="00282605">
          <w:rPr>
            <w:rStyle w:val="Hyperlink"/>
            <w:rFonts w:hint="eastAsia"/>
            <w:rtl/>
          </w:rPr>
          <w:t>القاعدة</w:t>
        </w:r>
        <w:r w:rsidR="00E37224">
          <w:rPr>
            <w:rStyle w:val="Hyperlink"/>
            <w:rFonts w:hint="cs"/>
            <w:rtl/>
          </w:rPr>
          <w:t xml:space="preserve"> </w:t>
        </w:r>
        <w:r w:rsidR="00AD0AE5" w:rsidRPr="00282605">
          <w:rPr>
            <w:rStyle w:val="Hyperlink"/>
            <w:rFonts w:hint="eastAsia"/>
            <w:rtl/>
          </w:rPr>
          <w:t>الأصولية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86"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الفرق</w:t>
        </w:r>
        <w:r w:rsidR="00E37224">
          <w:rPr>
            <w:rStyle w:val="Hyperlink"/>
            <w:rFonts w:hint="cs"/>
            <w:rtl/>
          </w:rPr>
          <w:t xml:space="preserve"> </w:t>
        </w:r>
        <w:r w:rsidR="00AD0AE5" w:rsidRPr="00282605">
          <w:rPr>
            <w:rStyle w:val="Hyperlink"/>
            <w:rFonts w:hint="eastAsia"/>
            <w:rtl/>
          </w:rPr>
          <w:t>بين</w:t>
        </w:r>
        <w:r w:rsidR="00E37224">
          <w:rPr>
            <w:rStyle w:val="Hyperlink"/>
            <w:rFonts w:hint="cs"/>
            <w:rtl/>
          </w:rPr>
          <w:t xml:space="preserve"> </w:t>
        </w:r>
        <w:r w:rsidR="00AD0AE5" w:rsidRPr="00282605">
          <w:rPr>
            <w:rStyle w:val="Hyperlink"/>
            <w:rFonts w:hint="eastAsia"/>
            <w:rtl/>
          </w:rPr>
          <w:t>القاعدة</w:t>
        </w:r>
        <w:r w:rsidR="00E37224">
          <w:rPr>
            <w:rStyle w:val="Hyperlink"/>
            <w:rFonts w:hint="cs"/>
            <w:rtl/>
          </w:rPr>
          <w:t xml:space="preserve"> </w:t>
        </w:r>
        <w:r w:rsidR="00AD0AE5" w:rsidRPr="00282605">
          <w:rPr>
            <w:rStyle w:val="Hyperlink"/>
            <w:rFonts w:hint="eastAsia"/>
            <w:rtl/>
          </w:rPr>
          <w:t>الفقهية</w:t>
        </w:r>
        <w:r w:rsidR="00E37224">
          <w:rPr>
            <w:rStyle w:val="Hyperlink"/>
            <w:rFonts w:hint="cs"/>
            <w:rtl/>
          </w:rPr>
          <w:t xml:space="preserve"> </w:t>
        </w:r>
        <w:r w:rsidR="00AD0AE5" w:rsidRPr="00282605">
          <w:rPr>
            <w:rStyle w:val="Hyperlink"/>
            <w:rFonts w:hint="eastAsia"/>
            <w:rtl/>
          </w:rPr>
          <w:t>والضابط</w:t>
        </w:r>
        <w:r w:rsidR="00E37224">
          <w:rPr>
            <w:rStyle w:val="Hyperlink"/>
            <w:rFonts w:hint="cs"/>
            <w:rtl/>
          </w:rPr>
          <w:t xml:space="preserve"> </w:t>
        </w:r>
        <w:r w:rsidR="00AD0AE5" w:rsidRPr="00282605">
          <w:rPr>
            <w:rStyle w:val="Hyperlink"/>
            <w:rFonts w:hint="eastAsia"/>
            <w:rtl/>
          </w:rPr>
          <w:t>الفقهي</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87"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الفرق</w:t>
        </w:r>
        <w:r w:rsidR="00E37224">
          <w:rPr>
            <w:rStyle w:val="Hyperlink"/>
            <w:rFonts w:hint="cs"/>
            <w:rtl/>
          </w:rPr>
          <w:t xml:space="preserve"> </w:t>
        </w:r>
        <w:r w:rsidR="00AD0AE5" w:rsidRPr="00282605">
          <w:rPr>
            <w:rStyle w:val="Hyperlink"/>
            <w:rFonts w:hint="eastAsia"/>
            <w:rtl/>
          </w:rPr>
          <w:t>بين</w:t>
        </w:r>
        <w:r w:rsidR="00E37224">
          <w:rPr>
            <w:rStyle w:val="Hyperlink"/>
            <w:rFonts w:hint="cs"/>
            <w:rtl/>
          </w:rPr>
          <w:t xml:space="preserve"> </w:t>
        </w:r>
        <w:r w:rsidR="00AD0AE5" w:rsidRPr="00282605">
          <w:rPr>
            <w:rStyle w:val="Hyperlink"/>
            <w:rFonts w:hint="eastAsia"/>
            <w:rtl/>
          </w:rPr>
          <w:t>القاعدة</w:t>
        </w:r>
        <w:r w:rsidR="00E37224">
          <w:rPr>
            <w:rStyle w:val="Hyperlink"/>
            <w:rFonts w:hint="cs"/>
            <w:rtl/>
          </w:rPr>
          <w:t xml:space="preserve"> </w:t>
        </w:r>
        <w:r w:rsidR="00AD0AE5" w:rsidRPr="00282605">
          <w:rPr>
            <w:rStyle w:val="Hyperlink"/>
            <w:rFonts w:hint="eastAsia"/>
            <w:rtl/>
          </w:rPr>
          <w:t>الفقهية</w:t>
        </w:r>
        <w:r w:rsidR="00E37224">
          <w:rPr>
            <w:rStyle w:val="Hyperlink"/>
            <w:rFonts w:hint="cs"/>
            <w:rtl/>
          </w:rPr>
          <w:t xml:space="preserve"> </w:t>
        </w:r>
        <w:r w:rsidR="00AD0AE5" w:rsidRPr="00282605">
          <w:rPr>
            <w:rStyle w:val="Hyperlink"/>
            <w:rFonts w:hint="eastAsia"/>
            <w:rtl/>
          </w:rPr>
          <w:t>والقاعدة</w:t>
        </w:r>
        <w:r w:rsidR="00E37224">
          <w:rPr>
            <w:rStyle w:val="Hyperlink"/>
            <w:rFonts w:hint="cs"/>
            <w:rtl/>
          </w:rPr>
          <w:t xml:space="preserve"> </w:t>
        </w:r>
        <w:r w:rsidR="00AD0AE5" w:rsidRPr="00282605">
          <w:rPr>
            <w:rStyle w:val="Hyperlink"/>
            <w:rFonts w:hint="eastAsia"/>
            <w:rtl/>
          </w:rPr>
          <w:t>الأصولية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rsidP="00964E64">
      <w:pPr>
        <w:pStyle w:val="20"/>
        <w:rPr>
          <w:rFonts w:asciiTheme="minorHAnsi" w:eastAsiaTheme="minorEastAsia" w:hAnsiTheme="minorHAnsi" w:cstheme="minorBidi"/>
          <w:bCs w:val="0"/>
          <w:color w:val="auto"/>
          <w:sz w:val="22"/>
          <w:szCs w:val="22"/>
          <w:rtl/>
          <w:lang w:val="fr-FR" w:eastAsia="fr-FR"/>
        </w:rPr>
      </w:pPr>
      <w:hyperlink w:anchor="_Toc334046288" w:history="1">
        <w:r w:rsidR="00AD0AE5" w:rsidRPr="00282605">
          <w:rPr>
            <w:rStyle w:val="Hyperlink"/>
            <w:rFonts w:hint="eastAsia"/>
            <w:rtl/>
          </w:rPr>
          <w:t>المبحث</w:t>
        </w:r>
        <w:r w:rsidR="00E37224">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F70505">
          <w:rPr>
            <w:rStyle w:val="Hyperlink"/>
            <w:rFonts w:hint="cs"/>
            <w:rtl/>
          </w:rPr>
          <w:t>مصادر</w:t>
        </w:r>
        <w:r w:rsidR="00E37224">
          <w:rPr>
            <w:rStyle w:val="Hyperlink"/>
            <w:rFonts w:hint="cs"/>
            <w:rtl/>
          </w:rPr>
          <w:t xml:space="preserve"> </w:t>
        </w:r>
        <w:r w:rsidR="00AD0AE5" w:rsidRPr="00282605">
          <w:rPr>
            <w:rStyle w:val="Hyperlink"/>
            <w:rFonts w:hint="eastAsia"/>
            <w:rtl/>
          </w:rPr>
          <w:t>القاعدة</w:t>
        </w:r>
        <w:r w:rsidR="00E37224">
          <w:rPr>
            <w:rStyle w:val="Hyperlink"/>
            <w:rFonts w:hint="cs"/>
            <w:rtl/>
          </w:rPr>
          <w:t xml:space="preserve"> </w:t>
        </w:r>
        <w:r w:rsidR="00F70505">
          <w:rPr>
            <w:rStyle w:val="Hyperlink"/>
            <w:rFonts w:hint="eastAsia"/>
            <w:rtl/>
          </w:rPr>
          <w:t>والضاب</w:t>
        </w:r>
        <w:r w:rsidR="00F70505">
          <w:rPr>
            <w:rStyle w:val="Hyperlink"/>
            <w:rFonts w:hint="cs"/>
            <w:rtl/>
          </w:rPr>
          <w:t>ط</w:t>
        </w:r>
        <w:r w:rsidR="00E37224">
          <w:rPr>
            <w:rStyle w:val="Hyperlink"/>
            <w:rFonts w:hint="cs"/>
            <w:rtl/>
          </w:rPr>
          <w:t xml:space="preserve"> </w:t>
        </w:r>
        <w:r w:rsidR="00AD0AE5" w:rsidRPr="00282605">
          <w:rPr>
            <w:rStyle w:val="Hyperlink"/>
            <w:rFonts w:hint="eastAsia"/>
            <w:rtl/>
          </w:rPr>
          <w:t>عند</w:t>
        </w:r>
        <w:r w:rsidR="00E37224">
          <w:rPr>
            <w:rStyle w:val="Hyperlink"/>
            <w:rFonts w:hint="cs"/>
            <w:rtl/>
          </w:rPr>
          <w:t xml:space="preserve"> </w:t>
        </w:r>
        <w:r w:rsidR="00AD0AE5" w:rsidRPr="00282605">
          <w:rPr>
            <w:rStyle w:val="Hyperlink"/>
            <w:rFonts w:hint="eastAsia"/>
            <w:rtl/>
          </w:rPr>
          <w:t>الشيخ</w:t>
        </w:r>
        <w:r w:rsidR="00E37224">
          <w:rPr>
            <w:rStyle w:val="Hyperlink"/>
            <w:rFonts w:hint="cs"/>
            <w:rtl/>
          </w:rPr>
          <w:t xml:space="preserve"> </w:t>
        </w:r>
        <w:r w:rsidR="00AD0AE5" w:rsidRPr="00282605">
          <w:rPr>
            <w:rStyle w:val="Hyperlink"/>
            <w:rFonts w:hint="eastAsia"/>
            <w:rtl/>
          </w:rPr>
          <w:t>ابن</w:t>
        </w:r>
        <w:r w:rsidR="00E37224">
          <w:rPr>
            <w:rStyle w:val="Hyperlink"/>
            <w:rFonts w:hint="cs"/>
            <w:rtl/>
          </w:rPr>
          <w:t xml:space="preserve"> </w:t>
        </w:r>
        <w:r w:rsidR="00AD0AE5" w:rsidRPr="00282605">
          <w:rPr>
            <w:rStyle w:val="Hyperlink"/>
            <w:rFonts w:hint="eastAsia"/>
            <w:rtl/>
          </w:rPr>
          <w:t>عثيمين</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89"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الأول</w:t>
        </w:r>
        <w:r w:rsidR="00F70505">
          <w:rPr>
            <w:rStyle w:val="Hyperlink"/>
            <w:rtl/>
          </w:rPr>
          <w:t> :</w:t>
        </w:r>
        <w:r w:rsidR="00E37224">
          <w:rPr>
            <w:rStyle w:val="Hyperlink"/>
            <w:rFonts w:hint="cs"/>
            <w:rtl/>
          </w:rPr>
          <w:t xml:space="preserve"> </w:t>
        </w:r>
        <w:r w:rsidR="00AD0AE5" w:rsidRPr="00282605">
          <w:rPr>
            <w:rStyle w:val="Hyperlink"/>
            <w:rFonts w:hint="eastAsia"/>
            <w:rtl/>
          </w:rPr>
          <w:t>الكتاب</w:t>
        </w:r>
        <w:r w:rsidR="00E37224">
          <w:rPr>
            <w:rStyle w:val="Hyperlink"/>
            <w:rFonts w:hint="cs"/>
            <w:rtl/>
          </w:rPr>
          <w:t xml:space="preserve"> </w:t>
        </w:r>
        <w:r w:rsidR="00AD0AE5" w:rsidRPr="00282605">
          <w:rPr>
            <w:rStyle w:val="Hyperlink"/>
            <w:rFonts w:hint="eastAsia"/>
            <w:rtl/>
          </w:rPr>
          <w:t>والسنة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334046289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rsidP="00591B53">
      <w:pPr>
        <w:pStyle w:val="40"/>
        <w:rPr>
          <w:rFonts w:asciiTheme="minorHAnsi" w:eastAsiaTheme="minorEastAsia" w:hAnsiTheme="minorHAnsi" w:cstheme="minorBidi"/>
          <w:color w:val="auto"/>
          <w:sz w:val="22"/>
          <w:szCs w:val="22"/>
          <w:rtl/>
          <w:lang w:val="fr-FR" w:eastAsia="fr-FR"/>
        </w:rPr>
      </w:pPr>
      <w:hyperlink w:anchor="_Toc334046290"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F70505">
          <w:rPr>
            <w:rStyle w:val="Hyperlink"/>
            <w:rFonts w:hint="cs"/>
            <w:rtl/>
          </w:rPr>
          <w:t>كتب أهل العلم، وأهمها كتب شيخ الإسلام ابن تيمية وابن القيم، وشيخه السعدي</w:t>
        </w:r>
        <w:r w:rsidR="00AD0AE5">
          <w:rPr>
            <w:webHidden/>
            <w:rtl/>
          </w:rPr>
          <w:tab/>
        </w:r>
        <w:r w:rsidR="002870FF">
          <w:rPr>
            <w:rFonts w:hint="cs"/>
            <w:webHidden/>
            <w:rtl/>
          </w:rPr>
          <w:t>.</w:t>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334046290 </w:instrText>
        </w:r>
        <w:r w:rsidR="00AD0AE5">
          <w:rPr>
            <w:webHidden/>
          </w:rPr>
          <w:instrText>\h</w:instrText>
        </w:r>
        <w:r>
          <w:rPr>
            <w:webHidden/>
            <w:rtl/>
          </w:rPr>
        </w:r>
        <w:r>
          <w:rPr>
            <w:webHidden/>
            <w:rtl/>
          </w:rPr>
          <w:fldChar w:fldCharType="separate"/>
        </w:r>
        <w:r w:rsidR="00982621">
          <w:rPr>
            <w:rFonts w:hint="cs"/>
            <w:b/>
            <w:bCs/>
            <w:webHidden/>
            <w:rtl/>
          </w:rPr>
          <w:t>خطأ! الإشارة المرجعية غير معرّفة.</w:t>
        </w:r>
        <w:r>
          <w:rPr>
            <w:webHidden/>
            <w:rtl/>
          </w:rPr>
          <w:fldChar w:fldCharType="end"/>
        </w:r>
      </w:hyperlink>
      <w:r w:rsidR="00591B53">
        <w:t>83</w:t>
      </w:r>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295" w:history="1">
        <w:r w:rsidR="00AD0AE5" w:rsidRPr="00282605">
          <w:rPr>
            <w:rStyle w:val="Hyperlink"/>
            <w:rFonts w:hint="eastAsia"/>
            <w:rtl/>
          </w:rPr>
          <w:t>المبحث</w:t>
        </w:r>
        <w:r w:rsidR="00E37224">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سمات</w:t>
        </w:r>
        <w:r w:rsidR="00E37224">
          <w:rPr>
            <w:rStyle w:val="Hyperlink"/>
            <w:rFonts w:hint="cs"/>
            <w:rtl/>
          </w:rPr>
          <w:t xml:space="preserve"> </w:t>
        </w:r>
        <w:r w:rsidR="00AD0AE5" w:rsidRPr="00282605">
          <w:rPr>
            <w:rStyle w:val="Hyperlink"/>
            <w:rFonts w:hint="eastAsia"/>
            <w:rtl/>
          </w:rPr>
          <w:t>القاعدة</w:t>
        </w:r>
        <w:r w:rsidR="00E37224">
          <w:rPr>
            <w:rStyle w:val="Hyperlink"/>
            <w:rFonts w:hint="cs"/>
            <w:rtl/>
          </w:rPr>
          <w:t xml:space="preserve"> </w:t>
        </w:r>
        <w:r w:rsidR="00AD0AE5" w:rsidRPr="00282605">
          <w:rPr>
            <w:rStyle w:val="Hyperlink"/>
            <w:rFonts w:hint="eastAsia"/>
            <w:rtl/>
          </w:rPr>
          <w:t>والضابط</w:t>
        </w:r>
        <w:r w:rsidR="00E37224">
          <w:rPr>
            <w:rStyle w:val="Hyperlink"/>
            <w:rFonts w:hint="cs"/>
            <w:rtl/>
          </w:rPr>
          <w:t xml:space="preserve"> </w:t>
        </w:r>
        <w:r w:rsidR="00AD0AE5" w:rsidRPr="00282605">
          <w:rPr>
            <w:rStyle w:val="Hyperlink"/>
            <w:rFonts w:hint="eastAsia"/>
            <w:rtl/>
          </w:rPr>
          <w:t>عند</w:t>
        </w:r>
        <w:r w:rsidR="00E37224">
          <w:rPr>
            <w:rStyle w:val="Hyperlink"/>
            <w:rFonts w:hint="cs"/>
            <w:rtl/>
          </w:rPr>
          <w:t xml:space="preserve"> </w:t>
        </w:r>
        <w:r w:rsidR="00AD0AE5" w:rsidRPr="00282605">
          <w:rPr>
            <w:rStyle w:val="Hyperlink"/>
            <w:rFonts w:hint="eastAsia"/>
            <w:rtl/>
          </w:rPr>
          <w:t>الشيخ</w:t>
        </w:r>
        <w:r w:rsidR="00E37224">
          <w:rPr>
            <w:rStyle w:val="Hyperlink"/>
            <w:rFonts w:hint="cs"/>
            <w:rtl/>
          </w:rPr>
          <w:t xml:space="preserve"> </w:t>
        </w:r>
        <w:r w:rsidR="00AD0AE5" w:rsidRPr="00282605">
          <w:rPr>
            <w:rStyle w:val="Hyperlink"/>
            <w:rFonts w:hint="eastAsia"/>
            <w:rtl/>
          </w:rPr>
          <w:t>ابن</w:t>
        </w:r>
        <w:r w:rsidR="00E37224">
          <w:rPr>
            <w:rStyle w:val="Hyperlink"/>
            <w:rFonts w:hint="cs"/>
            <w:rtl/>
          </w:rPr>
          <w:t xml:space="preserve"> </w:t>
        </w:r>
        <w:r w:rsidR="00AD0AE5" w:rsidRPr="00282605">
          <w:rPr>
            <w:rStyle w:val="Hyperlink"/>
            <w:rFonts w:hint="eastAsia"/>
            <w:rtl/>
          </w:rPr>
          <w:t>عثيمين</w:t>
        </w:r>
        <w:r w:rsidR="00AD0AE5" w:rsidRPr="00282605">
          <w:rPr>
            <w:rStyle w:val="Hyperlink"/>
            <w:rFonts w:ascii="Traditional Arabic" w:hAnsi="Traditional Arabic" w:cs="CTraditional Arabic"/>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334046295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96"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التأصيـل</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334046296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97"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ارتبــــاطهابواقـــع</w:t>
        </w:r>
        <w:r w:rsidR="00E37224">
          <w:rPr>
            <w:rStyle w:val="Hyperlink"/>
            <w:rFonts w:hint="cs"/>
            <w:rtl/>
          </w:rPr>
          <w:t xml:space="preserve"> </w:t>
        </w:r>
        <w:r w:rsidR="00AD0AE5" w:rsidRPr="00282605">
          <w:rPr>
            <w:rStyle w:val="Hyperlink"/>
            <w:rFonts w:hint="eastAsia"/>
            <w:rtl/>
          </w:rPr>
          <w:t>النــــاس</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334046297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298"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الوضـــوح</w:t>
        </w:r>
        <w:r w:rsidR="00E37224">
          <w:rPr>
            <w:rStyle w:val="Hyperlink"/>
            <w:rFonts w:hint="cs"/>
            <w:rtl/>
          </w:rPr>
          <w:t xml:space="preserve"> </w:t>
        </w:r>
        <w:r w:rsidR="00AD0AE5" w:rsidRPr="00282605">
          <w:rPr>
            <w:rStyle w:val="Hyperlink"/>
            <w:rFonts w:hint="eastAsia"/>
            <w:rtl/>
          </w:rPr>
          <w:t>والسهولــــة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334046298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rsidP="001F4999">
      <w:pPr>
        <w:pStyle w:val="40"/>
        <w:rPr>
          <w:rFonts w:asciiTheme="minorHAnsi" w:eastAsiaTheme="minorEastAsia" w:hAnsiTheme="minorHAnsi" w:cstheme="minorBidi"/>
          <w:color w:val="auto"/>
          <w:sz w:val="22"/>
          <w:szCs w:val="22"/>
          <w:rtl/>
          <w:lang w:val="fr-FR" w:eastAsia="fr-FR"/>
        </w:rPr>
      </w:pPr>
      <w:hyperlink w:anchor="_Toc334046299"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الشموليـــة</w:t>
        </w:r>
        <w:r w:rsidR="00AD0AE5">
          <w:rPr>
            <w:webHidden/>
            <w:rtl/>
          </w:rPr>
          <w:tab/>
        </w:r>
        <w:r w:rsidR="001F4999">
          <w:rPr>
            <w:webHidden/>
          </w:rPr>
          <w:t>93</w:t>
        </w:r>
      </w:hyperlink>
    </w:p>
    <w:p w:rsidR="00AD0AE5" w:rsidRDefault="00AB0B9E">
      <w:pPr>
        <w:pStyle w:val="15"/>
        <w:rPr>
          <w:rFonts w:asciiTheme="minorHAnsi" w:eastAsiaTheme="minorEastAsia" w:hAnsiTheme="minorHAnsi" w:cstheme="minorBidi"/>
          <w:b w:val="0"/>
          <w:bCs w:val="0"/>
          <w:color w:val="auto"/>
          <w:sz w:val="22"/>
          <w:szCs w:val="22"/>
          <w:rtl/>
          <w:lang w:val="fr-FR" w:eastAsia="fr-FR"/>
        </w:rPr>
      </w:pPr>
      <w:hyperlink w:anchor="_Toc334046301" w:history="1">
        <w:r w:rsidR="00AD0AE5" w:rsidRPr="00282605">
          <w:rPr>
            <w:rStyle w:val="Hyperlink"/>
            <w:rFonts w:hint="eastAsia"/>
            <w:rtl/>
          </w:rPr>
          <w:t>الباب</w:t>
        </w:r>
        <w:r w:rsidR="001C111D">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القواعد</w:t>
        </w:r>
        <w:r w:rsidR="001C111D">
          <w:rPr>
            <w:rStyle w:val="Hyperlink"/>
            <w:rFonts w:hint="cs"/>
            <w:rtl/>
          </w:rPr>
          <w:t xml:space="preserve"> </w:t>
        </w:r>
        <w:r w:rsidR="00AD0AE5" w:rsidRPr="00282605">
          <w:rPr>
            <w:rStyle w:val="Hyperlink"/>
            <w:rFonts w:hint="eastAsia"/>
            <w:rtl/>
          </w:rPr>
          <w:t>الفقهية</w:t>
        </w:r>
        <w:r w:rsidR="001C111D">
          <w:rPr>
            <w:rStyle w:val="Hyperlink"/>
            <w:rFonts w:hint="cs"/>
            <w:rtl/>
          </w:rPr>
          <w:t xml:space="preserve"> </w:t>
        </w:r>
        <w:r w:rsidR="00AD0AE5" w:rsidRPr="00282605">
          <w:rPr>
            <w:rStyle w:val="Hyperlink"/>
            <w:rFonts w:hint="eastAsia"/>
            <w:rtl/>
          </w:rPr>
          <w:t>المتعلقة</w:t>
        </w:r>
        <w:r w:rsidR="001C111D">
          <w:rPr>
            <w:rStyle w:val="Hyperlink"/>
            <w:rFonts w:hint="cs"/>
            <w:rtl/>
          </w:rPr>
          <w:t xml:space="preserve"> </w:t>
        </w:r>
        <w:r w:rsidR="00AD0AE5" w:rsidRPr="00282605">
          <w:rPr>
            <w:rStyle w:val="Hyperlink"/>
            <w:rFonts w:hint="eastAsia"/>
            <w:rtl/>
          </w:rPr>
          <w:t>بالمعاملات</w:t>
        </w:r>
        <w:r w:rsidR="001C111D">
          <w:rPr>
            <w:rStyle w:val="Hyperlink"/>
            <w:rFonts w:hint="cs"/>
            <w:rtl/>
          </w:rPr>
          <w:t xml:space="preserve"> </w:t>
        </w:r>
        <w:r w:rsidR="00AD0AE5" w:rsidRPr="00282605">
          <w:rPr>
            <w:rStyle w:val="Hyperlink"/>
            <w:rFonts w:hint="eastAsia"/>
            <w:rtl/>
          </w:rPr>
          <w:t>من</w:t>
        </w:r>
        <w:r w:rsidR="001C111D">
          <w:rPr>
            <w:rStyle w:val="Hyperlink"/>
            <w:rFonts w:hint="cs"/>
            <w:rtl/>
          </w:rPr>
          <w:t xml:space="preserve"> </w:t>
        </w:r>
        <w:r w:rsidR="00AD0AE5" w:rsidRPr="00282605">
          <w:rPr>
            <w:rStyle w:val="Hyperlink"/>
            <w:rFonts w:hint="eastAsia"/>
            <w:rtl/>
          </w:rPr>
          <w:t>الشرح</w:t>
        </w:r>
        <w:r w:rsidR="001C111D">
          <w:rPr>
            <w:rStyle w:val="Hyperlink"/>
            <w:rFonts w:hint="cs"/>
            <w:rtl/>
          </w:rPr>
          <w:t xml:space="preserve"> </w:t>
        </w:r>
        <w:r w:rsidR="00AD0AE5" w:rsidRPr="00282605">
          <w:rPr>
            <w:rStyle w:val="Hyperlink"/>
            <w:rFonts w:hint="eastAsia"/>
            <w:rtl/>
          </w:rPr>
          <w:t>الممتع</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334046301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302" w:history="1">
        <w:r w:rsidR="00AD0AE5" w:rsidRPr="00282605">
          <w:rPr>
            <w:rStyle w:val="Hyperlink"/>
            <w:rFonts w:hint="eastAsia"/>
            <w:rtl/>
          </w:rPr>
          <w:t>الفصل</w:t>
        </w:r>
        <w:r w:rsidR="000D30DD">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القــواعـــــد</w:t>
        </w:r>
        <w:r w:rsidR="000D30DD">
          <w:rPr>
            <w:rStyle w:val="Hyperlink"/>
            <w:rFonts w:hint="cs"/>
            <w:rtl/>
          </w:rPr>
          <w:t xml:space="preserve"> </w:t>
        </w:r>
        <w:r w:rsidR="00AD0AE5" w:rsidRPr="00282605">
          <w:rPr>
            <w:rStyle w:val="Hyperlink"/>
            <w:rFonts w:hint="eastAsia"/>
            <w:rtl/>
          </w:rPr>
          <w:t>المتعلقة</w:t>
        </w:r>
        <w:r w:rsidR="000D30DD">
          <w:rPr>
            <w:rStyle w:val="Hyperlink"/>
            <w:rFonts w:hint="cs"/>
            <w:rtl/>
          </w:rPr>
          <w:t xml:space="preserve"> </w:t>
        </w:r>
        <w:r w:rsidR="00AD0AE5" w:rsidRPr="00282605">
          <w:rPr>
            <w:rStyle w:val="Hyperlink"/>
            <w:rFonts w:hint="eastAsia"/>
            <w:rtl/>
          </w:rPr>
          <w:t>بالمصالح</w:t>
        </w:r>
        <w:r w:rsidR="000D30DD">
          <w:rPr>
            <w:rStyle w:val="Hyperlink"/>
            <w:rFonts w:hint="cs"/>
            <w:rtl/>
          </w:rPr>
          <w:t xml:space="preserve"> </w:t>
        </w:r>
        <w:r w:rsidR="00AD0AE5" w:rsidRPr="00282605">
          <w:rPr>
            <w:rStyle w:val="Hyperlink"/>
            <w:rFonts w:hint="eastAsia"/>
            <w:rtl/>
          </w:rPr>
          <w:t>والمفاسد</w:t>
        </w:r>
        <w:r w:rsidR="000D30DD">
          <w:rPr>
            <w:rStyle w:val="Hyperlink"/>
            <w:rFonts w:hint="cs"/>
            <w:rtl/>
          </w:rPr>
          <w:t xml:space="preserve"> </w:t>
        </w:r>
        <w:r w:rsidR="00AD0AE5" w:rsidRPr="00282605">
          <w:rPr>
            <w:rStyle w:val="Hyperlink"/>
            <w:rFonts w:hint="eastAsia"/>
            <w:rtl/>
          </w:rPr>
          <w:t>والتعارض</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334046302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03" w:history="1">
        <w:r w:rsidR="00AD0AE5" w:rsidRPr="00282605">
          <w:rPr>
            <w:rStyle w:val="Hyperlink"/>
            <w:rFonts w:hint="eastAsia"/>
            <w:rtl/>
          </w:rPr>
          <w:t>المبحث</w:t>
        </w:r>
        <w:r w:rsidR="007265A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قاعدة</w:t>
        </w:r>
        <w:r w:rsidR="00E37224">
          <w:rPr>
            <w:rStyle w:val="Hyperlink"/>
            <w:rFonts w:hint="cs"/>
            <w:rtl/>
          </w:rPr>
          <w:t xml:space="preserve"> </w:t>
        </w:r>
        <w:r w:rsidR="00AD0AE5" w:rsidRPr="00282605">
          <w:rPr>
            <w:rStyle w:val="Hyperlink"/>
            <w:rtl/>
          </w:rPr>
          <w:t>"</w:t>
        </w:r>
        <w:r w:rsidR="00AD0AE5" w:rsidRPr="00282605">
          <w:rPr>
            <w:rStyle w:val="Hyperlink"/>
            <w:rFonts w:hint="eastAsia"/>
            <w:rtl/>
          </w:rPr>
          <w:t>الشريعة</w:t>
        </w:r>
        <w:r w:rsidR="001C111D">
          <w:rPr>
            <w:rStyle w:val="Hyperlink"/>
            <w:rFonts w:hint="cs"/>
            <w:rtl/>
          </w:rPr>
          <w:t xml:space="preserve"> </w:t>
        </w:r>
        <w:r w:rsidR="00AD0AE5" w:rsidRPr="00282605">
          <w:rPr>
            <w:rStyle w:val="Hyperlink"/>
            <w:rFonts w:hint="eastAsia"/>
            <w:rtl/>
          </w:rPr>
          <w:t>جاءت</w:t>
        </w:r>
        <w:r w:rsidR="000D30DD">
          <w:rPr>
            <w:rStyle w:val="Hyperlink"/>
            <w:rFonts w:hint="cs"/>
            <w:rtl/>
          </w:rPr>
          <w:t xml:space="preserve"> </w:t>
        </w:r>
        <w:r w:rsidR="00AD0AE5" w:rsidRPr="00282605">
          <w:rPr>
            <w:rStyle w:val="Hyperlink"/>
            <w:rFonts w:hint="eastAsia"/>
            <w:rtl/>
          </w:rPr>
          <w:t>بتحصيل</w:t>
        </w:r>
        <w:r w:rsidR="000D30DD">
          <w:rPr>
            <w:rStyle w:val="Hyperlink"/>
            <w:rFonts w:hint="cs"/>
            <w:rtl/>
          </w:rPr>
          <w:t xml:space="preserve"> </w:t>
        </w:r>
        <w:r w:rsidR="00AD0AE5" w:rsidRPr="00282605">
          <w:rPr>
            <w:rStyle w:val="Hyperlink"/>
            <w:rFonts w:hint="eastAsia"/>
            <w:rtl/>
          </w:rPr>
          <w:t>المصالح</w:t>
        </w:r>
        <w:r w:rsidR="000D30DD">
          <w:rPr>
            <w:rStyle w:val="Hyperlink"/>
            <w:rFonts w:hint="cs"/>
            <w:rtl/>
          </w:rPr>
          <w:t xml:space="preserve"> </w:t>
        </w:r>
        <w:r w:rsidR="00AD0AE5" w:rsidRPr="00282605">
          <w:rPr>
            <w:rStyle w:val="Hyperlink"/>
            <w:rFonts w:hint="eastAsia"/>
            <w:rtl/>
          </w:rPr>
          <w:t>وتكميلها،</w:t>
        </w:r>
        <w:r w:rsidR="000D30DD">
          <w:rPr>
            <w:rStyle w:val="Hyperlink"/>
            <w:rFonts w:hint="cs"/>
            <w:rtl/>
          </w:rPr>
          <w:t xml:space="preserve"> </w:t>
        </w:r>
        <w:r w:rsidR="00AD0AE5" w:rsidRPr="00282605">
          <w:rPr>
            <w:rStyle w:val="Hyperlink"/>
            <w:rFonts w:hint="eastAsia"/>
            <w:rtl/>
          </w:rPr>
          <w:t>ودرء</w:t>
        </w:r>
        <w:r w:rsidR="007265AC">
          <w:rPr>
            <w:rStyle w:val="Hyperlink"/>
            <w:rFonts w:hint="cs"/>
            <w:rtl/>
          </w:rPr>
          <w:t xml:space="preserve"> </w:t>
        </w:r>
        <w:r w:rsidR="00AD0AE5" w:rsidRPr="00282605">
          <w:rPr>
            <w:rStyle w:val="Hyperlink"/>
            <w:rFonts w:hint="eastAsia"/>
            <w:rtl/>
          </w:rPr>
          <w:t>المفاسد</w:t>
        </w:r>
        <w:r w:rsidR="000D30DD">
          <w:rPr>
            <w:rStyle w:val="Hyperlink"/>
            <w:rFonts w:hint="cs"/>
            <w:rtl/>
          </w:rPr>
          <w:t xml:space="preserve"> </w:t>
        </w:r>
        <w:r w:rsidR="00AD0AE5" w:rsidRPr="00282605">
          <w:rPr>
            <w:rStyle w:val="Hyperlink"/>
            <w:rFonts w:hint="eastAsia"/>
            <w:rtl/>
          </w:rPr>
          <w:t>وتقليلها</w:t>
        </w:r>
        <w:r w:rsidR="000D30DD">
          <w:rPr>
            <w:rStyle w:val="Hyperlink"/>
            <w:rFonts w:hint="cs"/>
            <w:rtl/>
          </w:rPr>
          <w:t xml:space="preserve"> </w:t>
        </w:r>
        <w:r w:rsidR="00AD0AE5" w:rsidRPr="00282605">
          <w:rPr>
            <w:rStyle w:val="Hyperlink"/>
            <w:rFonts w:hint="eastAsia"/>
            <w:rtl/>
          </w:rPr>
          <w:t>بحسب</w:t>
        </w:r>
        <w:r w:rsidR="000D30DD">
          <w:rPr>
            <w:rStyle w:val="Hyperlink"/>
            <w:rFonts w:hint="cs"/>
            <w:rtl/>
          </w:rPr>
          <w:t xml:space="preserve"> </w:t>
        </w:r>
        <w:r w:rsidR="00AD0AE5" w:rsidRPr="00282605">
          <w:rPr>
            <w:rStyle w:val="Hyperlink"/>
            <w:rFonts w:hint="eastAsia"/>
            <w:rtl/>
          </w:rPr>
          <w:t>الإمكان</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334046303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04"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E37224">
          <w:rPr>
            <w:rStyle w:val="Hyperlink"/>
            <w:rFonts w:hint="cs"/>
            <w:rtl/>
          </w:rPr>
          <w:t xml:space="preserve"> </w:t>
        </w:r>
        <w:r w:rsidR="00AD0AE5" w:rsidRPr="00282605">
          <w:rPr>
            <w:rStyle w:val="Hyperlink"/>
            <w:rFonts w:hint="eastAsia"/>
            <w:rtl/>
          </w:rPr>
          <w:t>القاعدة</w:t>
        </w:r>
        <w:r w:rsidR="00E37224">
          <w:rPr>
            <w:rStyle w:val="Hyperlink"/>
            <w:rFonts w:hint="cs"/>
            <w:rtl/>
          </w:rPr>
          <w:t xml:space="preserve"> </w:t>
        </w:r>
        <w:r w:rsidR="00AD0AE5" w:rsidRPr="00282605">
          <w:rPr>
            <w:rStyle w:val="Hyperlink"/>
            <w:rFonts w:hint="eastAsia"/>
            <w:rtl/>
          </w:rPr>
          <w:t>عند</w:t>
        </w:r>
        <w:r w:rsidR="00E37224">
          <w:rPr>
            <w:rStyle w:val="Hyperlink"/>
            <w:rFonts w:hint="cs"/>
            <w:rtl/>
          </w:rPr>
          <w:t xml:space="preserve"> </w:t>
        </w:r>
        <w:r w:rsidR="00AD0AE5" w:rsidRPr="00282605">
          <w:rPr>
            <w:rStyle w:val="Hyperlink"/>
            <w:rFonts w:hint="eastAsia"/>
            <w:rtl/>
          </w:rPr>
          <w:t>الشيخ</w:t>
        </w:r>
        <w:r w:rsidR="00E37224">
          <w:rPr>
            <w:rStyle w:val="Hyperlink"/>
            <w:rFonts w:hint="cs"/>
            <w:rtl/>
          </w:rPr>
          <w:t xml:space="preserve"> </w:t>
        </w:r>
        <w:r w:rsidR="00AD0AE5" w:rsidRPr="00282605">
          <w:rPr>
            <w:rStyle w:val="Hyperlink"/>
            <w:rFonts w:hint="eastAsia"/>
            <w:rtl/>
          </w:rPr>
          <w:t>وعند</w:t>
        </w:r>
        <w:r w:rsidR="00E37224">
          <w:rPr>
            <w:rStyle w:val="Hyperlink"/>
            <w:rFonts w:hint="cs"/>
            <w:rtl/>
          </w:rPr>
          <w:t xml:space="preserve"> </w:t>
        </w:r>
        <w:r w:rsidR="00AD0AE5" w:rsidRPr="00282605">
          <w:rPr>
            <w:rStyle w:val="Hyperlink"/>
            <w:rFonts w:hint="eastAsia"/>
            <w:rtl/>
          </w:rPr>
          <w:t>علماء</w:t>
        </w:r>
        <w:r w:rsidR="00E37224">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334046304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05" w:history="1">
        <w:r w:rsidR="00AD0AE5" w:rsidRPr="00282605">
          <w:rPr>
            <w:rStyle w:val="Hyperlink"/>
            <w:rFonts w:hint="eastAsia"/>
            <w:rtl/>
          </w:rPr>
          <w:t>المطلب</w:t>
        </w:r>
        <w:r w:rsidR="00E37224">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E37224">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334046305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06" w:history="1">
        <w:r w:rsidR="00AD0AE5" w:rsidRPr="00282605">
          <w:rPr>
            <w:rStyle w:val="Hyperlink"/>
            <w:rFonts w:hint="eastAsia"/>
            <w:rtl/>
            <w:lang w:eastAsia="en-US"/>
          </w:rPr>
          <w:t>المطلب</w:t>
        </w:r>
        <w:r w:rsidR="00E37224">
          <w:rPr>
            <w:rStyle w:val="Hyperlink"/>
            <w:rFonts w:hint="cs"/>
            <w:rtl/>
            <w:lang w:eastAsia="en-US"/>
          </w:rPr>
          <w:t xml:space="preserve"> </w:t>
        </w:r>
        <w:r w:rsidR="00AD0AE5" w:rsidRPr="00282605">
          <w:rPr>
            <w:rStyle w:val="Hyperlink"/>
            <w:rFonts w:hint="eastAsia"/>
            <w:rtl/>
            <w:lang w:eastAsia="en-US"/>
          </w:rPr>
          <w:t>الثالث</w:t>
        </w:r>
        <w:r w:rsidR="00AD0AE5" w:rsidRPr="00282605">
          <w:rPr>
            <w:rStyle w:val="Hyperlink"/>
            <w:rtl/>
            <w:lang w:eastAsia="en-US"/>
          </w:rPr>
          <w:t xml:space="preserve"> : </w:t>
        </w:r>
        <w:r w:rsidR="00AD0AE5" w:rsidRPr="00282605">
          <w:rPr>
            <w:rStyle w:val="Hyperlink"/>
            <w:rFonts w:hint="eastAsia"/>
            <w:rtl/>
            <w:lang w:eastAsia="en-US"/>
          </w:rPr>
          <w:t>أدلة</w:t>
        </w:r>
        <w:r w:rsidR="00E37224">
          <w:rPr>
            <w:rStyle w:val="Hyperlink"/>
            <w:rFonts w:hint="cs"/>
            <w:rtl/>
            <w:lang w:eastAsia="en-US"/>
          </w:rPr>
          <w:t xml:space="preserve"> </w:t>
        </w:r>
        <w:r w:rsidR="00AD0AE5" w:rsidRPr="00282605">
          <w:rPr>
            <w:rStyle w:val="Hyperlink"/>
            <w:rFonts w:hint="eastAsia"/>
            <w:rtl/>
            <w:lang w:eastAsia="en-US"/>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334046306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0D30DD" w:rsidRPr="00F70505" w:rsidRDefault="00AB0B9E" w:rsidP="00F70505">
      <w:pPr>
        <w:pStyle w:val="40"/>
        <w:rPr>
          <w:rtl/>
        </w:rPr>
      </w:pPr>
      <w:hyperlink w:anchor="_Toc334046307" w:history="1">
        <w:r w:rsidR="00AD0AE5" w:rsidRPr="00282605">
          <w:rPr>
            <w:rStyle w:val="Hyperlink"/>
            <w:rFonts w:hint="eastAsia"/>
            <w:rtl/>
            <w:lang w:eastAsia="en-US"/>
          </w:rPr>
          <w:t>المطلب</w:t>
        </w:r>
        <w:r w:rsidR="00E37224">
          <w:rPr>
            <w:rStyle w:val="Hyperlink"/>
            <w:rFonts w:hint="cs"/>
            <w:rtl/>
            <w:lang w:eastAsia="en-US"/>
          </w:rPr>
          <w:t xml:space="preserve"> </w:t>
        </w:r>
        <w:r w:rsidR="00AD0AE5" w:rsidRPr="00282605">
          <w:rPr>
            <w:rStyle w:val="Hyperlink"/>
            <w:rFonts w:hint="eastAsia"/>
            <w:rtl/>
            <w:lang w:eastAsia="en-US"/>
          </w:rPr>
          <w:t>الرابع</w:t>
        </w:r>
        <w:r w:rsidR="00AD0AE5" w:rsidRPr="00282605">
          <w:rPr>
            <w:rStyle w:val="Hyperlink"/>
            <w:rtl/>
            <w:lang w:eastAsia="en-US"/>
          </w:rPr>
          <w:t xml:space="preserve"> : </w:t>
        </w:r>
        <w:r w:rsidR="00AD0AE5" w:rsidRPr="00282605">
          <w:rPr>
            <w:rStyle w:val="Hyperlink"/>
            <w:rFonts w:hint="eastAsia"/>
            <w:rtl/>
          </w:rPr>
          <w:t>تطبيقات</w:t>
        </w:r>
        <w:r w:rsidR="00E37224">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334046307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08" w:history="1">
        <w:r w:rsidR="00AD0AE5" w:rsidRPr="00282605">
          <w:rPr>
            <w:rStyle w:val="Hyperlink"/>
            <w:rFonts w:hint="eastAsia"/>
            <w:rtl/>
          </w:rPr>
          <w:t>المبحث</w:t>
        </w:r>
        <w:r w:rsidR="00E37224">
          <w:rPr>
            <w:rStyle w:val="Hyperlink"/>
            <w:rFonts w:hint="cs"/>
            <w:rtl/>
          </w:rPr>
          <w:t xml:space="preserve"> </w:t>
        </w:r>
        <w:r w:rsidR="00AD0AE5" w:rsidRPr="00282605">
          <w:rPr>
            <w:rStyle w:val="Hyperlink"/>
            <w:rFonts w:hint="eastAsia"/>
            <w:rtl/>
          </w:rPr>
          <w:t>الثاني</w:t>
        </w:r>
        <w:r w:rsidR="00AD0AE5" w:rsidRPr="00282605">
          <w:rPr>
            <w:rStyle w:val="Hyperlink"/>
            <w:rtl/>
            <w:lang w:bidi="ar-DZ"/>
          </w:rPr>
          <w:t xml:space="preserve"> : </w:t>
        </w:r>
        <w:r w:rsidR="00AD0AE5" w:rsidRPr="00282605">
          <w:rPr>
            <w:rStyle w:val="Hyperlink"/>
            <w:rFonts w:hint="eastAsia"/>
            <w:rtl/>
          </w:rPr>
          <w:t>قاعدة</w:t>
        </w:r>
        <w:r w:rsidR="00AD0AE5" w:rsidRPr="00282605">
          <w:rPr>
            <w:rStyle w:val="Hyperlink"/>
            <w:rtl/>
          </w:rPr>
          <w:t xml:space="preserve"> "</w:t>
        </w:r>
        <w:r w:rsidR="00E37224">
          <w:rPr>
            <w:rStyle w:val="Hyperlink"/>
            <w:rFonts w:hint="cs"/>
            <w:rtl/>
          </w:rPr>
          <w:t xml:space="preserve"> </w:t>
        </w:r>
        <w:r w:rsidR="00AD0AE5" w:rsidRPr="00282605">
          <w:rPr>
            <w:rStyle w:val="Hyperlink"/>
            <w:rFonts w:hint="eastAsia"/>
            <w:rtl/>
          </w:rPr>
          <w:t>إذاتعارضت</w:t>
        </w:r>
        <w:r w:rsidR="00E37224">
          <w:rPr>
            <w:rStyle w:val="Hyperlink"/>
            <w:rFonts w:hint="cs"/>
            <w:rtl/>
          </w:rPr>
          <w:t xml:space="preserve"> </w:t>
        </w:r>
        <w:r w:rsidR="00AD0AE5" w:rsidRPr="00282605">
          <w:rPr>
            <w:rStyle w:val="Hyperlink"/>
            <w:rFonts w:hint="eastAsia"/>
            <w:rtl/>
          </w:rPr>
          <w:t>المصلحة</w:t>
        </w:r>
        <w:r w:rsidR="00E37224">
          <w:rPr>
            <w:rStyle w:val="Hyperlink"/>
            <w:rFonts w:hint="cs"/>
            <w:rtl/>
          </w:rPr>
          <w:t xml:space="preserve"> </w:t>
        </w:r>
        <w:r w:rsidR="00AD0AE5" w:rsidRPr="00282605">
          <w:rPr>
            <w:rStyle w:val="Hyperlink"/>
            <w:rFonts w:hint="eastAsia"/>
            <w:rtl/>
          </w:rPr>
          <w:t>والمفسدة</w:t>
        </w:r>
        <w:r w:rsidR="00E37224">
          <w:rPr>
            <w:rStyle w:val="Hyperlink"/>
            <w:rFonts w:hint="cs"/>
            <w:rtl/>
          </w:rPr>
          <w:t xml:space="preserve"> </w:t>
        </w:r>
        <w:r w:rsidR="00AD0AE5" w:rsidRPr="00282605">
          <w:rPr>
            <w:rStyle w:val="Hyperlink"/>
            <w:rFonts w:hint="eastAsia"/>
            <w:rtl/>
          </w:rPr>
          <w:t>قدم</w:t>
        </w:r>
        <w:r w:rsidR="00E37224">
          <w:rPr>
            <w:rStyle w:val="Hyperlink"/>
            <w:rFonts w:hint="cs"/>
            <w:rtl/>
          </w:rPr>
          <w:t xml:space="preserve"> </w:t>
        </w:r>
        <w:r w:rsidR="00AD0AE5" w:rsidRPr="00282605">
          <w:rPr>
            <w:rStyle w:val="Hyperlink"/>
            <w:rFonts w:hint="eastAsia"/>
            <w:rtl/>
          </w:rPr>
          <w:t>أرجحهما</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334046308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09"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E37224">
          <w:rPr>
            <w:rStyle w:val="Hyperlink"/>
            <w:rFonts w:hint="cs"/>
            <w:rtl/>
          </w:rPr>
          <w:t xml:space="preserve"> </w:t>
        </w:r>
        <w:r w:rsidR="00AD0AE5" w:rsidRPr="00282605">
          <w:rPr>
            <w:rStyle w:val="Hyperlink"/>
            <w:rFonts w:hint="eastAsia"/>
            <w:rtl/>
          </w:rPr>
          <w:t>علماء</w:t>
        </w:r>
        <w:r w:rsidR="00E37224">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334046309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10"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334046310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11"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334046311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0D30DD" w:rsidRPr="00B86A50" w:rsidRDefault="00AB0B9E" w:rsidP="00B86A50">
      <w:pPr>
        <w:pStyle w:val="40"/>
        <w:rPr>
          <w:rtl/>
        </w:rPr>
      </w:pPr>
      <w:hyperlink w:anchor="_Toc334046312"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334046312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r w:rsidR="000D30DD">
        <w:rPr>
          <w:rFonts w:eastAsiaTheme="minorEastAsia" w:hint="cs"/>
          <w:rtl/>
          <w:lang w:val="fr-FR" w:eastAsia="fr-FR"/>
        </w:rPr>
        <w:t>.</w:t>
      </w:r>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18" w:history="1">
        <w:r w:rsidR="00AD0AE5" w:rsidRPr="00282605">
          <w:rPr>
            <w:rStyle w:val="Hyperlink"/>
            <w:rFonts w:hint="eastAsia"/>
            <w:rtl/>
          </w:rPr>
          <w:t>المبحث</w:t>
        </w:r>
        <w:r w:rsidR="003D0CB0">
          <w:rPr>
            <w:rStyle w:val="Hyperlink"/>
            <w:rFonts w:hint="cs"/>
            <w:rtl/>
          </w:rPr>
          <w:t xml:space="preserve"> </w:t>
        </w:r>
        <w:r w:rsidR="00B86A50">
          <w:rPr>
            <w:rStyle w:val="Hyperlink"/>
            <w:rFonts w:hint="eastAsia"/>
            <w:rtl/>
          </w:rPr>
          <w:t>ال</w:t>
        </w:r>
        <w:r w:rsidR="00B86A50">
          <w:rPr>
            <w:rStyle w:val="Hyperlink"/>
            <w:rFonts w:hint="cs"/>
            <w:rtl/>
          </w:rPr>
          <w:t>ثالث</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درء</w:t>
        </w:r>
        <w:r w:rsidR="003D0CB0">
          <w:rPr>
            <w:rStyle w:val="Hyperlink"/>
            <w:rFonts w:hint="cs"/>
            <w:rtl/>
          </w:rPr>
          <w:t xml:space="preserve"> </w:t>
        </w:r>
        <w:r w:rsidR="00AD0AE5" w:rsidRPr="00282605">
          <w:rPr>
            <w:rStyle w:val="Hyperlink"/>
            <w:rFonts w:hint="eastAsia"/>
            <w:rtl/>
          </w:rPr>
          <w:t>المفاسد</w:t>
        </w:r>
        <w:r w:rsidR="003D0CB0">
          <w:rPr>
            <w:rStyle w:val="Hyperlink"/>
            <w:rFonts w:hint="cs"/>
            <w:rtl/>
          </w:rPr>
          <w:t xml:space="preserve"> </w:t>
        </w:r>
        <w:r w:rsidR="00AD0AE5" w:rsidRPr="00282605">
          <w:rPr>
            <w:rStyle w:val="Hyperlink"/>
            <w:rFonts w:hint="eastAsia"/>
            <w:rtl/>
          </w:rPr>
          <w:t>أولى</w:t>
        </w:r>
        <w:r w:rsidR="003D0CB0">
          <w:rPr>
            <w:rStyle w:val="Hyperlink"/>
            <w:rFonts w:hint="cs"/>
            <w:rtl/>
          </w:rPr>
          <w:t xml:space="preserve"> </w:t>
        </w:r>
        <w:r w:rsidR="00AD0AE5" w:rsidRPr="00282605">
          <w:rPr>
            <w:rStyle w:val="Hyperlink"/>
            <w:rFonts w:hint="eastAsia"/>
            <w:rtl/>
          </w:rPr>
          <w:t>من</w:t>
        </w:r>
        <w:r w:rsidR="003D0CB0">
          <w:rPr>
            <w:rStyle w:val="Hyperlink"/>
            <w:rFonts w:hint="cs"/>
            <w:rtl/>
          </w:rPr>
          <w:t xml:space="preserve"> </w:t>
        </w:r>
        <w:r w:rsidR="00AD0AE5" w:rsidRPr="00282605">
          <w:rPr>
            <w:rStyle w:val="Hyperlink"/>
            <w:rFonts w:hint="eastAsia"/>
            <w:rtl/>
          </w:rPr>
          <w:t>جلب</w:t>
        </w:r>
        <w:r w:rsidR="003D0CB0">
          <w:rPr>
            <w:rStyle w:val="Hyperlink"/>
            <w:rFonts w:hint="cs"/>
            <w:rtl/>
          </w:rPr>
          <w:t xml:space="preserve"> </w:t>
        </w:r>
        <w:r w:rsidR="00AD0AE5" w:rsidRPr="00282605">
          <w:rPr>
            <w:rStyle w:val="Hyperlink"/>
            <w:rFonts w:hint="eastAsia"/>
            <w:rtl/>
          </w:rPr>
          <w:t>المصالح</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334046318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19"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334046319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20"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334046320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21"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334046321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pPr>
      <w:hyperlink w:anchor="_Toc334046322"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334046322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0D30DD" w:rsidRPr="000D30DD" w:rsidRDefault="000D30DD" w:rsidP="000D30DD">
      <w:pPr>
        <w:rPr>
          <w:rFonts w:eastAsiaTheme="minorEastAsia"/>
          <w:rtl/>
        </w:rPr>
      </w:pPr>
      <w:r>
        <w:rPr>
          <w:rFonts w:eastAsiaTheme="minorEastAsia"/>
        </w:rPr>
        <w:tab/>
      </w:r>
      <w:r>
        <w:rPr>
          <w:rFonts w:eastAsiaTheme="minorEastAsia"/>
        </w:rPr>
        <w:tab/>
      </w:r>
      <w:r>
        <w:rPr>
          <w:rFonts w:eastAsiaTheme="minorEastAsia" w:hint="cs"/>
          <w:rtl/>
          <w:lang w:val="fr-FR" w:eastAsia="fr-FR"/>
        </w:rPr>
        <w:t>المطلب الخامس: مستثنيات القاعدة.........</w:t>
      </w:r>
      <w:r w:rsidR="001F4999">
        <w:rPr>
          <w:rFonts w:eastAsiaTheme="minorEastAsia" w:hint="cs"/>
          <w:rtl/>
          <w:lang w:val="fr-FR" w:eastAsia="fr-FR"/>
        </w:rPr>
        <w:t>...........................120</w:t>
      </w:r>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23" w:history="1">
        <w:r w:rsidR="00AD0AE5" w:rsidRPr="00282605">
          <w:rPr>
            <w:rStyle w:val="Hyperlink"/>
            <w:rFonts w:hint="eastAsia"/>
            <w:rtl/>
          </w:rPr>
          <w:t>المبحث</w:t>
        </w:r>
        <w:r w:rsidR="003D0CB0">
          <w:rPr>
            <w:rStyle w:val="Hyperlink"/>
            <w:rFonts w:hint="cs"/>
            <w:rtl/>
          </w:rPr>
          <w:t xml:space="preserve"> </w:t>
        </w:r>
        <w:r w:rsidR="00B86A50">
          <w:rPr>
            <w:rStyle w:val="Hyperlink"/>
            <w:rFonts w:hint="eastAsia"/>
            <w:rtl/>
          </w:rPr>
          <w:t>ال</w:t>
        </w:r>
        <w:r w:rsidR="00B86A50">
          <w:rPr>
            <w:rStyle w:val="Hyperlink"/>
            <w:rFonts w:hint="cs"/>
            <w:rtl/>
          </w:rPr>
          <w:t>رابع</w:t>
        </w:r>
        <w:r w:rsidR="00AD0AE5" w:rsidRPr="00282605">
          <w:rPr>
            <w:rStyle w:val="Hyperlink"/>
            <w:rtl/>
          </w:rPr>
          <w:t xml:space="preserve"> : </w:t>
        </w:r>
        <w:r w:rsidR="00AD0AE5" w:rsidRPr="00282605">
          <w:rPr>
            <w:rStyle w:val="Hyperlink"/>
            <w:rFonts w:hint="eastAsia"/>
            <w:rtl/>
          </w:rPr>
          <w:t>قاعدة</w:t>
        </w:r>
        <w:r w:rsidR="003D0CB0">
          <w:rPr>
            <w:rStyle w:val="Hyperlink"/>
            <w:rFonts w:hint="cs"/>
            <w:rtl/>
          </w:rPr>
          <w:t xml:space="preserve"> </w:t>
        </w:r>
        <w:r w:rsidR="003D0CB0">
          <w:rPr>
            <w:rStyle w:val="Hyperlink"/>
            <w:rtl/>
          </w:rPr>
          <w:t>"</w:t>
        </w:r>
        <w:r w:rsidR="00AD0AE5" w:rsidRPr="00282605">
          <w:rPr>
            <w:rStyle w:val="Hyperlink"/>
            <w:rFonts w:hint="eastAsia"/>
            <w:rtl/>
          </w:rPr>
          <w:t>إذا</w:t>
        </w:r>
        <w:r w:rsidR="003D0CB0">
          <w:rPr>
            <w:rStyle w:val="Hyperlink"/>
            <w:rFonts w:hint="cs"/>
            <w:rtl/>
          </w:rPr>
          <w:t xml:space="preserve"> </w:t>
        </w:r>
        <w:r w:rsidR="00AD0AE5" w:rsidRPr="00282605">
          <w:rPr>
            <w:rStyle w:val="Hyperlink"/>
            <w:rFonts w:hint="eastAsia"/>
            <w:rtl/>
          </w:rPr>
          <w:t>اجتمع</w:t>
        </w:r>
        <w:r w:rsidR="003D0CB0">
          <w:rPr>
            <w:rStyle w:val="Hyperlink"/>
            <w:rFonts w:hint="cs"/>
            <w:rtl/>
          </w:rPr>
          <w:t xml:space="preserve"> </w:t>
        </w:r>
        <w:r w:rsidR="00AD0AE5" w:rsidRPr="00282605">
          <w:rPr>
            <w:rStyle w:val="Hyperlink"/>
            <w:rFonts w:hint="eastAsia"/>
            <w:rtl/>
          </w:rPr>
          <w:t>موجِبُ</w:t>
        </w:r>
        <w:r w:rsidR="003D0CB0">
          <w:rPr>
            <w:rStyle w:val="Hyperlink"/>
            <w:rFonts w:hint="cs"/>
            <w:rtl/>
          </w:rPr>
          <w:t xml:space="preserve"> </w:t>
        </w:r>
        <w:r w:rsidR="00AD0AE5" w:rsidRPr="00282605">
          <w:rPr>
            <w:rStyle w:val="Hyperlink"/>
            <w:rFonts w:hint="eastAsia"/>
            <w:rtl/>
          </w:rPr>
          <w:t>التحليل</w:t>
        </w:r>
        <w:r w:rsidR="003D0CB0">
          <w:rPr>
            <w:rStyle w:val="Hyperlink"/>
            <w:rFonts w:hint="cs"/>
            <w:rtl/>
          </w:rPr>
          <w:t xml:space="preserve"> </w:t>
        </w:r>
        <w:r w:rsidR="00AD0AE5" w:rsidRPr="00282605">
          <w:rPr>
            <w:rStyle w:val="Hyperlink"/>
            <w:rFonts w:hint="eastAsia"/>
            <w:rtl/>
          </w:rPr>
          <w:t>والتحريم</w:t>
        </w:r>
        <w:r w:rsidR="003D0CB0">
          <w:rPr>
            <w:rStyle w:val="Hyperlink"/>
            <w:rFonts w:hint="cs"/>
            <w:rtl/>
          </w:rPr>
          <w:t xml:space="preserve"> </w:t>
        </w:r>
        <w:r w:rsidR="00AD0AE5" w:rsidRPr="00282605">
          <w:rPr>
            <w:rStyle w:val="Hyperlink"/>
            <w:rFonts w:hint="eastAsia"/>
            <w:rtl/>
          </w:rPr>
          <w:t>على</w:t>
        </w:r>
        <w:r w:rsidR="003D0CB0">
          <w:rPr>
            <w:rStyle w:val="Hyperlink"/>
            <w:rFonts w:hint="cs"/>
            <w:rtl/>
          </w:rPr>
          <w:t xml:space="preserve"> </w:t>
        </w:r>
        <w:r w:rsidR="00AD0AE5" w:rsidRPr="00282605">
          <w:rPr>
            <w:rStyle w:val="Hyperlink"/>
            <w:rFonts w:hint="eastAsia"/>
            <w:rtl/>
          </w:rPr>
          <w:t>وجهٍ</w:t>
        </w:r>
        <w:r w:rsidR="003D0CB0">
          <w:rPr>
            <w:rStyle w:val="Hyperlink"/>
            <w:rFonts w:hint="cs"/>
            <w:rtl/>
          </w:rPr>
          <w:t xml:space="preserve"> </w:t>
        </w:r>
        <w:r w:rsidR="00AD0AE5" w:rsidRPr="00282605">
          <w:rPr>
            <w:rStyle w:val="Hyperlink"/>
            <w:rFonts w:hint="eastAsia"/>
            <w:rtl/>
          </w:rPr>
          <w:t>لا</w:t>
        </w:r>
        <w:r w:rsidR="003D0CB0">
          <w:rPr>
            <w:rStyle w:val="Hyperlink"/>
            <w:rFonts w:hint="cs"/>
            <w:rtl/>
          </w:rPr>
          <w:t xml:space="preserve"> </w:t>
        </w:r>
        <w:r w:rsidR="00AD0AE5" w:rsidRPr="00282605">
          <w:rPr>
            <w:rStyle w:val="Hyperlink"/>
            <w:rFonts w:hint="eastAsia"/>
            <w:rtl/>
          </w:rPr>
          <w:t>تمييزَ</w:t>
        </w:r>
        <w:r w:rsidR="003D0CB0">
          <w:rPr>
            <w:rStyle w:val="Hyperlink"/>
            <w:rFonts w:hint="cs"/>
            <w:rtl/>
          </w:rPr>
          <w:t xml:space="preserve"> </w:t>
        </w:r>
        <w:r w:rsidR="00AD0AE5" w:rsidRPr="00282605">
          <w:rPr>
            <w:rStyle w:val="Hyperlink"/>
            <w:rFonts w:hint="eastAsia"/>
            <w:rtl/>
          </w:rPr>
          <w:t>بينهما</w:t>
        </w:r>
        <w:r w:rsidR="003D0CB0">
          <w:rPr>
            <w:rStyle w:val="Hyperlink"/>
            <w:rFonts w:hint="cs"/>
            <w:rtl/>
          </w:rPr>
          <w:t xml:space="preserve"> </w:t>
        </w:r>
        <w:r w:rsidR="00AD0AE5" w:rsidRPr="00282605">
          <w:rPr>
            <w:rStyle w:val="Hyperlink"/>
            <w:rFonts w:hint="eastAsia"/>
            <w:rtl/>
          </w:rPr>
          <w:t>غُلِّب</w:t>
        </w:r>
        <w:r w:rsidR="003D0CB0">
          <w:rPr>
            <w:rStyle w:val="Hyperlink"/>
            <w:rFonts w:hint="cs"/>
            <w:rtl/>
          </w:rPr>
          <w:t xml:space="preserve"> </w:t>
        </w:r>
        <w:r w:rsidR="00AD0AE5" w:rsidRPr="00282605">
          <w:rPr>
            <w:rStyle w:val="Hyperlink"/>
            <w:rFonts w:hint="eastAsia"/>
            <w:rtl/>
          </w:rPr>
          <w:t>جانِبُ</w:t>
        </w:r>
        <w:r w:rsidR="003D0CB0">
          <w:rPr>
            <w:rStyle w:val="Hyperlink"/>
            <w:rFonts w:hint="cs"/>
            <w:rtl/>
          </w:rPr>
          <w:t xml:space="preserve"> </w:t>
        </w:r>
        <w:r w:rsidR="00AD0AE5" w:rsidRPr="00282605">
          <w:rPr>
            <w:rStyle w:val="Hyperlink"/>
            <w:rFonts w:hint="eastAsia"/>
            <w:rtl/>
          </w:rPr>
          <w:t>الحَظْر</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334046323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24"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334046324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25" w:history="1">
        <w:r w:rsidR="00AD0AE5" w:rsidRPr="00282605">
          <w:rPr>
            <w:rStyle w:val="Hyperlink"/>
            <w:rFonts w:ascii="Traditional Arabic" w:hAnsi="Traditional Arabic"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334046325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26" w:history="1">
        <w:r w:rsidR="00AD0AE5" w:rsidRPr="00282605">
          <w:rPr>
            <w:rStyle w:val="Hyperlink"/>
            <w:rFonts w:hint="eastAsia"/>
            <w:rtl/>
          </w:rPr>
          <w:t>المطلب</w:t>
        </w:r>
        <w:r w:rsidR="003D0CB0">
          <w:rPr>
            <w:rStyle w:val="Hyperlink"/>
            <w:rFonts w:hint="cs"/>
            <w:rtl/>
            <w:lang w:eastAsia="en-US"/>
          </w:rPr>
          <w:t xml:space="preserve"> </w:t>
        </w:r>
        <w:r w:rsidR="00AD0AE5" w:rsidRPr="00282605">
          <w:rPr>
            <w:rStyle w:val="Hyperlink"/>
            <w:rFonts w:hint="eastAsia"/>
            <w:rtl/>
            <w:lang w:eastAsia="en-US"/>
          </w:rPr>
          <w:t>الثالث</w:t>
        </w:r>
        <w:r w:rsidR="00AD0AE5" w:rsidRPr="00282605">
          <w:rPr>
            <w:rStyle w:val="Hyperlink"/>
            <w:rtl/>
            <w:lang w:eastAsia="en-US"/>
          </w:rPr>
          <w:t xml:space="preserve"> : </w:t>
        </w:r>
        <w:r w:rsidR="00AD0AE5" w:rsidRPr="00282605">
          <w:rPr>
            <w:rStyle w:val="Hyperlink"/>
            <w:rFonts w:hint="eastAsia"/>
            <w:rtl/>
            <w:lang w:eastAsia="en-US"/>
          </w:rPr>
          <w:t>أدلة</w:t>
        </w:r>
        <w:r w:rsidR="003D0CB0">
          <w:rPr>
            <w:rStyle w:val="Hyperlink"/>
            <w:rFonts w:hint="cs"/>
            <w:rtl/>
            <w:lang w:eastAsia="en-US"/>
          </w:rPr>
          <w:t xml:space="preserve"> </w:t>
        </w:r>
        <w:r w:rsidR="00AD0AE5" w:rsidRPr="00282605">
          <w:rPr>
            <w:rStyle w:val="Hyperlink"/>
            <w:rFonts w:hint="eastAsia"/>
            <w:rtl/>
            <w:lang w:eastAsia="en-US"/>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334046326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CF3FBC" w:rsidRDefault="00AB0B9E" w:rsidP="00CF3FBC">
      <w:pPr>
        <w:pStyle w:val="40"/>
        <w:rPr>
          <w:rtl/>
        </w:rPr>
      </w:pPr>
      <w:hyperlink w:anchor="_Toc334046327" w:history="1">
        <w:r w:rsidR="00AD0AE5" w:rsidRPr="00282605">
          <w:rPr>
            <w:rStyle w:val="Hyperlink"/>
            <w:rFonts w:hint="eastAsia"/>
            <w:rtl/>
          </w:rPr>
          <w:t>المطلب</w:t>
        </w:r>
        <w:r w:rsidR="003D0CB0">
          <w:rPr>
            <w:rStyle w:val="Hyperlink"/>
            <w:rFonts w:hint="cs"/>
            <w:rtl/>
            <w:lang w:eastAsia="en-US"/>
          </w:rPr>
          <w:t xml:space="preserve"> </w:t>
        </w:r>
        <w:r w:rsidR="00AD0AE5" w:rsidRPr="00282605">
          <w:rPr>
            <w:rStyle w:val="Hyperlink"/>
            <w:rFonts w:hint="eastAsia"/>
            <w:rtl/>
            <w:lang w:eastAsia="en-US"/>
          </w:rPr>
          <w:t>الرابع</w:t>
        </w:r>
        <w:r w:rsidR="00AD0AE5" w:rsidRPr="00282605">
          <w:rPr>
            <w:rStyle w:val="Hyperlink"/>
            <w:rtl/>
            <w:lang w:eastAsia="en-US"/>
          </w:rPr>
          <w:t xml:space="preserve"> : </w:t>
        </w:r>
        <w:r w:rsidR="00AD0AE5" w:rsidRPr="00282605">
          <w:rPr>
            <w:rStyle w:val="Hyperlink"/>
            <w:rFonts w:hint="eastAsia"/>
            <w:rtl/>
            <w:lang w:eastAsia="en-US"/>
          </w:rPr>
          <w:t>تطبيقات</w:t>
        </w:r>
        <w:r w:rsidR="003D0CB0">
          <w:rPr>
            <w:rStyle w:val="Hyperlink"/>
            <w:rFonts w:hint="cs"/>
            <w:rtl/>
            <w:lang w:eastAsia="en-US"/>
          </w:rPr>
          <w:t xml:space="preserve"> </w:t>
        </w:r>
        <w:r w:rsidR="00AD0AE5" w:rsidRPr="00282605">
          <w:rPr>
            <w:rStyle w:val="Hyperlink"/>
            <w:rFonts w:hint="eastAsia"/>
            <w:rtl/>
            <w:lang w:eastAsia="en-US"/>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334046327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CF3FBC" w:rsidRPr="00CF3FBC" w:rsidRDefault="00CF3FBC" w:rsidP="00CF3FBC">
      <w:pPr>
        <w:rPr>
          <w:rFonts w:eastAsiaTheme="minorEastAsia"/>
          <w:rtl/>
          <w:lang w:val="fr-FR" w:eastAsia="fr-FR"/>
        </w:rPr>
      </w:pPr>
      <w:r>
        <w:rPr>
          <w:rFonts w:eastAsiaTheme="minorEastAsia" w:hint="cs"/>
          <w:rtl/>
          <w:lang w:val="fr-FR" w:eastAsia="fr-FR"/>
        </w:rPr>
        <w:tab/>
      </w:r>
      <w:r>
        <w:rPr>
          <w:rFonts w:eastAsiaTheme="minorEastAsia" w:hint="cs"/>
          <w:rtl/>
          <w:lang w:val="fr-FR" w:eastAsia="fr-FR"/>
        </w:rPr>
        <w:tab/>
        <w:t>المطلب الخامس: مستثنيات القاعدة....................................128</w:t>
      </w:r>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29" w:history="1">
        <w:r w:rsidR="00AD0AE5" w:rsidRPr="00282605">
          <w:rPr>
            <w:rStyle w:val="Hyperlink"/>
            <w:rFonts w:hint="eastAsia"/>
            <w:rtl/>
          </w:rPr>
          <w:t>المبحث</w:t>
        </w:r>
        <w:r w:rsidR="003D0CB0">
          <w:rPr>
            <w:rStyle w:val="Hyperlink"/>
            <w:rFonts w:hint="cs"/>
            <w:rtl/>
          </w:rPr>
          <w:t xml:space="preserve"> </w:t>
        </w:r>
        <w:r w:rsidR="00B86A50">
          <w:rPr>
            <w:rStyle w:val="Hyperlink"/>
            <w:rFonts w:hint="eastAsia"/>
            <w:rtl/>
          </w:rPr>
          <w:t>ال</w:t>
        </w:r>
        <w:r w:rsidR="00B86A50">
          <w:rPr>
            <w:rStyle w:val="Hyperlink"/>
            <w:rFonts w:hint="cs"/>
            <w:rtl/>
          </w:rPr>
          <w:t>خام</w:t>
        </w:r>
        <w:r w:rsidR="00AD0AE5" w:rsidRPr="00282605">
          <w:rPr>
            <w:rStyle w:val="Hyperlink"/>
            <w:rFonts w:hint="eastAsia"/>
            <w:rtl/>
          </w:rPr>
          <w:t>س</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إذا</w:t>
        </w:r>
        <w:r w:rsidR="003D0CB0">
          <w:rPr>
            <w:rStyle w:val="Hyperlink"/>
            <w:rFonts w:hint="cs"/>
            <w:rtl/>
          </w:rPr>
          <w:t xml:space="preserve"> </w:t>
        </w:r>
        <w:r w:rsidR="00AD0AE5" w:rsidRPr="00282605">
          <w:rPr>
            <w:rStyle w:val="Hyperlink"/>
            <w:rFonts w:hint="eastAsia"/>
            <w:rtl/>
          </w:rPr>
          <w:t>تَعارَض</w:t>
        </w:r>
        <w:r w:rsidR="003D0CB0">
          <w:rPr>
            <w:rStyle w:val="Hyperlink"/>
            <w:rFonts w:hint="cs"/>
            <w:rtl/>
          </w:rPr>
          <w:t xml:space="preserve"> </w:t>
        </w:r>
        <w:r w:rsidR="00AD0AE5" w:rsidRPr="00282605">
          <w:rPr>
            <w:rStyle w:val="Hyperlink"/>
            <w:rFonts w:hint="eastAsia"/>
            <w:rtl/>
          </w:rPr>
          <w:t>الأصل</w:t>
        </w:r>
        <w:r w:rsidR="003D0CB0">
          <w:rPr>
            <w:rStyle w:val="Hyperlink"/>
            <w:rFonts w:hint="cs"/>
            <w:rtl/>
          </w:rPr>
          <w:t xml:space="preserve"> </w:t>
        </w:r>
        <w:r w:rsidR="00AD0AE5" w:rsidRPr="00282605">
          <w:rPr>
            <w:rStyle w:val="Hyperlink"/>
            <w:rFonts w:hint="eastAsia"/>
            <w:rtl/>
          </w:rPr>
          <w:t>والظاهر،</w:t>
        </w:r>
        <w:r w:rsidR="003D0CB0">
          <w:rPr>
            <w:rStyle w:val="Hyperlink"/>
            <w:rFonts w:hint="cs"/>
            <w:rtl/>
          </w:rPr>
          <w:t xml:space="preserve"> </w:t>
        </w:r>
        <w:r w:rsidR="00AD0AE5" w:rsidRPr="00282605">
          <w:rPr>
            <w:rStyle w:val="Hyperlink"/>
            <w:rFonts w:hint="eastAsia"/>
            <w:rtl/>
          </w:rPr>
          <w:t>أوتعارض</w:t>
        </w:r>
        <w:r w:rsidR="003D0CB0">
          <w:rPr>
            <w:rStyle w:val="Hyperlink"/>
            <w:rFonts w:hint="cs"/>
            <w:rtl/>
          </w:rPr>
          <w:t xml:space="preserve"> </w:t>
        </w:r>
        <w:r w:rsidR="00AD0AE5" w:rsidRPr="00282605">
          <w:rPr>
            <w:rStyle w:val="Hyperlink"/>
            <w:rFonts w:hint="eastAsia"/>
            <w:rtl/>
          </w:rPr>
          <w:t>أصلان،</w:t>
        </w:r>
        <w:r w:rsidR="003D0CB0">
          <w:rPr>
            <w:rStyle w:val="Hyperlink"/>
            <w:rFonts w:hint="cs"/>
            <w:rtl/>
          </w:rPr>
          <w:t xml:space="preserve"> </w:t>
        </w:r>
        <w:r w:rsidR="00AD0AE5" w:rsidRPr="00282605">
          <w:rPr>
            <w:rStyle w:val="Hyperlink"/>
            <w:rFonts w:hint="eastAsia"/>
            <w:rtl/>
          </w:rPr>
          <w:t>قُدِّم</w:t>
        </w:r>
        <w:r w:rsidR="003D0CB0">
          <w:rPr>
            <w:rStyle w:val="Hyperlink"/>
            <w:rFonts w:hint="cs"/>
            <w:rtl/>
          </w:rPr>
          <w:t xml:space="preserve"> </w:t>
        </w:r>
        <w:r w:rsidR="00AD0AE5" w:rsidRPr="00282605">
          <w:rPr>
            <w:rStyle w:val="Hyperlink"/>
            <w:rFonts w:hint="eastAsia"/>
            <w:rtl/>
          </w:rPr>
          <w:t>أقواهما</w:t>
        </w:r>
        <w:r w:rsidR="003D0CB0">
          <w:rPr>
            <w:rStyle w:val="Hyperlink"/>
            <w:rFonts w:hint="cs"/>
            <w:rtl/>
          </w:rPr>
          <w:t xml:space="preserve"> </w:t>
        </w:r>
        <w:r w:rsidR="00AD0AE5" w:rsidRPr="00282605">
          <w:rPr>
            <w:rStyle w:val="Hyperlink"/>
            <w:rFonts w:hint="eastAsia"/>
            <w:rtl/>
          </w:rPr>
          <w:t>على</w:t>
        </w:r>
        <w:r w:rsidR="003D0CB0">
          <w:rPr>
            <w:rStyle w:val="Hyperlink"/>
            <w:rFonts w:hint="cs"/>
            <w:rtl/>
          </w:rPr>
          <w:t xml:space="preserve"> </w:t>
        </w:r>
        <w:r w:rsidR="00AD0AE5" w:rsidRPr="00282605">
          <w:rPr>
            <w:rStyle w:val="Hyperlink"/>
            <w:rFonts w:hint="eastAsia"/>
            <w:rtl/>
          </w:rPr>
          <w:t>الآخر</w:t>
        </w:r>
        <w:r w:rsidR="003D0CB0">
          <w:rPr>
            <w:rStyle w:val="Hyperlink"/>
            <w:rFonts w:hint="cs"/>
            <w:rtl/>
          </w:rPr>
          <w:t xml:space="preserve"> </w:t>
        </w:r>
        <w:r w:rsidR="00AD0AE5" w:rsidRPr="00282605">
          <w:rPr>
            <w:rStyle w:val="Hyperlink"/>
            <w:rFonts w:hint="eastAsia"/>
            <w:rtl/>
          </w:rPr>
          <w:t>حَسَبما</w:t>
        </w:r>
        <w:r w:rsidR="003D0CB0">
          <w:rPr>
            <w:rStyle w:val="Hyperlink"/>
            <w:rFonts w:hint="cs"/>
            <w:rtl/>
          </w:rPr>
          <w:t xml:space="preserve"> </w:t>
        </w:r>
        <w:r w:rsidR="00AD0AE5" w:rsidRPr="00282605">
          <w:rPr>
            <w:rStyle w:val="Hyperlink"/>
            <w:rFonts w:hint="eastAsia"/>
            <w:rtl/>
          </w:rPr>
          <w:t>تقتضيه</w:t>
        </w:r>
        <w:r w:rsidR="003D0CB0">
          <w:rPr>
            <w:rStyle w:val="Hyperlink"/>
            <w:rFonts w:hint="cs"/>
            <w:rtl/>
          </w:rPr>
          <w:t xml:space="preserve"> </w:t>
        </w:r>
        <w:r w:rsidR="00AD0AE5" w:rsidRPr="00282605">
          <w:rPr>
            <w:rStyle w:val="Hyperlink"/>
            <w:rFonts w:hint="eastAsia"/>
            <w:rtl/>
          </w:rPr>
          <w:t>الشريعةُ</w:t>
        </w:r>
        <w:r w:rsidR="003D0CB0">
          <w:rPr>
            <w:rStyle w:val="Hyperlink"/>
            <w:rFonts w:hint="cs"/>
            <w:rtl/>
          </w:rPr>
          <w:t xml:space="preserve"> </w:t>
        </w:r>
        <w:r w:rsidR="00AD0AE5" w:rsidRPr="00282605">
          <w:rPr>
            <w:rStyle w:val="Hyperlink"/>
            <w:rFonts w:hint="eastAsia"/>
            <w:rtl/>
          </w:rPr>
          <w:t>وقرائنُ</w:t>
        </w:r>
        <w:r w:rsidR="003D0CB0">
          <w:rPr>
            <w:rStyle w:val="Hyperlink"/>
            <w:rFonts w:hint="cs"/>
            <w:rtl/>
          </w:rPr>
          <w:t xml:space="preserve"> </w:t>
        </w:r>
        <w:r w:rsidR="00AD0AE5" w:rsidRPr="00282605">
          <w:rPr>
            <w:rStyle w:val="Hyperlink"/>
            <w:rFonts w:hint="eastAsia"/>
            <w:rtl/>
          </w:rPr>
          <w:t>الأحوال</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334046329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30"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31"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32"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0D30DD" w:rsidRPr="00CF3FBC" w:rsidRDefault="00AB0B9E" w:rsidP="00CF3FBC">
      <w:pPr>
        <w:pStyle w:val="40"/>
        <w:rPr>
          <w:rtl/>
        </w:rPr>
      </w:pPr>
      <w:hyperlink w:anchor="_Toc334046333" w:history="1">
        <w:r w:rsidR="00AD0AE5" w:rsidRPr="00282605">
          <w:rPr>
            <w:rStyle w:val="Hyperlink"/>
            <w:rFonts w:hint="eastAsia"/>
            <w:rtl/>
            <w:lang w:eastAsia="en-US"/>
          </w:rPr>
          <w:t>المطلب</w:t>
        </w:r>
        <w:r w:rsidR="003D0CB0">
          <w:rPr>
            <w:rStyle w:val="Hyperlink"/>
            <w:rFonts w:hint="cs"/>
            <w:rtl/>
            <w:lang w:eastAsia="en-US"/>
          </w:rPr>
          <w:t xml:space="preserve"> </w:t>
        </w:r>
        <w:r w:rsidR="00AD0AE5" w:rsidRPr="00282605">
          <w:rPr>
            <w:rStyle w:val="Hyperlink"/>
            <w:rFonts w:hint="eastAsia"/>
            <w:rtl/>
            <w:lang w:eastAsia="en-US"/>
          </w:rPr>
          <w:t>الرابع</w:t>
        </w:r>
        <w:r w:rsidR="00AD0AE5" w:rsidRPr="00282605">
          <w:rPr>
            <w:rStyle w:val="Hyperlink"/>
            <w:rtl/>
            <w:lang w:eastAsia="en-US"/>
          </w:rPr>
          <w:t xml:space="preserve"> : </w:t>
        </w:r>
        <w:r w:rsidR="00AD0AE5" w:rsidRPr="00282605">
          <w:rPr>
            <w:rStyle w:val="Hyperlink"/>
            <w:rFonts w:hint="eastAsia"/>
            <w:rtl/>
            <w:lang w:eastAsia="en-US"/>
          </w:rPr>
          <w:t>تطبيقات</w:t>
        </w:r>
        <w:r w:rsidR="003D0CB0">
          <w:rPr>
            <w:rStyle w:val="Hyperlink"/>
            <w:rFonts w:hint="cs"/>
            <w:rtl/>
            <w:lang w:eastAsia="en-US"/>
          </w:rPr>
          <w:t xml:space="preserve"> </w:t>
        </w:r>
        <w:r w:rsidR="00AD0AE5" w:rsidRPr="00282605">
          <w:rPr>
            <w:rStyle w:val="Hyperlink"/>
            <w:rFonts w:hint="eastAsia"/>
            <w:rtl/>
            <w:lang w:eastAsia="en-US"/>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334" w:history="1">
        <w:r w:rsidR="00AD0AE5" w:rsidRPr="00282605">
          <w:rPr>
            <w:rStyle w:val="Hyperlink"/>
            <w:rFonts w:hint="eastAsia"/>
            <w:rtl/>
          </w:rPr>
          <w:t>الفصل</w:t>
        </w:r>
        <w:r w:rsidR="000D30DD">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القواعد</w:t>
        </w:r>
        <w:r w:rsidR="000D30DD">
          <w:rPr>
            <w:rStyle w:val="Hyperlink"/>
            <w:rFonts w:hint="cs"/>
            <w:rtl/>
          </w:rPr>
          <w:t xml:space="preserve"> </w:t>
        </w:r>
        <w:r w:rsidR="00AD0AE5" w:rsidRPr="00282605">
          <w:rPr>
            <w:rStyle w:val="Hyperlink"/>
            <w:rFonts w:hint="eastAsia"/>
            <w:rtl/>
          </w:rPr>
          <w:t>المتعلقة</w:t>
        </w:r>
        <w:r w:rsidR="000D30DD">
          <w:rPr>
            <w:rStyle w:val="Hyperlink"/>
            <w:rFonts w:hint="cs"/>
            <w:rtl/>
          </w:rPr>
          <w:t xml:space="preserve"> </w:t>
        </w:r>
        <w:r w:rsidR="00AD0AE5" w:rsidRPr="00282605">
          <w:rPr>
            <w:rStyle w:val="Hyperlink"/>
            <w:rFonts w:hint="eastAsia"/>
            <w:rtl/>
          </w:rPr>
          <w:t>بالعرف</w:t>
        </w:r>
        <w:r w:rsidR="000D30DD">
          <w:rPr>
            <w:rStyle w:val="Hyperlink"/>
            <w:rFonts w:hint="cs"/>
            <w:rtl/>
          </w:rPr>
          <w:t xml:space="preserve"> </w:t>
        </w:r>
        <w:r w:rsidR="00AD0AE5" w:rsidRPr="00282605">
          <w:rPr>
            <w:rStyle w:val="Hyperlink"/>
            <w:rFonts w:hint="eastAsia"/>
            <w:rtl/>
          </w:rPr>
          <w:t>والعادة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35" w:history="1">
        <w:r w:rsidR="00AD0AE5" w:rsidRPr="00282605">
          <w:rPr>
            <w:rStyle w:val="Hyperlink"/>
            <w:rFonts w:hint="eastAsia"/>
            <w:rtl/>
          </w:rPr>
          <w:t>المبحث</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المرجع</w:t>
        </w:r>
        <w:r w:rsidR="003D0CB0">
          <w:rPr>
            <w:rStyle w:val="Hyperlink"/>
            <w:rFonts w:hint="cs"/>
            <w:rtl/>
          </w:rPr>
          <w:t xml:space="preserve"> </w:t>
        </w:r>
        <w:r w:rsidR="00AD0AE5" w:rsidRPr="00282605">
          <w:rPr>
            <w:rStyle w:val="Hyperlink"/>
            <w:rFonts w:hint="eastAsia"/>
            <w:rtl/>
          </w:rPr>
          <w:t>فيما</w:t>
        </w:r>
        <w:r w:rsidR="003D0CB0">
          <w:rPr>
            <w:rStyle w:val="Hyperlink"/>
            <w:rFonts w:hint="cs"/>
            <w:rtl/>
          </w:rPr>
          <w:t xml:space="preserve"> </w:t>
        </w:r>
        <w:r w:rsidR="00AD0AE5" w:rsidRPr="00282605">
          <w:rPr>
            <w:rStyle w:val="Hyperlink"/>
            <w:rFonts w:hint="eastAsia"/>
            <w:rtl/>
          </w:rPr>
          <w:t>يتداوله</w:t>
        </w:r>
        <w:r w:rsidR="003D0CB0">
          <w:rPr>
            <w:rStyle w:val="Hyperlink"/>
            <w:rFonts w:hint="cs"/>
            <w:rtl/>
          </w:rPr>
          <w:t xml:space="preserve"> </w:t>
        </w:r>
        <w:r w:rsidR="00AD0AE5" w:rsidRPr="00282605">
          <w:rPr>
            <w:rStyle w:val="Hyperlink"/>
            <w:rFonts w:hint="eastAsia"/>
            <w:rtl/>
          </w:rPr>
          <w:t>الناس</w:t>
        </w:r>
        <w:r w:rsidR="003D0CB0">
          <w:rPr>
            <w:rStyle w:val="Hyperlink"/>
            <w:rFonts w:hint="cs"/>
            <w:rtl/>
          </w:rPr>
          <w:t xml:space="preserve"> </w:t>
        </w:r>
        <w:r w:rsidR="00AD0AE5" w:rsidRPr="00282605">
          <w:rPr>
            <w:rStyle w:val="Hyperlink"/>
            <w:rFonts w:hint="eastAsia"/>
            <w:rtl/>
          </w:rPr>
          <w:t>من</w:t>
        </w:r>
        <w:r w:rsidR="003D0CB0">
          <w:rPr>
            <w:rStyle w:val="Hyperlink"/>
            <w:rFonts w:hint="cs"/>
            <w:rtl/>
          </w:rPr>
          <w:t xml:space="preserve"> </w:t>
        </w:r>
        <w:r w:rsidR="00AD0AE5" w:rsidRPr="00282605">
          <w:rPr>
            <w:rStyle w:val="Hyperlink"/>
            <w:rFonts w:hint="eastAsia"/>
            <w:rtl/>
          </w:rPr>
          <w:t>الكلام</w:t>
        </w:r>
        <w:r w:rsidR="003D0CB0">
          <w:rPr>
            <w:rStyle w:val="Hyperlink"/>
            <w:rFonts w:hint="cs"/>
            <w:rtl/>
          </w:rPr>
          <w:t xml:space="preserve"> </w:t>
        </w:r>
        <w:r w:rsidR="00AD0AE5" w:rsidRPr="00282605">
          <w:rPr>
            <w:rStyle w:val="Hyperlink"/>
            <w:rFonts w:hint="eastAsia"/>
            <w:rtl/>
          </w:rPr>
          <w:t>والأفعال</w:t>
        </w:r>
        <w:r w:rsidR="003D0CB0">
          <w:rPr>
            <w:rStyle w:val="Hyperlink"/>
            <w:rFonts w:hint="cs"/>
            <w:rtl/>
          </w:rPr>
          <w:t xml:space="preserve"> </w:t>
        </w:r>
        <w:r w:rsidR="00AD0AE5" w:rsidRPr="00282605">
          <w:rPr>
            <w:rStyle w:val="Hyperlink"/>
            <w:rFonts w:hint="eastAsia"/>
            <w:rtl/>
          </w:rPr>
          <w:t>إلى</w:t>
        </w:r>
        <w:r w:rsidR="003D0CB0">
          <w:rPr>
            <w:rStyle w:val="Hyperlink"/>
            <w:rFonts w:hint="cs"/>
            <w:rtl/>
          </w:rPr>
          <w:t xml:space="preserve"> </w:t>
        </w:r>
        <w:r w:rsidR="00AD0AE5" w:rsidRPr="00282605">
          <w:rPr>
            <w:rStyle w:val="Hyperlink"/>
            <w:rFonts w:hint="eastAsia"/>
            <w:rtl/>
          </w:rPr>
          <w:t>العرف</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36"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37"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38"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pPr>
      <w:hyperlink w:anchor="_Toc334046339"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334046339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45" w:history="1">
        <w:r w:rsidR="00AD0AE5" w:rsidRPr="00282605">
          <w:rPr>
            <w:rStyle w:val="Hyperlink"/>
            <w:rFonts w:hint="eastAsia"/>
            <w:rtl/>
          </w:rPr>
          <w:t>المبحث</w:t>
        </w:r>
        <w:r w:rsidR="003D0CB0">
          <w:rPr>
            <w:rStyle w:val="Hyperlink"/>
            <w:rFonts w:hint="cs"/>
            <w:rtl/>
          </w:rPr>
          <w:t xml:space="preserve"> </w:t>
        </w:r>
        <w:r w:rsidR="00B86A50">
          <w:rPr>
            <w:rStyle w:val="Hyperlink"/>
            <w:rFonts w:hint="eastAsia"/>
            <w:rtl/>
          </w:rPr>
          <w:t>الثا</w:t>
        </w:r>
        <w:r w:rsidR="00B86A50">
          <w:rPr>
            <w:rStyle w:val="Hyperlink"/>
            <w:rFonts w:hint="cs"/>
            <w:rtl/>
          </w:rPr>
          <w:t>ني</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الشرط</w:t>
        </w:r>
        <w:r w:rsidR="003D0CB0">
          <w:rPr>
            <w:rStyle w:val="Hyperlink"/>
            <w:rFonts w:hint="cs"/>
            <w:rtl/>
          </w:rPr>
          <w:t xml:space="preserve"> </w:t>
        </w:r>
        <w:r w:rsidR="00AD0AE5" w:rsidRPr="00282605">
          <w:rPr>
            <w:rStyle w:val="Hyperlink"/>
            <w:rFonts w:hint="eastAsia"/>
            <w:rtl/>
          </w:rPr>
          <w:t>العرفي</w:t>
        </w:r>
        <w:r w:rsidR="003D0CB0">
          <w:rPr>
            <w:rStyle w:val="Hyperlink"/>
            <w:rFonts w:hint="cs"/>
            <w:rtl/>
          </w:rPr>
          <w:t xml:space="preserve"> </w:t>
        </w:r>
        <w:r w:rsidR="00AD0AE5" w:rsidRPr="00282605">
          <w:rPr>
            <w:rStyle w:val="Hyperlink"/>
            <w:rFonts w:hint="eastAsia"/>
            <w:rtl/>
          </w:rPr>
          <w:t>كالشرط</w:t>
        </w:r>
        <w:r w:rsidR="003D0CB0">
          <w:rPr>
            <w:rStyle w:val="Hyperlink"/>
            <w:rFonts w:hint="cs"/>
            <w:rtl/>
          </w:rPr>
          <w:t xml:space="preserve"> </w:t>
        </w:r>
        <w:r w:rsidR="00AD0AE5" w:rsidRPr="00282605">
          <w:rPr>
            <w:rStyle w:val="Hyperlink"/>
            <w:rFonts w:hint="eastAsia"/>
            <w:rtl/>
          </w:rPr>
          <w:t>اللفظي</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334046345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46"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334046346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47"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334046347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48"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334046348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0D30DD" w:rsidRPr="00CF3FBC" w:rsidRDefault="00AB0B9E" w:rsidP="00CF3FBC">
      <w:pPr>
        <w:pStyle w:val="40"/>
        <w:rPr>
          <w:rtl/>
        </w:rPr>
      </w:pPr>
      <w:hyperlink w:anchor="_Toc334046349"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334046349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50" w:history="1">
        <w:r w:rsidR="00AD0AE5" w:rsidRPr="00282605">
          <w:rPr>
            <w:rStyle w:val="Hyperlink"/>
            <w:rFonts w:hint="eastAsia"/>
            <w:rtl/>
          </w:rPr>
          <w:t>المبحث</w:t>
        </w:r>
        <w:r w:rsidR="003D0CB0">
          <w:rPr>
            <w:rStyle w:val="Hyperlink"/>
            <w:rFonts w:hint="cs"/>
            <w:rtl/>
          </w:rPr>
          <w:t xml:space="preserve"> </w:t>
        </w:r>
        <w:r w:rsidR="00B86A50">
          <w:rPr>
            <w:rStyle w:val="Hyperlink"/>
            <w:rFonts w:hint="eastAsia"/>
            <w:rtl/>
          </w:rPr>
          <w:t>ال</w:t>
        </w:r>
        <w:r w:rsidR="00B86A50">
          <w:rPr>
            <w:rStyle w:val="Hyperlink"/>
            <w:rFonts w:hint="cs"/>
            <w:rtl/>
          </w:rPr>
          <w:t>ثالث</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الإذن</w:t>
        </w:r>
        <w:r w:rsidR="003D0CB0">
          <w:rPr>
            <w:rStyle w:val="Hyperlink"/>
            <w:rFonts w:hint="cs"/>
            <w:rtl/>
          </w:rPr>
          <w:t xml:space="preserve"> </w:t>
        </w:r>
        <w:r w:rsidR="00AD0AE5" w:rsidRPr="00282605">
          <w:rPr>
            <w:rStyle w:val="Hyperlink"/>
            <w:rFonts w:hint="eastAsia"/>
            <w:rtl/>
          </w:rPr>
          <w:t>العرفي</w:t>
        </w:r>
        <w:r w:rsidR="003D0CB0">
          <w:rPr>
            <w:rStyle w:val="Hyperlink"/>
            <w:rFonts w:hint="cs"/>
            <w:rtl/>
          </w:rPr>
          <w:t xml:space="preserve"> </w:t>
        </w:r>
        <w:r w:rsidR="00AD0AE5" w:rsidRPr="00282605">
          <w:rPr>
            <w:rStyle w:val="Hyperlink"/>
            <w:rFonts w:hint="eastAsia"/>
            <w:rtl/>
          </w:rPr>
          <w:t>كالإذن</w:t>
        </w:r>
        <w:r w:rsidR="003D0CB0">
          <w:rPr>
            <w:rStyle w:val="Hyperlink"/>
            <w:rFonts w:hint="cs"/>
            <w:rtl/>
          </w:rPr>
          <w:t xml:space="preserve"> </w:t>
        </w:r>
        <w:r w:rsidR="00AD0AE5" w:rsidRPr="00282605">
          <w:rPr>
            <w:rStyle w:val="Hyperlink"/>
            <w:rFonts w:hint="eastAsia"/>
            <w:rtl/>
          </w:rPr>
          <w:t>اللفظي</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51"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صيغة</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52"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53"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0D30DD" w:rsidRPr="00AD513D" w:rsidRDefault="00AB0B9E" w:rsidP="00AD513D">
      <w:pPr>
        <w:pStyle w:val="40"/>
        <w:rPr>
          <w:rtl/>
        </w:rPr>
      </w:pPr>
      <w:hyperlink w:anchor="_Toc334046354" w:history="1">
        <w:r w:rsidR="00AD0AE5" w:rsidRPr="00282605">
          <w:rPr>
            <w:rStyle w:val="Hyperlink"/>
            <w:rFonts w:ascii="Traditional Arabic" w:hAnsi="Traditional Arabic"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55" w:history="1">
        <w:r w:rsidR="00AD0AE5" w:rsidRPr="00282605">
          <w:rPr>
            <w:rStyle w:val="Hyperlink"/>
            <w:rFonts w:hint="eastAsia"/>
            <w:rtl/>
          </w:rPr>
          <w:t>المبحث</w:t>
        </w:r>
        <w:r w:rsidR="003D0CB0">
          <w:rPr>
            <w:rStyle w:val="Hyperlink"/>
            <w:rFonts w:hint="cs"/>
            <w:rtl/>
          </w:rPr>
          <w:t xml:space="preserve"> </w:t>
        </w:r>
        <w:r w:rsidR="00B86A50">
          <w:rPr>
            <w:rStyle w:val="Hyperlink"/>
            <w:rFonts w:hint="eastAsia"/>
            <w:rtl/>
          </w:rPr>
          <w:t>ال</w:t>
        </w:r>
        <w:r w:rsidR="00B86A50">
          <w:rPr>
            <w:rStyle w:val="Hyperlink"/>
            <w:rFonts w:hint="cs"/>
            <w:rtl/>
          </w:rPr>
          <w:t>رابع</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ما</w:t>
        </w:r>
        <w:r w:rsidR="003D0CB0">
          <w:rPr>
            <w:rStyle w:val="Hyperlink"/>
            <w:rFonts w:hint="cs"/>
            <w:rtl/>
          </w:rPr>
          <w:t xml:space="preserve"> </w:t>
        </w:r>
        <w:r w:rsidR="00AD0AE5" w:rsidRPr="00282605">
          <w:rPr>
            <w:rStyle w:val="Hyperlink"/>
            <w:rFonts w:hint="eastAsia"/>
            <w:rtl/>
          </w:rPr>
          <w:t>أتى</w:t>
        </w:r>
        <w:r w:rsidR="003D0CB0">
          <w:rPr>
            <w:rStyle w:val="Hyperlink"/>
            <w:rFonts w:hint="cs"/>
            <w:rtl/>
          </w:rPr>
          <w:t xml:space="preserve"> </w:t>
        </w:r>
        <w:r w:rsidR="00AD0AE5" w:rsidRPr="00282605">
          <w:rPr>
            <w:rStyle w:val="Hyperlink"/>
            <w:rFonts w:hint="eastAsia"/>
            <w:rtl/>
          </w:rPr>
          <w:t>ولم</w:t>
        </w:r>
        <w:r w:rsidR="003D0CB0">
          <w:rPr>
            <w:rStyle w:val="Hyperlink"/>
            <w:rFonts w:hint="cs"/>
            <w:rtl/>
          </w:rPr>
          <w:t xml:space="preserve"> </w:t>
        </w:r>
        <w:r w:rsidR="00AD0AE5" w:rsidRPr="00282605">
          <w:rPr>
            <w:rStyle w:val="Hyperlink"/>
            <w:rFonts w:hint="eastAsia"/>
            <w:rtl/>
          </w:rPr>
          <w:t>يحدد</w:t>
        </w:r>
        <w:r w:rsidR="003D0CB0">
          <w:rPr>
            <w:rStyle w:val="Hyperlink"/>
            <w:rFonts w:hint="cs"/>
            <w:rtl/>
          </w:rPr>
          <w:t xml:space="preserve"> </w:t>
        </w:r>
        <w:r w:rsidR="00AD0AE5" w:rsidRPr="00282605">
          <w:rPr>
            <w:rStyle w:val="Hyperlink"/>
            <w:rFonts w:hint="eastAsia"/>
            <w:rtl/>
          </w:rPr>
          <w:t>بالشرع</w:t>
        </w:r>
        <w:r w:rsidR="003D0CB0">
          <w:rPr>
            <w:rStyle w:val="Hyperlink"/>
            <w:rFonts w:hint="cs"/>
            <w:rtl/>
          </w:rPr>
          <w:t xml:space="preserve"> </w:t>
        </w:r>
        <w:r w:rsidR="00AD0AE5" w:rsidRPr="00282605">
          <w:rPr>
            <w:rStyle w:val="Hyperlink"/>
            <w:rFonts w:hint="eastAsia"/>
            <w:rtl/>
          </w:rPr>
          <w:t>فمرجعه</w:t>
        </w:r>
        <w:r w:rsidR="003D0CB0">
          <w:rPr>
            <w:rStyle w:val="Hyperlink"/>
            <w:rFonts w:hint="cs"/>
            <w:rtl/>
          </w:rPr>
          <w:t xml:space="preserve"> </w:t>
        </w:r>
        <w:r w:rsidR="00AD0AE5" w:rsidRPr="00282605">
          <w:rPr>
            <w:rStyle w:val="Hyperlink"/>
            <w:rFonts w:hint="eastAsia"/>
            <w:rtl/>
          </w:rPr>
          <w:t>إلى</w:t>
        </w:r>
        <w:r w:rsidR="003D0CB0">
          <w:rPr>
            <w:rStyle w:val="Hyperlink"/>
            <w:rFonts w:hint="cs"/>
            <w:rtl/>
          </w:rPr>
          <w:t xml:space="preserve"> </w:t>
        </w:r>
        <w:r w:rsidR="00AD0AE5" w:rsidRPr="00282605">
          <w:rPr>
            <w:rStyle w:val="Hyperlink"/>
            <w:rFonts w:hint="eastAsia"/>
            <w:rtl/>
          </w:rPr>
          <w:t>العرف</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56"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57"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58" w:history="1">
        <w:r w:rsidR="00AD0AE5" w:rsidRPr="00282605">
          <w:rPr>
            <w:rStyle w:val="Hyperlink"/>
            <w:rFonts w:hint="eastAsia"/>
            <w:rtl/>
            <w:lang w:eastAsia="en-US"/>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lang w:eastAsia="en-US"/>
          </w:rPr>
          <w:t xml:space="preserve"> : </w:t>
        </w:r>
        <w:r w:rsidR="00AD0AE5" w:rsidRPr="00282605">
          <w:rPr>
            <w:rStyle w:val="Hyperlink"/>
            <w:rFonts w:hint="eastAsia"/>
            <w:rtl/>
            <w:lang w:eastAsia="en-US"/>
          </w:rPr>
          <w:t>أدلة</w:t>
        </w:r>
        <w:r w:rsidR="003D0CB0">
          <w:rPr>
            <w:rStyle w:val="Hyperlink"/>
            <w:rFonts w:hint="cs"/>
            <w:rtl/>
            <w:lang w:eastAsia="en-US"/>
          </w:rPr>
          <w:t xml:space="preserve"> </w:t>
        </w:r>
        <w:r w:rsidR="00AD0AE5" w:rsidRPr="00282605">
          <w:rPr>
            <w:rStyle w:val="Hyperlink"/>
            <w:rFonts w:hint="eastAsia"/>
            <w:rtl/>
            <w:lang w:eastAsia="en-US"/>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AD513D" w:rsidRDefault="00AB0B9E" w:rsidP="00AD513D">
      <w:pPr>
        <w:pStyle w:val="40"/>
        <w:rPr>
          <w:rtl/>
        </w:rPr>
      </w:pPr>
      <w:hyperlink w:anchor="_Toc334046359"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334046359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60" w:history="1">
        <w:r w:rsidR="00AD0AE5" w:rsidRPr="00282605">
          <w:rPr>
            <w:rStyle w:val="Hyperlink"/>
            <w:rFonts w:hint="eastAsia"/>
            <w:rtl/>
          </w:rPr>
          <w:t>المبحث</w:t>
        </w:r>
        <w:r w:rsidR="003D0CB0">
          <w:rPr>
            <w:rStyle w:val="Hyperlink"/>
            <w:rFonts w:hint="cs"/>
            <w:rtl/>
          </w:rPr>
          <w:t xml:space="preserve"> </w:t>
        </w:r>
        <w:r w:rsidR="00B86A50">
          <w:rPr>
            <w:rStyle w:val="Hyperlink"/>
            <w:rFonts w:hint="eastAsia"/>
            <w:rtl/>
          </w:rPr>
          <w:t>ال</w:t>
        </w:r>
        <w:r w:rsidR="00B86A50">
          <w:rPr>
            <w:rStyle w:val="Hyperlink"/>
            <w:rFonts w:hint="cs"/>
            <w:rtl/>
          </w:rPr>
          <w:t>خ</w:t>
        </w:r>
        <w:r w:rsidR="00B86A50">
          <w:rPr>
            <w:rStyle w:val="Hyperlink"/>
            <w:rFonts w:hint="eastAsia"/>
            <w:rtl/>
          </w:rPr>
          <w:t>ا</w:t>
        </w:r>
        <w:r w:rsidR="00B86A50">
          <w:rPr>
            <w:rStyle w:val="Hyperlink"/>
            <w:rFonts w:hint="cs"/>
            <w:rtl/>
          </w:rPr>
          <w:t>م</w:t>
        </w:r>
        <w:r w:rsidR="00AD0AE5" w:rsidRPr="00282605">
          <w:rPr>
            <w:rStyle w:val="Hyperlink"/>
            <w:rFonts w:hint="eastAsia"/>
            <w:rtl/>
          </w:rPr>
          <w:t>س</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العقود</w:t>
        </w:r>
        <w:r w:rsidR="003D0CB0">
          <w:rPr>
            <w:rStyle w:val="Hyperlink"/>
            <w:rFonts w:hint="cs"/>
            <w:rtl/>
          </w:rPr>
          <w:t xml:space="preserve"> </w:t>
        </w:r>
        <w:r w:rsidR="00AD0AE5" w:rsidRPr="00282605">
          <w:rPr>
            <w:rStyle w:val="Hyperlink"/>
            <w:rFonts w:hint="eastAsia"/>
            <w:rtl/>
          </w:rPr>
          <w:t>تنعقد</w:t>
        </w:r>
        <w:r w:rsidR="003D0CB0">
          <w:rPr>
            <w:rStyle w:val="Hyperlink"/>
            <w:rFonts w:hint="cs"/>
            <w:rtl/>
          </w:rPr>
          <w:t xml:space="preserve"> </w:t>
        </w:r>
        <w:r w:rsidR="00AD0AE5" w:rsidRPr="00282605">
          <w:rPr>
            <w:rStyle w:val="Hyperlink"/>
            <w:rFonts w:hint="eastAsia"/>
            <w:rtl/>
          </w:rPr>
          <w:t>بما</w:t>
        </w:r>
        <w:r w:rsidR="003D0CB0">
          <w:rPr>
            <w:rStyle w:val="Hyperlink"/>
            <w:rFonts w:hint="cs"/>
            <w:rtl/>
          </w:rPr>
          <w:t xml:space="preserve"> </w:t>
        </w:r>
        <w:r w:rsidR="00AD0AE5" w:rsidRPr="00282605">
          <w:rPr>
            <w:rStyle w:val="Hyperlink"/>
            <w:rFonts w:hint="eastAsia"/>
            <w:rtl/>
          </w:rPr>
          <w:t>دل</w:t>
        </w:r>
        <w:r w:rsidR="003D0CB0">
          <w:rPr>
            <w:rStyle w:val="Hyperlink"/>
            <w:rFonts w:hint="cs"/>
            <w:rtl/>
          </w:rPr>
          <w:t xml:space="preserve"> </w:t>
        </w:r>
        <w:r w:rsidR="00AD0AE5" w:rsidRPr="00282605">
          <w:rPr>
            <w:rStyle w:val="Hyperlink"/>
            <w:rFonts w:hint="eastAsia"/>
            <w:rtl/>
          </w:rPr>
          <w:t>عليها</w:t>
        </w:r>
        <w:r w:rsidR="003D0CB0">
          <w:rPr>
            <w:rStyle w:val="Hyperlink"/>
            <w:rFonts w:hint="cs"/>
            <w:rtl/>
          </w:rPr>
          <w:t xml:space="preserve"> </w:t>
        </w:r>
        <w:r w:rsidR="00AD0AE5" w:rsidRPr="00282605">
          <w:rPr>
            <w:rStyle w:val="Hyperlink"/>
            <w:rFonts w:hint="eastAsia"/>
            <w:rtl/>
          </w:rPr>
          <w:t>عرفا</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61" w:history="1">
        <w:r w:rsidR="00AD0AE5" w:rsidRPr="00282605">
          <w:rPr>
            <w:rStyle w:val="Hyperlink"/>
            <w:rFonts w:hint="eastAsia"/>
            <w:rtl/>
          </w:rPr>
          <w:t>المطلب</w:t>
        </w:r>
        <w:r w:rsidR="003D0CB0">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62"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63"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64"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65"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366" w:history="1">
        <w:r w:rsidR="00AD0AE5" w:rsidRPr="00282605">
          <w:rPr>
            <w:rStyle w:val="Hyperlink"/>
            <w:rFonts w:hint="eastAsia"/>
            <w:rtl/>
          </w:rPr>
          <w:t>الفصل</w:t>
        </w:r>
        <w:r w:rsidR="002F085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القواعد</w:t>
        </w:r>
        <w:r w:rsidR="002F0855">
          <w:rPr>
            <w:rStyle w:val="Hyperlink"/>
            <w:rFonts w:hint="cs"/>
            <w:rtl/>
          </w:rPr>
          <w:t xml:space="preserve"> </w:t>
        </w:r>
        <w:r w:rsidR="00AD0AE5" w:rsidRPr="00282605">
          <w:rPr>
            <w:rStyle w:val="Hyperlink"/>
            <w:rFonts w:hint="eastAsia"/>
            <w:rtl/>
          </w:rPr>
          <w:t>المتعلقة</w:t>
        </w:r>
        <w:r w:rsidR="002F0855">
          <w:rPr>
            <w:rStyle w:val="Hyperlink"/>
            <w:rFonts w:hint="cs"/>
            <w:rtl/>
          </w:rPr>
          <w:t xml:space="preserve"> </w:t>
        </w:r>
        <w:r w:rsidR="00AD0AE5" w:rsidRPr="00282605">
          <w:rPr>
            <w:rStyle w:val="Hyperlink"/>
            <w:rFonts w:hint="eastAsia"/>
            <w:rtl/>
          </w:rPr>
          <w:t>بالوسائل</w:t>
        </w:r>
        <w:r w:rsidR="002F0855">
          <w:rPr>
            <w:rStyle w:val="Hyperlink"/>
            <w:rFonts w:hint="cs"/>
            <w:rtl/>
          </w:rPr>
          <w:t xml:space="preserve"> </w:t>
        </w:r>
        <w:r w:rsidR="00B86A50">
          <w:rPr>
            <w:rStyle w:val="Hyperlink"/>
            <w:rFonts w:hint="eastAsia"/>
            <w:rtl/>
          </w:rPr>
          <w:t>وال</w:t>
        </w:r>
        <w:r w:rsidR="00B86A50">
          <w:rPr>
            <w:rStyle w:val="Hyperlink"/>
            <w:rFonts w:hint="cs"/>
            <w:rtl/>
          </w:rPr>
          <w:t>نيات</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67" w:history="1">
        <w:r w:rsidR="00AD0AE5" w:rsidRPr="00282605">
          <w:rPr>
            <w:rStyle w:val="Hyperlink"/>
            <w:rFonts w:hint="eastAsia"/>
            <w:rtl/>
          </w:rPr>
          <w:t>المبحث</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الوسائل</w:t>
        </w:r>
        <w:r w:rsidR="003D0CB0">
          <w:rPr>
            <w:rStyle w:val="Hyperlink"/>
            <w:rFonts w:hint="cs"/>
            <w:rtl/>
          </w:rPr>
          <w:t xml:space="preserve"> </w:t>
        </w:r>
        <w:r w:rsidR="00AD0AE5" w:rsidRPr="00282605">
          <w:rPr>
            <w:rStyle w:val="Hyperlink"/>
            <w:rFonts w:hint="eastAsia"/>
            <w:rtl/>
          </w:rPr>
          <w:t>لها</w:t>
        </w:r>
        <w:r w:rsidR="003D0CB0">
          <w:rPr>
            <w:rStyle w:val="Hyperlink"/>
            <w:rFonts w:hint="cs"/>
            <w:rtl/>
          </w:rPr>
          <w:t xml:space="preserve"> </w:t>
        </w:r>
        <w:r w:rsidR="00AD0AE5" w:rsidRPr="00282605">
          <w:rPr>
            <w:rStyle w:val="Hyperlink"/>
            <w:rFonts w:hint="eastAsia"/>
            <w:rtl/>
          </w:rPr>
          <w:t>أحكام</w:t>
        </w:r>
        <w:r w:rsidR="003D0CB0">
          <w:rPr>
            <w:rStyle w:val="Hyperlink"/>
            <w:rFonts w:hint="cs"/>
            <w:rtl/>
          </w:rPr>
          <w:t xml:space="preserve"> </w:t>
        </w:r>
        <w:r w:rsidR="00AD0AE5" w:rsidRPr="00282605">
          <w:rPr>
            <w:rStyle w:val="Hyperlink"/>
            <w:rFonts w:hint="eastAsia"/>
            <w:rtl/>
          </w:rPr>
          <w:t>المقاصد</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68"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69"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334046369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70"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546D0E" w:rsidRDefault="00AB0B9E" w:rsidP="00546D0E">
      <w:pPr>
        <w:pStyle w:val="40"/>
        <w:rPr>
          <w:rtl/>
        </w:rPr>
      </w:pPr>
      <w:hyperlink w:anchor="_Toc334046371"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546D0E" w:rsidRPr="00546D0E" w:rsidRDefault="00546D0E" w:rsidP="00546D0E">
      <w:pPr>
        <w:rPr>
          <w:rFonts w:eastAsiaTheme="minorEastAsia"/>
          <w:rtl/>
          <w:lang w:val="fr-FR" w:eastAsia="fr-FR"/>
        </w:rPr>
      </w:pPr>
      <w:r>
        <w:rPr>
          <w:rFonts w:eastAsiaTheme="minorEastAsia" w:hint="cs"/>
          <w:rtl/>
          <w:lang w:val="fr-FR" w:eastAsia="fr-FR"/>
        </w:rPr>
        <w:tab/>
      </w:r>
      <w:r>
        <w:rPr>
          <w:rFonts w:eastAsiaTheme="minorEastAsia" w:hint="cs"/>
          <w:rtl/>
          <w:lang w:val="fr-FR" w:eastAsia="fr-FR"/>
        </w:rPr>
        <w:tab/>
        <w:t>المطلب الخامس: مستثنيات القاعدة ...</w:t>
      </w:r>
      <w:r w:rsidR="00AD513D">
        <w:rPr>
          <w:rFonts w:eastAsiaTheme="minorEastAsia" w:hint="cs"/>
          <w:rtl/>
          <w:lang w:val="fr-FR" w:eastAsia="fr-FR"/>
        </w:rPr>
        <w:t>................................180</w:t>
      </w:r>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72" w:history="1">
        <w:r w:rsidR="00AD0AE5" w:rsidRPr="00282605">
          <w:rPr>
            <w:rStyle w:val="Hyperlink"/>
            <w:rFonts w:hint="eastAsia"/>
            <w:rtl/>
          </w:rPr>
          <w:t>المبحث</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سد</w:t>
        </w:r>
        <w:r w:rsidR="003D0CB0">
          <w:rPr>
            <w:rStyle w:val="Hyperlink"/>
            <w:rFonts w:hint="cs"/>
            <w:rtl/>
          </w:rPr>
          <w:t xml:space="preserve"> </w:t>
        </w:r>
        <w:r w:rsidR="00AD0AE5" w:rsidRPr="00282605">
          <w:rPr>
            <w:rStyle w:val="Hyperlink"/>
            <w:rFonts w:hint="eastAsia"/>
            <w:rtl/>
          </w:rPr>
          <w:t>الذرائع</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73" w:history="1">
        <w:r w:rsidR="00AD0AE5" w:rsidRPr="00282605">
          <w:rPr>
            <w:rStyle w:val="Hyperlink"/>
            <w:rFonts w:ascii="Traditional Arabic" w:hAnsi="Traditional Arabic" w:hint="eastAsia"/>
            <w:rtl/>
          </w:rPr>
          <w:t>المطلب</w:t>
        </w:r>
        <w:r w:rsidR="003D0CB0">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74"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75"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76" w:history="1">
        <w:r w:rsidR="00AD0AE5" w:rsidRPr="00282605">
          <w:rPr>
            <w:rStyle w:val="Hyperlink"/>
            <w:rFonts w:hint="eastAsia"/>
            <w:rtl/>
            <w:lang w:eastAsia="en-US"/>
          </w:rPr>
          <w:t>المطلب</w:t>
        </w:r>
        <w:r w:rsidR="003D0CB0">
          <w:rPr>
            <w:rStyle w:val="Hyperlink"/>
            <w:rFonts w:hint="cs"/>
            <w:rtl/>
            <w:lang w:eastAsia="en-US"/>
          </w:rPr>
          <w:t xml:space="preserve"> </w:t>
        </w:r>
        <w:r w:rsidR="00AD0AE5" w:rsidRPr="00282605">
          <w:rPr>
            <w:rStyle w:val="Hyperlink"/>
            <w:rFonts w:hint="eastAsia"/>
            <w:rtl/>
            <w:lang w:eastAsia="en-US"/>
          </w:rPr>
          <w:t>الرابع</w:t>
        </w:r>
        <w:r w:rsidR="00AD0AE5" w:rsidRPr="00282605">
          <w:rPr>
            <w:rStyle w:val="Hyperlink"/>
            <w:rtl/>
            <w:lang w:eastAsia="en-US"/>
          </w:rPr>
          <w:t xml:space="preserve"> : </w:t>
        </w:r>
        <w:r w:rsidR="00AD513D">
          <w:rPr>
            <w:rStyle w:val="Hyperlink"/>
            <w:rFonts w:hint="cs"/>
            <w:rtl/>
            <w:lang w:eastAsia="en-US"/>
          </w:rPr>
          <w:t>تطبيقات</w:t>
        </w:r>
        <w:r w:rsidR="003D0CB0">
          <w:rPr>
            <w:rStyle w:val="Hyperlink"/>
            <w:rFonts w:hint="cs"/>
            <w:rtl/>
            <w:lang w:eastAsia="en-US"/>
          </w:rPr>
          <w:t xml:space="preserve"> </w:t>
        </w:r>
        <w:r w:rsidR="00AD0AE5" w:rsidRPr="00282605">
          <w:rPr>
            <w:rStyle w:val="Hyperlink"/>
            <w:rFonts w:hint="eastAsia"/>
            <w:rtl/>
            <w:lang w:eastAsia="en-US"/>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77"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78" w:history="1">
        <w:r w:rsidR="00AD0AE5" w:rsidRPr="00282605">
          <w:rPr>
            <w:rStyle w:val="Hyperlink"/>
            <w:rFonts w:hint="eastAsia"/>
            <w:rtl/>
          </w:rPr>
          <w:t>المبحث</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ماحرم</w:t>
        </w:r>
        <w:r w:rsidR="003D0CB0">
          <w:rPr>
            <w:rStyle w:val="Hyperlink"/>
            <w:rFonts w:hint="cs"/>
            <w:rtl/>
          </w:rPr>
          <w:t xml:space="preserve"> </w:t>
        </w:r>
        <w:r w:rsidR="00AD0AE5" w:rsidRPr="00282605">
          <w:rPr>
            <w:rStyle w:val="Hyperlink"/>
            <w:rFonts w:hint="eastAsia"/>
            <w:rtl/>
          </w:rPr>
          <w:t>تحريم</w:t>
        </w:r>
        <w:r w:rsidR="003D0CB0">
          <w:rPr>
            <w:rStyle w:val="Hyperlink"/>
            <w:rFonts w:hint="cs"/>
            <w:rtl/>
          </w:rPr>
          <w:t xml:space="preserve"> </w:t>
        </w:r>
        <w:r w:rsidR="00AD0AE5" w:rsidRPr="00282605">
          <w:rPr>
            <w:rStyle w:val="Hyperlink"/>
            <w:rFonts w:hint="eastAsia"/>
            <w:rtl/>
          </w:rPr>
          <w:t>الوسائل</w:t>
        </w:r>
        <w:r w:rsidR="003D0CB0">
          <w:rPr>
            <w:rStyle w:val="Hyperlink"/>
            <w:rFonts w:hint="cs"/>
            <w:rtl/>
          </w:rPr>
          <w:t xml:space="preserve"> </w:t>
        </w:r>
        <w:r w:rsidR="00AD0AE5" w:rsidRPr="00282605">
          <w:rPr>
            <w:rStyle w:val="Hyperlink"/>
            <w:rFonts w:hint="eastAsia"/>
            <w:rtl/>
          </w:rPr>
          <w:t>أباحته</w:t>
        </w:r>
        <w:r w:rsidR="003D0CB0">
          <w:rPr>
            <w:rStyle w:val="Hyperlink"/>
            <w:rFonts w:hint="cs"/>
            <w:rtl/>
          </w:rPr>
          <w:t xml:space="preserve"> </w:t>
        </w:r>
        <w:r w:rsidR="00AD0AE5" w:rsidRPr="00282605">
          <w:rPr>
            <w:rStyle w:val="Hyperlink"/>
            <w:rFonts w:hint="eastAsia"/>
            <w:rtl/>
          </w:rPr>
          <w:t>الحاجة</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79"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334046379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80"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81"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B86A50" w:rsidRDefault="00AB0B9E" w:rsidP="00B86A50">
      <w:pPr>
        <w:pStyle w:val="40"/>
        <w:rPr>
          <w:rtl/>
        </w:rPr>
      </w:pPr>
      <w:hyperlink w:anchor="_Toc334046382"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513D">
          <w:rPr>
            <w:rStyle w:val="Hyperlink"/>
            <w:rFonts w:hint="cs"/>
            <w:rtl/>
          </w:rPr>
          <w:t>ال</w:t>
        </w:r>
        <w:r w:rsidR="00AD513D">
          <w:rPr>
            <w:rStyle w:val="Hyperlink"/>
            <w:rFonts w:hint="eastAsia"/>
            <w:rtl/>
          </w:rPr>
          <w:t>تطبيق</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83" w:history="1">
        <w:r w:rsidR="00AD0AE5" w:rsidRPr="00282605">
          <w:rPr>
            <w:rStyle w:val="Hyperlink"/>
            <w:rFonts w:hint="eastAsia"/>
            <w:rtl/>
          </w:rPr>
          <w:t>المبحث</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cs"/>
            <w:rtl/>
          </w:rPr>
          <w:t>ﺇ</w:t>
        </w:r>
        <w:r w:rsidR="00AD0AE5" w:rsidRPr="00282605">
          <w:rPr>
            <w:rStyle w:val="Hyperlink"/>
            <w:rFonts w:hint="eastAsia"/>
            <w:rtl/>
          </w:rPr>
          <w:t>نما</w:t>
        </w:r>
        <w:r w:rsidR="003D0CB0">
          <w:rPr>
            <w:rStyle w:val="Hyperlink"/>
            <w:rFonts w:hint="cs"/>
            <w:rtl/>
          </w:rPr>
          <w:t xml:space="preserve"> </w:t>
        </w:r>
        <w:r w:rsidR="00AD0AE5" w:rsidRPr="00282605">
          <w:rPr>
            <w:rStyle w:val="Hyperlink"/>
            <w:rFonts w:hint="eastAsia"/>
            <w:rtl/>
          </w:rPr>
          <w:t>الأعمال</w:t>
        </w:r>
        <w:r w:rsidR="003D0CB0">
          <w:rPr>
            <w:rStyle w:val="Hyperlink"/>
            <w:rFonts w:hint="cs"/>
            <w:rtl/>
          </w:rPr>
          <w:t xml:space="preserve"> </w:t>
        </w:r>
        <w:r w:rsidR="00AD0AE5" w:rsidRPr="00282605">
          <w:rPr>
            <w:rStyle w:val="Hyperlink"/>
            <w:rFonts w:hint="eastAsia"/>
            <w:rtl/>
          </w:rPr>
          <w:t>بالنيّات</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84"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85"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86"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B86A50" w:rsidRDefault="00AB0B9E" w:rsidP="00B86A50">
      <w:pPr>
        <w:pStyle w:val="40"/>
        <w:rPr>
          <w:rtl/>
        </w:rPr>
      </w:pPr>
      <w:hyperlink w:anchor="_Toc334046387"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88" w:history="1">
        <w:r w:rsidR="00AD0AE5" w:rsidRPr="00282605">
          <w:rPr>
            <w:rStyle w:val="Hyperlink"/>
            <w:rFonts w:ascii="Traditional Arabic" w:hAnsi="Traditional Arabic" w:hint="eastAsia"/>
            <w:rtl/>
          </w:rPr>
          <w:t>المبحث</w:t>
        </w:r>
        <w:r w:rsidR="003D0CB0">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الخامس</w:t>
        </w:r>
        <w:r w:rsidR="00AD0AE5" w:rsidRPr="00282605">
          <w:rPr>
            <w:rStyle w:val="Hyperlink"/>
            <w:rFonts w:ascii="Traditional Arabic" w:hAnsi="Traditional Arabic"/>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العبرة</w:t>
        </w:r>
        <w:r w:rsidR="003D0CB0">
          <w:rPr>
            <w:rStyle w:val="Hyperlink"/>
            <w:rFonts w:hint="cs"/>
            <w:rtl/>
          </w:rPr>
          <w:t xml:space="preserve"> </w:t>
        </w:r>
        <w:r w:rsidR="00AD0AE5" w:rsidRPr="00282605">
          <w:rPr>
            <w:rStyle w:val="Hyperlink"/>
            <w:rFonts w:hint="eastAsia"/>
            <w:rtl/>
          </w:rPr>
          <w:t>في</w:t>
        </w:r>
        <w:r w:rsidR="003D0CB0">
          <w:rPr>
            <w:rStyle w:val="Hyperlink"/>
            <w:rFonts w:hint="cs"/>
            <w:rtl/>
          </w:rPr>
          <w:t xml:space="preserve"> </w:t>
        </w:r>
        <w:r w:rsidR="00AD0AE5" w:rsidRPr="00282605">
          <w:rPr>
            <w:rStyle w:val="Hyperlink"/>
            <w:rFonts w:hint="eastAsia"/>
            <w:rtl/>
          </w:rPr>
          <w:t>الألفاظ</w:t>
        </w:r>
        <w:r w:rsidR="003D0CB0">
          <w:rPr>
            <w:rStyle w:val="Hyperlink"/>
            <w:rFonts w:hint="cs"/>
            <w:rtl/>
          </w:rPr>
          <w:t xml:space="preserve"> </w:t>
        </w:r>
        <w:r w:rsidR="00AD0AE5" w:rsidRPr="00282605">
          <w:rPr>
            <w:rStyle w:val="Hyperlink"/>
            <w:rFonts w:hint="eastAsia"/>
            <w:rtl/>
          </w:rPr>
          <w:t>بمعانيها</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89"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334046389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90"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91"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B86A50" w:rsidRDefault="00AB0B9E" w:rsidP="00B86A50">
      <w:pPr>
        <w:pStyle w:val="40"/>
        <w:rPr>
          <w:rtl/>
        </w:rPr>
      </w:pPr>
      <w:hyperlink w:anchor="_Toc334046392"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93" w:history="1">
        <w:r w:rsidR="00AD0AE5" w:rsidRPr="00282605">
          <w:rPr>
            <w:rStyle w:val="Hyperlink"/>
            <w:rFonts w:hint="eastAsia"/>
            <w:rtl/>
          </w:rPr>
          <w:t>المبحث</w:t>
        </w:r>
        <w:r w:rsidR="0061492C">
          <w:rPr>
            <w:rStyle w:val="Hyperlink"/>
            <w:rFonts w:hint="cs"/>
            <w:rtl/>
          </w:rPr>
          <w:t xml:space="preserve"> </w:t>
        </w:r>
        <w:r w:rsidR="00AD0AE5" w:rsidRPr="00282605">
          <w:rPr>
            <w:rStyle w:val="Hyperlink"/>
            <w:rFonts w:hint="eastAsia"/>
            <w:rtl/>
          </w:rPr>
          <w:t>السادس</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من</w:t>
        </w:r>
        <w:r w:rsidR="0061492C">
          <w:rPr>
            <w:rStyle w:val="Hyperlink"/>
            <w:rFonts w:hint="cs"/>
            <w:rtl/>
          </w:rPr>
          <w:t xml:space="preserve"> </w:t>
        </w:r>
        <w:r w:rsidR="00AD0AE5" w:rsidRPr="00282605">
          <w:rPr>
            <w:rStyle w:val="Hyperlink"/>
            <w:rFonts w:hint="eastAsia"/>
            <w:rtl/>
          </w:rPr>
          <w:t>أدى</w:t>
        </w:r>
        <w:r w:rsidR="0061492C">
          <w:rPr>
            <w:rStyle w:val="Hyperlink"/>
            <w:rFonts w:hint="cs"/>
            <w:rtl/>
          </w:rPr>
          <w:t xml:space="preserve"> </w:t>
        </w:r>
        <w:r w:rsidR="00AD0AE5" w:rsidRPr="00282605">
          <w:rPr>
            <w:rStyle w:val="Hyperlink"/>
            <w:rFonts w:hint="eastAsia"/>
            <w:rtl/>
          </w:rPr>
          <w:t>عن</w:t>
        </w:r>
        <w:r w:rsidR="0061492C">
          <w:rPr>
            <w:rStyle w:val="Hyperlink"/>
            <w:rFonts w:hint="cs"/>
            <w:rtl/>
          </w:rPr>
          <w:t xml:space="preserve"> </w:t>
        </w:r>
        <w:r w:rsidR="00AD0AE5" w:rsidRPr="00282605">
          <w:rPr>
            <w:rStyle w:val="Hyperlink"/>
            <w:rFonts w:hint="eastAsia"/>
            <w:rtl/>
          </w:rPr>
          <w:t>غيره</w:t>
        </w:r>
        <w:r w:rsidR="0061492C">
          <w:rPr>
            <w:rStyle w:val="Hyperlink"/>
            <w:rFonts w:hint="cs"/>
            <w:rtl/>
          </w:rPr>
          <w:t xml:space="preserve"> </w:t>
        </w:r>
        <w:r w:rsidR="00AD0AE5" w:rsidRPr="00282605">
          <w:rPr>
            <w:rStyle w:val="Hyperlink"/>
            <w:rFonts w:hint="eastAsia"/>
            <w:rtl/>
          </w:rPr>
          <w:t>واجبا</w:t>
        </w:r>
        <w:r w:rsidR="0061492C">
          <w:rPr>
            <w:rStyle w:val="Hyperlink"/>
            <w:rFonts w:hint="cs"/>
            <w:rtl/>
          </w:rPr>
          <w:t xml:space="preserve"> </w:t>
        </w:r>
        <w:r w:rsidR="00AD0AE5" w:rsidRPr="00282605">
          <w:rPr>
            <w:rStyle w:val="Hyperlink"/>
            <w:rFonts w:hint="eastAsia"/>
            <w:rtl/>
          </w:rPr>
          <w:t>يبرأ</w:t>
        </w:r>
        <w:r w:rsidR="0061492C">
          <w:rPr>
            <w:rStyle w:val="Hyperlink"/>
            <w:rFonts w:hint="cs"/>
            <w:rtl/>
          </w:rPr>
          <w:t xml:space="preserve"> </w:t>
        </w:r>
        <w:r w:rsidR="00AD0AE5" w:rsidRPr="00282605">
          <w:rPr>
            <w:rStyle w:val="Hyperlink"/>
            <w:rFonts w:hint="eastAsia"/>
            <w:rtl/>
          </w:rPr>
          <w:t>به</w:t>
        </w:r>
        <w:r w:rsidR="0061492C">
          <w:rPr>
            <w:rStyle w:val="Hyperlink"/>
            <w:rFonts w:hint="cs"/>
            <w:rtl/>
          </w:rPr>
          <w:t xml:space="preserve"> </w:t>
        </w:r>
        <w:r w:rsidR="00AD0AE5" w:rsidRPr="00282605">
          <w:rPr>
            <w:rStyle w:val="Hyperlink"/>
            <w:rFonts w:hint="eastAsia"/>
            <w:rtl/>
          </w:rPr>
          <w:t>بنية</w:t>
        </w:r>
        <w:r w:rsidR="0061492C">
          <w:rPr>
            <w:rStyle w:val="Hyperlink"/>
            <w:rFonts w:hint="cs"/>
            <w:rtl/>
          </w:rPr>
          <w:t xml:space="preserve"> </w:t>
        </w:r>
        <w:r w:rsidR="00AD0AE5" w:rsidRPr="00282605">
          <w:rPr>
            <w:rStyle w:val="Hyperlink"/>
            <w:rFonts w:hint="eastAsia"/>
            <w:rtl/>
          </w:rPr>
          <w:t>الرجوع</w:t>
        </w:r>
        <w:r w:rsidR="0061492C">
          <w:rPr>
            <w:rStyle w:val="Hyperlink"/>
            <w:rFonts w:hint="cs"/>
            <w:rtl/>
          </w:rPr>
          <w:t xml:space="preserve"> </w:t>
        </w:r>
        <w:r w:rsidR="00AD0AE5" w:rsidRPr="00282605">
          <w:rPr>
            <w:rStyle w:val="Hyperlink"/>
            <w:rFonts w:hint="eastAsia"/>
            <w:rtl/>
          </w:rPr>
          <w:t>عليه</w:t>
        </w:r>
        <w:r w:rsidR="0061492C">
          <w:rPr>
            <w:rStyle w:val="Hyperlink"/>
            <w:rFonts w:hint="cs"/>
            <w:rtl/>
          </w:rPr>
          <w:t xml:space="preserve"> </w:t>
        </w:r>
        <w:r w:rsidR="00AD0AE5" w:rsidRPr="00282605">
          <w:rPr>
            <w:rStyle w:val="Hyperlink"/>
            <w:rFonts w:hint="eastAsia"/>
            <w:rtl/>
          </w:rPr>
          <w:t>رجع،</w:t>
        </w:r>
        <w:r w:rsidR="0061492C">
          <w:rPr>
            <w:rStyle w:val="Hyperlink"/>
            <w:rFonts w:hint="cs"/>
            <w:rtl/>
          </w:rPr>
          <w:t xml:space="preserve"> </w:t>
        </w:r>
        <w:r w:rsidR="00AD0AE5" w:rsidRPr="00282605">
          <w:rPr>
            <w:rStyle w:val="Hyperlink"/>
            <w:rFonts w:hint="eastAsia"/>
            <w:rtl/>
          </w:rPr>
          <w:t>وإلا</w:t>
        </w:r>
        <w:r w:rsidR="0061492C">
          <w:rPr>
            <w:rStyle w:val="Hyperlink"/>
            <w:rFonts w:hint="cs"/>
            <w:rtl/>
          </w:rPr>
          <w:t xml:space="preserve"> </w:t>
        </w:r>
        <w:r w:rsidR="00AD0AE5" w:rsidRPr="00282605">
          <w:rPr>
            <w:rStyle w:val="Hyperlink"/>
            <w:rFonts w:hint="eastAsia"/>
            <w:rtl/>
          </w:rPr>
          <w:t>فلا</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94" w:history="1">
        <w:r w:rsidR="00AD0AE5" w:rsidRPr="00282605">
          <w:rPr>
            <w:rStyle w:val="Hyperlink"/>
            <w:rFonts w:hint="eastAsia"/>
            <w:rtl/>
          </w:rPr>
          <w:t>المطلب</w:t>
        </w:r>
        <w:r w:rsidR="0061492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1492C">
          <w:rPr>
            <w:rStyle w:val="Hyperlink"/>
            <w:rFonts w:hint="cs"/>
            <w:rtl/>
          </w:rPr>
          <w:t xml:space="preserve"> </w:t>
        </w:r>
        <w:r w:rsidR="00AD0AE5" w:rsidRPr="00282605">
          <w:rPr>
            <w:rStyle w:val="Hyperlink"/>
            <w:rFonts w:hint="eastAsia"/>
            <w:rtl/>
          </w:rPr>
          <w:t>القاعدة</w:t>
        </w:r>
        <w:r w:rsidR="0061492C">
          <w:rPr>
            <w:rStyle w:val="Hyperlink"/>
            <w:rFonts w:hint="cs"/>
            <w:rtl/>
          </w:rPr>
          <w:t xml:space="preserve"> </w:t>
        </w:r>
        <w:r w:rsidR="00AD0AE5" w:rsidRPr="00282605">
          <w:rPr>
            <w:rStyle w:val="Hyperlink"/>
            <w:rFonts w:hint="eastAsia"/>
            <w:rtl/>
          </w:rPr>
          <w:t>عند</w:t>
        </w:r>
        <w:r w:rsidR="0061492C">
          <w:rPr>
            <w:rStyle w:val="Hyperlink"/>
            <w:rFonts w:hint="cs"/>
            <w:rtl/>
          </w:rPr>
          <w:t xml:space="preserve"> </w:t>
        </w:r>
        <w:r w:rsidR="00AD0AE5" w:rsidRPr="00282605">
          <w:rPr>
            <w:rStyle w:val="Hyperlink"/>
            <w:rFonts w:hint="eastAsia"/>
            <w:rtl/>
          </w:rPr>
          <w:t>الشيخ</w:t>
        </w:r>
        <w:r w:rsidR="0061492C">
          <w:rPr>
            <w:rStyle w:val="Hyperlink"/>
            <w:rFonts w:hint="cs"/>
            <w:rtl/>
          </w:rPr>
          <w:t xml:space="preserve"> </w:t>
        </w:r>
        <w:r w:rsidR="00AD0AE5" w:rsidRPr="00282605">
          <w:rPr>
            <w:rStyle w:val="Hyperlink"/>
            <w:rFonts w:hint="eastAsia"/>
            <w:rtl/>
          </w:rPr>
          <w:t>وعند</w:t>
        </w:r>
        <w:r w:rsidR="0061492C">
          <w:rPr>
            <w:rStyle w:val="Hyperlink"/>
            <w:rFonts w:hint="cs"/>
            <w:rtl/>
          </w:rPr>
          <w:t xml:space="preserve"> </w:t>
        </w:r>
        <w:r w:rsidR="00AD0AE5" w:rsidRPr="00282605">
          <w:rPr>
            <w:rStyle w:val="Hyperlink"/>
            <w:rFonts w:hint="eastAsia"/>
            <w:rtl/>
          </w:rPr>
          <w:t>علماء</w:t>
        </w:r>
        <w:r w:rsidR="0061492C">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95" w:history="1">
        <w:r w:rsidR="00AD0AE5" w:rsidRPr="00282605">
          <w:rPr>
            <w:rStyle w:val="Hyperlink"/>
            <w:rFonts w:hint="eastAsia"/>
            <w:rtl/>
          </w:rPr>
          <w:t>المطلب</w:t>
        </w:r>
        <w:r w:rsidR="0061492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1492C">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96" w:history="1">
        <w:r w:rsidR="00AD0AE5" w:rsidRPr="00282605">
          <w:rPr>
            <w:rStyle w:val="Hyperlink"/>
            <w:rFonts w:hint="eastAsia"/>
            <w:rtl/>
          </w:rPr>
          <w:t>المطلب</w:t>
        </w:r>
        <w:r w:rsidR="0061492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1492C">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B86A50" w:rsidRDefault="00AB0B9E" w:rsidP="00B86A50">
      <w:pPr>
        <w:pStyle w:val="40"/>
        <w:rPr>
          <w:rtl/>
        </w:rPr>
      </w:pPr>
      <w:hyperlink w:anchor="_Toc334046397" w:history="1">
        <w:r w:rsidR="00AD0AE5" w:rsidRPr="00282605">
          <w:rPr>
            <w:rStyle w:val="Hyperlink"/>
            <w:rFonts w:hint="eastAsia"/>
            <w:rtl/>
          </w:rPr>
          <w:t>المطلب</w:t>
        </w:r>
        <w:r w:rsidR="0061492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1492C">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398" w:history="1">
        <w:r w:rsidR="00AD0AE5" w:rsidRPr="00282605">
          <w:rPr>
            <w:rStyle w:val="Hyperlink"/>
            <w:rFonts w:hint="eastAsia"/>
            <w:rtl/>
          </w:rPr>
          <w:t>المبحث</w:t>
        </w:r>
        <w:r w:rsidR="0061492C">
          <w:rPr>
            <w:rStyle w:val="Hyperlink"/>
            <w:rFonts w:hint="cs"/>
            <w:rtl/>
          </w:rPr>
          <w:t xml:space="preserve"> </w:t>
        </w:r>
        <w:r w:rsidR="00AD0AE5" w:rsidRPr="00282605">
          <w:rPr>
            <w:rStyle w:val="Hyperlink"/>
            <w:rFonts w:hint="eastAsia"/>
            <w:rtl/>
          </w:rPr>
          <w:t>السابع</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الحيل</w:t>
        </w:r>
        <w:r w:rsidR="0061492C">
          <w:rPr>
            <w:rStyle w:val="Hyperlink"/>
            <w:rFonts w:hint="cs"/>
            <w:rtl/>
          </w:rPr>
          <w:t xml:space="preserve"> </w:t>
        </w:r>
        <w:r w:rsidR="00AD0AE5" w:rsidRPr="00282605">
          <w:rPr>
            <w:rStyle w:val="Hyperlink"/>
            <w:rFonts w:hint="eastAsia"/>
            <w:rtl/>
          </w:rPr>
          <w:t>ممنوعة</w:t>
        </w:r>
        <w:r w:rsidR="0061492C">
          <w:rPr>
            <w:rStyle w:val="Hyperlink"/>
            <w:rFonts w:hint="cs"/>
            <w:rtl/>
          </w:rPr>
          <w:t xml:space="preserve"> </w:t>
        </w:r>
        <w:r w:rsidR="00AD0AE5" w:rsidRPr="00282605">
          <w:rPr>
            <w:rStyle w:val="Hyperlink"/>
            <w:rFonts w:hint="eastAsia"/>
            <w:rtl/>
          </w:rPr>
          <w:t>شرعا</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399" w:history="1">
        <w:r w:rsidR="00AD0AE5" w:rsidRPr="00282605">
          <w:rPr>
            <w:rStyle w:val="Hyperlink"/>
            <w:rFonts w:hint="eastAsia"/>
            <w:rtl/>
          </w:rPr>
          <w:t>المطلب</w:t>
        </w:r>
        <w:r w:rsidR="0061492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w:t>
        </w:r>
        <w:r w:rsidR="00AD0AE5" w:rsidRPr="00282605">
          <w:rPr>
            <w:rStyle w:val="Hyperlink"/>
            <w:rFonts w:hint="eastAsia"/>
            <w:rtl/>
          </w:rPr>
          <w:t>صيغ</w:t>
        </w:r>
        <w:r w:rsidR="0061492C">
          <w:rPr>
            <w:rStyle w:val="Hyperlink"/>
            <w:rFonts w:hint="cs"/>
            <w:rtl/>
          </w:rPr>
          <w:t xml:space="preserve"> </w:t>
        </w:r>
        <w:r w:rsidR="00AD0AE5" w:rsidRPr="00282605">
          <w:rPr>
            <w:rStyle w:val="Hyperlink"/>
            <w:rFonts w:hint="eastAsia"/>
            <w:rtl/>
          </w:rPr>
          <w:t>القاعدة</w:t>
        </w:r>
        <w:r w:rsidR="0061492C">
          <w:rPr>
            <w:rStyle w:val="Hyperlink"/>
            <w:rFonts w:hint="cs"/>
            <w:rtl/>
          </w:rPr>
          <w:t xml:space="preserve"> </w:t>
        </w:r>
        <w:r w:rsidR="00AD0AE5" w:rsidRPr="00282605">
          <w:rPr>
            <w:rStyle w:val="Hyperlink"/>
            <w:rFonts w:hint="eastAsia"/>
            <w:rtl/>
          </w:rPr>
          <w:t>عند</w:t>
        </w:r>
        <w:r w:rsidR="0061492C">
          <w:rPr>
            <w:rStyle w:val="Hyperlink"/>
            <w:rFonts w:hint="cs"/>
            <w:rtl/>
          </w:rPr>
          <w:t xml:space="preserve"> </w:t>
        </w:r>
        <w:r w:rsidR="00AD0AE5" w:rsidRPr="00282605">
          <w:rPr>
            <w:rStyle w:val="Hyperlink"/>
            <w:rFonts w:hint="eastAsia"/>
            <w:rtl/>
          </w:rPr>
          <w:t>الشيخ</w:t>
        </w:r>
        <w:r w:rsidR="0061492C">
          <w:rPr>
            <w:rStyle w:val="Hyperlink"/>
            <w:rFonts w:hint="cs"/>
            <w:rtl/>
          </w:rPr>
          <w:t xml:space="preserve"> </w:t>
        </w:r>
        <w:r w:rsidR="00AD0AE5" w:rsidRPr="00282605">
          <w:rPr>
            <w:rStyle w:val="Hyperlink"/>
            <w:rFonts w:hint="eastAsia"/>
            <w:rtl/>
          </w:rPr>
          <w:t>وعند</w:t>
        </w:r>
        <w:r w:rsidR="0061492C">
          <w:rPr>
            <w:rStyle w:val="Hyperlink"/>
            <w:rFonts w:hint="cs"/>
            <w:rtl/>
          </w:rPr>
          <w:t xml:space="preserve"> </w:t>
        </w:r>
        <w:r w:rsidR="00AD0AE5" w:rsidRPr="00282605">
          <w:rPr>
            <w:rStyle w:val="Hyperlink"/>
            <w:rFonts w:hint="eastAsia"/>
            <w:rtl/>
          </w:rPr>
          <w:t>علماء</w:t>
        </w:r>
        <w:r w:rsidR="0061492C">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334046399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00" w:history="1">
        <w:r w:rsidR="00AD0AE5" w:rsidRPr="00282605">
          <w:rPr>
            <w:rStyle w:val="Hyperlink"/>
            <w:rFonts w:hint="eastAsia"/>
            <w:rtl/>
          </w:rPr>
          <w:t>المطلب</w:t>
        </w:r>
        <w:r w:rsidR="0061492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01" w:history="1">
        <w:r w:rsidR="00AD0AE5" w:rsidRPr="00282605">
          <w:rPr>
            <w:rStyle w:val="Hyperlink"/>
            <w:rFonts w:hint="eastAsia"/>
            <w:rtl/>
          </w:rPr>
          <w:t>المطلب</w:t>
        </w:r>
        <w:r w:rsidR="0061492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pPr>
      <w:hyperlink w:anchor="_Toc334046402" w:history="1">
        <w:r w:rsidR="00AD0AE5" w:rsidRPr="00282605">
          <w:rPr>
            <w:rStyle w:val="Hyperlink"/>
            <w:rFonts w:hint="eastAsia"/>
            <w:rtl/>
          </w:rPr>
          <w:t>المطلب</w:t>
        </w:r>
        <w:r w:rsidR="0061492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1492C">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03" w:history="1">
        <w:r w:rsidR="00AD0AE5" w:rsidRPr="00282605">
          <w:rPr>
            <w:rStyle w:val="Hyperlink"/>
            <w:rFonts w:hint="eastAsia"/>
            <w:rtl/>
          </w:rPr>
          <w:t>المبحث</w:t>
        </w:r>
        <w:r w:rsidR="0061492C">
          <w:rPr>
            <w:rStyle w:val="Hyperlink"/>
            <w:rFonts w:hint="cs"/>
            <w:rtl/>
          </w:rPr>
          <w:t xml:space="preserve"> </w:t>
        </w:r>
        <w:r w:rsidR="00AD0AE5" w:rsidRPr="00282605">
          <w:rPr>
            <w:rStyle w:val="Hyperlink"/>
            <w:rFonts w:hint="eastAsia"/>
            <w:rtl/>
          </w:rPr>
          <w:t>الثامن</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المُعامَلَة</w:t>
        </w:r>
        <w:r w:rsidR="0061492C">
          <w:rPr>
            <w:rStyle w:val="Hyperlink"/>
            <w:rFonts w:hint="cs"/>
            <w:rtl/>
          </w:rPr>
          <w:t xml:space="preserve"> </w:t>
        </w:r>
        <w:r w:rsidR="00AD0AE5" w:rsidRPr="00282605">
          <w:rPr>
            <w:rStyle w:val="Hyperlink"/>
            <w:rFonts w:hint="eastAsia"/>
            <w:rtl/>
          </w:rPr>
          <w:t>بِنَقِيضِ</w:t>
        </w:r>
        <w:r w:rsidR="0061492C">
          <w:rPr>
            <w:rStyle w:val="Hyperlink"/>
            <w:rFonts w:hint="cs"/>
            <w:rtl/>
          </w:rPr>
          <w:t xml:space="preserve"> </w:t>
        </w:r>
        <w:r w:rsidR="00AD0AE5" w:rsidRPr="00282605">
          <w:rPr>
            <w:rStyle w:val="Hyperlink"/>
            <w:rFonts w:hint="eastAsia"/>
            <w:rtl/>
          </w:rPr>
          <w:t>القَصْد</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04" w:history="1">
        <w:r w:rsidR="00AD0AE5" w:rsidRPr="00282605">
          <w:rPr>
            <w:rStyle w:val="Hyperlink"/>
            <w:rFonts w:hint="eastAsia"/>
            <w:rtl/>
          </w:rPr>
          <w:t>المطلب</w:t>
        </w:r>
        <w:r w:rsidR="0061492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1492C">
          <w:rPr>
            <w:rStyle w:val="Hyperlink"/>
            <w:rFonts w:hint="cs"/>
            <w:rtl/>
          </w:rPr>
          <w:t xml:space="preserve"> </w:t>
        </w:r>
        <w:r w:rsidR="00AD0AE5" w:rsidRPr="00282605">
          <w:rPr>
            <w:rStyle w:val="Hyperlink"/>
            <w:rFonts w:hint="eastAsia"/>
            <w:rtl/>
          </w:rPr>
          <w:t>القاعدة</w:t>
        </w:r>
        <w:r w:rsidR="0061492C">
          <w:rPr>
            <w:rStyle w:val="Hyperlink"/>
            <w:rFonts w:hint="cs"/>
            <w:rtl/>
          </w:rPr>
          <w:t xml:space="preserve"> </w:t>
        </w:r>
        <w:r w:rsidR="00AD0AE5" w:rsidRPr="00282605">
          <w:rPr>
            <w:rStyle w:val="Hyperlink"/>
            <w:rFonts w:hint="eastAsia"/>
            <w:rtl/>
          </w:rPr>
          <w:t>عند</w:t>
        </w:r>
        <w:r w:rsidR="0061492C">
          <w:rPr>
            <w:rStyle w:val="Hyperlink"/>
            <w:rFonts w:hint="cs"/>
            <w:rtl/>
          </w:rPr>
          <w:t xml:space="preserve"> </w:t>
        </w:r>
        <w:r w:rsidR="00AD0AE5" w:rsidRPr="00282605">
          <w:rPr>
            <w:rStyle w:val="Hyperlink"/>
            <w:rFonts w:hint="eastAsia"/>
            <w:rtl/>
          </w:rPr>
          <w:t>الشيخ</w:t>
        </w:r>
        <w:r w:rsidR="0061492C">
          <w:rPr>
            <w:rStyle w:val="Hyperlink"/>
            <w:rFonts w:hint="cs"/>
            <w:rtl/>
          </w:rPr>
          <w:t xml:space="preserve"> </w:t>
        </w:r>
        <w:r w:rsidR="00AD0AE5" w:rsidRPr="00282605">
          <w:rPr>
            <w:rStyle w:val="Hyperlink"/>
            <w:rFonts w:hint="eastAsia"/>
            <w:rtl/>
          </w:rPr>
          <w:t>وعند</w:t>
        </w:r>
        <w:r w:rsidR="0061492C">
          <w:rPr>
            <w:rStyle w:val="Hyperlink"/>
            <w:rFonts w:hint="cs"/>
            <w:rtl/>
          </w:rPr>
          <w:t xml:space="preserve"> </w:t>
        </w:r>
        <w:r w:rsidR="00AD0AE5" w:rsidRPr="00282605">
          <w:rPr>
            <w:rStyle w:val="Hyperlink"/>
            <w:rFonts w:hint="eastAsia"/>
            <w:rtl/>
          </w:rPr>
          <w:t>علماء</w:t>
        </w:r>
        <w:r w:rsidR="0061492C">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05"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06"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07"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2F0855" w:rsidRDefault="002F0855" w:rsidP="002F0855">
      <w:pPr>
        <w:rPr>
          <w:rFonts w:eastAsiaTheme="minorEastAsia"/>
          <w:rtl/>
          <w:lang w:val="fr-FR" w:eastAsia="fr-FR"/>
        </w:rPr>
      </w:pPr>
      <w:r>
        <w:rPr>
          <w:rFonts w:eastAsiaTheme="minorEastAsia" w:hint="cs"/>
          <w:rtl/>
          <w:lang w:val="fr-FR" w:eastAsia="fr-FR"/>
        </w:rPr>
        <w:tab/>
      </w:r>
      <w:r>
        <w:rPr>
          <w:rFonts w:eastAsiaTheme="minorEastAsia" w:hint="cs"/>
          <w:rtl/>
          <w:lang w:val="fr-FR" w:eastAsia="fr-FR"/>
        </w:rPr>
        <w:tab/>
        <w:t>المطلب الخامس: مستثنيات القاعدة.........</w:t>
      </w:r>
      <w:r w:rsidR="00113FA0">
        <w:rPr>
          <w:rFonts w:eastAsiaTheme="minorEastAsia" w:hint="cs"/>
          <w:rtl/>
          <w:lang w:val="fr-FR" w:eastAsia="fr-FR"/>
        </w:rPr>
        <w:t>...........................242</w:t>
      </w:r>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408" w:history="1">
        <w:r w:rsidR="00AD0AE5" w:rsidRPr="00282605">
          <w:rPr>
            <w:rStyle w:val="Hyperlink"/>
            <w:rFonts w:hint="eastAsia"/>
            <w:rtl/>
          </w:rPr>
          <w:t>الفصل</w:t>
        </w:r>
        <w:r w:rsidR="002F0855">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القواعد</w:t>
        </w:r>
        <w:r w:rsidR="002F0855">
          <w:rPr>
            <w:rStyle w:val="Hyperlink"/>
            <w:rFonts w:hint="cs"/>
            <w:rtl/>
          </w:rPr>
          <w:t xml:space="preserve"> </w:t>
        </w:r>
        <w:r w:rsidR="00AD0AE5" w:rsidRPr="00282605">
          <w:rPr>
            <w:rStyle w:val="Hyperlink"/>
            <w:rFonts w:hint="eastAsia"/>
            <w:rtl/>
          </w:rPr>
          <w:t>المتعلقة</w:t>
        </w:r>
        <w:r w:rsidR="002F0855">
          <w:rPr>
            <w:rStyle w:val="Hyperlink"/>
            <w:rFonts w:hint="cs"/>
            <w:rtl/>
          </w:rPr>
          <w:t xml:space="preserve"> </w:t>
        </w:r>
        <w:r w:rsidR="00AD0AE5" w:rsidRPr="00282605">
          <w:rPr>
            <w:rStyle w:val="Hyperlink"/>
            <w:rFonts w:hint="eastAsia"/>
            <w:rtl/>
          </w:rPr>
          <w:t>بالضرر</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09" w:history="1">
        <w:r w:rsidR="00AD0AE5" w:rsidRPr="00282605">
          <w:rPr>
            <w:rStyle w:val="Hyperlink"/>
            <w:rFonts w:hint="eastAsia"/>
            <w:rtl/>
          </w:rPr>
          <w:t>المبحث</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لا</w:t>
        </w:r>
        <w:r w:rsidR="003D0CB0">
          <w:rPr>
            <w:rStyle w:val="Hyperlink"/>
            <w:rFonts w:hint="cs"/>
            <w:rtl/>
          </w:rPr>
          <w:t xml:space="preserve"> </w:t>
        </w:r>
        <w:r w:rsidR="00AD0AE5" w:rsidRPr="00282605">
          <w:rPr>
            <w:rStyle w:val="Hyperlink"/>
            <w:rFonts w:hint="eastAsia"/>
            <w:rtl/>
          </w:rPr>
          <w:t>ضَرَر</w:t>
        </w:r>
        <w:r w:rsidR="003D0CB0">
          <w:rPr>
            <w:rStyle w:val="Hyperlink"/>
            <w:rFonts w:hint="cs"/>
            <w:rtl/>
          </w:rPr>
          <w:t xml:space="preserve"> </w:t>
        </w:r>
        <w:r w:rsidR="00AD0AE5" w:rsidRPr="00282605">
          <w:rPr>
            <w:rStyle w:val="Hyperlink"/>
            <w:rFonts w:hint="eastAsia"/>
            <w:rtl/>
          </w:rPr>
          <w:t>ولا</w:t>
        </w:r>
        <w:r w:rsidR="003D0CB0">
          <w:rPr>
            <w:rStyle w:val="Hyperlink"/>
            <w:rFonts w:hint="cs"/>
            <w:rtl/>
          </w:rPr>
          <w:t xml:space="preserve"> </w:t>
        </w:r>
        <w:r w:rsidR="00AD0AE5" w:rsidRPr="00282605">
          <w:rPr>
            <w:rStyle w:val="Hyperlink"/>
            <w:rFonts w:hint="eastAsia"/>
            <w:rtl/>
          </w:rPr>
          <w:t>ضِرَار</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334046409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10"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w:t>
        </w:r>
        <w:r w:rsidR="00AD0AE5" w:rsidRPr="00282605">
          <w:rPr>
            <w:rStyle w:val="Hyperlink"/>
            <w:rFonts w:hint="eastAsia"/>
            <w:rtl/>
          </w:rPr>
          <w:t>صيغ</w:t>
        </w:r>
        <w:r w:rsidR="003D0CB0">
          <w:rPr>
            <w:rStyle w:val="Hyperlink"/>
            <w:rFonts w:hint="cs"/>
            <w:rtl/>
          </w:rPr>
          <w:t xml:space="preserve"> </w:t>
        </w:r>
        <w:r w:rsidR="00AD0AE5" w:rsidRPr="00282605">
          <w:rPr>
            <w:rStyle w:val="Hyperlink"/>
            <w:rFonts w:hint="eastAsia"/>
            <w:rtl/>
          </w:rPr>
          <w:t>القاعدة</w:t>
        </w:r>
        <w:r w:rsidR="003D0CB0">
          <w:rPr>
            <w:rStyle w:val="Hyperlink"/>
            <w:rFonts w:hint="cs"/>
            <w:rtl/>
          </w:rPr>
          <w:t xml:space="preserve"> </w:t>
        </w:r>
        <w:r w:rsidR="00AD0AE5" w:rsidRPr="00282605">
          <w:rPr>
            <w:rStyle w:val="Hyperlink"/>
            <w:rFonts w:hint="eastAsia"/>
            <w:rtl/>
          </w:rPr>
          <w:t>عند</w:t>
        </w:r>
        <w:r w:rsidR="003D0CB0">
          <w:rPr>
            <w:rStyle w:val="Hyperlink"/>
            <w:rFonts w:hint="cs"/>
            <w:rtl/>
          </w:rPr>
          <w:t xml:space="preserve"> </w:t>
        </w:r>
        <w:r w:rsidR="00AD0AE5" w:rsidRPr="00282605">
          <w:rPr>
            <w:rStyle w:val="Hyperlink"/>
            <w:rFonts w:hint="eastAsia"/>
            <w:rtl/>
          </w:rPr>
          <w:t>الشيخ</w:t>
        </w:r>
        <w:r w:rsidR="003D0CB0">
          <w:rPr>
            <w:rStyle w:val="Hyperlink"/>
            <w:rFonts w:hint="cs"/>
            <w:rtl/>
          </w:rPr>
          <w:t xml:space="preserve"> </w:t>
        </w:r>
        <w:r w:rsidR="00AD0AE5" w:rsidRPr="00282605">
          <w:rPr>
            <w:rStyle w:val="Hyperlink"/>
            <w:rFonts w:hint="eastAsia"/>
            <w:rtl/>
          </w:rPr>
          <w:t>وعند</w:t>
        </w:r>
        <w:r w:rsidR="003D0CB0">
          <w:rPr>
            <w:rStyle w:val="Hyperlink"/>
            <w:rFonts w:hint="cs"/>
            <w:rtl/>
          </w:rPr>
          <w:t xml:space="preserve"> </w:t>
        </w:r>
        <w:r w:rsidR="00AD0AE5" w:rsidRPr="00282605">
          <w:rPr>
            <w:rStyle w:val="Hyperlink"/>
            <w:rFonts w:hint="eastAsia"/>
            <w:rtl/>
          </w:rPr>
          <w:t>علماء</w:t>
        </w:r>
        <w:r w:rsidR="003D0CB0">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11"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12"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13" w:history="1">
        <w:r w:rsidR="00AD0AE5" w:rsidRPr="00282605">
          <w:rPr>
            <w:rStyle w:val="Hyperlink"/>
            <w:rFonts w:hint="eastAsia"/>
            <w:rtl/>
          </w:rPr>
          <w:t>المطلب</w:t>
        </w:r>
        <w:r w:rsidR="003D0CB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3D0CB0">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14"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w:t>
        </w:r>
        <w:r w:rsidR="00B86A50">
          <w:rPr>
            <w:rStyle w:val="Hyperlink"/>
            <w:rFonts w:hint="cs"/>
            <w:rtl/>
          </w:rPr>
          <w:t>ا ي</w:t>
        </w:r>
        <w:r w:rsidR="00B86A50">
          <w:rPr>
            <w:rStyle w:val="Hyperlink"/>
            <w:rFonts w:hint="eastAsia"/>
            <w:rtl/>
          </w:rPr>
          <w:t>ستثن</w:t>
        </w:r>
        <w:r w:rsidR="00B86A50">
          <w:rPr>
            <w:rStyle w:val="Hyperlink"/>
            <w:rFonts w:hint="cs"/>
            <w:rtl/>
          </w:rPr>
          <w:t>ى من</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15" w:history="1">
        <w:r w:rsidR="00AD0AE5" w:rsidRPr="00282605">
          <w:rPr>
            <w:rStyle w:val="Hyperlink"/>
            <w:rFonts w:hint="eastAsia"/>
            <w:rtl/>
          </w:rPr>
          <w:t>المبحث</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كل</w:t>
        </w:r>
        <w:r w:rsidR="00F36702">
          <w:rPr>
            <w:rStyle w:val="Hyperlink"/>
            <w:rFonts w:hint="cs"/>
            <w:rtl/>
          </w:rPr>
          <w:t xml:space="preserve"> </w:t>
        </w:r>
        <w:r w:rsidR="00AD0AE5" w:rsidRPr="00282605">
          <w:rPr>
            <w:rStyle w:val="Hyperlink"/>
            <w:rFonts w:hint="eastAsia"/>
            <w:rtl/>
          </w:rPr>
          <w:t>مدفوع</w:t>
        </w:r>
        <w:r w:rsidR="00F36702">
          <w:rPr>
            <w:rStyle w:val="Hyperlink"/>
            <w:rFonts w:hint="cs"/>
            <w:rtl/>
          </w:rPr>
          <w:t xml:space="preserve"> </w:t>
        </w:r>
        <w:r w:rsidR="00AD0AE5" w:rsidRPr="00282605">
          <w:rPr>
            <w:rStyle w:val="Hyperlink"/>
            <w:rFonts w:hint="eastAsia"/>
            <w:rtl/>
          </w:rPr>
          <w:t>لأذاه</w:t>
        </w:r>
        <w:r w:rsidR="00F36702">
          <w:rPr>
            <w:rStyle w:val="Hyperlink"/>
            <w:rFonts w:hint="cs"/>
            <w:rtl/>
          </w:rPr>
          <w:t xml:space="preserve"> </w:t>
        </w:r>
        <w:r w:rsidR="00AD0AE5" w:rsidRPr="00282605">
          <w:rPr>
            <w:rStyle w:val="Hyperlink"/>
            <w:rFonts w:hint="eastAsia"/>
            <w:rtl/>
          </w:rPr>
          <w:t>فلا</w:t>
        </w:r>
        <w:r w:rsidR="00F36702">
          <w:rPr>
            <w:rStyle w:val="Hyperlink"/>
            <w:rFonts w:hint="cs"/>
            <w:rtl/>
          </w:rPr>
          <w:t xml:space="preserve"> </w:t>
        </w:r>
        <w:r w:rsidR="00AD0AE5" w:rsidRPr="00282605">
          <w:rPr>
            <w:rStyle w:val="Hyperlink"/>
            <w:rFonts w:hint="eastAsia"/>
            <w:rtl/>
          </w:rPr>
          <w:t>حرمة</w:t>
        </w:r>
        <w:r w:rsidR="00F36702">
          <w:rPr>
            <w:rStyle w:val="Hyperlink"/>
            <w:rFonts w:hint="cs"/>
            <w:rtl/>
          </w:rPr>
          <w:t xml:space="preserve"> </w:t>
        </w:r>
        <w:r w:rsidR="00AD0AE5" w:rsidRPr="00282605">
          <w:rPr>
            <w:rStyle w:val="Hyperlink"/>
            <w:rFonts w:hint="eastAsia"/>
            <w:rtl/>
          </w:rPr>
          <w:t>له،</w:t>
        </w:r>
        <w:r w:rsidR="00F36702">
          <w:rPr>
            <w:rStyle w:val="Hyperlink"/>
            <w:rFonts w:hint="cs"/>
            <w:rtl/>
          </w:rPr>
          <w:t xml:space="preserve"> </w:t>
        </w:r>
        <w:r w:rsidR="00AD0AE5" w:rsidRPr="00282605">
          <w:rPr>
            <w:rStyle w:val="Hyperlink"/>
            <w:rFonts w:hint="eastAsia"/>
            <w:rtl/>
          </w:rPr>
          <w:t>وكل</w:t>
        </w:r>
        <w:r w:rsidR="00F36702">
          <w:rPr>
            <w:rStyle w:val="Hyperlink"/>
            <w:rFonts w:hint="cs"/>
            <w:rtl/>
          </w:rPr>
          <w:t xml:space="preserve"> </w:t>
        </w:r>
        <w:r w:rsidR="00AD0AE5" w:rsidRPr="00282605">
          <w:rPr>
            <w:rStyle w:val="Hyperlink"/>
            <w:rFonts w:hint="eastAsia"/>
            <w:rtl/>
          </w:rPr>
          <w:t>ما</w:t>
        </w:r>
        <w:r w:rsidR="00F36702">
          <w:rPr>
            <w:rStyle w:val="Hyperlink"/>
            <w:rFonts w:hint="cs"/>
            <w:rtl/>
          </w:rPr>
          <w:t xml:space="preserve"> </w:t>
        </w:r>
        <w:r w:rsidR="00AD0AE5" w:rsidRPr="00282605">
          <w:rPr>
            <w:rStyle w:val="Hyperlink"/>
            <w:rFonts w:hint="eastAsia"/>
            <w:rtl/>
          </w:rPr>
          <w:t>أبيح</w:t>
        </w:r>
        <w:r w:rsidR="00F36702">
          <w:rPr>
            <w:rStyle w:val="Hyperlink"/>
            <w:rFonts w:hint="cs"/>
            <w:rtl/>
          </w:rPr>
          <w:t xml:space="preserve"> </w:t>
        </w:r>
        <w:r w:rsidR="00AD0AE5" w:rsidRPr="00282605">
          <w:rPr>
            <w:rStyle w:val="Hyperlink"/>
            <w:rFonts w:hint="eastAsia"/>
            <w:rtl/>
          </w:rPr>
          <w:t>إتلافه</w:t>
        </w:r>
        <w:r w:rsidR="00F36702">
          <w:rPr>
            <w:rStyle w:val="Hyperlink"/>
            <w:rFonts w:hint="cs"/>
            <w:rtl/>
          </w:rPr>
          <w:t xml:space="preserve"> </w:t>
        </w:r>
        <w:r w:rsidR="00AD0AE5" w:rsidRPr="00282605">
          <w:rPr>
            <w:rStyle w:val="Hyperlink"/>
            <w:rFonts w:hint="eastAsia"/>
            <w:rtl/>
          </w:rPr>
          <w:t>لصوله</w:t>
        </w:r>
        <w:r w:rsidR="00F36702">
          <w:rPr>
            <w:rStyle w:val="Hyperlink"/>
            <w:rFonts w:hint="cs"/>
            <w:rtl/>
          </w:rPr>
          <w:t xml:space="preserve"> </w:t>
        </w:r>
        <w:r w:rsidR="00AD0AE5" w:rsidRPr="00282605">
          <w:rPr>
            <w:rStyle w:val="Hyperlink"/>
            <w:rFonts w:hint="eastAsia"/>
            <w:rtl/>
          </w:rPr>
          <w:t>فإنه</w:t>
        </w:r>
        <w:r w:rsidR="00F36702">
          <w:rPr>
            <w:rStyle w:val="Hyperlink"/>
            <w:rFonts w:hint="cs"/>
            <w:rtl/>
          </w:rPr>
          <w:t xml:space="preserve"> </w:t>
        </w:r>
        <w:r w:rsidR="00AD0AE5" w:rsidRPr="00282605">
          <w:rPr>
            <w:rStyle w:val="Hyperlink"/>
            <w:rFonts w:hint="eastAsia"/>
            <w:rtl/>
          </w:rPr>
          <w:t>يدافع</w:t>
        </w:r>
        <w:r w:rsidR="00F36702">
          <w:rPr>
            <w:rStyle w:val="Hyperlink"/>
            <w:rFonts w:hint="cs"/>
            <w:rtl/>
          </w:rPr>
          <w:t xml:space="preserve"> </w:t>
        </w:r>
        <w:r w:rsidR="00AD0AE5" w:rsidRPr="00282605">
          <w:rPr>
            <w:rStyle w:val="Hyperlink"/>
            <w:rFonts w:hint="eastAsia"/>
            <w:rtl/>
          </w:rPr>
          <w:t>بالأسهل</w:t>
        </w:r>
        <w:r w:rsidR="00F36702">
          <w:rPr>
            <w:rStyle w:val="Hyperlink"/>
            <w:rFonts w:hint="cs"/>
            <w:rtl/>
          </w:rPr>
          <w:t xml:space="preserve"> </w:t>
        </w:r>
        <w:r w:rsidR="00AD0AE5" w:rsidRPr="00282605">
          <w:rPr>
            <w:rStyle w:val="Hyperlink"/>
            <w:rFonts w:hint="eastAsia"/>
            <w:rtl/>
          </w:rPr>
          <w:t>فالأسهل</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16"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17"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18"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pPr>
      <w:hyperlink w:anchor="_Toc334046419"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113FA0">
          <w:rPr>
            <w:rStyle w:val="Hyperlink"/>
            <w:rFonts w:hint="cs"/>
            <w:rtl/>
          </w:rPr>
          <w:t>ال</w:t>
        </w:r>
        <w:r w:rsidR="00113FA0">
          <w:rPr>
            <w:rStyle w:val="Hyperlink"/>
            <w:rFonts w:hint="eastAsia"/>
            <w:rtl/>
          </w:rPr>
          <w:t>تطبيق</w:t>
        </w:r>
        <w:r w:rsidR="00F36702">
          <w:rPr>
            <w:rStyle w:val="Hyperlink"/>
            <w:rFonts w:hint="cs"/>
            <w:rtl/>
          </w:rPr>
          <w:t xml:space="preserve"> </w:t>
        </w:r>
        <w:r w:rsidR="00113FA0">
          <w:rPr>
            <w:rStyle w:val="Hyperlink"/>
            <w:rFonts w:hint="cs"/>
            <w:rtl/>
          </w:rPr>
          <w:t xml:space="preserve">على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334046419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20" w:history="1">
        <w:r w:rsidR="00AD0AE5" w:rsidRPr="00282605">
          <w:rPr>
            <w:rStyle w:val="Hyperlink"/>
            <w:rFonts w:hint="eastAsia"/>
            <w:rtl/>
          </w:rPr>
          <w:t>المبحث</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إذا</w:t>
        </w:r>
        <w:r w:rsidR="00F36702">
          <w:rPr>
            <w:rStyle w:val="Hyperlink"/>
            <w:rFonts w:hint="cs"/>
            <w:rtl/>
          </w:rPr>
          <w:t xml:space="preserve"> </w:t>
        </w:r>
        <w:r w:rsidR="00AD0AE5" w:rsidRPr="00282605">
          <w:rPr>
            <w:rStyle w:val="Hyperlink"/>
            <w:rFonts w:hint="eastAsia"/>
            <w:rtl/>
          </w:rPr>
          <w:t>تضمن</w:t>
        </w:r>
        <w:r w:rsidR="00F36702">
          <w:rPr>
            <w:rStyle w:val="Hyperlink"/>
            <w:rFonts w:hint="cs"/>
            <w:rtl/>
          </w:rPr>
          <w:t xml:space="preserve"> </w:t>
        </w:r>
        <w:r w:rsidR="00AD0AE5" w:rsidRPr="00282605">
          <w:rPr>
            <w:rStyle w:val="Hyperlink"/>
            <w:rFonts w:hint="eastAsia"/>
            <w:rtl/>
          </w:rPr>
          <w:t>الفسخ</w:t>
        </w:r>
        <w:r w:rsidR="00F36702">
          <w:rPr>
            <w:rStyle w:val="Hyperlink"/>
            <w:rFonts w:hint="cs"/>
            <w:rtl/>
          </w:rPr>
          <w:t xml:space="preserve"> </w:t>
        </w:r>
        <w:r w:rsidR="00AD0AE5" w:rsidRPr="00282605">
          <w:rPr>
            <w:rStyle w:val="Hyperlink"/>
            <w:rFonts w:hint="eastAsia"/>
            <w:rtl/>
          </w:rPr>
          <w:t>ضررا</w:t>
        </w:r>
        <w:r w:rsidR="00F36702">
          <w:rPr>
            <w:rStyle w:val="Hyperlink"/>
            <w:rFonts w:hint="cs"/>
            <w:rtl/>
          </w:rPr>
          <w:t xml:space="preserve"> </w:t>
        </w:r>
        <w:r w:rsidR="00AD0AE5" w:rsidRPr="00282605">
          <w:rPr>
            <w:rStyle w:val="Hyperlink"/>
            <w:rFonts w:hint="eastAsia"/>
            <w:rtl/>
          </w:rPr>
          <w:t>على</w:t>
        </w:r>
        <w:r w:rsidR="00F36702">
          <w:rPr>
            <w:rStyle w:val="Hyperlink"/>
            <w:rFonts w:hint="cs"/>
            <w:rtl/>
          </w:rPr>
          <w:t xml:space="preserve"> </w:t>
        </w:r>
        <w:r w:rsidR="00AD0AE5" w:rsidRPr="00282605">
          <w:rPr>
            <w:rStyle w:val="Hyperlink"/>
            <w:rFonts w:hint="eastAsia"/>
            <w:rtl/>
          </w:rPr>
          <w:t>أحد</w:t>
        </w:r>
        <w:r w:rsidR="00F36702">
          <w:rPr>
            <w:rStyle w:val="Hyperlink"/>
            <w:rFonts w:hint="cs"/>
            <w:rtl/>
          </w:rPr>
          <w:t xml:space="preserve"> </w:t>
        </w:r>
        <w:r w:rsidR="00AD0AE5" w:rsidRPr="00282605">
          <w:rPr>
            <w:rStyle w:val="Hyperlink"/>
            <w:rFonts w:hint="eastAsia"/>
            <w:rtl/>
          </w:rPr>
          <w:t>الطرفين</w:t>
        </w:r>
        <w:r w:rsidR="00F36702">
          <w:rPr>
            <w:rStyle w:val="Hyperlink"/>
            <w:rFonts w:hint="cs"/>
            <w:rtl/>
          </w:rPr>
          <w:t xml:space="preserve"> </w:t>
        </w:r>
        <w:r w:rsidR="00AD0AE5" w:rsidRPr="00282605">
          <w:rPr>
            <w:rStyle w:val="Hyperlink"/>
            <w:rFonts w:hint="eastAsia"/>
            <w:rtl/>
          </w:rPr>
          <w:t>فإن</w:t>
        </w:r>
        <w:r w:rsidR="00F36702">
          <w:rPr>
            <w:rStyle w:val="Hyperlink"/>
            <w:rFonts w:hint="cs"/>
            <w:rtl/>
          </w:rPr>
          <w:t xml:space="preserve"> </w:t>
        </w:r>
        <w:r w:rsidR="00AD0AE5" w:rsidRPr="00282605">
          <w:rPr>
            <w:rStyle w:val="Hyperlink"/>
            <w:rFonts w:hint="eastAsia"/>
            <w:rtl/>
          </w:rPr>
          <w:t>العقود</w:t>
        </w:r>
        <w:r w:rsidR="00F36702">
          <w:rPr>
            <w:rStyle w:val="Hyperlink"/>
            <w:rFonts w:hint="cs"/>
            <w:rtl/>
          </w:rPr>
          <w:t xml:space="preserve"> </w:t>
        </w:r>
        <w:r w:rsidR="00AD0AE5" w:rsidRPr="00282605">
          <w:rPr>
            <w:rStyle w:val="Hyperlink"/>
            <w:rFonts w:hint="eastAsia"/>
            <w:rtl/>
          </w:rPr>
          <w:t>الجائزة</w:t>
        </w:r>
        <w:r w:rsidR="00F36702">
          <w:rPr>
            <w:rStyle w:val="Hyperlink"/>
            <w:rFonts w:hint="cs"/>
            <w:rtl/>
          </w:rPr>
          <w:t xml:space="preserve"> </w:t>
        </w:r>
        <w:r w:rsidR="00AD0AE5" w:rsidRPr="00282605">
          <w:rPr>
            <w:rStyle w:val="Hyperlink"/>
            <w:rFonts w:hint="eastAsia"/>
            <w:rtl/>
          </w:rPr>
          <w:t>تنقلب</w:t>
        </w:r>
        <w:r w:rsidR="00F36702">
          <w:rPr>
            <w:rStyle w:val="Hyperlink"/>
            <w:rFonts w:hint="cs"/>
            <w:rtl/>
          </w:rPr>
          <w:t xml:space="preserve"> </w:t>
        </w:r>
        <w:r w:rsidR="00AD0AE5" w:rsidRPr="00282605">
          <w:rPr>
            <w:rStyle w:val="Hyperlink"/>
            <w:rFonts w:hint="eastAsia"/>
            <w:rtl/>
          </w:rPr>
          <w:t>لازمة</w:t>
        </w:r>
        <w:r w:rsidR="00F36702">
          <w:rPr>
            <w:rStyle w:val="Hyperlink"/>
            <w:rFonts w:hint="cs"/>
            <w:rtl/>
          </w:rPr>
          <w:t xml:space="preserve"> </w:t>
        </w:r>
        <w:r w:rsidR="00AD0AE5" w:rsidRPr="00282605">
          <w:rPr>
            <w:rStyle w:val="Hyperlink"/>
            <w:rFonts w:hint="eastAsia"/>
            <w:rtl/>
          </w:rPr>
          <w:t>درءا</w:t>
        </w:r>
        <w:r w:rsidR="00F36702">
          <w:rPr>
            <w:rStyle w:val="Hyperlink"/>
            <w:rFonts w:hint="cs"/>
            <w:rtl/>
          </w:rPr>
          <w:t xml:space="preserve"> </w:t>
        </w:r>
        <w:r w:rsidR="00AD0AE5" w:rsidRPr="00282605">
          <w:rPr>
            <w:rStyle w:val="Hyperlink"/>
            <w:rFonts w:hint="eastAsia"/>
            <w:rtl/>
          </w:rPr>
          <w:t>للضرر</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21"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22"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23"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24"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2F0855" w:rsidRDefault="002F0855" w:rsidP="002F0855">
      <w:pPr>
        <w:rPr>
          <w:rFonts w:eastAsiaTheme="minorEastAsia"/>
          <w:rtl/>
          <w:lang w:val="fr-FR" w:eastAsia="fr-FR"/>
        </w:rPr>
      </w:pPr>
      <w:r>
        <w:rPr>
          <w:rFonts w:eastAsiaTheme="minorEastAsia" w:hint="cs"/>
          <w:rtl/>
          <w:lang w:val="fr-FR" w:eastAsia="fr-FR"/>
        </w:rPr>
        <w:tab/>
      </w:r>
      <w:r>
        <w:rPr>
          <w:rFonts w:eastAsiaTheme="minorEastAsia" w:hint="cs"/>
          <w:rtl/>
          <w:lang w:val="fr-FR" w:eastAsia="fr-FR"/>
        </w:rPr>
        <w:tab/>
        <w:t>المطلب الخامس: مستثنيات القاعدة.........</w:t>
      </w:r>
      <w:r w:rsidR="00113FA0">
        <w:rPr>
          <w:rFonts w:eastAsiaTheme="minorEastAsia" w:hint="cs"/>
          <w:rtl/>
          <w:lang w:val="fr-FR" w:eastAsia="fr-FR"/>
        </w:rPr>
        <w:t>...........................265</w:t>
      </w:r>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425" w:history="1">
        <w:r w:rsidR="00AD0AE5" w:rsidRPr="00282605">
          <w:rPr>
            <w:rStyle w:val="Hyperlink"/>
            <w:rFonts w:hint="eastAsia"/>
            <w:rtl/>
          </w:rPr>
          <w:t>الفصل</w:t>
        </w:r>
        <w:r w:rsidR="002F0855">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القواعد</w:t>
        </w:r>
        <w:r w:rsidR="002F0855">
          <w:rPr>
            <w:rStyle w:val="Hyperlink"/>
            <w:rFonts w:hint="cs"/>
            <w:rtl/>
          </w:rPr>
          <w:t xml:space="preserve"> </w:t>
        </w:r>
        <w:r w:rsidR="00AD0AE5" w:rsidRPr="00282605">
          <w:rPr>
            <w:rStyle w:val="Hyperlink"/>
            <w:rFonts w:hint="eastAsia"/>
            <w:rtl/>
          </w:rPr>
          <w:t>المتعلقة</w:t>
        </w:r>
        <w:r w:rsidR="002F0855">
          <w:rPr>
            <w:rStyle w:val="Hyperlink"/>
            <w:rFonts w:hint="cs"/>
            <w:rtl/>
          </w:rPr>
          <w:t xml:space="preserve"> </w:t>
        </w:r>
        <w:r w:rsidR="00AD0AE5" w:rsidRPr="00282605">
          <w:rPr>
            <w:rStyle w:val="Hyperlink"/>
            <w:rFonts w:hint="eastAsia"/>
            <w:rtl/>
          </w:rPr>
          <w:t>بالتوابع</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26" w:history="1">
        <w:r w:rsidR="00AD0AE5" w:rsidRPr="00282605">
          <w:rPr>
            <w:rStyle w:val="Hyperlink"/>
            <w:rFonts w:ascii="Traditional Arabic" w:hAnsi="Traditional Arabic" w:hint="eastAsia"/>
            <w:rtl/>
          </w:rPr>
          <w:t>المبحث</w:t>
        </w:r>
        <w:r w:rsidR="00F36702">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AD0AE5" w:rsidRPr="00282605">
          <w:rPr>
            <w:rStyle w:val="Hyperlink"/>
            <w:rFonts w:ascii="Traditional Arabic" w:hAnsi="Traditional Arabic"/>
            <w:rtl/>
          </w:rPr>
          <w:t xml:space="preserve"> "</w:t>
        </w:r>
        <w:r w:rsidR="00AD0AE5" w:rsidRPr="00282605">
          <w:rPr>
            <w:rStyle w:val="Hyperlink"/>
            <w:rFonts w:hint="eastAsia"/>
            <w:rtl/>
          </w:rPr>
          <w:t>يثبت</w:t>
        </w:r>
        <w:r w:rsidR="00F36702">
          <w:rPr>
            <w:rStyle w:val="Hyperlink"/>
            <w:rFonts w:hint="cs"/>
            <w:rtl/>
          </w:rPr>
          <w:t xml:space="preserve"> </w:t>
        </w:r>
        <w:r w:rsidR="00AD0AE5" w:rsidRPr="00282605">
          <w:rPr>
            <w:rStyle w:val="Hyperlink"/>
            <w:rFonts w:hint="eastAsia"/>
            <w:rtl/>
          </w:rPr>
          <w:t>تبعا</w:t>
        </w:r>
        <w:r w:rsidR="00F36702">
          <w:rPr>
            <w:rStyle w:val="Hyperlink"/>
            <w:rFonts w:hint="cs"/>
            <w:rtl/>
          </w:rPr>
          <w:t xml:space="preserve"> </w:t>
        </w:r>
        <w:r w:rsidR="00AD0AE5" w:rsidRPr="00282605">
          <w:rPr>
            <w:rStyle w:val="Hyperlink"/>
            <w:rFonts w:hint="eastAsia"/>
            <w:rtl/>
          </w:rPr>
          <w:t>ما</w:t>
        </w:r>
        <w:r w:rsidR="00F36702">
          <w:rPr>
            <w:rStyle w:val="Hyperlink"/>
            <w:rFonts w:hint="cs"/>
            <w:rtl/>
          </w:rPr>
          <w:t xml:space="preserve"> </w:t>
        </w:r>
        <w:r w:rsidR="00AD0AE5" w:rsidRPr="00282605">
          <w:rPr>
            <w:rStyle w:val="Hyperlink"/>
            <w:rFonts w:hint="eastAsia"/>
            <w:rtl/>
          </w:rPr>
          <w:t>لا</w:t>
        </w:r>
        <w:r w:rsidR="00F36702">
          <w:rPr>
            <w:rStyle w:val="Hyperlink"/>
            <w:rFonts w:hint="cs"/>
            <w:rtl/>
          </w:rPr>
          <w:t xml:space="preserve"> </w:t>
        </w:r>
        <w:r w:rsidR="00AD0AE5" w:rsidRPr="00282605">
          <w:rPr>
            <w:rStyle w:val="Hyperlink"/>
            <w:rFonts w:hint="eastAsia"/>
            <w:rtl/>
          </w:rPr>
          <w:t>يثبت</w:t>
        </w:r>
        <w:r w:rsidR="00F36702">
          <w:rPr>
            <w:rStyle w:val="Hyperlink"/>
            <w:rFonts w:hint="cs"/>
            <w:rtl/>
          </w:rPr>
          <w:t xml:space="preserve"> </w:t>
        </w:r>
        <w:r w:rsidR="00AD0AE5" w:rsidRPr="00282605">
          <w:rPr>
            <w:rStyle w:val="Hyperlink"/>
            <w:rFonts w:hint="eastAsia"/>
            <w:rtl/>
          </w:rPr>
          <w:t>استقلالا</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27"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28"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29"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334046429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B86A50" w:rsidRDefault="00AB0B9E" w:rsidP="00B86A50">
      <w:pPr>
        <w:pStyle w:val="40"/>
        <w:rPr>
          <w:rtl/>
        </w:rPr>
      </w:pPr>
      <w:hyperlink w:anchor="_Toc334046430"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w:t>
        </w:r>
        <w:r w:rsidR="00AD0AE5" w:rsidRPr="00282605">
          <w:rPr>
            <w:rStyle w:val="Hyperlink"/>
            <w:rFonts w:hint="eastAsia"/>
            <w:rtl/>
          </w:rPr>
          <w:t>تطبيقات</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31" w:history="1">
        <w:r w:rsidR="00AD0AE5" w:rsidRPr="00282605">
          <w:rPr>
            <w:rStyle w:val="Hyperlink"/>
            <w:rFonts w:ascii="Traditional Arabic" w:hAnsi="Traditional Arabic" w:hint="eastAsia"/>
            <w:rtl/>
          </w:rPr>
          <w:t>المبحث</w:t>
        </w:r>
        <w:r w:rsidR="00F36702">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AD0AE5" w:rsidRPr="00282605">
          <w:rPr>
            <w:rStyle w:val="Hyperlink"/>
            <w:rFonts w:ascii="Traditional Arabic" w:hAnsi="Traditional Arabic"/>
            <w:rtl/>
          </w:rPr>
          <w:t xml:space="preserve"> "</w:t>
        </w:r>
        <w:r w:rsidR="00AD0AE5" w:rsidRPr="00282605">
          <w:rPr>
            <w:rStyle w:val="Hyperlink"/>
            <w:rFonts w:hint="eastAsia"/>
            <w:rtl/>
          </w:rPr>
          <w:t>إذا</w:t>
        </w:r>
        <w:r w:rsidR="00F36702">
          <w:rPr>
            <w:rStyle w:val="Hyperlink"/>
            <w:rFonts w:hint="cs"/>
            <w:rtl/>
          </w:rPr>
          <w:t xml:space="preserve"> </w:t>
        </w:r>
        <w:r w:rsidR="00AD0AE5" w:rsidRPr="00282605">
          <w:rPr>
            <w:rStyle w:val="Hyperlink"/>
            <w:rFonts w:hint="eastAsia"/>
            <w:rtl/>
          </w:rPr>
          <w:t>سقط</w:t>
        </w:r>
        <w:r w:rsidR="00F36702">
          <w:rPr>
            <w:rStyle w:val="Hyperlink"/>
            <w:rFonts w:hint="cs"/>
            <w:rtl/>
          </w:rPr>
          <w:t xml:space="preserve"> </w:t>
        </w:r>
        <w:r w:rsidR="00AD0AE5" w:rsidRPr="00282605">
          <w:rPr>
            <w:rStyle w:val="Hyperlink"/>
            <w:rFonts w:hint="eastAsia"/>
            <w:rtl/>
          </w:rPr>
          <w:t>الأصل</w:t>
        </w:r>
        <w:r w:rsidR="00F36702">
          <w:rPr>
            <w:rStyle w:val="Hyperlink"/>
            <w:rFonts w:hint="cs"/>
            <w:rtl/>
          </w:rPr>
          <w:t xml:space="preserve"> </w:t>
        </w:r>
        <w:r w:rsidR="00AD0AE5" w:rsidRPr="00282605">
          <w:rPr>
            <w:rStyle w:val="Hyperlink"/>
            <w:rFonts w:hint="eastAsia"/>
            <w:rtl/>
          </w:rPr>
          <w:t>سقط</w:t>
        </w:r>
        <w:r w:rsidR="00F36702">
          <w:rPr>
            <w:rStyle w:val="Hyperlink"/>
            <w:rFonts w:hint="cs"/>
            <w:rtl/>
          </w:rPr>
          <w:t xml:space="preserve"> </w:t>
        </w:r>
        <w:r w:rsidR="00AD0AE5" w:rsidRPr="00282605">
          <w:rPr>
            <w:rStyle w:val="Hyperlink"/>
            <w:rFonts w:hint="eastAsia"/>
            <w:rtl/>
          </w:rPr>
          <w:t>الفرع</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32"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33"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 </w:t>
        </w:r>
        <w:r w:rsidR="00AD0AE5" w:rsidRPr="00282605">
          <w:rPr>
            <w:rStyle w:val="Hyperlink"/>
            <w:rtl/>
          </w:rPr>
          <w:t xml:space="preserve">: </w:t>
        </w:r>
        <w:r w:rsidR="00AD0AE5" w:rsidRPr="00282605">
          <w:rPr>
            <w:rStyle w:val="Hyperlink"/>
            <w:rFonts w:hint="eastAsia"/>
            <w:rtl/>
          </w:rPr>
          <w:t>شرح</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34"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113FA0">
          <w:rPr>
            <w:rStyle w:val="Hyperlink"/>
            <w:rFonts w:hint="eastAsia"/>
            <w:rtl/>
          </w:rPr>
          <w:t>دل</w:t>
        </w:r>
        <w:r w:rsidR="00113FA0">
          <w:rPr>
            <w:rStyle w:val="Hyperlink"/>
            <w:rFonts w:hint="cs"/>
            <w:rtl/>
          </w:rPr>
          <w:t>يل</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35"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36"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437" w:history="1">
        <w:r w:rsidR="00AD0AE5" w:rsidRPr="00282605">
          <w:rPr>
            <w:rStyle w:val="Hyperlink"/>
            <w:rFonts w:hint="eastAsia"/>
            <w:rtl/>
          </w:rPr>
          <w:t>الفصل</w:t>
        </w:r>
        <w:r w:rsidR="002F0855">
          <w:rPr>
            <w:rStyle w:val="Hyperlink"/>
            <w:rFonts w:hint="cs"/>
            <w:rtl/>
          </w:rPr>
          <w:t xml:space="preserve"> </w:t>
        </w:r>
        <w:r w:rsidR="00AD0AE5" w:rsidRPr="00282605">
          <w:rPr>
            <w:rStyle w:val="Hyperlink"/>
            <w:rFonts w:hint="eastAsia"/>
            <w:rtl/>
          </w:rPr>
          <w:t>السادس</w:t>
        </w:r>
        <w:r w:rsidR="00AD0AE5" w:rsidRPr="00282605">
          <w:rPr>
            <w:rStyle w:val="Hyperlink"/>
            <w:rtl/>
          </w:rPr>
          <w:t xml:space="preserve"> : </w:t>
        </w:r>
        <w:r w:rsidR="00AD0AE5" w:rsidRPr="00282605">
          <w:rPr>
            <w:rStyle w:val="Hyperlink"/>
            <w:rFonts w:hint="eastAsia"/>
            <w:rtl/>
          </w:rPr>
          <w:t>القواعد</w:t>
        </w:r>
        <w:r w:rsidR="002F0855">
          <w:rPr>
            <w:rStyle w:val="Hyperlink"/>
            <w:rFonts w:hint="cs"/>
            <w:rtl/>
          </w:rPr>
          <w:t xml:space="preserve"> </w:t>
        </w:r>
        <w:r w:rsidR="00AD0AE5" w:rsidRPr="00282605">
          <w:rPr>
            <w:rStyle w:val="Hyperlink"/>
            <w:rFonts w:hint="eastAsia"/>
            <w:rtl/>
          </w:rPr>
          <w:t>المتعلقة</w:t>
        </w:r>
        <w:r w:rsidR="002F0855">
          <w:rPr>
            <w:rStyle w:val="Hyperlink"/>
            <w:rFonts w:hint="cs"/>
            <w:rtl/>
          </w:rPr>
          <w:t xml:space="preserve"> </w:t>
        </w:r>
        <w:r w:rsidR="00AD0AE5" w:rsidRPr="00282605">
          <w:rPr>
            <w:rStyle w:val="Hyperlink"/>
            <w:rFonts w:hint="eastAsia"/>
            <w:rtl/>
          </w:rPr>
          <w:t>باليقين</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38" w:history="1">
        <w:r w:rsidR="00AD0AE5" w:rsidRPr="00282605">
          <w:rPr>
            <w:rStyle w:val="Hyperlink"/>
            <w:rFonts w:hint="eastAsia"/>
            <w:rtl/>
          </w:rPr>
          <w:t>المبحث</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الأصل</w:t>
        </w:r>
        <w:r w:rsidR="00F36702">
          <w:rPr>
            <w:rStyle w:val="Hyperlink"/>
            <w:rFonts w:hint="cs"/>
            <w:rtl/>
          </w:rPr>
          <w:t xml:space="preserve"> </w:t>
        </w:r>
        <w:r w:rsidR="00AD0AE5" w:rsidRPr="00282605">
          <w:rPr>
            <w:rStyle w:val="Hyperlink"/>
            <w:rFonts w:hint="eastAsia"/>
            <w:rtl/>
          </w:rPr>
          <w:t>بقاء</w:t>
        </w:r>
        <w:r w:rsidR="00F36702">
          <w:rPr>
            <w:rStyle w:val="Hyperlink"/>
            <w:rFonts w:hint="cs"/>
            <w:rtl/>
          </w:rPr>
          <w:t xml:space="preserve"> </w:t>
        </w:r>
        <w:r w:rsidR="00AD0AE5" w:rsidRPr="00282605">
          <w:rPr>
            <w:rStyle w:val="Hyperlink"/>
            <w:rFonts w:hint="eastAsia"/>
            <w:rtl/>
          </w:rPr>
          <w:t>ما</w:t>
        </w:r>
        <w:r w:rsidR="00F36702">
          <w:rPr>
            <w:rStyle w:val="Hyperlink"/>
            <w:rFonts w:hint="cs"/>
            <w:rtl/>
          </w:rPr>
          <w:t xml:space="preserve"> </w:t>
        </w:r>
        <w:r w:rsidR="00AD0AE5" w:rsidRPr="00282605">
          <w:rPr>
            <w:rStyle w:val="Hyperlink"/>
            <w:rFonts w:hint="eastAsia"/>
            <w:rtl/>
          </w:rPr>
          <w:t>كان</w:t>
        </w:r>
        <w:r w:rsidR="00F36702">
          <w:rPr>
            <w:rStyle w:val="Hyperlink"/>
            <w:rFonts w:hint="cs"/>
            <w:rtl/>
          </w:rPr>
          <w:t xml:space="preserve"> </w:t>
        </w:r>
        <w:r w:rsidR="00AD0AE5" w:rsidRPr="00282605">
          <w:rPr>
            <w:rStyle w:val="Hyperlink"/>
            <w:rFonts w:hint="eastAsia"/>
            <w:rtl/>
          </w:rPr>
          <w:t>على</w:t>
        </w:r>
        <w:r w:rsidR="00F36702">
          <w:rPr>
            <w:rStyle w:val="Hyperlink"/>
            <w:rFonts w:hint="cs"/>
            <w:rtl/>
          </w:rPr>
          <w:t xml:space="preserve"> </w:t>
        </w:r>
        <w:r w:rsidR="00AD0AE5" w:rsidRPr="00282605">
          <w:rPr>
            <w:rStyle w:val="Hyperlink"/>
            <w:rFonts w:hint="eastAsia"/>
            <w:rtl/>
          </w:rPr>
          <w:t>ما</w:t>
        </w:r>
        <w:r w:rsidR="00F36702">
          <w:rPr>
            <w:rStyle w:val="Hyperlink"/>
            <w:rFonts w:hint="cs"/>
            <w:rtl/>
          </w:rPr>
          <w:t xml:space="preserve"> </w:t>
        </w:r>
        <w:r w:rsidR="00AD0AE5" w:rsidRPr="00282605">
          <w:rPr>
            <w:rStyle w:val="Hyperlink"/>
            <w:rFonts w:hint="eastAsia"/>
            <w:rtl/>
          </w:rPr>
          <w:t>كان</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39"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334046439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40"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41"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42"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43"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w:t>
        </w:r>
        <w:r w:rsidR="00AD0AE5" w:rsidRPr="00282605">
          <w:rPr>
            <w:rStyle w:val="Hyperlink"/>
            <w:rFonts w:hint="eastAsia"/>
            <w:rtl/>
          </w:rPr>
          <w:t>م</w:t>
        </w:r>
        <w:r w:rsidR="00113FA0">
          <w:rPr>
            <w:rStyle w:val="Hyperlink"/>
            <w:rFonts w:hint="cs"/>
            <w:rtl/>
          </w:rPr>
          <w:t>ا ي</w:t>
        </w:r>
        <w:r w:rsidR="00113FA0">
          <w:rPr>
            <w:rStyle w:val="Hyperlink"/>
            <w:rFonts w:hint="eastAsia"/>
            <w:rtl/>
          </w:rPr>
          <w:t>ستثن</w:t>
        </w:r>
        <w:r w:rsidR="00113FA0">
          <w:rPr>
            <w:rStyle w:val="Hyperlink"/>
            <w:rFonts w:hint="cs"/>
            <w:rtl/>
          </w:rPr>
          <w:t>ى</w:t>
        </w:r>
        <w:r w:rsidR="00F36702">
          <w:rPr>
            <w:rStyle w:val="Hyperlink"/>
            <w:rFonts w:hint="cs"/>
            <w:rtl/>
          </w:rPr>
          <w:t xml:space="preserve"> </w:t>
        </w:r>
        <w:r w:rsidR="00113FA0">
          <w:rPr>
            <w:rStyle w:val="Hyperlink"/>
            <w:rFonts w:hint="cs"/>
            <w:rtl/>
          </w:rPr>
          <w:t xml:space="preserve">من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44" w:history="1">
        <w:r w:rsidR="00AD0AE5" w:rsidRPr="00282605">
          <w:rPr>
            <w:rStyle w:val="Hyperlink"/>
            <w:rFonts w:hint="eastAsia"/>
            <w:rtl/>
          </w:rPr>
          <w:t>المبحث</w:t>
        </w:r>
        <w:r w:rsidR="00F36702">
          <w:rPr>
            <w:rStyle w:val="Hyperlink"/>
            <w:rFonts w:hint="cs"/>
            <w:rtl/>
          </w:rPr>
          <w:t xml:space="preserve"> </w:t>
        </w:r>
        <w:r w:rsidR="00AD0AE5" w:rsidRPr="00282605">
          <w:rPr>
            <w:rStyle w:val="Hyperlink"/>
            <w:rFonts w:hint="eastAsia"/>
            <w:rtl/>
          </w:rPr>
          <w:t>الثاني </w:t>
        </w:r>
        <w:r w:rsidR="00AD0AE5" w:rsidRPr="00282605">
          <w:rPr>
            <w:rStyle w:val="Hyperlink"/>
            <w:rtl/>
          </w:rPr>
          <w:t xml:space="preserve">: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الأصل</w:t>
        </w:r>
        <w:r w:rsidR="00F36702">
          <w:rPr>
            <w:rStyle w:val="Hyperlink"/>
            <w:rFonts w:hint="cs"/>
            <w:rtl/>
          </w:rPr>
          <w:t xml:space="preserve"> </w:t>
        </w:r>
        <w:r w:rsidR="00AD0AE5" w:rsidRPr="00282605">
          <w:rPr>
            <w:rStyle w:val="Hyperlink"/>
            <w:rFonts w:hint="eastAsia"/>
            <w:rtl/>
          </w:rPr>
          <w:t>براءة</w:t>
        </w:r>
        <w:r w:rsidR="00F36702">
          <w:rPr>
            <w:rStyle w:val="Hyperlink"/>
            <w:rFonts w:hint="cs"/>
            <w:rtl/>
          </w:rPr>
          <w:t xml:space="preserve"> </w:t>
        </w:r>
        <w:r w:rsidR="00AD0AE5" w:rsidRPr="00282605">
          <w:rPr>
            <w:rStyle w:val="Hyperlink"/>
            <w:rFonts w:hint="eastAsia"/>
            <w:rtl/>
          </w:rPr>
          <w:t>الذمة</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45"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46"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47"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113FA0" w:rsidRDefault="00AB0B9E" w:rsidP="00113FA0">
      <w:pPr>
        <w:pStyle w:val="40"/>
        <w:rPr>
          <w:rtl/>
        </w:rPr>
      </w:pPr>
      <w:hyperlink w:anchor="_Toc334046448"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113FA0">
          <w:rPr>
            <w:rStyle w:val="Hyperlink"/>
            <w:rFonts w:hint="cs"/>
            <w:rtl/>
          </w:rPr>
          <w:t>ال</w:t>
        </w:r>
        <w:r w:rsidR="00113FA0">
          <w:rPr>
            <w:rStyle w:val="Hyperlink"/>
            <w:rFonts w:hint="eastAsia"/>
            <w:rtl/>
          </w:rPr>
          <w:t>تطبيق</w:t>
        </w:r>
        <w:r w:rsidR="00F36702">
          <w:rPr>
            <w:rStyle w:val="Hyperlink"/>
            <w:rFonts w:hint="cs"/>
            <w:rtl/>
          </w:rPr>
          <w:t xml:space="preserve"> </w:t>
        </w:r>
        <w:r w:rsidR="00113FA0">
          <w:rPr>
            <w:rStyle w:val="Hyperlink"/>
            <w:rFonts w:hint="cs"/>
            <w:rtl/>
          </w:rPr>
          <w:t xml:space="preserve">على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49" w:history="1">
        <w:r w:rsidR="00AD0AE5" w:rsidRPr="00282605">
          <w:rPr>
            <w:rStyle w:val="Hyperlink"/>
            <w:rFonts w:hint="eastAsia"/>
            <w:rtl/>
          </w:rPr>
          <w:t>المبحث</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الأصل</w:t>
        </w:r>
        <w:r w:rsidR="00F36702">
          <w:rPr>
            <w:rStyle w:val="Hyperlink"/>
            <w:rFonts w:hint="cs"/>
            <w:rtl/>
          </w:rPr>
          <w:t xml:space="preserve"> </w:t>
        </w:r>
        <w:r w:rsidR="00AD0AE5" w:rsidRPr="00282605">
          <w:rPr>
            <w:rStyle w:val="Hyperlink"/>
            <w:rFonts w:hint="eastAsia"/>
            <w:rtl/>
          </w:rPr>
          <w:t>في</w:t>
        </w:r>
        <w:r w:rsidR="00F36702">
          <w:rPr>
            <w:rStyle w:val="Hyperlink"/>
            <w:rFonts w:hint="cs"/>
            <w:rtl/>
          </w:rPr>
          <w:t xml:space="preserve"> </w:t>
        </w:r>
        <w:r w:rsidR="00AD0AE5" w:rsidRPr="00282605">
          <w:rPr>
            <w:rStyle w:val="Hyperlink"/>
            <w:rFonts w:hint="eastAsia"/>
            <w:rtl/>
          </w:rPr>
          <w:t>العقود</w:t>
        </w:r>
        <w:r w:rsidR="00F36702">
          <w:rPr>
            <w:rStyle w:val="Hyperlink"/>
            <w:rFonts w:hint="cs"/>
            <w:rtl/>
          </w:rPr>
          <w:t xml:space="preserve"> </w:t>
        </w:r>
        <w:r w:rsidR="00AD0AE5" w:rsidRPr="00282605">
          <w:rPr>
            <w:rStyle w:val="Hyperlink"/>
            <w:rFonts w:hint="eastAsia"/>
            <w:rtl/>
          </w:rPr>
          <w:t>والشروط</w:t>
        </w:r>
        <w:r w:rsidR="00F36702">
          <w:rPr>
            <w:rStyle w:val="Hyperlink"/>
            <w:rFonts w:hint="cs"/>
            <w:rtl/>
          </w:rPr>
          <w:t xml:space="preserve"> </w:t>
        </w:r>
        <w:r w:rsidR="00AD0AE5" w:rsidRPr="00282605">
          <w:rPr>
            <w:rStyle w:val="Hyperlink"/>
            <w:rFonts w:hint="eastAsia"/>
            <w:rtl/>
          </w:rPr>
          <w:t>الجواز</w:t>
        </w:r>
        <w:r w:rsidR="00F36702">
          <w:rPr>
            <w:rStyle w:val="Hyperlink"/>
            <w:rFonts w:hint="cs"/>
            <w:rtl/>
          </w:rPr>
          <w:t xml:space="preserve"> </w:t>
        </w:r>
        <w:r w:rsidR="00AD0AE5" w:rsidRPr="00282605">
          <w:rPr>
            <w:rStyle w:val="Hyperlink"/>
            <w:rFonts w:hint="eastAsia"/>
            <w:rtl/>
          </w:rPr>
          <w:t>والصحة</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334046449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50"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صيغة</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51"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113FA0">
          <w:rPr>
            <w:rStyle w:val="Hyperlink"/>
            <w:rFonts w:hint="cs"/>
            <w:rtl/>
          </w:rPr>
          <w:t>شرح 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52"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B86A50" w:rsidRDefault="00AB0B9E" w:rsidP="00B86A50">
      <w:pPr>
        <w:pStyle w:val="40"/>
        <w:rPr>
          <w:rtl/>
        </w:rPr>
      </w:pPr>
      <w:hyperlink w:anchor="_Toc334046453"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54" w:history="1">
        <w:r w:rsidR="00AD0AE5" w:rsidRPr="00282605">
          <w:rPr>
            <w:rStyle w:val="Hyperlink"/>
            <w:rFonts w:ascii="Traditional Arabic" w:hAnsi="Traditional Arabic" w:hint="eastAsia"/>
            <w:rtl/>
          </w:rPr>
          <w:t>المبحث</w:t>
        </w:r>
        <w:r w:rsidR="00F36702">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الرابع</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AD0AE5" w:rsidRPr="00282605">
          <w:rPr>
            <w:rStyle w:val="Hyperlink"/>
            <w:rtl/>
          </w:rPr>
          <w:t>"</w:t>
        </w:r>
        <w:r w:rsidR="00F86310">
          <w:rPr>
            <w:rStyle w:val="Hyperlink"/>
            <w:rFonts w:hint="cs"/>
            <w:rtl/>
          </w:rPr>
          <w:t xml:space="preserve"> </w:t>
        </w:r>
        <w:r w:rsidR="00AD0AE5" w:rsidRPr="00282605">
          <w:rPr>
            <w:rStyle w:val="Hyperlink"/>
            <w:rFonts w:hint="eastAsia"/>
            <w:rtl/>
          </w:rPr>
          <w:t>العبرة</w:t>
        </w:r>
        <w:r w:rsidR="00F36702">
          <w:rPr>
            <w:rStyle w:val="Hyperlink"/>
            <w:rFonts w:hint="cs"/>
            <w:rtl/>
          </w:rPr>
          <w:t xml:space="preserve"> </w:t>
        </w:r>
        <w:r w:rsidR="00AD0AE5" w:rsidRPr="00282605">
          <w:rPr>
            <w:rStyle w:val="Hyperlink"/>
            <w:rFonts w:hint="eastAsia"/>
            <w:rtl/>
          </w:rPr>
          <w:t>في</w:t>
        </w:r>
        <w:r w:rsidR="00F36702">
          <w:rPr>
            <w:rStyle w:val="Hyperlink"/>
            <w:rFonts w:hint="cs"/>
            <w:rtl/>
          </w:rPr>
          <w:t xml:space="preserve"> </w:t>
        </w:r>
        <w:r w:rsidR="00AD0AE5" w:rsidRPr="00282605">
          <w:rPr>
            <w:rStyle w:val="Hyperlink"/>
            <w:rFonts w:hint="eastAsia"/>
            <w:rtl/>
          </w:rPr>
          <w:t>المعاملات</w:t>
        </w:r>
        <w:r w:rsidR="00F36702">
          <w:rPr>
            <w:rStyle w:val="Hyperlink"/>
            <w:rFonts w:hint="cs"/>
            <w:rtl/>
          </w:rPr>
          <w:t xml:space="preserve"> </w:t>
        </w:r>
        <w:r w:rsidR="00AD0AE5" w:rsidRPr="00282605">
          <w:rPr>
            <w:rStyle w:val="Hyperlink"/>
            <w:rFonts w:hint="eastAsia"/>
            <w:rtl/>
          </w:rPr>
          <w:t>بما</w:t>
        </w:r>
        <w:r w:rsidR="00F36702">
          <w:rPr>
            <w:rStyle w:val="Hyperlink"/>
            <w:rFonts w:hint="cs"/>
            <w:rtl/>
          </w:rPr>
          <w:t xml:space="preserve"> </w:t>
        </w:r>
        <w:r w:rsidR="00AD0AE5" w:rsidRPr="00282605">
          <w:rPr>
            <w:rStyle w:val="Hyperlink"/>
            <w:rFonts w:hint="eastAsia"/>
            <w:rtl/>
          </w:rPr>
          <w:t>في</w:t>
        </w:r>
        <w:r w:rsidR="00F36702">
          <w:rPr>
            <w:rStyle w:val="Hyperlink"/>
            <w:rFonts w:hint="cs"/>
            <w:rtl/>
          </w:rPr>
          <w:t xml:space="preserve"> </w:t>
        </w:r>
        <w:r w:rsidR="00AD0AE5" w:rsidRPr="00282605">
          <w:rPr>
            <w:rStyle w:val="Hyperlink"/>
            <w:rFonts w:hint="eastAsia"/>
            <w:rtl/>
          </w:rPr>
          <w:t>نفس</w:t>
        </w:r>
        <w:r w:rsidR="00F36702">
          <w:rPr>
            <w:rStyle w:val="Hyperlink"/>
            <w:rFonts w:hint="cs"/>
            <w:rtl/>
          </w:rPr>
          <w:t xml:space="preserve"> </w:t>
        </w:r>
        <w:r w:rsidR="00AD0AE5" w:rsidRPr="00282605">
          <w:rPr>
            <w:rStyle w:val="Hyperlink"/>
            <w:rFonts w:hint="eastAsia"/>
            <w:rtl/>
          </w:rPr>
          <w:t>الأمر</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55"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56"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57"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pPr>
      <w:hyperlink w:anchor="_Toc334046458"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59" w:history="1">
        <w:r w:rsidR="00AD0AE5" w:rsidRPr="00282605">
          <w:rPr>
            <w:rStyle w:val="Hyperlink"/>
            <w:rFonts w:ascii="Traditional Arabic" w:hAnsi="Traditional Arabic" w:hint="eastAsia"/>
            <w:rtl/>
          </w:rPr>
          <w:t>المبحث</w:t>
        </w:r>
        <w:r w:rsidR="00F36702">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الخامس</w:t>
        </w:r>
        <w:r w:rsidR="00AD0AE5" w:rsidRPr="00282605">
          <w:rPr>
            <w:rStyle w:val="Hyperlink"/>
            <w:rFonts w:ascii="Traditional Arabic" w:hAnsi="Traditional Arabic"/>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الأصل</w:t>
        </w:r>
        <w:r w:rsidR="00F36702">
          <w:rPr>
            <w:rStyle w:val="Hyperlink"/>
            <w:rFonts w:hint="cs"/>
            <w:rtl/>
          </w:rPr>
          <w:t xml:space="preserve"> </w:t>
        </w:r>
        <w:r w:rsidR="00AD0AE5" w:rsidRPr="00282605">
          <w:rPr>
            <w:rStyle w:val="Hyperlink"/>
            <w:rFonts w:hint="eastAsia"/>
            <w:rtl/>
          </w:rPr>
          <w:t>في</w:t>
        </w:r>
        <w:r w:rsidR="00F36702">
          <w:rPr>
            <w:rStyle w:val="Hyperlink"/>
            <w:rFonts w:hint="cs"/>
            <w:rtl/>
          </w:rPr>
          <w:t xml:space="preserve"> </w:t>
        </w:r>
        <w:r w:rsidR="00AD0AE5" w:rsidRPr="00282605">
          <w:rPr>
            <w:rStyle w:val="Hyperlink"/>
            <w:rFonts w:hint="eastAsia"/>
            <w:rtl/>
          </w:rPr>
          <w:t>أموال</w:t>
        </w:r>
        <w:r w:rsidR="00F36702">
          <w:rPr>
            <w:rStyle w:val="Hyperlink"/>
            <w:rFonts w:hint="cs"/>
            <w:rtl/>
          </w:rPr>
          <w:t xml:space="preserve"> </w:t>
        </w:r>
        <w:r w:rsidR="00AD0AE5" w:rsidRPr="00282605">
          <w:rPr>
            <w:rStyle w:val="Hyperlink"/>
            <w:rFonts w:hint="eastAsia"/>
            <w:rtl/>
          </w:rPr>
          <w:t>المحترمين</w:t>
        </w:r>
        <w:r w:rsidR="00F36702">
          <w:rPr>
            <w:rStyle w:val="Hyperlink"/>
            <w:rFonts w:hint="cs"/>
            <w:rtl/>
          </w:rPr>
          <w:t xml:space="preserve"> </w:t>
        </w:r>
        <w:r w:rsidR="00AD0AE5" w:rsidRPr="00282605">
          <w:rPr>
            <w:rStyle w:val="Hyperlink"/>
            <w:rFonts w:ascii="Traditional Arabic" w:hAnsi="Traditional Arabic" w:hint="eastAsia"/>
            <w:rtl/>
          </w:rPr>
          <w:t>العصمة</w:t>
        </w:r>
        <w:r w:rsidR="00AD0AE5" w:rsidRPr="00282605">
          <w:rPr>
            <w:rStyle w:val="Hyperlink"/>
            <w:rFonts w:ascii="Traditional Arabic" w:hAnsi="Traditional Arabic"/>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334046459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60"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61"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62"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pPr>
      <w:hyperlink w:anchor="_Toc334046463"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64" w:history="1">
        <w:r w:rsidR="00AD0AE5" w:rsidRPr="00282605">
          <w:rPr>
            <w:rStyle w:val="Hyperlink"/>
            <w:rFonts w:hint="eastAsia"/>
            <w:rtl/>
          </w:rPr>
          <w:t>المبحث</w:t>
        </w:r>
        <w:r w:rsidR="00F36702">
          <w:rPr>
            <w:rStyle w:val="Hyperlink"/>
            <w:rFonts w:hint="cs"/>
            <w:rtl/>
          </w:rPr>
          <w:t xml:space="preserve"> </w:t>
        </w:r>
        <w:r w:rsidR="00AD0AE5" w:rsidRPr="00282605">
          <w:rPr>
            <w:rStyle w:val="Hyperlink"/>
            <w:rFonts w:hint="eastAsia"/>
            <w:rtl/>
          </w:rPr>
          <w:t>السادس</w:t>
        </w:r>
        <w:r w:rsidR="00F36702">
          <w:rPr>
            <w:rStyle w:val="Hyperlink"/>
            <w:rFonts w:hint="cs"/>
            <w:rtl/>
          </w:rPr>
          <w:t xml:space="preserve">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العبرة</w:t>
        </w:r>
        <w:r w:rsidR="00F36702">
          <w:rPr>
            <w:rStyle w:val="Hyperlink"/>
            <w:rFonts w:hint="cs"/>
            <w:rtl/>
          </w:rPr>
          <w:t xml:space="preserve"> </w:t>
        </w:r>
        <w:r w:rsidR="00AD0AE5" w:rsidRPr="00282605">
          <w:rPr>
            <w:rStyle w:val="Hyperlink"/>
            <w:rFonts w:hint="eastAsia"/>
            <w:rtl/>
          </w:rPr>
          <w:t>بالأغلب</w:t>
        </w:r>
        <w:r w:rsidR="00F36702">
          <w:rPr>
            <w:rStyle w:val="Hyperlink"/>
            <w:rFonts w:hint="cs"/>
            <w:rtl/>
          </w:rPr>
          <w:t xml:space="preserve"> </w:t>
        </w:r>
        <w:r w:rsidR="00AD0AE5" w:rsidRPr="00282605">
          <w:rPr>
            <w:rStyle w:val="Hyperlink"/>
            <w:rFonts w:hint="eastAsia"/>
            <w:rtl/>
          </w:rPr>
          <w:t>والنادر</w:t>
        </w:r>
        <w:r w:rsidR="00F36702">
          <w:rPr>
            <w:rStyle w:val="Hyperlink"/>
            <w:rFonts w:hint="cs"/>
            <w:rtl/>
          </w:rPr>
          <w:t xml:space="preserve"> </w:t>
        </w:r>
        <w:r w:rsidR="00AD0AE5" w:rsidRPr="00282605">
          <w:rPr>
            <w:rStyle w:val="Hyperlink"/>
            <w:rFonts w:hint="eastAsia"/>
            <w:rtl/>
          </w:rPr>
          <w:t>لا</w:t>
        </w:r>
        <w:r w:rsidR="00F36702">
          <w:rPr>
            <w:rStyle w:val="Hyperlink"/>
            <w:rFonts w:hint="cs"/>
            <w:rtl/>
          </w:rPr>
          <w:t xml:space="preserve"> </w:t>
        </w:r>
        <w:r w:rsidR="00AD0AE5" w:rsidRPr="00282605">
          <w:rPr>
            <w:rStyle w:val="Hyperlink"/>
            <w:rFonts w:hint="eastAsia"/>
            <w:rtl/>
          </w:rPr>
          <w:t>حكم</w:t>
        </w:r>
        <w:r w:rsidR="00F36702">
          <w:rPr>
            <w:rStyle w:val="Hyperlink"/>
            <w:rFonts w:hint="cs"/>
            <w:rtl/>
          </w:rPr>
          <w:t xml:space="preserve"> </w:t>
        </w:r>
        <w:r w:rsidR="00AD0AE5" w:rsidRPr="00282605">
          <w:rPr>
            <w:rStyle w:val="Hyperlink"/>
            <w:rFonts w:hint="eastAsia"/>
            <w:rtl/>
          </w:rPr>
          <w:t>له</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65"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36702">
          <w:rPr>
            <w:rStyle w:val="Hyperlink"/>
            <w:rFonts w:hint="cs"/>
            <w:rtl/>
          </w:rPr>
          <w:t xml:space="preserve"> </w:t>
        </w:r>
        <w:r w:rsidR="00AD0AE5" w:rsidRPr="00282605">
          <w:rPr>
            <w:rStyle w:val="Hyperlink"/>
            <w:rFonts w:hint="eastAsia"/>
            <w:rtl/>
          </w:rPr>
          <w:t>القاعدة</w:t>
        </w:r>
        <w:r w:rsidR="00F36702">
          <w:rPr>
            <w:rStyle w:val="Hyperlink"/>
            <w:rFonts w:hint="cs"/>
            <w:rtl/>
          </w:rPr>
          <w:t xml:space="preserve"> </w:t>
        </w:r>
        <w:r w:rsidR="00AD0AE5" w:rsidRPr="00282605">
          <w:rPr>
            <w:rStyle w:val="Hyperlink"/>
            <w:rFonts w:hint="eastAsia"/>
            <w:rtl/>
          </w:rPr>
          <w:t>عند</w:t>
        </w:r>
        <w:r w:rsidR="00F36702">
          <w:rPr>
            <w:rStyle w:val="Hyperlink"/>
            <w:rFonts w:hint="cs"/>
            <w:rtl/>
          </w:rPr>
          <w:t xml:space="preserve"> </w:t>
        </w:r>
        <w:r w:rsidR="00AD0AE5" w:rsidRPr="00282605">
          <w:rPr>
            <w:rStyle w:val="Hyperlink"/>
            <w:rFonts w:hint="eastAsia"/>
            <w:rtl/>
          </w:rPr>
          <w:t>الشيخ</w:t>
        </w:r>
        <w:r w:rsidR="00F36702">
          <w:rPr>
            <w:rStyle w:val="Hyperlink"/>
            <w:rFonts w:hint="cs"/>
            <w:rtl/>
          </w:rPr>
          <w:t xml:space="preserve"> </w:t>
        </w:r>
        <w:r w:rsidR="00AD0AE5" w:rsidRPr="00282605">
          <w:rPr>
            <w:rStyle w:val="Hyperlink"/>
            <w:rFonts w:hint="eastAsia"/>
            <w:rtl/>
          </w:rPr>
          <w:t>وعند</w:t>
        </w:r>
        <w:r w:rsidR="00F36702">
          <w:rPr>
            <w:rStyle w:val="Hyperlink"/>
            <w:rFonts w:hint="cs"/>
            <w:rtl/>
          </w:rPr>
          <w:t xml:space="preserve"> </w:t>
        </w:r>
        <w:r w:rsidR="00AD0AE5" w:rsidRPr="00282605">
          <w:rPr>
            <w:rStyle w:val="Hyperlink"/>
            <w:rFonts w:hint="eastAsia"/>
            <w:rtl/>
          </w:rPr>
          <w:t>علماء</w:t>
        </w:r>
        <w:r w:rsidR="00F36702">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66"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67"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3670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B86A50" w:rsidRDefault="00AB0B9E" w:rsidP="00B86A50">
      <w:pPr>
        <w:pStyle w:val="40"/>
        <w:rPr>
          <w:rtl/>
        </w:rPr>
      </w:pPr>
      <w:hyperlink w:anchor="_Toc334046468" w:history="1">
        <w:r w:rsidR="00AD0AE5" w:rsidRPr="00282605">
          <w:rPr>
            <w:rStyle w:val="Hyperlink"/>
            <w:rFonts w:hint="eastAsia"/>
            <w:rtl/>
          </w:rPr>
          <w:t>المطلب</w:t>
        </w:r>
        <w:r w:rsidR="00F36702">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105922">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469" w:history="1">
        <w:r w:rsidR="00AD0AE5" w:rsidRPr="00282605">
          <w:rPr>
            <w:rStyle w:val="Hyperlink"/>
            <w:rFonts w:hint="eastAsia"/>
            <w:rtl/>
          </w:rPr>
          <w:t>الفصل</w:t>
        </w:r>
        <w:r w:rsidR="002F0855">
          <w:rPr>
            <w:rStyle w:val="Hyperlink"/>
            <w:rFonts w:hint="cs"/>
            <w:rtl/>
          </w:rPr>
          <w:t xml:space="preserve"> </w:t>
        </w:r>
        <w:r w:rsidR="00AD0AE5" w:rsidRPr="00282605">
          <w:rPr>
            <w:rStyle w:val="Hyperlink"/>
            <w:rFonts w:hint="eastAsia"/>
            <w:rtl/>
          </w:rPr>
          <w:t>السابع</w:t>
        </w:r>
        <w:r w:rsidR="00AD0AE5" w:rsidRPr="00282605">
          <w:rPr>
            <w:rStyle w:val="Hyperlink"/>
            <w:rtl/>
          </w:rPr>
          <w:t xml:space="preserve"> : </w:t>
        </w:r>
        <w:r w:rsidR="00AD0AE5" w:rsidRPr="00282605">
          <w:rPr>
            <w:rStyle w:val="Hyperlink"/>
            <w:rFonts w:hint="eastAsia"/>
            <w:rtl/>
          </w:rPr>
          <w:t>القواعد</w:t>
        </w:r>
        <w:r w:rsidR="002F0855">
          <w:rPr>
            <w:rStyle w:val="Hyperlink"/>
            <w:rFonts w:hint="cs"/>
            <w:rtl/>
          </w:rPr>
          <w:t xml:space="preserve"> </w:t>
        </w:r>
        <w:r w:rsidR="00AD0AE5" w:rsidRPr="00282605">
          <w:rPr>
            <w:rStyle w:val="Hyperlink"/>
            <w:rFonts w:hint="eastAsia"/>
            <w:rtl/>
          </w:rPr>
          <w:t>المتعلقة</w:t>
        </w:r>
        <w:r w:rsidR="002F0855">
          <w:rPr>
            <w:rStyle w:val="Hyperlink"/>
            <w:rFonts w:hint="cs"/>
            <w:rtl/>
          </w:rPr>
          <w:t xml:space="preserve"> </w:t>
        </w:r>
        <w:r w:rsidR="00AD0AE5" w:rsidRPr="00282605">
          <w:rPr>
            <w:rStyle w:val="Hyperlink"/>
            <w:rFonts w:hint="eastAsia"/>
            <w:rtl/>
          </w:rPr>
          <w:t>بالضمان</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334046469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70" w:history="1">
        <w:r w:rsidR="00AD0AE5" w:rsidRPr="00282605">
          <w:rPr>
            <w:rStyle w:val="Hyperlink"/>
            <w:rFonts w:hint="eastAsia"/>
            <w:rtl/>
          </w:rPr>
          <w:t>المبحث</w:t>
        </w:r>
        <w:r w:rsidR="00F36702">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الأيدي</w:t>
        </w:r>
        <w:r w:rsidR="00F36702">
          <w:rPr>
            <w:rStyle w:val="Hyperlink"/>
            <w:rFonts w:hint="cs"/>
            <w:rtl/>
          </w:rPr>
          <w:t xml:space="preserve"> </w:t>
        </w:r>
        <w:r w:rsidR="00AD0AE5" w:rsidRPr="00282605">
          <w:rPr>
            <w:rStyle w:val="Hyperlink"/>
            <w:rFonts w:hint="eastAsia"/>
            <w:rtl/>
          </w:rPr>
          <w:t>المترتبة</w:t>
        </w:r>
        <w:r w:rsidR="00F36702">
          <w:rPr>
            <w:rStyle w:val="Hyperlink"/>
            <w:rFonts w:hint="cs"/>
            <w:rtl/>
          </w:rPr>
          <w:t xml:space="preserve"> </w:t>
        </w:r>
        <w:r w:rsidR="00AD0AE5" w:rsidRPr="00282605">
          <w:rPr>
            <w:rStyle w:val="Hyperlink"/>
            <w:rFonts w:hint="eastAsia"/>
            <w:rtl/>
          </w:rPr>
          <w:t>على</w:t>
        </w:r>
        <w:r w:rsidR="00F36702">
          <w:rPr>
            <w:rStyle w:val="Hyperlink"/>
            <w:rFonts w:hint="cs"/>
            <w:rtl/>
          </w:rPr>
          <w:t xml:space="preserve"> </w:t>
        </w:r>
        <w:r w:rsidR="00AD0AE5" w:rsidRPr="00282605">
          <w:rPr>
            <w:rStyle w:val="Hyperlink"/>
            <w:rFonts w:hint="eastAsia"/>
            <w:rtl/>
          </w:rPr>
          <w:t>يد</w:t>
        </w:r>
        <w:r w:rsidR="00F36702">
          <w:rPr>
            <w:rStyle w:val="Hyperlink"/>
            <w:rFonts w:hint="cs"/>
            <w:rtl/>
          </w:rPr>
          <w:t xml:space="preserve"> </w:t>
        </w:r>
        <w:r w:rsidR="00AD0AE5" w:rsidRPr="00282605">
          <w:rPr>
            <w:rStyle w:val="Hyperlink"/>
            <w:rFonts w:hint="eastAsia"/>
            <w:rtl/>
          </w:rPr>
          <w:t>الغاصب</w:t>
        </w:r>
        <w:r w:rsidR="00F36702">
          <w:rPr>
            <w:rStyle w:val="Hyperlink"/>
            <w:rFonts w:hint="cs"/>
            <w:rtl/>
          </w:rPr>
          <w:t xml:space="preserve"> </w:t>
        </w:r>
        <w:r w:rsidR="00AD0AE5" w:rsidRPr="00282605">
          <w:rPr>
            <w:rStyle w:val="Hyperlink"/>
            <w:rFonts w:hint="eastAsia"/>
            <w:rtl/>
          </w:rPr>
          <w:t>كلها</w:t>
        </w:r>
        <w:r w:rsidR="00F36702">
          <w:rPr>
            <w:rStyle w:val="Hyperlink"/>
            <w:rFonts w:hint="cs"/>
            <w:rtl/>
          </w:rPr>
          <w:t xml:space="preserve"> </w:t>
        </w:r>
        <w:r w:rsidR="00AD0AE5" w:rsidRPr="00282605">
          <w:rPr>
            <w:rStyle w:val="Hyperlink"/>
            <w:rFonts w:hint="eastAsia"/>
            <w:rtl/>
          </w:rPr>
          <w:t>أيدي</w:t>
        </w:r>
        <w:r w:rsidR="00F36702">
          <w:rPr>
            <w:rStyle w:val="Hyperlink"/>
            <w:rFonts w:hint="cs"/>
            <w:rtl/>
          </w:rPr>
          <w:t xml:space="preserve"> </w:t>
        </w:r>
        <w:r w:rsidR="00AD0AE5" w:rsidRPr="00282605">
          <w:rPr>
            <w:rStyle w:val="Hyperlink"/>
            <w:rFonts w:hint="eastAsia"/>
            <w:rtl/>
          </w:rPr>
          <w:t>ضمان</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71"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72"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73"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8F483A" w:rsidRDefault="00AB0B9E" w:rsidP="008F483A">
      <w:pPr>
        <w:pStyle w:val="40"/>
        <w:rPr>
          <w:rtl/>
        </w:rPr>
      </w:pPr>
      <w:hyperlink w:anchor="_Toc334046474"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75" w:history="1">
        <w:r w:rsidR="00AD0AE5" w:rsidRPr="00282605">
          <w:rPr>
            <w:rStyle w:val="Hyperlink"/>
            <w:rFonts w:hint="eastAsia"/>
            <w:rtl/>
          </w:rPr>
          <w:t>المبحث</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إذا</w:t>
        </w:r>
        <w:r w:rsidR="00986946">
          <w:rPr>
            <w:rStyle w:val="Hyperlink"/>
            <w:rFonts w:hint="cs"/>
            <w:rtl/>
          </w:rPr>
          <w:t xml:space="preserve"> </w:t>
        </w:r>
        <w:r w:rsidR="00AD0AE5" w:rsidRPr="00282605">
          <w:rPr>
            <w:rStyle w:val="Hyperlink"/>
            <w:rFonts w:hint="eastAsia"/>
            <w:rtl/>
          </w:rPr>
          <w:t>اجتمع</w:t>
        </w:r>
        <w:r w:rsidR="00986946">
          <w:rPr>
            <w:rStyle w:val="Hyperlink"/>
            <w:rFonts w:hint="cs"/>
            <w:rtl/>
          </w:rPr>
          <w:t xml:space="preserve"> </w:t>
        </w:r>
        <w:r w:rsidR="00AD0AE5" w:rsidRPr="00282605">
          <w:rPr>
            <w:rStyle w:val="Hyperlink"/>
            <w:rFonts w:hint="eastAsia"/>
            <w:rtl/>
          </w:rPr>
          <w:t>متسبب</w:t>
        </w:r>
        <w:r w:rsidR="00986946">
          <w:rPr>
            <w:rStyle w:val="Hyperlink"/>
            <w:rFonts w:hint="cs"/>
            <w:rtl/>
          </w:rPr>
          <w:t xml:space="preserve"> </w:t>
        </w:r>
        <w:r w:rsidR="00AD0AE5" w:rsidRPr="00282605">
          <w:rPr>
            <w:rStyle w:val="Hyperlink"/>
            <w:rFonts w:hint="eastAsia"/>
            <w:rtl/>
          </w:rPr>
          <w:t>ومباشر</w:t>
        </w:r>
        <w:r w:rsidR="00986946">
          <w:rPr>
            <w:rStyle w:val="Hyperlink"/>
            <w:rFonts w:hint="cs"/>
            <w:rtl/>
          </w:rPr>
          <w:t xml:space="preserve"> </w:t>
        </w:r>
        <w:r w:rsidR="00AD0AE5" w:rsidRPr="00282605">
          <w:rPr>
            <w:rStyle w:val="Hyperlink"/>
            <w:rFonts w:hint="eastAsia"/>
            <w:rtl/>
          </w:rPr>
          <w:t>فالضمان</w:t>
        </w:r>
        <w:r w:rsidR="00986946">
          <w:rPr>
            <w:rStyle w:val="Hyperlink"/>
            <w:rFonts w:hint="cs"/>
            <w:rtl/>
          </w:rPr>
          <w:t xml:space="preserve"> </w:t>
        </w:r>
        <w:r w:rsidR="00AD0AE5" w:rsidRPr="00282605">
          <w:rPr>
            <w:rStyle w:val="Hyperlink"/>
            <w:rFonts w:hint="eastAsia"/>
            <w:rtl/>
          </w:rPr>
          <w:t>على</w:t>
        </w:r>
        <w:r w:rsidR="00986946">
          <w:rPr>
            <w:rStyle w:val="Hyperlink"/>
            <w:rFonts w:hint="cs"/>
            <w:rtl/>
          </w:rPr>
          <w:t xml:space="preserve"> </w:t>
        </w:r>
        <w:r w:rsidR="00AD0AE5" w:rsidRPr="00282605">
          <w:rPr>
            <w:rStyle w:val="Hyperlink"/>
            <w:rFonts w:hint="eastAsia"/>
            <w:rtl/>
          </w:rPr>
          <w:t>المباشر</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76"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77"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78"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79"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334046479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80"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81" w:history="1">
        <w:r w:rsidR="00AD0AE5" w:rsidRPr="00282605">
          <w:rPr>
            <w:rStyle w:val="Hyperlink"/>
            <w:rFonts w:hint="eastAsia"/>
            <w:rtl/>
          </w:rPr>
          <w:t>المبحث</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العجماء</w:t>
        </w:r>
        <w:r w:rsidR="00986946">
          <w:rPr>
            <w:rStyle w:val="Hyperlink"/>
            <w:rFonts w:hint="cs"/>
            <w:rtl/>
          </w:rPr>
          <w:t xml:space="preserve"> </w:t>
        </w:r>
        <w:r w:rsidR="00AD0AE5" w:rsidRPr="00282605">
          <w:rPr>
            <w:rStyle w:val="Hyperlink"/>
            <w:rFonts w:hint="eastAsia"/>
            <w:rtl/>
          </w:rPr>
          <w:t>جبار</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82"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83"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84"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85"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86"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87" w:history="1">
        <w:r w:rsidR="00AD0AE5" w:rsidRPr="00282605">
          <w:rPr>
            <w:rStyle w:val="Hyperlink"/>
            <w:rFonts w:hint="eastAsia"/>
            <w:rtl/>
          </w:rPr>
          <w:t>المبحث</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الخراج</w:t>
        </w:r>
        <w:r w:rsidR="00986946">
          <w:rPr>
            <w:rStyle w:val="Hyperlink"/>
            <w:rFonts w:hint="cs"/>
            <w:rtl/>
          </w:rPr>
          <w:t xml:space="preserve"> </w:t>
        </w:r>
        <w:r w:rsidR="00AD0AE5" w:rsidRPr="00282605">
          <w:rPr>
            <w:rStyle w:val="Hyperlink"/>
            <w:rFonts w:hint="eastAsia"/>
            <w:rtl/>
          </w:rPr>
          <w:t>بالضمان</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88"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89"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334046489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90"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91"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92" w:history="1">
        <w:r w:rsidR="00AD0AE5" w:rsidRPr="00282605">
          <w:rPr>
            <w:rStyle w:val="Hyperlink"/>
            <w:rFonts w:hint="eastAsia"/>
            <w:rtl/>
            <w:lang w:eastAsia="en-US"/>
          </w:rPr>
          <w:t>المطلب</w:t>
        </w:r>
        <w:r w:rsidR="00986946">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93" w:history="1">
        <w:r w:rsidR="00AD0AE5" w:rsidRPr="00282605">
          <w:rPr>
            <w:rStyle w:val="Hyperlink"/>
            <w:rFonts w:ascii="Traditional Arabic" w:hAnsi="Traditional Arabic" w:hint="eastAsia"/>
            <w:rtl/>
          </w:rPr>
          <w:t>المبحث</w:t>
        </w:r>
        <w:r w:rsidR="00986946">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الخامس</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AD0AE5" w:rsidRPr="00282605">
          <w:rPr>
            <w:rStyle w:val="Hyperlink"/>
            <w:rtl/>
          </w:rPr>
          <w:t>"</w:t>
        </w:r>
        <w:r w:rsidR="00AD0AE5" w:rsidRPr="00282605">
          <w:rPr>
            <w:rStyle w:val="Hyperlink"/>
            <w:rFonts w:hint="eastAsia"/>
            <w:rtl/>
          </w:rPr>
          <w:t>الأمين</w:t>
        </w:r>
        <w:r w:rsidR="00986946">
          <w:rPr>
            <w:rStyle w:val="Hyperlink"/>
            <w:rFonts w:hint="cs"/>
            <w:rtl/>
          </w:rPr>
          <w:t xml:space="preserve"> </w:t>
        </w:r>
        <w:r w:rsidR="00AD0AE5" w:rsidRPr="00282605">
          <w:rPr>
            <w:rStyle w:val="Hyperlink"/>
            <w:rFonts w:hint="eastAsia"/>
            <w:rtl/>
          </w:rPr>
          <w:t>إذا</w:t>
        </w:r>
        <w:r w:rsidR="00986946">
          <w:rPr>
            <w:rStyle w:val="Hyperlink"/>
            <w:rFonts w:hint="cs"/>
            <w:rtl/>
          </w:rPr>
          <w:t xml:space="preserve"> </w:t>
        </w:r>
        <w:r w:rsidR="00AD0AE5" w:rsidRPr="00282605">
          <w:rPr>
            <w:rStyle w:val="Hyperlink"/>
            <w:rFonts w:hint="eastAsia"/>
            <w:rtl/>
          </w:rPr>
          <w:t>لم</w:t>
        </w:r>
        <w:r w:rsidR="00986946">
          <w:rPr>
            <w:rStyle w:val="Hyperlink"/>
            <w:rFonts w:hint="cs"/>
            <w:rtl/>
          </w:rPr>
          <w:t xml:space="preserve"> </w:t>
        </w:r>
        <w:r w:rsidR="00AD0AE5" w:rsidRPr="00282605">
          <w:rPr>
            <w:rStyle w:val="Hyperlink"/>
            <w:rFonts w:hint="eastAsia"/>
            <w:rtl/>
          </w:rPr>
          <w:t>يتعد</w:t>
        </w:r>
        <w:r w:rsidR="00986946">
          <w:rPr>
            <w:rStyle w:val="Hyperlink"/>
            <w:rFonts w:hint="cs"/>
            <w:rtl/>
          </w:rPr>
          <w:t xml:space="preserve"> </w:t>
        </w:r>
        <w:r w:rsidR="00AD0AE5" w:rsidRPr="00282605">
          <w:rPr>
            <w:rStyle w:val="Hyperlink"/>
            <w:rFonts w:hint="eastAsia"/>
            <w:rtl/>
          </w:rPr>
          <w:t>ولم</w:t>
        </w:r>
        <w:r w:rsidR="00986946">
          <w:rPr>
            <w:rStyle w:val="Hyperlink"/>
            <w:rFonts w:hint="cs"/>
            <w:rtl/>
          </w:rPr>
          <w:t xml:space="preserve"> </w:t>
        </w:r>
        <w:r w:rsidR="00AD0AE5" w:rsidRPr="00282605">
          <w:rPr>
            <w:rStyle w:val="Hyperlink"/>
            <w:rFonts w:hint="eastAsia"/>
            <w:rtl/>
          </w:rPr>
          <w:t>يفرط</w:t>
        </w:r>
        <w:r w:rsidR="00986946">
          <w:rPr>
            <w:rStyle w:val="Hyperlink"/>
            <w:rFonts w:hint="cs"/>
            <w:rtl/>
          </w:rPr>
          <w:t xml:space="preserve"> </w:t>
        </w:r>
        <w:r w:rsidR="00AD0AE5" w:rsidRPr="00282605">
          <w:rPr>
            <w:rStyle w:val="Hyperlink"/>
            <w:rFonts w:hint="eastAsia"/>
            <w:rtl/>
          </w:rPr>
          <w:t>فلا</w:t>
        </w:r>
        <w:r w:rsidR="00986946">
          <w:rPr>
            <w:rStyle w:val="Hyperlink"/>
            <w:rFonts w:hint="cs"/>
            <w:rtl/>
          </w:rPr>
          <w:t xml:space="preserve"> </w:t>
        </w:r>
        <w:r w:rsidR="00AD0AE5" w:rsidRPr="00282605">
          <w:rPr>
            <w:rStyle w:val="Hyperlink"/>
            <w:rFonts w:hint="eastAsia"/>
            <w:rtl/>
          </w:rPr>
          <w:t>ضمان</w:t>
        </w:r>
        <w:r w:rsidR="00986946">
          <w:rPr>
            <w:rStyle w:val="Hyperlink"/>
            <w:rFonts w:hint="cs"/>
            <w:rtl/>
          </w:rPr>
          <w:t xml:space="preserve"> </w:t>
        </w:r>
        <w:r w:rsidR="00AD0AE5" w:rsidRPr="00282605">
          <w:rPr>
            <w:rStyle w:val="Hyperlink"/>
            <w:rFonts w:hint="eastAsia"/>
            <w:rtl/>
          </w:rPr>
          <w:t>عليه</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94" w:history="1">
        <w:r w:rsidR="00AD0AE5" w:rsidRPr="00282605">
          <w:rPr>
            <w:rStyle w:val="Hyperlink"/>
            <w:rFonts w:hint="eastAsia"/>
            <w:rtl/>
          </w:rPr>
          <w:t>المطلب</w:t>
        </w:r>
        <w:r w:rsidR="00986946">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95"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96"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8F483A">
          <w:rPr>
            <w:rStyle w:val="Hyperlink"/>
            <w:rFonts w:hint="eastAsia"/>
            <w:rtl/>
          </w:rPr>
          <w:t>دل</w:t>
        </w:r>
        <w:r w:rsidR="008F483A">
          <w:rPr>
            <w:rStyle w:val="Hyperlink"/>
            <w:rFonts w:hint="cs"/>
            <w:rtl/>
          </w:rPr>
          <w:t>يل</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8F483A" w:rsidRDefault="00AB0B9E" w:rsidP="008F483A">
      <w:pPr>
        <w:pStyle w:val="40"/>
        <w:rPr>
          <w:rtl/>
        </w:rPr>
      </w:pPr>
      <w:hyperlink w:anchor="_Toc334046497"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498" w:history="1">
        <w:r w:rsidR="00AD0AE5" w:rsidRPr="00282605">
          <w:rPr>
            <w:rStyle w:val="Hyperlink"/>
            <w:rFonts w:ascii="Traditional Arabic" w:hAnsi="Traditional Arabic" w:hint="eastAsia"/>
            <w:rtl/>
          </w:rPr>
          <w:t>المبحث</w:t>
        </w:r>
        <w:r w:rsidR="00986946">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السادس</w:t>
        </w:r>
        <w:r w:rsidR="00AD0AE5" w:rsidRPr="00282605">
          <w:rPr>
            <w:rStyle w:val="Hyperlink"/>
            <w:rFonts w:ascii="Traditional Arabic" w:hAnsi="Traditional Arabic"/>
            <w:rtl/>
          </w:rPr>
          <w:t xml:space="preserve"> : </w:t>
        </w:r>
        <w:r w:rsidR="00AD0AE5" w:rsidRPr="00282605">
          <w:rPr>
            <w:rStyle w:val="Hyperlink"/>
            <w:rFonts w:hint="eastAsia"/>
            <w:rtl/>
          </w:rPr>
          <w:t>قاعدة</w:t>
        </w:r>
        <w:r w:rsidR="00986946">
          <w:rPr>
            <w:rStyle w:val="Hyperlink"/>
            <w:rFonts w:hint="cs"/>
            <w:rtl/>
          </w:rPr>
          <w:t xml:space="preserve"> </w:t>
        </w:r>
        <w:r w:rsidR="00AD0AE5" w:rsidRPr="00282605">
          <w:rPr>
            <w:rStyle w:val="Hyperlink"/>
            <w:rFonts w:hint="eastAsia"/>
            <w:rtl/>
          </w:rPr>
          <w:t>من</w:t>
        </w:r>
        <w:r w:rsidR="00986946">
          <w:rPr>
            <w:rStyle w:val="Hyperlink"/>
            <w:rFonts w:hint="cs"/>
            <w:rtl/>
          </w:rPr>
          <w:t xml:space="preserve"> </w:t>
        </w:r>
        <w:r w:rsidR="00AD0AE5" w:rsidRPr="00282605">
          <w:rPr>
            <w:rStyle w:val="Hyperlink"/>
            <w:rFonts w:hint="eastAsia"/>
            <w:rtl/>
          </w:rPr>
          <w:t>أتلف</w:t>
        </w:r>
        <w:r w:rsidR="00986946">
          <w:rPr>
            <w:rStyle w:val="Hyperlink"/>
            <w:rFonts w:hint="cs"/>
            <w:rtl/>
          </w:rPr>
          <w:t xml:space="preserve"> </w:t>
        </w:r>
        <w:r w:rsidR="00AD0AE5" w:rsidRPr="00282605">
          <w:rPr>
            <w:rStyle w:val="Hyperlink"/>
            <w:rFonts w:hint="eastAsia"/>
            <w:rtl/>
          </w:rPr>
          <w:t>شيئا</w:t>
        </w:r>
        <w:r w:rsidR="00986946">
          <w:rPr>
            <w:rStyle w:val="Hyperlink"/>
            <w:rFonts w:hint="cs"/>
            <w:rtl/>
          </w:rPr>
          <w:t xml:space="preserve"> </w:t>
        </w:r>
        <w:r w:rsidR="00AD0AE5" w:rsidRPr="00282605">
          <w:rPr>
            <w:rStyle w:val="Hyperlink"/>
            <w:rFonts w:hint="eastAsia"/>
            <w:rtl/>
          </w:rPr>
          <w:t>فعليه</w:t>
        </w:r>
        <w:r w:rsidR="00986946">
          <w:rPr>
            <w:rStyle w:val="Hyperlink"/>
            <w:rFonts w:hint="cs"/>
            <w:rtl/>
          </w:rPr>
          <w:t xml:space="preserve"> </w:t>
        </w:r>
        <w:r w:rsidR="00AD0AE5" w:rsidRPr="00282605">
          <w:rPr>
            <w:rStyle w:val="Hyperlink"/>
            <w:rFonts w:hint="eastAsia"/>
            <w:rtl/>
          </w:rPr>
          <w:t>الضمان</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499"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334046499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00"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01"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02"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03"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504" w:history="1">
        <w:r w:rsidR="00AD0AE5" w:rsidRPr="00282605">
          <w:rPr>
            <w:rStyle w:val="Hyperlink"/>
            <w:rFonts w:ascii="Traditional Arabic" w:hAnsi="Traditional Arabic" w:hint="eastAsia"/>
            <w:rtl/>
          </w:rPr>
          <w:t>المبحث</w:t>
        </w:r>
        <w:r w:rsidR="00986946">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السابع</w:t>
        </w:r>
        <w:r w:rsidR="00AD0AE5" w:rsidRPr="00282605">
          <w:rPr>
            <w:rStyle w:val="Hyperlink"/>
            <w:rFonts w:ascii="Traditional Arabic" w:hAnsi="Traditional Arabic"/>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ما</w:t>
        </w:r>
        <w:r w:rsidR="00986946">
          <w:rPr>
            <w:rStyle w:val="Hyperlink"/>
            <w:rFonts w:hint="cs"/>
            <w:rtl/>
          </w:rPr>
          <w:t xml:space="preserve"> </w:t>
        </w:r>
        <w:r w:rsidR="00AD0AE5" w:rsidRPr="00282605">
          <w:rPr>
            <w:rStyle w:val="Hyperlink"/>
            <w:rFonts w:hint="eastAsia"/>
            <w:rtl/>
          </w:rPr>
          <w:t>ترتب</w:t>
        </w:r>
        <w:r w:rsidR="00986946">
          <w:rPr>
            <w:rStyle w:val="Hyperlink"/>
            <w:rFonts w:hint="cs"/>
            <w:rtl/>
          </w:rPr>
          <w:t xml:space="preserve"> </w:t>
        </w:r>
        <w:r w:rsidR="00AD0AE5" w:rsidRPr="00282605">
          <w:rPr>
            <w:rStyle w:val="Hyperlink"/>
            <w:rFonts w:hint="eastAsia"/>
            <w:rtl/>
          </w:rPr>
          <w:t>على</w:t>
        </w:r>
        <w:r w:rsidR="00986946">
          <w:rPr>
            <w:rStyle w:val="Hyperlink"/>
            <w:rFonts w:hint="cs"/>
            <w:rtl/>
          </w:rPr>
          <w:t xml:space="preserve"> </w:t>
        </w:r>
        <w:r w:rsidR="00AD0AE5" w:rsidRPr="00282605">
          <w:rPr>
            <w:rStyle w:val="Hyperlink"/>
            <w:rFonts w:hint="eastAsia"/>
            <w:rtl/>
          </w:rPr>
          <w:t>المأذون</w:t>
        </w:r>
        <w:r w:rsidR="00986946">
          <w:rPr>
            <w:rStyle w:val="Hyperlink"/>
            <w:rFonts w:hint="cs"/>
            <w:rtl/>
          </w:rPr>
          <w:t xml:space="preserve"> </w:t>
        </w:r>
        <w:r w:rsidR="00AD0AE5" w:rsidRPr="00282605">
          <w:rPr>
            <w:rStyle w:val="Hyperlink"/>
            <w:rFonts w:hint="eastAsia"/>
            <w:rtl/>
          </w:rPr>
          <w:t>فليس</w:t>
        </w:r>
        <w:r w:rsidR="00986946">
          <w:rPr>
            <w:rStyle w:val="Hyperlink"/>
            <w:rFonts w:hint="cs"/>
            <w:rtl/>
          </w:rPr>
          <w:t xml:space="preserve"> </w:t>
        </w:r>
        <w:r w:rsidR="00AD0AE5" w:rsidRPr="00282605">
          <w:rPr>
            <w:rStyle w:val="Hyperlink"/>
            <w:rFonts w:hint="eastAsia"/>
            <w:rtl/>
          </w:rPr>
          <w:t>بمضمون،</w:t>
        </w:r>
        <w:r w:rsidR="00986946">
          <w:rPr>
            <w:rStyle w:val="Hyperlink"/>
            <w:rFonts w:hint="cs"/>
            <w:rtl/>
          </w:rPr>
          <w:t xml:space="preserve"> </w:t>
        </w:r>
        <w:r w:rsidR="00AD0AE5" w:rsidRPr="00282605">
          <w:rPr>
            <w:rStyle w:val="Hyperlink"/>
            <w:rFonts w:hint="eastAsia"/>
            <w:rtl/>
          </w:rPr>
          <w:t>وما</w:t>
        </w:r>
        <w:r w:rsidR="00986946">
          <w:rPr>
            <w:rStyle w:val="Hyperlink"/>
            <w:rFonts w:hint="cs"/>
            <w:rtl/>
          </w:rPr>
          <w:t xml:space="preserve"> </w:t>
        </w:r>
        <w:r w:rsidR="00AD0AE5" w:rsidRPr="00282605">
          <w:rPr>
            <w:rStyle w:val="Hyperlink"/>
            <w:rFonts w:hint="eastAsia"/>
            <w:rtl/>
          </w:rPr>
          <w:t>ترتب</w:t>
        </w:r>
        <w:r w:rsidR="00986946">
          <w:rPr>
            <w:rStyle w:val="Hyperlink"/>
            <w:rFonts w:hint="cs"/>
            <w:rtl/>
          </w:rPr>
          <w:t xml:space="preserve"> </w:t>
        </w:r>
        <w:r w:rsidR="00AD0AE5" w:rsidRPr="00282605">
          <w:rPr>
            <w:rStyle w:val="Hyperlink"/>
            <w:rFonts w:hint="eastAsia"/>
            <w:rtl/>
          </w:rPr>
          <w:t>على</w:t>
        </w:r>
        <w:r w:rsidR="00986946">
          <w:rPr>
            <w:rStyle w:val="Hyperlink"/>
            <w:rFonts w:hint="cs"/>
            <w:rtl/>
          </w:rPr>
          <w:t xml:space="preserve"> </w:t>
        </w:r>
        <w:r w:rsidR="00AD0AE5" w:rsidRPr="00282605">
          <w:rPr>
            <w:rStyle w:val="Hyperlink"/>
            <w:rFonts w:hint="eastAsia"/>
            <w:rtl/>
          </w:rPr>
          <w:t>غير</w:t>
        </w:r>
        <w:r w:rsidR="00986946">
          <w:rPr>
            <w:rStyle w:val="Hyperlink"/>
            <w:rFonts w:hint="cs"/>
            <w:rtl/>
          </w:rPr>
          <w:t xml:space="preserve"> </w:t>
        </w:r>
        <w:r w:rsidR="00AD0AE5" w:rsidRPr="00282605">
          <w:rPr>
            <w:rStyle w:val="Hyperlink"/>
            <w:rFonts w:hint="eastAsia"/>
            <w:rtl/>
          </w:rPr>
          <w:t>المأذون</w:t>
        </w:r>
        <w:r w:rsidR="00986946">
          <w:rPr>
            <w:rStyle w:val="Hyperlink"/>
            <w:rFonts w:hint="cs"/>
            <w:rtl/>
          </w:rPr>
          <w:t xml:space="preserve"> </w:t>
        </w:r>
        <w:r w:rsidR="00AD0AE5" w:rsidRPr="00282605">
          <w:rPr>
            <w:rStyle w:val="Hyperlink"/>
            <w:rFonts w:hint="eastAsia"/>
            <w:rtl/>
          </w:rPr>
          <w:t>فهو</w:t>
        </w:r>
        <w:r w:rsidR="00986946">
          <w:rPr>
            <w:rStyle w:val="Hyperlink"/>
            <w:rFonts w:hint="cs"/>
            <w:rtl/>
          </w:rPr>
          <w:t xml:space="preserve"> </w:t>
        </w:r>
        <w:r w:rsidR="00AD0AE5" w:rsidRPr="00282605">
          <w:rPr>
            <w:rStyle w:val="Hyperlink"/>
            <w:rFonts w:hint="eastAsia"/>
            <w:rtl/>
          </w:rPr>
          <w:t>مضمون</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05"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06"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07"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8F483A">
          <w:rPr>
            <w:rStyle w:val="Hyperlink"/>
            <w:rFonts w:hint="eastAsia"/>
            <w:rtl/>
          </w:rPr>
          <w:t>دل</w:t>
        </w:r>
        <w:r w:rsidR="008F483A">
          <w:rPr>
            <w:rStyle w:val="Hyperlink"/>
            <w:rFonts w:hint="cs"/>
            <w:rtl/>
          </w:rPr>
          <w:t>يل</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08"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09"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334046509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510" w:history="1">
        <w:r w:rsidR="00AD0AE5" w:rsidRPr="00282605">
          <w:rPr>
            <w:rStyle w:val="Hyperlink"/>
            <w:rFonts w:hint="eastAsia"/>
            <w:rtl/>
          </w:rPr>
          <w:t>الفصل</w:t>
        </w:r>
        <w:r w:rsidR="002F0855">
          <w:rPr>
            <w:rStyle w:val="Hyperlink"/>
            <w:rFonts w:hint="cs"/>
            <w:rtl/>
          </w:rPr>
          <w:t xml:space="preserve"> </w:t>
        </w:r>
        <w:r w:rsidR="00AD0AE5" w:rsidRPr="00282605">
          <w:rPr>
            <w:rStyle w:val="Hyperlink"/>
            <w:rFonts w:hint="eastAsia"/>
            <w:rtl/>
          </w:rPr>
          <w:t>الثامن</w:t>
        </w:r>
        <w:r w:rsidR="00AD0AE5" w:rsidRPr="00282605">
          <w:rPr>
            <w:rStyle w:val="Hyperlink"/>
            <w:rtl/>
          </w:rPr>
          <w:t xml:space="preserve"> : </w:t>
        </w:r>
        <w:r w:rsidR="00AD0AE5" w:rsidRPr="00282605">
          <w:rPr>
            <w:rStyle w:val="Hyperlink"/>
            <w:rFonts w:hint="eastAsia"/>
            <w:rtl/>
          </w:rPr>
          <w:t>القواعد</w:t>
        </w:r>
        <w:r w:rsidR="002F0855">
          <w:rPr>
            <w:rStyle w:val="Hyperlink"/>
            <w:rFonts w:hint="cs"/>
            <w:rtl/>
          </w:rPr>
          <w:t xml:space="preserve"> </w:t>
        </w:r>
        <w:r w:rsidR="00AD0AE5" w:rsidRPr="00282605">
          <w:rPr>
            <w:rStyle w:val="Hyperlink"/>
            <w:rFonts w:hint="eastAsia"/>
            <w:rtl/>
          </w:rPr>
          <w:t>المتعلقة</w:t>
        </w:r>
        <w:r w:rsidR="002F0855">
          <w:rPr>
            <w:rStyle w:val="Hyperlink"/>
            <w:rFonts w:hint="cs"/>
            <w:rtl/>
          </w:rPr>
          <w:t xml:space="preserve"> </w:t>
        </w:r>
        <w:r w:rsidR="00AD0AE5" w:rsidRPr="00282605">
          <w:rPr>
            <w:rStyle w:val="Hyperlink"/>
            <w:rFonts w:hint="eastAsia"/>
            <w:rtl/>
          </w:rPr>
          <w:t>بالشروط</w:t>
        </w:r>
        <w:r w:rsidR="002F0855">
          <w:rPr>
            <w:rStyle w:val="Hyperlink"/>
            <w:rFonts w:hint="cs"/>
            <w:rtl/>
          </w:rPr>
          <w:t xml:space="preserve"> </w:t>
        </w:r>
        <w:r w:rsidR="00AD0AE5" w:rsidRPr="00282605">
          <w:rPr>
            <w:rStyle w:val="Hyperlink"/>
            <w:rFonts w:hint="eastAsia"/>
            <w:rtl/>
          </w:rPr>
          <w:t>والأسباب</w:t>
        </w:r>
        <w:r w:rsidR="002F0855">
          <w:rPr>
            <w:rStyle w:val="Hyperlink"/>
            <w:rFonts w:hint="cs"/>
            <w:rtl/>
          </w:rPr>
          <w:t xml:space="preserve"> </w:t>
        </w:r>
        <w:r w:rsidR="00AD0AE5" w:rsidRPr="00282605">
          <w:rPr>
            <w:rStyle w:val="Hyperlink"/>
            <w:rFonts w:hint="eastAsia"/>
            <w:rtl/>
          </w:rPr>
          <w:t>والعقود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511" w:history="1">
        <w:r w:rsidR="00AD0AE5" w:rsidRPr="00282605">
          <w:rPr>
            <w:rStyle w:val="Hyperlink"/>
            <w:rFonts w:ascii="Traditional Arabic" w:hAnsi="Traditional Arabic" w:hint="eastAsia"/>
            <w:rtl/>
          </w:rPr>
          <w:t>المبحث</w:t>
        </w:r>
        <w:r w:rsidR="00986946">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جميع</w:t>
        </w:r>
        <w:r w:rsidR="00986946">
          <w:rPr>
            <w:rStyle w:val="Hyperlink"/>
            <w:rFonts w:hint="cs"/>
            <w:rtl/>
          </w:rPr>
          <w:t xml:space="preserve"> </w:t>
        </w:r>
        <w:r w:rsidR="00AD0AE5" w:rsidRPr="00282605">
          <w:rPr>
            <w:rStyle w:val="Hyperlink"/>
            <w:rFonts w:hint="eastAsia"/>
            <w:rtl/>
          </w:rPr>
          <w:t>العقود</w:t>
        </w:r>
        <w:r w:rsidR="00986946">
          <w:rPr>
            <w:rStyle w:val="Hyperlink"/>
            <w:rFonts w:hint="cs"/>
            <w:rtl/>
          </w:rPr>
          <w:t xml:space="preserve"> </w:t>
        </w:r>
        <w:r w:rsidR="00AD0AE5" w:rsidRPr="00282605">
          <w:rPr>
            <w:rStyle w:val="Hyperlink"/>
            <w:rFonts w:hint="eastAsia"/>
            <w:rtl/>
          </w:rPr>
          <w:t>والشروط</w:t>
        </w:r>
        <w:r w:rsidR="00986946">
          <w:rPr>
            <w:rStyle w:val="Hyperlink"/>
            <w:rFonts w:hint="cs"/>
            <w:rtl/>
          </w:rPr>
          <w:t xml:space="preserve"> </w:t>
        </w:r>
        <w:r w:rsidR="00AD0AE5" w:rsidRPr="00282605">
          <w:rPr>
            <w:rStyle w:val="Hyperlink"/>
            <w:rFonts w:hint="eastAsia"/>
            <w:rtl/>
          </w:rPr>
          <w:t>الفاسدة</w:t>
        </w:r>
        <w:r w:rsidR="00AD0AE5" w:rsidRPr="00282605">
          <w:rPr>
            <w:rStyle w:val="Hyperlink"/>
            <w:rtl/>
          </w:rPr>
          <w:t xml:space="preserve">: </w:t>
        </w:r>
        <w:r w:rsidR="00AD0AE5" w:rsidRPr="00282605">
          <w:rPr>
            <w:rStyle w:val="Hyperlink"/>
            <w:rFonts w:hint="eastAsia"/>
            <w:rtl/>
          </w:rPr>
          <w:t>عقدها</w:t>
        </w:r>
        <w:r w:rsidR="00986946">
          <w:rPr>
            <w:rStyle w:val="Hyperlink"/>
            <w:rFonts w:hint="cs"/>
            <w:rtl/>
          </w:rPr>
          <w:t xml:space="preserve"> </w:t>
        </w:r>
        <w:r w:rsidR="00AD0AE5" w:rsidRPr="00282605">
          <w:rPr>
            <w:rStyle w:val="Hyperlink"/>
            <w:rFonts w:hint="eastAsia"/>
            <w:rtl/>
          </w:rPr>
          <w:t>حرام</w:t>
        </w:r>
        <w:r w:rsidR="00986946">
          <w:rPr>
            <w:rStyle w:val="Hyperlink"/>
            <w:rFonts w:hint="cs"/>
            <w:rtl/>
          </w:rPr>
          <w:t xml:space="preserve"> </w:t>
        </w:r>
        <w:r w:rsidR="00AD0AE5" w:rsidRPr="00282605">
          <w:rPr>
            <w:rStyle w:val="Hyperlink"/>
            <w:rFonts w:hint="eastAsia"/>
            <w:rtl/>
          </w:rPr>
          <w:t>واشتراطها</w:t>
        </w:r>
        <w:r w:rsidR="00986946">
          <w:rPr>
            <w:rStyle w:val="Hyperlink"/>
            <w:rFonts w:hint="cs"/>
            <w:rtl/>
          </w:rPr>
          <w:t xml:space="preserve"> </w:t>
        </w:r>
        <w:r w:rsidR="00AD0AE5" w:rsidRPr="00282605">
          <w:rPr>
            <w:rStyle w:val="Hyperlink"/>
            <w:rFonts w:hint="eastAsia"/>
            <w:rtl/>
          </w:rPr>
          <w:t>حرام</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12"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13"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14"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986946">
          <w:rPr>
            <w:rStyle w:val="Hyperlink"/>
            <w:rFonts w:hint="cs"/>
            <w:rtl/>
          </w:rPr>
          <w:t xml:space="preserve"> </w:t>
        </w:r>
        <w:r w:rsidR="00AD0AE5" w:rsidRPr="00282605">
          <w:rPr>
            <w:rStyle w:val="Hyperlink"/>
            <w:rFonts w:ascii="Traditional Arabic" w:hAnsi="Traditional Arabic"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15"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16"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lang w:eastAsia="en-US"/>
          </w:rPr>
          <w:t>م</w:t>
        </w:r>
        <w:r w:rsidR="008F483A">
          <w:rPr>
            <w:rStyle w:val="Hyperlink"/>
            <w:rFonts w:hint="cs"/>
            <w:rtl/>
            <w:lang w:eastAsia="en-US"/>
          </w:rPr>
          <w:t>ا ي</w:t>
        </w:r>
        <w:r w:rsidR="008F483A">
          <w:rPr>
            <w:rStyle w:val="Hyperlink"/>
            <w:rFonts w:hint="eastAsia"/>
            <w:rtl/>
            <w:lang w:eastAsia="en-US"/>
          </w:rPr>
          <w:t>ستثن</w:t>
        </w:r>
        <w:r w:rsidR="008F483A">
          <w:rPr>
            <w:rStyle w:val="Hyperlink"/>
            <w:rFonts w:hint="cs"/>
            <w:rtl/>
            <w:lang w:eastAsia="en-US"/>
          </w:rPr>
          <w:t>ى</w:t>
        </w:r>
        <w:r w:rsidR="00986946">
          <w:rPr>
            <w:rStyle w:val="Hyperlink"/>
            <w:rFonts w:hint="cs"/>
            <w:rtl/>
            <w:lang w:eastAsia="en-US"/>
          </w:rPr>
          <w:t xml:space="preserve"> </w:t>
        </w:r>
        <w:r w:rsidR="008F483A">
          <w:rPr>
            <w:rStyle w:val="Hyperlink"/>
            <w:rFonts w:hint="cs"/>
            <w:rtl/>
            <w:lang w:eastAsia="en-US"/>
          </w:rPr>
          <w:t xml:space="preserve">من </w:t>
        </w:r>
        <w:r w:rsidR="00AD0AE5" w:rsidRPr="00282605">
          <w:rPr>
            <w:rStyle w:val="Hyperlink"/>
            <w:rFonts w:hint="eastAsia"/>
            <w:rtl/>
            <w:lang w:eastAsia="en-US"/>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517" w:history="1">
        <w:r w:rsidR="00AD0AE5" w:rsidRPr="00282605">
          <w:rPr>
            <w:rStyle w:val="Hyperlink"/>
            <w:rFonts w:ascii="Traditional Arabic" w:hAnsi="Traditional Arabic" w:hint="eastAsia"/>
            <w:rtl/>
          </w:rPr>
          <w:t>المبحث</w:t>
        </w:r>
        <w:r w:rsidR="00986946">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جميع</w:t>
        </w:r>
        <w:r w:rsidR="00986946">
          <w:rPr>
            <w:rStyle w:val="Hyperlink"/>
            <w:rFonts w:hint="cs"/>
            <w:rtl/>
          </w:rPr>
          <w:t xml:space="preserve"> </w:t>
        </w:r>
        <w:r w:rsidR="00AD0AE5" w:rsidRPr="00282605">
          <w:rPr>
            <w:rStyle w:val="Hyperlink"/>
            <w:rFonts w:hint="eastAsia"/>
            <w:rtl/>
          </w:rPr>
          <w:t>العقود</w:t>
        </w:r>
        <w:r w:rsidR="00986946">
          <w:rPr>
            <w:rStyle w:val="Hyperlink"/>
            <w:rFonts w:hint="cs"/>
            <w:rtl/>
          </w:rPr>
          <w:t xml:space="preserve"> </w:t>
        </w:r>
        <w:r w:rsidR="00AD0AE5" w:rsidRPr="00282605">
          <w:rPr>
            <w:rStyle w:val="Hyperlink"/>
            <w:rFonts w:hint="eastAsia"/>
            <w:rtl/>
          </w:rPr>
          <w:t>والفسوخ</w:t>
        </w:r>
        <w:r w:rsidR="00986946">
          <w:rPr>
            <w:rStyle w:val="Hyperlink"/>
            <w:rFonts w:hint="cs"/>
            <w:rtl/>
          </w:rPr>
          <w:t xml:space="preserve"> </w:t>
        </w:r>
        <w:r w:rsidR="00AD0AE5" w:rsidRPr="00282605">
          <w:rPr>
            <w:rStyle w:val="Hyperlink"/>
            <w:rFonts w:hint="eastAsia"/>
            <w:rtl/>
          </w:rPr>
          <w:t>لابد</w:t>
        </w:r>
        <w:r w:rsidR="00986946">
          <w:rPr>
            <w:rStyle w:val="Hyperlink"/>
            <w:rFonts w:hint="cs"/>
            <w:rtl/>
          </w:rPr>
          <w:t xml:space="preserve"> </w:t>
        </w:r>
        <w:r w:rsidR="00AD0AE5" w:rsidRPr="00282605">
          <w:rPr>
            <w:rStyle w:val="Hyperlink"/>
            <w:rFonts w:hint="eastAsia"/>
            <w:rtl/>
          </w:rPr>
          <w:t>فيه</w:t>
        </w:r>
        <w:r w:rsidR="00986946">
          <w:rPr>
            <w:rStyle w:val="Hyperlink"/>
            <w:rFonts w:hint="cs"/>
            <w:rtl/>
          </w:rPr>
          <w:t xml:space="preserve">ا </w:t>
        </w:r>
        <w:r w:rsidR="00AD0AE5" w:rsidRPr="00282605">
          <w:rPr>
            <w:rStyle w:val="Hyperlink"/>
            <w:rFonts w:hint="eastAsia"/>
            <w:rtl/>
          </w:rPr>
          <w:t>من</w:t>
        </w:r>
        <w:r w:rsidR="00986946">
          <w:rPr>
            <w:rStyle w:val="Hyperlink"/>
            <w:rFonts w:hint="cs"/>
            <w:rtl/>
          </w:rPr>
          <w:t xml:space="preserve"> </w:t>
        </w:r>
        <w:r w:rsidR="00AD0AE5" w:rsidRPr="00282605">
          <w:rPr>
            <w:rStyle w:val="Hyperlink"/>
            <w:rFonts w:hint="eastAsia"/>
            <w:rtl/>
          </w:rPr>
          <w:t>الرضا</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18"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986946">
          <w:rPr>
            <w:rStyle w:val="Hyperlink"/>
            <w:rFonts w:hint="eastAsia"/>
            <w:rtl/>
          </w:rPr>
          <w:t>صيغ</w:t>
        </w:r>
        <w:r w:rsidR="00986946">
          <w:rPr>
            <w:rStyle w:val="Hyperlink"/>
            <w:rFonts w:hint="cs"/>
            <w:rtl/>
          </w:rPr>
          <w:t xml:space="preserve"> </w:t>
        </w:r>
        <w:r w:rsidR="00986946">
          <w:rPr>
            <w:rStyle w:val="Hyperlink"/>
            <w:rFonts w:hint="eastAsia"/>
            <w:rtl/>
          </w:rPr>
          <w:t>القاعدة</w:t>
        </w:r>
        <w:r w:rsidR="00986946">
          <w:rPr>
            <w:rStyle w:val="Hyperlink"/>
            <w:rFonts w:hint="cs"/>
            <w:rtl/>
          </w:rPr>
          <w:t xml:space="preserve"> </w:t>
        </w:r>
        <w:r w:rsidR="00986946">
          <w:rPr>
            <w:rStyle w:val="Hyperlink"/>
            <w:rFonts w:hint="eastAsia"/>
            <w:rtl/>
          </w:rPr>
          <w:t>عند</w:t>
        </w:r>
        <w:r w:rsidR="00986946">
          <w:rPr>
            <w:rStyle w:val="Hyperlink"/>
            <w:rFonts w:hint="cs"/>
            <w:rtl/>
          </w:rPr>
          <w:t xml:space="preserve"> </w:t>
        </w:r>
        <w:r w:rsidR="00986946">
          <w:rPr>
            <w:rStyle w:val="Hyperlink"/>
            <w:rFonts w:hint="eastAsia"/>
            <w:rtl/>
          </w:rPr>
          <w:t>الشيخ</w:t>
        </w:r>
        <w:r w:rsidR="00986946">
          <w:rPr>
            <w:rStyle w:val="Hyperlink"/>
            <w:rFonts w:hint="cs"/>
            <w:rtl/>
          </w:rPr>
          <w:t xml:space="preserve"> </w:t>
        </w:r>
        <w:r w:rsidR="00986946">
          <w:rPr>
            <w:rStyle w:val="Hyperlink"/>
            <w:rFonts w:hint="eastAsia"/>
            <w:rtl/>
          </w:rPr>
          <w:t>وع</w:t>
        </w:r>
        <w:r w:rsidR="00986946">
          <w:rPr>
            <w:rStyle w:val="Hyperlink"/>
            <w:rFonts w:hint="cs"/>
            <w:rtl/>
          </w:rPr>
          <w:t>ن</w:t>
        </w:r>
        <w:r w:rsidR="00AD0AE5" w:rsidRPr="00282605">
          <w:rPr>
            <w:rStyle w:val="Hyperlink"/>
            <w:rFonts w:hint="eastAsia"/>
            <w:rtl/>
          </w:rPr>
          <w:t>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19"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334046519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20"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21"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22"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523" w:history="1">
        <w:r w:rsidR="00AD0AE5" w:rsidRPr="00282605">
          <w:rPr>
            <w:rStyle w:val="Hyperlink"/>
            <w:rFonts w:hint="eastAsia"/>
            <w:rtl/>
          </w:rPr>
          <w:t>المبحث</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الحكم</w:t>
        </w:r>
        <w:r w:rsidR="00986946">
          <w:rPr>
            <w:rStyle w:val="Hyperlink"/>
            <w:rFonts w:hint="cs"/>
            <w:rtl/>
          </w:rPr>
          <w:t xml:space="preserve"> </w:t>
        </w:r>
        <w:r w:rsidR="00AD0AE5" w:rsidRPr="00282605">
          <w:rPr>
            <w:rStyle w:val="Hyperlink"/>
            <w:rFonts w:hint="eastAsia"/>
            <w:rtl/>
          </w:rPr>
          <w:t>يدور</w:t>
        </w:r>
        <w:r w:rsidR="00986946">
          <w:rPr>
            <w:rStyle w:val="Hyperlink"/>
            <w:rFonts w:hint="cs"/>
            <w:rtl/>
          </w:rPr>
          <w:t xml:space="preserve"> </w:t>
        </w:r>
        <w:r w:rsidR="00AD0AE5" w:rsidRPr="00282605">
          <w:rPr>
            <w:rStyle w:val="Hyperlink"/>
            <w:rFonts w:hint="eastAsia"/>
            <w:rtl/>
          </w:rPr>
          <w:t>مع</w:t>
        </w:r>
        <w:r w:rsidR="00986946">
          <w:rPr>
            <w:rStyle w:val="Hyperlink"/>
            <w:rFonts w:hint="cs"/>
            <w:rtl/>
          </w:rPr>
          <w:t xml:space="preserve"> </w:t>
        </w:r>
        <w:r w:rsidR="00AD0AE5" w:rsidRPr="00282605">
          <w:rPr>
            <w:rStyle w:val="Hyperlink"/>
            <w:rFonts w:hint="eastAsia"/>
            <w:rtl/>
          </w:rPr>
          <w:t>علته</w:t>
        </w:r>
        <w:r w:rsidR="00986946">
          <w:rPr>
            <w:rStyle w:val="Hyperlink"/>
            <w:rFonts w:hint="cs"/>
            <w:rtl/>
          </w:rPr>
          <w:t xml:space="preserve"> </w:t>
        </w:r>
        <w:r w:rsidR="00AD0AE5" w:rsidRPr="00282605">
          <w:rPr>
            <w:rStyle w:val="Hyperlink"/>
            <w:rFonts w:hint="eastAsia"/>
            <w:rtl/>
          </w:rPr>
          <w:t>وجودا</w:t>
        </w:r>
        <w:r w:rsidR="00986946">
          <w:rPr>
            <w:rStyle w:val="Hyperlink"/>
            <w:rFonts w:hint="cs"/>
            <w:rtl/>
          </w:rPr>
          <w:t xml:space="preserve"> </w:t>
        </w:r>
        <w:r w:rsidR="00AD0AE5" w:rsidRPr="00282605">
          <w:rPr>
            <w:rStyle w:val="Hyperlink"/>
            <w:rFonts w:hint="eastAsia"/>
            <w:rtl/>
          </w:rPr>
          <w:t>وعدما</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24"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25"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26"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27"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28"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529" w:history="1">
        <w:r w:rsidR="00AD0AE5" w:rsidRPr="00282605">
          <w:rPr>
            <w:rStyle w:val="Hyperlink"/>
            <w:rFonts w:hint="eastAsia"/>
            <w:rtl/>
          </w:rPr>
          <w:t>الفصل</w:t>
        </w:r>
        <w:r w:rsidR="002F0855">
          <w:rPr>
            <w:rStyle w:val="Hyperlink"/>
            <w:rFonts w:hint="cs"/>
            <w:rtl/>
          </w:rPr>
          <w:t xml:space="preserve"> </w:t>
        </w:r>
        <w:r w:rsidR="00AD0AE5" w:rsidRPr="00282605">
          <w:rPr>
            <w:rStyle w:val="Hyperlink"/>
            <w:rFonts w:hint="eastAsia"/>
            <w:rtl/>
          </w:rPr>
          <w:t>التاسع</w:t>
        </w:r>
        <w:r w:rsidR="00AD0AE5" w:rsidRPr="00282605">
          <w:rPr>
            <w:rStyle w:val="Hyperlink"/>
            <w:rtl/>
          </w:rPr>
          <w:t xml:space="preserve"> : </w:t>
        </w:r>
        <w:r w:rsidR="00AD0AE5" w:rsidRPr="00282605">
          <w:rPr>
            <w:rStyle w:val="Hyperlink"/>
            <w:rFonts w:hint="eastAsia"/>
            <w:rtl/>
          </w:rPr>
          <w:t>القواعد</w:t>
        </w:r>
        <w:r w:rsidR="002F0855">
          <w:rPr>
            <w:rStyle w:val="Hyperlink"/>
            <w:rFonts w:hint="cs"/>
            <w:rtl/>
          </w:rPr>
          <w:t xml:space="preserve"> </w:t>
        </w:r>
        <w:r w:rsidR="00AD0AE5" w:rsidRPr="00282605">
          <w:rPr>
            <w:rStyle w:val="Hyperlink"/>
            <w:rFonts w:hint="eastAsia"/>
            <w:rtl/>
          </w:rPr>
          <w:t>المتعلقة</w:t>
        </w:r>
        <w:r w:rsidR="002F0855">
          <w:rPr>
            <w:rStyle w:val="Hyperlink"/>
            <w:rFonts w:hint="cs"/>
            <w:rtl/>
          </w:rPr>
          <w:t xml:space="preserve"> </w:t>
        </w:r>
        <w:r w:rsidR="00AD0AE5" w:rsidRPr="00282605">
          <w:rPr>
            <w:rStyle w:val="Hyperlink"/>
            <w:rFonts w:hint="eastAsia"/>
            <w:rtl/>
          </w:rPr>
          <w:t>بالحقوق</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334046529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530" w:history="1">
        <w:r w:rsidR="00AD0AE5" w:rsidRPr="00282605">
          <w:rPr>
            <w:rStyle w:val="Hyperlink"/>
            <w:rFonts w:ascii="Traditional Arabic" w:hAnsi="Traditional Arabic" w:hint="eastAsia"/>
            <w:rtl/>
          </w:rPr>
          <w:t>المبحث</w:t>
        </w:r>
        <w:r w:rsidR="00986946">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الأصل</w:t>
        </w:r>
        <w:r w:rsidR="00986946">
          <w:rPr>
            <w:rStyle w:val="Hyperlink"/>
            <w:rFonts w:hint="cs"/>
            <w:rtl/>
          </w:rPr>
          <w:t xml:space="preserve"> </w:t>
        </w:r>
        <w:r w:rsidR="00AD0AE5" w:rsidRPr="00282605">
          <w:rPr>
            <w:rStyle w:val="Hyperlink"/>
            <w:rFonts w:hint="eastAsia"/>
            <w:rtl/>
          </w:rPr>
          <w:t>أن</w:t>
        </w:r>
        <w:r w:rsidR="00986946">
          <w:rPr>
            <w:rStyle w:val="Hyperlink"/>
            <w:rFonts w:hint="cs"/>
            <w:rtl/>
          </w:rPr>
          <w:t xml:space="preserve"> </w:t>
        </w:r>
        <w:r w:rsidR="00AD0AE5" w:rsidRPr="00282605">
          <w:rPr>
            <w:rStyle w:val="Hyperlink"/>
            <w:rFonts w:hint="eastAsia"/>
            <w:rtl/>
          </w:rPr>
          <w:t>كل</w:t>
        </w:r>
        <w:r w:rsidR="00986946">
          <w:rPr>
            <w:rStyle w:val="Hyperlink"/>
            <w:rFonts w:hint="cs"/>
            <w:rtl/>
          </w:rPr>
          <w:t xml:space="preserve"> </w:t>
        </w:r>
        <w:r w:rsidR="00AD0AE5" w:rsidRPr="00282605">
          <w:rPr>
            <w:rStyle w:val="Hyperlink"/>
            <w:rFonts w:hint="eastAsia"/>
            <w:rtl/>
          </w:rPr>
          <w:t>من</w:t>
        </w:r>
        <w:r w:rsidR="00986946">
          <w:rPr>
            <w:rStyle w:val="Hyperlink"/>
            <w:rFonts w:hint="cs"/>
            <w:rtl/>
          </w:rPr>
          <w:t xml:space="preserve"> </w:t>
        </w:r>
        <w:r w:rsidR="00AD0AE5" w:rsidRPr="00282605">
          <w:rPr>
            <w:rStyle w:val="Hyperlink"/>
            <w:rFonts w:hint="eastAsia"/>
            <w:rtl/>
          </w:rPr>
          <w:t>ثبت</w:t>
        </w:r>
        <w:r w:rsidR="00986946">
          <w:rPr>
            <w:rStyle w:val="Hyperlink"/>
            <w:rFonts w:hint="cs"/>
            <w:rtl/>
          </w:rPr>
          <w:t xml:space="preserve"> </w:t>
        </w:r>
        <w:r w:rsidR="00AD0AE5" w:rsidRPr="00282605">
          <w:rPr>
            <w:rStyle w:val="Hyperlink"/>
            <w:rFonts w:hint="eastAsia"/>
            <w:rtl/>
          </w:rPr>
          <w:t>له</w:t>
        </w:r>
        <w:r w:rsidR="00986946">
          <w:rPr>
            <w:rStyle w:val="Hyperlink"/>
            <w:rFonts w:hint="cs"/>
            <w:rtl/>
          </w:rPr>
          <w:t xml:space="preserve"> </w:t>
        </w:r>
        <w:r w:rsidR="00AD0AE5" w:rsidRPr="00282605">
          <w:rPr>
            <w:rStyle w:val="Hyperlink"/>
            <w:rFonts w:hint="eastAsia"/>
            <w:rtl/>
          </w:rPr>
          <w:t>حق</w:t>
        </w:r>
        <w:r w:rsidR="00986946">
          <w:rPr>
            <w:rStyle w:val="Hyperlink"/>
            <w:rFonts w:hint="cs"/>
            <w:rtl/>
          </w:rPr>
          <w:t xml:space="preserve"> </w:t>
        </w:r>
        <w:r w:rsidR="00AD0AE5" w:rsidRPr="00282605">
          <w:rPr>
            <w:rStyle w:val="Hyperlink"/>
            <w:rFonts w:hint="eastAsia"/>
            <w:rtl/>
          </w:rPr>
          <w:t>فإنه</w:t>
        </w:r>
        <w:r w:rsidR="00986946">
          <w:rPr>
            <w:rStyle w:val="Hyperlink"/>
            <w:rFonts w:hint="cs"/>
            <w:rtl/>
          </w:rPr>
          <w:t xml:space="preserve"> </w:t>
        </w:r>
        <w:r w:rsidR="00AD0AE5" w:rsidRPr="00282605">
          <w:rPr>
            <w:rStyle w:val="Hyperlink"/>
            <w:rFonts w:hint="eastAsia"/>
            <w:rtl/>
          </w:rPr>
          <w:t>لا</w:t>
        </w:r>
        <w:r w:rsidR="00986946">
          <w:rPr>
            <w:rStyle w:val="Hyperlink"/>
            <w:rFonts w:hint="cs"/>
            <w:rtl/>
          </w:rPr>
          <w:t xml:space="preserve"> </w:t>
        </w:r>
        <w:r w:rsidR="00AD0AE5" w:rsidRPr="00282605">
          <w:rPr>
            <w:rStyle w:val="Hyperlink"/>
            <w:rFonts w:hint="eastAsia"/>
            <w:rtl/>
          </w:rPr>
          <w:t>يسقط</w:t>
        </w:r>
        <w:r w:rsidR="00986946">
          <w:rPr>
            <w:rStyle w:val="Hyperlink"/>
            <w:rFonts w:hint="cs"/>
            <w:rtl/>
          </w:rPr>
          <w:t xml:space="preserve"> </w:t>
        </w:r>
        <w:r w:rsidR="00AD0AE5" w:rsidRPr="00282605">
          <w:rPr>
            <w:rStyle w:val="Hyperlink"/>
            <w:rFonts w:hint="eastAsia"/>
            <w:rtl/>
          </w:rPr>
          <w:t>إلا</w:t>
        </w:r>
        <w:r w:rsidR="00986946">
          <w:rPr>
            <w:rStyle w:val="Hyperlink"/>
            <w:rFonts w:hint="cs"/>
            <w:rtl/>
          </w:rPr>
          <w:t xml:space="preserve"> </w:t>
        </w:r>
        <w:r w:rsidR="00AD0AE5" w:rsidRPr="00282605">
          <w:rPr>
            <w:rStyle w:val="Hyperlink"/>
            <w:rFonts w:hint="eastAsia"/>
            <w:rtl/>
          </w:rPr>
          <w:t>بما</w:t>
        </w:r>
        <w:r w:rsidR="00986946">
          <w:rPr>
            <w:rStyle w:val="Hyperlink"/>
            <w:rFonts w:hint="cs"/>
            <w:rtl/>
          </w:rPr>
          <w:t xml:space="preserve"> </w:t>
        </w:r>
        <w:r w:rsidR="00AD0AE5" w:rsidRPr="00282605">
          <w:rPr>
            <w:rStyle w:val="Hyperlink"/>
            <w:rFonts w:hint="eastAsia"/>
            <w:rtl/>
          </w:rPr>
          <w:t>يدل</w:t>
        </w:r>
        <w:r w:rsidR="00986946">
          <w:rPr>
            <w:rStyle w:val="Hyperlink"/>
            <w:rFonts w:hint="cs"/>
            <w:rtl/>
          </w:rPr>
          <w:t xml:space="preserve"> </w:t>
        </w:r>
        <w:r w:rsidR="00AD0AE5" w:rsidRPr="00282605">
          <w:rPr>
            <w:rStyle w:val="Hyperlink"/>
            <w:rFonts w:hint="eastAsia"/>
            <w:rtl/>
          </w:rPr>
          <w:t>عل</w:t>
        </w:r>
        <w:r w:rsidR="00986946">
          <w:rPr>
            <w:rStyle w:val="Hyperlink"/>
            <w:rFonts w:hint="cs"/>
            <w:rtl/>
          </w:rPr>
          <w:t xml:space="preserve">ى </w:t>
        </w:r>
        <w:r w:rsidR="00AD0AE5" w:rsidRPr="00282605">
          <w:rPr>
            <w:rStyle w:val="Hyperlink"/>
            <w:rFonts w:hint="eastAsia"/>
            <w:rtl/>
          </w:rPr>
          <w:t>رضاه</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31"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986946">
          <w:rPr>
            <w:rStyle w:val="Hyperlink"/>
            <w:rFonts w:hint="cs"/>
            <w:rtl/>
          </w:rPr>
          <w:t xml:space="preserve"> </w:t>
        </w:r>
        <w:r w:rsidR="00AD0AE5" w:rsidRPr="00282605">
          <w:rPr>
            <w:rStyle w:val="Hyperlink"/>
            <w:rFonts w:hint="eastAsia"/>
            <w:rtl/>
          </w:rPr>
          <w:t>القاعدة</w:t>
        </w:r>
        <w:r w:rsidR="00986946">
          <w:rPr>
            <w:rStyle w:val="Hyperlink"/>
            <w:rFonts w:hint="cs"/>
            <w:rtl/>
          </w:rPr>
          <w:t xml:space="preserve"> </w:t>
        </w:r>
        <w:r w:rsidR="00AD0AE5" w:rsidRPr="00282605">
          <w:rPr>
            <w:rStyle w:val="Hyperlink"/>
            <w:rFonts w:hint="eastAsia"/>
            <w:rtl/>
          </w:rPr>
          <w:t>عند</w:t>
        </w:r>
        <w:r w:rsidR="00986946">
          <w:rPr>
            <w:rStyle w:val="Hyperlink"/>
            <w:rFonts w:hint="cs"/>
            <w:rtl/>
          </w:rPr>
          <w:t xml:space="preserve"> </w:t>
        </w:r>
        <w:r w:rsidR="00AD0AE5" w:rsidRPr="00282605">
          <w:rPr>
            <w:rStyle w:val="Hyperlink"/>
            <w:rFonts w:hint="eastAsia"/>
            <w:rtl/>
          </w:rPr>
          <w:t>الشيخ</w:t>
        </w:r>
        <w:r w:rsidR="00986946">
          <w:rPr>
            <w:rStyle w:val="Hyperlink"/>
            <w:rFonts w:hint="cs"/>
            <w:rtl/>
          </w:rPr>
          <w:t xml:space="preserve"> </w:t>
        </w:r>
        <w:r w:rsidR="00AD0AE5" w:rsidRPr="00282605">
          <w:rPr>
            <w:rStyle w:val="Hyperlink"/>
            <w:rFonts w:hint="eastAsia"/>
            <w:rtl/>
          </w:rPr>
          <w:t>وعند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32"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33"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2F0855" w:rsidRPr="008F483A" w:rsidRDefault="00AB0B9E" w:rsidP="008F483A">
      <w:pPr>
        <w:pStyle w:val="40"/>
        <w:rPr>
          <w:rFonts w:asciiTheme="minorHAnsi" w:eastAsiaTheme="minorEastAsia" w:hAnsiTheme="minorHAnsi" w:cstheme="minorBidi"/>
          <w:color w:val="auto"/>
          <w:sz w:val="22"/>
          <w:szCs w:val="22"/>
          <w:rtl/>
          <w:lang w:val="fr-FR" w:eastAsia="fr-FR"/>
        </w:rPr>
      </w:pPr>
      <w:hyperlink w:anchor="_Toc334046534" w:history="1">
        <w:r w:rsidR="00AD0AE5" w:rsidRPr="00282605">
          <w:rPr>
            <w:rStyle w:val="Hyperlink"/>
            <w:rFonts w:hint="eastAsia"/>
            <w:rtl/>
          </w:rPr>
          <w:t>المطلب</w:t>
        </w:r>
        <w:r w:rsidR="00986946">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986946">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334046534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535" w:history="1">
        <w:r w:rsidR="00AD0AE5" w:rsidRPr="00282605">
          <w:rPr>
            <w:rStyle w:val="Hyperlink"/>
            <w:rFonts w:ascii="Traditional Arabic" w:hAnsi="Traditional Arabic" w:hint="eastAsia"/>
            <w:rtl/>
          </w:rPr>
          <w:t>المبحث</w:t>
        </w:r>
        <w:r w:rsidR="00986946">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القرعة</w:t>
        </w:r>
        <w:r w:rsidR="00986946">
          <w:rPr>
            <w:rStyle w:val="Hyperlink"/>
            <w:rFonts w:hint="cs"/>
            <w:rtl/>
          </w:rPr>
          <w:t xml:space="preserve"> </w:t>
        </w:r>
        <w:r w:rsidR="00AD0AE5" w:rsidRPr="00282605">
          <w:rPr>
            <w:rStyle w:val="Hyperlink"/>
            <w:rFonts w:hint="eastAsia"/>
            <w:rtl/>
          </w:rPr>
          <w:t>طريق</w:t>
        </w:r>
        <w:r w:rsidR="00986946">
          <w:rPr>
            <w:rStyle w:val="Hyperlink"/>
            <w:rFonts w:hint="cs"/>
            <w:rtl/>
          </w:rPr>
          <w:t xml:space="preserve"> </w:t>
        </w:r>
        <w:r w:rsidR="00AD0AE5" w:rsidRPr="00282605">
          <w:rPr>
            <w:rStyle w:val="Hyperlink"/>
            <w:rFonts w:hint="eastAsia"/>
            <w:rtl/>
          </w:rPr>
          <w:t>شرعي</w:t>
        </w:r>
        <w:r w:rsidR="00AD0AE5" w:rsidRPr="00282605">
          <w:rPr>
            <w:rStyle w:val="Hyperlink"/>
            <w:rtl/>
          </w:rPr>
          <w:t xml:space="preserve"> [</w:t>
        </w:r>
        <w:r w:rsidR="00AD0AE5" w:rsidRPr="00282605">
          <w:rPr>
            <w:rStyle w:val="Hyperlink"/>
            <w:rFonts w:hint="eastAsia"/>
            <w:rtl/>
          </w:rPr>
          <w:t>للتمييز</w:t>
        </w:r>
        <w:r w:rsidR="00986946">
          <w:rPr>
            <w:rStyle w:val="Hyperlink"/>
            <w:rFonts w:hint="cs"/>
            <w:rtl/>
          </w:rPr>
          <w:t xml:space="preserve"> </w:t>
        </w:r>
        <w:r w:rsidR="00AD0AE5" w:rsidRPr="00282605">
          <w:rPr>
            <w:rStyle w:val="Hyperlink"/>
            <w:rFonts w:hint="eastAsia"/>
            <w:rtl/>
          </w:rPr>
          <w:t>بين</w:t>
        </w:r>
        <w:r w:rsidR="00AD0AE5" w:rsidRPr="00282605">
          <w:rPr>
            <w:rStyle w:val="Hyperlink"/>
            <w:rtl/>
          </w:rPr>
          <w:t xml:space="preserve">] </w:t>
        </w:r>
        <w:r w:rsidR="00AD0AE5" w:rsidRPr="00282605">
          <w:rPr>
            <w:rStyle w:val="Hyperlink"/>
            <w:rFonts w:hint="eastAsia"/>
            <w:rtl/>
          </w:rPr>
          <w:t>المتساويات</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334046535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36"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w:t>
        </w:r>
        <w:r w:rsidR="00691FFC">
          <w:rPr>
            <w:rStyle w:val="Hyperlink"/>
            <w:rFonts w:hint="cs"/>
            <w:rtl/>
          </w:rPr>
          <w:t>د</w:t>
        </w:r>
        <w:r w:rsidR="00986946">
          <w:rPr>
            <w:rStyle w:val="Hyperlink"/>
            <w:rFonts w:hint="cs"/>
            <w:rtl/>
          </w:rPr>
          <w:t xml:space="preserve"> </w:t>
        </w:r>
        <w:r w:rsidR="00AD0AE5" w:rsidRPr="00282605">
          <w:rPr>
            <w:rStyle w:val="Hyperlink"/>
            <w:rFonts w:hint="eastAsia"/>
            <w:rtl/>
          </w:rPr>
          <w:t>علماء</w:t>
        </w:r>
        <w:r w:rsidR="00986946">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334046536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37"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334046537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38"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334046538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39"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8F483A">
          <w:rPr>
            <w:rStyle w:val="Hyperlink"/>
            <w:rFonts w:hint="cs"/>
            <w:rtl/>
          </w:rPr>
          <w:t>ال</w:t>
        </w:r>
        <w:r w:rsidR="008F483A">
          <w:rPr>
            <w:rStyle w:val="Hyperlink"/>
            <w:rFonts w:hint="eastAsia"/>
            <w:rtl/>
          </w:rPr>
          <w:t>تطبيق</w:t>
        </w:r>
        <w:r w:rsidR="00691FFC">
          <w:rPr>
            <w:rStyle w:val="Hyperlink"/>
            <w:rFonts w:hint="cs"/>
            <w:rtl/>
          </w:rPr>
          <w:t xml:space="preserve"> </w:t>
        </w:r>
        <w:r w:rsidR="008F483A">
          <w:rPr>
            <w:rStyle w:val="Hyperlink"/>
            <w:rFonts w:hint="cs"/>
            <w:rtl/>
          </w:rPr>
          <w:t xml:space="preserve">على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334046539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40"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8F483A">
          <w:rPr>
            <w:rStyle w:val="Hyperlink"/>
            <w:rFonts w:hint="eastAsia"/>
            <w:rtl/>
          </w:rPr>
          <w:t>م</w:t>
        </w:r>
        <w:r w:rsidR="008F483A">
          <w:rPr>
            <w:rStyle w:val="Hyperlink"/>
            <w:rFonts w:hint="cs"/>
            <w:rtl/>
          </w:rPr>
          <w:t>ا ي</w:t>
        </w:r>
        <w:r w:rsidR="008F483A">
          <w:rPr>
            <w:rStyle w:val="Hyperlink"/>
            <w:rFonts w:hint="eastAsia"/>
            <w:rtl/>
          </w:rPr>
          <w:t>ستثن</w:t>
        </w:r>
        <w:r w:rsidR="008F483A">
          <w:rPr>
            <w:rStyle w:val="Hyperlink"/>
            <w:rFonts w:hint="cs"/>
            <w:rtl/>
          </w:rPr>
          <w:t>ى</w:t>
        </w:r>
        <w:r w:rsidR="00691FFC">
          <w:rPr>
            <w:rStyle w:val="Hyperlink"/>
            <w:rFonts w:hint="cs"/>
            <w:rtl/>
          </w:rPr>
          <w:t xml:space="preserve"> </w:t>
        </w:r>
        <w:r w:rsidR="00AD0AE5" w:rsidRPr="00282605">
          <w:rPr>
            <w:rStyle w:val="Hyperlink"/>
            <w:rFonts w:hint="eastAsia"/>
            <w:rtl/>
          </w:rPr>
          <w:t>القاعدة</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334046540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20"/>
        <w:rPr>
          <w:rFonts w:asciiTheme="minorHAnsi" w:eastAsiaTheme="minorEastAsia" w:hAnsiTheme="minorHAnsi" w:cstheme="minorBidi"/>
          <w:bCs w:val="0"/>
          <w:color w:val="auto"/>
          <w:sz w:val="22"/>
          <w:szCs w:val="22"/>
          <w:rtl/>
          <w:lang w:val="fr-FR" w:eastAsia="fr-FR"/>
        </w:rPr>
      </w:pPr>
      <w:hyperlink w:anchor="_Toc334046541" w:history="1">
        <w:r w:rsidR="00AD0AE5" w:rsidRPr="00282605">
          <w:rPr>
            <w:rStyle w:val="Hyperlink"/>
            <w:rFonts w:hint="eastAsia"/>
            <w:rtl/>
          </w:rPr>
          <w:t>الفصل</w:t>
        </w:r>
        <w:r w:rsidR="002F0855">
          <w:rPr>
            <w:rStyle w:val="Hyperlink"/>
            <w:rFonts w:hint="cs"/>
            <w:rtl/>
          </w:rPr>
          <w:t xml:space="preserve"> </w:t>
        </w:r>
        <w:r w:rsidR="00AD0AE5" w:rsidRPr="00282605">
          <w:rPr>
            <w:rStyle w:val="Hyperlink"/>
            <w:rFonts w:hint="eastAsia"/>
            <w:rtl/>
          </w:rPr>
          <w:t>العاشر</w:t>
        </w:r>
        <w:r w:rsidR="00AD0AE5" w:rsidRPr="00282605">
          <w:rPr>
            <w:rStyle w:val="Hyperlink"/>
            <w:rtl/>
          </w:rPr>
          <w:t xml:space="preserve"> : </w:t>
        </w:r>
        <w:r w:rsidR="00AD0AE5" w:rsidRPr="00282605">
          <w:rPr>
            <w:rStyle w:val="Hyperlink"/>
            <w:rFonts w:hint="eastAsia"/>
            <w:rtl/>
          </w:rPr>
          <w:t>القواعد</w:t>
        </w:r>
        <w:r w:rsidR="002F0855">
          <w:rPr>
            <w:rStyle w:val="Hyperlink"/>
            <w:rFonts w:hint="cs"/>
            <w:rtl/>
          </w:rPr>
          <w:t xml:space="preserve"> </w:t>
        </w:r>
        <w:r w:rsidR="00AD0AE5" w:rsidRPr="00282605">
          <w:rPr>
            <w:rStyle w:val="Hyperlink"/>
            <w:rFonts w:hint="eastAsia"/>
            <w:rtl/>
          </w:rPr>
          <w:t>المتعلقة</w:t>
        </w:r>
        <w:r w:rsidR="002F0855">
          <w:rPr>
            <w:rStyle w:val="Hyperlink"/>
            <w:rFonts w:hint="cs"/>
            <w:rtl/>
          </w:rPr>
          <w:t xml:space="preserve"> </w:t>
        </w:r>
        <w:r w:rsidR="00AD0AE5" w:rsidRPr="00282605">
          <w:rPr>
            <w:rStyle w:val="Hyperlink"/>
            <w:rFonts w:hint="eastAsia"/>
            <w:rtl/>
          </w:rPr>
          <w:t>بفصل</w:t>
        </w:r>
        <w:r w:rsidR="002F0855">
          <w:rPr>
            <w:rStyle w:val="Hyperlink"/>
            <w:rFonts w:hint="cs"/>
            <w:rtl/>
          </w:rPr>
          <w:t xml:space="preserve"> </w:t>
        </w:r>
        <w:r w:rsidR="00AD0AE5" w:rsidRPr="00282605">
          <w:rPr>
            <w:rStyle w:val="Hyperlink"/>
            <w:rFonts w:hint="eastAsia"/>
            <w:rtl/>
          </w:rPr>
          <w:t>منازعات</w:t>
        </w:r>
        <w:r w:rsidR="002F0855">
          <w:rPr>
            <w:rStyle w:val="Hyperlink"/>
            <w:rFonts w:hint="cs"/>
            <w:rtl/>
          </w:rPr>
          <w:t xml:space="preserve"> </w:t>
        </w:r>
        <w:r w:rsidR="00AD0AE5" w:rsidRPr="00282605">
          <w:rPr>
            <w:rStyle w:val="Hyperlink"/>
            <w:rFonts w:hint="eastAsia"/>
            <w:rtl/>
          </w:rPr>
          <w:t>البيوع</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334046541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30"/>
        <w:rPr>
          <w:rFonts w:asciiTheme="minorHAnsi" w:eastAsiaTheme="minorEastAsia" w:hAnsiTheme="minorHAnsi" w:cstheme="minorBidi"/>
          <w:b w:val="0"/>
          <w:bCs w:val="0"/>
          <w:color w:val="auto"/>
          <w:sz w:val="22"/>
          <w:szCs w:val="22"/>
          <w:rtl/>
          <w:lang w:val="fr-FR" w:eastAsia="fr-FR"/>
        </w:rPr>
      </w:pPr>
      <w:hyperlink w:anchor="_Toc334046542" w:history="1">
        <w:r w:rsidR="00AD0AE5" w:rsidRPr="00282605">
          <w:rPr>
            <w:rStyle w:val="Hyperlink"/>
            <w:rFonts w:hint="eastAsia"/>
            <w:rtl/>
          </w:rPr>
          <w:t>المبحث</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كل</w:t>
        </w:r>
        <w:r w:rsidR="002F0855">
          <w:rPr>
            <w:rStyle w:val="Hyperlink"/>
            <w:rFonts w:hint="cs"/>
            <w:rtl/>
          </w:rPr>
          <w:t xml:space="preserve"> </w:t>
        </w:r>
        <w:r w:rsidR="00AD0AE5" w:rsidRPr="00282605">
          <w:rPr>
            <w:rStyle w:val="Hyperlink"/>
            <w:rFonts w:hint="eastAsia"/>
            <w:rtl/>
          </w:rPr>
          <w:t>غارم</w:t>
        </w:r>
        <w:r w:rsidR="002F0855">
          <w:rPr>
            <w:rStyle w:val="Hyperlink"/>
            <w:rFonts w:hint="cs"/>
            <w:rtl/>
          </w:rPr>
          <w:t xml:space="preserve"> </w:t>
        </w:r>
        <w:r w:rsidR="00AD0AE5" w:rsidRPr="00282605">
          <w:rPr>
            <w:rStyle w:val="Hyperlink"/>
            <w:rFonts w:hint="eastAsia"/>
            <w:rtl/>
          </w:rPr>
          <w:t>فالقول</w:t>
        </w:r>
        <w:r w:rsidR="002F0855">
          <w:rPr>
            <w:rStyle w:val="Hyperlink"/>
            <w:rFonts w:hint="cs"/>
            <w:rtl/>
          </w:rPr>
          <w:t xml:space="preserve"> </w:t>
        </w:r>
        <w:r w:rsidR="00AD0AE5" w:rsidRPr="00282605">
          <w:rPr>
            <w:rStyle w:val="Hyperlink"/>
            <w:rFonts w:hint="eastAsia"/>
            <w:rtl/>
          </w:rPr>
          <w:t>قوله</w:t>
        </w:r>
        <w:r w:rsidR="00AD0AE5" w:rsidRPr="00282605">
          <w:rPr>
            <w:rStyle w:val="Hyperlink"/>
            <w:rtl/>
          </w:rPr>
          <w:t>"</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334046542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pPr>
        <w:pStyle w:val="40"/>
        <w:rPr>
          <w:rFonts w:asciiTheme="minorHAnsi" w:eastAsiaTheme="minorEastAsia" w:hAnsiTheme="minorHAnsi" w:cstheme="minorBidi"/>
          <w:color w:val="auto"/>
          <w:sz w:val="22"/>
          <w:szCs w:val="22"/>
          <w:rtl/>
          <w:lang w:val="fr-FR" w:eastAsia="fr-FR"/>
        </w:rPr>
      </w:pPr>
      <w:hyperlink w:anchor="_Toc334046543"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Pr>
            <w:webHidden/>
            <w:rtl/>
          </w:rPr>
          <w:fldChar w:fldCharType="begin"/>
        </w:r>
        <w:r w:rsidR="00AD0AE5">
          <w:rPr>
            <w:webHidden/>
          </w:rPr>
          <w:instrText>PAGEREF</w:instrText>
        </w:r>
        <w:r w:rsidR="00AD0AE5">
          <w:rPr>
            <w:webHidden/>
            <w:rtl/>
          </w:rPr>
          <w:instrText xml:space="preserve"> _</w:instrText>
        </w:r>
        <w:r w:rsidR="00AD0AE5">
          <w:rPr>
            <w:webHidden/>
          </w:rPr>
          <w:instrText>Toc</w:instrText>
        </w:r>
        <w:r w:rsidR="00AD0AE5">
          <w:rPr>
            <w:webHidden/>
            <w:rtl/>
          </w:rPr>
          <w:instrText xml:space="preserve">334046543 </w:instrText>
        </w:r>
        <w:r w:rsidR="00AD0AE5">
          <w:rPr>
            <w:webHidden/>
          </w:rPr>
          <w:instrText>\h</w:instrText>
        </w:r>
        <w:r>
          <w:rPr>
            <w:webHidden/>
            <w:rtl/>
          </w:rPr>
        </w:r>
        <w:r>
          <w:rPr>
            <w:webHidden/>
            <w:rtl/>
          </w:rPr>
          <w:fldChar w:fldCharType="separate"/>
        </w:r>
        <w:r w:rsidR="00982621">
          <w:rPr>
            <w:webHidden/>
            <w:rtl/>
          </w:rPr>
          <w:t>25</w:t>
        </w:r>
        <w:r>
          <w:rPr>
            <w:webHidden/>
            <w:rtl/>
          </w:rPr>
          <w:fldChar w:fldCharType="end"/>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44"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412</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45"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B96668">
          <w:rPr>
            <w:rStyle w:val="Hyperlink"/>
            <w:rtl/>
          </w:rPr>
          <w:t> :</w:t>
        </w:r>
        <w:r w:rsidR="00B96668">
          <w:rPr>
            <w:rStyle w:val="Hyperlink"/>
            <w:rFonts w:hint="eastAsia"/>
            <w:rtl/>
          </w:rPr>
          <w:t>دل</w:t>
        </w:r>
        <w:r w:rsidR="00B96668">
          <w:rPr>
            <w:rStyle w:val="Hyperlink"/>
            <w:rFonts w:hint="cs"/>
            <w:rtl/>
          </w:rPr>
          <w:t>يل</w:t>
        </w:r>
        <w:r w:rsidR="00691FFC">
          <w:rPr>
            <w:rStyle w:val="Hyperlink"/>
            <w:rFonts w:hint="cs"/>
            <w:rtl/>
          </w:rPr>
          <w:t xml:space="preserve"> </w:t>
        </w:r>
        <w:r w:rsidR="00AD0AE5" w:rsidRPr="00282605">
          <w:rPr>
            <w:rStyle w:val="Hyperlink"/>
            <w:rFonts w:hint="eastAsia"/>
            <w:rtl/>
          </w:rPr>
          <w:t>القاعدة</w:t>
        </w:r>
        <w:r w:rsidR="00B96668">
          <w:rPr>
            <w:webHidden/>
          </w:rPr>
          <w:t>…</w:t>
        </w:r>
        <w:r w:rsidR="00B96668">
          <w:rPr>
            <w:rFonts w:hint="cs"/>
            <w:webHidden/>
          </w:rPr>
          <w:t>...</w:t>
        </w:r>
        <w:r w:rsidR="00B96668">
          <w:rPr>
            <w:webHidden/>
          </w:rPr>
          <w:t>………………………</w:t>
        </w:r>
        <w:r w:rsidR="00B96668">
          <w:rPr>
            <w:rFonts w:hint="cs"/>
            <w:webHidden/>
          </w:rPr>
          <w:t>...</w:t>
        </w:r>
      </w:hyperlink>
      <w:r w:rsidR="00B96668">
        <w:rPr>
          <w:rFonts w:ascii="Traditional Arabic" w:eastAsiaTheme="minorEastAsia" w:hAnsi="Traditional Arabic"/>
          <w:color w:val="auto"/>
          <w:rtl/>
          <w:lang w:val="fr-FR" w:eastAsia="fr-FR"/>
        </w:rPr>
        <w:t>41</w:t>
      </w:r>
      <w:r w:rsidR="00B96668">
        <w:rPr>
          <w:rFonts w:ascii="Traditional Arabic" w:eastAsiaTheme="minorEastAsia" w:hAnsi="Traditional Arabic" w:hint="cs"/>
          <w:color w:val="auto"/>
          <w:rtl/>
          <w:lang w:val="fr-FR" w:eastAsia="fr-FR"/>
        </w:rPr>
        <w:t>3</w:t>
      </w:r>
    </w:p>
    <w:p w:rsidR="002F0855" w:rsidRPr="00B96668" w:rsidRDefault="00AB0B9E" w:rsidP="00B96668">
      <w:pPr>
        <w:pStyle w:val="40"/>
        <w:rPr>
          <w:rtl/>
        </w:rPr>
      </w:pPr>
      <w:hyperlink w:anchor="_Toc334046546"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413</w:t>
        </w:r>
      </w:hyperlink>
    </w:p>
    <w:p w:rsidR="00AD0AE5" w:rsidRDefault="00AB0B9E" w:rsidP="00B96668">
      <w:pPr>
        <w:pStyle w:val="30"/>
        <w:rPr>
          <w:rFonts w:asciiTheme="minorHAnsi" w:eastAsiaTheme="minorEastAsia" w:hAnsiTheme="minorHAnsi" w:cstheme="minorBidi"/>
          <w:b w:val="0"/>
          <w:bCs w:val="0"/>
          <w:color w:val="auto"/>
          <w:sz w:val="22"/>
          <w:szCs w:val="22"/>
          <w:rtl/>
          <w:lang w:val="fr-FR" w:eastAsia="fr-FR"/>
        </w:rPr>
      </w:pPr>
      <w:hyperlink w:anchor="_Toc334046547" w:history="1">
        <w:r w:rsidR="00AD0AE5" w:rsidRPr="00282605">
          <w:rPr>
            <w:rStyle w:val="Hyperlink"/>
            <w:rFonts w:ascii="Traditional Arabic" w:hAnsi="Traditional Arabic" w:hint="eastAsia"/>
            <w:rtl/>
          </w:rPr>
          <w:t>المبحث</w:t>
        </w:r>
        <w:r w:rsidR="00691FFC">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AD0AE5" w:rsidRPr="00282605">
          <w:rPr>
            <w:rStyle w:val="Hyperlink"/>
            <w:rtl/>
          </w:rPr>
          <w:t>"</w:t>
        </w:r>
        <w:r w:rsidR="00AD0AE5" w:rsidRPr="00282605">
          <w:rPr>
            <w:rStyle w:val="Hyperlink"/>
            <w:rFonts w:hint="eastAsia"/>
            <w:rtl/>
          </w:rPr>
          <w:t>كل</w:t>
        </w:r>
        <w:r w:rsidR="00691FFC">
          <w:rPr>
            <w:rStyle w:val="Hyperlink"/>
            <w:rFonts w:hint="cs"/>
            <w:rtl/>
          </w:rPr>
          <w:t xml:space="preserve"> </w:t>
        </w:r>
        <w:r w:rsidR="00AD0AE5" w:rsidRPr="00282605">
          <w:rPr>
            <w:rStyle w:val="Hyperlink"/>
            <w:rFonts w:hint="eastAsia"/>
            <w:rtl/>
          </w:rPr>
          <w:t>إنسان</w:t>
        </w:r>
        <w:r w:rsidR="00691FFC">
          <w:rPr>
            <w:rStyle w:val="Hyperlink"/>
            <w:rFonts w:hint="cs"/>
            <w:rtl/>
          </w:rPr>
          <w:t xml:space="preserve"> </w:t>
        </w:r>
        <w:r w:rsidR="00AD0AE5" w:rsidRPr="00282605">
          <w:rPr>
            <w:rStyle w:val="Hyperlink"/>
            <w:rFonts w:hint="eastAsia"/>
            <w:rtl/>
          </w:rPr>
          <w:t>أمين</w:t>
        </w:r>
        <w:r w:rsidR="00691FFC">
          <w:rPr>
            <w:rStyle w:val="Hyperlink"/>
            <w:rFonts w:hint="cs"/>
            <w:rtl/>
          </w:rPr>
          <w:t xml:space="preserve"> </w:t>
        </w:r>
        <w:r w:rsidR="00AD0AE5" w:rsidRPr="00282605">
          <w:rPr>
            <w:rStyle w:val="Hyperlink"/>
            <w:rFonts w:hint="eastAsia"/>
            <w:rtl/>
          </w:rPr>
          <w:t>فإنه</w:t>
        </w:r>
        <w:r w:rsidR="00691FFC">
          <w:rPr>
            <w:rStyle w:val="Hyperlink"/>
            <w:rFonts w:hint="cs"/>
            <w:rtl/>
          </w:rPr>
          <w:t xml:space="preserve"> </w:t>
        </w:r>
        <w:r w:rsidR="00AD0AE5" w:rsidRPr="00282605">
          <w:rPr>
            <w:rStyle w:val="Hyperlink"/>
            <w:rFonts w:hint="eastAsia"/>
            <w:rtl/>
          </w:rPr>
          <w:t>يُقبل</w:t>
        </w:r>
        <w:r w:rsidR="00691FFC">
          <w:rPr>
            <w:rStyle w:val="Hyperlink"/>
            <w:rFonts w:hint="cs"/>
            <w:rtl/>
          </w:rPr>
          <w:t xml:space="preserve"> </w:t>
        </w:r>
        <w:r w:rsidR="00AD0AE5" w:rsidRPr="00282605">
          <w:rPr>
            <w:rStyle w:val="Hyperlink"/>
            <w:rFonts w:hint="eastAsia"/>
            <w:rtl/>
          </w:rPr>
          <w:t>قوله</w:t>
        </w:r>
        <w:r w:rsidR="00691FFC">
          <w:rPr>
            <w:rStyle w:val="Hyperlink"/>
            <w:rFonts w:hint="cs"/>
            <w:rtl/>
          </w:rPr>
          <w:t xml:space="preserve"> </w:t>
        </w:r>
        <w:r w:rsidR="00AD0AE5" w:rsidRPr="00282605">
          <w:rPr>
            <w:rStyle w:val="Hyperlink"/>
            <w:rFonts w:hint="eastAsia"/>
            <w:rtl/>
          </w:rPr>
          <w:t>فيما</w:t>
        </w:r>
        <w:r w:rsidR="00691FFC">
          <w:rPr>
            <w:rStyle w:val="Hyperlink"/>
            <w:rFonts w:hint="cs"/>
            <w:rtl/>
          </w:rPr>
          <w:t xml:space="preserve"> </w:t>
        </w:r>
        <w:r w:rsidR="00AD0AE5" w:rsidRPr="00282605">
          <w:rPr>
            <w:rStyle w:val="Hyperlink"/>
            <w:rFonts w:hint="eastAsia"/>
            <w:rtl/>
          </w:rPr>
          <w:t>ائتُمن</w:t>
        </w:r>
        <w:r w:rsidR="00691FFC">
          <w:rPr>
            <w:rStyle w:val="Hyperlink"/>
            <w:rFonts w:hint="cs"/>
            <w:rtl/>
          </w:rPr>
          <w:t xml:space="preserve"> </w:t>
        </w:r>
        <w:r w:rsidR="00AD0AE5" w:rsidRPr="00282605">
          <w:rPr>
            <w:rStyle w:val="Hyperlink"/>
            <w:rFonts w:hint="eastAsia"/>
            <w:rtl/>
          </w:rPr>
          <w:t>فيه</w:t>
        </w:r>
        <w:r w:rsidR="00AD0AE5" w:rsidRPr="00282605">
          <w:rPr>
            <w:rStyle w:val="Hyperlink"/>
            <w:rtl/>
          </w:rPr>
          <w:t>"</w:t>
        </w:r>
        <w:r w:rsidR="00AD0AE5">
          <w:rPr>
            <w:webHidden/>
            <w:rtl/>
          </w:rPr>
          <w:tab/>
        </w:r>
        <w:r w:rsidR="00B96668">
          <w:rPr>
            <w:webHidden/>
          </w:rPr>
          <w:t>415</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48"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صيغة</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B96668">
          <w:rPr>
            <w:webHidden/>
          </w:rPr>
          <w:t>415</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49"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416</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50"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B96668">
          <w:rPr>
            <w:rStyle w:val="Hyperlink"/>
            <w:rFonts w:hint="eastAsia"/>
            <w:rtl/>
          </w:rPr>
          <w:t>دل</w:t>
        </w:r>
        <w:r w:rsidR="00B96668">
          <w:rPr>
            <w:rStyle w:val="Hyperlink"/>
            <w:rFonts w:hint="cs"/>
            <w:rtl/>
          </w:rPr>
          <w:t>يل</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418</w:t>
        </w:r>
      </w:hyperlink>
    </w:p>
    <w:p w:rsidR="00AD0AE5" w:rsidRDefault="00AB0B9E" w:rsidP="00B96668">
      <w:pPr>
        <w:pStyle w:val="40"/>
      </w:pPr>
      <w:hyperlink w:anchor="_Toc334046551"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418</w:t>
        </w:r>
      </w:hyperlink>
    </w:p>
    <w:p w:rsidR="002F0855" w:rsidRPr="002F0855" w:rsidRDefault="002F0855" w:rsidP="002F0855">
      <w:pPr>
        <w:rPr>
          <w:rFonts w:eastAsiaTheme="minorEastAsia"/>
          <w:rtl/>
        </w:rPr>
      </w:pPr>
      <w:r>
        <w:rPr>
          <w:rFonts w:eastAsiaTheme="minorEastAsia"/>
        </w:rPr>
        <w:tab/>
      </w:r>
      <w:r>
        <w:rPr>
          <w:rFonts w:eastAsiaTheme="minorEastAsia"/>
        </w:rPr>
        <w:tab/>
      </w:r>
      <w:r>
        <w:rPr>
          <w:rFonts w:eastAsiaTheme="minorEastAsia" w:hint="cs"/>
          <w:rtl/>
          <w:lang w:val="fr-FR" w:eastAsia="fr-FR"/>
        </w:rPr>
        <w:t>المطلب الخامس: مستثنيات القاعدة...</w:t>
      </w:r>
      <w:r w:rsidR="00B96668">
        <w:rPr>
          <w:rFonts w:eastAsiaTheme="minorEastAsia" w:hint="cs"/>
          <w:rtl/>
          <w:lang w:val="fr-FR" w:eastAsia="fr-FR"/>
        </w:rPr>
        <w:t>...........................</w:t>
      </w:r>
      <w:r>
        <w:rPr>
          <w:rFonts w:eastAsiaTheme="minorEastAsia" w:hint="cs"/>
          <w:rtl/>
          <w:lang w:val="fr-FR" w:eastAsia="fr-FR"/>
        </w:rPr>
        <w:t>......</w:t>
      </w:r>
      <w:r w:rsidR="00B96668">
        <w:rPr>
          <w:rFonts w:eastAsiaTheme="minorEastAsia" w:hint="cs"/>
          <w:rtl/>
          <w:lang w:val="fr-FR" w:eastAsia="fr-FR"/>
        </w:rPr>
        <w:t>420</w:t>
      </w:r>
    </w:p>
    <w:p w:rsidR="00AD0AE5" w:rsidRDefault="00AB0B9E" w:rsidP="00B96668">
      <w:pPr>
        <w:pStyle w:val="30"/>
        <w:rPr>
          <w:rFonts w:asciiTheme="minorHAnsi" w:eastAsiaTheme="minorEastAsia" w:hAnsiTheme="minorHAnsi" w:cstheme="minorBidi"/>
          <w:b w:val="0"/>
          <w:bCs w:val="0"/>
          <w:color w:val="auto"/>
          <w:sz w:val="22"/>
          <w:szCs w:val="22"/>
          <w:rtl/>
          <w:lang w:val="fr-FR" w:eastAsia="fr-FR"/>
        </w:rPr>
      </w:pPr>
      <w:hyperlink w:anchor="_Toc334046552" w:history="1">
        <w:r w:rsidR="00AD0AE5" w:rsidRPr="00282605">
          <w:rPr>
            <w:rStyle w:val="Hyperlink"/>
            <w:rFonts w:ascii="Traditional Arabic" w:hAnsi="Traditional Arabic" w:hint="eastAsia"/>
            <w:rtl/>
          </w:rPr>
          <w:t>المبحث</w:t>
        </w:r>
        <w:r w:rsidR="00691FFC">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الثالث</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AD0AE5" w:rsidRPr="00282605">
          <w:rPr>
            <w:rStyle w:val="Hyperlink"/>
            <w:rtl/>
          </w:rPr>
          <w:t>"</w:t>
        </w:r>
        <w:r w:rsidR="00AD0AE5" w:rsidRPr="00282605">
          <w:rPr>
            <w:rStyle w:val="Hyperlink"/>
            <w:rFonts w:hint="eastAsia"/>
            <w:rtl/>
          </w:rPr>
          <w:t>من</w:t>
        </w:r>
        <w:r w:rsidR="00691FFC">
          <w:rPr>
            <w:rStyle w:val="Hyperlink"/>
            <w:rFonts w:hint="cs"/>
            <w:rtl/>
          </w:rPr>
          <w:t xml:space="preserve"> </w:t>
        </w:r>
        <w:r w:rsidR="00AD0AE5" w:rsidRPr="00282605">
          <w:rPr>
            <w:rStyle w:val="Hyperlink"/>
            <w:rFonts w:hint="eastAsia"/>
            <w:rtl/>
          </w:rPr>
          <w:t>قبض</w:t>
        </w:r>
        <w:r w:rsidR="00691FFC">
          <w:rPr>
            <w:rStyle w:val="Hyperlink"/>
            <w:rFonts w:hint="cs"/>
            <w:rtl/>
          </w:rPr>
          <w:t xml:space="preserve"> </w:t>
        </w:r>
        <w:r w:rsidR="00AD0AE5" w:rsidRPr="00282605">
          <w:rPr>
            <w:rStyle w:val="Hyperlink"/>
            <w:rFonts w:hint="eastAsia"/>
            <w:rtl/>
          </w:rPr>
          <w:t>الشيء</w:t>
        </w:r>
        <w:r w:rsidR="00691FFC">
          <w:rPr>
            <w:rStyle w:val="Hyperlink"/>
            <w:rFonts w:hint="cs"/>
            <w:rtl/>
          </w:rPr>
          <w:t xml:space="preserve"> </w:t>
        </w:r>
        <w:r w:rsidR="00AD0AE5" w:rsidRPr="00282605">
          <w:rPr>
            <w:rStyle w:val="Hyperlink"/>
            <w:rFonts w:hint="eastAsia"/>
            <w:rtl/>
          </w:rPr>
          <w:t>لحظ</w:t>
        </w:r>
        <w:r w:rsidR="00691FFC">
          <w:rPr>
            <w:rStyle w:val="Hyperlink"/>
            <w:rFonts w:hint="cs"/>
            <w:rtl/>
          </w:rPr>
          <w:t xml:space="preserve"> </w:t>
        </w:r>
        <w:r w:rsidR="00AD0AE5" w:rsidRPr="00282605">
          <w:rPr>
            <w:rStyle w:val="Hyperlink"/>
            <w:rFonts w:hint="eastAsia"/>
            <w:rtl/>
          </w:rPr>
          <w:t>نفسه</w:t>
        </w:r>
        <w:r w:rsidR="00691FFC">
          <w:rPr>
            <w:rStyle w:val="Hyperlink"/>
            <w:rFonts w:hint="cs"/>
            <w:rtl/>
          </w:rPr>
          <w:t xml:space="preserve"> </w:t>
        </w:r>
        <w:r w:rsidR="00AD0AE5" w:rsidRPr="00282605">
          <w:rPr>
            <w:rStyle w:val="Hyperlink"/>
            <w:rFonts w:hint="eastAsia"/>
            <w:rtl/>
          </w:rPr>
          <w:t>لم</w:t>
        </w:r>
        <w:r w:rsidR="00691FFC">
          <w:rPr>
            <w:rStyle w:val="Hyperlink"/>
            <w:rFonts w:hint="cs"/>
            <w:rtl/>
          </w:rPr>
          <w:t xml:space="preserve"> </w:t>
        </w:r>
        <w:r w:rsidR="00AD0AE5" w:rsidRPr="00282605">
          <w:rPr>
            <w:rStyle w:val="Hyperlink"/>
            <w:rFonts w:hint="eastAsia"/>
            <w:rtl/>
          </w:rPr>
          <w:t>يقبل</w:t>
        </w:r>
        <w:r w:rsidR="00691FFC">
          <w:rPr>
            <w:rStyle w:val="Hyperlink"/>
            <w:rFonts w:hint="cs"/>
            <w:rtl/>
          </w:rPr>
          <w:t xml:space="preserve"> </w:t>
        </w:r>
        <w:r w:rsidR="00AD0AE5" w:rsidRPr="00282605">
          <w:rPr>
            <w:rStyle w:val="Hyperlink"/>
            <w:rFonts w:hint="eastAsia"/>
            <w:rtl/>
          </w:rPr>
          <w:t>قوله</w:t>
        </w:r>
        <w:r w:rsidR="00691FFC">
          <w:rPr>
            <w:rStyle w:val="Hyperlink"/>
            <w:rFonts w:hint="cs"/>
            <w:rtl/>
          </w:rPr>
          <w:t xml:space="preserve"> </w:t>
        </w:r>
        <w:r w:rsidR="00AD0AE5" w:rsidRPr="00282605">
          <w:rPr>
            <w:rStyle w:val="Hyperlink"/>
            <w:rFonts w:hint="eastAsia"/>
            <w:rtl/>
          </w:rPr>
          <w:t>في</w:t>
        </w:r>
        <w:r w:rsidR="00691FFC">
          <w:rPr>
            <w:rStyle w:val="Hyperlink"/>
            <w:rFonts w:hint="cs"/>
            <w:rtl/>
          </w:rPr>
          <w:t xml:space="preserve"> </w:t>
        </w:r>
        <w:r w:rsidR="00AD0AE5" w:rsidRPr="00282605">
          <w:rPr>
            <w:rStyle w:val="Hyperlink"/>
            <w:rFonts w:hint="eastAsia"/>
            <w:rtl/>
          </w:rPr>
          <w:t>الرد،ومن</w:t>
        </w:r>
        <w:r w:rsidR="00691FFC">
          <w:rPr>
            <w:rStyle w:val="Hyperlink"/>
            <w:rFonts w:hint="cs"/>
            <w:rtl/>
          </w:rPr>
          <w:t xml:space="preserve"> </w:t>
        </w:r>
        <w:r w:rsidR="00AD0AE5" w:rsidRPr="00282605">
          <w:rPr>
            <w:rStyle w:val="Hyperlink"/>
            <w:rFonts w:hint="eastAsia"/>
            <w:rtl/>
          </w:rPr>
          <w:t>قبضه</w:t>
        </w:r>
        <w:r w:rsidR="00AD0AE5">
          <w:rPr>
            <w:webHidden/>
            <w:rtl/>
          </w:rPr>
          <w:tab/>
        </w:r>
        <w:r w:rsidR="00B96668">
          <w:rPr>
            <w:webHidden/>
          </w:rPr>
          <w:t>421</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53"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B96668">
          <w:rPr>
            <w:webHidden/>
          </w:rPr>
          <w:t>421</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54"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422</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55"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422</w:t>
        </w:r>
      </w:hyperlink>
    </w:p>
    <w:p w:rsidR="00AD0AE5" w:rsidRDefault="00AB0B9E" w:rsidP="00B96668">
      <w:pPr>
        <w:pStyle w:val="40"/>
      </w:pPr>
      <w:hyperlink w:anchor="_Toc334046556"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423</w:t>
        </w:r>
      </w:hyperlink>
    </w:p>
    <w:p w:rsidR="00AD0AE5" w:rsidRDefault="00AB0B9E" w:rsidP="00B96668">
      <w:pPr>
        <w:pStyle w:val="30"/>
        <w:rPr>
          <w:rFonts w:asciiTheme="minorHAnsi" w:eastAsiaTheme="minorEastAsia" w:hAnsiTheme="minorHAnsi" w:cstheme="minorBidi"/>
          <w:b w:val="0"/>
          <w:bCs w:val="0"/>
          <w:color w:val="auto"/>
          <w:sz w:val="22"/>
          <w:szCs w:val="22"/>
          <w:rtl/>
          <w:lang w:val="fr-FR" w:eastAsia="fr-FR"/>
        </w:rPr>
      </w:pPr>
      <w:hyperlink w:anchor="_Toc334046557" w:history="1">
        <w:r w:rsidR="00AD0AE5" w:rsidRPr="00282605">
          <w:rPr>
            <w:rStyle w:val="Hyperlink"/>
            <w:rFonts w:ascii="Traditional Arabic" w:hAnsi="Traditional Arabic" w:hint="eastAsia"/>
            <w:rtl/>
          </w:rPr>
          <w:t>المبحث</w:t>
        </w:r>
        <w:r w:rsidR="00691FFC">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الرابع</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AD0AE5" w:rsidRPr="00282605">
          <w:rPr>
            <w:rStyle w:val="Hyperlink"/>
            <w:rtl/>
          </w:rPr>
          <w:t>"</w:t>
        </w:r>
        <w:r w:rsidR="00AD0AE5" w:rsidRPr="00282605">
          <w:rPr>
            <w:rStyle w:val="Hyperlink"/>
            <w:rFonts w:hint="eastAsia"/>
            <w:rtl/>
          </w:rPr>
          <w:t>البينة</w:t>
        </w:r>
        <w:r w:rsidR="00691FFC">
          <w:rPr>
            <w:rStyle w:val="Hyperlink"/>
            <w:rFonts w:hint="cs"/>
            <w:rtl/>
          </w:rPr>
          <w:t xml:space="preserve"> </w:t>
        </w:r>
        <w:r w:rsidR="00AD0AE5" w:rsidRPr="00282605">
          <w:rPr>
            <w:rStyle w:val="Hyperlink"/>
            <w:rFonts w:hint="eastAsia"/>
            <w:rtl/>
          </w:rPr>
          <w:t>على</w:t>
        </w:r>
        <w:r w:rsidR="00691FFC">
          <w:rPr>
            <w:rStyle w:val="Hyperlink"/>
            <w:rFonts w:hint="cs"/>
            <w:rtl/>
          </w:rPr>
          <w:t xml:space="preserve"> </w:t>
        </w:r>
        <w:r w:rsidR="00AD0AE5" w:rsidRPr="00282605">
          <w:rPr>
            <w:rStyle w:val="Hyperlink"/>
            <w:rFonts w:hint="eastAsia"/>
            <w:rtl/>
          </w:rPr>
          <w:t>المدعي</w:t>
        </w:r>
        <w:r w:rsidR="00691FFC">
          <w:rPr>
            <w:rStyle w:val="Hyperlink"/>
            <w:rFonts w:hint="cs"/>
            <w:rtl/>
          </w:rPr>
          <w:t xml:space="preserve"> </w:t>
        </w:r>
        <w:r w:rsidR="00AD0AE5" w:rsidRPr="00282605">
          <w:rPr>
            <w:rStyle w:val="Hyperlink"/>
            <w:rFonts w:hint="eastAsia"/>
            <w:rtl/>
          </w:rPr>
          <w:t>واليمين</w:t>
        </w:r>
        <w:r w:rsidR="00691FFC">
          <w:rPr>
            <w:rStyle w:val="Hyperlink"/>
            <w:rFonts w:hint="cs"/>
            <w:rtl/>
          </w:rPr>
          <w:t xml:space="preserve"> </w:t>
        </w:r>
        <w:r w:rsidR="00AD0AE5" w:rsidRPr="00282605">
          <w:rPr>
            <w:rStyle w:val="Hyperlink"/>
            <w:rFonts w:hint="eastAsia"/>
            <w:rtl/>
          </w:rPr>
          <w:t>على</w:t>
        </w:r>
        <w:r w:rsidR="00691FFC">
          <w:rPr>
            <w:rStyle w:val="Hyperlink"/>
            <w:rFonts w:hint="cs"/>
            <w:rtl/>
          </w:rPr>
          <w:t xml:space="preserve"> </w:t>
        </w:r>
        <w:r w:rsidR="00AD0AE5" w:rsidRPr="00282605">
          <w:rPr>
            <w:rStyle w:val="Hyperlink"/>
            <w:rFonts w:hint="eastAsia"/>
            <w:rtl/>
          </w:rPr>
          <w:t>من</w:t>
        </w:r>
        <w:r w:rsidR="00691FFC">
          <w:rPr>
            <w:rStyle w:val="Hyperlink"/>
            <w:rFonts w:hint="cs"/>
            <w:rtl/>
          </w:rPr>
          <w:t xml:space="preserve"> </w:t>
        </w:r>
        <w:r w:rsidR="00AD0AE5" w:rsidRPr="00282605">
          <w:rPr>
            <w:rStyle w:val="Hyperlink"/>
            <w:rFonts w:hint="eastAsia"/>
            <w:rtl/>
          </w:rPr>
          <w:t>أنكر</w:t>
        </w:r>
        <w:r w:rsidR="00AD0AE5" w:rsidRPr="00282605">
          <w:rPr>
            <w:rStyle w:val="Hyperlink"/>
            <w:rtl/>
          </w:rPr>
          <w:t>"</w:t>
        </w:r>
        <w:r w:rsidR="00AD0AE5">
          <w:rPr>
            <w:webHidden/>
            <w:rtl/>
          </w:rPr>
          <w:tab/>
        </w:r>
        <w:r w:rsidR="00B96668">
          <w:rPr>
            <w:webHidden/>
          </w:rPr>
          <w:t>425</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58"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B96668">
          <w:rPr>
            <w:webHidden/>
          </w:rPr>
          <w:t>425</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59"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425</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60"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428</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61"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428</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62"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430</w:t>
        </w:r>
      </w:hyperlink>
    </w:p>
    <w:p w:rsidR="00AD0AE5" w:rsidRDefault="00AB0B9E" w:rsidP="00B96668">
      <w:pPr>
        <w:pStyle w:val="30"/>
        <w:rPr>
          <w:rFonts w:asciiTheme="minorHAnsi" w:eastAsiaTheme="minorEastAsia" w:hAnsiTheme="minorHAnsi" w:cstheme="minorBidi"/>
          <w:b w:val="0"/>
          <w:bCs w:val="0"/>
          <w:color w:val="auto"/>
          <w:sz w:val="22"/>
          <w:szCs w:val="22"/>
          <w:rtl/>
          <w:lang w:val="fr-FR" w:eastAsia="fr-FR"/>
        </w:rPr>
      </w:pPr>
      <w:hyperlink w:anchor="_Toc334046563" w:history="1">
        <w:r w:rsidR="00AD0AE5" w:rsidRPr="00282605">
          <w:rPr>
            <w:rStyle w:val="Hyperlink"/>
            <w:rFonts w:ascii="Traditional Arabic" w:hAnsi="Traditional Arabic" w:hint="eastAsia"/>
            <w:rtl/>
          </w:rPr>
          <w:t>المبحث</w:t>
        </w:r>
        <w:r w:rsidR="00691FFC">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الخامس</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AD0AE5" w:rsidRPr="00282605">
          <w:rPr>
            <w:rStyle w:val="Hyperlink"/>
            <w:rtl/>
          </w:rPr>
          <w:t>"</w:t>
        </w:r>
        <w:r w:rsidR="00AD0AE5" w:rsidRPr="00282605">
          <w:rPr>
            <w:rStyle w:val="Hyperlink"/>
            <w:rFonts w:hint="eastAsia"/>
            <w:rtl/>
          </w:rPr>
          <w:t>قرائن</w:t>
        </w:r>
        <w:r w:rsidR="00691FFC">
          <w:rPr>
            <w:rStyle w:val="Hyperlink"/>
            <w:rFonts w:hint="cs"/>
            <w:rtl/>
          </w:rPr>
          <w:t xml:space="preserve"> </w:t>
        </w:r>
        <w:r w:rsidR="00AD0AE5" w:rsidRPr="00282605">
          <w:rPr>
            <w:rStyle w:val="Hyperlink"/>
            <w:rFonts w:hint="eastAsia"/>
            <w:rtl/>
          </w:rPr>
          <w:t>الأحوال</w:t>
        </w:r>
        <w:r w:rsidR="00691FFC">
          <w:rPr>
            <w:rStyle w:val="Hyperlink"/>
            <w:rFonts w:hint="cs"/>
            <w:rtl/>
          </w:rPr>
          <w:t xml:space="preserve"> </w:t>
        </w:r>
        <w:r w:rsidR="00AD0AE5" w:rsidRPr="00282605">
          <w:rPr>
            <w:rStyle w:val="Hyperlink"/>
            <w:rFonts w:hint="eastAsia"/>
            <w:rtl/>
          </w:rPr>
          <w:t>شواهد</w:t>
        </w:r>
        <w:r w:rsidR="00691FFC">
          <w:rPr>
            <w:rStyle w:val="Hyperlink"/>
            <w:rFonts w:hint="cs"/>
            <w:rtl/>
          </w:rPr>
          <w:t xml:space="preserve"> </w:t>
        </w:r>
        <w:r w:rsidR="00AD0AE5" w:rsidRPr="00282605">
          <w:rPr>
            <w:rStyle w:val="Hyperlink"/>
            <w:rFonts w:hint="eastAsia"/>
            <w:rtl/>
          </w:rPr>
          <w:t>بمنزلة</w:t>
        </w:r>
        <w:r w:rsidR="00691FFC">
          <w:rPr>
            <w:rStyle w:val="Hyperlink"/>
            <w:rFonts w:hint="cs"/>
            <w:rtl/>
          </w:rPr>
          <w:t xml:space="preserve"> </w:t>
        </w:r>
        <w:r w:rsidR="00AD0AE5" w:rsidRPr="00282605">
          <w:rPr>
            <w:rStyle w:val="Hyperlink"/>
            <w:rFonts w:hint="eastAsia"/>
            <w:rtl/>
          </w:rPr>
          <w:t>البينة</w:t>
        </w:r>
        <w:r w:rsidR="00AD0AE5" w:rsidRPr="00282605">
          <w:rPr>
            <w:rStyle w:val="Hyperlink"/>
            <w:rtl/>
          </w:rPr>
          <w:t>"</w:t>
        </w:r>
        <w:r w:rsidR="00AD0AE5">
          <w:rPr>
            <w:webHidden/>
            <w:rtl/>
          </w:rPr>
          <w:tab/>
        </w:r>
        <w:r w:rsidR="00B96668">
          <w:rPr>
            <w:webHidden/>
          </w:rPr>
          <w:t>432</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64"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B96668">
          <w:rPr>
            <w:webHidden/>
          </w:rPr>
          <w:t>432</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65"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B96668">
          <w:rPr>
            <w:webHidden/>
          </w:rPr>
          <w:t>433</w:t>
        </w:r>
      </w:hyperlink>
    </w:p>
    <w:p w:rsidR="00AD0AE5" w:rsidRDefault="00AB0B9E" w:rsidP="00B96668">
      <w:pPr>
        <w:pStyle w:val="40"/>
        <w:rPr>
          <w:rFonts w:asciiTheme="minorHAnsi" w:eastAsiaTheme="minorEastAsia" w:hAnsiTheme="minorHAnsi" w:cstheme="minorBidi"/>
          <w:color w:val="auto"/>
          <w:sz w:val="22"/>
          <w:szCs w:val="22"/>
          <w:rtl/>
          <w:lang w:val="fr-FR" w:eastAsia="fr-FR"/>
        </w:rPr>
      </w:pPr>
      <w:hyperlink w:anchor="_Toc334046566"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434</w:t>
        </w:r>
      </w:hyperlink>
    </w:p>
    <w:p w:rsidR="00AD0AE5" w:rsidRDefault="00AB0B9E" w:rsidP="0010464B">
      <w:pPr>
        <w:pStyle w:val="40"/>
      </w:pPr>
      <w:hyperlink w:anchor="_Toc334046567"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435</w:t>
        </w:r>
      </w:hyperlink>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568" w:history="1">
        <w:r w:rsidR="00AD0AE5" w:rsidRPr="00282605">
          <w:rPr>
            <w:rStyle w:val="Hyperlink"/>
            <w:rFonts w:hint="eastAsia"/>
            <w:rtl/>
          </w:rPr>
          <w:t>المبحث</w:t>
        </w:r>
        <w:r w:rsidR="00691FFC">
          <w:rPr>
            <w:rStyle w:val="Hyperlink"/>
            <w:rFonts w:hint="cs"/>
            <w:rtl/>
          </w:rPr>
          <w:t xml:space="preserve"> </w:t>
        </w:r>
        <w:r w:rsidR="00AD0AE5" w:rsidRPr="00282605">
          <w:rPr>
            <w:rStyle w:val="Hyperlink"/>
            <w:rFonts w:hint="eastAsia"/>
            <w:rtl/>
          </w:rPr>
          <w:t>السادس</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كل</w:t>
        </w:r>
        <w:r w:rsidR="00691FFC">
          <w:rPr>
            <w:rStyle w:val="Hyperlink"/>
            <w:rFonts w:hint="cs"/>
            <w:rtl/>
          </w:rPr>
          <w:t xml:space="preserve"> </w:t>
        </w:r>
        <w:r w:rsidR="00AD0AE5" w:rsidRPr="00282605">
          <w:rPr>
            <w:rStyle w:val="Hyperlink"/>
            <w:rFonts w:hint="eastAsia"/>
            <w:rtl/>
          </w:rPr>
          <w:t>ما</w:t>
        </w:r>
        <w:r w:rsidR="00691FFC">
          <w:rPr>
            <w:rStyle w:val="Hyperlink"/>
            <w:rFonts w:hint="cs"/>
            <w:rtl/>
          </w:rPr>
          <w:t xml:space="preserve"> </w:t>
        </w:r>
        <w:r w:rsidR="00AD0AE5" w:rsidRPr="00282605">
          <w:rPr>
            <w:rStyle w:val="Hyperlink"/>
            <w:rFonts w:hint="eastAsia"/>
            <w:rtl/>
          </w:rPr>
          <w:t>أوجب</w:t>
        </w:r>
        <w:r w:rsidR="00691FFC">
          <w:rPr>
            <w:rStyle w:val="Hyperlink"/>
            <w:rFonts w:hint="cs"/>
            <w:rtl/>
          </w:rPr>
          <w:t xml:space="preserve"> </w:t>
        </w:r>
        <w:r w:rsidR="00AD0AE5" w:rsidRPr="00282605">
          <w:rPr>
            <w:rStyle w:val="Hyperlink"/>
            <w:rFonts w:hint="eastAsia"/>
            <w:rtl/>
          </w:rPr>
          <w:t>العداوة</w:t>
        </w:r>
        <w:r w:rsidR="00691FFC">
          <w:rPr>
            <w:rStyle w:val="Hyperlink"/>
            <w:rFonts w:hint="cs"/>
            <w:rtl/>
          </w:rPr>
          <w:t xml:space="preserve"> </w:t>
        </w:r>
        <w:r w:rsidR="00AD0AE5" w:rsidRPr="00282605">
          <w:rPr>
            <w:rStyle w:val="Hyperlink"/>
            <w:rFonts w:hint="eastAsia"/>
            <w:rtl/>
          </w:rPr>
          <w:t>والبغضاء</w:t>
        </w:r>
        <w:r w:rsidR="00691FFC">
          <w:rPr>
            <w:rStyle w:val="Hyperlink"/>
            <w:rFonts w:hint="cs"/>
            <w:rtl/>
          </w:rPr>
          <w:t xml:space="preserve"> </w:t>
        </w:r>
        <w:r w:rsidR="00AD0AE5" w:rsidRPr="00282605">
          <w:rPr>
            <w:rStyle w:val="Hyperlink"/>
            <w:rFonts w:hint="eastAsia"/>
            <w:rtl/>
          </w:rPr>
          <w:t>بين</w:t>
        </w:r>
        <w:r w:rsidR="00691FFC">
          <w:rPr>
            <w:rStyle w:val="Hyperlink"/>
            <w:rFonts w:hint="cs"/>
            <w:rtl/>
          </w:rPr>
          <w:t xml:space="preserve"> </w:t>
        </w:r>
        <w:r w:rsidR="00AD0AE5" w:rsidRPr="00282605">
          <w:rPr>
            <w:rStyle w:val="Hyperlink"/>
            <w:rFonts w:hint="eastAsia"/>
            <w:rtl/>
          </w:rPr>
          <w:t>المسلمين</w:t>
        </w:r>
        <w:r w:rsidR="00691FFC">
          <w:rPr>
            <w:rStyle w:val="Hyperlink"/>
            <w:rFonts w:hint="cs"/>
            <w:rtl/>
          </w:rPr>
          <w:t xml:space="preserve"> </w:t>
        </w:r>
        <w:r w:rsidR="00AD0AE5" w:rsidRPr="00282605">
          <w:rPr>
            <w:rStyle w:val="Hyperlink"/>
            <w:rFonts w:hint="eastAsia"/>
            <w:rtl/>
          </w:rPr>
          <w:t>فإنه</w:t>
        </w:r>
        <w:r w:rsidR="00691FFC">
          <w:rPr>
            <w:rStyle w:val="Hyperlink"/>
            <w:rFonts w:hint="cs"/>
            <w:rtl/>
          </w:rPr>
          <w:t xml:space="preserve"> </w:t>
        </w:r>
        <w:r w:rsidR="00AD0AE5" w:rsidRPr="00282605">
          <w:rPr>
            <w:rStyle w:val="Hyperlink"/>
            <w:rFonts w:hint="eastAsia"/>
            <w:rtl/>
          </w:rPr>
          <w:t>محرم</w:t>
        </w:r>
        <w:r w:rsidR="00AD0AE5" w:rsidRPr="00282605">
          <w:rPr>
            <w:rStyle w:val="Hyperlink"/>
            <w:rtl/>
          </w:rPr>
          <w:t>"</w:t>
        </w:r>
        <w:r w:rsidR="00AD0AE5">
          <w:rPr>
            <w:webHidden/>
            <w:rtl/>
          </w:rPr>
          <w:tab/>
        </w:r>
        <w:r w:rsidR="0010464B">
          <w:rPr>
            <w:webHidden/>
          </w:rPr>
          <w:t>438</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69"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10464B">
          <w:rPr>
            <w:webHidden/>
          </w:rPr>
          <w:t>438</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70"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439</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71"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439</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72"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442</w:t>
        </w:r>
      </w:hyperlink>
    </w:p>
    <w:p w:rsidR="00AD0AE5" w:rsidRDefault="00AB0B9E" w:rsidP="0010464B">
      <w:pPr>
        <w:pStyle w:val="20"/>
        <w:rPr>
          <w:rFonts w:asciiTheme="minorHAnsi" w:eastAsiaTheme="minorEastAsia" w:hAnsiTheme="minorHAnsi" w:cstheme="minorBidi"/>
          <w:bCs w:val="0"/>
          <w:color w:val="auto"/>
          <w:sz w:val="22"/>
          <w:szCs w:val="22"/>
          <w:rtl/>
          <w:lang w:val="fr-FR" w:eastAsia="fr-FR"/>
        </w:rPr>
      </w:pPr>
      <w:hyperlink w:anchor="_Toc334046573" w:history="1">
        <w:r w:rsidR="00AD0AE5" w:rsidRPr="00282605">
          <w:rPr>
            <w:rStyle w:val="Hyperlink"/>
            <w:rFonts w:hint="eastAsia"/>
            <w:rtl/>
          </w:rPr>
          <w:t>الفصل</w:t>
        </w:r>
        <w:r w:rsidR="002F0855">
          <w:rPr>
            <w:rStyle w:val="Hyperlink"/>
            <w:rFonts w:hint="cs"/>
            <w:rtl/>
          </w:rPr>
          <w:t xml:space="preserve"> </w:t>
        </w:r>
        <w:r w:rsidR="00AD0AE5" w:rsidRPr="00282605">
          <w:rPr>
            <w:rStyle w:val="Hyperlink"/>
            <w:rFonts w:hint="eastAsia"/>
            <w:rtl/>
          </w:rPr>
          <w:t>الحادي</w:t>
        </w:r>
        <w:r w:rsidR="002F0855">
          <w:rPr>
            <w:rStyle w:val="Hyperlink"/>
            <w:rFonts w:hint="cs"/>
            <w:rtl/>
          </w:rPr>
          <w:t xml:space="preserve"> </w:t>
        </w:r>
        <w:r w:rsidR="00AD0AE5" w:rsidRPr="00282605">
          <w:rPr>
            <w:rStyle w:val="Hyperlink"/>
            <w:rFonts w:hint="eastAsia"/>
            <w:rtl/>
          </w:rPr>
          <w:t>عشر</w:t>
        </w:r>
        <w:r w:rsidR="00AD0AE5" w:rsidRPr="00282605">
          <w:rPr>
            <w:rStyle w:val="Hyperlink"/>
            <w:rtl/>
          </w:rPr>
          <w:t xml:space="preserve"> : </w:t>
        </w:r>
        <w:r w:rsidR="00AD0AE5" w:rsidRPr="00282605">
          <w:rPr>
            <w:rStyle w:val="Hyperlink"/>
            <w:rFonts w:hint="eastAsia"/>
            <w:rtl/>
          </w:rPr>
          <w:t>قواعد</w:t>
        </w:r>
        <w:r w:rsidR="002F0855">
          <w:rPr>
            <w:rStyle w:val="Hyperlink"/>
            <w:rFonts w:hint="cs"/>
            <w:rtl/>
          </w:rPr>
          <w:t xml:space="preserve"> </w:t>
        </w:r>
        <w:r w:rsidR="00AD0AE5" w:rsidRPr="00282605">
          <w:rPr>
            <w:rStyle w:val="Hyperlink"/>
            <w:rFonts w:hint="eastAsia"/>
            <w:rtl/>
          </w:rPr>
          <w:t>متفرقة</w:t>
        </w:r>
        <w:r w:rsidR="00AD0AE5">
          <w:rPr>
            <w:webHidden/>
            <w:rtl/>
          </w:rPr>
          <w:tab/>
        </w:r>
        <w:r w:rsidR="0010464B">
          <w:rPr>
            <w:webHidden/>
          </w:rPr>
          <w:t>444</w:t>
        </w:r>
      </w:hyperlink>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574" w:history="1">
        <w:r w:rsidR="00AD0AE5" w:rsidRPr="00282605">
          <w:rPr>
            <w:rStyle w:val="Hyperlink"/>
            <w:rFonts w:hint="eastAsia"/>
            <w:rtl/>
          </w:rPr>
          <w:t>المبحث</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الأحكام</w:t>
        </w:r>
        <w:r w:rsidR="002F0855">
          <w:rPr>
            <w:rStyle w:val="Hyperlink"/>
            <w:rFonts w:hint="cs"/>
            <w:rtl/>
          </w:rPr>
          <w:t xml:space="preserve"> </w:t>
        </w:r>
        <w:r w:rsidR="00AD0AE5" w:rsidRPr="00282605">
          <w:rPr>
            <w:rStyle w:val="Hyperlink"/>
            <w:rFonts w:hint="eastAsia"/>
            <w:rtl/>
          </w:rPr>
          <w:t>قد</w:t>
        </w:r>
        <w:r w:rsidR="00691FFC">
          <w:rPr>
            <w:rStyle w:val="Hyperlink"/>
            <w:rFonts w:hint="cs"/>
            <w:rtl/>
          </w:rPr>
          <w:t xml:space="preserve"> </w:t>
        </w:r>
        <w:r w:rsidR="00AD0AE5" w:rsidRPr="00282605">
          <w:rPr>
            <w:rStyle w:val="Hyperlink"/>
            <w:rFonts w:hint="eastAsia"/>
            <w:rtl/>
          </w:rPr>
          <w:t>تتبعض</w:t>
        </w:r>
        <w:r w:rsidR="00AD0AE5" w:rsidRPr="00282605">
          <w:rPr>
            <w:rStyle w:val="Hyperlink"/>
            <w:rtl/>
          </w:rPr>
          <w:t>"</w:t>
        </w:r>
        <w:r w:rsidR="00AD0AE5">
          <w:rPr>
            <w:webHidden/>
            <w:rtl/>
          </w:rPr>
          <w:tab/>
        </w:r>
        <w:r w:rsidR="0010464B">
          <w:rPr>
            <w:webHidden/>
          </w:rPr>
          <w:t>445</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75"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10464B">
          <w:rPr>
            <w:webHidden/>
          </w:rPr>
          <w:t>445</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76"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446</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77"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447</w:t>
        </w:r>
      </w:hyperlink>
    </w:p>
    <w:p w:rsidR="00AD0AE5" w:rsidRDefault="00AB0B9E" w:rsidP="0010464B">
      <w:pPr>
        <w:pStyle w:val="40"/>
      </w:pPr>
      <w:hyperlink w:anchor="_Toc334046578"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449</w:t>
        </w:r>
      </w:hyperlink>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579" w:history="1">
        <w:r w:rsidR="00AD0AE5" w:rsidRPr="00282605">
          <w:rPr>
            <w:rStyle w:val="Hyperlink"/>
            <w:rFonts w:hint="eastAsia"/>
            <w:rtl/>
          </w:rPr>
          <w:t>المبحث</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الاحتياط</w:t>
        </w:r>
        <w:r w:rsidR="00AD0AE5" w:rsidRPr="00282605">
          <w:rPr>
            <w:rStyle w:val="Hyperlink"/>
            <w:rtl/>
          </w:rPr>
          <w:t>"</w:t>
        </w:r>
        <w:r w:rsidR="00AD0AE5">
          <w:rPr>
            <w:webHidden/>
            <w:rtl/>
          </w:rPr>
          <w:tab/>
        </w:r>
        <w:r w:rsidR="0010464B">
          <w:rPr>
            <w:webHidden/>
          </w:rPr>
          <w:t>451</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80"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10464B">
          <w:rPr>
            <w:webHidden/>
          </w:rPr>
          <w:t>451</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81"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452</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82"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454</w:t>
        </w:r>
      </w:hyperlink>
    </w:p>
    <w:p w:rsidR="002F0855" w:rsidRPr="0010464B" w:rsidRDefault="00AB0B9E" w:rsidP="0010464B">
      <w:pPr>
        <w:pStyle w:val="40"/>
        <w:rPr>
          <w:rFonts w:asciiTheme="minorHAnsi" w:eastAsiaTheme="minorEastAsia" w:hAnsiTheme="minorHAnsi" w:cstheme="minorBidi"/>
          <w:color w:val="auto"/>
          <w:sz w:val="22"/>
          <w:szCs w:val="22"/>
          <w:rtl/>
          <w:lang w:val="fr-FR" w:eastAsia="fr-FR"/>
        </w:rPr>
      </w:pPr>
      <w:hyperlink w:anchor="_Toc334046583"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456</w:t>
        </w:r>
      </w:hyperlink>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584" w:history="1">
        <w:r w:rsidR="00AD0AE5" w:rsidRPr="00282605">
          <w:rPr>
            <w:rStyle w:val="Hyperlink"/>
            <w:rFonts w:ascii="Traditional Arabic" w:hAnsi="Traditional Arabic" w:hint="eastAsia"/>
            <w:rtl/>
          </w:rPr>
          <w:t>المبحث</w:t>
        </w:r>
        <w:r w:rsidR="00691FFC">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الثالث</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AD0AE5" w:rsidRPr="00282605">
          <w:rPr>
            <w:rStyle w:val="Hyperlink"/>
            <w:rtl/>
          </w:rPr>
          <w:t>"</w:t>
        </w:r>
        <w:r w:rsidR="00AD0AE5" w:rsidRPr="00282605">
          <w:rPr>
            <w:rStyle w:val="Hyperlink"/>
            <w:rFonts w:hint="eastAsia"/>
            <w:rtl/>
          </w:rPr>
          <w:t>مدار</w:t>
        </w:r>
        <w:r w:rsidR="00691FFC">
          <w:rPr>
            <w:rStyle w:val="Hyperlink"/>
            <w:rFonts w:hint="cs"/>
            <w:rtl/>
          </w:rPr>
          <w:t xml:space="preserve"> </w:t>
        </w:r>
        <w:r w:rsidR="00AD0AE5" w:rsidRPr="00282605">
          <w:rPr>
            <w:rStyle w:val="Hyperlink"/>
            <w:rFonts w:hint="eastAsia"/>
            <w:rtl/>
          </w:rPr>
          <w:t>المعاملات</w:t>
        </w:r>
        <w:r w:rsidR="00691FFC">
          <w:rPr>
            <w:rStyle w:val="Hyperlink"/>
            <w:rFonts w:hint="cs"/>
            <w:rtl/>
          </w:rPr>
          <w:t xml:space="preserve"> </w:t>
        </w:r>
        <w:r w:rsidR="00AD0AE5" w:rsidRPr="00282605">
          <w:rPr>
            <w:rStyle w:val="Hyperlink"/>
            <w:rFonts w:hint="eastAsia"/>
            <w:rtl/>
          </w:rPr>
          <w:t>المحرمة</w:t>
        </w:r>
        <w:r w:rsidR="00691FFC">
          <w:rPr>
            <w:rStyle w:val="Hyperlink"/>
            <w:rFonts w:hint="cs"/>
            <w:rtl/>
          </w:rPr>
          <w:t xml:space="preserve"> </w:t>
        </w:r>
        <w:r w:rsidR="00AD0AE5" w:rsidRPr="00282605">
          <w:rPr>
            <w:rStyle w:val="Hyperlink"/>
            <w:rFonts w:hint="eastAsia"/>
            <w:rtl/>
          </w:rPr>
          <w:t>على</w:t>
        </w:r>
        <w:r w:rsidR="00691FFC">
          <w:rPr>
            <w:rStyle w:val="Hyperlink"/>
            <w:rFonts w:hint="cs"/>
            <w:rtl/>
          </w:rPr>
          <w:t xml:space="preserve"> </w:t>
        </w:r>
        <w:r w:rsidR="00AD0AE5" w:rsidRPr="00282605">
          <w:rPr>
            <w:rStyle w:val="Hyperlink"/>
            <w:rFonts w:hint="eastAsia"/>
            <w:rtl/>
          </w:rPr>
          <w:t>الربا</w:t>
        </w:r>
        <w:r w:rsidR="00691FFC">
          <w:rPr>
            <w:rStyle w:val="Hyperlink"/>
            <w:rFonts w:hint="cs"/>
            <w:rtl/>
          </w:rPr>
          <w:t xml:space="preserve"> </w:t>
        </w:r>
        <w:r w:rsidR="00AD0AE5" w:rsidRPr="00282605">
          <w:rPr>
            <w:rStyle w:val="Hyperlink"/>
            <w:rFonts w:hint="eastAsia"/>
            <w:rtl/>
          </w:rPr>
          <w:t>والظلم</w:t>
        </w:r>
        <w:r w:rsidR="00691FFC">
          <w:rPr>
            <w:rStyle w:val="Hyperlink"/>
            <w:rFonts w:hint="cs"/>
            <w:rtl/>
          </w:rPr>
          <w:t xml:space="preserve"> </w:t>
        </w:r>
        <w:r w:rsidR="00AD0AE5" w:rsidRPr="00282605">
          <w:rPr>
            <w:rStyle w:val="Hyperlink"/>
            <w:rFonts w:hint="eastAsia"/>
            <w:rtl/>
          </w:rPr>
          <w:t>والغرر</w:t>
        </w:r>
        <w:r w:rsidR="00AD0AE5" w:rsidRPr="00282605">
          <w:rPr>
            <w:rStyle w:val="Hyperlink"/>
            <w:rtl/>
          </w:rPr>
          <w:t>"</w:t>
        </w:r>
        <w:r w:rsidR="00AD0AE5">
          <w:rPr>
            <w:webHidden/>
            <w:rtl/>
          </w:rPr>
          <w:tab/>
        </w:r>
        <w:r w:rsidR="0010464B">
          <w:rPr>
            <w:webHidden/>
          </w:rPr>
          <w:t>459</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85"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10464B">
          <w:rPr>
            <w:webHidden/>
          </w:rPr>
          <w:t>459</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86"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460</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87"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464</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88" w:history="1">
        <w:r w:rsidR="00AD0AE5" w:rsidRPr="00282605">
          <w:rPr>
            <w:rStyle w:val="Hyperlink"/>
            <w:rFonts w:hint="eastAsia"/>
            <w:rtl/>
            <w:lang w:eastAsia="en-US"/>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lang w:eastAsia="en-US"/>
          </w:rPr>
          <w:t>تطبيقات</w:t>
        </w:r>
        <w:r w:rsidR="00691FFC">
          <w:rPr>
            <w:rStyle w:val="Hyperlink"/>
            <w:rFonts w:hint="cs"/>
            <w:rtl/>
            <w:lang w:eastAsia="en-US"/>
          </w:rPr>
          <w:t xml:space="preserve"> </w:t>
        </w:r>
        <w:r w:rsidR="00AD0AE5" w:rsidRPr="00282605">
          <w:rPr>
            <w:rStyle w:val="Hyperlink"/>
            <w:rFonts w:hint="eastAsia"/>
            <w:rtl/>
            <w:lang w:eastAsia="en-US"/>
          </w:rPr>
          <w:t>القاعدة</w:t>
        </w:r>
        <w:r w:rsidR="00AD0AE5">
          <w:rPr>
            <w:webHidden/>
            <w:rtl/>
          </w:rPr>
          <w:tab/>
        </w:r>
        <w:r w:rsidR="0010464B">
          <w:rPr>
            <w:webHidden/>
          </w:rPr>
          <w:t>466</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89"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مستثنيات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471</w:t>
        </w:r>
      </w:hyperlink>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590" w:history="1">
        <w:r w:rsidR="00AD0AE5" w:rsidRPr="00282605">
          <w:rPr>
            <w:rStyle w:val="Hyperlink"/>
            <w:rFonts w:ascii="Traditional Arabic" w:hAnsi="Traditional Arabic" w:hint="eastAsia"/>
            <w:rtl/>
          </w:rPr>
          <w:t>المبحث</w:t>
        </w:r>
        <w:r w:rsidR="00691FFC">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الرابع</w:t>
        </w:r>
        <w:r w:rsidR="002F0855">
          <w:rPr>
            <w:rStyle w:val="Hyperlink"/>
            <w:rFonts w:ascii="Traditional Arabic" w:hAnsi="Traditional Arabic"/>
            <w:rtl/>
          </w:rPr>
          <w:t> :</w:t>
        </w:r>
        <w:r w:rsidR="00691FFC">
          <w:rPr>
            <w:rStyle w:val="Hyperlink"/>
            <w:rFonts w:ascii="Traditional Arabic" w:hAnsi="Traditional Arabic" w:hint="cs"/>
            <w:rtl/>
          </w:rPr>
          <w:t xml:space="preserve"> </w:t>
        </w:r>
        <w:r w:rsidR="00AD0AE5" w:rsidRPr="00282605">
          <w:rPr>
            <w:rStyle w:val="Hyperlink"/>
            <w:rFonts w:ascii="Traditional Arabic" w:hAnsi="Traditional Arabic" w:hint="eastAsia"/>
            <w:rtl/>
          </w:rPr>
          <w:t>قاعدة</w:t>
        </w:r>
        <w:r w:rsidR="00AD0AE5" w:rsidRPr="00282605">
          <w:rPr>
            <w:rStyle w:val="Hyperlink"/>
            <w:rtl/>
          </w:rPr>
          <w:t>"</w:t>
        </w:r>
        <w:r w:rsidR="00AD0AE5" w:rsidRPr="00282605">
          <w:rPr>
            <w:rStyle w:val="Hyperlink"/>
            <w:rFonts w:hint="eastAsia"/>
            <w:rtl/>
          </w:rPr>
          <w:t>من</w:t>
        </w:r>
        <w:r w:rsidR="00691FFC">
          <w:rPr>
            <w:rStyle w:val="Hyperlink"/>
            <w:rFonts w:hint="cs"/>
            <w:rtl/>
          </w:rPr>
          <w:t xml:space="preserve"> </w:t>
        </w:r>
        <w:r w:rsidR="00AD0AE5" w:rsidRPr="00282605">
          <w:rPr>
            <w:rStyle w:val="Hyperlink"/>
            <w:rFonts w:hint="eastAsia"/>
            <w:rtl/>
          </w:rPr>
          <w:t>يتصرف</w:t>
        </w:r>
        <w:r w:rsidR="00691FFC">
          <w:rPr>
            <w:rStyle w:val="Hyperlink"/>
            <w:rFonts w:hint="cs"/>
            <w:rtl/>
          </w:rPr>
          <w:t xml:space="preserve"> </w:t>
        </w:r>
        <w:r w:rsidR="00AD0AE5" w:rsidRPr="00282605">
          <w:rPr>
            <w:rStyle w:val="Hyperlink"/>
            <w:rFonts w:hint="eastAsia"/>
            <w:rtl/>
          </w:rPr>
          <w:t>لغيره</w:t>
        </w:r>
        <w:r w:rsidR="00691FFC">
          <w:rPr>
            <w:rStyle w:val="Hyperlink"/>
            <w:rFonts w:hint="cs"/>
            <w:rtl/>
          </w:rPr>
          <w:t xml:space="preserve"> </w:t>
        </w:r>
        <w:r w:rsidR="00AD0AE5" w:rsidRPr="00282605">
          <w:rPr>
            <w:rStyle w:val="Hyperlink"/>
            <w:rFonts w:hint="eastAsia"/>
            <w:rtl/>
          </w:rPr>
          <w:t>يجب</w:t>
        </w:r>
        <w:r w:rsidR="00691FFC">
          <w:rPr>
            <w:rStyle w:val="Hyperlink"/>
            <w:rFonts w:hint="cs"/>
            <w:rtl/>
          </w:rPr>
          <w:t xml:space="preserve"> </w:t>
        </w:r>
        <w:r w:rsidR="00AD0AE5" w:rsidRPr="00282605">
          <w:rPr>
            <w:rStyle w:val="Hyperlink"/>
            <w:rFonts w:hint="eastAsia"/>
            <w:rtl/>
          </w:rPr>
          <w:t>عليه</w:t>
        </w:r>
        <w:r w:rsidR="00691FFC">
          <w:rPr>
            <w:rStyle w:val="Hyperlink"/>
            <w:rFonts w:hint="cs"/>
            <w:rtl/>
          </w:rPr>
          <w:t xml:space="preserve"> </w:t>
        </w:r>
        <w:r w:rsidR="00AD0AE5" w:rsidRPr="00282605">
          <w:rPr>
            <w:rStyle w:val="Hyperlink"/>
            <w:rFonts w:hint="eastAsia"/>
            <w:rtl/>
          </w:rPr>
          <w:t>أن</w:t>
        </w:r>
        <w:r w:rsidR="00691FFC">
          <w:rPr>
            <w:rStyle w:val="Hyperlink"/>
            <w:rFonts w:hint="cs"/>
            <w:rtl/>
          </w:rPr>
          <w:t xml:space="preserve"> </w:t>
        </w:r>
        <w:r w:rsidR="00AD0AE5" w:rsidRPr="00282605">
          <w:rPr>
            <w:rStyle w:val="Hyperlink"/>
            <w:rFonts w:hint="eastAsia"/>
            <w:rtl/>
          </w:rPr>
          <w:t>يتصرف</w:t>
        </w:r>
        <w:r w:rsidR="00691FFC">
          <w:rPr>
            <w:rStyle w:val="Hyperlink"/>
            <w:rFonts w:hint="cs"/>
            <w:rtl/>
          </w:rPr>
          <w:t xml:space="preserve"> </w:t>
        </w:r>
        <w:r w:rsidR="00AD0AE5" w:rsidRPr="00282605">
          <w:rPr>
            <w:rStyle w:val="Hyperlink"/>
            <w:rFonts w:hint="eastAsia"/>
            <w:rtl/>
          </w:rPr>
          <w:t>بالأصلح،</w:t>
        </w:r>
        <w:r w:rsidR="00691FFC">
          <w:rPr>
            <w:rStyle w:val="Hyperlink"/>
            <w:rFonts w:hint="cs"/>
            <w:rtl/>
          </w:rPr>
          <w:t xml:space="preserve"> </w:t>
        </w:r>
        <w:r w:rsidR="00AD0AE5" w:rsidRPr="00282605">
          <w:rPr>
            <w:rStyle w:val="Hyperlink"/>
            <w:rFonts w:hint="eastAsia"/>
            <w:rtl/>
          </w:rPr>
          <w:t>ومن</w:t>
        </w:r>
        <w:r w:rsidR="00691FFC">
          <w:rPr>
            <w:rStyle w:val="Hyperlink"/>
            <w:rFonts w:hint="cs"/>
            <w:rtl/>
          </w:rPr>
          <w:t xml:space="preserve"> </w:t>
        </w:r>
        <w:r w:rsidR="00AD0AE5" w:rsidRPr="00282605">
          <w:rPr>
            <w:rStyle w:val="Hyperlink"/>
            <w:rFonts w:hint="eastAsia"/>
            <w:rtl/>
          </w:rPr>
          <w:t>يتصرف</w:t>
        </w:r>
        <w:r w:rsidR="00691FFC">
          <w:rPr>
            <w:rStyle w:val="Hyperlink"/>
            <w:rFonts w:hint="cs"/>
            <w:rtl/>
          </w:rPr>
          <w:t xml:space="preserve"> </w:t>
        </w:r>
        <w:r w:rsidR="00AD0AE5" w:rsidRPr="00282605">
          <w:rPr>
            <w:rStyle w:val="Hyperlink"/>
            <w:rFonts w:hint="eastAsia"/>
            <w:rtl/>
          </w:rPr>
          <w:t>لنفسه</w:t>
        </w:r>
        <w:r w:rsidR="00691FFC">
          <w:rPr>
            <w:rStyle w:val="Hyperlink"/>
            <w:rFonts w:hint="cs"/>
            <w:rtl/>
          </w:rPr>
          <w:t xml:space="preserve"> </w:t>
        </w:r>
        <w:r w:rsidR="00AD0AE5" w:rsidRPr="00282605">
          <w:rPr>
            <w:rStyle w:val="Hyperlink"/>
            <w:rFonts w:hint="eastAsia"/>
            <w:rtl/>
          </w:rPr>
          <w:t>يتصرف</w:t>
        </w:r>
        <w:r w:rsidR="00691FFC">
          <w:rPr>
            <w:rStyle w:val="Hyperlink"/>
            <w:rFonts w:hint="cs"/>
            <w:rtl/>
          </w:rPr>
          <w:t xml:space="preserve"> </w:t>
        </w:r>
        <w:r w:rsidR="00AD0AE5" w:rsidRPr="00282605">
          <w:rPr>
            <w:rStyle w:val="Hyperlink"/>
            <w:rFonts w:hint="eastAsia"/>
            <w:rtl/>
          </w:rPr>
          <w:t>بما</w:t>
        </w:r>
        <w:r w:rsidR="00691FFC">
          <w:rPr>
            <w:rStyle w:val="Hyperlink"/>
            <w:rFonts w:hint="cs"/>
            <w:rtl/>
          </w:rPr>
          <w:t xml:space="preserve"> </w:t>
        </w:r>
        <w:r w:rsidR="00AD0AE5" w:rsidRPr="00282605">
          <w:rPr>
            <w:rStyle w:val="Hyperlink"/>
            <w:rFonts w:hint="eastAsia"/>
            <w:rtl/>
          </w:rPr>
          <w:t>شاء</w:t>
        </w:r>
        <w:r w:rsidR="00AD0AE5" w:rsidRPr="00282605">
          <w:rPr>
            <w:rStyle w:val="Hyperlink"/>
            <w:rtl/>
          </w:rPr>
          <w:t>"</w:t>
        </w:r>
        <w:r w:rsidR="00AD0AE5">
          <w:rPr>
            <w:webHidden/>
            <w:rtl/>
          </w:rPr>
          <w:tab/>
        </w:r>
        <w:r w:rsidR="0010464B">
          <w:rPr>
            <w:webHidden/>
          </w:rPr>
          <w:t>473</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91"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10464B">
          <w:rPr>
            <w:webHidden/>
          </w:rPr>
          <w:t>473</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92"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474</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93"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475</w:t>
        </w:r>
      </w:hyperlink>
    </w:p>
    <w:p w:rsidR="00AD0AE5" w:rsidRDefault="00AB0B9E" w:rsidP="0010464B">
      <w:pPr>
        <w:pStyle w:val="40"/>
      </w:pPr>
      <w:hyperlink w:anchor="_Toc334046594"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477</w:t>
        </w:r>
      </w:hyperlink>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595" w:history="1">
        <w:r w:rsidR="00AD0AE5" w:rsidRPr="00282605">
          <w:rPr>
            <w:rStyle w:val="Hyperlink"/>
            <w:rFonts w:hint="eastAsia"/>
            <w:rtl/>
          </w:rPr>
          <w:t>المبحث</w:t>
        </w:r>
        <w:r w:rsidR="00691FFC">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إذ</w:t>
        </w:r>
        <w:r w:rsidR="00691FFC">
          <w:rPr>
            <w:rStyle w:val="Hyperlink"/>
            <w:rFonts w:hint="cs"/>
            <w:rtl/>
          </w:rPr>
          <w:t xml:space="preserve"> </w:t>
        </w:r>
        <w:r w:rsidR="00AD0AE5" w:rsidRPr="00282605">
          <w:rPr>
            <w:rStyle w:val="Hyperlink"/>
            <w:rFonts w:hint="eastAsia"/>
            <w:rtl/>
          </w:rPr>
          <w:t>اتعذر</w:t>
        </w:r>
        <w:r w:rsidR="00691FFC">
          <w:rPr>
            <w:rStyle w:val="Hyperlink"/>
            <w:rFonts w:hint="cs"/>
            <w:rtl/>
          </w:rPr>
          <w:t xml:space="preserve"> </w:t>
        </w:r>
        <w:r w:rsidR="00AD0AE5" w:rsidRPr="00282605">
          <w:rPr>
            <w:rStyle w:val="Hyperlink"/>
            <w:rFonts w:hint="eastAsia"/>
            <w:rtl/>
          </w:rPr>
          <w:t>الأصل</w:t>
        </w:r>
        <w:r w:rsidR="00691FFC">
          <w:rPr>
            <w:rStyle w:val="Hyperlink"/>
            <w:rFonts w:hint="cs"/>
            <w:rtl/>
          </w:rPr>
          <w:t xml:space="preserve"> </w:t>
        </w:r>
        <w:r w:rsidR="00AD0AE5" w:rsidRPr="00282605">
          <w:rPr>
            <w:rStyle w:val="Hyperlink"/>
            <w:rFonts w:hint="eastAsia"/>
            <w:rtl/>
          </w:rPr>
          <w:t>رجعنا</w:t>
        </w:r>
        <w:r w:rsidR="00691FFC">
          <w:rPr>
            <w:rStyle w:val="Hyperlink"/>
            <w:rFonts w:hint="cs"/>
            <w:rtl/>
          </w:rPr>
          <w:t xml:space="preserve"> </w:t>
        </w:r>
        <w:r w:rsidR="00AD0AE5" w:rsidRPr="00282605">
          <w:rPr>
            <w:rStyle w:val="Hyperlink"/>
            <w:rFonts w:hint="eastAsia"/>
            <w:rtl/>
          </w:rPr>
          <w:t>إلى</w:t>
        </w:r>
        <w:r w:rsidR="00691FFC">
          <w:rPr>
            <w:rStyle w:val="Hyperlink"/>
            <w:rFonts w:hint="cs"/>
            <w:rtl/>
          </w:rPr>
          <w:t xml:space="preserve"> </w:t>
        </w:r>
        <w:r w:rsidR="00AD0AE5" w:rsidRPr="00282605">
          <w:rPr>
            <w:rStyle w:val="Hyperlink"/>
            <w:rFonts w:hint="eastAsia"/>
            <w:rtl/>
          </w:rPr>
          <w:t>البدل</w:t>
        </w:r>
        <w:r w:rsidR="00AD0AE5" w:rsidRPr="00282605">
          <w:rPr>
            <w:rStyle w:val="Hyperlink"/>
            <w:rtl/>
          </w:rPr>
          <w:t>"</w:t>
        </w:r>
        <w:r w:rsidR="00AD0AE5">
          <w:rPr>
            <w:webHidden/>
            <w:rtl/>
          </w:rPr>
          <w:tab/>
        </w:r>
        <w:r w:rsidR="0010464B">
          <w:rPr>
            <w:webHidden/>
          </w:rPr>
          <w:t>479</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96"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صيغة</w:t>
        </w:r>
        <w:r w:rsidR="00691FFC">
          <w:rPr>
            <w:rStyle w:val="Hyperlink"/>
            <w:rFonts w:hint="cs"/>
            <w:rtl/>
          </w:rPr>
          <w:t xml:space="preserve"> </w:t>
        </w:r>
        <w:r w:rsidR="00AD0AE5" w:rsidRPr="00282605">
          <w:rPr>
            <w:rStyle w:val="Hyperlink"/>
            <w:rFonts w:hint="eastAsia"/>
            <w:rtl/>
          </w:rPr>
          <w:t>القاعدة</w:t>
        </w:r>
        <w:r w:rsidR="00691FFC">
          <w:rPr>
            <w:rStyle w:val="Hyperlink"/>
            <w:rFonts w:hint="cs"/>
            <w:rtl/>
          </w:rPr>
          <w:t xml:space="preserve"> </w:t>
        </w:r>
        <w:r w:rsidR="00AD0AE5" w:rsidRPr="00282605">
          <w:rPr>
            <w:rStyle w:val="Hyperlink"/>
            <w:rFonts w:hint="eastAsia"/>
            <w:rtl/>
          </w:rPr>
          <w:t>عند</w:t>
        </w:r>
        <w:r w:rsidR="00691FFC">
          <w:rPr>
            <w:rStyle w:val="Hyperlink"/>
            <w:rFonts w:hint="cs"/>
            <w:rtl/>
          </w:rPr>
          <w:t xml:space="preserve"> </w:t>
        </w:r>
        <w:r w:rsidR="00AD0AE5" w:rsidRPr="00282605">
          <w:rPr>
            <w:rStyle w:val="Hyperlink"/>
            <w:rFonts w:hint="eastAsia"/>
            <w:rtl/>
          </w:rPr>
          <w:t>الشيخ</w:t>
        </w:r>
        <w:r w:rsidR="00691FFC">
          <w:rPr>
            <w:rStyle w:val="Hyperlink"/>
            <w:rFonts w:hint="cs"/>
            <w:rtl/>
          </w:rPr>
          <w:t xml:space="preserve"> </w:t>
        </w:r>
        <w:r w:rsidR="00AD0AE5" w:rsidRPr="00282605">
          <w:rPr>
            <w:rStyle w:val="Hyperlink"/>
            <w:rFonts w:hint="eastAsia"/>
            <w:rtl/>
          </w:rPr>
          <w:t>وعند</w:t>
        </w:r>
        <w:r w:rsidR="00691FFC">
          <w:rPr>
            <w:rStyle w:val="Hyperlink"/>
            <w:rFonts w:hint="cs"/>
            <w:rtl/>
          </w:rPr>
          <w:t xml:space="preserve"> </w:t>
        </w:r>
        <w:r w:rsidR="00AD0AE5" w:rsidRPr="00282605">
          <w:rPr>
            <w:rStyle w:val="Hyperlink"/>
            <w:rFonts w:hint="eastAsia"/>
            <w:rtl/>
          </w:rPr>
          <w:t>علماء</w:t>
        </w:r>
        <w:r w:rsidR="00691FFC">
          <w:rPr>
            <w:rStyle w:val="Hyperlink"/>
            <w:rFonts w:hint="cs"/>
            <w:rtl/>
          </w:rPr>
          <w:t xml:space="preserve"> </w:t>
        </w:r>
        <w:r w:rsidR="00AD0AE5" w:rsidRPr="00282605">
          <w:rPr>
            <w:rStyle w:val="Hyperlink"/>
            <w:rFonts w:hint="eastAsia"/>
            <w:rtl/>
          </w:rPr>
          <w:t>القواعد</w:t>
        </w:r>
        <w:r w:rsidR="00AD0AE5">
          <w:rPr>
            <w:webHidden/>
            <w:rtl/>
          </w:rPr>
          <w:tab/>
        </w:r>
        <w:r w:rsidR="0010464B">
          <w:rPr>
            <w:webHidden/>
          </w:rPr>
          <w:t>479</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97"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480</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598"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482</w:t>
        </w:r>
      </w:hyperlink>
    </w:p>
    <w:p w:rsidR="00AD0AE5" w:rsidRDefault="00AB0B9E" w:rsidP="0010464B">
      <w:pPr>
        <w:pStyle w:val="40"/>
      </w:pPr>
      <w:hyperlink w:anchor="_Toc334046599" w:history="1">
        <w:r w:rsidR="00AD0AE5" w:rsidRPr="00282605">
          <w:rPr>
            <w:rStyle w:val="Hyperlink"/>
            <w:rFonts w:hint="eastAsia"/>
            <w:rtl/>
          </w:rPr>
          <w:t>المطلب</w:t>
        </w:r>
        <w:r w:rsidR="00691FFC">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691FFC">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483</w:t>
        </w:r>
      </w:hyperlink>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600" w:history="1">
        <w:r w:rsidR="00AD0AE5" w:rsidRPr="00282605">
          <w:rPr>
            <w:rStyle w:val="Hyperlink"/>
            <w:rFonts w:hint="eastAsia"/>
            <w:rtl/>
          </w:rPr>
          <w:t>المبحث</w:t>
        </w:r>
        <w:r w:rsidR="00F86310">
          <w:rPr>
            <w:rStyle w:val="Hyperlink"/>
            <w:rFonts w:hint="cs"/>
            <w:rtl/>
          </w:rPr>
          <w:t xml:space="preserve"> </w:t>
        </w:r>
        <w:r w:rsidR="00AD0AE5" w:rsidRPr="00282605">
          <w:rPr>
            <w:rStyle w:val="Hyperlink"/>
            <w:rFonts w:hint="eastAsia"/>
            <w:rtl/>
          </w:rPr>
          <w:t>السادس</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المشغول</w:t>
        </w:r>
        <w:r w:rsidR="00F86310">
          <w:rPr>
            <w:rStyle w:val="Hyperlink"/>
            <w:rFonts w:hint="cs"/>
            <w:rtl/>
          </w:rPr>
          <w:t xml:space="preserve"> </w:t>
        </w:r>
        <w:r w:rsidR="00AD0AE5" w:rsidRPr="00282605">
          <w:rPr>
            <w:rStyle w:val="Hyperlink"/>
            <w:rFonts w:hint="eastAsia"/>
            <w:rtl/>
          </w:rPr>
          <w:t>لا</w:t>
        </w:r>
        <w:r w:rsidR="00F86310">
          <w:rPr>
            <w:rStyle w:val="Hyperlink"/>
            <w:rFonts w:hint="cs"/>
            <w:rtl/>
          </w:rPr>
          <w:t xml:space="preserve"> </w:t>
        </w:r>
        <w:r w:rsidR="00AD0AE5" w:rsidRPr="00282605">
          <w:rPr>
            <w:rStyle w:val="Hyperlink"/>
            <w:rFonts w:hint="eastAsia"/>
            <w:rtl/>
          </w:rPr>
          <w:t>يشغل</w:t>
        </w:r>
        <w:r w:rsidR="00AD0AE5" w:rsidRPr="00282605">
          <w:rPr>
            <w:rStyle w:val="Hyperlink"/>
            <w:rtl/>
          </w:rPr>
          <w:t>"</w:t>
        </w:r>
        <w:r w:rsidR="00AD0AE5">
          <w:rPr>
            <w:webHidden/>
            <w:rtl/>
          </w:rPr>
          <w:tab/>
        </w:r>
        <w:r w:rsidR="0010464B">
          <w:rPr>
            <w:webHidden/>
          </w:rPr>
          <w:t>485</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01" w:history="1">
        <w:r w:rsidR="00AD0AE5" w:rsidRPr="00282605">
          <w:rPr>
            <w:rStyle w:val="Hyperlink"/>
            <w:rFonts w:hint="eastAsia"/>
            <w:rtl/>
          </w:rPr>
          <w:t>المطلب</w:t>
        </w:r>
        <w:r w:rsidR="00F86310">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F86310">
          <w:rPr>
            <w:rStyle w:val="Hyperlink"/>
            <w:rFonts w:hint="cs"/>
            <w:rtl/>
          </w:rPr>
          <w:t xml:space="preserve"> </w:t>
        </w:r>
        <w:r w:rsidR="00AD0AE5" w:rsidRPr="00282605">
          <w:rPr>
            <w:rStyle w:val="Hyperlink"/>
            <w:rFonts w:hint="eastAsia"/>
            <w:rtl/>
          </w:rPr>
          <w:t>القاعدة</w:t>
        </w:r>
        <w:r w:rsidR="00F86310">
          <w:rPr>
            <w:rStyle w:val="Hyperlink"/>
            <w:rFonts w:hint="cs"/>
            <w:rtl/>
          </w:rPr>
          <w:t xml:space="preserve"> </w:t>
        </w:r>
        <w:r w:rsidR="00AD0AE5" w:rsidRPr="00282605">
          <w:rPr>
            <w:rStyle w:val="Hyperlink"/>
            <w:rFonts w:hint="eastAsia"/>
            <w:rtl/>
          </w:rPr>
          <w:t>عند</w:t>
        </w:r>
        <w:r w:rsidR="00F86310">
          <w:rPr>
            <w:rStyle w:val="Hyperlink"/>
            <w:rFonts w:hint="cs"/>
            <w:rtl/>
          </w:rPr>
          <w:t xml:space="preserve"> </w:t>
        </w:r>
        <w:r w:rsidR="00AD0AE5" w:rsidRPr="00282605">
          <w:rPr>
            <w:rStyle w:val="Hyperlink"/>
            <w:rFonts w:hint="eastAsia"/>
            <w:rtl/>
          </w:rPr>
          <w:t>الشيخ</w:t>
        </w:r>
        <w:r w:rsidR="00F86310">
          <w:rPr>
            <w:rStyle w:val="Hyperlink"/>
            <w:rFonts w:hint="cs"/>
            <w:rtl/>
          </w:rPr>
          <w:t xml:space="preserve"> </w:t>
        </w:r>
        <w:r w:rsidR="00AD0AE5" w:rsidRPr="00282605">
          <w:rPr>
            <w:rStyle w:val="Hyperlink"/>
            <w:rFonts w:hint="eastAsia"/>
            <w:rtl/>
          </w:rPr>
          <w:t>وعند</w:t>
        </w:r>
        <w:r w:rsidR="00F86310">
          <w:rPr>
            <w:rStyle w:val="Hyperlink"/>
            <w:rFonts w:hint="cs"/>
            <w:rtl/>
          </w:rPr>
          <w:t xml:space="preserve"> </w:t>
        </w:r>
        <w:r w:rsidR="00AD0AE5" w:rsidRPr="00282605">
          <w:rPr>
            <w:rStyle w:val="Hyperlink"/>
            <w:rFonts w:hint="eastAsia"/>
            <w:rtl/>
          </w:rPr>
          <w:t>علماء</w:t>
        </w:r>
        <w:r w:rsidR="00F86310">
          <w:rPr>
            <w:rStyle w:val="Hyperlink"/>
            <w:rFonts w:hint="cs"/>
            <w:rtl/>
          </w:rPr>
          <w:t xml:space="preserve"> </w:t>
        </w:r>
        <w:r w:rsidR="00AD0AE5" w:rsidRPr="00282605">
          <w:rPr>
            <w:rStyle w:val="Hyperlink"/>
            <w:rFonts w:hint="eastAsia"/>
            <w:rtl/>
          </w:rPr>
          <w:t>القواعد</w:t>
        </w:r>
        <w:r w:rsidR="00AD0AE5">
          <w:rPr>
            <w:webHidden/>
            <w:rtl/>
          </w:rPr>
          <w:tab/>
        </w:r>
        <w:r w:rsidR="0010464B">
          <w:rPr>
            <w:webHidden/>
          </w:rPr>
          <w:t>485</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02" w:history="1">
        <w:r w:rsidR="00AD0AE5" w:rsidRPr="00282605">
          <w:rPr>
            <w:rStyle w:val="Hyperlink"/>
            <w:rFonts w:hint="eastAsia"/>
            <w:rtl/>
          </w:rPr>
          <w:t>المطلب</w:t>
        </w:r>
        <w:r w:rsidR="00F86310">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F86310">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486</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03" w:history="1">
        <w:r w:rsidR="00AD0AE5" w:rsidRPr="00282605">
          <w:rPr>
            <w:rStyle w:val="Hyperlink"/>
            <w:rFonts w:hint="eastAsia"/>
            <w:rtl/>
          </w:rPr>
          <w:t>المطلب</w:t>
        </w:r>
        <w:r w:rsidR="00F86310">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F86310">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486</w:t>
        </w:r>
      </w:hyperlink>
    </w:p>
    <w:p w:rsidR="00AD0AE5" w:rsidRDefault="00AB0B9E" w:rsidP="0010464B">
      <w:pPr>
        <w:pStyle w:val="40"/>
      </w:pPr>
      <w:hyperlink w:anchor="_Toc334046604" w:history="1">
        <w:r w:rsidR="00AD0AE5" w:rsidRPr="00282605">
          <w:rPr>
            <w:rStyle w:val="Hyperlink"/>
            <w:rFonts w:hint="eastAsia"/>
            <w:rtl/>
          </w:rPr>
          <w:t>المطلب</w:t>
        </w:r>
        <w:r w:rsidR="00F86310">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F86310">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487</w:t>
        </w:r>
      </w:hyperlink>
    </w:p>
    <w:p w:rsidR="002F0855" w:rsidRPr="002F0855" w:rsidRDefault="002F0855" w:rsidP="002F0855">
      <w:pPr>
        <w:rPr>
          <w:rFonts w:eastAsiaTheme="minorEastAsia"/>
          <w:rtl/>
        </w:rPr>
      </w:pPr>
      <w:r>
        <w:rPr>
          <w:rFonts w:eastAsiaTheme="minorEastAsia"/>
        </w:rPr>
        <w:tab/>
      </w:r>
      <w:r>
        <w:rPr>
          <w:rFonts w:eastAsiaTheme="minorEastAsia"/>
        </w:rPr>
        <w:tab/>
      </w:r>
      <w:r>
        <w:rPr>
          <w:rFonts w:eastAsiaTheme="minorEastAsia" w:hint="cs"/>
          <w:rtl/>
          <w:lang w:val="fr-FR" w:eastAsia="fr-FR"/>
        </w:rPr>
        <w:t>المطلب الخامس: مستثنيات القاعدة.........</w:t>
      </w:r>
      <w:r w:rsidR="0010464B">
        <w:rPr>
          <w:rFonts w:eastAsiaTheme="minorEastAsia" w:hint="cs"/>
          <w:rtl/>
          <w:lang w:val="fr-FR" w:eastAsia="fr-FR"/>
        </w:rPr>
        <w:t>.......................</w:t>
      </w:r>
      <w:r>
        <w:rPr>
          <w:rFonts w:eastAsiaTheme="minorEastAsia" w:hint="cs"/>
          <w:rtl/>
          <w:lang w:val="fr-FR" w:eastAsia="fr-FR"/>
        </w:rPr>
        <w:t>....</w:t>
      </w:r>
      <w:r w:rsidR="0010464B">
        <w:rPr>
          <w:rFonts w:eastAsiaTheme="minorEastAsia" w:hint="cs"/>
          <w:rtl/>
          <w:lang w:val="fr-FR" w:eastAsia="fr-FR"/>
        </w:rPr>
        <w:t>488</w:t>
      </w:r>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605" w:history="1">
        <w:r w:rsidR="00AD0AE5" w:rsidRPr="00282605">
          <w:rPr>
            <w:rStyle w:val="Hyperlink"/>
            <w:rFonts w:ascii="Traditional Arabic" w:hAnsi="Traditional Arabic" w:hint="eastAsia"/>
            <w:rtl/>
          </w:rPr>
          <w:t>المبحث</w:t>
        </w:r>
        <w:r w:rsidR="00F86310">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السابع</w:t>
        </w:r>
        <w:r w:rsidR="00AD0AE5" w:rsidRPr="00282605">
          <w:rPr>
            <w:rStyle w:val="Hyperlink"/>
            <w:rFonts w:ascii="Traditional Arabic" w:hAnsi="Traditional Arabic"/>
            <w:rtl/>
          </w:rPr>
          <w:t xml:space="preserve"> : </w:t>
        </w:r>
        <w:r w:rsidR="00AD0AE5" w:rsidRPr="00282605">
          <w:rPr>
            <w:rStyle w:val="Hyperlink"/>
            <w:rFonts w:ascii="Traditional Arabic" w:hAnsi="Traditional Arabic" w:hint="eastAsia"/>
            <w:rtl/>
          </w:rPr>
          <w:t>قاعدة</w:t>
        </w:r>
        <w:r w:rsidR="008D3035">
          <w:rPr>
            <w:rStyle w:val="Hyperlink"/>
            <w:rFonts w:ascii="Traditional Arabic" w:hAnsi="Traditional Arabic" w:hint="cs"/>
            <w:rtl/>
          </w:rPr>
          <w:t xml:space="preserve"> </w:t>
        </w:r>
        <w:r w:rsidR="00AD0AE5" w:rsidRPr="00282605">
          <w:rPr>
            <w:rStyle w:val="Hyperlink"/>
            <w:rtl/>
          </w:rPr>
          <w:t>"</w:t>
        </w:r>
        <w:r w:rsidR="00AD0AE5" w:rsidRPr="00282605">
          <w:rPr>
            <w:rStyle w:val="Hyperlink"/>
            <w:rFonts w:hint="eastAsia"/>
            <w:rtl/>
          </w:rPr>
          <w:t>لا</w:t>
        </w:r>
        <w:r w:rsidR="00F86310">
          <w:rPr>
            <w:rStyle w:val="Hyperlink"/>
            <w:rFonts w:hint="cs"/>
            <w:rtl/>
          </w:rPr>
          <w:t xml:space="preserve"> </w:t>
        </w:r>
        <w:r w:rsidR="00AD0AE5" w:rsidRPr="00282605">
          <w:rPr>
            <w:rStyle w:val="Hyperlink"/>
            <w:rFonts w:hint="eastAsia"/>
            <w:rtl/>
          </w:rPr>
          <w:t>تتم</w:t>
        </w:r>
        <w:r w:rsidR="00F86310">
          <w:rPr>
            <w:rStyle w:val="Hyperlink"/>
            <w:rFonts w:hint="cs"/>
            <w:rtl/>
          </w:rPr>
          <w:t xml:space="preserve"> </w:t>
        </w:r>
        <w:r w:rsidR="00AD0AE5" w:rsidRPr="00282605">
          <w:rPr>
            <w:rStyle w:val="Hyperlink"/>
            <w:rFonts w:hint="eastAsia"/>
            <w:rtl/>
          </w:rPr>
          <w:t>الأمور</w:t>
        </w:r>
        <w:r w:rsidR="00F86310">
          <w:rPr>
            <w:rStyle w:val="Hyperlink"/>
            <w:rFonts w:hint="cs"/>
            <w:rtl/>
          </w:rPr>
          <w:t xml:space="preserve"> </w:t>
        </w:r>
        <w:r w:rsidR="00AD0AE5" w:rsidRPr="00282605">
          <w:rPr>
            <w:rStyle w:val="Hyperlink"/>
            <w:rFonts w:hint="eastAsia"/>
            <w:rtl/>
          </w:rPr>
          <w:t>حتى</w:t>
        </w:r>
        <w:r w:rsidR="00F86310">
          <w:rPr>
            <w:rStyle w:val="Hyperlink"/>
            <w:rFonts w:hint="cs"/>
            <w:rtl/>
          </w:rPr>
          <w:t xml:space="preserve"> </w:t>
        </w:r>
        <w:r w:rsidR="00AD0AE5" w:rsidRPr="00282605">
          <w:rPr>
            <w:rStyle w:val="Hyperlink"/>
            <w:rFonts w:hint="eastAsia"/>
            <w:rtl/>
          </w:rPr>
          <w:t>توجد</w:t>
        </w:r>
        <w:r w:rsidR="00F86310">
          <w:rPr>
            <w:rStyle w:val="Hyperlink"/>
            <w:rFonts w:hint="cs"/>
            <w:rtl/>
          </w:rPr>
          <w:t xml:space="preserve"> </w:t>
        </w:r>
        <w:r w:rsidR="00AD0AE5" w:rsidRPr="00282605">
          <w:rPr>
            <w:rStyle w:val="Hyperlink"/>
            <w:rFonts w:hint="eastAsia"/>
            <w:rtl/>
          </w:rPr>
          <w:t>أسبابها</w:t>
        </w:r>
        <w:r w:rsidR="00F86310">
          <w:rPr>
            <w:rStyle w:val="Hyperlink"/>
            <w:rFonts w:hint="cs"/>
            <w:rtl/>
          </w:rPr>
          <w:t xml:space="preserve"> </w:t>
        </w:r>
        <w:r w:rsidR="00AD0AE5" w:rsidRPr="00282605">
          <w:rPr>
            <w:rStyle w:val="Hyperlink"/>
            <w:rFonts w:hint="eastAsia"/>
            <w:rtl/>
          </w:rPr>
          <w:t>وشروطها،</w:t>
        </w:r>
        <w:r w:rsidR="00F86310">
          <w:rPr>
            <w:rStyle w:val="Hyperlink"/>
            <w:rFonts w:hint="cs"/>
            <w:rtl/>
          </w:rPr>
          <w:t xml:space="preserve"> </w:t>
        </w:r>
        <w:r w:rsidR="00AD0AE5" w:rsidRPr="00282605">
          <w:rPr>
            <w:rStyle w:val="Hyperlink"/>
            <w:rFonts w:hint="eastAsia"/>
            <w:rtl/>
          </w:rPr>
          <w:t>وتنتفي</w:t>
        </w:r>
        <w:r w:rsidR="00F86310">
          <w:rPr>
            <w:rStyle w:val="Hyperlink"/>
            <w:rFonts w:hint="cs"/>
            <w:rtl/>
          </w:rPr>
          <w:t xml:space="preserve"> </w:t>
        </w:r>
        <w:r w:rsidR="00AD0AE5" w:rsidRPr="00282605">
          <w:rPr>
            <w:rStyle w:val="Hyperlink"/>
            <w:rFonts w:hint="eastAsia"/>
            <w:rtl/>
          </w:rPr>
          <w:t>موانعها</w:t>
        </w:r>
        <w:r w:rsidR="00AD0AE5" w:rsidRPr="00282605">
          <w:rPr>
            <w:rStyle w:val="Hyperlink"/>
            <w:rtl/>
          </w:rPr>
          <w:t>"</w:t>
        </w:r>
        <w:r w:rsidR="00AD0AE5">
          <w:rPr>
            <w:webHidden/>
            <w:rtl/>
          </w:rPr>
          <w:tab/>
        </w:r>
        <w:r w:rsidR="0010464B">
          <w:rPr>
            <w:webHidden/>
          </w:rPr>
          <w:t>489</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06"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8D3035">
          <w:rPr>
            <w:rStyle w:val="Hyperlink"/>
            <w:rFonts w:hint="cs"/>
            <w:rtl/>
          </w:rPr>
          <w:t xml:space="preserve"> </w:t>
        </w:r>
        <w:r w:rsidR="00AD0AE5" w:rsidRPr="00282605">
          <w:rPr>
            <w:rStyle w:val="Hyperlink"/>
            <w:rFonts w:hint="eastAsia"/>
            <w:rtl/>
          </w:rPr>
          <w:t>القاعدة</w:t>
        </w:r>
        <w:r w:rsidR="008D3035">
          <w:rPr>
            <w:rStyle w:val="Hyperlink"/>
            <w:rFonts w:hint="cs"/>
            <w:rtl/>
          </w:rPr>
          <w:t xml:space="preserve"> </w:t>
        </w:r>
        <w:r w:rsidR="00AD0AE5" w:rsidRPr="00282605">
          <w:rPr>
            <w:rStyle w:val="Hyperlink"/>
            <w:rFonts w:hint="eastAsia"/>
            <w:rtl/>
          </w:rPr>
          <w:t>عند</w:t>
        </w:r>
        <w:r w:rsidR="008D3035">
          <w:rPr>
            <w:rStyle w:val="Hyperlink"/>
            <w:rFonts w:hint="cs"/>
            <w:rtl/>
          </w:rPr>
          <w:t xml:space="preserve"> </w:t>
        </w:r>
        <w:r w:rsidR="00AD0AE5" w:rsidRPr="00282605">
          <w:rPr>
            <w:rStyle w:val="Hyperlink"/>
            <w:rFonts w:hint="eastAsia"/>
            <w:rtl/>
          </w:rPr>
          <w:t>الشيخ</w:t>
        </w:r>
        <w:r w:rsidR="008D3035">
          <w:rPr>
            <w:rStyle w:val="Hyperlink"/>
            <w:rFonts w:hint="cs"/>
            <w:rtl/>
          </w:rPr>
          <w:t xml:space="preserve"> </w:t>
        </w:r>
        <w:r w:rsidR="00AD0AE5" w:rsidRPr="00282605">
          <w:rPr>
            <w:rStyle w:val="Hyperlink"/>
            <w:rFonts w:hint="eastAsia"/>
            <w:rtl/>
          </w:rPr>
          <w:t>وعند</w:t>
        </w:r>
        <w:r w:rsidR="008D3035">
          <w:rPr>
            <w:rStyle w:val="Hyperlink"/>
            <w:rFonts w:hint="cs"/>
            <w:rtl/>
          </w:rPr>
          <w:t xml:space="preserve"> </w:t>
        </w:r>
        <w:r w:rsidR="00AD0AE5" w:rsidRPr="00282605">
          <w:rPr>
            <w:rStyle w:val="Hyperlink"/>
            <w:rFonts w:hint="eastAsia"/>
            <w:rtl/>
          </w:rPr>
          <w:t>علماء</w:t>
        </w:r>
        <w:r w:rsidR="008D3035">
          <w:rPr>
            <w:rStyle w:val="Hyperlink"/>
            <w:rFonts w:hint="cs"/>
            <w:rtl/>
          </w:rPr>
          <w:t xml:space="preserve"> </w:t>
        </w:r>
        <w:r w:rsidR="00AD0AE5" w:rsidRPr="00282605">
          <w:rPr>
            <w:rStyle w:val="Hyperlink"/>
            <w:rFonts w:hint="eastAsia"/>
            <w:rtl/>
          </w:rPr>
          <w:t>القواعد</w:t>
        </w:r>
        <w:r w:rsidR="00AD0AE5">
          <w:rPr>
            <w:webHidden/>
            <w:rtl/>
          </w:rPr>
          <w:tab/>
        </w:r>
        <w:r w:rsidR="0010464B">
          <w:rPr>
            <w:webHidden/>
          </w:rPr>
          <w:t>489</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07"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490</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08"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492</w:t>
        </w:r>
      </w:hyperlink>
    </w:p>
    <w:p w:rsidR="00AD0AE5" w:rsidRDefault="00AB0B9E" w:rsidP="0010464B">
      <w:pPr>
        <w:pStyle w:val="40"/>
      </w:pPr>
      <w:hyperlink w:anchor="_Toc334046609"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494</w:t>
        </w:r>
      </w:hyperlink>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610" w:history="1">
        <w:r w:rsidR="00AD0AE5" w:rsidRPr="00282605">
          <w:rPr>
            <w:rStyle w:val="Hyperlink"/>
            <w:rFonts w:hint="eastAsia"/>
            <w:rtl/>
          </w:rPr>
          <w:t>المبحث</w:t>
        </w:r>
        <w:r w:rsidR="008D3035">
          <w:rPr>
            <w:rStyle w:val="Hyperlink"/>
            <w:rFonts w:hint="cs"/>
            <w:rtl/>
          </w:rPr>
          <w:t xml:space="preserve"> </w:t>
        </w:r>
        <w:r w:rsidR="00AD0AE5" w:rsidRPr="00282605">
          <w:rPr>
            <w:rStyle w:val="Hyperlink"/>
            <w:rFonts w:hint="eastAsia"/>
            <w:rtl/>
          </w:rPr>
          <w:t>الثامن</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المشقة</w:t>
        </w:r>
        <w:r w:rsidR="008D3035">
          <w:rPr>
            <w:rStyle w:val="Hyperlink"/>
            <w:rFonts w:hint="cs"/>
            <w:rtl/>
          </w:rPr>
          <w:t xml:space="preserve"> </w:t>
        </w:r>
        <w:r w:rsidR="00AD0AE5" w:rsidRPr="00282605">
          <w:rPr>
            <w:rStyle w:val="Hyperlink"/>
            <w:rFonts w:hint="eastAsia"/>
            <w:rtl/>
          </w:rPr>
          <w:t>تجلب</w:t>
        </w:r>
        <w:r w:rsidR="008D3035">
          <w:rPr>
            <w:rStyle w:val="Hyperlink"/>
            <w:rFonts w:hint="cs"/>
            <w:rtl/>
          </w:rPr>
          <w:t xml:space="preserve"> </w:t>
        </w:r>
        <w:r w:rsidR="00AD0AE5" w:rsidRPr="00282605">
          <w:rPr>
            <w:rStyle w:val="Hyperlink"/>
            <w:rFonts w:hint="eastAsia"/>
            <w:rtl/>
          </w:rPr>
          <w:t>التيسير</w:t>
        </w:r>
        <w:r w:rsidR="00AD0AE5" w:rsidRPr="00282605">
          <w:rPr>
            <w:rStyle w:val="Hyperlink"/>
            <w:rtl/>
          </w:rPr>
          <w:t>"</w:t>
        </w:r>
        <w:r w:rsidR="00AD0AE5">
          <w:rPr>
            <w:webHidden/>
            <w:rtl/>
          </w:rPr>
          <w:tab/>
        </w:r>
        <w:r w:rsidR="0010464B">
          <w:rPr>
            <w:webHidden/>
          </w:rPr>
          <w:t>496</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11"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8D3035">
          <w:rPr>
            <w:rStyle w:val="Hyperlink"/>
            <w:rFonts w:hint="cs"/>
            <w:rtl/>
          </w:rPr>
          <w:t xml:space="preserve"> </w:t>
        </w:r>
        <w:r w:rsidR="00AD0AE5" w:rsidRPr="00282605">
          <w:rPr>
            <w:rStyle w:val="Hyperlink"/>
            <w:rFonts w:hint="eastAsia"/>
            <w:rtl/>
          </w:rPr>
          <w:t>القاعدة</w:t>
        </w:r>
        <w:r w:rsidR="008D3035">
          <w:rPr>
            <w:rStyle w:val="Hyperlink"/>
            <w:rFonts w:hint="cs"/>
            <w:rtl/>
          </w:rPr>
          <w:t xml:space="preserve"> </w:t>
        </w:r>
        <w:r w:rsidR="00AD0AE5" w:rsidRPr="00282605">
          <w:rPr>
            <w:rStyle w:val="Hyperlink"/>
            <w:rFonts w:hint="eastAsia"/>
            <w:rtl/>
          </w:rPr>
          <w:t>عند</w:t>
        </w:r>
        <w:r w:rsidR="008D3035">
          <w:rPr>
            <w:rStyle w:val="Hyperlink"/>
            <w:rFonts w:hint="cs"/>
            <w:rtl/>
          </w:rPr>
          <w:t xml:space="preserve"> </w:t>
        </w:r>
        <w:r w:rsidR="00AD0AE5" w:rsidRPr="00282605">
          <w:rPr>
            <w:rStyle w:val="Hyperlink"/>
            <w:rFonts w:hint="eastAsia"/>
            <w:rtl/>
          </w:rPr>
          <w:t>الشيخ</w:t>
        </w:r>
        <w:r w:rsidR="008D3035">
          <w:rPr>
            <w:rStyle w:val="Hyperlink"/>
            <w:rFonts w:hint="cs"/>
            <w:rtl/>
          </w:rPr>
          <w:t xml:space="preserve"> </w:t>
        </w:r>
        <w:r w:rsidR="00AD0AE5" w:rsidRPr="00282605">
          <w:rPr>
            <w:rStyle w:val="Hyperlink"/>
            <w:rFonts w:hint="eastAsia"/>
            <w:rtl/>
          </w:rPr>
          <w:t>وعند</w:t>
        </w:r>
        <w:r w:rsidR="008D3035">
          <w:rPr>
            <w:rStyle w:val="Hyperlink"/>
            <w:rFonts w:hint="cs"/>
            <w:rtl/>
          </w:rPr>
          <w:t xml:space="preserve"> </w:t>
        </w:r>
        <w:r w:rsidR="00AD0AE5" w:rsidRPr="00282605">
          <w:rPr>
            <w:rStyle w:val="Hyperlink"/>
            <w:rFonts w:hint="eastAsia"/>
            <w:rtl/>
          </w:rPr>
          <w:t>علماء</w:t>
        </w:r>
        <w:r w:rsidR="008D3035">
          <w:rPr>
            <w:rStyle w:val="Hyperlink"/>
            <w:rFonts w:hint="cs"/>
            <w:rtl/>
          </w:rPr>
          <w:t xml:space="preserve"> </w:t>
        </w:r>
        <w:r w:rsidR="00AD0AE5" w:rsidRPr="00282605">
          <w:rPr>
            <w:rStyle w:val="Hyperlink"/>
            <w:rFonts w:hint="eastAsia"/>
            <w:rtl/>
          </w:rPr>
          <w:t>القواعد</w:t>
        </w:r>
        <w:r w:rsidR="00AD0AE5" w:rsidRPr="00282605">
          <w:rPr>
            <w:rStyle w:val="Hyperlink"/>
            <w:rtl/>
          </w:rPr>
          <w:t>:</w:t>
        </w:r>
        <w:r w:rsidR="00AD0AE5">
          <w:rPr>
            <w:webHidden/>
            <w:rtl/>
          </w:rPr>
          <w:tab/>
        </w:r>
        <w:r w:rsidR="0010464B">
          <w:rPr>
            <w:webHidden/>
          </w:rPr>
          <w:t>496</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12"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القاعــــــــــــــــدة</w:t>
        </w:r>
        <w:r w:rsidR="00AD0AE5">
          <w:rPr>
            <w:webHidden/>
            <w:rtl/>
          </w:rPr>
          <w:tab/>
        </w:r>
        <w:r w:rsidR="0010464B">
          <w:rPr>
            <w:webHidden/>
          </w:rPr>
          <w:t>498</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13"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500</w:t>
        </w:r>
      </w:hyperlink>
    </w:p>
    <w:p w:rsidR="00AD0AE5" w:rsidRDefault="00AB0B9E" w:rsidP="0010464B">
      <w:pPr>
        <w:pStyle w:val="40"/>
      </w:pPr>
      <w:hyperlink w:anchor="_Toc334046614"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10464B">
          <w:rPr>
            <w:webHidden/>
          </w:rPr>
          <w:t>502</w:t>
        </w:r>
      </w:hyperlink>
    </w:p>
    <w:p w:rsidR="00AD0AE5" w:rsidRDefault="00AB0B9E" w:rsidP="0010464B">
      <w:pPr>
        <w:pStyle w:val="30"/>
        <w:rPr>
          <w:rFonts w:asciiTheme="minorHAnsi" w:eastAsiaTheme="minorEastAsia" w:hAnsiTheme="minorHAnsi" w:cstheme="minorBidi"/>
          <w:b w:val="0"/>
          <w:bCs w:val="0"/>
          <w:color w:val="auto"/>
          <w:sz w:val="22"/>
          <w:szCs w:val="22"/>
          <w:rtl/>
          <w:lang w:val="fr-FR" w:eastAsia="fr-FR"/>
        </w:rPr>
      </w:pPr>
      <w:hyperlink w:anchor="_Toc334046615" w:history="1">
        <w:r w:rsidR="00AD0AE5" w:rsidRPr="00282605">
          <w:rPr>
            <w:rStyle w:val="Hyperlink"/>
            <w:rFonts w:hint="eastAsia"/>
            <w:rtl/>
          </w:rPr>
          <w:t>المبحث</w:t>
        </w:r>
        <w:r w:rsidR="008D3035">
          <w:rPr>
            <w:rStyle w:val="Hyperlink"/>
            <w:rFonts w:hint="cs"/>
            <w:rtl/>
          </w:rPr>
          <w:t xml:space="preserve"> </w:t>
        </w:r>
        <w:r w:rsidR="00AD0AE5" w:rsidRPr="00282605">
          <w:rPr>
            <w:rStyle w:val="Hyperlink"/>
            <w:rFonts w:hint="eastAsia"/>
            <w:rtl/>
          </w:rPr>
          <w:t>التاسع</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السلطان</w:t>
        </w:r>
        <w:r w:rsidR="008D3035">
          <w:rPr>
            <w:rStyle w:val="Hyperlink"/>
            <w:rFonts w:hint="cs"/>
            <w:rtl/>
          </w:rPr>
          <w:t xml:space="preserve"> </w:t>
        </w:r>
        <w:r w:rsidR="00AD0AE5" w:rsidRPr="00282605">
          <w:rPr>
            <w:rStyle w:val="Hyperlink"/>
            <w:rFonts w:hint="eastAsia"/>
            <w:rtl/>
          </w:rPr>
          <w:t>ولي</w:t>
        </w:r>
        <w:r w:rsidR="008D3035">
          <w:rPr>
            <w:rStyle w:val="Hyperlink"/>
            <w:rFonts w:hint="cs"/>
            <w:rtl/>
          </w:rPr>
          <w:t xml:space="preserve"> </w:t>
        </w:r>
        <w:r w:rsidR="00AD0AE5" w:rsidRPr="00282605">
          <w:rPr>
            <w:rStyle w:val="Hyperlink"/>
            <w:rFonts w:hint="eastAsia"/>
            <w:rtl/>
          </w:rPr>
          <w:t>من</w:t>
        </w:r>
        <w:r w:rsidR="008D3035">
          <w:rPr>
            <w:rStyle w:val="Hyperlink"/>
            <w:rFonts w:hint="cs"/>
            <w:rtl/>
          </w:rPr>
          <w:t xml:space="preserve"> </w:t>
        </w:r>
        <w:r w:rsidR="00AD0AE5" w:rsidRPr="00282605">
          <w:rPr>
            <w:rStyle w:val="Hyperlink"/>
            <w:rFonts w:hint="eastAsia"/>
            <w:rtl/>
          </w:rPr>
          <w:t>لا</w:t>
        </w:r>
        <w:r w:rsidR="008D3035">
          <w:rPr>
            <w:rStyle w:val="Hyperlink"/>
            <w:rFonts w:hint="cs"/>
            <w:rtl/>
          </w:rPr>
          <w:t xml:space="preserve"> </w:t>
        </w:r>
        <w:r w:rsidR="00AD0AE5" w:rsidRPr="00282605">
          <w:rPr>
            <w:rStyle w:val="Hyperlink"/>
            <w:rFonts w:hint="eastAsia"/>
            <w:rtl/>
          </w:rPr>
          <w:t>ولي</w:t>
        </w:r>
        <w:r w:rsidR="008D3035">
          <w:rPr>
            <w:rStyle w:val="Hyperlink"/>
            <w:rFonts w:hint="cs"/>
            <w:rtl/>
          </w:rPr>
          <w:t xml:space="preserve"> </w:t>
        </w:r>
        <w:r w:rsidR="00AD0AE5" w:rsidRPr="00282605">
          <w:rPr>
            <w:rStyle w:val="Hyperlink"/>
            <w:rFonts w:hint="eastAsia"/>
            <w:rtl/>
          </w:rPr>
          <w:t>له</w:t>
        </w:r>
        <w:r w:rsidR="00AD0AE5" w:rsidRPr="00282605">
          <w:rPr>
            <w:rStyle w:val="Hyperlink"/>
            <w:rtl/>
          </w:rPr>
          <w:t>"</w:t>
        </w:r>
        <w:r w:rsidR="00AD0AE5">
          <w:rPr>
            <w:webHidden/>
            <w:rtl/>
          </w:rPr>
          <w:tab/>
        </w:r>
        <w:r w:rsidR="0010464B">
          <w:rPr>
            <w:webHidden/>
          </w:rPr>
          <w:t>505</w:t>
        </w:r>
      </w:hyperlink>
    </w:p>
    <w:p w:rsidR="00AD0AE5" w:rsidRDefault="00AB0B9E" w:rsidP="0010464B">
      <w:pPr>
        <w:pStyle w:val="40"/>
        <w:rPr>
          <w:rFonts w:asciiTheme="minorHAnsi" w:eastAsiaTheme="minorEastAsia" w:hAnsiTheme="minorHAnsi" w:cstheme="minorBidi"/>
          <w:color w:val="auto"/>
          <w:sz w:val="22"/>
          <w:szCs w:val="22"/>
          <w:rtl/>
          <w:lang w:val="fr-FR" w:eastAsia="fr-FR"/>
        </w:rPr>
      </w:pPr>
      <w:hyperlink w:anchor="_Toc334046616"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8D3035">
          <w:rPr>
            <w:rStyle w:val="Hyperlink"/>
            <w:rFonts w:hint="cs"/>
            <w:rtl/>
          </w:rPr>
          <w:t xml:space="preserve"> </w:t>
        </w:r>
        <w:r w:rsidR="00AD0AE5" w:rsidRPr="00282605">
          <w:rPr>
            <w:rStyle w:val="Hyperlink"/>
            <w:rFonts w:hint="eastAsia"/>
            <w:rtl/>
          </w:rPr>
          <w:t>القاعدة</w:t>
        </w:r>
        <w:r w:rsidR="008D3035">
          <w:rPr>
            <w:rStyle w:val="Hyperlink"/>
            <w:rFonts w:hint="cs"/>
            <w:rtl/>
          </w:rPr>
          <w:t xml:space="preserve"> </w:t>
        </w:r>
        <w:r w:rsidR="00AD0AE5" w:rsidRPr="00282605">
          <w:rPr>
            <w:rStyle w:val="Hyperlink"/>
            <w:rFonts w:hint="eastAsia"/>
            <w:rtl/>
          </w:rPr>
          <w:t>عند</w:t>
        </w:r>
        <w:r w:rsidR="008D3035">
          <w:rPr>
            <w:rStyle w:val="Hyperlink"/>
            <w:rFonts w:hint="cs"/>
            <w:rtl/>
          </w:rPr>
          <w:t xml:space="preserve"> </w:t>
        </w:r>
        <w:r w:rsidR="00AD0AE5" w:rsidRPr="00282605">
          <w:rPr>
            <w:rStyle w:val="Hyperlink"/>
            <w:rFonts w:hint="eastAsia"/>
            <w:rtl/>
          </w:rPr>
          <w:t>الشيخ</w:t>
        </w:r>
        <w:r w:rsidR="008D3035">
          <w:rPr>
            <w:rStyle w:val="Hyperlink"/>
            <w:rFonts w:hint="cs"/>
            <w:rtl/>
          </w:rPr>
          <w:t xml:space="preserve"> </w:t>
        </w:r>
        <w:r w:rsidR="00AD0AE5" w:rsidRPr="00282605">
          <w:rPr>
            <w:rStyle w:val="Hyperlink"/>
            <w:rFonts w:hint="eastAsia"/>
            <w:rtl/>
          </w:rPr>
          <w:t>وعند</w:t>
        </w:r>
        <w:r w:rsidR="008D3035">
          <w:rPr>
            <w:rStyle w:val="Hyperlink"/>
            <w:rFonts w:hint="cs"/>
            <w:rtl/>
          </w:rPr>
          <w:t xml:space="preserve"> </w:t>
        </w:r>
        <w:r w:rsidR="00AD0AE5" w:rsidRPr="00282605">
          <w:rPr>
            <w:rStyle w:val="Hyperlink"/>
            <w:rFonts w:hint="eastAsia"/>
            <w:rtl/>
          </w:rPr>
          <w:t>علماء</w:t>
        </w:r>
        <w:r w:rsidR="008D3035">
          <w:rPr>
            <w:rStyle w:val="Hyperlink"/>
            <w:rFonts w:hint="cs"/>
            <w:rtl/>
          </w:rPr>
          <w:t xml:space="preserve"> </w:t>
        </w:r>
        <w:r w:rsidR="00AD0AE5" w:rsidRPr="00282605">
          <w:rPr>
            <w:rStyle w:val="Hyperlink"/>
            <w:rFonts w:hint="eastAsia"/>
            <w:rtl/>
          </w:rPr>
          <w:t>القواعد</w:t>
        </w:r>
        <w:r w:rsidR="00AD0AE5">
          <w:rPr>
            <w:webHidden/>
            <w:rtl/>
          </w:rPr>
          <w:tab/>
        </w:r>
        <w:r w:rsidR="0010464B">
          <w:rPr>
            <w:webHidden/>
          </w:rPr>
          <w:t>505</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17"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5B4391">
          <w:rPr>
            <w:webHidden/>
          </w:rPr>
          <w:t>506</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18"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5B4391">
          <w:rPr>
            <w:rFonts w:hint="cs"/>
            <w:webHidden/>
            <w:rtl/>
          </w:rPr>
          <w:t>507</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19"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5B4391">
          <w:rPr>
            <w:rFonts w:hint="cs"/>
            <w:webHidden/>
            <w:rtl/>
          </w:rPr>
          <w:t>508</w:t>
        </w:r>
      </w:hyperlink>
    </w:p>
    <w:p w:rsidR="00AD0AE5" w:rsidRDefault="00AB0B9E" w:rsidP="005B4391">
      <w:pPr>
        <w:pStyle w:val="30"/>
        <w:rPr>
          <w:rFonts w:asciiTheme="minorHAnsi" w:eastAsiaTheme="minorEastAsia" w:hAnsiTheme="minorHAnsi" w:cstheme="minorBidi"/>
          <w:b w:val="0"/>
          <w:bCs w:val="0"/>
          <w:color w:val="auto"/>
          <w:sz w:val="22"/>
          <w:szCs w:val="22"/>
          <w:rtl/>
          <w:lang w:val="fr-FR" w:eastAsia="fr-FR"/>
        </w:rPr>
      </w:pPr>
      <w:hyperlink w:anchor="_Toc334046620" w:history="1">
        <w:r w:rsidR="00AD0AE5" w:rsidRPr="00282605">
          <w:rPr>
            <w:rStyle w:val="Hyperlink"/>
            <w:rFonts w:hint="eastAsia"/>
            <w:rtl/>
          </w:rPr>
          <w:t>المبحث</w:t>
        </w:r>
        <w:r w:rsidR="008D3035">
          <w:rPr>
            <w:rStyle w:val="Hyperlink"/>
            <w:rFonts w:hint="cs"/>
            <w:rtl/>
          </w:rPr>
          <w:t xml:space="preserve"> </w:t>
        </w:r>
        <w:r w:rsidR="00AD0AE5" w:rsidRPr="00282605">
          <w:rPr>
            <w:rStyle w:val="Hyperlink"/>
            <w:rFonts w:hint="eastAsia"/>
            <w:rtl/>
          </w:rPr>
          <w:t>العاشر</w:t>
        </w:r>
        <w:r w:rsidR="00AD0AE5" w:rsidRPr="00282605">
          <w:rPr>
            <w:rStyle w:val="Hyperlink"/>
            <w:rtl/>
          </w:rPr>
          <w:t xml:space="preserve"> : </w:t>
        </w:r>
        <w:r w:rsidR="00AD0AE5" w:rsidRPr="00282605">
          <w:rPr>
            <w:rStyle w:val="Hyperlink"/>
            <w:rFonts w:hint="eastAsia"/>
            <w:rtl/>
          </w:rPr>
          <w:t>قاعدة</w:t>
        </w:r>
        <w:r w:rsidR="00AD0AE5" w:rsidRPr="00282605">
          <w:rPr>
            <w:rStyle w:val="Hyperlink"/>
            <w:rtl/>
          </w:rPr>
          <w:t xml:space="preserve"> "</w:t>
        </w:r>
        <w:r w:rsidR="00AD0AE5" w:rsidRPr="00282605">
          <w:rPr>
            <w:rStyle w:val="Hyperlink"/>
            <w:rFonts w:hint="eastAsia"/>
            <w:rtl/>
          </w:rPr>
          <w:t>الأعيان</w:t>
        </w:r>
        <w:r w:rsidR="008D3035">
          <w:rPr>
            <w:rStyle w:val="Hyperlink"/>
            <w:rFonts w:hint="cs"/>
            <w:rtl/>
          </w:rPr>
          <w:t xml:space="preserve"> </w:t>
        </w:r>
        <w:r w:rsidR="00AD0AE5" w:rsidRPr="00282605">
          <w:rPr>
            <w:rStyle w:val="Hyperlink"/>
            <w:rFonts w:hint="eastAsia"/>
            <w:rtl/>
          </w:rPr>
          <w:t>التي</w:t>
        </w:r>
        <w:r w:rsidR="008D3035">
          <w:rPr>
            <w:rStyle w:val="Hyperlink"/>
            <w:rFonts w:hint="cs"/>
            <w:rtl/>
          </w:rPr>
          <w:t xml:space="preserve"> </w:t>
        </w:r>
        <w:r w:rsidR="00AD0AE5" w:rsidRPr="00282605">
          <w:rPr>
            <w:rStyle w:val="Hyperlink"/>
            <w:rFonts w:hint="eastAsia"/>
            <w:rtl/>
          </w:rPr>
          <w:t>تحدث</w:t>
        </w:r>
        <w:r w:rsidR="008D3035">
          <w:rPr>
            <w:rStyle w:val="Hyperlink"/>
            <w:rFonts w:hint="cs"/>
            <w:rtl/>
          </w:rPr>
          <w:t xml:space="preserve"> </w:t>
        </w:r>
        <w:r w:rsidR="005B4391">
          <w:rPr>
            <w:rStyle w:val="Hyperlink"/>
            <w:rFonts w:hint="eastAsia"/>
            <w:rtl/>
          </w:rPr>
          <w:t>شيئافشيئ</w:t>
        </w:r>
        <w:r w:rsidR="005B4391">
          <w:rPr>
            <w:rStyle w:val="Hyperlink"/>
            <w:rFonts w:hint="cs"/>
            <w:rtl/>
          </w:rPr>
          <w:t>ا</w:t>
        </w:r>
        <w:r w:rsidR="00AD0AE5" w:rsidRPr="00282605">
          <w:rPr>
            <w:rStyle w:val="Hyperlink"/>
            <w:rtl/>
          </w:rPr>
          <w:t xml:space="preserve"> </w:t>
        </w:r>
        <w:r w:rsidR="00AD0AE5" w:rsidRPr="00282605">
          <w:rPr>
            <w:rStyle w:val="Hyperlink"/>
            <w:rFonts w:hint="eastAsia"/>
            <w:rtl/>
          </w:rPr>
          <w:t>كالمنافع</w:t>
        </w:r>
        <w:r w:rsidR="00AD0AE5" w:rsidRPr="00282605">
          <w:rPr>
            <w:rStyle w:val="Hyperlink"/>
            <w:rtl/>
          </w:rPr>
          <w:t>"</w:t>
        </w:r>
        <w:r w:rsidR="00AD0AE5">
          <w:rPr>
            <w:webHidden/>
            <w:rtl/>
          </w:rPr>
          <w:tab/>
        </w:r>
        <w:r w:rsidR="005B4391">
          <w:rPr>
            <w:webHidden/>
          </w:rPr>
          <w:t>510</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21"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صيغ</w:t>
        </w:r>
        <w:r w:rsidR="008D3035">
          <w:rPr>
            <w:rStyle w:val="Hyperlink"/>
            <w:rFonts w:hint="cs"/>
            <w:rtl/>
          </w:rPr>
          <w:t xml:space="preserve"> </w:t>
        </w:r>
        <w:r w:rsidR="00AD0AE5" w:rsidRPr="00282605">
          <w:rPr>
            <w:rStyle w:val="Hyperlink"/>
            <w:rFonts w:hint="eastAsia"/>
            <w:rtl/>
          </w:rPr>
          <w:t>القاعدة</w:t>
        </w:r>
        <w:r w:rsidR="008D3035">
          <w:rPr>
            <w:rStyle w:val="Hyperlink"/>
            <w:rFonts w:hint="cs"/>
            <w:rtl/>
          </w:rPr>
          <w:t xml:space="preserve"> </w:t>
        </w:r>
        <w:r w:rsidR="00AD0AE5" w:rsidRPr="00282605">
          <w:rPr>
            <w:rStyle w:val="Hyperlink"/>
            <w:rFonts w:hint="eastAsia"/>
            <w:rtl/>
          </w:rPr>
          <w:t>عند</w:t>
        </w:r>
        <w:r w:rsidR="008D3035">
          <w:rPr>
            <w:rStyle w:val="Hyperlink"/>
            <w:rFonts w:hint="cs"/>
            <w:rtl/>
          </w:rPr>
          <w:t xml:space="preserve"> </w:t>
        </w:r>
        <w:r w:rsidR="00AD0AE5" w:rsidRPr="00282605">
          <w:rPr>
            <w:rStyle w:val="Hyperlink"/>
            <w:rFonts w:hint="eastAsia"/>
            <w:rtl/>
          </w:rPr>
          <w:t>الشيخ</w:t>
        </w:r>
        <w:r w:rsidR="008D3035">
          <w:rPr>
            <w:rStyle w:val="Hyperlink"/>
            <w:rFonts w:hint="cs"/>
            <w:rtl/>
          </w:rPr>
          <w:t xml:space="preserve"> </w:t>
        </w:r>
        <w:r w:rsidR="00AD0AE5" w:rsidRPr="00282605">
          <w:rPr>
            <w:rStyle w:val="Hyperlink"/>
            <w:rFonts w:hint="eastAsia"/>
            <w:rtl/>
          </w:rPr>
          <w:t>وعند</w:t>
        </w:r>
        <w:r w:rsidR="008D3035">
          <w:rPr>
            <w:rStyle w:val="Hyperlink"/>
            <w:rFonts w:hint="cs"/>
            <w:rtl/>
          </w:rPr>
          <w:t xml:space="preserve"> </w:t>
        </w:r>
        <w:r w:rsidR="00AD0AE5" w:rsidRPr="00282605">
          <w:rPr>
            <w:rStyle w:val="Hyperlink"/>
            <w:rFonts w:hint="eastAsia"/>
            <w:rtl/>
          </w:rPr>
          <w:t>علماء</w:t>
        </w:r>
        <w:r w:rsidR="008D3035">
          <w:rPr>
            <w:rStyle w:val="Hyperlink"/>
            <w:rFonts w:hint="cs"/>
            <w:rtl/>
          </w:rPr>
          <w:t xml:space="preserve"> </w:t>
        </w:r>
        <w:r w:rsidR="00AD0AE5" w:rsidRPr="00282605">
          <w:rPr>
            <w:rStyle w:val="Hyperlink"/>
            <w:rFonts w:hint="eastAsia"/>
            <w:rtl/>
          </w:rPr>
          <w:t>القواعد</w:t>
        </w:r>
        <w:r w:rsidR="00AD0AE5">
          <w:rPr>
            <w:webHidden/>
            <w:rtl/>
          </w:rPr>
          <w:tab/>
        </w:r>
        <w:r w:rsidR="005B4391">
          <w:rPr>
            <w:webHidden/>
          </w:rPr>
          <w:t>510</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22"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5B4391">
          <w:rPr>
            <w:webHidden/>
          </w:rPr>
          <w:t>511</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23"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5B4391">
          <w:rPr>
            <w:rStyle w:val="Hyperlink"/>
            <w:rFonts w:hint="eastAsia"/>
            <w:rtl/>
          </w:rPr>
          <w:t>دل</w:t>
        </w:r>
        <w:r w:rsidR="005B4391">
          <w:rPr>
            <w:rStyle w:val="Hyperlink"/>
            <w:rFonts w:hint="cs"/>
            <w:rtl/>
          </w:rPr>
          <w:t>يل</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5B4391">
          <w:rPr>
            <w:rFonts w:hint="cs"/>
            <w:webHidden/>
            <w:rtl/>
          </w:rPr>
          <w:t>512</w:t>
        </w:r>
      </w:hyperlink>
    </w:p>
    <w:p w:rsidR="002F0855" w:rsidRDefault="00AB0B9E" w:rsidP="005B4391">
      <w:pPr>
        <w:pStyle w:val="40"/>
        <w:rPr>
          <w:rtl/>
        </w:rPr>
      </w:pPr>
      <w:hyperlink w:anchor="_Toc334046624"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القاعدة</w:t>
        </w:r>
        <w:r w:rsidR="00AD0AE5">
          <w:rPr>
            <w:webHidden/>
            <w:rtl/>
          </w:rPr>
          <w:tab/>
        </w:r>
        <w:r w:rsidR="005B4391">
          <w:rPr>
            <w:rFonts w:hint="cs"/>
            <w:webHidden/>
            <w:rtl/>
          </w:rPr>
          <w:t>512</w:t>
        </w:r>
      </w:hyperlink>
    </w:p>
    <w:p w:rsidR="00AD0AE5" w:rsidRDefault="00AB0B9E" w:rsidP="005B4391">
      <w:pPr>
        <w:pStyle w:val="15"/>
        <w:rPr>
          <w:rFonts w:asciiTheme="minorHAnsi" w:eastAsiaTheme="minorEastAsia" w:hAnsiTheme="minorHAnsi" w:cstheme="minorBidi"/>
          <w:b w:val="0"/>
          <w:bCs w:val="0"/>
          <w:color w:val="auto"/>
          <w:sz w:val="22"/>
          <w:szCs w:val="22"/>
          <w:rtl/>
          <w:lang w:val="fr-FR" w:eastAsia="fr-FR"/>
        </w:rPr>
      </w:pPr>
      <w:hyperlink w:anchor="_Toc334046625" w:history="1">
        <w:r w:rsidR="00AD0AE5" w:rsidRPr="00282605">
          <w:rPr>
            <w:rStyle w:val="Hyperlink"/>
            <w:rFonts w:hint="eastAsia"/>
            <w:rtl/>
          </w:rPr>
          <w:t>الباب</w:t>
        </w:r>
        <w:r w:rsidR="008D3035">
          <w:rPr>
            <w:rStyle w:val="Hyperlink"/>
            <w:rFonts w:hint="cs"/>
            <w:rtl/>
          </w:rPr>
          <w:t xml:space="preserve"> </w:t>
        </w:r>
        <w:r w:rsidR="00AD0AE5" w:rsidRPr="00282605">
          <w:rPr>
            <w:rStyle w:val="Hyperlink"/>
            <w:rFonts w:hint="eastAsia"/>
            <w:rtl/>
          </w:rPr>
          <w:t>الثاني </w:t>
        </w:r>
        <w:r w:rsidR="00AD0AE5" w:rsidRPr="00282605">
          <w:rPr>
            <w:rStyle w:val="Hyperlink"/>
            <w:rtl/>
          </w:rPr>
          <w:t xml:space="preserve">: </w:t>
        </w:r>
        <w:r w:rsidR="00AD0AE5" w:rsidRPr="00282605">
          <w:rPr>
            <w:rStyle w:val="Hyperlink"/>
            <w:rFonts w:hint="eastAsia"/>
            <w:rtl/>
          </w:rPr>
          <w:t>الضوابط</w:t>
        </w:r>
        <w:r w:rsidR="008D3035">
          <w:rPr>
            <w:rStyle w:val="Hyperlink"/>
            <w:rFonts w:hint="cs"/>
            <w:rtl/>
          </w:rPr>
          <w:t xml:space="preserve"> </w:t>
        </w:r>
        <w:r w:rsidR="00AD0AE5" w:rsidRPr="00282605">
          <w:rPr>
            <w:rStyle w:val="Hyperlink"/>
            <w:rFonts w:hint="eastAsia"/>
            <w:rtl/>
          </w:rPr>
          <w:t>الفقهية</w:t>
        </w:r>
        <w:r w:rsidR="008D3035">
          <w:rPr>
            <w:rStyle w:val="Hyperlink"/>
            <w:rFonts w:hint="cs"/>
            <w:rtl/>
          </w:rPr>
          <w:t xml:space="preserve"> </w:t>
        </w:r>
        <w:r w:rsidR="00AD0AE5" w:rsidRPr="00282605">
          <w:rPr>
            <w:rStyle w:val="Hyperlink"/>
            <w:rFonts w:hint="eastAsia"/>
            <w:rtl/>
          </w:rPr>
          <w:t>المتعلقة</w:t>
        </w:r>
        <w:r w:rsidR="008D3035">
          <w:rPr>
            <w:rStyle w:val="Hyperlink"/>
            <w:rFonts w:hint="cs"/>
            <w:rtl/>
          </w:rPr>
          <w:t xml:space="preserve"> </w:t>
        </w:r>
        <w:r w:rsidR="00AD0AE5" w:rsidRPr="00282605">
          <w:rPr>
            <w:rStyle w:val="Hyperlink"/>
            <w:rFonts w:hint="eastAsia"/>
            <w:rtl/>
          </w:rPr>
          <w:t>بالمعاملات</w:t>
        </w:r>
        <w:r w:rsidR="008D3035">
          <w:rPr>
            <w:rStyle w:val="Hyperlink"/>
            <w:rFonts w:hint="cs"/>
            <w:rtl/>
          </w:rPr>
          <w:t xml:space="preserve"> </w:t>
        </w:r>
        <w:r w:rsidR="00AD0AE5" w:rsidRPr="00282605">
          <w:rPr>
            <w:rStyle w:val="Hyperlink"/>
            <w:rFonts w:hint="eastAsia"/>
            <w:rtl/>
          </w:rPr>
          <w:t>من</w:t>
        </w:r>
        <w:r w:rsidR="008D3035">
          <w:rPr>
            <w:rStyle w:val="Hyperlink"/>
            <w:rFonts w:hint="cs"/>
            <w:rtl/>
          </w:rPr>
          <w:t xml:space="preserve"> </w:t>
        </w:r>
        <w:r w:rsidR="00AD0AE5" w:rsidRPr="00282605">
          <w:rPr>
            <w:rStyle w:val="Hyperlink"/>
            <w:rFonts w:hint="eastAsia"/>
            <w:rtl/>
          </w:rPr>
          <w:t>الشرح</w:t>
        </w:r>
        <w:r w:rsidR="008D3035">
          <w:rPr>
            <w:rStyle w:val="Hyperlink"/>
            <w:rFonts w:hint="cs"/>
            <w:rtl/>
          </w:rPr>
          <w:t xml:space="preserve"> </w:t>
        </w:r>
        <w:r w:rsidR="00AD0AE5" w:rsidRPr="00282605">
          <w:rPr>
            <w:rStyle w:val="Hyperlink"/>
            <w:rFonts w:hint="eastAsia"/>
            <w:rtl/>
          </w:rPr>
          <w:t>الممتع</w:t>
        </w:r>
        <w:r w:rsidR="00AD0AE5">
          <w:rPr>
            <w:webHidden/>
            <w:rtl/>
          </w:rPr>
          <w:tab/>
        </w:r>
        <w:r w:rsidR="005B4391">
          <w:rPr>
            <w:webHidden/>
          </w:rPr>
          <w:t>514</w:t>
        </w:r>
      </w:hyperlink>
    </w:p>
    <w:p w:rsidR="00AD0AE5" w:rsidRDefault="00AB0B9E" w:rsidP="005B4391">
      <w:pPr>
        <w:pStyle w:val="20"/>
        <w:rPr>
          <w:rFonts w:asciiTheme="minorHAnsi" w:eastAsiaTheme="minorEastAsia" w:hAnsiTheme="minorHAnsi" w:cstheme="minorBidi"/>
          <w:bCs w:val="0"/>
          <w:color w:val="auto"/>
          <w:sz w:val="22"/>
          <w:szCs w:val="22"/>
          <w:rtl/>
          <w:lang w:val="fr-FR" w:eastAsia="fr-FR"/>
        </w:rPr>
      </w:pPr>
      <w:hyperlink w:anchor="_Toc334046626" w:history="1">
        <w:r w:rsidR="00AD0AE5" w:rsidRPr="00282605">
          <w:rPr>
            <w:rStyle w:val="Hyperlink"/>
            <w:rFonts w:hint="eastAsia"/>
            <w:rtl/>
          </w:rPr>
          <w:t>الفصل</w:t>
        </w:r>
        <w:r w:rsidR="00351451">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الضوابط</w:t>
        </w:r>
        <w:r w:rsidR="00351451">
          <w:rPr>
            <w:rStyle w:val="Hyperlink"/>
            <w:rFonts w:hint="cs"/>
            <w:rtl/>
          </w:rPr>
          <w:t xml:space="preserve"> </w:t>
        </w:r>
        <w:r w:rsidR="00AD0AE5" w:rsidRPr="00282605">
          <w:rPr>
            <w:rStyle w:val="Hyperlink"/>
            <w:rFonts w:hint="eastAsia"/>
            <w:rtl/>
          </w:rPr>
          <w:t>المتعلقة</w:t>
        </w:r>
        <w:r w:rsidR="00351451">
          <w:rPr>
            <w:rStyle w:val="Hyperlink"/>
            <w:rFonts w:hint="cs"/>
            <w:rtl/>
          </w:rPr>
          <w:t xml:space="preserve"> </w:t>
        </w:r>
        <w:r w:rsidR="00AD0AE5" w:rsidRPr="00282605">
          <w:rPr>
            <w:rStyle w:val="Hyperlink"/>
            <w:rFonts w:hint="eastAsia"/>
            <w:rtl/>
          </w:rPr>
          <w:t>بباب</w:t>
        </w:r>
        <w:r w:rsidR="00351451">
          <w:rPr>
            <w:rStyle w:val="Hyperlink"/>
            <w:rFonts w:hint="cs"/>
            <w:rtl/>
          </w:rPr>
          <w:t xml:space="preserve"> </w:t>
        </w:r>
        <w:r w:rsidR="00AD0AE5" w:rsidRPr="00282605">
          <w:rPr>
            <w:rStyle w:val="Hyperlink"/>
            <w:rFonts w:hint="eastAsia"/>
            <w:rtl/>
          </w:rPr>
          <w:t>الخيار</w:t>
        </w:r>
        <w:r w:rsidR="00AD0AE5">
          <w:rPr>
            <w:webHidden/>
            <w:rtl/>
          </w:rPr>
          <w:tab/>
        </w:r>
        <w:r w:rsidR="005B4391">
          <w:rPr>
            <w:webHidden/>
          </w:rPr>
          <w:t>515</w:t>
        </w:r>
      </w:hyperlink>
    </w:p>
    <w:p w:rsidR="00AD0AE5" w:rsidRDefault="00AB0B9E" w:rsidP="005B4391">
      <w:pPr>
        <w:pStyle w:val="30"/>
        <w:rPr>
          <w:rFonts w:asciiTheme="minorHAnsi" w:eastAsiaTheme="minorEastAsia" w:hAnsiTheme="minorHAnsi" w:cstheme="minorBidi"/>
          <w:b w:val="0"/>
          <w:bCs w:val="0"/>
          <w:color w:val="auto"/>
          <w:sz w:val="22"/>
          <w:szCs w:val="22"/>
          <w:rtl/>
          <w:lang w:val="fr-FR" w:eastAsia="fr-FR"/>
        </w:rPr>
      </w:pPr>
      <w:hyperlink w:anchor="_Toc334046627" w:history="1">
        <w:r w:rsidR="00AD0AE5" w:rsidRPr="00282605">
          <w:rPr>
            <w:rStyle w:val="Hyperlink"/>
            <w:rFonts w:ascii="Traditional Arabic" w:hAnsi="Traditional Arabic" w:hint="eastAsia"/>
            <w:rtl/>
          </w:rPr>
          <w:t>المبحث</w:t>
        </w:r>
        <w:r w:rsidR="00351451">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من</w:t>
        </w:r>
        <w:r w:rsidR="002F0855">
          <w:rPr>
            <w:rStyle w:val="Hyperlink"/>
            <w:rFonts w:hint="cs"/>
            <w:rtl/>
          </w:rPr>
          <w:t xml:space="preserve"> </w:t>
        </w:r>
        <w:r w:rsidR="00AD0AE5" w:rsidRPr="00282605">
          <w:rPr>
            <w:rStyle w:val="Hyperlink"/>
            <w:rFonts w:hint="eastAsia"/>
            <w:rtl/>
          </w:rPr>
          <w:t>فات</w:t>
        </w:r>
        <w:r w:rsidR="002F0855">
          <w:rPr>
            <w:rStyle w:val="Hyperlink"/>
            <w:rFonts w:hint="cs"/>
            <w:rtl/>
          </w:rPr>
          <w:t xml:space="preserve"> </w:t>
        </w:r>
        <w:r w:rsidR="00AD0AE5" w:rsidRPr="00282605">
          <w:rPr>
            <w:rStyle w:val="Hyperlink"/>
            <w:rFonts w:hint="eastAsia"/>
            <w:rtl/>
          </w:rPr>
          <w:t>غرضه</w:t>
        </w:r>
        <w:r w:rsidR="002F0855">
          <w:rPr>
            <w:rStyle w:val="Hyperlink"/>
            <w:rFonts w:hint="cs"/>
            <w:rtl/>
          </w:rPr>
          <w:t xml:space="preserve"> </w:t>
        </w:r>
        <w:r w:rsidR="00AD0AE5" w:rsidRPr="00282605">
          <w:rPr>
            <w:rStyle w:val="Hyperlink"/>
            <w:rFonts w:hint="eastAsia"/>
            <w:rtl/>
          </w:rPr>
          <w:t>فله</w:t>
        </w:r>
        <w:r w:rsidR="002F0855">
          <w:rPr>
            <w:rStyle w:val="Hyperlink"/>
            <w:rFonts w:hint="cs"/>
            <w:rtl/>
          </w:rPr>
          <w:t xml:space="preserve"> </w:t>
        </w:r>
        <w:r w:rsidR="00AD0AE5" w:rsidRPr="00282605">
          <w:rPr>
            <w:rStyle w:val="Hyperlink"/>
            <w:rFonts w:hint="eastAsia"/>
            <w:rtl/>
          </w:rPr>
          <w:t>الخيار</w:t>
        </w:r>
        <w:r w:rsidR="00AD0AE5" w:rsidRPr="00282605">
          <w:rPr>
            <w:rStyle w:val="Hyperlink"/>
            <w:rtl/>
          </w:rPr>
          <w:t>"</w:t>
        </w:r>
        <w:r w:rsidR="00AD0AE5">
          <w:rPr>
            <w:webHidden/>
            <w:rtl/>
          </w:rPr>
          <w:tab/>
        </w:r>
        <w:r w:rsidR="005B4391">
          <w:rPr>
            <w:rFonts w:hint="cs"/>
            <w:webHidden/>
            <w:rtl/>
          </w:rPr>
          <w:t>516</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28"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516</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29"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517</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30"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517</w:t>
        </w:r>
      </w:hyperlink>
    </w:p>
    <w:p w:rsidR="00AD0AE5" w:rsidRDefault="00AB0B9E" w:rsidP="005B4391">
      <w:pPr>
        <w:pStyle w:val="30"/>
        <w:rPr>
          <w:rFonts w:asciiTheme="minorHAnsi" w:eastAsiaTheme="minorEastAsia" w:hAnsiTheme="minorHAnsi" w:cstheme="minorBidi"/>
          <w:b w:val="0"/>
          <w:bCs w:val="0"/>
          <w:color w:val="auto"/>
          <w:sz w:val="22"/>
          <w:szCs w:val="22"/>
          <w:rtl/>
          <w:lang w:val="fr-FR" w:eastAsia="fr-FR"/>
        </w:rPr>
      </w:pPr>
      <w:hyperlink w:anchor="_Toc334046631" w:history="1">
        <w:r w:rsidR="00AD0AE5" w:rsidRPr="00282605">
          <w:rPr>
            <w:rStyle w:val="Hyperlink"/>
            <w:rFonts w:ascii="Traditional Arabic" w:hAnsi="Traditional Arabic" w:hint="eastAsia"/>
            <w:rtl/>
          </w:rPr>
          <w:t>المبحث</w:t>
        </w:r>
        <w:r w:rsidR="008D3035">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كل</w:t>
        </w:r>
        <w:r w:rsidR="008D3035">
          <w:rPr>
            <w:rStyle w:val="Hyperlink"/>
            <w:rFonts w:hint="cs"/>
            <w:rtl/>
          </w:rPr>
          <w:t xml:space="preserve"> </w:t>
        </w:r>
        <w:r w:rsidR="00AD0AE5" w:rsidRPr="00282605">
          <w:rPr>
            <w:rStyle w:val="Hyperlink"/>
            <w:rFonts w:hint="eastAsia"/>
            <w:rtl/>
          </w:rPr>
          <w:t>عقدجائز</w:t>
        </w:r>
        <w:r w:rsidR="008D3035">
          <w:rPr>
            <w:rStyle w:val="Hyperlink"/>
            <w:rFonts w:hint="cs"/>
            <w:rtl/>
          </w:rPr>
          <w:t xml:space="preserve"> </w:t>
        </w:r>
        <w:r w:rsidR="00AD0AE5" w:rsidRPr="00282605">
          <w:rPr>
            <w:rStyle w:val="Hyperlink"/>
            <w:rFonts w:hint="eastAsia"/>
            <w:rtl/>
          </w:rPr>
          <w:t>فليس</w:t>
        </w:r>
        <w:r w:rsidR="008D3035">
          <w:rPr>
            <w:rStyle w:val="Hyperlink"/>
            <w:rFonts w:hint="cs"/>
            <w:rtl/>
          </w:rPr>
          <w:t xml:space="preserve"> </w:t>
        </w:r>
        <w:r w:rsidR="00AD0AE5" w:rsidRPr="00282605">
          <w:rPr>
            <w:rStyle w:val="Hyperlink"/>
            <w:rFonts w:hint="eastAsia"/>
            <w:rtl/>
          </w:rPr>
          <w:t>فيه</w:t>
        </w:r>
        <w:r w:rsidR="008D3035">
          <w:rPr>
            <w:rStyle w:val="Hyperlink"/>
            <w:rFonts w:hint="cs"/>
            <w:rtl/>
          </w:rPr>
          <w:t xml:space="preserve"> </w:t>
        </w:r>
        <w:r w:rsidR="00AD0AE5" w:rsidRPr="00282605">
          <w:rPr>
            <w:rStyle w:val="Hyperlink"/>
            <w:rFonts w:hint="eastAsia"/>
            <w:rtl/>
          </w:rPr>
          <w:t>خيار</w:t>
        </w:r>
        <w:r w:rsidR="008D3035">
          <w:rPr>
            <w:rStyle w:val="Hyperlink"/>
            <w:rFonts w:hint="cs"/>
            <w:rtl/>
          </w:rPr>
          <w:t xml:space="preserve"> </w:t>
        </w:r>
        <w:r w:rsidR="00AD0AE5" w:rsidRPr="00282605">
          <w:rPr>
            <w:rStyle w:val="Hyperlink"/>
            <w:rFonts w:hint="eastAsia"/>
            <w:rtl/>
          </w:rPr>
          <w:t>المجلس</w:t>
        </w:r>
        <w:r w:rsidR="00AD0AE5" w:rsidRPr="00282605">
          <w:rPr>
            <w:rStyle w:val="Hyperlink"/>
            <w:rtl/>
          </w:rPr>
          <w:t>"</w:t>
        </w:r>
        <w:r w:rsidR="00AD0AE5">
          <w:rPr>
            <w:webHidden/>
            <w:rtl/>
          </w:rPr>
          <w:tab/>
        </w:r>
        <w:r w:rsidR="005B4391">
          <w:rPr>
            <w:webHidden/>
          </w:rPr>
          <w:t>520</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32"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webHidden/>
          </w:rPr>
          <w:t>520</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33"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521</w:t>
        </w:r>
      </w:hyperlink>
    </w:p>
    <w:p w:rsidR="00AD0AE5" w:rsidRDefault="00AB0B9E" w:rsidP="005B4391">
      <w:pPr>
        <w:pStyle w:val="40"/>
      </w:pPr>
      <w:hyperlink w:anchor="_Toc334046634"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522</w:t>
        </w:r>
      </w:hyperlink>
    </w:p>
    <w:p w:rsidR="00AD0AE5" w:rsidRDefault="00AB0B9E" w:rsidP="005B4391">
      <w:pPr>
        <w:pStyle w:val="20"/>
        <w:rPr>
          <w:rFonts w:asciiTheme="minorHAnsi" w:eastAsiaTheme="minorEastAsia" w:hAnsiTheme="minorHAnsi" w:cstheme="minorBidi"/>
          <w:bCs w:val="0"/>
          <w:color w:val="auto"/>
          <w:sz w:val="22"/>
          <w:szCs w:val="22"/>
          <w:rtl/>
          <w:lang w:val="fr-FR" w:eastAsia="fr-FR"/>
        </w:rPr>
      </w:pPr>
      <w:hyperlink w:anchor="_Toc334046635" w:history="1">
        <w:r w:rsidR="00AD0AE5" w:rsidRPr="00282605">
          <w:rPr>
            <w:rStyle w:val="Hyperlink"/>
            <w:rFonts w:hint="eastAsia"/>
            <w:rtl/>
          </w:rPr>
          <w:t>الفصل</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الضوابط</w:t>
        </w:r>
        <w:r w:rsidR="008D3035">
          <w:rPr>
            <w:rStyle w:val="Hyperlink"/>
            <w:rFonts w:hint="cs"/>
            <w:rtl/>
          </w:rPr>
          <w:t xml:space="preserve"> </w:t>
        </w:r>
        <w:r w:rsidR="00AD0AE5" w:rsidRPr="00282605">
          <w:rPr>
            <w:rStyle w:val="Hyperlink"/>
            <w:rFonts w:hint="eastAsia"/>
            <w:rtl/>
          </w:rPr>
          <w:t>المتعلقة</w:t>
        </w:r>
        <w:r w:rsidR="008D3035">
          <w:rPr>
            <w:rStyle w:val="Hyperlink"/>
            <w:rFonts w:hint="cs"/>
            <w:rtl/>
          </w:rPr>
          <w:t xml:space="preserve"> </w:t>
        </w:r>
        <w:r w:rsidR="00AD0AE5" w:rsidRPr="00282605">
          <w:rPr>
            <w:rStyle w:val="Hyperlink"/>
            <w:rFonts w:hint="eastAsia"/>
            <w:rtl/>
          </w:rPr>
          <w:t>بباب</w:t>
        </w:r>
        <w:r w:rsidR="008D3035">
          <w:rPr>
            <w:rStyle w:val="Hyperlink"/>
            <w:rFonts w:hint="cs"/>
            <w:rtl/>
          </w:rPr>
          <w:t xml:space="preserve"> </w:t>
        </w:r>
        <w:r w:rsidR="00AD0AE5" w:rsidRPr="00282605">
          <w:rPr>
            <w:rStyle w:val="Hyperlink"/>
            <w:rFonts w:hint="eastAsia"/>
            <w:rtl/>
          </w:rPr>
          <w:t>الربا</w:t>
        </w:r>
        <w:r w:rsidR="008D3035">
          <w:rPr>
            <w:rStyle w:val="Hyperlink"/>
            <w:rFonts w:hint="cs"/>
            <w:rtl/>
          </w:rPr>
          <w:t xml:space="preserve"> </w:t>
        </w:r>
        <w:r w:rsidR="00AD0AE5" w:rsidRPr="00282605">
          <w:rPr>
            <w:rStyle w:val="Hyperlink"/>
            <w:rFonts w:hint="eastAsia"/>
            <w:rtl/>
          </w:rPr>
          <w:t>والصرف</w:t>
        </w:r>
        <w:r w:rsidR="00AD0AE5">
          <w:rPr>
            <w:webHidden/>
            <w:rtl/>
          </w:rPr>
          <w:tab/>
        </w:r>
        <w:r w:rsidR="005B4391">
          <w:rPr>
            <w:webHidden/>
          </w:rPr>
          <w:t>523</w:t>
        </w:r>
      </w:hyperlink>
    </w:p>
    <w:p w:rsidR="00AD0AE5" w:rsidRDefault="00AB0B9E" w:rsidP="005B4391">
      <w:pPr>
        <w:pStyle w:val="30"/>
        <w:rPr>
          <w:rFonts w:asciiTheme="minorHAnsi" w:eastAsiaTheme="minorEastAsia" w:hAnsiTheme="minorHAnsi" w:cstheme="minorBidi"/>
          <w:b w:val="0"/>
          <w:bCs w:val="0"/>
          <w:color w:val="auto"/>
          <w:sz w:val="22"/>
          <w:szCs w:val="22"/>
          <w:rtl/>
          <w:lang w:val="fr-FR" w:eastAsia="fr-FR"/>
        </w:rPr>
      </w:pPr>
      <w:hyperlink w:anchor="_Toc334046636" w:history="1">
        <w:r w:rsidR="00AD0AE5" w:rsidRPr="00282605">
          <w:rPr>
            <w:rStyle w:val="Hyperlink"/>
            <w:rFonts w:ascii="Traditional Arabic" w:hAnsi="Traditional Arabic" w:hint="eastAsia"/>
            <w:rtl/>
          </w:rPr>
          <w:t>المبحث</w:t>
        </w:r>
        <w:r w:rsidR="008D3035">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كل</w:t>
        </w:r>
        <w:r w:rsidR="008D3035">
          <w:rPr>
            <w:rStyle w:val="Hyperlink"/>
            <w:rFonts w:hint="cs"/>
            <w:rtl/>
          </w:rPr>
          <w:t xml:space="preserve"> </w:t>
        </w:r>
        <w:r w:rsidR="00AD0AE5" w:rsidRPr="00282605">
          <w:rPr>
            <w:rStyle w:val="Hyperlink"/>
            <w:rFonts w:hint="eastAsia"/>
            <w:rtl/>
          </w:rPr>
          <w:t>قرض</w:t>
        </w:r>
        <w:r w:rsidR="008D3035">
          <w:rPr>
            <w:rStyle w:val="Hyperlink"/>
            <w:rFonts w:hint="cs"/>
            <w:rtl/>
          </w:rPr>
          <w:t xml:space="preserve"> </w:t>
        </w:r>
        <w:r w:rsidR="00AD0AE5" w:rsidRPr="00282605">
          <w:rPr>
            <w:rStyle w:val="Hyperlink"/>
            <w:rFonts w:hint="eastAsia"/>
            <w:rtl/>
          </w:rPr>
          <w:t>جرمنفعة</w:t>
        </w:r>
        <w:r w:rsidR="008D3035">
          <w:rPr>
            <w:rStyle w:val="Hyperlink"/>
            <w:rFonts w:hint="cs"/>
            <w:rtl/>
          </w:rPr>
          <w:t xml:space="preserve"> </w:t>
        </w:r>
        <w:r w:rsidR="00AD0AE5" w:rsidRPr="00282605">
          <w:rPr>
            <w:rStyle w:val="Hyperlink"/>
            <w:rFonts w:hint="eastAsia"/>
            <w:rtl/>
          </w:rPr>
          <w:t>فهو</w:t>
        </w:r>
        <w:r w:rsidR="008D3035">
          <w:rPr>
            <w:rStyle w:val="Hyperlink"/>
            <w:rFonts w:hint="cs"/>
            <w:rtl/>
          </w:rPr>
          <w:t xml:space="preserve"> </w:t>
        </w:r>
        <w:r w:rsidR="00AD0AE5" w:rsidRPr="00282605">
          <w:rPr>
            <w:rStyle w:val="Hyperlink"/>
            <w:rFonts w:hint="eastAsia"/>
            <w:rtl/>
          </w:rPr>
          <w:t>ربا</w:t>
        </w:r>
        <w:r w:rsidR="00AD0AE5" w:rsidRPr="00282605">
          <w:rPr>
            <w:rStyle w:val="Hyperlink"/>
            <w:rtl/>
          </w:rPr>
          <w:t>"</w:t>
        </w:r>
        <w:r w:rsidR="00AD0AE5">
          <w:rPr>
            <w:webHidden/>
            <w:rtl/>
          </w:rPr>
          <w:tab/>
        </w:r>
        <w:r w:rsidR="005B4391">
          <w:rPr>
            <w:webHidden/>
          </w:rPr>
          <w:t>524</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37"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524</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38"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525</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39"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526</w:t>
        </w:r>
      </w:hyperlink>
    </w:p>
    <w:p w:rsidR="00AD0AE5" w:rsidRDefault="00AB0B9E" w:rsidP="005B4391">
      <w:pPr>
        <w:pStyle w:val="30"/>
        <w:rPr>
          <w:rFonts w:asciiTheme="minorHAnsi" w:eastAsiaTheme="minorEastAsia" w:hAnsiTheme="minorHAnsi" w:cstheme="minorBidi"/>
          <w:b w:val="0"/>
          <w:bCs w:val="0"/>
          <w:color w:val="auto"/>
          <w:sz w:val="22"/>
          <w:szCs w:val="22"/>
          <w:rtl/>
          <w:lang w:val="fr-FR" w:eastAsia="fr-FR"/>
        </w:rPr>
      </w:pPr>
      <w:hyperlink w:anchor="_Toc334046640" w:history="1">
        <w:r w:rsidR="00AD0AE5" w:rsidRPr="00282605">
          <w:rPr>
            <w:rStyle w:val="Hyperlink"/>
            <w:rFonts w:ascii="Traditional Arabic" w:hAnsi="Traditional Arabic" w:hint="eastAsia"/>
            <w:rtl/>
          </w:rPr>
          <w:t>المبحث</w:t>
        </w:r>
        <w:r w:rsidR="008D3035">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كل</w:t>
        </w:r>
        <w:r w:rsidR="008D3035">
          <w:rPr>
            <w:rStyle w:val="Hyperlink"/>
            <w:rFonts w:hint="cs"/>
            <w:rtl/>
          </w:rPr>
          <w:t xml:space="preserve"> </w:t>
        </w:r>
        <w:r w:rsidR="00AD0AE5" w:rsidRPr="00282605">
          <w:rPr>
            <w:rStyle w:val="Hyperlink"/>
            <w:rFonts w:hint="eastAsia"/>
            <w:rtl/>
          </w:rPr>
          <w:t>شيئين</w:t>
        </w:r>
        <w:r w:rsidR="008D3035">
          <w:rPr>
            <w:rStyle w:val="Hyperlink"/>
            <w:rFonts w:hint="cs"/>
            <w:rtl/>
          </w:rPr>
          <w:t xml:space="preserve"> </w:t>
        </w:r>
        <w:r w:rsidR="00AD0AE5" w:rsidRPr="00282605">
          <w:rPr>
            <w:rStyle w:val="Hyperlink"/>
            <w:rFonts w:hint="eastAsia"/>
            <w:rtl/>
          </w:rPr>
          <w:t>يجري</w:t>
        </w:r>
        <w:r w:rsidR="008D3035">
          <w:rPr>
            <w:rStyle w:val="Hyperlink"/>
            <w:rFonts w:hint="cs"/>
            <w:rtl/>
          </w:rPr>
          <w:t xml:space="preserve"> </w:t>
        </w:r>
        <w:r w:rsidR="00AD0AE5" w:rsidRPr="00282605">
          <w:rPr>
            <w:rStyle w:val="Hyperlink"/>
            <w:rFonts w:hint="eastAsia"/>
            <w:rtl/>
          </w:rPr>
          <w:t>بينهما</w:t>
        </w:r>
        <w:r w:rsidR="008D3035">
          <w:rPr>
            <w:rStyle w:val="Hyperlink"/>
            <w:rFonts w:hint="cs"/>
            <w:rtl/>
          </w:rPr>
          <w:t xml:space="preserve"> </w:t>
        </w:r>
        <w:r w:rsidR="00AD0AE5" w:rsidRPr="00282605">
          <w:rPr>
            <w:rStyle w:val="Hyperlink"/>
            <w:rFonts w:hint="eastAsia"/>
            <w:rtl/>
          </w:rPr>
          <w:t>ربا</w:t>
        </w:r>
        <w:r w:rsidR="008D3035">
          <w:rPr>
            <w:rStyle w:val="Hyperlink"/>
            <w:rFonts w:hint="cs"/>
            <w:rtl/>
          </w:rPr>
          <w:t xml:space="preserve"> </w:t>
        </w:r>
        <w:r w:rsidR="00AD0AE5" w:rsidRPr="00282605">
          <w:rPr>
            <w:rStyle w:val="Hyperlink"/>
            <w:rFonts w:hint="eastAsia"/>
            <w:rtl/>
          </w:rPr>
          <w:t>الفضل</w:t>
        </w:r>
        <w:r w:rsidR="008D3035">
          <w:rPr>
            <w:rStyle w:val="Hyperlink"/>
            <w:rFonts w:hint="cs"/>
            <w:rtl/>
          </w:rPr>
          <w:t xml:space="preserve"> </w:t>
        </w:r>
        <w:r w:rsidR="00AD0AE5" w:rsidRPr="00282605">
          <w:rPr>
            <w:rStyle w:val="Hyperlink"/>
            <w:rFonts w:hint="eastAsia"/>
            <w:rtl/>
          </w:rPr>
          <w:t>فبينهما</w:t>
        </w:r>
        <w:r w:rsidR="008D3035">
          <w:rPr>
            <w:rStyle w:val="Hyperlink"/>
            <w:rFonts w:hint="cs"/>
            <w:rtl/>
          </w:rPr>
          <w:t xml:space="preserve"> </w:t>
        </w:r>
        <w:r w:rsidR="00AD0AE5" w:rsidRPr="00282605">
          <w:rPr>
            <w:rStyle w:val="Hyperlink"/>
            <w:rFonts w:hint="eastAsia"/>
            <w:rtl/>
          </w:rPr>
          <w:t>ربا</w:t>
        </w:r>
        <w:r w:rsidR="008D3035">
          <w:rPr>
            <w:rStyle w:val="Hyperlink"/>
            <w:rFonts w:hint="cs"/>
            <w:rtl/>
          </w:rPr>
          <w:t xml:space="preserve"> </w:t>
        </w:r>
        <w:r w:rsidR="00AD0AE5" w:rsidRPr="00282605">
          <w:rPr>
            <w:rStyle w:val="Hyperlink"/>
            <w:rFonts w:hint="eastAsia"/>
            <w:rtl/>
          </w:rPr>
          <w:t>النسيئة</w:t>
        </w:r>
        <w:r w:rsidR="008D3035">
          <w:rPr>
            <w:rStyle w:val="Hyperlink"/>
            <w:rFonts w:hint="cs"/>
            <w:rtl/>
          </w:rPr>
          <w:t xml:space="preserve"> </w:t>
        </w:r>
        <w:r w:rsidR="00AD0AE5" w:rsidRPr="00282605">
          <w:rPr>
            <w:rStyle w:val="Hyperlink"/>
            <w:rFonts w:hint="eastAsia"/>
            <w:rtl/>
          </w:rPr>
          <w:t>ولا</w:t>
        </w:r>
        <w:r w:rsidR="008D3035">
          <w:rPr>
            <w:rStyle w:val="Hyperlink"/>
            <w:rFonts w:hint="cs"/>
            <w:rtl/>
          </w:rPr>
          <w:t xml:space="preserve"> </w:t>
        </w:r>
        <w:r w:rsidR="00AD0AE5" w:rsidRPr="00282605">
          <w:rPr>
            <w:rStyle w:val="Hyperlink"/>
            <w:rFonts w:hint="eastAsia"/>
            <w:rtl/>
          </w:rPr>
          <w:t>عكس</w:t>
        </w:r>
        <w:r w:rsidR="00AD0AE5" w:rsidRPr="00282605">
          <w:rPr>
            <w:rStyle w:val="Hyperlink"/>
            <w:rtl/>
          </w:rPr>
          <w:t>"</w:t>
        </w:r>
        <w:r w:rsidR="00AD0AE5">
          <w:rPr>
            <w:webHidden/>
            <w:rtl/>
          </w:rPr>
          <w:tab/>
        </w:r>
        <w:r w:rsidR="005B4391">
          <w:rPr>
            <w:webHidden/>
          </w:rPr>
          <w:t>527</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41"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webHidden/>
          </w:rPr>
          <w:t>527</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42"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529</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43"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529</w:t>
        </w:r>
      </w:hyperlink>
    </w:p>
    <w:p w:rsidR="00AD0AE5" w:rsidRDefault="00AB0B9E" w:rsidP="005B4391">
      <w:pPr>
        <w:pStyle w:val="20"/>
        <w:rPr>
          <w:rFonts w:asciiTheme="minorHAnsi" w:eastAsiaTheme="minorEastAsia" w:hAnsiTheme="minorHAnsi" w:cstheme="minorBidi"/>
          <w:bCs w:val="0"/>
          <w:color w:val="auto"/>
          <w:sz w:val="22"/>
          <w:szCs w:val="22"/>
          <w:rtl/>
          <w:lang w:val="fr-FR" w:eastAsia="fr-FR"/>
        </w:rPr>
      </w:pPr>
      <w:hyperlink w:anchor="_Toc334046644" w:history="1">
        <w:r w:rsidR="00AD0AE5" w:rsidRPr="00282605">
          <w:rPr>
            <w:rStyle w:val="Hyperlink"/>
            <w:rFonts w:hint="eastAsia"/>
            <w:rtl/>
          </w:rPr>
          <w:t>الفصل</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الضوابط</w:t>
        </w:r>
        <w:r w:rsidR="008D3035">
          <w:rPr>
            <w:rStyle w:val="Hyperlink"/>
            <w:rFonts w:hint="cs"/>
            <w:rtl/>
          </w:rPr>
          <w:t xml:space="preserve"> </w:t>
        </w:r>
        <w:r w:rsidR="00AD0AE5" w:rsidRPr="00282605">
          <w:rPr>
            <w:rStyle w:val="Hyperlink"/>
            <w:rFonts w:hint="eastAsia"/>
            <w:rtl/>
          </w:rPr>
          <w:t>المتعلقة</w:t>
        </w:r>
        <w:r w:rsidR="008D3035">
          <w:rPr>
            <w:rStyle w:val="Hyperlink"/>
            <w:rFonts w:hint="cs"/>
            <w:rtl/>
          </w:rPr>
          <w:t xml:space="preserve"> </w:t>
        </w:r>
        <w:r w:rsidR="00AD0AE5" w:rsidRPr="00282605">
          <w:rPr>
            <w:rStyle w:val="Hyperlink"/>
            <w:rFonts w:hint="eastAsia"/>
            <w:rtl/>
          </w:rPr>
          <w:t>بباب</w:t>
        </w:r>
        <w:r w:rsidR="008D3035">
          <w:rPr>
            <w:rStyle w:val="Hyperlink"/>
            <w:rFonts w:hint="cs"/>
            <w:rtl/>
          </w:rPr>
          <w:t xml:space="preserve"> </w:t>
        </w:r>
        <w:r w:rsidR="00AD0AE5" w:rsidRPr="00282605">
          <w:rPr>
            <w:rStyle w:val="Hyperlink"/>
            <w:rFonts w:hint="eastAsia"/>
            <w:rtl/>
          </w:rPr>
          <w:t>القرض</w:t>
        </w:r>
        <w:r w:rsidR="008D3035">
          <w:rPr>
            <w:rStyle w:val="Hyperlink"/>
            <w:rFonts w:hint="cs"/>
            <w:rtl/>
          </w:rPr>
          <w:t xml:space="preserve"> </w:t>
        </w:r>
        <w:r w:rsidR="00AD0AE5" w:rsidRPr="00282605">
          <w:rPr>
            <w:rStyle w:val="Hyperlink"/>
            <w:rFonts w:hint="eastAsia"/>
            <w:rtl/>
          </w:rPr>
          <w:t>وباب</w:t>
        </w:r>
        <w:r w:rsidR="008D3035">
          <w:rPr>
            <w:rStyle w:val="Hyperlink"/>
            <w:rFonts w:hint="cs"/>
            <w:rtl/>
          </w:rPr>
          <w:t xml:space="preserve"> </w:t>
        </w:r>
        <w:r w:rsidR="00AD0AE5" w:rsidRPr="00282605">
          <w:rPr>
            <w:rStyle w:val="Hyperlink"/>
            <w:rFonts w:hint="eastAsia"/>
            <w:rtl/>
          </w:rPr>
          <w:t>الرهن</w:t>
        </w:r>
        <w:r w:rsidR="00AD0AE5">
          <w:rPr>
            <w:webHidden/>
            <w:rtl/>
          </w:rPr>
          <w:tab/>
        </w:r>
        <w:r w:rsidR="005B4391">
          <w:rPr>
            <w:webHidden/>
          </w:rPr>
          <w:t>431</w:t>
        </w:r>
      </w:hyperlink>
    </w:p>
    <w:p w:rsidR="00AD0AE5" w:rsidRDefault="00AB0B9E" w:rsidP="005B4391">
      <w:pPr>
        <w:pStyle w:val="30"/>
        <w:rPr>
          <w:rFonts w:asciiTheme="minorHAnsi" w:eastAsiaTheme="minorEastAsia" w:hAnsiTheme="minorHAnsi" w:cstheme="minorBidi"/>
          <w:b w:val="0"/>
          <w:bCs w:val="0"/>
          <w:color w:val="auto"/>
          <w:sz w:val="22"/>
          <w:szCs w:val="22"/>
          <w:rtl/>
          <w:lang w:val="fr-FR" w:eastAsia="fr-FR"/>
        </w:rPr>
      </w:pPr>
      <w:hyperlink w:anchor="_Toc334046645" w:history="1">
        <w:r w:rsidR="00AD0AE5" w:rsidRPr="00282605">
          <w:rPr>
            <w:rStyle w:val="Hyperlink"/>
            <w:rFonts w:ascii="Traditional Arabic" w:hAnsi="Traditional Arabic" w:hint="eastAsia"/>
            <w:rtl/>
          </w:rPr>
          <w:t>المبحث</w:t>
        </w:r>
        <w:r w:rsidR="008D3035">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كل</w:t>
        </w:r>
        <w:r w:rsidR="008D3035">
          <w:rPr>
            <w:rStyle w:val="Hyperlink"/>
            <w:rFonts w:hint="cs"/>
            <w:rtl/>
          </w:rPr>
          <w:t xml:space="preserve"> </w:t>
        </w:r>
        <w:r w:rsidR="00AD0AE5" w:rsidRPr="00282605">
          <w:rPr>
            <w:rStyle w:val="Hyperlink"/>
            <w:rFonts w:hint="eastAsia"/>
            <w:rtl/>
          </w:rPr>
          <w:t>ما</w:t>
        </w:r>
        <w:r w:rsidR="008D3035">
          <w:rPr>
            <w:rStyle w:val="Hyperlink"/>
            <w:rFonts w:hint="cs"/>
            <w:rtl/>
          </w:rPr>
          <w:t xml:space="preserve"> </w:t>
        </w:r>
        <w:r w:rsidR="00AD0AE5" w:rsidRPr="00282605">
          <w:rPr>
            <w:rStyle w:val="Hyperlink"/>
            <w:rFonts w:hint="eastAsia"/>
            <w:rtl/>
          </w:rPr>
          <w:t>صح</w:t>
        </w:r>
        <w:r w:rsidR="008D3035">
          <w:rPr>
            <w:rStyle w:val="Hyperlink"/>
            <w:rFonts w:hint="cs"/>
            <w:rtl/>
          </w:rPr>
          <w:t xml:space="preserve"> </w:t>
        </w:r>
        <w:r w:rsidR="00AD0AE5" w:rsidRPr="00282605">
          <w:rPr>
            <w:rStyle w:val="Hyperlink"/>
            <w:rFonts w:hint="eastAsia"/>
            <w:rtl/>
          </w:rPr>
          <w:t>بيعه</w:t>
        </w:r>
        <w:r w:rsidR="008D3035">
          <w:rPr>
            <w:rStyle w:val="Hyperlink"/>
            <w:rFonts w:hint="cs"/>
            <w:rtl/>
          </w:rPr>
          <w:t xml:space="preserve"> </w:t>
        </w:r>
        <w:r w:rsidR="00AD0AE5" w:rsidRPr="00282605">
          <w:rPr>
            <w:rStyle w:val="Hyperlink"/>
            <w:rFonts w:hint="eastAsia"/>
            <w:rtl/>
          </w:rPr>
          <w:t>صح</w:t>
        </w:r>
        <w:r w:rsidR="008D3035">
          <w:rPr>
            <w:rStyle w:val="Hyperlink"/>
            <w:rFonts w:hint="cs"/>
            <w:rtl/>
          </w:rPr>
          <w:t xml:space="preserve"> </w:t>
        </w:r>
        <w:r w:rsidR="00AD0AE5" w:rsidRPr="00282605">
          <w:rPr>
            <w:rStyle w:val="Hyperlink"/>
            <w:rFonts w:hint="eastAsia"/>
            <w:rtl/>
          </w:rPr>
          <w:t>قرضه،</w:t>
        </w:r>
        <w:r w:rsidR="008D3035">
          <w:rPr>
            <w:rStyle w:val="Hyperlink"/>
            <w:rFonts w:hint="cs"/>
            <w:rtl/>
          </w:rPr>
          <w:t xml:space="preserve"> </w:t>
        </w:r>
        <w:r w:rsidR="00AD0AE5" w:rsidRPr="00282605">
          <w:rPr>
            <w:rStyle w:val="Hyperlink"/>
            <w:rFonts w:hint="eastAsia"/>
            <w:rtl/>
          </w:rPr>
          <w:t>وكل</w:t>
        </w:r>
        <w:r w:rsidR="008D3035">
          <w:rPr>
            <w:rStyle w:val="Hyperlink"/>
            <w:rFonts w:hint="cs"/>
            <w:rtl/>
          </w:rPr>
          <w:t xml:space="preserve"> </w:t>
        </w:r>
        <w:r w:rsidR="00AD0AE5" w:rsidRPr="00282605">
          <w:rPr>
            <w:rStyle w:val="Hyperlink"/>
            <w:rFonts w:hint="eastAsia"/>
            <w:rtl/>
          </w:rPr>
          <w:t>ما</w:t>
        </w:r>
        <w:r w:rsidR="008D3035">
          <w:rPr>
            <w:rStyle w:val="Hyperlink"/>
            <w:rFonts w:hint="cs"/>
            <w:rtl/>
          </w:rPr>
          <w:t xml:space="preserve"> </w:t>
        </w:r>
        <w:r w:rsidR="00AD0AE5" w:rsidRPr="00282605">
          <w:rPr>
            <w:rStyle w:val="Hyperlink"/>
            <w:rFonts w:hint="eastAsia"/>
            <w:rtl/>
          </w:rPr>
          <w:t>لا</w:t>
        </w:r>
        <w:r w:rsidR="008D3035">
          <w:rPr>
            <w:rStyle w:val="Hyperlink"/>
            <w:rFonts w:hint="cs"/>
            <w:rtl/>
          </w:rPr>
          <w:t xml:space="preserve"> </w:t>
        </w:r>
        <w:r w:rsidR="00AD0AE5" w:rsidRPr="00282605">
          <w:rPr>
            <w:rStyle w:val="Hyperlink"/>
            <w:rFonts w:hint="eastAsia"/>
            <w:rtl/>
          </w:rPr>
          <w:t>يصح</w:t>
        </w:r>
        <w:r w:rsidR="008D3035">
          <w:rPr>
            <w:rStyle w:val="Hyperlink"/>
            <w:rFonts w:hint="cs"/>
            <w:rtl/>
          </w:rPr>
          <w:t xml:space="preserve"> </w:t>
        </w:r>
        <w:r w:rsidR="00AD0AE5" w:rsidRPr="00282605">
          <w:rPr>
            <w:rStyle w:val="Hyperlink"/>
            <w:rFonts w:hint="eastAsia"/>
            <w:rtl/>
          </w:rPr>
          <w:t>بيعه</w:t>
        </w:r>
        <w:r w:rsidR="008D3035">
          <w:rPr>
            <w:rStyle w:val="Hyperlink"/>
            <w:rFonts w:hint="cs"/>
            <w:rtl/>
          </w:rPr>
          <w:t xml:space="preserve"> </w:t>
        </w:r>
        <w:r w:rsidR="00AD0AE5" w:rsidRPr="00282605">
          <w:rPr>
            <w:rStyle w:val="Hyperlink"/>
            <w:rFonts w:hint="eastAsia"/>
            <w:rtl/>
          </w:rPr>
          <w:t>لا</w:t>
        </w:r>
        <w:r w:rsidR="008D3035">
          <w:rPr>
            <w:rStyle w:val="Hyperlink"/>
            <w:rFonts w:hint="cs"/>
            <w:rtl/>
          </w:rPr>
          <w:t xml:space="preserve"> </w:t>
        </w:r>
        <w:r w:rsidR="00AD0AE5" w:rsidRPr="00282605">
          <w:rPr>
            <w:rStyle w:val="Hyperlink"/>
            <w:rFonts w:hint="eastAsia"/>
            <w:rtl/>
          </w:rPr>
          <w:t>يصح</w:t>
        </w:r>
        <w:r w:rsidR="008D3035">
          <w:rPr>
            <w:rStyle w:val="Hyperlink"/>
            <w:rFonts w:hint="cs"/>
            <w:rtl/>
          </w:rPr>
          <w:t xml:space="preserve"> </w:t>
        </w:r>
        <w:r w:rsidR="00AD0AE5" w:rsidRPr="00282605">
          <w:rPr>
            <w:rStyle w:val="Hyperlink"/>
            <w:rFonts w:hint="eastAsia"/>
            <w:rtl/>
          </w:rPr>
          <w:t>قرضه</w:t>
        </w:r>
        <w:r w:rsidR="00AD0AE5" w:rsidRPr="00282605">
          <w:rPr>
            <w:rStyle w:val="Hyperlink"/>
            <w:rtl/>
          </w:rPr>
          <w:t>"</w:t>
        </w:r>
        <w:r w:rsidR="00AD0AE5">
          <w:rPr>
            <w:webHidden/>
            <w:rtl/>
          </w:rPr>
          <w:tab/>
        </w:r>
        <w:r w:rsidR="005B4391">
          <w:rPr>
            <w:rFonts w:hint="cs"/>
            <w:webHidden/>
            <w:rtl/>
          </w:rPr>
          <w:t>532</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46"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532</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47"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533</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48"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533</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49"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5B4391">
          <w:rPr>
            <w:rStyle w:val="Hyperlink"/>
            <w:rFonts w:hint="eastAsia"/>
            <w:rtl/>
          </w:rPr>
          <w:t>م</w:t>
        </w:r>
        <w:r w:rsidR="005B4391">
          <w:rPr>
            <w:rStyle w:val="Hyperlink"/>
            <w:rFonts w:hint="cs"/>
            <w:rtl/>
          </w:rPr>
          <w:t>ا ي</w:t>
        </w:r>
        <w:r w:rsidR="005B4391">
          <w:rPr>
            <w:rStyle w:val="Hyperlink"/>
            <w:rFonts w:hint="eastAsia"/>
            <w:rtl/>
          </w:rPr>
          <w:t>ستثن</w:t>
        </w:r>
        <w:r w:rsidR="005B4391">
          <w:rPr>
            <w:rStyle w:val="Hyperlink"/>
            <w:rFonts w:hint="cs"/>
            <w:rtl/>
          </w:rPr>
          <w:t>ى</w:t>
        </w:r>
        <w:r w:rsidR="008D3035">
          <w:rPr>
            <w:rStyle w:val="Hyperlink"/>
            <w:rFonts w:hint="cs"/>
            <w:rtl/>
          </w:rPr>
          <w:t xml:space="preserve"> </w:t>
        </w:r>
        <w:r w:rsidR="005B4391">
          <w:rPr>
            <w:rStyle w:val="Hyperlink"/>
            <w:rFonts w:hint="cs"/>
            <w:rtl/>
          </w:rPr>
          <w:t xml:space="preserve">من </w:t>
        </w:r>
        <w:r w:rsidR="00AD0AE5" w:rsidRPr="00282605">
          <w:rPr>
            <w:rStyle w:val="Hyperlink"/>
            <w:rFonts w:hint="eastAsia"/>
            <w:rtl/>
          </w:rPr>
          <w:t>الضابط</w:t>
        </w:r>
        <w:r w:rsidR="00AD0AE5">
          <w:rPr>
            <w:webHidden/>
            <w:rtl/>
          </w:rPr>
          <w:tab/>
        </w:r>
        <w:r w:rsidR="005B4391">
          <w:rPr>
            <w:rFonts w:hint="cs"/>
            <w:webHidden/>
            <w:rtl/>
          </w:rPr>
          <w:t>535</w:t>
        </w:r>
      </w:hyperlink>
    </w:p>
    <w:p w:rsidR="00AD0AE5" w:rsidRDefault="00AB0B9E" w:rsidP="005B4391">
      <w:pPr>
        <w:pStyle w:val="30"/>
        <w:rPr>
          <w:rFonts w:asciiTheme="minorHAnsi" w:eastAsiaTheme="minorEastAsia" w:hAnsiTheme="minorHAnsi" w:cstheme="minorBidi"/>
          <w:b w:val="0"/>
          <w:bCs w:val="0"/>
          <w:color w:val="auto"/>
          <w:sz w:val="22"/>
          <w:szCs w:val="22"/>
          <w:rtl/>
          <w:lang w:val="fr-FR" w:eastAsia="fr-FR"/>
        </w:rPr>
      </w:pPr>
      <w:hyperlink w:anchor="_Toc334046650" w:history="1">
        <w:r w:rsidR="00AD0AE5" w:rsidRPr="00282605">
          <w:rPr>
            <w:rStyle w:val="Hyperlink"/>
            <w:rFonts w:ascii="Traditional Arabic" w:hAnsi="Traditional Arabic" w:hint="eastAsia"/>
            <w:rtl/>
          </w:rPr>
          <w:t>المبحث</w:t>
        </w:r>
        <w:r w:rsidR="008D3035">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كل</w:t>
        </w:r>
        <w:r w:rsidR="008D3035">
          <w:rPr>
            <w:rStyle w:val="Hyperlink"/>
            <w:rFonts w:hint="cs"/>
            <w:rtl/>
          </w:rPr>
          <w:t xml:space="preserve"> </w:t>
        </w:r>
        <w:r w:rsidR="00AD0AE5" w:rsidRPr="00282605">
          <w:rPr>
            <w:rStyle w:val="Hyperlink"/>
            <w:rFonts w:hint="eastAsia"/>
            <w:rtl/>
          </w:rPr>
          <w:t>عين</w:t>
        </w:r>
        <w:r w:rsidR="008D3035">
          <w:rPr>
            <w:rStyle w:val="Hyperlink"/>
            <w:rFonts w:hint="cs"/>
            <w:rtl/>
          </w:rPr>
          <w:t xml:space="preserve"> </w:t>
        </w:r>
        <w:r w:rsidR="00AD0AE5" w:rsidRPr="00282605">
          <w:rPr>
            <w:rStyle w:val="Hyperlink"/>
            <w:rFonts w:hint="eastAsia"/>
            <w:rtl/>
          </w:rPr>
          <w:t>يجوز</w:t>
        </w:r>
        <w:r w:rsidR="008D3035">
          <w:rPr>
            <w:rStyle w:val="Hyperlink"/>
            <w:rFonts w:hint="cs"/>
            <w:rtl/>
          </w:rPr>
          <w:t xml:space="preserve"> </w:t>
        </w:r>
        <w:r w:rsidR="00AD0AE5" w:rsidRPr="00282605">
          <w:rPr>
            <w:rStyle w:val="Hyperlink"/>
            <w:rFonts w:hint="eastAsia"/>
            <w:rtl/>
          </w:rPr>
          <w:t>بيعها</w:t>
        </w:r>
        <w:r w:rsidR="008D3035">
          <w:rPr>
            <w:rStyle w:val="Hyperlink"/>
            <w:rFonts w:hint="cs"/>
            <w:rtl/>
          </w:rPr>
          <w:t xml:space="preserve"> </w:t>
        </w:r>
        <w:r w:rsidR="00AD0AE5" w:rsidRPr="00282605">
          <w:rPr>
            <w:rStyle w:val="Hyperlink"/>
            <w:rFonts w:hint="eastAsia"/>
            <w:rtl/>
          </w:rPr>
          <w:t>يجوز</w:t>
        </w:r>
        <w:r w:rsidR="008D3035">
          <w:rPr>
            <w:rStyle w:val="Hyperlink"/>
            <w:rFonts w:hint="cs"/>
            <w:rtl/>
          </w:rPr>
          <w:t xml:space="preserve"> </w:t>
        </w:r>
        <w:r w:rsidR="00AD0AE5" w:rsidRPr="00282605">
          <w:rPr>
            <w:rStyle w:val="Hyperlink"/>
            <w:rFonts w:hint="eastAsia"/>
            <w:rtl/>
          </w:rPr>
          <w:t>رهنها،</w:t>
        </w:r>
        <w:r w:rsidR="008D3035">
          <w:rPr>
            <w:rStyle w:val="Hyperlink"/>
            <w:rFonts w:hint="cs"/>
            <w:rtl/>
          </w:rPr>
          <w:t xml:space="preserve"> </w:t>
        </w:r>
        <w:r w:rsidR="00AD0AE5" w:rsidRPr="00282605">
          <w:rPr>
            <w:rStyle w:val="Hyperlink"/>
            <w:rFonts w:hint="eastAsia"/>
            <w:rtl/>
          </w:rPr>
          <w:t>وما</w:t>
        </w:r>
        <w:r w:rsidR="008D3035">
          <w:rPr>
            <w:rStyle w:val="Hyperlink"/>
            <w:rFonts w:hint="cs"/>
            <w:rtl/>
          </w:rPr>
          <w:t xml:space="preserve"> </w:t>
        </w:r>
        <w:r w:rsidR="00AD0AE5" w:rsidRPr="00282605">
          <w:rPr>
            <w:rStyle w:val="Hyperlink"/>
            <w:rFonts w:hint="eastAsia"/>
            <w:rtl/>
          </w:rPr>
          <w:t>لا</w:t>
        </w:r>
        <w:r w:rsidR="008D3035">
          <w:rPr>
            <w:rStyle w:val="Hyperlink"/>
            <w:rFonts w:hint="cs"/>
            <w:rtl/>
          </w:rPr>
          <w:t xml:space="preserve"> </w:t>
        </w:r>
        <w:r w:rsidR="00AD0AE5" w:rsidRPr="00282605">
          <w:rPr>
            <w:rStyle w:val="Hyperlink"/>
            <w:rFonts w:hint="eastAsia"/>
            <w:rtl/>
          </w:rPr>
          <w:t>فلا</w:t>
        </w:r>
        <w:r w:rsidR="00AD0AE5" w:rsidRPr="00282605">
          <w:rPr>
            <w:rStyle w:val="Hyperlink"/>
            <w:rtl/>
          </w:rPr>
          <w:t>"</w:t>
        </w:r>
        <w:r w:rsidR="00AD0AE5">
          <w:rPr>
            <w:webHidden/>
            <w:rtl/>
          </w:rPr>
          <w:tab/>
        </w:r>
        <w:r w:rsidR="005B4391">
          <w:rPr>
            <w:rFonts w:hint="cs"/>
            <w:webHidden/>
            <w:rtl/>
          </w:rPr>
          <w:t>536</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51"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536</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52"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536</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53"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537</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54"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م</w:t>
        </w:r>
        <w:r w:rsidR="005B4391">
          <w:rPr>
            <w:rStyle w:val="Hyperlink"/>
            <w:rFonts w:hint="cs"/>
            <w:rtl/>
          </w:rPr>
          <w:t>ا ي</w:t>
        </w:r>
        <w:r w:rsidR="005B4391">
          <w:rPr>
            <w:rStyle w:val="Hyperlink"/>
            <w:rFonts w:hint="eastAsia"/>
            <w:rtl/>
          </w:rPr>
          <w:t>ستثن</w:t>
        </w:r>
        <w:r w:rsidR="005B4391">
          <w:rPr>
            <w:rStyle w:val="Hyperlink"/>
            <w:rFonts w:hint="cs"/>
            <w:rtl/>
          </w:rPr>
          <w:t>ى</w:t>
        </w:r>
        <w:r w:rsidR="008D3035">
          <w:rPr>
            <w:rStyle w:val="Hyperlink"/>
            <w:rFonts w:hint="cs"/>
            <w:rtl/>
          </w:rPr>
          <w:t xml:space="preserve"> </w:t>
        </w:r>
        <w:r w:rsidR="005B4391">
          <w:rPr>
            <w:rStyle w:val="Hyperlink"/>
            <w:rFonts w:hint="cs"/>
            <w:rtl/>
          </w:rPr>
          <w:t xml:space="preserve">من </w:t>
        </w:r>
        <w:r w:rsidR="00AD0AE5" w:rsidRPr="00282605">
          <w:rPr>
            <w:rStyle w:val="Hyperlink"/>
            <w:rFonts w:hint="eastAsia"/>
            <w:rtl/>
          </w:rPr>
          <w:t>الضابط</w:t>
        </w:r>
        <w:r w:rsidR="00AD0AE5">
          <w:rPr>
            <w:webHidden/>
            <w:rtl/>
          </w:rPr>
          <w:tab/>
        </w:r>
        <w:r w:rsidR="005B4391">
          <w:rPr>
            <w:rFonts w:hint="cs"/>
            <w:webHidden/>
            <w:rtl/>
          </w:rPr>
          <w:t>538</w:t>
        </w:r>
      </w:hyperlink>
    </w:p>
    <w:p w:rsidR="00AD0AE5" w:rsidRDefault="00AB0B9E" w:rsidP="005B4391">
      <w:pPr>
        <w:pStyle w:val="20"/>
        <w:rPr>
          <w:rFonts w:asciiTheme="minorHAnsi" w:eastAsiaTheme="minorEastAsia" w:hAnsiTheme="minorHAnsi" w:cstheme="minorBidi"/>
          <w:bCs w:val="0"/>
          <w:color w:val="auto"/>
          <w:sz w:val="22"/>
          <w:szCs w:val="22"/>
          <w:rtl/>
          <w:lang w:val="fr-FR" w:eastAsia="fr-FR"/>
        </w:rPr>
      </w:pPr>
      <w:hyperlink w:anchor="_Toc334046655" w:history="1">
        <w:r w:rsidR="00AD0AE5" w:rsidRPr="00282605">
          <w:rPr>
            <w:rStyle w:val="Hyperlink"/>
            <w:rFonts w:hint="eastAsia"/>
            <w:rtl/>
          </w:rPr>
          <w:t>الفصل</w:t>
        </w:r>
        <w:r w:rsidR="008D3035">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الضوابط</w:t>
        </w:r>
        <w:r w:rsidR="008D3035">
          <w:rPr>
            <w:rStyle w:val="Hyperlink"/>
            <w:rFonts w:hint="cs"/>
            <w:rtl/>
          </w:rPr>
          <w:t xml:space="preserve"> </w:t>
        </w:r>
        <w:r w:rsidR="00AD0AE5" w:rsidRPr="00282605">
          <w:rPr>
            <w:rStyle w:val="Hyperlink"/>
            <w:rFonts w:hint="eastAsia"/>
            <w:rtl/>
          </w:rPr>
          <w:t>المتعلقة</w:t>
        </w:r>
        <w:r w:rsidR="008D3035">
          <w:rPr>
            <w:rStyle w:val="Hyperlink"/>
            <w:rFonts w:hint="cs"/>
            <w:rtl/>
          </w:rPr>
          <w:t xml:space="preserve"> </w:t>
        </w:r>
        <w:r w:rsidR="00AD0AE5" w:rsidRPr="00282605">
          <w:rPr>
            <w:rStyle w:val="Hyperlink"/>
            <w:rFonts w:hint="eastAsia"/>
            <w:rtl/>
          </w:rPr>
          <w:t>بباب</w:t>
        </w:r>
        <w:r w:rsidR="008D3035">
          <w:rPr>
            <w:rStyle w:val="Hyperlink"/>
            <w:rFonts w:hint="cs"/>
            <w:rtl/>
          </w:rPr>
          <w:t xml:space="preserve"> </w:t>
        </w:r>
        <w:r w:rsidR="00AD0AE5" w:rsidRPr="00282605">
          <w:rPr>
            <w:rStyle w:val="Hyperlink"/>
            <w:rFonts w:hint="eastAsia"/>
            <w:rtl/>
          </w:rPr>
          <w:t>الضمان</w:t>
        </w:r>
        <w:r w:rsidR="00AD0AE5">
          <w:rPr>
            <w:webHidden/>
            <w:rtl/>
          </w:rPr>
          <w:tab/>
        </w:r>
        <w:r w:rsidR="005B4391">
          <w:rPr>
            <w:rFonts w:hint="cs"/>
            <w:webHidden/>
            <w:rtl/>
          </w:rPr>
          <w:t>539</w:t>
        </w:r>
      </w:hyperlink>
    </w:p>
    <w:p w:rsidR="00AD0AE5" w:rsidRDefault="00AB0B9E" w:rsidP="005B4391">
      <w:pPr>
        <w:pStyle w:val="30"/>
        <w:rPr>
          <w:rFonts w:asciiTheme="minorHAnsi" w:eastAsiaTheme="minorEastAsia" w:hAnsiTheme="minorHAnsi" w:cstheme="minorBidi"/>
          <w:b w:val="0"/>
          <w:bCs w:val="0"/>
          <w:color w:val="auto"/>
          <w:sz w:val="22"/>
          <w:szCs w:val="22"/>
          <w:rtl/>
          <w:lang w:val="fr-FR" w:eastAsia="fr-FR"/>
        </w:rPr>
      </w:pPr>
      <w:hyperlink w:anchor="_Toc334046656" w:history="1">
        <w:r w:rsidR="00AD0AE5" w:rsidRPr="00282605">
          <w:rPr>
            <w:rStyle w:val="Hyperlink"/>
            <w:rFonts w:ascii="Traditional Arabic" w:hAnsi="Traditional Arabic" w:hint="eastAsia"/>
            <w:rtl/>
          </w:rPr>
          <w:t>المبحث</w:t>
        </w:r>
        <w:r w:rsidR="008D3035">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الأصل</w:t>
        </w:r>
        <w:r w:rsidR="008D3035">
          <w:rPr>
            <w:rStyle w:val="Hyperlink"/>
            <w:rFonts w:hint="cs"/>
            <w:rtl/>
          </w:rPr>
          <w:t xml:space="preserve"> </w:t>
        </w:r>
        <w:r w:rsidR="00AD0AE5" w:rsidRPr="00282605">
          <w:rPr>
            <w:rStyle w:val="Hyperlink"/>
            <w:rFonts w:hint="eastAsia"/>
            <w:rtl/>
          </w:rPr>
          <w:t>في</w:t>
        </w:r>
        <w:r w:rsidR="008D3035">
          <w:rPr>
            <w:rStyle w:val="Hyperlink"/>
            <w:rFonts w:hint="cs"/>
            <w:rtl/>
          </w:rPr>
          <w:t xml:space="preserve"> </w:t>
        </w:r>
        <w:r w:rsidR="00AD0AE5" w:rsidRPr="00282605">
          <w:rPr>
            <w:rStyle w:val="Hyperlink"/>
            <w:rFonts w:hint="eastAsia"/>
            <w:rtl/>
          </w:rPr>
          <w:t>من</w:t>
        </w:r>
        <w:r w:rsidR="008D3035">
          <w:rPr>
            <w:rStyle w:val="Hyperlink"/>
            <w:rFonts w:hint="cs"/>
            <w:rtl/>
          </w:rPr>
          <w:t xml:space="preserve"> </w:t>
        </w:r>
        <w:r w:rsidR="00AD0AE5" w:rsidRPr="00282605">
          <w:rPr>
            <w:rStyle w:val="Hyperlink"/>
            <w:rFonts w:hint="eastAsia"/>
            <w:rtl/>
          </w:rPr>
          <w:t>قبض</w:t>
        </w:r>
        <w:r w:rsidR="008D3035">
          <w:rPr>
            <w:rStyle w:val="Hyperlink"/>
            <w:rFonts w:hint="cs"/>
            <w:rtl/>
          </w:rPr>
          <w:t xml:space="preserve"> </w:t>
        </w:r>
        <w:r w:rsidR="00AD0AE5" w:rsidRPr="00282605">
          <w:rPr>
            <w:rStyle w:val="Hyperlink"/>
            <w:rFonts w:hint="eastAsia"/>
            <w:rtl/>
          </w:rPr>
          <w:t>ملك</w:t>
        </w:r>
        <w:r w:rsidR="008D3035">
          <w:rPr>
            <w:rStyle w:val="Hyperlink"/>
            <w:rFonts w:hint="cs"/>
            <w:rtl/>
          </w:rPr>
          <w:t xml:space="preserve"> </w:t>
        </w:r>
        <w:r w:rsidR="00AD0AE5" w:rsidRPr="00282605">
          <w:rPr>
            <w:rStyle w:val="Hyperlink"/>
            <w:rFonts w:hint="eastAsia"/>
            <w:rtl/>
          </w:rPr>
          <w:t>غيره</w:t>
        </w:r>
        <w:r w:rsidR="008D3035">
          <w:rPr>
            <w:rStyle w:val="Hyperlink"/>
            <w:rFonts w:hint="cs"/>
            <w:rtl/>
          </w:rPr>
          <w:t xml:space="preserve"> </w:t>
        </w:r>
        <w:r w:rsidR="00AD0AE5" w:rsidRPr="00282605">
          <w:rPr>
            <w:rStyle w:val="Hyperlink"/>
            <w:rFonts w:hint="eastAsia"/>
            <w:rtl/>
          </w:rPr>
          <w:t>أنه</w:t>
        </w:r>
        <w:r w:rsidR="008D3035">
          <w:rPr>
            <w:rStyle w:val="Hyperlink"/>
            <w:rFonts w:hint="cs"/>
            <w:rtl/>
          </w:rPr>
          <w:t xml:space="preserve"> </w:t>
        </w:r>
        <w:r w:rsidR="00AD0AE5" w:rsidRPr="00282605">
          <w:rPr>
            <w:rStyle w:val="Hyperlink"/>
            <w:rFonts w:hint="eastAsia"/>
            <w:rtl/>
          </w:rPr>
          <w:t>مضمون</w:t>
        </w:r>
        <w:r w:rsidR="008D3035">
          <w:rPr>
            <w:rStyle w:val="Hyperlink"/>
            <w:rFonts w:hint="cs"/>
            <w:rtl/>
          </w:rPr>
          <w:t xml:space="preserve"> </w:t>
        </w:r>
        <w:r w:rsidR="00AD0AE5" w:rsidRPr="00282605">
          <w:rPr>
            <w:rStyle w:val="Hyperlink"/>
            <w:rFonts w:hint="eastAsia"/>
            <w:rtl/>
          </w:rPr>
          <w:t>عليه</w:t>
        </w:r>
        <w:r w:rsidR="00AD0AE5" w:rsidRPr="00282605">
          <w:rPr>
            <w:rStyle w:val="Hyperlink"/>
            <w:rtl/>
          </w:rPr>
          <w:t>"</w:t>
        </w:r>
        <w:r w:rsidR="00AD0AE5">
          <w:rPr>
            <w:webHidden/>
            <w:rtl/>
          </w:rPr>
          <w:tab/>
        </w:r>
        <w:r w:rsidR="005B4391">
          <w:rPr>
            <w:rFonts w:hint="cs"/>
            <w:webHidden/>
            <w:rtl/>
          </w:rPr>
          <w:t>540</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57"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540</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58"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5B4391">
          <w:rPr>
            <w:rStyle w:val="Hyperlink"/>
            <w:rFonts w:hint="eastAsia"/>
            <w:rtl/>
          </w:rPr>
          <w:t>دل</w:t>
        </w:r>
        <w:r w:rsidR="005B4391">
          <w:rPr>
            <w:rStyle w:val="Hyperlink"/>
            <w:rFonts w:hint="cs"/>
            <w:rtl/>
          </w:rPr>
          <w:t>يل</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540</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59"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541</w:t>
        </w:r>
      </w:hyperlink>
    </w:p>
    <w:p w:rsidR="00AD0AE5" w:rsidRDefault="00AB0B9E" w:rsidP="005B4391">
      <w:pPr>
        <w:pStyle w:val="30"/>
        <w:rPr>
          <w:rFonts w:asciiTheme="minorHAnsi" w:eastAsiaTheme="minorEastAsia" w:hAnsiTheme="minorHAnsi" w:cstheme="minorBidi"/>
          <w:b w:val="0"/>
          <w:bCs w:val="0"/>
          <w:color w:val="auto"/>
          <w:sz w:val="22"/>
          <w:szCs w:val="22"/>
          <w:rtl/>
          <w:lang w:val="fr-FR" w:eastAsia="fr-FR"/>
        </w:rPr>
      </w:pPr>
      <w:hyperlink w:anchor="_Toc334046660" w:history="1">
        <w:r w:rsidR="00AD0AE5" w:rsidRPr="00282605">
          <w:rPr>
            <w:rStyle w:val="Hyperlink"/>
            <w:rFonts w:ascii="Traditional Arabic" w:hAnsi="Traditional Arabic" w:hint="eastAsia"/>
            <w:rtl/>
          </w:rPr>
          <w:t>المبحث</w:t>
        </w:r>
        <w:r w:rsidR="008D3035">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ضابط</w:t>
        </w:r>
        <w:r w:rsidR="008D3035">
          <w:rPr>
            <w:rStyle w:val="Hyperlink"/>
            <w:rFonts w:hint="cs"/>
            <w:rtl/>
          </w:rPr>
          <w:t xml:space="preserve"> </w:t>
        </w:r>
        <w:r w:rsidR="00AD0AE5" w:rsidRPr="00282605">
          <w:rPr>
            <w:rStyle w:val="Hyperlink"/>
            <w:rFonts w:hint="eastAsia"/>
            <w:rtl/>
          </w:rPr>
          <w:t>المثلي</w:t>
        </w:r>
        <w:r w:rsidR="008D3035">
          <w:rPr>
            <w:rStyle w:val="Hyperlink"/>
            <w:rFonts w:hint="cs"/>
            <w:rtl/>
          </w:rPr>
          <w:t xml:space="preserve"> </w:t>
        </w:r>
        <w:r w:rsidR="00AD0AE5" w:rsidRPr="00282605">
          <w:rPr>
            <w:rStyle w:val="Hyperlink"/>
            <w:rFonts w:hint="eastAsia"/>
            <w:rtl/>
          </w:rPr>
          <w:t>يضمن</w:t>
        </w:r>
        <w:r w:rsidR="008D3035">
          <w:rPr>
            <w:rStyle w:val="Hyperlink"/>
            <w:rFonts w:hint="cs"/>
            <w:rtl/>
          </w:rPr>
          <w:t xml:space="preserve"> </w:t>
        </w:r>
        <w:r w:rsidR="00AD0AE5" w:rsidRPr="00282605">
          <w:rPr>
            <w:rStyle w:val="Hyperlink"/>
            <w:rFonts w:hint="eastAsia"/>
            <w:rtl/>
          </w:rPr>
          <w:t>بمثله،</w:t>
        </w:r>
        <w:r w:rsidR="008D3035">
          <w:rPr>
            <w:rStyle w:val="Hyperlink"/>
            <w:rFonts w:hint="cs"/>
            <w:rtl/>
          </w:rPr>
          <w:t xml:space="preserve"> </w:t>
        </w:r>
        <w:r w:rsidR="00AD0AE5" w:rsidRPr="00282605">
          <w:rPr>
            <w:rStyle w:val="Hyperlink"/>
            <w:rFonts w:hint="eastAsia"/>
            <w:rtl/>
          </w:rPr>
          <w:t>والمتقوَّم</w:t>
        </w:r>
        <w:r w:rsidR="008D3035">
          <w:rPr>
            <w:rStyle w:val="Hyperlink"/>
            <w:rFonts w:hint="cs"/>
            <w:rtl/>
          </w:rPr>
          <w:t xml:space="preserve"> </w:t>
        </w:r>
        <w:r w:rsidR="00AD0AE5" w:rsidRPr="00282605">
          <w:rPr>
            <w:rStyle w:val="Hyperlink"/>
            <w:rFonts w:hint="eastAsia"/>
            <w:rtl/>
          </w:rPr>
          <w:t>يضمن</w:t>
        </w:r>
        <w:r w:rsidR="008D3035">
          <w:rPr>
            <w:rStyle w:val="Hyperlink"/>
            <w:rFonts w:hint="cs"/>
            <w:rtl/>
          </w:rPr>
          <w:t xml:space="preserve"> </w:t>
        </w:r>
        <w:r w:rsidR="00AD0AE5" w:rsidRPr="00282605">
          <w:rPr>
            <w:rStyle w:val="Hyperlink"/>
            <w:rFonts w:hint="eastAsia"/>
            <w:rtl/>
          </w:rPr>
          <w:t>بقيمته</w:t>
        </w:r>
        <w:r w:rsidR="00AD0AE5" w:rsidRPr="00282605">
          <w:rPr>
            <w:rStyle w:val="Hyperlink"/>
            <w:rtl/>
          </w:rPr>
          <w:t>"</w:t>
        </w:r>
        <w:r w:rsidR="00AD0AE5">
          <w:rPr>
            <w:webHidden/>
            <w:rtl/>
          </w:rPr>
          <w:tab/>
        </w:r>
        <w:r w:rsidR="005B4391">
          <w:rPr>
            <w:webHidden/>
          </w:rPr>
          <w:t>543</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61"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543</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62"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546</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63"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8D3035">
          <w:rPr>
            <w:rStyle w:val="Hyperlink"/>
            <w:rFonts w:hint="cs"/>
            <w:rtl/>
          </w:rPr>
          <w:t xml:space="preserve"> </w:t>
        </w:r>
        <w:r w:rsidR="00AD0AE5" w:rsidRPr="00282605">
          <w:rPr>
            <w:rStyle w:val="Hyperlink"/>
            <w:rFonts w:hint="eastAsia"/>
            <w:rtl/>
          </w:rPr>
          <w:t>الضابط</w:t>
        </w:r>
        <w:r w:rsidR="00AD0AE5">
          <w:rPr>
            <w:webHidden/>
            <w:rtl/>
          </w:rPr>
          <w:tab/>
        </w:r>
        <w:r w:rsidR="005B4391">
          <w:rPr>
            <w:rFonts w:hint="cs"/>
            <w:webHidden/>
            <w:rtl/>
          </w:rPr>
          <w:t>547</w:t>
        </w:r>
      </w:hyperlink>
    </w:p>
    <w:p w:rsidR="00AD0AE5" w:rsidRDefault="00AB0B9E" w:rsidP="005B4391">
      <w:pPr>
        <w:pStyle w:val="40"/>
        <w:rPr>
          <w:rFonts w:asciiTheme="minorHAnsi" w:eastAsiaTheme="minorEastAsia" w:hAnsiTheme="minorHAnsi" w:cstheme="minorBidi"/>
          <w:color w:val="auto"/>
          <w:sz w:val="22"/>
          <w:szCs w:val="22"/>
          <w:rtl/>
          <w:lang w:val="fr-FR" w:eastAsia="fr-FR"/>
        </w:rPr>
      </w:pPr>
      <w:hyperlink w:anchor="_Toc334046664" w:history="1">
        <w:r w:rsidR="00AD0AE5" w:rsidRPr="00282605">
          <w:rPr>
            <w:rStyle w:val="Hyperlink"/>
            <w:rFonts w:hint="eastAsia"/>
            <w:rtl/>
          </w:rPr>
          <w:t>المطلب</w:t>
        </w:r>
        <w:r w:rsidR="008D3035">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م</w:t>
        </w:r>
        <w:r w:rsidR="005B4391">
          <w:rPr>
            <w:rStyle w:val="Hyperlink"/>
            <w:rFonts w:hint="cs"/>
            <w:rtl/>
          </w:rPr>
          <w:t>ا ي</w:t>
        </w:r>
        <w:r w:rsidR="005B4391">
          <w:rPr>
            <w:rStyle w:val="Hyperlink"/>
            <w:rFonts w:hint="eastAsia"/>
            <w:rtl/>
          </w:rPr>
          <w:t>ستثن</w:t>
        </w:r>
        <w:r w:rsidR="005B4391">
          <w:rPr>
            <w:rStyle w:val="Hyperlink"/>
            <w:rFonts w:hint="cs"/>
            <w:rtl/>
          </w:rPr>
          <w:t>ى</w:t>
        </w:r>
        <w:r w:rsidR="008D3035">
          <w:rPr>
            <w:rStyle w:val="Hyperlink"/>
            <w:rFonts w:hint="cs"/>
            <w:rtl/>
          </w:rPr>
          <w:t xml:space="preserve"> </w:t>
        </w:r>
        <w:r w:rsidR="005B4391">
          <w:rPr>
            <w:rStyle w:val="Hyperlink"/>
            <w:rFonts w:hint="cs"/>
            <w:rtl/>
          </w:rPr>
          <w:t xml:space="preserve">من </w:t>
        </w:r>
        <w:r w:rsidR="00AD0AE5" w:rsidRPr="00282605">
          <w:rPr>
            <w:rStyle w:val="Hyperlink"/>
            <w:rFonts w:hint="eastAsia"/>
            <w:rtl/>
          </w:rPr>
          <w:t>الضابط</w:t>
        </w:r>
        <w:r w:rsidR="00AD0AE5">
          <w:rPr>
            <w:webHidden/>
            <w:rtl/>
          </w:rPr>
          <w:tab/>
        </w:r>
        <w:r w:rsidR="005B4391">
          <w:rPr>
            <w:rFonts w:hint="cs"/>
            <w:webHidden/>
            <w:rtl/>
          </w:rPr>
          <w:t>549</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665" w:history="1">
        <w:r w:rsidR="00AD0AE5" w:rsidRPr="00282605">
          <w:rPr>
            <w:rStyle w:val="Hyperlink"/>
            <w:rFonts w:hint="eastAsia"/>
            <w:rtl/>
          </w:rPr>
          <w:t>الفصل</w:t>
        </w:r>
        <w:r w:rsidR="008D3035">
          <w:rPr>
            <w:rStyle w:val="Hyperlink"/>
            <w:rFonts w:hint="cs"/>
            <w:rtl/>
          </w:rPr>
          <w:t xml:space="preserve"> </w:t>
        </w:r>
        <w:r w:rsidR="00AD0AE5" w:rsidRPr="00282605">
          <w:rPr>
            <w:rStyle w:val="Hyperlink"/>
            <w:rFonts w:hint="eastAsia"/>
            <w:rtl/>
          </w:rPr>
          <w:t>الخامس</w:t>
        </w:r>
        <w:r w:rsidR="00AD0AE5" w:rsidRPr="00282605">
          <w:rPr>
            <w:rStyle w:val="Hyperlink"/>
            <w:rtl/>
          </w:rPr>
          <w:t xml:space="preserve"> : </w:t>
        </w:r>
        <w:r w:rsidR="00AD0AE5" w:rsidRPr="00282605">
          <w:rPr>
            <w:rStyle w:val="Hyperlink"/>
            <w:rFonts w:hint="eastAsia"/>
            <w:rtl/>
          </w:rPr>
          <w:t>الضوابط</w:t>
        </w:r>
        <w:r w:rsidR="008D3035">
          <w:rPr>
            <w:rStyle w:val="Hyperlink"/>
            <w:rFonts w:hint="cs"/>
            <w:rtl/>
          </w:rPr>
          <w:t xml:space="preserve"> </w:t>
        </w:r>
        <w:r w:rsidR="00AD0AE5" w:rsidRPr="00282605">
          <w:rPr>
            <w:rStyle w:val="Hyperlink"/>
            <w:rFonts w:hint="eastAsia"/>
            <w:rtl/>
          </w:rPr>
          <w:t>المتعلقة</w:t>
        </w:r>
        <w:r w:rsidR="008D3035">
          <w:rPr>
            <w:rStyle w:val="Hyperlink"/>
            <w:rFonts w:hint="cs"/>
            <w:rtl/>
          </w:rPr>
          <w:t xml:space="preserve"> </w:t>
        </w:r>
        <w:r w:rsidR="00AD0AE5" w:rsidRPr="00282605">
          <w:rPr>
            <w:rStyle w:val="Hyperlink"/>
            <w:rFonts w:hint="eastAsia"/>
            <w:rtl/>
          </w:rPr>
          <w:t>بباب</w:t>
        </w:r>
        <w:r w:rsidR="008D3035">
          <w:rPr>
            <w:rStyle w:val="Hyperlink"/>
            <w:rFonts w:hint="cs"/>
            <w:rtl/>
          </w:rPr>
          <w:t xml:space="preserve"> </w:t>
        </w:r>
        <w:r w:rsidR="00AD0AE5" w:rsidRPr="00282605">
          <w:rPr>
            <w:rStyle w:val="Hyperlink"/>
            <w:rFonts w:hint="eastAsia"/>
            <w:rtl/>
          </w:rPr>
          <w:t>الحوالة</w:t>
        </w:r>
        <w:r w:rsidR="008D3035">
          <w:rPr>
            <w:rStyle w:val="Hyperlink"/>
            <w:rFonts w:hint="cs"/>
            <w:rtl/>
          </w:rPr>
          <w:t xml:space="preserve"> </w:t>
        </w:r>
        <w:r w:rsidR="00AD0AE5" w:rsidRPr="00282605">
          <w:rPr>
            <w:rStyle w:val="Hyperlink"/>
            <w:rFonts w:hint="eastAsia"/>
            <w:rtl/>
          </w:rPr>
          <w:t>وباب</w:t>
        </w:r>
        <w:r w:rsidR="008D3035">
          <w:rPr>
            <w:rStyle w:val="Hyperlink"/>
            <w:rFonts w:hint="cs"/>
            <w:rtl/>
          </w:rPr>
          <w:t xml:space="preserve"> </w:t>
        </w:r>
        <w:r w:rsidR="00AD0AE5" w:rsidRPr="00282605">
          <w:rPr>
            <w:rStyle w:val="Hyperlink"/>
            <w:rFonts w:hint="eastAsia"/>
            <w:rtl/>
          </w:rPr>
          <w:t>الوكالة</w:t>
        </w:r>
        <w:r w:rsidR="00AD0AE5">
          <w:rPr>
            <w:webHidden/>
            <w:rtl/>
          </w:rPr>
          <w:tab/>
        </w:r>
        <w:r w:rsidR="00BF16BC">
          <w:rPr>
            <w:rFonts w:hint="cs"/>
            <w:webHidden/>
            <w:rtl/>
          </w:rPr>
          <w:t>550</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666" w:history="1">
        <w:r w:rsidR="00AD0AE5" w:rsidRPr="00282605">
          <w:rPr>
            <w:rStyle w:val="Hyperlink"/>
            <w:rFonts w:ascii="Traditional Arabic" w:hAnsi="Traditional Arabic" w:hint="eastAsia"/>
            <w:rtl/>
          </w:rPr>
          <w:t>المبحث</w:t>
        </w:r>
        <w:r w:rsidR="008D3035">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w:t>
        </w:r>
        <w:r w:rsidR="00AD0AE5" w:rsidRPr="00282605">
          <w:rPr>
            <w:rStyle w:val="Hyperlink"/>
            <w:rFonts w:hint="eastAsia"/>
            <w:rtl/>
          </w:rPr>
          <w:t>الحوالة</w:t>
        </w:r>
        <w:r w:rsidR="008D3035">
          <w:rPr>
            <w:rStyle w:val="Hyperlink"/>
            <w:rFonts w:hint="cs"/>
            <w:rtl/>
          </w:rPr>
          <w:t xml:space="preserve"> </w:t>
        </w:r>
        <w:r w:rsidR="00AD0AE5" w:rsidRPr="00282605">
          <w:rPr>
            <w:rStyle w:val="Hyperlink"/>
            <w:rFonts w:hint="eastAsia"/>
            <w:rtl/>
          </w:rPr>
          <w:t>من</w:t>
        </w:r>
        <w:r w:rsidR="00F26353">
          <w:rPr>
            <w:rStyle w:val="Hyperlink"/>
            <w:rFonts w:hint="cs"/>
            <w:rtl/>
          </w:rPr>
          <w:t xml:space="preserve"> </w:t>
        </w:r>
        <w:r w:rsidR="00AD0AE5" w:rsidRPr="00282605">
          <w:rPr>
            <w:rStyle w:val="Hyperlink"/>
            <w:rFonts w:hint="eastAsia"/>
            <w:rtl/>
          </w:rPr>
          <w:t>باب</w:t>
        </w:r>
        <w:r w:rsidR="00F26353">
          <w:rPr>
            <w:rStyle w:val="Hyperlink"/>
            <w:rFonts w:hint="cs"/>
            <w:rtl/>
          </w:rPr>
          <w:t xml:space="preserve"> </w:t>
        </w:r>
        <w:r w:rsidR="00AD0AE5" w:rsidRPr="00282605">
          <w:rPr>
            <w:rStyle w:val="Hyperlink"/>
            <w:rFonts w:hint="eastAsia"/>
            <w:rtl/>
          </w:rPr>
          <w:t>الاستيفاء،</w:t>
        </w:r>
        <w:r w:rsidR="00F26353">
          <w:rPr>
            <w:rStyle w:val="Hyperlink"/>
            <w:rFonts w:hint="cs"/>
            <w:rtl/>
          </w:rPr>
          <w:t xml:space="preserve"> </w:t>
        </w:r>
        <w:r w:rsidR="00AD0AE5" w:rsidRPr="00282605">
          <w:rPr>
            <w:rStyle w:val="Hyperlink"/>
            <w:rFonts w:hint="eastAsia"/>
            <w:rtl/>
          </w:rPr>
          <w:t>فإذا</w:t>
        </w:r>
        <w:r w:rsidR="00F26353">
          <w:rPr>
            <w:rStyle w:val="Hyperlink"/>
            <w:rFonts w:hint="cs"/>
            <w:rtl/>
          </w:rPr>
          <w:t xml:space="preserve"> </w:t>
        </w:r>
        <w:r w:rsidR="00AD0AE5" w:rsidRPr="00282605">
          <w:rPr>
            <w:rStyle w:val="Hyperlink"/>
            <w:rFonts w:hint="eastAsia"/>
            <w:rtl/>
          </w:rPr>
          <w:t>انقلبت</w:t>
        </w:r>
        <w:r w:rsidR="00F26353">
          <w:rPr>
            <w:rStyle w:val="Hyperlink"/>
            <w:rFonts w:hint="cs"/>
            <w:rtl/>
          </w:rPr>
          <w:t xml:space="preserve"> </w:t>
        </w:r>
        <w:r w:rsidR="00AD0AE5" w:rsidRPr="00282605">
          <w:rPr>
            <w:rStyle w:val="Hyperlink"/>
            <w:rFonts w:hint="eastAsia"/>
            <w:rtl/>
          </w:rPr>
          <w:t>إلى</w:t>
        </w:r>
        <w:r w:rsidR="00F26353">
          <w:rPr>
            <w:rStyle w:val="Hyperlink"/>
            <w:rFonts w:hint="cs"/>
            <w:rtl/>
          </w:rPr>
          <w:t xml:space="preserve"> </w:t>
        </w:r>
        <w:r w:rsidR="00AD0AE5" w:rsidRPr="00282605">
          <w:rPr>
            <w:rStyle w:val="Hyperlink"/>
            <w:rFonts w:hint="eastAsia"/>
            <w:rtl/>
          </w:rPr>
          <w:t>معاوضة</w:t>
        </w:r>
        <w:r w:rsidR="00F26353">
          <w:rPr>
            <w:rStyle w:val="Hyperlink"/>
            <w:rFonts w:hint="cs"/>
            <w:rtl/>
          </w:rPr>
          <w:t xml:space="preserve"> </w:t>
        </w:r>
        <w:r w:rsidR="00AD0AE5" w:rsidRPr="00282605">
          <w:rPr>
            <w:rStyle w:val="Hyperlink"/>
            <w:rFonts w:hint="eastAsia"/>
            <w:rtl/>
          </w:rPr>
          <w:t>صار</w:t>
        </w:r>
        <w:r w:rsidR="00F26353">
          <w:rPr>
            <w:rStyle w:val="Hyperlink"/>
            <w:rFonts w:hint="cs"/>
            <w:rtl/>
          </w:rPr>
          <w:t xml:space="preserve"> </w:t>
        </w:r>
        <w:r w:rsidR="00AD0AE5" w:rsidRPr="00282605">
          <w:rPr>
            <w:rStyle w:val="Hyperlink"/>
            <w:rFonts w:hint="eastAsia"/>
            <w:rtl/>
          </w:rPr>
          <w:t>لابد</w:t>
        </w:r>
        <w:r w:rsidR="00F26353">
          <w:rPr>
            <w:rStyle w:val="Hyperlink"/>
            <w:rFonts w:hint="cs"/>
            <w:rtl/>
          </w:rPr>
          <w:t xml:space="preserve"> </w:t>
        </w:r>
        <w:r w:rsidR="00AD0AE5" w:rsidRPr="00282605">
          <w:rPr>
            <w:rStyle w:val="Hyperlink"/>
            <w:rFonts w:hint="eastAsia"/>
            <w:rtl/>
          </w:rPr>
          <w:t>فيها</w:t>
        </w:r>
        <w:r w:rsidR="00F26353">
          <w:rPr>
            <w:rStyle w:val="Hyperlink"/>
            <w:rFonts w:hint="cs"/>
            <w:rtl/>
          </w:rPr>
          <w:t xml:space="preserve"> </w:t>
        </w:r>
        <w:r w:rsidR="00AD0AE5" w:rsidRPr="00282605">
          <w:rPr>
            <w:rStyle w:val="Hyperlink"/>
            <w:rFonts w:hint="eastAsia"/>
            <w:rtl/>
          </w:rPr>
          <w:t>من</w:t>
        </w:r>
        <w:r w:rsidR="00F26353">
          <w:rPr>
            <w:rStyle w:val="Hyperlink"/>
            <w:rFonts w:hint="cs"/>
            <w:rtl/>
          </w:rPr>
          <w:t xml:space="preserve"> </w:t>
        </w:r>
        <w:r w:rsidR="00AD0AE5" w:rsidRPr="00282605">
          <w:rPr>
            <w:rStyle w:val="Hyperlink"/>
            <w:rFonts w:hint="eastAsia"/>
            <w:rtl/>
          </w:rPr>
          <w:t>مراعاة</w:t>
        </w:r>
        <w:r w:rsidR="00F26353">
          <w:rPr>
            <w:rStyle w:val="Hyperlink"/>
            <w:rFonts w:hint="cs"/>
            <w:rtl/>
          </w:rPr>
          <w:t xml:space="preserve"> </w:t>
        </w:r>
        <w:r w:rsidR="00AD0AE5" w:rsidRPr="00282605">
          <w:rPr>
            <w:rStyle w:val="Hyperlink"/>
            <w:rFonts w:hint="eastAsia"/>
            <w:rtl/>
          </w:rPr>
          <w:t>شروط</w:t>
        </w:r>
        <w:r w:rsidR="00F26353">
          <w:rPr>
            <w:rStyle w:val="Hyperlink"/>
            <w:rFonts w:hint="cs"/>
            <w:rtl/>
          </w:rPr>
          <w:t xml:space="preserve"> </w:t>
        </w:r>
        <w:r w:rsidR="00AD0AE5" w:rsidRPr="00282605">
          <w:rPr>
            <w:rStyle w:val="Hyperlink"/>
            <w:rFonts w:hint="eastAsia"/>
            <w:rtl/>
          </w:rPr>
          <w:t>البيع</w:t>
        </w:r>
        <w:r w:rsidR="00351451">
          <w:rPr>
            <w:rStyle w:val="Hyperlink"/>
            <w:rFonts w:hint="cs"/>
            <w:rtl/>
          </w:rPr>
          <w:t xml:space="preserve"> </w:t>
        </w:r>
        <w:r w:rsidR="00AD0AE5" w:rsidRPr="00282605">
          <w:rPr>
            <w:rStyle w:val="Hyperlink"/>
            <w:rFonts w:hint="eastAsia"/>
            <w:rtl/>
          </w:rPr>
          <w:t>المعروفة</w:t>
        </w:r>
        <w:r w:rsidR="00AD0AE5" w:rsidRPr="00282605">
          <w:rPr>
            <w:rStyle w:val="Hyperlink"/>
            <w:rtl/>
          </w:rPr>
          <w:t>"</w:t>
        </w:r>
        <w:r w:rsidR="00AD0AE5">
          <w:rPr>
            <w:webHidden/>
            <w:rtl/>
          </w:rPr>
          <w:tab/>
        </w:r>
        <w:r w:rsidR="00BF16BC">
          <w:rPr>
            <w:rFonts w:hint="cs"/>
            <w:webHidden/>
            <w:rtl/>
          </w:rPr>
          <w:t>551</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67"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551</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68"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552</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69"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552</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670" w:history="1">
        <w:r w:rsidR="00AD0AE5" w:rsidRPr="00282605">
          <w:rPr>
            <w:rStyle w:val="Hyperlink"/>
            <w:rFonts w:hint="eastAsia"/>
            <w:rtl/>
          </w:rPr>
          <w:t>المبحث</w:t>
        </w:r>
        <w:r w:rsidR="00F26353">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كل</w:t>
        </w:r>
        <w:r w:rsidR="00F26353">
          <w:rPr>
            <w:rStyle w:val="Hyperlink"/>
            <w:rFonts w:hint="cs"/>
            <w:rtl/>
          </w:rPr>
          <w:t xml:space="preserve"> </w:t>
        </w:r>
        <w:r w:rsidR="00AD0AE5" w:rsidRPr="00282605">
          <w:rPr>
            <w:rStyle w:val="Hyperlink"/>
            <w:rFonts w:hint="eastAsia"/>
            <w:rtl/>
          </w:rPr>
          <w:t>من</w:t>
        </w:r>
        <w:r w:rsidR="00F26353">
          <w:rPr>
            <w:rStyle w:val="Hyperlink"/>
            <w:rFonts w:hint="cs"/>
            <w:rtl/>
          </w:rPr>
          <w:t xml:space="preserve"> </w:t>
        </w:r>
        <w:r w:rsidR="00AD0AE5" w:rsidRPr="00282605">
          <w:rPr>
            <w:rStyle w:val="Hyperlink"/>
            <w:rFonts w:hint="eastAsia"/>
            <w:rtl/>
          </w:rPr>
          <w:t>له</w:t>
        </w:r>
        <w:r w:rsidR="00F26353">
          <w:rPr>
            <w:rStyle w:val="Hyperlink"/>
            <w:rFonts w:hint="cs"/>
            <w:rtl/>
          </w:rPr>
          <w:t xml:space="preserve"> </w:t>
        </w:r>
        <w:r w:rsidR="00AD0AE5" w:rsidRPr="00282605">
          <w:rPr>
            <w:rStyle w:val="Hyperlink"/>
            <w:rFonts w:hint="eastAsia"/>
            <w:rtl/>
          </w:rPr>
          <w:t>التصرف</w:t>
        </w:r>
        <w:r w:rsidR="00F26353">
          <w:rPr>
            <w:rStyle w:val="Hyperlink"/>
            <w:rFonts w:hint="cs"/>
            <w:rtl/>
          </w:rPr>
          <w:t xml:space="preserve"> </w:t>
        </w:r>
        <w:r w:rsidR="00AD0AE5" w:rsidRPr="00282605">
          <w:rPr>
            <w:rStyle w:val="Hyperlink"/>
            <w:rFonts w:hint="eastAsia"/>
            <w:rtl/>
          </w:rPr>
          <w:t>في</w:t>
        </w:r>
        <w:r w:rsidR="00F26353">
          <w:rPr>
            <w:rStyle w:val="Hyperlink"/>
            <w:rFonts w:hint="cs"/>
            <w:rtl/>
          </w:rPr>
          <w:t xml:space="preserve"> </w:t>
        </w:r>
        <w:r w:rsidR="00AD0AE5" w:rsidRPr="00282605">
          <w:rPr>
            <w:rStyle w:val="Hyperlink"/>
            <w:rFonts w:hint="eastAsia"/>
            <w:rtl/>
          </w:rPr>
          <w:t>شيء</w:t>
        </w:r>
        <w:r w:rsidR="00F26353">
          <w:rPr>
            <w:rStyle w:val="Hyperlink"/>
            <w:rFonts w:hint="cs"/>
            <w:rtl/>
          </w:rPr>
          <w:t xml:space="preserve"> </w:t>
        </w:r>
        <w:r w:rsidR="00AD0AE5" w:rsidRPr="00282605">
          <w:rPr>
            <w:rStyle w:val="Hyperlink"/>
            <w:rFonts w:hint="eastAsia"/>
            <w:rtl/>
          </w:rPr>
          <w:t>فله</w:t>
        </w:r>
        <w:r w:rsidR="00F26353">
          <w:rPr>
            <w:rStyle w:val="Hyperlink"/>
            <w:rFonts w:hint="cs"/>
            <w:rtl/>
          </w:rPr>
          <w:t xml:space="preserve"> </w:t>
        </w:r>
        <w:r w:rsidR="00AD0AE5" w:rsidRPr="00282605">
          <w:rPr>
            <w:rStyle w:val="Hyperlink"/>
            <w:rFonts w:hint="eastAsia"/>
            <w:rtl/>
          </w:rPr>
          <w:t>أن</w:t>
        </w:r>
        <w:r w:rsidR="00F26353">
          <w:rPr>
            <w:rStyle w:val="Hyperlink"/>
            <w:rFonts w:hint="cs"/>
            <w:rtl/>
          </w:rPr>
          <w:t xml:space="preserve"> </w:t>
        </w:r>
        <w:r w:rsidR="00AD0AE5" w:rsidRPr="00282605">
          <w:rPr>
            <w:rStyle w:val="Hyperlink"/>
            <w:rFonts w:hint="eastAsia"/>
            <w:rtl/>
          </w:rPr>
          <w:t>يوكل</w:t>
        </w:r>
        <w:r w:rsidR="00F26353">
          <w:rPr>
            <w:rStyle w:val="Hyperlink"/>
            <w:rFonts w:hint="cs"/>
            <w:rtl/>
          </w:rPr>
          <w:t xml:space="preserve"> </w:t>
        </w:r>
        <w:r w:rsidR="00AD0AE5" w:rsidRPr="00282605">
          <w:rPr>
            <w:rStyle w:val="Hyperlink"/>
            <w:rFonts w:hint="eastAsia"/>
            <w:rtl/>
          </w:rPr>
          <w:t>وله</w:t>
        </w:r>
        <w:r w:rsidR="00F26353">
          <w:rPr>
            <w:rStyle w:val="Hyperlink"/>
            <w:rFonts w:hint="cs"/>
            <w:rtl/>
          </w:rPr>
          <w:t xml:space="preserve"> </w:t>
        </w:r>
        <w:r w:rsidR="00AD0AE5" w:rsidRPr="00282605">
          <w:rPr>
            <w:rStyle w:val="Hyperlink"/>
            <w:rFonts w:hint="eastAsia"/>
            <w:rtl/>
          </w:rPr>
          <w:t>أن</w:t>
        </w:r>
        <w:r w:rsidR="00F26353">
          <w:rPr>
            <w:rStyle w:val="Hyperlink"/>
            <w:rFonts w:hint="cs"/>
            <w:rtl/>
          </w:rPr>
          <w:t xml:space="preserve"> </w:t>
        </w:r>
        <w:r w:rsidR="00AD0AE5" w:rsidRPr="00282605">
          <w:rPr>
            <w:rStyle w:val="Hyperlink"/>
            <w:rFonts w:hint="eastAsia"/>
            <w:rtl/>
          </w:rPr>
          <w:t>يتوكل،</w:t>
        </w:r>
        <w:r w:rsidR="00F26353">
          <w:rPr>
            <w:rStyle w:val="Hyperlink"/>
            <w:rFonts w:hint="cs"/>
            <w:rtl/>
          </w:rPr>
          <w:t xml:space="preserve"> </w:t>
        </w:r>
        <w:r w:rsidR="00AD0AE5" w:rsidRPr="00282605">
          <w:rPr>
            <w:rStyle w:val="Hyperlink"/>
            <w:rFonts w:hint="eastAsia"/>
            <w:rtl/>
          </w:rPr>
          <w:t>ومن</w:t>
        </w:r>
        <w:r w:rsidR="00F26353">
          <w:rPr>
            <w:rStyle w:val="Hyperlink"/>
            <w:rFonts w:hint="cs"/>
            <w:rtl/>
          </w:rPr>
          <w:t xml:space="preserve"> </w:t>
        </w:r>
        <w:r w:rsidR="00AD0AE5" w:rsidRPr="00282605">
          <w:rPr>
            <w:rStyle w:val="Hyperlink"/>
            <w:rFonts w:hint="eastAsia"/>
            <w:rtl/>
          </w:rPr>
          <w:t>ليس</w:t>
        </w:r>
        <w:r w:rsidR="00F26353">
          <w:rPr>
            <w:rStyle w:val="Hyperlink"/>
            <w:rFonts w:hint="cs"/>
            <w:rtl/>
          </w:rPr>
          <w:t xml:space="preserve"> </w:t>
        </w:r>
        <w:r w:rsidR="00AD0AE5" w:rsidRPr="00282605">
          <w:rPr>
            <w:rStyle w:val="Hyperlink"/>
            <w:rFonts w:hint="eastAsia"/>
            <w:rtl/>
          </w:rPr>
          <w:t>له</w:t>
        </w:r>
        <w:r w:rsidR="00F26353">
          <w:rPr>
            <w:rStyle w:val="Hyperlink"/>
            <w:rFonts w:hint="cs"/>
            <w:rtl/>
          </w:rPr>
          <w:t xml:space="preserve"> </w:t>
        </w:r>
        <w:r w:rsidR="00AD0AE5" w:rsidRPr="00282605">
          <w:rPr>
            <w:rStyle w:val="Hyperlink"/>
            <w:rFonts w:hint="eastAsia"/>
            <w:rtl/>
          </w:rPr>
          <w:t>التصرف</w:t>
        </w:r>
        <w:r w:rsidR="00F26353">
          <w:rPr>
            <w:rStyle w:val="Hyperlink"/>
            <w:rFonts w:hint="cs"/>
            <w:rtl/>
          </w:rPr>
          <w:t xml:space="preserve"> </w:t>
        </w:r>
        <w:r w:rsidR="00AD0AE5" w:rsidRPr="00282605">
          <w:rPr>
            <w:rStyle w:val="Hyperlink"/>
            <w:rFonts w:hint="eastAsia"/>
            <w:rtl/>
          </w:rPr>
          <w:t>فيه</w:t>
        </w:r>
        <w:r w:rsidR="00F26353">
          <w:rPr>
            <w:rStyle w:val="Hyperlink"/>
            <w:rFonts w:hint="cs"/>
            <w:rtl/>
          </w:rPr>
          <w:t xml:space="preserve"> </w:t>
        </w:r>
        <w:r w:rsidR="00AD0AE5" w:rsidRPr="00282605">
          <w:rPr>
            <w:rStyle w:val="Hyperlink"/>
            <w:rFonts w:hint="eastAsia"/>
            <w:rtl/>
          </w:rPr>
          <w:t>فليس</w:t>
        </w:r>
        <w:r w:rsidR="00F26353">
          <w:rPr>
            <w:rStyle w:val="Hyperlink"/>
            <w:rFonts w:hint="cs"/>
            <w:rtl/>
          </w:rPr>
          <w:t xml:space="preserve"> </w:t>
        </w:r>
        <w:r w:rsidR="00AD0AE5" w:rsidRPr="00282605">
          <w:rPr>
            <w:rStyle w:val="Hyperlink"/>
            <w:rFonts w:hint="eastAsia"/>
            <w:rtl/>
          </w:rPr>
          <w:t>له</w:t>
        </w:r>
        <w:r w:rsidR="00F26353">
          <w:rPr>
            <w:rStyle w:val="Hyperlink"/>
            <w:rFonts w:hint="cs"/>
            <w:rtl/>
          </w:rPr>
          <w:t xml:space="preserve"> </w:t>
        </w:r>
        <w:r w:rsidR="00AD0AE5" w:rsidRPr="00282605">
          <w:rPr>
            <w:rStyle w:val="Hyperlink"/>
            <w:rFonts w:hint="eastAsia"/>
            <w:rtl/>
          </w:rPr>
          <w:t>أن</w:t>
        </w:r>
        <w:r w:rsidR="00F26353">
          <w:rPr>
            <w:rStyle w:val="Hyperlink"/>
            <w:rFonts w:hint="cs"/>
            <w:rtl/>
          </w:rPr>
          <w:t xml:space="preserve"> </w:t>
        </w:r>
        <w:r w:rsidR="00AD0AE5" w:rsidRPr="00282605">
          <w:rPr>
            <w:rStyle w:val="Hyperlink"/>
            <w:rFonts w:hint="eastAsia"/>
            <w:rtl/>
          </w:rPr>
          <w:t>يوكل،</w:t>
        </w:r>
        <w:r w:rsidR="00F26353">
          <w:rPr>
            <w:rStyle w:val="Hyperlink"/>
            <w:rFonts w:hint="cs"/>
            <w:rtl/>
          </w:rPr>
          <w:t xml:space="preserve"> </w:t>
        </w:r>
        <w:r w:rsidR="00AD0AE5" w:rsidRPr="00282605">
          <w:rPr>
            <w:rStyle w:val="Hyperlink"/>
            <w:rFonts w:hint="eastAsia"/>
            <w:rtl/>
          </w:rPr>
          <w:t>وليس</w:t>
        </w:r>
        <w:r w:rsidR="00F26353">
          <w:rPr>
            <w:rStyle w:val="Hyperlink"/>
            <w:rFonts w:hint="cs"/>
            <w:rtl/>
          </w:rPr>
          <w:t xml:space="preserve"> </w:t>
        </w:r>
        <w:r w:rsidR="00AD0AE5" w:rsidRPr="00282605">
          <w:rPr>
            <w:rStyle w:val="Hyperlink"/>
            <w:rFonts w:hint="eastAsia"/>
            <w:rtl/>
          </w:rPr>
          <w:t>له</w:t>
        </w:r>
        <w:r w:rsidR="00F26353">
          <w:rPr>
            <w:rStyle w:val="Hyperlink"/>
            <w:rFonts w:hint="cs"/>
            <w:rtl/>
          </w:rPr>
          <w:t xml:space="preserve"> </w:t>
        </w:r>
        <w:r w:rsidR="00AD0AE5" w:rsidRPr="00282605">
          <w:rPr>
            <w:rStyle w:val="Hyperlink"/>
            <w:rFonts w:hint="eastAsia"/>
            <w:rtl/>
          </w:rPr>
          <w:t>أن</w:t>
        </w:r>
        <w:r w:rsidR="00F26353">
          <w:rPr>
            <w:rStyle w:val="Hyperlink"/>
            <w:rFonts w:hint="cs"/>
            <w:rtl/>
          </w:rPr>
          <w:t xml:space="preserve"> </w:t>
        </w:r>
        <w:r w:rsidR="00AD0AE5" w:rsidRPr="00282605">
          <w:rPr>
            <w:rStyle w:val="Hyperlink"/>
            <w:rFonts w:hint="eastAsia"/>
            <w:rtl/>
          </w:rPr>
          <w:t>يتوكل</w:t>
        </w:r>
        <w:r w:rsidR="00AD0AE5" w:rsidRPr="00282605">
          <w:rPr>
            <w:rStyle w:val="Hyperlink"/>
            <w:rtl/>
          </w:rPr>
          <w:t>"</w:t>
        </w:r>
        <w:r w:rsidR="00AD0AE5">
          <w:rPr>
            <w:webHidden/>
            <w:rtl/>
          </w:rPr>
          <w:tab/>
        </w:r>
        <w:r w:rsidR="00BF16BC">
          <w:rPr>
            <w:rFonts w:hint="cs"/>
            <w:webHidden/>
            <w:rtl/>
          </w:rPr>
          <w:t>554</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71"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554</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72"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555</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73"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556</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74"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مستثنيات</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557</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680" w:history="1">
        <w:r w:rsidR="00AD0AE5" w:rsidRPr="00282605">
          <w:rPr>
            <w:rStyle w:val="Hyperlink"/>
            <w:rFonts w:hint="eastAsia"/>
            <w:rtl/>
          </w:rPr>
          <w:t>الفصل</w:t>
        </w:r>
        <w:r w:rsidR="00F26353">
          <w:rPr>
            <w:rStyle w:val="Hyperlink"/>
            <w:rFonts w:hint="cs"/>
            <w:rtl/>
          </w:rPr>
          <w:t xml:space="preserve"> </w:t>
        </w:r>
        <w:r w:rsidR="00AD0AE5" w:rsidRPr="00282605">
          <w:rPr>
            <w:rStyle w:val="Hyperlink"/>
            <w:rFonts w:hint="eastAsia"/>
            <w:rtl/>
          </w:rPr>
          <w:t>السادس</w:t>
        </w:r>
        <w:r w:rsidR="00AD0AE5" w:rsidRPr="00282605">
          <w:rPr>
            <w:rStyle w:val="Hyperlink"/>
            <w:rtl/>
          </w:rPr>
          <w:t xml:space="preserve"> : </w:t>
        </w:r>
        <w:r w:rsidR="00AD0AE5" w:rsidRPr="00282605">
          <w:rPr>
            <w:rStyle w:val="Hyperlink"/>
            <w:rFonts w:hint="eastAsia"/>
            <w:rtl/>
          </w:rPr>
          <w:t>الضوابط</w:t>
        </w:r>
        <w:r w:rsidR="00F26353">
          <w:rPr>
            <w:rStyle w:val="Hyperlink"/>
            <w:rFonts w:hint="cs"/>
            <w:rtl/>
          </w:rPr>
          <w:t xml:space="preserve"> </w:t>
        </w:r>
        <w:r w:rsidR="00AD0AE5" w:rsidRPr="00282605">
          <w:rPr>
            <w:rStyle w:val="Hyperlink"/>
            <w:rFonts w:hint="eastAsia"/>
            <w:rtl/>
          </w:rPr>
          <w:t>المتعلقة</w:t>
        </w:r>
        <w:r w:rsidR="00F26353">
          <w:rPr>
            <w:rStyle w:val="Hyperlink"/>
            <w:rFonts w:hint="cs"/>
            <w:rtl/>
          </w:rPr>
          <w:t xml:space="preserve"> </w:t>
        </w:r>
        <w:r w:rsidR="00AD0AE5" w:rsidRPr="00282605">
          <w:rPr>
            <w:rStyle w:val="Hyperlink"/>
            <w:rFonts w:hint="eastAsia"/>
            <w:rtl/>
          </w:rPr>
          <w:t>بباب</w:t>
        </w:r>
        <w:r w:rsidR="00F26353">
          <w:rPr>
            <w:rStyle w:val="Hyperlink"/>
            <w:rFonts w:hint="cs"/>
            <w:rtl/>
          </w:rPr>
          <w:t xml:space="preserve"> </w:t>
        </w:r>
        <w:r w:rsidR="00AD0AE5" w:rsidRPr="00282605">
          <w:rPr>
            <w:rStyle w:val="Hyperlink"/>
            <w:rFonts w:hint="eastAsia"/>
            <w:rtl/>
          </w:rPr>
          <w:t>الشركة</w:t>
        </w:r>
        <w:r w:rsidR="00F26353">
          <w:rPr>
            <w:rStyle w:val="Hyperlink"/>
            <w:rFonts w:hint="cs"/>
            <w:rtl/>
          </w:rPr>
          <w:t xml:space="preserve"> </w:t>
        </w:r>
        <w:r w:rsidR="00AD0AE5" w:rsidRPr="00282605">
          <w:rPr>
            <w:rStyle w:val="Hyperlink"/>
            <w:rFonts w:hint="eastAsia"/>
            <w:rtl/>
          </w:rPr>
          <w:t>وباب</w:t>
        </w:r>
        <w:r w:rsidR="00F26353">
          <w:rPr>
            <w:rStyle w:val="Hyperlink"/>
            <w:rFonts w:hint="cs"/>
            <w:rtl/>
          </w:rPr>
          <w:t xml:space="preserve"> </w:t>
        </w:r>
        <w:r w:rsidR="00AD0AE5" w:rsidRPr="00282605">
          <w:rPr>
            <w:rStyle w:val="Hyperlink"/>
            <w:rFonts w:hint="eastAsia"/>
            <w:rtl/>
          </w:rPr>
          <w:t>الإجارة</w:t>
        </w:r>
        <w:r w:rsidR="00AD0AE5">
          <w:rPr>
            <w:webHidden/>
            <w:rtl/>
          </w:rPr>
          <w:tab/>
        </w:r>
        <w:r w:rsidR="00BF16BC">
          <w:rPr>
            <w:rFonts w:hint="cs"/>
            <w:webHidden/>
            <w:rtl/>
          </w:rPr>
          <w:t>559</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681" w:history="1">
        <w:r w:rsidR="00AD0AE5" w:rsidRPr="00282605">
          <w:rPr>
            <w:rStyle w:val="Hyperlink"/>
            <w:rFonts w:hint="eastAsia"/>
            <w:rtl/>
          </w:rPr>
          <w:t>المبحث</w:t>
        </w:r>
        <w:r w:rsidR="00F26353">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ضابط</w:t>
        </w:r>
        <w:r w:rsidR="00F26353">
          <w:rPr>
            <w:rStyle w:val="Hyperlink"/>
            <w:rFonts w:hint="cs"/>
            <w:rtl/>
            <w:lang w:eastAsia="en-US"/>
          </w:rPr>
          <w:t xml:space="preserve"> </w:t>
        </w:r>
        <w:r w:rsidR="00AD0AE5" w:rsidRPr="00282605">
          <w:rPr>
            <w:rStyle w:val="Hyperlink"/>
            <w:rtl/>
            <w:lang w:eastAsia="en-US"/>
          </w:rPr>
          <w:t>"</w:t>
        </w:r>
        <w:r w:rsidR="00AD0AE5" w:rsidRPr="00282605">
          <w:rPr>
            <w:rStyle w:val="Hyperlink"/>
            <w:rFonts w:hint="eastAsia"/>
            <w:rtl/>
            <w:lang w:eastAsia="en-US"/>
          </w:rPr>
          <w:t>الوضيعة</w:t>
        </w:r>
        <w:r w:rsidR="00F26353">
          <w:rPr>
            <w:rStyle w:val="Hyperlink"/>
            <w:rFonts w:hint="cs"/>
            <w:rtl/>
            <w:lang w:eastAsia="en-US"/>
          </w:rPr>
          <w:t xml:space="preserve"> </w:t>
        </w:r>
        <w:r w:rsidR="00AD0AE5" w:rsidRPr="00282605">
          <w:rPr>
            <w:rStyle w:val="Hyperlink"/>
            <w:rFonts w:hint="eastAsia"/>
            <w:rtl/>
            <w:lang w:eastAsia="en-US"/>
          </w:rPr>
          <w:t>بقدر</w:t>
        </w:r>
        <w:r w:rsidR="00F26353">
          <w:rPr>
            <w:rStyle w:val="Hyperlink"/>
            <w:rFonts w:hint="cs"/>
            <w:rtl/>
            <w:lang w:eastAsia="en-US"/>
          </w:rPr>
          <w:t xml:space="preserve"> </w:t>
        </w:r>
        <w:r w:rsidR="00AD0AE5" w:rsidRPr="00282605">
          <w:rPr>
            <w:rStyle w:val="Hyperlink"/>
            <w:rFonts w:hint="eastAsia"/>
            <w:rtl/>
            <w:lang w:eastAsia="en-US"/>
          </w:rPr>
          <w:t>المال</w:t>
        </w:r>
        <w:r w:rsidR="00AD0AE5" w:rsidRPr="00282605">
          <w:rPr>
            <w:rStyle w:val="Hyperlink"/>
            <w:rtl/>
            <w:lang w:eastAsia="en-US"/>
          </w:rPr>
          <w:t>"</w:t>
        </w:r>
        <w:r w:rsidR="00AD0AE5">
          <w:rPr>
            <w:webHidden/>
            <w:rtl/>
          </w:rPr>
          <w:tab/>
        </w:r>
        <w:r w:rsidR="00BF16BC">
          <w:rPr>
            <w:rFonts w:hint="cs"/>
            <w:webHidden/>
            <w:rtl/>
          </w:rPr>
          <w:t>560</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82"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560</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83"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561</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84" w:history="1">
        <w:r w:rsidR="00AD0AE5" w:rsidRPr="00282605">
          <w:rPr>
            <w:rStyle w:val="Hyperlink"/>
            <w:rFonts w:ascii="Traditional Arabic" w:hAnsi="Traditional Arabic" w:hint="eastAsia"/>
            <w:rtl/>
            <w:lang w:eastAsia="en-US"/>
          </w:rPr>
          <w:t>المطلب</w:t>
        </w:r>
        <w:r w:rsidR="00F26353">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561</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685" w:history="1">
        <w:r w:rsidR="00AD0AE5" w:rsidRPr="00282605">
          <w:rPr>
            <w:rStyle w:val="Hyperlink"/>
            <w:rFonts w:ascii="Traditional Arabic" w:hAnsi="Traditional Arabic" w:hint="eastAsia"/>
            <w:rtl/>
          </w:rPr>
          <w:t>المبحث</w:t>
        </w:r>
        <w:r w:rsidR="00F26353">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الأصل</w:t>
        </w:r>
        <w:r w:rsidR="00F26353">
          <w:rPr>
            <w:rStyle w:val="Hyperlink"/>
            <w:rFonts w:hint="cs"/>
            <w:rtl/>
          </w:rPr>
          <w:t xml:space="preserve"> </w:t>
        </w:r>
        <w:r w:rsidR="00AD0AE5" w:rsidRPr="00282605">
          <w:rPr>
            <w:rStyle w:val="Hyperlink"/>
            <w:rFonts w:hint="eastAsia"/>
            <w:rtl/>
          </w:rPr>
          <w:t>في</w:t>
        </w:r>
        <w:r w:rsidR="00F26353">
          <w:rPr>
            <w:rStyle w:val="Hyperlink"/>
            <w:rFonts w:hint="cs"/>
            <w:rtl/>
          </w:rPr>
          <w:t xml:space="preserve"> </w:t>
        </w:r>
        <w:r w:rsidR="00AD0AE5" w:rsidRPr="00282605">
          <w:rPr>
            <w:rStyle w:val="Hyperlink"/>
            <w:rFonts w:hint="eastAsia"/>
            <w:rtl/>
          </w:rPr>
          <w:t>الشركة</w:t>
        </w:r>
        <w:r w:rsidR="00F26353">
          <w:rPr>
            <w:rStyle w:val="Hyperlink"/>
            <w:rFonts w:hint="cs"/>
            <w:rtl/>
          </w:rPr>
          <w:t xml:space="preserve"> </w:t>
        </w:r>
        <w:r w:rsidR="00AD0AE5" w:rsidRPr="00282605">
          <w:rPr>
            <w:rStyle w:val="Hyperlink"/>
            <w:rFonts w:hint="eastAsia"/>
            <w:rtl/>
          </w:rPr>
          <w:t>اشتراك</w:t>
        </w:r>
        <w:r w:rsidR="00F26353">
          <w:rPr>
            <w:rStyle w:val="Hyperlink"/>
            <w:rFonts w:hint="cs"/>
            <w:rtl/>
          </w:rPr>
          <w:t xml:space="preserve"> </w:t>
        </w:r>
        <w:r w:rsidR="00AD0AE5" w:rsidRPr="00282605">
          <w:rPr>
            <w:rStyle w:val="Hyperlink"/>
            <w:rFonts w:hint="eastAsia"/>
            <w:rtl/>
          </w:rPr>
          <w:t>الشريكين</w:t>
        </w:r>
        <w:r w:rsidR="00F26353">
          <w:rPr>
            <w:rStyle w:val="Hyperlink"/>
            <w:rFonts w:hint="cs"/>
            <w:rtl/>
          </w:rPr>
          <w:t xml:space="preserve"> </w:t>
        </w:r>
        <w:r w:rsidR="00AD0AE5" w:rsidRPr="00282605">
          <w:rPr>
            <w:rStyle w:val="Hyperlink"/>
            <w:rFonts w:hint="eastAsia"/>
            <w:rtl/>
          </w:rPr>
          <w:t>في</w:t>
        </w:r>
        <w:r w:rsidR="00F26353">
          <w:rPr>
            <w:rStyle w:val="Hyperlink"/>
            <w:rFonts w:hint="cs"/>
            <w:rtl/>
          </w:rPr>
          <w:t xml:space="preserve"> </w:t>
        </w:r>
        <w:r w:rsidR="00AD0AE5" w:rsidRPr="00282605">
          <w:rPr>
            <w:rStyle w:val="Hyperlink"/>
            <w:rFonts w:hint="eastAsia"/>
            <w:rtl/>
          </w:rPr>
          <w:t>المغنم</w:t>
        </w:r>
        <w:r w:rsidR="00F26353">
          <w:rPr>
            <w:rStyle w:val="Hyperlink"/>
            <w:rFonts w:hint="cs"/>
            <w:rtl/>
          </w:rPr>
          <w:t xml:space="preserve"> </w:t>
        </w:r>
        <w:r w:rsidR="00AD0AE5" w:rsidRPr="00282605">
          <w:rPr>
            <w:rStyle w:val="Hyperlink"/>
            <w:rFonts w:hint="eastAsia"/>
            <w:rtl/>
          </w:rPr>
          <w:t>والمغرم</w:t>
        </w:r>
        <w:r w:rsidR="00AD0AE5" w:rsidRPr="00282605">
          <w:rPr>
            <w:rStyle w:val="Hyperlink"/>
            <w:rtl/>
          </w:rPr>
          <w:t>"</w:t>
        </w:r>
        <w:r w:rsidR="00AD0AE5">
          <w:rPr>
            <w:webHidden/>
            <w:rtl/>
          </w:rPr>
          <w:tab/>
        </w:r>
        <w:r w:rsidR="00BF16BC">
          <w:rPr>
            <w:webHidden/>
          </w:rPr>
          <w:t>563</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86"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563</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87"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564</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88"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564</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89"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الرابع</w:t>
        </w:r>
        <w:r w:rsidR="00AD0AE5" w:rsidRPr="00282605">
          <w:rPr>
            <w:rStyle w:val="Hyperlink"/>
            <w:rtl/>
          </w:rPr>
          <w:t xml:space="preserve"> : </w:t>
        </w:r>
        <w:r w:rsidR="00AD0AE5" w:rsidRPr="00282605">
          <w:rPr>
            <w:rStyle w:val="Hyperlink"/>
            <w:rFonts w:hint="eastAsia"/>
            <w:rtl/>
          </w:rPr>
          <w:t>م</w:t>
        </w:r>
        <w:r w:rsidR="00BF16BC">
          <w:rPr>
            <w:rStyle w:val="Hyperlink"/>
            <w:rFonts w:hint="cs"/>
            <w:rtl/>
          </w:rPr>
          <w:t>ا ي</w:t>
        </w:r>
        <w:r w:rsidR="00BF16BC">
          <w:rPr>
            <w:rStyle w:val="Hyperlink"/>
            <w:rFonts w:hint="eastAsia"/>
            <w:rtl/>
          </w:rPr>
          <w:t>ستثن</w:t>
        </w:r>
        <w:r w:rsidR="00BF16BC">
          <w:rPr>
            <w:rStyle w:val="Hyperlink"/>
            <w:rFonts w:hint="cs"/>
            <w:rtl/>
          </w:rPr>
          <w:t>ى</w:t>
        </w:r>
        <w:r w:rsidR="00F26353">
          <w:rPr>
            <w:rStyle w:val="Hyperlink"/>
            <w:rFonts w:hint="cs"/>
            <w:rtl/>
          </w:rPr>
          <w:t xml:space="preserve"> </w:t>
        </w:r>
        <w:r w:rsidR="00BF16BC">
          <w:rPr>
            <w:rStyle w:val="Hyperlink"/>
            <w:rFonts w:hint="cs"/>
            <w:rtl/>
          </w:rPr>
          <w:t xml:space="preserve">من </w:t>
        </w:r>
        <w:r w:rsidR="00AD0AE5" w:rsidRPr="00282605">
          <w:rPr>
            <w:rStyle w:val="Hyperlink"/>
            <w:rFonts w:hint="eastAsia"/>
            <w:rtl/>
          </w:rPr>
          <w:t>الضابط</w:t>
        </w:r>
        <w:r w:rsidR="00AD0AE5">
          <w:rPr>
            <w:webHidden/>
            <w:rtl/>
          </w:rPr>
          <w:tab/>
        </w:r>
        <w:r w:rsidR="00BF16BC">
          <w:rPr>
            <w:rFonts w:hint="cs"/>
            <w:webHidden/>
            <w:rtl/>
          </w:rPr>
          <w:t>565</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690" w:history="1">
        <w:r w:rsidR="00AD0AE5" w:rsidRPr="00282605">
          <w:rPr>
            <w:rStyle w:val="Hyperlink"/>
            <w:rFonts w:ascii="Traditional Arabic" w:hAnsi="Traditional Arabic" w:hint="eastAsia"/>
            <w:rtl/>
          </w:rPr>
          <w:t>المبحث</w:t>
        </w:r>
        <w:r w:rsidR="00F26353">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الثالث</w:t>
        </w:r>
        <w:r w:rsidR="00351451">
          <w:rPr>
            <w:rStyle w:val="Hyperlink"/>
            <w:rFonts w:ascii="Traditional Arabic" w:hAnsi="Traditional Arabic"/>
            <w:rtl/>
          </w:rPr>
          <w:t> :</w:t>
        </w:r>
        <w:r w:rsidR="00AD0AE5" w:rsidRPr="00282605">
          <w:rPr>
            <w:rStyle w:val="Hyperlink"/>
            <w:rFonts w:hint="eastAsia"/>
            <w:rtl/>
          </w:rPr>
          <w:t>ضابط</w:t>
        </w:r>
        <w:r w:rsidR="00F26353">
          <w:rPr>
            <w:rStyle w:val="Hyperlink"/>
            <w:rFonts w:hint="cs"/>
            <w:rtl/>
          </w:rPr>
          <w:t xml:space="preserve"> </w:t>
        </w:r>
        <w:r w:rsidR="00AD0AE5" w:rsidRPr="00282605">
          <w:rPr>
            <w:rStyle w:val="Hyperlink"/>
            <w:rtl/>
          </w:rPr>
          <w:t>"</w:t>
        </w:r>
        <w:r w:rsidR="00AD0AE5" w:rsidRPr="00282605">
          <w:rPr>
            <w:rStyle w:val="Hyperlink"/>
            <w:rFonts w:hint="eastAsia"/>
            <w:rtl/>
          </w:rPr>
          <w:t>كل</w:t>
        </w:r>
        <w:r w:rsidR="00F26353">
          <w:rPr>
            <w:rStyle w:val="Hyperlink"/>
            <w:rFonts w:hint="cs"/>
            <w:rtl/>
          </w:rPr>
          <w:t xml:space="preserve"> </w:t>
        </w:r>
        <w:r w:rsidR="00AD0AE5" w:rsidRPr="00282605">
          <w:rPr>
            <w:rStyle w:val="Hyperlink"/>
            <w:rFonts w:hint="eastAsia"/>
            <w:rtl/>
          </w:rPr>
          <w:t>عمل</w:t>
        </w:r>
        <w:r w:rsidR="00F26353">
          <w:rPr>
            <w:rStyle w:val="Hyperlink"/>
            <w:rFonts w:hint="cs"/>
            <w:rtl/>
          </w:rPr>
          <w:t xml:space="preserve"> </w:t>
        </w:r>
        <w:r w:rsidR="00AD0AE5" w:rsidRPr="00282605">
          <w:rPr>
            <w:rStyle w:val="Hyperlink"/>
            <w:rFonts w:hint="eastAsia"/>
            <w:rtl/>
          </w:rPr>
          <w:t>لا</w:t>
        </w:r>
        <w:r w:rsidR="00F26353">
          <w:rPr>
            <w:rStyle w:val="Hyperlink"/>
            <w:rFonts w:hint="cs"/>
            <w:rtl/>
          </w:rPr>
          <w:t xml:space="preserve"> </w:t>
        </w:r>
        <w:r w:rsidR="00AD0AE5" w:rsidRPr="00282605">
          <w:rPr>
            <w:rStyle w:val="Hyperlink"/>
            <w:rFonts w:hint="eastAsia"/>
            <w:rtl/>
          </w:rPr>
          <w:t>يقع</w:t>
        </w:r>
        <w:r w:rsidR="00F26353">
          <w:rPr>
            <w:rStyle w:val="Hyperlink"/>
            <w:rFonts w:hint="cs"/>
            <w:rtl/>
          </w:rPr>
          <w:t xml:space="preserve"> </w:t>
        </w:r>
        <w:r w:rsidR="00AD0AE5" w:rsidRPr="00282605">
          <w:rPr>
            <w:rStyle w:val="Hyperlink"/>
            <w:rFonts w:hint="eastAsia"/>
            <w:rtl/>
          </w:rPr>
          <w:t>إلا</w:t>
        </w:r>
        <w:r w:rsidR="00F26353">
          <w:rPr>
            <w:rStyle w:val="Hyperlink"/>
            <w:rFonts w:hint="cs"/>
            <w:rtl/>
          </w:rPr>
          <w:t xml:space="preserve"> </w:t>
        </w:r>
        <w:r w:rsidR="00AD0AE5" w:rsidRPr="00282605">
          <w:rPr>
            <w:rStyle w:val="Hyperlink"/>
            <w:rFonts w:hint="eastAsia"/>
            <w:rtl/>
          </w:rPr>
          <w:t>قربة</w:t>
        </w:r>
        <w:r w:rsidR="00F26353">
          <w:rPr>
            <w:rStyle w:val="Hyperlink"/>
            <w:rFonts w:hint="cs"/>
            <w:rtl/>
          </w:rPr>
          <w:t xml:space="preserve"> </w:t>
        </w:r>
        <w:r w:rsidR="00AD0AE5" w:rsidRPr="00282605">
          <w:rPr>
            <w:rStyle w:val="Hyperlink"/>
            <w:rFonts w:hint="eastAsia"/>
            <w:rtl/>
          </w:rPr>
          <w:t>فلا</w:t>
        </w:r>
        <w:r w:rsidR="00F26353">
          <w:rPr>
            <w:rStyle w:val="Hyperlink"/>
            <w:rFonts w:hint="cs"/>
            <w:rtl/>
          </w:rPr>
          <w:t xml:space="preserve"> </w:t>
        </w:r>
        <w:r w:rsidR="00AD0AE5" w:rsidRPr="00282605">
          <w:rPr>
            <w:rStyle w:val="Hyperlink"/>
            <w:rFonts w:hint="eastAsia"/>
            <w:rtl/>
          </w:rPr>
          <w:t>يصح</w:t>
        </w:r>
        <w:r w:rsidR="00F26353">
          <w:rPr>
            <w:rStyle w:val="Hyperlink"/>
            <w:rFonts w:hint="cs"/>
            <w:rtl/>
          </w:rPr>
          <w:t xml:space="preserve"> </w:t>
        </w:r>
        <w:r w:rsidR="00AD0AE5" w:rsidRPr="00282605">
          <w:rPr>
            <w:rStyle w:val="Hyperlink"/>
            <w:rFonts w:hint="eastAsia"/>
            <w:rtl/>
          </w:rPr>
          <w:t>عقد</w:t>
        </w:r>
        <w:r w:rsidR="00F26353">
          <w:rPr>
            <w:rStyle w:val="Hyperlink"/>
            <w:rFonts w:hint="cs"/>
            <w:rtl/>
          </w:rPr>
          <w:t xml:space="preserve"> </w:t>
        </w:r>
        <w:r w:rsidR="00AD0AE5" w:rsidRPr="00282605">
          <w:rPr>
            <w:rStyle w:val="Hyperlink"/>
            <w:rFonts w:hint="eastAsia"/>
            <w:rtl/>
          </w:rPr>
          <w:t>الإجارة</w:t>
        </w:r>
        <w:r w:rsidR="00F26353">
          <w:rPr>
            <w:rStyle w:val="Hyperlink"/>
            <w:rFonts w:hint="cs"/>
            <w:rtl/>
          </w:rPr>
          <w:t xml:space="preserve"> </w:t>
        </w:r>
        <w:r w:rsidR="00AD0AE5" w:rsidRPr="00282605">
          <w:rPr>
            <w:rStyle w:val="Hyperlink"/>
            <w:rFonts w:hint="eastAsia"/>
            <w:rtl/>
          </w:rPr>
          <w:t>عليه،</w:t>
        </w:r>
        <w:r w:rsidR="00F26353">
          <w:rPr>
            <w:rStyle w:val="Hyperlink"/>
            <w:rFonts w:hint="cs"/>
            <w:rtl/>
          </w:rPr>
          <w:t xml:space="preserve"> </w:t>
        </w:r>
        <w:r w:rsidR="00AD0AE5" w:rsidRPr="00282605">
          <w:rPr>
            <w:rStyle w:val="Hyperlink"/>
            <w:rFonts w:hint="eastAsia"/>
            <w:rtl/>
          </w:rPr>
          <w:t>وما</w:t>
        </w:r>
        <w:r w:rsidR="00F26353">
          <w:rPr>
            <w:rStyle w:val="Hyperlink"/>
            <w:rFonts w:hint="cs"/>
            <w:rtl/>
          </w:rPr>
          <w:t xml:space="preserve"> </w:t>
        </w:r>
        <w:r w:rsidR="00AD0AE5" w:rsidRPr="00282605">
          <w:rPr>
            <w:rStyle w:val="Hyperlink"/>
            <w:rFonts w:hint="eastAsia"/>
            <w:rtl/>
          </w:rPr>
          <w:t>كان</w:t>
        </w:r>
        <w:r w:rsidR="00F26353">
          <w:rPr>
            <w:rStyle w:val="Hyperlink"/>
            <w:rFonts w:hint="cs"/>
            <w:rtl/>
          </w:rPr>
          <w:t xml:space="preserve"> </w:t>
        </w:r>
        <w:r w:rsidR="00AD0AE5" w:rsidRPr="00282605">
          <w:rPr>
            <w:rStyle w:val="Hyperlink"/>
            <w:rFonts w:hint="eastAsia"/>
            <w:rtl/>
          </w:rPr>
          <w:t>نفعه</w:t>
        </w:r>
        <w:r w:rsidR="00F26353">
          <w:rPr>
            <w:rStyle w:val="Hyperlink"/>
            <w:rFonts w:hint="cs"/>
            <w:rtl/>
          </w:rPr>
          <w:t xml:space="preserve"> </w:t>
        </w:r>
        <w:r w:rsidR="00AD0AE5" w:rsidRPr="00282605">
          <w:rPr>
            <w:rStyle w:val="Hyperlink"/>
            <w:rFonts w:hint="eastAsia"/>
            <w:rtl/>
          </w:rPr>
          <w:t>متعديا</w:t>
        </w:r>
        <w:r w:rsidR="00F26353">
          <w:rPr>
            <w:rStyle w:val="Hyperlink"/>
            <w:rFonts w:hint="cs"/>
            <w:rtl/>
          </w:rPr>
          <w:t xml:space="preserve"> </w:t>
        </w:r>
        <w:r w:rsidR="00AD0AE5" w:rsidRPr="00282605">
          <w:rPr>
            <w:rStyle w:val="Hyperlink"/>
            <w:rFonts w:hint="eastAsia"/>
            <w:rtl/>
          </w:rPr>
          <w:t>منا</w:t>
        </w:r>
        <w:r w:rsidR="00F26353">
          <w:rPr>
            <w:rStyle w:val="Hyperlink"/>
            <w:rFonts w:hint="cs"/>
            <w:rtl/>
          </w:rPr>
          <w:t xml:space="preserve"> </w:t>
        </w:r>
        <w:r w:rsidR="00AD0AE5" w:rsidRPr="00282605">
          <w:rPr>
            <w:rStyle w:val="Hyperlink"/>
            <w:rFonts w:hint="eastAsia"/>
            <w:rtl/>
          </w:rPr>
          <w:t>لقرب</w:t>
        </w:r>
        <w:r w:rsidR="00F26353">
          <w:rPr>
            <w:rStyle w:val="Hyperlink"/>
            <w:rFonts w:hint="cs"/>
            <w:rtl/>
          </w:rPr>
          <w:t xml:space="preserve"> </w:t>
        </w:r>
        <w:r w:rsidR="00AD0AE5" w:rsidRPr="00282605">
          <w:rPr>
            <w:rStyle w:val="Hyperlink"/>
            <w:rFonts w:hint="eastAsia"/>
            <w:rtl/>
          </w:rPr>
          <w:t>صح</w:t>
        </w:r>
        <w:r w:rsidR="00F26353">
          <w:rPr>
            <w:rStyle w:val="Hyperlink"/>
            <w:rFonts w:hint="cs"/>
            <w:rtl/>
          </w:rPr>
          <w:t xml:space="preserve"> </w:t>
        </w:r>
        <w:r w:rsidR="00AD0AE5" w:rsidRPr="00282605">
          <w:rPr>
            <w:rStyle w:val="Hyperlink"/>
            <w:rFonts w:hint="eastAsia"/>
            <w:rtl/>
          </w:rPr>
          <w:t>عقد</w:t>
        </w:r>
        <w:r w:rsidR="00F26353">
          <w:rPr>
            <w:rStyle w:val="Hyperlink"/>
            <w:rFonts w:hint="cs"/>
            <w:rtl/>
          </w:rPr>
          <w:t xml:space="preserve"> </w:t>
        </w:r>
        <w:r w:rsidR="00AD0AE5" w:rsidRPr="00282605">
          <w:rPr>
            <w:rStyle w:val="Hyperlink"/>
            <w:rFonts w:hint="eastAsia"/>
            <w:rtl/>
          </w:rPr>
          <w:t>الإجارة</w:t>
        </w:r>
        <w:r w:rsidR="00F26353">
          <w:rPr>
            <w:rStyle w:val="Hyperlink"/>
            <w:rFonts w:hint="cs"/>
            <w:rtl/>
          </w:rPr>
          <w:t xml:space="preserve"> </w:t>
        </w:r>
        <w:r w:rsidR="00AD0AE5" w:rsidRPr="00282605">
          <w:rPr>
            <w:rStyle w:val="Hyperlink"/>
            <w:rFonts w:hint="eastAsia"/>
            <w:rtl/>
          </w:rPr>
          <w:t>عليه</w:t>
        </w:r>
        <w:r w:rsidR="00AD0AE5" w:rsidRPr="00282605">
          <w:rPr>
            <w:rStyle w:val="Hyperlink"/>
            <w:rtl/>
          </w:rPr>
          <w:t>"</w:t>
        </w:r>
        <w:r w:rsidR="00AD0AE5">
          <w:rPr>
            <w:webHidden/>
            <w:rtl/>
          </w:rPr>
          <w:tab/>
        </w:r>
        <w:r w:rsidR="00BF16BC">
          <w:rPr>
            <w:rFonts w:hint="cs"/>
            <w:webHidden/>
            <w:rtl/>
          </w:rPr>
          <w:t>567</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91"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567</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92"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568</w:t>
        </w:r>
      </w:hyperlink>
    </w:p>
    <w:p w:rsidR="00AD0AE5" w:rsidRDefault="00AB0B9E" w:rsidP="00BF16BC">
      <w:pPr>
        <w:pStyle w:val="40"/>
      </w:pPr>
      <w:hyperlink w:anchor="_Toc334046693" w:history="1">
        <w:r w:rsidR="00AD0AE5" w:rsidRPr="00282605">
          <w:rPr>
            <w:rStyle w:val="Hyperlink"/>
            <w:rFonts w:hint="eastAsia"/>
            <w:rtl/>
          </w:rPr>
          <w:t>المطلب</w:t>
        </w:r>
        <w:r w:rsidR="00F26353">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F26353">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569</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694" w:history="1">
        <w:r w:rsidR="00AD0AE5" w:rsidRPr="00282605">
          <w:rPr>
            <w:rStyle w:val="Hyperlink"/>
            <w:rFonts w:hint="eastAsia"/>
            <w:rtl/>
          </w:rPr>
          <w:t>الفصل</w:t>
        </w:r>
        <w:r w:rsidR="00EF4B6F">
          <w:rPr>
            <w:rStyle w:val="Hyperlink"/>
            <w:rFonts w:hint="cs"/>
            <w:rtl/>
          </w:rPr>
          <w:t xml:space="preserve"> </w:t>
        </w:r>
        <w:r w:rsidR="00AD0AE5" w:rsidRPr="00282605">
          <w:rPr>
            <w:rStyle w:val="Hyperlink"/>
            <w:rFonts w:hint="eastAsia"/>
            <w:rtl/>
          </w:rPr>
          <w:t>السابع</w:t>
        </w:r>
        <w:r w:rsidR="00AD0AE5" w:rsidRPr="00282605">
          <w:rPr>
            <w:rStyle w:val="Hyperlink"/>
            <w:rtl/>
          </w:rPr>
          <w:t xml:space="preserve"> : </w:t>
        </w:r>
        <w:r w:rsidR="00AD0AE5" w:rsidRPr="00282605">
          <w:rPr>
            <w:rStyle w:val="Hyperlink"/>
            <w:rFonts w:hint="eastAsia"/>
            <w:rtl/>
          </w:rPr>
          <w:t>الضوابط</w:t>
        </w:r>
        <w:r w:rsidR="00EF4B6F">
          <w:rPr>
            <w:rStyle w:val="Hyperlink"/>
            <w:rFonts w:hint="cs"/>
            <w:rtl/>
          </w:rPr>
          <w:t xml:space="preserve"> </w:t>
        </w:r>
        <w:r w:rsidR="00AD0AE5" w:rsidRPr="00282605">
          <w:rPr>
            <w:rStyle w:val="Hyperlink"/>
            <w:rFonts w:hint="eastAsia"/>
            <w:rtl/>
          </w:rPr>
          <w:t>المتعلقة</w:t>
        </w:r>
        <w:r w:rsidR="00EF4B6F">
          <w:rPr>
            <w:rStyle w:val="Hyperlink"/>
            <w:rFonts w:hint="cs"/>
            <w:rtl/>
          </w:rPr>
          <w:t xml:space="preserve"> </w:t>
        </w:r>
        <w:r w:rsidR="00AD0AE5" w:rsidRPr="00282605">
          <w:rPr>
            <w:rStyle w:val="Hyperlink"/>
            <w:rFonts w:hint="eastAsia"/>
            <w:rtl/>
          </w:rPr>
          <w:t>بباب</w:t>
        </w:r>
        <w:r w:rsidR="00EF4B6F">
          <w:rPr>
            <w:rStyle w:val="Hyperlink"/>
            <w:rFonts w:hint="cs"/>
            <w:rtl/>
          </w:rPr>
          <w:t xml:space="preserve"> </w:t>
        </w:r>
        <w:r w:rsidR="00AD0AE5" w:rsidRPr="00282605">
          <w:rPr>
            <w:rStyle w:val="Hyperlink"/>
            <w:rFonts w:hint="eastAsia"/>
            <w:rtl/>
          </w:rPr>
          <w:t>السبق</w:t>
        </w:r>
        <w:r w:rsidR="00EF4B6F">
          <w:rPr>
            <w:rStyle w:val="Hyperlink"/>
            <w:rFonts w:hint="cs"/>
            <w:rtl/>
          </w:rPr>
          <w:t xml:space="preserve"> </w:t>
        </w:r>
        <w:r w:rsidR="00AD0AE5" w:rsidRPr="00282605">
          <w:rPr>
            <w:rStyle w:val="Hyperlink"/>
            <w:rFonts w:hint="eastAsia"/>
            <w:rtl/>
          </w:rPr>
          <w:t>وباب</w:t>
        </w:r>
        <w:r w:rsidR="00EF4B6F">
          <w:rPr>
            <w:rStyle w:val="Hyperlink"/>
            <w:rFonts w:hint="cs"/>
            <w:rtl/>
          </w:rPr>
          <w:t xml:space="preserve"> </w:t>
        </w:r>
        <w:r w:rsidR="00AD0AE5" w:rsidRPr="00282605">
          <w:rPr>
            <w:rStyle w:val="Hyperlink"/>
            <w:rFonts w:hint="eastAsia"/>
            <w:rtl/>
          </w:rPr>
          <w:t>العارية</w:t>
        </w:r>
        <w:r w:rsidR="00EF4B6F">
          <w:rPr>
            <w:rStyle w:val="Hyperlink"/>
            <w:rFonts w:hint="cs"/>
            <w:rtl/>
          </w:rPr>
          <w:t xml:space="preserve"> </w:t>
        </w:r>
        <w:r w:rsidR="00AD0AE5" w:rsidRPr="00282605">
          <w:rPr>
            <w:rStyle w:val="Hyperlink"/>
            <w:rFonts w:hint="eastAsia"/>
            <w:rtl/>
          </w:rPr>
          <w:t>وباب</w:t>
        </w:r>
        <w:r w:rsidR="00EF4B6F">
          <w:rPr>
            <w:rStyle w:val="Hyperlink"/>
            <w:rFonts w:hint="cs"/>
            <w:rtl/>
          </w:rPr>
          <w:t xml:space="preserve"> </w:t>
        </w:r>
        <w:r w:rsidR="00AD0AE5" w:rsidRPr="00282605">
          <w:rPr>
            <w:rStyle w:val="Hyperlink"/>
            <w:rFonts w:hint="eastAsia"/>
            <w:rtl/>
          </w:rPr>
          <w:t>الغصب</w:t>
        </w:r>
        <w:r w:rsidR="00AD0AE5">
          <w:rPr>
            <w:webHidden/>
            <w:rtl/>
          </w:rPr>
          <w:tab/>
        </w:r>
        <w:r w:rsidR="00BF16BC">
          <w:rPr>
            <w:webHidden/>
          </w:rPr>
          <w:t>572</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695" w:history="1">
        <w:r w:rsidR="00AD0AE5" w:rsidRPr="00282605">
          <w:rPr>
            <w:rStyle w:val="Hyperlink"/>
            <w:rFonts w:hint="eastAsia"/>
            <w:rtl/>
          </w:rPr>
          <w:t>المبحث</w:t>
        </w:r>
        <w:r w:rsidR="00EF4B6F">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الأصل</w:t>
        </w:r>
        <w:r w:rsidR="00EF4B6F">
          <w:rPr>
            <w:rStyle w:val="Hyperlink"/>
            <w:rFonts w:hint="cs"/>
            <w:rtl/>
          </w:rPr>
          <w:t xml:space="preserve"> </w:t>
        </w:r>
        <w:r w:rsidR="00AD0AE5" w:rsidRPr="00282605">
          <w:rPr>
            <w:rStyle w:val="Hyperlink"/>
            <w:rFonts w:hint="eastAsia"/>
            <w:rtl/>
          </w:rPr>
          <w:t>منع</w:t>
        </w:r>
        <w:r w:rsidR="00EF4B6F">
          <w:rPr>
            <w:rStyle w:val="Hyperlink"/>
            <w:rFonts w:hint="cs"/>
            <w:rtl/>
          </w:rPr>
          <w:t xml:space="preserve"> </w:t>
        </w:r>
        <w:r w:rsidR="00AD0AE5" w:rsidRPr="00282605">
          <w:rPr>
            <w:rStyle w:val="Hyperlink"/>
            <w:rFonts w:hint="eastAsia"/>
            <w:rtl/>
          </w:rPr>
          <w:t>العوض</w:t>
        </w:r>
        <w:r w:rsidR="00EF4B6F">
          <w:rPr>
            <w:rStyle w:val="Hyperlink"/>
            <w:rFonts w:hint="cs"/>
            <w:rtl/>
          </w:rPr>
          <w:t xml:space="preserve"> </w:t>
        </w:r>
        <w:r w:rsidR="00AD0AE5" w:rsidRPr="00282605">
          <w:rPr>
            <w:rStyle w:val="Hyperlink"/>
            <w:rFonts w:hint="eastAsia"/>
            <w:rtl/>
          </w:rPr>
          <w:t>في</w:t>
        </w:r>
        <w:r w:rsidR="00EF4B6F">
          <w:rPr>
            <w:rStyle w:val="Hyperlink"/>
            <w:rFonts w:hint="cs"/>
            <w:rtl/>
          </w:rPr>
          <w:t xml:space="preserve"> </w:t>
        </w:r>
        <w:r w:rsidR="00AD0AE5" w:rsidRPr="00282605">
          <w:rPr>
            <w:rStyle w:val="Hyperlink"/>
            <w:rFonts w:hint="eastAsia"/>
            <w:rtl/>
          </w:rPr>
          <w:t>المسابقة،</w:t>
        </w:r>
        <w:r w:rsidR="00EF4B6F">
          <w:rPr>
            <w:rStyle w:val="Hyperlink"/>
            <w:rFonts w:hint="cs"/>
            <w:rtl/>
          </w:rPr>
          <w:t xml:space="preserve"> </w:t>
        </w:r>
        <w:r w:rsidR="00AD0AE5" w:rsidRPr="00282605">
          <w:rPr>
            <w:rStyle w:val="Hyperlink"/>
            <w:rFonts w:hint="eastAsia"/>
            <w:rtl/>
          </w:rPr>
          <w:t>ولا</w:t>
        </w:r>
        <w:r w:rsidR="00EF4B6F">
          <w:rPr>
            <w:rStyle w:val="Hyperlink"/>
            <w:rFonts w:hint="cs"/>
            <w:rtl/>
          </w:rPr>
          <w:t xml:space="preserve"> </w:t>
        </w:r>
        <w:r w:rsidR="00AD0AE5" w:rsidRPr="00282605">
          <w:rPr>
            <w:rStyle w:val="Hyperlink"/>
            <w:rFonts w:hint="eastAsia"/>
            <w:rtl/>
          </w:rPr>
          <w:t>يجوز</w:t>
        </w:r>
        <w:r w:rsidR="00EF4B6F">
          <w:rPr>
            <w:rStyle w:val="Hyperlink"/>
            <w:rFonts w:hint="cs"/>
            <w:rtl/>
          </w:rPr>
          <w:t xml:space="preserve"> </w:t>
        </w:r>
        <w:r w:rsidR="00AD0AE5" w:rsidRPr="00282605">
          <w:rPr>
            <w:rStyle w:val="Hyperlink"/>
            <w:rFonts w:hint="eastAsia"/>
            <w:rtl/>
          </w:rPr>
          <w:t>إلا</w:t>
        </w:r>
        <w:r w:rsidR="00EF4B6F">
          <w:rPr>
            <w:rStyle w:val="Hyperlink"/>
            <w:rFonts w:hint="cs"/>
            <w:rtl/>
          </w:rPr>
          <w:t xml:space="preserve"> </w:t>
        </w:r>
        <w:r w:rsidR="00AD0AE5" w:rsidRPr="00282605">
          <w:rPr>
            <w:rStyle w:val="Hyperlink"/>
            <w:rFonts w:hint="eastAsia"/>
            <w:rtl/>
          </w:rPr>
          <w:t>لسبب</w:t>
        </w:r>
        <w:r w:rsidR="00AD0AE5" w:rsidRPr="00282605">
          <w:rPr>
            <w:rStyle w:val="Hyperlink"/>
            <w:rtl/>
          </w:rPr>
          <w:t>"</w:t>
        </w:r>
        <w:r w:rsidR="00AD0AE5">
          <w:rPr>
            <w:webHidden/>
            <w:rtl/>
          </w:rPr>
          <w:tab/>
        </w:r>
        <w:r w:rsidR="00BF16BC">
          <w:rPr>
            <w:rFonts w:hint="cs"/>
            <w:webHidden/>
            <w:rtl/>
          </w:rPr>
          <w:t>573</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96" w:history="1">
        <w:r w:rsidR="00AD0AE5" w:rsidRPr="00282605">
          <w:rPr>
            <w:rStyle w:val="Hyperlink"/>
            <w:rFonts w:hint="eastAsia"/>
            <w:rtl/>
          </w:rPr>
          <w:t>المطلب</w:t>
        </w:r>
        <w:r w:rsidR="00EF4B6F">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EF4B6F">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573</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697" w:history="1">
        <w:r w:rsidR="00AD0AE5" w:rsidRPr="00282605">
          <w:rPr>
            <w:rStyle w:val="Hyperlink"/>
            <w:rFonts w:hint="eastAsia"/>
            <w:rtl/>
          </w:rPr>
          <w:t>المطلب</w:t>
        </w:r>
        <w:r w:rsidR="00EF4B6F">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EF4B6F">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574</w:t>
        </w:r>
      </w:hyperlink>
    </w:p>
    <w:p w:rsidR="00AD0AE5" w:rsidRDefault="00AB0B9E" w:rsidP="00BF16BC">
      <w:pPr>
        <w:pStyle w:val="40"/>
      </w:pPr>
      <w:hyperlink w:anchor="_Toc334046698" w:history="1">
        <w:r w:rsidR="00AD0AE5" w:rsidRPr="00282605">
          <w:rPr>
            <w:rStyle w:val="Hyperlink"/>
            <w:rFonts w:hint="eastAsia"/>
            <w:rtl/>
          </w:rPr>
          <w:t>المطلب</w:t>
        </w:r>
        <w:r w:rsidR="00EF4B6F">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EF4B6F">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575</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699" w:history="1">
        <w:r w:rsidR="00AD0AE5" w:rsidRPr="00282605">
          <w:rPr>
            <w:rStyle w:val="Hyperlink"/>
            <w:rFonts w:ascii="Traditional Arabic" w:hAnsi="Traditional Arabic" w:hint="eastAsia"/>
            <w:rtl/>
          </w:rPr>
          <w:t>المبحث</w:t>
        </w:r>
        <w:r w:rsidR="00EF4B6F">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يد</w:t>
        </w:r>
        <w:r w:rsidR="00EF4B6F">
          <w:rPr>
            <w:rStyle w:val="Hyperlink"/>
            <w:rFonts w:hint="cs"/>
            <w:rtl/>
          </w:rPr>
          <w:t xml:space="preserve"> </w:t>
        </w:r>
        <w:r w:rsidR="00AD0AE5" w:rsidRPr="00282605">
          <w:rPr>
            <w:rStyle w:val="Hyperlink"/>
            <w:rFonts w:hint="eastAsia"/>
            <w:rtl/>
          </w:rPr>
          <w:t>المستعير</w:t>
        </w:r>
        <w:r w:rsidR="00EF4B6F">
          <w:rPr>
            <w:rStyle w:val="Hyperlink"/>
            <w:rFonts w:hint="cs"/>
            <w:rtl/>
          </w:rPr>
          <w:t xml:space="preserve"> </w:t>
        </w:r>
        <w:r w:rsidR="00AD0AE5" w:rsidRPr="00282605">
          <w:rPr>
            <w:rStyle w:val="Hyperlink"/>
            <w:rFonts w:hint="eastAsia"/>
            <w:rtl/>
          </w:rPr>
          <w:t>يد</w:t>
        </w:r>
        <w:r w:rsidR="00EF4B6F">
          <w:rPr>
            <w:rStyle w:val="Hyperlink"/>
            <w:rFonts w:hint="cs"/>
            <w:rtl/>
          </w:rPr>
          <w:t xml:space="preserve"> </w:t>
        </w:r>
        <w:r w:rsidR="00AD0AE5" w:rsidRPr="00282605">
          <w:rPr>
            <w:rStyle w:val="Hyperlink"/>
            <w:rFonts w:hint="eastAsia"/>
            <w:rtl/>
          </w:rPr>
          <w:t>أمانة</w:t>
        </w:r>
        <w:r w:rsidR="00AD0AE5" w:rsidRPr="00282605">
          <w:rPr>
            <w:rStyle w:val="Hyperlink"/>
            <w:rtl/>
          </w:rPr>
          <w:t>"</w:t>
        </w:r>
        <w:r w:rsidR="00AD0AE5">
          <w:rPr>
            <w:webHidden/>
            <w:rtl/>
          </w:rPr>
          <w:tab/>
        </w:r>
        <w:r w:rsidR="00BF16BC">
          <w:rPr>
            <w:webHidden/>
          </w:rPr>
          <w:t>577</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00"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webHidden/>
          </w:rPr>
          <w:t>577</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01"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webHidden/>
          </w:rPr>
          <w:t>577</w:t>
        </w:r>
      </w:hyperlink>
    </w:p>
    <w:p w:rsidR="00AD0AE5" w:rsidRDefault="00AB0B9E" w:rsidP="00BF16BC">
      <w:pPr>
        <w:pStyle w:val="40"/>
      </w:pPr>
      <w:hyperlink w:anchor="_Toc334046702"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webHidden/>
          </w:rPr>
          <w:t>577</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703" w:history="1">
        <w:r w:rsidR="00AD0AE5" w:rsidRPr="00282605">
          <w:rPr>
            <w:rStyle w:val="Hyperlink"/>
            <w:rFonts w:ascii="Traditional Arabic" w:hAnsi="Traditional Arabic" w:hint="eastAsia"/>
            <w:rtl/>
          </w:rPr>
          <w:t>المبحث</w:t>
        </w:r>
        <w:r w:rsidR="0043356E">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الثالث</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كل</w:t>
        </w:r>
        <w:r w:rsidR="0043356E">
          <w:rPr>
            <w:rStyle w:val="Hyperlink"/>
            <w:rFonts w:hint="cs"/>
            <w:rtl/>
          </w:rPr>
          <w:t xml:space="preserve"> </w:t>
        </w:r>
        <w:r w:rsidR="00AD0AE5" w:rsidRPr="00282605">
          <w:rPr>
            <w:rStyle w:val="Hyperlink"/>
            <w:rFonts w:hint="eastAsia"/>
            <w:rtl/>
          </w:rPr>
          <w:t>من</w:t>
        </w:r>
        <w:r w:rsidR="0043356E">
          <w:rPr>
            <w:rStyle w:val="Hyperlink"/>
            <w:rFonts w:hint="cs"/>
            <w:rtl/>
          </w:rPr>
          <w:t xml:space="preserve"> </w:t>
        </w:r>
        <w:r w:rsidR="00AD0AE5" w:rsidRPr="00282605">
          <w:rPr>
            <w:rStyle w:val="Hyperlink"/>
            <w:rFonts w:hint="eastAsia"/>
            <w:rtl/>
          </w:rPr>
          <w:t>بيده</w:t>
        </w:r>
        <w:r w:rsidR="0043356E">
          <w:rPr>
            <w:rStyle w:val="Hyperlink"/>
            <w:rFonts w:hint="cs"/>
            <w:rtl/>
          </w:rPr>
          <w:t xml:space="preserve"> </w:t>
        </w:r>
        <w:r w:rsidR="00AD0AE5" w:rsidRPr="00282605">
          <w:rPr>
            <w:rStyle w:val="Hyperlink"/>
            <w:rFonts w:hint="eastAsia"/>
            <w:rtl/>
          </w:rPr>
          <w:t>مال</w:t>
        </w:r>
        <w:r w:rsidR="0043356E">
          <w:rPr>
            <w:rStyle w:val="Hyperlink"/>
            <w:rFonts w:hint="cs"/>
            <w:rtl/>
          </w:rPr>
          <w:t xml:space="preserve"> </w:t>
        </w:r>
        <w:r w:rsidR="00AD0AE5" w:rsidRPr="00282605">
          <w:rPr>
            <w:rStyle w:val="Hyperlink"/>
            <w:rFonts w:hint="eastAsia"/>
            <w:rtl/>
          </w:rPr>
          <w:t>جهل</w:t>
        </w:r>
        <w:r w:rsidR="0043356E">
          <w:rPr>
            <w:rStyle w:val="Hyperlink"/>
            <w:rFonts w:hint="cs"/>
            <w:rtl/>
          </w:rPr>
          <w:t xml:space="preserve"> </w:t>
        </w:r>
        <w:r w:rsidR="00AD0AE5" w:rsidRPr="00282605">
          <w:rPr>
            <w:rStyle w:val="Hyperlink"/>
            <w:rFonts w:hint="eastAsia"/>
            <w:rtl/>
          </w:rPr>
          <w:t>صاحبه</w:t>
        </w:r>
        <w:r w:rsidR="0043356E">
          <w:rPr>
            <w:rStyle w:val="Hyperlink"/>
            <w:rFonts w:hint="cs"/>
            <w:rtl/>
          </w:rPr>
          <w:t xml:space="preserve"> </w:t>
        </w:r>
        <w:r w:rsidR="00AD0AE5" w:rsidRPr="00282605">
          <w:rPr>
            <w:rStyle w:val="Hyperlink"/>
            <w:rFonts w:hint="eastAsia"/>
            <w:rtl/>
          </w:rPr>
          <w:t>وأيس</w:t>
        </w:r>
        <w:r w:rsidR="0043356E">
          <w:rPr>
            <w:rStyle w:val="Hyperlink"/>
            <w:rFonts w:hint="cs"/>
            <w:rtl/>
          </w:rPr>
          <w:t xml:space="preserve"> </w:t>
        </w:r>
        <w:r w:rsidR="00AD0AE5" w:rsidRPr="00282605">
          <w:rPr>
            <w:rStyle w:val="Hyperlink"/>
            <w:rFonts w:hint="eastAsia"/>
            <w:rtl/>
          </w:rPr>
          <w:t>من</w:t>
        </w:r>
        <w:r w:rsidR="0043356E">
          <w:rPr>
            <w:rStyle w:val="Hyperlink"/>
            <w:rFonts w:hint="cs"/>
            <w:rtl/>
          </w:rPr>
          <w:t xml:space="preserve"> </w:t>
        </w:r>
        <w:r w:rsidR="00AD0AE5" w:rsidRPr="00282605">
          <w:rPr>
            <w:rStyle w:val="Hyperlink"/>
            <w:rFonts w:hint="eastAsia"/>
            <w:rtl/>
          </w:rPr>
          <w:t>العثور</w:t>
        </w:r>
        <w:r w:rsidR="0043356E">
          <w:rPr>
            <w:rStyle w:val="Hyperlink"/>
            <w:rFonts w:hint="cs"/>
            <w:rtl/>
          </w:rPr>
          <w:t xml:space="preserve"> </w:t>
        </w:r>
        <w:r w:rsidR="00AD0AE5" w:rsidRPr="00282605">
          <w:rPr>
            <w:rStyle w:val="Hyperlink"/>
            <w:rFonts w:hint="eastAsia"/>
            <w:rtl/>
          </w:rPr>
          <w:t>عليه،</w:t>
        </w:r>
        <w:r w:rsidR="0043356E">
          <w:rPr>
            <w:rStyle w:val="Hyperlink"/>
            <w:rFonts w:hint="cs"/>
            <w:rtl/>
          </w:rPr>
          <w:t xml:space="preserve"> </w:t>
        </w:r>
        <w:r w:rsidR="00AD0AE5" w:rsidRPr="00282605">
          <w:rPr>
            <w:rStyle w:val="Hyperlink"/>
            <w:rFonts w:hint="eastAsia"/>
            <w:rtl/>
          </w:rPr>
          <w:t>فله</w:t>
        </w:r>
        <w:r w:rsidR="0043356E">
          <w:rPr>
            <w:rStyle w:val="Hyperlink"/>
            <w:rFonts w:hint="cs"/>
            <w:rtl/>
          </w:rPr>
          <w:t xml:space="preserve"> </w:t>
        </w:r>
        <w:r w:rsidR="00AD0AE5" w:rsidRPr="00282605">
          <w:rPr>
            <w:rStyle w:val="Hyperlink"/>
            <w:rFonts w:hint="eastAsia"/>
            <w:rtl/>
          </w:rPr>
          <w:t>أن</w:t>
        </w:r>
        <w:r w:rsidR="0043356E">
          <w:rPr>
            <w:rStyle w:val="Hyperlink"/>
            <w:rFonts w:hint="cs"/>
            <w:rtl/>
          </w:rPr>
          <w:t xml:space="preserve"> </w:t>
        </w:r>
        <w:r w:rsidR="00AD0AE5" w:rsidRPr="00282605">
          <w:rPr>
            <w:rStyle w:val="Hyperlink"/>
            <w:rFonts w:hint="eastAsia"/>
            <w:rtl/>
          </w:rPr>
          <w:t>يتصدق</w:t>
        </w:r>
        <w:r w:rsidR="0043356E">
          <w:rPr>
            <w:rStyle w:val="Hyperlink"/>
            <w:rFonts w:hint="cs"/>
            <w:rtl/>
          </w:rPr>
          <w:t xml:space="preserve"> </w:t>
        </w:r>
        <w:r w:rsidR="00AD0AE5" w:rsidRPr="00282605">
          <w:rPr>
            <w:rStyle w:val="Hyperlink"/>
            <w:rFonts w:hint="eastAsia"/>
            <w:rtl/>
          </w:rPr>
          <w:t>به</w:t>
        </w:r>
        <w:r w:rsidR="0043356E">
          <w:rPr>
            <w:rStyle w:val="Hyperlink"/>
            <w:rFonts w:hint="cs"/>
            <w:rtl/>
          </w:rPr>
          <w:t xml:space="preserve"> </w:t>
        </w:r>
        <w:r w:rsidR="00AD0AE5" w:rsidRPr="00282605">
          <w:rPr>
            <w:rStyle w:val="Hyperlink"/>
            <w:rFonts w:hint="eastAsia"/>
            <w:rtl/>
          </w:rPr>
          <w:t>بشرط</w:t>
        </w:r>
        <w:r w:rsidR="0043356E">
          <w:rPr>
            <w:rStyle w:val="Hyperlink"/>
            <w:rFonts w:hint="cs"/>
            <w:rtl/>
          </w:rPr>
          <w:t xml:space="preserve"> </w:t>
        </w:r>
        <w:r w:rsidR="00AD0AE5" w:rsidRPr="00282605">
          <w:rPr>
            <w:rStyle w:val="Hyperlink"/>
            <w:rFonts w:hint="eastAsia"/>
            <w:rtl/>
          </w:rPr>
          <w:t>الضمان</w:t>
        </w:r>
        <w:r w:rsidR="00AD0AE5" w:rsidRPr="00282605">
          <w:rPr>
            <w:rStyle w:val="Hyperlink"/>
            <w:rtl/>
          </w:rPr>
          <w:t>"</w:t>
        </w:r>
        <w:r w:rsidR="00AD0AE5">
          <w:rPr>
            <w:webHidden/>
            <w:rtl/>
          </w:rPr>
          <w:tab/>
        </w:r>
        <w:r w:rsidR="00BF16BC">
          <w:rPr>
            <w:webHidden/>
          </w:rPr>
          <w:t>579</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04"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webHidden/>
          </w:rPr>
          <w:t>579</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05"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43356E">
          <w:rPr>
            <w:rStyle w:val="Hyperlink"/>
            <w:rFonts w:hint="cs"/>
            <w:rtl/>
          </w:rPr>
          <w:t xml:space="preserve"> </w:t>
        </w:r>
        <w:r w:rsidR="00AD0AE5" w:rsidRPr="00282605">
          <w:rPr>
            <w:rStyle w:val="Hyperlink"/>
            <w:rFonts w:hint="eastAsia"/>
            <w:rtl/>
          </w:rPr>
          <w:t>القاعدة</w:t>
        </w:r>
        <w:r w:rsidR="00AD0AE5">
          <w:rPr>
            <w:webHidden/>
            <w:rtl/>
          </w:rPr>
          <w:tab/>
        </w:r>
        <w:r w:rsidR="00BF16BC">
          <w:rPr>
            <w:webHidden/>
          </w:rPr>
          <w:t>580</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06"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581</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07" w:history="1">
        <w:r w:rsidR="00AD0AE5" w:rsidRPr="00282605">
          <w:rPr>
            <w:rStyle w:val="Hyperlink"/>
            <w:rFonts w:hint="eastAsia"/>
            <w:rtl/>
          </w:rPr>
          <w:t>الفصل</w:t>
        </w:r>
        <w:r w:rsidR="0043356E">
          <w:rPr>
            <w:rStyle w:val="Hyperlink"/>
            <w:rFonts w:hint="cs"/>
            <w:rtl/>
          </w:rPr>
          <w:t xml:space="preserve"> </w:t>
        </w:r>
        <w:r w:rsidR="00AD0AE5" w:rsidRPr="00282605">
          <w:rPr>
            <w:rStyle w:val="Hyperlink"/>
            <w:rFonts w:hint="eastAsia"/>
            <w:rtl/>
          </w:rPr>
          <w:t>الثامن</w:t>
        </w:r>
        <w:r w:rsidR="00AD0AE5" w:rsidRPr="00282605">
          <w:rPr>
            <w:rStyle w:val="Hyperlink"/>
            <w:rtl/>
          </w:rPr>
          <w:t xml:space="preserve"> : </w:t>
        </w:r>
        <w:r w:rsidR="00AD0AE5" w:rsidRPr="00282605">
          <w:rPr>
            <w:rStyle w:val="Hyperlink"/>
            <w:rFonts w:hint="eastAsia"/>
            <w:rtl/>
          </w:rPr>
          <w:t>الضوابط</w:t>
        </w:r>
        <w:r w:rsidR="0043356E">
          <w:rPr>
            <w:rStyle w:val="Hyperlink"/>
            <w:rFonts w:hint="cs"/>
            <w:rtl/>
          </w:rPr>
          <w:t xml:space="preserve"> </w:t>
        </w:r>
        <w:r w:rsidR="00AD0AE5" w:rsidRPr="00282605">
          <w:rPr>
            <w:rStyle w:val="Hyperlink"/>
            <w:rFonts w:hint="eastAsia"/>
            <w:rtl/>
          </w:rPr>
          <w:t>المتعلقة</w:t>
        </w:r>
        <w:r w:rsidR="0043356E">
          <w:rPr>
            <w:rStyle w:val="Hyperlink"/>
            <w:rFonts w:hint="cs"/>
            <w:rtl/>
          </w:rPr>
          <w:t xml:space="preserve"> </w:t>
        </w:r>
        <w:r w:rsidR="00AD0AE5" w:rsidRPr="00282605">
          <w:rPr>
            <w:rStyle w:val="Hyperlink"/>
            <w:rFonts w:hint="eastAsia"/>
            <w:rtl/>
          </w:rPr>
          <w:t>بباب</w:t>
        </w:r>
        <w:r w:rsidR="0043356E">
          <w:rPr>
            <w:rStyle w:val="Hyperlink"/>
            <w:rFonts w:hint="cs"/>
            <w:rtl/>
          </w:rPr>
          <w:t xml:space="preserve"> </w:t>
        </w:r>
        <w:r w:rsidR="00AD0AE5" w:rsidRPr="00282605">
          <w:rPr>
            <w:rStyle w:val="Hyperlink"/>
            <w:rFonts w:hint="eastAsia"/>
            <w:rtl/>
          </w:rPr>
          <w:t>الشفعة</w:t>
        </w:r>
        <w:r w:rsidR="0043356E">
          <w:rPr>
            <w:rStyle w:val="Hyperlink"/>
            <w:rFonts w:hint="cs"/>
            <w:rtl/>
          </w:rPr>
          <w:t xml:space="preserve"> </w:t>
        </w:r>
        <w:r w:rsidR="00AD0AE5" w:rsidRPr="00282605">
          <w:rPr>
            <w:rStyle w:val="Hyperlink"/>
            <w:rFonts w:hint="eastAsia"/>
            <w:rtl/>
          </w:rPr>
          <w:t>وباب</w:t>
        </w:r>
        <w:r w:rsidR="0043356E">
          <w:rPr>
            <w:rStyle w:val="Hyperlink"/>
            <w:rFonts w:hint="cs"/>
            <w:rtl/>
          </w:rPr>
          <w:t xml:space="preserve"> </w:t>
        </w:r>
        <w:r w:rsidR="00AD0AE5" w:rsidRPr="00282605">
          <w:rPr>
            <w:rStyle w:val="Hyperlink"/>
            <w:rFonts w:hint="eastAsia"/>
            <w:rtl/>
          </w:rPr>
          <w:t>الوديعة</w:t>
        </w:r>
        <w:r w:rsidR="00AD0AE5">
          <w:rPr>
            <w:webHidden/>
            <w:rtl/>
          </w:rPr>
          <w:tab/>
        </w:r>
        <w:r w:rsidR="00BF16BC">
          <w:rPr>
            <w:webHidden/>
          </w:rPr>
          <w:t>582</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708" w:history="1">
        <w:r w:rsidR="00AD0AE5" w:rsidRPr="00282605">
          <w:rPr>
            <w:rStyle w:val="Hyperlink"/>
            <w:rFonts w:ascii="Traditional Arabic" w:hAnsi="Traditional Arabic" w:hint="eastAsia"/>
            <w:rtl/>
          </w:rPr>
          <w:t>المبحث</w:t>
        </w:r>
        <w:r w:rsidR="0043356E">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الأول</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إذا</w:t>
        </w:r>
        <w:r w:rsidR="0043356E">
          <w:rPr>
            <w:rStyle w:val="Hyperlink"/>
            <w:rFonts w:hint="cs"/>
            <w:rtl/>
          </w:rPr>
          <w:t xml:space="preserve"> </w:t>
        </w:r>
        <w:r w:rsidR="00AD0AE5" w:rsidRPr="00282605">
          <w:rPr>
            <w:rStyle w:val="Hyperlink"/>
            <w:rFonts w:hint="eastAsia"/>
            <w:rtl/>
          </w:rPr>
          <w:t>انتقل</w:t>
        </w:r>
        <w:r w:rsidR="0043356E">
          <w:rPr>
            <w:rStyle w:val="Hyperlink"/>
            <w:rFonts w:hint="cs"/>
            <w:rtl/>
          </w:rPr>
          <w:t xml:space="preserve"> </w:t>
        </w:r>
        <w:r w:rsidR="00AD0AE5" w:rsidRPr="00282605">
          <w:rPr>
            <w:rStyle w:val="Hyperlink"/>
            <w:rFonts w:hint="eastAsia"/>
            <w:rtl/>
          </w:rPr>
          <w:t>الملك</w:t>
        </w:r>
        <w:r w:rsidR="0043356E">
          <w:rPr>
            <w:rStyle w:val="Hyperlink"/>
            <w:rFonts w:hint="cs"/>
            <w:rtl/>
          </w:rPr>
          <w:t xml:space="preserve"> </w:t>
        </w:r>
        <w:r w:rsidR="00AD0AE5" w:rsidRPr="00282605">
          <w:rPr>
            <w:rStyle w:val="Hyperlink"/>
            <w:rFonts w:hint="eastAsia"/>
            <w:rtl/>
          </w:rPr>
          <w:t>على</w:t>
        </w:r>
        <w:r w:rsidR="0043356E">
          <w:rPr>
            <w:rStyle w:val="Hyperlink"/>
            <w:rFonts w:hint="cs"/>
            <w:rtl/>
          </w:rPr>
          <w:t xml:space="preserve"> </w:t>
        </w:r>
        <w:r w:rsidR="00AD0AE5" w:rsidRPr="00282605">
          <w:rPr>
            <w:rStyle w:val="Hyperlink"/>
            <w:rFonts w:hint="eastAsia"/>
            <w:rtl/>
          </w:rPr>
          <w:t>وجه</w:t>
        </w:r>
        <w:r w:rsidR="0043356E">
          <w:rPr>
            <w:rStyle w:val="Hyperlink"/>
            <w:rFonts w:hint="cs"/>
            <w:rtl/>
          </w:rPr>
          <w:t xml:space="preserve"> </w:t>
        </w:r>
        <w:r w:rsidR="00AD0AE5" w:rsidRPr="00282605">
          <w:rPr>
            <w:rStyle w:val="Hyperlink"/>
            <w:rFonts w:hint="eastAsia"/>
            <w:rtl/>
          </w:rPr>
          <w:t>اختياري</w:t>
        </w:r>
        <w:r w:rsidR="0043356E">
          <w:rPr>
            <w:rStyle w:val="Hyperlink"/>
            <w:rFonts w:hint="cs"/>
            <w:rtl/>
          </w:rPr>
          <w:t xml:space="preserve"> </w:t>
        </w:r>
        <w:r w:rsidR="00AD0AE5" w:rsidRPr="00282605">
          <w:rPr>
            <w:rStyle w:val="Hyperlink"/>
            <w:rFonts w:hint="eastAsia"/>
            <w:rtl/>
          </w:rPr>
          <w:t>ففيه</w:t>
        </w:r>
        <w:r w:rsidR="0043356E">
          <w:rPr>
            <w:rStyle w:val="Hyperlink"/>
            <w:rFonts w:hint="cs"/>
            <w:rtl/>
          </w:rPr>
          <w:t xml:space="preserve"> </w:t>
        </w:r>
        <w:r w:rsidR="00AD0AE5" w:rsidRPr="00282605">
          <w:rPr>
            <w:rStyle w:val="Hyperlink"/>
            <w:rFonts w:hint="eastAsia"/>
            <w:rtl/>
          </w:rPr>
          <w:t>الشفعة</w:t>
        </w:r>
        <w:r w:rsidR="00AD0AE5" w:rsidRPr="00282605">
          <w:rPr>
            <w:rStyle w:val="Hyperlink"/>
            <w:rtl/>
          </w:rPr>
          <w:t>"</w:t>
        </w:r>
        <w:r w:rsidR="00AD0AE5">
          <w:rPr>
            <w:webHidden/>
            <w:rtl/>
          </w:rPr>
          <w:tab/>
        </w:r>
        <w:r w:rsidR="00BF16BC">
          <w:rPr>
            <w:webHidden/>
          </w:rPr>
          <w:t>583</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09"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583</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10"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43356E">
          <w:rPr>
            <w:rStyle w:val="Hyperlink"/>
            <w:rFonts w:hint="cs"/>
            <w:rtl/>
          </w:rPr>
          <w:t xml:space="preserve"> </w:t>
        </w:r>
        <w:r w:rsidR="00AD0AE5" w:rsidRPr="00282605">
          <w:rPr>
            <w:rStyle w:val="Hyperlink"/>
            <w:rFonts w:hint="eastAsia"/>
            <w:rtl/>
          </w:rPr>
          <w:t>القاعدة</w:t>
        </w:r>
        <w:r w:rsidR="00AD0AE5">
          <w:rPr>
            <w:webHidden/>
            <w:rtl/>
          </w:rPr>
          <w:tab/>
        </w:r>
        <w:r w:rsidR="00BF16BC">
          <w:rPr>
            <w:rFonts w:hint="cs"/>
            <w:webHidden/>
            <w:rtl/>
          </w:rPr>
          <w:t>584</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11"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584</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712" w:history="1">
        <w:r w:rsidR="00AD0AE5" w:rsidRPr="00282605">
          <w:rPr>
            <w:rStyle w:val="Hyperlink"/>
            <w:rFonts w:ascii="Traditional Arabic" w:hAnsi="Traditional Arabic" w:hint="eastAsia"/>
            <w:rtl/>
          </w:rPr>
          <w:t>المبحث</w:t>
        </w:r>
        <w:r w:rsidR="0043356E">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الثاني</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إذاتصرف</w:t>
        </w:r>
        <w:r w:rsidR="0043356E">
          <w:rPr>
            <w:rStyle w:val="Hyperlink"/>
            <w:rFonts w:hint="cs"/>
            <w:rtl/>
          </w:rPr>
          <w:t xml:space="preserve"> </w:t>
        </w:r>
        <w:r w:rsidR="00AD0AE5" w:rsidRPr="00282605">
          <w:rPr>
            <w:rStyle w:val="Hyperlink"/>
            <w:rFonts w:hint="eastAsia"/>
            <w:rtl/>
          </w:rPr>
          <w:t>المشتري</w:t>
        </w:r>
        <w:r w:rsidR="0043356E">
          <w:rPr>
            <w:rStyle w:val="Hyperlink"/>
            <w:rFonts w:hint="cs"/>
            <w:rtl/>
          </w:rPr>
          <w:t xml:space="preserve"> </w:t>
        </w:r>
        <w:r w:rsidR="00AD0AE5" w:rsidRPr="00282605">
          <w:rPr>
            <w:rStyle w:val="Hyperlink"/>
            <w:rFonts w:hint="eastAsia"/>
            <w:rtl/>
          </w:rPr>
          <w:t>فيما</w:t>
        </w:r>
        <w:r w:rsidR="0043356E">
          <w:rPr>
            <w:rStyle w:val="Hyperlink"/>
            <w:rFonts w:hint="cs"/>
            <w:rtl/>
          </w:rPr>
          <w:t xml:space="preserve"> </w:t>
        </w:r>
        <w:r w:rsidR="00AD0AE5" w:rsidRPr="00282605">
          <w:rPr>
            <w:rStyle w:val="Hyperlink"/>
            <w:rFonts w:hint="eastAsia"/>
            <w:rtl/>
          </w:rPr>
          <w:t>اشتراه</w:t>
        </w:r>
        <w:r w:rsidR="0043356E">
          <w:rPr>
            <w:rStyle w:val="Hyperlink"/>
            <w:rFonts w:hint="cs"/>
            <w:rtl/>
          </w:rPr>
          <w:t xml:space="preserve"> </w:t>
        </w:r>
        <w:r w:rsidR="00AD0AE5" w:rsidRPr="00282605">
          <w:rPr>
            <w:rStyle w:val="Hyperlink"/>
            <w:rFonts w:hint="eastAsia"/>
            <w:rtl/>
          </w:rPr>
          <w:t>تصرفا</w:t>
        </w:r>
        <w:r w:rsidR="0043356E">
          <w:rPr>
            <w:rStyle w:val="Hyperlink"/>
            <w:rFonts w:hint="cs"/>
            <w:rtl/>
          </w:rPr>
          <w:t xml:space="preserve"> </w:t>
        </w:r>
        <w:r w:rsidR="00AD0AE5" w:rsidRPr="00282605">
          <w:rPr>
            <w:rStyle w:val="Hyperlink"/>
            <w:rFonts w:hint="eastAsia"/>
            <w:rtl/>
          </w:rPr>
          <w:t>ينقل</w:t>
        </w:r>
        <w:r w:rsidR="0043356E">
          <w:rPr>
            <w:rStyle w:val="Hyperlink"/>
            <w:rFonts w:hint="cs"/>
            <w:rtl/>
          </w:rPr>
          <w:t xml:space="preserve"> </w:t>
        </w:r>
        <w:r w:rsidR="00AD0AE5" w:rsidRPr="00282605">
          <w:rPr>
            <w:rStyle w:val="Hyperlink"/>
            <w:rFonts w:hint="eastAsia"/>
            <w:rtl/>
          </w:rPr>
          <w:t>الملك</w:t>
        </w:r>
        <w:r w:rsidR="0043356E">
          <w:rPr>
            <w:rStyle w:val="Hyperlink"/>
            <w:rFonts w:hint="cs"/>
            <w:rtl/>
          </w:rPr>
          <w:t xml:space="preserve"> </w:t>
        </w:r>
        <w:r w:rsidR="00AD0AE5" w:rsidRPr="00282605">
          <w:rPr>
            <w:rStyle w:val="Hyperlink"/>
            <w:rFonts w:hint="eastAsia"/>
            <w:rtl/>
          </w:rPr>
          <w:t>على</w:t>
        </w:r>
        <w:r w:rsidR="0043356E">
          <w:rPr>
            <w:rStyle w:val="Hyperlink"/>
            <w:rFonts w:hint="cs"/>
            <w:rtl/>
          </w:rPr>
          <w:t xml:space="preserve"> </w:t>
        </w:r>
        <w:r w:rsidR="00AD0AE5" w:rsidRPr="00282605">
          <w:rPr>
            <w:rStyle w:val="Hyperlink"/>
            <w:rFonts w:hint="eastAsia"/>
            <w:rtl/>
          </w:rPr>
          <w:t>وجه</w:t>
        </w:r>
        <w:r w:rsidR="0043356E">
          <w:rPr>
            <w:rStyle w:val="Hyperlink"/>
            <w:rFonts w:hint="cs"/>
            <w:rtl/>
          </w:rPr>
          <w:t xml:space="preserve"> </w:t>
        </w:r>
        <w:r w:rsidR="00AD0AE5" w:rsidRPr="00282605">
          <w:rPr>
            <w:rStyle w:val="Hyperlink"/>
            <w:rFonts w:hint="eastAsia"/>
            <w:rtl/>
          </w:rPr>
          <w:t>لا</w:t>
        </w:r>
        <w:r w:rsidR="0043356E">
          <w:rPr>
            <w:rStyle w:val="Hyperlink"/>
            <w:rFonts w:hint="cs"/>
            <w:rtl/>
          </w:rPr>
          <w:t xml:space="preserve"> </w:t>
        </w:r>
        <w:r w:rsidR="00AD0AE5" w:rsidRPr="00282605">
          <w:rPr>
            <w:rStyle w:val="Hyperlink"/>
            <w:rFonts w:hint="eastAsia"/>
            <w:rtl/>
          </w:rPr>
          <w:t>تثبت</w:t>
        </w:r>
        <w:r w:rsidR="0043356E">
          <w:rPr>
            <w:rStyle w:val="Hyperlink"/>
            <w:rFonts w:hint="cs"/>
            <w:rtl/>
          </w:rPr>
          <w:t xml:space="preserve"> </w:t>
        </w:r>
        <w:r w:rsidR="00AD0AE5" w:rsidRPr="00282605">
          <w:rPr>
            <w:rStyle w:val="Hyperlink"/>
            <w:rFonts w:hint="eastAsia"/>
            <w:rtl/>
          </w:rPr>
          <w:t>فيه</w:t>
        </w:r>
        <w:r w:rsidR="0043356E">
          <w:rPr>
            <w:rStyle w:val="Hyperlink"/>
            <w:rFonts w:hint="cs"/>
            <w:rtl/>
          </w:rPr>
          <w:t xml:space="preserve"> </w:t>
        </w:r>
        <w:r w:rsidR="00AD0AE5" w:rsidRPr="00282605">
          <w:rPr>
            <w:rStyle w:val="Hyperlink"/>
            <w:rFonts w:hint="eastAsia"/>
            <w:rtl/>
          </w:rPr>
          <w:t>الشفعة</w:t>
        </w:r>
        <w:r w:rsidR="0043356E">
          <w:rPr>
            <w:rStyle w:val="Hyperlink"/>
            <w:rFonts w:hint="cs"/>
            <w:rtl/>
          </w:rPr>
          <w:t xml:space="preserve"> </w:t>
        </w:r>
        <w:r w:rsidR="00AD0AE5" w:rsidRPr="00282605">
          <w:rPr>
            <w:rStyle w:val="Hyperlink"/>
            <w:rFonts w:hint="eastAsia"/>
            <w:rtl/>
          </w:rPr>
          <w:t>ابتداء</w:t>
        </w:r>
        <w:r w:rsidR="0043356E">
          <w:rPr>
            <w:rStyle w:val="Hyperlink"/>
            <w:rFonts w:hint="cs"/>
            <w:rtl/>
          </w:rPr>
          <w:t xml:space="preserve"> </w:t>
        </w:r>
        <w:r w:rsidR="00AD0AE5" w:rsidRPr="00282605">
          <w:rPr>
            <w:rStyle w:val="Hyperlink"/>
            <w:rFonts w:hint="eastAsia"/>
            <w:rtl/>
          </w:rPr>
          <w:t>فإن</w:t>
        </w:r>
        <w:r w:rsidR="0043356E">
          <w:rPr>
            <w:rStyle w:val="Hyperlink"/>
            <w:rFonts w:hint="cs"/>
            <w:rtl/>
          </w:rPr>
          <w:t xml:space="preserve"> </w:t>
        </w:r>
        <w:r w:rsidR="00AD0AE5" w:rsidRPr="00282605">
          <w:rPr>
            <w:rStyle w:val="Hyperlink"/>
            <w:rFonts w:hint="eastAsia"/>
            <w:rtl/>
          </w:rPr>
          <w:t>الشفعة</w:t>
        </w:r>
        <w:r w:rsidR="0043356E">
          <w:rPr>
            <w:rStyle w:val="Hyperlink"/>
            <w:rFonts w:hint="cs"/>
            <w:rtl/>
          </w:rPr>
          <w:t xml:space="preserve"> </w:t>
        </w:r>
        <w:r w:rsidR="00AD0AE5" w:rsidRPr="00282605">
          <w:rPr>
            <w:rStyle w:val="Hyperlink"/>
            <w:rFonts w:hint="eastAsia"/>
            <w:rtl/>
          </w:rPr>
          <w:t>تسقط</w:t>
        </w:r>
        <w:r w:rsidR="00AD0AE5" w:rsidRPr="00282605">
          <w:rPr>
            <w:rStyle w:val="Hyperlink"/>
            <w:rtl/>
          </w:rPr>
          <w:t>"</w:t>
        </w:r>
        <w:r w:rsidR="00AD0AE5">
          <w:rPr>
            <w:webHidden/>
            <w:rtl/>
          </w:rPr>
          <w:tab/>
        </w:r>
        <w:r w:rsidR="00BF16BC">
          <w:rPr>
            <w:rFonts w:hint="cs"/>
            <w:webHidden/>
            <w:rtl/>
          </w:rPr>
          <w:t>586</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13"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586</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14"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587</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15"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587</w:t>
        </w:r>
      </w:hyperlink>
    </w:p>
    <w:p w:rsidR="00AD0AE5" w:rsidRDefault="00AB0B9E" w:rsidP="00BF16BC">
      <w:pPr>
        <w:pStyle w:val="30"/>
        <w:rPr>
          <w:rFonts w:asciiTheme="minorHAnsi" w:eastAsiaTheme="minorEastAsia" w:hAnsiTheme="minorHAnsi" w:cstheme="minorBidi"/>
          <w:b w:val="0"/>
          <w:bCs w:val="0"/>
          <w:color w:val="auto"/>
          <w:sz w:val="22"/>
          <w:szCs w:val="22"/>
          <w:rtl/>
          <w:lang w:val="fr-FR" w:eastAsia="fr-FR"/>
        </w:rPr>
      </w:pPr>
      <w:hyperlink w:anchor="_Toc334046716" w:history="1">
        <w:r w:rsidR="00AD0AE5" w:rsidRPr="00282605">
          <w:rPr>
            <w:rStyle w:val="Hyperlink"/>
            <w:rFonts w:ascii="Traditional Arabic" w:hAnsi="Traditional Arabic" w:hint="eastAsia"/>
            <w:rtl/>
          </w:rPr>
          <w:t>المبحث</w:t>
        </w:r>
        <w:r w:rsidR="0043356E">
          <w:rPr>
            <w:rStyle w:val="Hyperlink"/>
            <w:rFonts w:ascii="Traditional Arabic" w:hAnsi="Traditional Arabic" w:hint="cs"/>
            <w:rtl/>
          </w:rPr>
          <w:t xml:space="preserve"> </w:t>
        </w:r>
        <w:r w:rsidR="00AD0AE5" w:rsidRPr="00282605">
          <w:rPr>
            <w:rStyle w:val="Hyperlink"/>
            <w:rFonts w:ascii="Traditional Arabic" w:hAnsi="Traditional Arabic" w:hint="eastAsia"/>
            <w:rtl/>
          </w:rPr>
          <w:t>الثالث</w:t>
        </w:r>
        <w:r w:rsidR="00AD0AE5" w:rsidRPr="00282605">
          <w:rPr>
            <w:rStyle w:val="Hyperlink"/>
            <w:rFonts w:ascii="Traditional Arabic" w:hAnsi="Traditional Arabic"/>
            <w:rtl/>
          </w:rPr>
          <w:t xml:space="preserve"> : </w:t>
        </w:r>
        <w:r w:rsidR="00AD0AE5" w:rsidRPr="00282605">
          <w:rPr>
            <w:rStyle w:val="Hyperlink"/>
            <w:rFonts w:hint="eastAsia"/>
            <w:rtl/>
          </w:rPr>
          <w:t>ضابط</w:t>
        </w:r>
        <w:r w:rsidR="00AD0AE5" w:rsidRPr="00282605">
          <w:rPr>
            <w:rStyle w:val="Hyperlink"/>
            <w:rtl/>
          </w:rPr>
          <w:t xml:space="preserve"> "</w:t>
        </w:r>
        <w:r w:rsidR="00AD0AE5" w:rsidRPr="00282605">
          <w:rPr>
            <w:rStyle w:val="Hyperlink"/>
            <w:rFonts w:hint="eastAsia"/>
            <w:rtl/>
          </w:rPr>
          <w:t>إذا</w:t>
        </w:r>
        <w:r w:rsidR="0043356E">
          <w:rPr>
            <w:rStyle w:val="Hyperlink"/>
            <w:rFonts w:hint="cs"/>
            <w:rtl/>
          </w:rPr>
          <w:t xml:space="preserve"> </w:t>
        </w:r>
        <w:r w:rsidR="00AD0AE5" w:rsidRPr="00282605">
          <w:rPr>
            <w:rStyle w:val="Hyperlink"/>
            <w:rFonts w:hint="eastAsia"/>
            <w:rtl/>
          </w:rPr>
          <w:t>عيَّن</w:t>
        </w:r>
        <w:r w:rsidR="0043356E">
          <w:rPr>
            <w:rStyle w:val="Hyperlink"/>
            <w:rFonts w:hint="cs"/>
            <w:rtl/>
          </w:rPr>
          <w:t xml:space="preserve"> </w:t>
        </w:r>
        <w:r w:rsidR="00AD0AE5" w:rsidRPr="00282605">
          <w:rPr>
            <w:rStyle w:val="Hyperlink"/>
            <w:rFonts w:hint="eastAsia"/>
            <w:rtl/>
          </w:rPr>
          <w:t>المودِع</w:t>
        </w:r>
        <w:r w:rsidR="0043356E">
          <w:rPr>
            <w:rStyle w:val="Hyperlink"/>
            <w:rFonts w:hint="cs"/>
            <w:rtl/>
          </w:rPr>
          <w:t xml:space="preserve"> </w:t>
        </w:r>
        <w:r w:rsidR="00AD0AE5" w:rsidRPr="00282605">
          <w:rPr>
            <w:rStyle w:val="Hyperlink"/>
            <w:rFonts w:hint="eastAsia"/>
            <w:rtl/>
          </w:rPr>
          <w:t>الحرز،</w:t>
        </w:r>
        <w:r w:rsidR="0043356E">
          <w:rPr>
            <w:rStyle w:val="Hyperlink"/>
            <w:rFonts w:hint="cs"/>
            <w:rtl/>
          </w:rPr>
          <w:t xml:space="preserve"> </w:t>
        </w:r>
        <w:r w:rsidR="00AD0AE5" w:rsidRPr="00282605">
          <w:rPr>
            <w:rStyle w:val="Hyperlink"/>
            <w:rFonts w:hint="eastAsia"/>
            <w:rtl/>
          </w:rPr>
          <w:t>فأحرز</w:t>
        </w:r>
        <w:r w:rsidR="0043356E">
          <w:rPr>
            <w:rStyle w:val="Hyperlink"/>
            <w:rFonts w:hint="cs"/>
            <w:rtl/>
          </w:rPr>
          <w:t xml:space="preserve"> </w:t>
        </w:r>
        <w:r w:rsidR="00AD0AE5" w:rsidRPr="00282605">
          <w:rPr>
            <w:rStyle w:val="Hyperlink"/>
            <w:rFonts w:hint="eastAsia"/>
            <w:rtl/>
          </w:rPr>
          <w:t>المودَع</w:t>
        </w:r>
        <w:r w:rsidR="0043356E">
          <w:rPr>
            <w:rStyle w:val="Hyperlink"/>
            <w:rFonts w:hint="cs"/>
            <w:rtl/>
          </w:rPr>
          <w:t xml:space="preserve"> </w:t>
        </w:r>
        <w:r w:rsidR="00AD0AE5" w:rsidRPr="00282605">
          <w:rPr>
            <w:rStyle w:val="Hyperlink"/>
            <w:rFonts w:hint="eastAsia"/>
            <w:rtl/>
          </w:rPr>
          <w:t>الوديعة</w:t>
        </w:r>
        <w:r w:rsidR="0043356E">
          <w:rPr>
            <w:rStyle w:val="Hyperlink"/>
            <w:rFonts w:hint="cs"/>
            <w:rtl/>
          </w:rPr>
          <w:t xml:space="preserve"> </w:t>
        </w:r>
        <w:r w:rsidR="00AD0AE5" w:rsidRPr="00282605">
          <w:rPr>
            <w:rStyle w:val="Hyperlink"/>
            <w:rFonts w:hint="eastAsia"/>
            <w:rtl/>
          </w:rPr>
          <w:t>فيما</w:t>
        </w:r>
        <w:r w:rsidR="0043356E">
          <w:rPr>
            <w:rStyle w:val="Hyperlink"/>
            <w:rFonts w:hint="cs"/>
            <w:rtl/>
          </w:rPr>
          <w:t xml:space="preserve"> </w:t>
        </w:r>
        <w:r w:rsidR="00AD0AE5" w:rsidRPr="00282605">
          <w:rPr>
            <w:rStyle w:val="Hyperlink"/>
            <w:rFonts w:hint="eastAsia"/>
            <w:rtl/>
          </w:rPr>
          <w:t>هو</w:t>
        </w:r>
        <w:r w:rsidR="0043356E">
          <w:rPr>
            <w:rStyle w:val="Hyperlink"/>
            <w:rFonts w:hint="cs"/>
            <w:rtl/>
          </w:rPr>
          <w:t xml:space="preserve"> </w:t>
        </w:r>
        <w:r w:rsidR="00AD0AE5" w:rsidRPr="00282605">
          <w:rPr>
            <w:rStyle w:val="Hyperlink"/>
            <w:rFonts w:hint="eastAsia"/>
            <w:rtl/>
          </w:rPr>
          <w:t>أشد،</w:t>
        </w:r>
        <w:r w:rsidR="0043356E">
          <w:rPr>
            <w:rStyle w:val="Hyperlink"/>
            <w:rFonts w:hint="cs"/>
            <w:rtl/>
          </w:rPr>
          <w:t xml:space="preserve"> </w:t>
        </w:r>
        <w:r w:rsidR="00AD0AE5" w:rsidRPr="00282605">
          <w:rPr>
            <w:rStyle w:val="Hyperlink"/>
            <w:rFonts w:hint="eastAsia"/>
            <w:rtl/>
          </w:rPr>
          <w:t>فلا</w:t>
        </w:r>
        <w:r w:rsidR="0043356E">
          <w:rPr>
            <w:rStyle w:val="Hyperlink"/>
            <w:rFonts w:hint="cs"/>
            <w:rtl/>
          </w:rPr>
          <w:t xml:space="preserve"> </w:t>
        </w:r>
        <w:r w:rsidR="00AD0AE5" w:rsidRPr="00282605">
          <w:rPr>
            <w:rStyle w:val="Hyperlink"/>
            <w:rFonts w:hint="eastAsia"/>
            <w:rtl/>
          </w:rPr>
          <w:t>ضمان</w:t>
        </w:r>
        <w:r w:rsidR="00AD0AE5" w:rsidRPr="00282605">
          <w:rPr>
            <w:rStyle w:val="Hyperlink"/>
            <w:rtl/>
          </w:rPr>
          <w:t>"</w:t>
        </w:r>
        <w:r w:rsidR="00AD0AE5">
          <w:rPr>
            <w:webHidden/>
            <w:rtl/>
          </w:rPr>
          <w:tab/>
        </w:r>
        <w:r w:rsidR="00BF16BC">
          <w:rPr>
            <w:rFonts w:hint="cs"/>
            <w:webHidden/>
            <w:rtl/>
          </w:rPr>
          <w:t>588</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17"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الأول</w:t>
        </w:r>
        <w:r w:rsidR="00AD0AE5" w:rsidRPr="00282605">
          <w:rPr>
            <w:rStyle w:val="Hyperlink"/>
            <w:rtl/>
          </w:rPr>
          <w:t xml:space="preserve"> : </w:t>
        </w:r>
        <w:r w:rsidR="00AD0AE5" w:rsidRPr="00282605">
          <w:rPr>
            <w:rStyle w:val="Hyperlink"/>
            <w:rFonts w:hint="eastAsia"/>
            <w:rtl/>
          </w:rPr>
          <w:t>شرح</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588</w:t>
        </w:r>
      </w:hyperlink>
    </w:p>
    <w:p w:rsidR="00AD0AE5" w:rsidRDefault="00AB0B9E" w:rsidP="00BF16BC">
      <w:pPr>
        <w:pStyle w:val="40"/>
        <w:rPr>
          <w:rFonts w:asciiTheme="minorHAnsi" w:eastAsiaTheme="minorEastAsia" w:hAnsiTheme="minorHAnsi" w:cstheme="minorBidi"/>
          <w:color w:val="auto"/>
          <w:sz w:val="22"/>
          <w:szCs w:val="22"/>
          <w:rtl/>
          <w:lang w:val="fr-FR" w:eastAsia="fr-FR"/>
        </w:rPr>
      </w:pPr>
      <w:hyperlink w:anchor="_Toc334046718"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الثاني</w:t>
        </w:r>
        <w:r w:rsidR="00AD0AE5" w:rsidRPr="00282605">
          <w:rPr>
            <w:rStyle w:val="Hyperlink"/>
            <w:rtl/>
          </w:rPr>
          <w:t xml:space="preserve"> : </w:t>
        </w:r>
        <w:r w:rsidR="00AD0AE5" w:rsidRPr="00282605">
          <w:rPr>
            <w:rStyle w:val="Hyperlink"/>
            <w:rFonts w:hint="eastAsia"/>
            <w:rtl/>
          </w:rPr>
          <w:t>أدلة</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589</w:t>
        </w:r>
      </w:hyperlink>
    </w:p>
    <w:p w:rsidR="00AD0AE5" w:rsidRDefault="00AB0B9E" w:rsidP="00BF16BC">
      <w:pPr>
        <w:pStyle w:val="40"/>
        <w:rPr>
          <w:rtl/>
        </w:rPr>
      </w:pPr>
      <w:hyperlink w:anchor="_Toc334046719" w:history="1">
        <w:r w:rsidR="00AD0AE5" w:rsidRPr="00282605">
          <w:rPr>
            <w:rStyle w:val="Hyperlink"/>
            <w:rFonts w:hint="eastAsia"/>
            <w:rtl/>
          </w:rPr>
          <w:t>المطلب</w:t>
        </w:r>
        <w:r w:rsidR="0043356E">
          <w:rPr>
            <w:rStyle w:val="Hyperlink"/>
            <w:rFonts w:hint="cs"/>
            <w:rtl/>
          </w:rPr>
          <w:t xml:space="preserve"> </w:t>
        </w:r>
        <w:r w:rsidR="00AD0AE5" w:rsidRPr="00282605">
          <w:rPr>
            <w:rStyle w:val="Hyperlink"/>
            <w:rFonts w:hint="eastAsia"/>
            <w:rtl/>
          </w:rPr>
          <w:t>الثالث</w:t>
        </w:r>
        <w:r w:rsidR="00AD0AE5" w:rsidRPr="00282605">
          <w:rPr>
            <w:rStyle w:val="Hyperlink"/>
            <w:rtl/>
          </w:rPr>
          <w:t xml:space="preserve"> : </w:t>
        </w:r>
        <w:r w:rsidR="00AD0AE5" w:rsidRPr="00282605">
          <w:rPr>
            <w:rStyle w:val="Hyperlink"/>
            <w:rFonts w:hint="eastAsia"/>
            <w:rtl/>
          </w:rPr>
          <w:t>تطبيقات</w:t>
        </w:r>
        <w:r w:rsidR="0043356E">
          <w:rPr>
            <w:rStyle w:val="Hyperlink"/>
            <w:rFonts w:hint="cs"/>
            <w:rtl/>
          </w:rPr>
          <w:t xml:space="preserve"> </w:t>
        </w:r>
        <w:r w:rsidR="00AD0AE5" w:rsidRPr="00282605">
          <w:rPr>
            <w:rStyle w:val="Hyperlink"/>
            <w:rFonts w:hint="eastAsia"/>
            <w:rtl/>
          </w:rPr>
          <w:t>الضابط</w:t>
        </w:r>
        <w:r w:rsidR="00AD0AE5">
          <w:rPr>
            <w:webHidden/>
            <w:rtl/>
          </w:rPr>
          <w:tab/>
        </w:r>
        <w:r w:rsidR="00BF16BC">
          <w:rPr>
            <w:rFonts w:hint="cs"/>
            <w:webHidden/>
            <w:rtl/>
          </w:rPr>
          <w:t>589</w:t>
        </w:r>
      </w:hyperlink>
    </w:p>
    <w:p w:rsidR="00AD0AE5" w:rsidRDefault="00AB0B9E" w:rsidP="00BF16BC">
      <w:pPr>
        <w:pStyle w:val="15"/>
        <w:rPr>
          <w:rFonts w:asciiTheme="minorHAnsi" w:eastAsiaTheme="minorEastAsia" w:hAnsiTheme="minorHAnsi" w:cstheme="minorBidi"/>
          <w:b w:val="0"/>
          <w:bCs w:val="0"/>
          <w:color w:val="auto"/>
          <w:sz w:val="22"/>
          <w:szCs w:val="22"/>
          <w:rtl/>
          <w:lang w:val="fr-FR" w:eastAsia="fr-FR"/>
        </w:rPr>
      </w:pPr>
      <w:hyperlink w:anchor="_Toc334046720" w:history="1">
        <w:r w:rsidR="00AD0AE5" w:rsidRPr="00282605">
          <w:rPr>
            <w:rStyle w:val="Hyperlink"/>
            <w:rFonts w:hint="eastAsia"/>
            <w:rtl/>
          </w:rPr>
          <w:t>الخـــاتمــــة</w:t>
        </w:r>
        <w:r w:rsidR="00AD0AE5">
          <w:rPr>
            <w:webHidden/>
            <w:rtl/>
          </w:rPr>
          <w:tab/>
        </w:r>
        <w:r w:rsidR="00BF16BC">
          <w:rPr>
            <w:webHidden/>
          </w:rPr>
          <w:t>591</w:t>
        </w:r>
      </w:hyperlink>
    </w:p>
    <w:p w:rsidR="00AD0AE5" w:rsidRDefault="00AB0B9E" w:rsidP="00BF16BC">
      <w:pPr>
        <w:pStyle w:val="15"/>
        <w:rPr>
          <w:rFonts w:asciiTheme="minorHAnsi" w:eastAsiaTheme="minorEastAsia" w:hAnsiTheme="minorHAnsi" w:cstheme="minorBidi"/>
          <w:b w:val="0"/>
          <w:bCs w:val="0"/>
          <w:color w:val="auto"/>
          <w:sz w:val="22"/>
          <w:szCs w:val="22"/>
          <w:rtl/>
          <w:lang w:val="fr-FR" w:eastAsia="fr-FR"/>
        </w:rPr>
      </w:pPr>
      <w:hyperlink w:anchor="_Toc334046721" w:history="1">
        <w:r w:rsidR="00AD0AE5" w:rsidRPr="00282605">
          <w:rPr>
            <w:rStyle w:val="Hyperlink"/>
            <w:rFonts w:hint="eastAsia"/>
            <w:rtl/>
          </w:rPr>
          <w:t>الفهارس</w:t>
        </w:r>
        <w:r w:rsidR="00AD0AE5">
          <w:rPr>
            <w:webHidden/>
            <w:rtl/>
          </w:rPr>
          <w:tab/>
        </w:r>
        <w:r w:rsidR="00BF16BC">
          <w:rPr>
            <w:rFonts w:hint="cs"/>
            <w:webHidden/>
            <w:rtl/>
          </w:rPr>
          <w:t>596</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22" w:history="1">
        <w:r w:rsidR="00AD0AE5" w:rsidRPr="00282605">
          <w:rPr>
            <w:rStyle w:val="Hyperlink"/>
            <w:rFonts w:hint="eastAsia"/>
            <w:rtl/>
          </w:rPr>
          <w:t>فهرس</w:t>
        </w:r>
        <w:r w:rsidR="003D7972">
          <w:rPr>
            <w:rStyle w:val="Hyperlink"/>
            <w:rFonts w:hint="cs"/>
            <w:rtl/>
          </w:rPr>
          <w:t xml:space="preserve"> </w:t>
        </w:r>
        <w:r w:rsidR="00AD0AE5" w:rsidRPr="00282605">
          <w:rPr>
            <w:rStyle w:val="Hyperlink"/>
            <w:rFonts w:hint="eastAsia"/>
            <w:rtl/>
          </w:rPr>
          <w:t>الآيات</w:t>
        </w:r>
        <w:r w:rsidR="00AD0AE5">
          <w:rPr>
            <w:webHidden/>
            <w:rtl/>
          </w:rPr>
          <w:tab/>
        </w:r>
        <w:r w:rsidR="00BF16BC">
          <w:rPr>
            <w:rFonts w:hint="cs"/>
            <w:webHidden/>
            <w:rtl/>
          </w:rPr>
          <w:t>597</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23" w:history="1">
        <w:r w:rsidR="00AD0AE5" w:rsidRPr="00282605">
          <w:rPr>
            <w:rStyle w:val="Hyperlink"/>
            <w:rFonts w:hint="eastAsia"/>
            <w:rtl/>
          </w:rPr>
          <w:t>فهرس</w:t>
        </w:r>
        <w:r w:rsidR="003D7972">
          <w:rPr>
            <w:rStyle w:val="Hyperlink"/>
            <w:rFonts w:hint="cs"/>
            <w:rtl/>
          </w:rPr>
          <w:t xml:space="preserve"> </w:t>
        </w:r>
        <w:r w:rsidR="00AD0AE5" w:rsidRPr="00282605">
          <w:rPr>
            <w:rStyle w:val="Hyperlink"/>
            <w:rFonts w:hint="eastAsia"/>
            <w:rtl/>
          </w:rPr>
          <w:t>الأحاديث</w:t>
        </w:r>
        <w:r w:rsidR="00AD0AE5">
          <w:rPr>
            <w:webHidden/>
            <w:rtl/>
          </w:rPr>
          <w:tab/>
        </w:r>
        <w:r w:rsidR="00BF16BC">
          <w:rPr>
            <w:rFonts w:hint="cs"/>
            <w:webHidden/>
            <w:rtl/>
          </w:rPr>
          <w:t>607</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24" w:history="1">
        <w:r w:rsidR="00AD0AE5" w:rsidRPr="00282605">
          <w:rPr>
            <w:rStyle w:val="Hyperlink"/>
            <w:rFonts w:hint="eastAsia"/>
            <w:rtl/>
          </w:rPr>
          <w:t>فهرس</w:t>
        </w:r>
        <w:r w:rsidR="0043356E">
          <w:rPr>
            <w:rStyle w:val="Hyperlink"/>
            <w:rFonts w:hint="cs"/>
            <w:rtl/>
          </w:rPr>
          <w:t xml:space="preserve"> </w:t>
        </w:r>
        <w:r w:rsidR="00AD0AE5" w:rsidRPr="00282605">
          <w:rPr>
            <w:rStyle w:val="Hyperlink"/>
            <w:rFonts w:hint="eastAsia"/>
            <w:rtl/>
          </w:rPr>
          <w:t>الآثار</w:t>
        </w:r>
        <w:r w:rsidR="00AD0AE5">
          <w:rPr>
            <w:webHidden/>
            <w:rtl/>
          </w:rPr>
          <w:tab/>
        </w:r>
        <w:r w:rsidR="00BF16BC">
          <w:rPr>
            <w:rFonts w:hint="cs"/>
            <w:webHidden/>
            <w:rtl/>
          </w:rPr>
          <w:t>611</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25" w:history="1">
        <w:r w:rsidR="00AD0AE5" w:rsidRPr="00282605">
          <w:rPr>
            <w:rStyle w:val="Hyperlink"/>
            <w:rFonts w:hint="eastAsia"/>
            <w:rtl/>
          </w:rPr>
          <w:t>فهرس</w:t>
        </w:r>
        <w:r w:rsidR="0043356E">
          <w:rPr>
            <w:rStyle w:val="Hyperlink"/>
            <w:rFonts w:hint="cs"/>
            <w:rtl/>
          </w:rPr>
          <w:t xml:space="preserve"> </w:t>
        </w:r>
        <w:r w:rsidR="00AD0AE5" w:rsidRPr="00282605">
          <w:rPr>
            <w:rStyle w:val="Hyperlink"/>
            <w:rFonts w:hint="eastAsia"/>
            <w:rtl/>
          </w:rPr>
          <w:t>الأعلام</w:t>
        </w:r>
        <w:r w:rsidR="003D7972">
          <w:rPr>
            <w:rStyle w:val="Hyperlink"/>
            <w:rFonts w:hint="cs"/>
            <w:rtl/>
          </w:rPr>
          <w:t xml:space="preserve"> </w:t>
        </w:r>
        <w:r w:rsidR="00AD0AE5" w:rsidRPr="00282605">
          <w:rPr>
            <w:rStyle w:val="Hyperlink"/>
            <w:rFonts w:hint="eastAsia"/>
            <w:rtl/>
          </w:rPr>
          <w:t>المترجم</w:t>
        </w:r>
        <w:r w:rsidR="003D7972">
          <w:rPr>
            <w:rStyle w:val="Hyperlink"/>
            <w:rFonts w:hint="cs"/>
            <w:rtl/>
          </w:rPr>
          <w:t xml:space="preserve"> </w:t>
        </w:r>
        <w:r w:rsidR="00AD0AE5" w:rsidRPr="00282605">
          <w:rPr>
            <w:rStyle w:val="Hyperlink"/>
            <w:rFonts w:hint="eastAsia"/>
            <w:rtl/>
          </w:rPr>
          <w:t>لهم</w:t>
        </w:r>
        <w:r w:rsidR="003D7972">
          <w:rPr>
            <w:rStyle w:val="Hyperlink"/>
            <w:rFonts w:hint="cs"/>
            <w:rtl/>
          </w:rPr>
          <w:t xml:space="preserve"> </w:t>
        </w:r>
        <w:r w:rsidR="00AD0AE5" w:rsidRPr="00282605">
          <w:rPr>
            <w:rStyle w:val="Hyperlink"/>
            <w:rFonts w:hint="eastAsia"/>
            <w:rtl/>
          </w:rPr>
          <w:t>في</w:t>
        </w:r>
        <w:r w:rsidR="003D7972">
          <w:rPr>
            <w:rStyle w:val="Hyperlink"/>
            <w:rFonts w:hint="cs"/>
            <w:rtl/>
          </w:rPr>
          <w:t xml:space="preserve"> </w:t>
        </w:r>
        <w:r w:rsidR="00AD0AE5" w:rsidRPr="00282605">
          <w:rPr>
            <w:rStyle w:val="Hyperlink"/>
            <w:rFonts w:hint="eastAsia"/>
            <w:rtl/>
          </w:rPr>
          <w:t>البحث</w:t>
        </w:r>
        <w:r w:rsidR="00AD0AE5">
          <w:rPr>
            <w:webHidden/>
            <w:rtl/>
          </w:rPr>
          <w:tab/>
        </w:r>
        <w:r w:rsidR="00BF16BC">
          <w:rPr>
            <w:rFonts w:hint="cs"/>
            <w:webHidden/>
            <w:rtl/>
          </w:rPr>
          <w:t>612</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26" w:history="1">
        <w:r w:rsidR="00AD0AE5" w:rsidRPr="00282605">
          <w:rPr>
            <w:rStyle w:val="Hyperlink"/>
            <w:rFonts w:hint="eastAsia"/>
            <w:rtl/>
          </w:rPr>
          <w:t>فهرس</w:t>
        </w:r>
        <w:r w:rsidR="003D7972">
          <w:rPr>
            <w:rStyle w:val="Hyperlink"/>
            <w:rFonts w:hint="cs"/>
            <w:rtl/>
          </w:rPr>
          <w:t xml:space="preserve"> </w:t>
        </w:r>
        <w:r w:rsidR="00AD0AE5" w:rsidRPr="00282605">
          <w:rPr>
            <w:rStyle w:val="Hyperlink"/>
            <w:rFonts w:hint="eastAsia"/>
            <w:rtl/>
          </w:rPr>
          <w:t>المصطلحات</w:t>
        </w:r>
        <w:r w:rsidR="003D7972">
          <w:rPr>
            <w:rStyle w:val="Hyperlink"/>
            <w:rFonts w:hint="cs"/>
            <w:rtl/>
          </w:rPr>
          <w:t xml:space="preserve"> </w:t>
        </w:r>
        <w:r w:rsidR="00AD0AE5" w:rsidRPr="00282605">
          <w:rPr>
            <w:rStyle w:val="Hyperlink"/>
            <w:rFonts w:hint="eastAsia"/>
            <w:rtl/>
          </w:rPr>
          <w:t>العلمية</w:t>
        </w:r>
        <w:r w:rsidR="003D7972">
          <w:rPr>
            <w:rStyle w:val="Hyperlink"/>
            <w:rFonts w:hint="cs"/>
            <w:rtl/>
          </w:rPr>
          <w:t xml:space="preserve"> </w:t>
        </w:r>
        <w:r w:rsidR="00AD0AE5" w:rsidRPr="00282605">
          <w:rPr>
            <w:rStyle w:val="Hyperlink"/>
            <w:rFonts w:hint="eastAsia"/>
            <w:rtl/>
          </w:rPr>
          <w:t>والكلمات</w:t>
        </w:r>
        <w:r w:rsidR="003D7972">
          <w:rPr>
            <w:rStyle w:val="Hyperlink"/>
            <w:rFonts w:hint="cs"/>
            <w:rtl/>
          </w:rPr>
          <w:t xml:space="preserve"> </w:t>
        </w:r>
        <w:r w:rsidR="00AD0AE5" w:rsidRPr="00282605">
          <w:rPr>
            <w:rStyle w:val="Hyperlink"/>
            <w:rFonts w:hint="eastAsia"/>
            <w:rtl/>
          </w:rPr>
          <w:t>الغريبة</w:t>
        </w:r>
        <w:r w:rsidR="00AD0AE5">
          <w:rPr>
            <w:webHidden/>
            <w:rtl/>
          </w:rPr>
          <w:tab/>
        </w:r>
        <w:r w:rsidR="00BF16BC">
          <w:rPr>
            <w:rFonts w:hint="cs"/>
            <w:webHidden/>
            <w:rtl/>
          </w:rPr>
          <w:t>614</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27" w:history="1">
        <w:r w:rsidR="00AD0AE5" w:rsidRPr="00282605">
          <w:rPr>
            <w:rStyle w:val="Hyperlink"/>
            <w:rFonts w:hint="eastAsia"/>
            <w:rtl/>
          </w:rPr>
          <w:t>فهرس</w:t>
        </w:r>
        <w:r w:rsidR="003D7972">
          <w:rPr>
            <w:rStyle w:val="Hyperlink"/>
            <w:rFonts w:hint="cs"/>
            <w:rtl/>
          </w:rPr>
          <w:t xml:space="preserve"> </w:t>
        </w:r>
        <w:r w:rsidR="00AD0AE5" w:rsidRPr="00282605">
          <w:rPr>
            <w:rStyle w:val="Hyperlink"/>
            <w:rFonts w:hint="eastAsia"/>
            <w:rtl/>
          </w:rPr>
          <w:t>القواعد</w:t>
        </w:r>
        <w:r w:rsidR="0043356E">
          <w:rPr>
            <w:rStyle w:val="Hyperlink"/>
            <w:rFonts w:hint="cs"/>
            <w:rtl/>
          </w:rPr>
          <w:t xml:space="preserve"> </w:t>
        </w:r>
        <w:r w:rsidR="00AD0AE5" w:rsidRPr="00282605">
          <w:rPr>
            <w:rStyle w:val="Hyperlink"/>
            <w:rFonts w:hint="eastAsia"/>
            <w:rtl/>
          </w:rPr>
          <w:t>الفقهية</w:t>
        </w:r>
        <w:r w:rsidR="00AD0AE5">
          <w:rPr>
            <w:webHidden/>
            <w:rtl/>
          </w:rPr>
          <w:tab/>
        </w:r>
        <w:r w:rsidR="00BF16BC">
          <w:rPr>
            <w:rFonts w:hint="cs"/>
            <w:webHidden/>
            <w:rtl/>
          </w:rPr>
          <w:t>620</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28" w:history="1">
        <w:r w:rsidR="00AD0AE5" w:rsidRPr="00282605">
          <w:rPr>
            <w:rStyle w:val="Hyperlink"/>
            <w:rFonts w:hint="eastAsia"/>
            <w:rtl/>
          </w:rPr>
          <w:t>فهرس</w:t>
        </w:r>
        <w:r w:rsidR="003D7972">
          <w:rPr>
            <w:rStyle w:val="Hyperlink"/>
            <w:rFonts w:hint="cs"/>
            <w:rtl/>
          </w:rPr>
          <w:t xml:space="preserve"> </w:t>
        </w:r>
        <w:r w:rsidR="00AD0AE5" w:rsidRPr="00282605">
          <w:rPr>
            <w:rStyle w:val="Hyperlink"/>
            <w:rFonts w:hint="eastAsia"/>
            <w:rtl/>
          </w:rPr>
          <w:t>الضوابط</w:t>
        </w:r>
        <w:r w:rsidR="0043356E">
          <w:rPr>
            <w:rStyle w:val="Hyperlink"/>
            <w:rFonts w:hint="cs"/>
            <w:rtl/>
          </w:rPr>
          <w:t xml:space="preserve"> </w:t>
        </w:r>
        <w:r w:rsidR="00AD0AE5" w:rsidRPr="00282605">
          <w:rPr>
            <w:rStyle w:val="Hyperlink"/>
            <w:rFonts w:hint="eastAsia"/>
            <w:rtl/>
          </w:rPr>
          <w:t>الفقهية</w:t>
        </w:r>
        <w:r w:rsidR="00AD0AE5">
          <w:rPr>
            <w:webHidden/>
            <w:rtl/>
          </w:rPr>
          <w:tab/>
        </w:r>
        <w:r w:rsidR="00BF16BC">
          <w:rPr>
            <w:rFonts w:hint="cs"/>
            <w:webHidden/>
            <w:rtl/>
          </w:rPr>
          <w:t>641</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29" w:history="1">
        <w:r w:rsidR="00AD0AE5" w:rsidRPr="00282605">
          <w:rPr>
            <w:rStyle w:val="Hyperlink"/>
            <w:rFonts w:hint="eastAsia"/>
            <w:rtl/>
          </w:rPr>
          <w:t>فهرس</w:t>
        </w:r>
        <w:r w:rsidR="003D7972">
          <w:rPr>
            <w:rStyle w:val="Hyperlink"/>
            <w:rFonts w:hint="cs"/>
            <w:rtl/>
          </w:rPr>
          <w:t xml:space="preserve"> </w:t>
        </w:r>
        <w:r w:rsidR="00AD0AE5" w:rsidRPr="00282605">
          <w:rPr>
            <w:rStyle w:val="Hyperlink"/>
            <w:rFonts w:hint="eastAsia"/>
            <w:rtl/>
          </w:rPr>
          <w:t>المصادر</w:t>
        </w:r>
        <w:r w:rsidR="00395178">
          <w:rPr>
            <w:rStyle w:val="Hyperlink"/>
            <w:rFonts w:hint="cs"/>
            <w:rtl/>
          </w:rPr>
          <w:t xml:space="preserve"> </w:t>
        </w:r>
        <w:r w:rsidR="00AD0AE5" w:rsidRPr="00282605">
          <w:rPr>
            <w:rStyle w:val="Hyperlink"/>
            <w:rFonts w:hint="eastAsia"/>
            <w:rtl/>
          </w:rPr>
          <w:t>والمراجع</w:t>
        </w:r>
        <w:r w:rsidR="00AD0AE5">
          <w:rPr>
            <w:webHidden/>
            <w:rtl/>
          </w:rPr>
          <w:tab/>
        </w:r>
        <w:r w:rsidR="00BF16BC">
          <w:rPr>
            <w:rFonts w:hint="cs"/>
            <w:webHidden/>
            <w:rtl/>
          </w:rPr>
          <w:t>643</w:t>
        </w:r>
      </w:hyperlink>
    </w:p>
    <w:p w:rsidR="00AD0AE5" w:rsidRDefault="00AB0B9E" w:rsidP="00BF16BC">
      <w:pPr>
        <w:pStyle w:val="20"/>
        <w:rPr>
          <w:rFonts w:asciiTheme="minorHAnsi" w:eastAsiaTheme="minorEastAsia" w:hAnsiTheme="minorHAnsi" w:cstheme="minorBidi"/>
          <w:bCs w:val="0"/>
          <w:color w:val="auto"/>
          <w:sz w:val="22"/>
          <w:szCs w:val="22"/>
          <w:rtl/>
          <w:lang w:val="fr-FR" w:eastAsia="fr-FR"/>
        </w:rPr>
      </w:pPr>
      <w:hyperlink w:anchor="_Toc334046730" w:history="1">
        <w:r w:rsidR="00AD0AE5" w:rsidRPr="00282605">
          <w:rPr>
            <w:rStyle w:val="Hyperlink"/>
            <w:rFonts w:hint="eastAsia"/>
            <w:rtl/>
          </w:rPr>
          <w:t>فهرس</w:t>
        </w:r>
        <w:r w:rsidR="003D7972">
          <w:rPr>
            <w:rStyle w:val="Hyperlink"/>
            <w:rFonts w:hint="cs"/>
            <w:rtl/>
            <w:lang w:bidi="ar-DZ"/>
          </w:rPr>
          <w:t xml:space="preserve"> </w:t>
        </w:r>
        <w:r w:rsidR="00AD0AE5" w:rsidRPr="00282605">
          <w:rPr>
            <w:rStyle w:val="Hyperlink"/>
            <w:rFonts w:hint="eastAsia"/>
            <w:rtl/>
            <w:lang w:bidi="ar-DZ"/>
          </w:rPr>
          <w:t>الموضوعات</w:t>
        </w:r>
        <w:r w:rsidR="00AD0AE5">
          <w:rPr>
            <w:webHidden/>
            <w:rtl/>
          </w:rPr>
          <w:tab/>
        </w:r>
        <w:r w:rsidR="00BF16BC">
          <w:rPr>
            <w:rFonts w:hint="cs"/>
            <w:webHidden/>
            <w:rtl/>
          </w:rPr>
          <w:t>672</w:t>
        </w:r>
      </w:hyperlink>
    </w:p>
    <w:p w:rsidR="001673B4" w:rsidRDefault="00AB0B9E" w:rsidP="00597C20">
      <w:pPr>
        <w:ind w:firstLine="0"/>
        <w:rPr>
          <w:rtl/>
        </w:rPr>
      </w:pPr>
      <w:r>
        <w:rPr>
          <w:rtl/>
        </w:rPr>
        <w:fldChar w:fldCharType="end"/>
      </w:r>
    </w:p>
    <w:sectPr w:rsidR="001673B4" w:rsidSect="00B76414">
      <w:footnotePr>
        <w:numRestart w:val="eachPage"/>
      </w:footnotePr>
      <w:pgSz w:w="11906" w:h="16838" w:code="9"/>
      <w:pgMar w:top="1418" w:right="1134" w:bottom="1418" w:left="1418" w:header="567" w:footer="737" w:gutter="567"/>
      <w:cols w:space="708"/>
      <w:titlePg/>
      <w:bidi/>
      <w:rtlGutter/>
      <w:docGrid w:linePitch="49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1D19" w:rsidRDefault="00F31D19" w:rsidP="003841F8">
      <w:r>
        <w:separator/>
      </w:r>
    </w:p>
    <w:p w:rsidR="00F31D19" w:rsidRDefault="00F31D19"/>
  </w:endnote>
  <w:endnote w:type="continuationSeparator" w:id="1">
    <w:p w:rsidR="00F31D19" w:rsidRDefault="00F31D19" w:rsidP="003841F8">
      <w:r>
        <w:continuationSeparator/>
      </w:r>
    </w:p>
    <w:p w:rsidR="00F31D19" w:rsidRDefault="00F31D19"/>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reepy">
    <w:altName w:val="Gabriola"/>
    <w:charset w:val="00"/>
    <w:family w:val="decorative"/>
    <w:pitch w:val="variable"/>
    <w:sig w:usb0="00000001" w:usb1="00000008"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L-Mateen">
    <w:panose1 w:val="00000000000000000000"/>
    <w:charset w:val="B2"/>
    <w:family w:val="auto"/>
    <w:pitch w:val="variable"/>
    <w:sig w:usb0="00002001" w:usb1="00000000" w:usb2="00000000" w:usb3="00000000" w:csb0="00000040" w:csb1="00000000"/>
  </w:font>
  <w:font w:name="Old Antic Bold">
    <w:panose1 w:val="02010400000000000000"/>
    <w:charset w:val="B2"/>
    <w:family w:val="auto"/>
    <w:pitch w:val="variable"/>
    <w:sig w:usb0="00002001" w:usb1="80000000" w:usb2="00000008" w:usb3="00000000" w:csb0="00000040" w:csb1="00000000"/>
  </w:font>
  <w:font w:name="Farsi Simple Bold">
    <w:panose1 w:val="02010400000000000000"/>
    <w:charset w:val="B2"/>
    <w:family w:val="auto"/>
    <w:pitch w:val="variable"/>
    <w:sig w:usb0="00002001" w:usb1="80000000" w:usb2="00000008" w:usb3="00000000" w:csb0="0000004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Rekaa">
    <w:panose1 w:val="00000000000000000000"/>
    <w:charset w:val="B2"/>
    <w:family w:val="auto"/>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AL-Bsher">
    <w:panose1 w:val="00000000000000000000"/>
    <w:charset w:val="B2"/>
    <w:family w:val="auto"/>
    <w:pitch w:val="variable"/>
    <w:sig w:usb0="00002001" w:usb1="00000000" w:usb2="00000000" w:usb3="00000000" w:csb0="00000040" w:csb1="00000000"/>
  </w:font>
  <w:font w:name="AF_Diwani">
    <w:panose1 w:val="0000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CTraditional Arabic">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QCF_BSML">
    <w:panose1 w:val="02000400000000000000"/>
    <w:charset w:val="00"/>
    <w:family w:val="auto"/>
    <w:pitch w:val="variable"/>
    <w:sig w:usb0="80002003" w:usb1="90000000" w:usb2="00000008" w:usb3="00000000" w:csb0="80000041" w:csb1="00000000"/>
  </w:font>
  <w:font w:name="QCF_P393">
    <w:panose1 w:val="02000400000000000000"/>
    <w:charset w:val="00"/>
    <w:family w:val="auto"/>
    <w:pitch w:val="variable"/>
    <w:sig w:usb0="80002003" w:usb1="90000000" w:usb2="00000008" w:usb3="00000000" w:csb0="80000041" w:csb1="00000000"/>
  </w:font>
  <w:font w:name="QCF_P020">
    <w:panose1 w:val="02000400000000000000"/>
    <w:charset w:val="00"/>
    <w:family w:val="auto"/>
    <w:pitch w:val="variable"/>
    <w:sig w:usb0="80002003" w:usb1="90000000" w:usb2="00000008" w:usb3="00000000" w:csb0="80000041" w:csb1="00000000"/>
  </w:font>
  <w:font w:name="QCF_P269">
    <w:panose1 w:val="02000400000000000000"/>
    <w:charset w:val="00"/>
    <w:family w:val="auto"/>
    <w:pitch w:val="variable"/>
    <w:sig w:usb0="80002003" w:usb1="90000000" w:usb2="00000008" w:usb3="00000000" w:csb0="80000041" w:csb1="00000000"/>
  </w:font>
  <w:font w:name="QCF_P090">
    <w:panose1 w:val="02000400000000000000"/>
    <w:charset w:val="00"/>
    <w:family w:val="auto"/>
    <w:pitch w:val="variable"/>
    <w:sig w:usb0="80002003" w:usb1="90000000" w:usb2="00000008" w:usb3="00000000" w:csb0="80000041" w:csb1="00000000"/>
  </w:font>
  <w:font w:name="QCF_P232">
    <w:panose1 w:val="02000400000000000000"/>
    <w:charset w:val="00"/>
    <w:family w:val="auto"/>
    <w:pitch w:val="variable"/>
    <w:sig w:usb0="80002003" w:usb1="90000000" w:usb2="00000008" w:usb3="00000000" w:csb0="80000041" w:csb1="00000000"/>
  </w:font>
  <w:font w:name="QCF_P007">
    <w:panose1 w:val="02000400000000000000"/>
    <w:charset w:val="00"/>
    <w:family w:val="auto"/>
    <w:pitch w:val="variable"/>
    <w:sig w:usb0="80002003" w:usb1="90000000" w:usb2="00000008" w:usb3="00000000" w:csb0="80000041" w:csb1="00000000"/>
  </w:font>
  <w:font w:name="QCF_P557">
    <w:panose1 w:val="02000400000000000000"/>
    <w:charset w:val="00"/>
    <w:family w:val="auto"/>
    <w:pitch w:val="variable"/>
    <w:sig w:usb0="80002003" w:usb1="90000000" w:usb2="00000008" w:usb3="00000000" w:csb0="80000041" w:csb1="00000000"/>
  </w:font>
  <w:font w:name="QCF_P028">
    <w:panose1 w:val="02000400000000000000"/>
    <w:charset w:val="00"/>
    <w:family w:val="auto"/>
    <w:pitch w:val="variable"/>
    <w:sig w:usb0="80002003" w:usb1="90000000" w:usb2="00000008" w:usb3="00000000" w:csb0="80000041" w:csb1="00000000"/>
  </w:font>
  <w:font w:name="QCF_P049">
    <w:panose1 w:val="02000400000000000000"/>
    <w:charset w:val="00"/>
    <w:family w:val="auto"/>
    <w:pitch w:val="variable"/>
    <w:sig w:usb0="80002003" w:usb1="90000000" w:usb2="00000008" w:usb3="00000000" w:csb0="80000041" w:csb1="00000000"/>
  </w:font>
  <w:font w:name="QCF_P036">
    <w:panose1 w:val="02000400000000000000"/>
    <w:charset w:val="00"/>
    <w:family w:val="auto"/>
    <w:pitch w:val="variable"/>
    <w:sig w:usb0="80002003" w:usb1="90000000" w:usb2="00000008" w:usb3="00000000" w:csb0="80000041" w:csb1="00000000"/>
  </w:font>
  <w:font w:name="QCF_P047">
    <w:panose1 w:val="02000400000000000000"/>
    <w:charset w:val="00"/>
    <w:family w:val="auto"/>
    <w:pitch w:val="variable"/>
    <w:sig w:usb0="80002003" w:usb1="90000000" w:usb2="00000008" w:usb3="00000000" w:csb0="80000041" w:csb1="00000000"/>
  </w:font>
  <w:font w:name="QCF_P005">
    <w:panose1 w:val="02000400000000000000"/>
    <w:charset w:val="00"/>
    <w:family w:val="auto"/>
    <w:pitch w:val="variable"/>
    <w:sig w:usb0="80002003" w:usb1="90000000" w:usb2="00000008" w:usb3="00000000" w:csb0="80000041" w:csb1="00000000"/>
  </w:font>
  <w:font w:name="QCF_P143">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QCF_P283">
    <w:panose1 w:val="02000400000000000000"/>
    <w:charset w:val="00"/>
    <w:family w:val="auto"/>
    <w:pitch w:val="variable"/>
    <w:sig w:usb0="80002003" w:usb1="90000000" w:usb2="00000008" w:usb3="00000000" w:csb0="80000041" w:csb1="00000000"/>
  </w:font>
  <w:font w:name="QCF_P123">
    <w:panose1 w:val="02000400000000000000"/>
    <w:charset w:val="00"/>
    <w:family w:val="auto"/>
    <w:pitch w:val="variable"/>
    <w:sig w:usb0="80002003" w:usb1="90000000" w:usb2="00000008" w:usb3="00000000" w:csb0="80000041" w:csb1="00000000"/>
  </w:font>
  <w:font w:name="QCF_P034">
    <w:panose1 w:val="02000400000000000000"/>
    <w:charset w:val="00"/>
    <w:family w:val="auto"/>
    <w:pitch w:val="variable"/>
    <w:sig w:usb0="80002003" w:usb1="90000000" w:usb2="00000008" w:usb3="00000000" w:csb0="80000041" w:csb1="00000000"/>
  </w:font>
  <w:font w:name="QCF_P301">
    <w:panose1 w:val="02000400000000000000"/>
    <w:charset w:val="00"/>
    <w:family w:val="auto"/>
    <w:pitch w:val="variable"/>
    <w:sig w:usb0="80002003" w:usb1="90000000" w:usb2="00000008" w:usb3="00000000" w:csb0="80000041" w:csb1="00000000"/>
  </w:font>
  <w:font w:name="QCF_P302">
    <w:panose1 w:val="02000400000000000000"/>
    <w:charset w:val="00"/>
    <w:family w:val="auto"/>
    <w:pitch w:val="variable"/>
    <w:sig w:usb0="80002003" w:usb1="90000000" w:usb2="00000008" w:usb3="00000000" w:csb0="80000041" w:csb1="00000000"/>
  </w:font>
  <w:font w:name="QCF_P141">
    <w:panose1 w:val="02000400000000000000"/>
    <w:charset w:val="00"/>
    <w:family w:val="auto"/>
    <w:pitch w:val="variable"/>
    <w:sig w:usb0="80002003" w:usb1="90000000" w:usb2="00000008" w:usb3="00000000" w:csb0="80000041" w:csb1="00000000"/>
  </w:font>
  <w:font w:name="QCF_P201">
    <w:panose1 w:val="02000400000000000000"/>
    <w:charset w:val="00"/>
    <w:family w:val="auto"/>
    <w:pitch w:val="variable"/>
    <w:sig w:usb0="80002003" w:usb1="90000000" w:usb2="00000008" w:usb3="00000000" w:csb0="80000041" w:csb1="00000000"/>
  </w:font>
  <w:font w:name="QCF_P080">
    <w:panose1 w:val="02000400000000000000"/>
    <w:charset w:val="00"/>
    <w:family w:val="auto"/>
    <w:pitch w:val="variable"/>
    <w:sig w:usb0="80002003" w:usb1="90000000" w:usb2="00000008" w:usb3="00000000" w:csb0="80000041" w:csb1="00000000"/>
  </w:font>
  <w:font w:name="QCF_P027">
    <w:panose1 w:val="02000400000000000000"/>
    <w:charset w:val="00"/>
    <w:family w:val="auto"/>
    <w:pitch w:val="variable"/>
    <w:sig w:usb0="80002003" w:usb1="90000000" w:usb2="00000008" w:usb3="00000000" w:csb0="80000041" w:csb1="00000000"/>
  </w:font>
  <w:font w:name="QCF_P037">
    <w:panose1 w:val="02000400000000000000"/>
    <w:charset w:val="00"/>
    <w:family w:val="auto"/>
    <w:pitch w:val="variable"/>
    <w:sig w:usb0="80002003" w:usb1="90000000" w:usb2="00000008" w:usb3="00000000" w:csb0="80000041" w:csb1="00000000"/>
  </w:font>
  <w:font w:name="QCF_P106">
    <w:panose1 w:val="02000400000000000000"/>
    <w:charset w:val="00"/>
    <w:family w:val="auto"/>
    <w:pitch w:val="variable"/>
    <w:sig w:usb0="80002003" w:usb1="90000000" w:usb2="00000008" w:usb3="00000000" w:csb0="80000041" w:csb1="00000000"/>
  </w:font>
  <w:font w:name="QCF_P029">
    <w:panose1 w:val="02000400000000000000"/>
    <w:charset w:val="00"/>
    <w:family w:val="auto"/>
    <w:pitch w:val="variable"/>
    <w:sig w:usb0="80002003" w:usb1="90000000" w:usb2="00000008" w:usb3="00000000" w:csb0="80000041" w:csb1="00000000"/>
  </w:font>
  <w:font w:name="QCF_P077">
    <w:panose1 w:val="02000400000000000000"/>
    <w:charset w:val="00"/>
    <w:family w:val="auto"/>
    <w:pitch w:val="variable"/>
    <w:sig w:usb0="80002003" w:usb1="90000000" w:usb2="00000008" w:usb3="00000000" w:csb0="80000041" w:csb1="00000000"/>
  </w:font>
  <w:font w:name="QCF_P087">
    <w:panose1 w:val="02000400000000000000"/>
    <w:charset w:val="00"/>
    <w:family w:val="auto"/>
    <w:pitch w:val="variable"/>
    <w:sig w:usb0="80002003" w:usb1="90000000" w:usb2="00000008" w:usb3="00000000" w:csb0="80000041" w:csb1="00000000"/>
  </w:font>
  <w:font w:name="QCF_P353">
    <w:panose1 w:val="02000400000000000000"/>
    <w:charset w:val="00"/>
    <w:family w:val="auto"/>
    <w:pitch w:val="variable"/>
    <w:sig w:usb0="80002003" w:usb1="90000000" w:usb2="00000008" w:usb3="00000000" w:csb0="80000041" w:csb1="00000000"/>
  </w:font>
  <w:font w:name="QCF_P458">
    <w:panose1 w:val="02000400000000000000"/>
    <w:charset w:val="00"/>
    <w:family w:val="auto"/>
    <w:pitch w:val="variable"/>
    <w:sig w:usb0="80002003" w:usb1="90000000" w:usb2="00000008" w:usb3="00000000" w:csb0="80000041" w:csb1="00000000"/>
  </w:font>
  <w:font w:name="QCF_P485">
    <w:panose1 w:val="02000400000000000000"/>
    <w:charset w:val="00"/>
    <w:family w:val="auto"/>
    <w:pitch w:val="variable"/>
    <w:sig w:usb0="80002003" w:usb1="90000000" w:usb2="00000008" w:usb3="00000000" w:csb0="80000041" w:csb1="00000000"/>
  </w:font>
  <w:font w:name="QCF_P516">
    <w:panose1 w:val="02000400000000000000"/>
    <w:charset w:val="00"/>
    <w:family w:val="auto"/>
    <w:pitch w:val="variable"/>
    <w:sig w:usb0="80002003" w:usb1="90000000" w:usb2="00000008" w:usb3="00000000" w:csb0="80000041" w:csb1="00000000"/>
  </w:font>
  <w:font w:name="QCF_P559">
    <w:panose1 w:val="02000400000000000000"/>
    <w:charset w:val="00"/>
    <w:family w:val="auto"/>
    <w:pitch w:val="variable"/>
    <w:sig w:usb0="80002003" w:usb1="90000000" w:usb2="00000008" w:usb3="00000000" w:csb0="80000041" w:csb1="00000000"/>
  </w:font>
  <w:font w:name="QCF_P533">
    <w:panose1 w:val="02000400000000000000"/>
    <w:charset w:val="00"/>
    <w:family w:val="auto"/>
    <w:pitch w:val="variable"/>
    <w:sig w:usb0="80002003" w:usb1="90000000" w:usb2="00000008" w:usb3="00000000" w:csb0="80000041" w:csb1="00000000"/>
  </w:font>
  <w:font w:name="QCF_P010">
    <w:panose1 w:val="02000400000000000000"/>
    <w:charset w:val="00"/>
    <w:family w:val="auto"/>
    <w:pitch w:val="variable"/>
    <w:sig w:usb0="80002003" w:usb1="90000000" w:usb2="00000008" w:usb3="00000000" w:csb0="80000041" w:csb1="00000000"/>
  </w:font>
  <w:font w:name="QCF_P101">
    <w:panose1 w:val="02000400000000000000"/>
    <w:charset w:val="00"/>
    <w:family w:val="auto"/>
    <w:pitch w:val="variable"/>
    <w:sig w:usb0="80002003" w:usb1="90000000" w:usb2="00000008" w:usb3="00000000" w:csb0="80000041" w:csb1="00000000"/>
  </w:font>
  <w:font w:name="QCF_P565">
    <w:panose1 w:val="02000400000000000000"/>
    <w:charset w:val="00"/>
    <w:family w:val="auto"/>
    <w:pitch w:val="variable"/>
    <w:sig w:usb0="80002003" w:usb1="90000000" w:usb2="00000008" w:usb3="00000000" w:csb0="80000041" w:csb1="00000000"/>
  </w:font>
  <w:font w:name="QCF_P048">
    <w:panose1 w:val="02000400000000000000"/>
    <w:charset w:val="00"/>
    <w:family w:val="auto"/>
    <w:pitch w:val="variable"/>
    <w:sig w:usb0="80002003" w:usb1="90000000" w:usb2="00000008" w:usb3="00000000" w:csb0="80000041" w:csb1="00000000"/>
  </w:font>
  <w:font w:name="QCF_P079">
    <w:panose1 w:val="02000400000000000000"/>
    <w:charset w:val="00"/>
    <w:family w:val="auto"/>
    <w:pitch w:val="variable"/>
    <w:sig w:usb0="80002003" w:usb1="90000000" w:usb2="00000008" w:usb3="00000000" w:csb0="80000041" w:csb1="00000000"/>
  </w:font>
  <w:font w:name="QCF_P083">
    <w:panose1 w:val="02000400000000000000"/>
    <w:charset w:val="00"/>
    <w:family w:val="auto"/>
    <w:pitch w:val="variable"/>
    <w:sig w:usb0="80002003" w:usb1="90000000" w:usb2="00000008" w:usb3="00000000" w:csb0="80000041" w:csb1="00000000"/>
  </w:font>
  <w:font w:name="QCF_P108">
    <w:panose1 w:val="02000400000000000000"/>
    <w:charset w:val="00"/>
    <w:family w:val="auto"/>
    <w:pitch w:val="variable"/>
    <w:sig w:usb0="80002003" w:usb1="90000000" w:usb2="00000008" w:usb3="00000000" w:csb0="80000041" w:csb1="00000000"/>
  </w:font>
  <w:font w:name="QCF_P362">
    <w:panose1 w:val="02000400000000000000"/>
    <w:charset w:val="00"/>
    <w:family w:val="auto"/>
    <w:pitch w:val="variable"/>
    <w:sig w:usb0="80002003" w:usb1="90000000" w:usb2="00000008" w:usb3="00000000" w:csb0="80000041" w:csb1="00000000"/>
  </w:font>
  <w:font w:name="QCF_P124">
    <w:panose1 w:val="02000400000000000000"/>
    <w:charset w:val="00"/>
    <w:family w:val="auto"/>
    <w:pitch w:val="variable"/>
    <w:sig w:usb0="80002003" w:usb1="90000000" w:usb2="00000008" w:usb3="00000000" w:csb0="80000041" w:csb1="00000000"/>
  </w:font>
  <w:font w:name="QCF_P059">
    <w:panose1 w:val="02000400000000000000"/>
    <w:charset w:val="00"/>
    <w:family w:val="auto"/>
    <w:pitch w:val="variable"/>
    <w:sig w:usb0="80002003" w:usb1="90000000" w:usb2="00000008" w:usb3="00000000" w:csb0="80000041" w:csb1="00000000"/>
  </w:font>
  <w:font w:name="QCF_P285">
    <w:panose1 w:val="02000400000000000000"/>
    <w:charset w:val="00"/>
    <w:family w:val="auto"/>
    <w:pitch w:val="variable"/>
    <w:sig w:usb0="80002003" w:usb1="90000000" w:usb2="00000008" w:usb3="00000000" w:csb0="80000041" w:csb1="00000000"/>
  </w:font>
  <w:font w:name="QCF_P058">
    <w:panose1 w:val="02000400000000000000"/>
    <w:charset w:val="00"/>
    <w:family w:val="auto"/>
    <w:pitch w:val="variable"/>
    <w:sig w:usb0="80002003" w:usb1="90000000" w:usb2="00000008" w:usb3="00000000" w:csb0="80000041" w:csb1="00000000"/>
  </w:font>
  <w:font w:name="QCF_P104">
    <w:panose1 w:val="02000400000000000000"/>
    <w:charset w:val="00"/>
    <w:family w:val="auto"/>
    <w:pitch w:val="variable"/>
    <w:sig w:usb0="80002003" w:usb1="90000000" w:usb2="00000008" w:usb3="00000000" w:csb0="80000041" w:csb1="00000000"/>
  </w:font>
  <w:font w:name="QCF_P487">
    <w:panose1 w:val="02000400000000000000"/>
    <w:charset w:val="00"/>
    <w:family w:val="auto"/>
    <w:pitch w:val="variable"/>
    <w:sig w:usb0="80002003" w:usb1="90000000" w:usb2="00000008" w:usb3="00000000" w:csb0="80000041" w:csb1="00000000"/>
  </w:font>
  <w:font w:name="QCF_P346">
    <w:panose1 w:val="02000400000000000000"/>
    <w:charset w:val="00"/>
    <w:family w:val="auto"/>
    <w:pitch w:val="variable"/>
    <w:sig w:usb0="80002003" w:usb1="90000000" w:usb2="00000008" w:usb3="00000000" w:csb0="80000041" w:csb1="00000000"/>
  </w:font>
  <w:font w:name="QCF_P093">
    <w:panose1 w:val="02000400000000000000"/>
    <w:charset w:val="00"/>
    <w:family w:val="auto"/>
    <w:pitch w:val="variable"/>
    <w:sig w:usb0="80002003" w:usb1="90000000" w:usb2="00000008" w:usb3="00000000" w:csb0="80000041" w:csb1="00000000"/>
  </w:font>
  <w:font w:name="QCF_P039">
    <w:panose1 w:val="02000400000000000000"/>
    <w:charset w:val="00"/>
    <w:family w:val="auto"/>
    <w:pitch w:val="variable"/>
    <w:sig w:usb0="80002003" w:usb1="90000000" w:usb2="00000008" w:usb3="00000000" w:csb0="80000041" w:csb1="00000000"/>
  </w:font>
  <w:font w:name="QCF_P082">
    <w:panose1 w:val="02000400000000000000"/>
    <w:charset w:val="00"/>
    <w:family w:val="auto"/>
    <w:pitch w:val="variable"/>
    <w:sig w:usb0="80002003" w:usb1="90000000" w:usb2="00000008" w:usb3="00000000" w:csb0="80000041" w:csb1="00000000"/>
  </w:font>
  <w:font w:name="QCF_P055">
    <w:panose1 w:val="02000400000000000000"/>
    <w:charset w:val="00"/>
    <w:family w:val="auto"/>
    <w:pitch w:val="variable"/>
    <w:sig w:usb0="80002003" w:usb1="90000000" w:usb2="00000008" w:usb3="00000000" w:csb0="80000041" w:csb1="00000000"/>
  </w:font>
  <w:font w:name="QCF_P451">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QCF_P238">
    <w:panose1 w:val="02000400000000000000"/>
    <w:charset w:val="00"/>
    <w:family w:val="auto"/>
    <w:pitch w:val="variable"/>
    <w:sig w:usb0="80002003" w:usb1="90000000" w:usb2="00000008" w:usb3="00000000" w:csb0="80000041" w:csb1="00000000"/>
  </w:font>
  <w:font w:name="QCF_P455">
    <w:panose1 w:val="02000400000000000000"/>
    <w:charset w:val="00"/>
    <w:family w:val="auto"/>
    <w:pitch w:val="variable"/>
    <w:sig w:usb0="80002003" w:usb1="90000000" w:usb2="00000008" w:usb3="00000000" w:csb0="80000041" w:csb1="00000000"/>
  </w:font>
  <w:font w:name="QCF_P517">
    <w:panose1 w:val="02000400000000000000"/>
    <w:charset w:val="00"/>
    <w:family w:val="auto"/>
    <w:pitch w:val="variable"/>
    <w:sig w:usb0="80002003" w:usb1="90000000" w:usb2="00000008" w:usb3="00000000" w:csb0="80000041" w:csb1="00000000"/>
  </w:font>
  <w:font w:name="QCF_P332">
    <w:panose1 w:val="02000400000000000000"/>
    <w:charset w:val="00"/>
    <w:family w:val="auto"/>
    <w:pitch w:val="variable"/>
    <w:sig w:usb0="80002003" w:usb1="90000000" w:usb2="00000008" w:usb3="00000000" w:csb0="80000041" w:csb1="00000000"/>
  </w:font>
  <w:font w:name="QCF_P192">
    <w:panose1 w:val="02000400000000000000"/>
    <w:charset w:val="00"/>
    <w:family w:val="auto"/>
    <w:pitch w:val="variable"/>
    <w:sig w:usb0="80002003" w:usb1="90000000" w:usb2="00000008" w:usb3="00000000" w:csb0="80000041" w:csb1="00000000"/>
  </w:font>
  <w:font w:name="QCF_P103">
    <w:panose1 w:val="02000400000000000000"/>
    <w:charset w:val="00"/>
    <w:family w:val="auto"/>
    <w:pitch w:val="variable"/>
    <w:sig w:usb0="80002003" w:usb1="90000000" w:usb2="00000008" w:usb3="00000000" w:csb0="80000041" w:csb1="00000000"/>
  </w:font>
  <w:font w:name="QCF_P078">
    <w:panose1 w:val="02000400000000000000"/>
    <w:charset w:val="00"/>
    <w:family w:val="auto"/>
    <w:pitch w:val="variable"/>
    <w:sig w:usb0="80002003" w:usb1="90000000" w:usb2="00000008" w:usb3="00000000" w:csb0="80000041" w:csb1="00000000"/>
  </w:font>
  <w:font w:name="QCF_P149">
    <w:panose1 w:val="02000400000000000000"/>
    <w:charset w:val="00"/>
    <w:family w:val="auto"/>
    <w:pitch w:val="variable"/>
    <w:sig w:usb0="80002003" w:usb1="90000000" w:usb2="00000008" w:usb3="00000000" w:csb0="80000041" w:csb1="00000000"/>
  </w:font>
  <w:font w:name="QCF_P030">
    <w:panose1 w:val="02000400000000000000"/>
    <w:charset w:val="00"/>
    <w:family w:val="auto"/>
    <w:pitch w:val="variable"/>
    <w:sig w:usb0="80002003" w:usb1="90000000" w:usb2="00000008" w:usb3="00000000" w:csb0="80000041" w:csb1="00000000"/>
  </w:font>
  <w:font w:name="QCF_P085">
    <w:panose1 w:val="02000400000000000000"/>
    <w:charset w:val="00"/>
    <w:family w:val="auto"/>
    <w:pitch w:val="variable"/>
    <w:sig w:usb0="80002003" w:usb1="90000000" w:usb2="00000008" w:usb3="00000000" w:csb0="80000041" w:csb1="00000000"/>
  </w:font>
  <w:font w:name="QCF_P094">
    <w:panose1 w:val="02000400000000000000"/>
    <w:charset w:val="00"/>
    <w:family w:val="auto"/>
    <w:pitch w:val="variable"/>
    <w:sig w:usb0="80002003" w:usb1="90000000" w:usb2="00000008" w:usb3="00000000" w:csb0="80000041" w:csb1="00000000"/>
  </w:font>
  <w:font w:name="QCF_P304">
    <w:panose1 w:val="02000400000000000000"/>
    <w:charset w:val="00"/>
    <w:family w:val="auto"/>
    <w:pitch w:val="variable"/>
    <w:sig w:usb0="80002003" w:usb1="90000000" w:usb2="00000008" w:usb3="00000000" w:csb0="80000041" w:csb1="00000000"/>
  </w:font>
  <w:font w:name="QCF_P095">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341">
    <w:panose1 w:val="02000400000000000000"/>
    <w:charset w:val="00"/>
    <w:family w:val="auto"/>
    <w:pitch w:val="variable"/>
    <w:sig w:usb0="80002003" w:usb1="90000000" w:usb2="00000008" w:usb3="00000000" w:csb0="80000041" w:csb1="00000000"/>
  </w:font>
  <w:font w:name="QCF_P223">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6"/>
        <w:szCs w:val="26"/>
        <w:rtl/>
      </w:rPr>
      <w:id w:val="16250175"/>
      <w:docPartObj>
        <w:docPartGallery w:val="Page Numbers (Bottom of Page)"/>
        <w:docPartUnique/>
      </w:docPartObj>
    </w:sdtPr>
    <w:sdtContent>
      <w:p w:rsidR="000D3D21" w:rsidRPr="00151933" w:rsidRDefault="000D3D21" w:rsidP="00AB3AC1">
        <w:pPr>
          <w:pStyle w:val="af0"/>
          <w:pBdr>
            <w:top w:val="thinThickSmallGap" w:sz="24" w:space="1" w:color="auto"/>
          </w:pBdr>
          <w:tabs>
            <w:tab w:val="clear" w:pos="4153"/>
            <w:tab w:val="clear" w:pos="8306"/>
            <w:tab w:val="right" w:pos="8787"/>
          </w:tabs>
          <w:bidi/>
          <w:jc w:val="left"/>
          <w:rPr>
            <w:sz w:val="26"/>
            <w:szCs w:val="26"/>
            <w:rtl/>
          </w:rPr>
        </w:pPr>
        <w:r w:rsidRPr="00AB3AC1">
          <w:rPr>
            <w:sz w:val="26"/>
            <w:szCs w:val="26"/>
            <w:rtl/>
          </w:rPr>
          <w:t>القواعد والضوابط الفقهية عند الشيخ ابن العثيمين –</w:t>
        </w:r>
        <w:r w:rsidRPr="00AB3AC1">
          <w:rPr>
            <w:rFonts w:cs="CTraditional Arabic" w:hint="cs"/>
            <w:sz w:val="28"/>
            <w:szCs w:val="28"/>
            <w:rtl/>
          </w:rPr>
          <w:t>/</w:t>
        </w:r>
        <w:r w:rsidRPr="00AB3AC1">
          <w:rPr>
            <w:sz w:val="26"/>
            <w:szCs w:val="26"/>
            <w:rtl/>
          </w:rPr>
          <w:t xml:space="preserve">- في المعاملات من الشرح الممتع، جمعا ودراسة </w:t>
        </w:r>
        <w:r w:rsidR="00AB0B9E" w:rsidRPr="00AB0B9E">
          <w:rPr>
            <w:sz w:val="26"/>
            <w:szCs w:val="26"/>
            <w:rtl/>
            <w:lang w:val="fr-FR" w:eastAsia="fr-FR"/>
          </w:rPr>
          <w:pict>
            <v:shape id="Étoile à 10 branches 2" o:spid="_x0000_s2049" style="position:absolute;left:0;text-align:left;margin-left:-19.95pt;margin-top:-17.95pt;width:65pt;height:38.6pt;z-index:251661312;visibility:visible;mso-position-horizontal-relative:text;mso-position-vertical-relative:text;mso-width-relative:margin;mso-height-relative:margin;v-text-anchor:middle" coordsize="825190,4900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" adj="-11796480,,5400" path="m-1,169313l114035,122514,157596,46796r140958,-2l412595,,526636,46794r140958,2l711155,122514r114036,46799l781634,245033r43557,75720l711155,367552r-43561,75718l526636,443272,412595,490066,298554,443272r-140958,-2l114035,367552,-1,320753,43556,245033,-1,169313xe" fillcolor="white [3212]" strokecolor="black [3213]" strokeweight="1.75pt">
              <v:stroke linestyle="thinThin" joinstyle="miter"/>
              <v:shadow on="t" color="black" opacity="26214f" origin="-.5,-.5" offset=".74836mm,.74836mm"/>
              <v:formulas/>
              <v:path arrowok="t" o:connecttype="custom" o:connectlocs="-1,169313;114035,122514;157596,46796;298554,46794;412595,0;526636,46794;667594,46796;711155,122514;825191,169313;781634,245033;825191,320753;711155,367552;667594,443270;526636,443272;412595,490066;298554,443272;157596,443270;114035,367552;-1,320753;43556,245033;-1,169313" o:connectangles="0,0,0,0,0,0,0,0,0,0,0,0,0,0,0,0,0,0,0,0,0" textboxrect="0,0,825190,490066"/>
              <v:textbox style="mso-next-textbox:#Étoile à 10 branches 2" inset="0,0,0,0">
                <w:txbxContent>
                  <w:p w:rsidR="000D3D21" w:rsidRDefault="00AB0B9E" w:rsidP="00D65437">
                    <w:pPr>
                      <w:spacing w:line="192" w:lineRule="auto"/>
                      <w:ind w:firstLine="0"/>
                      <w:jc w:val="center"/>
                    </w:pPr>
                    <w:r w:rsidRPr="00AB0B9E">
                      <w:fldChar w:fldCharType="begin"/>
                    </w:r>
                    <w:r w:rsidR="000D3D21">
                      <w:instrText>PAGE   \* MERGEFORMAT</w:instrText>
                    </w:r>
                    <w:r w:rsidRPr="00AB0B9E">
                      <w:fldChar w:fldCharType="separate"/>
                    </w:r>
                    <w:r w:rsidR="00793945" w:rsidRPr="00793945">
                      <w:rPr>
                        <w:rtl/>
                        <w:lang w:val="fr-FR"/>
                      </w:rPr>
                      <w:t>47</w:t>
                    </w:r>
                    <w:r>
                      <w:rPr>
                        <w:lang w:val="fr-FR"/>
                      </w:rPr>
                      <w:fldChar w:fldCharType="end"/>
                    </w:r>
                  </w:p>
                </w:txbxContent>
              </v:textbox>
            </v:shape>
          </w:pict>
        </w:r>
        <w:r w:rsidRPr="00151933">
          <w:rPr>
            <w:sz w:val="26"/>
            <w:szCs w:val="26"/>
            <w:rtl/>
          </w:rPr>
          <w:tab/>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1" w:rsidRDefault="000D3D21">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1" w:rsidRDefault="000D3D21">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1D19" w:rsidRDefault="00F31D19" w:rsidP="00E4218E">
      <w:pPr>
        <w:ind w:firstLine="0"/>
      </w:pPr>
      <w:r>
        <w:separator/>
      </w:r>
    </w:p>
  </w:footnote>
  <w:footnote w:type="continuationSeparator" w:id="1">
    <w:p w:rsidR="00F31D19" w:rsidRDefault="00F31D19" w:rsidP="00D9035A">
      <w:pPr>
        <w:ind w:right="5897" w:firstLine="0"/>
      </w:pPr>
      <w:r>
        <w:continuationSeparator/>
      </w:r>
    </w:p>
  </w:footnote>
  <w:footnote w:type="continuationNotice" w:id="2">
    <w:p w:rsidR="00F31D19" w:rsidRDefault="00F31D19">
      <w:pPr>
        <w:rPr>
          <w:lang w:bidi="ar-DZ"/>
        </w:rPr>
      </w:pPr>
      <w:r>
        <w:rPr>
          <w:rFonts w:hint="cs"/>
          <w:rtl/>
          <w:lang w:bidi="ar-DZ"/>
        </w:rPr>
        <w:t>=</w:t>
      </w:r>
    </w:p>
  </w:footnote>
  <w:footnote w:id="3">
    <w:p w:rsidR="000D3D21" w:rsidRPr="00ED39A4" w:rsidRDefault="000D3D21" w:rsidP="00B276C1">
      <w:pPr>
        <w:pStyle w:val="a7"/>
        <w:rPr>
          <w:rFonts w:ascii="Traditional Arabic" w:hAnsi="Traditional Arabic"/>
          <w:b/>
          <w:bCs/>
          <w:sz w:val="32"/>
          <w:szCs w:val="32"/>
          <w:rtl/>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المجموع المذهب</w:t>
      </w:r>
      <w:r>
        <w:rPr>
          <w:rFonts w:ascii="Traditional Arabic" w:hAnsi="Traditional Arabic" w:hint="cs"/>
          <w:sz w:val="32"/>
          <w:szCs w:val="32"/>
          <w:rtl/>
        </w:rPr>
        <w:t xml:space="preserve"> في قواعد المذهب لصلاح الدين خليل كيكلدي العلائي (1/11)</w:t>
      </w:r>
      <w:r w:rsidRPr="00ED39A4">
        <w:rPr>
          <w:rFonts w:ascii="Traditional Arabic" w:hAnsi="Traditional Arabic"/>
          <w:sz w:val="32"/>
          <w:szCs w:val="32"/>
          <w:rtl/>
        </w:rPr>
        <w:t>.</w:t>
      </w:r>
    </w:p>
  </w:footnote>
  <w:footnote w:id="4">
    <w:p w:rsidR="000D3D21" w:rsidRPr="003E5099" w:rsidRDefault="000D3D21" w:rsidP="00B276C1">
      <w:pPr>
        <w:pStyle w:val="a7"/>
        <w:rPr>
          <w:sz w:val="24"/>
          <w:szCs w:val="24"/>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الفروق </w:t>
      </w:r>
      <w:r>
        <w:rPr>
          <w:rFonts w:ascii="Traditional Arabic" w:hAnsi="Traditional Arabic" w:hint="cs"/>
          <w:sz w:val="32"/>
          <w:szCs w:val="32"/>
          <w:rtl/>
        </w:rPr>
        <w:t>لشهاب الدين أبي العباس أحمد بن إدريس ا</w:t>
      </w:r>
      <w:r>
        <w:rPr>
          <w:rFonts w:ascii="Traditional Arabic" w:hAnsi="Traditional Arabic"/>
          <w:sz w:val="32"/>
          <w:szCs w:val="32"/>
          <w:rtl/>
        </w:rPr>
        <w:t xml:space="preserve">لقرافي </w:t>
      </w:r>
      <w:r>
        <w:rPr>
          <w:rFonts w:ascii="Traditional Arabic" w:hAnsi="Traditional Arabic" w:hint="cs"/>
          <w:sz w:val="32"/>
          <w:szCs w:val="32"/>
          <w:rtl/>
        </w:rPr>
        <w:t>(1/62)</w:t>
      </w:r>
      <w:r w:rsidRPr="00ED39A4">
        <w:rPr>
          <w:rFonts w:ascii="Traditional Arabic" w:hAnsi="Traditional Arabic"/>
          <w:sz w:val="32"/>
          <w:szCs w:val="32"/>
          <w:rtl/>
        </w:rPr>
        <w:t>.</w:t>
      </w:r>
    </w:p>
  </w:footnote>
  <w:footnote w:id="5">
    <w:p w:rsidR="000D3D21" w:rsidRPr="00073E31" w:rsidRDefault="000D3D21">
      <w:pPr>
        <w:pStyle w:val="a7"/>
        <w:rPr>
          <w:rFonts w:ascii="Traditional Arabic" w:hAnsi="Traditional Arabic"/>
          <w:sz w:val="32"/>
          <w:szCs w:val="32"/>
          <w:rtl/>
        </w:rPr>
      </w:pPr>
      <w:r w:rsidRPr="00073E31">
        <w:rPr>
          <w:rStyle w:val="af1"/>
          <w:rFonts w:ascii="Traditional Arabic" w:hAnsi="Traditional Arabic"/>
          <w:sz w:val="32"/>
          <w:szCs w:val="32"/>
          <w:vertAlign w:val="baseline"/>
        </w:rPr>
        <w:footnoteRef/>
      </w:r>
      <w:r w:rsidRPr="00073E31">
        <w:rPr>
          <w:rFonts w:ascii="Traditional Arabic" w:hAnsi="Traditional Arabic"/>
          <w:sz w:val="32"/>
          <w:szCs w:val="32"/>
        </w:rPr>
        <w:t>)</w:t>
      </w:r>
      <w:r w:rsidRPr="00073E31">
        <w:rPr>
          <w:rFonts w:ascii="Traditional Arabic" w:hAnsi="Traditional Arabic"/>
          <w:sz w:val="32"/>
          <w:szCs w:val="32"/>
          <w:rtl/>
        </w:rPr>
        <w:t xml:space="preserve">) </w:t>
      </w:r>
      <w:r>
        <w:rPr>
          <w:rFonts w:ascii="Traditional Arabic" w:hAnsi="Traditional Arabic" w:hint="cs"/>
          <w:sz w:val="32"/>
          <w:szCs w:val="32"/>
          <w:rtl/>
        </w:rPr>
        <w:t>لا يزال الباحث في طور كتابة البحث، ولم تناقش الرسالة بعد.</w:t>
      </w:r>
    </w:p>
  </w:footnote>
  <w:footnote w:id="6">
    <w:p w:rsidR="000D3D21" w:rsidRPr="00E53843" w:rsidRDefault="000D3D21">
      <w:pPr>
        <w:pStyle w:val="a7"/>
        <w:rPr>
          <w:rFonts w:ascii="Traditional Arabic" w:hAnsi="Traditional Arabic"/>
          <w:sz w:val="32"/>
          <w:szCs w:val="32"/>
          <w:rtl/>
        </w:rPr>
      </w:pPr>
      <w:r w:rsidRPr="00E53843">
        <w:rPr>
          <w:rStyle w:val="af1"/>
          <w:rFonts w:ascii="Traditional Arabic" w:hAnsi="Traditional Arabic"/>
          <w:sz w:val="32"/>
          <w:szCs w:val="32"/>
          <w:vertAlign w:val="baseline"/>
        </w:rPr>
        <w:footnoteRef/>
      </w:r>
      <w:r w:rsidRPr="00E53843">
        <w:rPr>
          <w:rFonts w:ascii="Traditional Arabic" w:hAnsi="Traditional Arabic"/>
          <w:sz w:val="32"/>
          <w:szCs w:val="32"/>
        </w:rPr>
        <w:t>)</w:t>
      </w:r>
      <w:r w:rsidRPr="00E53843">
        <w:rPr>
          <w:rFonts w:ascii="Traditional Arabic" w:hAnsi="Traditional Arabic"/>
          <w:sz w:val="32"/>
          <w:szCs w:val="32"/>
          <w:rtl/>
        </w:rPr>
        <w:t xml:space="preserve">) </w:t>
      </w:r>
      <w:r>
        <w:rPr>
          <w:rFonts w:ascii="Traditional Arabic" w:hAnsi="Traditional Arabic" w:hint="cs"/>
          <w:sz w:val="32"/>
          <w:szCs w:val="32"/>
          <w:rtl/>
        </w:rPr>
        <w:t>استفدته من أخينا الباحث تركي الميمان. انظر القواعد والضوابط الفقهية عند الشيخ ابن عثيمين في الشرح الممتع من كتاب العبادات لتركي بن عبد الله بن صالح الميمان (1/12).</w:t>
      </w:r>
    </w:p>
  </w:footnote>
  <w:footnote w:id="7">
    <w:p w:rsidR="000D3D21" w:rsidRPr="007B7D9A" w:rsidRDefault="000D3D21" w:rsidP="006F08E1">
      <w:pPr>
        <w:pStyle w:val="a7"/>
        <w:pageBreakBefore/>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w:t>
      </w:r>
      <w:r>
        <w:rPr>
          <w:rFonts w:ascii="Traditional Arabic" w:hAnsi="Traditional Arabic" w:hint="cs"/>
          <w:sz w:val="32"/>
          <w:szCs w:val="32"/>
          <w:rtl/>
        </w:rPr>
        <w:t xml:space="preserve"> </w:t>
      </w:r>
      <w:r>
        <w:rPr>
          <w:rFonts w:ascii="Traditional Arabic" w:hAnsi="Traditional Arabic"/>
          <w:sz w:val="32"/>
          <w:szCs w:val="32"/>
          <w:rtl/>
        </w:rPr>
        <w:t>ترجمة</w:t>
      </w:r>
      <w:r>
        <w:rPr>
          <w:rFonts w:ascii="Traditional Arabic" w:hAnsi="Traditional Arabic" w:hint="cs"/>
          <w:sz w:val="32"/>
          <w:szCs w:val="32"/>
          <w:rtl/>
        </w:rPr>
        <w:t xml:space="preserve"> </w:t>
      </w:r>
      <w:r>
        <w:rPr>
          <w:rFonts w:ascii="Traditional Arabic" w:hAnsi="Traditional Arabic"/>
          <w:sz w:val="32"/>
          <w:szCs w:val="32"/>
          <w:rtl/>
        </w:rPr>
        <w:t>الشيخ ابن عثيمين</w:t>
      </w:r>
      <w:r>
        <w:rPr>
          <w:rFonts w:ascii="Traditional Arabic" w:hAnsi="Traditional Arabic" w:cs="CTraditional Arabic" w:hint="cs"/>
          <w:rtl/>
        </w:rPr>
        <w:t>/</w:t>
      </w:r>
      <w:r w:rsidRPr="007B7D9A">
        <w:rPr>
          <w:rFonts w:ascii="Traditional Arabic" w:hAnsi="Traditional Arabic"/>
          <w:sz w:val="32"/>
          <w:szCs w:val="32"/>
          <w:rtl/>
        </w:rPr>
        <w:t>في موقعه على "الإنترنت" (</w:t>
      </w:r>
      <w:r w:rsidRPr="007B7D9A">
        <w:rPr>
          <w:rFonts w:ascii="Traditional Arabic" w:hAnsi="Traditional Arabic"/>
          <w:sz w:val="32"/>
          <w:szCs w:val="32"/>
        </w:rPr>
        <w:t>www.binothaimeen.com</w:t>
      </w:r>
      <w:r w:rsidRPr="007B7D9A">
        <w:rPr>
          <w:rFonts w:ascii="Traditional Arabic" w:hAnsi="Traditional Arabic"/>
          <w:sz w:val="32"/>
          <w:szCs w:val="32"/>
          <w:rtl/>
        </w:rPr>
        <w:t xml:space="preserve">)، </w:t>
      </w:r>
      <w:r>
        <w:rPr>
          <w:rFonts w:ascii="Traditional Arabic" w:hAnsi="Traditional Arabic" w:hint="cs"/>
          <w:sz w:val="32"/>
          <w:szCs w:val="32"/>
          <w:rtl/>
        </w:rPr>
        <w:t>و</w:t>
      </w:r>
      <w:r w:rsidRPr="007B7D9A">
        <w:rPr>
          <w:rFonts w:ascii="Traditional Arabic" w:hAnsi="Traditional Arabic"/>
          <w:sz w:val="32"/>
          <w:szCs w:val="32"/>
          <w:rtl/>
        </w:rPr>
        <w:t>الجامع لحياة ا</w:t>
      </w:r>
      <w:r>
        <w:rPr>
          <w:rFonts w:ascii="Traditional Arabic" w:hAnsi="Traditional Arabic"/>
          <w:sz w:val="32"/>
          <w:szCs w:val="32"/>
          <w:rtl/>
        </w:rPr>
        <w:t>لعلَّامة محمد بن صالح العثيمين</w:t>
      </w:r>
      <w:r>
        <w:rPr>
          <w:rFonts w:ascii="Traditional Arabic" w:hAnsi="Traditional Arabic" w:hint="cs"/>
          <w:sz w:val="32"/>
          <w:szCs w:val="32"/>
          <w:rtl/>
        </w:rPr>
        <w:t xml:space="preserve"> ل</w:t>
      </w:r>
      <w:r>
        <w:rPr>
          <w:rFonts w:ascii="Traditional Arabic" w:hAnsi="Traditional Arabic"/>
          <w:sz w:val="32"/>
          <w:szCs w:val="32"/>
          <w:rtl/>
        </w:rPr>
        <w:t>وليد الحسين (10)</w:t>
      </w:r>
      <w:r>
        <w:rPr>
          <w:rFonts w:ascii="Traditional Arabic" w:hAnsi="Traditional Arabic" w:hint="cs"/>
          <w:sz w:val="32"/>
          <w:szCs w:val="32"/>
          <w:rtl/>
        </w:rPr>
        <w:t>.</w:t>
      </w:r>
    </w:p>
  </w:footnote>
  <w:footnote w:id="8">
    <w:p w:rsidR="000D3D21" w:rsidRPr="005473DF" w:rsidRDefault="000D3D21" w:rsidP="006F08E1">
      <w:pPr>
        <w:pStyle w:val="a7"/>
        <w:spacing w:line="440" w:lineRule="exact"/>
        <w:ind w:left="510" w:hanging="510"/>
        <w:jc w:val="lowKashida"/>
        <w:rPr>
          <w:rFonts w:ascii="Lotus Linotype" w:hAnsi="Lotus Linotype" w:cs="Lotus Linotype"/>
          <w:b/>
          <w:bCs/>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w:t>
      </w:r>
      <w:r w:rsidRPr="005F6AF9">
        <w:rPr>
          <w:rFonts w:ascii="Traditional Arabic" w:hAnsi="Traditional Arabic" w:hint="cs"/>
          <w:sz w:val="32"/>
          <w:szCs w:val="32"/>
          <w:rtl/>
        </w:rPr>
        <w:t xml:space="preserve"> </w:t>
      </w:r>
      <w:r w:rsidRPr="007B7D9A">
        <w:rPr>
          <w:rFonts w:ascii="Traditional Arabic" w:hAnsi="Traditional Arabic"/>
          <w:sz w:val="32"/>
          <w:szCs w:val="32"/>
          <w:rtl/>
        </w:rPr>
        <w:t>الجامع لحياة ا</w:t>
      </w:r>
      <w:r>
        <w:rPr>
          <w:rFonts w:ascii="Traditional Arabic" w:hAnsi="Traditional Arabic"/>
          <w:sz w:val="32"/>
          <w:szCs w:val="32"/>
          <w:rtl/>
        </w:rPr>
        <w:t>لعلَّامة محمد بن صالح العثيمين</w:t>
      </w:r>
      <w:r>
        <w:rPr>
          <w:rFonts w:ascii="Traditional Arabic" w:hAnsi="Traditional Arabic" w:hint="cs"/>
          <w:sz w:val="32"/>
          <w:szCs w:val="32"/>
          <w:rtl/>
        </w:rPr>
        <w:t xml:space="preserve"> (10).</w:t>
      </w:r>
      <w:r>
        <w:rPr>
          <w:rFonts w:ascii="Traditional Arabic" w:hAnsi="Traditional Arabic"/>
          <w:sz w:val="32"/>
          <w:szCs w:val="32"/>
          <w:rtl/>
        </w:rPr>
        <w:t xml:space="preserve"> </w:t>
      </w:r>
    </w:p>
  </w:footnote>
  <w:footnote w:id="9">
    <w:p w:rsidR="000D3D21" w:rsidRPr="00D526DE"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6DE">
        <w:rPr>
          <w:rFonts w:ascii="Traditional Arabic" w:hAnsi="Traditional Arabic"/>
          <w:sz w:val="32"/>
          <w:szCs w:val="32"/>
          <w:rtl/>
        </w:rPr>
        <w:t>هو : الشيخ عبدالرحمن</w:t>
      </w:r>
      <w:r>
        <w:rPr>
          <w:rFonts w:ascii="Traditional Arabic" w:hAnsi="Traditional Arabic"/>
          <w:sz w:val="32"/>
          <w:szCs w:val="32"/>
          <w:rtl/>
        </w:rPr>
        <w:t xml:space="preserve"> بن سليمان بن عبدالرحمن آل دامغ</w:t>
      </w:r>
      <w:r w:rsidRPr="00D526DE">
        <w:rPr>
          <w:rFonts w:ascii="Traditional Arabic" w:hAnsi="Traditional Arabic"/>
          <w:sz w:val="32"/>
          <w:szCs w:val="32"/>
          <w:rtl/>
        </w:rPr>
        <w:t xml:space="preserve">، تــولى </w:t>
      </w:r>
      <w:r w:rsidR="004F542F">
        <w:rPr>
          <w:rFonts w:ascii="Traditional Arabic" w:hAnsi="Traditional Arabic" w:hint="cs"/>
          <w:sz w:val="32"/>
          <w:szCs w:val="32"/>
          <w:rtl/>
        </w:rPr>
        <w:t>الإمامة</w:t>
      </w:r>
      <w:r w:rsidRPr="00D526DE">
        <w:rPr>
          <w:rFonts w:ascii="Traditional Arabic" w:hAnsi="Traditional Arabic"/>
          <w:sz w:val="32"/>
          <w:szCs w:val="32"/>
          <w:rtl/>
        </w:rPr>
        <w:t xml:space="preserve"> والأذان في مسجد الخريزة – قرب الجامع الكبير في عنيزة –</w:t>
      </w:r>
      <w:r>
        <w:rPr>
          <w:rFonts w:ascii="Traditional Arabic" w:hAnsi="Traditional Arabic"/>
          <w:sz w:val="32"/>
          <w:szCs w:val="32"/>
          <w:rtl/>
        </w:rPr>
        <w:t xml:space="preserve"> وكان معلماً للقرآن</w:t>
      </w:r>
      <w:r w:rsidRPr="00D526DE">
        <w:rPr>
          <w:rFonts w:ascii="Traditional Arabic" w:hAnsi="Traditional Arabic"/>
          <w:sz w:val="32"/>
          <w:szCs w:val="32"/>
          <w:rtl/>
        </w:rPr>
        <w:t>، اش</w:t>
      </w:r>
      <w:r>
        <w:rPr>
          <w:rFonts w:ascii="Traditional Arabic" w:hAnsi="Traditional Arabic"/>
          <w:sz w:val="32"/>
          <w:szCs w:val="32"/>
          <w:rtl/>
        </w:rPr>
        <w:t>تهر بكثرة العبادة والزهد والورع</w:t>
      </w:r>
      <w:r w:rsidRPr="00D526DE">
        <w:rPr>
          <w:rFonts w:ascii="Traditional Arabic" w:hAnsi="Traditional Arabic"/>
          <w:sz w:val="32"/>
          <w:szCs w:val="32"/>
          <w:rtl/>
        </w:rPr>
        <w:t>، وكان</w:t>
      </w:r>
      <w:r>
        <w:rPr>
          <w:rFonts w:ascii="Traditional Arabic" w:hAnsi="Traditional Arabic" w:hint="cs"/>
          <w:sz w:val="32"/>
          <w:szCs w:val="32"/>
          <w:rtl/>
        </w:rPr>
        <w:t xml:space="preserve"> </w:t>
      </w:r>
      <w:r w:rsidRPr="00D526DE">
        <w:rPr>
          <w:rFonts w:ascii="Traditional Arabic" w:hAnsi="Traditional Arabic"/>
          <w:sz w:val="32"/>
          <w:szCs w:val="32"/>
          <w:rtl/>
        </w:rPr>
        <w:t xml:space="preserve">يكتسب رزقه من عمل يده في </w:t>
      </w:r>
      <w:r>
        <w:rPr>
          <w:rFonts w:ascii="Traditional Arabic" w:hAnsi="Traditional Arabic"/>
          <w:sz w:val="32"/>
          <w:szCs w:val="32"/>
          <w:rtl/>
        </w:rPr>
        <w:t>حبك المصاحف والمجلدات من الكتب.توفي سنة 1366هـ</w:t>
      </w:r>
      <w:r w:rsidRPr="00D526DE">
        <w:rPr>
          <w:rFonts w:ascii="Traditional Arabic" w:hAnsi="Traditional Arabic"/>
          <w:sz w:val="32"/>
          <w:szCs w:val="32"/>
          <w:rtl/>
        </w:rPr>
        <w:t>.</w:t>
      </w:r>
      <w:r w:rsidRPr="00D526DE">
        <w:rPr>
          <w:rFonts w:ascii="Traditional Arabic" w:hAnsi="Traditional Arabic"/>
          <w:sz w:val="32"/>
          <w:szCs w:val="32"/>
          <w:rtl/>
        </w:rPr>
        <w:tab/>
      </w:r>
      <w:r>
        <w:rPr>
          <w:rFonts w:ascii="Traditional Arabic" w:hAnsi="Traditional Arabic"/>
          <w:sz w:val="32"/>
          <w:szCs w:val="32"/>
          <w:rtl/>
        </w:rPr>
        <w:t>انظر في ترجمته</w:t>
      </w:r>
      <w:r w:rsidRPr="00D526DE">
        <w:rPr>
          <w:rFonts w:ascii="Traditional Arabic" w:hAnsi="Traditional Arabic"/>
          <w:sz w:val="32"/>
          <w:szCs w:val="32"/>
          <w:rtl/>
        </w:rPr>
        <w:t>: منهج الشيح مح</w:t>
      </w:r>
      <w:r>
        <w:rPr>
          <w:rFonts w:ascii="Traditional Arabic" w:hAnsi="Traditional Arabic"/>
          <w:sz w:val="32"/>
          <w:szCs w:val="32"/>
          <w:rtl/>
        </w:rPr>
        <w:t xml:space="preserve">مد بن عثيمين في الدعوة إلى الله </w:t>
      </w:r>
      <w:r>
        <w:rPr>
          <w:rFonts w:ascii="Traditional Arabic" w:hAnsi="Traditional Arabic" w:hint="cs"/>
          <w:sz w:val="32"/>
          <w:szCs w:val="32"/>
          <w:rtl/>
        </w:rPr>
        <w:t>ل</w:t>
      </w:r>
      <w:r>
        <w:rPr>
          <w:rFonts w:ascii="Traditional Arabic" w:hAnsi="Traditional Arabic"/>
          <w:sz w:val="32"/>
          <w:szCs w:val="32"/>
          <w:rtl/>
        </w:rPr>
        <w:t>عبدالعزيز الروضان (37)</w:t>
      </w:r>
      <w:r>
        <w:rPr>
          <w:rFonts w:ascii="Traditional Arabic" w:hAnsi="Traditional Arabic" w:hint="cs"/>
          <w:sz w:val="32"/>
          <w:szCs w:val="32"/>
          <w:rtl/>
        </w:rPr>
        <w:t xml:space="preserve"> بواسطة القواعد والضوابط الفقهية عند الشيخ ابن عثيمين في الشرح الممتع من كتاب العبادات (1/53-54)</w:t>
      </w:r>
      <w:r w:rsidRPr="00D526DE">
        <w:rPr>
          <w:rFonts w:ascii="Traditional Arabic" w:hAnsi="Traditional Arabic"/>
          <w:sz w:val="32"/>
          <w:szCs w:val="32"/>
          <w:rtl/>
        </w:rPr>
        <w:t>.</w:t>
      </w:r>
    </w:p>
  </w:footnote>
  <w:footnote w:id="10">
    <w:p w:rsidR="000D3D21" w:rsidRPr="00D526DE" w:rsidRDefault="000D3D21" w:rsidP="00793945">
      <w:pPr>
        <w:pStyle w:val="a7"/>
        <w:spacing w:line="440" w:lineRule="exact"/>
        <w:ind w:left="720" w:hanging="72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526DE">
        <w:rPr>
          <w:rFonts w:ascii="Traditional Arabic" w:hAnsi="Traditional Arabic"/>
          <w:sz w:val="32"/>
          <w:szCs w:val="32"/>
          <w:rtl/>
        </w:rPr>
        <w:tab/>
        <w:t>هو : الشيخ عبدالعز</w:t>
      </w:r>
      <w:r>
        <w:rPr>
          <w:rFonts w:ascii="Traditional Arabic" w:hAnsi="Traditional Arabic"/>
          <w:sz w:val="32"/>
          <w:szCs w:val="32"/>
          <w:rtl/>
        </w:rPr>
        <w:t>يز بن صالح بن عبدالعزيز آل دامغ</w:t>
      </w:r>
      <w:r w:rsidRPr="00D526DE">
        <w:rPr>
          <w:rFonts w:ascii="Traditional Arabic" w:hAnsi="Traditional Arabic"/>
          <w:sz w:val="32"/>
          <w:szCs w:val="32"/>
          <w:rtl/>
        </w:rPr>
        <w:t>، كان معلماً للقرآن والحساب ومبادى</w:t>
      </w:r>
      <w:r>
        <w:rPr>
          <w:rFonts w:ascii="Traditional Arabic" w:hAnsi="Traditional Arabic"/>
          <w:sz w:val="32"/>
          <w:szCs w:val="32"/>
          <w:rtl/>
        </w:rPr>
        <w:t>ء اللغة العربية والأدب</w:t>
      </w:r>
      <w:r w:rsidRPr="00D526DE">
        <w:rPr>
          <w:rFonts w:ascii="Traditional Arabic" w:hAnsi="Traditional Arabic"/>
          <w:sz w:val="32"/>
          <w:szCs w:val="32"/>
          <w:rtl/>
        </w:rPr>
        <w:t>، وعُيّن مدرساً للمدرسة النظامية في</w:t>
      </w:r>
      <w:r>
        <w:rPr>
          <w:rFonts w:ascii="Traditional Arabic" w:hAnsi="Traditional Arabic"/>
          <w:sz w:val="32"/>
          <w:szCs w:val="32"/>
          <w:rtl/>
        </w:rPr>
        <w:t xml:space="preserve"> مدرسة الملك عبدالعزيز في عنيزة</w:t>
      </w:r>
      <w:r w:rsidRPr="00D526DE">
        <w:rPr>
          <w:rFonts w:ascii="Traditional Arabic" w:hAnsi="Traditional Arabic"/>
          <w:sz w:val="32"/>
          <w:szCs w:val="32"/>
          <w:rtl/>
        </w:rPr>
        <w:t>، وكان ينوب عن والده في</w:t>
      </w:r>
      <w:r>
        <w:rPr>
          <w:rFonts w:ascii="Traditional Arabic" w:hAnsi="Traditional Arabic"/>
          <w:sz w:val="32"/>
          <w:szCs w:val="32"/>
          <w:rtl/>
        </w:rPr>
        <w:t xml:space="preserve"> </w:t>
      </w:r>
      <w:r w:rsidR="00793945">
        <w:rPr>
          <w:rFonts w:ascii="Traditional Arabic" w:hAnsi="Traditional Arabic" w:hint="cs"/>
          <w:sz w:val="32"/>
          <w:szCs w:val="32"/>
          <w:rtl/>
        </w:rPr>
        <w:t>إمام</w:t>
      </w:r>
      <w:r>
        <w:rPr>
          <w:rFonts w:ascii="Traditional Arabic" w:hAnsi="Traditional Arabic"/>
          <w:sz w:val="32"/>
          <w:szCs w:val="32"/>
          <w:rtl/>
        </w:rPr>
        <w:t>ة في مسجد الهفّوف بعنيزة. توفي سنة 1429هـ.</w:t>
      </w:r>
      <w:r>
        <w:rPr>
          <w:rFonts w:ascii="Traditional Arabic" w:hAnsi="Traditional Arabic" w:hint="cs"/>
          <w:sz w:val="32"/>
          <w:szCs w:val="32"/>
          <w:rtl/>
        </w:rPr>
        <w:t xml:space="preserve"> نقل هذه الترجمة الباحث تركي الميمان مشافهة عن الشيخ عبد الرحمن العثيمين أخو الشيخ العثيمين</w:t>
      </w:r>
      <w:r w:rsidRPr="00D526DE">
        <w:rPr>
          <w:rFonts w:ascii="Traditional Arabic" w:hAnsi="Traditional Arabic"/>
          <w:sz w:val="32"/>
          <w:szCs w:val="32"/>
          <w:rtl/>
        </w:rPr>
        <w:t>.</w:t>
      </w:r>
      <w:r>
        <w:rPr>
          <w:rFonts w:ascii="Traditional Arabic" w:hAnsi="Traditional Arabic" w:hint="cs"/>
          <w:sz w:val="32"/>
          <w:szCs w:val="32"/>
          <w:rtl/>
        </w:rPr>
        <w:t xml:space="preserve"> انظر المرجع السابق (1/55).</w:t>
      </w:r>
      <w:r w:rsidRPr="00D526DE">
        <w:rPr>
          <w:rFonts w:ascii="Traditional Arabic" w:hAnsi="Traditional Arabic"/>
          <w:sz w:val="32"/>
          <w:szCs w:val="32"/>
          <w:rtl/>
        </w:rPr>
        <w:tab/>
      </w:r>
    </w:p>
  </w:footnote>
  <w:footnote w:id="11">
    <w:p w:rsidR="000D3D21" w:rsidRPr="00D526DE" w:rsidRDefault="000D3D21" w:rsidP="006F08E1">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526DE">
        <w:rPr>
          <w:rFonts w:ascii="Traditional Arabic" w:hAnsi="Traditional Arabic"/>
          <w:sz w:val="32"/>
          <w:szCs w:val="32"/>
          <w:rtl/>
        </w:rPr>
        <w:tab/>
        <w:t>هو : الشيخ علي بن عبدالله بن شحيتان العنزي</w:t>
      </w:r>
      <w:r w:rsidR="00AB0B9E">
        <w:rPr>
          <w:rFonts w:ascii="Traditional Arabic" w:hAnsi="Traditional Arabic"/>
          <w:sz w:val="32"/>
          <w:szCs w:val="32"/>
          <w:rtl/>
        </w:rPr>
        <w:fldChar w:fldCharType="begin"/>
      </w:r>
      <w:r>
        <w:rPr>
          <w:rFonts w:ascii="Traditional Arabic" w:hAnsi="Traditional Arabic"/>
          <w:sz w:val="32"/>
          <w:szCs w:val="32"/>
        </w:rPr>
        <w:instrText>XE "</w:instrText>
      </w:r>
      <w:r w:rsidRPr="0041304C">
        <w:rPr>
          <w:rFonts w:ascii="Traditional Arabic" w:hAnsi="Traditional Arabic"/>
          <w:rtl/>
        </w:rPr>
        <w:instrText>علي بن عبدالله بن شحيتان العنزي</w:instrText>
      </w:r>
      <w:r>
        <w:instrText>"\fa"</w:instrText>
      </w:r>
      <w:r w:rsidR="00AB0B9E">
        <w:rPr>
          <w:rFonts w:ascii="Traditional Arabic" w:hAnsi="Traditional Arabic"/>
          <w:sz w:val="32"/>
          <w:szCs w:val="32"/>
          <w:rtl/>
        </w:rPr>
        <w:fldChar w:fldCharType="end"/>
      </w:r>
      <w:r>
        <w:rPr>
          <w:rFonts w:ascii="Traditional Arabic" w:hAnsi="Traditional Arabic"/>
          <w:sz w:val="32"/>
          <w:szCs w:val="32"/>
          <w:rtl/>
        </w:rPr>
        <w:t>،</w:t>
      </w:r>
      <w:r w:rsidRPr="00D526DE">
        <w:rPr>
          <w:rFonts w:ascii="Traditional Arabic" w:hAnsi="Traditional Arabic"/>
          <w:sz w:val="32"/>
          <w:szCs w:val="32"/>
          <w:rtl/>
        </w:rPr>
        <w:t xml:space="preserve"> كان معلماً للقرآن</w:t>
      </w:r>
      <w:r>
        <w:rPr>
          <w:rFonts w:ascii="Traditional Arabic" w:hAnsi="Traditional Arabic"/>
          <w:sz w:val="32"/>
          <w:szCs w:val="32"/>
          <w:rtl/>
        </w:rPr>
        <w:t>،</w:t>
      </w:r>
      <w:r w:rsidRPr="00D526DE">
        <w:rPr>
          <w:rFonts w:ascii="Traditional Arabic" w:hAnsi="Traditional Arabic"/>
          <w:sz w:val="32"/>
          <w:szCs w:val="32"/>
          <w:rtl/>
        </w:rPr>
        <w:t xml:space="preserve"> حفظ على يديه عدد من المشايخ</w:t>
      </w:r>
      <w:r>
        <w:rPr>
          <w:rFonts w:ascii="Traditional Arabic" w:hAnsi="Traditional Arabic"/>
          <w:sz w:val="32"/>
          <w:szCs w:val="32"/>
          <w:rtl/>
        </w:rPr>
        <w:t>،</w:t>
      </w:r>
      <w:r w:rsidRPr="00D526DE">
        <w:rPr>
          <w:rFonts w:ascii="Traditional Arabic" w:hAnsi="Traditional Arabic"/>
          <w:sz w:val="32"/>
          <w:szCs w:val="32"/>
          <w:rtl/>
        </w:rPr>
        <w:t xml:space="preserve"> أمثال الشيخ : محمد بن عثيمين</w:t>
      </w:r>
      <w:r>
        <w:rPr>
          <w:rFonts w:ascii="Traditional Arabic" w:hAnsi="Traditional Arabic"/>
          <w:sz w:val="32"/>
          <w:szCs w:val="32"/>
          <w:rtl/>
        </w:rPr>
        <w:t>،</w:t>
      </w:r>
      <w:r w:rsidRPr="00D526DE">
        <w:rPr>
          <w:rFonts w:ascii="Traditional Arabic" w:hAnsi="Traditional Arabic"/>
          <w:sz w:val="32"/>
          <w:szCs w:val="32"/>
          <w:rtl/>
        </w:rPr>
        <w:t xml:space="preserve"> والشيخ : عبدالله البسام</w:t>
      </w:r>
      <w:r>
        <w:rPr>
          <w:rFonts w:ascii="Traditional Arabic" w:hAnsi="Traditional Arabic"/>
          <w:sz w:val="32"/>
          <w:szCs w:val="32"/>
          <w:rtl/>
        </w:rPr>
        <w:t>،</w:t>
      </w:r>
      <w:r w:rsidRPr="00D526DE">
        <w:rPr>
          <w:rFonts w:ascii="Traditional Arabic" w:hAnsi="Traditional Arabic"/>
          <w:sz w:val="32"/>
          <w:szCs w:val="32"/>
          <w:rtl/>
        </w:rPr>
        <w:t xml:space="preserve"> وغيرهما</w:t>
      </w:r>
      <w:r>
        <w:rPr>
          <w:rFonts w:ascii="Traditional Arabic" w:hAnsi="Traditional Arabic"/>
          <w:sz w:val="32"/>
          <w:szCs w:val="32"/>
          <w:rtl/>
        </w:rPr>
        <w:t>،</w:t>
      </w:r>
      <w:r w:rsidRPr="00D526DE">
        <w:rPr>
          <w:rFonts w:ascii="Traditional Arabic" w:hAnsi="Traditional Arabic"/>
          <w:sz w:val="32"/>
          <w:szCs w:val="32"/>
          <w:rtl/>
        </w:rPr>
        <w:t xml:space="preserve"> كان إماماً لمسجد الملاح بعنيزة</w:t>
      </w:r>
      <w:r>
        <w:rPr>
          <w:rFonts w:ascii="Traditional Arabic" w:hAnsi="Traditional Arabic"/>
          <w:sz w:val="32"/>
          <w:szCs w:val="32"/>
          <w:rtl/>
        </w:rPr>
        <w:t>،</w:t>
      </w:r>
      <w:r w:rsidRPr="00D526DE">
        <w:rPr>
          <w:rFonts w:ascii="Traditional Arabic" w:hAnsi="Traditional Arabic"/>
          <w:sz w:val="32"/>
          <w:szCs w:val="32"/>
          <w:rtl/>
        </w:rPr>
        <w:t xml:space="preserve"> توفي سنة 1400هـ</w:t>
      </w:r>
      <w:r>
        <w:rPr>
          <w:rFonts w:ascii="Traditional Arabic" w:hAnsi="Traditional Arabic"/>
          <w:sz w:val="32"/>
          <w:szCs w:val="32"/>
          <w:rtl/>
        </w:rPr>
        <w:t xml:space="preserve">. </w:t>
      </w:r>
      <w:r>
        <w:rPr>
          <w:rFonts w:ascii="Traditional Arabic" w:hAnsi="Traditional Arabic" w:hint="cs"/>
          <w:sz w:val="32"/>
          <w:szCs w:val="32"/>
          <w:rtl/>
        </w:rPr>
        <w:t xml:space="preserve">نقل هذه الترجمة الباحث تركي الميمان </w:t>
      </w:r>
      <w:r>
        <w:rPr>
          <w:rFonts w:ascii="Traditional Arabic" w:hAnsi="Traditional Arabic"/>
          <w:sz w:val="32"/>
          <w:szCs w:val="32"/>
          <w:rtl/>
        </w:rPr>
        <w:t xml:space="preserve">مشافهة </w:t>
      </w:r>
      <w:r>
        <w:rPr>
          <w:rFonts w:ascii="Traditional Arabic" w:hAnsi="Traditional Arabic" w:hint="cs"/>
          <w:sz w:val="32"/>
          <w:szCs w:val="32"/>
          <w:rtl/>
        </w:rPr>
        <w:t>ع</w:t>
      </w:r>
      <w:r w:rsidRPr="00D526DE">
        <w:rPr>
          <w:rFonts w:ascii="Traditional Arabic" w:hAnsi="Traditional Arabic"/>
          <w:sz w:val="32"/>
          <w:szCs w:val="32"/>
          <w:rtl/>
        </w:rPr>
        <w:t xml:space="preserve">ن </w:t>
      </w:r>
      <w:r>
        <w:rPr>
          <w:rFonts w:ascii="Traditional Arabic" w:hAnsi="Traditional Arabic"/>
          <w:sz w:val="32"/>
          <w:szCs w:val="32"/>
          <w:rtl/>
        </w:rPr>
        <w:t>حفيد</w:t>
      </w:r>
      <w:r>
        <w:rPr>
          <w:rFonts w:ascii="Traditional Arabic" w:hAnsi="Traditional Arabic" w:hint="cs"/>
          <w:sz w:val="32"/>
          <w:szCs w:val="32"/>
          <w:rtl/>
        </w:rPr>
        <w:t xml:space="preserve"> الشيخ علي</w:t>
      </w:r>
      <w:r>
        <w:rPr>
          <w:rFonts w:ascii="Traditional Arabic" w:hAnsi="Traditional Arabic"/>
          <w:sz w:val="32"/>
          <w:szCs w:val="32"/>
          <w:rtl/>
        </w:rPr>
        <w:t xml:space="preserve"> : أحمد بن سليمان الشحيتان.</w:t>
      </w:r>
      <w:r>
        <w:rPr>
          <w:rFonts w:ascii="Traditional Arabic" w:hAnsi="Traditional Arabic" w:hint="cs"/>
          <w:sz w:val="32"/>
          <w:szCs w:val="32"/>
          <w:rtl/>
        </w:rPr>
        <w:t xml:space="preserve"> انظر المرجع السابق (1/55).</w:t>
      </w:r>
    </w:p>
  </w:footnote>
  <w:footnote w:id="12">
    <w:p w:rsidR="000D3D21" w:rsidRPr="0057048E" w:rsidRDefault="000D3D21" w:rsidP="00C4587C">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7048E">
        <w:rPr>
          <w:rFonts w:ascii="Traditional Arabic" w:hAnsi="Traditional Arabic"/>
          <w:sz w:val="32"/>
          <w:szCs w:val="32"/>
          <w:rtl/>
        </w:rPr>
        <w:tab/>
      </w:r>
      <w:r>
        <w:rPr>
          <w:rFonts w:ascii="Traditional Arabic" w:hAnsi="Traditional Arabic"/>
          <w:sz w:val="32"/>
          <w:szCs w:val="32"/>
          <w:rtl/>
        </w:rPr>
        <w:t>هو</w:t>
      </w:r>
      <w:r w:rsidRPr="0057048E">
        <w:rPr>
          <w:rFonts w:ascii="Traditional Arabic" w:hAnsi="Traditional Arabic"/>
          <w:sz w:val="32"/>
          <w:szCs w:val="32"/>
          <w:rtl/>
        </w:rPr>
        <w:t>: الشيخ عبدالرحمن بن علي بن عبدالعزيز بن عودان</w:t>
      </w:r>
      <w:r w:rsidR="00AB0B9E">
        <w:rPr>
          <w:rFonts w:ascii="Traditional Arabic" w:hAnsi="Traditional Arabic"/>
          <w:sz w:val="32"/>
          <w:szCs w:val="32"/>
          <w:rtl/>
        </w:rPr>
        <w:fldChar w:fldCharType="begin"/>
      </w:r>
      <w:r>
        <w:rPr>
          <w:rFonts w:ascii="Traditional Arabic" w:hAnsi="Traditional Arabic"/>
          <w:sz w:val="32"/>
          <w:szCs w:val="32"/>
        </w:rPr>
        <w:instrText>XE "</w:instrText>
      </w:r>
      <w:r w:rsidRPr="0041304C">
        <w:rPr>
          <w:rFonts w:ascii="Traditional Arabic" w:hAnsi="Traditional Arabic"/>
          <w:rtl/>
        </w:rPr>
        <w:instrText>عبدالرحمن بن علي بن عبدالعزيز بن عودان</w:instrText>
      </w:r>
      <w:r>
        <w:instrText>"\fa"</w:instrText>
      </w:r>
      <w:r w:rsidR="00AB0B9E">
        <w:rPr>
          <w:rFonts w:ascii="Traditional Arabic" w:hAnsi="Traditional Arabic"/>
          <w:sz w:val="32"/>
          <w:szCs w:val="32"/>
          <w:rtl/>
        </w:rPr>
        <w:fldChar w:fldCharType="end"/>
      </w:r>
      <w:r>
        <w:rPr>
          <w:rFonts w:ascii="Traditional Arabic" w:hAnsi="Traditional Arabic"/>
          <w:sz w:val="32"/>
          <w:szCs w:val="32"/>
          <w:rtl/>
        </w:rPr>
        <w:t>،</w:t>
      </w:r>
      <w:r w:rsidRPr="0057048E">
        <w:rPr>
          <w:rFonts w:ascii="Traditional Arabic" w:hAnsi="Traditional Arabic"/>
          <w:sz w:val="32"/>
          <w:szCs w:val="32"/>
          <w:rtl/>
        </w:rPr>
        <w:t xml:space="preserve"> تربى على يد أبيه تربية حسنة</w:t>
      </w:r>
      <w:r>
        <w:rPr>
          <w:rFonts w:ascii="Traditional Arabic" w:hAnsi="Traditional Arabic"/>
          <w:sz w:val="32"/>
          <w:szCs w:val="32"/>
          <w:rtl/>
        </w:rPr>
        <w:t>،</w:t>
      </w:r>
      <w:r w:rsidRPr="0057048E">
        <w:rPr>
          <w:rFonts w:ascii="Traditional Arabic" w:hAnsi="Traditional Arabic"/>
          <w:sz w:val="32"/>
          <w:szCs w:val="32"/>
          <w:rtl/>
        </w:rPr>
        <w:t xml:space="preserve"> وشرع في طلب العلم بهمة عالية</w:t>
      </w:r>
      <w:r>
        <w:rPr>
          <w:rFonts w:ascii="Traditional Arabic" w:hAnsi="Traditional Arabic"/>
          <w:sz w:val="32"/>
          <w:szCs w:val="32"/>
          <w:rtl/>
        </w:rPr>
        <w:t xml:space="preserve">، كان </w:t>
      </w:r>
      <w:r>
        <w:rPr>
          <w:rFonts w:ascii="Traditional Arabic" w:hAnsi="Traditional Arabic" w:hint="cs"/>
          <w:sz w:val="32"/>
          <w:szCs w:val="32"/>
          <w:rtl/>
        </w:rPr>
        <w:t>نبيها، مفرط الذكاء، واسع الاطلاع في فنون عديدة</w:t>
      </w:r>
      <w:r>
        <w:rPr>
          <w:rFonts w:ascii="Traditional Arabic" w:hAnsi="Traditional Arabic"/>
          <w:sz w:val="32"/>
          <w:szCs w:val="32"/>
          <w:rtl/>
        </w:rPr>
        <w:t>.</w:t>
      </w:r>
      <w:r>
        <w:rPr>
          <w:rFonts w:ascii="Traditional Arabic" w:hAnsi="Traditional Arabic" w:hint="cs"/>
          <w:sz w:val="32"/>
          <w:szCs w:val="32"/>
          <w:rtl/>
        </w:rPr>
        <w:t>من أبرز مشايخه: الشيخ سعود بن ناصر، الملقب شويمي، والشيخ إبراهيم بن عبد اللطيف الباهلي، والشيخ سعد بن عتيق.ومن تلاميذه: الشيخ عبد الله البسام، والشيخ محمد العثمان القاضي، والشيخ عبد الله بن عبد العزيز بن عقيل</w:t>
      </w:r>
      <w:r w:rsidRPr="0057048E">
        <w:rPr>
          <w:rFonts w:ascii="Traditional Arabic" w:hAnsi="Traditional Arabic"/>
          <w:sz w:val="32"/>
          <w:szCs w:val="32"/>
          <w:rtl/>
        </w:rPr>
        <w:t xml:space="preserve"> </w:t>
      </w:r>
      <w:r>
        <w:rPr>
          <w:rFonts w:ascii="Traditional Arabic" w:hAnsi="Traditional Arabic" w:hint="cs"/>
          <w:sz w:val="32"/>
          <w:szCs w:val="32"/>
          <w:rtl/>
        </w:rPr>
        <w:t>ولد سنة1314 ه، و</w:t>
      </w:r>
      <w:r w:rsidRPr="0057048E">
        <w:rPr>
          <w:rFonts w:ascii="Traditional Arabic" w:hAnsi="Traditional Arabic"/>
          <w:sz w:val="32"/>
          <w:szCs w:val="32"/>
          <w:rtl/>
        </w:rPr>
        <w:t>توفي سنة 1374هـ</w:t>
      </w:r>
      <w:r>
        <w:rPr>
          <w:rFonts w:ascii="Traditional Arabic" w:hAnsi="Traditional Arabic"/>
          <w:sz w:val="32"/>
          <w:szCs w:val="32"/>
          <w:rtl/>
        </w:rPr>
        <w:t>.</w:t>
      </w:r>
    </w:p>
    <w:p w:rsidR="000D3D21" w:rsidRPr="0057048E" w:rsidRDefault="000D3D21" w:rsidP="00DB6406">
      <w:pPr>
        <w:pStyle w:val="a7"/>
        <w:spacing w:line="440" w:lineRule="exact"/>
        <w:ind w:left="510" w:hanging="510"/>
        <w:jc w:val="lowKashida"/>
        <w:rPr>
          <w:rFonts w:ascii="Traditional Arabic" w:hAnsi="Traditional Arabic"/>
          <w:b/>
          <w:bCs/>
          <w:sz w:val="32"/>
          <w:szCs w:val="32"/>
          <w:rtl/>
        </w:rPr>
      </w:pPr>
      <w:r w:rsidRPr="0057048E">
        <w:rPr>
          <w:rFonts w:ascii="Traditional Arabic" w:hAnsi="Traditional Arabic"/>
          <w:sz w:val="32"/>
          <w:szCs w:val="32"/>
          <w:rtl/>
        </w:rPr>
        <w:tab/>
        <w:t xml:space="preserve">انظر في ترجمته </w:t>
      </w:r>
      <w:r>
        <w:rPr>
          <w:rFonts w:ascii="Traditional Arabic" w:hAnsi="Traditional Arabic"/>
          <w:sz w:val="32"/>
          <w:szCs w:val="32"/>
          <w:rtl/>
        </w:rPr>
        <w:t xml:space="preserve">: علماء نجد خلال ثمانية قرون </w:t>
      </w:r>
      <w:r>
        <w:rPr>
          <w:rFonts w:ascii="Traditional Arabic" w:hAnsi="Traditional Arabic" w:hint="cs"/>
          <w:sz w:val="32"/>
          <w:szCs w:val="32"/>
          <w:rtl/>
        </w:rPr>
        <w:t>لعبد الله ا</w:t>
      </w:r>
      <w:r>
        <w:rPr>
          <w:rFonts w:ascii="Traditional Arabic" w:hAnsi="Traditional Arabic"/>
          <w:sz w:val="32"/>
          <w:szCs w:val="32"/>
          <w:rtl/>
        </w:rPr>
        <w:t>لبسام (3/130)</w:t>
      </w:r>
      <w:r>
        <w:rPr>
          <w:rFonts w:ascii="Traditional Arabic" w:hAnsi="Traditional Arabic" w:hint="cs"/>
          <w:sz w:val="32"/>
          <w:szCs w:val="32"/>
          <w:rtl/>
        </w:rPr>
        <w:t>، و</w:t>
      </w:r>
      <w:r>
        <w:rPr>
          <w:rFonts w:ascii="Traditional Arabic" w:hAnsi="Traditional Arabic"/>
          <w:sz w:val="32"/>
          <w:szCs w:val="32"/>
          <w:rtl/>
        </w:rPr>
        <w:t xml:space="preserve">روضة الناظرين </w:t>
      </w:r>
      <w:r>
        <w:rPr>
          <w:rFonts w:ascii="Traditional Arabic" w:hAnsi="Traditional Arabic" w:hint="cs"/>
          <w:sz w:val="32"/>
          <w:szCs w:val="32"/>
          <w:rtl/>
        </w:rPr>
        <w:t xml:space="preserve"> ومآثر علماء نجد وحوادث السنين لمحمد بن عثمان بن صالح ا</w:t>
      </w:r>
      <w:r>
        <w:rPr>
          <w:rFonts w:ascii="Traditional Arabic" w:hAnsi="Traditional Arabic"/>
          <w:sz w:val="32"/>
          <w:szCs w:val="32"/>
          <w:rtl/>
        </w:rPr>
        <w:t>لقاضي (1/215)</w:t>
      </w:r>
      <w:r w:rsidRPr="0057048E">
        <w:rPr>
          <w:rFonts w:ascii="Traditional Arabic" w:hAnsi="Traditional Arabic"/>
          <w:sz w:val="32"/>
          <w:szCs w:val="32"/>
          <w:rtl/>
        </w:rPr>
        <w:t>.</w:t>
      </w:r>
    </w:p>
  </w:footnote>
  <w:footnote w:id="13">
    <w:p w:rsidR="000D3D21" w:rsidRPr="00EC19C7" w:rsidRDefault="000D3D21" w:rsidP="006F08E1">
      <w:pPr>
        <w:spacing w:line="640" w:lineRule="exact"/>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w:t>
      </w:r>
      <w:r w:rsidRPr="00EC19C7">
        <w:rPr>
          <w:rFonts w:ascii="Traditional Arabic" w:hAnsi="Traditional Arabic"/>
          <w:sz w:val="32"/>
          <w:szCs w:val="32"/>
          <w:rtl/>
        </w:rPr>
        <w:t xml:space="preserve">: الجامع لحياة </w:t>
      </w:r>
      <w:r>
        <w:rPr>
          <w:rFonts w:ascii="Traditional Arabic" w:hAnsi="Traditional Arabic"/>
          <w:sz w:val="32"/>
          <w:szCs w:val="32"/>
          <w:rtl/>
        </w:rPr>
        <w:t>العلَّامة محمد بن صالح العثيمين</w:t>
      </w:r>
      <w:r w:rsidRPr="00EC19C7">
        <w:rPr>
          <w:rFonts w:ascii="Traditional Arabic" w:hAnsi="Traditional Arabic"/>
          <w:sz w:val="32"/>
          <w:szCs w:val="32"/>
          <w:rtl/>
        </w:rPr>
        <w:t xml:space="preserve"> (173 –</w:t>
      </w:r>
      <w:r>
        <w:rPr>
          <w:rFonts w:ascii="Traditional Arabic" w:hAnsi="Traditional Arabic"/>
          <w:sz w:val="32"/>
          <w:szCs w:val="32"/>
          <w:rtl/>
        </w:rPr>
        <w:t xml:space="preserve"> 183)</w:t>
      </w:r>
      <w:r w:rsidRPr="00EC19C7">
        <w:rPr>
          <w:rFonts w:ascii="Traditional Arabic" w:hAnsi="Traditional Arabic"/>
          <w:sz w:val="32"/>
          <w:szCs w:val="32"/>
          <w:rtl/>
        </w:rPr>
        <w:t xml:space="preserve">، </w:t>
      </w:r>
      <w:r>
        <w:rPr>
          <w:rFonts w:ascii="Traditional Arabic" w:hAnsi="Traditional Arabic" w:hint="cs"/>
          <w:sz w:val="32"/>
          <w:szCs w:val="32"/>
          <w:rtl/>
        </w:rPr>
        <w:t>و</w:t>
      </w:r>
      <w:r>
        <w:rPr>
          <w:rFonts w:ascii="Traditional Arabic" w:hAnsi="Traditional Arabic"/>
          <w:sz w:val="32"/>
          <w:szCs w:val="32"/>
          <w:rtl/>
        </w:rPr>
        <w:t>ابن عثيمين  الزاهد</w:t>
      </w:r>
      <w:r>
        <w:rPr>
          <w:rFonts w:ascii="Traditional Arabic" w:hAnsi="Traditional Arabic" w:hint="cs"/>
          <w:sz w:val="32"/>
          <w:szCs w:val="32"/>
          <w:rtl/>
        </w:rPr>
        <w:t xml:space="preserve"> لناصر الزهراني</w:t>
      </w:r>
      <w:r>
        <w:rPr>
          <w:rFonts w:ascii="Traditional Arabic" w:hAnsi="Traditional Arabic"/>
          <w:sz w:val="32"/>
          <w:szCs w:val="32"/>
          <w:rtl/>
        </w:rPr>
        <w:t xml:space="preserve"> (</w:t>
      </w:r>
      <w:r w:rsidRPr="00EC19C7">
        <w:rPr>
          <w:rFonts w:ascii="Traditional Arabic" w:hAnsi="Traditional Arabic"/>
          <w:sz w:val="32"/>
          <w:szCs w:val="32"/>
          <w:rtl/>
        </w:rPr>
        <w:t>561 –</w:t>
      </w:r>
      <w:r>
        <w:rPr>
          <w:rFonts w:ascii="Traditional Arabic" w:hAnsi="Traditional Arabic"/>
          <w:sz w:val="32"/>
          <w:szCs w:val="32"/>
          <w:rtl/>
        </w:rPr>
        <w:t xml:space="preserve"> 563)</w:t>
      </w:r>
      <w:r w:rsidRPr="00EC19C7">
        <w:rPr>
          <w:rFonts w:ascii="Traditional Arabic" w:hAnsi="Traditional Arabic"/>
          <w:sz w:val="32"/>
          <w:szCs w:val="32"/>
          <w:rtl/>
        </w:rPr>
        <w:t xml:space="preserve">. </w:t>
      </w:r>
    </w:p>
    <w:p w:rsidR="000D3D21" w:rsidRPr="00EC19C7" w:rsidRDefault="000D3D21" w:rsidP="006F08E1">
      <w:pPr>
        <w:pStyle w:val="a7"/>
        <w:pageBreakBefore/>
        <w:rPr>
          <w:rFonts w:ascii="Tahoma" w:hAnsi="Tahoma"/>
          <w:b/>
          <w:bCs/>
        </w:rPr>
      </w:pPr>
    </w:p>
  </w:footnote>
  <w:footnote w:id="14">
    <w:p w:rsidR="000D3D21" w:rsidRPr="0057048E"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ابن عثيمين  الزاه</w:t>
      </w:r>
      <w:r>
        <w:rPr>
          <w:rFonts w:ascii="Traditional Arabic" w:hAnsi="Traditional Arabic" w:hint="cs"/>
          <w:sz w:val="32"/>
          <w:szCs w:val="32"/>
          <w:rtl/>
        </w:rPr>
        <w:t>د</w:t>
      </w:r>
      <w:r>
        <w:rPr>
          <w:rFonts w:ascii="Traditional Arabic" w:hAnsi="Traditional Arabic"/>
          <w:sz w:val="32"/>
          <w:szCs w:val="32"/>
          <w:rtl/>
        </w:rPr>
        <w:t xml:space="preserve"> (73)</w:t>
      </w:r>
      <w:r w:rsidRPr="0057048E">
        <w:rPr>
          <w:rFonts w:ascii="Traditional Arabic" w:hAnsi="Traditional Arabic"/>
          <w:sz w:val="32"/>
          <w:szCs w:val="32"/>
          <w:rtl/>
        </w:rPr>
        <w:t xml:space="preserve">. </w:t>
      </w:r>
    </w:p>
  </w:footnote>
  <w:footnote w:id="15">
    <w:p w:rsidR="000D3D21" w:rsidRPr="0057048E"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7048E">
        <w:rPr>
          <w:rFonts w:ascii="Traditional Arabic" w:hAnsi="Traditional Arabic"/>
          <w:sz w:val="32"/>
          <w:szCs w:val="32"/>
          <w:rtl/>
        </w:rPr>
        <w:tab/>
      </w:r>
      <w:r>
        <w:rPr>
          <w:rFonts w:ascii="Traditional Arabic" w:hAnsi="Traditional Arabic"/>
          <w:sz w:val="32"/>
          <w:szCs w:val="32"/>
          <w:rtl/>
        </w:rPr>
        <w:t>ا</w:t>
      </w:r>
      <w:r>
        <w:rPr>
          <w:rFonts w:ascii="Traditional Arabic" w:hAnsi="Traditional Arabic" w:hint="cs"/>
          <w:sz w:val="32"/>
          <w:szCs w:val="32"/>
          <w:rtl/>
        </w:rPr>
        <w:t>لمرجع السابق</w:t>
      </w:r>
      <w:r>
        <w:rPr>
          <w:rFonts w:ascii="Traditional Arabic" w:hAnsi="Traditional Arabic"/>
          <w:sz w:val="32"/>
          <w:szCs w:val="32"/>
          <w:rtl/>
        </w:rPr>
        <w:t xml:space="preserve"> (29)</w:t>
      </w:r>
      <w:r w:rsidRPr="0057048E">
        <w:rPr>
          <w:rFonts w:ascii="Traditional Arabic" w:hAnsi="Traditional Arabic"/>
          <w:sz w:val="32"/>
          <w:szCs w:val="32"/>
          <w:rtl/>
        </w:rPr>
        <w:t>.</w:t>
      </w:r>
    </w:p>
  </w:footnote>
  <w:footnote w:id="16">
    <w:p w:rsidR="000D3D21" w:rsidRPr="005473DF" w:rsidRDefault="000D3D21" w:rsidP="006F08E1">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 xml:space="preserve"> انظر</w:t>
      </w:r>
      <w:r w:rsidRPr="0057048E">
        <w:rPr>
          <w:rFonts w:ascii="Traditional Arabic" w:hAnsi="Traditional Arabic"/>
          <w:sz w:val="32"/>
          <w:szCs w:val="32"/>
          <w:rtl/>
        </w:rPr>
        <w:t xml:space="preserve"> الجامع لحياة ا</w:t>
      </w:r>
      <w:r>
        <w:rPr>
          <w:rFonts w:ascii="Traditional Arabic" w:hAnsi="Traditional Arabic"/>
          <w:sz w:val="32"/>
          <w:szCs w:val="32"/>
          <w:rtl/>
        </w:rPr>
        <w:t>لعلَّامة محمد بن صالح العثيم</w:t>
      </w:r>
      <w:r>
        <w:rPr>
          <w:rFonts w:ascii="Traditional Arabic" w:hAnsi="Traditional Arabic" w:hint="cs"/>
          <w:sz w:val="32"/>
          <w:szCs w:val="32"/>
          <w:rtl/>
        </w:rPr>
        <w:t>ين</w:t>
      </w:r>
      <w:r w:rsidRPr="0057048E">
        <w:rPr>
          <w:rFonts w:ascii="Traditional Arabic" w:hAnsi="Traditional Arabic"/>
          <w:sz w:val="32"/>
          <w:szCs w:val="32"/>
          <w:rtl/>
        </w:rPr>
        <w:t xml:space="preserve"> (48)</w:t>
      </w:r>
      <w:r>
        <w:rPr>
          <w:rFonts w:ascii="Traditional Arabic" w:hAnsi="Traditional Arabic"/>
          <w:sz w:val="32"/>
          <w:szCs w:val="32"/>
          <w:rtl/>
        </w:rPr>
        <w:t>.</w:t>
      </w:r>
    </w:p>
  </w:footnote>
  <w:footnote w:id="17">
    <w:p w:rsidR="000D3D21" w:rsidRPr="005D1FD9" w:rsidRDefault="000D3D21">
      <w:pPr>
        <w:pStyle w:val="a7"/>
        <w:rPr>
          <w:rFonts w:ascii="Traditional Arabic" w:hAnsi="Traditional Arabic"/>
          <w:sz w:val="32"/>
          <w:szCs w:val="32"/>
          <w:rtl/>
        </w:rPr>
      </w:pPr>
      <w:r w:rsidRPr="005D1FD9">
        <w:rPr>
          <w:rStyle w:val="af1"/>
          <w:rFonts w:ascii="Traditional Arabic" w:hAnsi="Traditional Arabic"/>
          <w:sz w:val="32"/>
          <w:szCs w:val="32"/>
          <w:vertAlign w:val="baseline"/>
        </w:rPr>
        <w:footnoteRef/>
      </w:r>
      <w:r w:rsidRPr="005D1FD9">
        <w:rPr>
          <w:rFonts w:ascii="Traditional Arabic" w:hAnsi="Traditional Arabic"/>
          <w:sz w:val="32"/>
          <w:szCs w:val="32"/>
        </w:rPr>
        <w:t>)</w:t>
      </w:r>
      <w:r w:rsidRPr="005D1FD9">
        <w:rPr>
          <w:rFonts w:ascii="Traditional Arabic" w:hAnsi="Traditional Arabic"/>
          <w:sz w:val="32"/>
          <w:szCs w:val="32"/>
          <w:rtl/>
        </w:rPr>
        <w:t xml:space="preserve">) </w:t>
      </w:r>
      <w:r>
        <w:rPr>
          <w:rFonts w:ascii="Traditional Arabic" w:hAnsi="Traditional Arabic" w:hint="cs"/>
          <w:sz w:val="32"/>
          <w:szCs w:val="32"/>
          <w:rtl/>
        </w:rPr>
        <w:t>الجامع لحياة العلامة محمد بن صالح العثيمين (49).</w:t>
      </w:r>
    </w:p>
  </w:footnote>
  <w:footnote w:id="18">
    <w:p w:rsidR="000D3D21" w:rsidRPr="00D526DE" w:rsidRDefault="000D3D21" w:rsidP="003D32C1">
      <w:pPr>
        <w:pStyle w:val="a7"/>
        <w:spacing w:line="440" w:lineRule="exact"/>
        <w:ind w:left="510" w:hanging="510"/>
        <w:jc w:val="lowKashida"/>
        <w:rPr>
          <w:rFonts w:ascii="Traditional Arabic" w:hAnsi="Traditional Arabic"/>
          <w:b/>
          <w:bCs/>
          <w:sz w:val="32"/>
          <w:szCs w:val="32"/>
          <w:rtl/>
        </w:rPr>
      </w:pPr>
      <w:r w:rsidRPr="003D32C1">
        <w:rPr>
          <w:rFonts w:ascii="Traditional Arabic" w:hAnsi="Traditional Arabic"/>
          <w:sz w:val="32"/>
          <w:szCs w:val="32"/>
        </w:rPr>
        <w:footnoteRef/>
      </w:r>
      <w:r w:rsidRPr="003D32C1">
        <w:rPr>
          <w:rFonts w:ascii="Traditional Arabic" w:hAnsi="Traditional Arabic"/>
          <w:sz w:val="32"/>
          <w:szCs w:val="32"/>
        </w:rPr>
        <w:t>)</w:t>
      </w:r>
      <w:r w:rsidRPr="003D32C1">
        <w:rPr>
          <w:rFonts w:ascii="Traditional Arabic" w:hAnsi="Traditional Arabic" w:hint="cs"/>
          <w:sz w:val="32"/>
          <w:szCs w:val="32"/>
          <w:rtl/>
        </w:rPr>
        <w:t>)</w:t>
      </w:r>
      <w:r>
        <w:rPr>
          <w:rtl/>
        </w:rPr>
        <w:t xml:space="preserve"> </w:t>
      </w:r>
      <w:r w:rsidRPr="00D526DE">
        <w:rPr>
          <w:rFonts w:ascii="Traditional Arabic" w:hAnsi="Traditional Arabic"/>
          <w:sz w:val="32"/>
          <w:szCs w:val="32"/>
          <w:rtl/>
        </w:rPr>
        <w:t>هو : الشيخ محمد بن عبدالعزيز بن عبدالله ب</w:t>
      </w:r>
      <w:r>
        <w:rPr>
          <w:rFonts w:ascii="Traditional Arabic" w:hAnsi="Traditional Arabic"/>
          <w:sz w:val="32"/>
          <w:szCs w:val="32"/>
          <w:rtl/>
        </w:rPr>
        <w:t>ن ع</w:t>
      </w:r>
      <w:r>
        <w:rPr>
          <w:rFonts w:ascii="Traditional Arabic" w:hAnsi="Traditional Arabic" w:hint="cs"/>
          <w:sz w:val="32"/>
          <w:szCs w:val="32"/>
          <w:rtl/>
        </w:rPr>
        <w:t>لي المطوع</w:t>
      </w:r>
      <w:r w:rsidR="00AB0B9E">
        <w:rPr>
          <w:rFonts w:ascii="Traditional Arabic" w:hAnsi="Traditional Arabic"/>
          <w:sz w:val="32"/>
          <w:szCs w:val="32"/>
          <w:rtl/>
        </w:rPr>
        <w:fldChar w:fldCharType="begin"/>
      </w:r>
      <w:r>
        <w:rPr>
          <w:rFonts w:ascii="Traditional Arabic" w:hAnsi="Traditional Arabic"/>
          <w:sz w:val="32"/>
          <w:szCs w:val="32"/>
        </w:rPr>
        <w:instrText>XE "</w:instrText>
      </w:r>
      <w:r w:rsidRPr="0041304C">
        <w:rPr>
          <w:rFonts w:ascii="Traditional Arabic" w:hAnsi="Traditional Arabic"/>
          <w:rtl/>
        </w:rPr>
        <w:instrText>محمد بن عبدالعزيز بن عبدالله بن عقيل</w:instrText>
      </w:r>
      <w:r>
        <w:instrText>"\fa"</w:instrText>
      </w:r>
      <w:r w:rsidR="00AB0B9E">
        <w:rPr>
          <w:rFonts w:ascii="Traditional Arabic" w:hAnsi="Traditional Arabic"/>
          <w:sz w:val="32"/>
          <w:szCs w:val="32"/>
          <w:rtl/>
        </w:rPr>
        <w:fldChar w:fldCharType="end"/>
      </w:r>
      <w:r>
        <w:rPr>
          <w:rFonts w:ascii="Traditional Arabic" w:hAnsi="Traditional Arabic"/>
          <w:sz w:val="32"/>
          <w:szCs w:val="32"/>
          <w:rtl/>
        </w:rPr>
        <w:t>،</w:t>
      </w:r>
      <w:r w:rsidRPr="00D526DE">
        <w:rPr>
          <w:rFonts w:ascii="Traditional Arabic" w:hAnsi="Traditional Arabic"/>
          <w:sz w:val="32"/>
          <w:szCs w:val="32"/>
          <w:rtl/>
        </w:rPr>
        <w:t xml:space="preserve"> نشأ في عنيزة</w:t>
      </w:r>
      <w:r>
        <w:rPr>
          <w:rFonts w:ascii="Traditional Arabic" w:hAnsi="Traditional Arabic"/>
          <w:sz w:val="32"/>
          <w:szCs w:val="32"/>
          <w:rtl/>
        </w:rPr>
        <w:t xml:space="preserve">، </w:t>
      </w:r>
      <w:r>
        <w:rPr>
          <w:rFonts w:ascii="Traditional Arabic" w:hAnsi="Traditional Arabic" w:hint="cs"/>
          <w:sz w:val="32"/>
          <w:szCs w:val="32"/>
          <w:rtl/>
        </w:rPr>
        <w:t>وتتلمذ على أيدي علمائها، لاسيما</w:t>
      </w:r>
      <w:r w:rsidRPr="00D526DE">
        <w:rPr>
          <w:rFonts w:ascii="Traditional Arabic" w:hAnsi="Traditional Arabic"/>
          <w:sz w:val="32"/>
          <w:szCs w:val="32"/>
          <w:rtl/>
        </w:rPr>
        <w:t xml:space="preserve"> الشيخ</w:t>
      </w:r>
      <w:r>
        <w:rPr>
          <w:rFonts w:ascii="Traditional Arabic" w:hAnsi="Traditional Arabic" w:hint="cs"/>
          <w:sz w:val="32"/>
          <w:szCs w:val="32"/>
          <w:rtl/>
        </w:rPr>
        <w:t xml:space="preserve"> عبد الرحمن</w:t>
      </w:r>
      <w:r>
        <w:rPr>
          <w:rFonts w:ascii="Traditional Arabic" w:hAnsi="Traditional Arabic"/>
          <w:sz w:val="32"/>
          <w:szCs w:val="32"/>
          <w:rtl/>
        </w:rPr>
        <w:t xml:space="preserve"> السعدي</w:t>
      </w:r>
      <w:r w:rsidRPr="00D526DE">
        <w:rPr>
          <w:rFonts w:ascii="Traditional Arabic" w:hAnsi="Traditional Arabic"/>
          <w:sz w:val="32"/>
          <w:szCs w:val="32"/>
          <w:rtl/>
        </w:rPr>
        <w:t xml:space="preserve">، حيث لازمه ملازمة </w:t>
      </w:r>
      <w:r>
        <w:rPr>
          <w:rFonts w:ascii="Traditional Arabic" w:hAnsi="Traditional Arabic"/>
          <w:sz w:val="32"/>
          <w:szCs w:val="32"/>
          <w:rtl/>
        </w:rPr>
        <w:t xml:space="preserve">طويلة، حتى صار من أكبر تلامذته، </w:t>
      </w:r>
      <w:r>
        <w:rPr>
          <w:rFonts w:ascii="Traditional Arabic" w:hAnsi="Traditional Arabic" w:hint="cs"/>
          <w:sz w:val="32"/>
          <w:szCs w:val="32"/>
          <w:rtl/>
        </w:rPr>
        <w:t>من أبرز أعماله توليه لمنصب القضاء، ومن شيوخه كذلك الشيخ عمر بن محمد بن سليم، والشيخ محمد بن عبد العزيز بن مانع، ومن تلاميذه الشيخ محمد بن صالح العثيمين، والشيخ عبد الله البسام، والشيخ علي المحمد الزامل</w:t>
      </w:r>
      <w:r>
        <w:rPr>
          <w:rFonts w:ascii="Traditional Arabic" w:hAnsi="Traditional Arabic"/>
          <w:sz w:val="32"/>
          <w:szCs w:val="32"/>
          <w:rtl/>
        </w:rPr>
        <w:t>.</w:t>
      </w:r>
      <w:r>
        <w:rPr>
          <w:rFonts w:ascii="Traditional Arabic" w:hAnsi="Traditional Arabic" w:hint="cs"/>
          <w:sz w:val="32"/>
          <w:szCs w:val="32"/>
          <w:rtl/>
        </w:rPr>
        <w:t>ولد سنة1317ه، و</w:t>
      </w:r>
      <w:r>
        <w:rPr>
          <w:rFonts w:ascii="Traditional Arabic" w:hAnsi="Traditional Arabic"/>
          <w:sz w:val="32"/>
          <w:szCs w:val="32"/>
          <w:rtl/>
        </w:rPr>
        <w:t>توفي سنة 1387هـ</w:t>
      </w:r>
      <w:r w:rsidRPr="00D526DE">
        <w:rPr>
          <w:rFonts w:ascii="Traditional Arabic" w:hAnsi="Traditional Arabic"/>
          <w:sz w:val="32"/>
          <w:szCs w:val="32"/>
          <w:rtl/>
        </w:rPr>
        <w:t>.</w:t>
      </w:r>
    </w:p>
    <w:p w:rsidR="000D3D21" w:rsidRDefault="000D3D21" w:rsidP="003D32C1">
      <w:pPr>
        <w:pStyle w:val="a7"/>
        <w:rPr>
          <w:rtl/>
        </w:rPr>
      </w:pPr>
      <w:r>
        <w:rPr>
          <w:rFonts w:ascii="Traditional Arabic" w:hAnsi="Traditional Arabic"/>
          <w:sz w:val="32"/>
          <w:szCs w:val="32"/>
          <w:rtl/>
        </w:rPr>
        <w:tab/>
        <w:t xml:space="preserve">انظر </w:t>
      </w:r>
      <w:r w:rsidRPr="00D526DE">
        <w:rPr>
          <w:rFonts w:ascii="Traditional Arabic" w:hAnsi="Traditional Arabic"/>
          <w:sz w:val="32"/>
          <w:szCs w:val="32"/>
          <w:rtl/>
        </w:rPr>
        <w:t>علماء نجد خ</w:t>
      </w:r>
      <w:r>
        <w:rPr>
          <w:rFonts w:ascii="Traditional Arabic" w:hAnsi="Traditional Arabic"/>
          <w:sz w:val="32"/>
          <w:szCs w:val="32"/>
          <w:rtl/>
        </w:rPr>
        <w:t xml:space="preserve">لال ثمانية قرون، </w:t>
      </w:r>
      <w:r>
        <w:rPr>
          <w:rFonts w:ascii="Traditional Arabic" w:hAnsi="Traditional Arabic" w:hint="cs"/>
          <w:sz w:val="32"/>
          <w:szCs w:val="32"/>
          <w:rtl/>
        </w:rPr>
        <w:t>لعبد الله ا</w:t>
      </w:r>
      <w:r>
        <w:rPr>
          <w:rFonts w:ascii="Traditional Arabic" w:hAnsi="Traditional Arabic"/>
          <w:sz w:val="32"/>
          <w:szCs w:val="32"/>
          <w:rtl/>
        </w:rPr>
        <w:t>لبسام (6/78)</w:t>
      </w:r>
      <w:r>
        <w:rPr>
          <w:rFonts w:ascii="Traditional Arabic" w:hAnsi="Traditional Arabic" w:hint="cs"/>
          <w:sz w:val="32"/>
          <w:szCs w:val="32"/>
          <w:rtl/>
        </w:rPr>
        <w:t>.</w:t>
      </w:r>
    </w:p>
  </w:footnote>
  <w:footnote w:id="19">
    <w:p w:rsidR="000D3D21" w:rsidRPr="0057048E" w:rsidRDefault="000D3D21" w:rsidP="006F08E1">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7048E">
        <w:rPr>
          <w:rFonts w:ascii="Traditional Arabic" w:hAnsi="Traditional Arabic"/>
          <w:sz w:val="32"/>
          <w:szCs w:val="32"/>
          <w:rtl/>
        </w:rPr>
        <w:tab/>
      </w:r>
      <w:r>
        <w:rPr>
          <w:rFonts w:ascii="Traditional Arabic" w:hAnsi="Traditional Arabic"/>
          <w:sz w:val="32"/>
          <w:szCs w:val="32"/>
          <w:rtl/>
        </w:rPr>
        <w:t>هو</w:t>
      </w:r>
      <w:r w:rsidRPr="0057048E">
        <w:rPr>
          <w:rFonts w:ascii="Traditional Arabic" w:hAnsi="Traditional Arabic"/>
          <w:sz w:val="32"/>
          <w:szCs w:val="32"/>
          <w:rtl/>
        </w:rPr>
        <w:t>: الشيخ عبدالعزيز بن ناصر بن عبدالله بن رشيد</w:t>
      </w:r>
      <w:r w:rsidR="00AB0B9E">
        <w:rPr>
          <w:rFonts w:ascii="Traditional Arabic" w:hAnsi="Traditional Arabic"/>
          <w:sz w:val="32"/>
          <w:szCs w:val="32"/>
          <w:rtl/>
        </w:rPr>
        <w:fldChar w:fldCharType="begin"/>
      </w:r>
      <w:r>
        <w:rPr>
          <w:rFonts w:ascii="Traditional Arabic" w:hAnsi="Traditional Arabic"/>
          <w:sz w:val="32"/>
          <w:szCs w:val="32"/>
        </w:rPr>
        <w:instrText>XE "</w:instrText>
      </w:r>
      <w:r w:rsidRPr="0041304C">
        <w:rPr>
          <w:rFonts w:ascii="Traditional Arabic" w:hAnsi="Traditional Arabic"/>
          <w:rtl/>
        </w:rPr>
        <w:instrText>عبدالعزيز بن ناصر بن عبدالله بن رشيد</w:instrText>
      </w:r>
      <w:r>
        <w:instrText>"\fa"</w:instrText>
      </w:r>
      <w:r w:rsidR="00AB0B9E">
        <w:rPr>
          <w:rFonts w:ascii="Traditional Arabic" w:hAnsi="Traditional Arabic"/>
          <w:sz w:val="32"/>
          <w:szCs w:val="32"/>
          <w:rtl/>
        </w:rPr>
        <w:fldChar w:fldCharType="end"/>
      </w:r>
      <w:r>
        <w:rPr>
          <w:rFonts w:ascii="Traditional Arabic" w:hAnsi="Traditional Arabic"/>
          <w:sz w:val="32"/>
          <w:szCs w:val="32"/>
          <w:rtl/>
        </w:rPr>
        <w:t>،</w:t>
      </w:r>
      <w:r w:rsidRPr="0057048E">
        <w:rPr>
          <w:rFonts w:ascii="Traditional Arabic" w:hAnsi="Traditional Arabic"/>
          <w:sz w:val="32"/>
          <w:szCs w:val="32"/>
          <w:rtl/>
        </w:rPr>
        <w:t xml:space="preserve"> نشأ في مدينة الرس بالقصيم</w:t>
      </w:r>
      <w:r>
        <w:rPr>
          <w:rFonts w:ascii="Traditional Arabic" w:hAnsi="Traditional Arabic" w:hint="cs"/>
          <w:sz w:val="32"/>
          <w:szCs w:val="32"/>
          <w:rtl/>
        </w:rPr>
        <w:t xml:space="preserve"> وأخذ مبادئ القراءة والكتابة بها</w:t>
      </w:r>
      <w:r>
        <w:rPr>
          <w:rFonts w:ascii="Traditional Arabic" w:hAnsi="Traditional Arabic"/>
          <w:sz w:val="32"/>
          <w:szCs w:val="32"/>
          <w:rtl/>
        </w:rPr>
        <w:t>،</w:t>
      </w:r>
      <w:r w:rsidRPr="0057048E">
        <w:rPr>
          <w:rFonts w:ascii="Traditional Arabic" w:hAnsi="Traditional Arabic"/>
          <w:sz w:val="32"/>
          <w:szCs w:val="32"/>
          <w:rtl/>
        </w:rPr>
        <w:t xml:space="preserve"> ثم ارتحل إلى الرياض لمواصلة طلب العلم</w:t>
      </w:r>
      <w:r>
        <w:rPr>
          <w:rFonts w:ascii="Traditional Arabic" w:hAnsi="Traditional Arabic"/>
          <w:sz w:val="32"/>
          <w:szCs w:val="32"/>
          <w:rtl/>
        </w:rPr>
        <w:t xml:space="preserve">، </w:t>
      </w:r>
      <w:r>
        <w:rPr>
          <w:rFonts w:ascii="Traditional Arabic" w:hAnsi="Traditional Arabic" w:hint="cs"/>
          <w:sz w:val="32"/>
          <w:szCs w:val="32"/>
          <w:rtl/>
        </w:rPr>
        <w:t>كان واسع الاطلاع في العلوم الشرعية بأنواعها</w:t>
      </w:r>
      <w:r>
        <w:rPr>
          <w:rFonts w:ascii="Traditional Arabic" w:hAnsi="Traditional Arabic"/>
          <w:sz w:val="32"/>
          <w:szCs w:val="32"/>
          <w:rtl/>
        </w:rPr>
        <w:t>،</w:t>
      </w:r>
      <w:r>
        <w:rPr>
          <w:rFonts w:ascii="Traditional Arabic" w:hAnsi="Traditional Arabic" w:hint="cs"/>
          <w:sz w:val="32"/>
          <w:szCs w:val="32"/>
          <w:rtl/>
        </w:rPr>
        <w:t>تولى القضاء، ولما شكلت هيئة التمييز بالرياض عُين رئيسا لها</w:t>
      </w:r>
      <w:r>
        <w:rPr>
          <w:rFonts w:ascii="Traditional Arabic" w:hAnsi="Traditional Arabic"/>
          <w:sz w:val="32"/>
          <w:szCs w:val="32"/>
          <w:rtl/>
        </w:rPr>
        <w:t>،</w:t>
      </w:r>
      <w:r w:rsidRPr="0057048E">
        <w:rPr>
          <w:rFonts w:ascii="Traditional Arabic" w:hAnsi="Traditional Arabic"/>
          <w:sz w:val="32"/>
          <w:szCs w:val="32"/>
          <w:rtl/>
        </w:rPr>
        <w:t xml:space="preserve"> </w:t>
      </w:r>
      <w:r>
        <w:rPr>
          <w:rFonts w:ascii="Traditional Arabic" w:hAnsi="Traditional Arabic" w:hint="cs"/>
          <w:sz w:val="32"/>
          <w:szCs w:val="32"/>
          <w:rtl/>
        </w:rPr>
        <w:t>من مشايخه : الشيخ محمد بن إبراهيم آل الشيخ، والشيخ عبد اللطيف بن إبراهيم، والشيخ صالح بن عبد العزيز آل الشيخ، قاضي الرياض.</w:t>
      </w:r>
      <w:r>
        <w:rPr>
          <w:rFonts w:ascii="Traditional Arabic" w:hAnsi="Traditional Arabic"/>
          <w:sz w:val="32"/>
          <w:szCs w:val="32"/>
          <w:rtl/>
        </w:rPr>
        <w:t>من</w:t>
      </w:r>
      <w:r>
        <w:rPr>
          <w:rFonts w:ascii="Traditional Arabic" w:hAnsi="Traditional Arabic" w:hint="cs"/>
          <w:sz w:val="32"/>
          <w:szCs w:val="32"/>
          <w:rtl/>
        </w:rPr>
        <w:t xml:space="preserve"> مؤلفاته</w:t>
      </w:r>
      <w:r w:rsidRPr="0057048E">
        <w:rPr>
          <w:rFonts w:ascii="Traditional Arabic" w:hAnsi="Traditional Arabic"/>
          <w:sz w:val="32"/>
          <w:szCs w:val="32"/>
          <w:rtl/>
        </w:rPr>
        <w:t>: عدة الباحث في أحكام التوارث</w:t>
      </w:r>
      <w:r>
        <w:rPr>
          <w:rFonts w:ascii="Traditional Arabic" w:hAnsi="Traditional Arabic"/>
          <w:sz w:val="32"/>
          <w:szCs w:val="32"/>
          <w:rtl/>
        </w:rPr>
        <w:t>،</w:t>
      </w:r>
      <w:r w:rsidRPr="0057048E">
        <w:rPr>
          <w:rFonts w:ascii="Traditional Arabic" w:hAnsi="Traditional Arabic"/>
          <w:sz w:val="32"/>
          <w:szCs w:val="32"/>
          <w:rtl/>
        </w:rPr>
        <w:t xml:space="preserve"> التنبيهات السنية في شرح العقيدة الواسطية</w:t>
      </w:r>
      <w:r>
        <w:rPr>
          <w:rFonts w:ascii="Traditional Arabic" w:hAnsi="Traditional Arabic"/>
          <w:sz w:val="32"/>
          <w:szCs w:val="32"/>
          <w:rtl/>
        </w:rPr>
        <w:t>،</w:t>
      </w:r>
      <w:r w:rsidRPr="0057048E">
        <w:rPr>
          <w:rFonts w:ascii="Traditional Arabic" w:hAnsi="Traditional Arabic"/>
          <w:sz w:val="32"/>
          <w:szCs w:val="32"/>
          <w:rtl/>
        </w:rPr>
        <w:t xml:space="preserve"> تفسير آيات الأحكام</w:t>
      </w:r>
      <w:r>
        <w:rPr>
          <w:rFonts w:ascii="Traditional Arabic" w:hAnsi="Traditional Arabic"/>
          <w:sz w:val="32"/>
          <w:szCs w:val="32"/>
          <w:rtl/>
        </w:rPr>
        <w:t>،</w:t>
      </w:r>
      <w:r w:rsidRPr="0057048E">
        <w:rPr>
          <w:rFonts w:ascii="Traditional Arabic" w:hAnsi="Traditional Arabic"/>
          <w:sz w:val="32"/>
          <w:szCs w:val="32"/>
          <w:rtl/>
        </w:rPr>
        <w:t xml:space="preserve"> وغيرها</w:t>
      </w:r>
      <w:r>
        <w:rPr>
          <w:rFonts w:ascii="Traditional Arabic" w:hAnsi="Traditional Arabic"/>
          <w:sz w:val="32"/>
          <w:szCs w:val="32"/>
          <w:rtl/>
        </w:rPr>
        <w:t>.</w:t>
      </w:r>
      <w:r w:rsidRPr="0057048E">
        <w:rPr>
          <w:rFonts w:ascii="Traditional Arabic" w:hAnsi="Traditional Arabic"/>
          <w:sz w:val="32"/>
          <w:szCs w:val="32"/>
          <w:rtl/>
        </w:rPr>
        <w:t xml:space="preserve"> </w:t>
      </w:r>
      <w:r>
        <w:rPr>
          <w:rFonts w:ascii="Traditional Arabic" w:hAnsi="Traditional Arabic" w:hint="cs"/>
          <w:sz w:val="32"/>
          <w:szCs w:val="32"/>
          <w:rtl/>
        </w:rPr>
        <w:t>ولد سنة1333ه، و</w:t>
      </w:r>
      <w:r w:rsidRPr="0057048E">
        <w:rPr>
          <w:rFonts w:ascii="Traditional Arabic" w:hAnsi="Traditional Arabic"/>
          <w:sz w:val="32"/>
          <w:szCs w:val="32"/>
          <w:rtl/>
        </w:rPr>
        <w:t>توفي سنة 1408هـ</w:t>
      </w:r>
      <w:r>
        <w:rPr>
          <w:rFonts w:ascii="Traditional Arabic" w:hAnsi="Traditional Arabic"/>
          <w:sz w:val="32"/>
          <w:szCs w:val="32"/>
          <w:rtl/>
        </w:rPr>
        <w:t>.</w:t>
      </w:r>
    </w:p>
    <w:p w:rsidR="000D3D21" w:rsidRPr="0057048E" w:rsidRDefault="000D3D21" w:rsidP="006F08E1">
      <w:pPr>
        <w:pStyle w:val="a7"/>
        <w:spacing w:line="440" w:lineRule="exact"/>
        <w:ind w:left="510" w:hanging="510"/>
        <w:jc w:val="lowKashida"/>
        <w:rPr>
          <w:rFonts w:ascii="Traditional Arabic" w:hAnsi="Traditional Arabic"/>
          <w:b/>
          <w:bCs/>
          <w:sz w:val="32"/>
          <w:szCs w:val="32"/>
          <w:rtl/>
        </w:rPr>
      </w:pPr>
      <w:r>
        <w:rPr>
          <w:rFonts w:ascii="Traditional Arabic" w:hAnsi="Traditional Arabic"/>
          <w:sz w:val="32"/>
          <w:szCs w:val="32"/>
          <w:rtl/>
        </w:rPr>
        <w:tab/>
        <w:t>انظر</w:t>
      </w:r>
      <w:r w:rsidRPr="0057048E">
        <w:rPr>
          <w:rFonts w:ascii="Traditional Arabic" w:hAnsi="Traditional Arabic"/>
          <w:sz w:val="32"/>
          <w:szCs w:val="32"/>
          <w:rtl/>
        </w:rPr>
        <w:t xml:space="preserve"> علماء نجد خل</w:t>
      </w:r>
      <w:r>
        <w:rPr>
          <w:rFonts w:ascii="Traditional Arabic" w:hAnsi="Traditional Arabic"/>
          <w:sz w:val="32"/>
          <w:szCs w:val="32"/>
          <w:rtl/>
        </w:rPr>
        <w:t>ال ثمانية قرون (3/531)</w:t>
      </w:r>
      <w:r w:rsidRPr="0057048E">
        <w:rPr>
          <w:rFonts w:ascii="Traditional Arabic" w:hAnsi="Traditional Arabic"/>
          <w:sz w:val="32"/>
          <w:szCs w:val="32"/>
          <w:rtl/>
        </w:rPr>
        <w:t>.</w:t>
      </w:r>
    </w:p>
  </w:footnote>
  <w:footnote w:id="20">
    <w:p w:rsidR="000D3D21" w:rsidRPr="0057048E" w:rsidRDefault="000D3D21" w:rsidP="006F08E1">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7048E">
        <w:rPr>
          <w:rFonts w:ascii="Traditional Arabic" w:hAnsi="Traditional Arabic"/>
          <w:sz w:val="32"/>
          <w:szCs w:val="32"/>
          <w:rtl/>
        </w:rPr>
        <w:tab/>
        <w:t>ش</w:t>
      </w:r>
      <w:r>
        <w:rPr>
          <w:rFonts w:ascii="Traditional Arabic" w:hAnsi="Traditional Arabic"/>
          <w:sz w:val="32"/>
          <w:szCs w:val="32"/>
          <w:rtl/>
        </w:rPr>
        <w:t>ريط: ابن عثيمين وطلب</w:t>
      </w:r>
      <w:r>
        <w:rPr>
          <w:rFonts w:ascii="Traditional Arabic" w:hAnsi="Traditional Arabic" w:hint="cs"/>
          <w:sz w:val="32"/>
          <w:szCs w:val="32"/>
          <w:rtl/>
        </w:rPr>
        <w:t>ه</w:t>
      </w:r>
      <w:r>
        <w:rPr>
          <w:rFonts w:ascii="Traditional Arabic" w:hAnsi="Traditional Arabic"/>
          <w:sz w:val="32"/>
          <w:szCs w:val="32"/>
          <w:rtl/>
        </w:rPr>
        <w:t xml:space="preserve"> للعلم </w:t>
      </w:r>
      <w:r>
        <w:rPr>
          <w:rFonts w:ascii="Traditional Arabic" w:hAnsi="Traditional Arabic" w:hint="cs"/>
          <w:sz w:val="32"/>
          <w:szCs w:val="32"/>
          <w:rtl/>
        </w:rPr>
        <w:t>ل</w:t>
      </w:r>
      <w:r>
        <w:rPr>
          <w:rFonts w:ascii="Traditional Arabic" w:hAnsi="Traditional Arabic"/>
          <w:sz w:val="32"/>
          <w:szCs w:val="32"/>
          <w:rtl/>
        </w:rPr>
        <w:t>سامي الصقير</w:t>
      </w:r>
      <w:r>
        <w:rPr>
          <w:rFonts w:ascii="Traditional Arabic" w:hAnsi="Traditional Arabic" w:hint="cs"/>
          <w:sz w:val="32"/>
          <w:szCs w:val="32"/>
          <w:rtl/>
        </w:rPr>
        <w:t xml:space="preserve"> بواسطة القواعد والضوابط الفقهية عند الشيخ ابن عثيمين في الشرح الممتع من كتاب العبادات (1/63)</w:t>
      </w:r>
      <w:r w:rsidRPr="0057048E">
        <w:rPr>
          <w:rFonts w:ascii="Traditional Arabic" w:hAnsi="Traditional Arabic"/>
          <w:sz w:val="32"/>
          <w:szCs w:val="32"/>
          <w:rtl/>
        </w:rPr>
        <w:t>.</w:t>
      </w:r>
    </w:p>
  </w:footnote>
  <w:footnote w:id="21">
    <w:p w:rsidR="000D3D21" w:rsidRPr="0057048E" w:rsidRDefault="000D3D21" w:rsidP="006F08E1">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7048E">
        <w:rPr>
          <w:rFonts w:ascii="Traditional Arabic" w:hAnsi="Traditional Arabic"/>
          <w:sz w:val="32"/>
          <w:szCs w:val="32"/>
          <w:rtl/>
        </w:rPr>
        <w:tab/>
        <w:t>هو : الشيخ عبدالرحمن بن يوسف الف</w:t>
      </w:r>
      <w:r>
        <w:rPr>
          <w:rFonts w:ascii="Traditional Arabic" w:hAnsi="Traditional Arabic"/>
          <w:sz w:val="32"/>
          <w:szCs w:val="32"/>
          <w:rtl/>
        </w:rPr>
        <w:t xml:space="preserve">لاني </w:t>
      </w:r>
      <w:r>
        <w:rPr>
          <w:rFonts w:ascii="Traditional Arabic" w:hAnsi="Traditional Arabic" w:hint="cs"/>
          <w:sz w:val="32"/>
          <w:szCs w:val="32"/>
          <w:rtl/>
        </w:rPr>
        <w:t>الإ</w:t>
      </w:r>
      <w:r w:rsidRPr="0057048E">
        <w:rPr>
          <w:rFonts w:ascii="Traditional Arabic" w:hAnsi="Traditional Arabic"/>
          <w:sz w:val="32"/>
          <w:szCs w:val="32"/>
          <w:rtl/>
        </w:rPr>
        <w:t>فريقي</w:t>
      </w:r>
      <w:r w:rsidR="00AB0B9E">
        <w:rPr>
          <w:rFonts w:ascii="Traditional Arabic" w:hAnsi="Traditional Arabic"/>
          <w:sz w:val="32"/>
          <w:szCs w:val="32"/>
          <w:rtl/>
        </w:rPr>
        <w:fldChar w:fldCharType="begin"/>
      </w:r>
      <w:r>
        <w:rPr>
          <w:rFonts w:ascii="Traditional Arabic" w:hAnsi="Traditional Arabic"/>
          <w:sz w:val="32"/>
          <w:szCs w:val="32"/>
        </w:rPr>
        <w:instrText>XE "</w:instrText>
      </w:r>
      <w:r w:rsidRPr="0041304C">
        <w:rPr>
          <w:rFonts w:ascii="Traditional Arabic" w:hAnsi="Traditional Arabic"/>
          <w:rtl/>
        </w:rPr>
        <w:instrText>عبدالرحمن بن يوسف الفلاني الأفريقي</w:instrText>
      </w:r>
      <w:r>
        <w:instrText>"\fa"</w:instrText>
      </w:r>
      <w:r w:rsidR="00AB0B9E">
        <w:rPr>
          <w:rFonts w:ascii="Traditional Arabic" w:hAnsi="Traditional Arabic"/>
          <w:sz w:val="32"/>
          <w:szCs w:val="32"/>
          <w:rtl/>
        </w:rPr>
        <w:fldChar w:fldCharType="end"/>
      </w:r>
      <w:r>
        <w:rPr>
          <w:rFonts w:ascii="Traditional Arabic" w:hAnsi="Traditional Arabic"/>
          <w:sz w:val="32"/>
          <w:szCs w:val="32"/>
          <w:rtl/>
        </w:rPr>
        <w:t>،</w:t>
      </w:r>
      <w:r w:rsidRPr="0057048E">
        <w:rPr>
          <w:rFonts w:ascii="Traditional Arabic" w:hAnsi="Traditional Arabic"/>
          <w:sz w:val="32"/>
          <w:szCs w:val="32"/>
          <w:rtl/>
        </w:rPr>
        <w:t xml:space="preserve"> </w:t>
      </w:r>
      <w:r>
        <w:rPr>
          <w:rFonts w:ascii="Traditional Arabic" w:hAnsi="Traditional Arabic" w:hint="cs"/>
          <w:sz w:val="32"/>
          <w:szCs w:val="32"/>
          <w:rtl/>
        </w:rPr>
        <w:t>ولد في قرية (فَفا) ببلاد مالي</w:t>
      </w:r>
      <w:r>
        <w:rPr>
          <w:rFonts w:ascii="Traditional Arabic" w:hAnsi="Traditional Arabic"/>
          <w:sz w:val="32"/>
          <w:szCs w:val="32"/>
          <w:rtl/>
        </w:rPr>
        <w:t>،</w:t>
      </w:r>
      <w:r w:rsidRPr="0057048E">
        <w:rPr>
          <w:rFonts w:ascii="Traditional Arabic" w:hAnsi="Traditional Arabic"/>
          <w:sz w:val="32"/>
          <w:szCs w:val="32"/>
          <w:rtl/>
        </w:rPr>
        <w:t xml:space="preserve"> تعلم في مدارس المستشرقين فيها حتى أتقن الفرنسية</w:t>
      </w:r>
      <w:r>
        <w:rPr>
          <w:rFonts w:ascii="Traditional Arabic" w:hAnsi="Traditional Arabic"/>
          <w:sz w:val="32"/>
          <w:szCs w:val="32"/>
          <w:rtl/>
        </w:rPr>
        <w:t xml:space="preserve">، ثم ارتحل للحج </w:t>
      </w:r>
      <w:r>
        <w:rPr>
          <w:rFonts w:ascii="Traditional Arabic" w:hAnsi="Traditional Arabic" w:hint="cs"/>
          <w:sz w:val="32"/>
          <w:szCs w:val="32"/>
          <w:rtl/>
        </w:rPr>
        <w:t>عام 1345ه</w:t>
      </w:r>
      <w:r>
        <w:rPr>
          <w:rFonts w:ascii="Traditional Arabic" w:hAnsi="Traditional Arabic"/>
          <w:sz w:val="32"/>
          <w:szCs w:val="32"/>
          <w:rtl/>
        </w:rPr>
        <w:t xml:space="preserve">، ثم جاور </w:t>
      </w:r>
      <w:r>
        <w:rPr>
          <w:rFonts w:ascii="Traditional Arabic" w:hAnsi="Traditional Arabic" w:hint="cs"/>
          <w:sz w:val="32"/>
          <w:szCs w:val="32"/>
          <w:rtl/>
        </w:rPr>
        <w:t>ب</w:t>
      </w:r>
      <w:r w:rsidRPr="0057048E">
        <w:rPr>
          <w:rFonts w:ascii="Traditional Arabic" w:hAnsi="Traditional Arabic"/>
          <w:sz w:val="32"/>
          <w:szCs w:val="32"/>
          <w:rtl/>
        </w:rPr>
        <w:t>المدينة</w:t>
      </w:r>
      <w:r>
        <w:rPr>
          <w:rFonts w:ascii="Traditional Arabic" w:hAnsi="Traditional Arabic" w:hint="cs"/>
          <w:sz w:val="32"/>
          <w:szCs w:val="32"/>
          <w:rtl/>
        </w:rPr>
        <w:t xml:space="preserve"> النبوية</w:t>
      </w:r>
      <w:r>
        <w:rPr>
          <w:rFonts w:ascii="Traditional Arabic" w:hAnsi="Traditional Arabic"/>
          <w:sz w:val="32"/>
          <w:szCs w:val="32"/>
          <w:rtl/>
        </w:rPr>
        <w:t>،</w:t>
      </w:r>
      <w:r w:rsidRPr="0057048E">
        <w:rPr>
          <w:rFonts w:ascii="Traditional Arabic" w:hAnsi="Traditional Arabic"/>
          <w:sz w:val="32"/>
          <w:szCs w:val="32"/>
          <w:rtl/>
        </w:rPr>
        <w:t xml:space="preserve"> وطلب العلم</w:t>
      </w:r>
      <w:r>
        <w:rPr>
          <w:rFonts w:ascii="Traditional Arabic" w:hAnsi="Traditional Arabic" w:hint="cs"/>
          <w:sz w:val="32"/>
          <w:szCs w:val="32"/>
          <w:rtl/>
        </w:rPr>
        <w:t xml:space="preserve"> </w:t>
      </w:r>
      <w:r w:rsidRPr="0057048E">
        <w:rPr>
          <w:rFonts w:ascii="Traditional Arabic" w:hAnsi="Traditional Arabic"/>
          <w:sz w:val="32"/>
          <w:szCs w:val="32"/>
          <w:rtl/>
        </w:rPr>
        <w:t xml:space="preserve">على </w:t>
      </w:r>
      <w:r>
        <w:rPr>
          <w:rFonts w:ascii="Traditional Arabic" w:hAnsi="Traditional Arabic" w:hint="cs"/>
          <w:sz w:val="32"/>
          <w:szCs w:val="32"/>
          <w:rtl/>
        </w:rPr>
        <w:t xml:space="preserve">يد </w:t>
      </w:r>
      <w:r w:rsidRPr="0057048E">
        <w:rPr>
          <w:rFonts w:ascii="Traditional Arabic" w:hAnsi="Traditional Arabic"/>
          <w:sz w:val="32"/>
          <w:szCs w:val="32"/>
          <w:rtl/>
        </w:rPr>
        <w:t>علماء المسجد النبوي</w:t>
      </w:r>
      <w:r>
        <w:rPr>
          <w:rFonts w:ascii="Traditional Arabic" w:hAnsi="Traditional Arabic" w:hint="cs"/>
          <w:sz w:val="32"/>
          <w:szCs w:val="32"/>
          <w:rtl/>
        </w:rPr>
        <w:t xml:space="preserve"> ودار الحديث بالمدينة</w:t>
      </w:r>
      <w:r>
        <w:rPr>
          <w:rFonts w:ascii="Traditional Arabic" w:hAnsi="Traditional Arabic"/>
          <w:sz w:val="32"/>
          <w:szCs w:val="32"/>
          <w:rtl/>
        </w:rPr>
        <w:t xml:space="preserve">، </w:t>
      </w:r>
      <w:r>
        <w:rPr>
          <w:rFonts w:ascii="Traditional Arabic" w:hAnsi="Traditional Arabic" w:hint="cs"/>
          <w:sz w:val="32"/>
          <w:szCs w:val="32"/>
          <w:rtl/>
        </w:rPr>
        <w:t xml:space="preserve">ثم </w:t>
      </w:r>
      <w:r w:rsidRPr="0057048E">
        <w:rPr>
          <w:rFonts w:ascii="Traditional Arabic" w:hAnsi="Traditional Arabic"/>
          <w:sz w:val="32"/>
          <w:szCs w:val="32"/>
          <w:rtl/>
        </w:rPr>
        <w:t>عُيِّن مدرساً بدار الحديث التي درس فيها</w:t>
      </w:r>
      <w:r>
        <w:rPr>
          <w:rFonts w:ascii="Traditional Arabic" w:hAnsi="Traditional Arabic"/>
          <w:sz w:val="32"/>
          <w:szCs w:val="32"/>
          <w:rtl/>
        </w:rPr>
        <w:t>،</w:t>
      </w:r>
      <w:r w:rsidRPr="0057048E">
        <w:rPr>
          <w:rFonts w:ascii="Traditional Arabic" w:hAnsi="Traditional Arabic"/>
          <w:sz w:val="32"/>
          <w:szCs w:val="32"/>
          <w:rtl/>
        </w:rPr>
        <w:t xml:space="preserve"> وقعد للتعليم والوعظ</w:t>
      </w:r>
      <w:r>
        <w:rPr>
          <w:rFonts w:ascii="Traditional Arabic" w:hAnsi="Traditional Arabic" w:hint="cs"/>
          <w:sz w:val="32"/>
          <w:szCs w:val="32"/>
          <w:rtl/>
        </w:rPr>
        <w:t xml:space="preserve"> بالمسجد النبوي</w:t>
      </w:r>
      <w:r>
        <w:rPr>
          <w:rFonts w:ascii="Traditional Arabic" w:hAnsi="Traditional Arabic"/>
          <w:sz w:val="32"/>
          <w:szCs w:val="32"/>
          <w:rtl/>
        </w:rPr>
        <w:t>،</w:t>
      </w:r>
      <w:r w:rsidRPr="0057048E">
        <w:rPr>
          <w:rFonts w:ascii="Traditional Arabic" w:hAnsi="Traditional Arabic"/>
          <w:sz w:val="32"/>
          <w:szCs w:val="32"/>
          <w:rtl/>
        </w:rPr>
        <w:t xml:space="preserve"> ثم عُيّن مدرساً في معهد الرياض العلمي</w:t>
      </w:r>
      <w:r>
        <w:rPr>
          <w:rFonts w:ascii="Traditional Arabic" w:hAnsi="Traditional Arabic" w:hint="cs"/>
          <w:sz w:val="32"/>
          <w:szCs w:val="32"/>
          <w:rtl/>
        </w:rPr>
        <w:t xml:space="preserve"> ثم بكلية الشريعة بالرياض</w:t>
      </w:r>
      <w:r>
        <w:rPr>
          <w:rFonts w:ascii="Traditional Arabic" w:hAnsi="Traditional Arabic"/>
          <w:sz w:val="32"/>
          <w:szCs w:val="32"/>
          <w:rtl/>
        </w:rPr>
        <w:t>.</w:t>
      </w:r>
      <w:r>
        <w:rPr>
          <w:rFonts w:ascii="Traditional Arabic" w:hAnsi="Traditional Arabic" w:hint="cs"/>
          <w:sz w:val="32"/>
          <w:szCs w:val="32"/>
          <w:rtl/>
        </w:rPr>
        <w:t xml:space="preserve">من شيوخه: الشيخ صالح الزغيبي إمام المسجد النبوي، والشيخ محمد سلطان المعصومي، والمحدث محمد علي اللكنوي، ومن أبرز طلابه الشيخ عمر فلاته، ومن مؤلفاته: الأنوار الرحمانية لهداية الفرقة التيجانية، وجواب الإفريقي، وتوضيح الحج والعمرة.ولد سنة 1326ه، وتوفي سنة 1377ه.  </w:t>
      </w:r>
    </w:p>
    <w:p w:rsidR="000D3D21" w:rsidRPr="0057048E" w:rsidRDefault="000D3D21" w:rsidP="006F08E1">
      <w:pPr>
        <w:pStyle w:val="a7"/>
        <w:spacing w:line="440" w:lineRule="exact"/>
        <w:ind w:left="510"/>
        <w:jc w:val="lowKashida"/>
        <w:rPr>
          <w:rFonts w:ascii="Traditional Arabic" w:hAnsi="Traditional Arabic"/>
          <w:b/>
          <w:bCs/>
          <w:sz w:val="32"/>
          <w:szCs w:val="32"/>
          <w:rtl/>
        </w:rPr>
      </w:pPr>
      <w:r>
        <w:rPr>
          <w:rFonts w:ascii="Traditional Arabic" w:hAnsi="Traditional Arabic" w:hint="cs"/>
          <w:sz w:val="32"/>
          <w:szCs w:val="32"/>
          <w:rtl/>
        </w:rPr>
        <w:t xml:space="preserve">     </w:t>
      </w:r>
      <w:r>
        <w:rPr>
          <w:rFonts w:ascii="Traditional Arabic" w:hAnsi="Traditional Arabic"/>
          <w:sz w:val="32"/>
          <w:szCs w:val="32"/>
          <w:rtl/>
        </w:rPr>
        <w:t>انظر في ترجمته: علماء ومفكرون عرفتهم</w:t>
      </w:r>
      <w:r>
        <w:rPr>
          <w:rFonts w:ascii="Traditional Arabic" w:hAnsi="Traditional Arabic" w:hint="cs"/>
          <w:sz w:val="32"/>
          <w:szCs w:val="32"/>
          <w:rtl/>
        </w:rPr>
        <w:t xml:space="preserve"> ل</w:t>
      </w:r>
      <w:r w:rsidRPr="0057048E">
        <w:rPr>
          <w:rFonts w:ascii="Traditional Arabic" w:hAnsi="Traditional Arabic"/>
          <w:sz w:val="32"/>
          <w:szCs w:val="32"/>
          <w:rtl/>
        </w:rPr>
        <w:t>محمد المج</w:t>
      </w:r>
      <w:r>
        <w:rPr>
          <w:rFonts w:ascii="Traditional Arabic" w:hAnsi="Traditional Arabic"/>
          <w:sz w:val="32"/>
          <w:szCs w:val="32"/>
          <w:rtl/>
        </w:rPr>
        <w:t>ذوب (1/63)</w:t>
      </w:r>
      <w:r>
        <w:rPr>
          <w:rFonts w:ascii="Traditional Arabic" w:hAnsi="Traditional Arabic" w:hint="cs"/>
          <w:sz w:val="32"/>
          <w:szCs w:val="32"/>
          <w:rtl/>
        </w:rPr>
        <w:t>، وترجمة الشيخ عبد الرحمن الإفريقي لعمر محمد فلاته، مجلة الجامعة الإسلامية بالمدينة المنورة_العدد41</w:t>
      </w:r>
      <w:r w:rsidRPr="0057048E">
        <w:rPr>
          <w:rFonts w:ascii="Traditional Arabic" w:hAnsi="Traditional Arabic"/>
          <w:sz w:val="32"/>
          <w:szCs w:val="32"/>
          <w:rtl/>
        </w:rPr>
        <w:t>.</w:t>
      </w:r>
    </w:p>
  </w:footnote>
  <w:footnote w:id="22">
    <w:p w:rsidR="000D3D21" w:rsidRPr="0057048E"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7048E">
        <w:rPr>
          <w:rFonts w:ascii="Traditional Arabic" w:hAnsi="Traditional Arabic"/>
          <w:sz w:val="32"/>
          <w:szCs w:val="32"/>
          <w:rtl/>
        </w:rPr>
        <w:tab/>
        <w:t>ا</w:t>
      </w:r>
      <w:r>
        <w:rPr>
          <w:rFonts w:ascii="Traditional Arabic" w:hAnsi="Traditional Arabic"/>
          <w:sz w:val="32"/>
          <w:szCs w:val="32"/>
          <w:rtl/>
        </w:rPr>
        <w:t>نظر</w:t>
      </w:r>
      <w:r w:rsidRPr="0057048E">
        <w:rPr>
          <w:rFonts w:ascii="Traditional Arabic" w:hAnsi="Traditional Arabic"/>
          <w:sz w:val="32"/>
          <w:szCs w:val="32"/>
          <w:rtl/>
        </w:rPr>
        <w:t>: الجامع لحياة ا</w:t>
      </w:r>
      <w:r>
        <w:rPr>
          <w:rFonts w:ascii="Traditional Arabic" w:hAnsi="Traditional Arabic"/>
          <w:sz w:val="32"/>
          <w:szCs w:val="32"/>
          <w:rtl/>
        </w:rPr>
        <w:t>لعلَّامة محمد بن صالح العثيمي</w:t>
      </w:r>
      <w:r>
        <w:rPr>
          <w:rFonts w:ascii="Traditional Arabic" w:hAnsi="Traditional Arabic" w:hint="cs"/>
          <w:sz w:val="32"/>
          <w:szCs w:val="32"/>
          <w:rtl/>
        </w:rPr>
        <w:t>ن</w:t>
      </w:r>
      <w:r w:rsidRPr="0057048E">
        <w:rPr>
          <w:rFonts w:ascii="Traditional Arabic" w:hAnsi="Traditional Arabic"/>
          <w:sz w:val="32"/>
          <w:szCs w:val="32"/>
          <w:rtl/>
        </w:rPr>
        <w:t xml:space="preserve"> (11</w:t>
      </w:r>
      <w:r>
        <w:rPr>
          <w:rFonts w:ascii="Traditional Arabic" w:hAnsi="Traditional Arabic"/>
          <w:sz w:val="32"/>
          <w:szCs w:val="32"/>
          <w:rtl/>
        </w:rPr>
        <w:t>،</w:t>
      </w:r>
      <w:r w:rsidRPr="0057048E">
        <w:rPr>
          <w:rFonts w:ascii="Traditional Arabic" w:hAnsi="Traditional Arabic"/>
          <w:sz w:val="32"/>
          <w:szCs w:val="32"/>
          <w:rtl/>
        </w:rPr>
        <w:t xml:space="preserve"> 65</w:t>
      </w:r>
      <w:r>
        <w:rPr>
          <w:rFonts w:ascii="Traditional Arabic" w:hAnsi="Traditional Arabic"/>
          <w:sz w:val="32"/>
          <w:szCs w:val="32"/>
          <w:rtl/>
        </w:rPr>
        <w:t>)</w:t>
      </w:r>
      <w:r w:rsidRPr="0057048E">
        <w:rPr>
          <w:rFonts w:ascii="Traditional Arabic" w:hAnsi="Traditional Arabic"/>
          <w:sz w:val="32"/>
          <w:szCs w:val="32"/>
          <w:rtl/>
        </w:rPr>
        <w:t xml:space="preserve">، </w:t>
      </w:r>
      <w:r>
        <w:rPr>
          <w:rFonts w:ascii="Traditional Arabic" w:hAnsi="Traditional Arabic" w:hint="cs"/>
          <w:sz w:val="32"/>
          <w:szCs w:val="32"/>
          <w:rtl/>
        </w:rPr>
        <w:t>و</w:t>
      </w:r>
      <w:r w:rsidRPr="0057048E">
        <w:rPr>
          <w:rFonts w:ascii="Traditional Arabic" w:hAnsi="Traditional Arabic"/>
          <w:sz w:val="32"/>
          <w:szCs w:val="32"/>
          <w:rtl/>
        </w:rPr>
        <w:t>موقع فضيلة الشيخ العلَّامة محمد بن صالح العثيمين : (</w:t>
      </w:r>
      <w:r w:rsidRPr="0057048E">
        <w:rPr>
          <w:rFonts w:ascii="Traditional Arabic" w:hAnsi="Traditional Arabic"/>
          <w:sz w:val="32"/>
          <w:szCs w:val="32"/>
        </w:rPr>
        <w:t>www.binothaimeen.com</w:t>
      </w:r>
      <w:r w:rsidRPr="0057048E">
        <w:rPr>
          <w:rFonts w:ascii="Traditional Arabic" w:hAnsi="Traditional Arabic"/>
          <w:sz w:val="32"/>
          <w:szCs w:val="32"/>
          <w:rtl/>
        </w:rPr>
        <w:t>)</w:t>
      </w:r>
      <w:r>
        <w:rPr>
          <w:rFonts w:ascii="Traditional Arabic" w:hAnsi="Traditional Arabic"/>
          <w:sz w:val="32"/>
          <w:szCs w:val="32"/>
          <w:rtl/>
        </w:rPr>
        <w:t>.</w:t>
      </w:r>
    </w:p>
  </w:footnote>
  <w:footnote w:id="23">
    <w:p w:rsidR="000D3D21" w:rsidRPr="005473DF" w:rsidRDefault="000D3D21" w:rsidP="006F08E1">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w:t>
      </w:r>
      <w:r>
        <w:rPr>
          <w:rFonts w:ascii="Traditional Arabic" w:hAnsi="Traditional Arabic" w:hint="cs"/>
          <w:sz w:val="32"/>
          <w:szCs w:val="32"/>
          <w:rtl/>
        </w:rPr>
        <w:t xml:space="preserve"> </w:t>
      </w:r>
      <w:r w:rsidRPr="0057048E">
        <w:rPr>
          <w:rFonts w:ascii="Traditional Arabic" w:hAnsi="Traditional Arabic"/>
          <w:sz w:val="32"/>
          <w:szCs w:val="32"/>
          <w:rtl/>
        </w:rPr>
        <w:t>الجامــع لحياة ا</w:t>
      </w:r>
      <w:r>
        <w:rPr>
          <w:rFonts w:ascii="Traditional Arabic" w:hAnsi="Traditional Arabic"/>
          <w:sz w:val="32"/>
          <w:szCs w:val="32"/>
          <w:rtl/>
        </w:rPr>
        <w:t>لعلَّامة محمد بن صالح العثيمين</w:t>
      </w:r>
      <w:r w:rsidRPr="0057048E">
        <w:rPr>
          <w:rFonts w:ascii="Traditional Arabic" w:hAnsi="Traditional Arabic"/>
          <w:sz w:val="32"/>
          <w:szCs w:val="32"/>
          <w:rtl/>
        </w:rPr>
        <w:t xml:space="preserve"> (50)</w:t>
      </w:r>
      <w:r>
        <w:rPr>
          <w:rFonts w:ascii="Traditional Arabic" w:hAnsi="Traditional Arabic" w:hint="cs"/>
          <w:sz w:val="32"/>
          <w:szCs w:val="32"/>
          <w:rtl/>
        </w:rPr>
        <w:t>، والقواعد والضوابط الفقهية عند الشيخ ابن عثيمين في الشرح الممتع من كتاب العبادات (1/65)</w:t>
      </w:r>
      <w:r w:rsidRPr="0057048E">
        <w:rPr>
          <w:rFonts w:ascii="Traditional Arabic" w:hAnsi="Traditional Arabic"/>
          <w:sz w:val="32"/>
          <w:szCs w:val="32"/>
          <w:rtl/>
        </w:rPr>
        <w:t>.</w:t>
      </w:r>
    </w:p>
  </w:footnote>
  <w:footnote w:id="24">
    <w:p w:rsidR="000D3D21" w:rsidRPr="0057048E"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7048E">
        <w:rPr>
          <w:rFonts w:ascii="Traditional Arabic" w:hAnsi="Traditional Arabic"/>
          <w:sz w:val="32"/>
          <w:szCs w:val="32"/>
          <w:rtl/>
        </w:rPr>
        <w:tab/>
      </w:r>
      <w:r>
        <w:rPr>
          <w:rFonts w:ascii="Traditional Arabic" w:hAnsi="Traditional Arabic"/>
          <w:sz w:val="32"/>
          <w:szCs w:val="32"/>
          <w:rtl/>
        </w:rPr>
        <w:t>انظــر</w:t>
      </w:r>
      <w:r>
        <w:rPr>
          <w:rFonts w:ascii="Traditional Arabic" w:hAnsi="Traditional Arabic" w:hint="cs"/>
          <w:sz w:val="32"/>
          <w:szCs w:val="32"/>
          <w:rtl/>
        </w:rPr>
        <w:t xml:space="preserve"> </w:t>
      </w:r>
      <w:r w:rsidRPr="0057048E">
        <w:rPr>
          <w:rFonts w:ascii="Traditional Arabic" w:hAnsi="Traditional Arabic"/>
          <w:sz w:val="32"/>
          <w:szCs w:val="32"/>
          <w:rtl/>
        </w:rPr>
        <w:t>الجامع لحياة ا</w:t>
      </w:r>
      <w:r>
        <w:rPr>
          <w:rFonts w:ascii="Traditional Arabic" w:hAnsi="Traditional Arabic"/>
          <w:sz w:val="32"/>
          <w:szCs w:val="32"/>
          <w:rtl/>
        </w:rPr>
        <w:t>لعلَّامة محمد بن صالح العثيم</w:t>
      </w:r>
      <w:r>
        <w:rPr>
          <w:rFonts w:ascii="Traditional Arabic" w:hAnsi="Traditional Arabic" w:hint="cs"/>
          <w:sz w:val="32"/>
          <w:szCs w:val="32"/>
          <w:rtl/>
        </w:rPr>
        <w:t>ين</w:t>
      </w:r>
      <w:r w:rsidRPr="0057048E">
        <w:rPr>
          <w:rFonts w:ascii="Traditional Arabic" w:hAnsi="Traditional Arabic"/>
          <w:sz w:val="32"/>
          <w:szCs w:val="32"/>
          <w:rtl/>
        </w:rPr>
        <w:t xml:space="preserve"> (53 –</w:t>
      </w:r>
      <w:r>
        <w:rPr>
          <w:rFonts w:ascii="Traditional Arabic" w:hAnsi="Traditional Arabic"/>
          <w:sz w:val="32"/>
          <w:szCs w:val="32"/>
          <w:rtl/>
        </w:rPr>
        <w:t xml:space="preserve"> 57)</w:t>
      </w:r>
      <w:r w:rsidRPr="0057048E">
        <w:rPr>
          <w:rFonts w:ascii="Traditional Arabic" w:hAnsi="Traditional Arabic"/>
          <w:sz w:val="32"/>
          <w:szCs w:val="32"/>
          <w:rtl/>
        </w:rPr>
        <w:t>.</w:t>
      </w:r>
    </w:p>
  </w:footnote>
  <w:footnote w:id="25">
    <w:p w:rsidR="000D3D21" w:rsidRPr="00606D04" w:rsidRDefault="000D3D21" w:rsidP="006F08E1">
      <w:pPr>
        <w:pStyle w:val="a7"/>
        <w:spacing w:line="440" w:lineRule="exact"/>
        <w:ind w:left="510" w:hanging="510"/>
        <w:jc w:val="lowKashida"/>
        <w:rPr>
          <w:rFonts w:ascii="Traditional Arabic" w:hAnsi="Traditional Arabic"/>
          <w:b/>
          <w:bCs/>
          <w:sz w:val="32"/>
          <w:szCs w:val="32"/>
          <w:rtl/>
        </w:rPr>
      </w:pPr>
      <w:r w:rsidRPr="00451907">
        <w:rPr>
          <w:rFonts w:ascii="Lotus Linotype" w:hAnsi="Lotus Linotype"/>
          <w:szCs w:val="32"/>
          <w:rtl/>
        </w:rPr>
        <w:t>(</w:t>
      </w:r>
      <w:r w:rsidRPr="00451907">
        <w:rPr>
          <w:rStyle w:val="af1"/>
          <w:rFonts w:ascii="Lotus Linotype" w:hAnsi="Lotus Linotype"/>
          <w:szCs w:val="32"/>
          <w:vertAlign w:val="baseline"/>
          <w:rtl/>
        </w:rPr>
        <w:footnoteRef/>
      </w:r>
      <w:r w:rsidRPr="00451907">
        <w:rPr>
          <w:rFonts w:ascii="Lotus Linotype" w:hAnsi="Lotus Linotype"/>
          <w:szCs w:val="32"/>
          <w:rtl/>
        </w:rPr>
        <w:t>)</w:t>
      </w:r>
      <w:r w:rsidRPr="005473DF">
        <w:rPr>
          <w:rFonts w:ascii="Lotus Linotype" w:hAnsi="Lotus Linotype" w:cs="Lotus Linotype" w:hint="cs"/>
          <w:rtl/>
        </w:rPr>
        <w:tab/>
      </w:r>
      <w:r w:rsidRPr="00606D04">
        <w:rPr>
          <w:rFonts w:ascii="Traditional Arabic" w:hAnsi="Traditional Arabic"/>
          <w:sz w:val="32"/>
          <w:szCs w:val="32"/>
          <w:rtl/>
        </w:rPr>
        <w:t xml:space="preserve"> ابن عثيمين</w:t>
      </w:r>
      <w:r>
        <w:rPr>
          <w:rFonts w:ascii="Traditional Arabic" w:hAnsi="Traditional Arabic"/>
          <w:sz w:val="32"/>
          <w:szCs w:val="32"/>
          <w:rtl/>
        </w:rPr>
        <w:t xml:space="preserve">  الزاهد</w:t>
      </w:r>
      <w:r w:rsidRPr="00606D04">
        <w:rPr>
          <w:rFonts w:ascii="Traditional Arabic" w:hAnsi="Traditional Arabic"/>
          <w:sz w:val="32"/>
          <w:szCs w:val="32"/>
          <w:rtl/>
        </w:rPr>
        <w:t xml:space="preserve"> (216).</w:t>
      </w:r>
    </w:p>
  </w:footnote>
  <w:footnote w:id="26">
    <w:p w:rsidR="000D3D21" w:rsidRPr="00606D04" w:rsidRDefault="000D3D21" w:rsidP="006F08E1">
      <w:pPr>
        <w:pStyle w:val="a7"/>
        <w:spacing w:line="440" w:lineRule="exact"/>
        <w:ind w:left="510" w:hanging="510"/>
        <w:jc w:val="lowKashida"/>
        <w:rPr>
          <w:rFonts w:ascii="Traditional Arabic" w:hAnsi="Traditional Arabic"/>
          <w:b/>
          <w:bCs/>
          <w:sz w:val="32"/>
          <w:szCs w:val="32"/>
        </w:rPr>
      </w:pPr>
      <w:r w:rsidRPr="00606D04">
        <w:rPr>
          <w:rFonts w:ascii="Traditional Arabic" w:hAnsi="Traditional Arabic"/>
          <w:sz w:val="32"/>
          <w:szCs w:val="32"/>
          <w:rtl/>
        </w:rPr>
        <w:t>(</w:t>
      </w:r>
      <w:r w:rsidRPr="00606D04">
        <w:rPr>
          <w:rStyle w:val="af1"/>
          <w:rFonts w:ascii="Traditional Arabic" w:hAnsi="Traditional Arabic"/>
          <w:sz w:val="32"/>
          <w:szCs w:val="32"/>
          <w:vertAlign w:val="baseline"/>
          <w:rtl/>
        </w:rPr>
        <w:footnoteRef/>
      </w:r>
      <w:r>
        <w:rPr>
          <w:rFonts w:ascii="Traditional Arabic" w:hAnsi="Traditional Arabic"/>
          <w:sz w:val="32"/>
          <w:szCs w:val="32"/>
          <w:rtl/>
        </w:rPr>
        <w:t>)</w:t>
      </w:r>
      <w:r>
        <w:rPr>
          <w:rFonts w:ascii="Traditional Arabic" w:hAnsi="Traditional Arabic"/>
          <w:sz w:val="32"/>
          <w:szCs w:val="32"/>
          <w:rtl/>
        </w:rPr>
        <w:tab/>
        <w:t xml:space="preserve"> المر</w:t>
      </w:r>
      <w:r>
        <w:rPr>
          <w:rFonts w:ascii="Traditional Arabic" w:hAnsi="Traditional Arabic" w:hint="cs"/>
          <w:sz w:val="32"/>
          <w:szCs w:val="32"/>
          <w:rtl/>
        </w:rPr>
        <w:t>جع</w:t>
      </w:r>
      <w:r>
        <w:rPr>
          <w:rFonts w:ascii="Traditional Arabic" w:hAnsi="Traditional Arabic"/>
          <w:sz w:val="32"/>
          <w:szCs w:val="32"/>
          <w:rtl/>
        </w:rPr>
        <w:t xml:space="preserve"> السابق (</w:t>
      </w:r>
      <w:r>
        <w:rPr>
          <w:rFonts w:ascii="Traditional Arabic" w:hAnsi="Traditional Arabic" w:hint="cs"/>
          <w:sz w:val="32"/>
          <w:szCs w:val="32"/>
          <w:rtl/>
        </w:rPr>
        <w:t>219</w:t>
      </w:r>
      <w:r w:rsidRPr="00606D04">
        <w:rPr>
          <w:rFonts w:ascii="Traditional Arabic" w:hAnsi="Traditional Arabic"/>
          <w:sz w:val="32"/>
          <w:szCs w:val="32"/>
          <w:rtl/>
        </w:rPr>
        <w:t>).</w:t>
      </w:r>
    </w:p>
  </w:footnote>
  <w:footnote w:id="27">
    <w:p w:rsidR="000D3D21" w:rsidRPr="005473DF" w:rsidRDefault="000D3D21" w:rsidP="006F08E1">
      <w:pPr>
        <w:pStyle w:val="a7"/>
        <w:spacing w:line="440" w:lineRule="exact"/>
        <w:ind w:left="510" w:hanging="510"/>
        <w:jc w:val="lowKashida"/>
        <w:rPr>
          <w:rFonts w:ascii="Lotus Linotype" w:hAnsi="Lotus Linotype" w:cs="Lotus Linotype"/>
          <w:b/>
          <w:bCs/>
        </w:rPr>
      </w:pPr>
      <w:r w:rsidRPr="00451907">
        <w:rPr>
          <w:rFonts w:ascii="Lotus Linotype" w:hAnsi="Lotus Linotype"/>
          <w:szCs w:val="32"/>
          <w:rtl/>
        </w:rPr>
        <w:t>(</w:t>
      </w:r>
      <w:r w:rsidRPr="00451907">
        <w:rPr>
          <w:rStyle w:val="af1"/>
          <w:rFonts w:ascii="Lotus Linotype" w:hAnsi="Lotus Linotype"/>
          <w:szCs w:val="32"/>
          <w:vertAlign w:val="baseline"/>
          <w:rtl/>
        </w:rPr>
        <w:footnoteRef/>
      </w:r>
      <w:r w:rsidRPr="00451907">
        <w:rPr>
          <w:rFonts w:ascii="Lotus Linotype" w:hAnsi="Lotus Linotype"/>
          <w:szCs w:val="32"/>
          <w:rtl/>
        </w:rPr>
        <w:t>)</w:t>
      </w:r>
      <w:r>
        <w:rPr>
          <w:rFonts w:ascii="Traditional Arabic" w:hAnsi="Traditional Arabic"/>
          <w:rtl/>
        </w:rPr>
        <w:tab/>
        <w:t xml:space="preserve"> الم</w:t>
      </w:r>
      <w:r w:rsidRPr="00597C20">
        <w:rPr>
          <w:rFonts w:ascii="Traditional Arabic" w:hAnsi="Traditional Arabic"/>
          <w:rtl/>
        </w:rPr>
        <w:t>ر</w:t>
      </w:r>
      <w:r>
        <w:rPr>
          <w:rFonts w:ascii="Traditional Arabic" w:hAnsi="Traditional Arabic" w:hint="cs"/>
          <w:rtl/>
        </w:rPr>
        <w:t>جع</w:t>
      </w:r>
      <w:r w:rsidRPr="00597C20">
        <w:rPr>
          <w:rFonts w:ascii="Traditional Arabic" w:hAnsi="Traditional Arabic"/>
          <w:rtl/>
        </w:rPr>
        <w:t xml:space="preserve"> السابق (221).</w:t>
      </w:r>
    </w:p>
  </w:footnote>
  <w:footnote w:id="28">
    <w:p w:rsidR="000D3D21" w:rsidRPr="00F82838"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w:t>
      </w:r>
      <w:r>
        <w:rPr>
          <w:rFonts w:ascii="Traditional Arabic" w:hAnsi="Traditional Arabic" w:hint="cs"/>
          <w:sz w:val="32"/>
          <w:szCs w:val="32"/>
          <w:rtl/>
        </w:rPr>
        <w:t>لمرجع السابق</w:t>
      </w:r>
      <w:r>
        <w:rPr>
          <w:rFonts w:ascii="Traditional Arabic" w:hAnsi="Traditional Arabic"/>
          <w:sz w:val="32"/>
          <w:szCs w:val="32"/>
          <w:rtl/>
        </w:rPr>
        <w:t xml:space="preserve"> </w:t>
      </w:r>
      <w:r>
        <w:rPr>
          <w:rFonts w:ascii="Traditional Arabic" w:hAnsi="Traditional Arabic" w:hint="cs"/>
          <w:sz w:val="32"/>
          <w:szCs w:val="32"/>
          <w:rtl/>
        </w:rPr>
        <w:t xml:space="preserve"> </w:t>
      </w:r>
      <w:r>
        <w:rPr>
          <w:rFonts w:ascii="Traditional Arabic" w:hAnsi="Traditional Arabic"/>
          <w:sz w:val="32"/>
          <w:szCs w:val="32"/>
          <w:rtl/>
        </w:rPr>
        <w:t>(233)</w:t>
      </w:r>
      <w:r w:rsidRPr="00F82838">
        <w:rPr>
          <w:rFonts w:ascii="Traditional Arabic" w:hAnsi="Traditional Arabic"/>
          <w:sz w:val="32"/>
          <w:szCs w:val="32"/>
          <w:rtl/>
        </w:rPr>
        <w:t>.</w:t>
      </w:r>
    </w:p>
  </w:footnote>
  <w:footnote w:id="29">
    <w:p w:rsidR="000D3D21" w:rsidRPr="00F82838"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الم</w:t>
      </w:r>
      <w:r>
        <w:rPr>
          <w:rFonts w:ascii="Traditional Arabic" w:hAnsi="Traditional Arabic" w:hint="cs"/>
          <w:sz w:val="32"/>
          <w:szCs w:val="32"/>
          <w:rtl/>
        </w:rPr>
        <w:t>رجع</w:t>
      </w:r>
      <w:r w:rsidRPr="00F82838">
        <w:rPr>
          <w:rFonts w:ascii="Traditional Arabic" w:hAnsi="Traditional Arabic"/>
          <w:sz w:val="32"/>
          <w:szCs w:val="32"/>
          <w:rtl/>
        </w:rPr>
        <w:t xml:space="preserve"> السابق</w:t>
      </w:r>
      <w:r>
        <w:rPr>
          <w:rFonts w:ascii="Traditional Arabic" w:hAnsi="Traditional Arabic"/>
          <w:sz w:val="32"/>
          <w:szCs w:val="32"/>
          <w:rtl/>
        </w:rPr>
        <w:t xml:space="preserve"> (250 - 251)</w:t>
      </w:r>
      <w:r w:rsidRPr="00F82838">
        <w:rPr>
          <w:rFonts w:ascii="Traditional Arabic" w:hAnsi="Traditional Arabic"/>
          <w:sz w:val="32"/>
          <w:szCs w:val="32"/>
          <w:rtl/>
        </w:rPr>
        <w:t>.</w:t>
      </w:r>
    </w:p>
  </w:footnote>
  <w:footnote w:id="30">
    <w:p w:rsidR="000D3D21" w:rsidRPr="005473DF" w:rsidRDefault="000D3D21" w:rsidP="006F08E1">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w:t>
      </w:r>
      <w:r>
        <w:rPr>
          <w:rFonts w:ascii="Traditional Arabic" w:hAnsi="Traditional Arabic" w:hint="cs"/>
          <w:sz w:val="32"/>
          <w:szCs w:val="32"/>
          <w:rtl/>
        </w:rPr>
        <w:t>بن عثيمين  الزاهد</w:t>
      </w:r>
      <w:r>
        <w:rPr>
          <w:rFonts w:ascii="Traditional Arabic" w:hAnsi="Traditional Arabic"/>
          <w:sz w:val="32"/>
          <w:szCs w:val="32"/>
          <w:rtl/>
        </w:rPr>
        <w:t xml:space="preserve"> (425)</w:t>
      </w:r>
      <w:r w:rsidRPr="00F82838">
        <w:rPr>
          <w:rFonts w:ascii="Traditional Arabic" w:hAnsi="Traditional Arabic"/>
          <w:sz w:val="32"/>
          <w:szCs w:val="32"/>
          <w:rtl/>
        </w:rPr>
        <w:t>.</w:t>
      </w:r>
    </w:p>
  </w:footnote>
  <w:footnote w:id="31">
    <w:p w:rsidR="000D3D21" w:rsidRPr="00C330D2" w:rsidRDefault="000D3D21" w:rsidP="00C330D2">
      <w:pPr>
        <w:pStyle w:val="a7"/>
        <w:spacing w:line="440" w:lineRule="exact"/>
        <w:ind w:left="510" w:hanging="510"/>
        <w:jc w:val="lowKashida"/>
        <w:rPr>
          <w:sz w:val="32"/>
          <w:szCs w:val="32"/>
          <w:rtl/>
        </w:rPr>
      </w:pPr>
      <w:r w:rsidRPr="00C330D2">
        <w:rPr>
          <w:rStyle w:val="af1"/>
          <w:rFonts w:ascii="Traditional Arabic" w:hAnsi="Traditional Arabic"/>
          <w:sz w:val="32"/>
          <w:szCs w:val="32"/>
          <w:vertAlign w:val="baseline"/>
        </w:rPr>
        <w:footnoteRef/>
      </w:r>
      <w:r w:rsidRPr="00C330D2">
        <w:rPr>
          <w:rStyle w:val="af1"/>
          <w:rFonts w:ascii="Traditional Arabic" w:hAnsi="Traditional Arabic"/>
          <w:sz w:val="32"/>
          <w:szCs w:val="32"/>
          <w:vertAlign w:val="baseline"/>
        </w:rPr>
        <w:t>)</w:t>
      </w:r>
      <w:r w:rsidRPr="00C330D2">
        <w:rPr>
          <w:rStyle w:val="af1"/>
          <w:rFonts w:ascii="Traditional Arabic" w:hAnsi="Traditional Arabic" w:hint="cs"/>
          <w:sz w:val="32"/>
          <w:szCs w:val="32"/>
          <w:vertAlign w:val="baseline"/>
          <w:rtl/>
        </w:rPr>
        <w:t>)</w:t>
      </w:r>
      <w:r>
        <w:rPr>
          <w:rtl/>
        </w:rPr>
        <w:t xml:space="preserve"> </w:t>
      </w:r>
      <w:r>
        <w:rPr>
          <w:rFonts w:hint="cs"/>
          <w:b/>
          <w:bCs/>
          <w:sz w:val="32"/>
          <w:szCs w:val="32"/>
          <w:rtl/>
        </w:rPr>
        <w:t xml:space="preserve">تنيبه: </w:t>
      </w:r>
      <w:r>
        <w:rPr>
          <w:rFonts w:hint="cs"/>
          <w:sz w:val="32"/>
          <w:szCs w:val="32"/>
          <w:rtl/>
        </w:rPr>
        <w:t>استفدت كثيرا في هذا المطلب من رسالة القواعد والضوابط الفقهية عند الشيخ ابن عثيمين في الشرح الممتع من كتاب العبادات (1/82-98).</w:t>
      </w:r>
    </w:p>
  </w:footnote>
  <w:footnote w:id="32">
    <w:p w:rsidR="000D3D21" w:rsidRPr="00062348"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w:t>
      </w:r>
      <w:r w:rsidRPr="00062348">
        <w:rPr>
          <w:rFonts w:ascii="Traditional Arabic" w:hAnsi="Traditional Arabic"/>
          <w:sz w:val="32"/>
          <w:szCs w:val="32"/>
          <w:rtl/>
        </w:rPr>
        <w:t>: الجامع لحياة العلَّامة محم</w:t>
      </w:r>
      <w:r>
        <w:rPr>
          <w:rFonts w:ascii="Traditional Arabic" w:hAnsi="Traditional Arabic"/>
          <w:sz w:val="32"/>
          <w:szCs w:val="32"/>
          <w:rtl/>
        </w:rPr>
        <w:t>د بن صالح العثيمين (147)</w:t>
      </w:r>
      <w:r w:rsidRPr="00062348">
        <w:rPr>
          <w:rFonts w:ascii="Traditional Arabic" w:hAnsi="Traditional Arabic"/>
          <w:sz w:val="32"/>
          <w:szCs w:val="32"/>
          <w:rtl/>
        </w:rPr>
        <w:t xml:space="preserve">. </w:t>
      </w:r>
    </w:p>
  </w:footnote>
  <w:footnote w:id="33">
    <w:p w:rsidR="000D3D21" w:rsidRPr="00062348"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w:t>
      </w:r>
      <w:r w:rsidRPr="00062348">
        <w:rPr>
          <w:rFonts w:ascii="Traditional Arabic" w:hAnsi="Traditional Arabic"/>
          <w:sz w:val="32"/>
          <w:szCs w:val="32"/>
          <w:rtl/>
        </w:rPr>
        <w:t>: الشرح الممتع (1/6)</w:t>
      </w:r>
      <w:r>
        <w:rPr>
          <w:rFonts w:ascii="Traditional Arabic" w:hAnsi="Traditional Arabic"/>
          <w:sz w:val="32"/>
          <w:szCs w:val="32"/>
          <w:rtl/>
        </w:rPr>
        <w:t>.</w:t>
      </w:r>
    </w:p>
  </w:footnote>
  <w:footnote w:id="34">
    <w:p w:rsidR="000D3D21" w:rsidRPr="005473DF" w:rsidRDefault="000D3D21" w:rsidP="006F08E1">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062348">
        <w:rPr>
          <w:rFonts w:ascii="Traditional Arabic" w:hAnsi="Traditional Arabic"/>
          <w:sz w:val="32"/>
          <w:szCs w:val="32"/>
          <w:rtl/>
        </w:rPr>
        <w:tab/>
        <w:t>انظر : الجامع لحياة العلَّامة محمد</w:t>
      </w:r>
      <w:r>
        <w:rPr>
          <w:rFonts w:ascii="Traditional Arabic" w:hAnsi="Traditional Arabic"/>
          <w:sz w:val="32"/>
          <w:szCs w:val="32"/>
          <w:rtl/>
        </w:rPr>
        <w:t xml:space="preserve"> بن صالح العثيمين (151)</w:t>
      </w:r>
      <w:r w:rsidRPr="00062348">
        <w:rPr>
          <w:rFonts w:ascii="Traditional Arabic" w:hAnsi="Traditional Arabic"/>
          <w:sz w:val="32"/>
          <w:szCs w:val="32"/>
          <w:rtl/>
        </w:rPr>
        <w:t>.</w:t>
      </w:r>
    </w:p>
  </w:footnote>
  <w:footnote w:id="35">
    <w:p w:rsidR="000D3D21" w:rsidRPr="00C330D2" w:rsidRDefault="000D3D21">
      <w:pPr>
        <w:pStyle w:val="a7"/>
        <w:rPr>
          <w:rFonts w:ascii="Traditional Arabic" w:hAnsi="Traditional Arabic"/>
          <w:sz w:val="32"/>
          <w:szCs w:val="32"/>
          <w:rtl/>
        </w:rPr>
      </w:pPr>
      <w:r w:rsidRPr="00C330D2">
        <w:rPr>
          <w:rStyle w:val="af1"/>
          <w:rFonts w:ascii="Traditional Arabic" w:hAnsi="Traditional Arabic"/>
          <w:sz w:val="32"/>
          <w:szCs w:val="32"/>
          <w:vertAlign w:val="baseline"/>
        </w:rPr>
        <w:footnoteRef/>
      </w:r>
      <w:r w:rsidRPr="00C330D2">
        <w:rPr>
          <w:rFonts w:ascii="Traditional Arabic" w:hAnsi="Traditional Arabic"/>
          <w:sz w:val="32"/>
          <w:szCs w:val="32"/>
        </w:rPr>
        <w:t>)</w:t>
      </w:r>
      <w:r w:rsidRPr="00C330D2">
        <w:rPr>
          <w:rFonts w:ascii="Traditional Arabic" w:hAnsi="Traditional Arabic"/>
          <w:sz w:val="32"/>
          <w:szCs w:val="32"/>
          <w:rtl/>
        </w:rPr>
        <w:t xml:space="preserve">) </w:t>
      </w:r>
      <w:r>
        <w:rPr>
          <w:rFonts w:ascii="Traditional Arabic" w:hAnsi="Traditional Arabic" w:hint="cs"/>
          <w:sz w:val="32"/>
          <w:szCs w:val="32"/>
          <w:rtl/>
        </w:rPr>
        <w:t xml:space="preserve">لم أذكر ما طُبع من الأشرطة بعد تفريغها تجنبا للتكرار؛ إذ ورد ذكرها عند سرد الآثار المفرغة.  </w:t>
      </w:r>
    </w:p>
  </w:footnote>
  <w:footnote w:id="36">
    <w:p w:rsidR="000D3D21" w:rsidRPr="00C330D2" w:rsidRDefault="000D3D21" w:rsidP="00C330D2">
      <w:pPr>
        <w:spacing w:line="640" w:lineRule="exact"/>
        <w:ind w:left="360" w:firstLine="0"/>
        <w:jc w:val="lowKashida"/>
        <w:rPr>
          <w:rFonts w:ascii="Traditional Arabic" w:hAnsi="Traditional Arabic"/>
          <w:sz w:val="32"/>
          <w:szCs w:val="32"/>
        </w:rPr>
      </w:pPr>
      <w:r w:rsidRPr="00C330D2">
        <w:rPr>
          <w:rStyle w:val="af1"/>
          <w:rFonts w:ascii="Traditional Arabic" w:hAnsi="Traditional Arabic"/>
          <w:sz w:val="32"/>
          <w:szCs w:val="32"/>
          <w:vertAlign w:val="baseline"/>
        </w:rPr>
        <w:footnoteRef/>
      </w:r>
      <w:r w:rsidRPr="00C330D2">
        <w:rPr>
          <w:rFonts w:ascii="Traditional Arabic" w:hAnsi="Traditional Arabic"/>
          <w:sz w:val="32"/>
          <w:szCs w:val="32"/>
        </w:rPr>
        <w:t>)</w:t>
      </w:r>
      <w:r w:rsidRPr="00C330D2">
        <w:rPr>
          <w:rFonts w:ascii="Traditional Arabic" w:hAnsi="Traditional Arabic"/>
          <w:sz w:val="32"/>
          <w:szCs w:val="32"/>
          <w:rtl/>
        </w:rPr>
        <w:t xml:space="preserve">) </w:t>
      </w:r>
      <w:r w:rsidRPr="00C330D2">
        <w:rPr>
          <w:rFonts w:ascii="Traditional Arabic" w:hAnsi="Traditional Arabic" w:hint="cs"/>
          <w:sz w:val="32"/>
          <w:szCs w:val="32"/>
          <w:rtl/>
        </w:rPr>
        <w:t>وقد فرَّغ محقق كتاب قواعد ابن رجب: مشهور حسن آل سلمان هذا الشرح، وأثبته في حاشية كتاب القواعد، ورمز لتعليقات الشيخ بحرف (ع)</w:t>
      </w:r>
      <w:r w:rsidRPr="00C330D2">
        <w:rPr>
          <w:rFonts w:ascii="Traditional Arabic" w:hAnsi="Traditional Arabic"/>
          <w:sz w:val="32"/>
          <w:szCs w:val="32"/>
          <w:rtl/>
        </w:rPr>
        <w:t>.</w:t>
      </w:r>
      <w:r w:rsidRPr="00C330D2">
        <w:rPr>
          <w:rFonts w:ascii="Traditional Arabic" w:hAnsi="Traditional Arabic" w:hint="cs"/>
          <w:sz w:val="32"/>
          <w:szCs w:val="32"/>
          <w:rtl/>
        </w:rPr>
        <w:t>انظر مقدمة تحقيق قواعد ابن رجب (1/22-23).</w:t>
      </w:r>
    </w:p>
    <w:p w:rsidR="000D3D21" w:rsidRPr="00CB14DC" w:rsidRDefault="000D3D21">
      <w:pPr>
        <w:pStyle w:val="a7"/>
        <w:rPr>
          <w:rFonts w:ascii="Traditional Arabic" w:hAnsi="Traditional Arabic"/>
          <w:sz w:val="32"/>
          <w:szCs w:val="32"/>
          <w:rtl/>
        </w:rPr>
      </w:pPr>
    </w:p>
  </w:footnote>
  <w:footnote w:id="37">
    <w:p w:rsidR="000D3D21" w:rsidRPr="006F5F1F" w:rsidRDefault="000D3D21">
      <w:pPr>
        <w:pStyle w:val="a7"/>
        <w:rPr>
          <w:rFonts w:ascii="Traditional Arabic" w:hAnsi="Traditional Arabic"/>
          <w:sz w:val="32"/>
          <w:szCs w:val="32"/>
          <w:rtl/>
        </w:rPr>
      </w:pPr>
      <w:r w:rsidRPr="006F5F1F">
        <w:rPr>
          <w:rStyle w:val="af1"/>
          <w:rFonts w:ascii="Traditional Arabic" w:hAnsi="Traditional Arabic"/>
          <w:sz w:val="32"/>
          <w:szCs w:val="32"/>
          <w:vertAlign w:val="baseline"/>
        </w:rPr>
        <w:footnoteRef/>
      </w:r>
      <w:r w:rsidRPr="006F5F1F">
        <w:rPr>
          <w:rFonts w:ascii="Traditional Arabic" w:hAnsi="Traditional Arabic"/>
          <w:sz w:val="32"/>
          <w:szCs w:val="32"/>
        </w:rPr>
        <w:t>)</w:t>
      </w:r>
      <w:r w:rsidRPr="006F5F1F">
        <w:rPr>
          <w:rFonts w:ascii="Traditional Arabic" w:hAnsi="Traditional Arabic"/>
          <w:sz w:val="32"/>
          <w:szCs w:val="32"/>
          <w:rtl/>
        </w:rPr>
        <w:t xml:space="preserve">) </w:t>
      </w:r>
      <w:r>
        <w:rPr>
          <w:rFonts w:ascii="Traditional Arabic" w:hAnsi="Traditional Arabic" w:hint="cs"/>
          <w:sz w:val="32"/>
          <w:szCs w:val="32"/>
          <w:rtl/>
        </w:rPr>
        <w:t>ذكر الدكتور عبد الله بن الشيخ العثيمين _في محاضرة ألقاها هو والشيخ سامي الصقير بالجامعة الإسلامية في حدود شهر جمادى الأولى من عام 1433ه_ أن فتاوى نور على الدرب ستطبع قريبا.</w:t>
      </w:r>
    </w:p>
  </w:footnote>
  <w:footnote w:id="38">
    <w:p w:rsidR="000D3D21" w:rsidRPr="005473DF" w:rsidRDefault="000D3D21" w:rsidP="006F08E1">
      <w:pPr>
        <w:pStyle w:val="a7"/>
        <w:spacing w:line="440" w:lineRule="exact"/>
        <w:ind w:left="510" w:hanging="510"/>
        <w:jc w:val="lowKashida"/>
        <w:rPr>
          <w:rFonts w:ascii="Lotus Linotype" w:hAnsi="Lotus Linotype" w:cs="Lotus Linotype" w:hint="cs"/>
          <w:b/>
          <w:bCs/>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للاستزادة انظر</w:t>
      </w:r>
      <w:r w:rsidRPr="00062348">
        <w:rPr>
          <w:rFonts w:ascii="Traditional Arabic" w:hAnsi="Traditional Arabic"/>
          <w:sz w:val="32"/>
          <w:szCs w:val="32"/>
          <w:rtl/>
        </w:rPr>
        <w:t>: موقع فضيلة الشيخ العلَّامة محمد بن صالح العثيمين (</w:t>
      </w:r>
      <w:r w:rsidRPr="00062348">
        <w:rPr>
          <w:rFonts w:ascii="Traditional Arabic" w:hAnsi="Traditional Arabic"/>
          <w:sz w:val="32"/>
          <w:szCs w:val="32"/>
        </w:rPr>
        <w:t>www.binothaimeen.com</w:t>
      </w:r>
      <w:r>
        <w:rPr>
          <w:rFonts w:ascii="Traditional Arabic" w:hAnsi="Traditional Arabic"/>
          <w:sz w:val="32"/>
          <w:szCs w:val="32"/>
          <w:rtl/>
        </w:rPr>
        <w:t>)</w:t>
      </w:r>
      <w:r w:rsidRPr="00062348">
        <w:rPr>
          <w:rFonts w:ascii="Traditional Arabic" w:hAnsi="Traditional Arabic"/>
          <w:sz w:val="32"/>
          <w:szCs w:val="32"/>
          <w:rtl/>
        </w:rPr>
        <w:t>، وفهرس تسجيلات التق</w:t>
      </w:r>
      <w:r>
        <w:rPr>
          <w:rFonts w:ascii="Traditional Arabic" w:hAnsi="Traditional Arabic"/>
          <w:sz w:val="32"/>
          <w:szCs w:val="32"/>
          <w:rtl/>
        </w:rPr>
        <w:t>وى وتسجيلات الاستقامة الإسلامية</w:t>
      </w:r>
      <w:r w:rsidRPr="00062348">
        <w:rPr>
          <w:rFonts w:ascii="Traditional Arabic" w:hAnsi="Traditional Arabic"/>
          <w:sz w:val="32"/>
          <w:szCs w:val="32"/>
          <w:rtl/>
        </w:rPr>
        <w:t>.</w:t>
      </w:r>
    </w:p>
  </w:footnote>
  <w:footnote w:id="39">
    <w:p w:rsidR="000D3D21" w:rsidRPr="00E35D22"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w:t>
      </w:r>
      <w:r w:rsidRPr="00E35D22">
        <w:rPr>
          <w:rFonts w:ascii="Traditional Arabic" w:hAnsi="Traditional Arabic"/>
          <w:sz w:val="32"/>
          <w:szCs w:val="32"/>
          <w:rtl/>
        </w:rPr>
        <w:t>: تقرير موجز مؤسسة الشيخ محمد بن صالح الع</w:t>
      </w:r>
      <w:r>
        <w:rPr>
          <w:rFonts w:ascii="Traditional Arabic" w:hAnsi="Traditional Arabic"/>
          <w:sz w:val="32"/>
          <w:szCs w:val="32"/>
          <w:rtl/>
        </w:rPr>
        <w:t>ثيمين الخيرية (18)، رجب 1428هـ</w:t>
      </w:r>
      <w:r w:rsidRPr="00E35D22">
        <w:rPr>
          <w:rFonts w:ascii="Traditional Arabic" w:hAnsi="Traditional Arabic"/>
          <w:sz w:val="32"/>
          <w:szCs w:val="32"/>
          <w:rtl/>
        </w:rPr>
        <w:t xml:space="preserve">. </w:t>
      </w:r>
    </w:p>
  </w:footnote>
  <w:footnote w:id="40">
    <w:p w:rsidR="000D3D21" w:rsidRDefault="000D3D21">
      <w:pPr>
        <w:pStyle w:val="a7"/>
        <w:rPr>
          <w:rFonts w:ascii="Traditional Arabic" w:hAnsi="Traditional Arabic"/>
          <w:sz w:val="32"/>
          <w:szCs w:val="32"/>
          <w:rtl/>
        </w:rPr>
      </w:pPr>
      <w:r w:rsidRPr="00AB26F0">
        <w:rPr>
          <w:rStyle w:val="af1"/>
          <w:rFonts w:ascii="Traditional Arabic" w:hAnsi="Traditional Arabic"/>
          <w:sz w:val="32"/>
          <w:szCs w:val="32"/>
          <w:vertAlign w:val="baseline"/>
        </w:rPr>
        <w:footnoteRef/>
      </w:r>
      <w:r w:rsidRPr="00AB26F0">
        <w:rPr>
          <w:rFonts w:ascii="Traditional Arabic" w:hAnsi="Traditional Arabic"/>
          <w:sz w:val="32"/>
          <w:szCs w:val="32"/>
        </w:rPr>
        <w:t>)</w:t>
      </w:r>
      <w:r w:rsidRPr="00AB26F0">
        <w:rPr>
          <w:rFonts w:ascii="Traditional Arabic" w:hAnsi="Traditional Arabic"/>
          <w:sz w:val="32"/>
          <w:szCs w:val="32"/>
          <w:rtl/>
        </w:rPr>
        <w:t xml:space="preserve">) </w:t>
      </w:r>
      <w:r>
        <w:rPr>
          <w:rFonts w:ascii="Traditional Arabic" w:hAnsi="Traditional Arabic" w:hint="cs"/>
          <w:sz w:val="32"/>
          <w:szCs w:val="32"/>
          <w:rtl/>
        </w:rPr>
        <w:t>هو موسى بن أحمد بن موسى بن سالم شرف الدين أبو النجا الحجاوي، كان إماما بارعا محدثا فقيها أصوليا ورعا، انفرد في عصره بتحقيق مذهب  أحمد، وانتهت إليه مشيخة السادة الحنابلة والفتوى، من شيوخه العلامة الشويكي، لازمه في الفقه إلى أن تمكن فيه تمكنا تاما، ومن تلاميذه: القاضي شمس الدين بن طريف، والقاضي شمس الدين الرجيحي، والقاضي أحمد الوفائي المفلحي، ومن مؤلفاته: الإقناع لطالب الانتفاع، وزاد المستقنع في اختصار المقنع، وحاشية التنقيح.ولد سنة 895ه، وتوفي سنة 968ه.</w:t>
      </w:r>
    </w:p>
    <w:p w:rsidR="000D3D21" w:rsidRPr="00AB26F0" w:rsidRDefault="000D3D21" w:rsidP="00440348">
      <w:pPr>
        <w:pStyle w:val="a7"/>
        <w:rPr>
          <w:rFonts w:ascii="Traditional Arabic" w:hAnsi="Traditional Arabic"/>
          <w:sz w:val="32"/>
          <w:szCs w:val="32"/>
          <w:rtl/>
        </w:rPr>
      </w:pPr>
      <w:r>
        <w:rPr>
          <w:rFonts w:ascii="Traditional Arabic" w:hAnsi="Traditional Arabic" w:hint="cs"/>
          <w:sz w:val="32"/>
          <w:szCs w:val="32"/>
          <w:rtl/>
        </w:rPr>
        <w:t xml:space="preserve">     انظر: السحب الوابلة على ضرائح الحنابلة لمحمد بن عبد الله بن حميد النجدي (3/1134)، والكوكب السائرة بأعيان المائة العاشرة لنجم الدين محمد بن محمد الغزي (3/192)، والمدخل المفصل إلى فقه  أحمد بن حنبل وتخريجات الأصحاب لبكر بن عبد الله أبوزيد (1/472).</w:t>
      </w:r>
    </w:p>
  </w:footnote>
  <w:footnote w:id="41">
    <w:p w:rsidR="000D3D21" w:rsidRPr="00475A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475AF0">
        <w:rPr>
          <w:rFonts w:ascii="Traditional Arabic" w:hAnsi="Traditional Arabic"/>
          <w:sz w:val="32"/>
          <w:szCs w:val="32"/>
          <w:rtl/>
        </w:rPr>
        <w:tab/>
        <w:t>الشرح الممتع (1/5 – 6)</w:t>
      </w:r>
      <w:r>
        <w:rPr>
          <w:rFonts w:ascii="Traditional Arabic" w:hAnsi="Traditional Arabic"/>
          <w:sz w:val="32"/>
          <w:szCs w:val="32"/>
          <w:rtl/>
        </w:rPr>
        <w:t xml:space="preserve">. </w:t>
      </w:r>
    </w:p>
  </w:footnote>
  <w:footnote w:id="42">
    <w:p w:rsidR="000D3D21" w:rsidRPr="00843409" w:rsidRDefault="000D3D21" w:rsidP="00363638">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شـــريط</w:t>
      </w:r>
      <w:r w:rsidRPr="00475AF0">
        <w:rPr>
          <w:rFonts w:ascii="Traditional Arabic" w:hAnsi="Traditional Arabic"/>
          <w:sz w:val="32"/>
          <w:szCs w:val="32"/>
          <w:rtl/>
        </w:rPr>
        <w:t xml:space="preserve">: على طريق الدعـــوة، مقابلــــة أجراها : د. عبدالرحمن العشماوي مع الشيخ ابن عثيمين – </w:t>
      </w:r>
      <w:r>
        <w:rPr>
          <w:rFonts w:ascii="Traditional Arabic" w:hAnsi="Traditional Arabic" w:cs="CTraditional Arabic" w:hint="cs"/>
          <w:rtl/>
        </w:rPr>
        <w:t>/</w:t>
      </w:r>
      <w:r>
        <w:rPr>
          <w:rFonts w:ascii="Traditional Arabic" w:hAnsi="Traditional Arabic" w:hint="cs"/>
          <w:sz w:val="32"/>
          <w:szCs w:val="32"/>
          <w:rtl/>
        </w:rPr>
        <w:t xml:space="preserve"> بواسطة القواعد والضوابط الفقهية عند الشيخ ابن عثيمين في الشرح الممتع من كتاب العبادات (1/128).</w:t>
      </w:r>
      <w:r w:rsidRPr="00475AF0">
        <w:rPr>
          <w:rFonts w:ascii="Traditional Arabic" w:hAnsi="Traditional Arabic"/>
          <w:sz w:val="32"/>
          <w:szCs w:val="32"/>
          <w:rtl/>
        </w:rPr>
        <w:tab/>
      </w:r>
    </w:p>
  </w:footnote>
  <w:footnote w:id="43">
    <w:p w:rsidR="000D3D21" w:rsidRPr="00475A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sidRPr="00475AF0">
        <w:rPr>
          <w:rFonts w:ascii="Traditional Arabic" w:hAnsi="Traditional Arabic"/>
          <w:sz w:val="32"/>
          <w:szCs w:val="32"/>
          <w:rtl/>
        </w:rPr>
        <w:tab/>
        <w:t>الشرح الممتع (1/16 – 17)</w:t>
      </w:r>
      <w:r>
        <w:rPr>
          <w:rFonts w:ascii="Traditional Arabic" w:hAnsi="Traditional Arabic"/>
          <w:sz w:val="32"/>
          <w:szCs w:val="32"/>
          <w:rtl/>
        </w:rPr>
        <w:t>.</w:t>
      </w:r>
    </w:p>
  </w:footnote>
  <w:footnote w:id="44">
    <w:p w:rsidR="000D3D21" w:rsidRPr="00510C76" w:rsidRDefault="000D3D21">
      <w:pPr>
        <w:pStyle w:val="a7"/>
        <w:rPr>
          <w:rFonts w:ascii="Traditional Arabic" w:hAnsi="Traditional Arabic"/>
          <w:sz w:val="32"/>
          <w:szCs w:val="32"/>
          <w:rtl/>
        </w:rPr>
      </w:pPr>
      <w:r w:rsidRPr="00510C76">
        <w:rPr>
          <w:rStyle w:val="af1"/>
          <w:rFonts w:ascii="Traditional Arabic" w:hAnsi="Traditional Arabic"/>
          <w:sz w:val="32"/>
          <w:szCs w:val="32"/>
          <w:vertAlign w:val="baseline"/>
        </w:rPr>
        <w:footnoteRef/>
      </w:r>
      <w:r w:rsidRPr="00510C76">
        <w:rPr>
          <w:rFonts w:ascii="Traditional Arabic" w:hAnsi="Traditional Arabic"/>
          <w:sz w:val="32"/>
          <w:szCs w:val="32"/>
        </w:rPr>
        <w:t>)</w:t>
      </w:r>
      <w:r w:rsidRPr="00510C76">
        <w:rPr>
          <w:rFonts w:ascii="Traditional Arabic" w:hAnsi="Traditional Arabic"/>
          <w:sz w:val="32"/>
          <w:szCs w:val="32"/>
          <w:rtl/>
        </w:rPr>
        <w:t xml:space="preserve">) </w:t>
      </w:r>
      <w:r>
        <w:rPr>
          <w:rFonts w:ascii="Traditional Arabic" w:hAnsi="Traditional Arabic" w:hint="cs"/>
          <w:sz w:val="32"/>
          <w:szCs w:val="32"/>
          <w:rtl/>
        </w:rPr>
        <w:t>المرجع السابق (8/309).</w:t>
      </w:r>
    </w:p>
  </w:footnote>
  <w:footnote w:id="45">
    <w:p w:rsidR="000D3D21" w:rsidRPr="00510C76" w:rsidRDefault="000D3D21">
      <w:pPr>
        <w:pStyle w:val="a7"/>
        <w:rPr>
          <w:rFonts w:ascii="Traditional Arabic" w:hAnsi="Traditional Arabic"/>
          <w:sz w:val="32"/>
          <w:szCs w:val="32"/>
          <w:rtl/>
        </w:rPr>
      </w:pPr>
      <w:r w:rsidRPr="00510C76">
        <w:rPr>
          <w:rStyle w:val="af1"/>
          <w:rFonts w:ascii="Traditional Arabic" w:hAnsi="Traditional Arabic"/>
          <w:sz w:val="32"/>
          <w:szCs w:val="32"/>
          <w:vertAlign w:val="baseline"/>
        </w:rPr>
        <w:footnoteRef/>
      </w:r>
      <w:r w:rsidRPr="00510C76">
        <w:rPr>
          <w:rFonts w:ascii="Traditional Arabic" w:hAnsi="Traditional Arabic"/>
          <w:sz w:val="32"/>
          <w:szCs w:val="32"/>
        </w:rPr>
        <w:t>)</w:t>
      </w:r>
      <w:r w:rsidRPr="00510C76">
        <w:rPr>
          <w:rFonts w:ascii="Traditional Arabic" w:hAnsi="Traditional Arabic"/>
          <w:sz w:val="32"/>
          <w:szCs w:val="32"/>
          <w:rtl/>
        </w:rPr>
        <w:t xml:space="preserve">) </w:t>
      </w:r>
      <w:r>
        <w:rPr>
          <w:rFonts w:ascii="Traditional Arabic" w:hAnsi="Traditional Arabic" w:hint="cs"/>
          <w:sz w:val="32"/>
          <w:szCs w:val="32"/>
          <w:rtl/>
        </w:rPr>
        <w:t>المرجع السابق (9/319).</w:t>
      </w:r>
    </w:p>
  </w:footnote>
  <w:footnote w:id="46">
    <w:p w:rsidR="000D3D21" w:rsidRPr="00475A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 انظر </w:t>
      </w:r>
      <w:r>
        <w:rPr>
          <w:rFonts w:ascii="Traditional Arabic" w:hAnsi="Traditional Arabic" w:hint="cs"/>
          <w:sz w:val="32"/>
          <w:szCs w:val="32"/>
          <w:rtl/>
        </w:rPr>
        <w:t>للاستزادة: الاختيارات والترجيحات للشيخ العلامة محمد بن صالح العثيمين في كتابه الشرح الممتع لعبد الله بن يوسف الحافي (123-139)</w:t>
      </w:r>
      <w:r>
        <w:rPr>
          <w:rFonts w:ascii="Traditional Arabic" w:hAnsi="Traditional Arabic"/>
          <w:sz w:val="32"/>
          <w:szCs w:val="32"/>
          <w:rtl/>
        </w:rPr>
        <w:t>.</w:t>
      </w:r>
    </w:p>
  </w:footnote>
  <w:footnote w:id="47">
    <w:p w:rsidR="000D3D21" w:rsidRPr="00B90A7C" w:rsidRDefault="000D3D21">
      <w:pPr>
        <w:pStyle w:val="a7"/>
        <w:rPr>
          <w:rFonts w:ascii="Traditional Arabic" w:hAnsi="Traditional Arabic"/>
          <w:sz w:val="32"/>
          <w:szCs w:val="32"/>
          <w:rtl/>
        </w:rPr>
      </w:pPr>
      <w:r w:rsidRPr="00B90A7C">
        <w:rPr>
          <w:rStyle w:val="af1"/>
          <w:rFonts w:ascii="Traditional Arabic" w:hAnsi="Traditional Arabic"/>
          <w:sz w:val="32"/>
          <w:szCs w:val="32"/>
          <w:vertAlign w:val="baseline"/>
        </w:rPr>
        <w:footnoteRef/>
      </w:r>
      <w:r w:rsidRPr="00B90A7C">
        <w:rPr>
          <w:rFonts w:ascii="Traditional Arabic" w:hAnsi="Traditional Arabic"/>
          <w:sz w:val="32"/>
          <w:szCs w:val="32"/>
        </w:rPr>
        <w:t>)</w:t>
      </w:r>
      <w:r w:rsidRPr="00B90A7C">
        <w:rPr>
          <w:rFonts w:ascii="Traditional Arabic" w:hAnsi="Traditional Arabic"/>
          <w:sz w:val="32"/>
          <w:szCs w:val="32"/>
          <w:rtl/>
        </w:rPr>
        <w:t xml:space="preserve">) </w:t>
      </w:r>
      <w:r>
        <w:rPr>
          <w:rFonts w:ascii="Traditional Arabic" w:hAnsi="Traditional Arabic" w:hint="cs"/>
          <w:sz w:val="32"/>
          <w:szCs w:val="32"/>
          <w:rtl/>
        </w:rPr>
        <w:t xml:space="preserve">ركزت على ذكر الأمثلة المتعلقة بالمعاملات، وأما ما يتعلق بالعبادات فينظر: القواعد والضوابط الفقهية عند الشيخ ابن عثيمين في الشرح الممتع من كتاب العبادات (1/136).  </w:t>
      </w:r>
    </w:p>
  </w:footnote>
  <w:footnote w:id="48">
    <w:p w:rsidR="000D3D21" w:rsidRPr="00825695" w:rsidRDefault="000D3D21">
      <w:pPr>
        <w:pStyle w:val="a7"/>
        <w:rPr>
          <w:rFonts w:ascii="Traditional Arabic" w:hAnsi="Traditional Arabic"/>
          <w:sz w:val="32"/>
          <w:szCs w:val="32"/>
        </w:rPr>
      </w:pPr>
      <w:r w:rsidRPr="00825695">
        <w:rPr>
          <w:rStyle w:val="af1"/>
          <w:rFonts w:ascii="Traditional Arabic" w:hAnsi="Traditional Arabic"/>
          <w:sz w:val="32"/>
          <w:szCs w:val="32"/>
          <w:vertAlign w:val="baseline"/>
        </w:rPr>
        <w:footnoteRef/>
      </w:r>
      <w:r w:rsidRPr="00825695">
        <w:rPr>
          <w:rFonts w:ascii="Traditional Arabic" w:hAnsi="Traditional Arabic"/>
          <w:sz w:val="32"/>
          <w:szCs w:val="32"/>
        </w:rPr>
        <w:t>)</w:t>
      </w:r>
      <w:r w:rsidRPr="00825695">
        <w:rPr>
          <w:rFonts w:ascii="Traditional Arabic" w:hAnsi="Traditional Arabic"/>
          <w:sz w:val="32"/>
          <w:szCs w:val="32"/>
          <w:rtl/>
        </w:rPr>
        <w:t xml:space="preserve">) </w:t>
      </w:r>
      <w:r>
        <w:rPr>
          <w:rFonts w:ascii="Traditional Arabic" w:hAnsi="Traditional Arabic" w:hint="cs"/>
          <w:sz w:val="32"/>
          <w:szCs w:val="32"/>
          <w:rtl/>
        </w:rPr>
        <w:t>انظر الشرح الممتع (8/313).</w:t>
      </w:r>
    </w:p>
  </w:footnote>
  <w:footnote w:id="49">
    <w:p w:rsidR="000D3D21" w:rsidRDefault="000D3D21">
      <w:pPr>
        <w:pStyle w:val="a7"/>
        <w:rPr>
          <w:sz w:val="32"/>
          <w:szCs w:val="32"/>
          <w:rtl/>
        </w:rPr>
      </w:pPr>
      <w:r w:rsidRPr="00825695">
        <w:rPr>
          <w:rStyle w:val="af1"/>
          <w:rFonts w:ascii="Traditional Arabic" w:hAnsi="Traditional Arabic"/>
          <w:sz w:val="32"/>
          <w:szCs w:val="32"/>
          <w:vertAlign w:val="baseline"/>
        </w:rPr>
        <w:footnoteRef/>
      </w:r>
      <w:r w:rsidRPr="00825695">
        <w:rPr>
          <w:rFonts w:ascii="Traditional Arabic" w:hAnsi="Traditional Arabic"/>
          <w:sz w:val="32"/>
          <w:szCs w:val="32"/>
        </w:rPr>
        <w:t>)</w:t>
      </w:r>
      <w:r w:rsidRPr="00825695">
        <w:rPr>
          <w:rFonts w:ascii="Traditional Arabic" w:hAnsi="Traditional Arabic"/>
          <w:sz w:val="32"/>
          <w:szCs w:val="32"/>
          <w:rtl/>
        </w:rPr>
        <w:t>)</w:t>
      </w:r>
      <w:r w:rsidRPr="00825695">
        <w:rPr>
          <w:sz w:val="32"/>
          <w:szCs w:val="32"/>
          <w:rtl/>
        </w:rPr>
        <w:t xml:space="preserve"> </w:t>
      </w:r>
      <w:r>
        <w:rPr>
          <w:rFonts w:hint="cs"/>
          <w:sz w:val="32"/>
          <w:szCs w:val="32"/>
          <w:rtl/>
        </w:rPr>
        <w:t>انظر المرجع السابق (10/28-29).</w:t>
      </w:r>
    </w:p>
    <w:p w:rsidR="000D3D21" w:rsidRPr="00825695" w:rsidRDefault="000D3D21">
      <w:pPr>
        <w:pStyle w:val="a7"/>
        <w:rPr>
          <w:sz w:val="32"/>
          <w:szCs w:val="32"/>
          <w:rtl/>
        </w:rPr>
      </w:pPr>
      <w:r>
        <w:rPr>
          <w:rFonts w:hint="cs"/>
          <w:sz w:val="32"/>
          <w:szCs w:val="32"/>
          <w:rtl/>
        </w:rPr>
        <w:t xml:space="preserve">     </w:t>
      </w:r>
      <w:r w:rsidRPr="00825695">
        <w:rPr>
          <w:rFonts w:hint="cs"/>
          <w:sz w:val="32"/>
          <w:szCs w:val="32"/>
          <w:rtl/>
        </w:rPr>
        <w:t>وضح الشيخ ابن عثيمين</w:t>
      </w:r>
      <w:r>
        <w:rPr>
          <w:rFonts w:hint="cs"/>
          <w:sz w:val="32"/>
          <w:szCs w:val="32"/>
          <w:rtl/>
        </w:rPr>
        <w:t>_رحمه الله_</w:t>
      </w:r>
      <w:r w:rsidRPr="00825695">
        <w:rPr>
          <w:rFonts w:hint="cs"/>
          <w:sz w:val="32"/>
          <w:szCs w:val="32"/>
          <w:rtl/>
        </w:rPr>
        <w:t xml:space="preserve"> صورة البيع على التصريف فقال: (</w:t>
      </w:r>
      <w:r w:rsidRPr="00825695">
        <w:rPr>
          <w:rFonts w:ascii="Traditional Arabic" w:hAnsi="Traditional Arabic"/>
          <w:noProof w:val="0"/>
          <w:sz w:val="32"/>
          <w:szCs w:val="32"/>
          <w:rtl/>
          <w:lang w:eastAsia="en-US"/>
        </w:rPr>
        <w:t>وننتقل من هذا إلى مسألة بدأ الناس يتعاملون بها الآن وهي البيع على التصريف، مثال ذلك قال: هذه خمسة كراتين حليب أو خمس سلات خبز يبيعها على البقال على التصريف، يعني يأتي إليه في آخر النهار ويقول: كم صرفت؟ يقول كذا وكذا، فيقول له: هو عليك بكذا</w:t>
      </w:r>
      <w:r>
        <w:rPr>
          <w:rFonts w:ascii="Traditional Arabic" w:hAnsi="Traditional Arabic" w:hint="cs"/>
          <w:noProof w:val="0"/>
          <w:sz w:val="32"/>
          <w:szCs w:val="32"/>
          <w:rtl/>
          <w:lang w:eastAsia="en-US"/>
        </w:rPr>
        <w:t>،</w:t>
      </w:r>
      <w:r w:rsidRPr="00825695">
        <w:rPr>
          <w:rFonts w:ascii="Traditional Arabic" w:hAnsi="Traditional Arabic"/>
          <w:noProof w:val="0"/>
          <w:sz w:val="32"/>
          <w:szCs w:val="32"/>
          <w:rtl/>
          <w:lang w:eastAsia="en-US"/>
        </w:rPr>
        <w:t xml:space="preserve"> والباقي رده ويسقط من الثمن</w:t>
      </w:r>
      <w:r>
        <w:rPr>
          <w:rFonts w:ascii="Traditional Arabic" w:hAnsi="Traditional Arabic" w:hint="cs"/>
          <w:noProof w:val="0"/>
          <w:sz w:val="32"/>
          <w:szCs w:val="32"/>
          <w:rtl/>
          <w:lang w:eastAsia="en-US"/>
        </w:rPr>
        <w:t>). الشرح الممتع (10/28).</w:t>
      </w:r>
    </w:p>
  </w:footnote>
  <w:footnote w:id="50">
    <w:p w:rsidR="000D3D21" w:rsidRDefault="000D3D21">
      <w:pPr>
        <w:pStyle w:val="a7"/>
        <w:rPr>
          <w:rFonts w:ascii="Traditional Arabic" w:hAnsi="Traditional Arabic"/>
          <w:sz w:val="32"/>
          <w:szCs w:val="32"/>
          <w:rtl/>
        </w:rPr>
      </w:pPr>
      <w:r w:rsidRPr="00553BA1">
        <w:rPr>
          <w:rStyle w:val="af1"/>
          <w:rFonts w:ascii="Traditional Arabic" w:hAnsi="Traditional Arabic"/>
          <w:sz w:val="32"/>
          <w:szCs w:val="32"/>
          <w:vertAlign w:val="baseline"/>
        </w:rPr>
        <w:footnoteRef/>
      </w:r>
      <w:r w:rsidRPr="00553BA1">
        <w:rPr>
          <w:rFonts w:ascii="Traditional Arabic" w:hAnsi="Traditional Arabic"/>
          <w:sz w:val="32"/>
          <w:szCs w:val="32"/>
        </w:rPr>
        <w:t>)</w:t>
      </w:r>
      <w:r w:rsidRPr="00553BA1">
        <w:rPr>
          <w:rFonts w:ascii="Traditional Arabic" w:hAnsi="Traditional Arabic"/>
          <w:sz w:val="32"/>
          <w:szCs w:val="32"/>
          <w:rtl/>
        </w:rPr>
        <w:t xml:space="preserve">) </w:t>
      </w:r>
      <w:r>
        <w:rPr>
          <w:rFonts w:ascii="Traditional Arabic" w:hAnsi="Traditional Arabic" w:hint="cs"/>
          <w:sz w:val="32"/>
          <w:szCs w:val="32"/>
          <w:rtl/>
        </w:rPr>
        <w:t xml:space="preserve">انظر المرجع السابق (9/127)، و(10/337). </w:t>
      </w:r>
    </w:p>
    <w:p w:rsidR="000D3D21" w:rsidRPr="00553BA1" w:rsidRDefault="000D3D21">
      <w:pPr>
        <w:pStyle w:val="a7"/>
        <w:rPr>
          <w:rFonts w:ascii="Traditional Arabic" w:hAnsi="Traditional Arabic"/>
          <w:sz w:val="32"/>
          <w:szCs w:val="32"/>
          <w:rtl/>
        </w:rPr>
      </w:pPr>
      <w:r>
        <w:rPr>
          <w:rFonts w:ascii="Traditional Arabic" w:hAnsi="Traditional Arabic" w:hint="cs"/>
          <w:sz w:val="32"/>
          <w:szCs w:val="32"/>
          <w:rtl/>
        </w:rPr>
        <w:t xml:space="preserve">     وانظر لمزيد من المسائل: المرجع السابق (8/256، 313، 370)، و(9/58، 61، 79، 135، 247، 406، 416، 438_439)، و(10/29_29، 107، 121، 284، 286_287، 298، 400).</w:t>
      </w:r>
    </w:p>
  </w:footnote>
  <w:footnote w:id="51">
    <w:p w:rsidR="000D3D21" w:rsidRPr="00475A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 ابن عثيمين  الزاهد</w:t>
      </w:r>
      <w:r w:rsidRPr="00475AF0">
        <w:rPr>
          <w:rFonts w:ascii="Traditional Arabic" w:hAnsi="Traditional Arabic"/>
          <w:sz w:val="32"/>
          <w:szCs w:val="32"/>
          <w:rtl/>
        </w:rPr>
        <w:t xml:space="preserve"> (558)</w:t>
      </w:r>
      <w:r>
        <w:rPr>
          <w:rFonts w:ascii="Traditional Arabic" w:hAnsi="Traditional Arabic"/>
          <w:sz w:val="32"/>
          <w:szCs w:val="32"/>
          <w:rtl/>
        </w:rPr>
        <w:t>.</w:t>
      </w:r>
    </w:p>
  </w:footnote>
  <w:footnote w:id="52">
    <w:p w:rsidR="000D3D21" w:rsidRPr="00475A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ال</w:t>
      </w:r>
      <w:r>
        <w:rPr>
          <w:rFonts w:ascii="Traditional Arabic" w:hAnsi="Traditional Arabic" w:hint="cs"/>
          <w:sz w:val="32"/>
          <w:szCs w:val="32"/>
          <w:rtl/>
        </w:rPr>
        <w:t>شرح الممتع</w:t>
      </w:r>
      <w:r>
        <w:rPr>
          <w:rFonts w:ascii="Traditional Arabic" w:hAnsi="Traditional Arabic"/>
          <w:sz w:val="32"/>
          <w:szCs w:val="32"/>
          <w:rtl/>
        </w:rPr>
        <w:t xml:space="preserve"> (</w:t>
      </w:r>
      <w:r>
        <w:rPr>
          <w:rFonts w:ascii="Traditional Arabic" w:hAnsi="Traditional Arabic" w:hint="cs"/>
          <w:sz w:val="32"/>
          <w:szCs w:val="32"/>
          <w:rtl/>
        </w:rPr>
        <w:t>8/446</w:t>
      </w:r>
      <w:r w:rsidRPr="00475AF0">
        <w:rPr>
          <w:rFonts w:ascii="Traditional Arabic" w:hAnsi="Traditional Arabic"/>
          <w:sz w:val="32"/>
          <w:szCs w:val="32"/>
          <w:rtl/>
        </w:rPr>
        <w:t>)</w:t>
      </w:r>
      <w:r>
        <w:rPr>
          <w:rFonts w:ascii="Traditional Arabic" w:hAnsi="Traditional Arabic"/>
          <w:sz w:val="32"/>
          <w:szCs w:val="32"/>
          <w:rtl/>
        </w:rPr>
        <w:t>.</w:t>
      </w:r>
      <w:r>
        <w:rPr>
          <w:rFonts w:ascii="Traditional Arabic" w:hAnsi="Traditional Arabic" w:hint="cs"/>
          <w:sz w:val="32"/>
          <w:szCs w:val="32"/>
          <w:rtl/>
        </w:rPr>
        <w:t>وانظر لمزيد من الأمثلة: (8/367، 369، 372، 395، 396)، و(10/95، 118، 226).</w:t>
      </w:r>
    </w:p>
  </w:footnote>
  <w:footnote w:id="53">
    <w:p w:rsidR="000D3D21" w:rsidRPr="000A76C7" w:rsidRDefault="000D3D21">
      <w:pPr>
        <w:pStyle w:val="a7"/>
        <w:rPr>
          <w:rFonts w:ascii="Traditional Arabic" w:hAnsi="Traditional Arabic"/>
          <w:sz w:val="32"/>
          <w:szCs w:val="32"/>
          <w:rtl/>
        </w:rPr>
      </w:pPr>
      <w:r w:rsidRPr="000A76C7">
        <w:rPr>
          <w:rStyle w:val="af1"/>
          <w:rFonts w:ascii="Traditional Arabic" w:hAnsi="Traditional Arabic"/>
          <w:sz w:val="32"/>
          <w:szCs w:val="32"/>
          <w:vertAlign w:val="baseline"/>
        </w:rPr>
        <w:footnoteRef/>
      </w:r>
      <w:r w:rsidRPr="000A76C7">
        <w:rPr>
          <w:rFonts w:ascii="Traditional Arabic" w:hAnsi="Traditional Arabic"/>
          <w:sz w:val="32"/>
          <w:szCs w:val="32"/>
        </w:rPr>
        <w:t>)</w:t>
      </w:r>
      <w:r w:rsidRPr="000A76C7">
        <w:rPr>
          <w:rFonts w:ascii="Traditional Arabic" w:hAnsi="Traditional Arabic"/>
          <w:sz w:val="32"/>
          <w:szCs w:val="32"/>
          <w:rtl/>
        </w:rPr>
        <w:t xml:space="preserve">) </w:t>
      </w:r>
      <w:r>
        <w:rPr>
          <w:rFonts w:ascii="Traditional Arabic" w:hAnsi="Traditional Arabic" w:hint="cs"/>
          <w:sz w:val="32"/>
          <w:szCs w:val="32"/>
          <w:rtl/>
        </w:rPr>
        <w:t>الشرح الممتع (9/417). وانظر لمزيد من الأمثلة: (8/317)، و(9/20، 296، 326، 433).</w:t>
      </w:r>
    </w:p>
  </w:footnote>
  <w:footnote w:id="54">
    <w:p w:rsidR="000D3D21" w:rsidRPr="00475A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ال</w:t>
      </w:r>
      <w:r>
        <w:rPr>
          <w:rFonts w:ascii="Traditional Arabic" w:hAnsi="Traditional Arabic" w:hint="cs"/>
          <w:sz w:val="32"/>
          <w:szCs w:val="32"/>
          <w:rtl/>
        </w:rPr>
        <w:t>مرجع</w:t>
      </w:r>
      <w:r w:rsidRPr="00475AF0">
        <w:rPr>
          <w:rFonts w:ascii="Traditional Arabic" w:hAnsi="Traditional Arabic"/>
          <w:sz w:val="32"/>
          <w:szCs w:val="32"/>
          <w:rtl/>
        </w:rPr>
        <w:t xml:space="preserve"> السابق (2/153)</w:t>
      </w:r>
      <w:r>
        <w:rPr>
          <w:rFonts w:ascii="Traditional Arabic" w:hAnsi="Traditional Arabic"/>
          <w:sz w:val="32"/>
          <w:szCs w:val="32"/>
          <w:rtl/>
        </w:rPr>
        <w:t>.</w:t>
      </w:r>
    </w:p>
  </w:footnote>
  <w:footnote w:id="55">
    <w:p w:rsidR="000D3D21" w:rsidRPr="008D4384" w:rsidRDefault="000D3D21">
      <w:pPr>
        <w:pStyle w:val="a7"/>
        <w:rPr>
          <w:rFonts w:ascii="Traditional Arabic" w:hAnsi="Traditional Arabic"/>
          <w:sz w:val="32"/>
          <w:szCs w:val="32"/>
          <w:rtl/>
        </w:rPr>
      </w:pPr>
      <w:r w:rsidRPr="008D4384">
        <w:rPr>
          <w:rStyle w:val="af1"/>
          <w:rFonts w:ascii="Traditional Arabic" w:hAnsi="Traditional Arabic"/>
          <w:sz w:val="32"/>
          <w:szCs w:val="32"/>
          <w:vertAlign w:val="baseline"/>
        </w:rPr>
        <w:footnoteRef/>
      </w:r>
      <w:r w:rsidRPr="008D4384">
        <w:rPr>
          <w:rFonts w:ascii="Traditional Arabic" w:hAnsi="Traditional Arabic"/>
          <w:sz w:val="32"/>
          <w:szCs w:val="32"/>
        </w:rPr>
        <w:t>)</w:t>
      </w:r>
      <w:r w:rsidRPr="008D4384">
        <w:rPr>
          <w:rFonts w:ascii="Traditional Arabic" w:hAnsi="Traditional Arabic"/>
          <w:sz w:val="32"/>
          <w:szCs w:val="32"/>
          <w:rtl/>
        </w:rPr>
        <w:t xml:space="preserve">) </w:t>
      </w:r>
      <w:r>
        <w:rPr>
          <w:rFonts w:ascii="Traditional Arabic" w:hAnsi="Traditional Arabic" w:hint="cs"/>
          <w:sz w:val="32"/>
          <w:szCs w:val="32"/>
          <w:rtl/>
        </w:rPr>
        <w:t>المرجع السابق (9/368_369). ونظر (9/228).</w:t>
      </w:r>
    </w:p>
  </w:footnote>
  <w:footnote w:id="56">
    <w:p w:rsidR="000D3D21" w:rsidRPr="000A76C7" w:rsidRDefault="000D3D21" w:rsidP="008D4384">
      <w:pPr>
        <w:pStyle w:val="a7"/>
        <w:rPr>
          <w:rFonts w:ascii="Traditional Arabic" w:hAnsi="Traditional Arabic"/>
          <w:sz w:val="32"/>
          <w:szCs w:val="32"/>
          <w:rtl/>
        </w:rPr>
      </w:pPr>
      <w:r w:rsidRPr="000A76C7">
        <w:rPr>
          <w:rStyle w:val="af1"/>
          <w:rFonts w:ascii="Traditional Arabic" w:hAnsi="Traditional Arabic"/>
          <w:sz w:val="32"/>
          <w:szCs w:val="32"/>
          <w:vertAlign w:val="baseline"/>
        </w:rPr>
        <w:footnoteRef/>
      </w:r>
      <w:r w:rsidRPr="000A76C7">
        <w:rPr>
          <w:rFonts w:ascii="Traditional Arabic" w:hAnsi="Traditional Arabic"/>
          <w:sz w:val="32"/>
          <w:szCs w:val="32"/>
        </w:rPr>
        <w:t>)</w:t>
      </w:r>
      <w:r w:rsidRPr="000A76C7">
        <w:rPr>
          <w:rFonts w:ascii="Traditional Arabic" w:hAnsi="Traditional Arabic"/>
          <w:sz w:val="32"/>
          <w:szCs w:val="32"/>
          <w:rtl/>
        </w:rPr>
        <w:t xml:space="preserve">) </w:t>
      </w:r>
      <w:r>
        <w:rPr>
          <w:rFonts w:ascii="Traditional Arabic" w:hAnsi="Traditional Arabic" w:hint="cs"/>
          <w:sz w:val="32"/>
          <w:szCs w:val="32"/>
          <w:rtl/>
        </w:rPr>
        <w:t>المرجع السابق (9/437). وانظر لمزيد من الأمثلة: (8/261)، و(9/143).</w:t>
      </w:r>
    </w:p>
  </w:footnote>
  <w:footnote w:id="57">
    <w:p w:rsidR="000D3D21" w:rsidRPr="00C407BE" w:rsidRDefault="000D3D21">
      <w:pPr>
        <w:pStyle w:val="a7"/>
        <w:rPr>
          <w:rFonts w:ascii="Traditional Arabic" w:hAnsi="Traditional Arabic"/>
          <w:sz w:val="32"/>
          <w:szCs w:val="32"/>
        </w:rPr>
      </w:pPr>
      <w:r w:rsidRPr="00C407BE">
        <w:rPr>
          <w:rFonts w:ascii="Traditional Arabic" w:hAnsi="Traditional Arabic"/>
          <w:sz w:val="32"/>
          <w:szCs w:val="32"/>
          <w:rtl/>
        </w:rPr>
        <w:t>(</w:t>
      </w:r>
      <w:r w:rsidRPr="00C407BE">
        <w:rPr>
          <w:rStyle w:val="af1"/>
          <w:rFonts w:ascii="Traditional Arabic" w:hAnsi="Traditional Arabic"/>
          <w:sz w:val="32"/>
          <w:szCs w:val="32"/>
          <w:vertAlign w:val="baseline"/>
        </w:rPr>
        <w:footnoteRef/>
      </w:r>
      <w:r w:rsidRPr="00C407BE">
        <w:rPr>
          <w:rFonts w:ascii="Traditional Arabic" w:hAnsi="Traditional Arabic"/>
          <w:sz w:val="32"/>
          <w:szCs w:val="32"/>
          <w:rtl/>
        </w:rPr>
        <w:t xml:space="preserve">) </w:t>
      </w:r>
      <w:r>
        <w:rPr>
          <w:rFonts w:ascii="Traditional Arabic" w:hAnsi="Traditional Arabic" w:hint="cs"/>
          <w:sz w:val="32"/>
          <w:szCs w:val="32"/>
          <w:rtl/>
        </w:rPr>
        <w:t>انظر الشرح الممتع (8/420)، و(9/397)، و(10/227).</w:t>
      </w:r>
    </w:p>
  </w:footnote>
  <w:footnote w:id="58">
    <w:p w:rsidR="000D3D21" w:rsidRPr="002831CE" w:rsidRDefault="000D3D21">
      <w:pPr>
        <w:pStyle w:val="a7"/>
        <w:rPr>
          <w:rFonts w:ascii="Traditional Arabic" w:hAnsi="Traditional Arabic"/>
          <w:sz w:val="32"/>
          <w:szCs w:val="32"/>
          <w:rtl/>
        </w:rPr>
      </w:pPr>
      <w:r w:rsidRPr="002831CE">
        <w:rPr>
          <w:rFonts w:ascii="Traditional Arabic" w:hAnsi="Traditional Arabic"/>
          <w:sz w:val="32"/>
          <w:szCs w:val="32"/>
          <w:rtl/>
        </w:rPr>
        <w:t>(</w:t>
      </w:r>
      <w:r w:rsidRPr="002831CE">
        <w:rPr>
          <w:rStyle w:val="af1"/>
          <w:rFonts w:ascii="Traditional Arabic" w:hAnsi="Traditional Arabic"/>
          <w:sz w:val="32"/>
          <w:szCs w:val="32"/>
          <w:vertAlign w:val="baseline"/>
        </w:rPr>
        <w:footnoteRef/>
      </w:r>
      <w:r w:rsidRPr="002831CE">
        <w:rPr>
          <w:rFonts w:ascii="Traditional Arabic" w:hAnsi="Traditional Arabic"/>
          <w:sz w:val="32"/>
          <w:szCs w:val="32"/>
          <w:rtl/>
        </w:rPr>
        <w:t xml:space="preserve">) </w:t>
      </w:r>
      <w:r>
        <w:rPr>
          <w:rFonts w:ascii="Traditional Arabic" w:hAnsi="Traditional Arabic" w:hint="cs"/>
          <w:sz w:val="32"/>
          <w:szCs w:val="32"/>
          <w:rtl/>
        </w:rPr>
        <w:t>انظر فيما يتعلق بقواعد كتاب العبادات: القواعد والضوابط الفقهية عند الشيخ ابن عثيمين في الشرح الممتع من كتاب العبادات.</w:t>
      </w:r>
    </w:p>
  </w:footnote>
  <w:footnote w:id="59">
    <w:p w:rsidR="000D3D21" w:rsidRPr="00475AF0" w:rsidRDefault="000D3D21" w:rsidP="001F4718">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475AF0">
        <w:rPr>
          <w:rFonts w:ascii="Traditional Arabic" w:hAnsi="Traditional Arabic"/>
          <w:sz w:val="32"/>
          <w:szCs w:val="32"/>
          <w:rtl/>
        </w:rPr>
        <w:tab/>
        <w:t>انظر</w:t>
      </w:r>
      <w:r>
        <w:rPr>
          <w:rFonts w:ascii="Traditional Arabic" w:hAnsi="Traditional Arabic"/>
          <w:sz w:val="32"/>
          <w:szCs w:val="32"/>
          <w:rtl/>
        </w:rPr>
        <w:t xml:space="preserve"> ال</w:t>
      </w:r>
      <w:r>
        <w:rPr>
          <w:rFonts w:ascii="Traditional Arabic" w:hAnsi="Traditional Arabic" w:hint="cs"/>
          <w:sz w:val="32"/>
          <w:szCs w:val="32"/>
          <w:rtl/>
        </w:rPr>
        <w:t>شرح الممتع</w:t>
      </w:r>
      <w:r>
        <w:rPr>
          <w:rFonts w:ascii="Traditional Arabic" w:hAnsi="Traditional Arabic"/>
          <w:sz w:val="32"/>
          <w:szCs w:val="32"/>
          <w:rtl/>
        </w:rPr>
        <w:t xml:space="preserve"> (</w:t>
      </w:r>
      <w:r>
        <w:rPr>
          <w:rFonts w:ascii="Traditional Arabic" w:hAnsi="Traditional Arabic" w:hint="cs"/>
          <w:sz w:val="32"/>
          <w:szCs w:val="32"/>
          <w:rtl/>
        </w:rPr>
        <w:t>8/101-102، 141، 209، 254، 256، 368_369، 371-372، 398، 422، 444)، و</w:t>
      </w:r>
      <w:r>
        <w:rPr>
          <w:rFonts w:ascii="Traditional Arabic" w:hAnsi="Traditional Arabic"/>
          <w:sz w:val="32"/>
          <w:szCs w:val="32"/>
          <w:rtl/>
        </w:rPr>
        <w:t>(</w:t>
      </w:r>
      <w:r>
        <w:rPr>
          <w:rFonts w:ascii="Traditional Arabic" w:hAnsi="Traditional Arabic" w:hint="cs"/>
          <w:sz w:val="32"/>
          <w:szCs w:val="32"/>
          <w:rtl/>
        </w:rPr>
        <w:t>9/232</w:t>
      </w:r>
      <w:r>
        <w:rPr>
          <w:rFonts w:ascii="Traditional Arabic" w:hAnsi="Traditional Arabic"/>
          <w:sz w:val="32"/>
          <w:szCs w:val="32"/>
          <w:rtl/>
        </w:rPr>
        <w:t>) (</w:t>
      </w:r>
      <w:r>
        <w:rPr>
          <w:rFonts w:ascii="Traditional Arabic" w:hAnsi="Traditional Arabic" w:hint="cs"/>
          <w:sz w:val="32"/>
          <w:szCs w:val="32"/>
          <w:rtl/>
        </w:rPr>
        <w:t>10/31، 104، 218، 271، 368</w:t>
      </w:r>
      <w:r>
        <w:rPr>
          <w:rFonts w:ascii="Traditional Arabic" w:hAnsi="Traditional Arabic"/>
          <w:sz w:val="32"/>
          <w:szCs w:val="32"/>
          <w:rtl/>
        </w:rPr>
        <w:t>)</w:t>
      </w:r>
      <w:r>
        <w:rPr>
          <w:rFonts w:ascii="Traditional Arabic" w:hAnsi="Traditional Arabic" w:hint="cs"/>
          <w:sz w:val="32"/>
          <w:szCs w:val="32"/>
          <w:rtl/>
        </w:rPr>
        <w:t>.</w:t>
      </w:r>
    </w:p>
  </w:footnote>
  <w:footnote w:id="60">
    <w:p w:rsidR="000D3D21" w:rsidRPr="00475AF0" w:rsidRDefault="000D3D21" w:rsidP="0086035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 الم</w:t>
      </w:r>
      <w:r w:rsidRPr="00475AF0">
        <w:rPr>
          <w:rFonts w:ascii="Traditional Arabic" w:hAnsi="Traditional Arabic"/>
          <w:sz w:val="32"/>
          <w:szCs w:val="32"/>
          <w:rtl/>
        </w:rPr>
        <w:t>ر</w:t>
      </w:r>
      <w:r>
        <w:rPr>
          <w:rFonts w:ascii="Traditional Arabic" w:hAnsi="Traditional Arabic" w:hint="cs"/>
          <w:sz w:val="32"/>
          <w:szCs w:val="32"/>
          <w:rtl/>
        </w:rPr>
        <w:t>جع</w:t>
      </w:r>
      <w:r>
        <w:rPr>
          <w:rFonts w:ascii="Traditional Arabic" w:hAnsi="Traditional Arabic"/>
          <w:sz w:val="32"/>
          <w:szCs w:val="32"/>
          <w:rtl/>
        </w:rPr>
        <w:t xml:space="preserve"> السابق </w:t>
      </w:r>
      <w:r>
        <w:rPr>
          <w:rFonts w:ascii="Traditional Arabic" w:hAnsi="Traditional Arabic" w:hint="cs"/>
          <w:sz w:val="32"/>
          <w:szCs w:val="32"/>
          <w:rtl/>
        </w:rPr>
        <w:t>(3/138)، و(5/181)، و(7/43)، و</w:t>
      </w:r>
      <w:r>
        <w:rPr>
          <w:rFonts w:ascii="Traditional Arabic" w:hAnsi="Traditional Arabic"/>
          <w:sz w:val="32"/>
          <w:szCs w:val="32"/>
          <w:rtl/>
        </w:rPr>
        <w:t>(</w:t>
      </w:r>
      <w:r>
        <w:rPr>
          <w:rFonts w:ascii="Traditional Arabic" w:hAnsi="Traditional Arabic" w:hint="cs"/>
          <w:sz w:val="32"/>
          <w:szCs w:val="32"/>
          <w:rtl/>
        </w:rPr>
        <w:t>8/155، 274</w:t>
      </w:r>
      <w:r>
        <w:rPr>
          <w:rFonts w:ascii="Traditional Arabic" w:hAnsi="Traditional Arabic"/>
          <w:sz w:val="32"/>
          <w:szCs w:val="32"/>
          <w:rtl/>
        </w:rPr>
        <w:t>) (</w:t>
      </w:r>
      <w:r>
        <w:rPr>
          <w:rFonts w:ascii="Traditional Arabic" w:hAnsi="Traditional Arabic" w:hint="cs"/>
          <w:sz w:val="32"/>
          <w:szCs w:val="32"/>
          <w:rtl/>
        </w:rPr>
        <w:t>11/155</w:t>
      </w:r>
      <w:r>
        <w:rPr>
          <w:rFonts w:ascii="Traditional Arabic" w:hAnsi="Traditional Arabic"/>
          <w:sz w:val="32"/>
          <w:szCs w:val="32"/>
          <w:rtl/>
        </w:rPr>
        <w:t>) (</w:t>
      </w:r>
      <w:r>
        <w:rPr>
          <w:rFonts w:ascii="Traditional Arabic" w:hAnsi="Traditional Arabic" w:hint="cs"/>
          <w:sz w:val="32"/>
          <w:szCs w:val="32"/>
          <w:rtl/>
        </w:rPr>
        <w:t>12/221، 437</w:t>
      </w:r>
      <w:r>
        <w:rPr>
          <w:rFonts w:ascii="Traditional Arabic" w:hAnsi="Traditional Arabic"/>
          <w:sz w:val="32"/>
          <w:szCs w:val="32"/>
          <w:rtl/>
        </w:rPr>
        <w:t>) (</w:t>
      </w:r>
      <w:r>
        <w:rPr>
          <w:rFonts w:ascii="Traditional Arabic" w:hAnsi="Traditional Arabic" w:hint="cs"/>
          <w:sz w:val="32"/>
          <w:szCs w:val="32"/>
          <w:rtl/>
        </w:rPr>
        <w:t>13/291، 431، 536</w:t>
      </w:r>
      <w:r w:rsidRPr="00475AF0">
        <w:rPr>
          <w:rFonts w:ascii="Traditional Arabic" w:hAnsi="Traditional Arabic"/>
          <w:sz w:val="32"/>
          <w:szCs w:val="32"/>
          <w:rtl/>
        </w:rPr>
        <w:t>)</w:t>
      </w:r>
      <w:r>
        <w:rPr>
          <w:rFonts w:ascii="Traditional Arabic" w:hAnsi="Traditional Arabic" w:hint="cs"/>
          <w:sz w:val="32"/>
          <w:szCs w:val="32"/>
          <w:rtl/>
        </w:rPr>
        <w:t>، و</w:t>
      </w:r>
      <w:r>
        <w:rPr>
          <w:rFonts w:ascii="Traditional Arabic" w:hAnsi="Traditional Arabic"/>
          <w:sz w:val="32"/>
          <w:szCs w:val="32"/>
          <w:rtl/>
        </w:rPr>
        <w:t>(</w:t>
      </w:r>
      <w:r>
        <w:rPr>
          <w:rFonts w:ascii="Traditional Arabic" w:hAnsi="Traditional Arabic" w:hint="cs"/>
          <w:sz w:val="32"/>
          <w:szCs w:val="32"/>
          <w:rtl/>
        </w:rPr>
        <w:t>14/246، 295</w:t>
      </w:r>
      <w:r>
        <w:rPr>
          <w:rFonts w:ascii="Traditional Arabic" w:hAnsi="Traditional Arabic"/>
          <w:sz w:val="32"/>
          <w:szCs w:val="32"/>
          <w:rtl/>
        </w:rPr>
        <w:t>)</w:t>
      </w:r>
      <w:r>
        <w:rPr>
          <w:rFonts w:ascii="Traditional Arabic" w:hAnsi="Traditional Arabic" w:hint="cs"/>
          <w:sz w:val="32"/>
          <w:szCs w:val="32"/>
          <w:rtl/>
        </w:rPr>
        <w:t>.</w:t>
      </w:r>
    </w:p>
  </w:footnote>
  <w:footnote w:id="61">
    <w:p w:rsidR="000D3D21" w:rsidRPr="00475A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w:t>
      </w:r>
      <w:r w:rsidRPr="00475AF0">
        <w:rPr>
          <w:rFonts w:ascii="Traditional Arabic" w:hAnsi="Traditional Arabic"/>
          <w:sz w:val="32"/>
          <w:szCs w:val="32"/>
          <w:rtl/>
        </w:rPr>
        <w:t xml:space="preserve"> الجامع لحياة</w:t>
      </w:r>
      <w:r>
        <w:rPr>
          <w:rFonts w:ascii="Traditional Arabic" w:hAnsi="Traditional Arabic"/>
          <w:sz w:val="32"/>
          <w:szCs w:val="32"/>
          <w:rtl/>
        </w:rPr>
        <w:t xml:space="preserve"> العلَّامة محمد بن صالح العثيمي</w:t>
      </w:r>
      <w:r>
        <w:rPr>
          <w:rFonts w:ascii="Traditional Arabic" w:hAnsi="Traditional Arabic" w:hint="cs"/>
          <w:sz w:val="32"/>
          <w:szCs w:val="32"/>
          <w:rtl/>
        </w:rPr>
        <w:t>ن</w:t>
      </w:r>
      <w:r w:rsidRPr="00475AF0">
        <w:rPr>
          <w:rFonts w:ascii="Traditional Arabic" w:hAnsi="Traditional Arabic"/>
          <w:sz w:val="32"/>
          <w:szCs w:val="32"/>
          <w:rtl/>
        </w:rPr>
        <w:t xml:space="preserve"> (93)</w:t>
      </w:r>
      <w:r>
        <w:rPr>
          <w:rFonts w:ascii="Traditional Arabic" w:hAnsi="Traditional Arabic"/>
          <w:sz w:val="32"/>
          <w:szCs w:val="32"/>
          <w:rtl/>
        </w:rPr>
        <w:t>.</w:t>
      </w:r>
    </w:p>
  </w:footnote>
  <w:footnote w:id="62">
    <w:p w:rsidR="000D3D21" w:rsidRPr="00475AF0" w:rsidRDefault="000D3D21" w:rsidP="001D51E2">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475AF0">
        <w:rPr>
          <w:rFonts w:ascii="Traditional Arabic" w:hAnsi="Traditional Arabic"/>
          <w:sz w:val="32"/>
          <w:szCs w:val="32"/>
          <w:rtl/>
        </w:rPr>
        <w:tab/>
        <w:t xml:space="preserve">انظر : الشرح الممتع </w:t>
      </w:r>
      <w:r>
        <w:rPr>
          <w:rFonts w:ascii="Traditional Arabic" w:hAnsi="Traditional Arabic"/>
          <w:sz w:val="32"/>
          <w:szCs w:val="32"/>
          <w:rtl/>
        </w:rPr>
        <w:t>(4/127</w:t>
      </w:r>
      <w:r w:rsidRPr="00475AF0">
        <w:rPr>
          <w:rFonts w:ascii="Traditional Arabic" w:hAnsi="Traditional Arabic"/>
          <w:sz w:val="32"/>
          <w:szCs w:val="32"/>
          <w:rtl/>
        </w:rPr>
        <w:t>) (5/148</w:t>
      </w:r>
      <w:r>
        <w:rPr>
          <w:rFonts w:ascii="Traditional Arabic" w:hAnsi="Traditional Arabic"/>
          <w:sz w:val="32"/>
          <w:szCs w:val="32"/>
          <w:rtl/>
        </w:rPr>
        <w:t>،</w:t>
      </w:r>
      <w:r w:rsidRPr="00475AF0">
        <w:rPr>
          <w:rFonts w:ascii="Traditional Arabic" w:hAnsi="Traditional Arabic"/>
          <w:sz w:val="32"/>
          <w:szCs w:val="32"/>
          <w:rtl/>
        </w:rPr>
        <w:t xml:space="preserve"> 366) (6/95)</w:t>
      </w:r>
      <w:r>
        <w:rPr>
          <w:rFonts w:ascii="Traditional Arabic" w:hAnsi="Traditional Arabic" w:hint="cs"/>
          <w:sz w:val="32"/>
          <w:szCs w:val="32"/>
          <w:rtl/>
        </w:rPr>
        <w:t>، و(9/187، 233)، و(10/163)، و(12/114)، و(13/14، 42، 431)</w:t>
      </w:r>
      <w:r>
        <w:rPr>
          <w:rFonts w:ascii="Traditional Arabic" w:hAnsi="Traditional Arabic"/>
          <w:sz w:val="32"/>
          <w:szCs w:val="32"/>
          <w:rtl/>
        </w:rPr>
        <w:t>.</w:t>
      </w:r>
    </w:p>
  </w:footnote>
  <w:footnote w:id="63">
    <w:p w:rsidR="000D3D21" w:rsidRPr="00475AF0" w:rsidRDefault="000D3D21" w:rsidP="001D51E2">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 : الم</w:t>
      </w:r>
      <w:r w:rsidRPr="00475AF0">
        <w:rPr>
          <w:rFonts w:ascii="Traditional Arabic" w:hAnsi="Traditional Arabic"/>
          <w:sz w:val="32"/>
          <w:szCs w:val="32"/>
          <w:rtl/>
        </w:rPr>
        <w:t>ر</w:t>
      </w:r>
      <w:r>
        <w:rPr>
          <w:rFonts w:ascii="Traditional Arabic" w:hAnsi="Traditional Arabic" w:hint="cs"/>
          <w:sz w:val="32"/>
          <w:szCs w:val="32"/>
          <w:rtl/>
        </w:rPr>
        <w:t>جع</w:t>
      </w:r>
      <w:r w:rsidRPr="00475AF0">
        <w:rPr>
          <w:rFonts w:ascii="Traditional Arabic" w:hAnsi="Traditional Arabic"/>
          <w:sz w:val="32"/>
          <w:szCs w:val="32"/>
          <w:rtl/>
        </w:rPr>
        <w:t xml:space="preserve"> السابق (4/127)</w:t>
      </w:r>
      <w:r>
        <w:rPr>
          <w:rFonts w:ascii="Traditional Arabic" w:hAnsi="Traditional Arabic" w:hint="cs"/>
          <w:sz w:val="32"/>
          <w:szCs w:val="32"/>
          <w:rtl/>
        </w:rPr>
        <w:t>،</w:t>
      </w:r>
      <w:r w:rsidRPr="00475AF0">
        <w:rPr>
          <w:rFonts w:ascii="Traditional Arabic" w:hAnsi="Traditional Arabic"/>
          <w:sz w:val="32"/>
          <w:szCs w:val="32"/>
          <w:rtl/>
        </w:rPr>
        <w:t xml:space="preserve"> </w:t>
      </w:r>
      <w:r>
        <w:rPr>
          <w:rFonts w:ascii="Traditional Arabic" w:hAnsi="Traditional Arabic" w:hint="cs"/>
          <w:sz w:val="32"/>
          <w:szCs w:val="32"/>
          <w:rtl/>
        </w:rPr>
        <w:t>و</w:t>
      </w:r>
      <w:r w:rsidRPr="00475AF0">
        <w:rPr>
          <w:rFonts w:ascii="Traditional Arabic" w:hAnsi="Traditional Arabic"/>
          <w:sz w:val="32"/>
          <w:szCs w:val="32"/>
          <w:rtl/>
        </w:rPr>
        <w:t>(6/35</w:t>
      </w:r>
      <w:r>
        <w:rPr>
          <w:rFonts w:ascii="Traditional Arabic" w:hAnsi="Traditional Arabic"/>
          <w:sz w:val="32"/>
          <w:szCs w:val="32"/>
          <w:rtl/>
        </w:rPr>
        <w:t>،</w:t>
      </w:r>
      <w:r>
        <w:rPr>
          <w:rFonts w:ascii="Traditional Arabic" w:hAnsi="Traditional Arabic" w:hint="cs"/>
          <w:sz w:val="32"/>
          <w:szCs w:val="32"/>
          <w:rtl/>
        </w:rPr>
        <w:t xml:space="preserve"> 123،</w:t>
      </w:r>
      <w:r w:rsidRPr="00475AF0">
        <w:rPr>
          <w:rFonts w:ascii="Traditional Arabic" w:hAnsi="Traditional Arabic"/>
          <w:sz w:val="32"/>
          <w:szCs w:val="32"/>
          <w:rtl/>
        </w:rPr>
        <w:t>135</w:t>
      </w:r>
      <w:r>
        <w:rPr>
          <w:rFonts w:ascii="Traditional Arabic" w:hAnsi="Traditional Arabic"/>
          <w:sz w:val="32"/>
          <w:szCs w:val="32"/>
          <w:rtl/>
        </w:rPr>
        <w:t>،</w:t>
      </w:r>
      <w:r w:rsidRPr="00475AF0">
        <w:rPr>
          <w:rFonts w:ascii="Traditional Arabic" w:hAnsi="Traditional Arabic"/>
          <w:sz w:val="32"/>
          <w:szCs w:val="32"/>
          <w:rtl/>
        </w:rPr>
        <w:t xml:space="preserve"> 522)</w:t>
      </w:r>
      <w:r>
        <w:rPr>
          <w:rFonts w:ascii="Traditional Arabic" w:hAnsi="Traditional Arabic"/>
          <w:sz w:val="32"/>
          <w:szCs w:val="32"/>
          <w:rtl/>
        </w:rPr>
        <w:t>.</w:t>
      </w:r>
    </w:p>
  </w:footnote>
  <w:footnote w:id="64">
    <w:p w:rsidR="000D3D21" w:rsidRPr="009D4D7B" w:rsidRDefault="000D3D21">
      <w:pPr>
        <w:pStyle w:val="a7"/>
        <w:rPr>
          <w:rFonts w:ascii="Traditional Arabic" w:hAnsi="Traditional Arabic"/>
          <w:sz w:val="32"/>
          <w:szCs w:val="32"/>
        </w:rPr>
      </w:pPr>
      <w:r w:rsidRPr="009D4D7B">
        <w:rPr>
          <w:rFonts w:ascii="Traditional Arabic" w:hAnsi="Traditional Arabic"/>
          <w:sz w:val="32"/>
          <w:szCs w:val="32"/>
          <w:rtl/>
        </w:rPr>
        <w:t>(</w:t>
      </w:r>
      <w:r w:rsidRPr="009D4D7B">
        <w:rPr>
          <w:rStyle w:val="af1"/>
          <w:rFonts w:ascii="Traditional Arabic" w:hAnsi="Traditional Arabic"/>
          <w:sz w:val="32"/>
          <w:szCs w:val="32"/>
          <w:vertAlign w:val="baseline"/>
        </w:rPr>
        <w:footnoteRef/>
      </w:r>
      <w:r w:rsidRPr="009D4D7B">
        <w:rPr>
          <w:rFonts w:ascii="Traditional Arabic" w:hAnsi="Traditional Arabic"/>
          <w:sz w:val="32"/>
          <w:szCs w:val="32"/>
          <w:rtl/>
        </w:rPr>
        <w:t>)</w:t>
      </w:r>
      <w:r>
        <w:rPr>
          <w:rFonts w:ascii="Traditional Arabic" w:hAnsi="Traditional Arabic" w:hint="cs"/>
          <w:sz w:val="32"/>
          <w:szCs w:val="32"/>
          <w:rtl/>
        </w:rPr>
        <w:t xml:space="preserve"> القواعد والضوابط الفقهية عند الشيخ ابن عثيمين في الشرح الممتع من كتاب العبادات (1/139-140).</w:t>
      </w:r>
    </w:p>
  </w:footnote>
  <w:footnote w:id="65">
    <w:p w:rsidR="000D3D21" w:rsidRPr="0061160B" w:rsidRDefault="000D3D21">
      <w:pPr>
        <w:pStyle w:val="a7"/>
        <w:rPr>
          <w:rFonts w:ascii="Traditional Arabic" w:hAnsi="Traditional Arabic"/>
          <w:sz w:val="32"/>
          <w:szCs w:val="32"/>
          <w:rtl/>
        </w:rPr>
      </w:pPr>
      <w:r w:rsidRPr="0061160B">
        <w:rPr>
          <w:rStyle w:val="af1"/>
          <w:rFonts w:ascii="Traditional Arabic" w:hAnsi="Traditional Arabic"/>
          <w:sz w:val="32"/>
          <w:szCs w:val="32"/>
          <w:vertAlign w:val="baseline"/>
        </w:rPr>
        <w:footnoteRef/>
      </w:r>
      <w:r w:rsidRPr="0061160B">
        <w:rPr>
          <w:rFonts w:ascii="Traditional Arabic" w:hAnsi="Traditional Arabic"/>
          <w:sz w:val="32"/>
          <w:szCs w:val="32"/>
        </w:rPr>
        <w:t>)</w:t>
      </w:r>
      <w:r w:rsidRPr="0061160B">
        <w:rPr>
          <w:rFonts w:ascii="Traditional Arabic" w:hAnsi="Traditional Arabic"/>
          <w:sz w:val="32"/>
          <w:szCs w:val="32"/>
          <w:rtl/>
        </w:rPr>
        <w:t xml:space="preserve">) </w:t>
      </w:r>
      <w:r>
        <w:rPr>
          <w:rFonts w:ascii="Traditional Arabic" w:hAnsi="Traditional Arabic" w:hint="cs"/>
          <w:sz w:val="32"/>
          <w:szCs w:val="32"/>
          <w:rtl/>
        </w:rPr>
        <w:t>انظر في الفروق المتعلقة بكتاب العبادات المرجع السابق.</w:t>
      </w:r>
    </w:p>
  </w:footnote>
  <w:footnote w:id="66">
    <w:p w:rsidR="000D3D21" w:rsidRPr="002A634F" w:rsidRDefault="000D3D21">
      <w:pPr>
        <w:pStyle w:val="a7"/>
        <w:rPr>
          <w:rFonts w:ascii="Traditional Arabic" w:hAnsi="Traditional Arabic"/>
          <w:sz w:val="32"/>
          <w:szCs w:val="32"/>
          <w:rtl/>
        </w:rPr>
      </w:pPr>
      <w:r w:rsidRPr="002A634F">
        <w:rPr>
          <w:rStyle w:val="af1"/>
          <w:rFonts w:ascii="Traditional Arabic" w:hAnsi="Traditional Arabic"/>
          <w:sz w:val="32"/>
          <w:szCs w:val="32"/>
          <w:vertAlign w:val="baseline"/>
        </w:rPr>
        <w:footnoteRef/>
      </w:r>
      <w:r w:rsidRPr="002A634F">
        <w:rPr>
          <w:rFonts w:ascii="Traditional Arabic" w:hAnsi="Traditional Arabic"/>
          <w:sz w:val="32"/>
          <w:szCs w:val="32"/>
        </w:rPr>
        <w:t>)</w:t>
      </w:r>
      <w:r w:rsidRPr="002A634F">
        <w:rPr>
          <w:rFonts w:ascii="Traditional Arabic" w:hAnsi="Traditional Arabic"/>
          <w:sz w:val="32"/>
          <w:szCs w:val="32"/>
          <w:rtl/>
        </w:rPr>
        <w:t xml:space="preserve">) </w:t>
      </w:r>
      <w:r>
        <w:rPr>
          <w:rFonts w:ascii="Traditional Arabic" w:hAnsi="Traditional Arabic" w:hint="cs"/>
          <w:sz w:val="32"/>
          <w:szCs w:val="32"/>
          <w:rtl/>
        </w:rPr>
        <w:t>انظر الشرح الممتع (8/166).</w:t>
      </w:r>
    </w:p>
  </w:footnote>
  <w:footnote w:id="67">
    <w:p w:rsidR="000D3D21" w:rsidRPr="00B3344B" w:rsidRDefault="000D3D21" w:rsidP="00684200">
      <w:pPr>
        <w:pStyle w:val="a7"/>
        <w:pageBreakBefore/>
        <w:rPr>
          <w:rFonts w:ascii="Traditional Arabic" w:hAnsi="Traditional Arabic"/>
          <w:color w:val="auto"/>
          <w:sz w:val="32"/>
          <w:szCs w:val="32"/>
          <w:rtl/>
        </w:rPr>
      </w:pPr>
      <w:r w:rsidRPr="00C87D15">
        <w:rPr>
          <w:rStyle w:val="af1"/>
          <w:rFonts w:ascii="Traditional Arabic" w:hAnsi="Traditional Arabic"/>
          <w:sz w:val="32"/>
          <w:szCs w:val="32"/>
          <w:vertAlign w:val="baseline"/>
        </w:rPr>
        <w:footnoteRef/>
      </w:r>
      <w:r w:rsidRPr="00C87D15">
        <w:rPr>
          <w:rFonts w:ascii="Traditional Arabic" w:hAnsi="Traditional Arabic"/>
          <w:sz w:val="32"/>
          <w:szCs w:val="32"/>
        </w:rPr>
        <w:t>)</w:t>
      </w:r>
      <w:r w:rsidRPr="00C87D15">
        <w:rPr>
          <w:rFonts w:ascii="Traditional Arabic" w:hAnsi="Traditional Arabic"/>
          <w:sz w:val="32"/>
          <w:szCs w:val="32"/>
          <w:rtl/>
        </w:rPr>
        <w:t xml:space="preserve">) </w:t>
      </w:r>
      <w:r w:rsidRPr="00B3344B">
        <w:rPr>
          <w:rFonts w:ascii="Traditional Arabic" w:hAnsi="Traditional Arabic"/>
          <w:b/>
          <w:bCs/>
          <w:sz w:val="32"/>
          <w:szCs w:val="32"/>
          <w:rtl/>
        </w:rPr>
        <w:t>الكفالة</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الكفالة</w:instrText>
      </w:r>
      <w:r>
        <w:instrText xml:space="preserve">" </w:instrText>
      </w:r>
      <w:r w:rsidRPr="00D65D30">
        <w:instrText>\fm</w:instrText>
      </w:r>
      <w:r w:rsidR="00AB0B9E">
        <w:rPr>
          <w:rFonts w:ascii="Traditional Arabic" w:hAnsi="Traditional Arabic"/>
          <w:b/>
          <w:bCs/>
          <w:sz w:val="32"/>
          <w:szCs w:val="32"/>
          <w:rtl/>
        </w:rPr>
        <w:fldChar w:fldCharType="end"/>
      </w:r>
      <w:r w:rsidRPr="00B3344B">
        <w:rPr>
          <w:rFonts w:ascii="Traditional Arabic" w:hAnsi="Traditional Arabic"/>
          <w:b/>
          <w:bCs/>
          <w:sz w:val="32"/>
          <w:szCs w:val="32"/>
          <w:rtl/>
        </w:rPr>
        <w:t xml:space="preserve"> لغة:</w:t>
      </w:r>
      <w:r w:rsidRPr="00B3344B">
        <w:rPr>
          <w:rFonts w:ascii="Traditional Arabic" w:hAnsi="Traditional Arabic"/>
          <w:noProof w:val="0"/>
          <w:color w:val="auto"/>
          <w:sz w:val="32"/>
          <w:szCs w:val="32"/>
          <w:rtl/>
          <w:lang w:eastAsia="en-US"/>
        </w:rPr>
        <w:t xml:space="preserve"> الضمان،يقال:</w:t>
      </w:r>
      <w:r w:rsidRPr="00B3344B">
        <w:rPr>
          <w:rFonts w:ascii="Traditional Arabic" w:hAnsi="Traditional Arabic"/>
          <w:noProof w:val="0"/>
          <w:sz w:val="32"/>
          <w:szCs w:val="32"/>
          <w:rtl/>
          <w:lang w:eastAsia="en-US"/>
        </w:rPr>
        <w:t>كَفَلَ بالرجل يَكْفُل ويَكْفِل كَفْلاً وكُفُولاً وكَفالةً، وكَفُلَ وكَفِلَ وتَكَفَّل به، كلُّه: ضمِنه</w:t>
      </w:r>
      <w:r w:rsidRPr="00B3344B">
        <w:rPr>
          <w:rFonts w:ascii="Traditional Arabic" w:hAnsi="Traditional Arabic"/>
          <w:color w:val="auto"/>
          <w:sz w:val="32"/>
          <w:szCs w:val="32"/>
          <w:rtl/>
        </w:rPr>
        <w:t xml:space="preserve">.انظر لسان العرب (3906). </w:t>
      </w:r>
    </w:p>
    <w:p w:rsidR="000D3D21" w:rsidRPr="00C87D15" w:rsidRDefault="000D3D21" w:rsidP="00684200">
      <w:pPr>
        <w:pStyle w:val="a7"/>
        <w:rPr>
          <w:rFonts w:ascii="Traditional Arabic" w:hAnsi="Traditional Arabic"/>
          <w:sz w:val="32"/>
          <w:szCs w:val="32"/>
        </w:rPr>
      </w:pPr>
      <w:r>
        <w:rPr>
          <w:rFonts w:ascii="Traditional Arabic" w:hAnsi="Traditional Arabic" w:hint="cs"/>
          <w:b/>
          <w:bCs/>
          <w:sz w:val="32"/>
          <w:szCs w:val="32"/>
          <w:rtl/>
        </w:rPr>
        <w:t xml:space="preserve">      </w:t>
      </w:r>
      <w:r w:rsidRPr="00B3344B">
        <w:rPr>
          <w:rFonts w:ascii="Traditional Arabic" w:hAnsi="Traditional Arabic"/>
          <w:b/>
          <w:bCs/>
          <w:sz w:val="32"/>
          <w:szCs w:val="32"/>
          <w:rtl/>
        </w:rPr>
        <w:t>الكفالة اصطلاحا :</w:t>
      </w:r>
      <w:r w:rsidRPr="00B3344B">
        <w:rPr>
          <w:rFonts w:ascii="Traditional Arabic" w:hAnsi="Traditional Arabic"/>
          <w:noProof w:val="0"/>
          <w:sz w:val="32"/>
          <w:szCs w:val="32"/>
          <w:rtl/>
          <w:lang w:eastAsia="en-US"/>
        </w:rPr>
        <w:t>التزامُ رشيدٍ إحضارَ مَن عليه حقٌّ ماليّ لِربّه</w:t>
      </w:r>
      <w:r>
        <w:rPr>
          <w:rFonts w:ascii="Traditional Arabic" w:hAnsi="Traditional Arabic"/>
          <w:color w:val="auto"/>
          <w:sz w:val="32"/>
          <w:szCs w:val="32"/>
          <w:rtl/>
        </w:rPr>
        <w:t>.</w:t>
      </w:r>
      <w:r>
        <w:rPr>
          <w:rFonts w:ascii="Traditional Arabic" w:hAnsi="Traditional Arabic" w:hint="cs"/>
          <w:color w:val="auto"/>
          <w:sz w:val="32"/>
          <w:szCs w:val="32"/>
          <w:rtl/>
        </w:rPr>
        <w:t xml:space="preserve"> </w:t>
      </w:r>
      <w:r>
        <w:rPr>
          <w:rFonts w:ascii="Traditional Arabic" w:hAnsi="Traditional Arabic"/>
          <w:color w:val="auto"/>
          <w:sz w:val="32"/>
          <w:szCs w:val="32"/>
          <w:rtl/>
        </w:rPr>
        <w:t>الروض المربع (</w:t>
      </w:r>
      <w:r>
        <w:rPr>
          <w:rFonts w:ascii="Traditional Arabic" w:hAnsi="Traditional Arabic" w:hint="cs"/>
          <w:color w:val="auto"/>
          <w:sz w:val="32"/>
          <w:szCs w:val="32"/>
          <w:rtl/>
        </w:rPr>
        <w:t>6/441</w:t>
      </w:r>
      <w:r w:rsidRPr="00B3344B">
        <w:rPr>
          <w:rFonts w:ascii="Traditional Arabic" w:hAnsi="Traditional Arabic"/>
          <w:color w:val="auto"/>
          <w:sz w:val="32"/>
          <w:szCs w:val="32"/>
          <w:rtl/>
        </w:rPr>
        <w:t>).</w:t>
      </w:r>
    </w:p>
  </w:footnote>
  <w:footnote w:id="68">
    <w:p w:rsidR="000D3D21" w:rsidRDefault="000D3D21" w:rsidP="001E3043">
      <w:pPr>
        <w:pStyle w:val="a7"/>
        <w:rPr>
          <w:rFonts w:ascii="Traditional Arabic" w:hAnsi="Traditional Arabic"/>
          <w:sz w:val="32"/>
          <w:szCs w:val="32"/>
          <w:rtl/>
        </w:rPr>
      </w:pPr>
      <w:r w:rsidRPr="001E3043">
        <w:rPr>
          <w:rStyle w:val="af1"/>
          <w:rFonts w:ascii="Traditional Arabic" w:hAnsi="Traditional Arabic"/>
          <w:sz w:val="32"/>
          <w:szCs w:val="32"/>
          <w:vertAlign w:val="baseline"/>
        </w:rPr>
        <w:footnoteRef/>
      </w:r>
      <w:r w:rsidRPr="001E3043">
        <w:rPr>
          <w:rFonts w:ascii="Traditional Arabic" w:hAnsi="Traditional Arabic"/>
          <w:sz w:val="32"/>
          <w:szCs w:val="32"/>
        </w:rPr>
        <w:t>)</w:t>
      </w:r>
      <w:r w:rsidRPr="001E3043">
        <w:rPr>
          <w:rFonts w:ascii="Traditional Arabic" w:hAnsi="Traditional Arabic"/>
          <w:sz w:val="32"/>
          <w:szCs w:val="32"/>
          <w:rtl/>
        </w:rPr>
        <w:t xml:space="preserve">) </w:t>
      </w:r>
      <w:r>
        <w:rPr>
          <w:rFonts w:ascii="Traditional Arabic" w:hAnsi="Traditional Arabic" w:hint="cs"/>
          <w:sz w:val="32"/>
          <w:szCs w:val="32"/>
          <w:rtl/>
        </w:rPr>
        <w:t>انظر المرجع السابق (9/202).</w:t>
      </w:r>
    </w:p>
    <w:p w:rsidR="000D3D21" w:rsidRPr="00D407CB" w:rsidRDefault="000D3D21" w:rsidP="00C87D15">
      <w:pPr>
        <w:widowControl/>
        <w:autoSpaceDE w:val="0"/>
        <w:autoSpaceDN w:val="0"/>
        <w:adjustRightInd w:val="0"/>
        <w:ind w:firstLine="0"/>
        <w:jc w:val="left"/>
        <w:rPr>
          <w:rFonts w:ascii="Traditional Arabic" w:hAnsi="Traditional Arabic"/>
          <w:b/>
          <w:bCs/>
          <w:sz w:val="32"/>
          <w:szCs w:val="32"/>
          <w:rtl/>
        </w:rPr>
      </w:pPr>
      <w:r>
        <w:rPr>
          <w:rFonts w:ascii="Traditional Arabic" w:hAnsi="Traditional Arabic" w:hint="cs"/>
          <w:b/>
          <w:bCs/>
          <w:sz w:val="32"/>
          <w:szCs w:val="32"/>
          <w:rtl/>
        </w:rPr>
        <w:t xml:space="preserve">     و</w:t>
      </w:r>
      <w:r w:rsidRPr="00D407CB">
        <w:rPr>
          <w:rFonts w:ascii="Traditional Arabic" w:hAnsi="Traditional Arabic"/>
          <w:b/>
          <w:bCs/>
          <w:sz w:val="32"/>
          <w:szCs w:val="32"/>
          <w:rtl/>
        </w:rPr>
        <w:t>الضمان</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الضمان</w:instrText>
      </w:r>
      <w:r>
        <w:instrText xml:space="preserve">" </w:instrText>
      </w:r>
      <w:r w:rsidRPr="003E316B">
        <w:instrText>\fm</w:instrText>
      </w:r>
      <w:r w:rsidR="00AB0B9E">
        <w:rPr>
          <w:rFonts w:ascii="Traditional Arabic" w:hAnsi="Traditional Arabic"/>
          <w:b/>
          <w:bCs/>
          <w:sz w:val="32"/>
          <w:szCs w:val="32"/>
          <w:rtl/>
        </w:rPr>
        <w:fldChar w:fldCharType="end"/>
      </w:r>
      <w:r w:rsidRPr="00D407CB">
        <w:rPr>
          <w:rFonts w:ascii="Traditional Arabic" w:hAnsi="Traditional Arabic"/>
          <w:b/>
          <w:bCs/>
          <w:sz w:val="32"/>
          <w:szCs w:val="32"/>
          <w:rtl/>
        </w:rPr>
        <w:t xml:space="preserve"> لغة: </w:t>
      </w:r>
      <w:r w:rsidRPr="00D407CB">
        <w:rPr>
          <w:rFonts w:ascii="Traditional Arabic" w:hAnsi="Traditional Arabic"/>
          <w:noProof w:val="0"/>
          <w:sz w:val="32"/>
          <w:szCs w:val="32"/>
          <w:rtl/>
          <w:lang w:eastAsia="en-US"/>
        </w:rPr>
        <w:t>مصدر ضَمِنَ الشيءَ ضماناً، فهو ضامِنٌ وضَمِينٌ: إذا كَفَلَ به.انظر المطلع أبواب المقنع (</w:t>
      </w:r>
      <w:r>
        <w:rPr>
          <w:rFonts w:ascii="Traditional Arabic" w:hAnsi="Traditional Arabic" w:hint="cs"/>
          <w:noProof w:val="0"/>
          <w:sz w:val="32"/>
          <w:szCs w:val="32"/>
          <w:rtl/>
          <w:lang w:eastAsia="en-US"/>
        </w:rPr>
        <w:t>297</w:t>
      </w:r>
      <w:r w:rsidRPr="00D407CB">
        <w:rPr>
          <w:rFonts w:ascii="Traditional Arabic" w:hAnsi="Traditional Arabic"/>
          <w:noProof w:val="0"/>
          <w:sz w:val="32"/>
          <w:szCs w:val="32"/>
          <w:rtl/>
          <w:lang w:eastAsia="en-US"/>
        </w:rPr>
        <w:t>).</w:t>
      </w:r>
    </w:p>
    <w:p w:rsidR="000D3D21" w:rsidRPr="001E3043" w:rsidRDefault="000D3D21" w:rsidP="00C87D15">
      <w:pPr>
        <w:pStyle w:val="a7"/>
        <w:rPr>
          <w:rFonts w:ascii="Traditional Arabic" w:hAnsi="Traditional Arabic"/>
          <w:sz w:val="32"/>
          <w:szCs w:val="32"/>
          <w:rtl/>
        </w:rPr>
      </w:pPr>
      <w:r>
        <w:rPr>
          <w:rFonts w:ascii="Traditional Arabic" w:hAnsi="Traditional Arabic" w:hint="cs"/>
          <w:b/>
          <w:bCs/>
          <w:sz w:val="32"/>
          <w:szCs w:val="32"/>
          <w:rtl/>
        </w:rPr>
        <w:t xml:space="preserve">     </w:t>
      </w:r>
      <w:r w:rsidRPr="00D407CB">
        <w:rPr>
          <w:rFonts w:ascii="Traditional Arabic" w:hAnsi="Traditional Arabic"/>
          <w:b/>
          <w:bCs/>
          <w:sz w:val="32"/>
          <w:szCs w:val="32"/>
          <w:rtl/>
        </w:rPr>
        <w:t xml:space="preserve">الضمان اصطلاحا: </w:t>
      </w:r>
      <w:r w:rsidRPr="00D407CB">
        <w:rPr>
          <w:rFonts w:ascii="Traditional Arabic" w:hAnsi="Traditional Arabic"/>
          <w:noProof w:val="0"/>
          <w:sz w:val="32"/>
          <w:szCs w:val="32"/>
          <w:rtl/>
          <w:lang w:eastAsia="en-US"/>
        </w:rPr>
        <w:t>ضَمُّ ذِمَّةِ الضامِن إلى ذمة المَضْمونِ عنه في الْتِزامِ الحقِّ فيَثْبُت في ذمتهما جميعاً، ولِصاحِب الحق مُطالبةُ مَن شاء منهما</w:t>
      </w:r>
      <w:r w:rsidRPr="00D407CB">
        <w:rPr>
          <w:rFonts w:ascii="Traditional Arabic" w:hAnsi="Traditional Arabic"/>
          <w:sz w:val="32"/>
          <w:szCs w:val="32"/>
          <w:rtl/>
        </w:rPr>
        <w:t>. المغني لابن قدامة (</w:t>
      </w:r>
      <w:r>
        <w:rPr>
          <w:rFonts w:ascii="Traditional Arabic" w:hAnsi="Traditional Arabic" w:hint="cs"/>
          <w:sz w:val="32"/>
          <w:szCs w:val="32"/>
          <w:rtl/>
        </w:rPr>
        <w:t>7/71</w:t>
      </w:r>
      <w:r w:rsidRPr="00D407CB">
        <w:rPr>
          <w:rFonts w:ascii="Traditional Arabic" w:hAnsi="Traditional Arabic"/>
          <w:sz w:val="32"/>
          <w:szCs w:val="32"/>
          <w:rtl/>
        </w:rPr>
        <w:t>).</w:t>
      </w:r>
    </w:p>
  </w:footnote>
  <w:footnote w:id="69">
    <w:p w:rsidR="000D3D21" w:rsidRPr="001E3043" w:rsidRDefault="000D3D21">
      <w:pPr>
        <w:pStyle w:val="a7"/>
        <w:rPr>
          <w:rFonts w:ascii="Traditional Arabic" w:hAnsi="Traditional Arabic"/>
          <w:sz w:val="32"/>
          <w:szCs w:val="32"/>
          <w:rtl/>
        </w:rPr>
      </w:pPr>
      <w:r w:rsidRPr="001E3043">
        <w:rPr>
          <w:rStyle w:val="af1"/>
          <w:rFonts w:ascii="Traditional Arabic" w:hAnsi="Traditional Arabic"/>
          <w:sz w:val="32"/>
          <w:szCs w:val="32"/>
          <w:vertAlign w:val="baseline"/>
        </w:rPr>
        <w:footnoteRef/>
      </w:r>
      <w:r w:rsidRPr="001E3043">
        <w:rPr>
          <w:rFonts w:ascii="Traditional Arabic" w:hAnsi="Traditional Arabic"/>
          <w:sz w:val="32"/>
          <w:szCs w:val="32"/>
        </w:rPr>
        <w:t>)</w:t>
      </w:r>
      <w:r w:rsidRPr="001E3043">
        <w:rPr>
          <w:rFonts w:ascii="Traditional Arabic" w:hAnsi="Traditional Arabic"/>
          <w:sz w:val="32"/>
          <w:szCs w:val="32"/>
          <w:rtl/>
        </w:rPr>
        <w:t xml:space="preserve">) </w:t>
      </w:r>
      <w:r>
        <w:rPr>
          <w:rFonts w:ascii="Traditional Arabic" w:hAnsi="Traditional Arabic" w:hint="cs"/>
          <w:sz w:val="32"/>
          <w:szCs w:val="32"/>
          <w:rtl/>
        </w:rPr>
        <w:t>انظر المرجع السابق (8/223).</w:t>
      </w:r>
    </w:p>
  </w:footnote>
  <w:footnote w:id="70">
    <w:p w:rsidR="000D3D21" w:rsidRPr="001E3043" w:rsidRDefault="000D3D21" w:rsidP="001E3043">
      <w:pPr>
        <w:pStyle w:val="a7"/>
        <w:rPr>
          <w:rFonts w:ascii="Traditional Arabic" w:hAnsi="Traditional Arabic"/>
          <w:sz w:val="32"/>
          <w:szCs w:val="32"/>
          <w:rtl/>
        </w:rPr>
      </w:pPr>
      <w:r w:rsidRPr="001E3043">
        <w:rPr>
          <w:rStyle w:val="af1"/>
          <w:rFonts w:ascii="Traditional Arabic" w:hAnsi="Traditional Arabic"/>
          <w:sz w:val="32"/>
          <w:szCs w:val="32"/>
          <w:vertAlign w:val="baseline"/>
        </w:rPr>
        <w:footnoteRef/>
      </w:r>
      <w:r w:rsidRPr="001E3043">
        <w:rPr>
          <w:rFonts w:ascii="Traditional Arabic" w:hAnsi="Traditional Arabic"/>
          <w:sz w:val="32"/>
          <w:szCs w:val="32"/>
        </w:rPr>
        <w:t>)</w:t>
      </w:r>
      <w:r w:rsidRPr="001E3043">
        <w:rPr>
          <w:rFonts w:ascii="Traditional Arabic" w:hAnsi="Traditional Arabic"/>
          <w:sz w:val="32"/>
          <w:szCs w:val="32"/>
          <w:rtl/>
        </w:rPr>
        <w:t xml:space="preserve">) </w:t>
      </w:r>
      <w:r>
        <w:rPr>
          <w:rFonts w:ascii="Traditional Arabic" w:hAnsi="Traditional Arabic" w:hint="cs"/>
          <w:sz w:val="32"/>
          <w:szCs w:val="32"/>
          <w:rtl/>
        </w:rPr>
        <w:t>انظر المرجع السابق (9/280).</w:t>
      </w:r>
    </w:p>
  </w:footnote>
  <w:footnote w:id="71">
    <w:p w:rsidR="000D3D21" w:rsidRPr="0061160B" w:rsidRDefault="000D3D21" w:rsidP="001E3043">
      <w:pPr>
        <w:pStyle w:val="a7"/>
        <w:rPr>
          <w:rFonts w:ascii="Traditional Arabic" w:hAnsi="Traditional Arabic"/>
          <w:sz w:val="32"/>
          <w:szCs w:val="32"/>
          <w:rtl/>
        </w:rPr>
      </w:pPr>
      <w:r w:rsidRPr="0061160B">
        <w:rPr>
          <w:rStyle w:val="af1"/>
          <w:rFonts w:ascii="Traditional Arabic" w:hAnsi="Traditional Arabic"/>
          <w:sz w:val="32"/>
          <w:szCs w:val="32"/>
          <w:vertAlign w:val="baseline"/>
        </w:rPr>
        <w:footnoteRef/>
      </w:r>
      <w:r w:rsidRPr="0061160B">
        <w:rPr>
          <w:rFonts w:ascii="Traditional Arabic" w:hAnsi="Traditional Arabic"/>
          <w:sz w:val="32"/>
          <w:szCs w:val="32"/>
        </w:rPr>
        <w:t>)</w:t>
      </w:r>
      <w:r w:rsidRPr="0061160B">
        <w:rPr>
          <w:rFonts w:ascii="Traditional Arabic" w:hAnsi="Traditional Arabic"/>
          <w:sz w:val="32"/>
          <w:szCs w:val="32"/>
          <w:rtl/>
        </w:rPr>
        <w:t xml:space="preserve">) </w:t>
      </w:r>
      <w:r w:rsidRPr="0061160B">
        <w:rPr>
          <w:rFonts w:ascii="Traditional Arabic" w:hAnsi="Traditional Arabic" w:hint="cs"/>
          <w:sz w:val="32"/>
          <w:szCs w:val="32"/>
          <w:rtl/>
        </w:rPr>
        <w:t>انظر المرجع السابق (10/76-77).</w:t>
      </w:r>
    </w:p>
  </w:footnote>
  <w:footnote w:id="72">
    <w:p w:rsidR="000D3D21" w:rsidRPr="00000A26" w:rsidRDefault="000D3D21">
      <w:pPr>
        <w:pStyle w:val="a7"/>
        <w:rPr>
          <w:rFonts w:ascii="Traditional Arabic" w:hAnsi="Traditional Arabic"/>
          <w:sz w:val="32"/>
          <w:szCs w:val="32"/>
          <w:rtl/>
        </w:rPr>
      </w:pPr>
      <w:r w:rsidRPr="00000A26">
        <w:rPr>
          <w:rStyle w:val="af1"/>
          <w:rFonts w:ascii="Traditional Arabic" w:hAnsi="Traditional Arabic"/>
          <w:sz w:val="32"/>
          <w:szCs w:val="32"/>
          <w:vertAlign w:val="baseline"/>
        </w:rPr>
        <w:footnoteRef/>
      </w:r>
      <w:r w:rsidRPr="00000A26">
        <w:rPr>
          <w:rFonts w:ascii="Traditional Arabic" w:hAnsi="Traditional Arabic"/>
          <w:sz w:val="32"/>
          <w:szCs w:val="32"/>
        </w:rPr>
        <w:t>)</w:t>
      </w:r>
      <w:r w:rsidRPr="00000A26">
        <w:rPr>
          <w:rFonts w:ascii="Traditional Arabic" w:hAnsi="Traditional Arabic"/>
          <w:sz w:val="32"/>
          <w:szCs w:val="32"/>
          <w:rtl/>
        </w:rPr>
        <w:t xml:space="preserve">) </w:t>
      </w:r>
      <w:r>
        <w:rPr>
          <w:rFonts w:ascii="Traditional Arabic" w:hAnsi="Traditional Arabic" w:hint="cs"/>
          <w:sz w:val="32"/>
          <w:szCs w:val="32"/>
          <w:rtl/>
        </w:rPr>
        <w:t>الجامع لحياة العلامة محمد بن صالح العثيمين (87) بتصرف.</w:t>
      </w:r>
    </w:p>
  </w:footnote>
  <w:footnote w:id="73">
    <w:p w:rsidR="000D3D21" w:rsidRPr="00000A26" w:rsidRDefault="000D3D21">
      <w:pPr>
        <w:pStyle w:val="a7"/>
        <w:rPr>
          <w:rFonts w:ascii="Traditional Arabic" w:hAnsi="Traditional Arabic"/>
          <w:sz w:val="32"/>
          <w:szCs w:val="32"/>
        </w:rPr>
      </w:pPr>
      <w:r w:rsidRPr="00000A26">
        <w:rPr>
          <w:rStyle w:val="af1"/>
          <w:rFonts w:ascii="Traditional Arabic" w:hAnsi="Traditional Arabic"/>
          <w:sz w:val="32"/>
          <w:szCs w:val="32"/>
          <w:vertAlign w:val="baseline"/>
        </w:rPr>
        <w:footnoteRef/>
      </w:r>
      <w:r w:rsidRPr="00000A26">
        <w:rPr>
          <w:rFonts w:ascii="Traditional Arabic" w:hAnsi="Traditional Arabic"/>
          <w:sz w:val="32"/>
          <w:szCs w:val="32"/>
        </w:rPr>
        <w:t>)</w:t>
      </w:r>
      <w:r w:rsidRPr="00000A26">
        <w:rPr>
          <w:rFonts w:ascii="Traditional Arabic" w:hAnsi="Traditional Arabic"/>
          <w:sz w:val="32"/>
          <w:szCs w:val="32"/>
          <w:rtl/>
        </w:rPr>
        <w:t xml:space="preserve">) </w:t>
      </w:r>
      <w:r>
        <w:rPr>
          <w:rFonts w:ascii="Traditional Arabic" w:hAnsi="Traditional Arabic" w:hint="cs"/>
          <w:sz w:val="32"/>
          <w:szCs w:val="32"/>
          <w:rtl/>
        </w:rPr>
        <w:t>الشرح الممتع (8/149).</w:t>
      </w:r>
    </w:p>
  </w:footnote>
  <w:footnote w:id="74">
    <w:p w:rsidR="000D3D21" w:rsidRPr="00C9554A" w:rsidRDefault="000D3D21">
      <w:pPr>
        <w:pStyle w:val="a7"/>
        <w:rPr>
          <w:rFonts w:ascii="Traditional Arabic" w:hAnsi="Traditional Arabic"/>
          <w:sz w:val="32"/>
          <w:szCs w:val="32"/>
          <w:rtl/>
        </w:rPr>
      </w:pPr>
      <w:r w:rsidRPr="00C9554A">
        <w:rPr>
          <w:rStyle w:val="af1"/>
          <w:rFonts w:ascii="Traditional Arabic" w:hAnsi="Traditional Arabic"/>
          <w:sz w:val="32"/>
          <w:szCs w:val="32"/>
          <w:vertAlign w:val="baseline"/>
        </w:rPr>
        <w:footnoteRef/>
      </w:r>
      <w:r w:rsidRPr="00C9554A">
        <w:rPr>
          <w:rFonts w:ascii="Traditional Arabic" w:hAnsi="Traditional Arabic"/>
          <w:sz w:val="32"/>
          <w:szCs w:val="32"/>
        </w:rPr>
        <w:t>)</w:t>
      </w:r>
      <w:r w:rsidRPr="00C9554A">
        <w:rPr>
          <w:rFonts w:ascii="Traditional Arabic" w:hAnsi="Traditional Arabic"/>
          <w:sz w:val="32"/>
          <w:szCs w:val="32"/>
          <w:rtl/>
        </w:rPr>
        <w:t xml:space="preserve">) </w:t>
      </w:r>
      <w:r>
        <w:rPr>
          <w:rFonts w:ascii="Traditional Arabic" w:hAnsi="Traditional Arabic" w:hint="cs"/>
          <w:sz w:val="32"/>
          <w:szCs w:val="32"/>
          <w:rtl/>
        </w:rPr>
        <w:t>الشرح الممتع (8/236) بتصرف.</w:t>
      </w:r>
    </w:p>
  </w:footnote>
  <w:footnote w:id="75">
    <w:p w:rsidR="000D3D21" w:rsidRPr="00C9554A" w:rsidRDefault="000D3D21">
      <w:pPr>
        <w:pStyle w:val="a7"/>
        <w:rPr>
          <w:rFonts w:ascii="Traditional Arabic" w:hAnsi="Traditional Arabic"/>
          <w:sz w:val="32"/>
          <w:szCs w:val="32"/>
          <w:rtl/>
        </w:rPr>
      </w:pPr>
      <w:r w:rsidRPr="00C9554A">
        <w:rPr>
          <w:rStyle w:val="af1"/>
          <w:rFonts w:ascii="Traditional Arabic" w:hAnsi="Traditional Arabic"/>
          <w:sz w:val="32"/>
          <w:szCs w:val="32"/>
          <w:vertAlign w:val="baseline"/>
        </w:rPr>
        <w:footnoteRef/>
      </w:r>
      <w:r w:rsidRPr="00C9554A">
        <w:rPr>
          <w:rFonts w:ascii="Traditional Arabic" w:hAnsi="Traditional Arabic"/>
          <w:sz w:val="32"/>
          <w:szCs w:val="32"/>
        </w:rPr>
        <w:t>)</w:t>
      </w:r>
      <w:r w:rsidRPr="00C9554A">
        <w:rPr>
          <w:rFonts w:ascii="Traditional Arabic" w:hAnsi="Traditional Arabic"/>
          <w:sz w:val="32"/>
          <w:szCs w:val="32"/>
          <w:rtl/>
        </w:rPr>
        <w:t xml:space="preserve">) </w:t>
      </w:r>
      <w:r>
        <w:rPr>
          <w:rFonts w:ascii="Traditional Arabic" w:hAnsi="Traditional Arabic" w:hint="cs"/>
          <w:sz w:val="32"/>
          <w:szCs w:val="32"/>
          <w:rtl/>
        </w:rPr>
        <w:t>المرجع السابق (8/374) بتصرف.</w:t>
      </w:r>
    </w:p>
  </w:footnote>
  <w:footnote w:id="76">
    <w:p w:rsidR="000D3D21" w:rsidRPr="00C9554A" w:rsidRDefault="000D3D21">
      <w:pPr>
        <w:pStyle w:val="a7"/>
        <w:rPr>
          <w:rFonts w:ascii="Traditional Arabic" w:hAnsi="Traditional Arabic"/>
          <w:sz w:val="32"/>
          <w:szCs w:val="32"/>
          <w:rtl/>
        </w:rPr>
      </w:pPr>
      <w:r w:rsidRPr="00C9554A">
        <w:rPr>
          <w:rStyle w:val="af1"/>
          <w:rFonts w:ascii="Traditional Arabic" w:hAnsi="Traditional Arabic"/>
          <w:sz w:val="32"/>
          <w:szCs w:val="32"/>
          <w:vertAlign w:val="baseline"/>
        </w:rPr>
        <w:footnoteRef/>
      </w:r>
      <w:r w:rsidRPr="00C9554A">
        <w:rPr>
          <w:rFonts w:ascii="Traditional Arabic" w:hAnsi="Traditional Arabic"/>
          <w:sz w:val="32"/>
          <w:szCs w:val="32"/>
        </w:rPr>
        <w:t>)</w:t>
      </w:r>
      <w:r w:rsidRPr="00C9554A">
        <w:rPr>
          <w:rFonts w:ascii="Traditional Arabic" w:hAnsi="Traditional Arabic"/>
          <w:sz w:val="32"/>
          <w:szCs w:val="32"/>
          <w:rtl/>
        </w:rPr>
        <w:t xml:space="preserve">) </w:t>
      </w:r>
      <w:r>
        <w:rPr>
          <w:rFonts w:ascii="Traditional Arabic" w:hAnsi="Traditional Arabic" w:hint="cs"/>
          <w:sz w:val="32"/>
          <w:szCs w:val="32"/>
          <w:rtl/>
        </w:rPr>
        <w:t>الشرح الممتع (8/438).</w:t>
      </w:r>
    </w:p>
  </w:footnote>
  <w:footnote w:id="77">
    <w:p w:rsidR="000D3D21" w:rsidRPr="00624CDD" w:rsidRDefault="000D3D21">
      <w:pPr>
        <w:pStyle w:val="a7"/>
        <w:rPr>
          <w:rFonts w:ascii="Traditional Arabic" w:hAnsi="Traditional Arabic"/>
          <w:sz w:val="32"/>
          <w:szCs w:val="32"/>
          <w:rtl/>
        </w:rPr>
      </w:pPr>
      <w:r w:rsidRPr="00624CDD">
        <w:rPr>
          <w:rStyle w:val="af1"/>
          <w:rFonts w:ascii="Traditional Arabic" w:hAnsi="Traditional Arabic"/>
          <w:sz w:val="32"/>
          <w:szCs w:val="32"/>
          <w:vertAlign w:val="baseline"/>
        </w:rPr>
        <w:footnoteRef/>
      </w:r>
      <w:r w:rsidRPr="00624CDD">
        <w:rPr>
          <w:rFonts w:ascii="Traditional Arabic" w:hAnsi="Traditional Arabic"/>
          <w:sz w:val="32"/>
          <w:szCs w:val="32"/>
        </w:rPr>
        <w:t>)</w:t>
      </w:r>
      <w:r w:rsidRPr="00624CDD">
        <w:rPr>
          <w:rFonts w:ascii="Traditional Arabic" w:hAnsi="Traditional Arabic"/>
          <w:sz w:val="32"/>
          <w:szCs w:val="32"/>
          <w:rtl/>
        </w:rPr>
        <w:t xml:space="preserve">) </w:t>
      </w:r>
      <w:r>
        <w:rPr>
          <w:rFonts w:ascii="Traditional Arabic" w:hAnsi="Traditional Arabic" w:hint="cs"/>
          <w:sz w:val="32"/>
          <w:szCs w:val="32"/>
          <w:rtl/>
        </w:rPr>
        <w:t>المرجع السابق (9/29) بتصرف.</w:t>
      </w:r>
    </w:p>
  </w:footnote>
  <w:footnote w:id="78">
    <w:p w:rsidR="000D3D21" w:rsidRPr="00624CDD" w:rsidRDefault="000D3D21">
      <w:pPr>
        <w:pStyle w:val="a7"/>
        <w:rPr>
          <w:rFonts w:ascii="Traditional Arabic" w:hAnsi="Traditional Arabic"/>
          <w:sz w:val="32"/>
          <w:szCs w:val="32"/>
          <w:rtl/>
        </w:rPr>
      </w:pPr>
      <w:r w:rsidRPr="00624CDD">
        <w:rPr>
          <w:rStyle w:val="af1"/>
          <w:rFonts w:ascii="Traditional Arabic" w:hAnsi="Traditional Arabic"/>
          <w:sz w:val="32"/>
          <w:szCs w:val="32"/>
          <w:vertAlign w:val="baseline"/>
        </w:rPr>
        <w:footnoteRef/>
      </w:r>
      <w:r w:rsidRPr="00624CDD">
        <w:rPr>
          <w:rFonts w:ascii="Traditional Arabic" w:hAnsi="Traditional Arabic"/>
          <w:sz w:val="32"/>
          <w:szCs w:val="32"/>
        </w:rPr>
        <w:t>)</w:t>
      </w:r>
      <w:r w:rsidRPr="00624CDD">
        <w:rPr>
          <w:rFonts w:ascii="Traditional Arabic" w:hAnsi="Traditional Arabic"/>
          <w:sz w:val="32"/>
          <w:szCs w:val="32"/>
          <w:rtl/>
        </w:rPr>
        <w:t xml:space="preserve">) </w:t>
      </w:r>
      <w:r>
        <w:rPr>
          <w:rFonts w:ascii="Traditional Arabic" w:hAnsi="Traditional Arabic" w:hint="cs"/>
          <w:sz w:val="32"/>
          <w:szCs w:val="32"/>
          <w:rtl/>
        </w:rPr>
        <w:t>المرجع السابق (10/92).</w:t>
      </w:r>
    </w:p>
  </w:footnote>
  <w:footnote w:id="79">
    <w:p w:rsidR="000D3D21" w:rsidRPr="00373366" w:rsidRDefault="000D3D21" w:rsidP="00373366">
      <w:pPr>
        <w:pStyle w:val="a7"/>
        <w:rPr>
          <w:rFonts w:ascii="Traditional Arabic" w:hAnsi="Traditional Arabic"/>
          <w:sz w:val="32"/>
          <w:szCs w:val="32"/>
          <w:rtl/>
        </w:rPr>
      </w:pPr>
      <w:r w:rsidRPr="00373366">
        <w:rPr>
          <w:rFonts w:ascii="Traditional Arabic" w:hAnsi="Traditional Arabic"/>
          <w:sz w:val="32"/>
          <w:szCs w:val="32"/>
          <w:rtl/>
        </w:rPr>
        <w:t>(</w:t>
      </w:r>
      <w:r w:rsidRPr="00373366">
        <w:rPr>
          <w:rStyle w:val="af1"/>
          <w:rFonts w:ascii="Traditional Arabic" w:hAnsi="Traditional Arabic"/>
          <w:sz w:val="32"/>
          <w:szCs w:val="32"/>
          <w:vertAlign w:val="baseline"/>
        </w:rPr>
        <w:footnoteRef/>
      </w:r>
      <w:r w:rsidRPr="00373366">
        <w:rPr>
          <w:rFonts w:ascii="Traditional Arabic" w:hAnsi="Traditional Arabic"/>
          <w:sz w:val="32"/>
          <w:szCs w:val="32"/>
          <w:rtl/>
        </w:rPr>
        <w:t xml:space="preserve">) </w:t>
      </w:r>
      <w:r>
        <w:rPr>
          <w:rFonts w:ascii="Traditional Arabic" w:hAnsi="Traditional Arabic" w:hint="cs"/>
          <w:sz w:val="32"/>
          <w:szCs w:val="32"/>
          <w:rtl/>
        </w:rPr>
        <w:t>الشرح الممتع (10/206).</w:t>
      </w:r>
    </w:p>
  </w:footnote>
  <w:footnote w:id="80">
    <w:p w:rsidR="000D3D21" w:rsidRPr="00475A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 xml:space="preserve"> انظر</w:t>
      </w:r>
      <w:r>
        <w:rPr>
          <w:rFonts w:ascii="Traditional Arabic" w:hAnsi="Traditional Arabic" w:hint="cs"/>
          <w:sz w:val="32"/>
          <w:szCs w:val="32"/>
          <w:rtl/>
        </w:rPr>
        <w:t>:</w:t>
      </w:r>
      <w:r w:rsidRPr="00475AF0">
        <w:rPr>
          <w:rFonts w:ascii="Traditional Arabic" w:hAnsi="Traditional Arabic"/>
          <w:sz w:val="32"/>
          <w:szCs w:val="32"/>
          <w:rtl/>
        </w:rPr>
        <w:t xml:space="preserve"> الشرح الممتع (1/25، 69) (2/5</w:t>
      </w:r>
      <w:r>
        <w:rPr>
          <w:rFonts w:ascii="Traditional Arabic" w:hAnsi="Traditional Arabic"/>
          <w:sz w:val="32"/>
          <w:szCs w:val="32"/>
          <w:rtl/>
        </w:rPr>
        <w:t>،</w:t>
      </w:r>
      <w:r w:rsidRPr="00475AF0">
        <w:rPr>
          <w:rFonts w:ascii="Traditional Arabic" w:hAnsi="Traditional Arabic"/>
          <w:sz w:val="32"/>
          <w:szCs w:val="32"/>
          <w:rtl/>
        </w:rPr>
        <w:t xml:space="preserve"> 40) (3/5</w:t>
      </w:r>
      <w:r>
        <w:rPr>
          <w:rFonts w:ascii="Traditional Arabic" w:hAnsi="Traditional Arabic"/>
          <w:sz w:val="32"/>
          <w:szCs w:val="32"/>
          <w:rtl/>
        </w:rPr>
        <w:t>،</w:t>
      </w:r>
      <w:r w:rsidRPr="00475AF0">
        <w:rPr>
          <w:rFonts w:ascii="Traditional Arabic" w:hAnsi="Traditional Arabic"/>
          <w:sz w:val="32"/>
          <w:szCs w:val="32"/>
          <w:rtl/>
        </w:rPr>
        <w:t xml:space="preserve"> 336) (4/5</w:t>
      </w:r>
      <w:r>
        <w:rPr>
          <w:rFonts w:ascii="Traditional Arabic" w:hAnsi="Traditional Arabic"/>
          <w:sz w:val="32"/>
          <w:szCs w:val="32"/>
          <w:rtl/>
        </w:rPr>
        <w:t>،</w:t>
      </w:r>
      <w:r w:rsidRPr="00475AF0">
        <w:rPr>
          <w:rFonts w:ascii="Traditional Arabic" w:hAnsi="Traditional Arabic"/>
          <w:sz w:val="32"/>
          <w:szCs w:val="32"/>
          <w:rtl/>
        </w:rPr>
        <w:t xml:space="preserve"> 132) (5/5</w:t>
      </w:r>
      <w:r>
        <w:rPr>
          <w:rFonts w:ascii="Traditional Arabic" w:hAnsi="Traditional Arabic"/>
          <w:sz w:val="32"/>
          <w:szCs w:val="32"/>
          <w:rtl/>
        </w:rPr>
        <w:t>،</w:t>
      </w:r>
      <w:r w:rsidRPr="00475AF0">
        <w:rPr>
          <w:rFonts w:ascii="Traditional Arabic" w:hAnsi="Traditional Arabic"/>
          <w:sz w:val="32"/>
          <w:szCs w:val="32"/>
          <w:rtl/>
        </w:rPr>
        <w:t xml:space="preserve"> 111) (6/5</w:t>
      </w:r>
      <w:r>
        <w:rPr>
          <w:rFonts w:ascii="Traditional Arabic" w:hAnsi="Traditional Arabic"/>
          <w:sz w:val="32"/>
          <w:szCs w:val="32"/>
          <w:rtl/>
        </w:rPr>
        <w:t>،</w:t>
      </w:r>
      <w:r w:rsidRPr="00475AF0">
        <w:rPr>
          <w:rFonts w:ascii="Traditional Arabic" w:hAnsi="Traditional Arabic"/>
          <w:sz w:val="32"/>
          <w:szCs w:val="32"/>
          <w:rtl/>
        </w:rPr>
        <w:t xml:space="preserve"> 49) (7/5</w:t>
      </w:r>
      <w:r>
        <w:rPr>
          <w:rFonts w:ascii="Traditional Arabic" w:hAnsi="Traditional Arabic"/>
          <w:sz w:val="32"/>
          <w:szCs w:val="32"/>
          <w:rtl/>
        </w:rPr>
        <w:t>،</w:t>
      </w:r>
      <w:r w:rsidRPr="00475AF0">
        <w:rPr>
          <w:rFonts w:ascii="Traditional Arabic" w:hAnsi="Traditional Arabic"/>
          <w:sz w:val="32"/>
          <w:szCs w:val="32"/>
          <w:rtl/>
        </w:rPr>
        <w:t xml:space="preserve"> 44)</w:t>
      </w:r>
      <w:r>
        <w:rPr>
          <w:rFonts w:ascii="Traditional Arabic" w:hAnsi="Traditional Arabic"/>
          <w:sz w:val="32"/>
          <w:szCs w:val="32"/>
          <w:rtl/>
        </w:rPr>
        <w:t>.</w:t>
      </w:r>
    </w:p>
  </w:footnote>
  <w:footnote w:id="81">
    <w:p w:rsidR="000D3D21" w:rsidRPr="00EE31EA" w:rsidRDefault="000D3D21">
      <w:pPr>
        <w:pStyle w:val="a7"/>
        <w:rPr>
          <w:rFonts w:ascii="Traditional Arabic" w:hAnsi="Traditional Arabic"/>
          <w:sz w:val="32"/>
          <w:szCs w:val="32"/>
          <w:rtl/>
        </w:rPr>
      </w:pPr>
      <w:r w:rsidRPr="00EE31EA">
        <w:rPr>
          <w:rStyle w:val="af1"/>
          <w:rFonts w:ascii="Traditional Arabic" w:hAnsi="Traditional Arabic"/>
          <w:sz w:val="32"/>
          <w:szCs w:val="32"/>
          <w:vertAlign w:val="baseline"/>
        </w:rPr>
        <w:footnoteRef/>
      </w:r>
      <w:r w:rsidRPr="00EE31EA">
        <w:rPr>
          <w:rFonts w:ascii="Traditional Arabic" w:hAnsi="Traditional Arabic"/>
          <w:sz w:val="32"/>
          <w:szCs w:val="32"/>
        </w:rPr>
        <w:t>)</w:t>
      </w:r>
      <w:r w:rsidRPr="00EE31EA">
        <w:rPr>
          <w:rFonts w:ascii="Traditional Arabic" w:hAnsi="Traditional Arabic"/>
          <w:sz w:val="32"/>
          <w:szCs w:val="32"/>
          <w:rtl/>
        </w:rPr>
        <w:t xml:space="preserve">) </w:t>
      </w:r>
      <w:r>
        <w:rPr>
          <w:rFonts w:ascii="Traditional Arabic" w:hAnsi="Traditional Arabic" w:hint="cs"/>
          <w:sz w:val="32"/>
          <w:szCs w:val="32"/>
          <w:rtl/>
        </w:rPr>
        <w:t>انظر على سبيل المثال: المرجع السابق (8/131، 133، 149، 399)، و(9/12).</w:t>
      </w:r>
    </w:p>
  </w:footnote>
  <w:footnote w:id="82">
    <w:p w:rsidR="000D3D21" w:rsidRPr="001F08AA" w:rsidRDefault="000D3D21">
      <w:pPr>
        <w:pStyle w:val="a7"/>
        <w:rPr>
          <w:rFonts w:ascii="Traditional Arabic" w:hAnsi="Traditional Arabic"/>
          <w:sz w:val="32"/>
          <w:szCs w:val="32"/>
          <w:rtl/>
        </w:rPr>
      </w:pPr>
      <w:r w:rsidRPr="001F08AA">
        <w:rPr>
          <w:rFonts w:ascii="Traditional Arabic" w:hAnsi="Traditional Arabic"/>
          <w:sz w:val="32"/>
          <w:szCs w:val="32"/>
          <w:rtl/>
        </w:rPr>
        <w:t>(</w:t>
      </w:r>
      <w:r w:rsidRPr="001F08AA">
        <w:rPr>
          <w:rStyle w:val="af1"/>
          <w:rFonts w:ascii="Traditional Arabic" w:hAnsi="Traditional Arabic"/>
          <w:sz w:val="32"/>
          <w:szCs w:val="32"/>
          <w:vertAlign w:val="baseline"/>
        </w:rPr>
        <w:footnoteRef/>
      </w:r>
      <w:r w:rsidRPr="001F08AA">
        <w:rPr>
          <w:rFonts w:ascii="Traditional Arabic" w:hAnsi="Traditional Arabic"/>
          <w:sz w:val="32"/>
          <w:szCs w:val="32"/>
          <w:rtl/>
        </w:rPr>
        <w:t xml:space="preserve">) </w:t>
      </w:r>
      <w:r>
        <w:rPr>
          <w:rFonts w:ascii="Traditional Arabic" w:hAnsi="Traditional Arabic" w:hint="cs"/>
          <w:sz w:val="32"/>
          <w:szCs w:val="32"/>
          <w:rtl/>
        </w:rPr>
        <w:t xml:space="preserve">انظر: المرجع السابق (9/197، 371، 436)، و(10/186، 266، 353)، و(11/24، 219، 236، 106، 190، 276)، و(13/346، 379)، و(14/338، 355)، و(15/520). </w:t>
      </w:r>
    </w:p>
  </w:footnote>
  <w:footnote w:id="83">
    <w:p w:rsidR="000D3D21" w:rsidRPr="001F08AA" w:rsidRDefault="000D3D21">
      <w:pPr>
        <w:pStyle w:val="a7"/>
        <w:rPr>
          <w:rFonts w:ascii="Traditional Arabic" w:hAnsi="Traditional Arabic"/>
          <w:sz w:val="32"/>
          <w:szCs w:val="32"/>
          <w:rtl/>
        </w:rPr>
      </w:pPr>
      <w:r w:rsidRPr="001F08AA">
        <w:rPr>
          <w:rFonts w:ascii="Traditional Arabic" w:hAnsi="Traditional Arabic"/>
          <w:sz w:val="32"/>
          <w:szCs w:val="32"/>
          <w:rtl/>
        </w:rPr>
        <w:t>(</w:t>
      </w:r>
      <w:r w:rsidRPr="001F08AA">
        <w:rPr>
          <w:rStyle w:val="af1"/>
          <w:rFonts w:ascii="Traditional Arabic" w:hAnsi="Traditional Arabic"/>
          <w:sz w:val="32"/>
          <w:szCs w:val="32"/>
          <w:vertAlign w:val="baseline"/>
        </w:rPr>
        <w:footnoteRef/>
      </w:r>
      <w:r w:rsidRPr="001F08AA">
        <w:rPr>
          <w:rFonts w:ascii="Traditional Arabic" w:hAnsi="Traditional Arabic"/>
          <w:sz w:val="32"/>
          <w:szCs w:val="32"/>
          <w:rtl/>
        </w:rPr>
        <w:t xml:space="preserve">) </w:t>
      </w:r>
      <w:r>
        <w:rPr>
          <w:rFonts w:ascii="Traditional Arabic" w:hAnsi="Traditional Arabic" w:hint="cs"/>
          <w:sz w:val="32"/>
          <w:szCs w:val="32"/>
          <w:rtl/>
        </w:rPr>
        <w:t>انظر: المرجع السابق (8/196، 323، 341، 356، 448).</w:t>
      </w:r>
    </w:p>
  </w:footnote>
  <w:footnote w:id="84">
    <w:p w:rsidR="000D3D21" w:rsidRPr="00CD7CC0" w:rsidRDefault="000D3D21">
      <w:pPr>
        <w:pStyle w:val="a7"/>
        <w:rPr>
          <w:rFonts w:ascii="Traditional Arabic" w:hAnsi="Traditional Arabic"/>
          <w:sz w:val="32"/>
          <w:szCs w:val="32"/>
          <w:rtl/>
        </w:rPr>
      </w:pPr>
      <w:r w:rsidRPr="00CD7CC0">
        <w:rPr>
          <w:rStyle w:val="af1"/>
          <w:rFonts w:ascii="Traditional Arabic" w:hAnsi="Traditional Arabic"/>
          <w:sz w:val="32"/>
          <w:szCs w:val="32"/>
          <w:vertAlign w:val="baseline"/>
        </w:rPr>
        <w:footnoteRef/>
      </w:r>
      <w:r w:rsidRPr="00CD7CC0">
        <w:rPr>
          <w:rFonts w:ascii="Traditional Arabic" w:hAnsi="Traditional Arabic"/>
          <w:sz w:val="32"/>
          <w:szCs w:val="32"/>
        </w:rPr>
        <w:t>)</w:t>
      </w:r>
      <w:r w:rsidRPr="00CD7CC0">
        <w:rPr>
          <w:rFonts w:ascii="Traditional Arabic" w:hAnsi="Traditional Arabic"/>
          <w:sz w:val="32"/>
          <w:szCs w:val="32"/>
          <w:rtl/>
        </w:rPr>
        <w:t xml:space="preserve">) </w:t>
      </w:r>
      <w:r>
        <w:rPr>
          <w:rFonts w:ascii="Traditional Arabic" w:hAnsi="Traditional Arabic" w:hint="cs"/>
          <w:sz w:val="32"/>
          <w:szCs w:val="32"/>
          <w:rtl/>
        </w:rPr>
        <w:t>انظر على سبيل المثال: الشرح الممتع (1/358)، و(8/134_135، 188)، و(9/19، 157_158)، و(10/224)، و(14/329).</w:t>
      </w:r>
    </w:p>
  </w:footnote>
  <w:footnote w:id="85">
    <w:p w:rsidR="000D3D21" w:rsidRPr="00A95E66" w:rsidRDefault="000D3D21">
      <w:pPr>
        <w:pStyle w:val="a7"/>
        <w:rPr>
          <w:rFonts w:ascii="Traditional Arabic" w:hAnsi="Traditional Arabic"/>
          <w:sz w:val="32"/>
          <w:szCs w:val="32"/>
          <w:rtl/>
        </w:rPr>
      </w:pPr>
      <w:r w:rsidRPr="00A95E66">
        <w:rPr>
          <w:rStyle w:val="af1"/>
          <w:rFonts w:ascii="Traditional Arabic" w:hAnsi="Traditional Arabic"/>
          <w:sz w:val="32"/>
          <w:szCs w:val="32"/>
          <w:vertAlign w:val="baseline"/>
        </w:rPr>
        <w:footnoteRef/>
      </w:r>
      <w:r w:rsidRPr="00A95E66">
        <w:rPr>
          <w:rFonts w:ascii="Traditional Arabic" w:hAnsi="Traditional Arabic"/>
          <w:sz w:val="32"/>
          <w:szCs w:val="32"/>
        </w:rPr>
        <w:t>)</w:t>
      </w:r>
      <w:r w:rsidRPr="00A95E66">
        <w:rPr>
          <w:rFonts w:ascii="Traditional Arabic" w:hAnsi="Traditional Arabic"/>
          <w:sz w:val="32"/>
          <w:szCs w:val="32"/>
          <w:rtl/>
        </w:rPr>
        <w:t xml:space="preserve">) </w:t>
      </w:r>
      <w:r>
        <w:rPr>
          <w:rFonts w:ascii="Traditional Arabic" w:hAnsi="Traditional Arabic" w:hint="cs"/>
          <w:sz w:val="32"/>
          <w:szCs w:val="32"/>
          <w:rtl/>
        </w:rPr>
        <w:t xml:space="preserve">انظر: المرجع السابق (8/236)، و(9/19، 20، 77_78، 170، 174، 175، 457)، و(10/5، 6، 241). </w:t>
      </w:r>
    </w:p>
  </w:footnote>
  <w:footnote w:id="86">
    <w:p w:rsidR="000D3D21" w:rsidRPr="00843409" w:rsidRDefault="000D3D21" w:rsidP="006F08E1">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 xml:space="preserve"> انظر: ال</w:t>
      </w:r>
      <w:r>
        <w:rPr>
          <w:rFonts w:ascii="Traditional Arabic" w:hAnsi="Traditional Arabic" w:hint="cs"/>
          <w:sz w:val="32"/>
          <w:szCs w:val="32"/>
          <w:rtl/>
        </w:rPr>
        <w:t>مرجع السابق</w:t>
      </w:r>
      <w:r w:rsidRPr="00475AF0">
        <w:rPr>
          <w:rFonts w:ascii="Traditional Arabic" w:hAnsi="Traditional Arabic"/>
          <w:sz w:val="32"/>
          <w:szCs w:val="32"/>
          <w:rtl/>
        </w:rPr>
        <w:t xml:space="preserve"> (1/296)</w:t>
      </w:r>
      <w:r>
        <w:rPr>
          <w:rFonts w:ascii="Traditional Arabic" w:hAnsi="Traditional Arabic" w:hint="cs"/>
          <w:sz w:val="32"/>
          <w:szCs w:val="32"/>
          <w:rtl/>
        </w:rPr>
        <w:t>،</w:t>
      </w:r>
      <w:r w:rsidRPr="00475AF0">
        <w:rPr>
          <w:rFonts w:ascii="Traditional Arabic" w:hAnsi="Traditional Arabic"/>
          <w:sz w:val="32"/>
          <w:szCs w:val="32"/>
          <w:rtl/>
        </w:rPr>
        <w:t xml:space="preserve"> </w:t>
      </w:r>
      <w:r>
        <w:rPr>
          <w:rFonts w:ascii="Traditional Arabic" w:hAnsi="Traditional Arabic" w:hint="cs"/>
          <w:sz w:val="32"/>
          <w:szCs w:val="32"/>
          <w:rtl/>
        </w:rPr>
        <w:t>و</w:t>
      </w:r>
      <w:r w:rsidRPr="00475AF0">
        <w:rPr>
          <w:rFonts w:ascii="Traditional Arabic" w:hAnsi="Traditional Arabic"/>
          <w:sz w:val="32"/>
          <w:szCs w:val="32"/>
          <w:rtl/>
        </w:rPr>
        <w:t>(2/17)</w:t>
      </w:r>
      <w:r>
        <w:rPr>
          <w:rFonts w:ascii="Traditional Arabic" w:hAnsi="Traditional Arabic" w:hint="cs"/>
          <w:sz w:val="32"/>
          <w:szCs w:val="32"/>
          <w:rtl/>
        </w:rPr>
        <w:t>،</w:t>
      </w:r>
      <w:r w:rsidRPr="00475AF0">
        <w:rPr>
          <w:rFonts w:ascii="Traditional Arabic" w:hAnsi="Traditional Arabic"/>
          <w:sz w:val="32"/>
          <w:szCs w:val="32"/>
          <w:rtl/>
        </w:rPr>
        <w:t xml:space="preserve"> </w:t>
      </w:r>
      <w:r>
        <w:rPr>
          <w:rFonts w:ascii="Traditional Arabic" w:hAnsi="Traditional Arabic" w:hint="cs"/>
          <w:sz w:val="32"/>
          <w:szCs w:val="32"/>
          <w:rtl/>
        </w:rPr>
        <w:t>و</w:t>
      </w:r>
      <w:r w:rsidRPr="00475AF0">
        <w:rPr>
          <w:rFonts w:ascii="Traditional Arabic" w:hAnsi="Traditional Arabic"/>
          <w:sz w:val="32"/>
          <w:szCs w:val="32"/>
          <w:rtl/>
        </w:rPr>
        <w:t>(3/88)</w:t>
      </w:r>
      <w:r>
        <w:rPr>
          <w:rFonts w:ascii="Traditional Arabic" w:hAnsi="Traditional Arabic" w:hint="cs"/>
          <w:sz w:val="32"/>
          <w:szCs w:val="32"/>
          <w:rtl/>
        </w:rPr>
        <w:t>،</w:t>
      </w:r>
      <w:r w:rsidRPr="00475AF0">
        <w:rPr>
          <w:rFonts w:ascii="Traditional Arabic" w:hAnsi="Traditional Arabic"/>
          <w:sz w:val="32"/>
          <w:szCs w:val="32"/>
          <w:rtl/>
        </w:rPr>
        <w:t xml:space="preserve"> </w:t>
      </w:r>
      <w:r>
        <w:rPr>
          <w:rFonts w:ascii="Traditional Arabic" w:hAnsi="Traditional Arabic" w:hint="cs"/>
          <w:sz w:val="32"/>
          <w:szCs w:val="32"/>
          <w:rtl/>
        </w:rPr>
        <w:t>,</w:t>
      </w:r>
      <w:r w:rsidRPr="00475AF0">
        <w:rPr>
          <w:rFonts w:ascii="Traditional Arabic" w:hAnsi="Traditional Arabic"/>
          <w:sz w:val="32"/>
          <w:szCs w:val="32"/>
          <w:rtl/>
        </w:rPr>
        <w:t>(4/8)</w:t>
      </w:r>
      <w:r>
        <w:rPr>
          <w:rFonts w:ascii="Traditional Arabic" w:hAnsi="Traditional Arabic" w:hint="cs"/>
          <w:sz w:val="32"/>
          <w:szCs w:val="32"/>
          <w:rtl/>
        </w:rPr>
        <w:t>،</w:t>
      </w:r>
      <w:r w:rsidRPr="00475AF0">
        <w:rPr>
          <w:rFonts w:ascii="Traditional Arabic" w:hAnsi="Traditional Arabic"/>
          <w:sz w:val="32"/>
          <w:szCs w:val="32"/>
          <w:rtl/>
        </w:rPr>
        <w:t xml:space="preserve"> </w:t>
      </w:r>
      <w:r>
        <w:rPr>
          <w:rFonts w:ascii="Traditional Arabic" w:hAnsi="Traditional Arabic" w:hint="cs"/>
          <w:sz w:val="32"/>
          <w:szCs w:val="32"/>
          <w:rtl/>
        </w:rPr>
        <w:t>و</w:t>
      </w:r>
      <w:r w:rsidRPr="00475AF0">
        <w:rPr>
          <w:rFonts w:ascii="Traditional Arabic" w:hAnsi="Traditional Arabic"/>
          <w:sz w:val="32"/>
          <w:szCs w:val="32"/>
          <w:rtl/>
        </w:rPr>
        <w:t>(5/242)</w:t>
      </w:r>
      <w:r>
        <w:rPr>
          <w:rFonts w:ascii="Traditional Arabic" w:hAnsi="Traditional Arabic" w:hint="cs"/>
          <w:sz w:val="32"/>
          <w:szCs w:val="32"/>
          <w:rtl/>
        </w:rPr>
        <w:t>،</w:t>
      </w:r>
      <w:r w:rsidRPr="00475AF0">
        <w:rPr>
          <w:rFonts w:ascii="Traditional Arabic" w:hAnsi="Traditional Arabic"/>
          <w:sz w:val="32"/>
          <w:szCs w:val="32"/>
          <w:rtl/>
        </w:rPr>
        <w:t xml:space="preserve"> </w:t>
      </w:r>
      <w:r>
        <w:rPr>
          <w:rFonts w:ascii="Traditional Arabic" w:hAnsi="Traditional Arabic" w:hint="cs"/>
          <w:sz w:val="32"/>
          <w:szCs w:val="32"/>
          <w:rtl/>
        </w:rPr>
        <w:t>و</w:t>
      </w:r>
      <w:r w:rsidRPr="00475AF0">
        <w:rPr>
          <w:rFonts w:ascii="Traditional Arabic" w:hAnsi="Traditional Arabic"/>
          <w:sz w:val="32"/>
          <w:szCs w:val="32"/>
          <w:rtl/>
        </w:rPr>
        <w:t>(6/28)</w:t>
      </w:r>
      <w:r>
        <w:rPr>
          <w:rFonts w:ascii="Traditional Arabic" w:hAnsi="Traditional Arabic" w:hint="cs"/>
          <w:sz w:val="32"/>
          <w:szCs w:val="32"/>
          <w:rtl/>
        </w:rPr>
        <w:t xml:space="preserve">، </w:t>
      </w:r>
      <w:r w:rsidRPr="00475AF0">
        <w:rPr>
          <w:rFonts w:ascii="Traditional Arabic" w:hAnsi="Traditional Arabic"/>
          <w:sz w:val="32"/>
          <w:szCs w:val="32"/>
          <w:rtl/>
        </w:rPr>
        <w:t xml:space="preserve"> </w:t>
      </w:r>
      <w:r>
        <w:rPr>
          <w:rFonts w:ascii="Traditional Arabic" w:hAnsi="Traditional Arabic" w:hint="cs"/>
          <w:sz w:val="32"/>
          <w:szCs w:val="32"/>
          <w:rtl/>
        </w:rPr>
        <w:t>و</w:t>
      </w:r>
      <w:r w:rsidRPr="00475AF0">
        <w:rPr>
          <w:rFonts w:ascii="Traditional Arabic" w:hAnsi="Traditional Arabic"/>
          <w:sz w:val="32"/>
          <w:szCs w:val="32"/>
          <w:rtl/>
        </w:rPr>
        <w:t>(7/13)</w:t>
      </w:r>
      <w:r>
        <w:rPr>
          <w:rFonts w:ascii="Traditional Arabic" w:hAnsi="Traditional Arabic"/>
          <w:sz w:val="32"/>
          <w:szCs w:val="32"/>
          <w:rtl/>
        </w:rPr>
        <w:t>.</w:t>
      </w:r>
    </w:p>
  </w:footnote>
  <w:footnote w:id="87">
    <w:p w:rsidR="000D3D21" w:rsidRPr="00843409" w:rsidRDefault="000D3D21" w:rsidP="001B251E">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w:t>
      </w:r>
      <w:r>
        <w:rPr>
          <w:rFonts w:ascii="Traditional Arabic" w:hAnsi="Traditional Arabic" w:hint="cs"/>
          <w:sz w:val="32"/>
          <w:szCs w:val="32"/>
          <w:rtl/>
        </w:rPr>
        <w:t>:</w:t>
      </w:r>
      <w:r>
        <w:rPr>
          <w:rFonts w:ascii="Traditional Arabic" w:hAnsi="Traditional Arabic"/>
          <w:sz w:val="32"/>
          <w:szCs w:val="32"/>
          <w:rtl/>
        </w:rPr>
        <w:t xml:space="preserve"> الم</w:t>
      </w:r>
      <w:r w:rsidRPr="00442A53">
        <w:rPr>
          <w:rFonts w:ascii="Traditional Arabic" w:hAnsi="Traditional Arabic"/>
          <w:sz w:val="32"/>
          <w:szCs w:val="32"/>
          <w:rtl/>
        </w:rPr>
        <w:t>ر</w:t>
      </w:r>
      <w:r>
        <w:rPr>
          <w:rFonts w:ascii="Traditional Arabic" w:hAnsi="Traditional Arabic" w:hint="cs"/>
          <w:sz w:val="32"/>
          <w:szCs w:val="32"/>
          <w:rtl/>
        </w:rPr>
        <w:t>جع</w:t>
      </w:r>
      <w:r w:rsidRPr="00442A53">
        <w:rPr>
          <w:rFonts w:ascii="Traditional Arabic" w:hAnsi="Traditional Arabic"/>
          <w:sz w:val="32"/>
          <w:szCs w:val="32"/>
          <w:rtl/>
        </w:rPr>
        <w:t xml:space="preserve"> السابق (2/161</w:t>
      </w:r>
      <w:r>
        <w:rPr>
          <w:rFonts w:ascii="Traditional Arabic" w:hAnsi="Traditional Arabic" w:hint="cs"/>
          <w:sz w:val="32"/>
          <w:szCs w:val="32"/>
          <w:rtl/>
        </w:rPr>
        <w:t>، 208</w:t>
      </w:r>
      <w:r w:rsidRPr="00442A53">
        <w:rPr>
          <w:rFonts w:ascii="Traditional Arabic" w:hAnsi="Traditional Arabic"/>
          <w:sz w:val="32"/>
          <w:szCs w:val="32"/>
          <w:rtl/>
        </w:rPr>
        <w:t>)</w:t>
      </w:r>
      <w:r>
        <w:rPr>
          <w:rFonts w:ascii="Traditional Arabic" w:hAnsi="Traditional Arabic" w:hint="cs"/>
          <w:sz w:val="32"/>
          <w:szCs w:val="32"/>
          <w:rtl/>
        </w:rPr>
        <w:t>، و(3/258)،</w:t>
      </w:r>
      <w:r w:rsidRPr="00442A53">
        <w:rPr>
          <w:rFonts w:ascii="Traditional Arabic" w:hAnsi="Traditional Arabic"/>
          <w:sz w:val="32"/>
          <w:szCs w:val="32"/>
          <w:rtl/>
        </w:rPr>
        <w:t xml:space="preserve"> </w:t>
      </w:r>
      <w:r>
        <w:rPr>
          <w:rFonts w:ascii="Traditional Arabic" w:hAnsi="Traditional Arabic" w:hint="cs"/>
          <w:sz w:val="32"/>
          <w:szCs w:val="32"/>
          <w:rtl/>
        </w:rPr>
        <w:t>و</w:t>
      </w:r>
      <w:r w:rsidRPr="00442A53">
        <w:rPr>
          <w:rFonts w:ascii="Traditional Arabic" w:hAnsi="Traditional Arabic"/>
          <w:sz w:val="32"/>
          <w:szCs w:val="32"/>
          <w:rtl/>
        </w:rPr>
        <w:t>(6/438)</w:t>
      </w:r>
      <w:r>
        <w:rPr>
          <w:rFonts w:ascii="Traditional Arabic" w:hAnsi="Traditional Arabic" w:hint="cs"/>
          <w:sz w:val="32"/>
          <w:szCs w:val="32"/>
          <w:rtl/>
        </w:rPr>
        <w:t>،</w:t>
      </w:r>
      <w:r w:rsidRPr="00442A53">
        <w:rPr>
          <w:rFonts w:ascii="Traditional Arabic" w:hAnsi="Traditional Arabic"/>
          <w:sz w:val="32"/>
          <w:szCs w:val="32"/>
          <w:rtl/>
        </w:rPr>
        <w:t xml:space="preserve"> </w:t>
      </w:r>
      <w:r>
        <w:rPr>
          <w:rFonts w:ascii="Traditional Arabic" w:hAnsi="Traditional Arabic" w:hint="cs"/>
          <w:sz w:val="32"/>
          <w:szCs w:val="32"/>
          <w:rtl/>
        </w:rPr>
        <w:t>و</w:t>
      </w:r>
      <w:r w:rsidRPr="00442A53">
        <w:rPr>
          <w:rFonts w:ascii="Traditional Arabic" w:hAnsi="Traditional Arabic"/>
          <w:sz w:val="32"/>
          <w:szCs w:val="32"/>
          <w:rtl/>
        </w:rPr>
        <w:t>(7/16</w:t>
      </w:r>
      <w:r>
        <w:rPr>
          <w:rFonts w:ascii="Traditional Arabic" w:hAnsi="Traditional Arabic"/>
          <w:sz w:val="32"/>
          <w:szCs w:val="32"/>
          <w:rtl/>
        </w:rPr>
        <w:t>،</w:t>
      </w:r>
      <w:r w:rsidRPr="00442A53">
        <w:rPr>
          <w:rFonts w:ascii="Traditional Arabic" w:hAnsi="Traditional Arabic"/>
          <w:sz w:val="32"/>
          <w:szCs w:val="32"/>
          <w:rtl/>
        </w:rPr>
        <w:t xml:space="preserve"> 142</w:t>
      </w:r>
      <w:r>
        <w:rPr>
          <w:rFonts w:ascii="Traditional Arabic" w:hAnsi="Traditional Arabic"/>
          <w:sz w:val="32"/>
          <w:szCs w:val="32"/>
          <w:rtl/>
        </w:rPr>
        <w:t>،</w:t>
      </w:r>
      <w:r w:rsidRPr="00442A53">
        <w:rPr>
          <w:rFonts w:ascii="Traditional Arabic" w:hAnsi="Traditional Arabic"/>
          <w:sz w:val="32"/>
          <w:szCs w:val="32"/>
          <w:rtl/>
        </w:rPr>
        <w:t xml:space="preserve"> 264)</w:t>
      </w:r>
      <w:r>
        <w:rPr>
          <w:rFonts w:ascii="Traditional Arabic" w:hAnsi="Traditional Arabic" w:hint="cs"/>
          <w:sz w:val="32"/>
          <w:szCs w:val="32"/>
          <w:rtl/>
        </w:rPr>
        <w:t>، و(9/267)، و(10/228)</w:t>
      </w:r>
      <w:r>
        <w:rPr>
          <w:rFonts w:ascii="Traditional Arabic" w:hAnsi="Traditional Arabic"/>
          <w:sz w:val="32"/>
          <w:szCs w:val="32"/>
          <w:rtl/>
        </w:rPr>
        <w:t>.</w:t>
      </w:r>
    </w:p>
  </w:footnote>
  <w:footnote w:id="88">
    <w:p w:rsidR="000D3D21" w:rsidRPr="006F0830" w:rsidRDefault="000D3D21">
      <w:pPr>
        <w:pStyle w:val="a7"/>
        <w:rPr>
          <w:rFonts w:ascii="Traditional Arabic" w:hAnsi="Traditional Arabic"/>
          <w:sz w:val="32"/>
          <w:szCs w:val="32"/>
          <w:rtl/>
        </w:rPr>
      </w:pPr>
      <w:r w:rsidRPr="006F0830">
        <w:rPr>
          <w:rStyle w:val="af1"/>
          <w:rFonts w:ascii="Traditional Arabic" w:hAnsi="Traditional Arabic"/>
          <w:sz w:val="32"/>
          <w:szCs w:val="32"/>
          <w:vertAlign w:val="baseline"/>
        </w:rPr>
        <w:footnoteRef/>
      </w:r>
      <w:r w:rsidRPr="006F0830">
        <w:rPr>
          <w:rFonts w:ascii="Traditional Arabic" w:hAnsi="Traditional Arabic"/>
          <w:sz w:val="32"/>
          <w:szCs w:val="32"/>
        </w:rPr>
        <w:t>)</w:t>
      </w:r>
      <w:r w:rsidRPr="006F0830">
        <w:rPr>
          <w:rFonts w:ascii="Traditional Arabic" w:hAnsi="Traditional Arabic"/>
          <w:sz w:val="32"/>
          <w:szCs w:val="32"/>
          <w:rtl/>
        </w:rPr>
        <w:t xml:space="preserve">) </w:t>
      </w:r>
      <w:r>
        <w:rPr>
          <w:rFonts w:ascii="Traditional Arabic" w:hAnsi="Traditional Arabic" w:hint="cs"/>
          <w:sz w:val="32"/>
          <w:szCs w:val="32"/>
          <w:rtl/>
        </w:rPr>
        <w:t>انظر الشرح الممتع (8/147-148، 160، 164، 169)، و(10/335).</w:t>
      </w:r>
    </w:p>
  </w:footnote>
  <w:footnote w:id="89">
    <w:p w:rsidR="000D3D21" w:rsidRPr="00F73A5D" w:rsidRDefault="000D3D21">
      <w:pPr>
        <w:pStyle w:val="a7"/>
        <w:rPr>
          <w:rFonts w:ascii="Traditional Arabic" w:hAnsi="Traditional Arabic"/>
          <w:sz w:val="32"/>
          <w:szCs w:val="32"/>
          <w:rtl/>
        </w:rPr>
      </w:pPr>
      <w:r w:rsidRPr="00F73A5D">
        <w:rPr>
          <w:rStyle w:val="af1"/>
          <w:rFonts w:ascii="Traditional Arabic" w:hAnsi="Traditional Arabic"/>
          <w:sz w:val="32"/>
          <w:szCs w:val="32"/>
          <w:vertAlign w:val="baseline"/>
        </w:rPr>
        <w:footnoteRef/>
      </w:r>
      <w:r w:rsidRPr="00F73A5D">
        <w:rPr>
          <w:rFonts w:ascii="Traditional Arabic" w:hAnsi="Traditional Arabic"/>
          <w:sz w:val="32"/>
          <w:szCs w:val="32"/>
        </w:rPr>
        <w:t>)</w:t>
      </w:r>
      <w:r w:rsidRPr="00F73A5D">
        <w:rPr>
          <w:rFonts w:ascii="Traditional Arabic" w:hAnsi="Traditional Arabic"/>
          <w:sz w:val="32"/>
          <w:szCs w:val="32"/>
          <w:rtl/>
        </w:rPr>
        <w:t xml:space="preserve">) </w:t>
      </w:r>
      <w:r>
        <w:rPr>
          <w:rFonts w:ascii="Traditional Arabic" w:hAnsi="Traditional Arabic" w:hint="cs"/>
          <w:sz w:val="32"/>
          <w:szCs w:val="32"/>
          <w:rtl/>
        </w:rPr>
        <w:t>انظر المرجع السابق (8/256، 313، 370)، و(9/58، 61، 79، 127، 247، 406، 416، 438)، و(10/107، 284، 286، 298، 323، 400).</w:t>
      </w:r>
    </w:p>
  </w:footnote>
  <w:footnote w:id="90">
    <w:p w:rsidR="000D3D21" w:rsidRDefault="000D3D21">
      <w:pPr>
        <w:pStyle w:val="a7"/>
        <w:rPr>
          <w:rFonts w:ascii="Traditional Arabic" w:hAnsi="Traditional Arabic"/>
          <w:sz w:val="32"/>
          <w:szCs w:val="32"/>
          <w:rtl/>
        </w:rPr>
      </w:pPr>
      <w:r w:rsidRPr="00F73A5D">
        <w:rPr>
          <w:rStyle w:val="af1"/>
          <w:rFonts w:ascii="Traditional Arabic" w:hAnsi="Traditional Arabic"/>
          <w:sz w:val="32"/>
          <w:szCs w:val="32"/>
          <w:vertAlign w:val="baseline"/>
        </w:rPr>
        <w:footnoteRef/>
      </w:r>
      <w:r w:rsidRPr="00F73A5D">
        <w:rPr>
          <w:rFonts w:ascii="Traditional Arabic" w:hAnsi="Traditional Arabic"/>
          <w:sz w:val="32"/>
          <w:szCs w:val="32"/>
        </w:rPr>
        <w:t>)</w:t>
      </w:r>
      <w:r w:rsidRPr="00F73A5D">
        <w:rPr>
          <w:rFonts w:ascii="Traditional Arabic" w:hAnsi="Traditional Arabic"/>
          <w:sz w:val="32"/>
          <w:szCs w:val="32"/>
          <w:rtl/>
        </w:rPr>
        <w:t xml:space="preserve">) </w:t>
      </w:r>
      <w:r>
        <w:rPr>
          <w:rFonts w:ascii="Traditional Arabic" w:hAnsi="Traditional Arabic" w:hint="cs"/>
          <w:sz w:val="32"/>
          <w:szCs w:val="32"/>
          <w:rtl/>
        </w:rPr>
        <w:t>انظر المرجع السابق (8/142، 190، 233، 346، 399، 400، 411)، و(9/14، 31، 40)، و(14/107).</w:t>
      </w:r>
    </w:p>
    <w:p w:rsidR="000D3D21" w:rsidRPr="00E843E0" w:rsidRDefault="000D3D21">
      <w:pPr>
        <w:pStyle w:val="a7"/>
        <w:rPr>
          <w:rFonts w:ascii="Traditional Arabic" w:hAnsi="Traditional Arabic"/>
          <w:sz w:val="32"/>
          <w:szCs w:val="32"/>
          <w:rtl/>
        </w:rPr>
      </w:pPr>
      <w:r w:rsidRPr="00E843E0">
        <w:rPr>
          <w:rFonts w:ascii="Traditional Arabic" w:hAnsi="Traditional Arabic" w:hint="cs"/>
          <w:sz w:val="32"/>
          <w:szCs w:val="32"/>
          <w:rtl/>
        </w:rPr>
        <w:t xml:space="preserve">     </w:t>
      </w:r>
      <w:r w:rsidRPr="00E843E0">
        <w:rPr>
          <w:rFonts w:ascii="Traditional Arabic" w:hAnsi="Traditional Arabic"/>
          <w:sz w:val="32"/>
          <w:szCs w:val="32"/>
          <w:rtl/>
        </w:rPr>
        <w:t>وانظر للاستزادة: ابن عثيمين  الزاهد</w:t>
      </w:r>
      <w:r>
        <w:rPr>
          <w:rFonts w:ascii="Traditional Arabic" w:hAnsi="Traditional Arabic"/>
          <w:sz w:val="32"/>
          <w:szCs w:val="32"/>
          <w:rtl/>
        </w:rPr>
        <w:t xml:space="preserve"> (581 – 585)</w:t>
      </w:r>
      <w:r w:rsidRPr="00E843E0">
        <w:rPr>
          <w:rFonts w:ascii="Traditional Arabic" w:hAnsi="Traditional Arabic"/>
          <w:sz w:val="32"/>
          <w:szCs w:val="32"/>
          <w:rtl/>
        </w:rPr>
        <w:t xml:space="preserve">، </w:t>
      </w:r>
      <w:r>
        <w:rPr>
          <w:rFonts w:ascii="Traditional Arabic" w:hAnsi="Traditional Arabic" w:hint="cs"/>
          <w:sz w:val="32"/>
          <w:szCs w:val="32"/>
          <w:rtl/>
        </w:rPr>
        <w:t>و</w:t>
      </w:r>
      <w:r w:rsidRPr="00E843E0">
        <w:rPr>
          <w:rFonts w:ascii="Traditional Arabic" w:hAnsi="Traditional Arabic"/>
          <w:sz w:val="32"/>
          <w:szCs w:val="32"/>
          <w:rtl/>
        </w:rPr>
        <w:t>الجامع لحياة العلَّامة محمد بن صالح العثيمين (105 – 112)</w:t>
      </w:r>
      <w:r>
        <w:rPr>
          <w:rFonts w:ascii="Traditional Arabic" w:hAnsi="Traditional Arabic" w:hint="cs"/>
          <w:sz w:val="32"/>
          <w:szCs w:val="32"/>
          <w:rtl/>
        </w:rPr>
        <w:t>، والقواعد والضوابط الفقهية عند الشيخ ابن عثيمين في الشرح الممتع من كتاب العبادات (1/146-14)</w:t>
      </w:r>
      <w:r w:rsidRPr="00E843E0">
        <w:rPr>
          <w:rFonts w:ascii="Traditional Arabic" w:hAnsi="Traditional Arabic"/>
          <w:sz w:val="32"/>
          <w:szCs w:val="32"/>
          <w:rtl/>
        </w:rPr>
        <w:t>.</w:t>
      </w:r>
    </w:p>
  </w:footnote>
  <w:footnote w:id="91">
    <w:p w:rsidR="000D3D21" w:rsidRPr="001E2D6C" w:rsidRDefault="000D3D21">
      <w:pPr>
        <w:pStyle w:val="a7"/>
        <w:rPr>
          <w:rFonts w:ascii="Traditional Arabic" w:hAnsi="Traditional Arabic"/>
          <w:sz w:val="32"/>
          <w:szCs w:val="32"/>
        </w:rPr>
      </w:pPr>
      <w:r w:rsidRPr="001E2D6C">
        <w:rPr>
          <w:rStyle w:val="af1"/>
          <w:rFonts w:ascii="Traditional Arabic" w:hAnsi="Traditional Arabic"/>
          <w:sz w:val="32"/>
          <w:szCs w:val="32"/>
          <w:vertAlign w:val="baseline"/>
        </w:rPr>
        <w:footnoteRef/>
      </w:r>
      <w:r w:rsidRPr="001E2D6C">
        <w:rPr>
          <w:rFonts w:ascii="Traditional Arabic" w:hAnsi="Traditional Arabic"/>
          <w:sz w:val="32"/>
          <w:szCs w:val="32"/>
        </w:rPr>
        <w:t>)</w:t>
      </w:r>
      <w:r w:rsidRPr="001E2D6C">
        <w:rPr>
          <w:rFonts w:ascii="Traditional Arabic" w:hAnsi="Traditional Arabic"/>
          <w:sz w:val="32"/>
          <w:szCs w:val="32"/>
          <w:rtl/>
        </w:rPr>
        <w:t xml:space="preserve">) </w:t>
      </w:r>
      <w:r>
        <w:rPr>
          <w:rFonts w:ascii="Traditional Arabic" w:hAnsi="Traditional Arabic" w:hint="cs"/>
          <w:sz w:val="32"/>
          <w:szCs w:val="32"/>
          <w:rtl/>
        </w:rPr>
        <w:t>انظر نهاية السول في شرح منهاج الأصول لجمال الدين عبد الرحيم بن الحسن الأسنوي (1/6).</w:t>
      </w:r>
    </w:p>
  </w:footnote>
  <w:footnote w:id="92">
    <w:p w:rsidR="000D3D21" w:rsidRPr="00115419" w:rsidRDefault="000D3D21" w:rsidP="006F08E1">
      <w:pPr>
        <w:pStyle w:val="a7"/>
        <w:spacing w:line="40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115419">
        <w:rPr>
          <w:rFonts w:ascii="Traditional Arabic" w:hAnsi="Traditional Arabic"/>
          <w:sz w:val="32"/>
          <w:szCs w:val="32"/>
          <w:rtl/>
        </w:rPr>
        <w:tab/>
        <w:t>ان</w:t>
      </w:r>
      <w:r>
        <w:rPr>
          <w:rFonts w:ascii="Traditional Arabic" w:hAnsi="Traditional Arabic"/>
          <w:sz w:val="32"/>
          <w:szCs w:val="32"/>
          <w:rtl/>
        </w:rPr>
        <w:t>ظـ</w:t>
      </w:r>
      <w:r>
        <w:rPr>
          <w:rFonts w:ascii="Traditional Arabic" w:hAnsi="Traditional Arabic" w:hint="cs"/>
          <w:sz w:val="32"/>
          <w:szCs w:val="32"/>
          <w:rtl/>
        </w:rPr>
        <w:t>ر:</w:t>
      </w:r>
      <w:r w:rsidRPr="00115419">
        <w:rPr>
          <w:rFonts w:ascii="Traditional Arabic" w:hAnsi="Traditional Arabic"/>
          <w:sz w:val="32"/>
          <w:szCs w:val="32"/>
          <w:rtl/>
        </w:rPr>
        <w:t xml:space="preserve"> تهذيب اللغة</w:t>
      </w:r>
      <w:r>
        <w:rPr>
          <w:rFonts w:ascii="Traditional Arabic" w:hAnsi="Traditional Arabic" w:hint="cs"/>
          <w:sz w:val="32"/>
          <w:szCs w:val="32"/>
          <w:rtl/>
        </w:rPr>
        <w:t xml:space="preserve"> لأبي منصور محمد بن أحمد</w:t>
      </w:r>
      <w:r>
        <w:rPr>
          <w:rFonts w:ascii="Traditional Arabic" w:hAnsi="Traditional Arabic"/>
          <w:sz w:val="32"/>
          <w:szCs w:val="32"/>
          <w:rtl/>
        </w:rPr>
        <w:t xml:space="preserve"> الأزهري (1</w:t>
      </w:r>
      <w:r>
        <w:rPr>
          <w:rFonts w:ascii="Traditional Arabic" w:hAnsi="Traditional Arabic" w:hint="cs"/>
          <w:sz w:val="32"/>
          <w:szCs w:val="32"/>
          <w:rtl/>
        </w:rPr>
        <w:t>/204)</w:t>
      </w:r>
      <w:r>
        <w:rPr>
          <w:rFonts w:ascii="Traditional Arabic" w:hAnsi="Traditional Arabic"/>
          <w:sz w:val="32"/>
          <w:szCs w:val="32"/>
          <w:rtl/>
        </w:rPr>
        <w:t>،</w:t>
      </w:r>
      <w:r w:rsidRPr="00115419">
        <w:rPr>
          <w:rFonts w:ascii="Traditional Arabic" w:hAnsi="Traditional Arabic"/>
          <w:sz w:val="32"/>
          <w:szCs w:val="32"/>
          <w:rtl/>
        </w:rPr>
        <w:t xml:space="preserve"> </w:t>
      </w:r>
      <w:r>
        <w:rPr>
          <w:rFonts w:ascii="Traditional Arabic" w:hAnsi="Traditional Arabic" w:hint="cs"/>
          <w:sz w:val="32"/>
          <w:szCs w:val="32"/>
          <w:rtl/>
        </w:rPr>
        <w:t>ومقاييس اللغة لأبي الحسين أحمد بن فارس بن زكريا (5/109)، و</w:t>
      </w:r>
      <w:r w:rsidRPr="00115419">
        <w:rPr>
          <w:rFonts w:ascii="Traditional Arabic" w:hAnsi="Traditional Arabic"/>
          <w:sz w:val="32"/>
          <w:szCs w:val="32"/>
          <w:rtl/>
        </w:rPr>
        <w:t>المفردات في غريب القرآن</w:t>
      </w:r>
      <w:r>
        <w:rPr>
          <w:rFonts w:ascii="Traditional Arabic" w:hAnsi="Traditional Arabic" w:hint="cs"/>
          <w:sz w:val="32"/>
          <w:szCs w:val="32"/>
          <w:rtl/>
        </w:rPr>
        <w:t xml:space="preserve"> للراغب</w:t>
      </w:r>
      <w:r>
        <w:rPr>
          <w:rFonts w:ascii="Traditional Arabic" w:hAnsi="Traditional Arabic"/>
          <w:sz w:val="32"/>
          <w:szCs w:val="32"/>
          <w:rtl/>
        </w:rPr>
        <w:t xml:space="preserve"> الأصفهاني (</w:t>
      </w:r>
      <w:r>
        <w:rPr>
          <w:rFonts w:ascii="Traditional Arabic" w:hAnsi="Traditional Arabic" w:hint="cs"/>
          <w:sz w:val="32"/>
          <w:szCs w:val="32"/>
          <w:rtl/>
        </w:rPr>
        <w:t>679</w:t>
      </w:r>
      <w:r w:rsidRPr="00115419">
        <w:rPr>
          <w:rFonts w:ascii="Traditional Arabic" w:hAnsi="Traditional Arabic"/>
          <w:sz w:val="32"/>
          <w:szCs w:val="32"/>
          <w:rtl/>
        </w:rPr>
        <w:t>)</w:t>
      </w:r>
      <w:r>
        <w:rPr>
          <w:rFonts w:ascii="Traditional Arabic" w:hAnsi="Traditional Arabic"/>
          <w:sz w:val="32"/>
          <w:szCs w:val="32"/>
          <w:rtl/>
        </w:rPr>
        <w:t>،</w:t>
      </w:r>
      <w:r w:rsidRPr="00115419">
        <w:rPr>
          <w:rFonts w:ascii="Traditional Arabic" w:hAnsi="Traditional Arabic"/>
          <w:sz w:val="32"/>
          <w:szCs w:val="32"/>
          <w:rtl/>
        </w:rPr>
        <w:t xml:space="preserve"> </w:t>
      </w:r>
      <w:r>
        <w:rPr>
          <w:rFonts w:ascii="Traditional Arabic" w:hAnsi="Traditional Arabic" w:hint="cs"/>
          <w:sz w:val="32"/>
          <w:szCs w:val="32"/>
          <w:rtl/>
        </w:rPr>
        <w:t>و</w:t>
      </w:r>
      <w:r w:rsidRPr="00115419">
        <w:rPr>
          <w:rFonts w:ascii="Traditional Arabic" w:hAnsi="Traditional Arabic"/>
          <w:sz w:val="32"/>
          <w:szCs w:val="32"/>
          <w:rtl/>
        </w:rPr>
        <w:t>لسان العرب</w:t>
      </w:r>
      <w:r>
        <w:rPr>
          <w:rFonts w:ascii="Traditional Arabic" w:hAnsi="Traditional Arabic" w:hint="cs"/>
          <w:sz w:val="32"/>
          <w:szCs w:val="32"/>
          <w:rtl/>
        </w:rPr>
        <w:t xml:space="preserve"> لأبي الفضل جمال الدين محمد بن مكرم بن منظور</w:t>
      </w:r>
      <w:r>
        <w:rPr>
          <w:rFonts w:ascii="Traditional Arabic" w:hAnsi="Traditional Arabic"/>
          <w:sz w:val="32"/>
          <w:szCs w:val="32"/>
          <w:rtl/>
        </w:rPr>
        <w:t xml:space="preserve"> </w:t>
      </w:r>
      <w:r>
        <w:rPr>
          <w:rFonts w:ascii="Traditional Arabic" w:hAnsi="Traditional Arabic" w:hint="cs"/>
          <w:sz w:val="32"/>
          <w:szCs w:val="32"/>
          <w:rtl/>
        </w:rPr>
        <w:t>(5/3689)</w:t>
      </w:r>
      <w:r>
        <w:rPr>
          <w:rFonts w:ascii="Traditional Arabic" w:hAnsi="Traditional Arabic"/>
          <w:sz w:val="32"/>
          <w:szCs w:val="32"/>
          <w:rtl/>
        </w:rPr>
        <w:t>،</w:t>
      </w:r>
      <w:r w:rsidRPr="00115419">
        <w:rPr>
          <w:rFonts w:ascii="Traditional Arabic" w:hAnsi="Traditional Arabic"/>
          <w:sz w:val="32"/>
          <w:szCs w:val="32"/>
          <w:rtl/>
        </w:rPr>
        <w:t xml:space="preserve"> </w:t>
      </w:r>
      <w:r>
        <w:rPr>
          <w:rFonts w:ascii="Traditional Arabic" w:hAnsi="Traditional Arabic" w:hint="cs"/>
          <w:sz w:val="32"/>
          <w:szCs w:val="32"/>
          <w:rtl/>
        </w:rPr>
        <w:t>و</w:t>
      </w:r>
      <w:r w:rsidRPr="00115419">
        <w:rPr>
          <w:rFonts w:ascii="Traditional Arabic" w:hAnsi="Traditional Arabic"/>
          <w:sz w:val="32"/>
          <w:szCs w:val="32"/>
          <w:rtl/>
        </w:rPr>
        <w:t>تاج العروس</w:t>
      </w:r>
      <w:r>
        <w:rPr>
          <w:rFonts w:ascii="Traditional Arabic" w:hAnsi="Traditional Arabic"/>
          <w:sz w:val="32"/>
          <w:szCs w:val="32"/>
          <w:rtl/>
        </w:rPr>
        <w:t xml:space="preserve"> </w:t>
      </w:r>
      <w:r>
        <w:rPr>
          <w:rFonts w:ascii="Traditional Arabic" w:hAnsi="Traditional Arabic" w:hint="cs"/>
          <w:sz w:val="32"/>
          <w:szCs w:val="32"/>
          <w:rtl/>
        </w:rPr>
        <w:t xml:space="preserve">للسيد محمد مرتضى </w:t>
      </w:r>
      <w:r w:rsidRPr="00115419">
        <w:rPr>
          <w:rFonts w:ascii="Traditional Arabic" w:hAnsi="Traditional Arabic"/>
          <w:sz w:val="32"/>
          <w:szCs w:val="32"/>
          <w:rtl/>
        </w:rPr>
        <w:t>الزبيدي (9/60)</w:t>
      </w:r>
      <w:r>
        <w:rPr>
          <w:rFonts w:ascii="Traditional Arabic" w:hAnsi="Traditional Arabic"/>
          <w:sz w:val="32"/>
          <w:szCs w:val="32"/>
          <w:rtl/>
        </w:rPr>
        <w:t>.</w:t>
      </w:r>
    </w:p>
  </w:footnote>
  <w:footnote w:id="93">
    <w:p w:rsidR="000D3D21" w:rsidRPr="00D917C1" w:rsidRDefault="000D3D21" w:rsidP="00D917C1">
      <w:pPr>
        <w:pStyle w:val="a7"/>
        <w:spacing w:line="400" w:lineRule="exact"/>
        <w:ind w:left="510" w:hanging="510"/>
        <w:jc w:val="lowKashida"/>
        <w:rPr>
          <w:sz w:val="32"/>
          <w:szCs w:val="32"/>
          <w:rtl/>
        </w:rPr>
      </w:pPr>
      <w:r w:rsidRPr="00D917C1">
        <w:rPr>
          <w:rStyle w:val="af1"/>
          <w:rFonts w:ascii="Traditional Arabic" w:hAnsi="Traditional Arabic"/>
          <w:sz w:val="32"/>
          <w:szCs w:val="32"/>
          <w:vertAlign w:val="baseline"/>
        </w:rPr>
        <w:footnoteRef/>
      </w:r>
      <w:r w:rsidRPr="00D917C1">
        <w:rPr>
          <w:rStyle w:val="af1"/>
          <w:rFonts w:ascii="Traditional Arabic" w:hAnsi="Traditional Arabic"/>
          <w:sz w:val="32"/>
          <w:szCs w:val="32"/>
          <w:vertAlign w:val="baseline"/>
        </w:rPr>
        <w:t>)</w:t>
      </w:r>
      <w:r w:rsidRPr="00D917C1">
        <w:rPr>
          <w:rStyle w:val="af1"/>
          <w:rFonts w:ascii="Traditional Arabic" w:hAnsi="Traditional Arabic" w:hint="cs"/>
          <w:sz w:val="32"/>
          <w:szCs w:val="32"/>
          <w:vertAlign w:val="baseline"/>
          <w:rtl/>
        </w:rPr>
        <w:t>)</w:t>
      </w:r>
      <w:r w:rsidRPr="00D917C1">
        <w:rPr>
          <w:rStyle w:val="af1"/>
          <w:rFonts w:ascii="Traditional Arabic" w:hAnsi="Traditional Arabic"/>
          <w:sz w:val="32"/>
          <w:szCs w:val="32"/>
          <w:vertAlign w:val="baseline"/>
          <w:rtl/>
        </w:rPr>
        <w:t xml:space="preserve"> </w:t>
      </w:r>
      <w:r w:rsidRPr="00D917C1">
        <w:rPr>
          <w:rFonts w:hint="cs"/>
          <w:sz w:val="32"/>
          <w:szCs w:val="32"/>
          <w:rtl/>
        </w:rPr>
        <w:t>انظر القواعد الكبرى في الفقه الإسلامي لعبد الله بن عبد العزيز العجلان (5).</w:t>
      </w:r>
    </w:p>
  </w:footnote>
  <w:footnote w:id="94">
    <w:p w:rsidR="000D3D21" w:rsidRPr="00B37BB2" w:rsidRDefault="000D3D21" w:rsidP="00B37BB2">
      <w:pPr>
        <w:pStyle w:val="a7"/>
        <w:spacing w:line="400" w:lineRule="exact"/>
        <w:ind w:left="510" w:hanging="510"/>
        <w:jc w:val="lowKashida"/>
        <w:rPr>
          <w:sz w:val="32"/>
          <w:szCs w:val="32"/>
          <w:rtl/>
        </w:rPr>
      </w:pPr>
      <w:r w:rsidRPr="00B37BB2">
        <w:rPr>
          <w:rStyle w:val="af1"/>
          <w:rFonts w:ascii="Traditional Arabic" w:hAnsi="Traditional Arabic"/>
          <w:sz w:val="32"/>
          <w:szCs w:val="32"/>
          <w:vertAlign w:val="baseline"/>
        </w:rPr>
        <w:footnoteRef/>
      </w:r>
      <w:r w:rsidRPr="00B37BB2">
        <w:rPr>
          <w:rStyle w:val="af1"/>
          <w:rFonts w:ascii="Traditional Arabic" w:hAnsi="Traditional Arabic"/>
          <w:sz w:val="32"/>
          <w:szCs w:val="32"/>
          <w:vertAlign w:val="baseline"/>
        </w:rPr>
        <w:t>)</w:t>
      </w:r>
      <w:r w:rsidRPr="00B37BB2">
        <w:rPr>
          <w:rStyle w:val="af1"/>
          <w:rFonts w:ascii="Traditional Arabic" w:hAnsi="Traditional Arabic" w:hint="cs"/>
          <w:sz w:val="32"/>
          <w:szCs w:val="32"/>
          <w:vertAlign w:val="baseline"/>
          <w:rtl/>
        </w:rPr>
        <w:t>)</w:t>
      </w:r>
      <w:r w:rsidRPr="00B37BB2">
        <w:rPr>
          <w:rStyle w:val="af1"/>
          <w:rFonts w:ascii="Traditional Arabic" w:hAnsi="Traditional Arabic"/>
          <w:sz w:val="32"/>
          <w:szCs w:val="32"/>
          <w:vertAlign w:val="baseline"/>
          <w:rtl/>
        </w:rPr>
        <w:t xml:space="preserve"> </w:t>
      </w:r>
      <w:r w:rsidRPr="00B37BB2">
        <w:rPr>
          <w:rFonts w:hint="cs"/>
          <w:b/>
          <w:bCs/>
          <w:sz w:val="32"/>
          <w:szCs w:val="32"/>
          <w:rtl/>
        </w:rPr>
        <w:t>القضية اصطلاحا:</w:t>
      </w:r>
      <w:r w:rsidRPr="00B37BB2">
        <w:rPr>
          <w:rFonts w:hint="cs"/>
          <w:sz w:val="32"/>
          <w:szCs w:val="32"/>
          <w:rtl/>
        </w:rPr>
        <w:t xml:space="preserve"> قول يصح أن يقال لقائله أنه صادق فيه أو كاذب فيه. التعريفات لعلي بن محمد الشريف الجرجاني (183).</w:t>
      </w:r>
    </w:p>
  </w:footnote>
  <w:footnote w:id="95">
    <w:p w:rsidR="000D3D21" w:rsidRPr="00E107E7" w:rsidRDefault="000D3D21" w:rsidP="00547221">
      <w:pPr>
        <w:pStyle w:val="a7"/>
        <w:spacing w:line="400" w:lineRule="exact"/>
        <w:ind w:left="510" w:hanging="510"/>
        <w:jc w:val="lowKashida"/>
        <w:rPr>
          <w:sz w:val="32"/>
          <w:szCs w:val="32"/>
          <w:rtl/>
        </w:rPr>
      </w:pPr>
      <w:r w:rsidRPr="00E107E7">
        <w:rPr>
          <w:rStyle w:val="af1"/>
          <w:rFonts w:ascii="Traditional Arabic" w:hAnsi="Traditional Arabic"/>
          <w:sz w:val="32"/>
          <w:szCs w:val="32"/>
          <w:vertAlign w:val="baseline"/>
        </w:rPr>
        <w:footnoteRef/>
      </w:r>
      <w:r w:rsidRPr="00E107E7">
        <w:rPr>
          <w:rStyle w:val="af1"/>
          <w:rFonts w:ascii="Traditional Arabic" w:hAnsi="Traditional Arabic"/>
          <w:sz w:val="32"/>
          <w:szCs w:val="32"/>
          <w:vertAlign w:val="baseline"/>
        </w:rPr>
        <w:t>)</w:t>
      </w:r>
      <w:r w:rsidRPr="00E107E7">
        <w:rPr>
          <w:rStyle w:val="af1"/>
          <w:rFonts w:ascii="Traditional Arabic" w:hAnsi="Traditional Arabic" w:hint="cs"/>
          <w:sz w:val="32"/>
          <w:szCs w:val="32"/>
          <w:vertAlign w:val="baseline"/>
          <w:rtl/>
        </w:rPr>
        <w:t>)</w:t>
      </w:r>
      <w:r w:rsidRPr="00E107E7">
        <w:rPr>
          <w:sz w:val="32"/>
          <w:szCs w:val="32"/>
          <w:rtl/>
        </w:rPr>
        <w:t xml:space="preserve"> </w:t>
      </w:r>
      <w:r>
        <w:rPr>
          <w:rFonts w:hint="cs"/>
          <w:sz w:val="32"/>
          <w:szCs w:val="32"/>
          <w:rtl/>
        </w:rPr>
        <w:t>البدر الطالع في حل جمع الجوامع لمحمد بن أحمد الشافعي، المعروف بجلال المحلي (1/31-32)، وانظر: التعريفات للجرجاني</w:t>
      </w:r>
      <w:r w:rsidRPr="00E107E7">
        <w:rPr>
          <w:rFonts w:hint="cs"/>
          <w:sz w:val="32"/>
          <w:szCs w:val="32"/>
          <w:rtl/>
        </w:rPr>
        <w:t xml:space="preserve"> (</w:t>
      </w:r>
      <w:r>
        <w:rPr>
          <w:rFonts w:hint="cs"/>
          <w:sz w:val="32"/>
          <w:szCs w:val="32"/>
          <w:rtl/>
        </w:rPr>
        <w:t>1</w:t>
      </w:r>
      <w:r w:rsidRPr="00E107E7">
        <w:rPr>
          <w:rFonts w:hint="cs"/>
          <w:sz w:val="32"/>
          <w:szCs w:val="32"/>
          <w:rtl/>
        </w:rPr>
        <w:t>77)</w:t>
      </w:r>
      <w:r>
        <w:rPr>
          <w:rFonts w:hint="cs"/>
          <w:sz w:val="32"/>
          <w:szCs w:val="32"/>
          <w:rtl/>
        </w:rPr>
        <w:t>، والمصباح المنير لأحمد بن محمد بن علي الفيومي (416)، وانظر في شرح التعريف حاشية الشيخ حسن العطار على شرح الجلال المحلي على جمع الجوامع (1/31-32)</w:t>
      </w:r>
      <w:r w:rsidRPr="00E107E7">
        <w:rPr>
          <w:rFonts w:hint="cs"/>
          <w:sz w:val="32"/>
          <w:szCs w:val="32"/>
          <w:rtl/>
        </w:rPr>
        <w:t>.</w:t>
      </w:r>
    </w:p>
  </w:footnote>
  <w:footnote w:id="96">
    <w:p w:rsidR="000D3D21" w:rsidRPr="00115419" w:rsidRDefault="000D3D21" w:rsidP="009E62A4">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 لسان العرب (</w:t>
      </w:r>
      <w:r>
        <w:rPr>
          <w:rFonts w:ascii="Traditional Arabic" w:hAnsi="Traditional Arabic" w:hint="cs"/>
          <w:sz w:val="32"/>
          <w:szCs w:val="32"/>
          <w:rtl/>
        </w:rPr>
        <w:t>5/3450</w:t>
      </w:r>
      <w:r w:rsidRPr="00115419">
        <w:rPr>
          <w:rFonts w:ascii="Traditional Arabic" w:hAnsi="Traditional Arabic"/>
          <w:sz w:val="32"/>
          <w:szCs w:val="32"/>
          <w:rtl/>
        </w:rPr>
        <w:t xml:space="preserve">)، </w:t>
      </w:r>
      <w:r>
        <w:rPr>
          <w:rFonts w:ascii="Traditional Arabic" w:hAnsi="Traditional Arabic" w:hint="cs"/>
          <w:sz w:val="32"/>
          <w:szCs w:val="32"/>
          <w:rtl/>
        </w:rPr>
        <w:t>و</w:t>
      </w:r>
      <w:r>
        <w:rPr>
          <w:rFonts w:ascii="Traditional Arabic" w:hAnsi="Traditional Arabic"/>
          <w:sz w:val="32"/>
          <w:szCs w:val="32"/>
          <w:rtl/>
        </w:rPr>
        <w:t>المصباح المنير (</w:t>
      </w:r>
      <w:r>
        <w:rPr>
          <w:rFonts w:ascii="Traditional Arabic" w:hAnsi="Traditional Arabic" w:hint="cs"/>
          <w:sz w:val="32"/>
          <w:szCs w:val="32"/>
          <w:rtl/>
        </w:rPr>
        <w:t>390</w:t>
      </w:r>
      <w:r>
        <w:rPr>
          <w:rFonts w:ascii="Traditional Arabic" w:hAnsi="Traditional Arabic"/>
          <w:sz w:val="32"/>
          <w:szCs w:val="32"/>
          <w:rtl/>
        </w:rPr>
        <w:t>)</w:t>
      </w:r>
      <w:r>
        <w:rPr>
          <w:rFonts w:ascii="Traditional Arabic" w:hAnsi="Traditional Arabic" w:hint="cs"/>
          <w:sz w:val="32"/>
          <w:szCs w:val="32"/>
          <w:rtl/>
        </w:rPr>
        <w:t>. وانظر نهاية السول في شرح منهاج الأصول لجمال الدين عبد الرحيم بن الحسن الأسنوي (1/8)</w:t>
      </w:r>
      <w:r>
        <w:rPr>
          <w:rFonts w:ascii="Traditional Arabic" w:hAnsi="Traditional Arabic"/>
          <w:sz w:val="32"/>
          <w:szCs w:val="32"/>
          <w:rtl/>
        </w:rPr>
        <w:t>.</w:t>
      </w:r>
    </w:p>
  </w:footnote>
  <w:footnote w:id="97">
    <w:p w:rsidR="000D3D21" w:rsidRPr="00115419" w:rsidRDefault="000D3D21" w:rsidP="009E62A4">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115419">
        <w:rPr>
          <w:rFonts w:ascii="Traditional Arabic" w:hAnsi="Traditional Arabic"/>
          <w:sz w:val="32"/>
          <w:szCs w:val="32"/>
          <w:rtl/>
        </w:rPr>
        <w:tab/>
      </w:r>
      <w:r>
        <w:rPr>
          <w:rFonts w:ascii="Traditional Arabic" w:hAnsi="Traditional Arabic" w:hint="cs"/>
          <w:sz w:val="32"/>
          <w:szCs w:val="32"/>
          <w:rtl/>
        </w:rPr>
        <w:t>انظر في هذا التعريف وشرحه: منهاج الأصول إلى علم الأصول للقاضي ناصر الدين عبد الله بن عمر البيضاوي (51)، ونهاية السول للأسنوي (1/22).</w:t>
      </w:r>
    </w:p>
  </w:footnote>
  <w:footnote w:id="98">
    <w:p w:rsidR="000D3D21" w:rsidRPr="00547221" w:rsidRDefault="000D3D21">
      <w:pPr>
        <w:pStyle w:val="a7"/>
        <w:rPr>
          <w:rFonts w:ascii="Traditional Arabic" w:hAnsi="Traditional Arabic"/>
          <w:sz w:val="32"/>
          <w:szCs w:val="32"/>
        </w:rPr>
      </w:pPr>
      <w:r w:rsidRPr="00547221">
        <w:rPr>
          <w:rStyle w:val="af1"/>
          <w:rFonts w:ascii="Traditional Arabic" w:hAnsi="Traditional Arabic"/>
          <w:sz w:val="32"/>
          <w:szCs w:val="32"/>
          <w:vertAlign w:val="baseline"/>
        </w:rPr>
        <w:footnoteRef/>
      </w:r>
      <w:r w:rsidRPr="00547221">
        <w:rPr>
          <w:rStyle w:val="af1"/>
          <w:rFonts w:ascii="Traditional Arabic" w:hAnsi="Traditional Arabic"/>
          <w:sz w:val="32"/>
          <w:szCs w:val="32"/>
          <w:vertAlign w:val="baseline"/>
        </w:rPr>
        <w:t>)</w:t>
      </w:r>
      <w:r w:rsidRPr="00547221">
        <w:rPr>
          <w:rStyle w:val="af1"/>
          <w:rFonts w:ascii="Traditional Arabic" w:hAnsi="Traditional Arabic"/>
          <w:sz w:val="32"/>
          <w:szCs w:val="32"/>
          <w:vertAlign w:val="baseline"/>
          <w:rtl/>
        </w:rPr>
        <w:t xml:space="preserve">) </w:t>
      </w:r>
      <w:r>
        <w:rPr>
          <w:rStyle w:val="af1"/>
          <w:rFonts w:ascii="Traditional Arabic" w:hAnsi="Traditional Arabic" w:hint="cs"/>
          <w:sz w:val="32"/>
          <w:szCs w:val="32"/>
          <w:vertAlign w:val="baseline"/>
          <w:rtl/>
        </w:rPr>
        <w:t xml:space="preserve">الفروع الفقهية المندرجة تحت قاعدة المظنة تنزل منزلة المئنة لديارا سياك </w:t>
      </w:r>
      <w:r>
        <w:rPr>
          <w:rFonts w:ascii="Traditional Arabic" w:hAnsi="Traditional Arabic" w:hint="cs"/>
          <w:sz w:val="32"/>
          <w:szCs w:val="32"/>
          <w:rtl/>
        </w:rPr>
        <w:t>(1/57).</w:t>
      </w:r>
    </w:p>
  </w:footnote>
  <w:footnote w:id="99">
    <w:p w:rsidR="000D3D21" w:rsidRPr="00DC7CD0" w:rsidRDefault="000D3D21" w:rsidP="00B2290D">
      <w:pPr>
        <w:pStyle w:val="a7"/>
        <w:rPr>
          <w:rFonts w:ascii="Traditional Arabic" w:hAnsi="Traditional Arabic"/>
          <w:sz w:val="32"/>
          <w:szCs w:val="32"/>
        </w:rPr>
      </w:pPr>
      <w:r w:rsidRPr="00DC7CD0">
        <w:rPr>
          <w:rFonts w:ascii="Traditional Arabic" w:hAnsi="Traditional Arabic"/>
          <w:sz w:val="32"/>
          <w:szCs w:val="32"/>
          <w:rtl/>
        </w:rPr>
        <w:t>(</w:t>
      </w:r>
      <w:r w:rsidRPr="00DC7CD0">
        <w:rPr>
          <w:rFonts w:ascii="Traditional Arabic" w:hAnsi="Traditional Arabic"/>
          <w:sz w:val="32"/>
          <w:szCs w:val="32"/>
          <w:rtl/>
        </w:rPr>
        <w:footnoteRef/>
      </w:r>
      <w:r w:rsidRPr="00DC7CD0">
        <w:rPr>
          <w:rFonts w:ascii="Traditional Arabic" w:hAnsi="Traditional Arabic"/>
          <w:sz w:val="32"/>
          <w:szCs w:val="32"/>
          <w:rtl/>
        </w:rPr>
        <w:t xml:space="preserve">) انظر: نظرية التقعيد الفقهي </w:t>
      </w:r>
      <w:r w:rsidRPr="00DC7CD0">
        <w:rPr>
          <w:rFonts w:ascii="Traditional Arabic" w:hAnsi="Traditional Arabic" w:hint="cs"/>
          <w:sz w:val="32"/>
          <w:szCs w:val="32"/>
          <w:rtl/>
        </w:rPr>
        <w:t xml:space="preserve">وأثرها في اختلاف الفقهاء </w:t>
      </w:r>
      <w:r w:rsidRPr="00DC7CD0">
        <w:rPr>
          <w:rFonts w:ascii="Traditional Arabic" w:hAnsi="Traditional Arabic"/>
          <w:sz w:val="32"/>
          <w:szCs w:val="32"/>
          <w:rtl/>
        </w:rPr>
        <w:t>ل</w:t>
      </w:r>
      <w:r w:rsidRPr="00DC7CD0">
        <w:rPr>
          <w:rFonts w:ascii="Traditional Arabic" w:hAnsi="Traditional Arabic" w:hint="cs"/>
          <w:sz w:val="32"/>
          <w:szCs w:val="32"/>
          <w:rtl/>
        </w:rPr>
        <w:t>محمد ا</w:t>
      </w:r>
      <w:r w:rsidRPr="00DC7CD0">
        <w:rPr>
          <w:rFonts w:ascii="Traditional Arabic" w:hAnsi="Traditional Arabic"/>
          <w:sz w:val="32"/>
          <w:szCs w:val="32"/>
          <w:rtl/>
        </w:rPr>
        <w:t xml:space="preserve">لروكي </w:t>
      </w:r>
      <w:r w:rsidRPr="00DC7CD0">
        <w:rPr>
          <w:rFonts w:ascii="Traditional Arabic" w:hAnsi="Traditional Arabic" w:hint="cs"/>
          <w:sz w:val="32"/>
          <w:szCs w:val="32"/>
          <w:rtl/>
        </w:rPr>
        <w:t>(46)، والقواعد والضوابط الفقهية عند ابن تيمية في فقه الأسرة لمحمد بن عبد الله الصواط (1/86)</w:t>
      </w:r>
      <w:r w:rsidRPr="00DC7CD0">
        <w:rPr>
          <w:rFonts w:ascii="Traditional Arabic" w:hAnsi="Traditional Arabic"/>
          <w:sz w:val="32"/>
          <w:szCs w:val="32"/>
          <w:rtl/>
        </w:rPr>
        <w:t>.</w:t>
      </w:r>
    </w:p>
  </w:footnote>
  <w:footnote w:id="100">
    <w:p w:rsidR="000D3D21" w:rsidRPr="00DC7CD0" w:rsidRDefault="000D3D21">
      <w:pPr>
        <w:pStyle w:val="a7"/>
        <w:rPr>
          <w:sz w:val="32"/>
          <w:szCs w:val="32"/>
          <w:rtl/>
        </w:rPr>
      </w:pPr>
      <w:r w:rsidRPr="00DC7CD0">
        <w:rPr>
          <w:rFonts w:ascii="Traditional Arabic" w:hAnsi="Traditional Arabic"/>
          <w:sz w:val="32"/>
          <w:szCs w:val="32"/>
        </w:rPr>
        <w:footnoteRef/>
      </w:r>
      <w:r w:rsidRPr="00DC7CD0">
        <w:rPr>
          <w:rFonts w:ascii="Traditional Arabic" w:hAnsi="Traditional Arabic"/>
          <w:sz w:val="32"/>
          <w:szCs w:val="32"/>
        </w:rPr>
        <w:t>)</w:t>
      </w:r>
      <w:r w:rsidRPr="00DC7CD0">
        <w:rPr>
          <w:rFonts w:ascii="Traditional Arabic" w:hAnsi="Traditional Arabic" w:hint="cs"/>
          <w:sz w:val="32"/>
          <w:szCs w:val="32"/>
          <w:rtl/>
        </w:rPr>
        <w:t>)</w:t>
      </w:r>
      <w:r w:rsidRPr="00DC7CD0">
        <w:rPr>
          <w:sz w:val="32"/>
          <w:szCs w:val="32"/>
          <w:rtl/>
        </w:rPr>
        <w:t xml:space="preserve"> </w:t>
      </w:r>
      <w:r w:rsidRPr="00DC7CD0">
        <w:rPr>
          <w:rFonts w:hint="cs"/>
          <w:sz w:val="32"/>
          <w:szCs w:val="32"/>
          <w:rtl/>
        </w:rPr>
        <w:t>انظر</w:t>
      </w:r>
      <w:r>
        <w:rPr>
          <w:rFonts w:hint="cs"/>
          <w:sz w:val="32"/>
          <w:szCs w:val="32"/>
          <w:rtl/>
        </w:rPr>
        <w:t>: الاستثناء من القواعد الفقهية (أسبابه ووآثاره) لعبد الرحمن الشعلان (25)،</w:t>
      </w:r>
      <w:r w:rsidRPr="00DC7CD0">
        <w:rPr>
          <w:rFonts w:hint="cs"/>
          <w:sz w:val="32"/>
          <w:szCs w:val="32"/>
          <w:rtl/>
        </w:rPr>
        <w:t xml:space="preserve"> </w:t>
      </w:r>
      <w:r>
        <w:rPr>
          <w:rFonts w:hint="cs"/>
          <w:sz w:val="32"/>
          <w:szCs w:val="32"/>
          <w:rtl/>
        </w:rPr>
        <w:t>و</w:t>
      </w:r>
      <w:r w:rsidRPr="00DC7CD0">
        <w:rPr>
          <w:rFonts w:hint="cs"/>
          <w:sz w:val="32"/>
          <w:szCs w:val="32"/>
          <w:rtl/>
        </w:rPr>
        <w:t>الفروع الفقهية المندرجة تحت قاعدة المظنة تنزل منزلة المئنة (1/57).</w:t>
      </w:r>
    </w:p>
  </w:footnote>
  <w:footnote w:id="101">
    <w:p w:rsidR="000D3D21" w:rsidRPr="00DC7CD0" w:rsidRDefault="000D3D21">
      <w:pPr>
        <w:pStyle w:val="a7"/>
        <w:rPr>
          <w:sz w:val="32"/>
          <w:szCs w:val="32"/>
          <w:rtl/>
        </w:rPr>
      </w:pPr>
      <w:r w:rsidRPr="00DC7CD0">
        <w:rPr>
          <w:rFonts w:ascii="Traditional Arabic" w:hAnsi="Traditional Arabic"/>
          <w:sz w:val="32"/>
          <w:szCs w:val="32"/>
        </w:rPr>
        <w:footnoteRef/>
      </w:r>
      <w:r w:rsidRPr="00DC7CD0">
        <w:rPr>
          <w:rFonts w:ascii="Traditional Arabic" w:hAnsi="Traditional Arabic"/>
          <w:sz w:val="32"/>
          <w:szCs w:val="32"/>
        </w:rPr>
        <w:t>)</w:t>
      </w:r>
      <w:r w:rsidRPr="00DC7CD0">
        <w:rPr>
          <w:rFonts w:ascii="Traditional Arabic" w:hAnsi="Traditional Arabic" w:hint="cs"/>
          <w:sz w:val="32"/>
          <w:szCs w:val="32"/>
          <w:rtl/>
        </w:rPr>
        <w:t>) انظر القواعد والضواب</w:t>
      </w:r>
      <w:r>
        <w:rPr>
          <w:rFonts w:ascii="Traditional Arabic" w:hAnsi="Traditional Arabic" w:hint="cs"/>
          <w:sz w:val="32"/>
          <w:szCs w:val="32"/>
          <w:rtl/>
        </w:rPr>
        <w:t>ط</w:t>
      </w:r>
      <w:r w:rsidRPr="00DC7CD0">
        <w:rPr>
          <w:rFonts w:ascii="Traditional Arabic" w:hAnsi="Traditional Arabic" w:hint="cs"/>
          <w:sz w:val="32"/>
          <w:szCs w:val="32"/>
          <w:rtl/>
        </w:rPr>
        <w:t xml:space="preserve"> الفقهية عند ابن تيمية في فقه الأسرة (</w:t>
      </w:r>
      <w:r>
        <w:rPr>
          <w:rFonts w:ascii="Traditional Arabic" w:hAnsi="Traditional Arabic" w:hint="cs"/>
          <w:sz w:val="32"/>
          <w:szCs w:val="32"/>
          <w:rtl/>
        </w:rPr>
        <w:t>1/88</w:t>
      </w:r>
      <w:r w:rsidRPr="00DC7CD0">
        <w:rPr>
          <w:rFonts w:ascii="Traditional Arabic" w:hAnsi="Traditional Arabic" w:hint="cs"/>
          <w:sz w:val="32"/>
          <w:szCs w:val="32"/>
          <w:rtl/>
        </w:rPr>
        <w:t>).</w:t>
      </w:r>
      <w:r w:rsidRPr="00DC7CD0">
        <w:rPr>
          <w:rFonts w:ascii="Traditional Arabic" w:hAnsi="Traditional Arabic"/>
          <w:sz w:val="32"/>
          <w:szCs w:val="32"/>
          <w:rtl/>
        </w:rPr>
        <w:t xml:space="preserve"> </w:t>
      </w:r>
    </w:p>
  </w:footnote>
  <w:footnote w:id="102">
    <w:p w:rsidR="000D3D21" w:rsidRPr="00DC7CD0" w:rsidRDefault="000D3D21">
      <w:pPr>
        <w:pStyle w:val="a7"/>
        <w:rPr>
          <w:sz w:val="32"/>
          <w:szCs w:val="32"/>
          <w:rtl/>
        </w:rPr>
      </w:pPr>
      <w:r w:rsidRPr="00DC7CD0">
        <w:rPr>
          <w:rFonts w:ascii="Traditional Arabic" w:hAnsi="Traditional Arabic"/>
          <w:sz w:val="32"/>
          <w:szCs w:val="32"/>
        </w:rPr>
        <w:footnoteRef/>
      </w:r>
      <w:r w:rsidRPr="00DC7CD0">
        <w:rPr>
          <w:rFonts w:ascii="Traditional Arabic" w:hAnsi="Traditional Arabic"/>
          <w:sz w:val="32"/>
          <w:szCs w:val="32"/>
        </w:rPr>
        <w:t>)</w:t>
      </w:r>
      <w:r w:rsidRPr="00DC7CD0">
        <w:rPr>
          <w:rFonts w:ascii="Traditional Arabic" w:hAnsi="Traditional Arabic" w:hint="cs"/>
          <w:sz w:val="32"/>
          <w:szCs w:val="32"/>
          <w:rtl/>
        </w:rPr>
        <w:t>)</w:t>
      </w:r>
      <w:r w:rsidRPr="00DC7CD0">
        <w:rPr>
          <w:rFonts w:ascii="Traditional Arabic" w:hAnsi="Traditional Arabic"/>
          <w:sz w:val="32"/>
          <w:szCs w:val="32"/>
          <w:rtl/>
        </w:rPr>
        <w:t xml:space="preserve"> </w:t>
      </w:r>
      <w:r w:rsidRPr="00DC7CD0">
        <w:rPr>
          <w:rFonts w:hint="cs"/>
          <w:sz w:val="32"/>
          <w:szCs w:val="32"/>
          <w:rtl/>
        </w:rPr>
        <w:t>الأشباه والنظائر لتاج الدين عبد الوهاب بن علي السبكي (</w:t>
      </w:r>
      <w:r>
        <w:rPr>
          <w:rFonts w:hint="cs"/>
          <w:sz w:val="32"/>
          <w:szCs w:val="32"/>
          <w:rtl/>
        </w:rPr>
        <w:t>1/11</w:t>
      </w:r>
      <w:r w:rsidRPr="00DC7CD0">
        <w:rPr>
          <w:rFonts w:hint="cs"/>
          <w:sz w:val="32"/>
          <w:szCs w:val="32"/>
          <w:rtl/>
        </w:rPr>
        <w:t>).</w:t>
      </w:r>
    </w:p>
  </w:footnote>
  <w:footnote w:id="103">
    <w:p w:rsidR="000D3D21" w:rsidRPr="00DC7CD0" w:rsidRDefault="000D3D21">
      <w:pPr>
        <w:pStyle w:val="a7"/>
        <w:rPr>
          <w:sz w:val="32"/>
          <w:szCs w:val="32"/>
          <w:rtl/>
        </w:rPr>
      </w:pPr>
      <w:r w:rsidRPr="00DC7CD0">
        <w:rPr>
          <w:rFonts w:ascii="Traditional Arabic" w:hAnsi="Traditional Arabic"/>
          <w:sz w:val="32"/>
          <w:szCs w:val="32"/>
        </w:rPr>
        <w:footnoteRef/>
      </w:r>
      <w:r w:rsidRPr="00DC7CD0">
        <w:rPr>
          <w:rFonts w:ascii="Traditional Arabic" w:hAnsi="Traditional Arabic"/>
          <w:sz w:val="32"/>
          <w:szCs w:val="32"/>
        </w:rPr>
        <w:t>)</w:t>
      </w:r>
      <w:r w:rsidRPr="00DC7CD0">
        <w:rPr>
          <w:rFonts w:ascii="Traditional Arabic" w:hAnsi="Traditional Arabic" w:hint="cs"/>
          <w:sz w:val="32"/>
          <w:szCs w:val="32"/>
          <w:rtl/>
        </w:rPr>
        <w:t>)</w:t>
      </w:r>
      <w:r w:rsidRPr="00DC7CD0">
        <w:rPr>
          <w:rFonts w:ascii="Traditional Arabic" w:hAnsi="Traditional Arabic"/>
          <w:sz w:val="32"/>
          <w:szCs w:val="32"/>
          <w:rtl/>
        </w:rPr>
        <w:t xml:space="preserve"> </w:t>
      </w:r>
      <w:r>
        <w:rPr>
          <w:rFonts w:hint="cs"/>
          <w:sz w:val="32"/>
          <w:szCs w:val="32"/>
          <w:rtl/>
        </w:rPr>
        <w:t>انظر القواعد والضوابط الفقهية عند ابن تيمية في فقه الأسرة (1/88)</w:t>
      </w:r>
      <w:r w:rsidRPr="00DC7CD0">
        <w:rPr>
          <w:rFonts w:hint="cs"/>
          <w:sz w:val="32"/>
          <w:szCs w:val="32"/>
          <w:rtl/>
        </w:rPr>
        <w:t>.</w:t>
      </w:r>
    </w:p>
  </w:footnote>
  <w:footnote w:id="104">
    <w:p w:rsidR="000D3D21" w:rsidRDefault="000D3D21">
      <w:pPr>
        <w:pStyle w:val="a7"/>
        <w:rPr>
          <w:rtl/>
        </w:rPr>
      </w:pPr>
      <w:r w:rsidRPr="00DC7CD0">
        <w:rPr>
          <w:rFonts w:ascii="Traditional Arabic" w:hAnsi="Traditional Arabic" w:hint="cs"/>
          <w:sz w:val="32"/>
          <w:szCs w:val="32"/>
          <w:rtl/>
        </w:rPr>
        <w:t>(</w:t>
      </w:r>
      <w:r w:rsidRPr="00DC7CD0">
        <w:rPr>
          <w:rFonts w:ascii="Traditional Arabic" w:hAnsi="Traditional Arabic"/>
          <w:sz w:val="32"/>
          <w:szCs w:val="32"/>
        </w:rPr>
        <w:footnoteRef/>
      </w:r>
      <w:r w:rsidRPr="00DC7CD0">
        <w:rPr>
          <w:rFonts w:ascii="Traditional Arabic" w:hAnsi="Traditional Arabic" w:hint="cs"/>
          <w:sz w:val="32"/>
          <w:szCs w:val="32"/>
          <w:rtl/>
        </w:rPr>
        <w:t>)</w:t>
      </w:r>
      <w:r w:rsidRPr="00DC7CD0">
        <w:rPr>
          <w:rFonts w:hint="cs"/>
          <w:sz w:val="32"/>
          <w:szCs w:val="32"/>
          <w:rtl/>
        </w:rPr>
        <w:t xml:space="preserve"> غمز عيون البصائر</w:t>
      </w:r>
      <w:r>
        <w:rPr>
          <w:rFonts w:hint="cs"/>
          <w:sz w:val="32"/>
          <w:szCs w:val="32"/>
          <w:rtl/>
        </w:rPr>
        <w:t xml:space="preserve"> شرح كتاب الأشباه والنظائر </w:t>
      </w:r>
      <w:r w:rsidRPr="00DC7CD0">
        <w:rPr>
          <w:rFonts w:hint="cs"/>
          <w:sz w:val="32"/>
          <w:szCs w:val="32"/>
          <w:rtl/>
        </w:rPr>
        <w:t xml:space="preserve"> ل</w:t>
      </w:r>
      <w:r>
        <w:rPr>
          <w:rFonts w:hint="cs"/>
          <w:sz w:val="32"/>
          <w:szCs w:val="32"/>
          <w:rtl/>
        </w:rPr>
        <w:t>أحمد بن محمد الحنفي ا</w:t>
      </w:r>
      <w:r w:rsidRPr="00DC7CD0">
        <w:rPr>
          <w:rFonts w:hint="cs"/>
          <w:sz w:val="32"/>
          <w:szCs w:val="32"/>
          <w:rtl/>
        </w:rPr>
        <w:t>لحموي (</w:t>
      </w:r>
      <w:r>
        <w:rPr>
          <w:rFonts w:hint="cs"/>
          <w:sz w:val="32"/>
          <w:szCs w:val="32"/>
          <w:rtl/>
        </w:rPr>
        <w:t>1/51</w:t>
      </w:r>
      <w:r w:rsidRPr="00DC7CD0">
        <w:rPr>
          <w:rFonts w:hint="cs"/>
          <w:sz w:val="32"/>
          <w:szCs w:val="32"/>
          <w:rtl/>
        </w:rPr>
        <w:t>).</w:t>
      </w:r>
    </w:p>
  </w:footnote>
  <w:footnote w:id="105">
    <w:p w:rsidR="000D3D21" w:rsidRPr="00EE67FB" w:rsidRDefault="000D3D21">
      <w:pPr>
        <w:pStyle w:val="a7"/>
        <w:rPr>
          <w:sz w:val="32"/>
          <w:szCs w:val="32"/>
          <w:rtl/>
        </w:rPr>
      </w:pPr>
      <w:r w:rsidRPr="00EE67FB">
        <w:rPr>
          <w:rFonts w:ascii="Traditional Arabic" w:hAnsi="Traditional Arabic"/>
          <w:sz w:val="32"/>
          <w:szCs w:val="32"/>
        </w:rPr>
        <w:footnoteRef/>
      </w:r>
      <w:r w:rsidRPr="00EE67FB">
        <w:rPr>
          <w:rFonts w:ascii="Traditional Arabic" w:hAnsi="Traditional Arabic"/>
          <w:sz w:val="32"/>
          <w:szCs w:val="32"/>
        </w:rPr>
        <w:t>)</w:t>
      </w:r>
      <w:r w:rsidRPr="00EE67FB">
        <w:rPr>
          <w:rFonts w:ascii="Traditional Arabic" w:hAnsi="Traditional Arabic" w:hint="cs"/>
          <w:sz w:val="32"/>
          <w:szCs w:val="32"/>
          <w:rtl/>
        </w:rPr>
        <w:t>)</w:t>
      </w:r>
      <w:r w:rsidRPr="00EE67FB">
        <w:rPr>
          <w:rFonts w:ascii="Traditional Arabic" w:hAnsi="Traditional Arabic"/>
          <w:sz w:val="32"/>
          <w:szCs w:val="32"/>
          <w:rtl/>
        </w:rPr>
        <w:t xml:space="preserve"> </w:t>
      </w:r>
      <w:r w:rsidRPr="00EE67FB">
        <w:rPr>
          <w:rFonts w:hint="cs"/>
          <w:sz w:val="32"/>
          <w:szCs w:val="32"/>
          <w:rtl/>
        </w:rPr>
        <w:t>انظر: قاعدة المظنة تنزل منزلة المئنة (</w:t>
      </w:r>
      <w:r>
        <w:rPr>
          <w:rFonts w:hint="cs"/>
          <w:sz w:val="32"/>
          <w:szCs w:val="32"/>
          <w:rtl/>
        </w:rPr>
        <w:t>1/58</w:t>
      </w:r>
      <w:r w:rsidRPr="00EE67FB">
        <w:rPr>
          <w:rFonts w:hint="cs"/>
          <w:sz w:val="32"/>
          <w:szCs w:val="32"/>
          <w:rtl/>
        </w:rPr>
        <w:t>)، والقواعد والضوابط الفقهية في الضمان المالي لحمد بن محمد الجابر الهاجري (1/48).</w:t>
      </w:r>
    </w:p>
  </w:footnote>
  <w:footnote w:id="106">
    <w:p w:rsidR="000D3D21" w:rsidRDefault="000D3D21" w:rsidP="00210F6F">
      <w:pPr>
        <w:pStyle w:val="a7"/>
        <w:rPr>
          <w:rtl/>
        </w:rPr>
      </w:pPr>
      <w:r w:rsidRPr="00E13E02">
        <w:rPr>
          <w:rFonts w:ascii="Traditional Arabic" w:hAnsi="Traditional Arabic"/>
          <w:sz w:val="32"/>
          <w:szCs w:val="32"/>
        </w:rPr>
        <w:footnoteRef/>
      </w:r>
      <w:r w:rsidRPr="00E13E02">
        <w:rPr>
          <w:rFonts w:ascii="Traditional Arabic" w:hAnsi="Traditional Arabic"/>
          <w:sz w:val="32"/>
          <w:szCs w:val="32"/>
        </w:rPr>
        <w:t>)</w:t>
      </w:r>
      <w:r w:rsidRPr="00E13E02">
        <w:rPr>
          <w:rFonts w:ascii="Traditional Arabic" w:hAnsi="Traditional Arabic" w:hint="cs"/>
          <w:sz w:val="32"/>
          <w:szCs w:val="32"/>
          <w:rtl/>
        </w:rPr>
        <w:t>)</w:t>
      </w:r>
      <w:r w:rsidRPr="00E13E02">
        <w:rPr>
          <w:rFonts w:ascii="Traditional Arabic" w:hAnsi="Traditional Arabic"/>
          <w:sz w:val="32"/>
          <w:szCs w:val="32"/>
          <w:rtl/>
        </w:rPr>
        <w:t xml:space="preserve"> </w:t>
      </w:r>
      <w:r w:rsidRPr="00E13E02">
        <w:rPr>
          <w:rFonts w:hint="cs"/>
          <w:sz w:val="32"/>
          <w:szCs w:val="32"/>
          <w:rtl/>
        </w:rPr>
        <w:t>هذا التعريف منتزع من مجموع تعريفات للقاعدة الفقهية لدى عدد من الباحثين المعاصرين</w:t>
      </w:r>
      <w:r>
        <w:rPr>
          <w:rFonts w:hint="cs"/>
          <w:sz w:val="32"/>
          <w:szCs w:val="32"/>
          <w:rtl/>
        </w:rPr>
        <w:t>.انظر:</w:t>
      </w:r>
      <w:r w:rsidRPr="00210F6F">
        <w:rPr>
          <w:rFonts w:hint="cs"/>
          <w:sz w:val="32"/>
          <w:szCs w:val="32"/>
          <w:rtl/>
        </w:rPr>
        <w:t xml:space="preserve"> </w:t>
      </w:r>
      <w:r w:rsidRPr="00701349">
        <w:rPr>
          <w:rFonts w:hint="cs"/>
          <w:sz w:val="32"/>
          <w:szCs w:val="32"/>
          <w:rtl/>
        </w:rPr>
        <w:t>القواعد والضوابط الفقهية عند ابن تيمية في فقه الأسرة</w:t>
      </w:r>
      <w:r>
        <w:rPr>
          <w:rFonts w:hint="cs"/>
          <w:sz w:val="32"/>
          <w:szCs w:val="32"/>
          <w:rtl/>
        </w:rPr>
        <w:t xml:space="preserve"> لحمد بن عبد الله الصواط (1/92)، ومقدمة تحقيق كتاب القواعد للحصني  ل</w:t>
      </w:r>
      <w:r w:rsidRPr="00E13E02">
        <w:rPr>
          <w:rFonts w:hint="cs"/>
          <w:sz w:val="32"/>
          <w:szCs w:val="32"/>
          <w:rtl/>
        </w:rPr>
        <w:t xml:space="preserve">عبد الرحمن الشعلان </w:t>
      </w:r>
      <w:r>
        <w:rPr>
          <w:rFonts w:hint="cs"/>
          <w:sz w:val="32"/>
          <w:szCs w:val="32"/>
          <w:rtl/>
        </w:rPr>
        <w:t>(1/23)، و</w:t>
      </w:r>
      <w:r w:rsidRPr="00210F6F">
        <w:rPr>
          <w:rFonts w:hint="cs"/>
          <w:sz w:val="32"/>
          <w:szCs w:val="32"/>
          <w:rtl/>
        </w:rPr>
        <w:t xml:space="preserve"> </w:t>
      </w:r>
      <w:r w:rsidRPr="00E13E02">
        <w:rPr>
          <w:rFonts w:hint="cs"/>
          <w:sz w:val="32"/>
          <w:szCs w:val="32"/>
          <w:rtl/>
        </w:rPr>
        <w:t>مقدمة تحقيق كتاب القواعد لأبي عبد الله لمقري لأحمد بن عبد الله بن حميد (1/107_108)</w:t>
      </w:r>
      <w:r>
        <w:rPr>
          <w:rFonts w:hint="cs"/>
          <w:sz w:val="32"/>
          <w:szCs w:val="32"/>
          <w:rtl/>
        </w:rPr>
        <w:t>، و</w:t>
      </w:r>
      <w:r w:rsidRPr="00210F6F">
        <w:rPr>
          <w:rFonts w:hint="cs"/>
          <w:sz w:val="32"/>
          <w:szCs w:val="32"/>
          <w:rtl/>
        </w:rPr>
        <w:t xml:space="preserve"> </w:t>
      </w:r>
      <w:r w:rsidRPr="002E00F7">
        <w:rPr>
          <w:rFonts w:hint="cs"/>
          <w:sz w:val="32"/>
          <w:szCs w:val="32"/>
          <w:rtl/>
        </w:rPr>
        <w:t>القواعد والضوابط الفقهية عند ابن تيمية في كتابي الطهارة والصلاة  لناصر بن عبد الله الميمان</w:t>
      </w:r>
      <w:r>
        <w:rPr>
          <w:rFonts w:hint="cs"/>
          <w:sz w:val="32"/>
          <w:szCs w:val="32"/>
          <w:rtl/>
        </w:rPr>
        <w:t xml:space="preserve"> (127)، وقواعد تعارض المصالح والمفاسد ()</w:t>
      </w:r>
      <w:r w:rsidRPr="002E00F7">
        <w:rPr>
          <w:rFonts w:hint="cs"/>
          <w:sz w:val="32"/>
          <w:szCs w:val="32"/>
          <w:rtl/>
        </w:rPr>
        <w:t>.</w:t>
      </w:r>
    </w:p>
    <w:p w:rsidR="000D3D21" w:rsidRPr="00E13E02" w:rsidRDefault="000D3D21">
      <w:pPr>
        <w:pStyle w:val="a7"/>
        <w:rPr>
          <w:sz w:val="32"/>
          <w:szCs w:val="32"/>
        </w:rPr>
      </w:pPr>
    </w:p>
  </w:footnote>
  <w:footnote w:id="107">
    <w:p w:rsidR="000D3D21" w:rsidRPr="00701349" w:rsidRDefault="000D3D21">
      <w:pPr>
        <w:pStyle w:val="a7"/>
        <w:rPr>
          <w:sz w:val="32"/>
          <w:szCs w:val="32"/>
          <w:rtl/>
        </w:rPr>
      </w:pPr>
      <w:r w:rsidRPr="00701349">
        <w:rPr>
          <w:rFonts w:ascii="Traditional Arabic" w:hAnsi="Traditional Arabic"/>
          <w:sz w:val="32"/>
          <w:szCs w:val="32"/>
        </w:rPr>
        <w:footnoteRef/>
      </w:r>
      <w:r w:rsidRPr="00701349">
        <w:rPr>
          <w:rFonts w:ascii="Traditional Arabic" w:hAnsi="Traditional Arabic"/>
          <w:sz w:val="32"/>
          <w:szCs w:val="32"/>
        </w:rPr>
        <w:t>)</w:t>
      </w:r>
      <w:r w:rsidRPr="00701349">
        <w:rPr>
          <w:rFonts w:ascii="Traditional Arabic" w:hAnsi="Traditional Arabic" w:hint="cs"/>
          <w:sz w:val="32"/>
          <w:szCs w:val="32"/>
          <w:rtl/>
        </w:rPr>
        <w:t>)</w:t>
      </w:r>
      <w:r w:rsidRPr="00701349">
        <w:rPr>
          <w:rFonts w:hint="cs"/>
          <w:sz w:val="32"/>
          <w:szCs w:val="32"/>
          <w:rtl/>
        </w:rPr>
        <w:t xml:space="preserve"> الموافقات لأبي إسحاق إبراهيم بن موسى الشاطبي (2/84). </w:t>
      </w:r>
    </w:p>
  </w:footnote>
  <w:footnote w:id="108">
    <w:p w:rsidR="000D3D21" w:rsidRPr="00701349" w:rsidRDefault="000D3D21">
      <w:pPr>
        <w:pStyle w:val="a7"/>
        <w:rPr>
          <w:sz w:val="32"/>
          <w:szCs w:val="32"/>
          <w:rtl/>
        </w:rPr>
      </w:pPr>
      <w:r w:rsidRPr="00701349">
        <w:rPr>
          <w:rFonts w:ascii="Traditional Arabic" w:hAnsi="Traditional Arabic"/>
          <w:sz w:val="32"/>
          <w:szCs w:val="32"/>
        </w:rPr>
        <w:footnoteRef/>
      </w:r>
      <w:r w:rsidRPr="00701349">
        <w:rPr>
          <w:rFonts w:ascii="Traditional Arabic" w:hAnsi="Traditional Arabic"/>
          <w:sz w:val="32"/>
          <w:szCs w:val="32"/>
        </w:rPr>
        <w:t>)</w:t>
      </w:r>
      <w:r w:rsidRPr="00701349">
        <w:rPr>
          <w:rFonts w:ascii="Traditional Arabic" w:hAnsi="Traditional Arabic" w:hint="cs"/>
          <w:sz w:val="32"/>
          <w:szCs w:val="32"/>
          <w:rtl/>
        </w:rPr>
        <w:t>)</w:t>
      </w:r>
      <w:r w:rsidRPr="00701349">
        <w:rPr>
          <w:sz w:val="32"/>
          <w:szCs w:val="32"/>
          <w:rtl/>
        </w:rPr>
        <w:t xml:space="preserve"> </w:t>
      </w:r>
      <w:r w:rsidRPr="00701349">
        <w:rPr>
          <w:rFonts w:hint="cs"/>
          <w:sz w:val="32"/>
          <w:szCs w:val="32"/>
          <w:rtl/>
        </w:rPr>
        <w:t>انظر القواعد والضوابط الفقهية عند ابن تيمية في فقه الأسرة (1/93).</w:t>
      </w:r>
    </w:p>
  </w:footnote>
  <w:footnote w:id="109">
    <w:p w:rsidR="000D3D21" w:rsidRDefault="000D3D21" w:rsidP="00210F6F">
      <w:pPr>
        <w:pStyle w:val="a7"/>
        <w:rPr>
          <w:rtl/>
        </w:rPr>
      </w:pPr>
      <w:r w:rsidRPr="002E00F7">
        <w:rPr>
          <w:rFonts w:ascii="Traditional Arabic" w:hAnsi="Traditional Arabic"/>
          <w:sz w:val="32"/>
          <w:szCs w:val="32"/>
        </w:rPr>
        <w:footnoteRef/>
      </w:r>
      <w:r w:rsidRPr="002E00F7">
        <w:rPr>
          <w:rFonts w:ascii="Traditional Arabic" w:hAnsi="Traditional Arabic"/>
          <w:sz w:val="32"/>
          <w:szCs w:val="32"/>
        </w:rPr>
        <w:t>)</w:t>
      </w:r>
      <w:r w:rsidRPr="002E00F7">
        <w:rPr>
          <w:rFonts w:ascii="Traditional Arabic" w:hAnsi="Traditional Arabic" w:hint="cs"/>
          <w:sz w:val="32"/>
          <w:szCs w:val="32"/>
          <w:rtl/>
        </w:rPr>
        <w:t>)</w:t>
      </w:r>
      <w:r w:rsidRPr="002E00F7">
        <w:rPr>
          <w:sz w:val="32"/>
          <w:szCs w:val="32"/>
          <w:rtl/>
        </w:rPr>
        <w:t xml:space="preserve"> </w:t>
      </w:r>
      <w:r w:rsidRPr="002E00F7">
        <w:rPr>
          <w:rFonts w:hint="cs"/>
          <w:sz w:val="32"/>
          <w:szCs w:val="32"/>
          <w:rtl/>
        </w:rPr>
        <w:t>انظر القواعد والضوابط الفقهية عند ابن</w:t>
      </w:r>
      <w:r>
        <w:rPr>
          <w:rFonts w:hint="cs"/>
          <w:sz w:val="32"/>
          <w:szCs w:val="32"/>
          <w:rtl/>
        </w:rPr>
        <w:t xml:space="preserve"> تيمية في كتابي الطهارة والصلاة</w:t>
      </w:r>
      <w:r w:rsidRPr="002E00F7">
        <w:rPr>
          <w:rFonts w:hint="cs"/>
          <w:sz w:val="32"/>
          <w:szCs w:val="32"/>
          <w:rtl/>
        </w:rPr>
        <w:t xml:space="preserve"> </w:t>
      </w:r>
      <w:r>
        <w:rPr>
          <w:rFonts w:hint="cs"/>
          <w:sz w:val="32"/>
          <w:szCs w:val="32"/>
          <w:rtl/>
        </w:rPr>
        <w:t>(128)</w:t>
      </w:r>
      <w:r w:rsidRPr="002E00F7">
        <w:rPr>
          <w:rFonts w:hint="cs"/>
          <w:sz w:val="32"/>
          <w:szCs w:val="32"/>
          <w:rtl/>
        </w:rPr>
        <w:t>.</w:t>
      </w:r>
    </w:p>
  </w:footnote>
  <w:footnote w:id="110">
    <w:p w:rsidR="000D3D21" w:rsidRPr="002E00F7" w:rsidRDefault="000D3D21" w:rsidP="0032204A">
      <w:pPr>
        <w:pStyle w:val="a7"/>
        <w:rPr>
          <w:sz w:val="32"/>
          <w:szCs w:val="32"/>
          <w:rtl/>
        </w:rPr>
      </w:pPr>
      <w:r w:rsidRPr="002E00F7">
        <w:rPr>
          <w:rFonts w:ascii="Traditional Arabic" w:hAnsi="Traditional Arabic"/>
          <w:sz w:val="32"/>
          <w:szCs w:val="32"/>
        </w:rPr>
        <w:footnoteRef/>
      </w:r>
      <w:r w:rsidRPr="002E00F7">
        <w:rPr>
          <w:rFonts w:ascii="Traditional Arabic" w:hAnsi="Traditional Arabic"/>
          <w:sz w:val="32"/>
          <w:szCs w:val="32"/>
        </w:rPr>
        <w:t>)</w:t>
      </w:r>
      <w:r w:rsidRPr="002E00F7">
        <w:rPr>
          <w:rFonts w:ascii="Traditional Arabic" w:hAnsi="Traditional Arabic" w:hint="cs"/>
          <w:sz w:val="32"/>
          <w:szCs w:val="32"/>
          <w:rtl/>
        </w:rPr>
        <w:t>)</w:t>
      </w:r>
      <w:r w:rsidRPr="002E00F7">
        <w:rPr>
          <w:sz w:val="32"/>
          <w:szCs w:val="32"/>
          <w:rtl/>
        </w:rPr>
        <w:t xml:space="preserve"> </w:t>
      </w:r>
      <w:r w:rsidRPr="002E00F7">
        <w:rPr>
          <w:rFonts w:hint="cs"/>
          <w:sz w:val="32"/>
          <w:szCs w:val="32"/>
          <w:rtl/>
        </w:rPr>
        <w:t>انظر</w:t>
      </w:r>
      <w:r>
        <w:rPr>
          <w:rFonts w:hint="cs"/>
          <w:sz w:val="32"/>
          <w:szCs w:val="32"/>
          <w:rtl/>
        </w:rPr>
        <w:t xml:space="preserve"> </w:t>
      </w:r>
      <w:r w:rsidRPr="002E00F7">
        <w:rPr>
          <w:rFonts w:hint="cs"/>
          <w:sz w:val="32"/>
          <w:szCs w:val="32"/>
          <w:rtl/>
        </w:rPr>
        <w:t xml:space="preserve">القواعد والضوابط الفقهية عند ابن </w:t>
      </w:r>
      <w:r>
        <w:rPr>
          <w:rFonts w:hint="cs"/>
          <w:sz w:val="32"/>
          <w:szCs w:val="32"/>
          <w:rtl/>
        </w:rPr>
        <w:t>تيمية في كتابي الطهارة والصلاة (128).</w:t>
      </w:r>
    </w:p>
  </w:footnote>
  <w:footnote w:id="111">
    <w:p w:rsidR="000D3D21" w:rsidRDefault="000D3D21">
      <w:pPr>
        <w:pStyle w:val="a7"/>
        <w:rPr>
          <w:rtl/>
        </w:rPr>
      </w:pPr>
      <w:r w:rsidRPr="006D63F7">
        <w:rPr>
          <w:rFonts w:ascii="Traditional Arabic" w:hAnsi="Traditional Arabic"/>
          <w:sz w:val="32"/>
          <w:szCs w:val="32"/>
        </w:rPr>
        <w:footnoteRef/>
      </w:r>
      <w:r w:rsidRPr="006D63F7">
        <w:rPr>
          <w:rFonts w:ascii="Traditional Arabic" w:hAnsi="Traditional Arabic"/>
          <w:sz w:val="32"/>
          <w:szCs w:val="32"/>
        </w:rPr>
        <w:t>)</w:t>
      </w:r>
      <w:r w:rsidRPr="006D63F7">
        <w:rPr>
          <w:rFonts w:ascii="Traditional Arabic" w:hAnsi="Traditional Arabic" w:hint="cs"/>
          <w:sz w:val="32"/>
          <w:szCs w:val="32"/>
          <w:rtl/>
        </w:rPr>
        <w:t>)</w:t>
      </w:r>
      <w:r w:rsidRPr="006D63F7">
        <w:rPr>
          <w:rFonts w:ascii="Traditional Arabic" w:hAnsi="Traditional Arabic"/>
          <w:sz w:val="32"/>
          <w:szCs w:val="32"/>
          <w:rtl/>
        </w:rPr>
        <w:t xml:space="preserve"> </w:t>
      </w:r>
      <w:r w:rsidRPr="003932DA">
        <w:rPr>
          <w:rFonts w:hint="cs"/>
          <w:sz w:val="32"/>
          <w:szCs w:val="32"/>
          <w:rtl/>
        </w:rPr>
        <w:t>انظر</w:t>
      </w:r>
      <w:r>
        <w:rPr>
          <w:rFonts w:hint="cs"/>
          <w:sz w:val="32"/>
          <w:szCs w:val="32"/>
          <w:rtl/>
        </w:rPr>
        <w:t>: تيسير التحرير لحمد أمين المعروف بأمير بادشاه (1/341)، والبحر المحيط للزركشي (2/365-370)، و</w:t>
      </w:r>
      <w:r w:rsidRPr="003932DA">
        <w:rPr>
          <w:rFonts w:hint="cs"/>
          <w:sz w:val="32"/>
          <w:szCs w:val="32"/>
          <w:rtl/>
        </w:rPr>
        <w:t>شرح الكوكب المنير لابن النجار الفتوحي (3/39).</w:t>
      </w:r>
    </w:p>
  </w:footnote>
  <w:footnote w:id="112">
    <w:p w:rsidR="000D3D21" w:rsidRPr="00E13E02" w:rsidRDefault="000D3D21" w:rsidP="00CE7DB5">
      <w:pPr>
        <w:pStyle w:val="a7"/>
        <w:spacing w:line="440" w:lineRule="exact"/>
        <w:ind w:left="510" w:hanging="510"/>
        <w:jc w:val="lowKashida"/>
        <w:rPr>
          <w:sz w:val="32"/>
          <w:szCs w:val="32"/>
        </w:rPr>
      </w:pPr>
      <w:r w:rsidRPr="00E13E02">
        <w:rPr>
          <w:rStyle w:val="af1"/>
          <w:rFonts w:ascii="Traditional Arabic" w:hAnsi="Traditional Arabic"/>
          <w:sz w:val="32"/>
          <w:szCs w:val="32"/>
          <w:vertAlign w:val="baseline"/>
        </w:rPr>
        <w:footnoteRef/>
      </w:r>
      <w:r w:rsidRPr="00E13E02">
        <w:rPr>
          <w:rStyle w:val="af1"/>
          <w:rFonts w:ascii="Traditional Arabic" w:hAnsi="Traditional Arabic"/>
          <w:sz w:val="32"/>
          <w:szCs w:val="32"/>
          <w:vertAlign w:val="baseline"/>
        </w:rPr>
        <w:t>)</w:t>
      </w:r>
      <w:r w:rsidRPr="00E13E02">
        <w:rPr>
          <w:rStyle w:val="af1"/>
          <w:rFonts w:ascii="Traditional Arabic" w:hAnsi="Traditional Arabic" w:hint="cs"/>
          <w:sz w:val="32"/>
          <w:szCs w:val="32"/>
          <w:vertAlign w:val="baseline"/>
          <w:rtl/>
        </w:rPr>
        <w:t>)</w:t>
      </w:r>
      <w:r w:rsidRPr="00E13E02">
        <w:rPr>
          <w:rStyle w:val="af1"/>
          <w:rFonts w:ascii="Traditional Arabic" w:hAnsi="Traditional Arabic"/>
          <w:sz w:val="32"/>
          <w:szCs w:val="32"/>
          <w:vertAlign w:val="baseline"/>
          <w:rtl/>
        </w:rPr>
        <w:t xml:space="preserve"> </w:t>
      </w:r>
      <w:r w:rsidRPr="00E13E02">
        <w:rPr>
          <w:rFonts w:hint="cs"/>
          <w:sz w:val="32"/>
          <w:szCs w:val="32"/>
          <w:rtl/>
        </w:rPr>
        <w:t xml:space="preserve">مقدمة تحقيق كتاب القواعد لأبي عبد الله </w:t>
      </w:r>
      <w:r>
        <w:rPr>
          <w:rFonts w:hint="cs"/>
          <w:sz w:val="32"/>
          <w:szCs w:val="32"/>
          <w:rtl/>
        </w:rPr>
        <w:t>ا</w:t>
      </w:r>
      <w:r w:rsidRPr="00E13E02">
        <w:rPr>
          <w:rFonts w:hint="cs"/>
          <w:sz w:val="32"/>
          <w:szCs w:val="32"/>
          <w:rtl/>
        </w:rPr>
        <w:t>لمقري لأحمد بن عبد الله بن حميد (1/107_108).</w:t>
      </w:r>
    </w:p>
  </w:footnote>
  <w:footnote w:id="113">
    <w:p w:rsidR="000D3D21" w:rsidRDefault="000D3D21" w:rsidP="008F5C5A">
      <w:pPr>
        <w:pStyle w:val="a7"/>
        <w:spacing w:line="440" w:lineRule="exact"/>
        <w:ind w:left="510" w:hanging="510"/>
        <w:jc w:val="lowKashida"/>
        <w:rPr>
          <w:rtl/>
        </w:rPr>
      </w:pPr>
      <w:r w:rsidRPr="008F5C5A">
        <w:rPr>
          <w:rStyle w:val="af1"/>
          <w:rFonts w:ascii="Traditional Arabic" w:hAnsi="Traditional Arabic"/>
          <w:sz w:val="32"/>
          <w:szCs w:val="32"/>
          <w:vertAlign w:val="baseline"/>
        </w:rPr>
        <w:footnoteRef/>
      </w:r>
      <w:r w:rsidRPr="008F5C5A">
        <w:rPr>
          <w:rStyle w:val="af1"/>
          <w:rFonts w:ascii="Traditional Arabic" w:hAnsi="Traditional Arabic"/>
          <w:sz w:val="32"/>
          <w:szCs w:val="32"/>
          <w:vertAlign w:val="baseline"/>
        </w:rPr>
        <w:t>)</w:t>
      </w:r>
      <w:r w:rsidRPr="008F5C5A">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انظر: تهذيب اللغة (11/492)، ولسان العرب (</w:t>
      </w:r>
      <w:r>
        <w:rPr>
          <w:rFonts w:ascii="Traditional Arabic" w:hAnsi="Traditional Arabic" w:hint="cs"/>
          <w:sz w:val="32"/>
          <w:szCs w:val="32"/>
          <w:rtl/>
        </w:rPr>
        <w:t>4/2549</w:t>
      </w:r>
      <w:r>
        <w:rPr>
          <w:rStyle w:val="af1"/>
          <w:rFonts w:ascii="Traditional Arabic" w:hAnsi="Traditional Arabic" w:hint="cs"/>
          <w:sz w:val="32"/>
          <w:szCs w:val="32"/>
          <w:vertAlign w:val="baseline"/>
          <w:rtl/>
        </w:rPr>
        <w:t>)، والمصباح المنير (291)، وتاج العروس (19/439)</w:t>
      </w:r>
      <w:r>
        <w:rPr>
          <w:rFonts w:ascii="Traditional Arabic" w:hAnsi="Traditional Arabic" w:hint="cs"/>
          <w:sz w:val="32"/>
          <w:szCs w:val="32"/>
          <w:rtl/>
        </w:rPr>
        <w:t>، والمعجم الوسيط (533)</w:t>
      </w:r>
      <w:r>
        <w:rPr>
          <w:rStyle w:val="af1"/>
          <w:rFonts w:ascii="Traditional Arabic" w:hAnsi="Traditional Arabic" w:hint="cs"/>
          <w:sz w:val="32"/>
          <w:szCs w:val="32"/>
          <w:vertAlign w:val="baseline"/>
          <w:rtl/>
        </w:rPr>
        <w:t xml:space="preserve">. </w:t>
      </w:r>
      <w:r>
        <w:rPr>
          <w:rtl/>
        </w:rPr>
        <w:t xml:space="preserve"> </w:t>
      </w:r>
    </w:p>
  </w:footnote>
  <w:footnote w:id="114">
    <w:p w:rsidR="000D3D21" w:rsidRPr="0068573F" w:rsidRDefault="000D3D21" w:rsidP="0068573F">
      <w:pPr>
        <w:pStyle w:val="a7"/>
        <w:spacing w:line="440" w:lineRule="exact"/>
        <w:ind w:left="510" w:hanging="510"/>
        <w:jc w:val="lowKashida"/>
        <w:rPr>
          <w:sz w:val="32"/>
          <w:szCs w:val="32"/>
          <w:rtl/>
        </w:rPr>
      </w:pPr>
      <w:r w:rsidRPr="0068573F">
        <w:rPr>
          <w:rStyle w:val="af1"/>
          <w:rFonts w:ascii="Traditional Arabic" w:hAnsi="Traditional Arabic"/>
          <w:sz w:val="32"/>
          <w:szCs w:val="32"/>
          <w:vertAlign w:val="baseline"/>
        </w:rPr>
        <w:footnoteRef/>
      </w:r>
      <w:r w:rsidRPr="0068573F">
        <w:rPr>
          <w:rStyle w:val="af1"/>
          <w:rFonts w:ascii="Traditional Arabic" w:hAnsi="Traditional Arabic"/>
          <w:sz w:val="32"/>
          <w:szCs w:val="32"/>
          <w:vertAlign w:val="baseline"/>
        </w:rPr>
        <w:t>)</w:t>
      </w:r>
      <w:r w:rsidRPr="0068573F">
        <w:rPr>
          <w:rStyle w:val="af1"/>
          <w:rFonts w:ascii="Traditional Arabic" w:hAnsi="Traditional Arabic" w:hint="cs"/>
          <w:sz w:val="32"/>
          <w:szCs w:val="32"/>
          <w:vertAlign w:val="baseline"/>
          <w:rtl/>
        </w:rPr>
        <w:t>)</w:t>
      </w:r>
      <w:r w:rsidRPr="0068573F">
        <w:rPr>
          <w:rStyle w:val="af1"/>
          <w:rFonts w:ascii="Traditional Arabic" w:hAnsi="Traditional Arabic"/>
          <w:sz w:val="32"/>
          <w:szCs w:val="32"/>
          <w:vertAlign w:val="baseline"/>
          <w:rtl/>
        </w:rPr>
        <w:t xml:space="preserve"> </w:t>
      </w:r>
      <w:r w:rsidRPr="0068573F">
        <w:rPr>
          <w:rFonts w:hint="cs"/>
          <w:sz w:val="32"/>
          <w:szCs w:val="32"/>
          <w:rtl/>
        </w:rPr>
        <w:t>تاج العروس (19/443).</w:t>
      </w:r>
    </w:p>
  </w:footnote>
  <w:footnote w:id="115">
    <w:p w:rsidR="000D3D21" w:rsidRPr="00E22C45" w:rsidRDefault="000D3D21">
      <w:pPr>
        <w:pStyle w:val="a7"/>
        <w:rPr>
          <w:rFonts w:ascii="Traditional Arabic" w:hAnsi="Traditional Arabic"/>
          <w:sz w:val="32"/>
          <w:szCs w:val="32"/>
          <w:rtl/>
        </w:rPr>
      </w:pPr>
      <w:r w:rsidRPr="00E22C45">
        <w:rPr>
          <w:rStyle w:val="af1"/>
          <w:rFonts w:ascii="Traditional Arabic" w:hAnsi="Traditional Arabic"/>
          <w:sz w:val="32"/>
          <w:szCs w:val="32"/>
          <w:vertAlign w:val="baseline"/>
        </w:rPr>
        <w:footnoteRef/>
      </w:r>
      <w:r w:rsidRPr="00E22C45">
        <w:rPr>
          <w:rFonts w:ascii="Traditional Arabic" w:hAnsi="Traditional Arabic"/>
          <w:sz w:val="32"/>
          <w:szCs w:val="32"/>
        </w:rPr>
        <w:t>)</w:t>
      </w:r>
      <w:r w:rsidRPr="00E22C45">
        <w:rPr>
          <w:rFonts w:ascii="Traditional Arabic" w:hAnsi="Traditional Arabic"/>
          <w:sz w:val="32"/>
          <w:szCs w:val="32"/>
          <w:rtl/>
        </w:rPr>
        <w:t xml:space="preserve">) </w:t>
      </w:r>
      <w:r>
        <w:rPr>
          <w:rFonts w:ascii="Traditional Arabic" w:hAnsi="Traditional Arabic" w:hint="cs"/>
          <w:sz w:val="32"/>
          <w:szCs w:val="32"/>
          <w:rtl/>
        </w:rPr>
        <w:t xml:space="preserve">انظر: </w:t>
      </w:r>
      <w:r w:rsidRPr="00115419">
        <w:rPr>
          <w:rFonts w:ascii="Traditional Arabic" w:hAnsi="Traditional Arabic"/>
          <w:sz w:val="32"/>
          <w:szCs w:val="32"/>
          <w:rtl/>
        </w:rPr>
        <w:t xml:space="preserve">التحرير </w:t>
      </w:r>
      <w:r>
        <w:rPr>
          <w:rFonts w:ascii="Traditional Arabic" w:hAnsi="Traditional Arabic" w:hint="cs"/>
          <w:sz w:val="32"/>
          <w:szCs w:val="32"/>
          <w:rtl/>
        </w:rPr>
        <w:t xml:space="preserve">للكمال بن الهمام </w:t>
      </w:r>
      <w:r w:rsidRPr="00115419">
        <w:rPr>
          <w:rFonts w:ascii="Traditional Arabic" w:hAnsi="Traditional Arabic"/>
          <w:sz w:val="32"/>
          <w:szCs w:val="32"/>
          <w:rtl/>
        </w:rPr>
        <w:t>مع شرحه التقري</w:t>
      </w:r>
      <w:r>
        <w:rPr>
          <w:rFonts w:ascii="Traditional Arabic" w:hAnsi="Traditional Arabic"/>
          <w:sz w:val="32"/>
          <w:szCs w:val="32"/>
          <w:rtl/>
        </w:rPr>
        <w:t>ر والتحبير لابن أمير الحاج (1/</w:t>
      </w:r>
      <w:r>
        <w:rPr>
          <w:rFonts w:ascii="Traditional Arabic" w:hAnsi="Traditional Arabic" w:hint="cs"/>
          <w:sz w:val="32"/>
          <w:szCs w:val="32"/>
          <w:rtl/>
        </w:rPr>
        <w:t>38</w:t>
      </w:r>
      <w:r w:rsidRPr="00115419">
        <w:rPr>
          <w:rFonts w:ascii="Traditional Arabic" w:hAnsi="Traditional Arabic"/>
          <w:sz w:val="32"/>
          <w:szCs w:val="32"/>
          <w:rtl/>
        </w:rPr>
        <w:t>)</w:t>
      </w:r>
      <w:r>
        <w:rPr>
          <w:rFonts w:ascii="Traditional Arabic" w:hAnsi="Traditional Arabic" w:hint="cs"/>
          <w:sz w:val="32"/>
          <w:szCs w:val="32"/>
          <w:rtl/>
        </w:rPr>
        <w:t>، والمصباح المنير (416)، والمنهج المنتخب لأحمد بن علي المنجور (1/101)</w:t>
      </w:r>
      <w:r>
        <w:rPr>
          <w:rFonts w:ascii="Traditional Arabic" w:hAnsi="Traditional Arabic"/>
          <w:sz w:val="32"/>
          <w:szCs w:val="32"/>
          <w:rtl/>
        </w:rPr>
        <w:t>.</w:t>
      </w:r>
      <w:r w:rsidRPr="00115419">
        <w:rPr>
          <w:rFonts w:ascii="Traditional Arabic" w:hAnsi="Traditional Arabic"/>
          <w:sz w:val="32"/>
          <w:szCs w:val="32"/>
          <w:rtl/>
        </w:rPr>
        <w:tab/>
      </w:r>
    </w:p>
  </w:footnote>
  <w:footnote w:id="116">
    <w:p w:rsidR="000D3D21" w:rsidRPr="00E22C45" w:rsidRDefault="000D3D21">
      <w:pPr>
        <w:pStyle w:val="a7"/>
        <w:rPr>
          <w:rFonts w:ascii="Traditional Arabic" w:hAnsi="Traditional Arabic"/>
          <w:sz w:val="32"/>
          <w:szCs w:val="32"/>
          <w:rtl/>
        </w:rPr>
      </w:pPr>
      <w:r w:rsidRPr="00E22C45">
        <w:rPr>
          <w:rStyle w:val="af1"/>
          <w:rFonts w:ascii="Traditional Arabic" w:hAnsi="Traditional Arabic"/>
          <w:sz w:val="32"/>
          <w:szCs w:val="32"/>
          <w:vertAlign w:val="baseline"/>
        </w:rPr>
        <w:footnoteRef/>
      </w:r>
      <w:r w:rsidRPr="00E22C45">
        <w:rPr>
          <w:rFonts w:ascii="Traditional Arabic" w:hAnsi="Traditional Arabic"/>
          <w:sz w:val="32"/>
          <w:szCs w:val="32"/>
        </w:rPr>
        <w:t>)</w:t>
      </w:r>
      <w:r w:rsidRPr="00E22C45">
        <w:rPr>
          <w:rFonts w:ascii="Traditional Arabic" w:hAnsi="Traditional Arabic"/>
          <w:sz w:val="32"/>
          <w:szCs w:val="32"/>
          <w:rtl/>
        </w:rPr>
        <w:t xml:space="preserve">) </w:t>
      </w:r>
      <w:r>
        <w:rPr>
          <w:rFonts w:ascii="Traditional Arabic" w:hAnsi="Traditional Arabic" w:hint="cs"/>
          <w:sz w:val="32"/>
          <w:szCs w:val="32"/>
          <w:rtl/>
        </w:rPr>
        <w:t xml:space="preserve">انظر: الأشباه والنظائر لابن نجيم (192)، والقواعد للمقري (1/212)، والأشباه والنظائر لابن السبكي (1/11)، والفوائد الجنية حاشية المواهب السنية شرح الفرائد البهية في نظم القواعد الفقهية لأبي الفيض محمد ياسين بن عيسى الفاداني (1/87-88)، وحاشية البناني على شرح الجلال المحلي على جمع الجوامع (2/356)، وشرح الكوكب المنير (1/30). </w:t>
      </w:r>
    </w:p>
  </w:footnote>
  <w:footnote w:id="117">
    <w:p w:rsidR="000D3D21" w:rsidRPr="00E22C45" w:rsidRDefault="000D3D21">
      <w:pPr>
        <w:pStyle w:val="a7"/>
        <w:rPr>
          <w:rFonts w:ascii="Traditional Arabic" w:hAnsi="Traditional Arabic"/>
          <w:sz w:val="32"/>
          <w:szCs w:val="32"/>
          <w:rtl/>
        </w:rPr>
      </w:pPr>
      <w:r w:rsidRPr="00E22C45">
        <w:rPr>
          <w:rStyle w:val="af1"/>
          <w:rFonts w:ascii="Traditional Arabic" w:hAnsi="Traditional Arabic"/>
          <w:sz w:val="32"/>
          <w:szCs w:val="32"/>
          <w:vertAlign w:val="baseline"/>
        </w:rPr>
        <w:footnoteRef/>
      </w:r>
      <w:r w:rsidRPr="00E22C45">
        <w:rPr>
          <w:rFonts w:ascii="Traditional Arabic" w:hAnsi="Traditional Arabic"/>
          <w:sz w:val="32"/>
          <w:szCs w:val="32"/>
        </w:rPr>
        <w:t>)</w:t>
      </w:r>
      <w:r w:rsidRPr="00E22C45">
        <w:rPr>
          <w:rFonts w:ascii="Traditional Arabic" w:hAnsi="Traditional Arabic"/>
          <w:sz w:val="32"/>
          <w:szCs w:val="32"/>
          <w:rtl/>
        </w:rPr>
        <w:t xml:space="preserve">) </w:t>
      </w:r>
      <w:r>
        <w:rPr>
          <w:rFonts w:ascii="Traditional Arabic" w:hAnsi="Traditional Arabic" w:hint="cs"/>
          <w:sz w:val="32"/>
          <w:szCs w:val="32"/>
          <w:rtl/>
        </w:rPr>
        <w:t>انظر: القواعد والضوابط الفقهية عند ابن تيمية في فقه الأسرة (1/97)، ومقدمة تحقيق القواعد للمقري (1/108)، والقواعد والضوابط الفقهية عند ابن تيمية في كتابي الطهارة والصلاة (129)، والقواعد الفقهية للندوي (51)، والوجيز للبورنو (29)، ومقدمة تحقيق كتاب القواعد للحصني (1/24)، والقواعد الفقهية الكبرى في الفقه الإسلامي لعبد الله العجلان (11).</w:t>
      </w:r>
    </w:p>
  </w:footnote>
  <w:footnote w:id="118">
    <w:p w:rsidR="000D3D21" w:rsidRPr="00C00AC8" w:rsidRDefault="000D3D21">
      <w:pPr>
        <w:pStyle w:val="a7"/>
        <w:rPr>
          <w:rFonts w:ascii="Traditional Arabic" w:hAnsi="Traditional Arabic"/>
          <w:sz w:val="32"/>
          <w:szCs w:val="32"/>
          <w:rtl/>
        </w:rPr>
      </w:pPr>
      <w:r w:rsidRPr="00C00AC8">
        <w:rPr>
          <w:rStyle w:val="af1"/>
          <w:rFonts w:ascii="Traditional Arabic" w:hAnsi="Traditional Arabic"/>
          <w:sz w:val="32"/>
          <w:szCs w:val="32"/>
          <w:vertAlign w:val="baseline"/>
        </w:rPr>
        <w:footnoteRef/>
      </w:r>
      <w:r w:rsidRPr="00C00AC8">
        <w:rPr>
          <w:rFonts w:ascii="Traditional Arabic" w:hAnsi="Traditional Arabic"/>
          <w:sz w:val="32"/>
          <w:szCs w:val="32"/>
        </w:rPr>
        <w:t>)</w:t>
      </w:r>
      <w:r w:rsidRPr="00C00AC8">
        <w:rPr>
          <w:rFonts w:ascii="Traditional Arabic" w:hAnsi="Traditional Arabic"/>
          <w:sz w:val="32"/>
          <w:szCs w:val="32"/>
          <w:rtl/>
        </w:rPr>
        <w:t>)</w:t>
      </w:r>
      <w:r>
        <w:rPr>
          <w:rFonts w:ascii="Traditional Arabic" w:hAnsi="Traditional Arabic" w:hint="cs"/>
          <w:sz w:val="32"/>
          <w:szCs w:val="32"/>
          <w:rtl/>
        </w:rPr>
        <w:t xml:space="preserve"> الأشباه والنظائر (1/11).</w:t>
      </w:r>
    </w:p>
  </w:footnote>
  <w:footnote w:id="119">
    <w:p w:rsidR="000D3D21" w:rsidRDefault="000D3D21">
      <w:pPr>
        <w:pStyle w:val="a7"/>
        <w:rPr>
          <w:rFonts w:ascii="Traditional Arabic" w:hAnsi="Traditional Arabic"/>
          <w:sz w:val="32"/>
          <w:szCs w:val="32"/>
          <w:rtl/>
        </w:rPr>
      </w:pPr>
      <w:r w:rsidRPr="00E710BD">
        <w:rPr>
          <w:rStyle w:val="af1"/>
          <w:rFonts w:ascii="Traditional Arabic" w:hAnsi="Traditional Arabic"/>
          <w:sz w:val="32"/>
          <w:szCs w:val="32"/>
          <w:vertAlign w:val="baseline"/>
        </w:rPr>
        <w:footnoteRef/>
      </w:r>
      <w:r w:rsidRPr="00E710BD">
        <w:rPr>
          <w:rFonts w:ascii="Traditional Arabic" w:hAnsi="Traditional Arabic"/>
          <w:sz w:val="32"/>
          <w:szCs w:val="32"/>
        </w:rPr>
        <w:t>)</w:t>
      </w:r>
      <w:r w:rsidRPr="00E710BD">
        <w:rPr>
          <w:rFonts w:ascii="Traditional Arabic" w:hAnsi="Traditional Arabic"/>
          <w:sz w:val="32"/>
          <w:szCs w:val="32"/>
          <w:rtl/>
        </w:rPr>
        <w:t xml:space="preserve">) </w:t>
      </w:r>
      <w:r>
        <w:rPr>
          <w:rFonts w:ascii="Traditional Arabic" w:hAnsi="Traditional Arabic" w:hint="cs"/>
          <w:sz w:val="32"/>
          <w:szCs w:val="32"/>
          <w:rtl/>
        </w:rPr>
        <w:t>القواعد الفقهية لعلي بن أحمد الندوي (50، 51).</w:t>
      </w:r>
    </w:p>
    <w:p w:rsidR="000D3D21" w:rsidRDefault="000D3D21">
      <w:pPr>
        <w:pStyle w:val="a7"/>
        <w:rPr>
          <w:rFonts w:ascii="Traditional Arabic" w:hAnsi="Traditional Arabic"/>
          <w:sz w:val="32"/>
          <w:szCs w:val="32"/>
          <w:rtl/>
        </w:rPr>
      </w:pPr>
      <w:r>
        <w:rPr>
          <w:rFonts w:ascii="Traditional Arabic" w:hAnsi="Traditional Arabic" w:hint="cs"/>
          <w:sz w:val="32"/>
          <w:szCs w:val="32"/>
          <w:rtl/>
        </w:rPr>
        <w:t xml:space="preserve">     وكثيرا ما يعبر الشيخ ابن عثيمين رحمه الله بالقاعدة عن الضابط، ومن أمثلة ذلك:</w:t>
      </w:r>
    </w:p>
    <w:p w:rsidR="000D3D21" w:rsidRDefault="000D3D21" w:rsidP="000A76C7">
      <w:pPr>
        <w:pStyle w:val="a7"/>
        <w:numPr>
          <w:ilvl w:val="0"/>
          <w:numId w:val="335"/>
        </w:numPr>
        <w:rPr>
          <w:rFonts w:ascii="Traditional Arabic" w:hAnsi="Traditional Arabic"/>
          <w:sz w:val="32"/>
          <w:szCs w:val="32"/>
        </w:rPr>
      </w:pPr>
      <w:r>
        <w:rPr>
          <w:rFonts w:ascii="Traditional Arabic" w:hAnsi="Traditional Arabic" w:hint="cs"/>
          <w:sz w:val="32"/>
          <w:szCs w:val="32"/>
          <w:rtl/>
        </w:rPr>
        <w:t>قوله: (</w:t>
      </w:r>
      <w:r w:rsidRPr="000C4A8C">
        <w:rPr>
          <w:rFonts w:ascii="Traditional Arabic" w:hAnsi="Traditional Arabic"/>
          <w:noProof w:val="0"/>
          <w:color w:val="auto"/>
          <w:sz w:val="32"/>
          <w:szCs w:val="32"/>
          <w:rtl/>
          <w:lang w:eastAsia="en-US"/>
        </w:rPr>
        <w:t>ومقتضى القاعدة السابقة</w:t>
      </w:r>
      <w:r>
        <w:rPr>
          <w:rFonts w:ascii="Traditional Arabic" w:hAnsi="Traditional Arabic" w:hint="cs"/>
          <w:noProof w:val="0"/>
          <w:color w:val="auto"/>
          <w:sz w:val="32"/>
          <w:szCs w:val="32"/>
          <w:rtl/>
          <w:lang w:eastAsia="en-US"/>
        </w:rPr>
        <w:t>"</w:t>
      </w:r>
      <w:r w:rsidRPr="000C4A8C">
        <w:rPr>
          <w:rFonts w:ascii="Traditional Arabic" w:hAnsi="Traditional Arabic"/>
          <w:noProof w:val="0"/>
          <w:color w:val="auto"/>
          <w:sz w:val="32"/>
          <w:szCs w:val="32"/>
          <w:rtl/>
          <w:lang w:eastAsia="en-US"/>
        </w:rPr>
        <w:t xml:space="preserve"> أن من فات غرضه له الخيار</w:t>
      </w:r>
      <w:r>
        <w:rPr>
          <w:rFonts w:ascii="Traditional Arabic" w:hAnsi="Traditional Arabic" w:hint="cs"/>
          <w:noProof w:val="0"/>
          <w:color w:val="auto"/>
          <w:sz w:val="32"/>
          <w:szCs w:val="32"/>
          <w:rtl/>
          <w:lang w:eastAsia="en-US"/>
        </w:rPr>
        <w:t>"</w:t>
      </w:r>
      <w:r>
        <w:rPr>
          <w:rFonts w:ascii="Traditional Arabic" w:hAnsi="Traditional Arabic" w:hint="cs"/>
          <w:sz w:val="32"/>
          <w:szCs w:val="32"/>
          <w:rtl/>
        </w:rPr>
        <w:t>). الشرح الممتع (8/260).</w:t>
      </w:r>
    </w:p>
    <w:p w:rsidR="000D3D21" w:rsidRPr="003B5112" w:rsidRDefault="000D3D21" w:rsidP="000A76C7">
      <w:pPr>
        <w:pStyle w:val="a7"/>
        <w:numPr>
          <w:ilvl w:val="0"/>
          <w:numId w:val="335"/>
        </w:numPr>
        <w:rPr>
          <w:rFonts w:ascii="Traditional Arabic" w:hAnsi="Traditional Arabic"/>
          <w:color w:val="auto"/>
          <w:sz w:val="32"/>
          <w:szCs w:val="32"/>
          <w:rtl/>
        </w:rPr>
      </w:pPr>
      <w:r>
        <w:rPr>
          <w:rFonts w:ascii="Traditional Arabic" w:hAnsi="Traditional Arabic" w:hint="cs"/>
          <w:noProof w:val="0"/>
          <w:color w:val="auto"/>
          <w:sz w:val="32"/>
          <w:szCs w:val="32"/>
          <w:rtl/>
          <w:lang w:eastAsia="en-US"/>
        </w:rPr>
        <w:t>قوله: (</w:t>
      </w:r>
      <w:r>
        <w:rPr>
          <w:rFonts w:ascii="Traditional Arabic" w:hAnsi="Traditional Arabic"/>
          <w:noProof w:val="0"/>
          <w:color w:val="auto"/>
          <w:sz w:val="32"/>
          <w:szCs w:val="32"/>
          <w:rtl/>
          <w:lang w:eastAsia="en-US"/>
        </w:rPr>
        <w:t xml:space="preserve">والخلاصة: </w:t>
      </w:r>
      <w:r>
        <w:rPr>
          <w:rFonts w:ascii="Traditional Arabic" w:hAnsi="Traditional Arabic" w:hint="cs"/>
          <w:noProof w:val="0"/>
          <w:color w:val="auto"/>
          <w:sz w:val="32"/>
          <w:szCs w:val="32"/>
          <w:rtl/>
          <w:lang w:eastAsia="en-US"/>
        </w:rPr>
        <w:t>"</w:t>
      </w:r>
      <w:r w:rsidRPr="003B5112">
        <w:rPr>
          <w:rFonts w:ascii="Traditional Arabic" w:hAnsi="Traditional Arabic"/>
          <w:noProof w:val="0"/>
          <w:color w:val="auto"/>
          <w:sz w:val="32"/>
          <w:szCs w:val="32"/>
          <w:rtl/>
          <w:lang w:eastAsia="en-US"/>
        </w:rPr>
        <w:t>أن الحوالة من باب الاستيفاء، فإذا انقلبت إلى معاوضة صار لا بد من مراعاة شروط البيع المعروفة</w:t>
      </w:r>
      <w:r>
        <w:rPr>
          <w:rFonts w:ascii="Traditional Arabic" w:hAnsi="Traditional Arabic" w:hint="cs"/>
          <w:noProof w:val="0"/>
          <w:color w:val="auto"/>
          <w:sz w:val="32"/>
          <w:szCs w:val="32"/>
          <w:rtl/>
          <w:lang w:eastAsia="en-US"/>
        </w:rPr>
        <w:t>"</w:t>
      </w:r>
      <w:r w:rsidRPr="003B5112">
        <w:rPr>
          <w:rFonts w:ascii="Traditional Arabic" w:hAnsi="Traditional Arabic"/>
          <w:noProof w:val="0"/>
          <w:color w:val="auto"/>
          <w:sz w:val="32"/>
          <w:szCs w:val="32"/>
          <w:rtl/>
          <w:lang w:eastAsia="en-US"/>
        </w:rPr>
        <w:t>، هذه هي القاعدة</w:t>
      </w:r>
      <w:r>
        <w:rPr>
          <w:rFonts w:ascii="Traditional Arabic" w:hAnsi="Traditional Arabic" w:hint="cs"/>
          <w:noProof w:val="0"/>
          <w:color w:val="auto"/>
          <w:sz w:val="32"/>
          <w:szCs w:val="32"/>
          <w:rtl/>
          <w:lang w:eastAsia="en-US"/>
        </w:rPr>
        <w:t>). الشرح الممتع (9/215).</w:t>
      </w:r>
    </w:p>
    <w:p w:rsidR="000D3D21" w:rsidRDefault="000D3D21" w:rsidP="000A76C7">
      <w:pPr>
        <w:pStyle w:val="a7"/>
        <w:numPr>
          <w:ilvl w:val="0"/>
          <w:numId w:val="335"/>
        </w:numPr>
        <w:rPr>
          <w:rFonts w:ascii="Traditional Arabic" w:hAnsi="Traditional Arabic"/>
          <w:sz w:val="32"/>
          <w:szCs w:val="32"/>
        </w:rPr>
      </w:pPr>
      <w:r>
        <w:rPr>
          <w:rFonts w:ascii="Traditional Arabic" w:hAnsi="Traditional Arabic" w:hint="cs"/>
          <w:sz w:val="32"/>
          <w:szCs w:val="32"/>
          <w:rtl/>
        </w:rPr>
        <w:t>قوله: (</w:t>
      </w:r>
      <w:r w:rsidRPr="000C4A8C">
        <w:rPr>
          <w:rFonts w:ascii="Traditional Arabic" w:hAnsi="Traditional Arabic"/>
          <w:noProof w:val="0"/>
          <w:color w:val="auto"/>
          <w:sz w:val="32"/>
          <w:szCs w:val="32"/>
          <w:rtl/>
          <w:lang w:eastAsia="en-US"/>
        </w:rPr>
        <w:t xml:space="preserve">وهذه قاعدة، </w:t>
      </w:r>
      <w:r>
        <w:rPr>
          <w:rFonts w:ascii="Traditional Arabic" w:hAnsi="Traditional Arabic" w:hint="cs"/>
          <w:noProof w:val="0"/>
          <w:color w:val="auto"/>
          <w:sz w:val="32"/>
          <w:szCs w:val="32"/>
          <w:rtl/>
          <w:lang w:eastAsia="en-US"/>
        </w:rPr>
        <w:t>"</w:t>
      </w:r>
      <w:r w:rsidRPr="000C4A8C">
        <w:rPr>
          <w:rFonts w:ascii="Traditional Arabic" w:hAnsi="Traditional Arabic"/>
          <w:noProof w:val="0"/>
          <w:color w:val="auto"/>
          <w:sz w:val="32"/>
          <w:szCs w:val="32"/>
          <w:rtl/>
          <w:lang w:eastAsia="en-US"/>
        </w:rPr>
        <w:t>الوضيعة بقدر المال في جميع أنواع الشركة</w:t>
      </w:r>
      <w:r>
        <w:rPr>
          <w:rFonts w:ascii="Traditional Arabic" w:hAnsi="Traditional Arabic" w:hint="cs"/>
          <w:sz w:val="32"/>
          <w:szCs w:val="32"/>
          <w:rtl/>
        </w:rPr>
        <w:t>"). المرجع السابق (9/439).</w:t>
      </w:r>
    </w:p>
    <w:p w:rsidR="000D3D21" w:rsidRPr="000C4A8C" w:rsidRDefault="000D3D21" w:rsidP="000A76C7">
      <w:pPr>
        <w:pStyle w:val="afc"/>
        <w:widowControl/>
        <w:numPr>
          <w:ilvl w:val="0"/>
          <w:numId w:val="335"/>
        </w:numPr>
        <w:autoSpaceDE w:val="0"/>
        <w:autoSpaceDN w:val="0"/>
        <w:adjustRightInd w:val="0"/>
        <w:jc w:val="left"/>
        <w:rPr>
          <w:rFonts w:ascii="Traditional Arabic" w:hAnsi="Traditional Arabic"/>
          <w:noProof w:val="0"/>
          <w:color w:val="auto"/>
          <w:sz w:val="32"/>
          <w:szCs w:val="32"/>
          <w:rtl/>
          <w:lang w:eastAsia="en-US"/>
        </w:rPr>
      </w:pPr>
      <w:r>
        <w:rPr>
          <w:rFonts w:ascii="Traditional Arabic" w:hAnsi="Traditional Arabic" w:hint="cs"/>
          <w:noProof w:val="0"/>
          <w:color w:val="auto"/>
          <w:sz w:val="32"/>
          <w:szCs w:val="32"/>
          <w:rtl/>
          <w:lang w:eastAsia="en-US"/>
        </w:rPr>
        <w:t>قوله: (</w:t>
      </w:r>
      <w:r w:rsidRPr="000C4A8C">
        <w:rPr>
          <w:rFonts w:ascii="Traditional Arabic" w:hAnsi="Traditional Arabic"/>
          <w:noProof w:val="0"/>
          <w:color w:val="auto"/>
          <w:sz w:val="32"/>
          <w:szCs w:val="32"/>
          <w:rtl/>
          <w:lang w:eastAsia="en-US"/>
        </w:rPr>
        <w:t xml:space="preserve">لأن القاعدة التي تظهر لي من السنة </w:t>
      </w:r>
      <w:r>
        <w:rPr>
          <w:rFonts w:ascii="Traditional Arabic" w:hAnsi="Traditional Arabic" w:hint="cs"/>
          <w:noProof w:val="0"/>
          <w:color w:val="auto"/>
          <w:sz w:val="32"/>
          <w:szCs w:val="32"/>
          <w:rtl/>
          <w:lang w:eastAsia="en-US"/>
        </w:rPr>
        <w:t>"</w:t>
      </w:r>
      <w:r w:rsidRPr="000C4A8C">
        <w:rPr>
          <w:rFonts w:ascii="Traditional Arabic" w:hAnsi="Traditional Arabic"/>
          <w:noProof w:val="0"/>
          <w:color w:val="auto"/>
          <w:sz w:val="32"/>
          <w:szCs w:val="32"/>
          <w:rtl/>
          <w:lang w:eastAsia="en-US"/>
        </w:rPr>
        <w:t>أنه متى انتقل الملك على وجه اختياري، ففيه الشفعة بأي حال من الأحوال</w:t>
      </w:r>
      <w:r>
        <w:rPr>
          <w:rFonts w:ascii="Traditional Arabic" w:hAnsi="Traditional Arabic" w:hint="cs"/>
          <w:noProof w:val="0"/>
          <w:color w:val="auto"/>
          <w:sz w:val="32"/>
          <w:szCs w:val="32"/>
          <w:rtl/>
          <w:lang w:eastAsia="en-US"/>
        </w:rPr>
        <w:t>")</w:t>
      </w:r>
      <w:r w:rsidRPr="000C4A8C">
        <w:rPr>
          <w:rFonts w:ascii="Traditional Arabic" w:hAnsi="Traditional Arabic"/>
          <w:noProof w:val="0"/>
          <w:color w:val="auto"/>
          <w:sz w:val="32"/>
          <w:szCs w:val="32"/>
          <w:rtl/>
          <w:lang w:eastAsia="en-US"/>
        </w:rPr>
        <w:t>.</w:t>
      </w:r>
      <w:r>
        <w:rPr>
          <w:rFonts w:ascii="Traditional Arabic" w:hAnsi="Traditional Arabic" w:hint="cs"/>
          <w:noProof w:val="0"/>
          <w:color w:val="auto"/>
          <w:sz w:val="32"/>
          <w:szCs w:val="32"/>
          <w:rtl/>
          <w:lang w:eastAsia="en-US"/>
        </w:rPr>
        <w:t xml:space="preserve"> المرجع السابق (10/239).</w:t>
      </w:r>
    </w:p>
    <w:p w:rsidR="000D3D21" w:rsidRPr="00E710BD" w:rsidRDefault="000D3D21" w:rsidP="003B5112">
      <w:pPr>
        <w:pStyle w:val="a7"/>
        <w:ind w:left="360" w:firstLine="0"/>
        <w:rPr>
          <w:rFonts w:ascii="Traditional Arabic" w:hAnsi="Traditional Arabic"/>
          <w:sz w:val="32"/>
          <w:szCs w:val="32"/>
          <w:rtl/>
        </w:rPr>
      </w:pPr>
      <w:r>
        <w:rPr>
          <w:rFonts w:ascii="Traditional Arabic" w:hAnsi="Traditional Arabic" w:hint="cs"/>
          <w:sz w:val="32"/>
          <w:szCs w:val="32"/>
          <w:rtl/>
        </w:rPr>
        <w:t>وانظر المرجع السابق (9/122، 132، 326، 413)، و(14/344).</w:t>
      </w:r>
    </w:p>
  </w:footnote>
  <w:footnote w:id="120">
    <w:p w:rsidR="000D3D21" w:rsidRPr="00B7479A" w:rsidRDefault="000D3D21">
      <w:pPr>
        <w:pStyle w:val="a7"/>
        <w:rPr>
          <w:rFonts w:ascii="Traditional Arabic" w:hAnsi="Traditional Arabic"/>
          <w:sz w:val="32"/>
          <w:szCs w:val="32"/>
          <w:rtl/>
        </w:rPr>
      </w:pPr>
      <w:r w:rsidRPr="00B7479A">
        <w:rPr>
          <w:rStyle w:val="af1"/>
          <w:rFonts w:ascii="Traditional Arabic" w:hAnsi="Traditional Arabic"/>
          <w:sz w:val="32"/>
          <w:szCs w:val="32"/>
          <w:vertAlign w:val="baseline"/>
        </w:rPr>
        <w:footnoteRef/>
      </w:r>
      <w:r w:rsidRPr="00B7479A">
        <w:rPr>
          <w:rFonts w:ascii="Traditional Arabic" w:hAnsi="Traditional Arabic"/>
          <w:sz w:val="32"/>
          <w:szCs w:val="32"/>
        </w:rPr>
        <w:t>)</w:t>
      </w:r>
      <w:r w:rsidRPr="00B7479A">
        <w:rPr>
          <w:rFonts w:ascii="Traditional Arabic" w:hAnsi="Traditional Arabic"/>
          <w:sz w:val="32"/>
          <w:szCs w:val="32"/>
          <w:rtl/>
        </w:rPr>
        <w:t xml:space="preserve">) </w:t>
      </w:r>
      <w:r>
        <w:rPr>
          <w:rFonts w:ascii="Traditional Arabic" w:hAnsi="Traditional Arabic" w:hint="cs"/>
          <w:sz w:val="32"/>
          <w:szCs w:val="32"/>
          <w:rtl/>
        </w:rPr>
        <w:t>القواعد والضوابط الفقهية عند ابن تيمية في فقه الأسرة (1/97) بتصرف.</w:t>
      </w:r>
    </w:p>
  </w:footnote>
  <w:footnote w:id="121">
    <w:p w:rsidR="000D3D21" w:rsidRPr="003B1CB0" w:rsidRDefault="000D3D21" w:rsidP="00647662">
      <w:pPr>
        <w:autoSpaceDE w:val="0"/>
        <w:autoSpaceDN w:val="0"/>
        <w:adjustRightInd w:val="0"/>
        <w:ind w:firstLine="0"/>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1CB0">
        <w:rPr>
          <w:rFonts w:ascii="Traditional Arabic" w:hAnsi="Traditional Arabic"/>
          <w:sz w:val="32"/>
          <w:szCs w:val="32"/>
          <w:rtl/>
        </w:rPr>
        <w:t xml:space="preserve">قال  تقي الدين السبكي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3B1CB0">
        <w:rPr>
          <w:rFonts w:ascii="Traditional Arabic" w:hAnsi="Traditional Arabic"/>
          <w:sz w:val="32"/>
          <w:szCs w:val="32"/>
          <w:rtl/>
        </w:rPr>
        <w:t>:(</w:t>
      </w:r>
      <w:r w:rsidRPr="003B1CB0">
        <w:rPr>
          <w:rFonts w:ascii="Traditional Arabic" w:hAnsi="Traditional Arabic"/>
          <w:color w:val="auto"/>
          <w:sz w:val="32"/>
          <w:szCs w:val="32"/>
          <w:rtl/>
          <w:lang w:eastAsia="en-US"/>
        </w:rPr>
        <w:t>وكل هذه التعريفات للأصل بحسب اللغة، وإن كان أهل اللغة لم يذكروها في كتبهم، وهو مما ينب</w:t>
      </w:r>
      <w:r>
        <w:rPr>
          <w:rFonts w:ascii="Traditional Arabic" w:hAnsi="Traditional Arabic" w:hint="cs"/>
          <w:color w:val="auto"/>
          <w:sz w:val="32"/>
          <w:szCs w:val="32"/>
          <w:rtl/>
          <w:lang w:eastAsia="en-US"/>
        </w:rPr>
        <w:t>ّ</w:t>
      </w:r>
      <w:r w:rsidRPr="003B1CB0">
        <w:rPr>
          <w:rFonts w:ascii="Traditional Arabic" w:hAnsi="Traditional Arabic"/>
          <w:color w:val="auto"/>
          <w:sz w:val="32"/>
          <w:szCs w:val="32"/>
          <w:rtl/>
          <w:lang w:eastAsia="en-US"/>
        </w:rPr>
        <w:t>هنا على أن الأصوليين يتعرّضون لأشياء لم يتعرّض لها أهل اللغة</w:t>
      </w:r>
      <w:r w:rsidRPr="003B1CB0">
        <w:rPr>
          <w:rFonts w:ascii="Traditional Arabic" w:hAnsi="Traditional Arabic" w:hint="cs"/>
          <w:color w:val="auto"/>
          <w:sz w:val="32"/>
          <w:szCs w:val="32"/>
          <w:rtl/>
          <w:lang w:eastAsia="en-US"/>
        </w:rPr>
        <w:t>)</w:t>
      </w:r>
      <w:r w:rsidRPr="003B1CB0">
        <w:rPr>
          <w:rFonts w:ascii="Traditional Arabic" w:hAnsi="Traditional Arabic"/>
          <w:sz w:val="32"/>
          <w:szCs w:val="32"/>
          <w:rtl/>
          <w:lang w:eastAsia="en-US"/>
        </w:rPr>
        <w:t>.الإبهاج في شرح المنهاج (1/21).</w:t>
      </w:r>
    </w:p>
  </w:footnote>
  <w:footnote w:id="122">
    <w:p w:rsidR="000D3D21" w:rsidRPr="003B1CB0"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1CB0">
        <w:rPr>
          <w:rFonts w:ascii="Traditional Arabic" w:hAnsi="Traditional Arabic"/>
          <w:sz w:val="32"/>
          <w:szCs w:val="32"/>
          <w:rtl/>
        </w:rPr>
        <w:t>مقاييس اللغة (1/109)،</w:t>
      </w:r>
      <w:r>
        <w:rPr>
          <w:rFonts w:ascii="Traditional Arabic" w:hAnsi="Traditional Arabic"/>
          <w:sz w:val="32"/>
          <w:szCs w:val="32"/>
          <w:rtl/>
        </w:rPr>
        <w:t xml:space="preserve"> و</w:t>
      </w:r>
      <w:r w:rsidRPr="003B1CB0">
        <w:rPr>
          <w:rFonts w:ascii="Traditional Arabic" w:hAnsi="Traditional Arabic"/>
          <w:sz w:val="32"/>
          <w:szCs w:val="32"/>
          <w:rtl/>
        </w:rPr>
        <w:t>انظر (1/14).</w:t>
      </w:r>
    </w:p>
  </w:footnote>
  <w:footnote w:id="123">
    <w:p w:rsidR="000D3D21" w:rsidRPr="003B1CB0"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3B1CB0">
        <w:rPr>
          <w:rFonts w:ascii="Traditional Arabic" w:hAnsi="Traditional Arabic"/>
          <w:sz w:val="32"/>
          <w:szCs w:val="32"/>
          <w:rtl/>
        </w:rPr>
        <w:t xml:space="preserve"> انظر المصباح المنير</w:t>
      </w:r>
      <w:r>
        <w:rPr>
          <w:rFonts w:ascii="Traditional Arabic" w:hAnsi="Traditional Arabic" w:hint="cs"/>
          <w:sz w:val="32"/>
          <w:szCs w:val="32"/>
          <w:rtl/>
        </w:rPr>
        <w:t xml:space="preserve"> </w:t>
      </w:r>
      <w:r w:rsidRPr="003B1CB0">
        <w:rPr>
          <w:rFonts w:ascii="Traditional Arabic" w:hAnsi="Traditional Arabic"/>
          <w:sz w:val="32"/>
          <w:szCs w:val="32"/>
          <w:rtl/>
        </w:rPr>
        <w:t>(24).</w:t>
      </w:r>
    </w:p>
  </w:footnote>
  <w:footnote w:id="124">
    <w:p w:rsidR="000D3D21" w:rsidRPr="003B1CB0"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1CB0">
        <w:rPr>
          <w:rFonts w:ascii="Traditional Arabic" w:hAnsi="Traditional Arabic"/>
          <w:sz w:val="32"/>
          <w:szCs w:val="32"/>
          <w:rtl/>
        </w:rPr>
        <w:t>انظر لسان العرب (1/89).</w:t>
      </w:r>
    </w:p>
  </w:footnote>
  <w:footnote w:id="125">
    <w:p w:rsidR="000D3D21" w:rsidRPr="003B1CB0"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3B1CB0">
        <w:rPr>
          <w:rFonts w:ascii="Traditional Arabic" w:hAnsi="Traditional Arabic"/>
          <w:sz w:val="32"/>
          <w:szCs w:val="32"/>
          <w:rtl/>
        </w:rPr>
        <w:t xml:space="preserve"> نهاية السول في شرح منهاج الأصول لجمال الدين الإسنوي (1/7).</w:t>
      </w:r>
    </w:p>
  </w:footnote>
  <w:footnote w:id="126">
    <w:p w:rsidR="000D3D21" w:rsidRPr="003B1CB0"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1CB0">
        <w:rPr>
          <w:rFonts w:ascii="Traditional Arabic" w:hAnsi="Traditional Arabic" w:hint="cs"/>
          <w:sz w:val="32"/>
          <w:szCs w:val="32"/>
          <w:rtl/>
        </w:rPr>
        <w:t xml:space="preserve">انظر </w:t>
      </w:r>
      <w:r w:rsidRPr="003B1CB0">
        <w:rPr>
          <w:rFonts w:ascii="Traditional Arabic" w:hAnsi="Traditional Arabic"/>
          <w:sz w:val="32"/>
          <w:szCs w:val="32"/>
          <w:rtl/>
        </w:rPr>
        <w:t>المصباح المنير (24).</w:t>
      </w:r>
    </w:p>
  </w:footnote>
  <w:footnote w:id="127">
    <w:p w:rsidR="000D3D21" w:rsidRPr="003D514E" w:rsidRDefault="000D3D21" w:rsidP="006F08E1">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3B1CB0">
        <w:rPr>
          <w:rFonts w:ascii="Traditional Arabic" w:hAnsi="Traditional Arabic"/>
          <w:sz w:val="32"/>
          <w:szCs w:val="32"/>
          <w:rtl/>
        </w:rPr>
        <w:t xml:space="preserve"> المعتمد في أصول الفقه لأبي الحسين البصري (1/9)</w:t>
      </w:r>
      <w:r w:rsidRPr="003B1CB0">
        <w:rPr>
          <w:rFonts w:ascii="Traditional Arabic" w:hAnsi="Traditional Arabic" w:hint="cs"/>
          <w:sz w:val="32"/>
          <w:szCs w:val="32"/>
          <w:rtl/>
        </w:rPr>
        <w:t>.</w:t>
      </w:r>
    </w:p>
  </w:footnote>
  <w:footnote w:id="128">
    <w:p w:rsidR="000D3D21" w:rsidRPr="00A14236"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شرح مختصر الروضة ل</w:t>
      </w:r>
      <w:r w:rsidRPr="00A14236">
        <w:rPr>
          <w:rFonts w:ascii="Traditional Arabic" w:hAnsi="Traditional Arabic"/>
          <w:sz w:val="32"/>
          <w:szCs w:val="32"/>
          <w:rtl/>
        </w:rPr>
        <w:t xml:space="preserve">نجم الدين الطوفي (1/123، 124). </w:t>
      </w:r>
    </w:p>
  </w:footnote>
  <w:footnote w:id="129">
    <w:p w:rsidR="000D3D21" w:rsidRPr="00A14236" w:rsidRDefault="000D3D21" w:rsidP="006F08E1">
      <w:pPr>
        <w:pStyle w:val="a7"/>
        <w:pageBreakBefore/>
        <w:rPr>
          <w:rFonts w:ascii="Traditional Arabic" w:hAnsi="Traditional Arabic"/>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A14236">
        <w:rPr>
          <w:rFonts w:ascii="Traditional Arabic" w:hAnsi="Traditional Arabic"/>
          <w:sz w:val="32"/>
          <w:szCs w:val="32"/>
          <w:rtl/>
        </w:rPr>
        <w:t xml:space="preserve"> المحصول في علم الأصول لفخر الدين الرازي (1/78).</w:t>
      </w:r>
    </w:p>
  </w:footnote>
  <w:footnote w:id="130">
    <w:p w:rsidR="000D3D21" w:rsidRPr="00A14236"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14236">
        <w:rPr>
          <w:rFonts w:ascii="Traditional Arabic" w:hAnsi="Traditional Arabic"/>
          <w:sz w:val="32"/>
          <w:szCs w:val="32"/>
          <w:rtl/>
        </w:rPr>
        <w:t>الأصل</w:t>
      </w:r>
      <w:r>
        <w:rPr>
          <w:rFonts w:ascii="Traditional Arabic" w:hAnsi="Traditional Arabic"/>
          <w:sz w:val="32"/>
          <w:szCs w:val="32"/>
          <w:rtl/>
        </w:rPr>
        <w:t xml:space="preserve"> و</w:t>
      </w:r>
      <w:r w:rsidRPr="00A14236">
        <w:rPr>
          <w:rFonts w:ascii="Traditional Arabic" w:hAnsi="Traditional Arabic"/>
          <w:sz w:val="32"/>
          <w:szCs w:val="32"/>
          <w:rtl/>
        </w:rPr>
        <w:t>ال</w:t>
      </w:r>
      <w:r>
        <w:rPr>
          <w:rFonts w:ascii="Traditional Arabic" w:hAnsi="Traditional Arabic"/>
          <w:sz w:val="32"/>
          <w:szCs w:val="32"/>
          <w:rtl/>
        </w:rPr>
        <w:t>ظاهر في القواعد الفقهية ل</w:t>
      </w:r>
      <w:r w:rsidRPr="00A14236">
        <w:rPr>
          <w:rFonts w:ascii="Traditional Arabic" w:hAnsi="Traditional Arabic"/>
          <w:sz w:val="32"/>
          <w:szCs w:val="32"/>
          <w:rtl/>
        </w:rPr>
        <w:t>أحمد بن عبد الرحمن الرشيد (53).</w:t>
      </w:r>
    </w:p>
  </w:footnote>
  <w:footnote w:id="131">
    <w:p w:rsidR="000D3D21" w:rsidRPr="00A14236"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14236">
        <w:rPr>
          <w:rFonts w:ascii="Traditional Arabic" w:hAnsi="Traditional Arabic"/>
          <w:sz w:val="32"/>
          <w:szCs w:val="32"/>
          <w:rtl/>
        </w:rPr>
        <w:t>الأصل</w:t>
      </w:r>
      <w:r>
        <w:rPr>
          <w:rFonts w:ascii="Traditional Arabic" w:hAnsi="Traditional Arabic"/>
          <w:sz w:val="32"/>
          <w:szCs w:val="32"/>
          <w:rtl/>
        </w:rPr>
        <w:t xml:space="preserve"> و</w:t>
      </w:r>
      <w:r w:rsidRPr="00A14236">
        <w:rPr>
          <w:rFonts w:ascii="Traditional Arabic" w:hAnsi="Traditional Arabic"/>
          <w:sz w:val="32"/>
          <w:szCs w:val="32"/>
          <w:rtl/>
        </w:rPr>
        <w:t>ا</w:t>
      </w:r>
      <w:r>
        <w:rPr>
          <w:rFonts w:ascii="Traditional Arabic" w:hAnsi="Traditional Arabic"/>
          <w:sz w:val="32"/>
          <w:szCs w:val="32"/>
          <w:rtl/>
        </w:rPr>
        <w:t>لظاهر في القواعد الفقهية (53)</w:t>
      </w:r>
      <w:r w:rsidRPr="00A14236">
        <w:rPr>
          <w:rFonts w:ascii="Traditional Arabic" w:hAnsi="Traditional Arabic"/>
          <w:sz w:val="32"/>
          <w:szCs w:val="32"/>
          <w:rtl/>
        </w:rPr>
        <w:t>.</w:t>
      </w:r>
    </w:p>
  </w:footnote>
  <w:footnote w:id="132">
    <w:p w:rsidR="000D3D21" w:rsidRPr="006D59D2" w:rsidRDefault="000D3D21" w:rsidP="006F08E1">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14236">
        <w:rPr>
          <w:rFonts w:ascii="Traditional Arabic" w:hAnsi="Traditional Arabic"/>
          <w:sz w:val="32"/>
          <w:szCs w:val="32"/>
          <w:rtl/>
        </w:rPr>
        <w:t>الشرح الممتع (9/5).</w:t>
      </w:r>
    </w:p>
  </w:footnote>
  <w:footnote w:id="133">
    <w:p w:rsidR="000D3D21" w:rsidRPr="00E40973"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E40973">
        <w:rPr>
          <w:rFonts w:ascii="Traditional Arabic" w:hAnsi="Traditional Arabic"/>
          <w:sz w:val="32"/>
          <w:szCs w:val="32"/>
          <w:rtl/>
        </w:rPr>
        <w:t xml:space="preserve"> انظر البحر المحيط لمحيط لبدر الدين الزركشي (1/17).</w:t>
      </w:r>
    </w:p>
  </w:footnote>
  <w:footnote w:id="134">
    <w:p w:rsidR="000D3D21" w:rsidRPr="00E40973"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بحر المحيط</w:t>
      </w:r>
      <w:r w:rsidRPr="00E40973">
        <w:rPr>
          <w:rFonts w:ascii="Traditional Arabic" w:hAnsi="Traditional Arabic"/>
          <w:sz w:val="32"/>
          <w:szCs w:val="32"/>
          <w:rtl/>
        </w:rPr>
        <w:t xml:space="preserve"> (1/17).</w:t>
      </w:r>
    </w:p>
  </w:footnote>
  <w:footnote w:id="135">
    <w:p w:rsidR="000D3D21" w:rsidRPr="00E40973"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E40973">
        <w:rPr>
          <w:rFonts w:ascii="Traditional Arabic" w:hAnsi="Traditional Arabic"/>
          <w:sz w:val="32"/>
          <w:szCs w:val="32"/>
          <w:rtl/>
        </w:rPr>
        <w:t xml:space="preserve"> المرجع السابق (1/17).</w:t>
      </w:r>
    </w:p>
  </w:footnote>
  <w:footnote w:id="136">
    <w:p w:rsidR="000D3D21" w:rsidRPr="00E40973"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E40973">
        <w:rPr>
          <w:rFonts w:ascii="Traditional Arabic" w:hAnsi="Traditional Arabic"/>
          <w:sz w:val="32"/>
          <w:szCs w:val="32"/>
          <w:rtl/>
        </w:rPr>
        <w:t xml:space="preserve"> المرجع السابق (1/16).</w:t>
      </w:r>
    </w:p>
  </w:footnote>
  <w:footnote w:id="137">
    <w:p w:rsidR="000D3D21" w:rsidRPr="00E40973"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0973">
        <w:rPr>
          <w:rFonts w:ascii="Traditional Arabic" w:hAnsi="Traditional Arabic"/>
          <w:sz w:val="32"/>
          <w:szCs w:val="32"/>
          <w:rtl/>
        </w:rPr>
        <w:t>فواتح الرحموت (1/9).</w:t>
      </w:r>
    </w:p>
  </w:footnote>
  <w:footnote w:id="138">
    <w:p w:rsidR="000D3D21" w:rsidRPr="00E40973" w:rsidRDefault="000D3D21" w:rsidP="006F08E1">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E40973">
        <w:rPr>
          <w:rFonts w:ascii="Traditional Arabic" w:hAnsi="Traditional Arabic"/>
          <w:sz w:val="32"/>
          <w:szCs w:val="32"/>
          <w:rtl/>
        </w:rPr>
        <w:t xml:space="preserve"> البحر المحيط (1/17).</w:t>
      </w:r>
    </w:p>
  </w:footnote>
  <w:footnote w:id="139">
    <w:p w:rsidR="000D3D21" w:rsidRPr="006D59D2" w:rsidRDefault="000D3D21" w:rsidP="006F08E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الشرح الممتع (9/5</w:t>
      </w:r>
      <w:r w:rsidRPr="00E40973">
        <w:rPr>
          <w:rFonts w:ascii="Traditional Arabic" w:hAnsi="Traditional Arabic"/>
          <w:sz w:val="32"/>
          <w:szCs w:val="32"/>
          <w:rtl/>
        </w:rPr>
        <w:t>).</w:t>
      </w:r>
    </w:p>
  </w:footnote>
  <w:footnote w:id="140">
    <w:p w:rsidR="000D3D21" w:rsidRPr="00F35797" w:rsidRDefault="000D3D21" w:rsidP="006F08E1">
      <w:pPr>
        <w:pStyle w:val="a7"/>
        <w:pageBreakBefore/>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35797">
        <w:rPr>
          <w:rFonts w:ascii="Traditional Arabic" w:hAnsi="Traditional Arabic"/>
          <w:sz w:val="32"/>
          <w:szCs w:val="32"/>
          <w:rtl/>
        </w:rPr>
        <w:t>انظر في هذا التعريف وشرحه</w:t>
      </w:r>
      <w:r>
        <w:rPr>
          <w:rFonts w:ascii="Traditional Arabic" w:hAnsi="Traditional Arabic" w:hint="cs"/>
          <w:sz w:val="32"/>
          <w:szCs w:val="32"/>
          <w:rtl/>
        </w:rPr>
        <w:t>: منهاج الأصول إلى علم الأصول للبيضاوي (51)،</w:t>
      </w:r>
      <w:r w:rsidRPr="00F35797">
        <w:rPr>
          <w:rFonts w:ascii="Traditional Arabic" w:hAnsi="Traditional Arabic"/>
          <w:sz w:val="32"/>
          <w:szCs w:val="32"/>
          <w:rtl/>
        </w:rPr>
        <w:t xml:space="preserve"> </w:t>
      </w:r>
      <w:r>
        <w:rPr>
          <w:rFonts w:ascii="Traditional Arabic" w:hAnsi="Traditional Arabic" w:hint="cs"/>
          <w:sz w:val="32"/>
          <w:szCs w:val="32"/>
          <w:rtl/>
        </w:rPr>
        <w:t>و</w:t>
      </w:r>
      <w:r w:rsidRPr="00F35797">
        <w:rPr>
          <w:rFonts w:ascii="Traditional Arabic" w:hAnsi="Traditional Arabic"/>
          <w:sz w:val="32"/>
          <w:szCs w:val="32"/>
          <w:rtl/>
        </w:rPr>
        <w:t>نهاية</w:t>
      </w:r>
      <w:r>
        <w:rPr>
          <w:rFonts w:ascii="Traditional Arabic" w:hAnsi="Traditional Arabic"/>
          <w:sz w:val="32"/>
          <w:szCs w:val="32"/>
          <w:rtl/>
        </w:rPr>
        <w:t xml:space="preserve"> السول</w:t>
      </w:r>
      <w:r w:rsidRPr="00F35797">
        <w:rPr>
          <w:rFonts w:ascii="Traditional Arabic" w:hAnsi="Traditional Arabic"/>
          <w:sz w:val="32"/>
          <w:szCs w:val="32"/>
          <w:rtl/>
        </w:rPr>
        <w:t xml:space="preserve"> </w:t>
      </w:r>
      <w:r>
        <w:rPr>
          <w:rFonts w:ascii="Traditional Arabic" w:hAnsi="Traditional Arabic" w:hint="cs"/>
          <w:sz w:val="32"/>
          <w:szCs w:val="32"/>
          <w:rtl/>
        </w:rPr>
        <w:t>ل</w:t>
      </w:r>
      <w:r w:rsidRPr="00F35797">
        <w:rPr>
          <w:rFonts w:ascii="Traditional Arabic" w:hAnsi="Traditional Arabic"/>
          <w:sz w:val="32"/>
          <w:szCs w:val="32"/>
          <w:rtl/>
        </w:rPr>
        <w:t>لأسنوي (1/5).</w:t>
      </w:r>
    </w:p>
  </w:footnote>
  <w:footnote w:id="141">
    <w:p w:rsidR="000D3D21" w:rsidRDefault="000D3D21">
      <w:pPr>
        <w:pStyle w:val="a7"/>
        <w:rPr>
          <w:rtl/>
        </w:rPr>
      </w:pPr>
      <w:r w:rsidRPr="00101AB9">
        <w:rPr>
          <w:rStyle w:val="af1"/>
          <w:rFonts w:ascii="Traditional Arabic" w:hAnsi="Traditional Arabic"/>
          <w:sz w:val="32"/>
          <w:szCs w:val="32"/>
          <w:vertAlign w:val="baseline"/>
        </w:rPr>
        <w:footnoteRef/>
      </w:r>
      <w:r w:rsidRPr="00101AB9">
        <w:rPr>
          <w:rStyle w:val="af1"/>
          <w:rFonts w:ascii="Traditional Arabic" w:hAnsi="Traditional Arabic"/>
          <w:sz w:val="32"/>
          <w:szCs w:val="32"/>
          <w:vertAlign w:val="baseline"/>
        </w:rPr>
        <w:t>)</w:t>
      </w:r>
      <w:r w:rsidRPr="00101AB9">
        <w:rPr>
          <w:rStyle w:val="af1"/>
          <w:rFonts w:ascii="Traditional Arabic" w:hAnsi="Traditional Arabic" w:hint="cs"/>
          <w:sz w:val="32"/>
          <w:szCs w:val="32"/>
          <w:vertAlign w:val="baseline"/>
          <w:rtl/>
        </w:rPr>
        <w:t>)</w:t>
      </w:r>
      <w:r>
        <w:rPr>
          <w:rtl/>
        </w:rPr>
        <w:t xml:space="preserve"> </w:t>
      </w:r>
      <w:r w:rsidRPr="00263298">
        <w:rPr>
          <w:rFonts w:hint="cs"/>
          <w:sz w:val="32"/>
          <w:szCs w:val="32"/>
          <w:rtl/>
        </w:rPr>
        <w:t>حاشية العضد على مختصر المنتهى لابن حاجب مع حاشية التفتزاني (1/18).</w:t>
      </w:r>
    </w:p>
  </w:footnote>
  <w:footnote w:id="142">
    <w:p w:rsidR="000D3D21" w:rsidRPr="00634F57" w:rsidRDefault="000D3D21">
      <w:pPr>
        <w:pStyle w:val="a7"/>
        <w:rPr>
          <w:rFonts w:ascii="Traditional Arabic" w:hAnsi="Traditional Arabic"/>
          <w:sz w:val="32"/>
          <w:szCs w:val="32"/>
          <w:rtl/>
        </w:rPr>
      </w:pPr>
      <w:r w:rsidRPr="00634F57">
        <w:rPr>
          <w:rStyle w:val="af1"/>
          <w:rFonts w:ascii="Traditional Arabic" w:hAnsi="Traditional Arabic"/>
          <w:sz w:val="32"/>
          <w:szCs w:val="32"/>
          <w:vertAlign w:val="baseline"/>
        </w:rPr>
        <w:footnoteRef/>
      </w:r>
      <w:r w:rsidRPr="00634F57">
        <w:rPr>
          <w:rFonts w:ascii="Traditional Arabic" w:hAnsi="Traditional Arabic"/>
          <w:sz w:val="32"/>
          <w:szCs w:val="32"/>
        </w:rPr>
        <w:t>)</w:t>
      </w:r>
      <w:r w:rsidRPr="00634F57">
        <w:rPr>
          <w:rFonts w:ascii="Traditional Arabic" w:hAnsi="Traditional Arabic"/>
          <w:sz w:val="32"/>
          <w:szCs w:val="32"/>
          <w:rtl/>
        </w:rPr>
        <w:t>)</w:t>
      </w:r>
      <w:r>
        <w:rPr>
          <w:rFonts w:ascii="Traditional Arabic" w:hAnsi="Traditional Arabic" w:hint="cs"/>
          <w:sz w:val="32"/>
          <w:szCs w:val="32"/>
          <w:rtl/>
        </w:rPr>
        <w:t xml:space="preserve"> القواعد الكلية والضوابط الفقهية لمحمد عثمان شبير (27).وانظر المفصل في القواعد الفقهية ليعقوب بن عبد الوهاب الباحسين (43).</w:t>
      </w:r>
    </w:p>
  </w:footnote>
  <w:footnote w:id="143">
    <w:p w:rsidR="000D3D21" w:rsidRPr="00A57165" w:rsidRDefault="000D3D21">
      <w:pPr>
        <w:pStyle w:val="a7"/>
        <w:rPr>
          <w:rFonts w:ascii="Traditional Arabic" w:hAnsi="Traditional Arabic"/>
          <w:sz w:val="32"/>
          <w:szCs w:val="32"/>
          <w:rtl/>
        </w:rPr>
      </w:pPr>
      <w:r w:rsidRPr="00A57165">
        <w:rPr>
          <w:rStyle w:val="af1"/>
          <w:rFonts w:ascii="Traditional Arabic" w:hAnsi="Traditional Arabic"/>
          <w:sz w:val="32"/>
          <w:szCs w:val="32"/>
          <w:vertAlign w:val="baseline"/>
        </w:rPr>
        <w:footnoteRef/>
      </w:r>
      <w:r w:rsidRPr="00A57165">
        <w:rPr>
          <w:rFonts w:ascii="Traditional Arabic" w:hAnsi="Traditional Arabic"/>
          <w:sz w:val="32"/>
          <w:szCs w:val="32"/>
        </w:rPr>
        <w:t>)</w:t>
      </w:r>
      <w:r w:rsidRPr="00A57165">
        <w:rPr>
          <w:rFonts w:ascii="Traditional Arabic" w:hAnsi="Traditional Arabic"/>
          <w:sz w:val="32"/>
          <w:szCs w:val="32"/>
          <w:rtl/>
        </w:rPr>
        <w:t xml:space="preserve">) </w:t>
      </w:r>
      <w:r>
        <w:rPr>
          <w:rFonts w:ascii="Traditional Arabic" w:hAnsi="Traditional Arabic" w:hint="cs"/>
          <w:sz w:val="32"/>
          <w:szCs w:val="32"/>
          <w:rtl/>
        </w:rPr>
        <w:t>انظر الوجيز في إيضاح القواعد الكلية لمحمد صدقي البورنو (29).</w:t>
      </w:r>
    </w:p>
  </w:footnote>
  <w:footnote w:id="144">
    <w:p w:rsidR="000D3D21" w:rsidRPr="006960A7" w:rsidRDefault="000D3D21">
      <w:pPr>
        <w:pStyle w:val="a7"/>
        <w:rPr>
          <w:sz w:val="32"/>
          <w:szCs w:val="32"/>
          <w:rtl/>
        </w:rPr>
      </w:pPr>
      <w:r w:rsidRPr="006960A7">
        <w:rPr>
          <w:rStyle w:val="af1"/>
          <w:rFonts w:ascii="Traditional Arabic" w:hAnsi="Traditional Arabic"/>
          <w:sz w:val="32"/>
          <w:szCs w:val="32"/>
          <w:vertAlign w:val="baseline"/>
        </w:rPr>
        <w:footnoteRef/>
      </w:r>
      <w:r w:rsidRPr="006960A7">
        <w:rPr>
          <w:rStyle w:val="af1"/>
          <w:rFonts w:ascii="Traditional Arabic" w:hAnsi="Traditional Arabic"/>
          <w:sz w:val="32"/>
          <w:szCs w:val="32"/>
          <w:vertAlign w:val="baseline"/>
        </w:rPr>
        <w:t>)</w:t>
      </w:r>
      <w:r w:rsidRPr="006960A7">
        <w:rPr>
          <w:rStyle w:val="af1"/>
          <w:rFonts w:ascii="Traditional Arabic" w:hAnsi="Traditional Arabic" w:hint="cs"/>
          <w:sz w:val="32"/>
          <w:szCs w:val="32"/>
          <w:vertAlign w:val="baseline"/>
          <w:rtl/>
        </w:rPr>
        <w:t>)</w:t>
      </w:r>
      <w:r>
        <w:rPr>
          <w:rFonts w:ascii="Traditional Arabic" w:hAnsi="Traditional Arabic" w:hint="cs"/>
          <w:sz w:val="32"/>
          <w:szCs w:val="32"/>
          <w:rtl/>
        </w:rPr>
        <w:t xml:space="preserve"> القواعد الكلية والضوابط الفقهية في الشريعة الإسلامية لمحمد عثمان شبير (23)، وانظر القواعد الفقهية للندوي (52).</w:t>
      </w:r>
    </w:p>
  </w:footnote>
  <w:footnote w:id="145">
    <w:p w:rsidR="000D3D21" w:rsidRPr="005E5825" w:rsidRDefault="000D3D21" w:rsidP="006F08E1">
      <w:pPr>
        <w:pStyle w:val="a7"/>
        <w:pageBreakBefore/>
        <w:rPr>
          <w:rFonts w:ascii="Tahoma" w:hAnsi="Tahoma"/>
          <w:b/>
          <w:bCs/>
          <w:sz w:val="32"/>
          <w:szCs w:val="32"/>
        </w:rPr>
      </w:pPr>
      <w:r w:rsidRPr="005E5825">
        <w:rPr>
          <w:rFonts w:ascii="Tahoma" w:hAnsi="Tahoma"/>
          <w:sz w:val="32"/>
          <w:szCs w:val="32"/>
          <w:rtl/>
        </w:rPr>
        <w:t>(</w:t>
      </w:r>
      <w:r w:rsidRPr="005E5825">
        <w:rPr>
          <w:rStyle w:val="af1"/>
          <w:rFonts w:ascii="Tahoma" w:hAnsi="Tahoma"/>
          <w:sz w:val="32"/>
          <w:szCs w:val="32"/>
          <w:vertAlign w:val="baseline"/>
          <w:rtl/>
        </w:rPr>
        <w:footnoteRef/>
      </w:r>
      <w:r w:rsidRPr="005E5825">
        <w:rPr>
          <w:rFonts w:ascii="Tahoma" w:hAnsi="Tahoma"/>
          <w:sz w:val="32"/>
          <w:szCs w:val="32"/>
          <w:rtl/>
        </w:rPr>
        <w:t>)</w:t>
      </w:r>
      <w:r>
        <w:rPr>
          <w:rFonts w:ascii="Tahoma" w:hAnsi="Tahoma" w:hint="cs"/>
          <w:sz w:val="32"/>
          <w:szCs w:val="32"/>
          <w:rtl/>
        </w:rPr>
        <w:t xml:space="preserve"> </w:t>
      </w:r>
      <w:r w:rsidRPr="005E5825">
        <w:rPr>
          <w:rFonts w:ascii="Tahoma" w:hAnsi="Tahoma" w:hint="cs"/>
          <w:sz w:val="32"/>
          <w:szCs w:val="32"/>
          <w:rtl/>
        </w:rPr>
        <w:t>انظر القواعد الفقهية للندوي (68)، وموسوعة القواعد الفقهية للبورنو (1/26)، والقواعد والضوابط الفقهية للمعاملات المالية عند ابن تيمية لعبد السلام الحصين (1/63-64).</w:t>
      </w:r>
    </w:p>
  </w:footnote>
  <w:footnote w:id="146">
    <w:p w:rsidR="000D3D21" w:rsidRPr="00587120" w:rsidRDefault="000D3D21" w:rsidP="00D77425">
      <w:pPr>
        <w:pStyle w:val="a7"/>
        <w:pageBreakBefore/>
        <w:rPr>
          <w:rFonts w:ascii="Tahoma" w:hAnsi="Tahoma"/>
          <w:b/>
          <w:bCs/>
        </w:rPr>
      </w:pPr>
      <w:r w:rsidRPr="005E5825">
        <w:rPr>
          <w:rFonts w:ascii="Tahoma" w:hAnsi="Tahoma"/>
          <w:sz w:val="32"/>
          <w:szCs w:val="32"/>
          <w:rtl/>
        </w:rPr>
        <w:t>(</w:t>
      </w:r>
      <w:r w:rsidRPr="005E5825">
        <w:rPr>
          <w:rStyle w:val="af1"/>
          <w:rFonts w:ascii="Tahoma" w:hAnsi="Tahoma"/>
          <w:sz w:val="32"/>
          <w:szCs w:val="32"/>
          <w:vertAlign w:val="baseline"/>
          <w:rtl/>
        </w:rPr>
        <w:footnoteRef/>
      </w:r>
      <w:r w:rsidRPr="005E5825">
        <w:rPr>
          <w:rFonts w:ascii="Tahoma" w:hAnsi="Tahoma"/>
          <w:sz w:val="32"/>
          <w:szCs w:val="32"/>
          <w:rtl/>
        </w:rPr>
        <w:t>)</w:t>
      </w:r>
      <w:r>
        <w:rPr>
          <w:rFonts w:ascii="Tahoma" w:hAnsi="Tahoma" w:hint="cs"/>
          <w:sz w:val="32"/>
          <w:szCs w:val="32"/>
          <w:rtl/>
        </w:rPr>
        <w:t xml:space="preserve"> </w:t>
      </w:r>
      <w:r w:rsidRPr="005E5825">
        <w:rPr>
          <w:rFonts w:ascii="Tahoma" w:hAnsi="Tahoma" w:hint="cs"/>
          <w:sz w:val="32"/>
          <w:szCs w:val="32"/>
          <w:rtl/>
        </w:rPr>
        <w:t>انظر سد الذرائع في الشريعة الإسلامية ل</w:t>
      </w:r>
      <w:r>
        <w:rPr>
          <w:rFonts w:ascii="Tahoma" w:hAnsi="Tahoma" w:hint="cs"/>
          <w:sz w:val="32"/>
          <w:szCs w:val="32"/>
          <w:rtl/>
        </w:rPr>
        <w:t xml:space="preserve">محمد </w:t>
      </w:r>
      <w:r w:rsidRPr="005E5825">
        <w:rPr>
          <w:rFonts w:ascii="Tahoma" w:hAnsi="Tahoma" w:hint="cs"/>
          <w:sz w:val="32"/>
          <w:szCs w:val="32"/>
          <w:rtl/>
        </w:rPr>
        <w:t>هشام البرهاني (160-162)، والقواعد والضوابط الفقهية للمعاملات المالية عند ابن تيمية (1/64).</w:t>
      </w:r>
    </w:p>
  </w:footnote>
  <w:footnote w:id="147">
    <w:p w:rsidR="000D3D21" w:rsidRPr="00AE5091" w:rsidRDefault="000D3D21" w:rsidP="006F08E1">
      <w:pPr>
        <w:pStyle w:val="a7"/>
        <w:pageBreakBefore/>
        <w:rPr>
          <w:rFonts w:ascii="Tahoma" w:hAnsi="Tahoma"/>
          <w:sz w:val="32"/>
          <w:szCs w:val="32"/>
          <w:rtl/>
        </w:rPr>
      </w:pPr>
      <w:r w:rsidRPr="00AE5091">
        <w:rPr>
          <w:rFonts w:ascii="Tahoma" w:hAnsi="Tahoma"/>
          <w:sz w:val="32"/>
          <w:szCs w:val="32"/>
          <w:rtl/>
        </w:rPr>
        <w:t>(</w:t>
      </w:r>
      <w:r w:rsidRPr="00AE5091">
        <w:rPr>
          <w:rStyle w:val="af1"/>
          <w:rFonts w:ascii="Tahoma" w:hAnsi="Tahoma"/>
          <w:sz w:val="32"/>
          <w:szCs w:val="32"/>
          <w:vertAlign w:val="baseline"/>
          <w:rtl/>
        </w:rPr>
        <w:footnoteRef/>
      </w:r>
      <w:r w:rsidRPr="00AE5091">
        <w:rPr>
          <w:rFonts w:ascii="Tahoma" w:hAnsi="Tahoma"/>
          <w:sz w:val="32"/>
          <w:szCs w:val="32"/>
          <w:rtl/>
        </w:rPr>
        <w:t>)</w:t>
      </w:r>
      <w:r w:rsidRPr="00AE5091">
        <w:rPr>
          <w:rFonts w:ascii="Tahoma" w:hAnsi="Tahoma" w:hint="cs"/>
          <w:sz w:val="32"/>
          <w:szCs w:val="32"/>
          <w:rtl/>
        </w:rPr>
        <w:t xml:space="preserve"> انظر القواعد الفقهية للندوي (69)، وسد الذرائع للبرهاني (159)، والقواعد والضوابط الفقهية للمعاملات المالية عند ابن تيمية (1/65-66).</w:t>
      </w:r>
    </w:p>
    <w:p w:rsidR="000D3D21" w:rsidRPr="00525843" w:rsidRDefault="000D3D21" w:rsidP="002B2749">
      <w:pPr>
        <w:pStyle w:val="a7"/>
        <w:pageBreakBefore/>
        <w:rPr>
          <w:rFonts w:ascii="Tahoma" w:hAnsi="Tahoma"/>
          <w:sz w:val="32"/>
          <w:szCs w:val="32"/>
        </w:rPr>
      </w:pPr>
      <w:r w:rsidRPr="00525843">
        <w:rPr>
          <w:rFonts w:ascii="Tahoma" w:hAnsi="Tahoma" w:hint="cs"/>
          <w:b/>
          <w:bCs/>
          <w:sz w:val="32"/>
          <w:szCs w:val="32"/>
          <w:rtl/>
        </w:rPr>
        <w:t xml:space="preserve">  </w:t>
      </w:r>
      <w:r>
        <w:rPr>
          <w:rFonts w:ascii="Tahoma" w:hAnsi="Tahoma" w:hint="cs"/>
          <w:b/>
          <w:bCs/>
          <w:sz w:val="32"/>
          <w:szCs w:val="32"/>
          <w:rtl/>
        </w:rPr>
        <w:t xml:space="preserve">   </w:t>
      </w:r>
      <w:r w:rsidRPr="00525843">
        <w:rPr>
          <w:rFonts w:ascii="Tahoma" w:hAnsi="Tahoma" w:hint="cs"/>
          <w:b/>
          <w:bCs/>
          <w:sz w:val="32"/>
          <w:szCs w:val="32"/>
          <w:rtl/>
        </w:rPr>
        <w:t>تنبيه:</w:t>
      </w:r>
      <w:r>
        <w:rPr>
          <w:rFonts w:ascii="Tahoma" w:hAnsi="Tahoma" w:hint="cs"/>
          <w:b/>
          <w:bCs/>
          <w:sz w:val="32"/>
          <w:szCs w:val="32"/>
          <w:rtl/>
        </w:rPr>
        <w:t xml:space="preserve"> </w:t>
      </w:r>
      <w:r>
        <w:rPr>
          <w:rFonts w:ascii="Tahoma" w:hAnsi="Tahoma" w:hint="cs"/>
          <w:sz w:val="32"/>
          <w:szCs w:val="32"/>
          <w:rtl/>
        </w:rPr>
        <w:t>مما كُتب في هذا الموضوع القواعد المشتركة بين أصول الفقه والقواعد الفقهية لشيخنا سليمان بن سليم الله الرحيلي، وهي رسالة تقدم بها الشيخ لنيل درجة الدكتوراه لقسم أصول الفقه بكلية الشريعة بالجامعة الإسلامية بالمدينة المنورة.</w:t>
      </w:r>
    </w:p>
  </w:footnote>
  <w:footnote w:id="148">
    <w:p w:rsidR="000D3D21" w:rsidRPr="002B2749" w:rsidRDefault="000D3D21">
      <w:pPr>
        <w:pStyle w:val="a7"/>
        <w:rPr>
          <w:rFonts w:ascii="Traditional Arabic" w:hAnsi="Traditional Arabic"/>
          <w:sz w:val="32"/>
          <w:szCs w:val="32"/>
        </w:rPr>
      </w:pPr>
      <w:r w:rsidRPr="002B2749">
        <w:rPr>
          <w:rStyle w:val="af1"/>
          <w:rFonts w:ascii="Traditional Arabic" w:hAnsi="Traditional Arabic"/>
          <w:sz w:val="32"/>
          <w:szCs w:val="32"/>
          <w:vertAlign w:val="baseline"/>
        </w:rPr>
        <w:footnoteRef/>
      </w:r>
      <w:r w:rsidRPr="002B2749">
        <w:rPr>
          <w:rFonts w:ascii="Traditional Arabic" w:hAnsi="Traditional Arabic"/>
          <w:sz w:val="32"/>
          <w:szCs w:val="32"/>
        </w:rPr>
        <w:t>)</w:t>
      </w:r>
      <w:r w:rsidRPr="002B2749">
        <w:rPr>
          <w:rFonts w:ascii="Traditional Arabic" w:hAnsi="Traditional Arabic"/>
          <w:sz w:val="32"/>
          <w:szCs w:val="32"/>
          <w:rtl/>
        </w:rPr>
        <w:t>)</w:t>
      </w:r>
      <w:r>
        <w:rPr>
          <w:rFonts w:ascii="Traditional Arabic" w:hAnsi="Traditional Arabic" w:hint="cs"/>
          <w:sz w:val="32"/>
          <w:szCs w:val="32"/>
          <w:rtl/>
        </w:rPr>
        <w:t xml:space="preserve"> </w:t>
      </w:r>
      <w:r w:rsidRPr="004B4234">
        <w:rPr>
          <w:rFonts w:ascii="Tahoma" w:hAnsi="Tahoma" w:hint="cs"/>
          <w:sz w:val="32"/>
          <w:szCs w:val="32"/>
          <w:rtl/>
        </w:rPr>
        <w:t>انظر: القواعد الفقهية للندوي (70)</w:t>
      </w:r>
      <w:r>
        <w:rPr>
          <w:rFonts w:ascii="Tahoma" w:hAnsi="Tahoma" w:hint="cs"/>
          <w:sz w:val="32"/>
          <w:szCs w:val="32"/>
          <w:rtl/>
        </w:rPr>
        <w:t>، والوجيز للبورنو (21)</w:t>
      </w:r>
      <w:r w:rsidRPr="004B4234">
        <w:rPr>
          <w:rFonts w:ascii="Tahoma" w:hAnsi="Tahoma" w:hint="cs"/>
          <w:sz w:val="32"/>
          <w:szCs w:val="32"/>
          <w:rtl/>
        </w:rPr>
        <w:t>.</w:t>
      </w:r>
    </w:p>
  </w:footnote>
  <w:footnote w:id="149">
    <w:p w:rsidR="000D3D21" w:rsidRPr="008A4295"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A4295">
        <w:rPr>
          <w:rFonts w:ascii="Traditional Arabic" w:hAnsi="Traditional Arabic"/>
          <w:sz w:val="32"/>
          <w:szCs w:val="32"/>
          <w:rtl/>
        </w:rPr>
        <w:tab/>
        <w:t>كتاب العلم (45)</w:t>
      </w:r>
      <w:r>
        <w:rPr>
          <w:rFonts w:ascii="Traditional Arabic" w:hAnsi="Traditional Arabic"/>
          <w:sz w:val="32"/>
          <w:szCs w:val="32"/>
          <w:rtl/>
        </w:rPr>
        <w:t>.</w:t>
      </w:r>
    </w:p>
  </w:footnote>
  <w:footnote w:id="150">
    <w:p w:rsidR="000D3D21" w:rsidRPr="006135FE" w:rsidRDefault="000D3D21">
      <w:pPr>
        <w:pStyle w:val="a7"/>
        <w:rPr>
          <w:rFonts w:ascii="Traditional Arabic" w:hAnsi="Traditional Arabic"/>
          <w:sz w:val="32"/>
          <w:szCs w:val="32"/>
          <w:rtl/>
        </w:rPr>
      </w:pPr>
      <w:r w:rsidRPr="006135FE">
        <w:rPr>
          <w:rStyle w:val="af1"/>
          <w:rFonts w:ascii="Traditional Arabic" w:hAnsi="Traditional Arabic"/>
          <w:sz w:val="32"/>
          <w:szCs w:val="32"/>
          <w:vertAlign w:val="baseline"/>
        </w:rPr>
        <w:footnoteRef/>
      </w:r>
      <w:r w:rsidRPr="006135FE">
        <w:rPr>
          <w:rFonts w:ascii="Traditional Arabic" w:hAnsi="Traditional Arabic"/>
          <w:sz w:val="32"/>
          <w:szCs w:val="32"/>
        </w:rPr>
        <w:t>)</w:t>
      </w:r>
      <w:r w:rsidRPr="006135FE">
        <w:rPr>
          <w:rFonts w:ascii="Traditional Arabic" w:hAnsi="Traditional Arabic"/>
          <w:sz w:val="32"/>
          <w:szCs w:val="32"/>
          <w:rtl/>
        </w:rPr>
        <w:t xml:space="preserve">) </w:t>
      </w:r>
      <w:r>
        <w:rPr>
          <w:rFonts w:ascii="Traditional Arabic" w:hAnsi="Traditional Arabic" w:hint="cs"/>
          <w:sz w:val="32"/>
          <w:szCs w:val="32"/>
          <w:rtl/>
        </w:rPr>
        <w:t>القواعد والضوابط الفقهية عند الشيخ ابن عثيمين في الشرح الممتع من كتاب العبادات (1/149).</w:t>
      </w:r>
    </w:p>
  </w:footnote>
  <w:footnote w:id="151">
    <w:p w:rsidR="000D3D21" w:rsidRPr="008262F0" w:rsidRDefault="000D3D21" w:rsidP="0064761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262F0">
        <w:rPr>
          <w:rFonts w:ascii="Traditional Arabic" w:hAnsi="Traditional Arabic"/>
          <w:sz w:val="32"/>
          <w:szCs w:val="32"/>
          <w:rtl/>
        </w:rPr>
        <w:tab/>
        <w:t>الشرح الممتع (4/337)</w:t>
      </w:r>
      <w:r>
        <w:rPr>
          <w:rFonts w:ascii="Traditional Arabic" w:hAnsi="Traditional Arabic"/>
          <w:sz w:val="32"/>
          <w:szCs w:val="32"/>
          <w:rtl/>
        </w:rPr>
        <w:t>.</w:t>
      </w:r>
    </w:p>
  </w:footnote>
  <w:footnote w:id="152">
    <w:p w:rsidR="000D3D21" w:rsidRPr="008262F0" w:rsidRDefault="000D3D21" w:rsidP="00647611">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262F0">
        <w:rPr>
          <w:rFonts w:ascii="Traditional Arabic" w:hAnsi="Traditional Arabic"/>
          <w:sz w:val="32"/>
          <w:szCs w:val="32"/>
          <w:rtl/>
        </w:rPr>
        <w:tab/>
        <w:t>الشرح الممتع (4/324)</w:t>
      </w:r>
      <w:r>
        <w:rPr>
          <w:rFonts w:ascii="Traditional Arabic" w:hAnsi="Traditional Arabic"/>
          <w:sz w:val="32"/>
          <w:szCs w:val="32"/>
          <w:rtl/>
        </w:rPr>
        <w:t>.</w:t>
      </w:r>
    </w:p>
    <w:p w:rsidR="000D3D21" w:rsidRPr="008262F0" w:rsidRDefault="000D3D21" w:rsidP="00647611">
      <w:pPr>
        <w:pStyle w:val="a7"/>
        <w:spacing w:line="440" w:lineRule="exact"/>
        <w:ind w:left="510" w:hanging="510"/>
        <w:jc w:val="lowKashida"/>
        <w:rPr>
          <w:rFonts w:ascii="Traditional Arabic" w:hAnsi="Traditional Arabic"/>
          <w:b/>
          <w:bCs/>
          <w:sz w:val="32"/>
          <w:szCs w:val="32"/>
        </w:rPr>
      </w:pPr>
      <w:r w:rsidRPr="008262F0">
        <w:rPr>
          <w:rFonts w:ascii="Traditional Arabic" w:hAnsi="Traditional Arabic"/>
          <w:sz w:val="32"/>
          <w:szCs w:val="32"/>
          <w:rtl/>
        </w:rPr>
        <w:tab/>
        <w:t>وللاستزادة ان</w:t>
      </w:r>
      <w:r>
        <w:rPr>
          <w:rFonts w:ascii="Traditional Arabic" w:hAnsi="Traditional Arabic"/>
          <w:sz w:val="32"/>
          <w:szCs w:val="32"/>
          <w:rtl/>
        </w:rPr>
        <w:t>ظر : الم</w:t>
      </w:r>
      <w:r>
        <w:rPr>
          <w:rFonts w:ascii="Traditional Arabic" w:hAnsi="Traditional Arabic" w:hint="cs"/>
          <w:sz w:val="32"/>
          <w:szCs w:val="32"/>
          <w:rtl/>
        </w:rPr>
        <w:t>رجع</w:t>
      </w:r>
      <w:r w:rsidRPr="008262F0">
        <w:rPr>
          <w:rFonts w:ascii="Traditional Arabic" w:hAnsi="Traditional Arabic"/>
          <w:sz w:val="32"/>
          <w:szCs w:val="32"/>
          <w:rtl/>
        </w:rPr>
        <w:t xml:space="preserve"> السابق (3/117) (4/337) (6/385)</w:t>
      </w:r>
      <w:r>
        <w:rPr>
          <w:rFonts w:ascii="Traditional Arabic" w:hAnsi="Traditional Arabic"/>
          <w:sz w:val="32"/>
          <w:szCs w:val="32"/>
          <w:rtl/>
        </w:rPr>
        <w:t>.</w:t>
      </w:r>
    </w:p>
  </w:footnote>
  <w:footnote w:id="153">
    <w:p w:rsidR="000D3D21" w:rsidRPr="000B2D01" w:rsidRDefault="000D3D21" w:rsidP="006B4304">
      <w:pPr>
        <w:pStyle w:val="a7"/>
        <w:rPr>
          <w:rFonts w:ascii="Traditional Arabic" w:hAnsi="Traditional Arabic"/>
          <w:sz w:val="32"/>
          <w:szCs w:val="32"/>
          <w:rtl/>
        </w:rPr>
      </w:pPr>
      <w:r w:rsidRPr="000B2D01">
        <w:rPr>
          <w:rStyle w:val="af1"/>
          <w:rFonts w:ascii="Traditional Arabic" w:hAnsi="Traditional Arabic"/>
          <w:sz w:val="32"/>
          <w:szCs w:val="32"/>
          <w:vertAlign w:val="baseline"/>
        </w:rPr>
        <w:footnoteRef/>
      </w:r>
      <w:r w:rsidRPr="000B2D01">
        <w:rPr>
          <w:rFonts w:ascii="Traditional Arabic" w:hAnsi="Traditional Arabic"/>
          <w:sz w:val="32"/>
          <w:szCs w:val="32"/>
        </w:rPr>
        <w:t>)</w:t>
      </w:r>
      <w:r w:rsidRPr="000B2D01">
        <w:rPr>
          <w:rFonts w:ascii="Traditional Arabic" w:hAnsi="Traditional Arabic"/>
          <w:sz w:val="32"/>
          <w:szCs w:val="32"/>
          <w:rtl/>
        </w:rPr>
        <w:t xml:space="preserve">) </w:t>
      </w:r>
      <w:r w:rsidRPr="000B2D01">
        <w:rPr>
          <w:rFonts w:ascii="Traditional Arabic" w:hAnsi="Traditional Arabic"/>
          <w:noProof w:val="0"/>
          <w:sz w:val="32"/>
          <w:szCs w:val="32"/>
          <w:rtl/>
          <w:lang w:eastAsia="en-US"/>
        </w:rPr>
        <w:t xml:space="preserve">أخرجه مسلم في </w:t>
      </w:r>
      <w:r>
        <w:rPr>
          <w:rFonts w:ascii="Traditional Arabic" w:hAnsi="Traditional Arabic" w:hint="cs"/>
          <w:noProof w:val="0"/>
          <w:sz w:val="32"/>
          <w:szCs w:val="32"/>
          <w:rtl/>
          <w:lang w:eastAsia="en-US"/>
        </w:rPr>
        <w:t xml:space="preserve">كتاب </w:t>
      </w:r>
      <w:r>
        <w:rPr>
          <w:rFonts w:ascii="Traditional Arabic" w:hAnsi="Traditional Arabic"/>
          <w:noProof w:val="0"/>
          <w:sz w:val="32"/>
          <w:szCs w:val="32"/>
          <w:rtl/>
          <w:lang w:eastAsia="en-US"/>
        </w:rPr>
        <w:t>الإيمان</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 باب بيان</w:t>
      </w:r>
      <w:r>
        <w:rPr>
          <w:rFonts w:ascii="Traditional Arabic" w:hAnsi="Traditional Arabic" w:hint="cs"/>
          <w:noProof w:val="0"/>
          <w:sz w:val="32"/>
          <w:szCs w:val="32"/>
          <w:rtl/>
          <w:lang w:eastAsia="en-US"/>
        </w:rPr>
        <w:t xml:space="preserve"> قوله تعالى: </w:t>
      </w:r>
      <w:r w:rsidRPr="006B4304">
        <w:rPr>
          <w:rFonts w:ascii="QCF_BSML" w:hAnsi="QCF_BSML" w:cs="QCF_BSML"/>
          <w:noProof w:val="0"/>
          <w:sz w:val="32"/>
          <w:szCs w:val="32"/>
          <w:rtl/>
          <w:lang w:eastAsia="en-US"/>
        </w:rPr>
        <w:t xml:space="preserve">ﭽ </w:t>
      </w:r>
      <w:r w:rsidRPr="006B4304">
        <w:rPr>
          <w:rFonts w:ascii="QCF_P049" w:hAnsi="QCF_P049" w:cs="QCF_P049"/>
          <w:noProof w:val="0"/>
          <w:sz w:val="32"/>
          <w:szCs w:val="32"/>
          <w:rtl/>
          <w:lang w:eastAsia="en-US"/>
        </w:rPr>
        <w:t xml:space="preserve">ﭿ  ﮀ  ﮁ  ﮂ   ﮃ  ﮄ    ﮅ   </w:t>
      </w:r>
      <w:r w:rsidRPr="006B4304">
        <w:rPr>
          <w:rFonts w:ascii="QCF_BSML" w:hAnsi="QCF_BSML" w:cs="QCF_BSML"/>
          <w:noProof w:val="0"/>
          <w:sz w:val="32"/>
          <w:szCs w:val="32"/>
          <w:rtl/>
          <w:lang w:eastAsia="en-US"/>
        </w:rPr>
        <w:t>ﭼ</w:t>
      </w:r>
      <w:r>
        <w:rPr>
          <w:rFonts w:ascii="Arial" w:hAnsi="Arial" w:cs="Arial"/>
          <w:noProof w:val="0"/>
          <w:sz w:val="18"/>
          <w:szCs w:val="18"/>
          <w:rtl/>
          <w:lang w:eastAsia="en-US"/>
        </w:rPr>
        <w:t xml:space="preserve"> </w:t>
      </w:r>
      <w:r>
        <w:rPr>
          <w:rFonts w:ascii="Traditional Arabic" w:hAnsi="Traditional Arabic" w:hint="cs"/>
          <w:noProof w:val="0"/>
          <w:color w:val="auto"/>
          <w:sz w:val="32"/>
          <w:szCs w:val="32"/>
          <w:rtl/>
          <w:lang w:eastAsia="en-US"/>
        </w:rPr>
        <w:t>[</w:t>
      </w:r>
      <w:r w:rsidRPr="006B4304">
        <w:rPr>
          <w:rFonts w:ascii="Traditional Arabic" w:hAnsi="Traditional Arabic"/>
          <w:noProof w:val="0"/>
          <w:color w:val="auto"/>
          <w:sz w:val="32"/>
          <w:szCs w:val="32"/>
          <w:rtl/>
          <w:lang w:eastAsia="en-US"/>
        </w:rPr>
        <w:t>البقرة: ٢٨٤</w:t>
      </w:r>
      <w:r>
        <w:rPr>
          <w:rFonts w:ascii="Traditional Arabic" w:hAnsi="Traditional Arabic" w:hint="cs"/>
          <w:noProof w:val="0"/>
          <w:color w:val="auto"/>
          <w:sz w:val="32"/>
          <w:szCs w:val="32"/>
          <w:rtl/>
          <w:lang w:eastAsia="en-US"/>
        </w:rPr>
        <w:t>]</w:t>
      </w:r>
      <w:r>
        <w:rPr>
          <w:rFonts w:ascii="Traditional Arabic" w:hAnsi="Traditional Arabic" w:hint="cs"/>
          <w:noProof w:val="0"/>
          <w:sz w:val="32"/>
          <w:szCs w:val="32"/>
          <w:rtl/>
          <w:lang w:eastAsia="en-US"/>
        </w:rPr>
        <w:t>،</w:t>
      </w:r>
      <w:r w:rsidRPr="000B2D01">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 xml:space="preserve">حديث </w:t>
      </w:r>
      <w:r w:rsidRPr="000B2D01">
        <w:rPr>
          <w:rFonts w:ascii="Traditional Arabic" w:hAnsi="Traditional Arabic"/>
          <w:noProof w:val="0"/>
          <w:sz w:val="32"/>
          <w:szCs w:val="32"/>
          <w:rtl/>
          <w:lang w:eastAsia="en-US"/>
        </w:rPr>
        <w:t xml:space="preserve">(126) عن ابن عباس </w:t>
      </w:r>
      <w:r>
        <w:rPr>
          <w:rFonts w:ascii="Traditional Arabic" w:hAnsi="Traditional Arabic" w:hint="cs"/>
          <w:noProof w:val="0"/>
          <w:sz w:val="32"/>
          <w:szCs w:val="32"/>
          <w:rtl/>
          <w:lang w:eastAsia="en-US"/>
        </w:rPr>
        <w:t>_</w:t>
      </w:r>
      <w:r w:rsidRPr="000B2D01">
        <w:rPr>
          <w:rFonts w:ascii="Traditional Arabic" w:hAnsi="Traditional Arabic"/>
          <w:noProof w:val="0"/>
          <w:sz w:val="32"/>
          <w:szCs w:val="32"/>
          <w:rtl/>
          <w:lang w:eastAsia="en-US"/>
        </w:rPr>
        <w:t>رضي الله عنهما</w:t>
      </w:r>
      <w:r>
        <w:rPr>
          <w:rFonts w:ascii="Traditional Arabic" w:hAnsi="Traditional Arabic" w:hint="cs"/>
          <w:noProof w:val="0"/>
          <w:sz w:val="32"/>
          <w:szCs w:val="32"/>
          <w:rtl/>
          <w:lang w:eastAsia="en-US"/>
        </w:rPr>
        <w:t>_</w:t>
      </w:r>
      <w:r w:rsidRPr="000B2D01">
        <w:rPr>
          <w:rFonts w:ascii="Traditional Arabic" w:hAnsi="Traditional Arabic"/>
          <w:noProof w:val="0"/>
          <w:sz w:val="32"/>
          <w:szCs w:val="32"/>
          <w:rtl/>
          <w:lang w:eastAsia="en-US"/>
        </w:rPr>
        <w:t>.</w:t>
      </w:r>
    </w:p>
  </w:footnote>
  <w:footnote w:id="154">
    <w:p w:rsidR="000D3D21" w:rsidRPr="000B2D01" w:rsidRDefault="000D3D21">
      <w:pPr>
        <w:pStyle w:val="a7"/>
        <w:rPr>
          <w:rFonts w:ascii="Traditional Arabic" w:hAnsi="Traditional Arabic"/>
          <w:sz w:val="32"/>
          <w:szCs w:val="32"/>
          <w:rtl/>
        </w:rPr>
      </w:pPr>
      <w:r w:rsidRPr="000B2D01">
        <w:rPr>
          <w:rStyle w:val="af1"/>
          <w:rFonts w:ascii="Traditional Arabic" w:hAnsi="Traditional Arabic"/>
          <w:sz w:val="32"/>
          <w:szCs w:val="32"/>
          <w:vertAlign w:val="baseline"/>
        </w:rPr>
        <w:footnoteRef/>
      </w:r>
      <w:r w:rsidRPr="000B2D01">
        <w:rPr>
          <w:rFonts w:ascii="Traditional Arabic" w:hAnsi="Traditional Arabic"/>
          <w:sz w:val="32"/>
          <w:szCs w:val="32"/>
        </w:rPr>
        <w:t>)</w:t>
      </w:r>
      <w:r w:rsidRPr="000B2D01">
        <w:rPr>
          <w:rFonts w:ascii="Traditional Arabic" w:hAnsi="Traditional Arabic"/>
          <w:sz w:val="32"/>
          <w:szCs w:val="32"/>
          <w:rtl/>
        </w:rPr>
        <w:t xml:space="preserve">) </w:t>
      </w:r>
      <w:r>
        <w:rPr>
          <w:rFonts w:ascii="Traditional Arabic" w:hAnsi="Traditional Arabic" w:hint="cs"/>
          <w:sz w:val="32"/>
          <w:szCs w:val="32"/>
          <w:rtl/>
        </w:rPr>
        <w:t>المرجع السابق (13/161).</w:t>
      </w:r>
    </w:p>
  </w:footnote>
  <w:footnote w:id="155">
    <w:p w:rsidR="000D3D21" w:rsidRPr="006B4304" w:rsidRDefault="000D3D21">
      <w:pPr>
        <w:pStyle w:val="a7"/>
        <w:rPr>
          <w:rFonts w:ascii="Traditional Arabic" w:hAnsi="Traditional Arabic"/>
          <w:sz w:val="32"/>
          <w:szCs w:val="32"/>
          <w:rtl/>
        </w:rPr>
      </w:pPr>
      <w:r w:rsidRPr="006B4304">
        <w:rPr>
          <w:rStyle w:val="af1"/>
          <w:rFonts w:ascii="Traditional Arabic" w:hAnsi="Traditional Arabic"/>
          <w:sz w:val="32"/>
          <w:szCs w:val="32"/>
          <w:vertAlign w:val="baseline"/>
        </w:rPr>
        <w:footnoteRef/>
      </w:r>
      <w:r w:rsidRPr="006B4304">
        <w:rPr>
          <w:rFonts w:ascii="Traditional Arabic" w:hAnsi="Traditional Arabic"/>
          <w:sz w:val="32"/>
          <w:szCs w:val="32"/>
        </w:rPr>
        <w:t>)</w:t>
      </w:r>
      <w:r w:rsidRPr="006B4304">
        <w:rPr>
          <w:rFonts w:ascii="Traditional Arabic" w:hAnsi="Traditional Arabic"/>
          <w:sz w:val="32"/>
          <w:szCs w:val="32"/>
          <w:rtl/>
        </w:rPr>
        <w:t xml:space="preserve">) </w:t>
      </w:r>
      <w:r w:rsidRPr="00231B07">
        <w:rPr>
          <w:rFonts w:ascii="Traditional Arabic" w:hAnsi="Traditional Arabic"/>
          <w:noProof w:val="0"/>
          <w:color w:val="auto"/>
          <w:sz w:val="32"/>
          <w:szCs w:val="32"/>
          <w:rtl/>
          <w:lang w:eastAsia="en-US"/>
        </w:rPr>
        <w:t>أخرجه البخاري في كتاب الزكاة، باب في الركاز الخمس</w:t>
      </w:r>
      <w:r>
        <w:rPr>
          <w:rFonts w:ascii="Traditional Arabic" w:hAnsi="Traditional Arabic" w:hint="cs"/>
          <w:noProof w:val="0"/>
          <w:color w:val="auto"/>
          <w:sz w:val="32"/>
          <w:szCs w:val="32"/>
          <w:rtl/>
          <w:lang w:eastAsia="en-US"/>
        </w:rPr>
        <w:t>، رقم الحديث</w:t>
      </w:r>
      <w:r w:rsidRPr="00231B07">
        <w:rPr>
          <w:rFonts w:ascii="Traditional Arabic" w:hAnsi="Traditional Arabic"/>
          <w:noProof w:val="0"/>
          <w:color w:val="auto"/>
          <w:sz w:val="32"/>
          <w:szCs w:val="32"/>
          <w:rtl/>
          <w:lang w:eastAsia="en-US"/>
        </w:rPr>
        <w:t xml:space="preserve"> (1499)، ومسلم في كتاب الحدود، باب جرح العجماء والمعدن والبئر جبار</w:t>
      </w:r>
      <w:r>
        <w:rPr>
          <w:rFonts w:ascii="Traditional Arabic" w:hAnsi="Traditional Arabic" w:hint="cs"/>
          <w:noProof w:val="0"/>
          <w:color w:val="auto"/>
          <w:sz w:val="32"/>
          <w:szCs w:val="32"/>
          <w:rtl/>
          <w:lang w:eastAsia="en-US"/>
        </w:rPr>
        <w:t>، رقم الحديث</w:t>
      </w:r>
      <w:r w:rsidRPr="00231B07">
        <w:rPr>
          <w:rFonts w:ascii="Traditional Arabic" w:hAnsi="Traditional Arabic"/>
          <w:noProof w:val="0"/>
          <w:color w:val="auto"/>
          <w:sz w:val="32"/>
          <w:szCs w:val="32"/>
          <w:rtl/>
          <w:lang w:eastAsia="en-US"/>
        </w:rPr>
        <w:t xml:space="preserve"> (1710)</w:t>
      </w:r>
      <w:r w:rsidRPr="00231B07">
        <w:rPr>
          <w:rFonts w:ascii="Traditional Arabic" w:hAnsi="Traditional Arabic"/>
          <w:color w:val="auto"/>
          <w:sz w:val="32"/>
          <w:szCs w:val="32"/>
          <w:rtl/>
        </w:rPr>
        <w:t>.</w:t>
      </w:r>
    </w:p>
  </w:footnote>
  <w:footnote w:id="156">
    <w:p w:rsidR="000D3D21" w:rsidRPr="006B4304" w:rsidRDefault="000D3D21">
      <w:pPr>
        <w:pStyle w:val="a7"/>
        <w:rPr>
          <w:rFonts w:ascii="Traditional Arabic" w:hAnsi="Traditional Arabic"/>
          <w:sz w:val="32"/>
          <w:szCs w:val="32"/>
          <w:rtl/>
        </w:rPr>
      </w:pPr>
      <w:r w:rsidRPr="006B4304">
        <w:rPr>
          <w:rStyle w:val="af1"/>
          <w:rFonts w:ascii="Traditional Arabic" w:hAnsi="Traditional Arabic"/>
          <w:sz w:val="32"/>
          <w:szCs w:val="32"/>
          <w:vertAlign w:val="baseline"/>
        </w:rPr>
        <w:footnoteRef/>
      </w:r>
      <w:r w:rsidRPr="006B4304">
        <w:rPr>
          <w:rFonts w:ascii="Traditional Arabic" w:hAnsi="Traditional Arabic"/>
          <w:sz w:val="32"/>
          <w:szCs w:val="32"/>
        </w:rPr>
        <w:t>)</w:t>
      </w:r>
      <w:r w:rsidRPr="006B4304">
        <w:rPr>
          <w:rFonts w:ascii="Traditional Arabic" w:hAnsi="Traditional Arabic"/>
          <w:sz w:val="32"/>
          <w:szCs w:val="32"/>
          <w:rtl/>
        </w:rPr>
        <w:t xml:space="preserve">) </w:t>
      </w:r>
      <w:r>
        <w:rPr>
          <w:rFonts w:ascii="Traditional Arabic" w:hAnsi="Traditional Arabic" w:hint="cs"/>
          <w:sz w:val="32"/>
          <w:szCs w:val="32"/>
          <w:rtl/>
        </w:rPr>
        <w:t>الشرح الممتع (10/214-215).</w:t>
      </w:r>
    </w:p>
  </w:footnote>
  <w:footnote w:id="157">
    <w:p w:rsidR="000D3D21" w:rsidRPr="00843409" w:rsidRDefault="000D3D21" w:rsidP="006F08E1">
      <w:pPr>
        <w:pStyle w:val="a7"/>
        <w:spacing w:line="440" w:lineRule="exact"/>
        <w:ind w:left="510" w:hanging="510"/>
        <w:jc w:val="lowKashida"/>
        <w:rPr>
          <w:rFonts w:ascii="Lotus Linotype" w:hAnsi="Lotus Linotype" w:cs="Lotus Linotype"/>
          <w:b/>
          <w:bCs/>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A4295">
        <w:rPr>
          <w:rFonts w:ascii="Traditional Arabic" w:hAnsi="Traditional Arabic"/>
          <w:sz w:val="32"/>
          <w:szCs w:val="32"/>
          <w:rtl/>
        </w:rPr>
        <w:t>تفسير سورة البقرة (3/113)</w:t>
      </w:r>
      <w:r>
        <w:rPr>
          <w:rFonts w:ascii="Traditional Arabic" w:hAnsi="Traditional Arabic" w:hint="cs"/>
          <w:sz w:val="32"/>
          <w:szCs w:val="32"/>
          <w:rtl/>
        </w:rPr>
        <w:t xml:space="preserve"> بتصرف</w:t>
      </w:r>
      <w:r>
        <w:rPr>
          <w:rFonts w:ascii="Traditional Arabic" w:hAnsi="Traditional Arabic"/>
          <w:sz w:val="32"/>
          <w:szCs w:val="32"/>
          <w:rtl/>
        </w:rPr>
        <w:t>.</w:t>
      </w:r>
    </w:p>
  </w:footnote>
  <w:footnote w:id="158">
    <w:p w:rsidR="000D3D21" w:rsidRPr="000D1C6C" w:rsidRDefault="000D3D21" w:rsidP="009474A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انظر</w:t>
      </w:r>
      <w:r>
        <w:rPr>
          <w:rFonts w:ascii="Traditional Arabic" w:hAnsi="Traditional Arabic" w:hint="cs"/>
          <w:sz w:val="32"/>
          <w:szCs w:val="32"/>
          <w:rtl/>
        </w:rPr>
        <w:t xml:space="preserve"> المرجع السابق</w:t>
      </w:r>
      <w:r w:rsidRPr="00150BA1">
        <w:rPr>
          <w:rFonts w:ascii="Traditional Arabic" w:hAnsi="Traditional Arabic"/>
          <w:sz w:val="32"/>
          <w:szCs w:val="32"/>
          <w:rtl/>
        </w:rPr>
        <w:t xml:space="preserve"> </w:t>
      </w:r>
      <w:r>
        <w:rPr>
          <w:rFonts w:ascii="Traditional Arabic" w:hAnsi="Traditional Arabic" w:hint="cs"/>
          <w:sz w:val="32"/>
          <w:szCs w:val="32"/>
          <w:rtl/>
        </w:rPr>
        <w:t>(3/391-392)</w:t>
      </w:r>
      <w:r w:rsidRPr="00150BA1">
        <w:rPr>
          <w:rFonts w:ascii="Traditional Arabic" w:hAnsi="Traditional Arabic"/>
          <w:sz w:val="32"/>
          <w:szCs w:val="32"/>
          <w:rtl/>
        </w:rPr>
        <w:t>.</w:t>
      </w:r>
    </w:p>
  </w:footnote>
  <w:footnote w:id="159">
    <w:p w:rsidR="000D3D21" w:rsidRPr="000D2B12" w:rsidRDefault="000D3D21" w:rsidP="00766A01">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noProof w:val="0"/>
          <w:sz w:val="32"/>
          <w:szCs w:val="32"/>
          <w:rtl/>
          <w:lang w:eastAsia="en-US"/>
        </w:rPr>
        <w:t>أخرجه البخاري في كتاب النفقات، باب إذا لم ينفق الرجل فللمرأة أن تأخذ بغير علمه ما يكفيها وولدَها بالمعروف، رقم الحديث (5364)، ومسلم في كتاب الأقضية، باب قضية هند</w:t>
      </w:r>
      <w:r>
        <w:rPr>
          <w:rFonts w:ascii="Traditional Arabic" w:hAnsi="Traditional Arabic" w:hint="cs"/>
          <w:noProof w:val="0"/>
          <w:sz w:val="32"/>
          <w:szCs w:val="32"/>
          <w:rtl/>
          <w:lang w:eastAsia="en-US"/>
        </w:rPr>
        <w:t>،</w:t>
      </w:r>
      <w:r w:rsidRPr="006C05F6">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رقم ال</w:t>
      </w:r>
      <w:r>
        <w:rPr>
          <w:rFonts w:ascii="Traditional Arabic" w:hAnsi="Traditional Arabic"/>
          <w:noProof w:val="0"/>
          <w:sz w:val="32"/>
          <w:szCs w:val="32"/>
          <w:rtl/>
          <w:lang w:eastAsia="en-US"/>
        </w:rPr>
        <w:t>حديث</w:t>
      </w:r>
      <w:r w:rsidRPr="006C05F6">
        <w:rPr>
          <w:rFonts w:ascii="Traditional Arabic" w:hAnsi="Traditional Arabic"/>
          <w:noProof w:val="0"/>
          <w:sz w:val="32"/>
          <w:szCs w:val="32"/>
          <w:rtl/>
          <w:lang w:eastAsia="en-US"/>
        </w:rPr>
        <w:t xml:space="preserve"> (1714)</w:t>
      </w:r>
      <w:r w:rsidRPr="006C05F6">
        <w:rPr>
          <w:rFonts w:ascii="Traditional Arabic" w:hAnsi="Traditional Arabic"/>
          <w:sz w:val="32"/>
          <w:szCs w:val="32"/>
          <w:rtl/>
        </w:rPr>
        <w:t>.</w:t>
      </w:r>
    </w:p>
    <w:p w:rsidR="000D3D21" w:rsidRPr="000D2B12" w:rsidRDefault="000D3D21" w:rsidP="009474A6">
      <w:pPr>
        <w:pStyle w:val="a7"/>
        <w:pageBreakBefore/>
        <w:rPr>
          <w:rFonts w:ascii="Tahoma" w:hAnsi="Tahoma"/>
        </w:rPr>
      </w:pPr>
    </w:p>
  </w:footnote>
  <w:footnote w:id="160">
    <w:p w:rsidR="000D3D21" w:rsidRPr="006C05F6" w:rsidRDefault="000D3D21" w:rsidP="009474A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انظر فتح ذي الجلال والإكرام (5/173).</w:t>
      </w:r>
    </w:p>
  </w:footnote>
  <w:footnote w:id="161">
    <w:p w:rsidR="000D3D21" w:rsidRPr="005A7EB4" w:rsidRDefault="000D3D21" w:rsidP="00D82122">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5A7EB4">
        <w:rPr>
          <w:rFonts w:ascii="Tahoma" w:hAnsi="Tahoma" w:hint="cs"/>
          <w:sz w:val="32"/>
          <w:szCs w:val="32"/>
          <w:rtl/>
        </w:rPr>
        <w:t>عبد الله بن زيد بن عاصم بن كعب الأنصاري الخزرجي ثم المازني</w:t>
      </w:r>
      <w:r>
        <w:rPr>
          <w:rFonts w:ascii="Tahoma" w:hAnsi="Tahoma" w:hint="cs"/>
          <w:sz w:val="32"/>
          <w:szCs w:val="32"/>
          <w:rtl/>
        </w:rPr>
        <w:t>، يُعرَف بابن أم عُمَارة، يكنى أبامحمد، شهد أُحُدا وغيرها، واختُلف في شهوده بدرا، شارك وحشيَّ بن حرب في قتل مسيلمة الكذاب، روى عنه ابن أخيه عباد بن تميم، ويحي بن عُمَارة، وواسع بن حبان، وغيرهم، قُتل يوم الحَرَّة سنة ثلاث وستين.انظر: الاستيعاب في معرفة الأصحاب (3/913-914)، وأسد الغابة (3/146-147)، والإصابة في تمييز الصحابة (6/160-161).</w:t>
      </w:r>
    </w:p>
  </w:footnote>
  <w:footnote w:id="162">
    <w:p w:rsidR="000D3D21" w:rsidRPr="009E2C6B" w:rsidRDefault="000D3D21" w:rsidP="00D82122">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9E2C6B">
        <w:rPr>
          <w:rFonts w:ascii="Tahoma" w:hAnsi="Tahoma" w:hint="cs"/>
          <w:sz w:val="32"/>
          <w:szCs w:val="32"/>
          <w:rtl/>
        </w:rPr>
        <w:t>أخرجه</w:t>
      </w:r>
      <w:r w:rsidRPr="009E2C6B">
        <w:rPr>
          <w:rFonts w:ascii="Traditional Arabic" w:hAnsi="Traditional Arabic"/>
          <w:noProof w:val="0"/>
          <w:sz w:val="32"/>
          <w:szCs w:val="32"/>
          <w:rtl/>
          <w:lang w:eastAsia="en-US"/>
        </w:rPr>
        <w:t xml:space="preserve"> مسلم </w:t>
      </w:r>
      <w:r w:rsidRPr="009E2C6B">
        <w:rPr>
          <w:rFonts w:ascii="Traditional Arabic" w:hAnsi="Traditional Arabic" w:hint="cs"/>
          <w:noProof w:val="0"/>
          <w:sz w:val="32"/>
          <w:szCs w:val="32"/>
          <w:rtl/>
          <w:lang w:eastAsia="en-US"/>
        </w:rPr>
        <w:t xml:space="preserve">في كتاب </w:t>
      </w:r>
      <w:r w:rsidRPr="009E2C6B">
        <w:rPr>
          <w:rFonts w:ascii="Traditional Arabic" w:hAnsi="Traditional Arabic"/>
          <w:noProof w:val="0"/>
          <w:sz w:val="32"/>
          <w:szCs w:val="32"/>
          <w:rtl/>
          <w:lang w:eastAsia="en-US"/>
        </w:rPr>
        <w:t>الحيض</w:t>
      </w:r>
      <w:r w:rsidRPr="009E2C6B">
        <w:rPr>
          <w:rFonts w:ascii="Traditional Arabic" w:hAnsi="Traditional Arabic" w:hint="cs"/>
          <w:noProof w:val="0"/>
          <w:sz w:val="32"/>
          <w:szCs w:val="32"/>
          <w:rtl/>
          <w:lang w:eastAsia="en-US"/>
        </w:rPr>
        <w:t xml:space="preserve">، باب </w:t>
      </w:r>
      <w:r w:rsidRPr="009E2C6B">
        <w:rPr>
          <w:rFonts w:ascii="Traditional Arabic" w:hAnsi="Traditional Arabic"/>
          <w:noProof w:val="0"/>
          <w:sz w:val="32"/>
          <w:szCs w:val="32"/>
          <w:rtl/>
          <w:lang w:eastAsia="en-US"/>
        </w:rPr>
        <w:t>الدليل على أن من تيقن الطهارة ثم شك في الحدث فله يصلي بطهارته تلك</w:t>
      </w:r>
      <w:r>
        <w:rPr>
          <w:rFonts w:ascii="Traditional Arabic" w:hAnsi="Traditional Arabic"/>
          <w:noProof w:val="0"/>
          <w:sz w:val="32"/>
          <w:szCs w:val="32"/>
          <w:rtl/>
          <w:lang w:eastAsia="en-US"/>
        </w:rPr>
        <w:t>،</w:t>
      </w:r>
      <w:r w:rsidRPr="009E2C6B">
        <w:rPr>
          <w:rFonts w:ascii="Traditional Arabic" w:hAnsi="Traditional Arabic" w:hint="cs"/>
          <w:noProof w:val="0"/>
          <w:sz w:val="32"/>
          <w:szCs w:val="32"/>
          <w:rtl/>
          <w:lang w:eastAsia="en-US"/>
        </w:rPr>
        <w:t xml:space="preserve"> رقم الحديث</w:t>
      </w:r>
      <w:r w:rsidRPr="009E2C6B">
        <w:rPr>
          <w:rFonts w:ascii="Traditional Arabic" w:hAnsi="Traditional Arabic"/>
          <w:noProof w:val="0"/>
          <w:sz w:val="32"/>
          <w:szCs w:val="32"/>
          <w:rtl/>
          <w:lang w:eastAsia="en-US"/>
        </w:rPr>
        <w:t>(3</w:t>
      </w:r>
      <w:r w:rsidRPr="009E2C6B">
        <w:rPr>
          <w:rFonts w:ascii="Traditional Arabic" w:hAnsi="Traditional Arabic" w:hint="cs"/>
          <w:noProof w:val="0"/>
          <w:sz w:val="32"/>
          <w:szCs w:val="32"/>
          <w:rtl/>
          <w:lang w:eastAsia="en-US"/>
        </w:rPr>
        <w:t>61</w:t>
      </w:r>
      <w:r w:rsidRPr="009E2C6B">
        <w:rPr>
          <w:rFonts w:ascii="Traditional Arabic" w:hAnsi="Traditional Arabic"/>
          <w:noProof w:val="0"/>
          <w:sz w:val="32"/>
          <w:szCs w:val="32"/>
          <w:rtl/>
          <w:lang w:eastAsia="en-US"/>
        </w:rPr>
        <w:t>).</w:t>
      </w:r>
    </w:p>
  </w:footnote>
  <w:footnote w:id="163">
    <w:p w:rsidR="000D3D21" w:rsidRPr="00875330" w:rsidRDefault="000D3D21" w:rsidP="00D82122">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875330">
        <w:rPr>
          <w:rFonts w:ascii="Tahoma" w:hAnsi="Tahoma" w:hint="cs"/>
          <w:sz w:val="32"/>
          <w:szCs w:val="32"/>
          <w:rtl/>
        </w:rPr>
        <w:t xml:space="preserve">انظر تنبيه الأفهام </w:t>
      </w:r>
      <w:r>
        <w:rPr>
          <w:rFonts w:ascii="Tahoma" w:hAnsi="Tahoma" w:hint="cs"/>
          <w:sz w:val="32"/>
          <w:szCs w:val="32"/>
          <w:rtl/>
        </w:rPr>
        <w:t xml:space="preserve">شرح عمدة الأحكام </w:t>
      </w:r>
      <w:r w:rsidRPr="00875330">
        <w:rPr>
          <w:rFonts w:ascii="Tahoma" w:hAnsi="Tahoma" w:hint="cs"/>
          <w:sz w:val="32"/>
          <w:szCs w:val="32"/>
          <w:rtl/>
        </w:rPr>
        <w:t>(67).</w:t>
      </w:r>
    </w:p>
  </w:footnote>
  <w:footnote w:id="164">
    <w:p w:rsidR="000D3D21" w:rsidRPr="00843409" w:rsidRDefault="000D3D21" w:rsidP="006F08E1">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262F0">
        <w:rPr>
          <w:rFonts w:ascii="Traditional Arabic" w:hAnsi="Traditional Arabic"/>
          <w:sz w:val="32"/>
          <w:szCs w:val="32"/>
          <w:rtl/>
        </w:rPr>
        <w:tab/>
        <w:t>شرح منظومة أصول الفقه وقواعده (317)</w:t>
      </w:r>
      <w:r>
        <w:rPr>
          <w:rFonts w:ascii="Traditional Arabic" w:hAnsi="Traditional Arabic"/>
          <w:sz w:val="32"/>
          <w:szCs w:val="32"/>
          <w:rtl/>
        </w:rPr>
        <w:t>.</w:t>
      </w:r>
    </w:p>
  </w:footnote>
  <w:footnote w:id="165">
    <w:p w:rsidR="000D3D21" w:rsidRDefault="000D3D21">
      <w:pPr>
        <w:pStyle w:val="a7"/>
        <w:rPr>
          <w:rtl/>
        </w:rPr>
      </w:pPr>
      <w:r w:rsidRPr="00CC3EE2">
        <w:rPr>
          <w:rStyle w:val="af1"/>
          <w:rFonts w:ascii="Traditional Arabic" w:hAnsi="Traditional Arabic"/>
          <w:sz w:val="32"/>
          <w:szCs w:val="32"/>
          <w:vertAlign w:val="baseline"/>
        </w:rPr>
        <w:footnoteRef/>
      </w:r>
      <w:r w:rsidRPr="00CC3EE2">
        <w:rPr>
          <w:rStyle w:val="af1"/>
          <w:rFonts w:ascii="Traditional Arabic" w:hAnsi="Traditional Arabic"/>
          <w:sz w:val="32"/>
          <w:szCs w:val="32"/>
          <w:vertAlign w:val="baseline"/>
        </w:rPr>
        <w:t>)</w:t>
      </w:r>
      <w:r w:rsidRPr="00CC3EE2">
        <w:rPr>
          <w:rStyle w:val="af1"/>
          <w:rFonts w:ascii="Traditional Arabic" w:hAnsi="Traditional Arabic" w:hint="cs"/>
          <w:sz w:val="32"/>
          <w:szCs w:val="32"/>
          <w:vertAlign w:val="baseline"/>
          <w:rtl/>
        </w:rPr>
        <w:t>)</w:t>
      </w:r>
      <w:r w:rsidRPr="00CC3EE2">
        <w:rPr>
          <w:rStyle w:val="af1"/>
          <w:rFonts w:ascii="Traditional Arabic" w:hAnsi="Traditional Arabic"/>
          <w:sz w:val="32"/>
          <w:szCs w:val="32"/>
          <w:vertAlign w:val="baseline"/>
          <w:rtl/>
        </w:rPr>
        <w:t xml:space="preserve"> </w:t>
      </w:r>
      <w:r w:rsidRPr="00D7493E">
        <w:rPr>
          <w:rFonts w:hint="cs"/>
          <w:sz w:val="32"/>
          <w:szCs w:val="32"/>
          <w:rtl/>
        </w:rPr>
        <w:t xml:space="preserve">انظر العقد المنظوم للقرافي (1/367)، وتلقيح الفهوم للعلائي (383)، والبحر المحيط للزركشي (3/83)، وشرح الكوكب المنير </w:t>
      </w:r>
      <w:r>
        <w:rPr>
          <w:rFonts w:hint="cs"/>
          <w:sz w:val="32"/>
          <w:szCs w:val="32"/>
          <w:rtl/>
        </w:rPr>
        <w:t>(3/123).</w:t>
      </w:r>
    </w:p>
  </w:footnote>
  <w:footnote w:id="166">
    <w:p w:rsidR="000D3D21" w:rsidRPr="001F5C0A" w:rsidRDefault="000D3D21">
      <w:pPr>
        <w:pStyle w:val="a7"/>
        <w:rPr>
          <w:rFonts w:ascii="Traditional Arabic" w:hAnsi="Traditional Arabic"/>
          <w:sz w:val="32"/>
          <w:szCs w:val="32"/>
          <w:rtl/>
        </w:rPr>
      </w:pPr>
      <w:r w:rsidRPr="001F5C0A">
        <w:rPr>
          <w:rStyle w:val="af1"/>
          <w:rFonts w:ascii="Traditional Arabic" w:hAnsi="Traditional Arabic"/>
          <w:sz w:val="32"/>
          <w:szCs w:val="32"/>
          <w:vertAlign w:val="baseline"/>
        </w:rPr>
        <w:footnoteRef/>
      </w:r>
      <w:r w:rsidRPr="001F5C0A">
        <w:rPr>
          <w:rFonts w:ascii="Traditional Arabic" w:hAnsi="Traditional Arabic"/>
          <w:sz w:val="32"/>
          <w:szCs w:val="32"/>
        </w:rPr>
        <w:t>)</w:t>
      </w:r>
      <w:r w:rsidRPr="001F5C0A">
        <w:rPr>
          <w:rFonts w:ascii="Traditional Arabic" w:hAnsi="Traditional Arabic"/>
          <w:sz w:val="32"/>
          <w:szCs w:val="32"/>
          <w:rtl/>
        </w:rPr>
        <w:t xml:space="preserve">) </w:t>
      </w:r>
      <w:r>
        <w:rPr>
          <w:rFonts w:ascii="Traditional Arabic" w:hAnsi="Traditional Arabic" w:hint="cs"/>
          <w:sz w:val="32"/>
          <w:szCs w:val="32"/>
          <w:rtl/>
        </w:rPr>
        <w:t>الشرح الممتع (15/5-6).</w:t>
      </w:r>
    </w:p>
  </w:footnote>
  <w:footnote w:id="167">
    <w:p w:rsidR="000D3D21" w:rsidRPr="001F5C0A" w:rsidRDefault="000D3D21">
      <w:pPr>
        <w:pStyle w:val="a7"/>
        <w:rPr>
          <w:rFonts w:ascii="Traditional Arabic" w:hAnsi="Traditional Arabic"/>
          <w:sz w:val="32"/>
          <w:szCs w:val="32"/>
          <w:rtl/>
        </w:rPr>
      </w:pPr>
      <w:r w:rsidRPr="001F5C0A">
        <w:rPr>
          <w:rStyle w:val="af1"/>
          <w:rFonts w:ascii="Traditional Arabic" w:hAnsi="Traditional Arabic"/>
          <w:sz w:val="32"/>
          <w:szCs w:val="32"/>
          <w:vertAlign w:val="baseline"/>
        </w:rPr>
        <w:footnoteRef/>
      </w:r>
      <w:r w:rsidRPr="001F5C0A">
        <w:rPr>
          <w:rFonts w:ascii="Traditional Arabic" w:hAnsi="Traditional Arabic"/>
          <w:sz w:val="32"/>
          <w:szCs w:val="32"/>
        </w:rPr>
        <w:t>)</w:t>
      </w:r>
      <w:r w:rsidRPr="001F5C0A">
        <w:rPr>
          <w:rFonts w:ascii="Traditional Arabic" w:hAnsi="Traditional Arabic"/>
          <w:sz w:val="32"/>
          <w:szCs w:val="32"/>
          <w:rtl/>
        </w:rPr>
        <w:t xml:space="preserve">) </w:t>
      </w:r>
      <w:r>
        <w:rPr>
          <w:rFonts w:ascii="Traditional Arabic" w:hAnsi="Traditional Arabic" w:hint="cs"/>
          <w:sz w:val="32"/>
          <w:szCs w:val="32"/>
          <w:rtl/>
        </w:rPr>
        <w:t>المرجع السابق (15/7).</w:t>
      </w:r>
    </w:p>
  </w:footnote>
  <w:footnote w:id="168">
    <w:p w:rsidR="000D3D21" w:rsidRPr="00640B0E" w:rsidRDefault="000D3D21">
      <w:pPr>
        <w:pStyle w:val="a7"/>
        <w:rPr>
          <w:rFonts w:ascii="Traditional Arabic" w:hAnsi="Traditional Arabic"/>
          <w:sz w:val="32"/>
          <w:szCs w:val="32"/>
          <w:rtl/>
        </w:rPr>
      </w:pPr>
      <w:r w:rsidRPr="00640B0E">
        <w:rPr>
          <w:rStyle w:val="af1"/>
          <w:rFonts w:ascii="Traditional Arabic" w:hAnsi="Traditional Arabic"/>
          <w:sz w:val="32"/>
          <w:szCs w:val="32"/>
          <w:vertAlign w:val="baseline"/>
        </w:rPr>
        <w:footnoteRef/>
      </w:r>
      <w:r w:rsidRPr="00640B0E">
        <w:rPr>
          <w:rFonts w:ascii="Traditional Arabic" w:hAnsi="Traditional Arabic"/>
          <w:sz w:val="32"/>
          <w:szCs w:val="32"/>
        </w:rPr>
        <w:t>)</w:t>
      </w:r>
      <w:r w:rsidRPr="00640B0E">
        <w:rPr>
          <w:rFonts w:ascii="Traditional Arabic" w:hAnsi="Traditional Arabic"/>
          <w:sz w:val="32"/>
          <w:szCs w:val="32"/>
          <w:rtl/>
        </w:rPr>
        <w:t xml:space="preserve">) </w:t>
      </w:r>
      <w:r>
        <w:rPr>
          <w:rFonts w:ascii="Traditional Arabic" w:hAnsi="Traditional Arabic" w:hint="cs"/>
          <w:sz w:val="32"/>
          <w:szCs w:val="32"/>
          <w:rtl/>
        </w:rPr>
        <w:t>المرجع السابق (8/420).</w:t>
      </w:r>
    </w:p>
  </w:footnote>
  <w:footnote w:id="169">
    <w:p w:rsidR="000D3D21" w:rsidRPr="00BD12A9" w:rsidRDefault="000D3D21" w:rsidP="005447E4">
      <w:pPr>
        <w:pStyle w:val="a7"/>
        <w:pageBreakBefore/>
        <w:rPr>
          <w:rFonts w:ascii="Traditional Arabic" w:hAnsi="Traditional Arabic"/>
          <w:noProof w:val="0"/>
          <w:color w:val="auto"/>
          <w:sz w:val="32"/>
          <w:szCs w:val="32"/>
          <w:rtl/>
          <w:lang w:eastAsia="en-US"/>
        </w:rPr>
      </w:pPr>
      <w:r w:rsidRPr="005447E4">
        <w:rPr>
          <w:rStyle w:val="af1"/>
          <w:rFonts w:ascii="Traditional Arabic" w:hAnsi="Traditional Arabic"/>
          <w:sz w:val="32"/>
          <w:szCs w:val="32"/>
          <w:vertAlign w:val="baseline"/>
        </w:rPr>
        <w:footnoteRef/>
      </w:r>
      <w:r w:rsidRPr="005447E4">
        <w:rPr>
          <w:rStyle w:val="af1"/>
          <w:rFonts w:ascii="Traditional Arabic" w:hAnsi="Traditional Arabic"/>
          <w:sz w:val="32"/>
          <w:szCs w:val="32"/>
          <w:vertAlign w:val="baseline"/>
        </w:rPr>
        <w:t>)</w:t>
      </w:r>
      <w:r w:rsidRPr="005447E4">
        <w:rPr>
          <w:rStyle w:val="af1"/>
          <w:rFonts w:ascii="Traditional Arabic" w:hAnsi="Traditional Arabic" w:hint="cs"/>
          <w:sz w:val="32"/>
          <w:szCs w:val="32"/>
          <w:vertAlign w:val="baseline"/>
          <w:rtl/>
        </w:rPr>
        <w:t>)</w:t>
      </w:r>
      <w:r w:rsidRPr="005447E4">
        <w:rPr>
          <w:rStyle w:val="af1"/>
          <w:rFonts w:ascii="Traditional Arabic" w:hAnsi="Traditional Arabic"/>
          <w:sz w:val="32"/>
          <w:szCs w:val="32"/>
          <w:vertAlign w:val="baseline"/>
          <w:rtl/>
        </w:rPr>
        <w:t xml:space="preserve"> </w:t>
      </w:r>
      <w:r w:rsidRPr="004F08B0">
        <w:rPr>
          <w:rFonts w:ascii="Traditional Arabic" w:hAnsi="Traditional Arabic"/>
          <w:b/>
          <w:bCs/>
          <w:sz w:val="32"/>
          <w:szCs w:val="32"/>
          <w:rtl/>
        </w:rPr>
        <w:t>الشُّفْعة</w:t>
      </w:r>
      <w:r w:rsidR="00AB0B9E">
        <w:rPr>
          <w:rFonts w:ascii="Traditional Arabic" w:hAnsi="Traditional Arabic"/>
          <w:b/>
          <w:bCs/>
          <w:sz w:val="32"/>
          <w:szCs w:val="32"/>
          <w:rtl/>
        </w:rPr>
        <w:fldChar w:fldCharType="begin"/>
      </w:r>
      <w:r>
        <w:instrText xml:space="preserve"> XE "</w:instrText>
      </w:r>
      <w:r w:rsidRPr="007F4BBF">
        <w:rPr>
          <w:rFonts w:ascii="Traditional Arabic" w:hAnsi="Traditional Arabic"/>
          <w:sz w:val="32"/>
          <w:szCs w:val="32"/>
          <w:rtl/>
        </w:rPr>
        <w:instrText>الشُّفْعة</w:instrText>
      </w:r>
      <w:r>
        <w:instrText>" \fm</w:instrText>
      </w:r>
      <w:r w:rsidR="00AB0B9E">
        <w:rPr>
          <w:rFonts w:ascii="Traditional Arabic" w:hAnsi="Traditional Arabic"/>
          <w:b/>
          <w:bCs/>
          <w:sz w:val="32"/>
          <w:szCs w:val="32"/>
          <w:rtl/>
        </w:rPr>
        <w:fldChar w:fldCharType="end"/>
      </w:r>
      <w:r w:rsidRPr="004F08B0">
        <w:rPr>
          <w:rFonts w:ascii="Traditional Arabic" w:hAnsi="Traditional Arabic"/>
          <w:b/>
          <w:bCs/>
          <w:sz w:val="32"/>
          <w:szCs w:val="32"/>
          <w:rtl/>
        </w:rPr>
        <w:t xml:space="preserve"> لغة:</w:t>
      </w:r>
      <w:r w:rsidRPr="004F08B0">
        <w:rPr>
          <w:rFonts w:ascii="Traditional Arabic" w:hAnsi="Traditional Arabic"/>
          <w:noProof w:val="0"/>
          <w:color w:val="auto"/>
          <w:sz w:val="32"/>
          <w:szCs w:val="32"/>
          <w:rtl/>
          <w:lang w:eastAsia="en-US"/>
        </w:rPr>
        <w:t xml:space="preserve"> مأخوذة من الزيادة؛ لأن الشفيع يَضُمُّ ما شفع فيه إلى نصيبه، كأنه كان وِترًا فصار شفعًا،</w:t>
      </w:r>
      <w:r w:rsidRPr="004F08B0">
        <w:rPr>
          <w:rFonts w:ascii="Traditional Arabic" w:hAnsi="Traditional Arabic"/>
          <w:noProof w:val="0"/>
          <w:sz w:val="32"/>
          <w:szCs w:val="32"/>
          <w:rtl/>
          <w:lang w:eastAsia="en-US"/>
        </w:rPr>
        <w:t xml:space="preserve"> وهي اسم للملْك المشفوع، وتُستعمل بمعنى التملُّك لذلك الملْك، ومنه قولهم :مَن ثبتَ له شفعةٌ فأخَّر الطلب بغير عذر بطلت شفعته؛ ففي هذا المثال جمع بين المعنيين، فإن الأولى للمال، </w:t>
      </w:r>
      <w:r w:rsidRPr="00BD12A9">
        <w:rPr>
          <w:rFonts w:ascii="Traditional Arabic" w:hAnsi="Traditional Arabic"/>
          <w:noProof w:val="0"/>
          <w:sz w:val="32"/>
          <w:szCs w:val="32"/>
          <w:rtl/>
          <w:lang w:eastAsia="en-US"/>
        </w:rPr>
        <w:t>والثانية للتملُّك.</w:t>
      </w:r>
      <w:r w:rsidRPr="00BD12A9">
        <w:rPr>
          <w:rFonts w:ascii="Traditional Arabic" w:hAnsi="Traditional Arabic"/>
          <w:noProof w:val="0"/>
          <w:color w:val="auto"/>
          <w:sz w:val="32"/>
          <w:szCs w:val="32"/>
          <w:rtl/>
          <w:lang w:eastAsia="en-US"/>
        </w:rPr>
        <w:t xml:space="preserve"> انظر المصباح المن</w:t>
      </w:r>
      <w:r>
        <w:rPr>
          <w:rFonts w:ascii="Traditional Arabic" w:hAnsi="Traditional Arabic"/>
          <w:noProof w:val="0"/>
          <w:color w:val="auto"/>
          <w:sz w:val="32"/>
          <w:szCs w:val="32"/>
          <w:rtl/>
          <w:lang w:eastAsia="en-US"/>
        </w:rPr>
        <w:t>ير (260-261)، والمطلع على أ</w:t>
      </w:r>
      <w:r>
        <w:rPr>
          <w:rFonts w:ascii="Traditional Arabic" w:hAnsi="Traditional Arabic" w:hint="cs"/>
          <w:noProof w:val="0"/>
          <w:color w:val="auto"/>
          <w:sz w:val="32"/>
          <w:szCs w:val="32"/>
          <w:rtl/>
          <w:lang w:eastAsia="en-US"/>
        </w:rPr>
        <w:t>لفاظ</w:t>
      </w:r>
      <w:r w:rsidRPr="00BD12A9">
        <w:rPr>
          <w:rFonts w:ascii="Traditional Arabic" w:hAnsi="Traditional Arabic"/>
          <w:noProof w:val="0"/>
          <w:color w:val="auto"/>
          <w:sz w:val="32"/>
          <w:szCs w:val="32"/>
          <w:rtl/>
          <w:lang w:eastAsia="en-US"/>
        </w:rPr>
        <w:t xml:space="preserve"> المقنع (335).</w:t>
      </w:r>
    </w:p>
    <w:p w:rsidR="000D3D21" w:rsidRDefault="000D3D21" w:rsidP="005447E4">
      <w:pPr>
        <w:pStyle w:val="a7"/>
        <w:rPr>
          <w:rtl/>
        </w:rPr>
      </w:pPr>
      <w:r>
        <w:rPr>
          <w:rFonts w:ascii="Traditional Arabic" w:hAnsi="Traditional Arabic" w:hint="cs"/>
          <w:b/>
          <w:bCs/>
          <w:noProof w:val="0"/>
          <w:color w:val="auto"/>
          <w:sz w:val="32"/>
          <w:szCs w:val="32"/>
          <w:rtl/>
          <w:lang w:eastAsia="en-US"/>
        </w:rPr>
        <w:t xml:space="preserve">     </w:t>
      </w:r>
      <w:r w:rsidRPr="00BD12A9">
        <w:rPr>
          <w:rFonts w:ascii="Traditional Arabic" w:hAnsi="Traditional Arabic"/>
          <w:b/>
          <w:bCs/>
          <w:noProof w:val="0"/>
          <w:color w:val="auto"/>
          <w:sz w:val="32"/>
          <w:szCs w:val="32"/>
          <w:rtl/>
          <w:lang w:eastAsia="en-US"/>
        </w:rPr>
        <w:t>الشفعة شرعا:</w:t>
      </w:r>
      <w:r>
        <w:rPr>
          <w:rFonts w:ascii="Traditional Arabic" w:hAnsi="Traditional Arabic" w:hint="cs"/>
          <w:b/>
          <w:bCs/>
          <w:noProof w:val="0"/>
          <w:color w:val="auto"/>
          <w:sz w:val="32"/>
          <w:szCs w:val="32"/>
          <w:rtl/>
          <w:lang w:eastAsia="en-US"/>
        </w:rPr>
        <w:t xml:space="preserve"> </w:t>
      </w:r>
      <w:r w:rsidRPr="00BD12A9">
        <w:rPr>
          <w:rFonts w:ascii="Traditional Arabic" w:hAnsi="Traditional Arabic"/>
          <w:noProof w:val="0"/>
          <w:sz w:val="32"/>
          <w:szCs w:val="32"/>
          <w:rtl/>
          <w:lang w:eastAsia="en-US"/>
        </w:rPr>
        <w:t xml:space="preserve">استحقاقُ الشريك انتزاعَ حِصَّةِ شريكه المنتقلةِ عنه مِن يدِ مَن انتقلت إليه. المغني </w:t>
      </w:r>
      <w:r>
        <w:rPr>
          <w:rFonts w:ascii="Traditional Arabic" w:hAnsi="Traditional Arabic" w:hint="cs"/>
          <w:noProof w:val="0"/>
          <w:sz w:val="32"/>
          <w:szCs w:val="32"/>
          <w:rtl/>
          <w:lang w:eastAsia="en-US"/>
        </w:rPr>
        <w:t xml:space="preserve">لموفق الدين بن </w:t>
      </w:r>
      <w:r w:rsidRPr="00BD12A9">
        <w:rPr>
          <w:rFonts w:ascii="Traditional Arabic" w:hAnsi="Traditional Arabic"/>
          <w:noProof w:val="0"/>
          <w:sz w:val="32"/>
          <w:szCs w:val="32"/>
          <w:rtl/>
          <w:lang w:eastAsia="en-US"/>
        </w:rPr>
        <w:t xml:space="preserve">قدامة </w:t>
      </w:r>
      <w:r>
        <w:rPr>
          <w:rFonts w:ascii="Traditional Arabic" w:hAnsi="Traditional Arabic" w:hint="cs"/>
          <w:noProof w:val="0"/>
          <w:sz w:val="32"/>
          <w:szCs w:val="32"/>
          <w:rtl/>
          <w:lang w:eastAsia="en-US"/>
        </w:rPr>
        <w:t xml:space="preserve">المقدسي </w:t>
      </w:r>
      <w:r w:rsidRPr="00BD12A9">
        <w:rPr>
          <w:rFonts w:ascii="Traditional Arabic" w:hAnsi="Traditional Arabic"/>
          <w:noProof w:val="0"/>
          <w:sz w:val="32"/>
          <w:szCs w:val="32"/>
          <w:rtl/>
          <w:lang w:eastAsia="en-US"/>
        </w:rPr>
        <w:t>(7/435).</w:t>
      </w:r>
    </w:p>
  </w:footnote>
  <w:footnote w:id="170">
    <w:p w:rsidR="000D3D21" w:rsidRPr="00961695" w:rsidRDefault="000D3D21">
      <w:pPr>
        <w:pStyle w:val="a7"/>
        <w:rPr>
          <w:rFonts w:ascii="Traditional Arabic" w:hAnsi="Traditional Arabic"/>
          <w:sz w:val="32"/>
          <w:szCs w:val="32"/>
          <w:rtl/>
        </w:rPr>
      </w:pPr>
      <w:r w:rsidRPr="00961695">
        <w:rPr>
          <w:rStyle w:val="af1"/>
          <w:rFonts w:ascii="Traditional Arabic" w:hAnsi="Traditional Arabic"/>
          <w:sz w:val="32"/>
          <w:szCs w:val="32"/>
          <w:vertAlign w:val="baseline"/>
        </w:rPr>
        <w:footnoteRef/>
      </w:r>
      <w:r w:rsidRPr="00961695">
        <w:rPr>
          <w:rFonts w:ascii="Traditional Arabic" w:hAnsi="Traditional Arabic"/>
          <w:sz w:val="32"/>
          <w:szCs w:val="32"/>
        </w:rPr>
        <w:t>)</w:t>
      </w:r>
      <w:r w:rsidRPr="00961695">
        <w:rPr>
          <w:rFonts w:ascii="Traditional Arabic" w:hAnsi="Traditional Arabic"/>
          <w:sz w:val="32"/>
          <w:szCs w:val="32"/>
          <w:rtl/>
        </w:rPr>
        <w:t xml:space="preserve">) </w:t>
      </w:r>
      <w:r>
        <w:rPr>
          <w:rFonts w:ascii="Traditional Arabic" w:hAnsi="Traditional Arabic" w:hint="cs"/>
          <w:sz w:val="32"/>
          <w:szCs w:val="32"/>
          <w:rtl/>
        </w:rPr>
        <w:t>المرجع السابق (10/239).</w:t>
      </w:r>
    </w:p>
  </w:footnote>
  <w:footnote w:id="171">
    <w:p w:rsidR="000D3D21" w:rsidRPr="00C86D3D" w:rsidRDefault="000D3D21">
      <w:pPr>
        <w:pStyle w:val="a7"/>
        <w:rPr>
          <w:rFonts w:ascii="Traditional Arabic" w:hAnsi="Traditional Arabic"/>
          <w:sz w:val="32"/>
          <w:szCs w:val="32"/>
          <w:rtl/>
        </w:rPr>
      </w:pPr>
      <w:r w:rsidRPr="00C86D3D">
        <w:rPr>
          <w:rStyle w:val="af1"/>
          <w:rFonts w:ascii="Traditional Arabic" w:hAnsi="Traditional Arabic"/>
          <w:sz w:val="32"/>
          <w:szCs w:val="32"/>
          <w:vertAlign w:val="baseline"/>
        </w:rPr>
        <w:footnoteRef/>
      </w:r>
      <w:r w:rsidRPr="00C86D3D">
        <w:rPr>
          <w:rFonts w:ascii="Traditional Arabic" w:hAnsi="Traditional Arabic"/>
          <w:sz w:val="32"/>
          <w:szCs w:val="32"/>
        </w:rPr>
        <w:t>)</w:t>
      </w:r>
      <w:r w:rsidRPr="00C86D3D">
        <w:rPr>
          <w:rFonts w:ascii="Traditional Arabic" w:hAnsi="Traditional Arabic"/>
          <w:sz w:val="32"/>
          <w:szCs w:val="32"/>
          <w:rtl/>
        </w:rPr>
        <w:t xml:space="preserve">) </w:t>
      </w:r>
      <w:r>
        <w:rPr>
          <w:rFonts w:ascii="Traditional Arabic" w:hAnsi="Traditional Arabic" w:hint="cs"/>
          <w:sz w:val="32"/>
          <w:szCs w:val="32"/>
          <w:rtl/>
        </w:rPr>
        <w:t>مما يُلحظ على هذه الأمثلة أن بعضها يتعلق بالعبادات؛ والسبب في ذلك هو أني لم أجد أمثلة على نقد الشيخ رحمه الله للقواعد في أبواب المعاملات سوى المثال الثالث. انظر لمزيد من الأمثلة: القواعد والضوابط الفقهية عند الشيخ ابن عثيمين في الشرح الممتع من كتاب العبادات (1/153-156).</w:t>
      </w:r>
    </w:p>
  </w:footnote>
  <w:footnote w:id="172">
    <w:p w:rsidR="000D3D21" w:rsidRPr="00843409" w:rsidRDefault="000D3D21" w:rsidP="006F08E1">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262F0">
        <w:rPr>
          <w:rFonts w:ascii="Traditional Arabic" w:hAnsi="Traditional Arabic"/>
          <w:sz w:val="32"/>
          <w:szCs w:val="32"/>
          <w:rtl/>
        </w:rPr>
        <w:tab/>
        <w:t>الشرح الممتع (7/293)</w:t>
      </w:r>
      <w:r>
        <w:rPr>
          <w:rFonts w:ascii="Traditional Arabic" w:hAnsi="Traditional Arabic"/>
          <w:sz w:val="32"/>
          <w:szCs w:val="32"/>
          <w:rtl/>
        </w:rPr>
        <w:t>.</w:t>
      </w:r>
      <w:r w:rsidRPr="008262F0">
        <w:rPr>
          <w:rFonts w:ascii="Traditional Arabic" w:hAnsi="Traditional Arabic"/>
          <w:sz w:val="32"/>
          <w:szCs w:val="32"/>
          <w:rtl/>
        </w:rPr>
        <w:t xml:space="preserve"> وانظر : المصدر نفسه (2/59)</w:t>
      </w:r>
      <w:r>
        <w:rPr>
          <w:rFonts w:ascii="Traditional Arabic" w:hAnsi="Traditional Arabic"/>
          <w:sz w:val="32"/>
          <w:szCs w:val="32"/>
          <w:rtl/>
        </w:rPr>
        <w:t>.</w:t>
      </w:r>
    </w:p>
  </w:footnote>
  <w:footnote w:id="173">
    <w:p w:rsidR="000D3D21" w:rsidRPr="008262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262F0">
        <w:rPr>
          <w:rFonts w:ascii="Traditional Arabic" w:hAnsi="Traditional Arabic"/>
          <w:sz w:val="32"/>
          <w:szCs w:val="32"/>
          <w:rtl/>
        </w:rPr>
        <w:tab/>
        <w:t>المصدر السابق (1/126)</w:t>
      </w:r>
      <w:r>
        <w:rPr>
          <w:rFonts w:ascii="Traditional Arabic" w:hAnsi="Traditional Arabic"/>
          <w:sz w:val="32"/>
          <w:szCs w:val="32"/>
          <w:rtl/>
        </w:rPr>
        <w:t>.</w:t>
      </w:r>
    </w:p>
  </w:footnote>
  <w:footnote w:id="174">
    <w:p w:rsidR="000D3D21" w:rsidRPr="008262F0" w:rsidRDefault="000D3D21" w:rsidP="006F08E1">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262F0">
        <w:rPr>
          <w:rFonts w:ascii="Traditional Arabic" w:hAnsi="Traditional Arabic"/>
          <w:sz w:val="32"/>
          <w:szCs w:val="32"/>
          <w:rtl/>
        </w:rPr>
        <w:tab/>
        <w:t>الشرح الممتع (6/373)</w:t>
      </w:r>
      <w:r>
        <w:rPr>
          <w:rFonts w:ascii="Traditional Arabic" w:hAnsi="Traditional Arabic"/>
          <w:sz w:val="32"/>
          <w:szCs w:val="32"/>
          <w:rtl/>
        </w:rPr>
        <w:t>.</w:t>
      </w:r>
    </w:p>
  </w:footnote>
  <w:footnote w:id="175">
    <w:p w:rsidR="000D3D21" w:rsidRPr="00166BB4" w:rsidRDefault="000D3D21">
      <w:pPr>
        <w:pStyle w:val="a7"/>
        <w:rPr>
          <w:rFonts w:ascii="Traditional Arabic" w:hAnsi="Traditional Arabic"/>
          <w:sz w:val="32"/>
          <w:szCs w:val="32"/>
        </w:rPr>
      </w:pPr>
      <w:r w:rsidRPr="00166BB4">
        <w:rPr>
          <w:rStyle w:val="af1"/>
          <w:rFonts w:ascii="Traditional Arabic" w:hAnsi="Traditional Arabic"/>
          <w:sz w:val="32"/>
          <w:szCs w:val="32"/>
          <w:vertAlign w:val="baseline"/>
        </w:rPr>
        <w:footnoteRef/>
      </w:r>
      <w:r w:rsidRPr="00166BB4">
        <w:rPr>
          <w:rFonts w:ascii="Traditional Arabic" w:hAnsi="Traditional Arabic"/>
          <w:sz w:val="32"/>
          <w:szCs w:val="32"/>
        </w:rPr>
        <w:t>)</w:t>
      </w:r>
      <w:r w:rsidRPr="00166BB4">
        <w:rPr>
          <w:rFonts w:ascii="Traditional Arabic" w:hAnsi="Traditional Arabic"/>
          <w:sz w:val="32"/>
          <w:szCs w:val="32"/>
          <w:rtl/>
        </w:rPr>
        <w:t xml:space="preserve">) </w:t>
      </w:r>
      <w:r>
        <w:rPr>
          <w:rFonts w:ascii="Traditional Arabic" w:hAnsi="Traditional Arabic" w:hint="cs"/>
          <w:sz w:val="32"/>
          <w:szCs w:val="32"/>
          <w:rtl/>
        </w:rPr>
        <w:t>انظر الروض المربع شرح زاد المستقنع لمنصور بن يونس البهوتي (6/115)، وحاشية الروض المربع لعبد الرحمن بن محمد بن قاسم (4/406).</w:t>
      </w:r>
    </w:p>
  </w:footnote>
  <w:footnote w:id="176">
    <w:p w:rsidR="000D3D21" w:rsidRPr="00145FDE" w:rsidRDefault="000D3D21" w:rsidP="00145FDE">
      <w:pPr>
        <w:pStyle w:val="a7"/>
        <w:rPr>
          <w:rFonts w:ascii="Traditional Arabic" w:hAnsi="Traditional Arabic"/>
          <w:sz w:val="32"/>
          <w:szCs w:val="32"/>
          <w:rtl/>
        </w:rPr>
      </w:pPr>
      <w:r w:rsidRPr="00145FDE">
        <w:rPr>
          <w:rStyle w:val="af1"/>
          <w:rFonts w:ascii="Traditional Arabic" w:hAnsi="Traditional Arabic"/>
          <w:sz w:val="32"/>
          <w:szCs w:val="32"/>
          <w:vertAlign w:val="baseline"/>
        </w:rPr>
        <w:footnoteRef/>
      </w:r>
      <w:r w:rsidRPr="00145FDE">
        <w:rPr>
          <w:rFonts w:ascii="Traditional Arabic" w:hAnsi="Traditional Arabic"/>
          <w:sz w:val="32"/>
          <w:szCs w:val="32"/>
        </w:rPr>
        <w:t>)</w:t>
      </w:r>
      <w:r w:rsidRPr="00145FDE">
        <w:rPr>
          <w:rFonts w:ascii="Traditional Arabic" w:hAnsi="Traditional Arabic"/>
          <w:sz w:val="32"/>
          <w:szCs w:val="32"/>
          <w:rtl/>
        </w:rPr>
        <w:t xml:space="preserve">) </w:t>
      </w:r>
      <w:r>
        <w:rPr>
          <w:rFonts w:ascii="Traditional Arabic" w:hAnsi="Traditional Arabic" w:hint="cs"/>
          <w:sz w:val="32"/>
          <w:szCs w:val="32"/>
          <w:rtl/>
        </w:rPr>
        <w:t>انظر الأخبار العلمية من الاختيارات الفقهية لشيخ الإسلام ابن تيمية لعلاء الدين علي بن محمد البعلي (182).</w:t>
      </w:r>
    </w:p>
  </w:footnote>
  <w:footnote w:id="177">
    <w:p w:rsidR="000D3D21" w:rsidRPr="00455CC2" w:rsidRDefault="000D3D21">
      <w:pPr>
        <w:pStyle w:val="a7"/>
        <w:rPr>
          <w:rFonts w:ascii="Traditional Arabic" w:hAnsi="Traditional Arabic"/>
          <w:sz w:val="32"/>
          <w:szCs w:val="32"/>
          <w:rtl/>
        </w:rPr>
      </w:pPr>
      <w:r w:rsidRPr="00455CC2">
        <w:rPr>
          <w:rStyle w:val="af1"/>
          <w:rFonts w:ascii="Traditional Arabic" w:hAnsi="Traditional Arabic"/>
          <w:sz w:val="32"/>
          <w:szCs w:val="32"/>
          <w:vertAlign w:val="baseline"/>
        </w:rPr>
        <w:footnoteRef/>
      </w:r>
      <w:r w:rsidRPr="00455CC2">
        <w:rPr>
          <w:rFonts w:ascii="Traditional Arabic" w:hAnsi="Traditional Arabic"/>
          <w:sz w:val="32"/>
          <w:szCs w:val="32"/>
        </w:rPr>
        <w:t>)</w:t>
      </w:r>
      <w:r w:rsidRPr="00455CC2">
        <w:rPr>
          <w:rFonts w:ascii="Traditional Arabic" w:hAnsi="Traditional Arabic"/>
          <w:sz w:val="32"/>
          <w:szCs w:val="32"/>
          <w:rtl/>
        </w:rPr>
        <w:t xml:space="preserve">) </w:t>
      </w:r>
      <w:r>
        <w:rPr>
          <w:rFonts w:ascii="Traditional Arabic" w:hAnsi="Traditional Arabic" w:hint="cs"/>
          <w:sz w:val="32"/>
          <w:szCs w:val="32"/>
          <w:rtl/>
        </w:rPr>
        <w:t xml:space="preserve">ذكر الشيخ رحمه الله ذلك ردّاً على استثنائهم في المذهب </w:t>
      </w:r>
      <w:r w:rsidRPr="00455CC2">
        <w:rPr>
          <w:rFonts w:ascii="Traditional Arabic" w:hAnsi="Traditional Arabic" w:hint="cs"/>
          <w:sz w:val="32"/>
          <w:szCs w:val="32"/>
          <w:rtl/>
        </w:rPr>
        <w:t>ل</w:t>
      </w:r>
      <w:r w:rsidRPr="00455CC2">
        <w:rPr>
          <w:rFonts w:ascii="Traditional Arabic" w:hAnsi="Traditional Arabic"/>
          <w:noProof w:val="0"/>
          <w:sz w:val="32"/>
          <w:szCs w:val="32"/>
          <w:rtl/>
          <w:lang w:eastAsia="en-US"/>
        </w:rPr>
        <w:t>عقود الولايات والوكالات</w:t>
      </w:r>
      <w:r>
        <w:rPr>
          <w:rFonts w:ascii="Traditional Arabic" w:hAnsi="Traditional Arabic" w:hint="cs"/>
          <w:b/>
          <w:bCs/>
          <w:noProof w:val="0"/>
          <w:sz w:val="44"/>
          <w:szCs w:val="44"/>
          <w:rtl/>
          <w:lang w:eastAsia="en-US"/>
        </w:rPr>
        <w:t>.</w:t>
      </w:r>
      <w:r w:rsidRPr="00455CC2">
        <w:rPr>
          <w:rFonts w:ascii="Traditional Arabic" w:hAnsi="Traditional Arabic" w:hint="cs"/>
          <w:noProof w:val="0"/>
          <w:sz w:val="32"/>
          <w:szCs w:val="32"/>
          <w:rtl/>
          <w:lang w:eastAsia="en-US"/>
        </w:rPr>
        <w:t xml:space="preserve"> انظر الشرح الممتع (</w:t>
      </w:r>
      <w:r>
        <w:rPr>
          <w:rFonts w:ascii="Traditional Arabic" w:hAnsi="Traditional Arabic" w:hint="cs"/>
          <w:noProof w:val="0"/>
          <w:sz w:val="32"/>
          <w:szCs w:val="32"/>
          <w:rtl/>
          <w:lang w:eastAsia="en-US"/>
        </w:rPr>
        <w:t>8/253-254</w:t>
      </w:r>
      <w:r w:rsidRPr="00455CC2">
        <w:rPr>
          <w:rFonts w:ascii="Traditional Arabic" w:hAnsi="Traditional Arabic" w:hint="cs"/>
          <w:noProof w:val="0"/>
          <w:sz w:val="32"/>
          <w:szCs w:val="32"/>
          <w:rtl/>
          <w:lang w:eastAsia="en-US"/>
        </w:rPr>
        <w:t>).</w:t>
      </w:r>
    </w:p>
  </w:footnote>
  <w:footnote w:id="178">
    <w:p w:rsidR="000D3D21" w:rsidRPr="00455CC2" w:rsidRDefault="000D3D21">
      <w:pPr>
        <w:pStyle w:val="a7"/>
        <w:rPr>
          <w:rFonts w:ascii="Traditional Arabic" w:hAnsi="Traditional Arabic"/>
          <w:sz w:val="32"/>
          <w:szCs w:val="32"/>
          <w:rtl/>
        </w:rPr>
      </w:pPr>
      <w:r w:rsidRPr="00455CC2">
        <w:rPr>
          <w:rStyle w:val="af1"/>
          <w:rFonts w:ascii="Traditional Arabic" w:hAnsi="Traditional Arabic"/>
          <w:sz w:val="32"/>
          <w:szCs w:val="32"/>
          <w:vertAlign w:val="baseline"/>
        </w:rPr>
        <w:footnoteRef/>
      </w:r>
      <w:r w:rsidRPr="00455CC2">
        <w:rPr>
          <w:rFonts w:ascii="Traditional Arabic" w:hAnsi="Traditional Arabic"/>
          <w:sz w:val="32"/>
          <w:szCs w:val="32"/>
        </w:rPr>
        <w:t>)</w:t>
      </w:r>
      <w:r w:rsidRPr="00455CC2">
        <w:rPr>
          <w:rFonts w:ascii="Traditional Arabic" w:hAnsi="Traditional Arabic"/>
          <w:sz w:val="32"/>
          <w:szCs w:val="32"/>
          <w:rtl/>
        </w:rPr>
        <w:t xml:space="preserve">) </w:t>
      </w:r>
      <w:r>
        <w:rPr>
          <w:rFonts w:ascii="Traditional Arabic" w:hAnsi="Traditional Arabic" w:hint="cs"/>
          <w:sz w:val="32"/>
          <w:szCs w:val="32"/>
          <w:rtl/>
        </w:rPr>
        <w:t xml:space="preserve"> ذكر الشيخ رحمه الله ذلك ردّاً على القول في المذهب بجواز تعليق الفسخ دون العقد؛ لعلة أن الفسخ أوسع من العقد. انظر المرجع السابق (8/250).</w:t>
      </w:r>
    </w:p>
  </w:footnote>
  <w:footnote w:id="179">
    <w:p w:rsidR="000D3D21" w:rsidRPr="00B75D25" w:rsidRDefault="000D3D21">
      <w:pPr>
        <w:pStyle w:val="a7"/>
        <w:rPr>
          <w:rFonts w:ascii="Traditional Arabic" w:hAnsi="Traditional Arabic"/>
          <w:sz w:val="32"/>
          <w:szCs w:val="32"/>
          <w:rtl/>
        </w:rPr>
      </w:pPr>
      <w:r w:rsidRPr="00B75D25">
        <w:rPr>
          <w:rStyle w:val="af1"/>
          <w:rFonts w:ascii="Traditional Arabic" w:hAnsi="Traditional Arabic"/>
          <w:sz w:val="32"/>
          <w:szCs w:val="32"/>
          <w:vertAlign w:val="baseline"/>
        </w:rPr>
        <w:footnoteRef/>
      </w:r>
      <w:r w:rsidRPr="00B75D25">
        <w:rPr>
          <w:rFonts w:ascii="Traditional Arabic" w:hAnsi="Traditional Arabic"/>
          <w:sz w:val="32"/>
          <w:szCs w:val="32"/>
        </w:rPr>
        <w:t>)</w:t>
      </w:r>
      <w:r w:rsidRPr="00B75D25">
        <w:rPr>
          <w:rFonts w:ascii="Traditional Arabic" w:hAnsi="Traditional Arabic"/>
          <w:sz w:val="32"/>
          <w:szCs w:val="32"/>
          <w:rtl/>
        </w:rPr>
        <w:t xml:space="preserve">) </w:t>
      </w:r>
      <w:r>
        <w:rPr>
          <w:rFonts w:ascii="Traditional Arabic" w:hAnsi="Traditional Arabic" w:hint="cs"/>
          <w:sz w:val="32"/>
          <w:szCs w:val="32"/>
          <w:rtl/>
        </w:rPr>
        <w:t>المرجع السابق (8/254) بتصرف.</w:t>
      </w:r>
    </w:p>
  </w:footnote>
  <w:footnote w:id="180">
    <w:p w:rsidR="000D3D21" w:rsidRPr="00D61DF9" w:rsidRDefault="000D3D21">
      <w:pPr>
        <w:pStyle w:val="a7"/>
        <w:rPr>
          <w:rFonts w:ascii="Traditional Arabic" w:hAnsi="Traditional Arabic"/>
          <w:sz w:val="32"/>
          <w:szCs w:val="32"/>
          <w:rtl/>
        </w:rPr>
      </w:pPr>
      <w:r w:rsidRPr="00D61DF9">
        <w:rPr>
          <w:rStyle w:val="af1"/>
          <w:rFonts w:ascii="Traditional Arabic" w:hAnsi="Traditional Arabic"/>
          <w:sz w:val="32"/>
          <w:szCs w:val="32"/>
          <w:vertAlign w:val="baseline"/>
        </w:rPr>
        <w:footnoteRef/>
      </w:r>
      <w:r w:rsidRPr="00D61DF9">
        <w:rPr>
          <w:rFonts w:ascii="Traditional Arabic" w:hAnsi="Traditional Arabic"/>
          <w:sz w:val="32"/>
          <w:szCs w:val="32"/>
        </w:rPr>
        <w:t>)</w:t>
      </w:r>
      <w:r w:rsidRPr="00D61DF9">
        <w:rPr>
          <w:rFonts w:ascii="Traditional Arabic" w:hAnsi="Traditional Arabic"/>
          <w:sz w:val="32"/>
          <w:szCs w:val="32"/>
          <w:rtl/>
        </w:rPr>
        <w:t xml:space="preserve">) </w:t>
      </w:r>
      <w:r>
        <w:rPr>
          <w:rFonts w:ascii="Traditional Arabic" w:hAnsi="Traditional Arabic" w:hint="cs"/>
          <w:sz w:val="32"/>
          <w:szCs w:val="32"/>
          <w:rtl/>
        </w:rPr>
        <w:t>التعليق على القواعد والأصول الجامعة (264).</w:t>
      </w:r>
    </w:p>
  </w:footnote>
  <w:footnote w:id="181">
    <w:p w:rsidR="000D3D21" w:rsidRPr="00DC7BA3" w:rsidRDefault="000D3D21">
      <w:pPr>
        <w:pStyle w:val="a7"/>
        <w:rPr>
          <w:rFonts w:ascii="Traditional Arabic" w:hAnsi="Traditional Arabic"/>
          <w:sz w:val="32"/>
          <w:szCs w:val="32"/>
          <w:rtl/>
        </w:rPr>
      </w:pPr>
      <w:r w:rsidRPr="00DC7BA3">
        <w:rPr>
          <w:rStyle w:val="af1"/>
          <w:rFonts w:ascii="Traditional Arabic" w:hAnsi="Traditional Arabic"/>
          <w:sz w:val="32"/>
          <w:szCs w:val="32"/>
          <w:vertAlign w:val="baseline"/>
        </w:rPr>
        <w:footnoteRef/>
      </w:r>
      <w:r w:rsidRPr="00DC7BA3">
        <w:rPr>
          <w:rFonts w:ascii="Traditional Arabic" w:hAnsi="Traditional Arabic"/>
          <w:sz w:val="32"/>
          <w:szCs w:val="32"/>
        </w:rPr>
        <w:t>)</w:t>
      </w:r>
      <w:r w:rsidRPr="00DC7BA3">
        <w:rPr>
          <w:rFonts w:ascii="Traditional Arabic" w:hAnsi="Traditional Arabic"/>
          <w:sz w:val="32"/>
          <w:szCs w:val="32"/>
          <w:rtl/>
        </w:rPr>
        <w:t xml:space="preserve">) </w:t>
      </w:r>
      <w:r>
        <w:rPr>
          <w:rFonts w:ascii="Traditional Arabic" w:hAnsi="Traditional Arabic" w:hint="cs"/>
          <w:sz w:val="32"/>
          <w:szCs w:val="32"/>
          <w:rtl/>
        </w:rPr>
        <w:t>إعلام الموقعين عن رب العالمين (4/171-172).</w:t>
      </w:r>
    </w:p>
  </w:footnote>
  <w:footnote w:id="182">
    <w:p w:rsidR="000D3D21" w:rsidRPr="008262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262F0">
        <w:rPr>
          <w:rFonts w:ascii="Traditional Arabic" w:hAnsi="Traditional Arabic"/>
          <w:sz w:val="32"/>
          <w:szCs w:val="32"/>
          <w:rtl/>
        </w:rPr>
        <w:tab/>
        <w:t>كتاب العلم (90)</w:t>
      </w:r>
      <w:r>
        <w:rPr>
          <w:rFonts w:ascii="Traditional Arabic" w:hAnsi="Traditional Arabic"/>
          <w:sz w:val="32"/>
          <w:szCs w:val="32"/>
          <w:rtl/>
        </w:rPr>
        <w:t>.</w:t>
      </w:r>
    </w:p>
  </w:footnote>
  <w:footnote w:id="183">
    <w:p w:rsidR="000D3D21" w:rsidRPr="008454EA" w:rsidRDefault="000D3D21">
      <w:pPr>
        <w:pStyle w:val="a7"/>
        <w:rPr>
          <w:rFonts w:ascii="Traditional Arabic" w:hAnsi="Traditional Arabic"/>
          <w:sz w:val="32"/>
          <w:szCs w:val="32"/>
          <w:rtl/>
        </w:rPr>
      </w:pPr>
      <w:r w:rsidRPr="008454EA">
        <w:rPr>
          <w:rStyle w:val="af1"/>
          <w:rFonts w:ascii="Traditional Arabic" w:hAnsi="Traditional Arabic"/>
          <w:sz w:val="32"/>
          <w:szCs w:val="32"/>
          <w:vertAlign w:val="baseline"/>
        </w:rPr>
        <w:footnoteRef/>
      </w:r>
      <w:r w:rsidRPr="008454EA">
        <w:rPr>
          <w:rFonts w:ascii="Traditional Arabic" w:hAnsi="Traditional Arabic"/>
          <w:sz w:val="32"/>
          <w:szCs w:val="32"/>
        </w:rPr>
        <w:t>)</w:t>
      </w:r>
      <w:r w:rsidRPr="008454EA">
        <w:rPr>
          <w:rFonts w:ascii="Traditional Arabic" w:hAnsi="Traditional Arabic"/>
          <w:sz w:val="32"/>
          <w:szCs w:val="32"/>
          <w:rtl/>
        </w:rPr>
        <w:t xml:space="preserve">) </w:t>
      </w:r>
      <w:r>
        <w:rPr>
          <w:rFonts w:ascii="Traditional Arabic" w:hAnsi="Traditional Arabic" w:hint="cs"/>
          <w:sz w:val="32"/>
          <w:szCs w:val="32"/>
          <w:rtl/>
        </w:rPr>
        <w:t>الشرح الممتع (8/369_370).</w:t>
      </w:r>
    </w:p>
  </w:footnote>
  <w:footnote w:id="184">
    <w:p w:rsidR="000D3D21" w:rsidRPr="00165AFE" w:rsidRDefault="000D3D21">
      <w:pPr>
        <w:pStyle w:val="a7"/>
        <w:rPr>
          <w:rFonts w:ascii="Traditional Arabic" w:hAnsi="Traditional Arabic"/>
          <w:sz w:val="32"/>
          <w:szCs w:val="32"/>
          <w:rtl/>
        </w:rPr>
      </w:pPr>
      <w:r w:rsidRPr="00165AFE">
        <w:rPr>
          <w:rStyle w:val="af1"/>
          <w:rFonts w:ascii="Traditional Arabic" w:hAnsi="Traditional Arabic"/>
          <w:sz w:val="32"/>
          <w:szCs w:val="32"/>
          <w:vertAlign w:val="baseline"/>
        </w:rPr>
        <w:footnoteRef/>
      </w:r>
      <w:r w:rsidRPr="00165AFE">
        <w:rPr>
          <w:rFonts w:ascii="Traditional Arabic" w:hAnsi="Traditional Arabic"/>
          <w:sz w:val="32"/>
          <w:szCs w:val="32"/>
        </w:rPr>
        <w:t>)</w:t>
      </w:r>
      <w:r w:rsidRPr="00165AFE">
        <w:rPr>
          <w:rFonts w:ascii="Traditional Arabic" w:hAnsi="Traditional Arabic"/>
          <w:sz w:val="32"/>
          <w:szCs w:val="32"/>
          <w:rtl/>
        </w:rPr>
        <w:t xml:space="preserve">) </w:t>
      </w:r>
      <w:r>
        <w:rPr>
          <w:rFonts w:ascii="Traditional Arabic" w:hAnsi="Traditional Arabic" w:hint="cs"/>
          <w:sz w:val="32"/>
          <w:szCs w:val="32"/>
          <w:rtl/>
        </w:rPr>
        <w:t>الشرح الممتع (9/134).</w:t>
      </w:r>
    </w:p>
  </w:footnote>
  <w:footnote w:id="185">
    <w:p w:rsidR="000D3D21" w:rsidRPr="00B071AC" w:rsidRDefault="000D3D21">
      <w:pPr>
        <w:pStyle w:val="a7"/>
        <w:rPr>
          <w:rFonts w:ascii="Traditional Arabic" w:hAnsi="Traditional Arabic"/>
          <w:sz w:val="32"/>
          <w:szCs w:val="32"/>
          <w:rtl/>
        </w:rPr>
      </w:pPr>
      <w:r w:rsidRPr="00B071AC">
        <w:rPr>
          <w:rStyle w:val="af1"/>
          <w:rFonts w:ascii="Traditional Arabic" w:hAnsi="Traditional Arabic"/>
          <w:sz w:val="32"/>
          <w:szCs w:val="32"/>
          <w:vertAlign w:val="baseline"/>
        </w:rPr>
        <w:footnoteRef/>
      </w:r>
      <w:r w:rsidRPr="00B071AC">
        <w:rPr>
          <w:rFonts w:ascii="Traditional Arabic" w:hAnsi="Traditional Arabic"/>
          <w:sz w:val="32"/>
          <w:szCs w:val="32"/>
        </w:rPr>
        <w:t>)</w:t>
      </w:r>
      <w:r w:rsidRPr="00B071AC">
        <w:rPr>
          <w:rFonts w:ascii="Traditional Arabic" w:hAnsi="Traditional Arabic"/>
          <w:sz w:val="32"/>
          <w:szCs w:val="32"/>
          <w:rtl/>
        </w:rPr>
        <w:t xml:space="preserve">) </w:t>
      </w:r>
      <w:r>
        <w:rPr>
          <w:rFonts w:ascii="Traditional Arabic" w:hAnsi="Traditional Arabic" w:hint="cs"/>
          <w:sz w:val="32"/>
          <w:szCs w:val="32"/>
          <w:rtl/>
        </w:rPr>
        <w:t>الأخبار العلمية من الاختيارات الفقهية لشيخ الإسلام ابن تيمية (179، 293).</w:t>
      </w:r>
    </w:p>
  </w:footnote>
  <w:footnote w:id="186">
    <w:p w:rsidR="000D3D21" w:rsidRPr="00165AFE" w:rsidRDefault="000D3D21">
      <w:pPr>
        <w:pStyle w:val="a7"/>
        <w:rPr>
          <w:rFonts w:ascii="Traditional Arabic" w:hAnsi="Traditional Arabic"/>
          <w:sz w:val="32"/>
          <w:szCs w:val="32"/>
          <w:rtl/>
        </w:rPr>
      </w:pPr>
      <w:r w:rsidRPr="00165AFE">
        <w:rPr>
          <w:rStyle w:val="af1"/>
          <w:rFonts w:ascii="Traditional Arabic" w:hAnsi="Traditional Arabic"/>
          <w:sz w:val="32"/>
          <w:szCs w:val="32"/>
          <w:vertAlign w:val="baseline"/>
        </w:rPr>
        <w:footnoteRef/>
      </w:r>
      <w:r w:rsidRPr="00165AFE">
        <w:rPr>
          <w:rFonts w:ascii="Traditional Arabic" w:hAnsi="Traditional Arabic"/>
          <w:sz w:val="32"/>
          <w:szCs w:val="32"/>
        </w:rPr>
        <w:t>)</w:t>
      </w:r>
      <w:r w:rsidRPr="00165AFE">
        <w:rPr>
          <w:rFonts w:ascii="Traditional Arabic" w:hAnsi="Traditional Arabic"/>
          <w:sz w:val="32"/>
          <w:szCs w:val="32"/>
          <w:rtl/>
        </w:rPr>
        <w:t xml:space="preserve">) </w:t>
      </w:r>
      <w:r>
        <w:rPr>
          <w:rFonts w:ascii="Traditional Arabic" w:hAnsi="Traditional Arabic" w:hint="cs"/>
          <w:sz w:val="32"/>
          <w:szCs w:val="32"/>
          <w:rtl/>
        </w:rPr>
        <w:t>شرح منظومة أصول الفقه وقواعده (279) بتصرف.</w:t>
      </w:r>
    </w:p>
  </w:footnote>
  <w:footnote w:id="187">
    <w:p w:rsidR="000D3D21" w:rsidRPr="00124DC3" w:rsidRDefault="000D3D21">
      <w:pPr>
        <w:pStyle w:val="a7"/>
        <w:rPr>
          <w:rFonts w:ascii="Traditional Arabic" w:hAnsi="Traditional Arabic"/>
          <w:sz w:val="32"/>
          <w:szCs w:val="32"/>
          <w:rtl/>
        </w:rPr>
      </w:pPr>
      <w:r w:rsidRPr="00124DC3">
        <w:rPr>
          <w:rStyle w:val="af1"/>
          <w:rFonts w:ascii="Traditional Arabic" w:hAnsi="Traditional Arabic"/>
          <w:sz w:val="32"/>
          <w:szCs w:val="32"/>
          <w:vertAlign w:val="baseline"/>
        </w:rPr>
        <w:footnoteRef/>
      </w:r>
      <w:r w:rsidRPr="00124DC3">
        <w:rPr>
          <w:rFonts w:ascii="Traditional Arabic" w:hAnsi="Traditional Arabic"/>
          <w:sz w:val="32"/>
          <w:szCs w:val="32"/>
        </w:rPr>
        <w:t>)</w:t>
      </w:r>
      <w:r w:rsidRPr="00124DC3">
        <w:rPr>
          <w:rFonts w:ascii="Traditional Arabic" w:hAnsi="Traditional Arabic"/>
          <w:sz w:val="32"/>
          <w:szCs w:val="32"/>
          <w:rtl/>
        </w:rPr>
        <w:t xml:space="preserve">) </w:t>
      </w:r>
      <w:r>
        <w:rPr>
          <w:rFonts w:ascii="Traditional Arabic" w:hAnsi="Traditional Arabic" w:hint="cs"/>
          <w:sz w:val="32"/>
          <w:szCs w:val="32"/>
          <w:rtl/>
        </w:rPr>
        <w:t>المرجع السابق (96_97) بتصرف.</w:t>
      </w:r>
    </w:p>
  </w:footnote>
  <w:footnote w:id="188">
    <w:p w:rsidR="000D3D21" w:rsidRPr="008262F0"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262F0">
        <w:rPr>
          <w:rFonts w:ascii="Traditional Arabic" w:hAnsi="Traditional Arabic"/>
          <w:sz w:val="32"/>
          <w:szCs w:val="32"/>
          <w:rtl/>
        </w:rPr>
        <w:tab/>
        <w:t>انظر : المنهج الفقهي للشيخ محمد بن صالح العثيمين</w:t>
      </w:r>
      <w:r>
        <w:rPr>
          <w:rFonts w:ascii="Traditional Arabic" w:hAnsi="Traditional Arabic"/>
          <w:sz w:val="32"/>
          <w:szCs w:val="32"/>
          <w:rtl/>
        </w:rPr>
        <w:t xml:space="preserve">، </w:t>
      </w:r>
      <w:r w:rsidRPr="008262F0">
        <w:rPr>
          <w:rFonts w:ascii="Traditional Arabic" w:hAnsi="Traditional Arabic"/>
          <w:sz w:val="32"/>
          <w:szCs w:val="32"/>
          <w:rtl/>
        </w:rPr>
        <w:t xml:space="preserve"> </w:t>
      </w:r>
      <w:r>
        <w:rPr>
          <w:rFonts w:ascii="Traditional Arabic" w:hAnsi="Traditional Arabic" w:hint="cs"/>
          <w:sz w:val="32"/>
          <w:szCs w:val="32"/>
          <w:rtl/>
        </w:rPr>
        <w:t>ل</w:t>
      </w:r>
      <w:r w:rsidRPr="008262F0">
        <w:rPr>
          <w:rFonts w:ascii="Traditional Arabic" w:hAnsi="Traditional Arabic"/>
          <w:sz w:val="32"/>
          <w:szCs w:val="32"/>
          <w:rtl/>
        </w:rPr>
        <w:t>خالد المشيقح</w:t>
      </w:r>
      <w:r>
        <w:rPr>
          <w:rFonts w:ascii="Traditional Arabic" w:hAnsi="Traditional Arabic"/>
          <w:sz w:val="32"/>
          <w:szCs w:val="32"/>
          <w:rtl/>
        </w:rPr>
        <w:t>،</w:t>
      </w:r>
      <w:r w:rsidRPr="008262F0">
        <w:rPr>
          <w:rFonts w:ascii="Traditional Arabic" w:hAnsi="Traditional Arabic"/>
          <w:sz w:val="32"/>
          <w:szCs w:val="32"/>
          <w:rtl/>
        </w:rPr>
        <w:t xml:space="preserve"> مجلة البيان</w:t>
      </w:r>
      <w:r>
        <w:rPr>
          <w:rFonts w:ascii="Traditional Arabic" w:hAnsi="Traditional Arabic"/>
          <w:sz w:val="32"/>
          <w:szCs w:val="32"/>
          <w:rtl/>
        </w:rPr>
        <w:t>،</w:t>
      </w:r>
      <w:r w:rsidRPr="008262F0">
        <w:rPr>
          <w:rFonts w:ascii="Traditional Arabic" w:hAnsi="Traditional Arabic"/>
          <w:sz w:val="32"/>
          <w:szCs w:val="32"/>
          <w:rtl/>
        </w:rPr>
        <w:t xml:space="preserve"> ذو الحجة 1421هـ</w:t>
      </w:r>
      <w:r>
        <w:rPr>
          <w:rFonts w:ascii="Traditional Arabic" w:hAnsi="Traditional Arabic"/>
          <w:sz w:val="32"/>
          <w:szCs w:val="32"/>
          <w:rtl/>
        </w:rPr>
        <w:t>،</w:t>
      </w:r>
      <w:r w:rsidRPr="008262F0">
        <w:rPr>
          <w:rFonts w:ascii="Traditional Arabic" w:hAnsi="Traditional Arabic"/>
          <w:sz w:val="32"/>
          <w:szCs w:val="32"/>
          <w:rtl/>
        </w:rPr>
        <w:t xml:space="preserve"> مارس 2001م</w:t>
      </w:r>
      <w:r>
        <w:rPr>
          <w:rFonts w:ascii="Traditional Arabic" w:hAnsi="Traditional Arabic"/>
          <w:sz w:val="32"/>
          <w:szCs w:val="32"/>
          <w:rtl/>
        </w:rPr>
        <w:t>،</w:t>
      </w:r>
      <w:r w:rsidRPr="008262F0">
        <w:rPr>
          <w:rFonts w:ascii="Traditional Arabic" w:hAnsi="Traditional Arabic"/>
          <w:sz w:val="32"/>
          <w:szCs w:val="32"/>
          <w:rtl/>
        </w:rPr>
        <w:t xml:space="preserve"> العدد (160)</w:t>
      </w:r>
      <w:r>
        <w:rPr>
          <w:rFonts w:ascii="Traditional Arabic" w:hAnsi="Traditional Arabic"/>
          <w:sz w:val="32"/>
          <w:szCs w:val="32"/>
          <w:rtl/>
        </w:rPr>
        <w:t>.</w:t>
      </w:r>
    </w:p>
  </w:footnote>
  <w:footnote w:id="189">
    <w:p w:rsidR="000D3D21" w:rsidRPr="00BE11AE" w:rsidRDefault="000D3D21" w:rsidP="00BE11AE">
      <w:pPr>
        <w:pStyle w:val="a7"/>
        <w:rPr>
          <w:rFonts w:ascii="Traditional Arabic" w:hAnsi="Traditional Arabic"/>
          <w:sz w:val="32"/>
          <w:szCs w:val="32"/>
          <w:rtl/>
        </w:rPr>
      </w:pPr>
      <w:r w:rsidRPr="00BE11AE">
        <w:rPr>
          <w:rStyle w:val="af1"/>
          <w:rFonts w:ascii="Traditional Arabic" w:hAnsi="Traditional Arabic"/>
          <w:sz w:val="32"/>
          <w:szCs w:val="32"/>
          <w:vertAlign w:val="baseline"/>
        </w:rPr>
        <w:footnoteRef/>
      </w:r>
      <w:r w:rsidRPr="00BE11AE">
        <w:rPr>
          <w:rFonts w:ascii="Traditional Arabic" w:hAnsi="Traditional Arabic"/>
          <w:sz w:val="32"/>
          <w:szCs w:val="32"/>
        </w:rPr>
        <w:t>)</w:t>
      </w:r>
      <w:r w:rsidRPr="00BE11AE">
        <w:rPr>
          <w:rFonts w:ascii="Traditional Arabic" w:hAnsi="Traditional Arabic"/>
          <w:sz w:val="32"/>
          <w:szCs w:val="32"/>
          <w:rtl/>
        </w:rPr>
        <w:t xml:space="preserve">) </w:t>
      </w:r>
      <w:r>
        <w:rPr>
          <w:rFonts w:ascii="Traditional Arabic" w:hAnsi="Traditional Arabic" w:hint="cs"/>
          <w:sz w:val="32"/>
          <w:szCs w:val="32"/>
          <w:rtl/>
        </w:rPr>
        <w:t>انظر مطلب: "صيغ القاعدة عند الشيخ وعند علماء القواعد" في كل مبحث من مباحث فصول الباب الأول من هذه الرسالة.</w:t>
      </w:r>
    </w:p>
  </w:footnote>
  <w:footnote w:id="190">
    <w:p w:rsidR="000D3D21" w:rsidRPr="008909EC" w:rsidRDefault="000D3D21">
      <w:pPr>
        <w:pStyle w:val="a7"/>
        <w:rPr>
          <w:rFonts w:ascii="Traditional Arabic" w:hAnsi="Traditional Arabic"/>
          <w:sz w:val="32"/>
          <w:szCs w:val="32"/>
          <w:rtl/>
        </w:rPr>
      </w:pPr>
      <w:r w:rsidRPr="008909EC">
        <w:rPr>
          <w:rStyle w:val="af1"/>
          <w:rFonts w:ascii="Traditional Arabic" w:hAnsi="Traditional Arabic"/>
          <w:sz w:val="32"/>
          <w:szCs w:val="32"/>
          <w:vertAlign w:val="baseline"/>
        </w:rPr>
        <w:footnoteRef/>
      </w:r>
      <w:r w:rsidRPr="008909EC">
        <w:rPr>
          <w:rFonts w:ascii="Traditional Arabic" w:hAnsi="Traditional Arabic"/>
          <w:sz w:val="32"/>
          <w:szCs w:val="32"/>
        </w:rPr>
        <w:t>)</w:t>
      </w:r>
      <w:r w:rsidRPr="008909EC">
        <w:rPr>
          <w:rFonts w:ascii="Traditional Arabic" w:hAnsi="Traditional Arabic"/>
          <w:sz w:val="32"/>
          <w:szCs w:val="32"/>
          <w:rtl/>
        </w:rPr>
        <w:t xml:space="preserve">) </w:t>
      </w:r>
      <w:r>
        <w:rPr>
          <w:rFonts w:ascii="Traditional Arabic" w:hAnsi="Traditional Arabic" w:hint="cs"/>
          <w:sz w:val="32"/>
          <w:szCs w:val="32"/>
          <w:rtl/>
        </w:rPr>
        <w:t>القواعد والأصول الجامعة والفروق والتقاسيم النافعة البديعة (45).</w:t>
      </w:r>
    </w:p>
  </w:footnote>
  <w:footnote w:id="191">
    <w:p w:rsidR="000D3D21" w:rsidRPr="007944E9" w:rsidRDefault="000D3D21">
      <w:pPr>
        <w:pStyle w:val="a7"/>
        <w:rPr>
          <w:rFonts w:ascii="Traditional Arabic" w:hAnsi="Traditional Arabic"/>
          <w:sz w:val="32"/>
          <w:szCs w:val="32"/>
          <w:rtl/>
        </w:rPr>
      </w:pPr>
      <w:r w:rsidRPr="007944E9">
        <w:rPr>
          <w:rStyle w:val="af1"/>
          <w:rFonts w:ascii="Traditional Arabic" w:hAnsi="Traditional Arabic"/>
          <w:sz w:val="32"/>
          <w:szCs w:val="32"/>
          <w:vertAlign w:val="baseline"/>
        </w:rPr>
        <w:footnoteRef/>
      </w:r>
      <w:r w:rsidRPr="007944E9">
        <w:rPr>
          <w:rFonts w:ascii="Traditional Arabic" w:hAnsi="Traditional Arabic"/>
          <w:sz w:val="32"/>
          <w:szCs w:val="32"/>
        </w:rPr>
        <w:t>)</w:t>
      </w:r>
      <w:r w:rsidRPr="007944E9">
        <w:rPr>
          <w:rFonts w:ascii="Traditional Arabic" w:hAnsi="Traditional Arabic"/>
          <w:sz w:val="32"/>
          <w:szCs w:val="32"/>
          <w:rtl/>
        </w:rPr>
        <w:t xml:space="preserve">) </w:t>
      </w:r>
      <w:r>
        <w:rPr>
          <w:rFonts w:ascii="Traditional Arabic" w:hAnsi="Traditional Arabic" w:hint="cs"/>
          <w:sz w:val="32"/>
          <w:szCs w:val="32"/>
          <w:rtl/>
        </w:rPr>
        <w:t>التعليق على القواعد والأصول الجامعة (84).</w:t>
      </w:r>
    </w:p>
  </w:footnote>
  <w:footnote w:id="192">
    <w:p w:rsidR="000D3D21" w:rsidRPr="00D61DF9" w:rsidRDefault="000D3D21">
      <w:pPr>
        <w:pStyle w:val="a7"/>
        <w:rPr>
          <w:rFonts w:ascii="Traditional Arabic" w:hAnsi="Traditional Arabic"/>
          <w:sz w:val="32"/>
          <w:szCs w:val="32"/>
          <w:rtl/>
        </w:rPr>
      </w:pPr>
      <w:r w:rsidRPr="00D61DF9">
        <w:rPr>
          <w:rStyle w:val="af1"/>
          <w:rFonts w:ascii="Traditional Arabic" w:hAnsi="Traditional Arabic"/>
          <w:sz w:val="32"/>
          <w:szCs w:val="32"/>
          <w:vertAlign w:val="baseline"/>
        </w:rPr>
        <w:footnoteRef/>
      </w:r>
      <w:r w:rsidRPr="00D61DF9">
        <w:rPr>
          <w:rFonts w:ascii="Traditional Arabic" w:hAnsi="Traditional Arabic"/>
          <w:sz w:val="32"/>
          <w:szCs w:val="32"/>
        </w:rPr>
        <w:t>)</w:t>
      </w:r>
      <w:r w:rsidRPr="00D61DF9">
        <w:rPr>
          <w:rFonts w:ascii="Traditional Arabic" w:hAnsi="Traditional Arabic"/>
          <w:sz w:val="32"/>
          <w:szCs w:val="32"/>
          <w:rtl/>
        </w:rPr>
        <w:t xml:space="preserve">) </w:t>
      </w:r>
      <w:r>
        <w:rPr>
          <w:rFonts w:ascii="Traditional Arabic" w:hAnsi="Traditional Arabic" w:hint="cs"/>
          <w:sz w:val="32"/>
          <w:szCs w:val="32"/>
          <w:rtl/>
        </w:rPr>
        <w:t>القواعد والأصول الجامعة (84).</w:t>
      </w:r>
    </w:p>
  </w:footnote>
  <w:footnote w:id="193">
    <w:p w:rsidR="000D3D21" w:rsidRDefault="000D3D21">
      <w:pPr>
        <w:pStyle w:val="a7"/>
        <w:rPr>
          <w:rFonts w:ascii="Traditional Arabic" w:hAnsi="Traditional Arabic"/>
          <w:sz w:val="32"/>
          <w:szCs w:val="32"/>
          <w:rtl/>
        </w:rPr>
      </w:pPr>
      <w:r w:rsidRPr="007944E9">
        <w:rPr>
          <w:rStyle w:val="af1"/>
          <w:rFonts w:ascii="Traditional Arabic" w:hAnsi="Traditional Arabic"/>
          <w:sz w:val="32"/>
          <w:szCs w:val="32"/>
          <w:vertAlign w:val="baseline"/>
        </w:rPr>
        <w:footnoteRef/>
      </w:r>
      <w:r w:rsidRPr="007944E9">
        <w:rPr>
          <w:rFonts w:ascii="Traditional Arabic" w:hAnsi="Traditional Arabic"/>
          <w:sz w:val="32"/>
          <w:szCs w:val="32"/>
        </w:rPr>
        <w:t>)</w:t>
      </w:r>
      <w:r w:rsidRPr="007944E9">
        <w:rPr>
          <w:rFonts w:ascii="Traditional Arabic" w:hAnsi="Traditional Arabic"/>
          <w:sz w:val="32"/>
          <w:szCs w:val="32"/>
          <w:rtl/>
        </w:rPr>
        <w:t xml:space="preserve">) </w:t>
      </w:r>
      <w:r>
        <w:rPr>
          <w:rFonts w:ascii="Traditional Arabic" w:hAnsi="Traditional Arabic" w:hint="cs"/>
          <w:sz w:val="32"/>
          <w:szCs w:val="32"/>
          <w:rtl/>
        </w:rPr>
        <w:t>التعليق على القواعد والأصول الجامعة (189).</w:t>
      </w:r>
    </w:p>
    <w:p w:rsidR="000D3D21" w:rsidRPr="00E205A6" w:rsidRDefault="000D3D21">
      <w:pPr>
        <w:pStyle w:val="a7"/>
        <w:rPr>
          <w:rFonts w:ascii="Traditional Arabic" w:hAnsi="Traditional Arabic"/>
          <w:sz w:val="32"/>
          <w:szCs w:val="32"/>
          <w:rtl/>
        </w:rPr>
      </w:pPr>
      <w:r>
        <w:rPr>
          <w:rFonts w:ascii="Traditional Arabic" w:hAnsi="Traditional Arabic" w:hint="cs"/>
          <w:sz w:val="32"/>
          <w:szCs w:val="32"/>
          <w:rtl/>
        </w:rPr>
        <w:t xml:space="preserve">    </w:t>
      </w:r>
      <w:r w:rsidRPr="00E205A6">
        <w:rPr>
          <w:rFonts w:ascii="Traditional Arabic" w:hAnsi="Traditional Arabic" w:hint="cs"/>
          <w:b/>
          <w:bCs/>
          <w:sz w:val="32"/>
          <w:szCs w:val="32"/>
          <w:rtl/>
        </w:rPr>
        <w:t>تنبيه:</w:t>
      </w:r>
      <w:r>
        <w:rPr>
          <w:rFonts w:ascii="Traditional Arabic" w:hAnsi="Traditional Arabic" w:hint="cs"/>
          <w:b/>
          <w:bCs/>
          <w:sz w:val="32"/>
          <w:szCs w:val="32"/>
          <w:rtl/>
        </w:rPr>
        <w:t xml:space="preserve"> </w:t>
      </w:r>
      <w:r>
        <w:rPr>
          <w:rFonts w:ascii="Traditional Arabic" w:hAnsi="Traditional Arabic" w:hint="cs"/>
          <w:sz w:val="32"/>
          <w:szCs w:val="32"/>
          <w:rtl/>
        </w:rPr>
        <w:t>هذا القيد الذي ذكره الشيخ ابن عثيمين _رحمه الله_ ذكره الشيخ عبد الرحمن السعدي _رحمه الله_ في شرح منظومة القواعد الفقهية، حيث إنه قال لما تطرق إلى شرح القاعدة: (...وهذا أيضا كلُّه في الديون التي لا تحتاج إلى نية. فأما ما يحتاج إلى نية كالزكوات والكفارات ونحوها، فلا يؤدى عن غيره إلا بإذنه؛ لأن هذا الأداء لا يُبْرئ مَن أُدِّي عنه؛ لاحتياجه لِنيَّته). منظومة القواعد الفقهية وشرحها (49).</w:t>
      </w:r>
    </w:p>
  </w:footnote>
  <w:footnote w:id="194">
    <w:p w:rsidR="000D3D21" w:rsidRPr="008A4295"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A4295">
        <w:rPr>
          <w:rFonts w:ascii="Traditional Arabic" w:hAnsi="Traditional Arabic"/>
          <w:sz w:val="32"/>
          <w:szCs w:val="32"/>
          <w:rtl/>
        </w:rPr>
        <w:tab/>
        <w:t>تعليق الشيخ ابن عثيمين على القواعد والأصول الجامعة للسعدي (21)</w:t>
      </w:r>
      <w:r>
        <w:rPr>
          <w:rFonts w:ascii="Traditional Arabic" w:hAnsi="Traditional Arabic"/>
          <w:sz w:val="32"/>
          <w:szCs w:val="32"/>
          <w:rtl/>
        </w:rPr>
        <w:t>.</w:t>
      </w:r>
    </w:p>
  </w:footnote>
  <w:footnote w:id="195">
    <w:p w:rsidR="000D3D21" w:rsidRPr="00220935" w:rsidRDefault="000D3D21">
      <w:pPr>
        <w:pStyle w:val="a7"/>
        <w:rPr>
          <w:rFonts w:ascii="Traditional Arabic" w:hAnsi="Traditional Arabic"/>
          <w:sz w:val="32"/>
          <w:szCs w:val="32"/>
        </w:rPr>
      </w:pPr>
      <w:r w:rsidRPr="00220935">
        <w:rPr>
          <w:rStyle w:val="af1"/>
          <w:rFonts w:ascii="Traditional Arabic" w:hAnsi="Traditional Arabic"/>
          <w:sz w:val="32"/>
          <w:szCs w:val="32"/>
          <w:vertAlign w:val="baseline"/>
        </w:rPr>
        <w:footnoteRef/>
      </w:r>
      <w:r w:rsidRPr="00220935">
        <w:rPr>
          <w:rFonts w:ascii="Traditional Arabic" w:hAnsi="Traditional Arabic"/>
          <w:sz w:val="32"/>
          <w:szCs w:val="32"/>
        </w:rPr>
        <w:t>)</w:t>
      </w:r>
      <w:r w:rsidRPr="00220935">
        <w:rPr>
          <w:rFonts w:ascii="Traditional Arabic" w:hAnsi="Traditional Arabic"/>
          <w:sz w:val="32"/>
          <w:szCs w:val="32"/>
          <w:rtl/>
        </w:rPr>
        <w:t xml:space="preserve">) </w:t>
      </w:r>
      <w:r w:rsidRPr="00C50319">
        <w:rPr>
          <w:rFonts w:ascii="Tahoma" w:hAnsi="Tahoma" w:hint="cs"/>
          <w:sz w:val="32"/>
          <w:szCs w:val="32"/>
          <w:rtl/>
        </w:rPr>
        <w:t>أخرجه أبو داود في كتاب الأقضية، باب الصلح، رقم الحديث (3594)،</w:t>
      </w:r>
      <w:r>
        <w:rPr>
          <w:rFonts w:ascii="Tahoma" w:hAnsi="Tahoma" w:hint="cs"/>
          <w:sz w:val="32"/>
          <w:szCs w:val="32"/>
          <w:rtl/>
        </w:rPr>
        <w:t xml:space="preserve"> و</w:t>
      </w:r>
      <w:r w:rsidRPr="00C50319">
        <w:rPr>
          <w:rFonts w:ascii="Tahoma" w:hAnsi="Tahoma" w:hint="cs"/>
          <w:sz w:val="32"/>
          <w:szCs w:val="32"/>
          <w:rtl/>
        </w:rPr>
        <w:t xml:space="preserve">الترمذي في كتاب الأحكام، باب ما ذكر عن رسول الله </w:t>
      </w:r>
      <w:r w:rsidRPr="00C50319">
        <w:rPr>
          <w:rFonts w:ascii="Tahoma" w:hAnsi="Tahoma" w:cs="CTraditional Arabic" w:hint="cs"/>
          <w:color w:val="auto"/>
          <w:sz w:val="32"/>
          <w:szCs w:val="32"/>
          <w:rtl/>
        </w:rPr>
        <w:t>&gt;</w:t>
      </w:r>
      <w:r>
        <w:rPr>
          <w:rFonts w:ascii="Tahoma" w:hAnsi="Tahoma" w:hint="cs"/>
          <w:sz w:val="32"/>
          <w:szCs w:val="32"/>
          <w:rtl/>
        </w:rPr>
        <w:t xml:space="preserve"> </w:t>
      </w:r>
      <w:r w:rsidRPr="00C50319">
        <w:rPr>
          <w:rFonts w:ascii="Tahoma" w:hAnsi="Tahoma" w:hint="cs"/>
          <w:sz w:val="32"/>
          <w:szCs w:val="32"/>
          <w:rtl/>
        </w:rPr>
        <w:t>في الصلح بين الناس، رقم الحديث (1352).</w:t>
      </w:r>
      <w:r>
        <w:rPr>
          <w:rFonts w:ascii="Tahoma" w:hAnsi="Tahoma" w:hint="cs"/>
          <w:sz w:val="32"/>
          <w:szCs w:val="32"/>
          <w:rtl/>
        </w:rPr>
        <w:t xml:space="preserve"> و</w:t>
      </w:r>
      <w:r w:rsidRPr="00C50319">
        <w:rPr>
          <w:rFonts w:ascii="Tahoma" w:hAnsi="Tahoma" w:hint="cs"/>
          <w:sz w:val="32"/>
          <w:szCs w:val="32"/>
          <w:rtl/>
        </w:rPr>
        <w:t>الحديث ص</w:t>
      </w:r>
      <w:r>
        <w:rPr>
          <w:rFonts w:ascii="Tahoma" w:hAnsi="Tahoma" w:hint="cs"/>
          <w:sz w:val="32"/>
          <w:szCs w:val="32"/>
          <w:rtl/>
        </w:rPr>
        <w:t>ححه الألباني في إرواء الغليل (5/144-145</w:t>
      </w:r>
      <w:r w:rsidRPr="00C50319">
        <w:rPr>
          <w:rFonts w:ascii="Tahoma" w:hAnsi="Tahoma" w:hint="cs"/>
          <w:sz w:val="32"/>
          <w:szCs w:val="32"/>
          <w:rtl/>
        </w:rPr>
        <w:t>).</w:t>
      </w:r>
    </w:p>
  </w:footnote>
  <w:footnote w:id="196">
    <w:p w:rsidR="000D3D21" w:rsidRPr="00220935" w:rsidRDefault="000D3D21">
      <w:pPr>
        <w:pStyle w:val="a7"/>
        <w:rPr>
          <w:rFonts w:ascii="Traditional Arabic" w:hAnsi="Traditional Arabic"/>
          <w:sz w:val="32"/>
          <w:szCs w:val="32"/>
        </w:rPr>
      </w:pPr>
      <w:r w:rsidRPr="00220935">
        <w:rPr>
          <w:rStyle w:val="af1"/>
          <w:rFonts w:ascii="Traditional Arabic" w:hAnsi="Traditional Arabic"/>
          <w:sz w:val="32"/>
          <w:szCs w:val="32"/>
          <w:vertAlign w:val="baseline"/>
        </w:rPr>
        <w:footnoteRef/>
      </w:r>
      <w:r w:rsidRPr="00220935">
        <w:rPr>
          <w:rFonts w:ascii="Traditional Arabic" w:hAnsi="Traditional Arabic"/>
          <w:sz w:val="32"/>
          <w:szCs w:val="32"/>
        </w:rPr>
        <w:t>)</w:t>
      </w:r>
      <w:r w:rsidRPr="00220935">
        <w:rPr>
          <w:rFonts w:ascii="Traditional Arabic" w:hAnsi="Traditional Arabic"/>
          <w:sz w:val="32"/>
          <w:szCs w:val="32"/>
          <w:rtl/>
        </w:rPr>
        <w:t xml:space="preserve">) </w:t>
      </w:r>
      <w:r>
        <w:rPr>
          <w:rFonts w:ascii="Traditional Arabic" w:hAnsi="Traditional Arabic" w:hint="cs"/>
          <w:sz w:val="32"/>
          <w:szCs w:val="32"/>
          <w:rtl/>
        </w:rPr>
        <w:t>التعليق على السياسة الشرعية في إصلاح الراعي والرعية (435_436).</w:t>
      </w:r>
    </w:p>
  </w:footnote>
  <w:footnote w:id="197">
    <w:p w:rsidR="000D3D21" w:rsidRPr="009842AD" w:rsidRDefault="000D3D21" w:rsidP="001E60CD">
      <w:pPr>
        <w:pStyle w:val="a7"/>
        <w:pageBreakBefore/>
        <w:rPr>
          <w:rFonts w:ascii="Traditional Arabic" w:hAnsi="Traditional Arabic"/>
          <w:sz w:val="32"/>
          <w:szCs w:val="32"/>
          <w:rtl/>
        </w:rPr>
      </w:pPr>
      <w:r w:rsidRPr="001E60CD">
        <w:rPr>
          <w:rStyle w:val="af1"/>
          <w:rFonts w:ascii="Traditional Arabic" w:hAnsi="Traditional Arabic"/>
          <w:sz w:val="32"/>
          <w:szCs w:val="32"/>
          <w:vertAlign w:val="baseline"/>
        </w:rPr>
        <w:footnoteRef/>
      </w:r>
      <w:r w:rsidRPr="001E60CD">
        <w:rPr>
          <w:rFonts w:ascii="Traditional Arabic" w:hAnsi="Traditional Arabic"/>
          <w:sz w:val="32"/>
          <w:szCs w:val="32"/>
        </w:rPr>
        <w:t>)</w:t>
      </w:r>
      <w:r w:rsidRPr="001E60CD">
        <w:rPr>
          <w:rFonts w:ascii="Traditional Arabic" w:hAnsi="Traditional Arabic"/>
          <w:sz w:val="32"/>
          <w:szCs w:val="32"/>
          <w:rtl/>
        </w:rPr>
        <w:t xml:space="preserve">) </w:t>
      </w:r>
      <w:r>
        <w:rPr>
          <w:rFonts w:ascii="Traditional Arabic" w:hAnsi="Traditional Arabic"/>
          <w:sz w:val="32"/>
          <w:szCs w:val="32"/>
          <w:rtl/>
        </w:rPr>
        <w:t>رواه الحارث بن أسامة في مسنده</w:t>
      </w:r>
      <w:r w:rsidRPr="009842AD">
        <w:rPr>
          <w:rFonts w:ascii="Traditional Arabic" w:hAnsi="Traditional Arabic"/>
          <w:sz w:val="32"/>
          <w:szCs w:val="32"/>
          <w:rtl/>
        </w:rPr>
        <w:t xml:space="preserve"> في كتاب البيوع، باب في القرض يجر المنفعة.</w:t>
      </w:r>
      <w:r>
        <w:rPr>
          <w:rFonts w:ascii="Traditional Arabic" w:hAnsi="Traditional Arabic" w:hint="cs"/>
          <w:sz w:val="32"/>
          <w:szCs w:val="32"/>
          <w:rtl/>
        </w:rPr>
        <w:t xml:space="preserve"> </w:t>
      </w:r>
      <w:r w:rsidRPr="009842AD">
        <w:rPr>
          <w:rFonts w:ascii="Traditional Arabic" w:hAnsi="Traditional Arabic"/>
          <w:sz w:val="32"/>
          <w:szCs w:val="32"/>
          <w:rtl/>
        </w:rPr>
        <w:t>انظر بغية الباحث عن زوائد مسند الحارث للحافظ نور الدين علي بن سليمان بن أبي بكر الهيثمي (500).</w:t>
      </w:r>
      <w:r>
        <w:rPr>
          <w:rFonts w:ascii="Traditional Arabic" w:hAnsi="Traditional Arabic" w:hint="cs"/>
          <w:sz w:val="32"/>
          <w:szCs w:val="32"/>
          <w:rtl/>
        </w:rPr>
        <w:t xml:space="preserve"> </w:t>
      </w:r>
      <w:r w:rsidRPr="009842AD">
        <w:rPr>
          <w:rFonts w:ascii="Traditional Arabic" w:hAnsi="Traditional Arabic"/>
          <w:sz w:val="32"/>
          <w:szCs w:val="32"/>
          <w:rtl/>
        </w:rPr>
        <w:t xml:space="preserve">والحديث ضعفه </w:t>
      </w:r>
      <w:r>
        <w:rPr>
          <w:rFonts w:ascii="Traditional Arabic" w:hAnsi="Traditional Arabic" w:hint="cs"/>
          <w:sz w:val="32"/>
          <w:szCs w:val="32"/>
          <w:rtl/>
        </w:rPr>
        <w:t xml:space="preserve">الشيخ </w:t>
      </w:r>
      <w:r w:rsidRPr="009842AD">
        <w:rPr>
          <w:rFonts w:ascii="Traditional Arabic" w:hAnsi="Traditional Arabic"/>
          <w:sz w:val="32"/>
          <w:szCs w:val="32"/>
          <w:rtl/>
        </w:rPr>
        <w:t>الألباني في إرواء الغليل (5/235-236).</w:t>
      </w:r>
    </w:p>
    <w:p w:rsidR="000D3D21" w:rsidRDefault="000D3D21" w:rsidP="001E60CD">
      <w:pPr>
        <w:widowControl/>
        <w:autoSpaceDE w:val="0"/>
        <w:autoSpaceDN w:val="0"/>
        <w:adjustRightInd w:val="0"/>
        <w:ind w:firstLine="0"/>
        <w:jc w:val="left"/>
        <w:rPr>
          <w:rFonts w:ascii="Traditional Arabic" w:hAnsi="Traditional Arabic"/>
          <w:sz w:val="32"/>
          <w:szCs w:val="32"/>
          <w:rtl/>
        </w:rPr>
      </w:pPr>
      <w:r>
        <w:rPr>
          <w:rFonts w:ascii="Traditional Arabic" w:hAnsi="Traditional Arabic" w:hint="cs"/>
          <w:sz w:val="32"/>
          <w:szCs w:val="32"/>
          <w:rtl/>
        </w:rPr>
        <w:t xml:space="preserve">      </w:t>
      </w:r>
      <w:r w:rsidRPr="009842AD">
        <w:rPr>
          <w:rFonts w:ascii="Traditional Arabic" w:hAnsi="Traditional Arabic"/>
          <w:sz w:val="32"/>
          <w:szCs w:val="32"/>
          <w:rtl/>
        </w:rPr>
        <w:t xml:space="preserve">وروى البيهقي عن فضالة بن عبيد رضي الله عنه أنه قال:"كل قرض جر منفعة فهو وجه من وجوه </w:t>
      </w:r>
      <w:r>
        <w:rPr>
          <w:rFonts w:ascii="Traditional Arabic" w:hAnsi="Traditional Arabic" w:hint="cs"/>
          <w:sz w:val="32"/>
          <w:szCs w:val="32"/>
          <w:rtl/>
        </w:rPr>
        <w:t xml:space="preserve">    </w:t>
      </w:r>
      <w:r w:rsidRPr="009842AD">
        <w:rPr>
          <w:rFonts w:ascii="Traditional Arabic" w:hAnsi="Traditional Arabic"/>
          <w:sz w:val="32"/>
          <w:szCs w:val="32"/>
          <w:rtl/>
        </w:rPr>
        <w:t>الربا</w:t>
      </w:r>
      <w:r w:rsidR="00AB0B9E">
        <w:rPr>
          <w:rFonts w:ascii="Traditional Arabic" w:hAnsi="Traditional Arabic"/>
          <w:sz w:val="32"/>
          <w:szCs w:val="32"/>
          <w:rtl/>
        </w:rPr>
        <w:fldChar w:fldCharType="begin"/>
      </w:r>
      <w:r>
        <w:instrText xml:space="preserve"> XE "</w:instrText>
      </w:r>
      <w:r w:rsidRPr="00476473">
        <w:rPr>
          <w:rFonts w:ascii="Traditional Arabic" w:hAnsi="Traditional Arabic"/>
          <w:sz w:val="32"/>
          <w:szCs w:val="32"/>
          <w:rtl/>
        </w:rPr>
        <w:instrText>كل قرض جر منفعة فهو وجه من وجوه الربا</w:instrText>
      </w:r>
      <w:r>
        <w:instrText>" \ft</w:instrText>
      </w:r>
      <w:r w:rsidR="00AB0B9E">
        <w:rPr>
          <w:rFonts w:ascii="Traditional Arabic" w:hAnsi="Traditional Arabic"/>
          <w:sz w:val="32"/>
          <w:szCs w:val="32"/>
          <w:rtl/>
        </w:rPr>
        <w:fldChar w:fldCharType="end"/>
      </w:r>
      <w:r w:rsidRPr="009842AD">
        <w:rPr>
          <w:rFonts w:ascii="Traditional Arabic" w:hAnsi="Traditional Arabic"/>
          <w:sz w:val="32"/>
          <w:szCs w:val="32"/>
          <w:rtl/>
        </w:rPr>
        <w:t>".</w:t>
      </w:r>
      <w:r>
        <w:rPr>
          <w:rFonts w:ascii="Traditional Arabic" w:hAnsi="Traditional Arabic" w:hint="cs"/>
          <w:sz w:val="32"/>
          <w:szCs w:val="32"/>
          <w:rtl/>
        </w:rPr>
        <w:t xml:space="preserve"> </w:t>
      </w:r>
      <w:r w:rsidRPr="009842AD">
        <w:rPr>
          <w:rFonts w:ascii="Traditional Arabic" w:hAnsi="Traditional Arabic"/>
          <w:sz w:val="32"/>
          <w:szCs w:val="32"/>
          <w:rtl/>
        </w:rPr>
        <w:t xml:space="preserve">انظر السنن الكبرى، كتاب البيوع، باب كل قرض جر منفعة فهو ربا، رقم الحديث </w:t>
      </w:r>
      <w:r>
        <w:rPr>
          <w:rFonts w:ascii="Traditional Arabic" w:hAnsi="Traditional Arabic" w:hint="cs"/>
          <w:sz w:val="32"/>
          <w:szCs w:val="32"/>
          <w:rtl/>
        </w:rPr>
        <w:t>(11092)</w:t>
      </w:r>
      <w:r w:rsidRPr="009842AD">
        <w:rPr>
          <w:rFonts w:ascii="Traditional Arabic" w:hAnsi="Traditional Arabic"/>
          <w:sz w:val="32"/>
          <w:szCs w:val="32"/>
          <w:rtl/>
        </w:rPr>
        <w:t>.</w:t>
      </w:r>
    </w:p>
    <w:p w:rsidR="000D3D21" w:rsidRDefault="000D3D21" w:rsidP="001E60CD">
      <w:pPr>
        <w:widowControl/>
        <w:autoSpaceDE w:val="0"/>
        <w:autoSpaceDN w:val="0"/>
        <w:adjustRightInd w:val="0"/>
        <w:ind w:firstLine="0"/>
        <w:jc w:val="left"/>
        <w:rPr>
          <w:rFonts w:ascii="Traditional Arabic" w:hAnsi="Traditional Arabic"/>
          <w:sz w:val="32"/>
          <w:szCs w:val="32"/>
          <w:rtl/>
        </w:rPr>
      </w:pPr>
      <w:r>
        <w:rPr>
          <w:rFonts w:ascii="Traditional Arabic" w:hAnsi="Traditional Arabic" w:hint="cs"/>
          <w:sz w:val="32"/>
          <w:szCs w:val="32"/>
          <w:rtl/>
        </w:rPr>
        <w:t xml:space="preserve">      قال الشيخ الألباني عن هذا الأثر: (أخرجه البيهقي من طريق إدريس بن يحي عن عبد الله بن عياش قال: حدثني يزيد بن أبي حبيب عن أبي مرزوق التجيبي عنه. قلت: وإدريس هذا لم أجد له ترجمة، ومن فوقه ثقات). إرواء الغليل (5/235). </w:t>
      </w:r>
    </w:p>
    <w:p w:rsidR="000D3D21" w:rsidRPr="00CA6E98" w:rsidRDefault="000D3D21" w:rsidP="001E60CD">
      <w:pPr>
        <w:widowControl/>
        <w:autoSpaceDE w:val="0"/>
        <w:autoSpaceDN w:val="0"/>
        <w:adjustRightInd w:val="0"/>
        <w:ind w:firstLine="0"/>
        <w:jc w:val="left"/>
        <w:rPr>
          <w:rFonts w:ascii="Traditional Arabic" w:hAnsi="Traditional Arabic"/>
          <w:noProof w:val="0"/>
          <w:color w:val="auto"/>
          <w:sz w:val="32"/>
          <w:szCs w:val="32"/>
          <w:rtl/>
          <w:lang w:eastAsia="en-US"/>
        </w:rPr>
      </w:pPr>
      <w:r>
        <w:rPr>
          <w:rFonts w:ascii="Traditional Arabic" w:hAnsi="Traditional Arabic" w:hint="cs"/>
          <w:sz w:val="32"/>
          <w:szCs w:val="32"/>
          <w:rtl/>
        </w:rPr>
        <w:t xml:space="preserve">      وقال الحافظ ابن حجر بعد ذكره لحديث علي رضي الله عنه: (</w:t>
      </w:r>
      <w:r>
        <w:rPr>
          <w:rFonts w:ascii="Traditional Arabic" w:hAnsi="Traditional Arabic"/>
          <w:noProof w:val="0"/>
          <w:color w:val="auto"/>
          <w:sz w:val="32"/>
          <w:szCs w:val="32"/>
          <w:rtl/>
          <w:lang w:eastAsia="en-US"/>
        </w:rPr>
        <w:t>وإسناده ساقط</w:t>
      </w:r>
      <w:r w:rsidRPr="00CA6E98">
        <w:rPr>
          <w:rFonts w:ascii="Traditional Arabic" w:hAnsi="Traditional Arabic"/>
          <w:noProof w:val="0"/>
          <w:color w:val="auto"/>
          <w:sz w:val="32"/>
          <w:szCs w:val="32"/>
          <w:rtl/>
          <w:lang w:eastAsia="en-US"/>
        </w:rPr>
        <w:t>.</w:t>
      </w:r>
      <w:r>
        <w:rPr>
          <w:rFonts w:ascii="Traditional Arabic" w:hAnsi="Traditional Arabic" w:hint="cs"/>
          <w:noProof w:val="0"/>
          <w:color w:val="auto"/>
          <w:sz w:val="32"/>
          <w:szCs w:val="32"/>
          <w:rtl/>
          <w:lang w:eastAsia="en-US"/>
        </w:rPr>
        <w:t>وله شاهد ضعيف عن فضالة بن عبيد عند البيهقي). بلوغ المرام من أدلة الأحكام (220).</w:t>
      </w:r>
    </w:p>
    <w:p w:rsidR="000D3D21" w:rsidRPr="001E60CD" w:rsidRDefault="000D3D21">
      <w:pPr>
        <w:pStyle w:val="a7"/>
        <w:rPr>
          <w:rFonts w:ascii="Traditional Arabic" w:hAnsi="Traditional Arabic"/>
          <w:sz w:val="32"/>
          <w:szCs w:val="32"/>
          <w:rtl/>
        </w:rPr>
      </w:pPr>
    </w:p>
  </w:footnote>
  <w:footnote w:id="198">
    <w:p w:rsidR="000D3D21" w:rsidRPr="00443CC2" w:rsidRDefault="000D3D21" w:rsidP="001E60CD">
      <w:pPr>
        <w:pStyle w:val="a7"/>
        <w:rPr>
          <w:rFonts w:ascii="Traditional Arabic" w:hAnsi="Traditional Arabic"/>
          <w:sz w:val="32"/>
          <w:szCs w:val="32"/>
          <w:rtl/>
        </w:rPr>
      </w:pPr>
      <w:r w:rsidRPr="00443CC2">
        <w:rPr>
          <w:rStyle w:val="af1"/>
          <w:rFonts w:ascii="Traditional Arabic" w:hAnsi="Traditional Arabic"/>
          <w:sz w:val="32"/>
          <w:szCs w:val="32"/>
          <w:vertAlign w:val="baseline"/>
        </w:rPr>
        <w:footnoteRef/>
      </w:r>
      <w:r w:rsidRPr="00443CC2">
        <w:rPr>
          <w:rFonts w:ascii="Traditional Arabic" w:hAnsi="Traditional Arabic"/>
          <w:sz w:val="32"/>
          <w:szCs w:val="32"/>
        </w:rPr>
        <w:t>)</w:t>
      </w:r>
      <w:r w:rsidRPr="00443CC2">
        <w:rPr>
          <w:rFonts w:ascii="Traditional Arabic" w:hAnsi="Traditional Arabic"/>
          <w:sz w:val="32"/>
          <w:szCs w:val="32"/>
          <w:rtl/>
        </w:rPr>
        <w:t xml:space="preserve">) </w:t>
      </w:r>
      <w:r>
        <w:rPr>
          <w:rFonts w:ascii="Traditional Arabic" w:hAnsi="Traditional Arabic" w:hint="cs"/>
          <w:sz w:val="32"/>
          <w:szCs w:val="32"/>
          <w:rtl/>
        </w:rPr>
        <w:t>مجموع فتاوى ورسائل ابن عثيمين (29/486-487).</w:t>
      </w:r>
    </w:p>
  </w:footnote>
  <w:footnote w:id="199">
    <w:p w:rsidR="000D3D21" w:rsidRPr="004F08B0" w:rsidRDefault="000D3D21" w:rsidP="00203C3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F08B0">
        <w:rPr>
          <w:rFonts w:ascii="Traditional Arabic" w:hAnsi="Traditional Arabic"/>
          <w:sz w:val="32"/>
          <w:szCs w:val="32"/>
          <w:rtl/>
        </w:rPr>
        <w:t>شرح منظومة أصول الفقه وقواعده (62).</w:t>
      </w:r>
    </w:p>
    <w:p w:rsidR="000D3D21" w:rsidRPr="004F08B0" w:rsidRDefault="000D3D21" w:rsidP="00203C32">
      <w:pPr>
        <w:pStyle w:val="a7"/>
        <w:pageBreakBefore/>
        <w:rPr>
          <w:rFonts w:ascii="Traditional Arabic" w:hAnsi="Traditional Arabic"/>
          <w:sz w:val="32"/>
          <w:szCs w:val="32"/>
        </w:rPr>
      </w:pPr>
    </w:p>
  </w:footnote>
  <w:footnote w:id="200">
    <w:p w:rsidR="000D3D21" w:rsidRPr="00DA6C6A" w:rsidRDefault="000D3D21">
      <w:pPr>
        <w:pStyle w:val="a7"/>
        <w:rPr>
          <w:rFonts w:ascii="Traditional Arabic" w:hAnsi="Traditional Arabic"/>
          <w:sz w:val="32"/>
          <w:szCs w:val="32"/>
          <w:rtl/>
        </w:rPr>
      </w:pPr>
      <w:r w:rsidRPr="00DA6C6A">
        <w:rPr>
          <w:rStyle w:val="af1"/>
          <w:rFonts w:ascii="Traditional Arabic" w:hAnsi="Traditional Arabic"/>
          <w:sz w:val="32"/>
          <w:szCs w:val="32"/>
          <w:vertAlign w:val="baseline"/>
        </w:rPr>
        <w:footnoteRef/>
      </w:r>
      <w:r w:rsidRPr="00DA6C6A">
        <w:rPr>
          <w:rFonts w:ascii="Traditional Arabic" w:hAnsi="Traditional Arabic"/>
          <w:sz w:val="32"/>
          <w:szCs w:val="32"/>
        </w:rPr>
        <w:t>)</w:t>
      </w:r>
      <w:r w:rsidRPr="00DA6C6A">
        <w:rPr>
          <w:rFonts w:ascii="Traditional Arabic" w:hAnsi="Traditional Arabic"/>
          <w:sz w:val="32"/>
          <w:szCs w:val="32"/>
          <w:rtl/>
        </w:rPr>
        <w:t xml:space="preserve">) </w:t>
      </w:r>
      <w:r>
        <w:rPr>
          <w:rFonts w:ascii="Traditional Arabic" w:hAnsi="Traditional Arabic" w:hint="cs"/>
          <w:sz w:val="32"/>
          <w:szCs w:val="32"/>
          <w:rtl/>
        </w:rPr>
        <w:t>انظر القواعد والضوابط الفقهية عند الشيخ ابن عثيمين في الشرح الممتع من كتاب العبادات (1/167).</w:t>
      </w:r>
    </w:p>
  </w:footnote>
  <w:footnote w:id="201">
    <w:p w:rsidR="000D3D21" w:rsidRPr="00427055"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427055">
        <w:rPr>
          <w:rFonts w:ascii="Traditional Arabic" w:hAnsi="Traditional Arabic"/>
          <w:sz w:val="32"/>
          <w:szCs w:val="32"/>
          <w:rtl/>
        </w:rPr>
        <w:tab/>
        <w:t>كتاب العلم (226)</w:t>
      </w:r>
      <w:r>
        <w:rPr>
          <w:rFonts w:ascii="Traditional Arabic" w:hAnsi="Traditional Arabic"/>
          <w:sz w:val="32"/>
          <w:szCs w:val="32"/>
          <w:rtl/>
        </w:rPr>
        <w:t>.</w:t>
      </w:r>
    </w:p>
  </w:footnote>
  <w:footnote w:id="202">
    <w:p w:rsidR="000D3D21" w:rsidRPr="0091310E" w:rsidRDefault="000D3D21">
      <w:pPr>
        <w:pStyle w:val="a7"/>
        <w:rPr>
          <w:rFonts w:ascii="Traditional Arabic" w:hAnsi="Traditional Arabic"/>
          <w:sz w:val="32"/>
          <w:szCs w:val="32"/>
          <w:rtl/>
        </w:rPr>
      </w:pPr>
      <w:r w:rsidRPr="0091310E">
        <w:rPr>
          <w:rStyle w:val="af1"/>
          <w:rFonts w:ascii="Traditional Arabic" w:hAnsi="Traditional Arabic"/>
          <w:sz w:val="32"/>
          <w:szCs w:val="32"/>
          <w:vertAlign w:val="baseline"/>
        </w:rPr>
        <w:footnoteRef/>
      </w:r>
      <w:r w:rsidRPr="0091310E">
        <w:rPr>
          <w:rFonts w:ascii="Traditional Arabic" w:hAnsi="Traditional Arabic"/>
          <w:sz w:val="32"/>
          <w:szCs w:val="32"/>
        </w:rPr>
        <w:t>)</w:t>
      </w:r>
      <w:r w:rsidRPr="0091310E">
        <w:rPr>
          <w:rFonts w:ascii="Traditional Arabic" w:hAnsi="Traditional Arabic"/>
          <w:sz w:val="32"/>
          <w:szCs w:val="32"/>
          <w:rtl/>
        </w:rPr>
        <w:t xml:space="preserve">) </w:t>
      </w:r>
      <w:r>
        <w:rPr>
          <w:rFonts w:ascii="Traditional Arabic" w:hAnsi="Traditional Arabic" w:hint="cs"/>
          <w:sz w:val="32"/>
          <w:szCs w:val="32"/>
          <w:rtl/>
        </w:rPr>
        <w:t>انظر الشرح الممتع (8/162).</w:t>
      </w:r>
    </w:p>
  </w:footnote>
  <w:footnote w:id="203">
    <w:p w:rsidR="000D3D21" w:rsidRPr="0091310E" w:rsidRDefault="000D3D21" w:rsidP="006F1A84">
      <w:pPr>
        <w:pStyle w:val="a7"/>
        <w:rPr>
          <w:rFonts w:ascii="Traditional Arabic" w:hAnsi="Traditional Arabic"/>
          <w:sz w:val="32"/>
          <w:szCs w:val="32"/>
          <w:rtl/>
        </w:rPr>
      </w:pPr>
      <w:r w:rsidRPr="0091310E">
        <w:rPr>
          <w:rStyle w:val="af1"/>
          <w:rFonts w:ascii="Traditional Arabic" w:hAnsi="Traditional Arabic"/>
          <w:sz w:val="32"/>
          <w:szCs w:val="32"/>
          <w:vertAlign w:val="baseline"/>
        </w:rPr>
        <w:footnoteRef/>
      </w:r>
      <w:r w:rsidRPr="0091310E">
        <w:rPr>
          <w:rFonts w:ascii="Traditional Arabic" w:hAnsi="Traditional Arabic"/>
          <w:sz w:val="32"/>
          <w:szCs w:val="32"/>
        </w:rPr>
        <w:t>)</w:t>
      </w:r>
      <w:r w:rsidRPr="0091310E">
        <w:rPr>
          <w:rFonts w:ascii="Traditional Arabic" w:hAnsi="Traditional Arabic"/>
          <w:sz w:val="32"/>
          <w:szCs w:val="32"/>
          <w:rtl/>
        </w:rPr>
        <w:t xml:space="preserve">) </w:t>
      </w:r>
      <w:r>
        <w:rPr>
          <w:rFonts w:ascii="Traditional Arabic" w:hAnsi="Traditional Arabic" w:hint="cs"/>
          <w:sz w:val="32"/>
          <w:szCs w:val="32"/>
          <w:rtl/>
        </w:rPr>
        <w:t xml:space="preserve">انظر  </w:t>
      </w:r>
      <w:r>
        <w:rPr>
          <w:rFonts w:ascii="Traditional Arabic" w:hAnsi="Traditional Arabic"/>
          <w:sz w:val="32"/>
          <w:szCs w:val="32"/>
          <w:rtl/>
        </w:rPr>
        <w:t>ال</w:t>
      </w:r>
      <w:r>
        <w:rPr>
          <w:rFonts w:ascii="Traditional Arabic" w:hAnsi="Traditional Arabic" w:hint="cs"/>
          <w:sz w:val="32"/>
          <w:szCs w:val="32"/>
          <w:rtl/>
        </w:rPr>
        <w:t>مرجع السابق</w:t>
      </w:r>
      <w:r w:rsidRPr="00427055">
        <w:rPr>
          <w:rFonts w:ascii="Traditional Arabic" w:hAnsi="Traditional Arabic"/>
          <w:sz w:val="32"/>
          <w:szCs w:val="32"/>
          <w:rtl/>
        </w:rPr>
        <w:t xml:space="preserve"> (2/50</w:t>
      </w:r>
      <w:r>
        <w:rPr>
          <w:rFonts w:ascii="Traditional Arabic" w:hAnsi="Traditional Arabic" w:hint="cs"/>
          <w:sz w:val="32"/>
          <w:szCs w:val="32"/>
          <w:rtl/>
        </w:rPr>
        <w:t>، 203</w:t>
      </w:r>
      <w:r w:rsidRPr="00427055">
        <w:rPr>
          <w:rFonts w:ascii="Traditional Arabic" w:hAnsi="Traditional Arabic"/>
          <w:sz w:val="32"/>
          <w:szCs w:val="32"/>
          <w:rtl/>
        </w:rPr>
        <w:t>)</w:t>
      </w:r>
      <w:r>
        <w:rPr>
          <w:rFonts w:ascii="Traditional Arabic" w:hAnsi="Traditional Arabic" w:hint="cs"/>
          <w:sz w:val="32"/>
          <w:szCs w:val="32"/>
          <w:rtl/>
        </w:rPr>
        <w:t>.</w:t>
      </w:r>
    </w:p>
  </w:footnote>
  <w:footnote w:id="204">
    <w:p w:rsidR="000D3D21" w:rsidRPr="006F1A84" w:rsidRDefault="000D3D21" w:rsidP="005D4589">
      <w:pPr>
        <w:pStyle w:val="a7"/>
        <w:rPr>
          <w:rFonts w:ascii="Traditional Arabic" w:hAnsi="Traditional Arabic"/>
          <w:sz w:val="32"/>
          <w:szCs w:val="32"/>
          <w:rtl/>
        </w:rPr>
      </w:pPr>
      <w:r w:rsidRPr="006F1A84">
        <w:rPr>
          <w:rStyle w:val="af1"/>
          <w:rFonts w:ascii="Traditional Arabic" w:hAnsi="Traditional Arabic"/>
          <w:sz w:val="32"/>
          <w:szCs w:val="32"/>
          <w:vertAlign w:val="baseline"/>
        </w:rPr>
        <w:footnoteRef/>
      </w:r>
      <w:r w:rsidRPr="006F1A84">
        <w:rPr>
          <w:rFonts w:ascii="Traditional Arabic" w:hAnsi="Traditional Arabic"/>
          <w:sz w:val="32"/>
          <w:szCs w:val="32"/>
        </w:rPr>
        <w:t>)</w:t>
      </w:r>
      <w:r w:rsidRPr="006F1A84">
        <w:rPr>
          <w:rFonts w:ascii="Traditional Arabic" w:hAnsi="Traditional Arabic"/>
          <w:sz w:val="32"/>
          <w:szCs w:val="32"/>
          <w:rtl/>
        </w:rPr>
        <w:t xml:space="preserve">) </w:t>
      </w:r>
      <w:r>
        <w:rPr>
          <w:rFonts w:ascii="Traditional Arabic" w:hAnsi="Traditional Arabic" w:hint="cs"/>
          <w:sz w:val="32"/>
          <w:szCs w:val="32"/>
          <w:rtl/>
        </w:rPr>
        <w:t>انظر: الشرح الممتع (2/50)، و(8/168، 278)، و(9/111-112).</w:t>
      </w:r>
    </w:p>
  </w:footnote>
  <w:footnote w:id="205">
    <w:p w:rsidR="000D3D21" w:rsidRPr="005D4589" w:rsidRDefault="000D3D21">
      <w:pPr>
        <w:pStyle w:val="a7"/>
        <w:rPr>
          <w:rFonts w:ascii="Traditional Arabic" w:hAnsi="Traditional Arabic"/>
          <w:sz w:val="32"/>
          <w:szCs w:val="32"/>
          <w:rtl/>
        </w:rPr>
      </w:pPr>
      <w:r w:rsidRPr="005D4589">
        <w:rPr>
          <w:rStyle w:val="af1"/>
          <w:rFonts w:ascii="Traditional Arabic" w:hAnsi="Traditional Arabic"/>
          <w:sz w:val="32"/>
          <w:szCs w:val="32"/>
          <w:vertAlign w:val="baseline"/>
        </w:rPr>
        <w:footnoteRef/>
      </w:r>
      <w:r w:rsidRPr="005D4589">
        <w:rPr>
          <w:rFonts w:ascii="Traditional Arabic" w:hAnsi="Traditional Arabic"/>
          <w:sz w:val="32"/>
          <w:szCs w:val="32"/>
        </w:rPr>
        <w:t>)</w:t>
      </w:r>
      <w:r w:rsidRPr="005D4589">
        <w:rPr>
          <w:rFonts w:ascii="Traditional Arabic" w:hAnsi="Traditional Arabic"/>
          <w:sz w:val="32"/>
          <w:szCs w:val="32"/>
          <w:rtl/>
        </w:rPr>
        <w:t xml:space="preserve">) </w:t>
      </w:r>
      <w:r>
        <w:rPr>
          <w:rFonts w:ascii="Traditional Arabic" w:hAnsi="Traditional Arabic" w:hint="cs"/>
          <w:sz w:val="32"/>
          <w:szCs w:val="32"/>
          <w:rtl/>
        </w:rPr>
        <w:t>انظر: المرجع السابق (8/131-132)، و(9/255، 256، 279).</w:t>
      </w:r>
    </w:p>
  </w:footnote>
  <w:footnote w:id="206">
    <w:p w:rsidR="000D3D21" w:rsidRPr="00173F8B" w:rsidRDefault="000D3D21">
      <w:pPr>
        <w:pStyle w:val="a7"/>
        <w:rPr>
          <w:rFonts w:ascii="Traditional Arabic" w:hAnsi="Traditional Arabic"/>
          <w:sz w:val="32"/>
          <w:szCs w:val="32"/>
          <w:rtl/>
        </w:rPr>
      </w:pPr>
      <w:r w:rsidRPr="00173F8B">
        <w:rPr>
          <w:rStyle w:val="af1"/>
          <w:rFonts w:ascii="Traditional Arabic" w:hAnsi="Traditional Arabic"/>
          <w:sz w:val="32"/>
          <w:szCs w:val="32"/>
          <w:vertAlign w:val="baseline"/>
        </w:rPr>
        <w:footnoteRef/>
      </w:r>
      <w:r w:rsidRPr="00173F8B">
        <w:rPr>
          <w:rFonts w:ascii="Traditional Arabic" w:hAnsi="Traditional Arabic"/>
          <w:sz w:val="32"/>
          <w:szCs w:val="32"/>
        </w:rPr>
        <w:t>)</w:t>
      </w:r>
      <w:r w:rsidRPr="00173F8B">
        <w:rPr>
          <w:rFonts w:ascii="Traditional Arabic" w:hAnsi="Traditional Arabic"/>
          <w:sz w:val="32"/>
          <w:szCs w:val="32"/>
          <w:rtl/>
        </w:rPr>
        <w:t xml:space="preserve">) </w:t>
      </w:r>
      <w:r>
        <w:rPr>
          <w:rFonts w:ascii="Traditional Arabic" w:hAnsi="Traditional Arabic" w:hint="cs"/>
          <w:sz w:val="32"/>
          <w:szCs w:val="32"/>
          <w:rtl/>
        </w:rPr>
        <w:t>انظر: المرجع السابق (8/158، 168، 418).</w:t>
      </w:r>
    </w:p>
  </w:footnote>
  <w:footnote w:id="207">
    <w:p w:rsidR="000D3D21" w:rsidRPr="00173F8B" w:rsidRDefault="000D3D21">
      <w:pPr>
        <w:pStyle w:val="a7"/>
        <w:rPr>
          <w:rFonts w:ascii="Traditional Arabic" w:hAnsi="Traditional Arabic"/>
          <w:sz w:val="32"/>
          <w:szCs w:val="32"/>
          <w:rtl/>
        </w:rPr>
      </w:pPr>
      <w:r w:rsidRPr="00173F8B">
        <w:rPr>
          <w:rStyle w:val="af1"/>
          <w:rFonts w:ascii="Traditional Arabic" w:hAnsi="Traditional Arabic"/>
          <w:sz w:val="32"/>
          <w:szCs w:val="32"/>
          <w:vertAlign w:val="baseline"/>
        </w:rPr>
        <w:footnoteRef/>
      </w:r>
      <w:r w:rsidRPr="00173F8B">
        <w:rPr>
          <w:rFonts w:ascii="Traditional Arabic" w:hAnsi="Traditional Arabic"/>
          <w:sz w:val="32"/>
          <w:szCs w:val="32"/>
        </w:rPr>
        <w:t>)</w:t>
      </w:r>
      <w:r w:rsidRPr="00173F8B">
        <w:rPr>
          <w:rFonts w:ascii="Traditional Arabic" w:hAnsi="Traditional Arabic"/>
          <w:sz w:val="32"/>
          <w:szCs w:val="32"/>
          <w:rtl/>
        </w:rPr>
        <w:t xml:space="preserve">) </w:t>
      </w:r>
      <w:r>
        <w:rPr>
          <w:rFonts w:ascii="Traditional Arabic" w:hAnsi="Traditional Arabic" w:hint="cs"/>
          <w:sz w:val="32"/>
          <w:szCs w:val="32"/>
          <w:rtl/>
        </w:rPr>
        <w:t>انظر المرجع السابق (9/207-208، 365).</w:t>
      </w:r>
    </w:p>
  </w:footnote>
  <w:footnote w:id="208">
    <w:p w:rsidR="000D3D21" w:rsidRPr="00041CA2" w:rsidRDefault="000D3D21">
      <w:pPr>
        <w:pStyle w:val="a7"/>
        <w:rPr>
          <w:rFonts w:ascii="Traditional Arabic" w:hAnsi="Traditional Arabic"/>
          <w:sz w:val="32"/>
          <w:szCs w:val="32"/>
          <w:rtl/>
        </w:rPr>
      </w:pPr>
      <w:r w:rsidRPr="00041CA2">
        <w:rPr>
          <w:rStyle w:val="af1"/>
          <w:rFonts w:ascii="Traditional Arabic" w:hAnsi="Traditional Arabic"/>
          <w:sz w:val="32"/>
          <w:szCs w:val="32"/>
          <w:vertAlign w:val="baseline"/>
        </w:rPr>
        <w:footnoteRef/>
      </w:r>
      <w:r w:rsidRPr="00041CA2">
        <w:rPr>
          <w:rFonts w:ascii="Traditional Arabic" w:hAnsi="Traditional Arabic"/>
          <w:sz w:val="32"/>
          <w:szCs w:val="32"/>
        </w:rPr>
        <w:t>)</w:t>
      </w:r>
      <w:r w:rsidRPr="00041CA2">
        <w:rPr>
          <w:rFonts w:ascii="Traditional Arabic" w:hAnsi="Traditional Arabic"/>
          <w:sz w:val="32"/>
          <w:szCs w:val="32"/>
          <w:rtl/>
        </w:rPr>
        <w:t xml:space="preserve">) </w:t>
      </w:r>
      <w:r>
        <w:rPr>
          <w:rFonts w:ascii="Traditional Arabic" w:hAnsi="Traditional Arabic" w:hint="cs"/>
          <w:sz w:val="32"/>
          <w:szCs w:val="32"/>
          <w:rtl/>
        </w:rPr>
        <w:t>انظر المرجع السابق (10/350-351).</w:t>
      </w:r>
    </w:p>
  </w:footnote>
  <w:footnote w:id="209">
    <w:p w:rsidR="000D3D21" w:rsidRPr="00041CA2" w:rsidRDefault="000D3D21">
      <w:pPr>
        <w:pStyle w:val="a7"/>
        <w:rPr>
          <w:rFonts w:ascii="Traditional Arabic" w:hAnsi="Traditional Arabic"/>
          <w:sz w:val="32"/>
          <w:szCs w:val="32"/>
          <w:rtl/>
        </w:rPr>
      </w:pPr>
      <w:r w:rsidRPr="00041CA2">
        <w:rPr>
          <w:rStyle w:val="af1"/>
          <w:rFonts w:ascii="Traditional Arabic" w:hAnsi="Traditional Arabic"/>
          <w:sz w:val="32"/>
          <w:szCs w:val="32"/>
          <w:vertAlign w:val="baseline"/>
        </w:rPr>
        <w:footnoteRef/>
      </w:r>
      <w:r w:rsidRPr="00041CA2">
        <w:rPr>
          <w:rFonts w:ascii="Traditional Arabic" w:hAnsi="Traditional Arabic"/>
          <w:sz w:val="32"/>
          <w:szCs w:val="32"/>
        </w:rPr>
        <w:t>)</w:t>
      </w:r>
      <w:r w:rsidRPr="00041CA2">
        <w:rPr>
          <w:rFonts w:ascii="Traditional Arabic" w:hAnsi="Traditional Arabic"/>
          <w:sz w:val="32"/>
          <w:szCs w:val="32"/>
          <w:rtl/>
        </w:rPr>
        <w:t xml:space="preserve">) </w:t>
      </w:r>
      <w:r>
        <w:rPr>
          <w:rFonts w:ascii="Traditional Arabic" w:hAnsi="Traditional Arabic" w:hint="cs"/>
          <w:sz w:val="32"/>
          <w:szCs w:val="32"/>
          <w:rtl/>
        </w:rPr>
        <w:t>انظر المرجع السابق (8/170، 370)، و(9/127)، و(10/327)، ومجموع فتاوى ورسائل ابن عثيمين (28/216-217)، و(29/421).</w:t>
      </w:r>
    </w:p>
  </w:footnote>
  <w:footnote w:id="210">
    <w:p w:rsidR="000D3D21" w:rsidRPr="000D2750" w:rsidRDefault="000D3D21">
      <w:pPr>
        <w:pStyle w:val="a7"/>
        <w:rPr>
          <w:rFonts w:ascii="Traditional Arabic" w:hAnsi="Traditional Arabic"/>
          <w:sz w:val="32"/>
          <w:szCs w:val="32"/>
          <w:rtl/>
        </w:rPr>
      </w:pPr>
      <w:r w:rsidRPr="000D2750">
        <w:rPr>
          <w:rStyle w:val="af1"/>
          <w:rFonts w:ascii="Traditional Arabic" w:hAnsi="Traditional Arabic"/>
          <w:sz w:val="32"/>
          <w:szCs w:val="32"/>
          <w:vertAlign w:val="baseline"/>
        </w:rPr>
        <w:footnoteRef/>
      </w:r>
      <w:r w:rsidRPr="000D2750">
        <w:rPr>
          <w:rFonts w:ascii="Traditional Arabic" w:hAnsi="Traditional Arabic"/>
          <w:sz w:val="32"/>
          <w:szCs w:val="32"/>
        </w:rPr>
        <w:t>)</w:t>
      </w:r>
      <w:r w:rsidRPr="000D2750">
        <w:rPr>
          <w:rFonts w:ascii="Traditional Arabic" w:hAnsi="Traditional Arabic"/>
          <w:sz w:val="32"/>
          <w:szCs w:val="32"/>
          <w:rtl/>
        </w:rPr>
        <w:t xml:space="preserve">) </w:t>
      </w:r>
      <w:r>
        <w:rPr>
          <w:rFonts w:ascii="Traditional Arabic" w:hAnsi="Traditional Arabic" w:hint="cs"/>
          <w:sz w:val="32"/>
          <w:szCs w:val="32"/>
          <w:rtl/>
        </w:rPr>
        <w:t>انظر المرجع السابق (8/211،370).</w:t>
      </w:r>
    </w:p>
  </w:footnote>
  <w:footnote w:id="211">
    <w:p w:rsidR="000D3D21" w:rsidRPr="000E139F" w:rsidRDefault="000D3D21">
      <w:pPr>
        <w:pStyle w:val="a7"/>
        <w:rPr>
          <w:rFonts w:ascii="Traditional Arabic" w:hAnsi="Traditional Arabic"/>
          <w:sz w:val="32"/>
          <w:szCs w:val="32"/>
          <w:rtl/>
        </w:rPr>
      </w:pPr>
      <w:r w:rsidRPr="000E139F">
        <w:rPr>
          <w:rStyle w:val="af1"/>
          <w:rFonts w:ascii="Traditional Arabic" w:hAnsi="Traditional Arabic"/>
          <w:sz w:val="32"/>
          <w:szCs w:val="32"/>
          <w:vertAlign w:val="baseline"/>
        </w:rPr>
        <w:footnoteRef/>
      </w:r>
      <w:r w:rsidRPr="000E139F">
        <w:rPr>
          <w:rFonts w:ascii="Traditional Arabic" w:hAnsi="Traditional Arabic"/>
          <w:sz w:val="32"/>
          <w:szCs w:val="32"/>
        </w:rPr>
        <w:t>)</w:t>
      </w:r>
      <w:r w:rsidRPr="000E139F">
        <w:rPr>
          <w:rFonts w:ascii="Traditional Arabic" w:hAnsi="Traditional Arabic"/>
          <w:sz w:val="32"/>
          <w:szCs w:val="32"/>
          <w:rtl/>
        </w:rPr>
        <w:t xml:space="preserve">) </w:t>
      </w:r>
      <w:r>
        <w:rPr>
          <w:rFonts w:ascii="Traditional Arabic" w:hAnsi="Traditional Arabic" w:hint="cs"/>
          <w:sz w:val="32"/>
          <w:szCs w:val="32"/>
          <w:rtl/>
        </w:rPr>
        <w:t>انظر المرجع السابق (6/240).</w:t>
      </w:r>
    </w:p>
  </w:footnote>
  <w:footnote w:id="212">
    <w:p w:rsidR="000D3D21" w:rsidRPr="000E139F" w:rsidRDefault="000D3D21">
      <w:pPr>
        <w:pStyle w:val="a7"/>
        <w:rPr>
          <w:rFonts w:ascii="Traditional Arabic" w:hAnsi="Traditional Arabic"/>
          <w:sz w:val="32"/>
          <w:szCs w:val="32"/>
          <w:rtl/>
        </w:rPr>
      </w:pPr>
      <w:r w:rsidRPr="000E139F">
        <w:rPr>
          <w:rStyle w:val="af1"/>
          <w:rFonts w:ascii="Traditional Arabic" w:hAnsi="Traditional Arabic"/>
          <w:sz w:val="32"/>
          <w:szCs w:val="32"/>
          <w:vertAlign w:val="baseline"/>
        </w:rPr>
        <w:footnoteRef/>
      </w:r>
      <w:r w:rsidRPr="000E139F">
        <w:rPr>
          <w:rFonts w:ascii="Traditional Arabic" w:hAnsi="Traditional Arabic"/>
          <w:sz w:val="32"/>
          <w:szCs w:val="32"/>
        </w:rPr>
        <w:t>)</w:t>
      </w:r>
      <w:r w:rsidRPr="000E139F">
        <w:rPr>
          <w:rFonts w:ascii="Traditional Arabic" w:hAnsi="Traditional Arabic"/>
          <w:sz w:val="32"/>
          <w:szCs w:val="32"/>
          <w:rtl/>
        </w:rPr>
        <w:t xml:space="preserve">) </w:t>
      </w:r>
      <w:r>
        <w:rPr>
          <w:rFonts w:ascii="Traditional Arabic" w:hAnsi="Traditional Arabic" w:hint="cs"/>
          <w:sz w:val="32"/>
          <w:szCs w:val="32"/>
          <w:rtl/>
        </w:rPr>
        <w:t>انظر المرجع السابق (10/54، 55، 56).</w:t>
      </w:r>
    </w:p>
  </w:footnote>
  <w:footnote w:id="213">
    <w:p w:rsidR="000D3D21" w:rsidRPr="000D2750" w:rsidRDefault="000D3D21">
      <w:pPr>
        <w:pStyle w:val="a7"/>
        <w:rPr>
          <w:rFonts w:ascii="Traditional Arabic" w:hAnsi="Traditional Arabic"/>
          <w:sz w:val="32"/>
          <w:szCs w:val="32"/>
          <w:rtl/>
        </w:rPr>
      </w:pPr>
      <w:r w:rsidRPr="000D2750">
        <w:rPr>
          <w:rStyle w:val="af1"/>
          <w:rFonts w:ascii="Traditional Arabic" w:hAnsi="Traditional Arabic"/>
          <w:sz w:val="32"/>
          <w:szCs w:val="32"/>
          <w:vertAlign w:val="baseline"/>
        </w:rPr>
        <w:footnoteRef/>
      </w:r>
      <w:r w:rsidRPr="000D2750">
        <w:rPr>
          <w:rFonts w:ascii="Traditional Arabic" w:hAnsi="Traditional Arabic"/>
          <w:sz w:val="32"/>
          <w:szCs w:val="32"/>
        </w:rPr>
        <w:t>)</w:t>
      </w:r>
      <w:r w:rsidRPr="000D2750">
        <w:rPr>
          <w:rFonts w:ascii="Traditional Arabic" w:hAnsi="Traditional Arabic"/>
          <w:sz w:val="32"/>
          <w:szCs w:val="32"/>
          <w:rtl/>
        </w:rPr>
        <w:t xml:space="preserve">) </w:t>
      </w:r>
      <w:r>
        <w:rPr>
          <w:rFonts w:ascii="Traditional Arabic" w:hAnsi="Traditional Arabic" w:hint="cs"/>
          <w:sz w:val="32"/>
          <w:szCs w:val="32"/>
          <w:rtl/>
        </w:rPr>
        <w:t>القواعد والضوابط الفقهية عند الشيخ ابن عثيمين في الشرح الممتع من كتاب العبادات (1/172) بتصرف.</w:t>
      </w:r>
    </w:p>
  </w:footnote>
  <w:footnote w:id="214">
    <w:p w:rsidR="000D3D21" w:rsidRPr="00427055" w:rsidRDefault="000D3D21" w:rsidP="006F08E1">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427055">
        <w:rPr>
          <w:rFonts w:ascii="Traditional Arabic" w:hAnsi="Traditional Arabic"/>
          <w:sz w:val="32"/>
          <w:szCs w:val="32"/>
          <w:rtl/>
        </w:rPr>
        <w:tab/>
        <w:t>الشرح الممتع (4/365)</w:t>
      </w:r>
      <w:r>
        <w:rPr>
          <w:rFonts w:ascii="Traditional Arabic" w:hAnsi="Traditional Arabic"/>
          <w:sz w:val="32"/>
          <w:szCs w:val="32"/>
          <w:rtl/>
        </w:rPr>
        <w:t>.</w:t>
      </w:r>
    </w:p>
  </w:footnote>
  <w:footnote w:id="215">
    <w:p w:rsidR="000D3D21" w:rsidRPr="00427055"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ال</w:t>
      </w:r>
      <w:r>
        <w:rPr>
          <w:rFonts w:ascii="Traditional Arabic" w:hAnsi="Traditional Arabic" w:hint="cs"/>
          <w:sz w:val="32"/>
          <w:szCs w:val="32"/>
          <w:rtl/>
        </w:rPr>
        <w:t>مرجع</w:t>
      </w:r>
      <w:r w:rsidRPr="00427055">
        <w:rPr>
          <w:rFonts w:ascii="Traditional Arabic" w:hAnsi="Traditional Arabic"/>
          <w:sz w:val="32"/>
          <w:szCs w:val="32"/>
          <w:rtl/>
        </w:rPr>
        <w:t xml:space="preserve"> السابق (1/272)</w:t>
      </w:r>
      <w:r>
        <w:rPr>
          <w:rFonts w:ascii="Traditional Arabic" w:hAnsi="Traditional Arabic"/>
          <w:sz w:val="32"/>
          <w:szCs w:val="32"/>
          <w:rtl/>
        </w:rPr>
        <w:t>.</w:t>
      </w:r>
    </w:p>
  </w:footnote>
  <w:footnote w:id="216">
    <w:p w:rsidR="000D3D21" w:rsidRPr="00427055" w:rsidRDefault="000D3D21" w:rsidP="006F08E1">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ال</w:t>
      </w:r>
      <w:r>
        <w:rPr>
          <w:rFonts w:ascii="Traditional Arabic" w:hAnsi="Traditional Arabic" w:hint="cs"/>
          <w:sz w:val="32"/>
          <w:szCs w:val="32"/>
          <w:rtl/>
        </w:rPr>
        <w:t>مرجع السابق</w:t>
      </w:r>
      <w:r w:rsidRPr="00427055">
        <w:rPr>
          <w:rFonts w:ascii="Traditional Arabic" w:hAnsi="Traditional Arabic"/>
          <w:sz w:val="32"/>
          <w:szCs w:val="32"/>
          <w:rtl/>
        </w:rPr>
        <w:t xml:space="preserve"> (6/392</w:t>
      </w:r>
      <w:r>
        <w:rPr>
          <w:rFonts w:ascii="Traditional Arabic" w:hAnsi="Traditional Arabic"/>
          <w:sz w:val="32"/>
          <w:szCs w:val="32"/>
          <w:rtl/>
        </w:rPr>
        <w:t>،</w:t>
      </w:r>
      <w:r w:rsidRPr="00427055">
        <w:rPr>
          <w:rFonts w:ascii="Traditional Arabic" w:hAnsi="Traditional Arabic"/>
          <w:sz w:val="32"/>
          <w:szCs w:val="32"/>
          <w:rtl/>
        </w:rPr>
        <w:t xml:space="preserve"> 395) (10/123) (14/89</w:t>
      </w:r>
      <w:r>
        <w:rPr>
          <w:rFonts w:ascii="Traditional Arabic" w:hAnsi="Traditional Arabic"/>
          <w:sz w:val="32"/>
          <w:szCs w:val="32"/>
          <w:rtl/>
        </w:rPr>
        <w:t>،</w:t>
      </w:r>
      <w:r w:rsidRPr="00427055">
        <w:rPr>
          <w:rFonts w:ascii="Traditional Arabic" w:hAnsi="Traditional Arabic"/>
          <w:sz w:val="32"/>
          <w:szCs w:val="32"/>
          <w:rtl/>
        </w:rPr>
        <w:t xml:space="preserve"> 100</w:t>
      </w:r>
      <w:r>
        <w:rPr>
          <w:rFonts w:ascii="Traditional Arabic" w:hAnsi="Traditional Arabic"/>
          <w:sz w:val="32"/>
          <w:szCs w:val="32"/>
          <w:rtl/>
        </w:rPr>
        <w:t>،</w:t>
      </w:r>
      <w:r w:rsidRPr="00427055">
        <w:rPr>
          <w:rFonts w:ascii="Traditional Arabic" w:hAnsi="Traditional Arabic"/>
          <w:sz w:val="32"/>
          <w:szCs w:val="32"/>
          <w:rtl/>
        </w:rPr>
        <w:t xml:space="preserve"> 386)</w:t>
      </w:r>
      <w:r>
        <w:rPr>
          <w:rFonts w:ascii="Traditional Arabic" w:hAnsi="Traditional Arabic"/>
          <w:sz w:val="32"/>
          <w:szCs w:val="32"/>
          <w:rtl/>
        </w:rPr>
        <w:t>.</w:t>
      </w:r>
    </w:p>
  </w:footnote>
  <w:footnote w:id="217">
    <w:p w:rsidR="000D3D21" w:rsidRPr="00843409" w:rsidRDefault="000D3D21" w:rsidP="006F08E1">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ال</w:t>
      </w:r>
      <w:r>
        <w:rPr>
          <w:rFonts w:ascii="Traditional Arabic" w:hAnsi="Traditional Arabic" w:hint="cs"/>
          <w:sz w:val="32"/>
          <w:szCs w:val="32"/>
          <w:rtl/>
        </w:rPr>
        <w:t>مرجع</w:t>
      </w:r>
      <w:r w:rsidRPr="00427055">
        <w:rPr>
          <w:rFonts w:ascii="Traditional Arabic" w:hAnsi="Traditional Arabic"/>
          <w:sz w:val="32"/>
          <w:szCs w:val="32"/>
          <w:rtl/>
        </w:rPr>
        <w:t xml:space="preserve"> السابق (2/215)</w:t>
      </w:r>
      <w:r>
        <w:rPr>
          <w:rFonts w:ascii="Traditional Arabic" w:hAnsi="Traditional Arabic"/>
          <w:sz w:val="32"/>
          <w:szCs w:val="32"/>
          <w:rtl/>
        </w:rPr>
        <w:t>.</w:t>
      </w:r>
    </w:p>
  </w:footnote>
  <w:footnote w:id="218">
    <w:p w:rsidR="000D3D21" w:rsidRPr="00C332B4" w:rsidRDefault="000D3D21" w:rsidP="00C332B4">
      <w:pPr>
        <w:pStyle w:val="a7"/>
        <w:rPr>
          <w:rFonts w:ascii="Traditional Arabic" w:hAnsi="Traditional Arabic"/>
          <w:sz w:val="32"/>
          <w:szCs w:val="32"/>
        </w:rPr>
      </w:pPr>
      <w:r w:rsidRPr="00C332B4">
        <w:rPr>
          <w:rFonts w:ascii="Traditional Arabic" w:hAnsi="Traditional Arabic"/>
          <w:sz w:val="32"/>
          <w:szCs w:val="32"/>
          <w:rtl/>
        </w:rPr>
        <w:t>(</w:t>
      </w:r>
      <w:r w:rsidRPr="00C332B4">
        <w:rPr>
          <w:rStyle w:val="af1"/>
          <w:rFonts w:ascii="Traditional Arabic" w:hAnsi="Traditional Arabic"/>
          <w:sz w:val="32"/>
          <w:szCs w:val="32"/>
          <w:vertAlign w:val="baseline"/>
        </w:rPr>
        <w:footnoteRef/>
      </w:r>
      <w:r w:rsidRPr="00C332B4">
        <w:rPr>
          <w:rFonts w:ascii="Traditional Arabic" w:hAnsi="Traditional Arabic"/>
          <w:sz w:val="32"/>
          <w:szCs w:val="32"/>
          <w:rtl/>
        </w:rPr>
        <w:t xml:space="preserve">) </w:t>
      </w:r>
      <w:r>
        <w:rPr>
          <w:rFonts w:ascii="Traditional Arabic" w:hAnsi="Traditional Arabic" w:hint="cs"/>
          <w:sz w:val="32"/>
          <w:szCs w:val="32"/>
          <w:rtl/>
        </w:rPr>
        <w:t>المرجع السابق (8/200).</w:t>
      </w:r>
    </w:p>
  </w:footnote>
  <w:footnote w:id="219">
    <w:p w:rsidR="000D3D21" w:rsidRPr="00C332B4" w:rsidRDefault="000D3D21">
      <w:pPr>
        <w:pStyle w:val="a7"/>
        <w:rPr>
          <w:rFonts w:ascii="Traditional Arabic" w:hAnsi="Traditional Arabic"/>
          <w:sz w:val="32"/>
          <w:szCs w:val="32"/>
          <w:rtl/>
        </w:rPr>
      </w:pPr>
      <w:r w:rsidRPr="00C332B4">
        <w:rPr>
          <w:rStyle w:val="af1"/>
          <w:rFonts w:ascii="Traditional Arabic" w:hAnsi="Traditional Arabic"/>
          <w:sz w:val="32"/>
          <w:szCs w:val="32"/>
          <w:vertAlign w:val="baseline"/>
        </w:rPr>
        <w:footnoteRef/>
      </w:r>
      <w:r w:rsidRPr="00C332B4">
        <w:rPr>
          <w:rFonts w:ascii="Traditional Arabic" w:hAnsi="Traditional Arabic"/>
          <w:sz w:val="32"/>
          <w:szCs w:val="32"/>
        </w:rPr>
        <w:t>)</w:t>
      </w:r>
      <w:r w:rsidRPr="00C332B4">
        <w:rPr>
          <w:rFonts w:ascii="Traditional Arabic" w:hAnsi="Traditional Arabic"/>
          <w:sz w:val="32"/>
          <w:szCs w:val="32"/>
          <w:rtl/>
        </w:rPr>
        <w:t xml:space="preserve">) </w:t>
      </w:r>
      <w:r>
        <w:rPr>
          <w:rFonts w:ascii="Traditional Arabic" w:hAnsi="Traditional Arabic" w:hint="cs"/>
          <w:sz w:val="32"/>
          <w:szCs w:val="32"/>
          <w:rtl/>
        </w:rPr>
        <w:t>المرجع السابق (8/352).</w:t>
      </w:r>
    </w:p>
  </w:footnote>
  <w:footnote w:id="220">
    <w:p w:rsidR="000D3D21" w:rsidRPr="007C7D58" w:rsidRDefault="000D3D21" w:rsidP="003841F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اخترت هذه الصيغة؛ لكونها أدلَّ على معنى القاعدة؛ لشمولها تحصيل المصالح وتكميلها، وتعطيل المفاسد وتقليلها بحسب الإمكان، فإذا لم يمكن درء المفسدة كلها، يُدرأ ما أمكن منها، وكذلك إن لم يمكن جلب المصلحة كلها، يحصَّل منها ما أمكن.</w:t>
      </w:r>
    </w:p>
  </w:footnote>
  <w:footnote w:id="221">
    <w:p w:rsidR="000D3D21" w:rsidRPr="007C7D58" w:rsidRDefault="000D3D21" w:rsidP="005B359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7D58">
        <w:rPr>
          <w:rFonts w:ascii="Traditional Arabic" w:hAnsi="Traditional Arabic"/>
          <w:sz w:val="32"/>
          <w:szCs w:val="32"/>
          <w:rtl/>
        </w:rPr>
        <w:t>الشرح الممتع (8/297)</w:t>
      </w:r>
      <w:r>
        <w:rPr>
          <w:rFonts w:ascii="Traditional Arabic" w:hAnsi="Traditional Arabic" w:hint="cs"/>
          <w:sz w:val="32"/>
          <w:szCs w:val="32"/>
          <w:rtl/>
        </w:rPr>
        <w:t>، وانظر أحكام من القرآن الكريم (1/469)</w:t>
      </w:r>
      <w:r w:rsidRPr="007C7D58">
        <w:rPr>
          <w:rFonts w:ascii="Traditional Arabic" w:hAnsi="Traditional Arabic"/>
          <w:sz w:val="32"/>
          <w:szCs w:val="32"/>
          <w:rtl/>
        </w:rPr>
        <w:t>.</w:t>
      </w:r>
    </w:p>
  </w:footnote>
  <w:footnote w:id="222">
    <w:p w:rsidR="000D3D21" w:rsidRPr="007C7D58" w:rsidRDefault="000D3D21" w:rsidP="00B057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شرح الممتع</w:t>
      </w:r>
      <w:r w:rsidRPr="007C7D58">
        <w:rPr>
          <w:rFonts w:ascii="Traditional Arabic" w:hAnsi="Traditional Arabic"/>
          <w:sz w:val="32"/>
          <w:szCs w:val="32"/>
          <w:rtl/>
        </w:rPr>
        <w:t xml:space="preserve"> (9/121).</w:t>
      </w:r>
    </w:p>
  </w:footnote>
  <w:footnote w:id="223">
    <w:p w:rsidR="000D3D21" w:rsidRPr="007C7D58" w:rsidRDefault="000D3D21" w:rsidP="007C1B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مرجع السابق</w:t>
      </w:r>
      <w:r w:rsidRPr="007C7D58">
        <w:rPr>
          <w:rFonts w:ascii="Traditional Arabic" w:hAnsi="Traditional Arabic"/>
          <w:sz w:val="32"/>
          <w:szCs w:val="32"/>
          <w:rtl/>
        </w:rPr>
        <w:t xml:space="preserve"> (9/465)، وانظر فتح ذي الجلال والإكرام (5/525).</w:t>
      </w:r>
    </w:p>
  </w:footnote>
  <w:footnote w:id="224">
    <w:p w:rsidR="000D3D21" w:rsidRPr="007C7D58" w:rsidRDefault="000D3D21" w:rsidP="007C1B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7D58">
        <w:rPr>
          <w:rFonts w:ascii="Traditional Arabic" w:hAnsi="Traditional Arabic"/>
          <w:sz w:val="32"/>
          <w:szCs w:val="32"/>
          <w:rtl/>
        </w:rPr>
        <w:t xml:space="preserve">فتح ذي الجلال والإكرام (6/150)، وانظر (4/287)، وشرح منظومة أصول الفقه وقواعده (56). </w:t>
      </w:r>
    </w:p>
  </w:footnote>
  <w:footnote w:id="225">
    <w:p w:rsidR="000D3D21" w:rsidRPr="007C7D58" w:rsidRDefault="000D3D21" w:rsidP="007C1B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7D58">
        <w:rPr>
          <w:rFonts w:ascii="Traditional Arabic" w:hAnsi="Traditional Arabic"/>
          <w:sz w:val="32"/>
          <w:szCs w:val="32"/>
          <w:rtl/>
        </w:rPr>
        <w:t>فتح ذي الجلال والإكرام (6/195).</w:t>
      </w:r>
    </w:p>
  </w:footnote>
  <w:footnote w:id="226">
    <w:p w:rsidR="000D3D21" w:rsidRPr="007C7D58" w:rsidRDefault="000D3D21" w:rsidP="007C1B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7D58">
        <w:rPr>
          <w:rFonts w:ascii="Traditional Arabic" w:hAnsi="Traditional Arabic"/>
          <w:sz w:val="32"/>
          <w:szCs w:val="32"/>
          <w:rtl/>
        </w:rPr>
        <w:t>التعليق على القواعد والأصول الجامعة (28)، وانظر تفسير سورة البقرة (</w:t>
      </w:r>
      <w:r>
        <w:rPr>
          <w:rFonts w:ascii="Traditional Arabic" w:hAnsi="Traditional Arabic" w:hint="cs"/>
          <w:sz w:val="32"/>
          <w:szCs w:val="32"/>
          <w:rtl/>
        </w:rPr>
        <w:t>2/163</w:t>
      </w:r>
      <w:r>
        <w:rPr>
          <w:rFonts w:ascii="Traditional Arabic" w:hAnsi="Traditional Arabic"/>
          <w:sz w:val="32"/>
          <w:szCs w:val="32"/>
          <w:rtl/>
        </w:rPr>
        <w:t>)</w:t>
      </w:r>
      <w:r w:rsidRPr="007C7D58">
        <w:rPr>
          <w:rFonts w:ascii="Traditional Arabic" w:hAnsi="Traditional Arabic"/>
          <w:sz w:val="32"/>
          <w:szCs w:val="32"/>
          <w:rtl/>
        </w:rPr>
        <w:t>، وأحكام من القرآن الكريم (</w:t>
      </w:r>
      <w:r>
        <w:rPr>
          <w:rFonts w:ascii="Traditional Arabic" w:hAnsi="Traditional Arabic" w:hint="cs"/>
          <w:sz w:val="32"/>
          <w:szCs w:val="32"/>
          <w:rtl/>
        </w:rPr>
        <w:t>1/475</w:t>
      </w:r>
      <w:r w:rsidRPr="007C7D58">
        <w:rPr>
          <w:rFonts w:ascii="Traditional Arabic" w:hAnsi="Traditional Arabic"/>
          <w:sz w:val="32"/>
          <w:szCs w:val="32"/>
          <w:rtl/>
        </w:rPr>
        <w:t>)</w:t>
      </w:r>
      <w:r>
        <w:rPr>
          <w:rFonts w:ascii="Traditional Arabic" w:hAnsi="Traditional Arabic" w:hint="cs"/>
          <w:sz w:val="32"/>
          <w:szCs w:val="32"/>
          <w:rtl/>
        </w:rPr>
        <w:t>، وشرح رياض الصالحين (2/618)</w:t>
      </w:r>
      <w:r w:rsidRPr="007C7D58">
        <w:rPr>
          <w:rFonts w:ascii="Traditional Arabic" w:hAnsi="Traditional Arabic"/>
          <w:sz w:val="32"/>
          <w:szCs w:val="32"/>
          <w:rtl/>
        </w:rPr>
        <w:t>.</w:t>
      </w:r>
    </w:p>
  </w:footnote>
  <w:footnote w:id="227">
    <w:p w:rsidR="000D3D21" w:rsidRPr="00B47FC3" w:rsidRDefault="000D3D21" w:rsidP="00502D4C">
      <w:pPr>
        <w:pStyle w:val="a7"/>
        <w:pageBreakBefore/>
        <w:rPr>
          <w:rFonts w:ascii="Traditional Arabic" w:hAnsi="Traditional Arabic"/>
          <w:sz w:val="36"/>
          <w:szCs w:val="36"/>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تعليق على القواعد والأصول الجامعة</w:t>
      </w:r>
      <w:r w:rsidRPr="007C7D58">
        <w:rPr>
          <w:rFonts w:ascii="Traditional Arabic" w:hAnsi="Traditional Arabic"/>
          <w:sz w:val="32"/>
          <w:szCs w:val="32"/>
          <w:rtl/>
        </w:rPr>
        <w:t xml:space="preserve"> (83).</w:t>
      </w:r>
    </w:p>
  </w:footnote>
  <w:footnote w:id="228">
    <w:p w:rsidR="000D3D21" w:rsidRPr="00B47FC3" w:rsidRDefault="000D3D21" w:rsidP="00072B9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47FC3">
        <w:rPr>
          <w:rFonts w:ascii="Traditional Arabic" w:hAnsi="Traditional Arabic"/>
          <w:sz w:val="32"/>
          <w:szCs w:val="32"/>
          <w:rtl/>
        </w:rPr>
        <w:t xml:space="preserve">التعليق على" السياسة الشرعية في إصلاح الراعي والرعية لابن تيمية" (153)، وانظر التعليق على القواعد </w:t>
      </w:r>
      <w:r>
        <w:rPr>
          <w:rFonts w:ascii="Traditional Arabic" w:hAnsi="Traditional Arabic" w:hint="cs"/>
          <w:sz w:val="32"/>
          <w:szCs w:val="32"/>
          <w:rtl/>
        </w:rPr>
        <w:t xml:space="preserve">الحسان </w:t>
      </w:r>
      <w:r w:rsidRPr="00B47FC3">
        <w:rPr>
          <w:rFonts w:ascii="Traditional Arabic" w:hAnsi="Traditional Arabic"/>
          <w:sz w:val="32"/>
          <w:szCs w:val="32"/>
          <w:rtl/>
        </w:rPr>
        <w:t>(154، 155).</w:t>
      </w:r>
    </w:p>
  </w:footnote>
  <w:footnote w:id="229">
    <w:p w:rsidR="000D3D21" w:rsidRPr="002E3D96" w:rsidRDefault="000D3D21" w:rsidP="00223413">
      <w:pPr>
        <w:pStyle w:val="a7"/>
        <w:pageBreakBefore/>
        <w:rPr>
          <w:rFonts w:ascii="Tahoma" w:hAnsi="Tahoma"/>
          <w:sz w:val="32"/>
          <w:szCs w:val="32"/>
        </w:rPr>
      </w:pPr>
      <w:r w:rsidRPr="002E3D96">
        <w:rPr>
          <w:rFonts w:ascii="Tahoma" w:hAnsi="Tahoma"/>
          <w:sz w:val="32"/>
          <w:szCs w:val="32"/>
          <w:rtl/>
        </w:rPr>
        <w:t>(</w:t>
      </w:r>
      <w:r w:rsidRPr="002E3D96">
        <w:rPr>
          <w:rStyle w:val="af1"/>
          <w:rFonts w:ascii="Tahoma" w:hAnsi="Tahoma"/>
          <w:sz w:val="32"/>
          <w:szCs w:val="32"/>
          <w:vertAlign w:val="baseline"/>
          <w:rtl/>
        </w:rPr>
        <w:footnoteRef/>
      </w:r>
      <w:r w:rsidRPr="002E3D96">
        <w:rPr>
          <w:rFonts w:ascii="Tahoma" w:hAnsi="Tahoma"/>
          <w:sz w:val="32"/>
          <w:szCs w:val="32"/>
          <w:rtl/>
        </w:rPr>
        <w:t>)</w:t>
      </w:r>
      <w:r w:rsidRPr="002E3D96">
        <w:rPr>
          <w:rFonts w:ascii="Tahoma" w:hAnsi="Tahoma" w:hint="cs"/>
          <w:sz w:val="32"/>
          <w:szCs w:val="32"/>
          <w:rtl/>
        </w:rPr>
        <w:t xml:space="preserve"> القواعد الصغرى للعز بن عبد السلام (53) بتصرف.</w:t>
      </w:r>
    </w:p>
  </w:footnote>
  <w:footnote w:id="230">
    <w:p w:rsidR="000D3D21" w:rsidRPr="00B47FC3" w:rsidRDefault="000D3D21" w:rsidP="009C5B2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47FC3">
        <w:rPr>
          <w:rFonts w:ascii="Traditional Arabic" w:hAnsi="Traditional Arabic"/>
          <w:sz w:val="32"/>
          <w:szCs w:val="32"/>
          <w:rtl/>
        </w:rPr>
        <w:t>مجموع الفتاوى لابن تيمية (23/343)، وانظر القواعد والضوابط الفقهية للمعاملات المالية عند ابن تيمية (1/139).</w:t>
      </w:r>
    </w:p>
  </w:footnote>
  <w:footnote w:id="231">
    <w:p w:rsidR="000D3D21" w:rsidRPr="00B47FC3" w:rsidRDefault="000D3D21" w:rsidP="003E6F5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47FC3">
        <w:rPr>
          <w:rFonts w:ascii="Traditional Arabic" w:hAnsi="Traditional Arabic"/>
          <w:sz w:val="32"/>
          <w:szCs w:val="32"/>
          <w:rtl/>
        </w:rPr>
        <w:t xml:space="preserve">مدارج السالكين </w:t>
      </w:r>
      <w:r>
        <w:rPr>
          <w:rFonts w:ascii="Traditional Arabic" w:hAnsi="Traditional Arabic" w:hint="cs"/>
          <w:sz w:val="32"/>
          <w:szCs w:val="32"/>
          <w:rtl/>
        </w:rPr>
        <w:t xml:space="preserve">لابن القيم </w:t>
      </w:r>
      <w:r w:rsidRPr="00B47FC3">
        <w:rPr>
          <w:rFonts w:ascii="Traditional Arabic" w:hAnsi="Traditional Arabic"/>
          <w:sz w:val="32"/>
          <w:szCs w:val="32"/>
          <w:rtl/>
        </w:rPr>
        <w:t>(1/296).</w:t>
      </w:r>
    </w:p>
  </w:footnote>
  <w:footnote w:id="232">
    <w:p w:rsidR="000D3D21" w:rsidRPr="00B47FC3" w:rsidRDefault="000D3D21" w:rsidP="00E9158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47FC3">
        <w:rPr>
          <w:rFonts w:ascii="Traditional Arabic" w:hAnsi="Traditional Arabic"/>
          <w:sz w:val="32"/>
          <w:szCs w:val="32"/>
          <w:rtl/>
        </w:rPr>
        <w:t xml:space="preserve">القواعد والأصول الجامعة </w:t>
      </w:r>
      <w:r>
        <w:rPr>
          <w:rFonts w:ascii="Traditional Arabic" w:hAnsi="Traditional Arabic" w:hint="cs"/>
          <w:sz w:val="32"/>
          <w:szCs w:val="32"/>
          <w:rtl/>
        </w:rPr>
        <w:t xml:space="preserve">لعبد الرحمن بن ناصر السعدي </w:t>
      </w:r>
      <w:r w:rsidRPr="00B47FC3">
        <w:rPr>
          <w:rFonts w:ascii="Traditional Arabic" w:hAnsi="Traditional Arabic"/>
          <w:sz w:val="32"/>
          <w:szCs w:val="32"/>
          <w:rtl/>
        </w:rPr>
        <w:t>(23).</w:t>
      </w:r>
    </w:p>
  </w:footnote>
  <w:footnote w:id="233">
    <w:p w:rsidR="000D3D21" w:rsidRPr="00B47FC3" w:rsidRDefault="000D3D21" w:rsidP="001851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47FC3">
        <w:rPr>
          <w:rFonts w:ascii="Traditional Arabic" w:hAnsi="Traditional Arabic"/>
          <w:sz w:val="32"/>
          <w:szCs w:val="32"/>
          <w:rtl/>
        </w:rPr>
        <w:t>منظومة القواعد الفقهية وشرحها لابن سعدي (18).</w:t>
      </w:r>
    </w:p>
  </w:footnote>
  <w:footnote w:id="234">
    <w:p w:rsidR="000D3D21" w:rsidRPr="00B47FC3" w:rsidRDefault="000D3D21" w:rsidP="006759F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47FC3">
        <w:rPr>
          <w:rFonts w:ascii="Traditional Arabic" w:hAnsi="Traditional Arabic"/>
          <w:sz w:val="32"/>
          <w:szCs w:val="32"/>
          <w:rtl/>
        </w:rPr>
        <w:t>مقاييس اللغة (3/303).</w:t>
      </w:r>
    </w:p>
  </w:footnote>
  <w:footnote w:id="235">
    <w:p w:rsidR="000D3D21" w:rsidRPr="00F478D9" w:rsidRDefault="000D3D21" w:rsidP="006759F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478D9">
        <w:rPr>
          <w:rFonts w:ascii="Traditional Arabic" w:hAnsi="Traditional Arabic"/>
          <w:sz w:val="32"/>
          <w:szCs w:val="32"/>
          <w:rtl/>
        </w:rPr>
        <w:t xml:space="preserve">انظر لسان العرب </w:t>
      </w:r>
      <w:r>
        <w:rPr>
          <w:rFonts w:ascii="Traditional Arabic" w:hAnsi="Traditional Arabic" w:hint="cs"/>
          <w:sz w:val="32"/>
          <w:szCs w:val="32"/>
          <w:rtl/>
        </w:rPr>
        <w:t xml:space="preserve">لابن منظور </w:t>
      </w:r>
      <w:r w:rsidRPr="00F478D9">
        <w:rPr>
          <w:rFonts w:ascii="Traditional Arabic" w:hAnsi="Traditional Arabic"/>
          <w:sz w:val="32"/>
          <w:szCs w:val="32"/>
          <w:rtl/>
        </w:rPr>
        <w:t xml:space="preserve">(2479)، وتاج العروس </w:t>
      </w:r>
      <w:r>
        <w:rPr>
          <w:rFonts w:ascii="Traditional Arabic" w:hAnsi="Traditional Arabic" w:hint="cs"/>
          <w:sz w:val="32"/>
          <w:szCs w:val="32"/>
          <w:rtl/>
        </w:rPr>
        <w:t xml:space="preserve">للزبيدي </w:t>
      </w:r>
      <w:r w:rsidRPr="00F478D9">
        <w:rPr>
          <w:rFonts w:ascii="Traditional Arabic" w:hAnsi="Traditional Arabic"/>
          <w:sz w:val="32"/>
          <w:szCs w:val="32"/>
          <w:rtl/>
        </w:rPr>
        <w:t xml:space="preserve">(6/548، 549، 550)، والمعجم الوسيط </w:t>
      </w:r>
      <w:r>
        <w:rPr>
          <w:rFonts w:ascii="Traditional Arabic" w:hAnsi="Traditional Arabic" w:hint="cs"/>
          <w:sz w:val="32"/>
          <w:szCs w:val="32"/>
          <w:rtl/>
        </w:rPr>
        <w:t xml:space="preserve">لمجموعة من العلماء </w:t>
      </w:r>
      <w:r w:rsidRPr="00F478D9">
        <w:rPr>
          <w:rFonts w:ascii="Traditional Arabic" w:hAnsi="Traditional Arabic"/>
          <w:sz w:val="32"/>
          <w:szCs w:val="32"/>
          <w:rtl/>
        </w:rPr>
        <w:t>(520).</w:t>
      </w:r>
    </w:p>
  </w:footnote>
  <w:footnote w:id="236">
    <w:p w:rsidR="000D3D21" w:rsidRPr="00F478D9" w:rsidRDefault="000D3D21" w:rsidP="00367F1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478D9">
        <w:rPr>
          <w:rFonts w:ascii="Traditional Arabic" w:hAnsi="Traditional Arabic"/>
          <w:sz w:val="32"/>
          <w:szCs w:val="32"/>
          <w:rtl/>
        </w:rPr>
        <w:t xml:space="preserve">المستصفى </w:t>
      </w:r>
      <w:r>
        <w:rPr>
          <w:rFonts w:ascii="Traditional Arabic" w:hAnsi="Traditional Arabic" w:hint="cs"/>
          <w:sz w:val="32"/>
          <w:szCs w:val="32"/>
          <w:rtl/>
        </w:rPr>
        <w:t xml:space="preserve">في علم الأصول </w:t>
      </w:r>
      <w:r w:rsidRPr="00F478D9">
        <w:rPr>
          <w:rFonts w:ascii="Traditional Arabic" w:hAnsi="Traditional Arabic"/>
          <w:sz w:val="32"/>
          <w:szCs w:val="32"/>
          <w:rtl/>
        </w:rPr>
        <w:t>لأبي حامد الغزالي (2/482).</w:t>
      </w:r>
    </w:p>
  </w:footnote>
  <w:footnote w:id="237">
    <w:p w:rsidR="000D3D21" w:rsidRPr="00F478D9" w:rsidRDefault="000D3D21" w:rsidP="00367F1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478D9">
        <w:rPr>
          <w:rFonts w:ascii="Traditional Arabic" w:hAnsi="Traditional Arabic"/>
          <w:sz w:val="32"/>
          <w:szCs w:val="32"/>
          <w:rtl/>
        </w:rPr>
        <w:t>تاج العروس (8/497).</w:t>
      </w:r>
    </w:p>
  </w:footnote>
  <w:footnote w:id="238">
    <w:p w:rsidR="000D3D21" w:rsidRPr="00F478D9" w:rsidRDefault="000D3D21" w:rsidP="00367F1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478D9">
        <w:rPr>
          <w:rFonts w:ascii="Traditional Arabic" w:hAnsi="Traditional Arabic"/>
          <w:sz w:val="32"/>
          <w:szCs w:val="32"/>
          <w:rtl/>
        </w:rPr>
        <w:t>انظر المعجم الوسيط (538، 688).</w:t>
      </w:r>
    </w:p>
  </w:footnote>
  <w:footnote w:id="239">
    <w:p w:rsidR="000D3D21" w:rsidRPr="00F478D9" w:rsidRDefault="000D3D21" w:rsidP="00367F1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478D9">
        <w:rPr>
          <w:rFonts w:ascii="Traditional Arabic" w:hAnsi="Traditional Arabic"/>
          <w:sz w:val="32"/>
          <w:szCs w:val="32"/>
          <w:rtl/>
        </w:rPr>
        <w:t>انظر المستصفى (2/482).</w:t>
      </w:r>
    </w:p>
  </w:footnote>
  <w:footnote w:id="240">
    <w:p w:rsidR="000D3D21" w:rsidRPr="0055729C" w:rsidRDefault="000D3D21" w:rsidP="00752F8E">
      <w:pPr>
        <w:widowControl/>
        <w:autoSpaceDE w:val="0"/>
        <w:autoSpaceDN w:val="0"/>
        <w:adjustRightInd w:val="0"/>
        <w:ind w:firstLine="0"/>
        <w:jc w:val="left"/>
        <w:rPr>
          <w:rFonts w:ascii="Traditional Arabic" w:hAnsi="Traditional Arabic"/>
          <w:noProof w:val="0"/>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729C">
        <w:rPr>
          <w:rFonts w:ascii="Traditional Arabic" w:hAnsi="Traditional Arabic"/>
          <w:sz w:val="32"/>
          <w:szCs w:val="32"/>
          <w:rtl/>
        </w:rPr>
        <w:t xml:space="preserve">يقول شيخ الإسلام ابن تيمية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55729C">
        <w:rPr>
          <w:rFonts w:ascii="Traditional Arabic" w:hAnsi="Traditional Arabic"/>
          <w:sz w:val="32"/>
          <w:szCs w:val="32"/>
          <w:rtl/>
        </w:rPr>
        <w:t>: (</w:t>
      </w:r>
      <w:r w:rsidRPr="0055729C">
        <w:rPr>
          <w:rFonts w:ascii="Traditional Arabic" w:hAnsi="Traditional Arabic"/>
          <w:noProof w:val="0"/>
          <w:color w:val="auto"/>
          <w:sz w:val="32"/>
          <w:szCs w:val="32"/>
          <w:rtl/>
          <w:lang w:eastAsia="en-US"/>
        </w:rPr>
        <w:t>والقول الجامع أن الشريعة لا تهمل مصلحة قط، بل الله تعالى قد أكمل لنا الدين وأتم</w:t>
      </w:r>
      <w:r>
        <w:rPr>
          <w:rFonts w:ascii="Traditional Arabic" w:hAnsi="Traditional Arabic" w:hint="cs"/>
          <w:noProof w:val="0"/>
          <w:color w:val="auto"/>
          <w:sz w:val="32"/>
          <w:szCs w:val="32"/>
          <w:rtl/>
          <w:lang w:eastAsia="en-US"/>
        </w:rPr>
        <w:t>َّ</w:t>
      </w:r>
      <w:r w:rsidRPr="0055729C">
        <w:rPr>
          <w:rFonts w:ascii="Traditional Arabic" w:hAnsi="Traditional Arabic"/>
          <w:noProof w:val="0"/>
          <w:color w:val="auto"/>
          <w:sz w:val="32"/>
          <w:szCs w:val="32"/>
          <w:rtl/>
          <w:lang w:eastAsia="en-US"/>
        </w:rPr>
        <w:t xml:space="preserve"> النعمة، فما من شيء يقرب إلى الجنة إلا وقد حدثنا به النبي </w:t>
      </w:r>
      <w:r>
        <w:rPr>
          <w:rFonts w:ascii="Traditional Arabic" w:hAnsi="Traditional Arabic" w:cs="CTraditional Arabic" w:hint="cs"/>
          <w:noProof w:val="0"/>
          <w:color w:val="auto"/>
          <w:rtl/>
          <w:lang w:eastAsia="en-US"/>
        </w:rPr>
        <w:t>غ</w:t>
      </w:r>
      <w:r w:rsidRPr="0055729C">
        <w:rPr>
          <w:rFonts w:ascii="Traditional Arabic" w:hAnsi="Traditional Arabic"/>
          <w:noProof w:val="0"/>
          <w:color w:val="auto"/>
          <w:sz w:val="32"/>
          <w:szCs w:val="32"/>
          <w:rtl/>
          <w:lang w:eastAsia="en-US"/>
        </w:rPr>
        <w:t>، وتركنا على البيضاء ليلها كنهارها لا يزيغ عنها بعده إلا هالك، لكن ما اعتقده العقل مصلحة وإن كان</w:t>
      </w:r>
      <w:r>
        <w:rPr>
          <w:rFonts w:ascii="Traditional Arabic" w:hAnsi="Traditional Arabic" w:hint="cs"/>
          <w:noProof w:val="0"/>
          <w:color w:val="auto"/>
          <w:sz w:val="32"/>
          <w:szCs w:val="32"/>
          <w:rtl/>
          <w:lang w:eastAsia="en-US"/>
        </w:rPr>
        <w:t xml:space="preserve"> </w:t>
      </w:r>
      <w:r w:rsidRPr="0055729C">
        <w:rPr>
          <w:rFonts w:ascii="Traditional Arabic" w:hAnsi="Traditional Arabic"/>
          <w:noProof w:val="0"/>
          <w:sz w:val="32"/>
          <w:szCs w:val="32"/>
          <w:rtl/>
          <w:lang w:eastAsia="en-US"/>
        </w:rPr>
        <w:t>الشرع لم يَرِد به</w:t>
      </w:r>
      <w:r>
        <w:rPr>
          <w:rFonts w:ascii="Traditional Arabic" w:hAnsi="Traditional Arabic" w:hint="cs"/>
          <w:noProof w:val="0"/>
          <w:sz w:val="32"/>
          <w:szCs w:val="32"/>
          <w:rtl/>
          <w:lang w:eastAsia="en-US"/>
        </w:rPr>
        <w:t>،</w:t>
      </w:r>
      <w:r w:rsidRPr="0055729C">
        <w:rPr>
          <w:rFonts w:ascii="Traditional Arabic" w:hAnsi="Traditional Arabic"/>
          <w:noProof w:val="0"/>
          <w:sz w:val="32"/>
          <w:szCs w:val="32"/>
          <w:rtl/>
          <w:lang w:eastAsia="en-US"/>
        </w:rPr>
        <w:t xml:space="preserve"> فأحد الأمرين لازم</w:t>
      </w:r>
      <w:r>
        <w:rPr>
          <w:rFonts w:ascii="Traditional Arabic" w:hAnsi="Traditional Arabic" w:hint="cs"/>
          <w:noProof w:val="0"/>
          <w:sz w:val="32"/>
          <w:szCs w:val="32"/>
          <w:rtl/>
          <w:lang w:eastAsia="en-US"/>
        </w:rPr>
        <w:t>ٌ</w:t>
      </w:r>
      <w:r w:rsidRPr="0055729C">
        <w:rPr>
          <w:rFonts w:ascii="Traditional Arabic" w:hAnsi="Traditional Arabic"/>
          <w:noProof w:val="0"/>
          <w:sz w:val="32"/>
          <w:szCs w:val="32"/>
          <w:rtl/>
          <w:lang w:eastAsia="en-US"/>
        </w:rPr>
        <w:t xml:space="preserve"> له:</w:t>
      </w:r>
    </w:p>
    <w:p w:rsidR="000D3D21" w:rsidRDefault="000D3D21" w:rsidP="0043647E">
      <w:pPr>
        <w:widowControl/>
        <w:autoSpaceDE w:val="0"/>
        <w:autoSpaceDN w:val="0"/>
        <w:adjustRightInd w:val="0"/>
        <w:ind w:firstLine="0"/>
        <w:jc w:val="left"/>
        <w:rPr>
          <w:rFonts w:ascii="Traditional Arabic" w:hAnsi="Traditional Arabic"/>
          <w:noProof w:val="0"/>
          <w:sz w:val="32"/>
          <w:szCs w:val="32"/>
          <w:rtl/>
          <w:lang w:eastAsia="en-US"/>
        </w:rPr>
      </w:pPr>
      <w:r w:rsidRPr="0055729C">
        <w:rPr>
          <w:rFonts w:ascii="Traditional Arabic" w:hAnsi="Traditional Arabic"/>
          <w:noProof w:val="0"/>
          <w:sz w:val="32"/>
          <w:szCs w:val="32"/>
          <w:rtl/>
          <w:lang w:eastAsia="en-US"/>
        </w:rPr>
        <w:t>إما أن الشرع دل عليه من حيث لم يعلم هذا الناظر، أو أنه ليس بمصلحة وإن اعتقده مصلحة</w:t>
      </w:r>
      <w:r>
        <w:rPr>
          <w:rFonts w:ascii="Traditional Arabic" w:hAnsi="Traditional Arabic" w:hint="cs"/>
          <w:noProof w:val="0"/>
          <w:sz w:val="32"/>
          <w:szCs w:val="32"/>
          <w:rtl/>
          <w:lang w:eastAsia="en-US"/>
        </w:rPr>
        <w:t>ً</w:t>
      </w:r>
      <w:r w:rsidRPr="0055729C">
        <w:rPr>
          <w:rFonts w:ascii="Traditional Arabic" w:hAnsi="Traditional Arabic"/>
          <w:noProof w:val="0"/>
          <w:sz w:val="32"/>
          <w:szCs w:val="32"/>
          <w:rtl/>
          <w:lang w:eastAsia="en-US"/>
        </w:rPr>
        <w:t xml:space="preserve">). </w:t>
      </w:r>
    </w:p>
    <w:p w:rsidR="000D3D21" w:rsidRPr="0055729C" w:rsidRDefault="000D3D21" w:rsidP="0043647E">
      <w:pPr>
        <w:widowControl/>
        <w:autoSpaceDE w:val="0"/>
        <w:autoSpaceDN w:val="0"/>
        <w:adjustRightInd w:val="0"/>
        <w:ind w:firstLine="0"/>
        <w:jc w:val="left"/>
        <w:rPr>
          <w:rFonts w:ascii="Traditional Arabic" w:hAnsi="Traditional Arabic"/>
          <w:sz w:val="32"/>
          <w:szCs w:val="32"/>
        </w:rPr>
      </w:pPr>
      <w:r>
        <w:rPr>
          <w:rFonts w:ascii="Traditional Arabic" w:hAnsi="Traditional Arabic" w:hint="cs"/>
          <w:noProof w:val="0"/>
          <w:sz w:val="32"/>
          <w:szCs w:val="32"/>
          <w:rtl/>
          <w:lang w:eastAsia="en-US"/>
        </w:rPr>
        <w:t xml:space="preserve">      </w:t>
      </w:r>
      <w:r w:rsidRPr="0055729C">
        <w:rPr>
          <w:rFonts w:ascii="Traditional Arabic" w:hAnsi="Traditional Arabic"/>
          <w:noProof w:val="0"/>
          <w:sz w:val="32"/>
          <w:szCs w:val="32"/>
          <w:rtl/>
          <w:lang w:eastAsia="en-US"/>
        </w:rPr>
        <w:t>مجموع الفتاوى (344-345).</w:t>
      </w:r>
      <w:r>
        <w:rPr>
          <w:rFonts w:ascii="Traditional Arabic" w:hAnsi="Traditional Arabic" w:hint="cs"/>
          <w:noProof w:val="0"/>
          <w:sz w:val="32"/>
          <w:szCs w:val="32"/>
          <w:rtl/>
          <w:lang w:eastAsia="en-US"/>
        </w:rPr>
        <w:t>وانظر الموافقات (1/349) ط/دراز.</w:t>
      </w:r>
    </w:p>
  </w:footnote>
  <w:footnote w:id="241">
    <w:p w:rsidR="000D3D21" w:rsidRPr="0055729C" w:rsidRDefault="000D3D21" w:rsidP="005F7DC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729C">
        <w:rPr>
          <w:rFonts w:ascii="Traditional Arabic" w:hAnsi="Traditional Arabic"/>
          <w:sz w:val="32"/>
          <w:szCs w:val="32"/>
          <w:rtl/>
        </w:rPr>
        <w:t>انظر:شرح منظومة أصول الفقه وقواعده (49، 51، 56، 145)، والتعليق على القواعد والأصول الجامعة</w:t>
      </w:r>
      <w:r>
        <w:rPr>
          <w:rFonts w:ascii="Traditional Arabic" w:hAnsi="Traditional Arabic" w:hint="cs"/>
          <w:sz w:val="32"/>
          <w:szCs w:val="32"/>
          <w:rtl/>
        </w:rPr>
        <w:t xml:space="preserve"> </w:t>
      </w:r>
      <w:r w:rsidRPr="0055729C">
        <w:rPr>
          <w:rFonts w:ascii="Traditional Arabic" w:hAnsi="Traditional Arabic"/>
          <w:sz w:val="32"/>
          <w:szCs w:val="32"/>
          <w:rtl/>
        </w:rPr>
        <w:t>(19، 28)، والتعليق على السياسة الشرعية (153)، والتعليق على القواعد الحسان (154، 155).</w:t>
      </w:r>
    </w:p>
  </w:footnote>
  <w:footnote w:id="242">
    <w:p w:rsidR="000D3D21" w:rsidRPr="0055729C" w:rsidRDefault="000D3D21" w:rsidP="0055729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729C">
        <w:rPr>
          <w:rFonts w:ascii="Traditional Arabic" w:hAnsi="Traditional Arabic"/>
          <w:sz w:val="32"/>
          <w:szCs w:val="32"/>
          <w:rtl/>
        </w:rPr>
        <w:t>مجموع فتاوى ورسائل ابن عثيمين (28/281)</w:t>
      </w:r>
      <w:r>
        <w:rPr>
          <w:rFonts w:ascii="Traditional Arabic" w:hAnsi="Traditional Arabic" w:hint="cs"/>
          <w:sz w:val="32"/>
          <w:szCs w:val="32"/>
          <w:rtl/>
        </w:rPr>
        <w:t xml:space="preserve"> بتصرف. وانظر (29/537)، ومنظومة القواعد الفقهية وشرحها لابن سعدي (20)</w:t>
      </w:r>
      <w:r w:rsidRPr="0055729C">
        <w:rPr>
          <w:rFonts w:ascii="Traditional Arabic" w:hAnsi="Traditional Arabic"/>
          <w:sz w:val="32"/>
          <w:szCs w:val="32"/>
          <w:rtl/>
        </w:rPr>
        <w:t>.</w:t>
      </w:r>
    </w:p>
  </w:footnote>
  <w:footnote w:id="243">
    <w:p w:rsidR="000D3D21" w:rsidRPr="00844DA0" w:rsidRDefault="000D3D21" w:rsidP="00844DA0">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729C">
        <w:rPr>
          <w:rFonts w:ascii="Traditional Arabic" w:hAnsi="Traditional Arabic"/>
          <w:sz w:val="32"/>
          <w:szCs w:val="32"/>
          <w:rtl/>
        </w:rPr>
        <w:t>العقود لابن تيمية (440-441</w:t>
      </w:r>
      <w:r>
        <w:rPr>
          <w:rFonts w:ascii="Traditional Arabic" w:hAnsi="Traditional Arabic"/>
          <w:sz w:val="32"/>
          <w:szCs w:val="32"/>
          <w:rtl/>
        </w:rPr>
        <w:t>)</w:t>
      </w:r>
      <w:r>
        <w:rPr>
          <w:rFonts w:ascii="Traditional Arabic" w:hAnsi="Traditional Arabic" w:hint="cs"/>
          <w:sz w:val="32"/>
          <w:szCs w:val="32"/>
          <w:rtl/>
        </w:rPr>
        <w:t>.</w:t>
      </w:r>
    </w:p>
  </w:footnote>
  <w:footnote w:id="244">
    <w:p w:rsidR="000D3D21" w:rsidRPr="00F23297" w:rsidRDefault="000D3D21" w:rsidP="0093793F">
      <w:pPr>
        <w:pStyle w:val="a7"/>
        <w:pageBreakBefore/>
        <w:rPr>
          <w:rFonts w:ascii="Tahoma" w:hAnsi="Tahoma"/>
          <w:sz w:val="32"/>
          <w:szCs w:val="32"/>
        </w:rPr>
      </w:pPr>
      <w:r w:rsidRPr="00F23297">
        <w:rPr>
          <w:rFonts w:ascii="Tahoma" w:hAnsi="Tahoma"/>
          <w:sz w:val="32"/>
          <w:szCs w:val="32"/>
          <w:rtl/>
        </w:rPr>
        <w:t>(</w:t>
      </w:r>
      <w:r w:rsidRPr="00F23297">
        <w:rPr>
          <w:rStyle w:val="af1"/>
          <w:rFonts w:ascii="Tahoma" w:hAnsi="Tahoma"/>
          <w:sz w:val="32"/>
          <w:szCs w:val="32"/>
          <w:vertAlign w:val="baseline"/>
          <w:rtl/>
        </w:rPr>
        <w:footnoteRef/>
      </w:r>
      <w:r w:rsidRPr="00F23297">
        <w:rPr>
          <w:rFonts w:ascii="Tahoma" w:hAnsi="Tahoma"/>
          <w:sz w:val="32"/>
          <w:szCs w:val="32"/>
          <w:rtl/>
        </w:rPr>
        <w:t>)</w:t>
      </w:r>
      <w:r w:rsidRPr="00F23297">
        <w:rPr>
          <w:rFonts w:ascii="Tahoma" w:hAnsi="Tahoma" w:hint="cs"/>
          <w:sz w:val="32"/>
          <w:szCs w:val="32"/>
          <w:rtl/>
        </w:rPr>
        <w:t xml:space="preserve"> انظر تفسير سورة البقرة لابن عثيمين (2/163)، وأحكام من القرآن الكري</w:t>
      </w:r>
      <w:r>
        <w:rPr>
          <w:rFonts w:ascii="Tahoma" w:hAnsi="Tahoma" w:hint="cs"/>
          <w:sz w:val="32"/>
          <w:szCs w:val="32"/>
          <w:rtl/>
        </w:rPr>
        <w:t>م (1/475)</w:t>
      </w:r>
      <w:r w:rsidRPr="00F23297">
        <w:rPr>
          <w:rFonts w:ascii="Tahoma" w:hAnsi="Tahoma" w:hint="cs"/>
          <w:sz w:val="32"/>
          <w:szCs w:val="32"/>
          <w:rtl/>
        </w:rPr>
        <w:t>.</w:t>
      </w:r>
    </w:p>
  </w:footnote>
  <w:footnote w:id="245">
    <w:p w:rsidR="000D3D21" w:rsidRPr="00554068" w:rsidRDefault="000D3D21" w:rsidP="00860DE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4068">
        <w:rPr>
          <w:rFonts w:ascii="Traditional Arabic" w:hAnsi="Traditional Arabic"/>
          <w:sz w:val="32"/>
          <w:szCs w:val="32"/>
          <w:rtl/>
        </w:rPr>
        <w:t xml:space="preserve">انظر التعليق على </w:t>
      </w:r>
      <w:r>
        <w:rPr>
          <w:rFonts w:ascii="Traditional Arabic" w:hAnsi="Traditional Arabic" w:hint="cs"/>
          <w:sz w:val="32"/>
          <w:szCs w:val="32"/>
          <w:rtl/>
        </w:rPr>
        <w:t>"</w:t>
      </w:r>
      <w:r w:rsidRPr="00554068">
        <w:rPr>
          <w:rFonts w:ascii="Traditional Arabic" w:hAnsi="Traditional Arabic"/>
          <w:sz w:val="32"/>
          <w:szCs w:val="32"/>
          <w:rtl/>
        </w:rPr>
        <w:t>القواعد الحسان</w:t>
      </w:r>
      <w:r>
        <w:rPr>
          <w:rFonts w:ascii="Traditional Arabic" w:hAnsi="Traditional Arabic" w:hint="cs"/>
          <w:sz w:val="32"/>
          <w:szCs w:val="32"/>
          <w:rtl/>
        </w:rPr>
        <w:t xml:space="preserve"> لابن سعدي" لمحمد بن صالح العثيمين</w:t>
      </w:r>
      <w:r w:rsidRPr="00554068">
        <w:rPr>
          <w:rFonts w:ascii="Traditional Arabic" w:hAnsi="Traditional Arabic"/>
          <w:sz w:val="32"/>
          <w:szCs w:val="32"/>
          <w:rtl/>
        </w:rPr>
        <w:t xml:space="preserve"> (154، 155، 251-252)، والقواعد الحسان المتعلقة بتفسير القرآن لابن سعدي (</w:t>
      </w:r>
      <w:r>
        <w:rPr>
          <w:rFonts w:ascii="Traditional Arabic" w:hAnsi="Traditional Arabic" w:hint="cs"/>
          <w:sz w:val="32"/>
          <w:szCs w:val="32"/>
          <w:rtl/>
        </w:rPr>
        <w:t>145</w:t>
      </w:r>
      <w:r w:rsidRPr="00554068">
        <w:rPr>
          <w:rFonts w:ascii="Traditional Arabic" w:hAnsi="Traditional Arabic"/>
          <w:sz w:val="32"/>
          <w:szCs w:val="32"/>
          <w:rtl/>
        </w:rPr>
        <w:t>).</w:t>
      </w:r>
    </w:p>
  </w:footnote>
  <w:footnote w:id="246">
    <w:p w:rsidR="000D3D21" w:rsidRPr="00606147" w:rsidRDefault="000D3D21" w:rsidP="00C57222">
      <w:pPr>
        <w:pStyle w:val="a7"/>
        <w:rPr>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hint="cs"/>
          <w:rtl/>
        </w:rPr>
        <w:t xml:space="preserve"> </w:t>
      </w:r>
      <w:r w:rsidRPr="00606147">
        <w:rPr>
          <w:rFonts w:hint="cs"/>
          <w:sz w:val="32"/>
          <w:szCs w:val="32"/>
          <w:rtl/>
        </w:rPr>
        <w:t>أخرجه ابن ماجه في سننه في كتاب الأحكام، باب من بنى في حقه ما يضر بجاره،</w:t>
      </w:r>
      <w:r>
        <w:rPr>
          <w:rFonts w:hint="cs"/>
          <w:sz w:val="32"/>
          <w:szCs w:val="32"/>
          <w:rtl/>
        </w:rPr>
        <w:t xml:space="preserve"> رقم الحديث(2341)، و</w:t>
      </w:r>
      <w:r w:rsidRPr="00606147">
        <w:rPr>
          <w:rFonts w:hint="cs"/>
          <w:sz w:val="32"/>
          <w:szCs w:val="32"/>
          <w:rtl/>
        </w:rPr>
        <w:t xml:space="preserve">الدارقطني في سننه في </w:t>
      </w:r>
      <w:r>
        <w:rPr>
          <w:rFonts w:hint="cs"/>
          <w:sz w:val="32"/>
          <w:szCs w:val="32"/>
          <w:rtl/>
        </w:rPr>
        <w:t>كتاب البيوع، رقم الحديث(288)، و</w:t>
      </w:r>
      <w:r w:rsidRPr="00606147">
        <w:rPr>
          <w:rFonts w:hint="cs"/>
          <w:sz w:val="32"/>
          <w:szCs w:val="32"/>
          <w:rtl/>
        </w:rPr>
        <w:t>في كتاب الأقضية، رق</w:t>
      </w:r>
      <w:r>
        <w:rPr>
          <w:rFonts w:hint="cs"/>
          <w:sz w:val="32"/>
          <w:szCs w:val="32"/>
          <w:rtl/>
        </w:rPr>
        <w:t>م الحديث (84)، و أحمد في المسند، رقم الحديث (2865)، و</w:t>
      </w:r>
      <w:r w:rsidRPr="00606147">
        <w:rPr>
          <w:rFonts w:hint="cs"/>
          <w:sz w:val="32"/>
          <w:szCs w:val="32"/>
          <w:rtl/>
        </w:rPr>
        <w:t>الطبراني في المعجم الكبير،</w:t>
      </w:r>
      <w:r>
        <w:rPr>
          <w:rFonts w:hint="cs"/>
          <w:sz w:val="32"/>
          <w:szCs w:val="32"/>
          <w:rtl/>
        </w:rPr>
        <w:t xml:space="preserve"> </w:t>
      </w:r>
      <w:r w:rsidRPr="00606147">
        <w:rPr>
          <w:rFonts w:hint="cs"/>
          <w:sz w:val="32"/>
          <w:szCs w:val="32"/>
          <w:rtl/>
        </w:rPr>
        <w:t>رقم الحديث</w:t>
      </w:r>
      <w:r>
        <w:rPr>
          <w:rFonts w:hint="cs"/>
          <w:sz w:val="32"/>
          <w:szCs w:val="32"/>
          <w:rtl/>
        </w:rPr>
        <w:t xml:space="preserve"> (11576)، و</w:t>
      </w:r>
      <w:r w:rsidRPr="00606147">
        <w:rPr>
          <w:rFonts w:hint="cs"/>
          <w:sz w:val="32"/>
          <w:szCs w:val="32"/>
          <w:rtl/>
        </w:rPr>
        <w:t>(11806) من حديث ابن عباس رضي الله عنه.</w:t>
      </w:r>
    </w:p>
    <w:p w:rsidR="000D3D21" w:rsidRPr="00606147" w:rsidRDefault="000D3D21" w:rsidP="00C57222">
      <w:pPr>
        <w:pStyle w:val="a7"/>
        <w:rPr>
          <w:sz w:val="32"/>
          <w:szCs w:val="32"/>
          <w:rtl/>
        </w:rPr>
      </w:pPr>
      <w:r w:rsidRPr="00606147">
        <w:rPr>
          <w:rFonts w:hint="cs"/>
          <w:sz w:val="32"/>
          <w:szCs w:val="32"/>
          <w:rtl/>
        </w:rPr>
        <w:t xml:space="preserve">      و رواه مالك في الموطأ مرسلا عن عمرو بن يحي المازني عن أبيه في كتاب الأقضية، باب القضاء في المرفق، رقم الحديث (2171).</w:t>
      </w:r>
    </w:p>
    <w:p w:rsidR="000D3D21" w:rsidRPr="00606147" w:rsidRDefault="000D3D21" w:rsidP="00C57222">
      <w:pPr>
        <w:pStyle w:val="a7"/>
        <w:rPr>
          <w:sz w:val="32"/>
          <w:szCs w:val="32"/>
          <w:rtl/>
        </w:rPr>
      </w:pPr>
      <w:r w:rsidRPr="00606147">
        <w:rPr>
          <w:rFonts w:hint="cs"/>
          <w:sz w:val="32"/>
          <w:szCs w:val="32"/>
          <w:rtl/>
        </w:rPr>
        <w:t xml:space="preserve">     و في الباب عن عبادة بن الصامت و عائشة وأبي هريرة و أبي سعيد الخدري وغيرهم رضي الله عنهم أجمعين.</w:t>
      </w:r>
    </w:p>
    <w:p w:rsidR="000D3D21" w:rsidRPr="00606147" w:rsidRDefault="000D3D21" w:rsidP="00C57222">
      <w:pPr>
        <w:pStyle w:val="a7"/>
        <w:rPr>
          <w:sz w:val="32"/>
          <w:szCs w:val="32"/>
          <w:rtl/>
        </w:rPr>
      </w:pPr>
      <w:r w:rsidRPr="00606147">
        <w:rPr>
          <w:rFonts w:hint="cs"/>
          <w:sz w:val="32"/>
          <w:szCs w:val="32"/>
          <w:rtl/>
        </w:rPr>
        <w:t xml:space="preserve">     قال </w:t>
      </w:r>
      <w:r>
        <w:rPr>
          <w:rFonts w:hint="cs"/>
          <w:sz w:val="32"/>
          <w:szCs w:val="32"/>
          <w:rtl/>
        </w:rPr>
        <w:t xml:space="preserve"> </w:t>
      </w:r>
      <w:r w:rsidRPr="00606147">
        <w:rPr>
          <w:rFonts w:hint="cs"/>
          <w:sz w:val="32"/>
          <w:szCs w:val="32"/>
          <w:rtl/>
        </w:rPr>
        <w:t>النووي في الحديث:</w:t>
      </w:r>
      <w:r>
        <w:rPr>
          <w:rFonts w:hint="cs"/>
          <w:sz w:val="32"/>
          <w:szCs w:val="32"/>
          <w:rtl/>
        </w:rPr>
        <w:t xml:space="preserve"> </w:t>
      </w:r>
      <w:r w:rsidRPr="00606147">
        <w:rPr>
          <w:rFonts w:hint="cs"/>
          <w:sz w:val="32"/>
          <w:szCs w:val="32"/>
          <w:rtl/>
        </w:rPr>
        <w:t>(له طرق يقوي بعضها بعضا).</w:t>
      </w:r>
    </w:p>
    <w:p w:rsidR="000D3D21" w:rsidRPr="00606147" w:rsidRDefault="000D3D21" w:rsidP="00C57222">
      <w:pPr>
        <w:pStyle w:val="a7"/>
        <w:rPr>
          <w:sz w:val="32"/>
          <w:szCs w:val="32"/>
          <w:rtl/>
        </w:rPr>
      </w:pPr>
      <w:r w:rsidRPr="00606147">
        <w:rPr>
          <w:rFonts w:hint="cs"/>
          <w:sz w:val="32"/>
          <w:szCs w:val="32"/>
          <w:rtl/>
        </w:rPr>
        <w:t xml:space="preserve">     وقال </w:t>
      </w:r>
      <w:r>
        <w:rPr>
          <w:rFonts w:hint="cs"/>
          <w:sz w:val="32"/>
          <w:szCs w:val="32"/>
          <w:rtl/>
        </w:rPr>
        <w:t xml:space="preserve"> </w:t>
      </w:r>
      <w:r w:rsidRPr="00606147">
        <w:rPr>
          <w:rFonts w:hint="cs"/>
          <w:sz w:val="32"/>
          <w:szCs w:val="32"/>
          <w:rtl/>
        </w:rPr>
        <w:t>ابن الصلاح: (هذا الحديث أسنده الدارقطني من وجوه، ومجموعها يقو</w:t>
      </w:r>
      <w:r w:rsidRPr="00606147">
        <w:rPr>
          <w:rFonts w:ascii="Traditional Arabic" w:hAnsi="Traditional Arabic"/>
          <w:sz w:val="32"/>
          <w:szCs w:val="32"/>
          <w:rtl/>
        </w:rPr>
        <w:t>ّ</w:t>
      </w:r>
      <w:r w:rsidRPr="00606147">
        <w:rPr>
          <w:rFonts w:hint="cs"/>
          <w:sz w:val="32"/>
          <w:szCs w:val="32"/>
          <w:rtl/>
        </w:rPr>
        <w:t>ي الحديث ويسنده).</w:t>
      </w:r>
    </w:p>
    <w:p w:rsidR="000D3D21" w:rsidRPr="00606147" w:rsidRDefault="000D3D21" w:rsidP="00C57222">
      <w:pPr>
        <w:pStyle w:val="a7"/>
        <w:rPr>
          <w:sz w:val="32"/>
          <w:szCs w:val="32"/>
          <w:rtl/>
        </w:rPr>
      </w:pPr>
      <w:r>
        <w:rPr>
          <w:rFonts w:hint="cs"/>
          <w:sz w:val="32"/>
          <w:szCs w:val="32"/>
          <w:rtl/>
        </w:rPr>
        <w:t xml:space="preserve">     انظر جامع العلوم والحكم (570، 571</w:t>
      </w:r>
      <w:r w:rsidRPr="00606147">
        <w:rPr>
          <w:rFonts w:hint="cs"/>
          <w:sz w:val="32"/>
          <w:szCs w:val="32"/>
          <w:rtl/>
        </w:rPr>
        <w:t>).</w:t>
      </w:r>
    </w:p>
    <w:p w:rsidR="000D3D21" w:rsidRPr="00606147" w:rsidRDefault="000D3D21" w:rsidP="00C57222">
      <w:pPr>
        <w:pStyle w:val="a7"/>
        <w:rPr>
          <w:sz w:val="32"/>
          <w:szCs w:val="32"/>
          <w:rtl/>
        </w:rPr>
      </w:pPr>
      <w:r w:rsidRPr="00606147">
        <w:rPr>
          <w:rFonts w:hint="cs"/>
          <w:sz w:val="32"/>
          <w:szCs w:val="32"/>
          <w:rtl/>
        </w:rPr>
        <w:t xml:space="preserve">     والحديث صححه </w:t>
      </w:r>
      <w:r>
        <w:rPr>
          <w:rFonts w:hint="cs"/>
          <w:sz w:val="32"/>
          <w:szCs w:val="32"/>
          <w:rtl/>
        </w:rPr>
        <w:t>الشيخ الألباني.</w:t>
      </w:r>
      <w:r w:rsidRPr="00606147">
        <w:rPr>
          <w:rFonts w:hint="cs"/>
          <w:sz w:val="32"/>
          <w:szCs w:val="32"/>
          <w:rtl/>
        </w:rPr>
        <w:t xml:space="preserve"> </w:t>
      </w:r>
      <w:r>
        <w:rPr>
          <w:rFonts w:hint="cs"/>
          <w:sz w:val="32"/>
          <w:szCs w:val="32"/>
          <w:rtl/>
        </w:rPr>
        <w:t>انظر: إرواء الغليل (3/408)، و</w:t>
      </w:r>
      <w:r w:rsidRPr="00606147">
        <w:rPr>
          <w:rFonts w:hint="cs"/>
          <w:sz w:val="32"/>
          <w:szCs w:val="32"/>
          <w:rtl/>
        </w:rPr>
        <w:t>السلسلة الصحيحة (1/433).</w:t>
      </w:r>
    </w:p>
    <w:p w:rsidR="000D3D21" w:rsidRPr="00554068" w:rsidRDefault="000D3D21" w:rsidP="00C57222">
      <w:pPr>
        <w:pStyle w:val="a7"/>
        <w:pageBreakBefore/>
        <w:rPr>
          <w:rFonts w:ascii="Traditional Arabic" w:hAnsi="Traditional Arabic"/>
          <w:sz w:val="32"/>
          <w:szCs w:val="32"/>
        </w:rPr>
      </w:pPr>
      <w:r w:rsidRPr="00606147">
        <w:rPr>
          <w:rFonts w:hint="cs"/>
          <w:sz w:val="32"/>
          <w:szCs w:val="32"/>
          <w:rtl/>
        </w:rPr>
        <w:t xml:space="preserve">      يقول الشيخ العثيمين عن هذا الحديث:( حتى لو كان في الموطأ مرسلا، فقد وصله أحمد و ابن ماجه،</w:t>
      </w:r>
      <w:r>
        <w:rPr>
          <w:rFonts w:hint="cs"/>
          <w:sz w:val="32"/>
          <w:szCs w:val="32"/>
          <w:rtl/>
        </w:rPr>
        <w:t xml:space="preserve"> </w:t>
      </w:r>
      <w:r w:rsidRPr="00606147">
        <w:rPr>
          <w:rFonts w:hint="cs"/>
          <w:sz w:val="32"/>
          <w:szCs w:val="32"/>
          <w:rtl/>
        </w:rPr>
        <w:t>ثم على فرض أن فيه شيئا من الضعف فإن نصوص الكتاب و السنة تشهد له). فتح ذي الجلال ولإكرام (4/268)، و انظر : شرح الأربعين النووية (355)، و فتاوى نور على الدرب</w:t>
      </w:r>
      <w:r>
        <w:rPr>
          <w:rFonts w:hint="cs"/>
          <w:sz w:val="32"/>
          <w:szCs w:val="32"/>
          <w:rtl/>
        </w:rPr>
        <w:t xml:space="preserve"> </w:t>
      </w:r>
      <w:r>
        <w:rPr>
          <w:sz w:val="32"/>
          <w:szCs w:val="32"/>
        </w:rPr>
        <w:t>cd</w:t>
      </w:r>
      <w:r w:rsidRPr="00606147">
        <w:rPr>
          <w:rFonts w:hint="cs"/>
          <w:sz w:val="32"/>
          <w:szCs w:val="32"/>
          <w:rtl/>
        </w:rPr>
        <w:t>.</w:t>
      </w:r>
    </w:p>
  </w:footnote>
  <w:footnote w:id="247">
    <w:p w:rsidR="000D3D21" w:rsidRPr="006A60E0" w:rsidRDefault="000D3D21" w:rsidP="006907D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سيأتي الكلام عن</w:t>
      </w:r>
      <w:r>
        <w:rPr>
          <w:rFonts w:ascii="Traditional Arabic" w:hAnsi="Traditional Arabic"/>
          <w:sz w:val="32"/>
          <w:szCs w:val="32"/>
          <w:rtl/>
        </w:rPr>
        <w:t xml:space="preserve"> الفرق بين الضرر والضرار</w:t>
      </w:r>
      <w:r>
        <w:rPr>
          <w:rFonts w:ascii="Traditional Arabic" w:hAnsi="Traditional Arabic" w:hint="cs"/>
          <w:sz w:val="32"/>
          <w:szCs w:val="32"/>
          <w:rtl/>
        </w:rPr>
        <w:t xml:space="preserve"> بالتفصيل في المبحث المتعلق بقاعدة: "لاضرر ولا ضرار". </w:t>
      </w:r>
      <w:r>
        <w:rPr>
          <w:rFonts w:ascii="Traditional Arabic" w:hAnsi="Traditional Arabic"/>
          <w:sz w:val="32"/>
          <w:szCs w:val="32"/>
          <w:rtl/>
        </w:rPr>
        <w:t>انظر ص (</w:t>
      </w:r>
      <w:r>
        <w:rPr>
          <w:rFonts w:ascii="Traditional Arabic" w:hAnsi="Traditional Arabic" w:hint="cs"/>
          <w:sz w:val="32"/>
          <w:szCs w:val="32"/>
          <w:rtl/>
        </w:rPr>
        <w:t>246-247</w:t>
      </w:r>
      <w:r w:rsidRPr="006A60E0">
        <w:rPr>
          <w:rFonts w:ascii="Traditional Arabic" w:hAnsi="Traditional Arabic"/>
          <w:sz w:val="32"/>
          <w:szCs w:val="32"/>
          <w:rtl/>
        </w:rPr>
        <w:t>) من هذه الرسالة.</w:t>
      </w:r>
    </w:p>
  </w:footnote>
  <w:footnote w:id="248">
    <w:p w:rsidR="000D3D21" w:rsidRPr="006A60E0" w:rsidRDefault="000D3D21" w:rsidP="006907D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A60E0">
        <w:rPr>
          <w:rFonts w:ascii="Traditional Arabic" w:hAnsi="Traditional Arabic"/>
          <w:sz w:val="32"/>
          <w:szCs w:val="32"/>
          <w:rtl/>
        </w:rPr>
        <w:t>شرح منظومة أصول الفقه وقواعده (50، 61).</w:t>
      </w:r>
    </w:p>
  </w:footnote>
  <w:footnote w:id="249">
    <w:p w:rsidR="000D3D21" w:rsidRPr="006A60E0" w:rsidRDefault="000D3D21" w:rsidP="00715C0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A60E0">
        <w:rPr>
          <w:rFonts w:ascii="Traditional Arabic" w:hAnsi="Traditional Arabic"/>
          <w:sz w:val="32"/>
          <w:szCs w:val="32"/>
          <w:rtl/>
        </w:rPr>
        <w:t>انظر: نهاية الوصول في دراية الأصول لصفي الدين محمد بن عبد الرحيم الهندي (8/3338)، ومنتهى السول والأمل في علمي الأصول والجدل لجمال الدين أبي عمرو عثمان بن عمرو المعروف بابن الحاجب (184).</w:t>
      </w:r>
    </w:p>
  </w:footnote>
  <w:footnote w:id="250">
    <w:p w:rsidR="000D3D21" w:rsidRPr="006A60E0" w:rsidRDefault="000D3D21" w:rsidP="00715C0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6A60E0">
        <w:rPr>
          <w:rFonts w:ascii="Traditional Arabic" w:hAnsi="Traditional Arabic"/>
          <w:sz w:val="32"/>
          <w:szCs w:val="32"/>
          <w:rtl/>
        </w:rPr>
        <w:t xml:space="preserve"> انظر شرح مختصر الروضة لنجم الدين الطوفي (3/214).</w:t>
      </w:r>
    </w:p>
  </w:footnote>
  <w:footnote w:id="251">
    <w:p w:rsidR="000D3D21" w:rsidRDefault="000D3D21" w:rsidP="00953EC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A60E0">
        <w:rPr>
          <w:rFonts w:ascii="Traditional Arabic" w:hAnsi="Traditional Arabic"/>
          <w:sz w:val="32"/>
          <w:szCs w:val="32"/>
          <w:rtl/>
        </w:rPr>
        <w:t>انظر الشرح الممتع (8/131-132).</w:t>
      </w:r>
    </w:p>
    <w:p w:rsidR="000D3D21" w:rsidRDefault="000D3D21" w:rsidP="00953ECC">
      <w:pPr>
        <w:pStyle w:val="a7"/>
        <w:pageBreakBefore/>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Pr>
          <w:rFonts w:ascii="Traditional Arabic" w:hAnsi="Traditional Arabic"/>
          <w:sz w:val="32"/>
          <w:szCs w:val="32"/>
          <w:rtl/>
        </w:rPr>
        <w:t>هذ</w:t>
      </w:r>
      <w:r>
        <w:rPr>
          <w:rFonts w:ascii="Traditional Arabic" w:hAnsi="Traditional Arabic" w:hint="cs"/>
          <w:sz w:val="32"/>
          <w:szCs w:val="32"/>
          <w:rtl/>
        </w:rPr>
        <w:t>ه المسألة</w:t>
      </w:r>
      <w:r>
        <w:rPr>
          <w:rFonts w:ascii="Traditional Arabic" w:hAnsi="Traditional Arabic"/>
          <w:sz w:val="32"/>
          <w:szCs w:val="32"/>
          <w:rtl/>
        </w:rPr>
        <w:t xml:space="preserve"> </w:t>
      </w:r>
      <w:r>
        <w:rPr>
          <w:rFonts w:ascii="Traditional Arabic" w:hAnsi="Traditional Arabic" w:hint="cs"/>
          <w:sz w:val="32"/>
          <w:szCs w:val="32"/>
          <w:rtl/>
        </w:rPr>
        <w:t>ت</w:t>
      </w:r>
      <w:r w:rsidRPr="006A60E0">
        <w:rPr>
          <w:rFonts w:ascii="Traditional Arabic" w:hAnsi="Traditional Arabic"/>
          <w:sz w:val="32"/>
          <w:szCs w:val="32"/>
          <w:rtl/>
        </w:rPr>
        <w:t xml:space="preserve">دخل في ما يسمى بتصرف الفضولي، والذي رجحه الشيخ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6A60E0">
        <w:rPr>
          <w:rFonts w:ascii="Traditional Arabic" w:hAnsi="Traditional Arabic"/>
          <w:sz w:val="32"/>
          <w:szCs w:val="32"/>
          <w:rtl/>
        </w:rPr>
        <w:t xml:space="preserve"> أنه يصح إذا أجازه المالك.</w:t>
      </w:r>
    </w:p>
    <w:p w:rsidR="000D3D21" w:rsidRPr="006A60E0" w:rsidRDefault="000D3D21" w:rsidP="00953ECC">
      <w:pPr>
        <w:pStyle w:val="a7"/>
        <w:pageBreakBefore/>
        <w:rPr>
          <w:rFonts w:ascii="Traditional Arabic" w:hAnsi="Traditional Arabic"/>
          <w:sz w:val="32"/>
          <w:szCs w:val="32"/>
        </w:rPr>
      </w:pPr>
      <w:r>
        <w:rPr>
          <w:rFonts w:ascii="Traditional Arabic" w:hAnsi="Traditional Arabic" w:hint="cs"/>
          <w:b/>
          <w:bCs/>
          <w:sz w:val="32"/>
          <w:szCs w:val="32"/>
          <w:rtl/>
        </w:rPr>
        <w:t xml:space="preserve">      والفضولي:</w:t>
      </w:r>
      <w:r>
        <w:rPr>
          <w:rFonts w:ascii="Traditional Arabic" w:hAnsi="Traditional Arabic" w:hint="cs"/>
          <w:sz w:val="32"/>
          <w:szCs w:val="32"/>
          <w:rtl/>
        </w:rPr>
        <w:t xml:space="preserve"> هو من يتصرف بحق الغير بدون إذن شرعي. مجلة الأحكام العدلية (المادة 112).</w:t>
      </w:r>
    </w:p>
  </w:footnote>
  <w:footnote w:id="252">
    <w:p w:rsidR="000D3D21" w:rsidRPr="00BB1F1B" w:rsidRDefault="000D3D21" w:rsidP="00FF37C2">
      <w:pPr>
        <w:widowControl/>
        <w:autoSpaceDE w:val="0"/>
        <w:autoSpaceDN w:val="0"/>
        <w:adjustRightInd w:val="0"/>
        <w:ind w:firstLine="0"/>
        <w:jc w:val="left"/>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color w:val="auto"/>
          <w:sz w:val="32"/>
          <w:szCs w:val="32"/>
          <w:rtl/>
          <w:lang w:eastAsia="en-US"/>
        </w:rPr>
        <w:t xml:space="preserve"> </w:t>
      </w:r>
      <w:r w:rsidRPr="006A60E0">
        <w:rPr>
          <w:rFonts w:ascii="Traditional Arabic" w:hAnsi="Traditional Arabic"/>
          <w:b/>
          <w:bCs/>
          <w:noProof w:val="0"/>
          <w:color w:val="auto"/>
          <w:sz w:val="32"/>
          <w:szCs w:val="32"/>
          <w:rtl/>
          <w:lang w:eastAsia="en-US"/>
        </w:rPr>
        <w:t>الغَبْن</w:t>
      </w:r>
      <w:r w:rsidR="00AB0B9E">
        <w:rPr>
          <w:rFonts w:ascii="Traditional Arabic" w:hAnsi="Traditional Arabic"/>
          <w:b/>
          <w:bCs/>
          <w:noProof w:val="0"/>
          <w:color w:val="auto"/>
          <w:sz w:val="32"/>
          <w:szCs w:val="32"/>
          <w:rtl/>
          <w:lang w:eastAsia="en-US"/>
        </w:rPr>
        <w:fldChar w:fldCharType="begin"/>
      </w:r>
      <w:r>
        <w:instrText xml:space="preserve"> XE "</w:instrText>
      </w:r>
      <w:r w:rsidRPr="00FF37C2">
        <w:rPr>
          <w:rFonts w:ascii="Traditional Arabic" w:hAnsi="Traditional Arabic"/>
          <w:noProof w:val="0"/>
          <w:color w:val="auto"/>
          <w:sz w:val="32"/>
          <w:szCs w:val="32"/>
          <w:rtl/>
          <w:lang w:eastAsia="en-US"/>
        </w:rPr>
        <w:instrText>الغَبْن</w:instrText>
      </w:r>
      <w:r>
        <w:instrText>" \fm</w:instrText>
      </w:r>
      <w:r w:rsidR="00AB0B9E">
        <w:rPr>
          <w:rFonts w:ascii="Traditional Arabic" w:hAnsi="Traditional Arabic"/>
          <w:b/>
          <w:bCs/>
          <w:noProof w:val="0"/>
          <w:color w:val="auto"/>
          <w:sz w:val="32"/>
          <w:szCs w:val="32"/>
          <w:rtl/>
          <w:lang w:eastAsia="en-US"/>
        </w:rPr>
        <w:fldChar w:fldCharType="end"/>
      </w:r>
      <w:r>
        <w:rPr>
          <w:rFonts w:ascii="Traditional Arabic" w:hAnsi="Traditional Arabic"/>
          <w:noProof w:val="0"/>
          <w:color w:val="auto"/>
          <w:sz w:val="32"/>
          <w:szCs w:val="32"/>
          <w:rtl/>
          <w:lang w:eastAsia="en-US"/>
        </w:rPr>
        <w:t>: مصدر غَبَنَه، يغبنِه</w:t>
      </w:r>
      <w:r w:rsidRPr="006A60E0">
        <w:rPr>
          <w:rFonts w:ascii="Traditional Arabic" w:hAnsi="Traditional Arabic"/>
          <w:noProof w:val="0"/>
          <w:color w:val="auto"/>
          <w:sz w:val="32"/>
          <w:szCs w:val="32"/>
          <w:rtl/>
          <w:lang w:eastAsia="en-US"/>
        </w:rPr>
        <w:t>: إذا نقصَه، ويقال: غَبِن رأيُه غَبَناً، أي: ضَعُف.</w:t>
      </w:r>
      <w:r>
        <w:rPr>
          <w:rFonts w:ascii="Traditional Arabic" w:hAnsi="Traditional Arabic" w:hint="cs"/>
          <w:noProof w:val="0"/>
          <w:color w:val="auto"/>
          <w:sz w:val="32"/>
          <w:szCs w:val="32"/>
          <w:rtl/>
          <w:lang w:eastAsia="en-US"/>
        </w:rPr>
        <w:t xml:space="preserve"> </w:t>
      </w:r>
      <w:r w:rsidRPr="006A60E0">
        <w:rPr>
          <w:rFonts w:ascii="Traditional Arabic" w:hAnsi="Traditional Arabic"/>
          <w:noProof w:val="0"/>
          <w:color w:val="auto"/>
          <w:sz w:val="32"/>
          <w:szCs w:val="32"/>
          <w:rtl/>
          <w:lang w:eastAsia="en-US"/>
        </w:rPr>
        <w:t>انظر</w:t>
      </w:r>
      <w:r>
        <w:rPr>
          <w:rFonts w:ascii="Traditional Arabic" w:hAnsi="Traditional Arabic" w:hint="cs"/>
          <w:noProof w:val="0"/>
          <w:color w:val="auto"/>
          <w:sz w:val="32"/>
          <w:szCs w:val="32"/>
          <w:rtl/>
          <w:lang w:eastAsia="en-US"/>
        </w:rPr>
        <w:t>: تهذيب اللغة للأزهري (8/148)، و</w:t>
      </w:r>
      <w:r w:rsidRPr="006A60E0">
        <w:rPr>
          <w:rFonts w:ascii="Traditional Arabic" w:hAnsi="Traditional Arabic"/>
          <w:noProof w:val="0"/>
          <w:color w:val="auto"/>
          <w:sz w:val="32"/>
          <w:szCs w:val="32"/>
          <w:rtl/>
          <w:lang w:eastAsia="en-US"/>
        </w:rPr>
        <w:t>المطلع على</w:t>
      </w:r>
      <w:r>
        <w:rPr>
          <w:rFonts w:ascii="Traditional Arabic" w:hAnsi="Traditional Arabic" w:hint="cs"/>
          <w:noProof w:val="0"/>
          <w:color w:val="auto"/>
          <w:sz w:val="32"/>
          <w:szCs w:val="32"/>
          <w:rtl/>
          <w:lang w:eastAsia="en-US"/>
        </w:rPr>
        <w:t xml:space="preserve"> ألفاظ</w:t>
      </w:r>
      <w:r w:rsidRPr="006A60E0">
        <w:rPr>
          <w:rFonts w:ascii="Traditional Arabic" w:hAnsi="Traditional Arabic"/>
          <w:noProof w:val="0"/>
          <w:color w:val="auto"/>
          <w:sz w:val="32"/>
          <w:szCs w:val="32"/>
          <w:rtl/>
          <w:lang w:eastAsia="en-US"/>
        </w:rPr>
        <w:t xml:space="preserve"> المقنع </w:t>
      </w:r>
      <w:r>
        <w:rPr>
          <w:rFonts w:ascii="Traditional Arabic" w:hAnsi="Traditional Arabic" w:hint="cs"/>
          <w:noProof w:val="0"/>
          <w:color w:val="auto"/>
          <w:sz w:val="32"/>
          <w:szCs w:val="32"/>
          <w:rtl/>
          <w:lang w:eastAsia="en-US"/>
        </w:rPr>
        <w:t xml:space="preserve">للبعلي </w:t>
      </w:r>
      <w:r w:rsidRPr="006A60E0">
        <w:rPr>
          <w:rFonts w:ascii="Traditional Arabic" w:hAnsi="Traditional Arabic"/>
          <w:noProof w:val="0"/>
          <w:color w:val="auto"/>
          <w:sz w:val="32"/>
          <w:szCs w:val="32"/>
          <w:rtl/>
          <w:lang w:eastAsia="en-US"/>
        </w:rPr>
        <w:t>(280).</w:t>
      </w:r>
    </w:p>
  </w:footnote>
  <w:footnote w:id="253">
    <w:p w:rsidR="000D3D21" w:rsidRPr="008135F7" w:rsidRDefault="000D3D21" w:rsidP="008135F7">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4068">
        <w:rPr>
          <w:rFonts w:ascii="Traditional Arabic" w:hAnsi="Traditional Arabic"/>
          <w:sz w:val="32"/>
          <w:szCs w:val="32"/>
          <w:rtl/>
        </w:rPr>
        <w:t>انظر الشرح الممتع (8/297).</w:t>
      </w:r>
    </w:p>
  </w:footnote>
  <w:footnote w:id="254">
    <w:p w:rsidR="000D3D21" w:rsidRPr="00554068" w:rsidRDefault="000D3D21" w:rsidP="008135F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554068">
        <w:rPr>
          <w:rFonts w:ascii="Traditional Arabic" w:hAnsi="Traditional Arabic"/>
          <w:sz w:val="32"/>
          <w:szCs w:val="32"/>
          <w:rtl/>
        </w:rPr>
        <w:t xml:space="preserve"> (8/297).</w:t>
      </w:r>
    </w:p>
  </w:footnote>
  <w:footnote w:id="255">
    <w:p w:rsidR="000D3D21" w:rsidRPr="00091991" w:rsidRDefault="000D3D21" w:rsidP="00091991">
      <w:pPr>
        <w:pStyle w:val="a7"/>
        <w:pageBreakBefore/>
        <w:rPr>
          <w:rFonts w:ascii="Tahoma" w:hAnsi="Tahoma"/>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4068">
        <w:rPr>
          <w:rFonts w:ascii="Traditional Arabic" w:hAnsi="Traditional Arabic"/>
          <w:sz w:val="32"/>
          <w:szCs w:val="32"/>
          <w:rtl/>
        </w:rPr>
        <w:t>انظر المرجع السابق (9/233).</w:t>
      </w:r>
    </w:p>
  </w:footnote>
  <w:footnote w:id="256">
    <w:p w:rsidR="000D3D21" w:rsidRPr="00D8711F" w:rsidRDefault="000D3D21" w:rsidP="00FF37C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8711F">
        <w:rPr>
          <w:rFonts w:ascii="Traditional Arabic" w:hAnsi="Traditional Arabic"/>
          <w:b/>
          <w:bCs/>
          <w:sz w:val="32"/>
          <w:szCs w:val="32"/>
          <w:rtl/>
        </w:rPr>
        <w:t>الميازيب</w:t>
      </w:r>
      <w:r w:rsidR="00AB0B9E">
        <w:rPr>
          <w:rFonts w:ascii="Traditional Arabic" w:hAnsi="Traditional Arabic"/>
          <w:b/>
          <w:bCs/>
          <w:sz w:val="32"/>
          <w:szCs w:val="32"/>
          <w:rtl/>
        </w:rPr>
        <w:fldChar w:fldCharType="begin"/>
      </w:r>
      <w:r>
        <w:instrText xml:space="preserve"> XE "</w:instrText>
      </w:r>
      <w:r>
        <w:rPr>
          <w:rFonts w:ascii="Traditional Arabic" w:hAnsi="Traditional Arabic" w:hint="cs"/>
          <w:noProof w:val="0"/>
          <w:rtl/>
          <w:lang w:eastAsia="en-US"/>
        </w:rPr>
        <w:instrText>الميازيب</w:instrText>
      </w:r>
      <w:r>
        <w:instrText xml:space="preserve"> " \fm</w:instrText>
      </w:r>
      <w:r w:rsidR="00AB0B9E">
        <w:rPr>
          <w:rFonts w:ascii="Traditional Arabic" w:hAnsi="Traditional Arabic"/>
          <w:b/>
          <w:bCs/>
          <w:sz w:val="32"/>
          <w:szCs w:val="32"/>
          <w:rtl/>
        </w:rPr>
        <w:fldChar w:fldCharType="end"/>
      </w:r>
      <w:r w:rsidRPr="00D8711F">
        <w:rPr>
          <w:rFonts w:ascii="Traditional Arabic" w:hAnsi="Traditional Arabic"/>
          <w:b/>
          <w:bCs/>
          <w:sz w:val="32"/>
          <w:szCs w:val="32"/>
          <w:rtl/>
        </w:rPr>
        <w:t xml:space="preserve">: </w:t>
      </w:r>
      <w:r w:rsidRPr="00D8711F">
        <w:rPr>
          <w:rFonts w:ascii="Traditional Arabic" w:hAnsi="Traditional Arabic"/>
          <w:sz w:val="32"/>
          <w:szCs w:val="32"/>
          <w:rtl/>
        </w:rPr>
        <w:t>جمع ميزاب،</w:t>
      </w:r>
      <w:r>
        <w:rPr>
          <w:rFonts w:ascii="Traditional Arabic" w:hAnsi="Traditional Arabic"/>
          <w:sz w:val="32"/>
          <w:szCs w:val="32"/>
          <w:rtl/>
        </w:rPr>
        <w:t xml:space="preserve"> و</w:t>
      </w:r>
      <w:r>
        <w:rPr>
          <w:rFonts w:ascii="Traditional Arabic" w:hAnsi="Traditional Arabic" w:hint="cs"/>
          <w:noProof w:val="0"/>
          <w:sz w:val="32"/>
          <w:szCs w:val="32"/>
          <w:rtl/>
          <w:lang w:eastAsia="en-US"/>
        </w:rPr>
        <w:t xml:space="preserve">هو </w:t>
      </w:r>
      <w:r w:rsidRPr="00D8711F">
        <w:rPr>
          <w:rFonts w:ascii="Traditional Arabic" w:hAnsi="Traditional Arabic"/>
          <w:noProof w:val="0"/>
          <w:sz w:val="32"/>
          <w:szCs w:val="32"/>
          <w:rtl/>
          <w:lang w:eastAsia="en-US"/>
        </w:rPr>
        <w:t>ما يَسيل منه الماء مِن مَوضع عالٍ</w:t>
      </w:r>
      <w:r>
        <w:rPr>
          <w:rFonts w:ascii="Traditional Arabic" w:hAnsi="Traditional Arabic" w:hint="cs"/>
          <w:sz w:val="32"/>
          <w:szCs w:val="32"/>
          <w:rtl/>
        </w:rPr>
        <w:t>، ومنه ميزاب الكعبة، وهو مصبُّ ماءِ المطر</w:t>
      </w:r>
      <w:r w:rsidRPr="00D8711F">
        <w:rPr>
          <w:rFonts w:ascii="Traditional Arabic" w:hAnsi="Traditional Arabic"/>
          <w:sz w:val="32"/>
          <w:szCs w:val="32"/>
          <w:rtl/>
        </w:rPr>
        <w:t>.تاج العروس للزبيدي (</w:t>
      </w:r>
      <w:r>
        <w:rPr>
          <w:rFonts w:ascii="Traditional Arabic" w:hAnsi="Traditional Arabic" w:hint="cs"/>
          <w:sz w:val="32"/>
          <w:szCs w:val="32"/>
          <w:rtl/>
        </w:rPr>
        <w:t>2/24</w:t>
      </w:r>
      <w:r w:rsidRPr="00D8711F">
        <w:rPr>
          <w:rFonts w:ascii="Traditional Arabic" w:hAnsi="Traditional Arabic"/>
          <w:sz w:val="32"/>
          <w:szCs w:val="32"/>
          <w:rtl/>
        </w:rPr>
        <w:t>).</w:t>
      </w:r>
    </w:p>
  </w:footnote>
  <w:footnote w:id="257">
    <w:p w:rsidR="000D3D21" w:rsidRPr="00D8711F" w:rsidRDefault="000D3D21" w:rsidP="000A019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sz w:val="32"/>
          <w:szCs w:val="32"/>
          <w:rtl/>
          <w:lang w:eastAsia="en-US"/>
        </w:rPr>
        <w:t xml:space="preserve"> </w:t>
      </w:r>
      <w:r w:rsidRPr="00D8711F">
        <w:rPr>
          <w:rFonts w:ascii="Traditional Arabic" w:hAnsi="Traditional Arabic"/>
          <w:b/>
          <w:bCs/>
          <w:noProof w:val="0"/>
          <w:sz w:val="32"/>
          <w:szCs w:val="32"/>
          <w:rtl/>
          <w:lang w:eastAsia="en-US"/>
        </w:rPr>
        <w:t>الطريق النافذ</w:t>
      </w:r>
      <w:r w:rsidR="00AB0B9E" w:rsidRPr="000A019A">
        <w:rPr>
          <w:rFonts w:ascii="Traditional Arabic" w:hAnsi="Traditional Arabic"/>
          <w:noProof w:val="0"/>
          <w:sz w:val="32"/>
          <w:szCs w:val="32"/>
          <w:rtl/>
          <w:lang w:eastAsia="en-US"/>
        </w:rPr>
        <w:fldChar w:fldCharType="begin"/>
      </w:r>
      <w:r w:rsidRPr="000A019A">
        <w:instrText xml:space="preserve"> XE "</w:instrText>
      </w:r>
      <w:r w:rsidRPr="000A019A">
        <w:rPr>
          <w:rFonts w:ascii="Traditional Arabic" w:hAnsi="Traditional Arabic"/>
          <w:noProof w:val="0"/>
          <w:sz w:val="32"/>
          <w:szCs w:val="32"/>
          <w:rtl/>
          <w:lang w:eastAsia="en-US"/>
        </w:rPr>
        <w:instrText>الطريق النافذ</w:instrText>
      </w:r>
      <w:r w:rsidRPr="000A019A">
        <w:instrText xml:space="preserve">" </w:instrText>
      </w:r>
      <w:r>
        <w:rPr>
          <w:lang w:val="fr-FR"/>
        </w:rPr>
        <w:instrText>\fm</w:instrText>
      </w:r>
      <w:r w:rsidR="00AB0B9E" w:rsidRPr="000A019A">
        <w:rPr>
          <w:rFonts w:ascii="Traditional Arabic" w:hAnsi="Traditional Arabic"/>
          <w:noProof w:val="0"/>
          <w:sz w:val="32"/>
          <w:szCs w:val="32"/>
          <w:rtl/>
          <w:lang w:eastAsia="en-US"/>
        </w:rPr>
        <w:fldChar w:fldCharType="end"/>
      </w:r>
      <w:r w:rsidRPr="00D8711F">
        <w:rPr>
          <w:rFonts w:ascii="Traditional Arabic" w:hAnsi="Traditional Arabic"/>
          <w:b/>
          <w:bCs/>
          <w:noProof w:val="0"/>
          <w:sz w:val="32"/>
          <w:szCs w:val="32"/>
          <w:rtl/>
          <w:lang w:eastAsia="en-US"/>
        </w:rPr>
        <w:t>:</w:t>
      </w:r>
      <w:r w:rsidRPr="00D8711F">
        <w:rPr>
          <w:rFonts w:ascii="Traditional Arabic" w:hAnsi="Traditional Arabic"/>
          <w:noProof w:val="0"/>
          <w:sz w:val="32"/>
          <w:szCs w:val="32"/>
          <w:rtl/>
          <w:lang w:eastAsia="en-US"/>
        </w:rPr>
        <w:t xml:space="preserve"> يقال: ن</w:t>
      </w:r>
      <w:r>
        <w:rPr>
          <w:rFonts w:ascii="Traditional Arabic" w:hAnsi="Traditional Arabic" w:hint="cs"/>
          <w:noProof w:val="0"/>
          <w:sz w:val="32"/>
          <w:szCs w:val="32"/>
          <w:rtl/>
          <w:lang w:eastAsia="en-US"/>
        </w:rPr>
        <w:t>َ</w:t>
      </w:r>
      <w:r w:rsidRPr="00D8711F">
        <w:rPr>
          <w:rFonts w:ascii="Traditional Arabic" w:hAnsi="Traditional Arabic"/>
          <w:noProof w:val="0"/>
          <w:sz w:val="32"/>
          <w:szCs w:val="32"/>
          <w:rtl/>
          <w:lang w:eastAsia="en-US"/>
        </w:rPr>
        <w:t>ف</w:t>
      </w:r>
      <w:r>
        <w:rPr>
          <w:rFonts w:ascii="Traditional Arabic" w:hAnsi="Traditional Arabic" w:hint="cs"/>
          <w:noProof w:val="0"/>
          <w:sz w:val="32"/>
          <w:szCs w:val="32"/>
          <w:rtl/>
          <w:lang w:eastAsia="en-US"/>
        </w:rPr>
        <w:t>َ</w:t>
      </w:r>
      <w:r w:rsidRPr="00D8711F">
        <w:rPr>
          <w:rFonts w:ascii="Traditional Arabic" w:hAnsi="Traditional Arabic"/>
          <w:noProof w:val="0"/>
          <w:sz w:val="32"/>
          <w:szCs w:val="32"/>
          <w:rtl/>
          <w:lang w:eastAsia="en-US"/>
        </w:rPr>
        <w:t>ذ الطريق، إذا عمَّ مسلكُه لكل أحد، فهو ناف</w:t>
      </w:r>
      <w:r>
        <w:rPr>
          <w:rFonts w:ascii="Traditional Arabic" w:hAnsi="Traditional Arabic" w:hint="cs"/>
          <w:noProof w:val="0"/>
          <w:sz w:val="32"/>
          <w:szCs w:val="32"/>
          <w:rtl/>
          <w:lang w:eastAsia="en-US"/>
        </w:rPr>
        <w:t>ِ</w:t>
      </w:r>
      <w:r w:rsidRPr="00D8711F">
        <w:rPr>
          <w:rFonts w:ascii="Traditional Arabic" w:hAnsi="Traditional Arabic"/>
          <w:noProof w:val="0"/>
          <w:sz w:val="32"/>
          <w:szCs w:val="32"/>
          <w:rtl/>
          <w:lang w:eastAsia="en-US"/>
        </w:rPr>
        <w:t>ذ، أي: عام. انظر المصباح المنير</w:t>
      </w:r>
      <w:r>
        <w:rPr>
          <w:rFonts w:ascii="Traditional Arabic" w:hAnsi="Traditional Arabic" w:hint="cs"/>
          <w:noProof w:val="0"/>
          <w:sz w:val="32"/>
          <w:szCs w:val="32"/>
          <w:rtl/>
          <w:lang w:eastAsia="en-US"/>
        </w:rPr>
        <w:t xml:space="preserve"> (505)</w:t>
      </w:r>
      <w:r w:rsidRPr="00D8711F">
        <w:rPr>
          <w:rFonts w:ascii="Traditional Arabic" w:hAnsi="Traditional Arabic"/>
          <w:noProof w:val="0"/>
          <w:sz w:val="32"/>
          <w:szCs w:val="32"/>
          <w:rtl/>
          <w:lang w:eastAsia="en-US"/>
        </w:rPr>
        <w:t>.</w:t>
      </w:r>
    </w:p>
  </w:footnote>
  <w:footnote w:id="258">
    <w:p w:rsidR="000D3D21" w:rsidRPr="00D8711F"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8711F">
        <w:rPr>
          <w:rFonts w:ascii="Traditional Arabic" w:hAnsi="Traditional Arabic"/>
          <w:sz w:val="32"/>
          <w:szCs w:val="32"/>
          <w:rtl/>
        </w:rPr>
        <w:t xml:space="preserve"> الشرح الممتع (9/256). </w:t>
      </w:r>
    </w:p>
  </w:footnote>
  <w:footnote w:id="259">
    <w:p w:rsidR="000D3D21" w:rsidRPr="004472F1" w:rsidRDefault="000D3D21" w:rsidP="003B3E89">
      <w:pPr>
        <w:pStyle w:val="a7"/>
        <w:pageBreakBefore/>
        <w:rPr>
          <w:rFonts w:ascii="Traditional Arabic" w:hAnsi="Traditional Arabic"/>
          <w:sz w:val="32"/>
          <w:szCs w:val="32"/>
          <w:rtl/>
        </w:rPr>
      </w:pPr>
      <w:r w:rsidRPr="003B3E89">
        <w:rPr>
          <w:rStyle w:val="af1"/>
          <w:rFonts w:ascii="Traditional Arabic" w:hAnsi="Traditional Arabic"/>
          <w:sz w:val="32"/>
          <w:szCs w:val="32"/>
          <w:vertAlign w:val="baseline"/>
        </w:rPr>
        <w:footnoteRef/>
      </w:r>
      <w:r w:rsidRPr="003B3E89">
        <w:rPr>
          <w:rFonts w:ascii="Traditional Arabic" w:hAnsi="Traditional Arabic"/>
          <w:sz w:val="32"/>
          <w:szCs w:val="32"/>
        </w:rPr>
        <w:t>)</w:t>
      </w:r>
      <w:r w:rsidRPr="003B3E89">
        <w:rPr>
          <w:rFonts w:ascii="Traditional Arabic" w:hAnsi="Traditional Arabic"/>
          <w:sz w:val="32"/>
          <w:szCs w:val="32"/>
          <w:rtl/>
        </w:rPr>
        <w:t xml:space="preserve">) </w:t>
      </w:r>
      <w:r w:rsidRPr="004472F1">
        <w:rPr>
          <w:rFonts w:ascii="Traditional Arabic" w:hAnsi="Traditional Arabic"/>
          <w:b/>
          <w:bCs/>
          <w:sz w:val="32"/>
          <w:szCs w:val="32"/>
          <w:rtl/>
        </w:rPr>
        <w:t>المسابقة</w:t>
      </w:r>
      <w:r w:rsidR="00AB0B9E" w:rsidRPr="00A11BFD">
        <w:rPr>
          <w:rFonts w:ascii="Traditional Arabic" w:hAnsi="Traditional Arabic"/>
          <w:sz w:val="32"/>
          <w:szCs w:val="32"/>
          <w:rtl/>
        </w:rPr>
        <w:fldChar w:fldCharType="begin"/>
      </w:r>
      <w:r w:rsidRPr="00A11BFD">
        <w:instrText xml:space="preserve"> XE "</w:instrText>
      </w:r>
      <w:r w:rsidRPr="00A11BFD">
        <w:rPr>
          <w:rFonts w:ascii="Traditional Arabic" w:hAnsi="Traditional Arabic"/>
          <w:sz w:val="32"/>
          <w:szCs w:val="32"/>
          <w:rtl/>
        </w:rPr>
        <w:instrText>المسابقة</w:instrText>
      </w:r>
      <w:r w:rsidRPr="00A11BFD">
        <w:instrText xml:space="preserve">" </w:instrText>
      </w:r>
      <w:r>
        <w:instrText>\fm</w:instrText>
      </w:r>
      <w:r w:rsidR="00AB0B9E" w:rsidRPr="00A11BFD">
        <w:rPr>
          <w:rFonts w:ascii="Traditional Arabic" w:hAnsi="Traditional Arabic"/>
          <w:sz w:val="32"/>
          <w:szCs w:val="32"/>
          <w:rtl/>
        </w:rPr>
        <w:fldChar w:fldCharType="end"/>
      </w:r>
      <w:r w:rsidRPr="004472F1">
        <w:rPr>
          <w:rFonts w:ascii="Traditional Arabic" w:hAnsi="Traditional Arabic"/>
          <w:b/>
          <w:bCs/>
          <w:sz w:val="32"/>
          <w:szCs w:val="32"/>
          <w:rtl/>
        </w:rPr>
        <w:t xml:space="preserve"> لغة: </w:t>
      </w:r>
      <w:r w:rsidRPr="004472F1">
        <w:rPr>
          <w:rFonts w:ascii="Traditional Arabic" w:hAnsi="Traditional Arabic"/>
          <w:sz w:val="32"/>
          <w:szCs w:val="32"/>
          <w:rtl/>
        </w:rPr>
        <w:t>مصدر الفعل سابَق، تقول: سابقته فسبقته، واستبقنا في العدو، أي: تسابقنا.</w:t>
      </w:r>
    </w:p>
    <w:p w:rsidR="000D3D21" w:rsidRPr="004472F1" w:rsidRDefault="000D3D21" w:rsidP="003B3E89">
      <w:pPr>
        <w:pStyle w:val="a7"/>
        <w:pageBreakBefore/>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sz w:val="32"/>
          <w:szCs w:val="32"/>
          <w:rtl/>
        </w:rPr>
        <w:t>ويقال:</w:t>
      </w:r>
      <w:r>
        <w:rPr>
          <w:rFonts w:ascii="Traditional Arabic" w:hAnsi="Traditional Arabic" w:hint="cs"/>
          <w:sz w:val="32"/>
          <w:szCs w:val="32"/>
          <w:rtl/>
        </w:rPr>
        <w:t xml:space="preserve"> </w:t>
      </w:r>
      <w:r w:rsidRPr="004472F1">
        <w:rPr>
          <w:rFonts w:ascii="Traditional Arabic" w:hAnsi="Traditional Arabic"/>
          <w:sz w:val="32"/>
          <w:szCs w:val="32"/>
          <w:rtl/>
        </w:rPr>
        <w:t>سبقه يسبِقه ويسبُقه س</w:t>
      </w:r>
      <w:r>
        <w:rPr>
          <w:rFonts w:ascii="Traditional Arabic" w:hAnsi="Traditional Arabic" w:hint="cs"/>
          <w:sz w:val="32"/>
          <w:szCs w:val="32"/>
          <w:rtl/>
        </w:rPr>
        <w:t>َ</w:t>
      </w:r>
      <w:r w:rsidRPr="004472F1">
        <w:rPr>
          <w:rFonts w:ascii="Traditional Arabic" w:hAnsi="Traditional Arabic"/>
          <w:sz w:val="32"/>
          <w:szCs w:val="32"/>
          <w:rtl/>
        </w:rPr>
        <w:t>ب</w:t>
      </w:r>
      <w:r>
        <w:rPr>
          <w:rFonts w:ascii="Traditional Arabic" w:hAnsi="Traditional Arabic" w:hint="cs"/>
          <w:sz w:val="32"/>
          <w:szCs w:val="32"/>
          <w:rtl/>
        </w:rPr>
        <w:t>ْ</w:t>
      </w:r>
      <w:r w:rsidRPr="004472F1">
        <w:rPr>
          <w:rFonts w:ascii="Traditional Arabic" w:hAnsi="Traditional Arabic"/>
          <w:sz w:val="32"/>
          <w:szCs w:val="32"/>
          <w:rtl/>
        </w:rPr>
        <w:t>قاً، إذا تقدَّمه</w:t>
      </w:r>
      <w:r>
        <w:rPr>
          <w:rFonts w:ascii="Traditional Arabic" w:hAnsi="Traditional Arabic" w:hint="cs"/>
          <w:sz w:val="32"/>
          <w:szCs w:val="32"/>
          <w:rtl/>
        </w:rPr>
        <w:t>، والسَّبَق الخطر الذي يوضع بين أهل السباق</w:t>
      </w:r>
      <w:r w:rsidRPr="004472F1">
        <w:rPr>
          <w:rFonts w:ascii="Traditional Arabic" w:hAnsi="Traditional Arabic"/>
          <w:sz w:val="32"/>
          <w:szCs w:val="32"/>
          <w:rtl/>
        </w:rPr>
        <w:t>.</w:t>
      </w:r>
      <w:r>
        <w:rPr>
          <w:rFonts w:ascii="Traditional Arabic" w:hAnsi="Traditional Arabic" w:hint="cs"/>
          <w:sz w:val="32"/>
          <w:szCs w:val="32"/>
          <w:rtl/>
        </w:rPr>
        <w:t xml:space="preserve"> </w:t>
      </w:r>
      <w:r w:rsidRPr="004472F1">
        <w:rPr>
          <w:rFonts w:ascii="Traditional Arabic" w:hAnsi="Traditional Arabic"/>
          <w:sz w:val="32"/>
          <w:szCs w:val="32"/>
          <w:rtl/>
        </w:rPr>
        <w:t>انظر: الصحاح للجوهري (4/1494)، ولسان العرب (3/1928).</w:t>
      </w:r>
    </w:p>
    <w:p w:rsidR="000D3D21" w:rsidRPr="003B3E89" w:rsidRDefault="000D3D21" w:rsidP="003B3E89">
      <w:pPr>
        <w:pStyle w:val="a7"/>
        <w:rPr>
          <w:rFonts w:ascii="Traditional Arabic" w:hAnsi="Traditional Arabic"/>
          <w:sz w:val="32"/>
          <w:szCs w:val="32"/>
        </w:rPr>
      </w:pPr>
      <w:r>
        <w:rPr>
          <w:rFonts w:ascii="Traditional Arabic" w:hAnsi="Traditional Arabic" w:hint="cs"/>
          <w:b/>
          <w:bCs/>
          <w:sz w:val="32"/>
          <w:szCs w:val="32"/>
          <w:rtl/>
        </w:rPr>
        <w:t xml:space="preserve">     </w:t>
      </w:r>
      <w:r w:rsidRPr="004472F1">
        <w:rPr>
          <w:rFonts w:ascii="Traditional Arabic" w:hAnsi="Traditional Arabic"/>
          <w:b/>
          <w:bCs/>
          <w:sz w:val="32"/>
          <w:szCs w:val="32"/>
          <w:rtl/>
        </w:rPr>
        <w:t>المسابقة والس</w:t>
      </w:r>
      <w:r>
        <w:rPr>
          <w:rFonts w:ascii="Traditional Arabic" w:hAnsi="Traditional Arabic" w:hint="cs"/>
          <w:b/>
          <w:bCs/>
          <w:sz w:val="32"/>
          <w:szCs w:val="32"/>
          <w:rtl/>
        </w:rPr>
        <w:t>َّ</w:t>
      </w:r>
      <w:r w:rsidRPr="004472F1">
        <w:rPr>
          <w:rFonts w:ascii="Traditional Arabic" w:hAnsi="Traditional Arabic"/>
          <w:b/>
          <w:bCs/>
          <w:sz w:val="32"/>
          <w:szCs w:val="32"/>
          <w:rtl/>
        </w:rPr>
        <w:t xml:space="preserve">بْق </w:t>
      </w:r>
      <w:r>
        <w:rPr>
          <w:rFonts w:ascii="Traditional Arabic" w:hAnsi="Traditional Arabic" w:hint="cs"/>
          <w:b/>
          <w:bCs/>
          <w:sz w:val="32"/>
          <w:szCs w:val="32"/>
          <w:rtl/>
        </w:rPr>
        <w:t>شرعا</w:t>
      </w:r>
      <w:r w:rsidRPr="004472F1">
        <w:rPr>
          <w:rFonts w:ascii="Traditional Arabic" w:hAnsi="Traditional Arabic"/>
          <w:b/>
          <w:bCs/>
          <w:sz w:val="32"/>
          <w:szCs w:val="32"/>
          <w:rtl/>
        </w:rPr>
        <w:t>:</w:t>
      </w:r>
      <w:r>
        <w:rPr>
          <w:rFonts w:ascii="Traditional Arabic" w:hAnsi="Traditional Arabic" w:hint="cs"/>
          <w:b/>
          <w:bCs/>
          <w:sz w:val="32"/>
          <w:szCs w:val="32"/>
          <w:rtl/>
        </w:rPr>
        <w:t xml:space="preserve"> </w:t>
      </w:r>
      <w:r w:rsidRPr="004472F1">
        <w:rPr>
          <w:rFonts w:ascii="Traditional Arabic" w:hAnsi="Traditional Arabic"/>
          <w:noProof w:val="0"/>
          <w:sz w:val="32"/>
          <w:szCs w:val="32"/>
          <w:rtl/>
          <w:lang w:eastAsia="en-US"/>
        </w:rPr>
        <w:t>المجاراة بين حيوان وغيره كسفن ومناجق.</w:t>
      </w:r>
      <w:r>
        <w:rPr>
          <w:rFonts w:ascii="Traditional Arabic" w:hAnsi="Traditional Arabic" w:hint="cs"/>
          <w:noProof w:val="0"/>
          <w:sz w:val="32"/>
          <w:szCs w:val="32"/>
          <w:rtl/>
          <w:lang w:eastAsia="en-US"/>
        </w:rPr>
        <w:t xml:space="preserve"> </w:t>
      </w:r>
      <w:r w:rsidRPr="004472F1">
        <w:rPr>
          <w:rFonts w:ascii="Traditional Arabic" w:hAnsi="Traditional Arabic"/>
          <w:noProof w:val="0"/>
          <w:sz w:val="32"/>
          <w:szCs w:val="32"/>
          <w:rtl/>
          <w:lang w:eastAsia="en-US"/>
        </w:rPr>
        <w:t>الروض المربع (7/147</w:t>
      </w:r>
      <w:r>
        <w:rPr>
          <w:rFonts w:ascii="Traditional Arabic" w:hAnsi="Traditional Arabic" w:hint="cs"/>
          <w:noProof w:val="0"/>
          <w:sz w:val="32"/>
          <w:szCs w:val="32"/>
          <w:rtl/>
          <w:lang w:eastAsia="en-US"/>
        </w:rPr>
        <w:t xml:space="preserve">)، </w:t>
      </w:r>
      <w:r w:rsidRPr="004472F1">
        <w:rPr>
          <w:rFonts w:ascii="Traditional Arabic" w:hAnsi="Traditional Arabic"/>
          <w:noProof w:val="0"/>
          <w:sz w:val="32"/>
          <w:szCs w:val="32"/>
          <w:rtl/>
          <w:lang w:eastAsia="en-US"/>
        </w:rPr>
        <w:t>وحاشية الروض المربع لابن قاسم (5/348).</w:t>
      </w:r>
    </w:p>
  </w:footnote>
  <w:footnote w:id="260">
    <w:p w:rsidR="000D3D21" w:rsidRPr="00D8711F"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8711F">
        <w:rPr>
          <w:rFonts w:ascii="Traditional Arabic" w:hAnsi="Traditional Arabic"/>
          <w:sz w:val="32"/>
          <w:szCs w:val="32"/>
          <w:rtl/>
        </w:rPr>
        <w:t>أي: مستثناة من تحريم الميسر.</w:t>
      </w:r>
    </w:p>
  </w:footnote>
  <w:footnote w:id="261">
    <w:p w:rsidR="000D3D21" w:rsidRPr="00D8711F" w:rsidRDefault="000D3D21" w:rsidP="000A019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8711F">
        <w:rPr>
          <w:rFonts w:ascii="Traditional Arabic" w:hAnsi="Traditional Arabic"/>
          <w:b/>
          <w:bCs/>
          <w:sz w:val="32"/>
          <w:szCs w:val="32"/>
          <w:rtl/>
        </w:rPr>
        <w:t xml:space="preserve"> تربو</w:t>
      </w:r>
      <w:r w:rsidR="00AB0B9E">
        <w:rPr>
          <w:rFonts w:ascii="Traditional Arabic" w:hAnsi="Traditional Arabic"/>
          <w:b/>
          <w:bCs/>
          <w:sz w:val="32"/>
          <w:szCs w:val="32"/>
          <w:rtl/>
        </w:rPr>
        <w:fldChar w:fldCharType="begin"/>
      </w:r>
      <w:r>
        <w:instrText xml:space="preserve"> XE "</w:instrText>
      </w:r>
      <w:r w:rsidRPr="000A019A">
        <w:rPr>
          <w:rFonts w:ascii="Traditional Arabic" w:hAnsi="Traditional Arabic"/>
          <w:sz w:val="32"/>
          <w:szCs w:val="32"/>
          <w:rtl/>
        </w:rPr>
        <w:instrText>تربو</w:instrText>
      </w:r>
      <w:r>
        <w:instrText xml:space="preserve">" </w:instrText>
      </w:r>
      <w:r>
        <w:rPr>
          <w:lang w:val="fr-FR"/>
        </w:rPr>
        <w:instrText>\fm</w:instrText>
      </w:r>
      <w:r w:rsidR="00AB0B9E">
        <w:rPr>
          <w:rFonts w:ascii="Traditional Arabic" w:hAnsi="Traditional Arabic"/>
          <w:b/>
          <w:bCs/>
          <w:sz w:val="32"/>
          <w:szCs w:val="32"/>
          <w:rtl/>
        </w:rPr>
        <w:fldChar w:fldCharType="end"/>
      </w:r>
      <w:r w:rsidRPr="00D8711F">
        <w:rPr>
          <w:rFonts w:ascii="Traditional Arabic" w:hAnsi="Traditional Arabic"/>
          <w:sz w:val="32"/>
          <w:szCs w:val="32"/>
          <w:rtl/>
        </w:rPr>
        <w:t>: من ربا الشيء</w:t>
      </w:r>
      <w:r>
        <w:rPr>
          <w:rFonts w:ascii="Traditional Arabic" w:hAnsi="Traditional Arabic" w:hint="cs"/>
          <w:sz w:val="32"/>
          <w:szCs w:val="32"/>
          <w:rtl/>
        </w:rPr>
        <w:t>ُ</w:t>
      </w:r>
      <w:r w:rsidRPr="00D8711F">
        <w:rPr>
          <w:rFonts w:ascii="Traditional Arabic" w:hAnsi="Traditional Arabic"/>
          <w:sz w:val="32"/>
          <w:szCs w:val="32"/>
          <w:rtl/>
        </w:rPr>
        <w:t xml:space="preserve"> يربو: إذا زاد.</w:t>
      </w:r>
      <w:r>
        <w:rPr>
          <w:rFonts w:ascii="Traditional Arabic" w:hAnsi="Traditional Arabic" w:hint="cs"/>
          <w:sz w:val="32"/>
          <w:szCs w:val="32"/>
          <w:rtl/>
        </w:rPr>
        <w:t xml:space="preserve"> مقاييس اللغة (2/483).</w:t>
      </w:r>
    </w:p>
  </w:footnote>
  <w:footnote w:id="262">
    <w:p w:rsidR="000D3D21" w:rsidRDefault="000D3D21" w:rsidP="000A019A">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sz w:val="32"/>
          <w:szCs w:val="32"/>
          <w:rtl/>
          <w:lang w:eastAsia="en-US"/>
        </w:rPr>
        <w:t xml:space="preserve"> </w:t>
      </w:r>
      <w:r w:rsidRPr="006C71D4">
        <w:rPr>
          <w:rFonts w:ascii="Traditional Arabic" w:hAnsi="Traditional Arabic"/>
          <w:b/>
          <w:bCs/>
          <w:noProof w:val="0"/>
          <w:sz w:val="32"/>
          <w:szCs w:val="32"/>
          <w:rtl/>
          <w:lang w:eastAsia="en-US"/>
        </w:rPr>
        <w:t>الميسر</w:t>
      </w:r>
      <w:r w:rsidR="00AB0B9E">
        <w:rPr>
          <w:rFonts w:ascii="Traditional Arabic" w:hAnsi="Traditional Arabic"/>
          <w:b/>
          <w:bCs/>
          <w:noProof w:val="0"/>
          <w:sz w:val="32"/>
          <w:szCs w:val="32"/>
          <w:rtl/>
          <w:lang w:eastAsia="en-US"/>
        </w:rPr>
        <w:fldChar w:fldCharType="begin"/>
      </w:r>
      <w:r>
        <w:instrText xml:space="preserve"> XE "</w:instrText>
      </w:r>
      <w:r w:rsidRPr="000A019A">
        <w:rPr>
          <w:rFonts w:ascii="Traditional Arabic" w:hAnsi="Traditional Arabic"/>
          <w:noProof w:val="0"/>
          <w:sz w:val="32"/>
          <w:szCs w:val="32"/>
          <w:rtl/>
          <w:lang w:eastAsia="en-US"/>
        </w:rPr>
        <w:instrText>الميسر</w:instrText>
      </w:r>
      <w:r>
        <w:instrText xml:space="preserve">" </w:instrText>
      </w:r>
      <w:r>
        <w:rPr>
          <w:lang w:val="fr-FR"/>
        </w:rPr>
        <w:instrText>\fm</w:instrText>
      </w:r>
      <w:r w:rsidR="00AB0B9E">
        <w:rPr>
          <w:rFonts w:ascii="Traditional Arabic" w:hAnsi="Traditional Arabic"/>
          <w:b/>
          <w:bCs/>
          <w:noProof w:val="0"/>
          <w:sz w:val="32"/>
          <w:szCs w:val="32"/>
          <w:rtl/>
          <w:lang w:eastAsia="en-US"/>
        </w:rPr>
        <w:fldChar w:fldCharType="end"/>
      </w:r>
      <w:r w:rsidRPr="006C71D4">
        <w:rPr>
          <w:rFonts w:ascii="Traditional Arabic" w:hAnsi="Traditional Arabic"/>
          <w:b/>
          <w:bCs/>
          <w:noProof w:val="0"/>
          <w:sz w:val="32"/>
          <w:szCs w:val="32"/>
          <w:rtl/>
          <w:lang w:eastAsia="en-US"/>
        </w:rPr>
        <w:t xml:space="preserve"> لغة: </w:t>
      </w:r>
      <w:r w:rsidRPr="006C71D4">
        <w:rPr>
          <w:rFonts w:ascii="Traditional Arabic" w:hAnsi="Traditional Arabic"/>
          <w:noProof w:val="0"/>
          <w:sz w:val="32"/>
          <w:szCs w:val="32"/>
          <w:rtl/>
          <w:lang w:eastAsia="en-US"/>
        </w:rPr>
        <w:t>اللع</w:t>
      </w:r>
      <w:r>
        <w:rPr>
          <w:rFonts w:ascii="Traditional Arabic" w:hAnsi="Traditional Arabic" w:hint="cs"/>
          <w:noProof w:val="0"/>
          <w:sz w:val="32"/>
          <w:szCs w:val="32"/>
          <w:rtl/>
          <w:lang w:eastAsia="en-US"/>
        </w:rPr>
        <w:t>ِ</w:t>
      </w:r>
      <w:r w:rsidRPr="006C71D4">
        <w:rPr>
          <w:rFonts w:ascii="Traditional Arabic" w:hAnsi="Traditional Arabic"/>
          <w:noProof w:val="0"/>
          <w:sz w:val="32"/>
          <w:szCs w:val="32"/>
          <w:rtl/>
          <w:lang w:eastAsia="en-US"/>
        </w:rPr>
        <w:t>ب بالق</w:t>
      </w:r>
      <w:r>
        <w:rPr>
          <w:rFonts w:ascii="Traditional Arabic" w:hAnsi="Traditional Arabic" w:hint="cs"/>
          <w:noProof w:val="0"/>
          <w:sz w:val="32"/>
          <w:szCs w:val="32"/>
          <w:rtl/>
          <w:lang w:eastAsia="en-US"/>
        </w:rPr>
        <w:t>ِ</w:t>
      </w:r>
      <w:r w:rsidRPr="006C71D4">
        <w:rPr>
          <w:rFonts w:ascii="Traditional Arabic" w:hAnsi="Traditional Arabic"/>
          <w:noProof w:val="0"/>
          <w:sz w:val="32"/>
          <w:szCs w:val="32"/>
          <w:rtl/>
          <w:lang w:eastAsia="en-US"/>
        </w:rPr>
        <w:t>داح، أو هو الن</w:t>
      </w:r>
      <w:r>
        <w:rPr>
          <w:rFonts w:ascii="Traditional Arabic" w:hAnsi="Traditional Arabic" w:hint="cs"/>
          <w:noProof w:val="0"/>
          <w:sz w:val="32"/>
          <w:szCs w:val="32"/>
          <w:rtl/>
          <w:lang w:eastAsia="en-US"/>
        </w:rPr>
        <w:t>َّ</w:t>
      </w:r>
      <w:r w:rsidRPr="006C71D4">
        <w:rPr>
          <w:rFonts w:ascii="Traditional Arabic" w:hAnsi="Traditional Arabic"/>
          <w:noProof w:val="0"/>
          <w:sz w:val="32"/>
          <w:szCs w:val="32"/>
          <w:rtl/>
          <w:lang w:eastAsia="en-US"/>
        </w:rPr>
        <w:t>ر</w:t>
      </w:r>
      <w:r>
        <w:rPr>
          <w:rFonts w:ascii="Traditional Arabic" w:hAnsi="Traditional Arabic" w:hint="cs"/>
          <w:noProof w:val="0"/>
          <w:sz w:val="32"/>
          <w:szCs w:val="32"/>
          <w:rtl/>
          <w:lang w:eastAsia="en-US"/>
        </w:rPr>
        <w:t>ْ</w:t>
      </w:r>
      <w:r w:rsidRPr="006C71D4">
        <w:rPr>
          <w:rFonts w:ascii="Traditional Arabic" w:hAnsi="Traditional Arabic"/>
          <w:noProof w:val="0"/>
          <w:sz w:val="32"/>
          <w:szCs w:val="32"/>
          <w:rtl/>
          <w:lang w:eastAsia="en-US"/>
        </w:rPr>
        <w:t xml:space="preserve">د، أو كل قمار. </w:t>
      </w:r>
      <w:r>
        <w:rPr>
          <w:rFonts w:ascii="Traditional Arabic" w:hAnsi="Traditional Arabic" w:hint="cs"/>
          <w:noProof w:val="0"/>
          <w:sz w:val="32"/>
          <w:szCs w:val="32"/>
          <w:rtl/>
          <w:lang w:eastAsia="en-US"/>
        </w:rPr>
        <w:t xml:space="preserve">انظر </w:t>
      </w:r>
      <w:r w:rsidRPr="006C71D4">
        <w:rPr>
          <w:rFonts w:ascii="Traditional Arabic" w:hAnsi="Traditional Arabic"/>
          <w:noProof w:val="0"/>
          <w:sz w:val="32"/>
          <w:szCs w:val="32"/>
          <w:rtl/>
          <w:lang w:eastAsia="en-US"/>
        </w:rPr>
        <w:t>القاموس المحيط (</w:t>
      </w:r>
      <w:r>
        <w:rPr>
          <w:rFonts w:ascii="Traditional Arabic" w:hAnsi="Traditional Arabic" w:hint="cs"/>
          <w:noProof w:val="0"/>
          <w:sz w:val="32"/>
          <w:szCs w:val="32"/>
          <w:rtl/>
          <w:lang w:eastAsia="en-US"/>
        </w:rPr>
        <w:t>2/162</w:t>
      </w:r>
      <w:r w:rsidRPr="006C71D4">
        <w:rPr>
          <w:rFonts w:ascii="Traditional Arabic" w:hAnsi="Traditional Arabic"/>
          <w:noProof w:val="0"/>
          <w:sz w:val="32"/>
          <w:szCs w:val="32"/>
          <w:rtl/>
          <w:lang w:eastAsia="en-US"/>
        </w:rPr>
        <w:t>).</w:t>
      </w:r>
    </w:p>
    <w:p w:rsidR="000D3D21" w:rsidRPr="00090A1C" w:rsidRDefault="000D3D21" w:rsidP="000A019A">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FD464B">
        <w:rPr>
          <w:rFonts w:ascii="Tahoma" w:hAnsi="Tahoma" w:hint="cs"/>
          <w:b/>
          <w:bCs/>
          <w:sz w:val="32"/>
          <w:szCs w:val="32"/>
          <w:rtl/>
        </w:rPr>
        <w:t>الميسر اصطلاحا:</w:t>
      </w:r>
      <w:r w:rsidRPr="00FD464B">
        <w:rPr>
          <w:rFonts w:ascii="Traditional Arabic" w:hAnsi="Traditional Arabic"/>
          <w:noProof w:val="0"/>
          <w:sz w:val="32"/>
          <w:szCs w:val="32"/>
          <w:rtl/>
          <w:lang w:eastAsia="en-US"/>
        </w:rPr>
        <w:t>كل لعب على مال يأخذه الغالب من المغلوب كائنا ما كان</w:t>
      </w:r>
      <w:r>
        <w:rPr>
          <w:rFonts w:ascii="Traditional Arabic" w:hAnsi="Traditional Arabic"/>
          <w:noProof w:val="0"/>
          <w:sz w:val="32"/>
          <w:szCs w:val="32"/>
          <w:rtl/>
          <w:lang w:eastAsia="en-US"/>
        </w:rPr>
        <w:t>،</w:t>
      </w:r>
      <w:r w:rsidRPr="00FD464B">
        <w:rPr>
          <w:rFonts w:ascii="Traditional Arabic" w:hAnsi="Traditional Arabic"/>
          <w:noProof w:val="0"/>
          <w:sz w:val="32"/>
          <w:szCs w:val="32"/>
          <w:rtl/>
          <w:lang w:eastAsia="en-US"/>
        </w:rPr>
        <w:t xml:space="preserve"> إلا ما استثني في باب السبق</w:t>
      </w:r>
      <w:r w:rsidRPr="00FD464B">
        <w:rPr>
          <w:rFonts w:ascii="Traditional Arabic" w:hAnsi="Traditional Arabic" w:hint="cs"/>
          <w:noProof w:val="0"/>
          <w:sz w:val="32"/>
          <w:szCs w:val="32"/>
          <w:rtl/>
          <w:lang w:eastAsia="en-US"/>
        </w:rPr>
        <w:t>.</w:t>
      </w:r>
      <w:r>
        <w:rPr>
          <w:rFonts w:ascii="Traditional Arabic" w:hAnsi="Traditional Arabic" w:hint="cs"/>
          <w:noProof w:val="0"/>
          <w:sz w:val="32"/>
          <w:szCs w:val="32"/>
          <w:rtl/>
          <w:lang w:eastAsia="en-US"/>
        </w:rPr>
        <w:t xml:space="preserve"> </w:t>
      </w:r>
      <w:r w:rsidRPr="00FD464B">
        <w:rPr>
          <w:rFonts w:ascii="Traditional Arabic" w:hAnsi="Traditional Arabic" w:hint="cs"/>
          <w:noProof w:val="0"/>
          <w:sz w:val="32"/>
          <w:szCs w:val="32"/>
          <w:rtl/>
          <w:lang w:eastAsia="en-US"/>
        </w:rPr>
        <w:t>القاموس الفقهي لسعدي أبي جيب</w:t>
      </w:r>
      <w:r>
        <w:rPr>
          <w:rFonts w:ascii="Traditional Arabic" w:hAnsi="Traditional Arabic" w:hint="cs"/>
          <w:noProof w:val="0"/>
          <w:sz w:val="32"/>
          <w:szCs w:val="32"/>
          <w:rtl/>
          <w:lang w:eastAsia="en-US"/>
        </w:rPr>
        <w:t xml:space="preserve"> (309).</w:t>
      </w:r>
    </w:p>
  </w:footnote>
  <w:footnote w:id="263">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الشرح الممتع (10/100-101).</w:t>
      </w:r>
    </w:p>
  </w:footnote>
  <w:footnote w:id="264">
    <w:p w:rsidR="000D3D21" w:rsidRPr="0088610E" w:rsidRDefault="000D3D21" w:rsidP="000C501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سيأتي بحث هذه ا</w:t>
      </w:r>
      <w:r>
        <w:rPr>
          <w:rFonts w:ascii="Traditional Arabic" w:hAnsi="Traditional Arabic"/>
          <w:sz w:val="32"/>
          <w:szCs w:val="32"/>
          <w:rtl/>
        </w:rPr>
        <w:t xml:space="preserve">لقاعدة في </w:t>
      </w:r>
      <w:r>
        <w:rPr>
          <w:rFonts w:ascii="Traditional Arabic" w:hAnsi="Traditional Arabic" w:hint="cs"/>
          <w:sz w:val="32"/>
          <w:szCs w:val="32"/>
          <w:rtl/>
        </w:rPr>
        <w:t>المبحث الرابع من هذا الفصل</w:t>
      </w:r>
      <w:r w:rsidRPr="00090A1C">
        <w:rPr>
          <w:rFonts w:ascii="Traditional Arabic" w:hAnsi="Traditional Arabic"/>
          <w:sz w:val="32"/>
          <w:szCs w:val="32"/>
          <w:rtl/>
        </w:rPr>
        <w:t>.</w:t>
      </w:r>
    </w:p>
  </w:footnote>
  <w:footnote w:id="265">
    <w:p w:rsidR="000D3D21" w:rsidRDefault="000D3D21" w:rsidP="00B0560B">
      <w:pPr>
        <w:pStyle w:val="a7"/>
        <w:spacing w:line="440" w:lineRule="exact"/>
        <w:ind w:left="510" w:hanging="510"/>
        <w:jc w:val="lowKashida"/>
        <w:rPr>
          <w:rFonts w:ascii="Traditional Arabic" w:hAnsi="Traditional Arabic"/>
          <w:sz w:val="32"/>
          <w:szCs w:val="32"/>
          <w:rtl/>
        </w:rPr>
      </w:pPr>
      <w:r w:rsidRPr="000E2FB7">
        <w:rPr>
          <w:rStyle w:val="af1"/>
          <w:rFonts w:ascii="Traditional Arabic" w:hAnsi="Traditional Arabic"/>
          <w:sz w:val="32"/>
          <w:szCs w:val="32"/>
          <w:vertAlign w:val="baseline"/>
        </w:rPr>
        <w:footnoteRef/>
      </w:r>
      <w:r w:rsidRPr="000E2FB7">
        <w:rPr>
          <w:rStyle w:val="af1"/>
          <w:rFonts w:ascii="Traditional Arabic" w:hAnsi="Traditional Arabic"/>
          <w:sz w:val="32"/>
          <w:szCs w:val="32"/>
          <w:vertAlign w:val="baseline"/>
        </w:rPr>
        <w:t>)</w:t>
      </w:r>
      <w:r w:rsidRPr="000E2FB7">
        <w:rPr>
          <w:rStyle w:val="af1"/>
          <w:rFonts w:ascii="Traditional Arabic" w:hAnsi="Traditional Arabic" w:hint="cs"/>
          <w:sz w:val="32"/>
          <w:szCs w:val="32"/>
          <w:vertAlign w:val="baseline"/>
          <w:rtl/>
        </w:rPr>
        <w:t>)</w:t>
      </w:r>
      <w:r>
        <w:rPr>
          <w:rtl/>
        </w:rPr>
        <w:t xml:space="preserve"> </w:t>
      </w:r>
      <w:r w:rsidRPr="001756AE">
        <w:rPr>
          <w:rFonts w:ascii="Traditional Arabic" w:hAnsi="Traditional Arabic"/>
          <w:b/>
          <w:bCs/>
          <w:sz w:val="32"/>
          <w:szCs w:val="32"/>
          <w:rtl/>
        </w:rPr>
        <w:t xml:space="preserve">العرايا </w:t>
      </w:r>
      <w:r w:rsidRPr="001756AE">
        <w:rPr>
          <w:rFonts w:ascii="Traditional Arabic" w:hAnsi="Traditional Arabic" w:hint="cs"/>
          <w:b/>
          <w:bCs/>
          <w:sz w:val="32"/>
          <w:szCs w:val="32"/>
          <w:rtl/>
        </w:rPr>
        <w:t>لغة</w:t>
      </w:r>
      <w:r w:rsidRPr="00B372A8">
        <w:rPr>
          <w:rFonts w:ascii="Traditional Arabic" w:hAnsi="Traditional Arabic"/>
          <w:sz w:val="32"/>
          <w:szCs w:val="32"/>
          <w:rtl/>
        </w:rPr>
        <w:t>: جمع ع</w:t>
      </w:r>
      <w:r>
        <w:rPr>
          <w:rFonts w:ascii="Traditional Arabic" w:hAnsi="Traditional Arabic" w:hint="cs"/>
          <w:sz w:val="32"/>
          <w:szCs w:val="32"/>
          <w:rtl/>
        </w:rPr>
        <w:t>َ</w:t>
      </w:r>
      <w:r w:rsidRPr="00B372A8">
        <w:rPr>
          <w:rFonts w:ascii="Traditional Arabic" w:hAnsi="Traditional Arabic"/>
          <w:sz w:val="32"/>
          <w:szCs w:val="32"/>
          <w:rtl/>
        </w:rPr>
        <w:t>ر</w:t>
      </w:r>
      <w:r>
        <w:rPr>
          <w:rFonts w:ascii="Traditional Arabic" w:hAnsi="Traditional Arabic" w:hint="cs"/>
          <w:sz w:val="32"/>
          <w:szCs w:val="32"/>
          <w:rtl/>
        </w:rPr>
        <w:t>ِ</w:t>
      </w:r>
      <w:r w:rsidRPr="00B372A8">
        <w:rPr>
          <w:rFonts w:ascii="Traditional Arabic" w:hAnsi="Traditional Arabic"/>
          <w:sz w:val="32"/>
          <w:szCs w:val="32"/>
          <w:rtl/>
        </w:rPr>
        <w:t>ي</w:t>
      </w:r>
      <w:r>
        <w:rPr>
          <w:rFonts w:ascii="Traditional Arabic" w:hAnsi="Traditional Arabic" w:hint="cs"/>
          <w:sz w:val="32"/>
          <w:szCs w:val="32"/>
          <w:rtl/>
        </w:rPr>
        <w:t>َّ</w:t>
      </w:r>
      <w:r>
        <w:rPr>
          <w:rFonts w:ascii="Traditional Arabic" w:hAnsi="Traditional Arabic"/>
          <w:sz w:val="32"/>
          <w:szCs w:val="32"/>
          <w:rtl/>
        </w:rPr>
        <w:t>ة</w:t>
      </w:r>
      <w:r w:rsidRPr="00B372A8">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noProof w:val="0"/>
          <w:sz w:val="32"/>
          <w:szCs w:val="32"/>
          <w:rtl/>
          <w:lang w:eastAsia="en-US"/>
        </w:rPr>
        <w:t>فعيلة، بمعنى مفعولة، وه</w:t>
      </w:r>
      <w:r>
        <w:rPr>
          <w:rFonts w:ascii="Traditional Arabic" w:hAnsi="Traditional Arabic" w:hint="cs"/>
          <w:noProof w:val="0"/>
          <w:sz w:val="32"/>
          <w:szCs w:val="32"/>
          <w:rtl/>
          <w:lang w:eastAsia="en-US"/>
        </w:rPr>
        <w:t xml:space="preserve">ي </w:t>
      </w:r>
      <w:r w:rsidRPr="00A840FA">
        <w:rPr>
          <w:rFonts w:ascii="Traditional Arabic" w:hAnsi="Traditional Arabic"/>
          <w:noProof w:val="0"/>
          <w:sz w:val="32"/>
          <w:szCs w:val="32"/>
          <w:rtl/>
          <w:lang w:eastAsia="en-US"/>
        </w:rPr>
        <w:t>في اللغة: كل شيء أُفر</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د من جملة، </w:t>
      </w:r>
      <w:r>
        <w:rPr>
          <w:rFonts w:ascii="Traditional Arabic" w:hAnsi="Traditional Arabic" w:hint="cs"/>
          <w:noProof w:val="0"/>
          <w:sz w:val="32"/>
          <w:szCs w:val="32"/>
          <w:rtl/>
          <w:lang w:eastAsia="en-US"/>
        </w:rPr>
        <w:t xml:space="preserve">وهي: </w:t>
      </w:r>
      <w:r w:rsidRPr="00A840FA">
        <w:rPr>
          <w:rFonts w:ascii="Traditional Arabic" w:hAnsi="Traditional Arabic"/>
          <w:noProof w:val="0"/>
          <w:sz w:val="32"/>
          <w:szCs w:val="32"/>
          <w:rtl/>
          <w:lang w:eastAsia="en-US"/>
        </w:rPr>
        <w:t>م</w:t>
      </w:r>
      <w:r>
        <w:rPr>
          <w:rFonts w:ascii="Traditional Arabic" w:hAnsi="Traditional Arabic" w:hint="cs"/>
          <w:noProof w:val="0"/>
          <w:sz w:val="32"/>
          <w:szCs w:val="32"/>
          <w:rtl/>
          <w:lang w:eastAsia="en-US"/>
        </w:rPr>
        <w:t>ِ</w:t>
      </w:r>
      <w:r w:rsidRPr="00A840FA">
        <w:rPr>
          <w:rFonts w:ascii="Traditional Arabic" w:hAnsi="Traditional Arabic"/>
          <w:noProof w:val="0"/>
          <w:sz w:val="32"/>
          <w:szCs w:val="32"/>
          <w:rtl/>
          <w:lang w:eastAsia="en-US"/>
        </w:rPr>
        <w:t>ن عَراه ي</w:t>
      </w:r>
      <w:r>
        <w:rPr>
          <w:rFonts w:ascii="Traditional Arabic" w:hAnsi="Traditional Arabic" w:hint="cs"/>
          <w:noProof w:val="0"/>
          <w:sz w:val="32"/>
          <w:szCs w:val="32"/>
          <w:rtl/>
          <w:lang w:eastAsia="en-US"/>
        </w:rPr>
        <w:t>َ</w:t>
      </w:r>
      <w:r w:rsidRPr="00A840FA">
        <w:rPr>
          <w:rFonts w:ascii="Traditional Arabic" w:hAnsi="Traditional Arabic"/>
          <w:noProof w:val="0"/>
          <w:sz w:val="32"/>
          <w:szCs w:val="32"/>
          <w:rtl/>
          <w:lang w:eastAsia="en-US"/>
        </w:rPr>
        <w:t>ع</w:t>
      </w:r>
      <w:r>
        <w:rPr>
          <w:rFonts w:ascii="Traditional Arabic" w:hAnsi="Traditional Arabic" w:hint="cs"/>
          <w:noProof w:val="0"/>
          <w:sz w:val="32"/>
          <w:szCs w:val="32"/>
          <w:rtl/>
          <w:lang w:eastAsia="en-US"/>
        </w:rPr>
        <w:t>ْ</w:t>
      </w:r>
      <w:r w:rsidRPr="00A840FA">
        <w:rPr>
          <w:rFonts w:ascii="Traditional Arabic" w:hAnsi="Traditional Arabic"/>
          <w:noProof w:val="0"/>
          <w:sz w:val="32"/>
          <w:szCs w:val="32"/>
          <w:rtl/>
          <w:lang w:eastAsia="en-US"/>
        </w:rPr>
        <w:t>ريه</w:t>
      </w:r>
      <w:r>
        <w:rPr>
          <w:rFonts w:ascii="Traditional Arabic" w:hAnsi="Traditional Arabic" w:hint="cs"/>
          <w:noProof w:val="0"/>
          <w:sz w:val="32"/>
          <w:szCs w:val="32"/>
          <w:rtl/>
          <w:lang w:eastAsia="en-US"/>
        </w:rPr>
        <w:t>ِ</w:t>
      </w:r>
      <w:r w:rsidRPr="00A840FA">
        <w:rPr>
          <w:rFonts w:ascii="Traditional Arabic" w:hAnsi="Traditional Arabic"/>
          <w:noProof w:val="0"/>
          <w:sz w:val="32"/>
          <w:szCs w:val="32"/>
          <w:rtl/>
          <w:lang w:eastAsia="en-US"/>
        </w:rPr>
        <w:t>: إذا قصده، ويحتمل أن يكون فعيلة بمعنى: فاعلة، من عَرِيَ يَعْرَى: إذا خلع ثيابه، كأنها عَرِيَت من جملة التحريم، أي: خرجت.</w:t>
      </w:r>
      <w:r w:rsidRPr="00A840FA">
        <w:rPr>
          <w:rFonts w:ascii="Traditional Arabic" w:hAnsi="Traditional Arabic"/>
          <w:sz w:val="32"/>
          <w:szCs w:val="32"/>
          <w:rtl/>
        </w:rPr>
        <w:t xml:space="preserve"> </w:t>
      </w:r>
      <w:r>
        <w:rPr>
          <w:rFonts w:ascii="Traditional Arabic" w:hAnsi="Traditional Arabic" w:hint="cs"/>
          <w:sz w:val="32"/>
          <w:szCs w:val="32"/>
          <w:rtl/>
        </w:rPr>
        <w:t>انظر المطلع على أبوب المقنع للبعلي (288).</w:t>
      </w:r>
    </w:p>
    <w:p w:rsidR="000D3D21" w:rsidRDefault="000D3D21" w:rsidP="00B0560B">
      <w:pPr>
        <w:pStyle w:val="a7"/>
        <w:pageBreakBefore/>
        <w:rPr>
          <w:rtl/>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العرايا شرعا:  </w:t>
      </w:r>
      <w:r w:rsidRPr="007B6F4B">
        <w:rPr>
          <w:rFonts w:ascii="Traditional Arabic" w:hAnsi="Traditional Arabic"/>
          <w:noProof w:val="0"/>
          <w:sz w:val="36"/>
          <w:szCs w:val="36"/>
          <w:rtl/>
          <w:lang w:eastAsia="en-US"/>
        </w:rPr>
        <w:t xml:space="preserve">بيع </w:t>
      </w:r>
      <w:r>
        <w:rPr>
          <w:rFonts w:ascii="Traditional Arabic" w:hAnsi="Traditional Arabic" w:hint="cs"/>
          <w:noProof w:val="0"/>
          <w:sz w:val="36"/>
          <w:szCs w:val="36"/>
          <w:rtl/>
          <w:lang w:eastAsia="en-US"/>
        </w:rPr>
        <w:t>ال</w:t>
      </w:r>
      <w:r w:rsidRPr="007B6F4B">
        <w:rPr>
          <w:rFonts w:ascii="Traditional Arabic" w:hAnsi="Traditional Arabic"/>
          <w:noProof w:val="0"/>
          <w:sz w:val="36"/>
          <w:szCs w:val="36"/>
          <w:rtl/>
          <w:lang w:eastAsia="en-US"/>
        </w:rPr>
        <w:t>رُطَبٍ في رؤوس</w:t>
      </w:r>
      <w:r>
        <w:rPr>
          <w:rFonts w:ascii="Traditional Arabic" w:hAnsi="Traditional Arabic" w:hint="cs"/>
          <w:noProof w:val="0"/>
          <w:sz w:val="36"/>
          <w:szCs w:val="36"/>
          <w:rtl/>
          <w:lang w:eastAsia="en-US"/>
        </w:rPr>
        <w:t>ِ</w:t>
      </w:r>
      <w:r>
        <w:rPr>
          <w:rFonts w:ascii="Traditional Arabic" w:hAnsi="Traditional Arabic"/>
          <w:noProof w:val="0"/>
          <w:sz w:val="36"/>
          <w:szCs w:val="36"/>
          <w:rtl/>
          <w:lang w:eastAsia="en-US"/>
        </w:rPr>
        <w:t xml:space="preserve"> </w:t>
      </w:r>
      <w:r>
        <w:rPr>
          <w:rFonts w:ascii="Traditional Arabic" w:hAnsi="Traditional Arabic" w:hint="cs"/>
          <w:noProof w:val="0"/>
          <w:sz w:val="36"/>
          <w:szCs w:val="36"/>
          <w:rtl/>
          <w:lang w:eastAsia="en-US"/>
        </w:rPr>
        <w:t>ال</w:t>
      </w:r>
      <w:r>
        <w:rPr>
          <w:rFonts w:ascii="Traditional Arabic" w:hAnsi="Traditional Arabic"/>
          <w:noProof w:val="0"/>
          <w:sz w:val="36"/>
          <w:szCs w:val="36"/>
          <w:rtl/>
          <w:lang w:eastAsia="en-US"/>
        </w:rPr>
        <w:t>نخل</w:t>
      </w:r>
      <w:r>
        <w:rPr>
          <w:rFonts w:ascii="Traditional Arabic" w:hAnsi="Traditional Arabic" w:hint="cs"/>
          <w:noProof w:val="0"/>
          <w:sz w:val="36"/>
          <w:szCs w:val="36"/>
          <w:rtl/>
          <w:lang w:eastAsia="en-US"/>
        </w:rPr>
        <w:t xml:space="preserve"> خرصاً بمثله من التمر كيلاً فيما دون خمسة أوسق.</w:t>
      </w:r>
      <w:r>
        <w:rPr>
          <w:rFonts w:ascii="Traditional Arabic" w:hAnsi="Traditional Arabic"/>
          <w:noProof w:val="0"/>
          <w:sz w:val="36"/>
          <w:szCs w:val="36"/>
          <w:rtl/>
          <w:lang w:eastAsia="en-US"/>
        </w:rPr>
        <w:t xml:space="preserve"> </w:t>
      </w:r>
      <w:r>
        <w:rPr>
          <w:rFonts w:ascii="Traditional Arabic" w:hAnsi="Traditional Arabic" w:hint="cs"/>
          <w:noProof w:val="0"/>
          <w:sz w:val="36"/>
          <w:szCs w:val="36"/>
          <w:rtl/>
          <w:lang w:eastAsia="en-US"/>
        </w:rPr>
        <w:t xml:space="preserve">المقنع في فقه إمام السنة أحمد بن حنبل الشيباني </w:t>
      </w:r>
      <w:r w:rsidRPr="009714AE">
        <w:rPr>
          <w:rFonts w:ascii="Traditional Arabic" w:hAnsi="Traditional Arabic" w:hint="cs"/>
          <w:sz w:val="32"/>
          <w:szCs w:val="32"/>
          <w:rtl/>
        </w:rPr>
        <w:t>(2/70-71).</w:t>
      </w:r>
    </w:p>
  </w:footnote>
  <w:footnote w:id="266">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شرح الممتع</w:t>
      </w:r>
      <w:r w:rsidRPr="00090A1C">
        <w:rPr>
          <w:rFonts w:ascii="Traditional Arabic" w:hAnsi="Traditional Arabic"/>
          <w:sz w:val="32"/>
          <w:szCs w:val="32"/>
          <w:rtl/>
        </w:rPr>
        <w:t xml:space="preserve"> (6/115)، وانظر (9/50). </w:t>
      </w:r>
    </w:p>
  </w:footnote>
  <w:footnote w:id="267">
    <w:p w:rsidR="000D3D21" w:rsidRPr="002C3CD7" w:rsidRDefault="000D3D21" w:rsidP="000C501F">
      <w:pPr>
        <w:pStyle w:val="a7"/>
        <w:pageBreakBefore/>
        <w:rPr>
          <w:rFonts w:ascii="Tahoma" w:hAnsi="Tahoma"/>
          <w:sz w:val="32"/>
          <w:szCs w:val="32"/>
        </w:rPr>
      </w:pPr>
      <w:r w:rsidRPr="002C3CD7">
        <w:rPr>
          <w:rFonts w:ascii="Tahoma" w:hAnsi="Tahoma"/>
          <w:sz w:val="32"/>
          <w:szCs w:val="32"/>
          <w:rtl/>
        </w:rPr>
        <w:t>(</w:t>
      </w:r>
      <w:r w:rsidRPr="002C3CD7">
        <w:rPr>
          <w:rStyle w:val="af1"/>
          <w:rFonts w:ascii="Tahoma" w:hAnsi="Tahoma"/>
          <w:sz w:val="32"/>
          <w:szCs w:val="32"/>
          <w:vertAlign w:val="baseline"/>
          <w:rtl/>
        </w:rPr>
        <w:footnoteRef/>
      </w:r>
      <w:r w:rsidRPr="002C3CD7">
        <w:rPr>
          <w:rFonts w:ascii="Tahoma" w:hAnsi="Tahoma"/>
          <w:sz w:val="32"/>
          <w:szCs w:val="32"/>
          <w:rtl/>
        </w:rPr>
        <w:t>)</w:t>
      </w:r>
      <w:r>
        <w:rPr>
          <w:rFonts w:ascii="Tahoma" w:hAnsi="Tahoma" w:hint="cs"/>
          <w:sz w:val="32"/>
          <w:szCs w:val="32"/>
          <w:rtl/>
        </w:rPr>
        <w:t xml:space="preserve"> </w:t>
      </w:r>
      <w:r w:rsidRPr="002C3CD7">
        <w:rPr>
          <w:rFonts w:ascii="Tahoma" w:hAnsi="Tahoma" w:hint="cs"/>
          <w:sz w:val="32"/>
          <w:szCs w:val="32"/>
          <w:rtl/>
        </w:rPr>
        <w:t>مما ي</w:t>
      </w:r>
      <w:r>
        <w:rPr>
          <w:rFonts w:ascii="Tahoma" w:hAnsi="Tahoma" w:hint="cs"/>
          <w:sz w:val="32"/>
          <w:szCs w:val="32"/>
          <w:rtl/>
        </w:rPr>
        <w:t>ُ</w:t>
      </w:r>
      <w:r w:rsidRPr="002C3CD7">
        <w:rPr>
          <w:rFonts w:ascii="Tahoma" w:hAnsi="Tahoma" w:hint="cs"/>
          <w:sz w:val="32"/>
          <w:szCs w:val="32"/>
          <w:rtl/>
        </w:rPr>
        <w:t>لحظ على الصيغة الثانية والأخيرة أنهما تناولتا جانبا واحدا من القاعدة، وهو غلبة المصلحة.</w:t>
      </w:r>
    </w:p>
  </w:footnote>
  <w:footnote w:id="268">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القواعد الص</w:t>
      </w:r>
      <w:r>
        <w:rPr>
          <w:rFonts w:ascii="Traditional Arabic" w:hAnsi="Traditional Arabic"/>
          <w:sz w:val="32"/>
          <w:szCs w:val="32"/>
          <w:rtl/>
        </w:rPr>
        <w:t>غرى للعز بن عبد السلام (47)، وا</w:t>
      </w:r>
      <w:r>
        <w:rPr>
          <w:rFonts w:ascii="Traditional Arabic" w:hAnsi="Traditional Arabic" w:hint="cs"/>
          <w:sz w:val="32"/>
          <w:szCs w:val="32"/>
          <w:rtl/>
        </w:rPr>
        <w:t>ن</w:t>
      </w:r>
      <w:r w:rsidRPr="00090A1C">
        <w:rPr>
          <w:rFonts w:ascii="Traditional Arabic" w:hAnsi="Traditional Arabic"/>
          <w:sz w:val="32"/>
          <w:szCs w:val="32"/>
          <w:rtl/>
        </w:rPr>
        <w:t>ظر (51).</w:t>
      </w:r>
    </w:p>
  </w:footnote>
  <w:footnote w:id="269">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الذخيرة للقرافي (1/198).</w:t>
      </w:r>
    </w:p>
  </w:footnote>
  <w:footnote w:id="270">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مجموع الف</w:t>
      </w:r>
      <w:r>
        <w:rPr>
          <w:rFonts w:ascii="Traditional Arabic" w:hAnsi="Traditional Arabic" w:hint="cs"/>
          <w:sz w:val="32"/>
          <w:szCs w:val="32"/>
          <w:rtl/>
        </w:rPr>
        <w:t>ت</w:t>
      </w:r>
      <w:r w:rsidRPr="00090A1C">
        <w:rPr>
          <w:rFonts w:ascii="Traditional Arabic" w:hAnsi="Traditional Arabic"/>
          <w:sz w:val="32"/>
          <w:szCs w:val="32"/>
          <w:rtl/>
        </w:rPr>
        <w:t>اوى لابن تيمية (28/129).</w:t>
      </w:r>
    </w:p>
  </w:footnote>
  <w:footnote w:id="271">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مجموع الفتاوى لابن تيمية</w:t>
      </w:r>
      <w:r w:rsidRPr="00090A1C">
        <w:rPr>
          <w:rFonts w:ascii="Traditional Arabic" w:hAnsi="Traditional Arabic"/>
          <w:sz w:val="32"/>
          <w:szCs w:val="32"/>
          <w:rtl/>
        </w:rPr>
        <w:t xml:space="preserve"> (20/538)، وإعلام الموقعين (3/202).</w:t>
      </w:r>
    </w:p>
  </w:footnote>
  <w:footnote w:id="272">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القواعد للمقري (1/294).</w:t>
      </w:r>
    </w:p>
  </w:footnote>
  <w:footnote w:id="273">
    <w:p w:rsidR="000D3D21" w:rsidRPr="00A00853" w:rsidRDefault="000D3D21" w:rsidP="002C3CD7">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انظر تهذيب اللغة (1/454، 455، 463)،</w:t>
      </w:r>
      <w:r>
        <w:rPr>
          <w:rFonts w:ascii="Traditional Arabic" w:hAnsi="Traditional Arabic"/>
          <w:sz w:val="32"/>
          <w:szCs w:val="32"/>
          <w:rtl/>
        </w:rPr>
        <w:t xml:space="preserve"> و</w:t>
      </w:r>
      <w:r w:rsidRPr="00A00853">
        <w:rPr>
          <w:rFonts w:ascii="Traditional Arabic" w:hAnsi="Traditional Arabic"/>
          <w:sz w:val="32"/>
          <w:szCs w:val="32"/>
          <w:rtl/>
        </w:rPr>
        <w:t>لسان العرب (2885، 2886، 2892).</w:t>
      </w:r>
    </w:p>
  </w:footnote>
  <w:footnote w:id="274">
    <w:p w:rsidR="000D3D21" w:rsidRPr="00A00853" w:rsidRDefault="000D3D21" w:rsidP="002C3CD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كشف الأسرار لعبد العزيز البخاري (2/76).</w:t>
      </w:r>
    </w:p>
  </w:footnote>
  <w:footnote w:id="275">
    <w:p w:rsidR="000D3D21" w:rsidRDefault="000D3D21" w:rsidP="008F3465">
      <w:pPr>
        <w:pStyle w:val="a7"/>
        <w:pageBreakBefore/>
      </w:pPr>
      <w:r w:rsidRPr="008F3465">
        <w:rPr>
          <w:rFonts w:ascii="Traditional Arabic" w:hAnsi="Traditional Arabic"/>
          <w:sz w:val="32"/>
          <w:szCs w:val="32"/>
        </w:rPr>
        <w:footnoteRef/>
      </w:r>
      <w:r w:rsidRPr="008F3465">
        <w:rPr>
          <w:rFonts w:ascii="Traditional Arabic" w:hAnsi="Traditional Arabic"/>
          <w:sz w:val="32"/>
          <w:szCs w:val="32"/>
        </w:rPr>
        <w:t>)</w:t>
      </w:r>
      <w:r w:rsidRPr="008F3465">
        <w:rPr>
          <w:rFonts w:ascii="Traditional Arabic" w:hAnsi="Traditional Arabic" w:hint="cs"/>
          <w:sz w:val="32"/>
          <w:szCs w:val="32"/>
          <w:rtl/>
        </w:rPr>
        <w:t>)</w:t>
      </w:r>
      <w:r w:rsidRPr="008F3465">
        <w:rPr>
          <w:rFonts w:ascii="Traditional Arabic" w:hAnsi="Traditional Arabic"/>
          <w:sz w:val="32"/>
          <w:szCs w:val="32"/>
          <w:rtl/>
        </w:rPr>
        <w:t xml:space="preserve"> </w:t>
      </w:r>
      <w:r w:rsidRPr="00FF733C">
        <w:rPr>
          <w:rFonts w:ascii="Traditional Arabic" w:hAnsi="Traditional Arabic"/>
          <w:sz w:val="32"/>
          <w:szCs w:val="32"/>
          <w:rtl/>
        </w:rPr>
        <w:t>انظر</w:t>
      </w:r>
      <w:r>
        <w:rPr>
          <w:rFonts w:ascii="Traditional Arabic" w:hAnsi="Traditional Arabic" w:hint="cs"/>
          <w:sz w:val="32"/>
          <w:szCs w:val="32"/>
          <w:rtl/>
        </w:rPr>
        <w:t>:</w:t>
      </w:r>
      <w:r w:rsidRPr="00FF733C">
        <w:rPr>
          <w:rFonts w:ascii="Traditional Arabic" w:hAnsi="Traditional Arabic"/>
          <w:sz w:val="32"/>
          <w:szCs w:val="32"/>
          <w:rtl/>
        </w:rPr>
        <w:t xml:space="preserve"> الموافقات للشاطبي (3/96)، وشرح مختصر الروضة (3/214)، وقواعد تعارض المصالح والمفاسد (212)</w:t>
      </w:r>
      <w:r>
        <w:rPr>
          <w:rFonts w:ascii="Traditional Arabic" w:hAnsi="Traditional Arabic" w:hint="cs"/>
          <w:sz w:val="32"/>
          <w:szCs w:val="32"/>
          <w:rtl/>
        </w:rPr>
        <w:t>.</w:t>
      </w:r>
    </w:p>
  </w:footnote>
  <w:footnote w:id="276">
    <w:p w:rsidR="000D3D21" w:rsidRPr="00FF733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F733C">
        <w:rPr>
          <w:rFonts w:ascii="Traditional Arabic" w:hAnsi="Traditional Arabic"/>
          <w:sz w:val="32"/>
          <w:szCs w:val="32"/>
          <w:rtl/>
        </w:rPr>
        <w:t>انظر المصباح المنير (183).</w:t>
      </w:r>
    </w:p>
  </w:footnote>
  <w:footnote w:id="277">
    <w:p w:rsidR="000D3D21" w:rsidRPr="00FF733C" w:rsidRDefault="000D3D21" w:rsidP="000C501F">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F733C">
        <w:rPr>
          <w:rFonts w:ascii="Traditional Arabic" w:hAnsi="Traditional Arabic"/>
          <w:sz w:val="32"/>
          <w:szCs w:val="32"/>
          <w:rtl/>
        </w:rPr>
        <w:t xml:space="preserve">وهذا ما أشار إليه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FF733C">
        <w:rPr>
          <w:rFonts w:ascii="Traditional Arabic" w:hAnsi="Traditional Arabic"/>
          <w:sz w:val="32"/>
          <w:szCs w:val="32"/>
          <w:rtl/>
        </w:rPr>
        <w:t xml:space="preserve"> بقوله: ( إذا كان لا يمكن ترك الضار إلا بترك النافع فالأجدر والأولى اجتنابه)،</w:t>
      </w:r>
      <w:r>
        <w:rPr>
          <w:rFonts w:ascii="Traditional Arabic" w:hAnsi="Traditional Arabic"/>
          <w:sz w:val="32"/>
          <w:szCs w:val="32"/>
          <w:rtl/>
        </w:rPr>
        <w:t xml:space="preserve"> و</w:t>
      </w:r>
      <w:r w:rsidRPr="00FF733C">
        <w:rPr>
          <w:rFonts w:ascii="Traditional Arabic" w:hAnsi="Traditional Arabic"/>
          <w:sz w:val="32"/>
          <w:szCs w:val="32"/>
          <w:rtl/>
        </w:rPr>
        <w:t>مقصوده بذلك -والله أعلم-إذا لم تكن المنفعة أكبر من المضرة، بدليل قوله بعد ذلك: ( أما إذا كان الشيء فيه منفعة أكبر من المضرة فإنه مباح).</w:t>
      </w:r>
      <w:r>
        <w:rPr>
          <w:rFonts w:ascii="Traditional Arabic" w:hAnsi="Traditional Arabic" w:hint="cs"/>
          <w:sz w:val="32"/>
          <w:szCs w:val="32"/>
          <w:rtl/>
        </w:rPr>
        <w:t xml:space="preserve"> </w:t>
      </w:r>
      <w:r w:rsidRPr="00FF733C">
        <w:rPr>
          <w:rFonts w:ascii="Traditional Arabic" w:hAnsi="Traditional Arabic"/>
          <w:sz w:val="32"/>
          <w:szCs w:val="32"/>
          <w:rtl/>
        </w:rPr>
        <w:t>انظر شرح منظومة أصول الفقه وقواعده (62).</w:t>
      </w:r>
    </w:p>
    <w:p w:rsidR="000D3D21" w:rsidRPr="00FF733C" w:rsidRDefault="000D3D21" w:rsidP="000C501F">
      <w:pPr>
        <w:pStyle w:val="a7"/>
        <w:pageBreakBefore/>
        <w:rPr>
          <w:rFonts w:ascii="Traditional Arabic" w:hAnsi="Traditional Arabic"/>
          <w:sz w:val="32"/>
          <w:szCs w:val="32"/>
        </w:rPr>
      </w:pPr>
    </w:p>
  </w:footnote>
  <w:footnote w:id="278">
    <w:p w:rsidR="000D3D21" w:rsidRPr="00FF733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المرجع السابق (</w:t>
      </w:r>
      <w:r>
        <w:rPr>
          <w:rFonts w:ascii="Traditional Arabic" w:hAnsi="Traditional Arabic" w:hint="cs"/>
          <w:sz w:val="32"/>
          <w:szCs w:val="32"/>
          <w:rtl/>
        </w:rPr>
        <w:t>61، 62</w:t>
      </w:r>
      <w:r w:rsidRPr="00FF733C">
        <w:rPr>
          <w:rFonts w:ascii="Traditional Arabic" w:hAnsi="Traditional Arabic"/>
          <w:sz w:val="32"/>
          <w:szCs w:val="32"/>
          <w:rtl/>
        </w:rPr>
        <w:t>).</w:t>
      </w:r>
    </w:p>
  </w:footnote>
  <w:footnote w:id="279">
    <w:p w:rsidR="000D3D21" w:rsidRPr="00FF733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F733C">
        <w:rPr>
          <w:rFonts w:ascii="Traditional Arabic" w:hAnsi="Traditional Arabic"/>
          <w:sz w:val="32"/>
          <w:szCs w:val="32"/>
          <w:rtl/>
        </w:rPr>
        <w:t>شرح رياض الصالحين (2/218) بتصرف.</w:t>
      </w:r>
    </w:p>
  </w:footnote>
  <w:footnote w:id="280">
    <w:p w:rsidR="000D3D21" w:rsidRPr="00B02723" w:rsidRDefault="000D3D21" w:rsidP="000C501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الشرح الممتع (9/50)</w:t>
      </w:r>
      <w:r>
        <w:rPr>
          <w:rFonts w:ascii="Traditional Arabic" w:hAnsi="Traditional Arabic" w:hint="cs"/>
          <w:sz w:val="32"/>
          <w:szCs w:val="32"/>
          <w:rtl/>
        </w:rPr>
        <w:t xml:space="preserve"> بتصرف.</w:t>
      </w:r>
    </w:p>
  </w:footnote>
  <w:footnote w:id="281">
    <w:p w:rsidR="000D3D21" w:rsidRPr="00605CA8" w:rsidRDefault="000D3D21" w:rsidP="000C501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w:t>
      </w:r>
      <w:r>
        <w:rPr>
          <w:rFonts w:ascii="Traditional Arabic" w:hAnsi="Traditional Arabic" w:hint="cs"/>
          <w:sz w:val="32"/>
          <w:szCs w:val="32"/>
          <w:rtl/>
        </w:rPr>
        <w:t>شرح منظومة أصول الفقه وقواعده</w:t>
      </w:r>
      <w:r>
        <w:rPr>
          <w:rFonts w:ascii="Traditional Arabic" w:hAnsi="Traditional Arabic"/>
          <w:sz w:val="32"/>
          <w:szCs w:val="32"/>
          <w:rtl/>
        </w:rPr>
        <w:t xml:space="preserve"> (62، </w:t>
      </w:r>
      <w:r>
        <w:rPr>
          <w:rFonts w:ascii="Traditional Arabic" w:hAnsi="Traditional Arabic" w:hint="cs"/>
          <w:sz w:val="32"/>
          <w:szCs w:val="32"/>
          <w:rtl/>
        </w:rPr>
        <w:t>145، 153</w:t>
      </w:r>
      <w:r w:rsidRPr="00090A1C">
        <w:rPr>
          <w:rFonts w:ascii="Traditional Arabic" w:hAnsi="Traditional Arabic"/>
          <w:sz w:val="32"/>
          <w:szCs w:val="32"/>
          <w:rtl/>
        </w:rPr>
        <w:t>).</w:t>
      </w:r>
    </w:p>
  </w:footnote>
  <w:footnote w:id="282">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انظر مفتاح دار السعادة لابن القيم (2/346-347).</w:t>
      </w:r>
    </w:p>
  </w:footnote>
  <w:footnote w:id="283">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 xml:space="preserve">فتح الرحيم الملك العلام </w:t>
      </w:r>
      <w:r>
        <w:rPr>
          <w:rFonts w:ascii="Traditional Arabic" w:hAnsi="Traditional Arabic" w:hint="cs"/>
          <w:sz w:val="32"/>
          <w:szCs w:val="32"/>
          <w:rtl/>
        </w:rPr>
        <w:t xml:space="preserve">في علم العقائد والتوحيد والأخلاق والأحكام المسنبطة من القرآن لعبد الرحمن بن ناصر السعدي </w:t>
      </w:r>
      <w:r w:rsidRPr="00090A1C">
        <w:rPr>
          <w:rFonts w:ascii="Traditional Arabic" w:hAnsi="Traditional Arabic"/>
          <w:sz w:val="32"/>
          <w:szCs w:val="32"/>
          <w:rtl/>
        </w:rPr>
        <w:t>(161).</w:t>
      </w:r>
    </w:p>
  </w:footnote>
  <w:footnote w:id="284">
    <w:p w:rsidR="000D3D21" w:rsidRPr="00E27F0A"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E27F0A">
        <w:rPr>
          <w:rFonts w:ascii="Traditional Arabic" w:hAnsi="Traditional Arabic"/>
          <w:noProof w:val="0"/>
          <w:sz w:val="32"/>
          <w:szCs w:val="32"/>
          <w:rtl/>
          <w:lang w:eastAsia="en-US"/>
        </w:rPr>
        <w:t>تقدم تخريجه.</w:t>
      </w:r>
    </w:p>
  </w:footnote>
  <w:footnote w:id="285">
    <w:p w:rsidR="000D3D21" w:rsidRPr="00E27F0A" w:rsidRDefault="000D3D21" w:rsidP="000C501F">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7F0A">
        <w:rPr>
          <w:rFonts w:ascii="Traditional Arabic" w:hAnsi="Traditional Arabic"/>
          <w:sz w:val="32"/>
          <w:szCs w:val="32"/>
          <w:rtl/>
        </w:rPr>
        <w:t>فتح ذي الجلال والإكرام بشرح بلوغ المرام (5/173)</w:t>
      </w:r>
      <w:r>
        <w:rPr>
          <w:rFonts w:ascii="Traditional Arabic" w:hAnsi="Traditional Arabic" w:hint="cs"/>
          <w:sz w:val="32"/>
          <w:szCs w:val="32"/>
          <w:rtl/>
        </w:rPr>
        <w:t xml:space="preserve"> </w:t>
      </w:r>
      <w:r w:rsidRPr="00E27F0A">
        <w:rPr>
          <w:rFonts w:ascii="Traditional Arabic" w:hAnsi="Traditional Arabic"/>
          <w:sz w:val="32"/>
          <w:szCs w:val="32"/>
          <w:rtl/>
        </w:rPr>
        <w:t>بتصرف.</w:t>
      </w:r>
    </w:p>
  </w:footnote>
  <w:footnote w:id="286">
    <w:p w:rsidR="000D3D21" w:rsidRPr="00860BB7" w:rsidRDefault="000D3D21" w:rsidP="000C501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7F0A">
        <w:rPr>
          <w:rFonts w:ascii="Traditional Arabic" w:hAnsi="Traditional Arabic"/>
          <w:sz w:val="32"/>
          <w:szCs w:val="32"/>
          <w:rtl/>
        </w:rPr>
        <w:t>انظر الشرح الممتع (2/215-216)، و(8/418).</w:t>
      </w:r>
    </w:p>
  </w:footnote>
  <w:footnote w:id="287">
    <w:p w:rsidR="000D3D21" w:rsidRPr="00090A1C" w:rsidRDefault="000D3D21" w:rsidP="00AA7BA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FB0BDE">
        <w:rPr>
          <w:rFonts w:ascii="Traditional Arabic" w:hAnsi="Traditional Arabic"/>
          <w:b/>
          <w:bCs/>
          <w:sz w:val="32"/>
          <w:szCs w:val="32"/>
          <w:rtl/>
        </w:rPr>
        <w:t>ربا الفضل</w:t>
      </w:r>
      <w:r w:rsidR="00AB0B9E" w:rsidRPr="00A11BFD">
        <w:rPr>
          <w:rFonts w:ascii="Traditional Arabic" w:hAnsi="Traditional Arabic"/>
          <w:sz w:val="32"/>
          <w:szCs w:val="32"/>
          <w:rtl/>
        </w:rPr>
        <w:fldChar w:fldCharType="begin"/>
      </w:r>
      <w:r w:rsidRPr="00A11BFD">
        <w:instrText xml:space="preserve"> XE "</w:instrText>
      </w:r>
      <w:r w:rsidRPr="00A11BFD">
        <w:rPr>
          <w:rFonts w:ascii="Traditional Arabic" w:hAnsi="Traditional Arabic"/>
          <w:sz w:val="32"/>
          <w:szCs w:val="32"/>
          <w:rtl/>
        </w:rPr>
        <w:instrText>ربا الفضل</w:instrText>
      </w:r>
      <w:r w:rsidRPr="00A11BFD">
        <w:instrText xml:space="preserve">" </w:instrText>
      </w:r>
      <w:r>
        <w:instrText>\fm</w:instrText>
      </w:r>
      <w:r w:rsidR="00AB0B9E" w:rsidRPr="00A11BFD">
        <w:rPr>
          <w:rFonts w:ascii="Traditional Arabic" w:hAnsi="Traditional Arabic"/>
          <w:sz w:val="32"/>
          <w:szCs w:val="32"/>
          <w:rtl/>
        </w:rPr>
        <w:fldChar w:fldCharType="end"/>
      </w:r>
      <w:r>
        <w:rPr>
          <w:rFonts w:ascii="Traditional Arabic" w:hAnsi="Traditional Arabic"/>
          <w:sz w:val="32"/>
          <w:szCs w:val="32"/>
          <w:rtl/>
        </w:rPr>
        <w:t>:</w:t>
      </w:r>
      <w:r w:rsidRPr="00C85F0F">
        <w:rPr>
          <w:rFonts w:ascii="Traditional Arabic" w:hAnsi="Traditional Arabic"/>
          <w:noProof w:val="0"/>
          <w:color w:val="auto"/>
          <w:rtl/>
          <w:lang w:eastAsia="en-US"/>
        </w:rPr>
        <w:t xml:space="preserve"> </w:t>
      </w:r>
      <w:r w:rsidRPr="00AA7BAE">
        <w:rPr>
          <w:rFonts w:ascii="Traditional Arabic" w:hAnsi="Traditional Arabic"/>
          <w:noProof w:val="0"/>
          <w:color w:val="auto"/>
          <w:sz w:val="32"/>
          <w:szCs w:val="32"/>
          <w:rtl/>
          <w:lang w:eastAsia="en-US"/>
        </w:rPr>
        <w:t>هو التفاضل في بيع</w:t>
      </w:r>
      <w:r w:rsidRPr="00AA7BAE">
        <w:rPr>
          <w:rFonts w:ascii="Traditional Arabic" w:hAnsi="Traditional Arabic" w:hint="cs"/>
          <w:noProof w:val="0"/>
          <w:color w:val="auto"/>
          <w:sz w:val="32"/>
          <w:szCs w:val="32"/>
          <w:rtl/>
          <w:lang w:eastAsia="en-US"/>
        </w:rPr>
        <w:t>ِ</w:t>
      </w:r>
      <w:r w:rsidRPr="00AA7BAE">
        <w:rPr>
          <w:rFonts w:ascii="Traditional Arabic" w:hAnsi="Traditional Arabic"/>
          <w:noProof w:val="0"/>
          <w:color w:val="auto"/>
          <w:sz w:val="32"/>
          <w:szCs w:val="32"/>
          <w:rtl/>
          <w:lang w:eastAsia="en-US"/>
        </w:rPr>
        <w:t xml:space="preserve"> كل</w:t>
      </w:r>
      <w:r w:rsidRPr="00AA7BAE">
        <w:rPr>
          <w:rFonts w:ascii="Traditional Arabic" w:hAnsi="Traditional Arabic" w:hint="cs"/>
          <w:noProof w:val="0"/>
          <w:color w:val="auto"/>
          <w:sz w:val="32"/>
          <w:szCs w:val="32"/>
          <w:rtl/>
          <w:lang w:eastAsia="en-US"/>
        </w:rPr>
        <w:t>ِّ</w:t>
      </w:r>
      <w:r w:rsidRPr="00AA7BAE">
        <w:rPr>
          <w:rFonts w:ascii="Traditional Arabic" w:hAnsi="Traditional Arabic"/>
          <w:noProof w:val="0"/>
          <w:color w:val="auto"/>
          <w:sz w:val="32"/>
          <w:szCs w:val="32"/>
          <w:rtl/>
          <w:lang w:eastAsia="en-US"/>
        </w:rPr>
        <w:t xml:space="preserve"> جنس</w:t>
      </w:r>
      <w:r w:rsidRPr="00AA7BAE">
        <w:rPr>
          <w:rFonts w:ascii="Traditional Arabic" w:hAnsi="Traditional Arabic" w:hint="cs"/>
          <w:noProof w:val="0"/>
          <w:color w:val="auto"/>
          <w:sz w:val="32"/>
          <w:szCs w:val="32"/>
          <w:rtl/>
          <w:lang w:eastAsia="en-US"/>
        </w:rPr>
        <w:t>ٍ</w:t>
      </w:r>
      <w:r w:rsidRPr="00AA7BAE">
        <w:rPr>
          <w:rFonts w:ascii="Traditional Arabic" w:hAnsi="Traditional Arabic"/>
          <w:noProof w:val="0"/>
          <w:color w:val="auto"/>
          <w:sz w:val="32"/>
          <w:szCs w:val="32"/>
          <w:rtl/>
          <w:lang w:eastAsia="en-US"/>
        </w:rPr>
        <w:t xml:space="preserve"> بجنس</w:t>
      </w:r>
      <w:r w:rsidRPr="00AA7BAE">
        <w:rPr>
          <w:rFonts w:ascii="Traditional Arabic" w:hAnsi="Traditional Arabic" w:hint="cs"/>
          <w:noProof w:val="0"/>
          <w:color w:val="auto"/>
          <w:sz w:val="32"/>
          <w:szCs w:val="32"/>
          <w:rtl/>
          <w:lang w:eastAsia="en-US"/>
        </w:rPr>
        <w:t>ِ</w:t>
      </w:r>
      <w:r w:rsidRPr="00AA7BAE">
        <w:rPr>
          <w:rFonts w:ascii="Traditional Arabic" w:hAnsi="Traditional Arabic"/>
          <w:noProof w:val="0"/>
          <w:color w:val="auto"/>
          <w:sz w:val="32"/>
          <w:szCs w:val="32"/>
          <w:rtl/>
          <w:lang w:eastAsia="en-US"/>
        </w:rPr>
        <w:t>ه مما يجري فيه الربا</w:t>
      </w:r>
      <w:r w:rsidRPr="00AA7BAE">
        <w:rPr>
          <w:rFonts w:ascii="Traditional Arabic" w:hAnsi="Traditional Arabic" w:hint="cs"/>
          <w:sz w:val="32"/>
          <w:szCs w:val="32"/>
          <w:rtl/>
        </w:rPr>
        <w:t>.</w:t>
      </w:r>
      <w:r>
        <w:rPr>
          <w:rFonts w:ascii="Traditional Arabic" w:hAnsi="Traditional Arabic" w:hint="cs"/>
          <w:sz w:val="32"/>
          <w:szCs w:val="32"/>
          <w:rtl/>
        </w:rPr>
        <w:t xml:space="preserve"> إرشاد أولي البصائر والألباب لنيل الفقه بأقرب الطرق وأيسر الأسباب لعبد الرحمن بن ناصر السعدي (96)، وانظر فتح الرحيم الملك العلام الملك للمؤلف نفسه (134).</w:t>
      </w:r>
      <w:r w:rsidRPr="00FB0BDE">
        <w:rPr>
          <w:rFonts w:ascii="Traditional Arabic" w:hAnsi="Traditional Arabic"/>
          <w:sz w:val="32"/>
          <w:szCs w:val="32"/>
          <w:rtl/>
        </w:rPr>
        <w:t xml:space="preserve"> </w:t>
      </w:r>
    </w:p>
  </w:footnote>
  <w:footnote w:id="288">
    <w:p w:rsidR="000D3D21" w:rsidRPr="00090A1C" w:rsidRDefault="000D3D21" w:rsidP="00AA7BA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BE3CE7">
        <w:rPr>
          <w:rFonts w:ascii="Traditional Arabic" w:hAnsi="Traditional Arabic"/>
          <w:b/>
          <w:bCs/>
          <w:sz w:val="32"/>
          <w:szCs w:val="32"/>
          <w:rtl/>
        </w:rPr>
        <w:t>ربا النسيئة</w:t>
      </w:r>
      <w:r w:rsidR="00AB0B9E" w:rsidRPr="00A11BFD">
        <w:rPr>
          <w:rFonts w:ascii="Traditional Arabic" w:hAnsi="Traditional Arabic"/>
          <w:sz w:val="32"/>
          <w:szCs w:val="32"/>
          <w:rtl/>
        </w:rPr>
        <w:fldChar w:fldCharType="begin"/>
      </w:r>
      <w:r w:rsidRPr="00A11BFD">
        <w:instrText xml:space="preserve"> XE "</w:instrText>
      </w:r>
      <w:r w:rsidRPr="00A11BFD">
        <w:rPr>
          <w:rFonts w:ascii="Traditional Arabic" w:hAnsi="Traditional Arabic"/>
          <w:sz w:val="32"/>
          <w:szCs w:val="32"/>
          <w:rtl/>
        </w:rPr>
        <w:instrText>ربا النسيئة</w:instrText>
      </w:r>
      <w:r w:rsidRPr="00A11BFD">
        <w:instrText xml:space="preserve">" </w:instrText>
      </w:r>
      <w:r>
        <w:instrText>\fm</w:instrText>
      </w:r>
      <w:r w:rsidR="00AB0B9E" w:rsidRPr="00A11BFD">
        <w:rPr>
          <w:rFonts w:ascii="Traditional Arabic" w:hAnsi="Traditional Arabic"/>
          <w:sz w:val="32"/>
          <w:szCs w:val="32"/>
          <w:rtl/>
        </w:rPr>
        <w:fldChar w:fldCharType="end"/>
      </w:r>
      <w:r>
        <w:rPr>
          <w:rFonts w:ascii="Traditional Arabic" w:hAnsi="Traditional Arabic"/>
          <w:sz w:val="32"/>
          <w:szCs w:val="32"/>
          <w:rtl/>
        </w:rPr>
        <w:t xml:space="preserve">: هو </w:t>
      </w:r>
      <w:r>
        <w:rPr>
          <w:rFonts w:ascii="Traditional Arabic" w:hAnsi="Traditional Arabic" w:hint="cs"/>
          <w:sz w:val="32"/>
          <w:szCs w:val="32"/>
          <w:rtl/>
        </w:rPr>
        <w:t>أن يبيع المكيل بالمكيل، أو الموزون بالموزون، ولو من غير جنسه، ويتفرقا قبل قبض العوضين. فتح الرحيم الملك العلام (134). وانظر إرشاد أولي البصائر والألباب (95).</w:t>
      </w:r>
    </w:p>
  </w:footnote>
  <w:footnote w:id="289">
    <w:p w:rsidR="000D3D21" w:rsidRPr="00090A1C" w:rsidRDefault="000D3D21" w:rsidP="000C501F">
      <w:pPr>
        <w:pStyle w:val="a7"/>
        <w:ind w:left="329" w:hanging="329"/>
        <w:rPr>
          <w:rFonts w:ascii="Traditional Arabic" w:hAnsi="Traditional Arabic"/>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انظر: الشرح الممتع (2/215)، و(8/420).</w:t>
      </w:r>
      <w:r>
        <w:rPr>
          <w:rFonts w:ascii="Traditional Arabic" w:hAnsi="Traditional Arabic"/>
          <w:sz w:val="32"/>
          <w:szCs w:val="32"/>
          <w:rtl/>
        </w:rPr>
        <w:t>وسيأتي بحث هذه القاعدة في ص (</w:t>
      </w:r>
      <w:r>
        <w:rPr>
          <w:rFonts w:ascii="Traditional Arabic" w:hAnsi="Traditional Arabic" w:hint="cs"/>
          <w:sz w:val="32"/>
          <w:szCs w:val="32"/>
          <w:rtl/>
        </w:rPr>
        <w:t>192</w:t>
      </w:r>
      <w:r w:rsidRPr="00090A1C">
        <w:rPr>
          <w:rFonts w:ascii="Traditional Arabic" w:hAnsi="Traditional Arabic"/>
          <w:sz w:val="32"/>
          <w:szCs w:val="32"/>
          <w:rtl/>
        </w:rPr>
        <w:t>) من هذه الرسالة.</w:t>
      </w:r>
    </w:p>
  </w:footnote>
  <w:footnote w:id="290">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انظر المرجع السابق (6/115).</w:t>
      </w:r>
    </w:p>
  </w:footnote>
  <w:footnote w:id="291">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90A1C">
        <w:rPr>
          <w:rFonts w:ascii="Traditional Arabic" w:hAnsi="Traditional Arabic"/>
          <w:sz w:val="32"/>
          <w:szCs w:val="32"/>
          <w:rtl/>
        </w:rPr>
        <w:t>انظر المرجع السابق (9/255، 256).</w:t>
      </w:r>
    </w:p>
  </w:footnote>
  <w:footnote w:id="292">
    <w:p w:rsidR="000D3D21" w:rsidRPr="00090A1C" w:rsidRDefault="000D3D21" w:rsidP="000C501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090A1C">
        <w:rPr>
          <w:rFonts w:ascii="Traditional Arabic" w:hAnsi="Traditional Arabic"/>
          <w:sz w:val="32"/>
          <w:szCs w:val="32"/>
          <w:rtl/>
        </w:rPr>
        <w:t xml:space="preserve"> (10/98، 99، 100)</w:t>
      </w:r>
      <w:r>
        <w:rPr>
          <w:rFonts w:ascii="Traditional Arabic" w:hAnsi="Traditional Arabic" w:hint="cs"/>
          <w:sz w:val="32"/>
          <w:szCs w:val="32"/>
          <w:rtl/>
        </w:rPr>
        <w:t>، والتعليق على القواعد والأصول الجامعة (58، 152)، والقواعد والأصول الجامعة (26-27، 71)</w:t>
      </w:r>
      <w:r w:rsidRPr="00090A1C">
        <w:rPr>
          <w:rFonts w:ascii="Traditional Arabic" w:hAnsi="Traditional Arabic"/>
          <w:sz w:val="32"/>
          <w:szCs w:val="32"/>
          <w:rtl/>
        </w:rPr>
        <w:t>.</w:t>
      </w:r>
    </w:p>
  </w:footnote>
  <w:footnote w:id="293">
    <w:p w:rsidR="000D3D21" w:rsidRPr="00C22EA8"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اخترت</w:t>
      </w:r>
      <w:r w:rsidRPr="00C22EA8">
        <w:rPr>
          <w:rFonts w:ascii="Traditional Arabic" w:hAnsi="Traditional Arabic"/>
          <w:sz w:val="32"/>
          <w:szCs w:val="32"/>
          <w:rtl/>
        </w:rPr>
        <w:t xml:space="preserve"> الصيغة </w:t>
      </w:r>
      <w:r>
        <w:rPr>
          <w:rFonts w:ascii="Traditional Arabic" w:hAnsi="Traditional Arabic" w:hint="cs"/>
          <w:sz w:val="32"/>
          <w:szCs w:val="32"/>
          <w:rtl/>
        </w:rPr>
        <w:t xml:space="preserve">الثانية؛ </w:t>
      </w:r>
      <w:r>
        <w:rPr>
          <w:rFonts w:ascii="Traditional Arabic" w:hAnsi="Traditional Arabic"/>
          <w:sz w:val="32"/>
          <w:szCs w:val="32"/>
          <w:rtl/>
        </w:rPr>
        <w:t xml:space="preserve">لورود القاعدة </w:t>
      </w:r>
      <w:r>
        <w:rPr>
          <w:rFonts w:ascii="Traditional Arabic" w:hAnsi="Traditional Arabic" w:hint="cs"/>
          <w:sz w:val="32"/>
          <w:szCs w:val="32"/>
          <w:rtl/>
        </w:rPr>
        <w:t>ع</w:t>
      </w:r>
      <w:r w:rsidRPr="00C22EA8">
        <w:rPr>
          <w:rFonts w:ascii="Traditional Arabic" w:hAnsi="Traditional Arabic"/>
          <w:sz w:val="32"/>
          <w:szCs w:val="32"/>
          <w:rtl/>
        </w:rPr>
        <w:t xml:space="preserve">ند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C22EA8">
        <w:rPr>
          <w:rFonts w:ascii="Traditional Arabic" w:hAnsi="Traditional Arabic"/>
          <w:sz w:val="32"/>
          <w:szCs w:val="32"/>
          <w:rtl/>
        </w:rPr>
        <w:t xml:space="preserve"> بهذا اللفظ في أغل</w:t>
      </w:r>
      <w:r>
        <w:rPr>
          <w:rFonts w:ascii="Traditional Arabic" w:hAnsi="Traditional Arabic"/>
          <w:sz w:val="32"/>
          <w:szCs w:val="32"/>
          <w:rtl/>
        </w:rPr>
        <w:t>ب المواطن التي ذكر فيها القاعدة</w:t>
      </w:r>
      <w:r>
        <w:rPr>
          <w:rFonts w:ascii="Traditional Arabic" w:hAnsi="Traditional Arabic" w:hint="cs"/>
          <w:sz w:val="32"/>
          <w:szCs w:val="32"/>
          <w:rtl/>
        </w:rPr>
        <w:t>؛</w:t>
      </w:r>
      <w:r w:rsidRPr="00C22EA8">
        <w:rPr>
          <w:rFonts w:ascii="Traditional Arabic" w:hAnsi="Traditional Arabic"/>
          <w:sz w:val="32"/>
          <w:szCs w:val="32"/>
          <w:rtl/>
        </w:rPr>
        <w:t xml:space="preserve"> ولأن الفرق بينها وبين الصيغ الأخرى يسير</w:t>
      </w:r>
      <w:r>
        <w:rPr>
          <w:rFonts w:ascii="Traditional Arabic" w:hAnsi="Traditional Arabic" w:hint="cs"/>
          <w:sz w:val="32"/>
          <w:szCs w:val="32"/>
          <w:rtl/>
        </w:rPr>
        <w:t>، أما الصيغة الأخيرة ففيها شيء من التطويل</w:t>
      </w:r>
      <w:r w:rsidRPr="00C22EA8">
        <w:rPr>
          <w:rFonts w:ascii="Traditional Arabic" w:hAnsi="Traditional Arabic"/>
          <w:sz w:val="32"/>
          <w:szCs w:val="32"/>
          <w:rtl/>
        </w:rPr>
        <w:t>.</w:t>
      </w:r>
    </w:p>
  </w:footnote>
  <w:footnote w:id="294">
    <w:p w:rsidR="000D3D21" w:rsidRPr="00C22EA8"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22EA8">
        <w:rPr>
          <w:rFonts w:ascii="Traditional Arabic" w:hAnsi="Traditional Arabic"/>
          <w:sz w:val="32"/>
          <w:szCs w:val="32"/>
          <w:rtl/>
        </w:rPr>
        <w:t>الشرح الممتع (6/115).</w:t>
      </w:r>
    </w:p>
  </w:footnote>
  <w:footnote w:id="295">
    <w:p w:rsidR="000D3D21" w:rsidRPr="00C22EA8"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22EA8">
        <w:rPr>
          <w:rFonts w:ascii="Traditional Arabic" w:hAnsi="Traditional Arabic"/>
          <w:sz w:val="32"/>
          <w:szCs w:val="32"/>
          <w:rtl/>
        </w:rPr>
        <w:t>المرجع السابق (9/50)، و(10/273)، وشرح رياض الصالحين (2/618)، وشرح منظومة أصول الفقه وقواعده (61)، ومجموع فتاوى ورسائل ابن عثيمين (5/209)، وفتح ذي الجلال والإكرام (5/174)، وشرح صحيح البخاري (5/275)، ولقاءات الباب المفتوح (3/254).</w:t>
      </w:r>
    </w:p>
  </w:footnote>
  <w:footnote w:id="296">
    <w:p w:rsidR="000D3D21" w:rsidRPr="00C22EA8"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22EA8">
        <w:rPr>
          <w:rFonts w:ascii="Traditional Arabic" w:hAnsi="Traditional Arabic"/>
          <w:sz w:val="32"/>
          <w:szCs w:val="32"/>
          <w:rtl/>
        </w:rPr>
        <w:t xml:space="preserve">مجموع فتاوى ورسائل ابن عثيمين (24/97). </w:t>
      </w:r>
    </w:p>
  </w:footnote>
  <w:footnote w:id="297">
    <w:p w:rsidR="000D3D21" w:rsidRPr="00C22EA8" w:rsidRDefault="000D3D21" w:rsidP="00310588">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22EA8">
        <w:rPr>
          <w:rFonts w:ascii="Traditional Arabic" w:hAnsi="Traditional Arabic"/>
          <w:sz w:val="32"/>
          <w:szCs w:val="32"/>
          <w:rtl/>
        </w:rPr>
        <w:t>التعليق على القواعد الحسان (154).</w:t>
      </w:r>
    </w:p>
  </w:footnote>
  <w:footnote w:id="298">
    <w:p w:rsidR="000D3D21" w:rsidRPr="00C22EA8"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22EA8">
        <w:rPr>
          <w:rFonts w:ascii="Traditional Arabic" w:hAnsi="Traditional Arabic"/>
          <w:sz w:val="32"/>
          <w:szCs w:val="32"/>
          <w:rtl/>
        </w:rPr>
        <w:t>قواعد الأحكام في إصلاح الأنام لعز</w:t>
      </w:r>
      <w:r>
        <w:rPr>
          <w:rFonts w:ascii="Traditional Arabic" w:hAnsi="Traditional Arabic" w:hint="cs"/>
          <w:sz w:val="32"/>
          <w:szCs w:val="32"/>
          <w:rtl/>
        </w:rPr>
        <w:t xml:space="preserve"> </w:t>
      </w:r>
      <w:r>
        <w:rPr>
          <w:rFonts w:ascii="Traditional Arabic" w:hAnsi="Traditional Arabic"/>
          <w:sz w:val="32"/>
          <w:szCs w:val="32"/>
          <w:rtl/>
        </w:rPr>
        <w:t>الدين</w:t>
      </w:r>
      <w:r w:rsidRPr="00C22EA8">
        <w:rPr>
          <w:rFonts w:ascii="Traditional Arabic" w:hAnsi="Traditional Arabic"/>
          <w:sz w:val="32"/>
          <w:szCs w:val="32"/>
          <w:rtl/>
        </w:rPr>
        <w:t xml:space="preserve"> بن عبد ال</w:t>
      </w:r>
      <w:r>
        <w:rPr>
          <w:rFonts w:ascii="Traditional Arabic" w:hAnsi="Traditional Arabic"/>
          <w:sz w:val="32"/>
          <w:szCs w:val="32"/>
          <w:rtl/>
        </w:rPr>
        <w:t>سلام</w:t>
      </w:r>
      <w:r w:rsidRPr="00C22EA8">
        <w:rPr>
          <w:rFonts w:ascii="Traditional Arabic" w:hAnsi="Traditional Arabic"/>
          <w:sz w:val="32"/>
          <w:szCs w:val="32"/>
          <w:rtl/>
        </w:rPr>
        <w:t xml:space="preserve"> (1/113).</w:t>
      </w:r>
    </w:p>
  </w:footnote>
  <w:footnote w:id="299">
    <w:p w:rsidR="000D3D21" w:rsidRPr="00C92993"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22EA8">
        <w:rPr>
          <w:rFonts w:ascii="Traditional Arabic" w:hAnsi="Traditional Arabic"/>
          <w:sz w:val="32"/>
          <w:szCs w:val="32"/>
          <w:rtl/>
        </w:rPr>
        <w:t xml:space="preserve">الأشباه والنظائر لزين الدين بن إبراهيم </w:t>
      </w:r>
      <w:r>
        <w:rPr>
          <w:rFonts w:ascii="Traditional Arabic" w:hAnsi="Traditional Arabic" w:hint="cs"/>
          <w:sz w:val="32"/>
          <w:szCs w:val="32"/>
          <w:rtl/>
        </w:rPr>
        <w:t xml:space="preserve">الحنفي </w:t>
      </w:r>
      <w:r w:rsidRPr="00C22EA8">
        <w:rPr>
          <w:rFonts w:ascii="Traditional Arabic" w:hAnsi="Traditional Arabic"/>
          <w:sz w:val="32"/>
          <w:szCs w:val="32"/>
          <w:rtl/>
        </w:rPr>
        <w:t xml:space="preserve">المعروف بابن نجيم (99)، والأشباه والنظائر لتاج الدين عبد الوهاب بن علي السبكي (1/105)، والأشباه والنظائر لجلال الدين عبد الرحمن السيوطي (87)، </w:t>
      </w:r>
      <w:r>
        <w:rPr>
          <w:rFonts w:ascii="Traditional Arabic" w:hAnsi="Traditional Arabic" w:hint="cs"/>
          <w:sz w:val="32"/>
          <w:szCs w:val="32"/>
          <w:rtl/>
        </w:rPr>
        <w:t xml:space="preserve">والقواعد الفقهية (69)، </w:t>
      </w:r>
      <w:r w:rsidRPr="00C22EA8">
        <w:rPr>
          <w:rFonts w:ascii="Traditional Arabic" w:hAnsi="Traditional Arabic"/>
          <w:sz w:val="32"/>
          <w:szCs w:val="32"/>
          <w:rtl/>
        </w:rPr>
        <w:t>ورسالة لطيفة جامعة في أصول الفقه المهمة (104)</w:t>
      </w:r>
      <w:r>
        <w:rPr>
          <w:rFonts w:ascii="Traditional Arabic" w:hAnsi="Traditional Arabic" w:hint="cs"/>
          <w:sz w:val="32"/>
          <w:szCs w:val="32"/>
          <w:rtl/>
        </w:rPr>
        <w:t xml:space="preserve"> كلاهما لابن سعدي</w:t>
      </w:r>
      <w:r w:rsidRPr="00C22EA8">
        <w:rPr>
          <w:rFonts w:ascii="Traditional Arabic" w:hAnsi="Traditional Arabic"/>
          <w:sz w:val="32"/>
          <w:szCs w:val="32"/>
          <w:rtl/>
        </w:rPr>
        <w:t>.</w:t>
      </w:r>
    </w:p>
  </w:footnote>
  <w:footnote w:id="300">
    <w:p w:rsidR="000D3D21" w:rsidRPr="00C92993"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93">
        <w:rPr>
          <w:rFonts w:ascii="Traditional Arabic" w:hAnsi="Traditional Arabic"/>
          <w:sz w:val="32"/>
          <w:szCs w:val="32"/>
          <w:rtl/>
        </w:rPr>
        <w:t>القواعد لأبي عبد الله محمد بن محمد بن أحمد المقري (2/443).</w:t>
      </w:r>
    </w:p>
  </w:footnote>
  <w:footnote w:id="301">
    <w:p w:rsidR="000D3D21" w:rsidRPr="00F91C37" w:rsidRDefault="000D3D21" w:rsidP="0031058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93">
        <w:rPr>
          <w:rFonts w:ascii="Traditional Arabic" w:hAnsi="Traditional Arabic"/>
          <w:sz w:val="32"/>
          <w:szCs w:val="32"/>
          <w:rtl/>
        </w:rPr>
        <w:t>إيضاح المسالك لأحمد بن يحي الونشريسي (89).</w:t>
      </w:r>
    </w:p>
  </w:footnote>
  <w:footnote w:id="302">
    <w:p w:rsidR="000D3D21" w:rsidRPr="00C92993"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93">
        <w:rPr>
          <w:rFonts w:ascii="Traditional Arabic" w:hAnsi="Traditional Arabic"/>
          <w:sz w:val="32"/>
          <w:szCs w:val="32"/>
          <w:rtl/>
        </w:rPr>
        <w:t>مجلة الأحكام العدلية (المادة30).</w:t>
      </w:r>
    </w:p>
  </w:footnote>
  <w:footnote w:id="303">
    <w:p w:rsidR="000D3D21" w:rsidRPr="00C92993"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93">
        <w:rPr>
          <w:rFonts w:ascii="Traditional Arabic" w:hAnsi="Traditional Arabic"/>
          <w:sz w:val="32"/>
          <w:szCs w:val="32"/>
          <w:rtl/>
        </w:rPr>
        <w:t>مقاييس اللغة (2/271).</w:t>
      </w:r>
    </w:p>
  </w:footnote>
  <w:footnote w:id="304">
    <w:p w:rsidR="000D3D21" w:rsidRPr="00C92993"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93">
        <w:rPr>
          <w:rFonts w:ascii="Traditional Arabic" w:hAnsi="Traditional Arabic"/>
          <w:sz w:val="32"/>
          <w:szCs w:val="32"/>
          <w:rtl/>
        </w:rPr>
        <w:t>مقاييس اللغة (1/469).</w:t>
      </w:r>
    </w:p>
  </w:footnote>
  <w:footnote w:id="305">
    <w:p w:rsidR="000D3D21" w:rsidRPr="00C92993" w:rsidRDefault="000D3D21" w:rsidP="00310588">
      <w:pPr>
        <w:pStyle w:val="a7"/>
        <w:ind w:left="329" w:hanging="329"/>
        <w:rPr>
          <w:rFonts w:ascii="Traditional Arabic" w:hAnsi="Traditional Arabic"/>
          <w:sz w:val="32"/>
          <w:szCs w:val="32"/>
          <w:rtl/>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93">
        <w:rPr>
          <w:rFonts w:ascii="Traditional Arabic" w:hAnsi="Traditional Arabic"/>
          <w:sz w:val="32"/>
          <w:szCs w:val="32"/>
          <w:rtl/>
        </w:rPr>
        <w:t>لسان العرب (1/647)</w:t>
      </w:r>
      <w:r>
        <w:rPr>
          <w:rFonts w:ascii="Traditional Arabic" w:hAnsi="Traditional Arabic"/>
          <w:sz w:val="32"/>
          <w:szCs w:val="32"/>
          <w:rtl/>
        </w:rPr>
        <w:t>.</w:t>
      </w:r>
    </w:p>
  </w:footnote>
  <w:footnote w:id="306">
    <w:p w:rsidR="000D3D21" w:rsidRPr="00386742" w:rsidRDefault="000D3D21" w:rsidP="00310588">
      <w:pPr>
        <w:pStyle w:val="a7"/>
        <w:pageBreakBefore/>
        <w:rPr>
          <w:rFonts w:ascii="Traditional Arabic" w:hAnsi="Traditional Arabic"/>
          <w:noProof w:val="0"/>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اختلفت </w:t>
      </w:r>
      <w:r>
        <w:rPr>
          <w:rFonts w:ascii="Traditional Arabic" w:hAnsi="Traditional Arabic" w:hint="cs"/>
          <w:sz w:val="32"/>
          <w:szCs w:val="32"/>
          <w:rtl/>
        </w:rPr>
        <w:t>آراء</w:t>
      </w:r>
      <w:r w:rsidRPr="00386742">
        <w:rPr>
          <w:rFonts w:ascii="Traditional Arabic" w:hAnsi="Traditional Arabic"/>
          <w:sz w:val="32"/>
          <w:szCs w:val="32"/>
          <w:rtl/>
        </w:rPr>
        <w:t xml:space="preserve"> العلماء حول وجود المصالح والمفاسد الخالصة في الدنيا، فمنهم من منع وجودها، ومنهم من رأى أنها موجودة ل</w:t>
      </w:r>
      <w:r>
        <w:rPr>
          <w:rFonts w:ascii="Traditional Arabic" w:hAnsi="Traditional Arabic" w:hint="cs"/>
          <w:sz w:val="32"/>
          <w:szCs w:val="32"/>
          <w:rtl/>
        </w:rPr>
        <w:t>ك</w:t>
      </w:r>
      <w:r w:rsidRPr="00386742">
        <w:rPr>
          <w:rFonts w:ascii="Traditional Arabic" w:hAnsi="Traditional Arabic"/>
          <w:sz w:val="32"/>
          <w:szCs w:val="32"/>
          <w:rtl/>
        </w:rPr>
        <w:t xml:space="preserve">نها نادرة وقليلة. وقد جمع ابن القيم </w:t>
      </w:r>
      <w:r>
        <w:rPr>
          <w:rFonts w:ascii="Traditional Arabic" w:hAnsi="Traditional Arabic" w:cs="CTraditional Arabic" w:hint="cs"/>
          <w:rtl/>
        </w:rPr>
        <w:t>/</w:t>
      </w:r>
      <w:r w:rsidRPr="00386742">
        <w:rPr>
          <w:rFonts w:ascii="Traditional Arabic" w:hAnsi="Traditional Arabic"/>
          <w:sz w:val="32"/>
          <w:szCs w:val="32"/>
          <w:rtl/>
        </w:rPr>
        <w:t xml:space="preserve"> بين القولين فقال: (</w:t>
      </w:r>
      <w:r w:rsidRPr="00386742">
        <w:rPr>
          <w:rFonts w:ascii="Traditional Arabic" w:hAnsi="Traditional Arabic"/>
          <w:noProof w:val="0"/>
          <w:sz w:val="32"/>
          <w:szCs w:val="32"/>
          <w:rtl/>
          <w:lang w:eastAsia="en-US"/>
        </w:rPr>
        <w:t>وفصل الخطاب في المسألة: إذا</w:t>
      </w:r>
      <w:r>
        <w:rPr>
          <w:rFonts w:ascii="Traditional Arabic" w:hAnsi="Traditional Arabic" w:hint="cs"/>
          <w:noProof w:val="0"/>
          <w:sz w:val="32"/>
          <w:szCs w:val="32"/>
          <w:rtl/>
          <w:lang w:eastAsia="en-US"/>
        </w:rPr>
        <w:t xml:space="preserve"> </w:t>
      </w:r>
      <w:r w:rsidRPr="00386742">
        <w:rPr>
          <w:rFonts w:ascii="Traditional Arabic" w:hAnsi="Traditional Arabic"/>
          <w:noProof w:val="0"/>
          <w:sz w:val="32"/>
          <w:szCs w:val="32"/>
          <w:rtl/>
          <w:lang w:eastAsia="en-US"/>
        </w:rPr>
        <w:t>أريد بالمصلحة الخالصة أنها في نفسها خالصة من المفسدة لا يشوبها مفسدة فلا ريب في وجودها، وإن أريد بها المصلحة التي لا يشوبها مشقة ولا أذى في طريقها والوسيلة إليها ولا</w:t>
      </w:r>
      <w:r>
        <w:rPr>
          <w:rFonts w:ascii="Traditional Arabic" w:hAnsi="Traditional Arabic"/>
          <w:noProof w:val="0"/>
          <w:sz w:val="32"/>
          <w:szCs w:val="32"/>
          <w:rtl/>
          <w:lang w:eastAsia="en-US"/>
        </w:rPr>
        <w:t xml:space="preserve"> في ذاتها فليست بموجودة بهذا ا</w:t>
      </w:r>
      <w:r>
        <w:rPr>
          <w:rFonts w:ascii="Traditional Arabic" w:hAnsi="Traditional Arabic" w:hint="cs"/>
          <w:noProof w:val="0"/>
          <w:sz w:val="32"/>
          <w:szCs w:val="32"/>
          <w:rtl/>
          <w:lang w:eastAsia="en-US"/>
        </w:rPr>
        <w:t>لا</w:t>
      </w:r>
      <w:r w:rsidRPr="00386742">
        <w:rPr>
          <w:rFonts w:ascii="Traditional Arabic" w:hAnsi="Traditional Arabic"/>
          <w:noProof w:val="0"/>
          <w:sz w:val="32"/>
          <w:szCs w:val="32"/>
          <w:rtl/>
          <w:lang w:eastAsia="en-US"/>
        </w:rPr>
        <w:t>عتبار؛ إذ المصالح والخيرات واللذات والكمالات كلُّها لا تُنال إلا بحظ من المشقة ولا يُعْبَر إليها إلا على جسر من التعب، وقد أجمع عقلاء كل أمة على أن النعيم لا يدرَك بالنعيم، وأن مَن آثر الراحة فاتته الراحة).</w:t>
      </w:r>
      <w:r>
        <w:rPr>
          <w:rFonts w:ascii="Traditional Arabic" w:hAnsi="Traditional Arabic" w:hint="cs"/>
          <w:noProof w:val="0"/>
          <w:sz w:val="32"/>
          <w:szCs w:val="32"/>
          <w:rtl/>
          <w:lang w:eastAsia="en-US"/>
        </w:rPr>
        <w:t xml:space="preserve"> </w:t>
      </w:r>
      <w:r w:rsidRPr="00386742">
        <w:rPr>
          <w:rFonts w:ascii="Traditional Arabic" w:hAnsi="Traditional Arabic"/>
          <w:noProof w:val="0"/>
          <w:sz w:val="32"/>
          <w:szCs w:val="32"/>
          <w:rtl/>
          <w:lang w:eastAsia="en-US"/>
        </w:rPr>
        <w:t>مفتاح دار السعادة (2/347).</w:t>
      </w:r>
    </w:p>
    <w:p w:rsidR="000D3D21" w:rsidRPr="00386742" w:rsidRDefault="000D3D21" w:rsidP="00310588">
      <w:pPr>
        <w:pStyle w:val="a7"/>
        <w:pageBreakBefore/>
        <w:rPr>
          <w:rFonts w:ascii="Traditional Arabic" w:hAnsi="Traditional Arabic"/>
          <w:sz w:val="32"/>
          <w:szCs w:val="32"/>
        </w:rPr>
      </w:pPr>
      <w:r>
        <w:rPr>
          <w:rFonts w:ascii="Traditional Arabic" w:hAnsi="Traditional Arabic" w:hint="cs"/>
          <w:noProof w:val="0"/>
          <w:sz w:val="32"/>
          <w:szCs w:val="32"/>
          <w:rtl/>
          <w:lang w:eastAsia="en-US"/>
        </w:rPr>
        <w:t xml:space="preserve">      </w:t>
      </w:r>
      <w:r w:rsidRPr="00386742">
        <w:rPr>
          <w:rFonts w:ascii="Traditional Arabic" w:hAnsi="Traditional Arabic"/>
          <w:noProof w:val="0"/>
          <w:sz w:val="32"/>
          <w:szCs w:val="32"/>
          <w:rtl/>
          <w:lang w:eastAsia="en-US"/>
        </w:rPr>
        <w:t xml:space="preserve">ويقال مثل ذلك في وجود المفسدة الخالصة، وأنه إن أريد بالمفسدة الخالصة أنها في نفسها خالصة من كل لذة، لا يشوبها منفعة أصلا، فهي غير واقعة في الدنيا، وإن أريد بها أنها لعظيم ضررها، وكبير ألمها، ينغمر فيها كل نفع ولذة، بحيث لا يشعر العبد بها، ولا يلتفت إليها قلبه أصلا فهي واقعة. انظر: الموافقات (2/44)، وقواعد الأحكام (1/9، 19)، ومجموع الفتاوى لابن تيمية (19/298)، ومفتاح دار السعادة (2/344-347)، وقواعد تعارض المصالح والمفاسد (157). </w:t>
      </w:r>
    </w:p>
  </w:footnote>
  <w:footnote w:id="307">
    <w:p w:rsidR="000D3D21" w:rsidRDefault="000D3D21" w:rsidP="00310588">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اختلفت </w:t>
      </w:r>
      <w:r>
        <w:rPr>
          <w:rFonts w:ascii="Traditional Arabic" w:hAnsi="Traditional Arabic" w:hint="cs"/>
          <w:sz w:val="32"/>
          <w:szCs w:val="32"/>
          <w:rtl/>
        </w:rPr>
        <w:t>آراء</w:t>
      </w:r>
      <w:r w:rsidRPr="00386742">
        <w:rPr>
          <w:rFonts w:ascii="Traditional Arabic" w:hAnsi="Traditional Arabic"/>
          <w:sz w:val="32"/>
          <w:szCs w:val="32"/>
          <w:rtl/>
        </w:rPr>
        <w:t xml:space="preserve"> العلماء كذلك في وجود ووقوع التساوي بين</w:t>
      </w:r>
      <w:r>
        <w:rPr>
          <w:rFonts w:ascii="Traditional Arabic" w:hAnsi="Traditional Arabic" w:hint="cs"/>
          <w:sz w:val="32"/>
          <w:szCs w:val="32"/>
          <w:rtl/>
        </w:rPr>
        <w:t xml:space="preserve"> </w:t>
      </w:r>
      <w:r>
        <w:rPr>
          <w:rFonts w:ascii="Traditional Arabic" w:hAnsi="Traditional Arabic"/>
          <w:sz w:val="32"/>
          <w:szCs w:val="32"/>
          <w:rtl/>
        </w:rPr>
        <w:t>المصالح والمفاسد</w:t>
      </w:r>
      <w:r>
        <w:rPr>
          <w:rFonts w:ascii="Traditional Arabic" w:hAnsi="Traditional Arabic" w:hint="cs"/>
          <w:sz w:val="32"/>
          <w:szCs w:val="32"/>
          <w:rtl/>
        </w:rPr>
        <w:t>.</w:t>
      </w:r>
      <w:r w:rsidRPr="00386742">
        <w:rPr>
          <w:rFonts w:ascii="Traditional Arabic" w:hAnsi="Traditional Arabic"/>
          <w:sz w:val="32"/>
          <w:szCs w:val="32"/>
          <w:rtl/>
        </w:rPr>
        <w:t xml:space="preserve"> </w:t>
      </w:r>
    </w:p>
    <w:p w:rsidR="000D3D21" w:rsidRDefault="000D3D21" w:rsidP="00310588">
      <w:pPr>
        <w:pStyle w:val="a7"/>
        <w:pageBreakBefore/>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sz w:val="32"/>
          <w:szCs w:val="32"/>
          <w:rtl/>
        </w:rPr>
        <w:t>فمن قائل بوجود التساوي</w:t>
      </w:r>
      <w:r>
        <w:rPr>
          <w:rFonts w:ascii="Traditional Arabic" w:hAnsi="Traditional Arabic" w:hint="cs"/>
          <w:sz w:val="32"/>
          <w:szCs w:val="32"/>
          <w:rtl/>
        </w:rPr>
        <w:t>.</w:t>
      </w:r>
      <w:r w:rsidRPr="00386742">
        <w:rPr>
          <w:rFonts w:ascii="Traditional Arabic" w:hAnsi="Traditional Arabic"/>
          <w:sz w:val="32"/>
          <w:szCs w:val="32"/>
          <w:rtl/>
        </w:rPr>
        <w:t xml:space="preserve"> </w:t>
      </w:r>
    </w:p>
    <w:p w:rsidR="000D3D21" w:rsidRDefault="000D3D21" w:rsidP="00310588">
      <w:pPr>
        <w:pStyle w:val="a7"/>
        <w:pageBreakBefore/>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sz w:val="32"/>
          <w:szCs w:val="32"/>
          <w:rtl/>
        </w:rPr>
        <w:t>ومن قائل بعدم وجوده</w:t>
      </w:r>
      <w:r>
        <w:rPr>
          <w:rFonts w:ascii="Traditional Arabic" w:hAnsi="Traditional Arabic" w:hint="cs"/>
          <w:sz w:val="32"/>
          <w:szCs w:val="32"/>
          <w:rtl/>
        </w:rPr>
        <w:t>.</w:t>
      </w:r>
      <w:r w:rsidRPr="00386742">
        <w:rPr>
          <w:rFonts w:ascii="Traditional Arabic" w:hAnsi="Traditional Arabic"/>
          <w:sz w:val="32"/>
          <w:szCs w:val="32"/>
          <w:rtl/>
        </w:rPr>
        <w:t xml:space="preserve"> </w:t>
      </w:r>
    </w:p>
    <w:p w:rsidR="000D3D21" w:rsidRPr="003B4FB6" w:rsidRDefault="000D3D21" w:rsidP="00310588">
      <w:pPr>
        <w:pStyle w:val="a7"/>
        <w:pageBreakBefore/>
        <w:rPr>
          <w:rFonts w:ascii="Tahoma" w:hAnsi="Tahoma"/>
          <w:rtl/>
        </w:rPr>
      </w:pPr>
      <w:r>
        <w:rPr>
          <w:rFonts w:ascii="Traditional Arabic" w:hAnsi="Traditional Arabic" w:hint="cs"/>
          <w:sz w:val="32"/>
          <w:szCs w:val="32"/>
          <w:rtl/>
        </w:rPr>
        <w:t xml:space="preserve">    </w:t>
      </w:r>
      <w:r w:rsidRPr="00386742">
        <w:rPr>
          <w:rFonts w:ascii="Traditional Arabic" w:hAnsi="Traditional Arabic"/>
          <w:sz w:val="32"/>
          <w:szCs w:val="32"/>
          <w:rtl/>
        </w:rPr>
        <w:t>ولعل الأقرب في ذلك-والله أعلم- أن يقال: إن التساوي بين المصالح والمفاسد قد يكون في نظر الناظر في المسألة، فيكون اعتباريا إضافيا لا ذاتيا، وهذا لا يمنع أن ينظر غيره في المسألة فيترجح له جانب المصلحة أو المفسدة فيها، وهذا الغالب على مسائل هذا القسم، وقد يقع الت</w:t>
      </w:r>
      <w:r>
        <w:rPr>
          <w:rFonts w:ascii="Traditional Arabic" w:hAnsi="Traditional Arabic"/>
          <w:sz w:val="32"/>
          <w:szCs w:val="32"/>
          <w:rtl/>
        </w:rPr>
        <w:t xml:space="preserve">ساوي بين المصلحة والمفسدة </w:t>
      </w:r>
      <w:r>
        <w:rPr>
          <w:rFonts w:ascii="Traditional Arabic" w:hAnsi="Traditional Arabic" w:hint="cs"/>
          <w:sz w:val="32"/>
          <w:szCs w:val="32"/>
          <w:rtl/>
        </w:rPr>
        <w:t xml:space="preserve">أحيانا </w:t>
      </w:r>
      <w:r>
        <w:rPr>
          <w:rFonts w:ascii="Traditional Arabic" w:hAnsi="Traditional Arabic"/>
          <w:sz w:val="32"/>
          <w:szCs w:val="32"/>
          <w:rtl/>
        </w:rPr>
        <w:t>عند كل من ينظر في المسأ</w:t>
      </w:r>
      <w:r>
        <w:rPr>
          <w:rFonts w:ascii="Traditional Arabic" w:hAnsi="Traditional Arabic" w:hint="cs"/>
          <w:sz w:val="32"/>
          <w:szCs w:val="32"/>
          <w:rtl/>
        </w:rPr>
        <w:t xml:space="preserve">لة. </w:t>
      </w:r>
      <w:r w:rsidRPr="00386742">
        <w:rPr>
          <w:rFonts w:ascii="Traditional Arabic" w:hAnsi="Traditional Arabic"/>
          <w:sz w:val="32"/>
          <w:szCs w:val="32"/>
          <w:rtl/>
        </w:rPr>
        <w:t>انظر: مفتاح دار السعادة (2/349-359)، وقواعد تعارض المصالح والمفاسد (162-163).</w:t>
      </w:r>
    </w:p>
  </w:footnote>
  <w:footnote w:id="308">
    <w:p w:rsidR="000D3D21" w:rsidRDefault="000D3D21" w:rsidP="00D7742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6217B">
        <w:rPr>
          <w:rFonts w:ascii="Traditional Arabic" w:hAnsi="Traditional Arabic"/>
          <w:sz w:val="32"/>
          <w:szCs w:val="32"/>
          <w:rtl/>
        </w:rPr>
        <w:t>اختلف العلماء الذين أثبتوا وقوع التسا</w:t>
      </w:r>
      <w:r>
        <w:rPr>
          <w:rFonts w:ascii="Traditional Arabic" w:hAnsi="Traditional Arabic"/>
          <w:sz w:val="32"/>
          <w:szCs w:val="32"/>
          <w:rtl/>
        </w:rPr>
        <w:t>وي بين المصالح والمفاسد في حكمه</w:t>
      </w:r>
      <w:r>
        <w:rPr>
          <w:rFonts w:ascii="Traditional Arabic" w:hAnsi="Traditional Arabic" w:hint="cs"/>
          <w:sz w:val="32"/>
          <w:szCs w:val="32"/>
          <w:rtl/>
        </w:rPr>
        <w:t>.</w:t>
      </w:r>
    </w:p>
    <w:p w:rsidR="000D3D21" w:rsidRDefault="000D3D21" w:rsidP="00D77425">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C6217B">
        <w:rPr>
          <w:rFonts w:ascii="Traditional Arabic" w:hAnsi="Traditional Arabic"/>
          <w:sz w:val="32"/>
          <w:szCs w:val="32"/>
          <w:rtl/>
        </w:rPr>
        <w:t xml:space="preserve"> </w:t>
      </w:r>
      <w:r>
        <w:rPr>
          <w:rFonts w:ascii="Traditional Arabic" w:hAnsi="Traditional Arabic"/>
          <w:sz w:val="32"/>
          <w:szCs w:val="32"/>
          <w:rtl/>
        </w:rPr>
        <w:t>فمنهم من قال بتقديم درء المفسدة</w:t>
      </w:r>
      <w:r>
        <w:rPr>
          <w:rFonts w:ascii="Traditional Arabic" w:hAnsi="Traditional Arabic" w:hint="cs"/>
          <w:sz w:val="32"/>
          <w:szCs w:val="32"/>
          <w:rtl/>
        </w:rPr>
        <w:t>.</w:t>
      </w:r>
      <w:r w:rsidRPr="00C6217B">
        <w:rPr>
          <w:rFonts w:ascii="Traditional Arabic" w:hAnsi="Traditional Arabic"/>
          <w:sz w:val="32"/>
          <w:szCs w:val="32"/>
          <w:rtl/>
        </w:rPr>
        <w:t xml:space="preserve"> </w:t>
      </w:r>
    </w:p>
    <w:p w:rsidR="000D3D21" w:rsidRDefault="000D3D21" w:rsidP="00D77425">
      <w:pPr>
        <w:pStyle w:val="a7"/>
        <w:pageBreakBefore/>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sz w:val="32"/>
          <w:szCs w:val="32"/>
          <w:rtl/>
        </w:rPr>
        <w:t>ومنهم من قال بالتخيير بينهما</w:t>
      </w:r>
      <w:r>
        <w:rPr>
          <w:rFonts w:ascii="Traditional Arabic" w:hAnsi="Traditional Arabic" w:hint="cs"/>
          <w:sz w:val="32"/>
          <w:szCs w:val="32"/>
          <w:rtl/>
        </w:rPr>
        <w:t>.</w:t>
      </w:r>
      <w:r w:rsidRPr="00C6217B">
        <w:rPr>
          <w:rFonts w:ascii="Traditional Arabic" w:hAnsi="Traditional Arabic"/>
          <w:sz w:val="32"/>
          <w:szCs w:val="32"/>
          <w:rtl/>
        </w:rPr>
        <w:t xml:space="preserve"> </w:t>
      </w:r>
    </w:p>
    <w:p w:rsidR="000D3D21" w:rsidRDefault="000D3D21" w:rsidP="00D77425">
      <w:pPr>
        <w:pStyle w:val="a7"/>
        <w:pageBreakBefore/>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sz w:val="32"/>
          <w:szCs w:val="32"/>
          <w:rtl/>
        </w:rPr>
        <w:t>ومنهم من قال بالتوقف</w:t>
      </w:r>
      <w:r>
        <w:rPr>
          <w:rFonts w:ascii="Traditional Arabic" w:hAnsi="Traditional Arabic" w:hint="cs"/>
          <w:sz w:val="32"/>
          <w:szCs w:val="32"/>
          <w:rtl/>
        </w:rPr>
        <w:t>.</w:t>
      </w:r>
      <w:r w:rsidRPr="00C6217B">
        <w:rPr>
          <w:rFonts w:ascii="Traditional Arabic" w:hAnsi="Traditional Arabic"/>
          <w:sz w:val="32"/>
          <w:szCs w:val="32"/>
          <w:rtl/>
        </w:rPr>
        <w:t xml:space="preserve"> </w:t>
      </w:r>
    </w:p>
    <w:p w:rsidR="000D3D21" w:rsidRPr="005049EE" w:rsidRDefault="000D3D21" w:rsidP="00D77425">
      <w:pPr>
        <w:pStyle w:val="a7"/>
        <w:pageBreakBefore/>
        <w:rPr>
          <w:rFonts w:ascii="Tahoma" w:hAnsi="Tahoma"/>
        </w:rPr>
      </w:pPr>
      <w:r>
        <w:rPr>
          <w:rFonts w:ascii="Traditional Arabic" w:hAnsi="Traditional Arabic" w:hint="cs"/>
          <w:sz w:val="32"/>
          <w:szCs w:val="32"/>
          <w:rtl/>
        </w:rPr>
        <w:t xml:space="preserve">     </w:t>
      </w:r>
      <w:r w:rsidRPr="00C6217B">
        <w:rPr>
          <w:rFonts w:ascii="Traditional Arabic" w:hAnsi="Traditional Arabic"/>
          <w:sz w:val="32"/>
          <w:szCs w:val="32"/>
          <w:rtl/>
        </w:rPr>
        <w:t>ولعل مراد كثير من العلماء الذين ذكروا قاعدة درء المفاسد أولى من ج</w:t>
      </w:r>
      <w:r>
        <w:rPr>
          <w:rFonts w:ascii="Traditional Arabic" w:hAnsi="Traditional Arabic"/>
          <w:sz w:val="32"/>
          <w:szCs w:val="32"/>
          <w:rtl/>
        </w:rPr>
        <w:t>لب المصالح</w:t>
      </w:r>
      <w:r>
        <w:rPr>
          <w:rFonts w:ascii="Traditional Arabic" w:hAnsi="Traditional Arabic" w:hint="cs"/>
          <w:sz w:val="32"/>
          <w:szCs w:val="32"/>
          <w:rtl/>
        </w:rPr>
        <w:t>،</w:t>
      </w:r>
      <w:r>
        <w:rPr>
          <w:rFonts w:ascii="Traditional Arabic" w:hAnsi="Traditional Arabic"/>
          <w:sz w:val="32"/>
          <w:szCs w:val="32"/>
          <w:rtl/>
        </w:rPr>
        <w:t xml:space="preserve"> أن الأصل والغالب عند</w:t>
      </w:r>
      <w:r>
        <w:rPr>
          <w:rFonts w:ascii="Traditional Arabic" w:hAnsi="Traditional Arabic" w:hint="cs"/>
          <w:sz w:val="32"/>
          <w:szCs w:val="32"/>
          <w:rtl/>
        </w:rPr>
        <w:t xml:space="preserve"> </w:t>
      </w:r>
      <w:r w:rsidRPr="00C6217B">
        <w:rPr>
          <w:rFonts w:ascii="Traditional Arabic" w:hAnsi="Traditional Arabic"/>
          <w:sz w:val="32"/>
          <w:szCs w:val="32"/>
          <w:rtl/>
        </w:rPr>
        <w:t>اجتماع المصالح والمفاسد أن يقدم درء المفاسد، وليس</w:t>
      </w:r>
      <w:r>
        <w:rPr>
          <w:rFonts w:ascii="Tahoma" w:hAnsi="Tahoma" w:hint="cs"/>
          <w:sz w:val="32"/>
          <w:szCs w:val="32"/>
          <w:rtl/>
        </w:rPr>
        <w:t xml:space="preserve"> </w:t>
      </w:r>
      <w:r w:rsidRPr="00C6217B">
        <w:rPr>
          <w:rFonts w:ascii="Tahoma" w:hAnsi="Tahoma" w:hint="cs"/>
          <w:sz w:val="32"/>
          <w:szCs w:val="32"/>
          <w:rtl/>
        </w:rPr>
        <w:t>مرادهم أن ذلك يكون على الإطلاق؛ ولهذا استثنوا من ذلك ما إذا كانت المصلحة راجحة على المفسدة، وقد أشار  السيوطي</w:t>
      </w:r>
      <w:r>
        <w:rPr>
          <w:rFonts w:ascii="Tahoma" w:hAnsi="Tahoma" w:hint="cs"/>
          <w:sz w:val="32"/>
          <w:szCs w:val="32"/>
          <w:rtl/>
        </w:rPr>
        <w:t>_رحمه الله_</w:t>
      </w:r>
      <w:r w:rsidRPr="00C6217B">
        <w:rPr>
          <w:rFonts w:ascii="Tahoma" w:hAnsi="Tahoma" w:hint="cs"/>
          <w:sz w:val="32"/>
          <w:szCs w:val="32"/>
          <w:rtl/>
        </w:rPr>
        <w:t xml:space="preserve"> إلى ذلك بقوله: (...درء المفاسد أولى من جلب المصالح، فإذا تعارض مفسدة ومصلحة، قدِّم دفع المفسدة غالبا؛ لأن اعتناء الشارع بالمنهيات أشد من اعتنائه بالمأمورات)</w:t>
      </w:r>
      <w:r>
        <w:rPr>
          <w:rFonts w:ascii="Tahoma" w:hAnsi="Tahoma" w:hint="cs"/>
          <w:sz w:val="32"/>
          <w:szCs w:val="32"/>
          <w:rtl/>
        </w:rPr>
        <w:t>.</w:t>
      </w:r>
      <w:r w:rsidRPr="00C6217B">
        <w:rPr>
          <w:rFonts w:ascii="Tahoma" w:hAnsi="Tahoma" w:hint="cs"/>
          <w:sz w:val="32"/>
          <w:szCs w:val="32"/>
          <w:rtl/>
        </w:rPr>
        <w:t xml:space="preserve"> انظر: القواع</w:t>
      </w:r>
      <w:r>
        <w:rPr>
          <w:rFonts w:ascii="Tahoma" w:hAnsi="Tahoma" w:hint="cs"/>
          <w:sz w:val="32"/>
          <w:szCs w:val="32"/>
          <w:rtl/>
        </w:rPr>
        <w:t>د</w:t>
      </w:r>
      <w:r w:rsidRPr="00C6217B">
        <w:rPr>
          <w:rFonts w:ascii="Tahoma" w:hAnsi="Tahoma" w:hint="cs"/>
          <w:sz w:val="32"/>
          <w:szCs w:val="32"/>
          <w:rtl/>
        </w:rPr>
        <w:t xml:space="preserve"> للمقري (2/443)، وقواعد الأحكام </w:t>
      </w:r>
      <w:r>
        <w:rPr>
          <w:rFonts w:ascii="Tahoma" w:hAnsi="Tahoma" w:hint="cs"/>
          <w:sz w:val="32"/>
          <w:szCs w:val="32"/>
          <w:rtl/>
        </w:rPr>
        <w:t xml:space="preserve">للعز بن عبد السلام </w:t>
      </w:r>
      <w:r w:rsidRPr="00C6217B">
        <w:rPr>
          <w:rFonts w:ascii="Tahoma" w:hAnsi="Tahoma" w:hint="cs"/>
          <w:sz w:val="32"/>
          <w:szCs w:val="32"/>
          <w:rtl/>
        </w:rPr>
        <w:t xml:space="preserve">(1/136)، والمجموع المذهب </w:t>
      </w:r>
      <w:r>
        <w:rPr>
          <w:rFonts w:ascii="Tahoma" w:hAnsi="Tahoma" w:hint="cs"/>
          <w:sz w:val="32"/>
          <w:szCs w:val="32"/>
          <w:rtl/>
        </w:rPr>
        <w:t>(1/129-130)</w:t>
      </w:r>
      <w:r w:rsidRPr="00C6217B">
        <w:rPr>
          <w:rFonts w:ascii="Tahoma" w:hAnsi="Tahoma" w:hint="cs"/>
          <w:sz w:val="32"/>
          <w:szCs w:val="32"/>
          <w:rtl/>
        </w:rPr>
        <w:t>، والأشباه والنظائر للسيوطي (87)، وقواعد تعارض المصالح والمفاسد (230).</w:t>
      </w:r>
    </w:p>
  </w:footnote>
  <w:footnote w:id="309">
    <w:p w:rsidR="000D3D21" w:rsidRDefault="000D3D21" w:rsidP="00310588">
      <w:pPr>
        <w:pStyle w:val="a7"/>
        <w:spacing w:line="440" w:lineRule="exact"/>
        <w:ind w:left="510" w:hanging="510"/>
        <w:jc w:val="lowKashida"/>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أحكام من القرآن الكريم (2/</w:t>
      </w:r>
      <w:r>
        <w:rPr>
          <w:rFonts w:ascii="Traditional Arabic" w:hAnsi="Traditional Arabic" w:hint="cs"/>
          <w:sz w:val="32"/>
          <w:szCs w:val="32"/>
          <w:rtl/>
        </w:rPr>
        <w:t>133-134</w:t>
      </w:r>
      <w:r w:rsidRPr="00C92993">
        <w:rPr>
          <w:rFonts w:ascii="Traditional Arabic" w:hAnsi="Traditional Arabic"/>
          <w:sz w:val="32"/>
          <w:szCs w:val="32"/>
          <w:rtl/>
        </w:rPr>
        <w:t>)</w:t>
      </w:r>
      <w:r>
        <w:rPr>
          <w:rFonts w:ascii="Traditional Arabic" w:hAnsi="Traditional Arabic" w:hint="cs"/>
          <w:sz w:val="32"/>
          <w:szCs w:val="32"/>
          <w:rtl/>
        </w:rPr>
        <w:t xml:space="preserve"> بتصرف</w:t>
      </w:r>
      <w:r w:rsidRPr="00C92993">
        <w:rPr>
          <w:rFonts w:ascii="Traditional Arabic" w:hAnsi="Traditional Arabic"/>
          <w:sz w:val="32"/>
          <w:szCs w:val="32"/>
          <w:rtl/>
        </w:rPr>
        <w:t>، وانظر شرح منظومة أصول الفقه وقواعده (62)، والتعليق على القواعد والأصول الجامعة (</w:t>
      </w:r>
      <w:r>
        <w:rPr>
          <w:rFonts w:ascii="Traditional Arabic" w:hAnsi="Traditional Arabic" w:hint="cs"/>
          <w:sz w:val="32"/>
          <w:szCs w:val="32"/>
          <w:rtl/>
        </w:rPr>
        <w:t>19</w:t>
      </w:r>
      <w:r w:rsidRPr="00C92993">
        <w:rPr>
          <w:rFonts w:ascii="Traditional Arabic" w:hAnsi="Traditional Arabic"/>
          <w:sz w:val="32"/>
          <w:szCs w:val="32"/>
          <w:rtl/>
        </w:rPr>
        <w:t>)</w:t>
      </w:r>
      <w:r>
        <w:rPr>
          <w:rFonts w:ascii="Traditional Arabic" w:hAnsi="Traditional Arabic" w:hint="cs"/>
          <w:sz w:val="32"/>
          <w:szCs w:val="32"/>
          <w:rtl/>
        </w:rPr>
        <w:t>، ومفتاح دار السعادة (2/344)</w:t>
      </w:r>
      <w:r w:rsidRPr="00C92993">
        <w:rPr>
          <w:rFonts w:ascii="Traditional Arabic" w:hAnsi="Traditional Arabic"/>
          <w:sz w:val="32"/>
          <w:szCs w:val="32"/>
          <w:rtl/>
        </w:rPr>
        <w:t xml:space="preserve">. </w:t>
      </w:r>
    </w:p>
    <w:p w:rsidR="000D3D21" w:rsidRPr="00C92993" w:rsidRDefault="000D3D21" w:rsidP="00763E78">
      <w:pPr>
        <w:pStyle w:val="a7"/>
        <w:spacing w:line="440" w:lineRule="exact"/>
        <w:jc w:val="lowKashida"/>
        <w:rPr>
          <w:rFonts w:ascii="Traditional Arabic" w:hAnsi="Traditional Arabic"/>
          <w:sz w:val="32"/>
          <w:szCs w:val="32"/>
        </w:rPr>
      </w:pPr>
    </w:p>
  </w:footnote>
  <w:footnote w:id="310">
    <w:p w:rsidR="000D3D21" w:rsidRPr="00C92993" w:rsidRDefault="000D3D21" w:rsidP="00310588">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C92993">
        <w:rPr>
          <w:rFonts w:ascii="Traditional Arabic" w:hAnsi="Traditional Arabic"/>
          <w:sz w:val="32"/>
          <w:szCs w:val="32"/>
          <w:rtl/>
        </w:rPr>
        <w:tab/>
        <w:t>شرح منظومة أصول الفقه وقواعده (62)</w:t>
      </w:r>
      <w:r>
        <w:rPr>
          <w:rFonts w:ascii="Traditional Arabic" w:hAnsi="Traditional Arabic"/>
          <w:sz w:val="32"/>
          <w:szCs w:val="32"/>
          <w:rtl/>
        </w:rPr>
        <w:t>.</w:t>
      </w:r>
      <w:r w:rsidRPr="00C92993">
        <w:rPr>
          <w:rFonts w:ascii="Traditional Arabic" w:hAnsi="Traditional Arabic"/>
          <w:b/>
          <w:bCs/>
          <w:sz w:val="32"/>
          <w:szCs w:val="32"/>
          <w:rtl/>
        </w:rPr>
        <w:tab/>
      </w:r>
    </w:p>
  </w:footnote>
  <w:footnote w:id="311">
    <w:p w:rsidR="000D3D21" w:rsidRPr="00C92993"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93">
        <w:rPr>
          <w:rFonts w:ascii="Traditional Arabic" w:hAnsi="Traditional Arabic"/>
          <w:sz w:val="32"/>
          <w:szCs w:val="32"/>
          <w:rtl/>
        </w:rPr>
        <w:t>الشرح الممتع (6/115)، وانظر (9/50)، وشرح منظومة أصول الفقه وقواعده (62)، وشرح رياض الصالحين (2/618)</w:t>
      </w:r>
      <w:r>
        <w:rPr>
          <w:rFonts w:ascii="Traditional Arabic" w:hAnsi="Traditional Arabic" w:hint="cs"/>
          <w:sz w:val="32"/>
          <w:szCs w:val="32"/>
          <w:rtl/>
        </w:rPr>
        <w:t>، وأحكام من القرآن الكريم (2/301)</w:t>
      </w:r>
      <w:r w:rsidRPr="00C92993">
        <w:rPr>
          <w:rFonts w:ascii="Traditional Arabic" w:hAnsi="Traditional Arabic"/>
          <w:sz w:val="32"/>
          <w:szCs w:val="32"/>
          <w:rtl/>
        </w:rPr>
        <w:t>.</w:t>
      </w:r>
    </w:p>
  </w:footnote>
  <w:footnote w:id="312">
    <w:p w:rsidR="000D3D21" w:rsidRPr="003B6133" w:rsidRDefault="000D3D21" w:rsidP="0031058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w:t>
      </w:r>
      <w:r>
        <w:rPr>
          <w:rFonts w:ascii="Traditional Arabic" w:hAnsi="Traditional Arabic" w:hint="cs"/>
          <w:sz w:val="32"/>
          <w:szCs w:val="32"/>
          <w:rtl/>
        </w:rPr>
        <w:t xml:space="preserve">: </w:t>
      </w:r>
      <w:r w:rsidRPr="00C92993">
        <w:rPr>
          <w:rFonts w:ascii="Traditional Arabic" w:hAnsi="Traditional Arabic"/>
          <w:sz w:val="32"/>
          <w:szCs w:val="32"/>
          <w:rtl/>
        </w:rPr>
        <w:t>الأشباه والنظا</w:t>
      </w:r>
      <w:r>
        <w:rPr>
          <w:rFonts w:ascii="Traditional Arabic" w:hAnsi="Traditional Arabic"/>
          <w:sz w:val="32"/>
          <w:szCs w:val="32"/>
          <w:rtl/>
        </w:rPr>
        <w:t>ئر</w:t>
      </w:r>
      <w:r>
        <w:rPr>
          <w:rFonts w:ascii="Traditional Arabic" w:hAnsi="Traditional Arabic" w:hint="cs"/>
          <w:sz w:val="32"/>
          <w:szCs w:val="32"/>
          <w:rtl/>
        </w:rPr>
        <w:t>ل</w:t>
      </w:r>
      <w:r w:rsidRPr="00C92993">
        <w:rPr>
          <w:rFonts w:ascii="Traditional Arabic" w:hAnsi="Traditional Arabic"/>
          <w:sz w:val="32"/>
          <w:szCs w:val="32"/>
          <w:rtl/>
        </w:rPr>
        <w:t>ابن نجيم (99)</w:t>
      </w:r>
      <w:r>
        <w:rPr>
          <w:rFonts w:ascii="Traditional Arabic" w:hAnsi="Traditional Arabic" w:hint="cs"/>
          <w:sz w:val="32"/>
          <w:szCs w:val="32"/>
          <w:rtl/>
        </w:rPr>
        <w:t>، و</w:t>
      </w:r>
      <w:r w:rsidRPr="00C92993">
        <w:rPr>
          <w:rFonts w:ascii="Traditional Arabic" w:hAnsi="Traditional Arabic"/>
          <w:sz w:val="32"/>
          <w:szCs w:val="32"/>
          <w:rtl/>
        </w:rPr>
        <w:t xml:space="preserve">الأشباه والنظائر لابن السبكي (1/105)، والأشباه </w:t>
      </w:r>
      <w:r>
        <w:rPr>
          <w:rFonts w:ascii="Traditional Arabic" w:hAnsi="Traditional Arabic"/>
          <w:sz w:val="32"/>
          <w:szCs w:val="32"/>
          <w:rtl/>
        </w:rPr>
        <w:t>والنظائر للسيوطي (87، 88)</w:t>
      </w:r>
      <w:r w:rsidRPr="00C92993">
        <w:rPr>
          <w:rFonts w:ascii="Traditional Arabic" w:hAnsi="Traditional Arabic"/>
          <w:sz w:val="32"/>
          <w:szCs w:val="32"/>
          <w:rtl/>
        </w:rPr>
        <w:t>، وقواعد تعارض المصالح والمفاسد (228).</w:t>
      </w:r>
    </w:p>
  </w:footnote>
  <w:footnote w:id="313">
    <w:p w:rsidR="000D3D21" w:rsidRPr="00C92993"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انظر:</w:t>
      </w:r>
      <w:r w:rsidRPr="00C92993">
        <w:rPr>
          <w:rFonts w:ascii="Traditional Arabic" w:hAnsi="Traditional Arabic"/>
          <w:sz w:val="32"/>
          <w:szCs w:val="32"/>
          <w:rtl/>
        </w:rPr>
        <w:t xml:space="preserve"> شرح العقيدة الواسطية </w:t>
      </w:r>
      <w:r>
        <w:rPr>
          <w:rFonts w:ascii="Traditional Arabic" w:hAnsi="Traditional Arabic" w:hint="cs"/>
          <w:sz w:val="32"/>
          <w:szCs w:val="32"/>
          <w:rtl/>
        </w:rPr>
        <w:t xml:space="preserve">لابن عثيمين </w:t>
      </w:r>
      <w:r w:rsidRPr="00C92993">
        <w:rPr>
          <w:rFonts w:ascii="Traditional Arabic" w:hAnsi="Traditional Arabic"/>
          <w:sz w:val="32"/>
          <w:szCs w:val="32"/>
          <w:rtl/>
        </w:rPr>
        <w:t>(</w:t>
      </w:r>
      <w:r>
        <w:rPr>
          <w:rFonts w:ascii="Traditional Arabic" w:hAnsi="Traditional Arabic" w:hint="cs"/>
          <w:sz w:val="32"/>
          <w:szCs w:val="32"/>
          <w:rtl/>
        </w:rPr>
        <w:t>2/334</w:t>
      </w:r>
      <w:r w:rsidRPr="00C92993">
        <w:rPr>
          <w:rFonts w:ascii="Traditional Arabic" w:hAnsi="Traditional Arabic"/>
          <w:sz w:val="32"/>
          <w:szCs w:val="32"/>
          <w:rtl/>
        </w:rPr>
        <w:t>)، وشرح منظومة أصول الفقه وقواعده (</w:t>
      </w:r>
      <w:r>
        <w:rPr>
          <w:rFonts w:ascii="Traditional Arabic" w:hAnsi="Traditional Arabic" w:hint="cs"/>
          <w:sz w:val="32"/>
          <w:szCs w:val="32"/>
          <w:rtl/>
        </w:rPr>
        <w:t>147</w:t>
      </w:r>
      <w:r w:rsidRPr="00C92993">
        <w:rPr>
          <w:rFonts w:ascii="Traditional Arabic" w:hAnsi="Traditional Arabic"/>
          <w:sz w:val="32"/>
          <w:szCs w:val="32"/>
          <w:rtl/>
        </w:rPr>
        <w:t>)</w:t>
      </w:r>
      <w:r>
        <w:rPr>
          <w:rFonts w:ascii="Traditional Arabic" w:hAnsi="Traditional Arabic" w:hint="cs"/>
          <w:sz w:val="32"/>
          <w:szCs w:val="32"/>
          <w:rtl/>
        </w:rPr>
        <w:t>، والتعليق على القواعد الحسان (154)</w:t>
      </w:r>
      <w:r w:rsidRPr="00C92993">
        <w:rPr>
          <w:rFonts w:ascii="Traditional Arabic" w:hAnsi="Traditional Arabic"/>
          <w:sz w:val="32"/>
          <w:szCs w:val="32"/>
          <w:rtl/>
        </w:rPr>
        <w:t>.</w:t>
      </w:r>
    </w:p>
  </w:footnote>
  <w:footnote w:id="314">
    <w:p w:rsidR="000D3D21" w:rsidRPr="00C92993"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w:t>
      </w:r>
      <w:r>
        <w:rPr>
          <w:rFonts w:ascii="Traditional Arabic" w:hAnsi="Traditional Arabic" w:hint="cs"/>
          <w:sz w:val="32"/>
          <w:szCs w:val="32"/>
          <w:rtl/>
        </w:rPr>
        <w:t xml:space="preserve">شرح منظومة أصول الفقه وقواعده </w:t>
      </w:r>
      <w:r w:rsidRPr="00C92993">
        <w:rPr>
          <w:rFonts w:ascii="Traditional Arabic" w:hAnsi="Traditional Arabic"/>
          <w:sz w:val="32"/>
          <w:szCs w:val="32"/>
          <w:rtl/>
        </w:rPr>
        <w:t>(62، 145، 153).</w:t>
      </w:r>
    </w:p>
  </w:footnote>
  <w:footnote w:id="315">
    <w:p w:rsidR="000D3D21" w:rsidRPr="004F08B0" w:rsidRDefault="000D3D21" w:rsidP="00310588">
      <w:pPr>
        <w:pStyle w:val="a7"/>
        <w:spacing w:line="440" w:lineRule="exact"/>
        <w:ind w:left="510" w:hanging="510"/>
        <w:jc w:val="lowKashida"/>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F08B0">
        <w:rPr>
          <w:rFonts w:ascii="Traditional Arabic" w:hAnsi="Traditional Arabic"/>
          <w:sz w:val="32"/>
          <w:szCs w:val="32"/>
          <w:rtl/>
        </w:rPr>
        <w:t xml:space="preserve">أخرجه البخاري في كتاب الحج، باب فضل مكة وبنيانها، رقم الحديث (1586)، ومسلم في </w:t>
      </w:r>
    </w:p>
    <w:p w:rsidR="000D3D21" w:rsidRPr="004F08B0" w:rsidRDefault="000D3D21" w:rsidP="00310588">
      <w:pPr>
        <w:pStyle w:val="a7"/>
        <w:spacing w:line="440" w:lineRule="exact"/>
        <w:jc w:val="lowKashida"/>
        <w:rPr>
          <w:rFonts w:ascii="Traditional Arabic" w:hAnsi="Traditional Arabic"/>
          <w:b/>
          <w:bCs/>
          <w:sz w:val="32"/>
          <w:szCs w:val="32"/>
        </w:rPr>
      </w:pPr>
      <w:r w:rsidRPr="004F08B0">
        <w:rPr>
          <w:rFonts w:ascii="Traditional Arabic" w:hAnsi="Traditional Arabic"/>
          <w:sz w:val="32"/>
          <w:szCs w:val="32"/>
          <w:rtl/>
        </w:rPr>
        <w:t>كتاب الحج، باب نقض الكعبة وبنائها، رقم الحديث (1333)</w:t>
      </w:r>
      <w:r>
        <w:rPr>
          <w:rFonts w:ascii="Traditional Arabic" w:hAnsi="Traditional Arabic"/>
          <w:sz w:val="32"/>
          <w:szCs w:val="32"/>
          <w:rtl/>
        </w:rPr>
        <w:t>.</w:t>
      </w:r>
    </w:p>
  </w:footnote>
  <w:footnote w:id="316">
    <w:p w:rsidR="000D3D21" w:rsidRPr="004F08B0" w:rsidRDefault="000D3D21" w:rsidP="00310588">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4F08B0">
        <w:rPr>
          <w:rFonts w:ascii="Traditional Arabic" w:hAnsi="Traditional Arabic"/>
          <w:sz w:val="32"/>
          <w:szCs w:val="32"/>
          <w:rtl/>
        </w:rPr>
        <w:tab/>
        <w:t>مجموع فتاوى ورسائل ابن عثيمين (24/97)، وانظر شرح صحيح البخاري لابن عثيمين (5/274-275).</w:t>
      </w:r>
      <w:r w:rsidRPr="004F08B0">
        <w:rPr>
          <w:rFonts w:ascii="Traditional Arabic" w:hAnsi="Traditional Arabic"/>
          <w:sz w:val="32"/>
          <w:szCs w:val="32"/>
          <w:rtl/>
        </w:rPr>
        <w:tab/>
      </w:r>
    </w:p>
  </w:footnote>
  <w:footnote w:id="317">
    <w:p w:rsidR="000D3D21" w:rsidRPr="004F08B0"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F08B0">
        <w:rPr>
          <w:rFonts w:ascii="Traditional Arabic" w:hAnsi="Traditional Arabic"/>
          <w:sz w:val="32"/>
          <w:szCs w:val="32"/>
          <w:rtl/>
        </w:rPr>
        <w:t>وهذا إذا لم تكن المنفعة أعظم من المضرة؛ لأنه حينئذ يترجح جانب جلب المنفعة.</w:t>
      </w:r>
      <w:r>
        <w:rPr>
          <w:rFonts w:ascii="Traditional Arabic" w:hAnsi="Traditional Arabic" w:hint="cs"/>
          <w:sz w:val="32"/>
          <w:szCs w:val="32"/>
          <w:rtl/>
        </w:rPr>
        <w:t xml:space="preserve"> </w:t>
      </w:r>
      <w:r w:rsidRPr="004F08B0">
        <w:rPr>
          <w:rFonts w:ascii="Traditional Arabic" w:hAnsi="Traditional Arabic"/>
          <w:sz w:val="32"/>
          <w:szCs w:val="32"/>
          <w:rtl/>
        </w:rPr>
        <w:t>انظر شرح منظومة أصول الفقه وقواعده (62).</w:t>
      </w:r>
    </w:p>
  </w:footnote>
  <w:footnote w:id="318">
    <w:p w:rsidR="000D3D21" w:rsidRPr="004F08B0"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F08B0">
        <w:rPr>
          <w:rFonts w:ascii="Traditional Arabic" w:hAnsi="Traditional Arabic"/>
          <w:sz w:val="32"/>
          <w:szCs w:val="32"/>
          <w:rtl/>
        </w:rPr>
        <w:t>المرجع السابق.</w:t>
      </w:r>
    </w:p>
  </w:footnote>
  <w:footnote w:id="319">
    <w:p w:rsidR="000D3D21" w:rsidRPr="00C92993" w:rsidRDefault="000D3D21" w:rsidP="003105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93">
        <w:rPr>
          <w:rFonts w:ascii="Traditional Arabic" w:hAnsi="Traditional Arabic"/>
          <w:sz w:val="32"/>
          <w:szCs w:val="32"/>
          <w:rtl/>
        </w:rPr>
        <w:t>انظر الشرح الممتع (10/271-274).</w:t>
      </w:r>
    </w:p>
  </w:footnote>
  <w:footnote w:id="320">
    <w:p w:rsidR="000D3D21" w:rsidRPr="00334F44" w:rsidRDefault="000D3D21" w:rsidP="0031058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93">
        <w:rPr>
          <w:rFonts w:ascii="Traditional Arabic" w:hAnsi="Traditional Arabic"/>
          <w:sz w:val="32"/>
          <w:szCs w:val="32"/>
          <w:rtl/>
        </w:rPr>
        <w:t>انظر المرجع السابق (10/273).</w:t>
      </w:r>
    </w:p>
  </w:footnote>
  <w:footnote w:id="321">
    <w:p w:rsidR="000D3D21" w:rsidRPr="00E54921" w:rsidRDefault="000D3D21">
      <w:pPr>
        <w:pStyle w:val="a7"/>
        <w:rPr>
          <w:rFonts w:ascii="Traditional Arabic" w:hAnsi="Traditional Arabic"/>
          <w:sz w:val="32"/>
          <w:szCs w:val="32"/>
          <w:rtl/>
        </w:rPr>
      </w:pPr>
      <w:r w:rsidRPr="00E54921">
        <w:rPr>
          <w:rStyle w:val="af1"/>
          <w:rFonts w:ascii="Traditional Arabic" w:hAnsi="Traditional Arabic"/>
          <w:sz w:val="32"/>
          <w:szCs w:val="32"/>
          <w:vertAlign w:val="baseline"/>
        </w:rPr>
        <w:footnoteRef/>
      </w:r>
      <w:r w:rsidRPr="00E54921">
        <w:rPr>
          <w:rFonts w:ascii="Traditional Arabic" w:hAnsi="Traditional Arabic"/>
          <w:sz w:val="32"/>
          <w:szCs w:val="32"/>
        </w:rPr>
        <w:t>)</w:t>
      </w:r>
      <w:r w:rsidRPr="00E54921">
        <w:rPr>
          <w:rFonts w:ascii="Traditional Arabic" w:hAnsi="Traditional Arabic"/>
          <w:sz w:val="32"/>
          <w:szCs w:val="32"/>
          <w:rtl/>
        </w:rPr>
        <w:t xml:space="preserve">) </w:t>
      </w:r>
      <w:r>
        <w:rPr>
          <w:rFonts w:ascii="Traditional Arabic" w:hAnsi="Traditional Arabic" w:hint="cs"/>
          <w:sz w:val="32"/>
          <w:szCs w:val="32"/>
          <w:rtl/>
        </w:rPr>
        <w:t>انظر: القواعد الفقهية وتطبيقاتها على المذاهب الأربعة (1/241، 242).</w:t>
      </w:r>
    </w:p>
  </w:footnote>
  <w:footnote w:id="322">
    <w:p w:rsidR="000D3D21" w:rsidRDefault="000D3D21" w:rsidP="004716EF">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اخترت هذه الصيغة لعدة أسباب اجتمعت فيها دون غيرها، منها:</w:t>
      </w:r>
    </w:p>
    <w:p w:rsidR="000D3D21" w:rsidRDefault="000D3D21" w:rsidP="000A76C7">
      <w:pPr>
        <w:pStyle w:val="a7"/>
        <w:pageBreakBefore/>
        <w:numPr>
          <w:ilvl w:val="0"/>
          <w:numId w:val="63"/>
        </w:numPr>
        <w:rPr>
          <w:rFonts w:ascii="Traditional Arabic" w:hAnsi="Traditional Arabic"/>
          <w:sz w:val="32"/>
          <w:szCs w:val="32"/>
          <w:rtl/>
        </w:rPr>
      </w:pPr>
      <w:r>
        <w:rPr>
          <w:rFonts w:ascii="Traditional Arabic" w:hAnsi="Traditional Arabic" w:hint="cs"/>
          <w:sz w:val="32"/>
          <w:szCs w:val="32"/>
          <w:rtl/>
        </w:rPr>
        <w:t>ورود هذه القاعدة بهذه الصيغة في كتاب البيع من الشرح الممتع.</w:t>
      </w:r>
    </w:p>
    <w:p w:rsidR="000D3D21" w:rsidRDefault="000D3D21" w:rsidP="000A76C7">
      <w:pPr>
        <w:pStyle w:val="a7"/>
        <w:pageBreakBefore/>
        <w:numPr>
          <w:ilvl w:val="0"/>
          <w:numId w:val="63"/>
        </w:numPr>
        <w:rPr>
          <w:rFonts w:ascii="Traditional Arabic" w:hAnsi="Traditional Arabic"/>
          <w:sz w:val="32"/>
          <w:szCs w:val="32"/>
        </w:rPr>
      </w:pPr>
      <w:r>
        <w:rPr>
          <w:rFonts w:ascii="Traditional Arabic" w:hAnsi="Traditional Arabic" w:hint="cs"/>
          <w:sz w:val="32"/>
          <w:szCs w:val="32"/>
          <w:rtl/>
        </w:rPr>
        <w:t xml:space="preserve">إن فيها التصريح بمحل التعارض، وأنه يكون بين </w:t>
      </w:r>
      <w:r w:rsidRPr="00C90862">
        <w:rPr>
          <w:rFonts w:ascii="Traditional Arabic" w:hAnsi="Traditional Arabic" w:hint="cs"/>
          <w:sz w:val="32"/>
          <w:szCs w:val="32"/>
          <w:rtl/>
        </w:rPr>
        <w:t>موجب</w:t>
      </w:r>
      <w:r>
        <w:rPr>
          <w:rFonts w:ascii="Traditional Arabic" w:hAnsi="Traditional Arabic" w:hint="cs"/>
          <w:sz w:val="32"/>
          <w:szCs w:val="32"/>
          <w:rtl/>
        </w:rPr>
        <w:t xml:space="preserve"> التحليل (أي:سببه) وموجب التحريم.</w:t>
      </w:r>
    </w:p>
    <w:p w:rsidR="000D3D21" w:rsidRDefault="000D3D21" w:rsidP="000A76C7">
      <w:pPr>
        <w:pStyle w:val="a7"/>
        <w:pageBreakBefore/>
        <w:numPr>
          <w:ilvl w:val="0"/>
          <w:numId w:val="63"/>
        </w:numPr>
        <w:rPr>
          <w:rFonts w:ascii="Traditional Arabic" w:hAnsi="Traditional Arabic"/>
          <w:sz w:val="32"/>
          <w:szCs w:val="32"/>
        </w:rPr>
      </w:pPr>
      <w:r>
        <w:rPr>
          <w:rFonts w:ascii="Traditional Arabic" w:hAnsi="Traditional Arabic" w:hint="cs"/>
          <w:sz w:val="32"/>
          <w:szCs w:val="32"/>
          <w:rtl/>
        </w:rPr>
        <w:t xml:space="preserve">إن فيها ذكر قيد عدم تميز الحلال من الحرام؛ لأنه إذا أمكن تمييز أحدهما من الآخر، اجتُنِب الحرام دون حاجة إلى تَرْك الحلال. </w:t>
      </w:r>
    </w:p>
    <w:p w:rsidR="000D3D21" w:rsidRPr="00C2003A" w:rsidRDefault="000D3D21" w:rsidP="000A76C7">
      <w:pPr>
        <w:pStyle w:val="a7"/>
        <w:pageBreakBefore/>
        <w:numPr>
          <w:ilvl w:val="0"/>
          <w:numId w:val="63"/>
        </w:numPr>
        <w:rPr>
          <w:rFonts w:ascii="Traditional Arabic" w:hAnsi="Traditional Arabic"/>
          <w:sz w:val="32"/>
          <w:szCs w:val="32"/>
        </w:rPr>
      </w:pPr>
      <w:r>
        <w:rPr>
          <w:rFonts w:ascii="Traditional Arabic" w:hAnsi="Traditional Arabic" w:hint="cs"/>
          <w:sz w:val="32"/>
          <w:szCs w:val="32"/>
          <w:rtl/>
        </w:rPr>
        <w:t xml:space="preserve">إن فيها ذكر قيد (التغليب)، وأن تقديم موجب التحريم على موجب التحليل إنما هو من باب التغليب، وقد ذكر الشيخ ابن عثيمين </w:t>
      </w:r>
      <w:r>
        <w:rPr>
          <w:rFonts w:ascii="Traditional Arabic" w:hAnsi="Traditional Arabic" w:cs="CTraditional Arabic" w:hint="cs"/>
          <w:rtl/>
        </w:rPr>
        <w:t>/</w:t>
      </w:r>
      <w:r>
        <w:rPr>
          <w:rFonts w:ascii="Traditional Arabic" w:hAnsi="Traditional Arabic" w:hint="cs"/>
          <w:sz w:val="32"/>
          <w:szCs w:val="32"/>
          <w:rtl/>
        </w:rPr>
        <w:t xml:space="preserve"> أن التغليب طريق شرعي دلت عليه الأدلة الشرعية. انظر الشرح الممتع (8/115)، وشرح منظومة أصول الفقه وقواعده (152، 153)، وشرح رياض الصالحين (3/508)، و(4/426).</w:t>
      </w:r>
    </w:p>
  </w:footnote>
  <w:footnote w:id="323">
    <w:p w:rsidR="000D3D21" w:rsidRPr="00C2003A"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2003A">
        <w:rPr>
          <w:rFonts w:ascii="Traditional Arabic" w:hAnsi="Traditional Arabic"/>
          <w:sz w:val="32"/>
          <w:szCs w:val="32"/>
          <w:rtl/>
        </w:rPr>
        <w:t>الشرح الممتع (1/323)</w:t>
      </w:r>
      <w:r>
        <w:rPr>
          <w:rFonts w:ascii="Traditional Arabic" w:hAnsi="Traditional Arabic" w:hint="cs"/>
          <w:sz w:val="32"/>
          <w:szCs w:val="32"/>
          <w:rtl/>
        </w:rPr>
        <w:t>، ومجموع فتاوى ورسائل ابن عثيمين (11/215).</w:t>
      </w:r>
    </w:p>
  </w:footnote>
  <w:footnote w:id="324">
    <w:p w:rsidR="000D3D21" w:rsidRPr="00C2003A"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C2003A">
        <w:rPr>
          <w:rFonts w:ascii="Traditional Arabic" w:hAnsi="Traditional Arabic"/>
          <w:sz w:val="32"/>
          <w:szCs w:val="32"/>
          <w:rtl/>
        </w:rPr>
        <w:t xml:space="preserve"> (2/213)، و(4/366)، وفتح ذي الجلال والإكرام (3/618، 619)، و(6/33).</w:t>
      </w:r>
    </w:p>
  </w:footnote>
  <w:footnote w:id="325">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انظر الشرح الممتع (4/125)، وشرح منظومة أصول الفقه وقواعده (152).</w:t>
      </w:r>
    </w:p>
  </w:footnote>
  <w:footnote w:id="326">
    <w:p w:rsidR="000D3D21" w:rsidRPr="00C2003A"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شرح الممتع</w:t>
      </w:r>
      <w:r w:rsidRPr="00C2003A">
        <w:rPr>
          <w:rFonts w:ascii="Traditional Arabic" w:hAnsi="Traditional Arabic"/>
          <w:sz w:val="32"/>
          <w:szCs w:val="32"/>
          <w:rtl/>
        </w:rPr>
        <w:t xml:space="preserve"> (4/366).</w:t>
      </w:r>
    </w:p>
  </w:footnote>
  <w:footnote w:id="327">
    <w:p w:rsidR="000D3D21" w:rsidRPr="001E22B3" w:rsidRDefault="000D3D21" w:rsidP="004716EF">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rtl/>
        </w:rPr>
        <w:t xml:space="preserve"> المرجع السابق </w:t>
      </w:r>
      <w:r w:rsidRPr="00C2003A">
        <w:rPr>
          <w:rFonts w:ascii="Traditional Arabic" w:hAnsi="Traditional Arabic"/>
          <w:sz w:val="32"/>
          <w:szCs w:val="32"/>
          <w:rtl/>
        </w:rPr>
        <w:t>(7/144).</w:t>
      </w:r>
    </w:p>
  </w:footnote>
  <w:footnote w:id="328">
    <w:p w:rsidR="000D3D21" w:rsidRPr="00C2003A"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2003A">
        <w:rPr>
          <w:rFonts w:ascii="Traditional Arabic" w:hAnsi="Traditional Arabic"/>
          <w:sz w:val="32"/>
          <w:szCs w:val="32"/>
          <w:rtl/>
        </w:rPr>
        <w:t>المرجع السابق (15/110).</w:t>
      </w:r>
    </w:p>
  </w:footnote>
  <w:footnote w:id="329">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شرح رياض الصالحين (4/426).</w:t>
      </w:r>
    </w:p>
  </w:footnote>
  <w:footnote w:id="330">
    <w:p w:rsidR="000D3D21" w:rsidRPr="00BB7556" w:rsidRDefault="000D3D21" w:rsidP="004716EF">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BB7556">
        <w:rPr>
          <w:rFonts w:ascii="Traditional Arabic" w:hAnsi="Traditional Arabic"/>
          <w:sz w:val="32"/>
          <w:szCs w:val="32"/>
          <w:rtl/>
        </w:rPr>
        <w:t xml:space="preserve"> الأشباه والنظائر لابن نجيم (130)، وغمز عيون البصائر للحموي (1/335، 355)</w:t>
      </w:r>
      <w:r>
        <w:rPr>
          <w:rFonts w:ascii="Traditional Arabic" w:hAnsi="Traditional Arabic" w:hint="cs"/>
          <w:sz w:val="32"/>
          <w:szCs w:val="32"/>
          <w:rtl/>
        </w:rPr>
        <w:t xml:space="preserve">، </w:t>
      </w:r>
      <w:r w:rsidRPr="00BB7556">
        <w:rPr>
          <w:rFonts w:ascii="Traditional Arabic" w:hAnsi="Traditional Arabic"/>
          <w:sz w:val="32"/>
          <w:szCs w:val="32"/>
          <w:rtl/>
        </w:rPr>
        <w:t>ودرر الحكام شرح مجلة الأحكام لعلي حيدر</w:t>
      </w:r>
      <w:r>
        <w:rPr>
          <w:rFonts w:ascii="Traditional Arabic" w:hAnsi="Traditional Arabic" w:hint="cs"/>
          <w:sz w:val="32"/>
          <w:szCs w:val="32"/>
          <w:rtl/>
        </w:rPr>
        <w:t xml:space="preserve"> </w:t>
      </w:r>
      <w:r w:rsidRPr="00BB7556">
        <w:rPr>
          <w:rFonts w:ascii="Traditional Arabic" w:hAnsi="Traditional Arabic"/>
          <w:sz w:val="32"/>
          <w:szCs w:val="32"/>
          <w:rtl/>
        </w:rPr>
        <w:t>(1/52)، وانظر المنثور</w:t>
      </w:r>
      <w:r>
        <w:rPr>
          <w:rFonts w:ascii="Traditional Arabic" w:hAnsi="Traditional Arabic" w:hint="cs"/>
          <w:sz w:val="32"/>
          <w:szCs w:val="32"/>
          <w:rtl/>
        </w:rPr>
        <w:t xml:space="preserve"> للزركشي </w:t>
      </w:r>
      <w:r w:rsidRPr="00BB7556">
        <w:rPr>
          <w:rFonts w:ascii="Traditional Arabic" w:hAnsi="Traditional Arabic"/>
          <w:sz w:val="32"/>
          <w:szCs w:val="32"/>
          <w:rtl/>
        </w:rPr>
        <w:t>(1/348)، والأشباه والنظائر للسيوطي (1/194).</w:t>
      </w:r>
    </w:p>
  </w:footnote>
  <w:footnote w:id="331">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الأشباه والنظائر لابن نجيم(121)، والأشباه والنظائر للسيوطي (1/174).</w:t>
      </w:r>
    </w:p>
  </w:footnote>
  <w:footnote w:id="332">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المنثور</w:t>
      </w:r>
      <w:r>
        <w:rPr>
          <w:rFonts w:ascii="Traditional Arabic" w:hAnsi="Traditional Arabic" w:hint="cs"/>
          <w:sz w:val="32"/>
          <w:szCs w:val="32"/>
          <w:rtl/>
        </w:rPr>
        <w:t xml:space="preserve"> للزركشي </w:t>
      </w:r>
      <w:r w:rsidRPr="00BB7556">
        <w:rPr>
          <w:rFonts w:ascii="Traditional Arabic" w:hAnsi="Traditional Arabic"/>
          <w:sz w:val="32"/>
          <w:szCs w:val="32"/>
          <w:rtl/>
        </w:rPr>
        <w:t>(1/125).</w:t>
      </w:r>
    </w:p>
  </w:footnote>
  <w:footnote w:id="333">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BB7556">
        <w:rPr>
          <w:rFonts w:ascii="Traditional Arabic" w:hAnsi="Traditional Arabic"/>
          <w:sz w:val="32"/>
          <w:szCs w:val="32"/>
          <w:rtl/>
        </w:rPr>
        <w:t xml:space="preserve"> المجمو</w:t>
      </w:r>
      <w:r>
        <w:rPr>
          <w:rFonts w:ascii="Traditional Arabic" w:hAnsi="Traditional Arabic"/>
          <w:sz w:val="32"/>
          <w:szCs w:val="32"/>
          <w:rtl/>
        </w:rPr>
        <w:t>ع المذهب</w:t>
      </w:r>
      <w:r w:rsidRPr="00BB7556">
        <w:rPr>
          <w:rFonts w:ascii="Traditional Arabic" w:hAnsi="Traditional Arabic"/>
          <w:sz w:val="32"/>
          <w:szCs w:val="32"/>
          <w:rtl/>
        </w:rPr>
        <w:t xml:space="preserve"> (1/269)، ومختصر من قواعد العلائي وكلام الأسنوي لابن خطيب الدهشة (2/593)، والقواعد للحصني (2/90).</w:t>
      </w:r>
    </w:p>
  </w:footnote>
  <w:footnote w:id="334">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الأشباه والنظائر لابن نجيم (121)، والأشباه والنظائر لابن السبكي (1/117).</w:t>
      </w:r>
    </w:p>
  </w:footnote>
  <w:footnote w:id="335">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الأشباه والنظائر للسيوطي (1/380).</w:t>
      </w:r>
    </w:p>
  </w:footnote>
  <w:footnote w:id="336">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الأشباه والنظائر لابن نجيم (121).</w:t>
      </w:r>
    </w:p>
  </w:footnote>
  <w:footnote w:id="337">
    <w:p w:rsidR="000D3D21" w:rsidRPr="00C2003A"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موسوعة القواعد</w:t>
      </w:r>
      <w:r w:rsidRPr="00BB7556">
        <w:rPr>
          <w:rFonts w:ascii="Traditional Arabic" w:hAnsi="Traditional Arabic"/>
          <w:sz w:val="32"/>
          <w:szCs w:val="32"/>
          <w:rtl/>
        </w:rPr>
        <w:t xml:space="preserve"> الفقهية للبورنو (1/422).</w:t>
      </w:r>
    </w:p>
  </w:footnote>
  <w:footnote w:id="338">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المرجع السابق.</w:t>
      </w:r>
    </w:p>
  </w:footnote>
  <w:footnote w:id="339">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المرجع السابق</w:t>
      </w:r>
      <w:r w:rsidRPr="00BB7556">
        <w:rPr>
          <w:rFonts w:ascii="Traditional Arabic" w:hAnsi="Traditional Arabic"/>
          <w:sz w:val="32"/>
          <w:szCs w:val="32"/>
          <w:rtl/>
        </w:rPr>
        <w:t>.</w:t>
      </w:r>
    </w:p>
  </w:footnote>
  <w:footnote w:id="340">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المصباح المنير</w:t>
      </w:r>
      <w:r w:rsidRPr="00BB7556">
        <w:rPr>
          <w:rFonts w:ascii="Traditional Arabic" w:hAnsi="Traditional Arabic"/>
          <w:sz w:val="32"/>
          <w:szCs w:val="32"/>
          <w:rtl/>
        </w:rPr>
        <w:t xml:space="preserve"> (531).</w:t>
      </w:r>
    </w:p>
  </w:footnote>
  <w:footnote w:id="341">
    <w:p w:rsidR="000D3D21" w:rsidRPr="00BB7556" w:rsidRDefault="000D3D21" w:rsidP="004716EF">
      <w:pPr>
        <w:pStyle w:val="a7"/>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مقاييس اللغة (2/20).</w:t>
      </w:r>
    </w:p>
  </w:footnote>
  <w:footnote w:id="342">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BB7556">
        <w:rPr>
          <w:rFonts w:ascii="Traditional Arabic" w:hAnsi="Traditional Arabic"/>
          <w:sz w:val="32"/>
          <w:szCs w:val="32"/>
          <w:rtl/>
        </w:rPr>
        <w:t xml:space="preserve"> انظر أساس البلاغة للزمخشري (1/210)</w:t>
      </w:r>
      <w:r>
        <w:rPr>
          <w:rFonts w:ascii="Traditional Arabic" w:hAnsi="Traditional Arabic"/>
          <w:sz w:val="32"/>
          <w:szCs w:val="32"/>
          <w:rtl/>
        </w:rPr>
        <w:t>،</w:t>
      </w:r>
      <w:r w:rsidRPr="00BB7556">
        <w:rPr>
          <w:rFonts w:ascii="Traditional Arabic" w:hAnsi="Traditional Arabic"/>
          <w:sz w:val="32"/>
          <w:szCs w:val="32"/>
          <w:rtl/>
        </w:rPr>
        <w:t xml:space="preserve"> وتاج العروس للزبيدي (28/327).</w:t>
      </w:r>
    </w:p>
  </w:footnote>
  <w:footnote w:id="343">
    <w:p w:rsidR="000D3D21" w:rsidRDefault="000D3D21" w:rsidP="004716EF">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 xml:space="preserve">نهاية السول في شرح منهاج الأصول (4/502). </w:t>
      </w:r>
    </w:p>
    <w:p w:rsidR="000D3D21" w:rsidRPr="001759B5" w:rsidRDefault="000D3D21" w:rsidP="004716EF">
      <w:pPr>
        <w:pStyle w:val="a7"/>
        <w:pageBreakBefore/>
        <w:rPr>
          <w:rFonts w:ascii="Tahoma" w:hAnsi="Tahoma"/>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BB7556">
        <w:rPr>
          <w:rFonts w:ascii="Traditional Arabic" w:hAnsi="Traditional Arabic"/>
          <w:sz w:val="32"/>
          <w:szCs w:val="32"/>
          <w:rtl/>
        </w:rPr>
        <w:t>الواجب يدخل ضمن قاعدة أخرى</w:t>
      </w:r>
      <w:r>
        <w:rPr>
          <w:rFonts w:ascii="Traditional Arabic" w:hAnsi="Traditional Arabic" w:hint="cs"/>
          <w:sz w:val="32"/>
          <w:szCs w:val="32"/>
          <w:rtl/>
        </w:rPr>
        <w:t>،</w:t>
      </w:r>
      <w:r w:rsidRPr="00BB7556">
        <w:rPr>
          <w:rFonts w:ascii="Traditional Arabic" w:hAnsi="Traditional Arabic"/>
          <w:sz w:val="32"/>
          <w:szCs w:val="32"/>
          <w:rtl/>
        </w:rPr>
        <w:t xml:space="preserve"> وهي: (إذا اختلط الواجب والمحرم روعي مصلحة الواجب).انظر: المنثور (1/132)، ومن العلماء من قال بترجيح ترك المحرم على فعل الواجب؛ لأن رعاية درء المفاسد أولى من رعاية حصول المصالح</w:t>
      </w:r>
      <w:r>
        <w:rPr>
          <w:rFonts w:ascii="Traditional Arabic" w:hAnsi="Traditional Arabic"/>
          <w:sz w:val="32"/>
          <w:szCs w:val="32"/>
          <w:rtl/>
        </w:rPr>
        <w:t>.</w:t>
      </w:r>
      <w:r w:rsidRPr="00BB7556">
        <w:rPr>
          <w:rFonts w:ascii="Traditional Arabic" w:hAnsi="Traditional Arabic"/>
          <w:sz w:val="32"/>
          <w:szCs w:val="32"/>
          <w:rtl/>
        </w:rPr>
        <w:t xml:space="preserve"> انظر الفروق للقرافي (4/320).</w:t>
      </w:r>
    </w:p>
  </w:footnote>
  <w:footnote w:id="344">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مقاييس اللغة</w:t>
      </w:r>
      <w:r>
        <w:rPr>
          <w:rFonts w:ascii="Traditional Arabic" w:hAnsi="Traditional Arabic" w:hint="cs"/>
          <w:sz w:val="32"/>
          <w:szCs w:val="32"/>
          <w:rtl/>
        </w:rPr>
        <w:t xml:space="preserve"> </w:t>
      </w:r>
      <w:r w:rsidRPr="00BB7556">
        <w:rPr>
          <w:rFonts w:ascii="Traditional Arabic" w:hAnsi="Traditional Arabic"/>
          <w:sz w:val="32"/>
          <w:szCs w:val="32"/>
          <w:rtl/>
        </w:rPr>
        <w:t>(2/45).</w:t>
      </w:r>
    </w:p>
  </w:footnote>
  <w:footnote w:id="345">
    <w:p w:rsidR="000D3D21" w:rsidRPr="00A422DD" w:rsidRDefault="000D3D21" w:rsidP="004716EF">
      <w:pPr>
        <w:pStyle w:val="a7"/>
        <w:pageBreakBefore/>
        <w:rPr>
          <w:rFonts w:ascii="Tahoma" w:hAnsi="Tahoma"/>
          <w:sz w:val="32"/>
          <w:szCs w:val="32"/>
          <w:rtl/>
        </w:rPr>
      </w:pPr>
      <w:r w:rsidRPr="00A422DD">
        <w:rPr>
          <w:rFonts w:ascii="Tahoma" w:hAnsi="Tahoma"/>
          <w:sz w:val="32"/>
          <w:szCs w:val="32"/>
          <w:rtl/>
        </w:rPr>
        <w:t>(</w:t>
      </w:r>
      <w:r w:rsidRPr="00A422DD">
        <w:rPr>
          <w:rStyle w:val="af1"/>
          <w:rFonts w:ascii="Tahoma" w:hAnsi="Tahoma"/>
          <w:sz w:val="32"/>
          <w:szCs w:val="32"/>
          <w:vertAlign w:val="baseline"/>
          <w:rtl/>
        </w:rPr>
        <w:footnoteRef/>
      </w:r>
      <w:r w:rsidRPr="00A422DD">
        <w:rPr>
          <w:rFonts w:ascii="Tahoma" w:hAnsi="Tahoma"/>
          <w:sz w:val="32"/>
          <w:szCs w:val="32"/>
          <w:rtl/>
        </w:rPr>
        <w:t>)</w:t>
      </w:r>
      <w:r w:rsidRPr="00A422DD">
        <w:rPr>
          <w:rFonts w:ascii="Tahoma" w:hAnsi="Tahoma" w:hint="cs"/>
          <w:sz w:val="32"/>
          <w:szCs w:val="32"/>
          <w:rtl/>
        </w:rPr>
        <w:t xml:space="preserve"> شرح الكوكب المنير (1/341)</w:t>
      </w:r>
      <w:r>
        <w:rPr>
          <w:rFonts w:ascii="Tahoma" w:hAnsi="Tahoma" w:hint="cs"/>
          <w:sz w:val="32"/>
          <w:szCs w:val="32"/>
          <w:rtl/>
        </w:rPr>
        <w:t xml:space="preserve"> </w:t>
      </w:r>
      <w:r w:rsidRPr="00A422DD">
        <w:rPr>
          <w:rFonts w:ascii="Tahoma" w:hAnsi="Tahoma" w:hint="cs"/>
          <w:sz w:val="32"/>
          <w:szCs w:val="32"/>
          <w:rtl/>
        </w:rPr>
        <w:t>بتصرف.</w:t>
      </w:r>
    </w:p>
  </w:footnote>
  <w:footnote w:id="346">
    <w:p w:rsidR="000D3D21" w:rsidRPr="00273DC6" w:rsidRDefault="000D3D21" w:rsidP="004716EF">
      <w:pPr>
        <w:pStyle w:val="a7"/>
        <w:pageBreakBefore/>
        <w:rPr>
          <w:rFonts w:ascii="Tahoma" w:hAnsi="Tahoma"/>
          <w:sz w:val="32"/>
          <w:szCs w:val="32"/>
        </w:rPr>
      </w:pPr>
      <w:r w:rsidRPr="00273DC6">
        <w:rPr>
          <w:rFonts w:ascii="Tahoma" w:hAnsi="Tahoma"/>
          <w:sz w:val="32"/>
          <w:szCs w:val="32"/>
          <w:rtl/>
        </w:rPr>
        <w:t>(</w:t>
      </w:r>
      <w:r w:rsidRPr="00273DC6">
        <w:rPr>
          <w:rStyle w:val="af1"/>
          <w:rFonts w:ascii="Tahoma" w:hAnsi="Tahoma"/>
          <w:sz w:val="32"/>
          <w:szCs w:val="32"/>
          <w:vertAlign w:val="baseline"/>
          <w:rtl/>
        </w:rPr>
        <w:footnoteRef/>
      </w:r>
      <w:r w:rsidRPr="00273DC6">
        <w:rPr>
          <w:rFonts w:ascii="Tahoma" w:hAnsi="Tahoma"/>
          <w:sz w:val="32"/>
          <w:szCs w:val="32"/>
          <w:rtl/>
        </w:rPr>
        <w:t>)</w:t>
      </w:r>
      <w:r w:rsidRPr="00273DC6">
        <w:rPr>
          <w:rFonts w:ascii="Tahoma" w:hAnsi="Tahoma" w:hint="cs"/>
          <w:sz w:val="32"/>
          <w:szCs w:val="32"/>
          <w:rtl/>
        </w:rPr>
        <w:t xml:space="preserve"> القواعد الفقهية للندوي (309).</w:t>
      </w:r>
    </w:p>
  </w:footnote>
  <w:footnote w:id="347">
    <w:p w:rsidR="000D3D21" w:rsidRPr="00BB7556" w:rsidRDefault="000D3D21" w:rsidP="004716EF">
      <w:pPr>
        <w:pStyle w:val="a7"/>
        <w:spacing w:line="440" w:lineRule="exact"/>
        <w:ind w:left="510" w:hanging="510"/>
        <w:jc w:val="lowKashida"/>
        <w:rPr>
          <w:rFonts w:ascii="Traditional Arabic" w:hAnsi="Traditional Arabic"/>
          <w:b/>
          <w:bCs/>
          <w:sz w:val="32"/>
          <w:szCs w:val="32"/>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sidRPr="00BB7556">
        <w:rPr>
          <w:rFonts w:ascii="Traditional Arabic" w:hAnsi="Traditional Arabic"/>
          <w:sz w:val="32"/>
          <w:szCs w:val="32"/>
          <w:rtl/>
        </w:rPr>
        <w:t xml:space="preserve"> الشرح الممتع (2/214).</w:t>
      </w:r>
      <w:r w:rsidRPr="00BB7556">
        <w:rPr>
          <w:rFonts w:ascii="Traditional Arabic" w:hAnsi="Traditional Arabic"/>
          <w:b/>
          <w:bCs/>
          <w:sz w:val="32"/>
          <w:szCs w:val="32"/>
          <w:rtl/>
        </w:rPr>
        <w:tab/>
      </w:r>
    </w:p>
  </w:footnote>
  <w:footnote w:id="348">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انظر القواعد المشتركة بين أصول الفقه و</w:t>
      </w:r>
      <w:r>
        <w:rPr>
          <w:rFonts w:ascii="Traditional Arabic" w:hAnsi="Traditional Arabic" w:hint="cs"/>
          <w:sz w:val="32"/>
          <w:szCs w:val="32"/>
          <w:rtl/>
        </w:rPr>
        <w:t>ال</w:t>
      </w:r>
      <w:r>
        <w:rPr>
          <w:rFonts w:ascii="Traditional Arabic" w:hAnsi="Traditional Arabic"/>
          <w:sz w:val="32"/>
          <w:szCs w:val="32"/>
          <w:rtl/>
        </w:rPr>
        <w:t>قواعد الفق</w:t>
      </w:r>
      <w:r>
        <w:rPr>
          <w:rFonts w:ascii="Traditional Arabic" w:hAnsi="Traditional Arabic" w:hint="cs"/>
          <w:sz w:val="32"/>
          <w:szCs w:val="32"/>
          <w:rtl/>
        </w:rPr>
        <w:t>هي</w:t>
      </w:r>
      <w:r>
        <w:rPr>
          <w:rFonts w:ascii="Traditional Arabic" w:hAnsi="Traditional Arabic"/>
          <w:sz w:val="32"/>
          <w:szCs w:val="32"/>
          <w:rtl/>
        </w:rPr>
        <w:t>ه ل</w:t>
      </w:r>
      <w:r>
        <w:rPr>
          <w:rFonts w:ascii="Traditional Arabic" w:hAnsi="Traditional Arabic" w:hint="cs"/>
          <w:sz w:val="32"/>
          <w:szCs w:val="32"/>
          <w:rtl/>
        </w:rPr>
        <w:t xml:space="preserve">سليمان بن سليم الله </w:t>
      </w:r>
      <w:r w:rsidRPr="00BB7556">
        <w:rPr>
          <w:rFonts w:ascii="Traditional Arabic" w:hAnsi="Traditional Arabic"/>
          <w:sz w:val="32"/>
          <w:szCs w:val="32"/>
          <w:rtl/>
        </w:rPr>
        <w:t>الرحيلي (2/236).</w:t>
      </w:r>
    </w:p>
  </w:footnote>
  <w:footnote w:id="349">
    <w:p w:rsidR="000D3D21" w:rsidRPr="00BB7556" w:rsidRDefault="000D3D21" w:rsidP="004716EF">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B7556">
        <w:rPr>
          <w:rFonts w:ascii="Traditional Arabic" w:hAnsi="Traditional Arabic"/>
          <w:sz w:val="32"/>
          <w:szCs w:val="32"/>
          <w:rtl/>
        </w:rPr>
        <w:t>أما إذا أمكن التمييز بينهما فلا حرج حينئذٍ من العمل بالتمييز</w:t>
      </w:r>
      <w:r>
        <w:rPr>
          <w:rFonts w:ascii="Traditional Arabic" w:hAnsi="Traditional Arabic"/>
          <w:sz w:val="32"/>
          <w:szCs w:val="32"/>
          <w:rtl/>
        </w:rPr>
        <w:t>،</w:t>
      </w:r>
      <w:r w:rsidRPr="00BB7556">
        <w:rPr>
          <w:rFonts w:ascii="Traditional Arabic" w:hAnsi="Traditional Arabic"/>
          <w:sz w:val="32"/>
          <w:szCs w:val="32"/>
          <w:rtl/>
        </w:rPr>
        <w:t xml:space="preserve"> كما لو مرَّ الإنسان بجَمْعٍ فيه مسلمون وكفار، فهنا قد اجتمع سببان : مبيح</w:t>
      </w:r>
      <w:r>
        <w:rPr>
          <w:rFonts w:ascii="Traditional Arabic" w:hAnsi="Traditional Arabic"/>
          <w:sz w:val="32"/>
          <w:szCs w:val="32"/>
          <w:rtl/>
        </w:rPr>
        <w:t>،</w:t>
      </w:r>
      <w:r w:rsidRPr="00BB7556">
        <w:rPr>
          <w:rFonts w:ascii="Traditional Arabic" w:hAnsi="Traditional Arabic"/>
          <w:sz w:val="32"/>
          <w:szCs w:val="32"/>
          <w:rtl/>
        </w:rPr>
        <w:t xml:space="preserve"> وحاظر</w:t>
      </w:r>
      <w:r>
        <w:rPr>
          <w:rFonts w:ascii="Traditional Arabic" w:hAnsi="Traditional Arabic"/>
          <w:sz w:val="32"/>
          <w:szCs w:val="32"/>
          <w:rtl/>
        </w:rPr>
        <w:t>،</w:t>
      </w:r>
      <w:r w:rsidRPr="00BB7556">
        <w:rPr>
          <w:rFonts w:ascii="Traditional Arabic" w:hAnsi="Traditional Arabic"/>
          <w:sz w:val="32"/>
          <w:szCs w:val="32"/>
          <w:rtl/>
        </w:rPr>
        <w:t xml:space="preserve"> فالمبيح : وهم المسلمون</w:t>
      </w:r>
      <w:r>
        <w:rPr>
          <w:rFonts w:ascii="Traditional Arabic" w:hAnsi="Traditional Arabic"/>
          <w:sz w:val="32"/>
          <w:szCs w:val="32"/>
          <w:rtl/>
        </w:rPr>
        <w:t>،</w:t>
      </w:r>
      <w:r w:rsidRPr="00BB7556">
        <w:rPr>
          <w:rFonts w:ascii="Traditional Arabic" w:hAnsi="Traditional Arabic"/>
          <w:sz w:val="32"/>
          <w:szCs w:val="32"/>
          <w:rtl/>
        </w:rPr>
        <w:t xml:space="preserve"> والحاظر</w:t>
      </w:r>
      <w:r>
        <w:rPr>
          <w:rFonts w:ascii="Traditional Arabic" w:hAnsi="Traditional Arabic" w:hint="cs"/>
          <w:sz w:val="32"/>
          <w:szCs w:val="32"/>
          <w:rtl/>
        </w:rPr>
        <w:t>ُ</w:t>
      </w:r>
      <w:r w:rsidRPr="00BB7556">
        <w:rPr>
          <w:rFonts w:ascii="Traditional Arabic" w:hAnsi="Traditional Arabic"/>
          <w:sz w:val="32"/>
          <w:szCs w:val="32"/>
          <w:rtl/>
        </w:rPr>
        <w:t xml:space="preserve"> المانع</w:t>
      </w:r>
      <w:r>
        <w:rPr>
          <w:rFonts w:ascii="Traditional Arabic" w:hAnsi="Traditional Arabic" w:hint="cs"/>
          <w:sz w:val="32"/>
          <w:szCs w:val="32"/>
          <w:rtl/>
        </w:rPr>
        <w:t>ُ</w:t>
      </w:r>
      <w:r>
        <w:rPr>
          <w:rFonts w:ascii="Traditional Arabic" w:hAnsi="Traditional Arabic"/>
          <w:sz w:val="32"/>
          <w:szCs w:val="32"/>
          <w:rtl/>
        </w:rPr>
        <w:t xml:space="preserve"> : وهم الكفار</w:t>
      </w:r>
      <w:r w:rsidRPr="00BB7556">
        <w:rPr>
          <w:rFonts w:ascii="Traditional Arabic" w:hAnsi="Traditional Arabic"/>
          <w:sz w:val="32"/>
          <w:szCs w:val="32"/>
          <w:rtl/>
        </w:rPr>
        <w:t>، فهنا يمكن التمييز بأن يسلِّم وينوي ذلك السلام على المسلمين.</w:t>
      </w:r>
      <w:r>
        <w:rPr>
          <w:rFonts w:ascii="Traditional Arabic" w:hAnsi="Traditional Arabic" w:hint="cs"/>
          <w:sz w:val="32"/>
          <w:szCs w:val="32"/>
          <w:rtl/>
        </w:rPr>
        <w:t xml:space="preserve"> </w:t>
      </w:r>
      <w:r w:rsidRPr="00BB7556">
        <w:rPr>
          <w:rFonts w:ascii="Traditional Arabic" w:hAnsi="Traditional Arabic"/>
          <w:sz w:val="32"/>
          <w:szCs w:val="32"/>
          <w:rtl/>
        </w:rPr>
        <w:t>انظر شرح رياض الصالحين (3/508)، و(4/426).</w:t>
      </w:r>
    </w:p>
  </w:footnote>
  <w:footnote w:id="350">
    <w:p w:rsidR="000D3D21" w:rsidRPr="00BB7556" w:rsidRDefault="000D3D21" w:rsidP="004716E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الشرح الممتع (2/214)، و</w:t>
      </w:r>
      <w:r w:rsidRPr="00BB7556">
        <w:rPr>
          <w:rFonts w:ascii="Traditional Arabic" w:hAnsi="Traditional Arabic"/>
          <w:sz w:val="32"/>
          <w:szCs w:val="32"/>
          <w:rtl/>
        </w:rPr>
        <w:t>(7/144)، و</w:t>
      </w:r>
      <w:r>
        <w:rPr>
          <w:rFonts w:ascii="Traditional Arabic" w:hAnsi="Traditional Arabic" w:hint="cs"/>
          <w:sz w:val="32"/>
          <w:szCs w:val="32"/>
          <w:rtl/>
        </w:rPr>
        <w:t>(15/27، 110</w:t>
      </w:r>
      <w:r w:rsidRPr="00BB7556">
        <w:rPr>
          <w:rFonts w:ascii="Traditional Arabic" w:hAnsi="Traditional Arabic"/>
          <w:sz w:val="32"/>
          <w:szCs w:val="32"/>
          <w:rtl/>
        </w:rPr>
        <w:t>)، وشرح منظومة أصول الفقه وقواعده</w:t>
      </w:r>
      <w:r>
        <w:rPr>
          <w:rFonts w:ascii="Traditional Arabic" w:hAnsi="Traditional Arabic" w:hint="cs"/>
          <w:sz w:val="32"/>
          <w:szCs w:val="32"/>
          <w:rtl/>
        </w:rPr>
        <w:t xml:space="preserve"> </w:t>
      </w:r>
      <w:r w:rsidRPr="00BB7556">
        <w:rPr>
          <w:rFonts w:ascii="Traditional Arabic" w:hAnsi="Traditional Arabic"/>
          <w:sz w:val="32"/>
          <w:szCs w:val="32"/>
          <w:rtl/>
        </w:rPr>
        <w:t>(152، 153)</w:t>
      </w:r>
      <w:r>
        <w:rPr>
          <w:rFonts w:ascii="Traditional Arabic" w:hAnsi="Traditional Arabic" w:hint="cs"/>
          <w:sz w:val="32"/>
          <w:szCs w:val="32"/>
          <w:rtl/>
        </w:rPr>
        <w:t>، وشرح رياض الصالحين (3/508)</w:t>
      </w:r>
      <w:r w:rsidRPr="00BB7556">
        <w:rPr>
          <w:rFonts w:ascii="Traditional Arabic" w:hAnsi="Traditional Arabic"/>
          <w:sz w:val="32"/>
          <w:szCs w:val="32"/>
          <w:rtl/>
        </w:rPr>
        <w:t>.</w:t>
      </w:r>
    </w:p>
  </w:footnote>
  <w:footnote w:id="351">
    <w:p w:rsidR="000D3D21" w:rsidRPr="00BB7556" w:rsidRDefault="000D3D21" w:rsidP="004716EF">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عطية بن عروة السعدي</w:t>
      </w:r>
      <w:r w:rsidR="00AB0B9E">
        <w:rPr>
          <w:rFonts w:ascii="Traditional Arabic" w:hAnsi="Traditional Arabic"/>
          <w:sz w:val="32"/>
          <w:szCs w:val="32"/>
          <w:rtl/>
        </w:rPr>
        <w:fldChar w:fldCharType="begin"/>
      </w:r>
      <w:r>
        <w:rPr>
          <w:rFonts w:ascii="Traditional Arabic" w:hAnsi="Traditional Arabic"/>
          <w:sz w:val="32"/>
          <w:szCs w:val="32"/>
        </w:rPr>
        <w:instrText>XE "</w:instrText>
      </w:r>
      <w:r w:rsidRPr="0041304C">
        <w:rPr>
          <w:rFonts w:ascii="Traditional Arabic" w:hAnsi="Traditional Arabic"/>
          <w:rtl/>
        </w:rPr>
        <w:instrText>عطية بن عروة السعدي</w:instrText>
      </w:r>
      <w:r>
        <w:instrText>"\fa"</w:instrText>
      </w:r>
      <w:r w:rsidR="00AB0B9E">
        <w:rPr>
          <w:rFonts w:ascii="Traditional Arabic" w:hAnsi="Traditional Arabic"/>
          <w:sz w:val="32"/>
          <w:szCs w:val="32"/>
          <w:rtl/>
        </w:rPr>
        <w:fldChar w:fldCharType="end"/>
      </w:r>
      <w:r w:rsidRPr="00BB7556">
        <w:rPr>
          <w:rFonts w:ascii="Traditional Arabic" w:hAnsi="Traditional Arabic"/>
          <w:sz w:val="32"/>
          <w:szCs w:val="32"/>
          <w:rtl/>
        </w:rPr>
        <w:t xml:space="preserve">، من </w:t>
      </w:r>
      <w:r>
        <w:rPr>
          <w:rFonts w:ascii="Traditional Arabic" w:hAnsi="Traditional Arabic" w:hint="cs"/>
          <w:sz w:val="32"/>
          <w:szCs w:val="32"/>
          <w:rtl/>
        </w:rPr>
        <w:t xml:space="preserve">بني </w:t>
      </w:r>
      <w:r>
        <w:rPr>
          <w:rFonts w:ascii="Traditional Arabic" w:hAnsi="Traditional Arabic"/>
          <w:sz w:val="32"/>
          <w:szCs w:val="32"/>
          <w:rtl/>
        </w:rPr>
        <w:t>س</w:t>
      </w:r>
      <w:r>
        <w:rPr>
          <w:rFonts w:ascii="Traditional Arabic" w:hAnsi="Traditional Arabic" w:hint="cs"/>
          <w:sz w:val="32"/>
          <w:szCs w:val="32"/>
          <w:rtl/>
        </w:rPr>
        <w:t>َ</w:t>
      </w:r>
      <w:r>
        <w:rPr>
          <w:rFonts w:ascii="Traditional Arabic" w:hAnsi="Traditional Arabic"/>
          <w:sz w:val="32"/>
          <w:szCs w:val="32"/>
          <w:rtl/>
        </w:rPr>
        <w:t>ع</w:t>
      </w:r>
      <w:r>
        <w:rPr>
          <w:rFonts w:ascii="Traditional Arabic" w:hAnsi="Traditional Arabic" w:hint="cs"/>
          <w:sz w:val="32"/>
          <w:szCs w:val="32"/>
          <w:rtl/>
        </w:rPr>
        <w:t>ْ</w:t>
      </w:r>
      <w:r>
        <w:rPr>
          <w:rFonts w:ascii="Traditional Arabic" w:hAnsi="Traditional Arabic"/>
          <w:sz w:val="32"/>
          <w:szCs w:val="32"/>
          <w:rtl/>
        </w:rPr>
        <w:t>د</w:t>
      </w:r>
      <w:r>
        <w:rPr>
          <w:rFonts w:ascii="Traditional Arabic" w:hAnsi="Traditional Arabic" w:hint="cs"/>
          <w:sz w:val="32"/>
          <w:szCs w:val="32"/>
          <w:rtl/>
        </w:rPr>
        <w:t>ِ</w:t>
      </w:r>
      <w:r>
        <w:rPr>
          <w:rFonts w:ascii="Traditional Arabic" w:hAnsi="Traditional Arabic"/>
          <w:sz w:val="32"/>
          <w:szCs w:val="32"/>
          <w:rtl/>
        </w:rPr>
        <w:t xml:space="preserve"> بن بكر،</w:t>
      </w:r>
      <w:r>
        <w:rPr>
          <w:rFonts w:ascii="Traditional Arabic" w:hAnsi="Traditional Arabic" w:hint="cs"/>
          <w:sz w:val="32"/>
          <w:szCs w:val="32"/>
          <w:rtl/>
        </w:rPr>
        <w:t xml:space="preserve"> يكنى أبامحمد، نزل الشام، و</w:t>
      </w:r>
      <w:r w:rsidRPr="00BB7556">
        <w:rPr>
          <w:rFonts w:ascii="Traditional Arabic" w:hAnsi="Traditional Arabic"/>
          <w:sz w:val="32"/>
          <w:szCs w:val="32"/>
          <w:rtl/>
        </w:rPr>
        <w:t>له أحاديث</w:t>
      </w:r>
      <w:r>
        <w:rPr>
          <w:rFonts w:ascii="Traditional Arabic" w:hAnsi="Traditional Arabic" w:hint="cs"/>
          <w:sz w:val="32"/>
          <w:szCs w:val="32"/>
          <w:rtl/>
        </w:rPr>
        <w:t>، وحديثه عند أولاده، كما روى عنه أهل اليمن وأهل الشام</w:t>
      </w:r>
      <w:r>
        <w:rPr>
          <w:rFonts w:ascii="Traditional Arabic" w:hAnsi="Traditional Arabic"/>
          <w:sz w:val="32"/>
          <w:szCs w:val="32"/>
          <w:rtl/>
        </w:rPr>
        <w:t>.</w:t>
      </w:r>
      <w:r w:rsidRPr="00BB7556">
        <w:rPr>
          <w:rFonts w:ascii="Traditional Arabic" w:hAnsi="Traditional Arabic"/>
          <w:sz w:val="32"/>
          <w:szCs w:val="32"/>
          <w:rtl/>
        </w:rPr>
        <w:t xml:space="preserve"> انظر في ترجمته</w:t>
      </w:r>
      <w:r>
        <w:rPr>
          <w:rFonts w:ascii="Traditional Arabic" w:hAnsi="Traditional Arabic"/>
          <w:sz w:val="32"/>
          <w:szCs w:val="32"/>
          <w:rtl/>
        </w:rPr>
        <w:t xml:space="preserve"> :</w:t>
      </w:r>
      <w:r>
        <w:rPr>
          <w:rFonts w:ascii="Traditional Arabic" w:hAnsi="Traditional Arabic" w:hint="cs"/>
          <w:sz w:val="32"/>
          <w:szCs w:val="32"/>
          <w:rtl/>
        </w:rPr>
        <w:t>الثقات لابن حبان (3/307)، و</w:t>
      </w:r>
      <w:r>
        <w:rPr>
          <w:rFonts w:ascii="Traditional Arabic" w:hAnsi="Traditional Arabic"/>
          <w:sz w:val="32"/>
          <w:szCs w:val="32"/>
          <w:rtl/>
        </w:rPr>
        <w:t>الاستيع</w:t>
      </w:r>
      <w:r>
        <w:rPr>
          <w:rFonts w:ascii="Traditional Arabic" w:hAnsi="Traditional Arabic" w:hint="cs"/>
          <w:sz w:val="32"/>
          <w:szCs w:val="32"/>
          <w:rtl/>
        </w:rPr>
        <w:t>ا</w:t>
      </w:r>
      <w:r w:rsidRPr="00BB7556">
        <w:rPr>
          <w:rFonts w:ascii="Traditional Arabic" w:hAnsi="Traditional Arabic"/>
          <w:sz w:val="32"/>
          <w:szCs w:val="32"/>
          <w:rtl/>
        </w:rPr>
        <w:t>ب (3/1070-1071)، وأسد الغابة (3/541-542)</w:t>
      </w:r>
      <w:r>
        <w:rPr>
          <w:rFonts w:ascii="Traditional Arabic" w:hAnsi="Traditional Arabic"/>
          <w:sz w:val="32"/>
          <w:szCs w:val="32"/>
          <w:rtl/>
        </w:rPr>
        <w:t>،</w:t>
      </w:r>
      <w:r w:rsidRPr="00BB7556">
        <w:rPr>
          <w:rFonts w:ascii="Traditional Arabic" w:hAnsi="Traditional Arabic"/>
          <w:sz w:val="32"/>
          <w:szCs w:val="32"/>
          <w:rtl/>
        </w:rPr>
        <w:t xml:space="preserve"> والإصابة</w:t>
      </w:r>
      <w:r>
        <w:rPr>
          <w:rFonts w:ascii="Traditional Arabic" w:hAnsi="Traditional Arabic" w:hint="cs"/>
          <w:sz w:val="32"/>
          <w:szCs w:val="32"/>
          <w:rtl/>
        </w:rPr>
        <w:t xml:space="preserve"> </w:t>
      </w:r>
      <w:r w:rsidRPr="00BB7556">
        <w:rPr>
          <w:rFonts w:ascii="Traditional Arabic" w:hAnsi="Traditional Arabic"/>
          <w:sz w:val="32"/>
          <w:szCs w:val="32"/>
          <w:rtl/>
        </w:rPr>
        <w:t>(7/189).</w:t>
      </w:r>
    </w:p>
  </w:footnote>
  <w:footnote w:id="352">
    <w:p w:rsidR="000D3D21" w:rsidRPr="00BB7556" w:rsidRDefault="000D3D21" w:rsidP="004716EF">
      <w:pPr>
        <w:pStyle w:val="a7"/>
        <w:spacing w:line="440" w:lineRule="exact"/>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r>
      <w:r w:rsidRPr="00BB7556">
        <w:rPr>
          <w:rFonts w:ascii="Traditional Arabic" w:hAnsi="Traditional Arabic"/>
          <w:sz w:val="32"/>
          <w:szCs w:val="32"/>
          <w:rtl/>
        </w:rPr>
        <w:t xml:space="preserve">أخرجه الترمذي في كتاب صفة القيامة والرقائق والورع عن رسول الله </w:t>
      </w:r>
      <w:r>
        <w:rPr>
          <w:rFonts w:ascii="Traditional Arabic" w:hAnsi="Traditional Arabic" w:cs="CTraditional Arabic" w:hint="cs"/>
          <w:noProof w:val="0"/>
          <w:color w:val="auto"/>
          <w:rtl/>
          <w:lang w:eastAsia="en-US"/>
        </w:rPr>
        <w:t>غ</w:t>
      </w:r>
      <w:r w:rsidRPr="00BB7556">
        <w:rPr>
          <w:rFonts w:ascii="Traditional Arabic" w:hAnsi="Traditional Arabic"/>
          <w:sz w:val="32"/>
          <w:szCs w:val="32"/>
          <w:rtl/>
        </w:rPr>
        <w:t>، رقم الحديث (2451)،</w:t>
      </w:r>
      <w:r>
        <w:rPr>
          <w:rFonts w:ascii="Traditional Arabic" w:hAnsi="Traditional Arabic" w:hint="cs"/>
          <w:sz w:val="32"/>
          <w:szCs w:val="32"/>
          <w:rtl/>
        </w:rPr>
        <w:t xml:space="preserve"> </w:t>
      </w:r>
      <w:r w:rsidRPr="00BB7556">
        <w:rPr>
          <w:rFonts w:ascii="Traditional Arabic" w:hAnsi="Traditional Arabic"/>
          <w:sz w:val="32"/>
          <w:szCs w:val="32"/>
          <w:rtl/>
        </w:rPr>
        <w:t>وابن ماجه في كتاب الزهد، باب الورع والتقوى، رقم الحديث (4215). والحديث ضعفه الألباني في ضعيف سنن الترمذي (237).</w:t>
      </w:r>
    </w:p>
  </w:footnote>
  <w:footnote w:id="353">
    <w:p w:rsidR="000D3D21" w:rsidRPr="00C524F7" w:rsidRDefault="000D3D21" w:rsidP="004716EF">
      <w:pPr>
        <w:pStyle w:val="a7"/>
        <w:spacing w:line="440" w:lineRule="exact"/>
        <w:ind w:left="510" w:hanging="510"/>
        <w:jc w:val="lowKashida"/>
        <w:rPr>
          <w:rFonts w:ascii="Lotus Linotype" w:hAnsi="Lotus Linotype" w:cs="Lotus Linotype"/>
          <w:b/>
          <w:bCs/>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sidRPr="00BB7556">
        <w:rPr>
          <w:rFonts w:ascii="Traditional Arabic" w:hAnsi="Traditional Arabic"/>
          <w:sz w:val="32"/>
          <w:szCs w:val="32"/>
          <w:rtl/>
        </w:rPr>
        <w:tab/>
        <w:t>شرح رياض الصالحين (3/</w:t>
      </w:r>
      <w:r>
        <w:rPr>
          <w:rFonts w:ascii="Traditional Arabic" w:hAnsi="Traditional Arabic"/>
          <w:sz w:val="32"/>
          <w:szCs w:val="32"/>
          <w:rtl/>
        </w:rPr>
        <w:t>508)</w:t>
      </w:r>
      <w:r>
        <w:rPr>
          <w:rFonts w:ascii="Traditional Arabic" w:hAnsi="Traditional Arabic" w:hint="cs"/>
          <w:sz w:val="32"/>
          <w:szCs w:val="32"/>
          <w:rtl/>
        </w:rPr>
        <w:t>.</w:t>
      </w:r>
    </w:p>
  </w:footnote>
  <w:footnote w:id="354">
    <w:p w:rsidR="000D3D21" w:rsidRPr="00067951" w:rsidRDefault="000D3D21" w:rsidP="004716EF">
      <w:pPr>
        <w:pStyle w:val="a7"/>
        <w:spacing w:line="440" w:lineRule="exact"/>
        <w:ind w:left="510" w:hanging="510"/>
        <w:jc w:val="lowKashida"/>
        <w:rPr>
          <w:rFonts w:ascii="Traditional Arabic" w:hAnsi="Traditional Arabic"/>
          <w:sz w:val="32"/>
          <w:szCs w:val="32"/>
          <w:rtl/>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sidRPr="00067951">
        <w:rPr>
          <w:rFonts w:ascii="Traditional Arabic" w:hAnsi="Traditional Arabic"/>
          <w:sz w:val="32"/>
          <w:szCs w:val="32"/>
          <w:rtl/>
        </w:rPr>
        <w:tab/>
      </w:r>
      <w:r>
        <w:rPr>
          <w:rFonts w:ascii="Traditional Arabic" w:hAnsi="Traditional Arabic"/>
          <w:sz w:val="32"/>
          <w:szCs w:val="32"/>
          <w:rtl/>
        </w:rPr>
        <w:t>أخرجه البخاري في : كتاب الإيمان</w:t>
      </w:r>
      <w:r w:rsidRPr="00067951">
        <w:rPr>
          <w:rFonts w:ascii="Traditional Arabic" w:hAnsi="Traditional Arabic"/>
          <w:sz w:val="32"/>
          <w:szCs w:val="32"/>
          <w:rtl/>
        </w:rPr>
        <w:t>، باب ف</w:t>
      </w:r>
      <w:r>
        <w:rPr>
          <w:rFonts w:ascii="Traditional Arabic" w:hAnsi="Traditional Arabic"/>
          <w:sz w:val="32"/>
          <w:szCs w:val="32"/>
          <w:rtl/>
        </w:rPr>
        <w:t>ضل من استبرأ لدينه،</w:t>
      </w:r>
      <w:r>
        <w:rPr>
          <w:rFonts w:ascii="Traditional Arabic" w:hAnsi="Traditional Arabic" w:hint="cs"/>
          <w:sz w:val="32"/>
          <w:szCs w:val="32"/>
          <w:rtl/>
        </w:rPr>
        <w:t xml:space="preserve"> </w:t>
      </w:r>
      <w:r>
        <w:rPr>
          <w:rFonts w:ascii="Traditional Arabic" w:hAnsi="Traditional Arabic"/>
          <w:sz w:val="32"/>
          <w:szCs w:val="32"/>
          <w:rtl/>
        </w:rPr>
        <w:t xml:space="preserve">رقم </w:t>
      </w:r>
      <w:r>
        <w:rPr>
          <w:rFonts w:ascii="Traditional Arabic" w:hAnsi="Traditional Arabic" w:hint="cs"/>
          <w:sz w:val="32"/>
          <w:szCs w:val="32"/>
          <w:rtl/>
        </w:rPr>
        <w:t xml:space="preserve">الحديث </w:t>
      </w:r>
      <w:r>
        <w:rPr>
          <w:rFonts w:ascii="Traditional Arabic" w:hAnsi="Traditional Arabic"/>
          <w:sz w:val="32"/>
          <w:szCs w:val="32"/>
          <w:rtl/>
        </w:rPr>
        <w:t>(52)</w:t>
      </w:r>
      <w:r>
        <w:rPr>
          <w:rFonts w:ascii="Traditional Arabic" w:hAnsi="Traditional Arabic" w:hint="cs"/>
          <w:sz w:val="32"/>
          <w:szCs w:val="32"/>
          <w:rtl/>
        </w:rPr>
        <w:t xml:space="preserve">، </w:t>
      </w:r>
      <w:r w:rsidRPr="00067951">
        <w:rPr>
          <w:rFonts w:ascii="Traditional Arabic" w:hAnsi="Traditional Arabic"/>
          <w:sz w:val="32"/>
          <w:szCs w:val="32"/>
          <w:rtl/>
        </w:rPr>
        <w:t>ومسلم في</w:t>
      </w:r>
    </w:p>
    <w:p w:rsidR="000D3D21" w:rsidRPr="00C524F7" w:rsidRDefault="000D3D21" w:rsidP="004716EF">
      <w:pPr>
        <w:pStyle w:val="a7"/>
        <w:spacing w:line="440" w:lineRule="exact"/>
        <w:jc w:val="lowKashida"/>
        <w:rPr>
          <w:rFonts w:ascii="Lotus Linotype" w:hAnsi="Lotus Linotype" w:cs="Lotus Linotype"/>
          <w:b/>
          <w:bCs/>
          <w:rtl/>
        </w:rPr>
      </w:pPr>
      <w:r w:rsidRPr="00067951">
        <w:rPr>
          <w:rFonts w:ascii="Traditional Arabic" w:hAnsi="Traditional Arabic"/>
          <w:sz w:val="32"/>
          <w:szCs w:val="32"/>
          <w:rtl/>
        </w:rPr>
        <w:t>كتاب المساقاة</w:t>
      </w:r>
      <w:r>
        <w:rPr>
          <w:rFonts w:ascii="Traditional Arabic" w:hAnsi="Traditional Arabic" w:hint="cs"/>
          <w:sz w:val="32"/>
          <w:szCs w:val="32"/>
          <w:rtl/>
        </w:rPr>
        <w:t xml:space="preserve"> والمزارعة</w:t>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باب أخذ الحلال وترك الشبهات</w:t>
      </w:r>
      <w:r w:rsidRPr="00067951">
        <w:rPr>
          <w:rFonts w:ascii="Traditional Arabic" w:hAnsi="Traditional Arabic"/>
          <w:sz w:val="32"/>
          <w:szCs w:val="32"/>
          <w:rtl/>
        </w:rPr>
        <w:t xml:space="preserve">، رقم </w:t>
      </w:r>
      <w:r>
        <w:rPr>
          <w:rFonts w:ascii="Traditional Arabic" w:hAnsi="Traditional Arabic" w:hint="cs"/>
          <w:sz w:val="32"/>
          <w:szCs w:val="32"/>
          <w:rtl/>
        </w:rPr>
        <w:t xml:space="preserve">الحديث </w:t>
      </w:r>
      <w:r>
        <w:rPr>
          <w:rFonts w:ascii="Traditional Arabic" w:hAnsi="Traditional Arabic"/>
          <w:sz w:val="32"/>
          <w:szCs w:val="32"/>
          <w:rtl/>
        </w:rPr>
        <w:t>(1599)</w:t>
      </w:r>
      <w:r>
        <w:rPr>
          <w:rFonts w:ascii="Traditional Arabic" w:hAnsi="Traditional Arabic" w:hint="cs"/>
          <w:sz w:val="32"/>
          <w:szCs w:val="32"/>
          <w:rtl/>
        </w:rPr>
        <w:t xml:space="preserve">، </w:t>
      </w:r>
      <w:r>
        <w:rPr>
          <w:rFonts w:ascii="Traditional Arabic" w:hAnsi="Traditional Arabic"/>
          <w:sz w:val="32"/>
          <w:szCs w:val="32"/>
          <w:rtl/>
        </w:rPr>
        <w:t>واللفظ لمسلم</w:t>
      </w:r>
      <w:r>
        <w:rPr>
          <w:rFonts w:ascii="Traditional Arabic" w:hAnsi="Traditional Arabic" w:hint="cs"/>
          <w:sz w:val="32"/>
          <w:szCs w:val="32"/>
          <w:rtl/>
        </w:rPr>
        <w:t>.</w:t>
      </w:r>
    </w:p>
  </w:footnote>
  <w:footnote w:id="355">
    <w:p w:rsidR="000D3D21" w:rsidRPr="00AA74DB" w:rsidRDefault="000D3D21" w:rsidP="004716EF">
      <w:pPr>
        <w:pStyle w:val="a7"/>
        <w:spacing w:line="420" w:lineRule="exact"/>
        <w:ind w:left="510" w:hanging="510"/>
        <w:jc w:val="lowKashida"/>
        <w:rPr>
          <w:rFonts w:ascii="Traditional Arabic" w:hAnsi="Traditional Arabic"/>
          <w:b/>
          <w:bCs/>
          <w:sz w:val="32"/>
          <w:szCs w:val="32"/>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Pr>
          <w:rFonts w:ascii="Lotus Linotype" w:hAnsi="Lotus Linotype" w:cs="Lotus Linotype" w:hint="cs"/>
          <w:rtl/>
        </w:rPr>
        <w:t xml:space="preserve">  </w:t>
      </w:r>
      <w:r>
        <w:rPr>
          <w:rFonts w:ascii="Traditional Arabic" w:hAnsi="Traditional Arabic"/>
          <w:sz w:val="32"/>
          <w:szCs w:val="32"/>
          <w:rtl/>
        </w:rPr>
        <w:t>انظر</w:t>
      </w:r>
      <w:r w:rsidRPr="00AA74DB">
        <w:rPr>
          <w:rFonts w:ascii="Traditional Arabic" w:hAnsi="Traditional Arabic"/>
          <w:sz w:val="32"/>
          <w:szCs w:val="32"/>
          <w:rtl/>
        </w:rPr>
        <w:t>:</w:t>
      </w:r>
      <w:r>
        <w:rPr>
          <w:rFonts w:ascii="Traditional Arabic" w:hAnsi="Traditional Arabic"/>
          <w:sz w:val="32"/>
          <w:szCs w:val="32"/>
          <w:rtl/>
        </w:rPr>
        <w:t xml:space="preserve"> شرح الأربعين النووية </w:t>
      </w:r>
      <w:r>
        <w:rPr>
          <w:rFonts w:ascii="Traditional Arabic" w:hAnsi="Traditional Arabic" w:hint="cs"/>
          <w:sz w:val="32"/>
          <w:szCs w:val="32"/>
          <w:rtl/>
        </w:rPr>
        <w:t xml:space="preserve">لابن عثيمين </w:t>
      </w:r>
      <w:r>
        <w:rPr>
          <w:rFonts w:ascii="Traditional Arabic" w:hAnsi="Traditional Arabic"/>
          <w:sz w:val="32"/>
          <w:szCs w:val="32"/>
          <w:rtl/>
        </w:rPr>
        <w:t>(</w:t>
      </w:r>
      <w:r>
        <w:rPr>
          <w:rFonts w:ascii="Traditional Arabic" w:hAnsi="Traditional Arabic" w:hint="cs"/>
          <w:sz w:val="32"/>
          <w:szCs w:val="32"/>
          <w:rtl/>
        </w:rPr>
        <w:t>105</w:t>
      </w:r>
      <w:r>
        <w:rPr>
          <w:rFonts w:ascii="Traditional Arabic" w:hAnsi="Traditional Arabic"/>
          <w:sz w:val="32"/>
          <w:szCs w:val="32"/>
          <w:rtl/>
        </w:rPr>
        <w:t>)</w:t>
      </w:r>
      <w:r w:rsidRPr="00AA74DB">
        <w:rPr>
          <w:rFonts w:ascii="Traditional Arabic" w:hAnsi="Traditional Arabic"/>
          <w:sz w:val="32"/>
          <w:szCs w:val="32"/>
          <w:rtl/>
        </w:rPr>
        <w:t xml:space="preserve">، </w:t>
      </w:r>
      <w:r>
        <w:rPr>
          <w:rFonts w:ascii="Traditional Arabic" w:hAnsi="Traditional Arabic" w:hint="cs"/>
          <w:sz w:val="32"/>
          <w:szCs w:val="32"/>
          <w:rtl/>
        </w:rPr>
        <w:t>و</w:t>
      </w:r>
      <w:r>
        <w:rPr>
          <w:rFonts w:ascii="Traditional Arabic" w:hAnsi="Traditional Arabic"/>
          <w:sz w:val="32"/>
          <w:szCs w:val="32"/>
          <w:rtl/>
        </w:rPr>
        <w:t>جامع العلوم والحكم</w:t>
      </w:r>
      <w:r>
        <w:rPr>
          <w:rFonts w:ascii="Traditional Arabic" w:hAnsi="Traditional Arabic" w:hint="cs"/>
          <w:sz w:val="32"/>
          <w:szCs w:val="32"/>
          <w:rtl/>
        </w:rPr>
        <w:t xml:space="preserve"> ل</w:t>
      </w:r>
      <w:r>
        <w:rPr>
          <w:rFonts w:ascii="Traditional Arabic" w:hAnsi="Traditional Arabic"/>
          <w:sz w:val="32"/>
          <w:szCs w:val="32"/>
          <w:rtl/>
        </w:rPr>
        <w:t>ابن رجب (</w:t>
      </w:r>
      <w:r>
        <w:rPr>
          <w:rFonts w:ascii="Traditional Arabic" w:hAnsi="Traditional Arabic" w:hint="cs"/>
          <w:sz w:val="32"/>
          <w:szCs w:val="32"/>
          <w:rtl/>
        </w:rPr>
        <w:t>131-132</w:t>
      </w:r>
      <w:r w:rsidRPr="00AA74DB">
        <w:rPr>
          <w:rFonts w:ascii="Traditional Arabic" w:hAnsi="Traditional Arabic"/>
          <w:sz w:val="32"/>
          <w:szCs w:val="32"/>
          <w:rtl/>
        </w:rPr>
        <w:t>)</w:t>
      </w:r>
      <w:r>
        <w:rPr>
          <w:rFonts w:ascii="Traditional Arabic" w:hAnsi="Traditional Arabic"/>
          <w:sz w:val="32"/>
          <w:szCs w:val="32"/>
          <w:rtl/>
        </w:rPr>
        <w:t>.</w:t>
      </w:r>
    </w:p>
  </w:footnote>
  <w:footnote w:id="356">
    <w:p w:rsidR="000D3D21" w:rsidRPr="00C524F7" w:rsidRDefault="000D3D21" w:rsidP="004716EF">
      <w:pPr>
        <w:pStyle w:val="a7"/>
        <w:spacing w:line="420" w:lineRule="exact"/>
        <w:ind w:left="510" w:hanging="510"/>
        <w:jc w:val="lowKashida"/>
        <w:rPr>
          <w:rFonts w:ascii="Lotus Linotype" w:hAnsi="Lotus Linotype" w:cs="Lotus Linotype"/>
          <w:b/>
          <w:bCs/>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sidRPr="00C524F7">
        <w:rPr>
          <w:rFonts w:ascii="Lotus Linotype" w:hAnsi="Lotus Linotype" w:cs="Lotus Linotype" w:hint="cs"/>
          <w:rtl/>
        </w:rPr>
        <w:tab/>
      </w:r>
      <w:r>
        <w:rPr>
          <w:rFonts w:ascii="Traditional Arabic" w:hAnsi="Traditional Arabic"/>
          <w:sz w:val="32"/>
          <w:szCs w:val="32"/>
          <w:rtl/>
        </w:rPr>
        <w:t>أخرجه البخاري في كتاب الوضوء</w:t>
      </w:r>
      <w:r w:rsidRPr="00AA74DB">
        <w:rPr>
          <w:rFonts w:ascii="Traditional Arabic" w:hAnsi="Traditional Arabic"/>
          <w:sz w:val="32"/>
          <w:szCs w:val="32"/>
          <w:rtl/>
        </w:rPr>
        <w:t xml:space="preserve">، باب إذا شرب الكلب في إناء أحدكم فليغسله سبعاً، رقم </w:t>
      </w:r>
      <w:r>
        <w:rPr>
          <w:rFonts w:ascii="Traditional Arabic" w:hAnsi="Traditional Arabic" w:hint="cs"/>
          <w:sz w:val="32"/>
          <w:szCs w:val="32"/>
          <w:rtl/>
        </w:rPr>
        <w:t xml:space="preserve">الحديث </w:t>
      </w:r>
      <w:r w:rsidRPr="00AA74DB">
        <w:rPr>
          <w:rFonts w:ascii="Traditional Arabic" w:hAnsi="Traditional Arabic"/>
          <w:sz w:val="32"/>
          <w:szCs w:val="32"/>
          <w:rtl/>
        </w:rPr>
        <w:t xml:space="preserve">(175)، </w:t>
      </w:r>
      <w:r>
        <w:rPr>
          <w:rFonts w:ascii="Traditional Arabic" w:hAnsi="Traditional Arabic"/>
          <w:sz w:val="32"/>
          <w:szCs w:val="32"/>
          <w:rtl/>
        </w:rPr>
        <w:t xml:space="preserve">ومسلم في </w:t>
      </w:r>
      <w:r w:rsidRPr="00AA74DB">
        <w:rPr>
          <w:rFonts w:ascii="Traditional Arabic" w:hAnsi="Traditional Arabic"/>
          <w:sz w:val="32"/>
          <w:szCs w:val="32"/>
          <w:rtl/>
        </w:rPr>
        <w:t xml:space="preserve">كتاب الصيد </w:t>
      </w:r>
      <w:r>
        <w:rPr>
          <w:rFonts w:ascii="Traditional Arabic" w:hAnsi="Traditional Arabic"/>
          <w:sz w:val="32"/>
          <w:szCs w:val="32"/>
          <w:rtl/>
        </w:rPr>
        <w:t>والذبائح وما يؤكل من الحيوان</w:t>
      </w:r>
      <w:r w:rsidRPr="00AA74DB">
        <w:rPr>
          <w:rFonts w:ascii="Traditional Arabic" w:hAnsi="Traditional Arabic"/>
          <w:sz w:val="32"/>
          <w:szCs w:val="32"/>
          <w:rtl/>
        </w:rPr>
        <w:t>، باب الصيد بالكلاب المعل</w:t>
      </w:r>
      <w:r>
        <w:rPr>
          <w:rFonts w:ascii="Traditional Arabic" w:hAnsi="Traditional Arabic" w:hint="cs"/>
          <w:sz w:val="32"/>
          <w:szCs w:val="32"/>
          <w:rtl/>
        </w:rPr>
        <w:t>َّ</w:t>
      </w:r>
      <w:r w:rsidRPr="00AA74DB">
        <w:rPr>
          <w:rFonts w:ascii="Traditional Arabic" w:hAnsi="Traditional Arabic"/>
          <w:sz w:val="32"/>
          <w:szCs w:val="32"/>
          <w:rtl/>
        </w:rPr>
        <w:t>مة</w:t>
      </w:r>
      <w:r>
        <w:rPr>
          <w:rFonts w:ascii="Traditional Arabic" w:hAnsi="Traditional Arabic" w:hint="cs"/>
          <w:sz w:val="32"/>
          <w:szCs w:val="32"/>
          <w:rtl/>
        </w:rPr>
        <w:t>،</w:t>
      </w:r>
      <w:r w:rsidRPr="00AA74DB">
        <w:rPr>
          <w:rFonts w:ascii="Traditional Arabic" w:hAnsi="Traditional Arabic"/>
          <w:sz w:val="32"/>
          <w:szCs w:val="32"/>
          <w:rtl/>
        </w:rPr>
        <w:t xml:space="preserve"> رقم </w:t>
      </w:r>
      <w:r>
        <w:rPr>
          <w:rFonts w:ascii="Traditional Arabic" w:hAnsi="Traditional Arabic" w:hint="cs"/>
          <w:sz w:val="32"/>
          <w:szCs w:val="32"/>
          <w:rtl/>
        </w:rPr>
        <w:t xml:space="preserve">الحديث </w:t>
      </w:r>
      <w:r>
        <w:rPr>
          <w:rFonts w:ascii="Traditional Arabic" w:hAnsi="Traditional Arabic"/>
          <w:sz w:val="32"/>
          <w:szCs w:val="32"/>
          <w:rtl/>
        </w:rPr>
        <w:t>(1929)</w:t>
      </w:r>
      <w:r>
        <w:rPr>
          <w:rFonts w:ascii="Traditional Arabic" w:hAnsi="Traditional Arabic" w:hint="cs"/>
          <w:sz w:val="32"/>
          <w:szCs w:val="32"/>
          <w:rtl/>
        </w:rPr>
        <w:t>، واللفظ لمسلم.</w:t>
      </w:r>
    </w:p>
  </w:footnote>
  <w:footnote w:id="357">
    <w:p w:rsidR="000D3D21" w:rsidRPr="00C524F7" w:rsidRDefault="000D3D21" w:rsidP="004716EF">
      <w:pPr>
        <w:pStyle w:val="a7"/>
        <w:spacing w:line="420" w:lineRule="exact"/>
        <w:ind w:left="510" w:hanging="510"/>
        <w:jc w:val="lowKashida"/>
        <w:rPr>
          <w:rFonts w:ascii="Lotus Linotype" w:hAnsi="Lotus Linotype" w:cs="Lotus Linotype"/>
          <w:b/>
          <w:bCs/>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sidRPr="00AA74DB">
        <w:rPr>
          <w:rStyle w:val="af1"/>
          <w:rFonts w:ascii="Traditional Arabic" w:hAnsi="Traditional Arabic" w:hint="cs"/>
          <w:sz w:val="32"/>
          <w:szCs w:val="32"/>
          <w:vertAlign w:val="baseline"/>
          <w:rtl/>
        </w:rPr>
        <w:tab/>
      </w:r>
      <w:r>
        <w:rPr>
          <w:rFonts w:ascii="Traditional Arabic" w:hAnsi="Traditional Arabic"/>
          <w:sz w:val="32"/>
          <w:szCs w:val="32"/>
          <w:rtl/>
        </w:rPr>
        <w:t>انظر</w:t>
      </w:r>
      <w:r w:rsidRPr="00AA74DB">
        <w:rPr>
          <w:rFonts w:ascii="Traditional Arabic" w:hAnsi="Traditional Arabic"/>
          <w:sz w:val="32"/>
          <w:szCs w:val="32"/>
          <w:rtl/>
        </w:rPr>
        <w:t>:</w:t>
      </w:r>
      <w:r>
        <w:rPr>
          <w:rFonts w:ascii="Traditional Arabic" w:hAnsi="Traditional Arabic" w:hint="cs"/>
          <w:sz w:val="32"/>
          <w:szCs w:val="32"/>
          <w:rtl/>
        </w:rPr>
        <w:t xml:space="preserve"> فتح ذي الجلال والإكرام (6/33)، وسبل السلام الموصلة إلى بلوغ المرام لمحمد بن إسماعيل الأمير الصنعاني (7/306). </w:t>
      </w:r>
      <w:r w:rsidRPr="00AA74DB">
        <w:rPr>
          <w:rFonts w:ascii="Traditional Arabic" w:hAnsi="Traditional Arabic"/>
          <w:sz w:val="32"/>
          <w:szCs w:val="32"/>
          <w:rtl/>
        </w:rPr>
        <w:tab/>
      </w:r>
    </w:p>
  </w:footnote>
  <w:footnote w:id="358">
    <w:p w:rsidR="000D3D21" w:rsidRDefault="000D3D21" w:rsidP="004716EF">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6B5F">
        <w:rPr>
          <w:rFonts w:ascii="Traditional Arabic" w:hAnsi="Traditional Arabic"/>
          <w:sz w:val="32"/>
          <w:szCs w:val="32"/>
          <w:rtl/>
        </w:rPr>
        <w:t xml:space="preserve">انظر الشرح الممتع (8/115). </w:t>
      </w:r>
    </w:p>
    <w:p w:rsidR="000D3D21" w:rsidRPr="00E26B5F" w:rsidRDefault="000D3D21" w:rsidP="004716EF">
      <w:pPr>
        <w:pStyle w:val="a7"/>
        <w:pageBreakBefore/>
        <w:rPr>
          <w:rFonts w:ascii="Traditional Arabic" w:hAnsi="Traditional Arabic"/>
          <w:sz w:val="32"/>
          <w:szCs w:val="32"/>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E26B5F">
        <w:rPr>
          <w:rFonts w:ascii="Traditional Arabic" w:hAnsi="Traditional Arabic"/>
          <w:sz w:val="32"/>
          <w:szCs w:val="32"/>
          <w:rtl/>
        </w:rPr>
        <w:t xml:space="preserve">وجه علاقة هذا الفرع بالمعاملات أن </w:t>
      </w:r>
      <w:r>
        <w:rPr>
          <w:rFonts w:ascii="Traditional Arabic" w:hAnsi="Traditional Arabic" w:hint="cs"/>
          <w:sz w:val="32"/>
          <w:szCs w:val="32"/>
          <w:rtl/>
        </w:rPr>
        <w:t xml:space="preserve"> </w:t>
      </w:r>
      <w:r w:rsidRPr="00E26B5F">
        <w:rPr>
          <w:rFonts w:ascii="Traditional Arabic" w:hAnsi="Traditional Arabic"/>
          <w:sz w:val="32"/>
          <w:szCs w:val="32"/>
          <w:rtl/>
        </w:rPr>
        <w:t xml:space="preserve">الحجاوي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E26B5F">
        <w:rPr>
          <w:rFonts w:ascii="Traditional Arabic" w:hAnsi="Traditional Arabic"/>
          <w:sz w:val="32"/>
          <w:szCs w:val="32"/>
          <w:rtl/>
        </w:rPr>
        <w:t xml:space="preserve"> مثَّل بالبغل والحمار عند ذكره للشرط الثالث من شروط صحة عقد البيع</w:t>
      </w:r>
      <w:r>
        <w:rPr>
          <w:rFonts w:ascii="Traditional Arabic" w:hAnsi="Traditional Arabic" w:hint="cs"/>
          <w:sz w:val="32"/>
          <w:szCs w:val="32"/>
          <w:rtl/>
        </w:rPr>
        <w:t>،</w:t>
      </w:r>
      <w:r w:rsidRPr="00E26B5F">
        <w:rPr>
          <w:rFonts w:ascii="Traditional Arabic" w:hAnsi="Traditional Arabic"/>
          <w:sz w:val="32"/>
          <w:szCs w:val="32"/>
          <w:rtl/>
        </w:rPr>
        <w:t xml:space="preserve"> وهو أن تكون العين المعقود عليها مباحةَ النفع من غير حاجة، والبغل</w:t>
      </w:r>
      <w:r>
        <w:rPr>
          <w:rFonts w:ascii="Traditional Arabic" w:hAnsi="Traditional Arabic"/>
          <w:sz w:val="32"/>
          <w:szCs w:val="32"/>
          <w:rtl/>
        </w:rPr>
        <w:t xml:space="preserve"> و</w:t>
      </w:r>
      <w:r w:rsidRPr="00E26B5F">
        <w:rPr>
          <w:rFonts w:ascii="Traditional Arabic" w:hAnsi="Traditional Arabic"/>
          <w:sz w:val="32"/>
          <w:szCs w:val="32"/>
          <w:rtl/>
        </w:rPr>
        <w:t>إن كان محرمَ الأكل إلا أنه يُنتفَع به في الركوب، وهذا نفع</w:t>
      </w:r>
      <w:r>
        <w:rPr>
          <w:rFonts w:ascii="Traditional Arabic" w:hAnsi="Traditional Arabic" w:hint="cs"/>
          <w:sz w:val="32"/>
          <w:szCs w:val="32"/>
          <w:rtl/>
        </w:rPr>
        <w:t>ٌ</w:t>
      </w:r>
      <w:r w:rsidRPr="00E26B5F">
        <w:rPr>
          <w:rFonts w:ascii="Traditional Arabic" w:hAnsi="Traditional Arabic"/>
          <w:sz w:val="32"/>
          <w:szCs w:val="32"/>
          <w:rtl/>
        </w:rPr>
        <w:t xml:space="preserve"> مباح، وقد ذكر الشيخ ابن عثيمين </w:t>
      </w:r>
      <w:r>
        <w:rPr>
          <w:rFonts w:ascii="Traditional Arabic" w:hAnsi="Traditional Arabic" w:cs="CTraditional Arabic" w:hint="cs"/>
          <w:rtl/>
        </w:rPr>
        <w:t>/</w:t>
      </w:r>
      <w:r w:rsidRPr="00E26B5F">
        <w:rPr>
          <w:rFonts w:ascii="Traditional Arabic" w:hAnsi="Traditional Arabic"/>
          <w:sz w:val="32"/>
          <w:szCs w:val="32"/>
          <w:rtl/>
        </w:rPr>
        <w:t xml:space="preserve"> أنه يجوز بيعه وأن شراءه للانتفاع به في الركوب جائز. انظر الشرح الممتع (8/115، 116).</w:t>
      </w:r>
    </w:p>
  </w:footnote>
  <w:footnote w:id="359">
    <w:p w:rsidR="000D3D21" w:rsidRPr="00690887" w:rsidRDefault="000D3D21" w:rsidP="004716E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6B5F">
        <w:rPr>
          <w:rFonts w:ascii="Traditional Arabic" w:hAnsi="Traditional Arabic"/>
          <w:sz w:val="32"/>
          <w:szCs w:val="32"/>
          <w:rtl/>
        </w:rPr>
        <w:t>انظر الشرح الممتع (1/461)، و(8/115)</w:t>
      </w:r>
      <w:r>
        <w:rPr>
          <w:rFonts w:ascii="Traditional Arabic" w:hAnsi="Traditional Arabic" w:hint="cs"/>
          <w:sz w:val="32"/>
          <w:szCs w:val="32"/>
          <w:rtl/>
        </w:rPr>
        <w:t>، و(15/27)، والتعليق على القواعد والأصول الجامعة (186)</w:t>
      </w:r>
      <w:r w:rsidRPr="00E26B5F">
        <w:rPr>
          <w:rFonts w:ascii="Traditional Arabic" w:hAnsi="Traditional Arabic"/>
          <w:sz w:val="32"/>
          <w:szCs w:val="32"/>
          <w:rtl/>
        </w:rPr>
        <w:t>.</w:t>
      </w:r>
    </w:p>
  </w:footnote>
  <w:footnote w:id="360">
    <w:p w:rsidR="000D3D21" w:rsidRPr="00541168" w:rsidRDefault="000D3D21">
      <w:pPr>
        <w:pStyle w:val="a7"/>
        <w:rPr>
          <w:rFonts w:ascii="Traditional Arabic" w:hAnsi="Traditional Arabic"/>
          <w:sz w:val="32"/>
          <w:szCs w:val="32"/>
          <w:rtl/>
        </w:rPr>
      </w:pPr>
      <w:r w:rsidRPr="00541168">
        <w:rPr>
          <w:rStyle w:val="af1"/>
          <w:rFonts w:ascii="Traditional Arabic" w:hAnsi="Traditional Arabic"/>
          <w:sz w:val="32"/>
          <w:szCs w:val="32"/>
          <w:vertAlign w:val="baseline"/>
        </w:rPr>
        <w:footnoteRef/>
      </w:r>
      <w:r w:rsidRPr="00541168">
        <w:rPr>
          <w:rFonts w:ascii="Traditional Arabic" w:hAnsi="Traditional Arabic"/>
          <w:sz w:val="32"/>
          <w:szCs w:val="32"/>
        </w:rPr>
        <w:t>)</w:t>
      </w:r>
      <w:r w:rsidRPr="00541168">
        <w:rPr>
          <w:rFonts w:ascii="Traditional Arabic" w:hAnsi="Traditional Arabic"/>
          <w:sz w:val="32"/>
          <w:szCs w:val="32"/>
          <w:rtl/>
        </w:rPr>
        <w:t xml:space="preserve">) </w:t>
      </w:r>
      <w:r w:rsidRPr="00AA74DB">
        <w:rPr>
          <w:rFonts w:ascii="Traditional Arabic" w:hAnsi="Traditional Arabic"/>
          <w:sz w:val="32"/>
          <w:szCs w:val="32"/>
          <w:rtl/>
        </w:rPr>
        <w:t xml:space="preserve">المنتقى من فرائد الفوائد </w:t>
      </w:r>
      <w:r>
        <w:rPr>
          <w:rFonts w:ascii="Traditional Arabic" w:hAnsi="Traditional Arabic"/>
          <w:sz w:val="32"/>
          <w:szCs w:val="32"/>
          <w:rtl/>
        </w:rPr>
        <w:t>(1</w:t>
      </w:r>
      <w:r>
        <w:rPr>
          <w:rFonts w:ascii="Traditional Arabic" w:hAnsi="Traditional Arabic" w:hint="cs"/>
          <w:sz w:val="32"/>
          <w:szCs w:val="32"/>
          <w:rtl/>
        </w:rPr>
        <w:t>08).</w:t>
      </w:r>
    </w:p>
  </w:footnote>
  <w:footnote w:id="361">
    <w:p w:rsidR="000D3D21" w:rsidRPr="00C524F7" w:rsidRDefault="000D3D21" w:rsidP="00541168">
      <w:pPr>
        <w:pStyle w:val="a7"/>
        <w:spacing w:line="420" w:lineRule="exact"/>
        <w:ind w:left="510" w:hanging="510"/>
        <w:jc w:val="lowKashida"/>
        <w:rPr>
          <w:rFonts w:ascii="Lotus Linotype" w:hAnsi="Lotus Linotype" w:cs="Lotus Linotype"/>
          <w:b/>
          <w:bCs/>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sidRPr="00AA74DB">
        <w:rPr>
          <w:rFonts w:ascii="Traditional Arabic" w:hAnsi="Traditional Arabic"/>
          <w:sz w:val="32"/>
          <w:szCs w:val="32"/>
          <w:rtl/>
        </w:rPr>
        <w:tab/>
      </w:r>
      <w:r>
        <w:rPr>
          <w:rFonts w:ascii="Traditional Arabic" w:hAnsi="Traditional Arabic" w:hint="cs"/>
          <w:sz w:val="32"/>
          <w:szCs w:val="32"/>
          <w:rtl/>
        </w:rPr>
        <w:t>المرجع السابق.</w:t>
      </w:r>
    </w:p>
  </w:footnote>
  <w:footnote w:id="362">
    <w:p w:rsidR="000D3D21" w:rsidRPr="0029456E" w:rsidRDefault="000D3D21" w:rsidP="00A6645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29456E">
        <w:rPr>
          <w:rFonts w:ascii="Tahoma" w:hAnsi="Tahoma" w:hint="cs"/>
          <w:sz w:val="32"/>
          <w:szCs w:val="32"/>
          <w:rtl/>
        </w:rPr>
        <w:t>اخترت هذه الصيغة لشمولها تعارض الأصلين،</w:t>
      </w:r>
      <w:r>
        <w:rPr>
          <w:rFonts w:ascii="Tahoma" w:hAnsi="Tahoma" w:hint="cs"/>
          <w:sz w:val="32"/>
          <w:szCs w:val="32"/>
          <w:rtl/>
        </w:rPr>
        <w:t xml:space="preserve"> و</w:t>
      </w:r>
      <w:r w:rsidRPr="0029456E">
        <w:rPr>
          <w:rFonts w:ascii="Tahoma" w:hAnsi="Tahoma" w:hint="cs"/>
          <w:sz w:val="32"/>
          <w:szCs w:val="32"/>
          <w:rtl/>
        </w:rPr>
        <w:t>تعارض الأصل</w:t>
      </w:r>
      <w:r>
        <w:rPr>
          <w:rFonts w:ascii="Tahoma" w:hAnsi="Tahoma" w:hint="cs"/>
          <w:sz w:val="32"/>
          <w:szCs w:val="32"/>
          <w:rtl/>
        </w:rPr>
        <w:t xml:space="preserve"> و</w:t>
      </w:r>
      <w:r w:rsidRPr="0029456E">
        <w:rPr>
          <w:rFonts w:ascii="Tahoma" w:hAnsi="Tahoma" w:hint="cs"/>
          <w:sz w:val="32"/>
          <w:szCs w:val="32"/>
          <w:rtl/>
        </w:rPr>
        <w:t>الظاهر</w:t>
      </w:r>
      <w:r>
        <w:rPr>
          <w:rFonts w:ascii="Tahoma" w:hAnsi="Tahoma" w:hint="cs"/>
          <w:sz w:val="32"/>
          <w:szCs w:val="32"/>
          <w:rtl/>
        </w:rPr>
        <w:t>، واخترت لفظة أقواهما أخذا من الصيغة الأخرى التي ذكرها الشيخ رحمه الله؛ ومن قوله :</w:t>
      </w:r>
      <w:r w:rsidRPr="006B44DA">
        <w:rPr>
          <w:rFonts w:ascii="Traditional Arabic" w:hAnsi="Traditional Arabic"/>
          <w:sz w:val="32"/>
          <w:szCs w:val="32"/>
          <w:rtl/>
        </w:rPr>
        <w:t>( ولا ينبغي للإنسان أن يتسرَّع</w:t>
      </w:r>
      <w:r>
        <w:rPr>
          <w:rFonts w:ascii="Traditional Arabic" w:hAnsi="Traditional Arabic"/>
          <w:sz w:val="32"/>
          <w:szCs w:val="32"/>
          <w:rtl/>
        </w:rPr>
        <w:t>،</w:t>
      </w:r>
      <w:r w:rsidRPr="006B44DA">
        <w:rPr>
          <w:rFonts w:ascii="Traditional Arabic" w:hAnsi="Traditional Arabic"/>
          <w:sz w:val="32"/>
          <w:szCs w:val="32"/>
          <w:rtl/>
        </w:rPr>
        <w:t xml:space="preserve"> فيُلزم</w:t>
      </w:r>
      <w:r>
        <w:rPr>
          <w:rFonts w:ascii="Traditional Arabic" w:hAnsi="Traditional Arabic" w:hint="cs"/>
          <w:sz w:val="32"/>
          <w:szCs w:val="32"/>
          <w:rtl/>
        </w:rPr>
        <w:t>َ</w:t>
      </w:r>
      <w:r w:rsidRPr="006B44DA">
        <w:rPr>
          <w:rFonts w:ascii="Traditional Arabic" w:hAnsi="Traditional Arabic"/>
          <w:sz w:val="32"/>
          <w:szCs w:val="32"/>
          <w:rtl/>
        </w:rPr>
        <w:t xml:space="preserve"> الناس ما</w:t>
      </w:r>
      <w:r>
        <w:rPr>
          <w:rFonts w:ascii="Traditional Arabic" w:hAnsi="Traditional Arabic" w:hint="cs"/>
          <w:sz w:val="32"/>
          <w:szCs w:val="32"/>
          <w:rtl/>
        </w:rPr>
        <w:t xml:space="preserve"> </w:t>
      </w:r>
      <w:r w:rsidRPr="006B44DA">
        <w:rPr>
          <w:rFonts w:ascii="Traditional Arabic" w:hAnsi="Traditional Arabic"/>
          <w:sz w:val="32"/>
          <w:szCs w:val="32"/>
          <w:rtl/>
        </w:rPr>
        <w:t>لا يلزمهم من دية أو كفارة</w:t>
      </w:r>
      <w:r>
        <w:rPr>
          <w:rFonts w:ascii="Traditional Arabic" w:hAnsi="Traditional Arabic"/>
          <w:sz w:val="32"/>
          <w:szCs w:val="32"/>
          <w:rtl/>
        </w:rPr>
        <w:t>،</w:t>
      </w:r>
      <w:r w:rsidRPr="006B44DA">
        <w:rPr>
          <w:rFonts w:ascii="Traditional Arabic" w:hAnsi="Traditional Arabic"/>
          <w:sz w:val="32"/>
          <w:szCs w:val="32"/>
          <w:rtl/>
        </w:rPr>
        <w:t xml:space="preserve"> بل إنه ينبغي له أن يعلم أن الأصل السلامة والعصمة</w:t>
      </w:r>
      <w:r>
        <w:rPr>
          <w:rFonts w:ascii="Traditional Arabic" w:hAnsi="Traditional Arabic"/>
          <w:sz w:val="32"/>
          <w:szCs w:val="32"/>
          <w:rtl/>
        </w:rPr>
        <w:t>،</w:t>
      </w:r>
      <w:r w:rsidRPr="006B44DA">
        <w:rPr>
          <w:rFonts w:ascii="Traditional Arabic" w:hAnsi="Traditional Arabic"/>
          <w:sz w:val="32"/>
          <w:szCs w:val="32"/>
          <w:rtl/>
        </w:rPr>
        <w:t xml:space="preserve"> كما أن الأصل أيضاً الضمان لما تل</w:t>
      </w:r>
      <w:r>
        <w:rPr>
          <w:rFonts w:ascii="Traditional Arabic" w:hAnsi="Traditional Arabic" w:hint="cs"/>
          <w:sz w:val="32"/>
          <w:szCs w:val="32"/>
          <w:rtl/>
        </w:rPr>
        <w:t>ِ</w:t>
      </w:r>
      <w:r w:rsidRPr="006B44DA">
        <w:rPr>
          <w:rFonts w:ascii="Traditional Arabic" w:hAnsi="Traditional Arabic"/>
          <w:sz w:val="32"/>
          <w:szCs w:val="32"/>
          <w:rtl/>
        </w:rPr>
        <w:t>ف</w:t>
      </w:r>
      <w:r>
        <w:rPr>
          <w:rFonts w:ascii="Traditional Arabic" w:hAnsi="Traditional Arabic"/>
          <w:sz w:val="32"/>
          <w:szCs w:val="32"/>
          <w:rtl/>
        </w:rPr>
        <w:t>،</w:t>
      </w:r>
      <w:r>
        <w:rPr>
          <w:rFonts w:ascii="Traditional Arabic" w:hAnsi="Traditional Arabic" w:hint="cs"/>
          <w:sz w:val="32"/>
          <w:szCs w:val="32"/>
          <w:rtl/>
        </w:rPr>
        <w:t xml:space="preserve"> </w:t>
      </w:r>
      <w:r w:rsidRPr="00706269">
        <w:rPr>
          <w:rFonts w:ascii="Traditional Arabic" w:hAnsi="Traditional Arabic"/>
          <w:sz w:val="32"/>
          <w:szCs w:val="32"/>
          <w:rtl/>
        </w:rPr>
        <w:t>فهذان الأصلان متعارضان</w:t>
      </w:r>
      <w:r>
        <w:rPr>
          <w:rFonts w:ascii="Traditional Arabic" w:hAnsi="Traditional Arabic"/>
          <w:sz w:val="32"/>
          <w:szCs w:val="32"/>
          <w:rtl/>
        </w:rPr>
        <w:t>،</w:t>
      </w:r>
      <w:r w:rsidRPr="00706269">
        <w:rPr>
          <w:rFonts w:ascii="Traditional Arabic" w:hAnsi="Traditional Arabic"/>
          <w:sz w:val="32"/>
          <w:szCs w:val="32"/>
          <w:rtl/>
        </w:rPr>
        <w:t xml:space="preserve"> وينبغي لطالب العلم أن يسلك ما يراه أقوى من هذين الأصلين</w:t>
      </w:r>
      <w:r w:rsidRPr="006B44DA">
        <w:rPr>
          <w:rFonts w:ascii="Traditional Arabic" w:hAnsi="Traditional Arabic"/>
          <w:sz w:val="32"/>
          <w:szCs w:val="32"/>
          <w:rtl/>
        </w:rPr>
        <w:t>)</w:t>
      </w:r>
      <w:r w:rsidRPr="0029456E">
        <w:rPr>
          <w:rFonts w:ascii="Tahoma" w:hAnsi="Tahoma" w:hint="cs"/>
          <w:sz w:val="32"/>
          <w:szCs w:val="32"/>
          <w:rtl/>
        </w:rPr>
        <w:t>.انظر الشرح الممتع (10/190) بتصرف</w:t>
      </w:r>
      <w:r>
        <w:rPr>
          <w:rFonts w:ascii="Tahoma" w:hAnsi="Tahoma" w:hint="cs"/>
          <w:sz w:val="32"/>
          <w:szCs w:val="32"/>
          <w:rtl/>
        </w:rPr>
        <w:t>، و(8/230، 365)، و(9/165-166)،(12/296)، وفتاوى نور على الدرب(</w:t>
      </w:r>
      <w:r>
        <w:rPr>
          <w:rFonts w:ascii="Tahoma" w:hAnsi="Tahoma"/>
          <w:sz w:val="32"/>
          <w:szCs w:val="32"/>
          <w:lang w:val="fr-FR"/>
        </w:rPr>
        <w:t>CD</w:t>
      </w:r>
      <w:r>
        <w:rPr>
          <w:rFonts w:ascii="Tahoma" w:hAnsi="Tahoma" w:hint="cs"/>
          <w:sz w:val="32"/>
          <w:szCs w:val="32"/>
          <w:rtl/>
        </w:rPr>
        <w:t>)</w:t>
      </w:r>
      <w:r w:rsidRPr="0029456E">
        <w:rPr>
          <w:rFonts w:ascii="Tahoma" w:hAnsi="Tahoma" w:hint="cs"/>
          <w:sz w:val="32"/>
          <w:szCs w:val="32"/>
          <w:rtl/>
        </w:rPr>
        <w:t>.</w:t>
      </w:r>
    </w:p>
  </w:footnote>
  <w:footnote w:id="363">
    <w:p w:rsidR="000D3D21" w:rsidRPr="005B65ED" w:rsidRDefault="000D3D21" w:rsidP="00A6645D">
      <w:pPr>
        <w:pStyle w:val="a7"/>
        <w:pageBreakBefore/>
        <w:rPr>
          <w:rFonts w:ascii="Tahoma" w:hAnsi="Tahoma"/>
          <w:sz w:val="32"/>
          <w:szCs w:val="32"/>
        </w:rPr>
      </w:pPr>
      <w:r w:rsidRPr="005B65ED">
        <w:rPr>
          <w:rFonts w:ascii="Tahoma" w:hAnsi="Tahoma"/>
          <w:sz w:val="32"/>
          <w:szCs w:val="32"/>
          <w:rtl/>
        </w:rPr>
        <w:t>(</w:t>
      </w:r>
      <w:r w:rsidRPr="005B65ED">
        <w:rPr>
          <w:rStyle w:val="af1"/>
          <w:rFonts w:ascii="Tahoma" w:hAnsi="Tahoma"/>
          <w:sz w:val="32"/>
          <w:szCs w:val="32"/>
          <w:vertAlign w:val="baseline"/>
          <w:rtl/>
        </w:rPr>
        <w:footnoteRef/>
      </w:r>
      <w:r w:rsidRPr="005B65ED">
        <w:rPr>
          <w:rFonts w:ascii="Tahoma" w:hAnsi="Tahoma"/>
          <w:sz w:val="32"/>
          <w:szCs w:val="32"/>
          <w:rtl/>
        </w:rPr>
        <w:t>)</w:t>
      </w:r>
      <w:r w:rsidRPr="005B65ED">
        <w:rPr>
          <w:rFonts w:ascii="Tahoma" w:hAnsi="Tahoma" w:hint="cs"/>
          <w:sz w:val="32"/>
          <w:szCs w:val="32"/>
          <w:rtl/>
        </w:rPr>
        <w:t xml:space="preserve"> الشرح الممتع (9/165، 166).</w:t>
      </w:r>
    </w:p>
  </w:footnote>
  <w:footnote w:id="364">
    <w:p w:rsidR="000D3D21" w:rsidRPr="0029456E" w:rsidRDefault="000D3D21" w:rsidP="00A6645D">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المرجع السابق (10/190)</w:t>
      </w:r>
      <w:r w:rsidRPr="0029456E">
        <w:rPr>
          <w:rFonts w:ascii="Tahoma" w:hAnsi="Tahoma" w:hint="cs"/>
          <w:sz w:val="32"/>
          <w:szCs w:val="32"/>
          <w:rtl/>
        </w:rPr>
        <w:t>.</w:t>
      </w:r>
    </w:p>
  </w:footnote>
  <w:footnote w:id="365">
    <w:p w:rsidR="000D3D21" w:rsidRPr="0029456E" w:rsidRDefault="000D3D21" w:rsidP="00A6645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29456E">
        <w:rPr>
          <w:rFonts w:ascii="Tahoma" w:hAnsi="Tahoma" w:hint="cs"/>
          <w:sz w:val="32"/>
          <w:szCs w:val="32"/>
          <w:rtl/>
        </w:rPr>
        <w:t>المرجع السابق (12/296) بتصرف</w:t>
      </w:r>
      <w:r>
        <w:rPr>
          <w:rFonts w:ascii="Tahoma" w:hAnsi="Tahoma" w:hint="cs"/>
          <w:sz w:val="32"/>
          <w:szCs w:val="32"/>
          <w:rtl/>
        </w:rPr>
        <w:t>.</w:t>
      </w:r>
    </w:p>
  </w:footnote>
  <w:footnote w:id="366">
    <w:p w:rsidR="000D3D21" w:rsidRPr="0029456E" w:rsidRDefault="000D3D21" w:rsidP="00A6645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بعض هذه الصيغ اقتصر على ذكر جزء من القاعدة؛ وذلك أن أصل هذه القاعدة يرجع إلى قاعدتين، وهما: قاعدة تعارض الأصلين وقاعدة تعارض الأصل والظاهر.</w:t>
      </w:r>
    </w:p>
  </w:footnote>
  <w:footnote w:id="367">
    <w:p w:rsidR="000D3D21" w:rsidRDefault="000D3D21" w:rsidP="00A6645D">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93DC7">
        <w:rPr>
          <w:rFonts w:ascii="Tahoma" w:hAnsi="Tahoma" w:hint="cs"/>
          <w:sz w:val="32"/>
          <w:szCs w:val="32"/>
          <w:rtl/>
        </w:rPr>
        <w:t>الأصول</w:t>
      </w:r>
      <w:r>
        <w:rPr>
          <w:rFonts w:ascii="Tahoma" w:hAnsi="Tahoma" w:hint="cs"/>
          <w:sz w:val="32"/>
          <w:szCs w:val="32"/>
          <w:rtl/>
        </w:rPr>
        <w:t xml:space="preserve"> و</w:t>
      </w:r>
      <w:r w:rsidRPr="00693DC7">
        <w:rPr>
          <w:rFonts w:ascii="Tahoma" w:hAnsi="Tahoma" w:hint="cs"/>
          <w:sz w:val="32"/>
          <w:szCs w:val="32"/>
          <w:rtl/>
        </w:rPr>
        <w:t xml:space="preserve">الضوابط </w:t>
      </w:r>
      <w:r>
        <w:rPr>
          <w:rFonts w:ascii="Tahoma" w:hAnsi="Tahoma" w:hint="cs"/>
          <w:sz w:val="32"/>
          <w:szCs w:val="32"/>
          <w:rtl/>
        </w:rPr>
        <w:t>لأبي زكريا يحي بن شرف النووي (45</w:t>
      </w:r>
      <w:r w:rsidRPr="00693DC7">
        <w:rPr>
          <w:rFonts w:ascii="Tahoma" w:hAnsi="Tahoma" w:hint="cs"/>
          <w:sz w:val="32"/>
          <w:szCs w:val="32"/>
          <w:rtl/>
        </w:rPr>
        <w:t>).</w:t>
      </w:r>
    </w:p>
    <w:p w:rsidR="000D3D21" w:rsidRPr="00AA02E1" w:rsidRDefault="000D3D21" w:rsidP="00A6645D">
      <w:pPr>
        <w:pStyle w:val="a7"/>
        <w:pageBreakBefore/>
        <w:rPr>
          <w:rFonts w:ascii="Tahoma" w:hAnsi="Tahoma"/>
          <w:color w:val="auto"/>
          <w:sz w:val="32"/>
          <w:szCs w:val="32"/>
        </w:rPr>
      </w:pPr>
      <w:r>
        <w:rPr>
          <w:rFonts w:ascii="Tahoma" w:hAnsi="Tahoma" w:hint="cs"/>
          <w:b/>
          <w:bCs/>
          <w:sz w:val="32"/>
          <w:szCs w:val="32"/>
          <w:rtl/>
        </w:rPr>
        <w:t xml:space="preserve">     تنبيه: </w:t>
      </w:r>
      <w:r>
        <w:rPr>
          <w:rFonts w:ascii="Tahoma" w:hAnsi="Tahoma" w:hint="cs"/>
          <w:sz w:val="32"/>
          <w:szCs w:val="32"/>
          <w:rtl/>
        </w:rPr>
        <w:t>قال  النووي _</w:t>
      </w:r>
      <w:r>
        <w:rPr>
          <w:rFonts w:ascii="Traditional Arabic" w:hAnsi="Traditional Arabic" w:cs="CTraditional Arabic" w:hint="cs"/>
          <w:rtl/>
        </w:rPr>
        <w:t>/</w:t>
      </w:r>
      <w:r>
        <w:rPr>
          <w:rFonts w:ascii="Tahoma" w:hAnsi="Tahoma" w:hint="cs"/>
          <w:sz w:val="32"/>
          <w:szCs w:val="32"/>
          <w:rtl/>
        </w:rPr>
        <w:t>_ :(</w:t>
      </w:r>
      <w:r w:rsidRPr="00706269">
        <w:rPr>
          <w:rFonts w:ascii="Traditional Arabic" w:hAnsi="Traditional Arabic"/>
          <w:noProof w:val="0"/>
          <w:color w:val="auto"/>
          <w:sz w:val="32"/>
          <w:szCs w:val="32"/>
          <w:rtl/>
          <w:lang w:eastAsia="en-US"/>
        </w:rPr>
        <w:t>فا</w:t>
      </w:r>
      <w:r w:rsidRPr="00706269">
        <w:rPr>
          <w:rFonts w:ascii="Traditional Arabic" w:hAnsi="Traditional Arabic" w:hint="cs"/>
          <w:noProof w:val="0"/>
          <w:color w:val="auto"/>
          <w:sz w:val="32"/>
          <w:szCs w:val="32"/>
          <w:rtl/>
          <w:lang w:eastAsia="en-US"/>
        </w:rPr>
        <w:t>لأ</w:t>
      </w:r>
      <w:r w:rsidRPr="00706269">
        <w:rPr>
          <w:rFonts w:ascii="Traditional Arabic" w:hAnsi="Traditional Arabic"/>
          <w:noProof w:val="0"/>
          <w:color w:val="auto"/>
          <w:sz w:val="32"/>
          <w:szCs w:val="32"/>
          <w:rtl/>
          <w:lang w:eastAsia="en-US"/>
        </w:rPr>
        <w:t>قوال للشافعي</w:t>
      </w:r>
      <w:r>
        <w:rPr>
          <w:rFonts w:ascii="Traditional Arabic" w:hAnsi="Traditional Arabic" w:hint="cs"/>
          <w:noProof w:val="0"/>
          <w:color w:val="auto"/>
          <w:sz w:val="32"/>
          <w:szCs w:val="32"/>
          <w:rtl/>
          <w:lang w:eastAsia="en-US"/>
        </w:rPr>
        <w:t>،</w:t>
      </w:r>
      <w:r w:rsidRPr="00706269">
        <w:rPr>
          <w:rFonts w:ascii="Traditional Arabic" w:hAnsi="Traditional Arabic"/>
          <w:noProof w:val="0"/>
          <w:color w:val="auto"/>
          <w:sz w:val="32"/>
          <w:szCs w:val="32"/>
          <w:rtl/>
          <w:lang w:eastAsia="en-US"/>
        </w:rPr>
        <w:t xml:space="preserve"> وا</w:t>
      </w:r>
      <w:r w:rsidRPr="00706269">
        <w:rPr>
          <w:rFonts w:ascii="Traditional Arabic" w:hAnsi="Traditional Arabic" w:hint="cs"/>
          <w:noProof w:val="0"/>
          <w:color w:val="auto"/>
          <w:sz w:val="32"/>
          <w:szCs w:val="32"/>
          <w:rtl/>
          <w:lang w:eastAsia="en-US"/>
        </w:rPr>
        <w:t>لأ</w:t>
      </w:r>
      <w:r w:rsidRPr="00706269">
        <w:rPr>
          <w:rFonts w:ascii="Traditional Arabic" w:hAnsi="Traditional Arabic"/>
          <w:noProof w:val="0"/>
          <w:color w:val="auto"/>
          <w:sz w:val="32"/>
          <w:szCs w:val="32"/>
          <w:rtl/>
          <w:lang w:eastAsia="en-US"/>
        </w:rPr>
        <w:t xml:space="preserve">وجه </w:t>
      </w:r>
      <w:r w:rsidRPr="00706269">
        <w:rPr>
          <w:rFonts w:ascii="Traditional Arabic" w:hAnsi="Traditional Arabic" w:hint="cs"/>
          <w:noProof w:val="0"/>
          <w:color w:val="auto"/>
          <w:sz w:val="32"/>
          <w:szCs w:val="32"/>
          <w:rtl/>
          <w:lang w:eastAsia="en-US"/>
        </w:rPr>
        <w:t>لأ</w:t>
      </w:r>
      <w:r w:rsidRPr="00706269">
        <w:rPr>
          <w:rFonts w:ascii="Traditional Arabic" w:hAnsi="Traditional Arabic"/>
          <w:noProof w:val="0"/>
          <w:color w:val="auto"/>
          <w:sz w:val="32"/>
          <w:szCs w:val="32"/>
          <w:rtl/>
          <w:lang w:eastAsia="en-US"/>
        </w:rPr>
        <w:t>صحابه المنتسبين إلى مذهبه</w:t>
      </w:r>
      <w:r>
        <w:rPr>
          <w:rFonts w:ascii="Traditional Arabic" w:hAnsi="Traditional Arabic" w:hint="cs"/>
          <w:noProof w:val="0"/>
          <w:color w:val="auto"/>
          <w:sz w:val="32"/>
          <w:szCs w:val="32"/>
          <w:rtl/>
          <w:lang w:eastAsia="en-US"/>
        </w:rPr>
        <w:t>،</w:t>
      </w:r>
      <w:r w:rsidRPr="00706269">
        <w:rPr>
          <w:rFonts w:ascii="Traditional Arabic" w:hAnsi="Traditional Arabic"/>
          <w:noProof w:val="0"/>
          <w:color w:val="auto"/>
          <w:sz w:val="32"/>
          <w:szCs w:val="32"/>
          <w:rtl/>
          <w:lang w:eastAsia="en-US"/>
        </w:rPr>
        <w:t xml:space="preserve"> </w:t>
      </w:r>
      <w:r w:rsidRPr="00AA02E1">
        <w:rPr>
          <w:rFonts w:ascii="Traditional Arabic" w:hAnsi="Traditional Arabic"/>
          <w:noProof w:val="0"/>
          <w:color w:val="auto"/>
          <w:sz w:val="32"/>
          <w:szCs w:val="32"/>
          <w:rtl/>
          <w:lang w:eastAsia="en-US"/>
        </w:rPr>
        <w:t>يخر</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جونها على أصوله</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ويستن</w:t>
      </w:r>
      <w:r>
        <w:rPr>
          <w:rFonts w:ascii="Traditional Arabic" w:hAnsi="Traditional Arabic" w:hint="cs"/>
          <w:noProof w:val="0"/>
          <w:color w:val="auto"/>
          <w:sz w:val="32"/>
          <w:szCs w:val="32"/>
          <w:rtl/>
          <w:lang w:eastAsia="en-US"/>
        </w:rPr>
        <w:t>ب</w:t>
      </w:r>
      <w:r w:rsidRPr="00AA02E1">
        <w:rPr>
          <w:rFonts w:ascii="Traditional Arabic" w:hAnsi="Traditional Arabic"/>
          <w:noProof w:val="0"/>
          <w:color w:val="auto"/>
          <w:sz w:val="32"/>
          <w:szCs w:val="32"/>
          <w:rtl/>
          <w:lang w:eastAsia="en-US"/>
        </w:rPr>
        <w:t>طونها من قواعده</w:t>
      </w:r>
      <w:r>
        <w:rPr>
          <w:rFonts w:ascii="Traditional Arabic" w:hAnsi="Traditional Arabic" w:hint="cs"/>
          <w:noProof w:val="0"/>
          <w:color w:val="auto"/>
          <w:sz w:val="32"/>
          <w:szCs w:val="32"/>
          <w:rtl/>
          <w:lang w:eastAsia="en-US"/>
        </w:rPr>
        <w:t>،</w:t>
      </w:r>
      <w:r w:rsidRPr="00AA02E1">
        <w:rPr>
          <w:rFonts w:ascii="Traditional Arabic" w:hAnsi="Traditional Arabic"/>
          <w:noProof w:val="0"/>
          <w:color w:val="auto"/>
          <w:sz w:val="32"/>
          <w:szCs w:val="32"/>
          <w:rtl/>
          <w:lang w:eastAsia="en-US"/>
        </w:rPr>
        <w:t xml:space="preserve"> ويجتهدون في بعضها</w:t>
      </w:r>
      <w:r>
        <w:rPr>
          <w:rFonts w:ascii="Traditional Arabic" w:hAnsi="Traditional Arabic" w:hint="cs"/>
          <w:noProof w:val="0"/>
          <w:color w:val="auto"/>
          <w:sz w:val="32"/>
          <w:szCs w:val="32"/>
          <w:rtl/>
          <w:lang w:eastAsia="en-US"/>
        </w:rPr>
        <w:t>).</w:t>
      </w:r>
      <w:r>
        <w:rPr>
          <w:rFonts w:ascii="Tahoma" w:hAnsi="Tahoma" w:hint="cs"/>
          <w:color w:val="auto"/>
          <w:sz w:val="32"/>
          <w:szCs w:val="32"/>
          <w:rtl/>
        </w:rPr>
        <w:t>المجموع شرح المهذب (1/107).</w:t>
      </w:r>
    </w:p>
  </w:footnote>
  <w:footnote w:id="368">
    <w:p w:rsidR="000D3D21" w:rsidRPr="00693DC7" w:rsidRDefault="000D3D21" w:rsidP="00A6645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93DC7">
        <w:rPr>
          <w:rFonts w:ascii="Tahoma" w:hAnsi="Tahoma" w:hint="cs"/>
          <w:sz w:val="32"/>
          <w:szCs w:val="32"/>
          <w:rtl/>
        </w:rPr>
        <w:t>الأشباه</w:t>
      </w:r>
      <w:r>
        <w:rPr>
          <w:rFonts w:ascii="Tahoma" w:hAnsi="Tahoma" w:hint="cs"/>
          <w:sz w:val="32"/>
          <w:szCs w:val="32"/>
          <w:rtl/>
        </w:rPr>
        <w:t xml:space="preserve"> و</w:t>
      </w:r>
      <w:r w:rsidRPr="00693DC7">
        <w:rPr>
          <w:rFonts w:ascii="Tahoma" w:hAnsi="Tahoma" w:hint="cs"/>
          <w:sz w:val="32"/>
          <w:szCs w:val="32"/>
          <w:rtl/>
        </w:rPr>
        <w:t>النظائر لابن الوكيل (2/158).</w:t>
      </w:r>
    </w:p>
  </w:footnote>
  <w:footnote w:id="369">
    <w:p w:rsidR="000D3D21" w:rsidRPr="0029456E" w:rsidRDefault="000D3D21" w:rsidP="00A6645D">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المرجع السابق</w:t>
      </w:r>
      <w:r w:rsidRPr="00693DC7">
        <w:rPr>
          <w:rFonts w:ascii="Tahoma" w:hAnsi="Tahoma" w:hint="cs"/>
          <w:sz w:val="32"/>
          <w:szCs w:val="32"/>
          <w:rtl/>
        </w:rPr>
        <w:t xml:space="preserve"> (2/173).</w:t>
      </w:r>
    </w:p>
  </w:footnote>
  <w:footnote w:id="370">
    <w:p w:rsidR="000D3D21" w:rsidRPr="00693DC7" w:rsidRDefault="000D3D21" w:rsidP="00A6645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93DC7">
        <w:rPr>
          <w:rFonts w:ascii="Tahoma" w:hAnsi="Tahoma" w:hint="cs"/>
          <w:sz w:val="32"/>
          <w:szCs w:val="32"/>
          <w:rtl/>
        </w:rPr>
        <w:t>القواعد للمقري (1/264).</w:t>
      </w:r>
    </w:p>
  </w:footnote>
  <w:footnote w:id="371">
    <w:p w:rsidR="000D3D21" w:rsidRPr="00693DC7" w:rsidRDefault="000D3D21" w:rsidP="00A6645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93DC7">
        <w:rPr>
          <w:rFonts w:ascii="Tahoma" w:hAnsi="Tahoma" w:hint="cs"/>
          <w:sz w:val="32"/>
          <w:szCs w:val="32"/>
          <w:rtl/>
        </w:rPr>
        <w:t>الأشباه</w:t>
      </w:r>
      <w:r>
        <w:rPr>
          <w:rFonts w:ascii="Tahoma" w:hAnsi="Tahoma" w:hint="cs"/>
          <w:sz w:val="32"/>
          <w:szCs w:val="32"/>
          <w:rtl/>
        </w:rPr>
        <w:t xml:space="preserve"> و</w:t>
      </w:r>
      <w:r w:rsidRPr="00693DC7">
        <w:rPr>
          <w:rFonts w:ascii="Tahoma" w:hAnsi="Tahoma" w:hint="cs"/>
          <w:sz w:val="32"/>
          <w:szCs w:val="32"/>
          <w:rtl/>
        </w:rPr>
        <w:t>النظائر لابن السبكي (1/32، 36).</w:t>
      </w:r>
    </w:p>
  </w:footnote>
  <w:footnote w:id="372">
    <w:p w:rsidR="000D3D21" w:rsidRPr="00693DC7" w:rsidRDefault="000D3D21" w:rsidP="00A6645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المرجع السابق</w:t>
      </w:r>
      <w:r w:rsidRPr="00693DC7">
        <w:rPr>
          <w:rFonts w:ascii="Tahoma" w:hAnsi="Tahoma" w:hint="cs"/>
          <w:sz w:val="32"/>
          <w:szCs w:val="32"/>
          <w:rtl/>
        </w:rPr>
        <w:t xml:space="preserve"> (1/320).</w:t>
      </w:r>
    </w:p>
  </w:footnote>
  <w:footnote w:id="373">
    <w:p w:rsidR="000D3D21" w:rsidRPr="00693DC7" w:rsidRDefault="000D3D21" w:rsidP="008B2568">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المنثور للزركشي</w:t>
      </w:r>
      <w:r w:rsidRPr="00693DC7">
        <w:rPr>
          <w:rFonts w:ascii="Tahoma" w:hAnsi="Tahoma" w:hint="cs"/>
          <w:sz w:val="32"/>
          <w:szCs w:val="32"/>
          <w:rtl/>
        </w:rPr>
        <w:t xml:space="preserve"> (1/332).</w:t>
      </w:r>
    </w:p>
  </w:footnote>
  <w:footnote w:id="374">
    <w:p w:rsidR="000D3D21" w:rsidRDefault="000D3D21" w:rsidP="00A6645D">
      <w:pPr>
        <w:widowControl/>
        <w:autoSpaceDE w:val="0"/>
        <w:autoSpaceDN w:val="0"/>
        <w:adjustRightInd w:val="0"/>
        <w:ind w:firstLine="0"/>
        <w:jc w:val="left"/>
        <w:rPr>
          <w:rFonts w:ascii="Traditional Arabic" w:hAnsi="Traditional Arabic"/>
          <w:noProof w:val="0"/>
          <w:color w:val="auto"/>
          <w:sz w:val="32"/>
          <w:szCs w:val="32"/>
          <w:rtl/>
          <w:lang w:eastAsia="en-US"/>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تقرير </w:t>
      </w:r>
      <w:r w:rsidRPr="0029456E">
        <w:rPr>
          <w:rFonts w:ascii="Tahoma" w:hAnsi="Tahoma" w:hint="cs"/>
          <w:sz w:val="32"/>
          <w:szCs w:val="32"/>
          <w:rtl/>
        </w:rPr>
        <w:t>القواعد لابن رجب (3/149).</w:t>
      </w:r>
    </w:p>
    <w:p w:rsidR="000D3D21" w:rsidRPr="0029456E" w:rsidRDefault="000D3D21" w:rsidP="00A6645D">
      <w:pPr>
        <w:widowControl/>
        <w:autoSpaceDE w:val="0"/>
        <w:autoSpaceDN w:val="0"/>
        <w:adjustRightInd w:val="0"/>
        <w:ind w:firstLine="0"/>
        <w:jc w:val="left"/>
        <w:rPr>
          <w:rFonts w:ascii="Tahoma" w:hAnsi="Tahoma"/>
          <w:sz w:val="32"/>
          <w:szCs w:val="32"/>
        </w:rPr>
      </w:pPr>
      <w:r>
        <w:rPr>
          <w:rFonts w:ascii="Traditional Arabic" w:hAnsi="Traditional Arabic" w:hint="cs"/>
          <w:noProof w:val="0"/>
          <w:color w:val="auto"/>
          <w:sz w:val="32"/>
          <w:szCs w:val="32"/>
          <w:rtl/>
          <w:lang w:eastAsia="en-US"/>
        </w:rPr>
        <w:t xml:space="preserve"> </w:t>
      </w:r>
      <w:r>
        <w:rPr>
          <w:rFonts w:ascii="Traditional Arabic" w:hAnsi="Traditional Arabic" w:hint="cs"/>
          <w:b/>
          <w:bCs/>
          <w:noProof w:val="0"/>
          <w:color w:val="auto"/>
          <w:sz w:val="32"/>
          <w:szCs w:val="32"/>
          <w:rtl/>
          <w:lang w:eastAsia="en-US"/>
        </w:rPr>
        <w:t xml:space="preserve">    </w:t>
      </w:r>
      <w:r w:rsidRPr="002C3CD7">
        <w:rPr>
          <w:rFonts w:ascii="Traditional Arabic" w:hAnsi="Traditional Arabic" w:hint="cs"/>
          <w:b/>
          <w:bCs/>
          <w:noProof w:val="0"/>
          <w:color w:val="auto"/>
          <w:sz w:val="32"/>
          <w:szCs w:val="32"/>
          <w:rtl/>
          <w:lang w:eastAsia="en-US"/>
        </w:rPr>
        <w:t>تنبيه:</w:t>
      </w:r>
      <w:r>
        <w:rPr>
          <w:rFonts w:ascii="Traditional Arabic" w:hAnsi="Traditional Arabic" w:hint="cs"/>
          <w:noProof w:val="0"/>
          <w:color w:val="auto"/>
          <w:sz w:val="32"/>
          <w:szCs w:val="32"/>
          <w:rtl/>
          <w:lang w:eastAsia="en-US"/>
        </w:rPr>
        <w:t xml:space="preserve"> </w:t>
      </w:r>
      <w:r w:rsidRPr="00706269">
        <w:rPr>
          <w:rFonts w:ascii="Traditional Arabic" w:hAnsi="Traditional Arabic"/>
          <w:noProof w:val="0"/>
          <w:color w:val="auto"/>
          <w:sz w:val="32"/>
          <w:szCs w:val="32"/>
          <w:rtl/>
          <w:lang w:eastAsia="en-US"/>
        </w:rPr>
        <w:t>الوجه</w:t>
      </w:r>
      <w:r>
        <w:rPr>
          <w:rFonts w:ascii="Traditional Arabic" w:hAnsi="Traditional Arabic" w:hint="cs"/>
          <w:noProof w:val="0"/>
          <w:color w:val="auto"/>
          <w:sz w:val="32"/>
          <w:szCs w:val="32"/>
          <w:rtl/>
          <w:lang w:eastAsia="en-US"/>
        </w:rPr>
        <w:t xml:space="preserve"> في المذهب الحنبلي هو </w:t>
      </w:r>
      <w:r w:rsidRPr="00831898">
        <w:rPr>
          <w:rFonts w:ascii="Traditional Arabic" w:hAnsi="Traditional Arabic"/>
          <w:noProof w:val="0"/>
          <w:color w:val="auto"/>
          <w:sz w:val="32"/>
          <w:szCs w:val="32"/>
          <w:rtl/>
          <w:lang w:eastAsia="en-US"/>
        </w:rPr>
        <w:t>الحكم المنقول في مسألة من بعض الأصحاب المجتهدين في المذهب ممن رأى  فمن بعدهم جارياً على قواعد ، وربما كان مخا</w:t>
      </w:r>
      <w:r>
        <w:rPr>
          <w:rFonts w:ascii="Traditional Arabic" w:hAnsi="Traditional Arabic"/>
          <w:noProof w:val="0"/>
          <w:color w:val="auto"/>
          <w:sz w:val="32"/>
          <w:szCs w:val="32"/>
          <w:rtl/>
          <w:lang w:eastAsia="en-US"/>
        </w:rPr>
        <w:t>لفاً لقواعده إذا عضده الدليل.</w:t>
      </w:r>
      <w:r w:rsidRPr="00831898">
        <w:rPr>
          <w:rFonts w:ascii="Traditional Arabic" w:hAnsi="Traditional Arabic"/>
          <w:noProof w:val="0"/>
          <w:sz w:val="32"/>
          <w:szCs w:val="32"/>
          <w:rtl/>
          <w:lang w:eastAsia="en-US"/>
        </w:rPr>
        <w:t>ويؤخذ غالباً من نص لفظ ، ومسائل</w:t>
      </w:r>
      <w:r>
        <w:rPr>
          <w:rFonts w:ascii="Traditional Arabic" w:hAnsi="Traditional Arabic"/>
          <w:noProof w:val="0"/>
          <w:sz w:val="32"/>
          <w:szCs w:val="32"/>
          <w:rtl/>
          <w:lang w:eastAsia="en-US"/>
        </w:rPr>
        <w:t>ه المتشابهة وإيمائه، وتعليله.</w:t>
      </w:r>
      <w:r w:rsidRPr="00831898">
        <w:rPr>
          <w:rFonts w:ascii="Traditional Arabic" w:hAnsi="Traditional Arabic"/>
          <w:noProof w:val="0"/>
          <w:sz w:val="32"/>
          <w:szCs w:val="32"/>
          <w:rtl/>
          <w:lang w:eastAsia="en-US"/>
        </w:rPr>
        <w:t xml:space="preserve">والمسألة قد يكون فيها نص برواية عن ، ورواية مخرجة من الأصحاب، </w:t>
      </w:r>
      <w:r w:rsidRPr="00706269">
        <w:rPr>
          <w:rFonts w:ascii="Traditional Arabic" w:hAnsi="Traditional Arabic"/>
          <w:noProof w:val="0"/>
          <w:sz w:val="32"/>
          <w:szCs w:val="32"/>
          <w:rtl/>
          <w:lang w:eastAsia="en-US"/>
        </w:rPr>
        <w:t>وقد لا يكون فيها نص عن  فتجدهم يقولون:</w:t>
      </w:r>
      <w:r>
        <w:rPr>
          <w:rFonts w:ascii="Traditional Arabic" w:hAnsi="Traditional Arabic" w:hint="cs"/>
          <w:noProof w:val="0"/>
          <w:sz w:val="32"/>
          <w:szCs w:val="32"/>
          <w:rtl/>
          <w:lang w:eastAsia="en-US"/>
        </w:rPr>
        <w:t xml:space="preserve"> </w:t>
      </w:r>
      <w:r w:rsidRPr="00706269">
        <w:rPr>
          <w:rFonts w:ascii="Traditional Arabic" w:hAnsi="Traditional Arabic"/>
          <w:noProof w:val="0"/>
          <w:sz w:val="32"/>
          <w:szCs w:val="32"/>
          <w:rtl/>
          <w:lang w:eastAsia="en-US"/>
        </w:rPr>
        <w:t xml:space="preserve">فيها وجه أو وجهان، مريدا بذلك عدم وجود رواية عن </w:t>
      </w:r>
      <w:r w:rsidRPr="00831898">
        <w:rPr>
          <w:rFonts w:ascii="Traditional Arabic" w:hAnsi="Traditional Arabic"/>
          <w:noProof w:val="0"/>
          <w:sz w:val="32"/>
          <w:szCs w:val="32"/>
          <w:rtl/>
          <w:lang w:eastAsia="en-US"/>
        </w:rPr>
        <w:t>.</w:t>
      </w:r>
      <w:r>
        <w:rPr>
          <w:rFonts w:ascii="Traditional Arabic" w:hAnsi="Traditional Arabic" w:hint="cs"/>
          <w:noProof w:val="0"/>
          <w:color w:val="auto"/>
          <w:sz w:val="32"/>
          <w:szCs w:val="32"/>
          <w:rtl/>
          <w:lang w:eastAsia="en-US"/>
        </w:rPr>
        <w:t xml:space="preserve"> المدخل المفصل </w:t>
      </w:r>
      <w:r w:rsidRPr="00831898">
        <w:rPr>
          <w:rFonts w:ascii="Traditional Arabic" w:hAnsi="Traditional Arabic"/>
          <w:noProof w:val="0"/>
          <w:sz w:val="32"/>
          <w:szCs w:val="32"/>
          <w:rtl/>
          <w:lang w:eastAsia="en-US"/>
        </w:rPr>
        <w:t>لمذهب  وتخريجات الأصحاب</w:t>
      </w:r>
      <w:r>
        <w:rPr>
          <w:rFonts w:ascii="Traditional Arabic" w:hAnsi="Traditional Arabic" w:hint="cs"/>
          <w:noProof w:val="0"/>
          <w:color w:val="auto"/>
          <w:sz w:val="32"/>
          <w:szCs w:val="32"/>
          <w:rtl/>
          <w:lang w:eastAsia="en-US"/>
        </w:rPr>
        <w:t xml:space="preserve"> لبكر بن عبد الله أبو زيد (1/279-280) بتصرف يسيبر.</w:t>
      </w:r>
    </w:p>
  </w:footnote>
  <w:footnote w:id="375">
    <w:p w:rsidR="000D3D21" w:rsidRPr="00693DC7" w:rsidRDefault="000D3D21" w:rsidP="00A6645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تقرير </w:t>
      </w:r>
      <w:r w:rsidRPr="00693DC7">
        <w:rPr>
          <w:rFonts w:ascii="Tahoma" w:hAnsi="Tahoma" w:hint="cs"/>
          <w:sz w:val="32"/>
          <w:szCs w:val="32"/>
          <w:rtl/>
        </w:rPr>
        <w:t>القواعد لابن رجب (3/162).</w:t>
      </w:r>
    </w:p>
  </w:footnote>
  <w:footnote w:id="376">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شرح المنهج المنتخب إلى قواعد المذهب</w:t>
      </w:r>
      <w:r>
        <w:rPr>
          <w:rFonts w:ascii="Traditional Arabic" w:hAnsi="Traditional Arabic" w:hint="cs"/>
          <w:sz w:val="32"/>
          <w:szCs w:val="32"/>
          <w:rtl/>
        </w:rPr>
        <w:t xml:space="preserve"> </w:t>
      </w:r>
      <w:r w:rsidRPr="00A00853">
        <w:rPr>
          <w:rFonts w:ascii="Traditional Arabic" w:hAnsi="Traditional Arabic"/>
          <w:sz w:val="32"/>
          <w:szCs w:val="32"/>
          <w:rtl/>
        </w:rPr>
        <w:t>لأحمد المنجور2/121).</w:t>
      </w:r>
    </w:p>
  </w:footnote>
  <w:footnote w:id="377">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المنثور </w:t>
      </w:r>
      <w:r>
        <w:rPr>
          <w:rFonts w:ascii="Traditional Arabic" w:hAnsi="Traditional Arabic" w:hint="cs"/>
          <w:sz w:val="32"/>
          <w:szCs w:val="32"/>
          <w:rtl/>
        </w:rPr>
        <w:t xml:space="preserve">للزركشي </w:t>
      </w:r>
      <w:r w:rsidRPr="00A00853">
        <w:rPr>
          <w:rFonts w:ascii="Traditional Arabic" w:hAnsi="Traditional Arabic"/>
          <w:sz w:val="32"/>
          <w:szCs w:val="32"/>
          <w:rtl/>
        </w:rPr>
        <w:t>(1/311).</w:t>
      </w:r>
    </w:p>
  </w:footnote>
  <w:footnote w:id="378">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مقاييس اللغة (3/471).</w:t>
      </w:r>
    </w:p>
  </w:footnote>
  <w:footnote w:id="379">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A00853">
        <w:rPr>
          <w:rFonts w:ascii="Traditional Arabic" w:hAnsi="Traditional Arabic"/>
          <w:sz w:val="32"/>
          <w:szCs w:val="32"/>
          <w:rtl/>
        </w:rPr>
        <w:t xml:space="preserve"> انظر الأصل</w:t>
      </w:r>
      <w:r>
        <w:rPr>
          <w:rFonts w:ascii="Traditional Arabic" w:hAnsi="Traditional Arabic"/>
          <w:sz w:val="32"/>
          <w:szCs w:val="32"/>
          <w:rtl/>
        </w:rPr>
        <w:t xml:space="preserve"> و</w:t>
      </w:r>
      <w:r w:rsidRPr="00A00853">
        <w:rPr>
          <w:rFonts w:ascii="Traditional Arabic" w:hAnsi="Traditional Arabic"/>
          <w:sz w:val="32"/>
          <w:szCs w:val="32"/>
          <w:rtl/>
        </w:rPr>
        <w:t>الظاهر في القواعد الفقهية (81).</w:t>
      </w:r>
    </w:p>
  </w:footnote>
  <w:footnote w:id="380">
    <w:p w:rsidR="000D3D21" w:rsidRPr="008A2793" w:rsidRDefault="000D3D21" w:rsidP="008A2793">
      <w:pPr>
        <w:pStyle w:val="a7"/>
        <w:pageBreakBefore/>
        <w:rPr>
          <w:sz w:val="32"/>
          <w:szCs w:val="32"/>
          <w:rtl/>
        </w:rPr>
      </w:pPr>
      <w:r w:rsidRPr="008A2793">
        <w:rPr>
          <w:rStyle w:val="af1"/>
          <w:rFonts w:ascii="Traditional Arabic" w:hAnsi="Traditional Arabic"/>
          <w:sz w:val="32"/>
          <w:szCs w:val="32"/>
          <w:vertAlign w:val="baseline"/>
        </w:rPr>
        <w:footnoteRef/>
      </w:r>
      <w:r w:rsidRPr="008A2793">
        <w:rPr>
          <w:rStyle w:val="af1"/>
          <w:rFonts w:ascii="Traditional Arabic" w:hAnsi="Traditional Arabic"/>
          <w:sz w:val="32"/>
          <w:szCs w:val="32"/>
          <w:vertAlign w:val="baseline"/>
        </w:rPr>
        <w:t>)</w:t>
      </w:r>
      <w:r w:rsidRPr="008A2793">
        <w:rPr>
          <w:rStyle w:val="af1"/>
          <w:rFonts w:ascii="Traditional Arabic" w:hAnsi="Traditional Arabic" w:hint="cs"/>
          <w:sz w:val="32"/>
          <w:szCs w:val="32"/>
          <w:vertAlign w:val="baseline"/>
          <w:rtl/>
        </w:rPr>
        <w:t>)</w:t>
      </w:r>
      <w:r w:rsidRPr="008A2793">
        <w:rPr>
          <w:rStyle w:val="af1"/>
          <w:rFonts w:ascii="Traditional Arabic" w:hAnsi="Traditional Arabic"/>
          <w:sz w:val="32"/>
          <w:szCs w:val="32"/>
          <w:vertAlign w:val="baseline"/>
          <w:rtl/>
        </w:rPr>
        <w:t xml:space="preserve"> </w:t>
      </w:r>
      <w:r w:rsidRPr="008A2793">
        <w:rPr>
          <w:rFonts w:hint="cs"/>
          <w:sz w:val="32"/>
          <w:szCs w:val="32"/>
          <w:rtl/>
        </w:rPr>
        <w:t>البحر المحيط للزركشي (3/436).وانظر روضة الناظر (2/563).</w:t>
      </w:r>
    </w:p>
  </w:footnote>
  <w:footnote w:id="381">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A00853">
        <w:rPr>
          <w:rFonts w:ascii="Traditional Arabic" w:hAnsi="Traditional Arabic"/>
          <w:sz w:val="32"/>
          <w:szCs w:val="32"/>
          <w:rtl/>
        </w:rPr>
        <w:t xml:space="preserve"> انظر</w:t>
      </w:r>
      <w:r>
        <w:rPr>
          <w:rFonts w:ascii="Traditional Arabic" w:hAnsi="Traditional Arabic" w:hint="cs"/>
          <w:sz w:val="32"/>
          <w:szCs w:val="32"/>
          <w:rtl/>
        </w:rPr>
        <w:t>:</w:t>
      </w:r>
      <w:r w:rsidRPr="00A00853">
        <w:rPr>
          <w:rFonts w:ascii="Traditional Arabic" w:hAnsi="Traditional Arabic"/>
          <w:sz w:val="32"/>
          <w:szCs w:val="32"/>
          <w:rtl/>
        </w:rPr>
        <w:t xml:space="preserve"> </w:t>
      </w:r>
      <w:r>
        <w:rPr>
          <w:rFonts w:ascii="Traditional Arabic" w:hAnsi="Traditional Arabic" w:hint="cs"/>
          <w:sz w:val="32"/>
          <w:szCs w:val="32"/>
          <w:rtl/>
        </w:rPr>
        <w:t>المنثور للزركشي (1/312)، و</w:t>
      </w:r>
      <w:r w:rsidRPr="00A00853">
        <w:rPr>
          <w:rFonts w:ascii="Traditional Arabic" w:hAnsi="Traditional Arabic"/>
          <w:sz w:val="32"/>
          <w:szCs w:val="32"/>
          <w:rtl/>
        </w:rPr>
        <w:t>شرح القواعد الفقهية لأحمد الزرقا (107)،</w:t>
      </w:r>
      <w:r>
        <w:rPr>
          <w:rFonts w:ascii="Traditional Arabic" w:hAnsi="Traditional Arabic"/>
          <w:sz w:val="32"/>
          <w:szCs w:val="32"/>
          <w:rtl/>
        </w:rPr>
        <w:t xml:space="preserve"> و</w:t>
      </w:r>
      <w:r w:rsidRPr="00A00853">
        <w:rPr>
          <w:rFonts w:ascii="Traditional Arabic" w:hAnsi="Traditional Arabic"/>
          <w:sz w:val="32"/>
          <w:szCs w:val="32"/>
          <w:rtl/>
        </w:rPr>
        <w:t>نظرية الأصل</w:t>
      </w:r>
      <w:r>
        <w:rPr>
          <w:rFonts w:ascii="Traditional Arabic" w:hAnsi="Traditional Arabic"/>
          <w:sz w:val="32"/>
          <w:szCs w:val="32"/>
          <w:rtl/>
        </w:rPr>
        <w:t xml:space="preserve"> و</w:t>
      </w:r>
      <w:r w:rsidRPr="00A00853">
        <w:rPr>
          <w:rFonts w:ascii="Traditional Arabic" w:hAnsi="Traditional Arabic"/>
          <w:sz w:val="32"/>
          <w:szCs w:val="32"/>
          <w:rtl/>
        </w:rPr>
        <w:t>الظاهر لمحمد سماعي (32).</w:t>
      </w:r>
    </w:p>
  </w:footnote>
  <w:footnote w:id="382">
    <w:p w:rsidR="000D3D21" w:rsidRPr="00A00853" w:rsidRDefault="000D3D21" w:rsidP="00A6645D">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انظر الأصل</w:t>
      </w:r>
      <w:r>
        <w:rPr>
          <w:rFonts w:ascii="Traditional Arabic" w:hAnsi="Traditional Arabic"/>
          <w:sz w:val="32"/>
          <w:szCs w:val="32"/>
          <w:rtl/>
        </w:rPr>
        <w:t xml:space="preserve"> و</w:t>
      </w:r>
      <w:r w:rsidRPr="00A00853">
        <w:rPr>
          <w:rFonts w:ascii="Traditional Arabic" w:hAnsi="Traditional Arabic"/>
          <w:sz w:val="32"/>
          <w:szCs w:val="32"/>
          <w:rtl/>
        </w:rPr>
        <w:t>الظاهر في القواعد الفقهية (424، 431، 448).و من طرق الترجيح ما يلي:</w:t>
      </w:r>
    </w:p>
    <w:p w:rsidR="000D3D21" w:rsidRPr="00A00853" w:rsidRDefault="000D3D21" w:rsidP="00A6645D">
      <w:pPr>
        <w:pStyle w:val="a7"/>
        <w:pageBreakBefore/>
        <w:rPr>
          <w:rFonts w:ascii="Traditional Arabic" w:hAnsi="Traditional Arabic"/>
          <w:sz w:val="32"/>
          <w:szCs w:val="32"/>
          <w:rtl/>
        </w:rPr>
      </w:pPr>
      <w:r w:rsidRPr="00A00853">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الترجيح بالأحوط.</w:t>
      </w:r>
    </w:p>
    <w:p w:rsidR="000D3D21" w:rsidRPr="00A00853" w:rsidRDefault="000D3D21" w:rsidP="00A6645D">
      <w:pPr>
        <w:pStyle w:val="a7"/>
        <w:pageBreakBefore/>
        <w:rPr>
          <w:rFonts w:ascii="Traditional Arabic" w:hAnsi="Traditional Arabic"/>
          <w:sz w:val="32"/>
          <w:szCs w:val="32"/>
          <w:rtl/>
        </w:rPr>
      </w:pPr>
      <w:r w:rsidRPr="00A00853">
        <w:rPr>
          <w:rFonts w:ascii="Traditional Arabic" w:hAnsi="Traditional Arabic"/>
          <w:sz w:val="32"/>
          <w:szCs w:val="32"/>
          <w:rtl/>
        </w:rPr>
        <w:t>-ا</w:t>
      </w:r>
      <w:r>
        <w:rPr>
          <w:rFonts w:ascii="Traditional Arabic" w:hAnsi="Traditional Arabic" w:hint="cs"/>
          <w:sz w:val="32"/>
          <w:szCs w:val="32"/>
          <w:rtl/>
        </w:rPr>
        <w:t xml:space="preserve"> </w:t>
      </w:r>
      <w:r w:rsidRPr="00A00853">
        <w:rPr>
          <w:rFonts w:ascii="Traditional Arabic" w:hAnsi="Traditional Arabic"/>
          <w:sz w:val="32"/>
          <w:szCs w:val="32"/>
          <w:rtl/>
        </w:rPr>
        <w:t>لترجيح بالأغلظ.</w:t>
      </w:r>
    </w:p>
    <w:p w:rsidR="000D3D21" w:rsidRPr="00A00853" w:rsidRDefault="000D3D21" w:rsidP="00A6645D">
      <w:pPr>
        <w:pStyle w:val="a7"/>
        <w:pageBreakBefore/>
        <w:rPr>
          <w:rFonts w:ascii="Traditional Arabic" w:hAnsi="Traditional Arabic"/>
          <w:sz w:val="32"/>
          <w:szCs w:val="32"/>
          <w:rtl/>
        </w:rPr>
      </w:pPr>
      <w:r w:rsidRPr="00A00853">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الترجيح بالأخف</w:t>
      </w:r>
      <w:r>
        <w:rPr>
          <w:rFonts w:ascii="Traditional Arabic" w:hAnsi="Traditional Arabic" w:hint="cs"/>
          <w:sz w:val="32"/>
          <w:szCs w:val="32"/>
          <w:rtl/>
        </w:rPr>
        <w:t>.</w:t>
      </w:r>
    </w:p>
    <w:p w:rsidR="000D3D21" w:rsidRPr="00A00853" w:rsidRDefault="000D3D21" w:rsidP="00A6645D">
      <w:pPr>
        <w:pStyle w:val="a7"/>
        <w:pageBreakBefore/>
        <w:rPr>
          <w:rFonts w:ascii="Traditional Arabic" w:hAnsi="Traditional Arabic"/>
          <w:sz w:val="32"/>
          <w:szCs w:val="32"/>
          <w:rtl/>
        </w:rPr>
      </w:pPr>
      <w:r w:rsidRPr="00A00853">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الترجيح بتقديم الأصل الخاص على العام.</w:t>
      </w:r>
    </w:p>
    <w:p w:rsidR="000D3D21" w:rsidRPr="00A00853" w:rsidRDefault="000D3D21" w:rsidP="00A6645D">
      <w:pPr>
        <w:pStyle w:val="a7"/>
        <w:pageBreakBefore/>
        <w:rPr>
          <w:rFonts w:ascii="Traditional Arabic" w:hAnsi="Traditional Arabic"/>
          <w:sz w:val="32"/>
          <w:szCs w:val="32"/>
          <w:rtl/>
        </w:rPr>
      </w:pPr>
      <w:r w:rsidRPr="00A00853">
        <w:rPr>
          <w:rFonts w:ascii="Traditional Arabic" w:hAnsi="Traditional Arabic"/>
          <w:sz w:val="32"/>
          <w:szCs w:val="32"/>
          <w:rtl/>
        </w:rPr>
        <w:t>- الترجيح باعتضاد الأصل أو الظاهر بأصل أو ظاهر آخر يؤيده</w:t>
      </w:r>
      <w:r>
        <w:rPr>
          <w:rFonts w:ascii="Traditional Arabic" w:hAnsi="Traditional Arabic"/>
          <w:sz w:val="32"/>
          <w:szCs w:val="32"/>
          <w:rtl/>
        </w:rPr>
        <w:t>.</w:t>
      </w:r>
    </w:p>
    <w:p w:rsidR="000D3D21" w:rsidRPr="00A00853" w:rsidRDefault="000D3D21" w:rsidP="00A6645D">
      <w:pPr>
        <w:pStyle w:val="a7"/>
        <w:pageBreakBefore/>
        <w:rPr>
          <w:rFonts w:ascii="Traditional Arabic" w:hAnsi="Traditional Arabic"/>
          <w:sz w:val="32"/>
          <w:szCs w:val="32"/>
        </w:rPr>
      </w:pPr>
      <w:r>
        <w:rPr>
          <w:rFonts w:ascii="Traditional Arabic" w:hAnsi="Traditional Arabic"/>
          <w:sz w:val="32"/>
          <w:szCs w:val="32"/>
          <w:rtl/>
        </w:rPr>
        <w:t xml:space="preserve"> </w:t>
      </w:r>
      <w:r>
        <w:rPr>
          <w:rFonts w:ascii="Traditional Arabic" w:hAnsi="Traditional Arabic" w:hint="cs"/>
          <w:sz w:val="32"/>
          <w:szCs w:val="32"/>
          <w:rtl/>
        </w:rPr>
        <w:t xml:space="preserve">    </w:t>
      </w:r>
      <w:r>
        <w:rPr>
          <w:rFonts w:ascii="Traditional Arabic" w:hAnsi="Traditional Arabic"/>
          <w:sz w:val="32"/>
          <w:szCs w:val="32"/>
          <w:rtl/>
        </w:rPr>
        <w:t>و</w:t>
      </w:r>
      <w:r w:rsidRPr="00A00853">
        <w:rPr>
          <w:rFonts w:ascii="Traditional Arabic" w:hAnsi="Traditional Arabic"/>
          <w:sz w:val="32"/>
          <w:szCs w:val="32"/>
          <w:rtl/>
        </w:rPr>
        <w:t>هذه الضوابط تقريبية؛</w:t>
      </w:r>
      <w:r>
        <w:rPr>
          <w:rFonts w:ascii="Traditional Arabic" w:hAnsi="Traditional Arabic"/>
          <w:sz w:val="32"/>
          <w:szCs w:val="32"/>
          <w:rtl/>
        </w:rPr>
        <w:t xml:space="preserve"> و</w:t>
      </w:r>
      <w:r w:rsidRPr="00A00853">
        <w:rPr>
          <w:rFonts w:ascii="Traditional Arabic" w:hAnsi="Traditional Arabic"/>
          <w:sz w:val="32"/>
          <w:szCs w:val="32"/>
          <w:rtl/>
        </w:rPr>
        <w:t>لهذا يجب النظر في كل مسألة بحس</w:t>
      </w:r>
      <w:r>
        <w:rPr>
          <w:rFonts w:ascii="Traditional Arabic" w:hAnsi="Traditional Arabic" w:hint="cs"/>
          <w:sz w:val="32"/>
          <w:szCs w:val="32"/>
          <w:rtl/>
        </w:rPr>
        <w:t>َ</w:t>
      </w:r>
      <w:r w:rsidRPr="00A00853">
        <w:rPr>
          <w:rFonts w:ascii="Traditional Arabic" w:hAnsi="Traditional Arabic"/>
          <w:sz w:val="32"/>
          <w:szCs w:val="32"/>
          <w:rtl/>
        </w:rPr>
        <w:t>بها نظرةً فاحصة دقيقة،</w:t>
      </w:r>
      <w:r>
        <w:rPr>
          <w:rFonts w:ascii="Traditional Arabic" w:hAnsi="Traditional Arabic"/>
          <w:sz w:val="32"/>
          <w:szCs w:val="32"/>
          <w:rtl/>
        </w:rPr>
        <w:t xml:space="preserve"> والتعرف على جميع</w:t>
      </w:r>
      <w:r>
        <w:rPr>
          <w:rFonts w:ascii="Traditional Arabic" w:hAnsi="Traditional Arabic" w:hint="cs"/>
          <w:sz w:val="32"/>
          <w:szCs w:val="32"/>
          <w:rtl/>
        </w:rPr>
        <w:t xml:space="preserve"> </w:t>
      </w:r>
      <w:r w:rsidRPr="00A00853">
        <w:rPr>
          <w:rFonts w:ascii="Traditional Arabic" w:hAnsi="Traditional Arabic"/>
          <w:sz w:val="32"/>
          <w:szCs w:val="32"/>
          <w:rtl/>
        </w:rPr>
        <w:t>الأمور التي تؤثر في المسألة،</w:t>
      </w:r>
      <w:r>
        <w:rPr>
          <w:rFonts w:ascii="Traditional Arabic" w:hAnsi="Traditional Arabic" w:hint="cs"/>
          <w:sz w:val="32"/>
          <w:szCs w:val="32"/>
          <w:rtl/>
        </w:rPr>
        <w:t xml:space="preserve"> والقرائن المحتفة بها،</w:t>
      </w:r>
      <w:r w:rsidRPr="00A00853">
        <w:rPr>
          <w:rFonts w:ascii="Traditional Arabic" w:hAnsi="Traditional Arabic"/>
          <w:sz w:val="32"/>
          <w:szCs w:val="32"/>
          <w:rtl/>
        </w:rPr>
        <w:t xml:space="preserve"> مع إعمال قواعد الترجيح التي ارتضاها العلماء.</w:t>
      </w:r>
      <w:r>
        <w:rPr>
          <w:rFonts w:ascii="Traditional Arabic" w:hAnsi="Traditional Arabic" w:hint="cs"/>
          <w:sz w:val="32"/>
          <w:szCs w:val="32"/>
          <w:rtl/>
        </w:rPr>
        <w:t xml:space="preserve">       </w:t>
      </w:r>
      <w:r>
        <w:rPr>
          <w:rFonts w:ascii="Traditional Arabic" w:hAnsi="Traditional Arabic"/>
          <w:sz w:val="32"/>
          <w:szCs w:val="32"/>
          <w:rtl/>
        </w:rPr>
        <w:t>انظر ا</w:t>
      </w:r>
      <w:r>
        <w:rPr>
          <w:rFonts w:ascii="Traditional Arabic" w:hAnsi="Traditional Arabic" w:hint="cs"/>
          <w:sz w:val="32"/>
          <w:szCs w:val="32"/>
          <w:rtl/>
        </w:rPr>
        <w:t>لأصل والظاهر في القواعد الفقهية</w:t>
      </w:r>
      <w:r w:rsidRPr="00A00853">
        <w:rPr>
          <w:rFonts w:ascii="Traditional Arabic" w:hAnsi="Traditional Arabic"/>
          <w:sz w:val="32"/>
          <w:szCs w:val="32"/>
          <w:rtl/>
        </w:rPr>
        <w:t xml:space="preserve"> (442، 501).</w:t>
      </w:r>
    </w:p>
  </w:footnote>
  <w:footnote w:id="383">
    <w:p w:rsidR="000D3D21" w:rsidRPr="005E7BC2" w:rsidRDefault="000D3D21" w:rsidP="00A6645D">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sz w:val="32"/>
          <w:szCs w:val="32"/>
          <w:rtl/>
        </w:rPr>
        <w:t xml:space="preserve"> لم أجد</w:t>
      </w:r>
      <w:r w:rsidRPr="005E7BC2">
        <w:rPr>
          <w:rFonts w:ascii="Tahoma" w:hAnsi="Tahoma" w:hint="cs"/>
          <w:sz w:val="32"/>
          <w:szCs w:val="32"/>
          <w:rtl/>
        </w:rPr>
        <w:t xml:space="preserve">-بحسب اطلاعي- </w:t>
      </w:r>
      <w:r>
        <w:rPr>
          <w:rFonts w:ascii="Tahoma" w:hAnsi="Tahoma" w:hint="cs"/>
          <w:sz w:val="32"/>
          <w:szCs w:val="32"/>
          <w:rtl/>
        </w:rPr>
        <w:t xml:space="preserve">أدلة </w:t>
      </w:r>
      <w:r w:rsidRPr="005E7BC2">
        <w:rPr>
          <w:rFonts w:ascii="Tahoma" w:hAnsi="Tahoma" w:hint="cs"/>
          <w:sz w:val="32"/>
          <w:szCs w:val="32"/>
          <w:rtl/>
        </w:rPr>
        <w:t>في خصوص تعارض الأصلين.</w:t>
      </w:r>
    </w:p>
  </w:footnote>
  <w:footnote w:id="384">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حمنة بنت جحش</w:t>
      </w:r>
      <w:r>
        <w:rPr>
          <w:rFonts w:ascii="Traditional Arabic" w:hAnsi="Traditional Arabic"/>
          <w:sz w:val="32"/>
          <w:szCs w:val="32"/>
          <w:rtl/>
        </w:rPr>
        <w:t xml:space="preserve"> بن رِياب بن يعمر الأسدية، أخت </w:t>
      </w:r>
      <w:r>
        <w:rPr>
          <w:rFonts w:ascii="Traditional Arabic" w:hAnsi="Traditional Arabic" w:hint="cs"/>
          <w:sz w:val="32"/>
          <w:szCs w:val="32"/>
          <w:rtl/>
        </w:rPr>
        <w:t>أ</w:t>
      </w:r>
      <w:r w:rsidRPr="00A00853">
        <w:rPr>
          <w:rFonts w:ascii="Traditional Arabic" w:hAnsi="Traditional Arabic"/>
          <w:sz w:val="32"/>
          <w:szCs w:val="32"/>
          <w:rtl/>
        </w:rPr>
        <w:t>م المؤمنين زينب بنت جحش، كانت زوج مصعب بن عمير فقُتل عنها يوم أحد، فتزوجها طلحة بن عبيد الله</w:t>
      </w:r>
      <w:r>
        <w:rPr>
          <w:rFonts w:ascii="Traditional Arabic" w:hAnsi="Traditional Arabic"/>
          <w:sz w:val="32"/>
          <w:szCs w:val="32"/>
          <w:rtl/>
        </w:rPr>
        <w:t xml:space="preserve"> و</w:t>
      </w:r>
      <w:r w:rsidRPr="00A00853">
        <w:rPr>
          <w:rFonts w:ascii="Traditional Arabic" w:hAnsi="Traditional Arabic"/>
          <w:sz w:val="32"/>
          <w:szCs w:val="32"/>
          <w:rtl/>
        </w:rPr>
        <w:t>ولدت له محمدا وعمران، كانت من المبايعات</w:t>
      </w:r>
      <w:r>
        <w:rPr>
          <w:rFonts w:ascii="Traditional Arabic" w:hAnsi="Traditional Arabic"/>
          <w:sz w:val="32"/>
          <w:szCs w:val="32"/>
          <w:rtl/>
        </w:rPr>
        <w:t xml:space="preserve"> و</w:t>
      </w:r>
      <w:r w:rsidRPr="00A00853">
        <w:rPr>
          <w:rFonts w:ascii="Traditional Arabic" w:hAnsi="Traditional Arabic"/>
          <w:sz w:val="32"/>
          <w:szCs w:val="32"/>
          <w:rtl/>
        </w:rPr>
        <w:t>المهاجرات،</w:t>
      </w:r>
      <w:r>
        <w:rPr>
          <w:rFonts w:ascii="Traditional Arabic" w:hAnsi="Traditional Arabic"/>
          <w:sz w:val="32"/>
          <w:szCs w:val="32"/>
          <w:rtl/>
        </w:rPr>
        <w:t xml:space="preserve"> و</w:t>
      </w:r>
      <w:r w:rsidRPr="00A00853">
        <w:rPr>
          <w:rFonts w:ascii="Traditional Arabic" w:hAnsi="Traditional Arabic"/>
          <w:sz w:val="32"/>
          <w:szCs w:val="32"/>
          <w:rtl/>
        </w:rPr>
        <w:t>شهدت غزوة أحد</w:t>
      </w:r>
      <w:r>
        <w:rPr>
          <w:rFonts w:ascii="Traditional Arabic" w:hAnsi="Traditional Arabic"/>
          <w:sz w:val="32"/>
          <w:szCs w:val="32"/>
          <w:rtl/>
        </w:rPr>
        <w:t>،</w:t>
      </w:r>
      <w:r w:rsidRPr="00A00853">
        <w:rPr>
          <w:rFonts w:ascii="Traditional Arabic" w:hAnsi="Traditional Arabic"/>
          <w:sz w:val="32"/>
          <w:szCs w:val="32"/>
          <w:rtl/>
        </w:rPr>
        <w:t xml:space="preserve"> فكانت تسقي العطشى</w:t>
      </w:r>
      <w:r>
        <w:rPr>
          <w:rFonts w:ascii="Traditional Arabic" w:hAnsi="Traditional Arabic"/>
          <w:sz w:val="32"/>
          <w:szCs w:val="32"/>
          <w:rtl/>
        </w:rPr>
        <w:t xml:space="preserve"> و</w:t>
      </w:r>
      <w:r w:rsidRPr="00A00853">
        <w:rPr>
          <w:rFonts w:ascii="Traditional Arabic" w:hAnsi="Traditional Arabic"/>
          <w:sz w:val="32"/>
          <w:szCs w:val="32"/>
          <w:rtl/>
        </w:rPr>
        <w:t>تحمل الجرحى وتداوي</w:t>
      </w:r>
      <w:r>
        <w:rPr>
          <w:rFonts w:ascii="Traditional Arabic" w:hAnsi="Traditional Arabic"/>
          <w:sz w:val="32"/>
          <w:szCs w:val="32"/>
          <w:rtl/>
        </w:rPr>
        <w:t xml:space="preserve">هم، روى عنها ابنها عمران.انظر: </w:t>
      </w:r>
      <w:r w:rsidRPr="00A00853">
        <w:rPr>
          <w:rFonts w:ascii="Traditional Arabic" w:hAnsi="Traditional Arabic"/>
          <w:sz w:val="32"/>
          <w:szCs w:val="32"/>
          <w:rtl/>
        </w:rPr>
        <w:t>الاستيعاب (4/1713)، وأسد الغابة (6/69)، والإصابة (6/57)،</w:t>
      </w:r>
      <w:r>
        <w:rPr>
          <w:rFonts w:ascii="Traditional Arabic" w:hAnsi="Traditional Arabic"/>
          <w:sz w:val="32"/>
          <w:szCs w:val="32"/>
          <w:rtl/>
        </w:rPr>
        <w:t xml:space="preserve"> و</w:t>
      </w:r>
      <w:r w:rsidRPr="00A00853">
        <w:rPr>
          <w:rFonts w:ascii="Traditional Arabic" w:hAnsi="Traditional Arabic"/>
          <w:sz w:val="32"/>
          <w:szCs w:val="32"/>
          <w:rtl/>
        </w:rPr>
        <w:t>(13/291-292).</w:t>
      </w:r>
    </w:p>
  </w:footnote>
  <w:footnote w:id="385">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أخرجه أحمد في مسنده (45/467)، رقم الحديث (27474)، وأبو داود في سننه في كتاب الطهارة، باب إذا أقبلت الحيضة تدع الصلاة، رقم الحديث (287)، والدارقطني في سننه في كتاب الحيض، باب الحيض، رقم الحديث (822)، والبيهقي في السنن الكبرى في كتاب الطهارة، باب المبتدئة لا تميز بين الدمين، رقم الحديث (1649)، والحاكم في المستدرك (1/266-267)، رقم الحديث (617). والحديث حسنه الشيخ الألباني في صحيح سنن أبي داود (1/85086).</w:t>
      </w:r>
    </w:p>
  </w:footnote>
  <w:footnote w:id="386">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 xml:space="preserve">انظر: </w:t>
      </w:r>
      <w:r>
        <w:rPr>
          <w:rFonts w:ascii="Traditional Arabic" w:hAnsi="Traditional Arabic" w:hint="cs"/>
          <w:sz w:val="32"/>
          <w:szCs w:val="32"/>
          <w:rtl/>
        </w:rPr>
        <w:t>تقرير ال</w:t>
      </w:r>
      <w:r w:rsidRPr="00A00853">
        <w:rPr>
          <w:rFonts w:ascii="Traditional Arabic" w:hAnsi="Traditional Arabic"/>
          <w:sz w:val="32"/>
          <w:szCs w:val="32"/>
          <w:rtl/>
        </w:rPr>
        <w:t xml:space="preserve">قواعد </w:t>
      </w:r>
      <w:r>
        <w:rPr>
          <w:rFonts w:ascii="Traditional Arabic" w:hAnsi="Traditional Arabic" w:hint="cs"/>
          <w:sz w:val="32"/>
          <w:szCs w:val="32"/>
          <w:rtl/>
        </w:rPr>
        <w:t>ل</w:t>
      </w:r>
      <w:r w:rsidRPr="00A00853">
        <w:rPr>
          <w:rFonts w:ascii="Traditional Arabic" w:hAnsi="Traditional Arabic"/>
          <w:sz w:val="32"/>
          <w:szCs w:val="32"/>
          <w:rtl/>
        </w:rPr>
        <w:t>ابن رجب (3/173)،</w:t>
      </w:r>
      <w:r>
        <w:rPr>
          <w:rFonts w:ascii="Traditional Arabic" w:hAnsi="Traditional Arabic"/>
          <w:sz w:val="32"/>
          <w:szCs w:val="32"/>
          <w:rtl/>
        </w:rPr>
        <w:t xml:space="preserve"> و</w:t>
      </w:r>
      <w:r w:rsidRPr="00A00853">
        <w:rPr>
          <w:rFonts w:ascii="Traditional Arabic" w:hAnsi="Traditional Arabic"/>
          <w:sz w:val="32"/>
          <w:szCs w:val="32"/>
          <w:rtl/>
        </w:rPr>
        <w:t>تعليقة على ال</w:t>
      </w:r>
      <w:r>
        <w:rPr>
          <w:rFonts w:ascii="Traditional Arabic" w:hAnsi="Traditional Arabic"/>
          <w:sz w:val="32"/>
          <w:szCs w:val="32"/>
          <w:rtl/>
        </w:rPr>
        <w:t>قواعد والأصول الجامعة</w:t>
      </w:r>
      <w:r w:rsidRPr="00A00853">
        <w:rPr>
          <w:rFonts w:ascii="Traditional Arabic" w:hAnsi="Traditional Arabic"/>
          <w:sz w:val="32"/>
          <w:szCs w:val="32"/>
          <w:rtl/>
        </w:rPr>
        <w:t xml:space="preserve"> لحمد بن إبراهيم العثمان (176-177)،</w:t>
      </w:r>
      <w:r>
        <w:rPr>
          <w:rFonts w:ascii="Traditional Arabic" w:hAnsi="Traditional Arabic"/>
          <w:sz w:val="32"/>
          <w:szCs w:val="32"/>
          <w:rtl/>
        </w:rPr>
        <w:t xml:space="preserve"> و</w:t>
      </w:r>
      <w:r w:rsidRPr="00A00853">
        <w:rPr>
          <w:rFonts w:ascii="Traditional Arabic" w:hAnsi="Traditional Arabic"/>
          <w:sz w:val="32"/>
          <w:szCs w:val="32"/>
          <w:rtl/>
        </w:rPr>
        <w:t>القواعد</w:t>
      </w:r>
      <w:r>
        <w:rPr>
          <w:rFonts w:ascii="Traditional Arabic" w:hAnsi="Traditional Arabic"/>
          <w:sz w:val="32"/>
          <w:szCs w:val="32"/>
          <w:rtl/>
        </w:rPr>
        <w:t xml:space="preserve"> و</w:t>
      </w:r>
      <w:r w:rsidRPr="00A00853">
        <w:rPr>
          <w:rFonts w:ascii="Traditional Arabic" w:hAnsi="Traditional Arabic"/>
          <w:sz w:val="32"/>
          <w:szCs w:val="32"/>
          <w:rtl/>
        </w:rPr>
        <w:t>الضوابط الفقهية عند  ابن القيم في فقه الأسرة لفؤاد صدقة مرداد(427).</w:t>
      </w:r>
    </w:p>
  </w:footnote>
  <w:footnote w:id="387">
    <w:p w:rsidR="000D3D21" w:rsidRPr="003B63D2" w:rsidRDefault="000D3D21" w:rsidP="00A422DD">
      <w:pPr>
        <w:pStyle w:val="a7"/>
        <w:pageBreakBefore/>
        <w:ind w:left="0" w:firstLine="0"/>
        <w:rPr>
          <w:sz w:val="32"/>
          <w:szCs w:val="32"/>
        </w:rPr>
      </w:pPr>
      <w:r w:rsidRPr="003B63D2">
        <w:rPr>
          <w:rFonts w:ascii="Traditional Arabic" w:hAnsi="Traditional Arabic"/>
          <w:sz w:val="32"/>
          <w:szCs w:val="32"/>
        </w:rPr>
        <w:footnoteRef/>
      </w:r>
      <w:r w:rsidRPr="003B63D2">
        <w:rPr>
          <w:rFonts w:ascii="Traditional Arabic" w:hAnsi="Traditional Arabic"/>
          <w:sz w:val="32"/>
          <w:szCs w:val="32"/>
        </w:rPr>
        <w:t>)</w:t>
      </w:r>
      <w:r w:rsidRPr="003B63D2">
        <w:rPr>
          <w:rFonts w:ascii="Traditional Arabic" w:hAnsi="Traditional Arabic" w:hint="cs"/>
          <w:sz w:val="32"/>
          <w:szCs w:val="32"/>
          <w:rtl/>
        </w:rPr>
        <w:t>)</w:t>
      </w:r>
      <w:r w:rsidRPr="003B63D2">
        <w:rPr>
          <w:rFonts w:ascii="Traditional Arabic" w:hAnsi="Traditional Arabic"/>
          <w:sz w:val="32"/>
          <w:szCs w:val="32"/>
          <w:rtl/>
        </w:rPr>
        <w:t xml:space="preserve"> </w:t>
      </w:r>
      <w:r w:rsidRPr="003B63D2">
        <w:rPr>
          <w:rFonts w:hint="cs"/>
          <w:b/>
          <w:bCs/>
          <w:sz w:val="32"/>
          <w:szCs w:val="32"/>
          <w:rtl/>
        </w:rPr>
        <w:t>أوفى على الشيء</w:t>
      </w:r>
      <w:r w:rsidRPr="003B63D2">
        <w:rPr>
          <w:rFonts w:hint="cs"/>
          <w:sz w:val="32"/>
          <w:szCs w:val="32"/>
          <w:rtl/>
        </w:rPr>
        <w:t>: أشرف عليه. المصباح المنير (548).</w:t>
      </w:r>
    </w:p>
  </w:footnote>
  <w:footnote w:id="388">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أخرجه الحاكم في المستدرك في كتاب الصوم، حديث رقم (1584)،</w:t>
      </w:r>
      <w:r>
        <w:rPr>
          <w:rFonts w:ascii="Traditional Arabic" w:hAnsi="Traditional Arabic"/>
          <w:sz w:val="32"/>
          <w:szCs w:val="32"/>
          <w:rtl/>
        </w:rPr>
        <w:t xml:space="preserve"> و</w:t>
      </w:r>
      <w:r w:rsidRPr="00A00853">
        <w:rPr>
          <w:rFonts w:ascii="Traditional Arabic" w:hAnsi="Traditional Arabic"/>
          <w:sz w:val="32"/>
          <w:szCs w:val="32"/>
          <w:rtl/>
        </w:rPr>
        <w:t>ابن حبان في صحيحه في باب</w:t>
      </w:r>
      <w:r>
        <w:rPr>
          <w:rFonts w:ascii="Traditional Arabic" w:hAnsi="Traditional Arabic" w:hint="cs"/>
          <w:noProof w:val="0"/>
          <w:sz w:val="32"/>
          <w:szCs w:val="32"/>
          <w:rtl/>
          <w:lang w:eastAsia="en-US"/>
        </w:rPr>
        <w:t xml:space="preserve"> </w:t>
      </w:r>
      <w:r w:rsidRPr="00A00853">
        <w:rPr>
          <w:rFonts w:ascii="Traditional Arabic" w:hAnsi="Traditional Arabic"/>
          <w:noProof w:val="0"/>
          <w:sz w:val="32"/>
          <w:szCs w:val="32"/>
          <w:rtl/>
          <w:lang w:eastAsia="en-US"/>
        </w:rPr>
        <w:t>ذكر الخبر المدحض قولَ م</w:t>
      </w:r>
      <w:r>
        <w:rPr>
          <w:rFonts w:ascii="Traditional Arabic" w:hAnsi="Traditional Arabic" w:hint="cs"/>
          <w:noProof w:val="0"/>
          <w:sz w:val="32"/>
          <w:szCs w:val="32"/>
          <w:rtl/>
          <w:lang w:eastAsia="en-US"/>
        </w:rPr>
        <w:t>َ</w:t>
      </w:r>
      <w:r w:rsidRPr="00A00853">
        <w:rPr>
          <w:rFonts w:ascii="Traditional Arabic" w:hAnsi="Traditional Arabic"/>
          <w:noProof w:val="0"/>
          <w:sz w:val="32"/>
          <w:szCs w:val="32"/>
          <w:rtl/>
          <w:lang w:eastAsia="en-US"/>
        </w:rPr>
        <w:t>ن أبطل مراعاة الأوقات لأداء الطاعات بالحيل والأسباب</w:t>
      </w:r>
      <w:r w:rsidRPr="00A00853">
        <w:rPr>
          <w:rFonts w:ascii="Traditional Arabic" w:hAnsi="Traditional Arabic"/>
          <w:sz w:val="32"/>
          <w:szCs w:val="32"/>
          <w:rtl/>
        </w:rPr>
        <w:t>(3510)،</w:t>
      </w:r>
      <w:r>
        <w:rPr>
          <w:rFonts w:ascii="Traditional Arabic" w:hAnsi="Traditional Arabic"/>
          <w:sz w:val="32"/>
          <w:szCs w:val="32"/>
          <w:rtl/>
        </w:rPr>
        <w:t xml:space="preserve"> و</w:t>
      </w:r>
      <w:r w:rsidRPr="00A00853">
        <w:rPr>
          <w:rFonts w:ascii="Traditional Arabic" w:hAnsi="Traditional Arabic"/>
          <w:sz w:val="32"/>
          <w:szCs w:val="32"/>
          <w:rtl/>
        </w:rPr>
        <w:t xml:space="preserve">ابن خزيمة في صحيحه في باب ذكر استحسان سنة المصطفى محمد </w:t>
      </w:r>
      <w:r>
        <w:rPr>
          <w:rFonts w:ascii="Traditional Arabic" w:hAnsi="Traditional Arabic" w:cs="CTraditional Arabic" w:hint="cs"/>
          <w:noProof w:val="0"/>
          <w:color w:val="auto"/>
          <w:rtl/>
          <w:lang w:eastAsia="en-US"/>
        </w:rPr>
        <w:t>غ</w:t>
      </w:r>
      <w:r w:rsidRPr="00A00853">
        <w:rPr>
          <w:rFonts w:ascii="Traditional Arabic" w:hAnsi="Traditional Arabic"/>
          <w:sz w:val="32"/>
          <w:szCs w:val="32"/>
          <w:rtl/>
        </w:rPr>
        <w:t xml:space="preserve"> ما لم ينتظر بالفطر قبل طلوع النجوم</w:t>
      </w:r>
      <w:r>
        <w:rPr>
          <w:rFonts w:ascii="Traditional Arabic" w:hAnsi="Traditional Arabic"/>
          <w:sz w:val="32"/>
          <w:szCs w:val="32"/>
          <w:rtl/>
        </w:rPr>
        <w:t>،</w:t>
      </w:r>
      <w:r w:rsidRPr="00A00853">
        <w:rPr>
          <w:rFonts w:ascii="Traditional Arabic" w:hAnsi="Traditional Arabic"/>
          <w:sz w:val="32"/>
          <w:szCs w:val="32"/>
          <w:rtl/>
        </w:rPr>
        <w:t xml:space="preserve"> حديث رقم (2061).و الحديث صححه </w:t>
      </w:r>
      <w:r>
        <w:rPr>
          <w:rFonts w:ascii="Traditional Arabic" w:hAnsi="Traditional Arabic" w:hint="cs"/>
          <w:sz w:val="32"/>
          <w:szCs w:val="32"/>
          <w:rtl/>
        </w:rPr>
        <w:t xml:space="preserve">الشيخ </w:t>
      </w:r>
      <w:r w:rsidRPr="00A00853">
        <w:rPr>
          <w:rFonts w:ascii="Traditional Arabic" w:hAnsi="Traditional Arabic"/>
          <w:sz w:val="32"/>
          <w:szCs w:val="32"/>
          <w:rtl/>
        </w:rPr>
        <w:t>الألباني في صحيح الترغيب</w:t>
      </w:r>
      <w:r>
        <w:rPr>
          <w:rFonts w:ascii="Traditional Arabic" w:hAnsi="Traditional Arabic"/>
          <w:sz w:val="32"/>
          <w:szCs w:val="32"/>
          <w:rtl/>
        </w:rPr>
        <w:t xml:space="preserve"> و</w:t>
      </w:r>
      <w:r w:rsidRPr="00A00853">
        <w:rPr>
          <w:rFonts w:ascii="Traditional Arabic" w:hAnsi="Traditional Arabic"/>
          <w:sz w:val="32"/>
          <w:szCs w:val="32"/>
          <w:rtl/>
        </w:rPr>
        <w:t>الترهيب (1/622).</w:t>
      </w:r>
    </w:p>
  </w:footnote>
  <w:footnote w:id="389">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 xml:space="preserve">انظر </w:t>
      </w:r>
      <w:r>
        <w:rPr>
          <w:rFonts w:ascii="Traditional Arabic" w:hAnsi="Traditional Arabic" w:hint="cs"/>
          <w:sz w:val="32"/>
          <w:szCs w:val="32"/>
          <w:rtl/>
        </w:rPr>
        <w:t>تقرير ال</w:t>
      </w:r>
      <w:r w:rsidRPr="00A00853">
        <w:rPr>
          <w:rFonts w:ascii="Traditional Arabic" w:hAnsi="Traditional Arabic"/>
          <w:sz w:val="32"/>
          <w:szCs w:val="32"/>
          <w:rtl/>
        </w:rPr>
        <w:t xml:space="preserve">قواعد </w:t>
      </w:r>
      <w:r>
        <w:rPr>
          <w:rFonts w:ascii="Traditional Arabic" w:hAnsi="Traditional Arabic" w:hint="cs"/>
          <w:sz w:val="32"/>
          <w:szCs w:val="32"/>
          <w:rtl/>
        </w:rPr>
        <w:t>ل</w:t>
      </w:r>
      <w:r w:rsidRPr="00A00853">
        <w:rPr>
          <w:rFonts w:ascii="Traditional Arabic" w:hAnsi="Traditional Arabic"/>
          <w:sz w:val="32"/>
          <w:szCs w:val="32"/>
          <w:rtl/>
        </w:rPr>
        <w:t>ابن رجب (3/164-165)،</w:t>
      </w:r>
      <w:r>
        <w:rPr>
          <w:rFonts w:ascii="Traditional Arabic" w:hAnsi="Traditional Arabic"/>
          <w:sz w:val="32"/>
          <w:szCs w:val="32"/>
          <w:rtl/>
        </w:rPr>
        <w:t xml:space="preserve"> و</w:t>
      </w:r>
      <w:r w:rsidRPr="00A00853">
        <w:rPr>
          <w:rFonts w:ascii="Traditional Arabic" w:hAnsi="Traditional Arabic"/>
          <w:sz w:val="32"/>
          <w:szCs w:val="32"/>
          <w:rtl/>
        </w:rPr>
        <w:t>القواعد</w:t>
      </w:r>
      <w:r>
        <w:rPr>
          <w:rFonts w:ascii="Traditional Arabic" w:hAnsi="Traditional Arabic"/>
          <w:sz w:val="32"/>
          <w:szCs w:val="32"/>
          <w:rtl/>
        </w:rPr>
        <w:t xml:space="preserve"> و</w:t>
      </w:r>
      <w:r w:rsidRPr="00A00853">
        <w:rPr>
          <w:rFonts w:ascii="Traditional Arabic" w:hAnsi="Traditional Arabic"/>
          <w:sz w:val="32"/>
          <w:szCs w:val="32"/>
          <w:rtl/>
        </w:rPr>
        <w:t>الضوابط الفقهية عند  ابن القيم في فقه الأسرة (428).</w:t>
      </w:r>
    </w:p>
  </w:footnote>
  <w:footnote w:id="390">
    <w:p w:rsidR="000D3D21" w:rsidRPr="00A00853" w:rsidRDefault="000D3D21" w:rsidP="00E35ED5">
      <w:pPr>
        <w:widowControl/>
        <w:autoSpaceDE w:val="0"/>
        <w:autoSpaceDN w:val="0"/>
        <w:adjustRightInd w:val="0"/>
        <w:ind w:firstLine="0"/>
        <w:jc w:val="left"/>
        <w:rPr>
          <w:rFonts w:ascii="Traditional Arabic" w:hAnsi="Traditional Arabic"/>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b/>
          <w:bCs/>
          <w:noProof w:val="0"/>
          <w:color w:val="auto"/>
          <w:sz w:val="32"/>
          <w:szCs w:val="32"/>
          <w:rtl/>
          <w:lang w:eastAsia="en-US"/>
        </w:rPr>
        <w:t xml:space="preserve"> </w:t>
      </w:r>
      <w:r w:rsidRPr="00FB1694">
        <w:rPr>
          <w:rFonts w:ascii="Traditional Arabic" w:hAnsi="Traditional Arabic"/>
          <w:b/>
          <w:bCs/>
          <w:noProof w:val="0"/>
          <w:color w:val="auto"/>
          <w:sz w:val="32"/>
          <w:szCs w:val="32"/>
          <w:rtl/>
          <w:lang w:eastAsia="en-US"/>
        </w:rPr>
        <w:t>السَّرَعان</w:t>
      </w:r>
      <w:r>
        <w:rPr>
          <w:rFonts w:ascii="Traditional Arabic" w:hAnsi="Traditional Arabic" w:hint="cs"/>
          <w:noProof w:val="0"/>
          <w:color w:val="auto"/>
          <w:sz w:val="32"/>
          <w:szCs w:val="32"/>
          <w:rtl/>
          <w:lang w:eastAsia="en-US"/>
        </w:rPr>
        <w:t>:</w:t>
      </w:r>
      <w:r w:rsidR="00AB0B9E">
        <w:rPr>
          <w:rFonts w:ascii="Traditional Arabic" w:hAnsi="Traditional Arabic"/>
          <w:noProof w:val="0"/>
          <w:color w:val="auto"/>
          <w:sz w:val="32"/>
          <w:szCs w:val="32"/>
          <w:rtl/>
          <w:lang w:eastAsia="en-US"/>
        </w:rPr>
        <w:fldChar w:fldCharType="begin"/>
      </w:r>
      <w:r>
        <w:instrText xml:space="preserve"> XE "</w:instrText>
      </w:r>
      <w:r w:rsidRPr="00D026CF">
        <w:rPr>
          <w:rFonts w:ascii="Traditional Arabic" w:hAnsi="Traditional Arabic"/>
          <w:noProof w:val="0"/>
          <w:color w:val="auto"/>
          <w:sz w:val="32"/>
          <w:szCs w:val="32"/>
          <w:rtl/>
          <w:lang w:eastAsia="en-US"/>
        </w:rPr>
        <w:instrText>السَّرَعان</w:instrText>
      </w:r>
      <w:r>
        <w:instrText>" \fm</w:instrText>
      </w:r>
      <w:r w:rsidR="00AB0B9E">
        <w:rPr>
          <w:rFonts w:ascii="Traditional Arabic" w:hAnsi="Traditional Arabic"/>
          <w:noProof w:val="0"/>
          <w:color w:val="auto"/>
          <w:sz w:val="32"/>
          <w:szCs w:val="32"/>
          <w:rtl/>
          <w:lang w:eastAsia="en-US"/>
        </w:rPr>
        <w:fldChar w:fldCharType="end"/>
      </w:r>
      <w:r w:rsidRPr="00465638">
        <w:rPr>
          <w:rFonts w:ascii="Traditional Arabic" w:hAnsi="Traditional Arabic"/>
          <w:noProof w:val="0"/>
          <w:color w:val="auto"/>
          <w:sz w:val="32"/>
          <w:szCs w:val="32"/>
          <w:rtl/>
          <w:lang w:eastAsia="en-US"/>
        </w:rPr>
        <w:t xml:space="preserve"> بفتح السين والراء</w:t>
      </w:r>
      <w:r>
        <w:rPr>
          <w:rFonts w:ascii="Traditional Arabic" w:hAnsi="Traditional Arabic" w:hint="cs"/>
          <w:noProof w:val="0"/>
          <w:color w:val="auto"/>
          <w:sz w:val="32"/>
          <w:szCs w:val="32"/>
          <w:rtl/>
          <w:lang w:eastAsia="en-US"/>
        </w:rPr>
        <w:t xml:space="preserve">، </w:t>
      </w:r>
      <w:r>
        <w:rPr>
          <w:rFonts w:ascii="Traditional Arabic" w:hAnsi="Traditional Arabic"/>
          <w:noProof w:val="0"/>
          <w:color w:val="auto"/>
          <w:sz w:val="32"/>
          <w:szCs w:val="32"/>
          <w:rtl/>
          <w:lang w:eastAsia="en-US"/>
        </w:rPr>
        <w:t>ويجوز</w:t>
      </w:r>
      <w:r w:rsidRPr="00465638">
        <w:rPr>
          <w:rFonts w:ascii="Traditional Arabic" w:hAnsi="Traditional Arabic"/>
          <w:noProof w:val="0"/>
          <w:color w:val="auto"/>
          <w:sz w:val="32"/>
          <w:szCs w:val="32"/>
          <w:rtl/>
          <w:lang w:eastAsia="en-US"/>
        </w:rPr>
        <w:t xml:space="preserve"> تسكين الراء</w:t>
      </w:r>
      <w:r>
        <w:rPr>
          <w:rFonts w:ascii="Traditional Arabic" w:hAnsi="Traditional Arabic"/>
          <w:noProof w:val="0"/>
          <w:color w:val="auto"/>
          <w:sz w:val="32"/>
          <w:szCs w:val="32"/>
          <w:rtl/>
          <w:lang w:eastAsia="en-US"/>
        </w:rPr>
        <w:t>: أوائلُ الناس الذين يتسارع</w:t>
      </w:r>
      <w:r w:rsidRPr="00465638">
        <w:rPr>
          <w:rFonts w:ascii="Traditional Arabic" w:hAnsi="Traditional Arabic"/>
          <w:noProof w:val="0"/>
          <w:color w:val="auto"/>
          <w:sz w:val="32"/>
          <w:szCs w:val="32"/>
          <w:rtl/>
          <w:lang w:eastAsia="en-US"/>
        </w:rPr>
        <w:t xml:space="preserve">ون إلى </w:t>
      </w:r>
      <w:r>
        <w:rPr>
          <w:rFonts w:ascii="Traditional Arabic" w:hAnsi="Traditional Arabic"/>
          <w:noProof w:val="0"/>
          <w:color w:val="auto"/>
          <w:sz w:val="32"/>
          <w:szCs w:val="32"/>
          <w:rtl/>
          <w:lang w:eastAsia="en-US"/>
        </w:rPr>
        <w:t>الشيء</w:t>
      </w:r>
      <w:r>
        <w:rPr>
          <w:rFonts w:ascii="Traditional Arabic" w:hAnsi="Traditional Arabic" w:hint="cs"/>
          <w:sz w:val="32"/>
          <w:szCs w:val="32"/>
          <w:rtl/>
        </w:rPr>
        <w:t xml:space="preserve"> </w:t>
      </w:r>
      <w:r>
        <w:rPr>
          <w:rFonts w:ascii="Traditional Arabic" w:hAnsi="Traditional Arabic"/>
          <w:noProof w:val="0"/>
          <w:color w:val="auto"/>
          <w:sz w:val="32"/>
          <w:szCs w:val="32"/>
          <w:rtl/>
          <w:lang w:eastAsia="en-US"/>
        </w:rPr>
        <w:t>بسرعة</w:t>
      </w:r>
      <w:r>
        <w:rPr>
          <w:rFonts w:ascii="Traditional Arabic" w:hAnsi="Traditional Arabic" w:hint="cs"/>
          <w:noProof w:val="0"/>
          <w:color w:val="auto"/>
          <w:sz w:val="32"/>
          <w:szCs w:val="32"/>
          <w:rtl/>
          <w:lang w:eastAsia="en-US"/>
        </w:rPr>
        <w:t>.     النهاية في غريب الحديث والأثر (2/361) بتصرف.</w:t>
      </w:r>
    </w:p>
  </w:footnote>
  <w:footnote w:id="391">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اسمه الخِرْباق</w:t>
      </w:r>
      <w:r>
        <w:rPr>
          <w:rFonts w:ascii="Traditional Arabic" w:hAnsi="Traditional Arabic"/>
          <w:sz w:val="32"/>
          <w:szCs w:val="32"/>
          <w:rtl/>
        </w:rPr>
        <w:t>،</w:t>
      </w:r>
      <w:r w:rsidRPr="00A00853">
        <w:rPr>
          <w:rFonts w:ascii="Traditional Arabic" w:hAnsi="Traditional Arabic"/>
          <w:sz w:val="32"/>
          <w:szCs w:val="32"/>
          <w:rtl/>
        </w:rPr>
        <w:t xml:space="preserve"> من بني سليم، كان ينزل بذي خُشُب من ناحية المدينة، وليس هو ذو الشمالين حليف بني زهرة الذي قتل يوم بدر، وذو اليدين شهده أبو هريرة لما سها النبي </w:t>
      </w:r>
      <w:r>
        <w:rPr>
          <w:rFonts w:ascii="Traditional Arabic" w:hAnsi="Traditional Arabic" w:cs="CTraditional Arabic" w:hint="cs"/>
          <w:noProof w:val="0"/>
          <w:color w:val="auto"/>
          <w:rtl/>
          <w:lang w:eastAsia="en-US"/>
        </w:rPr>
        <w:t>غ</w:t>
      </w:r>
      <w:r w:rsidRPr="00A00853">
        <w:rPr>
          <w:rFonts w:ascii="Traditional Arabic" w:hAnsi="Traditional Arabic"/>
          <w:sz w:val="32"/>
          <w:szCs w:val="32"/>
          <w:rtl/>
        </w:rPr>
        <w:t xml:space="preserve"> في الصلاة، وأبوهريرة</w:t>
      </w:r>
      <w:r>
        <w:rPr>
          <w:rFonts w:ascii="Traditional Arabic" w:hAnsi="Traditional Arabic"/>
          <w:sz w:val="32"/>
          <w:szCs w:val="32"/>
          <w:rtl/>
        </w:rPr>
        <w:t xml:space="preserve"> أسلم عام خيبر بعد بدر بأعوام، </w:t>
      </w:r>
      <w:r>
        <w:rPr>
          <w:rFonts w:ascii="Traditional Arabic" w:hAnsi="Traditional Arabic" w:hint="cs"/>
          <w:sz w:val="32"/>
          <w:szCs w:val="32"/>
          <w:rtl/>
        </w:rPr>
        <w:t xml:space="preserve">كما أن </w:t>
      </w:r>
      <w:r>
        <w:rPr>
          <w:rFonts w:ascii="Traditional Arabic" w:hAnsi="Traditional Arabic"/>
          <w:sz w:val="32"/>
          <w:szCs w:val="32"/>
          <w:rtl/>
        </w:rPr>
        <w:t>ذ</w:t>
      </w:r>
      <w:r>
        <w:rPr>
          <w:rFonts w:ascii="Traditional Arabic" w:hAnsi="Traditional Arabic" w:hint="cs"/>
          <w:sz w:val="32"/>
          <w:szCs w:val="32"/>
          <w:rtl/>
        </w:rPr>
        <w:t>ا</w:t>
      </w:r>
      <w:r w:rsidRPr="00A00853">
        <w:rPr>
          <w:rFonts w:ascii="Traditional Arabic" w:hAnsi="Traditional Arabic"/>
          <w:sz w:val="32"/>
          <w:szCs w:val="32"/>
          <w:rtl/>
        </w:rPr>
        <w:t xml:space="preserve"> اليدين عاش حتى روى عنه المتأخرون.انظر: الثقات لابن حبان (3/114)، والاستيعاب (2/457-458)، وأسد الغابة (2/27- 28)، والإصابة (3/434-435)،</w:t>
      </w:r>
      <w:r>
        <w:rPr>
          <w:rFonts w:ascii="Traditional Arabic" w:hAnsi="Traditional Arabic"/>
          <w:sz w:val="32"/>
          <w:szCs w:val="32"/>
          <w:rtl/>
        </w:rPr>
        <w:t xml:space="preserve"> و</w:t>
      </w:r>
      <w:r w:rsidRPr="00A00853">
        <w:rPr>
          <w:rFonts w:ascii="Traditional Arabic" w:hAnsi="Traditional Arabic"/>
          <w:sz w:val="32"/>
          <w:szCs w:val="32"/>
          <w:rtl/>
        </w:rPr>
        <w:t xml:space="preserve">فتح الباري لابن حجر (3/100)، ونظم الفوائد لما تضمنه حديث ذي اليدين من الفوائد للحافظ صلاح الدين </w:t>
      </w:r>
      <w:r>
        <w:rPr>
          <w:rFonts w:ascii="Traditional Arabic" w:hAnsi="Traditional Arabic" w:hint="cs"/>
          <w:sz w:val="32"/>
          <w:szCs w:val="32"/>
          <w:rtl/>
        </w:rPr>
        <w:t>ا</w:t>
      </w:r>
      <w:r w:rsidRPr="00A00853">
        <w:rPr>
          <w:rFonts w:ascii="Traditional Arabic" w:hAnsi="Traditional Arabic"/>
          <w:sz w:val="32"/>
          <w:szCs w:val="32"/>
          <w:rtl/>
        </w:rPr>
        <w:t>لعلائي (61-77).</w:t>
      </w:r>
    </w:p>
  </w:footnote>
  <w:footnote w:id="392">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القائل هو محمد بن سيرين</w:t>
      </w:r>
      <w:r w:rsidRPr="00A00853">
        <w:rPr>
          <w:rFonts w:ascii="Traditional Arabic" w:hAnsi="Traditional Arabic"/>
          <w:sz w:val="32"/>
          <w:szCs w:val="32"/>
          <w:rtl/>
        </w:rPr>
        <w:t>.</w:t>
      </w:r>
      <w:r>
        <w:rPr>
          <w:rFonts w:ascii="Traditional Arabic" w:hAnsi="Traditional Arabic" w:hint="cs"/>
          <w:sz w:val="32"/>
          <w:szCs w:val="32"/>
          <w:rtl/>
        </w:rPr>
        <w:t xml:space="preserve"> انظر: </w:t>
      </w:r>
      <w:r w:rsidRPr="00A00853">
        <w:rPr>
          <w:rFonts w:ascii="Traditional Arabic" w:hAnsi="Traditional Arabic"/>
          <w:sz w:val="32"/>
          <w:szCs w:val="32"/>
          <w:rtl/>
        </w:rPr>
        <w:t>هدي الساري مقدمة فتح الباري (398).</w:t>
      </w:r>
    </w:p>
  </w:footnote>
  <w:footnote w:id="393">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أخرجه البخاري في صحيحه في كتاب الصلاة، باب تشبيك الأصابع في المسجد وغيره، رقم الحديث (481)، ومسلم في صحيحه في كتاب الصلاة، باب السهو في الصلاة والسجود له، رقم الحديث (1288). </w:t>
      </w:r>
    </w:p>
  </w:footnote>
  <w:footnote w:id="394">
    <w:p w:rsidR="000D3D21" w:rsidRPr="00A00853" w:rsidRDefault="000D3D21" w:rsidP="00E35ED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 xml:space="preserve">نظم الفرائد </w:t>
      </w:r>
      <w:r>
        <w:rPr>
          <w:rFonts w:ascii="Traditional Arabic" w:hAnsi="Traditional Arabic" w:hint="cs"/>
          <w:sz w:val="32"/>
          <w:szCs w:val="32"/>
          <w:rtl/>
        </w:rPr>
        <w:t>ل</w:t>
      </w:r>
      <w:r w:rsidRPr="00A00853">
        <w:rPr>
          <w:rFonts w:ascii="Traditional Arabic" w:hAnsi="Traditional Arabic"/>
          <w:sz w:val="32"/>
          <w:szCs w:val="32"/>
          <w:rtl/>
        </w:rPr>
        <w:t xml:space="preserve">لعلائي (404). </w:t>
      </w:r>
    </w:p>
  </w:footnote>
  <w:footnote w:id="395">
    <w:p w:rsidR="000D3D21" w:rsidRPr="00A00853" w:rsidRDefault="000D3D21" w:rsidP="00A6645D">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انظر الشرح الممتع (8/223-224).</w:t>
      </w:r>
    </w:p>
  </w:footnote>
  <w:footnote w:id="396">
    <w:p w:rsidR="000D3D21" w:rsidRPr="00F15CEE" w:rsidRDefault="000D3D21" w:rsidP="00A6645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انظر </w:t>
      </w:r>
      <w:r>
        <w:rPr>
          <w:rFonts w:ascii="Traditional Arabic" w:hAnsi="Traditional Arabic" w:hint="cs"/>
          <w:sz w:val="32"/>
          <w:szCs w:val="32"/>
          <w:rtl/>
        </w:rPr>
        <w:t>ا</w:t>
      </w:r>
      <w:r w:rsidRPr="00A00853">
        <w:rPr>
          <w:rFonts w:ascii="Traditional Arabic" w:hAnsi="Traditional Arabic"/>
          <w:sz w:val="32"/>
          <w:szCs w:val="32"/>
          <w:rtl/>
        </w:rPr>
        <w:t>لمرجع السابق.</w:t>
      </w:r>
    </w:p>
  </w:footnote>
  <w:footnote w:id="397">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انظر المرجع السابق (8/230).</w:t>
      </w:r>
    </w:p>
  </w:footnote>
  <w:footnote w:id="398">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 (8/230)</w:t>
      </w:r>
      <w:r w:rsidRPr="00A00853">
        <w:rPr>
          <w:rFonts w:ascii="Traditional Arabic" w:hAnsi="Traditional Arabic"/>
          <w:sz w:val="32"/>
          <w:szCs w:val="32"/>
          <w:rtl/>
        </w:rPr>
        <w:t>.</w:t>
      </w:r>
    </w:p>
  </w:footnote>
  <w:footnote w:id="399">
    <w:p w:rsidR="000D3D21" w:rsidRPr="00B71471" w:rsidRDefault="000D3D21" w:rsidP="00A6645D">
      <w:pPr>
        <w:widowControl/>
        <w:autoSpaceDE w:val="0"/>
        <w:autoSpaceDN w:val="0"/>
        <w:adjustRightInd w:val="0"/>
        <w:ind w:firstLine="0"/>
        <w:jc w:val="left"/>
        <w:rPr>
          <w:rFonts w:ascii="Tahoma" w:hAnsi="Tahoma"/>
          <w:sz w:val="32"/>
          <w:szCs w:val="32"/>
        </w:rPr>
      </w:pPr>
      <w:r w:rsidRPr="00451907">
        <w:rPr>
          <w:rFonts w:ascii="Tahoma" w:hAnsi="Tahoma"/>
          <w:sz w:val="28"/>
          <w:szCs w:val="32"/>
          <w:rtl/>
        </w:rPr>
        <w:t>(</w:t>
      </w:r>
      <w:r w:rsidRPr="00451907">
        <w:rPr>
          <w:rStyle w:val="af1"/>
          <w:rFonts w:ascii="Tahoma" w:hAnsi="Tahoma"/>
          <w:sz w:val="28"/>
          <w:szCs w:val="32"/>
          <w:vertAlign w:val="baseline"/>
          <w:rtl/>
        </w:rPr>
        <w:footnoteRef/>
      </w:r>
      <w:r w:rsidRPr="00451907">
        <w:rPr>
          <w:rFonts w:ascii="Tahoma" w:hAnsi="Tahoma"/>
          <w:sz w:val="28"/>
          <w:szCs w:val="32"/>
          <w:rtl/>
        </w:rPr>
        <w:t>)</w:t>
      </w:r>
      <w:r>
        <w:rPr>
          <w:rFonts w:ascii="Traditional Arabic" w:hAnsi="Traditional Arabic" w:hint="cs"/>
          <w:noProof w:val="0"/>
          <w:sz w:val="32"/>
          <w:szCs w:val="32"/>
          <w:rtl/>
          <w:lang w:eastAsia="en-US"/>
        </w:rPr>
        <w:t xml:space="preserve"> كما </w:t>
      </w:r>
      <w:r>
        <w:rPr>
          <w:rFonts w:ascii="Traditional Arabic" w:hAnsi="Traditional Arabic"/>
          <w:noProof w:val="0"/>
          <w:sz w:val="32"/>
          <w:szCs w:val="32"/>
          <w:rtl/>
          <w:lang w:eastAsia="en-US"/>
        </w:rPr>
        <w:t>لو رهنه سيارة</w:t>
      </w:r>
      <w:r>
        <w:rPr>
          <w:rFonts w:ascii="Traditional Arabic" w:hAnsi="Traditional Arabic" w:hint="cs"/>
          <w:noProof w:val="0"/>
          <w:sz w:val="32"/>
          <w:szCs w:val="32"/>
          <w:rtl/>
          <w:lang w:eastAsia="en-US"/>
        </w:rPr>
        <w:t xml:space="preserve"> </w:t>
      </w:r>
      <w:r w:rsidRPr="00B71471">
        <w:rPr>
          <w:rFonts w:ascii="Traditional Arabic" w:hAnsi="Traditional Arabic"/>
          <w:noProof w:val="0"/>
          <w:sz w:val="32"/>
          <w:szCs w:val="32"/>
          <w:rtl/>
          <w:lang w:eastAsia="en-US"/>
        </w:rPr>
        <w:t>بدين، ولما حل</w:t>
      </w:r>
      <w:r>
        <w:rPr>
          <w:rFonts w:ascii="Traditional Arabic" w:hAnsi="Traditional Arabic" w:hint="cs"/>
          <w:noProof w:val="0"/>
          <w:sz w:val="32"/>
          <w:szCs w:val="32"/>
          <w:rtl/>
          <w:lang w:eastAsia="en-US"/>
        </w:rPr>
        <w:t>َّ</w:t>
      </w:r>
      <w:r w:rsidRPr="00B71471">
        <w:rPr>
          <w:rFonts w:ascii="Traditional Arabic" w:hAnsi="Traditional Arabic"/>
          <w:noProof w:val="0"/>
          <w:sz w:val="32"/>
          <w:szCs w:val="32"/>
          <w:rtl/>
          <w:lang w:eastAsia="en-US"/>
        </w:rPr>
        <w:t xml:space="preserve"> الدين جاء الراهن إلى المرتهن بمائة ، فقال </w:t>
      </w:r>
      <w:r>
        <w:rPr>
          <w:rFonts w:ascii="Traditional Arabic" w:hAnsi="Traditional Arabic"/>
          <w:noProof w:val="0"/>
          <w:sz w:val="32"/>
          <w:szCs w:val="32"/>
          <w:rtl/>
          <w:lang w:eastAsia="en-US"/>
        </w:rPr>
        <w:t>المرتهن: الدين خمس</w:t>
      </w:r>
      <w:r>
        <w:rPr>
          <w:rFonts w:ascii="Traditional Arabic" w:hAnsi="Traditional Arabic" w:hint="cs"/>
          <w:noProof w:val="0"/>
          <w:sz w:val="32"/>
          <w:szCs w:val="32"/>
          <w:rtl/>
          <w:lang w:eastAsia="en-US"/>
        </w:rPr>
        <w:t>ون</w:t>
      </w:r>
      <w:r>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أل</w:t>
      </w:r>
      <w:r>
        <w:rPr>
          <w:rFonts w:ascii="Traditional Arabic" w:hAnsi="Traditional Arabic"/>
          <w:noProof w:val="0"/>
          <w:sz w:val="32"/>
          <w:szCs w:val="32"/>
          <w:rtl/>
          <w:lang w:eastAsia="en-US"/>
        </w:rPr>
        <w:t xml:space="preserve">ف ، </w:t>
      </w:r>
      <w:r>
        <w:rPr>
          <w:rFonts w:ascii="Traditional Arabic" w:hAnsi="Traditional Arabic" w:hint="cs"/>
          <w:noProof w:val="0"/>
          <w:sz w:val="32"/>
          <w:szCs w:val="32"/>
          <w:rtl/>
          <w:lang w:eastAsia="en-US"/>
        </w:rPr>
        <w:t>و</w:t>
      </w:r>
      <w:r w:rsidRPr="00B71471">
        <w:rPr>
          <w:rFonts w:ascii="Traditional Arabic" w:hAnsi="Traditional Arabic"/>
          <w:noProof w:val="0"/>
          <w:sz w:val="32"/>
          <w:szCs w:val="32"/>
          <w:rtl/>
          <w:lang w:eastAsia="en-US"/>
        </w:rPr>
        <w:t>قال</w:t>
      </w:r>
      <w:r>
        <w:rPr>
          <w:rFonts w:ascii="Traditional Arabic" w:hAnsi="Traditional Arabic" w:hint="cs"/>
          <w:noProof w:val="0"/>
          <w:sz w:val="32"/>
          <w:szCs w:val="32"/>
          <w:rtl/>
          <w:lang w:eastAsia="en-US"/>
        </w:rPr>
        <w:t xml:space="preserve"> الراهن</w:t>
      </w:r>
      <w:r>
        <w:rPr>
          <w:rFonts w:ascii="Traditional Arabic" w:hAnsi="Traditional Arabic"/>
          <w:noProof w:val="0"/>
          <w:sz w:val="32"/>
          <w:szCs w:val="32"/>
          <w:rtl/>
          <w:lang w:eastAsia="en-US"/>
        </w:rPr>
        <w:t xml:space="preserve">: لا، بل مائة </w:t>
      </w:r>
      <w:r>
        <w:rPr>
          <w:rFonts w:ascii="Traditional Arabic" w:hAnsi="Traditional Arabic" w:hint="cs"/>
          <w:noProof w:val="0"/>
          <w:sz w:val="32"/>
          <w:szCs w:val="32"/>
          <w:rtl/>
          <w:lang w:eastAsia="en-US"/>
        </w:rPr>
        <w:t>. ف</w:t>
      </w:r>
      <w:r w:rsidRPr="00B71471">
        <w:rPr>
          <w:rFonts w:ascii="Traditional Arabic" w:hAnsi="Traditional Arabic"/>
          <w:noProof w:val="0"/>
          <w:sz w:val="32"/>
          <w:szCs w:val="32"/>
          <w:rtl/>
          <w:lang w:eastAsia="en-US"/>
        </w:rPr>
        <w:t>الظاهر ثبوت ما ادعاه المرتهن في هذه الصورة؛ إذ لم تجر</w:t>
      </w:r>
      <w:r>
        <w:rPr>
          <w:rFonts w:ascii="Traditional Arabic" w:hAnsi="Traditional Arabic" w:hint="cs"/>
          <w:noProof w:val="0"/>
          <w:sz w:val="32"/>
          <w:szCs w:val="32"/>
          <w:rtl/>
          <w:lang w:eastAsia="en-US"/>
        </w:rPr>
        <w:t>ِ</w:t>
      </w:r>
      <w:r w:rsidRPr="00B71471">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 xml:space="preserve">العادة </w:t>
      </w:r>
      <w:r w:rsidRPr="00B71471">
        <w:rPr>
          <w:rFonts w:ascii="Traditional Arabic" w:hAnsi="Traditional Arabic"/>
          <w:noProof w:val="0"/>
          <w:sz w:val="32"/>
          <w:szCs w:val="32"/>
          <w:rtl/>
          <w:lang w:eastAsia="en-US"/>
        </w:rPr>
        <w:t>أن شخصاً يرهن سيارة ت</w:t>
      </w:r>
      <w:r>
        <w:rPr>
          <w:rFonts w:ascii="Traditional Arabic" w:hAnsi="Traditional Arabic"/>
          <w:noProof w:val="0"/>
          <w:sz w:val="32"/>
          <w:szCs w:val="32"/>
          <w:rtl/>
          <w:lang w:eastAsia="en-US"/>
        </w:rPr>
        <w:t xml:space="preserve">ساوي خمسين </w:t>
      </w:r>
      <w:r>
        <w:rPr>
          <w:rFonts w:ascii="Traditional Arabic" w:hAnsi="Traditional Arabic" w:hint="cs"/>
          <w:noProof w:val="0"/>
          <w:sz w:val="32"/>
          <w:szCs w:val="32"/>
          <w:rtl/>
          <w:lang w:eastAsia="en-US"/>
        </w:rPr>
        <w:t>أ</w:t>
      </w:r>
      <w:r w:rsidRPr="00B71471">
        <w:rPr>
          <w:rFonts w:ascii="Traditional Arabic" w:hAnsi="Traditional Arabic"/>
          <w:noProof w:val="0"/>
          <w:sz w:val="32"/>
          <w:szCs w:val="32"/>
          <w:rtl/>
          <w:lang w:eastAsia="en-US"/>
        </w:rPr>
        <w:t xml:space="preserve">لفاً بمائة </w:t>
      </w:r>
      <w:r>
        <w:rPr>
          <w:rFonts w:ascii="Traditional Arabic" w:hAnsi="Traditional Arabic" w:hint="cs"/>
          <w:noProof w:val="0"/>
          <w:sz w:val="32"/>
          <w:szCs w:val="32"/>
          <w:rtl/>
          <w:lang w:eastAsia="en-US"/>
        </w:rPr>
        <w:t>. انظر المرجع السابق (9/165).</w:t>
      </w:r>
    </w:p>
  </w:footnote>
  <w:footnote w:id="400">
    <w:p w:rsidR="000D3D21" w:rsidRPr="00BF747D" w:rsidRDefault="000D3D21" w:rsidP="00A6645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انظر المرجع السابق (9/164-165).</w:t>
      </w:r>
    </w:p>
  </w:footnote>
  <w:footnote w:id="401">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A00853">
        <w:rPr>
          <w:rFonts w:ascii="Traditional Arabic" w:hAnsi="Traditional Arabic"/>
          <w:sz w:val="32"/>
          <w:szCs w:val="32"/>
          <w:rtl/>
        </w:rPr>
        <w:t xml:space="preserve"> (9/165-166).</w:t>
      </w:r>
    </w:p>
  </w:footnote>
  <w:footnote w:id="402">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00853">
        <w:rPr>
          <w:rFonts w:ascii="Traditional Arabic" w:hAnsi="Traditional Arabic"/>
          <w:sz w:val="32"/>
          <w:szCs w:val="32"/>
          <w:rtl/>
        </w:rPr>
        <w:t>انظر المرجع السابق (10/189-190).</w:t>
      </w:r>
    </w:p>
  </w:footnote>
  <w:footnote w:id="403">
    <w:p w:rsidR="000D3D21" w:rsidRPr="00A00853" w:rsidRDefault="000D3D21" w:rsidP="00A6645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A00853">
        <w:rPr>
          <w:rFonts w:ascii="Traditional Arabic" w:hAnsi="Traditional Arabic"/>
          <w:sz w:val="32"/>
          <w:szCs w:val="32"/>
          <w:rtl/>
        </w:rPr>
        <w:t xml:space="preserve"> (10/189-190).</w:t>
      </w:r>
    </w:p>
  </w:footnote>
  <w:footnote w:id="404">
    <w:p w:rsidR="000D3D21" w:rsidRPr="009B7DB3" w:rsidRDefault="000D3D21" w:rsidP="00A6645D">
      <w:pPr>
        <w:pStyle w:val="a7"/>
        <w:pageBreakBefore/>
        <w:rPr>
          <w:rFonts w:ascii="Tahoma" w:hAnsi="Tahoma"/>
          <w:sz w:val="32"/>
          <w:szCs w:val="32"/>
        </w:rPr>
      </w:pPr>
      <w:r w:rsidRPr="009B7DB3">
        <w:rPr>
          <w:rFonts w:ascii="Tahoma" w:hAnsi="Tahoma"/>
          <w:sz w:val="32"/>
          <w:szCs w:val="32"/>
          <w:rtl/>
        </w:rPr>
        <w:t>(</w:t>
      </w:r>
      <w:r w:rsidRPr="009B7DB3">
        <w:rPr>
          <w:rStyle w:val="af1"/>
          <w:rFonts w:ascii="Tahoma" w:hAnsi="Tahoma"/>
          <w:sz w:val="32"/>
          <w:szCs w:val="32"/>
          <w:vertAlign w:val="baseline"/>
          <w:rtl/>
        </w:rPr>
        <w:footnoteRef/>
      </w:r>
      <w:r w:rsidRPr="009B7DB3">
        <w:rPr>
          <w:rFonts w:ascii="Tahoma" w:hAnsi="Tahoma"/>
          <w:sz w:val="32"/>
          <w:szCs w:val="32"/>
          <w:rtl/>
        </w:rPr>
        <w:t>)</w:t>
      </w:r>
      <w:r w:rsidRPr="009B7DB3">
        <w:rPr>
          <w:rFonts w:ascii="Tahoma" w:hAnsi="Tahoma" w:hint="cs"/>
          <w:sz w:val="32"/>
          <w:szCs w:val="32"/>
          <w:rtl/>
        </w:rPr>
        <w:t xml:space="preserve"> انظر المرجع السابق (9/387).</w:t>
      </w:r>
    </w:p>
  </w:footnote>
  <w:footnote w:id="405">
    <w:p w:rsidR="000D3D21" w:rsidRPr="002540AC" w:rsidRDefault="000D3D21" w:rsidP="00A6645D">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sz w:val="32"/>
          <w:szCs w:val="32"/>
          <w:rtl/>
        </w:rPr>
        <w:t xml:space="preserve"> سيأتي بحث هذه القاعدة في ص (421</w:t>
      </w:r>
      <w:r w:rsidRPr="00F66B89">
        <w:rPr>
          <w:rFonts w:ascii="Tahoma" w:hAnsi="Tahoma" w:hint="cs"/>
          <w:sz w:val="32"/>
          <w:szCs w:val="32"/>
          <w:rtl/>
        </w:rPr>
        <w:t>) من هذه الرسالة.</w:t>
      </w:r>
    </w:p>
  </w:footnote>
  <w:footnote w:id="406">
    <w:p w:rsidR="000D3D21" w:rsidRPr="00F66B89" w:rsidRDefault="000D3D21" w:rsidP="00A6645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F66B89">
        <w:rPr>
          <w:rFonts w:ascii="Tahoma" w:hAnsi="Tahoma" w:hint="cs"/>
          <w:sz w:val="32"/>
          <w:szCs w:val="32"/>
          <w:rtl/>
        </w:rPr>
        <w:t>انظر الشرح الممتع (9/167، 168)،</w:t>
      </w:r>
      <w:r>
        <w:rPr>
          <w:rFonts w:ascii="Tahoma" w:hAnsi="Tahoma" w:hint="cs"/>
          <w:sz w:val="32"/>
          <w:szCs w:val="32"/>
          <w:rtl/>
        </w:rPr>
        <w:t xml:space="preserve"> و</w:t>
      </w:r>
      <w:r w:rsidRPr="00F66B89">
        <w:rPr>
          <w:rFonts w:ascii="Tahoma" w:hAnsi="Tahoma" w:hint="cs"/>
          <w:sz w:val="32"/>
          <w:szCs w:val="32"/>
          <w:rtl/>
        </w:rPr>
        <w:t>(10/304)</w:t>
      </w:r>
      <w:r>
        <w:rPr>
          <w:rFonts w:ascii="Tahoma" w:hAnsi="Tahoma" w:hint="cs"/>
          <w:sz w:val="32"/>
          <w:szCs w:val="32"/>
          <w:rtl/>
        </w:rPr>
        <w:t xml:space="preserve">، وشرح القواعد الفقهية للزرقا (93)، والوجيز للبورنو (178)، ونظرية الأصل والظاهر (152). </w:t>
      </w:r>
    </w:p>
  </w:footnote>
  <w:footnote w:id="407">
    <w:p w:rsidR="000D3D21" w:rsidRPr="008624FD"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624FD">
        <w:rPr>
          <w:rFonts w:ascii="Traditional Arabic" w:hAnsi="Traditional Arabic"/>
          <w:sz w:val="32"/>
          <w:szCs w:val="32"/>
          <w:rtl/>
        </w:rPr>
        <w:t>اخترت هذه الصيغة لشُمولها الأقوال والأفعال.</w:t>
      </w:r>
    </w:p>
  </w:footnote>
  <w:footnote w:id="408">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8624FD">
        <w:rPr>
          <w:rFonts w:ascii="Traditional Arabic" w:hAnsi="Traditional Arabic"/>
          <w:sz w:val="32"/>
          <w:szCs w:val="32"/>
          <w:rtl/>
        </w:rPr>
        <w:t xml:space="preserve"> (8/282).</w:t>
      </w:r>
    </w:p>
  </w:footnote>
  <w:footnote w:id="409">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المرجع السابق (9/11).</w:t>
      </w:r>
    </w:p>
  </w:footnote>
  <w:footnote w:id="410">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مما يُلْحَظ على بعض هذه الصيغ أ</w:t>
      </w:r>
      <w:r w:rsidRPr="00B727D5">
        <w:rPr>
          <w:rFonts w:ascii="Traditional Arabic" w:hAnsi="Traditional Arabic"/>
          <w:sz w:val="32"/>
          <w:szCs w:val="32"/>
          <w:rtl/>
        </w:rPr>
        <w:t>ن مدلول</w:t>
      </w:r>
      <w:r>
        <w:rPr>
          <w:rFonts w:ascii="Traditional Arabic" w:hAnsi="Traditional Arabic" w:hint="cs"/>
          <w:sz w:val="32"/>
          <w:szCs w:val="32"/>
          <w:rtl/>
        </w:rPr>
        <w:t xml:space="preserve">ها </w:t>
      </w:r>
      <w:r w:rsidRPr="00B727D5">
        <w:rPr>
          <w:rFonts w:ascii="Traditional Arabic" w:hAnsi="Traditional Arabic"/>
          <w:sz w:val="32"/>
          <w:szCs w:val="32"/>
          <w:rtl/>
        </w:rPr>
        <w:t>أخ</w:t>
      </w:r>
      <w:r>
        <w:rPr>
          <w:rFonts w:ascii="Traditional Arabic" w:hAnsi="Traditional Arabic" w:hint="cs"/>
          <w:sz w:val="32"/>
          <w:szCs w:val="32"/>
          <w:rtl/>
        </w:rPr>
        <w:t>َ</w:t>
      </w:r>
      <w:r w:rsidRPr="00B727D5">
        <w:rPr>
          <w:rFonts w:ascii="Traditional Arabic" w:hAnsi="Traditional Arabic"/>
          <w:sz w:val="32"/>
          <w:szCs w:val="32"/>
          <w:rtl/>
        </w:rPr>
        <w:t>ص</w:t>
      </w:r>
      <w:r>
        <w:rPr>
          <w:rFonts w:ascii="Traditional Arabic" w:hAnsi="Traditional Arabic" w:hint="cs"/>
          <w:sz w:val="32"/>
          <w:szCs w:val="32"/>
          <w:rtl/>
        </w:rPr>
        <w:t>ُّ</w:t>
      </w:r>
      <w:r w:rsidRPr="00B727D5">
        <w:rPr>
          <w:rFonts w:ascii="Traditional Arabic" w:hAnsi="Traditional Arabic"/>
          <w:sz w:val="32"/>
          <w:szCs w:val="32"/>
          <w:rtl/>
        </w:rPr>
        <w:t xml:space="preserve"> من مدلول القاعدة</w:t>
      </w:r>
      <w:r>
        <w:rPr>
          <w:rFonts w:ascii="Traditional Arabic" w:hAnsi="Traditional Arabic" w:hint="cs"/>
          <w:sz w:val="32"/>
          <w:szCs w:val="32"/>
          <w:rtl/>
        </w:rPr>
        <w:t>؛ إذ تعبر على جزء من مدلولها</w:t>
      </w:r>
      <w:r w:rsidRPr="00B727D5">
        <w:rPr>
          <w:rFonts w:ascii="Traditional Arabic" w:hAnsi="Traditional Arabic"/>
          <w:sz w:val="32"/>
          <w:szCs w:val="32"/>
          <w:rtl/>
        </w:rPr>
        <w:t xml:space="preserve">. </w:t>
      </w:r>
    </w:p>
  </w:footnote>
  <w:footnote w:id="411">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 xml:space="preserve">مجموع </w:t>
      </w:r>
      <w:r>
        <w:rPr>
          <w:rFonts w:ascii="Traditional Arabic" w:hAnsi="Traditional Arabic" w:hint="cs"/>
          <w:sz w:val="32"/>
          <w:szCs w:val="32"/>
          <w:rtl/>
        </w:rPr>
        <w:t>ال</w:t>
      </w:r>
      <w:r w:rsidRPr="00B727D5">
        <w:rPr>
          <w:rFonts w:ascii="Traditional Arabic" w:hAnsi="Traditional Arabic"/>
          <w:sz w:val="32"/>
          <w:szCs w:val="32"/>
          <w:rtl/>
        </w:rPr>
        <w:t xml:space="preserve">فتاوى </w:t>
      </w:r>
      <w:r>
        <w:rPr>
          <w:rFonts w:ascii="Traditional Arabic" w:hAnsi="Traditional Arabic" w:hint="cs"/>
          <w:sz w:val="32"/>
          <w:szCs w:val="32"/>
          <w:rtl/>
        </w:rPr>
        <w:t>ل</w:t>
      </w:r>
      <w:r w:rsidRPr="00B727D5">
        <w:rPr>
          <w:rFonts w:ascii="Traditional Arabic" w:hAnsi="Traditional Arabic"/>
          <w:sz w:val="32"/>
          <w:szCs w:val="32"/>
          <w:rtl/>
        </w:rPr>
        <w:t>ابن تيمية (31/18).</w:t>
      </w:r>
    </w:p>
  </w:footnote>
  <w:footnote w:id="412">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 xml:space="preserve">إعلام الموقعين (4/469)، والقواعد الفقهية المستخرجة من كتاب إعلام الموقعين </w:t>
      </w:r>
      <w:r>
        <w:rPr>
          <w:rFonts w:ascii="Traditional Arabic" w:hAnsi="Traditional Arabic" w:hint="cs"/>
          <w:sz w:val="32"/>
          <w:szCs w:val="32"/>
          <w:rtl/>
        </w:rPr>
        <w:t xml:space="preserve">لعبد المجيد جمعة  </w:t>
      </w:r>
      <w:r w:rsidRPr="00B727D5">
        <w:rPr>
          <w:rFonts w:ascii="Traditional Arabic" w:hAnsi="Traditional Arabic"/>
          <w:sz w:val="32"/>
          <w:szCs w:val="32"/>
          <w:rtl/>
        </w:rPr>
        <w:t>(365).</w:t>
      </w:r>
    </w:p>
  </w:footnote>
  <w:footnote w:id="413">
    <w:p w:rsidR="000D3D21" w:rsidRPr="007C1AEC" w:rsidRDefault="000D3D21" w:rsidP="00E633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7C1AEC">
        <w:rPr>
          <w:rFonts w:ascii="Traditional Arabic" w:hAnsi="Traditional Arabic"/>
          <w:b/>
          <w:bCs/>
          <w:sz w:val="32"/>
          <w:szCs w:val="32"/>
          <w:rtl/>
        </w:rPr>
        <w:t>عُرْف الدابَّة</w:t>
      </w:r>
      <w:r w:rsidR="00AB0B9E">
        <w:rPr>
          <w:rFonts w:ascii="Traditional Arabic" w:hAnsi="Traditional Arabic"/>
          <w:b/>
          <w:bCs/>
          <w:sz w:val="32"/>
          <w:szCs w:val="32"/>
          <w:rtl/>
        </w:rPr>
        <w:fldChar w:fldCharType="begin"/>
      </w:r>
      <w:r>
        <w:instrText xml:space="preserve"> XE "</w:instrText>
      </w:r>
      <w:r w:rsidRPr="0019507C">
        <w:rPr>
          <w:rFonts w:ascii="Traditional Arabic" w:hAnsi="Traditional Arabic"/>
          <w:sz w:val="32"/>
          <w:szCs w:val="32"/>
          <w:rtl/>
        </w:rPr>
        <w:instrText>عُرْف الدابَّة</w:instrText>
      </w:r>
      <w:r>
        <w:instrText>" \fm</w:instrText>
      </w:r>
      <w:r w:rsidR="00AB0B9E">
        <w:rPr>
          <w:rFonts w:ascii="Traditional Arabic" w:hAnsi="Traditional Arabic"/>
          <w:b/>
          <w:bCs/>
          <w:sz w:val="32"/>
          <w:szCs w:val="32"/>
          <w:rtl/>
        </w:rPr>
        <w:fldChar w:fldCharType="end"/>
      </w:r>
      <w:r w:rsidRPr="007C1AEC">
        <w:rPr>
          <w:rFonts w:ascii="Traditional Arabic" w:hAnsi="Traditional Arabic"/>
          <w:sz w:val="32"/>
          <w:szCs w:val="32"/>
          <w:rtl/>
        </w:rPr>
        <w:t>: الشَّعر النابت في مُحَدَّبِ رقبتها.</w:t>
      </w:r>
      <w:r>
        <w:rPr>
          <w:rFonts w:ascii="Traditional Arabic" w:hAnsi="Traditional Arabic" w:hint="cs"/>
          <w:sz w:val="32"/>
          <w:szCs w:val="32"/>
          <w:rtl/>
        </w:rPr>
        <w:t xml:space="preserve"> </w:t>
      </w:r>
      <w:r w:rsidRPr="007C1AEC">
        <w:rPr>
          <w:rFonts w:ascii="Traditional Arabic" w:hAnsi="Traditional Arabic"/>
          <w:sz w:val="32"/>
          <w:szCs w:val="32"/>
          <w:rtl/>
        </w:rPr>
        <w:t>المصباح المنير (330).</w:t>
      </w:r>
    </w:p>
  </w:footnote>
  <w:footnote w:id="414">
    <w:p w:rsidR="000D3D21" w:rsidRPr="007C1AEC" w:rsidRDefault="000D3D21" w:rsidP="00E633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7C1AEC">
        <w:rPr>
          <w:rFonts w:ascii="Traditional Arabic" w:hAnsi="Traditional Arabic"/>
          <w:b/>
          <w:bCs/>
          <w:sz w:val="32"/>
          <w:szCs w:val="32"/>
          <w:rtl/>
        </w:rPr>
        <w:t>نبا</w:t>
      </w:r>
      <w:r w:rsidR="00AB0B9E">
        <w:rPr>
          <w:rFonts w:ascii="Traditional Arabic" w:hAnsi="Traditional Arabic"/>
          <w:b/>
          <w:bCs/>
          <w:sz w:val="32"/>
          <w:szCs w:val="32"/>
          <w:rtl/>
        </w:rPr>
        <w:fldChar w:fldCharType="begin"/>
      </w:r>
      <w:r>
        <w:instrText xml:space="preserve"> XE "</w:instrText>
      </w:r>
      <w:r w:rsidRPr="0019507C">
        <w:rPr>
          <w:rFonts w:ascii="Traditional Arabic" w:hAnsi="Traditional Arabic"/>
          <w:sz w:val="32"/>
          <w:szCs w:val="32"/>
          <w:rtl/>
        </w:rPr>
        <w:instrText>نبا</w:instrText>
      </w:r>
      <w:r>
        <w:instrText>" \fm</w:instrText>
      </w:r>
      <w:r w:rsidR="00AB0B9E">
        <w:rPr>
          <w:rFonts w:ascii="Traditional Arabic" w:hAnsi="Traditional Arabic"/>
          <w:b/>
          <w:bCs/>
          <w:sz w:val="32"/>
          <w:szCs w:val="32"/>
          <w:rtl/>
        </w:rPr>
        <w:fldChar w:fldCharType="end"/>
      </w:r>
      <w:r w:rsidRPr="007C1AEC">
        <w:rPr>
          <w:rFonts w:ascii="Traditional Arabic" w:hAnsi="Traditional Arabic"/>
          <w:b/>
          <w:bCs/>
          <w:sz w:val="32"/>
          <w:szCs w:val="32"/>
          <w:rtl/>
        </w:rPr>
        <w:t xml:space="preserve"> الشيءُ</w:t>
      </w:r>
      <w:r w:rsidRPr="007C1AEC">
        <w:rPr>
          <w:rFonts w:ascii="Traditional Arabic" w:hAnsi="Traditional Arabic"/>
          <w:sz w:val="32"/>
          <w:szCs w:val="32"/>
          <w:rtl/>
        </w:rPr>
        <w:t>: بَعُدَ.</w:t>
      </w:r>
      <w:r>
        <w:rPr>
          <w:rFonts w:ascii="Traditional Arabic" w:hAnsi="Traditional Arabic" w:hint="cs"/>
          <w:sz w:val="32"/>
          <w:szCs w:val="32"/>
          <w:rtl/>
        </w:rPr>
        <w:t xml:space="preserve"> </w:t>
      </w:r>
      <w:r w:rsidRPr="007C1AEC">
        <w:rPr>
          <w:rFonts w:ascii="Traditional Arabic" w:hAnsi="Traditional Arabic"/>
          <w:sz w:val="32"/>
          <w:szCs w:val="32"/>
          <w:rtl/>
        </w:rPr>
        <w:t>المصباح المنير (483).</w:t>
      </w:r>
    </w:p>
  </w:footnote>
  <w:footnote w:id="415">
    <w:p w:rsidR="000D3D21" w:rsidRPr="007C1AEC" w:rsidRDefault="000D3D21" w:rsidP="00E633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مقاييس اللغة (4/281).</w:t>
      </w:r>
    </w:p>
  </w:footnote>
  <w:footnote w:id="416">
    <w:p w:rsidR="000D3D21" w:rsidRPr="007C1AEC" w:rsidRDefault="000D3D21" w:rsidP="00E633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تاج العروس للزبيدي (24/135).</w:t>
      </w:r>
    </w:p>
  </w:footnote>
  <w:footnote w:id="417">
    <w:p w:rsidR="000D3D21" w:rsidRPr="007C1AEC" w:rsidRDefault="000D3D21" w:rsidP="00E63327">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7C1AEC">
        <w:rPr>
          <w:rFonts w:ascii="Traditional Arabic" w:hAnsi="Traditional Arabic"/>
          <w:b/>
          <w:bCs/>
          <w:sz w:val="32"/>
          <w:szCs w:val="32"/>
          <w:rtl/>
        </w:rPr>
        <w:t>العادة</w:t>
      </w:r>
      <w:r w:rsidR="00AB0B9E">
        <w:rPr>
          <w:rFonts w:ascii="Traditional Arabic" w:hAnsi="Traditional Arabic"/>
          <w:b/>
          <w:bCs/>
          <w:sz w:val="32"/>
          <w:szCs w:val="32"/>
          <w:rtl/>
        </w:rPr>
        <w:fldChar w:fldCharType="begin"/>
      </w:r>
      <w:r>
        <w:instrText xml:space="preserve"> XE "</w:instrText>
      </w:r>
      <w:r w:rsidRPr="0019507C">
        <w:rPr>
          <w:rFonts w:ascii="Traditional Arabic" w:hAnsi="Traditional Arabic"/>
          <w:sz w:val="32"/>
          <w:szCs w:val="32"/>
          <w:rtl/>
        </w:rPr>
        <w:instrText>العادة</w:instrText>
      </w:r>
      <w:r>
        <w:instrText>" \fm</w:instrText>
      </w:r>
      <w:r w:rsidR="00AB0B9E">
        <w:rPr>
          <w:rFonts w:ascii="Traditional Arabic" w:hAnsi="Traditional Arabic"/>
          <w:b/>
          <w:bCs/>
          <w:sz w:val="32"/>
          <w:szCs w:val="32"/>
          <w:rtl/>
        </w:rPr>
        <w:fldChar w:fldCharType="end"/>
      </w:r>
      <w:r w:rsidRPr="007C1AEC">
        <w:rPr>
          <w:rFonts w:ascii="Traditional Arabic" w:hAnsi="Traditional Arabic"/>
          <w:b/>
          <w:bCs/>
          <w:sz w:val="32"/>
          <w:szCs w:val="32"/>
          <w:rtl/>
        </w:rPr>
        <w:t xml:space="preserve"> لغة</w:t>
      </w:r>
      <w:r w:rsidRPr="007C1AEC">
        <w:rPr>
          <w:rFonts w:ascii="Traditional Arabic" w:hAnsi="Traditional Arabic"/>
          <w:sz w:val="32"/>
          <w:szCs w:val="32"/>
          <w:rtl/>
        </w:rPr>
        <w:t xml:space="preserve">: </w:t>
      </w:r>
      <w:r w:rsidRPr="007C1AEC">
        <w:rPr>
          <w:rFonts w:ascii="Traditional Arabic" w:hAnsi="Traditional Arabic"/>
          <w:noProof w:val="0"/>
          <w:sz w:val="32"/>
          <w:szCs w:val="32"/>
          <w:rtl/>
          <w:lang w:eastAsia="en-US"/>
        </w:rPr>
        <w:t>الدَيدَن والدُرْبة والتَّمادي في الشيء حتى يصير سَجِيةً، سُميت بذلك لأن صاحبها يعاوِدها، أي: يرجع إليها مرة بعد أخرى.</w:t>
      </w:r>
      <w:r>
        <w:rPr>
          <w:rFonts w:ascii="Traditional Arabic" w:hAnsi="Traditional Arabic" w:hint="cs"/>
          <w:sz w:val="32"/>
          <w:szCs w:val="32"/>
          <w:rtl/>
        </w:rPr>
        <w:t xml:space="preserve"> </w:t>
      </w:r>
      <w:r w:rsidRPr="007C1AEC">
        <w:rPr>
          <w:rFonts w:ascii="Traditional Arabic" w:hAnsi="Traditional Arabic"/>
          <w:sz w:val="32"/>
          <w:szCs w:val="32"/>
          <w:rtl/>
        </w:rPr>
        <w:t>انظر:</w:t>
      </w:r>
      <w:r>
        <w:rPr>
          <w:rFonts w:ascii="Traditional Arabic" w:hAnsi="Traditional Arabic" w:hint="cs"/>
          <w:sz w:val="32"/>
          <w:szCs w:val="32"/>
          <w:rtl/>
        </w:rPr>
        <w:t xml:space="preserve"> </w:t>
      </w:r>
      <w:r w:rsidRPr="007C1AEC">
        <w:rPr>
          <w:rFonts w:ascii="Traditional Arabic" w:hAnsi="Traditional Arabic"/>
          <w:sz w:val="32"/>
          <w:szCs w:val="32"/>
          <w:rtl/>
        </w:rPr>
        <w:t>مقاييس اللغة (4/182)، والمصباح المنير (355).</w:t>
      </w:r>
    </w:p>
    <w:p w:rsidR="000D3D21" w:rsidRPr="007C1AEC" w:rsidRDefault="000D3D21" w:rsidP="00E63327">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7C1AEC">
        <w:rPr>
          <w:rFonts w:ascii="Traditional Arabic" w:hAnsi="Traditional Arabic"/>
          <w:b/>
          <w:bCs/>
          <w:sz w:val="32"/>
          <w:szCs w:val="32"/>
          <w:rtl/>
        </w:rPr>
        <w:t xml:space="preserve">العادة اصطلاحا: </w:t>
      </w:r>
      <w:r w:rsidRPr="007C1AEC">
        <w:rPr>
          <w:rFonts w:ascii="Traditional Arabic" w:hAnsi="Traditional Arabic"/>
          <w:sz w:val="32"/>
          <w:szCs w:val="32"/>
          <w:rtl/>
        </w:rPr>
        <w:t>الأمر الذي يتقرَّر بالنفوس ويكون مقبولا عند ذوي الطباع السليمة بتكراره المرة بعد المرة.</w:t>
      </w:r>
      <w:r>
        <w:rPr>
          <w:rFonts w:ascii="Traditional Arabic" w:hAnsi="Traditional Arabic" w:hint="cs"/>
          <w:sz w:val="32"/>
          <w:szCs w:val="32"/>
          <w:rtl/>
        </w:rPr>
        <w:t xml:space="preserve"> </w:t>
      </w:r>
      <w:r w:rsidRPr="007C1AEC">
        <w:rPr>
          <w:rFonts w:ascii="Traditional Arabic" w:hAnsi="Traditional Arabic"/>
          <w:sz w:val="32"/>
          <w:szCs w:val="32"/>
          <w:rtl/>
        </w:rPr>
        <w:t>درر الحكام لعلي حيدر (1/40).</w:t>
      </w:r>
    </w:p>
  </w:footnote>
  <w:footnote w:id="418">
    <w:p w:rsidR="000D3D21" w:rsidRPr="00895F96" w:rsidRDefault="000D3D21" w:rsidP="00E633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7C1AEC">
        <w:rPr>
          <w:rFonts w:ascii="Traditional Arabic" w:hAnsi="Traditional Arabic"/>
          <w:sz w:val="32"/>
          <w:szCs w:val="32"/>
          <w:rtl/>
        </w:rPr>
        <w:t xml:space="preserve"> انظر هذا التعريف وشرحه في المدخل الفقهي العام لمصطفى الزرقا (2/872).</w:t>
      </w:r>
    </w:p>
  </w:footnote>
  <w:footnote w:id="419">
    <w:p w:rsidR="000D3D21" w:rsidRPr="001B7C73" w:rsidRDefault="000D3D21" w:rsidP="00E633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C73">
        <w:rPr>
          <w:rFonts w:ascii="Traditional Arabic" w:hAnsi="Traditional Arabic"/>
          <w:sz w:val="32"/>
          <w:szCs w:val="32"/>
          <w:rtl/>
        </w:rPr>
        <w:t>أحكام من القرآن الكريم (2/185).</w:t>
      </w:r>
    </w:p>
  </w:footnote>
  <w:footnote w:id="420">
    <w:p w:rsidR="000D3D21" w:rsidRDefault="000D3D21" w:rsidP="001F7E5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 xml:space="preserve">ذكر العلماء لاعتبار العرف عدة شروط، وحسبما اطلعت عليه من كلام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B727D5">
        <w:rPr>
          <w:rFonts w:ascii="Traditional Arabic" w:hAnsi="Traditional Arabic"/>
          <w:sz w:val="32"/>
          <w:szCs w:val="32"/>
          <w:rtl/>
        </w:rPr>
        <w:t xml:space="preserve"> فإنه ذكر منها شرطين، وهما: اطراد العرف، وعدم مخالفته للشرع، وأشار الشيخ إلى شرط ثالث، وهو: ألا يعارِض العرفَ تصريحٌ بخلافه، حيث قال: (</w:t>
      </w:r>
      <w:r w:rsidRPr="00B727D5">
        <w:rPr>
          <w:rFonts w:ascii="Traditional Arabic" w:hAnsi="Traditional Arabic"/>
          <w:noProof w:val="0"/>
          <w:sz w:val="32"/>
          <w:szCs w:val="32"/>
          <w:rtl/>
          <w:lang w:eastAsia="en-US"/>
        </w:rPr>
        <w:t>فيجب أن تنزَّل الألفاظ على الحقائق العُرفية، ما لم يُنصَّ على أن المراد بها الحقائقُ اللُّغَوية، فيُتَّبع ما نُصَّ عليه</w:t>
      </w:r>
      <w:r w:rsidRPr="00B727D5">
        <w:rPr>
          <w:rFonts w:ascii="Traditional Arabic" w:hAnsi="Traditional Arabic"/>
          <w:sz w:val="32"/>
          <w:szCs w:val="32"/>
          <w:rtl/>
        </w:rPr>
        <w:t xml:space="preserve"> ).انظر: الشرح الممتع (9/11، 294</w:t>
      </w:r>
      <w:r>
        <w:rPr>
          <w:rFonts w:ascii="Traditional Arabic" w:hAnsi="Traditional Arabic" w:hint="cs"/>
          <w:sz w:val="32"/>
          <w:szCs w:val="32"/>
          <w:rtl/>
        </w:rPr>
        <w:t>، 456</w:t>
      </w:r>
      <w:r w:rsidRPr="00B727D5">
        <w:rPr>
          <w:rFonts w:ascii="Traditional Arabic" w:hAnsi="Traditional Arabic"/>
          <w:sz w:val="32"/>
          <w:szCs w:val="32"/>
          <w:rtl/>
        </w:rPr>
        <w:t>)، و(10/63)، و(11/53، 177)،</w:t>
      </w:r>
      <w:r>
        <w:rPr>
          <w:rFonts w:ascii="Traditional Arabic" w:hAnsi="Traditional Arabic" w:hint="cs"/>
          <w:sz w:val="32"/>
          <w:szCs w:val="32"/>
          <w:rtl/>
        </w:rPr>
        <w:t xml:space="preserve"> </w:t>
      </w:r>
      <w:r w:rsidRPr="00B727D5">
        <w:rPr>
          <w:rFonts w:ascii="Traditional Arabic" w:hAnsi="Traditional Arabic"/>
          <w:sz w:val="32"/>
          <w:szCs w:val="32"/>
          <w:rtl/>
        </w:rPr>
        <w:t>وشرح منظومة أصول الفقه وقواعده (279)، وتفسي</w:t>
      </w:r>
      <w:r>
        <w:rPr>
          <w:rFonts w:ascii="Traditional Arabic" w:hAnsi="Traditional Arabic"/>
          <w:sz w:val="32"/>
          <w:szCs w:val="32"/>
          <w:rtl/>
        </w:rPr>
        <w:t>ر سورة البقرة (3/149).</w:t>
      </w:r>
      <w:r>
        <w:rPr>
          <w:rFonts w:ascii="Traditional Arabic" w:hAnsi="Traditional Arabic" w:hint="cs"/>
          <w:sz w:val="32"/>
          <w:szCs w:val="32"/>
          <w:rtl/>
        </w:rPr>
        <w:t xml:space="preserve"> </w:t>
      </w:r>
    </w:p>
    <w:p w:rsidR="000D3D21" w:rsidRPr="00B727D5" w:rsidRDefault="000D3D21" w:rsidP="001F7E56">
      <w:pPr>
        <w:pStyle w:val="a7"/>
        <w:pageBreakBefore/>
        <w:rPr>
          <w:rFonts w:ascii="Traditional Arabic" w:hAnsi="Traditional Arabic"/>
          <w:sz w:val="32"/>
          <w:szCs w:val="32"/>
        </w:rPr>
      </w:pPr>
      <w:r>
        <w:rPr>
          <w:rFonts w:ascii="Traditional Arabic" w:hAnsi="Traditional Arabic" w:hint="cs"/>
          <w:sz w:val="32"/>
          <w:szCs w:val="32"/>
          <w:rtl/>
        </w:rPr>
        <w:t xml:space="preserve">      </w:t>
      </w:r>
      <w:r>
        <w:rPr>
          <w:rFonts w:ascii="Traditional Arabic" w:hAnsi="Traditional Arabic"/>
          <w:sz w:val="32"/>
          <w:szCs w:val="32"/>
          <w:rtl/>
        </w:rPr>
        <w:t>والمراد</w:t>
      </w:r>
      <w:r>
        <w:rPr>
          <w:rFonts w:ascii="Traditional Arabic" w:hAnsi="Traditional Arabic" w:hint="cs"/>
          <w:sz w:val="32"/>
          <w:szCs w:val="32"/>
          <w:rtl/>
        </w:rPr>
        <w:t xml:space="preserve"> ب</w:t>
      </w:r>
      <w:r w:rsidRPr="00B727D5">
        <w:rPr>
          <w:rFonts w:ascii="Traditional Arabic" w:hAnsi="Traditional Arabic"/>
          <w:sz w:val="32"/>
          <w:szCs w:val="32"/>
          <w:rtl/>
        </w:rPr>
        <w:t>اطِّراد العرف بين م</w:t>
      </w:r>
      <w:r>
        <w:rPr>
          <w:rFonts w:ascii="Traditional Arabic" w:hAnsi="Traditional Arabic" w:hint="cs"/>
          <w:sz w:val="32"/>
          <w:szCs w:val="32"/>
          <w:rtl/>
        </w:rPr>
        <w:t>ُ</w:t>
      </w:r>
      <w:r w:rsidRPr="00B727D5">
        <w:rPr>
          <w:rFonts w:ascii="Traditional Arabic" w:hAnsi="Traditional Arabic"/>
          <w:sz w:val="32"/>
          <w:szCs w:val="32"/>
          <w:rtl/>
        </w:rPr>
        <w:t>تعارِفيه أن يكون عملهم به مستمرّاً ف</w:t>
      </w:r>
      <w:r>
        <w:rPr>
          <w:rFonts w:ascii="Traditional Arabic" w:hAnsi="Traditional Arabic"/>
          <w:sz w:val="32"/>
          <w:szCs w:val="32"/>
          <w:rtl/>
        </w:rPr>
        <w:t>ي جميع الحوادث</w:t>
      </w:r>
      <w:r>
        <w:rPr>
          <w:rFonts w:ascii="Traditional Arabic" w:hAnsi="Traditional Arabic" w:hint="cs"/>
          <w:sz w:val="32"/>
          <w:szCs w:val="32"/>
          <w:rtl/>
        </w:rPr>
        <w:t>،</w:t>
      </w:r>
      <w:r>
        <w:rPr>
          <w:rFonts w:ascii="Traditional Arabic" w:hAnsi="Traditional Arabic"/>
          <w:sz w:val="32"/>
          <w:szCs w:val="32"/>
          <w:rtl/>
        </w:rPr>
        <w:t xml:space="preserve"> لا يتخلَّف.</w:t>
      </w:r>
      <w:r>
        <w:rPr>
          <w:rFonts w:ascii="Traditional Arabic" w:hAnsi="Traditional Arabic" w:hint="cs"/>
          <w:sz w:val="32"/>
          <w:szCs w:val="32"/>
          <w:rtl/>
        </w:rPr>
        <w:t xml:space="preserve"> </w:t>
      </w:r>
      <w:r>
        <w:rPr>
          <w:rFonts w:ascii="Traditional Arabic" w:hAnsi="Traditional Arabic"/>
          <w:sz w:val="32"/>
          <w:szCs w:val="32"/>
          <w:rtl/>
        </w:rPr>
        <w:t>انظر</w:t>
      </w:r>
      <w:r>
        <w:rPr>
          <w:rFonts w:ascii="Traditional Arabic" w:hAnsi="Traditional Arabic" w:hint="cs"/>
          <w:sz w:val="32"/>
          <w:szCs w:val="32"/>
          <w:rtl/>
        </w:rPr>
        <w:t xml:space="preserve"> </w:t>
      </w:r>
      <w:r>
        <w:rPr>
          <w:rFonts w:ascii="Traditional Arabic" w:hAnsi="Traditional Arabic"/>
          <w:sz w:val="32"/>
          <w:szCs w:val="32"/>
          <w:rtl/>
        </w:rPr>
        <w:t>في معنى</w:t>
      </w:r>
      <w:r>
        <w:rPr>
          <w:rFonts w:ascii="Traditional Arabic" w:hAnsi="Traditional Arabic" w:hint="cs"/>
          <w:sz w:val="32"/>
          <w:szCs w:val="32"/>
          <w:rtl/>
        </w:rPr>
        <w:t xml:space="preserve"> </w:t>
      </w:r>
      <w:r w:rsidRPr="00B727D5">
        <w:rPr>
          <w:rFonts w:ascii="Traditional Arabic" w:hAnsi="Traditional Arabic"/>
          <w:sz w:val="32"/>
          <w:szCs w:val="32"/>
          <w:rtl/>
        </w:rPr>
        <w:t>اطراد العرف وشروط اعتبار العرف</w:t>
      </w:r>
      <w:r>
        <w:rPr>
          <w:rFonts w:ascii="Traditional Arabic" w:hAnsi="Traditional Arabic" w:hint="cs"/>
          <w:sz w:val="32"/>
          <w:szCs w:val="32"/>
          <w:rtl/>
        </w:rPr>
        <w:t>:</w:t>
      </w:r>
      <w:r w:rsidRPr="00B727D5">
        <w:rPr>
          <w:rFonts w:ascii="Traditional Arabic" w:hAnsi="Traditional Arabic"/>
          <w:sz w:val="32"/>
          <w:szCs w:val="32"/>
          <w:rtl/>
        </w:rPr>
        <w:t xml:space="preserve"> المدخل الفقهي العام (2/897).</w:t>
      </w:r>
    </w:p>
  </w:footnote>
  <w:footnote w:id="421">
    <w:p w:rsidR="000D3D21" w:rsidRPr="00B727D5" w:rsidRDefault="000D3D21" w:rsidP="001F7E56">
      <w:pPr>
        <w:widowControl/>
        <w:autoSpaceDE w:val="0"/>
        <w:autoSpaceDN w:val="0"/>
        <w:adjustRightInd w:val="0"/>
        <w:ind w:firstLine="0"/>
        <w:jc w:val="left"/>
        <w:rPr>
          <w:rFonts w:ascii="Traditional Arabic" w:hAnsi="Traditional Arabic"/>
          <w:noProof w:val="0"/>
          <w:color w:val="auto"/>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 xml:space="preserve">انظر الشرح الممتع (8/282)، و(9/11، 294)، و(10/63)، و(11/53، 187)، وفتح ذي الجلال </w:t>
      </w:r>
      <w:r>
        <w:rPr>
          <w:rFonts w:ascii="Traditional Arabic" w:hAnsi="Traditional Arabic" w:hint="cs"/>
          <w:sz w:val="32"/>
          <w:szCs w:val="32"/>
          <w:rtl/>
        </w:rPr>
        <w:t xml:space="preserve">   </w:t>
      </w:r>
      <w:r w:rsidRPr="00B727D5">
        <w:rPr>
          <w:rFonts w:ascii="Traditional Arabic" w:hAnsi="Traditional Arabic"/>
          <w:sz w:val="32"/>
          <w:szCs w:val="32"/>
          <w:rtl/>
        </w:rPr>
        <w:t xml:space="preserve">والإكرام (5/314)، وشرح منظومة أصول الفقه وقواعده (279)، وتفسير سورة البقرة (3/149). </w:t>
      </w:r>
    </w:p>
    <w:p w:rsidR="000D3D21" w:rsidRPr="00B727D5" w:rsidRDefault="000D3D21" w:rsidP="001F7E56">
      <w:pPr>
        <w:pStyle w:val="a7"/>
        <w:pageBreakBefore/>
        <w:ind w:left="0" w:firstLine="0"/>
        <w:rPr>
          <w:rFonts w:ascii="Traditional Arabic" w:hAnsi="Traditional Arabic"/>
          <w:sz w:val="32"/>
          <w:szCs w:val="32"/>
        </w:rPr>
      </w:pPr>
      <w:r>
        <w:rPr>
          <w:rFonts w:ascii="Traditional Arabic" w:hAnsi="Traditional Arabic" w:hint="cs"/>
          <w:sz w:val="32"/>
          <w:szCs w:val="32"/>
          <w:rtl/>
        </w:rPr>
        <w:t xml:space="preserve">    </w:t>
      </w:r>
      <w:r w:rsidRPr="00B727D5">
        <w:rPr>
          <w:rFonts w:ascii="Traditional Arabic" w:hAnsi="Traditional Arabic"/>
          <w:sz w:val="32"/>
          <w:szCs w:val="32"/>
          <w:rtl/>
        </w:rPr>
        <w:t>والذي يراه</w:t>
      </w:r>
      <w:r>
        <w:rPr>
          <w:rFonts w:ascii="Traditional Arabic" w:hAnsi="Traditional Arabic" w:hint="cs"/>
          <w:sz w:val="32"/>
          <w:szCs w:val="32"/>
          <w:rtl/>
        </w:rPr>
        <w:t xml:space="preserve"> </w:t>
      </w:r>
      <w:r w:rsidRPr="00B727D5">
        <w:rPr>
          <w:rFonts w:ascii="Traditional Arabic" w:hAnsi="Traditional Arabic"/>
          <w:sz w:val="32"/>
          <w:szCs w:val="32"/>
          <w:rtl/>
        </w:rPr>
        <w:t>الشيخ ابن عثيمين عند تعارُض الحقائق أنه يُحمل كل لفظٍ على معناه الحقيقي في موضع استعماله، فيحمل في استعمال أهل اللغة على الحقيقة اللغوية، وفي استعمال الشرع على الحقيقة الشرعية، وفي استعمال أهل العرف على الحقيقة العرفية، فحقيقةُ كلِّ لفظٍ تُحمل على عُرف المتكلِّم بها.</w:t>
      </w:r>
      <w:r>
        <w:rPr>
          <w:rFonts w:ascii="Traditional Arabic" w:hAnsi="Traditional Arabic" w:hint="cs"/>
          <w:sz w:val="32"/>
          <w:szCs w:val="32"/>
          <w:rtl/>
        </w:rPr>
        <w:t xml:space="preserve"> انظر </w:t>
      </w:r>
      <w:r w:rsidRPr="00B727D5">
        <w:rPr>
          <w:rFonts w:ascii="Traditional Arabic" w:hAnsi="Traditional Arabic"/>
          <w:sz w:val="32"/>
          <w:szCs w:val="32"/>
          <w:rtl/>
        </w:rPr>
        <w:t>شرح الأصول من علم الأصول (123، 136).</w:t>
      </w:r>
    </w:p>
  </w:footnote>
  <w:footnote w:id="422">
    <w:p w:rsidR="000D3D21" w:rsidRPr="00D33F2C" w:rsidRDefault="000D3D21" w:rsidP="00D80F33">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sidRPr="00D33F2C">
        <w:rPr>
          <w:rFonts w:ascii="Traditional Arabic" w:hAnsi="Traditional Arabic"/>
          <w:sz w:val="32"/>
          <w:szCs w:val="32"/>
          <w:rtl/>
        </w:rPr>
        <w:tab/>
        <w:t>انظر :</w:t>
      </w:r>
      <w:r>
        <w:rPr>
          <w:rFonts w:ascii="Traditional Arabic" w:hAnsi="Traditional Arabic"/>
          <w:sz w:val="32"/>
          <w:szCs w:val="32"/>
          <w:rtl/>
        </w:rPr>
        <w:t xml:space="preserve"> شرح منظومة أصول الفقه وقواعده</w:t>
      </w:r>
      <w:r>
        <w:rPr>
          <w:rFonts w:ascii="Traditional Arabic" w:hAnsi="Traditional Arabic" w:hint="cs"/>
          <w:sz w:val="32"/>
          <w:szCs w:val="32"/>
          <w:rtl/>
        </w:rPr>
        <w:t xml:space="preserve"> (273</w:t>
      </w:r>
      <w:r>
        <w:rPr>
          <w:rFonts w:ascii="Traditional Arabic" w:hAnsi="Traditional Arabic"/>
          <w:sz w:val="32"/>
          <w:szCs w:val="32"/>
          <w:rtl/>
        </w:rPr>
        <w:t>)</w:t>
      </w:r>
      <w:r w:rsidRPr="00D33F2C">
        <w:rPr>
          <w:rFonts w:ascii="Traditional Arabic" w:hAnsi="Traditional Arabic"/>
          <w:sz w:val="32"/>
          <w:szCs w:val="32"/>
          <w:rtl/>
        </w:rPr>
        <w:t xml:space="preserve">، </w:t>
      </w:r>
      <w:r>
        <w:rPr>
          <w:rFonts w:ascii="Traditional Arabic" w:hAnsi="Traditional Arabic" w:hint="cs"/>
          <w:sz w:val="32"/>
          <w:szCs w:val="32"/>
          <w:rtl/>
        </w:rPr>
        <w:t>و</w:t>
      </w:r>
      <w:r>
        <w:rPr>
          <w:rFonts w:ascii="Traditional Arabic" w:hAnsi="Traditional Arabic"/>
          <w:sz w:val="32"/>
          <w:szCs w:val="32"/>
          <w:rtl/>
        </w:rPr>
        <w:t>أحكام من القرآن الكريم (2/</w:t>
      </w:r>
      <w:r>
        <w:rPr>
          <w:rFonts w:ascii="Traditional Arabic" w:hAnsi="Traditional Arabic" w:hint="cs"/>
          <w:sz w:val="32"/>
          <w:szCs w:val="32"/>
          <w:rtl/>
        </w:rPr>
        <w:t>185</w:t>
      </w:r>
      <w:r w:rsidRPr="00D33F2C">
        <w:rPr>
          <w:rFonts w:ascii="Traditional Arabic" w:hAnsi="Traditional Arabic"/>
          <w:sz w:val="32"/>
          <w:szCs w:val="32"/>
          <w:rtl/>
        </w:rPr>
        <w:t>)</w:t>
      </w:r>
      <w:r>
        <w:rPr>
          <w:rFonts w:ascii="Traditional Arabic" w:hAnsi="Traditional Arabic" w:hint="cs"/>
          <w:sz w:val="32"/>
          <w:szCs w:val="32"/>
          <w:rtl/>
        </w:rPr>
        <w:t>، وتفسير سورة البقرة (3/105)</w:t>
      </w:r>
      <w:r w:rsidRPr="00D33F2C">
        <w:rPr>
          <w:rFonts w:ascii="Traditional Arabic" w:hAnsi="Traditional Arabic"/>
          <w:sz w:val="32"/>
          <w:szCs w:val="32"/>
          <w:rtl/>
        </w:rPr>
        <w:t xml:space="preserve">. </w:t>
      </w:r>
    </w:p>
  </w:footnote>
  <w:footnote w:id="423">
    <w:p w:rsidR="000D3D21" w:rsidRPr="00866055" w:rsidRDefault="000D3D21" w:rsidP="00D80F33">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أحكام من القرآن الكريم (1/</w:t>
      </w:r>
      <w:r>
        <w:rPr>
          <w:rFonts w:ascii="Traditional Arabic" w:hAnsi="Traditional Arabic" w:hint="cs"/>
          <w:sz w:val="32"/>
          <w:szCs w:val="32"/>
          <w:rtl/>
        </w:rPr>
        <w:t>632</w:t>
      </w:r>
      <w:r w:rsidRPr="00866055">
        <w:rPr>
          <w:rFonts w:ascii="Traditional Arabic" w:hAnsi="Traditional Arabic"/>
          <w:sz w:val="32"/>
          <w:szCs w:val="32"/>
          <w:rtl/>
        </w:rPr>
        <w:t xml:space="preserve">). </w:t>
      </w:r>
    </w:p>
  </w:footnote>
  <w:footnote w:id="424">
    <w:p w:rsidR="000D3D21" w:rsidRPr="00EB3251" w:rsidRDefault="000D3D21" w:rsidP="00D80F33">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المرجع السابق (2/236</w:t>
      </w:r>
      <w:r w:rsidRPr="00866055">
        <w:rPr>
          <w:rFonts w:ascii="Traditional Arabic" w:hAnsi="Traditional Arabic"/>
          <w:sz w:val="32"/>
          <w:szCs w:val="32"/>
          <w:rtl/>
        </w:rPr>
        <w:t>)</w:t>
      </w:r>
      <w:r>
        <w:rPr>
          <w:rFonts w:ascii="Traditional Arabic" w:hAnsi="Traditional Arabic" w:hint="cs"/>
          <w:sz w:val="32"/>
          <w:szCs w:val="32"/>
          <w:rtl/>
        </w:rPr>
        <w:t>، وانظر تفسير سورة البقرة (3/149)</w:t>
      </w:r>
      <w:r w:rsidRPr="00866055">
        <w:rPr>
          <w:rFonts w:ascii="Traditional Arabic" w:hAnsi="Traditional Arabic"/>
          <w:sz w:val="32"/>
          <w:szCs w:val="32"/>
          <w:rtl/>
        </w:rPr>
        <w:t xml:space="preserve">. </w:t>
      </w:r>
    </w:p>
  </w:footnote>
  <w:footnote w:id="425">
    <w:p w:rsidR="000D3D21" w:rsidRPr="000D2B12" w:rsidRDefault="000D3D21" w:rsidP="00D80F33">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تقدم تخريجه.</w:t>
      </w:r>
    </w:p>
  </w:footnote>
  <w:footnote w:id="426">
    <w:p w:rsidR="000D3D21" w:rsidRPr="006C05F6" w:rsidRDefault="000D3D21" w:rsidP="00D80F3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انظر فتح ذي الجلال والإكرام (5/173).</w:t>
      </w:r>
    </w:p>
  </w:footnote>
  <w:footnote w:id="427">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noProof w:val="0"/>
          <w:sz w:val="32"/>
          <w:szCs w:val="32"/>
          <w:rtl/>
          <w:lang w:eastAsia="en-US"/>
        </w:rPr>
        <w:t>أخرجه  أحمد</w:t>
      </w:r>
      <w:r>
        <w:rPr>
          <w:rFonts w:ascii="Traditional Arabic" w:hAnsi="Traditional Arabic" w:hint="cs"/>
          <w:noProof w:val="0"/>
          <w:sz w:val="32"/>
          <w:szCs w:val="32"/>
          <w:rtl/>
          <w:lang w:eastAsia="en-US"/>
        </w:rPr>
        <w:t xml:space="preserve"> </w:t>
      </w:r>
      <w:r w:rsidRPr="00B727D5">
        <w:rPr>
          <w:rFonts w:ascii="Traditional Arabic" w:hAnsi="Traditional Arabic"/>
          <w:noProof w:val="0"/>
          <w:sz w:val="32"/>
          <w:szCs w:val="32"/>
          <w:rtl/>
          <w:lang w:eastAsia="en-US"/>
        </w:rPr>
        <w:t>(30/568)،</w:t>
      </w:r>
      <w:r>
        <w:rPr>
          <w:rFonts w:ascii="Traditional Arabic" w:hAnsi="Traditional Arabic" w:hint="cs"/>
          <w:noProof w:val="0"/>
          <w:sz w:val="32"/>
          <w:szCs w:val="32"/>
          <w:rtl/>
          <w:lang w:eastAsia="en-US"/>
        </w:rPr>
        <w:t xml:space="preserve"> </w:t>
      </w:r>
      <w:r w:rsidRPr="00B727D5">
        <w:rPr>
          <w:rFonts w:ascii="Traditional Arabic" w:hAnsi="Traditional Arabic"/>
          <w:noProof w:val="0"/>
          <w:sz w:val="32"/>
          <w:szCs w:val="32"/>
          <w:rtl/>
          <w:lang w:eastAsia="en-US"/>
        </w:rPr>
        <w:t>رقم الحديث (18606)، وأبو داود في كتاب البيوع والإجارات، باب المواشي تفسد زرع قوم</w:t>
      </w:r>
      <w:r>
        <w:rPr>
          <w:rFonts w:ascii="Traditional Arabic" w:hAnsi="Traditional Arabic" w:hint="cs"/>
          <w:noProof w:val="0"/>
          <w:sz w:val="32"/>
          <w:szCs w:val="32"/>
          <w:rtl/>
          <w:lang w:eastAsia="en-US"/>
        </w:rPr>
        <w:t>،</w:t>
      </w:r>
      <w:r w:rsidRPr="00B727D5">
        <w:rPr>
          <w:rFonts w:ascii="Traditional Arabic" w:hAnsi="Traditional Arabic"/>
          <w:noProof w:val="0"/>
          <w:sz w:val="32"/>
          <w:szCs w:val="32"/>
          <w:rtl/>
          <w:lang w:eastAsia="en-US"/>
        </w:rPr>
        <w:t xml:space="preserve"> حديث </w:t>
      </w:r>
      <w:r>
        <w:rPr>
          <w:rFonts w:ascii="Traditional Arabic" w:hAnsi="Traditional Arabic" w:hint="cs"/>
          <w:noProof w:val="0"/>
          <w:sz w:val="32"/>
          <w:szCs w:val="32"/>
          <w:rtl/>
          <w:lang w:eastAsia="en-US"/>
        </w:rPr>
        <w:t xml:space="preserve">رقم </w:t>
      </w:r>
      <w:r w:rsidRPr="00B727D5">
        <w:rPr>
          <w:rFonts w:ascii="Traditional Arabic" w:hAnsi="Traditional Arabic"/>
          <w:noProof w:val="0"/>
          <w:sz w:val="32"/>
          <w:szCs w:val="32"/>
          <w:rtl/>
          <w:lang w:eastAsia="en-US"/>
        </w:rPr>
        <w:t>(3570)،</w:t>
      </w:r>
      <w:r>
        <w:rPr>
          <w:rFonts w:ascii="Traditional Arabic" w:hAnsi="Traditional Arabic"/>
          <w:noProof w:val="0"/>
          <w:sz w:val="32"/>
          <w:szCs w:val="32"/>
          <w:rtl/>
          <w:lang w:eastAsia="en-US"/>
        </w:rPr>
        <w:t xml:space="preserve"> و</w:t>
      </w:r>
      <w:r w:rsidRPr="00B727D5">
        <w:rPr>
          <w:rFonts w:ascii="Traditional Arabic" w:hAnsi="Traditional Arabic"/>
          <w:noProof w:val="0"/>
          <w:sz w:val="32"/>
          <w:szCs w:val="32"/>
          <w:rtl/>
          <w:lang w:eastAsia="en-US"/>
        </w:rPr>
        <w:t xml:space="preserve">النسائي في </w:t>
      </w:r>
      <w:r>
        <w:rPr>
          <w:rFonts w:ascii="Traditional Arabic" w:hAnsi="Traditional Arabic" w:hint="cs"/>
          <w:noProof w:val="0"/>
          <w:sz w:val="32"/>
          <w:szCs w:val="32"/>
          <w:rtl/>
          <w:lang w:eastAsia="en-US"/>
        </w:rPr>
        <w:t xml:space="preserve">السنن </w:t>
      </w:r>
      <w:r w:rsidRPr="00B727D5">
        <w:rPr>
          <w:rFonts w:ascii="Traditional Arabic" w:hAnsi="Traditional Arabic"/>
          <w:noProof w:val="0"/>
          <w:sz w:val="32"/>
          <w:szCs w:val="32"/>
          <w:rtl/>
          <w:lang w:eastAsia="en-US"/>
        </w:rPr>
        <w:t>الكبرى، كتاب العارية والوديعة، باب تضمين أهل الماشية ما أفسدت مواشيهم بالليل، رقم الحديث (5753)، وابن ماجه في كتاب الأحكام، باب الحكم فيما أفسدت المواشي</w:t>
      </w:r>
      <w:r>
        <w:rPr>
          <w:rFonts w:ascii="Traditional Arabic" w:hAnsi="Traditional Arabic" w:hint="cs"/>
          <w:noProof w:val="0"/>
          <w:sz w:val="32"/>
          <w:szCs w:val="32"/>
          <w:rtl/>
          <w:lang w:eastAsia="en-US"/>
        </w:rPr>
        <w:t>،</w:t>
      </w:r>
      <w:r w:rsidRPr="00B727D5">
        <w:rPr>
          <w:rFonts w:ascii="Traditional Arabic" w:hAnsi="Traditional Arabic"/>
          <w:noProof w:val="0"/>
          <w:sz w:val="32"/>
          <w:szCs w:val="32"/>
          <w:rtl/>
          <w:lang w:eastAsia="en-US"/>
        </w:rPr>
        <w:t xml:space="preserve"> حديث رقم (2332)، والحديث صححه الشيخ الألباني في إرواء الغليل (5/362).</w:t>
      </w:r>
    </w:p>
  </w:footnote>
  <w:footnote w:id="428">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فتح ذي الجلال والإكرام (5/314).</w:t>
      </w:r>
    </w:p>
  </w:footnote>
  <w:footnote w:id="429">
    <w:p w:rsidR="000D3D21" w:rsidRPr="00230519" w:rsidRDefault="000D3D21">
      <w:pPr>
        <w:pStyle w:val="a7"/>
        <w:rPr>
          <w:rFonts w:ascii="Traditional Arabic" w:hAnsi="Traditional Arabic"/>
          <w:sz w:val="32"/>
          <w:szCs w:val="32"/>
          <w:rtl/>
        </w:rPr>
      </w:pPr>
      <w:r w:rsidRPr="00230519">
        <w:rPr>
          <w:rStyle w:val="af1"/>
          <w:rFonts w:ascii="Traditional Arabic" w:hAnsi="Traditional Arabic"/>
          <w:sz w:val="32"/>
          <w:szCs w:val="32"/>
          <w:vertAlign w:val="baseline"/>
        </w:rPr>
        <w:footnoteRef/>
      </w:r>
      <w:r w:rsidRPr="00230519">
        <w:rPr>
          <w:rFonts w:ascii="Traditional Arabic" w:hAnsi="Traditional Arabic"/>
          <w:sz w:val="32"/>
          <w:szCs w:val="32"/>
        </w:rPr>
        <w:t>)</w:t>
      </w:r>
      <w:r w:rsidRPr="00230519">
        <w:rPr>
          <w:rFonts w:ascii="Traditional Arabic" w:hAnsi="Traditional Arabic"/>
          <w:sz w:val="32"/>
          <w:szCs w:val="32"/>
          <w:rtl/>
        </w:rPr>
        <w:t xml:space="preserve">) </w:t>
      </w:r>
      <w:r w:rsidRPr="00FB01F1">
        <w:rPr>
          <w:rFonts w:ascii="Traditional Arabic" w:hAnsi="Traditional Arabic"/>
          <w:b/>
          <w:bCs/>
          <w:noProof w:val="0"/>
          <w:sz w:val="32"/>
          <w:szCs w:val="32"/>
          <w:rtl/>
          <w:lang w:eastAsia="en-US"/>
        </w:rPr>
        <w:t>الخيار</w:t>
      </w:r>
      <w:r w:rsidR="00AB0B9E">
        <w:rPr>
          <w:rFonts w:ascii="Traditional Arabic" w:hAnsi="Traditional Arabic"/>
          <w:b/>
          <w:bCs/>
          <w:noProof w:val="0"/>
          <w:sz w:val="32"/>
          <w:szCs w:val="32"/>
          <w:rtl/>
          <w:lang w:eastAsia="en-US"/>
        </w:rPr>
        <w:fldChar w:fldCharType="begin"/>
      </w:r>
      <w:r>
        <w:instrText xml:space="preserve"> XE "</w:instrText>
      </w:r>
      <w:r w:rsidRPr="00566AF9">
        <w:rPr>
          <w:rFonts w:ascii="Traditional Arabic" w:hAnsi="Traditional Arabic"/>
          <w:noProof w:val="0"/>
          <w:sz w:val="32"/>
          <w:szCs w:val="32"/>
          <w:rtl/>
          <w:lang w:eastAsia="en-US"/>
        </w:rPr>
        <w:instrText>الخيار</w:instrText>
      </w:r>
      <w:r>
        <w:instrText xml:space="preserve">" </w:instrText>
      </w:r>
      <w:r w:rsidRPr="00566AF9">
        <w:instrText>\fm</w:instrText>
      </w:r>
      <w:r w:rsidR="00AB0B9E">
        <w:rPr>
          <w:rFonts w:ascii="Traditional Arabic" w:hAnsi="Traditional Arabic"/>
          <w:b/>
          <w:bCs/>
          <w:noProof w:val="0"/>
          <w:sz w:val="32"/>
          <w:szCs w:val="32"/>
          <w:rtl/>
          <w:lang w:eastAsia="en-US"/>
        </w:rPr>
        <w:fldChar w:fldCharType="end"/>
      </w:r>
      <w:r w:rsidRPr="006C05F6">
        <w:rPr>
          <w:rFonts w:ascii="Traditional Arabic" w:hAnsi="Traditional Arabic"/>
          <w:noProof w:val="0"/>
          <w:sz w:val="32"/>
          <w:szCs w:val="32"/>
          <w:rtl/>
          <w:lang w:eastAsia="en-US"/>
        </w:rPr>
        <w:t>: اسم مصدر، من اختار يختار اختياراً، وهو طلب خير الأمرين: إمضاء البيع، وفسخه.</w:t>
      </w:r>
      <w:r>
        <w:rPr>
          <w:rFonts w:ascii="Traditional Arabic" w:hAnsi="Traditional Arabic"/>
          <w:sz w:val="32"/>
          <w:szCs w:val="32"/>
          <w:rtl/>
        </w:rPr>
        <w:t>المطلع على أ</w:t>
      </w:r>
      <w:r>
        <w:rPr>
          <w:rFonts w:ascii="Traditional Arabic" w:hAnsi="Traditional Arabic" w:hint="cs"/>
          <w:sz w:val="32"/>
          <w:szCs w:val="32"/>
          <w:rtl/>
        </w:rPr>
        <w:t>لفاظ</w:t>
      </w:r>
      <w:r w:rsidRPr="006C05F6">
        <w:rPr>
          <w:rFonts w:ascii="Traditional Arabic" w:hAnsi="Traditional Arabic"/>
          <w:sz w:val="32"/>
          <w:szCs w:val="32"/>
          <w:rtl/>
        </w:rPr>
        <w:t xml:space="preserve"> المقنع (</w:t>
      </w:r>
      <w:r>
        <w:rPr>
          <w:rFonts w:ascii="Traditional Arabic" w:hAnsi="Traditional Arabic" w:hint="cs"/>
          <w:sz w:val="32"/>
          <w:szCs w:val="32"/>
          <w:rtl/>
        </w:rPr>
        <w:t>279</w:t>
      </w:r>
      <w:r w:rsidRPr="006C05F6">
        <w:rPr>
          <w:rFonts w:ascii="Traditional Arabic" w:hAnsi="Traditional Arabic"/>
          <w:sz w:val="32"/>
          <w:szCs w:val="32"/>
          <w:rtl/>
        </w:rPr>
        <w:t>).</w:t>
      </w:r>
    </w:p>
  </w:footnote>
  <w:footnote w:id="430">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وهذا هو المذهب عند الحنابلة.</w:t>
      </w:r>
      <w:r>
        <w:rPr>
          <w:rFonts w:ascii="Traditional Arabic" w:hAnsi="Traditional Arabic" w:hint="cs"/>
          <w:sz w:val="32"/>
          <w:szCs w:val="32"/>
          <w:rtl/>
        </w:rPr>
        <w:t xml:space="preserve"> </w:t>
      </w:r>
      <w:r w:rsidRPr="00B727D5">
        <w:rPr>
          <w:rFonts w:ascii="Traditional Arabic" w:hAnsi="Traditional Arabic"/>
          <w:sz w:val="32"/>
          <w:szCs w:val="32"/>
          <w:rtl/>
        </w:rPr>
        <w:t>انظر الإنصاف للمرداوي (11/291).</w:t>
      </w:r>
    </w:p>
  </w:footnote>
  <w:footnote w:id="431">
    <w:p w:rsidR="000D3D21" w:rsidRPr="006A5E4F" w:rsidRDefault="000D3D21" w:rsidP="001F7E5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انظر الشرح الممتع (8/281-282).</w:t>
      </w:r>
    </w:p>
  </w:footnote>
  <w:footnote w:id="432">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انظر المرجع السابق (8/282).</w:t>
      </w:r>
    </w:p>
  </w:footnote>
  <w:footnote w:id="433">
    <w:p w:rsidR="000D3D21" w:rsidRPr="00B727D5" w:rsidRDefault="000D3D21" w:rsidP="001F758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B727D5">
        <w:rPr>
          <w:rFonts w:ascii="Traditional Arabic" w:hAnsi="Traditional Arabic"/>
          <w:b/>
          <w:bCs/>
          <w:sz w:val="32"/>
          <w:szCs w:val="32"/>
          <w:rtl/>
        </w:rPr>
        <w:t>الأ</w:t>
      </w:r>
      <w:r>
        <w:rPr>
          <w:rFonts w:ascii="Traditional Arabic" w:hAnsi="Traditional Arabic" w:hint="cs"/>
          <w:b/>
          <w:bCs/>
          <w:sz w:val="32"/>
          <w:szCs w:val="32"/>
          <w:rtl/>
        </w:rPr>
        <w:t>َ</w:t>
      </w:r>
      <w:r w:rsidRPr="00B727D5">
        <w:rPr>
          <w:rFonts w:ascii="Traditional Arabic" w:hAnsi="Traditional Arabic"/>
          <w:b/>
          <w:bCs/>
          <w:sz w:val="32"/>
          <w:szCs w:val="32"/>
          <w:rtl/>
        </w:rPr>
        <w:t>ث</w:t>
      </w:r>
      <w:r>
        <w:rPr>
          <w:rFonts w:ascii="Traditional Arabic" w:hAnsi="Traditional Arabic" w:hint="cs"/>
          <w:b/>
          <w:bCs/>
          <w:sz w:val="32"/>
          <w:szCs w:val="32"/>
          <w:rtl/>
        </w:rPr>
        <w:t>ْ</w:t>
      </w:r>
      <w:r w:rsidRPr="00B727D5">
        <w:rPr>
          <w:rFonts w:ascii="Traditional Arabic" w:hAnsi="Traditional Arabic"/>
          <w:b/>
          <w:bCs/>
          <w:sz w:val="32"/>
          <w:szCs w:val="32"/>
          <w:rtl/>
        </w:rPr>
        <w:t>ل</w:t>
      </w:r>
      <w:r>
        <w:rPr>
          <w:rFonts w:ascii="Traditional Arabic" w:hAnsi="Traditional Arabic" w:hint="cs"/>
          <w:b/>
          <w:bCs/>
          <w:sz w:val="32"/>
          <w:szCs w:val="32"/>
          <w:rtl/>
        </w:rPr>
        <w:t>َ</w:t>
      </w:r>
      <w:r w:rsidRPr="00B727D5">
        <w:rPr>
          <w:rFonts w:ascii="Traditional Arabic" w:hAnsi="Traditional Arabic"/>
          <w:b/>
          <w:bCs/>
          <w:sz w:val="32"/>
          <w:szCs w:val="32"/>
          <w:rtl/>
        </w:rPr>
        <w:t>ة</w:t>
      </w:r>
      <w:r w:rsidR="00AB0B9E">
        <w:rPr>
          <w:rFonts w:ascii="Traditional Arabic" w:hAnsi="Traditional Arabic"/>
          <w:b/>
          <w:bCs/>
          <w:sz w:val="32"/>
          <w:szCs w:val="32"/>
          <w:rtl/>
        </w:rPr>
        <w:fldChar w:fldCharType="begin"/>
      </w:r>
      <w:r>
        <w:instrText xml:space="preserve"> XE "</w:instrText>
      </w:r>
      <w:r w:rsidRPr="001F758B">
        <w:rPr>
          <w:rFonts w:ascii="Traditional Arabic" w:hAnsi="Traditional Arabic"/>
          <w:sz w:val="32"/>
          <w:szCs w:val="32"/>
          <w:rtl/>
        </w:rPr>
        <w:instrText>الأ</w:instrText>
      </w:r>
      <w:r w:rsidRPr="001F758B">
        <w:rPr>
          <w:rFonts w:ascii="Traditional Arabic" w:hAnsi="Traditional Arabic" w:hint="cs"/>
          <w:sz w:val="32"/>
          <w:szCs w:val="32"/>
          <w:rtl/>
        </w:rPr>
        <w:instrText>َ</w:instrText>
      </w:r>
      <w:r w:rsidRPr="001F758B">
        <w:rPr>
          <w:rFonts w:ascii="Traditional Arabic" w:hAnsi="Traditional Arabic"/>
          <w:sz w:val="32"/>
          <w:szCs w:val="32"/>
          <w:rtl/>
        </w:rPr>
        <w:instrText>ث</w:instrText>
      </w:r>
      <w:r w:rsidRPr="001F758B">
        <w:rPr>
          <w:rFonts w:ascii="Traditional Arabic" w:hAnsi="Traditional Arabic" w:hint="cs"/>
          <w:sz w:val="32"/>
          <w:szCs w:val="32"/>
          <w:rtl/>
        </w:rPr>
        <w:instrText>ْ</w:instrText>
      </w:r>
      <w:r w:rsidRPr="001F758B">
        <w:rPr>
          <w:rFonts w:ascii="Traditional Arabic" w:hAnsi="Traditional Arabic"/>
          <w:sz w:val="32"/>
          <w:szCs w:val="32"/>
          <w:rtl/>
        </w:rPr>
        <w:instrText>ل</w:instrText>
      </w:r>
      <w:r w:rsidRPr="001F758B">
        <w:rPr>
          <w:rFonts w:ascii="Traditional Arabic" w:hAnsi="Traditional Arabic" w:hint="cs"/>
          <w:sz w:val="32"/>
          <w:szCs w:val="32"/>
          <w:rtl/>
        </w:rPr>
        <w:instrText>َ</w:instrText>
      </w:r>
      <w:r w:rsidRPr="001F758B">
        <w:rPr>
          <w:rFonts w:ascii="Traditional Arabic" w:hAnsi="Traditional Arabic"/>
          <w:sz w:val="32"/>
          <w:szCs w:val="32"/>
          <w:rtl/>
        </w:rPr>
        <w:instrText>ة</w:instrText>
      </w:r>
      <w:r>
        <w:instrText xml:space="preserve">" </w:instrText>
      </w:r>
      <w:r>
        <w:rPr>
          <w:lang w:val="fr-FR"/>
        </w:rPr>
        <w:instrText>\fm</w:instrText>
      </w:r>
      <w:r w:rsidR="00AB0B9E">
        <w:rPr>
          <w:rFonts w:ascii="Traditional Arabic" w:hAnsi="Traditional Arabic"/>
          <w:b/>
          <w:bCs/>
          <w:sz w:val="32"/>
          <w:szCs w:val="32"/>
          <w:rtl/>
        </w:rPr>
        <w:fldChar w:fldCharType="end"/>
      </w:r>
      <w:r w:rsidRPr="00B727D5">
        <w:rPr>
          <w:rFonts w:ascii="Traditional Arabic" w:hAnsi="Traditional Arabic"/>
          <w:b/>
          <w:bCs/>
          <w:sz w:val="32"/>
          <w:szCs w:val="32"/>
          <w:rtl/>
        </w:rPr>
        <w:t xml:space="preserve">: </w:t>
      </w:r>
      <w:r w:rsidRPr="00B727D5">
        <w:rPr>
          <w:rFonts w:ascii="Traditional Arabic" w:hAnsi="Traditional Arabic"/>
          <w:sz w:val="32"/>
          <w:szCs w:val="32"/>
          <w:rtl/>
        </w:rPr>
        <w:t>جمعها أ</w:t>
      </w:r>
      <w:r>
        <w:rPr>
          <w:rFonts w:ascii="Traditional Arabic" w:hAnsi="Traditional Arabic" w:hint="cs"/>
          <w:sz w:val="32"/>
          <w:szCs w:val="32"/>
          <w:rtl/>
        </w:rPr>
        <w:t>َ</w:t>
      </w:r>
      <w:r w:rsidRPr="00B727D5">
        <w:rPr>
          <w:rFonts w:ascii="Traditional Arabic" w:hAnsi="Traditional Arabic"/>
          <w:sz w:val="32"/>
          <w:szCs w:val="32"/>
          <w:rtl/>
        </w:rPr>
        <w:t>ث</w:t>
      </w:r>
      <w:r>
        <w:rPr>
          <w:rFonts w:ascii="Traditional Arabic" w:hAnsi="Traditional Arabic" w:hint="cs"/>
          <w:sz w:val="32"/>
          <w:szCs w:val="32"/>
          <w:rtl/>
        </w:rPr>
        <w:t>ْ</w:t>
      </w:r>
      <w:r w:rsidRPr="00B727D5">
        <w:rPr>
          <w:rFonts w:ascii="Traditional Arabic" w:hAnsi="Traditional Arabic"/>
          <w:sz w:val="32"/>
          <w:szCs w:val="32"/>
          <w:rtl/>
        </w:rPr>
        <w:t>ل، وهو شجر</w:t>
      </w:r>
      <w:r>
        <w:rPr>
          <w:rFonts w:ascii="Traditional Arabic" w:hAnsi="Traditional Arabic" w:hint="cs"/>
          <w:sz w:val="32"/>
          <w:szCs w:val="32"/>
          <w:rtl/>
        </w:rPr>
        <w:t>ٌ</w:t>
      </w:r>
      <w:r w:rsidRPr="00B727D5">
        <w:rPr>
          <w:rFonts w:ascii="Traditional Arabic" w:hAnsi="Traditional Arabic"/>
          <w:sz w:val="32"/>
          <w:szCs w:val="32"/>
          <w:rtl/>
        </w:rPr>
        <w:t xml:space="preserve"> عظيم لا ثم</w:t>
      </w:r>
      <w:r>
        <w:rPr>
          <w:rFonts w:ascii="Traditional Arabic" w:hAnsi="Traditional Arabic" w:hint="cs"/>
          <w:sz w:val="32"/>
          <w:szCs w:val="32"/>
          <w:rtl/>
        </w:rPr>
        <w:t>َ</w:t>
      </w:r>
      <w:r w:rsidRPr="00B727D5">
        <w:rPr>
          <w:rFonts w:ascii="Traditional Arabic" w:hAnsi="Traditional Arabic"/>
          <w:sz w:val="32"/>
          <w:szCs w:val="32"/>
          <w:rtl/>
        </w:rPr>
        <w:t>ر</w:t>
      </w:r>
      <w:r>
        <w:rPr>
          <w:rFonts w:ascii="Traditional Arabic" w:hAnsi="Traditional Arabic" w:hint="cs"/>
          <w:sz w:val="32"/>
          <w:szCs w:val="32"/>
          <w:rtl/>
        </w:rPr>
        <w:t>َ</w:t>
      </w:r>
      <w:r w:rsidRPr="00B727D5">
        <w:rPr>
          <w:rFonts w:ascii="Traditional Arabic" w:hAnsi="Traditional Arabic"/>
          <w:sz w:val="32"/>
          <w:szCs w:val="32"/>
          <w:rtl/>
        </w:rPr>
        <w:t xml:space="preserve"> له.</w:t>
      </w:r>
      <w:r>
        <w:rPr>
          <w:rFonts w:ascii="Traditional Arabic" w:hAnsi="Traditional Arabic" w:hint="cs"/>
          <w:sz w:val="32"/>
          <w:szCs w:val="32"/>
          <w:rtl/>
        </w:rPr>
        <w:t xml:space="preserve"> </w:t>
      </w:r>
      <w:r w:rsidRPr="00B727D5">
        <w:rPr>
          <w:rFonts w:ascii="Traditional Arabic" w:hAnsi="Traditional Arabic"/>
          <w:sz w:val="32"/>
          <w:szCs w:val="32"/>
          <w:rtl/>
        </w:rPr>
        <w:t xml:space="preserve">المصباح المنير (15). </w:t>
      </w:r>
    </w:p>
  </w:footnote>
  <w:footnote w:id="434">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انظر الشرح الممتع (9/11).</w:t>
      </w:r>
    </w:p>
  </w:footnote>
  <w:footnote w:id="435">
    <w:p w:rsidR="000D3D21" w:rsidRPr="00E7051E" w:rsidRDefault="000D3D21" w:rsidP="001F7E5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B727D5">
        <w:rPr>
          <w:rFonts w:ascii="Traditional Arabic" w:hAnsi="Traditional Arabic"/>
          <w:sz w:val="32"/>
          <w:szCs w:val="32"/>
          <w:rtl/>
        </w:rPr>
        <w:t xml:space="preserve"> (10/61، 63).</w:t>
      </w:r>
    </w:p>
  </w:footnote>
  <w:footnote w:id="436">
    <w:p w:rsidR="000D3D21" w:rsidRPr="00B727D5" w:rsidRDefault="000D3D21" w:rsidP="001F7E5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727D5">
        <w:rPr>
          <w:rFonts w:ascii="Traditional Arabic" w:hAnsi="Traditional Arabic"/>
          <w:sz w:val="32"/>
          <w:szCs w:val="32"/>
          <w:rtl/>
        </w:rPr>
        <w:t>انظر المرجع السابق (10/63).</w:t>
      </w:r>
    </w:p>
  </w:footnote>
  <w:footnote w:id="437">
    <w:p w:rsidR="000D3D21" w:rsidRPr="005F7B6B" w:rsidRDefault="000D3D21" w:rsidP="001F7E56">
      <w:pPr>
        <w:pStyle w:val="a7"/>
        <w:ind w:left="329" w:hanging="329"/>
        <w:rPr>
          <w:rFonts w:ascii="Traditional Arabic" w:hAnsi="Traditional Arabic"/>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انظر: المرجع السابق</w:t>
      </w:r>
      <w:r w:rsidRPr="005F7B6B">
        <w:rPr>
          <w:rFonts w:ascii="Traditional Arabic" w:hAnsi="Traditional Arabic" w:hint="cs"/>
          <w:sz w:val="32"/>
          <w:szCs w:val="32"/>
          <w:rtl/>
        </w:rPr>
        <w:t xml:space="preserve"> (8/168)</w:t>
      </w:r>
      <w:r>
        <w:rPr>
          <w:rFonts w:ascii="Traditional Arabic" w:hAnsi="Traditional Arabic" w:hint="cs"/>
          <w:sz w:val="32"/>
          <w:szCs w:val="32"/>
          <w:rtl/>
        </w:rPr>
        <w:t>، وفتح ذي الجلال والإكرام (3/617)</w:t>
      </w:r>
      <w:r w:rsidRPr="005F7B6B">
        <w:rPr>
          <w:rFonts w:ascii="Traditional Arabic" w:hAnsi="Traditional Arabic" w:hint="cs"/>
          <w:sz w:val="32"/>
          <w:szCs w:val="32"/>
          <w:rtl/>
        </w:rPr>
        <w:t>.</w:t>
      </w:r>
    </w:p>
  </w:footnote>
  <w:footnote w:id="438">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 xml:space="preserve">اخترت هذه الصيغة لكثرة استعمال الشيخ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DA49DD">
        <w:rPr>
          <w:rFonts w:ascii="Traditional Arabic" w:hAnsi="Traditional Arabic"/>
          <w:sz w:val="32"/>
          <w:szCs w:val="32"/>
          <w:rtl/>
        </w:rPr>
        <w:t xml:space="preserve"> لها، وقيد الاطراد يمكن أن يستغنى عنه؛ لأنه داخل</w:t>
      </w:r>
      <w:r>
        <w:rPr>
          <w:rFonts w:ascii="Traditional Arabic" w:hAnsi="Traditional Arabic" w:hint="cs"/>
          <w:sz w:val="32"/>
          <w:szCs w:val="32"/>
          <w:rtl/>
        </w:rPr>
        <w:t>ٌ</w:t>
      </w:r>
      <w:r w:rsidRPr="00DA49DD">
        <w:rPr>
          <w:rFonts w:ascii="Traditional Arabic" w:hAnsi="Traditional Arabic"/>
          <w:sz w:val="32"/>
          <w:szCs w:val="32"/>
          <w:rtl/>
        </w:rPr>
        <w:t xml:space="preserve"> ض</w:t>
      </w:r>
      <w:r>
        <w:rPr>
          <w:rFonts w:ascii="Traditional Arabic" w:hAnsi="Traditional Arabic" w:hint="cs"/>
          <w:sz w:val="32"/>
          <w:szCs w:val="32"/>
          <w:rtl/>
        </w:rPr>
        <w:t>ِ</w:t>
      </w:r>
      <w:r w:rsidRPr="00DA49DD">
        <w:rPr>
          <w:rFonts w:ascii="Traditional Arabic" w:hAnsi="Traditional Arabic"/>
          <w:sz w:val="32"/>
          <w:szCs w:val="32"/>
          <w:rtl/>
        </w:rPr>
        <w:t>م</w:t>
      </w:r>
      <w:r>
        <w:rPr>
          <w:rFonts w:ascii="Traditional Arabic" w:hAnsi="Traditional Arabic" w:hint="cs"/>
          <w:sz w:val="32"/>
          <w:szCs w:val="32"/>
          <w:rtl/>
        </w:rPr>
        <w:t>ْ</w:t>
      </w:r>
      <w:r w:rsidRPr="00DA49DD">
        <w:rPr>
          <w:rFonts w:ascii="Traditional Arabic" w:hAnsi="Traditional Arabic"/>
          <w:sz w:val="32"/>
          <w:szCs w:val="32"/>
          <w:rtl/>
        </w:rPr>
        <w:t>ن</w:t>
      </w:r>
      <w:r>
        <w:rPr>
          <w:rFonts w:ascii="Traditional Arabic" w:hAnsi="Traditional Arabic" w:hint="cs"/>
          <w:sz w:val="32"/>
          <w:szCs w:val="32"/>
          <w:rtl/>
        </w:rPr>
        <w:t>َ</w:t>
      </w:r>
      <w:r w:rsidRPr="00DA49DD">
        <w:rPr>
          <w:rFonts w:ascii="Traditional Arabic" w:hAnsi="Traditional Arabic"/>
          <w:sz w:val="32"/>
          <w:szCs w:val="32"/>
          <w:rtl/>
        </w:rPr>
        <w:t xml:space="preserve"> شروط اعتبار العرف وإن لم يصر</w:t>
      </w:r>
      <w:r>
        <w:rPr>
          <w:rFonts w:ascii="Traditional Arabic" w:hAnsi="Traditional Arabic" w:hint="cs"/>
          <w:sz w:val="32"/>
          <w:szCs w:val="32"/>
          <w:rtl/>
        </w:rPr>
        <w:t>َّ</w:t>
      </w:r>
      <w:r w:rsidRPr="00DA49DD">
        <w:rPr>
          <w:rFonts w:ascii="Traditional Arabic" w:hAnsi="Traditional Arabic"/>
          <w:sz w:val="32"/>
          <w:szCs w:val="32"/>
          <w:rtl/>
        </w:rPr>
        <w:t xml:space="preserve">ح به، ثم إن هذه الصيغة موافقة لإحدى الصيغ المذكورة عند العلماء، وهي الصيغة التي ذكرها ابن تيمية وابن القيم </w:t>
      </w:r>
      <w:r>
        <w:rPr>
          <w:rFonts w:ascii="Traditional Arabic" w:hAnsi="Traditional Arabic" w:hint="cs"/>
          <w:sz w:val="32"/>
          <w:szCs w:val="32"/>
          <w:rtl/>
        </w:rPr>
        <w:t>_</w:t>
      </w:r>
      <w:r w:rsidRPr="00DA49DD">
        <w:rPr>
          <w:rFonts w:ascii="Traditional Arabic" w:hAnsi="Traditional Arabic"/>
          <w:sz w:val="32"/>
          <w:szCs w:val="32"/>
          <w:rtl/>
        </w:rPr>
        <w:t>رحمهما الله</w:t>
      </w:r>
      <w:r>
        <w:rPr>
          <w:rFonts w:ascii="Traditional Arabic" w:hAnsi="Traditional Arabic" w:hint="cs"/>
          <w:sz w:val="32"/>
          <w:szCs w:val="32"/>
          <w:rtl/>
        </w:rPr>
        <w:t>_</w:t>
      </w:r>
      <w:r w:rsidRPr="00DA49DD">
        <w:rPr>
          <w:rFonts w:ascii="Traditional Arabic" w:hAnsi="Traditional Arabic"/>
          <w:sz w:val="32"/>
          <w:szCs w:val="32"/>
          <w:rtl/>
        </w:rPr>
        <w:t>.</w:t>
      </w:r>
    </w:p>
  </w:footnote>
  <w:footnote w:id="439">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الشرح الممتع (9/111)، و(12/196، 383).</w:t>
      </w:r>
    </w:p>
  </w:footnote>
  <w:footnote w:id="440">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المرجع السابق (9/455).</w:t>
      </w:r>
    </w:p>
  </w:footnote>
  <w:footnote w:id="441">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المرجع السابق.</w:t>
      </w:r>
    </w:p>
  </w:footnote>
  <w:footnote w:id="442">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المرجع السابق (12/383).</w:t>
      </w:r>
    </w:p>
  </w:footnote>
  <w:footnote w:id="443">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شرح منظومة أصول الفقه وقواعده (279).</w:t>
      </w:r>
    </w:p>
  </w:footnote>
  <w:footnote w:id="444">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المرجع السابق (280).</w:t>
      </w:r>
    </w:p>
  </w:footnote>
  <w:footnote w:id="445">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منظومة أصول الفقه وقواعده (16).</w:t>
      </w:r>
    </w:p>
  </w:footnote>
  <w:footnote w:id="446">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 xml:space="preserve">مجموع </w:t>
      </w:r>
      <w:r>
        <w:rPr>
          <w:rFonts w:ascii="Traditional Arabic" w:hAnsi="Traditional Arabic" w:hint="cs"/>
          <w:sz w:val="32"/>
          <w:szCs w:val="32"/>
          <w:rtl/>
        </w:rPr>
        <w:t>ال</w:t>
      </w:r>
      <w:r w:rsidRPr="00DA49DD">
        <w:rPr>
          <w:rFonts w:ascii="Traditional Arabic" w:hAnsi="Traditional Arabic"/>
          <w:sz w:val="32"/>
          <w:szCs w:val="32"/>
          <w:rtl/>
        </w:rPr>
        <w:t xml:space="preserve">فتاوى </w:t>
      </w:r>
      <w:r>
        <w:rPr>
          <w:rFonts w:ascii="Traditional Arabic" w:hAnsi="Traditional Arabic" w:hint="cs"/>
          <w:sz w:val="32"/>
          <w:szCs w:val="32"/>
          <w:rtl/>
        </w:rPr>
        <w:t>ل</w:t>
      </w:r>
      <w:r w:rsidRPr="00DA49DD">
        <w:rPr>
          <w:rFonts w:ascii="Traditional Arabic" w:hAnsi="Traditional Arabic"/>
          <w:sz w:val="32"/>
          <w:szCs w:val="32"/>
          <w:rtl/>
        </w:rPr>
        <w:t>ابن تيمية (20/378).</w:t>
      </w:r>
    </w:p>
  </w:footnote>
  <w:footnote w:id="447">
    <w:p w:rsidR="000D3D21" w:rsidRPr="00977E52" w:rsidRDefault="000D3D21" w:rsidP="00256371">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المرجع السابق (30/98).</w:t>
      </w:r>
    </w:p>
  </w:footnote>
  <w:footnote w:id="448">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 xml:space="preserve">مجموع </w:t>
      </w:r>
      <w:r>
        <w:rPr>
          <w:rFonts w:ascii="Traditional Arabic" w:hAnsi="Traditional Arabic" w:hint="cs"/>
          <w:sz w:val="32"/>
          <w:szCs w:val="32"/>
          <w:rtl/>
        </w:rPr>
        <w:t>ال</w:t>
      </w:r>
      <w:r w:rsidRPr="00DA49DD">
        <w:rPr>
          <w:rFonts w:ascii="Traditional Arabic" w:hAnsi="Traditional Arabic"/>
          <w:sz w:val="32"/>
          <w:szCs w:val="32"/>
          <w:rtl/>
        </w:rPr>
        <w:t xml:space="preserve">فتاوى </w:t>
      </w:r>
      <w:r>
        <w:rPr>
          <w:rFonts w:ascii="Traditional Arabic" w:hAnsi="Traditional Arabic" w:hint="cs"/>
          <w:sz w:val="32"/>
          <w:szCs w:val="32"/>
          <w:rtl/>
        </w:rPr>
        <w:t>ل</w:t>
      </w:r>
      <w:r w:rsidRPr="00DA49DD">
        <w:rPr>
          <w:rFonts w:ascii="Traditional Arabic" w:hAnsi="Traditional Arabic"/>
          <w:sz w:val="32"/>
          <w:szCs w:val="32"/>
          <w:rtl/>
        </w:rPr>
        <w:t>ابن تيمية (32/287)، وإعلام الموقعين (4/318)، وزاد المعاد (5/118).</w:t>
      </w:r>
    </w:p>
  </w:footnote>
  <w:footnote w:id="449">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A49DD">
        <w:rPr>
          <w:rFonts w:ascii="Traditional Arabic" w:hAnsi="Traditional Arabic"/>
          <w:sz w:val="32"/>
          <w:szCs w:val="32"/>
          <w:rtl/>
        </w:rPr>
        <w:t xml:space="preserve"> زاد المعاد (5/118).</w:t>
      </w:r>
    </w:p>
  </w:footnote>
  <w:footnote w:id="450">
    <w:p w:rsidR="000D3D21" w:rsidRDefault="000D3D21" w:rsidP="00256371">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الأشباه والنظائر للسيوطي (96)، وانظر المنثور للزركشي (2/362)</w:t>
      </w:r>
      <w:r>
        <w:rPr>
          <w:rFonts w:ascii="Traditional Arabic" w:hAnsi="Traditional Arabic" w:hint="cs"/>
          <w:sz w:val="32"/>
          <w:szCs w:val="32"/>
          <w:rtl/>
        </w:rPr>
        <w:t>.</w:t>
      </w:r>
    </w:p>
    <w:p w:rsidR="000D3D21" w:rsidRPr="00DA49DD" w:rsidRDefault="000D3D21" w:rsidP="00256371">
      <w:pPr>
        <w:pStyle w:val="a7"/>
        <w:pageBreakBefore/>
        <w:rPr>
          <w:rFonts w:ascii="Traditional Arabic" w:hAnsi="Traditional Arabic"/>
          <w:sz w:val="32"/>
          <w:szCs w:val="32"/>
        </w:rPr>
      </w:pPr>
      <w:r>
        <w:rPr>
          <w:rFonts w:ascii="Traditional Arabic" w:hAnsi="Traditional Arabic" w:hint="cs"/>
          <w:sz w:val="32"/>
          <w:szCs w:val="32"/>
          <w:rtl/>
        </w:rPr>
        <w:t xml:space="preserve">      وقد </w:t>
      </w:r>
      <w:r w:rsidRPr="00DA49DD">
        <w:rPr>
          <w:rFonts w:ascii="Traditional Arabic" w:hAnsi="Traditional Arabic"/>
          <w:sz w:val="32"/>
          <w:szCs w:val="32"/>
          <w:rtl/>
        </w:rPr>
        <w:t>ذكر السيوطي الخلاف ع</w:t>
      </w:r>
      <w:r>
        <w:rPr>
          <w:rFonts w:ascii="Traditional Arabic" w:hAnsi="Traditional Arabic"/>
          <w:sz w:val="32"/>
          <w:szCs w:val="32"/>
          <w:rtl/>
        </w:rPr>
        <w:t xml:space="preserve">ند الشافعية على قولين، وذكر أن </w:t>
      </w:r>
      <w:r>
        <w:rPr>
          <w:rFonts w:ascii="Traditional Arabic" w:hAnsi="Traditional Arabic" w:hint="cs"/>
          <w:sz w:val="32"/>
          <w:szCs w:val="32"/>
          <w:rtl/>
        </w:rPr>
        <w:t>الأ</w:t>
      </w:r>
      <w:r w:rsidRPr="00DA49DD">
        <w:rPr>
          <w:rFonts w:ascii="Traditional Arabic" w:hAnsi="Traditional Arabic"/>
          <w:sz w:val="32"/>
          <w:szCs w:val="32"/>
          <w:rtl/>
        </w:rPr>
        <w:t>صح تنزيل العادة منزلة الشرط.</w:t>
      </w:r>
    </w:p>
  </w:footnote>
  <w:footnote w:id="451">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A49DD">
        <w:rPr>
          <w:rFonts w:ascii="Traditional Arabic" w:hAnsi="Traditional Arabic"/>
          <w:sz w:val="32"/>
          <w:szCs w:val="32"/>
          <w:rtl/>
        </w:rPr>
        <w:t xml:space="preserve"> الأشباه والنظائر لابن نجيم (108).</w:t>
      </w:r>
    </w:p>
  </w:footnote>
  <w:footnote w:id="452">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المرجع السابق.</w:t>
      </w:r>
    </w:p>
  </w:footnote>
  <w:footnote w:id="453">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شرح المنهج المنتخب للمنجور (1/450).</w:t>
      </w:r>
    </w:p>
  </w:footnote>
  <w:footnote w:id="454">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مجلة الأحكام العدلية (المادة 43).</w:t>
      </w:r>
    </w:p>
  </w:footnote>
  <w:footnote w:id="455">
    <w:p w:rsidR="000D3D21" w:rsidRPr="00977E52" w:rsidRDefault="000D3D21" w:rsidP="00256371">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شرح منظومة أصول الفقه وقواعده (279،280)، والقواعد والضوابط الفقهية للندوي (1/191).</w:t>
      </w:r>
    </w:p>
  </w:footnote>
  <w:footnote w:id="456">
    <w:p w:rsidR="000D3D21" w:rsidRPr="001814AE" w:rsidRDefault="000D3D21" w:rsidP="00256371">
      <w:pPr>
        <w:pStyle w:val="a7"/>
        <w:pageBreakBefore/>
        <w:rPr>
          <w:rFonts w:ascii="Traditional Arabic" w:hAnsi="Traditional Arabic"/>
          <w:sz w:val="32"/>
          <w:szCs w:val="32"/>
        </w:rPr>
      </w:pPr>
      <w:r w:rsidRPr="001814AE">
        <w:rPr>
          <w:rFonts w:ascii="Traditional Arabic" w:hAnsi="Traditional Arabic"/>
          <w:sz w:val="32"/>
          <w:szCs w:val="32"/>
          <w:rtl/>
        </w:rPr>
        <w:t>(</w:t>
      </w:r>
      <w:r w:rsidRPr="001814AE">
        <w:rPr>
          <w:rStyle w:val="af1"/>
          <w:rFonts w:ascii="Traditional Arabic" w:hAnsi="Traditional Arabic"/>
          <w:sz w:val="32"/>
          <w:szCs w:val="32"/>
          <w:vertAlign w:val="baseline"/>
          <w:rtl/>
        </w:rPr>
        <w:footnoteRef/>
      </w:r>
      <w:r w:rsidRPr="001814AE">
        <w:rPr>
          <w:rFonts w:ascii="Traditional Arabic" w:hAnsi="Traditional Arabic"/>
          <w:sz w:val="32"/>
          <w:szCs w:val="32"/>
          <w:rtl/>
        </w:rPr>
        <w:t>) المِسْوَرُ بنُ مَخْرَمةَ بن نَوفل القرشي الزهري</w:t>
      </w:r>
      <w:r>
        <w:rPr>
          <w:rFonts w:ascii="Traditional Arabic" w:hAnsi="Traditional Arabic" w:hint="cs"/>
          <w:sz w:val="32"/>
          <w:szCs w:val="32"/>
          <w:rtl/>
        </w:rPr>
        <w:t xml:space="preserve">، </w:t>
      </w:r>
      <w:r w:rsidRPr="001814AE">
        <w:rPr>
          <w:rFonts w:ascii="Traditional Arabic" w:hAnsi="Traditional Arabic"/>
          <w:sz w:val="32"/>
          <w:szCs w:val="32"/>
          <w:rtl/>
        </w:rPr>
        <w:t>يكنى أبا عبد الرحمن، وأمه عاتكة بنت عوف أخت عبد الرحمن بن عوف.كان فقيها من أهل الفضل والدين، وكان يلزم عمر بن الخطاب.روى عن الخلفاء الأربعة وعبد الرحمن بن عوف وغيرهم، وروى عنه سعيد بن المسيب وعلي بن الحسين وعروة بن الزبير وغيرهم.ولد بمكة بعد الهجرة بسنتين، وفي سنة 64ه أصابه حجر من حجارة المنجنيق -لما حاصر الحصين بن نمير مكة وحارب أهلها- وهو يصلي في الحِجْر فقتله.انظر: الاستيعاب (3/1399)، وأسد الغابة (4/399)، والإصابة (10/176).</w:t>
      </w:r>
    </w:p>
  </w:footnote>
  <w:footnote w:id="457">
    <w:p w:rsidR="000D3D21" w:rsidRPr="001861D5" w:rsidRDefault="000D3D21" w:rsidP="00256371">
      <w:pPr>
        <w:pStyle w:val="a7"/>
        <w:pageBreakBefore/>
        <w:rPr>
          <w:rFonts w:ascii="Tahoma" w:hAnsi="Tahoma"/>
        </w:rPr>
      </w:pPr>
      <w:r w:rsidRPr="001814AE">
        <w:rPr>
          <w:rFonts w:ascii="Traditional Arabic" w:hAnsi="Traditional Arabic"/>
          <w:sz w:val="32"/>
          <w:szCs w:val="32"/>
          <w:rtl/>
        </w:rPr>
        <w:t>(</w:t>
      </w:r>
      <w:r w:rsidRPr="001814AE">
        <w:rPr>
          <w:rStyle w:val="af1"/>
          <w:rFonts w:ascii="Traditional Arabic" w:hAnsi="Traditional Arabic"/>
          <w:sz w:val="32"/>
          <w:szCs w:val="32"/>
          <w:vertAlign w:val="baseline"/>
          <w:rtl/>
        </w:rPr>
        <w:footnoteRef/>
      </w:r>
      <w:r w:rsidRPr="001814AE">
        <w:rPr>
          <w:rFonts w:ascii="Traditional Arabic" w:hAnsi="Traditional Arabic"/>
          <w:sz w:val="32"/>
          <w:szCs w:val="32"/>
          <w:rtl/>
        </w:rPr>
        <w:t>)</w:t>
      </w:r>
      <w:r>
        <w:rPr>
          <w:rFonts w:ascii="Traditional Arabic" w:hAnsi="Traditional Arabic" w:hint="cs"/>
          <w:sz w:val="32"/>
          <w:szCs w:val="32"/>
          <w:rtl/>
        </w:rPr>
        <w:t xml:space="preserve"> </w:t>
      </w:r>
      <w:r w:rsidRPr="001814AE">
        <w:rPr>
          <w:rFonts w:ascii="Traditional Arabic" w:hAnsi="Traditional Arabic"/>
          <w:sz w:val="32"/>
          <w:szCs w:val="32"/>
          <w:rtl/>
        </w:rPr>
        <w:t>أخرجه البخاري في كتاب النكاح، باب ذب الرجل عن ابنته في الغيرة والإنصاف، حديث رقم (5230)، ومسلم في كتاب فضائل الص</w:t>
      </w:r>
      <w:r>
        <w:rPr>
          <w:rFonts w:ascii="Traditional Arabic" w:hAnsi="Traditional Arabic"/>
          <w:sz w:val="32"/>
          <w:szCs w:val="32"/>
          <w:rtl/>
        </w:rPr>
        <w:t>حابة، باب فضائل فاطمة بنت النبي</w:t>
      </w:r>
      <w:r>
        <w:rPr>
          <w:rFonts w:ascii="Traditional Arabic" w:hAnsi="Traditional Arabic" w:hint="cs"/>
          <w:sz w:val="32"/>
          <w:szCs w:val="32"/>
          <w:rtl/>
        </w:rPr>
        <w:t xml:space="preserve"> عليه الصلاة والسلام</w:t>
      </w:r>
      <w:r w:rsidRPr="001814AE">
        <w:rPr>
          <w:rFonts w:ascii="Traditional Arabic" w:hAnsi="Traditional Arabic"/>
          <w:sz w:val="32"/>
          <w:szCs w:val="32"/>
          <w:rtl/>
        </w:rPr>
        <w:t>، حديث رقم (2449).</w:t>
      </w:r>
    </w:p>
  </w:footnote>
  <w:footnote w:id="458">
    <w:p w:rsidR="000D3D21" w:rsidRPr="001814AE" w:rsidRDefault="000D3D21" w:rsidP="00256371">
      <w:pPr>
        <w:pStyle w:val="a7"/>
        <w:pageBreakBefore/>
        <w:rPr>
          <w:rFonts w:ascii="Tahoma" w:hAnsi="Tahoma"/>
          <w:sz w:val="32"/>
          <w:szCs w:val="32"/>
        </w:rPr>
      </w:pPr>
      <w:r w:rsidRPr="001814AE">
        <w:rPr>
          <w:rFonts w:ascii="Tahoma" w:hAnsi="Tahoma"/>
          <w:sz w:val="32"/>
          <w:szCs w:val="32"/>
          <w:rtl/>
        </w:rPr>
        <w:t>(</w:t>
      </w:r>
      <w:r w:rsidRPr="001814AE">
        <w:rPr>
          <w:rStyle w:val="af1"/>
          <w:rFonts w:ascii="Tahoma" w:hAnsi="Tahoma"/>
          <w:sz w:val="32"/>
          <w:szCs w:val="32"/>
          <w:vertAlign w:val="baseline"/>
          <w:rtl/>
        </w:rPr>
        <w:footnoteRef/>
      </w:r>
      <w:r w:rsidRPr="001814AE">
        <w:rPr>
          <w:rFonts w:ascii="Tahoma" w:hAnsi="Tahoma"/>
          <w:sz w:val="32"/>
          <w:szCs w:val="32"/>
          <w:rtl/>
        </w:rPr>
        <w:t>)</w:t>
      </w:r>
      <w:r>
        <w:rPr>
          <w:rFonts w:ascii="Tahoma" w:hAnsi="Tahoma" w:hint="cs"/>
          <w:sz w:val="32"/>
          <w:szCs w:val="32"/>
          <w:rtl/>
        </w:rPr>
        <w:t xml:space="preserve"> </w:t>
      </w:r>
      <w:r w:rsidRPr="001814AE">
        <w:rPr>
          <w:rFonts w:ascii="Tahoma" w:hAnsi="Tahoma" w:hint="cs"/>
          <w:sz w:val="32"/>
          <w:szCs w:val="32"/>
          <w:rtl/>
        </w:rPr>
        <w:t>انظر زاد المعاد (5/118).</w:t>
      </w:r>
    </w:p>
  </w:footnote>
  <w:footnote w:id="459">
    <w:p w:rsidR="000D3D21" w:rsidRPr="00EB1448" w:rsidRDefault="000D3D21" w:rsidP="00D7742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وهذه قاعدة فقهية ستأتي دراستها في المبحث الخامس من هذا الفصل.</w:t>
      </w:r>
    </w:p>
  </w:footnote>
  <w:footnote w:id="460">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انظر: الشرح الممتع (9/456)، ومجموع الفتاوى (29/448</w:t>
      </w:r>
      <w:r>
        <w:rPr>
          <w:rFonts w:ascii="Traditional Arabic" w:hAnsi="Traditional Arabic"/>
          <w:sz w:val="32"/>
          <w:szCs w:val="32"/>
          <w:rtl/>
        </w:rPr>
        <w:t xml:space="preserve">)، </w:t>
      </w:r>
      <w:r w:rsidRPr="00DA49DD">
        <w:rPr>
          <w:rFonts w:ascii="Traditional Arabic" w:hAnsi="Traditional Arabic"/>
          <w:sz w:val="32"/>
          <w:szCs w:val="32"/>
          <w:rtl/>
        </w:rPr>
        <w:t>والقواعد والضوابط الفقهية للمعاملات المالية لابن تيمية (2/324).</w:t>
      </w:r>
    </w:p>
  </w:footnote>
  <w:footnote w:id="461">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A49DD">
        <w:rPr>
          <w:rFonts w:ascii="Traditional Arabic" w:hAnsi="Traditional Arabic"/>
          <w:sz w:val="32"/>
          <w:szCs w:val="32"/>
          <w:rtl/>
        </w:rPr>
        <w:t xml:space="preserve"> أخرجه </w:t>
      </w:r>
      <w:r w:rsidRPr="00DA49DD">
        <w:rPr>
          <w:rFonts w:ascii="Traditional Arabic" w:hAnsi="Traditional Arabic"/>
          <w:noProof w:val="0"/>
          <w:sz w:val="32"/>
          <w:szCs w:val="32"/>
          <w:rtl/>
          <w:lang w:eastAsia="en-US"/>
        </w:rPr>
        <w:t>مسلم في كتاب المساقاة والمزارعة، باب من استسلف شيئا فرد خيرا منه، و"خيركم أحسنكم قضاءً</w:t>
      </w:r>
      <w:r w:rsidRPr="00DA49DD">
        <w:rPr>
          <w:rFonts w:ascii="Traditional Arabic" w:hAnsi="Traditional Arabic"/>
          <w:noProof w:val="0"/>
          <w:color w:val="auto"/>
          <w:sz w:val="32"/>
          <w:szCs w:val="32"/>
          <w:rtl/>
          <w:lang w:eastAsia="en-US"/>
        </w:rPr>
        <w:t>"، رقم الحديث</w:t>
      </w:r>
      <w:r w:rsidRPr="00DA49DD">
        <w:rPr>
          <w:rFonts w:ascii="Traditional Arabic" w:hAnsi="Traditional Arabic"/>
          <w:noProof w:val="0"/>
          <w:sz w:val="32"/>
          <w:szCs w:val="32"/>
          <w:rtl/>
          <w:lang w:eastAsia="en-US"/>
        </w:rPr>
        <w:t xml:space="preserve">(1600) عن أبي </w:t>
      </w:r>
      <w:r>
        <w:rPr>
          <w:rFonts w:ascii="Traditional Arabic" w:hAnsi="Traditional Arabic"/>
          <w:noProof w:val="0"/>
          <w:sz w:val="32"/>
          <w:szCs w:val="32"/>
          <w:rtl/>
          <w:lang w:eastAsia="en-US"/>
        </w:rPr>
        <w:t xml:space="preserve">رافع </w:t>
      </w:r>
      <w:r w:rsidRPr="00DA49DD">
        <w:rPr>
          <w:rFonts w:ascii="Traditional Arabic" w:hAnsi="Traditional Arabic"/>
          <w:noProof w:val="0"/>
          <w:sz w:val="32"/>
          <w:szCs w:val="32"/>
          <w:rtl/>
          <w:lang w:eastAsia="en-US"/>
        </w:rPr>
        <w:t>رضي الله عنه</w:t>
      </w:r>
      <w:r w:rsidRPr="00DA49DD">
        <w:rPr>
          <w:rFonts w:ascii="Traditional Arabic" w:hAnsi="Traditional Arabic"/>
          <w:sz w:val="32"/>
          <w:szCs w:val="32"/>
          <w:rtl/>
        </w:rPr>
        <w:t>.</w:t>
      </w:r>
    </w:p>
  </w:footnote>
  <w:footnote w:id="462">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انظر الشرح الممتع (9/111-112).</w:t>
      </w:r>
    </w:p>
  </w:footnote>
  <w:footnote w:id="463">
    <w:p w:rsidR="000D3D21" w:rsidRPr="009D5B03" w:rsidRDefault="000D3D21" w:rsidP="00256371">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 (9/111-112).</w:t>
      </w:r>
    </w:p>
  </w:footnote>
  <w:footnote w:id="464">
    <w:p w:rsidR="000D3D21" w:rsidRPr="00DA49DD" w:rsidRDefault="000D3D21" w:rsidP="002563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49DD">
        <w:rPr>
          <w:rFonts w:ascii="Traditional Arabic" w:hAnsi="Traditional Arabic"/>
          <w:sz w:val="32"/>
          <w:szCs w:val="32"/>
          <w:rtl/>
        </w:rPr>
        <w:t>انظر المرجع السابق (9/455).</w:t>
      </w:r>
    </w:p>
  </w:footnote>
  <w:footnote w:id="465">
    <w:p w:rsidR="000D3D21" w:rsidRPr="00DA49DD" w:rsidRDefault="000D3D21" w:rsidP="00256371">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DA49DD">
        <w:rPr>
          <w:rFonts w:ascii="Traditional Arabic" w:hAnsi="Traditional Arabic"/>
          <w:sz w:val="32"/>
          <w:szCs w:val="32"/>
          <w:rtl/>
        </w:rPr>
        <w:t xml:space="preserve"> (9/455).</w:t>
      </w:r>
    </w:p>
  </w:footnote>
  <w:footnote w:id="466">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الشرح الممتع (9/352).</w:t>
      </w:r>
    </w:p>
  </w:footnote>
  <w:footnote w:id="467">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 xml:space="preserve">مجموع </w:t>
      </w:r>
      <w:r>
        <w:rPr>
          <w:rFonts w:ascii="Traditional Arabic" w:hAnsi="Traditional Arabic" w:hint="cs"/>
          <w:sz w:val="32"/>
          <w:szCs w:val="32"/>
          <w:rtl/>
        </w:rPr>
        <w:t>ال</w:t>
      </w:r>
      <w:r w:rsidRPr="00E41400">
        <w:rPr>
          <w:rFonts w:ascii="Traditional Arabic" w:hAnsi="Traditional Arabic"/>
          <w:sz w:val="32"/>
          <w:szCs w:val="32"/>
          <w:rtl/>
        </w:rPr>
        <w:t xml:space="preserve">فتاوى </w:t>
      </w:r>
      <w:r>
        <w:rPr>
          <w:rFonts w:ascii="Traditional Arabic" w:hAnsi="Traditional Arabic" w:hint="cs"/>
          <w:sz w:val="32"/>
          <w:szCs w:val="32"/>
          <w:rtl/>
        </w:rPr>
        <w:t>ل</w:t>
      </w:r>
      <w:r w:rsidRPr="00E41400">
        <w:rPr>
          <w:rFonts w:ascii="Traditional Arabic" w:hAnsi="Traditional Arabic"/>
          <w:sz w:val="32"/>
          <w:szCs w:val="32"/>
          <w:rtl/>
        </w:rPr>
        <w:t>ابن تيمية (11/427)، و(28/272)، ومدارج السالكين لابن القيم (1/296).</w:t>
      </w:r>
    </w:p>
  </w:footnote>
  <w:footnote w:id="468">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إعلام الموقعين (4/323).</w:t>
      </w:r>
    </w:p>
  </w:footnote>
  <w:footnote w:id="469">
    <w:p w:rsidR="000D3D21" w:rsidRPr="001814AE" w:rsidRDefault="000D3D21" w:rsidP="00220EF0">
      <w:pPr>
        <w:pStyle w:val="a7"/>
        <w:pageBreakBefore/>
        <w:rPr>
          <w:rFonts w:ascii="Tahoma" w:hAnsi="Tahoma"/>
          <w:sz w:val="32"/>
          <w:szCs w:val="32"/>
          <w:rtl/>
        </w:rPr>
      </w:pPr>
      <w:r w:rsidRPr="001814AE">
        <w:rPr>
          <w:rFonts w:ascii="Tahoma" w:hAnsi="Tahoma"/>
          <w:sz w:val="32"/>
          <w:szCs w:val="32"/>
          <w:rtl/>
        </w:rPr>
        <w:t>(</w:t>
      </w:r>
      <w:r w:rsidRPr="001814AE">
        <w:rPr>
          <w:rStyle w:val="af1"/>
          <w:rFonts w:ascii="Tahoma" w:hAnsi="Tahoma"/>
          <w:sz w:val="32"/>
          <w:szCs w:val="32"/>
          <w:vertAlign w:val="baseline"/>
          <w:rtl/>
        </w:rPr>
        <w:footnoteRef/>
      </w:r>
      <w:r w:rsidRPr="001814AE">
        <w:rPr>
          <w:rFonts w:ascii="Tahoma" w:hAnsi="Tahoma"/>
          <w:sz w:val="32"/>
          <w:szCs w:val="32"/>
          <w:rtl/>
        </w:rPr>
        <w:t>)</w:t>
      </w:r>
      <w:r w:rsidRPr="001814AE">
        <w:rPr>
          <w:rFonts w:ascii="Tahoma" w:hAnsi="Tahoma" w:hint="cs"/>
          <w:sz w:val="32"/>
          <w:szCs w:val="32"/>
          <w:rtl/>
        </w:rPr>
        <w:t xml:space="preserve"> القواعد للمقري (162،مخطوط) بواسطة قاعدة العادة محكمة للباحسين (195).</w:t>
      </w:r>
    </w:p>
  </w:footnote>
  <w:footnote w:id="470">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مغني ذوي الأفهام عن الكتب الكثيرة في الأحكام لجمال الدين يوسف بن الحسن بن عبد الهادي (522).</w:t>
      </w:r>
    </w:p>
  </w:footnote>
  <w:footnote w:id="471">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موسوعة القواعد والضوابط للندوي (2/41).</w:t>
      </w:r>
    </w:p>
  </w:footnote>
  <w:footnote w:id="472">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موسوعة القواعد </w:t>
      </w:r>
      <w:r>
        <w:rPr>
          <w:rFonts w:ascii="Traditional Arabic" w:hAnsi="Traditional Arabic" w:hint="cs"/>
          <w:sz w:val="32"/>
          <w:szCs w:val="32"/>
          <w:rtl/>
        </w:rPr>
        <w:t>الفقهية</w:t>
      </w:r>
      <w:r w:rsidRPr="00E41400">
        <w:rPr>
          <w:rFonts w:ascii="Traditional Arabic" w:hAnsi="Traditional Arabic"/>
          <w:sz w:val="32"/>
          <w:szCs w:val="32"/>
          <w:rtl/>
        </w:rPr>
        <w:t xml:space="preserve"> للبورنو (4/341).</w:t>
      </w:r>
    </w:p>
  </w:footnote>
  <w:footnote w:id="473">
    <w:p w:rsidR="000D3D21" w:rsidRPr="00AA5993" w:rsidRDefault="000D3D21" w:rsidP="00220EF0">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موسوعة القواعد </w:t>
      </w:r>
      <w:r>
        <w:rPr>
          <w:rFonts w:ascii="Traditional Arabic" w:hAnsi="Traditional Arabic" w:hint="cs"/>
          <w:sz w:val="32"/>
          <w:szCs w:val="32"/>
          <w:rtl/>
        </w:rPr>
        <w:t>الفقهية</w:t>
      </w:r>
      <w:r w:rsidRPr="00E41400">
        <w:rPr>
          <w:rFonts w:ascii="Traditional Arabic" w:hAnsi="Traditional Arabic"/>
          <w:sz w:val="32"/>
          <w:szCs w:val="32"/>
          <w:rtl/>
        </w:rPr>
        <w:t xml:space="preserve"> للبورنو (4/341).</w:t>
      </w:r>
    </w:p>
  </w:footnote>
  <w:footnote w:id="474">
    <w:p w:rsidR="000D3D21" w:rsidRPr="001814AE" w:rsidRDefault="000D3D21" w:rsidP="00220EF0">
      <w:pPr>
        <w:pStyle w:val="a7"/>
        <w:pageBreakBefore/>
        <w:rPr>
          <w:rFonts w:ascii="Tahoma" w:hAnsi="Tahoma"/>
          <w:sz w:val="32"/>
          <w:szCs w:val="32"/>
        </w:rPr>
      </w:pPr>
      <w:r w:rsidRPr="001814AE">
        <w:rPr>
          <w:rFonts w:ascii="Tahoma" w:hAnsi="Tahoma"/>
          <w:sz w:val="32"/>
          <w:szCs w:val="32"/>
          <w:rtl/>
        </w:rPr>
        <w:t>(</w:t>
      </w:r>
      <w:r w:rsidRPr="001814AE">
        <w:rPr>
          <w:rStyle w:val="af1"/>
          <w:rFonts w:ascii="Tahoma" w:hAnsi="Tahoma"/>
          <w:sz w:val="32"/>
          <w:szCs w:val="32"/>
          <w:vertAlign w:val="baseline"/>
          <w:rtl/>
        </w:rPr>
        <w:footnoteRef/>
      </w:r>
      <w:r w:rsidRPr="001814AE">
        <w:rPr>
          <w:rFonts w:ascii="Tahoma" w:hAnsi="Tahoma"/>
          <w:sz w:val="32"/>
          <w:szCs w:val="32"/>
          <w:rtl/>
        </w:rPr>
        <w:t>)</w:t>
      </w:r>
      <w:r w:rsidRPr="001814AE">
        <w:rPr>
          <w:rFonts w:ascii="Tahoma" w:hAnsi="Tahoma" w:hint="cs"/>
          <w:sz w:val="32"/>
          <w:szCs w:val="32"/>
          <w:rtl/>
        </w:rPr>
        <w:t xml:space="preserve"> عروة بن أبي الجعد الأزدي البارقي، وقيل: عروة بن عياض بن أبي الجعد، وقيل: عروة بن الجعد، له صحبة، استعمله عمر بن الخطاب على قضاء الكوفة قَبْل شريح، وكان ممن حضر فتوح الشام ونزلها، ثم سيَّره عثمان بن عفان إلى الكوفة، يُعدُّ في الكوفيين وحديثه عند أهلها، روى عن عمر وسعد بن أبي وقاص، روى عنه الشعبي وسماك بن حرب وشريح بن هانيء وغيرهم. انظر</w:t>
      </w:r>
      <w:r>
        <w:rPr>
          <w:rFonts w:ascii="Tahoma" w:hAnsi="Tahoma" w:hint="cs"/>
          <w:sz w:val="32"/>
          <w:szCs w:val="32"/>
          <w:rtl/>
        </w:rPr>
        <w:t>:</w:t>
      </w:r>
      <w:r w:rsidRPr="001814AE">
        <w:rPr>
          <w:rFonts w:ascii="Tahoma" w:hAnsi="Tahoma" w:hint="cs"/>
          <w:sz w:val="32"/>
          <w:szCs w:val="32"/>
          <w:rtl/>
        </w:rPr>
        <w:t xml:space="preserve"> الاستيعاب (3/1065)، وأسد الغابة (3/523)، والإصابة (7/152)، وتهذيب التهذيب (7/157).</w:t>
      </w:r>
    </w:p>
  </w:footnote>
  <w:footnote w:id="475">
    <w:p w:rsidR="000D3D21" w:rsidRPr="00E41400" w:rsidRDefault="000D3D21" w:rsidP="00220EF0">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أخرجه البخاري</w:t>
      </w:r>
      <w:r>
        <w:rPr>
          <w:rFonts w:ascii="Traditional Arabic" w:hAnsi="Traditional Arabic" w:hint="cs"/>
          <w:sz w:val="32"/>
          <w:szCs w:val="32"/>
          <w:rtl/>
        </w:rPr>
        <w:t xml:space="preserve"> </w:t>
      </w:r>
      <w:r w:rsidRPr="00E41400">
        <w:rPr>
          <w:rFonts w:ascii="Traditional Arabic" w:hAnsi="Traditional Arabic"/>
          <w:noProof w:val="0"/>
          <w:sz w:val="32"/>
          <w:szCs w:val="32"/>
          <w:rtl/>
          <w:lang w:eastAsia="en-US"/>
        </w:rPr>
        <w:t>في كتاب المناقب، باب علامات النبوة، حديث رقم (3642).</w:t>
      </w:r>
    </w:p>
  </w:footnote>
  <w:footnote w:id="476">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انظر مدارج السالكين (1/296)، وإعلام الموقعين (4/317).</w:t>
      </w:r>
    </w:p>
  </w:footnote>
  <w:footnote w:id="477">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أخرجه البخاري في كتاب فضائل الصحابة، باب مناقب عثمان رضيي الله عنه، رقم الحديث (3698).</w:t>
      </w:r>
    </w:p>
  </w:footnote>
  <w:footnote w:id="478">
    <w:p w:rsidR="000D3D21" w:rsidRPr="006330C7" w:rsidRDefault="000D3D21" w:rsidP="00220EF0">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 xml:space="preserve">انظر مجموع </w:t>
      </w:r>
      <w:r>
        <w:rPr>
          <w:rFonts w:ascii="Traditional Arabic" w:hAnsi="Traditional Arabic" w:hint="cs"/>
          <w:sz w:val="32"/>
          <w:szCs w:val="32"/>
          <w:rtl/>
        </w:rPr>
        <w:t>ال</w:t>
      </w:r>
      <w:r w:rsidRPr="00E41400">
        <w:rPr>
          <w:rFonts w:ascii="Traditional Arabic" w:hAnsi="Traditional Arabic"/>
          <w:sz w:val="32"/>
          <w:szCs w:val="32"/>
          <w:rtl/>
        </w:rPr>
        <w:t xml:space="preserve">فتاوى </w:t>
      </w:r>
      <w:r>
        <w:rPr>
          <w:rFonts w:ascii="Traditional Arabic" w:hAnsi="Traditional Arabic" w:hint="cs"/>
          <w:sz w:val="32"/>
          <w:szCs w:val="32"/>
          <w:rtl/>
        </w:rPr>
        <w:t>ل</w:t>
      </w:r>
      <w:r w:rsidRPr="00E41400">
        <w:rPr>
          <w:rFonts w:ascii="Traditional Arabic" w:hAnsi="Traditional Arabic"/>
          <w:sz w:val="32"/>
          <w:szCs w:val="32"/>
          <w:rtl/>
        </w:rPr>
        <w:t>ابن تيمية (11/427)، و(29/20-21)، والقواعد والضوابط الفقهية للمعاملات المالية عند ابن تيمية (2/123).</w:t>
      </w:r>
    </w:p>
  </w:footnote>
  <w:footnote w:id="479">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انظر الشرح الممتع (9/351، 352).</w:t>
      </w:r>
    </w:p>
  </w:footnote>
  <w:footnote w:id="480">
    <w:p w:rsidR="000D3D21" w:rsidRPr="00E41400" w:rsidRDefault="000D3D21" w:rsidP="00220EF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41400">
        <w:rPr>
          <w:rFonts w:ascii="Traditional Arabic" w:hAnsi="Traditional Arabic"/>
          <w:sz w:val="32"/>
          <w:szCs w:val="32"/>
          <w:rtl/>
        </w:rPr>
        <w:t>انظر المرجع السابق (9/352).</w:t>
      </w:r>
    </w:p>
  </w:footnote>
  <w:footnote w:id="481">
    <w:p w:rsidR="000D3D21" w:rsidRPr="003E582B" w:rsidRDefault="000D3D21" w:rsidP="00220EF0">
      <w:pPr>
        <w:pStyle w:val="a7"/>
        <w:pageBreakBefore/>
        <w:rPr>
          <w:rFonts w:ascii="Tahoma" w:hAnsi="Tahoma"/>
          <w:sz w:val="32"/>
          <w:szCs w:val="32"/>
        </w:rPr>
      </w:pPr>
      <w:r w:rsidRPr="003E582B">
        <w:rPr>
          <w:rFonts w:ascii="Tahoma" w:hAnsi="Tahoma"/>
          <w:sz w:val="32"/>
          <w:szCs w:val="32"/>
          <w:rtl/>
        </w:rPr>
        <w:t>(</w:t>
      </w:r>
      <w:r w:rsidRPr="003E582B">
        <w:rPr>
          <w:rStyle w:val="af1"/>
          <w:rFonts w:ascii="Tahoma" w:hAnsi="Tahoma"/>
          <w:sz w:val="32"/>
          <w:szCs w:val="32"/>
          <w:vertAlign w:val="baseline"/>
          <w:rtl/>
        </w:rPr>
        <w:footnoteRef/>
      </w:r>
      <w:r w:rsidRPr="003E582B">
        <w:rPr>
          <w:rFonts w:ascii="Tahoma" w:hAnsi="Tahoma"/>
          <w:sz w:val="32"/>
          <w:szCs w:val="32"/>
          <w:rtl/>
        </w:rPr>
        <w:t>)</w:t>
      </w:r>
      <w:r w:rsidRPr="003E582B">
        <w:rPr>
          <w:rFonts w:ascii="Tahoma" w:hAnsi="Tahoma" w:hint="cs"/>
          <w:sz w:val="32"/>
          <w:szCs w:val="32"/>
          <w:rtl/>
        </w:rPr>
        <w:t xml:space="preserve"> انظر المرجع السابق (10/125-126).</w:t>
      </w:r>
    </w:p>
  </w:footnote>
  <w:footnote w:id="482">
    <w:p w:rsidR="000D3D21" w:rsidRPr="00DD3AF7"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D3AF7">
        <w:rPr>
          <w:rFonts w:ascii="Traditional Arabic" w:hAnsi="Traditional Arabic"/>
          <w:sz w:val="32"/>
          <w:szCs w:val="32"/>
          <w:rtl/>
        </w:rPr>
        <w:t xml:space="preserve">اخترت هذه الصيغة لوجازتها، ولقربها من اللفظ الذي ذكره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DD3AF7">
        <w:rPr>
          <w:rFonts w:ascii="Traditional Arabic" w:hAnsi="Traditional Arabic"/>
          <w:sz w:val="32"/>
          <w:szCs w:val="32"/>
          <w:rtl/>
        </w:rPr>
        <w:t xml:space="preserve"> في منظومة أصول الفقه وقواعده. </w:t>
      </w:r>
    </w:p>
  </w:footnote>
  <w:footnote w:id="483">
    <w:p w:rsidR="000D3D21" w:rsidRPr="00DD3AF7"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D3AF7">
        <w:rPr>
          <w:rFonts w:ascii="Traditional Arabic" w:hAnsi="Traditional Arabic"/>
          <w:sz w:val="32"/>
          <w:szCs w:val="32"/>
          <w:rtl/>
        </w:rPr>
        <w:t>الشرح الممتع (1/272).</w:t>
      </w:r>
    </w:p>
  </w:footnote>
  <w:footnote w:id="484">
    <w:p w:rsidR="000D3D21" w:rsidRPr="00DD3AF7"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D3AF7">
        <w:rPr>
          <w:rFonts w:ascii="Traditional Arabic" w:hAnsi="Traditional Arabic"/>
          <w:sz w:val="32"/>
          <w:szCs w:val="32"/>
          <w:rtl/>
        </w:rPr>
        <w:t>المرجع السابق (2/170)، وانظر تفسير سورة البقرة (3/105).</w:t>
      </w:r>
    </w:p>
  </w:footnote>
  <w:footnote w:id="485">
    <w:p w:rsidR="000D3D21" w:rsidRPr="00DD3AF7"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DD3AF7">
        <w:rPr>
          <w:rFonts w:ascii="Traditional Arabic" w:hAnsi="Traditional Arabic"/>
          <w:sz w:val="32"/>
          <w:szCs w:val="32"/>
          <w:rtl/>
        </w:rPr>
        <w:t xml:space="preserve"> (5/44).</w:t>
      </w:r>
    </w:p>
  </w:footnote>
  <w:footnote w:id="486">
    <w:p w:rsidR="000D3D21" w:rsidRPr="00DD3AF7"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D3AF7">
        <w:rPr>
          <w:rFonts w:ascii="Traditional Arabic" w:hAnsi="Traditional Arabic"/>
          <w:sz w:val="32"/>
          <w:szCs w:val="32"/>
          <w:rtl/>
        </w:rPr>
        <w:t>المرجع السابق (5/103).</w:t>
      </w:r>
    </w:p>
  </w:footnote>
  <w:footnote w:id="487">
    <w:p w:rsidR="000D3D21" w:rsidRPr="00DD3AF7"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D3AF7">
        <w:rPr>
          <w:rFonts w:ascii="Traditional Arabic" w:hAnsi="Traditional Arabic"/>
          <w:sz w:val="32"/>
          <w:szCs w:val="32"/>
          <w:rtl/>
        </w:rPr>
        <w:t>المرجع السابق (8/267)، وانظر شرح منظومة أصول الفقه وقواعده (279)، وفتح ذي الجلال والإكرام (3/514).</w:t>
      </w:r>
    </w:p>
  </w:footnote>
  <w:footnote w:id="488">
    <w:p w:rsidR="000D3D21" w:rsidRPr="00DD3AF7"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D3AF7">
        <w:rPr>
          <w:rFonts w:ascii="Traditional Arabic" w:hAnsi="Traditional Arabic"/>
          <w:sz w:val="32"/>
          <w:szCs w:val="32"/>
          <w:rtl/>
        </w:rPr>
        <w:t>الشرح الممتع (10/331).</w:t>
      </w:r>
    </w:p>
  </w:footnote>
  <w:footnote w:id="489">
    <w:p w:rsidR="000D3D21" w:rsidRPr="00DD3AF7"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DD3AF7">
        <w:rPr>
          <w:rFonts w:ascii="Traditional Arabic" w:hAnsi="Traditional Arabic"/>
          <w:sz w:val="32"/>
          <w:szCs w:val="32"/>
          <w:rtl/>
        </w:rPr>
        <w:t xml:space="preserve"> (13/275).</w:t>
      </w:r>
    </w:p>
  </w:footnote>
  <w:footnote w:id="490">
    <w:p w:rsidR="000D3D21" w:rsidRPr="00DD3AF7" w:rsidRDefault="000D3D21" w:rsidP="0065718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D3AF7">
        <w:rPr>
          <w:rFonts w:ascii="Traditional Arabic" w:hAnsi="Traditional Arabic"/>
          <w:sz w:val="32"/>
          <w:szCs w:val="32"/>
          <w:rtl/>
        </w:rPr>
        <w:t>المرجع السابق (14/341).</w:t>
      </w:r>
    </w:p>
  </w:footnote>
  <w:footnote w:id="491">
    <w:p w:rsidR="000D3D21" w:rsidRPr="006C05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فتح ذي الجلال والإكرام (4/329).</w:t>
      </w:r>
    </w:p>
  </w:footnote>
  <w:footnote w:id="492">
    <w:p w:rsidR="000D3D21" w:rsidRPr="009848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8F6">
        <w:rPr>
          <w:rFonts w:ascii="Traditional Arabic" w:hAnsi="Traditional Arabic"/>
          <w:sz w:val="32"/>
          <w:szCs w:val="32"/>
          <w:rtl/>
        </w:rPr>
        <w:t>شرح رياض الصالحين (1/308).</w:t>
      </w:r>
    </w:p>
  </w:footnote>
  <w:footnote w:id="493">
    <w:p w:rsidR="000D3D21" w:rsidRDefault="000D3D21" w:rsidP="00657189">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منظومة أصول الفقه وقواعده (16).</w:t>
      </w:r>
    </w:p>
    <w:p w:rsidR="000D3D21" w:rsidRPr="009848F6" w:rsidRDefault="000D3D21" w:rsidP="00657189">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9848F6">
        <w:rPr>
          <w:rFonts w:ascii="Traditional Arabic" w:hAnsi="Traditional Arabic"/>
          <w:sz w:val="32"/>
          <w:szCs w:val="32"/>
          <w:rtl/>
        </w:rPr>
        <w:t xml:space="preserve">كثيرا ما كان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9848F6">
        <w:rPr>
          <w:rFonts w:ascii="Traditional Arabic" w:hAnsi="Traditional Arabic"/>
          <w:sz w:val="32"/>
          <w:szCs w:val="32"/>
          <w:rtl/>
        </w:rPr>
        <w:t xml:space="preserve"> يستشهد بهذا البيت، انظر: الشرح الممتع (1/272)، و(2/272)، و(5/44-45، 103)، و(8/267)، و(9/456)، و(13/275)، وفتح ذي الجلال والإكرام (3/12، 514)، و(4/261، 329)</w:t>
      </w:r>
      <w:r>
        <w:rPr>
          <w:rFonts w:ascii="Traditional Arabic" w:hAnsi="Traditional Arabic" w:hint="cs"/>
          <w:sz w:val="32"/>
          <w:szCs w:val="32"/>
          <w:rtl/>
        </w:rPr>
        <w:t>، والتعليق على صحيح مسلم (220)، وأحكام من القرآن الكريم (1/632)، و(2/236)</w:t>
      </w:r>
      <w:r w:rsidRPr="009848F6">
        <w:rPr>
          <w:rFonts w:ascii="Traditional Arabic" w:hAnsi="Traditional Arabic"/>
          <w:sz w:val="32"/>
          <w:szCs w:val="32"/>
          <w:rtl/>
        </w:rPr>
        <w:t>.</w:t>
      </w:r>
    </w:p>
  </w:footnote>
  <w:footnote w:id="494">
    <w:p w:rsidR="000D3D21" w:rsidRPr="009848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8F6">
        <w:rPr>
          <w:rFonts w:ascii="Traditional Arabic" w:hAnsi="Traditional Arabic"/>
          <w:sz w:val="32"/>
          <w:szCs w:val="32"/>
          <w:rtl/>
        </w:rPr>
        <w:t>شرح منظومة أصول الفقه وقواعده (273).</w:t>
      </w:r>
    </w:p>
  </w:footnote>
  <w:footnote w:id="495">
    <w:p w:rsidR="000D3D21" w:rsidRPr="009848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المرجع السابق</w:t>
      </w:r>
      <w:r w:rsidRPr="009848F6">
        <w:rPr>
          <w:rFonts w:ascii="Traditional Arabic" w:hAnsi="Traditional Arabic"/>
          <w:sz w:val="32"/>
          <w:szCs w:val="32"/>
          <w:rtl/>
        </w:rPr>
        <w:t xml:space="preserve"> (276).</w:t>
      </w:r>
    </w:p>
  </w:footnote>
  <w:footnote w:id="496">
    <w:p w:rsidR="000D3D21" w:rsidRPr="009848F6" w:rsidRDefault="000D3D21" w:rsidP="00657189">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8F6">
        <w:rPr>
          <w:rFonts w:ascii="Traditional Arabic" w:hAnsi="Traditional Arabic"/>
          <w:sz w:val="32"/>
          <w:szCs w:val="32"/>
          <w:rtl/>
        </w:rPr>
        <w:t>أحكام من القرآن الكريم (2/170)</w:t>
      </w:r>
      <w:r>
        <w:rPr>
          <w:rFonts w:ascii="Traditional Arabic" w:hAnsi="Traditional Arabic"/>
          <w:sz w:val="32"/>
          <w:szCs w:val="32"/>
          <w:rtl/>
        </w:rPr>
        <w:t>.</w:t>
      </w:r>
    </w:p>
  </w:footnote>
  <w:footnote w:id="497">
    <w:p w:rsidR="000D3D21" w:rsidRPr="003615FE"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615FE">
        <w:rPr>
          <w:rFonts w:ascii="Traditional Arabic" w:hAnsi="Traditional Arabic"/>
          <w:sz w:val="32"/>
          <w:szCs w:val="32"/>
          <w:rtl/>
        </w:rPr>
        <w:t>التعليق على صحيح مسلم (220).</w:t>
      </w:r>
    </w:p>
  </w:footnote>
  <w:footnote w:id="498">
    <w:p w:rsidR="000D3D21" w:rsidRPr="009848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مجموع فتاوى </w:t>
      </w:r>
      <w:r>
        <w:rPr>
          <w:rFonts w:ascii="Traditional Arabic" w:hAnsi="Traditional Arabic" w:hint="cs"/>
          <w:sz w:val="32"/>
          <w:szCs w:val="32"/>
          <w:rtl/>
        </w:rPr>
        <w:t>لا</w:t>
      </w:r>
      <w:r w:rsidRPr="009848F6">
        <w:rPr>
          <w:rFonts w:ascii="Traditional Arabic" w:hAnsi="Traditional Arabic"/>
          <w:sz w:val="32"/>
          <w:szCs w:val="32"/>
          <w:rtl/>
        </w:rPr>
        <w:t>بن تيمية (24/40).</w:t>
      </w:r>
    </w:p>
  </w:footnote>
  <w:footnote w:id="499">
    <w:p w:rsidR="000D3D21" w:rsidRPr="009848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المرجع السابق</w:t>
      </w:r>
      <w:r w:rsidRPr="009848F6">
        <w:rPr>
          <w:rFonts w:ascii="Traditional Arabic" w:hAnsi="Traditional Arabic"/>
          <w:sz w:val="32"/>
          <w:szCs w:val="32"/>
          <w:rtl/>
        </w:rPr>
        <w:t xml:space="preserve"> (35/350).</w:t>
      </w:r>
    </w:p>
  </w:footnote>
  <w:footnote w:id="500">
    <w:p w:rsidR="000D3D21" w:rsidRPr="009848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8F6">
        <w:rPr>
          <w:rFonts w:ascii="Traditional Arabic" w:hAnsi="Traditional Arabic"/>
          <w:sz w:val="32"/>
          <w:szCs w:val="32"/>
          <w:rtl/>
        </w:rPr>
        <w:t>إعلام الموقعين (6/480)، وانظر القواعد الفقهية المستخرجة من كتاب إعلام الموقعين (369، 371).</w:t>
      </w:r>
    </w:p>
  </w:footnote>
  <w:footnote w:id="501">
    <w:p w:rsidR="000D3D21" w:rsidRPr="006C05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8F6">
        <w:rPr>
          <w:rFonts w:ascii="Traditional Arabic" w:hAnsi="Traditional Arabic"/>
          <w:sz w:val="32"/>
          <w:szCs w:val="32"/>
          <w:rtl/>
        </w:rPr>
        <w:t>الأشباه والنظائر لابن السبكي (1/51).</w:t>
      </w:r>
    </w:p>
  </w:footnote>
  <w:footnote w:id="502">
    <w:p w:rsidR="000D3D21" w:rsidRPr="006C05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المنثور للزركشي (2/391)، والأشباه والنظائر للسيوطي (98).</w:t>
      </w:r>
    </w:p>
  </w:footnote>
  <w:footnote w:id="503">
    <w:p w:rsidR="000D3D21" w:rsidRPr="006C05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القواعد والأصول الجامعة (52)</w:t>
      </w:r>
      <w:r>
        <w:rPr>
          <w:rFonts w:ascii="Traditional Arabic" w:hAnsi="Traditional Arabic" w:hint="cs"/>
          <w:sz w:val="32"/>
          <w:szCs w:val="32"/>
          <w:rtl/>
        </w:rPr>
        <w:t>.</w:t>
      </w:r>
    </w:p>
  </w:footnote>
  <w:footnote w:id="504">
    <w:p w:rsidR="000D3D21" w:rsidRPr="00E76BAD" w:rsidRDefault="000D3D21" w:rsidP="0065718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القواع</w:t>
      </w:r>
      <w:r>
        <w:rPr>
          <w:rFonts w:ascii="Traditional Arabic" w:hAnsi="Traditional Arabic"/>
          <w:sz w:val="32"/>
          <w:szCs w:val="32"/>
          <w:rtl/>
        </w:rPr>
        <w:t>د الفقهية وشرحها لابن سعدي (33)</w:t>
      </w:r>
      <w:r>
        <w:rPr>
          <w:rFonts w:ascii="Traditional Arabic" w:hAnsi="Traditional Arabic" w:hint="cs"/>
          <w:sz w:val="32"/>
          <w:szCs w:val="32"/>
          <w:rtl/>
        </w:rPr>
        <w:t>.</w:t>
      </w:r>
    </w:p>
  </w:footnote>
  <w:footnote w:id="505">
    <w:p w:rsidR="000D3D21" w:rsidRPr="006C05F6" w:rsidRDefault="000D3D21" w:rsidP="00657189">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أوردهذا البيت</w:t>
      </w:r>
      <w:r>
        <w:rPr>
          <w:rFonts w:ascii="Traditional Arabic" w:hAnsi="Traditional Arabic" w:hint="cs"/>
          <w:sz w:val="32"/>
          <w:szCs w:val="32"/>
          <w:rtl/>
        </w:rPr>
        <w:t>َ</w:t>
      </w:r>
      <w:r>
        <w:rPr>
          <w:rFonts w:ascii="Traditional Arabic" w:hAnsi="Traditional Arabic"/>
          <w:sz w:val="32"/>
          <w:szCs w:val="32"/>
          <w:rtl/>
        </w:rPr>
        <w:t xml:space="preserve"> </w:t>
      </w:r>
      <w:r>
        <w:rPr>
          <w:rFonts w:ascii="Traditional Arabic" w:hAnsi="Traditional Arabic" w:hint="cs"/>
          <w:sz w:val="32"/>
          <w:szCs w:val="32"/>
          <w:rtl/>
        </w:rPr>
        <w:t xml:space="preserve"> </w:t>
      </w:r>
      <w:r>
        <w:rPr>
          <w:rFonts w:ascii="Traditional Arabic" w:hAnsi="Traditional Arabic"/>
          <w:sz w:val="32"/>
          <w:szCs w:val="32"/>
          <w:rtl/>
        </w:rPr>
        <w:t>الجوهري</w:t>
      </w:r>
      <w:r>
        <w:rPr>
          <w:rFonts w:ascii="Traditional Arabic" w:hAnsi="Traditional Arabic" w:hint="cs"/>
          <w:sz w:val="32"/>
          <w:szCs w:val="32"/>
          <w:rtl/>
        </w:rPr>
        <w:t>_رحمه الله_</w:t>
      </w:r>
      <w:r w:rsidRPr="006C05F6">
        <w:rPr>
          <w:rFonts w:ascii="Traditional Arabic" w:hAnsi="Traditional Arabic"/>
          <w:sz w:val="32"/>
          <w:szCs w:val="32"/>
          <w:rtl/>
        </w:rPr>
        <w:t xml:space="preserve"> بلفظ قريب:</w:t>
      </w:r>
    </w:p>
    <w:p w:rsidR="000D3D21" w:rsidRDefault="000D3D21" w:rsidP="00657189">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6C05F6">
        <w:rPr>
          <w:rFonts w:ascii="Traditional Arabic" w:hAnsi="Traditional Arabic"/>
          <w:sz w:val="32"/>
          <w:szCs w:val="32"/>
          <w:rtl/>
        </w:rPr>
        <w:t>وجاعل الشمس مِصْراً لا خفاء به</w:t>
      </w:r>
      <w:r>
        <w:rPr>
          <w:rFonts w:ascii="Traditional Arabic" w:hAnsi="Traditional Arabic" w:hint="cs"/>
          <w:sz w:val="32"/>
          <w:szCs w:val="32"/>
          <w:rtl/>
        </w:rPr>
        <w:t xml:space="preserve">      </w:t>
      </w:r>
      <w:r>
        <w:rPr>
          <w:rFonts w:ascii="Traditional Arabic" w:hAnsi="Traditional Arabic"/>
          <w:sz w:val="32"/>
          <w:szCs w:val="32"/>
          <w:rtl/>
        </w:rPr>
        <w:t>بين ا</w:t>
      </w:r>
      <w:r>
        <w:rPr>
          <w:rFonts w:ascii="Traditional Arabic" w:hAnsi="Traditional Arabic" w:hint="cs"/>
          <w:sz w:val="32"/>
          <w:szCs w:val="32"/>
          <w:rtl/>
        </w:rPr>
        <w:t>لنهار والليل</w:t>
      </w:r>
      <w:r>
        <w:rPr>
          <w:rFonts w:ascii="Traditional Arabic" w:hAnsi="Traditional Arabic"/>
          <w:sz w:val="32"/>
          <w:szCs w:val="32"/>
          <w:rtl/>
        </w:rPr>
        <w:t xml:space="preserve"> قد فصلا</w:t>
      </w:r>
      <w:r>
        <w:rPr>
          <w:rFonts w:ascii="Traditional Arabic" w:hAnsi="Traditional Arabic" w:hint="cs"/>
          <w:sz w:val="32"/>
          <w:szCs w:val="32"/>
          <w:rtl/>
        </w:rPr>
        <w:t>.</w:t>
      </w:r>
      <w:r w:rsidRPr="006C05F6">
        <w:rPr>
          <w:rFonts w:ascii="Traditional Arabic" w:hAnsi="Traditional Arabic"/>
          <w:sz w:val="32"/>
          <w:szCs w:val="32"/>
          <w:rtl/>
        </w:rPr>
        <w:t xml:space="preserve"> </w:t>
      </w:r>
    </w:p>
    <w:p w:rsidR="000D3D21" w:rsidRPr="006C05F6" w:rsidRDefault="000D3D21" w:rsidP="00657189">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6C05F6">
        <w:rPr>
          <w:rFonts w:ascii="Traditional Arabic" w:hAnsi="Traditional Arabic"/>
          <w:sz w:val="32"/>
          <w:szCs w:val="32"/>
          <w:rtl/>
        </w:rPr>
        <w:t>واستشهد به على أن الم</w:t>
      </w:r>
      <w:r>
        <w:rPr>
          <w:rFonts w:ascii="Traditional Arabic" w:hAnsi="Traditional Arabic" w:hint="cs"/>
          <w:sz w:val="32"/>
          <w:szCs w:val="32"/>
          <w:rtl/>
        </w:rPr>
        <w:t>ِ</w:t>
      </w:r>
      <w:r w:rsidRPr="006C05F6">
        <w:rPr>
          <w:rFonts w:ascii="Traditional Arabic" w:hAnsi="Traditional Arabic"/>
          <w:sz w:val="32"/>
          <w:szCs w:val="32"/>
          <w:rtl/>
        </w:rPr>
        <w:t>ص</w:t>
      </w:r>
      <w:r>
        <w:rPr>
          <w:rFonts w:ascii="Traditional Arabic" w:hAnsi="Traditional Arabic" w:hint="cs"/>
          <w:sz w:val="32"/>
          <w:szCs w:val="32"/>
          <w:rtl/>
        </w:rPr>
        <w:t>ْ</w:t>
      </w:r>
      <w:r w:rsidRPr="006C05F6">
        <w:rPr>
          <w:rFonts w:ascii="Traditional Arabic" w:hAnsi="Traditional Arabic"/>
          <w:sz w:val="32"/>
          <w:szCs w:val="32"/>
          <w:rtl/>
        </w:rPr>
        <w:t xml:space="preserve">ر يأتي بمعنى الحاجز بين الشيئين، ونسب ابن منظور هذا البيت إلى أمية بن أبي الصلت، ونقل عن </w:t>
      </w:r>
      <w:r w:rsidRPr="006C05F6">
        <w:rPr>
          <w:rFonts w:ascii="Traditional Arabic" w:hAnsi="Traditional Arabic"/>
          <w:noProof w:val="0"/>
          <w:sz w:val="32"/>
          <w:szCs w:val="32"/>
          <w:rtl/>
          <w:lang w:eastAsia="en-US"/>
        </w:rPr>
        <w:t>ابن بري أن البيت لعدِيّ بن زيد العبادي</w:t>
      </w:r>
      <w:r>
        <w:rPr>
          <w:rFonts w:ascii="Traditional Arabic" w:hAnsi="Traditional Arabic" w:hint="cs"/>
          <w:sz w:val="32"/>
          <w:szCs w:val="32"/>
          <w:rtl/>
        </w:rPr>
        <w:t>.</w:t>
      </w:r>
      <w:r w:rsidRPr="006C05F6">
        <w:rPr>
          <w:rFonts w:ascii="Traditional Arabic" w:hAnsi="Traditional Arabic"/>
          <w:sz w:val="32"/>
          <w:szCs w:val="32"/>
          <w:rtl/>
        </w:rPr>
        <w:t xml:space="preserve"> انظر: الصحاح للجوهري (718)، ولسان العرب (4215).</w:t>
      </w:r>
    </w:p>
  </w:footnote>
  <w:footnote w:id="506">
    <w:p w:rsidR="000D3D21" w:rsidRPr="006C05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انظر المصباح المنير (111).</w:t>
      </w:r>
    </w:p>
  </w:footnote>
  <w:footnote w:id="507">
    <w:p w:rsidR="000D3D21" w:rsidRPr="00D637C7" w:rsidRDefault="000D3D21" w:rsidP="0065718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المطلع على أ</w:t>
      </w:r>
      <w:r>
        <w:rPr>
          <w:rFonts w:ascii="Traditional Arabic" w:hAnsi="Traditional Arabic" w:hint="cs"/>
          <w:sz w:val="32"/>
          <w:szCs w:val="32"/>
          <w:rtl/>
        </w:rPr>
        <w:t>لفاظ</w:t>
      </w:r>
      <w:r>
        <w:rPr>
          <w:rFonts w:ascii="Traditional Arabic" w:hAnsi="Traditional Arabic"/>
          <w:sz w:val="32"/>
          <w:szCs w:val="32"/>
          <w:rtl/>
        </w:rPr>
        <w:t xml:space="preserve"> الم</w:t>
      </w:r>
      <w:r>
        <w:rPr>
          <w:rFonts w:ascii="Traditional Arabic" w:hAnsi="Traditional Arabic" w:hint="cs"/>
          <w:sz w:val="32"/>
          <w:szCs w:val="32"/>
          <w:rtl/>
        </w:rPr>
        <w:t>قنع</w:t>
      </w:r>
      <w:r w:rsidRPr="006C05F6">
        <w:rPr>
          <w:rFonts w:ascii="Traditional Arabic" w:hAnsi="Traditional Arabic"/>
          <w:sz w:val="32"/>
          <w:szCs w:val="32"/>
          <w:rtl/>
        </w:rPr>
        <w:t xml:space="preserve"> (</w:t>
      </w:r>
      <w:r>
        <w:rPr>
          <w:rFonts w:ascii="Traditional Arabic" w:hAnsi="Traditional Arabic" w:hint="cs"/>
          <w:sz w:val="32"/>
          <w:szCs w:val="32"/>
          <w:rtl/>
        </w:rPr>
        <w:t>452</w:t>
      </w:r>
      <w:r w:rsidRPr="006C05F6">
        <w:rPr>
          <w:rFonts w:ascii="Traditional Arabic" w:hAnsi="Traditional Arabic"/>
          <w:sz w:val="32"/>
          <w:szCs w:val="32"/>
          <w:rtl/>
        </w:rPr>
        <w:t>).</w:t>
      </w:r>
    </w:p>
  </w:footnote>
  <w:footnote w:id="508">
    <w:p w:rsidR="000D3D21" w:rsidRPr="006C05F6" w:rsidRDefault="000D3D21" w:rsidP="00657189">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شرح منظومة أصول الفقه وقواعده (273)</w:t>
      </w:r>
      <w:r>
        <w:rPr>
          <w:rFonts w:ascii="Traditional Arabic" w:hAnsi="Traditional Arabic" w:hint="cs"/>
          <w:sz w:val="32"/>
          <w:szCs w:val="32"/>
          <w:rtl/>
        </w:rPr>
        <w:t>، وانظر الشرح الممتع (5/45)</w:t>
      </w:r>
      <w:r w:rsidRPr="006C05F6">
        <w:rPr>
          <w:rFonts w:ascii="Traditional Arabic" w:hAnsi="Traditional Arabic"/>
          <w:sz w:val="32"/>
          <w:szCs w:val="32"/>
          <w:rtl/>
        </w:rPr>
        <w:t>.</w:t>
      </w:r>
    </w:p>
  </w:footnote>
  <w:footnote w:id="509">
    <w:p w:rsidR="000D3D21" w:rsidRPr="006C05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 xml:space="preserve">انظر مجموع فتاوى </w:t>
      </w:r>
      <w:r>
        <w:rPr>
          <w:rFonts w:ascii="Traditional Arabic" w:hAnsi="Traditional Arabic" w:hint="cs"/>
          <w:sz w:val="32"/>
          <w:szCs w:val="32"/>
          <w:rtl/>
        </w:rPr>
        <w:t>ل</w:t>
      </w:r>
      <w:r w:rsidRPr="006C05F6">
        <w:rPr>
          <w:rFonts w:ascii="Traditional Arabic" w:hAnsi="Traditional Arabic"/>
          <w:sz w:val="32"/>
          <w:szCs w:val="32"/>
          <w:rtl/>
        </w:rPr>
        <w:t>ابن تيمية (7/286)، و(19/235)، و(35/351)، وإعلام الموقعين (2/485-486).</w:t>
      </w:r>
    </w:p>
  </w:footnote>
  <w:footnote w:id="510">
    <w:p w:rsidR="000D3D21" w:rsidRPr="00EB3251" w:rsidRDefault="000D3D21" w:rsidP="00657189">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الشرح الممتع (2/236</w:t>
      </w:r>
      <w:r w:rsidRPr="00866055">
        <w:rPr>
          <w:rFonts w:ascii="Traditional Arabic" w:hAnsi="Traditional Arabic"/>
          <w:sz w:val="32"/>
          <w:szCs w:val="32"/>
          <w:rtl/>
        </w:rPr>
        <w:t>)</w:t>
      </w:r>
      <w:r>
        <w:rPr>
          <w:rFonts w:ascii="Traditional Arabic" w:hAnsi="Traditional Arabic" w:hint="cs"/>
          <w:sz w:val="32"/>
          <w:szCs w:val="32"/>
          <w:rtl/>
        </w:rPr>
        <w:t>، وانظر تفسير سورة البقرة (3/149)</w:t>
      </w:r>
      <w:r w:rsidRPr="00866055">
        <w:rPr>
          <w:rFonts w:ascii="Traditional Arabic" w:hAnsi="Traditional Arabic"/>
          <w:sz w:val="32"/>
          <w:szCs w:val="32"/>
          <w:rtl/>
        </w:rPr>
        <w:t xml:space="preserve">. </w:t>
      </w:r>
    </w:p>
  </w:footnote>
  <w:footnote w:id="511">
    <w:p w:rsidR="000D3D21" w:rsidRPr="006C05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6C05F6">
        <w:rPr>
          <w:rFonts w:ascii="Traditional Arabic" w:hAnsi="Traditional Arabic"/>
          <w:sz w:val="32"/>
          <w:szCs w:val="32"/>
          <w:rtl/>
        </w:rPr>
        <w:t xml:space="preserve"> (8/267).</w:t>
      </w:r>
    </w:p>
  </w:footnote>
  <w:footnote w:id="512">
    <w:p w:rsidR="000D3D21" w:rsidRPr="006C05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انظر المرجع السابق (8/267-268).</w:t>
      </w:r>
    </w:p>
  </w:footnote>
  <w:footnote w:id="513">
    <w:p w:rsidR="000D3D21" w:rsidRPr="006C05F6"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05F6">
        <w:rPr>
          <w:rFonts w:ascii="Traditional Arabic" w:hAnsi="Traditional Arabic"/>
          <w:sz w:val="32"/>
          <w:szCs w:val="32"/>
          <w:rtl/>
        </w:rPr>
        <w:t>انظر المرجع السابق (10/330).</w:t>
      </w:r>
    </w:p>
  </w:footnote>
  <w:footnote w:id="514">
    <w:p w:rsidR="000D3D21" w:rsidRPr="008D5F57" w:rsidRDefault="000D3D21" w:rsidP="00566AF9">
      <w:pPr>
        <w:widowControl/>
        <w:autoSpaceDE w:val="0"/>
        <w:autoSpaceDN w:val="0"/>
        <w:adjustRightInd w:val="0"/>
        <w:ind w:left="423" w:hanging="423"/>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sz w:val="32"/>
          <w:szCs w:val="32"/>
          <w:rtl/>
          <w:lang w:eastAsia="en-US"/>
        </w:rPr>
        <w:t xml:space="preserve"> </w:t>
      </w:r>
      <w:r w:rsidRPr="008D5F57">
        <w:rPr>
          <w:rFonts w:ascii="Traditional Arabic" w:hAnsi="Traditional Arabic"/>
          <w:b/>
          <w:bCs/>
          <w:noProof w:val="0"/>
          <w:sz w:val="32"/>
          <w:szCs w:val="32"/>
          <w:rtl/>
          <w:lang w:eastAsia="en-US"/>
        </w:rPr>
        <w:t>الأرض المَوات</w:t>
      </w:r>
      <w:r w:rsidR="00AB0B9E">
        <w:rPr>
          <w:rFonts w:ascii="Traditional Arabic" w:hAnsi="Traditional Arabic"/>
          <w:b/>
          <w:bCs/>
          <w:noProof w:val="0"/>
          <w:sz w:val="32"/>
          <w:szCs w:val="32"/>
          <w:rtl/>
          <w:lang w:eastAsia="en-US"/>
        </w:rPr>
        <w:fldChar w:fldCharType="begin"/>
      </w:r>
      <w:r>
        <w:instrText xml:space="preserve"> XE "</w:instrText>
      </w:r>
      <w:r w:rsidRPr="00566AF9">
        <w:rPr>
          <w:rFonts w:ascii="Traditional Arabic" w:hAnsi="Traditional Arabic"/>
          <w:noProof w:val="0"/>
          <w:sz w:val="32"/>
          <w:szCs w:val="32"/>
          <w:rtl/>
          <w:lang w:eastAsia="en-US"/>
        </w:rPr>
        <w:instrText>الأرض المَوات</w:instrText>
      </w:r>
      <w:r>
        <w:instrText xml:space="preserve">" </w:instrText>
      </w:r>
      <w:r w:rsidRPr="00566AF9">
        <w:instrText>\fm</w:instrText>
      </w:r>
      <w:r w:rsidR="00AB0B9E">
        <w:rPr>
          <w:rFonts w:ascii="Traditional Arabic" w:hAnsi="Traditional Arabic"/>
          <w:b/>
          <w:bCs/>
          <w:noProof w:val="0"/>
          <w:sz w:val="32"/>
          <w:szCs w:val="32"/>
          <w:rtl/>
          <w:lang w:eastAsia="en-US"/>
        </w:rPr>
        <w:fldChar w:fldCharType="end"/>
      </w:r>
      <w:r w:rsidRPr="008D5F57">
        <w:rPr>
          <w:rFonts w:ascii="Traditional Arabic" w:hAnsi="Traditional Arabic"/>
          <w:noProof w:val="0"/>
          <w:sz w:val="32"/>
          <w:szCs w:val="32"/>
          <w:rtl/>
          <w:lang w:eastAsia="en-US"/>
        </w:rPr>
        <w:t xml:space="preserve"> : الأرض التي لم يَجْرِ عليها مِلْك أحد،</w:t>
      </w:r>
      <w:r>
        <w:rPr>
          <w:rFonts w:ascii="Traditional Arabic" w:hAnsi="Traditional Arabic"/>
          <w:noProof w:val="0"/>
          <w:sz w:val="32"/>
          <w:szCs w:val="32"/>
          <w:lang w:eastAsia="en-US"/>
        </w:rPr>
        <w:t xml:space="preserve"> </w:t>
      </w:r>
      <w:r w:rsidRPr="008D5F57">
        <w:rPr>
          <w:rFonts w:ascii="Traditional Arabic" w:hAnsi="Traditional Arabic"/>
          <w:b/>
          <w:bCs/>
          <w:noProof w:val="0"/>
          <w:sz w:val="32"/>
          <w:szCs w:val="32"/>
          <w:rtl/>
          <w:lang w:eastAsia="en-US"/>
        </w:rPr>
        <w:t>وإحْياؤها</w:t>
      </w:r>
      <w:r w:rsidR="00AB0B9E">
        <w:rPr>
          <w:rFonts w:ascii="Traditional Arabic" w:hAnsi="Traditional Arabic"/>
          <w:b/>
          <w:bCs/>
          <w:noProof w:val="0"/>
          <w:sz w:val="32"/>
          <w:szCs w:val="32"/>
          <w:rtl/>
          <w:lang w:eastAsia="en-US"/>
        </w:rPr>
        <w:fldChar w:fldCharType="begin"/>
      </w:r>
      <w:r>
        <w:instrText xml:space="preserve"> XE "</w:instrText>
      </w:r>
      <w:r w:rsidRPr="00566AF9">
        <w:rPr>
          <w:rFonts w:ascii="Traditional Arabic" w:hAnsi="Traditional Arabic"/>
          <w:noProof w:val="0"/>
          <w:sz w:val="32"/>
          <w:szCs w:val="32"/>
          <w:rtl/>
          <w:lang w:eastAsia="en-US"/>
        </w:rPr>
        <w:instrText>إحياء الأرض الموات</w:instrText>
      </w:r>
      <w:r>
        <w:instrText xml:space="preserve">" </w:instrText>
      </w:r>
      <w:r w:rsidRPr="00566AF9">
        <w:instrText>\fm</w:instrText>
      </w:r>
      <w:r w:rsidR="00AB0B9E">
        <w:rPr>
          <w:rFonts w:ascii="Traditional Arabic" w:hAnsi="Traditional Arabic"/>
          <w:b/>
          <w:bCs/>
          <w:noProof w:val="0"/>
          <w:sz w:val="32"/>
          <w:szCs w:val="32"/>
          <w:rtl/>
          <w:lang w:eastAsia="en-US"/>
        </w:rPr>
        <w:fldChar w:fldCharType="end"/>
      </w:r>
      <w:r w:rsidRPr="008D5F57">
        <w:rPr>
          <w:rFonts w:ascii="Traditional Arabic" w:hAnsi="Traditional Arabic"/>
          <w:noProof w:val="0"/>
          <w:sz w:val="32"/>
          <w:szCs w:val="32"/>
          <w:rtl/>
          <w:lang w:eastAsia="en-US"/>
        </w:rPr>
        <w:t>: مُباشرتُها بتأثير شيء فيها إحاطةٍ أو زَرْعٍ أو عِمارةٍ أو نحو ذلك تشبيهاً بإِحياء الميّت. النهاية في غريب الحديث والأثر (1/471).</w:t>
      </w:r>
    </w:p>
  </w:footnote>
  <w:footnote w:id="515">
    <w:p w:rsidR="000D3D21" w:rsidRPr="008D5F57" w:rsidRDefault="000D3D21" w:rsidP="00657189">
      <w:pPr>
        <w:widowControl/>
        <w:autoSpaceDE w:val="0"/>
        <w:autoSpaceDN w:val="0"/>
        <w:adjustRightInd w:val="0"/>
        <w:ind w:firstLine="0"/>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D5F57">
        <w:rPr>
          <w:rFonts w:ascii="Traditional Arabic" w:hAnsi="Traditional Arabic"/>
          <w:noProof w:val="0"/>
          <w:sz w:val="32"/>
          <w:szCs w:val="32"/>
          <w:rtl/>
          <w:lang w:eastAsia="en-US"/>
        </w:rPr>
        <w:t xml:space="preserve"> أخرجه أبو داود في </w:t>
      </w:r>
      <w:r>
        <w:rPr>
          <w:rFonts w:ascii="Traditional Arabic" w:hAnsi="Traditional Arabic" w:hint="cs"/>
          <w:noProof w:val="0"/>
          <w:sz w:val="32"/>
          <w:szCs w:val="32"/>
          <w:rtl/>
          <w:lang w:eastAsia="en-US"/>
        </w:rPr>
        <w:t xml:space="preserve">سننه </w:t>
      </w:r>
      <w:r w:rsidRPr="008D5F57">
        <w:rPr>
          <w:rFonts w:ascii="Traditional Arabic" w:hAnsi="Traditional Arabic"/>
          <w:noProof w:val="0"/>
          <w:sz w:val="32"/>
          <w:szCs w:val="32"/>
          <w:rtl/>
          <w:lang w:eastAsia="en-US"/>
        </w:rPr>
        <w:t>كتاب الخراج والإمارة والفيء، بابٌ في إحياء الموات</w:t>
      </w:r>
      <w:r>
        <w:rPr>
          <w:rFonts w:ascii="Traditional Arabic" w:hAnsi="Traditional Arabic" w:hint="cs"/>
          <w:noProof w:val="0"/>
          <w:sz w:val="32"/>
          <w:szCs w:val="32"/>
          <w:rtl/>
          <w:lang w:eastAsia="en-US"/>
        </w:rPr>
        <w:t>،</w:t>
      </w:r>
      <w:r w:rsidRPr="008D5F57">
        <w:rPr>
          <w:rFonts w:ascii="Traditional Arabic" w:hAnsi="Traditional Arabic"/>
          <w:noProof w:val="0"/>
          <w:sz w:val="32"/>
          <w:szCs w:val="32"/>
          <w:rtl/>
          <w:lang w:eastAsia="en-US"/>
        </w:rPr>
        <w:t xml:space="preserve"> حديث رقم (3073)، </w:t>
      </w:r>
      <w:r>
        <w:rPr>
          <w:rFonts w:ascii="Traditional Arabic" w:hAnsi="Traditional Arabic" w:hint="cs"/>
          <w:noProof w:val="0"/>
          <w:sz w:val="32"/>
          <w:szCs w:val="32"/>
          <w:rtl/>
          <w:lang w:eastAsia="en-US"/>
        </w:rPr>
        <w:t xml:space="preserve">  </w:t>
      </w:r>
      <w:r w:rsidRPr="008D5F57">
        <w:rPr>
          <w:rFonts w:ascii="Traditional Arabic" w:hAnsi="Traditional Arabic"/>
          <w:noProof w:val="0"/>
          <w:sz w:val="32"/>
          <w:szCs w:val="32"/>
          <w:rtl/>
          <w:lang w:eastAsia="en-US"/>
        </w:rPr>
        <w:t xml:space="preserve">والترمذي في </w:t>
      </w:r>
      <w:r>
        <w:rPr>
          <w:rFonts w:ascii="Traditional Arabic" w:hAnsi="Traditional Arabic" w:hint="cs"/>
          <w:noProof w:val="0"/>
          <w:sz w:val="32"/>
          <w:szCs w:val="32"/>
          <w:rtl/>
          <w:lang w:eastAsia="en-US"/>
        </w:rPr>
        <w:t xml:space="preserve">سننه في </w:t>
      </w:r>
      <w:r w:rsidRPr="008D5F57">
        <w:rPr>
          <w:rFonts w:ascii="Traditional Arabic" w:hAnsi="Traditional Arabic"/>
          <w:noProof w:val="0"/>
          <w:sz w:val="32"/>
          <w:szCs w:val="32"/>
          <w:rtl/>
          <w:lang w:eastAsia="en-US"/>
        </w:rPr>
        <w:t xml:space="preserve">كتاب الأحكام عن رسول الله </w:t>
      </w:r>
      <w:r>
        <w:rPr>
          <w:rFonts w:ascii="Traditional Arabic" w:hAnsi="Traditional Arabic" w:cs="CTraditional Arabic" w:hint="cs"/>
          <w:noProof w:val="0"/>
          <w:color w:val="auto"/>
          <w:rtl/>
          <w:lang w:eastAsia="en-US"/>
        </w:rPr>
        <w:t>غ</w:t>
      </w:r>
      <w:r w:rsidRPr="008D5F57">
        <w:rPr>
          <w:rFonts w:ascii="Traditional Arabic" w:hAnsi="Traditional Arabic"/>
          <w:noProof w:val="0"/>
          <w:sz w:val="32"/>
          <w:szCs w:val="32"/>
          <w:rtl/>
          <w:lang w:eastAsia="en-US"/>
        </w:rPr>
        <w:t>، باب ما ذكر في إحياء أرض الموات</w:t>
      </w:r>
      <w:r>
        <w:rPr>
          <w:rFonts w:ascii="Traditional Arabic" w:hAnsi="Traditional Arabic" w:hint="cs"/>
          <w:noProof w:val="0"/>
          <w:sz w:val="32"/>
          <w:szCs w:val="32"/>
          <w:rtl/>
          <w:lang w:eastAsia="en-US"/>
        </w:rPr>
        <w:t>،</w:t>
      </w:r>
      <w:r w:rsidRPr="008D5F57">
        <w:rPr>
          <w:rFonts w:ascii="Traditional Arabic" w:hAnsi="Traditional Arabic"/>
          <w:noProof w:val="0"/>
          <w:sz w:val="32"/>
          <w:szCs w:val="32"/>
          <w:rtl/>
          <w:lang w:eastAsia="en-US"/>
        </w:rPr>
        <w:t xml:space="preserve"> ح</w:t>
      </w:r>
      <w:r>
        <w:rPr>
          <w:rFonts w:ascii="Traditional Arabic" w:hAnsi="Traditional Arabic"/>
          <w:noProof w:val="0"/>
          <w:sz w:val="32"/>
          <w:szCs w:val="32"/>
          <w:rtl/>
          <w:lang w:eastAsia="en-US"/>
        </w:rPr>
        <w:t>ديث رقم (1378) عن سعيد بن زيد</w:t>
      </w:r>
      <w:r>
        <w:rPr>
          <w:rFonts w:ascii="Traditional Arabic" w:hAnsi="Traditional Arabic" w:hint="cs"/>
          <w:noProof w:val="0"/>
          <w:sz w:val="32"/>
          <w:szCs w:val="32"/>
          <w:rtl/>
          <w:lang w:eastAsia="en-US"/>
        </w:rPr>
        <w:t xml:space="preserve"> رضي</w:t>
      </w:r>
      <w:r w:rsidRPr="008D5F57">
        <w:rPr>
          <w:rFonts w:ascii="Traditional Arabic" w:hAnsi="Traditional Arabic"/>
          <w:noProof w:val="0"/>
          <w:sz w:val="32"/>
          <w:szCs w:val="32"/>
          <w:rtl/>
          <w:lang w:eastAsia="en-US"/>
        </w:rPr>
        <w:t xml:space="preserve"> الله عنه.والحديث صححه </w:t>
      </w:r>
      <w:r>
        <w:rPr>
          <w:rFonts w:ascii="Traditional Arabic" w:hAnsi="Traditional Arabic" w:hint="cs"/>
          <w:noProof w:val="0"/>
          <w:sz w:val="32"/>
          <w:szCs w:val="32"/>
          <w:rtl/>
          <w:lang w:eastAsia="en-US"/>
        </w:rPr>
        <w:t xml:space="preserve">الشيخ </w:t>
      </w:r>
      <w:r w:rsidRPr="008D5F57">
        <w:rPr>
          <w:rFonts w:ascii="Traditional Arabic" w:hAnsi="Traditional Arabic"/>
          <w:noProof w:val="0"/>
          <w:sz w:val="32"/>
          <w:szCs w:val="32"/>
          <w:rtl/>
          <w:lang w:eastAsia="en-US"/>
        </w:rPr>
        <w:t>الألباني في إرواء الغليل (5/353).</w:t>
      </w:r>
    </w:p>
  </w:footnote>
  <w:footnote w:id="516">
    <w:p w:rsidR="000D3D21" w:rsidRPr="00440F92" w:rsidRDefault="000D3D21" w:rsidP="0065718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D5F57">
        <w:rPr>
          <w:rFonts w:ascii="Traditional Arabic" w:hAnsi="Traditional Arabic"/>
          <w:sz w:val="32"/>
          <w:szCs w:val="32"/>
          <w:rtl/>
        </w:rPr>
        <w:t xml:space="preserve"> انظر الشرح الممتع (10/331)</w:t>
      </w:r>
      <w:r>
        <w:rPr>
          <w:rFonts w:ascii="Traditional Arabic" w:hAnsi="Traditional Arabic" w:hint="cs"/>
          <w:sz w:val="32"/>
          <w:szCs w:val="32"/>
          <w:rtl/>
        </w:rPr>
        <w:t>، وفتح ذي الجلال والإكرام (4/261)</w:t>
      </w:r>
      <w:r w:rsidRPr="008D5F57">
        <w:rPr>
          <w:rFonts w:ascii="Traditional Arabic" w:hAnsi="Traditional Arabic"/>
          <w:sz w:val="32"/>
          <w:szCs w:val="32"/>
          <w:rtl/>
        </w:rPr>
        <w:t>.</w:t>
      </w:r>
    </w:p>
  </w:footnote>
  <w:footnote w:id="517">
    <w:p w:rsidR="000D3D21" w:rsidRPr="003615FE" w:rsidRDefault="000D3D21" w:rsidP="0065718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615FE">
        <w:rPr>
          <w:rFonts w:ascii="Traditional Arabic" w:hAnsi="Traditional Arabic"/>
          <w:sz w:val="32"/>
          <w:szCs w:val="32"/>
          <w:rtl/>
        </w:rPr>
        <w:t>انظر الشرح الممتع (9/366).</w:t>
      </w:r>
    </w:p>
  </w:footnote>
  <w:footnote w:id="518">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اخترت هذه الصيغة لدلالتها عل</w:t>
      </w:r>
      <w:r>
        <w:rPr>
          <w:rFonts w:ascii="Traditional Arabic" w:hAnsi="Traditional Arabic" w:hint="cs"/>
          <w:sz w:val="32"/>
          <w:szCs w:val="32"/>
          <w:rtl/>
        </w:rPr>
        <w:t xml:space="preserve">ى </w:t>
      </w:r>
      <w:r w:rsidRPr="007C1AEC">
        <w:rPr>
          <w:rFonts w:ascii="Traditional Arabic" w:hAnsi="Traditional Arabic"/>
          <w:sz w:val="32"/>
          <w:szCs w:val="32"/>
          <w:rtl/>
        </w:rPr>
        <w:t>المرجع في انعقاد العقود بما دل عليها من الأقوال والأفعال، وهو العرف</w:t>
      </w:r>
      <w:r>
        <w:rPr>
          <w:rFonts w:ascii="Traditional Arabic" w:hAnsi="Traditional Arabic" w:hint="cs"/>
          <w:sz w:val="32"/>
          <w:szCs w:val="32"/>
          <w:rtl/>
        </w:rPr>
        <w:t>.</w:t>
      </w:r>
    </w:p>
  </w:footnote>
  <w:footnote w:id="519">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الشرح الممتع (8/101)، و(9/323)، و(12/40)، وفتح ذي الجلال والإكرام (3/495).</w:t>
      </w:r>
    </w:p>
  </w:footnote>
  <w:footnote w:id="520">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الشرح الممتع (8/102)، و(11/69)، وفتح ذي الجلال والإكرام (3/514)، و(4/101)، والتعليق على قواعد ابن رجب (1/277).</w:t>
      </w:r>
    </w:p>
  </w:footnote>
  <w:footnote w:id="521">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الشرح الممتع (9/55)، وانظر التعليق على القواعد والأصول الجامعة (259).</w:t>
      </w:r>
    </w:p>
  </w:footnote>
  <w:footnote w:id="522">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7C1AEC">
        <w:rPr>
          <w:rFonts w:ascii="Traditional Arabic" w:hAnsi="Traditional Arabic"/>
          <w:sz w:val="32"/>
          <w:szCs w:val="32"/>
          <w:rtl/>
        </w:rPr>
        <w:t xml:space="preserve"> (15/262).</w:t>
      </w:r>
    </w:p>
  </w:footnote>
  <w:footnote w:id="523">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 xml:space="preserve"> المرجع السابق. </w:t>
      </w:r>
    </w:p>
  </w:footnote>
  <w:footnote w:id="524">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المرجع السابق (9/55)، وانظر (9/325)، والتعليق على القواعد والأصول الجامعة (100).</w:t>
      </w:r>
    </w:p>
  </w:footnote>
  <w:footnote w:id="525">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شرح منظومة أصول الفقه وقواعده (279).</w:t>
      </w:r>
    </w:p>
  </w:footnote>
  <w:footnote w:id="526">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 xml:space="preserve">مجموع </w:t>
      </w:r>
      <w:r>
        <w:rPr>
          <w:rFonts w:ascii="Traditional Arabic" w:hAnsi="Traditional Arabic" w:hint="cs"/>
          <w:sz w:val="32"/>
          <w:szCs w:val="32"/>
          <w:rtl/>
        </w:rPr>
        <w:t>ال</w:t>
      </w:r>
      <w:r w:rsidRPr="007C1AEC">
        <w:rPr>
          <w:rFonts w:ascii="Traditional Arabic" w:hAnsi="Traditional Arabic"/>
          <w:sz w:val="32"/>
          <w:szCs w:val="32"/>
          <w:rtl/>
        </w:rPr>
        <w:t xml:space="preserve">فتاوى </w:t>
      </w:r>
      <w:r>
        <w:rPr>
          <w:rFonts w:ascii="Traditional Arabic" w:hAnsi="Traditional Arabic" w:hint="cs"/>
          <w:sz w:val="32"/>
          <w:szCs w:val="32"/>
          <w:rtl/>
        </w:rPr>
        <w:t>ل</w:t>
      </w:r>
      <w:r w:rsidRPr="007C1AEC">
        <w:rPr>
          <w:rFonts w:ascii="Traditional Arabic" w:hAnsi="Traditional Arabic"/>
          <w:sz w:val="32"/>
          <w:szCs w:val="32"/>
          <w:rtl/>
        </w:rPr>
        <w:t>ابن تيمية (29/7)، وانظر القواعد والضوابط الفقهية للمعاملات المالية عند ابن تيمية (2/206).</w:t>
      </w:r>
    </w:p>
  </w:footnote>
  <w:footnote w:id="527">
    <w:p w:rsidR="000D3D21" w:rsidRPr="00470FFE" w:rsidRDefault="000D3D21" w:rsidP="00335A5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 xml:space="preserve">مجموع </w:t>
      </w:r>
      <w:r>
        <w:rPr>
          <w:rFonts w:ascii="Traditional Arabic" w:hAnsi="Traditional Arabic" w:hint="cs"/>
          <w:sz w:val="32"/>
          <w:szCs w:val="32"/>
          <w:rtl/>
        </w:rPr>
        <w:t>ال</w:t>
      </w:r>
      <w:r w:rsidRPr="007C1AEC">
        <w:rPr>
          <w:rFonts w:ascii="Traditional Arabic" w:hAnsi="Traditional Arabic"/>
          <w:sz w:val="32"/>
          <w:szCs w:val="32"/>
          <w:rtl/>
        </w:rPr>
        <w:t xml:space="preserve">فتاوى </w:t>
      </w:r>
      <w:r>
        <w:rPr>
          <w:rFonts w:ascii="Traditional Arabic" w:hAnsi="Traditional Arabic" w:hint="cs"/>
          <w:sz w:val="32"/>
          <w:szCs w:val="32"/>
          <w:rtl/>
        </w:rPr>
        <w:t>ل</w:t>
      </w:r>
      <w:r w:rsidRPr="007C1AEC">
        <w:rPr>
          <w:rFonts w:ascii="Traditional Arabic" w:hAnsi="Traditional Arabic"/>
          <w:sz w:val="32"/>
          <w:szCs w:val="32"/>
          <w:rtl/>
        </w:rPr>
        <w:t>ابن تيمية (29/13).</w:t>
      </w:r>
    </w:p>
  </w:footnote>
  <w:footnote w:id="528">
    <w:p w:rsidR="000D3D21" w:rsidRPr="007C1AEC" w:rsidRDefault="000D3D21" w:rsidP="00335A5B">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إعلام الموقعين (3/199).</w:t>
      </w:r>
    </w:p>
  </w:footnote>
  <w:footnote w:id="529">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القواعد الفقهية</w:t>
      </w:r>
      <w:r>
        <w:rPr>
          <w:rFonts w:ascii="Traditional Arabic" w:hAnsi="Traditional Arabic" w:hint="cs"/>
          <w:sz w:val="32"/>
          <w:szCs w:val="32"/>
          <w:rtl/>
        </w:rPr>
        <w:t xml:space="preserve"> </w:t>
      </w:r>
      <w:r w:rsidRPr="007C1AEC">
        <w:rPr>
          <w:rFonts w:ascii="Traditional Arabic" w:hAnsi="Traditional Arabic"/>
          <w:sz w:val="32"/>
          <w:szCs w:val="32"/>
          <w:rtl/>
        </w:rPr>
        <w:t>(101)، والقواعد والأصول الجامعة (53) كلاهما لابن سعدي.</w:t>
      </w:r>
    </w:p>
  </w:footnote>
  <w:footnote w:id="530">
    <w:p w:rsidR="000D3D21" w:rsidRPr="007C1AEC" w:rsidRDefault="000D3D21" w:rsidP="0019507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7C1AEC">
        <w:rPr>
          <w:rFonts w:ascii="Traditional Arabic" w:hAnsi="Traditional Arabic"/>
          <w:b/>
          <w:bCs/>
          <w:sz w:val="32"/>
          <w:szCs w:val="32"/>
          <w:rtl/>
        </w:rPr>
        <w:t>الوقف</w:t>
      </w:r>
      <w:r w:rsidR="00AB0B9E">
        <w:rPr>
          <w:rFonts w:ascii="Traditional Arabic" w:hAnsi="Traditional Arabic"/>
          <w:b/>
          <w:bCs/>
          <w:sz w:val="32"/>
          <w:szCs w:val="32"/>
          <w:rtl/>
        </w:rPr>
        <w:fldChar w:fldCharType="begin"/>
      </w:r>
      <w:r>
        <w:instrText xml:space="preserve"> XE "</w:instrText>
      </w:r>
      <w:r w:rsidRPr="0019507C">
        <w:rPr>
          <w:rFonts w:ascii="Traditional Arabic" w:hAnsi="Traditional Arabic"/>
          <w:sz w:val="32"/>
          <w:szCs w:val="32"/>
          <w:rtl/>
        </w:rPr>
        <w:instrText>الوقف</w:instrText>
      </w:r>
      <w:r>
        <w:instrText>" \fm</w:instrText>
      </w:r>
      <w:r w:rsidR="00AB0B9E">
        <w:rPr>
          <w:rFonts w:ascii="Traditional Arabic" w:hAnsi="Traditional Arabic"/>
          <w:b/>
          <w:bCs/>
          <w:sz w:val="32"/>
          <w:szCs w:val="32"/>
          <w:rtl/>
        </w:rPr>
        <w:fldChar w:fldCharType="end"/>
      </w:r>
      <w:r w:rsidRPr="007C1AEC">
        <w:rPr>
          <w:rFonts w:ascii="Traditional Arabic" w:hAnsi="Traditional Arabic"/>
          <w:b/>
          <w:bCs/>
          <w:sz w:val="32"/>
          <w:szCs w:val="32"/>
          <w:rtl/>
        </w:rPr>
        <w:t xml:space="preserve"> لغة:</w:t>
      </w:r>
      <w:r w:rsidRPr="007C1AEC">
        <w:rPr>
          <w:rFonts w:ascii="Traditional Arabic" w:hAnsi="Traditional Arabic"/>
          <w:sz w:val="32"/>
          <w:szCs w:val="32"/>
          <w:rtl/>
        </w:rPr>
        <w:t xml:space="preserve"> مصدر وَقَفَ يقِف وَقْفاً، يقال: وقف الشيءَ وأَوْقَفَه، وحَبَسَه وأَحْبَسَه، وسبَّل</w:t>
      </w:r>
      <w:r>
        <w:rPr>
          <w:rFonts w:ascii="Traditional Arabic" w:hAnsi="Traditional Arabic"/>
          <w:sz w:val="32"/>
          <w:szCs w:val="32"/>
          <w:rtl/>
        </w:rPr>
        <w:t>ه، كلُّه بمعنى واحد.</w:t>
      </w:r>
      <w:r>
        <w:rPr>
          <w:rFonts w:ascii="Traditional Arabic" w:hAnsi="Traditional Arabic" w:hint="cs"/>
          <w:sz w:val="32"/>
          <w:szCs w:val="32"/>
          <w:rtl/>
        </w:rPr>
        <w:t xml:space="preserve"> </w:t>
      </w:r>
      <w:r>
        <w:rPr>
          <w:rFonts w:ascii="Traditional Arabic" w:hAnsi="Traditional Arabic"/>
          <w:sz w:val="32"/>
          <w:szCs w:val="32"/>
          <w:rtl/>
        </w:rPr>
        <w:t xml:space="preserve">المطلع على </w:t>
      </w:r>
      <w:r>
        <w:rPr>
          <w:rFonts w:ascii="Traditional Arabic" w:hAnsi="Traditional Arabic" w:hint="cs"/>
          <w:sz w:val="32"/>
          <w:szCs w:val="32"/>
          <w:rtl/>
        </w:rPr>
        <w:t>ألفاظ</w:t>
      </w:r>
      <w:r w:rsidRPr="007C1AEC">
        <w:rPr>
          <w:rFonts w:ascii="Traditional Arabic" w:hAnsi="Traditional Arabic"/>
          <w:sz w:val="32"/>
          <w:szCs w:val="32"/>
          <w:rtl/>
        </w:rPr>
        <w:t xml:space="preserve"> المقنع (344).</w:t>
      </w:r>
    </w:p>
    <w:p w:rsidR="000D3D21" w:rsidRPr="007C1AEC" w:rsidRDefault="000D3D21" w:rsidP="00335A5B">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7C1AEC">
        <w:rPr>
          <w:rFonts w:ascii="Traditional Arabic" w:hAnsi="Traditional Arabic"/>
          <w:b/>
          <w:bCs/>
          <w:sz w:val="32"/>
          <w:szCs w:val="32"/>
          <w:rtl/>
        </w:rPr>
        <w:t xml:space="preserve">الوقف شرعا: </w:t>
      </w:r>
      <w:r w:rsidRPr="007C1AEC">
        <w:rPr>
          <w:rFonts w:ascii="Traditional Arabic" w:hAnsi="Traditional Arabic"/>
          <w:sz w:val="32"/>
          <w:szCs w:val="32"/>
          <w:rtl/>
        </w:rPr>
        <w:t xml:space="preserve">تحبيسُ مالكٍ مُطلَقِ التصرُّف مالَه المنتفَع به، مع بقاءِ عينه، بقطعِ تصرُّفِ المالك وغيرِه في رَقبته، يُصْرَف ريعُه إلى جهةِ برٍّ تقرُّبا إلى الله تعالى. المطلع على أبواب المقنع (344)، والإنصاف للمرداوي (16/362). </w:t>
      </w:r>
    </w:p>
  </w:footnote>
  <w:footnote w:id="531">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انظر: الشرح الممتع (8/102)، و(9/55)،</w:t>
      </w:r>
      <w:r>
        <w:rPr>
          <w:rFonts w:ascii="Traditional Arabic" w:hAnsi="Traditional Arabic"/>
          <w:sz w:val="32"/>
          <w:szCs w:val="32"/>
          <w:rtl/>
        </w:rPr>
        <w:t xml:space="preserve"> و</w:t>
      </w:r>
      <w:r w:rsidRPr="007C1AEC">
        <w:rPr>
          <w:rFonts w:ascii="Traditional Arabic" w:hAnsi="Traditional Arabic"/>
          <w:sz w:val="32"/>
          <w:szCs w:val="32"/>
          <w:rtl/>
        </w:rPr>
        <w:t>(9/325)، و(15/262)، وشرح منظومة أصول الفقه وقواعده (276، 279)، والتعليق على القواعد والأصول الجامعة (100)، وشرح الأصول من علم الأصول (136)، وا</w:t>
      </w:r>
      <w:r>
        <w:rPr>
          <w:rFonts w:ascii="Traditional Arabic" w:hAnsi="Traditional Arabic"/>
          <w:sz w:val="32"/>
          <w:szCs w:val="32"/>
          <w:rtl/>
        </w:rPr>
        <w:t>لقواعد والأصول الجامع</w:t>
      </w:r>
      <w:r>
        <w:rPr>
          <w:rFonts w:ascii="Traditional Arabic" w:hAnsi="Traditional Arabic" w:hint="cs"/>
          <w:sz w:val="32"/>
          <w:szCs w:val="32"/>
          <w:rtl/>
        </w:rPr>
        <w:t>ة</w:t>
      </w:r>
      <w:r w:rsidRPr="007C1AEC">
        <w:rPr>
          <w:rFonts w:ascii="Traditional Arabic" w:hAnsi="Traditional Arabic"/>
          <w:sz w:val="32"/>
          <w:szCs w:val="32"/>
          <w:rtl/>
        </w:rPr>
        <w:t xml:space="preserve"> (53).</w:t>
      </w:r>
    </w:p>
  </w:footnote>
  <w:footnote w:id="532">
    <w:p w:rsidR="000D3D21" w:rsidRPr="00420F71" w:rsidRDefault="000D3D21" w:rsidP="00887C19">
      <w:pPr>
        <w:pStyle w:val="a7"/>
        <w:rPr>
          <w:rFonts w:ascii="Traditional Arabic" w:hAnsi="Traditional Arabic"/>
          <w:sz w:val="32"/>
          <w:szCs w:val="32"/>
          <w:rtl/>
        </w:rPr>
      </w:pPr>
      <w:r w:rsidRPr="00420F71">
        <w:rPr>
          <w:rStyle w:val="af1"/>
          <w:rFonts w:ascii="Traditional Arabic" w:hAnsi="Traditional Arabic"/>
          <w:sz w:val="32"/>
          <w:szCs w:val="32"/>
          <w:vertAlign w:val="baseline"/>
        </w:rPr>
        <w:footnoteRef/>
      </w:r>
      <w:r w:rsidRPr="00420F71">
        <w:rPr>
          <w:rStyle w:val="af1"/>
          <w:rFonts w:ascii="Traditional Arabic" w:hAnsi="Traditional Arabic"/>
          <w:sz w:val="32"/>
          <w:szCs w:val="32"/>
          <w:vertAlign w:val="baseline"/>
        </w:rPr>
        <w:t>)</w:t>
      </w:r>
      <w:r w:rsidRPr="00420F71">
        <w:rPr>
          <w:rStyle w:val="af1"/>
          <w:rFonts w:ascii="Traditional Arabic" w:hAnsi="Traditional Arabic"/>
          <w:sz w:val="32"/>
          <w:szCs w:val="32"/>
          <w:vertAlign w:val="baseline"/>
          <w:rtl/>
        </w:rPr>
        <w:t>)</w:t>
      </w:r>
      <w:r w:rsidRPr="00887C19">
        <w:rPr>
          <w:rFonts w:hint="cs"/>
          <w:sz w:val="32"/>
          <w:szCs w:val="32"/>
          <w:rtl/>
        </w:rPr>
        <w:t xml:space="preserve"> </w:t>
      </w:r>
      <w:r w:rsidRPr="00420F71">
        <w:rPr>
          <w:rFonts w:hint="cs"/>
          <w:sz w:val="32"/>
          <w:szCs w:val="32"/>
          <w:rtl/>
        </w:rPr>
        <w:t xml:space="preserve">أخرجه البخاري في كتاب بدء الوحي، باب كيف كان بدء الوحي </w:t>
      </w:r>
      <w:r w:rsidRPr="00420F71">
        <w:rPr>
          <w:sz w:val="32"/>
          <w:szCs w:val="32"/>
          <w:rtl/>
        </w:rPr>
        <w:t>ﺇ</w:t>
      </w:r>
      <w:r w:rsidRPr="00420F71">
        <w:rPr>
          <w:rFonts w:hint="cs"/>
          <w:sz w:val="32"/>
          <w:szCs w:val="32"/>
          <w:rtl/>
        </w:rPr>
        <w:t>لى رسول الله ه، رقم الحديث (1)، ومسلم في كتاب ا</w:t>
      </w:r>
      <w:r w:rsidRPr="00420F71">
        <w:rPr>
          <w:sz w:val="32"/>
          <w:szCs w:val="32"/>
          <w:rtl/>
        </w:rPr>
        <w:t>ﻹ</w:t>
      </w:r>
      <w:r w:rsidRPr="00420F71">
        <w:rPr>
          <w:rFonts w:hint="cs"/>
          <w:sz w:val="32"/>
          <w:szCs w:val="32"/>
          <w:rtl/>
        </w:rPr>
        <w:t>مارة،باب قوله ه:"</w:t>
      </w:r>
      <w:r w:rsidRPr="00420F71">
        <w:rPr>
          <w:sz w:val="32"/>
          <w:szCs w:val="32"/>
          <w:rtl/>
        </w:rPr>
        <w:t>ﺇ</w:t>
      </w:r>
      <w:r w:rsidRPr="00420F71">
        <w:rPr>
          <w:rFonts w:hint="cs"/>
          <w:sz w:val="32"/>
          <w:szCs w:val="32"/>
          <w:rtl/>
        </w:rPr>
        <w:t>نما الأعمال بالنية"و أنه يدخل فيه الغزو</w:t>
      </w:r>
      <w:r>
        <w:rPr>
          <w:rFonts w:hint="cs"/>
          <w:sz w:val="32"/>
          <w:szCs w:val="32"/>
          <w:rtl/>
        </w:rPr>
        <w:t xml:space="preserve"> </w:t>
      </w:r>
      <w:r w:rsidRPr="00420F71">
        <w:rPr>
          <w:rFonts w:hint="cs"/>
          <w:sz w:val="32"/>
          <w:szCs w:val="32"/>
          <w:rtl/>
        </w:rPr>
        <w:t>وغيره</w:t>
      </w:r>
      <w:r>
        <w:rPr>
          <w:rFonts w:hint="cs"/>
          <w:sz w:val="32"/>
          <w:szCs w:val="32"/>
          <w:rtl/>
        </w:rPr>
        <w:t xml:space="preserve"> من الأعمال، رقم الحديث (1907)</w:t>
      </w:r>
      <w:r>
        <w:rPr>
          <w:rFonts w:ascii="Traditional Arabic" w:hAnsi="Traditional Arabic" w:hint="cs"/>
          <w:sz w:val="32"/>
          <w:szCs w:val="32"/>
          <w:rtl/>
        </w:rPr>
        <w:t>.</w:t>
      </w:r>
    </w:p>
    <w:p w:rsidR="000D3D21" w:rsidRPr="00420F71" w:rsidRDefault="000D3D21" w:rsidP="00335A5B">
      <w:pPr>
        <w:pStyle w:val="a7"/>
        <w:rPr>
          <w:rFonts w:ascii="Traditional Arabic" w:hAnsi="Traditional Arabic"/>
          <w:sz w:val="32"/>
          <w:szCs w:val="32"/>
          <w:rtl/>
        </w:rPr>
      </w:pPr>
    </w:p>
  </w:footnote>
  <w:footnote w:id="533">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7C1AEC">
        <w:rPr>
          <w:rFonts w:ascii="Traditional Arabic" w:hAnsi="Traditional Arabic"/>
          <w:sz w:val="32"/>
          <w:szCs w:val="32"/>
          <w:rtl/>
        </w:rPr>
        <w:t xml:space="preserve"> انظر: التعليق على القواعد والأصول الجامعة (259)، والقواعد والأصول الجامعة (53).</w:t>
      </w:r>
    </w:p>
  </w:footnote>
  <w:footnote w:id="534">
    <w:p w:rsidR="000D3D21" w:rsidRPr="007C1AEC" w:rsidRDefault="000D3D21" w:rsidP="00AD5FF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7C1AEC">
        <w:rPr>
          <w:rFonts w:ascii="Traditional Arabic" w:hAnsi="Traditional Arabic"/>
          <w:b/>
          <w:bCs/>
          <w:sz w:val="32"/>
          <w:szCs w:val="32"/>
          <w:rtl/>
        </w:rPr>
        <w:t>أعيا</w:t>
      </w:r>
      <w:r w:rsidR="00AB0B9E">
        <w:rPr>
          <w:rFonts w:ascii="Traditional Arabic" w:hAnsi="Traditional Arabic"/>
          <w:b/>
          <w:bCs/>
          <w:noProof w:val="0"/>
          <w:sz w:val="32"/>
          <w:szCs w:val="32"/>
          <w:rtl/>
          <w:lang w:eastAsia="en-US"/>
        </w:rPr>
        <w:fldChar w:fldCharType="begin"/>
      </w:r>
      <w:r>
        <w:instrText xml:space="preserve"> XE "</w:instrText>
      </w:r>
      <w:r>
        <w:rPr>
          <w:rFonts w:ascii="Traditional Arabic" w:hAnsi="Traditional Arabic" w:hint="cs"/>
          <w:noProof w:val="0"/>
          <w:sz w:val="32"/>
          <w:szCs w:val="32"/>
          <w:rtl/>
          <w:lang w:eastAsia="en-US"/>
        </w:rPr>
        <w:instrText>أعيا</w:instrText>
      </w:r>
      <w:r>
        <w:instrText xml:space="preserve">" </w:instrText>
      </w:r>
      <w:r w:rsidRPr="00566AF9">
        <w:instrText>\fm</w:instrText>
      </w:r>
      <w:r w:rsidR="00AB0B9E">
        <w:rPr>
          <w:rFonts w:ascii="Traditional Arabic" w:hAnsi="Traditional Arabic"/>
          <w:b/>
          <w:bCs/>
          <w:noProof w:val="0"/>
          <w:sz w:val="32"/>
          <w:szCs w:val="32"/>
          <w:rtl/>
          <w:lang w:eastAsia="en-US"/>
        </w:rPr>
        <w:fldChar w:fldCharType="end"/>
      </w:r>
      <w:r w:rsidRPr="007C1AEC">
        <w:rPr>
          <w:rFonts w:ascii="Traditional Arabic" w:hAnsi="Traditional Arabic"/>
          <w:b/>
          <w:bCs/>
          <w:sz w:val="32"/>
          <w:szCs w:val="32"/>
          <w:rtl/>
        </w:rPr>
        <w:t>:</w:t>
      </w:r>
      <w:r w:rsidRPr="007C1AEC">
        <w:rPr>
          <w:rFonts w:ascii="Traditional Arabic" w:hAnsi="Traditional Arabic"/>
          <w:sz w:val="32"/>
          <w:szCs w:val="32"/>
          <w:rtl/>
        </w:rPr>
        <w:t xml:space="preserve"> تعب.</w:t>
      </w:r>
      <w:r>
        <w:rPr>
          <w:rFonts w:ascii="Traditional Arabic" w:hAnsi="Traditional Arabic" w:hint="cs"/>
          <w:sz w:val="32"/>
          <w:szCs w:val="32"/>
          <w:rtl/>
        </w:rPr>
        <w:t xml:space="preserve"> </w:t>
      </w:r>
      <w:r w:rsidRPr="007C1AEC">
        <w:rPr>
          <w:rFonts w:ascii="Traditional Arabic" w:hAnsi="Traditional Arabic"/>
          <w:sz w:val="32"/>
          <w:szCs w:val="32"/>
          <w:rtl/>
        </w:rPr>
        <w:t>فتح الباري لابن حجر (5/387).</w:t>
      </w:r>
    </w:p>
  </w:footnote>
  <w:footnote w:id="535">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أي</w:t>
      </w:r>
      <w:r>
        <w:rPr>
          <w:rFonts w:ascii="Traditional Arabic" w:hAnsi="Traditional Arabic" w:hint="cs"/>
          <w:sz w:val="32"/>
          <w:szCs w:val="32"/>
          <w:rtl/>
        </w:rPr>
        <w:t>:</w:t>
      </w:r>
      <w:r w:rsidRPr="007C1AEC">
        <w:rPr>
          <w:rFonts w:ascii="Traditional Arabic" w:hAnsi="Traditional Arabic"/>
          <w:sz w:val="32"/>
          <w:szCs w:val="32"/>
          <w:rtl/>
        </w:rPr>
        <w:t xml:space="preserve"> أراد أن يُرْسله ويُطْلقه.انظر النهاية في غريب الحديث (2/431)، وفتح الباري لابن حجر (5/387).</w:t>
      </w:r>
    </w:p>
  </w:footnote>
  <w:footnote w:id="536">
    <w:p w:rsidR="000D3D21" w:rsidRPr="007C1AEC" w:rsidRDefault="000D3D21" w:rsidP="0019507C">
      <w:pPr>
        <w:widowControl/>
        <w:autoSpaceDE w:val="0"/>
        <w:autoSpaceDN w:val="0"/>
        <w:adjustRightInd w:val="0"/>
        <w:ind w:firstLine="0"/>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7C1AEC">
        <w:rPr>
          <w:rFonts w:ascii="Traditional Arabic" w:hAnsi="Traditional Arabic"/>
          <w:b/>
          <w:bCs/>
          <w:sz w:val="32"/>
          <w:szCs w:val="32"/>
          <w:rtl/>
        </w:rPr>
        <w:t>أُوقيَّة</w:t>
      </w:r>
      <w:r w:rsidR="00AB0B9E">
        <w:rPr>
          <w:rFonts w:ascii="Traditional Arabic" w:hAnsi="Traditional Arabic"/>
          <w:b/>
          <w:bCs/>
          <w:sz w:val="32"/>
          <w:szCs w:val="32"/>
          <w:rtl/>
        </w:rPr>
        <w:fldChar w:fldCharType="begin"/>
      </w:r>
      <w:r>
        <w:instrText xml:space="preserve"> XE "</w:instrText>
      </w:r>
      <w:r w:rsidRPr="0019507C">
        <w:rPr>
          <w:rFonts w:ascii="Traditional Arabic" w:hAnsi="Traditional Arabic"/>
          <w:sz w:val="32"/>
          <w:szCs w:val="32"/>
          <w:rtl/>
        </w:rPr>
        <w:instrText>أُوقيَّة</w:instrText>
      </w:r>
      <w:r>
        <w:instrText xml:space="preserve">" </w:instrText>
      </w:r>
      <w:r w:rsidRPr="0019507C">
        <w:instrText>\fm</w:instrText>
      </w:r>
      <w:r w:rsidR="00AB0B9E">
        <w:rPr>
          <w:rFonts w:ascii="Traditional Arabic" w:hAnsi="Traditional Arabic"/>
          <w:b/>
          <w:bCs/>
          <w:sz w:val="32"/>
          <w:szCs w:val="32"/>
          <w:rtl/>
        </w:rPr>
        <w:fldChar w:fldCharType="end"/>
      </w:r>
      <w:r w:rsidRPr="007C1AEC">
        <w:rPr>
          <w:rFonts w:ascii="Traditional Arabic" w:hAnsi="Traditional Arabic"/>
          <w:b/>
          <w:bCs/>
          <w:sz w:val="32"/>
          <w:szCs w:val="32"/>
          <w:rtl/>
        </w:rPr>
        <w:t>:</w:t>
      </w:r>
      <w:r w:rsidRPr="007C1AEC">
        <w:rPr>
          <w:rFonts w:ascii="Traditional Arabic" w:hAnsi="Traditional Arabic"/>
          <w:sz w:val="32"/>
          <w:szCs w:val="32"/>
          <w:rtl/>
        </w:rPr>
        <w:t xml:space="preserve"> جمعها أواقيّ بالتشديد وأواقٍ بالتخفيف،</w:t>
      </w:r>
      <w:r w:rsidRPr="007C1AEC">
        <w:rPr>
          <w:rFonts w:ascii="Traditional Arabic" w:hAnsi="Traditional Arabic"/>
          <w:noProof w:val="0"/>
          <w:sz w:val="32"/>
          <w:szCs w:val="32"/>
          <w:rtl/>
          <w:lang w:eastAsia="en-US"/>
        </w:rPr>
        <w:t>وكانت الأوقية قديما عبارة عن أربعين درهما، وهي تختلف باختلاف اصطلاح البلاد</w:t>
      </w:r>
      <w:r w:rsidRPr="007C1AEC">
        <w:rPr>
          <w:rFonts w:ascii="Traditional Arabic" w:hAnsi="Traditional Arabic"/>
          <w:sz w:val="32"/>
          <w:szCs w:val="32"/>
          <w:rtl/>
        </w:rPr>
        <w:t>.انظر: النهاية في غريب الحديث والأثر (1/80)</w:t>
      </w:r>
      <w:r w:rsidRPr="007C1AEC">
        <w:rPr>
          <w:rFonts w:ascii="Traditional Arabic" w:hAnsi="Traditional Arabic"/>
          <w:noProof w:val="0"/>
          <w:sz w:val="32"/>
          <w:szCs w:val="32"/>
          <w:rtl/>
          <w:lang w:eastAsia="en-US"/>
        </w:rPr>
        <w:t>.</w:t>
      </w:r>
    </w:p>
  </w:footnote>
  <w:footnote w:id="537">
    <w:p w:rsidR="000D3D21" w:rsidRPr="007C1AEC" w:rsidRDefault="000D3D21" w:rsidP="0019507C">
      <w:pPr>
        <w:widowControl/>
        <w:autoSpaceDE w:val="0"/>
        <w:autoSpaceDN w:val="0"/>
        <w:adjustRightInd w:val="0"/>
        <w:ind w:firstLine="0"/>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7C1AEC">
        <w:rPr>
          <w:rFonts w:ascii="Traditional Arabic" w:hAnsi="Traditional Arabic"/>
          <w:noProof w:val="0"/>
          <w:sz w:val="32"/>
          <w:szCs w:val="32"/>
          <w:rtl/>
          <w:lang w:eastAsia="en-US"/>
        </w:rPr>
        <w:t xml:space="preserve"> ماكَسَهُ</w:t>
      </w:r>
      <w:r w:rsidR="00AB0B9E">
        <w:rPr>
          <w:rFonts w:ascii="Traditional Arabic" w:hAnsi="Traditional Arabic"/>
          <w:noProof w:val="0"/>
          <w:sz w:val="32"/>
          <w:szCs w:val="32"/>
          <w:rtl/>
          <w:lang w:eastAsia="en-US"/>
        </w:rPr>
        <w:fldChar w:fldCharType="begin"/>
      </w:r>
      <w:r>
        <w:instrText xml:space="preserve"> XE "</w:instrText>
      </w:r>
      <w:r w:rsidRPr="00D026CF">
        <w:rPr>
          <w:rFonts w:ascii="Traditional Arabic" w:hAnsi="Traditional Arabic"/>
          <w:noProof w:val="0"/>
          <w:sz w:val="32"/>
          <w:szCs w:val="32"/>
          <w:rtl/>
          <w:lang w:eastAsia="en-US"/>
        </w:rPr>
        <w:instrText>ماكَسَ</w:instrText>
      </w:r>
      <w:r>
        <w:instrText xml:space="preserve">" </w:instrText>
      </w:r>
      <w:r w:rsidRPr="0019507C">
        <w:instrText>\fm</w:instrText>
      </w:r>
      <w:r w:rsidR="00AB0B9E">
        <w:rPr>
          <w:rFonts w:ascii="Traditional Arabic" w:hAnsi="Traditional Arabic"/>
          <w:noProof w:val="0"/>
          <w:sz w:val="32"/>
          <w:szCs w:val="32"/>
          <w:rtl/>
          <w:lang w:eastAsia="en-US"/>
        </w:rPr>
        <w:fldChar w:fldCharType="end"/>
      </w:r>
      <w:r w:rsidR="00AB0B9E">
        <w:rPr>
          <w:rFonts w:ascii="Traditional Arabic" w:hAnsi="Traditional Arabic"/>
          <w:noProof w:val="0"/>
          <w:sz w:val="32"/>
          <w:szCs w:val="32"/>
          <w:rtl/>
          <w:lang w:eastAsia="en-US"/>
        </w:rPr>
        <w:fldChar w:fldCharType="begin"/>
      </w:r>
      <w:r>
        <w:instrText xml:space="preserve"> XE "</w:instrText>
      </w:r>
      <w:r w:rsidRPr="00D026CF">
        <w:rPr>
          <w:rFonts w:ascii="Traditional Arabic" w:hAnsi="Traditional Arabic"/>
          <w:noProof w:val="0"/>
          <w:sz w:val="32"/>
          <w:szCs w:val="32"/>
          <w:rtl/>
          <w:lang w:eastAsia="en-US"/>
        </w:rPr>
        <w:instrText>ماكَسَهُ</w:instrText>
      </w:r>
      <w:r>
        <w:instrText xml:space="preserve">" </w:instrText>
      </w:r>
      <w:r w:rsidR="00AB0B9E">
        <w:rPr>
          <w:rFonts w:ascii="Traditional Arabic" w:hAnsi="Traditional Arabic"/>
          <w:noProof w:val="0"/>
          <w:sz w:val="32"/>
          <w:szCs w:val="32"/>
          <w:rtl/>
          <w:lang w:eastAsia="en-US"/>
        </w:rPr>
        <w:fldChar w:fldCharType="end"/>
      </w:r>
      <w:r w:rsidRPr="007C1AEC">
        <w:rPr>
          <w:rFonts w:ascii="Traditional Arabic" w:hAnsi="Traditional Arabic"/>
          <w:noProof w:val="0"/>
          <w:sz w:val="32"/>
          <w:szCs w:val="32"/>
          <w:rtl/>
          <w:lang w:eastAsia="en-US"/>
        </w:rPr>
        <w:t xml:space="preserve"> يُماكِسُه مِكاساً ومُماكَسَةً، والمماكَسة في البيع : انْتِقاصُ الثمن واسْتِحْطاطُه</w:t>
      </w:r>
      <w:r w:rsidRPr="007C1AEC">
        <w:rPr>
          <w:rFonts w:ascii="Traditional Arabic" w:hAnsi="Traditional Arabic"/>
          <w:sz w:val="32"/>
          <w:szCs w:val="32"/>
          <w:rtl/>
        </w:rPr>
        <w:t>. النهاية في الحديث والأثر (4/349).</w:t>
      </w:r>
    </w:p>
  </w:footnote>
  <w:footnote w:id="538">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7C1AEC">
        <w:rPr>
          <w:rFonts w:ascii="Traditional Arabic" w:hAnsi="Traditional Arabic"/>
          <w:noProof w:val="0"/>
          <w:sz w:val="32"/>
          <w:szCs w:val="32"/>
          <w:rtl/>
          <w:lang w:eastAsia="en-US"/>
        </w:rPr>
        <w:t>أخرجه البخاري في كتاب الشروط، باب إذا اشترط البائع ظهر الدابة إلى مكان مسمى جاز، رقم الحديث (2718)، ومسلم في كتاب المساقاة والمزارعة، باب بيع البعير واستثناء ركوبه، رقم الحديث (715)</w:t>
      </w:r>
      <w:r w:rsidRPr="007C1AEC">
        <w:rPr>
          <w:rFonts w:ascii="Traditional Arabic" w:hAnsi="Traditional Arabic"/>
          <w:sz w:val="32"/>
          <w:szCs w:val="32"/>
          <w:rtl/>
        </w:rPr>
        <w:t>، واللفظ لمسلم.</w:t>
      </w:r>
    </w:p>
  </w:footnote>
  <w:footnote w:id="539">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انظر فتح ذي الجلال والإكرام (3/495).</w:t>
      </w:r>
    </w:p>
  </w:footnote>
  <w:footnote w:id="540">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انظر الشرح الممتع (8/101).</w:t>
      </w:r>
    </w:p>
  </w:footnote>
  <w:footnote w:id="541">
    <w:p w:rsidR="000D3D21" w:rsidRPr="009814EA" w:rsidRDefault="000D3D21" w:rsidP="00861540">
      <w:pPr>
        <w:widowControl/>
        <w:autoSpaceDE w:val="0"/>
        <w:autoSpaceDN w:val="0"/>
        <w:adjustRightInd w:val="0"/>
        <w:ind w:firstLine="0"/>
        <w:jc w:val="left"/>
        <w:rPr>
          <w:rFonts w:ascii="Traditional Arabic" w:hAnsi="Traditional Arabic"/>
          <w:sz w:val="32"/>
          <w:szCs w:val="32"/>
          <w:rtl/>
        </w:rPr>
      </w:pPr>
      <w:r w:rsidRPr="00861540">
        <w:rPr>
          <w:rStyle w:val="af1"/>
          <w:rFonts w:ascii="Traditional Arabic" w:hAnsi="Traditional Arabic"/>
          <w:sz w:val="32"/>
          <w:szCs w:val="32"/>
          <w:vertAlign w:val="baseline"/>
        </w:rPr>
        <w:footnoteRef/>
      </w:r>
      <w:r w:rsidRPr="00861540">
        <w:rPr>
          <w:rFonts w:ascii="Traditional Arabic" w:hAnsi="Traditional Arabic"/>
          <w:sz w:val="32"/>
          <w:szCs w:val="32"/>
        </w:rPr>
        <w:t>)</w:t>
      </w:r>
      <w:r w:rsidRPr="00861540">
        <w:rPr>
          <w:rFonts w:ascii="Traditional Arabic" w:hAnsi="Traditional Arabic"/>
          <w:sz w:val="32"/>
          <w:szCs w:val="32"/>
          <w:rtl/>
        </w:rPr>
        <w:t xml:space="preserve">) </w:t>
      </w:r>
      <w:r w:rsidRPr="009814EA">
        <w:rPr>
          <w:rFonts w:ascii="Traditional Arabic" w:hAnsi="Traditional Arabic"/>
          <w:b/>
          <w:bCs/>
          <w:sz w:val="32"/>
          <w:szCs w:val="32"/>
          <w:rtl/>
        </w:rPr>
        <w:t>الس</w:t>
      </w:r>
      <w:r>
        <w:rPr>
          <w:rFonts w:ascii="Traditional Arabic" w:hAnsi="Traditional Arabic" w:hint="cs"/>
          <w:b/>
          <w:bCs/>
          <w:sz w:val="32"/>
          <w:szCs w:val="32"/>
          <w:rtl/>
        </w:rPr>
        <w:t>َّ</w:t>
      </w:r>
      <w:r w:rsidRPr="009814EA">
        <w:rPr>
          <w:rFonts w:ascii="Traditional Arabic" w:hAnsi="Traditional Arabic"/>
          <w:b/>
          <w:bCs/>
          <w:sz w:val="32"/>
          <w:szCs w:val="32"/>
          <w:rtl/>
        </w:rPr>
        <w:t>ل</w:t>
      </w:r>
      <w:r>
        <w:rPr>
          <w:rFonts w:ascii="Traditional Arabic" w:hAnsi="Traditional Arabic" w:hint="cs"/>
          <w:b/>
          <w:bCs/>
          <w:sz w:val="32"/>
          <w:szCs w:val="32"/>
          <w:rtl/>
        </w:rPr>
        <w:t>َ</w:t>
      </w:r>
      <w:r w:rsidRPr="009814EA">
        <w:rPr>
          <w:rFonts w:ascii="Traditional Arabic" w:hAnsi="Traditional Arabic"/>
          <w:b/>
          <w:bCs/>
          <w:sz w:val="32"/>
          <w:szCs w:val="32"/>
          <w:rtl/>
        </w:rPr>
        <w:t>م</w:t>
      </w:r>
      <w:r w:rsidR="00AB0B9E">
        <w:rPr>
          <w:rFonts w:ascii="Traditional Arabic" w:hAnsi="Traditional Arabic"/>
          <w:b/>
          <w:bCs/>
          <w:sz w:val="32"/>
          <w:szCs w:val="32"/>
          <w:rtl/>
        </w:rPr>
        <w:fldChar w:fldCharType="begin"/>
      </w:r>
      <w:r>
        <w:instrText xml:space="preserve"> XE "</w:instrText>
      </w:r>
      <w:r w:rsidRPr="00F967A6">
        <w:rPr>
          <w:rFonts w:ascii="Traditional Arabic" w:hAnsi="Traditional Arabic"/>
          <w:sz w:val="32"/>
          <w:szCs w:val="32"/>
          <w:rtl/>
        </w:rPr>
        <w:instrText>الس</w:instrText>
      </w:r>
      <w:r w:rsidRPr="00F967A6">
        <w:rPr>
          <w:rFonts w:ascii="Traditional Arabic" w:hAnsi="Traditional Arabic" w:hint="cs"/>
          <w:sz w:val="32"/>
          <w:szCs w:val="32"/>
          <w:rtl/>
        </w:rPr>
        <w:instrText>َّ</w:instrText>
      </w:r>
      <w:r w:rsidRPr="00F967A6">
        <w:rPr>
          <w:rFonts w:ascii="Traditional Arabic" w:hAnsi="Traditional Arabic"/>
          <w:sz w:val="32"/>
          <w:szCs w:val="32"/>
          <w:rtl/>
        </w:rPr>
        <w:instrText>ل</w:instrText>
      </w:r>
      <w:r w:rsidRPr="00F967A6">
        <w:rPr>
          <w:rFonts w:ascii="Traditional Arabic" w:hAnsi="Traditional Arabic" w:hint="cs"/>
          <w:sz w:val="32"/>
          <w:szCs w:val="32"/>
          <w:rtl/>
        </w:rPr>
        <w:instrText>َ</w:instrText>
      </w:r>
      <w:r w:rsidRPr="00F967A6">
        <w:rPr>
          <w:rFonts w:ascii="Traditional Arabic" w:hAnsi="Traditional Arabic"/>
          <w:sz w:val="32"/>
          <w:szCs w:val="32"/>
          <w:rtl/>
        </w:rPr>
        <w:instrText>م</w:instrText>
      </w:r>
      <w:r>
        <w:instrText xml:space="preserve">" </w:instrText>
      </w:r>
      <w:r w:rsidRPr="00F967A6">
        <w:instrText xml:space="preserve">\fm </w:instrText>
      </w:r>
      <w:r w:rsidR="00AB0B9E">
        <w:rPr>
          <w:rFonts w:ascii="Traditional Arabic" w:hAnsi="Traditional Arabic"/>
          <w:b/>
          <w:bCs/>
          <w:sz w:val="32"/>
          <w:szCs w:val="32"/>
          <w:rtl/>
        </w:rPr>
        <w:fldChar w:fldCharType="end"/>
      </w:r>
      <w:r w:rsidRPr="009814EA">
        <w:rPr>
          <w:rFonts w:ascii="Traditional Arabic" w:hAnsi="Traditional Arabic"/>
          <w:b/>
          <w:bCs/>
          <w:noProof w:val="0"/>
          <w:sz w:val="32"/>
          <w:szCs w:val="32"/>
          <w:rtl/>
          <w:lang w:eastAsia="en-US"/>
        </w:rPr>
        <w:t xml:space="preserve"> لغة</w:t>
      </w:r>
      <w:r w:rsidRPr="009814EA">
        <w:rPr>
          <w:rFonts w:ascii="Traditional Arabic" w:hAnsi="Traditional Arabic"/>
          <w:noProof w:val="0"/>
          <w:sz w:val="32"/>
          <w:szCs w:val="32"/>
          <w:rtl/>
          <w:lang w:eastAsia="en-US"/>
        </w:rPr>
        <w:t xml:space="preserve"> :الاستعجال، واختص هذا النوع من البيع بهذا الاسم لاختصاصه بحكم يدل عليه وهو تعجيل أحد البدلين قبل حصول المبيع.</w:t>
      </w:r>
      <w:r>
        <w:rPr>
          <w:rFonts w:ascii="Traditional Arabic" w:hAnsi="Traditional Arabic" w:hint="cs"/>
          <w:noProof w:val="0"/>
          <w:sz w:val="32"/>
          <w:szCs w:val="32"/>
          <w:rtl/>
          <w:lang w:eastAsia="en-US"/>
        </w:rPr>
        <w:t xml:space="preserve"> أنيس الفقهاء (216) بتصرف.</w:t>
      </w:r>
      <w:r w:rsidRPr="009814EA">
        <w:rPr>
          <w:rFonts w:ascii="Traditional Arabic" w:hAnsi="Traditional Arabic"/>
          <w:noProof w:val="0"/>
          <w:sz w:val="32"/>
          <w:szCs w:val="32"/>
          <w:rtl/>
          <w:lang w:eastAsia="en-US"/>
        </w:rPr>
        <w:t xml:space="preserve"> </w:t>
      </w:r>
    </w:p>
    <w:p w:rsidR="000D3D21" w:rsidRPr="00861540" w:rsidRDefault="000D3D21" w:rsidP="00861540">
      <w:pPr>
        <w:pStyle w:val="a7"/>
        <w:rPr>
          <w:rFonts w:ascii="Traditional Arabic" w:hAnsi="Traditional Arabic"/>
          <w:sz w:val="32"/>
          <w:szCs w:val="32"/>
          <w:rtl/>
        </w:rPr>
      </w:pPr>
      <w:r>
        <w:rPr>
          <w:rFonts w:ascii="Traditional Arabic" w:hAnsi="Traditional Arabic" w:hint="cs"/>
          <w:b/>
          <w:bCs/>
          <w:noProof w:val="0"/>
          <w:sz w:val="32"/>
          <w:szCs w:val="32"/>
          <w:rtl/>
          <w:lang w:eastAsia="en-US"/>
        </w:rPr>
        <w:t xml:space="preserve">     </w:t>
      </w:r>
      <w:r w:rsidRPr="009814EA">
        <w:rPr>
          <w:rFonts w:ascii="Traditional Arabic" w:hAnsi="Traditional Arabic"/>
          <w:b/>
          <w:bCs/>
          <w:noProof w:val="0"/>
          <w:sz w:val="32"/>
          <w:szCs w:val="32"/>
          <w:rtl/>
          <w:lang w:eastAsia="en-US"/>
        </w:rPr>
        <w:t>السلم شرعا</w:t>
      </w:r>
      <w:r w:rsidRPr="009814EA">
        <w:rPr>
          <w:rFonts w:ascii="Traditional Arabic" w:hAnsi="Traditional Arabic"/>
          <w:noProof w:val="0"/>
          <w:sz w:val="32"/>
          <w:szCs w:val="32"/>
          <w:rtl/>
          <w:lang w:eastAsia="en-US"/>
        </w:rPr>
        <w:t xml:space="preserve"> :هو أن يُسْلِم عِوَضاً حاضرا في عضو موصوفٍ في الذمة إلى أجل. المغني (6/384).</w:t>
      </w:r>
    </w:p>
  </w:footnote>
  <w:footnote w:id="542">
    <w:p w:rsidR="000D3D21" w:rsidRPr="00082E03" w:rsidRDefault="000D3D21" w:rsidP="00335A5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7C1AEC">
        <w:rPr>
          <w:rFonts w:ascii="Traditional Arabic" w:hAnsi="Traditional Arabic"/>
          <w:sz w:val="32"/>
          <w:szCs w:val="32"/>
          <w:rtl/>
        </w:rPr>
        <w:t xml:space="preserve"> (9/55).</w:t>
      </w:r>
    </w:p>
  </w:footnote>
  <w:footnote w:id="543">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انظر المرجع السابق.</w:t>
      </w:r>
    </w:p>
  </w:footnote>
  <w:footnote w:id="544">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7C1AEC">
        <w:rPr>
          <w:rFonts w:ascii="Traditional Arabic" w:hAnsi="Traditional Arabic"/>
          <w:sz w:val="32"/>
          <w:szCs w:val="32"/>
          <w:rtl/>
        </w:rPr>
        <w:t xml:space="preserve"> (9/324، 325).</w:t>
      </w:r>
    </w:p>
  </w:footnote>
  <w:footnote w:id="545">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 (9/324، 325)</w:t>
      </w:r>
      <w:r w:rsidRPr="007C1AEC">
        <w:rPr>
          <w:rFonts w:ascii="Traditional Arabic" w:hAnsi="Traditional Arabic"/>
          <w:sz w:val="32"/>
          <w:szCs w:val="32"/>
          <w:rtl/>
        </w:rPr>
        <w:t>.</w:t>
      </w:r>
    </w:p>
  </w:footnote>
  <w:footnote w:id="546">
    <w:p w:rsidR="000D3D21" w:rsidRPr="007C1AEC" w:rsidRDefault="000D3D21" w:rsidP="00335A5B">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انظر التعليق على القواعد والأصول الجامعة (100).</w:t>
      </w:r>
    </w:p>
    <w:p w:rsidR="000D3D21" w:rsidRPr="007C1AEC" w:rsidRDefault="000D3D21" w:rsidP="002F2D6E">
      <w:pPr>
        <w:pStyle w:val="a7"/>
        <w:pageBreakBefore/>
        <w:rPr>
          <w:rFonts w:ascii="Traditional Arabic" w:hAnsi="Traditional Arabic"/>
          <w:color w:val="auto"/>
          <w:sz w:val="32"/>
          <w:szCs w:val="32"/>
        </w:rPr>
      </w:pPr>
      <w:r>
        <w:rPr>
          <w:rFonts w:ascii="Traditional Arabic" w:hAnsi="Traditional Arabic" w:hint="cs"/>
          <w:b/>
          <w:bCs/>
          <w:sz w:val="32"/>
          <w:szCs w:val="32"/>
          <w:rtl/>
        </w:rPr>
        <w:t xml:space="preserve">     </w:t>
      </w:r>
      <w:r w:rsidRPr="007C1AEC">
        <w:rPr>
          <w:rFonts w:ascii="Traditional Arabic" w:hAnsi="Traditional Arabic"/>
          <w:b/>
          <w:bCs/>
          <w:sz w:val="32"/>
          <w:szCs w:val="32"/>
          <w:rtl/>
        </w:rPr>
        <w:t>المعاطاة</w:t>
      </w:r>
      <w:r w:rsidR="00AB0B9E">
        <w:rPr>
          <w:rFonts w:ascii="Traditional Arabic" w:hAnsi="Traditional Arabic"/>
          <w:b/>
          <w:bCs/>
          <w:sz w:val="32"/>
          <w:szCs w:val="32"/>
          <w:rtl/>
        </w:rPr>
        <w:fldChar w:fldCharType="begin"/>
      </w:r>
      <w:r>
        <w:instrText xml:space="preserve"> XE "</w:instrText>
      </w:r>
      <w:r w:rsidRPr="002F2D6E">
        <w:rPr>
          <w:rFonts w:ascii="Traditional Arabic" w:hAnsi="Traditional Arabic"/>
          <w:sz w:val="32"/>
          <w:szCs w:val="32"/>
          <w:rtl/>
        </w:rPr>
        <w:instrText>المعاطاة</w:instrText>
      </w:r>
      <w:r>
        <w:instrText xml:space="preserve">" </w:instrText>
      </w:r>
      <w:r w:rsidRPr="002F2D6E">
        <w:instrText>\fm</w:instrText>
      </w:r>
      <w:r w:rsidR="00AB0B9E">
        <w:rPr>
          <w:rFonts w:ascii="Traditional Arabic" w:hAnsi="Traditional Arabic"/>
          <w:b/>
          <w:bCs/>
          <w:sz w:val="32"/>
          <w:szCs w:val="32"/>
          <w:rtl/>
        </w:rPr>
        <w:fldChar w:fldCharType="end"/>
      </w:r>
      <w:r w:rsidRPr="007C1AEC">
        <w:rPr>
          <w:rFonts w:ascii="Traditional Arabic" w:hAnsi="Traditional Arabic"/>
          <w:b/>
          <w:bCs/>
          <w:sz w:val="32"/>
          <w:szCs w:val="32"/>
          <w:rtl/>
        </w:rPr>
        <w:t xml:space="preserve"> لغة:</w:t>
      </w:r>
      <w:r w:rsidRPr="007C1AEC">
        <w:rPr>
          <w:rFonts w:ascii="Traditional Arabic" w:hAnsi="Traditional Arabic"/>
          <w:noProof w:val="0"/>
          <w:color w:val="auto"/>
          <w:sz w:val="32"/>
          <w:szCs w:val="32"/>
          <w:rtl/>
          <w:lang w:eastAsia="en-US"/>
        </w:rPr>
        <w:t xml:space="preserve"> مفاعلة، من عطوْتُ الشيءَ: تناولتُه، فالمعاطاة هي المناولة.انظر المطلع على أبواب المقنع (271).</w:t>
      </w:r>
    </w:p>
  </w:footnote>
  <w:footnote w:id="547">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انظر التعليق على القواعد والأصول الجامعة (100).</w:t>
      </w:r>
    </w:p>
  </w:footnote>
  <w:footnote w:id="548">
    <w:p w:rsidR="000D3D21" w:rsidRPr="007C1AEC" w:rsidRDefault="000D3D21" w:rsidP="00335A5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أي</w:t>
      </w:r>
      <w:r>
        <w:rPr>
          <w:rFonts w:ascii="Traditional Arabic" w:hAnsi="Traditional Arabic" w:hint="cs"/>
          <w:sz w:val="32"/>
          <w:szCs w:val="32"/>
          <w:rtl/>
        </w:rPr>
        <w:t>:</w:t>
      </w:r>
      <w:r w:rsidRPr="007C1AEC">
        <w:rPr>
          <w:rFonts w:ascii="Traditional Arabic" w:hAnsi="Traditional Arabic"/>
          <w:sz w:val="32"/>
          <w:szCs w:val="32"/>
          <w:rtl/>
        </w:rPr>
        <w:t xml:space="preserve"> من حيث انعقاد العقود بكل ما يدل عليها من فعل، أما القول فإن الشيخ ابن عثيمين رجح أن عقد النكاح ينعقد بكل قول يدل عليه، ولا يشترط فيه صيغة معينة إلا في مسألة واحدة، وهي: ما إذا قال الولي: وهبتُك بنتي؛ لأن الهبة خاصة بالنبي </w:t>
      </w:r>
      <w:r>
        <w:rPr>
          <w:rFonts w:ascii="Traditional Arabic" w:hAnsi="Traditional Arabic" w:cs="CTraditional Arabic" w:hint="cs"/>
          <w:noProof w:val="0"/>
          <w:color w:val="auto"/>
          <w:rtl/>
          <w:lang w:eastAsia="en-US"/>
        </w:rPr>
        <w:t>غ</w:t>
      </w:r>
      <w:r w:rsidRPr="007C1AEC">
        <w:rPr>
          <w:rFonts w:ascii="Traditional Arabic" w:hAnsi="Traditional Arabic"/>
          <w:sz w:val="32"/>
          <w:szCs w:val="32"/>
          <w:rtl/>
        </w:rPr>
        <w:t>.</w:t>
      </w:r>
      <w:r>
        <w:rPr>
          <w:rFonts w:ascii="Traditional Arabic" w:hAnsi="Traditional Arabic" w:hint="cs"/>
          <w:sz w:val="32"/>
          <w:szCs w:val="32"/>
          <w:rtl/>
        </w:rPr>
        <w:t xml:space="preserve"> </w:t>
      </w:r>
      <w:r w:rsidRPr="007C1AEC">
        <w:rPr>
          <w:rFonts w:ascii="Traditional Arabic" w:hAnsi="Traditional Arabic"/>
          <w:sz w:val="32"/>
          <w:szCs w:val="32"/>
          <w:rtl/>
        </w:rPr>
        <w:t>انظر الشرح الممتع (8/101-102)،</w:t>
      </w:r>
      <w:r>
        <w:rPr>
          <w:rFonts w:ascii="Traditional Arabic" w:hAnsi="Traditional Arabic"/>
          <w:sz w:val="32"/>
          <w:szCs w:val="32"/>
          <w:rtl/>
        </w:rPr>
        <w:t xml:space="preserve"> و</w:t>
      </w:r>
      <w:r w:rsidRPr="007C1AEC">
        <w:rPr>
          <w:rFonts w:ascii="Traditional Arabic" w:hAnsi="Traditional Arabic"/>
          <w:sz w:val="32"/>
          <w:szCs w:val="32"/>
          <w:rtl/>
        </w:rPr>
        <w:t>التعليق على القواعد والأصول الجامعة (100).</w:t>
      </w:r>
    </w:p>
  </w:footnote>
  <w:footnote w:id="549">
    <w:p w:rsidR="000D3D21" w:rsidRPr="009C3915" w:rsidRDefault="000D3D21" w:rsidP="00335A5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الشرح الممتع (9/325)</w:t>
      </w:r>
      <w:r>
        <w:rPr>
          <w:rFonts w:ascii="Traditional Arabic" w:hAnsi="Traditional Arabic" w:hint="cs"/>
          <w:sz w:val="32"/>
          <w:szCs w:val="32"/>
          <w:rtl/>
        </w:rPr>
        <w:t>.</w:t>
      </w:r>
    </w:p>
  </w:footnote>
  <w:footnote w:id="550">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Fonts w:ascii="Traditional Arabic" w:hAnsi="Traditional Arabic"/>
          <w:sz w:val="32"/>
          <w:szCs w:val="32"/>
        </w:rPr>
        <w:t>)</w:t>
      </w:r>
      <w:r w:rsidRPr="00487E97">
        <w:rPr>
          <w:rFonts w:ascii="Traditional Arabic" w:hAnsi="Traditional Arabic"/>
          <w:sz w:val="32"/>
          <w:szCs w:val="32"/>
          <w:rtl/>
        </w:rPr>
        <w:t>) اخترت هذه الصيغة؛ لِشُهرتها عند العلماء بهذا اللفظ؛</w:t>
      </w:r>
      <w:r>
        <w:rPr>
          <w:rFonts w:ascii="Traditional Arabic" w:hAnsi="Traditional Arabic"/>
          <w:sz w:val="32"/>
          <w:szCs w:val="32"/>
          <w:rtl/>
        </w:rPr>
        <w:t xml:space="preserve"> و</w:t>
      </w:r>
      <w:r w:rsidRPr="00487E97">
        <w:rPr>
          <w:rFonts w:ascii="Traditional Arabic" w:hAnsi="Traditional Arabic"/>
          <w:sz w:val="32"/>
          <w:szCs w:val="32"/>
          <w:rtl/>
        </w:rPr>
        <w:t xml:space="preserve">لِكَونها أعمَّ من غيرها من الصيغ؛ ولأن الشيخ العثيمين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487E97">
        <w:rPr>
          <w:rFonts w:ascii="Traditional Arabic" w:hAnsi="Traditional Arabic"/>
          <w:sz w:val="32"/>
          <w:szCs w:val="32"/>
          <w:rtl/>
        </w:rPr>
        <w:t xml:space="preserve"> كان أكثرَ ما يورِد هذه القاعدة بهذا اللفظ.</w:t>
      </w:r>
    </w:p>
  </w:footnote>
  <w:footnote w:id="551">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w:t>
      </w:r>
      <w:r w:rsidRPr="00487E97">
        <w:rPr>
          <w:rFonts w:ascii="Traditional Arabic" w:hAnsi="Traditional Arabic"/>
          <w:sz w:val="32"/>
          <w:szCs w:val="32"/>
          <w:rtl/>
        </w:rPr>
        <w:t xml:space="preserve"> الشرح الممتع (2/94، 203)،</w:t>
      </w:r>
      <w:r>
        <w:rPr>
          <w:rFonts w:ascii="Traditional Arabic" w:hAnsi="Traditional Arabic"/>
          <w:sz w:val="32"/>
          <w:szCs w:val="32"/>
          <w:rtl/>
        </w:rPr>
        <w:t xml:space="preserve"> و</w:t>
      </w:r>
      <w:r w:rsidRPr="00487E97">
        <w:rPr>
          <w:rFonts w:ascii="Traditional Arabic" w:hAnsi="Traditional Arabic"/>
          <w:sz w:val="32"/>
          <w:szCs w:val="32"/>
          <w:rtl/>
        </w:rPr>
        <w:t>(7/380)،</w:t>
      </w:r>
      <w:r>
        <w:rPr>
          <w:rFonts w:ascii="Traditional Arabic" w:hAnsi="Traditional Arabic"/>
          <w:sz w:val="32"/>
          <w:szCs w:val="32"/>
          <w:rtl/>
        </w:rPr>
        <w:t xml:space="preserve"> و</w:t>
      </w:r>
      <w:r w:rsidRPr="00487E97">
        <w:rPr>
          <w:rFonts w:ascii="Traditional Arabic" w:hAnsi="Traditional Arabic"/>
          <w:sz w:val="32"/>
          <w:szCs w:val="32"/>
          <w:rtl/>
        </w:rPr>
        <w:t>انظر (2/50)،</w:t>
      </w:r>
      <w:r>
        <w:rPr>
          <w:rFonts w:ascii="Traditional Arabic" w:hAnsi="Traditional Arabic"/>
          <w:sz w:val="32"/>
          <w:szCs w:val="32"/>
          <w:rtl/>
        </w:rPr>
        <w:t xml:space="preserve"> و</w:t>
      </w:r>
      <w:r w:rsidRPr="00487E97">
        <w:rPr>
          <w:rFonts w:ascii="Traditional Arabic" w:hAnsi="Traditional Arabic"/>
          <w:sz w:val="32"/>
          <w:szCs w:val="32"/>
          <w:rtl/>
        </w:rPr>
        <w:t>فتح ذي الجلال</w:t>
      </w:r>
      <w:r>
        <w:rPr>
          <w:rFonts w:ascii="Traditional Arabic" w:hAnsi="Traditional Arabic"/>
          <w:sz w:val="32"/>
          <w:szCs w:val="32"/>
          <w:rtl/>
        </w:rPr>
        <w:t xml:space="preserve"> و</w:t>
      </w:r>
      <w:r w:rsidRPr="00487E97">
        <w:rPr>
          <w:rFonts w:ascii="Traditional Arabic" w:hAnsi="Traditional Arabic"/>
          <w:sz w:val="32"/>
          <w:szCs w:val="32"/>
          <w:rtl/>
        </w:rPr>
        <w:t>الإكرام (5/588) ط مدار الوطن،</w:t>
      </w:r>
      <w:r>
        <w:rPr>
          <w:rFonts w:ascii="Traditional Arabic" w:hAnsi="Traditional Arabic"/>
          <w:sz w:val="32"/>
          <w:szCs w:val="32"/>
          <w:rtl/>
        </w:rPr>
        <w:t xml:space="preserve"> و</w:t>
      </w:r>
      <w:r w:rsidRPr="00487E97">
        <w:rPr>
          <w:rFonts w:ascii="Traditional Arabic" w:hAnsi="Traditional Arabic"/>
          <w:sz w:val="32"/>
          <w:szCs w:val="32"/>
          <w:rtl/>
        </w:rPr>
        <w:t>(3/607)، و(6/327) ط المكتبة الإسلامية، وشرح رياض الصالحين (2/293)،</w:t>
      </w:r>
      <w:r>
        <w:rPr>
          <w:rFonts w:ascii="Traditional Arabic" w:hAnsi="Traditional Arabic"/>
          <w:sz w:val="32"/>
          <w:szCs w:val="32"/>
          <w:rtl/>
        </w:rPr>
        <w:t xml:space="preserve"> و</w:t>
      </w:r>
      <w:r w:rsidRPr="00487E97">
        <w:rPr>
          <w:rFonts w:ascii="Traditional Arabic" w:hAnsi="Traditional Arabic"/>
          <w:sz w:val="32"/>
          <w:szCs w:val="32"/>
          <w:rtl/>
        </w:rPr>
        <w:t>شرح الأصول من علم الأصول (179، 583)،</w:t>
      </w:r>
      <w:r>
        <w:rPr>
          <w:rFonts w:ascii="Traditional Arabic" w:hAnsi="Traditional Arabic"/>
          <w:sz w:val="32"/>
          <w:szCs w:val="32"/>
          <w:rtl/>
        </w:rPr>
        <w:t xml:space="preserve"> و</w:t>
      </w:r>
      <w:r w:rsidRPr="00487E97">
        <w:rPr>
          <w:rFonts w:ascii="Traditional Arabic" w:hAnsi="Traditional Arabic"/>
          <w:sz w:val="32"/>
          <w:szCs w:val="32"/>
          <w:rtl/>
        </w:rPr>
        <w:t>شرح نظم الورقات (32، 87،89)،</w:t>
      </w:r>
      <w:r>
        <w:rPr>
          <w:rFonts w:ascii="Traditional Arabic" w:hAnsi="Traditional Arabic"/>
          <w:sz w:val="32"/>
          <w:szCs w:val="32"/>
          <w:rtl/>
        </w:rPr>
        <w:t xml:space="preserve"> و</w:t>
      </w:r>
      <w:r w:rsidRPr="00487E97">
        <w:rPr>
          <w:rFonts w:ascii="Traditional Arabic" w:hAnsi="Traditional Arabic"/>
          <w:sz w:val="32"/>
          <w:szCs w:val="32"/>
          <w:rtl/>
        </w:rPr>
        <w:t>القول المفيد (1/46، 367، 440)،</w:t>
      </w:r>
      <w:r>
        <w:rPr>
          <w:rFonts w:ascii="Traditional Arabic" w:hAnsi="Traditional Arabic"/>
          <w:sz w:val="32"/>
          <w:szCs w:val="32"/>
          <w:rtl/>
        </w:rPr>
        <w:t xml:space="preserve"> و</w:t>
      </w:r>
      <w:r w:rsidRPr="00487E97">
        <w:rPr>
          <w:rFonts w:ascii="Traditional Arabic" w:hAnsi="Traditional Arabic"/>
          <w:sz w:val="32"/>
          <w:szCs w:val="32"/>
          <w:rtl/>
        </w:rPr>
        <w:t>تفسير سورة البقرة (2/350)،</w:t>
      </w:r>
      <w:r>
        <w:rPr>
          <w:rFonts w:ascii="Traditional Arabic" w:hAnsi="Traditional Arabic"/>
          <w:sz w:val="32"/>
          <w:szCs w:val="32"/>
          <w:rtl/>
        </w:rPr>
        <w:t xml:space="preserve"> و</w:t>
      </w:r>
      <w:r w:rsidRPr="00487E97">
        <w:rPr>
          <w:rFonts w:ascii="Traditional Arabic" w:hAnsi="Traditional Arabic"/>
          <w:sz w:val="32"/>
          <w:szCs w:val="32"/>
          <w:rtl/>
        </w:rPr>
        <w:t>التعليق على القواعد الحسان المتعلقة بتفسير القرآن (52، 274)، ومجموع فتاوى ورسائل ابن عثيمين (28/291).</w:t>
      </w:r>
    </w:p>
  </w:footnote>
  <w:footnote w:id="552">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w:t>
      </w:r>
      <w:r w:rsidRPr="00487E97">
        <w:rPr>
          <w:rFonts w:ascii="Traditional Arabic" w:hAnsi="Traditional Arabic"/>
          <w:sz w:val="32"/>
          <w:szCs w:val="32"/>
          <w:rtl/>
        </w:rPr>
        <w:t xml:space="preserve"> فتح ذي الجلال</w:t>
      </w:r>
      <w:r>
        <w:rPr>
          <w:rFonts w:ascii="Traditional Arabic" w:hAnsi="Traditional Arabic"/>
          <w:sz w:val="32"/>
          <w:szCs w:val="32"/>
          <w:rtl/>
        </w:rPr>
        <w:t xml:space="preserve"> و</w:t>
      </w:r>
      <w:r w:rsidRPr="00487E97">
        <w:rPr>
          <w:rFonts w:ascii="Traditional Arabic" w:hAnsi="Traditional Arabic"/>
          <w:sz w:val="32"/>
          <w:szCs w:val="32"/>
          <w:rtl/>
        </w:rPr>
        <w:t>الإكرام (3/606)،</w:t>
      </w:r>
      <w:r>
        <w:rPr>
          <w:rFonts w:ascii="Traditional Arabic" w:hAnsi="Traditional Arabic"/>
          <w:sz w:val="32"/>
          <w:szCs w:val="32"/>
          <w:rtl/>
        </w:rPr>
        <w:t xml:space="preserve"> و</w:t>
      </w:r>
      <w:r w:rsidRPr="00487E97">
        <w:rPr>
          <w:rFonts w:ascii="Traditional Arabic" w:hAnsi="Traditional Arabic"/>
          <w:sz w:val="32"/>
          <w:szCs w:val="32"/>
          <w:rtl/>
        </w:rPr>
        <w:t>تفسير سورة البقرة (3/112)،</w:t>
      </w:r>
      <w:r>
        <w:rPr>
          <w:rFonts w:ascii="Traditional Arabic" w:hAnsi="Traditional Arabic"/>
          <w:sz w:val="32"/>
          <w:szCs w:val="32"/>
          <w:rtl/>
        </w:rPr>
        <w:t xml:space="preserve"> و</w:t>
      </w:r>
      <w:r w:rsidRPr="00487E97">
        <w:rPr>
          <w:rFonts w:ascii="Traditional Arabic" w:hAnsi="Traditional Arabic"/>
          <w:sz w:val="32"/>
          <w:szCs w:val="32"/>
          <w:rtl/>
        </w:rPr>
        <w:t>تفسير سورة النساء (1/33).</w:t>
      </w:r>
    </w:p>
  </w:footnote>
  <w:footnote w:id="553">
    <w:p w:rsidR="000D3D21" w:rsidRPr="00487E97" w:rsidRDefault="000D3D21" w:rsidP="00F13303">
      <w:pPr>
        <w:pStyle w:val="a7"/>
        <w:rPr>
          <w:rFonts w:ascii="Traditional Arabic" w:hAnsi="Traditional Arabic"/>
          <w:sz w:val="32"/>
          <w:szCs w:val="32"/>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w:t>
      </w:r>
      <w:r w:rsidRPr="00487E97">
        <w:rPr>
          <w:rFonts w:ascii="Traditional Arabic" w:hAnsi="Traditional Arabic"/>
          <w:sz w:val="32"/>
          <w:szCs w:val="32"/>
          <w:rtl/>
        </w:rPr>
        <w:t xml:space="preserve"> المرجع السابق (6/105)،</w:t>
      </w:r>
      <w:r>
        <w:rPr>
          <w:rFonts w:ascii="Traditional Arabic" w:hAnsi="Traditional Arabic"/>
          <w:sz w:val="32"/>
          <w:szCs w:val="32"/>
          <w:rtl/>
        </w:rPr>
        <w:t xml:space="preserve"> و</w:t>
      </w:r>
      <w:r w:rsidRPr="00487E97">
        <w:rPr>
          <w:rFonts w:ascii="Traditional Arabic" w:hAnsi="Traditional Arabic"/>
          <w:sz w:val="32"/>
          <w:szCs w:val="32"/>
          <w:rtl/>
        </w:rPr>
        <w:t>انظر (12/9).</w:t>
      </w:r>
    </w:p>
  </w:footnote>
  <w:footnote w:id="554">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 xml:space="preserve">) </w:t>
      </w:r>
      <w:r w:rsidRPr="00487E97">
        <w:rPr>
          <w:rFonts w:ascii="Traditional Arabic" w:hAnsi="Traditional Arabic"/>
          <w:sz w:val="32"/>
          <w:szCs w:val="32"/>
          <w:rtl/>
        </w:rPr>
        <w:t>ا</w:t>
      </w:r>
      <w:r>
        <w:rPr>
          <w:rFonts w:ascii="Traditional Arabic" w:hAnsi="Traditional Arabic"/>
          <w:sz w:val="32"/>
          <w:szCs w:val="32"/>
          <w:rtl/>
        </w:rPr>
        <w:t>لمرجع السابق (6/105) بتصرّف</w:t>
      </w:r>
      <w:r w:rsidRPr="00487E97">
        <w:rPr>
          <w:rFonts w:ascii="Traditional Arabic" w:hAnsi="Traditional Arabic"/>
          <w:sz w:val="32"/>
          <w:szCs w:val="32"/>
          <w:rtl/>
        </w:rPr>
        <w:t>.</w:t>
      </w:r>
    </w:p>
  </w:footnote>
  <w:footnote w:id="555">
    <w:p w:rsidR="000D3D21" w:rsidRPr="00487E97" w:rsidRDefault="000D3D21" w:rsidP="00784265">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w:t>
      </w:r>
      <w:r w:rsidRPr="00487E97">
        <w:rPr>
          <w:rFonts w:ascii="Traditional Arabic" w:hAnsi="Traditional Arabic"/>
          <w:sz w:val="32"/>
          <w:szCs w:val="32"/>
          <w:rtl/>
        </w:rPr>
        <w:t xml:space="preserve"> المرجع السابق (8/213).هكذا وردت القاعدة في كتاب البيع من الشرح الممتع، وبعض الفقهاء يجعلها قاعدة مستقلة، إلا أ</w:t>
      </w:r>
      <w:r>
        <w:rPr>
          <w:rFonts w:ascii="Traditional Arabic" w:hAnsi="Traditional Arabic"/>
          <w:sz w:val="32"/>
          <w:szCs w:val="32"/>
          <w:rtl/>
        </w:rPr>
        <w:t>ني رأيت استعمال الصيغة المختارة</w:t>
      </w:r>
      <w:r w:rsidRPr="00487E97">
        <w:rPr>
          <w:rFonts w:ascii="Traditional Arabic" w:hAnsi="Traditional Arabic"/>
          <w:sz w:val="32"/>
          <w:szCs w:val="32"/>
          <w:rtl/>
        </w:rPr>
        <w:t>؛</w:t>
      </w:r>
      <w:r>
        <w:rPr>
          <w:rFonts w:ascii="Traditional Arabic" w:hAnsi="Traditional Arabic" w:hint="cs"/>
          <w:sz w:val="32"/>
          <w:szCs w:val="32"/>
          <w:rtl/>
        </w:rPr>
        <w:t xml:space="preserve"> </w:t>
      </w:r>
      <w:r w:rsidRPr="00487E97">
        <w:rPr>
          <w:rFonts w:ascii="Traditional Arabic" w:hAnsi="Traditional Arabic"/>
          <w:sz w:val="32"/>
          <w:szCs w:val="32"/>
          <w:rtl/>
        </w:rPr>
        <w:t>لعمومها؛</w:t>
      </w:r>
      <w:r>
        <w:rPr>
          <w:rFonts w:ascii="Traditional Arabic" w:hAnsi="Traditional Arabic"/>
          <w:sz w:val="32"/>
          <w:szCs w:val="32"/>
          <w:rtl/>
        </w:rPr>
        <w:t xml:space="preserve"> و</w:t>
      </w:r>
      <w:r w:rsidRPr="00487E97">
        <w:rPr>
          <w:rFonts w:ascii="Traditional Arabic" w:hAnsi="Traditional Arabic"/>
          <w:sz w:val="32"/>
          <w:szCs w:val="32"/>
          <w:rtl/>
        </w:rPr>
        <w:t>لأن هذا صنيع بعض الفقهاء، أنهم يستعملون التعبير العام المطلق</w:t>
      </w:r>
      <w:r>
        <w:rPr>
          <w:rFonts w:ascii="Traditional Arabic" w:hAnsi="Traditional Arabic"/>
          <w:sz w:val="32"/>
          <w:szCs w:val="32"/>
          <w:rtl/>
        </w:rPr>
        <w:t xml:space="preserve"> و</w:t>
      </w:r>
      <w:r w:rsidRPr="00487E97">
        <w:rPr>
          <w:rFonts w:ascii="Traditional Arabic" w:hAnsi="Traditional Arabic"/>
          <w:sz w:val="32"/>
          <w:szCs w:val="32"/>
          <w:rtl/>
        </w:rPr>
        <w:t>هو قاعدة "الوسائل لها أحكام المقاصد"عند ذكر الفروع المتعلقة بوسائل الحرام، كما أن فيه جمعا للقواعد التي يندرج بعضها تحت بعض ضمن قاعدة واحدة تشمل الجميع، ومن فوائد ذلك تجنُّب التكرار.</w:t>
      </w:r>
      <w:r>
        <w:rPr>
          <w:rFonts w:ascii="Traditional Arabic" w:hAnsi="Traditional Arabic" w:hint="cs"/>
          <w:sz w:val="32"/>
          <w:szCs w:val="32"/>
          <w:rtl/>
        </w:rPr>
        <w:t xml:space="preserve"> </w:t>
      </w:r>
      <w:r w:rsidRPr="00487E97">
        <w:rPr>
          <w:rFonts w:ascii="Traditional Arabic" w:hAnsi="Traditional Arabic"/>
          <w:sz w:val="32"/>
          <w:szCs w:val="32"/>
          <w:rtl/>
        </w:rPr>
        <w:t>انظر:القواعد</w:t>
      </w:r>
      <w:r>
        <w:rPr>
          <w:rFonts w:ascii="Traditional Arabic" w:hAnsi="Traditional Arabic"/>
          <w:sz w:val="32"/>
          <w:szCs w:val="32"/>
          <w:rtl/>
        </w:rPr>
        <w:t xml:space="preserve"> و</w:t>
      </w:r>
      <w:r w:rsidRPr="00487E97">
        <w:rPr>
          <w:rFonts w:ascii="Traditional Arabic" w:hAnsi="Traditional Arabic"/>
          <w:sz w:val="32"/>
          <w:szCs w:val="32"/>
          <w:rtl/>
        </w:rPr>
        <w:t>الضوابط الفقهي</w:t>
      </w:r>
      <w:r>
        <w:rPr>
          <w:rFonts w:ascii="Traditional Arabic" w:hAnsi="Traditional Arabic"/>
          <w:sz w:val="32"/>
          <w:szCs w:val="32"/>
          <w:rtl/>
        </w:rPr>
        <w:t xml:space="preserve">ة </w:t>
      </w:r>
      <w:r>
        <w:rPr>
          <w:rFonts w:ascii="Traditional Arabic" w:hAnsi="Traditional Arabic" w:hint="cs"/>
          <w:sz w:val="32"/>
          <w:szCs w:val="32"/>
          <w:rtl/>
        </w:rPr>
        <w:t>ل</w:t>
      </w:r>
      <w:r w:rsidRPr="00487E97">
        <w:rPr>
          <w:rFonts w:ascii="Traditional Arabic" w:hAnsi="Traditional Arabic"/>
          <w:sz w:val="32"/>
          <w:szCs w:val="32"/>
          <w:rtl/>
        </w:rPr>
        <w:t>لندوي (1/437-438).</w:t>
      </w:r>
    </w:p>
  </w:footnote>
  <w:footnote w:id="556">
    <w:p w:rsidR="000D3D21" w:rsidRDefault="000D3D21" w:rsidP="00D7742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87E97">
        <w:rPr>
          <w:rFonts w:ascii="Traditional Arabic" w:hAnsi="Traditional Arabic"/>
          <w:sz w:val="32"/>
          <w:szCs w:val="32"/>
          <w:rtl/>
        </w:rPr>
        <w:t>الشرح الممتع (1/61)، و(3/69، 252، 295)، و(5/565)، و(6/96، 214)، و(7/467)، و(9/32)، و(12/8، 480)، و(13/533)، و(14/316)، و(15/2</w:t>
      </w:r>
      <w:r>
        <w:rPr>
          <w:rFonts w:ascii="Traditional Arabic" w:hAnsi="Traditional Arabic"/>
          <w:sz w:val="32"/>
          <w:szCs w:val="32"/>
          <w:rtl/>
        </w:rPr>
        <w:t>7، 345).</w:t>
      </w:r>
    </w:p>
    <w:p w:rsidR="000D3D21" w:rsidRPr="00487E97" w:rsidRDefault="000D3D21" w:rsidP="00D77425">
      <w:pPr>
        <w:pStyle w:val="a7"/>
        <w:pageBreakBefore/>
        <w:rPr>
          <w:rFonts w:ascii="Traditional Arabic" w:hAnsi="Traditional Arabic"/>
          <w:sz w:val="32"/>
          <w:szCs w:val="32"/>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 تنبيه: </w:t>
      </w:r>
      <w:r>
        <w:rPr>
          <w:rFonts w:ascii="Traditional Arabic" w:hAnsi="Traditional Arabic"/>
          <w:sz w:val="32"/>
          <w:szCs w:val="32"/>
          <w:rtl/>
        </w:rPr>
        <w:t>هذه القاعدة جزء</w:t>
      </w:r>
      <w:r>
        <w:rPr>
          <w:rFonts w:ascii="Traditional Arabic" w:hAnsi="Traditional Arabic" w:hint="cs"/>
          <w:sz w:val="32"/>
          <w:szCs w:val="32"/>
          <w:rtl/>
        </w:rPr>
        <w:t>ٌ</w:t>
      </w:r>
      <w:r w:rsidRPr="00487E97">
        <w:rPr>
          <w:rFonts w:ascii="Traditional Arabic" w:hAnsi="Traditional Arabic"/>
          <w:sz w:val="32"/>
          <w:szCs w:val="32"/>
          <w:rtl/>
        </w:rPr>
        <w:t xml:space="preserve"> من قاعدة الوسائل لها أحكام المقاصد من جهة كون وسائل الواجب واجبةً؛ ولهذا أدرجتها تحت قاعدة الوسائل تجن</w:t>
      </w:r>
      <w:r>
        <w:rPr>
          <w:rFonts w:ascii="Traditional Arabic" w:hAnsi="Traditional Arabic" w:hint="cs"/>
          <w:sz w:val="32"/>
          <w:szCs w:val="32"/>
          <w:rtl/>
        </w:rPr>
        <w:t>ُّ</w:t>
      </w:r>
      <w:r w:rsidRPr="00487E97">
        <w:rPr>
          <w:rFonts w:ascii="Traditional Arabic" w:hAnsi="Traditional Arabic"/>
          <w:sz w:val="32"/>
          <w:szCs w:val="32"/>
          <w:rtl/>
        </w:rPr>
        <w:t>با</w:t>
      </w:r>
      <w:r>
        <w:rPr>
          <w:rFonts w:ascii="Traditional Arabic" w:hAnsi="Traditional Arabic" w:hint="cs"/>
          <w:sz w:val="32"/>
          <w:szCs w:val="32"/>
          <w:rtl/>
        </w:rPr>
        <w:t>ً</w:t>
      </w:r>
      <w:r w:rsidRPr="00487E97">
        <w:rPr>
          <w:rFonts w:ascii="Traditional Arabic" w:hAnsi="Traditional Arabic"/>
          <w:sz w:val="32"/>
          <w:szCs w:val="32"/>
          <w:rtl/>
        </w:rPr>
        <w:t xml:space="preserve"> للتكرار بسبب التداخل بين القاعدتين، والله أعلم. </w:t>
      </w:r>
    </w:p>
  </w:footnote>
  <w:footnote w:id="557">
    <w:p w:rsidR="000D3D21" w:rsidRPr="00487E97" w:rsidRDefault="000D3D21" w:rsidP="001A534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 xml:space="preserve">) </w:t>
      </w:r>
      <w:r>
        <w:rPr>
          <w:rFonts w:ascii="Traditional Arabic" w:hAnsi="Traditional Arabic"/>
          <w:sz w:val="32"/>
          <w:szCs w:val="32"/>
          <w:rtl/>
        </w:rPr>
        <w:t>تعرّض بعض علماء</w:t>
      </w:r>
      <w:r>
        <w:rPr>
          <w:rFonts w:ascii="Traditional Arabic" w:hAnsi="Traditional Arabic" w:hint="cs"/>
          <w:sz w:val="32"/>
          <w:szCs w:val="32"/>
          <w:rtl/>
        </w:rPr>
        <w:t xml:space="preserve"> </w:t>
      </w:r>
      <w:r w:rsidRPr="00487E97">
        <w:rPr>
          <w:rFonts w:ascii="Traditional Arabic" w:hAnsi="Traditional Arabic"/>
          <w:sz w:val="32"/>
          <w:szCs w:val="32"/>
          <w:rtl/>
        </w:rPr>
        <w:t>القواعد للكلام عن هذه القاعدة أو الإشارة إليها دون التنصيص على صيغة معيّنة لها.</w:t>
      </w:r>
      <w:r>
        <w:rPr>
          <w:rFonts w:ascii="Traditional Arabic" w:hAnsi="Traditional Arabic" w:hint="cs"/>
          <w:sz w:val="32"/>
          <w:szCs w:val="32"/>
          <w:rtl/>
        </w:rPr>
        <w:t xml:space="preserve"> </w:t>
      </w:r>
      <w:r w:rsidRPr="00487E97">
        <w:rPr>
          <w:rFonts w:ascii="Traditional Arabic" w:hAnsi="Traditional Arabic"/>
          <w:sz w:val="32"/>
          <w:szCs w:val="32"/>
          <w:rtl/>
        </w:rPr>
        <w:t>انظر:</w:t>
      </w:r>
      <w:r>
        <w:rPr>
          <w:rFonts w:ascii="Traditional Arabic" w:hAnsi="Traditional Arabic" w:hint="cs"/>
          <w:sz w:val="32"/>
          <w:szCs w:val="32"/>
          <w:rtl/>
        </w:rPr>
        <w:t xml:space="preserve"> ال</w:t>
      </w:r>
      <w:r w:rsidRPr="00487E97">
        <w:rPr>
          <w:rFonts w:ascii="Traditional Arabic" w:hAnsi="Traditional Arabic"/>
          <w:sz w:val="32"/>
          <w:szCs w:val="32"/>
          <w:rtl/>
        </w:rPr>
        <w:t>قواعد المقري (2/393)،</w:t>
      </w:r>
      <w:r>
        <w:rPr>
          <w:rFonts w:ascii="Traditional Arabic" w:hAnsi="Traditional Arabic"/>
          <w:sz w:val="32"/>
          <w:szCs w:val="32"/>
          <w:rtl/>
        </w:rPr>
        <w:t xml:space="preserve"> و</w:t>
      </w:r>
      <w:r w:rsidRPr="00487E97">
        <w:rPr>
          <w:rFonts w:ascii="Traditional Arabic" w:hAnsi="Traditional Arabic"/>
          <w:sz w:val="32"/>
          <w:szCs w:val="32"/>
          <w:rtl/>
        </w:rPr>
        <w:t>الأشباه</w:t>
      </w:r>
      <w:r>
        <w:rPr>
          <w:rFonts w:ascii="Traditional Arabic" w:hAnsi="Traditional Arabic"/>
          <w:sz w:val="32"/>
          <w:szCs w:val="32"/>
          <w:rtl/>
        </w:rPr>
        <w:t xml:space="preserve"> و</w:t>
      </w:r>
      <w:r w:rsidRPr="00487E97">
        <w:rPr>
          <w:rFonts w:ascii="Traditional Arabic" w:hAnsi="Traditional Arabic"/>
          <w:sz w:val="32"/>
          <w:szCs w:val="32"/>
          <w:rtl/>
        </w:rPr>
        <w:t>النظائر لابن السبكي (1/120)،</w:t>
      </w:r>
      <w:r>
        <w:rPr>
          <w:rFonts w:ascii="Traditional Arabic" w:hAnsi="Traditional Arabic"/>
          <w:sz w:val="32"/>
          <w:szCs w:val="32"/>
          <w:rtl/>
        </w:rPr>
        <w:t xml:space="preserve"> و</w:t>
      </w:r>
      <w:r w:rsidRPr="00487E97">
        <w:rPr>
          <w:rFonts w:ascii="Traditional Arabic" w:hAnsi="Traditional Arabic"/>
          <w:sz w:val="32"/>
          <w:szCs w:val="32"/>
          <w:rtl/>
        </w:rPr>
        <w:t xml:space="preserve">القواعد النورانية لشيخ الإسلام ابن تيمية (169). </w:t>
      </w:r>
    </w:p>
  </w:footnote>
  <w:footnote w:id="558">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w:t>
      </w:r>
      <w:r w:rsidRPr="00487E97">
        <w:rPr>
          <w:rFonts w:ascii="Traditional Arabic" w:hAnsi="Traditional Arabic"/>
          <w:sz w:val="32"/>
          <w:szCs w:val="32"/>
          <w:rtl/>
        </w:rPr>
        <w:t xml:space="preserve"> قواعد الأحكام في إصلا</w:t>
      </w:r>
      <w:r>
        <w:rPr>
          <w:rFonts w:ascii="Traditional Arabic" w:hAnsi="Traditional Arabic"/>
          <w:sz w:val="32"/>
          <w:szCs w:val="32"/>
          <w:rtl/>
        </w:rPr>
        <w:t>ح الأنام</w:t>
      </w:r>
      <w:r w:rsidRPr="00487E97">
        <w:rPr>
          <w:rFonts w:ascii="Traditional Arabic" w:hAnsi="Traditional Arabic"/>
          <w:sz w:val="32"/>
          <w:szCs w:val="32"/>
          <w:rtl/>
        </w:rPr>
        <w:t xml:space="preserve"> (1/74).</w:t>
      </w:r>
    </w:p>
  </w:footnote>
  <w:footnote w:id="559">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w:t>
      </w:r>
      <w:r w:rsidRPr="00487E97">
        <w:rPr>
          <w:rFonts w:ascii="Traditional Arabic" w:hAnsi="Traditional Arabic"/>
          <w:sz w:val="32"/>
          <w:szCs w:val="32"/>
          <w:rtl/>
        </w:rPr>
        <w:t xml:space="preserve"> الفوائد في </w:t>
      </w:r>
      <w:r>
        <w:rPr>
          <w:rFonts w:ascii="Traditional Arabic" w:hAnsi="Traditional Arabic" w:hint="cs"/>
          <w:sz w:val="32"/>
          <w:szCs w:val="32"/>
          <w:rtl/>
        </w:rPr>
        <w:t>ا</w:t>
      </w:r>
      <w:r w:rsidRPr="00487E97">
        <w:rPr>
          <w:rFonts w:ascii="Traditional Arabic" w:hAnsi="Traditional Arabic"/>
          <w:sz w:val="32"/>
          <w:szCs w:val="32"/>
          <w:rtl/>
        </w:rPr>
        <w:t>ختصار المقاصد لعز الدين بن عبد السلام (43)،</w:t>
      </w:r>
      <w:r>
        <w:rPr>
          <w:rFonts w:ascii="Traditional Arabic" w:hAnsi="Traditional Arabic"/>
          <w:sz w:val="32"/>
          <w:szCs w:val="32"/>
          <w:rtl/>
        </w:rPr>
        <w:t xml:space="preserve"> و</w:t>
      </w:r>
      <w:r w:rsidRPr="00487E97">
        <w:rPr>
          <w:rFonts w:ascii="Traditional Arabic" w:hAnsi="Traditional Arabic"/>
          <w:sz w:val="32"/>
          <w:szCs w:val="32"/>
          <w:rtl/>
        </w:rPr>
        <w:t>القواعد</w:t>
      </w:r>
      <w:r>
        <w:rPr>
          <w:rFonts w:ascii="Traditional Arabic" w:hAnsi="Traditional Arabic"/>
          <w:sz w:val="32"/>
          <w:szCs w:val="32"/>
          <w:rtl/>
        </w:rPr>
        <w:t xml:space="preserve"> و</w:t>
      </w:r>
      <w:r w:rsidRPr="00487E97">
        <w:rPr>
          <w:rFonts w:ascii="Traditional Arabic" w:hAnsi="Traditional Arabic"/>
          <w:sz w:val="32"/>
          <w:szCs w:val="32"/>
          <w:rtl/>
        </w:rPr>
        <w:t>الأصول الجامعة (27)،</w:t>
      </w:r>
      <w:r>
        <w:rPr>
          <w:rFonts w:ascii="Traditional Arabic" w:hAnsi="Traditional Arabic"/>
          <w:sz w:val="32"/>
          <w:szCs w:val="32"/>
          <w:rtl/>
        </w:rPr>
        <w:t xml:space="preserve"> و</w:t>
      </w:r>
      <w:r w:rsidRPr="00487E97">
        <w:rPr>
          <w:rFonts w:ascii="Traditional Arabic" w:hAnsi="Traditional Arabic"/>
          <w:sz w:val="32"/>
          <w:szCs w:val="32"/>
          <w:rtl/>
        </w:rPr>
        <w:t>رسالة في القواعد الفقهية (64) كلاهما للسعدي.</w:t>
      </w:r>
    </w:p>
  </w:footnote>
  <w:footnote w:id="560">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w:t>
      </w:r>
      <w:r>
        <w:rPr>
          <w:rStyle w:val="af1"/>
          <w:rFonts w:ascii="Traditional Arabic" w:hAnsi="Traditional Arabic" w:hint="cs"/>
          <w:sz w:val="32"/>
          <w:szCs w:val="32"/>
          <w:vertAlign w:val="baseline"/>
          <w:rtl/>
        </w:rPr>
        <w:t xml:space="preserve"> </w:t>
      </w:r>
      <w:r w:rsidRPr="00487E97">
        <w:rPr>
          <w:rFonts w:ascii="Traditional Arabic" w:hAnsi="Traditional Arabic"/>
          <w:sz w:val="32"/>
          <w:szCs w:val="32"/>
          <w:rtl/>
        </w:rPr>
        <w:t>الفروق للقرافي (1/369).</w:t>
      </w:r>
    </w:p>
  </w:footnote>
  <w:footnote w:id="561">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 xml:space="preserve">فروق للقرافي </w:t>
      </w:r>
      <w:r w:rsidRPr="00487E97">
        <w:rPr>
          <w:rFonts w:ascii="Traditional Arabic" w:hAnsi="Traditional Arabic"/>
          <w:sz w:val="32"/>
          <w:szCs w:val="32"/>
          <w:rtl/>
        </w:rPr>
        <w:t>(3/190)،</w:t>
      </w:r>
      <w:r>
        <w:rPr>
          <w:rFonts w:ascii="Traditional Arabic" w:hAnsi="Traditional Arabic"/>
          <w:sz w:val="32"/>
          <w:szCs w:val="32"/>
          <w:rtl/>
        </w:rPr>
        <w:t xml:space="preserve"> وانظر مدارج السالكي</w:t>
      </w:r>
      <w:r>
        <w:rPr>
          <w:rFonts w:ascii="Traditional Arabic" w:hAnsi="Traditional Arabic" w:hint="cs"/>
          <w:sz w:val="32"/>
          <w:szCs w:val="32"/>
          <w:rtl/>
        </w:rPr>
        <w:t>ن</w:t>
      </w:r>
      <w:r w:rsidRPr="00487E97">
        <w:rPr>
          <w:rFonts w:ascii="Traditional Arabic" w:hAnsi="Traditional Arabic"/>
          <w:sz w:val="32"/>
          <w:szCs w:val="32"/>
          <w:rtl/>
        </w:rPr>
        <w:t xml:space="preserve"> (1/96).</w:t>
      </w:r>
    </w:p>
  </w:footnote>
  <w:footnote w:id="562">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w:t>
      </w:r>
      <w:r w:rsidRPr="00487E97">
        <w:rPr>
          <w:rFonts w:ascii="Traditional Arabic" w:hAnsi="Traditional Arabic"/>
          <w:sz w:val="32"/>
          <w:szCs w:val="32"/>
          <w:rtl/>
        </w:rPr>
        <w:t xml:space="preserve"> تهذيب الفروق</w:t>
      </w:r>
      <w:r>
        <w:rPr>
          <w:rFonts w:ascii="Traditional Arabic" w:hAnsi="Traditional Arabic"/>
          <w:sz w:val="32"/>
          <w:szCs w:val="32"/>
          <w:rtl/>
        </w:rPr>
        <w:t xml:space="preserve"> و</w:t>
      </w:r>
      <w:r w:rsidRPr="00487E97">
        <w:rPr>
          <w:rFonts w:ascii="Traditional Arabic" w:hAnsi="Traditional Arabic"/>
          <w:sz w:val="32"/>
          <w:szCs w:val="32"/>
          <w:rtl/>
        </w:rPr>
        <w:t>القواعد السنية في الأسرار الفقهية لمحمد بن علي بن حسين المالكي (3/3)، ومنظومة القواعد الفقهية</w:t>
      </w:r>
      <w:r>
        <w:rPr>
          <w:rFonts w:ascii="Traditional Arabic" w:hAnsi="Traditional Arabic"/>
          <w:sz w:val="32"/>
          <w:szCs w:val="32"/>
          <w:rtl/>
        </w:rPr>
        <w:t xml:space="preserve"> و</w:t>
      </w:r>
      <w:r w:rsidRPr="00487E97">
        <w:rPr>
          <w:rFonts w:ascii="Traditional Arabic" w:hAnsi="Traditional Arabic"/>
          <w:sz w:val="32"/>
          <w:szCs w:val="32"/>
          <w:rtl/>
        </w:rPr>
        <w:t>شرحها لعبد الرحمن السعدي (29، 30).</w:t>
      </w:r>
    </w:p>
  </w:footnote>
  <w:footnote w:id="563">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sz w:val="32"/>
          <w:szCs w:val="32"/>
          <w:vertAlign w:val="baseline"/>
          <w:rtl/>
        </w:rPr>
        <w:t xml:space="preserve">) </w:t>
      </w:r>
      <w:r w:rsidRPr="00487E97">
        <w:rPr>
          <w:rFonts w:ascii="Traditional Arabic" w:hAnsi="Traditional Arabic"/>
          <w:sz w:val="32"/>
          <w:szCs w:val="32"/>
          <w:rtl/>
        </w:rPr>
        <w:t>إعلام الموقعين (4/553).</w:t>
      </w:r>
    </w:p>
  </w:footnote>
  <w:footnote w:id="564">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487E97">
        <w:rPr>
          <w:rFonts w:hint="cs"/>
          <w:sz w:val="32"/>
          <w:szCs w:val="32"/>
          <w:rtl/>
        </w:rPr>
        <w:t>تهذيب السنن لابن القيم (3/1627، 1630)،</w:t>
      </w:r>
      <w:r>
        <w:rPr>
          <w:rFonts w:hint="cs"/>
          <w:sz w:val="32"/>
          <w:szCs w:val="32"/>
          <w:rtl/>
        </w:rPr>
        <w:t xml:space="preserve"> و</w:t>
      </w:r>
      <w:r w:rsidRPr="00487E97">
        <w:rPr>
          <w:rFonts w:hint="cs"/>
          <w:sz w:val="32"/>
          <w:szCs w:val="32"/>
          <w:rtl/>
        </w:rPr>
        <w:t>انظر موسوعة القواعد</w:t>
      </w:r>
      <w:r>
        <w:rPr>
          <w:rFonts w:hint="cs"/>
          <w:sz w:val="32"/>
          <w:szCs w:val="32"/>
          <w:rtl/>
        </w:rPr>
        <w:t xml:space="preserve"> والضوابط الفقهية للندوي</w:t>
      </w:r>
      <w:r w:rsidRPr="00487E97">
        <w:rPr>
          <w:rFonts w:hint="cs"/>
          <w:sz w:val="32"/>
          <w:szCs w:val="32"/>
          <w:rtl/>
        </w:rPr>
        <w:t xml:space="preserve"> (1/437).</w:t>
      </w:r>
    </w:p>
  </w:footnote>
  <w:footnote w:id="565">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القواعد الفقهية لابن </w:t>
      </w:r>
      <w:r w:rsidRPr="00487E97">
        <w:rPr>
          <w:rFonts w:hint="cs"/>
          <w:sz w:val="32"/>
          <w:szCs w:val="32"/>
          <w:rtl/>
        </w:rPr>
        <w:t>سعدي (64).</w:t>
      </w:r>
    </w:p>
  </w:footnote>
  <w:footnote w:id="566">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487E97">
        <w:rPr>
          <w:rFonts w:hint="cs"/>
          <w:sz w:val="32"/>
          <w:szCs w:val="32"/>
          <w:rtl/>
        </w:rPr>
        <w:t>انظر:الصحاح للجوهري (5/1841)،</w:t>
      </w:r>
      <w:r>
        <w:rPr>
          <w:rFonts w:hint="cs"/>
          <w:sz w:val="32"/>
          <w:szCs w:val="32"/>
          <w:rtl/>
        </w:rPr>
        <w:t xml:space="preserve"> و</w:t>
      </w:r>
      <w:r w:rsidRPr="00487E97">
        <w:rPr>
          <w:rFonts w:hint="cs"/>
          <w:sz w:val="32"/>
          <w:szCs w:val="32"/>
          <w:rtl/>
        </w:rPr>
        <w:t>تهذيب اللغة للأزهري (13/68).</w:t>
      </w:r>
    </w:p>
  </w:footnote>
  <w:footnote w:id="567">
    <w:p w:rsidR="000D3D21" w:rsidRPr="00487E97" w:rsidRDefault="000D3D21" w:rsidP="00F13303">
      <w:pPr>
        <w:pStyle w:val="a7"/>
        <w:rPr>
          <w:sz w:val="32"/>
          <w:szCs w:val="32"/>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487E97">
        <w:rPr>
          <w:rFonts w:hint="cs"/>
          <w:sz w:val="32"/>
          <w:szCs w:val="32"/>
          <w:rtl/>
        </w:rPr>
        <w:t>قواعد الوسائل (54).</w:t>
      </w:r>
      <w:r>
        <w:rPr>
          <w:rFonts w:hint="cs"/>
          <w:sz w:val="32"/>
          <w:szCs w:val="32"/>
          <w:rtl/>
        </w:rPr>
        <w:t xml:space="preserve"> و</w:t>
      </w:r>
      <w:r w:rsidRPr="00487E97">
        <w:rPr>
          <w:rFonts w:hint="cs"/>
          <w:sz w:val="32"/>
          <w:szCs w:val="32"/>
          <w:rtl/>
        </w:rPr>
        <w:t>انظر: الفروق للقرافي (2/63-64)،</w:t>
      </w:r>
      <w:r>
        <w:rPr>
          <w:rFonts w:hint="cs"/>
          <w:sz w:val="32"/>
          <w:szCs w:val="32"/>
          <w:rtl/>
        </w:rPr>
        <w:t xml:space="preserve"> و</w:t>
      </w:r>
      <w:r w:rsidRPr="00487E97">
        <w:rPr>
          <w:rFonts w:hint="cs"/>
          <w:sz w:val="32"/>
          <w:szCs w:val="32"/>
          <w:rtl/>
        </w:rPr>
        <w:t>شرح تنقيح الفصول (449)،</w:t>
      </w:r>
      <w:r>
        <w:rPr>
          <w:rFonts w:hint="cs"/>
          <w:sz w:val="32"/>
          <w:szCs w:val="32"/>
          <w:rtl/>
        </w:rPr>
        <w:t xml:space="preserve"> و</w:t>
      </w:r>
      <w:r w:rsidRPr="00487E97">
        <w:rPr>
          <w:rFonts w:hint="cs"/>
          <w:sz w:val="32"/>
          <w:szCs w:val="32"/>
          <w:rtl/>
        </w:rPr>
        <w:t>تقريب الوصول لابن جزي (253)،</w:t>
      </w:r>
      <w:r>
        <w:rPr>
          <w:rFonts w:hint="cs"/>
          <w:sz w:val="32"/>
          <w:szCs w:val="32"/>
          <w:rtl/>
        </w:rPr>
        <w:t xml:space="preserve"> وال</w:t>
      </w:r>
      <w:r w:rsidRPr="00487E97">
        <w:rPr>
          <w:rFonts w:hint="cs"/>
          <w:sz w:val="32"/>
          <w:szCs w:val="32"/>
          <w:rtl/>
        </w:rPr>
        <w:t>قواعد المقري (2/393)،</w:t>
      </w:r>
      <w:r>
        <w:rPr>
          <w:rFonts w:hint="cs"/>
          <w:sz w:val="32"/>
          <w:szCs w:val="32"/>
          <w:rtl/>
        </w:rPr>
        <w:t xml:space="preserve"> و</w:t>
      </w:r>
      <w:r w:rsidRPr="00487E97">
        <w:rPr>
          <w:rFonts w:hint="cs"/>
          <w:sz w:val="32"/>
          <w:szCs w:val="32"/>
          <w:rtl/>
        </w:rPr>
        <w:t>نيل السول (80، 200).</w:t>
      </w:r>
    </w:p>
  </w:footnote>
  <w:footnote w:id="568">
    <w:p w:rsidR="000D3D21" w:rsidRPr="00487E97" w:rsidRDefault="000D3D21" w:rsidP="00F13303">
      <w:pPr>
        <w:pStyle w:val="a7"/>
        <w:rPr>
          <w:sz w:val="32"/>
          <w:szCs w:val="32"/>
          <w:rtl/>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hint="cs"/>
          <w:sz w:val="32"/>
          <w:szCs w:val="32"/>
          <w:rtl/>
        </w:rPr>
        <w:t xml:space="preserve"> </w:t>
      </w:r>
      <w:r w:rsidRPr="00487E97">
        <w:rPr>
          <w:rFonts w:hint="cs"/>
          <w:sz w:val="32"/>
          <w:szCs w:val="32"/>
          <w:rtl/>
        </w:rPr>
        <w:t>انظر: مقاييس اللغة (5/95)،</w:t>
      </w:r>
      <w:r>
        <w:rPr>
          <w:rFonts w:hint="cs"/>
          <w:sz w:val="32"/>
          <w:szCs w:val="32"/>
          <w:rtl/>
        </w:rPr>
        <w:t xml:space="preserve"> و</w:t>
      </w:r>
      <w:r w:rsidRPr="00487E97">
        <w:rPr>
          <w:rFonts w:hint="cs"/>
          <w:sz w:val="32"/>
          <w:szCs w:val="32"/>
          <w:rtl/>
        </w:rPr>
        <w:t>المعجم الوسيط (768).</w:t>
      </w:r>
    </w:p>
  </w:footnote>
  <w:footnote w:id="569">
    <w:p w:rsidR="000D3D21" w:rsidRPr="00913138" w:rsidRDefault="000D3D21" w:rsidP="001C664E">
      <w:pPr>
        <w:pStyle w:val="a7"/>
        <w:rPr>
          <w:rFonts w:ascii="Traditional Arabic" w:hAnsi="Traditional Arabic"/>
          <w:sz w:val="32"/>
          <w:szCs w:val="32"/>
          <w:rtl/>
        </w:rPr>
      </w:pPr>
      <w:r w:rsidRPr="00913138">
        <w:rPr>
          <w:rFonts w:ascii="Traditional Arabic" w:hAnsi="Traditional Arabic"/>
          <w:sz w:val="32"/>
          <w:szCs w:val="32"/>
        </w:rPr>
        <w:footnoteRef/>
      </w:r>
      <w:r w:rsidRPr="00913138">
        <w:rPr>
          <w:rFonts w:ascii="Traditional Arabic" w:hAnsi="Traditional Arabic"/>
          <w:sz w:val="32"/>
          <w:szCs w:val="32"/>
        </w:rPr>
        <w:t>)</w:t>
      </w:r>
      <w:r w:rsidRPr="00913138">
        <w:rPr>
          <w:rFonts w:ascii="Traditional Arabic" w:hAnsi="Traditional Arabic"/>
          <w:sz w:val="32"/>
          <w:szCs w:val="32"/>
          <w:rtl/>
        </w:rPr>
        <w:t>) انظر:</w:t>
      </w:r>
      <w:r>
        <w:rPr>
          <w:rFonts w:ascii="Traditional Arabic" w:hAnsi="Traditional Arabic" w:hint="cs"/>
          <w:sz w:val="32"/>
          <w:szCs w:val="32"/>
          <w:rtl/>
        </w:rPr>
        <w:t xml:space="preserve"> </w:t>
      </w:r>
      <w:r w:rsidRPr="00913138">
        <w:rPr>
          <w:rFonts w:ascii="Traditional Arabic" w:hAnsi="Traditional Arabic"/>
          <w:sz w:val="32"/>
          <w:szCs w:val="32"/>
          <w:rtl/>
        </w:rPr>
        <w:t>مقاييس ال</w:t>
      </w:r>
      <w:r>
        <w:rPr>
          <w:rFonts w:ascii="Traditional Arabic" w:hAnsi="Traditional Arabic" w:hint="cs"/>
          <w:sz w:val="32"/>
          <w:szCs w:val="32"/>
          <w:rtl/>
        </w:rPr>
        <w:t>ل</w:t>
      </w:r>
      <w:r w:rsidRPr="00913138">
        <w:rPr>
          <w:rFonts w:ascii="Traditional Arabic" w:hAnsi="Traditional Arabic"/>
          <w:sz w:val="32"/>
          <w:szCs w:val="32"/>
          <w:rtl/>
        </w:rPr>
        <w:t>غة (5/95)،</w:t>
      </w:r>
      <w:r>
        <w:rPr>
          <w:rFonts w:ascii="Traditional Arabic" w:hAnsi="Traditional Arabic"/>
          <w:sz w:val="32"/>
          <w:szCs w:val="32"/>
          <w:rtl/>
        </w:rPr>
        <w:t xml:space="preserve"> و</w:t>
      </w:r>
      <w:r w:rsidRPr="00913138">
        <w:rPr>
          <w:rFonts w:ascii="Traditional Arabic" w:hAnsi="Traditional Arabic"/>
          <w:sz w:val="32"/>
          <w:szCs w:val="32"/>
          <w:rtl/>
        </w:rPr>
        <w:t>لسان العرب (39/3642)،</w:t>
      </w:r>
      <w:r>
        <w:rPr>
          <w:rFonts w:ascii="Traditional Arabic" w:hAnsi="Traditional Arabic"/>
          <w:sz w:val="32"/>
          <w:szCs w:val="32"/>
          <w:rtl/>
        </w:rPr>
        <w:t xml:space="preserve"> و</w:t>
      </w:r>
      <w:r w:rsidRPr="00913138">
        <w:rPr>
          <w:rFonts w:ascii="Traditional Arabic" w:hAnsi="Traditional Arabic"/>
          <w:sz w:val="32"/>
          <w:szCs w:val="32"/>
          <w:rtl/>
        </w:rPr>
        <w:t>المعجم الوسيط (768).</w:t>
      </w:r>
    </w:p>
  </w:footnote>
  <w:footnote w:id="570">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487E97">
        <w:rPr>
          <w:rFonts w:hint="cs"/>
          <w:sz w:val="32"/>
          <w:szCs w:val="32"/>
          <w:rtl/>
        </w:rPr>
        <w:t>قواعد الوسائل (38). وانظر:الفروق</w:t>
      </w:r>
      <w:r>
        <w:rPr>
          <w:rFonts w:hint="cs"/>
          <w:sz w:val="32"/>
          <w:szCs w:val="32"/>
          <w:rtl/>
        </w:rPr>
        <w:t xml:space="preserve"> للقرافي</w:t>
      </w:r>
      <w:r w:rsidRPr="00487E97">
        <w:rPr>
          <w:rFonts w:hint="cs"/>
          <w:sz w:val="32"/>
          <w:szCs w:val="32"/>
          <w:rtl/>
        </w:rPr>
        <w:t xml:space="preserve"> (2/63)،</w:t>
      </w:r>
      <w:r>
        <w:rPr>
          <w:rFonts w:hint="cs"/>
          <w:sz w:val="32"/>
          <w:szCs w:val="32"/>
          <w:rtl/>
        </w:rPr>
        <w:t xml:space="preserve"> و</w:t>
      </w:r>
      <w:r w:rsidRPr="00487E97">
        <w:rPr>
          <w:rFonts w:hint="cs"/>
          <w:sz w:val="32"/>
          <w:szCs w:val="32"/>
          <w:rtl/>
        </w:rPr>
        <w:t>شرح تنقيح الفصول (449)،</w:t>
      </w:r>
      <w:r>
        <w:rPr>
          <w:rFonts w:hint="cs"/>
          <w:sz w:val="32"/>
          <w:szCs w:val="32"/>
          <w:rtl/>
        </w:rPr>
        <w:t xml:space="preserve"> و</w:t>
      </w:r>
      <w:r w:rsidRPr="00487E97">
        <w:rPr>
          <w:rFonts w:hint="cs"/>
          <w:sz w:val="32"/>
          <w:szCs w:val="32"/>
          <w:rtl/>
        </w:rPr>
        <w:t>تقريب الوصول (253)،</w:t>
      </w:r>
      <w:r>
        <w:rPr>
          <w:rFonts w:hint="cs"/>
          <w:sz w:val="32"/>
          <w:szCs w:val="32"/>
          <w:rtl/>
        </w:rPr>
        <w:t xml:space="preserve"> و</w:t>
      </w:r>
      <w:r w:rsidRPr="00487E97">
        <w:rPr>
          <w:rFonts w:hint="cs"/>
          <w:sz w:val="32"/>
          <w:szCs w:val="32"/>
          <w:rtl/>
        </w:rPr>
        <w:t>قواعد المقري (2/393)،</w:t>
      </w:r>
      <w:r>
        <w:rPr>
          <w:rFonts w:hint="cs"/>
          <w:sz w:val="32"/>
          <w:szCs w:val="32"/>
          <w:rtl/>
        </w:rPr>
        <w:t xml:space="preserve"> و</w:t>
      </w:r>
      <w:r w:rsidRPr="00487E97">
        <w:rPr>
          <w:rFonts w:hint="cs"/>
          <w:sz w:val="32"/>
          <w:szCs w:val="32"/>
          <w:rtl/>
        </w:rPr>
        <w:t>نيل السول (80، 200).</w:t>
      </w:r>
    </w:p>
  </w:footnote>
  <w:footnote w:id="571">
    <w:p w:rsidR="000D3D21"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487E97">
        <w:rPr>
          <w:rFonts w:hint="cs"/>
          <w:sz w:val="32"/>
          <w:szCs w:val="32"/>
          <w:rtl/>
        </w:rPr>
        <w:t>الشرح الممتع (7/380).</w:t>
      </w:r>
    </w:p>
    <w:p w:rsidR="000D3D21" w:rsidRPr="00487E97" w:rsidRDefault="000D3D21" w:rsidP="00060462">
      <w:pPr>
        <w:pStyle w:val="a7"/>
        <w:rPr>
          <w:sz w:val="32"/>
          <w:szCs w:val="32"/>
          <w:rtl/>
        </w:rPr>
      </w:pPr>
    </w:p>
  </w:footnote>
  <w:footnote w:id="572">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487E97">
        <w:rPr>
          <w:rFonts w:hint="cs"/>
          <w:sz w:val="32"/>
          <w:szCs w:val="32"/>
          <w:rtl/>
        </w:rPr>
        <w:t>هذه الأفعال مباحة في الأصل، لكنها تعتريها الأحكام الخمسة من حيث النظر إلى ما كانت وسيلة إليه.</w:t>
      </w:r>
      <w:r>
        <w:rPr>
          <w:rFonts w:hint="cs"/>
          <w:sz w:val="32"/>
          <w:szCs w:val="32"/>
          <w:rtl/>
        </w:rPr>
        <w:t xml:space="preserve"> </w:t>
      </w:r>
      <w:r w:rsidRPr="00487E97">
        <w:rPr>
          <w:rFonts w:hint="cs"/>
          <w:sz w:val="32"/>
          <w:szCs w:val="32"/>
          <w:rtl/>
        </w:rPr>
        <w:t>انظر قواعد الوسائل (225).</w:t>
      </w:r>
    </w:p>
  </w:footnote>
  <w:footnote w:id="573">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487E97">
        <w:rPr>
          <w:rFonts w:hint="cs"/>
          <w:sz w:val="32"/>
          <w:szCs w:val="32"/>
          <w:rtl/>
        </w:rPr>
        <w:t>يعني إذا توقف فعل الواجب على الوسيلة،</w:t>
      </w:r>
      <w:r>
        <w:rPr>
          <w:rFonts w:hint="cs"/>
          <w:sz w:val="32"/>
          <w:szCs w:val="32"/>
          <w:rtl/>
        </w:rPr>
        <w:t xml:space="preserve"> و</w:t>
      </w:r>
      <w:r w:rsidRPr="00487E97">
        <w:rPr>
          <w:rFonts w:hint="cs"/>
          <w:sz w:val="32"/>
          <w:szCs w:val="32"/>
          <w:rtl/>
        </w:rPr>
        <w:t>مثله وسيلة المندوب. انظر قواعد الوسائل</w:t>
      </w:r>
      <w:r>
        <w:rPr>
          <w:rFonts w:hint="cs"/>
          <w:sz w:val="32"/>
          <w:szCs w:val="32"/>
          <w:rtl/>
        </w:rPr>
        <w:t xml:space="preserve"> </w:t>
      </w:r>
      <w:r w:rsidRPr="00487E97">
        <w:rPr>
          <w:rFonts w:hint="cs"/>
          <w:sz w:val="32"/>
          <w:szCs w:val="32"/>
          <w:rtl/>
        </w:rPr>
        <w:t>(233، 234-236).</w:t>
      </w:r>
    </w:p>
  </w:footnote>
  <w:footnote w:id="574">
    <w:p w:rsidR="000D3D21" w:rsidRPr="00487E97" w:rsidRDefault="000D3D21" w:rsidP="00D77425">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487E97">
        <w:rPr>
          <w:rFonts w:hint="cs"/>
          <w:sz w:val="32"/>
          <w:szCs w:val="32"/>
          <w:rtl/>
        </w:rPr>
        <w:t xml:space="preserve">هذه قاعدة فقهية أصولية مستقلة، إلا أنها أَخَصُّ من قاعدة:" الوسائل لها أحكام المقاصد"، كما هو ظاهر من شرح القاعدة، وقد صرّح الشيخ ابن عثيمين </w:t>
      </w:r>
      <w:r>
        <w:rPr>
          <w:rFonts w:hint="cs"/>
          <w:sz w:val="32"/>
          <w:szCs w:val="32"/>
          <w:rtl/>
        </w:rPr>
        <w:t>_</w:t>
      </w:r>
      <w:r>
        <w:rPr>
          <w:rFonts w:ascii="Traditional Arabic" w:hAnsi="Traditional Arabic" w:cs="CTraditional Arabic" w:hint="cs"/>
          <w:rtl/>
        </w:rPr>
        <w:t>/</w:t>
      </w:r>
      <w:r>
        <w:rPr>
          <w:rFonts w:hint="cs"/>
          <w:sz w:val="32"/>
          <w:szCs w:val="32"/>
          <w:rtl/>
        </w:rPr>
        <w:t>- بذلك فقال: (و</w:t>
      </w:r>
      <w:r w:rsidRPr="00487E97">
        <w:rPr>
          <w:rFonts w:hint="cs"/>
          <w:sz w:val="32"/>
          <w:szCs w:val="32"/>
          <w:rtl/>
        </w:rPr>
        <w:t>م</w:t>
      </w:r>
      <w:r>
        <w:rPr>
          <w:rFonts w:hint="cs"/>
          <w:sz w:val="32"/>
          <w:szCs w:val="32"/>
          <w:rtl/>
        </w:rPr>
        <w:t>اكان وسيلة للمحرم كان حراما...و</w:t>
      </w:r>
      <w:r w:rsidRPr="00487E97">
        <w:rPr>
          <w:rFonts w:hint="cs"/>
          <w:sz w:val="32"/>
          <w:szCs w:val="32"/>
          <w:rtl/>
        </w:rPr>
        <w:t>القاعدة الثانية:"ما لا يتم الواجب إلا به</w:t>
      </w:r>
      <w:r>
        <w:rPr>
          <w:rFonts w:hint="cs"/>
          <w:sz w:val="32"/>
          <w:szCs w:val="32"/>
          <w:rtl/>
        </w:rPr>
        <w:t xml:space="preserve">، </w:t>
      </w:r>
      <w:r w:rsidRPr="00487E97">
        <w:rPr>
          <w:rFonts w:hint="cs"/>
          <w:sz w:val="32"/>
          <w:szCs w:val="32"/>
          <w:rtl/>
        </w:rPr>
        <w:t>فهو واجب".</w:t>
      </w:r>
      <w:r>
        <w:rPr>
          <w:rFonts w:hint="cs"/>
          <w:sz w:val="32"/>
          <w:szCs w:val="32"/>
          <w:rtl/>
        </w:rPr>
        <w:t xml:space="preserve"> </w:t>
      </w:r>
      <w:r w:rsidRPr="00487E97">
        <w:rPr>
          <w:rFonts w:hint="cs"/>
          <w:sz w:val="32"/>
          <w:szCs w:val="32"/>
          <w:rtl/>
        </w:rPr>
        <w:t>لكن قاعدة:" الوسائل لها أحكام المقاصد" أعم [منها]،</w:t>
      </w:r>
      <w:r>
        <w:rPr>
          <w:rFonts w:hint="cs"/>
          <w:sz w:val="32"/>
          <w:szCs w:val="32"/>
          <w:rtl/>
        </w:rPr>
        <w:t xml:space="preserve"> و</w:t>
      </w:r>
      <w:r w:rsidRPr="00487E97">
        <w:rPr>
          <w:rFonts w:hint="cs"/>
          <w:sz w:val="32"/>
          <w:szCs w:val="32"/>
          <w:rtl/>
        </w:rPr>
        <w:t>عل</w:t>
      </w:r>
      <w:r>
        <w:rPr>
          <w:rFonts w:hint="cs"/>
          <w:sz w:val="32"/>
          <w:szCs w:val="32"/>
          <w:rtl/>
        </w:rPr>
        <w:t>ى هذا تكون هي القاعدة المعتبَرة</w:t>
      </w:r>
      <w:r w:rsidRPr="00487E97">
        <w:rPr>
          <w:rFonts w:hint="cs"/>
          <w:sz w:val="32"/>
          <w:szCs w:val="32"/>
          <w:rtl/>
        </w:rPr>
        <w:t>).</w:t>
      </w:r>
      <w:r>
        <w:rPr>
          <w:rFonts w:hint="cs"/>
          <w:sz w:val="32"/>
          <w:szCs w:val="32"/>
          <w:rtl/>
        </w:rPr>
        <w:t xml:space="preserve"> </w:t>
      </w:r>
      <w:r w:rsidRPr="00487E97">
        <w:rPr>
          <w:rFonts w:hint="cs"/>
          <w:sz w:val="32"/>
          <w:szCs w:val="32"/>
          <w:rtl/>
        </w:rPr>
        <w:t>التعليق على القواعد الحسان (274)، وانظر:</w:t>
      </w:r>
      <w:r>
        <w:rPr>
          <w:rFonts w:hint="cs"/>
          <w:sz w:val="32"/>
          <w:szCs w:val="32"/>
          <w:rtl/>
        </w:rPr>
        <w:t xml:space="preserve"> </w:t>
      </w:r>
      <w:r w:rsidRPr="00487E97">
        <w:rPr>
          <w:rFonts w:hint="cs"/>
          <w:sz w:val="32"/>
          <w:szCs w:val="32"/>
          <w:rtl/>
        </w:rPr>
        <w:t>شرح نظم الورقات (87)،</w:t>
      </w:r>
      <w:r>
        <w:rPr>
          <w:rFonts w:hint="cs"/>
          <w:sz w:val="32"/>
          <w:szCs w:val="32"/>
          <w:rtl/>
        </w:rPr>
        <w:t xml:space="preserve"> و</w:t>
      </w:r>
      <w:r w:rsidRPr="00487E97">
        <w:rPr>
          <w:rFonts w:hint="cs"/>
          <w:sz w:val="32"/>
          <w:szCs w:val="32"/>
          <w:rtl/>
        </w:rPr>
        <w:t>شرح الأصول من علم الأصول (179).</w:t>
      </w:r>
    </w:p>
  </w:footnote>
  <w:footnote w:id="575">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sidRPr="00487E97">
        <w:rPr>
          <w:rFonts w:ascii="Traditional Arabic" w:hAnsi="Traditional Arabic" w:hint="cs"/>
          <w:sz w:val="32"/>
          <w:szCs w:val="32"/>
          <w:rtl/>
        </w:rPr>
        <w:t xml:space="preserve"> فوسائل المحرم</w:t>
      </w:r>
      <w:r>
        <w:rPr>
          <w:rFonts w:ascii="Traditional Arabic" w:hAnsi="Traditional Arabic" w:hint="cs"/>
          <w:sz w:val="32"/>
          <w:szCs w:val="32"/>
          <w:rtl/>
        </w:rPr>
        <w:t xml:space="preserve"> و</w:t>
      </w:r>
      <w:r w:rsidRPr="00487E97">
        <w:rPr>
          <w:rFonts w:ascii="Traditional Arabic" w:hAnsi="Traditional Arabic" w:hint="cs"/>
          <w:sz w:val="32"/>
          <w:szCs w:val="32"/>
          <w:rtl/>
        </w:rPr>
        <w:t>المكروه</w:t>
      </w:r>
      <w:r>
        <w:rPr>
          <w:rFonts w:ascii="Traditional Arabic" w:hAnsi="Traditional Arabic" w:hint="cs"/>
          <w:sz w:val="32"/>
          <w:szCs w:val="32"/>
          <w:rtl/>
        </w:rPr>
        <w:t xml:space="preserve"> و</w:t>
      </w:r>
      <w:r w:rsidRPr="00487E97">
        <w:rPr>
          <w:rFonts w:ascii="Traditional Arabic" w:hAnsi="Traditional Arabic" w:hint="cs"/>
          <w:sz w:val="32"/>
          <w:szCs w:val="32"/>
          <w:rtl/>
        </w:rPr>
        <w:t>المباح تأخذ حكم مقاصدها مطلقا سواء توقَّف المقصود عليها أو لا.</w:t>
      </w:r>
      <w:r>
        <w:rPr>
          <w:rFonts w:ascii="Traditional Arabic" w:hAnsi="Traditional Arabic" w:hint="cs"/>
          <w:sz w:val="32"/>
          <w:szCs w:val="32"/>
          <w:rtl/>
        </w:rPr>
        <w:t xml:space="preserve"> </w:t>
      </w:r>
      <w:r w:rsidRPr="00487E97">
        <w:rPr>
          <w:rFonts w:ascii="Traditional Arabic" w:hAnsi="Traditional Arabic" w:hint="cs"/>
          <w:sz w:val="32"/>
          <w:szCs w:val="32"/>
          <w:rtl/>
        </w:rPr>
        <w:t>انظر:</w:t>
      </w:r>
      <w:r>
        <w:rPr>
          <w:rFonts w:ascii="Traditional Arabic" w:hAnsi="Traditional Arabic" w:hint="cs"/>
          <w:sz w:val="32"/>
          <w:szCs w:val="32"/>
          <w:rtl/>
        </w:rPr>
        <w:t xml:space="preserve"> </w:t>
      </w:r>
      <w:r w:rsidRPr="00487E97">
        <w:rPr>
          <w:rFonts w:hint="cs"/>
          <w:sz w:val="32"/>
          <w:szCs w:val="32"/>
          <w:rtl/>
        </w:rPr>
        <w:t>قواعد الوسائل (233-234).وانظر في شرح القاعدة</w:t>
      </w:r>
      <w:r>
        <w:rPr>
          <w:rFonts w:hint="cs"/>
          <w:sz w:val="32"/>
          <w:szCs w:val="32"/>
          <w:rtl/>
        </w:rPr>
        <w:t>:</w:t>
      </w:r>
      <w:r w:rsidRPr="00487E97">
        <w:rPr>
          <w:rFonts w:hint="cs"/>
          <w:sz w:val="32"/>
          <w:szCs w:val="32"/>
          <w:rtl/>
        </w:rPr>
        <w:t xml:space="preserve"> المرجع السابق (223)،</w:t>
      </w:r>
      <w:r>
        <w:rPr>
          <w:rFonts w:hint="cs"/>
          <w:sz w:val="32"/>
          <w:szCs w:val="32"/>
          <w:rtl/>
        </w:rPr>
        <w:t xml:space="preserve"> و</w:t>
      </w:r>
      <w:r w:rsidRPr="00487E97">
        <w:rPr>
          <w:rFonts w:hint="cs"/>
          <w:sz w:val="32"/>
          <w:szCs w:val="32"/>
          <w:rtl/>
        </w:rPr>
        <w:t>القواعد</w:t>
      </w:r>
      <w:r>
        <w:rPr>
          <w:rFonts w:hint="cs"/>
          <w:sz w:val="32"/>
          <w:szCs w:val="32"/>
          <w:rtl/>
        </w:rPr>
        <w:t xml:space="preserve"> و</w:t>
      </w:r>
      <w:r w:rsidRPr="00487E97">
        <w:rPr>
          <w:rFonts w:hint="cs"/>
          <w:sz w:val="32"/>
          <w:szCs w:val="32"/>
          <w:rtl/>
        </w:rPr>
        <w:t>الأصول الجامعة (27-34)،</w:t>
      </w:r>
      <w:r>
        <w:rPr>
          <w:rFonts w:hint="cs"/>
          <w:sz w:val="32"/>
          <w:szCs w:val="32"/>
          <w:rtl/>
        </w:rPr>
        <w:t xml:space="preserve"> و</w:t>
      </w:r>
      <w:r w:rsidRPr="00487E97">
        <w:rPr>
          <w:rFonts w:hint="cs"/>
          <w:sz w:val="32"/>
          <w:szCs w:val="32"/>
          <w:rtl/>
        </w:rPr>
        <w:t>القواعد الفقهية للسعدي (64-66)، ومنظومة القواعد الفقهية</w:t>
      </w:r>
      <w:r>
        <w:rPr>
          <w:rFonts w:hint="cs"/>
          <w:sz w:val="32"/>
          <w:szCs w:val="32"/>
          <w:rtl/>
        </w:rPr>
        <w:t xml:space="preserve"> وشرحها لابن </w:t>
      </w:r>
      <w:r w:rsidRPr="00487E97">
        <w:rPr>
          <w:rFonts w:hint="cs"/>
          <w:sz w:val="32"/>
          <w:szCs w:val="32"/>
          <w:rtl/>
        </w:rPr>
        <w:t>سعدي (29-30)،</w:t>
      </w:r>
      <w:r>
        <w:rPr>
          <w:rFonts w:hint="cs"/>
          <w:sz w:val="32"/>
          <w:szCs w:val="32"/>
          <w:rtl/>
        </w:rPr>
        <w:t xml:space="preserve"> و</w:t>
      </w:r>
      <w:r w:rsidRPr="00487E97">
        <w:rPr>
          <w:rFonts w:hint="cs"/>
          <w:sz w:val="32"/>
          <w:szCs w:val="32"/>
          <w:rtl/>
        </w:rPr>
        <w:t>التعليق على القواعد الحسان (274)،</w:t>
      </w:r>
      <w:r>
        <w:rPr>
          <w:rFonts w:hint="cs"/>
          <w:sz w:val="32"/>
          <w:szCs w:val="32"/>
          <w:rtl/>
        </w:rPr>
        <w:t xml:space="preserve"> و</w:t>
      </w:r>
      <w:r w:rsidRPr="00487E97">
        <w:rPr>
          <w:rFonts w:hint="cs"/>
          <w:sz w:val="32"/>
          <w:szCs w:val="32"/>
          <w:rtl/>
        </w:rPr>
        <w:t>شرح نظم الورقات (87)،</w:t>
      </w:r>
      <w:r>
        <w:rPr>
          <w:rFonts w:hint="cs"/>
          <w:sz w:val="32"/>
          <w:szCs w:val="32"/>
          <w:rtl/>
        </w:rPr>
        <w:t xml:space="preserve"> و</w:t>
      </w:r>
      <w:r w:rsidRPr="00487E97">
        <w:rPr>
          <w:rFonts w:hint="cs"/>
          <w:sz w:val="32"/>
          <w:szCs w:val="32"/>
          <w:rtl/>
        </w:rPr>
        <w:t>شرح الأصول من علم الأصول (179).</w:t>
      </w:r>
    </w:p>
  </w:footnote>
  <w:footnote w:id="576">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487E97">
        <w:rPr>
          <w:rFonts w:hint="cs"/>
          <w:sz w:val="32"/>
          <w:szCs w:val="32"/>
          <w:rtl/>
        </w:rPr>
        <w:t>تفسير سورة النساء (1/33).</w:t>
      </w:r>
    </w:p>
  </w:footnote>
  <w:footnote w:id="577">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487E97">
        <w:rPr>
          <w:rFonts w:hint="cs"/>
          <w:sz w:val="32"/>
          <w:szCs w:val="32"/>
          <w:rtl/>
        </w:rPr>
        <w:t>قواعد الوسائل (226).</w:t>
      </w:r>
    </w:p>
  </w:footnote>
  <w:footnote w:id="578">
    <w:p w:rsidR="000D3D21" w:rsidRPr="001A5343" w:rsidRDefault="000D3D21">
      <w:pPr>
        <w:pStyle w:val="a7"/>
        <w:rPr>
          <w:rFonts w:ascii="Traditional Arabic" w:hAnsi="Traditional Arabic"/>
          <w:sz w:val="32"/>
          <w:szCs w:val="32"/>
          <w:rtl/>
        </w:rPr>
      </w:pPr>
      <w:r w:rsidRPr="001A5343">
        <w:rPr>
          <w:rStyle w:val="af1"/>
          <w:rFonts w:ascii="Traditional Arabic" w:hAnsi="Traditional Arabic"/>
          <w:sz w:val="32"/>
          <w:szCs w:val="32"/>
          <w:vertAlign w:val="baseline"/>
        </w:rPr>
        <w:footnoteRef/>
      </w:r>
      <w:r w:rsidRPr="001A5343">
        <w:rPr>
          <w:rFonts w:ascii="Traditional Arabic" w:hAnsi="Traditional Arabic"/>
          <w:sz w:val="32"/>
          <w:szCs w:val="32"/>
        </w:rPr>
        <w:t>)</w:t>
      </w:r>
      <w:r w:rsidRPr="001A5343">
        <w:rPr>
          <w:rFonts w:ascii="Traditional Arabic" w:hAnsi="Traditional Arabic"/>
          <w:sz w:val="32"/>
          <w:szCs w:val="32"/>
          <w:rtl/>
        </w:rPr>
        <w:t xml:space="preserve">) </w:t>
      </w:r>
      <w:r>
        <w:rPr>
          <w:rFonts w:ascii="Traditional Arabic" w:hAnsi="Traditional Arabic" w:hint="cs"/>
          <w:sz w:val="32"/>
          <w:szCs w:val="32"/>
          <w:rtl/>
        </w:rPr>
        <w:t xml:space="preserve">انظر: </w:t>
      </w:r>
      <w:r w:rsidRPr="00487E97">
        <w:rPr>
          <w:rFonts w:ascii="Traditional Arabic" w:hAnsi="Traditional Arabic"/>
          <w:sz w:val="32"/>
          <w:szCs w:val="32"/>
          <w:rtl/>
        </w:rPr>
        <w:t>شرح تنقيح الفصول (449)،</w:t>
      </w:r>
      <w:r>
        <w:rPr>
          <w:rFonts w:ascii="Traditional Arabic" w:hAnsi="Traditional Arabic"/>
          <w:sz w:val="32"/>
          <w:szCs w:val="32"/>
          <w:rtl/>
        </w:rPr>
        <w:t xml:space="preserve"> و</w:t>
      </w:r>
      <w:r w:rsidRPr="00487E97">
        <w:rPr>
          <w:rFonts w:ascii="Traditional Arabic" w:hAnsi="Traditional Arabic"/>
          <w:sz w:val="32"/>
          <w:szCs w:val="32"/>
          <w:rtl/>
        </w:rPr>
        <w:t>نفائس الأصول في شرح المحصول (2/274) كلاهما للقرافي،</w:t>
      </w:r>
      <w:r>
        <w:rPr>
          <w:rFonts w:ascii="Traditional Arabic" w:hAnsi="Traditional Arabic"/>
          <w:sz w:val="32"/>
          <w:szCs w:val="32"/>
          <w:rtl/>
        </w:rPr>
        <w:t xml:space="preserve"> و</w:t>
      </w:r>
      <w:r w:rsidRPr="00487E97">
        <w:rPr>
          <w:rFonts w:ascii="Traditional Arabic" w:hAnsi="Traditional Arabic"/>
          <w:sz w:val="32"/>
          <w:szCs w:val="32"/>
          <w:rtl/>
        </w:rPr>
        <w:t>تقريب الوصول لابن جُزَي</w:t>
      </w:r>
      <w:r>
        <w:rPr>
          <w:rFonts w:ascii="Traditional Arabic" w:hAnsi="Traditional Arabic" w:hint="cs"/>
          <w:sz w:val="32"/>
          <w:szCs w:val="32"/>
          <w:rtl/>
        </w:rPr>
        <w:t xml:space="preserve"> (254)، و</w:t>
      </w:r>
      <w:r w:rsidRPr="001A5343">
        <w:rPr>
          <w:rFonts w:ascii="Traditional Arabic" w:hAnsi="Traditional Arabic"/>
          <w:sz w:val="32"/>
          <w:szCs w:val="32"/>
          <w:rtl/>
        </w:rPr>
        <w:t xml:space="preserve"> </w:t>
      </w:r>
      <w:r>
        <w:rPr>
          <w:rFonts w:ascii="Traditional Arabic" w:hAnsi="Traditional Arabic"/>
          <w:sz w:val="32"/>
          <w:szCs w:val="32"/>
          <w:rtl/>
        </w:rPr>
        <w:t>و</w:t>
      </w:r>
      <w:r w:rsidRPr="00487E97">
        <w:rPr>
          <w:rFonts w:ascii="Traditional Arabic" w:hAnsi="Traditional Arabic"/>
          <w:sz w:val="32"/>
          <w:szCs w:val="32"/>
          <w:rtl/>
        </w:rPr>
        <w:t>نيل السول على مرتقى الوصول لمحمد يحي الولاتي (79-80، 200)،</w:t>
      </w:r>
      <w:r>
        <w:rPr>
          <w:rFonts w:ascii="Traditional Arabic" w:hAnsi="Traditional Arabic"/>
          <w:sz w:val="32"/>
          <w:szCs w:val="32"/>
          <w:rtl/>
        </w:rPr>
        <w:t xml:space="preserve"> و</w:t>
      </w:r>
      <w:r w:rsidRPr="00487E97">
        <w:rPr>
          <w:rFonts w:ascii="Traditional Arabic" w:hAnsi="Traditional Arabic"/>
          <w:sz w:val="32"/>
          <w:szCs w:val="32"/>
          <w:rtl/>
        </w:rPr>
        <w:t>نشر البنود على مراقي الصعود لسيدي عبد الله العلوي الشنقيطي (2/265-266)،</w:t>
      </w:r>
      <w:r>
        <w:rPr>
          <w:rFonts w:ascii="Traditional Arabic" w:hAnsi="Traditional Arabic" w:hint="cs"/>
          <w:sz w:val="32"/>
          <w:szCs w:val="32"/>
          <w:rtl/>
        </w:rPr>
        <w:t xml:space="preserve"> </w:t>
      </w:r>
      <w:r>
        <w:rPr>
          <w:rFonts w:ascii="Traditional Arabic" w:hAnsi="Traditional Arabic"/>
          <w:sz w:val="32"/>
          <w:szCs w:val="32"/>
          <w:rtl/>
        </w:rPr>
        <w:t>والبحر المحيط للزركشي (1/229)</w:t>
      </w:r>
      <w:r>
        <w:rPr>
          <w:rFonts w:ascii="Traditional Arabic" w:hAnsi="Traditional Arabic" w:hint="cs"/>
          <w:sz w:val="32"/>
          <w:szCs w:val="32"/>
          <w:rtl/>
        </w:rPr>
        <w:t>.</w:t>
      </w:r>
    </w:p>
  </w:footnote>
  <w:footnote w:id="579">
    <w:p w:rsidR="000D3D21" w:rsidRPr="00487E97" w:rsidRDefault="000D3D21" w:rsidP="00F13303">
      <w:pPr>
        <w:pStyle w:val="a7"/>
        <w:rPr>
          <w:sz w:val="32"/>
          <w:szCs w:val="32"/>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487E97">
        <w:rPr>
          <w:rFonts w:hint="cs"/>
          <w:sz w:val="32"/>
          <w:szCs w:val="32"/>
          <w:rtl/>
        </w:rPr>
        <w:t>فتح ذي الجلال</w:t>
      </w:r>
      <w:r>
        <w:rPr>
          <w:rFonts w:hint="cs"/>
          <w:sz w:val="32"/>
          <w:szCs w:val="32"/>
          <w:rtl/>
        </w:rPr>
        <w:t xml:space="preserve"> و</w:t>
      </w:r>
      <w:r w:rsidRPr="00487E97">
        <w:rPr>
          <w:rFonts w:hint="cs"/>
          <w:sz w:val="32"/>
          <w:szCs w:val="32"/>
          <w:rtl/>
        </w:rPr>
        <w:t>الإكرام (3/607)،</w:t>
      </w:r>
      <w:r>
        <w:rPr>
          <w:rFonts w:hint="cs"/>
          <w:sz w:val="32"/>
          <w:szCs w:val="32"/>
          <w:rtl/>
        </w:rPr>
        <w:t xml:space="preserve"> و</w:t>
      </w:r>
      <w:r w:rsidRPr="00487E97">
        <w:rPr>
          <w:rFonts w:hint="cs"/>
          <w:sz w:val="32"/>
          <w:szCs w:val="32"/>
          <w:rtl/>
        </w:rPr>
        <w:t>تفسير سورة النساء (1/33).</w:t>
      </w:r>
    </w:p>
  </w:footnote>
  <w:footnote w:id="580">
    <w:p w:rsidR="000D3D21" w:rsidRPr="00487E97" w:rsidRDefault="000D3D21" w:rsidP="00F13303">
      <w:pPr>
        <w:pStyle w:val="a7"/>
        <w:rPr>
          <w:rFonts w:ascii="Traditional Arabic" w:hAnsi="Traditional Arabic"/>
          <w:sz w:val="32"/>
          <w:szCs w:val="32"/>
          <w:rtl/>
        </w:rPr>
      </w:pPr>
      <w:r w:rsidRPr="00487E97">
        <w:rPr>
          <w:rStyle w:val="af1"/>
          <w:rFonts w:ascii="Traditional Arabic" w:hAnsi="Traditional Arabic"/>
          <w:sz w:val="32"/>
          <w:szCs w:val="32"/>
          <w:vertAlign w:val="baseline"/>
        </w:rPr>
        <w:footnoteRef/>
      </w:r>
      <w:r w:rsidRPr="00487E97">
        <w:rPr>
          <w:rFonts w:ascii="Traditional Arabic" w:hAnsi="Traditional Arabic"/>
          <w:sz w:val="32"/>
          <w:szCs w:val="32"/>
        </w:rPr>
        <w:t>)</w:t>
      </w:r>
      <w:r w:rsidRPr="00487E97">
        <w:rPr>
          <w:rFonts w:ascii="Traditional Arabic" w:hAnsi="Traditional Arabic"/>
          <w:sz w:val="32"/>
          <w:szCs w:val="32"/>
          <w:rtl/>
        </w:rPr>
        <w:t xml:space="preserve">) </w:t>
      </w:r>
      <w:r w:rsidRPr="00487E97">
        <w:rPr>
          <w:rFonts w:ascii="Traditional Arabic" w:hAnsi="Traditional Arabic" w:hint="cs"/>
          <w:sz w:val="32"/>
          <w:szCs w:val="32"/>
          <w:rtl/>
        </w:rPr>
        <w:t>انظر تفسير سورة البقرة (2/350).</w:t>
      </w:r>
    </w:p>
  </w:footnote>
  <w:footnote w:id="581">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Pr>
          <w:rFonts w:hint="cs"/>
          <w:sz w:val="32"/>
          <w:szCs w:val="32"/>
          <w:rtl/>
        </w:rPr>
        <w:t>انظر المرجع السابق</w:t>
      </w:r>
      <w:r w:rsidRPr="00487E97">
        <w:rPr>
          <w:rFonts w:hint="cs"/>
          <w:sz w:val="32"/>
          <w:szCs w:val="32"/>
          <w:rtl/>
        </w:rPr>
        <w:t xml:space="preserve"> (3/112-113).</w:t>
      </w:r>
    </w:p>
  </w:footnote>
  <w:footnote w:id="582">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487E97">
        <w:rPr>
          <w:rFonts w:hint="cs"/>
          <w:sz w:val="32"/>
          <w:szCs w:val="32"/>
          <w:rtl/>
        </w:rPr>
        <w:t>تفسير سورة النساء (1/32-33).</w:t>
      </w:r>
    </w:p>
  </w:footnote>
  <w:footnote w:id="583">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487E97">
        <w:rPr>
          <w:rFonts w:hint="cs"/>
          <w:sz w:val="32"/>
          <w:szCs w:val="32"/>
          <w:rtl/>
        </w:rPr>
        <w:t>انظر: فتح ذي الجلال</w:t>
      </w:r>
      <w:r>
        <w:rPr>
          <w:rFonts w:hint="cs"/>
          <w:sz w:val="32"/>
          <w:szCs w:val="32"/>
          <w:rtl/>
        </w:rPr>
        <w:t xml:space="preserve"> و</w:t>
      </w:r>
      <w:r w:rsidRPr="00487E97">
        <w:rPr>
          <w:rFonts w:hint="cs"/>
          <w:sz w:val="32"/>
          <w:szCs w:val="32"/>
          <w:rtl/>
        </w:rPr>
        <w:t>الإكرام (5/588)،</w:t>
      </w:r>
      <w:r>
        <w:rPr>
          <w:rFonts w:hint="cs"/>
          <w:sz w:val="32"/>
          <w:szCs w:val="32"/>
          <w:rtl/>
        </w:rPr>
        <w:t xml:space="preserve"> و</w:t>
      </w:r>
      <w:r w:rsidRPr="00487E97">
        <w:rPr>
          <w:rFonts w:hint="cs"/>
          <w:sz w:val="32"/>
          <w:szCs w:val="32"/>
          <w:rtl/>
        </w:rPr>
        <w:t>التعليق على القواعد الحسان (275).</w:t>
      </w:r>
    </w:p>
  </w:footnote>
  <w:footnote w:id="584">
    <w:p w:rsidR="000D3D21" w:rsidRPr="00487E97" w:rsidRDefault="000D3D21" w:rsidP="002F2D6E">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D54649">
        <w:rPr>
          <w:rFonts w:hint="cs"/>
          <w:b/>
          <w:bCs/>
          <w:sz w:val="32"/>
          <w:szCs w:val="32"/>
          <w:rtl/>
        </w:rPr>
        <w:t>تجصيص</w:t>
      </w:r>
      <w:r w:rsidR="00AB0B9E" w:rsidRPr="00D54649">
        <w:rPr>
          <w:b/>
          <w:bCs/>
          <w:sz w:val="32"/>
          <w:szCs w:val="32"/>
          <w:rtl/>
        </w:rPr>
        <w:fldChar w:fldCharType="begin"/>
      </w:r>
      <w:r w:rsidRPr="00D54649">
        <w:rPr>
          <w:b/>
          <w:bCs/>
        </w:rPr>
        <w:instrText xml:space="preserve"> XE "</w:instrText>
      </w:r>
      <w:r w:rsidRPr="00D54649">
        <w:rPr>
          <w:rFonts w:hint="cs"/>
          <w:b/>
          <w:bCs/>
          <w:sz w:val="32"/>
          <w:szCs w:val="32"/>
          <w:rtl/>
        </w:rPr>
        <w:instrText>تجصيص</w:instrText>
      </w:r>
      <w:r w:rsidRPr="00D54649">
        <w:rPr>
          <w:b/>
          <w:bCs/>
        </w:rPr>
        <w:instrText>" \fm</w:instrText>
      </w:r>
      <w:r w:rsidR="00AB0B9E" w:rsidRPr="00D54649">
        <w:rPr>
          <w:b/>
          <w:bCs/>
          <w:sz w:val="32"/>
          <w:szCs w:val="32"/>
          <w:rtl/>
        </w:rPr>
        <w:fldChar w:fldCharType="end"/>
      </w:r>
      <w:r w:rsidRPr="00D54649">
        <w:rPr>
          <w:rFonts w:hint="cs"/>
          <w:b/>
          <w:bCs/>
          <w:sz w:val="32"/>
          <w:szCs w:val="32"/>
          <w:rtl/>
        </w:rPr>
        <w:t xml:space="preserve"> القبر</w:t>
      </w:r>
      <w:r w:rsidRPr="00487E97">
        <w:rPr>
          <w:rFonts w:hint="cs"/>
          <w:sz w:val="32"/>
          <w:szCs w:val="32"/>
          <w:rtl/>
        </w:rPr>
        <w:t>: بناؤه بالجصّ (بفتح الجيم</w:t>
      </w:r>
      <w:r>
        <w:rPr>
          <w:rFonts w:hint="cs"/>
          <w:sz w:val="32"/>
          <w:szCs w:val="32"/>
          <w:rtl/>
        </w:rPr>
        <w:t xml:space="preserve"> و</w:t>
      </w:r>
      <w:r w:rsidRPr="00487E97">
        <w:rPr>
          <w:rFonts w:hint="cs"/>
          <w:sz w:val="32"/>
          <w:szCs w:val="32"/>
          <w:rtl/>
        </w:rPr>
        <w:t>ضمِّها)،</w:t>
      </w:r>
      <w:r>
        <w:rPr>
          <w:rFonts w:hint="cs"/>
          <w:sz w:val="32"/>
          <w:szCs w:val="32"/>
          <w:rtl/>
        </w:rPr>
        <w:t xml:space="preserve"> و</w:t>
      </w:r>
      <w:r w:rsidRPr="00487E97">
        <w:rPr>
          <w:rFonts w:hint="cs"/>
          <w:sz w:val="32"/>
          <w:szCs w:val="32"/>
          <w:rtl/>
        </w:rPr>
        <w:t>هو ما يُبنى به. المطلع على على ألفاظ المقنع (50، 51، 152).</w:t>
      </w:r>
    </w:p>
  </w:footnote>
  <w:footnote w:id="585">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487E97">
        <w:rPr>
          <w:rFonts w:hint="cs"/>
          <w:sz w:val="32"/>
          <w:szCs w:val="32"/>
          <w:rtl/>
        </w:rPr>
        <w:t>أخرجه مسلم في كتاب الجنائز، باب النهي عن تجصيص القبر</w:t>
      </w:r>
      <w:r>
        <w:rPr>
          <w:rFonts w:hint="cs"/>
          <w:sz w:val="32"/>
          <w:szCs w:val="32"/>
          <w:rtl/>
        </w:rPr>
        <w:t xml:space="preserve"> و</w:t>
      </w:r>
      <w:r w:rsidRPr="00487E97">
        <w:rPr>
          <w:rFonts w:hint="cs"/>
          <w:sz w:val="32"/>
          <w:szCs w:val="32"/>
          <w:rtl/>
        </w:rPr>
        <w:t>البناء عليه، رقم الحديث (970).</w:t>
      </w:r>
    </w:p>
  </w:footnote>
  <w:footnote w:id="586">
    <w:p w:rsidR="000D3D21" w:rsidRPr="00487E97" w:rsidRDefault="000D3D21" w:rsidP="00F13303">
      <w:pPr>
        <w:pStyle w:val="a7"/>
        <w:rPr>
          <w:sz w:val="32"/>
          <w:szCs w:val="32"/>
          <w:rtl/>
        </w:rPr>
      </w:pPr>
      <w:r w:rsidRPr="00487E97">
        <w:rPr>
          <w:rStyle w:val="af1"/>
          <w:rFonts w:ascii="Traditional Arabic" w:hAnsi="Traditional Arabic"/>
          <w:sz w:val="32"/>
          <w:szCs w:val="32"/>
          <w:vertAlign w:val="baseline"/>
        </w:rPr>
        <w:footnoteRef/>
      </w:r>
      <w:r w:rsidRPr="00487E97">
        <w:rPr>
          <w:rStyle w:val="af1"/>
          <w:rFonts w:ascii="Traditional Arabic" w:hAnsi="Traditional Arabic"/>
          <w:sz w:val="32"/>
          <w:szCs w:val="32"/>
          <w:vertAlign w:val="baseline"/>
        </w:rPr>
        <w:t>)</w:t>
      </w:r>
      <w:r w:rsidRPr="00487E97">
        <w:rPr>
          <w:rStyle w:val="af1"/>
          <w:rFonts w:ascii="Traditional Arabic" w:hAnsi="Traditional Arabic" w:hint="cs"/>
          <w:sz w:val="32"/>
          <w:szCs w:val="32"/>
          <w:vertAlign w:val="baseline"/>
          <w:rtl/>
        </w:rPr>
        <w:t>)</w:t>
      </w:r>
      <w:r>
        <w:rPr>
          <w:rFonts w:hint="cs"/>
          <w:sz w:val="32"/>
          <w:szCs w:val="32"/>
          <w:rtl/>
        </w:rPr>
        <w:t xml:space="preserve"> </w:t>
      </w:r>
      <w:r w:rsidRPr="00487E97">
        <w:rPr>
          <w:rFonts w:hint="cs"/>
          <w:sz w:val="32"/>
          <w:szCs w:val="32"/>
          <w:rtl/>
        </w:rPr>
        <w:t xml:space="preserve">انظر: </w:t>
      </w:r>
      <w:r>
        <w:rPr>
          <w:rFonts w:hint="cs"/>
          <w:sz w:val="32"/>
          <w:szCs w:val="32"/>
          <w:rtl/>
        </w:rPr>
        <w:t>الشرح الممتع (5/366)، و</w:t>
      </w:r>
      <w:r w:rsidRPr="00487E97">
        <w:rPr>
          <w:rFonts w:hint="cs"/>
          <w:sz w:val="32"/>
          <w:szCs w:val="32"/>
          <w:rtl/>
        </w:rPr>
        <w:t>فتح ذي الجلال</w:t>
      </w:r>
      <w:r>
        <w:rPr>
          <w:rFonts w:hint="cs"/>
          <w:sz w:val="32"/>
          <w:szCs w:val="32"/>
          <w:rtl/>
        </w:rPr>
        <w:t xml:space="preserve"> والإكرام (5/586، 587، 588)</w:t>
      </w:r>
      <w:r w:rsidRPr="00487E97">
        <w:rPr>
          <w:rFonts w:hint="cs"/>
          <w:sz w:val="32"/>
          <w:szCs w:val="32"/>
          <w:rtl/>
        </w:rPr>
        <w:t>.</w:t>
      </w:r>
    </w:p>
  </w:footnote>
  <w:footnote w:id="587">
    <w:p w:rsidR="000D3D21" w:rsidRPr="00487E97" w:rsidRDefault="000D3D21" w:rsidP="00F13303">
      <w:pPr>
        <w:pStyle w:val="a7"/>
        <w:rPr>
          <w:rFonts w:ascii="Traditional Arabic" w:hAnsi="Traditional Arabic"/>
          <w:sz w:val="32"/>
          <w:szCs w:val="32"/>
        </w:rPr>
      </w:pPr>
      <w:r w:rsidRPr="00487E97">
        <w:rPr>
          <w:rStyle w:val="af1"/>
          <w:rFonts w:ascii="Traditional Arabic" w:hAnsi="Traditional Arabic"/>
          <w:sz w:val="32"/>
          <w:szCs w:val="32"/>
          <w:vertAlign w:val="baseline"/>
        </w:rPr>
        <w:footnoteRef/>
      </w:r>
      <w:r w:rsidRPr="00487E97">
        <w:rPr>
          <w:rFonts w:ascii="Traditional Arabic" w:hAnsi="Traditional Arabic"/>
          <w:sz w:val="32"/>
          <w:szCs w:val="32"/>
        </w:rPr>
        <w:t>)</w:t>
      </w:r>
      <w:r w:rsidRPr="00487E97">
        <w:rPr>
          <w:rFonts w:ascii="Traditional Arabic" w:hAnsi="Traditional Arabic"/>
          <w:sz w:val="32"/>
          <w:szCs w:val="32"/>
          <w:rtl/>
        </w:rPr>
        <w:t xml:space="preserve">) </w:t>
      </w:r>
      <w:r w:rsidRPr="00487E97">
        <w:rPr>
          <w:rFonts w:ascii="Traditional Arabic" w:hAnsi="Traditional Arabic" w:hint="cs"/>
          <w:sz w:val="32"/>
          <w:szCs w:val="32"/>
          <w:rtl/>
        </w:rPr>
        <w:t>انظر الشرح الممتع (8/210-213).</w:t>
      </w:r>
    </w:p>
  </w:footnote>
  <w:footnote w:id="588">
    <w:p w:rsidR="000D3D21" w:rsidRPr="00487E97" w:rsidRDefault="000D3D21" w:rsidP="00F13303">
      <w:pPr>
        <w:pStyle w:val="a7"/>
        <w:rPr>
          <w:rFonts w:ascii="Traditional Arabic" w:hAnsi="Traditional Arabic"/>
          <w:sz w:val="32"/>
          <w:szCs w:val="32"/>
          <w:rtl/>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ascii="Traditional Arabic" w:hAnsi="Traditional Arabic" w:hint="cs"/>
          <w:sz w:val="32"/>
          <w:szCs w:val="32"/>
          <w:rtl/>
        </w:rPr>
        <w:t xml:space="preserve"> </w:t>
      </w:r>
      <w:r w:rsidRPr="00487E97">
        <w:rPr>
          <w:rFonts w:ascii="Traditional Arabic" w:hAnsi="Traditional Arabic" w:hint="cs"/>
          <w:sz w:val="32"/>
          <w:szCs w:val="32"/>
          <w:rtl/>
        </w:rPr>
        <w:t xml:space="preserve">انظر المرجع السابق (8/213). </w:t>
      </w:r>
    </w:p>
  </w:footnote>
  <w:footnote w:id="589">
    <w:p w:rsidR="000D3D21" w:rsidRPr="00487E97" w:rsidRDefault="000D3D21" w:rsidP="00F13303">
      <w:pPr>
        <w:pStyle w:val="a7"/>
        <w:rPr>
          <w:sz w:val="32"/>
          <w:szCs w:val="32"/>
          <w:rtl/>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hint="cs"/>
          <w:sz w:val="32"/>
          <w:szCs w:val="32"/>
          <w:rtl/>
        </w:rPr>
        <w:t xml:space="preserve"> </w:t>
      </w:r>
      <w:r w:rsidRPr="00487E97">
        <w:rPr>
          <w:rFonts w:hint="cs"/>
          <w:sz w:val="32"/>
          <w:szCs w:val="32"/>
          <w:rtl/>
        </w:rPr>
        <w:t>انظر المرجع السابق (9/32).</w:t>
      </w:r>
    </w:p>
  </w:footnote>
  <w:footnote w:id="590">
    <w:p w:rsidR="000D3D21" w:rsidRPr="00487E97" w:rsidRDefault="000D3D21" w:rsidP="00F13303">
      <w:pPr>
        <w:pStyle w:val="a7"/>
        <w:rPr>
          <w:rFonts w:ascii="Traditional Arabic" w:hAnsi="Traditional Arabic"/>
          <w:sz w:val="32"/>
          <w:szCs w:val="32"/>
          <w:rtl/>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ascii="Traditional Arabic" w:hAnsi="Traditional Arabic"/>
          <w:sz w:val="32"/>
          <w:szCs w:val="32"/>
          <w:rtl/>
        </w:rPr>
        <w:t xml:space="preserve"> و</w:t>
      </w:r>
      <w:r w:rsidRPr="00487E97">
        <w:rPr>
          <w:rFonts w:ascii="Traditional Arabic" w:hAnsi="Traditional Arabic" w:hint="cs"/>
          <w:sz w:val="32"/>
          <w:szCs w:val="32"/>
          <w:rtl/>
        </w:rPr>
        <w:t>هو ما بدا صلاحه؛ لأن بيع الثمرة بعد بُدُوِّ صلاحها جائز.</w:t>
      </w:r>
      <w:r>
        <w:rPr>
          <w:rFonts w:ascii="Traditional Arabic" w:hAnsi="Traditional Arabic" w:hint="cs"/>
          <w:sz w:val="32"/>
          <w:szCs w:val="32"/>
          <w:rtl/>
        </w:rPr>
        <w:t xml:space="preserve"> </w:t>
      </w:r>
      <w:r w:rsidRPr="00487E97">
        <w:rPr>
          <w:rFonts w:ascii="Traditional Arabic" w:hAnsi="Traditional Arabic" w:hint="cs"/>
          <w:sz w:val="32"/>
          <w:szCs w:val="32"/>
          <w:rtl/>
        </w:rPr>
        <w:t>انظر المرجع السابق (9/35).</w:t>
      </w:r>
    </w:p>
  </w:footnote>
  <w:footnote w:id="591">
    <w:p w:rsidR="000D3D21" w:rsidRPr="00487E97" w:rsidRDefault="000D3D21" w:rsidP="00F13303">
      <w:pPr>
        <w:widowControl/>
        <w:autoSpaceDE w:val="0"/>
        <w:autoSpaceDN w:val="0"/>
        <w:adjustRightInd w:val="0"/>
        <w:ind w:firstLine="0"/>
        <w:jc w:val="left"/>
        <w:rPr>
          <w:rFonts w:ascii="Traditional Arabic" w:hAnsi="Traditional Arabic"/>
          <w:sz w:val="32"/>
          <w:szCs w:val="32"/>
          <w:rtl/>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ascii="Traditional Arabic" w:hAnsi="Traditional Arabic" w:hint="cs"/>
          <w:sz w:val="32"/>
          <w:szCs w:val="32"/>
          <w:rtl/>
        </w:rPr>
        <w:t xml:space="preserve"> </w:t>
      </w:r>
      <w:r w:rsidRPr="00487E97">
        <w:rPr>
          <w:rFonts w:ascii="Traditional Arabic" w:hAnsi="Traditional Arabic" w:hint="cs"/>
          <w:sz w:val="32"/>
          <w:szCs w:val="32"/>
          <w:rtl/>
        </w:rPr>
        <w:t>ل</w:t>
      </w:r>
      <w:r w:rsidRPr="00487E97">
        <w:rPr>
          <w:rFonts w:ascii="Traditional Arabic" w:hAnsi="Traditional Arabic"/>
          <w:sz w:val="32"/>
          <w:szCs w:val="32"/>
          <w:rtl/>
        </w:rPr>
        <w:t>أن هذه الثمرة الأخيرة وقع عليها العقد قبل أن توجد،</w:t>
      </w:r>
      <w:r w:rsidRPr="00487E97">
        <w:rPr>
          <w:rFonts w:ascii="Traditional Arabic" w:hAnsi="Traditional Arabic" w:hint="cs"/>
          <w:sz w:val="32"/>
          <w:szCs w:val="32"/>
          <w:rtl/>
        </w:rPr>
        <w:t xml:space="preserve"> فيكون بيعُها من بيع المعدوم،</w:t>
      </w:r>
      <w:r w:rsidRPr="00487E97">
        <w:rPr>
          <w:rFonts w:ascii="Traditional Arabic" w:hAnsi="Traditional Arabic"/>
          <w:sz w:val="32"/>
          <w:szCs w:val="32"/>
          <w:rtl/>
        </w:rPr>
        <w:t xml:space="preserve"> أو وقع العقد عليها </w:t>
      </w:r>
      <w:r w:rsidRPr="00487E97">
        <w:rPr>
          <w:rFonts w:ascii="Traditional Arabic" w:hAnsi="Traditional Arabic" w:hint="cs"/>
          <w:sz w:val="32"/>
          <w:szCs w:val="32"/>
          <w:rtl/>
        </w:rPr>
        <w:t>-</w:t>
      </w:r>
      <w:r w:rsidRPr="00487E97">
        <w:rPr>
          <w:rFonts w:ascii="Traditional Arabic" w:hAnsi="Traditional Arabic"/>
          <w:sz w:val="32"/>
          <w:szCs w:val="32"/>
          <w:rtl/>
        </w:rPr>
        <w:t>إن كانت قد و</w:t>
      </w:r>
      <w:r w:rsidRPr="00487E97">
        <w:rPr>
          <w:rFonts w:ascii="Traditional Arabic" w:hAnsi="Traditional Arabic" w:hint="cs"/>
          <w:sz w:val="32"/>
          <w:szCs w:val="32"/>
          <w:rtl/>
        </w:rPr>
        <w:t>ُ</w:t>
      </w:r>
      <w:r w:rsidRPr="00487E97">
        <w:rPr>
          <w:rFonts w:ascii="Traditional Arabic" w:hAnsi="Traditional Arabic"/>
          <w:sz w:val="32"/>
          <w:szCs w:val="32"/>
          <w:rtl/>
        </w:rPr>
        <w:t>جدت</w:t>
      </w:r>
      <w:r w:rsidRPr="00487E97">
        <w:rPr>
          <w:rFonts w:ascii="Traditional Arabic" w:hAnsi="Traditional Arabic" w:hint="cs"/>
          <w:sz w:val="32"/>
          <w:szCs w:val="32"/>
          <w:rtl/>
        </w:rPr>
        <w:t>-</w:t>
      </w:r>
      <w:r w:rsidRPr="00487E97">
        <w:rPr>
          <w:rFonts w:ascii="Traditional Arabic" w:hAnsi="Traditional Arabic"/>
          <w:sz w:val="32"/>
          <w:szCs w:val="32"/>
          <w:rtl/>
        </w:rPr>
        <w:t xml:space="preserve"> قبل ب</w:t>
      </w:r>
      <w:r w:rsidRPr="00487E97">
        <w:rPr>
          <w:rFonts w:ascii="Traditional Arabic" w:hAnsi="Traditional Arabic" w:hint="cs"/>
          <w:sz w:val="32"/>
          <w:szCs w:val="32"/>
          <w:rtl/>
        </w:rPr>
        <w:t>ُ</w:t>
      </w:r>
      <w:r w:rsidRPr="00487E97">
        <w:rPr>
          <w:rFonts w:ascii="Traditional Arabic" w:hAnsi="Traditional Arabic"/>
          <w:sz w:val="32"/>
          <w:szCs w:val="32"/>
          <w:rtl/>
        </w:rPr>
        <w:t>دو</w:t>
      </w:r>
      <w:r w:rsidRPr="00487E97">
        <w:rPr>
          <w:rFonts w:ascii="Traditional Arabic" w:hAnsi="Traditional Arabic" w:hint="cs"/>
          <w:sz w:val="32"/>
          <w:szCs w:val="32"/>
          <w:rtl/>
        </w:rPr>
        <w:t>ّ</w:t>
      </w:r>
      <w:r w:rsidRPr="00487E97">
        <w:rPr>
          <w:rFonts w:ascii="Traditional Arabic" w:hAnsi="Traditional Arabic"/>
          <w:sz w:val="32"/>
          <w:szCs w:val="32"/>
          <w:rtl/>
        </w:rPr>
        <w:t xml:space="preserve"> صلاحها</w:t>
      </w:r>
      <w:r w:rsidRPr="00487E97">
        <w:rPr>
          <w:rFonts w:ascii="Traditional Arabic" w:hAnsi="Traditional Arabic" w:hint="cs"/>
          <w:sz w:val="32"/>
          <w:szCs w:val="32"/>
          <w:rtl/>
        </w:rPr>
        <w:t>،</w:t>
      </w:r>
      <w:r>
        <w:rPr>
          <w:rFonts w:ascii="Traditional Arabic" w:hAnsi="Traditional Arabic" w:hint="cs"/>
          <w:sz w:val="32"/>
          <w:szCs w:val="32"/>
          <w:rtl/>
        </w:rPr>
        <w:t xml:space="preserve"> و</w:t>
      </w:r>
      <w:r w:rsidRPr="00487E97">
        <w:rPr>
          <w:rFonts w:ascii="Traditional Arabic" w:hAnsi="Traditional Arabic" w:hint="cs"/>
          <w:sz w:val="32"/>
          <w:szCs w:val="32"/>
          <w:rtl/>
        </w:rPr>
        <w:t>في كلتا الحالتين يحرُم بيعُها، لورود النهي عن بيع ما لا يملك،</w:t>
      </w:r>
      <w:r>
        <w:rPr>
          <w:rFonts w:ascii="Traditional Arabic" w:hAnsi="Traditional Arabic" w:hint="cs"/>
          <w:sz w:val="32"/>
          <w:szCs w:val="32"/>
          <w:rtl/>
        </w:rPr>
        <w:t xml:space="preserve"> و</w:t>
      </w:r>
      <w:r w:rsidRPr="00487E97">
        <w:rPr>
          <w:rFonts w:ascii="Traditional Arabic" w:hAnsi="Traditional Arabic" w:hint="cs"/>
          <w:sz w:val="32"/>
          <w:szCs w:val="32"/>
          <w:rtl/>
        </w:rPr>
        <w:t>عن بيع الثمار قبل بدو صلاحها. انظر المرجع السابق (9/23، 32-33).</w:t>
      </w:r>
    </w:p>
  </w:footnote>
  <w:footnote w:id="592">
    <w:p w:rsidR="000D3D21" w:rsidRPr="00487E97" w:rsidRDefault="000D3D21" w:rsidP="00D87E43">
      <w:pPr>
        <w:widowControl/>
        <w:autoSpaceDE w:val="0"/>
        <w:autoSpaceDN w:val="0"/>
        <w:adjustRightInd w:val="0"/>
        <w:ind w:firstLine="0"/>
        <w:jc w:val="left"/>
        <w:rPr>
          <w:sz w:val="32"/>
          <w:szCs w:val="32"/>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hint="cs"/>
          <w:sz w:val="32"/>
          <w:szCs w:val="32"/>
          <w:rtl/>
        </w:rPr>
        <w:t xml:space="preserve"> انظر المرجع السابق (9/32). و</w:t>
      </w:r>
      <w:r w:rsidRPr="00487E97">
        <w:rPr>
          <w:rFonts w:hint="cs"/>
          <w:sz w:val="32"/>
          <w:szCs w:val="32"/>
          <w:rtl/>
        </w:rPr>
        <w:t xml:space="preserve">هذا التعليل ذكره الشيخ ابن عثيمين </w:t>
      </w:r>
      <w:r>
        <w:rPr>
          <w:rFonts w:hint="cs"/>
          <w:sz w:val="32"/>
          <w:szCs w:val="32"/>
          <w:rtl/>
        </w:rPr>
        <w:t>_</w:t>
      </w:r>
      <w:r>
        <w:rPr>
          <w:rFonts w:ascii="Traditional Arabic" w:hAnsi="Traditional Arabic" w:cs="CTraditional Arabic" w:hint="cs"/>
          <w:rtl/>
        </w:rPr>
        <w:t>/</w:t>
      </w:r>
      <w:r>
        <w:rPr>
          <w:rFonts w:hint="cs"/>
          <w:sz w:val="32"/>
          <w:szCs w:val="32"/>
          <w:rtl/>
        </w:rPr>
        <w:t>_</w:t>
      </w:r>
      <w:r w:rsidRPr="00487E97">
        <w:rPr>
          <w:rFonts w:hint="cs"/>
          <w:sz w:val="32"/>
          <w:szCs w:val="32"/>
          <w:rtl/>
        </w:rPr>
        <w:t xml:space="preserve"> عند بيان ما ذهب إليه صاحب المتن،</w:t>
      </w:r>
      <w:r>
        <w:rPr>
          <w:rFonts w:hint="cs"/>
          <w:sz w:val="32"/>
          <w:szCs w:val="32"/>
          <w:rtl/>
        </w:rPr>
        <w:t xml:space="preserve"> و</w:t>
      </w:r>
      <w:r w:rsidRPr="00487E97">
        <w:rPr>
          <w:rFonts w:hint="cs"/>
          <w:sz w:val="32"/>
          <w:szCs w:val="32"/>
          <w:rtl/>
        </w:rPr>
        <w:t>إن كان قد رجّح أنه لو تَنازل مَن له الثمرة الثانية عن حقه أو اصطلحا على شيء، فإن البيع يصحّ؛ لأن الحق بينهما،</w:t>
      </w:r>
      <w:r>
        <w:rPr>
          <w:rFonts w:hint="cs"/>
          <w:sz w:val="32"/>
          <w:szCs w:val="32"/>
          <w:rtl/>
        </w:rPr>
        <w:t xml:space="preserve"> </w:t>
      </w:r>
      <w:r w:rsidRPr="00487E97">
        <w:rPr>
          <w:rFonts w:hint="cs"/>
          <w:sz w:val="32"/>
          <w:szCs w:val="32"/>
          <w:rtl/>
        </w:rPr>
        <w:t>و المسألة هنا من باب الهبة، لا من باب البيع،</w:t>
      </w:r>
      <w:r>
        <w:rPr>
          <w:rFonts w:hint="cs"/>
          <w:sz w:val="32"/>
          <w:szCs w:val="32"/>
          <w:rtl/>
        </w:rPr>
        <w:t xml:space="preserve"> و</w:t>
      </w:r>
      <w:r w:rsidRPr="00487E97">
        <w:rPr>
          <w:rFonts w:hint="cs"/>
          <w:sz w:val="32"/>
          <w:szCs w:val="32"/>
          <w:rtl/>
        </w:rPr>
        <w:t>هِبة الثمرة قبل</w:t>
      </w:r>
      <w:r>
        <w:rPr>
          <w:rFonts w:hint="cs"/>
          <w:sz w:val="32"/>
          <w:szCs w:val="32"/>
          <w:rtl/>
        </w:rPr>
        <w:t xml:space="preserve"> </w:t>
      </w:r>
      <w:r w:rsidRPr="00487E97">
        <w:rPr>
          <w:rFonts w:hint="cs"/>
          <w:sz w:val="32"/>
          <w:szCs w:val="32"/>
          <w:rtl/>
        </w:rPr>
        <w:t>وجودها</w:t>
      </w:r>
      <w:r>
        <w:rPr>
          <w:rFonts w:hint="cs"/>
          <w:sz w:val="32"/>
          <w:szCs w:val="32"/>
          <w:rtl/>
        </w:rPr>
        <w:t xml:space="preserve"> </w:t>
      </w:r>
      <w:r w:rsidRPr="00487E97">
        <w:rPr>
          <w:rFonts w:hint="cs"/>
          <w:sz w:val="32"/>
          <w:szCs w:val="32"/>
          <w:rtl/>
        </w:rPr>
        <w:t>أو قبل بدو</w:t>
      </w:r>
      <w:r>
        <w:rPr>
          <w:rFonts w:hint="cs"/>
          <w:sz w:val="32"/>
          <w:szCs w:val="32"/>
          <w:rtl/>
        </w:rPr>
        <w:t>ِّ</w:t>
      </w:r>
      <w:r w:rsidRPr="00487E97">
        <w:rPr>
          <w:rFonts w:hint="cs"/>
          <w:sz w:val="32"/>
          <w:szCs w:val="32"/>
          <w:rtl/>
        </w:rPr>
        <w:t xml:space="preserve"> صلاحها لا غرر فيه</w:t>
      </w:r>
      <w:r>
        <w:rPr>
          <w:rFonts w:hint="cs"/>
          <w:sz w:val="32"/>
          <w:szCs w:val="32"/>
          <w:rtl/>
        </w:rPr>
        <w:t xml:space="preserve"> و</w:t>
      </w:r>
      <w:r w:rsidRPr="00487E97">
        <w:rPr>
          <w:rFonts w:hint="cs"/>
          <w:sz w:val="32"/>
          <w:szCs w:val="32"/>
          <w:rtl/>
        </w:rPr>
        <w:t>لا جهالة،</w:t>
      </w:r>
      <w:r>
        <w:rPr>
          <w:rFonts w:hint="cs"/>
          <w:sz w:val="32"/>
          <w:szCs w:val="32"/>
          <w:rtl/>
        </w:rPr>
        <w:t xml:space="preserve"> و</w:t>
      </w:r>
      <w:r w:rsidRPr="00487E97">
        <w:rPr>
          <w:rFonts w:hint="cs"/>
          <w:sz w:val="32"/>
          <w:szCs w:val="32"/>
          <w:rtl/>
        </w:rPr>
        <w:t>لا يؤدي إلى الميسر؛ لأن الواهب متبرّع،</w:t>
      </w:r>
      <w:r>
        <w:rPr>
          <w:rFonts w:hint="cs"/>
          <w:sz w:val="32"/>
          <w:szCs w:val="32"/>
          <w:rtl/>
        </w:rPr>
        <w:t xml:space="preserve"> و</w:t>
      </w:r>
      <w:r w:rsidRPr="00487E97">
        <w:rPr>
          <w:rFonts w:hint="cs"/>
          <w:sz w:val="32"/>
          <w:szCs w:val="32"/>
          <w:rtl/>
        </w:rPr>
        <w:t>الموهوب له إما غانم</w:t>
      </w:r>
      <w:r>
        <w:rPr>
          <w:rFonts w:hint="cs"/>
          <w:sz w:val="32"/>
          <w:szCs w:val="32"/>
          <w:rtl/>
        </w:rPr>
        <w:t xml:space="preserve"> وإما </w:t>
      </w:r>
      <w:r w:rsidRPr="00487E97">
        <w:rPr>
          <w:rFonts w:hint="cs"/>
          <w:sz w:val="32"/>
          <w:szCs w:val="32"/>
          <w:rtl/>
        </w:rPr>
        <w:t>سالم</w:t>
      </w:r>
      <w:r>
        <w:rPr>
          <w:rFonts w:hint="cs"/>
          <w:sz w:val="32"/>
          <w:szCs w:val="32"/>
          <w:rtl/>
        </w:rPr>
        <w:t>.</w:t>
      </w:r>
      <w:r w:rsidRPr="00487E97">
        <w:rPr>
          <w:rFonts w:hint="cs"/>
          <w:sz w:val="32"/>
          <w:szCs w:val="32"/>
          <w:rtl/>
        </w:rPr>
        <w:t>انظر المرجع السابق (9/32-33).</w:t>
      </w:r>
    </w:p>
  </w:footnote>
  <w:footnote w:id="593">
    <w:p w:rsidR="000D3D21" w:rsidRPr="00487E97" w:rsidRDefault="000D3D21" w:rsidP="00C07A7C">
      <w:pPr>
        <w:widowControl/>
        <w:autoSpaceDE w:val="0"/>
        <w:autoSpaceDN w:val="0"/>
        <w:adjustRightInd w:val="0"/>
        <w:ind w:firstLine="0"/>
        <w:jc w:val="left"/>
        <w:rPr>
          <w:rFonts w:ascii="Traditional Arabic" w:hAnsi="Traditional Arabic"/>
          <w:noProof w:val="0"/>
          <w:sz w:val="32"/>
          <w:szCs w:val="32"/>
          <w:rtl/>
          <w:lang w:eastAsia="en-US"/>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hint="cs"/>
          <w:b/>
          <w:bCs/>
          <w:sz w:val="32"/>
          <w:szCs w:val="32"/>
          <w:rtl/>
        </w:rPr>
        <w:t xml:space="preserve"> </w:t>
      </w:r>
      <w:r w:rsidRPr="00487E97">
        <w:rPr>
          <w:rFonts w:hint="cs"/>
          <w:b/>
          <w:bCs/>
          <w:sz w:val="32"/>
          <w:szCs w:val="32"/>
          <w:rtl/>
        </w:rPr>
        <w:t>الوديعة</w:t>
      </w:r>
      <w:r w:rsidR="00AB0B9E">
        <w:rPr>
          <w:b/>
          <w:bCs/>
          <w:sz w:val="32"/>
          <w:szCs w:val="32"/>
          <w:rtl/>
        </w:rPr>
        <w:fldChar w:fldCharType="begin"/>
      </w:r>
      <w:r>
        <w:instrText xml:space="preserve"> XE "</w:instrText>
      </w:r>
      <w:r w:rsidRPr="00C07A7C">
        <w:rPr>
          <w:rFonts w:hint="cs"/>
          <w:sz w:val="32"/>
          <w:szCs w:val="32"/>
          <w:rtl/>
        </w:rPr>
        <w:instrText>الوديعة</w:instrText>
      </w:r>
      <w:r>
        <w:instrText xml:space="preserve">" </w:instrText>
      </w:r>
      <w:r w:rsidRPr="00C07A7C">
        <w:instrText>\fm</w:instrText>
      </w:r>
      <w:r w:rsidR="00AB0B9E">
        <w:rPr>
          <w:b/>
          <w:bCs/>
          <w:sz w:val="32"/>
          <w:szCs w:val="32"/>
          <w:rtl/>
        </w:rPr>
        <w:fldChar w:fldCharType="end"/>
      </w:r>
      <w:r w:rsidRPr="00487E97">
        <w:rPr>
          <w:rFonts w:hint="cs"/>
          <w:b/>
          <w:bCs/>
          <w:sz w:val="32"/>
          <w:szCs w:val="32"/>
          <w:rtl/>
        </w:rPr>
        <w:t xml:space="preserve"> لغة</w:t>
      </w:r>
      <w:r w:rsidRPr="00487E97">
        <w:rPr>
          <w:rFonts w:hint="cs"/>
          <w:color w:val="auto"/>
          <w:sz w:val="32"/>
          <w:szCs w:val="32"/>
          <w:rtl/>
        </w:rPr>
        <w:t>:</w:t>
      </w:r>
      <w:r>
        <w:rPr>
          <w:rFonts w:ascii="Traditional Arabic" w:hAnsi="Traditional Arabic" w:hint="cs"/>
          <w:noProof w:val="0"/>
          <w:color w:val="auto"/>
          <w:sz w:val="32"/>
          <w:szCs w:val="32"/>
          <w:rtl/>
          <w:lang w:eastAsia="en-US"/>
        </w:rPr>
        <w:t xml:space="preserve"> </w:t>
      </w:r>
      <w:r w:rsidRPr="00487E97">
        <w:rPr>
          <w:rFonts w:ascii="Traditional Arabic" w:hAnsi="Traditional Arabic"/>
          <w:noProof w:val="0"/>
          <w:color w:val="auto"/>
          <w:sz w:val="32"/>
          <w:szCs w:val="32"/>
          <w:rtl/>
          <w:lang w:eastAsia="en-US"/>
        </w:rPr>
        <w:t>فعيلة بمعنى مفعولة، من الو</w:t>
      </w:r>
      <w:r w:rsidRPr="00487E97">
        <w:rPr>
          <w:rFonts w:ascii="Traditional Arabic" w:hAnsi="Traditional Arabic" w:hint="cs"/>
          <w:noProof w:val="0"/>
          <w:color w:val="auto"/>
          <w:sz w:val="32"/>
          <w:szCs w:val="32"/>
          <w:rtl/>
          <w:lang w:eastAsia="en-US"/>
        </w:rPr>
        <w:t>َ</w:t>
      </w:r>
      <w:r w:rsidRPr="00487E97">
        <w:rPr>
          <w:rFonts w:ascii="Traditional Arabic" w:hAnsi="Traditional Arabic"/>
          <w:noProof w:val="0"/>
          <w:color w:val="auto"/>
          <w:sz w:val="32"/>
          <w:szCs w:val="32"/>
          <w:rtl/>
          <w:lang w:eastAsia="en-US"/>
        </w:rPr>
        <w:t>د</w:t>
      </w:r>
      <w:r w:rsidRPr="00487E97">
        <w:rPr>
          <w:rFonts w:ascii="Traditional Arabic" w:hAnsi="Traditional Arabic" w:hint="cs"/>
          <w:noProof w:val="0"/>
          <w:color w:val="auto"/>
          <w:sz w:val="32"/>
          <w:szCs w:val="32"/>
          <w:rtl/>
          <w:lang w:eastAsia="en-US"/>
        </w:rPr>
        <w:t>ْ</w:t>
      </w:r>
      <w:r w:rsidRPr="00487E97">
        <w:rPr>
          <w:rFonts w:ascii="Traditional Arabic" w:hAnsi="Traditional Arabic"/>
          <w:noProof w:val="0"/>
          <w:color w:val="auto"/>
          <w:sz w:val="32"/>
          <w:szCs w:val="32"/>
          <w:rtl/>
          <w:lang w:eastAsia="en-US"/>
        </w:rPr>
        <w:t>ع، وهو: الت</w:t>
      </w:r>
      <w:r w:rsidRPr="00487E97">
        <w:rPr>
          <w:rFonts w:ascii="Traditional Arabic" w:hAnsi="Traditional Arabic" w:hint="cs"/>
          <w:noProof w:val="0"/>
          <w:color w:val="auto"/>
          <w:sz w:val="32"/>
          <w:szCs w:val="32"/>
          <w:rtl/>
          <w:lang w:eastAsia="en-US"/>
        </w:rPr>
        <w:t>َّ</w:t>
      </w:r>
      <w:r w:rsidRPr="00487E97">
        <w:rPr>
          <w:rFonts w:ascii="Traditional Arabic" w:hAnsi="Traditional Arabic"/>
          <w:noProof w:val="0"/>
          <w:color w:val="auto"/>
          <w:sz w:val="32"/>
          <w:szCs w:val="32"/>
          <w:rtl/>
          <w:lang w:eastAsia="en-US"/>
        </w:rPr>
        <w:t>ر</w:t>
      </w:r>
      <w:r w:rsidRPr="00487E97">
        <w:rPr>
          <w:rFonts w:ascii="Traditional Arabic" w:hAnsi="Traditional Arabic" w:hint="cs"/>
          <w:noProof w:val="0"/>
          <w:color w:val="auto"/>
          <w:sz w:val="32"/>
          <w:szCs w:val="32"/>
          <w:rtl/>
          <w:lang w:eastAsia="en-US"/>
        </w:rPr>
        <w:t>ْ</w:t>
      </w:r>
      <w:r w:rsidRPr="00487E97">
        <w:rPr>
          <w:rFonts w:ascii="Traditional Arabic" w:hAnsi="Traditional Arabic"/>
          <w:noProof w:val="0"/>
          <w:color w:val="auto"/>
          <w:sz w:val="32"/>
          <w:szCs w:val="32"/>
          <w:rtl/>
          <w:lang w:eastAsia="en-US"/>
        </w:rPr>
        <w:t>ك</w:t>
      </w:r>
      <w:r w:rsidRPr="00487E97">
        <w:rPr>
          <w:rFonts w:ascii="Traditional Arabic" w:hAnsi="Traditional Arabic" w:hint="cs"/>
          <w:b/>
          <w:bCs/>
          <w:noProof w:val="0"/>
          <w:sz w:val="32"/>
          <w:szCs w:val="32"/>
          <w:rtl/>
          <w:lang w:eastAsia="en-US"/>
        </w:rPr>
        <w:t>،</w:t>
      </w:r>
      <w:r w:rsidRPr="00487E97">
        <w:rPr>
          <w:rFonts w:ascii="Traditional Arabic" w:hAnsi="Traditional Arabic" w:hint="cs"/>
          <w:noProof w:val="0"/>
          <w:sz w:val="32"/>
          <w:szCs w:val="32"/>
          <w:rtl/>
          <w:lang w:eastAsia="en-US"/>
        </w:rPr>
        <w:t>فكأنَّ الوديعةَ</w:t>
      </w:r>
      <w:r w:rsidRPr="00487E97">
        <w:rPr>
          <w:rFonts w:ascii="Traditional Arabic" w:hAnsi="Traditional Arabic"/>
          <w:noProof w:val="0"/>
          <w:sz w:val="32"/>
          <w:szCs w:val="32"/>
          <w:rtl/>
          <w:lang w:eastAsia="en-US"/>
        </w:rPr>
        <w:t xml:space="preserve"> م</w:t>
      </w:r>
      <w:r w:rsidRPr="00487E97">
        <w:rPr>
          <w:rFonts w:ascii="Traditional Arabic" w:hAnsi="Traditional Arabic" w:hint="cs"/>
          <w:noProof w:val="0"/>
          <w:sz w:val="32"/>
          <w:szCs w:val="32"/>
          <w:rtl/>
          <w:lang w:eastAsia="en-US"/>
        </w:rPr>
        <w:t>َ</w:t>
      </w:r>
      <w:r w:rsidRPr="00487E97">
        <w:rPr>
          <w:rFonts w:ascii="Traditional Arabic" w:hAnsi="Traditional Arabic"/>
          <w:noProof w:val="0"/>
          <w:sz w:val="32"/>
          <w:szCs w:val="32"/>
          <w:rtl/>
          <w:lang w:eastAsia="en-US"/>
        </w:rPr>
        <w:t>ت</w:t>
      </w:r>
      <w:r w:rsidRPr="00487E97">
        <w:rPr>
          <w:rFonts w:ascii="Traditional Arabic" w:hAnsi="Traditional Arabic" w:hint="cs"/>
          <w:noProof w:val="0"/>
          <w:sz w:val="32"/>
          <w:szCs w:val="32"/>
          <w:rtl/>
          <w:lang w:eastAsia="en-US"/>
        </w:rPr>
        <w:t>ْ</w:t>
      </w:r>
      <w:r w:rsidRPr="00487E97">
        <w:rPr>
          <w:rFonts w:ascii="Traditional Arabic" w:hAnsi="Traditional Arabic"/>
          <w:noProof w:val="0"/>
          <w:sz w:val="32"/>
          <w:szCs w:val="32"/>
          <w:rtl/>
          <w:lang w:eastAsia="en-US"/>
        </w:rPr>
        <w:t>روكة عند المود</w:t>
      </w:r>
      <w:r w:rsidRPr="00487E97">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ع</w:t>
      </w:r>
      <w:r w:rsidRPr="00487E97">
        <w:rPr>
          <w:rFonts w:ascii="Traditional Arabic" w:hAnsi="Traditional Arabic"/>
          <w:b/>
          <w:bCs/>
          <w:noProof w:val="0"/>
          <w:sz w:val="32"/>
          <w:szCs w:val="32"/>
          <w:rtl/>
          <w:lang w:eastAsia="en-US"/>
        </w:rPr>
        <w:t>.</w:t>
      </w:r>
      <w:r w:rsidRPr="00487E97">
        <w:rPr>
          <w:rFonts w:ascii="Traditional Arabic" w:hAnsi="Traditional Arabic" w:hint="cs"/>
          <w:noProof w:val="0"/>
          <w:sz w:val="32"/>
          <w:szCs w:val="32"/>
          <w:rtl/>
          <w:lang w:eastAsia="en-US"/>
        </w:rPr>
        <w:t>انظر المطلع على أبواب المقنع (279)،</w:t>
      </w:r>
      <w:r>
        <w:rPr>
          <w:rFonts w:ascii="Traditional Arabic" w:hAnsi="Traditional Arabic" w:hint="cs"/>
          <w:noProof w:val="0"/>
          <w:sz w:val="32"/>
          <w:szCs w:val="32"/>
          <w:rtl/>
          <w:lang w:eastAsia="en-US"/>
        </w:rPr>
        <w:t xml:space="preserve"> و</w:t>
      </w:r>
      <w:r w:rsidRPr="00487E97">
        <w:rPr>
          <w:rFonts w:ascii="Traditional Arabic" w:hAnsi="Traditional Arabic" w:hint="cs"/>
          <w:noProof w:val="0"/>
          <w:sz w:val="32"/>
          <w:szCs w:val="32"/>
          <w:rtl/>
          <w:lang w:eastAsia="en-US"/>
        </w:rPr>
        <w:t>أنيس الفقهاء (244).</w:t>
      </w:r>
    </w:p>
    <w:p w:rsidR="000D3D21" w:rsidRPr="00487E97" w:rsidRDefault="000D3D21" w:rsidP="0024767F">
      <w:pPr>
        <w:widowControl/>
        <w:autoSpaceDE w:val="0"/>
        <w:autoSpaceDN w:val="0"/>
        <w:adjustRightInd w:val="0"/>
        <w:ind w:firstLine="0"/>
        <w:jc w:val="left"/>
        <w:rPr>
          <w:rFonts w:ascii="Traditional Arabic" w:hAnsi="Traditional Arabic"/>
          <w:noProof w:val="0"/>
          <w:sz w:val="32"/>
          <w:szCs w:val="32"/>
          <w:rtl/>
          <w:lang w:eastAsia="en-US"/>
        </w:rPr>
      </w:pPr>
      <w:r>
        <w:rPr>
          <w:rFonts w:ascii="Traditional Arabic" w:hAnsi="Traditional Arabic" w:hint="cs"/>
          <w:b/>
          <w:bCs/>
          <w:noProof w:val="0"/>
          <w:sz w:val="32"/>
          <w:szCs w:val="32"/>
          <w:rtl/>
          <w:lang w:eastAsia="en-US"/>
        </w:rPr>
        <w:t xml:space="preserve">     </w:t>
      </w:r>
      <w:r w:rsidRPr="00487E97">
        <w:rPr>
          <w:rFonts w:ascii="Traditional Arabic" w:hAnsi="Traditional Arabic" w:hint="cs"/>
          <w:b/>
          <w:bCs/>
          <w:noProof w:val="0"/>
          <w:sz w:val="32"/>
          <w:szCs w:val="32"/>
          <w:rtl/>
          <w:lang w:eastAsia="en-US"/>
        </w:rPr>
        <w:t xml:space="preserve">الوديعة شرعا: </w:t>
      </w:r>
      <w:r>
        <w:rPr>
          <w:rFonts w:ascii="Traditional Arabic" w:hAnsi="Traditional Arabic"/>
          <w:noProof w:val="0"/>
          <w:sz w:val="32"/>
          <w:szCs w:val="32"/>
          <w:rtl/>
          <w:lang w:eastAsia="en-US"/>
        </w:rPr>
        <w:t>اسم للمال أو المختص</w:t>
      </w:r>
      <w:r w:rsidRPr="0024767F">
        <w:rPr>
          <w:rFonts w:ascii="Traditional Arabic" w:hAnsi="Traditional Arabic"/>
          <w:noProof w:val="0"/>
          <w:sz w:val="32"/>
          <w:szCs w:val="32"/>
          <w:rtl/>
          <w:lang w:eastAsia="en-US"/>
        </w:rPr>
        <w:t xml:space="preserve"> المدفوع إلى من يحفظه بلا عوض</w:t>
      </w:r>
      <w:r>
        <w:rPr>
          <w:rFonts w:ascii="Traditional Arabic" w:hAnsi="Traditional Arabic" w:hint="cs"/>
          <w:noProof w:val="0"/>
          <w:sz w:val="32"/>
          <w:szCs w:val="32"/>
          <w:rtl/>
          <w:lang w:eastAsia="en-US"/>
        </w:rPr>
        <w:t>. كشاف القناع (3/383) بتصرف.</w:t>
      </w:r>
    </w:p>
  </w:footnote>
  <w:footnote w:id="594">
    <w:p w:rsidR="000D3D21" w:rsidRPr="00487E97" w:rsidRDefault="000D3D21" w:rsidP="00F13303">
      <w:pPr>
        <w:widowControl/>
        <w:autoSpaceDE w:val="0"/>
        <w:autoSpaceDN w:val="0"/>
        <w:adjustRightInd w:val="0"/>
        <w:ind w:firstLine="0"/>
        <w:jc w:val="left"/>
        <w:rPr>
          <w:sz w:val="32"/>
          <w:szCs w:val="32"/>
          <w:rtl/>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hint="cs"/>
          <w:sz w:val="32"/>
          <w:szCs w:val="32"/>
          <w:rtl/>
        </w:rPr>
        <w:t xml:space="preserve"> انظر الشرح الممتع</w:t>
      </w:r>
      <w:r w:rsidRPr="00487E97">
        <w:rPr>
          <w:rFonts w:hint="cs"/>
          <w:sz w:val="32"/>
          <w:szCs w:val="32"/>
          <w:rtl/>
        </w:rPr>
        <w:t xml:space="preserve"> (10/297-298).</w:t>
      </w:r>
    </w:p>
  </w:footnote>
  <w:footnote w:id="595">
    <w:p w:rsidR="000D3D21" w:rsidRPr="00487E97" w:rsidRDefault="000D3D21" w:rsidP="00F13303">
      <w:pPr>
        <w:widowControl/>
        <w:autoSpaceDE w:val="0"/>
        <w:autoSpaceDN w:val="0"/>
        <w:adjustRightInd w:val="0"/>
        <w:ind w:firstLine="0"/>
        <w:jc w:val="left"/>
        <w:rPr>
          <w:sz w:val="32"/>
          <w:szCs w:val="32"/>
          <w:rtl/>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hint="cs"/>
          <w:sz w:val="32"/>
          <w:szCs w:val="32"/>
          <w:rtl/>
        </w:rPr>
        <w:t xml:space="preserve"> </w:t>
      </w:r>
      <w:r w:rsidRPr="00487E97">
        <w:rPr>
          <w:rFonts w:hint="cs"/>
          <w:sz w:val="32"/>
          <w:szCs w:val="32"/>
          <w:rtl/>
        </w:rPr>
        <w:t>انظر المرجع السابق (10/299).</w:t>
      </w:r>
    </w:p>
  </w:footnote>
  <w:footnote w:id="596">
    <w:p w:rsidR="000D3D21" w:rsidRPr="00C376A8" w:rsidRDefault="000D3D21" w:rsidP="00C376A8">
      <w:pPr>
        <w:widowControl/>
        <w:autoSpaceDE w:val="0"/>
        <w:autoSpaceDN w:val="0"/>
        <w:adjustRightInd w:val="0"/>
        <w:ind w:firstLine="0"/>
        <w:jc w:val="left"/>
        <w:rPr>
          <w:sz w:val="32"/>
          <w:szCs w:val="32"/>
        </w:rPr>
      </w:pPr>
      <w:r w:rsidRPr="00C376A8">
        <w:rPr>
          <w:rFonts w:ascii="Traditional Arabic" w:hAnsi="Traditional Arabic"/>
          <w:sz w:val="32"/>
          <w:szCs w:val="32"/>
        </w:rPr>
        <w:footnoteRef/>
      </w:r>
      <w:r w:rsidRPr="00C376A8">
        <w:rPr>
          <w:rFonts w:ascii="Traditional Arabic" w:hAnsi="Traditional Arabic"/>
          <w:sz w:val="32"/>
          <w:szCs w:val="32"/>
        </w:rPr>
        <w:t>)</w:t>
      </w:r>
      <w:r w:rsidRPr="00C376A8">
        <w:rPr>
          <w:rFonts w:ascii="Traditional Arabic" w:hAnsi="Traditional Arabic" w:hint="cs"/>
          <w:sz w:val="32"/>
          <w:szCs w:val="32"/>
          <w:rtl/>
        </w:rPr>
        <w:t>)</w:t>
      </w:r>
      <w:r w:rsidRPr="00C376A8">
        <w:rPr>
          <w:rFonts w:ascii="Traditional Arabic" w:hAnsi="Traditional Arabic"/>
          <w:sz w:val="32"/>
          <w:szCs w:val="32"/>
          <w:rtl/>
        </w:rPr>
        <w:t xml:space="preserve"> </w:t>
      </w:r>
      <w:r w:rsidRPr="00C376A8">
        <w:rPr>
          <w:rFonts w:hint="cs"/>
          <w:sz w:val="32"/>
          <w:szCs w:val="32"/>
          <w:rtl/>
        </w:rPr>
        <w:t xml:space="preserve">انظر: الفروق للقرافي (2/64)، ورفع النقاب عن تنقيح الشهاب </w:t>
      </w:r>
      <w:r w:rsidRPr="00C376A8">
        <w:rPr>
          <w:rFonts w:ascii="Traditional Arabic" w:hAnsi="Traditional Arabic" w:hint="cs"/>
          <w:sz w:val="32"/>
          <w:szCs w:val="32"/>
          <w:rtl/>
        </w:rPr>
        <w:t xml:space="preserve">لأبي علي حسين بن علي الرجراجي </w:t>
      </w:r>
      <w:r w:rsidRPr="00C376A8">
        <w:rPr>
          <w:rFonts w:hint="cs"/>
          <w:sz w:val="32"/>
          <w:szCs w:val="32"/>
          <w:rtl/>
        </w:rPr>
        <w:t>(6/215).</w:t>
      </w:r>
    </w:p>
  </w:footnote>
  <w:footnote w:id="597">
    <w:p w:rsidR="000D3D21" w:rsidRPr="00CD6B7B" w:rsidRDefault="000D3D21" w:rsidP="00C376A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6B7B">
        <w:rPr>
          <w:rFonts w:ascii="Traditional Arabic" w:hAnsi="Traditional Arabic"/>
          <w:sz w:val="32"/>
          <w:szCs w:val="32"/>
          <w:rtl/>
        </w:rPr>
        <w:t>انظر الفروق للقرافي</w:t>
      </w:r>
      <w:r>
        <w:rPr>
          <w:rFonts w:ascii="Traditional Arabic" w:hAnsi="Traditional Arabic" w:hint="cs"/>
          <w:sz w:val="32"/>
          <w:szCs w:val="32"/>
          <w:rtl/>
        </w:rPr>
        <w:t xml:space="preserve"> </w:t>
      </w:r>
      <w:r w:rsidRPr="00CD6B7B">
        <w:rPr>
          <w:rFonts w:ascii="Traditional Arabic" w:hAnsi="Traditional Arabic"/>
          <w:sz w:val="32"/>
          <w:szCs w:val="32"/>
          <w:rtl/>
        </w:rPr>
        <w:t>(2/64)</w:t>
      </w:r>
      <w:r>
        <w:rPr>
          <w:rFonts w:ascii="Traditional Arabic" w:hAnsi="Traditional Arabic" w:hint="cs"/>
          <w:sz w:val="32"/>
          <w:szCs w:val="32"/>
          <w:rtl/>
        </w:rPr>
        <w:t>، ورفع النقاب عن تنقيح الشهاب (6/215)</w:t>
      </w:r>
      <w:r w:rsidRPr="00CD6B7B">
        <w:rPr>
          <w:rFonts w:ascii="Traditional Arabic" w:hAnsi="Traditional Arabic"/>
          <w:sz w:val="32"/>
          <w:szCs w:val="32"/>
          <w:rtl/>
        </w:rPr>
        <w:t>.</w:t>
      </w:r>
    </w:p>
  </w:footnote>
  <w:footnote w:id="598">
    <w:p w:rsidR="000D3D21" w:rsidRPr="00BE3CE7" w:rsidRDefault="000D3D21" w:rsidP="001F0B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فروق للقرافي</w:t>
      </w:r>
      <w:r w:rsidRPr="00BE3CE7">
        <w:rPr>
          <w:rFonts w:ascii="Traditional Arabic" w:hAnsi="Traditional Arabic"/>
          <w:sz w:val="32"/>
          <w:szCs w:val="32"/>
          <w:rtl/>
        </w:rPr>
        <w:t xml:space="preserve"> (2/64-65)</w:t>
      </w:r>
      <w:r>
        <w:rPr>
          <w:rFonts w:ascii="Traditional Arabic" w:hAnsi="Traditional Arabic" w:hint="cs"/>
          <w:sz w:val="32"/>
          <w:szCs w:val="32"/>
          <w:rtl/>
        </w:rPr>
        <w:t>، ورفع النقاب عن تنقيح الشهاب (6/215)</w:t>
      </w:r>
      <w:r w:rsidRPr="00BE3CE7">
        <w:rPr>
          <w:rFonts w:ascii="Traditional Arabic" w:hAnsi="Traditional Arabic"/>
          <w:sz w:val="32"/>
          <w:szCs w:val="32"/>
          <w:rtl/>
        </w:rPr>
        <w:t>.</w:t>
      </w:r>
    </w:p>
  </w:footnote>
  <w:footnote w:id="599">
    <w:p w:rsidR="000D3D21" w:rsidRPr="001F0BA3" w:rsidRDefault="000D3D21" w:rsidP="001F0BA3">
      <w:pPr>
        <w:pStyle w:val="a7"/>
        <w:pageBreakBefore/>
        <w:rPr>
          <w:sz w:val="32"/>
          <w:szCs w:val="32"/>
        </w:rPr>
      </w:pPr>
      <w:r w:rsidRPr="001F0BA3">
        <w:rPr>
          <w:rStyle w:val="af1"/>
          <w:rFonts w:ascii="Traditional Arabic" w:hAnsi="Traditional Arabic"/>
          <w:sz w:val="32"/>
          <w:szCs w:val="32"/>
          <w:vertAlign w:val="baseline"/>
        </w:rPr>
        <w:footnoteRef/>
      </w:r>
      <w:r w:rsidRPr="001F0BA3">
        <w:rPr>
          <w:rStyle w:val="af1"/>
          <w:rFonts w:ascii="Traditional Arabic" w:hAnsi="Traditional Arabic"/>
          <w:sz w:val="32"/>
          <w:szCs w:val="32"/>
          <w:vertAlign w:val="baseline"/>
        </w:rPr>
        <w:t>)</w:t>
      </w:r>
      <w:r w:rsidRPr="001F0BA3">
        <w:rPr>
          <w:rStyle w:val="af1"/>
          <w:rFonts w:ascii="Traditional Arabic" w:hAnsi="Traditional Arabic" w:hint="cs"/>
          <w:sz w:val="32"/>
          <w:szCs w:val="32"/>
          <w:vertAlign w:val="baseline"/>
          <w:rtl/>
        </w:rPr>
        <w:t>)</w:t>
      </w:r>
      <w:r w:rsidRPr="001F0BA3">
        <w:rPr>
          <w:rStyle w:val="af1"/>
          <w:rFonts w:ascii="Traditional Arabic" w:hAnsi="Traditional Arabic"/>
          <w:sz w:val="32"/>
          <w:szCs w:val="32"/>
          <w:vertAlign w:val="baseline"/>
          <w:rtl/>
        </w:rPr>
        <w:t xml:space="preserve"> </w:t>
      </w:r>
      <w:r w:rsidRPr="001F0BA3">
        <w:rPr>
          <w:rFonts w:hint="cs"/>
          <w:sz w:val="32"/>
          <w:szCs w:val="32"/>
          <w:rtl/>
        </w:rPr>
        <w:t>رفع النقاب عن تنقيح الشهاب (6/216).</w:t>
      </w:r>
    </w:p>
  </w:footnote>
  <w:footnote w:id="600">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اخترت هذه الصيغة لشهر</w:t>
      </w:r>
      <w:r>
        <w:rPr>
          <w:rFonts w:ascii="Traditional Arabic" w:hAnsi="Traditional Arabic" w:hint="cs"/>
          <w:sz w:val="32"/>
          <w:szCs w:val="32"/>
          <w:rtl/>
        </w:rPr>
        <w:t>ة القاعدة</w:t>
      </w:r>
      <w:r w:rsidRPr="00E14293">
        <w:rPr>
          <w:rFonts w:ascii="Traditional Arabic" w:hAnsi="Traditional Arabic"/>
          <w:sz w:val="32"/>
          <w:szCs w:val="32"/>
          <w:rtl/>
        </w:rPr>
        <w:t xml:space="preserve"> عند العلماء بهذا اللفظ.</w:t>
      </w:r>
    </w:p>
  </w:footnote>
  <w:footnote w:id="601">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الشرح الممتع (4/252).</w:t>
      </w:r>
    </w:p>
  </w:footnote>
  <w:footnote w:id="602">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 xml:space="preserve">المرجع السابق (9/136). </w:t>
      </w:r>
    </w:p>
  </w:footnote>
  <w:footnote w:id="603">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فتح ذي الجلال والإكرام (5/587).</w:t>
      </w:r>
      <w:r>
        <w:rPr>
          <w:rFonts w:ascii="Traditional Arabic" w:hAnsi="Traditional Arabic" w:hint="cs"/>
          <w:sz w:val="32"/>
          <w:szCs w:val="32"/>
          <w:rtl/>
        </w:rPr>
        <w:t xml:space="preserve"> </w:t>
      </w:r>
      <w:r w:rsidRPr="00E14293">
        <w:rPr>
          <w:rFonts w:ascii="Traditional Arabic" w:hAnsi="Traditional Arabic"/>
          <w:sz w:val="32"/>
          <w:szCs w:val="32"/>
          <w:rtl/>
        </w:rPr>
        <w:t>ط/مدار الوطن.</w:t>
      </w:r>
    </w:p>
  </w:footnote>
  <w:footnote w:id="604">
    <w:p w:rsidR="000D3D21" w:rsidRPr="00A41875" w:rsidRDefault="000D3D21" w:rsidP="00236A41">
      <w:pPr>
        <w:pStyle w:val="a7"/>
        <w:pageBreakBefore/>
        <w:rPr>
          <w:rFonts w:ascii="Tahoma" w:hAnsi="Tahoma"/>
          <w:sz w:val="32"/>
          <w:szCs w:val="32"/>
        </w:rPr>
      </w:pPr>
      <w:r w:rsidRPr="00A41875">
        <w:rPr>
          <w:rFonts w:ascii="Tahoma" w:hAnsi="Tahoma"/>
          <w:sz w:val="32"/>
          <w:szCs w:val="32"/>
          <w:rtl/>
        </w:rPr>
        <w:t>(</w:t>
      </w:r>
      <w:r w:rsidRPr="00A41875">
        <w:rPr>
          <w:rStyle w:val="af1"/>
          <w:rFonts w:ascii="Tahoma" w:hAnsi="Tahoma"/>
          <w:sz w:val="32"/>
          <w:szCs w:val="32"/>
          <w:vertAlign w:val="baseline"/>
          <w:rtl/>
        </w:rPr>
        <w:footnoteRef/>
      </w:r>
      <w:r w:rsidRPr="00A41875">
        <w:rPr>
          <w:rFonts w:ascii="Tahoma" w:hAnsi="Tahoma"/>
          <w:sz w:val="32"/>
          <w:szCs w:val="32"/>
          <w:rtl/>
        </w:rPr>
        <w:t>)</w:t>
      </w:r>
      <w:r>
        <w:rPr>
          <w:rFonts w:ascii="Tahoma" w:hAnsi="Tahoma" w:hint="cs"/>
          <w:sz w:val="32"/>
          <w:szCs w:val="32"/>
          <w:rtl/>
        </w:rPr>
        <w:t xml:space="preserve"> المرجع السابق</w:t>
      </w:r>
      <w:r w:rsidRPr="00A41875">
        <w:rPr>
          <w:rFonts w:ascii="Tahoma" w:hAnsi="Tahoma" w:hint="cs"/>
          <w:sz w:val="32"/>
          <w:szCs w:val="32"/>
          <w:rtl/>
        </w:rPr>
        <w:t xml:space="preserve"> (5/175).</w:t>
      </w:r>
    </w:p>
  </w:footnote>
  <w:footnote w:id="605">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المرجع السابق</w:t>
      </w:r>
      <w:r w:rsidRPr="00E14293">
        <w:rPr>
          <w:rFonts w:ascii="Traditional Arabic" w:hAnsi="Traditional Arabic"/>
          <w:sz w:val="32"/>
          <w:szCs w:val="32"/>
          <w:rtl/>
        </w:rPr>
        <w:t xml:space="preserve"> (6/292، 307، 327)، وشرح الأربعين النووية (112، 113)</w:t>
      </w:r>
      <w:r>
        <w:rPr>
          <w:rFonts w:ascii="Traditional Arabic" w:hAnsi="Traditional Arabic" w:hint="cs"/>
          <w:sz w:val="32"/>
          <w:szCs w:val="32"/>
          <w:rtl/>
        </w:rPr>
        <w:t>، وانظر الشرح الممتع (8/427)</w:t>
      </w:r>
      <w:r w:rsidRPr="00E14293">
        <w:rPr>
          <w:rFonts w:ascii="Traditional Arabic" w:hAnsi="Traditional Arabic"/>
          <w:sz w:val="32"/>
          <w:szCs w:val="32"/>
          <w:rtl/>
        </w:rPr>
        <w:t>.</w:t>
      </w:r>
    </w:p>
  </w:footnote>
  <w:footnote w:id="606">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شرح رياض الصالحين (2/293).</w:t>
      </w:r>
    </w:p>
  </w:footnote>
  <w:footnote w:id="607">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الفروق للقرافي (2/61)، و(3/405)، و</w:t>
      </w:r>
      <w:r w:rsidRPr="00E14293">
        <w:rPr>
          <w:rFonts w:ascii="Traditional Arabic" w:hAnsi="Traditional Arabic"/>
          <w:sz w:val="32"/>
          <w:szCs w:val="32"/>
          <w:rtl/>
        </w:rPr>
        <w:t xml:space="preserve">الأشباه والنظائر </w:t>
      </w:r>
      <w:r>
        <w:rPr>
          <w:rFonts w:ascii="Traditional Arabic" w:hAnsi="Traditional Arabic" w:hint="cs"/>
          <w:sz w:val="32"/>
          <w:szCs w:val="32"/>
          <w:rtl/>
        </w:rPr>
        <w:t xml:space="preserve">لابن السبكي </w:t>
      </w:r>
      <w:r w:rsidRPr="00E14293">
        <w:rPr>
          <w:rFonts w:ascii="Traditional Arabic" w:hAnsi="Traditional Arabic"/>
          <w:sz w:val="32"/>
          <w:szCs w:val="32"/>
          <w:rtl/>
        </w:rPr>
        <w:t>(1/119).</w:t>
      </w:r>
    </w:p>
  </w:footnote>
  <w:footnote w:id="608">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القواعد والضوابط الفقهية من كتاب معالم السنن لسلطان حمود العمري (200)،</w:t>
      </w:r>
      <w:r>
        <w:rPr>
          <w:rFonts w:ascii="Traditional Arabic" w:hAnsi="Traditional Arabic"/>
          <w:sz w:val="32"/>
          <w:szCs w:val="32"/>
          <w:rtl/>
        </w:rPr>
        <w:t xml:space="preserve"> و</w:t>
      </w:r>
      <w:r w:rsidRPr="00E14293">
        <w:rPr>
          <w:rFonts w:ascii="Traditional Arabic" w:hAnsi="Traditional Arabic"/>
          <w:sz w:val="32"/>
          <w:szCs w:val="32"/>
          <w:rtl/>
        </w:rPr>
        <w:t>موسوعة القواعد والضوابط ا</w:t>
      </w:r>
      <w:r>
        <w:rPr>
          <w:rFonts w:ascii="Traditional Arabic" w:hAnsi="Traditional Arabic"/>
          <w:sz w:val="32"/>
          <w:szCs w:val="32"/>
          <w:rtl/>
        </w:rPr>
        <w:t>لفقهية</w:t>
      </w:r>
      <w:r w:rsidRPr="00E14293">
        <w:rPr>
          <w:rFonts w:ascii="Traditional Arabic" w:hAnsi="Traditional Arabic"/>
          <w:sz w:val="32"/>
          <w:szCs w:val="32"/>
          <w:rtl/>
        </w:rPr>
        <w:t xml:space="preserve"> للندوي (2/288).</w:t>
      </w:r>
    </w:p>
  </w:footnote>
  <w:footnote w:id="609">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E14293">
        <w:rPr>
          <w:rFonts w:ascii="Traditional Arabic" w:hAnsi="Traditional Arabic"/>
          <w:sz w:val="32"/>
          <w:szCs w:val="32"/>
          <w:rtl/>
        </w:rPr>
        <w:t xml:space="preserve"> موسوعة القواعد والضوابط الفقهية للندوي (2/296). </w:t>
      </w:r>
    </w:p>
  </w:footnote>
  <w:footnote w:id="610">
    <w:p w:rsidR="000D3D21" w:rsidRPr="000B72CF" w:rsidRDefault="000D3D21" w:rsidP="00236A41">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موسوعة القواعد</w:t>
      </w:r>
      <w:r w:rsidRPr="00E14293">
        <w:rPr>
          <w:rFonts w:ascii="Traditional Arabic" w:hAnsi="Traditional Arabic"/>
          <w:sz w:val="32"/>
          <w:szCs w:val="32"/>
          <w:rtl/>
        </w:rPr>
        <w:t xml:space="preserve"> الفقهية للبورنو (11/42)، وموسوعة القواعد والضوابط الفقهية للندوي (2/391).</w:t>
      </w:r>
    </w:p>
  </w:footnote>
  <w:footnote w:id="611">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موسوعة القواعد والضوابط الفقهية للندوي (2/409).</w:t>
      </w:r>
    </w:p>
  </w:footnote>
  <w:footnote w:id="612">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تهذيب السنن لابن القيم (3/1627، 1630)،</w:t>
      </w:r>
      <w:r>
        <w:rPr>
          <w:rFonts w:ascii="Traditional Arabic" w:hAnsi="Traditional Arabic"/>
          <w:sz w:val="32"/>
          <w:szCs w:val="32"/>
          <w:rtl/>
        </w:rPr>
        <w:t xml:space="preserve"> و</w:t>
      </w:r>
      <w:r w:rsidRPr="00E14293">
        <w:rPr>
          <w:rFonts w:ascii="Traditional Arabic" w:hAnsi="Traditional Arabic"/>
          <w:sz w:val="32"/>
          <w:szCs w:val="32"/>
          <w:rtl/>
        </w:rPr>
        <w:t>انظر موسوعة القواعد والضوابط الفقهية للندوي (1/437)، و(2/501).</w:t>
      </w:r>
    </w:p>
  </w:footnote>
  <w:footnote w:id="613">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مجموع الفتاوى لابن تيمية (32/228-229).</w:t>
      </w:r>
    </w:p>
  </w:footnote>
  <w:footnote w:id="614">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موسوعة القواعد والضوابط الفقهية للندوي (2/501).</w:t>
      </w:r>
    </w:p>
  </w:footnote>
  <w:footnote w:id="615">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موسوعة القواعد والضوابط الفقهية للندوي (2/201).</w:t>
      </w:r>
    </w:p>
  </w:footnote>
  <w:footnote w:id="616">
    <w:p w:rsidR="000D3D21" w:rsidRPr="00E14293" w:rsidRDefault="000D3D21" w:rsidP="00C07A7C">
      <w:pPr>
        <w:widowControl/>
        <w:autoSpaceDE w:val="0"/>
        <w:autoSpaceDN w:val="0"/>
        <w:adjustRightInd w:val="0"/>
        <w:ind w:firstLine="0"/>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sz w:val="32"/>
          <w:szCs w:val="32"/>
          <w:rtl/>
          <w:lang w:eastAsia="en-US"/>
        </w:rPr>
        <w:t xml:space="preserve"> </w:t>
      </w:r>
      <w:r w:rsidRPr="00541274">
        <w:rPr>
          <w:rFonts w:ascii="Traditional Arabic" w:hAnsi="Traditional Arabic"/>
          <w:b/>
          <w:bCs/>
          <w:noProof w:val="0"/>
          <w:sz w:val="32"/>
          <w:szCs w:val="32"/>
          <w:rtl/>
          <w:lang w:eastAsia="en-US"/>
        </w:rPr>
        <w:t>الثلمة</w:t>
      </w:r>
      <w:r w:rsidR="00AB0B9E">
        <w:rPr>
          <w:rFonts w:ascii="Traditional Arabic" w:hAnsi="Traditional Arabic"/>
          <w:b/>
          <w:bCs/>
          <w:noProof w:val="0"/>
          <w:sz w:val="32"/>
          <w:szCs w:val="32"/>
          <w:rtl/>
          <w:lang w:eastAsia="en-US"/>
        </w:rPr>
        <w:fldChar w:fldCharType="begin"/>
      </w:r>
      <w:r>
        <w:instrText xml:space="preserve"> XE "</w:instrText>
      </w:r>
      <w:r w:rsidRPr="00C07A7C">
        <w:rPr>
          <w:rFonts w:ascii="Traditional Arabic" w:hAnsi="Traditional Arabic"/>
          <w:noProof w:val="0"/>
          <w:sz w:val="32"/>
          <w:szCs w:val="32"/>
          <w:rtl/>
          <w:lang w:eastAsia="en-US"/>
        </w:rPr>
        <w:instrText>الثلمة</w:instrText>
      </w:r>
      <w:r>
        <w:instrText xml:space="preserve">" </w:instrText>
      </w:r>
      <w:r w:rsidRPr="00C07A7C">
        <w:instrText>\fm</w:instrText>
      </w:r>
      <w:r w:rsidR="00AB0B9E">
        <w:rPr>
          <w:rFonts w:ascii="Traditional Arabic" w:hAnsi="Traditional Arabic"/>
          <w:b/>
          <w:bCs/>
          <w:noProof w:val="0"/>
          <w:sz w:val="32"/>
          <w:szCs w:val="32"/>
          <w:rtl/>
          <w:lang w:eastAsia="en-US"/>
        </w:rPr>
        <w:fldChar w:fldCharType="end"/>
      </w:r>
      <w:r w:rsidRPr="00E14293">
        <w:rPr>
          <w:rFonts w:ascii="Traditional Arabic" w:hAnsi="Traditional Arabic"/>
          <w:noProof w:val="0"/>
          <w:sz w:val="32"/>
          <w:szCs w:val="32"/>
          <w:rtl/>
          <w:lang w:eastAsia="en-US"/>
        </w:rPr>
        <w:t>: الخَلَل في الحائط وغيره.</w:t>
      </w:r>
      <w:r>
        <w:rPr>
          <w:rFonts w:ascii="Traditional Arabic" w:hAnsi="Traditional Arabic" w:hint="cs"/>
          <w:noProof w:val="0"/>
          <w:sz w:val="32"/>
          <w:szCs w:val="32"/>
          <w:rtl/>
          <w:lang w:eastAsia="en-US"/>
        </w:rPr>
        <w:t xml:space="preserve"> </w:t>
      </w:r>
      <w:r w:rsidRPr="00E14293">
        <w:rPr>
          <w:rFonts w:ascii="Traditional Arabic" w:hAnsi="Traditional Arabic"/>
          <w:noProof w:val="0"/>
          <w:sz w:val="32"/>
          <w:szCs w:val="32"/>
          <w:rtl/>
          <w:lang w:eastAsia="en-US"/>
        </w:rPr>
        <w:t>لسان العرب (1/502).</w:t>
      </w:r>
    </w:p>
  </w:footnote>
  <w:footnote w:id="617">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مقاييس اللغة (3/66).</w:t>
      </w:r>
    </w:p>
  </w:footnote>
  <w:footnote w:id="618">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4293">
        <w:rPr>
          <w:rFonts w:ascii="Traditional Arabic" w:hAnsi="Traditional Arabic"/>
          <w:sz w:val="32"/>
          <w:szCs w:val="32"/>
          <w:rtl/>
        </w:rPr>
        <w:t>انظر المصباح المنير (223).</w:t>
      </w:r>
    </w:p>
  </w:footnote>
  <w:footnote w:id="619">
    <w:p w:rsidR="000D3D21" w:rsidRPr="0073060D"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w:t>
      </w:r>
      <w:r>
        <w:rPr>
          <w:rFonts w:ascii="Traditional Arabic" w:hAnsi="Traditional Arabic" w:hint="cs"/>
          <w:sz w:val="32"/>
          <w:szCs w:val="32"/>
          <w:rtl/>
        </w:rPr>
        <w:t>مقاييس اللغة</w:t>
      </w:r>
      <w:r w:rsidRPr="0073060D">
        <w:rPr>
          <w:rFonts w:ascii="Traditional Arabic" w:hAnsi="Traditional Arabic"/>
          <w:sz w:val="32"/>
          <w:szCs w:val="32"/>
          <w:rtl/>
        </w:rPr>
        <w:t xml:space="preserve"> (2/350). </w:t>
      </w:r>
    </w:p>
  </w:footnote>
  <w:footnote w:id="620">
    <w:p w:rsidR="000D3D21" w:rsidRPr="0073060D"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73060D">
        <w:rPr>
          <w:rFonts w:ascii="Traditional Arabic" w:hAnsi="Traditional Arabic"/>
          <w:sz w:val="32"/>
          <w:szCs w:val="32"/>
          <w:rtl/>
        </w:rPr>
        <w:t xml:space="preserve"> لسان العرب (3/1498). </w:t>
      </w:r>
    </w:p>
  </w:footnote>
  <w:footnote w:id="621">
    <w:p w:rsidR="000D3D21" w:rsidRPr="0073060D"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3060D">
        <w:rPr>
          <w:rFonts w:ascii="Traditional Arabic" w:hAnsi="Traditional Arabic"/>
          <w:sz w:val="32"/>
          <w:szCs w:val="32"/>
          <w:rtl/>
        </w:rPr>
        <w:t>انظر أثر الأدلة المختلف فيها في الفقه الإسلامي للدكتور مصطفى ديب البغا (566)، وسد الذرائع في الشريعة الإسلامية ل</w:t>
      </w:r>
      <w:r>
        <w:rPr>
          <w:rFonts w:ascii="Traditional Arabic" w:hAnsi="Traditional Arabic" w:hint="cs"/>
          <w:sz w:val="32"/>
          <w:szCs w:val="32"/>
          <w:rtl/>
        </w:rPr>
        <w:t xml:space="preserve">محمد </w:t>
      </w:r>
      <w:r w:rsidRPr="0073060D">
        <w:rPr>
          <w:rFonts w:ascii="Traditional Arabic" w:hAnsi="Traditional Arabic"/>
          <w:sz w:val="32"/>
          <w:szCs w:val="32"/>
          <w:rtl/>
        </w:rPr>
        <w:t>هشام البرهاني (69).</w:t>
      </w:r>
    </w:p>
  </w:footnote>
  <w:footnote w:id="622">
    <w:p w:rsidR="000D3D21" w:rsidRPr="0073060D"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3060D">
        <w:rPr>
          <w:rFonts w:ascii="Traditional Arabic" w:hAnsi="Traditional Arabic"/>
          <w:sz w:val="32"/>
          <w:szCs w:val="32"/>
          <w:rtl/>
        </w:rPr>
        <w:t xml:space="preserve">الفروق </w:t>
      </w:r>
      <w:r>
        <w:rPr>
          <w:rFonts w:ascii="Traditional Arabic" w:hAnsi="Traditional Arabic" w:hint="cs"/>
          <w:sz w:val="32"/>
          <w:szCs w:val="32"/>
          <w:rtl/>
        </w:rPr>
        <w:t xml:space="preserve">للقرافي </w:t>
      </w:r>
      <w:r w:rsidRPr="0073060D">
        <w:rPr>
          <w:rFonts w:ascii="Traditional Arabic" w:hAnsi="Traditional Arabic"/>
          <w:sz w:val="32"/>
          <w:szCs w:val="32"/>
          <w:rtl/>
        </w:rPr>
        <w:t>(2/63).</w:t>
      </w:r>
    </w:p>
  </w:footnote>
  <w:footnote w:id="623">
    <w:p w:rsidR="000D3D21" w:rsidRPr="0073060D"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3060D">
        <w:rPr>
          <w:rFonts w:ascii="Traditional Arabic" w:hAnsi="Traditional Arabic"/>
          <w:sz w:val="32"/>
          <w:szCs w:val="32"/>
          <w:rtl/>
        </w:rPr>
        <w:t xml:space="preserve">القول المفيد </w:t>
      </w:r>
      <w:r>
        <w:rPr>
          <w:rFonts w:ascii="Traditional Arabic" w:hAnsi="Traditional Arabic" w:hint="cs"/>
          <w:sz w:val="32"/>
          <w:szCs w:val="32"/>
          <w:rtl/>
        </w:rPr>
        <w:t xml:space="preserve">على كتاب التوحيد </w:t>
      </w:r>
      <w:r w:rsidRPr="0073060D">
        <w:rPr>
          <w:rFonts w:ascii="Traditional Arabic" w:hAnsi="Traditional Arabic"/>
          <w:sz w:val="32"/>
          <w:szCs w:val="32"/>
          <w:rtl/>
        </w:rPr>
        <w:t>(1/209).</w:t>
      </w:r>
    </w:p>
  </w:footnote>
  <w:footnote w:id="624">
    <w:p w:rsidR="000D3D21" w:rsidRPr="0073060D"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3060D">
        <w:rPr>
          <w:rFonts w:ascii="Traditional Arabic" w:hAnsi="Traditional Arabic"/>
          <w:sz w:val="32"/>
          <w:szCs w:val="32"/>
          <w:rtl/>
        </w:rPr>
        <w:t>تفسير سورة البقرة (2/318).</w:t>
      </w:r>
    </w:p>
  </w:footnote>
  <w:footnote w:id="625">
    <w:p w:rsidR="000D3D21" w:rsidRPr="00E14293"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3060D">
        <w:rPr>
          <w:rFonts w:ascii="Traditional Arabic" w:hAnsi="Traditional Arabic"/>
          <w:sz w:val="32"/>
          <w:szCs w:val="32"/>
          <w:rtl/>
        </w:rPr>
        <w:t>القول المفيد على كتاب التوحيد (1/209).</w:t>
      </w:r>
    </w:p>
  </w:footnote>
  <w:footnote w:id="626">
    <w:p w:rsidR="000D3D21" w:rsidRPr="0073060D"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3060D">
        <w:rPr>
          <w:rFonts w:ascii="Traditional Arabic" w:hAnsi="Traditional Arabic"/>
          <w:sz w:val="32"/>
          <w:szCs w:val="32"/>
          <w:rtl/>
        </w:rPr>
        <w:t>انظر قواعد الوسائل (366).</w:t>
      </w:r>
    </w:p>
  </w:footnote>
  <w:footnote w:id="627">
    <w:p w:rsidR="000D3D21" w:rsidRPr="0073060D"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بيان</w:t>
      </w:r>
      <w:r w:rsidRPr="0073060D">
        <w:rPr>
          <w:rFonts w:ascii="Traditional Arabic" w:hAnsi="Traditional Arabic"/>
          <w:sz w:val="32"/>
          <w:szCs w:val="32"/>
          <w:rtl/>
        </w:rPr>
        <w:t xml:space="preserve"> الدليل على إبطال التحليل </w:t>
      </w:r>
      <w:r>
        <w:rPr>
          <w:rFonts w:ascii="Traditional Arabic" w:hAnsi="Traditional Arabic" w:hint="cs"/>
          <w:sz w:val="32"/>
          <w:szCs w:val="32"/>
          <w:rtl/>
        </w:rPr>
        <w:t xml:space="preserve">لابن تيمية </w:t>
      </w:r>
      <w:r w:rsidRPr="0073060D">
        <w:rPr>
          <w:rFonts w:ascii="Traditional Arabic" w:hAnsi="Traditional Arabic"/>
          <w:sz w:val="32"/>
          <w:szCs w:val="32"/>
          <w:rtl/>
        </w:rPr>
        <w:t>(283).</w:t>
      </w:r>
    </w:p>
  </w:footnote>
  <w:footnote w:id="628">
    <w:p w:rsidR="000D3D21" w:rsidRPr="0073060D"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3060D">
        <w:rPr>
          <w:rFonts w:ascii="Traditional Arabic" w:hAnsi="Traditional Arabic"/>
          <w:sz w:val="32"/>
          <w:szCs w:val="32"/>
          <w:rtl/>
        </w:rPr>
        <w:t>انظر شرح الأربعين النووية</w:t>
      </w:r>
      <w:r>
        <w:rPr>
          <w:rFonts w:ascii="Traditional Arabic" w:hAnsi="Traditional Arabic" w:hint="cs"/>
          <w:sz w:val="32"/>
          <w:szCs w:val="32"/>
          <w:rtl/>
        </w:rPr>
        <w:t xml:space="preserve"> للشيخ ابن عثيمين (</w:t>
      </w:r>
      <w:r w:rsidRPr="0073060D">
        <w:rPr>
          <w:rFonts w:ascii="Traditional Arabic" w:hAnsi="Traditional Arabic"/>
          <w:sz w:val="32"/>
          <w:szCs w:val="32"/>
          <w:rtl/>
        </w:rPr>
        <w:t>113).</w:t>
      </w:r>
    </w:p>
  </w:footnote>
  <w:footnote w:id="629">
    <w:p w:rsidR="000D3D21" w:rsidRPr="00CA30DF" w:rsidRDefault="000D3D21" w:rsidP="00060462">
      <w:pPr>
        <w:pStyle w:val="a7"/>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hint="cs"/>
          <w:sz w:val="32"/>
          <w:szCs w:val="32"/>
          <w:rtl/>
        </w:rPr>
        <w:t xml:space="preserve"> انظر: الفروق للقرافي (2/61-63)، و(3/405-411)، والموافقات (5/182، 184)، والبحر المحيط للزركشي (6/82-86)، وشرح الكوكب المنير (4/434-437)، الإحكام في أصول الأحكام لابن حزم (6/180-194)، وتعليق الشيخ عبد الله دراز على الموافقات (5/185-186)، وقواعد الوسائل (370-371)، وسد الذرائع في الشريعة الإسلامية لمحمد هشام البرهاني (167، 615، 639، 651، 658).</w:t>
      </w:r>
    </w:p>
  </w:footnote>
  <w:footnote w:id="630">
    <w:p w:rsidR="000D3D21" w:rsidRPr="0073060D" w:rsidRDefault="000D3D21" w:rsidP="00D7742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3060D">
        <w:rPr>
          <w:rFonts w:ascii="Traditional Arabic" w:hAnsi="Traditional Arabic"/>
          <w:sz w:val="32"/>
          <w:szCs w:val="32"/>
          <w:rtl/>
        </w:rPr>
        <w:t>انظر</w:t>
      </w:r>
      <w:r>
        <w:rPr>
          <w:rFonts w:ascii="Traditional Arabic" w:hAnsi="Traditional Arabic" w:hint="cs"/>
          <w:sz w:val="32"/>
          <w:szCs w:val="32"/>
          <w:rtl/>
        </w:rPr>
        <w:t xml:space="preserve"> </w:t>
      </w:r>
      <w:r>
        <w:rPr>
          <w:rFonts w:ascii="Traditional Arabic" w:hAnsi="Traditional Arabic"/>
          <w:sz w:val="32"/>
          <w:szCs w:val="32"/>
          <w:rtl/>
        </w:rPr>
        <w:t>سد الذرائع في الشريعة الإسلامية</w:t>
      </w:r>
      <w:r>
        <w:rPr>
          <w:rFonts w:ascii="Traditional Arabic" w:hAnsi="Traditional Arabic" w:hint="cs"/>
          <w:sz w:val="32"/>
          <w:szCs w:val="32"/>
          <w:rtl/>
        </w:rPr>
        <w:t xml:space="preserve"> </w:t>
      </w:r>
      <w:r>
        <w:rPr>
          <w:rFonts w:ascii="Traditional Arabic" w:hAnsi="Traditional Arabic"/>
          <w:sz w:val="32"/>
          <w:szCs w:val="32"/>
          <w:rtl/>
        </w:rPr>
        <w:t>(126</w:t>
      </w:r>
      <w:r>
        <w:rPr>
          <w:rFonts w:ascii="Traditional Arabic" w:hAnsi="Traditional Arabic" w:hint="cs"/>
          <w:sz w:val="32"/>
          <w:szCs w:val="32"/>
          <w:rtl/>
        </w:rPr>
        <w:t>)</w:t>
      </w:r>
      <w:r w:rsidRPr="0073060D">
        <w:rPr>
          <w:rFonts w:ascii="Traditional Arabic" w:hAnsi="Traditional Arabic"/>
          <w:sz w:val="32"/>
          <w:szCs w:val="32"/>
          <w:rtl/>
        </w:rPr>
        <w:t xml:space="preserve">. </w:t>
      </w:r>
    </w:p>
  </w:footnote>
  <w:footnote w:id="631">
    <w:p w:rsidR="000D3D21" w:rsidRPr="00CA30DF" w:rsidRDefault="000D3D21" w:rsidP="00236A41">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rtl/>
        </w:rPr>
        <w:t xml:space="preserve"> انظر </w:t>
      </w:r>
      <w:r>
        <w:rPr>
          <w:rFonts w:ascii="Traditional Arabic" w:hAnsi="Traditional Arabic" w:hint="cs"/>
          <w:sz w:val="32"/>
          <w:szCs w:val="32"/>
          <w:rtl/>
        </w:rPr>
        <w:t>الفروع الفقهية المندرجة تحت قاعدة المظنة تنزل منزلة المئنة (1/71).</w:t>
      </w:r>
    </w:p>
  </w:footnote>
  <w:footnote w:id="632">
    <w:p w:rsidR="000D3D21" w:rsidRPr="00CD6B7B"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6B7B">
        <w:rPr>
          <w:rFonts w:ascii="Traditional Arabic" w:hAnsi="Traditional Arabic"/>
          <w:sz w:val="32"/>
          <w:szCs w:val="32"/>
          <w:rtl/>
        </w:rPr>
        <w:t>انظر: الشرح الممتع (8/212، 213)، والقول المفيد (2/517)، وشرح رياض الصالحين (3/472)، وشرح الأربعين النووية (112-113)، وفتح ذي الجلال والإكرام (5/587).</w:t>
      </w:r>
    </w:p>
  </w:footnote>
  <w:footnote w:id="633">
    <w:p w:rsidR="000D3D21" w:rsidRPr="00CD6B7B" w:rsidRDefault="000D3D21" w:rsidP="007A5DE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6B7B">
        <w:rPr>
          <w:rFonts w:ascii="Traditional Arabic" w:hAnsi="Traditional Arabic"/>
          <w:sz w:val="32"/>
          <w:szCs w:val="32"/>
          <w:rtl/>
        </w:rPr>
        <w:t xml:space="preserve">انظر: شرح الأربعين النووية (113)، </w:t>
      </w:r>
      <w:r>
        <w:rPr>
          <w:rFonts w:ascii="Traditional Arabic" w:hAnsi="Traditional Arabic"/>
          <w:sz w:val="32"/>
          <w:szCs w:val="32"/>
          <w:rtl/>
        </w:rPr>
        <w:t>وفتح ذي الجلال والإكرام (6/327)</w:t>
      </w:r>
      <w:r>
        <w:rPr>
          <w:rFonts w:ascii="Traditional Arabic" w:hAnsi="Traditional Arabic" w:hint="cs"/>
          <w:sz w:val="32"/>
          <w:szCs w:val="32"/>
          <w:rtl/>
        </w:rPr>
        <w:t>، و</w:t>
      </w:r>
      <w:r w:rsidRPr="00CD6B7B">
        <w:rPr>
          <w:rFonts w:ascii="Traditional Arabic" w:hAnsi="Traditional Arabic"/>
          <w:sz w:val="32"/>
          <w:szCs w:val="32"/>
          <w:rtl/>
        </w:rPr>
        <w:t>إعلام الموقعين (5/5).</w:t>
      </w:r>
    </w:p>
  </w:footnote>
  <w:footnote w:id="634">
    <w:p w:rsidR="000D3D21" w:rsidRPr="00CD6B7B" w:rsidRDefault="000D3D21" w:rsidP="007A5DE8">
      <w:pPr>
        <w:pStyle w:val="a7"/>
        <w:rPr>
          <w:rFonts w:ascii="Traditional Arabic" w:hAnsi="Traditional Arabic"/>
          <w:sz w:val="32"/>
          <w:szCs w:val="32"/>
          <w:rtl/>
        </w:rPr>
      </w:pPr>
      <w:r w:rsidRPr="00CD6B7B">
        <w:rPr>
          <w:rStyle w:val="af1"/>
          <w:rFonts w:ascii="Traditional Arabic" w:hAnsi="Traditional Arabic"/>
          <w:sz w:val="32"/>
          <w:szCs w:val="32"/>
          <w:vertAlign w:val="baseline"/>
        </w:rPr>
        <w:footnoteRef/>
      </w:r>
      <w:r w:rsidRPr="00CD6B7B">
        <w:rPr>
          <w:rStyle w:val="af1"/>
          <w:rFonts w:ascii="Traditional Arabic" w:hAnsi="Traditional Arabic"/>
          <w:sz w:val="32"/>
          <w:szCs w:val="32"/>
          <w:vertAlign w:val="baseline"/>
        </w:rPr>
        <w:t>)</w:t>
      </w:r>
      <w:r w:rsidRPr="00CD6B7B">
        <w:rPr>
          <w:rStyle w:val="af1"/>
          <w:rFonts w:ascii="Traditional Arabic" w:hAnsi="Traditional Arabic"/>
          <w:sz w:val="32"/>
          <w:szCs w:val="32"/>
          <w:vertAlign w:val="baseline"/>
          <w:rtl/>
        </w:rPr>
        <w:t xml:space="preserve">) </w:t>
      </w:r>
      <w:r>
        <w:rPr>
          <w:rFonts w:ascii="Traditional Arabic" w:hAnsi="Traditional Arabic" w:hint="cs"/>
          <w:sz w:val="32"/>
          <w:szCs w:val="32"/>
          <w:rtl/>
        </w:rPr>
        <w:t>تقدم تخريجه.</w:t>
      </w:r>
    </w:p>
  </w:footnote>
  <w:footnote w:id="635">
    <w:p w:rsidR="000D3D21" w:rsidRPr="00E51339" w:rsidRDefault="000D3D21" w:rsidP="00236A41">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6B7B">
        <w:rPr>
          <w:rFonts w:ascii="Traditional Arabic" w:hAnsi="Traditional Arabic"/>
          <w:sz w:val="32"/>
          <w:szCs w:val="32"/>
          <w:rtl/>
        </w:rPr>
        <w:t>انظر فتح ذي الجلال والإكرام (5/587، 579).</w:t>
      </w:r>
    </w:p>
  </w:footnote>
  <w:footnote w:id="636">
    <w:p w:rsidR="000D3D21" w:rsidRPr="00BE3CE7"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E3CE7">
        <w:rPr>
          <w:rFonts w:ascii="Traditional Arabic" w:hAnsi="Traditional Arabic"/>
          <w:sz w:val="32"/>
          <w:szCs w:val="32"/>
          <w:rtl/>
        </w:rPr>
        <w:t>تقدم تخريجه.</w:t>
      </w:r>
    </w:p>
  </w:footnote>
  <w:footnote w:id="637">
    <w:p w:rsidR="000D3D21" w:rsidRPr="00BE3CE7"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E3CE7">
        <w:rPr>
          <w:rFonts w:ascii="Traditional Arabic" w:hAnsi="Traditional Arabic"/>
          <w:sz w:val="32"/>
          <w:szCs w:val="32"/>
          <w:rtl/>
        </w:rPr>
        <w:t>انظر</w:t>
      </w:r>
      <w:r>
        <w:rPr>
          <w:rFonts w:ascii="Traditional Arabic" w:hAnsi="Traditional Arabic" w:hint="cs"/>
          <w:sz w:val="32"/>
          <w:szCs w:val="32"/>
          <w:rtl/>
        </w:rPr>
        <w:t>:</w:t>
      </w:r>
      <w:r w:rsidRPr="00BE3CE7">
        <w:rPr>
          <w:rFonts w:ascii="Traditional Arabic" w:hAnsi="Traditional Arabic"/>
          <w:sz w:val="32"/>
          <w:szCs w:val="32"/>
          <w:rtl/>
        </w:rPr>
        <w:t xml:space="preserve"> شرح الأربعين النووية (107، 112-113)، وفتح ذي الجلال والإكرام (6/327).</w:t>
      </w:r>
    </w:p>
  </w:footnote>
  <w:footnote w:id="638">
    <w:p w:rsidR="000D3D21" w:rsidRPr="00BE3CE7"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E3CE7">
        <w:rPr>
          <w:rFonts w:ascii="Traditional Arabic" w:hAnsi="Traditional Arabic"/>
          <w:sz w:val="32"/>
          <w:szCs w:val="32"/>
          <w:rtl/>
        </w:rPr>
        <w:t>أخرجه البخاري في كتاب الحج</w:t>
      </w:r>
      <w:r>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BE3CE7">
        <w:rPr>
          <w:rFonts w:ascii="Traditional Arabic" w:hAnsi="Traditional Arabic"/>
          <w:noProof w:val="0"/>
          <w:sz w:val="32"/>
          <w:szCs w:val="32"/>
          <w:rtl/>
          <w:lang w:eastAsia="en-US"/>
        </w:rPr>
        <w:t>باب الطواف بعد الصبح والعصر</w:t>
      </w:r>
      <w:r w:rsidRPr="00BE3CE7">
        <w:rPr>
          <w:rFonts w:ascii="Traditional Arabic" w:hAnsi="Traditional Arabic"/>
          <w:sz w:val="32"/>
          <w:szCs w:val="32"/>
          <w:rtl/>
        </w:rPr>
        <w:t>، رقم الحديث (1629)، ومسلم في كتاب صلاة المسافرين وقصرها</w:t>
      </w:r>
      <w:r>
        <w:rPr>
          <w:rFonts w:ascii="Traditional Arabic" w:hAnsi="Traditional Arabic"/>
          <w:sz w:val="32"/>
          <w:szCs w:val="32"/>
          <w:rtl/>
        </w:rPr>
        <w:t>،</w:t>
      </w:r>
      <w:r w:rsidRPr="00BE3CE7">
        <w:rPr>
          <w:rFonts w:ascii="Traditional Arabic" w:hAnsi="Traditional Arabic"/>
          <w:sz w:val="32"/>
          <w:szCs w:val="32"/>
          <w:rtl/>
        </w:rPr>
        <w:t xml:space="preserve"> باب الأوقات التي نُهي عن الصلاة فيها، رقم الحديث (828)، واللفظ للبخاري.</w:t>
      </w:r>
    </w:p>
  </w:footnote>
  <w:footnote w:id="639">
    <w:p w:rsidR="000D3D21" w:rsidRPr="00BE3CE7"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E3CE7">
        <w:rPr>
          <w:rFonts w:ascii="Traditional Arabic" w:hAnsi="Traditional Arabic"/>
          <w:sz w:val="32"/>
          <w:szCs w:val="32"/>
          <w:rtl/>
        </w:rPr>
        <w:t>انظر الشرح الممتع (2/239).</w:t>
      </w:r>
    </w:p>
  </w:footnote>
  <w:footnote w:id="640">
    <w:p w:rsidR="000D3D21" w:rsidRPr="00BE3CE7"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E3CE7">
        <w:rPr>
          <w:rFonts w:ascii="Traditional Arabic" w:hAnsi="Traditional Arabic"/>
          <w:sz w:val="32"/>
          <w:szCs w:val="32"/>
          <w:rtl/>
        </w:rPr>
        <w:t>أخرجه مسلم في كتاب الأشربة، باب تخليل الخمر، رقم الحديث (1983).</w:t>
      </w:r>
    </w:p>
  </w:footnote>
  <w:footnote w:id="641">
    <w:p w:rsidR="000D3D21" w:rsidRPr="003E321B" w:rsidRDefault="000D3D21" w:rsidP="00236A41">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E3CE7">
        <w:rPr>
          <w:rFonts w:ascii="Traditional Arabic" w:hAnsi="Traditional Arabic"/>
          <w:sz w:val="32"/>
          <w:szCs w:val="32"/>
          <w:rtl/>
        </w:rPr>
        <w:t>فتح ذي الجلال والإكرام (1/184).</w:t>
      </w:r>
      <w:r>
        <w:rPr>
          <w:rFonts w:ascii="Traditional Arabic" w:hAnsi="Traditional Arabic" w:hint="cs"/>
          <w:sz w:val="32"/>
          <w:szCs w:val="32"/>
          <w:rtl/>
        </w:rPr>
        <w:t xml:space="preserve"> </w:t>
      </w:r>
      <w:r w:rsidRPr="00BE3CE7">
        <w:rPr>
          <w:rFonts w:ascii="Traditional Arabic" w:hAnsi="Traditional Arabic"/>
          <w:sz w:val="32"/>
          <w:szCs w:val="32"/>
          <w:rtl/>
        </w:rPr>
        <w:t>ط/مدار الوطن.</w:t>
      </w:r>
    </w:p>
  </w:footnote>
  <w:footnote w:id="642">
    <w:p w:rsidR="000D3D21" w:rsidRPr="00D514D2" w:rsidRDefault="000D3D21" w:rsidP="00A61A86">
      <w:pPr>
        <w:pStyle w:val="a7"/>
        <w:spacing w:line="360" w:lineRule="exact"/>
        <w:rPr>
          <w:sz w:val="32"/>
          <w:szCs w:val="32"/>
          <w:rtl/>
        </w:rPr>
      </w:pPr>
      <w:r w:rsidRPr="000D2C32">
        <w:rPr>
          <w:rStyle w:val="af1"/>
          <w:rFonts w:ascii="Traditional Arabic" w:hAnsi="Traditional Arabic"/>
          <w:sz w:val="32"/>
          <w:szCs w:val="32"/>
          <w:vertAlign w:val="baseline"/>
        </w:rPr>
        <w:footnoteRef/>
      </w:r>
      <w:r w:rsidRPr="000D2C32">
        <w:rPr>
          <w:rFonts w:ascii="Traditional Arabic" w:hAnsi="Traditional Arabic"/>
          <w:sz w:val="32"/>
          <w:szCs w:val="32"/>
        </w:rPr>
        <w:t>)</w:t>
      </w:r>
      <w:r w:rsidRPr="000D2C32">
        <w:rPr>
          <w:rFonts w:ascii="Traditional Arabic" w:hAnsi="Traditional Arabic"/>
          <w:sz w:val="32"/>
          <w:szCs w:val="32"/>
          <w:rtl/>
        </w:rPr>
        <w:t xml:space="preserve">) </w:t>
      </w:r>
      <w:r w:rsidRPr="00D514D2">
        <w:rPr>
          <w:rFonts w:ascii="Traditional Arabic" w:hAnsi="Traditional Arabic"/>
          <w:sz w:val="32"/>
          <w:szCs w:val="32"/>
          <w:rtl/>
        </w:rPr>
        <w:t>الجنس</w:t>
      </w:r>
      <w:r w:rsidR="00AB0B9E" w:rsidRPr="00D514D2">
        <w:rPr>
          <w:rFonts w:ascii="Traditional Arabic" w:hAnsi="Traditional Arabic"/>
          <w:sz w:val="32"/>
          <w:szCs w:val="32"/>
          <w:rtl/>
        </w:rPr>
        <w:fldChar w:fldCharType="begin"/>
      </w:r>
      <w:r w:rsidRPr="00D514D2">
        <w:rPr>
          <w:sz w:val="32"/>
          <w:szCs w:val="32"/>
        </w:rPr>
        <w:instrText xml:space="preserve"> XE "</w:instrText>
      </w:r>
      <w:r w:rsidRPr="00D514D2">
        <w:rPr>
          <w:rFonts w:ascii="Traditional Arabic" w:hAnsi="Traditional Arabic"/>
          <w:sz w:val="32"/>
          <w:szCs w:val="32"/>
          <w:rtl/>
        </w:rPr>
        <w:instrText>الجنس</w:instrText>
      </w:r>
      <w:r w:rsidRPr="00D514D2">
        <w:rPr>
          <w:sz w:val="32"/>
          <w:szCs w:val="32"/>
        </w:rPr>
        <w:instrText>" \fm</w:instrText>
      </w:r>
      <w:r w:rsidR="00AB0B9E" w:rsidRPr="00D514D2">
        <w:rPr>
          <w:rFonts w:ascii="Traditional Arabic" w:hAnsi="Traditional Arabic"/>
          <w:sz w:val="32"/>
          <w:szCs w:val="32"/>
          <w:rtl/>
        </w:rPr>
        <w:fldChar w:fldCharType="end"/>
      </w:r>
      <w:r>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الجنس ماله اسم خاص يشمل أنواعا</w:t>
      </w:r>
      <w:r>
        <w:rPr>
          <w:rFonts w:ascii="Traditional Arabic" w:hAnsi="Traditional Arabic" w:hint="cs"/>
          <w:noProof w:val="0"/>
          <w:sz w:val="32"/>
          <w:szCs w:val="32"/>
          <w:rtl/>
          <w:lang w:eastAsia="en-US"/>
        </w:rPr>
        <w:t>،</w:t>
      </w:r>
      <w:r w:rsidRPr="00BA711A">
        <w:rPr>
          <w:rFonts w:ascii="Traditional Arabic" w:hAnsi="Traditional Arabic"/>
          <w:noProof w:val="0"/>
          <w:sz w:val="32"/>
          <w:szCs w:val="32"/>
          <w:rtl/>
          <w:lang w:eastAsia="en-US"/>
        </w:rPr>
        <w:t xml:space="preserve"> فالجنس هو الشامل لأشياء مختلفة بأنواعها</w:t>
      </w:r>
      <w:r>
        <w:rPr>
          <w:rFonts w:ascii="Traditional Arabic" w:hAnsi="Traditional Arabic" w:hint="cs"/>
          <w:noProof w:val="0"/>
          <w:sz w:val="32"/>
          <w:szCs w:val="32"/>
          <w:rtl/>
          <w:lang w:eastAsia="en-US"/>
        </w:rPr>
        <w:t>،</w:t>
      </w:r>
      <w:r w:rsidRPr="00BA711A">
        <w:rPr>
          <w:rFonts w:ascii="Traditional Arabic" w:hAnsi="Traditional Arabic"/>
          <w:noProof w:val="0"/>
          <w:sz w:val="32"/>
          <w:szCs w:val="32"/>
          <w:rtl/>
          <w:lang w:eastAsia="en-US"/>
        </w:rPr>
        <w:t xml:space="preserve"> والنوع هو الشامل لأشياء مختلفة بأشخاصها</w:t>
      </w:r>
      <w:r w:rsidRPr="00D514D2">
        <w:rPr>
          <w:rFonts w:hint="cs"/>
          <w:sz w:val="32"/>
          <w:szCs w:val="32"/>
          <w:rtl/>
        </w:rPr>
        <w:t>.</w:t>
      </w:r>
      <w:r>
        <w:rPr>
          <w:rFonts w:hint="cs"/>
          <w:sz w:val="32"/>
          <w:szCs w:val="32"/>
          <w:rtl/>
        </w:rPr>
        <w:t xml:space="preserve"> </w:t>
      </w:r>
      <w:r w:rsidRPr="00D514D2">
        <w:rPr>
          <w:rFonts w:hint="cs"/>
          <w:sz w:val="32"/>
          <w:szCs w:val="32"/>
          <w:rtl/>
        </w:rPr>
        <w:t>انظر الروض المربع (</w:t>
      </w:r>
      <w:r>
        <w:rPr>
          <w:rFonts w:hint="cs"/>
          <w:sz w:val="32"/>
          <w:szCs w:val="32"/>
          <w:rtl/>
        </w:rPr>
        <w:t>6/224</w:t>
      </w:r>
      <w:r w:rsidRPr="00D514D2">
        <w:rPr>
          <w:rFonts w:hint="cs"/>
          <w:sz w:val="32"/>
          <w:szCs w:val="32"/>
          <w:rtl/>
        </w:rPr>
        <w:t>).</w:t>
      </w:r>
    </w:p>
    <w:p w:rsidR="000D3D21" w:rsidRPr="000D2C32" w:rsidRDefault="000D3D21">
      <w:pPr>
        <w:pStyle w:val="a7"/>
        <w:rPr>
          <w:rFonts w:ascii="Traditional Arabic" w:hAnsi="Traditional Arabic"/>
          <w:sz w:val="32"/>
          <w:szCs w:val="32"/>
        </w:rPr>
      </w:pPr>
    </w:p>
  </w:footnote>
  <w:footnote w:id="643">
    <w:p w:rsidR="000D3D21" w:rsidRDefault="000D3D21" w:rsidP="007A5DE8">
      <w:pPr>
        <w:pStyle w:val="a7"/>
        <w:rPr>
          <w:rFonts w:ascii="Traditional Arabic" w:hAnsi="Traditional Arabic"/>
          <w:noProof w:val="0"/>
          <w:sz w:val="32"/>
          <w:szCs w:val="32"/>
          <w:rtl/>
          <w:lang w:eastAsia="en-US"/>
        </w:rPr>
      </w:pPr>
      <w:r w:rsidRPr="00CD6B7B">
        <w:rPr>
          <w:rStyle w:val="af1"/>
          <w:rFonts w:ascii="Traditional Arabic" w:hAnsi="Traditional Arabic"/>
          <w:sz w:val="32"/>
          <w:szCs w:val="32"/>
          <w:vertAlign w:val="baseline"/>
        </w:rPr>
        <w:footnoteRef/>
      </w:r>
      <w:r w:rsidRPr="00CD6B7B">
        <w:rPr>
          <w:rFonts w:ascii="Traditional Arabic" w:hAnsi="Traditional Arabic"/>
          <w:sz w:val="32"/>
          <w:szCs w:val="32"/>
        </w:rPr>
        <w:t>)</w:t>
      </w:r>
      <w:r w:rsidRPr="00CD6B7B">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CD6B7B">
        <w:rPr>
          <w:rFonts w:ascii="Traditional Arabic" w:hAnsi="Traditional Arabic"/>
          <w:noProof w:val="0"/>
          <w:sz w:val="32"/>
          <w:szCs w:val="32"/>
          <w:rtl/>
          <w:lang w:eastAsia="en-US"/>
        </w:rPr>
        <w:t>هذه المسألة يعبِّر عنها الفقهاء "بمسألة مُدّ عَجْوَة"،</w:t>
      </w:r>
      <w:r>
        <w:rPr>
          <w:rFonts w:ascii="Traditional Arabic" w:hAnsi="Traditional Arabic"/>
          <w:noProof w:val="0"/>
          <w:sz w:val="32"/>
          <w:szCs w:val="32"/>
          <w:rtl/>
          <w:lang w:eastAsia="en-US"/>
        </w:rPr>
        <w:t xml:space="preserve"> و</w:t>
      </w:r>
      <w:r w:rsidRPr="00CD6B7B">
        <w:rPr>
          <w:rFonts w:ascii="Traditional Arabic" w:hAnsi="Traditional Arabic"/>
          <w:noProof w:val="0"/>
          <w:sz w:val="32"/>
          <w:szCs w:val="32"/>
          <w:rtl/>
          <w:lang w:eastAsia="en-US"/>
        </w:rPr>
        <w:t>مثال بيع ربوي بجنسه ومعه من غير جنسه:بيع صاع من التمر</w:t>
      </w:r>
      <w:r>
        <w:rPr>
          <w:rFonts w:ascii="Traditional Arabic" w:hAnsi="Traditional Arabic"/>
          <w:noProof w:val="0"/>
          <w:sz w:val="32"/>
          <w:szCs w:val="32"/>
          <w:rtl/>
          <w:lang w:eastAsia="en-US"/>
        </w:rPr>
        <w:t xml:space="preserve"> و</w:t>
      </w:r>
      <w:r w:rsidRPr="00CD6B7B">
        <w:rPr>
          <w:rFonts w:ascii="Traditional Arabic" w:hAnsi="Traditional Arabic"/>
          <w:noProof w:val="0"/>
          <w:sz w:val="32"/>
          <w:szCs w:val="32"/>
          <w:rtl/>
          <w:lang w:eastAsia="en-US"/>
        </w:rPr>
        <w:t>درهما بصاع من التمر،</w:t>
      </w:r>
      <w:r>
        <w:rPr>
          <w:rFonts w:ascii="Traditional Arabic" w:hAnsi="Traditional Arabic"/>
          <w:noProof w:val="0"/>
          <w:sz w:val="32"/>
          <w:szCs w:val="32"/>
          <w:rtl/>
          <w:lang w:eastAsia="en-US"/>
        </w:rPr>
        <w:t xml:space="preserve"> و</w:t>
      </w:r>
      <w:r w:rsidRPr="00CD6B7B">
        <w:rPr>
          <w:rFonts w:ascii="Traditional Arabic" w:hAnsi="Traditional Arabic"/>
          <w:noProof w:val="0"/>
          <w:sz w:val="32"/>
          <w:szCs w:val="32"/>
          <w:rtl/>
          <w:lang w:eastAsia="en-US"/>
        </w:rPr>
        <w:t>مثال بيع ربوي بجنسه</w:t>
      </w:r>
      <w:r>
        <w:rPr>
          <w:rFonts w:ascii="Traditional Arabic" w:hAnsi="Traditional Arabic"/>
          <w:noProof w:val="0"/>
          <w:sz w:val="32"/>
          <w:szCs w:val="32"/>
          <w:rtl/>
          <w:lang w:eastAsia="en-US"/>
        </w:rPr>
        <w:t xml:space="preserve"> و</w:t>
      </w:r>
      <w:r w:rsidRPr="00CD6B7B">
        <w:rPr>
          <w:rFonts w:ascii="Traditional Arabic" w:hAnsi="Traditional Arabic"/>
          <w:noProof w:val="0"/>
          <w:sz w:val="32"/>
          <w:szCs w:val="32"/>
          <w:rtl/>
          <w:lang w:eastAsia="en-US"/>
        </w:rPr>
        <w:t>معهما من غير جنسهما:بيع صاع من تمر ودرهم بصاع من تمر</w:t>
      </w:r>
      <w:r>
        <w:rPr>
          <w:rFonts w:ascii="Traditional Arabic" w:hAnsi="Traditional Arabic"/>
          <w:noProof w:val="0"/>
          <w:sz w:val="32"/>
          <w:szCs w:val="32"/>
          <w:rtl/>
          <w:lang w:eastAsia="en-US"/>
        </w:rPr>
        <w:t xml:space="preserve"> ودرهم.</w:t>
      </w:r>
    </w:p>
    <w:p w:rsidR="000D3D21" w:rsidRPr="00CD6B7B" w:rsidRDefault="000D3D21" w:rsidP="007A5DE8">
      <w:pPr>
        <w:pStyle w:val="a7"/>
        <w:rPr>
          <w:rFonts w:ascii="Traditional Arabic" w:hAnsi="Traditional Arabic"/>
          <w:noProof w:val="0"/>
          <w:sz w:val="32"/>
          <w:szCs w:val="32"/>
          <w:rtl/>
          <w:lang w:eastAsia="en-US"/>
        </w:rPr>
      </w:pP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و</w:t>
      </w:r>
      <w:r w:rsidRPr="00CD6B7B">
        <w:rPr>
          <w:rFonts w:ascii="Traditional Arabic" w:hAnsi="Traditional Arabic"/>
          <w:noProof w:val="0"/>
          <w:sz w:val="32"/>
          <w:szCs w:val="32"/>
          <w:rtl/>
          <w:lang w:eastAsia="en-US"/>
        </w:rPr>
        <w:t xml:space="preserve">رجح الشيخ ابن عثيمين </w:t>
      </w:r>
      <w:r>
        <w:rPr>
          <w:rFonts w:ascii="Traditional Arabic" w:hAnsi="Traditional Arabic" w:hint="cs"/>
          <w:noProof w:val="0"/>
          <w:sz w:val="32"/>
          <w:szCs w:val="32"/>
          <w:rtl/>
          <w:lang w:eastAsia="en-US"/>
        </w:rPr>
        <w:t>_</w:t>
      </w:r>
      <w:r>
        <w:rPr>
          <w:rFonts w:ascii="Traditional Arabic" w:hAnsi="Traditional Arabic" w:cs="CTraditional Arabic" w:hint="cs"/>
          <w:rtl/>
        </w:rPr>
        <w:t>/</w:t>
      </w:r>
      <w:r>
        <w:rPr>
          <w:rFonts w:ascii="Traditional Arabic" w:hAnsi="Traditional Arabic" w:hint="cs"/>
          <w:noProof w:val="0"/>
          <w:sz w:val="32"/>
          <w:szCs w:val="32"/>
          <w:rtl/>
          <w:lang w:eastAsia="en-US"/>
        </w:rPr>
        <w:t>_</w:t>
      </w:r>
      <w:r w:rsidRPr="00CD6B7B">
        <w:rPr>
          <w:rFonts w:ascii="Traditional Arabic" w:hAnsi="Traditional Arabic"/>
          <w:noProof w:val="0"/>
          <w:sz w:val="32"/>
          <w:szCs w:val="32"/>
          <w:rtl/>
          <w:lang w:eastAsia="en-US"/>
        </w:rPr>
        <w:t xml:space="preserve"> جواز ذلك إذا كان المفر</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د أكثر من الذي معه غير</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ه، و</w:t>
      </w:r>
      <w:r w:rsidRPr="00CD6B7B">
        <w:rPr>
          <w:rFonts w:ascii="Traditional Arabic" w:hAnsi="Traditional Arabic"/>
          <w:noProof w:val="0"/>
          <w:sz w:val="32"/>
          <w:szCs w:val="32"/>
          <w:rtl/>
          <w:lang w:eastAsia="en-US"/>
        </w:rPr>
        <w:t>كانت الزيادة تقابل الشيء</w:t>
      </w:r>
      <w:r>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ال</w:t>
      </w:r>
      <w:r>
        <w:rPr>
          <w:rFonts w:ascii="Traditional Arabic" w:hAnsi="Traditional Arabic"/>
          <w:noProof w:val="0"/>
          <w:sz w:val="32"/>
          <w:szCs w:val="32"/>
          <w:rtl/>
          <w:lang w:eastAsia="en-US"/>
        </w:rPr>
        <w:t>آخر؛ لانتفاء محذور الربا حينئذ،</w:t>
      </w: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و</w:t>
      </w:r>
      <w:r w:rsidRPr="00CD6B7B">
        <w:rPr>
          <w:rFonts w:ascii="Traditional Arabic" w:hAnsi="Traditional Arabic"/>
          <w:noProof w:val="0"/>
          <w:sz w:val="32"/>
          <w:szCs w:val="32"/>
          <w:rtl/>
          <w:lang w:eastAsia="en-US"/>
        </w:rPr>
        <w:t>دعاء الحاجة إليه،</w:t>
      </w:r>
      <w:r>
        <w:rPr>
          <w:rFonts w:ascii="Traditional Arabic" w:hAnsi="Traditional Arabic"/>
          <w:noProof w:val="0"/>
          <w:sz w:val="32"/>
          <w:szCs w:val="32"/>
          <w:rtl/>
          <w:lang w:eastAsia="en-US"/>
        </w:rPr>
        <w:t xml:space="preserve"> و</w:t>
      </w:r>
      <w:r w:rsidRPr="00CD6B7B">
        <w:rPr>
          <w:rFonts w:ascii="Traditional Arabic" w:hAnsi="Traditional Arabic"/>
          <w:noProof w:val="0"/>
          <w:sz w:val="32"/>
          <w:szCs w:val="32"/>
          <w:rtl/>
          <w:lang w:eastAsia="en-US"/>
        </w:rPr>
        <w:t xml:space="preserve">الخلاف في هذه المسألة </w:t>
      </w:r>
      <w:r>
        <w:rPr>
          <w:rFonts w:ascii="Traditional Arabic" w:hAnsi="Traditional Arabic" w:hint="cs"/>
          <w:noProof w:val="0"/>
          <w:sz w:val="32"/>
          <w:szCs w:val="32"/>
          <w:rtl/>
          <w:lang w:eastAsia="en-US"/>
        </w:rPr>
        <w:t xml:space="preserve">يرِد </w:t>
      </w:r>
      <w:r w:rsidRPr="00CD6B7B">
        <w:rPr>
          <w:rFonts w:ascii="Traditional Arabic" w:hAnsi="Traditional Arabic"/>
          <w:noProof w:val="0"/>
          <w:sz w:val="32"/>
          <w:szCs w:val="32"/>
          <w:rtl/>
          <w:lang w:eastAsia="en-US"/>
        </w:rPr>
        <w:t>فيما إذا لم يُقصَد بيع</w:t>
      </w:r>
      <w:r>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الربوي بجنسه،</w:t>
      </w:r>
      <w:r>
        <w:rPr>
          <w:rFonts w:ascii="Traditional Arabic" w:hAnsi="Traditional Arabic" w:hint="cs"/>
          <w:noProof w:val="0"/>
          <w:sz w:val="32"/>
          <w:szCs w:val="32"/>
          <w:rtl/>
          <w:lang w:eastAsia="en-US"/>
        </w:rPr>
        <w:t xml:space="preserve"> </w:t>
      </w:r>
      <w:r w:rsidRPr="00CD6B7B">
        <w:rPr>
          <w:rFonts w:ascii="Traditional Arabic" w:hAnsi="Traditional Arabic"/>
          <w:noProof w:val="0"/>
          <w:sz w:val="32"/>
          <w:szCs w:val="32"/>
          <w:rtl/>
          <w:lang w:eastAsia="en-US"/>
        </w:rPr>
        <w:t>أما إذا</w:t>
      </w:r>
      <w:r>
        <w:rPr>
          <w:rFonts w:ascii="Traditional Arabic" w:hAnsi="Traditional Arabic" w:hint="cs"/>
          <w:noProof w:val="0"/>
          <w:sz w:val="32"/>
          <w:szCs w:val="32"/>
          <w:rtl/>
          <w:lang w:eastAsia="en-US"/>
        </w:rPr>
        <w:t xml:space="preserve"> </w:t>
      </w:r>
      <w:r w:rsidRPr="00CD6B7B">
        <w:rPr>
          <w:rFonts w:ascii="Traditional Arabic" w:hAnsi="Traditional Arabic"/>
          <w:noProof w:val="0"/>
          <w:sz w:val="32"/>
          <w:szCs w:val="32"/>
          <w:rtl/>
          <w:lang w:eastAsia="en-US"/>
        </w:rPr>
        <w:t xml:space="preserve">قُصد ذلك </w:t>
      </w:r>
      <w:r w:rsidRPr="00CD6B7B">
        <w:rPr>
          <w:rFonts w:ascii="Traditional Arabic" w:hAnsi="Traditional Arabic" w:hint="cs"/>
          <w:noProof w:val="0"/>
          <w:sz w:val="32"/>
          <w:szCs w:val="32"/>
          <w:rtl/>
          <w:lang w:eastAsia="en-US"/>
        </w:rPr>
        <w:t>فإنه لا يجوز مطلقا.</w:t>
      </w:r>
      <w:r>
        <w:rPr>
          <w:rFonts w:ascii="Traditional Arabic" w:hAnsi="Traditional Arabic" w:hint="cs"/>
          <w:noProof w:val="0"/>
          <w:sz w:val="32"/>
          <w:szCs w:val="32"/>
          <w:rtl/>
          <w:lang w:eastAsia="en-US"/>
        </w:rPr>
        <w:t>انظر:</w:t>
      </w:r>
      <w:r w:rsidRPr="00CD6B7B">
        <w:rPr>
          <w:rFonts w:ascii="Traditional Arabic" w:hAnsi="Traditional Arabic" w:hint="cs"/>
          <w:noProof w:val="0"/>
          <w:sz w:val="32"/>
          <w:szCs w:val="32"/>
          <w:rtl/>
          <w:lang w:eastAsia="en-US"/>
        </w:rPr>
        <w:t xml:space="preserve"> الشرح الممتع (8/425، 427، 428)، ومجموع الفتاوى</w:t>
      </w:r>
      <w:r>
        <w:rPr>
          <w:rFonts w:ascii="Traditional Arabic" w:hAnsi="Traditional Arabic" w:hint="cs"/>
          <w:noProof w:val="0"/>
          <w:sz w:val="32"/>
          <w:szCs w:val="32"/>
          <w:rtl/>
          <w:lang w:eastAsia="en-US"/>
        </w:rPr>
        <w:t xml:space="preserve"> لابن تيمية </w:t>
      </w:r>
      <w:r w:rsidRPr="00CD6B7B">
        <w:rPr>
          <w:rFonts w:ascii="Traditional Arabic" w:hAnsi="Traditional Arabic" w:hint="cs"/>
          <w:noProof w:val="0"/>
          <w:sz w:val="32"/>
          <w:szCs w:val="32"/>
          <w:rtl/>
          <w:lang w:eastAsia="en-US"/>
        </w:rPr>
        <w:t>(29/27، 56، 453، 458، 465)، و</w:t>
      </w:r>
      <w:r>
        <w:rPr>
          <w:rFonts w:ascii="Traditional Arabic" w:hAnsi="Traditional Arabic" w:hint="cs"/>
          <w:noProof w:val="0"/>
          <w:sz w:val="32"/>
          <w:szCs w:val="32"/>
          <w:rtl/>
          <w:lang w:eastAsia="en-US"/>
        </w:rPr>
        <w:t>معجم المصطلحات المالية و</w:t>
      </w:r>
      <w:r w:rsidRPr="00CD6B7B">
        <w:rPr>
          <w:rFonts w:ascii="Traditional Arabic" w:hAnsi="Traditional Arabic" w:hint="cs"/>
          <w:noProof w:val="0"/>
          <w:sz w:val="32"/>
          <w:szCs w:val="32"/>
          <w:rtl/>
          <w:lang w:eastAsia="en-US"/>
        </w:rPr>
        <w:t>الاقتصادية لنزيه حماد (408).</w:t>
      </w:r>
    </w:p>
  </w:footnote>
  <w:footnote w:id="644">
    <w:p w:rsidR="000D3D21" w:rsidRPr="00CD6B7B" w:rsidRDefault="000D3D21" w:rsidP="00236A41">
      <w:pPr>
        <w:pStyle w:val="a7"/>
        <w:rPr>
          <w:sz w:val="32"/>
          <w:szCs w:val="32"/>
          <w:rtl/>
        </w:rPr>
      </w:pPr>
      <w:r w:rsidRPr="00CD6B7B">
        <w:rPr>
          <w:rStyle w:val="af1"/>
          <w:rFonts w:ascii="Traditional Arabic" w:hAnsi="Traditional Arabic"/>
          <w:sz w:val="32"/>
          <w:szCs w:val="32"/>
          <w:vertAlign w:val="baseline"/>
        </w:rPr>
        <w:footnoteRef/>
      </w:r>
      <w:r w:rsidRPr="00CD6B7B">
        <w:rPr>
          <w:rStyle w:val="af1"/>
          <w:rFonts w:ascii="Traditional Arabic" w:hAnsi="Traditional Arabic"/>
          <w:sz w:val="32"/>
          <w:szCs w:val="32"/>
          <w:vertAlign w:val="baseline"/>
        </w:rPr>
        <w:t>)</w:t>
      </w:r>
      <w:r w:rsidRPr="00CD6B7B">
        <w:rPr>
          <w:rStyle w:val="af1"/>
          <w:rFonts w:ascii="Traditional Arabic" w:hAnsi="Traditional Arabic" w:hint="cs"/>
          <w:sz w:val="32"/>
          <w:szCs w:val="32"/>
          <w:vertAlign w:val="baseline"/>
          <w:rtl/>
        </w:rPr>
        <w:t>)</w:t>
      </w:r>
      <w:r>
        <w:rPr>
          <w:rFonts w:hint="cs"/>
          <w:sz w:val="32"/>
          <w:szCs w:val="32"/>
          <w:rtl/>
        </w:rPr>
        <w:t xml:space="preserve"> </w:t>
      </w:r>
      <w:r w:rsidRPr="00CD6B7B">
        <w:rPr>
          <w:rFonts w:hint="cs"/>
          <w:sz w:val="32"/>
          <w:szCs w:val="32"/>
          <w:rtl/>
        </w:rPr>
        <w:t>انظ</w:t>
      </w:r>
      <w:r>
        <w:rPr>
          <w:rFonts w:hint="cs"/>
          <w:sz w:val="32"/>
          <w:szCs w:val="32"/>
          <w:rtl/>
        </w:rPr>
        <w:t>ر: الشرح الممتع (8/226، 227)، و</w:t>
      </w:r>
      <w:r w:rsidRPr="00CD6B7B">
        <w:rPr>
          <w:rFonts w:hint="cs"/>
          <w:sz w:val="32"/>
          <w:szCs w:val="32"/>
          <w:rtl/>
        </w:rPr>
        <w:t>مجموع ال</w:t>
      </w:r>
      <w:r>
        <w:rPr>
          <w:rFonts w:hint="cs"/>
          <w:sz w:val="32"/>
          <w:szCs w:val="32"/>
          <w:rtl/>
        </w:rPr>
        <w:t>فتاوى لابن تيمية (29/27، 453)، و</w:t>
      </w:r>
      <w:r w:rsidRPr="00CD6B7B">
        <w:rPr>
          <w:rFonts w:hint="cs"/>
          <w:sz w:val="32"/>
          <w:szCs w:val="32"/>
          <w:rtl/>
        </w:rPr>
        <w:t>المطلع على دقائق زاد المستقنع-المعاملات المالية-(2/105).</w:t>
      </w:r>
    </w:p>
  </w:footnote>
  <w:footnote w:id="645">
    <w:p w:rsidR="000D3D21" w:rsidRPr="00CD6B7B" w:rsidRDefault="000D3D21" w:rsidP="00060462">
      <w:pPr>
        <w:widowControl/>
        <w:autoSpaceDE w:val="0"/>
        <w:autoSpaceDN w:val="0"/>
        <w:adjustRightInd w:val="0"/>
        <w:ind w:left="423" w:hanging="425"/>
        <w:jc w:val="left"/>
        <w:rPr>
          <w:rFonts w:ascii="Traditional Arabic" w:hAnsi="Traditional Arabic"/>
          <w:noProof w:val="0"/>
          <w:sz w:val="32"/>
          <w:szCs w:val="32"/>
          <w:rtl/>
          <w:lang w:eastAsia="en-US"/>
        </w:rPr>
      </w:pPr>
      <w:r w:rsidRPr="00CD6B7B">
        <w:rPr>
          <w:rFonts w:ascii="Traditional Arabic" w:hAnsi="Traditional Arabic"/>
          <w:sz w:val="32"/>
          <w:szCs w:val="32"/>
        </w:rPr>
        <w:footnoteRef/>
      </w:r>
      <w:r w:rsidRPr="00CD6B7B">
        <w:rPr>
          <w:rFonts w:ascii="Traditional Arabic" w:hAnsi="Traditional Arabic"/>
          <w:sz w:val="32"/>
          <w:szCs w:val="32"/>
        </w:rPr>
        <w:t>)</w:t>
      </w:r>
      <w:r w:rsidRPr="00CD6B7B">
        <w:rPr>
          <w:rFonts w:ascii="Traditional Arabic" w:hAnsi="Traditional Arabic" w:hint="cs"/>
          <w:sz w:val="32"/>
          <w:szCs w:val="32"/>
          <w:rtl/>
        </w:rPr>
        <w:t>)</w:t>
      </w:r>
      <w:r>
        <w:rPr>
          <w:rFonts w:hint="cs"/>
          <w:b/>
          <w:bCs/>
          <w:sz w:val="32"/>
          <w:szCs w:val="32"/>
          <w:rtl/>
        </w:rPr>
        <w:t xml:space="preserve"> </w:t>
      </w:r>
      <w:r w:rsidRPr="00CD6B7B">
        <w:rPr>
          <w:rFonts w:hint="cs"/>
          <w:b/>
          <w:bCs/>
          <w:sz w:val="32"/>
          <w:szCs w:val="32"/>
          <w:rtl/>
        </w:rPr>
        <w:t>الرهن</w:t>
      </w:r>
      <w:r w:rsidR="00AB0B9E">
        <w:rPr>
          <w:b/>
          <w:bCs/>
          <w:sz w:val="32"/>
          <w:szCs w:val="32"/>
          <w:rtl/>
        </w:rPr>
        <w:fldChar w:fldCharType="begin"/>
      </w:r>
      <w:r>
        <w:instrText xml:space="preserve"> XE "</w:instrText>
      </w:r>
      <w:r w:rsidRPr="00361A05">
        <w:rPr>
          <w:rFonts w:hint="cs"/>
          <w:sz w:val="32"/>
          <w:szCs w:val="32"/>
          <w:rtl/>
        </w:rPr>
        <w:instrText>الرهن</w:instrText>
      </w:r>
      <w:r>
        <w:instrText xml:space="preserve">" </w:instrText>
      </w:r>
      <w:r w:rsidRPr="00B575F3">
        <w:instrText>\fm</w:instrText>
      </w:r>
      <w:r w:rsidR="00AB0B9E">
        <w:rPr>
          <w:b/>
          <w:bCs/>
          <w:sz w:val="32"/>
          <w:szCs w:val="32"/>
          <w:rtl/>
        </w:rPr>
        <w:fldChar w:fldCharType="end"/>
      </w:r>
      <w:r w:rsidRPr="00CD6B7B">
        <w:rPr>
          <w:rFonts w:hint="cs"/>
          <w:b/>
          <w:bCs/>
          <w:sz w:val="32"/>
          <w:szCs w:val="32"/>
          <w:rtl/>
        </w:rPr>
        <w:t xml:space="preserve"> لغة</w:t>
      </w:r>
      <w:r w:rsidRPr="00CD6B7B">
        <w:rPr>
          <w:rFonts w:hint="cs"/>
          <w:sz w:val="32"/>
          <w:szCs w:val="32"/>
          <w:rtl/>
        </w:rPr>
        <w:t xml:space="preserve">: رَهَنَ </w:t>
      </w:r>
      <w:r w:rsidRPr="00CD6B7B">
        <w:rPr>
          <w:rFonts w:ascii="Traditional Arabic" w:hAnsi="Traditional Arabic"/>
          <w:noProof w:val="0"/>
          <w:sz w:val="32"/>
          <w:szCs w:val="32"/>
          <w:rtl/>
          <w:lang w:eastAsia="en-US"/>
        </w:rPr>
        <w:t>الشيء</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يَرْهَنُ رُهُونًا</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ث</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ب</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ت</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ودام</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فهو</w:t>
      </w:r>
      <w:r>
        <w:rPr>
          <w:rFonts w:ascii="Traditional Arabic" w:hAnsi="Traditional Arabic" w:hint="cs"/>
          <w:noProof w:val="0"/>
          <w:sz w:val="32"/>
          <w:szCs w:val="32"/>
          <w:rtl/>
          <w:lang w:eastAsia="en-US"/>
        </w:rPr>
        <w:t xml:space="preserve"> </w:t>
      </w:r>
      <w:r w:rsidRPr="00CD6B7B">
        <w:rPr>
          <w:rFonts w:ascii="Traditional Arabic" w:hAnsi="Traditional Arabic"/>
          <w:noProof w:val="0"/>
          <w:sz w:val="32"/>
          <w:szCs w:val="32"/>
          <w:rtl/>
          <w:lang w:eastAsia="en-US"/>
        </w:rPr>
        <w:t>رَاهِنٌ</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ويتعد</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ى بالألف فيقال</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أَرْهَنْتُهُ</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إذا</w:t>
      </w:r>
      <w:r>
        <w:rPr>
          <w:rFonts w:ascii="Traditional Arabic" w:hAnsi="Traditional Arabic" w:hint="cs"/>
          <w:noProof w:val="0"/>
          <w:sz w:val="32"/>
          <w:szCs w:val="32"/>
          <w:rtl/>
          <w:lang w:eastAsia="en-US"/>
        </w:rPr>
        <w:t xml:space="preserve"> </w:t>
      </w:r>
      <w:r w:rsidRPr="00CD6B7B">
        <w:rPr>
          <w:rFonts w:ascii="Traditional Arabic" w:hAnsi="Traditional Arabic"/>
          <w:noProof w:val="0"/>
          <w:sz w:val="32"/>
          <w:szCs w:val="32"/>
          <w:rtl/>
          <w:lang w:eastAsia="en-US"/>
        </w:rPr>
        <w:t>جعلت</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ه ثا</w:t>
      </w:r>
      <w:r w:rsidRPr="00CD6B7B">
        <w:rPr>
          <w:rFonts w:ascii="Traditional Arabic" w:hAnsi="Traditional Arabic" w:hint="cs"/>
          <w:noProof w:val="0"/>
          <w:sz w:val="32"/>
          <w:szCs w:val="32"/>
          <w:rtl/>
          <w:lang w:eastAsia="en-US"/>
        </w:rPr>
        <w:t>بت</w:t>
      </w:r>
      <w:r w:rsidRPr="00CD6B7B">
        <w:rPr>
          <w:rFonts w:ascii="Traditional Arabic" w:hAnsi="Traditional Arabic"/>
          <w:noProof w:val="0"/>
          <w:sz w:val="32"/>
          <w:szCs w:val="32"/>
          <w:rtl/>
          <w:lang w:eastAsia="en-US"/>
        </w:rPr>
        <w:t>ا</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ورَهَنْتُهُ المتاع</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 xml:space="preserve"> بالد</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ين رَهْنًا</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ح</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ب</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س</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ت</w:t>
      </w:r>
      <w:r w:rsidRPr="00CD6B7B">
        <w:rPr>
          <w:rFonts w:ascii="Traditional Arabic" w:hAnsi="Traditional Arabic" w:hint="cs"/>
          <w:noProof w:val="0"/>
          <w:sz w:val="32"/>
          <w:szCs w:val="32"/>
          <w:rtl/>
          <w:lang w:eastAsia="en-US"/>
        </w:rPr>
        <w:t>ُ</w:t>
      </w:r>
      <w:r w:rsidRPr="00CD6B7B">
        <w:rPr>
          <w:rFonts w:ascii="Traditional Arabic" w:hAnsi="Traditional Arabic"/>
          <w:noProof w:val="0"/>
          <w:sz w:val="32"/>
          <w:szCs w:val="32"/>
          <w:rtl/>
          <w:lang w:eastAsia="en-US"/>
        </w:rPr>
        <w:t>ه به فهو مَرْهُونٌ</w:t>
      </w:r>
      <w:r w:rsidRPr="00CD6B7B">
        <w:rPr>
          <w:rFonts w:ascii="Traditional Arabic" w:hAnsi="Traditional Arabic" w:hint="cs"/>
          <w:noProof w:val="0"/>
          <w:sz w:val="32"/>
          <w:szCs w:val="32"/>
          <w:rtl/>
          <w:lang w:eastAsia="en-US"/>
        </w:rPr>
        <w:t>،</w:t>
      </w:r>
      <w:r>
        <w:rPr>
          <w:rFonts w:ascii="Traditional Arabic" w:hAnsi="Traditional Arabic" w:hint="cs"/>
          <w:noProof w:val="0"/>
          <w:sz w:val="32"/>
          <w:szCs w:val="32"/>
          <w:rtl/>
          <w:lang w:eastAsia="en-US"/>
        </w:rPr>
        <w:t xml:space="preserve"> و</w:t>
      </w:r>
      <w:r w:rsidRPr="00CD6B7B">
        <w:rPr>
          <w:rFonts w:ascii="Traditional Arabic" w:hAnsi="Traditional Arabic" w:hint="cs"/>
          <w:noProof w:val="0"/>
          <w:sz w:val="32"/>
          <w:szCs w:val="32"/>
          <w:rtl/>
          <w:lang w:eastAsia="en-US"/>
        </w:rPr>
        <w:t>الأصل: مرهونٌ بالدين، فحُذِف</w:t>
      </w:r>
      <w:r>
        <w:rPr>
          <w:rFonts w:ascii="Traditional Arabic" w:hAnsi="Traditional Arabic" w:hint="cs"/>
          <w:noProof w:val="0"/>
          <w:sz w:val="32"/>
          <w:szCs w:val="32"/>
          <w:rtl/>
          <w:lang w:eastAsia="en-US"/>
        </w:rPr>
        <w:t xml:space="preserve"> </w:t>
      </w:r>
      <w:r w:rsidRPr="00CD6B7B">
        <w:rPr>
          <w:rFonts w:ascii="Traditional Arabic" w:hAnsi="Traditional Arabic" w:hint="cs"/>
          <w:noProof w:val="0"/>
          <w:sz w:val="32"/>
          <w:szCs w:val="32"/>
          <w:rtl/>
          <w:lang w:eastAsia="en-US"/>
        </w:rPr>
        <w:t>للعلم به.انظر المصباح المنير (201).</w:t>
      </w:r>
    </w:p>
    <w:p w:rsidR="000D3D21" w:rsidRPr="00CD6B7B" w:rsidRDefault="000D3D21" w:rsidP="00236A41">
      <w:pPr>
        <w:widowControl/>
        <w:autoSpaceDE w:val="0"/>
        <w:autoSpaceDN w:val="0"/>
        <w:adjustRightInd w:val="0"/>
        <w:ind w:firstLine="0"/>
        <w:jc w:val="left"/>
        <w:rPr>
          <w:sz w:val="32"/>
          <w:szCs w:val="32"/>
          <w:rtl/>
        </w:rPr>
      </w:pPr>
      <w:r>
        <w:rPr>
          <w:rFonts w:hint="cs"/>
          <w:b/>
          <w:bCs/>
          <w:sz w:val="32"/>
          <w:szCs w:val="32"/>
          <w:rtl/>
        </w:rPr>
        <w:t xml:space="preserve">     </w:t>
      </w:r>
      <w:r w:rsidRPr="00CD6B7B">
        <w:rPr>
          <w:rFonts w:hint="cs"/>
          <w:b/>
          <w:bCs/>
          <w:sz w:val="32"/>
          <w:szCs w:val="32"/>
          <w:rtl/>
        </w:rPr>
        <w:t>الرهن شرعا:</w:t>
      </w:r>
      <w:r w:rsidRPr="00CD6B7B">
        <w:rPr>
          <w:rFonts w:ascii="Traditional Arabic" w:hAnsi="Traditional Arabic"/>
          <w:sz w:val="32"/>
          <w:szCs w:val="32"/>
          <w:rtl/>
        </w:rPr>
        <w:t xml:space="preserve"> المال الذي يُجْعَل وثيقةً بالدين ليُسْتَوْفى م</w:t>
      </w:r>
      <w:r w:rsidRPr="00CD6B7B">
        <w:rPr>
          <w:rFonts w:ascii="Traditional Arabic" w:hAnsi="Traditional Arabic" w:hint="cs"/>
          <w:sz w:val="32"/>
          <w:szCs w:val="32"/>
          <w:rtl/>
        </w:rPr>
        <w:t>ِ</w:t>
      </w:r>
      <w:r w:rsidRPr="00CD6B7B">
        <w:rPr>
          <w:rFonts w:ascii="Traditional Arabic" w:hAnsi="Traditional Arabic"/>
          <w:sz w:val="32"/>
          <w:szCs w:val="32"/>
          <w:rtl/>
        </w:rPr>
        <w:t>ن ثمنه ﺇذا تعذّر استيفاؤه</w:t>
      </w:r>
      <w:r w:rsidRPr="00CD6B7B">
        <w:rPr>
          <w:rFonts w:ascii="Traditional Arabic" w:hAnsi="Traditional Arabic" w:hint="cs"/>
          <w:sz w:val="32"/>
          <w:szCs w:val="32"/>
          <w:rtl/>
        </w:rPr>
        <w:t xml:space="preserve"> ممن هو عليه. المغني</w:t>
      </w:r>
      <w:r>
        <w:rPr>
          <w:rFonts w:ascii="Traditional Arabic" w:hAnsi="Traditional Arabic" w:hint="cs"/>
          <w:sz w:val="32"/>
          <w:szCs w:val="32"/>
          <w:rtl/>
        </w:rPr>
        <w:t xml:space="preserve"> لابن قدامة</w:t>
      </w:r>
      <w:r w:rsidRPr="00CD6B7B">
        <w:rPr>
          <w:rFonts w:ascii="Traditional Arabic" w:hAnsi="Traditional Arabic" w:hint="cs"/>
          <w:sz w:val="32"/>
          <w:szCs w:val="32"/>
          <w:rtl/>
        </w:rPr>
        <w:t xml:space="preserve"> (6/433).</w:t>
      </w:r>
    </w:p>
  </w:footnote>
  <w:footnote w:id="646">
    <w:p w:rsidR="000D3D21" w:rsidRPr="00CD6B7B" w:rsidRDefault="000D3D21" w:rsidP="00236A41">
      <w:pPr>
        <w:widowControl/>
        <w:autoSpaceDE w:val="0"/>
        <w:autoSpaceDN w:val="0"/>
        <w:adjustRightInd w:val="0"/>
        <w:ind w:firstLine="0"/>
        <w:jc w:val="left"/>
        <w:rPr>
          <w:sz w:val="32"/>
          <w:szCs w:val="32"/>
          <w:rtl/>
        </w:rPr>
      </w:pPr>
      <w:r w:rsidRPr="00CD6B7B">
        <w:rPr>
          <w:rFonts w:ascii="Traditional Arabic" w:hAnsi="Traditional Arabic"/>
          <w:sz w:val="32"/>
          <w:szCs w:val="32"/>
        </w:rPr>
        <w:footnoteRef/>
      </w:r>
      <w:r w:rsidRPr="00CD6B7B">
        <w:rPr>
          <w:rFonts w:ascii="Traditional Arabic" w:hAnsi="Traditional Arabic"/>
          <w:sz w:val="32"/>
          <w:szCs w:val="32"/>
        </w:rPr>
        <w:t>)</w:t>
      </w:r>
      <w:r w:rsidRPr="00CD6B7B">
        <w:rPr>
          <w:rFonts w:ascii="Traditional Arabic" w:hAnsi="Traditional Arabic" w:hint="cs"/>
          <w:sz w:val="32"/>
          <w:szCs w:val="32"/>
          <w:rtl/>
        </w:rPr>
        <w:t>)</w:t>
      </w:r>
      <w:r>
        <w:rPr>
          <w:rFonts w:hint="cs"/>
          <w:sz w:val="32"/>
          <w:szCs w:val="32"/>
          <w:rtl/>
        </w:rPr>
        <w:t xml:space="preserve"> </w:t>
      </w:r>
      <w:r w:rsidRPr="00CD6B7B">
        <w:rPr>
          <w:rFonts w:hint="cs"/>
          <w:sz w:val="32"/>
          <w:szCs w:val="32"/>
          <w:rtl/>
        </w:rPr>
        <w:t>انظر الشرح الممتع (9/136).</w:t>
      </w:r>
    </w:p>
  </w:footnote>
  <w:footnote w:id="647">
    <w:p w:rsidR="000D3D21" w:rsidRPr="00CD6B7B" w:rsidRDefault="000D3D21" w:rsidP="00236A41">
      <w:pPr>
        <w:widowControl/>
        <w:autoSpaceDE w:val="0"/>
        <w:autoSpaceDN w:val="0"/>
        <w:adjustRightInd w:val="0"/>
        <w:ind w:firstLine="0"/>
        <w:jc w:val="left"/>
        <w:rPr>
          <w:sz w:val="32"/>
          <w:szCs w:val="32"/>
          <w:rtl/>
        </w:rPr>
      </w:pPr>
      <w:r w:rsidRPr="00CD6B7B">
        <w:rPr>
          <w:rFonts w:ascii="Traditional Arabic" w:hAnsi="Traditional Arabic"/>
          <w:sz w:val="32"/>
          <w:szCs w:val="32"/>
        </w:rPr>
        <w:footnoteRef/>
      </w:r>
      <w:r w:rsidRPr="00CD6B7B">
        <w:rPr>
          <w:rFonts w:ascii="Traditional Arabic" w:hAnsi="Traditional Arabic"/>
          <w:sz w:val="32"/>
          <w:szCs w:val="32"/>
        </w:rPr>
        <w:t>)</w:t>
      </w:r>
      <w:r w:rsidRPr="00CD6B7B">
        <w:rPr>
          <w:rFonts w:ascii="Traditional Arabic" w:hAnsi="Traditional Arabic" w:hint="cs"/>
          <w:sz w:val="32"/>
          <w:szCs w:val="32"/>
          <w:rtl/>
        </w:rPr>
        <w:t>)</w:t>
      </w:r>
      <w:r>
        <w:rPr>
          <w:rFonts w:hint="cs"/>
          <w:sz w:val="32"/>
          <w:szCs w:val="32"/>
          <w:rtl/>
        </w:rPr>
        <w:t xml:space="preserve"> </w:t>
      </w:r>
      <w:r w:rsidRPr="00CD6B7B">
        <w:rPr>
          <w:rFonts w:hint="cs"/>
          <w:sz w:val="32"/>
          <w:szCs w:val="32"/>
          <w:rtl/>
        </w:rPr>
        <w:t>انظر المرجع السابق.</w:t>
      </w:r>
    </w:p>
  </w:footnote>
  <w:footnote w:id="648">
    <w:p w:rsidR="000D3D21" w:rsidRPr="00CD6B7B" w:rsidRDefault="000D3D21" w:rsidP="00236A41">
      <w:pPr>
        <w:pStyle w:val="a7"/>
        <w:rPr>
          <w:rFonts w:ascii="Traditional Arabic" w:hAnsi="Traditional Arabic"/>
          <w:sz w:val="32"/>
          <w:szCs w:val="32"/>
          <w:rtl/>
        </w:rPr>
      </w:pPr>
      <w:r w:rsidRPr="00CD6B7B">
        <w:rPr>
          <w:rFonts w:ascii="Traditional Arabic" w:hAnsi="Traditional Arabic"/>
          <w:sz w:val="32"/>
          <w:szCs w:val="32"/>
        </w:rPr>
        <w:footnoteRef/>
      </w:r>
      <w:r w:rsidRPr="00CD6B7B">
        <w:rPr>
          <w:rFonts w:ascii="Traditional Arabic" w:hAnsi="Traditional Arabic"/>
          <w:sz w:val="32"/>
          <w:szCs w:val="32"/>
        </w:rPr>
        <w:t>)</w:t>
      </w:r>
      <w:r w:rsidRPr="00CD6B7B">
        <w:rPr>
          <w:rFonts w:ascii="Traditional Arabic" w:hAnsi="Traditional Arabic"/>
          <w:sz w:val="32"/>
          <w:szCs w:val="32"/>
          <w:rtl/>
        </w:rPr>
        <w:t>) لكن يُقبل إقراره في ذمته،</w:t>
      </w:r>
      <w:r>
        <w:rPr>
          <w:rFonts w:ascii="Traditional Arabic" w:hAnsi="Traditional Arabic"/>
          <w:sz w:val="32"/>
          <w:szCs w:val="32"/>
          <w:rtl/>
        </w:rPr>
        <w:t xml:space="preserve"> ويطال</w:t>
      </w:r>
      <w:r>
        <w:rPr>
          <w:rFonts w:ascii="Traditional Arabic" w:hAnsi="Traditional Arabic" w:hint="cs"/>
          <w:sz w:val="32"/>
          <w:szCs w:val="32"/>
          <w:rtl/>
        </w:rPr>
        <w:t>َ</w:t>
      </w:r>
      <w:r w:rsidRPr="00CD6B7B">
        <w:rPr>
          <w:rFonts w:ascii="Traditional Arabic" w:hAnsi="Traditional Arabic"/>
          <w:sz w:val="32"/>
          <w:szCs w:val="32"/>
          <w:rtl/>
        </w:rPr>
        <w:t>ب به بعد فَكّ الحجر عنه؛ لأنه لا يملك التصرف في المال حال</w:t>
      </w:r>
      <w:r>
        <w:rPr>
          <w:rFonts w:ascii="Traditional Arabic" w:hAnsi="Traditional Arabic" w:hint="cs"/>
          <w:sz w:val="32"/>
          <w:szCs w:val="32"/>
          <w:rtl/>
        </w:rPr>
        <w:t xml:space="preserve"> </w:t>
      </w:r>
      <w:r>
        <w:rPr>
          <w:rFonts w:ascii="Traditional Arabic" w:hAnsi="Traditional Arabic"/>
          <w:sz w:val="32"/>
          <w:szCs w:val="32"/>
          <w:rtl/>
        </w:rPr>
        <w:t>الحجر.انظر ال</w:t>
      </w:r>
      <w:r>
        <w:rPr>
          <w:rFonts w:ascii="Traditional Arabic" w:hAnsi="Traditional Arabic" w:hint="cs"/>
          <w:sz w:val="32"/>
          <w:szCs w:val="32"/>
          <w:rtl/>
        </w:rPr>
        <w:t>مرجع السابق</w:t>
      </w:r>
      <w:r w:rsidRPr="00CD6B7B">
        <w:rPr>
          <w:rFonts w:ascii="Traditional Arabic" w:hAnsi="Traditional Arabic"/>
          <w:sz w:val="32"/>
          <w:szCs w:val="32"/>
          <w:rtl/>
        </w:rPr>
        <w:t xml:space="preserve"> (9/280، 281).</w:t>
      </w:r>
    </w:p>
  </w:footnote>
  <w:footnote w:id="649">
    <w:p w:rsidR="000D3D21" w:rsidRPr="00CD6B7B" w:rsidRDefault="000D3D21" w:rsidP="002A5421">
      <w:pPr>
        <w:pStyle w:val="a7"/>
        <w:rPr>
          <w:rFonts w:ascii="Traditional Arabic" w:hAnsi="Traditional Arabic"/>
          <w:sz w:val="32"/>
          <w:szCs w:val="32"/>
          <w:rtl/>
        </w:rPr>
      </w:pPr>
      <w:r w:rsidRPr="00CD6B7B">
        <w:rPr>
          <w:rFonts w:ascii="Traditional Arabic" w:hAnsi="Traditional Arabic"/>
          <w:sz w:val="32"/>
          <w:szCs w:val="32"/>
        </w:rPr>
        <w:footnoteRef/>
      </w:r>
      <w:r w:rsidRPr="00CD6B7B">
        <w:rPr>
          <w:rFonts w:ascii="Traditional Arabic" w:hAnsi="Traditional Arabic"/>
          <w:sz w:val="32"/>
          <w:szCs w:val="32"/>
        </w:rPr>
        <w:t>)</w:t>
      </w:r>
      <w:r w:rsidRPr="00CD6B7B">
        <w:rPr>
          <w:rFonts w:ascii="Traditional Arabic" w:hAnsi="Traditional Arabic"/>
          <w:sz w:val="32"/>
          <w:szCs w:val="32"/>
          <w:rtl/>
        </w:rPr>
        <w:t xml:space="preserve">) </w:t>
      </w:r>
      <w:r w:rsidRPr="00CD6B7B">
        <w:rPr>
          <w:rFonts w:ascii="Traditional Arabic" w:hAnsi="Traditional Arabic"/>
          <w:b/>
          <w:bCs/>
          <w:sz w:val="32"/>
          <w:szCs w:val="32"/>
          <w:rtl/>
        </w:rPr>
        <w:t>الحجر</w:t>
      </w:r>
      <w:r w:rsidR="00AB0B9E">
        <w:rPr>
          <w:rFonts w:ascii="Traditional Arabic" w:hAnsi="Traditional Arabic"/>
          <w:b/>
          <w:bCs/>
          <w:sz w:val="32"/>
          <w:szCs w:val="32"/>
          <w:rtl/>
        </w:rPr>
        <w:fldChar w:fldCharType="begin"/>
      </w:r>
      <w:r>
        <w:instrText xml:space="preserve"> XE "</w:instrText>
      </w:r>
      <w:r w:rsidRPr="00B575F3">
        <w:rPr>
          <w:rFonts w:ascii="Traditional Arabic" w:hAnsi="Traditional Arabic"/>
          <w:sz w:val="32"/>
          <w:szCs w:val="32"/>
          <w:rtl/>
        </w:rPr>
        <w:instrText>الحجر</w:instrText>
      </w:r>
      <w:r>
        <w:instrText xml:space="preserve">" </w:instrText>
      </w:r>
      <w:r w:rsidRPr="002A5421">
        <w:instrText>\fm</w:instrText>
      </w:r>
      <w:r w:rsidR="00AB0B9E">
        <w:rPr>
          <w:rFonts w:ascii="Traditional Arabic" w:hAnsi="Traditional Arabic"/>
          <w:b/>
          <w:bCs/>
          <w:sz w:val="32"/>
          <w:szCs w:val="32"/>
          <w:rtl/>
        </w:rPr>
        <w:fldChar w:fldCharType="end"/>
      </w:r>
      <w:r w:rsidRPr="00CD6B7B">
        <w:rPr>
          <w:rFonts w:ascii="Traditional Arabic" w:hAnsi="Traditional Arabic"/>
          <w:b/>
          <w:bCs/>
          <w:sz w:val="32"/>
          <w:szCs w:val="32"/>
          <w:rtl/>
        </w:rPr>
        <w:t xml:space="preserve"> لغة:</w:t>
      </w:r>
      <w:r w:rsidRPr="00CD6B7B">
        <w:rPr>
          <w:rFonts w:ascii="Traditional Arabic" w:hAnsi="Traditional Arabic"/>
          <w:sz w:val="32"/>
          <w:szCs w:val="32"/>
          <w:rtl/>
        </w:rPr>
        <w:t xml:space="preserve"> المنع.</w:t>
      </w:r>
      <w:r>
        <w:rPr>
          <w:rFonts w:ascii="Traditional Arabic" w:hAnsi="Traditional Arabic" w:hint="cs"/>
          <w:sz w:val="32"/>
          <w:szCs w:val="32"/>
          <w:rtl/>
        </w:rPr>
        <w:t xml:space="preserve"> </w:t>
      </w:r>
      <w:r w:rsidRPr="00CD6B7B">
        <w:rPr>
          <w:rFonts w:ascii="Traditional Arabic" w:hAnsi="Traditional Arabic"/>
          <w:sz w:val="32"/>
          <w:szCs w:val="32"/>
          <w:rtl/>
        </w:rPr>
        <w:t>انظر تهذيب اللغة (4/132).</w:t>
      </w:r>
    </w:p>
    <w:p w:rsidR="000D3D21" w:rsidRPr="00CD6B7B" w:rsidRDefault="000D3D21" w:rsidP="00236A41">
      <w:pPr>
        <w:pStyle w:val="a7"/>
        <w:rPr>
          <w:rFonts w:ascii="Traditional Arabic" w:hAnsi="Traditional Arabic"/>
          <w:b/>
          <w:bCs/>
          <w:sz w:val="32"/>
          <w:szCs w:val="32"/>
          <w:rtl/>
        </w:rPr>
      </w:pPr>
      <w:r>
        <w:rPr>
          <w:rFonts w:ascii="Traditional Arabic" w:hAnsi="Traditional Arabic" w:hint="cs"/>
          <w:b/>
          <w:bCs/>
          <w:sz w:val="32"/>
          <w:szCs w:val="32"/>
          <w:rtl/>
        </w:rPr>
        <w:t xml:space="preserve">     </w:t>
      </w:r>
      <w:r w:rsidRPr="00CD6B7B">
        <w:rPr>
          <w:rFonts w:ascii="Traditional Arabic" w:hAnsi="Traditional Arabic"/>
          <w:b/>
          <w:bCs/>
          <w:sz w:val="32"/>
          <w:szCs w:val="32"/>
          <w:rtl/>
        </w:rPr>
        <w:t xml:space="preserve">الحجر شرعا: </w:t>
      </w:r>
      <w:r w:rsidRPr="00CD6B7B">
        <w:rPr>
          <w:rFonts w:ascii="Traditional Arabic" w:hAnsi="Traditional Arabic"/>
          <w:noProof w:val="0"/>
          <w:sz w:val="32"/>
          <w:szCs w:val="32"/>
          <w:rtl/>
          <w:lang w:eastAsia="en-US"/>
        </w:rPr>
        <w:t>مَنْعُ الإنسا</w:t>
      </w:r>
      <w:r>
        <w:rPr>
          <w:rFonts w:ascii="Traditional Arabic" w:hAnsi="Traditional Arabic"/>
          <w:noProof w:val="0"/>
          <w:sz w:val="32"/>
          <w:szCs w:val="32"/>
          <w:rtl/>
          <w:lang w:eastAsia="en-US"/>
        </w:rPr>
        <w:t>نِ من التصرُّف في مالِه. المغني</w:t>
      </w:r>
      <w:r>
        <w:rPr>
          <w:rFonts w:ascii="Traditional Arabic" w:hAnsi="Traditional Arabic" w:hint="cs"/>
          <w:noProof w:val="0"/>
          <w:sz w:val="32"/>
          <w:szCs w:val="32"/>
          <w:rtl/>
          <w:lang w:eastAsia="en-US"/>
        </w:rPr>
        <w:t xml:space="preserve"> </w:t>
      </w:r>
      <w:r w:rsidRPr="00CD6B7B">
        <w:rPr>
          <w:rFonts w:ascii="Traditional Arabic" w:hAnsi="Traditional Arabic"/>
          <w:noProof w:val="0"/>
          <w:sz w:val="32"/>
          <w:szCs w:val="32"/>
          <w:rtl/>
          <w:lang w:eastAsia="en-US"/>
        </w:rPr>
        <w:t>(6/593).</w:t>
      </w:r>
    </w:p>
  </w:footnote>
  <w:footnote w:id="650">
    <w:p w:rsidR="000D3D21" w:rsidRPr="00CD6B7B" w:rsidRDefault="000D3D21" w:rsidP="00236A41">
      <w:pPr>
        <w:pStyle w:val="a7"/>
        <w:rPr>
          <w:rFonts w:ascii="Traditional Arabic" w:hAnsi="Traditional Arabic"/>
          <w:sz w:val="32"/>
          <w:szCs w:val="32"/>
          <w:rtl/>
        </w:rPr>
      </w:pPr>
      <w:r w:rsidRPr="00CD6B7B">
        <w:rPr>
          <w:rFonts w:ascii="Traditional Arabic" w:hAnsi="Traditional Arabic"/>
          <w:sz w:val="32"/>
          <w:szCs w:val="32"/>
        </w:rPr>
        <w:footnoteRef/>
      </w:r>
      <w:r w:rsidRPr="00CD6B7B">
        <w:rPr>
          <w:rFonts w:ascii="Traditional Arabic" w:hAnsi="Traditional Arabic"/>
          <w:sz w:val="32"/>
          <w:szCs w:val="32"/>
        </w:rPr>
        <w:t>)</w:t>
      </w:r>
      <w:r>
        <w:rPr>
          <w:rFonts w:ascii="Traditional Arabic" w:hAnsi="Traditional Arabic"/>
          <w:sz w:val="32"/>
          <w:szCs w:val="32"/>
          <w:rtl/>
        </w:rPr>
        <w:t>) انظر ال</w:t>
      </w:r>
      <w:r>
        <w:rPr>
          <w:rFonts w:ascii="Traditional Arabic" w:hAnsi="Traditional Arabic" w:hint="cs"/>
          <w:sz w:val="32"/>
          <w:szCs w:val="32"/>
          <w:rtl/>
        </w:rPr>
        <w:t>شرح الممتع</w:t>
      </w:r>
      <w:r w:rsidRPr="00CD6B7B">
        <w:rPr>
          <w:rFonts w:ascii="Traditional Arabic" w:hAnsi="Traditional Arabic"/>
          <w:sz w:val="32"/>
          <w:szCs w:val="32"/>
          <w:rtl/>
        </w:rPr>
        <w:t xml:space="preserve"> (9/280-281).</w:t>
      </w:r>
    </w:p>
  </w:footnote>
  <w:footnote w:id="651">
    <w:p w:rsidR="000D3D21" w:rsidRPr="00CD6B7B" w:rsidRDefault="000D3D21" w:rsidP="00236A41">
      <w:pPr>
        <w:pStyle w:val="a7"/>
        <w:rPr>
          <w:rFonts w:ascii="Traditional Arabic" w:hAnsi="Traditional Arabic"/>
          <w:sz w:val="32"/>
          <w:szCs w:val="32"/>
          <w:rtl/>
        </w:rPr>
      </w:pPr>
      <w:r w:rsidRPr="00CD6B7B">
        <w:rPr>
          <w:rFonts w:ascii="Traditional Arabic" w:hAnsi="Traditional Arabic"/>
          <w:sz w:val="32"/>
          <w:szCs w:val="32"/>
        </w:rPr>
        <w:footnoteRef/>
      </w:r>
      <w:r w:rsidRPr="00CD6B7B">
        <w:rPr>
          <w:rFonts w:ascii="Traditional Arabic" w:hAnsi="Traditional Arabic"/>
          <w:sz w:val="32"/>
          <w:szCs w:val="32"/>
        </w:rPr>
        <w:t>)</w:t>
      </w:r>
      <w:r w:rsidRPr="00CD6B7B">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CD6B7B">
        <w:rPr>
          <w:rFonts w:ascii="Traditional Arabic" w:hAnsi="Traditional Arabic"/>
          <w:sz w:val="32"/>
          <w:szCs w:val="32"/>
          <w:rtl/>
        </w:rPr>
        <w:t xml:space="preserve"> (9/281)،</w:t>
      </w:r>
      <w:r>
        <w:rPr>
          <w:rFonts w:ascii="Traditional Arabic" w:hAnsi="Traditional Arabic"/>
          <w:sz w:val="32"/>
          <w:szCs w:val="32"/>
          <w:rtl/>
        </w:rPr>
        <w:t xml:space="preserve"> و</w:t>
      </w:r>
      <w:r w:rsidRPr="00CD6B7B">
        <w:rPr>
          <w:rFonts w:ascii="Traditional Arabic" w:hAnsi="Traditional Arabic"/>
          <w:sz w:val="32"/>
          <w:szCs w:val="32"/>
          <w:rtl/>
        </w:rPr>
        <w:t>المطلع على دقائق زاد المستقنع-المعاملات المالية- (3/346).</w:t>
      </w:r>
    </w:p>
  </w:footnote>
  <w:footnote w:id="652">
    <w:p w:rsidR="000D3D21" w:rsidRPr="00BE3CE7" w:rsidRDefault="000D3D21" w:rsidP="00236A4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E3CE7">
        <w:rPr>
          <w:rFonts w:ascii="Traditional Arabic" w:hAnsi="Traditional Arabic"/>
          <w:sz w:val="32"/>
          <w:szCs w:val="32"/>
          <w:rtl/>
        </w:rPr>
        <w:t>س</w:t>
      </w:r>
      <w:r>
        <w:rPr>
          <w:rFonts w:ascii="Traditional Arabic" w:hAnsi="Traditional Arabic"/>
          <w:sz w:val="32"/>
          <w:szCs w:val="32"/>
          <w:rtl/>
        </w:rPr>
        <w:t xml:space="preserve">يأتي بحث هذه القاعدة </w:t>
      </w:r>
      <w:r>
        <w:rPr>
          <w:rFonts w:ascii="Traditional Arabic" w:hAnsi="Traditional Arabic" w:hint="cs"/>
          <w:sz w:val="32"/>
          <w:szCs w:val="32"/>
          <w:rtl/>
        </w:rPr>
        <w:t>في المبحث الثالث من هذا الفصل</w:t>
      </w:r>
      <w:r w:rsidRPr="00BE3CE7">
        <w:rPr>
          <w:rFonts w:ascii="Traditional Arabic" w:hAnsi="Traditional Arabic"/>
          <w:sz w:val="32"/>
          <w:szCs w:val="32"/>
          <w:rtl/>
        </w:rPr>
        <w:t>.</w:t>
      </w:r>
    </w:p>
  </w:footnote>
  <w:footnote w:id="653">
    <w:p w:rsidR="000D3D21" w:rsidRPr="005239F1" w:rsidRDefault="000D3D21" w:rsidP="00236A41">
      <w:pPr>
        <w:pStyle w:val="a7"/>
        <w:ind w:left="329" w:hanging="329"/>
        <w:rPr>
          <w:rFonts w:ascii="Traditional Arabic" w:hAnsi="Traditional Arabic"/>
          <w:sz w:val="24"/>
          <w:szCs w:val="24"/>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مرجع السابق</w:t>
      </w:r>
      <w:r w:rsidRPr="00BE3CE7">
        <w:rPr>
          <w:rFonts w:ascii="Traditional Arabic" w:hAnsi="Traditional Arabic"/>
          <w:sz w:val="32"/>
          <w:szCs w:val="32"/>
          <w:rtl/>
        </w:rPr>
        <w:t xml:space="preserve"> (8/418).</w:t>
      </w:r>
    </w:p>
  </w:footnote>
  <w:footnote w:id="654">
    <w:p w:rsidR="000D3D21" w:rsidRPr="001C6846"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C6846">
        <w:rPr>
          <w:rFonts w:ascii="Traditional Arabic" w:hAnsi="Traditional Arabic"/>
          <w:sz w:val="32"/>
          <w:szCs w:val="32"/>
          <w:rtl/>
        </w:rPr>
        <w:t>اخترت هذه الصيغة</w:t>
      </w:r>
      <w:r>
        <w:rPr>
          <w:rFonts w:ascii="Traditional Arabic" w:hAnsi="Traditional Arabic" w:hint="cs"/>
          <w:sz w:val="32"/>
          <w:szCs w:val="32"/>
          <w:rtl/>
        </w:rPr>
        <w:t>، وعدلت عن الصيغة الواردة في خطة البحث؛</w:t>
      </w:r>
      <w:r w:rsidRPr="001C6846">
        <w:rPr>
          <w:rFonts w:ascii="Traditional Arabic" w:hAnsi="Traditional Arabic"/>
          <w:sz w:val="32"/>
          <w:szCs w:val="32"/>
          <w:rtl/>
        </w:rPr>
        <w:t xml:space="preserve"> لورودها بهذا اللفظ في كتاب البيع من الشرح الممتع، ولأنه لا فرق بينها وبين الصيغ الأخرى، فالمعنى واحد، كما سيتبين من خلال شرح القاعدة.</w:t>
      </w:r>
    </w:p>
  </w:footnote>
  <w:footnote w:id="655">
    <w:p w:rsidR="000D3D21" w:rsidRPr="001C6846"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الشرح الممتع (2/215)، وانظر فت</w:t>
      </w:r>
      <w:r>
        <w:rPr>
          <w:rFonts w:ascii="Traditional Arabic" w:hAnsi="Traditional Arabic" w:hint="cs"/>
          <w:sz w:val="32"/>
          <w:szCs w:val="32"/>
          <w:rtl/>
        </w:rPr>
        <w:t>ح</w:t>
      </w:r>
      <w:r w:rsidRPr="001C6846">
        <w:rPr>
          <w:rFonts w:ascii="Traditional Arabic" w:hAnsi="Traditional Arabic"/>
          <w:sz w:val="32"/>
          <w:szCs w:val="32"/>
          <w:rtl/>
        </w:rPr>
        <w:t xml:space="preserve"> ذي الجلال والإكرام (4/55، 56)، وشرح منظومة أصول الفقه وقواعده (84).</w:t>
      </w:r>
    </w:p>
  </w:footnote>
  <w:footnote w:id="656">
    <w:p w:rsidR="000D3D21" w:rsidRPr="001C6846"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C6846">
        <w:rPr>
          <w:rFonts w:ascii="Traditional Arabic" w:hAnsi="Traditional Arabic"/>
          <w:sz w:val="32"/>
          <w:szCs w:val="32"/>
          <w:rtl/>
        </w:rPr>
        <w:t>الشرح الممتع (8/420)،وانظر شرح منظومة أصول الفقه وقواعده (84).</w:t>
      </w:r>
    </w:p>
  </w:footnote>
  <w:footnote w:id="657">
    <w:p w:rsidR="000D3D21" w:rsidRPr="001C6846"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1C6846">
        <w:rPr>
          <w:rFonts w:ascii="Traditional Arabic" w:hAnsi="Traditional Arabic"/>
          <w:sz w:val="32"/>
          <w:szCs w:val="32"/>
          <w:rtl/>
        </w:rPr>
        <w:t xml:space="preserve"> التعليق على القواعد والأصول الجامعة (334)،</w:t>
      </w:r>
      <w:r>
        <w:rPr>
          <w:rFonts w:ascii="Traditional Arabic" w:hAnsi="Traditional Arabic"/>
          <w:sz w:val="32"/>
          <w:szCs w:val="32"/>
          <w:rtl/>
        </w:rPr>
        <w:t xml:space="preserve"> و</w:t>
      </w:r>
      <w:r w:rsidRPr="001C6846">
        <w:rPr>
          <w:rFonts w:ascii="Traditional Arabic" w:hAnsi="Traditional Arabic"/>
          <w:sz w:val="32"/>
          <w:szCs w:val="32"/>
          <w:rtl/>
        </w:rPr>
        <w:t>انظر شرح منظومة أصول الفقه وقواعده (81، 83، 84).</w:t>
      </w:r>
    </w:p>
  </w:footnote>
  <w:footnote w:id="658">
    <w:p w:rsidR="000D3D21" w:rsidRPr="001C6846"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1C6846">
        <w:rPr>
          <w:rFonts w:ascii="Traditional Arabic" w:hAnsi="Traditional Arabic"/>
          <w:sz w:val="32"/>
          <w:szCs w:val="32"/>
          <w:rtl/>
        </w:rPr>
        <w:t xml:space="preserve"> شرح منظومة اصول الفقه وقواعده (81). </w:t>
      </w:r>
    </w:p>
  </w:footnote>
  <w:footnote w:id="659">
    <w:p w:rsidR="000D3D21" w:rsidRPr="001C6846"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C6846">
        <w:rPr>
          <w:rFonts w:ascii="Traditional Arabic" w:hAnsi="Traditional Arabic"/>
          <w:sz w:val="32"/>
          <w:szCs w:val="32"/>
          <w:rtl/>
        </w:rPr>
        <w:t>مجموع الفتاوى لابن تيمية (1/164)، وانظر (22/298)، و(23/186)، و(29/49)، والقواعد والضوابط الفقهية للمعاملات المالية عند ابن تيمية جمعا ودراسة، لعبد السلام بن إبراهيم الحصين (</w:t>
      </w:r>
      <w:r>
        <w:rPr>
          <w:rFonts w:ascii="Traditional Arabic" w:hAnsi="Traditional Arabic"/>
          <w:sz w:val="32"/>
          <w:szCs w:val="32"/>
          <w:rtl/>
        </w:rPr>
        <w:t>1/283)، وموسوعة القواعد</w:t>
      </w:r>
      <w:r w:rsidRPr="001C6846">
        <w:rPr>
          <w:rFonts w:ascii="Traditional Arabic" w:hAnsi="Traditional Arabic"/>
          <w:sz w:val="32"/>
          <w:szCs w:val="32"/>
          <w:rtl/>
        </w:rPr>
        <w:t xml:space="preserve"> الفقهية للبورنو (8/546).</w:t>
      </w:r>
    </w:p>
  </w:footnote>
  <w:footnote w:id="660">
    <w:p w:rsidR="000D3D21" w:rsidRPr="001C6846"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C6846">
        <w:rPr>
          <w:rFonts w:ascii="Traditional Arabic" w:hAnsi="Traditional Arabic"/>
          <w:sz w:val="32"/>
          <w:szCs w:val="32"/>
          <w:rtl/>
        </w:rPr>
        <w:t>زاد المعاد (2/242)، والقواعد الفقهية المستخرجة من إعلام الموقعين (320).</w:t>
      </w:r>
    </w:p>
  </w:footnote>
  <w:footnote w:id="661">
    <w:p w:rsidR="000D3D21" w:rsidRPr="000F3E47" w:rsidRDefault="000D3D21" w:rsidP="00B64F4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C6846">
        <w:rPr>
          <w:rFonts w:ascii="Traditional Arabic" w:hAnsi="Traditional Arabic"/>
          <w:sz w:val="32"/>
          <w:szCs w:val="32"/>
          <w:rtl/>
        </w:rPr>
        <w:t>زاد المعاد (4/78)، وانظر إعلام الموقعين (3/408)، والقواعد الفقهية المستخرجة من إعلام الموقعين (320).</w:t>
      </w:r>
    </w:p>
  </w:footnote>
  <w:footnote w:id="662">
    <w:p w:rsidR="000D3D21" w:rsidRPr="00FE2564"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القواعد الفقهية ل</w:t>
      </w:r>
      <w:r>
        <w:rPr>
          <w:rFonts w:ascii="Traditional Arabic" w:hAnsi="Traditional Arabic" w:hint="cs"/>
          <w:sz w:val="32"/>
          <w:szCs w:val="32"/>
          <w:rtl/>
        </w:rPr>
        <w:t>ابن</w:t>
      </w:r>
      <w:r>
        <w:rPr>
          <w:rFonts w:ascii="Traditional Arabic" w:hAnsi="Traditional Arabic"/>
          <w:sz w:val="32"/>
          <w:szCs w:val="32"/>
          <w:rtl/>
        </w:rPr>
        <w:t xml:space="preserve"> سعدي (61).</w:t>
      </w:r>
    </w:p>
  </w:footnote>
  <w:footnote w:id="663">
    <w:p w:rsidR="000D3D21" w:rsidRPr="00FE2564"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E2564">
        <w:rPr>
          <w:rFonts w:ascii="Traditional Arabic" w:hAnsi="Traditional Arabic"/>
          <w:sz w:val="32"/>
          <w:szCs w:val="32"/>
          <w:rtl/>
        </w:rPr>
        <w:t>مقاييس اللغة (2/114).</w:t>
      </w:r>
    </w:p>
  </w:footnote>
  <w:footnote w:id="664">
    <w:p w:rsidR="000D3D21" w:rsidRPr="00B90E38"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تاج العروس للزبيدي (5/495)</w:t>
      </w:r>
      <w:r w:rsidRPr="00FE2564">
        <w:rPr>
          <w:rFonts w:ascii="Traditional Arabic" w:hAnsi="Traditional Arabic"/>
          <w:sz w:val="32"/>
          <w:szCs w:val="32"/>
          <w:rtl/>
        </w:rPr>
        <w:t>.</w:t>
      </w:r>
    </w:p>
  </w:footnote>
  <w:footnote w:id="665">
    <w:p w:rsidR="000D3D21" w:rsidRPr="00B90E38" w:rsidRDefault="000D3D21" w:rsidP="00B64F4C">
      <w:pPr>
        <w:pStyle w:val="a7"/>
        <w:spacing w:line="440" w:lineRule="exact"/>
        <w:ind w:left="510" w:hanging="510"/>
        <w:jc w:val="lowKashida"/>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B90E38">
        <w:rPr>
          <w:rFonts w:ascii="Traditional Arabic" w:hAnsi="Traditional Arabic"/>
          <w:b/>
          <w:bCs/>
          <w:sz w:val="32"/>
          <w:szCs w:val="32"/>
          <w:rtl/>
        </w:rPr>
        <w:tab/>
      </w:r>
      <w:r>
        <w:rPr>
          <w:rFonts w:ascii="Traditional Arabic" w:hAnsi="Traditional Arabic"/>
          <w:sz w:val="32"/>
          <w:szCs w:val="32"/>
          <w:rtl/>
        </w:rPr>
        <w:t xml:space="preserve">الموافقات </w:t>
      </w:r>
      <w:r w:rsidRPr="00B90E38">
        <w:rPr>
          <w:rFonts w:ascii="Traditional Arabic" w:hAnsi="Traditional Arabic"/>
          <w:sz w:val="32"/>
          <w:szCs w:val="32"/>
          <w:rtl/>
        </w:rPr>
        <w:t>(2/10).</w:t>
      </w:r>
    </w:p>
  </w:footnote>
  <w:footnote w:id="666">
    <w:p w:rsidR="000D3D21" w:rsidRDefault="000D3D21" w:rsidP="00B64F4C">
      <w:pPr>
        <w:pStyle w:val="a7"/>
        <w:spacing w:line="440" w:lineRule="exact"/>
        <w:ind w:left="510" w:hanging="510"/>
        <w:jc w:val="lowKashida"/>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90E38">
        <w:rPr>
          <w:rFonts w:ascii="Traditional Arabic" w:hAnsi="Traditional Arabic"/>
          <w:sz w:val="32"/>
          <w:szCs w:val="32"/>
          <w:rtl/>
        </w:rPr>
        <w:t>الحاجة وأثرها في الأحكام، دراسة نظرية تطبيقية لأحمد بن عبد الرحمن الرشيد (1/61).</w:t>
      </w:r>
    </w:p>
    <w:p w:rsidR="000D3D21" w:rsidRPr="00FB0BDE" w:rsidRDefault="000D3D21" w:rsidP="00B64F4C">
      <w:pPr>
        <w:pStyle w:val="a7"/>
        <w:spacing w:line="440" w:lineRule="exact"/>
        <w:ind w:left="510" w:hanging="510"/>
        <w:jc w:val="lowKashida"/>
        <w:rPr>
          <w:rFonts w:ascii="Traditional Arabic" w:hAnsi="Traditional Arabic"/>
          <w:sz w:val="32"/>
          <w:szCs w:val="32"/>
        </w:rPr>
      </w:pPr>
      <w:r>
        <w:rPr>
          <w:rFonts w:ascii="Traditional Arabic" w:hAnsi="Traditional Arabic" w:hint="cs"/>
          <w:sz w:val="32"/>
          <w:szCs w:val="32"/>
          <w:rtl/>
        </w:rPr>
        <w:t xml:space="preserve">      </w:t>
      </w:r>
      <w:r w:rsidRPr="00B90E38">
        <w:rPr>
          <w:rFonts w:ascii="Traditional Arabic" w:hAnsi="Traditional Arabic"/>
          <w:sz w:val="32"/>
          <w:szCs w:val="32"/>
          <w:rtl/>
        </w:rPr>
        <w:t xml:space="preserve">ومقصود الباحث بقوله:"مما يخالف الأدلة أو القواعد الشرعية" أن الأحكام الثابتة بالحاجة ليست أحكاما </w:t>
      </w:r>
      <w:r w:rsidRPr="00FB0BDE">
        <w:rPr>
          <w:rFonts w:ascii="Traditional Arabic" w:hAnsi="Traditional Arabic"/>
          <w:sz w:val="32"/>
          <w:szCs w:val="32"/>
          <w:rtl/>
        </w:rPr>
        <w:t>أصلية، وإنما هي من قبيل الأحكام الاستثنائية التي خولفت فيها أدلة الشريعة الخاصة أو العامة، لأمر يقتضي ذلك.</w:t>
      </w:r>
      <w:r>
        <w:rPr>
          <w:rFonts w:ascii="Traditional Arabic" w:hAnsi="Traditional Arabic" w:hint="cs"/>
          <w:sz w:val="32"/>
          <w:szCs w:val="32"/>
          <w:rtl/>
        </w:rPr>
        <w:t xml:space="preserve"> </w:t>
      </w:r>
      <w:r w:rsidRPr="00FB0BDE">
        <w:rPr>
          <w:rFonts w:ascii="Traditional Arabic" w:hAnsi="Traditional Arabic"/>
          <w:sz w:val="32"/>
          <w:szCs w:val="32"/>
          <w:rtl/>
        </w:rPr>
        <w:t xml:space="preserve">انظر </w:t>
      </w:r>
      <w:r>
        <w:rPr>
          <w:rFonts w:ascii="Traditional Arabic" w:hAnsi="Traditional Arabic" w:hint="cs"/>
          <w:sz w:val="32"/>
          <w:szCs w:val="32"/>
          <w:rtl/>
        </w:rPr>
        <w:t xml:space="preserve"> </w:t>
      </w:r>
      <w:r w:rsidRPr="00FB0BDE">
        <w:rPr>
          <w:rFonts w:ascii="Traditional Arabic" w:hAnsi="Traditional Arabic"/>
          <w:sz w:val="32"/>
          <w:szCs w:val="32"/>
          <w:rtl/>
        </w:rPr>
        <w:t>المرجع السابق (1/62).</w:t>
      </w:r>
    </w:p>
  </w:footnote>
  <w:footnote w:id="667">
    <w:p w:rsidR="000D3D21" w:rsidRPr="00FB0BDE"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E">
        <w:rPr>
          <w:rFonts w:ascii="Traditional Arabic" w:hAnsi="Traditional Arabic"/>
          <w:sz w:val="32"/>
          <w:szCs w:val="32"/>
          <w:rtl/>
        </w:rPr>
        <w:t>انظر الحاجة وأثرها في الأحكام (2/579-580).</w:t>
      </w:r>
    </w:p>
  </w:footnote>
  <w:footnote w:id="668">
    <w:p w:rsidR="000D3D21" w:rsidRPr="00FB0BDE"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E">
        <w:rPr>
          <w:rFonts w:ascii="Traditional Arabic" w:hAnsi="Traditional Arabic"/>
          <w:sz w:val="32"/>
          <w:szCs w:val="32"/>
          <w:rtl/>
        </w:rPr>
        <w:t xml:space="preserve">يقول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FB0BDE">
        <w:rPr>
          <w:rFonts w:ascii="Traditional Arabic" w:hAnsi="Traditional Arabic"/>
          <w:sz w:val="32"/>
          <w:szCs w:val="32"/>
          <w:rtl/>
        </w:rPr>
        <w:t xml:space="preserve"> عند تطرقه إلى ذكر هذين القسمين: (المحرَّمات نوعان : محرَّماتٌ تحريمَ غايةٍ لِذاتها</w:t>
      </w:r>
      <w:r>
        <w:rPr>
          <w:rFonts w:ascii="Traditional Arabic" w:hAnsi="Traditional Arabic"/>
          <w:sz w:val="32"/>
          <w:szCs w:val="32"/>
          <w:rtl/>
        </w:rPr>
        <w:t>،</w:t>
      </w:r>
      <w:r w:rsidRPr="00FB0BDE">
        <w:rPr>
          <w:rFonts w:ascii="Traditional Arabic" w:hAnsi="Traditional Arabic"/>
          <w:sz w:val="32"/>
          <w:szCs w:val="32"/>
          <w:rtl/>
        </w:rPr>
        <w:t xml:space="preserve"> ومحرمات تحريمَ وسيلةٍ).</w:t>
      </w:r>
      <w:r>
        <w:rPr>
          <w:rFonts w:ascii="Traditional Arabic" w:hAnsi="Traditional Arabic" w:hint="cs"/>
          <w:sz w:val="32"/>
          <w:szCs w:val="32"/>
          <w:rtl/>
        </w:rPr>
        <w:t xml:space="preserve"> </w:t>
      </w:r>
      <w:r w:rsidRPr="00FB0BDE">
        <w:rPr>
          <w:rFonts w:ascii="Traditional Arabic" w:hAnsi="Traditional Arabic"/>
          <w:sz w:val="32"/>
          <w:szCs w:val="32"/>
          <w:rtl/>
        </w:rPr>
        <w:t>الشرح الممتع (8/420). وانظر:</w:t>
      </w:r>
      <w:r>
        <w:rPr>
          <w:rFonts w:ascii="Traditional Arabic" w:hAnsi="Traditional Arabic" w:hint="cs"/>
          <w:sz w:val="32"/>
          <w:szCs w:val="32"/>
          <w:rtl/>
        </w:rPr>
        <w:t xml:space="preserve"> </w:t>
      </w:r>
      <w:r w:rsidRPr="00FB0BDE">
        <w:rPr>
          <w:rFonts w:ascii="Traditional Arabic" w:hAnsi="Traditional Arabic"/>
          <w:sz w:val="32"/>
          <w:szCs w:val="32"/>
          <w:rtl/>
        </w:rPr>
        <w:t>التلويح شرح التوضيح لمتن التنقيح في أصول الفقه لسعد الدين مسعود ابن عمر التفتزاني (2/262)، والفروق للقرافي (2/63-64)، وإعلام الموقعين (3/408)، و(4/554-555)، وزاد المعاد (2/242)، و(4/78)، ونظرية الضرورة الشرعية لوهبة الزحيلي (19-20).</w:t>
      </w:r>
    </w:p>
  </w:footnote>
  <w:footnote w:id="669">
    <w:p w:rsidR="000D3D21" w:rsidRPr="00FB0BDE"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E">
        <w:rPr>
          <w:rFonts w:ascii="Traditional Arabic" w:hAnsi="Traditional Arabic"/>
          <w:sz w:val="32"/>
          <w:szCs w:val="32"/>
          <w:rtl/>
        </w:rPr>
        <w:t>ومما ينبغي التنبيه عليه أن الحاجة لا تستقل بالتأثير على المحرمات تحريم الوسائل، بل يشركها في ذلك غيرها كالضرورة ورفع الحرج وعموم البلوى وما إلى ذلك من الأعذار الشرعية، وهذا ما يفسر ذكر ابن تيمية وابن القيم رحمهما الله لقيد المصلحة في صيغة القاعدة، ومن المعلوم أن المصلحة الراجحة تشمل الاستجابة للحاجة والضرورة ورفع الحرج وما إلى ذلك من الأعذار الشرعية.</w:t>
      </w:r>
      <w:r>
        <w:rPr>
          <w:rFonts w:ascii="Traditional Arabic" w:hAnsi="Traditional Arabic" w:hint="cs"/>
          <w:sz w:val="32"/>
          <w:szCs w:val="32"/>
          <w:rtl/>
        </w:rPr>
        <w:t xml:space="preserve">                          </w:t>
      </w:r>
      <w:r w:rsidRPr="00FB0BDE">
        <w:rPr>
          <w:rFonts w:ascii="Traditional Arabic" w:hAnsi="Traditional Arabic"/>
          <w:sz w:val="32"/>
          <w:szCs w:val="32"/>
          <w:rtl/>
        </w:rPr>
        <w:t xml:space="preserve">وكأن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FB0BDE">
        <w:rPr>
          <w:rFonts w:ascii="Traditional Arabic" w:hAnsi="Traditional Arabic"/>
          <w:sz w:val="32"/>
          <w:szCs w:val="32"/>
          <w:rtl/>
        </w:rPr>
        <w:t xml:space="preserve"> -والله أعلم-أشار إلى ذلك لما تطرق إلى جواز نظر الخاطب إلى مخطوبته،حيث قال: (</w:t>
      </w:r>
      <w:r>
        <w:rPr>
          <w:rFonts w:ascii="Traditional Arabic" w:hAnsi="Traditional Arabic"/>
          <w:sz w:val="32"/>
          <w:szCs w:val="32"/>
          <w:rtl/>
        </w:rPr>
        <w:t>.</w:t>
      </w:r>
      <w:r w:rsidRPr="00FB0BDE">
        <w:rPr>
          <w:rFonts w:ascii="Traditional Arabic" w:hAnsi="Traditional Arabic"/>
          <w:sz w:val="32"/>
          <w:szCs w:val="32"/>
          <w:rtl/>
        </w:rPr>
        <w:t>..وهذه من القواعد المهمة: أن ما حر</w:t>
      </w:r>
      <w:r>
        <w:rPr>
          <w:rFonts w:ascii="Traditional Arabic" w:hAnsi="Traditional Arabic"/>
          <w:sz w:val="32"/>
          <w:szCs w:val="32"/>
          <w:rtl/>
        </w:rPr>
        <w:t>م سدا للذريعة فإنه تبيحه الحاجة</w:t>
      </w:r>
      <w:r>
        <w:rPr>
          <w:rFonts w:ascii="Traditional Arabic" w:hAnsi="Traditional Arabic" w:hint="cs"/>
          <w:sz w:val="32"/>
          <w:szCs w:val="32"/>
          <w:rtl/>
        </w:rPr>
        <w:t>؛</w:t>
      </w:r>
      <w:r w:rsidRPr="00FB0BDE">
        <w:rPr>
          <w:rFonts w:ascii="Traditional Arabic" w:hAnsi="Traditional Arabic"/>
          <w:sz w:val="32"/>
          <w:szCs w:val="32"/>
          <w:rtl/>
        </w:rPr>
        <w:t xml:space="preserve"> ولهذا جاز للرجل الخاطب النظر إلى مخطوبته</w:t>
      </w:r>
      <w:r>
        <w:rPr>
          <w:rFonts w:ascii="Traditional Arabic" w:hAnsi="Traditional Arabic" w:hint="cs"/>
          <w:sz w:val="32"/>
          <w:szCs w:val="32"/>
          <w:rtl/>
        </w:rPr>
        <w:t>،</w:t>
      </w:r>
      <w:r w:rsidRPr="00FB0BDE">
        <w:rPr>
          <w:rFonts w:ascii="Traditional Arabic" w:hAnsi="Traditional Arabic"/>
          <w:sz w:val="32"/>
          <w:szCs w:val="32"/>
          <w:rtl/>
        </w:rPr>
        <w:t xml:space="preserve"> مع أنه ليس هناك ضرورة</w:t>
      </w:r>
      <w:r>
        <w:rPr>
          <w:rFonts w:ascii="Traditional Arabic" w:hAnsi="Traditional Arabic" w:hint="cs"/>
          <w:sz w:val="32"/>
          <w:szCs w:val="32"/>
          <w:rtl/>
        </w:rPr>
        <w:t>،</w:t>
      </w:r>
      <w:r w:rsidRPr="00FB0BDE">
        <w:rPr>
          <w:rFonts w:ascii="Traditional Arabic" w:hAnsi="Traditional Arabic"/>
          <w:sz w:val="32"/>
          <w:szCs w:val="32"/>
          <w:rtl/>
        </w:rPr>
        <w:t xml:space="preserve"> </w:t>
      </w:r>
      <w:r w:rsidRPr="00C1298D">
        <w:rPr>
          <w:rFonts w:ascii="Traditional Arabic" w:hAnsi="Traditional Arabic"/>
          <w:sz w:val="32"/>
          <w:szCs w:val="32"/>
          <w:rtl/>
        </w:rPr>
        <w:t>ولكن هناك حاجة ومصلحة</w:t>
      </w:r>
      <w:r w:rsidRPr="00FB0BDE">
        <w:rPr>
          <w:rFonts w:ascii="Traditional Arabic" w:hAnsi="Traditional Arabic"/>
          <w:sz w:val="32"/>
          <w:szCs w:val="32"/>
          <w:rtl/>
        </w:rPr>
        <w:t xml:space="preserve">).التعليق على القواعد </w:t>
      </w:r>
      <w:r>
        <w:rPr>
          <w:rFonts w:ascii="Traditional Arabic" w:hAnsi="Traditional Arabic"/>
          <w:sz w:val="32"/>
          <w:szCs w:val="32"/>
          <w:rtl/>
        </w:rPr>
        <w:t>والأصول الجامعة (334) بتصرف</w:t>
      </w:r>
      <w:r w:rsidRPr="00FB0BDE">
        <w:rPr>
          <w:rFonts w:ascii="Traditional Arabic" w:hAnsi="Traditional Arabic"/>
          <w:sz w:val="32"/>
          <w:szCs w:val="32"/>
          <w:rtl/>
        </w:rPr>
        <w:t>.</w:t>
      </w:r>
    </w:p>
  </w:footnote>
  <w:footnote w:id="670">
    <w:p w:rsidR="000D3D21" w:rsidRPr="00FB0BDE"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E">
        <w:rPr>
          <w:rFonts w:ascii="Traditional Arabic" w:hAnsi="Traditional Arabic"/>
          <w:sz w:val="32"/>
          <w:szCs w:val="32"/>
          <w:rtl/>
        </w:rPr>
        <w:t>لما كان النهي عن المحرمات تحريم الوسائل نهيا</w:t>
      </w:r>
      <w:r>
        <w:rPr>
          <w:rFonts w:ascii="Traditional Arabic" w:hAnsi="Traditional Arabic" w:hint="cs"/>
          <w:sz w:val="32"/>
          <w:szCs w:val="32"/>
          <w:rtl/>
        </w:rPr>
        <w:t>ً</w:t>
      </w:r>
      <w:r w:rsidRPr="00FB0BDE">
        <w:rPr>
          <w:rFonts w:ascii="Traditional Arabic" w:hAnsi="Traditional Arabic"/>
          <w:sz w:val="32"/>
          <w:szCs w:val="32"/>
          <w:rtl/>
        </w:rPr>
        <w:t xml:space="preserve"> ضعيفا قويت</w:t>
      </w:r>
      <w:r>
        <w:rPr>
          <w:rFonts w:ascii="Traditional Arabic" w:hAnsi="Traditional Arabic" w:hint="cs"/>
          <w:sz w:val="32"/>
          <w:szCs w:val="32"/>
          <w:rtl/>
        </w:rPr>
        <w:t>ْ</w:t>
      </w:r>
      <w:r w:rsidRPr="00FB0BDE">
        <w:rPr>
          <w:rFonts w:ascii="Traditional Arabic" w:hAnsi="Traditional Arabic"/>
          <w:sz w:val="32"/>
          <w:szCs w:val="32"/>
          <w:rtl/>
        </w:rPr>
        <w:t xml:space="preserve"> الحاجة</w:t>
      </w:r>
      <w:r>
        <w:rPr>
          <w:rFonts w:ascii="Traditional Arabic" w:hAnsi="Traditional Arabic" w:hint="cs"/>
          <w:sz w:val="32"/>
          <w:szCs w:val="32"/>
          <w:rtl/>
        </w:rPr>
        <w:t>ُ</w:t>
      </w:r>
      <w:r w:rsidRPr="00FB0BDE">
        <w:rPr>
          <w:rFonts w:ascii="Traditional Arabic" w:hAnsi="Traditional Arabic"/>
          <w:sz w:val="32"/>
          <w:szCs w:val="32"/>
          <w:rtl/>
        </w:rPr>
        <w:t xml:space="preserve"> على التأثير علي</w:t>
      </w:r>
      <w:r>
        <w:rPr>
          <w:rFonts w:ascii="Traditional Arabic" w:hAnsi="Traditional Arabic"/>
          <w:sz w:val="32"/>
          <w:szCs w:val="32"/>
          <w:rtl/>
        </w:rPr>
        <w:t>ه، أما المحرمات تحريم المقاصد ف</w:t>
      </w:r>
      <w:r>
        <w:rPr>
          <w:rFonts w:ascii="Traditional Arabic" w:hAnsi="Traditional Arabic" w:hint="cs"/>
          <w:sz w:val="32"/>
          <w:szCs w:val="32"/>
          <w:rtl/>
        </w:rPr>
        <w:t>إ</w:t>
      </w:r>
      <w:r w:rsidRPr="00FB0BDE">
        <w:rPr>
          <w:rFonts w:ascii="Traditional Arabic" w:hAnsi="Traditional Arabic"/>
          <w:sz w:val="32"/>
          <w:szCs w:val="32"/>
          <w:rtl/>
        </w:rPr>
        <w:t>ن النهي عنها قوي، ولذلك لم تقو</w:t>
      </w:r>
      <w:r>
        <w:rPr>
          <w:rFonts w:ascii="Traditional Arabic" w:hAnsi="Traditional Arabic" w:hint="cs"/>
          <w:sz w:val="32"/>
          <w:szCs w:val="32"/>
          <w:rtl/>
        </w:rPr>
        <w:t>َ</w:t>
      </w:r>
      <w:r w:rsidRPr="00FB0BDE">
        <w:rPr>
          <w:rFonts w:ascii="Traditional Arabic" w:hAnsi="Traditional Arabic"/>
          <w:sz w:val="32"/>
          <w:szCs w:val="32"/>
          <w:rtl/>
        </w:rPr>
        <w:t xml:space="preserve"> الحاجة على التأثير عليه، واختصت الضرورة وحدها بالتأثير عليه، ولعل هذا الذي قصده الشيخ السعدي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FB0BDE">
        <w:rPr>
          <w:rFonts w:ascii="Traditional Arabic" w:hAnsi="Traditional Arabic"/>
          <w:sz w:val="32"/>
          <w:szCs w:val="32"/>
          <w:rtl/>
        </w:rPr>
        <w:t xml:space="preserve"> عند كلامه عن القاعدة بقوله:( قد تكون الحاجة سبباً لإباحة المحرَّم، إذا كان التحريم خفيفاً، كالذي يحرم تحريمَ </w:t>
      </w:r>
      <w:r>
        <w:rPr>
          <w:rFonts w:ascii="Traditional Arabic" w:hAnsi="Traditional Arabic"/>
          <w:sz w:val="32"/>
          <w:szCs w:val="32"/>
          <w:rtl/>
        </w:rPr>
        <w:t xml:space="preserve">الوسائل).انظر: القواعد الفقهية </w:t>
      </w:r>
      <w:r w:rsidRPr="00FB0BDE">
        <w:rPr>
          <w:rFonts w:ascii="Traditional Arabic" w:hAnsi="Traditional Arabic"/>
          <w:sz w:val="32"/>
          <w:szCs w:val="32"/>
          <w:rtl/>
        </w:rPr>
        <w:t>ل</w:t>
      </w:r>
      <w:r>
        <w:rPr>
          <w:rFonts w:ascii="Traditional Arabic" w:hAnsi="Traditional Arabic" w:hint="cs"/>
          <w:sz w:val="32"/>
          <w:szCs w:val="32"/>
          <w:rtl/>
        </w:rPr>
        <w:t xml:space="preserve">ابن </w:t>
      </w:r>
      <w:r w:rsidRPr="00FB0BDE">
        <w:rPr>
          <w:rFonts w:ascii="Traditional Arabic" w:hAnsi="Traditional Arabic"/>
          <w:sz w:val="32"/>
          <w:szCs w:val="32"/>
          <w:rtl/>
        </w:rPr>
        <w:t>سعدي (61)، والحاجة وأثرها في الأحكام (2/580-581).</w:t>
      </w:r>
    </w:p>
  </w:footnote>
  <w:footnote w:id="671">
    <w:p w:rsidR="000D3D21" w:rsidRPr="00FB0BDE"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E">
        <w:rPr>
          <w:rFonts w:ascii="Traditional Arabic" w:hAnsi="Traditional Arabic"/>
          <w:sz w:val="32"/>
          <w:szCs w:val="32"/>
          <w:rtl/>
        </w:rPr>
        <w:t>إعلام الموقعين (5/76).</w:t>
      </w:r>
    </w:p>
  </w:footnote>
  <w:footnote w:id="672">
    <w:p w:rsidR="000D3D21" w:rsidRPr="00BC0E38" w:rsidRDefault="000D3D21" w:rsidP="00B64F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E">
        <w:rPr>
          <w:rFonts w:ascii="Traditional Arabic" w:hAnsi="Traditional Arabic"/>
          <w:sz w:val="32"/>
          <w:szCs w:val="32"/>
          <w:rtl/>
        </w:rPr>
        <w:t>روضة المحبين لابن القيم (92)</w:t>
      </w:r>
      <w:r>
        <w:rPr>
          <w:rFonts w:ascii="Traditional Arabic" w:hAnsi="Traditional Arabic" w:hint="cs"/>
          <w:sz w:val="32"/>
          <w:szCs w:val="32"/>
          <w:rtl/>
        </w:rPr>
        <w:t xml:space="preserve"> بتصرف</w:t>
      </w:r>
      <w:r w:rsidRPr="00FB0BDE">
        <w:rPr>
          <w:rFonts w:ascii="Traditional Arabic" w:hAnsi="Traditional Arabic"/>
          <w:sz w:val="32"/>
          <w:szCs w:val="32"/>
          <w:rtl/>
        </w:rPr>
        <w:t>.</w:t>
      </w:r>
    </w:p>
  </w:footnote>
  <w:footnote w:id="673">
    <w:p w:rsidR="000D3D21" w:rsidRPr="00FB0BDE" w:rsidRDefault="000D3D21" w:rsidP="0013591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FB0BDE">
        <w:rPr>
          <w:rFonts w:ascii="Traditional Arabic" w:hAnsi="Traditional Arabic"/>
          <w:b/>
          <w:bCs/>
          <w:sz w:val="32"/>
          <w:szCs w:val="32"/>
          <w:rtl/>
        </w:rPr>
        <w:t>الحكة</w:t>
      </w:r>
      <w:r w:rsidR="00AB0B9E">
        <w:rPr>
          <w:rFonts w:ascii="Traditional Arabic" w:hAnsi="Traditional Arabic"/>
          <w:b/>
          <w:bCs/>
          <w:sz w:val="32"/>
          <w:szCs w:val="32"/>
          <w:rtl/>
        </w:rPr>
        <w:fldChar w:fldCharType="begin"/>
      </w:r>
      <w:r>
        <w:instrText xml:space="preserve"> XE "</w:instrText>
      </w:r>
      <w:r w:rsidRPr="0013591C">
        <w:rPr>
          <w:rFonts w:ascii="Traditional Arabic" w:hAnsi="Traditional Arabic"/>
          <w:sz w:val="32"/>
          <w:szCs w:val="32"/>
          <w:rtl/>
        </w:rPr>
        <w:instrText>الحكة</w:instrText>
      </w:r>
      <w:r>
        <w:instrText xml:space="preserve">" </w:instrText>
      </w:r>
      <w:r w:rsidRPr="0013591C">
        <w:instrText>\fm</w:instrText>
      </w:r>
      <w:r w:rsidR="00AB0B9E">
        <w:rPr>
          <w:rFonts w:ascii="Traditional Arabic" w:hAnsi="Traditional Arabic"/>
          <w:b/>
          <w:bCs/>
          <w:sz w:val="32"/>
          <w:szCs w:val="32"/>
          <w:rtl/>
        </w:rPr>
        <w:fldChar w:fldCharType="end"/>
      </w:r>
      <w:r>
        <w:rPr>
          <w:rFonts w:ascii="Traditional Arabic" w:hAnsi="Traditional Arabic"/>
          <w:sz w:val="32"/>
          <w:szCs w:val="32"/>
          <w:rtl/>
        </w:rPr>
        <w:t>:</w:t>
      </w:r>
      <w:r w:rsidRPr="00FB0BDE">
        <w:rPr>
          <w:rFonts w:ascii="Traditional Arabic" w:hAnsi="Traditional Arabic"/>
          <w:sz w:val="32"/>
          <w:szCs w:val="32"/>
          <w:rtl/>
        </w:rPr>
        <w:t xml:space="preserve"> الجَرَب. الصحاح للجوهري (1580).</w:t>
      </w:r>
    </w:p>
  </w:footnote>
  <w:footnote w:id="674">
    <w:p w:rsidR="000D3D21" w:rsidRPr="00FB0BDE" w:rsidRDefault="000D3D21" w:rsidP="00B64F4C">
      <w:pPr>
        <w:pStyle w:val="a7"/>
        <w:spacing w:line="440" w:lineRule="exact"/>
        <w:ind w:left="510" w:hanging="510"/>
        <w:jc w:val="lowKashida"/>
        <w:rPr>
          <w:rFonts w:ascii="Traditional Arabic" w:hAnsi="Traditional Arabic"/>
          <w:sz w:val="32"/>
          <w:szCs w:val="32"/>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sidRPr="00FB0BDE">
        <w:rPr>
          <w:rFonts w:ascii="Traditional Arabic" w:hAnsi="Traditional Arabic"/>
          <w:sz w:val="32"/>
          <w:szCs w:val="32"/>
          <w:rtl/>
        </w:rPr>
        <w:tab/>
        <w:t>أخرجه البخاري في كتاب الجهاد والسير، باب الحرير في الحرب، رقم الحديث (2919)، ومسلم في كتاب اللباس والزينة</w:t>
      </w:r>
      <w:r>
        <w:rPr>
          <w:rFonts w:ascii="Traditional Arabic" w:hAnsi="Traditional Arabic"/>
          <w:sz w:val="32"/>
          <w:szCs w:val="32"/>
          <w:rtl/>
        </w:rPr>
        <w:t>،</w:t>
      </w:r>
      <w:r w:rsidRPr="00FB0BDE">
        <w:rPr>
          <w:rFonts w:ascii="Traditional Arabic" w:hAnsi="Traditional Arabic"/>
          <w:sz w:val="32"/>
          <w:szCs w:val="32"/>
          <w:rtl/>
        </w:rPr>
        <w:t xml:space="preserve"> باب إباحة لبس الحرير للرجل إذا كان به حكة أو نحوها</w:t>
      </w:r>
      <w:r>
        <w:rPr>
          <w:rFonts w:ascii="Traditional Arabic" w:hAnsi="Traditional Arabic"/>
          <w:sz w:val="32"/>
          <w:szCs w:val="32"/>
          <w:rtl/>
        </w:rPr>
        <w:t>،</w:t>
      </w:r>
      <w:r w:rsidRPr="00FB0BDE">
        <w:rPr>
          <w:rFonts w:ascii="Traditional Arabic" w:hAnsi="Traditional Arabic"/>
          <w:sz w:val="32"/>
          <w:szCs w:val="32"/>
          <w:rtl/>
        </w:rPr>
        <w:t xml:space="preserve"> رقم الحديث (2076)</w:t>
      </w:r>
      <w:r>
        <w:rPr>
          <w:rFonts w:ascii="Traditional Arabic" w:hAnsi="Traditional Arabic"/>
          <w:sz w:val="32"/>
          <w:szCs w:val="32"/>
          <w:rtl/>
        </w:rPr>
        <w:t>.</w:t>
      </w:r>
    </w:p>
  </w:footnote>
  <w:footnote w:id="675">
    <w:p w:rsidR="000D3D21" w:rsidRPr="00FB0BDE" w:rsidRDefault="000D3D21" w:rsidP="0013591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FB0BDE">
        <w:rPr>
          <w:rFonts w:ascii="Traditional Arabic" w:hAnsi="Traditional Arabic"/>
          <w:b/>
          <w:bCs/>
          <w:sz w:val="32"/>
          <w:szCs w:val="32"/>
          <w:rtl/>
        </w:rPr>
        <w:t>الجرب</w:t>
      </w:r>
      <w:r w:rsidR="00AB0B9E">
        <w:rPr>
          <w:rFonts w:ascii="Traditional Arabic" w:hAnsi="Traditional Arabic"/>
          <w:b/>
          <w:bCs/>
          <w:sz w:val="32"/>
          <w:szCs w:val="32"/>
          <w:rtl/>
        </w:rPr>
        <w:fldChar w:fldCharType="begin"/>
      </w:r>
      <w:r>
        <w:instrText xml:space="preserve"> XE "</w:instrText>
      </w:r>
      <w:r w:rsidRPr="0013591C">
        <w:rPr>
          <w:rFonts w:ascii="Traditional Arabic" w:hAnsi="Traditional Arabic"/>
          <w:sz w:val="32"/>
          <w:szCs w:val="32"/>
          <w:rtl/>
        </w:rPr>
        <w:instrText>الجرب</w:instrText>
      </w:r>
      <w:r>
        <w:instrText xml:space="preserve">" </w:instrText>
      </w:r>
      <w:r w:rsidRPr="0013591C">
        <w:instrText>\fm</w:instrText>
      </w:r>
      <w:r w:rsidR="00AB0B9E">
        <w:rPr>
          <w:rFonts w:ascii="Traditional Arabic" w:hAnsi="Traditional Arabic"/>
          <w:b/>
          <w:bCs/>
          <w:sz w:val="32"/>
          <w:szCs w:val="32"/>
          <w:rtl/>
        </w:rPr>
        <w:fldChar w:fldCharType="end"/>
      </w:r>
      <w:r w:rsidRPr="00FB0BDE">
        <w:rPr>
          <w:rFonts w:ascii="Traditional Arabic" w:hAnsi="Traditional Arabic"/>
          <w:sz w:val="32"/>
          <w:szCs w:val="32"/>
          <w:rtl/>
        </w:rPr>
        <w:t xml:space="preserve">: </w:t>
      </w:r>
      <w:r w:rsidRPr="00FB0BDE">
        <w:rPr>
          <w:rFonts w:ascii="Traditional Arabic" w:hAnsi="Traditional Arabic"/>
          <w:noProof w:val="0"/>
          <w:sz w:val="32"/>
          <w:szCs w:val="32"/>
          <w:rtl/>
          <w:lang w:eastAsia="en-US"/>
        </w:rPr>
        <w:t>بَثَرٌ يعلو أبدان الناس والإبل.لسان العرب (582)، وانظر المصباح المنير (</w:t>
      </w:r>
      <w:r>
        <w:rPr>
          <w:rFonts w:ascii="Traditional Arabic" w:hAnsi="Traditional Arabic" w:hint="cs"/>
          <w:noProof w:val="0"/>
          <w:sz w:val="32"/>
          <w:szCs w:val="32"/>
          <w:rtl/>
          <w:lang w:eastAsia="en-US"/>
        </w:rPr>
        <w:t>87</w:t>
      </w:r>
      <w:r w:rsidRPr="00FB0BDE">
        <w:rPr>
          <w:rFonts w:ascii="Traditional Arabic" w:hAnsi="Traditional Arabic"/>
          <w:noProof w:val="0"/>
          <w:sz w:val="32"/>
          <w:szCs w:val="32"/>
          <w:rtl/>
          <w:lang w:eastAsia="en-US"/>
        </w:rPr>
        <w:t>).</w:t>
      </w:r>
    </w:p>
  </w:footnote>
  <w:footnote w:id="676">
    <w:p w:rsidR="000D3D21" w:rsidRPr="00FB0BDE" w:rsidRDefault="000D3D21" w:rsidP="00B64F4C">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noProof w:val="0"/>
          <w:sz w:val="32"/>
          <w:szCs w:val="32"/>
          <w:rtl/>
          <w:lang w:eastAsia="en-US"/>
        </w:rPr>
        <w:t>(</w:t>
      </w:r>
      <w:r w:rsidRPr="00451907">
        <w:rPr>
          <w:rFonts w:ascii="Traditional Arabic" w:hAnsi="Traditional Arabic"/>
          <w:noProof w:val="0"/>
          <w:sz w:val="32"/>
          <w:szCs w:val="32"/>
          <w:rtl/>
          <w:lang w:eastAsia="en-US"/>
        </w:rPr>
        <w:footnoteRef/>
      </w:r>
      <w:r w:rsidRPr="00451907">
        <w:rPr>
          <w:rFonts w:ascii="Traditional Arabic" w:hAnsi="Traditional Arabic"/>
          <w:noProof w:val="0"/>
          <w:sz w:val="32"/>
          <w:szCs w:val="32"/>
          <w:rtl/>
          <w:lang w:eastAsia="en-US"/>
        </w:rPr>
        <w:t>)</w:t>
      </w:r>
      <w:r w:rsidRPr="00FB0BDE">
        <w:rPr>
          <w:rFonts w:ascii="Traditional Arabic" w:hAnsi="Traditional Arabic"/>
          <w:sz w:val="32"/>
          <w:szCs w:val="32"/>
          <w:rtl/>
        </w:rPr>
        <w:tab/>
        <w:t>انظر</w:t>
      </w:r>
      <w:r>
        <w:rPr>
          <w:rFonts w:ascii="Traditional Arabic" w:hAnsi="Traditional Arabic" w:hint="cs"/>
          <w:sz w:val="32"/>
          <w:szCs w:val="32"/>
          <w:rtl/>
        </w:rPr>
        <w:t>:</w:t>
      </w:r>
      <w:r w:rsidRPr="00FB0BDE">
        <w:rPr>
          <w:rFonts w:ascii="Traditional Arabic" w:hAnsi="Traditional Arabic"/>
          <w:sz w:val="32"/>
          <w:szCs w:val="32"/>
          <w:rtl/>
        </w:rPr>
        <w:t xml:space="preserve"> الشرح الممتع (2/215)، وشرح منظومة أصول الفقه وقواعده (84)،</w:t>
      </w:r>
      <w:r>
        <w:rPr>
          <w:rFonts w:ascii="Traditional Arabic" w:hAnsi="Traditional Arabic" w:hint="cs"/>
          <w:sz w:val="32"/>
          <w:szCs w:val="32"/>
          <w:rtl/>
        </w:rPr>
        <w:t xml:space="preserve"> و</w:t>
      </w:r>
      <w:r w:rsidRPr="00FB0BDE">
        <w:rPr>
          <w:rFonts w:ascii="Traditional Arabic" w:hAnsi="Traditional Arabic"/>
          <w:sz w:val="32"/>
          <w:szCs w:val="32"/>
          <w:rtl/>
        </w:rPr>
        <w:t>زاد المعاد(4/78).</w:t>
      </w:r>
      <w:r w:rsidRPr="00FB0BDE">
        <w:rPr>
          <w:rFonts w:ascii="Traditional Arabic" w:hAnsi="Traditional Arabic"/>
          <w:b/>
          <w:bCs/>
          <w:sz w:val="32"/>
          <w:szCs w:val="32"/>
          <w:rtl/>
        </w:rPr>
        <w:tab/>
      </w:r>
    </w:p>
  </w:footnote>
  <w:footnote w:id="677">
    <w:p w:rsidR="000D3D21" w:rsidRPr="00FB0BDE" w:rsidRDefault="000D3D21" w:rsidP="0013591C">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FB0BDE">
        <w:rPr>
          <w:rFonts w:ascii="Traditional Arabic" w:hAnsi="Traditional Arabic"/>
          <w:b/>
          <w:bCs/>
          <w:sz w:val="32"/>
          <w:szCs w:val="32"/>
          <w:rtl/>
        </w:rPr>
        <w:t>الأوسق</w:t>
      </w:r>
      <w:r w:rsidR="00AB0B9E">
        <w:rPr>
          <w:rFonts w:ascii="Traditional Arabic" w:hAnsi="Traditional Arabic"/>
          <w:b/>
          <w:bCs/>
          <w:sz w:val="32"/>
          <w:szCs w:val="32"/>
          <w:rtl/>
        </w:rPr>
        <w:fldChar w:fldCharType="begin"/>
      </w:r>
      <w:r>
        <w:instrText xml:space="preserve"> XE "</w:instrText>
      </w:r>
      <w:r w:rsidRPr="0013591C">
        <w:rPr>
          <w:rFonts w:ascii="Traditional Arabic" w:hAnsi="Traditional Arabic"/>
          <w:sz w:val="32"/>
          <w:szCs w:val="32"/>
          <w:rtl/>
        </w:rPr>
        <w:instrText>الأوسق</w:instrText>
      </w:r>
      <w:r>
        <w:instrText xml:space="preserve">" </w:instrText>
      </w:r>
      <w:r w:rsidRPr="0013591C">
        <w:instrText>\fm</w:instrText>
      </w:r>
      <w:r w:rsidR="00AB0B9E">
        <w:rPr>
          <w:rFonts w:ascii="Traditional Arabic" w:hAnsi="Traditional Arabic"/>
          <w:b/>
          <w:bCs/>
          <w:sz w:val="32"/>
          <w:szCs w:val="32"/>
          <w:rtl/>
        </w:rPr>
        <w:fldChar w:fldCharType="end"/>
      </w:r>
      <w:r w:rsidRPr="00FB0BDE">
        <w:rPr>
          <w:rFonts w:ascii="Traditional Arabic" w:hAnsi="Traditional Arabic"/>
          <w:b/>
          <w:bCs/>
          <w:sz w:val="32"/>
          <w:szCs w:val="32"/>
          <w:rtl/>
        </w:rPr>
        <w:t xml:space="preserve">: </w:t>
      </w:r>
      <w:r w:rsidRPr="00FB0BDE">
        <w:rPr>
          <w:rFonts w:ascii="Traditional Arabic" w:hAnsi="Traditional Arabic"/>
          <w:sz w:val="32"/>
          <w:szCs w:val="32"/>
          <w:rtl/>
        </w:rPr>
        <w:t>جمع وسق بفتح الواو وكسرها والفتح أشهر،</w:t>
      </w:r>
      <w:r w:rsidRPr="00FB0BDE">
        <w:rPr>
          <w:rFonts w:ascii="Traditional Arabic" w:hAnsi="Traditional Arabic"/>
          <w:noProof w:val="0"/>
          <w:sz w:val="32"/>
          <w:szCs w:val="32"/>
          <w:rtl/>
          <w:lang w:eastAsia="en-US"/>
        </w:rPr>
        <w:t>وكل شيء حملته فقد وسقته، ويقال: وسقتُ</w:t>
      </w:r>
      <w:r>
        <w:rPr>
          <w:rFonts w:ascii="Traditional Arabic" w:hAnsi="Traditional Arabic" w:hint="cs"/>
          <w:noProof w:val="0"/>
          <w:sz w:val="32"/>
          <w:szCs w:val="32"/>
          <w:rtl/>
          <w:lang w:eastAsia="en-US"/>
        </w:rPr>
        <w:t xml:space="preserve"> </w:t>
      </w:r>
      <w:r w:rsidRPr="00FB0BDE">
        <w:rPr>
          <w:rFonts w:ascii="Traditional Arabic" w:hAnsi="Traditional Arabic"/>
          <w:noProof w:val="0"/>
          <w:sz w:val="32"/>
          <w:szCs w:val="32"/>
          <w:rtl/>
          <w:lang w:eastAsia="en-US"/>
        </w:rPr>
        <w:t>الشيء</w:t>
      </w:r>
      <w:r>
        <w:rPr>
          <w:rFonts w:ascii="Traditional Arabic" w:hAnsi="Traditional Arabic" w:hint="cs"/>
          <w:noProof w:val="0"/>
          <w:sz w:val="32"/>
          <w:szCs w:val="32"/>
          <w:rtl/>
          <w:lang w:eastAsia="en-US"/>
        </w:rPr>
        <w:t>َ</w:t>
      </w:r>
      <w:r w:rsidRPr="00FB0BDE">
        <w:rPr>
          <w:rFonts w:ascii="Traditional Arabic" w:hAnsi="Traditional Arabic"/>
          <w:noProof w:val="0"/>
          <w:sz w:val="32"/>
          <w:szCs w:val="32"/>
          <w:rtl/>
          <w:lang w:eastAsia="en-US"/>
        </w:rPr>
        <w:t>، إذا ضممت بعضه إلى بعض، والصحيح أن مقداره ستون صاعا.</w:t>
      </w:r>
      <w:r w:rsidRPr="00FB0BDE">
        <w:rPr>
          <w:rFonts w:ascii="Traditional Arabic" w:hAnsi="Traditional Arabic"/>
          <w:sz w:val="32"/>
          <w:szCs w:val="32"/>
          <w:rtl/>
        </w:rPr>
        <w:t>انظر : تهذيب الأسماء واللغات للنووي (3/2/191)،</w:t>
      </w:r>
      <w:r>
        <w:rPr>
          <w:rFonts w:ascii="Traditional Arabic" w:hAnsi="Traditional Arabic"/>
          <w:sz w:val="32"/>
          <w:szCs w:val="32"/>
          <w:rtl/>
        </w:rPr>
        <w:t xml:space="preserve"> والمطلع على أ</w:t>
      </w:r>
      <w:r>
        <w:rPr>
          <w:rFonts w:ascii="Traditional Arabic" w:hAnsi="Traditional Arabic" w:hint="cs"/>
          <w:sz w:val="32"/>
          <w:szCs w:val="32"/>
          <w:rtl/>
        </w:rPr>
        <w:t>لفاظ</w:t>
      </w:r>
      <w:r w:rsidRPr="00FB0BDE">
        <w:rPr>
          <w:rFonts w:ascii="Traditional Arabic" w:hAnsi="Traditional Arabic"/>
          <w:sz w:val="32"/>
          <w:szCs w:val="32"/>
          <w:rtl/>
        </w:rPr>
        <w:t xml:space="preserve"> المقنع (164). </w:t>
      </w:r>
      <w:r w:rsidRPr="00FB0BDE">
        <w:rPr>
          <w:rFonts w:ascii="Traditional Arabic" w:hAnsi="Traditional Arabic"/>
          <w:sz w:val="32"/>
          <w:szCs w:val="32"/>
          <w:rtl/>
        </w:rPr>
        <w:tab/>
      </w:r>
    </w:p>
  </w:footnote>
  <w:footnote w:id="678">
    <w:p w:rsidR="000D3D21" w:rsidRPr="00FB0BDE" w:rsidRDefault="000D3D21" w:rsidP="00B64F4C">
      <w:pPr>
        <w:pStyle w:val="a7"/>
        <w:spacing w:line="440" w:lineRule="exact"/>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FB0BDE">
        <w:rPr>
          <w:rFonts w:ascii="Traditional Arabic" w:hAnsi="Traditional Arabic"/>
          <w:sz w:val="32"/>
          <w:szCs w:val="32"/>
          <w:rtl/>
        </w:rPr>
        <w:tab/>
        <w:t xml:space="preserve"> أخرجه البخاري في كتاب المساقاة، باب الرجل يكون له ممر أو شِرب في حائط أو في نخل، رقم الحديث (2383)، ومسلم في : كتاب البيوع</w:t>
      </w:r>
      <w:r>
        <w:rPr>
          <w:rFonts w:ascii="Traditional Arabic" w:hAnsi="Traditional Arabic"/>
          <w:sz w:val="32"/>
          <w:szCs w:val="32"/>
          <w:rtl/>
        </w:rPr>
        <w:t>،</w:t>
      </w:r>
      <w:r w:rsidRPr="00FB0BDE">
        <w:rPr>
          <w:rFonts w:ascii="Traditional Arabic" w:hAnsi="Traditional Arabic"/>
          <w:sz w:val="32"/>
          <w:szCs w:val="32"/>
          <w:rtl/>
        </w:rPr>
        <w:t xml:space="preserve"> باب تحريم بيع الرطب بالتمر إلا في العرايا، رقم الحديث (1541). </w:t>
      </w:r>
    </w:p>
  </w:footnote>
  <w:footnote w:id="679">
    <w:p w:rsidR="000D3D21" w:rsidRPr="00FB0BDE" w:rsidRDefault="000D3D21" w:rsidP="00B64F4C">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FB0BDE">
        <w:rPr>
          <w:rFonts w:ascii="Traditional Arabic" w:hAnsi="Traditional Arabic"/>
          <w:sz w:val="32"/>
          <w:szCs w:val="32"/>
          <w:rtl/>
        </w:rPr>
        <w:tab/>
        <w:t>انظر الشرح الممتع (2/216)، (8/518)،وفتح ذي الجلال والإكرام (4/56)، وشرح منظومة أصول الفقه وقواعده (81-82).</w:t>
      </w:r>
      <w:r w:rsidRPr="00FB0BDE">
        <w:rPr>
          <w:rFonts w:ascii="Traditional Arabic" w:hAnsi="Traditional Arabic"/>
          <w:sz w:val="32"/>
          <w:szCs w:val="32"/>
          <w:rtl/>
        </w:rPr>
        <w:tab/>
      </w:r>
    </w:p>
  </w:footnote>
  <w:footnote w:id="680">
    <w:p w:rsidR="000D3D21" w:rsidRPr="00860BB7" w:rsidRDefault="000D3D21" w:rsidP="00B64F4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E">
        <w:rPr>
          <w:rFonts w:ascii="Traditional Arabic" w:hAnsi="Traditional Arabic"/>
          <w:sz w:val="32"/>
          <w:szCs w:val="32"/>
          <w:rtl/>
        </w:rPr>
        <w:t>انظر الش</w:t>
      </w:r>
      <w:r>
        <w:rPr>
          <w:rFonts w:ascii="Traditional Arabic" w:hAnsi="Traditional Arabic"/>
          <w:sz w:val="32"/>
          <w:szCs w:val="32"/>
          <w:rtl/>
        </w:rPr>
        <w:t>رح الممتع (2/215-216)، و(8/418)</w:t>
      </w:r>
      <w:r>
        <w:rPr>
          <w:rFonts w:ascii="Traditional Arabic" w:hAnsi="Traditional Arabic" w:hint="cs"/>
          <w:sz w:val="32"/>
          <w:szCs w:val="32"/>
          <w:rtl/>
        </w:rPr>
        <w:t>.</w:t>
      </w:r>
    </w:p>
  </w:footnote>
  <w:footnote w:id="681">
    <w:p w:rsidR="000D3D21" w:rsidRPr="005239F1" w:rsidRDefault="000D3D21" w:rsidP="00B64F4C">
      <w:pPr>
        <w:pStyle w:val="a7"/>
        <w:ind w:left="329" w:hanging="329"/>
        <w:rPr>
          <w:rFonts w:ascii="Traditional Arabic" w:hAnsi="Traditional Arabic"/>
          <w:sz w:val="24"/>
          <w:szCs w:val="24"/>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E">
        <w:rPr>
          <w:rFonts w:ascii="Traditional Arabic" w:hAnsi="Traditional Arabic"/>
          <w:sz w:val="32"/>
          <w:szCs w:val="32"/>
          <w:rtl/>
        </w:rPr>
        <w:t>انظر:</w:t>
      </w:r>
      <w:r>
        <w:rPr>
          <w:rFonts w:ascii="Traditional Arabic" w:hAnsi="Traditional Arabic"/>
          <w:sz w:val="32"/>
          <w:szCs w:val="32"/>
          <w:rtl/>
        </w:rPr>
        <w:t xml:space="preserve"> ا</w:t>
      </w:r>
      <w:r>
        <w:rPr>
          <w:rFonts w:ascii="Traditional Arabic" w:hAnsi="Traditional Arabic" w:hint="cs"/>
          <w:sz w:val="32"/>
          <w:szCs w:val="32"/>
          <w:rtl/>
        </w:rPr>
        <w:t>لمرجع السابق</w:t>
      </w:r>
      <w:r>
        <w:rPr>
          <w:rFonts w:ascii="Traditional Arabic" w:hAnsi="Traditional Arabic"/>
          <w:sz w:val="32"/>
          <w:szCs w:val="32"/>
          <w:rtl/>
        </w:rPr>
        <w:t xml:space="preserve"> (2/215)، و(8/420)</w:t>
      </w:r>
      <w:r>
        <w:rPr>
          <w:rFonts w:ascii="Traditional Arabic" w:hAnsi="Traditional Arabic" w:hint="cs"/>
          <w:sz w:val="32"/>
          <w:szCs w:val="32"/>
          <w:rtl/>
        </w:rPr>
        <w:t>.</w:t>
      </w:r>
    </w:p>
  </w:footnote>
  <w:footnote w:id="682">
    <w:p w:rsidR="000D3D21" w:rsidRPr="0057676A" w:rsidRDefault="000D3D21" w:rsidP="0057676A">
      <w:pPr>
        <w:pStyle w:val="a7"/>
        <w:spacing w:line="360" w:lineRule="exact"/>
        <w:rPr>
          <w:rFonts w:ascii="Traditional Arabic" w:hAnsi="Traditional Arabic"/>
          <w:sz w:val="32"/>
          <w:szCs w:val="32"/>
          <w:rtl/>
        </w:rPr>
      </w:pPr>
      <w:r w:rsidRPr="0057676A">
        <w:rPr>
          <w:rFonts w:ascii="Traditional Arabic" w:hAnsi="Traditional Arabic"/>
          <w:sz w:val="32"/>
          <w:szCs w:val="32"/>
        </w:rPr>
        <w:footnoteRef/>
      </w:r>
      <w:r w:rsidRPr="0057676A">
        <w:rPr>
          <w:rFonts w:ascii="Traditional Arabic" w:hAnsi="Traditional Arabic"/>
          <w:sz w:val="32"/>
          <w:szCs w:val="32"/>
        </w:rPr>
        <w:t>)</w:t>
      </w:r>
      <w:r w:rsidRPr="0057676A">
        <w:rPr>
          <w:rFonts w:ascii="Traditional Arabic" w:hAnsi="Traditional Arabic"/>
          <w:sz w:val="32"/>
          <w:szCs w:val="32"/>
          <w:rtl/>
        </w:rPr>
        <w:t>) اخترت هذه الصيغة للأسباب التالية:</w:t>
      </w:r>
    </w:p>
    <w:p w:rsidR="000D3D21" w:rsidRPr="004C0180" w:rsidRDefault="000D3D21" w:rsidP="0057676A">
      <w:pPr>
        <w:pStyle w:val="af5"/>
        <w:keepLines/>
        <w:widowControl w:val="0"/>
        <w:spacing w:before="0" w:after="0"/>
        <w:ind w:firstLine="397"/>
        <w:jc w:val="both"/>
        <w:rPr>
          <w:rFonts w:ascii="Traditional Arabic" w:hAnsi="Traditional Arabic"/>
          <w:noProof w:val="0"/>
          <w:sz w:val="32"/>
          <w:szCs w:val="32"/>
          <w:rtl/>
          <w:lang w:eastAsia="en-US"/>
        </w:rPr>
      </w:pPr>
      <w:r w:rsidRPr="0057676A">
        <w:rPr>
          <w:rFonts w:ascii="Traditional Arabic" w:hAnsi="Traditional Arabic"/>
          <w:sz w:val="32"/>
          <w:szCs w:val="32"/>
          <w:rtl/>
        </w:rPr>
        <w:t xml:space="preserve">      -كون </w:t>
      </w:r>
      <w:r w:rsidRPr="0057676A">
        <w:rPr>
          <w:rFonts w:ascii="Traditional Arabic" w:hAnsi="Traditional Arabic"/>
          <w:noProof w:val="0"/>
          <w:sz w:val="32"/>
          <w:szCs w:val="32"/>
          <w:rtl/>
          <w:lang w:eastAsia="en-US"/>
        </w:rPr>
        <w:t>القاعدة كلما كانت ألفاظُها أَلْصَقَ باللفظ الشرعي كلما كانت أتمَّ وأكملَ في الدلالة على المقصود.يقول  تاج الدين السبكي _</w:t>
      </w:r>
      <w:r>
        <w:rPr>
          <w:rFonts w:ascii="Traditional Arabic" w:hAnsi="Traditional Arabic" w:hint="cs"/>
          <w:noProof w:val="0"/>
          <w:color w:val="000000"/>
          <w:sz w:val="32"/>
          <w:szCs w:val="32"/>
          <w:rtl/>
          <w:lang w:eastAsia="en-US"/>
        </w:rPr>
        <w:t>رحمه الله</w:t>
      </w:r>
      <w:r w:rsidRPr="0057676A">
        <w:rPr>
          <w:rFonts w:ascii="Traditional Arabic" w:hAnsi="Traditional Arabic"/>
          <w:noProof w:val="0"/>
          <w:sz w:val="32"/>
          <w:szCs w:val="32"/>
          <w:rtl/>
          <w:lang w:eastAsia="en-US"/>
        </w:rPr>
        <w:t>_</w:t>
      </w:r>
      <w:r>
        <w:rPr>
          <w:rFonts w:ascii="Traditional Arabic" w:hAnsi="Traditional Arabic"/>
          <w:noProof w:val="0"/>
          <w:sz w:val="32"/>
          <w:szCs w:val="32"/>
          <w:rtl/>
          <w:lang w:eastAsia="en-US"/>
        </w:rPr>
        <w:t>عند ذكره لقاعدة</w:t>
      </w:r>
      <w:r>
        <w:rPr>
          <w:rFonts w:ascii="Traditional Arabic" w:hAnsi="Traditional Arabic" w:hint="cs"/>
          <w:noProof w:val="0"/>
          <w:sz w:val="32"/>
          <w:szCs w:val="32"/>
          <w:rtl/>
          <w:lang w:eastAsia="en-US"/>
        </w:rPr>
        <w:t>: "</w:t>
      </w:r>
      <w:r>
        <w:rPr>
          <w:rFonts w:ascii="Traditional Arabic" w:hAnsi="Traditional Arabic"/>
          <w:noProof w:val="0"/>
          <w:sz w:val="32"/>
          <w:szCs w:val="32"/>
          <w:rtl/>
          <w:lang w:eastAsia="en-US"/>
        </w:rPr>
        <w:t>الأمور بمقاصدها</w:t>
      </w:r>
      <w:r>
        <w:rPr>
          <w:rFonts w:ascii="Traditional Arabic" w:hAnsi="Traditional Arabic" w:hint="cs"/>
          <w:noProof w:val="0"/>
          <w:sz w:val="32"/>
          <w:szCs w:val="32"/>
          <w:rtl/>
          <w:lang w:eastAsia="en-US"/>
        </w:rPr>
        <w:t>"</w:t>
      </w:r>
      <w:r w:rsidRPr="0057676A">
        <w:rPr>
          <w:rFonts w:ascii="Traditional Arabic" w:hAnsi="Traditional Arabic"/>
          <w:noProof w:val="0"/>
          <w:sz w:val="32"/>
          <w:szCs w:val="32"/>
          <w:rtl/>
          <w:lang w:eastAsia="en-US"/>
        </w:rPr>
        <w:t>: (وأرشقُ وأحسن من هذه العبارة قول م</w:t>
      </w:r>
      <w:r>
        <w:rPr>
          <w:rFonts w:ascii="Traditional Arabic" w:hAnsi="Traditional Arabic" w:hint="cs"/>
          <w:noProof w:val="0"/>
          <w:sz w:val="32"/>
          <w:szCs w:val="32"/>
          <w:rtl/>
          <w:lang w:eastAsia="en-US"/>
        </w:rPr>
        <w:t>َ</w:t>
      </w:r>
      <w:r w:rsidRPr="0057676A">
        <w:rPr>
          <w:rFonts w:ascii="Traditional Arabic" w:hAnsi="Traditional Arabic"/>
          <w:noProof w:val="0"/>
          <w:sz w:val="32"/>
          <w:szCs w:val="32"/>
          <w:rtl/>
          <w:lang w:eastAsia="en-US"/>
        </w:rPr>
        <w:t xml:space="preserve">ن أوتي جوامع الكلم </w:t>
      </w:r>
      <w:r w:rsidRPr="0057676A">
        <w:rPr>
          <w:rFonts w:ascii="Traditional Arabic" w:hAnsi="Traditional Arabic"/>
          <w:noProof w:val="0"/>
          <w:color w:val="000000"/>
          <w:sz w:val="32"/>
          <w:szCs w:val="32"/>
          <w:rtl/>
          <w:lang w:eastAsia="en-US"/>
        </w:rPr>
        <w:t xml:space="preserve">صلى الله عليه وسلم: </w:t>
      </w:r>
      <w:r w:rsidRPr="0057676A">
        <w:rPr>
          <w:rFonts w:ascii="Traditional Arabic" w:hAnsi="Traditional Arabic"/>
          <w:noProof w:val="0"/>
          <w:sz w:val="32"/>
          <w:szCs w:val="32"/>
          <w:rtl/>
          <w:lang w:eastAsia="en-US"/>
        </w:rPr>
        <w:t>"</w:t>
      </w:r>
      <w:r w:rsidRPr="0057676A">
        <w:rPr>
          <w:rFonts w:ascii="Traditional Arabic" w:hAnsi="Traditional Arabic"/>
          <w:sz w:val="32"/>
          <w:szCs w:val="32"/>
          <w:rtl/>
        </w:rPr>
        <w:t>ﺇنما الأعمال بالنيات")</w:t>
      </w:r>
      <w:r>
        <w:rPr>
          <w:rFonts w:ascii="Traditional Arabic" w:hAnsi="Traditional Arabic" w:hint="cs"/>
          <w:noProof w:val="0"/>
          <w:sz w:val="32"/>
          <w:szCs w:val="32"/>
          <w:rtl/>
          <w:lang w:eastAsia="en-US"/>
        </w:rPr>
        <w:t>. الأشباه والنظائر لابن السبكي (1/110)، وقد تقدم تخريج هذا الحديث.</w:t>
      </w:r>
    </w:p>
    <w:p w:rsidR="000D3D21" w:rsidRPr="0057676A" w:rsidRDefault="000D3D21" w:rsidP="0057676A">
      <w:pPr>
        <w:jc w:val="lowKashida"/>
        <w:rPr>
          <w:rFonts w:ascii="Traditional Arabic" w:hAnsi="Traditional Arabic"/>
          <w:sz w:val="32"/>
          <w:szCs w:val="32"/>
          <w:rtl/>
        </w:rPr>
      </w:pPr>
      <w:r w:rsidRPr="0057676A">
        <w:rPr>
          <w:rFonts w:ascii="Traditional Arabic" w:hAnsi="Traditional Arabic"/>
          <w:sz w:val="32"/>
          <w:szCs w:val="32"/>
          <w:rtl/>
        </w:rPr>
        <w:t xml:space="preserve">-كون الشيخ </w:t>
      </w:r>
      <w:r>
        <w:rPr>
          <w:rFonts w:ascii="Traditional Arabic" w:hAnsi="Traditional Arabic" w:hint="cs"/>
          <w:sz w:val="32"/>
          <w:szCs w:val="32"/>
          <w:rtl/>
        </w:rPr>
        <w:t>ابن عثيمين رحمه الله</w:t>
      </w:r>
      <w:r w:rsidRPr="0057676A">
        <w:rPr>
          <w:rFonts w:ascii="Traditional Arabic" w:hAnsi="Traditional Arabic"/>
          <w:sz w:val="32"/>
          <w:szCs w:val="32"/>
          <w:rtl/>
        </w:rPr>
        <w:t xml:space="preserve"> صدّرها بلفظ "قاعدة"،</w:t>
      </w:r>
      <w:r>
        <w:rPr>
          <w:rFonts w:ascii="Traditional Arabic" w:hAnsi="Traditional Arabic" w:hint="cs"/>
          <w:sz w:val="32"/>
          <w:szCs w:val="32"/>
          <w:rtl/>
        </w:rPr>
        <w:t xml:space="preserve"> </w:t>
      </w:r>
      <w:r w:rsidRPr="0057676A">
        <w:rPr>
          <w:rFonts w:ascii="Traditional Arabic" w:hAnsi="Traditional Arabic"/>
          <w:sz w:val="32"/>
          <w:szCs w:val="32"/>
          <w:rtl/>
        </w:rPr>
        <w:t xml:space="preserve">حيث </w:t>
      </w:r>
      <w:r>
        <w:rPr>
          <w:rFonts w:ascii="Traditional Arabic" w:hAnsi="Traditional Arabic" w:hint="cs"/>
          <w:sz w:val="32"/>
          <w:szCs w:val="32"/>
          <w:rtl/>
        </w:rPr>
        <w:t xml:space="preserve">إنه </w:t>
      </w:r>
      <w:r w:rsidRPr="0057676A">
        <w:rPr>
          <w:rFonts w:ascii="Traditional Arabic" w:hAnsi="Traditional Arabic"/>
          <w:sz w:val="32"/>
          <w:szCs w:val="32"/>
          <w:rtl/>
        </w:rPr>
        <w:t>قال:(ﻓﺈن قيل:قاعدة</w:t>
      </w:r>
      <w:r>
        <w:rPr>
          <w:rFonts w:ascii="Traditional Arabic" w:hAnsi="Traditional Arabic" w:hint="cs"/>
          <w:sz w:val="32"/>
          <w:szCs w:val="32"/>
          <w:rtl/>
        </w:rPr>
        <w:t xml:space="preserve">: </w:t>
      </w:r>
      <w:r w:rsidRPr="0057676A">
        <w:rPr>
          <w:rFonts w:ascii="Traditional Arabic" w:hAnsi="Traditional Arabic"/>
          <w:sz w:val="32"/>
          <w:szCs w:val="32"/>
          <w:rtl/>
        </w:rPr>
        <w:t>"ﺇنما الأعمال بالنيات"،</w:t>
      </w:r>
      <w:r>
        <w:rPr>
          <w:rFonts w:ascii="Traditional Arabic" w:hAnsi="Traditional Arabic" w:hint="cs"/>
          <w:sz w:val="32"/>
          <w:szCs w:val="32"/>
          <w:rtl/>
        </w:rPr>
        <w:t xml:space="preserve"> </w:t>
      </w:r>
      <w:r w:rsidRPr="0057676A">
        <w:rPr>
          <w:rFonts w:ascii="Traditional Arabic" w:hAnsi="Traditional Arabic"/>
          <w:sz w:val="32"/>
          <w:szCs w:val="32"/>
          <w:rtl/>
        </w:rPr>
        <w:t>هل تعارض ما ذكرنا؟</w:t>
      </w:r>
      <w:r>
        <w:rPr>
          <w:rFonts w:ascii="Traditional Arabic" w:hAnsi="Traditional Arabic" w:hint="cs"/>
          <w:sz w:val="32"/>
          <w:szCs w:val="32"/>
          <w:rtl/>
        </w:rPr>
        <w:t xml:space="preserve"> </w:t>
      </w:r>
      <w:r w:rsidRPr="0057676A">
        <w:rPr>
          <w:rFonts w:ascii="Traditional Arabic" w:hAnsi="Traditional Arabic"/>
          <w:sz w:val="32"/>
          <w:szCs w:val="32"/>
          <w:rtl/>
        </w:rPr>
        <w:t>الجواب:لا تعارضه...).</w:t>
      </w:r>
      <w:r>
        <w:rPr>
          <w:rFonts w:ascii="Traditional Arabic" w:hAnsi="Traditional Arabic" w:hint="cs"/>
          <w:sz w:val="32"/>
          <w:szCs w:val="32"/>
          <w:rtl/>
        </w:rPr>
        <w:t xml:space="preserve"> القول المفيد (1/408).</w:t>
      </w:r>
    </w:p>
    <w:p w:rsidR="000D3D21" w:rsidRPr="0057676A" w:rsidRDefault="000D3D21" w:rsidP="0057676A">
      <w:pPr>
        <w:jc w:val="lowKashida"/>
        <w:rPr>
          <w:rFonts w:ascii="Traditional Arabic" w:hAnsi="Traditional Arabic"/>
          <w:sz w:val="32"/>
          <w:szCs w:val="32"/>
          <w:rtl/>
        </w:rPr>
      </w:pPr>
      <w:r w:rsidRPr="0057676A">
        <w:rPr>
          <w:rFonts w:ascii="Traditional Arabic" w:hAnsi="Traditional Arabic"/>
          <w:sz w:val="32"/>
          <w:szCs w:val="32"/>
          <w:rtl/>
        </w:rPr>
        <w:t>-كون هذه الصيغة أقرب ﺇلى اللفظ الذي ذكره الشيخ في منظوم</w:t>
      </w:r>
      <w:r>
        <w:rPr>
          <w:rFonts w:ascii="Traditional Arabic" w:hAnsi="Traditional Arabic"/>
          <w:sz w:val="32"/>
          <w:szCs w:val="32"/>
          <w:rtl/>
        </w:rPr>
        <w:t>ة أصول الفقه وقواعده،حيث قال</w:t>
      </w:r>
      <w:r>
        <w:rPr>
          <w:rFonts w:ascii="Traditional Arabic" w:hAnsi="Traditional Arabic" w:hint="cs"/>
          <w:sz w:val="32"/>
          <w:szCs w:val="32"/>
          <w:rtl/>
        </w:rPr>
        <w:t xml:space="preserve">: </w:t>
      </w:r>
      <w:r>
        <w:rPr>
          <w:rFonts w:ascii="Traditional Arabic" w:hAnsi="Traditional Arabic"/>
          <w:sz w:val="32"/>
          <w:szCs w:val="32"/>
          <w:rtl/>
        </w:rPr>
        <w:t xml:space="preserve"> </w:t>
      </w:r>
      <w:r>
        <w:rPr>
          <w:rFonts w:ascii="Traditional Arabic" w:hAnsi="Traditional Arabic" w:hint="cs"/>
          <w:sz w:val="32"/>
          <w:szCs w:val="32"/>
          <w:rtl/>
        </w:rPr>
        <w:t>(وا</w:t>
      </w:r>
      <w:r w:rsidRPr="0057676A">
        <w:rPr>
          <w:rFonts w:ascii="Traditional Arabic" w:hAnsi="Traditional Arabic"/>
          <w:sz w:val="32"/>
          <w:szCs w:val="32"/>
          <w:rtl/>
        </w:rPr>
        <w:t>حكم لكل عامل بنيّته).</w:t>
      </w:r>
      <w:r>
        <w:rPr>
          <w:rFonts w:ascii="Traditional Arabic" w:hAnsi="Traditional Arabic" w:hint="cs"/>
          <w:sz w:val="32"/>
          <w:szCs w:val="32"/>
          <w:rtl/>
        </w:rPr>
        <w:t xml:space="preserve"> منظومة أصول الفقه وقواعده (13).</w:t>
      </w:r>
    </w:p>
    <w:p w:rsidR="000D3D21" w:rsidRPr="0057676A" w:rsidRDefault="000D3D21" w:rsidP="00060462">
      <w:pPr>
        <w:jc w:val="lowKashida"/>
        <w:rPr>
          <w:rFonts w:ascii="Traditional Arabic" w:hAnsi="Traditional Arabic"/>
        </w:rPr>
      </w:pPr>
      <w:r w:rsidRPr="0057676A">
        <w:rPr>
          <w:rFonts w:ascii="Traditional Arabic" w:hAnsi="Traditional Arabic"/>
          <w:sz w:val="32"/>
          <w:szCs w:val="32"/>
          <w:rtl/>
        </w:rPr>
        <w:t>-كون الشيخ تعرّض لألفاظ هذه الصيغة بالشرح،</w:t>
      </w:r>
      <w:r>
        <w:rPr>
          <w:rFonts w:ascii="Traditional Arabic" w:hAnsi="Traditional Arabic" w:hint="cs"/>
          <w:sz w:val="32"/>
          <w:szCs w:val="32"/>
          <w:rtl/>
        </w:rPr>
        <w:t xml:space="preserve"> </w:t>
      </w:r>
      <w:r w:rsidRPr="0057676A">
        <w:rPr>
          <w:rFonts w:ascii="Traditional Arabic" w:hAnsi="Traditional Arabic"/>
          <w:sz w:val="32"/>
          <w:szCs w:val="32"/>
          <w:rtl/>
        </w:rPr>
        <w:t>و هذا مما يُيسّر شرح القاعدة بكلامه</w:t>
      </w:r>
      <w:r>
        <w:rPr>
          <w:rFonts w:ascii="Traditional Arabic" w:hAnsi="Traditional Arabic" w:hint="cs"/>
          <w:sz w:val="32"/>
          <w:szCs w:val="32"/>
          <w:rtl/>
        </w:rPr>
        <w:t xml:space="preserve"> _رحمه الله_</w:t>
      </w:r>
      <w:r w:rsidRPr="0057676A">
        <w:rPr>
          <w:rFonts w:ascii="Traditional Arabic" w:hAnsi="Traditional Arabic"/>
          <w:sz w:val="32"/>
          <w:szCs w:val="32"/>
          <w:rtl/>
        </w:rPr>
        <w:t>.</w:t>
      </w:r>
    </w:p>
  </w:footnote>
  <w:footnote w:id="683">
    <w:p w:rsidR="000D3D21" w:rsidRPr="00D514D2" w:rsidRDefault="000D3D21" w:rsidP="00865918">
      <w:pPr>
        <w:pStyle w:val="a7"/>
        <w:spacing w:line="360" w:lineRule="exact"/>
        <w:rPr>
          <w:sz w:val="32"/>
          <w:szCs w:val="32"/>
          <w:rtl/>
        </w:rPr>
      </w:pPr>
      <w:r w:rsidRPr="00D514D2">
        <w:rPr>
          <w:sz w:val="32"/>
          <w:szCs w:val="32"/>
          <w:rtl/>
        </w:rPr>
        <w:t>(</w:t>
      </w:r>
      <w:r w:rsidRPr="00D514D2">
        <w:rPr>
          <w:sz w:val="32"/>
          <w:szCs w:val="32"/>
          <w:rtl/>
        </w:rPr>
        <w:footnoteRef/>
      </w:r>
      <w:r w:rsidRPr="00D514D2">
        <w:rPr>
          <w:sz w:val="32"/>
          <w:szCs w:val="32"/>
          <w:rtl/>
        </w:rPr>
        <w:t>)</w:t>
      </w:r>
      <w:r>
        <w:rPr>
          <w:rFonts w:hint="cs"/>
          <w:sz w:val="32"/>
          <w:szCs w:val="32"/>
          <w:rtl/>
        </w:rPr>
        <w:t xml:space="preserve"> الشرح الممتع</w:t>
      </w:r>
      <w:r w:rsidRPr="00D514D2">
        <w:rPr>
          <w:rFonts w:hint="cs"/>
          <w:sz w:val="32"/>
          <w:szCs w:val="32"/>
          <w:rtl/>
        </w:rPr>
        <w:t xml:space="preserve"> (6/41).</w:t>
      </w:r>
    </w:p>
  </w:footnote>
  <w:footnote w:id="684">
    <w:p w:rsidR="000D3D21" w:rsidRPr="00D514D2" w:rsidRDefault="000D3D21" w:rsidP="00865918">
      <w:pPr>
        <w:pStyle w:val="a7"/>
        <w:spacing w:line="360" w:lineRule="exact"/>
        <w:rPr>
          <w:sz w:val="32"/>
          <w:szCs w:val="32"/>
          <w:rtl/>
        </w:rPr>
      </w:pPr>
      <w:r w:rsidRPr="00D514D2">
        <w:rPr>
          <w:sz w:val="32"/>
          <w:szCs w:val="32"/>
          <w:rtl/>
        </w:rPr>
        <w:t>(</w:t>
      </w:r>
      <w:r w:rsidRPr="00D514D2">
        <w:rPr>
          <w:sz w:val="32"/>
          <w:szCs w:val="32"/>
          <w:rtl/>
        </w:rPr>
        <w:footnoteRef/>
      </w:r>
      <w:r w:rsidRPr="00D514D2">
        <w:rPr>
          <w:sz w:val="32"/>
          <w:szCs w:val="32"/>
          <w:rtl/>
        </w:rPr>
        <w:t>)</w:t>
      </w:r>
      <w:r>
        <w:rPr>
          <w:rFonts w:hint="cs"/>
          <w:sz w:val="32"/>
          <w:szCs w:val="32"/>
          <w:rtl/>
        </w:rPr>
        <w:t xml:space="preserve"> المرجع السابق</w:t>
      </w:r>
      <w:r w:rsidRPr="00D514D2">
        <w:rPr>
          <w:rFonts w:hint="cs"/>
          <w:sz w:val="32"/>
          <w:szCs w:val="32"/>
          <w:rtl/>
        </w:rPr>
        <w:t xml:space="preserve"> (6/90)، و(7/250)، و(8/268)، وشرح منظومة أصول الفقه وقواعده (226، 229)، ومجموع فتاوى ورسائل ابن عثيمين (19/185).</w:t>
      </w:r>
    </w:p>
  </w:footnote>
  <w:footnote w:id="685">
    <w:p w:rsidR="000D3D21" w:rsidRPr="00D514D2" w:rsidRDefault="000D3D21" w:rsidP="004C0180">
      <w:pPr>
        <w:pStyle w:val="a7"/>
        <w:spacing w:line="360" w:lineRule="exact"/>
        <w:rPr>
          <w:sz w:val="32"/>
          <w:szCs w:val="32"/>
          <w:rtl/>
        </w:rPr>
      </w:pPr>
      <w:r w:rsidRPr="00D514D2">
        <w:rPr>
          <w:sz w:val="32"/>
          <w:szCs w:val="32"/>
          <w:rtl/>
        </w:rPr>
        <w:t>(</w:t>
      </w:r>
      <w:r w:rsidRPr="00D514D2">
        <w:rPr>
          <w:sz w:val="32"/>
          <w:szCs w:val="32"/>
          <w:rtl/>
        </w:rPr>
        <w:footnoteRef/>
      </w:r>
      <w:r w:rsidRPr="00D514D2">
        <w:rPr>
          <w:sz w:val="32"/>
          <w:szCs w:val="32"/>
          <w:rtl/>
        </w:rPr>
        <w:t>)</w:t>
      </w:r>
      <w:r>
        <w:rPr>
          <w:rFonts w:hint="cs"/>
          <w:sz w:val="32"/>
          <w:szCs w:val="32"/>
          <w:rtl/>
        </w:rPr>
        <w:t xml:space="preserve"> </w:t>
      </w:r>
      <w:r w:rsidRPr="00D514D2">
        <w:rPr>
          <w:rFonts w:hint="cs"/>
          <w:sz w:val="32"/>
          <w:szCs w:val="32"/>
          <w:rtl/>
        </w:rPr>
        <w:t>الشرح الممتع (8/245)،</w:t>
      </w:r>
      <w:r>
        <w:rPr>
          <w:rFonts w:hint="cs"/>
          <w:sz w:val="32"/>
          <w:szCs w:val="32"/>
          <w:rtl/>
        </w:rPr>
        <w:t xml:space="preserve"> و</w:t>
      </w:r>
      <w:r w:rsidRPr="00D514D2">
        <w:rPr>
          <w:rFonts w:hint="cs"/>
          <w:sz w:val="32"/>
          <w:szCs w:val="32"/>
          <w:rtl/>
        </w:rPr>
        <w:t xml:space="preserve">كتاب العلم </w:t>
      </w:r>
      <w:r>
        <w:rPr>
          <w:rFonts w:hint="cs"/>
          <w:sz w:val="32"/>
          <w:szCs w:val="32"/>
          <w:rtl/>
        </w:rPr>
        <w:t xml:space="preserve">لابن عثيمين </w:t>
      </w:r>
      <w:r w:rsidRPr="00D514D2">
        <w:rPr>
          <w:rFonts w:hint="cs"/>
          <w:sz w:val="32"/>
          <w:szCs w:val="32"/>
          <w:rtl/>
        </w:rPr>
        <w:t>(100).</w:t>
      </w:r>
    </w:p>
  </w:footnote>
  <w:footnote w:id="686">
    <w:p w:rsidR="000D3D21" w:rsidRPr="004C0180" w:rsidRDefault="000D3D21" w:rsidP="004C0180">
      <w:pPr>
        <w:pStyle w:val="a7"/>
        <w:spacing w:line="360" w:lineRule="exact"/>
        <w:rPr>
          <w:sz w:val="32"/>
          <w:szCs w:val="32"/>
          <w:rtl/>
        </w:rPr>
      </w:pPr>
      <w:r w:rsidRPr="004C0180">
        <w:rPr>
          <w:rFonts w:ascii="Traditional Arabic" w:hAnsi="Traditional Arabic"/>
          <w:sz w:val="32"/>
          <w:szCs w:val="32"/>
        </w:rPr>
        <w:footnoteRef/>
      </w:r>
      <w:r w:rsidRPr="004C0180">
        <w:rPr>
          <w:rFonts w:ascii="Traditional Arabic" w:hAnsi="Traditional Arabic"/>
          <w:sz w:val="32"/>
          <w:szCs w:val="32"/>
        </w:rPr>
        <w:t>)</w:t>
      </w:r>
      <w:r w:rsidRPr="004C0180">
        <w:rPr>
          <w:rFonts w:ascii="Traditional Arabic" w:hAnsi="Traditional Arabic" w:hint="cs"/>
          <w:sz w:val="32"/>
          <w:szCs w:val="32"/>
          <w:rtl/>
        </w:rPr>
        <w:t>)</w:t>
      </w:r>
      <w:r w:rsidRPr="004C0180">
        <w:rPr>
          <w:rFonts w:ascii="Traditional Arabic" w:hAnsi="Traditional Arabic"/>
          <w:sz w:val="32"/>
          <w:szCs w:val="32"/>
          <w:rtl/>
        </w:rPr>
        <w:t xml:space="preserve"> </w:t>
      </w:r>
      <w:r w:rsidRPr="004C0180">
        <w:rPr>
          <w:rFonts w:hint="cs"/>
          <w:sz w:val="32"/>
          <w:szCs w:val="32"/>
          <w:rtl/>
        </w:rPr>
        <w:t>الشرح الممتع (9/46)، والقول المفيد (1/408).</w:t>
      </w:r>
    </w:p>
  </w:footnote>
  <w:footnote w:id="687">
    <w:p w:rsidR="000D3D21" w:rsidRPr="00865918" w:rsidRDefault="000D3D21" w:rsidP="00865918">
      <w:pPr>
        <w:pStyle w:val="a7"/>
        <w:spacing w:line="360" w:lineRule="exact"/>
        <w:rPr>
          <w:rFonts w:ascii="Traditional Arabic" w:hAnsi="Traditional Arabic"/>
          <w:sz w:val="32"/>
          <w:szCs w:val="32"/>
          <w:rtl/>
        </w:rPr>
      </w:pPr>
      <w:r w:rsidRPr="00865918">
        <w:rPr>
          <w:rFonts w:ascii="Traditional Arabic" w:hAnsi="Traditional Arabic"/>
          <w:sz w:val="32"/>
          <w:szCs w:val="32"/>
        </w:rPr>
        <w:t>(</w:t>
      </w:r>
      <w:r w:rsidRPr="00865918">
        <w:rPr>
          <w:rFonts w:ascii="Traditional Arabic" w:hAnsi="Traditional Arabic"/>
          <w:sz w:val="32"/>
          <w:szCs w:val="32"/>
        </w:rPr>
        <w:footnoteRef/>
      </w:r>
      <w:r w:rsidRPr="00865918">
        <w:rPr>
          <w:rFonts w:ascii="Traditional Arabic" w:hAnsi="Traditional Arabic"/>
          <w:sz w:val="32"/>
          <w:szCs w:val="32"/>
        </w:rPr>
        <w:t>)</w:t>
      </w:r>
      <w:r w:rsidRPr="00865918">
        <w:rPr>
          <w:rFonts w:ascii="Traditional Arabic" w:hAnsi="Traditional Arabic"/>
          <w:sz w:val="32"/>
          <w:szCs w:val="32"/>
          <w:rtl/>
        </w:rPr>
        <w:t xml:space="preserve"> ال</w:t>
      </w:r>
      <w:r>
        <w:rPr>
          <w:rFonts w:ascii="Traditional Arabic" w:hAnsi="Traditional Arabic" w:hint="cs"/>
          <w:sz w:val="32"/>
          <w:szCs w:val="32"/>
          <w:rtl/>
        </w:rPr>
        <w:t>شرح الممتع</w:t>
      </w:r>
      <w:r w:rsidRPr="00865918">
        <w:rPr>
          <w:rFonts w:ascii="Traditional Arabic" w:hAnsi="Traditional Arabic"/>
          <w:sz w:val="32"/>
          <w:szCs w:val="32"/>
          <w:rtl/>
        </w:rPr>
        <w:t xml:space="preserve"> (13/179).</w:t>
      </w:r>
    </w:p>
  </w:footnote>
  <w:footnote w:id="688">
    <w:p w:rsidR="000D3D21" w:rsidRPr="00D514D2" w:rsidRDefault="000D3D21" w:rsidP="00865918">
      <w:pPr>
        <w:pStyle w:val="a7"/>
        <w:spacing w:line="360" w:lineRule="exact"/>
        <w:rPr>
          <w:sz w:val="32"/>
          <w:szCs w:val="32"/>
          <w:rtl/>
        </w:rPr>
      </w:pPr>
      <w:r w:rsidRPr="00D514D2">
        <w:rPr>
          <w:sz w:val="32"/>
          <w:szCs w:val="32"/>
          <w:rtl/>
        </w:rPr>
        <w:t>(</w:t>
      </w:r>
      <w:r w:rsidRPr="00D514D2">
        <w:rPr>
          <w:sz w:val="32"/>
          <w:szCs w:val="32"/>
          <w:rtl/>
        </w:rPr>
        <w:footnoteRef/>
      </w:r>
      <w:r w:rsidRPr="00D514D2">
        <w:rPr>
          <w:sz w:val="32"/>
          <w:szCs w:val="32"/>
          <w:rtl/>
        </w:rPr>
        <w:t>)</w:t>
      </w:r>
      <w:r>
        <w:rPr>
          <w:rFonts w:hint="cs"/>
          <w:sz w:val="32"/>
          <w:szCs w:val="32"/>
          <w:rtl/>
        </w:rPr>
        <w:t xml:space="preserve"> المرجع السابق </w:t>
      </w:r>
      <w:r w:rsidRPr="00D514D2">
        <w:rPr>
          <w:rFonts w:hint="cs"/>
          <w:sz w:val="32"/>
          <w:szCs w:val="32"/>
          <w:rtl/>
        </w:rPr>
        <w:t>(14/443).</w:t>
      </w:r>
    </w:p>
  </w:footnote>
  <w:footnote w:id="689">
    <w:p w:rsidR="000D3D21" w:rsidRPr="00D514D2" w:rsidRDefault="000D3D21" w:rsidP="00865918">
      <w:pPr>
        <w:pStyle w:val="a7"/>
        <w:spacing w:line="360" w:lineRule="exact"/>
        <w:rPr>
          <w:sz w:val="32"/>
          <w:szCs w:val="32"/>
          <w:rtl/>
        </w:rPr>
      </w:pPr>
      <w:r w:rsidRPr="00D514D2">
        <w:rPr>
          <w:sz w:val="32"/>
          <w:szCs w:val="32"/>
          <w:rtl/>
        </w:rPr>
        <w:t>(</w:t>
      </w:r>
      <w:r w:rsidRPr="00D514D2">
        <w:rPr>
          <w:sz w:val="32"/>
          <w:szCs w:val="32"/>
          <w:rtl/>
        </w:rPr>
        <w:footnoteRef/>
      </w:r>
      <w:r w:rsidRPr="00D514D2">
        <w:rPr>
          <w:sz w:val="32"/>
          <w:szCs w:val="32"/>
          <w:rtl/>
        </w:rPr>
        <w:t>)</w:t>
      </w:r>
      <w:r>
        <w:rPr>
          <w:rFonts w:hint="cs"/>
          <w:sz w:val="32"/>
          <w:szCs w:val="32"/>
          <w:rtl/>
        </w:rPr>
        <w:t xml:space="preserve"> </w:t>
      </w:r>
      <w:r w:rsidRPr="00D514D2">
        <w:rPr>
          <w:rFonts w:hint="cs"/>
          <w:sz w:val="32"/>
          <w:szCs w:val="32"/>
          <w:rtl/>
        </w:rPr>
        <w:t>شرح منظومة أصول الفقه وقواعده (225).</w:t>
      </w:r>
    </w:p>
  </w:footnote>
  <w:footnote w:id="690">
    <w:p w:rsidR="000D3D21" w:rsidRPr="00D514D2" w:rsidRDefault="000D3D21" w:rsidP="004C0180">
      <w:pPr>
        <w:pStyle w:val="a7"/>
        <w:spacing w:line="360" w:lineRule="exact"/>
        <w:rPr>
          <w:sz w:val="32"/>
          <w:szCs w:val="32"/>
          <w:rtl/>
        </w:rPr>
      </w:pPr>
      <w:r w:rsidRPr="00D514D2">
        <w:rPr>
          <w:sz w:val="32"/>
          <w:szCs w:val="32"/>
          <w:rtl/>
        </w:rPr>
        <w:t>(</w:t>
      </w:r>
      <w:r w:rsidRPr="00D514D2">
        <w:rPr>
          <w:sz w:val="32"/>
          <w:szCs w:val="32"/>
          <w:rtl/>
        </w:rPr>
        <w:footnoteRef/>
      </w:r>
      <w:r w:rsidRPr="00D514D2">
        <w:rPr>
          <w:sz w:val="32"/>
          <w:szCs w:val="32"/>
          <w:rtl/>
        </w:rPr>
        <w:t>)</w:t>
      </w:r>
      <w:r>
        <w:rPr>
          <w:rFonts w:hint="cs"/>
          <w:sz w:val="32"/>
          <w:szCs w:val="32"/>
          <w:rtl/>
        </w:rPr>
        <w:t xml:space="preserve"> </w:t>
      </w:r>
      <w:r w:rsidRPr="00D514D2">
        <w:rPr>
          <w:rFonts w:hint="cs"/>
          <w:sz w:val="32"/>
          <w:szCs w:val="32"/>
          <w:rtl/>
        </w:rPr>
        <w:t>الأشباه والنظائر لابن نجيم (22)،</w:t>
      </w:r>
      <w:r>
        <w:rPr>
          <w:rFonts w:hint="cs"/>
          <w:sz w:val="32"/>
          <w:szCs w:val="32"/>
          <w:rtl/>
        </w:rPr>
        <w:t xml:space="preserve"> </w:t>
      </w:r>
      <w:r w:rsidRPr="00D514D2">
        <w:rPr>
          <w:rFonts w:hint="cs"/>
          <w:sz w:val="32"/>
          <w:szCs w:val="32"/>
          <w:rtl/>
        </w:rPr>
        <w:t>وشرح القواعد الفقهية للزرقا (47)،</w:t>
      </w:r>
      <w:r>
        <w:rPr>
          <w:rFonts w:hint="cs"/>
          <w:sz w:val="32"/>
          <w:szCs w:val="32"/>
          <w:rtl/>
        </w:rPr>
        <w:t xml:space="preserve"> ودرر الحكام (1/18)، و</w:t>
      </w:r>
      <w:r w:rsidRPr="00D514D2">
        <w:rPr>
          <w:rFonts w:hint="cs"/>
          <w:sz w:val="32"/>
          <w:szCs w:val="32"/>
          <w:rtl/>
        </w:rPr>
        <w:t xml:space="preserve">المدخل الفقهي </w:t>
      </w:r>
      <w:r>
        <w:rPr>
          <w:rFonts w:hint="cs"/>
          <w:sz w:val="32"/>
          <w:szCs w:val="32"/>
          <w:rtl/>
        </w:rPr>
        <w:t xml:space="preserve">العام </w:t>
      </w:r>
      <w:r w:rsidRPr="00D514D2">
        <w:rPr>
          <w:rFonts w:hint="cs"/>
          <w:sz w:val="32"/>
          <w:szCs w:val="32"/>
          <w:rtl/>
        </w:rPr>
        <w:t>للزرقا (2/9</w:t>
      </w:r>
      <w:r>
        <w:rPr>
          <w:rFonts w:hint="cs"/>
          <w:sz w:val="32"/>
          <w:szCs w:val="32"/>
          <w:rtl/>
        </w:rPr>
        <w:t>80)، و</w:t>
      </w:r>
      <w:r w:rsidRPr="00D514D2">
        <w:rPr>
          <w:rFonts w:hint="cs"/>
          <w:sz w:val="32"/>
          <w:szCs w:val="32"/>
          <w:rtl/>
        </w:rPr>
        <w:t>ا</w:t>
      </w:r>
      <w:r>
        <w:rPr>
          <w:rFonts w:hint="cs"/>
          <w:sz w:val="32"/>
          <w:szCs w:val="32"/>
          <w:rtl/>
        </w:rPr>
        <w:t>لأشباه والنظائر للسبكي (1/71)، و</w:t>
      </w:r>
      <w:r w:rsidRPr="00D514D2">
        <w:rPr>
          <w:rFonts w:hint="cs"/>
          <w:sz w:val="32"/>
          <w:szCs w:val="32"/>
          <w:rtl/>
        </w:rPr>
        <w:t>القواعد للحصني (1/208)،</w:t>
      </w:r>
      <w:r>
        <w:rPr>
          <w:rFonts w:hint="cs"/>
          <w:sz w:val="32"/>
          <w:szCs w:val="32"/>
          <w:rtl/>
        </w:rPr>
        <w:t xml:space="preserve">    و</w:t>
      </w:r>
      <w:r w:rsidRPr="00D514D2">
        <w:rPr>
          <w:rFonts w:hint="cs"/>
          <w:sz w:val="32"/>
          <w:szCs w:val="32"/>
          <w:rtl/>
        </w:rPr>
        <w:t>الأشباه والنظائر للسيوطي (8)،</w:t>
      </w:r>
      <w:r>
        <w:rPr>
          <w:rFonts w:hint="cs"/>
          <w:sz w:val="32"/>
          <w:szCs w:val="32"/>
          <w:rtl/>
        </w:rPr>
        <w:t xml:space="preserve"> والقواعد الفقهية لابن </w:t>
      </w:r>
      <w:r w:rsidRPr="00D514D2">
        <w:rPr>
          <w:rFonts w:hint="cs"/>
          <w:sz w:val="32"/>
          <w:szCs w:val="32"/>
          <w:rtl/>
        </w:rPr>
        <w:t>سعدي (54).</w:t>
      </w:r>
    </w:p>
  </w:footnote>
  <w:footnote w:id="691">
    <w:p w:rsidR="000D3D21" w:rsidRPr="00D514D2" w:rsidRDefault="000D3D21" w:rsidP="004C0180">
      <w:pPr>
        <w:pStyle w:val="a7"/>
        <w:spacing w:line="360" w:lineRule="exact"/>
        <w:rPr>
          <w:sz w:val="32"/>
          <w:szCs w:val="32"/>
          <w:rtl/>
        </w:rPr>
      </w:pPr>
      <w:r w:rsidRPr="00D514D2">
        <w:rPr>
          <w:sz w:val="32"/>
          <w:szCs w:val="32"/>
          <w:rtl/>
        </w:rPr>
        <w:t>(</w:t>
      </w:r>
      <w:r w:rsidRPr="00D514D2">
        <w:rPr>
          <w:sz w:val="32"/>
          <w:szCs w:val="32"/>
          <w:rtl/>
        </w:rPr>
        <w:footnoteRef/>
      </w:r>
      <w:r w:rsidRPr="00D514D2">
        <w:rPr>
          <w:sz w:val="32"/>
          <w:szCs w:val="32"/>
          <w:rtl/>
        </w:rPr>
        <w:t>)</w:t>
      </w:r>
      <w:r>
        <w:rPr>
          <w:rFonts w:hint="cs"/>
          <w:sz w:val="32"/>
          <w:szCs w:val="32"/>
          <w:rtl/>
        </w:rPr>
        <w:t xml:space="preserve"> </w:t>
      </w:r>
      <w:r w:rsidRPr="00D514D2">
        <w:rPr>
          <w:rFonts w:hint="cs"/>
          <w:sz w:val="32"/>
          <w:szCs w:val="32"/>
          <w:rtl/>
        </w:rPr>
        <w:t>الأشباه والنظائر ل</w:t>
      </w:r>
      <w:r>
        <w:rPr>
          <w:rFonts w:hint="cs"/>
          <w:sz w:val="32"/>
          <w:szCs w:val="32"/>
          <w:rtl/>
        </w:rPr>
        <w:t>ابن ا</w:t>
      </w:r>
      <w:r w:rsidRPr="00D514D2">
        <w:rPr>
          <w:rFonts w:hint="cs"/>
          <w:sz w:val="32"/>
          <w:szCs w:val="32"/>
          <w:rtl/>
        </w:rPr>
        <w:t>لسبكي (1/110)</w:t>
      </w:r>
      <w:r>
        <w:rPr>
          <w:rFonts w:hint="cs"/>
          <w:sz w:val="32"/>
          <w:szCs w:val="32"/>
          <w:rtl/>
        </w:rPr>
        <w:t xml:space="preserve">، وانظر: الموافقات </w:t>
      </w:r>
      <w:r w:rsidRPr="00D514D2">
        <w:rPr>
          <w:rFonts w:hint="cs"/>
          <w:sz w:val="32"/>
          <w:szCs w:val="32"/>
          <w:rtl/>
        </w:rPr>
        <w:t xml:space="preserve">(2/340)، </w:t>
      </w:r>
      <w:r>
        <w:rPr>
          <w:rFonts w:hint="cs"/>
          <w:sz w:val="32"/>
          <w:szCs w:val="32"/>
          <w:rtl/>
        </w:rPr>
        <w:t>و</w:t>
      </w:r>
      <w:r w:rsidRPr="00D514D2">
        <w:rPr>
          <w:rFonts w:hint="cs"/>
          <w:sz w:val="32"/>
          <w:szCs w:val="32"/>
          <w:rtl/>
        </w:rPr>
        <w:t>جامع الرسائل لابن</w:t>
      </w:r>
      <w:r>
        <w:rPr>
          <w:rFonts w:hint="cs"/>
          <w:sz w:val="32"/>
          <w:szCs w:val="32"/>
          <w:rtl/>
        </w:rPr>
        <w:t xml:space="preserve"> تيمية (6/5)، وموسوعة القواعد</w:t>
      </w:r>
      <w:r w:rsidRPr="00D514D2">
        <w:rPr>
          <w:rFonts w:hint="cs"/>
          <w:sz w:val="32"/>
          <w:szCs w:val="32"/>
          <w:rtl/>
        </w:rPr>
        <w:t xml:space="preserve"> الفقهية </w:t>
      </w:r>
      <w:r>
        <w:rPr>
          <w:rFonts w:hint="cs"/>
          <w:sz w:val="32"/>
          <w:szCs w:val="32"/>
          <w:rtl/>
        </w:rPr>
        <w:t>للبورنو (1/120)</w:t>
      </w:r>
      <w:r w:rsidRPr="00D514D2">
        <w:rPr>
          <w:rFonts w:hint="cs"/>
          <w:sz w:val="32"/>
          <w:szCs w:val="32"/>
          <w:rtl/>
        </w:rPr>
        <w:t xml:space="preserve">. </w:t>
      </w:r>
    </w:p>
  </w:footnote>
  <w:footnote w:id="692">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tl/>
        </w:rPr>
        <w:t>(</w:t>
      </w:r>
      <w:r w:rsidRPr="00D514D2">
        <w:rPr>
          <w:rFonts w:ascii="Traditional Arabic" w:hAnsi="Traditional Arabic"/>
          <w:sz w:val="32"/>
          <w:szCs w:val="32"/>
          <w:rtl/>
        </w:rPr>
        <w:footnoteRef/>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لسان العرب (11/475).</w:t>
      </w:r>
    </w:p>
  </w:footnote>
  <w:footnote w:id="693">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tl/>
        </w:rPr>
        <w:t>(</w:t>
      </w:r>
      <w:r w:rsidRPr="00D514D2">
        <w:rPr>
          <w:rFonts w:ascii="Traditional Arabic" w:hAnsi="Traditional Arabic"/>
          <w:sz w:val="32"/>
          <w:szCs w:val="32"/>
          <w:rtl/>
        </w:rPr>
        <w:footnoteRef/>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تاج العروس للزبيدي (30/56).</w:t>
      </w:r>
    </w:p>
  </w:footnote>
  <w:footnote w:id="694">
    <w:p w:rsidR="000D3D21" w:rsidRPr="00D514D2" w:rsidRDefault="000D3D21" w:rsidP="00EA1AAD">
      <w:pPr>
        <w:pStyle w:val="a7"/>
        <w:spacing w:line="360" w:lineRule="exact"/>
        <w:rPr>
          <w:rFonts w:ascii="Traditional Arabic" w:hAnsi="Traditional Arabic"/>
          <w:sz w:val="32"/>
          <w:szCs w:val="32"/>
        </w:rPr>
      </w:pPr>
      <w:r w:rsidRPr="00D514D2">
        <w:rPr>
          <w:rFonts w:ascii="Traditional Arabic" w:hAnsi="Traditional Arabic"/>
          <w:sz w:val="32"/>
          <w:szCs w:val="32"/>
          <w:rtl/>
        </w:rPr>
        <w:t>(</w:t>
      </w:r>
      <w:r w:rsidRPr="00D514D2">
        <w:rPr>
          <w:rFonts w:ascii="Traditional Arabic" w:hAnsi="Traditional Arabic"/>
          <w:sz w:val="32"/>
          <w:szCs w:val="32"/>
          <w:rtl/>
        </w:rPr>
        <w:footnoteRef/>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شرح منظومة أصول الفقه وقواعده (224</w:t>
      </w:r>
      <w:r>
        <w:rPr>
          <w:rFonts w:ascii="Traditional Arabic" w:hAnsi="Traditional Arabic"/>
          <w:sz w:val="32"/>
          <w:szCs w:val="32"/>
          <w:rtl/>
        </w:rPr>
        <w:t>)،و شرح الأربعين النووية (11)،</w:t>
      </w:r>
      <w:r>
        <w:rPr>
          <w:rFonts w:ascii="Traditional Arabic" w:hAnsi="Traditional Arabic" w:hint="cs"/>
          <w:sz w:val="32"/>
          <w:szCs w:val="32"/>
          <w:rtl/>
        </w:rPr>
        <w:t xml:space="preserve"> </w:t>
      </w:r>
      <w:r>
        <w:rPr>
          <w:rFonts w:ascii="Traditional Arabic" w:hAnsi="Traditional Arabic"/>
          <w:sz w:val="32"/>
          <w:szCs w:val="32"/>
          <w:rtl/>
        </w:rPr>
        <w:t>و</w:t>
      </w:r>
      <w:r w:rsidRPr="00D514D2">
        <w:rPr>
          <w:rFonts w:ascii="Traditional Arabic" w:hAnsi="Traditional Arabic"/>
          <w:sz w:val="32"/>
          <w:szCs w:val="32"/>
          <w:rtl/>
        </w:rPr>
        <w:t>انظر</w:t>
      </w:r>
      <w:r>
        <w:rPr>
          <w:rFonts w:ascii="Traditional Arabic" w:hAnsi="Traditional Arabic" w:hint="cs"/>
          <w:sz w:val="32"/>
          <w:szCs w:val="32"/>
          <w:rtl/>
        </w:rPr>
        <w:t xml:space="preserve">: عمدة القاري </w:t>
      </w:r>
      <w:r>
        <w:rPr>
          <w:rFonts w:ascii="Traditional Arabic" w:hAnsi="Traditional Arabic"/>
          <w:sz w:val="32"/>
          <w:szCs w:val="32"/>
          <w:rtl/>
        </w:rPr>
        <w:t xml:space="preserve">عمدة القاري </w:t>
      </w:r>
      <w:r>
        <w:rPr>
          <w:rFonts w:ascii="Traditional Arabic" w:hAnsi="Traditional Arabic" w:hint="cs"/>
          <w:sz w:val="32"/>
          <w:szCs w:val="32"/>
          <w:rtl/>
        </w:rPr>
        <w:t xml:space="preserve">شرح صحيح البخاري </w:t>
      </w:r>
      <w:r>
        <w:rPr>
          <w:rFonts w:ascii="Traditional Arabic" w:hAnsi="Traditional Arabic"/>
          <w:sz w:val="32"/>
          <w:szCs w:val="32"/>
          <w:rtl/>
        </w:rPr>
        <w:t>ل</w:t>
      </w:r>
      <w:r>
        <w:rPr>
          <w:rFonts w:ascii="Traditional Arabic" w:hAnsi="Traditional Arabic" w:hint="cs"/>
          <w:sz w:val="32"/>
          <w:szCs w:val="32"/>
          <w:rtl/>
        </w:rPr>
        <w:t>بدر الدين محمود بن أحمد ا</w:t>
      </w:r>
      <w:r>
        <w:rPr>
          <w:rFonts w:ascii="Traditional Arabic" w:hAnsi="Traditional Arabic"/>
          <w:sz w:val="32"/>
          <w:szCs w:val="32"/>
          <w:rtl/>
        </w:rPr>
        <w:t>لعيني</w:t>
      </w:r>
      <w:r>
        <w:rPr>
          <w:rFonts w:ascii="Traditional Arabic" w:hAnsi="Traditional Arabic" w:hint="cs"/>
          <w:sz w:val="32"/>
          <w:szCs w:val="32"/>
          <w:rtl/>
        </w:rPr>
        <w:t xml:space="preserve"> (1/53)،</w:t>
      </w:r>
      <w:r w:rsidRPr="00D514D2">
        <w:rPr>
          <w:rFonts w:ascii="Traditional Arabic" w:hAnsi="Traditional Arabic"/>
          <w:sz w:val="32"/>
          <w:szCs w:val="32"/>
          <w:rtl/>
        </w:rPr>
        <w:t xml:space="preserve"> </w:t>
      </w:r>
      <w:r>
        <w:rPr>
          <w:rFonts w:ascii="Traditional Arabic" w:hAnsi="Traditional Arabic" w:hint="cs"/>
          <w:sz w:val="32"/>
          <w:szCs w:val="32"/>
          <w:rtl/>
        </w:rPr>
        <w:t>و</w:t>
      </w:r>
      <w:r w:rsidRPr="00D514D2">
        <w:rPr>
          <w:rFonts w:ascii="Traditional Arabic" w:hAnsi="Traditional Arabic"/>
          <w:sz w:val="32"/>
          <w:szCs w:val="32"/>
          <w:rtl/>
        </w:rPr>
        <w:t>موسوعة القواعد الفقهية للبورنو(1/133).</w:t>
      </w:r>
    </w:p>
  </w:footnote>
  <w:footnote w:id="695">
    <w:p w:rsidR="000D3D21" w:rsidRPr="00D514D2" w:rsidRDefault="000D3D21" w:rsidP="00EA1AAD">
      <w:pPr>
        <w:pStyle w:val="a7"/>
        <w:spacing w:line="360" w:lineRule="exact"/>
        <w:rPr>
          <w:rFonts w:ascii="Traditional Arabic" w:hAnsi="Traditional Arabic"/>
          <w:sz w:val="32"/>
          <w:szCs w:val="32"/>
        </w:rPr>
      </w:pPr>
      <w:r w:rsidRPr="00D514D2">
        <w:rPr>
          <w:rFonts w:ascii="Traditional Arabic" w:hAnsi="Traditional Arabic"/>
          <w:sz w:val="32"/>
          <w:szCs w:val="32"/>
          <w:rtl/>
        </w:rPr>
        <w:t>(</w:t>
      </w:r>
      <w:r w:rsidRPr="00D514D2">
        <w:rPr>
          <w:rFonts w:ascii="Traditional Arabic" w:hAnsi="Traditional Arabic"/>
          <w:sz w:val="32"/>
          <w:szCs w:val="32"/>
          <w:rtl/>
        </w:rPr>
        <w:footnoteRef/>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 xml:space="preserve">انظر مقاييس اللغة (5/366). </w:t>
      </w:r>
    </w:p>
  </w:footnote>
  <w:footnote w:id="696">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tl/>
        </w:rPr>
        <w:t>(</w:t>
      </w:r>
      <w:r w:rsidRPr="00D514D2">
        <w:rPr>
          <w:rFonts w:ascii="Traditional Arabic" w:hAnsi="Traditional Arabic"/>
          <w:sz w:val="32"/>
          <w:szCs w:val="32"/>
          <w:rtl/>
        </w:rPr>
        <w:footnoteRef/>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لسان العرب (15/347-348).</w:t>
      </w:r>
    </w:p>
  </w:footnote>
  <w:footnote w:id="697">
    <w:p w:rsidR="000D3D21"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tl/>
        </w:rPr>
        <w:t>(</w:t>
      </w:r>
      <w:r w:rsidRPr="00D514D2">
        <w:rPr>
          <w:rFonts w:ascii="Traditional Arabic" w:hAnsi="Traditional Arabic"/>
          <w:sz w:val="32"/>
          <w:szCs w:val="32"/>
          <w:rtl/>
        </w:rPr>
        <w:footnoteRef/>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انظر</w:t>
      </w:r>
      <w:r>
        <w:rPr>
          <w:rFonts w:ascii="Traditional Arabic" w:hAnsi="Traditional Arabic" w:hint="cs"/>
          <w:sz w:val="32"/>
          <w:szCs w:val="32"/>
          <w:rtl/>
        </w:rPr>
        <w:t xml:space="preserve">: </w:t>
      </w:r>
      <w:r w:rsidRPr="00D514D2">
        <w:rPr>
          <w:rFonts w:ascii="Traditional Arabic" w:hAnsi="Traditional Arabic"/>
          <w:sz w:val="32"/>
          <w:szCs w:val="32"/>
          <w:rtl/>
        </w:rPr>
        <w:t>الشرح الممتع (1/193)،و (1/356)،و (6/353)،وشرح الأربعين النووية (12)، وشرح رياض الصالحين (1/17)،</w:t>
      </w:r>
      <w:r>
        <w:rPr>
          <w:rFonts w:ascii="Traditional Arabic" w:hAnsi="Traditional Arabic" w:hint="cs"/>
          <w:sz w:val="32"/>
          <w:szCs w:val="32"/>
          <w:rtl/>
        </w:rPr>
        <w:t xml:space="preserve"> </w:t>
      </w:r>
      <w:r>
        <w:rPr>
          <w:rFonts w:ascii="Traditional Arabic" w:hAnsi="Traditional Arabic"/>
          <w:sz w:val="32"/>
          <w:szCs w:val="32"/>
          <w:rtl/>
        </w:rPr>
        <w:t>و</w:t>
      </w:r>
      <w:r w:rsidRPr="00D514D2">
        <w:rPr>
          <w:rFonts w:ascii="Traditional Arabic" w:hAnsi="Traditional Arabic"/>
          <w:sz w:val="32"/>
          <w:szCs w:val="32"/>
          <w:rtl/>
        </w:rPr>
        <w:t xml:space="preserve">التفسير الثمين </w:t>
      </w:r>
      <w:r>
        <w:rPr>
          <w:rFonts w:ascii="Traditional Arabic" w:hAnsi="Traditional Arabic" w:hint="cs"/>
          <w:sz w:val="32"/>
          <w:szCs w:val="32"/>
          <w:rtl/>
        </w:rPr>
        <w:t xml:space="preserve">لابن عثيمين </w:t>
      </w:r>
      <w:r w:rsidRPr="00D514D2">
        <w:rPr>
          <w:rFonts w:ascii="Traditional Arabic" w:hAnsi="Traditional Arabic"/>
          <w:sz w:val="32"/>
          <w:szCs w:val="32"/>
          <w:rtl/>
        </w:rPr>
        <w:t>(8/389). وانظر</w:t>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عمدة ا</w:t>
      </w:r>
      <w:r>
        <w:rPr>
          <w:rFonts w:ascii="Traditional Arabic" w:hAnsi="Traditional Arabic" w:hint="cs"/>
          <w:sz w:val="32"/>
          <w:szCs w:val="32"/>
          <w:rtl/>
        </w:rPr>
        <w:t>لقاري</w:t>
      </w:r>
      <w:r>
        <w:rPr>
          <w:rFonts w:ascii="Traditional Arabic" w:hAnsi="Traditional Arabic"/>
          <w:sz w:val="32"/>
          <w:szCs w:val="32"/>
          <w:rtl/>
        </w:rPr>
        <w:t xml:space="preserve"> (</w:t>
      </w:r>
      <w:r>
        <w:rPr>
          <w:rFonts w:ascii="Traditional Arabic" w:hAnsi="Traditional Arabic" w:hint="cs"/>
          <w:sz w:val="32"/>
          <w:szCs w:val="32"/>
          <w:rtl/>
        </w:rPr>
        <w:t>1/53</w:t>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و</w:t>
      </w:r>
      <w:r w:rsidRPr="00D514D2">
        <w:rPr>
          <w:rFonts w:ascii="Traditional Arabic" w:hAnsi="Traditional Arabic"/>
          <w:sz w:val="32"/>
          <w:szCs w:val="32"/>
          <w:rtl/>
        </w:rPr>
        <w:t>جامع الع</w:t>
      </w:r>
      <w:r>
        <w:rPr>
          <w:rFonts w:ascii="Traditional Arabic" w:hAnsi="Traditional Arabic"/>
          <w:sz w:val="32"/>
          <w:szCs w:val="32"/>
          <w:rtl/>
        </w:rPr>
        <w:t xml:space="preserve">لوم والحكم لابن رجب </w:t>
      </w:r>
      <w:r>
        <w:rPr>
          <w:rFonts w:ascii="Traditional Arabic" w:hAnsi="Traditional Arabic" w:hint="cs"/>
          <w:sz w:val="32"/>
          <w:szCs w:val="32"/>
          <w:rtl/>
        </w:rPr>
        <w:t xml:space="preserve"> في شرح خمسين حديثا من جوامع الكلم لابن رجب الحنبلي" </w:t>
      </w:r>
      <w:r>
        <w:rPr>
          <w:rFonts w:ascii="Traditional Arabic" w:hAnsi="Traditional Arabic"/>
          <w:sz w:val="32"/>
          <w:szCs w:val="32"/>
          <w:rtl/>
        </w:rPr>
        <w:t>(</w:t>
      </w:r>
      <w:r>
        <w:rPr>
          <w:rFonts w:ascii="Traditional Arabic" w:hAnsi="Traditional Arabic" w:hint="cs"/>
          <w:sz w:val="32"/>
          <w:szCs w:val="32"/>
          <w:rtl/>
        </w:rPr>
        <w:t>25</w:t>
      </w:r>
      <w:r>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 xml:space="preserve"> </w:t>
      </w:r>
    </w:p>
    <w:p w:rsidR="000D3D21" w:rsidRPr="00D514D2" w:rsidRDefault="000D3D21" w:rsidP="00EA1AAD">
      <w:pPr>
        <w:pStyle w:val="a7"/>
        <w:spacing w:line="360" w:lineRule="exact"/>
        <w:rPr>
          <w:rFonts w:ascii="Traditional Arabic" w:hAnsi="Traditional Arabic"/>
          <w:sz w:val="32"/>
          <w:szCs w:val="32"/>
          <w:rtl/>
        </w:rPr>
      </w:pPr>
      <w:r>
        <w:rPr>
          <w:rFonts w:ascii="Traditional Arabic" w:hAnsi="Traditional Arabic" w:hint="cs"/>
          <w:sz w:val="32"/>
          <w:szCs w:val="32"/>
          <w:rtl/>
        </w:rPr>
        <w:t xml:space="preserve">      </w:t>
      </w:r>
      <w:r w:rsidRPr="006D1EA8">
        <w:rPr>
          <w:rFonts w:ascii="Traditional Arabic" w:hAnsi="Traditional Arabic" w:hint="cs"/>
          <w:b/>
          <w:bCs/>
          <w:sz w:val="32"/>
          <w:szCs w:val="32"/>
          <w:rtl/>
        </w:rPr>
        <w:t>تنبيه:</w:t>
      </w:r>
      <w:r>
        <w:rPr>
          <w:rFonts w:ascii="Traditional Arabic" w:hAnsi="Traditional Arabic" w:hint="cs"/>
          <w:sz w:val="32"/>
          <w:szCs w:val="32"/>
          <w:rtl/>
        </w:rPr>
        <w:t xml:space="preserve"> </w:t>
      </w:r>
      <w:r w:rsidRPr="00D514D2">
        <w:rPr>
          <w:rFonts w:ascii="Traditional Arabic" w:hAnsi="Traditional Arabic"/>
          <w:sz w:val="32"/>
          <w:szCs w:val="32"/>
          <w:rtl/>
        </w:rPr>
        <w:t xml:space="preserve">فرّق </w:t>
      </w:r>
      <w:r>
        <w:rPr>
          <w:rFonts w:ascii="Traditional Arabic" w:hAnsi="Traditional Arabic" w:hint="cs"/>
          <w:sz w:val="32"/>
          <w:szCs w:val="32"/>
          <w:rtl/>
        </w:rPr>
        <w:t xml:space="preserve">بعض العلماء </w:t>
      </w:r>
      <w:r w:rsidRPr="00D514D2">
        <w:rPr>
          <w:rFonts w:ascii="Traditional Arabic" w:hAnsi="Traditional Arabic"/>
          <w:sz w:val="32"/>
          <w:szCs w:val="32"/>
          <w:rtl/>
        </w:rPr>
        <w:t>بين القصد والنية واﻹرادة.</w:t>
      </w:r>
      <w:r>
        <w:rPr>
          <w:rFonts w:ascii="Traditional Arabic" w:hAnsi="Traditional Arabic" w:hint="cs"/>
          <w:sz w:val="32"/>
          <w:szCs w:val="32"/>
          <w:rtl/>
        </w:rPr>
        <w:t xml:space="preserve"> </w:t>
      </w:r>
      <w:r w:rsidRPr="00D514D2">
        <w:rPr>
          <w:rFonts w:ascii="Traditional Arabic" w:hAnsi="Traditional Arabic"/>
          <w:sz w:val="32"/>
          <w:szCs w:val="32"/>
          <w:rtl/>
        </w:rPr>
        <w:t>انظر:</w:t>
      </w:r>
      <w:r>
        <w:rPr>
          <w:rFonts w:ascii="Traditional Arabic" w:hAnsi="Traditional Arabic" w:hint="cs"/>
          <w:sz w:val="32"/>
          <w:szCs w:val="32"/>
          <w:rtl/>
        </w:rPr>
        <w:t xml:space="preserve"> </w:t>
      </w:r>
      <w:r w:rsidRPr="00D514D2">
        <w:rPr>
          <w:rFonts w:ascii="Traditional Arabic" w:hAnsi="Traditional Arabic"/>
          <w:sz w:val="32"/>
          <w:szCs w:val="32"/>
          <w:rtl/>
        </w:rPr>
        <w:t>الفروق اللغوية لأبي هلال العسكري (103)،</w:t>
      </w:r>
      <w:r>
        <w:rPr>
          <w:rFonts w:ascii="Traditional Arabic" w:hAnsi="Traditional Arabic" w:hint="cs"/>
          <w:sz w:val="32"/>
          <w:szCs w:val="32"/>
          <w:rtl/>
        </w:rPr>
        <w:t xml:space="preserve"> </w:t>
      </w:r>
      <w:r>
        <w:rPr>
          <w:rFonts w:ascii="Traditional Arabic" w:hAnsi="Traditional Arabic"/>
          <w:sz w:val="32"/>
          <w:szCs w:val="32"/>
          <w:rtl/>
        </w:rPr>
        <w:t>و</w:t>
      </w:r>
      <w:r w:rsidRPr="00D514D2">
        <w:rPr>
          <w:rFonts w:ascii="Traditional Arabic" w:hAnsi="Traditional Arabic"/>
          <w:sz w:val="32"/>
          <w:szCs w:val="32"/>
          <w:rtl/>
        </w:rPr>
        <w:t xml:space="preserve">الأمنية </w:t>
      </w:r>
      <w:r>
        <w:rPr>
          <w:rFonts w:ascii="Traditional Arabic" w:hAnsi="Traditional Arabic"/>
          <w:sz w:val="32"/>
          <w:szCs w:val="32"/>
          <w:rtl/>
        </w:rPr>
        <w:t>في ﺇدراك النية للقرافي</w:t>
      </w:r>
      <w:r>
        <w:rPr>
          <w:rFonts w:ascii="Traditional Arabic" w:hAnsi="Traditional Arabic" w:hint="cs"/>
          <w:sz w:val="32"/>
          <w:szCs w:val="32"/>
          <w:rtl/>
        </w:rPr>
        <w:t xml:space="preserve"> (117-121)، و</w:t>
      </w:r>
      <w:r w:rsidRPr="00D514D2">
        <w:rPr>
          <w:rFonts w:ascii="Traditional Arabic" w:hAnsi="Traditional Arabic"/>
          <w:sz w:val="32"/>
          <w:szCs w:val="32"/>
          <w:rtl/>
        </w:rPr>
        <w:t>بدائع الفوائد لابن القيم (3/190)، وقاعدة الأمور بمقاصدها للباحسين (39-41).</w:t>
      </w:r>
    </w:p>
  </w:footnote>
  <w:footnote w:id="698">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انظر الوجيز (125)،</w:t>
      </w:r>
      <w:r>
        <w:rPr>
          <w:rFonts w:ascii="Traditional Arabic" w:hAnsi="Traditional Arabic" w:hint="cs"/>
          <w:sz w:val="32"/>
          <w:szCs w:val="32"/>
          <w:rtl/>
        </w:rPr>
        <w:t xml:space="preserve"> </w:t>
      </w:r>
      <w:r w:rsidRPr="00D514D2">
        <w:rPr>
          <w:rFonts w:ascii="Traditional Arabic" w:hAnsi="Traditional Arabic"/>
          <w:sz w:val="32"/>
          <w:szCs w:val="32"/>
          <w:rtl/>
        </w:rPr>
        <w:t>وموسوعة القواعد الفقهية</w:t>
      </w:r>
      <w:r>
        <w:rPr>
          <w:rFonts w:ascii="Traditional Arabic" w:hAnsi="Traditional Arabic" w:hint="cs"/>
          <w:sz w:val="32"/>
          <w:szCs w:val="32"/>
          <w:rtl/>
        </w:rPr>
        <w:t xml:space="preserve"> </w:t>
      </w:r>
      <w:r w:rsidRPr="00D514D2">
        <w:rPr>
          <w:rFonts w:ascii="Traditional Arabic" w:hAnsi="Traditional Arabic"/>
          <w:sz w:val="32"/>
          <w:szCs w:val="32"/>
          <w:rtl/>
        </w:rPr>
        <w:t>(1/147-148)</w:t>
      </w:r>
      <w:r>
        <w:rPr>
          <w:rFonts w:ascii="Traditional Arabic" w:hAnsi="Traditional Arabic" w:hint="cs"/>
          <w:sz w:val="32"/>
          <w:szCs w:val="32"/>
          <w:rtl/>
        </w:rPr>
        <w:t xml:space="preserve"> كلاهما للبورنو</w:t>
      </w:r>
      <w:r w:rsidRPr="00D514D2">
        <w:rPr>
          <w:rFonts w:ascii="Traditional Arabic" w:hAnsi="Traditional Arabic"/>
          <w:sz w:val="32"/>
          <w:szCs w:val="32"/>
          <w:rtl/>
        </w:rPr>
        <w:t>.</w:t>
      </w:r>
    </w:p>
  </w:footnote>
  <w:footnote w:id="699">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والمقصود بها نية التم</w:t>
      </w:r>
      <w:r>
        <w:rPr>
          <w:rFonts w:ascii="Traditional Arabic" w:hAnsi="Traditional Arabic"/>
          <w:sz w:val="32"/>
          <w:szCs w:val="32"/>
          <w:rtl/>
        </w:rPr>
        <w:t>ييز، وسمَّاها الشيخ ابن عثيمين</w:t>
      </w:r>
      <w:r>
        <w:rPr>
          <w:rFonts w:ascii="Traditional Arabic" w:hAnsi="Traditional Arabic" w:hint="cs"/>
          <w:sz w:val="32"/>
          <w:szCs w:val="32"/>
          <w:rtl/>
        </w:rPr>
        <w:t xml:space="preserve"> _رحمه الله_</w:t>
      </w:r>
      <w:r w:rsidRPr="00D514D2">
        <w:rPr>
          <w:rFonts w:ascii="Traditional Arabic" w:hAnsi="Traditional Arabic"/>
          <w:sz w:val="32"/>
          <w:szCs w:val="32"/>
          <w:rtl/>
        </w:rPr>
        <w:t xml:space="preserve"> نية العمل.</w:t>
      </w:r>
      <w:r>
        <w:rPr>
          <w:rFonts w:ascii="Traditional Arabic" w:hAnsi="Traditional Arabic" w:hint="cs"/>
          <w:sz w:val="32"/>
          <w:szCs w:val="32"/>
          <w:rtl/>
        </w:rPr>
        <w:t xml:space="preserve"> </w:t>
      </w:r>
      <w:r>
        <w:rPr>
          <w:rFonts w:ascii="Traditional Arabic" w:hAnsi="Traditional Arabic"/>
          <w:sz w:val="32"/>
          <w:szCs w:val="32"/>
          <w:rtl/>
        </w:rPr>
        <w:t>انظر</w:t>
      </w:r>
      <w:r>
        <w:rPr>
          <w:rFonts w:ascii="Traditional Arabic" w:hAnsi="Traditional Arabic" w:hint="cs"/>
          <w:sz w:val="32"/>
          <w:szCs w:val="32"/>
          <w:rtl/>
        </w:rPr>
        <w:t xml:space="preserve">: </w:t>
      </w:r>
      <w:r w:rsidRPr="00D514D2">
        <w:rPr>
          <w:rFonts w:ascii="Traditional Arabic" w:hAnsi="Traditional Arabic"/>
          <w:sz w:val="32"/>
          <w:szCs w:val="32"/>
          <w:rtl/>
        </w:rPr>
        <w:t>التعليق على القواعد والأصول الجامعة (74)</w:t>
      </w:r>
      <w:r>
        <w:rPr>
          <w:rFonts w:ascii="Traditional Arabic" w:hAnsi="Traditional Arabic" w:hint="cs"/>
          <w:sz w:val="32"/>
          <w:szCs w:val="32"/>
          <w:rtl/>
        </w:rPr>
        <w:t>، والمنثور للزركشي (3/285)</w:t>
      </w:r>
      <w:r w:rsidRPr="00D514D2">
        <w:rPr>
          <w:rFonts w:ascii="Traditional Arabic" w:hAnsi="Traditional Arabic"/>
          <w:sz w:val="32"/>
          <w:szCs w:val="32"/>
          <w:rtl/>
        </w:rPr>
        <w:t>.</w:t>
      </w:r>
    </w:p>
  </w:footnote>
  <w:footnote w:id="700">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المقصود بها نية التق</w:t>
      </w:r>
      <w:r>
        <w:rPr>
          <w:rFonts w:ascii="Traditional Arabic" w:hAnsi="Traditional Arabic"/>
          <w:sz w:val="32"/>
          <w:szCs w:val="32"/>
          <w:rtl/>
        </w:rPr>
        <w:t>رّب، وسمَّاها الشيخ ابن عثيمين</w:t>
      </w:r>
      <w:r>
        <w:rPr>
          <w:rFonts w:ascii="Traditional Arabic" w:hAnsi="Traditional Arabic" w:hint="cs"/>
          <w:sz w:val="32"/>
          <w:szCs w:val="32"/>
          <w:rtl/>
        </w:rPr>
        <w:t>_رحمه الله_</w:t>
      </w:r>
      <w:r w:rsidRPr="00D514D2">
        <w:rPr>
          <w:rFonts w:ascii="Traditional Arabic" w:hAnsi="Traditional Arabic"/>
          <w:sz w:val="32"/>
          <w:szCs w:val="32"/>
          <w:rtl/>
        </w:rPr>
        <w:t xml:space="preserve"> نية المعمول له.</w:t>
      </w:r>
      <w:r>
        <w:rPr>
          <w:rFonts w:ascii="Traditional Arabic" w:hAnsi="Traditional Arabic" w:hint="cs"/>
          <w:sz w:val="32"/>
          <w:szCs w:val="32"/>
          <w:rtl/>
        </w:rPr>
        <w:t xml:space="preserve"> </w:t>
      </w:r>
      <w:r>
        <w:rPr>
          <w:rFonts w:ascii="Traditional Arabic" w:hAnsi="Traditional Arabic"/>
          <w:sz w:val="32"/>
          <w:szCs w:val="32"/>
          <w:rtl/>
        </w:rPr>
        <w:t>انظر المراجع السابقة</w:t>
      </w:r>
      <w:r>
        <w:rPr>
          <w:rFonts w:ascii="Traditional Arabic" w:hAnsi="Traditional Arabic" w:hint="cs"/>
          <w:sz w:val="32"/>
          <w:szCs w:val="32"/>
          <w:rtl/>
        </w:rPr>
        <w:t>.</w:t>
      </w:r>
    </w:p>
  </w:footnote>
  <w:footnote w:id="701">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tl/>
        </w:rPr>
        <w:t>(</w:t>
      </w:r>
      <w:r w:rsidRPr="00D514D2">
        <w:rPr>
          <w:rFonts w:ascii="Traditional Arabic" w:hAnsi="Traditional Arabic"/>
          <w:sz w:val="32"/>
          <w:szCs w:val="32"/>
          <w:rtl/>
        </w:rPr>
        <w:footnoteRef/>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الشرح الممتع (1/203)،و (2/289)، وشرح الأربعين النووية (12).</w:t>
      </w:r>
    </w:p>
  </w:footnote>
  <w:footnote w:id="702">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tl/>
        </w:rPr>
        <w:t>(</w:t>
      </w:r>
      <w:r w:rsidRPr="00D514D2">
        <w:rPr>
          <w:rFonts w:ascii="Traditional Arabic" w:hAnsi="Traditional Arabic"/>
          <w:sz w:val="32"/>
          <w:szCs w:val="32"/>
          <w:rtl/>
        </w:rPr>
        <w:footnoteRef/>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الشرح الممتع (1/356)</w:t>
      </w:r>
      <w:r>
        <w:rPr>
          <w:rFonts w:ascii="Traditional Arabic" w:hAnsi="Traditional Arabic" w:hint="cs"/>
          <w:sz w:val="32"/>
          <w:szCs w:val="32"/>
          <w:rtl/>
        </w:rPr>
        <w:t xml:space="preserve"> بتصرف</w:t>
      </w:r>
      <w:r w:rsidRPr="00D514D2">
        <w:rPr>
          <w:rFonts w:ascii="Traditional Arabic" w:hAnsi="Traditional Arabic"/>
          <w:sz w:val="32"/>
          <w:szCs w:val="32"/>
          <w:rtl/>
        </w:rPr>
        <w:t>.</w:t>
      </w:r>
    </w:p>
  </w:footnote>
  <w:footnote w:id="703">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انظر القواعد الفقهية للندوي (395،398).</w:t>
      </w:r>
    </w:p>
  </w:footnote>
  <w:footnote w:id="704">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tl/>
        </w:rPr>
        <w:t>(</w:t>
      </w:r>
      <w:r w:rsidRPr="00D514D2">
        <w:rPr>
          <w:rFonts w:ascii="Traditional Arabic" w:hAnsi="Traditional Arabic"/>
          <w:sz w:val="32"/>
          <w:szCs w:val="32"/>
          <w:rtl/>
        </w:rPr>
        <w:footnoteRef/>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شرح منظومة أصول الفقه وقواعده (225).</w:t>
      </w:r>
    </w:p>
  </w:footnote>
  <w:footnote w:id="705">
    <w:p w:rsidR="000D3D21" w:rsidRPr="00D514D2" w:rsidRDefault="000D3D21" w:rsidP="00EA1AAD">
      <w:pPr>
        <w:pStyle w:val="a7"/>
        <w:spacing w:line="360" w:lineRule="exact"/>
        <w:rPr>
          <w:rFonts w:ascii="Traditional Arabic" w:hAnsi="Traditional Arabic"/>
          <w:sz w:val="32"/>
          <w:szCs w:val="32"/>
        </w:rPr>
      </w:pPr>
      <w:r w:rsidRPr="00D514D2">
        <w:rPr>
          <w:rFonts w:ascii="Traditional Arabic" w:hAnsi="Traditional Arabic"/>
          <w:sz w:val="32"/>
          <w:szCs w:val="32"/>
        </w:rPr>
        <w:footnoteRef/>
      </w:r>
      <w:r w:rsidRPr="00D514D2">
        <w:rPr>
          <w:rFonts w:ascii="Traditional Arabic" w:hAnsi="Traditional Arabic"/>
          <w:sz w:val="32"/>
          <w:szCs w:val="32"/>
        </w:rPr>
        <w:t>)</w:t>
      </w:r>
      <w:r>
        <w:rPr>
          <w:rFonts w:ascii="Traditional Arabic" w:hAnsi="Traditional Arabic"/>
          <w:sz w:val="32"/>
          <w:szCs w:val="32"/>
          <w:rtl/>
        </w:rPr>
        <w:t>) تقدم تخريجه</w:t>
      </w:r>
      <w:r w:rsidRPr="00D514D2">
        <w:rPr>
          <w:rFonts w:ascii="Traditional Arabic" w:hAnsi="Traditional Arabic"/>
          <w:sz w:val="32"/>
          <w:szCs w:val="32"/>
          <w:rtl/>
        </w:rPr>
        <w:t>.</w:t>
      </w:r>
    </w:p>
  </w:footnote>
  <w:footnote w:id="706">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انظر -على سبيل التمثيل-:</w:t>
      </w:r>
      <w:r>
        <w:rPr>
          <w:rFonts w:ascii="Traditional Arabic" w:hAnsi="Traditional Arabic" w:hint="cs"/>
          <w:sz w:val="32"/>
          <w:szCs w:val="32"/>
          <w:rtl/>
        </w:rPr>
        <w:t xml:space="preserve"> </w:t>
      </w:r>
      <w:r w:rsidRPr="00D514D2">
        <w:rPr>
          <w:rFonts w:ascii="Traditional Arabic" w:hAnsi="Traditional Arabic"/>
          <w:sz w:val="32"/>
          <w:szCs w:val="32"/>
          <w:rtl/>
        </w:rPr>
        <w:t>الشرح الممتع (1/194،200،357)،</w:t>
      </w:r>
      <w:r>
        <w:rPr>
          <w:rFonts w:ascii="Traditional Arabic" w:hAnsi="Traditional Arabic" w:hint="cs"/>
          <w:sz w:val="32"/>
          <w:szCs w:val="32"/>
          <w:rtl/>
        </w:rPr>
        <w:t xml:space="preserve"> </w:t>
      </w:r>
      <w:r w:rsidRPr="00D514D2">
        <w:rPr>
          <w:rFonts w:ascii="Traditional Arabic" w:hAnsi="Traditional Arabic"/>
          <w:sz w:val="32"/>
          <w:szCs w:val="32"/>
          <w:rtl/>
        </w:rPr>
        <w:t>و(2/19،290،304)،</w:t>
      </w:r>
      <w:r>
        <w:rPr>
          <w:rFonts w:ascii="Traditional Arabic" w:hAnsi="Traditional Arabic" w:hint="cs"/>
          <w:sz w:val="32"/>
          <w:szCs w:val="32"/>
          <w:rtl/>
        </w:rPr>
        <w:t xml:space="preserve"> </w:t>
      </w:r>
      <w:r w:rsidRPr="00D514D2">
        <w:rPr>
          <w:rFonts w:ascii="Traditional Arabic" w:hAnsi="Traditional Arabic"/>
          <w:sz w:val="32"/>
          <w:szCs w:val="32"/>
          <w:rtl/>
        </w:rPr>
        <w:t xml:space="preserve"> و(4/129،371)،</w:t>
      </w:r>
      <w:r>
        <w:rPr>
          <w:rFonts w:ascii="Traditional Arabic" w:hAnsi="Traditional Arabic" w:hint="cs"/>
          <w:sz w:val="32"/>
          <w:szCs w:val="32"/>
          <w:rtl/>
        </w:rPr>
        <w:t xml:space="preserve"> </w:t>
      </w:r>
      <w:r w:rsidRPr="00D514D2">
        <w:rPr>
          <w:rFonts w:ascii="Traditional Arabic" w:hAnsi="Traditional Arabic"/>
          <w:sz w:val="32"/>
          <w:szCs w:val="32"/>
          <w:rtl/>
        </w:rPr>
        <w:t>و(5/8،277)،</w:t>
      </w:r>
      <w:r>
        <w:rPr>
          <w:rFonts w:ascii="Traditional Arabic" w:hAnsi="Traditional Arabic" w:hint="cs"/>
          <w:sz w:val="32"/>
          <w:szCs w:val="32"/>
          <w:rtl/>
        </w:rPr>
        <w:t xml:space="preserve"> </w:t>
      </w:r>
      <w:r w:rsidRPr="00D514D2">
        <w:rPr>
          <w:rFonts w:ascii="Traditional Arabic" w:hAnsi="Traditional Arabic"/>
          <w:sz w:val="32"/>
          <w:szCs w:val="32"/>
          <w:rtl/>
        </w:rPr>
        <w:t>و(6/41،139،203،360)،</w:t>
      </w:r>
      <w:r>
        <w:rPr>
          <w:rFonts w:ascii="Traditional Arabic" w:hAnsi="Traditional Arabic" w:hint="cs"/>
          <w:sz w:val="32"/>
          <w:szCs w:val="32"/>
          <w:rtl/>
        </w:rPr>
        <w:t xml:space="preserve"> </w:t>
      </w:r>
      <w:r w:rsidRPr="00D514D2">
        <w:rPr>
          <w:rFonts w:ascii="Traditional Arabic" w:hAnsi="Traditional Arabic"/>
          <w:sz w:val="32"/>
          <w:szCs w:val="32"/>
          <w:rtl/>
        </w:rPr>
        <w:t>و(7/250،371)،</w:t>
      </w:r>
      <w:r>
        <w:rPr>
          <w:rFonts w:ascii="Traditional Arabic" w:hAnsi="Traditional Arabic" w:hint="cs"/>
          <w:sz w:val="32"/>
          <w:szCs w:val="32"/>
          <w:rtl/>
        </w:rPr>
        <w:t xml:space="preserve"> </w:t>
      </w:r>
      <w:r w:rsidRPr="00D514D2">
        <w:rPr>
          <w:rFonts w:ascii="Traditional Arabic" w:hAnsi="Traditional Arabic"/>
          <w:sz w:val="32"/>
          <w:szCs w:val="32"/>
          <w:rtl/>
        </w:rPr>
        <w:t>و(8/77،100،207)،</w:t>
      </w:r>
      <w:r>
        <w:rPr>
          <w:rFonts w:ascii="Traditional Arabic" w:hAnsi="Traditional Arabic" w:hint="cs"/>
          <w:sz w:val="32"/>
          <w:szCs w:val="32"/>
          <w:rtl/>
        </w:rPr>
        <w:t xml:space="preserve"> </w:t>
      </w:r>
      <w:r w:rsidRPr="00D514D2">
        <w:rPr>
          <w:rFonts w:ascii="Traditional Arabic" w:hAnsi="Traditional Arabic"/>
          <w:sz w:val="32"/>
          <w:szCs w:val="32"/>
          <w:rtl/>
        </w:rPr>
        <w:t>و(9/46،47)،</w:t>
      </w:r>
      <w:r>
        <w:rPr>
          <w:rFonts w:ascii="Traditional Arabic" w:hAnsi="Traditional Arabic" w:hint="cs"/>
          <w:sz w:val="32"/>
          <w:szCs w:val="32"/>
          <w:rtl/>
        </w:rPr>
        <w:t xml:space="preserve"> </w:t>
      </w:r>
      <w:r w:rsidRPr="00D514D2">
        <w:rPr>
          <w:rFonts w:ascii="Traditional Arabic" w:hAnsi="Traditional Arabic"/>
          <w:sz w:val="32"/>
          <w:szCs w:val="32"/>
          <w:rtl/>
        </w:rPr>
        <w:t>و(10/41)،</w:t>
      </w:r>
      <w:r>
        <w:rPr>
          <w:rFonts w:ascii="Traditional Arabic" w:hAnsi="Traditional Arabic" w:hint="cs"/>
          <w:sz w:val="32"/>
          <w:szCs w:val="32"/>
          <w:rtl/>
        </w:rPr>
        <w:t xml:space="preserve"> </w:t>
      </w:r>
      <w:r w:rsidRPr="00D514D2">
        <w:rPr>
          <w:rFonts w:ascii="Traditional Arabic" w:hAnsi="Traditional Arabic"/>
          <w:sz w:val="32"/>
          <w:szCs w:val="32"/>
          <w:rtl/>
        </w:rPr>
        <w:t>و(11/12)،</w:t>
      </w:r>
      <w:r>
        <w:rPr>
          <w:rFonts w:ascii="Traditional Arabic" w:hAnsi="Traditional Arabic" w:hint="cs"/>
          <w:sz w:val="32"/>
          <w:szCs w:val="32"/>
          <w:rtl/>
        </w:rPr>
        <w:t xml:space="preserve"> </w:t>
      </w:r>
      <w:r w:rsidRPr="00D514D2">
        <w:rPr>
          <w:rFonts w:ascii="Traditional Arabic" w:hAnsi="Traditional Arabic"/>
          <w:sz w:val="32"/>
          <w:szCs w:val="32"/>
          <w:rtl/>
        </w:rPr>
        <w:t>و(12/76،178)،</w:t>
      </w:r>
      <w:r>
        <w:rPr>
          <w:rFonts w:ascii="Traditional Arabic" w:hAnsi="Traditional Arabic" w:hint="cs"/>
          <w:sz w:val="32"/>
          <w:szCs w:val="32"/>
          <w:rtl/>
        </w:rPr>
        <w:t xml:space="preserve"> </w:t>
      </w:r>
      <w:r w:rsidRPr="00D514D2">
        <w:rPr>
          <w:rFonts w:ascii="Traditional Arabic" w:hAnsi="Traditional Arabic"/>
          <w:sz w:val="32"/>
          <w:szCs w:val="32"/>
          <w:rtl/>
        </w:rPr>
        <w:t>و(13/17،77،126،172)،</w:t>
      </w:r>
      <w:r>
        <w:rPr>
          <w:rFonts w:ascii="Traditional Arabic" w:hAnsi="Traditional Arabic" w:hint="cs"/>
          <w:sz w:val="32"/>
          <w:szCs w:val="32"/>
          <w:rtl/>
        </w:rPr>
        <w:t xml:space="preserve"> </w:t>
      </w:r>
      <w:r w:rsidRPr="00D514D2">
        <w:rPr>
          <w:rFonts w:ascii="Traditional Arabic" w:hAnsi="Traditional Arabic"/>
          <w:sz w:val="32"/>
          <w:szCs w:val="32"/>
          <w:rtl/>
        </w:rPr>
        <w:t>و(14/443)،</w:t>
      </w:r>
      <w:r>
        <w:rPr>
          <w:rFonts w:ascii="Traditional Arabic" w:hAnsi="Traditional Arabic" w:hint="cs"/>
          <w:sz w:val="32"/>
          <w:szCs w:val="32"/>
          <w:rtl/>
        </w:rPr>
        <w:t xml:space="preserve"> </w:t>
      </w:r>
      <w:r w:rsidRPr="00D514D2">
        <w:rPr>
          <w:rFonts w:ascii="Traditional Arabic" w:hAnsi="Traditional Arabic"/>
          <w:sz w:val="32"/>
          <w:szCs w:val="32"/>
          <w:rtl/>
        </w:rPr>
        <w:t>و(15/153،486).</w:t>
      </w:r>
    </w:p>
  </w:footnote>
  <w:footnote w:id="707">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انظر المرجع السابق (1/194،353)، و(8/430)، وشرح ريا</w:t>
      </w:r>
      <w:r>
        <w:rPr>
          <w:rFonts w:ascii="Traditional Arabic" w:hAnsi="Traditional Arabic"/>
          <w:sz w:val="32"/>
          <w:szCs w:val="32"/>
          <w:rtl/>
        </w:rPr>
        <w:t>ض الصالحين (1/17)،</w:t>
      </w:r>
      <w:r>
        <w:rPr>
          <w:rFonts w:ascii="Traditional Arabic" w:hAnsi="Traditional Arabic" w:hint="cs"/>
          <w:sz w:val="32"/>
          <w:szCs w:val="32"/>
          <w:rtl/>
        </w:rPr>
        <w:t xml:space="preserve"> </w:t>
      </w:r>
      <w:r>
        <w:rPr>
          <w:rFonts w:ascii="Traditional Arabic" w:hAnsi="Traditional Arabic"/>
          <w:sz w:val="32"/>
          <w:szCs w:val="32"/>
          <w:rtl/>
        </w:rPr>
        <w:t>و</w:t>
      </w:r>
      <w:r w:rsidRPr="00D514D2">
        <w:rPr>
          <w:rFonts w:ascii="Traditional Arabic" w:hAnsi="Traditional Arabic"/>
          <w:sz w:val="32"/>
          <w:szCs w:val="32"/>
          <w:rtl/>
        </w:rPr>
        <w:t>فتح ذي الجلال واﻹكرام (4/7)، وشرح منظومة أصول الفقه وقواعده (224)، ومجموع فتاوى ورسائل ابن عثيمين</w:t>
      </w:r>
      <w:r>
        <w:rPr>
          <w:rFonts w:ascii="Traditional Arabic" w:hAnsi="Traditional Arabic" w:hint="cs"/>
          <w:sz w:val="32"/>
          <w:szCs w:val="32"/>
          <w:rtl/>
        </w:rPr>
        <w:t xml:space="preserve"> </w:t>
      </w:r>
      <w:r w:rsidRPr="00D514D2">
        <w:rPr>
          <w:rFonts w:ascii="Traditional Arabic" w:hAnsi="Traditional Arabic"/>
          <w:sz w:val="32"/>
          <w:szCs w:val="32"/>
          <w:rtl/>
        </w:rPr>
        <w:t>(12/455).</w:t>
      </w:r>
    </w:p>
  </w:footnote>
  <w:footnote w:id="708">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التفسير الثمين (12/256).</w:t>
      </w:r>
    </w:p>
  </w:footnote>
  <w:footnote w:id="709">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Pr>
          <w:rFonts w:ascii="Traditional Arabic" w:hAnsi="Traditional Arabic"/>
          <w:sz w:val="32"/>
          <w:szCs w:val="32"/>
          <w:rtl/>
        </w:rPr>
        <w:t>) ال</w:t>
      </w:r>
      <w:r>
        <w:rPr>
          <w:rFonts w:ascii="Traditional Arabic" w:hAnsi="Traditional Arabic" w:hint="cs"/>
          <w:sz w:val="32"/>
          <w:szCs w:val="32"/>
          <w:rtl/>
        </w:rPr>
        <w:t>مرجع السابق</w:t>
      </w:r>
      <w:r w:rsidRPr="00D514D2">
        <w:rPr>
          <w:rFonts w:ascii="Traditional Arabic" w:hAnsi="Traditional Arabic"/>
          <w:sz w:val="32"/>
          <w:szCs w:val="32"/>
          <w:rtl/>
        </w:rPr>
        <w:t xml:space="preserve"> (13/516)</w:t>
      </w:r>
      <w:r>
        <w:rPr>
          <w:rFonts w:ascii="Traditional Arabic" w:hAnsi="Traditional Arabic" w:hint="cs"/>
          <w:sz w:val="32"/>
          <w:szCs w:val="32"/>
          <w:rtl/>
        </w:rPr>
        <w:t xml:space="preserve"> بتصرف</w:t>
      </w:r>
      <w:r w:rsidRPr="00D514D2">
        <w:rPr>
          <w:rFonts w:ascii="Traditional Arabic" w:hAnsi="Traditional Arabic"/>
          <w:sz w:val="32"/>
          <w:szCs w:val="32"/>
          <w:rtl/>
        </w:rPr>
        <w:t>.</w:t>
      </w:r>
    </w:p>
  </w:footnote>
  <w:footnote w:id="710">
    <w:p w:rsidR="000D3D21"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Pr>
          <w:rFonts w:ascii="Traditional Arabic" w:hAnsi="Traditional Arabic"/>
          <w:sz w:val="32"/>
          <w:szCs w:val="32"/>
          <w:rtl/>
        </w:rPr>
        <w:t>) سبق تخريجه.</w:t>
      </w:r>
    </w:p>
    <w:p w:rsidR="000D3D21" w:rsidRPr="00FF6744" w:rsidRDefault="000D3D21" w:rsidP="00EA1AAD">
      <w:pPr>
        <w:pStyle w:val="a7"/>
        <w:spacing w:line="360" w:lineRule="exact"/>
        <w:rPr>
          <w:rtl/>
        </w:rPr>
      </w:pPr>
      <w:r>
        <w:rPr>
          <w:rFonts w:ascii="Traditional Arabic" w:hAnsi="Traditional Arabic" w:hint="cs"/>
          <w:sz w:val="32"/>
          <w:szCs w:val="32"/>
          <w:rtl/>
        </w:rPr>
        <w:t xml:space="preserve">     </w:t>
      </w:r>
      <w:r>
        <w:rPr>
          <w:rFonts w:ascii="Traditional Arabic" w:hAnsi="Traditional Arabic" w:hint="cs"/>
          <w:b/>
          <w:bCs/>
          <w:sz w:val="32"/>
          <w:szCs w:val="32"/>
          <w:rtl/>
        </w:rPr>
        <w:t>فائدة:</w:t>
      </w:r>
      <w:r w:rsidRPr="00D514D2">
        <w:rPr>
          <w:rFonts w:ascii="Traditional Arabic" w:hAnsi="Traditional Arabic"/>
          <w:sz w:val="32"/>
          <w:szCs w:val="32"/>
          <w:rtl/>
        </w:rPr>
        <w:t xml:space="preserve"> تعرض الشيخ </w:t>
      </w:r>
      <w:r>
        <w:rPr>
          <w:rFonts w:ascii="Traditional Arabic" w:hAnsi="Traditional Arabic" w:hint="cs"/>
          <w:sz w:val="32"/>
          <w:szCs w:val="32"/>
          <w:rtl/>
        </w:rPr>
        <w:t xml:space="preserve">ابن عثيمين _رحمه الله_ </w:t>
      </w:r>
      <w:r w:rsidRPr="00D514D2">
        <w:rPr>
          <w:rFonts w:ascii="Traditional Arabic" w:hAnsi="Traditional Arabic"/>
          <w:sz w:val="32"/>
          <w:szCs w:val="32"/>
          <w:rtl/>
        </w:rPr>
        <w:t>لشرح هذا الحديث في مواضع عديدة من كتبه.</w:t>
      </w:r>
      <w:r>
        <w:rPr>
          <w:rFonts w:ascii="Traditional Arabic" w:hAnsi="Traditional Arabic" w:hint="cs"/>
          <w:sz w:val="32"/>
          <w:szCs w:val="32"/>
          <w:rtl/>
        </w:rPr>
        <w:t xml:space="preserve"> </w:t>
      </w:r>
      <w:r w:rsidRPr="00D514D2">
        <w:rPr>
          <w:rFonts w:ascii="Traditional Arabic" w:hAnsi="Traditional Arabic"/>
          <w:sz w:val="32"/>
          <w:szCs w:val="32"/>
          <w:rtl/>
        </w:rPr>
        <w:t>انظر:شرح صحيح البخاري (1/20)، وشرح رياض الصالحين (1/17)، وتنبيه الأفهام شرح عمدة الأحكام (1/8)، وشرح الأربعين النووية (9)، وشرح منظومة أصول الفقه وقواعده (231).</w:t>
      </w:r>
    </w:p>
  </w:footnote>
  <w:footnote w:id="711">
    <w:p w:rsidR="000D3D21" w:rsidRPr="00D514D2" w:rsidRDefault="000D3D21" w:rsidP="00374F14">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Pr="00AA2F0F">
        <w:rPr>
          <w:rFonts w:ascii="Traditional Arabic" w:hAnsi="Traditional Arabic"/>
          <w:b/>
          <w:bCs/>
          <w:sz w:val="32"/>
          <w:szCs w:val="32"/>
          <w:rtl/>
        </w:rPr>
        <w:t>البيداء</w:t>
      </w:r>
      <w:r w:rsidR="00AB0B9E" w:rsidRPr="00D514D2">
        <w:rPr>
          <w:rFonts w:ascii="Traditional Arabic" w:hAnsi="Traditional Arabic"/>
          <w:sz w:val="32"/>
          <w:szCs w:val="32"/>
          <w:rtl/>
        </w:rPr>
        <w:fldChar w:fldCharType="begin"/>
      </w:r>
      <w:r w:rsidRPr="00D514D2">
        <w:rPr>
          <w:rFonts w:ascii="Traditional Arabic" w:hAnsi="Traditional Arabic"/>
          <w:sz w:val="32"/>
          <w:szCs w:val="32"/>
        </w:rPr>
        <w:instrText xml:space="preserve"> XE "</w:instrText>
      </w:r>
      <w:r w:rsidRPr="00D514D2">
        <w:rPr>
          <w:rFonts w:ascii="Traditional Arabic" w:hAnsi="Traditional Arabic"/>
          <w:sz w:val="32"/>
          <w:szCs w:val="32"/>
          <w:rtl/>
        </w:rPr>
        <w:instrText>البيداء</w:instrText>
      </w:r>
      <w:r w:rsidRPr="00D514D2">
        <w:rPr>
          <w:rFonts w:ascii="Traditional Arabic" w:hAnsi="Traditional Arabic"/>
          <w:sz w:val="32"/>
          <w:szCs w:val="32"/>
        </w:rPr>
        <w:instrText>" \fm</w:instrText>
      </w:r>
      <w:r w:rsidR="00AB0B9E" w:rsidRPr="00D514D2">
        <w:rPr>
          <w:rFonts w:ascii="Traditional Arabic" w:hAnsi="Traditional Arabic"/>
          <w:sz w:val="32"/>
          <w:szCs w:val="32"/>
          <w:rtl/>
        </w:rPr>
        <w:fldChar w:fldCharType="end"/>
      </w:r>
      <w:r>
        <w:rPr>
          <w:rFonts w:ascii="Traditional Arabic" w:hAnsi="Traditional Arabic"/>
          <w:sz w:val="32"/>
          <w:szCs w:val="32"/>
          <w:rtl/>
        </w:rPr>
        <w:t xml:space="preserve">: </w:t>
      </w:r>
      <w:r w:rsidRPr="00D514D2">
        <w:rPr>
          <w:rFonts w:ascii="Traditional Arabic" w:hAnsi="Traditional Arabic"/>
          <w:sz w:val="32"/>
          <w:szCs w:val="32"/>
          <w:rtl/>
        </w:rPr>
        <w:t>كل أرض ملساء لا شيء بها.</w:t>
      </w:r>
      <w:r>
        <w:rPr>
          <w:rFonts w:ascii="Traditional Arabic" w:hAnsi="Traditional Arabic" w:hint="cs"/>
          <w:sz w:val="32"/>
          <w:szCs w:val="32"/>
          <w:rtl/>
        </w:rPr>
        <w:t xml:space="preserve"> </w:t>
      </w:r>
      <w:r w:rsidRPr="00D514D2">
        <w:rPr>
          <w:rFonts w:ascii="Traditional Arabic" w:hAnsi="Traditional Arabic"/>
          <w:sz w:val="32"/>
          <w:szCs w:val="32"/>
          <w:rtl/>
        </w:rPr>
        <w:t>انظر</w:t>
      </w:r>
      <w:r>
        <w:rPr>
          <w:rFonts w:ascii="Traditional Arabic" w:hAnsi="Traditional Arabic" w:hint="cs"/>
          <w:sz w:val="32"/>
          <w:szCs w:val="32"/>
          <w:rtl/>
        </w:rPr>
        <w:t>:</w:t>
      </w:r>
      <w:r w:rsidRPr="00D514D2">
        <w:rPr>
          <w:rFonts w:ascii="Traditional Arabic" w:hAnsi="Traditional Arabic"/>
          <w:sz w:val="32"/>
          <w:szCs w:val="32"/>
          <w:rtl/>
        </w:rPr>
        <w:t xml:space="preserve"> النهاية في غريب الحديث والأثر لابن الأثير (1/171)، وشرح النووي على صحيح مسلم (18/5).</w:t>
      </w:r>
    </w:p>
  </w:footnote>
  <w:footnote w:id="712">
    <w:p w:rsidR="000D3D21" w:rsidRPr="00D514D2" w:rsidRDefault="000D3D21" w:rsidP="00374F14">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sidRPr="00AA2F0F">
        <w:rPr>
          <w:rFonts w:ascii="Traditional Arabic" w:hAnsi="Traditional Arabic" w:hint="cs"/>
          <w:b/>
          <w:bCs/>
          <w:sz w:val="32"/>
          <w:szCs w:val="32"/>
          <w:rtl/>
        </w:rPr>
        <w:t xml:space="preserve"> </w:t>
      </w:r>
      <w:r w:rsidRPr="00AA2F0F">
        <w:rPr>
          <w:rFonts w:ascii="Traditional Arabic" w:hAnsi="Traditional Arabic"/>
          <w:b/>
          <w:bCs/>
          <w:sz w:val="32"/>
          <w:szCs w:val="32"/>
          <w:rtl/>
        </w:rPr>
        <w:t>أسواقهم</w:t>
      </w:r>
      <w:r w:rsidR="00AB0B9E" w:rsidRPr="00D514D2">
        <w:rPr>
          <w:rFonts w:ascii="Traditional Arabic" w:hAnsi="Traditional Arabic"/>
          <w:sz w:val="32"/>
          <w:szCs w:val="32"/>
          <w:rtl/>
        </w:rPr>
        <w:fldChar w:fldCharType="begin"/>
      </w:r>
      <w:r w:rsidRPr="00D514D2">
        <w:rPr>
          <w:rFonts w:ascii="Traditional Arabic" w:hAnsi="Traditional Arabic"/>
          <w:sz w:val="32"/>
          <w:szCs w:val="32"/>
        </w:rPr>
        <w:instrText xml:space="preserve"> XE "</w:instrText>
      </w:r>
      <w:r w:rsidRPr="00D514D2">
        <w:rPr>
          <w:rFonts w:ascii="Traditional Arabic" w:hAnsi="Traditional Arabic"/>
          <w:sz w:val="32"/>
          <w:szCs w:val="32"/>
          <w:rtl/>
        </w:rPr>
        <w:instrText>أسواقهم</w:instrText>
      </w:r>
      <w:r w:rsidRPr="00D514D2">
        <w:rPr>
          <w:rFonts w:ascii="Traditional Arabic" w:hAnsi="Traditional Arabic"/>
          <w:sz w:val="32"/>
          <w:szCs w:val="32"/>
        </w:rPr>
        <w:instrText>" \fm</w:instrText>
      </w:r>
      <w:r w:rsidR="00AB0B9E" w:rsidRPr="00D514D2">
        <w:rPr>
          <w:rFonts w:ascii="Traditional Arabic" w:hAnsi="Traditional Arabic"/>
          <w:sz w:val="32"/>
          <w:szCs w:val="32"/>
          <w:rtl/>
        </w:rPr>
        <w:fldChar w:fldCharType="end"/>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أهل أسواقهم أو الس</w:t>
      </w:r>
      <w:r>
        <w:rPr>
          <w:rFonts w:ascii="Traditional Arabic" w:hAnsi="Traditional Arabic" w:hint="cs"/>
          <w:sz w:val="32"/>
          <w:szCs w:val="32"/>
          <w:rtl/>
        </w:rPr>
        <w:t>ُّ</w:t>
      </w:r>
      <w:r w:rsidRPr="00D514D2">
        <w:rPr>
          <w:rFonts w:ascii="Traditional Arabic" w:hAnsi="Traditional Arabic"/>
          <w:sz w:val="32"/>
          <w:szCs w:val="32"/>
          <w:rtl/>
        </w:rPr>
        <w:t>وقة منهم. والسوقة م</w:t>
      </w:r>
      <w:r>
        <w:rPr>
          <w:rFonts w:ascii="Traditional Arabic" w:hAnsi="Traditional Arabic"/>
          <w:sz w:val="32"/>
          <w:szCs w:val="32"/>
          <w:rtl/>
        </w:rPr>
        <w:t>ن الناس:الرعية ومَن دون الملك.</w:t>
      </w:r>
      <w:r>
        <w:rPr>
          <w:rFonts w:ascii="Traditional Arabic" w:hAnsi="Traditional Arabic" w:hint="cs"/>
          <w:sz w:val="32"/>
          <w:szCs w:val="32"/>
          <w:rtl/>
        </w:rPr>
        <w:t xml:space="preserve"> </w:t>
      </w:r>
      <w:r>
        <w:rPr>
          <w:rFonts w:ascii="Traditional Arabic" w:hAnsi="Traditional Arabic"/>
          <w:sz w:val="32"/>
          <w:szCs w:val="32"/>
          <w:rtl/>
        </w:rPr>
        <w:t>و</w:t>
      </w:r>
      <w:r w:rsidRPr="00D514D2">
        <w:rPr>
          <w:rFonts w:ascii="Traditional Arabic" w:hAnsi="Traditional Arabic"/>
          <w:sz w:val="32"/>
          <w:szCs w:val="32"/>
          <w:rtl/>
        </w:rPr>
        <w:t>المقصود أنه يخسف بالمقاتِلة ومن ليس من أهل القتال كالباعة.</w:t>
      </w:r>
      <w:r>
        <w:rPr>
          <w:rFonts w:ascii="Traditional Arabic" w:hAnsi="Traditional Arabic" w:hint="cs"/>
          <w:sz w:val="32"/>
          <w:szCs w:val="32"/>
          <w:rtl/>
        </w:rPr>
        <w:t xml:space="preserve"> </w:t>
      </w:r>
      <w:r w:rsidRPr="00D514D2">
        <w:rPr>
          <w:rFonts w:ascii="Traditional Arabic" w:hAnsi="Traditional Arabic"/>
          <w:sz w:val="32"/>
          <w:szCs w:val="32"/>
          <w:rtl/>
        </w:rPr>
        <w:t>انظر:</w:t>
      </w:r>
      <w:r>
        <w:rPr>
          <w:rFonts w:ascii="Traditional Arabic" w:hAnsi="Traditional Arabic" w:hint="cs"/>
          <w:sz w:val="32"/>
          <w:szCs w:val="32"/>
          <w:rtl/>
        </w:rPr>
        <w:t xml:space="preserve"> </w:t>
      </w:r>
      <w:r w:rsidRPr="00D514D2">
        <w:rPr>
          <w:rFonts w:ascii="Traditional Arabic" w:hAnsi="Traditional Arabic"/>
          <w:sz w:val="32"/>
          <w:szCs w:val="32"/>
          <w:rtl/>
        </w:rPr>
        <w:t>النهاية لابن الأثير(2/424)، وشرح النووي على صحيح مسلم (18/7)، ولسان العرب لابن منظور (21/2156)، وفتح الباري لابن حجر (5/583).</w:t>
      </w:r>
    </w:p>
  </w:footnote>
  <w:footnote w:id="713">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Pr>
          <w:rFonts w:ascii="Traditional Arabic" w:hAnsi="Traditional Arabic"/>
          <w:sz w:val="32"/>
          <w:szCs w:val="32"/>
          <w:rtl/>
        </w:rPr>
        <w:t>) أخرجه البخاري في</w:t>
      </w:r>
      <w:r>
        <w:rPr>
          <w:rFonts w:ascii="Traditional Arabic" w:hAnsi="Traditional Arabic" w:hint="cs"/>
          <w:sz w:val="32"/>
          <w:szCs w:val="32"/>
          <w:rtl/>
        </w:rPr>
        <w:t xml:space="preserve"> </w:t>
      </w:r>
      <w:r w:rsidRPr="00D514D2">
        <w:rPr>
          <w:rFonts w:ascii="Traditional Arabic" w:hAnsi="Traditional Arabic"/>
          <w:sz w:val="32"/>
          <w:szCs w:val="32"/>
          <w:rtl/>
        </w:rPr>
        <w:t>كتاب البيوع، باب ما ذكر في الأسو</w:t>
      </w:r>
      <w:r>
        <w:rPr>
          <w:rFonts w:ascii="Traditional Arabic" w:hAnsi="Traditional Arabic"/>
          <w:sz w:val="32"/>
          <w:szCs w:val="32"/>
          <w:rtl/>
        </w:rPr>
        <w:t>اق، رقم الحديث (2118)، ومسلم في</w:t>
      </w:r>
      <w:r>
        <w:rPr>
          <w:rFonts w:ascii="Traditional Arabic" w:hAnsi="Traditional Arabic" w:hint="cs"/>
          <w:sz w:val="32"/>
          <w:szCs w:val="32"/>
          <w:rtl/>
        </w:rPr>
        <w:t xml:space="preserve"> </w:t>
      </w:r>
      <w:r w:rsidRPr="00D514D2">
        <w:rPr>
          <w:rFonts w:ascii="Traditional Arabic" w:hAnsi="Traditional Arabic"/>
          <w:sz w:val="32"/>
          <w:szCs w:val="32"/>
          <w:rtl/>
        </w:rPr>
        <w:t>كتاب الفتن وأشراط الساعة، باب الخسف بالجيش الذي يؤمّ البيت، رقم الحديث (2882) عن أم سلمة</w:t>
      </w:r>
      <w:r>
        <w:rPr>
          <w:rFonts w:ascii="Traditional Arabic" w:hAnsi="Traditional Arabic" w:hint="cs"/>
          <w:color w:val="auto"/>
          <w:sz w:val="32"/>
          <w:szCs w:val="32"/>
          <w:rtl/>
        </w:rPr>
        <w:t>_رضي الله عنها_</w:t>
      </w:r>
      <w:r w:rsidRPr="00D514D2">
        <w:rPr>
          <w:rFonts w:ascii="Traditional Arabic" w:hAnsi="Traditional Arabic"/>
          <w:sz w:val="32"/>
          <w:szCs w:val="32"/>
          <w:rtl/>
        </w:rPr>
        <w:t>.</w:t>
      </w:r>
    </w:p>
  </w:footnote>
  <w:footnote w:id="714">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شرح رياض الصالحين (1/30).</w:t>
      </w:r>
    </w:p>
  </w:footnote>
  <w:footnote w:id="715">
    <w:p w:rsidR="000D3D21" w:rsidRPr="00D514D2" w:rsidRDefault="000D3D21" w:rsidP="00EA1AAD">
      <w:pPr>
        <w:pStyle w:val="a7"/>
        <w:spacing w:line="360" w:lineRule="exact"/>
        <w:rPr>
          <w:rFonts w:ascii="Traditional Arabic" w:hAnsi="Traditional Arabic"/>
          <w:sz w:val="32"/>
          <w:szCs w:val="32"/>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 xml:space="preserve">معن </w:t>
      </w:r>
      <w:r>
        <w:rPr>
          <w:rFonts w:ascii="Traditional Arabic" w:hAnsi="Traditional Arabic"/>
          <w:sz w:val="32"/>
          <w:szCs w:val="32"/>
          <w:rtl/>
        </w:rPr>
        <w:t>بن يزيد بن الأَخْنَس بن حبيب،</w:t>
      </w:r>
      <w:r>
        <w:rPr>
          <w:rFonts w:ascii="Traditional Arabic" w:hAnsi="Traditional Arabic" w:hint="cs"/>
          <w:sz w:val="32"/>
          <w:szCs w:val="32"/>
          <w:rtl/>
        </w:rPr>
        <w:t xml:space="preserve"> </w:t>
      </w:r>
      <w:r>
        <w:rPr>
          <w:rFonts w:ascii="Traditional Arabic" w:hAnsi="Traditional Arabic"/>
          <w:sz w:val="32"/>
          <w:szCs w:val="32"/>
          <w:rtl/>
        </w:rPr>
        <w:t>و</w:t>
      </w:r>
      <w:r w:rsidRPr="00D514D2">
        <w:rPr>
          <w:rFonts w:ascii="Traditional Arabic" w:hAnsi="Traditional Arabic"/>
          <w:sz w:val="32"/>
          <w:szCs w:val="32"/>
          <w:rtl/>
        </w:rPr>
        <w:t>قيل:</w:t>
      </w:r>
      <w:r>
        <w:rPr>
          <w:rFonts w:ascii="Traditional Arabic" w:hAnsi="Traditional Arabic" w:hint="cs"/>
          <w:sz w:val="32"/>
          <w:szCs w:val="32"/>
          <w:rtl/>
        </w:rPr>
        <w:t xml:space="preserve"> </w:t>
      </w:r>
      <w:r w:rsidRPr="00D514D2">
        <w:rPr>
          <w:rFonts w:ascii="Traditional Arabic" w:hAnsi="Traditional Arabic"/>
          <w:sz w:val="32"/>
          <w:szCs w:val="32"/>
          <w:rtl/>
        </w:rPr>
        <w:t>ابن خباب،</w:t>
      </w:r>
      <w:r>
        <w:rPr>
          <w:rFonts w:ascii="Traditional Arabic" w:hAnsi="Traditional Arabic" w:hint="cs"/>
          <w:sz w:val="32"/>
          <w:szCs w:val="32"/>
          <w:rtl/>
        </w:rPr>
        <w:t xml:space="preserve"> </w:t>
      </w:r>
      <w:r w:rsidRPr="00D514D2">
        <w:rPr>
          <w:rFonts w:ascii="Traditional Arabic" w:hAnsi="Traditional Arabic"/>
          <w:sz w:val="32"/>
          <w:szCs w:val="32"/>
          <w:rtl/>
        </w:rPr>
        <w:t>السُّلَمِي،</w:t>
      </w:r>
      <w:r>
        <w:rPr>
          <w:rFonts w:ascii="Traditional Arabic" w:hAnsi="Traditional Arabic" w:hint="cs"/>
          <w:sz w:val="32"/>
          <w:szCs w:val="32"/>
          <w:rtl/>
        </w:rPr>
        <w:t xml:space="preserve"> </w:t>
      </w:r>
      <w:r w:rsidRPr="00D514D2">
        <w:rPr>
          <w:rFonts w:ascii="Traditional Arabic" w:hAnsi="Traditional Arabic"/>
          <w:sz w:val="32"/>
          <w:szCs w:val="32"/>
          <w:rtl/>
        </w:rPr>
        <w:t xml:space="preserve">أبو يزيد.صحب النبي </w:t>
      </w:r>
      <w:r>
        <w:rPr>
          <w:rFonts w:ascii="Traditional Arabic" w:hAnsi="Traditional Arabic" w:hint="cs"/>
          <w:color w:val="auto"/>
          <w:sz w:val="32"/>
          <w:szCs w:val="32"/>
          <w:rtl/>
        </w:rPr>
        <w:t>صلى الله عليه وسلم</w:t>
      </w:r>
      <w:r w:rsidRPr="00D514D2">
        <w:rPr>
          <w:rFonts w:ascii="Traditional Arabic" w:hAnsi="Traditional Arabic"/>
          <w:sz w:val="32"/>
          <w:szCs w:val="32"/>
          <w:rtl/>
        </w:rPr>
        <w:t xml:space="preserve"> هو وأبوه وجد</w:t>
      </w:r>
      <w:r>
        <w:rPr>
          <w:rFonts w:ascii="Traditional Arabic" w:hAnsi="Traditional Arabic" w:hint="cs"/>
          <w:sz w:val="32"/>
          <w:szCs w:val="32"/>
          <w:rtl/>
        </w:rPr>
        <w:t>ُّ</w:t>
      </w:r>
      <w:r>
        <w:rPr>
          <w:rFonts w:ascii="Traditional Arabic" w:hAnsi="Traditional Arabic"/>
          <w:sz w:val="32"/>
          <w:szCs w:val="32"/>
          <w:rtl/>
        </w:rPr>
        <w:t>ه،</w:t>
      </w:r>
      <w:r>
        <w:rPr>
          <w:rFonts w:ascii="Traditional Arabic" w:hAnsi="Traditional Arabic" w:hint="cs"/>
          <w:sz w:val="32"/>
          <w:szCs w:val="32"/>
          <w:rtl/>
        </w:rPr>
        <w:t xml:space="preserve"> </w:t>
      </w:r>
      <w:r>
        <w:rPr>
          <w:rFonts w:ascii="Traditional Arabic" w:hAnsi="Traditional Arabic"/>
          <w:sz w:val="32"/>
          <w:szCs w:val="32"/>
          <w:rtl/>
        </w:rPr>
        <w:t>و</w:t>
      </w:r>
      <w:r w:rsidRPr="00D514D2">
        <w:rPr>
          <w:rFonts w:ascii="Traditional Arabic" w:hAnsi="Traditional Arabic"/>
          <w:sz w:val="32"/>
          <w:szCs w:val="32"/>
          <w:rtl/>
        </w:rPr>
        <w:t>كان ينزل الكوفة، ودخل مصر ثم سكن دمشق،</w:t>
      </w:r>
      <w:r>
        <w:rPr>
          <w:rFonts w:ascii="Traditional Arabic" w:hAnsi="Traditional Arabic" w:hint="cs"/>
          <w:sz w:val="32"/>
          <w:szCs w:val="32"/>
          <w:rtl/>
        </w:rPr>
        <w:t xml:space="preserve"> </w:t>
      </w:r>
      <w:r w:rsidRPr="00D514D2">
        <w:rPr>
          <w:rFonts w:ascii="Traditional Arabic" w:hAnsi="Traditional Arabic"/>
          <w:sz w:val="32"/>
          <w:szCs w:val="32"/>
          <w:rtl/>
        </w:rPr>
        <w:t>و شهد وقعة مَرْط راهِط مع الضحاك بن قيس في سنة 54</w:t>
      </w:r>
      <w:r>
        <w:rPr>
          <w:rFonts w:ascii="Traditional Arabic" w:hAnsi="Traditional Arabic" w:hint="cs"/>
          <w:sz w:val="32"/>
          <w:szCs w:val="32"/>
          <w:rtl/>
        </w:rPr>
        <w:t>ه</w:t>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و ذُكِر فيمن قُتِل فيها.</w:t>
      </w:r>
      <w:r>
        <w:rPr>
          <w:rFonts w:ascii="Traditional Arabic" w:hAnsi="Traditional Arabic" w:hint="cs"/>
          <w:sz w:val="32"/>
          <w:szCs w:val="32"/>
          <w:rtl/>
        </w:rPr>
        <w:t xml:space="preserve"> </w:t>
      </w:r>
      <w:r w:rsidRPr="00D514D2">
        <w:rPr>
          <w:rFonts w:ascii="Traditional Arabic" w:hAnsi="Traditional Arabic"/>
          <w:sz w:val="32"/>
          <w:szCs w:val="32"/>
          <w:rtl/>
        </w:rPr>
        <w:t>انظر:</w:t>
      </w:r>
      <w:r>
        <w:rPr>
          <w:rFonts w:ascii="Traditional Arabic" w:hAnsi="Traditional Arabic" w:hint="cs"/>
          <w:sz w:val="32"/>
          <w:szCs w:val="32"/>
          <w:rtl/>
        </w:rPr>
        <w:t xml:space="preserve"> </w:t>
      </w:r>
      <w:r w:rsidRPr="00D514D2">
        <w:rPr>
          <w:rFonts w:ascii="Traditional Arabic" w:hAnsi="Traditional Arabic"/>
          <w:sz w:val="32"/>
          <w:szCs w:val="32"/>
          <w:rtl/>
        </w:rPr>
        <w:t>الاستيعاب في معرفة الأصحاب لابن عبد البر (4/1442)، وأُسْد الغابة في معرفة الصحابة لابن الأثير (4/2463)، واﻹصابة في تمييز الصحابة لابن حجر (10/291-292).</w:t>
      </w:r>
      <w:r w:rsidRPr="00D514D2">
        <w:rPr>
          <w:rFonts w:ascii="Traditional Arabic" w:hAnsi="Traditional Arabic"/>
          <w:sz w:val="32"/>
          <w:szCs w:val="32"/>
          <w:rtl/>
        </w:rPr>
        <w:tab/>
      </w:r>
      <w:r w:rsidRPr="00D514D2">
        <w:rPr>
          <w:rFonts w:ascii="Traditional Arabic" w:hAnsi="Traditional Arabic"/>
          <w:sz w:val="32"/>
          <w:szCs w:val="32"/>
          <w:rtl/>
        </w:rPr>
        <w:tab/>
      </w:r>
      <w:r w:rsidRPr="00D514D2">
        <w:rPr>
          <w:rFonts w:ascii="Traditional Arabic" w:hAnsi="Traditional Arabic"/>
          <w:sz w:val="32"/>
          <w:szCs w:val="32"/>
          <w:rtl/>
        </w:rPr>
        <w:tab/>
      </w:r>
      <w:r w:rsidRPr="00D514D2">
        <w:rPr>
          <w:rFonts w:ascii="Traditional Arabic" w:hAnsi="Traditional Arabic"/>
          <w:sz w:val="32"/>
          <w:szCs w:val="32"/>
          <w:rtl/>
        </w:rPr>
        <w:tab/>
      </w:r>
      <w:r w:rsidRPr="00D514D2">
        <w:rPr>
          <w:rFonts w:ascii="Traditional Arabic" w:hAnsi="Traditional Arabic"/>
          <w:sz w:val="32"/>
          <w:szCs w:val="32"/>
          <w:rtl/>
        </w:rPr>
        <w:tab/>
      </w:r>
      <w:r w:rsidRPr="00D514D2">
        <w:rPr>
          <w:rFonts w:ascii="Traditional Arabic" w:hAnsi="Traditional Arabic"/>
          <w:sz w:val="32"/>
          <w:szCs w:val="32"/>
          <w:rtl/>
        </w:rPr>
        <w:tab/>
      </w:r>
    </w:p>
  </w:footnote>
  <w:footnote w:id="716">
    <w:p w:rsidR="000D3D21" w:rsidRPr="00FF6744" w:rsidRDefault="000D3D21" w:rsidP="00EA1AAD">
      <w:pPr>
        <w:pStyle w:val="a7"/>
        <w:spacing w:line="360" w:lineRule="exact"/>
        <w:rPr>
          <w:rtl/>
        </w:rPr>
      </w:pPr>
      <w:r w:rsidRPr="00D514D2">
        <w:rPr>
          <w:rFonts w:ascii="Traditional Arabic" w:hAnsi="Traditional Arabic"/>
          <w:sz w:val="32"/>
          <w:szCs w:val="32"/>
        </w:rPr>
        <w:footnoteRef/>
      </w:r>
      <w:r w:rsidRPr="00D514D2">
        <w:rPr>
          <w:rFonts w:ascii="Traditional Arabic" w:hAnsi="Traditional Arabic"/>
          <w:sz w:val="32"/>
          <w:szCs w:val="32"/>
        </w:rPr>
        <w:t>)</w:t>
      </w:r>
      <w:r>
        <w:rPr>
          <w:rFonts w:ascii="Traditional Arabic" w:hAnsi="Traditional Arabic"/>
          <w:sz w:val="32"/>
          <w:szCs w:val="32"/>
          <w:rtl/>
        </w:rPr>
        <w:t>) أخرجه البخاري في</w:t>
      </w:r>
      <w:r>
        <w:rPr>
          <w:rFonts w:ascii="Traditional Arabic" w:hAnsi="Traditional Arabic" w:hint="cs"/>
          <w:sz w:val="32"/>
          <w:szCs w:val="32"/>
          <w:rtl/>
        </w:rPr>
        <w:t xml:space="preserve"> </w:t>
      </w:r>
      <w:r w:rsidRPr="00D514D2">
        <w:rPr>
          <w:rFonts w:ascii="Traditional Arabic" w:hAnsi="Traditional Arabic"/>
          <w:sz w:val="32"/>
          <w:szCs w:val="32"/>
          <w:rtl/>
        </w:rPr>
        <w:t>كتاب الزكاة، باب ﺇذا تصدّق على ابنه وهو لا يشعر،</w:t>
      </w:r>
      <w:r>
        <w:rPr>
          <w:rFonts w:ascii="Traditional Arabic" w:hAnsi="Traditional Arabic" w:hint="cs"/>
          <w:sz w:val="32"/>
          <w:szCs w:val="32"/>
          <w:rtl/>
        </w:rPr>
        <w:t xml:space="preserve"> </w:t>
      </w:r>
      <w:r w:rsidRPr="00D514D2">
        <w:rPr>
          <w:rFonts w:ascii="Traditional Arabic" w:hAnsi="Traditional Arabic"/>
          <w:sz w:val="32"/>
          <w:szCs w:val="32"/>
          <w:rtl/>
        </w:rPr>
        <w:t>رقم الحديث (1422).</w:t>
      </w:r>
    </w:p>
  </w:footnote>
  <w:footnote w:id="717">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شرح رياض الصالحين (1/39).</w:t>
      </w:r>
    </w:p>
  </w:footnote>
  <w:footnote w:id="718">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أخرجه البخاري في كتاباﻹيمان، باب</w:t>
      </w:r>
      <w:r w:rsidRPr="00D514D2">
        <w:rPr>
          <w:rFonts w:hint="cs"/>
          <w:sz w:val="32"/>
          <w:szCs w:val="32"/>
          <w:rtl/>
        </w:rPr>
        <w:t xml:space="preserve"> </w:t>
      </w:r>
      <w:bookmarkStart w:id="142" w:name="سورة_الحجرات_9"/>
      <w:r w:rsidRPr="00D514D2">
        <w:rPr>
          <w:rFonts w:ascii="QCF_BSML" w:hAnsi="QCF_BSML" w:cs="QCF_BSML"/>
          <w:noProof w:val="0"/>
          <w:sz w:val="32"/>
          <w:szCs w:val="32"/>
          <w:rtl/>
          <w:lang w:eastAsia="en-US"/>
        </w:rPr>
        <w:t xml:space="preserve">ﭽ </w:t>
      </w:r>
      <w:r w:rsidRPr="00D514D2">
        <w:rPr>
          <w:rFonts w:ascii="QCF_P516" w:hAnsi="QCF_P516" w:cs="QCF_P516"/>
          <w:noProof w:val="0"/>
          <w:sz w:val="32"/>
          <w:szCs w:val="32"/>
          <w:rtl/>
          <w:lang w:eastAsia="en-US"/>
        </w:rPr>
        <w:t>ﮙﮚﮛﮜﮝﮞﮟ</w:t>
      </w:r>
      <w:r w:rsidRPr="00D514D2">
        <w:rPr>
          <w:rFonts w:ascii="QCF_BSML" w:hAnsi="QCF_BSML" w:cs="QCF_BSML"/>
          <w:noProof w:val="0"/>
          <w:sz w:val="32"/>
          <w:szCs w:val="32"/>
          <w:rtl/>
          <w:lang w:eastAsia="en-US"/>
        </w:rPr>
        <w:t xml:space="preserve">ﭼ </w:t>
      </w:r>
      <w:bookmarkEnd w:id="142"/>
      <w:r w:rsidRPr="00D514D2">
        <w:rPr>
          <w:rFonts w:ascii="Traditional Arabic" w:hAnsi="Traditional Arabic"/>
          <w:sz w:val="32"/>
          <w:szCs w:val="32"/>
          <w:rtl/>
        </w:rPr>
        <w:t>فسمّاهم المؤمنين، رقم الحديث (31)، ومسلم في كتاب الفتن، باب ﺇذا تواجه المسلمان بسيفيهما، رقم الحديث (2888).</w:t>
      </w:r>
    </w:p>
  </w:footnote>
  <w:footnote w:id="719">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شرح رياض الصالحين (1/70)، وانظر شرح صحيح البخاري (9/505).</w:t>
      </w:r>
    </w:p>
  </w:footnote>
  <w:footnote w:id="720">
    <w:p w:rsidR="000D3D21" w:rsidRPr="00D514D2" w:rsidRDefault="000D3D21" w:rsidP="00374F14">
      <w:pPr>
        <w:pStyle w:val="a7"/>
        <w:spacing w:line="360" w:lineRule="exact"/>
        <w:rPr>
          <w:sz w:val="32"/>
          <w:szCs w:val="32"/>
          <w:rtl/>
        </w:rPr>
      </w:pPr>
      <w:r w:rsidRPr="00D514D2">
        <w:rPr>
          <w:sz w:val="32"/>
          <w:szCs w:val="32"/>
        </w:rPr>
        <w:footnoteRef/>
      </w:r>
      <w:r w:rsidRPr="00D514D2">
        <w:rPr>
          <w:sz w:val="32"/>
          <w:szCs w:val="32"/>
        </w:rPr>
        <w:t>)</w:t>
      </w:r>
      <w:r w:rsidRPr="00D514D2">
        <w:rPr>
          <w:rFonts w:hint="cs"/>
          <w:sz w:val="32"/>
          <w:szCs w:val="32"/>
          <w:rtl/>
        </w:rPr>
        <w:t>)</w:t>
      </w:r>
      <w:r>
        <w:rPr>
          <w:rFonts w:hint="cs"/>
          <w:sz w:val="32"/>
          <w:szCs w:val="32"/>
          <w:rtl/>
        </w:rPr>
        <w:t xml:space="preserve"> </w:t>
      </w:r>
      <w:r w:rsidRPr="00AA2F0F">
        <w:rPr>
          <w:rFonts w:hint="cs"/>
          <w:b/>
          <w:bCs/>
          <w:sz w:val="32"/>
          <w:szCs w:val="32"/>
          <w:rtl/>
        </w:rPr>
        <w:t>القرض</w:t>
      </w:r>
      <w:r w:rsidR="00AB0B9E" w:rsidRPr="00D514D2">
        <w:rPr>
          <w:sz w:val="32"/>
          <w:szCs w:val="32"/>
          <w:rtl/>
        </w:rPr>
        <w:fldChar w:fldCharType="begin"/>
      </w:r>
      <w:r w:rsidRPr="00D514D2">
        <w:rPr>
          <w:sz w:val="32"/>
          <w:szCs w:val="32"/>
        </w:rPr>
        <w:instrText xml:space="preserve"> XE "</w:instrText>
      </w:r>
      <w:r w:rsidRPr="00D514D2">
        <w:rPr>
          <w:rFonts w:hint="cs"/>
          <w:sz w:val="32"/>
          <w:szCs w:val="32"/>
          <w:rtl/>
        </w:rPr>
        <w:instrText>القرض</w:instrText>
      </w:r>
      <w:r w:rsidRPr="00D514D2">
        <w:rPr>
          <w:sz w:val="32"/>
          <w:szCs w:val="32"/>
        </w:rPr>
        <w:instrText>" \fm</w:instrText>
      </w:r>
      <w:r w:rsidR="00AB0B9E" w:rsidRPr="00D514D2">
        <w:rPr>
          <w:sz w:val="32"/>
          <w:szCs w:val="32"/>
          <w:rtl/>
        </w:rPr>
        <w:fldChar w:fldCharType="end"/>
      </w:r>
      <w:r w:rsidRPr="00D514D2">
        <w:rPr>
          <w:rFonts w:hint="cs"/>
          <w:sz w:val="32"/>
          <w:szCs w:val="32"/>
          <w:rtl/>
        </w:rPr>
        <w:t>: دفع مال لمن ينتفع به ويرد</w:t>
      </w:r>
      <w:r w:rsidRPr="00D514D2">
        <w:rPr>
          <w:sz w:val="32"/>
          <w:szCs w:val="32"/>
          <w:rtl/>
        </w:rPr>
        <w:t>ّ</w:t>
      </w:r>
      <w:r w:rsidRPr="00D514D2">
        <w:rPr>
          <w:rFonts w:hint="cs"/>
          <w:sz w:val="32"/>
          <w:szCs w:val="32"/>
          <w:rtl/>
        </w:rPr>
        <w:t xml:space="preserve"> بدل</w:t>
      </w:r>
      <w:r>
        <w:rPr>
          <w:rFonts w:hint="cs"/>
          <w:sz w:val="32"/>
          <w:szCs w:val="32"/>
          <w:rtl/>
        </w:rPr>
        <w:t>َ</w:t>
      </w:r>
      <w:r w:rsidRPr="00D514D2">
        <w:rPr>
          <w:rFonts w:hint="cs"/>
          <w:sz w:val="32"/>
          <w:szCs w:val="32"/>
          <w:rtl/>
        </w:rPr>
        <w:t>ه.</w:t>
      </w:r>
      <w:r>
        <w:rPr>
          <w:rFonts w:hint="cs"/>
          <w:sz w:val="32"/>
          <w:szCs w:val="32"/>
          <w:rtl/>
        </w:rPr>
        <w:t xml:space="preserve"> </w:t>
      </w:r>
      <w:r w:rsidRPr="00D514D2">
        <w:rPr>
          <w:rFonts w:hint="cs"/>
          <w:sz w:val="32"/>
          <w:szCs w:val="32"/>
          <w:rtl/>
        </w:rPr>
        <w:t>الروض المربع (6/353).</w:t>
      </w:r>
    </w:p>
  </w:footnote>
  <w:footnote w:id="721">
    <w:p w:rsidR="000D3D21" w:rsidRDefault="000D3D21" w:rsidP="00EA1AAD">
      <w:pPr>
        <w:pStyle w:val="a7"/>
        <w:spacing w:line="360" w:lineRule="exact"/>
        <w:rPr>
          <w:rtl/>
        </w:rPr>
      </w:pPr>
      <w:r w:rsidRPr="00D514D2">
        <w:rPr>
          <w:sz w:val="32"/>
          <w:szCs w:val="32"/>
        </w:rPr>
        <w:footnoteRef/>
      </w:r>
      <w:r w:rsidRPr="00D514D2">
        <w:rPr>
          <w:sz w:val="32"/>
          <w:szCs w:val="32"/>
        </w:rPr>
        <w:t>)</w:t>
      </w:r>
      <w:r w:rsidRPr="00D514D2">
        <w:rPr>
          <w:rFonts w:hint="cs"/>
          <w:sz w:val="32"/>
          <w:szCs w:val="32"/>
          <w:rtl/>
        </w:rPr>
        <w:t>)</w:t>
      </w:r>
      <w:r>
        <w:rPr>
          <w:rFonts w:hint="cs"/>
          <w:sz w:val="32"/>
          <w:szCs w:val="32"/>
          <w:rtl/>
        </w:rPr>
        <w:t xml:space="preserve"> </w:t>
      </w:r>
      <w:r w:rsidRPr="00D514D2">
        <w:rPr>
          <w:rFonts w:hint="cs"/>
          <w:sz w:val="32"/>
          <w:szCs w:val="32"/>
          <w:rtl/>
        </w:rPr>
        <w:t>انظر الشرح الممتع (8/99-100).</w:t>
      </w:r>
    </w:p>
  </w:footnote>
  <w:footnote w:id="722">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انظر المرجع السابق (8/99-100)، و(9/93-94)، وفتح ذي الجلال واﻹكرام (4/102).</w:t>
      </w:r>
    </w:p>
  </w:footnote>
  <w:footnote w:id="723">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انظر الشرح الممتع (8/161).</w:t>
      </w:r>
    </w:p>
  </w:footnote>
  <w:footnote w:id="724">
    <w:p w:rsidR="000D3D21"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D514D2">
        <w:rPr>
          <w:rFonts w:ascii="Traditional Arabic" w:hAnsi="Traditional Arabic"/>
          <w:sz w:val="32"/>
          <w:szCs w:val="32"/>
          <w:rtl/>
        </w:rPr>
        <w:t xml:space="preserve"> (8/245).</w:t>
      </w:r>
    </w:p>
    <w:p w:rsidR="000D3D21" w:rsidRPr="00D514D2" w:rsidRDefault="000D3D21" w:rsidP="00EA1AAD">
      <w:pPr>
        <w:pStyle w:val="a7"/>
        <w:spacing w:line="360" w:lineRule="exact"/>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D514D2">
        <w:rPr>
          <w:rFonts w:ascii="Traditional Arabic" w:hAnsi="Traditional Arabic"/>
          <w:sz w:val="32"/>
          <w:szCs w:val="32"/>
          <w:rtl/>
        </w:rPr>
        <w:t>هذا الفرع يتعلق بما يدخل تحت لفظ ال</w:t>
      </w:r>
      <w:r>
        <w:rPr>
          <w:rFonts w:ascii="Traditional Arabic" w:hAnsi="Traditional Arabic"/>
          <w:sz w:val="32"/>
          <w:szCs w:val="32"/>
          <w:rtl/>
        </w:rPr>
        <w:t>هبة ﺇذا قُصد به ما هو أعم من</w:t>
      </w:r>
      <w:r>
        <w:rPr>
          <w:rFonts w:ascii="Traditional Arabic" w:hAnsi="Traditional Arabic" w:hint="cs"/>
          <w:sz w:val="32"/>
          <w:szCs w:val="32"/>
          <w:rtl/>
        </w:rPr>
        <w:t>ه</w:t>
      </w:r>
      <w:r w:rsidRPr="00D514D2">
        <w:rPr>
          <w:rFonts w:ascii="Traditional Arabic" w:hAnsi="Traditional Arabic"/>
          <w:sz w:val="32"/>
          <w:szCs w:val="32"/>
          <w:rtl/>
        </w:rPr>
        <w:t>،</w:t>
      </w:r>
      <w:r>
        <w:rPr>
          <w:rFonts w:ascii="Traditional Arabic" w:hAnsi="Traditional Arabic" w:hint="cs"/>
          <w:sz w:val="32"/>
          <w:szCs w:val="32"/>
          <w:rtl/>
        </w:rPr>
        <w:t xml:space="preserve"> و</w:t>
      </w:r>
      <w:r w:rsidRPr="00D514D2">
        <w:rPr>
          <w:rFonts w:ascii="Traditional Arabic" w:hAnsi="Traditional Arabic"/>
          <w:sz w:val="32"/>
          <w:szCs w:val="32"/>
          <w:rtl/>
        </w:rPr>
        <w:t>أما حُكْم هذا الشرط من حي</w:t>
      </w:r>
      <w:r>
        <w:rPr>
          <w:rFonts w:ascii="Traditional Arabic" w:hAnsi="Traditional Arabic"/>
          <w:sz w:val="32"/>
          <w:szCs w:val="32"/>
          <w:rtl/>
        </w:rPr>
        <w:t xml:space="preserve">ث الصحة والفساد، فقد ذكر الشيخ </w:t>
      </w:r>
      <w:r>
        <w:rPr>
          <w:rFonts w:ascii="Traditional Arabic" w:hAnsi="Traditional Arabic" w:hint="cs"/>
          <w:sz w:val="32"/>
          <w:szCs w:val="32"/>
          <w:rtl/>
        </w:rPr>
        <w:t>ابن عثيمين _رحمه الله_</w:t>
      </w:r>
      <w:r w:rsidRPr="00D514D2">
        <w:rPr>
          <w:rFonts w:ascii="Traditional Arabic" w:hAnsi="Traditional Arabic"/>
          <w:sz w:val="32"/>
          <w:szCs w:val="32"/>
          <w:rtl/>
        </w:rPr>
        <w:t xml:space="preserve"> تفصيلا</w:t>
      </w:r>
      <w:r>
        <w:rPr>
          <w:rFonts w:ascii="Traditional Arabic" w:hAnsi="Traditional Arabic" w:hint="cs"/>
          <w:sz w:val="32"/>
          <w:szCs w:val="32"/>
          <w:rtl/>
        </w:rPr>
        <w:t>ً</w:t>
      </w:r>
      <w:r w:rsidRPr="00D514D2">
        <w:rPr>
          <w:rFonts w:ascii="Traditional Arabic" w:hAnsi="Traditional Arabic"/>
          <w:sz w:val="32"/>
          <w:szCs w:val="32"/>
          <w:rtl/>
        </w:rPr>
        <w:t xml:space="preserve"> فيه. انظر المرجع السابق. </w:t>
      </w:r>
    </w:p>
  </w:footnote>
  <w:footnote w:id="725">
    <w:p w:rsidR="000D3D21" w:rsidRPr="00D514D2" w:rsidRDefault="000D3D21" w:rsidP="00374F14">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xml:space="preserve">) </w:t>
      </w:r>
      <w:r w:rsidRPr="005E6020">
        <w:rPr>
          <w:rFonts w:ascii="Traditional Arabic" w:hAnsi="Traditional Arabic"/>
          <w:b/>
          <w:bCs/>
          <w:sz w:val="32"/>
          <w:szCs w:val="32"/>
          <w:rtl/>
        </w:rPr>
        <w:t>الهبة</w:t>
      </w:r>
      <w:r w:rsidR="00AB0B9E" w:rsidRPr="00D514D2">
        <w:rPr>
          <w:rFonts w:ascii="Traditional Arabic" w:hAnsi="Traditional Arabic"/>
          <w:sz w:val="32"/>
          <w:szCs w:val="32"/>
          <w:rtl/>
        </w:rPr>
        <w:fldChar w:fldCharType="begin"/>
      </w:r>
      <w:r w:rsidRPr="00D514D2">
        <w:rPr>
          <w:rFonts w:ascii="Traditional Arabic" w:hAnsi="Traditional Arabic"/>
          <w:sz w:val="32"/>
          <w:szCs w:val="32"/>
        </w:rPr>
        <w:instrText xml:space="preserve"> XE "</w:instrText>
      </w:r>
      <w:r w:rsidRPr="00D514D2">
        <w:rPr>
          <w:rFonts w:ascii="Traditional Arabic" w:hAnsi="Traditional Arabic"/>
          <w:sz w:val="32"/>
          <w:szCs w:val="32"/>
          <w:rtl/>
        </w:rPr>
        <w:instrText>الهبة</w:instrText>
      </w:r>
      <w:r w:rsidRPr="00D514D2">
        <w:rPr>
          <w:rFonts w:ascii="Traditional Arabic" w:hAnsi="Traditional Arabic"/>
          <w:sz w:val="32"/>
          <w:szCs w:val="32"/>
        </w:rPr>
        <w:instrText>" \fm</w:instrText>
      </w:r>
      <w:r w:rsidR="00AB0B9E" w:rsidRPr="00D514D2">
        <w:rPr>
          <w:rFonts w:ascii="Traditional Arabic" w:hAnsi="Traditional Arabic"/>
          <w:sz w:val="32"/>
          <w:szCs w:val="32"/>
          <w:rtl/>
        </w:rPr>
        <w:fldChar w:fldCharType="end"/>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تمليك في الحياة بغير عوض.</w:t>
      </w:r>
      <w:r>
        <w:rPr>
          <w:rFonts w:ascii="Traditional Arabic" w:hAnsi="Traditional Arabic" w:hint="cs"/>
          <w:sz w:val="32"/>
          <w:szCs w:val="32"/>
          <w:rtl/>
        </w:rPr>
        <w:t xml:space="preserve"> </w:t>
      </w:r>
      <w:r w:rsidRPr="00D514D2">
        <w:rPr>
          <w:rFonts w:ascii="Traditional Arabic" w:hAnsi="Traditional Arabic"/>
          <w:sz w:val="32"/>
          <w:szCs w:val="32"/>
          <w:rtl/>
        </w:rPr>
        <w:t>انظر المقنع لابن قدامة (2/252).</w:t>
      </w:r>
    </w:p>
  </w:footnote>
  <w:footnote w:id="726">
    <w:p w:rsidR="000D3D21" w:rsidRPr="00D514D2" w:rsidRDefault="000D3D21" w:rsidP="00BA711A">
      <w:pPr>
        <w:pStyle w:val="a7"/>
        <w:spacing w:line="360" w:lineRule="exact"/>
        <w:rPr>
          <w:rFonts w:ascii="Traditional Arabic" w:hAnsi="Traditional Arabic"/>
          <w:sz w:val="32"/>
          <w:szCs w:val="32"/>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انظر الشرح الممتع (8/245).</w:t>
      </w:r>
    </w:p>
  </w:footnote>
  <w:footnote w:id="727">
    <w:p w:rsidR="000D3D21" w:rsidRPr="00D514D2" w:rsidRDefault="000D3D21" w:rsidP="00374F14">
      <w:pPr>
        <w:pStyle w:val="a7"/>
        <w:spacing w:line="360" w:lineRule="exact"/>
        <w:rPr>
          <w:rFonts w:ascii="Traditional Arabic" w:hAnsi="Traditional Arabic"/>
          <w:sz w:val="32"/>
          <w:szCs w:val="32"/>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00AB0B9E" w:rsidRPr="005E6020">
        <w:rPr>
          <w:rFonts w:ascii="Traditional Arabic" w:hAnsi="Traditional Arabic"/>
          <w:b/>
          <w:bCs/>
          <w:sz w:val="32"/>
          <w:szCs w:val="32"/>
          <w:rtl/>
        </w:rPr>
        <w:fldChar w:fldCharType="begin"/>
      </w:r>
      <w:r w:rsidRPr="005E6020">
        <w:rPr>
          <w:rFonts w:ascii="Traditional Arabic" w:hAnsi="Traditional Arabic"/>
          <w:b/>
          <w:bCs/>
          <w:sz w:val="32"/>
          <w:szCs w:val="32"/>
        </w:rPr>
        <w:instrText xml:space="preserve"> XE "</w:instrText>
      </w:r>
      <w:r w:rsidRPr="005E6020">
        <w:rPr>
          <w:rFonts w:ascii="Traditional Arabic" w:hAnsi="Traditional Arabic"/>
          <w:b/>
          <w:bCs/>
          <w:sz w:val="32"/>
          <w:szCs w:val="32"/>
          <w:rtl/>
        </w:rPr>
        <w:instrText>الخِصاء</w:instrText>
      </w:r>
      <w:r w:rsidRPr="005E6020">
        <w:rPr>
          <w:rFonts w:ascii="Traditional Arabic" w:hAnsi="Traditional Arabic"/>
          <w:b/>
          <w:bCs/>
          <w:sz w:val="32"/>
          <w:szCs w:val="32"/>
        </w:rPr>
        <w:instrText>" \fm</w:instrText>
      </w:r>
      <w:r w:rsidR="00AB0B9E" w:rsidRPr="005E6020">
        <w:rPr>
          <w:rFonts w:ascii="Traditional Arabic" w:hAnsi="Traditional Arabic"/>
          <w:b/>
          <w:bCs/>
          <w:sz w:val="32"/>
          <w:szCs w:val="32"/>
          <w:rtl/>
        </w:rPr>
        <w:fldChar w:fldCharType="end"/>
      </w:r>
      <w:r w:rsidRPr="005E6020">
        <w:rPr>
          <w:rFonts w:ascii="Traditional Arabic" w:hAnsi="Traditional Arabic"/>
          <w:b/>
          <w:bCs/>
          <w:sz w:val="32"/>
          <w:szCs w:val="32"/>
          <w:rtl/>
        </w:rPr>
        <w:t>خَصَيْتُ العبد أَخْصيه خِصاءً</w:t>
      </w:r>
      <w:r w:rsidRPr="00D514D2">
        <w:rPr>
          <w:rFonts w:ascii="Traditional Arabic" w:hAnsi="Traditional Arabic"/>
          <w:sz w:val="32"/>
          <w:szCs w:val="32"/>
          <w:rtl/>
        </w:rPr>
        <w:t xml:space="preserve"> </w:t>
      </w:r>
      <w:r w:rsidRPr="005E6020">
        <w:rPr>
          <w:rFonts w:ascii="Traditional Arabic" w:hAnsi="Traditional Arabic"/>
          <w:b/>
          <w:bCs/>
          <w:sz w:val="32"/>
          <w:szCs w:val="32"/>
          <w:rtl/>
        </w:rPr>
        <w:t>فهو خَصِيّ</w:t>
      </w:r>
      <w:r w:rsidRPr="00D514D2">
        <w:rPr>
          <w:rFonts w:ascii="Traditional Arabic" w:hAnsi="Traditional Arabic"/>
          <w:sz w:val="32"/>
          <w:szCs w:val="32"/>
          <w:rtl/>
        </w:rPr>
        <w:t>،أي :سَلَلْتُ خُصْيَيْه.</w:t>
      </w:r>
      <w:r>
        <w:rPr>
          <w:rFonts w:ascii="Traditional Arabic" w:hAnsi="Traditional Arabic" w:hint="cs"/>
          <w:sz w:val="32"/>
          <w:szCs w:val="32"/>
          <w:rtl/>
        </w:rPr>
        <w:t xml:space="preserve"> </w:t>
      </w:r>
      <w:r w:rsidRPr="00D514D2">
        <w:rPr>
          <w:rFonts w:ascii="Traditional Arabic" w:hAnsi="Traditional Arabic"/>
          <w:sz w:val="32"/>
          <w:szCs w:val="32"/>
          <w:rtl/>
        </w:rPr>
        <w:t>انظر المصباح المنير (146)، وأنيس الفقهاء لقاسم القونوي (162).</w:t>
      </w:r>
    </w:p>
  </w:footnote>
  <w:footnote w:id="728">
    <w:p w:rsidR="000D3D21" w:rsidRPr="00D514D2" w:rsidRDefault="000D3D21" w:rsidP="00D25A6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Pr="005E6020">
        <w:rPr>
          <w:rFonts w:ascii="Traditional Arabic" w:hAnsi="Traditional Arabic"/>
          <w:b/>
          <w:bCs/>
          <w:sz w:val="32"/>
          <w:szCs w:val="32"/>
          <w:rtl/>
        </w:rPr>
        <w:t>الفحل</w:t>
      </w:r>
      <w:r w:rsidR="00AB0B9E" w:rsidRPr="00D514D2">
        <w:rPr>
          <w:rFonts w:ascii="Traditional Arabic" w:hAnsi="Traditional Arabic"/>
          <w:sz w:val="32"/>
          <w:szCs w:val="32"/>
          <w:rtl/>
        </w:rPr>
        <w:fldChar w:fldCharType="begin"/>
      </w:r>
      <w:r w:rsidRPr="00D514D2">
        <w:rPr>
          <w:rFonts w:ascii="Traditional Arabic" w:hAnsi="Traditional Arabic"/>
          <w:sz w:val="32"/>
          <w:szCs w:val="32"/>
        </w:rPr>
        <w:instrText xml:space="preserve"> XE "</w:instrText>
      </w:r>
      <w:r w:rsidRPr="00D514D2">
        <w:rPr>
          <w:rFonts w:ascii="Traditional Arabic" w:hAnsi="Traditional Arabic"/>
          <w:sz w:val="32"/>
          <w:szCs w:val="32"/>
          <w:rtl/>
        </w:rPr>
        <w:instrText>الفحل</w:instrText>
      </w:r>
      <w:r w:rsidRPr="00D514D2">
        <w:rPr>
          <w:rFonts w:ascii="Traditional Arabic" w:hAnsi="Traditional Arabic"/>
          <w:sz w:val="32"/>
          <w:szCs w:val="32"/>
        </w:rPr>
        <w:instrText>" \fm</w:instrText>
      </w:r>
      <w:r w:rsidR="00AB0B9E" w:rsidRPr="00D514D2">
        <w:rPr>
          <w:rFonts w:ascii="Traditional Arabic" w:hAnsi="Traditional Arabic"/>
          <w:sz w:val="32"/>
          <w:szCs w:val="32"/>
          <w:rtl/>
        </w:rPr>
        <w:fldChar w:fldCharType="end"/>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الذكَر من الحيوان.</w:t>
      </w:r>
      <w:r>
        <w:rPr>
          <w:rFonts w:ascii="Traditional Arabic" w:hAnsi="Traditional Arabic" w:hint="cs"/>
          <w:sz w:val="32"/>
          <w:szCs w:val="32"/>
          <w:rtl/>
        </w:rPr>
        <w:t xml:space="preserve"> </w:t>
      </w:r>
      <w:r w:rsidRPr="00D514D2">
        <w:rPr>
          <w:rFonts w:ascii="Traditional Arabic" w:hAnsi="Traditional Arabic"/>
          <w:sz w:val="32"/>
          <w:szCs w:val="32"/>
          <w:rtl/>
        </w:rPr>
        <w:t>المصباح المنير (377).</w:t>
      </w:r>
    </w:p>
  </w:footnote>
  <w:footnote w:id="729">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sidRPr="00D514D2">
        <w:rPr>
          <w:rFonts w:ascii="Traditional Arabic" w:hAnsi="Traditional Arabic"/>
          <w:sz w:val="32"/>
          <w:szCs w:val="32"/>
          <w:rtl/>
        </w:rPr>
        <w:t>انظر الشرح الممتع (8/311).</w:t>
      </w:r>
    </w:p>
  </w:footnote>
  <w:footnote w:id="730">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 (8/311)</w:t>
      </w:r>
      <w:r w:rsidRPr="00D514D2">
        <w:rPr>
          <w:rFonts w:ascii="Traditional Arabic" w:hAnsi="Traditional Arabic"/>
          <w:sz w:val="32"/>
          <w:szCs w:val="32"/>
          <w:rtl/>
        </w:rPr>
        <w:t>.</w:t>
      </w:r>
    </w:p>
  </w:footnote>
  <w:footnote w:id="731">
    <w:p w:rsidR="000D3D21" w:rsidRPr="00D514D2"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D514D2">
        <w:rPr>
          <w:rFonts w:ascii="Traditional Arabic" w:hAnsi="Traditional Arabic"/>
          <w:sz w:val="32"/>
          <w:szCs w:val="32"/>
          <w:rtl/>
        </w:rPr>
        <w:t xml:space="preserve"> (6/90)، و(9/8).</w:t>
      </w:r>
    </w:p>
  </w:footnote>
  <w:footnote w:id="732">
    <w:p w:rsidR="000D3D21" w:rsidRPr="00D514D2" w:rsidRDefault="000D3D21" w:rsidP="005E6020">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ذكر العلماء أنه يلزم الأعلى جَعْل سترة تمنع مشارَفتة على الأسفل؛</w:t>
      </w:r>
      <w:r>
        <w:rPr>
          <w:rFonts w:ascii="Traditional Arabic" w:hAnsi="Traditional Arabic" w:hint="cs"/>
          <w:sz w:val="32"/>
          <w:szCs w:val="32"/>
          <w:rtl/>
        </w:rPr>
        <w:t xml:space="preserve"> </w:t>
      </w:r>
      <w:r w:rsidRPr="00D514D2">
        <w:rPr>
          <w:rFonts w:ascii="Traditional Arabic" w:hAnsi="Traditional Arabic"/>
          <w:sz w:val="32"/>
          <w:szCs w:val="32"/>
          <w:rtl/>
        </w:rPr>
        <w:t>لأن اﻹشراف على الجار ﺇضرار به،</w:t>
      </w:r>
      <w:r>
        <w:rPr>
          <w:rFonts w:ascii="Traditional Arabic" w:hAnsi="Traditional Arabic" w:hint="cs"/>
          <w:sz w:val="32"/>
          <w:szCs w:val="32"/>
          <w:rtl/>
        </w:rPr>
        <w:t xml:space="preserve"> </w:t>
      </w:r>
      <w:r w:rsidRPr="00D514D2">
        <w:rPr>
          <w:rFonts w:ascii="Traditional Arabic" w:hAnsi="Traditional Arabic"/>
          <w:sz w:val="32"/>
          <w:szCs w:val="32"/>
          <w:rtl/>
        </w:rPr>
        <w:t>لِكَشْفِه جارَه والاطلاع على حَرَمِه.انظر:</w:t>
      </w:r>
      <w:r>
        <w:rPr>
          <w:rFonts w:ascii="Traditional Arabic" w:hAnsi="Traditional Arabic" w:hint="cs"/>
          <w:sz w:val="32"/>
          <w:szCs w:val="32"/>
          <w:rtl/>
        </w:rPr>
        <w:t xml:space="preserve"> </w:t>
      </w:r>
      <w:r w:rsidRPr="00D514D2">
        <w:rPr>
          <w:rFonts w:ascii="Traditional Arabic" w:hAnsi="Traditional Arabic"/>
          <w:sz w:val="32"/>
          <w:szCs w:val="32"/>
          <w:rtl/>
        </w:rPr>
        <w:t>الشرح الممتع (9/267)، وشرح منظومة أصول الفقه وقواعده(55)</w:t>
      </w:r>
      <w:r>
        <w:rPr>
          <w:rFonts w:ascii="Traditional Arabic" w:hAnsi="Traditional Arabic" w:hint="cs"/>
          <w:sz w:val="32"/>
          <w:szCs w:val="32"/>
          <w:rtl/>
        </w:rPr>
        <w:t>، و</w:t>
      </w:r>
      <w:r w:rsidRPr="00D514D2">
        <w:rPr>
          <w:rFonts w:ascii="Traditional Arabic" w:hAnsi="Traditional Arabic"/>
          <w:sz w:val="32"/>
          <w:szCs w:val="32"/>
          <w:rtl/>
        </w:rPr>
        <w:t>حاش</w:t>
      </w:r>
      <w:r>
        <w:rPr>
          <w:rFonts w:ascii="Traditional Arabic" w:hAnsi="Traditional Arabic"/>
          <w:sz w:val="32"/>
          <w:szCs w:val="32"/>
          <w:rtl/>
        </w:rPr>
        <w:t xml:space="preserve">ية الروض المربع </w:t>
      </w:r>
      <w:r>
        <w:rPr>
          <w:rFonts w:ascii="Traditional Arabic" w:hAnsi="Traditional Arabic" w:hint="cs"/>
          <w:sz w:val="32"/>
          <w:szCs w:val="32"/>
          <w:rtl/>
        </w:rPr>
        <w:t>لابن قاسم</w:t>
      </w:r>
      <w:r w:rsidRPr="00D514D2">
        <w:rPr>
          <w:rFonts w:ascii="Traditional Arabic" w:hAnsi="Traditional Arabic"/>
          <w:sz w:val="32"/>
          <w:szCs w:val="32"/>
          <w:rtl/>
        </w:rPr>
        <w:t xml:space="preserve"> (5/161).</w:t>
      </w:r>
    </w:p>
  </w:footnote>
  <w:footnote w:id="733">
    <w:p w:rsidR="000D3D21" w:rsidRDefault="000D3D21" w:rsidP="00EA1AAD">
      <w:pPr>
        <w:pStyle w:val="a7"/>
        <w:spacing w:line="360" w:lineRule="exact"/>
        <w:rPr>
          <w:rFonts w:ascii="Traditional Arabic" w:hAnsi="Traditional Arabic"/>
          <w:sz w:val="32"/>
          <w:szCs w:val="32"/>
          <w:rtl/>
        </w:rPr>
      </w:pPr>
      <w:r w:rsidRPr="00D514D2">
        <w:rPr>
          <w:rFonts w:ascii="Traditional Arabic" w:hAnsi="Traditional Arabic"/>
          <w:sz w:val="32"/>
          <w:szCs w:val="32"/>
        </w:rPr>
        <w:footnoteRef/>
      </w:r>
      <w:r w:rsidRPr="00D514D2">
        <w:rPr>
          <w:rFonts w:ascii="Traditional Arabic" w:hAnsi="Traditional Arabic"/>
          <w:sz w:val="32"/>
          <w:szCs w:val="32"/>
        </w:rPr>
        <w:t>)</w:t>
      </w:r>
      <w:r w:rsidRPr="00D514D2">
        <w:rPr>
          <w:rFonts w:ascii="Traditional Arabic" w:hAnsi="Traditional Arabic"/>
          <w:sz w:val="32"/>
          <w:szCs w:val="32"/>
          <w:rtl/>
        </w:rPr>
        <w:t xml:space="preserve">) انظر الشرح الممتع (9/262). </w:t>
      </w:r>
    </w:p>
    <w:p w:rsidR="000D3D21" w:rsidRPr="00CE2BDD" w:rsidRDefault="000D3D21" w:rsidP="00EA1AAD">
      <w:pPr>
        <w:pStyle w:val="a7"/>
        <w:spacing w:line="360" w:lineRule="exact"/>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D514D2">
        <w:rPr>
          <w:rFonts w:ascii="Traditional Arabic" w:hAnsi="Traditional Arabic"/>
          <w:sz w:val="32"/>
          <w:szCs w:val="32"/>
          <w:rtl/>
        </w:rPr>
        <w:t>ذكر الشيخ فروعا أخرى تشترك كلها في قصد المضارة،</w:t>
      </w:r>
      <w:r>
        <w:rPr>
          <w:rFonts w:ascii="Traditional Arabic" w:hAnsi="Traditional Arabic" w:hint="cs"/>
          <w:sz w:val="32"/>
          <w:szCs w:val="32"/>
          <w:rtl/>
        </w:rPr>
        <w:t xml:space="preserve"> </w:t>
      </w:r>
      <w:r w:rsidRPr="00D514D2">
        <w:rPr>
          <w:rFonts w:ascii="Traditional Arabic" w:hAnsi="Traditional Arabic"/>
          <w:sz w:val="32"/>
          <w:szCs w:val="32"/>
          <w:rtl/>
        </w:rPr>
        <w:t>انظرها في</w:t>
      </w:r>
      <w:r>
        <w:rPr>
          <w:rFonts w:ascii="Traditional Arabic" w:hAnsi="Traditional Arabic" w:hint="cs"/>
          <w:sz w:val="32"/>
          <w:szCs w:val="32"/>
          <w:rtl/>
        </w:rPr>
        <w:t>:</w:t>
      </w:r>
      <w:r w:rsidRPr="00D514D2">
        <w:rPr>
          <w:rFonts w:ascii="Traditional Arabic" w:hAnsi="Traditional Arabic"/>
          <w:sz w:val="32"/>
          <w:szCs w:val="32"/>
          <w:rtl/>
        </w:rPr>
        <w:t xml:space="preserve"> الشرح المم</w:t>
      </w:r>
      <w:r>
        <w:rPr>
          <w:rFonts w:ascii="Traditional Arabic" w:hAnsi="Traditional Arabic"/>
          <w:sz w:val="32"/>
          <w:szCs w:val="32"/>
          <w:rtl/>
        </w:rPr>
        <w:t>تع (9/263،267)، و(10/152،153)</w:t>
      </w:r>
      <w:r>
        <w:rPr>
          <w:rFonts w:ascii="Traditional Arabic" w:hAnsi="Traditional Arabic" w:hint="cs"/>
          <w:sz w:val="32"/>
          <w:szCs w:val="32"/>
          <w:rtl/>
        </w:rPr>
        <w:t>.</w:t>
      </w:r>
      <w:r>
        <w:rPr>
          <w:rFonts w:ascii="Traditional Arabic" w:hAnsi="Traditional Arabic"/>
          <w:sz w:val="32"/>
          <w:szCs w:val="32"/>
          <w:rtl/>
        </w:rPr>
        <w:t>و</w:t>
      </w:r>
      <w:r w:rsidRPr="00D514D2">
        <w:rPr>
          <w:rFonts w:ascii="Traditional Arabic" w:hAnsi="Traditional Arabic"/>
          <w:sz w:val="32"/>
          <w:szCs w:val="32"/>
          <w:rtl/>
        </w:rPr>
        <w:t>سيأتي ذكر هذه الفروع تحت قاعدة</w:t>
      </w:r>
      <w:r>
        <w:rPr>
          <w:rFonts w:ascii="Traditional Arabic" w:hAnsi="Traditional Arabic" w:hint="cs"/>
          <w:sz w:val="32"/>
          <w:szCs w:val="32"/>
          <w:rtl/>
        </w:rPr>
        <w:t>:</w:t>
      </w:r>
      <w:r w:rsidRPr="00D514D2">
        <w:rPr>
          <w:rFonts w:ascii="Traditional Arabic" w:hAnsi="Traditional Arabic"/>
          <w:sz w:val="32"/>
          <w:szCs w:val="32"/>
          <w:rtl/>
        </w:rPr>
        <w:t>"لا ضرر ولا ضرار".</w:t>
      </w:r>
    </w:p>
  </w:footnote>
  <w:footnote w:id="734">
    <w:p w:rsidR="000D3D21" w:rsidRDefault="000D3D21" w:rsidP="00EA1AAD">
      <w:pPr>
        <w:pStyle w:val="a7"/>
        <w:spacing w:line="360" w:lineRule="exact"/>
        <w:rPr>
          <w:rFonts w:ascii="Traditional Arabic" w:hAnsi="Traditional Arabic"/>
          <w:sz w:val="32"/>
          <w:szCs w:val="32"/>
          <w:rtl/>
        </w:rPr>
      </w:pPr>
      <w:r w:rsidRPr="00B119BE">
        <w:rPr>
          <w:rFonts w:ascii="Traditional Arabic" w:hAnsi="Traditional Arabic"/>
          <w:sz w:val="32"/>
          <w:szCs w:val="32"/>
        </w:rPr>
        <w:footnoteRef/>
      </w:r>
      <w:r w:rsidRPr="00B119BE">
        <w:rPr>
          <w:rFonts w:ascii="Traditional Arabic" w:hAnsi="Traditional Arabic"/>
          <w:sz w:val="32"/>
          <w:szCs w:val="32"/>
        </w:rPr>
        <w:t>)</w:t>
      </w:r>
      <w:r w:rsidRPr="00B119BE">
        <w:rPr>
          <w:rFonts w:ascii="Traditional Arabic" w:hAnsi="Traditional Arabic"/>
          <w:sz w:val="32"/>
          <w:szCs w:val="32"/>
          <w:rtl/>
        </w:rPr>
        <w:t xml:space="preserve">) </w:t>
      </w:r>
      <w:r>
        <w:rPr>
          <w:rFonts w:ascii="Traditional Arabic" w:hAnsi="Traditional Arabic"/>
          <w:sz w:val="32"/>
          <w:szCs w:val="32"/>
          <w:rtl/>
        </w:rPr>
        <w:t>انظر الشرح الممتع (9/177،178).</w:t>
      </w:r>
    </w:p>
    <w:p w:rsidR="000D3D21" w:rsidRDefault="000D3D21" w:rsidP="00EA1AAD">
      <w:pPr>
        <w:pStyle w:val="a7"/>
        <w:spacing w:line="360" w:lineRule="exact"/>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B119BE">
        <w:rPr>
          <w:rFonts w:ascii="Traditional Arabic" w:hAnsi="Traditional Arabic"/>
          <w:sz w:val="32"/>
          <w:szCs w:val="32"/>
          <w:rtl/>
        </w:rPr>
        <w:t>سيأتي ذكر نظائر أخرى لهذه المسألة عند قاعدة</w:t>
      </w:r>
      <w:r>
        <w:rPr>
          <w:rFonts w:ascii="Traditional Arabic" w:hAnsi="Traditional Arabic" w:hint="cs"/>
          <w:sz w:val="32"/>
          <w:szCs w:val="32"/>
          <w:rtl/>
        </w:rPr>
        <w:t xml:space="preserve">: </w:t>
      </w:r>
      <w:r>
        <w:rPr>
          <w:rFonts w:ascii="Traditional Arabic" w:hAnsi="Traditional Arabic"/>
          <w:sz w:val="32"/>
          <w:szCs w:val="32"/>
          <w:rtl/>
        </w:rPr>
        <w:t>"من أدى عن غيره واجبا...".</w:t>
      </w:r>
    </w:p>
    <w:p w:rsidR="000D3D21" w:rsidRPr="00B119BE" w:rsidRDefault="000D3D21" w:rsidP="00EA1AAD">
      <w:pPr>
        <w:pStyle w:val="a7"/>
        <w:spacing w:line="360" w:lineRule="exact"/>
        <w:rPr>
          <w:rFonts w:ascii="Traditional Arabic" w:hAnsi="Traditional Arabic"/>
          <w:sz w:val="32"/>
          <w:szCs w:val="32"/>
          <w:rtl/>
        </w:rPr>
      </w:pPr>
      <w:r>
        <w:rPr>
          <w:rFonts w:ascii="Traditional Arabic" w:hAnsi="Traditional Arabic" w:hint="cs"/>
          <w:b/>
          <w:bCs/>
          <w:sz w:val="32"/>
          <w:szCs w:val="32"/>
          <w:rtl/>
        </w:rPr>
        <w:t xml:space="preserve">      </w:t>
      </w:r>
      <w:r w:rsidRPr="005E6020">
        <w:rPr>
          <w:rFonts w:ascii="Traditional Arabic" w:hAnsi="Traditional Arabic"/>
          <w:b/>
          <w:bCs/>
          <w:sz w:val="32"/>
          <w:szCs w:val="32"/>
          <w:rtl/>
        </w:rPr>
        <w:t>والتبرّع بالشيء</w:t>
      </w:r>
      <w:r w:rsidRPr="00B119BE">
        <w:rPr>
          <w:rFonts w:ascii="Traditional Arabic" w:hAnsi="Traditional Arabic"/>
          <w:sz w:val="32"/>
          <w:szCs w:val="32"/>
          <w:rtl/>
        </w:rPr>
        <w:t>:</w:t>
      </w:r>
      <w:r>
        <w:rPr>
          <w:rFonts w:ascii="Traditional Arabic" w:hAnsi="Traditional Arabic" w:hint="cs"/>
          <w:sz w:val="32"/>
          <w:szCs w:val="32"/>
          <w:rtl/>
        </w:rPr>
        <w:t xml:space="preserve"> </w:t>
      </w:r>
      <w:r w:rsidRPr="00B119BE">
        <w:rPr>
          <w:rFonts w:ascii="Traditional Arabic" w:hAnsi="Traditional Arabic"/>
          <w:sz w:val="32"/>
          <w:szCs w:val="32"/>
          <w:rtl/>
        </w:rPr>
        <w:t>التطوّع به.</w:t>
      </w:r>
      <w:r>
        <w:rPr>
          <w:rFonts w:ascii="Traditional Arabic" w:hAnsi="Traditional Arabic" w:hint="cs"/>
          <w:sz w:val="32"/>
          <w:szCs w:val="32"/>
          <w:rtl/>
        </w:rPr>
        <w:t xml:space="preserve"> </w:t>
      </w:r>
      <w:r w:rsidRPr="00B119BE">
        <w:rPr>
          <w:rFonts w:ascii="Traditional Arabic" w:hAnsi="Traditional Arabic"/>
          <w:sz w:val="32"/>
          <w:szCs w:val="32"/>
          <w:rtl/>
        </w:rPr>
        <w:t>أنيس الفقهاء (251).</w:t>
      </w:r>
    </w:p>
  </w:footnote>
  <w:footnote w:id="735">
    <w:p w:rsidR="000D3D21" w:rsidRPr="00B119BE" w:rsidRDefault="000D3D21" w:rsidP="00EA1AAD">
      <w:pPr>
        <w:pStyle w:val="a7"/>
        <w:spacing w:line="360" w:lineRule="exact"/>
        <w:rPr>
          <w:rFonts w:ascii="Traditional Arabic" w:hAnsi="Traditional Arabic"/>
          <w:sz w:val="32"/>
          <w:szCs w:val="32"/>
          <w:rtl/>
        </w:rPr>
      </w:pPr>
      <w:r w:rsidRPr="00B119BE">
        <w:rPr>
          <w:rFonts w:ascii="Traditional Arabic" w:hAnsi="Traditional Arabic"/>
          <w:sz w:val="32"/>
          <w:szCs w:val="32"/>
        </w:rPr>
        <w:footnoteRef/>
      </w:r>
      <w:r w:rsidRPr="00B119BE">
        <w:rPr>
          <w:rFonts w:ascii="Traditional Arabic" w:hAnsi="Traditional Arabic"/>
          <w:sz w:val="32"/>
          <w:szCs w:val="32"/>
        </w:rPr>
        <w:t>)</w:t>
      </w:r>
      <w:r>
        <w:rPr>
          <w:rFonts w:ascii="Traditional Arabic" w:hAnsi="Traditional Arabic"/>
          <w:sz w:val="32"/>
          <w:szCs w:val="32"/>
          <w:rtl/>
        </w:rPr>
        <w:t>) انظر ال</w:t>
      </w:r>
      <w:r>
        <w:rPr>
          <w:rFonts w:ascii="Traditional Arabic" w:hAnsi="Traditional Arabic" w:hint="cs"/>
          <w:sz w:val="32"/>
          <w:szCs w:val="32"/>
          <w:rtl/>
        </w:rPr>
        <w:t>شرح الممتع</w:t>
      </w:r>
      <w:r w:rsidRPr="00B119BE">
        <w:rPr>
          <w:rFonts w:ascii="Traditional Arabic" w:hAnsi="Traditional Arabic"/>
          <w:sz w:val="32"/>
          <w:szCs w:val="32"/>
          <w:rtl/>
        </w:rPr>
        <w:t xml:space="preserve"> (9/178).</w:t>
      </w:r>
    </w:p>
  </w:footnote>
  <w:footnote w:id="736">
    <w:p w:rsidR="000D3D21" w:rsidRPr="00B119BE" w:rsidRDefault="000D3D21" w:rsidP="00EA1AAD">
      <w:pPr>
        <w:pStyle w:val="a7"/>
        <w:spacing w:line="360" w:lineRule="exact"/>
        <w:rPr>
          <w:rFonts w:ascii="Traditional Arabic" w:hAnsi="Traditional Arabic"/>
          <w:sz w:val="32"/>
          <w:szCs w:val="32"/>
          <w:rtl/>
        </w:rPr>
      </w:pPr>
      <w:r w:rsidRPr="00B119BE">
        <w:rPr>
          <w:rFonts w:ascii="Traditional Arabic" w:hAnsi="Traditional Arabic"/>
          <w:sz w:val="32"/>
          <w:szCs w:val="32"/>
        </w:rPr>
        <w:footnoteRef/>
      </w:r>
      <w:r w:rsidRPr="00B119BE">
        <w:rPr>
          <w:rFonts w:ascii="Traditional Arabic" w:hAnsi="Traditional Arabic"/>
          <w:sz w:val="32"/>
          <w:szCs w:val="32"/>
        </w:rPr>
        <w:t>)</w:t>
      </w:r>
      <w:r>
        <w:rPr>
          <w:rFonts w:ascii="Traditional Arabic" w:hAnsi="Traditional Arabic"/>
          <w:sz w:val="32"/>
          <w:szCs w:val="32"/>
          <w:rtl/>
        </w:rPr>
        <w:t>) انظر ال</w:t>
      </w:r>
      <w:r>
        <w:rPr>
          <w:rFonts w:ascii="Traditional Arabic" w:hAnsi="Traditional Arabic" w:hint="cs"/>
          <w:sz w:val="32"/>
          <w:szCs w:val="32"/>
          <w:rtl/>
        </w:rPr>
        <w:t>مرجع السابق</w:t>
      </w:r>
      <w:r w:rsidRPr="00B119BE">
        <w:rPr>
          <w:rFonts w:ascii="Traditional Arabic" w:hAnsi="Traditional Arabic"/>
          <w:sz w:val="32"/>
          <w:szCs w:val="32"/>
          <w:rtl/>
        </w:rPr>
        <w:t xml:space="preserve"> (8/268).</w:t>
      </w:r>
    </w:p>
  </w:footnote>
  <w:footnote w:id="737">
    <w:p w:rsidR="000D3D21" w:rsidRPr="001C270D" w:rsidRDefault="000D3D21" w:rsidP="00EA1AAD">
      <w:pPr>
        <w:pStyle w:val="a7"/>
        <w:spacing w:line="360" w:lineRule="exact"/>
        <w:rPr>
          <w:sz w:val="32"/>
          <w:szCs w:val="32"/>
          <w:rtl/>
        </w:rPr>
      </w:pPr>
      <w:r w:rsidRPr="00B119BE">
        <w:rPr>
          <w:rFonts w:ascii="Traditional Arabic" w:hAnsi="Traditional Arabic"/>
          <w:sz w:val="32"/>
          <w:szCs w:val="32"/>
        </w:rPr>
        <w:footnoteRef/>
      </w:r>
      <w:r w:rsidRPr="00B119BE">
        <w:rPr>
          <w:rFonts w:ascii="Traditional Arabic" w:hAnsi="Traditional Arabic"/>
          <w:sz w:val="32"/>
          <w:szCs w:val="32"/>
        </w:rPr>
        <w:t>)</w:t>
      </w:r>
      <w:r w:rsidRPr="00B119BE">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مرجع السابق</w:t>
      </w:r>
      <w:r w:rsidRPr="00B119BE">
        <w:rPr>
          <w:rFonts w:ascii="Traditional Arabic" w:hAnsi="Traditional Arabic"/>
          <w:sz w:val="32"/>
          <w:szCs w:val="32"/>
          <w:rtl/>
        </w:rPr>
        <w:t xml:space="preserve"> (8/268)،</w:t>
      </w:r>
      <w:r>
        <w:rPr>
          <w:rFonts w:ascii="Traditional Arabic" w:hAnsi="Traditional Arabic"/>
          <w:sz w:val="32"/>
          <w:szCs w:val="32"/>
          <w:rtl/>
        </w:rPr>
        <w:t xml:space="preserve"> وفتح ذي الجلال واﻹكرام (4/5،7)</w:t>
      </w:r>
      <w:r>
        <w:rPr>
          <w:rFonts w:ascii="Traditional Arabic" w:hAnsi="Traditional Arabic" w:hint="cs"/>
          <w:sz w:val="32"/>
          <w:szCs w:val="32"/>
          <w:rtl/>
        </w:rPr>
        <w:t>.</w:t>
      </w:r>
    </w:p>
  </w:footnote>
  <w:footnote w:id="738">
    <w:p w:rsidR="000D3D21" w:rsidRPr="00FB5A39"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5A39">
        <w:rPr>
          <w:rFonts w:ascii="Traditional Arabic" w:hAnsi="Traditional Arabic"/>
          <w:sz w:val="32"/>
          <w:szCs w:val="32"/>
          <w:rtl/>
        </w:rPr>
        <w:t xml:space="preserve">اخترت هذه الصيغة؛ لأن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FB5A39">
        <w:rPr>
          <w:rFonts w:ascii="Traditional Arabic" w:hAnsi="Traditional Arabic"/>
          <w:sz w:val="32"/>
          <w:szCs w:val="32"/>
          <w:rtl/>
        </w:rPr>
        <w:t xml:space="preserve"> صدرها بقوله: (القاعدة العامة)، و</w:t>
      </w:r>
      <w:r>
        <w:rPr>
          <w:rFonts w:ascii="Traditional Arabic" w:hAnsi="Traditional Arabic"/>
          <w:sz w:val="32"/>
          <w:szCs w:val="32"/>
          <w:rtl/>
        </w:rPr>
        <w:t>غيرها من الصيغ بمعنى هذه الصيغة</w:t>
      </w:r>
      <w:r>
        <w:rPr>
          <w:rFonts w:ascii="Traditional Arabic" w:hAnsi="Traditional Arabic" w:hint="cs"/>
          <w:sz w:val="32"/>
          <w:szCs w:val="32"/>
          <w:rtl/>
        </w:rPr>
        <w:t>، أو أخص منها.</w:t>
      </w:r>
    </w:p>
  </w:footnote>
  <w:footnote w:id="739">
    <w:p w:rsidR="000D3D21" w:rsidRPr="00FB5A39"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FB5A39">
        <w:rPr>
          <w:rFonts w:ascii="Traditional Arabic" w:hAnsi="Traditional Arabic"/>
          <w:sz w:val="32"/>
          <w:szCs w:val="32"/>
          <w:rtl/>
        </w:rPr>
        <w:t xml:space="preserve"> (8/349)، وانظر (9/229)، (15/315، 462).</w:t>
      </w:r>
    </w:p>
  </w:footnote>
  <w:footnote w:id="740">
    <w:p w:rsidR="000D3D21" w:rsidRPr="00FB5A39"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5A39">
        <w:rPr>
          <w:rFonts w:ascii="Traditional Arabic" w:hAnsi="Traditional Arabic"/>
          <w:sz w:val="32"/>
          <w:szCs w:val="32"/>
          <w:rtl/>
        </w:rPr>
        <w:t>المرجع السابق (8/349-350)، و(12/175)، و(13/185).</w:t>
      </w:r>
    </w:p>
  </w:footnote>
  <w:footnote w:id="741">
    <w:p w:rsidR="000D3D21" w:rsidRPr="00FB5A39"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5A39">
        <w:rPr>
          <w:rFonts w:ascii="Traditional Arabic" w:hAnsi="Traditional Arabic"/>
          <w:sz w:val="32"/>
          <w:szCs w:val="32"/>
          <w:rtl/>
        </w:rPr>
        <w:t>المرجع السابق (9/230، 231)، و(12/188)، و(15/262).</w:t>
      </w:r>
    </w:p>
  </w:footnote>
  <w:footnote w:id="742">
    <w:p w:rsidR="000D3D21" w:rsidRPr="00FB5A39"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5A39">
        <w:rPr>
          <w:rFonts w:ascii="Traditional Arabic" w:hAnsi="Traditional Arabic"/>
          <w:sz w:val="32"/>
          <w:szCs w:val="32"/>
          <w:rtl/>
        </w:rPr>
        <w:t>مجموع فتاوى ورسائل ابن عثيمين (28/186).</w:t>
      </w:r>
    </w:p>
  </w:footnote>
  <w:footnote w:id="743">
    <w:p w:rsidR="000D3D21" w:rsidRPr="00FB5A39"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5A39">
        <w:rPr>
          <w:rFonts w:ascii="Traditional Arabic" w:hAnsi="Traditional Arabic"/>
          <w:sz w:val="32"/>
          <w:szCs w:val="32"/>
          <w:rtl/>
        </w:rPr>
        <w:t>المرجع السابق (28/202)، وانظر (29/104).</w:t>
      </w:r>
    </w:p>
  </w:footnote>
  <w:footnote w:id="744">
    <w:p w:rsidR="000D3D21" w:rsidRDefault="000D3D21" w:rsidP="000F7DC7">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5A39">
        <w:rPr>
          <w:rFonts w:ascii="Traditional Arabic" w:hAnsi="Traditional Arabic"/>
          <w:sz w:val="32"/>
          <w:szCs w:val="32"/>
          <w:rtl/>
        </w:rPr>
        <w:t>انظر لمزيد من الصيغ موسوعة القواعد والضوابط الفقهية للندوي (1/518-519)، و(2/15، 35، 239).</w:t>
      </w:r>
    </w:p>
    <w:p w:rsidR="000D3D21" w:rsidRPr="006E4BC6" w:rsidRDefault="000D3D21" w:rsidP="000F7DC7">
      <w:pPr>
        <w:pStyle w:val="a7"/>
        <w:pageBreakBefore/>
        <w:rPr>
          <w:rFonts w:ascii="Traditional Arabic" w:hAnsi="Traditional Arabic"/>
          <w:sz w:val="32"/>
          <w:szCs w:val="32"/>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FB5A39">
        <w:rPr>
          <w:rFonts w:ascii="Traditional Arabic" w:hAnsi="Traditional Arabic"/>
          <w:sz w:val="32"/>
          <w:szCs w:val="32"/>
          <w:rtl/>
        </w:rPr>
        <w:t>مما ي</w:t>
      </w:r>
      <w:r>
        <w:rPr>
          <w:rFonts w:ascii="Traditional Arabic" w:hAnsi="Traditional Arabic" w:hint="cs"/>
          <w:sz w:val="32"/>
          <w:szCs w:val="32"/>
          <w:rtl/>
        </w:rPr>
        <w:t>ُ</w:t>
      </w:r>
      <w:r w:rsidRPr="00FB5A39">
        <w:rPr>
          <w:rFonts w:ascii="Traditional Arabic" w:hAnsi="Traditional Arabic"/>
          <w:sz w:val="32"/>
          <w:szCs w:val="32"/>
          <w:rtl/>
        </w:rPr>
        <w:t>لحظ من خلال صيغ القاعدة أن بعض العلماء أوردها بصيغة الاستفهام التي تشير إلى اختلافهم في مفهومها.</w:t>
      </w:r>
      <w:r>
        <w:rPr>
          <w:rFonts w:ascii="Traditional Arabic" w:hAnsi="Traditional Arabic" w:hint="cs"/>
          <w:sz w:val="32"/>
          <w:szCs w:val="32"/>
          <w:rtl/>
        </w:rPr>
        <w:t xml:space="preserve"> </w:t>
      </w:r>
      <w:r>
        <w:rPr>
          <w:rFonts w:ascii="Traditional Arabic" w:hAnsi="Traditional Arabic"/>
          <w:sz w:val="32"/>
          <w:szCs w:val="32"/>
          <w:rtl/>
        </w:rPr>
        <w:t>انظر موسوعة القواعد</w:t>
      </w:r>
      <w:r w:rsidRPr="00FB5A39">
        <w:rPr>
          <w:rFonts w:ascii="Traditional Arabic" w:hAnsi="Traditional Arabic"/>
          <w:sz w:val="32"/>
          <w:szCs w:val="32"/>
          <w:rtl/>
        </w:rPr>
        <w:t xml:space="preserve"> الفقهية للبورنو (1/251).</w:t>
      </w:r>
    </w:p>
  </w:footnote>
  <w:footnote w:id="745">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مجموع الفتاوى لابن تيمية (30/112)، والقواعد والضوابط الفقهية للمعاملات المالية عند ابن تيمية (2/195)، وموسوعة القواعد والضوابط للندوي (2/67).</w:t>
      </w:r>
    </w:p>
  </w:footnote>
  <w:footnote w:id="746">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إعلام الموقعين (4/499)، والقواعد الفقهية المستخرجة من كتاب إعلام الموقعين (240).</w:t>
      </w:r>
    </w:p>
  </w:footnote>
  <w:footnote w:id="747">
    <w:p w:rsidR="000D3D21" w:rsidRPr="005C279A" w:rsidRDefault="000D3D21" w:rsidP="000F7DC7">
      <w:pPr>
        <w:pStyle w:val="a7"/>
        <w:pageBreakBefore/>
        <w:rPr>
          <w:rFonts w:ascii="Tahoma" w:hAnsi="Tahoma"/>
          <w:sz w:val="32"/>
          <w:szCs w:val="32"/>
        </w:rPr>
      </w:pPr>
      <w:r w:rsidRPr="005C279A">
        <w:rPr>
          <w:rFonts w:ascii="Tahoma" w:hAnsi="Tahoma"/>
          <w:sz w:val="32"/>
          <w:szCs w:val="32"/>
          <w:rtl/>
        </w:rPr>
        <w:t>(</w:t>
      </w:r>
      <w:r w:rsidRPr="005C279A">
        <w:rPr>
          <w:rStyle w:val="af1"/>
          <w:rFonts w:ascii="Tahoma" w:hAnsi="Tahoma"/>
          <w:sz w:val="32"/>
          <w:szCs w:val="32"/>
          <w:vertAlign w:val="baseline"/>
          <w:rtl/>
        </w:rPr>
        <w:footnoteRef/>
      </w:r>
      <w:r w:rsidRPr="005C279A">
        <w:rPr>
          <w:rFonts w:ascii="Tahoma" w:hAnsi="Tahoma"/>
          <w:sz w:val="32"/>
          <w:szCs w:val="32"/>
          <w:rtl/>
        </w:rPr>
        <w:t>)</w:t>
      </w:r>
      <w:r w:rsidRPr="005C279A">
        <w:rPr>
          <w:rFonts w:ascii="Tahoma" w:hAnsi="Tahoma" w:hint="cs"/>
          <w:sz w:val="32"/>
          <w:szCs w:val="32"/>
          <w:rtl/>
        </w:rPr>
        <w:t xml:space="preserve"> زاد المعاد (5/813).</w:t>
      </w:r>
    </w:p>
  </w:footnote>
  <w:footnote w:id="748">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الأشباه والنظائر لابن السبكي (1/174)، والمنثور للزركشي (2/371)، والأشباه والنظائر للسيوطي (166).</w:t>
      </w:r>
    </w:p>
  </w:footnote>
  <w:footnote w:id="749">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قواعد للحصني</w:t>
      </w:r>
      <w:r w:rsidRPr="006E4BC6">
        <w:rPr>
          <w:rFonts w:ascii="Traditional Arabic" w:hAnsi="Traditional Arabic"/>
          <w:sz w:val="32"/>
          <w:szCs w:val="32"/>
          <w:rtl/>
        </w:rPr>
        <w:t xml:space="preserve"> (1/418).</w:t>
      </w:r>
    </w:p>
  </w:footnote>
  <w:footnote w:id="750">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إيضاح المسالك للونشريسي (98)، وشرح المنهج المنتخب للمنجور (2/116).</w:t>
      </w:r>
    </w:p>
  </w:footnote>
  <w:footnote w:id="751">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الأشباه والنظائر لابن نجيم (1/342</w:t>
      </w:r>
      <w:r>
        <w:rPr>
          <w:rFonts w:ascii="Traditional Arabic" w:hAnsi="Traditional Arabic"/>
          <w:sz w:val="32"/>
          <w:szCs w:val="32"/>
          <w:rtl/>
        </w:rPr>
        <w:t xml:space="preserve">، 382)، وموسوعة القواعد </w:t>
      </w:r>
      <w:r>
        <w:rPr>
          <w:rFonts w:ascii="Traditional Arabic" w:hAnsi="Traditional Arabic" w:hint="cs"/>
          <w:sz w:val="32"/>
          <w:szCs w:val="32"/>
          <w:rtl/>
        </w:rPr>
        <w:t>الفقهية</w:t>
      </w:r>
      <w:r w:rsidRPr="006E4BC6">
        <w:rPr>
          <w:rFonts w:ascii="Traditional Arabic" w:hAnsi="Traditional Arabic"/>
          <w:sz w:val="32"/>
          <w:szCs w:val="32"/>
          <w:rtl/>
        </w:rPr>
        <w:t xml:space="preserve"> للبورنو (5/386)، وانظر موسوعة القواعد والضوابط للندوي (2/240).</w:t>
      </w:r>
    </w:p>
  </w:footnote>
  <w:footnote w:id="752">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مجلة الأحكام العدلية (المادة</w:t>
      </w:r>
      <w:r>
        <w:rPr>
          <w:rFonts w:ascii="Traditional Arabic" w:hAnsi="Traditional Arabic" w:hint="cs"/>
          <w:sz w:val="32"/>
          <w:szCs w:val="32"/>
          <w:rtl/>
        </w:rPr>
        <w:t xml:space="preserve"> </w:t>
      </w:r>
      <w:r w:rsidRPr="006E4BC6">
        <w:rPr>
          <w:rFonts w:ascii="Traditional Arabic" w:hAnsi="Traditional Arabic"/>
          <w:sz w:val="32"/>
          <w:szCs w:val="32"/>
          <w:rtl/>
        </w:rPr>
        <w:t>3)، وشرح القواعد الفقهية للزرقا (55)، وموسوعة القواعد والضوابط للندوي (2/239).</w:t>
      </w:r>
    </w:p>
  </w:footnote>
  <w:footnote w:id="753">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فتاوى السعدي(342)، وموسوعة القواعد والضوابط للندوي (2/84).</w:t>
      </w:r>
    </w:p>
  </w:footnote>
  <w:footnote w:id="754">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انظر المصباح المنير (317).</w:t>
      </w:r>
    </w:p>
  </w:footnote>
  <w:footnote w:id="755">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انظر المرجع السابق (453).</w:t>
      </w:r>
    </w:p>
  </w:footnote>
  <w:footnote w:id="756">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مقاييس اللغة (5/259).</w:t>
      </w:r>
    </w:p>
  </w:footnote>
  <w:footnote w:id="757">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انظر درر الحكام (1/21).</w:t>
      </w:r>
    </w:p>
  </w:footnote>
  <w:footnote w:id="758">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المصباح المنير (354).</w:t>
      </w:r>
    </w:p>
  </w:footnote>
  <w:footnote w:id="759">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موسوعة القواعد والضوابط للندوي (1/518).</w:t>
      </w:r>
    </w:p>
  </w:footnote>
  <w:footnote w:id="760">
    <w:p w:rsidR="000D3D21" w:rsidRPr="00BE4BC8" w:rsidRDefault="000D3D21" w:rsidP="000F7DC7">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الشرح</w:t>
      </w:r>
      <w:r w:rsidRPr="006E4BC6">
        <w:rPr>
          <w:rFonts w:ascii="Traditional Arabic" w:hAnsi="Traditional Arabic"/>
          <w:sz w:val="32"/>
          <w:szCs w:val="32"/>
          <w:rtl/>
        </w:rPr>
        <w:t xml:space="preserve"> الممتع (8/349)، و(15/262، 315، 462).</w:t>
      </w:r>
    </w:p>
  </w:footnote>
  <w:footnote w:id="761">
    <w:p w:rsidR="000D3D21" w:rsidRPr="006E4BC6" w:rsidRDefault="000D3D21" w:rsidP="004E0D6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00AB0B9E" w:rsidRPr="000A01DD">
        <w:rPr>
          <w:rFonts w:ascii="Traditional Arabic" w:hAnsi="Traditional Arabic"/>
          <w:b/>
          <w:bCs/>
          <w:sz w:val="32"/>
          <w:szCs w:val="32"/>
          <w:rtl/>
        </w:rPr>
        <w:fldChar w:fldCharType="begin"/>
      </w:r>
      <w:r w:rsidRPr="000A01DD">
        <w:rPr>
          <w:rFonts w:ascii="Traditional Arabic" w:hAnsi="Traditional Arabic"/>
          <w:b/>
          <w:bCs/>
          <w:sz w:val="32"/>
          <w:szCs w:val="32"/>
        </w:rPr>
        <w:instrText xml:space="preserve"> XE "</w:instrText>
      </w:r>
      <w:r w:rsidRPr="000A01DD">
        <w:rPr>
          <w:rFonts w:ascii="Traditional Arabic" w:hAnsi="Traditional Arabic"/>
          <w:b/>
          <w:bCs/>
          <w:sz w:val="32"/>
          <w:szCs w:val="32"/>
          <w:rtl/>
        </w:rPr>
        <w:instrText>ج</w:instrText>
      </w:r>
      <w:r w:rsidRPr="000A01DD">
        <w:rPr>
          <w:rFonts w:ascii="Traditional Arabic" w:hAnsi="Traditional Arabic" w:hint="cs"/>
          <w:b/>
          <w:bCs/>
          <w:sz w:val="32"/>
          <w:szCs w:val="32"/>
          <w:rtl/>
        </w:rPr>
        <w:instrText>َ</w:instrText>
      </w:r>
      <w:r w:rsidRPr="000A01DD">
        <w:rPr>
          <w:rFonts w:ascii="Traditional Arabic" w:hAnsi="Traditional Arabic"/>
          <w:b/>
          <w:bCs/>
          <w:sz w:val="32"/>
          <w:szCs w:val="32"/>
          <w:rtl/>
        </w:rPr>
        <w:instrText>م</w:instrText>
      </w:r>
      <w:r w:rsidRPr="000A01DD">
        <w:rPr>
          <w:rFonts w:ascii="Traditional Arabic" w:hAnsi="Traditional Arabic" w:hint="cs"/>
          <w:b/>
          <w:bCs/>
          <w:sz w:val="32"/>
          <w:szCs w:val="32"/>
          <w:rtl/>
        </w:rPr>
        <w:instrText>َ</w:instrText>
      </w:r>
      <w:r w:rsidRPr="000A01DD">
        <w:rPr>
          <w:rFonts w:ascii="Traditional Arabic" w:hAnsi="Traditional Arabic"/>
          <w:b/>
          <w:bCs/>
          <w:sz w:val="32"/>
          <w:szCs w:val="32"/>
          <w:rtl/>
        </w:rPr>
        <w:instrText>ل</w:instrText>
      </w:r>
      <w:r w:rsidRPr="000A01DD">
        <w:rPr>
          <w:rFonts w:ascii="Traditional Arabic" w:hAnsi="Traditional Arabic" w:hint="cs"/>
          <w:b/>
          <w:bCs/>
          <w:sz w:val="32"/>
          <w:szCs w:val="32"/>
          <w:rtl/>
        </w:rPr>
        <w:instrText>ُ</w:instrText>
      </w:r>
      <w:r w:rsidRPr="000A01DD">
        <w:rPr>
          <w:rFonts w:ascii="Traditional Arabic" w:hAnsi="Traditional Arabic"/>
          <w:b/>
          <w:bCs/>
          <w:sz w:val="32"/>
          <w:szCs w:val="32"/>
          <w:rtl/>
        </w:rPr>
        <w:instrText>وه</w:instrText>
      </w:r>
      <w:r w:rsidRPr="000A01DD">
        <w:rPr>
          <w:rFonts w:ascii="Traditional Arabic" w:hAnsi="Traditional Arabic"/>
          <w:b/>
          <w:bCs/>
          <w:sz w:val="32"/>
          <w:szCs w:val="32"/>
        </w:rPr>
        <w:instrText>" \fm</w:instrText>
      </w:r>
      <w:r w:rsidR="00AB0B9E" w:rsidRPr="000A01DD">
        <w:rPr>
          <w:rFonts w:ascii="Traditional Arabic" w:hAnsi="Traditional Arabic"/>
          <w:b/>
          <w:bCs/>
          <w:sz w:val="32"/>
          <w:szCs w:val="32"/>
          <w:rtl/>
        </w:rPr>
        <w:fldChar w:fldCharType="end"/>
      </w:r>
      <w:r w:rsidRPr="000A01DD">
        <w:rPr>
          <w:rFonts w:ascii="Traditional Arabic" w:hAnsi="Traditional Arabic"/>
          <w:b/>
          <w:bCs/>
          <w:sz w:val="32"/>
          <w:szCs w:val="32"/>
          <w:rtl/>
        </w:rPr>
        <w:t>جَمَلْتُ الشحمَ، وأَجْمَلْته</w:t>
      </w:r>
      <w:r w:rsidRPr="006E4BC6">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إذا أَذَبْتَه</w:t>
      </w:r>
      <w:r>
        <w:rPr>
          <w:rFonts w:ascii="Traditional Arabic" w:hAnsi="Traditional Arabic"/>
          <w:sz w:val="32"/>
          <w:szCs w:val="32"/>
          <w:rtl/>
        </w:rPr>
        <w:t xml:space="preserve"> و</w:t>
      </w:r>
      <w:r w:rsidRPr="006E4BC6">
        <w:rPr>
          <w:rFonts w:ascii="Traditional Arabic" w:hAnsi="Traditional Arabic"/>
          <w:sz w:val="32"/>
          <w:szCs w:val="32"/>
          <w:rtl/>
        </w:rPr>
        <w:t>استخرجْت دُهْنَه.</w:t>
      </w:r>
      <w:r>
        <w:rPr>
          <w:rFonts w:ascii="Traditional Arabic" w:hAnsi="Traditional Arabic" w:hint="cs"/>
          <w:sz w:val="32"/>
          <w:szCs w:val="32"/>
          <w:rtl/>
        </w:rPr>
        <w:t xml:space="preserve"> </w:t>
      </w:r>
      <w:r w:rsidRPr="006E4BC6">
        <w:rPr>
          <w:rFonts w:ascii="Traditional Arabic" w:hAnsi="Traditional Arabic"/>
          <w:sz w:val="32"/>
          <w:szCs w:val="32"/>
          <w:rtl/>
        </w:rPr>
        <w:t>انظر النهاية لابن الأثير (1/198).</w:t>
      </w:r>
    </w:p>
  </w:footnote>
  <w:footnote w:id="762">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6E4BC6">
        <w:rPr>
          <w:rFonts w:ascii="Traditional Arabic" w:hAnsi="Traditional Arabic"/>
          <w:sz w:val="32"/>
          <w:szCs w:val="32"/>
          <w:rtl/>
        </w:rPr>
        <w:t xml:space="preserve"> أخرجه البخاري في كتاب البيوع، باب بيع الميتة والأصنام، رقم الحديث (2236)، ومسلم في كتاب المساقاة والمزارعة، باب تحريم بيع الخمر والميتة والخنزير والأصنام، رقم الحديث (1581)، واللفظ للبخاري. </w:t>
      </w:r>
    </w:p>
  </w:footnote>
  <w:footnote w:id="763">
    <w:p w:rsidR="000D3D21" w:rsidRPr="00BC5555" w:rsidRDefault="000D3D21" w:rsidP="000F7DC7">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انظر إعلام الموقعين (4/524، 526)، والقواعد الفقهية المستخرجة من كتاب إعلام الموقعين (245).</w:t>
      </w:r>
    </w:p>
  </w:footnote>
  <w:footnote w:id="764">
    <w:p w:rsidR="000D3D21" w:rsidRPr="006E4BC6"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E4BC6">
        <w:rPr>
          <w:rFonts w:ascii="Traditional Arabic" w:hAnsi="Traditional Arabic"/>
          <w:sz w:val="32"/>
          <w:szCs w:val="32"/>
          <w:rtl/>
        </w:rPr>
        <w:t>إعلام الموقعين (4/496-497).</w:t>
      </w:r>
    </w:p>
  </w:footnote>
  <w:footnote w:id="765">
    <w:p w:rsidR="000D3D21" w:rsidRPr="0013044E" w:rsidRDefault="000D3D21" w:rsidP="001A160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3044E">
        <w:rPr>
          <w:rFonts w:ascii="Traditional Arabic" w:hAnsi="Traditional Arabic"/>
          <w:sz w:val="32"/>
          <w:szCs w:val="32"/>
          <w:rtl/>
        </w:rPr>
        <w:t>هذا هو المذهب عند الحنابلة</w:t>
      </w:r>
      <w:r>
        <w:rPr>
          <w:rFonts w:ascii="Traditional Arabic" w:hAnsi="Traditional Arabic"/>
          <w:sz w:val="32"/>
          <w:szCs w:val="32"/>
          <w:rtl/>
        </w:rPr>
        <w:t xml:space="preserve"> </w:t>
      </w:r>
      <w:r>
        <w:rPr>
          <w:rFonts w:ascii="Traditional Arabic" w:hAnsi="Traditional Arabic" w:hint="cs"/>
          <w:sz w:val="32"/>
          <w:szCs w:val="32"/>
          <w:rtl/>
        </w:rPr>
        <w:t xml:space="preserve">انظر </w:t>
      </w:r>
      <w:r w:rsidRPr="0013044E">
        <w:rPr>
          <w:rFonts w:ascii="Traditional Arabic" w:hAnsi="Traditional Arabic"/>
          <w:sz w:val="32"/>
          <w:szCs w:val="32"/>
          <w:rtl/>
        </w:rPr>
        <w:t>والإنصاف للمرداوي (11/462-463).</w:t>
      </w:r>
    </w:p>
    <w:p w:rsidR="000D3D21" w:rsidRPr="0013044E" w:rsidRDefault="000D3D21" w:rsidP="000F7DC7">
      <w:pPr>
        <w:pStyle w:val="a7"/>
        <w:pageBreakBefore/>
        <w:rPr>
          <w:rFonts w:ascii="Traditional Arabic" w:hAnsi="Traditional Arabic"/>
          <w:sz w:val="32"/>
          <w:szCs w:val="32"/>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13044E">
        <w:rPr>
          <w:rFonts w:ascii="Traditional Arabic" w:hAnsi="Traditional Arabic"/>
          <w:sz w:val="32"/>
          <w:szCs w:val="32"/>
          <w:rtl/>
        </w:rPr>
        <w:t>رج</w:t>
      </w:r>
      <w:r>
        <w:rPr>
          <w:rFonts w:ascii="Traditional Arabic" w:hAnsi="Traditional Arabic" w:hint="cs"/>
          <w:sz w:val="32"/>
          <w:szCs w:val="32"/>
          <w:rtl/>
        </w:rPr>
        <w:t>َّ</w:t>
      </w:r>
      <w:r w:rsidRPr="0013044E">
        <w:rPr>
          <w:rFonts w:ascii="Traditional Arabic" w:hAnsi="Traditional Arabic"/>
          <w:sz w:val="32"/>
          <w:szCs w:val="32"/>
          <w:rtl/>
        </w:rPr>
        <w:t xml:space="preserve">ح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13044E">
        <w:rPr>
          <w:rFonts w:ascii="Traditional Arabic" w:hAnsi="Traditional Arabic"/>
          <w:sz w:val="32"/>
          <w:szCs w:val="32"/>
          <w:rtl/>
        </w:rPr>
        <w:t xml:space="preserve"> أن القول قول البائع، وهو رواية عن  أحمد.انظر الشرح الممتع (8/348)، والإنصاف للمرداوي (11/462-463).</w:t>
      </w:r>
    </w:p>
  </w:footnote>
  <w:footnote w:id="766">
    <w:p w:rsidR="000D3D21" w:rsidRPr="0013044E"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3044E">
        <w:rPr>
          <w:rFonts w:ascii="Traditional Arabic" w:hAnsi="Traditional Arabic"/>
          <w:sz w:val="32"/>
          <w:szCs w:val="32"/>
          <w:rtl/>
        </w:rPr>
        <w:t>انظر الشرح الممتع (8/345-350).</w:t>
      </w:r>
    </w:p>
  </w:footnote>
  <w:footnote w:id="767">
    <w:p w:rsidR="000D3D21" w:rsidRPr="00FA3668" w:rsidRDefault="000D3D21" w:rsidP="000F7DC7">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13044E">
        <w:rPr>
          <w:rFonts w:ascii="Traditional Arabic" w:hAnsi="Traditional Arabic"/>
          <w:sz w:val="32"/>
          <w:szCs w:val="32"/>
          <w:rtl/>
        </w:rPr>
        <w:t xml:space="preserve"> (8/349، 350).</w:t>
      </w:r>
    </w:p>
  </w:footnote>
  <w:footnote w:id="768">
    <w:p w:rsidR="000D3D21" w:rsidRPr="0013044E" w:rsidRDefault="000D3D21" w:rsidP="000F7DC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3044E">
        <w:rPr>
          <w:rFonts w:ascii="Traditional Arabic" w:hAnsi="Traditional Arabic"/>
          <w:sz w:val="32"/>
          <w:szCs w:val="32"/>
          <w:rtl/>
        </w:rPr>
        <w:t>انظر المرجع السابق (9/228-230).</w:t>
      </w:r>
    </w:p>
  </w:footnote>
  <w:footnote w:id="769">
    <w:p w:rsidR="000D3D21" w:rsidRPr="00F74B06" w:rsidRDefault="000D3D21" w:rsidP="000F7DC7">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شرح الممتع</w:t>
      </w:r>
      <w:r>
        <w:rPr>
          <w:rFonts w:ascii="Traditional Arabic" w:hAnsi="Traditional Arabic"/>
          <w:sz w:val="32"/>
          <w:szCs w:val="32"/>
          <w:rtl/>
        </w:rPr>
        <w:t xml:space="preserve"> (9/231)</w:t>
      </w:r>
      <w:r>
        <w:rPr>
          <w:rFonts w:ascii="Traditional Arabic" w:hAnsi="Traditional Arabic" w:hint="cs"/>
          <w:sz w:val="32"/>
          <w:szCs w:val="32"/>
          <w:rtl/>
        </w:rPr>
        <w:t xml:space="preserve"> بتصرف.</w:t>
      </w:r>
    </w:p>
  </w:footnote>
  <w:footnote w:id="770">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 xml:space="preserve">اخترت هذه الصيغة؛ لوجازتها؛ ولتضمُّنها لقيد مهمّ، وهو براءة </w:t>
      </w:r>
      <w:r>
        <w:rPr>
          <w:rFonts w:ascii="Traditional Arabic" w:hAnsi="Traditional Arabic" w:hint="cs"/>
          <w:sz w:val="32"/>
          <w:szCs w:val="32"/>
          <w:rtl/>
        </w:rPr>
        <w:t xml:space="preserve">ذمة </w:t>
      </w:r>
      <w:r w:rsidRPr="00D52088">
        <w:rPr>
          <w:rFonts w:ascii="Traditional Arabic" w:hAnsi="Traditional Arabic"/>
          <w:sz w:val="32"/>
          <w:szCs w:val="32"/>
          <w:rtl/>
        </w:rPr>
        <w:t>المؤدَّى عنه بأداء</w:t>
      </w:r>
      <w:r>
        <w:rPr>
          <w:rFonts w:ascii="Traditional Arabic" w:hAnsi="Traditional Arabic" w:hint="cs"/>
          <w:sz w:val="32"/>
          <w:szCs w:val="32"/>
          <w:rtl/>
        </w:rPr>
        <w:t>ِ</w:t>
      </w:r>
      <w:r w:rsidRPr="00D52088">
        <w:rPr>
          <w:rFonts w:ascii="Traditional Arabic" w:hAnsi="Traditional Arabic"/>
          <w:sz w:val="32"/>
          <w:szCs w:val="32"/>
          <w:rtl/>
        </w:rPr>
        <w:t xml:space="preserve"> غير</w:t>
      </w:r>
      <w:r>
        <w:rPr>
          <w:rFonts w:ascii="Traditional Arabic" w:hAnsi="Traditional Arabic" w:hint="cs"/>
          <w:sz w:val="32"/>
          <w:szCs w:val="32"/>
          <w:rtl/>
        </w:rPr>
        <w:t>ِ</w:t>
      </w:r>
      <w:r w:rsidRPr="00D52088">
        <w:rPr>
          <w:rFonts w:ascii="Traditional Arabic" w:hAnsi="Traditional Arabic"/>
          <w:sz w:val="32"/>
          <w:szCs w:val="32"/>
          <w:rtl/>
        </w:rPr>
        <w:t>ه عنه، وسيأتي بيان ذلك عند شرح القاعدة.</w:t>
      </w:r>
    </w:p>
  </w:footnote>
  <w:footnote w:id="771">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الشرح الممتع (9/199-200).</w:t>
      </w:r>
    </w:p>
  </w:footnote>
  <w:footnote w:id="772">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التعليق على القواعد والأصول الجامعة (189).</w:t>
      </w:r>
    </w:p>
  </w:footnote>
  <w:footnote w:id="773">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 xml:space="preserve">مجموع </w:t>
      </w:r>
      <w:r>
        <w:rPr>
          <w:rFonts w:ascii="Traditional Arabic" w:hAnsi="Traditional Arabic" w:hint="cs"/>
          <w:sz w:val="32"/>
          <w:szCs w:val="32"/>
          <w:rtl/>
        </w:rPr>
        <w:t>ال</w:t>
      </w:r>
      <w:r w:rsidRPr="00D52088">
        <w:rPr>
          <w:rFonts w:ascii="Traditional Arabic" w:hAnsi="Traditional Arabic"/>
          <w:sz w:val="32"/>
          <w:szCs w:val="32"/>
          <w:rtl/>
        </w:rPr>
        <w:t xml:space="preserve">فتاوى </w:t>
      </w:r>
      <w:r>
        <w:rPr>
          <w:rFonts w:ascii="Traditional Arabic" w:hAnsi="Traditional Arabic" w:hint="cs"/>
          <w:sz w:val="32"/>
          <w:szCs w:val="32"/>
          <w:rtl/>
        </w:rPr>
        <w:t>ل</w:t>
      </w:r>
      <w:r w:rsidRPr="00D52088">
        <w:rPr>
          <w:rFonts w:ascii="Traditional Arabic" w:hAnsi="Traditional Arabic"/>
          <w:sz w:val="32"/>
          <w:szCs w:val="32"/>
          <w:rtl/>
        </w:rPr>
        <w:t>ابن تيمية (34/134)، وانظر إعلام الموقعين (4/326).</w:t>
      </w:r>
    </w:p>
  </w:footnote>
  <w:footnote w:id="774">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تقرير القواع</w:t>
      </w:r>
      <w:r>
        <w:rPr>
          <w:rFonts w:ascii="Traditional Arabic" w:hAnsi="Traditional Arabic" w:hint="cs"/>
          <w:sz w:val="32"/>
          <w:szCs w:val="32"/>
          <w:rtl/>
        </w:rPr>
        <w:t>د</w:t>
      </w:r>
      <w:r w:rsidRPr="00D52088">
        <w:rPr>
          <w:rFonts w:ascii="Traditional Arabic" w:hAnsi="Traditional Arabic"/>
          <w:sz w:val="32"/>
          <w:szCs w:val="32"/>
          <w:rtl/>
        </w:rPr>
        <w:t xml:space="preserve"> لابن رجب (2/74)، وانظر المنثور للزركشي (1/157)</w:t>
      </w:r>
      <w:r>
        <w:rPr>
          <w:rFonts w:ascii="Traditional Arabic" w:hAnsi="Traditional Arabic" w:hint="cs"/>
          <w:sz w:val="32"/>
          <w:szCs w:val="32"/>
          <w:rtl/>
        </w:rPr>
        <w:t>، وموسوعة القواعد الفقهية للبورنو (1/266)</w:t>
      </w:r>
      <w:r w:rsidRPr="00D52088">
        <w:rPr>
          <w:rFonts w:ascii="Traditional Arabic" w:hAnsi="Traditional Arabic"/>
          <w:sz w:val="32"/>
          <w:szCs w:val="32"/>
          <w:rtl/>
        </w:rPr>
        <w:t>.</w:t>
      </w:r>
    </w:p>
  </w:footnote>
  <w:footnote w:id="775">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52088">
        <w:rPr>
          <w:rFonts w:ascii="Traditional Arabic" w:hAnsi="Traditional Arabic"/>
          <w:sz w:val="32"/>
          <w:szCs w:val="32"/>
          <w:rtl/>
        </w:rPr>
        <w:t xml:space="preserve"> القواعد والأصول الجامعة (84).</w:t>
      </w:r>
    </w:p>
  </w:footnote>
  <w:footnote w:id="776">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منظومة القواعد الفقهية مع شرحها لابن سعدي (49).</w:t>
      </w:r>
    </w:p>
  </w:footnote>
  <w:footnote w:id="777">
    <w:p w:rsidR="000D3D21" w:rsidRPr="009F2EEB" w:rsidRDefault="000D3D21" w:rsidP="001946A3">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مقاييس اللغة (6/89</w:t>
      </w:r>
      <w:r>
        <w:rPr>
          <w:rFonts w:ascii="Traditional Arabic" w:hAnsi="Traditional Arabic"/>
          <w:sz w:val="32"/>
          <w:szCs w:val="32"/>
          <w:rtl/>
        </w:rPr>
        <w:t>)</w:t>
      </w:r>
      <w:r>
        <w:rPr>
          <w:rFonts w:ascii="Traditional Arabic" w:hAnsi="Traditional Arabic" w:hint="cs"/>
          <w:sz w:val="32"/>
          <w:szCs w:val="32"/>
          <w:rtl/>
        </w:rPr>
        <w:t>.</w:t>
      </w:r>
    </w:p>
  </w:footnote>
  <w:footnote w:id="778">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المصباح المنير(531).</w:t>
      </w:r>
    </w:p>
  </w:footnote>
  <w:footnote w:id="779">
    <w:p w:rsidR="000D3D21" w:rsidRDefault="000D3D21" w:rsidP="001946A3">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شرح مختصر الروضة لنجم الدين الطوفي (1/265).</w:t>
      </w:r>
    </w:p>
    <w:p w:rsidR="000D3D21" w:rsidRPr="00D52088" w:rsidRDefault="000D3D21" w:rsidP="001946A3">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D52088">
        <w:rPr>
          <w:rFonts w:ascii="Traditional Arabic" w:hAnsi="Traditional Arabic"/>
          <w:sz w:val="32"/>
          <w:szCs w:val="32"/>
          <w:rtl/>
        </w:rPr>
        <w:t xml:space="preserve">قال </w:t>
      </w:r>
      <w:r>
        <w:rPr>
          <w:rFonts w:ascii="Traditional Arabic" w:hAnsi="Traditional Arabic" w:hint="cs"/>
          <w:sz w:val="32"/>
          <w:szCs w:val="32"/>
          <w:rtl/>
        </w:rPr>
        <w:t xml:space="preserve"> نجم الدين </w:t>
      </w:r>
      <w:r w:rsidRPr="00D52088">
        <w:rPr>
          <w:rFonts w:ascii="Traditional Arabic" w:hAnsi="Traditional Arabic"/>
          <w:sz w:val="32"/>
          <w:szCs w:val="32"/>
          <w:rtl/>
        </w:rPr>
        <w:t xml:space="preserve">الطوفي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D52088">
        <w:rPr>
          <w:rFonts w:ascii="Traditional Arabic" w:hAnsi="Traditional Arabic"/>
          <w:sz w:val="32"/>
          <w:szCs w:val="32"/>
          <w:rtl/>
        </w:rPr>
        <w:t xml:space="preserve"> : ( وقولنا:"مطلقا" احترازٌ من الواجب الموسَّع، والمخيَّر، وفرض الكفاية، فإن الترك يلحقها بالجملة، وهو ترك الموسع في بعض أجزاء وقته، وترك بعض أعيان المخير، وترك بعض المكلفين لفرض الكفاية، لكن ذلك ليس تركا مطلقا، إذ الموسع إن تُرِك في بعض أجزاء وقته فُعِلَ في البعض الآخر، والمخير إن تُرك بعض أعيانه، فُعل البعض الآخر، وفرضُ الكفاية إن تركه بعض المكلفين، فعله البعض الآخر).</w:t>
      </w:r>
      <w:r>
        <w:rPr>
          <w:rFonts w:ascii="Traditional Arabic" w:hAnsi="Traditional Arabic" w:hint="cs"/>
          <w:sz w:val="32"/>
          <w:szCs w:val="32"/>
          <w:rtl/>
        </w:rPr>
        <w:t xml:space="preserve"> المرجع السابق.</w:t>
      </w:r>
    </w:p>
  </w:footnote>
  <w:footnote w:id="780">
    <w:p w:rsidR="000D3D21" w:rsidRPr="00D52088" w:rsidRDefault="000D3D21" w:rsidP="001946A3">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انظر هذا التعريف وشرحه ومحترزاته في شرح الأصول من علم الأصول (50-52).</w:t>
      </w:r>
    </w:p>
  </w:footnote>
  <w:footnote w:id="781">
    <w:p w:rsidR="000D3D21" w:rsidRPr="00974DAB" w:rsidRDefault="000D3D21" w:rsidP="001946A3">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 xml:space="preserve">هذا الذي ذكره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D52088">
        <w:rPr>
          <w:rFonts w:ascii="Traditional Arabic" w:hAnsi="Traditional Arabic"/>
          <w:sz w:val="32"/>
          <w:szCs w:val="32"/>
          <w:rtl/>
        </w:rPr>
        <w:t xml:space="preserve"> في التعليق على القواعد والأصول الجامعة، لكنه في الشرح الممتع في مسألة إنفاق المرتهن على الرهن بغير إذن الراهن، ومسألة أداء الضامن الدين عن المضمون عنه، ذكر الحالات الثلاث، </w:t>
      </w:r>
      <w:r>
        <w:rPr>
          <w:rFonts w:ascii="Traditional Arabic" w:hAnsi="Traditional Arabic" w:hint="cs"/>
          <w:sz w:val="32"/>
          <w:szCs w:val="32"/>
          <w:rtl/>
        </w:rPr>
        <w:t>و</w:t>
      </w:r>
      <w:r w:rsidRPr="00D52088">
        <w:rPr>
          <w:rFonts w:ascii="Traditional Arabic" w:hAnsi="Traditional Arabic"/>
          <w:sz w:val="32"/>
          <w:szCs w:val="32"/>
          <w:rtl/>
        </w:rPr>
        <w:t>رجّح أنه لا يرجع إذا نوى التبرُّع، وأما إذا نوى الرجوع</w:t>
      </w:r>
      <w:r>
        <w:rPr>
          <w:rFonts w:ascii="Traditional Arabic" w:hAnsi="Traditional Arabic" w:hint="cs"/>
          <w:sz w:val="32"/>
          <w:szCs w:val="32"/>
          <w:rtl/>
        </w:rPr>
        <w:t>،</w:t>
      </w:r>
      <w:r w:rsidRPr="00D52088">
        <w:rPr>
          <w:rFonts w:ascii="Traditional Arabic" w:hAnsi="Traditional Arabic"/>
          <w:sz w:val="32"/>
          <w:szCs w:val="32"/>
          <w:rtl/>
        </w:rPr>
        <w:t xml:space="preserve"> أو لم ينو شيئا</w:t>
      </w:r>
      <w:r>
        <w:rPr>
          <w:rFonts w:ascii="Traditional Arabic" w:hAnsi="Traditional Arabic" w:hint="cs"/>
          <w:sz w:val="32"/>
          <w:szCs w:val="32"/>
          <w:rtl/>
        </w:rPr>
        <w:t>،</w:t>
      </w:r>
      <w:r w:rsidRPr="00D52088">
        <w:rPr>
          <w:rFonts w:ascii="Traditional Arabic" w:hAnsi="Traditional Arabic"/>
          <w:sz w:val="32"/>
          <w:szCs w:val="32"/>
          <w:rtl/>
        </w:rPr>
        <w:t xml:space="preserve"> فإنه يرجع</w:t>
      </w:r>
      <w:r>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انظر الشرح الممتع (9/177-178، 199).</w:t>
      </w:r>
    </w:p>
  </w:footnote>
  <w:footnote w:id="782">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انظر: الشرح الممتع (9/177، 178، 200)، والتعليق على القواعد والأصول الجامعة (189-190)، ومنظومة القواعد الفقهية وشرحها (49)، والقواعد والأصول الجامعة (84) كلاهما لابن سعدي، وروضة الفوائد</w:t>
      </w:r>
      <w:r>
        <w:rPr>
          <w:rFonts w:ascii="Traditional Arabic" w:hAnsi="Traditional Arabic"/>
          <w:sz w:val="32"/>
          <w:szCs w:val="32"/>
          <w:rtl/>
        </w:rPr>
        <w:t xml:space="preserve"> شرح منظومة القواعد</w:t>
      </w:r>
      <w:r w:rsidRPr="00D52088">
        <w:rPr>
          <w:rFonts w:ascii="Traditional Arabic" w:hAnsi="Traditional Arabic"/>
          <w:sz w:val="32"/>
          <w:szCs w:val="32"/>
          <w:rtl/>
        </w:rPr>
        <w:t xml:space="preserve"> (80).</w:t>
      </w:r>
    </w:p>
  </w:footnote>
  <w:footnote w:id="783">
    <w:p w:rsidR="000D3D21" w:rsidRDefault="000D3D21" w:rsidP="001946A3">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 xml:space="preserve">انظر التعليق على القواعد والأصول الجامعة (189-190)، والقواعد والأصول الجامعة (84). </w:t>
      </w:r>
    </w:p>
    <w:p w:rsidR="000D3D21" w:rsidRPr="00D52088" w:rsidRDefault="000D3D21" w:rsidP="001946A3">
      <w:pPr>
        <w:pStyle w:val="a7"/>
        <w:pageBreakBefore/>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D52088">
        <w:rPr>
          <w:rFonts w:ascii="Traditional Arabic" w:hAnsi="Traditional Arabic"/>
          <w:sz w:val="32"/>
          <w:szCs w:val="32"/>
          <w:rtl/>
        </w:rPr>
        <w:t xml:space="preserve">ذكر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D52088">
        <w:rPr>
          <w:rFonts w:ascii="Traditional Arabic" w:hAnsi="Traditional Arabic"/>
          <w:sz w:val="32"/>
          <w:szCs w:val="32"/>
          <w:rtl/>
        </w:rPr>
        <w:t xml:space="preserve"> مسألة ما إذا أجازه مَن عليه الزكاة فهل يجزئ عنه ذلك ويرجع الدافع على من وجبت عليه الزكاة؟ أم أن ذلك لا يجزئه؟ ورجح الشيخ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D52088">
        <w:rPr>
          <w:rFonts w:ascii="Traditional Arabic" w:hAnsi="Traditional Arabic"/>
          <w:sz w:val="32"/>
          <w:szCs w:val="32"/>
          <w:rtl/>
        </w:rPr>
        <w:t xml:space="preserve"> القول الأول.انظر: الشرح الممتع (9/200-201)، والتعليق على القواعد والأصول الجامعة (190).</w:t>
      </w:r>
    </w:p>
  </w:footnote>
  <w:footnote w:id="784">
    <w:p w:rsidR="000D3D21" w:rsidRPr="002B4380" w:rsidRDefault="000D3D21" w:rsidP="001946A3">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روضة الفوائد</w:t>
      </w:r>
      <w:r>
        <w:rPr>
          <w:rFonts w:ascii="Traditional Arabic" w:hAnsi="Traditional Arabic"/>
          <w:sz w:val="32"/>
          <w:szCs w:val="32"/>
          <w:rtl/>
        </w:rPr>
        <w:t xml:space="preserve"> شرح منظومة القواع</w:t>
      </w:r>
      <w:r>
        <w:rPr>
          <w:rFonts w:ascii="Traditional Arabic" w:hAnsi="Traditional Arabic" w:hint="cs"/>
          <w:sz w:val="32"/>
          <w:szCs w:val="32"/>
          <w:rtl/>
        </w:rPr>
        <w:t>د</w:t>
      </w:r>
      <w:r w:rsidRPr="00D52088">
        <w:rPr>
          <w:rFonts w:ascii="Traditional Arabic" w:hAnsi="Traditional Arabic"/>
          <w:sz w:val="32"/>
          <w:szCs w:val="32"/>
          <w:rtl/>
        </w:rPr>
        <w:t xml:space="preserve"> (80)، وانظر الشرح الممتع (10/358).</w:t>
      </w:r>
    </w:p>
  </w:footnote>
  <w:footnote w:id="785">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إعلام الموقعين (4/319). و</w:t>
      </w:r>
      <w:r>
        <w:rPr>
          <w:rFonts w:ascii="Traditional Arabic" w:hAnsi="Traditional Arabic"/>
          <w:sz w:val="32"/>
          <w:szCs w:val="32"/>
          <w:rtl/>
        </w:rPr>
        <w:t>انظر</w:t>
      </w:r>
      <w:r w:rsidRPr="00D52088">
        <w:rPr>
          <w:rFonts w:ascii="Traditional Arabic" w:hAnsi="Traditional Arabic"/>
          <w:sz w:val="32"/>
          <w:szCs w:val="32"/>
          <w:rtl/>
        </w:rPr>
        <w:t xml:space="preserve">: مجموع </w:t>
      </w:r>
      <w:r>
        <w:rPr>
          <w:rFonts w:ascii="Traditional Arabic" w:hAnsi="Traditional Arabic" w:hint="cs"/>
          <w:sz w:val="32"/>
          <w:szCs w:val="32"/>
          <w:rtl/>
        </w:rPr>
        <w:t>ال</w:t>
      </w:r>
      <w:r w:rsidRPr="00D52088">
        <w:rPr>
          <w:rFonts w:ascii="Traditional Arabic" w:hAnsi="Traditional Arabic"/>
          <w:sz w:val="32"/>
          <w:szCs w:val="32"/>
          <w:rtl/>
        </w:rPr>
        <w:t xml:space="preserve">فتاوى </w:t>
      </w:r>
      <w:r>
        <w:rPr>
          <w:rFonts w:ascii="Traditional Arabic" w:hAnsi="Traditional Arabic" w:hint="cs"/>
          <w:sz w:val="32"/>
          <w:szCs w:val="32"/>
          <w:rtl/>
        </w:rPr>
        <w:t>ل</w:t>
      </w:r>
      <w:r w:rsidRPr="00D52088">
        <w:rPr>
          <w:rFonts w:ascii="Traditional Arabic" w:hAnsi="Traditional Arabic"/>
          <w:sz w:val="32"/>
          <w:szCs w:val="32"/>
          <w:rtl/>
        </w:rPr>
        <w:t>ابن تيمية (20/561)،</w:t>
      </w:r>
      <w:r>
        <w:rPr>
          <w:rFonts w:ascii="Traditional Arabic" w:hAnsi="Traditional Arabic"/>
          <w:sz w:val="32"/>
          <w:szCs w:val="32"/>
          <w:rtl/>
        </w:rPr>
        <w:t xml:space="preserve"> و(30/349)، و(34/134)</w:t>
      </w:r>
      <w:r w:rsidRPr="00D52088">
        <w:rPr>
          <w:rFonts w:ascii="Traditional Arabic" w:hAnsi="Traditional Arabic"/>
          <w:sz w:val="32"/>
          <w:szCs w:val="32"/>
          <w:rtl/>
        </w:rPr>
        <w:t>، والقواعد والضوابط الفقهية للمعاملات المالية عند ابن تيمية (2/299).</w:t>
      </w:r>
    </w:p>
  </w:footnote>
  <w:footnote w:id="786">
    <w:p w:rsidR="000D3D21" w:rsidRPr="003C1718" w:rsidRDefault="000D3D21">
      <w:pPr>
        <w:pStyle w:val="a7"/>
        <w:rPr>
          <w:rFonts w:ascii="Traditional Arabic" w:hAnsi="Traditional Arabic"/>
          <w:sz w:val="32"/>
          <w:szCs w:val="32"/>
          <w:rtl/>
        </w:rPr>
      </w:pPr>
      <w:r w:rsidRPr="003C1718">
        <w:rPr>
          <w:rStyle w:val="af1"/>
          <w:rFonts w:ascii="Traditional Arabic" w:hAnsi="Traditional Arabic"/>
          <w:sz w:val="32"/>
          <w:szCs w:val="32"/>
          <w:vertAlign w:val="baseline"/>
        </w:rPr>
        <w:footnoteRef/>
      </w:r>
      <w:r w:rsidRPr="003C1718">
        <w:rPr>
          <w:rFonts w:ascii="Traditional Arabic" w:hAnsi="Traditional Arabic"/>
          <w:sz w:val="32"/>
          <w:szCs w:val="32"/>
        </w:rPr>
        <w:t>)</w:t>
      </w:r>
      <w:r w:rsidRPr="003C1718">
        <w:rPr>
          <w:rFonts w:ascii="Traditional Arabic" w:hAnsi="Traditional Arabic"/>
          <w:sz w:val="32"/>
          <w:szCs w:val="32"/>
          <w:rtl/>
        </w:rPr>
        <w:t xml:space="preserve">) </w:t>
      </w:r>
      <w:r>
        <w:rPr>
          <w:rFonts w:ascii="Traditional Arabic" w:hAnsi="Traditional Arabic" w:hint="cs"/>
          <w:sz w:val="32"/>
          <w:szCs w:val="32"/>
          <w:rtl/>
        </w:rPr>
        <w:t>أخرجه أحمد في المسند (9/266)، رقم الحديث (4366)، وأبو داوود في كتاب الزكاة، باب عطية من سأل بالله، رقم الحديث (1672)،  والنسائي في السنن الكبرى في كتاب الزكاة، باب من سأل بالله، رقم الحديث (2359)، وغيرهم.والحديث صححه الألباني في إرواء الغليل (6/60).</w:t>
      </w:r>
    </w:p>
  </w:footnote>
  <w:footnote w:id="787">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إعلام الموقعين (4/324).</w:t>
      </w:r>
    </w:p>
  </w:footnote>
  <w:footnote w:id="788">
    <w:p w:rsidR="000D3D21" w:rsidRPr="00C76D96" w:rsidRDefault="000D3D21" w:rsidP="001946A3">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 xml:space="preserve">انظر الشرح الممتع </w:t>
      </w:r>
      <w:r>
        <w:rPr>
          <w:rFonts w:ascii="Traditional Arabic" w:hAnsi="Traditional Arabic"/>
          <w:sz w:val="32"/>
          <w:szCs w:val="32"/>
          <w:rtl/>
        </w:rPr>
        <w:t>(9/175-178)</w:t>
      </w:r>
      <w:r>
        <w:rPr>
          <w:rFonts w:ascii="Traditional Arabic" w:hAnsi="Traditional Arabic" w:hint="cs"/>
          <w:sz w:val="32"/>
          <w:szCs w:val="32"/>
          <w:rtl/>
        </w:rPr>
        <w:t>.</w:t>
      </w:r>
    </w:p>
  </w:footnote>
  <w:footnote w:id="789">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أي: المذهب عند الحنابلة.</w:t>
      </w:r>
      <w:r w:rsidRPr="00D52088">
        <w:rPr>
          <w:rFonts w:ascii="Traditional Arabic" w:hAnsi="Traditional Arabic"/>
          <w:sz w:val="32"/>
          <w:szCs w:val="32"/>
          <w:rtl/>
        </w:rPr>
        <w:t xml:space="preserve"> انظر الإنصاف للمرداوي (13/47).</w:t>
      </w:r>
    </w:p>
  </w:footnote>
  <w:footnote w:id="790">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وهو رواية في المذهب.انظر المرجع السابق (13/48).</w:t>
      </w:r>
    </w:p>
  </w:footnote>
  <w:footnote w:id="791">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لأن الضامن فرع والمضمون عنه هو الأصيل. انظر الشرح الممتع (9/199).</w:t>
      </w:r>
    </w:p>
  </w:footnote>
  <w:footnote w:id="792">
    <w:p w:rsidR="000D3D21" w:rsidRPr="00D52088" w:rsidRDefault="000D3D21" w:rsidP="001946A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52088">
        <w:rPr>
          <w:rFonts w:ascii="Traditional Arabic" w:hAnsi="Traditional Arabic"/>
          <w:sz w:val="32"/>
          <w:szCs w:val="32"/>
          <w:rtl/>
        </w:rPr>
        <w:t>انظر المرجع السابق (9/200).</w:t>
      </w:r>
    </w:p>
  </w:footnote>
  <w:footnote w:id="793">
    <w:p w:rsidR="000D3D21" w:rsidRPr="00D52088" w:rsidRDefault="000D3D21" w:rsidP="00671D28">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52088">
        <w:rPr>
          <w:rFonts w:ascii="Traditional Arabic" w:hAnsi="Traditional Arabic"/>
          <w:b/>
          <w:bCs/>
          <w:sz w:val="32"/>
          <w:szCs w:val="32"/>
          <w:rtl/>
        </w:rPr>
        <w:t>الل</w:t>
      </w:r>
      <w:r>
        <w:rPr>
          <w:rFonts w:ascii="Traditional Arabic" w:hAnsi="Traditional Arabic" w:hint="cs"/>
          <w:b/>
          <w:bCs/>
          <w:sz w:val="32"/>
          <w:szCs w:val="32"/>
          <w:rtl/>
        </w:rPr>
        <w:t>َّ</w:t>
      </w:r>
      <w:r w:rsidRPr="00D52088">
        <w:rPr>
          <w:rFonts w:ascii="Traditional Arabic" w:hAnsi="Traditional Arabic"/>
          <w:b/>
          <w:bCs/>
          <w:sz w:val="32"/>
          <w:szCs w:val="32"/>
          <w:rtl/>
        </w:rPr>
        <w:t>قيط</w:t>
      </w:r>
      <w:r w:rsidR="00AB0B9E">
        <w:rPr>
          <w:rFonts w:ascii="Traditional Arabic" w:hAnsi="Traditional Arabic"/>
          <w:b/>
          <w:bCs/>
          <w:sz w:val="32"/>
          <w:szCs w:val="32"/>
          <w:rtl/>
        </w:rPr>
        <w:fldChar w:fldCharType="begin"/>
      </w:r>
      <w:r>
        <w:instrText xml:space="preserve"> XE "</w:instrText>
      </w:r>
      <w:r w:rsidRPr="00671D28">
        <w:rPr>
          <w:rFonts w:ascii="Traditional Arabic" w:hAnsi="Traditional Arabic"/>
          <w:sz w:val="32"/>
          <w:szCs w:val="32"/>
          <w:rtl/>
        </w:rPr>
        <w:instrText>الل</w:instrText>
      </w:r>
      <w:r w:rsidRPr="00671D28">
        <w:rPr>
          <w:rFonts w:ascii="Traditional Arabic" w:hAnsi="Traditional Arabic" w:hint="cs"/>
          <w:sz w:val="32"/>
          <w:szCs w:val="32"/>
          <w:rtl/>
        </w:rPr>
        <w:instrText>َّ</w:instrText>
      </w:r>
      <w:r w:rsidRPr="00671D28">
        <w:rPr>
          <w:rFonts w:ascii="Traditional Arabic" w:hAnsi="Traditional Arabic"/>
          <w:sz w:val="32"/>
          <w:szCs w:val="32"/>
          <w:rtl/>
        </w:rPr>
        <w:instrText>قيط</w:instrText>
      </w:r>
      <w:r>
        <w:instrText xml:space="preserve">" </w:instrText>
      </w:r>
      <w:r w:rsidRPr="00671D28">
        <w:instrText>\fm</w:instrText>
      </w:r>
      <w:r w:rsidR="00AB0B9E">
        <w:rPr>
          <w:rFonts w:ascii="Traditional Arabic" w:hAnsi="Traditional Arabic"/>
          <w:b/>
          <w:bCs/>
          <w:sz w:val="32"/>
          <w:szCs w:val="32"/>
          <w:rtl/>
        </w:rPr>
        <w:fldChar w:fldCharType="end"/>
      </w:r>
      <w:r w:rsidRPr="00D52088">
        <w:rPr>
          <w:rFonts w:ascii="Traditional Arabic" w:hAnsi="Traditional Arabic"/>
          <w:b/>
          <w:bCs/>
          <w:sz w:val="32"/>
          <w:szCs w:val="32"/>
          <w:rtl/>
        </w:rPr>
        <w:t xml:space="preserve"> لغة: </w:t>
      </w:r>
      <w:r w:rsidRPr="00D52088">
        <w:rPr>
          <w:rFonts w:ascii="Traditional Arabic" w:hAnsi="Traditional Arabic"/>
          <w:sz w:val="32"/>
          <w:szCs w:val="32"/>
          <w:rtl/>
        </w:rPr>
        <w:t xml:space="preserve">فعيل بمعنى مفعول، فهو بمعنى الملقوط، </w:t>
      </w:r>
      <w:r w:rsidRPr="00D52088">
        <w:rPr>
          <w:rFonts w:ascii="Traditional Arabic" w:hAnsi="Traditional Arabic"/>
          <w:noProof w:val="0"/>
          <w:color w:val="auto"/>
          <w:sz w:val="32"/>
          <w:szCs w:val="32"/>
          <w:rtl/>
          <w:lang w:eastAsia="en-US"/>
        </w:rPr>
        <w:t>وقد غلب اللقيط على المولود المنبوذ</w:t>
      </w:r>
      <w:r w:rsidRPr="00D52088">
        <w:rPr>
          <w:rFonts w:ascii="Traditional Arabic" w:hAnsi="Traditional Arabic"/>
          <w:sz w:val="32"/>
          <w:szCs w:val="32"/>
          <w:rtl/>
        </w:rPr>
        <w:t xml:space="preserve">. انظر </w:t>
      </w:r>
      <w:r>
        <w:rPr>
          <w:rFonts w:ascii="Traditional Arabic" w:hAnsi="Traditional Arabic"/>
          <w:sz w:val="32"/>
          <w:szCs w:val="32"/>
          <w:rtl/>
        </w:rPr>
        <w:t>المصباح المنير</w:t>
      </w:r>
      <w:r w:rsidRPr="00D52088">
        <w:rPr>
          <w:rFonts w:ascii="Traditional Arabic" w:hAnsi="Traditional Arabic"/>
          <w:sz w:val="32"/>
          <w:szCs w:val="32"/>
          <w:rtl/>
        </w:rPr>
        <w:t>(</w:t>
      </w:r>
      <w:r>
        <w:rPr>
          <w:rFonts w:ascii="Traditional Arabic" w:hAnsi="Traditional Arabic" w:hint="cs"/>
          <w:sz w:val="32"/>
          <w:szCs w:val="32"/>
          <w:rtl/>
        </w:rPr>
        <w:t>454</w:t>
      </w:r>
      <w:r w:rsidRPr="00D52088">
        <w:rPr>
          <w:rFonts w:ascii="Traditional Arabic" w:hAnsi="Traditional Arabic"/>
          <w:sz w:val="32"/>
          <w:szCs w:val="32"/>
          <w:rtl/>
        </w:rPr>
        <w:t>).</w:t>
      </w:r>
    </w:p>
    <w:p w:rsidR="000D3D21" w:rsidRPr="00D52088" w:rsidRDefault="000D3D21" w:rsidP="001946A3">
      <w:pPr>
        <w:pStyle w:val="a7"/>
        <w:pageBreakBefore/>
        <w:rPr>
          <w:rFonts w:ascii="Traditional Arabic" w:hAnsi="Traditional Arabic"/>
          <w:b/>
          <w:bCs/>
          <w:sz w:val="32"/>
          <w:szCs w:val="32"/>
        </w:rPr>
      </w:pPr>
      <w:r>
        <w:rPr>
          <w:rFonts w:ascii="Traditional Arabic" w:hAnsi="Traditional Arabic" w:hint="cs"/>
          <w:b/>
          <w:bCs/>
          <w:sz w:val="32"/>
          <w:szCs w:val="32"/>
          <w:rtl/>
        </w:rPr>
        <w:t xml:space="preserve">    </w:t>
      </w:r>
      <w:r>
        <w:rPr>
          <w:rFonts w:ascii="Traditional Arabic" w:hAnsi="Traditional Arabic"/>
          <w:b/>
          <w:bCs/>
          <w:sz w:val="32"/>
          <w:szCs w:val="32"/>
          <w:rtl/>
        </w:rPr>
        <w:t xml:space="preserve">اللقيط </w:t>
      </w:r>
      <w:r>
        <w:rPr>
          <w:rFonts w:ascii="Traditional Arabic" w:hAnsi="Traditional Arabic" w:hint="cs"/>
          <w:b/>
          <w:bCs/>
          <w:sz w:val="32"/>
          <w:szCs w:val="32"/>
          <w:rtl/>
        </w:rPr>
        <w:t>شرعا</w:t>
      </w:r>
      <w:r w:rsidRPr="00D52088">
        <w:rPr>
          <w:rFonts w:ascii="Traditional Arabic" w:hAnsi="Traditional Arabic"/>
          <w:b/>
          <w:bCs/>
          <w:sz w:val="32"/>
          <w:szCs w:val="32"/>
          <w:rtl/>
        </w:rPr>
        <w:t xml:space="preserve">: </w:t>
      </w:r>
      <w:r w:rsidRPr="00D52088">
        <w:rPr>
          <w:rFonts w:ascii="Traditional Arabic" w:hAnsi="Traditional Arabic"/>
          <w:noProof w:val="0"/>
          <w:sz w:val="32"/>
          <w:szCs w:val="32"/>
          <w:rtl/>
          <w:lang w:eastAsia="en-US"/>
        </w:rPr>
        <w:t xml:space="preserve">طفلٌ لا يُعرَف نسبُه ولا رِقُّه نُبذ أو ضَلَّ. زاد المستقنع </w:t>
      </w:r>
      <w:r>
        <w:rPr>
          <w:rFonts w:ascii="Traditional Arabic" w:hAnsi="Traditional Arabic" w:hint="cs"/>
          <w:noProof w:val="0"/>
          <w:sz w:val="32"/>
          <w:szCs w:val="32"/>
          <w:rtl/>
          <w:lang w:eastAsia="en-US"/>
        </w:rPr>
        <w:t xml:space="preserve">في اختصار المقنع لشرف الدين موسى بن أحمد الحجاوي </w:t>
      </w:r>
      <w:r w:rsidRPr="00D52088">
        <w:rPr>
          <w:rFonts w:ascii="Traditional Arabic" w:hAnsi="Traditional Arabic"/>
          <w:noProof w:val="0"/>
          <w:sz w:val="32"/>
          <w:szCs w:val="32"/>
          <w:rtl/>
          <w:lang w:eastAsia="en-US"/>
        </w:rPr>
        <w:t>(</w:t>
      </w:r>
      <w:r>
        <w:rPr>
          <w:rFonts w:ascii="Traditional Arabic" w:hAnsi="Traditional Arabic" w:hint="cs"/>
          <w:noProof w:val="0"/>
          <w:sz w:val="32"/>
          <w:szCs w:val="32"/>
          <w:rtl/>
          <w:lang w:eastAsia="en-US"/>
        </w:rPr>
        <w:t>139</w:t>
      </w:r>
      <w:r w:rsidRPr="00D52088">
        <w:rPr>
          <w:rFonts w:ascii="Traditional Arabic" w:hAnsi="Traditional Arabic"/>
          <w:noProof w:val="0"/>
          <w:sz w:val="32"/>
          <w:szCs w:val="32"/>
          <w:rtl/>
          <w:lang w:eastAsia="en-US"/>
        </w:rPr>
        <w:t>).</w:t>
      </w:r>
    </w:p>
  </w:footnote>
  <w:footnote w:id="794">
    <w:p w:rsidR="000D3D21" w:rsidRPr="006F4948" w:rsidRDefault="000D3D21" w:rsidP="001946A3">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D52088">
        <w:rPr>
          <w:rFonts w:ascii="Traditional Arabic" w:hAnsi="Traditional Arabic"/>
          <w:sz w:val="32"/>
          <w:szCs w:val="32"/>
          <w:rtl/>
        </w:rPr>
        <w:t xml:space="preserve"> (10/388).</w:t>
      </w:r>
    </w:p>
  </w:footnote>
  <w:footnote w:id="795">
    <w:p w:rsidR="000D3D21" w:rsidRPr="00DF7FDB" w:rsidRDefault="000D3D21">
      <w:pPr>
        <w:pStyle w:val="a7"/>
        <w:rPr>
          <w:rFonts w:ascii="Traditional Arabic" w:hAnsi="Traditional Arabic"/>
          <w:sz w:val="32"/>
          <w:szCs w:val="32"/>
          <w:rtl/>
        </w:rPr>
      </w:pPr>
      <w:r w:rsidRPr="00DF7FDB">
        <w:rPr>
          <w:rStyle w:val="af1"/>
          <w:rFonts w:ascii="Traditional Arabic" w:hAnsi="Traditional Arabic"/>
          <w:sz w:val="32"/>
          <w:szCs w:val="32"/>
          <w:vertAlign w:val="baseline"/>
        </w:rPr>
        <w:footnoteRef/>
      </w:r>
      <w:r w:rsidRPr="00DF7FDB">
        <w:rPr>
          <w:rFonts w:ascii="Traditional Arabic" w:hAnsi="Traditional Arabic"/>
          <w:sz w:val="32"/>
          <w:szCs w:val="32"/>
        </w:rPr>
        <w:t>)</w:t>
      </w:r>
      <w:r w:rsidRPr="00DF7FDB">
        <w:rPr>
          <w:rFonts w:ascii="Traditional Arabic" w:hAnsi="Traditional Arabic"/>
          <w:sz w:val="32"/>
          <w:szCs w:val="32"/>
          <w:rtl/>
        </w:rPr>
        <w:t xml:space="preserve">) </w:t>
      </w:r>
      <w:r>
        <w:rPr>
          <w:rFonts w:ascii="Traditional Arabic" w:hAnsi="Traditional Arabic" w:hint="cs"/>
          <w:sz w:val="32"/>
          <w:szCs w:val="32"/>
          <w:rtl/>
        </w:rPr>
        <w:t>ليس المقصود بالنية هنا نية الرجوع على الغير بما أنفق، وإنما المقصود نية العمل.</w:t>
      </w:r>
    </w:p>
  </w:footnote>
  <w:footnote w:id="796">
    <w:p w:rsidR="000D3D21" w:rsidRPr="00E208DA" w:rsidRDefault="000D3D21" w:rsidP="005E65EA">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w:t>
      </w:r>
      <w:r w:rsidRPr="00E208DA">
        <w:rPr>
          <w:rFonts w:hint="cs"/>
          <w:sz w:val="32"/>
          <w:szCs w:val="32"/>
          <w:rtl/>
        </w:rPr>
        <w:t>اخترت هذه الصيغة لدلالتها على منع الحيل مع الإيجاز في العبارة،</w:t>
      </w:r>
      <w:r>
        <w:rPr>
          <w:rFonts w:hint="cs"/>
          <w:sz w:val="32"/>
          <w:szCs w:val="32"/>
          <w:rtl/>
        </w:rPr>
        <w:t xml:space="preserve"> و</w:t>
      </w:r>
      <w:r w:rsidRPr="00E208DA">
        <w:rPr>
          <w:rFonts w:hint="cs"/>
          <w:sz w:val="32"/>
          <w:szCs w:val="32"/>
          <w:rtl/>
        </w:rPr>
        <w:t>لا يرِد عليها أن لفظ "الحيل" يشمل الحيل المشروعة</w:t>
      </w:r>
      <w:r>
        <w:rPr>
          <w:rFonts w:hint="cs"/>
          <w:sz w:val="32"/>
          <w:szCs w:val="32"/>
          <w:rtl/>
        </w:rPr>
        <w:t xml:space="preserve"> وغير المشروعة؛ لأن المقصود من</w:t>
      </w:r>
      <w:r w:rsidRPr="00E208DA">
        <w:rPr>
          <w:rFonts w:hint="cs"/>
          <w:sz w:val="32"/>
          <w:szCs w:val="32"/>
          <w:rtl/>
        </w:rPr>
        <w:t xml:space="preserve"> </w:t>
      </w:r>
      <w:r>
        <w:rPr>
          <w:rFonts w:hint="cs"/>
          <w:sz w:val="32"/>
          <w:szCs w:val="32"/>
          <w:rtl/>
        </w:rPr>
        <w:t xml:space="preserve">لفظ الحيل </w:t>
      </w:r>
      <w:r w:rsidRPr="00E208DA">
        <w:rPr>
          <w:rFonts w:hint="cs"/>
          <w:sz w:val="32"/>
          <w:szCs w:val="32"/>
          <w:rtl/>
        </w:rPr>
        <w:t>عند الإطلاق الحيل المحرّمة كما سيأتي عند شرح القاعدة.</w:t>
      </w:r>
    </w:p>
  </w:footnote>
  <w:footnote w:id="797">
    <w:p w:rsidR="000D3D21" w:rsidRPr="00E208DA" w:rsidRDefault="000D3D21" w:rsidP="005E65EA">
      <w:pPr>
        <w:pStyle w:val="a7"/>
        <w:rPr>
          <w:rFonts w:ascii="Traditional Arabic" w:hAnsi="Traditional Arabic"/>
          <w:sz w:val="32"/>
          <w:szCs w:val="32"/>
          <w:rtl/>
        </w:rPr>
      </w:pPr>
      <w:r w:rsidRPr="00E208DA">
        <w:rPr>
          <w:rStyle w:val="af1"/>
          <w:rFonts w:ascii="Traditional Arabic" w:hAnsi="Traditional Arabic"/>
          <w:sz w:val="32"/>
          <w:szCs w:val="32"/>
          <w:vertAlign w:val="baseline"/>
        </w:rPr>
        <w:footnoteRef/>
      </w:r>
      <w:r w:rsidRPr="00E208DA">
        <w:rPr>
          <w:rFonts w:ascii="Traditional Arabic" w:hAnsi="Traditional Arabic"/>
          <w:sz w:val="32"/>
          <w:szCs w:val="32"/>
        </w:rPr>
        <w:t>)</w:t>
      </w:r>
      <w:r w:rsidRPr="00E208DA">
        <w:rPr>
          <w:rFonts w:ascii="Traditional Arabic" w:hAnsi="Traditional Arabic"/>
          <w:sz w:val="32"/>
          <w:szCs w:val="32"/>
          <w:rtl/>
        </w:rPr>
        <w:t xml:space="preserve">) </w:t>
      </w:r>
      <w:r w:rsidRPr="00E208DA">
        <w:rPr>
          <w:rFonts w:ascii="Traditional Arabic" w:hAnsi="Traditional Arabic" w:hint="cs"/>
          <w:sz w:val="32"/>
          <w:szCs w:val="32"/>
          <w:rtl/>
        </w:rPr>
        <w:t>الشرح الممتع (4/365)،</w:t>
      </w:r>
      <w:r>
        <w:rPr>
          <w:rFonts w:ascii="Traditional Arabic" w:hAnsi="Traditional Arabic" w:hint="cs"/>
          <w:sz w:val="32"/>
          <w:szCs w:val="32"/>
          <w:rtl/>
        </w:rPr>
        <w:t xml:space="preserve"> و</w:t>
      </w:r>
      <w:r w:rsidRPr="00E208DA">
        <w:rPr>
          <w:rFonts w:ascii="Traditional Arabic" w:hAnsi="Traditional Arabic" w:hint="cs"/>
          <w:sz w:val="32"/>
          <w:szCs w:val="32"/>
          <w:rtl/>
        </w:rPr>
        <w:t>انظر مجموع فتاوى</w:t>
      </w:r>
      <w:r>
        <w:rPr>
          <w:rFonts w:ascii="Traditional Arabic" w:hAnsi="Traditional Arabic" w:hint="cs"/>
          <w:sz w:val="32"/>
          <w:szCs w:val="32"/>
          <w:rtl/>
        </w:rPr>
        <w:t xml:space="preserve"> و</w:t>
      </w:r>
      <w:r w:rsidRPr="00E208DA">
        <w:rPr>
          <w:rFonts w:ascii="Traditional Arabic" w:hAnsi="Traditional Arabic" w:hint="cs"/>
          <w:sz w:val="32"/>
          <w:szCs w:val="32"/>
          <w:rtl/>
        </w:rPr>
        <w:t>رسائل ابن عثيمين (22/84).</w:t>
      </w:r>
    </w:p>
  </w:footnote>
  <w:footnote w:id="798">
    <w:p w:rsidR="000D3D21" w:rsidRPr="00E208DA" w:rsidRDefault="000D3D21" w:rsidP="005E65EA">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w:t>
      </w:r>
      <w:r w:rsidRPr="00E208DA">
        <w:rPr>
          <w:rFonts w:hint="cs"/>
          <w:sz w:val="32"/>
          <w:szCs w:val="32"/>
          <w:rtl/>
        </w:rPr>
        <w:t>المرجع السابق (6/40)، وانظر (7/97)،</w:t>
      </w:r>
      <w:r>
        <w:rPr>
          <w:rFonts w:hint="cs"/>
          <w:sz w:val="32"/>
          <w:szCs w:val="32"/>
          <w:rtl/>
        </w:rPr>
        <w:t xml:space="preserve"> و</w:t>
      </w:r>
      <w:r w:rsidRPr="00E208DA">
        <w:rPr>
          <w:rFonts w:hint="cs"/>
          <w:sz w:val="32"/>
          <w:szCs w:val="32"/>
          <w:rtl/>
        </w:rPr>
        <w:t>فتح ذي الجلال</w:t>
      </w:r>
      <w:r>
        <w:rPr>
          <w:rFonts w:hint="cs"/>
          <w:sz w:val="32"/>
          <w:szCs w:val="32"/>
          <w:rtl/>
        </w:rPr>
        <w:t xml:space="preserve"> و</w:t>
      </w:r>
      <w:r w:rsidRPr="00E208DA">
        <w:rPr>
          <w:rFonts w:hint="cs"/>
          <w:sz w:val="32"/>
          <w:szCs w:val="32"/>
          <w:rtl/>
        </w:rPr>
        <w:t>الإكرام (6/43، 44)، ومجموع فتاوى ورسائل ابن عثيمين (29/400).</w:t>
      </w:r>
      <w:r>
        <w:rPr>
          <w:rFonts w:hint="cs"/>
          <w:sz w:val="32"/>
          <w:szCs w:val="32"/>
          <w:rtl/>
        </w:rPr>
        <w:t xml:space="preserve"> و</w:t>
      </w:r>
      <w:r w:rsidRPr="00E208DA">
        <w:rPr>
          <w:rFonts w:hint="cs"/>
          <w:sz w:val="32"/>
          <w:szCs w:val="32"/>
          <w:rtl/>
        </w:rPr>
        <w:t xml:space="preserve">قال الشيخ </w:t>
      </w:r>
      <w:r>
        <w:rPr>
          <w:rFonts w:hint="cs"/>
          <w:sz w:val="32"/>
          <w:szCs w:val="32"/>
          <w:rtl/>
        </w:rPr>
        <w:t>_</w:t>
      </w:r>
      <w:r>
        <w:rPr>
          <w:rFonts w:ascii="Traditional Arabic" w:hAnsi="Traditional Arabic" w:cs="CTraditional Arabic" w:hint="cs"/>
          <w:rtl/>
        </w:rPr>
        <w:t>/</w:t>
      </w:r>
      <w:r>
        <w:rPr>
          <w:rFonts w:hint="cs"/>
          <w:sz w:val="32"/>
          <w:szCs w:val="32"/>
          <w:rtl/>
        </w:rPr>
        <w:t>_ عن هذه القاعدة:(و</w:t>
      </w:r>
      <w:r w:rsidRPr="00E208DA">
        <w:rPr>
          <w:rFonts w:hint="cs"/>
          <w:sz w:val="32"/>
          <w:szCs w:val="32"/>
          <w:rtl/>
        </w:rPr>
        <w:t>هذه قاعدة الحيل ).</w:t>
      </w:r>
      <w:r>
        <w:rPr>
          <w:rFonts w:hint="cs"/>
          <w:sz w:val="32"/>
          <w:szCs w:val="32"/>
          <w:rtl/>
        </w:rPr>
        <w:t xml:space="preserve"> </w:t>
      </w:r>
      <w:r w:rsidRPr="00E208DA">
        <w:rPr>
          <w:rFonts w:hint="cs"/>
          <w:sz w:val="32"/>
          <w:szCs w:val="32"/>
          <w:rtl/>
        </w:rPr>
        <w:t>انظر الشرح الممتع(6/41).</w:t>
      </w:r>
    </w:p>
  </w:footnote>
  <w:footnote w:id="799">
    <w:p w:rsidR="000D3D21" w:rsidRPr="00E208DA" w:rsidRDefault="000D3D21" w:rsidP="005E65EA">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w:t>
      </w:r>
      <w:r w:rsidRPr="00E208DA">
        <w:rPr>
          <w:rFonts w:hint="cs"/>
          <w:sz w:val="32"/>
          <w:szCs w:val="32"/>
          <w:rtl/>
        </w:rPr>
        <w:t>المرجع السابق (8/207)،</w:t>
      </w:r>
      <w:r>
        <w:rPr>
          <w:rFonts w:hint="cs"/>
          <w:sz w:val="32"/>
          <w:szCs w:val="32"/>
          <w:rtl/>
        </w:rPr>
        <w:t xml:space="preserve"> و</w:t>
      </w:r>
      <w:r w:rsidRPr="00E208DA">
        <w:rPr>
          <w:rFonts w:hint="cs"/>
          <w:sz w:val="32"/>
          <w:szCs w:val="32"/>
          <w:rtl/>
        </w:rPr>
        <w:t>(10/100)، وانظر مجموع فتاوى ورسائل ابن عثيمين (29/212، 265).</w:t>
      </w:r>
    </w:p>
  </w:footnote>
  <w:footnote w:id="800">
    <w:p w:rsidR="000D3D21" w:rsidRPr="00E208DA" w:rsidRDefault="000D3D21" w:rsidP="005E65EA">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w:t>
      </w:r>
      <w:r w:rsidRPr="00E208DA">
        <w:rPr>
          <w:rFonts w:hint="cs"/>
          <w:sz w:val="32"/>
          <w:szCs w:val="32"/>
          <w:rtl/>
        </w:rPr>
        <w:t>الشرح الممتع (8/451)،</w:t>
      </w:r>
      <w:r>
        <w:rPr>
          <w:rFonts w:hint="cs"/>
          <w:sz w:val="32"/>
          <w:szCs w:val="32"/>
          <w:rtl/>
        </w:rPr>
        <w:t xml:space="preserve"> و</w:t>
      </w:r>
      <w:r w:rsidRPr="00E208DA">
        <w:rPr>
          <w:rFonts w:hint="cs"/>
          <w:sz w:val="32"/>
          <w:szCs w:val="32"/>
          <w:rtl/>
        </w:rPr>
        <w:t>انظر (8/213).</w:t>
      </w:r>
    </w:p>
  </w:footnote>
  <w:footnote w:id="801">
    <w:p w:rsidR="000D3D21" w:rsidRPr="00E208DA" w:rsidRDefault="000D3D21" w:rsidP="005E65EA">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w:t>
      </w:r>
      <w:r w:rsidRPr="00E208DA">
        <w:rPr>
          <w:rFonts w:hint="cs"/>
          <w:sz w:val="32"/>
          <w:szCs w:val="32"/>
          <w:rtl/>
        </w:rPr>
        <w:t>المرجع السابق (10/241)، وانظر مجموع فتاوى ورسائل ابن عثيمين (29/307).</w:t>
      </w:r>
    </w:p>
  </w:footnote>
  <w:footnote w:id="802">
    <w:p w:rsidR="000D3D21" w:rsidRPr="00E208DA" w:rsidRDefault="000D3D21" w:rsidP="005E65EA">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شرح منظومة أصول الفقه وقواعده</w:t>
      </w:r>
      <w:r w:rsidRPr="00E208DA">
        <w:rPr>
          <w:rFonts w:hint="cs"/>
          <w:sz w:val="32"/>
          <w:szCs w:val="32"/>
          <w:rtl/>
        </w:rPr>
        <w:t xml:space="preserve"> (230)</w:t>
      </w:r>
      <w:r>
        <w:rPr>
          <w:rFonts w:hint="cs"/>
          <w:sz w:val="32"/>
          <w:szCs w:val="32"/>
          <w:rtl/>
        </w:rPr>
        <w:t xml:space="preserve"> بتصرف</w:t>
      </w:r>
      <w:r w:rsidRPr="00E208DA">
        <w:rPr>
          <w:rFonts w:hint="cs"/>
          <w:sz w:val="32"/>
          <w:szCs w:val="32"/>
          <w:rtl/>
        </w:rPr>
        <w:t>،</w:t>
      </w:r>
      <w:r>
        <w:rPr>
          <w:rFonts w:hint="cs"/>
          <w:sz w:val="32"/>
          <w:szCs w:val="32"/>
          <w:rtl/>
        </w:rPr>
        <w:t xml:space="preserve"> و</w:t>
      </w:r>
      <w:r w:rsidRPr="00E208DA">
        <w:rPr>
          <w:rFonts w:hint="cs"/>
          <w:sz w:val="32"/>
          <w:szCs w:val="32"/>
          <w:rtl/>
        </w:rPr>
        <w:t xml:space="preserve">انظر التعليق على </w:t>
      </w:r>
      <w:r>
        <w:rPr>
          <w:rFonts w:hint="cs"/>
          <w:sz w:val="32"/>
          <w:szCs w:val="32"/>
          <w:rtl/>
        </w:rPr>
        <w:t>ال</w:t>
      </w:r>
      <w:r w:rsidRPr="00E208DA">
        <w:rPr>
          <w:rFonts w:hint="cs"/>
          <w:sz w:val="32"/>
          <w:szCs w:val="32"/>
          <w:rtl/>
        </w:rPr>
        <w:t xml:space="preserve">قواعد </w:t>
      </w:r>
      <w:r>
        <w:rPr>
          <w:rFonts w:hint="cs"/>
          <w:sz w:val="32"/>
          <w:szCs w:val="32"/>
          <w:rtl/>
        </w:rPr>
        <w:t>والأصول الجامعة</w:t>
      </w:r>
      <w:r w:rsidRPr="00E208DA">
        <w:rPr>
          <w:rFonts w:hint="cs"/>
          <w:sz w:val="32"/>
          <w:szCs w:val="32"/>
          <w:rtl/>
        </w:rPr>
        <w:t xml:space="preserve"> (42).</w:t>
      </w:r>
    </w:p>
  </w:footnote>
  <w:footnote w:id="803">
    <w:p w:rsidR="000D3D21" w:rsidRPr="00E049A7" w:rsidRDefault="000D3D21" w:rsidP="005E65E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049A7">
        <w:rPr>
          <w:rFonts w:ascii="Traditional Arabic" w:hAnsi="Traditional Arabic"/>
          <w:sz w:val="32"/>
          <w:szCs w:val="32"/>
          <w:rtl/>
        </w:rPr>
        <w:t>منظومة أصول الفقه وقواعده (13).</w:t>
      </w:r>
    </w:p>
  </w:footnote>
  <w:footnote w:id="804">
    <w:p w:rsidR="000D3D21" w:rsidRPr="00E208DA" w:rsidRDefault="000D3D21" w:rsidP="00D77425">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w:t>
      </w:r>
      <w:r w:rsidRPr="00E208DA">
        <w:rPr>
          <w:rFonts w:hint="cs"/>
          <w:sz w:val="32"/>
          <w:szCs w:val="32"/>
          <w:rtl/>
        </w:rPr>
        <w:t>بعض العلماء أورد تطبيقات قاعدة الحيل تحت قاعدة" المعاملة بنقيض المقصود"،</w:t>
      </w:r>
      <w:r>
        <w:rPr>
          <w:rFonts w:hint="cs"/>
          <w:sz w:val="32"/>
          <w:szCs w:val="32"/>
          <w:rtl/>
        </w:rPr>
        <w:t xml:space="preserve"> و</w:t>
      </w:r>
      <w:r w:rsidRPr="00E208DA">
        <w:rPr>
          <w:rFonts w:hint="cs"/>
          <w:sz w:val="32"/>
          <w:szCs w:val="32"/>
          <w:rtl/>
        </w:rPr>
        <w:t xml:space="preserve">أوردها الشيخ عبدالرحمن السعدي </w:t>
      </w:r>
      <w:r>
        <w:rPr>
          <w:rFonts w:hint="cs"/>
          <w:sz w:val="32"/>
          <w:szCs w:val="32"/>
          <w:rtl/>
        </w:rPr>
        <w:t>_</w:t>
      </w:r>
      <w:r>
        <w:rPr>
          <w:rFonts w:ascii="Traditional Arabic" w:hAnsi="Traditional Arabic" w:cs="CTraditional Arabic" w:hint="cs"/>
          <w:rtl/>
        </w:rPr>
        <w:t>/</w:t>
      </w:r>
      <w:r>
        <w:rPr>
          <w:rFonts w:hint="cs"/>
          <w:sz w:val="32"/>
          <w:szCs w:val="32"/>
          <w:rtl/>
        </w:rPr>
        <w:t>_</w:t>
      </w:r>
      <w:r w:rsidRPr="00E208DA">
        <w:rPr>
          <w:rFonts w:hint="cs"/>
          <w:sz w:val="32"/>
          <w:szCs w:val="32"/>
          <w:rtl/>
        </w:rPr>
        <w:t xml:space="preserve"> ضِمْنَ قاعدة"الوسائل لها أحكام المقاصد".</w:t>
      </w:r>
      <w:r>
        <w:rPr>
          <w:rFonts w:hint="cs"/>
          <w:sz w:val="32"/>
          <w:szCs w:val="32"/>
          <w:rtl/>
        </w:rPr>
        <w:t xml:space="preserve"> </w:t>
      </w:r>
      <w:r w:rsidRPr="00E208DA">
        <w:rPr>
          <w:rFonts w:hint="cs"/>
          <w:sz w:val="32"/>
          <w:szCs w:val="32"/>
          <w:rtl/>
        </w:rPr>
        <w:t>انظر:قاعدة "من استعجل الشيء قبل أوانه عوقب بحرمانه" دراسة تأصيلية تطبيقية للدكتور ناصر الغامدي (24، 43، 44)،</w:t>
      </w:r>
      <w:r>
        <w:rPr>
          <w:rFonts w:hint="cs"/>
          <w:sz w:val="32"/>
          <w:szCs w:val="32"/>
          <w:rtl/>
        </w:rPr>
        <w:t xml:space="preserve"> و</w:t>
      </w:r>
      <w:r w:rsidRPr="00E208DA">
        <w:rPr>
          <w:rFonts w:hint="cs"/>
          <w:sz w:val="32"/>
          <w:szCs w:val="32"/>
          <w:rtl/>
        </w:rPr>
        <w:t>القواعد</w:t>
      </w:r>
      <w:r>
        <w:rPr>
          <w:rFonts w:hint="cs"/>
          <w:sz w:val="32"/>
          <w:szCs w:val="32"/>
          <w:rtl/>
        </w:rPr>
        <w:t xml:space="preserve"> و</w:t>
      </w:r>
      <w:r w:rsidRPr="00E208DA">
        <w:rPr>
          <w:rFonts w:hint="cs"/>
          <w:sz w:val="32"/>
          <w:szCs w:val="32"/>
          <w:rtl/>
        </w:rPr>
        <w:t>لأصول الجامعة (31)،</w:t>
      </w:r>
      <w:r>
        <w:rPr>
          <w:rFonts w:hint="cs"/>
          <w:sz w:val="32"/>
          <w:szCs w:val="32"/>
          <w:rtl/>
        </w:rPr>
        <w:t xml:space="preserve"> والقواعد الفقهية</w:t>
      </w:r>
      <w:r w:rsidRPr="00E208DA">
        <w:rPr>
          <w:rFonts w:hint="cs"/>
          <w:sz w:val="32"/>
          <w:szCs w:val="32"/>
          <w:rtl/>
        </w:rPr>
        <w:t xml:space="preserve"> (65) </w:t>
      </w:r>
      <w:r>
        <w:rPr>
          <w:rFonts w:hint="cs"/>
          <w:sz w:val="32"/>
          <w:szCs w:val="32"/>
          <w:rtl/>
        </w:rPr>
        <w:t>كلاهما للسعدي</w:t>
      </w:r>
      <w:r w:rsidRPr="00E208DA">
        <w:rPr>
          <w:rFonts w:hint="cs"/>
          <w:sz w:val="32"/>
          <w:szCs w:val="32"/>
          <w:rtl/>
        </w:rPr>
        <w:t>.</w:t>
      </w:r>
    </w:p>
  </w:footnote>
  <w:footnote w:id="805">
    <w:p w:rsidR="000D3D21" w:rsidRPr="00E208DA" w:rsidRDefault="000D3D21" w:rsidP="005E65EA">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w:t>
      </w:r>
      <w:r w:rsidRPr="00E208DA">
        <w:rPr>
          <w:rFonts w:hint="cs"/>
          <w:sz w:val="32"/>
          <w:szCs w:val="32"/>
          <w:rtl/>
        </w:rPr>
        <w:t>بيان الدليل في بطلان التحليل لابن تيمية (175).</w:t>
      </w:r>
      <w:r>
        <w:rPr>
          <w:rFonts w:hint="cs"/>
          <w:sz w:val="32"/>
          <w:szCs w:val="32"/>
          <w:rtl/>
        </w:rPr>
        <w:t xml:space="preserve"> و</w:t>
      </w:r>
      <w:r w:rsidRPr="00E208DA">
        <w:rPr>
          <w:rFonts w:hint="cs"/>
          <w:sz w:val="32"/>
          <w:szCs w:val="32"/>
          <w:rtl/>
        </w:rPr>
        <w:t>انظر القواعد</w:t>
      </w:r>
      <w:r>
        <w:rPr>
          <w:rFonts w:hint="cs"/>
          <w:sz w:val="32"/>
          <w:szCs w:val="32"/>
          <w:rtl/>
        </w:rPr>
        <w:t xml:space="preserve"> و</w:t>
      </w:r>
      <w:r w:rsidRPr="00E208DA">
        <w:rPr>
          <w:rFonts w:hint="cs"/>
          <w:sz w:val="32"/>
          <w:szCs w:val="32"/>
          <w:rtl/>
        </w:rPr>
        <w:t>الضوابط الفقهية عند شيخ الإسلام ابن تيمية في المعاملات المالية لعبد السلام الحصين (1/385).</w:t>
      </w:r>
    </w:p>
  </w:footnote>
  <w:footnote w:id="806">
    <w:p w:rsidR="000D3D21" w:rsidRPr="00E208DA" w:rsidRDefault="000D3D21" w:rsidP="005E65EA">
      <w:pPr>
        <w:pStyle w:val="a7"/>
        <w:rPr>
          <w:sz w:val="32"/>
          <w:szCs w:val="32"/>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sidRPr="00E208DA">
        <w:rPr>
          <w:rFonts w:hint="cs"/>
          <w:sz w:val="32"/>
          <w:szCs w:val="32"/>
          <w:rtl/>
        </w:rPr>
        <w:t xml:space="preserve"> إعلام الموقعين (5/108)،</w:t>
      </w:r>
      <w:r>
        <w:rPr>
          <w:rFonts w:hint="cs"/>
          <w:sz w:val="32"/>
          <w:szCs w:val="32"/>
          <w:rtl/>
        </w:rPr>
        <w:t xml:space="preserve"> و</w:t>
      </w:r>
      <w:r w:rsidRPr="00E208DA">
        <w:rPr>
          <w:rFonts w:hint="cs"/>
          <w:sz w:val="32"/>
          <w:szCs w:val="32"/>
          <w:rtl/>
        </w:rPr>
        <w:t>انظر القواعد</w:t>
      </w:r>
      <w:r>
        <w:rPr>
          <w:rFonts w:hint="cs"/>
          <w:sz w:val="32"/>
          <w:szCs w:val="32"/>
          <w:rtl/>
        </w:rPr>
        <w:t xml:space="preserve"> و</w:t>
      </w:r>
      <w:r w:rsidRPr="00E208DA">
        <w:rPr>
          <w:rFonts w:hint="cs"/>
          <w:sz w:val="32"/>
          <w:szCs w:val="32"/>
          <w:rtl/>
        </w:rPr>
        <w:t>الضوابط الفقهية عند  ابن القيم في فقه الأسرة</w:t>
      </w:r>
      <w:r>
        <w:rPr>
          <w:rFonts w:hint="cs"/>
          <w:sz w:val="32"/>
          <w:szCs w:val="32"/>
          <w:rtl/>
        </w:rPr>
        <w:t xml:space="preserve"> </w:t>
      </w:r>
      <w:r w:rsidRPr="00E208DA">
        <w:rPr>
          <w:rFonts w:hint="cs"/>
          <w:sz w:val="32"/>
          <w:szCs w:val="32"/>
          <w:rtl/>
        </w:rPr>
        <w:t>(216).</w:t>
      </w:r>
    </w:p>
  </w:footnote>
  <w:footnote w:id="807">
    <w:p w:rsidR="000D3D21" w:rsidRDefault="000D3D21" w:rsidP="005E65EA">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w:t>
      </w:r>
      <w:r w:rsidRPr="00E208DA">
        <w:rPr>
          <w:rFonts w:hint="cs"/>
          <w:sz w:val="32"/>
          <w:szCs w:val="32"/>
          <w:rtl/>
        </w:rPr>
        <w:t>الموافقات (3/27، 28).</w:t>
      </w:r>
    </w:p>
    <w:p w:rsidR="000D3D21" w:rsidRPr="00E208DA" w:rsidRDefault="000D3D21" w:rsidP="005E65EA">
      <w:pPr>
        <w:pStyle w:val="a7"/>
        <w:rPr>
          <w:sz w:val="32"/>
          <w:szCs w:val="32"/>
          <w:rtl/>
        </w:rPr>
      </w:pPr>
      <w:r>
        <w:rPr>
          <w:rFonts w:hint="cs"/>
          <w:sz w:val="32"/>
          <w:szCs w:val="32"/>
          <w:rtl/>
        </w:rPr>
        <w:t xml:space="preserve">     </w:t>
      </w:r>
      <w:r>
        <w:rPr>
          <w:rFonts w:hint="cs"/>
          <w:b/>
          <w:bCs/>
          <w:sz w:val="32"/>
          <w:szCs w:val="32"/>
          <w:rtl/>
        </w:rPr>
        <w:t xml:space="preserve">تنبيه: </w:t>
      </w:r>
      <w:r w:rsidRPr="00E208DA">
        <w:rPr>
          <w:rFonts w:hint="cs"/>
          <w:sz w:val="32"/>
          <w:szCs w:val="32"/>
          <w:rtl/>
        </w:rPr>
        <w:t>هذه الصيغة دلالتها أعمّ لشمولها لكل قَصْد مُخالِف للشرع، إلا أنها تشمل الحيل</w:t>
      </w:r>
      <w:r>
        <w:rPr>
          <w:rFonts w:hint="cs"/>
          <w:sz w:val="32"/>
          <w:szCs w:val="32"/>
          <w:rtl/>
        </w:rPr>
        <w:t xml:space="preserve"> و</w:t>
      </w:r>
      <w:r w:rsidRPr="00E208DA">
        <w:rPr>
          <w:rFonts w:hint="cs"/>
          <w:sz w:val="32"/>
          <w:szCs w:val="32"/>
          <w:rtl/>
        </w:rPr>
        <w:t>إبطالها. انظر القواعد الفقهية المستخرجة من كتاب إعلام الموقعين لعبد المجيد جمعة (238).</w:t>
      </w:r>
    </w:p>
  </w:footnote>
  <w:footnote w:id="808">
    <w:p w:rsidR="000D3D21" w:rsidRDefault="000D3D21" w:rsidP="005E65EA">
      <w:pPr>
        <w:pStyle w:val="a7"/>
        <w:rPr>
          <w:sz w:val="32"/>
          <w:szCs w:val="32"/>
          <w:rtl/>
        </w:rPr>
      </w:pPr>
      <w:r w:rsidRPr="00E208DA">
        <w:rPr>
          <w:rStyle w:val="af1"/>
          <w:rFonts w:ascii="Traditional Arabic" w:hAnsi="Traditional Arabic"/>
          <w:sz w:val="32"/>
          <w:szCs w:val="32"/>
          <w:vertAlign w:val="baseline"/>
        </w:rPr>
        <w:footnoteRef/>
      </w:r>
      <w:r w:rsidRPr="00E208DA">
        <w:rPr>
          <w:rStyle w:val="af1"/>
          <w:rFonts w:ascii="Traditional Arabic" w:hAnsi="Traditional Arabic"/>
          <w:sz w:val="32"/>
          <w:szCs w:val="32"/>
          <w:vertAlign w:val="baseline"/>
        </w:rPr>
        <w:t>)</w:t>
      </w:r>
      <w:r w:rsidRPr="00E208DA">
        <w:rPr>
          <w:rStyle w:val="af1"/>
          <w:rFonts w:ascii="Traditional Arabic" w:hAnsi="Traditional Arabic" w:hint="cs"/>
          <w:sz w:val="32"/>
          <w:szCs w:val="32"/>
          <w:vertAlign w:val="baseline"/>
          <w:rtl/>
        </w:rPr>
        <w:t>)</w:t>
      </w:r>
      <w:r>
        <w:rPr>
          <w:rFonts w:hint="cs"/>
          <w:sz w:val="32"/>
          <w:szCs w:val="32"/>
          <w:rtl/>
        </w:rPr>
        <w:t xml:space="preserve"> </w:t>
      </w:r>
      <w:r w:rsidRPr="00E208DA">
        <w:rPr>
          <w:rFonts w:hint="cs"/>
          <w:sz w:val="32"/>
          <w:szCs w:val="32"/>
          <w:rtl/>
        </w:rPr>
        <w:t xml:space="preserve">تقرير القواعد لابن رجب (2/401). </w:t>
      </w:r>
    </w:p>
    <w:p w:rsidR="000D3D21" w:rsidRDefault="000D3D21" w:rsidP="005E65EA">
      <w:pPr>
        <w:pStyle w:val="a7"/>
        <w:rPr>
          <w:sz w:val="32"/>
          <w:szCs w:val="32"/>
          <w:rtl/>
        </w:rPr>
      </w:pPr>
      <w:r>
        <w:rPr>
          <w:rFonts w:hint="cs"/>
          <w:sz w:val="32"/>
          <w:szCs w:val="32"/>
          <w:rtl/>
        </w:rPr>
        <w:t xml:space="preserve">     </w:t>
      </w:r>
      <w:r>
        <w:rPr>
          <w:rFonts w:hint="cs"/>
          <w:b/>
          <w:bCs/>
          <w:sz w:val="32"/>
          <w:szCs w:val="32"/>
          <w:rtl/>
        </w:rPr>
        <w:t xml:space="preserve">تنبيه: </w:t>
      </w:r>
      <w:r w:rsidRPr="00E208DA">
        <w:rPr>
          <w:rFonts w:hint="cs"/>
          <w:sz w:val="32"/>
          <w:szCs w:val="32"/>
          <w:rtl/>
        </w:rPr>
        <w:t>هذه القاعدة لها علاقة بقاعدة الحيل من جهة إسقاط الواجبات على وجه محرّم،</w:t>
      </w:r>
      <w:r>
        <w:rPr>
          <w:rFonts w:hint="cs"/>
          <w:sz w:val="32"/>
          <w:szCs w:val="32"/>
          <w:rtl/>
        </w:rPr>
        <w:t xml:space="preserve"> و</w:t>
      </w:r>
      <w:r w:rsidRPr="00E208DA">
        <w:rPr>
          <w:rFonts w:hint="cs"/>
          <w:sz w:val="32"/>
          <w:szCs w:val="32"/>
          <w:rtl/>
        </w:rPr>
        <w:t>الله أعلم.</w:t>
      </w:r>
    </w:p>
    <w:p w:rsidR="000D3D21" w:rsidRPr="00E208DA" w:rsidRDefault="000D3D21" w:rsidP="005E65EA">
      <w:pPr>
        <w:pStyle w:val="a7"/>
        <w:rPr>
          <w:sz w:val="32"/>
          <w:szCs w:val="32"/>
        </w:rPr>
      </w:pPr>
      <w:r>
        <w:rPr>
          <w:rFonts w:hint="cs"/>
          <w:b/>
          <w:bCs/>
          <w:sz w:val="32"/>
          <w:szCs w:val="32"/>
          <w:rtl/>
        </w:rPr>
        <w:t xml:space="preserve">    </w:t>
      </w:r>
      <w:r w:rsidRPr="00E208DA">
        <w:rPr>
          <w:rFonts w:hint="cs"/>
          <w:sz w:val="32"/>
          <w:szCs w:val="32"/>
          <w:rtl/>
        </w:rPr>
        <w:t>انظر شرح تحفة أهل الطلب في تج</w:t>
      </w:r>
      <w:r>
        <w:rPr>
          <w:rFonts w:hint="cs"/>
          <w:sz w:val="32"/>
          <w:szCs w:val="32"/>
          <w:rtl/>
        </w:rPr>
        <w:t>ريد أصول قواعد ابن رجب لعبد الكريم ا</w:t>
      </w:r>
      <w:r w:rsidRPr="00E208DA">
        <w:rPr>
          <w:rFonts w:hint="cs"/>
          <w:sz w:val="32"/>
          <w:szCs w:val="32"/>
          <w:rtl/>
        </w:rPr>
        <w:t>للاحم (338،339).</w:t>
      </w:r>
    </w:p>
  </w:footnote>
  <w:footnote w:id="809">
    <w:p w:rsidR="000D3D21" w:rsidRPr="00082C34" w:rsidRDefault="000D3D21" w:rsidP="005E65EA">
      <w:pPr>
        <w:pStyle w:val="a7"/>
        <w:rPr>
          <w:rFonts w:ascii="Traditional Arabic" w:hAnsi="Traditional Arabic"/>
          <w:sz w:val="32"/>
          <w:szCs w:val="32"/>
          <w:rtl/>
        </w:rPr>
      </w:pPr>
      <w:r w:rsidRPr="00082C34">
        <w:rPr>
          <w:rStyle w:val="af1"/>
          <w:rFonts w:ascii="Traditional Arabic" w:hAnsi="Traditional Arabic"/>
          <w:sz w:val="32"/>
          <w:szCs w:val="32"/>
          <w:vertAlign w:val="baseline"/>
        </w:rPr>
        <w:footnoteRef/>
      </w:r>
      <w:r w:rsidRPr="00082C34">
        <w:rPr>
          <w:rFonts w:ascii="Traditional Arabic" w:hAnsi="Traditional Arabic"/>
          <w:sz w:val="32"/>
          <w:szCs w:val="32"/>
        </w:rPr>
        <w:t>)</w:t>
      </w:r>
      <w:r w:rsidRPr="00082C34">
        <w:rPr>
          <w:rFonts w:ascii="Traditional Arabic" w:hAnsi="Traditional Arabic"/>
          <w:sz w:val="32"/>
          <w:szCs w:val="32"/>
          <w:rtl/>
        </w:rPr>
        <w:t xml:space="preserve">) </w:t>
      </w:r>
      <w:r w:rsidRPr="00082C34">
        <w:rPr>
          <w:rFonts w:ascii="Traditional Arabic" w:hAnsi="Traditional Arabic" w:hint="cs"/>
          <w:sz w:val="32"/>
          <w:szCs w:val="32"/>
          <w:rtl/>
        </w:rPr>
        <w:t>مقاييس اللغة (1/121).</w:t>
      </w:r>
    </w:p>
  </w:footnote>
  <w:footnote w:id="810">
    <w:p w:rsidR="000D3D21" w:rsidRPr="00082C34" w:rsidRDefault="000D3D21" w:rsidP="005E65EA">
      <w:pPr>
        <w:pStyle w:val="a7"/>
        <w:rPr>
          <w:sz w:val="32"/>
          <w:szCs w:val="32"/>
          <w:rtl/>
        </w:rPr>
      </w:pPr>
      <w:r w:rsidRPr="00082C34">
        <w:rPr>
          <w:rStyle w:val="af1"/>
          <w:rFonts w:ascii="Traditional Arabic" w:hAnsi="Traditional Arabic"/>
          <w:sz w:val="32"/>
          <w:szCs w:val="32"/>
          <w:vertAlign w:val="baseline"/>
        </w:rPr>
        <w:footnoteRef/>
      </w:r>
      <w:r w:rsidRPr="00082C34">
        <w:rPr>
          <w:rStyle w:val="af1"/>
          <w:rFonts w:ascii="Traditional Arabic" w:hAnsi="Traditional Arabic"/>
          <w:sz w:val="32"/>
          <w:szCs w:val="32"/>
          <w:vertAlign w:val="baseline"/>
        </w:rPr>
        <w:t>)</w:t>
      </w:r>
      <w:r w:rsidRPr="00082C34">
        <w:rPr>
          <w:rStyle w:val="af1"/>
          <w:rFonts w:ascii="Traditional Arabic" w:hAnsi="Traditional Arabic" w:hint="cs"/>
          <w:sz w:val="32"/>
          <w:szCs w:val="32"/>
          <w:vertAlign w:val="baseline"/>
          <w:rtl/>
        </w:rPr>
        <w:t>)</w:t>
      </w:r>
      <w:r w:rsidRPr="00082C34">
        <w:rPr>
          <w:rFonts w:hint="cs"/>
          <w:sz w:val="32"/>
          <w:szCs w:val="32"/>
          <w:rtl/>
        </w:rPr>
        <w:t xml:space="preserve"> المصباح المنير (136). وانظر لسان العرب (11/185).</w:t>
      </w:r>
    </w:p>
  </w:footnote>
  <w:footnote w:id="811">
    <w:p w:rsidR="000D3D21" w:rsidRPr="00082C34" w:rsidRDefault="000D3D21" w:rsidP="005E65EA">
      <w:pPr>
        <w:pStyle w:val="a7"/>
        <w:rPr>
          <w:sz w:val="32"/>
          <w:szCs w:val="32"/>
        </w:rPr>
      </w:pPr>
      <w:r w:rsidRPr="00082C34">
        <w:rPr>
          <w:rStyle w:val="af1"/>
          <w:rFonts w:ascii="Traditional Arabic" w:hAnsi="Traditional Arabic"/>
          <w:sz w:val="32"/>
          <w:szCs w:val="32"/>
          <w:vertAlign w:val="baseline"/>
        </w:rPr>
        <w:footnoteRef/>
      </w:r>
      <w:r w:rsidRPr="00082C34">
        <w:rPr>
          <w:rStyle w:val="af1"/>
          <w:rFonts w:ascii="Traditional Arabic" w:hAnsi="Traditional Arabic"/>
          <w:sz w:val="32"/>
          <w:szCs w:val="32"/>
          <w:vertAlign w:val="baseline"/>
        </w:rPr>
        <w:t>)</w:t>
      </w:r>
      <w:r w:rsidRPr="00082C34">
        <w:rPr>
          <w:rStyle w:val="af1"/>
          <w:rFonts w:ascii="Traditional Arabic" w:hAnsi="Traditional Arabic" w:hint="cs"/>
          <w:sz w:val="32"/>
          <w:szCs w:val="32"/>
          <w:vertAlign w:val="baseline"/>
          <w:rtl/>
        </w:rPr>
        <w:t>)</w:t>
      </w:r>
      <w:r w:rsidRPr="00082C34">
        <w:rPr>
          <w:rFonts w:hint="cs"/>
          <w:sz w:val="32"/>
          <w:szCs w:val="32"/>
          <w:rtl/>
        </w:rPr>
        <w:t xml:space="preserve"> إعلام الموقعين لابن القيم (3/240)، وانظر بيان الدليل </w:t>
      </w:r>
      <w:r>
        <w:rPr>
          <w:rFonts w:hint="cs"/>
          <w:sz w:val="32"/>
          <w:szCs w:val="32"/>
          <w:rtl/>
        </w:rPr>
        <w:t xml:space="preserve">في إبطال التحليل </w:t>
      </w:r>
      <w:r w:rsidRPr="00082C34">
        <w:rPr>
          <w:rFonts w:hint="cs"/>
          <w:sz w:val="32"/>
          <w:szCs w:val="32"/>
          <w:rtl/>
        </w:rPr>
        <w:t>(175).</w:t>
      </w:r>
    </w:p>
  </w:footnote>
  <w:footnote w:id="812">
    <w:p w:rsidR="000D3D21" w:rsidRDefault="000D3D21" w:rsidP="005E65EA">
      <w:pPr>
        <w:pStyle w:val="a7"/>
        <w:rPr>
          <w:rtl/>
        </w:rPr>
      </w:pPr>
      <w:r w:rsidRPr="00082C34">
        <w:rPr>
          <w:rStyle w:val="af1"/>
          <w:rFonts w:ascii="Traditional Arabic" w:hAnsi="Traditional Arabic"/>
          <w:sz w:val="32"/>
          <w:szCs w:val="32"/>
          <w:vertAlign w:val="baseline"/>
        </w:rPr>
        <w:footnoteRef/>
      </w:r>
      <w:r w:rsidRPr="00082C34">
        <w:rPr>
          <w:rStyle w:val="af1"/>
          <w:rFonts w:ascii="Traditional Arabic" w:hAnsi="Traditional Arabic"/>
          <w:sz w:val="32"/>
          <w:szCs w:val="32"/>
          <w:vertAlign w:val="baseline"/>
        </w:rPr>
        <w:t>)</w:t>
      </w:r>
      <w:r w:rsidRPr="00082C34">
        <w:rPr>
          <w:rStyle w:val="af1"/>
          <w:rFonts w:ascii="Traditional Arabic" w:hAnsi="Traditional Arabic" w:hint="cs"/>
          <w:sz w:val="32"/>
          <w:szCs w:val="32"/>
          <w:vertAlign w:val="baseline"/>
          <w:rtl/>
        </w:rPr>
        <w:t>)</w:t>
      </w:r>
      <w:r w:rsidRPr="00082C34">
        <w:rPr>
          <w:rFonts w:hint="cs"/>
          <w:sz w:val="32"/>
          <w:szCs w:val="32"/>
          <w:rtl/>
        </w:rPr>
        <w:t xml:space="preserve"> تفسير سورة النساء(2/121).</w:t>
      </w:r>
    </w:p>
  </w:footnote>
  <w:footnote w:id="813">
    <w:p w:rsidR="000D3D21" w:rsidRPr="00082C34" w:rsidRDefault="000D3D21" w:rsidP="005E65EA">
      <w:pPr>
        <w:pStyle w:val="a7"/>
        <w:rPr>
          <w:sz w:val="32"/>
          <w:szCs w:val="32"/>
        </w:rPr>
      </w:pPr>
      <w:r w:rsidRPr="00082C34">
        <w:rPr>
          <w:rStyle w:val="af1"/>
          <w:rFonts w:ascii="Traditional Arabic" w:hAnsi="Traditional Arabic"/>
          <w:sz w:val="32"/>
          <w:szCs w:val="32"/>
          <w:vertAlign w:val="baseline"/>
        </w:rPr>
        <w:footnoteRef/>
      </w:r>
      <w:r w:rsidRPr="00082C34">
        <w:rPr>
          <w:rStyle w:val="af1"/>
          <w:rFonts w:ascii="Traditional Arabic" w:hAnsi="Traditional Arabic"/>
          <w:sz w:val="32"/>
          <w:szCs w:val="32"/>
          <w:vertAlign w:val="baseline"/>
        </w:rPr>
        <w:t>)</w:t>
      </w:r>
      <w:r w:rsidRPr="00082C34">
        <w:rPr>
          <w:rStyle w:val="af1"/>
          <w:rFonts w:ascii="Traditional Arabic" w:hAnsi="Traditional Arabic" w:hint="cs"/>
          <w:sz w:val="32"/>
          <w:szCs w:val="32"/>
          <w:vertAlign w:val="baseline"/>
          <w:rtl/>
        </w:rPr>
        <w:t xml:space="preserve">) </w:t>
      </w:r>
      <w:r w:rsidRPr="00082C34">
        <w:rPr>
          <w:rFonts w:hint="cs"/>
          <w:sz w:val="32"/>
          <w:szCs w:val="32"/>
          <w:rtl/>
        </w:rPr>
        <w:t xml:space="preserve">قواعد الوسائل لمصطفى مخدوم (465). وانظر: الموافقات (3/124)، وبيان الدليل (133)، </w:t>
      </w:r>
      <w:r>
        <w:rPr>
          <w:rFonts w:hint="cs"/>
          <w:sz w:val="32"/>
          <w:szCs w:val="32"/>
          <w:rtl/>
        </w:rPr>
        <w:t>و</w:t>
      </w:r>
      <w:r w:rsidRPr="00082C34">
        <w:rPr>
          <w:rFonts w:hint="cs"/>
          <w:sz w:val="32"/>
          <w:szCs w:val="32"/>
          <w:rtl/>
        </w:rPr>
        <w:t>إعلام الموقعين (3/239-240).</w:t>
      </w:r>
    </w:p>
  </w:footnote>
  <w:footnote w:id="814">
    <w:p w:rsidR="000D3D21" w:rsidRPr="00E621BF" w:rsidRDefault="000D3D21" w:rsidP="005E65EA">
      <w:pPr>
        <w:pStyle w:val="a7"/>
        <w:rPr>
          <w:rFonts w:ascii="Traditional Arabic" w:hAnsi="Traditional Arabic"/>
          <w:sz w:val="32"/>
          <w:szCs w:val="32"/>
          <w:rtl/>
        </w:rPr>
      </w:pPr>
      <w:r w:rsidRPr="00E621BF">
        <w:rPr>
          <w:rStyle w:val="af1"/>
          <w:rFonts w:ascii="Traditional Arabic" w:hAnsi="Traditional Arabic"/>
          <w:sz w:val="32"/>
          <w:szCs w:val="32"/>
          <w:vertAlign w:val="baseline"/>
        </w:rPr>
        <w:footnoteRef/>
      </w:r>
      <w:r w:rsidRPr="00E621BF">
        <w:rPr>
          <w:rFonts w:ascii="Traditional Arabic" w:hAnsi="Traditional Arabic"/>
          <w:sz w:val="32"/>
          <w:szCs w:val="32"/>
        </w:rPr>
        <w:t>)</w:t>
      </w:r>
      <w:r w:rsidRPr="00E621BF">
        <w:rPr>
          <w:rFonts w:ascii="Traditional Arabic" w:hAnsi="Traditional Arabic"/>
          <w:sz w:val="32"/>
          <w:szCs w:val="32"/>
          <w:rtl/>
        </w:rPr>
        <w:t xml:space="preserve">) </w:t>
      </w:r>
      <w:r>
        <w:rPr>
          <w:rFonts w:ascii="Traditional Arabic" w:hAnsi="Traditional Arabic" w:hint="cs"/>
          <w:sz w:val="32"/>
          <w:szCs w:val="32"/>
          <w:rtl/>
        </w:rPr>
        <w:t>تفسير سورة النساء (2/122). وانظر الشرح الممتع (9/215)، والتعليق على القواعد والأصول الجامعة (43)، وتفسير سورة ص (196).</w:t>
      </w:r>
    </w:p>
  </w:footnote>
  <w:footnote w:id="815">
    <w:p w:rsidR="000D3D21" w:rsidRPr="00082C34" w:rsidRDefault="000D3D21" w:rsidP="005E65EA">
      <w:pPr>
        <w:pStyle w:val="a7"/>
        <w:rPr>
          <w:sz w:val="32"/>
          <w:szCs w:val="32"/>
          <w:rtl/>
        </w:rPr>
      </w:pPr>
      <w:r w:rsidRPr="00082C34">
        <w:rPr>
          <w:rStyle w:val="af1"/>
          <w:rFonts w:ascii="Traditional Arabic" w:hAnsi="Traditional Arabic"/>
          <w:sz w:val="32"/>
          <w:szCs w:val="32"/>
          <w:vertAlign w:val="baseline"/>
        </w:rPr>
        <w:footnoteRef/>
      </w:r>
      <w:r w:rsidRPr="00082C34">
        <w:rPr>
          <w:rStyle w:val="af1"/>
          <w:rFonts w:ascii="Traditional Arabic" w:hAnsi="Traditional Arabic"/>
          <w:sz w:val="32"/>
          <w:szCs w:val="32"/>
          <w:vertAlign w:val="baseline"/>
        </w:rPr>
        <w:t>)</w:t>
      </w:r>
      <w:r w:rsidRPr="00082C34">
        <w:rPr>
          <w:rStyle w:val="af1"/>
          <w:rFonts w:ascii="Traditional Arabic" w:hAnsi="Traditional Arabic" w:hint="cs"/>
          <w:sz w:val="32"/>
          <w:szCs w:val="32"/>
          <w:vertAlign w:val="baseline"/>
          <w:rtl/>
        </w:rPr>
        <w:t>)</w:t>
      </w:r>
      <w:r w:rsidRPr="00082C34">
        <w:rPr>
          <w:rFonts w:hint="cs"/>
          <w:sz w:val="32"/>
          <w:szCs w:val="32"/>
          <w:rtl/>
        </w:rPr>
        <w:t xml:space="preserve"> شرح منظومة أصول الفقه وقواعده (230)، وانظر الشرح الممتع (9/215).</w:t>
      </w:r>
    </w:p>
  </w:footnote>
  <w:footnote w:id="816">
    <w:p w:rsidR="000D3D21" w:rsidRPr="00082C34" w:rsidRDefault="000D3D21" w:rsidP="005E65EA">
      <w:pPr>
        <w:pStyle w:val="a7"/>
        <w:rPr>
          <w:sz w:val="32"/>
          <w:szCs w:val="32"/>
          <w:rtl/>
        </w:rPr>
      </w:pPr>
      <w:r w:rsidRPr="00082C34">
        <w:rPr>
          <w:rStyle w:val="af1"/>
          <w:rFonts w:ascii="Traditional Arabic" w:hAnsi="Traditional Arabic"/>
          <w:sz w:val="32"/>
          <w:szCs w:val="32"/>
          <w:vertAlign w:val="baseline"/>
        </w:rPr>
        <w:footnoteRef/>
      </w:r>
      <w:r w:rsidRPr="00082C34">
        <w:rPr>
          <w:rStyle w:val="af1"/>
          <w:rFonts w:ascii="Traditional Arabic" w:hAnsi="Traditional Arabic"/>
          <w:sz w:val="32"/>
          <w:szCs w:val="32"/>
          <w:vertAlign w:val="baseline"/>
        </w:rPr>
        <w:t>)</w:t>
      </w:r>
      <w:r w:rsidRPr="00082C34">
        <w:rPr>
          <w:rStyle w:val="af1"/>
          <w:rFonts w:ascii="Traditional Arabic" w:hAnsi="Traditional Arabic" w:hint="cs"/>
          <w:sz w:val="32"/>
          <w:szCs w:val="32"/>
          <w:vertAlign w:val="baseline"/>
          <w:rtl/>
        </w:rPr>
        <w:t xml:space="preserve">) </w:t>
      </w:r>
      <w:r w:rsidRPr="00082C34">
        <w:rPr>
          <w:rFonts w:hint="cs"/>
          <w:sz w:val="32"/>
          <w:szCs w:val="32"/>
          <w:rtl/>
        </w:rPr>
        <w:t xml:space="preserve">إغاثة اللهفان لابن القيم (1/582). وانظر:بيان الدليل (26)، وإعلام الموقعين (5/538). </w:t>
      </w:r>
    </w:p>
  </w:footnote>
  <w:footnote w:id="817">
    <w:p w:rsidR="000D3D21" w:rsidRDefault="000D3D21" w:rsidP="005E65EA">
      <w:pPr>
        <w:pStyle w:val="a7"/>
        <w:rPr>
          <w:rtl/>
        </w:rPr>
      </w:pPr>
      <w:r w:rsidRPr="00082C34">
        <w:rPr>
          <w:rStyle w:val="af1"/>
          <w:rFonts w:ascii="Traditional Arabic" w:hAnsi="Traditional Arabic"/>
          <w:sz w:val="32"/>
          <w:szCs w:val="32"/>
          <w:vertAlign w:val="baseline"/>
        </w:rPr>
        <w:footnoteRef/>
      </w:r>
      <w:r w:rsidRPr="00082C34">
        <w:rPr>
          <w:rStyle w:val="af1"/>
          <w:rFonts w:ascii="Traditional Arabic" w:hAnsi="Traditional Arabic"/>
          <w:sz w:val="32"/>
          <w:szCs w:val="32"/>
          <w:vertAlign w:val="baseline"/>
        </w:rPr>
        <w:t>)</w:t>
      </w:r>
      <w:r w:rsidRPr="00082C34">
        <w:rPr>
          <w:rStyle w:val="af1"/>
          <w:rFonts w:ascii="Traditional Arabic" w:hAnsi="Traditional Arabic" w:hint="cs"/>
          <w:sz w:val="32"/>
          <w:szCs w:val="32"/>
          <w:vertAlign w:val="baseline"/>
          <w:rtl/>
        </w:rPr>
        <w:t xml:space="preserve">) </w:t>
      </w:r>
      <w:r w:rsidRPr="00082C34">
        <w:rPr>
          <w:rFonts w:hint="cs"/>
          <w:sz w:val="32"/>
          <w:szCs w:val="32"/>
          <w:rtl/>
        </w:rPr>
        <w:t>شرح منظومة أصول الفقه وقواعده (230).</w:t>
      </w:r>
      <w:r>
        <w:rPr>
          <w:rFonts w:hint="cs"/>
          <w:sz w:val="32"/>
          <w:szCs w:val="32"/>
          <w:rtl/>
        </w:rPr>
        <w:t xml:space="preserve"> </w:t>
      </w:r>
      <w:r w:rsidRPr="00082C34">
        <w:rPr>
          <w:rFonts w:hint="cs"/>
          <w:sz w:val="32"/>
          <w:szCs w:val="32"/>
          <w:rtl/>
        </w:rPr>
        <w:t>وانظر الشرح الممتع (10/242)</w:t>
      </w:r>
    </w:p>
  </w:footnote>
  <w:footnote w:id="818">
    <w:p w:rsidR="000D3D21" w:rsidRPr="000F5E8D" w:rsidRDefault="000D3D21" w:rsidP="005E65EA">
      <w:pPr>
        <w:pStyle w:val="a7"/>
        <w:rPr>
          <w:rStyle w:val="af1"/>
          <w:rFonts w:ascii="Traditional Arabic" w:hAnsi="Traditional Arabic"/>
          <w:sz w:val="32"/>
          <w:szCs w:val="32"/>
          <w:vertAlign w:val="baseline"/>
          <w:rtl/>
        </w:rPr>
      </w:pPr>
      <w:r w:rsidRPr="000F5E8D">
        <w:rPr>
          <w:rStyle w:val="af1"/>
          <w:rFonts w:ascii="Traditional Arabic" w:hAnsi="Traditional Arabic"/>
          <w:sz w:val="32"/>
          <w:szCs w:val="32"/>
          <w:vertAlign w:val="baseline"/>
        </w:rPr>
        <w:footnoteRef/>
      </w:r>
      <w:r w:rsidRPr="000F5E8D">
        <w:rPr>
          <w:rStyle w:val="af1"/>
          <w:rFonts w:ascii="Traditional Arabic" w:hAnsi="Traditional Arabic"/>
          <w:sz w:val="32"/>
          <w:szCs w:val="32"/>
          <w:vertAlign w:val="baseline"/>
        </w:rPr>
        <w:t>)</w:t>
      </w:r>
      <w:r w:rsidRPr="000F5E8D">
        <w:rPr>
          <w:rStyle w:val="af1"/>
          <w:rFonts w:ascii="Traditional Arabic" w:hAnsi="Traditional Arabic" w:hint="cs"/>
          <w:sz w:val="32"/>
          <w:szCs w:val="32"/>
          <w:vertAlign w:val="baseline"/>
          <w:rtl/>
        </w:rPr>
        <w:t>)</w:t>
      </w:r>
      <w:r>
        <w:rPr>
          <w:rFonts w:ascii="Traditional Arabic" w:hAnsi="Traditional Arabic" w:hint="cs"/>
          <w:sz w:val="32"/>
          <w:szCs w:val="32"/>
          <w:rtl/>
        </w:rPr>
        <w:t xml:space="preserve"> إغاثة اللهفان (1/582، 605).</w:t>
      </w:r>
    </w:p>
  </w:footnote>
  <w:footnote w:id="819">
    <w:p w:rsidR="000D3D21" w:rsidRPr="006D57C8" w:rsidRDefault="000D3D21" w:rsidP="005E65EA">
      <w:pPr>
        <w:pStyle w:val="a7"/>
        <w:rPr>
          <w:sz w:val="32"/>
          <w:szCs w:val="32"/>
          <w:rtl/>
        </w:rPr>
      </w:pPr>
      <w:r w:rsidRPr="006D57C8">
        <w:rPr>
          <w:rStyle w:val="af1"/>
          <w:rFonts w:ascii="Traditional Arabic" w:hAnsi="Traditional Arabic"/>
          <w:sz w:val="32"/>
          <w:szCs w:val="32"/>
          <w:vertAlign w:val="baseline"/>
        </w:rPr>
        <w:footnoteRef/>
      </w:r>
      <w:r w:rsidRPr="006D57C8">
        <w:rPr>
          <w:rStyle w:val="af1"/>
          <w:rFonts w:ascii="Traditional Arabic" w:hAnsi="Traditional Arabic"/>
          <w:sz w:val="32"/>
          <w:szCs w:val="32"/>
          <w:vertAlign w:val="baseline"/>
        </w:rPr>
        <w:t>)</w:t>
      </w:r>
      <w:r w:rsidRPr="006D57C8">
        <w:rPr>
          <w:rStyle w:val="af1"/>
          <w:rFonts w:ascii="Traditional Arabic" w:hAnsi="Traditional Arabic" w:hint="cs"/>
          <w:sz w:val="32"/>
          <w:szCs w:val="32"/>
          <w:vertAlign w:val="baseline"/>
          <w:rtl/>
        </w:rPr>
        <w:t>)</w:t>
      </w:r>
      <w:r>
        <w:rPr>
          <w:rFonts w:hint="cs"/>
          <w:sz w:val="32"/>
          <w:szCs w:val="32"/>
          <w:rtl/>
        </w:rPr>
        <w:t xml:space="preserve"> </w:t>
      </w:r>
      <w:r w:rsidRPr="006D57C8">
        <w:rPr>
          <w:rFonts w:hint="cs"/>
          <w:sz w:val="32"/>
          <w:szCs w:val="32"/>
          <w:rtl/>
        </w:rPr>
        <w:t>بيان الدليل (175).</w:t>
      </w:r>
    </w:p>
  </w:footnote>
  <w:footnote w:id="820">
    <w:p w:rsidR="000D3D21" w:rsidRDefault="000D3D21" w:rsidP="005E65EA">
      <w:pPr>
        <w:pStyle w:val="a7"/>
        <w:rPr>
          <w:rtl/>
        </w:rPr>
      </w:pPr>
      <w:r w:rsidRPr="006D57C8">
        <w:rPr>
          <w:rStyle w:val="af1"/>
          <w:rFonts w:ascii="Traditional Arabic" w:hAnsi="Traditional Arabic"/>
          <w:sz w:val="32"/>
          <w:szCs w:val="32"/>
          <w:vertAlign w:val="baseline"/>
        </w:rPr>
        <w:footnoteRef/>
      </w:r>
      <w:r w:rsidRPr="006D57C8">
        <w:rPr>
          <w:rStyle w:val="af1"/>
          <w:rFonts w:ascii="Traditional Arabic" w:hAnsi="Traditional Arabic"/>
          <w:sz w:val="32"/>
          <w:szCs w:val="32"/>
          <w:vertAlign w:val="baseline"/>
        </w:rPr>
        <w:t>)</w:t>
      </w:r>
      <w:r w:rsidRPr="006D57C8">
        <w:rPr>
          <w:rStyle w:val="af1"/>
          <w:rFonts w:ascii="Traditional Arabic" w:hAnsi="Traditional Arabic" w:hint="cs"/>
          <w:sz w:val="32"/>
          <w:szCs w:val="32"/>
          <w:vertAlign w:val="baseline"/>
          <w:rtl/>
        </w:rPr>
        <w:t>)</w:t>
      </w:r>
      <w:r>
        <w:rPr>
          <w:rFonts w:hint="cs"/>
          <w:sz w:val="32"/>
          <w:szCs w:val="32"/>
          <w:rtl/>
        </w:rPr>
        <w:t xml:space="preserve"> شرح </w:t>
      </w:r>
      <w:r w:rsidRPr="006D57C8">
        <w:rPr>
          <w:rFonts w:hint="cs"/>
          <w:sz w:val="32"/>
          <w:szCs w:val="32"/>
          <w:rtl/>
        </w:rPr>
        <w:t>منظومة</w:t>
      </w:r>
      <w:r>
        <w:rPr>
          <w:rFonts w:hint="cs"/>
          <w:sz w:val="32"/>
          <w:szCs w:val="32"/>
          <w:rtl/>
        </w:rPr>
        <w:t xml:space="preserve"> أصول الفقه وقواعده (230) بتصرّف</w:t>
      </w:r>
      <w:r w:rsidRPr="006D57C8">
        <w:rPr>
          <w:rFonts w:hint="cs"/>
          <w:sz w:val="32"/>
          <w:szCs w:val="32"/>
          <w:rtl/>
        </w:rPr>
        <w:t>.</w:t>
      </w:r>
    </w:p>
  </w:footnote>
  <w:footnote w:id="821">
    <w:p w:rsidR="000D3D21" w:rsidRPr="00DD595C" w:rsidRDefault="000D3D21" w:rsidP="005E65EA">
      <w:pPr>
        <w:pStyle w:val="a7"/>
        <w:rPr>
          <w:rFonts w:ascii="Traditional Arabic" w:hAnsi="Traditional Arabic"/>
          <w:sz w:val="32"/>
          <w:szCs w:val="32"/>
          <w:rtl/>
        </w:rPr>
      </w:pPr>
      <w:r w:rsidRPr="00DD595C">
        <w:rPr>
          <w:rFonts w:ascii="Traditional Arabic" w:hAnsi="Traditional Arabic"/>
          <w:sz w:val="32"/>
          <w:szCs w:val="32"/>
        </w:rPr>
        <w:footnoteRef/>
      </w:r>
      <w:r w:rsidRPr="00DD595C">
        <w:rPr>
          <w:rFonts w:ascii="Traditional Arabic" w:hAnsi="Traditional Arabic"/>
          <w:sz w:val="32"/>
          <w:szCs w:val="32"/>
        </w:rPr>
        <w:t>)</w:t>
      </w:r>
      <w:r w:rsidRPr="00DD595C">
        <w:rPr>
          <w:rFonts w:ascii="Traditional Arabic" w:hAnsi="Traditional Arabic"/>
          <w:sz w:val="32"/>
          <w:szCs w:val="32"/>
          <w:rtl/>
        </w:rPr>
        <w:t>) انظر المرجع السابق (226).</w:t>
      </w:r>
    </w:p>
  </w:footnote>
  <w:footnote w:id="822">
    <w:p w:rsidR="000D3D21" w:rsidRPr="00CB4AC4" w:rsidRDefault="000D3D21" w:rsidP="005E65EA">
      <w:pPr>
        <w:pStyle w:val="a7"/>
        <w:rPr>
          <w:rFonts w:ascii="Traditional Arabic" w:hAnsi="Traditional Arabic"/>
          <w:sz w:val="32"/>
          <w:szCs w:val="32"/>
          <w:rtl/>
        </w:rPr>
      </w:pPr>
      <w:r w:rsidRPr="00CB4AC4">
        <w:rPr>
          <w:rStyle w:val="af1"/>
          <w:rFonts w:ascii="Traditional Arabic" w:hAnsi="Traditional Arabic"/>
          <w:sz w:val="32"/>
          <w:szCs w:val="32"/>
          <w:vertAlign w:val="baseline"/>
        </w:rPr>
        <w:footnoteRef/>
      </w:r>
      <w:r w:rsidRPr="00CB4AC4">
        <w:rPr>
          <w:rFonts w:ascii="Traditional Arabic" w:hAnsi="Traditional Arabic"/>
          <w:sz w:val="32"/>
          <w:szCs w:val="32"/>
        </w:rPr>
        <w:t>)</w:t>
      </w:r>
      <w:r w:rsidRPr="00CB4AC4">
        <w:rPr>
          <w:rFonts w:ascii="Traditional Arabic" w:hAnsi="Traditional Arabic"/>
          <w:sz w:val="32"/>
          <w:szCs w:val="32"/>
          <w:rtl/>
        </w:rPr>
        <w:t xml:space="preserve">) </w:t>
      </w:r>
      <w:r>
        <w:rPr>
          <w:rFonts w:ascii="Traditional Arabic" w:hAnsi="Traditional Arabic" w:hint="cs"/>
          <w:sz w:val="32"/>
          <w:szCs w:val="32"/>
          <w:rtl/>
        </w:rPr>
        <w:t xml:space="preserve">أحكام من القرآن الكريم للشيخ العثيمين (268). </w:t>
      </w:r>
    </w:p>
  </w:footnote>
  <w:footnote w:id="823">
    <w:p w:rsidR="000D3D21" w:rsidRPr="00DF79A1" w:rsidRDefault="000D3D21" w:rsidP="005E65EA">
      <w:pPr>
        <w:pStyle w:val="a7"/>
      </w:pPr>
      <w:r w:rsidRPr="00950A4A">
        <w:rPr>
          <w:rFonts w:ascii="Traditional Arabic" w:hAnsi="Traditional Arabic"/>
          <w:sz w:val="32"/>
          <w:szCs w:val="32"/>
        </w:rPr>
        <w:footnoteRef/>
      </w:r>
      <w:r w:rsidRPr="00950A4A">
        <w:rPr>
          <w:rFonts w:ascii="Traditional Arabic" w:hAnsi="Traditional Arabic"/>
          <w:sz w:val="32"/>
          <w:szCs w:val="32"/>
        </w:rPr>
        <w:t>)</w:t>
      </w:r>
      <w:r w:rsidRPr="00950A4A">
        <w:rPr>
          <w:rFonts w:ascii="Traditional Arabic" w:hAnsi="Traditional Arabic" w:hint="cs"/>
          <w:sz w:val="32"/>
          <w:szCs w:val="32"/>
          <w:rtl/>
        </w:rPr>
        <w:t>)</w:t>
      </w:r>
      <w:r>
        <w:rPr>
          <w:rFonts w:ascii="Traditional Arabic" w:hAnsi="Traditional Arabic" w:hint="cs"/>
          <w:sz w:val="32"/>
          <w:szCs w:val="32"/>
          <w:rtl/>
        </w:rPr>
        <w:t xml:space="preserve"> انظر: </w:t>
      </w:r>
      <w:r w:rsidRPr="008756A4">
        <w:rPr>
          <w:rFonts w:ascii="Traditional Arabic" w:hAnsi="Traditional Arabic" w:hint="cs"/>
          <w:sz w:val="32"/>
          <w:szCs w:val="32"/>
          <w:rtl/>
        </w:rPr>
        <w:t>الشرح الممتع (10/243)، وأحكام من القرآن الكريم (268)</w:t>
      </w:r>
      <w:r>
        <w:rPr>
          <w:rFonts w:ascii="Traditional Arabic" w:hAnsi="Traditional Arabic" w:hint="cs"/>
          <w:sz w:val="32"/>
          <w:szCs w:val="32"/>
          <w:rtl/>
        </w:rPr>
        <w:t>، وبيان الدليل (33-34)</w:t>
      </w:r>
      <w:r w:rsidRPr="008756A4">
        <w:rPr>
          <w:rFonts w:ascii="Traditional Arabic" w:hAnsi="Traditional Arabic" w:hint="cs"/>
          <w:sz w:val="32"/>
          <w:szCs w:val="32"/>
          <w:rtl/>
        </w:rPr>
        <w:t>.</w:t>
      </w:r>
    </w:p>
  </w:footnote>
  <w:footnote w:id="824">
    <w:p w:rsidR="000D3D21" w:rsidRPr="008B6EAD" w:rsidRDefault="000D3D21" w:rsidP="005E65EA">
      <w:pPr>
        <w:pStyle w:val="a7"/>
        <w:rPr>
          <w:rFonts w:ascii="Traditional Arabic" w:hAnsi="Traditional Arabic"/>
          <w:sz w:val="32"/>
          <w:szCs w:val="32"/>
          <w:rtl/>
        </w:rPr>
      </w:pPr>
      <w:r w:rsidRPr="008B6EAD">
        <w:rPr>
          <w:rStyle w:val="af1"/>
          <w:rFonts w:ascii="Traditional Arabic" w:hAnsi="Traditional Arabic"/>
          <w:sz w:val="32"/>
          <w:szCs w:val="32"/>
          <w:vertAlign w:val="baseline"/>
        </w:rPr>
        <w:footnoteRef/>
      </w:r>
      <w:r w:rsidRPr="008B6EAD">
        <w:rPr>
          <w:rFonts w:ascii="Traditional Arabic" w:hAnsi="Traditional Arabic"/>
          <w:sz w:val="32"/>
          <w:szCs w:val="32"/>
        </w:rPr>
        <w:t>)</w:t>
      </w:r>
      <w:r w:rsidRPr="008B6EAD">
        <w:rPr>
          <w:rFonts w:ascii="Traditional Arabic" w:hAnsi="Traditional Arabic"/>
          <w:sz w:val="32"/>
          <w:szCs w:val="32"/>
          <w:rtl/>
        </w:rPr>
        <w:t xml:space="preserve">) </w:t>
      </w:r>
      <w:r>
        <w:rPr>
          <w:rFonts w:ascii="Traditional Arabic" w:hAnsi="Traditional Arabic" w:hint="cs"/>
          <w:sz w:val="32"/>
          <w:szCs w:val="32"/>
          <w:rtl/>
        </w:rPr>
        <w:t>تقدم تخريجه.</w:t>
      </w:r>
    </w:p>
  </w:footnote>
  <w:footnote w:id="825">
    <w:p w:rsidR="000D3D21" w:rsidRPr="00DD595C" w:rsidRDefault="000D3D21" w:rsidP="005E65EA">
      <w:pPr>
        <w:pStyle w:val="a7"/>
        <w:rPr>
          <w:sz w:val="32"/>
          <w:szCs w:val="32"/>
          <w:rtl/>
        </w:rPr>
      </w:pPr>
      <w:r w:rsidRPr="00DD595C">
        <w:rPr>
          <w:rStyle w:val="af1"/>
          <w:rFonts w:ascii="Traditional Arabic" w:hAnsi="Traditional Arabic"/>
          <w:sz w:val="32"/>
          <w:szCs w:val="32"/>
          <w:vertAlign w:val="baseline"/>
        </w:rPr>
        <w:footnoteRef/>
      </w:r>
      <w:r w:rsidRPr="00DD595C">
        <w:rPr>
          <w:rStyle w:val="af1"/>
          <w:rFonts w:ascii="Traditional Arabic" w:hAnsi="Traditional Arabic"/>
          <w:sz w:val="32"/>
          <w:szCs w:val="32"/>
          <w:vertAlign w:val="baseline"/>
        </w:rPr>
        <w:t>)</w:t>
      </w:r>
      <w:r w:rsidRPr="00DD595C">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DD595C">
        <w:rPr>
          <w:rFonts w:hint="cs"/>
          <w:sz w:val="32"/>
          <w:szCs w:val="32"/>
          <w:rtl/>
        </w:rPr>
        <w:t xml:space="preserve">انظر: </w:t>
      </w:r>
      <w:r>
        <w:rPr>
          <w:rFonts w:hint="cs"/>
          <w:sz w:val="32"/>
          <w:szCs w:val="32"/>
          <w:rtl/>
        </w:rPr>
        <w:t>الشرح الممتع (6/40، 41)، و</w:t>
      </w:r>
      <w:r w:rsidRPr="00DD595C">
        <w:rPr>
          <w:rFonts w:hint="cs"/>
          <w:sz w:val="32"/>
          <w:szCs w:val="32"/>
          <w:rtl/>
        </w:rPr>
        <w:t xml:space="preserve">شرح منظومة أصول الفقه وقواعده </w:t>
      </w:r>
      <w:r>
        <w:rPr>
          <w:rFonts w:hint="cs"/>
          <w:sz w:val="32"/>
          <w:szCs w:val="32"/>
          <w:rtl/>
        </w:rPr>
        <w:t>(230).</w:t>
      </w:r>
    </w:p>
  </w:footnote>
  <w:footnote w:id="826">
    <w:p w:rsidR="000D3D21" w:rsidRPr="00B119BE" w:rsidRDefault="000D3D21" w:rsidP="005E65EA">
      <w:pPr>
        <w:pStyle w:val="a7"/>
        <w:rPr>
          <w:sz w:val="32"/>
          <w:szCs w:val="32"/>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hint="cs"/>
          <w:sz w:val="32"/>
          <w:szCs w:val="32"/>
          <w:vertAlign w:val="baseline"/>
          <w:rtl/>
        </w:rPr>
        <w:t>)</w:t>
      </w:r>
      <w:r>
        <w:rPr>
          <w:rFonts w:hint="cs"/>
          <w:sz w:val="32"/>
          <w:szCs w:val="32"/>
          <w:rtl/>
        </w:rPr>
        <w:t xml:space="preserve"> أخرج</w:t>
      </w:r>
      <w:r w:rsidRPr="00B119BE">
        <w:rPr>
          <w:rFonts w:hint="cs"/>
          <w:sz w:val="32"/>
          <w:szCs w:val="32"/>
          <w:rtl/>
        </w:rPr>
        <w:t>ه البخاري في كتاب البيوع، باب لا يُذاب شحم الميتة، ولا يباع وَدَكُه، رقم الحديث (2223)، ومسلم في كتاب المساقاة، باب تحريم بيع الخمر والميتة والخنزير والأصنام، رقم الحديث (1582).</w:t>
      </w:r>
    </w:p>
  </w:footnote>
  <w:footnote w:id="827">
    <w:p w:rsidR="000D3D21" w:rsidRPr="00B119BE" w:rsidRDefault="000D3D21" w:rsidP="005805E3">
      <w:pPr>
        <w:pStyle w:val="a7"/>
        <w:rPr>
          <w:sz w:val="32"/>
          <w:szCs w:val="32"/>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B119BE">
        <w:rPr>
          <w:rStyle w:val="af1"/>
          <w:rFonts w:ascii="Traditional Arabic" w:hAnsi="Traditional Arabic" w:hint="cs"/>
          <w:sz w:val="32"/>
          <w:szCs w:val="32"/>
          <w:vertAlign w:val="baseline"/>
          <w:rtl/>
        </w:rPr>
        <w:t xml:space="preserve">انظر </w:t>
      </w:r>
      <w:r>
        <w:rPr>
          <w:rFonts w:hint="cs"/>
          <w:sz w:val="32"/>
          <w:szCs w:val="32"/>
          <w:rtl/>
        </w:rPr>
        <w:t xml:space="preserve">الشرح </w:t>
      </w:r>
      <w:r w:rsidRPr="00B119BE">
        <w:rPr>
          <w:rFonts w:hint="cs"/>
          <w:sz w:val="32"/>
          <w:szCs w:val="32"/>
          <w:rtl/>
        </w:rPr>
        <w:t>الممتع (10/241)</w:t>
      </w:r>
      <w:r>
        <w:rPr>
          <w:rFonts w:hint="cs"/>
          <w:sz w:val="32"/>
          <w:szCs w:val="32"/>
          <w:rtl/>
        </w:rPr>
        <w:t>، و</w:t>
      </w:r>
      <w:r w:rsidRPr="005805E3">
        <w:rPr>
          <w:rFonts w:hint="cs"/>
          <w:sz w:val="32"/>
          <w:szCs w:val="32"/>
          <w:rtl/>
        </w:rPr>
        <w:t xml:space="preserve"> </w:t>
      </w:r>
      <w:r w:rsidRPr="00B119BE">
        <w:rPr>
          <w:rFonts w:hint="cs"/>
          <w:sz w:val="32"/>
          <w:szCs w:val="32"/>
          <w:rtl/>
        </w:rPr>
        <w:t>ف</w:t>
      </w:r>
      <w:r>
        <w:rPr>
          <w:rFonts w:hint="cs"/>
          <w:sz w:val="32"/>
          <w:szCs w:val="32"/>
          <w:rtl/>
        </w:rPr>
        <w:t>تح ذي الجلال والإكرام (3/474)</w:t>
      </w:r>
      <w:r w:rsidRPr="00B119BE">
        <w:rPr>
          <w:rFonts w:hint="cs"/>
          <w:sz w:val="32"/>
          <w:szCs w:val="32"/>
          <w:rtl/>
        </w:rPr>
        <w:t>.</w:t>
      </w:r>
    </w:p>
  </w:footnote>
  <w:footnote w:id="828">
    <w:p w:rsidR="000D3D21" w:rsidRPr="00B119BE" w:rsidRDefault="000D3D21" w:rsidP="005E65EA">
      <w:pPr>
        <w:pStyle w:val="a7"/>
        <w:rPr>
          <w:rFonts w:ascii="Traditional Arabic" w:hAnsi="Traditional Arabic"/>
          <w:sz w:val="32"/>
          <w:szCs w:val="32"/>
          <w:rtl/>
        </w:rPr>
      </w:pPr>
      <w:r w:rsidRPr="00B119BE">
        <w:rPr>
          <w:rStyle w:val="af1"/>
          <w:rFonts w:hint="cs"/>
          <w:sz w:val="32"/>
          <w:szCs w:val="32"/>
          <w:vertAlign w:val="baseline"/>
          <w:rtl/>
        </w:rPr>
        <w:t>(</w:t>
      </w:r>
      <w:r w:rsidRPr="00B119BE">
        <w:rPr>
          <w:rStyle w:val="af1"/>
          <w:rFonts w:ascii="Traditional Arabic" w:hAnsi="Traditional Arabic"/>
          <w:sz w:val="32"/>
          <w:szCs w:val="32"/>
          <w:vertAlign w:val="baseline"/>
          <w:rtl/>
        </w:rPr>
        <w:footnoteRef/>
      </w:r>
      <w:r w:rsidRPr="00B119BE">
        <w:rPr>
          <w:rStyle w:val="af1"/>
          <w:rFonts w:hint="cs"/>
          <w:sz w:val="32"/>
          <w:szCs w:val="32"/>
          <w:vertAlign w:val="baseline"/>
          <w:rtl/>
        </w:rPr>
        <w:t>)</w:t>
      </w:r>
      <w:r>
        <w:rPr>
          <w:rFonts w:ascii="Traditional Arabic" w:hAnsi="Traditional Arabic" w:hint="cs"/>
          <w:sz w:val="32"/>
          <w:szCs w:val="32"/>
          <w:rtl/>
        </w:rPr>
        <w:t xml:space="preserve"> </w:t>
      </w:r>
      <w:r w:rsidRPr="00B119BE">
        <w:rPr>
          <w:rFonts w:ascii="Traditional Arabic" w:hAnsi="Traditional Arabic" w:hint="cs"/>
          <w:sz w:val="32"/>
          <w:szCs w:val="32"/>
          <w:rtl/>
        </w:rPr>
        <w:t>أي</w:t>
      </w:r>
      <w:r>
        <w:rPr>
          <w:rFonts w:ascii="Traditional Arabic" w:hAnsi="Traditional Arabic" w:hint="cs"/>
          <w:sz w:val="32"/>
          <w:szCs w:val="32"/>
          <w:rtl/>
        </w:rPr>
        <w:t>:</w:t>
      </w:r>
      <w:r w:rsidRPr="00B119BE">
        <w:rPr>
          <w:rFonts w:ascii="Traditional Arabic" w:hAnsi="Traditional Arabic" w:hint="cs"/>
          <w:sz w:val="32"/>
          <w:szCs w:val="32"/>
          <w:rtl/>
        </w:rPr>
        <w:t xml:space="preserve"> النوع الثاني من الحيل.</w:t>
      </w:r>
    </w:p>
  </w:footnote>
  <w:footnote w:id="829">
    <w:p w:rsidR="000D3D21" w:rsidRDefault="000D3D21" w:rsidP="005E65EA">
      <w:pPr>
        <w:pStyle w:val="a7"/>
        <w:rPr>
          <w:sz w:val="32"/>
          <w:szCs w:val="32"/>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hint="cs"/>
          <w:sz w:val="32"/>
          <w:szCs w:val="32"/>
          <w:vertAlign w:val="baseline"/>
          <w:rtl/>
        </w:rPr>
        <w:t>)</w:t>
      </w:r>
      <w:r>
        <w:rPr>
          <w:rFonts w:hint="cs"/>
          <w:sz w:val="32"/>
          <w:szCs w:val="32"/>
          <w:rtl/>
        </w:rPr>
        <w:t xml:space="preserve"> </w:t>
      </w:r>
      <w:r w:rsidRPr="00B119BE">
        <w:rPr>
          <w:rFonts w:hint="cs"/>
          <w:sz w:val="32"/>
          <w:szCs w:val="32"/>
          <w:rtl/>
        </w:rPr>
        <w:t>انظر بيان الدليل (267-273) وإعلام الموقعين (90-91).</w:t>
      </w:r>
    </w:p>
    <w:p w:rsidR="000D3D21" w:rsidRPr="00B119BE" w:rsidRDefault="000D3D21" w:rsidP="005E65EA">
      <w:pPr>
        <w:pStyle w:val="a7"/>
        <w:rPr>
          <w:sz w:val="32"/>
          <w:szCs w:val="32"/>
          <w:rtl/>
        </w:rPr>
      </w:pPr>
      <w:r>
        <w:rPr>
          <w:rFonts w:hint="cs"/>
          <w:sz w:val="32"/>
          <w:szCs w:val="32"/>
          <w:rtl/>
        </w:rPr>
        <w:t xml:space="preserve">     </w:t>
      </w:r>
      <w:r w:rsidRPr="00B119BE">
        <w:rPr>
          <w:rFonts w:hint="cs"/>
          <w:sz w:val="32"/>
          <w:szCs w:val="32"/>
          <w:rtl/>
        </w:rPr>
        <w:t>ذكر شيخ الإسلام ابن تيمية أنه ظهر الإفتاء بالحيل في أواخر عصر التابعين، وأن علماء ذلك الزمان أمثال أيوب السختياني، وحماد بن زيد، ومالك بن أنس، وسفيان بن عيينة، وغيرهم أنكروا ذلك.</w:t>
      </w:r>
      <w:r>
        <w:rPr>
          <w:rFonts w:hint="cs"/>
          <w:sz w:val="32"/>
          <w:szCs w:val="32"/>
          <w:rtl/>
        </w:rPr>
        <w:t xml:space="preserve"> </w:t>
      </w:r>
      <w:r w:rsidRPr="00B119BE">
        <w:rPr>
          <w:rFonts w:hint="cs"/>
          <w:sz w:val="32"/>
          <w:szCs w:val="32"/>
          <w:rtl/>
        </w:rPr>
        <w:t>انظر ذلك في بيان الدليل (137)، وانظر أدلة المجيزين للحيل في:</w:t>
      </w:r>
      <w:r>
        <w:rPr>
          <w:rFonts w:hint="cs"/>
          <w:sz w:val="32"/>
          <w:szCs w:val="32"/>
          <w:rtl/>
        </w:rPr>
        <w:t xml:space="preserve"> </w:t>
      </w:r>
      <w:r w:rsidRPr="00B119BE">
        <w:rPr>
          <w:rFonts w:hint="cs"/>
          <w:sz w:val="32"/>
          <w:szCs w:val="32"/>
          <w:rtl/>
        </w:rPr>
        <w:t>المبسوط للسرخسي (30/209، 210)، والأشباه والنظائر لابن نجيم (477)، وغمز عيون البصائر للحموي (4/220)، والمنثور للزركشي (2/93-94). وانظر في الرد على أدلتهم:</w:t>
      </w:r>
      <w:r>
        <w:rPr>
          <w:rFonts w:hint="cs"/>
          <w:sz w:val="32"/>
          <w:szCs w:val="32"/>
          <w:rtl/>
        </w:rPr>
        <w:t xml:space="preserve"> </w:t>
      </w:r>
      <w:r w:rsidRPr="00B119BE">
        <w:rPr>
          <w:rFonts w:hint="cs"/>
          <w:sz w:val="32"/>
          <w:szCs w:val="32"/>
          <w:rtl/>
        </w:rPr>
        <w:t xml:space="preserve">بيان الدليل ( 308-317)، وإعلام الموقعين (5/141-190)، وإغاثة اللهفان (2/787-818). </w:t>
      </w:r>
    </w:p>
  </w:footnote>
  <w:footnote w:id="830">
    <w:p w:rsidR="000D3D21" w:rsidRPr="0086755E" w:rsidRDefault="000D3D21" w:rsidP="005E65EA">
      <w:pPr>
        <w:pStyle w:val="a7"/>
        <w:rPr>
          <w:rFonts w:ascii="Traditional Arabic" w:hAnsi="Traditional Arabic"/>
          <w:sz w:val="32"/>
          <w:szCs w:val="32"/>
          <w:rtl/>
        </w:rPr>
      </w:pPr>
      <w:r w:rsidRPr="00B119BE">
        <w:rPr>
          <w:rStyle w:val="af1"/>
          <w:rFonts w:ascii="Traditional Arabic" w:hAnsi="Traditional Arabic"/>
          <w:sz w:val="32"/>
          <w:szCs w:val="32"/>
          <w:vertAlign w:val="baseline"/>
        </w:rPr>
        <w:footnoteRef/>
      </w:r>
      <w:r w:rsidRPr="00B119BE">
        <w:rPr>
          <w:rFonts w:ascii="Traditional Arabic" w:hAnsi="Traditional Arabic"/>
          <w:sz w:val="32"/>
          <w:szCs w:val="32"/>
        </w:rPr>
        <w:t>)</w:t>
      </w:r>
      <w:r w:rsidRPr="00B119BE">
        <w:rPr>
          <w:rFonts w:ascii="Traditional Arabic" w:hAnsi="Traditional Arabic"/>
          <w:sz w:val="32"/>
          <w:szCs w:val="32"/>
          <w:rtl/>
        </w:rPr>
        <w:t xml:space="preserve">) </w:t>
      </w:r>
      <w:r w:rsidRPr="00B119BE">
        <w:rPr>
          <w:rFonts w:ascii="Traditional Arabic" w:hAnsi="Traditional Arabic" w:hint="cs"/>
          <w:sz w:val="32"/>
          <w:szCs w:val="32"/>
          <w:rtl/>
        </w:rPr>
        <w:t>انظر الشرح الممتع (10/242).</w:t>
      </w:r>
    </w:p>
  </w:footnote>
  <w:footnote w:id="831">
    <w:p w:rsidR="000D3D21" w:rsidRPr="00B119BE" w:rsidRDefault="000D3D21" w:rsidP="000D16EE">
      <w:pPr>
        <w:pStyle w:val="a7"/>
        <w:rPr>
          <w:rFonts w:ascii="Traditional Arabic" w:hAnsi="Traditional Arabic"/>
          <w:sz w:val="32"/>
          <w:szCs w:val="32"/>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Fonts w:ascii="Traditional Arabic" w:hAnsi="Traditional Arabic" w:hint="cs"/>
          <w:b/>
          <w:bCs/>
          <w:sz w:val="32"/>
          <w:szCs w:val="32"/>
          <w:rtl/>
        </w:rPr>
        <w:t xml:space="preserve"> </w:t>
      </w:r>
      <w:r w:rsidRPr="00B119BE">
        <w:rPr>
          <w:rFonts w:ascii="Traditional Arabic" w:hAnsi="Traditional Arabic"/>
          <w:b/>
          <w:bCs/>
          <w:sz w:val="32"/>
          <w:szCs w:val="32"/>
          <w:rtl/>
        </w:rPr>
        <w:t>العينة</w:t>
      </w:r>
      <w:r w:rsidR="00AB0B9E" w:rsidRPr="00B119BE">
        <w:rPr>
          <w:rFonts w:ascii="Traditional Arabic" w:hAnsi="Traditional Arabic"/>
          <w:b/>
          <w:bCs/>
          <w:sz w:val="32"/>
          <w:szCs w:val="32"/>
          <w:rtl/>
        </w:rPr>
        <w:fldChar w:fldCharType="begin"/>
      </w:r>
      <w:r w:rsidRPr="00B119BE">
        <w:rPr>
          <w:rFonts w:ascii="Traditional Arabic" w:hAnsi="Traditional Arabic"/>
          <w:sz w:val="32"/>
          <w:szCs w:val="32"/>
        </w:rPr>
        <w:instrText xml:space="preserve"> XE "</w:instrText>
      </w:r>
      <w:r w:rsidRPr="00B119BE">
        <w:rPr>
          <w:rFonts w:ascii="Traditional Arabic" w:hAnsi="Traditional Arabic"/>
          <w:sz w:val="32"/>
          <w:szCs w:val="32"/>
          <w:rtl/>
        </w:rPr>
        <w:instrText>العينة</w:instrText>
      </w:r>
      <w:r w:rsidRPr="00B119BE">
        <w:rPr>
          <w:rFonts w:ascii="Traditional Arabic" w:hAnsi="Traditional Arabic"/>
          <w:sz w:val="32"/>
          <w:szCs w:val="32"/>
        </w:rPr>
        <w:instrText>" \fm</w:instrText>
      </w:r>
      <w:r w:rsidR="00AB0B9E" w:rsidRPr="00B119BE">
        <w:rPr>
          <w:rFonts w:ascii="Traditional Arabic" w:hAnsi="Traditional Arabic"/>
          <w:b/>
          <w:bCs/>
          <w:sz w:val="32"/>
          <w:szCs w:val="32"/>
          <w:rtl/>
        </w:rPr>
        <w:fldChar w:fldCharType="end"/>
      </w:r>
      <w:r w:rsidRPr="00B119BE">
        <w:rPr>
          <w:rFonts w:ascii="Traditional Arabic" w:hAnsi="Traditional Arabic"/>
          <w:b/>
          <w:bCs/>
          <w:sz w:val="32"/>
          <w:szCs w:val="32"/>
          <w:rtl/>
        </w:rPr>
        <w:t xml:space="preserve"> لغةً</w:t>
      </w:r>
      <w:r w:rsidRPr="00B119BE">
        <w:rPr>
          <w:rFonts w:ascii="Traditional Arabic" w:hAnsi="Traditional Arabic"/>
          <w:sz w:val="32"/>
          <w:szCs w:val="32"/>
          <w:rtl/>
        </w:rPr>
        <w:t>:</w:t>
      </w:r>
      <w:r>
        <w:rPr>
          <w:rFonts w:ascii="Traditional Arabic" w:hAnsi="Traditional Arabic" w:hint="cs"/>
          <w:sz w:val="32"/>
          <w:szCs w:val="32"/>
          <w:rtl/>
        </w:rPr>
        <w:t xml:space="preserve"> </w:t>
      </w:r>
      <w:r w:rsidRPr="00B119BE">
        <w:rPr>
          <w:rFonts w:ascii="Traditional Arabic" w:hAnsi="Traditional Arabic"/>
          <w:sz w:val="32"/>
          <w:szCs w:val="32"/>
          <w:rtl/>
        </w:rPr>
        <w:t>السَّلَف، يقال:</w:t>
      </w:r>
      <w:r>
        <w:rPr>
          <w:rFonts w:ascii="Traditional Arabic" w:hAnsi="Traditional Arabic" w:hint="cs"/>
          <w:sz w:val="32"/>
          <w:szCs w:val="32"/>
          <w:rtl/>
        </w:rPr>
        <w:t xml:space="preserve"> </w:t>
      </w:r>
      <w:r w:rsidRPr="00B119BE">
        <w:rPr>
          <w:rFonts w:ascii="Traditional Arabic" w:hAnsi="Traditional Arabic"/>
          <w:sz w:val="32"/>
          <w:szCs w:val="32"/>
          <w:rtl/>
        </w:rPr>
        <w:t>تعيَّنَ فلان من فلان عينةً، وعيَّنه تعيينًا، واعتان الرجل:</w:t>
      </w:r>
      <w:r>
        <w:rPr>
          <w:rFonts w:ascii="Traditional Arabic" w:hAnsi="Traditional Arabic" w:hint="cs"/>
          <w:sz w:val="32"/>
          <w:szCs w:val="32"/>
          <w:rtl/>
        </w:rPr>
        <w:t xml:space="preserve"> </w:t>
      </w:r>
      <w:r w:rsidRPr="00B119BE">
        <w:rPr>
          <w:rFonts w:ascii="Traditional Arabic" w:hAnsi="Traditional Arabic"/>
          <w:sz w:val="32"/>
          <w:szCs w:val="32"/>
          <w:rtl/>
        </w:rPr>
        <w:t>اشترى الشيءَ بالشيء نسيئةً، وقيل لهذا البيع عينة؛</w:t>
      </w:r>
      <w:r>
        <w:rPr>
          <w:rFonts w:ascii="Traditional Arabic" w:hAnsi="Traditional Arabic" w:hint="cs"/>
          <w:sz w:val="32"/>
          <w:szCs w:val="32"/>
          <w:rtl/>
        </w:rPr>
        <w:t xml:space="preserve"> </w:t>
      </w:r>
      <w:r w:rsidRPr="00B119BE">
        <w:rPr>
          <w:rFonts w:ascii="Traditional Arabic" w:hAnsi="Traditional Arabic"/>
          <w:sz w:val="32"/>
          <w:szCs w:val="32"/>
          <w:rtl/>
        </w:rPr>
        <w:t>لأن مشتري السلعِة إلى أجل يأخذ بدلها عينًا،</w:t>
      </w:r>
      <w:r>
        <w:rPr>
          <w:rFonts w:ascii="Traditional Arabic" w:hAnsi="Traditional Arabic" w:hint="cs"/>
          <w:sz w:val="32"/>
          <w:szCs w:val="32"/>
          <w:rtl/>
        </w:rPr>
        <w:t xml:space="preserve"> </w:t>
      </w:r>
      <w:r w:rsidRPr="00B119BE">
        <w:rPr>
          <w:rFonts w:ascii="Traditional Arabic" w:hAnsi="Traditional Arabic"/>
          <w:sz w:val="32"/>
          <w:szCs w:val="32"/>
          <w:rtl/>
        </w:rPr>
        <w:t>أي:</w:t>
      </w:r>
      <w:r>
        <w:rPr>
          <w:rFonts w:ascii="Traditional Arabic" w:hAnsi="Traditional Arabic" w:hint="cs"/>
          <w:sz w:val="32"/>
          <w:szCs w:val="32"/>
          <w:rtl/>
        </w:rPr>
        <w:t xml:space="preserve"> </w:t>
      </w:r>
      <w:r w:rsidRPr="00B119BE">
        <w:rPr>
          <w:rFonts w:ascii="Traditional Arabic" w:hAnsi="Traditional Arabic"/>
          <w:sz w:val="32"/>
          <w:szCs w:val="32"/>
          <w:rtl/>
        </w:rPr>
        <w:t>نقدًا حاضرًا.</w:t>
      </w:r>
      <w:r>
        <w:rPr>
          <w:rFonts w:ascii="Traditional Arabic" w:hAnsi="Traditional Arabic" w:hint="cs"/>
          <w:sz w:val="32"/>
          <w:szCs w:val="32"/>
          <w:rtl/>
        </w:rPr>
        <w:t xml:space="preserve"> </w:t>
      </w:r>
      <w:r w:rsidRPr="00B119BE">
        <w:rPr>
          <w:rFonts w:ascii="Traditional Arabic" w:hAnsi="Traditional Arabic"/>
          <w:sz w:val="32"/>
          <w:szCs w:val="32"/>
          <w:rtl/>
        </w:rPr>
        <w:t>انظر:</w:t>
      </w:r>
      <w:r>
        <w:rPr>
          <w:rFonts w:ascii="Traditional Arabic" w:hAnsi="Traditional Arabic" w:hint="cs"/>
          <w:sz w:val="32"/>
          <w:szCs w:val="32"/>
          <w:rtl/>
        </w:rPr>
        <w:t xml:space="preserve"> </w:t>
      </w:r>
      <w:r w:rsidRPr="00B119BE">
        <w:rPr>
          <w:rFonts w:ascii="Traditional Arabic" w:hAnsi="Traditional Arabic"/>
          <w:sz w:val="32"/>
          <w:szCs w:val="32"/>
          <w:rtl/>
        </w:rPr>
        <w:t>مقاييس اللغة(4/205)، والمصباح المنير (359).</w:t>
      </w:r>
    </w:p>
    <w:p w:rsidR="000D3D21" w:rsidRPr="00B119BE" w:rsidRDefault="000D3D21" w:rsidP="005E65EA">
      <w:pPr>
        <w:pStyle w:val="a7"/>
        <w:rPr>
          <w:rFonts w:ascii="Traditional Arabic" w:hAnsi="Traditional Arabic"/>
          <w:sz w:val="32"/>
          <w:szCs w:val="32"/>
          <w:rtl/>
        </w:rPr>
      </w:pPr>
      <w:r w:rsidRPr="00B119BE">
        <w:rPr>
          <w:rFonts w:ascii="Traditional Arabic" w:hAnsi="Traditional Arabic"/>
          <w:sz w:val="32"/>
          <w:szCs w:val="32"/>
          <w:rtl/>
        </w:rPr>
        <w:t xml:space="preserve"> </w:t>
      </w:r>
      <w:r>
        <w:rPr>
          <w:rFonts w:ascii="Traditional Arabic" w:hAnsi="Traditional Arabic" w:hint="cs"/>
          <w:sz w:val="32"/>
          <w:szCs w:val="32"/>
          <w:rtl/>
        </w:rPr>
        <w:t xml:space="preserve">    </w:t>
      </w:r>
      <w:r w:rsidRPr="00B119BE">
        <w:rPr>
          <w:rFonts w:ascii="Traditional Arabic" w:hAnsi="Traditional Arabic"/>
          <w:b/>
          <w:bCs/>
          <w:sz w:val="32"/>
          <w:szCs w:val="32"/>
          <w:rtl/>
        </w:rPr>
        <w:t>العينة شرعاً</w:t>
      </w:r>
      <w:r w:rsidRPr="00B119BE">
        <w:rPr>
          <w:rFonts w:ascii="Traditional Arabic" w:hAnsi="Traditional Arabic"/>
          <w:sz w:val="32"/>
          <w:szCs w:val="32"/>
          <w:rtl/>
        </w:rPr>
        <w:t>:</w:t>
      </w:r>
      <w:r>
        <w:rPr>
          <w:rFonts w:ascii="Traditional Arabic" w:hAnsi="Traditional Arabic" w:hint="cs"/>
          <w:sz w:val="32"/>
          <w:szCs w:val="32"/>
          <w:rtl/>
        </w:rPr>
        <w:t xml:space="preserve"> </w:t>
      </w:r>
      <w:r w:rsidRPr="00B119BE">
        <w:rPr>
          <w:rFonts w:ascii="Traditional Arabic" w:hAnsi="Traditional Arabic"/>
          <w:sz w:val="32"/>
          <w:szCs w:val="32"/>
          <w:rtl/>
        </w:rPr>
        <w:t>بيعُ سلعةٍ بثمن مؤجَّل، ثم شراؤها بأقلَّ منها نقدًا.</w:t>
      </w:r>
      <w:r>
        <w:rPr>
          <w:rFonts w:ascii="Traditional Arabic" w:hAnsi="Traditional Arabic" w:hint="cs"/>
          <w:sz w:val="32"/>
          <w:szCs w:val="32"/>
          <w:rtl/>
        </w:rPr>
        <w:t xml:space="preserve"> </w:t>
      </w:r>
      <w:r w:rsidRPr="00B119BE">
        <w:rPr>
          <w:rFonts w:ascii="Traditional Arabic" w:hAnsi="Traditional Arabic"/>
          <w:sz w:val="32"/>
          <w:szCs w:val="32"/>
          <w:rtl/>
        </w:rPr>
        <w:t>انظر المغني لابن قدامة (6/260، 262).</w:t>
      </w:r>
    </w:p>
  </w:footnote>
  <w:footnote w:id="832">
    <w:p w:rsidR="000D3D21" w:rsidRPr="00B119BE" w:rsidRDefault="000D3D21" w:rsidP="005E65EA">
      <w:pPr>
        <w:pStyle w:val="a7"/>
        <w:rPr>
          <w:rFonts w:ascii="Traditional Arabic" w:hAnsi="Traditional Arabic"/>
          <w:sz w:val="32"/>
          <w:szCs w:val="32"/>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B119BE">
        <w:rPr>
          <w:rFonts w:ascii="Traditional Arabic" w:hAnsi="Traditional Arabic"/>
          <w:sz w:val="32"/>
          <w:szCs w:val="32"/>
          <w:rtl/>
        </w:rPr>
        <w:t>انظر الشرح الممتع (8/210).</w:t>
      </w:r>
    </w:p>
  </w:footnote>
  <w:footnote w:id="833">
    <w:p w:rsidR="000D3D21" w:rsidRPr="00B119BE" w:rsidRDefault="000D3D21" w:rsidP="005E65EA">
      <w:pPr>
        <w:pStyle w:val="a7"/>
        <w:rPr>
          <w:rFonts w:ascii="Traditional Arabic" w:hAnsi="Traditional Arabic"/>
          <w:sz w:val="32"/>
          <w:szCs w:val="32"/>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B119BE">
        <w:rPr>
          <w:rFonts w:ascii="Traditional Arabic" w:hAnsi="Traditional Arabic"/>
          <w:sz w:val="32"/>
          <w:szCs w:val="32"/>
          <w:rtl/>
        </w:rPr>
        <w:t>انظر المرجع السابق (8/211، 370).</w:t>
      </w:r>
    </w:p>
  </w:footnote>
  <w:footnote w:id="834">
    <w:p w:rsidR="000D3D21" w:rsidRPr="00B119BE" w:rsidRDefault="000D3D21" w:rsidP="005E65EA">
      <w:pPr>
        <w:pStyle w:val="a7"/>
        <w:rPr>
          <w:rFonts w:ascii="Traditional Arabic" w:hAnsi="Traditional Arabic"/>
          <w:sz w:val="32"/>
          <w:szCs w:val="32"/>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B119BE">
        <w:rPr>
          <w:rFonts w:ascii="Traditional Arabic" w:hAnsi="Traditional Arabic"/>
          <w:sz w:val="32"/>
          <w:szCs w:val="32"/>
          <w:rtl/>
        </w:rPr>
        <w:t>انظر المرجع السابق (8/210، 211، 370).</w:t>
      </w:r>
    </w:p>
  </w:footnote>
  <w:footnote w:id="835">
    <w:p w:rsidR="000D3D21" w:rsidRDefault="000D3D21" w:rsidP="005E65EA">
      <w:pPr>
        <w:pStyle w:val="a7"/>
        <w:rPr>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Pr>
          <w:rFonts w:ascii="Traditional Arabic" w:hAnsi="Traditional Arabic"/>
          <w:sz w:val="32"/>
          <w:szCs w:val="32"/>
          <w:rtl/>
        </w:rPr>
        <w:t xml:space="preserve">استثنى الشيخ </w:t>
      </w:r>
      <w:r>
        <w:rPr>
          <w:rFonts w:ascii="Traditional Arabic" w:hAnsi="Traditional Arabic" w:hint="cs"/>
          <w:sz w:val="32"/>
          <w:szCs w:val="32"/>
          <w:rtl/>
        </w:rPr>
        <w:t>ابن عثيمين _رحمه الله_</w:t>
      </w:r>
      <w:r w:rsidRPr="00B119BE">
        <w:rPr>
          <w:rFonts w:ascii="Traditional Arabic" w:hAnsi="Traditional Arabic"/>
          <w:sz w:val="32"/>
          <w:szCs w:val="32"/>
          <w:rtl/>
        </w:rPr>
        <w:t xml:space="preserve"> </w:t>
      </w:r>
      <w:r>
        <w:rPr>
          <w:rFonts w:ascii="Traditional Arabic" w:hAnsi="Traditional Arabic"/>
          <w:sz w:val="32"/>
          <w:szCs w:val="32"/>
          <w:rtl/>
        </w:rPr>
        <w:t>كذلك مسألة أخرى، وهي :إذا شَرَط</w:t>
      </w:r>
      <w:r>
        <w:rPr>
          <w:rFonts w:ascii="Traditional Arabic" w:hAnsi="Traditional Arabic" w:hint="cs"/>
          <w:sz w:val="32"/>
          <w:szCs w:val="32"/>
          <w:rtl/>
        </w:rPr>
        <w:t>َ</w:t>
      </w:r>
      <w:r w:rsidRPr="00B119BE">
        <w:rPr>
          <w:rFonts w:ascii="Traditional Arabic" w:hAnsi="Traditional Arabic"/>
          <w:sz w:val="32"/>
          <w:szCs w:val="32"/>
          <w:rtl/>
        </w:rPr>
        <w:t xml:space="preserve"> قرضا ينتفع به؛</w:t>
      </w:r>
      <w:r>
        <w:rPr>
          <w:rFonts w:ascii="Traditional Arabic" w:hAnsi="Traditional Arabic" w:hint="cs"/>
          <w:sz w:val="32"/>
          <w:szCs w:val="32"/>
          <w:rtl/>
        </w:rPr>
        <w:t xml:space="preserve"> </w:t>
      </w:r>
      <w:r w:rsidRPr="00B119BE">
        <w:rPr>
          <w:rFonts w:ascii="Traditional Arabic" w:hAnsi="Traditional Arabic"/>
          <w:sz w:val="32"/>
          <w:szCs w:val="32"/>
          <w:rtl/>
        </w:rPr>
        <w:t>لأن كل قرض جرّ نفعا فهو ربا.</w:t>
      </w:r>
      <w:r>
        <w:rPr>
          <w:rFonts w:ascii="Traditional Arabic" w:hAnsi="Traditional Arabic" w:hint="cs"/>
          <w:sz w:val="32"/>
          <w:szCs w:val="32"/>
          <w:rtl/>
        </w:rPr>
        <w:t xml:space="preserve"> </w:t>
      </w:r>
      <w:r w:rsidRPr="00B119BE">
        <w:rPr>
          <w:rFonts w:ascii="Traditional Arabic" w:hAnsi="Traditional Arabic"/>
          <w:sz w:val="32"/>
          <w:szCs w:val="32"/>
          <w:rtl/>
        </w:rPr>
        <w:t>انظر الشرح الممتع (8/240).</w:t>
      </w:r>
    </w:p>
  </w:footnote>
  <w:footnote w:id="836">
    <w:p w:rsidR="000D3D21" w:rsidRPr="00B119BE" w:rsidRDefault="000D3D21" w:rsidP="005E65EA">
      <w:pPr>
        <w:pStyle w:val="a7"/>
        <w:rPr>
          <w:rFonts w:ascii="Traditional Arabic" w:hAnsi="Traditional Arabic"/>
          <w:sz w:val="32"/>
          <w:szCs w:val="32"/>
        </w:rPr>
      </w:pPr>
      <w:r w:rsidRPr="00B119BE">
        <w:rPr>
          <w:rStyle w:val="af1"/>
          <w:rFonts w:ascii="Traditional Arabic" w:hAnsi="Traditional Arabic"/>
          <w:sz w:val="32"/>
          <w:szCs w:val="32"/>
          <w:vertAlign w:val="baseline"/>
        </w:rPr>
        <w:footnoteRef/>
      </w:r>
      <w:r w:rsidRPr="00B119BE">
        <w:rPr>
          <w:rFonts w:ascii="Traditional Arabic" w:hAnsi="Traditional Arabic"/>
          <w:sz w:val="32"/>
          <w:szCs w:val="32"/>
        </w:rPr>
        <w:t>)</w:t>
      </w:r>
      <w:r w:rsidRPr="00B119BE">
        <w:rPr>
          <w:rFonts w:ascii="Traditional Arabic" w:hAnsi="Traditional Arabic"/>
          <w:sz w:val="32"/>
          <w:szCs w:val="32"/>
          <w:rtl/>
        </w:rPr>
        <w:t>) انظر المرجع السابق (</w:t>
      </w:r>
      <w:r>
        <w:rPr>
          <w:rFonts w:ascii="Traditional Arabic" w:hAnsi="Traditional Arabic" w:hint="cs"/>
          <w:sz w:val="32"/>
          <w:szCs w:val="32"/>
          <w:rtl/>
        </w:rPr>
        <w:t>8/</w:t>
      </w:r>
      <w:r w:rsidRPr="00B119BE">
        <w:rPr>
          <w:rFonts w:ascii="Traditional Arabic" w:hAnsi="Traditional Arabic"/>
          <w:sz w:val="32"/>
          <w:szCs w:val="32"/>
          <w:rtl/>
        </w:rPr>
        <w:t>240، 241)، و(8/451).</w:t>
      </w:r>
    </w:p>
  </w:footnote>
  <w:footnote w:id="837">
    <w:p w:rsidR="000D3D21" w:rsidRPr="00B119BE" w:rsidRDefault="000D3D21" w:rsidP="005E65EA">
      <w:pPr>
        <w:pStyle w:val="a7"/>
        <w:rPr>
          <w:rFonts w:ascii="Traditional Arabic" w:hAnsi="Traditional Arabic"/>
          <w:sz w:val="32"/>
          <w:szCs w:val="32"/>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Style w:val="af1"/>
          <w:rFonts w:ascii="Traditional Arabic" w:hAnsi="Traditional Arabic" w:hint="cs"/>
          <w:sz w:val="32"/>
          <w:szCs w:val="32"/>
          <w:vertAlign w:val="baseline"/>
          <w:rtl/>
        </w:rPr>
        <w:t xml:space="preserve"> </w:t>
      </w:r>
      <w:r w:rsidRPr="00B119BE">
        <w:rPr>
          <w:rFonts w:ascii="Traditional Arabic" w:hAnsi="Traditional Arabic"/>
          <w:sz w:val="32"/>
          <w:szCs w:val="32"/>
          <w:rtl/>
        </w:rPr>
        <w:t>انظر المرجع السابق (8/268).</w:t>
      </w:r>
    </w:p>
  </w:footnote>
  <w:footnote w:id="838">
    <w:p w:rsidR="000D3D21" w:rsidRPr="00B119BE" w:rsidRDefault="000D3D21" w:rsidP="005E65EA">
      <w:pPr>
        <w:pStyle w:val="a7"/>
        <w:rPr>
          <w:rFonts w:ascii="Traditional Arabic" w:hAnsi="Traditional Arabic"/>
          <w:sz w:val="32"/>
          <w:szCs w:val="32"/>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B119BE">
        <w:rPr>
          <w:rFonts w:ascii="Traditional Arabic" w:hAnsi="Traditional Arabic"/>
          <w:sz w:val="32"/>
          <w:szCs w:val="32"/>
          <w:rtl/>
        </w:rPr>
        <w:t>انظر المرجع السابق (8/268) و(10/242).</w:t>
      </w:r>
    </w:p>
  </w:footnote>
  <w:footnote w:id="839">
    <w:p w:rsidR="000D3D21" w:rsidRPr="00B119BE" w:rsidRDefault="000D3D21" w:rsidP="005E65EA">
      <w:pPr>
        <w:pStyle w:val="a7"/>
        <w:rPr>
          <w:rFonts w:ascii="Traditional Arabic" w:hAnsi="Traditional Arabic"/>
          <w:sz w:val="32"/>
          <w:szCs w:val="32"/>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B119BE">
        <w:rPr>
          <w:rFonts w:ascii="Traditional Arabic" w:hAnsi="Traditional Arabic"/>
          <w:sz w:val="32"/>
          <w:szCs w:val="32"/>
          <w:rtl/>
        </w:rPr>
        <w:t>انظر المرجع السابق (9/362).</w:t>
      </w:r>
    </w:p>
  </w:footnote>
  <w:footnote w:id="840">
    <w:p w:rsidR="000D3D21" w:rsidRPr="00B119BE" w:rsidRDefault="000D3D21" w:rsidP="005E65EA">
      <w:pPr>
        <w:pStyle w:val="a7"/>
        <w:rPr>
          <w:rStyle w:val="af1"/>
          <w:rFonts w:ascii="Traditional Arabic" w:hAnsi="Traditional Arabic"/>
          <w:sz w:val="32"/>
          <w:szCs w:val="32"/>
          <w:vertAlign w:val="baseline"/>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Style w:val="af1"/>
          <w:rFonts w:ascii="Traditional Arabic" w:hAnsi="Traditional Arabic" w:hint="cs"/>
          <w:sz w:val="32"/>
          <w:szCs w:val="32"/>
          <w:vertAlign w:val="baseline"/>
          <w:rtl/>
        </w:rPr>
        <w:t xml:space="preserve"> </w:t>
      </w:r>
      <w:r w:rsidRPr="00B119BE">
        <w:rPr>
          <w:rStyle w:val="af1"/>
          <w:rFonts w:ascii="Traditional Arabic" w:hAnsi="Traditional Arabic"/>
          <w:sz w:val="32"/>
          <w:szCs w:val="32"/>
          <w:vertAlign w:val="baseline"/>
          <w:rtl/>
        </w:rPr>
        <w:t>انظر المرجع السابق.</w:t>
      </w:r>
    </w:p>
  </w:footnote>
  <w:footnote w:id="841">
    <w:p w:rsidR="000D3D21" w:rsidRPr="00BF4167" w:rsidRDefault="000D3D21" w:rsidP="000D16EE">
      <w:pPr>
        <w:pStyle w:val="a7"/>
        <w:rPr>
          <w:b/>
          <w:bCs/>
          <w:rtl/>
        </w:rPr>
      </w:pPr>
      <w:r w:rsidRPr="00B119BE">
        <w:rPr>
          <w:rStyle w:val="af1"/>
          <w:rFonts w:ascii="Traditional Arabic" w:hAnsi="Traditional Arabic"/>
          <w:sz w:val="32"/>
          <w:szCs w:val="32"/>
          <w:vertAlign w:val="baseline"/>
        </w:rPr>
        <w:footnoteRef/>
      </w:r>
      <w:r w:rsidRPr="00B119BE">
        <w:rPr>
          <w:rStyle w:val="af1"/>
          <w:rFonts w:ascii="Traditional Arabic" w:hAnsi="Traditional Arabic"/>
          <w:sz w:val="32"/>
          <w:szCs w:val="32"/>
          <w:vertAlign w:val="baseline"/>
        </w:rPr>
        <w:t>)</w:t>
      </w:r>
      <w:r w:rsidRPr="00B119BE">
        <w:rPr>
          <w:rStyle w:val="af1"/>
          <w:rFonts w:ascii="Traditional Arabic" w:hAnsi="Traditional Arabic"/>
          <w:sz w:val="32"/>
          <w:szCs w:val="32"/>
          <w:vertAlign w:val="baseline"/>
          <w:rtl/>
        </w:rPr>
        <w:t>)</w:t>
      </w:r>
      <w:r>
        <w:rPr>
          <w:rStyle w:val="af1"/>
          <w:rFonts w:ascii="Traditional Arabic" w:hAnsi="Traditional Arabic" w:hint="cs"/>
          <w:b/>
          <w:bCs/>
          <w:sz w:val="32"/>
          <w:szCs w:val="32"/>
          <w:vertAlign w:val="baseline"/>
          <w:rtl/>
        </w:rPr>
        <w:t xml:space="preserve"> </w:t>
      </w:r>
      <w:r w:rsidRPr="00B119BE">
        <w:rPr>
          <w:rStyle w:val="af1"/>
          <w:rFonts w:ascii="Traditional Arabic" w:hAnsi="Traditional Arabic"/>
          <w:b/>
          <w:bCs/>
          <w:sz w:val="32"/>
          <w:szCs w:val="32"/>
          <w:vertAlign w:val="baseline"/>
          <w:rtl/>
        </w:rPr>
        <w:t>قامَرَ</w:t>
      </w:r>
      <w:r w:rsidR="00AB0B9E" w:rsidRPr="00B119BE">
        <w:rPr>
          <w:rFonts w:ascii="Traditional Arabic" w:hAnsi="Traditional Arabic"/>
          <w:sz w:val="32"/>
          <w:szCs w:val="32"/>
          <w:rtl/>
        </w:rPr>
        <w:fldChar w:fldCharType="begin"/>
      </w:r>
      <w:r w:rsidRPr="00B119BE">
        <w:rPr>
          <w:rFonts w:ascii="Traditional Arabic" w:hAnsi="Traditional Arabic"/>
          <w:sz w:val="32"/>
          <w:szCs w:val="32"/>
        </w:rPr>
        <w:instrText xml:space="preserve"> XE "</w:instrText>
      </w:r>
      <w:r w:rsidRPr="00B119BE">
        <w:rPr>
          <w:rFonts w:ascii="Traditional Arabic" w:hAnsi="Traditional Arabic"/>
          <w:sz w:val="32"/>
          <w:szCs w:val="32"/>
          <w:rtl/>
        </w:rPr>
        <w:instrText>القمار</w:instrText>
      </w:r>
      <w:r w:rsidRPr="00B119BE">
        <w:rPr>
          <w:rFonts w:ascii="Traditional Arabic" w:hAnsi="Traditional Arabic"/>
          <w:sz w:val="32"/>
          <w:szCs w:val="32"/>
        </w:rPr>
        <w:instrText>" \fm</w:instrText>
      </w:r>
      <w:r w:rsidR="00AB0B9E" w:rsidRPr="00B119BE">
        <w:rPr>
          <w:rFonts w:ascii="Traditional Arabic" w:hAnsi="Traditional Arabic"/>
          <w:sz w:val="32"/>
          <w:szCs w:val="32"/>
          <w:rtl/>
        </w:rPr>
        <w:fldChar w:fldCharType="end"/>
      </w:r>
      <w:r w:rsidRPr="00B119BE">
        <w:rPr>
          <w:rStyle w:val="af1"/>
          <w:rFonts w:ascii="Traditional Arabic" w:hAnsi="Traditional Arabic"/>
          <w:sz w:val="32"/>
          <w:szCs w:val="32"/>
          <w:vertAlign w:val="baseline"/>
          <w:rtl/>
        </w:rPr>
        <w:t xml:space="preserve"> الرجلَ مُقامَرَةً وقِماراً إذا راهَنَه</w:t>
      </w:r>
      <w:r w:rsidRPr="00B119BE">
        <w:rPr>
          <w:rFonts w:ascii="Traditional Arabic" w:hAnsi="Traditional Arabic"/>
          <w:sz w:val="32"/>
          <w:szCs w:val="32"/>
          <w:rtl/>
        </w:rPr>
        <w:t xml:space="preserve"> فغلبه</w:t>
      </w:r>
      <w:r w:rsidRPr="00B119BE">
        <w:rPr>
          <w:rStyle w:val="af1"/>
          <w:rFonts w:ascii="Traditional Arabic" w:hAnsi="Traditional Arabic"/>
          <w:sz w:val="32"/>
          <w:szCs w:val="32"/>
          <w:vertAlign w:val="baseline"/>
          <w:rtl/>
        </w:rPr>
        <w:t>.انظر لسان العرب (41/3737)، والقاموس المحيط (3/120)</w:t>
      </w:r>
      <w:r w:rsidRPr="00B119BE">
        <w:rPr>
          <w:rFonts w:ascii="Traditional Arabic" w:hAnsi="Traditional Arabic"/>
          <w:sz w:val="32"/>
          <w:szCs w:val="32"/>
          <w:rtl/>
        </w:rPr>
        <w:t>.</w:t>
      </w:r>
    </w:p>
  </w:footnote>
  <w:footnote w:id="842">
    <w:p w:rsidR="000D3D21" w:rsidRPr="00474E45" w:rsidRDefault="000D3D21" w:rsidP="005E65EA">
      <w:pPr>
        <w:pStyle w:val="a7"/>
        <w:rPr>
          <w:rStyle w:val="af1"/>
          <w:rFonts w:ascii="Traditional Arabic" w:hAnsi="Traditional Arabic"/>
          <w:sz w:val="32"/>
          <w:szCs w:val="32"/>
          <w:vertAlign w:val="baseline"/>
          <w:rtl/>
        </w:rPr>
      </w:pPr>
      <w:r w:rsidRPr="00BF3292">
        <w:rPr>
          <w:rStyle w:val="af1"/>
          <w:rFonts w:ascii="Traditional Arabic" w:hAnsi="Traditional Arabic"/>
          <w:sz w:val="32"/>
          <w:szCs w:val="32"/>
          <w:vertAlign w:val="baseline"/>
        </w:rPr>
        <w:footnoteRef/>
      </w:r>
      <w:r w:rsidRPr="00BF3292">
        <w:rPr>
          <w:rStyle w:val="af1"/>
          <w:rFonts w:ascii="Traditional Arabic" w:hAnsi="Traditional Arabic"/>
          <w:sz w:val="32"/>
          <w:szCs w:val="32"/>
          <w:vertAlign w:val="baseline"/>
        </w:rPr>
        <w:t>)</w:t>
      </w:r>
      <w:r w:rsidRPr="00BF3292">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474E45">
        <w:rPr>
          <w:rStyle w:val="af1"/>
          <w:rFonts w:ascii="Traditional Arabic" w:hAnsi="Traditional Arabic"/>
          <w:sz w:val="32"/>
          <w:szCs w:val="32"/>
          <w:vertAlign w:val="baseline"/>
          <w:rtl/>
        </w:rPr>
        <w:t>انظر الشرح الممتع (10/98-101)</w:t>
      </w:r>
      <w:r>
        <w:rPr>
          <w:rStyle w:val="af1"/>
          <w:rFonts w:ascii="Traditional Arabic" w:hAnsi="Traditional Arabic" w:hint="cs"/>
          <w:sz w:val="32"/>
          <w:szCs w:val="32"/>
          <w:vertAlign w:val="baseline"/>
          <w:rtl/>
        </w:rPr>
        <w:t>.</w:t>
      </w:r>
    </w:p>
  </w:footnote>
  <w:footnote w:id="843">
    <w:p w:rsidR="000D3D21" w:rsidRPr="00474E45" w:rsidRDefault="000D3D21" w:rsidP="005E65EA">
      <w:pPr>
        <w:pStyle w:val="a7"/>
        <w:rPr>
          <w:rStyle w:val="af1"/>
          <w:rFonts w:ascii="Traditional Arabic" w:hAnsi="Traditional Arabic"/>
          <w:sz w:val="32"/>
          <w:szCs w:val="32"/>
          <w:vertAlign w:val="baseline"/>
          <w:rtl/>
        </w:rPr>
      </w:pPr>
      <w:r w:rsidRPr="00474E45">
        <w:rPr>
          <w:rStyle w:val="af1"/>
          <w:rFonts w:ascii="Traditional Arabic" w:hAnsi="Traditional Arabic"/>
          <w:sz w:val="32"/>
          <w:szCs w:val="32"/>
          <w:vertAlign w:val="baseline"/>
        </w:rPr>
        <w:footnoteRef/>
      </w:r>
      <w:r w:rsidRPr="00474E45">
        <w:rPr>
          <w:rStyle w:val="af1"/>
          <w:rFonts w:ascii="Traditional Arabic" w:hAnsi="Traditional Arabic"/>
          <w:sz w:val="32"/>
          <w:szCs w:val="32"/>
          <w:vertAlign w:val="baseline"/>
        </w:rPr>
        <w:t>)</w:t>
      </w:r>
      <w:r>
        <w:rPr>
          <w:rStyle w:val="af1"/>
          <w:rFonts w:ascii="Traditional Arabic" w:hAnsi="Traditional Arabic"/>
          <w:sz w:val="32"/>
          <w:szCs w:val="32"/>
          <w:vertAlign w:val="baseline"/>
          <w:rtl/>
        </w:rPr>
        <w:t>) انظر ال</w:t>
      </w:r>
      <w:r>
        <w:rPr>
          <w:rStyle w:val="af1"/>
          <w:rFonts w:ascii="Traditional Arabic" w:hAnsi="Traditional Arabic" w:hint="cs"/>
          <w:sz w:val="32"/>
          <w:szCs w:val="32"/>
          <w:vertAlign w:val="baseline"/>
          <w:rtl/>
        </w:rPr>
        <w:t>مرجع السابق</w:t>
      </w:r>
      <w:r w:rsidRPr="00474E45">
        <w:rPr>
          <w:rStyle w:val="af1"/>
          <w:rFonts w:ascii="Traditional Arabic" w:hAnsi="Traditional Arabic"/>
          <w:sz w:val="32"/>
          <w:szCs w:val="32"/>
          <w:vertAlign w:val="baseline"/>
          <w:rtl/>
        </w:rPr>
        <w:t xml:space="preserve"> (10/100)</w:t>
      </w:r>
      <w:r>
        <w:rPr>
          <w:rStyle w:val="af1"/>
          <w:rFonts w:ascii="Traditional Arabic" w:hAnsi="Traditional Arabic" w:hint="cs"/>
          <w:sz w:val="32"/>
          <w:szCs w:val="32"/>
          <w:vertAlign w:val="baseline"/>
          <w:rtl/>
        </w:rPr>
        <w:t>، وفتح ذي الجلال والإكرام (5/525)</w:t>
      </w:r>
      <w:r w:rsidRPr="00474E45">
        <w:rPr>
          <w:rStyle w:val="af1"/>
          <w:rFonts w:ascii="Traditional Arabic" w:hAnsi="Traditional Arabic"/>
          <w:sz w:val="32"/>
          <w:szCs w:val="32"/>
          <w:vertAlign w:val="baseline"/>
          <w:rtl/>
        </w:rPr>
        <w:t>.</w:t>
      </w:r>
    </w:p>
  </w:footnote>
  <w:footnote w:id="844">
    <w:p w:rsidR="000D3D21" w:rsidRPr="00474E45" w:rsidRDefault="000D3D21" w:rsidP="005E65EA">
      <w:pPr>
        <w:pStyle w:val="a7"/>
        <w:rPr>
          <w:rStyle w:val="af1"/>
          <w:rFonts w:ascii="Traditional Arabic" w:hAnsi="Traditional Arabic"/>
          <w:sz w:val="32"/>
          <w:szCs w:val="32"/>
          <w:vertAlign w:val="baseline"/>
          <w:rtl/>
        </w:rPr>
      </w:pPr>
      <w:r w:rsidRPr="00474E45">
        <w:rPr>
          <w:rStyle w:val="af1"/>
          <w:rFonts w:ascii="Traditional Arabic" w:hAnsi="Traditional Arabic"/>
          <w:sz w:val="32"/>
          <w:szCs w:val="32"/>
          <w:vertAlign w:val="baseline"/>
        </w:rPr>
        <w:footnoteRef/>
      </w:r>
      <w:r w:rsidRPr="00474E45">
        <w:rPr>
          <w:rStyle w:val="af1"/>
          <w:rFonts w:ascii="Traditional Arabic" w:hAnsi="Traditional Arabic"/>
          <w:sz w:val="32"/>
          <w:szCs w:val="32"/>
          <w:vertAlign w:val="baseline"/>
        </w:rPr>
        <w:t>)</w:t>
      </w:r>
      <w:r>
        <w:rPr>
          <w:rStyle w:val="af1"/>
          <w:rFonts w:ascii="Traditional Arabic" w:hAnsi="Traditional Arabic"/>
          <w:sz w:val="32"/>
          <w:szCs w:val="32"/>
          <w:vertAlign w:val="baseline"/>
          <w:rtl/>
        </w:rPr>
        <w:t>) انظر ال</w:t>
      </w:r>
      <w:r>
        <w:rPr>
          <w:rStyle w:val="af1"/>
          <w:rFonts w:ascii="Traditional Arabic" w:hAnsi="Traditional Arabic" w:hint="cs"/>
          <w:sz w:val="32"/>
          <w:szCs w:val="32"/>
          <w:vertAlign w:val="baseline"/>
          <w:rtl/>
        </w:rPr>
        <w:t>شرح الممتع</w:t>
      </w:r>
      <w:r w:rsidRPr="00474E45">
        <w:rPr>
          <w:rStyle w:val="af1"/>
          <w:rFonts w:ascii="Traditional Arabic" w:hAnsi="Traditional Arabic"/>
          <w:sz w:val="32"/>
          <w:szCs w:val="32"/>
          <w:vertAlign w:val="baseline"/>
          <w:rtl/>
        </w:rPr>
        <w:t xml:space="preserve"> (10/241، 243).</w:t>
      </w:r>
    </w:p>
  </w:footnote>
  <w:footnote w:id="845">
    <w:p w:rsidR="000D3D21" w:rsidRPr="00474E45" w:rsidRDefault="000D3D21" w:rsidP="005E65EA">
      <w:pPr>
        <w:pStyle w:val="a7"/>
        <w:rPr>
          <w:rStyle w:val="af1"/>
          <w:rFonts w:ascii="Traditional Arabic" w:hAnsi="Traditional Arabic"/>
          <w:sz w:val="32"/>
          <w:szCs w:val="32"/>
          <w:vertAlign w:val="baseline"/>
          <w:rtl/>
        </w:rPr>
      </w:pPr>
      <w:r w:rsidRPr="00474E45">
        <w:rPr>
          <w:rStyle w:val="af1"/>
          <w:rFonts w:ascii="Traditional Arabic" w:hAnsi="Traditional Arabic"/>
          <w:sz w:val="32"/>
          <w:szCs w:val="32"/>
          <w:vertAlign w:val="baseline"/>
        </w:rPr>
        <w:footnoteRef/>
      </w:r>
      <w:r w:rsidRPr="00474E45">
        <w:rPr>
          <w:rStyle w:val="af1"/>
          <w:rFonts w:ascii="Traditional Arabic" w:hAnsi="Traditional Arabic"/>
          <w:sz w:val="32"/>
          <w:szCs w:val="32"/>
          <w:vertAlign w:val="baseline"/>
        </w:rPr>
        <w:t>)</w:t>
      </w:r>
      <w:r w:rsidRPr="00474E45">
        <w:rPr>
          <w:rStyle w:val="af1"/>
          <w:rFonts w:ascii="Traditional Arabic" w:hAnsi="Traditional Arabic"/>
          <w:sz w:val="32"/>
          <w:szCs w:val="32"/>
          <w:vertAlign w:val="baseline"/>
          <w:rtl/>
        </w:rPr>
        <w:t>) انظر المرجع السابق (242-243).</w:t>
      </w:r>
    </w:p>
  </w:footnote>
  <w:footnote w:id="846">
    <w:p w:rsidR="000D3D21" w:rsidRPr="00DE2C13" w:rsidRDefault="000D3D21" w:rsidP="005E65EA">
      <w:pPr>
        <w:pStyle w:val="a7"/>
        <w:rPr>
          <w:rFonts w:ascii="Traditional Arabic" w:hAnsi="Traditional Arabic"/>
          <w:sz w:val="32"/>
          <w:szCs w:val="32"/>
          <w:rtl/>
        </w:rPr>
      </w:pPr>
      <w:r w:rsidRPr="00DE2C13">
        <w:rPr>
          <w:rStyle w:val="af1"/>
          <w:rFonts w:ascii="Traditional Arabic" w:hAnsi="Traditional Arabic"/>
          <w:sz w:val="32"/>
          <w:szCs w:val="32"/>
          <w:vertAlign w:val="baseline"/>
        </w:rPr>
        <w:footnoteRef/>
      </w:r>
      <w:r w:rsidRPr="00DE2C13">
        <w:rPr>
          <w:rFonts w:ascii="Traditional Arabic" w:hAnsi="Traditional Arabic"/>
          <w:sz w:val="32"/>
          <w:szCs w:val="32"/>
        </w:rPr>
        <w:t>)</w:t>
      </w:r>
      <w:r w:rsidRPr="00DE2C13">
        <w:rPr>
          <w:rFonts w:ascii="Traditional Arabic" w:hAnsi="Traditional Arabic"/>
          <w:sz w:val="32"/>
          <w:szCs w:val="32"/>
          <w:rtl/>
        </w:rPr>
        <w:t xml:space="preserve">) </w:t>
      </w:r>
      <w:r w:rsidRPr="00DE2C13">
        <w:rPr>
          <w:rFonts w:ascii="Traditional Arabic" w:hAnsi="Traditional Arabic" w:hint="cs"/>
          <w:sz w:val="32"/>
          <w:szCs w:val="32"/>
          <w:rtl/>
        </w:rPr>
        <w:t>اخترت هذه الصيغة ؛لأن الشيخ</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 ذكرها في كتاب البيع</w:t>
      </w:r>
      <w:r w:rsidRPr="00DE2C13">
        <w:rPr>
          <w:rFonts w:ascii="Traditional Arabic" w:hAnsi="Traditional Arabic" w:hint="cs"/>
          <w:sz w:val="32"/>
          <w:szCs w:val="32"/>
          <w:rtl/>
        </w:rPr>
        <w:t xml:space="preserve"> بألفاظ قريبة منها،كقوله:</w:t>
      </w:r>
    </w:p>
    <w:p w:rsidR="000D3D21" w:rsidRDefault="000D3D21" w:rsidP="005E65EA">
      <w:pPr>
        <w:pStyle w:val="a7"/>
        <w:rPr>
          <w:rFonts w:ascii="Traditional Arabic" w:hAnsi="Traditional Arabic"/>
          <w:sz w:val="32"/>
          <w:szCs w:val="32"/>
          <w:rtl/>
        </w:rPr>
      </w:pPr>
      <w:r>
        <w:rPr>
          <w:rFonts w:ascii="Traditional Arabic" w:hAnsi="Traditional Arabic" w:hint="cs"/>
          <w:sz w:val="32"/>
          <w:szCs w:val="32"/>
          <w:rtl/>
        </w:rPr>
        <w:t xml:space="preserve">     </w:t>
      </w:r>
      <w:r w:rsidRPr="00DE2C13">
        <w:rPr>
          <w:rFonts w:ascii="Traditional Arabic" w:hAnsi="Traditional Arabic" w:hint="cs"/>
          <w:sz w:val="32"/>
          <w:szCs w:val="32"/>
          <w:rtl/>
        </w:rPr>
        <w:t>(...نُعامِل البائع بنقيضِ قَصْ</w:t>
      </w:r>
      <w:r>
        <w:rPr>
          <w:rFonts w:ascii="Traditional Arabic" w:hAnsi="Traditional Arabic" w:hint="cs"/>
          <w:sz w:val="32"/>
          <w:szCs w:val="32"/>
          <w:rtl/>
        </w:rPr>
        <w:t>ده).الشرح الممتع (8/302).</w:t>
      </w:r>
    </w:p>
    <w:p w:rsidR="000D3D21" w:rsidRPr="00DE2C13" w:rsidRDefault="000D3D21" w:rsidP="005E65EA">
      <w:pPr>
        <w:pStyle w:val="a7"/>
        <w:rPr>
          <w:rFonts w:ascii="Traditional Arabic" w:hAnsi="Traditional Arabic"/>
          <w:sz w:val="32"/>
          <w:szCs w:val="32"/>
          <w:rtl/>
        </w:rPr>
      </w:pPr>
      <w:r>
        <w:rPr>
          <w:rFonts w:ascii="Traditional Arabic" w:hAnsi="Traditional Arabic" w:hint="cs"/>
          <w:sz w:val="32"/>
          <w:szCs w:val="32"/>
          <w:rtl/>
        </w:rPr>
        <w:t xml:space="preserve">     وقوله:</w:t>
      </w:r>
      <w:r w:rsidRPr="00DE2C13">
        <w:rPr>
          <w:rFonts w:ascii="Traditional Arabic" w:hAnsi="Traditional Arabic" w:hint="cs"/>
          <w:sz w:val="32"/>
          <w:szCs w:val="32"/>
          <w:rtl/>
        </w:rPr>
        <w:t>(فنُعامِله بنقيضِ قصده).المرجع السابق (8/335).</w:t>
      </w:r>
      <w:r>
        <w:rPr>
          <w:rFonts w:ascii="Traditional Arabic" w:hAnsi="Traditional Arabic" w:hint="cs"/>
          <w:sz w:val="32"/>
          <w:szCs w:val="32"/>
          <w:rtl/>
        </w:rPr>
        <w:t xml:space="preserve"> وانظر: (11/313)، و(1</w:t>
      </w:r>
      <w:r w:rsidRPr="00DE2C13">
        <w:rPr>
          <w:rFonts w:ascii="Traditional Arabic" w:hAnsi="Traditional Arabic" w:hint="cs"/>
          <w:sz w:val="32"/>
          <w:szCs w:val="32"/>
          <w:rtl/>
        </w:rPr>
        <w:t>3/354)</w:t>
      </w:r>
      <w:r>
        <w:rPr>
          <w:rFonts w:ascii="Traditional Arabic" w:hAnsi="Traditional Arabic" w:hint="cs"/>
          <w:sz w:val="32"/>
          <w:szCs w:val="32"/>
          <w:rtl/>
        </w:rPr>
        <w:t>، وشرح منظومة أصول الفقه وقواعده (236)</w:t>
      </w:r>
      <w:r w:rsidRPr="00DE2C13">
        <w:rPr>
          <w:rFonts w:ascii="Traditional Arabic" w:hAnsi="Traditional Arabic" w:hint="cs"/>
          <w:sz w:val="32"/>
          <w:szCs w:val="32"/>
          <w:rtl/>
        </w:rPr>
        <w:t>.</w:t>
      </w:r>
    </w:p>
    <w:p w:rsidR="000D3D21" w:rsidRPr="00DE2C13" w:rsidRDefault="000D3D21" w:rsidP="005E65EA">
      <w:pPr>
        <w:pStyle w:val="a7"/>
        <w:rPr>
          <w:rFonts w:ascii="Traditional Arabic" w:hAnsi="Traditional Arabic"/>
          <w:sz w:val="32"/>
          <w:szCs w:val="32"/>
          <w:rtl/>
        </w:rPr>
      </w:pPr>
      <w:r>
        <w:rPr>
          <w:rFonts w:ascii="Traditional Arabic" w:hAnsi="Traditional Arabic" w:hint="cs"/>
          <w:sz w:val="32"/>
          <w:szCs w:val="32"/>
          <w:rtl/>
        </w:rPr>
        <w:t xml:space="preserve">     </w:t>
      </w:r>
      <w:r w:rsidRPr="00DE2C13">
        <w:rPr>
          <w:rFonts w:ascii="Traditional Arabic" w:hAnsi="Traditional Arabic" w:hint="cs"/>
          <w:sz w:val="32"/>
          <w:szCs w:val="32"/>
          <w:rtl/>
        </w:rPr>
        <w:t>كما أن هذه الصيغة أعمّ من صيغة" من استعجل الشي</w:t>
      </w:r>
      <w:r>
        <w:rPr>
          <w:rFonts w:ascii="Traditional Arabic" w:hAnsi="Traditional Arabic" w:hint="cs"/>
          <w:sz w:val="32"/>
          <w:szCs w:val="32"/>
          <w:rtl/>
        </w:rPr>
        <w:t xml:space="preserve">ء قبل أوانه..."، وسيأتي بيان ذلك </w:t>
      </w:r>
      <w:r w:rsidRPr="00DE2C13">
        <w:rPr>
          <w:rFonts w:ascii="Traditional Arabic" w:hAnsi="Traditional Arabic" w:hint="cs"/>
          <w:sz w:val="32"/>
          <w:szCs w:val="32"/>
          <w:rtl/>
        </w:rPr>
        <w:t>عند شرح القاعدة.</w:t>
      </w:r>
    </w:p>
  </w:footnote>
  <w:footnote w:id="847">
    <w:p w:rsidR="000D3D21" w:rsidRDefault="000D3D21" w:rsidP="005E65EA">
      <w:pPr>
        <w:pStyle w:val="a7"/>
        <w:rPr>
          <w:sz w:val="32"/>
          <w:szCs w:val="32"/>
          <w:rtl/>
        </w:rPr>
      </w:pPr>
      <w:r w:rsidRPr="00F77B20">
        <w:rPr>
          <w:rStyle w:val="af1"/>
          <w:rFonts w:ascii="Traditional Arabic" w:hAnsi="Traditional Arabic"/>
          <w:sz w:val="32"/>
          <w:szCs w:val="32"/>
          <w:vertAlign w:val="baseline"/>
        </w:rPr>
        <w:footnoteRef/>
      </w:r>
      <w:r w:rsidRPr="00F77B20">
        <w:rPr>
          <w:rStyle w:val="af1"/>
          <w:rFonts w:ascii="Traditional Arabic" w:hAnsi="Traditional Arabic"/>
          <w:sz w:val="32"/>
          <w:szCs w:val="32"/>
          <w:vertAlign w:val="baseline"/>
        </w:rPr>
        <w:t>)</w:t>
      </w:r>
      <w:r w:rsidRPr="00F77B20">
        <w:rPr>
          <w:rFonts w:hint="cs"/>
          <w:sz w:val="32"/>
          <w:szCs w:val="32"/>
          <w:rtl/>
        </w:rPr>
        <w:t>)</w:t>
      </w:r>
      <w:r>
        <w:rPr>
          <w:rFonts w:hint="cs"/>
          <w:sz w:val="32"/>
          <w:szCs w:val="32"/>
          <w:rtl/>
        </w:rPr>
        <w:t xml:space="preserve"> </w:t>
      </w:r>
      <w:r w:rsidRPr="00F77B20">
        <w:rPr>
          <w:rFonts w:hint="cs"/>
          <w:sz w:val="32"/>
          <w:szCs w:val="32"/>
          <w:rtl/>
        </w:rPr>
        <w:t>انظر الشرح الممتع</w:t>
      </w:r>
      <w:r>
        <w:rPr>
          <w:rFonts w:hint="cs"/>
          <w:sz w:val="32"/>
          <w:szCs w:val="32"/>
          <w:rtl/>
        </w:rPr>
        <w:t xml:space="preserve"> </w:t>
      </w:r>
      <w:r w:rsidRPr="00F77B20">
        <w:rPr>
          <w:rFonts w:hint="cs"/>
          <w:sz w:val="32"/>
          <w:szCs w:val="32"/>
          <w:rtl/>
        </w:rPr>
        <w:t>(4/365)،</w:t>
      </w:r>
      <w:r>
        <w:rPr>
          <w:rFonts w:hint="cs"/>
          <w:sz w:val="32"/>
          <w:szCs w:val="32"/>
          <w:rtl/>
        </w:rPr>
        <w:t xml:space="preserve"> و</w:t>
      </w:r>
      <w:r w:rsidRPr="00F77B20">
        <w:rPr>
          <w:rFonts w:hint="cs"/>
          <w:sz w:val="32"/>
          <w:szCs w:val="32"/>
          <w:rtl/>
        </w:rPr>
        <w:t xml:space="preserve">(6/41، 80)، </w:t>
      </w:r>
      <w:r>
        <w:rPr>
          <w:rFonts w:hint="cs"/>
          <w:sz w:val="32"/>
          <w:szCs w:val="32"/>
          <w:rtl/>
        </w:rPr>
        <w:t>و</w:t>
      </w:r>
      <w:r w:rsidRPr="00F77B20">
        <w:rPr>
          <w:rFonts w:hint="cs"/>
          <w:sz w:val="32"/>
          <w:szCs w:val="32"/>
          <w:rtl/>
        </w:rPr>
        <w:t>(7/190)</w:t>
      </w:r>
      <w:r>
        <w:rPr>
          <w:rFonts w:hint="cs"/>
          <w:sz w:val="32"/>
          <w:szCs w:val="32"/>
          <w:rtl/>
        </w:rPr>
        <w:t>، وشرح منظومة أصول الفقه وقواعده (236، 315</w:t>
      </w:r>
      <w:r w:rsidRPr="00F77B20">
        <w:rPr>
          <w:rFonts w:hint="cs"/>
          <w:sz w:val="32"/>
          <w:szCs w:val="32"/>
          <w:rtl/>
        </w:rPr>
        <w:t>).</w:t>
      </w:r>
    </w:p>
    <w:p w:rsidR="000D3D21" w:rsidRPr="00F77B20" w:rsidRDefault="000D3D21" w:rsidP="005E65EA">
      <w:pPr>
        <w:pStyle w:val="a7"/>
        <w:rPr>
          <w:sz w:val="32"/>
          <w:szCs w:val="32"/>
          <w:rtl/>
        </w:rPr>
      </w:pPr>
      <w:r>
        <w:rPr>
          <w:rFonts w:hint="cs"/>
          <w:b/>
          <w:bCs/>
          <w:sz w:val="32"/>
          <w:szCs w:val="32"/>
          <w:rtl/>
        </w:rPr>
        <w:t xml:space="preserve">       </w:t>
      </w:r>
      <w:r w:rsidRPr="00CA4DE9">
        <w:rPr>
          <w:rFonts w:hint="cs"/>
          <w:b/>
          <w:bCs/>
          <w:sz w:val="32"/>
          <w:szCs w:val="32"/>
          <w:rtl/>
        </w:rPr>
        <w:t>تنبيه</w:t>
      </w:r>
      <w:r>
        <w:rPr>
          <w:rFonts w:hint="cs"/>
          <w:sz w:val="32"/>
          <w:szCs w:val="32"/>
          <w:rtl/>
        </w:rPr>
        <w:t xml:space="preserve">: </w:t>
      </w:r>
      <w:r w:rsidRPr="00F77B20">
        <w:rPr>
          <w:rFonts w:hint="cs"/>
          <w:sz w:val="32"/>
          <w:szCs w:val="32"/>
          <w:rtl/>
        </w:rPr>
        <w:t>ذكر الشيخ المعاقبة بنقيض القصد عند كلامه عن الحيل، وأن المحتال يعاقَب بنقيض قصده، لكني أثبت هذه الصيغة ض</w:t>
      </w:r>
      <w:r>
        <w:rPr>
          <w:rFonts w:hint="cs"/>
          <w:sz w:val="32"/>
          <w:szCs w:val="32"/>
          <w:rtl/>
        </w:rPr>
        <w:t>َ</w:t>
      </w:r>
      <w:r w:rsidRPr="00F77B20">
        <w:rPr>
          <w:rFonts w:hint="cs"/>
          <w:sz w:val="32"/>
          <w:szCs w:val="32"/>
          <w:rtl/>
        </w:rPr>
        <w:t>م</w:t>
      </w:r>
      <w:r>
        <w:rPr>
          <w:rFonts w:hint="cs"/>
          <w:sz w:val="32"/>
          <w:szCs w:val="32"/>
          <w:rtl/>
        </w:rPr>
        <w:t>ْ</w:t>
      </w:r>
      <w:r w:rsidRPr="00F77B20">
        <w:rPr>
          <w:rFonts w:hint="cs"/>
          <w:sz w:val="32"/>
          <w:szCs w:val="32"/>
          <w:rtl/>
        </w:rPr>
        <w:t>ن</w:t>
      </w:r>
      <w:r>
        <w:rPr>
          <w:rFonts w:hint="cs"/>
          <w:sz w:val="32"/>
          <w:szCs w:val="32"/>
          <w:rtl/>
        </w:rPr>
        <w:t>َ</w:t>
      </w:r>
      <w:r w:rsidRPr="00F77B20">
        <w:rPr>
          <w:rFonts w:hint="cs"/>
          <w:sz w:val="32"/>
          <w:szCs w:val="32"/>
          <w:rtl/>
        </w:rPr>
        <w:t xml:space="preserve"> صيغ القاعدة بالنظر إلى المعاملة بنقيض المقصود،</w:t>
      </w:r>
      <w:r>
        <w:rPr>
          <w:rFonts w:hint="cs"/>
          <w:sz w:val="32"/>
          <w:szCs w:val="32"/>
          <w:rtl/>
        </w:rPr>
        <w:t xml:space="preserve"> و</w:t>
      </w:r>
      <w:r w:rsidRPr="00F77B20">
        <w:rPr>
          <w:rFonts w:hint="cs"/>
          <w:sz w:val="32"/>
          <w:szCs w:val="32"/>
          <w:rtl/>
        </w:rPr>
        <w:t>هو صنيع بعض العلماء</w:t>
      </w:r>
      <w:r>
        <w:rPr>
          <w:rFonts w:hint="cs"/>
          <w:sz w:val="32"/>
          <w:szCs w:val="32"/>
          <w:rtl/>
        </w:rPr>
        <w:t>،</w:t>
      </w:r>
      <w:r w:rsidRPr="00F77B20">
        <w:rPr>
          <w:rFonts w:hint="cs"/>
          <w:sz w:val="32"/>
          <w:szCs w:val="32"/>
          <w:rtl/>
        </w:rPr>
        <w:t xml:space="preserve"> </w:t>
      </w:r>
      <w:r>
        <w:rPr>
          <w:rFonts w:hint="cs"/>
          <w:sz w:val="32"/>
          <w:szCs w:val="32"/>
          <w:rtl/>
        </w:rPr>
        <w:t>حيث إ</w:t>
      </w:r>
      <w:r w:rsidRPr="00F77B20">
        <w:rPr>
          <w:rFonts w:hint="cs"/>
          <w:sz w:val="32"/>
          <w:szCs w:val="32"/>
          <w:rtl/>
        </w:rPr>
        <w:t>نهم يور</w:t>
      </w:r>
      <w:r>
        <w:rPr>
          <w:rFonts w:hint="cs"/>
          <w:sz w:val="32"/>
          <w:szCs w:val="32"/>
          <w:rtl/>
        </w:rPr>
        <w:t>ِ</w:t>
      </w:r>
      <w:r w:rsidRPr="00F77B20">
        <w:rPr>
          <w:rFonts w:hint="cs"/>
          <w:sz w:val="32"/>
          <w:szCs w:val="32"/>
          <w:rtl/>
        </w:rPr>
        <w:t>دون فروعا تتعلق بالحيل تحت هذه القاعدة</w:t>
      </w:r>
      <w:r>
        <w:rPr>
          <w:rFonts w:hint="cs"/>
          <w:sz w:val="32"/>
          <w:szCs w:val="32"/>
          <w:rtl/>
        </w:rPr>
        <w:t>،</w:t>
      </w:r>
      <w:r w:rsidRPr="00F77B20">
        <w:rPr>
          <w:rFonts w:hint="cs"/>
          <w:sz w:val="32"/>
          <w:szCs w:val="32"/>
          <w:rtl/>
        </w:rPr>
        <w:t xml:space="preserve"> نظرا</w:t>
      </w:r>
      <w:r>
        <w:rPr>
          <w:rFonts w:hint="cs"/>
          <w:sz w:val="32"/>
          <w:szCs w:val="32"/>
          <w:rtl/>
        </w:rPr>
        <w:t>ً</w:t>
      </w:r>
      <w:r w:rsidRPr="00F77B20">
        <w:rPr>
          <w:rFonts w:hint="cs"/>
          <w:sz w:val="32"/>
          <w:szCs w:val="32"/>
          <w:rtl/>
        </w:rPr>
        <w:t xml:space="preserve"> منهم إلى المعاملة بنقيض المقصود، وسيأتي بيان ذلك عند</w:t>
      </w:r>
      <w:r>
        <w:rPr>
          <w:rFonts w:hint="cs"/>
          <w:sz w:val="32"/>
          <w:szCs w:val="32"/>
          <w:rtl/>
        </w:rPr>
        <w:t xml:space="preserve"> </w:t>
      </w:r>
      <w:r w:rsidRPr="00F77B20">
        <w:rPr>
          <w:rFonts w:hint="cs"/>
          <w:sz w:val="32"/>
          <w:szCs w:val="32"/>
          <w:rtl/>
        </w:rPr>
        <w:t>شرح القاعدة.</w:t>
      </w:r>
    </w:p>
  </w:footnote>
  <w:footnote w:id="848">
    <w:p w:rsidR="000D3D21" w:rsidRPr="00F77B20" w:rsidRDefault="000D3D21" w:rsidP="005E65EA">
      <w:pPr>
        <w:pStyle w:val="a7"/>
        <w:rPr>
          <w:sz w:val="32"/>
          <w:szCs w:val="32"/>
          <w:rtl/>
        </w:rPr>
      </w:pPr>
      <w:r w:rsidRPr="00F77B20">
        <w:rPr>
          <w:rStyle w:val="af1"/>
          <w:rFonts w:ascii="Traditional Arabic" w:hAnsi="Traditional Arabic"/>
          <w:sz w:val="32"/>
          <w:szCs w:val="32"/>
          <w:vertAlign w:val="baseline"/>
        </w:rPr>
        <w:footnoteRef/>
      </w:r>
      <w:r w:rsidRPr="00F77B20">
        <w:rPr>
          <w:rStyle w:val="af1"/>
          <w:rFonts w:ascii="Traditional Arabic" w:hAnsi="Traditional Arabic"/>
          <w:sz w:val="32"/>
          <w:szCs w:val="32"/>
          <w:vertAlign w:val="baseline"/>
        </w:rPr>
        <w:t>)</w:t>
      </w:r>
      <w:r w:rsidRPr="00F77B20">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F77B20">
        <w:rPr>
          <w:rFonts w:hint="cs"/>
          <w:sz w:val="32"/>
          <w:szCs w:val="32"/>
          <w:rtl/>
        </w:rPr>
        <w:t>انظر الشرح الممتع (8/257، 302، 313، 335)، (11/313، 314)، (13/354).</w:t>
      </w:r>
    </w:p>
  </w:footnote>
  <w:footnote w:id="849">
    <w:p w:rsidR="000D3D21" w:rsidRPr="00F77B20" w:rsidRDefault="000D3D21" w:rsidP="005E65EA">
      <w:pPr>
        <w:pStyle w:val="a7"/>
        <w:rPr>
          <w:sz w:val="32"/>
          <w:szCs w:val="32"/>
        </w:rPr>
      </w:pPr>
      <w:r w:rsidRPr="00F77B20">
        <w:rPr>
          <w:rStyle w:val="af1"/>
          <w:rFonts w:ascii="Traditional Arabic" w:hAnsi="Traditional Arabic"/>
          <w:sz w:val="32"/>
          <w:szCs w:val="32"/>
          <w:vertAlign w:val="baseline"/>
        </w:rPr>
        <w:footnoteRef/>
      </w:r>
      <w:r w:rsidRPr="00F77B20">
        <w:rPr>
          <w:rStyle w:val="af1"/>
          <w:rFonts w:ascii="Traditional Arabic" w:hAnsi="Traditional Arabic"/>
          <w:sz w:val="32"/>
          <w:szCs w:val="32"/>
          <w:vertAlign w:val="baseline"/>
        </w:rPr>
        <w:t>)</w:t>
      </w:r>
      <w:r w:rsidRPr="00F77B20">
        <w:rPr>
          <w:rStyle w:val="af1"/>
          <w:rFonts w:ascii="Traditional Arabic" w:hAnsi="Traditional Arabic" w:hint="cs"/>
          <w:sz w:val="32"/>
          <w:szCs w:val="32"/>
          <w:vertAlign w:val="baseline"/>
          <w:rtl/>
        </w:rPr>
        <w:t>)</w:t>
      </w:r>
      <w:r>
        <w:rPr>
          <w:rFonts w:hint="cs"/>
          <w:sz w:val="32"/>
          <w:szCs w:val="32"/>
          <w:rtl/>
        </w:rPr>
        <w:t xml:space="preserve"> الشرح الممتع (11/321)، وشرح </w:t>
      </w:r>
      <w:r w:rsidRPr="00F77B20">
        <w:rPr>
          <w:rFonts w:hint="cs"/>
          <w:sz w:val="32"/>
          <w:szCs w:val="32"/>
          <w:rtl/>
        </w:rPr>
        <w:t>منظومة</w:t>
      </w:r>
      <w:r>
        <w:rPr>
          <w:rFonts w:hint="cs"/>
          <w:sz w:val="32"/>
          <w:szCs w:val="32"/>
          <w:rtl/>
        </w:rPr>
        <w:t xml:space="preserve"> أصول الفقه وقواعده</w:t>
      </w:r>
      <w:r w:rsidRPr="00F77B20">
        <w:rPr>
          <w:rFonts w:hint="cs"/>
          <w:sz w:val="32"/>
          <w:szCs w:val="32"/>
          <w:rtl/>
        </w:rPr>
        <w:t xml:space="preserve"> (344)،</w:t>
      </w:r>
      <w:r>
        <w:rPr>
          <w:rFonts w:hint="cs"/>
          <w:sz w:val="32"/>
          <w:szCs w:val="32"/>
          <w:rtl/>
        </w:rPr>
        <w:t xml:space="preserve"> و</w:t>
      </w:r>
      <w:r w:rsidRPr="00F77B20">
        <w:rPr>
          <w:rFonts w:hint="cs"/>
          <w:sz w:val="32"/>
          <w:szCs w:val="32"/>
          <w:rtl/>
        </w:rPr>
        <w:t>انظر الشرح الممتع (12/137).</w:t>
      </w:r>
    </w:p>
  </w:footnote>
  <w:footnote w:id="850">
    <w:p w:rsidR="000D3D21" w:rsidRPr="00F77B20" w:rsidRDefault="000D3D21" w:rsidP="005E65EA">
      <w:pPr>
        <w:pStyle w:val="a7"/>
        <w:rPr>
          <w:sz w:val="32"/>
          <w:szCs w:val="32"/>
          <w:rtl/>
        </w:rPr>
      </w:pPr>
      <w:r w:rsidRPr="00F77B20">
        <w:rPr>
          <w:rStyle w:val="af1"/>
          <w:rFonts w:ascii="Traditional Arabic" w:hAnsi="Traditional Arabic"/>
          <w:sz w:val="32"/>
          <w:szCs w:val="32"/>
          <w:vertAlign w:val="baseline"/>
        </w:rPr>
        <w:footnoteRef/>
      </w:r>
      <w:r w:rsidRPr="00F77B20">
        <w:rPr>
          <w:rStyle w:val="af1"/>
          <w:rFonts w:ascii="Traditional Arabic" w:hAnsi="Traditional Arabic"/>
          <w:sz w:val="32"/>
          <w:szCs w:val="32"/>
          <w:vertAlign w:val="baseline"/>
        </w:rPr>
        <w:t>)</w:t>
      </w:r>
      <w:r w:rsidRPr="00F77B20">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F77B20">
        <w:rPr>
          <w:rFonts w:hint="cs"/>
          <w:sz w:val="32"/>
          <w:szCs w:val="32"/>
          <w:rtl/>
        </w:rPr>
        <w:t>الشرح الممتع (13/386)، وفتح ذي الجلال</w:t>
      </w:r>
      <w:r>
        <w:rPr>
          <w:rFonts w:hint="cs"/>
          <w:sz w:val="32"/>
          <w:szCs w:val="32"/>
          <w:rtl/>
        </w:rPr>
        <w:t xml:space="preserve"> و</w:t>
      </w:r>
      <w:r w:rsidRPr="00F77B20">
        <w:rPr>
          <w:rFonts w:hint="cs"/>
          <w:sz w:val="32"/>
          <w:szCs w:val="32"/>
          <w:rtl/>
        </w:rPr>
        <w:t>الإكرام (4/363).</w:t>
      </w:r>
    </w:p>
  </w:footnote>
  <w:footnote w:id="851">
    <w:p w:rsidR="000D3D21" w:rsidRPr="00F77B20" w:rsidRDefault="000D3D21" w:rsidP="005E65EA">
      <w:pPr>
        <w:pStyle w:val="a7"/>
        <w:rPr>
          <w:sz w:val="32"/>
          <w:szCs w:val="32"/>
          <w:rtl/>
        </w:rPr>
      </w:pPr>
      <w:r w:rsidRPr="00F77B20">
        <w:rPr>
          <w:rStyle w:val="af1"/>
          <w:rFonts w:ascii="Traditional Arabic" w:hAnsi="Traditional Arabic"/>
          <w:sz w:val="32"/>
          <w:szCs w:val="32"/>
          <w:vertAlign w:val="baseline"/>
        </w:rPr>
        <w:footnoteRef/>
      </w:r>
      <w:r w:rsidRPr="00F77B20">
        <w:rPr>
          <w:rStyle w:val="af1"/>
          <w:rFonts w:ascii="Traditional Arabic" w:hAnsi="Traditional Arabic"/>
          <w:sz w:val="32"/>
          <w:szCs w:val="32"/>
          <w:vertAlign w:val="baseline"/>
        </w:rPr>
        <w:t>)</w:t>
      </w:r>
      <w:r w:rsidRPr="00F77B20">
        <w:rPr>
          <w:rStyle w:val="af1"/>
          <w:rFonts w:ascii="Traditional Arabic" w:hAnsi="Traditional Arabic" w:hint="cs"/>
          <w:sz w:val="32"/>
          <w:szCs w:val="32"/>
          <w:vertAlign w:val="baseline"/>
          <w:rtl/>
        </w:rPr>
        <w:t>)</w:t>
      </w:r>
      <w:r>
        <w:rPr>
          <w:rFonts w:hint="cs"/>
          <w:sz w:val="32"/>
          <w:szCs w:val="32"/>
          <w:rtl/>
        </w:rPr>
        <w:t xml:space="preserve"> </w:t>
      </w:r>
      <w:r w:rsidRPr="00F77B20">
        <w:rPr>
          <w:rFonts w:hint="cs"/>
          <w:sz w:val="32"/>
          <w:szCs w:val="32"/>
          <w:rtl/>
        </w:rPr>
        <w:t>الأشباه</w:t>
      </w:r>
      <w:r>
        <w:rPr>
          <w:rFonts w:hint="cs"/>
          <w:sz w:val="32"/>
          <w:szCs w:val="32"/>
          <w:rtl/>
        </w:rPr>
        <w:t xml:space="preserve"> و</w:t>
      </w:r>
      <w:r w:rsidRPr="00F77B20">
        <w:rPr>
          <w:rFonts w:hint="cs"/>
          <w:sz w:val="32"/>
          <w:szCs w:val="32"/>
          <w:rtl/>
        </w:rPr>
        <w:t>النظائر لابن الوكيل (1/350)</w:t>
      </w:r>
      <w:r>
        <w:rPr>
          <w:rFonts w:hint="cs"/>
          <w:sz w:val="32"/>
          <w:szCs w:val="32"/>
          <w:rtl/>
        </w:rPr>
        <w:t>، و</w:t>
      </w:r>
      <w:r w:rsidRPr="00F77B20">
        <w:rPr>
          <w:rFonts w:hint="cs"/>
          <w:sz w:val="32"/>
          <w:szCs w:val="32"/>
          <w:rtl/>
        </w:rPr>
        <w:t xml:space="preserve">المنثور </w:t>
      </w:r>
      <w:r>
        <w:rPr>
          <w:rFonts w:hint="cs"/>
          <w:sz w:val="32"/>
          <w:szCs w:val="32"/>
          <w:rtl/>
        </w:rPr>
        <w:t xml:space="preserve">للزركشي </w:t>
      </w:r>
      <w:r w:rsidRPr="00F77B20">
        <w:rPr>
          <w:rFonts w:hint="cs"/>
          <w:sz w:val="32"/>
          <w:szCs w:val="32"/>
          <w:rtl/>
        </w:rPr>
        <w:t>(3/183).</w:t>
      </w:r>
    </w:p>
  </w:footnote>
  <w:footnote w:id="852">
    <w:p w:rsidR="000D3D21" w:rsidRPr="006A0B58" w:rsidRDefault="000D3D21" w:rsidP="005E65EA">
      <w:pPr>
        <w:pStyle w:val="a7"/>
        <w:rPr>
          <w:rFonts w:ascii="Traditional Arabic" w:hAnsi="Traditional Arabic"/>
          <w:sz w:val="32"/>
          <w:szCs w:val="32"/>
          <w:rtl/>
        </w:rPr>
      </w:pPr>
      <w:r w:rsidRPr="0007280D">
        <w:rPr>
          <w:rFonts w:ascii="Traditional Arabic" w:hAnsi="Traditional Arabic"/>
          <w:sz w:val="32"/>
          <w:szCs w:val="32"/>
        </w:rPr>
        <w:footnoteRef/>
      </w:r>
      <w:r w:rsidRPr="0007280D">
        <w:rPr>
          <w:rFonts w:ascii="Traditional Arabic" w:hAnsi="Traditional Arabic"/>
          <w:sz w:val="32"/>
          <w:szCs w:val="32"/>
        </w:rPr>
        <w:t>)</w:t>
      </w:r>
      <w:r w:rsidRPr="0007280D">
        <w:rPr>
          <w:rFonts w:ascii="Traditional Arabic" w:hAnsi="Traditional Arabic" w:hint="cs"/>
          <w:sz w:val="32"/>
          <w:szCs w:val="32"/>
          <w:rtl/>
        </w:rPr>
        <w:t>)</w:t>
      </w:r>
      <w:r>
        <w:rPr>
          <w:rFonts w:ascii="Traditional Arabic" w:hAnsi="Traditional Arabic" w:hint="cs"/>
          <w:sz w:val="32"/>
          <w:szCs w:val="32"/>
          <w:rtl/>
        </w:rPr>
        <w:t xml:space="preserve"> </w:t>
      </w:r>
      <w:r w:rsidRPr="006A0B58">
        <w:rPr>
          <w:rFonts w:ascii="Traditional Arabic" w:hAnsi="Traditional Arabic" w:hint="cs"/>
          <w:sz w:val="32"/>
          <w:szCs w:val="32"/>
          <w:rtl/>
        </w:rPr>
        <w:t>إعلام الموقعين (3/342).</w:t>
      </w:r>
    </w:p>
  </w:footnote>
  <w:footnote w:id="853">
    <w:p w:rsidR="000D3D21" w:rsidRPr="006A0B58" w:rsidRDefault="000D3D21" w:rsidP="005E65EA">
      <w:pPr>
        <w:pStyle w:val="a7"/>
        <w:rPr>
          <w:rFonts w:ascii="Traditional Arabic" w:hAnsi="Traditional Arabic"/>
          <w:sz w:val="32"/>
          <w:szCs w:val="32"/>
          <w:rtl/>
        </w:rPr>
      </w:pPr>
      <w:r w:rsidRPr="0007280D">
        <w:rPr>
          <w:rFonts w:ascii="Traditional Arabic" w:hAnsi="Traditional Arabic"/>
          <w:sz w:val="32"/>
          <w:szCs w:val="32"/>
        </w:rPr>
        <w:footnoteRef/>
      </w:r>
      <w:r w:rsidRPr="0007280D">
        <w:rPr>
          <w:rFonts w:ascii="Traditional Arabic" w:hAnsi="Traditional Arabic"/>
          <w:sz w:val="32"/>
          <w:szCs w:val="32"/>
        </w:rPr>
        <w:t>)</w:t>
      </w:r>
      <w:r w:rsidRPr="0007280D">
        <w:rPr>
          <w:rFonts w:ascii="Traditional Arabic" w:hAnsi="Traditional Arabic"/>
          <w:sz w:val="32"/>
          <w:szCs w:val="32"/>
          <w:rtl/>
        </w:rPr>
        <w:t>)</w:t>
      </w:r>
      <w:r>
        <w:rPr>
          <w:rFonts w:ascii="Traditional Arabic" w:hAnsi="Traditional Arabic" w:hint="cs"/>
          <w:sz w:val="32"/>
          <w:szCs w:val="32"/>
          <w:rtl/>
        </w:rPr>
        <w:t xml:space="preserve"> </w:t>
      </w:r>
      <w:r w:rsidRPr="006A0B58">
        <w:rPr>
          <w:rFonts w:ascii="Traditional Arabic" w:hAnsi="Traditional Arabic" w:hint="cs"/>
          <w:sz w:val="32"/>
          <w:szCs w:val="32"/>
          <w:rtl/>
        </w:rPr>
        <w:t>المرجع السابق (5/195).</w:t>
      </w:r>
    </w:p>
  </w:footnote>
  <w:footnote w:id="854">
    <w:p w:rsidR="000D3D21" w:rsidRPr="00332AB9" w:rsidRDefault="000D3D21" w:rsidP="005E65EA">
      <w:pPr>
        <w:pStyle w:val="a7"/>
        <w:rPr>
          <w:rFonts w:ascii="Traditional Arabic" w:hAnsi="Traditional Arabic"/>
          <w:sz w:val="32"/>
          <w:szCs w:val="32"/>
          <w:rtl/>
        </w:rPr>
      </w:pPr>
      <w:r w:rsidRPr="006A0B58">
        <w:footnoteRef/>
      </w:r>
      <w:r w:rsidRPr="00332AB9">
        <w:rPr>
          <w:rFonts w:ascii="Traditional Arabic" w:hAnsi="Traditional Arabic"/>
          <w:sz w:val="32"/>
          <w:szCs w:val="32"/>
        </w:rPr>
        <w:t>)</w:t>
      </w:r>
      <w:r w:rsidRPr="00332AB9">
        <w:rPr>
          <w:rFonts w:ascii="Traditional Arabic" w:hAnsi="Traditional Arabic"/>
          <w:sz w:val="32"/>
          <w:szCs w:val="32"/>
          <w:rtl/>
        </w:rPr>
        <w:t xml:space="preserve">) </w:t>
      </w:r>
      <w:r>
        <w:rPr>
          <w:rFonts w:ascii="Traditional Arabic" w:hAnsi="Traditional Arabic" w:hint="cs"/>
          <w:sz w:val="32"/>
          <w:szCs w:val="32"/>
          <w:rtl/>
        </w:rPr>
        <w:t>الأشباه والنظائر لابن السبكي (1/168).</w:t>
      </w:r>
    </w:p>
  </w:footnote>
  <w:footnote w:id="855">
    <w:p w:rsidR="000D3D21" w:rsidRPr="006A0B58" w:rsidRDefault="000D3D21" w:rsidP="005E65EA">
      <w:pPr>
        <w:pStyle w:val="a7"/>
        <w:rPr>
          <w:rFonts w:ascii="Traditional Arabic" w:hAnsi="Traditional Arabic"/>
          <w:sz w:val="32"/>
          <w:szCs w:val="32"/>
          <w:rtl/>
        </w:rPr>
      </w:pPr>
      <w:r w:rsidRPr="0007280D">
        <w:rPr>
          <w:rFonts w:ascii="Traditional Arabic" w:hAnsi="Traditional Arabic"/>
          <w:sz w:val="32"/>
          <w:szCs w:val="32"/>
        </w:rPr>
        <w:footnoteRef/>
      </w:r>
      <w:r w:rsidRPr="0007280D">
        <w:rPr>
          <w:rFonts w:ascii="Traditional Arabic" w:hAnsi="Traditional Arabic"/>
          <w:sz w:val="32"/>
          <w:szCs w:val="32"/>
        </w:rPr>
        <w:t>)</w:t>
      </w:r>
      <w:r w:rsidRPr="0007280D">
        <w:rPr>
          <w:rFonts w:ascii="Traditional Arabic" w:hAnsi="Traditional Arabic" w:hint="cs"/>
          <w:sz w:val="32"/>
          <w:szCs w:val="32"/>
          <w:rtl/>
        </w:rPr>
        <w:t>)</w:t>
      </w:r>
      <w:r>
        <w:rPr>
          <w:rFonts w:ascii="Traditional Arabic" w:hAnsi="Traditional Arabic" w:hint="cs"/>
          <w:sz w:val="32"/>
          <w:szCs w:val="32"/>
          <w:rtl/>
        </w:rPr>
        <w:t xml:space="preserve"> </w:t>
      </w:r>
      <w:r w:rsidRPr="006A0B58">
        <w:rPr>
          <w:rFonts w:ascii="Traditional Arabic" w:hAnsi="Traditional Arabic" w:hint="cs"/>
          <w:sz w:val="32"/>
          <w:szCs w:val="32"/>
          <w:rtl/>
        </w:rPr>
        <w:t>الموافقات (1/405)،</w:t>
      </w:r>
      <w:r>
        <w:rPr>
          <w:rFonts w:ascii="Traditional Arabic" w:hAnsi="Traditional Arabic" w:hint="cs"/>
          <w:sz w:val="32"/>
          <w:szCs w:val="32"/>
          <w:rtl/>
        </w:rPr>
        <w:t xml:space="preserve"> و</w:t>
      </w:r>
      <w:r w:rsidRPr="006A0B58">
        <w:rPr>
          <w:rFonts w:ascii="Traditional Arabic" w:hAnsi="Traditional Arabic" w:hint="cs"/>
          <w:sz w:val="32"/>
          <w:szCs w:val="32"/>
          <w:rtl/>
        </w:rPr>
        <w:t>القواعد للحصني (3/241).</w:t>
      </w:r>
    </w:p>
  </w:footnote>
  <w:footnote w:id="856">
    <w:p w:rsidR="000D3D21" w:rsidRPr="006A0B58" w:rsidRDefault="000D3D21" w:rsidP="005E65EA">
      <w:pPr>
        <w:pStyle w:val="a7"/>
        <w:rPr>
          <w:rFonts w:ascii="Traditional Arabic" w:hAnsi="Traditional Arabic"/>
          <w:sz w:val="32"/>
          <w:szCs w:val="32"/>
          <w:rtl/>
        </w:rPr>
      </w:pPr>
      <w:r w:rsidRPr="007C0153">
        <w:rPr>
          <w:rFonts w:ascii="Traditional Arabic" w:hAnsi="Traditional Arabic"/>
          <w:sz w:val="32"/>
          <w:szCs w:val="32"/>
        </w:rPr>
        <w:footnoteRef/>
      </w:r>
      <w:r w:rsidRPr="007C0153">
        <w:rPr>
          <w:rFonts w:ascii="Traditional Arabic" w:hAnsi="Traditional Arabic"/>
          <w:sz w:val="32"/>
          <w:szCs w:val="32"/>
        </w:rPr>
        <w:t>)</w:t>
      </w:r>
      <w:r w:rsidRPr="007C0153">
        <w:rPr>
          <w:rFonts w:ascii="Traditional Arabic" w:hAnsi="Traditional Arabic"/>
          <w:sz w:val="32"/>
          <w:szCs w:val="32"/>
          <w:rtl/>
        </w:rPr>
        <w:t xml:space="preserve">) </w:t>
      </w:r>
      <w:r>
        <w:rPr>
          <w:rFonts w:ascii="Traditional Arabic" w:hAnsi="Traditional Arabic"/>
          <w:sz w:val="32"/>
          <w:szCs w:val="32"/>
          <w:rtl/>
        </w:rPr>
        <w:t>المنثور للزركشي (3/205)، وانظر:</w:t>
      </w:r>
      <w:r>
        <w:rPr>
          <w:rFonts w:ascii="Traditional Arabic" w:hAnsi="Traditional Arabic" w:hint="cs"/>
          <w:sz w:val="32"/>
          <w:szCs w:val="32"/>
          <w:rtl/>
        </w:rPr>
        <w:t xml:space="preserve"> </w:t>
      </w:r>
      <w:r w:rsidRPr="007C0153">
        <w:rPr>
          <w:rFonts w:ascii="Traditional Arabic" w:hAnsi="Traditional Arabic"/>
          <w:sz w:val="32"/>
          <w:szCs w:val="32"/>
          <w:rtl/>
        </w:rPr>
        <w:t>الأشباه والنظائر لابن نجيم (184)، ومجلة الأحكام العدلية المادة</w:t>
      </w:r>
      <w:r w:rsidRPr="006A0B58">
        <w:rPr>
          <w:rFonts w:ascii="Traditional Arabic" w:hAnsi="Traditional Arabic" w:hint="cs"/>
          <w:sz w:val="32"/>
          <w:szCs w:val="32"/>
          <w:rtl/>
        </w:rPr>
        <w:t xml:space="preserve"> (99)،</w:t>
      </w:r>
      <w:r>
        <w:rPr>
          <w:rFonts w:ascii="Traditional Arabic" w:hAnsi="Traditional Arabic" w:hint="cs"/>
          <w:sz w:val="32"/>
          <w:szCs w:val="32"/>
          <w:rtl/>
        </w:rPr>
        <w:t xml:space="preserve"> و</w:t>
      </w:r>
      <w:r w:rsidRPr="006A0B58">
        <w:rPr>
          <w:rFonts w:ascii="Traditional Arabic" w:hAnsi="Traditional Arabic" w:hint="cs"/>
          <w:sz w:val="32"/>
          <w:szCs w:val="32"/>
          <w:rtl/>
        </w:rPr>
        <w:t>إيضاح المسالك للونشريسي (320)،</w:t>
      </w:r>
      <w:r>
        <w:rPr>
          <w:rFonts w:ascii="Traditional Arabic" w:hAnsi="Traditional Arabic" w:hint="cs"/>
          <w:sz w:val="32"/>
          <w:szCs w:val="32"/>
          <w:rtl/>
        </w:rPr>
        <w:t xml:space="preserve"> و</w:t>
      </w:r>
      <w:r w:rsidRPr="006A0B58">
        <w:rPr>
          <w:rFonts w:ascii="Traditional Arabic" w:hAnsi="Traditional Arabic" w:hint="cs"/>
          <w:sz w:val="32"/>
          <w:szCs w:val="32"/>
          <w:rtl/>
        </w:rPr>
        <w:t>الأشباه</w:t>
      </w:r>
      <w:r>
        <w:rPr>
          <w:rFonts w:ascii="Traditional Arabic" w:hAnsi="Traditional Arabic" w:hint="cs"/>
          <w:sz w:val="32"/>
          <w:szCs w:val="32"/>
          <w:rtl/>
        </w:rPr>
        <w:t xml:space="preserve"> و</w:t>
      </w:r>
      <w:r w:rsidRPr="006A0B58">
        <w:rPr>
          <w:rFonts w:ascii="Traditional Arabic" w:hAnsi="Traditional Arabic" w:hint="cs"/>
          <w:sz w:val="32"/>
          <w:szCs w:val="32"/>
          <w:rtl/>
        </w:rPr>
        <w:t xml:space="preserve">النظائر للسيوطي (152)، </w:t>
      </w:r>
      <w:r>
        <w:rPr>
          <w:rFonts w:ascii="Traditional Arabic" w:hAnsi="Traditional Arabic" w:hint="cs"/>
          <w:sz w:val="32"/>
          <w:szCs w:val="32"/>
          <w:rtl/>
        </w:rPr>
        <w:t>وا</w:t>
      </w:r>
      <w:r w:rsidRPr="006A0B58">
        <w:rPr>
          <w:rFonts w:ascii="Traditional Arabic" w:hAnsi="Traditional Arabic" w:hint="cs"/>
          <w:sz w:val="32"/>
          <w:szCs w:val="32"/>
          <w:rtl/>
        </w:rPr>
        <w:t>لقواعد الكلية</w:t>
      </w:r>
      <w:r>
        <w:rPr>
          <w:rFonts w:ascii="Traditional Arabic" w:hAnsi="Traditional Arabic" w:hint="cs"/>
          <w:sz w:val="32"/>
          <w:szCs w:val="32"/>
          <w:rtl/>
        </w:rPr>
        <w:t xml:space="preserve"> و</w:t>
      </w:r>
      <w:r w:rsidRPr="006A0B58">
        <w:rPr>
          <w:rFonts w:ascii="Traditional Arabic" w:hAnsi="Traditional Arabic" w:hint="cs"/>
          <w:sz w:val="32"/>
          <w:szCs w:val="32"/>
          <w:rtl/>
        </w:rPr>
        <w:t>الضوابط الفقهية لابن عبد الهادي الحنبلي (108)،</w:t>
      </w:r>
      <w:r>
        <w:rPr>
          <w:rFonts w:ascii="Traditional Arabic" w:hAnsi="Traditional Arabic" w:hint="cs"/>
          <w:sz w:val="32"/>
          <w:szCs w:val="32"/>
          <w:rtl/>
        </w:rPr>
        <w:t xml:space="preserve"> و</w:t>
      </w:r>
      <w:r w:rsidRPr="006A0B58">
        <w:rPr>
          <w:rFonts w:ascii="Traditional Arabic" w:hAnsi="Traditional Arabic" w:hint="cs"/>
          <w:sz w:val="32"/>
          <w:szCs w:val="32"/>
          <w:rtl/>
        </w:rPr>
        <w:t>القواعد</w:t>
      </w:r>
      <w:r>
        <w:rPr>
          <w:rFonts w:ascii="Traditional Arabic" w:hAnsi="Traditional Arabic" w:hint="cs"/>
          <w:sz w:val="32"/>
          <w:szCs w:val="32"/>
          <w:rtl/>
        </w:rPr>
        <w:t xml:space="preserve"> و</w:t>
      </w:r>
      <w:r w:rsidRPr="006A0B58">
        <w:rPr>
          <w:rFonts w:ascii="Traditional Arabic" w:hAnsi="Traditional Arabic" w:hint="cs"/>
          <w:sz w:val="32"/>
          <w:szCs w:val="32"/>
          <w:rtl/>
        </w:rPr>
        <w:t>الأصول الجامعة (67).</w:t>
      </w:r>
    </w:p>
  </w:footnote>
  <w:footnote w:id="857">
    <w:p w:rsidR="000D3D21" w:rsidRPr="007C0153" w:rsidRDefault="000D3D21" w:rsidP="005E65EA">
      <w:pPr>
        <w:pStyle w:val="a7"/>
        <w:rPr>
          <w:rFonts w:ascii="Traditional Arabic" w:hAnsi="Traditional Arabic"/>
          <w:sz w:val="32"/>
          <w:szCs w:val="32"/>
          <w:rtl/>
        </w:rPr>
      </w:pPr>
      <w:r w:rsidRPr="007C0153">
        <w:rPr>
          <w:rFonts w:ascii="Traditional Arabic" w:hAnsi="Traditional Arabic"/>
          <w:sz w:val="32"/>
          <w:szCs w:val="32"/>
        </w:rPr>
        <w:footnoteRef/>
      </w:r>
      <w:r w:rsidRPr="007C0153">
        <w:rPr>
          <w:rFonts w:ascii="Traditional Arabic" w:hAnsi="Traditional Arabic"/>
          <w:sz w:val="32"/>
          <w:szCs w:val="32"/>
        </w:rPr>
        <w:t>)</w:t>
      </w:r>
      <w:r w:rsidRPr="007C0153">
        <w:rPr>
          <w:rFonts w:ascii="Traditional Arabic" w:hAnsi="Traditional Arabic"/>
          <w:sz w:val="32"/>
          <w:szCs w:val="32"/>
          <w:rtl/>
        </w:rPr>
        <w:t xml:space="preserve">) تقرير القواعد </w:t>
      </w:r>
      <w:r>
        <w:rPr>
          <w:rFonts w:ascii="Traditional Arabic" w:hAnsi="Traditional Arabic" w:hint="cs"/>
          <w:sz w:val="32"/>
          <w:szCs w:val="32"/>
          <w:rtl/>
        </w:rPr>
        <w:t>ل</w:t>
      </w:r>
      <w:r>
        <w:rPr>
          <w:rFonts w:ascii="Traditional Arabic" w:hAnsi="Traditional Arabic"/>
          <w:sz w:val="32"/>
          <w:szCs w:val="32"/>
          <w:rtl/>
        </w:rPr>
        <w:t>ابن رجب (2/401).</w:t>
      </w:r>
      <w:r>
        <w:rPr>
          <w:rFonts w:ascii="Traditional Arabic" w:hAnsi="Traditional Arabic" w:hint="cs"/>
          <w:sz w:val="32"/>
          <w:szCs w:val="32"/>
          <w:rtl/>
        </w:rPr>
        <w:t xml:space="preserve"> </w:t>
      </w:r>
      <w:r>
        <w:rPr>
          <w:rFonts w:ascii="Traditional Arabic" w:hAnsi="Traditional Arabic"/>
          <w:sz w:val="32"/>
          <w:szCs w:val="32"/>
          <w:rtl/>
        </w:rPr>
        <w:t>و</w:t>
      </w:r>
      <w:r w:rsidRPr="007C0153">
        <w:rPr>
          <w:rFonts w:ascii="Traditional Arabic" w:hAnsi="Traditional Arabic"/>
          <w:sz w:val="32"/>
          <w:szCs w:val="32"/>
          <w:rtl/>
        </w:rPr>
        <w:t xml:space="preserve">انظر شرح تحفة أهل الطلب </w:t>
      </w:r>
      <w:r>
        <w:rPr>
          <w:rFonts w:ascii="Traditional Arabic" w:hAnsi="Traditional Arabic" w:hint="cs"/>
          <w:sz w:val="32"/>
          <w:szCs w:val="32"/>
          <w:rtl/>
        </w:rPr>
        <w:t xml:space="preserve">لعبد الكريم اللاحم </w:t>
      </w:r>
      <w:r w:rsidRPr="007C0153">
        <w:rPr>
          <w:rFonts w:ascii="Traditional Arabic" w:hAnsi="Traditional Arabic"/>
          <w:sz w:val="32"/>
          <w:szCs w:val="32"/>
          <w:rtl/>
        </w:rPr>
        <w:t>(337-339).</w:t>
      </w:r>
    </w:p>
  </w:footnote>
  <w:footnote w:id="858">
    <w:p w:rsidR="000D3D21" w:rsidRPr="007C0153" w:rsidRDefault="000D3D21" w:rsidP="005E65EA">
      <w:pPr>
        <w:pStyle w:val="a7"/>
        <w:rPr>
          <w:rFonts w:ascii="Traditional Arabic" w:hAnsi="Traditional Arabic"/>
          <w:sz w:val="32"/>
          <w:szCs w:val="32"/>
          <w:rtl/>
        </w:rPr>
      </w:pPr>
      <w:r w:rsidRPr="007C0153">
        <w:rPr>
          <w:rFonts w:ascii="Traditional Arabic" w:hAnsi="Traditional Arabic"/>
          <w:sz w:val="32"/>
          <w:szCs w:val="32"/>
        </w:rPr>
        <w:footnoteRef/>
      </w:r>
      <w:r w:rsidRPr="007C0153">
        <w:rPr>
          <w:rFonts w:ascii="Traditional Arabic" w:hAnsi="Traditional Arabic"/>
          <w:sz w:val="32"/>
          <w:szCs w:val="32"/>
        </w:rPr>
        <w:t>)</w:t>
      </w:r>
      <w:r w:rsidRPr="007C0153">
        <w:rPr>
          <w:rFonts w:ascii="Traditional Arabic" w:hAnsi="Traditional Arabic"/>
          <w:sz w:val="32"/>
          <w:szCs w:val="32"/>
          <w:rtl/>
        </w:rPr>
        <w:t xml:space="preserve">) </w:t>
      </w:r>
      <w:r>
        <w:rPr>
          <w:rFonts w:ascii="Traditional Arabic" w:hAnsi="Traditional Arabic" w:hint="cs"/>
          <w:sz w:val="32"/>
          <w:szCs w:val="32"/>
          <w:rtl/>
        </w:rPr>
        <w:t>تقرير ال</w:t>
      </w:r>
      <w:r>
        <w:rPr>
          <w:rFonts w:ascii="Traditional Arabic" w:hAnsi="Traditional Arabic"/>
          <w:sz w:val="32"/>
          <w:szCs w:val="32"/>
          <w:rtl/>
        </w:rPr>
        <w:t>قواعد</w:t>
      </w:r>
      <w:r w:rsidRPr="007C0153">
        <w:rPr>
          <w:rFonts w:ascii="Traditional Arabic" w:hAnsi="Traditional Arabic"/>
          <w:sz w:val="32"/>
          <w:szCs w:val="32"/>
          <w:rtl/>
        </w:rPr>
        <w:t xml:space="preserve"> (2/404).</w:t>
      </w:r>
    </w:p>
  </w:footnote>
  <w:footnote w:id="859">
    <w:p w:rsidR="000D3D21" w:rsidRPr="006A0B58" w:rsidRDefault="000D3D21" w:rsidP="005E65EA">
      <w:pPr>
        <w:pStyle w:val="a7"/>
        <w:rPr>
          <w:rFonts w:ascii="Traditional Arabic" w:hAnsi="Traditional Arabic"/>
          <w:sz w:val="32"/>
          <w:szCs w:val="32"/>
          <w:rtl/>
        </w:rPr>
      </w:pPr>
      <w:r w:rsidRPr="006A0B58">
        <w:footnoteRef/>
      </w:r>
      <w:r w:rsidRPr="006A0B58">
        <w:t>)</w:t>
      </w:r>
      <w:r w:rsidRPr="006A0B58">
        <w:rPr>
          <w:rFonts w:hint="cs"/>
          <w:rtl/>
        </w:rPr>
        <w:t>)</w:t>
      </w:r>
      <w:r>
        <w:rPr>
          <w:rFonts w:ascii="Traditional Arabic" w:hAnsi="Traditional Arabic" w:hint="cs"/>
          <w:sz w:val="32"/>
          <w:szCs w:val="32"/>
          <w:rtl/>
        </w:rPr>
        <w:t xml:space="preserve"> </w:t>
      </w:r>
      <w:r w:rsidRPr="006A0B58">
        <w:rPr>
          <w:rFonts w:ascii="Traditional Arabic" w:hAnsi="Traditional Arabic" w:hint="cs"/>
          <w:sz w:val="32"/>
          <w:szCs w:val="32"/>
          <w:rtl/>
        </w:rPr>
        <w:t>الأشباه</w:t>
      </w:r>
      <w:r>
        <w:rPr>
          <w:rFonts w:ascii="Traditional Arabic" w:hAnsi="Traditional Arabic" w:hint="cs"/>
          <w:sz w:val="32"/>
          <w:szCs w:val="32"/>
          <w:rtl/>
        </w:rPr>
        <w:t xml:space="preserve"> و</w:t>
      </w:r>
      <w:r w:rsidRPr="006A0B58">
        <w:rPr>
          <w:rFonts w:ascii="Traditional Arabic" w:hAnsi="Traditional Arabic" w:hint="cs"/>
          <w:sz w:val="32"/>
          <w:szCs w:val="32"/>
          <w:rtl/>
        </w:rPr>
        <w:t>النظائر للسيوطي (153).</w:t>
      </w:r>
    </w:p>
  </w:footnote>
  <w:footnote w:id="860">
    <w:p w:rsidR="000D3D21" w:rsidRPr="006A0B58" w:rsidRDefault="000D3D21" w:rsidP="005E65EA">
      <w:pPr>
        <w:pStyle w:val="a7"/>
        <w:rPr>
          <w:rFonts w:ascii="Traditional Arabic" w:hAnsi="Traditional Arabic"/>
          <w:sz w:val="32"/>
          <w:szCs w:val="32"/>
        </w:rPr>
      </w:pPr>
      <w:r w:rsidRPr="006A0B58">
        <w:footnoteRef/>
      </w:r>
      <w:r w:rsidRPr="006A0B58">
        <w:t>)</w:t>
      </w:r>
      <w:r w:rsidRPr="006A0B58">
        <w:rPr>
          <w:rFonts w:hint="cs"/>
          <w:rtl/>
        </w:rPr>
        <w:t>)</w:t>
      </w:r>
      <w:r>
        <w:rPr>
          <w:rFonts w:hint="cs"/>
          <w:rtl/>
        </w:rPr>
        <w:t xml:space="preserve"> </w:t>
      </w:r>
      <w:r w:rsidRPr="006A0B58">
        <w:rPr>
          <w:rFonts w:ascii="Traditional Arabic" w:hAnsi="Traditional Arabic" w:hint="cs"/>
          <w:sz w:val="32"/>
          <w:szCs w:val="32"/>
          <w:rtl/>
        </w:rPr>
        <w:t xml:space="preserve">إيضاح المسالك </w:t>
      </w:r>
      <w:r>
        <w:rPr>
          <w:rFonts w:ascii="Traditional Arabic" w:hAnsi="Traditional Arabic" w:hint="cs"/>
          <w:sz w:val="32"/>
          <w:szCs w:val="32"/>
          <w:rtl/>
        </w:rPr>
        <w:t xml:space="preserve">للونشريسي </w:t>
      </w:r>
      <w:r w:rsidRPr="006A0B58">
        <w:rPr>
          <w:rFonts w:ascii="Traditional Arabic" w:hAnsi="Traditional Arabic" w:hint="cs"/>
          <w:sz w:val="32"/>
          <w:szCs w:val="32"/>
          <w:rtl/>
        </w:rPr>
        <w:t>(315)،</w:t>
      </w:r>
      <w:r>
        <w:rPr>
          <w:rFonts w:ascii="Traditional Arabic" w:hAnsi="Traditional Arabic" w:hint="cs"/>
          <w:sz w:val="32"/>
          <w:szCs w:val="32"/>
          <w:rtl/>
        </w:rPr>
        <w:t xml:space="preserve"> وشرح المنهج المنتخب</w:t>
      </w:r>
      <w:r w:rsidRPr="006A0B58">
        <w:rPr>
          <w:rFonts w:ascii="Traditional Arabic" w:hAnsi="Traditional Arabic" w:hint="cs"/>
          <w:sz w:val="32"/>
          <w:szCs w:val="32"/>
          <w:rtl/>
        </w:rPr>
        <w:t xml:space="preserve"> (2/18).</w:t>
      </w:r>
    </w:p>
  </w:footnote>
  <w:footnote w:id="861">
    <w:p w:rsidR="000D3D21" w:rsidRPr="00913138" w:rsidRDefault="000D3D21" w:rsidP="005E65EA">
      <w:pPr>
        <w:pStyle w:val="a7"/>
        <w:rPr>
          <w:rFonts w:ascii="Traditional Arabic" w:hAnsi="Traditional Arabic"/>
          <w:sz w:val="32"/>
          <w:szCs w:val="32"/>
          <w:rtl/>
        </w:rPr>
      </w:pPr>
      <w:r w:rsidRPr="00913138">
        <w:rPr>
          <w:rFonts w:ascii="Traditional Arabic" w:hAnsi="Traditional Arabic"/>
          <w:sz w:val="32"/>
          <w:szCs w:val="32"/>
        </w:rPr>
        <w:footnoteRef/>
      </w:r>
      <w:r w:rsidRPr="00913138">
        <w:rPr>
          <w:rFonts w:ascii="Traditional Arabic" w:hAnsi="Traditional Arabic"/>
          <w:sz w:val="32"/>
          <w:szCs w:val="32"/>
        </w:rPr>
        <w:t>)</w:t>
      </w:r>
      <w:r w:rsidRPr="00913138">
        <w:rPr>
          <w:rFonts w:ascii="Traditional Arabic" w:hAnsi="Traditional Arabic"/>
          <w:sz w:val="32"/>
          <w:szCs w:val="32"/>
          <w:rtl/>
        </w:rPr>
        <w:t>) درر ا</w:t>
      </w:r>
      <w:r>
        <w:rPr>
          <w:rFonts w:ascii="Traditional Arabic" w:hAnsi="Traditional Arabic"/>
          <w:sz w:val="32"/>
          <w:szCs w:val="32"/>
          <w:rtl/>
        </w:rPr>
        <w:t>لحكام</w:t>
      </w:r>
      <w:r w:rsidRPr="00913138">
        <w:rPr>
          <w:rFonts w:ascii="Traditional Arabic" w:hAnsi="Traditional Arabic"/>
          <w:sz w:val="32"/>
          <w:szCs w:val="32"/>
          <w:rtl/>
        </w:rPr>
        <w:t xml:space="preserve"> (1/99).</w:t>
      </w:r>
    </w:p>
  </w:footnote>
  <w:footnote w:id="862">
    <w:p w:rsidR="000D3D21" w:rsidRPr="00913138" w:rsidRDefault="000D3D21" w:rsidP="005E65EA">
      <w:pPr>
        <w:pStyle w:val="a7"/>
        <w:rPr>
          <w:rFonts w:ascii="Traditional Arabic" w:hAnsi="Traditional Arabic"/>
          <w:sz w:val="32"/>
          <w:szCs w:val="32"/>
          <w:rtl/>
        </w:rPr>
      </w:pPr>
      <w:r w:rsidRPr="00913138">
        <w:rPr>
          <w:rFonts w:ascii="Traditional Arabic" w:hAnsi="Traditional Arabic"/>
          <w:sz w:val="32"/>
          <w:szCs w:val="32"/>
        </w:rPr>
        <w:footnoteRef/>
      </w:r>
      <w:r w:rsidRPr="00913138">
        <w:rPr>
          <w:rFonts w:ascii="Traditional Arabic" w:hAnsi="Traditional Arabic"/>
          <w:sz w:val="32"/>
          <w:szCs w:val="32"/>
        </w:rPr>
        <w:t>)</w:t>
      </w:r>
      <w:r w:rsidRPr="00913138">
        <w:rPr>
          <w:rFonts w:ascii="Traditional Arabic" w:hAnsi="Traditional Arabic"/>
          <w:sz w:val="32"/>
          <w:szCs w:val="32"/>
          <w:rtl/>
        </w:rPr>
        <w:t>) مقاييس اللغة (4/145).</w:t>
      </w:r>
    </w:p>
  </w:footnote>
  <w:footnote w:id="863">
    <w:p w:rsidR="000D3D21" w:rsidRPr="00913138" w:rsidRDefault="000D3D21" w:rsidP="005E65EA">
      <w:pPr>
        <w:pStyle w:val="a7"/>
        <w:rPr>
          <w:rFonts w:ascii="Traditional Arabic" w:hAnsi="Traditional Arabic"/>
          <w:sz w:val="32"/>
          <w:szCs w:val="32"/>
          <w:rtl/>
        </w:rPr>
      </w:pPr>
      <w:r w:rsidRPr="00913138">
        <w:rPr>
          <w:rFonts w:ascii="Traditional Arabic" w:hAnsi="Traditional Arabic"/>
          <w:sz w:val="32"/>
          <w:szCs w:val="32"/>
        </w:rPr>
        <w:footnoteRef/>
      </w:r>
      <w:r w:rsidRPr="00913138">
        <w:rPr>
          <w:rFonts w:ascii="Traditional Arabic" w:hAnsi="Traditional Arabic"/>
          <w:sz w:val="32"/>
          <w:szCs w:val="32"/>
        </w:rPr>
        <w:t>)</w:t>
      </w:r>
      <w:r w:rsidRPr="00913138">
        <w:rPr>
          <w:rFonts w:ascii="Traditional Arabic" w:hAnsi="Traditional Arabic"/>
          <w:sz w:val="32"/>
          <w:szCs w:val="32"/>
          <w:rtl/>
        </w:rPr>
        <w:t xml:space="preserve">) انظر لسان العرب (32/3108). </w:t>
      </w:r>
    </w:p>
  </w:footnote>
  <w:footnote w:id="864">
    <w:p w:rsidR="000D3D21" w:rsidRPr="00913138" w:rsidRDefault="000D3D21" w:rsidP="005E65E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3138">
        <w:rPr>
          <w:rFonts w:ascii="Traditional Arabic" w:hAnsi="Traditional Arabic"/>
          <w:sz w:val="32"/>
          <w:szCs w:val="32"/>
          <w:rtl/>
        </w:rPr>
        <w:t>القاموس الفقهي ل</w:t>
      </w:r>
      <w:r>
        <w:rPr>
          <w:rFonts w:ascii="Traditional Arabic" w:hAnsi="Traditional Arabic" w:hint="cs"/>
          <w:sz w:val="32"/>
          <w:szCs w:val="32"/>
          <w:rtl/>
        </w:rPr>
        <w:t>س</w:t>
      </w:r>
      <w:r w:rsidRPr="00913138">
        <w:rPr>
          <w:rFonts w:ascii="Traditional Arabic" w:hAnsi="Traditional Arabic"/>
          <w:sz w:val="32"/>
          <w:szCs w:val="32"/>
          <w:rtl/>
        </w:rPr>
        <w:t>عدي أبو جيب (262).</w:t>
      </w:r>
    </w:p>
  </w:footnote>
  <w:footnote w:id="865">
    <w:p w:rsidR="000D3D21" w:rsidRPr="00913138" w:rsidRDefault="000D3D21" w:rsidP="005E65EA">
      <w:pPr>
        <w:pStyle w:val="a7"/>
        <w:rPr>
          <w:rFonts w:ascii="Traditional Arabic" w:hAnsi="Traditional Arabic"/>
          <w:sz w:val="32"/>
          <w:szCs w:val="32"/>
          <w:rtl/>
        </w:rPr>
      </w:pPr>
      <w:r w:rsidRPr="00913138">
        <w:rPr>
          <w:rFonts w:ascii="Traditional Arabic" w:hAnsi="Traditional Arabic"/>
          <w:sz w:val="32"/>
          <w:szCs w:val="32"/>
        </w:rPr>
        <w:footnoteRef/>
      </w:r>
      <w:r w:rsidRPr="00913138">
        <w:rPr>
          <w:rFonts w:ascii="Traditional Arabic" w:hAnsi="Traditional Arabic"/>
          <w:sz w:val="32"/>
          <w:szCs w:val="32"/>
        </w:rPr>
        <w:t>)</w:t>
      </w:r>
      <w:r w:rsidRPr="00913138">
        <w:rPr>
          <w:rFonts w:ascii="Traditional Arabic" w:hAnsi="Traditional Arabic"/>
          <w:sz w:val="32"/>
          <w:szCs w:val="32"/>
          <w:rtl/>
        </w:rPr>
        <w:t>) مقاييس اللغة (5/470).</w:t>
      </w:r>
    </w:p>
  </w:footnote>
  <w:footnote w:id="866">
    <w:p w:rsidR="000D3D21" w:rsidRPr="00913138" w:rsidRDefault="000D3D21" w:rsidP="005E65EA">
      <w:pPr>
        <w:pStyle w:val="a7"/>
        <w:rPr>
          <w:rFonts w:ascii="Traditional Arabic" w:hAnsi="Traditional Arabic"/>
          <w:sz w:val="32"/>
          <w:szCs w:val="32"/>
          <w:rtl/>
        </w:rPr>
      </w:pPr>
      <w:r w:rsidRPr="00913138">
        <w:rPr>
          <w:rFonts w:ascii="Traditional Arabic" w:hAnsi="Traditional Arabic"/>
          <w:sz w:val="32"/>
          <w:szCs w:val="32"/>
        </w:rPr>
        <w:footnoteRef/>
      </w:r>
      <w:r w:rsidRPr="00913138">
        <w:rPr>
          <w:rFonts w:ascii="Traditional Arabic" w:hAnsi="Traditional Arabic"/>
          <w:sz w:val="32"/>
          <w:szCs w:val="32"/>
        </w:rPr>
        <w:t>)</w:t>
      </w:r>
      <w:r w:rsidRPr="00913138">
        <w:rPr>
          <w:rFonts w:ascii="Traditional Arabic" w:hAnsi="Traditional Arabic"/>
          <w:sz w:val="32"/>
          <w:szCs w:val="32"/>
          <w:rtl/>
        </w:rPr>
        <w:t>) انظر:أساس البلاغة للزمخشري (2/299)،</w:t>
      </w:r>
      <w:r>
        <w:rPr>
          <w:rFonts w:ascii="Traditional Arabic" w:hAnsi="Traditional Arabic"/>
          <w:sz w:val="32"/>
          <w:szCs w:val="32"/>
          <w:rtl/>
        </w:rPr>
        <w:t xml:space="preserve"> و</w:t>
      </w:r>
      <w:r w:rsidRPr="00913138">
        <w:rPr>
          <w:rFonts w:ascii="Traditional Arabic" w:hAnsi="Traditional Arabic"/>
          <w:sz w:val="32"/>
          <w:szCs w:val="32"/>
          <w:rtl/>
        </w:rPr>
        <w:t>لسان العرب (49/4524)، والمعجم الوسيط (977).</w:t>
      </w:r>
    </w:p>
  </w:footnote>
  <w:footnote w:id="867">
    <w:p w:rsidR="000D3D21" w:rsidRPr="00913138" w:rsidRDefault="000D3D21" w:rsidP="005E65EA">
      <w:pPr>
        <w:pStyle w:val="a7"/>
        <w:rPr>
          <w:rFonts w:ascii="Traditional Arabic" w:hAnsi="Traditional Arabic"/>
          <w:sz w:val="32"/>
          <w:szCs w:val="32"/>
          <w:rtl/>
        </w:rPr>
      </w:pPr>
      <w:r w:rsidRPr="00913138">
        <w:rPr>
          <w:rFonts w:ascii="Traditional Arabic" w:hAnsi="Traditional Arabic"/>
          <w:sz w:val="32"/>
          <w:szCs w:val="32"/>
        </w:rPr>
        <w:footnoteRef/>
      </w:r>
      <w:r w:rsidRPr="00913138">
        <w:rPr>
          <w:rFonts w:ascii="Traditional Arabic" w:hAnsi="Traditional Arabic"/>
          <w:sz w:val="32"/>
          <w:szCs w:val="32"/>
        </w:rPr>
        <w:t>)</w:t>
      </w:r>
      <w:r w:rsidRPr="00913138">
        <w:rPr>
          <w:rFonts w:ascii="Traditional Arabic" w:hAnsi="Traditional Arabic"/>
          <w:sz w:val="32"/>
          <w:szCs w:val="32"/>
          <w:rtl/>
        </w:rPr>
        <w:t>) انظر مقاييس اللغة (5/366).</w:t>
      </w:r>
    </w:p>
  </w:footnote>
  <w:footnote w:id="868">
    <w:p w:rsidR="000D3D21" w:rsidRPr="006A0B58" w:rsidRDefault="000D3D21" w:rsidP="005E65EA">
      <w:pPr>
        <w:pStyle w:val="a7"/>
        <w:rPr>
          <w:rFonts w:ascii="Traditional Arabic" w:hAnsi="Traditional Arabic"/>
          <w:sz w:val="32"/>
          <w:szCs w:val="32"/>
          <w:rtl/>
        </w:rPr>
      </w:pPr>
      <w:r w:rsidRPr="00913138">
        <w:rPr>
          <w:rFonts w:ascii="Traditional Arabic" w:hAnsi="Traditional Arabic"/>
          <w:sz w:val="32"/>
          <w:szCs w:val="32"/>
        </w:rPr>
        <w:footnoteRef/>
      </w:r>
      <w:r w:rsidRPr="00913138">
        <w:rPr>
          <w:rFonts w:ascii="Traditional Arabic" w:hAnsi="Traditional Arabic"/>
          <w:sz w:val="32"/>
          <w:szCs w:val="32"/>
        </w:rPr>
        <w:t>)</w:t>
      </w:r>
      <w:r w:rsidRPr="00913138">
        <w:rPr>
          <w:rFonts w:ascii="Traditional Arabic" w:hAnsi="Traditional Arabic"/>
          <w:sz w:val="32"/>
          <w:szCs w:val="32"/>
          <w:rtl/>
        </w:rPr>
        <w:t>) الوجيز للبورنو (123، 160)،</w:t>
      </w:r>
      <w:r>
        <w:rPr>
          <w:rFonts w:ascii="Traditional Arabic" w:hAnsi="Traditional Arabic"/>
          <w:sz w:val="32"/>
          <w:szCs w:val="32"/>
          <w:rtl/>
        </w:rPr>
        <w:t xml:space="preserve"> و</w:t>
      </w:r>
      <w:r w:rsidRPr="00913138">
        <w:rPr>
          <w:rFonts w:ascii="Traditional Arabic" w:hAnsi="Traditional Arabic"/>
          <w:sz w:val="32"/>
          <w:szCs w:val="32"/>
          <w:rtl/>
        </w:rPr>
        <w:t>انظر قاعدة الأمور بمقاصدها للباحسين (28)،</w:t>
      </w:r>
      <w:r>
        <w:rPr>
          <w:rFonts w:ascii="Traditional Arabic" w:hAnsi="Traditional Arabic"/>
          <w:sz w:val="32"/>
          <w:szCs w:val="32"/>
          <w:rtl/>
        </w:rPr>
        <w:t xml:space="preserve"> و</w:t>
      </w:r>
      <w:r w:rsidRPr="00913138">
        <w:rPr>
          <w:rFonts w:ascii="Traditional Arabic" w:hAnsi="Traditional Arabic"/>
          <w:sz w:val="32"/>
          <w:szCs w:val="32"/>
          <w:rtl/>
        </w:rPr>
        <w:t>القواعد الفقهية الكبرى</w:t>
      </w:r>
      <w:r>
        <w:rPr>
          <w:rFonts w:ascii="Traditional Arabic" w:hAnsi="Traditional Arabic"/>
          <w:sz w:val="32"/>
          <w:szCs w:val="32"/>
          <w:rtl/>
        </w:rPr>
        <w:t xml:space="preserve"> و</w:t>
      </w:r>
      <w:r w:rsidRPr="00913138">
        <w:rPr>
          <w:rFonts w:ascii="Traditional Arabic" w:hAnsi="Traditional Arabic"/>
          <w:sz w:val="32"/>
          <w:szCs w:val="32"/>
          <w:rtl/>
        </w:rPr>
        <w:t>ما تفرع عنها (43)، والمبحث المتعلق بقاعدة</w:t>
      </w:r>
      <w:r>
        <w:rPr>
          <w:rFonts w:ascii="Traditional Arabic" w:hAnsi="Traditional Arabic" w:hint="cs"/>
          <w:sz w:val="32"/>
          <w:szCs w:val="32"/>
          <w:rtl/>
        </w:rPr>
        <w:t xml:space="preserve"> </w:t>
      </w:r>
      <w:r w:rsidRPr="00913138">
        <w:rPr>
          <w:rFonts w:ascii="Traditional Arabic" w:hAnsi="Traditional Arabic"/>
          <w:sz w:val="32"/>
          <w:szCs w:val="32"/>
          <w:rtl/>
        </w:rPr>
        <w:t>"إنما الأعم</w:t>
      </w:r>
      <w:r>
        <w:rPr>
          <w:rFonts w:ascii="Traditional Arabic" w:hAnsi="Traditional Arabic"/>
          <w:sz w:val="32"/>
          <w:szCs w:val="32"/>
          <w:rtl/>
        </w:rPr>
        <w:t>ال بالنيات" من هذه الرسالة ص</w:t>
      </w:r>
      <w:r>
        <w:rPr>
          <w:rFonts w:ascii="Traditional Arabic" w:hAnsi="Traditional Arabic" w:hint="cs"/>
          <w:sz w:val="32"/>
          <w:szCs w:val="32"/>
          <w:rtl/>
        </w:rPr>
        <w:t xml:space="preserve"> </w:t>
      </w:r>
      <w:r>
        <w:rPr>
          <w:rFonts w:ascii="Traditional Arabic" w:hAnsi="Traditional Arabic"/>
          <w:sz w:val="32"/>
          <w:szCs w:val="32"/>
          <w:rtl/>
        </w:rPr>
        <w:t>(</w:t>
      </w:r>
      <w:r>
        <w:rPr>
          <w:rFonts w:ascii="Traditional Arabic" w:hAnsi="Traditional Arabic" w:hint="cs"/>
          <w:sz w:val="32"/>
          <w:szCs w:val="32"/>
          <w:rtl/>
        </w:rPr>
        <w:t>199</w:t>
      </w:r>
      <w:r w:rsidRPr="00913138">
        <w:rPr>
          <w:rFonts w:ascii="Traditional Arabic" w:hAnsi="Traditional Arabic"/>
          <w:sz w:val="32"/>
          <w:szCs w:val="32"/>
          <w:rtl/>
        </w:rPr>
        <w:t>).</w:t>
      </w:r>
    </w:p>
  </w:footnote>
  <w:footnote w:id="869">
    <w:p w:rsidR="000D3D21" w:rsidRPr="007C0153" w:rsidRDefault="000D3D21" w:rsidP="005E65EA">
      <w:pPr>
        <w:pStyle w:val="a7"/>
        <w:rPr>
          <w:sz w:val="32"/>
          <w:szCs w:val="32"/>
          <w:rtl/>
        </w:rPr>
      </w:pPr>
      <w:r w:rsidRPr="007C0153">
        <w:rPr>
          <w:rFonts w:ascii="Traditional Arabic" w:hAnsi="Traditional Arabic"/>
          <w:sz w:val="32"/>
          <w:szCs w:val="32"/>
        </w:rPr>
        <w:footnoteRef/>
      </w:r>
      <w:r w:rsidRPr="007C0153">
        <w:rPr>
          <w:rFonts w:ascii="Traditional Arabic" w:hAnsi="Traditional Arabic"/>
          <w:sz w:val="32"/>
          <w:szCs w:val="32"/>
        </w:rPr>
        <w:t>)</w:t>
      </w:r>
      <w:r w:rsidRPr="007C0153">
        <w:rPr>
          <w:rFonts w:ascii="Traditional Arabic" w:hAnsi="Traditional Arabic" w:hint="cs"/>
          <w:sz w:val="32"/>
          <w:szCs w:val="32"/>
          <w:rtl/>
        </w:rPr>
        <w:t>)</w:t>
      </w:r>
      <w:r w:rsidRPr="007C0153">
        <w:rPr>
          <w:sz w:val="32"/>
          <w:szCs w:val="32"/>
          <w:rtl/>
        </w:rPr>
        <w:t xml:space="preserve"> و</w:t>
      </w:r>
      <w:r w:rsidRPr="007C0153">
        <w:rPr>
          <w:rFonts w:hint="cs"/>
          <w:sz w:val="32"/>
          <w:szCs w:val="32"/>
          <w:rtl/>
        </w:rPr>
        <w:t xml:space="preserve">خالف في ذلك </w:t>
      </w:r>
      <w:r>
        <w:rPr>
          <w:rFonts w:hint="cs"/>
          <w:sz w:val="32"/>
          <w:szCs w:val="32"/>
          <w:rtl/>
        </w:rPr>
        <w:t xml:space="preserve"> </w:t>
      </w:r>
      <w:r w:rsidRPr="007C0153">
        <w:rPr>
          <w:rFonts w:hint="cs"/>
          <w:sz w:val="32"/>
          <w:szCs w:val="32"/>
          <w:rtl/>
        </w:rPr>
        <w:t xml:space="preserve">ابن حزم </w:t>
      </w:r>
      <w:r>
        <w:rPr>
          <w:rFonts w:hint="cs"/>
          <w:sz w:val="32"/>
          <w:szCs w:val="32"/>
          <w:rtl/>
        </w:rPr>
        <w:t>_</w:t>
      </w:r>
      <w:r w:rsidRPr="007C0153">
        <w:rPr>
          <w:rFonts w:ascii="Traditional Arabic" w:hAnsi="Traditional Arabic" w:cs="CTraditional Arabic" w:hint="cs"/>
          <w:sz w:val="32"/>
          <w:szCs w:val="32"/>
          <w:rtl/>
        </w:rPr>
        <w:t>/</w:t>
      </w:r>
      <w:r>
        <w:rPr>
          <w:rFonts w:hint="cs"/>
          <w:sz w:val="32"/>
          <w:szCs w:val="32"/>
          <w:rtl/>
        </w:rPr>
        <w:t>_</w:t>
      </w:r>
      <w:r w:rsidRPr="007C0153">
        <w:rPr>
          <w:rFonts w:hint="cs"/>
          <w:sz w:val="32"/>
          <w:szCs w:val="32"/>
          <w:rtl/>
        </w:rPr>
        <w:t xml:space="preserve"> وأبطل العمل بالقاعدة في معرض احتجاجه على إبطال الأخذ بالاحتياط وسد الذرائع.</w:t>
      </w:r>
      <w:r>
        <w:rPr>
          <w:rFonts w:hint="cs"/>
          <w:sz w:val="32"/>
          <w:szCs w:val="32"/>
          <w:rtl/>
        </w:rPr>
        <w:t xml:space="preserve"> </w:t>
      </w:r>
      <w:r w:rsidRPr="007C0153">
        <w:rPr>
          <w:rFonts w:hint="cs"/>
          <w:sz w:val="32"/>
          <w:szCs w:val="32"/>
          <w:rtl/>
        </w:rPr>
        <w:t>انظر: الأشباه والنظائر لابن نجيم (184)، وإيضاح المسالك للونشريسي (315-320)، والمنثور</w:t>
      </w:r>
      <w:r>
        <w:rPr>
          <w:rFonts w:hint="cs"/>
          <w:sz w:val="32"/>
          <w:szCs w:val="32"/>
          <w:rtl/>
        </w:rPr>
        <w:t xml:space="preserve"> للزركشي </w:t>
      </w:r>
      <w:r w:rsidRPr="007C0153">
        <w:rPr>
          <w:rFonts w:hint="cs"/>
          <w:sz w:val="32"/>
          <w:szCs w:val="32"/>
          <w:rtl/>
        </w:rPr>
        <w:t>(3/183)، و</w:t>
      </w:r>
      <w:r>
        <w:rPr>
          <w:rFonts w:hint="cs"/>
          <w:sz w:val="32"/>
          <w:szCs w:val="32"/>
          <w:rtl/>
        </w:rPr>
        <w:t>تقرير ال</w:t>
      </w:r>
      <w:r w:rsidRPr="007C0153">
        <w:rPr>
          <w:rFonts w:hint="cs"/>
          <w:sz w:val="32"/>
          <w:szCs w:val="32"/>
          <w:rtl/>
        </w:rPr>
        <w:t xml:space="preserve">قواعد </w:t>
      </w:r>
      <w:r>
        <w:rPr>
          <w:rFonts w:hint="cs"/>
          <w:sz w:val="32"/>
          <w:szCs w:val="32"/>
          <w:rtl/>
        </w:rPr>
        <w:t>ل</w:t>
      </w:r>
      <w:r w:rsidRPr="007C0153">
        <w:rPr>
          <w:rFonts w:hint="cs"/>
          <w:sz w:val="32"/>
          <w:szCs w:val="32"/>
          <w:rtl/>
        </w:rPr>
        <w:t>ابن رجب (2/402، 404)، والإحكام في أصول الأحكام لابن حزم (6/186-187).</w:t>
      </w:r>
    </w:p>
    <w:p w:rsidR="000D3D21" w:rsidRPr="007C0153" w:rsidRDefault="000D3D21" w:rsidP="005E65EA">
      <w:pPr>
        <w:pStyle w:val="a7"/>
        <w:rPr>
          <w:sz w:val="32"/>
          <w:szCs w:val="32"/>
          <w:rtl/>
        </w:rPr>
      </w:pPr>
    </w:p>
  </w:footnote>
  <w:footnote w:id="870">
    <w:p w:rsidR="000D3D21" w:rsidRPr="006A0B58" w:rsidRDefault="000D3D21" w:rsidP="005E65EA">
      <w:pPr>
        <w:pStyle w:val="a7"/>
        <w:rPr>
          <w:rFonts w:ascii="Traditional Arabic" w:hAnsi="Traditional Arabic"/>
          <w:sz w:val="32"/>
          <w:szCs w:val="32"/>
          <w:rtl/>
        </w:rPr>
      </w:pPr>
      <w:r w:rsidRPr="007C0153">
        <w:rPr>
          <w:rFonts w:ascii="Traditional Arabic" w:hAnsi="Traditional Arabic"/>
          <w:sz w:val="32"/>
          <w:szCs w:val="32"/>
        </w:rPr>
        <w:footnoteRef/>
      </w:r>
      <w:r w:rsidRPr="007C0153">
        <w:rPr>
          <w:rFonts w:ascii="Traditional Arabic" w:hAnsi="Traditional Arabic"/>
          <w:sz w:val="32"/>
          <w:szCs w:val="32"/>
        </w:rPr>
        <w:t>)</w:t>
      </w:r>
      <w:r w:rsidRPr="007C0153">
        <w:rPr>
          <w:rFonts w:ascii="Traditional Arabic" w:hAnsi="Traditional Arabic"/>
          <w:sz w:val="32"/>
          <w:szCs w:val="32"/>
          <w:rtl/>
        </w:rPr>
        <w:t xml:space="preserve">) </w:t>
      </w:r>
      <w:r w:rsidRPr="007C0153">
        <w:rPr>
          <w:rFonts w:ascii="Traditional Arabic" w:hAnsi="Traditional Arabic" w:hint="cs"/>
          <w:sz w:val="32"/>
          <w:szCs w:val="32"/>
          <w:rtl/>
        </w:rPr>
        <w:t>فحقيقة هذه القاعدة أوسع مِن تعلُّقها بِسوء القصْد المرتبِط بالاستعجال؛ إذ تشمل كل التصرُّفات التي تقوم على سوء النية والقصد ولو تذرَّع له الشخص بوسيلة مشروعة، طالما كان هدف</w:t>
      </w:r>
      <w:r>
        <w:rPr>
          <w:rFonts w:ascii="Traditional Arabic" w:hAnsi="Traditional Arabic" w:hint="cs"/>
          <w:sz w:val="32"/>
          <w:szCs w:val="32"/>
          <w:rtl/>
        </w:rPr>
        <w:t>ُ</w:t>
      </w:r>
      <w:r w:rsidRPr="007C0153">
        <w:rPr>
          <w:rFonts w:ascii="Traditional Arabic" w:hAnsi="Traditional Arabic" w:hint="cs"/>
          <w:sz w:val="32"/>
          <w:szCs w:val="32"/>
          <w:rtl/>
        </w:rPr>
        <w:t xml:space="preserve">ه الوصول إلى نتيجة ممنوعة، ويدخل تحت ذلك الحيل الممنوعة؛ ولهذا يورِد بعض العلماء بعضَ الفروع المتعلقة بإبطال الحيل تحت هذه القاعدة، من جهة أن المحتال يعامَل بنقيض قصده الفاسد، ولعل هذا الذي جعل الشيخ ابن عثمين </w:t>
      </w:r>
      <w:r>
        <w:rPr>
          <w:rFonts w:ascii="Traditional Arabic" w:hAnsi="Traditional Arabic" w:hint="cs"/>
          <w:sz w:val="32"/>
          <w:szCs w:val="32"/>
          <w:rtl/>
        </w:rPr>
        <w:t>_</w:t>
      </w:r>
      <w:r w:rsidRPr="007C0153">
        <w:rPr>
          <w:rFonts w:ascii="Traditional Arabic" w:hAnsi="Traditional Arabic" w:cs="CTraditional Arabic" w:hint="cs"/>
          <w:sz w:val="32"/>
          <w:szCs w:val="32"/>
          <w:rtl/>
        </w:rPr>
        <w:t>/</w:t>
      </w:r>
      <w:r>
        <w:rPr>
          <w:rFonts w:ascii="Traditional Arabic" w:hAnsi="Traditional Arabic" w:hint="cs"/>
          <w:sz w:val="32"/>
          <w:szCs w:val="32"/>
          <w:rtl/>
        </w:rPr>
        <w:t>_</w:t>
      </w:r>
      <w:r w:rsidRPr="007C0153">
        <w:rPr>
          <w:rFonts w:ascii="Traditional Arabic" w:hAnsi="Traditional Arabic" w:hint="cs"/>
          <w:sz w:val="32"/>
          <w:szCs w:val="32"/>
          <w:rtl/>
        </w:rPr>
        <w:t xml:space="preserve"> يعبِّر عن" قاعدة الحيل" في إحدى صيغها بقوله:</w:t>
      </w:r>
      <w:r>
        <w:rPr>
          <w:rFonts w:ascii="Traditional Arabic" w:hAnsi="Traditional Arabic" w:hint="cs"/>
          <w:sz w:val="32"/>
          <w:szCs w:val="32"/>
          <w:rtl/>
        </w:rPr>
        <w:t xml:space="preserve"> (</w:t>
      </w:r>
      <w:r w:rsidRPr="007C0153">
        <w:rPr>
          <w:rFonts w:hint="cs"/>
          <w:sz w:val="32"/>
          <w:szCs w:val="32"/>
          <w:rtl/>
        </w:rPr>
        <w:t>من أراد التَّحَيُّل على إسقاطِ الواجب أو فِعلِ المحرَّم عوقِب بِنَقيضِ قَصْدِه</w:t>
      </w:r>
      <w:r>
        <w:rPr>
          <w:rFonts w:ascii="Traditional Arabic" w:hAnsi="Traditional Arabic" w:hint="cs"/>
          <w:sz w:val="32"/>
          <w:szCs w:val="32"/>
          <w:rtl/>
        </w:rPr>
        <w:t xml:space="preserve">). الشرح الممتع (4/365)، وانظر </w:t>
      </w:r>
      <w:r w:rsidRPr="006A0B58">
        <w:rPr>
          <w:rFonts w:ascii="Traditional Arabic" w:hAnsi="Traditional Arabic" w:hint="cs"/>
          <w:sz w:val="32"/>
          <w:szCs w:val="32"/>
          <w:rtl/>
        </w:rPr>
        <w:t>المدخل الفقهي العام (2/1059).</w:t>
      </w:r>
    </w:p>
  </w:footnote>
  <w:footnote w:id="871">
    <w:p w:rsidR="000D3D21" w:rsidRPr="006A0B58" w:rsidRDefault="000D3D21" w:rsidP="005E65EA">
      <w:pPr>
        <w:pStyle w:val="a7"/>
        <w:rPr>
          <w:rFonts w:ascii="Traditional Arabic" w:hAnsi="Traditional Arabic"/>
          <w:sz w:val="32"/>
          <w:szCs w:val="32"/>
          <w:rtl/>
        </w:rPr>
      </w:pPr>
      <w:r w:rsidRPr="004268F2">
        <w:rPr>
          <w:rFonts w:ascii="Traditional Arabic" w:hAnsi="Traditional Arabic"/>
          <w:sz w:val="32"/>
          <w:szCs w:val="32"/>
        </w:rPr>
        <w:footnoteRef/>
      </w:r>
      <w:r w:rsidRPr="004268F2">
        <w:rPr>
          <w:rFonts w:ascii="Traditional Arabic" w:hAnsi="Traditional Arabic"/>
          <w:sz w:val="32"/>
          <w:szCs w:val="32"/>
        </w:rPr>
        <w:t>)</w:t>
      </w:r>
      <w:r w:rsidRPr="004268F2">
        <w:rPr>
          <w:rFonts w:ascii="Traditional Arabic" w:hAnsi="Traditional Arabic" w:hint="cs"/>
          <w:sz w:val="32"/>
          <w:szCs w:val="32"/>
          <w:rtl/>
        </w:rPr>
        <w:t>)</w:t>
      </w:r>
      <w:r>
        <w:rPr>
          <w:rFonts w:ascii="Traditional Arabic" w:hAnsi="Traditional Arabic"/>
          <w:sz w:val="32"/>
          <w:szCs w:val="32"/>
          <w:rtl/>
        </w:rPr>
        <w:t xml:space="preserve"> و</w:t>
      </w:r>
      <w:r w:rsidRPr="006A0B58">
        <w:rPr>
          <w:rFonts w:ascii="Traditional Arabic" w:hAnsi="Traditional Arabic" w:hint="cs"/>
          <w:sz w:val="32"/>
          <w:szCs w:val="32"/>
          <w:rtl/>
        </w:rPr>
        <w:t>لهذا لو تعجل الشيء على وجهٍ مباح، فإنه لايعاقب بحرمانه، كما لو طلب الفقير</w:t>
      </w:r>
      <w:r>
        <w:rPr>
          <w:rFonts w:ascii="Traditional Arabic" w:hAnsi="Traditional Arabic" w:hint="cs"/>
          <w:sz w:val="32"/>
          <w:szCs w:val="32"/>
          <w:rtl/>
        </w:rPr>
        <w:t xml:space="preserve"> </w:t>
      </w:r>
      <w:r w:rsidRPr="006A0B58">
        <w:rPr>
          <w:rFonts w:ascii="Traditional Arabic" w:hAnsi="Traditional Arabic" w:hint="cs"/>
          <w:sz w:val="32"/>
          <w:szCs w:val="32"/>
          <w:rtl/>
        </w:rPr>
        <w:t>من الغني أن يعج</w:t>
      </w:r>
      <w:r>
        <w:rPr>
          <w:rFonts w:ascii="Traditional Arabic" w:hAnsi="Traditional Arabic" w:hint="cs"/>
          <w:sz w:val="32"/>
          <w:szCs w:val="32"/>
          <w:rtl/>
        </w:rPr>
        <w:t>ِّ</w:t>
      </w:r>
      <w:r w:rsidRPr="006A0B58">
        <w:rPr>
          <w:rFonts w:ascii="Traditional Arabic" w:hAnsi="Traditional Arabic" w:hint="cs"/>
          <w:sz w:val="32"/>
          <w:szCs w:val="32"/>
          <w:rtl/>
        </w:rPr>
        <w:t>ل له زكاته لسنتين ويدفعها إليه.</w:t>
      </w:r>
      <w:r>
        <w:rPr>
          <w:rFonts w:ascii="Traditional Arabic" w:hAnsi="Traditional Arabic" w:hint="cs"/>
          <w:sz w:val="32"/>
          <w:szCs w:val="32"/>
          <w:rtl/>
        </w:rPr>
        <w:t xml:space="preserve"> انظر شرح </w:t>
      </w:r>
      <w:r w:rsidRPr="006A0B58">
        <w:rPr>
          <w:rFonts w:ascii="Traditional Arabic" w:hAnsi="Traditional Arabic" w:hint="cs"/>
          <w:sz w:val="32"/>
          <w:szCs w:val="32"/>
          <w:rtl/>
        </w:rPr>
        <w:t xml:space="preserve">منظومة </w:t>
      </w:r>
      <w:r>
        <w:rPr>
          <w:rFonts w:ascii="Traditional Arabic" w:hAnsi="Traditional Arabic" w:hint="cs"/>
          <w:sz w:val="32"/>
          <w:szCs w:val="32"/>
          <w:rtl/>
        </w:rPr>
        <w:t xml:space="preserve">أصول الفقه وقواعده </w:t>
      </w:r>
      <w:r w:rsidRPr="006A0B58">
        <w:rPr>
          <w:rFonts w:ascii="Traditional Arabic" w:hAnsi="Traditional Arabic" w:hint="cs"/>
          <w:sz w:val="32"/>
          <w:szCs w:val="32"/>
          <w:rtl/>
        </w:rPr>
        <w:t>(345).</w:t>
      </w:r>
    </w:p>
  </w:footnote>
  <w:footnote w:id="872">
    <w:p w:rsidR="000D3D21" w:rsidRPr="00662E84" w:rsidRDefault="000D3D21">
      <w:pPr>
        <w:pStyle w:val="a7"/>
        <w:rPr>
          <w:rFonts w:ascii="Traditional Arabic" w:hAnsi="Traditional Arabic"/>
          <w:sz w:val="32"/>
          <w:szCs w:val="32"/>
          <w:rtl/>
        </w:rPr>
      </w:pPr>
      <w:r w:rsidRPr="00662E84">
        <w:rPr>
          <w:rFonts w:ascii="Traditional Arabic" w:hAnsi="Traditional Arabic"/>
          <w:sz w:val="32"/>
          <w:szCs w:val="32"/>
          <w:rtl/>
        </w:rPr>
        <w:t>(</w:t>
      </w:r>
      <w:r w:rsidRPr="00662E84">
        <w:rPr>
          <w:rStyle w:val="af1"/>
          <w:rFonts w:ascii="Traditional Arabic" w:hAnsi="Traditional Arabic"/>
          <w:sz w:val="32"/>
          <w:szCs w:val="32"/>
          <w:vertAlign w:val="baseline"/>
        </w:rPr>
        <w:footnoteRef/>
      </w:r>
      <w:r w:rsidRPr="00662E84">
        <w:rPr>
          <w:rFonts w:ascii="Traditional Arabic" w:hAnsi="Traditional Arabic"/>
          <w:sz w:val="32"/>
          <w:szCs w:val="32"/>
          <w:rtl/>
        </w:rPr>
        <w:t>)</w:t>
      </w:r>
      <w:r>
        <w:rPr>
          <w:rFonts w:ascii="Traditional Arabic" w:hAnsi="Traditional Arabic" w:hint="cs"/>
          <w:b/>
          <w:bCs/>
          <w:sz w:val="32"/>
          <w:szCs w:val="32"/>
          <w:rtl/>
        </w:rPr>
        <w:t xml:space="preserve"> </w:t>
      </w:r>
      <w:r w:rsidRPr="0072097A">
        <w:rPr>
          <w:rFonts w:ascii="Traditional Arabic" w:hAnsi="Traditional Arabic"/>
          <w:b/>
          <w:bCs/>
          <w:sz w:val="32"/>
          <w:szCs w:val="32"/>
          <w:rtl/>
        </w:rPr>
        <w:t>التعزير</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التعزير</w:instrText>
      </w:r>
      <w:r>
        <w:instrText xml:space="preserve">" </w:instrText>
      </w:r>
      <w:r w:rsidRPr="003E316B">
        <w:instrText>\fm</w:instrText>
      </w:r>
      <w:r w:rsidR="00AB0B9E">
        <w:rPr>
          <w:rFonts w:ascii="Traditional Arabic" w:hAnsi="Traditional Arabic"/>
          <w:b/>
          <w:bCs/>
          <w:sz w:val="32"/>
          <w:szCs w:val="32"/>
          <w:rtl/>
        </w:rPr>
        <w:fldChar w:fldCharType="end"/>
      </w:r>
      <w:r w:rsidRPr="0072097A">
        <w:rPr>
          <w:rFonts w:ascii="Traditional Arabic" w:hAnsi="Traditional Arabic"/>
          <w:b/>
          <w:bCs/>
          <w:sz w:val="32"/>
          <w:szCs w:val="32"/>
          <w:rtl/>
        </w:rPr>
        <w:t xml:space="preserve">: </w:t>
      </w:r>
      <w:r w:rsidRPr="0072097A">
        <w:rPr>
          <w:rFonts w:ascii="Traditional Arabic" w:hAnsi="Traditional Arabic"/>
          <w:noProof w:val="0"/>
          <w:sz w:val="32"/>
          <w:szCs w:val="32"/>
          <w:rtl/>
          <w:lang w:eastAsia="en-US"/>
        </w:rPr>
        <w:t>المنع، يقال: عز</w:t>
      </w:r>
      <w:r>
        <w:rPr>
          <w:rFonts w:ascii="Traditional Arabic" w:hAnsi="Traditional Arabic" w:hint="cs"/>
          <w:noProof w:val="0"/>
          <w:sz w:val="32"/>
          <w:szCs w:val="32"/>
          <w:rtl/>
          <w:lang w:eastAsia="en-US"/>
        </w:rPr>
        <w:t>َ</w:t>
      </w:r>
      <w:r w:rsidRPr="0072097A">
        <w:rPr>
          <w:rFonts w:ascii="Traditional Arabic" w:hAnsi="Traditional Arabic"/>
          <w:noProof w:val="0"/>
          <w:sz w:val="32"/>
          <w:szCs w:val="32"/>
          <w:rtl/>
          <w:lang w:eastAsia="en-US"/>
        </w:rPr>
        <w:t>رته وعز</w:t>
      </w:r>
      <w:r>
        <w:rPr>
          <w:rFonts w:ascii="Traditional Arabic" w:hAnsi="Traditional Arabic" w:hint="cs"/>
          <w:noProof w:val="0"/>
          <w:sz w:val="32"/>
          <w:szCs w:val="32"/>
          <w:rtl/>
          <w:lang w:eastAsia="en-US"/>
        </w:rPr>
        <w:t>َّ</w:t>
      </w:r>
      <w:r w:rsidRPr="0072097A">
        <w:rPr>
          <w:rFonts w:ascii="Traditional Arabic" w:hAnsi="Traditional Arabic"/>
          <w:noProof w:val="0"/>
          <w:sz w:val="32"/>
          <w:szCs w:val="32"/>
          <w:rtl/>
          <w:lang w:eastAsia="en-US"/>
        </w:rPr>
        <w:t>رته: إذا منعته، ومنه سمي التأديب الذي دون الحد: تعزيرًا؛ لأنه يمنع الجاني من م</w:t>
      </w:r>
      <w:r>
        <w:rPr>
          <w:rFonts w:ascii="Traditional Arabic" w:hAnsi="Traditional Arabic" w:hint="cs"/>
          <w:noProof w:val="0"/>
          <w:sz w:val="32"/>
          <w:szCs w:val="32"/>
          <w:rtl/>
          <w:lang w:eastAsia="en-US"/>
        </w:rPr>
        <w:t>ُ</w:t>
      </w:r>
      <w:r w:rsidRPr="0072097A">
        <w:rPr>
          <w:rFonts w:ascii="Traditional Arabic" w:hAnsi="Traditional Arabic"/>
          <w:noProof w:val="0"/>
          <w:sz w:val="32"/>
          <w:szCs w:val="32"/>
          <w:rtl/>
          <w:lang w:eastAsia="en-US"/>
        </w:rPr>
        <w:t>عاو</w:t>
      </w:r>
      <w:r>
        <w:rPr>
          <w:rFonts w:ascii="Traditional Arabic" w:hAnsi="Traditional Arabic" w:hint="cs"/>
          <w:noProof w:val="0"/>
          <w:sz w:val="32"/>
          <w:szCs w:val="32"/>
          <w:rtl/>
          <w:lang w:eastAsia="en-US"/>
        </w:rPr>
        <w:t>َ</w:t>
      </w:r>
      <w:r w:rsidRPr="0072097A">
        <w:rPr>
          <w:rFonts w:ascii="Traditional Arabic" w:hAnsi="Traditional Arabic"/>
          <w:noProof w:val="0"/>
          <w:sz w:val="32"/>
          <w:szCs w:val="32"/>
          <w:rtl/>
          <w:lang w:eastAsia="en-US"/>
        </w:rPr>
        <w:t>دة الذنب</w:t>
      </w:r>
      <w:r w:rsidRPr="0072097A">
        <w:rPr>
          <w:rFonts w:ascii="Traditional Arabic" w:hAnsi="Traditional Arabic"/>
          <w:b/>
          <w:bCs/>
          <w:sz w:val="32"/>
          <w:szCs w:val="32"/>
          <w:rtl/>
        </w:rPr>
        <w:t xml:space="preserve">. </w:t>
      </w:r>
      <w:r w:rsidRPr="0072097A">
        <w:rPr>
          <w:rFonts w:ascii="Traditional Arabic" w:hAnsi="Traditional Arabic"/>
          <w:sz w:val="32"/>
          <w:szCs w:val="32"/>
          <w:rtl/>
        </w:rPr>
        <w:t>المطلع على أبواب المقنع (457).</w:t>
      </w:r>
    </w:p>
  </w:footnote>
  <w:footnote w:id="873">
    <w:p w:rsidR="000D3D21" w:rsidRDefault="000D3D21" w:rsidP="005E65EA">
      <w:pPr>
        <w:pStyle w:val="a7"/>
        <w:rPr>
          <w:rFonts w:ascii="Traditional Arabic" w:hAnsi="Traditional Arabic"/>
          <w:sz w:val="32"/>
          <w:szCs w:val="32"/>
          <w:rtl/>
        </w:rPr>
      </w:pPr>
      <w:r w:rsidRPr="004268F2">
        <w:rPr>
          <w:rFonts w:ascii="Traditional Arabic" w:hAnsi="Traditional Arabic"/>
          <w:sz w:val="32"/>
          <w:szCs w:val="32"/>
        </w:rPr>
        <w:footnoteRef/>
      </w:r>
      <w:r w:rsidRPr="004268F2">
        <w:rPr>
          <w:rFonts w:ascii="Traditional Arabic" w:hAnsi="Traditional Arabic"/>
          <w:sz w:val="32"/>
          <w:szCs w:val="32"/>
        </w:rPr>
        <w:t>)</w:t>
      </w:r>
      <w:r w:rsidRPr="004268F2">
        <w:rPr>
          <w:rFonts w:ascii="Traditional Arabic" w:hAnsi="Traditional Arabic" w:hint="cs"/>
          <w:sz w:val="32"/>
          <w:szCs w:val="32"/>
          <w:rtl/>
        </w:rPr>
        <w:t>)</w:t>
      </w:r>
      <w:r>
        <w:rPr>
          <w:rFonts w:ascii="Traditional Arabic" w:hAnsi="Traditional Arabic" w:hint="cs"/>
          <w:sz w:val="32"/>
          <w:szCs w:val="32"/>
          <w:rtl/>
        </w:rPr>
        <w:t xml:space="preserve"> </w:t>
      </w:r>
      <w:r w:rsidRPr="006A0B58">
        <w:rPr>
          <w:rFonts w:ascii="Traditional Arabic" w:hAnsi="Traditional Arabic" w:hint="cs"/>
          <w:sz w:val="32"/>
          <w:szCs w:val="32"/>
          <w:rtl/>
        </w:rPr>
        <w:t>انظر:</w:t>
      </w:r>
      <w:r>
        <w:rPr>
          <w:rFonts w:ascii="Traditional Arabic" w:hAnsi="Traditional Arabic" w:hint="cs"/>
          <w:sz w:val="32"/>
          <w:szCs w:val="32"/>
          <w:rtl/>
        </w:rPr>
        <w:t xml:space="preserve"> </w:t>
      </w:r>
      <w:r w:rsidRPr="006A0B58">
        <w:rPr>
          <w:rFonts w:ascii="Traditional Arabic" w:hAnsi="Traditional Arabic" w:hint="cs"/>
          <w:sz w:val="32"/>
          <w:szCs w:val="32"/>
          <w:rtl/>
        </w:rPr>
        <w:t>المدخل الفقهي العام (2/1059، 1061)،</w:t>
      </w:r>
      <w:r>
        <w:rPr>
          <w:rFonts w:ascii="Traditional Arabic" w:hAnsi="Traditional Arabic" w:hint="cs"/>
          <w:sz w:val="32"/>
          <w:szCs w:val="32"/>
          <w:rtl/>
        </w:rPr>
        <w:t xml:space="preserve"> و</w:t>
      </w:r>
      <w:r w:rsidRPr="006A0B58">
        <w:rPr>
          <w:rFonts w:ascii="Traditional Arabic" w:hAnsi="Traditional Arabic" w:hint="cs"/>
          <w:sz w:val="32"/>
          <w:szCs w:val="32"/>
          <w:rtl/>
        </w:rPr>
        <w:t xml:space="preserve">شرح القواعد الفقهية </w:t>
      </w:r>
      <w:r>
        <w:rPr>
          <w:rFonts w:ascii="Traditional Arabic" w:hAnsi="Traditional Arabic" w:hint="cs"/>
          <w:sz w:val="32"/>
          <w:szCs w:val="32"/>
          <w:rtl/>
        </w:rPr>
        <w:t xml:space="preserve">للزرقا </w:t>
      </w:r>
      <w:r w:rsidRPr="006A0B58">
        <w:rPr>
          <w:rFonts w:ascii="Traditional Arabic" w:hAnsi="Traditional Arabic" w:hint="cs"/>
          <w:sz w:val="32"/>
          <w:szCs w:val="32"/>
          <w:rtl/>
        </w:rPr>
        <w:t>(471)</w:t>
      </w:r>
      <w:r>
        <w:rPr>
          <w:rFonts w:ascii="Traditional Arabic" w:hAnsi="Traditional Arabic" w:hint="cs"/>
          <w:sz w:val="32"/>
          <w:szCs w:val="32"/>
          <w:rtl/>
        </w:rPr>
        <w:t>،</w:t>
      </w:r>
      <w:r w:rsidRPr="006A0B58">
        <w:rPr>
          <w:rFonts w:ascii="Traditional Arabic" w:hAnsi="Traditional Arabic" w:hint="cs"/>
          <w:sz w:val="32"/>
          <w:szCs w:val="32"/>
          <w:rtl/>
        </w:rPr>
        <w:t xml:space="preserve"> </w:t>
      </w:r>
      <w:r>
        <w:rPr>
          <w:rFonts w:ascii="Traditional Arabic" w:hAnsi="Traditional Arabic" w:hint="cs"/>
          <w:sz w:val="32"/>
          <w:szCs w:val="32"/>
          <w:rtl/>
        </w:rPr>
        <w:t>وم</w:t>
      </w:r>
      <w:r w:rsidRPr="006A0B58">
        <w:rPr>
          <w:rFonts w:ascii="Traditional Arabic" w:hAnsi="Traditional Arabic" w:hint="cs"/>
          <w:sz w:val="32"/>
          <w:szCs w:val="32"/>
          <w:rtl/>
        </w:rPr>
        <w:t>وسوعة</w:t>
      </w:r>
      <w:r>
        <w:rPr>
          <w:rFonts w:ascii="Traditional Arabic" w:hAnsi="Traditional Arabic" w:hint="cs"/>
          <w:sz w:val="32"/>
          <w:szCs w:val="32"/>
          <w:rtl/>
        </w:rPr>
        <w:t xml:space="preserve"> القواعد الفقهية (2/151)، و(11/711)، و</w:t>
      </w:r>
      <w:r w:rsidRPr="006A0B58">
        <w:rPr>
          <w:rFonts w:ascii="Traditional Arabic" w:hAnsi="Traditional Arabic" w:hint="cs"/>
          <w:sz w:val="32"/>
          <w:szCs w:val="32"/>
          <w:rtl/>
        </w:rPr>
        <w:t>الوجيز (160) كلاهما للبورنو،</w:t>
      </w:r>
      <w:r>
        <w:rPr>
          <w:rFonts w:ascii="Traditional Arabic" w:hAnsi="Traditional Arabic" w:hint="cs"/>
          <w:sz w:val="32"/>
          <w:szCs w:val="32"/>
          <w:rtl/>
        </w:rPr>
        <w:t xml:space="preserve"> و</w:t>
      </w:r>
      <w:r w:rsidRPr="006A0B58">
        <w:rPr>
          <w:rFonts w:ascii="Traditional Arabic" w:hAnsi="Traditional Arabic" w:hint="cs"/>
          <w:sz w:val="32"/>
          <w:szCs w:val="32"/>
          <w:rtl/>
        </w:rPr>
        <w:t>القواعد</w:t>
      </w:r>
      <w:r>
        <w:rPr>
          <w:rFonts w:ascii="Traditional Arabic" w:hAnsi="Traditional Arabic" w:hint="cs"/>
          <w:sz w:val="32"/>
          <w:szCs w:val="32"/>
          <w:rtl/>
        </w:rPr>
        <w:t xml:space="preserve"> و</w:t>
      </w:r>
      <w:r w:rsidRPr="006A0B58">
        <w:rPr>
          <w:rFonts w:ascii="Traditional Arabic" w:hAnsi="Traditional Arabic" w:hint="cs"/>
          <w:sz w:val="32"/>
          <w:szCs w:val="32"/>
          <w:rtl/>
        </w:rPr>
        <w:t>الضوابط ال</w:t>
      </w:r>
      <w:r>
        <w:rPr>
          <w:rFonts w:ascii="Traditional Arabic" w:hAnsi="Traditional Arabic" w:hint="cs"/>
          <w:sz w:val="32"/>
          <w:szCs w:val="32"/>
          <w:rtl/>
        </w:rPr>
        <w:t>فقهية لمحمد عثمان شبير (359)، و</w:t>
      </w:r>
      <w:r w:rsidRPr="006A0B58">
        <w:rPr>
          <w:rFonts w:ascii="Traditional Arabic" w:hAnsi="Traditional Arabic" w:hint="cs"/>
          <w:sz w:val="32"/>
          <w:szCs w:val="32"/>
          <w:rtl/>
        </w:rPr>
        <w:t>قواعد الفقه الإسلامي من خلال كتاب الإشراف لمحمد الروكي (275)،</w:t>
      </w:r>
      <w:r>
        <w:rPr>
          <w:rFonts w:ascii="Traditional Arabic" w:hAnsi="Traditional Arabic" w:hint="cs"/>
          <w:sz w:val="32"/>
          <w:szCs w:val="32"/>
          <w:rtl/>
        </w:rPr>
        <w:t xml:space="preserve"> و</w:t>
      </w:r>
      <w:r w:rsidRPr="006A0B58">
        <w:rPr>
          <w:rFonts w:ascii="Traditional Arabic" w:hAnsi="Traditional Arabic" w:hint="cs"/>
          <w:sz w:val="32"/>
          <w:szCs w:val="32"/>
          <w:rtl/>
        </w:rPr>
        <w:t>ق</w:t>
      </w:r>
      <w:r>
        <w:rPr>
          <w:rFonts w:ascii="Traditional Arabic" w:hAnsi="Traditional Arabic" w:hint="cs"/>
          <w:sz w:val="32"/>
          <w:szCs w:val="32"/>
          <w:rtl/>
        </w:rPr>
        <w:t>واعد الوسائل (507، 509، 510)، و</w:t>
      </w:r>
      <w:r w:rsidRPr="006A0B58">
        <w:rPr>
          <w:rFonts w:ascii="Traditional Arabic" w:hAnsi="Traditional Arabic" w:hint="cs"/>
          <w:sz w:val="32"/>
          <w:szCs w:val="32"/>
          <w:rtl/>
        </w:rPr>
        <w:t>روضة الفوائد (58، 59) كلاهما لمصطفى مخدوم،</w:t>
      </w:r>
      <w:r>
        <w:rPr>
          <w:rFonts w:ascii="Traditional Arabic" w:hAnsi="Traditional Arabic" w:hint="cs"/>
          <w:sz w:val="32"/>
          <w:szCs w:val="32"/>
          <w:rtl/>
        </w:rPr>
        <w:t xml:space="preserve"> و</w:t>
      </w:r>
      <w:r w:rsidRPr="006A0B58">
        <w:rPr>
          <w:rFonts w:ascii="Traditional Arabic" w:hAnsi="Traditional Arabic" w:hint="cs"/>
          <w:sz w:val="32"/>
          <w:szCs w:val="32"/>
          <w:rtl/>
        </w:rPr>
        <w:t>القواعد الفقهية للندوي (420)،</w:t>
      </w:r>
      <w:r>
        <w:rPr>
          <w:rFonts w:ascii="Traditional Arabic" w:hAnsi="Traditional Arabic" w:hint="cs"/>
          <w:sz w:val="32"/>
          <w:szCs w:val="32"/>
          <w:rtl/>
        </w:rPr>
        <w:t xml:space="preserve"> و</w:t>
      </w:r>
      <w:r w:rsidRPr="006A0B58">
        <w:rPr>
          <w:rFonts w:ascii="Traditional Arabic" w:hAnsi="Traditional Arabic" w:hint="cs"/>
          <w:sz w:val="32"/>
          <w:szCs w:val="32"/>
          <w:rtl/>
        </w:rPr>
        <w:t xml:space="preserve">قاعدة من استعجل شيئا قبل أوانه عوقب بحرمانه،دراسة تأصيلية </w:t>
      </w:r>
      <w:r>
        <w:rPr>
          <w:rFonts w:ascii="Traditional Arabic" w:hAnsi="Traditional Arabic" w:hint="cs"/>
          <w:sz w:val="32"/>
          <w:szCs w:val="32"/>
          <w:rtl/>
        </w:rPr>
        <w:t xml:space="preserve">تطبيقية (15). </w:t>
      </w:r>
    </w:p>
    <w:p w:rsidR="000D3D21" w:rsidRPr="006A0B58" w:rsidRDefault="000D3D21" w:rsidP="005E65EA">
      <w:pPr>
        <w:pStyle w:val="a7"/>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hint="cs"/>
          <w:b/>
          <w:bCs/>
          <w:sz w:val="32"/>
          <w:szCs w:val="32"/>
          <w:rtl/>
        </w:rPr>
        <w:t>تنبيه:</w:t>
      </w:r>
      <w:r>
        <w:rPr>
          <w:rFonts w:ascii="Traditional Arabic" w:hAnsi="Traditional Arabic" w:hint="cs"/>
          <w:sz w:val="32"/>
          <w:szCs w:val="32"/>
          <w:rtl/>
        </w:rPr>
        <w:t xml:space="preserve"> تعرض الشيخ ابن </w:t>
      </w:r>
      <w:r w:rsidRPr="006A0B58">
        <w:rPr>
          <w:rFonts w:ascii="Traditional Arabic" w:hAnsi="Traditional Arabic" w:hint="cs"/>
          <w:sz w:val="32"/>
          <w:szCs w:val="32"/>
          <w:rtl/>
        </w:rPr>
        <w:t xml:space="preserve">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6A0B58">
        <w:rPr>
          <w:rFonts w:ascii="Traditional Arabic" w:hAnsi="Traditional Arabic" w:hint="cs"/>
          <w:sz w:val="32"/>
          <w:szCs w:val="32"/>
          <w:rtl/>
        </w:rPr>
        <w:t xml:space="preserve"> لشرح القاعدة شرحا موجزا، وذكر بعض</w:t>
      </w:r>
      <w:r>
        <w:rPr>
          <w:rFonts w:ascii="Traditional Arabic" w:hAnsi="Traditional Arabic" w:hint="cs"/>
          <w:sz w:val="32"/>
          <w:szCs w:val="32"/>
          <w:rtl/>
        </w:rPr>
        <w:t xml:space="preserve"> الفروع المندرجة تحتها في شرح </w:t>
      </w:r>
      <w:r w:rsidRPr="006A0B58">
        <w:rPr>
          <w:rFonts w:ascii="Traditional Arabic" w:hAnsi="Traditional Arabic" w:hint="cs"/>
          <w:sz w:val="32"/>
          <w:szCs w:val="32"/>
          <w:rtl/>
        </w:rPr>
        <w:t>منظومة</w:t>
      </w:r>
      <w:r>
        <w:rPr>
          <w:rFonts w:ascii="Traditional Arabic" w:hAnsi="Traditional Arabic" w:hint="cs"/>
          <w:sz w:val="32"/>
          <w:szCs w:val="32"/>
          <w:rtl/>
        </w:rPr>
        <w:t xml:space="preserve"> أصول الفقه وقواعده. انظر</w:t>
      </w:r>
      <w:r w:rsidRPr="006A0B58">
        <w:rPr>
          <w:rFonts w:ascii="Traditional Arabic" w:hAnsi="Traditional Arabic" w:hint="cs"/>
          <w:sz w:val="32"/>
          <w:szCs w:val="32"/>
          <w:rtl/>
        </w:rPr>
        <w:t xml:space="preserve"> (344_345). </w:t>
      </w:r>
    </w:p>
  </w:footnote>
  <w:footnote w:id="874">
    <w:p w:rsidR="000D3D21" w:rsidRPr="006A0B58" w:rsidRDefault="000D3D21" w:rsidP="002B79D5">
      <w:pPr>
        <w:pStyle w:val="a7"/>
        <w:rPr>
          <w:rFonts w:ascii="Traditional Arabic" w:hAnsi="Traditional Arabic"/>
          <w:sz w:val="32"/>
          <w:szCs w:val="32"/>
          <w:rtl/>
        </w:rPr>
      </w:pPr>
      <w:r w:rsidRPr="002B79D5">
        <w:rPr>
          <w:rStyle w:val="af1"/>
          <w:rFonts w:ascii="Traditional Arabic" w:hAnsi="Traditional Arabic"/>
          <w:sz w:val="32"/>
          <w:szCs w:val="32"/>
          <w:vertAlign w:val="baseline"/>
        </w:rPr>
        <w:footnoteRef/>
      </w:r>
      <w:r w:rsidRPr="002B79D5">
        <w:rPr>
          <w:rStyle w:val="af1"/>
          <w:rFonts w:ascii="Traditional Arabic" w:hAnsi="Traditional Arabic"/>
          <w:sz w:val="32"/>
          <w:szCs w:val="32"/>
          <w:vertAlign w:val="baseline"/>
        </w:rPr>
        <w:t>)</w:t>
      </w:r>
      <w:r w:rsidRPr="002B79D5">
        <w:rPr>
          <w:rStyle w:val="af1"/>
          <w:rFonts w:ascii="Traditional Arabic" w:hAnsi="Traditional Arabic" w:hint="cs"/>
          <w:sz w:val="32"/>
          <w:szCs w:val="32"/>
          <w:vertAlign w:val="baseline"/>
          <w:rtl/>
        </w:rPr>
        <w:t>)</w:t>
      </w:r>
      <w:r>
        <w:rPr>
          <w:rFonts w:ascii="Traditional Arabic" w:hAnsi="Traditional Arabic" w:hint="cs"/>
          <w:sz w:val="32"/>
          <w:szCs w:val="32"/>
          <w:rtl/>
        </w:rPr>
        <w:t xml:space="preserve"> </w:t>
      </w:r>
      <w:r w:rsidRPr="006A0B58">
        <w:rPr>
          <w:rFonts w:ascii="Traditional Arabic" w:hAnsi="Traditional Arabic" w:hint="cs"/>
          <w:sz w:val="32"/>
          <w:szCs w:val="32"/>
          <w:rtl/>
        </w:rPr>
        <w:t>انظر</w:t>
      </w:r>
      <w:r>
        <w:rPr>
          <w:rFonts w:ascii="Traditional Arabic" w:hAnsi="Traditional Arabic" w:hint="cs"/>
          <w:sz w:val="32"/>
          <w:szCs w:val="32"/>
          <w:rtl/>
        </w:rPr>
        <w:t>:</w:t>
      </w:r>
      <w:r w:rsidRPr="006A0B58">
        <w:rPr>
          <w:rFonts w:ascii="Traditional Arabic" w:hAnsi="Traditional Arabic" w:hint="cs"/>
          <w:sz w:val="32"/>
          <w:szCs w:val="32"/>
          <w:rtl/>
        </w:rPr>
        <w:t xml:space="preserve"> القول المفيد شرح كتاب التوحيد (1/462)،</w:t>
      </w:r>
      <w:r>
        <w:rPr>
          <w:rFonts w:ascii="Traditional Arabic" w:hAnsi="Traditional Arabic" w:hint="cs"/>
          <w:sz w:val="32"/>
          <w:szCs w:val="32"/>
          <w:rtl/>
        </w:rPr>
        <w:t xml:space="preserve"> و</w:t>
      </w:r>
      <w:r w:rsidRPr="006A0B58">
        <w:rPr>
          <w:rFonts w:ascii="Traditional Arabic" w:hAnsi="Traditional Arabic" w:hint="cs"/>
          <w:sz w:val="32"/>
          <w:szCs w:val="32"/>
          <w:rtl/>
        </w:rPr>
        <w:t>أحكام من القرآن الكريم</w:t>
      </w:r>
      <w:r>
        <w:rPr>
          <w:rFonts w:ascii="Traditional Arabic" w:hAnsi="Traditional Arabic" w:hint="cs"/>
          <w:sz w:val="32"/>
          <w:szCs w:val="32"/>
          <w:rtl/>
        </w:rPr>
        <w:t xml:space="preserve"> (1/269-270، 272</w:t>
      </w:r>
      <w:r w:rsidRPr="006A0B58">
        <w:rPr>
          <w:rFonts w:ascii="Traditional Arabic" w:hAnsi="Traditional Arabic" w:hint="cs"/>
          <w:sz w:val="32"/>
          <w:szCs w:val="32"/>
          <w:rtl/>
        </w:rPr>
        <w:t>)</w:t>
      </w:r>
      <w:r>
        <w:rPr>
          <w:rFonts w:ascii="Traditional Arabic" w:hAnsi="Traditional Arabic" w:hint="cs"/>
          <w:sz w:val="32"/>
          <w:szCs w:val="32"/>
          <w:rtl/>
        </w:rPr>
        <w:t>، وتفسير ابن كثير (1/435-436)، و</w:t>
      </w:r>
      <w:r w:rsidRPr="006A0B58">
        <w:rPr>
          <w:rFonts w:ascii="Traditional Arabic" w:hAnsi="Traditional Arabic" w:hint="cs"/>
          <w:sz w:val="32"/>
          <w:szCs w:val="32"/>
          <w:rtl/>
        </w:rPr>
        <w:t>إغاثة اللهفان (1/610، 611).</w:t>
      </w:r>
    </w:p>
  </w:footnote>
  <w:footnote w:id="875">
    <w:p w:rsidR="000D3D21" w:rsidRPr="00274FA8" w:rsidRDefault="000D3D21" w:rsidP="005E65E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74FA8">
        <w:rPr>
          <w:rFonts w:ascii="Traditional Arabic" w:hAnsi="Traditional Arabic"/>
          <w:sz w:val="32"/>
          <w:szCs w:val="32"/>
          <w:rtl/>
        </w:rPr>
        <w:t>انظر أح</w:t>
      </w:r>
      <w:r>
        <w:rPr>
          <w:rFonts w:ascii="Traditional Arabic" w:hAnsi="Traditional Arabic"/>
          <w:sz w:val="32"/>
          <w:szCs w:val="32"/>
          <w:rtl/>
        </w:rPr>
        <w:t>كام من القرآن الكريم</w:t>
      </w:r>
      <w:r w:rsidRPr="00274FA8">
        <w:rPr>
          <w:rFonts w:ascii="Traditional Arabic" w:hAnsi="Traditional Arabic"/>
          <w:sz w:val="32"/>
          <w:szCs w:val="32"/>
          <w:rtl/>
        </w:rPr>
        <w:t xml:space="preserve"> (2/444، 445).</w:t>
      </w:r>
    </w:p>
  </w:footnote>
  <w:footnote w:id="876">
    <w:p w:rsidR="000D3D21" w:rsidRPr="00994606" w:rsidRDefault="000D3D21" w:rsidP="002B79D5">
      <w:pPr>
        <w:pStyle w:val="a7"/>
        <w:rPr>
          <w:rFonts w:ascii="Traditional Arabic" w:hAnsi="Traditional Arabic"/>
          <w:sz w:val="32"/>
          <w:szCs w:val="32"/>
          <w:rtl/>
        </w:rPr>
      </w:pPr>
      <w:r w:rsidRPr="00994606">
        <w:rPr>
          <w:rStyle w:val="af1"/>
          <w:rFonts w:ascii="Traditional Arabic" w:hAnsi="Traditional Arabic"/>
          <w:sz w:val="32"/>
          <w:szCs w:val="32"/>
          <w:vertAlign w:val="baseline"/>
        </w:rPr>
        <w:footnoteRef/>
      </w:r>
      <w:r w:rsidRPr="00994606">
        <w:rPr>
          <w:rFonts w:ascii="Traditional Arabic" w:hAnsi="Traditional Arabic"/>
          <w:sz w:val="32"/>
          <w:szCs w:val="32"/>
        </w:rPr>
        <w:t>)</w:t>
      </w:r>
      <w:r w:rsidRPr="00994606">
        <w:rPr>
          <w:rFonts w:ascii="Traditional Arabic" w:hAnsi="Traditional Arabic"/>
          <w:sz w:val="32"/>
          <w:szCs w:val="32"/>
          <w:rtl/>
        </w:rPr>
        <w:t xml:space="preserve">) </w:t>
      </w:r>
      <w:r>
        <w:rPr>
          <w:rFonts w:ascii="Traditional Arabic" w:hAnsi="Traditional Arabic" w:hint="cs"/>
          <w:sz w:val="32"/>
          <w:szCs w:val="32"/>
          <w:rtl/>
        </w:rPr>
        <w:t>أحكام القرآن لابن الفرس الغرناطي (3/592)، وتفسير ابن كثير (14/97)، وإغاثة اللهفان (1/610، 611).</w:t>
      </w:r>
    </w:p>
  </w:footnote>
  <w:footnote w:id="877">
    <w:p w:rsidR="000D3D21" w:rsidRPr="008F49C8" w:rsidRDefault="000D3D21" w:rsidP="003F0E8F">
      <w:pPr>
        <w:pStyle w:val="a7"/>
        <w:rPr>
          <w:sz w:val="32"/>
          <w:szCs w:val="32"/>
          <w:rtl/>
        </w:rPr>
      </w:pPr>
      <w:r w:rsidRPr="00BF2686">
        <w:rPr>
          <w:rStyle w:val="af1"/>
          <w:rFonts w:ascii="Traditional Arabic" w:hAnsi="Traditional Arabic"/>
          <w:sz w:val="32"/>
          <w:szCs w:val="32"/>
          <w:vertAlign w:val="baseline"/>
        </w:rPr>
        <w:footnoteRef/>
      </w:r>
      <w:r w:rsidRPr="00BF2686">
        <w:rPr>
          <w:rStyle w:val="af1"/>
          <w:rFonts w:ascii="Traditional Arabic" w:hAnsi="Traditional Arabic"/>
          <w:sz w:val="32"/>
          <w:szCs w:val="32"/>
          <w:vertAlign w:val="baseline"/>
        </w:rPr>
        <w:t>)</w:t>
      </w:r>
      <w:r w:rsidRPr="00BF2686">
        <w:rPr>
          <w:rStyle w:val="af1"/>
          <w:rFonts w:ascii="Traditional Arabic" w:hAnsi="Traditional Arabic" w:hint="cs"/>
          <w:sz w:val="32"/>
          <w:szCs w:val="32"/>
          <w:vertAlign w:val="baseline"/>
          <w:rtl/>
        </w:rPr>
        <w:t>)</w:t>
      </w:r>
      <w:r>
        <w:rPr>
          <w:rFonts w:hint="cs"/>
          <w:sz w:val="32"/>
          <w:szCs w:val="32"/>
          <w:rtl/>
        </w:rPr>
        <w:t xml:space="preserve"> أخرجه الترمذي في سننه، في كتاب الفرائض، باب ما جاء في إبطال ميراث القاتل، رقم الحديث (2109)، وابن ماجه في سننه، في كتاب الديات، باب القاتل لا يرث، رقم الحديث (2645). والحديث صححه الألباني في صحيح سنن ابن ماجه (2/348)، وذكر شواهده في إرواء الغليل (6/115-119).</w:t>
      </w:r>
    </w:p>
  </w:footnote>
  <w:footnote w:id="878">
    <w:p w:rsidR="000D3D21" w:rsidRPr="001F0CE4" w:rsidRDefault="000D3D21" w:rsidP="00164159">
      <w:pPr>
        <w:pStyle w:val="a7"/>
        <w:rPr>
          <w:sz w:val="32"/>
          <w:szCs w:val="32"/>
          <w:rtl/>
        </w:rPr>
      </w:pPr>
      <w:r w:rsidRPr="00F64C87">
        <w:rPr>
          <w:rStyle w:val="af1"/>
          <w:rFonts w:ascii="Traditional Arabic" w:hAnsi="Traditional Arabic"/>
          <w:sz w:val="32"/>
          <w:szCs w:val="32"/>
          <w:vertAlign w:val="baseline"/>
        </w:rPr>
        <w:footnoteRef/>
      </w:r>
      <w:r w:rsidRPr="00F64C87">
        <w:rPr>
          <w:rStyle w:val="af1"/>
          <w:rFonts w:ascii="Traditional Arabic" w:hAnsi="Traditional Arabic"/>
          <w:sz w:val="32"/>
          <w:szCs w:val="32"/>
          <w:vertAlign w:val="baseline"/>
        </w:rPr>
        <w:t>)</w:t>
      </w:r>
      <w:r w:rsidRPr="00F64C87">
        <w:rPr>
          <w:rStyle w:val="af1"/>
          <w:rFonts w:ascii="Traditional Arabic" w:hAnsi="Traditional Arabic" w:hint="cs"/>
          <w:sz w:val="32"/>
          <w:szCs w:val="32"/>
          <w:vertAlign w:val="baseline"/>
          <w:rtl/>
        </w:rPr>
        <w:t>)</w:t>
      </w:r>
      <w:r>
        <w:rPr>
          <w:rFonts w:hint="cs"/>
          <w:sz w:val="32"/>
          <w:szCs w:val="32"/>
          <w:rtl/>
        </w:rPr>
        <w:t xml:space="preserve"> </w:t>
      </w:r>
      <w:r w:rsidRPr="002B79D5">
        <w:rPr>
          <w:rFonts w:hint="cs"/>
          <w:b/>
          <w:bCs/>
          <w:sz w:val="32"/>
          <w:szCs w:val="32"/>
          <w:rtl/>
        </w:rPr>
        <w:t>الأوان</w:t>
      </w:r>
      <w:r w:rsidR="00AB0B9E">
        <w:rPr>
          <w:sz w:val="32"/>
          <w:szCs w:val="32"/>
          <w:rtl/>
        </w:rPr>
        <w:fldChar w:fldCharType="begin"/>
      </w:r>
      <w:r>
        <w:instrText xml:space="preserve"> XE "</w:instrText>
      </w:r>
      <w:r w:rsidRPr="00480401">
        <w:rPr>
          <w:rFonts w:hint="cs"/>
          <w:sz w:val="32"/>
          <w:szCs w:val="32"/>
          <w:rtl/>
        </w:rPr>
        <w:instrText>الأوان</w:instrText>
      </w:r>
      <w:r>
        <w:instrText xml:space="preserve">" </w:instrText>
      </w:r>
      <w:r w:rsidRPr="00164159">
        <w:instrText>\fm</w:instrText>
      </w:r>
      <w:r w:rsidR="00AB0B9E">
        <w:rPr>
          <w:sz w:val="32"/>
          <w:szCs w:val="32"/>
          <w:rtl/>
        </w:rPr>
        <w:fldChar w:fldCharType="end"/>
      </w:r>
      <w:r>
        <w:rPr>
          <w:rFonts w:hint="cs"/>
          <w:sz w:val="32"/>
          <w:szCs w:val="32"/>
          <w:rtl/>
        </w:rPr>
        <w:t>: الحين، والزمان. انظر لسان العرب (1/178).</w:t>
      </w:r>
    </w:p>
  </w:footnote>
  <w:footnote w:id="879">
    <w:p w:rsidR="000D3D21" w:rsidRDefault="000D3D21" w:rsidP="002B79D5">
      <w:pPr>
        <w:pStyle w:val="a7"/>
        <w:rPr>
          <w:rtl/>
        </w:rPr>
      </w:pPr>
      <w:r w:rsidRPr="002B79D5">
        <w:rPr>
          <w:rStyle w:val="af1"/>
          <w:rFonts w:ascii="Traditional Arabic" w:hAnsi="Traditional Arabic"/>
          <w:sz w:val="32"/>
          <w:szCs w:val="32"/>
          <w:vertAlign w:val="baseline"/>
        </w:rPr>
        <w:footnoteRef/>
      </w:r>
      <w:r w:rsidRPr="002B79D5">
        <w:rPr>
          <w:rStyle w:val="af1"/>
          <w:rFonts w:ascii="Traditional Arabic" w:hAnsi="Traditional Arabic"/>
          <w:sz w:val="32"/>
          <w:szCs w:val="32"/>
          <w:vertAlign w:val="baseline"/>
        </w:rPr>
        <w:t>)</w:t>
      </w:r>
      <w:r w:rsidRPr="002B79D5">
        <w:rPr>
          <w:rStyle w:val="af1"/>
          <w:rFonts w:ascii="Traditional Arabic" w:hAnsi="Traditional Arabic" w:hint="cs"/>
          <w:sz w:val="32"/>
          <w:szCs w:val="32"/>
          <w:vertAlign w:val="baseline"/>
          <w:rtl/>
        </w:rPr>
        <w:t>)</w:t>
      </w:r>
      <w:r>
        <w:rPr>
          <w:rFonts w:hint="cs"/>
          <w:rtl/>
        </w:rPr>
        <w:t xml:space="preserve"> </w:t>
      </w:r>
      <w:r w:rsidRPr="006A0B58">
        <w:rPr>
          <w:rFonts w:hint="cs"/>
          <w:sz w:val="32"/>
          <w:szCs w:val="32"/>
          <w:rtl/>
        </w:rPr>
        <w:t xml:space="preserve">انظر: </w:t>
      </w:r>
      <w:r>
        <w:rPr>
          <w:rFonts w:hint="cs"/>
          <w:sz w:val="32"/>
          <w:szCs w:val="32"/>
          <w:rtl/>
        </w:rPr>
        <w:t>شرح منظومة أصول الفقه وقواعده (344)، و</w:t>
      </w:r>
      <w:r w:rsidRPr="006A0B58">
        <w:rPr>
          <w:rFonts w:hint="cs"/>
          <w:sz w:val="32"/>
          <w:szCs w:val="32"/>
          <w:rtl/>
        </w:rPr>
        <w:t>القواعد</w:t>
      </w:r>
      <w:r>
        <w:rPr>
          <w:rFonts w:hint="cs"/>
          <w:sz w:val="32"/>
          <w:szCs w:val="32"/>
          <w:rtl/>
        </w:rPr>
        <w:t xml:space="preserve"> و</w:t>
      </w:r>
      <w:r w:rsidRPr="006A0B58">
        <w:rPr>
          <w:rFonts w:hint="cs"/>
          <w:sz w:val="32"/>
          <w:szCs w:val="32"/>
          <w:rtl/>
        </w:rPr>
        <w:t>الأصول الجامعة (67-68</w:t>
      </w:r>
      <w:r>
        <w:rPr>
          <w:rFonts w:hint="cs"/>
          <w:sz w:val="32"/>
          <w:szCs w:val="32"/>
          <w:rtl/>
        </w:rPr>
        <w:t>).</w:t>
      </w:r>
    </w:p>
  </w:footnote>
  <w:footnote w:id="880">
    <w:p w:rsidR="000D3D21" w:rsidRDefault="000D3D21" w:rsidP="005E65EA">
      <w:pPr>
        <w:pStyle w:val="a7"/>
        <w:rPr>
          <w:rFonts w:ascii="Traditional Arabic" w:hAnsi="Traditional Arabic"/>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Pr>
          <w:rFonts w:hint="cs"/>
          <w:sz w:val="32"/>
          <w:szCs w:val="32"/>
          <w:rtl/>
        </w:rPr>
        <w:t xml:space="preserve"> </w:t>
      </w:r>
      <w:r w:rsidRPr="006A0B58">
        <w:rPr>
          <w:rFonts w:hint="cs"/>
          <w:sz w:val="32"/>
          <w:szCs w:val="32"/>
          <w:rtl/>
        </w:rPr>
        <w:t>أخرجه البخاري في كتاب الأشربة، باب قول الله تعالى:</w:t>
      </w:r>
      <w:r>
        <w:rPr>
          <w:rFonts w:hint="cs"/>
          <w:sz w:val="32"/>
          <w:szCs w:val="32"/>
          <w:rtl/>
        </w:rPr>
        <w:t xml:space="preserve"> </w:t>
      </w:r>
      <w:r>
        <w:rPr>
          <w:rFonts w:ascii="QCF_BSML" w:hAnsi="QCF_BSML" w:cs="QCF_BSML"/>
          <w:noProof w:val="0"/>
          <w:sz w:val="32"/>
          <w:szCs w:val="32"/>
          <w:rtl/>
          <w:lang w:eastAsia="en-US"/>
        </w:rPr>
        <w:t>ﭽ</w:t>
      </w:r>
      <w:r w:rsidRPr="00FC3B0D">
        <w:rPr>
          <w:rFonts w:ascii="QCF_P123" w:hAnsi="QCF_P123" w:cs="QCF_P123"/>
          <w:noProof w:val="0"/>
          <w:sz w:val="32"/>
          <w:szCs w:val="32"/>
          <w:rtl/>
          <w:lang w:eastAsia="en-US"/>
        </w:rPr>
        <w:t>ﭑ</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ﭒ</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ﭓ</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ﭔ</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ﭕ</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ﭖ</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ﭗ</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ﭘ</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ﭙ</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ﭚ</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ﭛ</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ﭜ</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ﭝ</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ﭞ</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ﭟ</w:t>
      </w:r>
      <w:r>
        <w:rPr>
          <w:rFonts w:ascii="QCF_P123" w:hAnsi="QCF_P123" w:cs="QCF_P123" w:hint="cs"/>
          <w:noProof w:val="0"/>
          <w:sz w:val="32"/>
          <w:szCs w:val="32"/>
          <w:rtl/>
          <w:lang w:eastAsia="en-US"/>
        </w:rPr>
        <w:t xml:space="preserve"> </w:t>
      </w:r>
      <w:r w:rsidRPr="00FC3B0D">
        <w:rPr>
          <w:rFonts w:ascii="QCF_P123" w:hAnsi="QCF_P123" w:cs="QCF_P123"/>
          <w:noProof w:val="0"/>
          <w:sz w:val="32"/>
          <w:szCs w:val="32"/>
          <w:rtl/>
          <w:lang w:eastAsia="en-US"/>
        </w:rPr>
        <w:t>ﭠ</w:t>
      </w:r>
      <w:r w:rsidRPr="00FC3B0D">
        <w:rPr>
          <w:rFonts w:ascii="QCF_BSML" w:hAnsi="QCF_BSML" w:cs="QCF_BSML"/>
          <w:noProof w:val="0"/>
          <w:sz w:val="32"/>
          <w:szCs w:val="32"/>
          <w:rtl/>
          <w:lang w:eastAsia="en-US"/>
        </w:rPr>
        <w:t>ﭼ</w:t>
      </w:r>
      <w:r>
        <w:rPr>
          <w:rFonts w:ascii="Traditional Arabic" w:hAnsi="Traditional Arabic" w:hint="cs"/>
          <w:noProof w:val="0"/>
          <w:color w:val="auto"/>
          <w:sz w:val="32"/>
          <w:szCs w:val="32"/>
          <w:rtl/>
          <w:lang w:eastAsia="en-US"/>
        </w:rPr>
        <w:t>[المائدة: 90]،</w:t>
      </w:r>
      <w:r w:rsidRPr="00FC3B0D">
        <w:rPr>
          <w:rFonts w:ascii="Traditional Arabic" w:hAnsi="Traditional Arabic"/>
          <w:noProof w:val="0"/>
          <w:color w:val="auto"/>
          <w:sz w:val="32"/>
          <w:szCs w:val="32"/>
          <w:rtl/>
          <w:lang w:eastAsia="en-US"/>
        </w:rPr>
        <w:t xml:space="preserve"> رقم الحديث (</w:t>
      </w:r>
      <w:r>
        <w:rPr>
          <w:rFonts w:ascii="Traditional Arabic" w:hAnsi="Traditional Arabic" w:hint="cs"/>
          <w:noProof w:val="0"/>
          <w:color w:val="auto"/>
          <w:sz w:val="32"/>
          <w:szCs w:val="32"/>
          <w:rtl/>
          <w:lang w:eastAsia="en-US"/>
        </w:rPr>
        <w:t>5575</w:t>
      </w:r>
      <w:r w:rsidRPr="00FC3B0D">
        <w:rPr>
          <w:rFonts w:ascii="Traditional Arabic" w:hAnsi="Traditional Arabic"/>
          <w:noProof w:val="0"/>
          <w:color w:val="auto"/>
          <w:sz w:val="32"/>
          <w:szCs w:val="32"/>
          <w:rtl/>
          <w:lang w:eastAsia="en-US"/>
        </w:rPr>
        <w:t>)</w:t>
      </w:r>
      <w:r>
        <w:rPr>
          <w:rFonts w:ascii="Traditional Arabic" w:hAnsi="Traditional Arabic" w:hint="cs"/>
          <w:noProof w:val="0"/>
          <w:color w:val="auto"/>
          <w:sz w:val="32"/>
          <w:szCs w:val="32"/>
          <w:rtl/>
          <w:lang w:eastAsia="en-US"/>
        </w:rPr>
        <w:t>، ومسلم في كتاب الأشربة، باب عقوبة من شرب الخمر إذا لم يتب منها بمنعه إياها في الآخرة، رقم الحديث (2003).</w:t>
      </w:r>
      <w:r>
        <w:rPr>
          <w:rFonts w:ascii="Traditional Arabic" w:hAnsi="Traditional Arabic" w:hint="cs"/>
          <w:rtl/>
        </w:rPr>
        <w:t xml:space="preserve"> </w:t>
      </w:r>
    </w:p>
    <w:p w:rsidR="000D3D21" w:rsidRPr="006A0B58" w:rsidRDefault="000D3D21" w:rsidP="005E65EA">
      <w:pPr>
        <w:pStyle w:val="a7"/>
        <w:rPr>
          <w:rFonts w:ascii="Traditional Arabic" w:hAnsi="Traditional Arabic"/>
          <w:sz w:val="32"/>
          <w:szCs w:val="32"/>
          <w:rtl/>
        </w:rPr>
      </w:pPr>
      <w:r>
        <w:rPr>
          <w:rFonts w:ascii="Traditional Arabic" w:hAnsi="Traditional Arabic" w:hint="cs"/>
          <w:rtl/>
        </w:rPr>
        <w:t xml:space="preserve">       و</w:t>
      </w:r>
      <w:r w:rsidRPr="006A0B58">
        <w:rPr>
          <w:rFonts w:ascii="Traditional Arabic" w:hAnsi="Traditional Arabic" w:hint="cs"/>
          <w:sz w:val="32"/>
          <w:szCs w:val="32"/>
          <w:rtl/>
        </w:rPr>
        <w:t>هذا الحديث يُحمل عند أهل السنة على أنه لا يدخل الجنة،</w:t>
      </w:r>
      <w:r>
        <w:rPr>
          <w:rFonts w:ascii="Traditional Arabic" w:hAnsi="Traditional Arabic" w:hint="cs"/>
          <w:sz w:val="32"/>
          <w:szCs w:val="32"/>
          <w:rtl/>
        </w:rPr>
        <w:t xml:space="preserve"> و</w:t>
      </w:r>
      <w:r w:rsidRPr="006A0B58">
        <w:rPr>
          <w:rFonts w:ascii="Traditional Arabic" w:hAnsi="Traditional Arabic" w:hint="cs"/>
          <w:sz w:val="32"/>
          <w:szCs w:val="32"/>
          <w:rtl/>
        </w:rPr>
        <w:t>لا يشرب الخمر فيها، إلا إن عفا الله عنه، كما في بقية الكبائر،</w:t>
      </w:r>
      <w:r>
        <w:rPr>
          <w:rFonts w:ascii="Traditional Arabic" w:hAnsi="Traditional Arabic" w:hint="cs"/>
          <w:sz w:val="32"/>
          <w:szCs w:val="32"/>
          <w:rtl/>
        </w:rPr>
        <w:t xml:space="preserve"> و</w:t>
      </w:r>
      <w:r w:rsidRPr="006A0B58">
        <w:rPr>
          <w:rFonts w:ascii="Traditional Arabic" w:hAnsi="Traditional Arabic" w:hint="cs"/>
          <w:sz w:val="32"/>
          <w:szCs w:val="32"/>
          <w:rtl/>
        </w:rPr>
        <w:t>هو تحت المشيئة.</w:t>
      </w:r>
      <w:r>
        <w:rPr>
          <w:rFonts w:ascii="Traditional Arabic" w:hAnsi="Traditional Arabic" w:hint="cs"/>
          <w:sz w:val="32"/>
          <w:szCs w:val="32"/>
          <w:rtl/>
        </w:rPr>
        <w:t xml:space="preserve"> و</w:t>
      </w:r>
      <w:r w:rsidRPr="006A0B58">
        <w:rPr>
          <w:rFonts w:ascii="Traditional Arabic" w:hAnsi="Traditional Arabic" w:hint="cs"/>
          <w:sz w:val="32"/>
          <w:szCs w:val="32"/>
          <w:rtl/>
        </w:rPr>
        <w:t>مثله الحديث الآتي.</w:t>
      </w:r>
      <w:r>
        <w:rPr>
          <w:rFonts w:ascii="Traditional Arabic" w:hAnsi="Traditional Arabic" w:hint="cs"/>
          <w:sz w:val="32"/>
          <w:szCs w:val="32"/>
          <w:rtl/>
        </w:rPr>
        <w:t xml:space="preserve"> </w:t>
      </w:r>
      <w:r w:rsidRPr="006A0B58">
        <w:rPr>
          <w:rFonts w:ascii="Traditional Arabic" w:hAnsi="Traditional Arabic" w:hint="cs"/>
          <w:sz w:val="32"/>
          <w:szCs w:val="32"/>
          <w:rtl/>
        </w:rPr>
        <w:t>انظر فتح الباري</w:t>
      </w:r>
      <w:r>
        <w:rPr>
          <w:rFonts w:ascii="Traditional Arabic" w:hAnsi="Traditional Arabic" w:hint="cs"/>
          <w:sz w:val="32"/>
          <w:szCs w:val="32"/>
          <w:rtl/>
        </w:rPr>
        <w:t xml:space="preserve"> لابن حجر </w:t>
      </w:r>
      <w:r w:rsidRPr="006A0B58">
        <w:rPr>
          <w:rFonts w:ascii="Traditional Arabic" w:hAnsi="Traditional Arabic" w:hint="cs"/>
          <w:sz w:val="32"/>
          <w:szCs w:val="32"/>
          <w:rtl/>
        </w:rPr>
        <w:t xml:space="preserve">(10/42، 358). </w:t>
      </w:r>
    </w:p>
  </w:footnote>
  <w:footnote w:id="881">
    <w:p w:rsidR="000D3D21" w:rsidRPr="006A0B58" w:rsidRDefault="000D3D21" w:rsidP="005E65EA">
      <w:pPr>
        <w:pStyle w:val="a7"/>
        <w:rPr>
          <w:sz w:val="32"/>
          <w:szCs w:val="32"/>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Pr>
          <w:rFonts w:hint="cs"/>
          <w:sz w:val="32"/>
          <w:szCs w:val="32"/>
          <w:rtl/>
        </w:rPr>
        <w:t xml:space="preserve"> </w:t>
      </w:r>
      <w:r w:rsidRPr="006A0B58">
        <w:rPr>
          <w:rFonts w:hint="cs"/>
          <w:sz w:val="32"/>
          <w:szCs w:val="32"/>
          <w:rtl/>
        </w:rPr>
        <w:t>أخرجه البخاري</w:t>
      </w:r>
      <w:r>
        <w:rPr>
          <w:rFonts w:hint="cs"/>
          <w:sz w:val="32"/>
          <w:szCs w:val="32"/>
          <w:rtl/>
        </w:rPr>
        <w:t xml:space="preserve"> </w:t>
      </w:r>
      <w:r w:rsidRPr="006A0B58">
        <w:rPr>
          <w:rFonts w:hint="cs"/>
          <w:sz w:val="32"/>
          <w:szCs w:val="32"/>
          <w:rtl/>
        </w:rPr>
        <w:t>في كتاب</w:t>
      </w:r>
      <w:r>
        <w:rPr>
          <w:rFonts w:hint="cs"/>
          <w:sz w:val="32"/>
          <w:szCs w:val="32"/>
          <w:rtl/>
        </w:rPr>
        <w:t xml:space="preserve"> </w:t>
      </w:r>
      <w:r w:rsidRPr="006A0B58">
        <w:rPr>
          <w:rFonts w:hint="cs"/>
          <w:sz w:val="32"/>
          <w:szCs w:val="32"/>
          <w:rtl/>
        </w:rPr>
        <w:t>اللباس، باب لبس الحرير للرجال</w:t>
      </w:r>
      <w:r>
        <w:rPr>
          <w:rFonts w:hint="cs"/>
          <w:sz w:val="32"/>
          <w:szCs w:val="32"/>
          <w:rtl/>
        </w:rPr>
        <w:t xml:space="preserve"> و</w:t>
      </w:r>
      <w:r w:rsidRPr="006A0B58">
        <w:rPr>
          <w:rFonts w:hint="cs"/>
          <w:sz w:val="32"/>
          <w:szCs w:val="32"/>
          <w:rtl/>
        </w:rPr>
        <w:t>قدر ما يجوز منه، رقم الحديث (5832)،</w:t>
      </w:r>
      <w:r>
        <w:rPr>
          <w:rFonts w:hint="cs"/>
          <w:sz w:val="32"/>
          <w:szCs w:val="32"/>
          <w:rtl/>
        </w:rPr>
        <w:t xml:space="preserve"> و</w:t>
      </w:r>
      <w:r w:rsidRPr="006A0B58">
        <w:rPr>
          <w:rFonts w:hint="cs"/>
          <w:sz w:val="32"/>
          <w:szCs w:val="32"/>
          <w:rtl/>
        </w:rPr>
        <w:t>مسلم في كتاب اللباس</w:t>
      </w:r>
      <w:r>
        <w:rPr>
          <w:rFonts w:hint="cs"/>
          <w:sz w:val="32"/>
          <w:szCs w:val="32"/>
          <w:rtl/>
        </w:rPr>
        <w:t xml:space="preserve"> و</w:t>
      </w:r>
      <w:r w:rsidRPr="006A0B58">
        <w:rPr>
          <w:rFonts w:hint="cs"/>
          <w:sz w:val="32"/>
          <w:szCs w:val="32"/>
          <w:rtl/>
        </w:rPr>
        <w:t>الزينة، باب تحريم استعمال إناء الذهب</w:t>
      </w:r>
      <w:r>
        <w:rPr>
          <w:rFonts w:hint="cs"/>
          <w:sz w:val="32"/>
          <w:szCs w:val="32"/>
          <w:rtl/>
        </w:rPr>
        <w:t xml:space="preserve"> و</w:t>
      </w:r>
      <w:r w:rsidRPr="006A0B58">
        <w:rPr>
          <w:rFonts w:hint="cs"/>
          <w:sz w:val="32"/>
          <w:szCs w:val="32"/>
          <w:rtl/>
        </w:rPr>
        <w:t>الفضة على الرجال</w:t>
      </w:r>
      <w:r>
        <w:rPr>
          <w:rFonts w:hint="cs"/>
          <w:sz w:val="32"/>
          <w:szCs w:val="32"/>
          <w:rtl/>
        </w:rPr>
        <w:t xml:space="preserve"> و</w:t>
      </w:r>
      <w:r w:rsidRPr="006A0B58">
        <w:rPr>
          <w:rFonts w:hint="cs"/>
          <w:sz w:val="32"/>
          <w:szCs w:val="32"/>
          <w:rtl/>
        </w:rPr>
        <w:t>النساء،</w:t>
      </w:r>
      <w:r>
        <w:rPr>
          <w:rFonts w:hint="cs"/>
          <w:sz w:val="32"/>
          <w:szCs w:val="32"/>
          <w:rtl/>
        </w:rPr>
        <w:t xml:space="preserve"> و</w:t>
      </w:r>
      <w:r w:rsidRPr="006A0B58">
        <w:rPr>
          <w:rFonts w:hint="cs"/>
          <w:sz w:val="32"/>
          <w:szCs w:val="32"/>
          <w:rtl/>
        </w:rPr>
        <w:t>خاتم الذهب</w:t>
      </w:r>
      <w:r>
        <w:rPr>
          <w:rFonts w:hint="cs"/>
          <w:sz w:val="32"/>
          <w:szCs w:val="32"/>
          <w:rtl/>
        </w:rPr>
        <w:t xml:space="preserve"> و</w:t>
      </w:r>
      <w:r w:rsidRPr="006A0B58">
        <w:rPr>
          <w:rFonts w:hint="cs"/>
          <w:sz w:val="32"/>
          <w:szCs w:val="32"/>
          <w:rtl/>
        </w:rPr>
        <w:t>الحرير على الرجل...، رقم الحديث (2073).</w:t>
      </w:r>
    </w:p>
  </w:footnote>
  <w:footnote w:id="882">
    <w:p w:rsidR="000D3D21" w:rsidRPr="006A0B58" w:rsidRDefault="000D3D21" w:rsidP="005E65EA">
      <w:pPr>
        <w:pStyle w:val="a7"/>
        <w:rPr>
          <w:sz w:val="32"/>
          <w:szCs w:val="32"/>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Pr>
          <w:rFonts w:hint="cs"/>
          <w:sz w:val="32"/>
          <w:szCs w:val="32"/>
          <w:rtl/>
        </w:rPr>
        <w:t xml:space="preserve"> </w:t>
      </w:r>
      <w:r w:rsidRPr="006A0B58">
        <w:rPr>
          <w:rFonts w:hint="cs"/>
          <w:sz w:val="32"/>
          <w:szCs w:val="32"/>
          <w:rtl/>
        </w:rPr>
        <w:t xml:space="preserve">فتح الباري </w:t>
      </w:r>
      <w:r>
        <w:rPr>
          <w:rFonts w:hint="cs"/>
          <w:sz w:val="32"/>
          <w:szCs w:val="32"/>
          <w:rtl/>
        </w:rPr>
        <w:t xml:space="preserve">لابن حجر </w:t>
      </w:r>
      <w:r w:rsidRPr="006A0B58">
        <w:rPr>
          <w:rFonts w:hint="cs"/>
          <w:sz w:val="32"/>
          <w:szCs w:val="32"/>
          <w:rtl/>
        </w:rPr>
        <w:t>(10/42).</w:t>
      </w:r>
    </w:p>
  </w:footnote>
  <w:footnote w:id="883">
    <w:p w:rsidR="000D3D21" w:rsidRPr="006A0B58" w:rsidRDefault="000D3D21" w:rsidP="005E65EA">
      <w:pPr>
        <w:pStyle w:val="a7"/>
        <w:rPr>
          <w:sz w:val="32"/>
          <w:szCs w:val="32"/>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sidRPr="006A0B58">
        <w:rPr>
          <w:rFonts w:hint="cs"/>
          <w:sz w:val="32"/>
          <w:szCs w:val="32"/>
          <w:rtl/>
        </w:rPr>
        <w:t xml:space="preserve"> انظر</w:t>
      </w:r>
      <w:r>
        <w:rPr>
          <w:rFonts w:hint="cs"/>
          <w:sz w:val="32"/>
          <w:szCs w:val="32"/>
          <w:rtl/>
        </w:rPr>
        <w:t xml:space="preserve"> شرح </w:t>
      </w:r>
      <w:r w:rsidRPr="006A0B58">
        <w:rPr>
          <w:rFonts w:hint="cs"/>
          <w:sz w:val="32"/>
          <w:szCs w:val="32"/>
          <w:rtl/>
        </w:rPr>
        <w:t>منظومة</w:t>
      </w:r>
      <w:r>
        <w:rPr>
          <w:rFonts w:hint="cs"/>
          <w:sz w:val="32"/>
          <w:szCs w:val="32"/>
          <w:rtl/>
        </w:rPr>
        <w:t xml:space="preserve"> أصول الفقه وقواعده</w:t>
      </w:r>
      <w:r w:rsidRPr="006A0B58">
        <w:rPr>
          <w:rFonts w:hint="cs"/>
          <w:sz w:val="32"/>
          <w:szCs w:val="32"/>
          <w:rtl/>
        </w:rPr>
        <w:t xml:space="preserve"> (344).</w:t>
      </w:r>
    </w:p>
  </w:footnote>
  <w:footnote w:id="884">
    <w:p w:rsidR="000D3D21" w:rsidRPr="006A0B58" w:rsidRDefault="000D3D21" w:rsidP="005E65EA">
      <w:pPr>
        <w:pStyle w:val="a7"/>
        <w:rPr>
          <w:sz w:val="32"/>
          <w:szCs w:val="32"/>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Pr>
          <w:rFonts w:hint="cs"/>
          <w:sz w:val="32"/>
          <w:szCs w:val="32"/>
          <w:rtl/>
        </w:rPr>
        <w:t xml:space="preserve"> </w:t>
      </w:r>
      <w:r w:rsidRPr="006A0B58">
        <w:rPr>
          <w:rFonts w:hint="cs"/>
          <w:sz w:val="32"/>
          <w:szCs w:val="32"/>
          <w:rtl/>
        </w:rPr>
        <w:t>انظر الشرح الممتع (8/255-257).</w:t>
      </w:r>
    </w:p>
  </w:footnote>
  <w:footnote w:id="885">
    <w:p w:rsidR="000D3D21" w:rsidRPr="006A0B58" w:rsidRDefault="000D3D21" w:rsidP="005E65EA">
      <w:pPr>
        <w:pStyle w:val="a7"/>
        <w:rPr>
          <w:rStyle w:val="af1"/>
          <w:rFonts w:ascii="Traditional Arabic" w:hAnsi="Traditional Arabic"/>
          <w:sz w:val="32"/>
          <w:szCs w:val="32"/>
          <w:vertAlign w:val="baseline"/>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sz w:val="32"/>
          <w:szCs w:val="32"/>
          <w:vertAlign w:val="baseline"/>
          <w:rtl/>
        </w:rPr>
        <w:t xml:space="preserve">) </w:t>
      </w:r>
      <w:r>
        <w:rPr>
          <w:rStyle w:val="af1"/>
          <w:rFonts w:ascii="Traditional Arabic" w:hAnsi="Traditional Arabic" w:hint="cs"/>
          <w:sz w:val="32"/>
          <w:szCs w:val="32"/>
          <w:vertAlign w:val="baseline"/>
          <w:rtl/>
        </w:rPr>
        <w:t>انظر المرجع السابق</w:t>
      </w:r>
      <w:r w:rsidRPr="006A0B58">
        <w:rPr>
          <w:rStyle w:val="af1"/>
          <w:rFonts w:ascii="Traditional Arabic" w:hAnsi="Traditional Arabic" w:hint="cs"/>
          <w:sz w:val="32"/>
          <w:szCs w:val="32"/>
          <w:vertAlign w:val="baseline"/>
          <w:rtl/>
        </w:rPr>
        <w:t xml:space="preserve"> (8/257)،</w:t>
      </w:r>
      <w:r>
        <w:rPr>
          <w:rStyle w:val="af1"/>
          <w:rFonts w:ascii="Traditional Arabic" w:hAnsi="Traditional Arabic" w:hint="cs"/>
          <w:sz w:val="32"/>
          <w:szCs w:val="32"/>
          <w:vertAlign w:val="baseline"/>
          <w:rtl/>
        </w:rPr>
        <w:t xml:space="preserve"> و</w:t>
      </w:r>
      <w:r w:rsidRPr="006A0B58">
        <w:rPr>
          <w:rStyle w:val="af1"/>
          <w:rFonts w:ascii="Traditional Arabic" w:hAnsi="Traditional Arabic" w:hint="cs"/>
          <w:sz w:val="32"/>
          <w:szCs w:val="32"/>
          <w:vertAlign w:val="baseline"/>
          <w:rtl/>
        </w:rPr>
        <w:t>المدخل الفقهي العام (2/1061).</w:t>
      </w:r>
    </w:p>
  </w:footnote>
  <w:footnote w:id="886">
    <w:p w:rsidR="000D3D21" w:rsidRPr="006A0B58" w:rsidRDefault="000D3D21" w:rsidP="005E65EA">
      <w:pPr>
        <w:pStyle w:val="a7"/>
        <w:rPr>
          <w:rStyle w:val="af1"/>
          <w:rFonts w:ascii="Traditional Arabic" w:hAnsi="Traditional Arabic"/>
          <w:sz w:val="32"/>
          <w:szCs w:val="32"/>
          <w:vertAlign w:val="baseline"/>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Pr>
          <w:rFonts w:ascii="Traditional Arabic" w:hAnsi="Traditional Arabic" w:hint="cs"/>
          <w:sz w:val="32"/>
          <w:szCs w:val="32"/>
          <w:rtl/>
        </w:rPr>
        <w:t xml:space="preserve"> </w:t>
      </w:r>
      <w:r>
        <w:rPr>
          <w:rStyle w:val="af1"/>
          <w:rFonts w:ascii="Traditional Arabic" w:hAnsi="Traditional Arabic" w:hint="cs"/>
          <w:sz w:val="32"/>
          <w:szCs w:val="32"/>
          <w:vertAlign w:val="baseline"/>
          <w:rtl/>
        </w:rPr>
        <w:t>انظر الشرح الممتع</w:t>
      </w:r>
      <w:r w:rsidRPr="006A0B58">
        <w:rPr>
          <w:rStyle w:val="af1"/>
          <w:rFonts w:ascii="Traditional Arabic" w:hAnsi="Traditional Arabic" w:hint="cs"/>
          <w:sz w:val="32"/>
          <w:szCs w:val="32"/>
          <w:vertAlign w:val="baseline"/>
          <w:rtl/>
        </w:rPr>
        <w:t xml:space="preserve"> (8/300-302).</w:t>
      </w:r>
    </w:p>
  </w:footnote>
  <w:footnote w:id="887">
    <w:p w:rsidR="000D3D21" w:rsidRPr="006A0B58" w:rsidRDefault="000D3D21" w:rsidP="005E65EA">
      <w:pPr>
        <w:pStyle w:val="a7"/>
        <w:rPr>
          <w:rStyle w:val="af1"/>
          <w:rFonts w:ascii="Traditional Arabic" w:hAnsi="Traditional Arabic"/>
          <w:sz w:val="32"/>
          <w:szCs w:val="32"/>
          <w:vertAlign w:val="baseline"/>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Pr>
          <w:rStyle w:val="af1"/>
          <w:rFonts w:hint="cs"/>
          <w:sz w:val="32"/>
          <w:szCs w:val="32"/>
          <w:vertAlign w:val="baseline"/>
          <w:rtl/>
        </w:rPr>
        <w:t xml:space="preserve"> انظر الشرح الممتع</w:t>
      </w:r>
      <w:r w:rsidRPr="006A0B58">
        <w:rPr>
          <w:rStyle w:val="af1"/>
          <w:rFonts w:hint="cs"/>
          <w:sz w:val="32"/>
          <w:szCs w:val="32"/>
          <w:vertAlign w:val="baseline"/>
          <w:rtl/>
        </w:rPr>
        <w:t xml:space="preserve"> (8/302).</w:t>
      </w:r>
    </w:p>
  </w:footnote>
  <w:footnote w:id="888">
    <w:p w:rsidR="000D3D21" w:rsidRPr="006A0B58" w:rsidRDefault="000D3D21" w:rsidP="00164159">
      <w:pPr>
        <w:pStyle w:val="a7"/>
        <w:rPr>
          <w:rFonts w:ascii="Traditional Arabic" w:hAnsi="Traditional Arabic"/>
          <w:sz w:val="32"/>
          <w:szCs w:val="32"/>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Pr>
          <w:rFonts w:ascii="Traditional Arabic" w:hAnsi="Traditional Arabic" w:hint="cs"/>
          <w:b/>
          <w:bCs/>
          <w:sz w:val="32"/>
          <w:szCs w:val="32"/>
          <w:rtl/>
        </w:rPr>
        <w:t xml:space="preserve"> </w:t>
      </w:r>
      <w:r w:rsidRPr="006A0B58">
        <w:rPr>
          <w:rFonts w:ascii="Traditional Arabic" w:hAnsi="Traditional Arabic" w:hint="cs"/>
          <w:b/>
          <w:bCs/>
          <w:sz w:val="32"/>
          <w:szCs w:val="32"/>
          <w:rtl/>
        </w:rPr>
        <w:t>التولية</w:t>
      </w:r>
      <w:r w:rsidR="00AB0B9E">
        <w:rPr>
          <w:rFonts w:ascii="Traditional Arabic" w:hAnsi="Traditional Arabic"/>
          <w:b/>
          <w:bCs/>
          <w:sz w:val="32"/>
          <w:szCs w:val="32"/>
          <w:rtl/>
        </w:rPr>
        <w:fldChar w:fldCharType="begin"/>
      </w:r>
      <w:r>
        <w:instrText xml:space="preserve"> XE "</w:instrText>
      </w:r>
      <w:r w:rsidRPr="00164159">
        <w:rPr>
          <w:rFonts w:ascii="Traditional Arabic" w:hAnsi="Traditional Arabic" w:hint="cs"/>
          <w:sz w:val="32"/>
          <w:szCs w:val="32"/>
          <w:rtl/>
        </w:rPr>
        <w:instrText>التولية</w:instrText>
      </w:r>
      <w:r>
        <w:instrText xml:space="preserve">" </w:instrText>
      </w:r>
      <w:r w:rsidRPr="00164159">
        <w:instrText>\fm</w:instrText>
      </w:r>
      <w:r w:rsidR="00AB0B9E">
        <w:rPr>
          <w:rFonts w:ascii="Traditional Arabic" w:hAnsi="Traditional Arabic"/>
          <w:b/>
          <w:bCs/>
          <w:sz w:val="32"/>
          <w:szCs w:val="32"/>
          <w:rtl/>
        </w:rPr>
        <w:fldChar w:fldCharType="end"/>
      </w:r>
      <w:r w:rsidRPr="006A0B58">
        <w:rPr>
          <w:rFonts w:ascii="Traditional Arabic" w:hAnsi="Traditional Arabic" w:hint="cs"/>
          <w:b/>
          <w:bCs/>
          <w:sz w:val="32"/>
          <w:szCs w:val="32"/>
          <w:rtl/>
        </w:rPr>
        <w:t xml:space="preserve"> لغةً: </w:t>
      </w:r>
      <w:r w:rsidRPr="006A0B58">
        <w:rPr>
          <w:rFonts w:ascii="Traditional Arabic" w:hAnsi="Traditional Arabic" w:hint="cs"/>
          <w:sz w:val="32"/>
          <w:szCs w:val="32"/>
          <w:rtl/>
        </w:rPr>
        <w:t>التولية مصدر وَلَّيْته تَوْلِيَةً،</w:t>
      </w:r>
      <w:r>
        <w:rPr>
          <w:rFonts w:ascii="Traditional Arabic" w:hAnsi="Traditional Arabic" w:hint="cs"/>
          <w:sz w:val="32"/>
          <w:szCs w:val="32"/>
          <w:rtl/>
        </w:rPr>
        <w:t xml:space="preserve"> و</w:t>
      </w:r>
      <w:r w:rsidRPr="006A0B58">
        <w:rPr>
          <w:rFonts w:ascii="Traditional Arabic" w:hAnsi="Traditional Arabic" w:hint="cs"/>
          <w:sz w:val="32"/>
          <w:szCs w:val="32"/>
          <w:rtl/>
        </w:rPr>
        <w:t xml:space="preserve">الأصل فيها تقليدُ العمل، </w:t>
      </w:r>
      <w:r w:rsidRPr="006A0B58">
        <w:rPr>
          <w:rFonts w:ascii="Traditional Arabic" w:hAnsi="Traditional Arabic"/>
          <w:sz w:val="32"/>
          <w:szCs w:val="32"/>
          <w:rtl/>
        </w:rPr>
        <w:t>كقولك : ولَّيت</w:t>
      </w:r>
      <w:r w:rsidRPr="006A0B58">
        <w:rPr>
          <w:rFonts w:ascii="Traditional Arabic" w:hAnsi="Traditional Arabic" w:hint="cs"/>
          <w:sz w:val="32"/>
          <w:szCs w:val="32"/>
          <w:rtl/>
        </w:rPr>
        <w:t>ُ</w:t>
      </w:r>
      <w:r w:rsidRPr="006A0B58">
        <w:rPr>
          <w:rFonts w:ascii="Traditional Arabic" w:hAnsi="Traditional Arabic"/>
          <w:sz w:val="32"/>
          <w:szCs w:val="32"/>
          <w:rtl/>
        </w:rPr>
        <w:t xml:space="preserve"> فلاناً ع</w:t>
      </w:r>
      <w:r w:rsidRPr="006A0B58">
        <w:rPr>
          <w:rFonts w:ascii="Traditional Arabic" w:hAnsi="Traditional Arabic" w:hint="cs"/>
          <w:sz w:val="32"/>
          <w:szCs w:val="32"/>
          <w:rtl/>
        </w:rPr>
        <w:t>َ</w:t>
      </w:r>
      <w:r w:rsidRPr="006A0B58">
        <w:rPr>
          <w:rFonts w:ascii="Traditional Arabic" w:hAnsi="Traditional Arabic"/>
          <w:sz w:val="32"/>
          <w:szCs w:val="32"/>
          <w:rtl/>
        </w:rPr>
        <w:t>م</w:t>
      </w:r>
      <w:r w:rsidRPr="006A0B58">
        <w:rPr>
          <w:rFonts w:ascii="Traditional Arabic" w:hAnsi="Traditional Arabic" w:hint="cs"/>
          <w:sz w:val="32"/>
          <w:szCs w:val="32"/>
          <w:rtl/>
        </w:rPr>
        <w:t>َ</w:t>
      </w:r>
      <w:r w:rsidRPr="006A0B58">
        <w:rPr>
          <w:rFonts w:ascii="Traditional Arabic" w:hAnsi="Traditional Arabic"/>
          <w:sz w:val="32"/>
          <w:szCs w:val="32"/>
          <w:rtl/>
        </w:rPr>
        <w:t>ل</w:t>
      </w:r>
      <w:r w:rsidRPr="006A0B58">
        <w:rPr>
          <w:rFonts w:ascii="Traditional Arabic" w:hAnsi="Traditional Arabic" w:hint="cs"/>
          <w:sz w:val="32"/>
          <w:szCs w:val="32"/>
          <w:rtl/>
        </w:rPr>
        <w:t>َ</w:t>
      </w:r>
      <w:r w:rsidRPr="006A0B58">
        <w:rPr>
          <w:rFonts w:ascii="Traditional Arabic" w:hAnsi="Traditional Arabic"/>
          <w:sz w:val="32"/>
          <w:szCs w:val="32"/>
          <w:rtl/>
        </w:rPr>
        <w:t xml:space="preserve"> ناح</w:t>
      </w:r>
      <w:r w:rsidRPr="006A0B58">
        <w:rPr>
          <w:rFonts w:ascii="Traditional Arabic" w:hAnsi="Traditional Arabic" w:hint="cs"/>
          <w:sz w:val="32"/>
          <w:szCs w:val="32"/>
          <w:rtl/>
        </w:rPr>
        <w:t>ِ</w:t>
      </w:r>
      <w:r w:rsidRPr="006A0B58">
        <w:rPr>
          <w:rFonts w:ascii="Traditional Arabic" w:hAnsi="Traditional Arabic"/>
          <w:sz w:val="32"/>
          <w:szCs w:val="32"/>
          <w:rtl/>
        </w:rPr>
        <w:t>ي</w:t>
      </w:r>
      <w:r w:rsidRPr="006A0B58">
        <w:rPr>
          <w:rFonts w:ascii="Traditional Arabic" w:hAnsi="Traditional Arabic" w:hint="cs"/>
          <w:sz w:val="32"/>
          <w:szCs w:val="32"/>
          <w:rtl/>
        </w:rPr>
        <w:t>َ</w:t>
      </w:r>
      <w:r w:rsidRPr="006A0B58">
        <w:rPr>
          <w:rFonts w:ascii="Traditional Arabic" w:hAnsi="Traditional Arabic"/>
          <w:sz w:val="32"/>
          <w:szCs w:val="32"/>
          <w:rtl/>
        </w:rPr>
        <w:t>ت</w:t>
      </w:r>
      <w:r w:rsidRPr="006A0B58">
        <w:rPr>
          <w:rFonts w:ascii="Traditional Arabic" w:hAnsi="Traditional Arabic" w:hint="cs"/>
          <w:sz w:val="32"/>
          <w:szCs w:val="32"/>
          <w:rtl/>
        </w:rPr>
        <w:t>ِ</w:t>
      </w:r>
      <w:r w:rsidRPr="006A0B58">
        <w:rPr>
          <w:rFonts w:ascii="Traditional Arabic" w:hAnsi="Traditional Arabic"/>
          <w:sz w:val="32"/>
          <w:szCs w:val="32"/>
          <w:rtl/>
        </w:rPr>
        <w:t>ه</w:t>
      </w:r>
      <w:r>
        <w:rPr>
          <w:rFonts w:ascii="Traditional Arabic" w:hAnsi="Traditional Arabic"/>
          <w:sz w:val="32"/>
          <w:szCs w:val="32"/>
          <w:rtl/>
        </w:rPr>
        <w:t>،</w:t>
      </w:r>
      <w:r w:rsidRPr="006A0B58">
        <w:rPr>
          <w:rFonts w:ascii="Traditional Arabic" w:hAnsi="Traditional Arabic"/>
          <w:sz w:val="32"/>
          <w:szCs w:val="32"/>
          <w:rtl/>
        </w:rPr>
        <w:t xml:space="preserve"> إذا ق</w:t>
      </w:r>
      <w:r w:rsidRPr="006A0B58">
        <w:rPr>
          <w:rFonts w:ascii="Traditional Arabic" w:hAnsi="Traditional Arabic" w:hint="cs"/>
          <w:sz w:val="32"/>
          <w:szCs w:val="32"/>
          <w:rtl/>
        </w:rPr>
        <w:t>َ</w:t>
      </w:r>
      <w:r w:rsidRPr="006A0B58">
        <w:rPr>
          <w:rFonts w:ascii="Traditional Arabic" w:hAnsi="Traditional Arabic"/>
          <w:sz w:val="32"/>
          <w:szCs w:val="32"/>
          <w:rtl/>
        </w:rPr>
        <w:t>ل</w:t>
      </w:r>
      <w:r w:rsidRPr="006A0B58">
        <w:rPr>
          <w:rFonts w:ascii="Traditional Arabic" w:hAnsi="Traditional Arabic" w:hint="cs"/>
          <w:sz w:val="32"/>
          <w:szCs w:val="32"/>
          <w:rtl/>
        </w:rPr>
        <w:t>َّ</w:t>
      </w:r>
      <w:r w:rsidRPr="006A0B58">
        <w:rPr>
          <w:rFonts w:ascii="Traditional Arabic" w:hAnsi="Traditional Arabic"/>
          <w:sz w:val="32"/>
          <w:szCs w:val="32"/>
          <w:rtl/>
        </w:rPr>
        <w:t>دته وِلاي</w:t>
      </w:r>
      <w:r w:rsidRPr="006A0B58">
        <w:rPr>
          <w:rFonts w:ascii="Traditional Arabic" w:hAnsi="Traditional Arabic" w:hint="cs"/>
          <w:sz w:val="32"/>
          <w:szCs w:val="32"/>
          <w:rtl/>
        </w:rPr>
        <w:t>َ</w:t>
      </w:r>
      <w:r w:rsidRPr="006A0B58">
        <w:rPr>
          <w:rFonts w:ascii="Traditional Arabic" w:hAnsi="Traditional Arabic"/>
          <w:sz w:val="32"/>
          <w:szCs w:val="32"/>
          <w:rtl/>
        </w:rPr>
        <w:t>تها</w:t>
      </w:r>
      <w:r w:rsidRPr="006A0B58">
        <w:rPr>
          <w:rFonts w:ascii="Traditional Arabic" w:hAnsi="Traditional Arabic" w:hint="cs"/>
          <w:sz w:val="32"/>
          <w:szCs w:val="32"/>
          <w:rtl/>
        </w:rPr>
        <w:t>،</w:t>
      </w:r>
      <w:r>
        <w:rPr>
          <w:rFonts w:ascii="Traditional Arabic" w:hAnsi="Traditional Arabic" w:hint="cs"/>
          <w:sz w:val="32"/>
          <w:szCs w:val="32"/>
          <w:rtl/>
        </w:rPr>
        <w:t xml:space="preserve"> </w:t>
      </w:r>
      <w:r w:rsidRPr="006A0B58">
        <w:rPr>
          <w:rFonts w:ascii="Traditional Arabic" w:hAnsi="Traditional Arabic" w:hint="cs"/>
          <w:sz w:val="32"/>
          <w:szCs w:val="32"/>
          <w:rtl/>
        </w:rPr>
        <w:t>ثم استُعمِلت في ال</w:t>
      </w:r>
      <w:r>
        <w:rPr>
          <w:rFonts w:ascii="Traditional Arabic" w:hAnsi="Traditional Arabic" w:hint="cs"/>
          <w:sz w:val="32"/>
          <w:szCs w:val="32"/>
          <w:rtl/>
        </w:rPr>
        <w:t>ب</w:t>
      </w:r>
      <w:r w:rsidRPr="006A0B58">
        <w:rPr>
          <w:rFonts w:ascii="Traditional Arabic" w:hAnsi="Traditional Arabic" w:hint="cs"/>
          <w:sz w:val="32"/>
          <w:szCs w:val="32"/>
          <w:rtl/>
        </w:rPr>
        <w:t xml:space="preserve">يع في مَن يشتري </w:t>
      </w:r>
      <w:r w:rsidRPr="006A0B58">
        <w:rPr>
          <w:rFonts w:ascii="Traditional Arabic" w:hAnsi="Traditional Arabic"/>
          <w:sz w:val="32"/>
          <w:szCs w:val="32"/>
          <w:rtl/>
        </w:rPr>
        <w:t>سِلْعةً ب</w:t>
      </w:r>
      <w:r w:rsidRPr="006A0B58">
        <w:rPr>
          <w:rFonts w:ascii="Traditional Arabic" w:hAnsi="Traditional Arabic" w:hint="cs"/>
          <w:sz w:val="32"/>
          <w:szCs w:val="32"/>
          <w:rtl/>
        </w:rPr>
        <w:t>ِ</w:t>
      </w:r>
      <w:r w:rsidRPr="006A0B58">
        <w:rPr>
          <w:rFonts w:ascii="Traditional Arabic" w:hAnsi="Traditional Arabic"/>
          <w:sz w:val="32"/>
          <w:szCs w:val="32"/>
          <w:rtl/>
        </w:rPr>
        <w:t>ث</w:t>
      </w:r>
      <w:r w:rsidRPr="006A0B58">
        <w:rPr>
          <w:rFonts w:ascii="Traditional Arabic" w:hAnsi="Traditional Arabic" w:hint="cs"/>
          <w:sz w:val="32"/>
          <w:szCs w:val="32"/>
          <w:rtl/>
        </w:rPr>
        <w:t>َ</w:t>
      </w:r>
      <w:r w:rsidRPr="006A0B58">
        <w:rPr>
          <w:rFonts w:ascii="Traditional Arabic" w:hAnsi="Traditional Arabic"/>
          <w:sz w:val="32"/>
          <w:szCs w:val="32"/>
          <w:rtl/>
        </w:rPr>
        <w:t xml:space="preserve">من مَعْلوم ثم </w:t>
      </w:r>
      <w:r w:rsidRPr="006A0B58">
        <w:rPr>
          <w:rFonts w:ascii="Traditional Arabic" w:hAnsi="Traditional Arabic" w:hint="cs"/>
          <w:sz w:val="32"/>
          <w:szCs w:val="32"/>
          <w:rtl/>
        </w:rPr>
        <w:t>يُ</w:t>
      </w:r>
      <w:r w:rsidRPr="006A0B58">
        <w:rPr>
          <w:rFonts w:ascii="Traditional Arabic" w:hAnsi="Traditional Arabic"/>
          <w:sz w:val="32"/>
          <w:szCs w:val="32"/>
          <w:rtl/>
        </w:rPr>
        <w:t>و</w:t>
      </w:r>
      <w:r w:rsidRPr="006A0B58">
        <w:rPr>
          <w:rFonts w:ascii="Traditional Arabic" w:hAnsi="Traditional Arabic" w:hint="cs"/>
          <w:sz w:val="32"/>
          <w:szCs w:val="32"/>
          <w:rtl/>
        </w:rPr>
        <w:t>َ</w:t>
      </w:r>
      <w:r w:rsidRPr="006A0B58">
        <w:rPr>
          <w:rFonts w:ascii="Traditional Arabic" w:hAnsi="Traditional Arabic"/>
          <w:sz w:val="32"/>
          <w:szCs w:val="32"/>
          <w:rtl/>
        </w:rPr>
        <w:t>لّيها رجلاً آخر بذلك الثَّمن</w:t>
      </w:r>
      <w:r w:rsidRPr="006A0B58">
        <w:rPr>
          <w:rFonts w:ascii="Traditional Arabic" w:hAnsi="Traditional Arabic" w:hint="cs"/>
          <w:b/>
          <w:bCs/>
          <w:noProof w:val="0"/>
          <w:sz w:val="32"/>
          <w:szCs w:val="32"/>
          <w:rtl/>
          <w:lang w:eastAsia="en-US"/>
        </w:rPr>
        <w:t>،</w:t>
      </w:r>
      <w:r w:rsidRPr="006A0B58">
        <w:rPr>
          <w:rFonts w:ascii="Traditional Arabic" w:hAnsi="Traditional Arabic" w:hint="cs"/>
          <w:sz w:val="32"/>
          <w:szCs w:val="32"/>
          <w:rtl/>
        </w:rPr>
        <w:t>كأنّ البائع يجعل المشتري</w:t>
      </w:r>
      <w:r>
        <w:rPr>
          <w:rFonts w:ascii="Traditional Arabic" w:hAnsi="Traditional Arabic" w:hint="cs"/>
          <w:sz w:val="32"/>
          <w:szCs w:val="32"/>
          <w:rtl/>
        </w:rPr>
        <w:t xml:space="preserve"> </w:t>
      </w:r>
      <w:r w:rsidRPr="006A0B58">
        <w:rPr>
          <w:rFonts w:ascii="Traditional Arabic" w:hAnsi="Traditional Arabic" w:hint="cs"/>
          <w:sz w:val="32"/>
          <w:szCs w:val="32"/>
          <w:rtl/>
        </w:rPr>
        <w:t>واليًا لما اشتراه بما اشتراه</w:t>
      </w:r>
      <w:r w:rsidRPr="006A0B58">
        <w:rPr>
          <w:rFonts w:ascii="Traditional Arabic" w:hAnsi="Traditional Arabic"/>
          <w:b/>
          <w:bCs/>
          <w:noProof w:val="0"/>
          <w:sz w:val="32"/>
          <w:szCs w:val="32"/>
          <w:rtl/>
          <w:lang w:eastAsia="en-US"/>
        </w:rPr>
        <w:t>.</w:t>
      </w:r>
      <w:r>
        <w:rPr>
          <w:rFonts w:ascii="Traditional Arabic" w:hAnsi="Traditional Arabic" w:hint="cs"/>
          <w:b/>
          <w:bCs/>
          <w:noProof w:val="0"/>
          <w:sz w:val="32"/>
          <w:szCs w:val="32"/>
          <w:rtl/>
          <w:lang w:eastAsia="en-US"/>
        </w:rPr>
        <w:t xml:space="preserve"> </w:t>
      </w:r>
      <w:r w:rsidRPr="006A0B58">
        <w:rPr>
          <w:rFonts w:ascii="Traditional Arabic" w:hAnsi="Traditional Arabic" w:hint="cs"/>
          <w:noProof w:val="0"/>
          <w:sz w:val="32"/>
          <w:szCs w:val="32"/>
          <w:rtl/>
          <w:lang w:eastAsia="en-US"/>
        </w:rPr>
        <w:t>انظر: تهذيب اللغة (15/452)،</w:t>
      </w:r>
      <w:r>
        <w:rPr>
          <w:rFonts w:ascii="Traditional Arabic" w:hAnsi="Traditional Arabic" w:hint="cs"/>
          <w:noProof w:val="0"/>
          <w:sz w:val="32"/>
          <w:szCs w:val="32"/>
          <w:rtl/>
          <w:lang w:eastAsia="en-US"/>
        </w:rPr>
        <w:t xml:space="preserve"> والمطلع على ألفاظ المقنع (254</w:t>
      </w:r>
      <w:r w:rsidRPr="006A0B58">
        <w:rPr>
          <w:rFonts w:ascii="Traditional Arabic" w:hAnsi="Traditional Arabic" w:hint="cs"/>
          <w:noProof w:val="0"/>
          <w:sz w:val="32"/>
          <w:szCs w:val="32"/>
          <w:rtl/>
          <w:lang w:eastAsia="en-US"/>
        </w:rPr>
        <w:t>)،</w:t>
      </w:r>
      <w:r>
        <w:rPr>
          <w:rFonts w:ascii="Traditional Arabic" w:hAnsi="Traditional Arabic" w:hint="cs"/>
          <w:noProof w:val="0"/>
          <w:sz w:val="32"/>
          <w:szCs w:val="32"/>
          <w:rtl/>
          <w:lang w:eastAsia="en-US"/>
        </w:rPr>
        <w:t xml:space="preserve"> و</w:t>
      </w:r>
      <w:r w:rsidRPr="006A0B58">
        <w:rPr>
          <w:rFonts w:ascii="Traditional Arabic" w:hAnsi="Traditional Arabic" w:hint="cs"/>
          <w:noProof w:val="0"/>
          <w:sz w:val="32"/>
          <w:szCs w:val="32"/>
          <w:rtl/>
          <w:lang w:eastAsia="en-US"/>
        </w:rPr>
        <w:t>المصباح المنير (552)،</w:t>
      </w:r>
      <w:r>
        <w:rPr>
          <w:rFonts w:ascii="Traditional Arabic" w:hAnsi="Traditional Arabic" w:hint="cs"/>
          <w:noProof w:val="0"/>
          <w:sz w:val="32"/>
          <w:szCs w:val="32"/>
          <w:rtl/>
          <w:lang w:eastAsia="en-US"/>
        </w:rPr>
        <w:t xml:space="preserve"> و</w:t>
      </w:r>
      <w:r w:rsidRPr="006A0B58">
        <w:rPr>
          <w:rFonts w:ascii="Traditional Arabic" w:hAnsi="Traditional Arabic" w:hint="cs"/>
          <w:noProof w:val="0"/>
          <w:sz w:val="32"/>
          <w:szCs w:val="32"/>
          <w:rtl/>
          <w:lang w:eastAsia="en-US"/>
        </w:rPr>
        <w:t>أنيس الفقهاء (207).</w:t>
      </w:r>
    </w:p>
    <w:p w:rsidR="000D3D21" w:rsidRPr="006A0B58" w:rsidRDefault="000D3D21" w:rsidP="005E65EA">
      <w:pPr>
        <w:pStyle w:val="a7"/>
        <w:rPr>
          <w:rStyle w:val="af1"/>
          <w:rFonts w:ascii="Traditional Arabic" w:hAnsi="Traditional Arabic"/>
          <w:sz w:val="32"/>
          <w:szCs w:val="32"/>
          <w:vertAlign w:val="baseline"/>
          <w:rtl/>
        </w:rPr>
      </w:pPr>
      <w:r>
        <w:rPr>
          <w:rFonts w:ascii="Traditional Arabic" w:hAnsi="Traditional Arabic" w:hint="cs"/>
          <w:b/>
          <w:bCs/>
          <w:sz w:val="32"/>
          <w:szCs w:val="32"/>
          <w:rtl/>
        </w:rPr>
        <w:t xml:space="preserve">     </w:t>
      </w:r>
      <w:r w:rsidRPr="006A0B58">
        <w:rPr>
          <w:rFonts w:ascii="Traditional Arabic" w:hAnsi="Traditional Arabic" w:hint="cs"/>
          <w:b/>
          <w:bCs/>
          <w:sz w:val="32"/>
          <w:szCs w:val="32"/>
          <w:rtl/>
        </w:rPr>
        <w:t>التولية اصطلاحًا:</w:t>
      </w:r>
      <w:r>
        <w:rPr>
          <w:rFonts w:ascii="Traditional Arabic" w:hAnsi="Traditional Arabic" w:hint="cs"/>
          <w:b/>
          <w:bCs/>
          <w:sz w:val="32"/>
          <w:szCs w:val="32"/>
          <w:rtl/>
        </w:rPr>
        <w:t xml:space="preserve"> </w:t>
      </w:r>
      <w:r w:rsidRPr="006A0B58">
        <w:rPr>
          <w:rFonts w:ascii="Traditional Arabic" w:hAnsi="Traditional Arabic"/>
          <w:noProof w:val="0"/>
          <w:sz w:val="32"/>
          <w:szCs w:val="32"/>
          <w:rtl/>
          <w:lang w:eastAsia="en-US"/>
        </w:rPr>
        <w:t>البيع برأس المال</w:t>
      </w:r>
      <w:r w:rsidRPr="006A0B58">
        <w:rPr>
          <w:rFonts w:ascii="Traditional Arabic" w:hAnsi="Traditional Arabic" w:hint="cs"/>
          <w:noProof w:val="0"/>
          <w:sz w:val="32"/>
          <w:szCs w:val="32"/>
          <w:rtl/>
          <w:lang w:eastAsia="en-US"/>
        </w:rPr>
        <w:t>، بأن</w:t>
      </w:r>
      <w:r w:rsidRPr="006A0B58">
        <w:rPr>
          <w:rFonts w:ascii="Traditional Arabic" w:hAnsi="Traditional Arabic"/>
          <w:noProof w:val="0"/>
          <w:sz w:val="32"/>
          <w:szCs w:val="32"/>
          <w:rtl/>
          <w:lang w:eastAsia="en-US"/>
        </w:rPr>
        <w:t xml:space="preserve"> يقول البائع</w:t>
      </w:r>
      <w:r w:rsidRPr="006A0B58">
        <w:rPr>
          <w:rFonts w:ascii="Traditional Arabic" w:hAnsi="Traditional Arabic" w:hint="cs"/>
          <w:noProof w:val="0"/>
          <w:sz w:val="32"/>
          <w:szCs w:val="32"/>
          <w:rtl/>
          <w:lang w:eastAsia="en-US"/>
        </w:rPr>
        <w:t xml:space="preserve"> للمشتري</w:t>
      </w:r>
      <w:r w:rsidRPr="006A0B58">
        <w:rPr>
          <w:rFonts w:ascii="Traditional Arabic" w:hAnsi="Traditional Arabic"/>
          <w:noProof w:val="0"/>
          <w:sz w:val="32"/>
          <w:szCs w:val="32"/>
          <w:rtl/>
          <w:lang w:eastAsia="en-US"/>
        </w:rPr>
        <w:t>: و</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ل</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ي</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ت</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ك</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ه</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 xml:space="preserve"> أو ب</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ع</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ت</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ك</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ه</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 xml:space="preserve"> برأس ماله</w:t>
      </w:r>
      <w:r>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 xml:space="preserve"> أو بما اشتريت</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ه به</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 xml:space="preserve"> أو ب</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ر</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ق</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م</w:t>
      </w:r>
      <w:r w:rsidRPr="006A0B58">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ه</w:t>
      </w:r>
      <w:r w:rsidRPr="006A0B58">
        <w:rPr>
          <w:rFonts w:ascii="Traditional Arabic" w:hAnsi="Traditional Arabic" w:hint="cs"/>
          <w:noProof w:val="0"/>
          <w:sz w:val="32"/>
          <w:szCs w:val="32"/>
          <w:rtl/>
          <w:lang w:eastAsia="en-US"/>
        </w:rPr>
        <w:t>،</w:t>
      </w:r>
      <w:r>
        <w:rPr>
          <w:rFonts w:ascii="Traditional Arabic" w:hAnsi="Traditional Arabic" w:hint="cs"/>
          <w:noProof w:val="0"/>
          <w:sz w:val="32"/>
          <w:szCs w:val="32"/>
          <w:rtl/>
          <w:lang w:eastAsia="en-US"/>
        </w:rPr>
        <w:t xml:space="preserve"> و</w:t>
      </w:r>
      <w:r w:rsidRPr="006A0B58">
        <w:rPr>
          <w:rFonts w:ascii="Traditional Arabic" w:hAnsi="Traditional Arabic"/>
          <w:noProof w:val="0"/>
          <w:sz w:val="32"/>
          <w:szCs w:val="32"/>
          <w:rtl/>
          <w:lang w:eastAsia="en-US"/>
        </w:rPr>
        <w:t>هو الثمن المكتوب عليه إذا كان معلوما</w:t>
      </w:r>
      <w:r>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 xml:space="preserve"> لهما حال</w:t>
      </w:r>
      <w:r>
        <w:rPr>
          <w:rFonts w:ascii="Traditional Arabic" w:hAnsi="Traditional Arabic" w:hint="cs"/>
          <w:noProof w:val="0"/>
          <w:sz w:val="32"/>
          <w:szCs w:val="32"/>
          <w:rtl/>
          <w:lang w:eastAsia="en-US"/>
        </w:rPr>
        <w:t>َ</w:t>
      </w:r>
      <w:r w:rsidRPr="006A0B58">
        <w:rPr>
          <w:rFonts w:ascii="Traditional Arabic" w:hAnsi="Traditional Arabic"/>
          <w:noProof w:val="0"/>
          <w:sz w:val="32"/>
          <w:szCs w:val="32"/>
          <w:rtl/>
          <w:lang w:eastAsia="en-US"/>
        </w:rPr>
        <w:t xml:space="preserve"> العقد</w:t>
      </w:r>
      <w:r w:rsidRPr="006A0B58">
        <w:rPr>
          <w:rFonts w:ascii="Traditional Arabic" w:hAnsi="Traditional Arabic" w:hint="cs"/>
          <w:sz w:val="32"/>
          <w:szCs w:val="32"/>
          <w:rtl/>
        </w:rPr>
        <w:t>.</w:t>
      </w:r>
      <w:r>
        <w:rPr>
          <w:rFonts w:ascii="Traditional Arabic" w:hAnsi="Traditional Arabic" w:hint="cs"/>
          <w:sz w:val="32"/>
          <w:szCs w:val="32"/>
          <w:rtl/>
        </w:rPr>
        <w:t xml:space="preserve"> </w:t>
      </w:r>
      <w:r w:rsidRPr="006A0B58">
        <w:rPr>
          <w:rFonts w:ascii="Traditional Arabic" w:hAnsi="Traditional Arabic" w:hint="cs"/>
          <w:sz w:val="32"/>
          <w:szCs w:val="32"/>
          <w:rtl/>
        </w:rPr>
        <w:t>انظر الشرح الكبير على متن المقنع (</w:t>
      </w:r>
      <w:r>
        <w:rPr>
          <w:rFonts w:ascii="Traditional Arabic" w:hAnsi="Traditional Arabic" w:hint="cs"/>
          <w:sz w:val="32"/>
          <w:szCs w:val="32"/>
          <w:rtl/>
        </w:rPr>
        <w:t>4/100</w:t>
      </w:r>
      <w:r w:rsidRPr="006A0B58">
        <w:rPr>
          <w:rFonts w:ascii="Traditional Arabic" w:hAnsi="Traditional Arabic" w:hint="cs"/>
          <w:sz w:val="32"/>
          <w:szCs w:val="32"/>
          <w:rtl/>
        </w:rPr>
        <w:t>)</w:t>
      </w:r>
      <w:r w:rsidRPr="006A0B58">
        <w:rPr>
          <w:rStyle w:val="af1"/>
          <w:rFonts w:ascii="Traditional Arabic" w:hAnsi="Traditional Arabic" w:hint="cs"/>
          <w:sz w:val="32"/>
          <w:szCs w:val="32"/>
          <w:vertAlign w:val="baseline"/>
          <w:rtl/>
        </w:rPr>
        <w:t>.</w:t>
      </w:r>
    </w:p>
  </w:footnote>
  <w:footnote w:id="889">
    <w:p w:rsidR="000D3D21" w:rsidRPr="006A0B58" w:rsidRDefault="000D3D21" w:rsidP="005E65EA">
      <w:pPr>
        <w:pStyle w:val="a7"/>
        <w:rPr>
          <w:rFonts w:ascii="Traditional Arabic" w:hAnsi="Traditional Arabic"/>
          <w:sz w:val="32"/>
          <w:szCs w:val="32"/>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Pr>
          <w:rFonts w:hint="cs"/>
          <w:sz w:val="32"/>
          <w:szCs w:val="32"/>
          <w:rtl/>
        </w:rPr>
        <w:t xml:space="preserve"> مثاله ما لو </w:t>
      </w:r>
      <w:r w:rsidRPr="006A0B58">
        <w:rPr>
          <w:rFonts w:hint="cs"/>
          <w:sz w:val="32"/>
          <w:szCs w:val="32"/>
          <w:rtl/>
        </w:rPr>
        <w:t>اشترى زيد سيارة بخمسين ألفا مؤجَّلة،ثم باعها تولية بهذا الثمن لعمرو،</w:t>
      </w:r>
      <w:r>
        <w:rPr>
          <w:rFonts w:hint="cs"/>
          <w:sz w:val="32"/>
          <w:szCs w:val="32"/>
          <w:rtl/>
        </w:rPr>
        <w:t xml:space="preserve"> و</w:t>
      </w:r>
      <w:r w:rsidRPr="006A0B58">
        <w:rPr>
          <w:rFonts w:hint="cs"/>
          <w:sz w:val="32"/>
          <w:szCs w:val="32"/>
          <w:rtl/>
        </w:rPr>
        <w:t>لم يبيّن له أنه اشتراها بثمن مؤجل،</w:t>
      </w:r>
      <w:r>
        <w:rPr>
          <w:rFonts w:hint="cs"/>
          <w:sz w:val="32"/>
          <w:szCs w:val="32"/>
          <w:rtl/>
        </w:rPr>
        <w:t xml:space="preserve"> و</w:t>
      </w:r>
      <w:r w:rsidRPr="006A0B58">
        <w:rPr>
          <w:rFonts w:hint="cs"/>
          <w:sz w:val="32"/>
          <w:szCs w:val="32"/>
          <w:rtl/>
        </w:rPr>
        <w:t>الغالب أن قيمة السيارة بالثمن المؤجل أكثر من قيمتها بالثمن الحالّ.</w:t>
      </w:r>
      <w:r>
        <w:rPr>
          <w:rFonts w:hint="cs"/>
          <w:sz w:val="32"/>
          <w:szCs w:val="32"/>
          <w:rtl/>
        </w:rPr>
        <w:t xml:space="preserve"> </w:t>
      </w:r>
      <w:r w:rsidRPr="006A0B58">
        <w:rPr>
          <w:rFonts w:hint="cs"/>
          <w:sz w:val="32"/>
          <w:szCs w:val="32"/>
          <w:rtl/>
        </w:rPr>
        <w:t>انظر:</w:t>
      </w:r>
      <w:r>
        <w:rPr>
          <w:rFonts w:hint="cs"/>
          <w:sz w:val="32"/>
          <w:szCs w:val="32"/>
          <w:rtl/>
        </w:rPr>
        <w:t xml:space="preserve"> </w:t>
      </w:r>
      <w:r w:rsidRPr="006A0B58">
        <w:rPr>
          <w:rFonts w:hint="cs"/>
          <w:sz w:val="32"/>
          <w:szCs w:val="32"/>
          <w:rtl/>
        </w:rPr>
        <w:t xml:space="preserve">الشرح </w:t>
      </w:r>
      <w:r>
        <w:rPr>
          <w:rFonts w:ascii="Traditional Arabic" w:hAnsi="Traditional Arabic" w:hint="cs"/>
          <w:sz w:val="32"/>
          <w:szCs w:val="32"/>
          <w:rtl/>
        </w:rPr>
        <w:t>الممتع (8/335)، و</w:t>
      </w:r>
      <w:r w:rsidRPr="006A0B58">
        <w:rPr>
          <w:rFonts w:ascii="Traditional Arabic" w:hAnsi="Traditional Arabic" w:hint="cs"/>
          <w:sz w:val="32"/>
          <w:szCs w:val="32"/>
          <w:rtl/>
        </w:rPr>
        <w:t>إغاثة الجموع</w:t>
      </w:r>
      <w:r>
        <w:rPr>
          <w:rFonts w:ascii="Traditional Arabic" w:hAnsi="Traditional Arabic" w:hint="cs"/>
          <w:sz w:val="32"/>
          <w:szCs w:val="32"/>
          <w:rtl/>
        </w:rPr>
        <w:t xml:space="preserve"> بترجيحات ابن عثيمين في البيوع لمحمد بن بعسوس العمري </w:t>
      </w:r>
      <w:r w:rsidRPr="006A0B58">
        <w:rPr>
          <w:rFonts w:ascii="Traditional Arabic" w:hAnsi="Traditional Arabic" w:hint="cs"/>
          <w:sz w:val="32"/>
          <w:szCs w:val="32"/>
          <w:rtl/>
        </w:rPr>
        <w:t>(200).</w:t>
      </w:r>
      <w:r w:rsidRPr="006A0B58">
        <w:rPr>
          <w:rFonts w:ascii="Traditional Arabic" w:hAnsi="Traditional Arabic" w:hint="cs"/>
          <w:sz w:val="32"/>
          <w:szCs w:val="32"/>
          <w:rtl/>
        </w:rPr>
        <w:tab/>
      </w:r>
    </w:p>
  </w:footnote>
  <w:footnote w:id="890">
    <w:p w:rsidR="000D3D21" w:rsidRPr="006A0B58" w:rsidRDefault="000D3D21" w:rsidP="005E65EA">
      <w:pPr>
        <w:pStyle w:val="a7"/>
        <w:rPr>
          <w:sz w:val="32"/>
          <w:szCs w:val="32"/>
          <w:rtl/>
        </w:rPr>
      </w:pPr>
      <w:r w:rsidRPr="006A0B58">
        <w:rPr>
          <w:rStyle w:val="af1"/>
          <w:rFonts w:ascii="Traditional Arabic" w:hAnsi="Traditional Arabic"/>
          <w:sz w:val="32"/>
          <w:szCs w:val="32"/>
          <w:vertAlign w:val="baseline"/>
        </w:rPr>
        <w:footnoteRef/>
      </w:r>
      <w:r w:rsidRPr="006A0B58">
        <w:rPr>
          <w:rStyle w:val="af1"/>
          <w:rFonts w:ascii="Traditional Arabic" w:hAnsi="Traditional Arabic"/>
          <w:sz w:val="32"/>
          <w:szCs w:val="32"/>
          <w:vertAlign w:val="baseline"/>
        </w:rPr>
        <w:t>)</w:t>
      </w:r>
      <w:r w:rsidRPr="006A0B58">
        <w:rPr>
          <w:rStyle w:val="af1"/>
          <w:rFonts w:ascii="Traditional Arabic" w:hAnsi="Traditional Arabic" w:hint="cs"/>
          <w:sz w:val="32"/>
          <w:szCs w:val="32"/>
          <w:vertAlign w:val="baseline"/>
          <w:rtl/>
        </w:rPr>
        <w:t>)</w:t>
      </w:r>
      <w:r>
        <w:rPr>
          <w:rFonts w:hint="cs"/>
          <w:sz w:val="32"/>
          <w:szCs w:val="32"/>
          <w:rtl/>
        </w:rPr>
        <w:t xml:space="preserve"> </w:t>
      </w:r>
      <w:r w:rsidRPr="006A0B58">
        <w:rPr>
          <w:rFonts w:hint="cs"/>
          <w:sz w:val="32"/>
          <w:szCs w:val="32"/>
          <w:rtl/>
        </w:rPr>
        <w:t>انظر الشرح الممتع (8/335</w:t>
      </w:r>
      <w:r>
        <w:rPr>
          <w:rFonts w:hint="cs"/>
          <w:sz w:val="32"/>
          <w:szCs w:val="32"/>
          <w:rtl/>
        </w:rPr>
        <w:t>، 336</w:t>
      </w:r>
      <w:r w:rsidRPr="006A0B58">
        <w:rPr>
          <w:rFonts w:hint="cs"/>
          <w:sz w:val="32"/>
          <w:szCs w:val="32"/>
          <w:rtl/>
        </w:rPr>
        <w:t>).</w:t>
      </w:r>
    </w:p>
  </w:footnote>
  <w:footnote w:id="891">
    <w:p w:rsidR="000D3D21" w:rsidRPr="008561A8" w:rsidRDefault="000D3D21" w:rsidP="005E65EA">
      <w:pPr>
        <w:pStyle w:val="a7"/>
        <w:rPr>
          <w:rFonts w:ascii="Traditional Arabic" w:hAnsi="Traditional Arabic"/>
          <w:sz w:val="32"/>
          <w:szCs w:val="32"/>
          <w:rtl/>
        </w:rPr>
      </w:pPr>
      <w:r w:rsidRPr="008561A8">
        <w:rPr>
          <w:rStyle w:val="af1"/>
          <w:rFonts w:ascii="Traditional Arabic" w:hAnsi="Traditional Arabic"/>
          <w:sz w:val="32"/>
          <w:szCs w:val="32"/>
          <w:vertAlign w:val="baseline"/>
        </w:rPr>
        <w:footnoteRef/>
      </w:r>
      <w:r w:rsidRPr="008561A8">
        <w:rPr>
          <w:rFonts w:ascii="Traditional Arabic" w:hAnsi="Traditional Arabic"/>
          <w:sz w:val="32"/>
          <w:szCs w:val="32"/>
        </w:rPr>
        <w:t>)</w:t>
      </w:r>
      <w:r w:rsidRPr="008561A8">
        <w:rPr>
          <w:rFonts w:ascii="Traditional Arabic" w:hAnsi="Traditional Arabic"/>
          <w:sz w:val="32"/>
          <w:szCs w:val="32"/>
          <w:rtl/>
        </w:rPr>
        <w:t xml:space="preserve">) </w:t>
      </w:r>
      <w:r>
        <w:rPr>
          <w:rFonts w:ascii="Traditional Arabic" w:hAnsi="Traditional Arabic" w:hint="cs"/>
          <w:sz w:val="32"/>
          <w:szCs w:val="32"/>
          <w:rtl/>
        </w:rPr>
        <w:t>انظر المرجع السابق (8/335).</w:t>
      </w:r>
    </w:p>
  </w:footnote>
  <w:footnote w:id="892">
    <w:p w:rsidR="000D3D21" w:rsidRPr="001219FA" w:rsidRDefault="000D3D21">
      <w:pPr>
        <w:pStyle w:val="a7"/>
        <w:rPr>
          <w:rFonts w:ascii="Traditional Arabic" w:hAnsi="Traditional Arabic"/>
          <w:sz w:val="32"/>
          <w:szCs w:val="32"/>
        </w:rPr>
      </w:pPr>
      <w:r w:rsidRPr="001219FA">
        <w:rPr>
          <w:rFonts w:ascii="Traditional Arabic" w:hAnsi="Traditional Arabic"/>
          <w:sz w:val="32"/>
          <w:szCs w:val="32"/>
          <w:rtl/>
        </w:rPr>
        <w:t>(</w:t>
      </w:r>
      <w:r w:rsidRPr="001219FA">
        <w:rPr>
          <w:rStyle w:val="af1"/>
          <w:rFonts w:ascii="Traditional Arabic" w:hAnsi="Traditional Arabic"/>
          <w:sz w:val="32"/>
          <w:szCs w:val="32"/>
          <w:vertAlign w:val="baseline"/>
        </w:rPr>
        <w:footnoteRef/>
      </w:r>
      <w:r w:rsidRPr="001219FA">
        <w:rPr>
          <w:rFonts w:ascii="Traditional Arabic" w:hAnsi="Traditional Arabic"/>
          <w:sz w:val="32"/>
          <w:szCs w:val="32"/>
          <w:rtl/>
        </w:rPr>
        <w:t>)</w:t>
      </w:r>
      <w:r>
        <w:rPr>
          <w:rFonts w:ascii="Traditional Arabic" w:hAnsi="Traditional Arabic" w:hint="cs"/>
          <w:sz w:val="32"/>
          <w:szCs w:val="32"/>
          <w:rtl/>
        </w:rPr>
        <w:t xml:space="preserve"> انظر الأشباه والنظائر لابن نجيم (184-185).</w:t>
      </w:r>
    </w:p>
  </w:footnote>
  <w:footnote w:id="893">
    <w:p w:rsidR="000D3D21" w:rsidRPr="00E129F3" w:rsidRDefault="000D3D21">
      <w:pPr>
        <w:pStyle w:val="a7"/>
        <w:rPr>
          <w:rFonts w:ascii="Traditional Arabic" w:hAnsi="Traditional Arabic"/>
          <w:sz w:val="32"/>
          <w:szCs w:val="32"/>
          <w:rtl/>
        </w:rPr>
      </w:pPr>
      <w:r w:rsidRPr="00E129F3">
        <w:rPr>
          <w:rStyle w:val="af1"/>
          <w:rFonts w:ascii="Traditional Arabic" w:hAnsi="Traditional Arabic"/>
          <w:sz w:val="32"/>
          <w:szCs w:val="32"/>
          <w:vertAlign w:val="baseline"/>
        </w:rPr>
        <w:footnoteRef/>
      </w:r>
      <w:r w:rsidRPr="00E129F3">
        <w:rPr>
          <w:rStyle w:val="af1"/>
          <w:rFonts w:ascii="Traditional Arabic" w:hAnsi="Traditional Arabic"/>
          <w:sz w:val="32"/>
          <w:szCs w:val="32"/>
          <w:vertAlign w:val="baseline"/>
        </w:rPr>
        <w:t>)</w:t>
      </w:r>
      <w:r w:rsidRPr="00E129F3">
        <w:rPr>
          <w:rStyle w:val="af1"/>
          <w:rFonts w:ascii="Traditional Arabic" w:hAnsi="Traditional Arabic"/>
          <w:sz w:val="32"/>
          <w:szCs w:val="32"/>
          <w:vertAlign w:val="baseline"/>
          <w:rtl/>
        </w:rPr>
        <w:t xml:space="preserve">) </w:t>
      </w:r>
      <w:r w:rsidRPr="00E129F3">
        <w:rPr>
          <w:rFonts w:ascii="Traditional Arabic" w:hAnsi="Traditional Arabic"/>
          <w:sz w:val="32"/>
          <w:szCs w:val="32"/>
          <w:rtl/>
        </w:rPr>
        <w:t>اخترت هذه الصيغة لما يلي:</w:t>
      </w:r>
    </w:p>
    <w:p w:rsidR="000D3D21" w:rsidRDefault="000D3D21" w:rsidP="000A76C7">
      <w:pPr>
        <w:pStyle w:val="a7"/>
        <w:numPr>
          <w:ilvl w:val="0"/>
          <w:numId w:val="333"/>
        </w:numPr>
        <w:rPr>
          <w:rFonts w:ascii="Traditional Arabic" w:hAnsi="Traditional Arabic"/>
          <w:sz w:val="32"/>
          <w:szCs w:val="32"/>
        </w:rPr>
      </w:pPr>
      <w:r w:rsidRPr="00E129F3">
        <w:rPr>
          <w:rFonts w:ascii="Traditional Arabic" w:hAnsi="Traditional Arabic"/>
          <w:sz w:val="32"/>
          <w:szCs w:val="32"/>
          <w:rtl/>
        </w:rPr>
        <w:t>أصل هذه القاعدة حديث نبوي شريف، ولا شك أن اعتماد الصياغة النبوية أولى؛ لأن ذلك يُكْسِب القاعدةَ قوّةً؛ ﺇذ يجعلها دليلا شرعيا صالحا لاستنباط الأحكام الشرعية منه مباشرة،ً</w:t>
      </w:r>
      <w:r>
        <w:rPr>
          <w:rFonts w:ascii="Traditional Arabic" w:hAnsi="Traditional Arabic" w:hint="cs"/>
          <w:sz w:val="32"/>
          <w:szCs w:val="32"/>
          <w:rtl/>
        </w:rPr>
        <w:t xml:space="preserve"> </w:t>
      </w:r>
      <w:r w:rsidRPr="00E129F3">
        <w:rPr>
          <w:rFonts w:ascii="Traditional Arabic" w:hAnsi="Traditional Arabic"/>
          <w:sz w:val="32"/>
          <w:szCs w:val="32"/>
          <w:rtl/>
        </w:rPr>
        <w:t>بخلاف الألفاظ الأخرى، فليس لها من القوة والشرعية ما للحديث النبوي. انظر</w:t>
      </w:r>
      <w:r>
        <w:rPr>
          <w:rFonts w:ascii="Traditional Arabic" w:hAnsi="Traditional Arabic" w:hint="cs"/>
          <w:sz w:val="32"/>
          <w:szCs w:val="32"/>
          <w:rtl/>
        </w:rPr>
        <w:t>:</w:t>
      </w:r>
      <w:r w:rsidRPr="00E129F3">
        <w:rPr>
          <w:rFonts w:ascii="Traditional Arabic" w:hAnsi="Traditional Arabic"/>
          <w:sz w:val="32"/>
          <w:szCs w:val="32"/>
          <w:rtl/>
        </w:rPr>
        <w:t xml:space="preserve"> القواعد والضوابط الفقهية المتضمنة للتيسير لعبد الرحمن العبد اللطيف (1/278)، والوجيز للبورنو (251)، والقواعد الخمس الكبرى وما تفرّع عنه</w:t>
      </w:r>
      <w:r>
        <w:rPr>
          <w:rFonts w:ascii="Traditional Arabic" w:hAnsi="Traditional Arabic" w:hint="cs"/>
          <w:sz w:val="32"/>
          <w:szCs w:val="32"/>
          <w:rtl/>
        </w:rPr>
        <w:t>ا لصالح السدلان</w:t>
      </w:r>
      <w:r w:rsidRPr="00E129F3">
        <w:rPr>
          <w:rFonts w:ascii="Traditional Arabic" w:hAnsi="Traditional Arabic"/>
          <w:sz w:val="32"/>
          <w:szCs w:val="32"/>
          <w:rtl/>
        </w:rPr>
        <w:t xml:space="preserve"> (493)، والقواعد والضوابط الفقهية عند شيخ اﻹسلام ابن </w:t>
      </w:r>
      <w:r>
        <w:rPr>
          <w:rFonts w:ascii="Traditional Arabic" w:hAnsi="Traditional Arabic"/>
          <w:sz w:val="32"/>
          <w:szCs w:val="32"/>
          <w:rtl/>
        </w:rPr>
        <w:t>تيمية في فقه الأسرة</w:t>
      </w:r>
      <w:r w:rsidRPr="00E129F3">
        <w:rPr>
          <w:rFonts w:ascii="Traditional Arabic" w:hAnsi="Traditional Arabic"/>
          <w:sz w:val="32"/>
          <w:szCs w:val="32"/>
          <w:rtl/>
        </w:rPr>
        <w:t xml:space="preserve"> (1/300).</w:t>
      </w:r>
    </w:p>
    <w:p w:rsidR="000D3D21" w:rsidRPr="00B93718" w:rsidRDefault="000D3D21" w:rsidP="00B93718">
      <w:pPr>
        <w:pStyle w:val="a7"/>
        <w:ind w:left="720" w:firstLine="0"/>
        <w:rPr>
          <w:rFonts w:ascii="Traditional Arabic" w:hAnsi="Traditional Arabic"/>
          <w:sz w:val="32"/>
          <w:szCs w:val="32"/>
        </w:rPr>
      </w:pPr>
      <w:r>
        <w:rPr>
          <w:rFonts w:ascii="Traditional Arabic" w:hAnsi="Traditional Arabic" w:hint="cs"/>
          <w:sz w:val="32"/>
          <w:szCs w:val="32"/>
          <w:rtl/>
        </w:rPr>
        <w:t>وقد تقدم تخريج الحديث في ص (101).</w:t>
      </w:r>
    </w:p>
    <w:p w:rsidR="000D3D21" w:rsidRDefault="000D3D21" w:rsidP="000A76C7">
      <w:pPr>
        <w:numPr>
          <w:ilvl w:val="0"/>
          <w:numId w:val="333"/>
        </w:numPr>
        <w:jc w:val="left"/>
        <w:rPr>
          <w:rFonts w:ascii="Traditional Arabic" w:hAnsi="Traditional Arabic"/>
          <w:sz w:val="32"/>
          <w:szCs w:val="32"/>
        </w:rPr>
      </w:pPr>
      <w:r w:rsidRPr="000A7B75">
        <w:rPr>
          <w:rFonts w:ascii="Traditional Arabic" w:hAnsi="Traditional Arabic"/>
          <w:sz w:val="32"/>
          <w:szCs w:val="32"/>
          <w:rtl/>
        </w:rPr>
        <w:t>ﺇن هذه الصيغة صّرحت بنوعي الضرر الممنوع شرعاً</w:t>
      </w:r>
      <w:r>
        <w:rPr>
          <w:rFonts w:ascii="Traditional Arabic" w:hAnsi="Traditional Arabic" w:hint="cs"/>
          <w:sz w:val="32"/>
          <w:szCs w:val="32"/>
          <w:rtl/>
        </w:rPr>
        <w:t xml:space="preserve">: </w:t>
      </w:r>
      <w:r w:rsidRPr="000A7B75">
        <w:rPr>
          <w:rFonts w:ascii="Traditional Arabic" w:hAnsi="Traditional Arabic"/>
          <w:sz w:val="32"/>
          <w:szCs w:val="32"/>
          <w:rtl/>
        </w:rPr>
        <w:t>الضرر، و</w:t>
      </w:r>
      <w:r>
        <w:rPr>
          <w:rFonts w:ascii="Traditional Arabic" w:hAnsi="Traditional Arabic"/>
          <w:sz w:val="32"/>
          <w:szCs w:val="32"/>
          <w:rtl/>
        </w:rPr>
        <w:t>الضرار</w:t>
      </w:r>
      <w:r w:rsidRPr="000A7B75">
        <w:rPr>
          <w:rFonts w:ascii="Traditional Arabic" w:hAnsi="Traditional Arabic"/>
          <w:sz w:val="32"/>
          <w:szCs w:val="32"/>
          <w:rtl/>
        </w:rPr>
        <w:t>.</w:t>
      </w:r>
    </w:p>
    <w:p w:rsidR="000D3D21" w:rsidRDefault="000D3D21" w:rsidP="00E129F3">
      <w:pPr>
        <w:numPr>
          <w:ilvl w:val="0"/>
          <w:numId w:val="333"/>
        </w:numPr>
        <w:jc w:val="left"/>
        <w:rPr>
          <w:rtl/>
        </w:rPr>
      </w:pPr>
      <w:r w:rsidRPr="00060462">
        <w:rPr>
          <w:rFonts w:hint="cs"/>
          <w:sz w:val="32"/>
          <w:szCs w:val="32"/>
          <w:rtl/>
        </w:rPr>
        <w:t>كون هذه الصيغة وجيزة</w:t>
      </w:r>
      <w:r w:rsidRPr="00060462">
        <w:rPr>
          <w:rFonts w:ascii="Traditional Arabic" w:hAnsi="Traditional Arabic"/>
          <w:sz w:val="32"/>
          <w:szCs w:val="32"/>
          <w:rtl/>
        </w:rPr>
        <w:t>ً</w:t>
      </w:r>
      <w:r w:rsidRPr="00060462">
        <w:rPr>
          <w:rFonts w:hint="cs"/>
          <w:sz w:val="32"/>
          <w:szCs w:val="32"/>
          <w:rtl/>
        </w:rPr>
        <w:t>، قليلة</w:t>
      </w:r>
      <w:r w:rsidRPr="00060462">
        <w:rPr>
          <w:rFonts w:ascii="Traditional Arabic" w:hAnsi="Traditional Arabic"/>
          <w:sz w:val="32"/>
          <w:szCs w:val="32"/>
          <w:rtl/>
        </w:rPr>
        <w:t>َ</w:t>
      </w:r>
      <w:r w:rsidRPr="00060462">
        <w:rPr>
          <w:rFonts w:hint="cs"/>
          <w:sz w:val="32"/>
          <w:szCs w:val="32"/>
          <w:rtl/>
        </w:rPr>
        <w:t xml:space="preserve"> الألفاظ، وهذا مما تمتاز به القواعد الفقهية</w:t>
      </w:r>
      <w:r w:rsidRPr="00060462">
        <w:rPr>
          <w:rFonts w:ascii="Traditional Arabic" w:hAnsi="Traditional Arabic" w:hint="cs"/>
          <w:sz w:val="32"/>
          <w:szCs w:val="32"/>
          <w:rtl/>
        </w:rPr>
        <w:t xml:space="preserve">. انظر: </w:t>
      </w:r>
      <w:r w:rsidRPr="00060462">
        <w:rPr>
          <w:rStyle w:val="af1"/>
          <w:rFonts w:ascii="Traditional Arabic" w:hAnsi="Traditional Arabic"/>
          <w:sz w:val="32"/>
          <w:szCs w:val="32"/>
          <w:vertAlign w:val="baseline"/>
          <w:rtl/>
        </w:rPr>
        <w:t>الوجيز للبورنو (23).</w:t>
      </w:r>
    </w:p>
  </w:footnote>
  <w:footnote w:id="894">
    <w:p w:rsidR="000D3D21" w:rsidRPr="00234C6A" w:rsidRDefault="000D3D21" w:rsidP="00201568">
      <w:pPr>
        <w:pStyle w:val="a7"/>
        <w:rPr>
          <w:rStyle w:val="af1"/>
          <w:rFonts w:ascii="Traditional Arabic" w:hAnsi="Traditional Arabic"/>
          <w:sz w:val="32"/>
          <w:szCs w:val="32"/>
          <w:vertAlign w:val="baseline"/>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Style w:val="af1"/>
          <w:rFonts w:ascii="Traditional Arabic" w:hAnsi="Traditional Arabic" w:hint="cs"/>
          <w:sz w:val="32"/>
          <w:szCs w:val="32"/>
          <w:vertAlign w:val="baseline"/>
          <w:rtl/>
        </w:rPr>
        <w:t xml:space="preserve"> </w:t>
      </w:r>
      <w:r>
        <w:rPr>
          <w:rStyle w:val="af1"/>
          <w:rFonts w:ascii="Traditional Arabic" w:hAnsi="Traditional Arabic"/>
          <w:sz w:val="32"/>
          <w:szCs w:val="32"/>
          <w:vertAlign w:val="baseline"/>
          <w:rtl/>
        </w:rPr>
        <w:t>ال</w:t>
      </w:r>
      <w:r>
        <w:rPr>
          <w:rStyle w:val="af1"/>
          <w:rFonts w:ascii="Traditional Arabic" w:hAnsi="Traditional Arabic" w:hint="cs"/>
          <w:sz w:val="32"/>
          <w:szCs w:val="32"/>
          <w:vertAlign w:val="baseline"/>
          <w:rtl/>
        </w:rPr>
        <w:t>شرح الممتع</w:t>
      </w:r>
      <w:r w:rsidRPr="00234C6A">
        <w:rPr>
          <w:rStyle w:val="af1"/>
          <w:rFonts w:ascii="Traditional Arabic" w:hAnsi="Traditional Arabic"/>
          <w:sz w:val="32"/>
          <w:szCs w:val="32"/>
          <w:vertAlign w:val="baseline"/>
          <w:rtl/>
        </w:rPr>
        <w:t xml:space="preserve"> (9/262).</w:t>
      </w:r>
    </w:p>
  </w:footnote>
  <w:footnote w:id="895">
    <w:p w:rsidR="000D3D21" w:rsidRPr="00234C6A" w:rsidRDefault="000D3D21" w:rsidP="00201568">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Fonts w:ascii="Traditional Arabic" w:hAnsi="Traditional Arabic"/>
          <w:sz w:val="32"/>
          <w:szCs w:val="32"/>
        </w:rPr>
        <w:t>)</w:t>
      </w:r>
      <w:r>
        <w:rPr>
          <w:rFonts w:ascii="Traditional Arabic" w:hAnsi="Traditional Arabic"/>
          <w:sz w:val="32"/>
          <w:szCs w:val="32"/>
          <w:rtl/>
        </w:rPr>
        <w:t>) انظر</w:t>
      </w:r>
      <w:r>
        <w:rPr>
          <w:rFonts w:ascii="Traditional Arabic" w:hAnsi="Traditional Arabic" w:hint="cs"/>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مرجع السابق</w:t>
      </w:r>
      <w:r w:rsidRPr="00234C6A">
        <w:rPr>
          <w:rFonts w:ascii="Traditional Arabic" w:hAnsi="Traditional Arabic"/>
          <w:sz w:val="32"/>
          <w:szCs w:val="32"/>
          <w:rtl/>
        </w:rPr>
        <w:t xml:space="preserve"> (9/264)، و(10/153)، وفتح ذي الجلال واﻹكرام (4/268</w:t>
      </w:r>
      <w:r>
        <w:rPr>
          <w:rFonts w:ascii="Traditional Arabic" w:hAnsi="Traditional Arabic"/>
          <w:sz w:val="32"/>
          <w:szCs w:val="32"/>
          <w:rtl/>
        </w:rPr>
        <w:t>)</w:t>
      </w:r>
      <w:r>
        <w:rPr>
          <w:rFonts w:ascii="Traditional Arabic" w:hAnsi="Traditional Arabic" w:hint="cs"/>
          <w:sz w:val="32"/>
          <w:szCs w:val="32"/>
          <w:rtl/>
        </w:rPr>
        <w:t>.</w:t>
      </w:r>
    </w:p>
  </w:footnote>
  <w:footnote w:id="896">
    <w:p w:rsidR="000D3D21" w:rsidRPr="00234C6A" w:rsidRDefault="000D3D21" w:rsidP="00031026">
      <w:pPr>
        <w:pStyle w:val="a7"/>
        <w:rPr>
          <w:rStyle w:val="af1"/>
          <w:rFonts w:ascii="Traditional Arabic" w:hAnsi="Traditional Arabic"/>
          <w:sz w:val="32"/>
          <w:szCs w:val="32"/>
          <w:vertAlign w:val="baseline"/>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 الشرح الممتع (9/354).</w:t>
      </w:r>
    </w:p>
  </w:footnote>
  <w:footnote w:id="897">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Style w:val="af1"/>
          <w:rFonts w:ascii="Traditional Arabic" w:hAnsi="Traditional Arabic" w:hint="cs"/>
          <w:sz w:val="32"/>
          <w:szCs w:val="32"/>
          <w:vertAlign w:val="baseline"/>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234C6A">
        <w:rPr>
          <w:rFonts w:ascii="Traditional Arabic" w:hAnsi="Traditional Arabic"/>
          <w:sz w:val="32"/>
          <w:szCs w:val="32"/>
          <w:rtl/>
        </w:rPr>
        <w:t xml:space="preserve"> (10/350).</w:t>
      </w:r>
    </w:p>
  </w:footnote>
  <w:footnote w:id="898">
    <w:p w:rsidR="000D3D21" w:rsidRPr="00234C6A" w:rsidRDefault="000D3D21" w:rsidP="00F665A6">
      <w:pPr>
        <w:pStyle w:val="a7"/>
        <w:rPr>
          <w:rStyle w:val="af1"/>
          <w:rFonts w:ascii="Traditional Arabic" w:hAnsi="Traditional Arabic"/>
          <w:sz w:val="32"/>
          <w:szCs w:val="32"/>
          <w:vertAlign w:val="baseline"/>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Style w:val="af1"/>
          <w:rFonts w:ascii="Traditional Arabic" w:hAnsi="Traditional Arabic" w:hint="cs"/>
          <w:sz w:val="32"/>
          <w:szCs w:val="32"/>
          <w:vertAlign w:val="baseline"/>
          <w:rtl/>
        </w:rPr>
        <w:t xml:space="preserve"> </w:t>
      </w:r>
      <w:r w:rsidRPr="00234C6A">
        <w:rPr>
          <w:rStyle w:val="af1"/>
          <w:rFonts w:ascii="Traditional Arabic" w:hAnsi="Traditional Arabic"/>
          <w:sz w:val="32"/>
          <w:szCs w:val="32"/>
          <w:vertAlign w:val="baseline"/>
          <w:rtl/>
        </w:rPr>
        <w:t>شرح منظومة أصول الفقه وقواعده (55).</w:t>
      </w:r>
    </w:p>
  </w:footnote>
  <w:footnote w:id="899">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المرجع السابق (56).</w:t>
      </w:r>
    </w:p>
  </w:footnote>
  <w:footnote w:id="900">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المرجع السابق(59)</w:t>
      </w:r>
      <w:r>
        <w:rPr>
          <w:rFonts w:ascii="Traditional Arabic" w:hAnsi="Traditional Arabic" w:hint="cs"/>
          <w:sz w:val="32"/>
          <w:szCs w:val="32"/>
          <w:rtl/>
        </w:rPr>
        <w:t>، وانظر (60، 61)</w:t>
      </w:r>
      <w:r w:rsidRPr="00234C6A">
        <w:rPr>
          <w:rFonts w:ascii="Traditional Arabic" w:hAnsi="Traditional Arabic"/>
          <w:sz w:val="32"/>
          <w:szCs w:val="32"/>
          <w:rtl/>
        </w:rPr>
        <w:t xml:space="preserve">. </w:t>
      </w:r>
    </w:p>
  </w:footnote>
  <w:footnote w:id="901">
    <w:p w:rsidR="000D3D21" w:rsidRPr="00234C6A" w:rsidRDefault="000D3D21" w:rsidP="0003102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المرجع السابق (53، 55</w:t>
      </w:r>
      <w:r w:rsidRPr="00234C6A">
        <w:rPr>
          <w:rFonts w:ascii="Traditional Arabic" w:hAnsi="Traditional Arabic"/>
          <w:sz w:val="32"/>
          <w:szCs w:val="32"/>
          <w:rtl/>
        </w:rPr>
        <w:t>).</w:t>
      </w:r>
    </w:p>
  </w:footnote>
  <w:footnote w:id="902">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مجموع فتاوى ورسائل الشيخ العثيمين (19/259).</w:t>
      </w:r>
    </w:p>
  </w:footnote>
  <w:footnote w:id="903">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شرح الأربعين النووية</w:t>
      </w:r>
      <w:r w:rsidRPr="00234C6A">
        <w:rPr>
          <w:rFonts w:ascii="Traditional Arabic" w:hAnsi="Traditional Arabic"/>
          <w:sz w:val="32"/>
          <w:szCs w:val="32"/>
          <w:rtl/>
        </w:rPr>
        <w:t xml:space="preserve"> (354)</w:t>
      </w:r>
      <w:r>
        <w:rPr>
          <w:rFonts w:ascii="Traditional Arabic" w:hAnsi="Traditional Arabic" w:hint="cs"/>
          <w:sz w:val="32"/>
          <w:szCs w:val="32"/>
          <w:rtl/>
        </w:rPr>
        <w:t>، وانظر (355)</w:t>
      </w:r>
      <w:r w:rsidRPr="00234C6A">
        <w:rPr>
          <w:rFonts w:ascii="Traditional Arabic" w:hAnsi="Traditional Arabic"/>
          <w:sz w:val="32"/>
          <w:szCs w:val="32"/>
          <w:rtl/>
        </w:rPr>
        <w:t>.</w:t>
      </w:r>
    </w:p>
  </w:footnote>
  <w:footnote w:id="904">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فتح ذي الجلال واﻹكرام (4/265).</w:t>
      </w:r>
    </w:p>
  </w:footnote>
  <w:footnote w:id="905">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الأشباه والنظائر لابن نجيم (94)، ومجلة الأحكام العدلية (المادة:20)، والموافقات (2/352)، والأشباه والنظائر ل</w:t>
      </w:r>
      <w:r>
        <w:rPr>
          <w:rFonts w:ascii="Traditional Arabic" w:hAnsi="Traditional Arabic" w:hint="cs"/>
          <w:sz w:val="32"/>
          <w:szCs w:val="32"/>
          <w:rtl/>
        </w:rPr>
        <w:t>ابن ا</w:t>
      </w:r>
      <w:r w:rsidRPr="00234C6A">
        <w:rPr>
          <w:rFonts w:ascii="Traditional Arabic" w:hAnsi="Traditional Arabic"/>
          <w:sz w:val="32"/>
          <w:szCs w:val="32"/>
          <w:rtl/>
        </w:rPr>
        <w:t>لسبكي (1/41)، والأشباه والنظائر للسيوطي (83).</w:t>
      </w:r>
    </w:p>
  </w:footnote>
  <w:footnote w:id="906">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ال</w:t>
      </w:r>
      <w:r w:rsidRPr="00234C6A">
        <w:rPr>
          <w:rFonts w:ascii="Traditional Arabic" w:hAnsi="Traditional Arabic"/>
          <w:sz w:val="32"/>
          <w:szCs w:val="32"/>
          <w:rtl/>
        </w:rPr>
        <w:t>ق</w:t>
      </w:r>
      <w:r>
        <w:rPr>
          <w:rFonts w:ascii="Traditional Arabic" w:hAnsi="Traditional Arabic"/>
          <w:sz w:val="32"/>
          <w:szCs w:val="32"/>
          <w:rtl/>
        </w:rPr>
        <w:t xml:space="preserve">واعد </w:t>
      </w:r>
      <w:r>
        <w:rPr>
          <w:rFonts w:ascii="Traditional Arabic" w:hAnsi="Traditional Arabic" w:hint="cs"/>
          <w:sz w:val="32"/>
          <w:szCs w:val="32"/>
          <w:rtl/>
        </w:rPr>
        <w:t>ل</w:t>
      </w:r>
      <w:r w:rsidRPr="00234C6A">
        <w:rPr>
          <w:rFonts w:ascii="Traditional Arabic" w:hAnsi="Traditional Arabic"/>
          <w:sz w:val="32"/>
          <w:szCs w:val="32"/>
          <w:rtl/>
        </w:rPr>
        <w:t>لحصني (1/333)</w:t>
      </w:r>
      <w:r>
        <w:rPr>
          <w:rFonts w:ascii="Traditional Arabic" w:hAnsi="Traditional Arabic" w:hint="cs"/>
          <w:sz w:val="32"/>
          <w:szCs w:val="32"/>
          <w:rtl/>
        </w:rPr>
        <w:t>، وانظر المجموع المذهب (1/375)</w:t>
      </w:r>
      <w:r w:rsidRPr="00234C6A">
        <w:rPr>
          <w:rFonts w:ascii="Traditional Arabic" w:hAnsi="Traditional Arabic"/>
          <w:sz w:val="32"/>
          <w:szCs w:val="32"/>
          <w:rtl/>
        </w:rPr>
        <w:t>.</w:t>
      </w:r>
    </w:p>
  </w:footnote>
  <w:footnote w:id="907">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 xml:space="preserve">مجلة </w:t>
      </w:r>
      <w:r>
        <w:rPr>
          <w:rFonts w:ascii="Traditional Arabic" w:hAnsi="Traditional Arabic" w:hint="cs"/>
          <w:sz w:val="32"/>
          <w:szCs w:val="32"/>
          <w:rtl/>
        </w:rPr>
        <w:t>الأحكام العدلية (</w:t>
      </w:r>
      <w:r>
        <w:rPr>
          <w:rFonts w:ascii="Traditional Arabic" w:hAnsi="Traditional Arabic"/>
          <w:sz w:val="32"/>
          <w:szCs w:val="32"/>
          <w:rtl/>
        </w:rPr>
        <w:t>المادة</w:t>
      </w:r>
      <w:r>
        <w:rPr>
          <w:rFonts w:ascii="Traditional Arabic" w:hAnsi="Traditional Arabic" w:hint="cs"/>
          <w:sz w:val="32"/>
          <w:szCs w:val="32"/>
          <w:rtl/>
        </w:rPr>
        <w:t xml:space="preserve">: </w:t>
      </w:r>
      <w:r w:rsidRPr="00234C6A">
        <w:rPr>
          <w:rFonts w:ascii="Traditional Arabic" w:hAnsi="Traditional Arabic"/>
          <w:sz w:val="32"/>
          <w:szCs w:val="32"/>
          <w:rtl/>
        </w:rPr>
        <w:t xml:space="preserve">19)، </w:t>
      </w:r>
      <w:r>
        <w:rPr>
          <w:rFonts w:ascii="Traditional Arabic" w:hAnsi="Traditional Arabic"/>
          <w:sz w:val="32"/>
          <w:szCs w:val="32"/>
          <w:rtl/>
        </w:rPr>
        <w:t>وقاعدة العقود لابن تيمية</w:t>
      </w:r>
      <w:r>
        <w:rPr>
          <w:rFonts w:ascii="Traditional Arabic" w:hAnsi="Traditional Arabic" w:hint="cs"/>
          <w:sz w:val="32"/>
          <w:szCs w:val="32"/>
          <w:rtl/>
        </w:rPr>
        <w:t xml:space="preserve"> </w:t>
      </w:r>
      <w:r>
        <w:rPr>
          <w:rFonts w:ascii="Traditional Arabic" w:hAnsi="Traditional Arabic"/>
          <w:sz w:val="32"/>
          <w:szCs w:val="32"/>
          <w:rtl/>
        </w:rPr>
        <w:t>(305)،</w:t>
      </w:r>
      <w:r>
        <w:rPr>
          <w:rFonts w:ascii="Traditional Arabic" w:hAnsi="Traditional Arabic" w:hint="cs"/>
          <w:sz w:val="32"/>
          <w:szCs w:val="32"/>
          <w:rtl/>
        </w:rPr>
        <w:t xml:space="preserve"> </w:t>
      </w:r>
      <w:r>
        <w:rPr>
          <w:rFonts w:ascii="Traditional Arabic" w:hAnsi="Traditional Arabic"/>
          <w:sz w:val="32"/>
          <w:szCs w:val="32"/>
          <w:rtl/>
        </w:rPr>
        <w:t>و</w:t>
      </w:r>
      <w:r w:rsidRPr="00234C6A">
        <w:rPr>
          <w:rFonts w:ascii="Traditional Arabic" w:hAnsi="Traditional Arabic"/>
          <w:sz w:val="32"/>
          <w:szCs w:val="32"/>
          <w:rtl/>
        </w:rPr>
        <w:t>القواعد والأصول الجامعة (63)، والوجيز للبورنو</w:t>
      </w:r>
      <w:r>
        <w:rPr>
          <w:rFonts w:ascii="Traditional Arabic" w:hAnsi="Traditional Arabic" w:hint="cs"/>
          <w:sz w:val="32"/>
          <w:szCs w:val="32"/>
          <w:rtl/>
        </w:rPr>
        <w:t xml:space="preserve"> </w:t>
      </w:r>
      <w:r w:rsidRPr="00234C6A">
        <w:rPr>
          <w:rFonts w:ascii="Traditional Arabic" w:hAnsi="Traditional Arabic"/>
          <w:sz w:val="32"/>
          <w:szCs w:val="32"/>
          <w:rtl/>
        </w:rPr>
        <w:t>(251).</w:t>
      </w:r>
    </w:p>
  </w:footnote>
  <w:footnote w:id="908">
    <w:p w:rsidR="000D3D21" w:rsidRPr="00234C6A" w:rsidRDefault="000D3D21" w:rsidP="00F665A6">
      <w:pPr>
        <w:pStyle w:val="a7"/>
        <w:rPr>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مقاييس اللغة (3/360).</w:t>
      </w:r>
    </w:p>
  </w:footnote>
  <w:footnote w:id="909">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Fonts w:ascii="Traditional Arabic" w:hAnsi="Traditional Arabic"/>
          <w:sz w:val="32"/>
          <w:szCs w:val="32"/>
        </w:rPr>
        <w:t>)</w:t>
      </w:r>
      <w:r w:rsidRPr="00234C6A">
        <w:rPr>
          <w:rFonts w:ascii="Traditional Arabic" w:hAnsi="Traditional Arabic"/>
          <w:sz w:val="32"/>
          <w:szCs w:val="32"/>
          <w:rtl/>
        </w:rPr>
        <w:t xml:space="preserve">) </w:t>
      </w:r>
      <w:r>
        <w:rPr>
          <w:rFonts w:ascii="Traditional Arabic" w:hAnsi="Traditional Arabic" w:hint="cs"/>
          <w:sz w:val="32"/>
          <w:szCs w:val="32"/>
          <w:rtl/>
        </w:rPr>
        <w:t xml:space="preserve">انظر:الصحاح </w:t>
      </w:r>
      <w:r w:rsidRPr="00234C6A">
        <w:rPr>
          <w:rFonts w:ascii="Traditional Arabic" w:hAnsi="Traditional Arabic" w:hint="cs"/>
          <w:sz w:val="32"/>
          <w:szCs w:val="32"/>
          <w:rtl/>
        </w:rPr>
        <w:t>(2/719)، ولسان العرب (8/45).</w:t>
      </w:r>
    </w:p>
  </w:footnote>
  <w:footnote w:id="910">
    <w:p w:rsidR="000D3D21" w:rsidRPr="00E57D51" w:rsidRDefault="000D3D21" w:rsidP="00F665A6">
      <w:pPr>
        <w:pStyle w:val="a7"/>
        <w:rPr>
          <w:sz w:val="32"/>
          <w:szCs w:val="32"/>
          <w:rtl/>
        </w:rPr>
      </w:pPr>
      <w:r w:rsidRPr="00E57D51">
        <w:rPr>
          <w:rStyle w:val="af1"/>
          <w:rFonts w:ascii="Traditional Arabic" w:hAnsi="Traditional Arabic"/>
          <w:sz w:val="32"/>
          <w:szCs w:val="32"/>
          <w:vertAlign w:val="baseline"/>
        </w:rPr>
        <w:footnoteRef/>
      </w:r>
      <w:r w:rsidRPr="00E57D51">
        <w:rPr>
          <w:rStyle w:val="af1"/>
          <w:rFonts w:ascii="Traditional Arabic" w:hAnsi="Traditional Arabic"/>
          <w:sz w:val="32"/>
          <w:szCs w:val="32"/>
          <w:vertAlign w:val="baseline"/>
        </w:rPr>
        <w:t>)</w:t>
      </w:r>
      <w:r w:rsidRPr="00E57D51">
        <w:rPr>
          <w:rStyle w:val="af1"/>
          <w:rFonts w:ascii="Traditional Arabic" w:hAnsi="Traditional Arabic" w:hint="cs"/>
          <w:sz w:val="32"/>
          <w:szCs w:val="32"/>
          <w:vertAlign w:val="baseline"/>
          <w:rtl/>
        </w:rPr>
        <w:t>)</w:t>
      </w:r>
      <w:r w:rsidRPr="00E57D51">
        <w:rPr>
          <w:rFonts w:hint="cs"/>
          <w:sz w:val="32"/>
          <w:szCs w:val="32"/>
          <w:rtl/>
        </w:rPr>
        <w:t xml:space="preserve"> انظر: التمهيد لابن عبد البر (</w:t>
      </w:r>
      <w:r>
        <w:rPr>
          <w:rFonts w:hint="cs"/>
          <w:sz w:val="32"/>
          <w:szCs w:val="32"/>
          <w:rtl/>
        </w:rPr>
        <w:t>1</w:t>
      </w:r>
      <w:r w:rsidRPr="00E57D51">
        <w:rPr>
          <w:rFonts w:hint="cs"/>
          <w:sz w:val="32"/>
          <w:szCs w:val="32"/>
          <w:rtl/>
        </w:rPr>
        <w:t>8/414-416)، والمنتقى شرح الموطأ لأبي الوليد للباجي (7/403)،</w:t>
      </w:r>
    </w:p>
    <w:p w:rsidR="000D3D21" w:rsidRPr="00E57D51" w:rsidRDefault="000D3D21" w:rsidP="00F665A6">
      <w:pPr>
        <w:pStyle w:val="a7"/>
        <w:rPr>
          <w:sz w:val="32"/>
          <w:szCs w:val="32"/>
          <w:rtl/>
        </w:rPr>
      </w:pPr>
      <w:r w:rsidRPr="00E57D51">
        <w:rPr>
          <w:rFonts w:hint="cs"/>
          <w:sz w:val="32"/>
          <w:szCs w:val="32"/>
          <w:rtl/>
        </w:rPr>
        <w:t xml:space="preserve">     والنهاية في غريب الحديث والأثر (3/81)، وشرح الأربعين النووية لابن دقيق العيد (113-114)، وجام</w:t>
      </w:r>
      <w:r>
        <w:rPr>
          <w:rFonts w:hint="cs"/>
          <w:sz w:val="32"/>
          <w:szCs w:val="32"/>
          <w:rtl/>
        </w:rPr>
        <w:t>ع العلوم والحكم</w:t>
      </w:r>
      <w:r w:rsidRPr="00E57D51">
        <w:rPr>
          <w:rFonts w:hint="cs"/>
          <w:sz w:val="32"/>
          <w:szCs w:val="32"/>
          <w:rtl/>
        </w:rPr>
        <w:t xml:space="preserve"> (572).</w:t>
      </w:r>
    </w:p>
  </w:footnote>
  <w:footnote w:id="911">
    <w:p w:rsidR="000D3D21" w:rsidRPr="002C3DDC" w:rsidRDefault="000D3D21" w:rsidP="00F665A6">
      <w:pPr>
        <w:pStyle w:val="a7"/>
        <w:rPr>
          <w:rtl/>
        </w:rPr>
      </w:pPr>
      <w:r w:rsidRPr="00E57D51">
        <w:rPr>
          <w:rStyle w:val="af1"/>
          <w:rFonts w:ascii="Traditional Arabic" w:hAnsi="Traditional Arabic"/>
          <w:sz w:val="32"/>
          <w:szCs w:val="32"/>
          <w:vertAlign w:val="baseline"/>
        </w:rPr>
        <w:footnoteRef/>
      </w:r>
      <w:r w:rsidRPr="00E57D51">
        <w:rPr>
          <w:rStyle w:val="af1"/>
          <w:rFonts w:ascii="Traditional Arabic" w:hAnsi="Traditional Arabic"/>
          <w:sz w:val="32"/>
          <w:szCs w:val="32"/>
          <w:vertAlign w:val="baseline"/>
        </w:rPr>
        <w:t>)</w:t>
      </w:r>
      <w:r w:rsidRPr="00E57D51">
        <w:rPr>
          <w:rStyle w:val="af1"/>
          <w:rFonts w:ascii="Traditional Arabic" w:hAnsi="Traditional Arabic"/>
          <w:sz w:val="32"/>
          <w:szCs w:val="32"/>
          <w:vertAlign w:val="baseline"/>
          <w:rtl/>
        </w:rPr>
        <w:t xml:space="preserve">) </w:t>
      </w:r>
      <w:r w:rsidRPr="00E57D51">
        <w:rPr>
          <w:rFonts w:hint="cs"/>
          <w:sz w:val="32"/>
          <w:szCs w:val="32"/>
          <w:rtl/>
        </w:rPr>
        <w:t>انظر: فتح ذي الجلال والإكرام (4/266)، وشرح الأربعين النووية (253)، والتعليق على القواعد ولأصول الجامعة (124).</w:t>
      </w:r>
    </w:p>
  </w:footnote>
  <w:footnote w:id="912">
    <w:p w:rsidR="000D3D21" w:rsidRPr="00E57D51" w:rsidRDefault="000D3D21" w:rsidP="00F665A6">
      <w:pPr>
        <w:pStyle w:val="a7"/>
        <w:rPr>
          <w:sz w:val="32"/>
          <w:szCs w:val="32"/>
          <w:rtl/>
        </w:rPr>
      </w:pPr>
      <w:r w:rsidRPr="00E57D51">
        <w:rPr>
          <w:rStyle w:val="af1"/>
          <w:rFonts w:ascii="Traditional Arabic" w:hAnsi="Traditional Arabic"/>
          <w:sz w:val="32"/>
          <w:szCs w:val="32"/>
          <w:vertAlign w:val="baseline"/>
        </w:rPr>
        <w:footnoteRef/>
      </w:r>
      <w:r w:rsidRPr="00E57D51">
        <w:rPr>
          <w:rStyle w:val="af1"/>
          <w:rFonts w:ascii="Traditional Arabic" w:hAnsi="Traditional Arabic"/>
          <w:sz w:val="32"/>
          <w:szCs w:val="32"/>
          <w:vertAlign w:val="baseline"/>
        </w:rPr>
        <w:t>)</w:t>
      </w:r>
      <w:r w:rsidRPr="00E57D51">
        <w:rPr>
          <w:rStyle w:val="af1"/>
          <w:rFonts w:ascii="Traditional Arabic" w:hAnsi="Traditional Arabic" w:hint="cs"/>
          <w:sz w:val="32"/>
          <w:szCs w:val="32"/>
          <w:vertAlign w:val="baseline"/>
          <w:rtl/>
        </w:rPr>
        <w:t>)</w:t>
      </w:r>
      <w:r w:rsidRPr="00E57D51">
        <w:rPr>
          <w:rFonts w:hint="cs"/>
          <w:sz w:val="32"/>
          <w:szCs w:val="32"/>
          <w:rtl/>
        </w:rPr>
        <w:t xml:space="preserve"> فتاوى </w:t>
      </w:r>
      <w:r>
        <w:rPr>
          <w:rFonts w:hint="cs"/>
          <w:sz w:val="32"/>
          <w:szCs w:val="32"/>
          <w:rtl/>
        </w:rPr>
        <w:t xml:space="preserve">نور على الدرب بتصرف يسير </w:t>
      </w:r>
      <w:r>
        <w:rPr>
          <w:sz w:val="32"/>
          <w:szCs w:val="32"/>
        </w:rPr>
        <w:t>cd</w:t>
      </w:r>
      <w:r w:rsidRPr="00E57D51">
        <w:rPr>
          <w:rFonts w:hint="cs"/>
          <w:sz w:val="32"/>
          <w:szCs w:val="32"/>
          <w:rtl/>
        </w:rPr>
        <w:t>.</w:t>
      </w:r>
    </w:p>
  </w:footnote>
  <w:footnote w:id="913">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 xml:space="preserve">جامع </w:t>
      </w:r>
      <w:r>
        <w:rPr>
          <w:rFonts w:ascii="Traditional Arabic" w:hAnsi="Traditional Arabic"/>
          <w:sz w:val="32"/>
          <w:szCs w:val="32"/>
          <w:rtl/>
        </w:rPr>
        <w:t xml:space="preserve">الرسائل (6/36) </w:t>
      </w:r>
      <w:r>
        <w:rPr>
          <w:rFonts w:ascii="Traditional Arabic" w:hAnsi="Traditional Arabic" w:hint="cs"/>
          <w:sz w:val="32"/>
          <w:szCs w:val="32"/>
          <w:rtl/>
        </w:rPr>
        <w:t>بتصرف</w:t>
      </w:r>
      <w:r w:rsidRPr="00234C6A">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و</w:t>
      </w:r>
      <w:r w:rsidRPr="00234C6A">
        <w:rPr>
          <w:rFonts w:ascii="Traditional Arabic" w:hAnsi="Traditional Arabic"/>
          <w:sz w:val="32"/>
          <w:szCs w:val="32"/>
          <w:rtl/>
        </w:rPr>
        <w:t>انظر الأخبار العلمية لاختيارات شيخ اﻹسلام ابن تيمية للبعلي(156)، وجامع العلوم والحكم (573،576)، وطريق الوصول ﺇلى العلم المأمول لعبد الرحمن السعدي (104).</w:t>
      </w:r>
    </w:p>
  </w:footnote>
  <w:footnote w:id="914">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انظر:</w:t>
      </w:r>
      <w:r>
        <w:rPr>
          <w:rFonts w:ascii="Traditional Arabic" w:hAnsi="Traditional Arabic" w:hint="cs"/>
          <w:sz w:val="32"/>
          <w:szCs w:val="32"/>
          <w:rtl/>
        </w:rPr>
        <w:t xml:space="preserve"> الشرح الممتع (9/129)، و</w:t>
      </w:r>
      <w:r w:rsidRPr="00234C6A">
        <w:rPr>
          <w:rFonts w:ascii="Traditional Arabic" w:hAnsi="Traditional Arabic"/>
          <w:sz w:val="32"/>
          <w:szCs w:val="32"/>
          <w:rtl/>
        </w:rPr>
        <w:t>فيض القدير للمناوي (6/559)، ونيل الأوطار للشوكاني</w:t>
      </w:r>
      <w:r>
        <w:rPr>
          <w:rFonts w:ascii="Traditional Arabic" w:hAnsi="Traditional Arabic"/>
          <w:sz w:val="32"/>
          <w:szCs w:val="32"/>
          <w:rtl/>
        </w:rPr>
        <w:t xml:space="preserve"> (10/359)</w:t>
      </w:r>
      <w:r w:rsidRPr="00234C6A">
        <w:rPr>
          <w:rFonts w:ascii="Traditional Arabic" w:hAnsi="Traditional Arabic"/>
          <w:sz w:val="32"/>
          <w:szCs w:val="32"/>
          <w:rtl/>
        </w:rPr>
        <w:t xml:space="preserve">. وانظر في ﺇفادة النكرة في سياق النفي العموم: </w:t>
      </w:r>
      <w:r>
        <w:rPr>
          <w:rFonts w:ascii="Traditional Arabic" w:hAnsi="Traditional Arabic" w:hint="cs"/>
          <w:sz w:val="32"/>
          <w:szCs w:val="32"/>
          <w:rtl/>
        </w:rPr>
        <w:t>تيسير التحرير لأمير بادشاه (1/197، 198)، والبحر المحيط للزركشي (3/110-114)، و</w:t>
      </w:r>
      <w:r w:rsidRPr="00234C6A">
        <w:rPr>
          <w:rFonts w:ascii="Traditional Arabic" w:hAnsi="Traditional Arabic"/>
          <w:sz w:val="32"/>
          <w:szCs w:val="32"/>
          <w:rtl/>
        </w:rPr>
        <w:t>رو</w:t>
      </w:r>
      <w:r>
        <w:rPr>
          <w:rFonts w:ascii="Traditional Arabic" w:hAnsi="Traditional Arabic"/>
          <w:sz w:val="32"/>
          <w:szCs w:val="32"/>
          <w:rtl/>
        </w:rPr>
        <w:t>ضة الناظر لابن قدامة المقدسي (2</w:t>
      </w:r>
      <w:r>
        <w:rPr>
          <w:rFonts w:ascii="Traditional Arabic" w:hAnsi="Traditional Arabic" w:hint="cs"/>
          <w:sz w:val="32"/>
          <w:szCs w:val="32"/>
          <w:rtl/>
        </w:rPr>
        <w:t>/668، 683-685)، وشرح الكوكب المنير (3/136-137)</w:t>
      </w:r>
      <w:r w:rsidRPr="00234C6A">
        <w:rPr>
          <w:rFonts w:ascii="Traditional Arabic" w:hAnsi="Traditional Arabic"/>
          <w:sz w:val="32"/>
          <w:szCs w:val="32"/>
          <w:rtl/>
        </w:rPr>
        <w:t>.</w:t>
      </w:r>
    </w:p>
  </w:footnote>
  <w:footnote w:id="915">
    <w:p w:rsidR="000D3D21" w:rsidRPr="00234C6A" w:rsidRDefault="000D3D21" w:rsidP="00D1746D">
      <w:pPr>
        <w:pStyle w:val="a7"/>
        <w:rPr>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Pr>
          <w:rFonts w:hint="cs"/>
          <w:sz w:val="32"/>
          <w:szCs w:val="32"/>
          <w:rtl/>
        </w:rPr>
        <w:t xml:space="preserve"> </w:t>
      </w:r>
      <w:r w:rsidRPr="00234C6A">
        <w:rPr>
          <w:rFonts w:hint="cs"/>
          <w:sz w:val="32"/>
          <w:szCs w:val="32"/>
          <w:rtl/>
        </w:rPr>
        <w:t>انظر:الأشباه والنظائر لابن نجيم (94)، والمجموع المذهب (2/375)، والأشباه والنظائر للسيوطي (84)، والقواعد والضوابط الفقهية المتضمنة للتيسير (1/279).</w:t>
      </w:r>
    </w:p>
  </w:footnote>
  <w:footnote w:id="916">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sidRPr="00234C6A">
        <w:rPr>
          <w:rFonts w:ascii="Traditional Arabic" w:hAnsi="Traditional Arabic"/>
          <w:sz w:val="32"/>
          <w:szCs w:val="32"/>
          <w:rtl/>
        </w:rPr>
        <w:t xml:space="preserve"> وذلك بأن يكون الشيء ضارّا لشخص، غير ضار لآخر كالتمر مثَلا، يضر المصاب بمرض السكر، ولا يضر الآخر الذي لم يُصَبْ به.</w:t>
      </w:r>
      <w:r>
        <w:rPr>
          <w:rFonts w:ascii="Traditional Arabic" w:hAnsi="Traditional Arabic" w:hint="cs"/>
          <w:sz w:val="32"/>
          <w:szCs w:val="32"/>
          <w:rtl/>
        </w:rPr>
        <w:t xml:space="preserve"> </w:t>
      </w:r>
      <w:r w:rsidRPr="00234C6A">
        <w:rPr>
          <w:rFonts w:ascii="Traditional Arabic" w:hAnsi="Traditional Arabic"/>
          <w:sz w:val="32"/>
          <w:szCs w:val="32"/>
          <w:rtl/>
        </w:rPr>
        <w:t xml:space="preserve">انظر شرح منظومة أصول الفقه وقواعده (60). </w:t>
      </w:r>
    </w:p>
  </w:footnote>
  <w:footnote w:id="917">
    <w:p w:rsidR="000D3D21"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Fonts w:ascii="Traditional Arabic" w:hAnsi="Traditional Arabic"/>
          <w:sz w:val="32"/>
          <w:szCs w:val="32"/>
        </w:rPr>
        <w:t>)</w:t>
      </w:r>
      <w:r w:rsidRPr="00234C6A">
        <w:rPr>
          <w:rFonts w:ascii="Traditional Arabic" w:hAnsi="Traditional Arabic"/>
          <w:sz w:val="32"/>
          <w:szCs w:val="32"/>
          <w:rtl/>
        </w:rPr>
        <w:t>) انظر: شرح الأربعين النووية (253،254)، وفتح ذي الجلال واﻹكرام (4/267)، وشرح منظومة أصول الفقه وقواعده (53-55) و(59-6</w:t>
      </w:r>
      <w:r>
        <w:rPr>
          <w:rFonts w:ascii="Traditional Arabic" w:hAnsi="Traditional Arabic"/>
          <w:sz w:val="32"/>
          <w:szCs w:val="32"/>
          <w:rtl/>
        </w:rPr>
        <w:t xml:space="preserve">1)، وفتاوى نور على الدرب </w:t>
      </w:r>
      <w:r>
        <w:rPr>
          <w:rFonts w:ascii="Traditional Arabic" w:hAnsi="Traditional Arabic"/>
          <w:sz w:val="32"/>
          <w:szCs w:val="32"/>
        </w:rPr>
        <w:t>cd</w:t>
      </w:r>
      <w:r w:rsidRPr="00234C6A">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و</w:t>
      </w:r>
      <w:r w:rsidRPr="00234C6A">
        <w:rPr>
          <w:rFonts w:ascii="Traditional Arabic" w:hAnsi="Traditional Arabic"/>
          <w:sz w:val="32"/>
          <w:szCs w:val="32"/>
          <w:rtl/>
        </w:rPr>
        <w:t>انظر في معنى القاعدة عند علماء القواعد:</w:t>
      </w:r>
      <w:r>
        <w:rPr>
          <w:rFonts w:ascii="Traditional Arabic" w:hAnsi="Traditional Arabic" w:hint="cs"/>
          <w:sz w:val="32"/>
          <w:szCs w:val="32"/>
          <w:rtl/>
        </w:rPr>
        <w:t xml:space="preserve"> </w:t>
      </w:r>
      <w:r w:rsidRPr="00234C6A">
        <w:rPr>
          <w:rFonts w:ascii="Traditional Arabic" w:hAnsi="Traditional Arabic"/>
          <w:sz w:val="32"/>
          <w:szCs w:val="32"/>
          <w:rtl/>
        </w:rPr>
        <w:t>شرح المجلة للأتاسي (1/52)، وشرح القواعد الفقهية لأحمد الزرقا (165)، والمدخل الفقهي العام لمصطفى أحمد الزرقا (2/990)، والقواعد والأصول الجامعة (63).</w:t>
      </w:r>
    </w:p>
    <w:p w:rsidR="000D3D21" w:rsidRPr="005D0A27" w:rsidRDefault="000D3D21" w:rsidP="00FD2A4D">
      <w:pPr>
        <w:pStyle w:val="a7"/>
        <w:rPr>
          <w:rFonts w:ascii="Traditional Arabic" w:hAnsi="Traditional Arabic"/>
          <w:sz w:val="32"/>
          <w:szCs w:val="32"/>
          <w:rtl/>
        </w:rPr>
      </w:pPr>
    </w:p>
  </w:footnote>
  <w:footnote w:id="918">
    <w:p w:rsidR="000D3D21" w:rsidRPr="00234C6A" w:rsidRDefault="000D3D21" w:rsidP="00F665A6">
      <w:pPr>
        <w:pStyle w:val="a7"/>
        <w:rPr>
          <w:sz w:val="32"/>
          <w:szCs w:val="32"/>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Pr>
          <w:rFonts w:hint="cs"/>
          <w:sz w:val="32"/>
          <w:szCs w:val="32"/>
          <w:rtl/>
        </w:rPr>
        <w:t xml:space="preserve"> </w:t>
      </w:r>
      <w:r w:rsidRPr="00234C6A">
        <w:rPr>
          <w:rFonts w:hint="cs"/>
          <w:sz w:val="32"/>
          <w:szCs w:val="32"/>
          <w:rtl/>
        </w:rPr>
        <w:t>المجموع المذهب (2/377-381)، والقواعد والضوابط الفقهية المتضمنة للتيسير (1/284).</w:t>
      </w:r>
    </w:p>
  </w:footnote>
  <w:footnote w:id="919">
    <w:p w:rsidR="000D3D21" w:rsidRDefault="000D3D21" w:rsidP="00F665A6">
      <w:pPr>
        <w:pStyle w:val="a7"/>
        <w:rPr>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Pr>
          <w:rFonts w:hint="cs"/>
          <w:sz w:val="32"/>
          <w:szCs w:val="32"/>
          <w:rtl/>
        </w:rPr>
        <w:t xml:space="preserve"> </w:t>
      </w:r>
      <w:r w:rsidRPr="00234C6A">
        <w:rPr>
          <w:rFonts w:hint="cs"/>
          <w:sz w:val="32"/>
          <w:szCs w:val="32"/>
          <w:rtl/>
        </w:rPr>
        <w:t>تفسير سورة البقرة (3/128).</w:t>
      </w:r>
    </w:p>
  </w:footnote>
  <w:footnote w:id="920">
    <w:p w:rsidR="000D3D21" w:rsidRPr="00234C6A" w:rsidRDefault="000D3D21" w:rsidP="00F665A6">
      <w:pPr>
        <w:pStyle w:val="a7"/>
        <w:rPr>
          <w:sz w:val="32"/>
          <w:szCs w:val="32"/>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Pr>
          <w:rFonts w:hint="cs"/>
          <w:sz w:val="32"/>
          <w:szCs w:val="32"/>
          <w:rtl/>
        </w:rPr>
        <w:t xml:space="preserve"> تقدم تخريجه.</w:t>
      </w:r>
    </w:p>
  </w:footnote>
  <w:footnote w:id="921">
    <w:p w:rsidR="000D3D21" w:rsidRPr="00234C6A" w:rsidRDefault="000D3D21" w:rsidP="00F665A6">
      <w:pPr>
        <w:pStyle w:val="a7"/>
        <w:rPr>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Pr>
          <w:rFonts w:hint="cs"/>
          <w:sz w:val="32"/>
          <w:szCs w:val="32"/>
          <w:rtl/>
        </w:rPr>
        <w:t xml:space="preserve"> </w:t>
      </w:r>
      <w:r w:rsidRPr="00234C6A">
        <w:rPr>
          <w:rFonts w:hint="cs"/>
          <w:sz w:val="32"/>
          <w:szCs w:val="32"/>
          <w:rtl/>
        </w:rPr>
        <w:t>تفسير سورة البقرة (3/150).</w:t>
      </w:r>
    </w:p>
  </w:footnote>
  <w:footnote w:id="922">
    <w:p w:rsidR="000D3D21" w:rsidRPr="00234C6A" w:rsidRDefault="000D3D21" w:rsidP="00F665A6">
      <w:pPr>
        <w:pStyle w:val="a7"/>
        <w:rPr>
          <w:sz w:val="32"/>
          <w:szCs w:val="32"/>
          <w:rtl/>
        </w:rPr>
      </w:pPr>
      <w:r w:rsidRPr="00234C6A">
        <w:rPr>
          <w:rFonts w:ascii="Traditional Arabic" w:hAnsi="Traditional Arabic"/>
          <w:sz w:val="32"/>
          <w:szCs w:val="32"/>
        </w:rPr>
        <w:footnoteRef/>
      </w:r>
      <w:r w:rsidRPr="00234C6A">
        <w:rPr>
          <w:rFonts w:ascii="Traditional Arabic" w:hAnsi="Traditional Arabic"/>
          <w:sz w:val="32"/>
          <w:szCs w:val="32"/>
        </w:rPr>
        <w:t>)</w:t>
      </w:r>
      <w:r w:rsidRPr="00234C6A">
        <w:rPr>
          <w:rFonts w:ascii="Traditional Arabic" w:hAnsi="Traditional Arabic" w:hint="cs"/>
          <w:sz w:val="32"/>
          <w:szCs w:val="32"/>
          <w:rtl/>
        </w:rPr>
        <w:t>)</w:t>
      </w:r>
      <w:r>
        <w:rPr>
          <w:rFonts w:hint="cs"/>
          <w:sz w:val="32"/>
          <w:szCs w:val="32"/>
          <w:rtl/>
        </w:rPr>
        <w:t xml:space="preserve"> </w:t>
      </w:r>
      <w:r w:rsidRPr="00234C6A">
        <w:rPr>
          <w:rFonts w:hint="cs"/>
          <w:sz w:val="32"/>
          <w:szCs w:val="32"/>
          <w:rtl/>
        </w:rPr>
        <w:t>تفسير سورة البقرة (3/421).</w:t>
      </w:r>
    </w:p>
  </w:footnote>
  <w:footnote w:id="923">
    <w:p w:rsidR="000D3D21" w:rsidRDefault="000D3D21" w:rsidP="00F665A6">
      <w:pPr>
        <w:pStyle w:val="a7"/>
        <w:rPr>
          <w:rtl/>
        </w:rPr>
      </w:pPr>
      <w:r w:rsidRPr="00234C6A">
        <w:rPr>
          <w:rFonts w:ascii="Traditional Arabic" w:hAnsi="Traditional Arabic"/>
          <w:sz w:val="32"/>
          <w:szCs w:val="32"/>
          <w:rtl/>
        </w:rPr>
        <w:t>(</w:t>
      </w:r>
      <w:r w:rsidRPr="00234C6A">
        <w:rPr>
          <w:rFonts w:ascii="Traditional Arabic" w:hAnsi="Traditional Arabic"/>
          <w:sz w:val="32"/>
          <w:szCs w:val="32"/>
          <w:rtl/>
        </w:rPr>
        <w:footnoteRef/>
      </w:r>
      <w:r w:rsidRPr="00234C6A">
        <w:rPr>
          <w:rFonts w:ascii="Traditional Arabic" w:hAnsi="Traditional Arabic"/>
          <w:sz w:val="32"/>
          <w:szCs w:val="32"/>
          <w:rtl/>
        </w:rPr>
        <w:t>)</w:t>
      </w:r>
      <w:r>
        <w:rPr>
          <w:rFonts w:hint="cs"/>
          <w:sz w:val="32"/>
          <w:szCs w:val="32"/>
          <w:rtl/>
        </w:rPr>
        <w:t xml:space="preserve"> </w:t>
      </w:r>
      <w:r w:rsidRPr="00234C6A">
        <w:rPr>
          <w:rFonts w:hint="cs"/>
          <w:sz w:val="32"/>
          <w:szCs w:val="32"/>
          <w:rtl/>
        </w:rPr>
        <w:t>تفسير سورة النساء (1/100).</w:t>
      </w:r>
    </w:p>
  </w:footnote>
  <w:footnote w:id="924">
    <w:p w:rsidR="000D3D21" w:rsidRPr="00234C6A" w:rsidRDefault="000D3D21" w:rsidP="00060462">
      <w:pPr>
        <w:pStyle w:val="a7"/>
        <w:rPr>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Pr>
          <w:rFonts w:ascii="Traditional Arabic" w:hAnsi="Traditional Arabic" w:hint="cs"/>
          <w:sz w:val="32"/>
          <w:szCs w:val="32"/>
          <w:rtl/>
        </w:rPr>
        <w:t xml:space="preserve"> تقدم تخريجه.</w:t>
      </w:r>
    </w:p>
  </w:footnote>
  <w:footnote w:id="925">
    <w:p w:rsidR="000D3D21" w:rsidRPr="00234C6A" w:rsidRDefault="000D3D21" w:rsidP="00D1746D">
      <w:pPr>
        <w:pStyle w:val="a7"/>
        <w:tabs>
          <w:tab w:val="left" w:pos="1476"/>
        </w:tabs>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شرح الأربعين النووية (355)</w:t>
      </w:r>
      <w:r w:rsidRPr="00234C6A">
        <w:rPr>
          <w:rFonts w:ascii="Traditional Arabic" w:hAnsi="Traditional Arabic"/>
          <w:sz w:val="32"/>
          <w:szCs w:val="32"/>
          <w:rtl/>
        </w:rPr>
        <w:t>.</w:t>
      </w:r>
      <w:r w:rsidRPr="00234C6A">
        <w:rPr>
          <w:rFonts w:ascii="Traditional Arabic" w:hAnsi="Traditional Arabic"/>
          <w:sz w:val="32"/>
          <w:szCs w:val="32"/>
          <w:rtl/>
        </w:rPr>
        <w:tab/>
      </w:r>
      <w:r w:rsidRPr="00234C6A">
        <w:rPr>
          <w:rFonts w:ascii="Traditional Arabic" w:hAnsi="Traditional Arabic"/>
          <w:sz w:val="32"/>
          <w:szCs w:val="32"/>
          <w:rtl/>
        </w:rPr>
        <w:tab/>
      </w:r>
    </w:p>
  </w:footnote>
  <w:footnote w:id="926">
    <w:p w:rsidR="000D3D21" w:rsidRPr="00234C6A" w:rsidRDefault="000D3D21" w:rsidP="00D1746D">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فتح ذي الجلال وﻹكرام (4/267).</w:t>
      </w:r>
    </w:p>
  </w:footnote>
  <w:footnote w:id="927">
    <w:p w:rsidR="000D3D21" w:rsidRPr="005F7CCD" w:rsidRDefault="000D3D21" w:rsidP="005F7CCD">
      <w:pPr>
        <w:pStyle w:val="a7"/>
        <w:rPr>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sidRPr="00A214D6">
        <w:rPr>
          <w:rFonts w:ascii="Traditional Arabic" w:hAnsi="Traditional Arabic"/>
          <w:noProof w:val="0"/>
          <w:sz w:val="32"/>
          <w:szCs w:val="32"/>
          <w:rtl/>
          <w:lang w:eastAsia="en-US"/>
        </w:rPr>
        <w:t xml:space="preserve"> أبو </w:t>
      </w:r>
      <w:r w:rsidRPr="00A214D6">
        <w:rPr>
          <w:rFonts w:ascii="Traditional Arabic" w:hAnsi="Traditional Arabic"/>
          <w:noProof w:val="0"/>
          <w:color w:val="auto"/>
          <w:sz w:val="32"/>
          <w:szCs w:val="32"/>
          <w:rtl/>
          <w:lang w:eastAsia="en-US"/>
        </w:rPr>
        <w:t>صرمة</w:t>
      </w:r>
      <w:r>
        <w:rPr>
          <w:rFonts w:ascii="Traditional Arabic" w:hAnsi="Traditional Arabic" w:hint="cs"/>
          <w:noProof w:val="0"/>
          <w:color w:val="auto"/>
          <w:sz w:val="32"/>
          <w:szCs w:val="32"/>
          <w:rtl/>
          <w:lang w:eastAsia="en-US"/>
        </w:rPr>
        <w:t xml:space="preserve"> بن قيس الأنصاري المازني</w:t>
      </w:r>
      <w:r>
        <w:rPr>
          <w:rFonts w:ascii="Traditional Arabic" w:hAnsi="Traditional Arabic" w:hint="cs"/>
          <w:noProof w:val="0"/>
          <w:sz w:val="32"/>
          <w:szCs w:val="32"/>
          <w:rtl/>
          <w:lang w:eastAsia="en-US"/>
        </w:rPr>
        <w:t xml:space="preserve">، </w:t>
      </w:r>
      <w:r w:rsidRPr="00A214D6">
        <w:rPr>
          <w:rFonts w:ascii="Traditional Arabic" w:hAnsi="Traditional Arabic"/>
          <w:noProof w:val="0"/>
          <w:sz w:val="32"/>
          <w:szCs w:val="32"/>
          <w:rtl/>
          <w:lang w:eastAsia="en-US"/>
        </w:rPr>
        <w:t>اخت</w:t>
      </w:r>
      <w:r>
        <w:rPr>
          <w:rFonts w:ascii="Traditional Arabic" w:hAnsi="Traditional Arabic" w:hint="cs"/>
          <w:noProof w:val="0"/>
          <w:sz w:val="32"/>
          <w:szCs w:val="32"/>
          <w:rtl/>
          <w:lang w:eastAsia="en-US"/>
        </w:rPr>
        <w:t>ُ</w:t>
      </w:r>
      <w:r w:rsidRPr="00A214D6">
        <w:rPr>
          <w:rFonts w:ascii="Traditional Arabic" w:hAnsi="Traditional Arabic"/>
          <w:noProof w:val="0"/>
          <w:sz w:val="32"/>
          <w:szCs w:val="32"/>
          <w:rtl/>
          <w:lang w:eastAsia="en-US"/>
        </w:rPr>
        <w:t>لف فى اسمه فقيل</w:t>
      </w:r>
      <w:r>
        <w:rPr>
          <w:rFonts w:ascii="Traditional Arabic" w:hAnsi="Traditional Arabic" w:hint="cs"/>
          <w:noProof w:val="0"/>
          <w:sz w:val="32"/>
          <w:szCs w:val="32"/>
          <w:rtl/>
          <w:lang w:eastAsia="en-US"/>
        </w:rPr>
        <w:t>:</w:t>
      </w:r>
      <w:r w:rsidRPr="00A214D6">
        <w:rPr>
          <w:rFonts w:ascii="Traditional Arabic" w:hAnsi="Traditional Arabic"/>
          <w:noProof w:val="0"/>
          <w:sz w:val="32"/>
          <w:szCs w:val="32"/>
          <w:rtl/>
          <w:lang w:eastAsia="en-US"/>
        </w:rPr>
        <w:t xml:space="preserve"> قيس بن مالك</w:t>
      </w:r>
      <w:r>
        <w:rPr>
          <w:rFonts w:ascii="Traditional Arabic" w:hAnsi="Traditional Arabic" w:hint="cs"/>
          <w:noProof w:val="0"/>
          <w:sz w:val="32"/>
          <w:szCs w:val="32"/>
          <w:rtl/>
          <w:lang w:eastAsia="en-US"/>
        </w:rPr>
        <w:t>،</w:t>
      </w:r>
      <w:r w:rsidRPr="00A214D6">
        <w:rPr>
          <w:rFonts w:ascii="Traditional Arabic" w:hAnsi="Traditional Arabic"/>
          <w:noProof w:val="0"/>
          <w:sz w:val="32"/>
          <w:szCs w:val="32"/>
          <w:rtl/>
          <w:lang w:eastAsia="en-US"/>
        </w:rPr>
        <w:t xml:space="preserve"> وقيل</w:t>
      </w:r>
      <w:r>
        <w:rPr>
          <w:rFonts w:ascii="Traditional Arabic" w:hAnsi="Traditional Arabic" w:hint="cs"/>
          <w:noProof w:val="0"/>
          <w:sz w:val="32"/>
          <w:szCs w:val="32"/>
          <w:rtl/>
          <w:lang w:eastAsia="en-US"/>
        </w:rPr>
        <w:t>:</w:t>
      </w:r>
      <w:r w:rsidRPr="00A214D6">
        <w:rPr>
          <w:rFonts w:ascii="Traditional Arabic" w:hAnsi="Traditional Arabic"/>
          <w:noProof w:val="0"/>
          <w:sz w:val="32"/>
          <w:szCs w:val="32"/>
          <w:rtl/>
          <w:lang w:eastAsia="en-US"/>
        </w:rPr>
        <w:t xml:space="preserve"> مالك بن قيس</w:t>
      </w:r>
      <w:r>
        <w:rPr>
          <w:rFonts w:hint="cs"/>
          <w:sz w:val="32"/>
          <w:szCs w:val="32"/>
          <w:rtl/>
        </w:rPr>
        <w:t xml:space="preserve">، وقيل: لبابة بن قيس، وقيل : مالك بن أسعد، وهو مشهور بكنيته، ولم يختلفوا في شهوده بدراً وما بعدها من المشاهد، وكان شاعرا محسنا، روى عنه محمد بن كعب القُرَظي، وابن محيريز، ولؤلؤة. انظر: الاستيعاب (3/1298)، وأسد الغابة (5/172)، والإصابة (9/118).   </w:t>
      </w:r>
      <w:r>
        <w:rPr>
          <w:rFonts w:ascii="Traditional Arabic" w:hAnsi="Traditional Arabic"/>
          <w:b/>
          <w:bCs/>
          <w:noProof w:val="0"/>
          <w:sz w:val="44"/>
          <w:szCs w:val="44"/>
          <w:rtl/>
          <w:lang w:eastAsia="en-US"/>
        </w:rPr>
        <w:t xml:space="preserve"> </w:t>
      </w:r>
    </w:p>
  </w:footnote>
  <w:footnote w:id="928">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Fonts w:ascii="Traditional Arabic" w:hAnsi="Traditional Arabic"/>
          <w:sz w:val="32"/>
          <w:szCs w:val="32"/>
        </w:rPr>
        <w:t>)</w:t>
      </w:r>
      <w:r w:rsidRPr="00234C6A">
        <w:rPr>
          <w:rFonts w:ascii="Traditional Arabic" w:hAnsi="Traditional Arabic"/>
          <w:sz w:val="32"/>
          <w:szCs w:val="32"/>
          <w:rtl/>
        </w:rPr>
        <w:t xml:space="preserve">) </w:t>
      </w:r>
      <w:r w:rsidRPr="00234C6A">
        <w:rPr>
          <w:rFonts w:ascii="Traditional Arabic" w:hAnsi="Traditional Arabic" w:hint="cs"/>
          <w:sz w:val="32"/>
          <w:szCs w:val="32"/>
          <w:rtl/>
        </w:rPr>
        <w:t>أخرجه أحمد في مسنده (25/34)، رقم الحديث (15755)، وأبو داود في كتاب الأقضية، باب في القضاء،</w:t>
      </w:r>
      <w:r>
        <w:rPr>
          <w:rFonts w:ascii="Traditional Arabic" w:hAnsi="Traditional Arabic" w:hint="cs"/>
          <w:sz w:val="32"/>
          <w:szCs w:val="32"/>
          <w:rtl/>
        </w:rPr>
        <w:t xml:space="preserve"> </w:t>
      </w:r>
      <w:r w:rsidRPr="00234C6A">
        <w:rPr>
          <w:rFonts w:ascii="Traditional Arabic" w:hAnsi="Traditional Arabic" w:hint="cs"/>
          <w:sz w:val="32"/>
          <w:szCs w:val="32"/>
          <w:rtl/>
        </w:rPr>
        <w:t>رقم الحديث(3618)، والترمذي في كتاب البر والصلة، باب ما جاء في الخيانة والغش، رقم الحديث (1940)، وابن ماجة في كتاب الأحكام، باب من بنى في حقه ما يضر بجاره، رقم الحديث (2342)، والبيهقي في سننه في كتاب الصلح،</w:t>
      </w:r>
      <w:r>
        <w:rPr>
          <w:rFonts w:ascii="Traditional Arabic" w:hAnsi="Traditional Arabic" w:hint="cs"/>
          <w:sz w:val="32"/>
          <w:szCs w:val="32"/>
          <w:rtl/>
        </w:rPr>
        <w:t xml:space="preserve"> </w:t>
      </w:r>
      <w:r w:rsidRPr="00234C6A">
        <w:rPr>
          <w:rFonts w:ascii="Traditional Arabic" w:hAnsi="Traditional Arabic" w:hint="cs"/>
          <w:sz w:val="32"/>
          <w:szCs w:val="32"/>
          <w:rtl/>
        </w:rPr>
        <w:t>باب لا ضرر ولا ضرار، والطبران</w:t>
      </w:r>
      <w:r>
        <w:rPr>
          <w:rFonts w:ascii="Traditional Arabic" w:hAnsi="Traditional Arabic" w:hint="cs"/>
          <w:sz w:val="32"/>
          <w:szCs w:val="32"/>
          <w:rtl/>
        </w:rPr>
        <w:t>ي في الكبير،</w:t>
      </w:r>
      <w:r w:rsidRPr="00234C6A">
        <w:rPr>
          <w:rFonts w:ascii="Traditional Arabic" w:hAnsi="Traditional Arabic" w:hint="cs"/>
          <w:sz w:val="32"/>
          <w:szCs w:val="32"/>
          <w:rtl/>
        </w:rPr>
        <w:t xml:space="preserve"> </w:t>
      </w:r>
      <w:r>
        <w:rPr>
          <w:rFonts w:ascii="Traditional Arabic" w:hAnsi="Traditional Arabic" w:hint="cs"/>
          <w:sz w:val="32"/>
          <w:szCs w:val="32"/>
          <w:rtl/>
        </w:rPr>
        <w:t xml:space="preserve">رقم الحديث </w:t>
      </w:r>
      <w:r w:rsidRPr="00234C6A">
        <w:rPr>
          <w:rFonts w:ascii="Traditional Arabic" w:hAnsi="Traditional Arabic" w:hint="cs"/>
          <w:sz w:val="32"/>
          <w:szCs w:val="32"/>
          <w:rtl/>
        </w:rPr>
        <w:t xml:space="preserve">(18274)، والحديث حسنه الألباني في صحيح </w:t>
      </w:r>
      <w:r>
        <w:rPr>
          <w:rFonts w:ascii="Traditional Arabic" w:hAnsi="Traditional Arabic" w:hint="cs"/>
          <w:sz w:val="32"/>
          <w:szCs w:val="32"/>
          <w:rtl/>
        </w:rPr>
        <w:t xml:space="preserve">الجامع </w:t>
      </w:r>
      <w:r w:rsidRPr="00234C6A">
        <w:rPr>
          <w:rFonts w:ascii="Traditional Arabic" w:hAnsi="Traditional Arabic" w:hint="cs"/>
          <w:sz w:val="32"/>
          <w:szCs w:val="32"/>
          <w:rtl/>
        </w:rPr>
        <w:t>الصغير،</w:t>
      </w:r>
      <w:r>
        <w:rPr>
          <w:rFonts w:ascii="Traditional Arabic" w:hAnsi="Traditional Arabic" w:hint="cs"/>
          <w:sz w:val="32"/>
          <w:szCs w:val="32"/>
          <w:rtl/>
        </w:rPr>
        <w:t xml:space="preserve"> </w:t>
      </w:r>
      <w:r w:rsidRPr="00234C6A">
        <w:rPr>
          <w:rFonts w:ascii="Traditional Arabic" w:hAnsi="Traditional Arabic" w:hint="cs"/>
          <w:sz w:val="32"/>
          <w:szCs w:val="32"/>
          <w:rtl/>
        </w:rPr>
        <w:t>رقم الحديث (6371).</w:t>
      </w:r>
    </w:p>
  </w:footnote>
  <w:footnote w:id="929">
    <w:p w:rsidR="000D3D21" w:rsidRDefault="000D3D21" w:rsidP="007E7548">
      <w:pPr>
        <w:pStyle w:val="a7"/>
        <w:rPr>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Pr>
          <w:rFonts w:hint="cs"/>
          <w:sz w:val="32"/>
          <w:szCs w:val="32"/>
          <w:rtl/>
        </w:rPr>
        <w:t xml:space="preserve"> </w:t>
      </w:r>
      <w:r w:rsidRPr="00234C6A">
        <w:rPr>
          <w:rFonts w:hint="cs"/>
          <w:sz w:val="32"/>
          <w:szCs w:val="32"/>
          <w:rtl/>
        </w:rPr>
        <w:t>انظر</w:t>
      </w:r>
      <w:r>
        <w:rPr>
          <w:rFonts w:hint="cs"/>
          <w:sz w:val="32"/>
          <w:szCs w:val="32"/>
          <w:rtl/>
        </w:rPr>
        <w:t>:</w:t>
      </w:r>
      <w:r w:rsidRPr="00234C6A">
        <w:rPr>
          <w:rFonts w:hint="cs"/>
          <w:sz w:val="32"/>
          <w:szCs w:val="32"/>
          <w:rtl/>
        </w:rPr>
        <w:t xml:space="preserve"> فتح ذي الجلال والإكرام (6/396-397)</w:t>
      </w:r>
      <w:r>
        <w:rPr>
          <w:rFonts w:hint="cs"/>
          <w:sz w:val="32"/>
          <w:szCs w:val="32"/>
          <w:rtl/>
        </w:rPr>
        <w:t>، و</w:t>
      </w:r>
      <w:r w:rsidRPr="00234C6A">
        <w:rPr>
          <w:rFonts w:hint="cs"/>
          <w:sz w:val="32"/>
          <w:szCs w:val="32"/>
          <w:rtl/>
        </w:rPr>
        <w:t xml:space="preserve">عون المعبود شرح سنن أبي داود </w:t>
      </w:r>
      <w:r>
        <w:rPr>
          <w:rFonts w:hint="cs"/>
          <w:sz w:val="32"/>
          <w:szCs w:val="32"/>
          <w:rtl/>
        </w:rPr>
        <w:t>ل</w:t>
      </w:r>
      <w:r w:rsidRPr="007E7548">
        <w:rPr>
          <w:rFonts w:ascii="Traditional Arabic" w:hAnsi="Traditional Arabic"/>
          <w:noProof w:val="0"/>
          <w:sz w:val="32"/>
          <w:szCs w:val="32"/>
          <w:rtl/>
          <w:lang w:eastAsia="en-US"/>
        </w:rPr>
        <w:t>أبي الطيب محمد شمس الحق العظيم آبادي</w:t>
      </w:r>
      <w:r w:rsidRPr="00234C6A">
        <w:rPr>
          <w:rFonts w:hint="cs"/>
          <w:sz w:val="32"/>
          <w:szCs w:val="32"/>
          <w:rtl/>
        </w:rPr>
        <w:t xml:space="preserve"> (10/64)، وبهجة قلوب الأبرار </w:t>
      </w:r>
      <w:r>
        <w:rPr>
          <w:rFonts w:hint="cs"/>
          <w:sz w:val="32"/>
          <w:szCs w:val="32"/>
          <w:rtl/>
        </w:rPr>
        <w:t>لعبد الرحمن السعدي (39)</w:t>
      </w:r>
      <w:r w:rsidRPr="00234C6A">
        <w:rPr>
          <w:rFonts w:hint="cs"/>
          <w:sz w:val="32"/>
          <w:szCs w:val="32"/>
          <w:rtl/>
        </w:rPr>
        <w:t>.</w:t>
      </w:r>
    </w:p>
  </w:footnote>
  <w:footnote w:id="930">
    <w:p w:rsidR="000D3D21" w:rsidRPr="00234C6A" w:rsidRDefault="000D3D21" w:rsidP="00164159">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B77190">
        <w:rPr>
          <w:rFonts w:ascii="Traditional Arabic" w:hAnsi="Traditional Arabic"/>
          <w:b/>
          <w:bCs/>
          <w:sz w:val="32"/>
          <w:szCs w:val="32"/>
          <w:rtl/>
        </w:rPr>
        <w:t>الخُل</w:t>
      </w:r>
      <w:r>
        <w:rPr>
          <w:rFonts w:ascii="Traditional Arabic" w:hAnsi="Traditional Arabic" w:hint="cs"/>
          <w:b/>
          <w:bCs/>
          <w:sz w:val="32"/>
          <w:szCs w:val="32"/>
          <w:rtl/>
        </w:rPr>
        <w:t>ْ</w:t>
      </w:r>
      <w:r w:rsidRPr="00B77190">
        <w:rPr>
          <w:rFonts w:ascii="Traditional Arabic" w:hAnsi="Traditional Arabic"/>
          <w:b/>
          <w:bCs/>
          <w:sz w:val="32"/>
          <w:szCs w:val="32"/>
          <w:rtl/>
        </w:rPr>
        <w:t>ف</w:t>
      </w:r>
      <w:r w:rsidR="00AB0B9E" w:rsidRPr="00234C6A">
        <w:rPr>
          <w:rFonts w:ascii="Traditional Arabic" w:hAnsi="Traditional Arabic"/>
          <w:sz w:val="32"/>
          <w:szCs w:val="32"/>
          <w:rtl/>
        </w:rPr>
        <w:fldChar w:fldCharType="begin"/>
      </w:r>
      <w:r w:rsidRPr="00234C6A">
        <w:rPr>
          <w:rFonts w:ascii="Traditional Arabic" w:hAnsi="Traditional Arabic"/>
          <w:sz w:val="32"/>
          <w:szCs w:val="32"/>
        </w:rPr>
        <w:instrText xml:space="preserve"> XE "</w:instrText>
      </w:r>
      <w:r w:rsidRPr="00234C6A">
        <w:rPr>
          <w:rFonts w:ascii="Traditional Arabic" w:hAnsi="Traditional Arabic"/>
          <w:sz w:val="32"/>
          <w:szCs w:val="32"/>
          <w:rtl/>
        </w:rPr>
        <w:instrText>الخُلف</w:instrText>
      </w:r>
      <w:r w:rsidRPr="00234C6A">
        <w:rPr>
          <w:rFonts w:ascii="Traditional Arabic" w:hAnsi="Traditional Arabic"/>
          <w:sz w:val="32"/>
          <w:szCs w:val="32"/>
        </w:rPr>
        <w:instrText>" \fm</w:instrText>
      </w:r>
      <w:r w:rsidR="00AB0B9E" w:rsidRPr="00234C6A">
        <w:rPr>
          <w:rFonts w:ascii="Traditional Arabic" w:hAnsi="Traditional Arabic"/>
          <w:sz w:val="32"/>
          <w:szCs w:val="32"/>
          <w:rtl/>
        </w:rPr>
        <w:fldChar w:fldCharType="end"/>
      </w:r>
      <w:r w:rsidRPr="00234C6A">
        <w:rPr>
          <w:rFonts w:ascii="Traditional Arabic" w:hAnsi="Traditional Arabic"/>
          <w:sz w:val="32"/>
          <w:szCs w:val="32"/>
          <w:rtl/>
        </w:rPr>
        <w:t>:</w:t>
      </w:r>
      <w:r>
        <w:rPr>
          <w:rFonts w:ascii="Traditional Arabic" w:hAnsi="Traditional Arabic" w:hint="cs"/>
          <w:sz w:val="32"/>
          <w:szCs w:val="32"/>
          <w:rtl/>
        </w:rPr>
        <w:t xml:space="preserve"> </w:t>
      </w:r>
      <w:r w:rsidRPr="00234C6A">
        <w:rPr>
          <w:rFonts w:ascii="Traditional Arabic" w:hAnsi="Traditional Arabic"/>
          <w:sz w:val="32"/>
          <w:szCs w:val="32"/>
          <w:rtl/>
        </w:rPr>
        <w:t>الاسم من الإخْلاف، وهو في المستقبل كالكذِب في الماضي، يقال:أَخْلَفَه ما وَعَدَه، وهو أن يقول شيئا ولا يفعله على الاستقبال. والمقصود هنا- والله أعلم- الكذب.</w:t>
      </w:r>
      <w:r>
        <w:rPr>
          <w:rFonts w:ascii="Traditional Arabic" w:hAnsi="Traditional Arabic" w:hint="cs"/>
          <w:sz w:val="32"/>
          <w:szCs w:val="32"/>
          <w:rtl/>
        </w:rPr>
        <w:t xml:space="preserve"> </w:t>
      </w:r>
      <w:r w:rsidRPr="00234C6A">
        <w:rPr>
          <w:rFonts w:ascii="Traditional Arabic" w:hAnsi="Traditional Arabic"/>
          <w:sz w:val="32"/>
          <w:szCs w:val="32"/>
          <w:rtl/>
        </w:rPr>
        <w:t xml:space="preserve">انظر لسان العرب (9/94). </w:t>
      </w:r>
    </w:p>
  </w:footnote>
  <w:footnote w:id="931">
    <w:p w:rsidR="000D3D21" w:rsidRPr="00234C6A" w:rsidRDefault="000D3D21" w:rsidP="00F665A6">
      <w:pPr>
        <w:pStyle w:val="a7"/>
        <w:rPr>
          <w:rFonts w:ascii="Traditional Arabic" w:hAnsi="Traditional Arabic"/>
          <w:sz w:val="32"/>
          <w:szCs w:val="32"/>
          <w:rtl/>
        </w:rPr>
      </w:pPr>
      <w:r w:rsidRPr="00234C6A">
        <w:rPr>
          <w:rFonts w:ascii="Traditional Arabic" w:hAnsi="Traditional Arabic"/>
          <w:sz w:val="32"/>
          <w:szCs w:val="32"/>
        </w:rPr>
        <w:footnoteRef/>
      </w:r>
      <w:r w:rsidRPr="00234C6A">
        <w:rPr>
          <w:rFonts w:ascii="Traditional Arabic" w:hAnsi="Traditional Arabic"/>
          <w:sz w:val="32"/>
          <w:szCs w:val="32"/>
        </w:rPr>
        <w:t>)</w:t>
      </w:r>
      <w:r w:rsidRPr="00234C6A">
        <w:rPr>
          <w:rFonts w:ascii="Traditional Arabic" w:hAnsi="Traditional Arabic"/>
          <w:sz w:val="32"/>
          <w:szCs w:val="32"/>
          <w:rtl/>
        </w:rPr>
        <w:t>)</w:t>
      </w:r>
      <w:r>
        <w:rPr>
          <w:rFonts w:ascii="Traditional Arabic" w:hAnsi="Traditional Arabic" w:hint="cs"/>
          <w:sz w:val="32"/>
          <w:szCs w:val="32"/>
          <w:rtl/>
        </w:rPr>
        <w:t xml:space="preserve"> </w:t>
      </w:r>
      <w:r w:rsidRPr="00234C6A">
        <w:rPr>
          <w:rFonts w:ascii="Traditional Arabic" w:hAnsi="Traditional Arabic"/>
          <w:sz w:val="32"/>
          <w:szCs w:val="32"/>
          <w:rtl/>
        </w:rPr>
        <w:t>التعيين في شرح الأربعين لنجم الدين الطوفي (236-237).</w:t>
      </w:r>
    </w:p>
  </w:footnote>
  <w:footnote w:id="932">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sidRPr="00234C6A">
        <w:rPr>
          <w:rFonts w:ascii="Traditional Arabic" w:hAnsi="Traditional Arabic"/>
          <w:sz w:val="32"/>
          <w:szCs w:val="32"/>
          <w:rtl/>
        </w:rPr>
        <w:t xml:space="preserve"> انظر الشرح الممتع (8/109).</w:t>
      </w:r>
    </w:p>
  </w:footnote>
  <w:footnote w:id="933">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sidRPr="00234C6A">
        <w:rPr>
          <w:rFonts w:ascii="Traditional Arabic" w:hAnsi="Traditional Arabic"/>
          <w:sz w:val="32"/>
          <w:szCs w:val="32"/>
          <w:rtl/>
        </w:rPr>
        <w:t xml:space="preserve"> انظر المرجع السابق.</w:t>
      </w:r>
    </w:p>
  </w:footnote>
  <w:footnote w:id="934">
    <w:p w:rsidR="000D3D21" w:rsidRPr="00873C3C"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sidRPr="00234C6A">
        <w:rPr>
          <w:rFonts w:ascii="Traditional Arabic" w:hAnsi="Traditional Arabic"/>
          <w:sz w:val="32"/>
          <w:szCs w:val="32"/>
          <w:rtl/>
        </w:rPr>
        <w:t xml:space="preserve"> انظر المرجع السابق (8/364).</w:t>
      </w:r>
    </w:p>
  </w:footnote>
  <w:footnote w:id="935">
    <w:p w:rsidR="000D3D21" w:rsidRPr="00234C6A" w:rsidRDefault="000D3D21" w:rsidP="00F665A6">
      <w:pPr>
        <w:pStyle w:val="a7"/>
        <w:rPr>
          <w:rFonts w:ascii="Traditional Arabic" w:hAnsi="Traditional Arabic"/>
          <w:sz w:val="32"/>
          <w:szCs w:val="32"/>
        </w:rPr>
      </w:pPr>
      <w:r w:rsidRPr="00234C6A">
        <w:rPr>
          <w:rFonts w:ascii="Traditional Arabic" w:hAnsi="Traditional Arabic"/>
          <w:sz w:val="32"/>
          <w:szCs w:val="32"/>
        </w:rPr>
        <w:footnoteRef/>
      </w:r>
      <w:r w:rsidRPr="00234C6A">
        <w:rPr>
          <w:rFonts w:ascii="Traditional Arabic" w:hAnsi="Traditional Arabic"/>
          <w:sz w:val="32"/>
          <w:szCs w:val="32"/>
        </w:rPr>
        <w:t>)</w:t>
      </w:r>
      <w:r>
        <w:rPr>
          <w:rFonts w:ascii="Traditional Arabic" w:hAnsi="Traditional Arabic"/>
          <w:sz w:val="32"/>
          <w:szCs w:val="32"/>
          <w:rtl/>
        </w:rPr>
        <w:t>) انظر ال</w:t>
      </w:r>
      <w:r>
        <w:rPr>
          <w:rFonts w:ascii="Traditional Arabic" w:hAnsi="Traditional Arabic" w:hint="cs"/>
          <w:sz w:val="32"/>
          <w:szCs w:val="32"/>
          <w:rtl/>
        </w:rPr>
        <w:t>شرح الممتع (8/364)</w:t>
      </w:r>
      <w:r w:rsidRPr="00234C6A">
        <w:rPr>
          <w:rFonts w:ascii="Traditional Arabic" w:hAnsi="Traditional Arabic"/>
          <w:sz w:val="32"/>
          <w:szCs w:val="32"/>
          <w:rtl/>
        </w:rPr>
        <w:t>.</w:t>
      </w:r>
    </w:p>
  </w:footnote>
  <w:footnote w:id="936">
    <w:p w:rsidR="000D3D21" w:rsidRPr="00234C6A" w:rsidRDefault="000D3D21" w:rsidP="00164159">
      <w:pPr>
        <w:pStyle w:val="a7"/>
        <w:rPr>
          <w:rFonts w:ascii="Traditional Arabic" w:hAnsi="Traditional Arabic"/>
          <w:sz w:val="32"/>
          <w:szCs w:val="32"/>
          <w:rtl/>
        </w:rPr>
      </w:pPr>
      <w:r w:rsidRPr="00234C6A">
        <w:rPr>
          <w:rFonts w:ascii="Traditional Arabic" w:hAnsi="Traditional Arabic"/>
          <w:sz w:val="32"/>
          <w:szCs w:val="32"/>
        </w:rPr>
        <w:footnoteRef/>
      </w:r>
      <w:r w:rsidRPr="00234C6A">
        <w:rPr>
          <w:rFonts w:ascii="Traditional Arabic" w:hAnsi="Traditional Arabic"/>
          <w:sz w:val="32"/>
          <w:szCs w:val="32"/>
        </w:rPr>
        <w:t>)</w:t>
      </w:r>
      <w:r w:rsidRPr="00234C6A">
        <w:rPr>
          <w:rFonts w:ascii="Traditional Arabic" w:hAnsi="Traditional Arabic"/>
          <w:sz w:val="32"/>
          <w:szCs w:val="32"/>
          <w:rtl/>
        </w:rPr>
        <w:t xml:space="preserve">) </w:t>
      </w:r>
      <w:r w:rsidRPr="00234C6A">
        <w:rPr>
          <w:rFonts w:ascii="Traditional Arabic" w:hAnsi="Traditional Arabic"/>
          <w:b/>
          <w:bCs/>
          <w:sz w:val="32"/>
          <w:szCs w:val="32"/>
          <w:rtl/>
        </w:rPr>
        <w:t>السّكّة</w:t>
      </w:r>
      <w:r w:rsidR="00AB0B9E" w:rsidRPr="00234C6A">
        <w:rPr>
          <w:rFonts w:ascii="Traditional Arabic" w:hAnsi="Traditional Arabic"/>
          <w:b/>
          <w:bCs/>
          <w:sz w:val="32"/>
          <w:szCs w:val="32"/>
          <w:rtl/>
        </w:rPr>
        <w:fldChar w:fldCharType="begin"/>
      </w:r>
      <w:r w:rsidRPr="00234C6A">
        <w:rPr>
          <w:rFonts w:ascii="Traditional Arabic" w:hAnsi="Traditional Arabic"/>
          <w:sz w:val="32"/>
          <w:szCs w:val="32"/>
        </w:rPr>
        <w:instrText xml:space="preserve"> XE "</w:instrText>
      </w:r>
      <w:r w:rsidRPr="00234C6A">
        <w:rPr>
          <w:rFonts w:ascii="Traditional Arabic" w:hAnsi="Traditional Arabic"/>
          <w:sz w:val="32"/>
          <w:szCs w:val="32"/>
          <w:rtl/>
        </w:rPr>
        <w:instrText>السّكّة</w:instrText>
      </w:r>
      <w:r w:rsidRPr="00234C6A">
        <w:rPr>
          <w:rFonts w:ascii="Traditional Arabic" w:hAnsi="Traditional Arabic"/>
          <w:sz w:val="32"/>
          <w:szCs w:val="32"/>
        </w:rPr>
        <w:instrText>" \fm</w:instrText>
      </w:r>
      <w:r w:rsidR="00AB0B9E" w:rsidRPr="00234C6A">
        <w:rPr>
          <w:rFonts w:ascii="Traditional Arabic" w:hAnsi="Traditional Arabic"/>
          <w:b/>
          <w:bCs/>
          <w:sz w:val="32"/>
          <w:szCs w:val="32"/>
          <w:rtl/>
        </w:rPr>
        <w:fldChar w:fldCharType="end"/>
      </w:r>
      <w:r w:rsidRPr="00234C6A">
        <w:rPr>
          <w:rFonts w:ascii="Traditional Arabic" w:hAnsi="Traditional Arabic"/>
          <w:sz w:val="32"/>
          <w:szCs w:val="32"/>
          <w:rtl/>
        </w:rPr>
        <w:t>:</w:t>
      </w:r>
      <w:r>
        <w:rPr>
          <w:rFonts w:ascii="Traditional Arabic" w:hAnsi="Traditional Arabic" w:hint="cs"/>
          <w:sz w:val="32"/>
          <w:szCs w:val="32"/>
          <w:rtl/>
        </w:rPr>
        <w:t xml:space="preserve"> </w:t>
      </w:r>
      <w:r w:rsidRPr="00234C6A">
        <w:rPr>
          <w:rFonts w:ascii="Traditional Arabic" w:hAnsi="Traditional Arabic"/>
          <w:sz w:val="32"/>
          <w:szCs w:val="32"/>
          <w:rtl/>
        </w:rPr>
        <w:t>حديدة قد كُتِب عليها يُضْرَب عليها الدراهم، والمراد هنا -و الله أعلم- النقد المضروب.انظر لسان العرب (6/325).</w:t>
      </w:r>
    </w:p>
  </w:footnote>
  <w:footnote w:id="937">
    <w:p w:rsidR="000D3D21" w:rsidRPr="00234C6A" w:rsidRDefault="000D3D21" w:rsidP="00F665A6">
      <w:pPr>
        <w:pStyle w:val="a7"/>
        <w:rPr>
          <w:rFonts w:ascii="Traditional Arabic" w:hAnsi="Traditional Arabic"/>
          <w:sz w:val="32"/>
          <w:szCs w:val="32"/>
        </w:rPr>
      </w:pPr>
      <w:r w:rsidRPr="00234C6A">
        <w:rPr>
          <w:rStyle w:val="af1"/>
          <w:rFonts w:ascii="Traditional Arabic" w:hAnsi="Traditional Arabic"/>
          <w:sz w:val="32"/>
          <w:szCs w:val="32"/>
          <w:vertAlign w:val="baseline"/>
        </w:rPr>
        <w:footnoteRef/>
      </w:r>
      <w:r w:rsidRPr="00234C6A">
        <w:rPr>
          <w:rFonts w:ascii="Traditional Arabic" w:hAnsi="Traditional Arabic"/>
          <w:sz w:val="32"/>
          <w:szCs w:val="32"/>
        </w:rPr>
        <w:t>)</w:t>
      </w:r>
      <w:r w:rsidRPr="00234C6A">
        <w:rPr>
          <w:rFonts w:ascii="Traditional Arabic" w:hAnsi="Traditional Arabic"/>
          <w:sz w:val="32"/>
          <w:szCs w:val="32"/>
          <w:rtl/>
        </w:rPr>
        <w:t xml:space="preserve">) الشرح الممتع (9/102). </w:t>
      </w:r>
    </w:p>
  </w:footnote>
  <w:footnote w:id="938">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sz w:val="32"/>
          <w:szCs w:val="32"/>
          <w:rtl/>
        </w:rPr>
        <w:t xml:space="preserve"> ال</w:t>
      </w:r>
      <w:r>
        <w:rPr>
          <w:rFonts w:ascii="Traditional Arabic" w:hAnsi="Traditional Arabic" w:hint="cs"/>
          <w:sz w:val="32"/>
          <w:szCs w:val="32"/>
          <w:rtl/>
        </w:rPr>
        <w:t>شرح الممتع</w:t>
      </w:r>
      <w:r w:rsidRPr="00234C6A">
        <w:rPr>
          <w:rFonts w:ascii="Traditional Arabic" w:hAnsi="Traditional Arabic"/>
          <w:sz w:val="32"/>
          <w:szCs w:val="32"/>
          <w:rtl/>
        </w:rPr>
        <w:t xml:space="preserve"> (9/103)</w:t>
      </w:r>
      <w:r>
        <w:rPr>
          <w:rFonts w:ascii="Traditional Arabic" w:hAnsi="Traditional Arabic" w:hint="cs"/>
          <w:sz w:val="32"/>
          <w:szCs w:val="32"/>
          <w:rtl/>
        </w:rPr>
        <w:t xml:space="preserve"> بتصرف</w:t>
      </w:r>
      <w:r w:rsidRPr="00234C6A">
        <w:rPr>
          <w:rFonts w:ascii="Traditional Arabic" w:hAnsi="Traditional Arabic"/>
          <w:sz w:val="32"/>
          <w:szCs w:val="32"/>
          <w:rtl/>
        </w:rPr>
        <w:t>.</w:t>
      </w:r>
    </w:p>
  </w:footnote>
  <w:footnote w:id="939">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234C6A">
        <w:rPr>
          <w:rFonts w:ascii="Traditional Arabic" w:hAnsi="Traditional Arabic"/>
          <w:sz w:val="32"/>
          <w:szCs w:val="32"/>
          <w:rtl/>
        </w:rPr>
        <w:t xml:space="preserve"> (9107-108).</w:t>
      </w:r>
    </w:p>
  </w:footnote>
  <w:footnote w:id="940">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تقدم تخريجه.</w:t>
      </w:r>
    </w:p>
  </w:footnote>
  <w:footnote w:id="941">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انظر المرجع السابق.</w:t>
      </w:r>
    </w:p>
  </w:footnote>
  <w:footnote w:id="942">
    <w:p w:rsidR="000D3D21" w:rsidRDefault="000D3D21" w:rsidP="00F665A6">
      <w:pPr>
        <w:pStyle w:val="a7"/>
        <w:rPr>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 انظر المرجع السابق (9/140).</w:t>
      </w:r>
    </w:p>
  </w:footnote>
  <w:footnote w:id="943">
    <w:p w:rsidR="000D3D21" w:rsidRPr="00234C6A" w:rsidRDefault="000D3D21" w:rsidP="00F665A6">
      <w:pPr>
        <w:pStyle w:val="a7"/>
        <w:rPr>
          <w:rFonts w:ascii="Traditional Arabic" w:hAnsi="Traditional Arabic"/>
          <w:sz w:val="32"/>
          <w:szCs w:val="32"/>
        </w:rPr>
      </w:pPr>
      <w:r w:rsidRPr="00234C6A">
        <w:rPr>
          <w:rStyle w:val="af1"/>
          <w:rFonts w:ascii="Traditional Arabic" w:hAnsi="Traditional Arabic"/>
          <w:sz w:val="32"/>
          <w:szCs w:val="32"/>
          <w:vertAlign w:val="baseline"/>
        </w:rPr>
        <w:footnoteRef/>
      </w:r>
      <w:r w:rsidRPr="00234C6A">
        <w:rPr>
          <w:rFonts w:ascii="Traditional Arabic" w:hAnsi="Traditional Arabic"/>
          <w:sz w:val="32"/>
          <w:szCs w:val="32"/>
        </w:rPr>
        <w:t>)</w:t>
      </w:r>
      <w:r w:rsidRPr="00234C6A">
        <w:rPr>
          <w:rFonts w:ascii="Traditional Arabic" w:hAnsi="Traditional Arabic"/>
          <w:sz w:val="32"/>
          <w:szCs w:val="32"/>
          <w:rtl/>
        </w:rPr>
        <w:t xml:space="preserve">) </w:t>
      </w:r>
      <w:r w:rsidRPr="00234C6A">
        <w:rPr>
          <w:rFonts w:ascii="Traditional Arabic" w:hAnsi="Traditional Arabic" w:hint="cs"/>
          <w:sz w:val="32"/>
          <w:szCs w:val="32"/>
          <w:rtl/>
        </w:rPr>
        <w:t>الشرح الممتع (9/141).</w:t>
      </w:r>
    </w:p>
  </w:footnote>
  <w:footnote w:id="944">
    <w:p w:rsidR="000D3D21" w:rsidRPr="00234C6A" w:rsidRDefault="000D3D21" w:rsidP="00F665A6">
      <w:pPr>
        <w:pStyle w:val="a7"/>
        <w:rPr>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Pr>
          <w:rFonts w:hint="cs"/>
          <w:sz w:val="32"/>
          <w:szCs w:val="32"/>
          <w:rtl/>
        </w:rPr>
        <w:t xml:space="preserve"> </w:t>
      </w:r>
      <w:r w:rsidRPr="00234C6A">
        <w:rPr>
          <w:rFonts w:hint="cs"/>
          <w:sz w:val="32"/>
          <w:szCs w:val="32"/>
          <w:rtl/>
        </w:rPr>
        <w:t>المرجع السابق (</w:t>
      </w:r>
      <w:r>
        <w:rPr>
          <w:rFonts w:hint="cs"/>
          <w:sz w:val="32"/>
          <w:szCs w:val="32"/>
          <w:rtl/>
        </w:rPr>
        <w:t>9/</w:t>
      </w:r>
      <w:r w:rsidRPr="00234C6A">
        <w:rPr>
          <w:rFonts w:hint="cs"/>
          <w:sz w:val="32"/>
          <w:szCs w:val="32"/>
          <w:rtl/>
        </w:rPr>
        <w:t>207-208).</w:t>
      </w:r>
    </w:p>
  </w:footnote>
  <w:footnote w:id="945">
    <w:p w:rsidR="000D3D21" w:rsidRPr="00234C6A" w:rsidRDefault="000D3D21" w:rsidP="00F665A6">
      <w:pPr>
        <w:pStyle w:val="a7"/>
        <w:spacing w:line="360" w:lineRule="exact"/>
        <w:rPr>
          <w:rFonts w:ascii="Traditional Arabic" w:hAnsi="Traditional Arabic"/>
          <w:sz w:val="32"/>
          <w:szCs w:val="32"/>
          <w:rtl/>
        </w:rPr>
      </w:pPr>
      <w:r w:rsidRPr="00234C6A">
        <w:rPr>
          <w:rFonts w:ascii="Traditional Arabic" w:hAnsi="Traditional Arabic"/>
          <w:sz w:val="32"/>
          <w:szCs w:val="32"/>
        </w:rPr>
        <w:footnoteRef/>
      </w:r>
      <w:r w:rsidRPr="00234C6A">
        <w:rPr>
          <w:rFonts w:ascii="Traditional Arabic" w:hAnsi="Traditional Arabic"/>
          <w:sz w:val="32"/>
          <w:szCs w:val="32"/>
        </w:rPr>
        <w:t>)</w:t>
      </w:r>
      <w:r w:rsidRPr="00234C6A">
        <w:rPr>
          <w:rFonts w:ascii="Traditional Arabic" w:hAnsi="Traditional Arabic"/>
          <w:sz w:val="32"/>
          <w:szCs w:val="32"/>
          <w:rtl/>
        </w:rPr>
        <w:t>) انظر ال</w:t>
      </w:r>
      <w:r>
        <w:rPr>
          <w:rFonts w:ascii="Traditional Arabic" w:hAnsi="Traditional Arabic" w:hint="cs"/>
          <w:sz w:val="32"/>
          <w:szCs w:val="32"/>
          <w:rtl/>
        </w:rPr>
        <w:t>شرح الممتع</w:t>
      </w:r>
      <w:r w:rsidRPr="00234C6A">
        <w:rPr>
          <w:rFonts w:ascii="Traditional Arabic" w:hAnsi="Traditional Arabic"/>
          <w:sz w:val="32"/>
          <w:szCs w:val="32"/>
          <w:rtl/>
        </w:rPr>
        <w:t xml:space="preserve"> (9/262).</w:t>
      </w:r>
    </w:p>
  </w:footnote>
  <w:footnote w:id="946">
    <w:p w:rsidR="000D3D21" w:rsidRDefault="000D3D21" w:rsidP="00F665A6">
      <w:pPr>
        <w:pStyle w:val="a7"/>
        <w:spacing w:line="360" w:lineRule="exact"/>
      </w:pPr>
      <w:r w:rsidRPr="00234C6A">
        <w:rPr>
          <w:rFonts w:ascii="Traditional Arabic" w:hAnsi="Traditional Arabic"/>
          <w:sz w:val="32"/>
          <w:szCs w:val="32"/>
        </w:rPr>
        <w:footnoteRef/>
      </w:r>
      <w:r w:rsidRPr="00234C6A">
        <w:rPr>
          <w:rFonts w:ascii="Traditional Arabic" w:hAnsi="Traditional Arabic"/>
          <w:sz w:val="32"/>
          <w:szCs w:val="32"/>
        </w:rPr>
        <w:t>)</w:t>
      </w:r>
      <w:r w:rsidRPr="00234C6A">
        <w:rPr>
          <w:rFonts w:ascii="Traditional Arabic" w:hAnsi="Traditional Arabic" w:hint="cs"/>
          <w:sz w:val="32"/>
          <w:szCs w:val="32"/>
          <w:rtl/>
        </w:rPr>
        <w:t>)</w:t>
      </w:r>
      <w:r>
        <w:rPr>
          <w:rFonts w:hint="cs"/>
          <w:sz w:val="32"/>
          <w:szCs w:val="32"/>
          <w:rtl/>
        </w:rPr>
        <w:t xml:space="preserve"> </w:t>
      </w:r>
      <w:r w:rsidRPr="00234C6A">
        <w:rPr>
          <w:rFonts w:hint="cs"/>
          <w:sz w:val="32"/>
          <w:szCs w:val="32"/>
          <w:rtl/>
        </w:rPr>
        <w:t>انظر المرجع السابق (9/285).</w:t>
      </w:r>
    </w:p>
  </w:footnote>
  <w:footnote w:id="947">
    <w:p w:rsidR="000D3D21" w:rsidRPr="00FB0CD8" w:rsidRDefault="000D3D21" w:rsidP="00FB0CD8">
      <w:pPr>
        <w:pStyle w:val="a7"/>
        <w:spacing w:line="360" w:lineRule="exact"/>
        <w:rPr>
          <w:b/>
          <w:bCs/>
          <w:rtl/>
        </w:rPr>
      </w:pPr>
      <w:r w:rsidRPr="00FB0CD8">
        <w:rPr>
          <w:rFonts w:ascii="Traditional Arabic" w:hAnsi="Traditional Arabic"/>
          <w:sz w:val="32"/>
          <w:szCs w:val="32"/>
        </w:rPr>
        <w:footnoteRef/>
      </w:r>
      <w:r w:rsidRPr="00FB0CD8">
        <w:rPr>
          <w:rFonts w:ascii="Traditional Arabic" w:hAnsi="Traditional Arabic"/>
          <w:sz w:val="32"/>
          <w:szCs w:val="32"/>
        </w:rPr>
        <w:t>)</w:t>
      </w:r>
      <w:r w:rsidRPr="00FB0CD8">
        <w:rPr>
          <w:rFonts w:ascii="Traditional Arabic" w:hAnsi="Traditional Arabic" w:hint="cs"/>
          <w:sz w:val="32"/>
          <w:szCs w:val="32"/>
          <w:rtl/>
        </w:rPr>
        <w:t>)</w:t>
      </w:r>
      <w:r w:rsidRPr="00FB0CD8">
        <w:rPr>
          <w:rFonts w:ascii="Traditional Arabic" w:hAnsi="Traditional Arabic"/>
          <w:sz w:val="32"/>
          <w:szCs w:val="32"/>
          <w:rtl/>
        </w:rPr>
        <w:t xml:space="preserve"> </w:t>
      </w:r>
      <w:r>
        <w:rPr>
          <w:rFonts w:hint="cs"/>
          <w:b/>
          <w:bCs/>
          <w:rtl/>
        </w:rPr>
        <w:t xml:space="preserve">الدلاّل: </w:t>
      </w:r>
      <w:r w:rsidRPr="00FB0CD8">
        <w:rPr>
          <w:rFonts w:ascii="Traditional Arabic" w:hAnsi="Traditional Arabic"/>
          <w:noProof w:val="0"/>
          <w:sz w:val="32"/>
          <w:szCs w:val="32"/>
          <w:rtl/>
          <w:lang w:eastAsia="en-US"/>
        </w:rPr>
        <w:t>يقال: دللت</w:t>
      </w:r>
      <w:r>
        <w:rPr>
          <w:rFonts w:ascii="Traditional Arabic" w:hAnsi="Traditional Arabic" w:hint="cs"/>
          <w:noProof w:val="0"/>
          <w:sz w:val="32"/>
          <w:szCs w:val="32"/>
          <w:rtl/>
          <w:lang w:eastAsia="en-US"/>
        </w:rPr>
        <w:t>ُ</w:t>
      </w:r>
      <w:r w:rsidRPr="00FB0CD8">
        <w:rPr>
          <w:rFonts w:ascii="Traditional Arabic" w:hAnsi="Traditional Arabic"/>
          <w:noProof w:val="0"/>
          <w:sz w:val="32"/>
          <w:szCs w:val="32"/>
          <w:rtl/>
          <w:lang w:eastAsia="en-US"/>
        </w:rPr>
        <w:t>ك على الشيء د</w:t>
      </w:r>
      <w:r>
        <w:rPr>
          <w:rFonts w:ascii="Traditional Arabic" w:hAnsi="Traditional Arabic" w:hint="cs"/>
          <w:noProof w:val="0"/>
          <w:sz w:val="32"/>
          <w:szCs w:val="32"/>
          <w:rtl/>
          <w:lang w:eastAsia="en-US"/>
        </w:rPr>
        <w:t>َ</w:t>
      </w:r>
      <w:r w:rsidRPr="00FB0CD8">
        <w:rPr>
          <w:rFonts w:ascii="Traditional Arabic" w:hAnsi="Traditional Arabic"/>
          <w:noProof w:val="0"/>
          <w:sz w:val="32"/>
          <w:szCs w:val="32"/>
          <w:rtl/>
          <w:lang w:eastAsia="en-US"/>
        </w:rPr>
        <w:t>لالة، ود</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لالة</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 ود</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لولاً، ود</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لولة</w:t>
      </w:r>
      <w:r w:rsidRPr="00FB0CD8">
        <w:rPr>
          <w:rFonts w:ascii="Traditional Arabic" w:hAnsi="Traditional Arabic"/>
          <w:noProof w:val="0"/>
          <w:sz w:val="32"/>
          <w:szCs w:val="32"/>
          <w:rtl/>
          <w:lang w:eastAsia="en-US"/>
        </w:rPr>
        <w:t xml:space="preserve">: إذا أرشدتك إليه، أي: أرشد المشتري إليه، فكان سمساراً بينهما، ويسمى </w:t>
      </w:r>
      <w:r w:rsidRPr="00FB0CD8">
        <w:rPr>
          <w:rFonts w:ascii="Traditional Arabic" w:hAnsi="Traditional Arabic"/>
          <w:noProof w:val="0"/>
          <w:color w:val="auto"/>
          <w:sz w:val="32"/>
          <w:szCs w:val="32"/>
          <w:rtl/>
          <w:lang w:eastAsia="en-US"/>
        </w:rPr>
        <w:t>الدلا</w:t>
      </w:r>
      <w:r>
        <w:rPr>
          <w:rFonts w:ascii="Traditional Arabic" w:hAnsi="Traditional Arabic" w:hint="cs"/>
          <w:noProof w:val="0"/>
          <w:color w:val="auto"/>
          <w:sz w:val="32"/>
          <w:szCs w:val="32"/>
          <w:rtl/>
          <w:lang w:eastAsia="en-US"/>
        </w:rPr>
        <w:t>ّ</w:t>
      </w:r>
      <w:r w:rsidRPr="00FB0CD8">
        <w:rPr>
          <w:rFonts w:ascii="Traditional Arabic" w:hAnsi="Traditional Arabic"/>
          <w:noProof w:val="0"/>
          <w:color w:val="auto"/>
          <w:sz w:val="32"/>
          <w:szCs w:val="32"/>
          <w:rtl/>
          <w:lang w:eastAsia="en-US"/>
        </w:rPr>
        <w:t>ل</w:t>
      </w:r>
      <w:r w:rsidRPr="00FB0CD8">
        <w:rPr>
          <w:rFonts w:ascii="Traditional Arabic" w:hAnsi="Traditional Arabic"/>
          <w:noProof w:val="0"/>
          <w:sz w:val="32"/>
          <w:szCs w:val="32"/>
          <w:rtl/>
          <w:lang w:eastAsia="en-US"/>
        </w:rPr>
        <w:t>.</w:t>
      </w:r>
      <w:r>
        <w:rPr>
          <w:rFonts w:ascii="Traditional Arabic" w:hAnsi="Traditional Arabic" w:hint="cs"/>
          <w:noProof w:val="0"/>
          <w:sz w:val="32"/>
          <w:szCs w:val="32"/>
          <w:rtl/>
          <w:lang w:eastAsia="en-US"/>
        </w:rPr>
        <w:t xml:space="preserve"> المطلع على ألفاظ المقنع (336).</w:t>
      </w:r>
    </w:p>
  </w:footnote>
  <w:footnote w:id="948">
    <w:p w:rsidR="000D3D21" w:rsidRPr="00234C6A" w:rsidRDefault="000D3D21" w:rsidP="00F665A6">
      <w:pPr>
        <w:pStyle w:val="a7"/>
        <w:spacing w:line="360" w:lineRule="exact"/>
        <w:rPr>
          <w:rFonts w:ascii="Traditional Arabic" w:hAnsi="Traditional Arabic"/>
          <w:sz w:val="32"/>
          <w:szCs w:val="32"/>
          <w:rtl/>
        </w:rPr>
      </w:pPr>
      <w:r w:rsidRPr="00234C6A">
        <w:rPr>
          <w:rFonts w:ascii="Traditional Arabic" w:hAnsi="Traditional Arabic"/>
          <w:sz w:val="32"/>
          <w:szCs w:val="32"/>
        </w:rPr>
        <w:footnoteRef/>
      </w:r>
      <w:r w:rsidRPr="00234C6A">
        <w:rPr>
          <w:rFonts w:ascii="Traditional Arabic" w:hAnsi="Traditional Arabic"/>
          <w:sz w:val="32"/>
          <w:szCs w:val="32"/>
        </w:rPr>
        <w:t>)</w:t>
      </w:r>
      <w:r w:rsidRPr="00234C6A">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w:t>
      </w:r>
      <w:r>
        <w:rPr>
          <w:rFonts w:ascii="Traditional Arabic" w:hAnsi="Traditional Arabic" w:hint="cs"/>
          <w:sz w:val="32"/>
          <w:szCs w:val="32"/>
          <w:rtl/>
        </w:rPr>
        <w:t>لشرح الممتع (9/285)</w:t>
      </w:r>
      <w:r w:rsidRPr="00234C6A">
        <w:rPr>
          <w:rFonts w:ascii="Traditional Arabic" w:hAnsi="Traditional Arabic"/>
          <w:sz w:val="32"/>
          <w:szCs w:val="32"/>
          <w:rtl/>
        </w:rPr>
        <w:t>.</w:t>
      </w:r>
    </w:p>
  </w:footnote>
  <w:footnote w:id="949">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Fonts w:ascii="Traditional Arabic" w:hAnsi="Traditional Arabic"/>
          <w:sz w:val="32"/>
          <w:szCs w:val="32"/>
        </w:rPr>
        <w:t>)</w:t>
      </w:r>
      <w:r>
        <w:rPr>
          <w:rFonts w:ascii="Traditional Arabic" w:hAnsi="Traditional Arabic"/>
          <w:sz w:val="32"/>
          <w:szCs w:val="32"/>
          <w:rtl/>
        </w:rPr>
        <w:t>) انظر ال</w:t>
      </w:r>
      <w:r>
        <w:rPr>
          <w:rFonts w:ascii="Traditional Arabic" w:hAnsi="Traditional Arabic" w:hint="cs"/>
          <w:sz w:val="32"/>
          <w:szCs w:val="32"/>
          <w:rtl/>
        </w:rPr>
        <w:t>مرجع السابق</w:t>
      </w:r>
      <w:r w:rsidRPr="00234C6A">
        <w:rPr>
          <w:rFonts w:ascii="Traditional Arabic" w:hAnsi="Traditional Arabic"/>
          <w:sz w:val="32"/>
          <w:szCs w:val="32"/>
          <w:rtl/>
        </w:rPr>
        <w:t xml:space="preserve"> (9/290).</w:t>
      </w:r>
    </w:p>
  </w:footnote>
  <w:footnote w:id="950">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hint="cs"/>
          <w:sz w:val="32"/>
          <w:szCs w:val="32"/>
          <w:rtl/>
        </w:rPr>
        <w:t xml:space="preserve"> </w:t>
      </w:r>
      <w:r w:rsidRPr="00234C6A">
        <w:rPr>
          <w:rFonts w:ascii="Traditional Arabic" w:hAnsi="Traditional Arabic"/>
          <w:sz w:val="32"/>
          <w:szCs w:val="32"/>
          <w:rtl/>
        </w:rPr>
        <w:t>انظر المرجع السابق.</w:t>
      </w:r>
    </w:p>
  </w:footnote>
  <w:footnote w:id="951">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Pr>
          <w:rFonts w:ascii="Traditional Arabic" w:hAnsi="Traditional Arabic"/>
          <w:sz w:val="32"/>
          <w:szCs w:val="32"/>
          <w:rtl/>
        </w:rPr>
        <w:t xml:space="preserve"> انظر ال</w:t>
      </w:r>
      <w:r>
        <w:rPr>
          <w:rFonts w:ascii="Traditional Arabic" w:hAnsi="Traditional Arabic" w:hint="cs"/>
          <w:sz w:val="32"/>
          <w:szCs w:val="32"/>
          <w:rtl/>
        </w:rPr>
        <w:t>شرح الممتع</w:t>
      </w:r>
      <w:r w:rsidRPr="00234C6A">
        <w:rPr>
          <w:rFonts w:ascii="Traditional Arabic" w:hAnsi="Traditional Arabic"/>
          <w:sz w:val="32"/>
          <w:szCs w:val="32"/>
          <w:rtl/>
        </w:rPr>
        <w:t xml:space="preserve"> (9/365).</w:t>
      </w:r>
    </w:p>
  </w:footnote>
  <w:footnote w:id="952">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sidRPr="00234C6A">
        <w:rPr>
          <w:rFonts w:ascii="Traditional Arabic" w:hAnsi="Traditional Arabic"/>
          <w:sz w:val="32"/>
          <w:szCs w:val="32"/>
          <w:rtl/>
        </w:rPr>
        <w:t xml:space="preserve"> المرجع السابق (9/366).</w:t>
      </w:r>
    </w:p>
  </w:footnote>
  <w:footnote w:id="953">
    <w:p w:rsidR="000D3D21" w:rsidRPr="00234C6A" w:rsidRDefault="000D3D21" w:rsidP="00164159">
      <w:pPr>
        <w:pStyle w:val="a7"/>
        <w:rPr>
          <w:rFonts w:ascii="Traditional Arabic" w:hAnsi="Traditional Arabic"/>
          <w:sz w:val="32"/>
          <w:szCs w:val="32"/>
          <w:rtl/>
        </w:rPr>
      </w:pPr>
      <w:r w:rsidRPr="00234C6A">
        <w:rPr>
          <w:rFonts w:ascii="Traditional Arabic" w:hAnsi="Traditional Arabic"/>
          <w:sz w:val="32"/>
          <w:szCs w:val="32"/>
        </w:rPr>
        <w:footnoteRef/>
      </w:r>
      <w:r w:rsidRPr="00234C6A">
        <w:rPr>
          <w:rFonts w:ascii="Traditional Arabic" w:hAnsi="Traditional Arabic"/>
          <w:sz w:val="32"/>
          <w:szCs w:val="32"/>
        </w:rPr>
        <w:t>)</w:t>
      </w:r>
      <w:r w:rsidRPr="00234C6A">
        <w:rPr>
          <w:rFonts w:ascii="Traditional Arabic" w:hAnsi="Traditional Arabic"/>
          <w:sz w:val="32"/>
          <w:szCs w:val="32"/>
          <w:rtl/>
        </w:rPr>
        <w:t xml:space="preserve">) </w:t>
      </w:r>
      <w:r w:rsidRPr="00234C6A">
        <w:rPr>
          <w:rFonts w:ascii="Traditional Arabic" w:hAnsi="Traditional Arabic"/>
          <w:b/>
          <w:bCs/>
          <w:sz w:val="32"/>
          <w:szCs w:val="32"/>
          <w:rtl/>
        </w:rPr>
        <w:t>شركة المفاوضة</w:t>
      </w:r>
      <w:r w:rsidR="00AB0B9E" w:rsidRPr="00234C6A">
        <w:rPr>
          <w:rFonts w:ascii="Traditional Arabic" w:hAnsi="Traditional Arabic"/>
          <w:b/>
          <w:bCs/>
          <w:sz w:val="32"/>
          <w:szCs w:val="32"/>
          <w:rtl/>
        </w:rPr>
        <w:fldChar w:fldCharType="begin"/>
      </w:r>
      <w:r w:rsidRPr="00234C6A">
        <w:rPr>
          <w:rFonts w:ascii="Traditional Arabic" w:hAnsi="Traditional Arabic"/>
          <w:sz w:val="32"/>
          <w:szCs w:val="32"/>
        </w:rPr>
        <w:instrText xml:space="preserve"> XE "</w:instrText>
      </w:r>
      <w:r w:rsidRPr="00234C6A">
        <w:rPr>
          <w:rFonts w:ascii="Traditional Arabic" w:hAnsi="Traditional Arabic"/>
          <w:sz w:val="32"/>
          <w:szCs w:val="32"/>
          <w:rtl/>
        </w:rPr>
        <w:instrText>شركة المفاوضة</w:instrText>
      </w:r>
      <w:r w:rsidRPr="00234C6A">
        <w:rPr>
          <w:rFonts w:ascii="Traditional Arabic" w:hAnsi="Traditional Arabic"/>
          <w:sz w:val="32"/>
          <w:szCs w:val="32"/>
        </w:rPr>
        <w:instrText>" \fm</w:instrText>
      </w:r>
      <w:r w:rsidR="00AB0B9E" w:rsidRPr="00234C6A">
        <w:rPr>
          <w:rFonts w:ascii="Traditional Arabic" w:hAnsi="Traditional Arabic"/>
          <w:b/>
          <w:bCs/>
          <w:sz w:val="32"/>
          <w:szCs w:val="32"/>
          <w:rtl/>
        </w:rPr>
        <w:fldChar w:fldCharType="end"/>
      </w:r>
      <w:r w:rsidRPr="00234C6A">
        <w:rPr>
          <w:rFonts w:ascii="Traditional Arabic" w:hAnsi="Traditional Arabic"/>
          <w:sz w:val="32"/>
          <w:szCs w:val="32"/>
          <w:rtl/>
        </w:rPr>
        <w:t>:</w:t>
      </w:r>
      <w:r>
        <w:rPr>
          <w:rFonts w:ascii="Traditional Arabic" w:hAnsi="Traditional Arabic" w:hint="cs"/>
          <w:sz w:val="32"/>
          <w:szCs w:val="32"/>
          <w:rtl/>
        </w:rPr>
        <w:t xml:space="preserve"> </w:t>
      </w:r>
      <w:r w:rsidRPr="00234C6A">
        <w:rPr>
          <w:rFonts w:ascii="Traditional Arabic" w:hAnsi="Traditional Arabic"/>
          <w:sz w:val="32"/>
          <w:szCs w:val="32"/>
          <w:rtl/>
        </w:rPr>
        <w:t>أن يفوِّض كل منهما إلى صاحبه كل تصرّف مالي وبدني من أنواع الشركة.</w:t>
      </w:r>
      <w:r>
        <w:rPr>
          <w:rFonts w:ascii="Traditional Arabic" w:hAnsi="Traditional Arabic" w:hint="cs"/>
          <w:sz w:val="32"/>
          <w:szCs w:val="32"/>
          <w:rtl/>
        </w:rPr>
        <w:t xml:space="preserve"> زاد المستقنع لشرف الدين موسى الحجاوي</w:t>
      </w:r>
      <w:r>
        <w:rPr>
          <w:rFonts w:ascii="Traditional Arabic" w:hAnsi="Traditional Arabic"/>
          <w:sz w:val="32"/>
          <w:szCs w:val="32"/>
          <w:rtl/>
        </w:rPr>
        <w:t xml:space="preserve"> (</w:t>
      </w:r>
      <w:r>
        <w:rPr>
          <w:rFonts w:ascii="Traditional Arabic" w:hAnsi="Traditional Arabic" w:hint="cs"/>
          <w:sz w:val="32"/>
          <w:szCs w:val="32"/>
          <w:rtl/>
        </w:rPr>
        <w:t>125</w:t>
      </w:r>
      <w:r w:rsidRPr="00234C6A">
        <w:rPr>
          <w:rFonts w:ascii="Traditional Arabic" w:hAnsi="Traditional Arabic"/>
          <w:sz w:val="32"/>
          <w:szCs w:val="32"/>
          <w:rtl/>
        </w:rPr>
        <w:t>)</w:t>
      </w:r>
      <w:r>
        <w:rPr>
          <w:rFonts w:ascii="Traditional Arabic" w:hAnsi="Traditional Arabic" w:hint="cs"/>
          <w:sz w:val="32"/>
          <w:szCs w:val="32"/>
          <w:rtl/>
        </w:rPr>
        <w:t xml:space="preserve"> ط/ العسكر</w:t>
      </w:r>
      <w:r w:rsidRPr="00234C6A">
        <w:rPr>
          <w:rFonts w:ascii="Traditional Arabic" w:hAnsi="Traditional Arabic"/>
          <w:sz w:val="32"/>
          <w:szCs w:val="32"/>
          <w:rtl/>
        </w:rPr>
        <w:t xml:space="preserve">. </w:t>
      </w:r>
    </w:p>
  </w:footnote>
  <w:footnote w:id="954">
    <w:p w:rsidR="000D3D21" w:rsidRPr="00873C3C" w:rsidRDefault="000D3D21" w:rsidP="00F665A6">
      <w:pPr>
        <w:pStyle w:val="a7"/>
        <w:rPr>
          <w:rFonts w:ascii="Traditional Arabic" w:hAnsi="Traditional Arabic"/>
          <w:sz w:val="32"/>
          <w:szCs w:val="32"/>
        </w:rPr>
      </w:pPr>
      <w:r w:rsidRPr="00234C6A">
        <w:rPr>
          <w:rFonts w:ascii="Traditional Arabic" w:hAnsi="Traditional Arabic"/>
          <w:sz w:val="32"/>
          <w:szCs w:val="32"/>
          <w:rtl/>
        </w:rPr>
        <w:t>(</w:t>
      </w:r>
      <w:r w:rsidRPr="00234C6A">
        <w:rPr>
          <w:rFonts w:ascii="Traditional Arabic" w:hAnsi="Traditional Arabic"/>
          <w:sz w:val="32"/>
          <w:szCs w:val="32"/>
          <w:rtl/>
        </w:rPr>
        <w:footnoteRef/>
      </w:r>
      <w:r>
        <w:rPr>
          <w:rFonts w:ascii="Traditional Arabic" w:hAnsi="Traditional Arabic"/>
          <w:sz w:val="32"/>
          <w:szCs w:val="32"/>
          <w:rtl/>
        </w:rPr>
        <w:t>) ال</w:t>
      </w:r>
      <w:r>
        <w:rPr>
          <w:rFonts w:ascii="Traditional Arabic" w:hAnsi="Traditional Arabic" w:hint="cs"/>
          <w:sz w:val="32"/>
          <w:szCs w:val="32"/>
          <w:rtl/>
        </w:rPr>
        <w:t>شرح الممتع</w:t>
      </w:r>
      <w:r w:rsidRPr="00234C6A">
        <w:rPr>
          <w:rFonts w:ascii="Traditional Arabic" w:hAnsi="Traditional Arabic"/>
          <w:sz w:val="32"/>
          <w:szCs w:val="32"/>
          <w:rtl/>
        </w:rPr>
        <w:t xml:space="preserve"> (9/442).</w:t>
      </w:r>
    </w:p>
  </w:footnote>
  <w:footnote w:id="955">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Fonts w:ascii="Traditional Arabic" w:hAnsi="Traditional Arabic"/>
          <w:sz w:val="32"/>
          <w:szCs w:val="32"/>
        </w:rPr>
        <w:t>)</w:t>
      </w:r>
      <w:r>
        <w:rPr>
          <w:rFonts w:ascii="Traditional Arabic" w:hAnsi="Traditional Arabic"/>
          <w:sz w:val="32"/>
          <w:szCs w:val="32"/>
          <w:rtl/>
        </w:rPr>
        <w:t>) ال</w:t>
      </w:r>
      <w:r>
        <w:rPr>
          <w:rFonts w:ascii="Traditional Arabic" w:hAnsi="Traditional Arabic" w:hint="cs"/>
          <w:sz w:val="32"/>
          <w:szCs w:val="32"/>
          <w:rtl/>
        </w:rPr>
        <w:t>مرجع السابق</w:t>
      </w:r>
      <w:r>
        <w:rPr>
          <w:rFonts w:ascii="Traditional Arabic" w:hAnsi="Traditional Arabic"/>
          <w:sz w:val="32"/>
          <w:szCs w:val="32"/>
          <w:rtl/>
        </w:rPr>
        <w:t xml:space="preserve"> (9/442-443) </w:t>
      </w:r>
      <w:r>
        <w:rPr>
          <w:rFonts w:ascii="Traditional Arabic" w:hAnsi="Traditional Arabic" w:hint="cs"/>
          <w:sz w:val="32"/>
          <w:szCs w:val="32"/>
          <w:rtl/>
        </w:rPr>
        <w:t>بتصرف</w:t>
      </w:r>
      <w:r w:rsidRPr="00234C6A">
        <w:rPr>
          <w:rFonts w:ascii="Traditional Arabic" w:hAnsi="Traditional Arabic"/>
          <w:sz w:val="32"/>
          <w:szCs w:val="32"/>
          <w:rtl/>
        </w:rPr>
        <w:t>.</w:t>
      </w:r>
    </w:p>
  </w:footnote>
  <w:footnote w:id="956">
    <w:p w:rsidR="000D3D21" w:rsidRPr="00234C6A" w:rsidRDefault="000D3D21" w:rsidP="00F665A6">
      <w:pPr>
        <w:pStyle w:val="a7"/>
        <w:rPr>
          <w:rFonts w:ascii="Traditional Arabic" w:hAnsi="Traditional Arabic"/>
          <w:sz w:val="32"/>
          <w:szCs w:val="32"/>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sz w:val="32"/>
          <w:szCs w:val="32"/>
          <w:vertAlign w:val="baseline"/>
          <w:rtl/>
        </w:rPr>
        <w:t>)</w:t>
      </w:r>
      <w:r w:rsidRPr="00234C6A">
        <w:rPr>
          <w:rFonts w:ascii="Traditional Arabic" w:hAnsi="Traditional Arabic"/>
          <w:sz w:val="32"/>
          <w:szCs w:val="32"/>
          <w:rtl/>
        </w:rPr>
        <w:t xml:space="preserve"> كما لو غرسها</w:t>
      </w:r>
      <w:r>
        <w:rPr>
          <w:rFonts w:ascii="Traditional Arabic" w:hAnsi="Traditional Arabic" w:hint="cs"/>
          <w:sz w:val="32"/>
          <w:szCs w:val="32"/>
          <w:rtl/>
        </w:rPr>
        <w:t xml:space="preserve"> </w:t>
      </w:r>
      <w:r w:rsidRPr="00234C6A">
        <w:rPr>
          <w:rFonts w:ascii="Traditional Arabic" w:hAnsi="Traditional Arabic"/>
          <w:sz w:val="32"/>
          <w:szCs w:val="32"/>
          <w:rtl/>
        </w:rPr>
        <w:t>الغاصب برتقالاً</w:t>
      </w:r>
      <w:r>
        <w:rPr>
          <w:rFonts w:ascii="Traditional Arabic" w:hAnsi="Traditional Arabic" w:hint="cs"/>
          <w:sz w:val="32"/>
          <w:szCs w:val="32"/>
          <w:rtl/>
        </w:rPr>
        <w:t xml:space="preserve"> مثلَاَ</w:t>
      </w:r>
      <w:r w:rsidRPr="00234C6A">
        <w:rPr>
          <w:rFonts w:ascii="Traditional Arabic" w:hAnsi="Traditional Arabic"/>
          <w:sz w:val="32"/>
          <w:szCs w:val="32"/>
          <w:rtl/>
        </w:rPr>
        <w:t>، وصاحب الأرض يريد أن يغرسها نخلاً.</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w:t>
      </w:r>
      <w:r>
        <w:rPr>
          <w:rFonts w:ascii="Traditional Arabic" w:hAnsi="Traditional Arabic"/>
          <w:sz w:val="32"/>
          <w:szCs w:val="32"/>
          <w:rtl/>
        </w:rPr>
        <w:t>ر</w:t>
      </w:r>
      <w:r>
        <w:rPr>
          <w:rFonts w:ascii="Traditional Arabic" w:hAnsi="Traditional Arabic" w:hint="cs"/>
          <w:sz w:val="32"/>
          <w:szCs w:val="32"/>
          <w:rtl/>
        </w:rPr>
        <w:t>جع</w:t>
      </w:r>
      <w:r>
        <w:rPr>
          <w:rFonts w:ascii="Traditional Arabic" w:hAnsi="Traditional Arabic"/>
          <w:sz w:val="32"/>
          <w:szCs w:val="32"/>
          <w:rtl/>
        </w:rPr>
        <w:t xml:space="preserve"> ال</w:t>
      </w:r>
      <w:r>
        <w:rPr>
          <w:rFonts w:ascii="Traditional Arabic" w:hAnsi="Traditional Arabic" w:hint="cs"/>
          <w:sz w:val="32"/>
          <w:szCs w:val="32"/>
          <w:rtl/>
        </w:rPr>
        <w:t>سابق</w:t>
      </w:r>
      <w:r w:rsidRPr="00234C6A">
        <w:rPr>
          <w:rFonts w:ascii="Traditional Arabic" w:hAnsi="Traditional Arabic"/>
          <w:sz w:val="32"/>
          <w:szCs w:val="32"/>
          <w:rtl/>
        </w:rPr>
        <w:t xml:space="preserve"> (10/152).</w:t>
      </w:r>
    </w:p>
  </w:footnote>
  <w:footnote w:id="957">
    <w:p w:rsidR="000D3D21" w:rsidRPr="00234C6A" w:rsidRDefault="000D3D21" w:rsidP="00F665A6">
      <w:pPr>
        <w:pStyle w:val="a7"/>
        <w:rPr>
          <w:rFonts w:ascii="Traditional Arabic" w:hAnsi="Traditional Arabic"/>
          <w:sz w:val="32"/>
          <w:szCs w:val="32"/>
        </w:rPr>
      </w:pPr>
      <w:r w:rsidRPr="00234C6A">
        <w:rPr>
          <w:rStyle w:val="af1"/>
          <w:rFonts w:ascii="Traditional Arabic" w:hAnsi="Traditional Arabic"/>
          <w:sz w:val="32"/>
          <w:szCs w:val="32"/>
          <w:vertAlign w:val="baseline"/>
        </w:rPr>
        <w:footnoteRef/>
      </w:r>
      <w:r w:rsidRPr="00234C6A">
        <w:rPr>
          <w:rFonts w:ascii="Traditional Arabic" w:hAnsi="Traditional Arabic"/>
          <w:sz w:val="32"/>
          <w:szCs w:val="32"/>
        </w:rPr>
        <w:t>)</w:t>
      </w:r>
      <w:r w:rsidRPr="00234C6A">
        <w:rPr>
          <w:rFonts w:ascii="Traditional Arabic" w:hAnsi="Traditional Arabic"/>
          <w:sz w:val="32"/>
          <w:szCs w:val="32"/>
          <w:rtl/>
        </w:rPr>
        <w:t>) انظر المرجع السابق (10/151-152).</w:t>
      </w:r>
    </w:p>
  </w:footnote>
  <w:footnote w:id="958">
    <w:p w:rsidR="000D3D21" w:rsidRPr="00234C6A" w:rsidRDefault="000D3D21" w:rsidP="00F665A6">
      <w:pPr>
        <w:pStyle w:val="a7"/>
        <w:rPr>
          <w:rFonts w:ascii="Traditional Arabic" w:hAnsi="Traditional Arabic"/>
          <w:sz w:val="32"/>
          <w:szCs w:val="32"/>
        </w:rPr>
      </w:pPr>
      <w:r w:rsidRPr="00234C6A">
        <w:rPr>
          <w:rFonts w:ascii="Traditional Arabic" w:hAnsi="Traditional Arabic"/>
          <w:sz w:val="32"/>
          <w:szCs w:val="32"/>
        </w:rPr>
        <w:footnoteRef/>
      </w:r>
      <w:r w:rsidRPr="00234C6A">
        <w:rPr>
          <w:rFonts w:ascii="Traditional Arabic" w:hAnsi="Traditional Arabic"/>
          <w:sz w:val="32"/>
          <w:szCs w:val="32"/>
        </w:rPr>
        <w:t>)</w:t>
      </w:r>
      <w:r w:rsidRPr="00234C6A">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 xml:space="preserve">شرح الممتع </w:t>
      </w:r>
      <w:r w:rsidRPr="00234C6A">
        <w:rPr>
          <w:rFonts w:ascii="Traditional Arabic" w:hAnsi="Traditional Arabic"/>
          <w:sz w:val="32"/>
          <w:szCs w:val="32"/>
          <w:rtl/>
        </w:rPr>
        <w:t>(10/153).</w:t>
      </w:r>
    </w:p>
  </w:footnote>
  <w:footnote w:id="959">
    <w:p w:rsidR="000D3D21" w:rsidRPr="00234C6A" w:rsidRDefault="000D3D21" w:rsidP="00F665A6">
      <w:pPr>
        <w:pStyle w:val="a7"/>
        <w:rPr>
          <w:rFonts w:ascii="Traditional Arabic" w:hAnsi="Traditional Arabic"/>
          <w:sz w:val="32"/>
          <w:szCs w:val="32"/>
          <w:rtl/>
        </w:rPr>
      </w:pPr>
      <w:r w:rsidRPr="00234C6A">
        <w:rPr>
          <w:rFonts w:ascii="Traditional Arabic" w:hAnsi="Traditional Arabic"/>
          <w:sz w:val="32"/>
          <w:szCs w:val="32"/>
        </w:rPr>
        <w:footnoteRef/>
      </w:r>
      <w:r w:rsidRPr="00234C6A">
        <w:rPr>
          <w:rFonts w:ascii="Traditional Arabic" w:hAnsi="Traditional Arabic"/>
          <w:sz w:val="32"/>
          <w:szCs w:val="32"/>
        </w:rPr>
        <w:t>)</w:t>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234C6A">
        <w:rPr>
          <w:rFonts w:ascii="Traditional Arabic" w:hAnsi="Traditional Arabic"/>
          <w:sz w:val="32"/>
          <w:szCs w:val="32"/>
          <w:rtl/>
        </w:rPr>
        <w:t xml:space="preserve"> (10/335-336).</w:t>
      </w:r>
    </w:p>
  </w:footnote>
  <w:footnote w:id="960">
    <w:p w:rsidR="000D3D21" w:rsidRDefault="000D3D21" w:rsidP="00F665A6">
      <w:pPr>
        <w:pStyle w:val="a7"/>
        <w:rPr>
          <w:rtl/>
        </w:rPr>
      </w:pPr>
      <w:r w:rsidRPr="00234C6A">
        <w:rPr>
          <w:rFonts w:ascii="Traditional Arabic" w:hAnsi="Traditional Arabic"/>
          <w:sz w:val="32"/>
          <w:szCs w:val="32"/>
        </w:rPr>
        <w:footnoteRef/>
      </w:r>
      <w:r w:rsidRPr="00234C6A">
        <w:rPr>
          <w:rFonts w:ascii="Traditional Arabic" w:hAnsi="Traditional Arabic"/>
          <w:sz w:val="32"/>
          <w:szCs w:val="32"/>
        </w:rPr>
        <w:t>)</w:t>
      </w:r>
      <w:r w:rsidRPr="00234C6A">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w:t>
      </w:r>
      <w:r>
        <w:rPr>
          <w:rFonts w:ascii="Traditional Arabic" w:hAnsi="Traditional Arabic" w:hint="cs"/>
          <w:sz w:val="32"/>
          <w:szCs w:val="32"/>
          <w:rtl/>
        </w:rPr>
        <w:t>لمرجع السابق</w:t>
      </w:r>
      <w:r w:rsidRPr="00234C6A">
        <w:rPr>
          <w:rFonts w:ascii="Traditional Arabic" w:hAnsi="Traditional Arabic"/>
          <w:sz w:val="32"/>
          <w:szCs w:val="32"/>
          <w:rtl/>
        </w:rPr>
        <w:t xml:space="preserve"> (10/336).</w:t>
      </w:r>
    </w:p>
  </w:footnote>
  <w:footnote w:id="961">
    <w:p w:rsidR="000D3D21" w:rsidRDefault="000D3D21" w:rsidP="00F665A6">
      <w:pPr>
        <w:pStyle w:val="a7"/>
        <w:rPr>
          <w:rtl/>
        </w:rPr>
      </w:pPr>
      <w:r w:rsidRPr="00234C6A">
        <w:rPr>
          <w:rStyle w:val="af1"/>
          <w:rFonts w:ascii="Traditional Arabic" w:hAnsi="Traditional Arabic"/>
          <w:sz w:val="32"/>
          <w:szCs w:val="32"/>
          <w:vertAlign w:val="baseline"/>
        </w:rPr>
        <w:footnoteRef/>
      </w:r>
      <w:r w:rsidRPr="00234C6A">
        <w:rPr>
          <w:rStyle w:val="af1"/>
          <w:rFonts w:ascii="Traditional Arabic" w:hAnsi="Traditional Arabic"/>
          <w:sz w:val="32"/>
          <w:szCs w:val="32"/>
          <w:vertAlign w:val="baseline"/>
        </w:rPr>
        <w:t>)</w:t>
      </w:r>
      <w:r w:rsidRPr="00234C6A">
        <w:rPr>
          <w:rStyle w:val="af1"/>
          <w:rFonts w:ascii="Traditional Arabic" w:hAnsi="Traditional Arabic" w:hint="cs"/>
          <w:sz w:val="32"/>
          <w:szCs w:val="32"/>
          <w:vertAlign w:val="baseline"/>
          <w:rtl/>
        </w:rPr>
        <w:t>)</w:t>
      </w:r>
      <w:r>
        <w:rPr>
          <w:rFonts w:hint="cs"/>
          <w:sz w:val="32"/>
          <w:szCs w:val="32"/>
          <w:rtl/>
        </w:rPr>
        <w:t xml:space="preserve"> انظر المرجع السابق (9/36، 37</w:t>
      </w:r>
      <w:r w:rsidRPr="00234C6A">
        <w:rPr>
          <w:rFonts w:hint="cs"/>
          <w:sz w:val="32"/>
          <w:szCs w:val="32"/>
          <w:rtl/>
        </w:rPr>
        <w:t>)</w:t>
      </w:r>
      <w:r>
        <w:rPr>
          <w:rFonts w:hint="cs"/>
          <w:sz w:val="32"/>
          <w:szCs w:val="32"/>
          <w:rtl/>
        </w:rPr>
        <w:t>، وحاشية الروض المربع (4/555)، والقواعد الفقهية وتطبيقاتها على المذاهب الأربعة (1/207)</w:t>
      </w:r>
      <w:r w:rsidRPr="00234C6A">
        <w:rPr>
          <w:rFonts w:hint="cs"/>
          <w:sz w:val="32"/>
          <w:szCs w:val="32"/>
          <w:rtl/>
        </w:rPr>
        <w:t>.</w:t>
      </w:r>
    </w:p>
  </w:footnote>
  <w:footnote w:id="962">
    <w:p w:rsidR="000D3D21" w:rsidRPr="00265393" w:rsidRDefault="000D3D21" w:rsidP="00435B0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265393">
        <w:rPr>
          <w:rFonts w:ascii="Traditional Arabic" w:hAnsi="Traditional Arabic"/>
          <w:b/>
          <w:bCs/>
          <w:sz w:val="32"/>
          <w:szCs w:val="32"/>
          <w:rtl/>
        </w:rPr>
        <w:t>الصائل</w:t>
      </w:r>
      <w:r w:rsidR="00AB0B9E">
        <w:rPr>
          <w:rFonts w:ascii="Traditional Arabic" w:hAnsi="Traditional Arabic"/>
          <w:b/>
          <w:bCs/>
          <w:sz w:val="32"/>
          <w:szCs w:val="32"/>
          <w:rtl/>
        </w:rPr>
        <w:fldChar w:fldCharType="begin"/>
      </w:r>
      <w:r>
        <w:instrText xml:space="preserve"> XE "</w:instrText>
      </w:r>
      <w:r w:rsidRPr="00435B0D">
        <w:rPr>
          <w:rFonts w:ascii="Traditional Arabic" w:hAnsi="Traditional Arabic"/>
          <w:sz w:val="32"/>
          <w:szCs w:val="32"/>
          <w:rtl/>
        </w:rPr>
        <w:instrText>الصائل</w:instrText>
      </w:r>
      <w:r>
        <w:instrText xml:space="preserve">" </w:instrText>
      </w:r>
      <w:r w:rsidRPr="00435B0D">
        <w:instrText>\fm</w:instrText>
      </w:r>
      <w:r w:rsidR="00AB0B9E">
        <w:rPr>
          <w:rFonts w:ascii="Traditional Arabic" w:hAnsi="Traditional Arabic"/>
          <w:b/>
          <w:bCs/>
          <w:sz w:val="32"/>
          <w:szCs w:val="32"/>
          <w:rtl/>
        </w:rPr>
        <w:fldChar w:fldCharType="end"/>
      </w:r>
      <w:r w:rsidRPr="00265393">
        <w:rPr>
          <w:rFonts w:ascii="Traditional Arabic" w:hAnsi="Traditional Arabic"/>
          <w:b/>
          <w:bCs/>
          <w:sz w:val="32"/>
          <w:szCs w:val="32"/>
          <w:rtl/>
        </w:rPr>
        <w:t xml:space="preserve"> على الشخص: </w:t>
      </w:r>
      <w:r w:rsidRPr="00265393">
        <w:rPr>
          <w:rFonts w:ascii="Traditional Arabic" w:hAnsi="Traditional Arabic"/>
          <w:sz w:val="32"/>
          <w:szCs w:val="32"/>
          <w:rtl/>
        </w:rPr>
        <w:t>القاصد</w:t>
      </w:r>
      <w:r>
        <w:rPr>
          <w:rFonts w:ascii="Traditional Arabic" w:hAnsi="Traditional Arabic" w:hint="cs"/>
          <w:sz w:val="32"/>
          <w:szCs w:val="32"/>
          <w:rtl/>
        </w:rPr>
        <w:t>ُ</w:t>
      </w:r>
      <w:r w:rsidRPr="00265393">
        <w:rPr>
          <w:rFonts w:ascii="Traditional Arabic" w:hAnsi="Traditional Arabic"/>
          <w:sz w:val="32"/>
          <w:szCs w:val="32"/>
          <w:rtl/>
        </w:rPr>
        <w:t xml:space="preserve"> الوثوب</w:t>
      </w:r>
      <w:r>
        <w:rPr>
          <w:rFonts w:ascii="Traditional Arabic" w:hAnsi="Traditional Arabic" w:hint="cs"/>
          <w:sz w:val="32"/>
          <w:szCs w:val="32"/>
          <w:rtl/>
        </w:rPr>
        <w:t>َ</w:t>
      </w:r>
      <w:r>
        <w:rPr>
          <w:rFonts w:ascii="Traditional Arabic" w:hAnsi="Traditional Arabic"/>
          <w:sz w:val="32"/>
          <w:szCs w:val="32"/>
          <w:rtl/>
        </w:rPr>
        <w:t xml:space="preserve"> عليه. المطلع على أ</w:t>
      </w:r>
      <w:r>
        <w:rPr>
          <w:rFonts w:ascii="Traditional Arabic" w:hAnsi="Traditional Arabic" w:hint="cs"/>
          <w:sz w:val="32"/>
          <w:szCs w:val="32"/>
          <w:rtl/>
        </w:rPr>
        <w:t>لفاظ</w:t>
      </w:r>
      <w:r w:rsidRPr="00265393">
        <w:rPr>
          <w:rFonts w:ascii="Traditional Arabic" w:hAnsi="Traditional Arabic"/>
          <w:sz w:val="32"/>
          <w:szCs w:val="32"/>
          <w:rtl/>
        </w:rPr>
        <w:t xml:space="preserve"> المقنع (</w:t>
      </w:r>
      <w:r>
        <w:rPr>
          <w:rFonts w:ascii="Traditional Arabic" w:hAnsi="Traditional Arabic" w:hint="cs"/>
          <w:sz w:val="32"/>
          <w:szCs w:val="32"/>
          <w:rtl/>
        </w:rPr>
        <w:t>211</w:t>
      </w:r>
      <w:r w:rsidRPr="00265393">
        <w:rPr>
          <w:rFonts w:ascii="Traditional Arabic" w:hAnsi="Traditional Arabic"/>
          <w:sz w:val="32"/>
          <w:szCs w:val="32"/>
          <w:rtl/>
        </w:rPr>
        <w:t>).</w:t>
      </w:r>
    </w:p>
  </w:footnote>
  <w:footnote w:id="963">
    <w:p w:rsidR="000D3D21" w:rsidRPr="00265393"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65393">
        <w:rPr>
          <w:rFonts w:ascii="Traditional Arabic" w:hAnsi="Traditional Arabic"/>
          <w:sz w:val="32"/>
          <w:szCs w:val="32"/>
          <w:rtl/>
        </w:rPr>
        <w:t>الشرح الممتع (10/216-217).</w:t>
      </w:r>
    </w:p>
  </w:footnote>
  <w:footnote w:id="964">
    <w:p w:rsidR="000D3D21" w:rsidRPr="00265393" w:rsidRDefault="000D3D21" w:rsidP="00A76AF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الشرح الممتع (</w:t>
      </w:r>
      <w:r>
        <w:rPr>
          <w:rFonts w:ascii="Traditional Arabic" w:hAnsi="Traditional Arabic" w:hint="cs"/>
          <w:sz w:val="32"/>
          <w:szCs w:val="32"/>
          <w:rtl/>
        </w:rPr>
        <w:t>7</w:t>
      </w:r>
      <w:r w:rsidRPr="00265393">
        <w:rPr>
          <w:rFonts w:ascii="Traditional Arabic" w:hAnsi="Traditional Arabic"/>
          <w:sz w:val="32"/>
          <w:szCs w:val="32"/>
          <w:rtl/>
        </w:rPr>
        <w:t>/146).</w:t>
      </w:r>
    </w:p>
    <w:p w:rsidR="000D3D21" w:rsidRPr="00265393" w:rsidRDefault="000D3D21" w:rsidP="00A76AFC">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265393">
        <w:rPr>
          <w:rFonts w:ascii="Traditional Arabic" w:hAnsi="Traditional Arabic"/>
          <w:b/>
          <w:bCs/>
          <w:sz w:val="32"/>
          <w:szCs w:val="32"/>
          <w:rtl/>
        </w:rPr>
        <w:t xml:space="preserve">تنبيه: </w:t>
      </w:r>
      <w:r w:rsidRPr="00265393">
        <w:rPr>
          <w:rFonts w:ascii="Traditional Arabic" w:hAnsi="Traditional Arabic"/>
          <w:sz w:val="32"/>
          <w:szCs w:val="32"/>
          <w:rtl/>
        </w:rPr>
        <w:t>مما يدل أن الشيخ جعلها قاعدة</w:t>
      </w:r>
      <w:r>
        <w:rPr>
          <w:rFonts w:ascii="Traditional Arabic" w:hAnsi="Traditional Arabic" w:hint="cs"/>
          <w:sz w:val="32"/>
          <w:szCs w:val="32"/>
          <w:rtl/>
        </w:rPr>
        <w:t>،</w:t>
      </w:r>
      <w:r w:rsidRPr="00265393">
        <w:rPr>
          <w:rFonts w:ascii="Traditional Arabic" w:hAnsi="Traditional Arabic"/>
          <w:sz w:val="32"/>
          <w:szCs w:val="32"/>
          <w:rtl/>
        </w:rPr>
        <w:t xml:space="preserve"> أنه ذكر شيئا من فروعها في هذا الموضع من الشرح الممتع.</w:t>
      </w:r>
      <w:r>
        <w:rPr>
          <w:rFonts w:ascii="Traditional Arabic" w:hAnsi="Traditional Arabic" w:hint="cs"/>
          <w:sz w:val="32"/>
          <w:szCs w:val="32"/>
          <w:rtl/>
        </w:rPr>
        <w:t xml:space="preserve"> </w:t>
      </w:r>
      <w:r w:rsidRPr="00265393">
        <w:rPr>
          <w:rFonts w:ascii="Traditional Arabic" w:hAnsi="Traditional Arabic"/>
          <w:sz w:val="32"/>
          <w:szCs w:val="32"/>
          <w:rtl/>
        </w:rPr>
        <w:t>انظر (7/146-147).</w:t>
      </w:r>
    </w:p>
  </w:footnote>
  <w:footnote w:id="965">
    <w:p w:rsidR="000D3D21" w:rsidRPr="00265393"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65393">
        <w:rPr>
          <w:rFonts w:ascii="Traditional Arabic" w:hAnsi="Traditional Arabic"/>
          <w:sz w:val="32"/>
          <w:szCs w:val="32"/>
          <w:rtl/>
        </w:rPr>
        <w:t>منظومة أصول الفقه وقواعده (</w:t>
      </w:r>
      <w:r>
        <w:rPr>
          <w:rFonts w:ascii="Traditional Arabic" w:hAnsi="Traditional Arabic" w:hint="cs"/>
          <w:sz w:val="32"/>
          <w:szCs w:val="32"/>
          <w:rtl/>
        </w:rPr>
        <w:t>14</w:t>
      </w:r>
      <w:r w:rsidRPr="00265393">
        <w:rPr>
          <w:rFonts w:ascii="Traditional Arabic" w:hAnsi="Traditional Arabic"/>
          <w:sz w:val="32"/>
          <w:szCs w:val="32"/>
          <w:rtl/>
        </w:rPr>
        <w:t>).</w:t>
      </w:r>
    </w:p>
  </w:footnote>
  <w:footnote w:id="966">
    <w:p w:rsidR="000D3D21" w:rsidRPr="00D5642E" w:rsidRDefault="000D3D21" w:rsidP="00A76AF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ص (</w:t>
      </w:r>
      <w:r>
        <w:rPr>
          <w:rFonts w:ascii="Traditional Arabic" w:hAnsi="Traditional Arabic" w:hint="cs"/>
          <w:sz w:val="32"/>
          <w:szCs w:val="32"/>
          <w:rtl/>
        </w:rPr>
        <w:t>356</w:t>
      </w:r>
      <w:r w:rsidRPr="00265393">
        <w:rPr>
          <w:rFonts w:ascii="Traditional Arabic" w:hAnsi="Traditional Arabic"/>
          <w:sz w:val="32"/>
          <w:szCs w:val="32"/>
          <w:rtl/>
        </w:rPr>
        <w:t>) من هذه الرسالة.</w:t>
      </w:r>
    </w:p>
  </w:footnote>
  <w:footnote w:id="967">
    <w:p w:rsidR="000D3D21" w:rsidRPr="003B7FB5"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7FB5">
        <w:rPr>
          <w:rFonts w:ascii="Traditional Arabic" w:hAnsi="Traditional Arabic"/>
          <w:sz w:val="32"/>
          <w:szCs w:val="32"/>
          <w:rtl/>
        </w:rPr>
        <w:t>تقرير القواعد وتحرير الفوائد (1/206).</w:t>
      </w:r>
    </w:p>
  </w:footnote>
  <w:footnote w:id="968">
    <w:p w:rsidR="000D3D21" w:rsidRPr="003B7FB5"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7FB5">
        <w:rPr>
          <w:rFonts w:ascii="Traditional Arabic" w:hAnsi="Traditional Arabic"/>
          <w:sz w:val="32"/>
          <w:szCs w:val="32"/>
          <w:rtl/>
        </w:rPr>
        <w:t>منظومة القواعد الفقهية وشرحها للسعدي (35).</w:t>
      </w:r>
    </w:p>
  </w:footnote>
  <w:footnote w:id="969">
    <w:p w:rsidR="000D3D21" w:rsidRPr="003B7FB5"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7FB5">
        <w:rPr>
          <w:rFonts w:ascii="Traditional Arabic" w:hAnsi="Traditional Arabic"/>
          <w:sz w:val="32"/>
          <w:szCs w:val="32"/>
          <w:rtl/>
        </w:rPr>
        <w:t>تعليق الشيخ ابن عثيمين على قواعد ابن رجب (1/206).</w:t>
      </w:r>
    </w:p>
  </w:footnote>
  <w:footnote w:id="970">
    <w:p w:rsidR="000D3D21" w:rsidRPr="003B7FB5"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7FB5">
        <w:rPr>
          <w:rFonts w:ascii="Traditional Arabic" w:hAnsi="Traditional Arabic"/>
          <w:sz w:val="32"/>
          <w:szCs w:val="32"/>
          <w:rtl/>
        </w:rPr>
        <w:t>مقاييس اللغة (3/322).</w:t>
      </w:r>
    </w:p>
  </w:footnote>
  <w:footnote w:id="971">
    <w:p w:rsidR="000D3D21" w:rsidRPr="00F424AE" w:rsidRDefault="000D3D21" w:rsidP="00A76AF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7FB5">
        <w:rPr>
          <w:rFonts w:ascii="Traditional Arabic" w:hAnsi="Traditional Arabic"/>
          <w:sz w:val="32"/>
          <w:szCs w:val="32"/>
          <w:rtl/>
        </w:rPr>
        <w:t>المصباح المنير</w:t>
      </w:r>
      <w:r>
        <w:rPr>
          <w:rFonts w:ascii="Traditional Arabic" w:hAnsi="Traditional Arabic" w:hint="cs"/>
          <w:sz w:val="32"/>
          <w:szCs w:val="32"/>
          <w:rtl/>
        </w:rPr>
        <w:t xml:space="preserve"> (289)</w:t>
      </w:r>
      <w:r w:rsidRPr="003B7FB5">
        <w:rPr>
          <w:rFonts w:ascii="Traditional Arabic" w:hAnsi="Traditional Arabic"/>
          <w:sz w:val="32"/>
          <w:szCs w:val="32"/>
          <w:rtl/>
        </w:rPr>
        <w:t>.</w:t>
      </w:r>
    </w:p>
  </w:footnote>
  <w:footnote w:id="972">
    <w:p w:rsidR="000D3D21" w:rsidRPr="00265393"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65393">
        <w:rPr>
          <w:rFonts w:ascii="Traditional Arabic" w:hAnsi="Traditional Arabic"/>
          <w:sz w:val="32"/>
          <w:szCs w:val="32"/>
          <w:rtl/>
        </w:rPr>
        <w:t>انظر الشرح الممتع (10/216، 217)، والتعليق على قواعد ابن رجب (1/206)، وشرح منظومة أصول الفقه وقواعده (252).</w:t>
      </w:r>
    </w:p>
  </w:footnote>
  <w:footnote w:id="973">
    <w:p w:rsidR="000D3D21" w:rsidRPr="00C0438C" w:rsidRDefault="000D3D21">
      <w:pPr>
        <w:pStyle w:val="a7"/>
        <w:rPr>
          <w:rFonts w:ascii="Traditional Arabic" w:hAnsi="Traditional Arabic"/>
          <w:sz w:val="32"/>
          <w:szCs w:val="32"/>
          <w:rtl/>
        </w:rPr>
      </w:pPr>
      <w:r w:rsidRPr="00C0438C">
        <w:rPr>
          <w:rStyle w:val="af1"/>
          <w:rFonts w:ascii="Traditional Arabic" w:hAnsi="Traditional Arabic"/>
          <w:sz w:val="32"/>
          <w:szCs w:val="32"/>
          <w:vertAlign w:val="baseline"/>
        </w:rPr>
        <w:footnoteRef/>
      </w:r>
      <w:r w:rsidRPr="00C0438C">
        <w:rPr>
          <w:rFonts w:ascii="Traditional Arabic" w:hAnsi="Traditional Arabic"/>
          <w:sz w:val="32"/>
          <w:szCs w:val="32"/>
        </w:rPr>
        <w:t>)</w:t>
      </w:r>
      <w:r w:rsidRPr="00C0438C">
        <w:rPr>
          <w:rFonts w:ascii="Traditional Arabic" w:hAnsi="Traditional Arabic"/>
          <w:sz w:val="32"/>
          <w:szCs w:val="32"/>
          <w:rtl/>
        </w:rPr>
        <w:t xml:space="preserve">) </w:t>
      </w:r>
      <w:r>
        <w:rPr>
          <w:rFonts w:ascii="Traditional Arabic" w:hAnsi="Traditional Arabic" w:hint="cs"/>
          <w:sz w:val="32"/>
          <w:szCs w:val="32"/>
          <w:rtl/>
        </w:rPr>
        <w:t>مثاله حلق الشعر للمحرِم من أجل التأذي بالهوام، فالأذية هنا حصلت من الهوام، لا من الشعر، لكن الأذية لا تندفع إلا بإتلاف الشعر؛ ولهذا تجب الفدية على المحرم في هذه الحال.انظر شرح منظومة أصول الفقه وقواعده (253).</w:t>
      </w:r>
    </w:p>
  </w:footnote>
  <w:footnote w:id="974">
    <w:p w:rsidR="000D3D21" w:rsidRPr="00265393"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65393">
        <w:rPr>
          <w:rFonts w:ascii="Traditional Arabic" w:hAnsi="Traditional Arabic"/>
          <w:sz w:val="32"/>
          <w:szCs w:val="32"/>
          <w:rtl/>
        </w:rPr>
        <w:t>ان</w:t>
      </w:r>
      <w:r>
        <w:rPr>
          <w:rFonts w:ascii="Traditional Arabic" w:hAnsi="Traditional Arabic"/>
          <w:sz w:val="32"/>
          <w:szCs w:val="32"/>
          <w:rtl/>
        </w:rPr>
        <w:t xml:space="preserve">ظر </w:t>
      </w:r>
      <w:r>
        <w:rPr>
          <w:rFonts w:ascii="Traditional Arabic" w:hAnsi="Traditional Arabic" w:hint="cs"/>
          <w:sz w:val="32"/>
          <w:szCs w:val="32"/>
          <w:rtl/>
        </w:rPr>
        <w:t>المرجع السابق</w:t>
      </w:r>
      <w:r w:rsidRPr="00265393">
        <w:rPr>
          <w:rFonts w:ascii="Traditional Arabic" w:hAnsi="Traditional Arabic"/>
          <w:sz w:val="32"/>
          <w:szCs w:val="32"/>
          <w:rtl/>
        </w:rPr>
        <w:t xml:space="preserve"> (252).</w:t>
      </w:r>
    </w:p>
  </w:footnote>
  <w:footnote w:id="975">
    <w:p w:rsidR="000D3D21" w:rsidRPr="00EA3287"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265393">
        <w:rPr>
          <w:rFonts w:ascii="Traditional Arabic" w:hAnsi="Traditional Arabic"/>
          <w:noProof w:val="0"/>
          <w:sz w:val="32"/>
          <w:szCs w:val="32"/>
          <w:rtl/>
          <w:lang w:eastAsia="en-US"/>
        </w:rPr>
        <w:t>أخرجه مسلم في كتاب الإيمان، باب الدليل على أن من قصد أخذ مال غيره بغير حق كان القاصد م</w:t>
      </w:r>
      <w:r>
        <w:rPr>
          <w:rFonts w:ascii="Traditional Arabic" w:hAnsi="Traditional Arabic" w:hint="cs"/>
          <w:noProof w:val="0"/>
          <w:sz w:val="32"/>
          <w:szCs w:val="32"/>
          <w:rtl/>
          <w:lang w:eastAsia="en-US"/>
        </w:rPr>
        <w:t>ُ</w:t>
      </w:r>
      <w:r w:rsidRPr="00265393">
        <w:rPr>
          <w:rFonts w:ascii="Traditional Arabic" w:hAnsi="Traditional Arabic"/>
          <w:noProof w:val="0"/>
          <w:sz w:val="32"/>
          <w:szCs w:val="32"/>
          <w:rtl/>
          <w:lang w:eastAsia="en-US"/>
        </w:rPr>
        <w:t>هدر الدم</w:t>
      </w:r>
      <w:r>
        <w:rPr>
          <w:rFonts w:ascii="Traditional Arabic" w:hAnsi="Traditional Arabic" w:hint="cs"/>
          <w:noProof w:val="0"/>
          <w:sz w:val="32"/>
          <w:szCs w:val="32"/>
          <w:rtl/>
          <w:lang w:eastAsia="en-US"/>
        </w:rPr>
        <w:t xml:space="preserve"> </w:t>
      </w:r>
      <w:r w:rsidRPr="00265393">
        <w:rPr>
          <w:rFonts w:ascii="Traditional Arabic" w:hAnsi="Traditional Arabic"/>
          <w:noProof w:val="0"/>
          <w:sz w:val="32"/>
          <w:szCs w:val="32"/>
          <w:rtl/>
          <w:lang w:eastAsia="en-US"/>
        </w:rPr>
        <w:t>في حقه وإن قتل كان في النار وأن من قتل دون ماله فهو شهيد، رقم الحديث (140).</w:t>
      </w:r>
    </w:p>
  </w:footnote>
  <w:footnote w:id="976">
    <w:p w:rsidR="000D3D21" w:rsidRPr="00265393"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65393">
        <w:rPr>
          <w:rFonts w:ascii="Traditional Arabic" w:hAnsi="Traditional Arabic"/>
          <w:sz w:val="32"/>
          <w:szCs w:val="32"/>
          <w:rtl/>
        </w:rPr>
        <w:t>الشرح الممتع (10/216-217)</w:t>
      </w:r>
      <w:r>
        <w:rPr>
          <w:rFonts w:ascii="Traditional Arabic" w:hAnsi="Traditional Arabic" w:hint="cs"/>
          <w:sz w:val="32"/>
          <w:szCs w:val="32"/>
          <w:rtl/>
        </w:rPr>
        <w:t xml:space="preserve"> بتصرف</w:t>
      </w:r>
      <w:r w:rsidRPr="00265393">
        <w:rPr>
          <w:rFonts w:ascii="Traditional Arabic" w:hAnsi="Traditional Arabic"/>
          <w:sz w:val="32"/>
          <w:szCs w:val="32"/>
          <w:rtl/>
        </w:rPr>
        <w:t>.</w:t>
      </w:r>
    </w:p>
  </w:footnote>
  <w:footnote w:id="977">
    <w:p w:rsidR="000D3D21" w:rsidRPr="00265393" w:rsidRDefault="000D3D21" w:rsidP="00A76AF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 xml:space="preserve">مرجع السابق </w:t>
      </w:r>
      <w:r w:rsidRPr="00265393">
        <w:rPr>
          <w:rFonts w:ascii="Traditional Arabic" w:hAnsi="Traditional Arabic"/>
          <w:sz w:val="32"/>
          <w:szCs w:val="32"/>
          <w:rtl/>
        </w:rPr>
        <w:t>(10/216).</w:t>
      </w:r>
    </w:p>
  </w:footnote>
  <w:footnote w:id="978">
    <w:p w:rsidR="000D3D21" w:rsidRDefault="000D3D21" w:rsidP="00A76AF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265393">
        <w:rPr>
          <w:rFonts w:ascii="Traditional Arabic" w:hAnsi="Traditional Arabic"/>
          <w:sz w:val="32"/>
          <w:szCs w:val="32"/>
          <w:rtl/>
        </w:rPr>
        <w:t xml:space="preserve"> (10/217-218).</w:t>
      </w:r>
    </w:p>
    <w:p w:rsidR="000D3D21" w:rsidRPr="006C16E6" w:rsidRDefault="000D3D21" w:rsidP="00A76AFC">
      <w:pPr>
        <w:pStyle w:val="a7"/>
        <w:pageBreakBefore/>
        <w:rPr>
          <w:rFonts w:ascii="Tahoma" w:hAnsi="Tahoma"/>
        </w:rPr>
      </w:pPr>
      <w:r>
        <w:rPr>
          <w:rFonts w:ascii="Traditional Arabic" w:hAnsi="Traditional Arabic" w:hint="cs"/>
          <w:sz w:val="32"/>
          <w:szCs w:val="32"/>
          <w:rtl/>
        </w:rPr>
        <w:t xml:space="preserve">     </w:t>
      </w:r>
      <w:r>
        <w:rPr>
          <w:rFonts w:ascii="Traditional Arabic" w:hAnsi="Traditional Arabic" w:hint="cs"/>
          <w:b/>
          <w:bCs/>
          <w:sz w:val="32"/>
          <w:szCs w:val="32"/>
          <w:rtl/>
        </w:rPr>
        <w:t>تنبيه:</w:t>
      </w:r>
      <w:r>
        <w:rPr>
          <w:rFonts w:ascii="Traditional Arabic" w:hAnsi="Traditional Arabic" w:hint="cs"/>
          <w:sz w:val="32"/>
          <w:szCs w:val="32"/>
          <w:rtl/>
        </w:rPr>
        <w:t xml:space="preserve"> ورد هذا الفرع في باب الغصب من كتاب البيع من الشرح الممتع عند ذكر تصرفات الغاصب الحُكمية، حيث ذكر الحجاوي_رحمه الله_ ضِمْنَ ذلك الإتلافات وضمانها وما يتعلق بها. انظر: حاشية الروض المبرع (5/409).</w:t>
      </w:r>
      <w:r>
        <w:rPr>
          <w:rFonts w:ascii="Tahoma" w:hAnsi="Tahoma" w:hint="cs"/>
          <w:rtl/>
        </w:rPr>
        <w:t xml:space="preserve"> </w:t>
      </w:r>
    </w:p>
  </w:footnote>
  <w:footnote w:id="979">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اخترت هذه الصيغة؛ لكونها أعمَّ؛ لأن تضمُّن العقود الجائزة للضرر عند الفسخ أعمُّ من الإضرار، إذ يشمل الضرر المقصود وغير المقصود، وهذه الصيغة أيضا صرَّحت بانقلاب العقود الجائزة عند حصول الضرر بالفسخ إلى عقود لازمة. </w:t>
      </w:r>
    </w:p>
  </w:footnote>
  <w:footnote w:id="980">
    <w:p w:rsidR="000D3D21" w:rsidRPr="008152B9" w:rsidRDefault="000D3D21" w:rsidP="00203C72">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الشرح الممتع (9/354).</w:t>
      </w:r>
    </w:p>
  </w:footnote>
  <w:footnote w:id="981">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المرجع السابق (10/350).</w:t>
      </w:r>
    </w:p>
  </w:footnote>
  <w:footnote w:id="982">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المنثور للزركشي (2/401).</w:t>
      </w:r>
    </w:p>
  </w:footnote>
  <w:footnote w:id="983">
    <w:p w:rsidR="000D3D21" w:rsidRPr="00045F70" w:rsidRDefault="000D3D21" w:rsidP="00203C72">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تقرير القواعد </w:t>
      </w:r>
      <w:r>
        <w:rPr>
          <w:rFonts w:ascii="Traditional Arabic" w:hAnsi="Traditional Arabic" w:hint="cs"/>
          <w:sz w:val="32"/>
          <w:szCs w:val="32"/>
          <w:rtl/>
        </w:rPr>
        <w:t>لابن رجب</w:t>
      </w:r>
      <w:r w:rsidRPr="008152B9">
        <w:rPr>
          <w:rFonts w:ascii="Traditional Arabic" w:hAnsi="Traditional Arabic"/>
          <w:sz w:val="32"/>
          <w:szCs w:val="32"/>
          <w:rtl/>
        </w:rPr>
        <w:t xml:space="preserve"> (1/499).</w:t>
      </w:r>
    </w:p>
  </w:footnote>
  <w:footnote w:id="984">
    <w:p w:rsidR="000D3D21" w:rsidRPr="008152B9" w:rsidRDefault="000D3D21" w:rsidP="00060462">
      <w:pPr>
        <w:ind w:firstLine="0"/>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المدخل لدراسة الشريعة الإسلامية للدكتور عبد الكريم زيدان (368-369) بتصرف.وانظر المغني لابن قدامة (6/48-50)،</w:t>
      </w:r>
      <w:r>
        <w:rPr>
          <w:rFonts w:ascii="Traditional Arabic" w:hAnsi="Traditional Arabic"/>
          <w:sz w:val="32"/>
          <w:szCs w:val="32"/>
          <w:rtl/>
        </w:rPr>
        <w:t xml:space="preserve"> و</w:t>
      </w:r>
      <w:r>
        <w:rPr>
          <w:rFonts w:ascii="Traditional Arabic" w:hAnsi="Traditional Arabic" w:hint="cs"/>
          <w:sz w:val="32"/>
          <w:szCs w:val="32"/>
          <w:rtl/>
        </w:rPr>
        <w:t xml:space="preserve">إرشاد أولي الأبصار لابن سعدي (134-136)، </w:t>
      </w:r>
      <w:r w:rsidRPr="008152B9">
        <w:rPr>
          <w:rFonts w:ascii="Traditional Arabic" w:hAnsi="Traditional Arabic"/>
          <w:sz w:val="32"/>
          <w:szCs w:val="32"/>
          <w:rtl/>
        </w:rPr>
        <w:t>والمدخل الفقهي العام لمصطفى أحمد الزرقا (1/639-640).</w:t>
      </w:r>
    </w:p>
  </w:footnote>
  <w:footnote w:id="985">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الشرح الممتع (9/129)بتصرف، وانظر (9/353-354).</w:t>
      </w:r>
    </w:p>
  </w:footnote>
  <w:footnote w:id="986">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انظر الشرح الممتع (9/353)، والتعليق على القواعد والأصول الجامعة (300).</w:t>
      </w:r>
    </w:p>
  </w:footnote>
  <w:footnote w:id="987">
    <w:p w:rsidR="000D3D21" w:rsidRPr="008C18FB" w:rsidRDefault="000D3D21" w:rsidP="00203C72">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انظر: الشرح الممتع (9/354، 355)، (10/350، 351)، والتعليق على القواعد والأصول الجامعة (300-301)، والقواعد والضوابط الفقهية المتضمنة للتيسير (1/343-344).</w:t>
      </w:r>
    </w:p>
  </w:footnote>
  <w:footnote w:id="988">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انظر الشرح الممتع (9/354)، والقواعد والضوابط الفقهية ا</w:t>
      </w:r>
      <w:r>
        <w:rPr>
          <w:rFonts w:ascii="Traditional Arabic" w:hAnsi="Traditional Arabic"/>
          <w:sz w:val="32"/>
          <w:szCs w:val="32"/>
          <w:rtl/>
        </w:rPr>
        <w:t>لمتضمنة للتيسير (1/341، 344)، و(</w:t>
      </w:r>
      <w:r>
        <w:rPr>
          <w:rFonts w:ascii="Traditional Arabic" w:hAnsi="Traditional Arabic" w:hint="cs"/>
          <w:sz w:val="32"/>
          <w:szCs w:val="32"/>
          <w:rtl/>
        </w:rPr>
        <w:t>244</w:t>
      </w:r>
      <w:r w:rsidRPr="008152B9">
        <w:rPr>
          <w:rFonts w:ascii="Traditional Arabic" w:hAnsi="Traditional Arabic"/>
          <w:sz w:val="32"/>
          <w:szCs w:val="32"/>
          <w:rtl/>
        </w:rPr>
        <w:t>) من هذه الرسالة.</w:t>
      </w:r>
    </w:p>
  </w:footnote>
  <w:footnote w:id="989">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انظر الشرح الممتع (9/128-129، 355).</w:t>
      </w:r>
    </w:p>
  </w:footnote>
  <w:footnote w:id="990">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 xml:space="preserve">تقدم </w:t>
      </w:r>
      <w:r>
        <w:rPr>
          <w:rFonts w:ascii="Traditional Arabic" w:hAnsi="Traditional Arabic"/>
          <w:sz w:val="32"/>
          <w:szCs w:val="32"/>
          <w:rtl/>
        </w:rPr>
        <w:t>تخريجه</w:t>
      </w:r>
      <w:r w:rsidRPr="008152B9">
        <w:rPr>
          <w:rFonts w:ascii="Traditional Arabic" w:hAnsi="Traditional Arabic"/>
          <w:sz w:val="32"/>
          <w:szCs w:val="32"/>
          <w:rtl/>
        </w:rPr>
        <w:t>.</w:t>
      </w:r>
    </w:p>
  </w:footnote>
  <w:footnote w:id="991">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انظر الشرح الممتع (9/129، 354).</w:t>
      </w:r>
    </w:p>
  </w:footnote>
  <w:footnote w:id="992">
    <w:p w:rsidR="000D3D21" w:rsidRPr="008152B9" w:rsidRDefault="000D3D21" w:rsidP="00203C7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انظر المرجع السابق (9/355</w:t>
      </w:r>
      <w:r>
        <w:rPr>
          <w:rFonts w:ascii="Traditional Arabic" w:hAnsi="Traditional Arabic"/>
          <w:sz w:val="32"/>
          <w:szCs w:val="32"/>
          <w:rtl/>
        </w:rPr>
        <w:t xml:space="preserve">)، وتقرير القواعد </w:t>
      </w:r>
      <w:r>
        <w:rPr>
          <w:rFonts w:ascii="Traditional Arabic" w:hAnsi="Traditional Arabic" w:hint="cs"/>
          <w:sz w:val="32"/>
          <w:szCs w:val="32"/>
          <w:rtl/>
        </w:rPr>
        <w:t>لابن رجب</w:t>
      </w:r>
      <w:r w:rsidRPr="008152B9">
        <w:rPr>
          <w:rFonts w:ascii="Traditional Arabic" w:hAnsi="Traditional Arabic"/>
          <w:sz w:val="32"/>
          <w:szCs w:val="32"/>
          <w:rtl/>
        </w:rPr>
        <w:t xml:space="preserve"> (1/499).</w:t>
      </w:r>
    </w:p>
  </w:footnote>
  <w:footnote w:id="993">
    <w:p w:rsidR="000D3D21" w:rsidRPr="008152B9" w:rsidRDefault="000D3D21" w:rsidP="00435B0D">
      <w:pPr>
        <w:pStyle w:val="a7"/>
        <w:pageBreakBefore/>
        <w:rPr>
          <w:rFonts w:ascii="Traditional Arabic" w:hAnsi="Traditional Arabic"/>
          <w:noProof w:val="0"/>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8152B9">
        <w:rPr>
          <w:rFonts w:ascii="Traditional Arabic" w:hAnsi="Traditional Arabic"/>
          <w:b/>
          <w:bCs/>
          <w:sz w:val="32"/>
          <w:szCs w:val="32"/>
          <w:rtl/>
        </w:rPr>
        <w:t>الجعالة</w:t>
      </w:r>
      <w:r w:rsidR="00AB0B9E">
        <w:rPr>
          <w:rFonts w:ascii="Traditional Arabic" w:hAnsi="Traditional Arabic"/>
          <w:b/>
          <w:bCs/>
          <w:sz w:val="32"/>
          <w:szCs w:val="32"/>
          <w:rtl/>
        </w:rPr>
        <w:fldChar w:fldCharType="begin"/>
      </w:r>
      <w:r>
        <w:instrText xml:space="preserve"> XE "</w:instrText>
      </w:r>
      <w:r w:rsidRPr="00435B0D">
        <w:rPr>
          <w:rFonts w:ascii="Traditional Arabic" w:hAnsi="Traditional Arabic"/>
          <w:sz w:val="32"/>
          <w:szCs w:val="32"/>
          <w:rtl/>
        </w:rPr>
        <w:instrText>الجعالة</w:instrText>
      </w:r>
      <w:r>
        <w:instrText xml:space="preserve">" </w:instrText>
      </w:r>
      <w:r w:rsidRPr="00435B0D">
        <w:instrText>\fm</w:instrText>
      </w:r>
      <w:r w:rsidR="00AB0B9E">
        <w:rPr>
          <w:rFonts w:ascii="Traditional Arabic" w:hAnsi="Traditional Arabic"/>
          <w:b/>
          <w:bCs/>
          <w:sz w:val="32"/>
          <w:szCs w:val="32"/>
          <w:rtl/>
        </w:rPr>
        <w:fldChar w:fldCharType="end"/>
      </w:r>
      <w:r w:rsidRPr="008152B9">
        <w:rPr>
          <w:rFonts w:ascii="Traditional Arabic" w:hAnsi="Traditional Arabic"/>
          <w:b/>
          <w:bCs/>
          <w:sz w:val="32"/>
          <w:szCs w:val="32"/>
          <w:rtl/>
        </w:rPr>
        <w:t xml:space="preserve"> لغة:</w:t>
      </w:r>
      <w:r w:rsidRPr="008152B9">
        <w:rPr>
          <w:rFonts w:ascii="Traditional Arabic" w:hAnsi="Traditional Arabic"/>
          <w:noProof w:val="0"/>
          <w:sz w:val="32"/>
          <w:szCs w:val="32"/>
          <w:rtl/>
          <w:lang w:eastAsia="en-US"/>
        </w:rPr>
        <w:t>بفتح الجيم، وكسرها، وضمها: ما يُجعَل على العمل، يقال: جعلتُ له جُعْلاً، وأَجْعَلْتُ: أَوْجَبْتُ. المطلع على أبواب المقنع (</w:t>
      </w:r>
      <w:r>
        <w:rPr>
          <w:rFonts w:ascii="Traditional Arabic" w:hAnsi="Traditional Arabic" w:hint="cs"/>
          <w:noProof w:val="0"/>
          <w:sz w:val="32"/>
          <w:szCs w:val="32"/>
          <w:rtl/>
          <w:lang w:eastAsia="en-US"/>
        </w:rPr>
        <w:t>340</w:t>
      </w:r>
      <w:r w:rsidRPr="008152B9">
        <w:rPr>
          <w:rFonts w:ascii="Traditional Arabic" w:hAnsi="Traditional Arabic"/>
          <w:noProof w:val="0"/>
          <w:sz w:val="32"/>
          <w:szCs w:val="32"/>
          <w:rtl/>
          <w:lang w:eastAsia="en-US"/>
        </w:rPr>
        <w:t>).</w:t>
      </w:r>
    </w:p>
    <w:p w:rsidR="000D3D21" w:rsidRPr="008152B9" w:rsidRDefault="000D3D21" w:rsidP="00203C72">
      <w:pPr>
        <w:pStyle w:val="a7"/>
        <w:pageBreakBefore/>
        <w:rPr>
          <w:rFonts w:ascii="Traditional Arabic" w:hAnsi="Traditional Arabic"/>
          <w:b/>
          <w:bCs/>
          <w:sz w:val="32"/>
          <w:szCs w:val="32"/>
        </w:rPr>
      </w:pPr>
      <w:r>
        <w:rPr>
          <w:rFonts w:ascii="Traditional Arabic" w:hAnsi="Traditional Arabic" w:hint="cs"/>
          <w:b/>
          <w:bCs/>
          <w:noProof w:val="0"/>
          <w:sz w:val="32"/>
          <w:szCs w:val="32"/>
          <w:rtl/>
          <w:lang w:eastAsia="en-US"/>
        </w:rPr>
        <w:t xml:space="preserve">      </w:t>
      </w:r>
      <w:r w:rsidRPr="008152B9">
        <w:rPr>
          <w:rFonts w:ascii="Traditional Arabic" w:hAnsi="Traditional Arabic"/>
          <w:b/>
          <w:bCs/>
          <w:noProof w:val="0"/>
          <w:sz w:val="32"/>
          <w:szCs w:val="32"/>
          <w:rtl/>
          <w:lang w:eastAsia="en-US"/>
        </w:rPr>
        <w:t xml:space="preserve">الجعالة اصطلاحا: </w:t>
      </w:r>
      <w:r w:rsidRPr="008152B9">
        <w:rPr>
          <w:rFonts w:ascii="Traditional Arabic" w:hAnsi="Traditional Arabic"/>
          <w:noProof w:val="0"/>
          <w:sz w:val="32"/>
          <w:szCs w:val="32"/>
          <w:rtl/>
          <w:lang w:eastAsia="en-US"/>
        </w:rPr>
        <w:t>جَعْلُ الشيءِ من المال لِمَن يَفعل أَمْرَ كذا. الإنصاف للمرداوي (16/162).</w:t>
      </w:r>
    </w:p>
  </w:footnote>
  <w:footnote w:id="994">
    <w:p w:rsidR="000D3D21" w:rsidRPr="001C064B" w:rsidRDefault="000D3D21" w:rsidP="00203C72">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152B9">
        <w:rPr>
          <w:rFonts w:ascii="Traditional Arabic" w:hAnsi="Traditional Arabic"/>
          <w:sz w:val="32"/>
          <w:szCs w:val="32"/>
          <w:rtl/>
        </w:rPr>
        <w:t>انظر الشرح الممتع (10/350_351).</w:t>
      </w:r>
    </w:p>
  </w:footnote>
  <w:footnote w:id="995">
    <w:p w:rsidR="000D3D21" w:rsidRPr="005F532E" w:rsidRDefault="000D3D21">
      <w:pPr>
        <w:pStyle w:val="a7"/>
        <w:rPr>
          <w:rFonts w:ascii="Traditional Arabic" w:hAnsi="Traditional Arabic"/>
          <w:sz w:val="32"/>
          <w:szCs w:val="32"/>
          <w:rtl/>
        </w:rPr>
      </w:pPr>
      <w:r w:rsidRPr="005F532E">
        <w:rPr>
          <w:rStyle w:val="af1"/>
          <w:rFonts w:ascii="Traditional Arabic" w:hAnsi="Traditional Arabic"/>
          <w:sz w:val="32"/>
          <w:szCs w:val="32"/>
          <w:vertAlign w:val="baseline"/>
        </w:rPr>
        <w:footnoteRef/>
      </w:r>
      <w:r w:rsidRPr="005F532E">
        <w:rPr>
          <w:rFonts w:ascii="Traditional Arabic" w:hAnsi="Traditional Arabic"/>
          <w:sz w:val="32"/>
          <w:szCs w:val="32"/>
        </w:rPr>
        <w:t>)</w:t>
      </w:r>
      <w:r w:rsidRPr="005F532E">
        <w:rPr>
          <w:rFonts w:ascii="Traditional Arabic" w:hAnsi="Traditional Arabic"/>
          <w:sz w:val="32"/>
          <w:szCs w:val="32"/>
          <w:rtl/>
        </w:rPr>
        <w:t xml:space="preserve">) </w:t>
      </w:r>
      <w:r>
        <w:rPr>
          <w:rFonts w:ascii="Traditional Arabic" w:hAnsi="Traditional Arabic" w:hint="cs"/>
          <w:sz w:val="32"/>
          <w:szCs w:val="32"/>
          <w:rtl/>
        </w:rPr>
        <w:t>انظر: تقرير القواعد (1/499)، والقواعد والضوابط الفقهية المتضمنة للتيسير (1/344).</w:t>
      </w:r>
    </w:p>
  </w:footnote>
  <w:footnote w:id="996">
    <w:p w:rsidR="000D3D21" w:rsidRPr="00C6356B"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اخترت هذه الصيغة لكونها أكثر ورودا عند الشيخ من الصيغة الثانية.</w:t>
      </w:r>
    </w:p>
  </w:footnote>
  <w:footnote w:id="997">
    <w:p w:rsidR="000D3D21" w:rsidRPr="00C6356B"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6356B">
        <w:rPr>
          <w:rFonts w:ascii="Traditional Arabic" w:hAnsi="Traditional Arabic"/>
          <w:sz w:val="32"/>
          <w:szCs w:val="32"/>
          <w:rtl/>
        </w:rPr>
        <w:t>الشرح الممتع (1/321، 500)، و(5/17، 19)، و(6/84، 317)، و(7/256)، (8/23، 154)، و(10/227، 248)، و(11/20)، وفتح ذي الجلال والإكرام (</w:t>
      </w:r>
      <w:r>
        <w:rPr>
          <w:rFonts w:ascii="Traditional Arabic" w:hAnsi="Traditional Arabic" w:hint="cs"/>
          <w:sz w:val="32"/>
          <w:szCs w:val="32"/>
          <w:rtl/>
        </w:rPr>
        <w:t>3/616</w:t>
      </w:r>
      <w:r w:rsidRPr="00C6356B">
        <w:rPr>
          <w:rFonts w:ascii="Traditional Arabic" w:hAnsi="Traditional Arabic"/>
          <w:sz w:val="32"/>
          <w:szCs w:val="32"/>
          <w:rtl/>
        </w:rPr>
        <w:t xml:space="preserve">)، </w:t>
      </w:r>
      <w:r>
        <w:rPr>
          <w:rFonts w:ascii="Traditional Arabic" w:hAnsi="Traditional Arabic" w:hint="cs"/>
          <w:sz w:val="32"/>
          <w:szCs w:val="32"/>
          <w:rtl/>
        </w:rPr>
        <w:t xml:space="preserve">و(4/72)، </w:t>
      </w:r>
      <w:r w:rsidRPr="00C6356B">
        <w:rPr>
          <w:rFonts w:ascii="Traditional Arabic" w:hAnsi="Traditional Arabic"/>
          <w:sz w:val="32"/>
          <w:szCs w:val="32"/>
          <w:rtl/>
        </w:rPr>
        <w:t>وشرح منظومة أصول الفقه وقواعده (309)، والتعليق على القواعد والأصول الجامعة (242).</w:t>
      </w:r>
    </w:p>
  </w:footnote>
  <w:footnote w:id="998">
    <w:p w:rsidR="000D3D21" w:rsidRPr="00C6356B"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C6356B">
        <w:rPr>
          <w:rFonts w:ascii="Traditional Arabic" w:hAnsi="Traditional Arabic"/>
          <w:sz w:val="32"/>
          <w:szCs w:val="32"/>
          <w:rtl/>
        </w:rPr>
        <w:t xml:space="preserve"> (7/400)، و(8/285).</w:t>
      </w:r>
    </w:p>
  </w:footnote>
  <w:footnote w:id="999">
    <w:p w:rsidR="000D3D21" w:rsidRPr="00C6356B"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6356B">
        <w:rPr>
          <w:rFonts w:ascii="Traditional Arabic" w:hAnsi="Traditional Arabic"/>
          <w:sz w:val="32"/>
          <w:szCs w:val="32"/>
          <w:rtl/>
        </w:rPr>
        <w:t>منظومة أصول الفقه وقواعده (</w:t>
      </w:r>
      <w:r>
        <w:rPr>
          <w:rFonts w:ascii="Traditional Arabic" w:hAnsi="Traditional Arabic" w:hint="cs"/>
          <w:sz w:val="32"/>
          <w:szCs w:val="32"/>
          <w:rtl/>
        </w:rPr>
        <w:t>18</w:t>
      </w:r>
      <w:r w:rsidRPr="00C6356B">
        <w:rPr>
          <w:rFonts w:ascii="Traditional Arabic" w:hAnsi="Traditional Arabic"/>
          <w:sz w:val="32"/>
          <w:szCs w:val="32"/>
          <w:rtl/>
        </w:rPr>
        <w:t>)، والشرح الممتع (10/31).</w:t>
      </w:r>
    </w:p>
  </w:footnote>
  <w:footnote w:id="1000">
    <w:p w:rsidR="000D3D21" w:rsidRPr="00C6356B"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6356B">
        <w:rPr>
          <w:rFonts w:ascii="Traditional Arabic" w:hAnsi="Traditional Arabic"/>
          <w:sz w:val="32"/>
          <w:szCs w:val="32"/>
          <w:rtl/>
        </w:rPr>
        <w:t>مجموع الفتاوى لابن تيمية (29/480).</w:t>
      </w:r>
    </w:p>
  </w:footnote>
  <w:footnote w:id="1001">
    <w:p w:rsidR="000D3D21" w:rsidRPr="00C6356B"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6356B">
        <w:rPr>
          <w:rFonts w:ascii="Traditional Arabic" w:hAnsi="Traditional Arabic"/>
          <w:sz w:val="32"/>
          <w:szCs w:val="32"/>
          <w:rtl/>
        </w:rPr>
        <w:t>إعلام الموقعين (4/157)، والقواعد والضوابط الفقهية عند  ابن القيم في فقه الأسرة (499).</w:t>
      </w:r>
    </w:p>
  </w:footnote>
  <w:footnote w:id="1002">
    <w:p w:rsidR="000D3D21" w:rsidRPr="00C6356B"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6356B">
        <w:rPr>
          <w:rFonts w:ascii="Traditional Arabic" w:hAnsi="Traditional Arabic"/>
          <w:sz w:val="32"/>
          <w:szCs w:val="32"/>
          <w:rtl/>
        </w:rPr>
        <w:t>القواعد للمقري (2/432).</w:t>
      </w:r>
    </w:p>
  </w:footnote>
  <w:footnote w:id="1003">
    <w:p w:rsidR="000D3D21" w:rsidRPr="001310C7" w:rsidRDefault="000D3D21" w:rsidP="00DC59C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تقرير القواعد </w:t>
      </w:r>
      <w:r>
        <w:rPr>
          <w:rFonts w:ascii="Traditional Arabic" w:hAnsi="Traditional Arabic" w:hint="cs"/>
          <w:sz w:val="32"/>
          <w:szCs w:val="32"/>
          <w:rtl/>
        </w:rPr>
        <w:t>لابن رجب</w:t>
      </w:r>
      <w:r w:rsidRPr="00C6356B">
        <w:rPr>
          <w:rFonts w:ascii="Traditional Arabic" w:hAnsi="Traditional Arabic"/>
          <w:sz w:val="32"/>
          <w:szCs w:val="32"/>
          <w:rtl/>
        </w:rPr>
        <w:t xml:space="preserve"> (3/15)، ومغني ذوي الأفهام لابن عبد الهادي (522)، والقواعد والأصول الجامعة (100).</w:t>
      </w:r>
    </w:p>
  </w:footnote>
  <w:footnote w:id="1004">
    <w:p w:rsidR="000D3D21" w:rsidRPr="008C6CD0"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6CD0">
        <w:rPr>
          <w:rFonts w:ascii="Traditional Arabic" w:hAnsi="Traditional Arabic"/>
          <w:sz w:val="32"/>
          <w:szCs w:val="32"/>
          <w:rtl/>
        </w:rPr>
        <w:t>منظومة القواعد الفقهية وشرحها لابن سعدي (32).</w:t>
      </w:r>
    </w:p>
  </w:footnote>
  <w:footnote w:id="1005">
    <w:p w:rsidR="000D3D21" w:rsidRPr="008C6CD0" w:rsidRDefault="000D3D21" w:rsidP="008E2E6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w:t>
      </w:r>
      <w:r>
        <w:rPr>
          <w:rFonts w:ascii="Traditional Arabic" w:hAnsi="Traditional Arabic" w:hint="cs"/>
          <w:sz w:val="32"/>
          <w:szCs w:val="32"/>
          <w:rtl/>
        </w:rPr>
        <w:t xml:space="preserve">: </w:t>
      </w:r>
      <w:r w:rsidRPr="008C6CD0">
        <w:rPr>
          <w:rFonts w:ascii="Traditional Arabic" w:hAnsi="Traditional Arabic"/>
          <w:sz w:val="32"/>
          <w:szCs w:val="32"/>
          <w:rtl/>
        </w:rPr>
        <w:t>الأشباه والنظائر لابن نجيم (133، 135)</w:t>
      </w:r>
      <w:r>
        <w:rPr>
          <w:rFonts w:ascii="Traditional Arabic" w:hAnsi="Traditional Arabic" w:hint="cs"/>
          <w:sz w:val="32"/>
          <w:szCs w:val="32"/>
          <w:rtl/>
        </w:rPr>
        <w:t>، و</w:t>
      </w:r>
      <w:r w:rsidRPr="008C6CD0">
        <w:rPr>
          <w:rFonts w:ascii="Traditional Arabic" w:hAnsi="Traditional Arabic"/>
          <w:sz w:val="32"/>
          <w:szCs w:val="32"/>
          <w:rtl/>
        </w:rPr>
        <w:t>الأشباه والنظائر للسيوطي (117، 120).</w:t>
      </w:r>
    </w:p>
  </w:footnote>
  <w:footnote w:id="1006">
    <w:p w:rsidR="000D3D21" w:rsidRPr="008C6CD0"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6CD0">
        <w:rPr>
          <w:rFonts w:ascii="Traditional Arabic" w:hAnsi="Traditional Arabic"/>
          <w:sz w:val="32"/>
          <w:szCs w:val="32"/>
          <w:rtl/>
        </w:rPr>
        <w:t>شرح منظومة أصول الفقه وقواعده (309).</w:t>
      </w:r>
    </w:p>
  </w:footnote>
  <w:footnote w:id="1007">
    <w:p w:rsidR="000D3D21" w:rsidRPr="008C6CD0"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6CD0">
        <w:rPr>
          <w:rFonts w:ascii="Traditional Arabic" w:hAnsi="Traditional Arabic"/>
          <w:sz w:val="32"/>
          <w:szCs w:val="32"/>
          <w:rtl/>
        </w:rPr>
        <w:t xml:space="preserve">منظومة القواعد الفقهية وشرحها </w:t>
      </w:r>
      <w:r>
        <w:rPr>
          <w:rFonts w:ascii="Traditional Arabic" w:hAnsi="Traditional Arabic" w:hint="cs"/>
          <w:sz w:val="32"/>
          <w:szCs w:val="32"/>
          <w:rtl/>
        </w:rPr>
        <w:t xml:space="preserve">لابن سعدي </w:t>
      </w:r>
      <w:r w:rsidRPr="008C6CD0">
        <w:rPr>
          <w:rFonts w:ascii="Traditional Arabic" w:hAnsi="Traditional Arabic"/>
          <w:sz w:val="32"/>
          <w:szCs w:val="32"/>
          <w:rtl/>
        </w:rPr>
        <w:t xml:space="preserve">(32). </w:t>
      </w:r>
    </w:p>
  </w:footnote>
  <w:footnote w:id="1008">
    <w:p w:rsidR="000D3D21" w:rsidRPr="00D62E54" w:rsidRDefault="000D3D21" w:rsidP="00DC59C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6CD0">
        <w:rPr>
          <w:rFonts w:ascii="Traditional Arabic" w:hAnsi="Traditional Arabic"/>
          <w:sz w:val="32"/>
          <w:szCs w:val="32"/>
          <w:rtl/>
        </w:rPr>
        <w:t>القواع</w:t>
      </w:r>
      <w:r>
        <w:rPr>
          <w:rFonts w:ascii="Traditional Arabic" w:hAnsi="Traditional Arabic"/>
          <w:sz w:val="32"/>
          <w:szCs w:val="32"/>
          <w:rtl/>
        </w:rPr>
        <w:t>د والأصول الجامعة الجامعة (100)</w:t>
      </w:r>
      <w:r>
        <w:rPr>
          <w:rFonts w:ascii="Traditional Arabic" w:hAnsi="Traditional Arabic" w:hint="cs"/>
          <w:sz w:val="32"/>
          <w:szCs w:val="32"/>
          <w:rtl/>
        </w:rPr>
        <w:t>.</w:t>
      </w:r>
    </w:p>
  </w:footnote>
  <w:footnote w:id="1009">
    <w:p w:rsidR="000D3D21" w:rsidRPr="008C6CD0"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6CD0">
        <w:rPr>
          <w:rFonts w:ascii="Traditional Arabic" w:hAnsi="Traditional Arabic"/>
          <w:sz w:val="32"/>
          <w:szCs w:val="32"/>
          <w:rtl/>
        </w:rPr>
        <w:t xml:space="preserve">أخرجه البخاري في كتاب، باب </w:t>
      </w:r>
      <w:r>
        <w:rPr>
          <w:rFonts w:ascii="Traditional Arabic" w:hAnsi="Traditional Arabic"/>
          <w:noProof w:val="0"/>
          <w:color w:val="auto"/>
          <w:sz w:val="32"/>
          <w:szCs w:val="32"/>
          <w:rtl/>
          <w:lang w:eastAsia="en-US"/>
        </w:rPr>
        <w:t>من باع</w:t>
      </w:r>
      <w:r w:rsidRPr="008C6CD0">
        <w:rPr>
          <w:rFonts w:ascii="Traditional Arabic" w:hAnsi="Traditional Arabic"/>
          <w:noProof w:val="0"/>
          <w:color w:val="auto"/>
          <w:sz w:val="32"/>
          <w:szCs w:val="32"/>
          <w:rtl/>
          <w:lang w:eastAsia="en-US"/>
        </w:rPr>
        <w:t xml:space="preserve"> نخلا قد أبرت أو أرضا مزروعة أو بإجارة</w:t>
      </w:r>
      <w:r>
        <w:rPr>
          <w:rFonts w:ascii="Traditional Arabic" w:hAnsi="Traditional Arabic"/>
          <w:sz w:val="32"/>
          <w:szCs w:val="32"/>
          <w:rtl/>
        </w:rPr>
        <w:t xml:space="preserve">، رقم الحديث </w:t>
      </w:r>
      <w:r>
        <w:rPr>
          <w:rFonts w:ascii="Traditional Arabic" w:hAnsi="Traditional Arabic" w:hint="cs"/>
          <w:sz w:val="32"/>
          <w:szCs w:val="32"/>
          <w:rtl/>
        </w:rPr>
        <w:t>(</w:t>
      </w:r>
      <w:r>
        <w:rPr>
          <w:rFonts w:ascii="Traditional Arabic" w:hAnsi="Traditional Arabic"/>
          <w:sz w:val="32"/>
          <w:szCs w:val="32"/>
          <w:rtl/>
        </w:rPr>
        <w:t>2</w:t>
      </w:r>
      <w:r>
        <w:rPr>
          <w:rFonts w:ascii="Traditional Arabic" w:hAnsi="Traditional Arabic" w:hint="cs"/>
          <w:sz w:val="32"/>
          <w:szCs w:val="32"/>
          <w:rtl/>
        </w:rPr>
        <w:t>203</w:t>
      </w:r>
      <w:r w:rsidRPr="008C6CD0">
        <w:rPr>
          <w:rFonts w:ascii="Traditional Arabic" w:hAnsi="Traditional Arabic"/>
          <w:sz w:val="32"/>
          <w:szCs w:val="32"/>
          <w:rtl/>
        </w:rPr>
        <w:t>)، ومسلم في كتاب البيوع، باب من باع نخلا عليها ثمر، رقم الحديث (1543).</w:t>
      </w:r>
    </w:p>
  </w:footnote>
  <w:footnote w:id="1010">
    <w:p w:rsidR="000D3D21" w:rsidRPr="008C6CD0"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C6CD0">
        <w:rPr>
          <w:rFonts w:ascii="Traditional Arabic" w:hAnsi="Traditional Arabic"/>
          <w:sz w:val="32"/>
          <w:szCs w:val="32"/>
          <w:rtl/>
        </w:rPr>
        <w:t xml:space="preserve"> انظر الشرح الممتع (9/14)، و(10/184)، </w:t>
      </w:r>
      <w:r>
        <w:rPr>
          <w:rFonts w:ascii="Traditional Arabic" w:hAnsi="Traditional Arabic" w:hint="cs"/>
          <w:sz w:val="32"/>
          <w:szCs w:val="32"/>
          <w:rtl/>
        </w:rPr>
        <w:t xml:space="preserve">وفتح ذي الجلال والإكرام (4/72)، </w:t>
      </w:r>
      <w:r w:rsidRPr="008C6CD0">
        <w:rPr>
          <w:rFonts w:ascii="Traditional Arabic" w:hAnsi="Traditional Arabic"/>
          <w:sz w:val="32"/>
          <w:szCs w:val="32"/>
          <w:rtl/>
        </w:rPr>
        <w:t>وشرح منظومة أصول الفقه وقواعده (310).</w:t>
      </w:r>
    </w:p>
  </w:footnote>
  <w:footnote w:id="1011">
    <w:p w:rsidR="000D3D21" w:rsidRPr="003830BB" w:rsidRDefault="000D3D21" w:rsidP="006D41C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أخرجه </w:t>
      </w:r>
      <w:r w:rsidRPr="008C6CD0">
        <w:rPr>
          <w:rFonts w:ascii="Traditional Arabic" w:hAnsi="Traditional Arabic"/>
          <w:sz w:val="32"/>
          <w:szCs w:val="32"/>
          <w:rtl/>
        </w:rPr>
        <w:t xml:space="preserve">أحمد في المسند، </w:t>
      </w:r>
      <w:r>
        <w:rPr>
          <w:rFonts w:ascii="Traditional Arabic" w:hAnsi="Traditional Arabic"/>
          <w:sz w:val="32"/>
          <w:szCs w:val="32"/>
          <w:rtl/>
        </w:rPr>
        <w:t>رقم الحديث</w:t>
      </w:r>
      <w:r>
        <w:rPr>
          <w:rFonts w:ascii="Traditional Arabic" w:hAnsi="Traditional Arabic" w:hint="cs"/>
          <w:sz w:val="32"/>
          <w:szCs w:val="32"/>
          <w:rtl/>
        </w:rPr>
        <w:t xml:space="preserve"> (14894</w:t>
      </w:r>
      <w:r w:rsidRPr="008C6CD0">
        <w:rPr>
          <w:rFonts w:ascii="Traditional Arabic" w:hAnsi="Traditional Arabic"/>
          <w:sz w:val="32"/>
          <w:szCs w:val="32"/>
          <w:rtl/>
        </w:rPr>
        <w:t>)</w:t>
      </w:r>
      <w:r>
        <w:rPr>
          <w:rFonts w:ascii="Traditional Arabic" w:hAnsi="Traditional Arabic" w:hint="cs"/>
          <w:sz w:val="32"/>
          <w:szCs w:val="32"/>
          <w:rtl/>
        </w:rPr>
        <w:t>، و</w:t>
      </w:r>
      <w:r>
        <w:rPr>
          <w:rFonts w:ascii="Traditional Arabic" w:hAnsi="Traditional Arabic"/>
          <w:sz w:val="32"/>
          <w:szCs w:val="32"/>
          <w:rtl/>
        </w:rPr>
        <w:t>أبو داود في</w:t>
      </w:r>
      <w:r>
        <w:rPr>
          <w:rFonts w:ascii="Traditional Arabic" w:hAnsi="Traditional Arabic" w:hint="cs"/>
          <w:sz w:val="32"/>
          <w:szCs w:val="32"/>
          <w:rtl/>
        </w:rPr>
        <w:t xml:space="preserve"> سننه في </w:t>
      </w:r>
      <w:r>
        <w:rPr>
          <w:rFonts w:ascii="Traditional Arabic" w:hAnsi="Traditional Arabic"/>
          <w:sz w:val="32"/>
          <w:szCs w:val="32"/>
          <w:rtl/>
        </w:rPr>
        <w:t>كتاب ال</w:t>
      </w:r>
      <w:r>
        <w:rPr>
          <w:rFonts w:ascii="Traditional Arabic" w:hAnsi="Traditional Arabic" w:hint="cs"/>
          <w:sz w:val="32"/>
          <w:szCs w:val="32"/>
          <w:rtl/>
        </w:rPr>
        <w:t>مناسك</w:t>
      </w:r>
      <w:r w:rsidRPr="008C6CD0">
        <w:rPr>
          <w:rFonts w:ascii="Traditional Arabic" w:hAnsi="Traditional Arabic"/>
          <w:sz w:val="32"/>
          <w:szCs w:val="32"/>
          <w:rtl/>
        </w:rPr>
        <w:t xml:space="preserve">، باب لحم الصيد للمحرم، رقم الحديث (1851)، والترمذي في </w:t>
      </w:r>
      <w:r>
        <w:rPr>
          <w:rFonts w:ascii="Traditional Arabic" w:hAnsi="Traditional Arabic" w:hint="cs"/>
          <w:sz w:val="32"/>
          <w:szCs w:val="32"/>
          <w:rtl/>
        </w:rPr>
        <w:t xml:space="preserve">سننه في </w:t>
      </w:r>
      <w:r w:rsidRPr="008C6CD0">
        <w:rPr>
          <w:rFonts w:ascii="Traditional Arabic" w:hAnsi="Traditional Arabic"/>
          <w:sz w:val="32"/>
          <w:szCs w:val="32"/>
          <w:rtl/>
        </w:rPr>
        <w:t xml:space="preserve">كتاب الحج، باب ما جاء في أكل الصيد للمحرم، رقم الحديث (846)، والنسائي في </w:t>
      </w:r>
      <w:r>
        <w:rPr>
          <w:rFonts w:ascii="Traditional Arabic" w:hAnsi="Traditional Arabic" w:hint="cs"/>
          <w:sz w:val="32"/>
          <w:szCs w:val="32"/>
          <w:rtl/>
        </w:rPr>
        <w:t xml:space="preserve">السنن الكبرى في </w:t>
      </w:r>
      <w:r w:rsidRPr="008C6CD0">
        <w:rPr>
          <w:rFonts w:ascii="Traditional Arabic" w:hAnsi="Traditional Arabic"/>
          <w:sz w:val="32"/>
          <w:szCs w:val="32"/>
          <w:rtl/>
        </w:rPr>
        <w:t>كتاب المناسك، باب إذا أشار المحرم إلى الصي</w:t>
      </w:r>
      <w:r>
        <w:rPr>
          <w:rFonts w:ascii="Traditional Arabic" w:hAnsi="Traditional Arabic"/>
          <w:sz w:val="32"/>
          <w:szCs w:val="32"/>
          <w:rtl/>
        </w:rPr>
        <w:t>د فقتله الحلال، رقم الحديث (</w:t>
      </w:r>
      <w:r>
        <w:rPr>
          <w:rFonts w:ascii="Traditional Arabic" w:hAnsi="Traditional Arabic" w:hint="cs"/>
          <w:sz w:val="32"/>
          <w:szCs w:val="32"/>
          <w:rtl/>
        </w:rPr>
        <w:t>3597</w:t>
      </w:r>
      <w:r>
        <w:rPr>
          <w:rFonts w:ascii="Traditional Arabic" w:hAnsi="Traditional Arabic"/>
          <w:sz w:val="32"/>
          <w:szCs w:val="32"/>
          <w:rtl/>
        </w:rPr>
        <w:t>)</w:t>
      </w:r>
      <w:r w:rsidRPr="008C6CD0">
        <w:rPr>
          <w:rFonts w:ascii="Traditional Arabic" w:hAnsi="Traditional Arabic"/>
          <w:sz w:val="32"/>
          <w:szCs w:val="32"/>
          <w:rtl/>
        </w:rPr>
        <w:t xml:space="preserve">، والحاكم في المستدرك في كتاب المناسك، رقم </w:t>
      </w:r>
      <w:r>
        <w:rPr>
          <w:rFonts w:ascii="Traditional Arabic" w:hAnsi="Traditional Arabic" w:hint="cs"/>
          <w:sz w:val="32"/>
          <w:szCs w:val="32"/>
          <w:rtl/>
        </w:rPr>
        <w:t>الحديث (1661</w:t>
      </w:r>
      <w:r w:rsidRPr="008C6CD0">
        <w:rPr>
          <w:rFonts w:ascii="Traditional Arabic" w:hAnsi="Traditional Arabic"/>
          <w:sz w:val="32"/>
          <w:szCs w:val="32"/>
          <w:rtl/>
        </w:rPr>
        <w:t>)، والبيهقي في السنن الكبرى في كتاب الحج، با</w:t>
      </w:r>
      <w:r>
        <w:rPr>
          <w:rFonts w:ascii="Traditional Arabic" w:hAnsi="Traditional Arabic"/>
          <w:sz w:val="32"/>
          <w:szCs w:val="32"/>
          <w:rtl/>
        </w:rPr>
        <w:t>ب ما لا يأكل المحرم من الصيد</w:t>
      </w:r>
      <w:r>
        <w:rPr>
          <w:rFonts w:ascii="Traditional Arabic" w:hAnsi="Traditional Arabic" w:hint="cs"/>
          <w:sz w:val="32"/>
          <w:szCs w:val="32"/>
          <w:rtl/>
        </w:rPr>
        <w:t>، رقم الحديث (10036)</w:t>
      </w:r>
      <w:r w:rsidRPr="008C6CD0">
        <w:rPr>
          <w:rFonts w:ascii="Traditional Arabic" w:hAnsi="Traditional Arabic"/>
          <w:sz w:val="32"/>
          <w:szCs w:val="32"/>
          <w:rtl/>
        </w:rPr>
        <w:t>.</w:t>
      </w:r>
      <w:r>
        <w:rPr>
          <w:rFonts w:ascii="Traditional Arabic" w:hAnsi="Traditional Arabic" w:hint="cs"/>
          <w:sz w:val="32"/>
          <w:szCs w:val="32"/>
          <w:rtl/>
        </w:rPr>
        <w:t xml:space="preserve"> </w:t>
      </w:r>
      <w:r w:rsidRPr="008C6CD0">
        <w:rPr>
          <w:rFonts w:ascii="Traditional Arabic" w:hAnsi="Traditional Arabic"/>
          <w:sz w:val="32"/>
          <w:szCs w:val="32"/>
          <w:rtl/>
        </w:rPr>
        <w:t>والحديث ضعفه الألباني في ضعيف الجامع الصغير</w:t>
      </w:r>
      <w:r>
        <w:rPr>
          <w:rFonts w:ascii="Traditional Arabic" w:hAnsi="Traditional Arabic" w:hint="cs"/>
          <w:sz w:val="32"/>
          <w:szCs w:val="32"/>
          <w:rtl/>
        </w:rPr>
        <w:t>،</w:t>
      </w:r>
      <w:r w:rsidRPr="008C6CD0">
        <w:rPr>
          <w:rFonts w:ascii="Traditional Arabic" w:hAnsi="Traditional Arabic"/>
          <w:sz w:val="32"/>
          <w:szCs w:val="32"/>
          <w:rtl/>
        </w:rPr>
        <w:t xml:space="preserve"> </w:t>
      </w:r>
      <w:r>
        <w:rPr>
          <w:rFonts w:ascii="Traditional Arabic" w:hAnsi="Traditional Arabic" w:hint="cs"/>
          <w:sz w:val="32"/>
          <w:szCs w:val="32"/>
          <w:rtl/>
        </w:rPr>
        <w:t xml:space="preserve">رقم الحديث </w:t>
      </w:r>
      <w:r w:rsidRPr="008C6CD0">
        <w:rPr>
          <w:rFonts w:ascii="Traditional Arabic" w:hAnsi="Traditional Arabic"/>
          <w:sz w:val="32"/>
          <w:szCs w:val="32"/>
          <w:rtl/>
        </w:rPr>
        <w:t>(3524).</w:t>
      </w:r>
    </w:p>
  </w:footnote>
  <w:footnote w:id="1012">
    <w:p w:rsidR="000D3D21" w:rsidRPr="00D01C7F"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color w:val="auto"/>
          <w:sz w:val="32"/>
          <w:szCs w:val="32"/>
          <w:rtl/>
          <w:lang w:eastAsia="en-US"/>
        </w:rPr>
        <w:t xml:space="preserve"> </w:t>
      </w:r>
      <w:r w:rsidRPr="00D01C7F">
        <w:rPr>
          <w:rFonts w:ascii="Traditional Arabic" w:hAnsi="Traditional Arabic"/>
          <w:noProof w:val="0"/>
          <w:color w:val="auto"/>
          <w:sz w:val="32"/>
          <w:szCs w:val="32"/>
          <w:rtl/>
          <w:lang w:eastAsia="en-US"/>
        </w:rPr>
        <w:t>أبو قتادة بن ر</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ب</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ع</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ي</w:t>
      </w:r>
      <w:r>
        <w:rPr>
          <w:rFonts w:ascii="Traditional Arabic" w:hAnsi="Traditional Arabic" w:hint="cs"/>
          <w:noProof w:val="0"/>
          <w:color w:val="auto"/>
          <w:sz w:val="32"/>
          <w:szCs w:val="32"/>
          <w:rtl/>
          <w:lang w:eastAsia="en-US"/>
        </w:rPr>
        <w:t xml:space="preserve">ّ بن بُلْدُمة بن خناس </w:t>
      </w:r>
      <w:r w:rsidRPr="00D01C7F">
        <w:rPr>
          <w:rFonts w:ascii="Traditional Arabic" w:hAnsi="Traditional Arabic"/>
          <w:noProof w:val="0"/>
          <w:color w:val="auto"/>
          <w:sz w:val="32"/>
          <w:szCs w:val="32"/>
          <w:rtl/>
          <w:lang w:eastAsia="en-US"/>
        </w:rPr>
        <w:t>الأنصاري</w:t>
      </w:r>
      <w:r>
        <w:rPr>
          <w:rFonts w:ascii="Traditional Arabic" w:hAnsi="Traditional Arabic" w:hint="cs"/>
          <w:noProof w:val="0"/>
          <w:color w:val="auto"/>
          <w:sz w:val="32"/>
          <w:szCs w:val="32"/>
          <w:rtl/>
          <w:lang w:eastAsia="en-US"/>
        </w:rPr>
        <w:t xml:space="preserve"> الخزرجي السلمي، و</w:t>
      </w:r>
      <w:r>
        <w:rPr>
          <w:rFonts w:ascii="Traditional Arabic" w:hAnsi="Traditional Arabic"/>
          <w:noProof w:val="0"/>
          <w:color w:val="auto"/>
          <w:sz w:val="32"/>
          <w:szCs w:val="32"/>
          <w:rtl/>
          <w:lang w:eastAsia="en-US"/>
        </w:rPr>
        <w:t>المشهور أن اسمه الحارث</w:t>
      </w:r>
      <w:r>
        <w:rPr>
          <w:rFonts w:ascii="Traditional Arabic" w:hAnsi="Traditional Arabic" w:hint="cs"/>
          <w:noProof w:val="0"/>
          <w:color w:val="auto"/>
          <w:sz w:val="32"/>
          <w:szCs w:val="32"/>
          <w:rtl/>
          <w:lang w:eastAsia="en-US"/>
        </w:rPr>
        <w:t>، وقيل:</w:t>
      </w:r>
      <w:r w:rsidRPr="00D01C7F">
        <w:rPr>
          <w:rFonts w:ascii="Traditional Arabic" w:hAnsi="Traditional Arabic"/>
          <w:noProof w:val="0"/>
          <w:color w:val="auto"/>
          <w:sz w:val="32"/>
          <w:szCs w:val="32"/>
          <w:rtl/>
          <w:lang w:eastAsia="en-US"/>
        </w:rPr>
        <w:t xml:space="preserve"> اسمه النعمان</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 xml:space="preserve"> وقيل</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 xml:space="preserve"> اسمه عمرو</w:t>
      </w:r>
      <w:r>
        <w:rPr>
          <w:rFonts w:ascii="Traditional Arabic" w:hAnsi="Traditional Arabic" w:hint="cs"/>
          <w:noProof w:val="0"/>
          <w:color w:val="auto"/>
          <w:sz w:val="32"/>
          <w:szCs w:val="32"/>
          <w:rtl/>
          <w:lang w:eastAsia="en-US"/>
        </w:rPr>
        <w:t>، وكان يُعرف بكُنيته، و</w:t>
      </w:r>
      <w:r w:rsidRPr="00D01C7F">
        <w:rPr>
          <w:rFonts w:ascii="Traditional Arabic" w:hAnsi="Traditional Arabic"/>
          <w:noProof w:val="0"/>
          <w:color w:val="auto"/>
          <w:sz w:val="32"/>
          <w:szCs w:val="32"/>
          <w:rtl/>
          <w:lang w:eastAsia="en-US"/>
        </w:rPr>
        <w:t>اخت</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لف في شهوده بدرا</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 xml:space="preserve"> واتفقوا على أنه شه</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د أ</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ح</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دا</w:t>
      </w:r>
      <w:r>
        <w:rPr>
          <w:rFonts w:ascii="Traditional Arabic" w:hAnsi="Traditional Arabic" w:hint="cs"/>
          <w:noProof w:val="0"/>
          <w:color w:val="auto"/>
          <w:sz w:val="32"/>
          <w:szCs w:val="32"/>
          <w:rtl/>
          <w:lang w:eastAsia="en-US"/>
        </w:rPr>
        <w:t>ً</w:t>
      </w:r>
      <w:r w:rsidRPr="00D01C7F">
        <w:rPr>
          <w:rFonts w:ascii="Traditional Arabic" w:hAnsi="Traditional Arabic"/>
          <w:noProof w:val="0"/>
          <w:color w:val="auto"/>
          <w:sz w:val="32"/>
          <w:szCs w:val="32"/>
          <w:rtl/>
          <w:lang w:eastAsia="en-US"/>
        </w:rPr>
        <w:t xml:space="preserve"> وما بعدها</w:t>
      </w:r>
      <w:r>
        <w:rPr>
          <w:rFonts w:ascii="Traditional Arabic" w:hAnsi="Traditional Arabic" w:hint="cs"/>
          <w:noProof w:val="0"/>
          <w:color w:val="auto"/>
          <w:sz w:val="32"/>
          <w:szCs w:val="32"/>
          <w:rtl/>
          <w:lang w:eastAsia="en-US"/>
        </w:rPr>
        <w:t xml:space="preserve"> من المشاهد، </w:t>
      </w:r>
      <w:r w:rsidRPr="00D01C7F">
        <w:rPr>
          <w:rFonts w:ascii="Traditional Arabic" w:hAnsi="Traditional Arabic"/>
          <w:noProof w:val="0"/>
          <w:sz w:val="32"/>
          <w:szCs w:val="32"/>
          <w:rtl/>
          <w:lang w:eastAsia="en-US"/>
        </w:rPr>
        <w:t>وكان يقال له</w:t>
      </w:r>
      <w:r>
        <w:rPr>
          <w:rFonts w:ascii="Traditional Arabic" w:hAnsi="Traditional Arabic" w:hint="cs"/>
          <w:noProof w:val="0"/>
          <w:sz w:val="32"/>
          <w:szCs w:val="32"/>
          <w:rtl/>
          <w:lang w:eastAsia="en-US"/>
        </w:rPr>
        <w:t>:</w:t>
      </w:r>
      <w:r w:rsidRPr="00D01C7F">
        <w:rPr>
          <w:rFonts w:ascii="Traditional Arabic" w:hAnsi="Traditional Arabic"/>
          <w:noProof w:val="0"/>
          <w:sz w:val="32"/>
          <w:szCs w:val="32"/>
          <w:rtl/>
          <w:lang w:eastAsia="en-US"/>
        </w:rPr>
        <w:t xml:space="preserve"> فارس رسول الله </w:t>
      </w:r>
      <w:r>
        <w:rPr>
          <w:rFonts w:ascii="Traditional Arabic" w:hAnsi="Traditional Arabic" w:cs="CTraditional Arabic" w:hint="cs"/>
          <w:noProof w:val="0"/>
          <w:color w:val="auto"/>
          <w:rtl/>
          <w:lang w:eastAsia="en-US"/>
        </w:rPr>
        <w:t>غ</w:t>
      </w:r>
      <w:r>
        <w:rPr>
          <w:rFonts w:ascii="Traditional Arabic" w:hAnsi="Traditional Arabic" w:hint="cs"/>
          <w:sz w:val="32"/>
          <w:szCs w:val="32"/>
          <w:rtl/>
        </w:rPr>
        <w:t xml:space="preserve">، </w:t>
      </w:r>
      <w:r w:rsidRPr="00D01C7F">
        <w:rPr>
          <w:rFonts w:ascii="Traditional Arabic" w:hAnsi="Traditional Arabic" w:hint="cs"/>
          <w:noProof w:val="0"/>
          <w:sz w:val="32"/>
          <w:szCs w:val="32"/>
          <w:rtl/>
          <w:lang w:eastAsia="en-US"/>
        </w:rPr>
        <w:t>روى عن</w:t>
      </w:r>
      <w:r>
        <w:rPr>
          <w:rFonts w:ascii="Traditional Arabic" w:hAnsi="Traditional Arabic"/>
          <w:noProof w:val="0"/>
          <w:sz w:val="32"/>
          <w:szCs w:val="32"/>
          <w:rtl/>
          <w:lang w:eastAsia="en-US"/>
        </w:rPr>
        <w:t xml:space="preserve"> معاذ وعم</w:t>
      </w:r>
      <w:r>
        <w:rPr>
          <w:rFonts w:ascii="Traditional Arabic" w:hAnsi="Traditional Arabic" w:hint="cs"/>
          <w:noProof w:val="0"/>
          <w:sz w:val="32"/>
          <w:szCs w:val="32"/>
          <w:rtl/>
          <w:lang w:eastAsia="en-US"/>
        </w:rPr>
        <w:t xml:space="preserve">ر رضي الله عنهما، </w:t>
      </w:r>
      <w:r w:rsidRPr="00D01C7F">
        <w:rPr>
          <w:rFonts w:ascii="Traditional Arabic" w:hAnsi="Traditional Arabic" w:hint="cs"/>
          <w:noProof w:val="0"/>
          <w:sz w:val="32"/>
          <w:szCs w:val="32"/>
          <w:rtl/>
          <w:lang w:eastAsia="en-US"/>
        </w:rPr>
        <w:t>و</w:t>
      </w:r>
      <w:r>
        <w:rPr>
          <w:rFonts w:ascii="Traditional Arabic" w:hAnsi="Traditional Arabic"/>
          <w:noProof w:val="0"/>
          <w:sz w:val="32"/>
          <w:szCs w:val="32"/>
          <w:rtl/>
          <w:lang w:eastAsia="en-US"/>
        </w:rPr>
        <w:t>روى عنه</w:t>
      </w:r>
      <w:r w:rsidRPr="00D01C7F">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 xml:space="preserve">أنس وجابر رضي الله عنهما </w:t>
      </w:r>
      <w:r w:rsidRPr="00D01C7F">
        <w:rPr>
          <w:rFonts w:ascii="Traditional Arabic" w:hAnsi="Traditional Arabic"/>
          <w:noProof w:val="0"/>
          <w:sz w:val="32"/>
          <w:szCs w:val="32"/>
          <w:rtl/>
          <w:lang w:eastAsia="en-US"/>
        </w:rPr>
        <w:t>وعطاء بن يسار</w:t>
      </w: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وكانت وفا</w:t>
      </w:r>
      <w:r>
        <w:rPr>
          <w:rFonts w:ascii="Traditional Arabic" w:hAnsi="Traditional Arabic" w:hint="cs"/>
          <w:noProof w:val="0"/>
          <w:sz w:val="32"/>
          <w:szCs w:val="32"/>
          <w:rtl/>
          <w:lang w:eastAsia="en-US"/>
        </w:rPr>
        <w:t xml:space="preserve">ته </w:t>
      </w:r>
      <w:r w:rsidRPr="00DE55F9">
        <w:rPr>
          <w:rFonts w:ascii="Traditional Arabic" w:hAnsi="Traditional Arabic"/>
          <w:noProof w:val="0"/>
          <w:sz w:val="32"/>
          <w:szCs w:val="32"/>
          <w:rtl/>
          <w:lang w:eastAsia="en-US"/>
        </w:rPr>
        <w:t>بالمدينة سنة أربع وخمسين</w:t>
      </w:r>
      <w:r>
        <w:rPr>
          <w:rFonts w:ascii="Traditional Arabic" w:hAnsi="Traditional Arabic" w:hint="cs"/>
          <w:sz w:val="32"/>
          <w:szCs w:val="32"/>
          <w:rtl/>
        </w:rPr>
        <w:t xml:space="preserve"> وله اثنتان وسبعون سنة، وقيل غير ذلك. انظر: الاستيعاب (1/289)، وأسد الغابة (5/250)، والإصابة (12/534). </w:t>
      </w:r>
    </w:p>
  </w:footnote>
  <w:footnote w:id="1013">
    <w:p w:rsidR="000D3D21" w:rsidRPr="00EE7768" w:rsidRDefault="000D3D21" w:rsidP="00DC59C4">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 xml:space="preserve"> أخرجه البخاري في</w:t>
      </w:r>
      <w:r>
        <w:rPr>
          <w:rFonts w:ascii="Traditional Arabic" w:hAnsi="Traditional Arabic" w:hint="cs"/>
          <w:sz w:val="32"/>
          <w:szCs w:val="32"/>
          <w:rtl/>
        </w:rPr>
        <w:t xml:space="preserve"> </w:t>
      </w:r>
      <w:r w:rsidRPr="008C6CD0">
        <w:rPr>
          <w:rFonts w:ascii="Traditional Arabic" w:hAnsi="Traditional Arabic"/>
          <w:sz w:val="32"/>
          <w:szCs w:val="32"/>
          <w:rtl/>
        </w:rPr>
        <w:t>كتاب الجها</w:t>
      </w:r>
      <w:r>
        <w:rPr>
          <w:rFonts w:ascii="Traditional Arabic" w:hAnsi="Traditional Arabic"/>
          <w:sz w:val="32"/>
          <w:szCs w:val="32"/>
          <w:rtl/>
        </w:rPr>
        <w:t>د والسير، باب ما قيل في الرماح</w:t>
      </w:r>
      <w:r w:rsidRPr="008C6CD0">
        <w:rPr>
          <w:rFonts w:ascii="Traditional Arabic" w:hAnsi="Traditional Arabic"/>
          <w:sz w:val="32"/>
          <w:szCs w:val="32"/>
          <w:rtl/>
        </w:rPr>
        <w:t xml:space="preserve">، رقم </w:t>
      </w:r>
      <w:r>
        <w:rPr>
          <w:rFonts w:ascii="Traditional Arabic" w:hAnsi="Traditional Arabic" w:hint="cs"/>
          <w:sz w:val="32"/>
          <w:szCs w:val="32"/>
          <w:rtl/>
        </w:rPr>
        <w:t xml:space="preserve">الحديث </w:t>
      </w:r>
      <w:r w:rsidRPr="008C6CD0">
        <w:rPr>
          <w:rFonts w:ascii="Traditional Arabic" w:hAnsi="Traditional Arabic"/>
          <w:sz w:val="32"/>
          <w:szCs w:val="32"/>
          <w:rtl/>
        </w:rPr>
        <w:t>(2914)</w:t>
      </w:r>
      <w:r>
        <w:rPr>
          <w:rFonts w:ascii="Traditional Arabic" w:hAnsi="Traditional Arabic" w:hint="cs"/>
          <w:sz w:val="32"/>
          <w:szCs w:val="32"/>
          <w:rtl/>
        </w:rPr>
        <w:t xml:space="preserve">، ومسلم في كتاب </w:t>
      </w:r>
      <w:r w:rsidRPr="00EE7768">
        <w:rPr>
          <w:rFonts w:ascii="Traditional Arabic" w:hAnsi="Traditional Arabic"/>
          <w:sz w:val="32"/>
          <w:szCs w:val="32"/>
          <w:rtl/>
        </w:rPr>
        <w:t>الحج، باب تحريم الصيد للمحرم، رقم الحديث (1196)</w:t>
      </w:r>
      <w:r>
        <w:rPr>
          <w:rFonts w:ascii="Traditional Arabic" w:hAnsi="Traditional Arabic"/>
          <w:sz w:val="32"/>
          <w:szCs w:val="32"/>
          <w:rtl/>
        </w:rPr>
        <w:t>.</w:t>
      </w:r>
    </w:p>
  </w:footnote>
  <w:footnote w:id="1014">
    <w:p w:rsidR="000D3D21" w:rsidRPr="00EE7768"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انظر </w:t>
      </w:r>
      <w:r>
        <w:rPr>
          <w:rFonts w:ascii="Traditional Arabic" w:hAnsi="Traditional Arabic" w:hint="cs"/>
          <w:sz w:val="32"/>
          <w:szCs w:val="32"/>
          <w:rtl/>
        </w:rPr>
        <w:t>بيان</w:t>
      </w:r>
      <w:r w:rsidRPr="00EE7768">
        <w:rPr>
          <w:rFonts w:ascii="Traditional Arabic" w:hAnsi="Traditional Arabic"/>
          <w:sz w:val="32"/>
          <w:szCs w:val="32"/>
          <w:rtl/>
        </w:rPr>
        <w:t xml:space="preserve"> الدليل لابن تيمية </w:t>
      </w:r>
      <w:r>
        <w:rPr>
          <w:rFonts w:ascii="Traditional Arabic" w:hAnsi="Traditional Arabic" w:hint="cs"/>
          <w:sz w:val="32"/>
          <w:szCs w:val="32"/>
          <w:rtl/>
        </w:rPr>
        <w:t>(96، 97)</w:t>
      </w:r>
      <w:r w:rsidRPr="00EE7768">
        <w:rPr>
          <w:rFonts w:ascii="Traditional Arabic" w:hAnsi="Traditional Arabic"/>
          <w:sz w:val="32"/>
          <w:szCs w:val="32"/>
          <w:rtl/>
        </w:rPr>
        <w:t>، والقواعد والضوابط الفقهية للمعاملات المالية عند ابن تيمية (1/357)، و(2/9).</w:t>
      </w:r>
    </w:p>
  </w:footnote>
  <w:footnote w:id="1015">
    <w:p w:rsidR="000D3D21" w:rsidRPr="00EE7768"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E7768">
        <w:rPr>
          <w:rFonts w:ascii="Traditional Arabic" w:hAnsi="Traditional Arabic"/>
          <w:sz w:val="32"/>
          <w:szCs w:val="32"/>
          <w:rtl/>
        </w:rPr>
        <w:t>الشرح الممتع (7/150-151).</w:t>
      </w:r>
    </w:p>
  </w:footnote>
  <w:footnote w:id="1016">
    <w:p w:rsidR="000D3D21" w:rsidRPr="00D25BDA" w:rsidRDefault="000D3D21" w:rsidP="00435B0D">
      <w:pPr>
        <w:widowControl/>
        <w:autoSpaceDE w:val="0"/>
        <w:autoSpaceDN w:val="0"/>
        <w:adjustRightInd w:val="0"/>
        <w:ind w:firstLine="0"/>
        <w:jc w:val="left"/>
        <w:rPr>
          <w:rFonts w:ascii="Traditional Arabic" w:hAnsi="Traditional Arabic"/>
          <w:b/>
          <w:bCs/>
          <w:noProof w:val="0"/>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25BDA">
        <w:rPr>
          <w:rFonts w:ascii="Traditional Arabic" w:hAnsi="Traditional Arabic"/>
          <w:b/>
          <w:bCs/>
          <w:sz w:val="32"/>
          <w:szCs w:val="32"/>
          <w:rtl/>
        </w:rPr>
        <w:t>ثقيف</w:t>
      </w:r>
      <w:r w:rsidR="00AB0B9E">
        <w:rPr>
          <w:rFonts w:ascii="Traditional Arabic" w:hAnsi="Traditional Arabic"/>
          <w:b/>
          <w:bCs/>
          <w:sz w:val="32"/>
          <w:szCs w:val="32"/>
          <w:rtl/>
        </w:rPr>
        <w:fldChar w:fldCharType="begin"/>
      </w:r>
      <w:r>
        <w:instrText xml:space="preserve"> XE "</w:instrText>
      </w:r>
      <w:r w:rsidRPr="00435B0D">
        <w:rPr>
          <w:rFonts w:ascii="Traditional Arabic" w:hAnsi="Traditional Arabic"/>
          <w:sz w:val="32"/>
          <w:szCs w:val="32"/>
          <w:rtl/>
        </w:rPr>
        <w:instrText>ثقيف</w:instrText>
      </w:r>
      <w:r>
        <w:instrText xml:space="preserve">" </w:instrText>
      </w:r>
      <w:r w:rsidRPr="00435B0D">
        <w:instrText>\fm</w:instrText>
      </w:r>
      <w:r w:rsidR="00AB0B9E">
        <w:rPr>
          <w:rFonts w:ascii="Traditional Arabic" w:hAnsi="Traditional Arabic"/>
          <w:b/>
          <w:bCs/>
          <w:sz w:val="32"/>
          <w:szCs w:val="32"/>
          <w:rtl/>
        </w:rPr>
        <w:fldChar w:fldCharType="end"/>
      </w:r>
      <w:r w:rsidRPr="00D25BDA">
        <w:rPr>
          <w:rFonts w:ascii="Traditional Arabic" w:hAnsi="Traditional Arabic"/>
          <w:b/>
          <w:bCs/>
          <w:sz w:val="32"/>
          <w:szCs w:val="32"/>
          <w:rtl/>
        </w:rPr>
        <w:t>:</w:t>
      </w:r>
      <w:r w:rsidRPr="00D25BDA">
        <w:rPr>
          <w:rFonts w:ascii="Traditional Arabic" w:hAnsi="Traditional Arabic"/>
          <w:noProof w:val="0"/>
          <w:sz w:val="32"/>
          <w:szCs w:val="32"/>
          <w:rtl/>
          <w:lang w:eastAsia="en-US"/>
        </w:rPr>
        <w:t>قبيلة منازلها في جبل الحجاز، بين مكة والطائف، وعلى الأصح بينه وبين جبال الحجاز.</w:t>
      </w:r>
    </w:p>
    <w:p w:rsidR="000D3D21" w:rsidRPr="001F68A4" w:rsidRDefault="000D3D21" w:rsidP="00DC59C4">
      <w:pPr>
        <w:pStyle w:val="a7"/>
        <w:pageBreakBefore/>
        <w:rPr>
          <w:rFonts w:ascii="Tahoma" w:hAnsi="Tahoma"/>
        </w:rPr>
      </w:pPr>
      <w:r>
        <w:rPr>
          <w:rFonts w:ascii="Traditional Arabic" w:hAnsi="Traditional Arabic" w:hint="cs"/>
          <w:sz w:val="32"/>
          <w:szCs w:val="32"/>
          <w:rtl/>
        </w:rPr>
        <w:t xml:space="preserve">      </w:t>
      </w:r>
      <w:r w:rsidRPr="00D25BDA">
        <w:rPr>
          <w:rFonts w:ascii="Traditional Arabic" w:hAnsi="Traditional Arabic"/>
          <w:sz w:val="32"/>
          <w:szCs w:val="32"/>
          <w:rtl/>
        </w:rPr>
        <w:t>معجم قبائل العرب القديمة والحديثة لعمر رضا كحالة (1/147).</w:t>
      </w:r>
    </w:p>
  </w:footnote>
  <w:footnote w:id="1017">
    <w:p w:rsidR="000D3D21" w:rsidRPr="00EE7768"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E7768">
        <w:rPr>
          <w:rFonts w:ascii="Traditional Arabic" w:hAnsi="Traditional Arabic"/>
          <w:sz w:val="32"/>
          <w:szCs w:val="32"/>
          <w:rtl/>
        </w:rPr>
        <w:t xml:space="preserve">أخرجه </w:t>
      </w:r>
      <w:r>
        <w:rPr>
          <w:rFonts w:ascii="Traditional Arabic" w:hAnsi="Traditional Arabic" w:hint="cs"/>
          <w:sz w:val="32"/>
          <w:szCs w:val="32"/>
          <w:rtl/>
        </w:rPr>
        <w:t>بهذا اللفظ أبو عبيد القاسم بن سلام في كتاب الأموال (1/183)، وصحح إسناده الألباني في تحذير الساجد من اتخاذ القبور مساجد (57).</w:t>
      </w:r>
    </w:p>
  </w:footnote>
  <w:footnote w:id="1018">
    <w:p w:rsidR="000D3D21" w:rsidRDefault="000D3D21" w:rsidP="00DC59C4">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الشرح الممتع (10/227).</w:t>
      </w:r>
    </w:p>
    <w:p w:rsidR="000D3D21" w:rsidRPr="00EE7768" w:rsidRDefault="000D3D21" w:rsidP="00DC59C4">
      <w:pPr>
        <w:pStyle w:val="a7"/>
        <w:pageBreakBefore/>
        <w:rPr>
          <w:rFonts w:ascii="Traditional Arabic" w:hAnsi="Traditional Arabic"/>
          <w:sz w:val="32"/>
          <w:szCs w:val="32"/>
        </w:rPr>
      </w:pPr>
      <w:r>
        <w:rPr>
          <w:rFonts w:ascii="Traditional Arabic" w:hAnsi="Traditional Arabic" w:hint="cs"/>
          <w:sz w:val="32"/>
          <w:szCs w:val="32"/>
          <w:rtl/>
        </w:rPr>
        <w:t xml:space="preserve">     وم</w:t>
      </w:r>
      <w:r>
        <w:rPr>
          <w:rFonts w:ascii="Traditional Arabic" w:hAnsi="Traditional Arabic"/>
          <w:sz w:val="32"/>
          <w:szCs w:val="32"/>
          <w:rtl/>
        </w:rPr>
        <w:t>عن</w:t>
      </w:r>
      <w:r>
        <w:rPr>
          <w:rFonts w:ascii="Traditional Arabic" w:hAnsi="Traditional Arabic" w:hint="cs"/>
          <w:sz w:val="32"/>
          <w:szCs w:val="32"/>
          <w:rtl/>
        </w:rPr>
        <w:t>ى كلام الشيخ:(وهذا أبعد من آنية الخمر)</w:t>
      </w:r>
      <w:r w:rsidRPr="00EE7768">
        <w:rPr>
          <w:rFonts w:ascii="Traditional Arabic" w:hAnsi="Traditional Arabic"/>
          <w:sz w:val="32"/>
          <w:szCs w:val="32"/>
          <w:rtl/>
        </w:rPr>
        <w:t xml:space="preserve"> أنه إذا جاز إتلاف حانوت الخمر، جاز إتلاف آنيته من باب أولى؛</w:t>
      </w:r>
      <w:r>
        <w:rPr>
          <w:rFonts w:ascii="Traditional Arabic" w:hAnsi="Traditional Arabic"/>
          <w:sz w:val="32"/>
          <w:szCs w:val="32"/>
          <w:rtl/>
        </w:rPr>
        <w:t xml:space="preserve"> لأن إتلاف الأول أشدّ من الثاني</w:t>
      </w:r>
      <w:r>
        <w:rPr>
          <w:rFonts w:ascii="Traditional Arabic" w:hAnsi="Traditional Arabic" w:hint="cs"/>
          <w:sz w:val="32"/>
          <w:szCs w:val="32"/>
          <w:rtl/>
        </w:rPr>
        <w:t xml:space="preserve">، </w:t>
      </w:r>
      <w:r w:rsidRPr="00EE7768">
        <w:rPr>
          <w:rFonts w:ascii="Traditional Arabic" w:hAnsi="Traditional Arabic"/>
          <w:sz w:val="32"/>
          <w:szCs w:val="32"/>
          <w:rtl/>
        </w:rPr>
        <w:t>والله أعلم.</w:t>
      </w:r>
    </w:p>
  </w:footnote>
  <w:footnote w:id="1019">
    <w:p w:rsidR="000D3D21" w:rsidRPr="00EE7768" w:rsidRDefault="000D3D21" w:rsidP="00DC59C4">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E7768">
        <w:rPr>
          <w:rFonts w:ascii="Traditional Arabic" w:hAnsi="Traditional Arabic"/>
          <w:sz w:val="32"/>
          <w:szCs w:val="32"/>
          <w:rtl/>
        </w:rPr>
        <w:t>انظر الشرح الممتع (8/154)، وشرح منظومة أصول الفقه وقواعده (309-310).</w:t>
      </w:r>
    </w:p>
  </w:footnote>
  <w:footnote w:id="1020">
    <w:p w:rsidR="000D3D21" w:rsidRPr="00EE7768"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E7768">
        <w:rPr>
          <w:rFonts w:ascii="Traditional Arabic" w:hAnsi="Traditional Arabic"/>
          <w:sz w:val="32"/>
          <w:szCs w:val="32"/>
          <w:rtl/>
        </w:rPr>
        <w:t>تقدم تخريجه.</w:t>
      </w:r>
    </w:p>
  </w:footnote>
  <w:footnote w:id="1021">
    <w:p w:rsidR="000D3D21" w:rsidRPr="00EE7768"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E7768">
        <w:rPr>
          <w:rFonts w:ascii="Traditional Arabic" w:hAnsi="Traditional Arabic"/>
          <w:sz w:val="32"/>
          <w:szCs w:val="32"/>
          <w:rtl/>
        </w:rPr>
        <w:t>انظر الشرح الممتع (153، 154).</w:t>
      </w:r>
    </w:p>
  </w:footnote>
  <w:footnote w:id="1022">
    <w:p w:rsidR="000D3D21" w:rsidRPr="00EE7768"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E7768">
        <w:rPr>
          <w:rFonts w:ascii="Traditional Arabic" w:hAnsi="Traditional Arabic"/>
          <w:sz w:val="32"/>
          <w:szCs w:val="32"/>
          <w:rtl/>
        </w:rPr>
        <w:t>انظر شرح منظومة أصول الفقه وقواعده (309).</w:t>
      </w:r>
    </w:p>
  </w:footnote>
  <w:footnote w:id="1023">
    <w:p w:rsidR="000D3D21" w:rsidRPr="002A674C" w:rsidRDefault="000D3D21" w:rsidP="00DC59C4">
      <w:pPr>
        <w:pStyle w:val="a7"/>
        <w:pageBreakBefore/>
        <w:rPr>
          <w:rFonts w:ascii="Tahoma" w:hAnsi="Tahoma"/>
          <w:color w:val="auto"/>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noProof w:val="0"/>
          <w:color w:val="auto"/>
          <w:sz w:val="32"/>
          <w:szCs w:val="32"/>
          <w:rtl/>
          <w:lang w:eastAsia="en-US"/>
        </w:rPr>
        <w:t xml:space="preserve"> </w:t>
      </w:r>
      <w:r w:rsidRPr="002A674C">
        <w:rPr>
          <w:rFonts w:ascii="Traditional Arabic" w:hAnsi="Traditional Arabic"/>
          <w:noProof w:val="0"/>
          <w:color w:val="auto"/>
          <w:sz w:val="32"/>
          <w:szCs w:val="32"/>
          <w:rtl/>
          <w:lang w:eastAsia="en-US"/>
        </w:rPr>
        <w:t>أخرجه البخاري في</w:t>
      </w:r>
      <w:r w:rsidRPr="002A674C">
        <w:rPr>
          <w:rFonts w:ascii="Traditional Arabic" w:hAnsi="Traditional Arabic" w:hint="cs"/>
          <w:noProof w:val="0"/>
          <w:color w:val="auto"/>
          <w:sz w:val="32"/>
          <w:szCs w:val="32"/>
          <w:rtl/>
          <w:lang w:eastAsia="en-US"/>
        </w:rPr>
        <w:t xml:space="preserve"> كتاب </w:t>
      </w:r>
      <w:r w:rsidRPr="002A674C">
        <w:rPr>
          <w:rFonts w:ascii="Traditional Arabic" w:hAnsi="Traditional Arabic"/>
          <w:noProof w:val="0"/>
          <w:color w:val="auto"/>
          <w:sz w:val="32"/>
          <w:szCs w:val="32"/>
          <w:rtl/>
          <w:lang w:eastAsia="en-US"/>
        </w:rPr>
        <w:t>الزكاة</w:t>
      </w:r>
      <w:r w:rsidRPr="002A674C">
        <w:rPr>
          <w:rFonts w:ascii="Traditional Arabic" w:hAnsi="Traditional Arabic" w:hint="cs"/>
          <w:noProof w:val="0"/>
          <w:color w:val="auto"/>
          <w:sz w:val="32"/>
          <w:szCs w:val="32"/>
          <w:rtl/>
          <w:lang w:eastAsia="en-US"/>
        </w:rPr>
        <w:t>،</w:t>
      </w:r>
      <w:r w:rsidRPr="002A674C">
        <w:rPr>
          <w:rFonts w:ascii="Traditional Arabic" w:hAnsi="Traditional Arabic"/>
          <w:noProof w:val="0"/>
          <w:color w:val="auto"/>
          <w:sz w:val="32"/>
          <w:szCs w:val="32"/>
          <w:rtl/>
          <w:lang w:eastAsia="en-US"/>
        </w:rPr>
        <w:t xml:space="preserve"> باب من باع ثماره أو نخله أو أرضه</w:t>
      </w:r>
      <w:r w:rsidRPr="002A674C">
        <w:rPr>
          <w:rFonts w:ascii="Traditional Arabic" w:hAnsi="Traditional Arabic" w:hint="cs"/>
          <w:noProof w:val="0"/>
          <w:color w:val="auto"/>
          <w:sz w:val="32"/>
          <w:szCs w:val="32"/>
          <w:rtl/>
          <w:lang w:eastAsia="en-US"/>
        </w:rPr>
        <w:t xml:space="preserve"> أو زرعه وقد وجب فيه العشر</w:t>
      </w:r>
      <w:r w:rsidRPr="002A674C">
        <w:rPr>
          <w:rFonts w:ascii="Traditional Arabic" w:hAnsi="Traditional Arabic"/>
          <w:noProof w:val="0"/>
          <w:color w:val="auto"/>
          <w:sz w:val="32"/>
          <w:szCs w:val="32"/>
          <w:rtl/>
          <w:lang w:eastAsia="en-US"/>
        </w:rPr>
        <w:t>...</w:t>
      </w:r>
      <w:r>
        <w:rPr>
          <w:rFonts w:ascii="Traditional Arabic" w:hAnsi="Traditional Arabic" w:hint="cs"/>
          <w:noProof w:val="0"/>
          <w:color w:val="auto"/>
          <w:sz w:val="32"/>
          <w:szCs w:val="32"/>
          <w:rtl/>
          <w:lang w:eastAsia="en-US"/>
        </w:rPr>
        <w:t>،</w:t>
      </w:r>
      <w:r w:rsidRPr="002A674C">
        <w:rPr>
          <w:rFonts w:ascii="Traditional Arabic" w:hAnsi="Traditional Arabic" w:hint="cs"/>
          <w:noProof w:val="0"/>
          <w:color w:val="auto"/>
          <w:sz w:val="32"/>
          <w:szCs w:val="32"/>
          <w:rtl/>
          <w:lang w:eastAsia="en-US"/>
        </w:rPr>
        <w:t xml:space="preserve">رقم الحديث </w:t>
      </w:r>
      <w:r w:rsidRPr="002A674C">
        <w:rPr>
          <w:rFonts w:ascii="Traditional Arabic" w:hAnsi="Traditional Arabic"/>
          <w:noProof w:val="0"/>
          <w:color w:val="auto"/>
          <w:sz w:val="32"/>
          <w:szCs w:val="32"/>
          <w:rtl/>
          <w:lang w:eastAsia="en-US"/>
        </w:rPr>
        <w:t xml:space="preserve">(1486)، ومسلم في </w:t>
      </w:r>
      <w:r w:rsidRPr="002A674C">
        <w:rPr>
          <w:rFonts w:ascii="Traditional Arabic" w:hAnsi="Traditional Arabic" w:hint="cs"/>
          <w:noProof w:val="0"/>
          <w:color w:val="auto"/>
          <w:sz w:val="32"/>
          <w:szCs w:val="32"/>
          <w:rtl/>
          <w:lang w:eastAsia="en-US"/>
        </w:rPr>
        <w:t xml:space="preserve">كتاب </w:t>
      </w:r>
      <w:r w:rsidRPr="002A674C">
        <w:rPr>
          <w:rFonts w:ascii="Traditional Arabic" w:hAnsi="Traditional Arabic"/>
          <w:noProof w:val="0"/>
          <w:color w:val="auto"/>
          <w:sz w:val="32"/>
          <w:szCs w:val="32"/>
          <w:rtl/>
          <w:lang w:eastAsia="en-US"/>
        </w:rPr>
        <w:t>البيوع</w:t>
      </w:r>
      <w:r w:rsidRPr="002A674C">
        <w:rPr>
          <w:rFonts w:ascii="Traditional Arabic" w:hAnsi="Traditional Arabic" w:hint="cs"/>
          <w:noProof w:val="0"/>
          <w:color w:val="auto"/>
          <w:sz w:val="32"/>
          <w:szCs w:val="32"/>
          <w:rtl/>
          <w:lang w:eastAsia="en-US"/>
        </w:rPr>
        <w:t>،</w:t>
      </w:r>
      <w:r w:rsidRPr="002A674C">
        <w:rPr>
          <w:rFonts w:ascii="Traditional Arabic" w:hAnsi="Traditional Arabic"/>
          <w:noProof w:val="0"/>
          <w:color w:val="auto"/>
          <w:sz w:val="32"/>
          <w:szCs w:val="32"/>
          <w:rtl/>
          <w:lang w:eastAsia="en-US"/>
        </w:rPr>
        <w:t xml:space="preserve"> باب النهي عن بيع الثمار قبل بدو صلاحها</w:t>
      </w:r>
      <w:r w:rsidRPr="002A674C">
        <w:rPr>
          <w:rFonts w:ascii="Traditional Arabic" w:hAnsi="Traditional Arabic" w:hint="cs"/>
          <w:noProof w:val="0"/>
          <w:color w:val="auto"/>
          <w:sz w:val="32"/>
          <w:szCs w:val="32"/>
          <w:rtl/>
          <w:lang w:eastAsia="en-US"/>
        </w:rPr>
        <w:t xml:space="preserve"> بغير شرط القطع،</w:t>
      </w:r>
      <w:r>
        <w:rPr>
          <w:rFonts w:ascii="Traditional Arabic" w:hAnsi="Traditional Arabic" w:hint="cs"/>
          <w:noProof w:val="0"/>
          <w:color w:val="auto"/>
          <w:sz w:val="32"/>
          <w:szCs w:val="32"/>
          <w:rtl/>
          <w:lang w:eastAsia="en-US"/>
        </w:rPr>
        <w:t xml:space="preserve"> </w:t>
      </w:r>
      <w:r w:rsidRPr="002A674C">
        <w:rPr>
          <w:rFonts w:ascii="Traditional Arabic" w:hAnsi="Traditional Arabic" w:hint="cs"/>
          <w:noProof w:val="0"/>
          <w:color w:val="auto"/>
          <w:sz w:val="32"/>
          <w:szCs w:val="32"/>
          <w:rtl/>
          <w:lang w:eastAsia="en-US"/>
        </w:rPr>
        <w:t xml:space="preserve">رقم الحديث </w:t>
      </w:r>
      <w:r w:rsidRPr="002A674C">
        <w:rPr>
          <w:rFonts w:ascii="Traditional Arabic" w:hAnsi="Traditional Arabic"/>
          <w:noProof w:val="0"/>
          <w:color w:val="auto"/>
          <w:sz w:val="32"/>
          <w:szCs w:val="32"/>
          <w:rtl/>
          <w:lang w:eastAsia="en-US"/>
        </w:rPr>
        <w:t>(1534)</w:t>
      </w:r>
      <w:r>
        <w:rPr>
          <w:rFonts w:ascii="Traditional Arabic" w:hAnsi="Traditional Arabic" w:hint="cs"/>
          <w:noProof w:val="0"/>
          <w:color w:val="auto"/>
          <w:sz w:val="32"/>
          <w:szCs w:val="32"/>
          <w:rtl/>
          <w:lang w:eastAsia="en-US"/>
        </w:rPr>
        <w:t>،</w:t>
      </w:r>
      <w:r w:rsidRPr="002A674C">
        <w:rPr>
          <w:rFonts w:ascii="Traditional Arabic" w:hAnsi="Traditional Arabic"/>
          <w:noProof w:val="0"/>
          <w:color w:val="auto"/>
          <w:sz w:val="32"/>
          <w:szCs w:val="32"/>
          <w:rtl/>
          <w:lang w:eastAsia="en-US"/>
        </w:rPr>
        <w:t xml:space="preserve"> عن عبد الله بن عمر</w:t>
      </w:r>
      <w:r>
        <w:rPr>
          <w:rFonts w:ascii="Traditional Arabic" w:hAnsi="Traditional Arabic" w:hint="cs"/>
          <w:noProof w:val="0"/>
          <w:color w:val="auto"/>
          <w:sz w:val="32"/>
          <w:szCs w:val="32"/>
          <w:rtl/>
          <w:lang w:eastAsia="en-US"/>
        </w:rPr>
        <w:t>_</w:t>
      </w:r>
      <w:r>
        <w:rPr>
          <w:rFonts w:ascii="Traditional Arabic" w:hAnsi="Traditional Arabic" w:cs="CTraditional Arabic" w:hint="cs"/>
          <w:noProof w:val="0"/>
          <w:color w:val="auto"/>
          <w:rtl/>
          <w:lang w:eastAsia="en-US"/>
        </w:rPr>
        <w:t>ب</w:t>
      </w:r>
      <w:r>
        <w:rPr>
          <w:rFonts w:ascii="Traditional Arabic" w:hAnsi="Traditional Arabic" w:hint="cs"/>
          <w:noProof w:val="0"/>
          <w:color w:val="auto"/>
          <w:sz w:val="32"/>
          <w:szCs w:val="32"/>
          <w:rtl/>
          <w:lang w:eastAsia="en-US"/>
        </w:rPr>
        <w:t>_</w:t>
      </w:r>
      <w:r w:rsidRPr="002A674C">
        <w:rPr>
          <w:rFonts w:ascii="Traditional Arabic" w:hAnsi="Traditional Arabic" w:hint="cs"/>
          <w:noProof w:val="0"/>
          <w:color w:val="auto"/>
          <w:sz w:val="32"/>
          <w:szCs w:val="32"/>
          <w:rtl/>
          <w:lang w:eastAsia="en-US"/>
        </w:rPr>
        <w:t>.</w:t>
      </w:r>
    </w:p>
  </w:footnote>
  <w:footnote w:id="1024">
    <w:p w:rsidR="000D3D21" w:rsidRPr="007B54CE"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B54CE">
        <w:rPr>
          <w:rFonts w:ascii="Traditional Arabic" w:hAnsi="Traditional Arabic"/>
          <w:sz w:val="32"/>
          <w:szCs w:val="32"/>
          <w:rtl/>
        </w:rPr>
        <w:t>تقدم تخريجه.</w:t>
      </w:r>
    </w:p>
  </w:footnote>
  <w:footnote w:id="1025">
    <w:p w:rsidR="000D3D21" w:rsidRPr="00F362CF"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362CF">
        <w:rPr>
          <w:rFonts w:ascii="Traditional Arabic" w:hAnsi="Traditional Arabic"/>
          <w:sz w:val="32"/>
          <w:szCs w:val="32"/>
          <w:rtl/>
        </w:rPr>
        <w:t>شرح منظومة أصول الفقه وقواعده (310) بتصرف.</w:t>
      </w:r>
    </w:p>
  </w:footnote>
  <w:footnote w:id="1026">
    <w:p w:rsidR="000D3D21" w:rsidRPr="00F362CF"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362CF">
        <w:rPr>
          <w:rFonts w:ascii="Traditional Arabic" w:hAnsi="Traditional Arabic"/>
          <w:sz w:val="32"/>
          <w:szCs w:val="32"/>
          <w:rtl/>
        </w:rPr>
        <w:t>انظر الشرح الممتع (9/14)، وشرح منظومة أصول الفقه وقواعده (310).</w:t>
      </w:r>
    </w:p>
  </w:footnote>
  <w:footnote w:id="1027">
    <w:p w:rsidR="000D3D21" w:rsidRPr="00F362CF"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362CF">
        <w:rPr>
          <w:rFonts w:ascii="Traditional Arabic" w:hAnsi="Traditional Arabic"/>
          <w:sz w:val="32"/>
          <w:szCs w:val="32"/>
          <w:rtl/>
        </w:rPr>
        <w:t xml:space="preserve">رجح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noProof w:val="0"/>
          <w:sz w:val="32"/>
          <w:szCs w:val="32"/>
          <w:rtl/>
          <w:lang w:eastAsia="en-US"/>
        </w:rPr>
        <w:t xml:space="preserve">_ </w:t>
      </w:r>
      <w:r w:rsidRPr="00F362CF">
        <w:rPr>
          <w:rFonts w:ascii="Traditional Arabic" w:hAnsi="Traditional Arabic"/>
          <w:noProof w:val="0"/>
          <w:sz w:val="32"/>
          <w:szCs w:val="32"/>
          <w:rtl/>
          <w:lang w:eastAsia="en-US"/>
        </w:rPr>
        <w:t>أنه إذا كسر آنية خمر فهو ضامن؛ لأن الآنية محترَمة وي</w:t>
      </w:r>
      <w:r>
        <w:rPr>
          <w:rFonts w:ascii="Traditional Arabic" w:hAnsi="Traditional Arabic"/>
          <w:noProof w:val="0"/>
          <w:sz w:val="32"/>
          <w:szCs w:val="32"/>
          <w:rtl/>
          <w:lang w:eastAsia="en-US"/>
        </w:rPr>
        <w:t>مكن إتلاف الخمر دون إتلافها</w:t>
      </w:r>
      <w:r>
        <w:rPr>
          <w:rFonts w:ascii="Traditional Arabic" w:hAnsi="Traditional Arabic" w:hint="cs"/>
          <w:noProof w:val="0"/>
          <w:sz w:val="32"/>
          <w:szCs w:val="32"/>
          <w:rtl/>
          <w:lang w:eastAsia="en-US"/>
        </w:rPr>
        <w:t>؛ ولأن</w:t>
      </w:r>
      <w:r w:rsidRPr="00F362CF">
        <w:rPr>
          <w:rFonts w:ascii="Traditional Arabic" w:hAnsi="Traditional Arabic"/>
          <w:noProof w:val="0"/>
          <w:sz w:val="32"/>
          <w:szCs w:val="32"/>
          <w:rtl/>
          <w:lang w:eastAsia="en-US"/>
        </w:rPr>
        <w:t xml:space="preserve"> الأصل في مال المسلم أنه محترم، إلا إذا لم يمكن</w:t>
      </w:r>
      <w:r>
        <w:rPr>
          <w:rFonts w:ascii="Traditional Arabic" w:hAnsi="Traditional Arabic"/>
          <w:noProof w:val="0"/>
          <w:sz w:val="32"/>
          <w:szCs w:val="32"/>
          <w:rtl/>
          <w:lang w:eastAsia="en-US"/>
        </w:rPr>
        <w:t xml:space="preserve"> إتلاف الخمر إلا بإتلافها، ف</w:t>
      </w:r>
      <w:r w:rsidRPr="00F362CF">
        <w:rPr>
          <w:rFonts w:ascii="Traditional Arabic" w:hAnsi="Traditional Arabic"/>
          <w:noProof w:val="0"/>
          <w:sz w:val="32"/>
          <w:szCs w:val="32"/>
          <w:rtl/>
          <w:lang w:eastAsia="en-US"/>
        </w:rPr>
        <w:t>لا ضمان عليه</w:t>
      </w:r>
      <w:r>
        <w:rPr>
          <w:rFonts w:ascii="Traditional Arabic" w:hAnsi="Traditional Arabic" w:hint="cs"/>
          <w:noProof w:val="0"/>
          <w:sz w:val="32"/>
          <w:szCs w:val="32"/>
          <w:rtl/>
          <w:lang w:eastAsia="en-US"/>
        </w:rPr>
        <w:t xml:space="preserve"> حينئذ</w:t>
      </w:r>
      <w:r w:rsidRPr="00F362CF">
        <w:rPr>
          <w:rFonts w:ascii="Traditional Arabic" w:hAnsi="Traditional Arabic"/>
          <w:noProof w:val="0"/>
          <w:sz w:val="32"/>
          <w:szCs w:val="32"/>
          <w:rtl/>
          <w:lang w:eastAsia="en-US"/>
        </w:rPr>
        <w:t>؛ بناء على أن الأمر الذي لا يتم الأمر</w:t>
      </w:r>
      <w:r>
        <w:rPr>
          <w:rFonts w:ascii="Traditional Arabic" w:hAnsi="Traditional Arabic" w:hint="cs"/>
          <w:noProof w:val="0"/>
          <w:sz w:val="32"/>
          <w:szCs w:val="32"/>
          <w:rtl/>
          <w:lang w:eastAsia="en-US"/>
        </w:rPr>
        <w:t>ُ</w:t>
      </w:r>
      <w:r w:rsidRPr="00F362CF">
        <w:rPr>
          <w:rFonts w:ascii="Traditional Arabic" w:hAnsi="Traditional Arabic"/>
          <w:noProof w:val="0"/>
          <w:sz w:val="32"/>
          <w:szCs w:val="32"/>
          <w:rtl/>
          <w:lang w:eastAsia="en-US"/>
        </w:rPr>
        <w:t xml:space="preserve"> إلا به داخل في الأمر الذي أبيح.</w:t>
      </w:r>
      <w:r>
        <w:rPr>
          <w:rFonts w:ascii="Traditional Arabic" w:hAnsi="Traditional Arabic" w:hint="cs"/>
          <w:noProof w:val="0"/>
          <w:sz w:val="32"/>
          <w:szCs w:val="32"/>
          <w:rtl/>
          <w:lang w:eastAsia="en-US"/>
        </w:rPr>
        <w:t xml:space="preserve"> </w:t>
      </w:r>
      <w:r w:rsidRPr="00F362CF">
        <w:rPr>
          <w:rFonts w:ascii="Traditional Arabic" w:hAnsi="Traditional Arabic"/>
          <w:noProof w:val="0"/>
          <w:sz w:val="32"/>
          <w:szCs w:val="32"/>
          <w:rtl/>
          <w:lang w:eastAsia="en-US"/>
        </w:rPr>
        <w:t>انظر الشرح الممتع (10/227).</w:t>
      </w:r>
    </w:p>
  </w:footnote>
  <w:footnote w:id="1028">
    <w:p w:rsidR="000D3D21" w:rsidRPr="00F362CF" w:rsidRDefault="000D3D21" w:rsidP="00DC59C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شرح الممتع</w:t>
      </w:r>
      <w:r w:rsidRPr="00F362CF">
        <w:rPr>
          <w:rFonts w:ascii="Traditional Arabic" w:hAnsi="Traditional Arabic"/>
          <w:sz w:val="32"/>
          <w:szCs w:val="32"/>
          <w:rtl/>
        </w:rPr>
        <w:t xml:space="preserve"> (10/247، 248).</w:t>
      </w:r>
    </w:p>
  </w:footnote>
  <w:footnote w:id="1029">
    <w:p w:rsidR="000D3D21" w:rsidRPr="00F362CF" w:rsidRDefault="000D3D21" w:rsidP="00DC59C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شرح الممتع</w:t>
      </w:r>
      <w:r>
        <w:rPr>
          <w:rFonts w:ascii="Traditional Arabic" w:hAnsi="Traditional Arabic"/>
          <w:sz w:val="32"/>
          <w:szCs w:val="32"/>
          <w:rtl/>
        </w:rPr>
        <w:t xml:space="preserve"> (10/248)</w:t>
      </w:r>
      <w:r>
        <w:rPr>
          <w:rFonts w:ascii="Traditional Arabic" w:hAnsi="Traditional Arabic" w:hint="cs"/>
          <w:sz w:val="32"/>
          <w:szCs w:val="32"/>
          <w:rtl/>
        </w:rPr>
        <w:t>.</w:t>
      </w:r>
    </w:p>
  </w:footnote>
  <w:footnote w:id="1030">
    <w:p w:rsidR="000D3D21" w:rsidRPr="00E24FBE"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4FBE">
        <w:rPr>
          <w:rFonts w:ascii="Traditional Arabic" w:hAnsi="Traditional Arabic"/>
          <w:sz w:val="32"/>
          <w:szCs w:val="32"/>
          <w:rtl/>
        </w:rPr>
        <w:t>انظر الشرح الممتع (9/189-190).</w:t>
      </w:r>
    </w:p>
  </w:footnote>
  <w:footnote w:id="1031">
    <w:p w:rsidR="000D3D21" w:rsidRPr="009739D1" w:rsidRDefault="000D3D21" w:rsidP="00435B0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9739D1">
        <w:rPr>
          <w:rFonts w:ascii="Traditional Arabic" w:hAnsi="Traditional Arabic"/>
          <w:b/>
          <w:bCs/>
          <w:sz w:val="32"/>
          <w:szCs w:val="32"/>
          <w:rtl/>
        </w:rPr>
        <w:t>المكفول عنه</w:t>
      </w:r>
      <w:r w:rsidR="00AB0B9E">
        <w:rPr>
          <w:rFonts w:ascii="Traditional Arabic" w:hAnsi="Traditional Arabic"/>
          <w:b/>
          <w:bCs/>
          <w:sz w:val="32"/>
          <w:szCs w:val="32"/>
          <w:rtl/>
        </w:rPr>
        <w:fldChar w:fldCharType="begin"/>
      </w:r>
      <w:r>
        <w:instrText xml:space="preserve"> XE "</w:instrText>
      </w:r>
      <w:r w:rsidRPr="00435B0D">
        <w:rPr>
          <w:rFonts w:ascii="Traditional Arabic" w:hAnsi="Traditional Arabic"/>
          <w:sz w:val="32"/>
          <w:szCs w:val="32"/>
          <w:rtl/>
        </w:rPr>
        <w:instrText>المكفول عنه</w:instrText>
      </w:r>
      <w:r>
        <w:instrText xml:space="preserve">" </w:instrText>
      </w:r>
      <w:r w:rsidRPr="00435B0D">
        <w:instrText>\fm</w:instrText>
      </w:r>
      <w:r w:rsidR="00AB0B9E">
        <w:rPr>
          <w:rFonts w:ascii="Traditional Arabic" w:hAnsi="Traditional Arabic"/>
          <w:b/>
          <w:bCs/>
          <w:sz w:val="32"/>
          <w:szCs w:val="32"/>
          <w:rtl/>
        </w:rPr>
        <w:fldChar w:fldCharType="end"/>
      </w:r>
      <w:r w:rsidRPr="009739D1">
        <w:rPr>
          <w:rFonts w:ascii="Traditional Arabic" w:hAnsi="Traditional Arabic"/>
          <w:b/>
          <w:bCs/>
          <w:sz w:val="32"/>
          <w:szCs w:val="32"/>
          <w:rtl/>
        </w:rPr>
        <w:t xml:space="preserve">: </w:t>
      </w:r>
      <w:r w:rsidRPr="009739D1">
        <w:rPr>
          <w:rFonts w:ascii="Traditional Arabic" w:hAnsi="Traditional Arabic"/>
          <w:noProof w:val="0"/>
          <w:sz w:val="32"/>
          <w:szCs w:val="32"/>
          <w:rtl/>
          <w:lang w:eastAsia="en-US"/>
        </w:rPr>
        <w:t xml:space="preserve">مَن عليه الدين. أنيس الفقهاء </w:t>
      </w:r>
      <w:r>
        <w:rPr>
          <w:rFonts w:ascii="Traditional Arabic" w:hAnsi="Traditional Arabic" w:hint="cs"/>
          <w:noProof w:val="0"/>
          <w:sz w:val="32"/>
          <w:szCs w:val="32"/>
          <w:rtl/>
          <w:lang w:eastAsia="en-US"/>
        </w:rPr>
        <w:t>(219)</w:t>
      </w:r>
      <w:r w:rsidRPr="009739D1">
        <w:rPr>
          <w:rFonts w:ascii="Traditional Arabic" w:hAnsi="Traditional Arabic"/>
          <w:noProof w:val="0"/>
          <w:sz w:val="32"/>
          <w:szCs w:val="32"/>
          <w:rtl/>
          <w:lang w:eastAsia="en-US"/>
        </w:rPr>
        <w:t>.</w:t>
      </w:r>
    </w:p>
  </w:footnote>
  <w:footnote w:id="1032">
    <w:p w:rsidR="000D3D21" w:rsidRPr="00CD5330" w:rsidRDefault="000D3D21" w:rsidP="00CD533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4FBE">
        <w:rPr>
          <w:rFonts w:ascii="Traditional Arabic" w:hAnsi="Traditional Arabic"/>
          <w:sz w:val="32"/>
          <w:szCs w:val="32"/>
          <w:rtl/>
        </w:rPr>
        <w:t>ا</w:t>
      </w:r>
      <w:r>
        <w:rPr>
          <w:rFonts w:ascii="Traditional Arabic" w:hAnsi="Traditional Arabic"/>
          <w:sz w:val="32"/>
          <w:szCs w:val="32"/>
          <w:rtl/>
        </w:rPr>
        <w:t>نظر ال</w:t>
      </w:r>
      <w:r>
        <w:rPr>
          <w:rFonts w:ascii="Traditional Arabic" w:hAnsi="Traditional Arabic" w:hint="cs"/>
          <w:sz w:val="32"/>
          <w:szCs w:val="32"/>
          <w:rtl/>
        </w:rPr>
        <w:t>شرح الممتع</w:t>
      </w:r>
      <w:r w:rsidRPr="00E24FBE">
        <w:rPr>
          <w:rFonts w:ascii="Traditional Arabic" w:hAnsi="Traditional Arabic"/>
          <w:sz w:val="32"/>
          <w:szCs w:val="32"/>
          <w:rtl/>
        </w:rPr>
        <w:t xml:space="preserve"> (9/209).</w:t>
      </w:r>
      <w:r>
        <w:rPr>
          <w:rFonts w:ascii="Traditional Arabic" w:hAnsi="Traditional Arabic" w:hint="cs"/>
          <w:sz w:val="32"/>
          <w:szCs w:val="32"/>
          <w:rtl/>
        </w:rPr>
        <w:t>و</w:t>
      </w:r>
      <w:r w:rsidRPr="009739D1">
        <w:rPr>
          <w:rFonts w:ascii="Traditional Arabic" w:hAnsi="Traditional Arabic"/>
          <w:b/>
          <w:bCs/>
          <w:noProof w:val="0"/>
          <w:sz w:val="32"/>
          <w:szCs w:val="32"/>
          <w:rtl/>
          <w:lang w:eastAsia="en-US"/>
        </w:rPr>
        <w:t>الكفيل</w:t>
      </w:r>
      <w:r w:rsidR="00AB0B9E">
        <w:rPr>
          <w:rFonts w:ascii="Traditional Arabic" w:hAnsi="Traditional Arabic"/>
          <w:b/>
          <w:bCs/>
          <w:noProof w:val="0"/>
          <w:sz w:val="32"/>
          <w:szCs w:val="32"/>
          <w:rtl/>
          <w:lang w:eastAsia="en-US"/>
        </w:rPr>
        <w:fldChar w:fldCharType="begin"/>
      </w:r>
      <w:r>
        <w:instrText xml:space="preserve"> XE "</w:instrText>
      </w:r>
      <w:r w:rsidRPr="00435B0D">
        <w:rPr>
          <w:rFonts w:ascii="Traditional Arabic" w:hAnsi="Traditional Arabic"/>
          <w:noProof w:val="0"/>
          <w:sz w:val="32"/>
          <w:szCs w:val="32"/>
          <w:rtl/>
          <w:lang w:eastAsia="en-US"/>
        </w:rPr>
        <w:instrText>الكفيل</w:instrText>
      </w:r>
      <w:r>
        <w:instrText xml:space="preserve">" </w:instrText>
      </w:r>
      <w:r w:rsidRPr="00435B0D">
        <w:instrText>\fm</w:instrText>
      </w:r>
      <w:r w:rsidR="00AB0B9E">
        <w:rPr>
          <w:rFonts w:ascii="Traditional Arabic" w:hAnsi="Traditional Arabic"/>
          <w:b/>
          <w:bCs/>
          <w:noProof w:val="0"/>
          <w:sz w:val="32"/>
          <w:szCs w:val="32"/>
          <w:rtl/>
          <w:lang w:eastAsia="en-US"/>
        </w:rPr>
        <w:fldChar w:fldCharType="end"/>
      </w:r>
      <w:r w:rsidRPr="009739D1">
        <w:rPr>
          <w:rFonts w:ascii="Traditional Arabic" w:hAnsi="Traditional Arabic"/>
          <w:b/>
          <w:bCs/>
          <w:noProof w:val="0"/>
          <w:sz w:val="32"/>
          <w:szCs w:val="32"/>
          <w:rtl/>
          <w:lang w:eastAsia="en-US"/>
        </w:rPr>
        <w:t xml:space="preserve">: </w:t>
      </w:r>
      <w:r w:rsidRPr="009739D1">
        <w:rPr>
          <w:rFonts w:ascii="Traditional Arabic" w:hAnsi="Traditional Arabic"/>
          <w:noProof w:val="0"/>
          <w:sz w:val="32"/>
          <w:szCs w:val="32"/>
          <w:rtl/>
          <w:lang w:eastAsia="en-US"/>
        </w:rPr>
        <w:t>م</w:t>
      </w:r>
      <w:r>
        <w:rPr>
          <w:rFonts w:ascii="Traditional Arabic" w:hAnsi="Traditional Arabic" w:hint="cs"/>
          <w:noProof w:val="0"/>
          <w:sz w:val="32"/>
          <w:szCs w:val="32"/>
          <w:rtl/>
          <w:lang w:eastAsia="en-US"/>
        </w:rPr>
        <w:t>َ</w:t>
      </w:r>
      <w:r w:rsidRPr="009739D1">
        <w:rPr>
          <w:rFonts w:ascii="Traditional Arabic" w:hAnsi="Traditional Arabic"/>
          <w:noProof w:val="0"/>
          <w:sz w:val="32"/>
          <w:szCs w:val="32"/>
          <w:rtl/>
          <w:lang w:eastAsia="en-US"/>
        </w:rPr>
        <w:t>ن يقبل الكفالة</w:t>
      </w:r>
      <w:r w:rsidRPr="009739D1">
        <w:rPr>
          <w:rFonts w:ascii="Traditional Arabic" w:hAnsi="Traditional Arabic"/>
          <w:b/>
          <w:bCs/>
          <w:noProof w:val="0"/>
          <w:sz w:val="32"/>
          <w:szCs w:val="32"/>
          <w:rtl/>
          <w:lang w:eastAsia="en-US"/>
        </w:rPr>
        <w:t xml:space="preserve">. </w:t>
      </w:r>
      <w:r w:rsidRPr="009739D1">
        <w:rPr>
          <w:rFonts w:ascii="Traditional Arabic" w:hAnsi="Traditional Arabic"/>
          <w:noProof w:val="0"/>
          <w:sz w:val="32"/>
          <w:szCs w:val="32"/>
          <w:rtl/>
          <w:lang w:eastAsia="en-US"/>
        </w:rPr>
        <w:t>أنيس الفقهاء</w:t>
      </w:r>
      <w:r>
        <w:rPr>
          <w:rFonts w:ascii="Traditional Arabic" w:hAnsi="Traditional Arabic" w:hint="cs"/>
          <w:noProof w:val="0"/>
          <w:sz w:val="32"/>
          <w:szCs w:val="32"/>
          <w:rtl/>
          <w:lang w:eastAsia="en-US"/>
        </w:rPr>
        <w:t xml:space="preserve"> (219).</w:t>
      </w:r>
      <w:r w:rsidRPr="009739D1">
        <w:rPr>
          <w:rFonts w:ascii="Traditional Arabic" w:hAnsi="Traditional Arabic"/>
          <w:b/>
          <w:bCs/>
          <w:noProof w:val="0"/>
          <w:sz w:val="32"/>
          <w:szCs w:val="32"/>
          <w:rtl/>
          <w:lang w:eastAsia="en-US"/>
        </w:rPr>
        <w:t xml:space="preserve"> </w:t>
      </w:r>
    </w:p>
  </w:footnote>
  <w:footnote w:id="1033">
    <w:p w:rsidR="000D3D21" w:rsidRPr="00E24FBE"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 (9/209)</w:t>
      </w:r>
      <w:r w:rsidRPr="00E24FBE">
        <w:rPr>
          <w:rFonts w:ascii="Traditional Arabic" w:hAnsi="Traditional Arabic"/>
          <w:sz w:val="32"/>
          <w:szCs w:val="32"/>
          <w:rtl/>
        </w:rPr>
        <w:t>.</w:t>
      </w:r>
    </w:p>
  </w:footnote>
  <w:footnote w:id="1034">
    <w:p w:rsidR="000D3D21" w:rsidRPr="00E839DC"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839DC">
        <w:rPr>
          <w:rFonts w:ascii="Traditional Arabic" w:hAnsi="Traditional Arabic"/>
          <w:sz w:val="32"/>
          <w:szCs w:val="32"/>
          <w:rtl/>
        </w:rPr>
        <w:t xml:space="preserve">تهذيب السنن </w:t>
      </w:r>
      <w:r>
        <w:rPr>
          <w:rFonts w:ascii="Traditional Arabic" w:hAnsi="Traditional Arabic" w:hint="cs"/>
          <w:sz w:val="32"/>
          <w:szCs w:val="32"/>
          <w:rtl/>
        </w:rPr>
        <w:t>لابن القيم (3/1256)</w:t>
      </w:r>
      <w:r w:rsidRPr="00E839DC">
        <w:rPr>
          <w:rFonts w:ascii="Traditional Arabic" w:hAnsi="Traditional Arabic"/>
          <w:sz w:val="32"/>
          <w:szCs w:val="32"/>
          <w:rtl/>
        </w:rPr>
        <w:t>، وانظ</w:t>
      </w:r>
      <w:r>
        <w:rPr>
          <w:rFonts w:ascii="Traditional Arabic" w:hAnsi="Traditional Arabic"/>
          <w:sz w:val="32"/>
          <w:szCs w:val="32"/>
          <w:rtl/>
        </w:rPr>
        <w:t xml:space="preserve">ر القواعد الفقهية المستخرجة من </w:t>
      </w:r>
      <w:r>
        <w:rPr>
          <w:rFonts w:ascii="Traditional Arabic" w:hAnsi="Traditional Arabic" w:hint="cs"/>
          <w:sz w:val="32"/>
          <w:szCs w:val="32"/>
          <w:rtl/>
        </w:rPr>
        <w:t>إ</w:t>
      </w:r>
      <w:r w:rsidRPr="00E839DC">
        <w:rPr>
          <w:rFonts w:ascii="Traditional Arabic" w:hAnsi="Traditional Arabic"/>
          <w:sz w:val="32"/>
          <w:szCs w:val="32"/>
          <w:rtl/>
        </w:rPr>
        <w:t>علام الموقعين (427).</w:t>
      </w:r>
    </w:p>
  </w:footnote>
  <w:footnote w:id="1035">
    <w:p w:rsidR="000D3D21" w:rsidRPr="00E24FBE"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4FBE">
        <w:rPr>
          <w:rFonts w:ascii="Traditional Arabic" w:hAnsi="Traditional Arabic"/>
          <w:sz w:val="32"/>
          <w:szCs w:val="32"/>
          <w:rtl/>
        </w:rPr>
        <w:t xml:space="preserve">الأشباه والنظائر (119).وانظر الأشباه والنظائر لابن نجيم (134)، </w:t>
      </w:r>
      <w:r>
        <w:rPr>
          <w:rFonts w:ascii="Traditional Arabic" w:hAnsi="Traditional Arabic" w:hint="cs"/>
          <w:sz w:val="32"/>
          <w:szCs w:val="32"/>
          <w:rtl/>
        </w:rPr>
        <w:t xml:space="preserve">والمنثور للزركشي (3/22)، </w:t>
      </w:r>
      <w:r w:rsidRPr="00E24FBE">
        <w:rPr>
          <w:rFonts w:ascii="Traditional Arabic" w:hAnsi="Traditional Arabic"/>
          <w:sz w:val="32"/>
          <w:szCs w:val="32"/>
          <w:rtl/>
        </w:rPr>
        <w:t>وإيضاح القواعد الفقهية لطلاب المدرسة الصولتية لعبد الله بن سعد بن محمد عبّادي اللحجي (52)، والقواعد الفقهية وتطبيقاتها في المذاهب الأربعة ل</w:t>
      </w:r>
      <w:r w:rsidRPr="00E24FBE">
        <w:rPr>
          <w:rFonts w:ascii="Traditional Arabic" w:hAnsi="Traditional Arabic"/>
          <w:noProof w:val="0"/>
          <w:sz w:val="32"/>
          <w:szCs w:val="32"/>
          <w:rtl/>
          <w:lang w:eastAsia="en-US"/>
        </w:rPr>
        <w:t>محمد مصطفى الزحيلي</w:t>
      </w:r>
      <w:r w:rsidRPr="00E24FBE">
        <w:rPr>
          <w:rFonts w:ascii="Traditional Arabic" w:hAnsi="Traditional Arabic"/>
          <w:sz w:val="32"/>
          <w:szCs w:val="32"/>
          <w:rtl/>
        </w:rPr>
        <w:t xml:space="preserve"> (450)</w:t>
      </w:r>
      <w:r>
        <w:rPr>
          <w:rFonts w:ascii="Traditional Arabic" w:hAnsi="Traditional Arabic" w:hint="cs"/>
          <w:sz w:val="32"/>
          <w:szCs w:val="32"/>
          <w:rtl/>
        </w:rPr>
        <w:t>، وموسوعة القواعد والضوابط الفقهية للبورنو (3/165)</w:t>
      </w:r>
      <w:r w:rsidRPr="00E24FBE">
        <w:rPr>
          <w:rFonts w:ascii="Traditional Arabic" w:hAnsi="Traditional Arabic"/>
          <w:sz w:val="32"/>
          <w:szCs w:val="32"/>
          <w:rtl/>
        </w:rPr>
        <w:t>.</w:t>
      </w:r>
    </w:p>
  </w:footnote>
  <w:footnote w:id="1036">
    <w:p w:rsidR="000D3D21" w:rsidRPr="001034DF" w:rsidRDefault="000D3D21" w:rsidP="004347B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مجلة الأحكام العدلية (المادة</w:t>
      </w:r>
      <w:r>
        <w:rPr>
          <w:rFonts w:ascii="Traditional Arabic" w:hAnsi="Traditional Arabic" w:hint="cs"/>
          <w:sz w:val="32"/>
          <w:szCs w:val="32"/>
          <w:rtl/>
        </w:rPr>
        <w:t xml:space="preserve"> 50</w:t>
      </w:r>
      <w:r w:rsidRPr="00E24FBE">
        <w:rPr>
          <w:rFonts w:ascii="Traditional Arabic" w:hAnsi="Traditional Arabic"/>
          <w:sz w:val="32"/>
          <w:szCs w:val="32"/>
          <w:rtl/>
        </w:rPr>
        <w:t>). وانظر شرح القواعد الفقهية لأحمد الزرقا (263).</w:t>
      </w:r>
    </w:p>
  </w:footnote>
  <w:footnote w:id="1037">
    <w:p w:rsidR="000D3D21" w:rsidRPr="00374335"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74335">
        <w:rPr>
          <w:rFonts w:ascii="Traditional Arabic" w:hAnsi="Traditional Arabic"/>
          <w:sz w:val="32"/>
          <w:szCs w:val="32"/>
          <w:rtl/>
        </w:rPr>
        <w:t xml:space="preserve">قال ابن النجار الفتوحي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374335">
        <w:rPr>
          <w:rFonts w:ascii="Traditional Arabic" w:hAnsi="Traditional Arabic"/>
          <w:sz w:val="32"/>
          <w:szCs w:val="32"/>
          <w:rtl/>
        </w:rPr>
        <w:t xml:space="preserve"> : (</w:t>
      </w:r>
      <w:r w:rsidRPr="00374335">
        <w:rPr>
          <w:rFonts w:ascii="Traditional Arabic" w:hAnsi="Traditional Arabic"/>
          <w:noProof w:val="0"/>
          <w:sz w:val="32"/>
          <w:szCs w:val="32"/>
          <w:rtl/>
          <w:lang w:eastAsia="en-US"/>
        </w:rPr>
        <w:t>الأصل "اصطلاحا"، أي: في اصطلاح العلماء "ما له فرع" لأن الفرع لا ينشأ إلا عن أصل).</w:t>
      </w:r>
      <w:r w:rsidRPr="00374335">
        <w:rPr>
          <w:rFonts w:ascii="Traditional Arabic" w:hAnsi="Traditional Arabic"/>
          <w:sz w:val="32"/>
          <w:szCs w:val="32"/>
          <w:rtl/>
        </w:rPr>
        <w:t xml:space="preserve"> شرح الكوكب المنير (1/38).</w:t>
      </w:r>
    </w:p>
  </w:footnote>
  <w:footnote w:id="1038">
    <w:p w:rsidR="000D3D21" w:rsidRPr="00374335"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74335">
        <w:rPr>
          <w:rFonts w:ascii="Traditional Arabic" w:hAnsi="Traditional Arabic"/>
          <w:sz w:val="32"/>
          <w:szCs w:val="32"/>
          <w:rtl/>
        </w:rPr>
        <w:t>مقاييس اللغة (4/491).</w:t>
      </w:r>
    </w:p>
  </w:footnote>
  <w:footnote w:id="1039">
    <w:p w:rsidR="000D3D21" w:rsidRPr="00CD5330" w:rsidRDefault="000D3D21" w:rsidP="004347BB">
      <w:pPr>
        <w:pStyle w:val="a7"/>
        <w:pageBreakBefore/>
        <w:rPr>
          <w:rFonts w:ascii="Tahoma" w:hAnsi="Tahoma"/>
          <w:sz w:val="32"/>
          <w:szCs w:val="32"/>
          <w:rtl/>
        </w:rPr>
      </w:pPr>
      <w:r w:rsidRPr="00CD5330">
        <w:rPr>
          <w:rFonts w:ascii="Tahoma" w:hAnsi="Tahoma"/>
          <w:sz w:val="32"/>
          <w:szCs w:val="32"/>
          <w:rtl/>
        </w:rPr>
        <w:t>(</w:t>
      </w:r>
      <w:r w:rsidRPr="00CD5330">
        <w:rPr>
          <w:rStyle w:val="af1"/>
          <w:rFonts w:ascii="Tahoma" w:hAnsi="Tahoma"/>
          <w:sz w:val="32"/>
          <w:szCs w:val="32"/>
          <w:vertAlign w:val="baseline"/>
          <w:rtl/>
        </w:rPr>
        <w:footnoteRef/>
      </w:r>
      <w:r w:rsidRPr="00CD5330">
        <w:rPr>
          <w:rFonts w:ascii="Tahoma" w:hAnsi="Tahoma"/>
          <w:sz w:val="32"/>
          <w:szCs w:val="32"/>
          <w:rtl/>
        </w:rPr>
        <w:t>)</w:t>
      </w:r>
      <w:r>
        <w:rPr>
          <w:rFonts w:ascii="Tahoma" w:hAnsi="Tahoma" w:hint="cs"/>
          <w:sz w:val="32"/>
          <w:szCs w:val="32"/>
          <w:rtl/>
        </w:rPr>
        <w:t xml:space="preserve"> </w:t>
      </w:r>
      <w:r w:rsidRPr="00CD5330">
        <w:rPr>
          <w:rFonts w:ascii="Tahoma" w:hAnsi="Tahoma" w:hint="cs"/>
          <w:sz w:val="32"/>
          <w:szCs w:val="32"/>
          <w:rtl/>
        </w:rPr>
        <w:t xml:space="preserve">المصباح المنير </w:t>
      </w:r>
      <w:r>
        <w:rPr>
          <w:rFonts w:ascii="Tahoma" w:hAnsi="Tahoma" w:hint="cs"/>
          <w:sz w:val="32"/>
          <w:szCs w:val="32"/>
          <w:rtl/>
        </w:rPr>
        <w:t>(382)</w:t>
      </w:r>
      <w:r w:rsidRPr="00CD5330">
        <w:rPr>
          <w:rFonts w:ascii="Tahoma" w:hAnsi="Tahoma" w:hint="cs"/>
          <w:sz w:val="32"/>
          <w:szCs w:val="32"/>
          <w:rtl/>
        </w:rPr>
        <w:t xml:space="preserve">، والتعريفات للجرجاني </w:t>
      </w:r>
      <w:r>
        <w:rPr>
          <w:rFonts w:ascii="Tahoma" w:hAnsi="Tahoma" w:hint="cs"/>
          <w:sz w:val="32"/>
          <w:szCs w:val="32"/>
          <w:rtl/>
        </w:rPr>
        <w:t>(172)</w:t>
      </w:r>
      <w:r w:rsidRPr="00CD5330">
        <w:rPr>
          <w:rFonts w:ascii="Tahoma" w:hAnsi="Tahoma" w:hint="cs"/>
          <w:sz w:val="32"/>
          <w:szCs w:val="32"/>
          <w:rtl/>
        </w:rPr>
        <w:t>.</w:t>
      </w:r>
    </w:p>
  </w:footnote>
  <w:footnote w:id="1040">
    <w:p w:rsidR="000D3D21" w:rsidRPr="00374335"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74335">
        <w:rPr>
          <w:rFonts w:ascii="Traditional Arabic" w:hAnsi="Traditional Arabic"/>
          <w:sz w:val="32"/>
          <w:szCs w:val="32"/>
          <w:rtl/>
        </w:rPr>
        <w:t>القواعد الفقهية وتطبيقاتها ف</w:t>
      </w:r>
      <w:r>
        <w:rPr>
          <w:rFonts w:ascii="Traditional Arabic" w:hAnsi="Traditional Arabic"/>
          <w:sz w:val="32"/>
          <w:szCs w:val="32"/>
          <w:rtl/>
        </w:rPr>
        <w:t xml:space="preserve">ي المذاهب الأربعة (450)، وانظر </w:t>
      </w:r>
      <w:r>
        <w:rPr>
          <w:rFonts w:ascii="Traditional Arabic" w:hAnsi="Traditional Arabic" w:hint="cs"/>
          <w:sz w:val="32"/>
          <w:szCs w:val="32"/>
          <w:rtl/>
        </w:rPr>
        <w:t>م</w:t>
      </w:r>
      <w:r w:rsidRPr="00374335">
        <w:rPr>
          <w:rFonts w:ascii="Traditional Arabic" w:hAnsi="Traditional Arabic"/>
          <w:sz w:val="32"/>
          <w:szCs w:val="32"/>
          <w:rtl/>
        </w:rPr>
        <w:t>وسوعة ال</w:t>
      </w:r>
      <w:r>
        <w:rPr>
          <w:rFonts w:ascii="Traditional Arabic" w:hAnsi="Traditional Arabic"/>
          <w:sz w:val="32"/>
          <w:szCs w:val="32"/>
          <w:rtl/>
        </w:rPr>
        <w:t>قواعد والضوابط الفقهية للبورنو</w:t>
      </w:r>
      <w:r>
        <w:rPr>
          <w:rFonts w:ascii="Traditional Arabic" w:hAnsi="Traditional Arabic" w:hint="cs"/>
          <w:sz w:val="32"/>
          <w:szCs w:val="32"/>
          <w:rtl/>
        </w:rPr>
        <w:t xml:space="preserve"> (2</w:t>
      </w:r>
      <w:r w:rsidRPr="00374335">
        <w:rPr>
          <w:rFonts w:ascii="Traditional Arabic" w:hAnsi="Traditional Arabic"/>
          <w:sz w:val="32"/>
          <w:szCs w:val="32"/>
          <w:rtl/>
        </w:rPr>
        <w:t>/165)، والمدخل الفقهي العام لمصطفى أحمد الزرقا (2/1025)</w:t>
      </w:r>
      <w:r>
        <w:rPr>
          <w:rFonts w:ascii="Traditional Arabic" w:hAnsi="Traditional Arabic" w:hint="cs"/>
          <w:sz w:val="32"/>
          <w:szCs w:val="32"/>
          <w:rtl/>
        </w:rPr>
        <w:t>، وموسوعة القواعد والضوابط الفقهية الحاكمة للمعاملات المالية (1/481)، والقواعد الفقهية  كلاهما للندوي</w:t>
      </w:r>
      <w:r w:rsidRPr="00374335">
        <w:rPr>
          <w:rFonts w:ascii="Traditional Arabic" w:hAnsi="Traditional Arabic"/>
          <w:sz w:val="32"/>
          <w:szCs w:val="32"/>
          <w:rtl/>
        </w:rPr>
        <w:t>.</w:t>
      </w:r>
    </w:p>
  </w:footnote>
  <w:footnote w:id="1041">
    <w:p w:rsidR="000D3D21" w:rsidRPr="00833C79"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33C79">
        <w:rPr>
          <w:rFonts w:ascii="Traditional Arabic" w:hAnsi="Traditional Arabic"/>
          <w:sz w:val="32"/>
          <w:szCs w:val="32"/>
          <w:rtl/>
        </w:rPr>
        <w:t>انظر: زاد المسير (6/83)، وفتح القدير</w:t>
      </w:r>
      <w:r>
        <w:rPr>
          <w:rFonts w:ascii="Traditional Arabic" w:hAnsi="Traditional Arabic" w:hint="cs"/>
          <w:sz w:val="32"/>
          <w:szCs w:val="32"/>
          <w:rtl/>
        </w:rPr>
        <w:t xml:space="preserve"> (4/95)</w:t>
      </w:r>
      <w:r w:rsidRPr="00833C79">
        <w:rPr>
          <w:rFonts w:ascii="Traditional Arabic" w:hAnsi="Traditional Arabic"/>
          <w:sz w:val="32"/>
          <w:szCs w:val="32"/>
          <w:rtl/>
        </w:rPr>
        <w:t>، وموسوعة القواعد والضوابط الفقهية للبورنو (2/165)، والقواعد والضوابط الفقهية عند ابن القسم الجوزية في فقه الأسرة (485).</w:t>
      </w:r>
    </w:p>
  </w:footnote>
  <w:footnote w:id="1042">
    <w:p w:rsidR="000D3D21" w:rsidRPr="00C77AE5"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77AE5">
        <w:rPr>
          <w:rFonts w:ascii="Traditional Arabic" w:hAnsi="Traditional Arabic"/>
          <w:sz w:val="32"/>
          <w:szCs w:val="32"/>
          <w:rtl/>
        </w:rPr>
        <w:t>انظر الشرح الممتع (9/189-190).</w:t>
      </w:r>
    </w:p>
  </w:footnote>
  <w:footnote w:id="1043">
    <w:p w:rsidR="000D3D21" w:rsidRPr="00C77AE5"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77AE5">
        <w:rPr>
          <w:rFonts w:ascii="Traditional Arabic" w:hAnsi="Traditional Arabic"/>
          <w:sz w:val="32"/>
          <w:szCs w:val="32"/>
          <w:rtl/>
        </w:rPr>
        <w:t>انظر المرجع السابق (9/208، 209).</w:t>
      </w:r>
    </w:p>
  </w:footnote>
  <w:footnote w:id="1044">
    <w:p w:rsidR="000D3D21" w:rsidRPr="00C77AE5"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77AE5">
        <w:rPr>
          <w:rFonts w:ascii="Traditional Arabic" w:hAnsi="Traditional Arabic"/>
          <w:sz w:val="32"/>
          <w:szCs w:val="32"/>
          <w:rtl/>
        </w:rPr>
        <w:t>شرح القواعد الفقهية للزرقا (263).</w:t>
      </w:r>
    </w:p>
  </w:footnote>
  <w:footnote w:id="1045">
    <w:p w:rsidR="000D3D21" w:rsidRPr="00C77AE5" w:rsidRDefault="000D3D21" w:rsidP="004347B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77AE5">
        <w:rPr>
          <w:rFonts w:ascii="Traditional Arabic" w:hAnsi="Traditional Arabic"/>
          <w:sz w:val="32"/>
          <w:szCs w:val="32"/>
          <w:rtl/>
        </w:rPr>
        <w:t>المرجع السابق (263-264)</w:t>
      </w:r>
      <w:r>
        <w:rPr>
          <w:rFonts w:ascii="Traditional Arabic" w:hAnsi="Traditional Arabic" w:hint="cs"/>
          <w:sz w:val="32"/>
          <w:szCs w:val="32"/>
          <w:rtl/>
        </w:rPr>
        <w:t xml:space="preserve"> بتصرف</w:t>
      </w:r>
      <w:r w:rsidRPr="00C77AE5">
        <w:rPr>
          <w:rFonts w:ascii="Traditional Arabic" w:hAnsi="Traditional Arabic"/>
          <w:sz w:val="32"/>
          <w:szCs w:val="32"/>
          <w:rtl/>
        </w:rPr>
        <w:t>.</w:t>
      </w:r>
    </w:p>
  </w:footnote>
  <w:footnote w:id="1046">
    <w:p w:rsidR="000D3D21" w:rsidRPr="00C77AE5"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77AE5">
        <w:rPr>
          <w:rFonts w:ascii="Traditional Arabic" w:hAnsi="Traditional Arabic"/>
          <w:sz w:val="32"/>
          <w:szCs w:val="32"/>
          <w:rtl/>
        </w:rPr>
        <w:t>موسوعة القواعد والضوابط الفقهية للندوي (1/483)</w:t>
      </w:r>
      <w:r>
        <w:rPr>
          <w:rFonts w:ascii="Traditional Arabic" w:hAnsi="Traditional Arabic" w:hint="cs"/>
          <w:sz w:val="32"/>
          <w:szCs w:val="32"/>
          <w:rtl/>
        </w:rPr>
        <w:t>.</w:t>
      </w:r>
    </w:p>
  </w:footnote>
  <w:footnote w:id="1047">
    <w:p w:rsidR="000D3D21" w:rsidRPr="004E7056" w:rsidRDefault="000D3D21" w:rsidP="004347BB">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E7056">
        <w:rPr>
          <w:rFonts w:ascii="Traditional Arabic" w:hAnsi="Traditional Arabic"/>
          <w:sz w:val="32"/>
          <w:szCs w:val="32"/>
          <w:rtl/>
        </w:rPr>
        <w:t>اخترت هذه الصيغة لعدة أسباب، منها:</w:t>
      </w:r>
    </w:p>
    <w:p w:rsidR="000D3D21" w:rsidRPr="004E7056" w:rsidRDefault="000D3D21" w:rsidP="004347BB">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4E7056">
        <w:rPr>
          <w:rFonts w:ascii="Traditional Arabic" w:hAnsi="Traditional Arabic"/>
          <w:sz w:val="32"/>
          <w:szCs w:val="32"/>
          <w:rtl/>
        </w:rPr>
        <w:t>- ورودها بهذا اللفظ في الشرح الممتع،</w:t>
      </w:r>
      <w:r>
        <w:rPr>
          <w:rFonts w:ascii="Traditional Arabic" w:hAnsi="Traditional Arabic"/>
          <w:sz w:val="32"/>
          <w:szCs w:val="32"/>
          <w:rtl/>
        </w:rPr>
        <w:t xml:space="preserve"> و</w:t>
      </w:r>
      <w:r w:rsidRPr="004E7056">
        <w:rPr>
          <w:rFonts w:ascii="Traditional Arabic" w:hAnsi="Traditional Arabic"/>
          <w:sz w:val="32"/>
          <w:szCs w:val="32"/>
          <w:rtl/>
        </w:rPr>
        <w:t xml:space="preserve">في أغلب المواطن التي ذكر فيها الشيخ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4E7056">
        <w:rPr>
          <w:rFonts w:ascii="Traditional Arabic" w:hAnsi="Traditional Arabic"/>
          <w:sz w:val="32"/>
          <w:szCs w:val="32"/>
          <w:rtl/>
        </w:rPr>
        <w:t xml:space="preserve"> هذه القاعدة. </w:t>
      </w:r>
    </w:p>
    <w:p w:rsidR="000D3D21" w:rsidRPr="004E7056" w:rsidRDefault="000D3D21" w:rsidP="004347BB">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4E7056">
        <w:rPr>
          <w:rFonts w:ascii="Traditional Arabic" w:hAnsi="Traditional Arabic"/>
          <w:sz w:val="32"/>
          <w:szCs w:val="32"/>
          <w:rtl/>
        </w:rPr>
        <w:t>- شهرتها بهذا اللفظ عند العلماء.</w:t>
      </w:r>
    </w:p>
    <w:p w:rsidR="000D3D21" w:rsidRPr="004E7056" w:rsidRDefault="000D3D21" w:rsidP="004347BB">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4E7056">
        <w:rPr>
          <w:rFonts w:ascii="Traditional Arabic" w:hAnsi="Traditional Arabic"/>
          <w:sz w:val="32"/>
          <w:szCs w:val="32"/>
          <w:rtl/>
        </w:rPr>
        <w:t>- كونها موجَزةً في عبارتها.</w:t>
      </w:r>
    </w:p>
    <w:p w:rsidR="000D3D21" w:rsidRDefault="000D3D21" w:rsidP="00D77425">
      <w:pPr>
        <w:pStyle w:val="a7"/>
        <w:pageBreakBefore/>
        <w:ind w:left="0" w:firstLine="0"/>
        <w:rPr>
          <w:rFonts w:ascii="Traditional Arabic" w:hAnsi="Traditional Arabic"/>
          <w:b/>
          <w:bCs/>
          <w:sz w:val="32"/>
          <w:szCs w:val="32"/>
          <w:rtl/>
        </w:rPr>
      </w:pPr>
      <w:r>
        <w:rPr>
          <w:rFonts w:ascii="Traditional Arabic" w:hAnsi="Traditional Arabic" w:hint="cs"/>
          <w:b/>
          <w:bCs/>
          <w:sz w:val="32"/>
          <w:szCs w:val="32"/>
          <w:rtl/>
        </w:rPr>
        <w:t xml:space="preserve">     </w:t>
      </w:r>
      <w:r w:rsidRPr="004E7056">
        <w:rPr>
          <w:rFonts w:ascii="Traditional Arabic" w:hAnsi="Traditional Arabic"/>
          <w:b/>
          <w:bCs/>
          <w:sz w:val="32"/>
          <w:szCs w:val="32"/>
          <w:rtl/>
        </w:rPr>
        <w:t xml:space="preserve">تنبيه: </w:t>
      </w:r>
      <w:r w:rsidRPr="005B5678">
        <w:rPr>
          <w:rFonts w:ascii="Traditional Arabic" w:hAnsi="Traditional Arabic"/>
          <w:sz w:val="32"/>
          <w:szCs w:val="32"/>
          <w:rtl/>
        </w:rPr>
        <w:t xml:space="preserve">جعل الشيخ ابن عثيمين </w:t>
      </w:r>
      <w:r>
        <w:rPr>
          <w:rFonts w:ascii="Traditional Arabic" w:hAnsi="Traditional Arabic" w:hint="cs"/>
          <w:sz w:val="32"/>
          <w:szCs w:val="32"/>
          <w:rtl/>
        </w:rPr>
        <w:t>_رحمه الله_</w:t>
      </w:r>
      <w:r w:rsidRPr="005B5678">
        <w:rPr>
          <w:rFonts w:ascii="Traditional Arabic" w:hAnsi="Traditional Arabic"/>
          <w:sz w:val="32"/>
          <w:szCs w:val="32"/>
          <w:rtl/>
        </w:rPr>
        <w:t xml:space="preserve"> هذه القاعدة بمعنى قاعدة</w:t>
      </w:r>
      <w:r>
        <w:rPr>
          <w:rFonts w:ascii="Traditional Arabic" w:hAnsi="Traditional Arabic" w:hint="cs"/>
          <w:sz w:val="32"/>
          <w:szCs w:val="32"/>
          <w:rtl/>
        </w:rPr>
        <w:t xml:space="preserve">: </w:t>
      </w:r>
      <w:r w:rsidRPr="005B5678">
        <w:rPr>
          <w:rFonts w:ascii="Traditional Arabic" w:hAnsi="Traditional Arabic"/>
          <w:sz w:val="32"/>
          <w:szCs w:val="32"/>
          <w:rtl/>
        </w:rPr>
        <w:t>( اليقين لا يزول بالشك)،</w:t>
      </w:r>
      <w:r w:rsidRPr="004E7056">
        <w:rPr>
          <w:rFonts w:ascii="Traditional Arabic" w:hAnsi="Traditional Arabic"/>
          <w:sz w:val="32"/>
          <w:szCs w:val="32"/>
          <w:rtl/>
        </w:rPr>
        <w:t xml:space="preserve"> حيث</w:t>
      </w:r>
      <w:r>
        <w:rPr>
          <w:rFonts w:ascii="Traditional Arabic" w:hAnsi="Traditional Arabic" w:hint="cs"/>
          <w:sz w:val="32"/>
          <w:szCs w:val="32"/>
          <w:rtl/>
        </w:rPr>
        <w:t xml:space="preserve"> إنه </w:t>
      </w:r>
      <w:r w:rsidRPr="004E7056">
        <w:rPr>
          <w:rFonts w:ascii="Traditional Arabic" w:hAnsi="Traditional Arabic"/>
          <w:sz w:val="32"/>
          <w:szCs w:val="32"/>
          <w:rtl/>
        </w:rPr>
        <w:t xml:space="preserve"> قال:( </w:t>
      </w:r>
      <w:r>
        <w:rPr>
          <w:rFonts w:ascii="Traditional Arabic" w:hAnsi="Traditional Arabic" w:hint="cs"/>
          <w:sz w:val="32"/>
          <w:szCs w:val="32"/>
          <w:rtl/>
        </w:rPr>
        <w:t>هذه القاعدة تعني أن كل معلوم الوجود فالأصل بقاء وجوده، وكل معلوم العدم فالأصل بقاء عدمه.</w:t>
      </w:r>
      <w:r w:rsidRPr="004E7056">
        <w:rPr>
          <w:rFonts w:ascii="Traditional Arabic" w:hAnsi="Traditional Arabic"/>
          <w:sz w:val="32"/>
          <w:szCs w:val="32"/>
          <w:rtl/>
        </w:rPr>
        <w:t>و عبر بعض العلماء عن ذلك بقوله:</w:t>
      </w:r>
      <w:r>
        <w:rPr>
          <w:rFonts w:ascii="Traditional Arabic" w:hAnsi="Traditional Arabic" w:hint="cs"/>
          <w:sz w:val="32"/>
          <w:szCs w:val="32"/>
          <w:rtl/>
        </w:rPr>
        <w:t xml:space="preserve"> </w:t>
      </w:r>
      <w:r w:rsidRPr="004E7056">
        <w:rPr>
          <w:rFonts w:ascii="Traditional Arabic" w:hAnsi="Traditional Arabic"/>
          <w:sz w:val="32"/>
          <w:szCs w:val="32"/>
          <w:rtl/>
        </w:rPr>
        <w:t>الأصل بقاء ما كان على ما كان،</w:t>
      </w:r>
      <w:r>
        <w:rPr>
          <w:rFonts w:ascii="Traditional Arabic" w:hAnsi="Traditional Arabic" w:hint="cs"/>
          <w:sz w:val="32"/>
          <w:szCs w:val="32"/>
          <w:rtl/>
        </w:rPr>
        <w:t xml:space="preserve"> وبعضهم يقول: الأصل بقاء ما عُلِم على ما عُلِم</w:t>
      </w:r>
      <w:r w:rsidRPr="004E7056">
        <w:rPr>
          <w:rFonts w:ascii="Traditional Arabic" w:hAnsi="Traditional Arabic"/>
          <w:sz w:val="32"/>
          <w:szCs w:val="32"/>
          <w:rtl/>
        </w:rPr>
        <w:t>،</w:t>
      </w:r>
      <w:r>
        <w:rPr>
          <w:rFonts w:ascii="Traditional Arabic" w:hAnsi="Traditional Arabic" w:hint="cs"/>
          <w:sz w:val="32"/>
          <w:szCs w:val="32"/>
          <w:rtl/>
        </w:rPr>
        <w:t xml:space="preserve"> و</w:t>
      </w:r>
      <w:r w:rsidRPr="004E7056">
        <w:rPr>
          <w:rFonts w:ascii="Traditional Arabic" w:hAnsi="Traditional Arabic"/>
          <w:sz w:val="32"/>
          <w:szCs w:val="32"/>
          <w:rtl/>
        </w:rPr>
        <w:t>بعضهم يقول:</w:t>
      </w:r>
      <w:r>
        <w:rPr>
          <w:rFonts w:ascii="Traditional Arabic" w:hAnsi="Traditional Arabic" w:hint="cs"/>
          <w:sz w:val="32"/>
          <w:szCs w:val="32"/>
          <w:rtl/>
        </w:rPr>
        <w:t xml:space="preserve"> </w:t>
      </w:r>
      <w:r w:rsidRPr="004E7056">
        <w:rPr>
          <w:rFonts w:ascii="Traditional Arabic" w:hAnsi="Traditional Arabic"/>
          <w:sz w:val="32"/>
          <w:szCs w:val="32"/>
          <w:rtl/>
        </w:rPr>
        <w:t>الشك لا يزيل اليقين، وبعضهم يقول: اليقين لا يزول بالشك،</w:t>
      </w:r>
    </w:p>
    <w:p w:rsidR="000D3D21" w:rsidRDefault="000D3D21" w:rsidP="004347BB">
      <w:pPr>
        <w:pStyle w:val="a7"/>
        <w:pageBreakBefore/>
        <w:ind w:left="0" w:firstLine="0"/>
        <w:rPr>
          <w:rFonts w:ascii="Traditional Arabic" w:hAnsi="Traditional Arabic"/>
          <w:sz w:val="32"/>
          <w:szCs w:val="32"/>
          <w:rtl/>
        </w:rPr>
      </w:pPr>
      <w:r>
        <w:rPr>
          <w:rFonts w:ascii="Traditional Arabic" w:hAnsi="Traditional Arabic"/>
          <w:sz w:val="32"/>
          <w:szCs w:val="32"/>
          <w:rtl/>
        </w:rPr>
        <w:t>و</w:t>
      </w:r>
      <w:r w:rsidRPr="005B5678">
        <w:rPr>
          <w:rFonts w:ascii="Traditional Arabic" w:hAnsi="Traditional Arabic"/>
          <w:sz w:val="32"/>
          <w:szCs w:val="32"/>
          <w:rtl/>
        </w:rPr>
        <w:t>المعنى واحد</w:t>
      </w:r>
      <w:r w:rsidRPr="004E7056">
        <w:rPr>
          <w:rFonts w:ascii="Traditional Arabic" w:hAnsi="Traditional Arabic"/>
          <w:sz w:val="32"/>
          <w:szCs w:val="32"/>
          <w:rtl/>
        </w:rPr>
        <w:t>).</w:t>
      </w:r>
      <w:r>
        <w:rPr>
          <w:rFonts w:ascii="Traditional Arabic" w:hAnsi="Traditional Arabic" w:hint="cs"/>
          <w:sz w:val="32"/>
          <w:szCs w:val="32"/>
          <w:rtl/>
        </w:rPr>
        <w:t xml:space="preserve"> </w:t>
      </w:r>
      <w:r w:rsidRPr="004E7056">
        <w:rPr>
          <w:rFonts w:ascii="Traditional Arabic" w:hAnsi="Traditional Arabic"/>
          <w:sz w:val="32"/>
          <w:szCs w:val="32"/>
          <w:rtl/>
        </w:rPr>
        <w:t>شرح منظومة أصول الفقه</w:t>
      </w:r>
      <w:r>
        <w:rPr>
          <w:rFonts w:ascii="Traditional Arabic" w:hAnsi="Traditional Arabic"/>
          <w:sz w:val="32"/>
          <w:szCs w:val="32"/>
          <w:rtl/>
        </w:rPr>
        <w:t xml:space="preserve"> و</w:t>
      </w:r>
      <w:r w:rsidRPr="004E7056">
        <w:rPr>
          <w:rFonts w:ascii="Traditional Arabic" w:hAnsi="Traditional Arabic"/>
          <w:sz w:val="32"/>
          <w:szCs w:val="32"/>
          <w:rtl/>
        </w:rPr>
        <w:t>قواعده (330)</w:t>
      </w:r>
      <w:r>
        <w:rPr>
          <w:rFonts w:ascii="Traditional Arabic" w:hAnsi="Traditional Arabic" w:hint="cs"/>
          <w:sz w:val="32"/>
          <w:szCs w:val="32"/>
          <w:rtl/>
        </w:rPr>
        <w:t>.</w:t>
      </w:r>
    </w:p>
    <w:p w:rsidR="000D3D21" w:rsidRPr="004E7056" w:rsidRDefault="000D3D21" w:rsidP="004347BB">
      <w:pPr>
        <w:pStyle w:val="a7"/>
        <w:pageBreakBefore/>
        <w:ind w:left="0" w:firstLine="0"/>
        <w:rPr>
          <w:rFonts w:ascii="Traditional Arabic" w:hAnsi="Traditional Arabic"/>
          <w:noProof w:val="0"/>
          <w:color w:val="auto"/>
          <w:sz w:val="32"/>
          <w:szCs w:val="32"/>
          <w:rtl/>
          <w:lang w:eastAsia="en-US"/>
        </w:rPr>
      </w:pPr>
      <w:r>
        <w:rPr>
          <w:rFonts w:ascii="Traditional Arabic" w:hAnsi="Traditional Arabic" w:hint="cs"/>
          <w:sz w:val="32"/>
          <w:szCs w:val="32"/>
          <w:rtl/>
        </w:rPr>
        <w:t xml:space="preserve">     </w:t>
      </w:r>
      <w:r w:rsidRPr="004E7056">
        <w:rPr>
          <w:rFonts w:ascii="Traditional Arabic" w:hAnsi="Traditional Arabic"/>
          <w:sz w:val="32"/>
          <w:szCs w:val="32"/>
          <w:rtl/>
        </w:rPr>
        <w:t xml:space="preserve">ومن العلماء الذين جعلوا </w:t>
      </w:r>
      <w:r>
        <w:rPr>
          <w:rFonts w:ascii="Traditional Arabic" w:hAnsi="Traditional Arabic"/>
          <w:noProof w:val="0"/>
          <w:color w:val="auto"/>
          <w:sz w:val="32"/>
          <w:szCs w:val="32"/>
          <w:rtl/>
          <w:lang w:eastAsia="en-US"/>
        </w:rPr>
        <w:t>القاعدتين بمعنى واحد</w:t>
      </w:r>
      <w:r>
        <w:rPr>
          <w:rFonts w:ascii="Traditional Arabic" w:hAnsi="Traditional Arabic" w:hint="cs"/>
          <w:noProof w:val="0"/>
          <w:color w:val="auto"/>
          <w:sz w:val="32"/>
          <w:szCs w:val="32"/>
          <w:rtl/>
          <w:lang w:eastAsia="en-US"/>
        </w:rPr>
        <w:t>،</w:t>
      </w:r>
      <w:r w:rsidRPr="004E7056">
        <w:rPr>
          <w:rFonts w:ascii="Traditional Arabic" w:hAnsi="Traditional Arabic"/>
          <w:noProof w:val="0"/>
          <w:color w:val="auto"/>
          <w:sz w:val="32"/>
          <w:szCs w:val="32"/>
          <w:rtl/>
          <w:lang w:eastAsia="en-US"/>
        </w:rPr>
        <w:t xml:space="preserve"> تاج الدين السبكي</w:t>
      </w:r>
      <w:r>
        <w:rPr>
          <w:rFonts w:ascii="Traditional Arabic" w:hAnsi="Traditional Arabic" w:hint="cs"/>
          <w:noProof w:val="0"/>
          <w:color w:val="auto"/>
          <w:sz w:val="32"/>
          <w:szCs w:val="32"/>
          <w:rtl/>
          <w:lang w:eastAsia="en-US"/>
        </w:rPr>
        <w:t>_</w:t>
      </w:r>
      <w:r>
        <w:rPr>
          <w:rFonts w:ascii="Traditional Arabic" w:hAnsi="Traditional Arabic" w:cs="CTraditional Arabic" w:hint="cs"/>
          <w:rtl/>
        </w:rPr>
        <w:t>/</w:t>
      </w:r>
      <w:r>
        <w:rPr>
          <w:rFonts w:ascii="Traditional Arabic" w:hAnsi="Traditional Arabic" w:hint="cs"/>
          <w:color w:val="auto"/>
          <w:sz w:val="32"/>
          <w:szCs w:val="32"/>
          <w:rtl/>
        </w:rPr>
        <w:t>_</w:t>
      </w:r>
      <w:r>
        <w:rPr>
          <w:rFonts w:ascii="Traditional Arabic" w:hAnsi="Traditional Arabic"/>
          <w:color w:val="auto"/>
          <w:sz w:val="32"/>
          <w:szCs w:val="32"/>
          <w:rtl/>
        </w:rPr>
        <w:t>.</w:t>
      </w:r>
      <w:r>
        <w:rPr>
          <w:rFonts w:ascii="Traditional Arabic" w:hAnsi="Traditional Arabic" w:hint="cs"/>
          <w:color w:val="auto"/>
          <w:sz w:val="32"/>
          <w:szCs w:val="32"/>
          <w:rtl/>
        </w:rPr>
        <w:t xml:space="preserve"> انظر: </w:t>
      </w:r>
      <w:r>
        <w:rPr>
          <w:rFonts w:ascii="Traditional Arabic" w:hAnsi="Traditional Arabic"/>
          <w:color w:val="auto"/>
          <w:sz w:val="32"/>
          <w:szCs w:val="32"/>
          <w:rtl/>
        </w:rPr>
        <w:t xml:space="preserve">الأشباه والنظائر </w:t>
      </w:r>
      <w:r>
        <w:rPr>
          <w:rFonts w:ascii="Traditional Arabic" w:hAnsi="Traditional Arabic" w:hint="cs"/>
          <w:color w:val="auto"/>
          <w:sz w:val="32"/>
          <w:szCs w:val="32"/>
          <w:rtl/>
        </w:rPr>
        <w:t>لابن ا</w:t>
      </w:r>
      <w:r w:rsidRPr="004E7056">
        <w:rPr>
          <w:rFonts w:ascii="Traditional Arabic" w:hAnsi="Traditional Arabic"/>
          <w:color w:val="auto"/>
          <w:sz w:val="32"/>
          <w:szCs w:val="32"/>
          <w:rtl/>
        </w:rPr>
        <w:t>لسبكي (1/13)</w:t>
      </w:r>
      <w:r>
        <w:rPr>
          <w:rFonts w:ascii="Traditional Arabic" w:hAnsi="Traditional Arabic" w:hint="cs"/>
          <w:color w:val="auto"/>
          <w:sz w:val="32"/>
          <w:szCs w:val="32"/>
          <w:rtl/>
        </w:rPr>
        <w:t>، والمجموع المذهب للعلائي (1/70)، والقواعد للحصني (1/268-269)، والقواعد والأصول الجامعة (57، 150)، والقواعد الفقهية (92) كلاهما للسعدي</w:t>
      </w:r>
      <w:r w:rsidRPr="004E7056">
        <w:rPr>
          <w:rFonts w:ascii="Traditional Arabic" w:hAnsi="Traditional Arabic"/>
          <w:color w:val="auto"/>
          <w:sz w:val="32"/>
          <w:szCs w:val="32"/>
          <w:rtl/>
        </w:rPr>
        <w:t>.</w:t>
      </w:r>
    </w:p>
    <w:p w:rsidR="000D3D21" w:rsidRPr="004E7056" w:rsidRDefault="000D3D21" w:rsidP="004347BB">
      <w:pPr>
        <w:pStyle w:val="a7"/>
        <w:pageBreakBefore/>
        <w:rPr>
          <w:rFonts w:ascii="Traditional Arabic" w:hAnsi="Traditional Arabic"/>
          <w:sz w:val="32"/>
          <w:szCs w:val="32"/>
        </w:rPr>
      </w:pPr>
    </w:p>
  </w:footnote>
  <w:footnote w:id="1048">
    <w:p w:rsidR="000D3D21" w:rsidRPr="00715772" w:rsidRDefault="000D3D21" w:rsidP="00CE4916">
      <w:pPr>
        <w:pStyle w:val="a7"/>
        <w:pageBreakBefore/>
        <w:ind w:left="423" w:hanging="425"/>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الشرح الممتع (9/167، 169)، و</w:t>
      </w:r>
      <w:r w:rsidRPr="004E7056">
        <w:rPr>
          <w:rFonts w:ascii="Traditional Arabic" w:hAnsi="Traditional Arabic"/>
          <w:sz w:val="32"/>
          <w:szCs w:val="32"/>
          <w:rtl/>
        </w:rPr>
        <w:t>(</w:t>
      </w:r>
      <w:r>
        <w:rPr>
          <w:rFonts w:ascii="Traditional Arabic" w:hAnsi="Traditional Arabic"/>
          <w:sz w:val="32"/>
          <w:szCs w:val="32"/>
          <w:rtl/>
        </w:rPr>
        <w:t>13/170، 354)، و</w:t>
      </w:r>
      <w:r w:rsidRPr="004E7056">
        <w:rPr>
          <w:rFonts w:ascii="Traditional Arabic" w:hAnsi="Traditional Arabic"/>
          <w:sz w:val="32"/>
          <w:szCs w:val="32"/>
          <w:rtl/>
        </w:rPr>
        <w:t>(15/46</w:t>
      </w:r>
      <w:r>
        <w:rPr>
          <w:rFonts w:ascii="Traditional Arabic" w:hAnsi="Traditional Arabic"/>
          <w:sz w:val="32"/>
          <w:szCs w:val="32"/>
          <w:rtl/>
        </w:rPr>
        <w:t xml:space="preserve">5، 466)، وشرح منظومة </w:t>
      </w:r>
      <w:r>
        <w:rPr>
          <w:rFonts w:ascii="Traditional Arabic" w:hAnsi="Traditional Arabic" w:hint="cs"/>
          <w:sz w:val="32"/>
          <w:szCs w:val="32"/>
          <w:rtl/>
        </w:rPr>
        <w:t xml:space="preserve">أصول الفقه وقواعده </w:t>
      </w:r>
      <w:r w:rsidRPr="00715772">
        <w:rPr>
          <w:rFonts w:ascii="Traditional Arabic" w:hAnsi="Traditional Arabic"/>
          <w:sz w:val="32"/>
          <w:szCs w:val="32"/>
          <w:rtl/>
        </w:rPr>
        <w:t>(114، 115،</w:t>
      </w:r>
      <w:r>
        <w:rPr>
          <w:rFonts w:ascii="Traditional Arabic" w:hAnsi="Traditional Arabic" w:hint="cs"/>
          <w:sz w:val="32"/>
          <w:szCs w:val="32"/>
          <w:rtl/>
        </w:rPr>
        <w:t xml:space="preserve"> 221، </w:t>
      </w:r>
      <w:r w:rsidRPr="00715772">
        <w:rPr>
          <w:rFonts w:ascii="Traditional Arabic" w:hAnsi="Traditional Arabic"/>
          <w:sz w:val="32"/>
          <w:szCs w:val="32"/>
          <w:rtl/>
        </w:rPr>
        <w:t xml:space="preserve">330، 331)، </w:t>
      </w:r>
      <w:r>
        <w:rPr>
          <w:rFonts w:ascii="Traditional Arabic" w:hAnsi="Traditional Arabic" w:hint="cs"/>
          <w:sz w:val="32"/>
          <w:szCs w:val="32"/>
          <w:rtl/>
        </w:rPr>
        <w:t xml:space="preserve">وأحكام من القرآن الكريم (1/657)، </w:t>
      </w:r>
      <w:r>
        <w:rPr>
          <w:rFonts w:ascii="Traditional Arabic" w:hAnsi="Traditional Arabic"/>
          <w:sz w:val="32"/>
          <w:szCs w:val="32"/>
          <w:rtl/>
        </w:rPr>
        <w:t>و</w:t>
      </w:r>
      <w:r w:rsidRPr="00715772">
        <w:rPr>
          <w:rFonts w:ascii="Traditional Arabic" w:hAnsi="Traditional Arabic"/>
          <w:sz w:val="32"/>
          <w:szCs w:val="32"/>
          <w:rtl/>
        </w:rPr>
        <w:t>فت</w:t>
      </w:r>
      <w:r>
        <w:rPr>
          <w:rFonts w:ascii="Traditional Arabic" w:hAnsi="Traditional Arabic"/>
          <w:sz w:val="32"/>
          <w:szCs w:val="32"/>
          <w:rtl/>
        </w:rPr>
        <w:t>ح ذي الجلال والإكرام (3/478).</w:t>
      </w:r>
      <w:r>
        <w:rPr>
          <w:rFonts w:ascii="Traditional Arabic" w:hAnsi="Traditional Arabic" w:hint="cs"/>
          <w:sz w:val="32"/>
          <w:szCs w:val="32"/>
          <w:rtl/>
        </w:rPr>
        <w:t xml:space="preserve"> </w:t>
      </w:r>
      <w:r>
        <w:rPr>
          <w:rFonts w:ascii="Traditional Arabic" w:hAnsi="Traditional Arabic"/>
          <w:sz w:val="32"/>
          <w:szCs w:val="32"/>
          <w:rtl/>
        </w:rPr>
        <w:t>و</w:t>
      </w:r>
      <w:r w:rsidRPr="00715772">
        <w:rPr>
          <w:rFonts w:ascii="Traditional Arabic" w:hAnsi="Traditional Arabic"/>
          <w:sz w:val="32"/>
          <w:szCs w:val="32"/>
          <w:rtl/>
        </w:rPr>
        <w:t xml:space="preserve">قريبٌ من هذه الصيغة قول الشيخ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715772">
        <w:rPr>
          <w:rFonts w:ascii="Traditional Arabic" w:hAnsi="Traditional Arabic"/>
          <w:sz w:val="32"/>
          <w:szCs w:val="32"/>
          <w:rtl/>
        </w:rPr>
        <w:t>:(الأصل بقاء الشيء على ما كان).</w:t>
      </w:r>
      <w:r>
        <w:rPr>
          <w:rFonts w:ascii="Traditional Arabic" w:hAnsi="Traditional Arabic" w:hint="cs"/>
          <w:sz w:val="32"/>
          <w:szCs w:val="32"/>
          <w:rtl/>
        </w:rPr>
        <w:t xml:space="preserve">   </w:t>
      </w:r>
      <w:r w:rsidRPr="00715772">
        <w:rPr>
          <w:rFonts w:ascii="Traditional Arabic" w:hAnsi="Traditional Arabic"/>
          <w:sz w:val="32"/>
          <w:szCs w:val="32"/>
          <w:rtl/>
        </w:rPr>
        <w:t>الشرح الممتع (1/60).</w:t>
      </w:r>
    </w:p>
  </w:footnote>
  <w:footnote w:id="1049">
    <w:p w:rsidR="000D3D21" w:rsidRPr="00715772"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15772">
        <w:rPr>
          <w:rFonts w:ascii="Traditional Arabic" w:hAnsi="Traditional Arabic"/>
          <w:sz w:val="32"/>
          <w:szCs w:val="32"/>
          <w:rtl/>
        </w:rPr>
        <w:t>شرح منظومة أصول الفقه</w:t>
      </w:r>
      <w:r>
        <w:rPr>
          <w:rFonts w:ascii="Traditional Arabic" w:hAnsi="Traditional Arabic"/>
          <w:sz w:val="32"/>
          <w:szCs w:val="32"/>
          <w:rtl/>
        </w:rPr>
        <w:t xml:space="preserve"> و</w:t>
      </w:r>
      <w:r w:rsidRPr="00715772">
        <w:rPr>
          <w:rFonts w:ascii="Traditional Arabic" w:hAnsi="Traditional Arabic"/>
          <w:sz w:val="32"/>
          <w:szCs w:val="32"/>
          <w:rtl/>
        </w:rPr>
        <w:t>قواعده (330).</w:t>
      </w:r>
    </w:p>
  </w:footnote>
  <w:footnote w:id="1050">
    <w:p w:rsidR="000D3D21" w:rsidRPr="00715772"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15772">
        <w:rPr>
          <w:rFonts w:ascii="Traditional Arabic" w:hAnsi="Traditional Arabic"/>
          <w:sz w:val="32"/>
          <w:szCs w:val="32"/>
          <w:rtl/>
        </w:rPr>
        <w:t>الأشباه</w:t>
      </w:r>
      <w:r>
        <w:rPr>
          <w:rFonts w:ascii="Traditional Arabic" w:hAnsi="Traditional Arabic"/>
          <w:sz w:val="32"/>
          <w:szCs w:val="32"/>
          <w:rtl/>
        </w:rPr>
        <w:t xml:space="preserve"> و</w:t>
      </w:r>
      <w:r w:rsidRPr="00715772">
        <w:rPr>
          <w:rFonts w:ascii="Traditional Arabic" w:hAnsi="Traditional Arabic"/>
          <w:sz w:val="32"/>
          <w:szCs w:val="32"/>
          <w:rtl/>
        </w:rPr>
        <w:t>النظائر لابن نجيم (62)،</w:t>
      </w:r>
      <w:r>
        <w:rPr>
          <w:rFonts w:ascii="Traditional Arabic" w:hAnsi="Traditional Arabic"/>
          <w:sz w:val="32"/>
          <w:szCs w:val="32"/>
          <w:rtl/>
        </w:rPr>
        <w:t xml:space="preserve"> و</w:t>
      </w:r>
      <w:r w:rsidRPr="00715772">
        <w:rPr>
          <w:rFonts w:ascii="Traditional Arabic" w:hAnsi="Traditional Arabic"/>
          <w:sz w:val="32"/>
          <w:szCs w:val="32"/>
          <w:rtl/>
        </w:rPr>
        <w:t xml:space="preserve">مجلة الأحكام </w:t>
      </w:r>
      <w:r>
        <w:rPr>
          <w:rFonts w:ascii="Traditional Arabic" w:hAnsi="Traditional Arabic"/>
          <w:sz w:val="32"/>
          <w:szCs w:val="32"/>
          <w:rtl/>
        </w:rPr>
        <w:t>العدلية</w:t>
      </w:r>
      <w:r>
        <w:rPr>
          <w:rFonts w:ascii="Traditional Arabic" w:hAnsi="Traditional Arabic" w:hint="cs"/>
          <w:sz w:val="32"/>
          <w:szCs w:val="32"/>
          <w:rtl/>
        </w:rPr>
        <w:t xml:space="preserve"> (المادة 5</w:t>
      </w:r>
      <w:r w:rsidRPr="00715772">
        <w:rPr>
          <w:rFonts w:ascii="Traditional Arabic" w:hAnsi="Traditional Arabic"/>
          <w:sz w:val="32"/>
          <w:szCs w:val="32"/>
          <w:rtl/>
        </w:rPr>
        <w:t>)،</w:t>
      </w:r>
      <w:r>
        <w:rPr>
          <w:rFonts w:ascii="Traditional Arabic" w:hAnsi="Traditional Arabic"/>
          <w:sz w:val="32"/>
          <w:szCs w:val="32"/>
          <w:rtl/>
        </w:rPr>
        <w:t xml:space="preserve"> و</w:t>
      </w:r>
      <w:r w:rsidRPr="00715772">
        <w:rPr>
          <w:rFonts w:ascii="Traditional Arabic" w:hAnsi="Traditional Arabic"/>
          <w:sz w:val="32"/>
          <w:szCs w:val="32"/>
          <w:rtl/>
        </w:rPr>
        <w:t>شرح القواعد الفقهية ل</w:t>
      </w:r>
      <w:r>
        <w:rPr>
          <w:rFonts w:ascii="Traditional Arabic" w:hAnsi="Traditional Arabic"/>
          <w:sz w:val="32"/>
          <w:szCs w:val="32"/>
          <w:rtl/>
        </w:rPr>
        <w:t>لزرقا</w:t>
      </w:r>
      <w:r>
        <w:rPr>
          <w:rFonts w:ascii="Traditional Arabic" w:hAnsi="Traditional Arabic" w:hint="cs"/>
          <w:sz w:val="32"/>
          <w:szCs w:val="32"/>
          <w:rtl/>
        </w:rPr>
        <w:t xml:space="preserve"> (87)</w:t>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والمدخل الفقهي</w:t>
      </w:r>
      <w:r>
        <w:rPr>
          <w:rFonts w:ascii="Traditional Arabic" w:hAnsi="Traditional Arabic" w:hint="cs"/>
          <w:sz w:val="32"/>
          <w:szCs w:val="32"/>
          <w:rtl/>
        </w:rPr>
        <w:t xml:space="preserve"> </w:t>
      </w:r>
      <w:r>
        <w:rPr>
          <w:rFonts w:ascii="Traditional Arabic" w:hAnsi="Traditional Arabic"/>
          <w:sz w:val="32"/>
          <w:szCs w:val="32"/>
          <w:rtl/>
        </w:rPr>
        <w:t>العام (</w:t>
      </w:r>
      <w:r>
        <w:rPr>
          <w:rFonts w:ascii="Traditional Arabic" w:hAnsi="Traditional Arabic" w:hint="cs"/>
          <w:sz w:val="32"/>
          <w:szCs w:val="32"/>
          <w:rtl/>
        </w:rPr>
        <w:t>2/982</w:t>
      </w:r>
      <w:r>
        <w:rPr>
          <w:rFonts w:ascii="Traditional Arabic" w:hAnsi="Traditional Arabic"/>
          <w:sz w:val="32"/>
          <w:szCs w:val="32"/>
          <w:rtl/>
        </w:rPr>
        <w:t>)</w:t>
      </w:r>
      <w:r>
        <w:rPr>
          <w:rFonts w:ascii="Traditional Arabic" w:hAnsi="Traditional Arabic" w:hint="cs"/>
          <w:sz w:val="32"/>
          <w:szCs w:val="32"/>
          <w:rtl/>
        </w:rPr>
        <w:t>، والوجيز للبورنو (172)، و</w:t>
      </w:r>
      <w:r>
        <w:rPr>
          <w:rFonts w:ascii="Traditional Arabic" w:hAnsi="Traditional Arabic"/>
          <w:sz w:val="32"/>
          <w:szCs w:val="32"/>
          <w:rtl/>
        </w:rPr>
        <w:t>إيضاح المسال</w:t>
      </w:r>
      <w:r>
        <w:rPr>
          <w:rFonts w:ascii="Traditional Arabic" w:hAnsi="Traditional Arabic" w:hint="cs"/>
          <w:sz w:val="32"/>
          <w:szCs w:val="32"/>
          <w:rtl/>
        </w:rPr>
        <w:t>ك للونشريسي(386)</w:t>
      </w:r>
      <w:r w:rsidRPr="00715772">
        <w:rPr>
          <w:rFonts w:ascii="Traditional Arabic" w:hAnsi="Traditional Arabic"/>
          <w:sz w:val="32"/>
          <w:szCs w:val="32"/>
          <w:rtl/>
        </w:rPr>
        <w:t>،</w:t>
      </w:r>
      <w:r>
        <w:rPr>
          <w:rFonts w:ascii="Traditional Arabic" w:hAnsi="Traditional Arabic"/>
          <w:sz w:val="32"/>
          <w:szCs w:val="32"/>
          <w:rtl/>
        </w:rPr>
        <w:t xml:space="preserve"> و</w:t>
      </w:r>
      <w:r w:rsidRPr="00715772">
        <w:rPr>
          <w:rFonts w:ascii="Traditional Arabic" w:hAnsi="Traditional Arabic"/>
          <w:sz w:val="32"/>
          <w:szCs w:val="32"/>
          <w:rtl/>
        </w:rPr>
        <w:t>شرح المنهج المنتخب (</w:t>
      </w:r>
      <w:r>
        <w:rPr>
          <w:rFonts w:ascii="Traditional Arabic" w:hAnsi="Traditional Arabic" w:hint="cs"/>
          <w:sz w:val="32"/>
          <w:szCs w:val="32"/>
          <w:rtl/>
        </w:rPr>
        <w:t>2/25</w:t>
      </w:r>
      <w:r w:rsidRPr="00715772">
        <w:rPr>
          <w:rFonts w:ascii="Traditional Arabic" w:hAnsi="Traditional Arabic"/>
          <w:sz w:val="32"/>
          <w:szCs w:val="32"/>
          <w:rtl/>
        </w:rPr>
        <w:t>)،</w:t>
      </w:r>
      <w:r>
        <w:rPr>
          <w:rFonts w:ascii="Traditional Arabic" w:hAnsi="Traditional Arabic"/>
          <w:sz w:val="32"/>
          <w:szCs w:val="32"/>
          <w:rtl/>
        </w:rPr>
        <w:t xml:space="preserve"> و</w:t>
      </w:r>
      <w:r w:rsidRPr="00715772">
        <w:rPr>
          <w:rFonts w:ascii="Traditional Arabic" w:hAnsi="Traditional Arabic"/>
          <w:sz w:val="32"/>
          <w:szCs w:val="32"/>
          <w:rtl/>
        </w:rPr>
        <w:t>الأشباه</w:t>
      </w:r>
      <w:r>
        <w:rPr>
          <w:rFonts w:ascii="Traditional Arabic" w:hAnsi="Traditional Arabic"/>
          <w:sz w:val="32"/>
          <w:szCs w:val="32"/>
          <w:rtl/>
        </w:rPr>
        <w:t xml:space="preserve"> و</w:t>
      </w:r>
      <w:r w:rsidRPr="00715772">
        <w:rPr>
          <w:rFonts w:ascii="Traditional Arabic" w:hAnsi="Traditional Arabic"/>
          <w:sz w:val="32"/>
          <w:szCs w:val="32"/>
          <w:rtl/>
        </w:rPr>
        <w:t>النظائر</w:t>
      </w:r>
      <w:r>
        <w:rPr>
          <w:rFonts w:ascii="Traditional Arabic" w:hAnsi="Traditional Arabic" w:hint="cs"/>
          <w:sz w:val="32"/>
          <w:szCs w:val="32"/>
          <w:rtl/>
        </w:rPr>
        <w:t xml:space="preserve"> </w:t>
      </w:r>
      <w:r w:rsidRPr="00715772">
        <w:rPr>
          <w:rFonts w:ascii="Traditional Arabic" w:hAnsi="Traditional Arabic"/>
          <w:sz w:val="32"/>
          <w:szCs w:val="32"/>
          <w:rtl/>
        </w:rPr>
        <w:t>لابن السبكي (1/13)،</w:t>
      </w:r>
      <w:r>
        <w:rPr>
          <w:rFonts w:ascii="Traditional Arabic" w:hAnsi="Traditional Arabic"/>
          <w:sz w:val="32"/>
          <w:szCs w:val="32"/>
          <w:rtl/>
        </w:rPr>
        <w:t xml:space="preserve"> و</w:t>
      </w:r>
      <w:r w:rsidRPr="00715772">
        <w:rPr>
          <w:rFonts w:ascii="Traditional Arabic" w:hAnsi="Traditional Arabic"/>
          <w:sz w:val="32"/>
          <w:szCs w:val="32"/>
          <w:rtl/>
        </w:rPr>
        <w:t>القواعد للحصني (1/269)،</w:t>
      </w:r>
      <w:r>
        <w:rPr>
          <w:rFonts w:ascii="Traditional Arabic" w:hAnsi="Traditional Arabic"/>
          <w:sz w:val="32"/>
          <w:szCs w:val="32"/>
          <w:rtl/>
        </w:rPr>
        <w:t xml:space="preserve"> و</w:t>
      </w:r>
      <w:r>
        <w:rPr>
          <w:rFonts w:ascii="Traditional Arabic" w:hAnsi="Traditional Arabic" w:hint="cs"/>
          <w:sz w:val="32"/>
          <w:szCs w:val="32"/>
          <w:rtl/>
        </w:rPr>
        <w:t>الأشباه والنظائر للسيوطي (51)، و</w:t>
      </w:r>
      <w:r w:rsidRPr="00715772">
        <w:rPr>
          <w:rFonts w:ascii="Traditional Arabic" w:hAnsi="Traditional Arabic"/>
          <w:sz w:val="32"/>
          <w:szCs w:val="32"/>
          <w:rtl/>
        </w:rPr>
        <w:t>إعلام الموقعين (</w:t>
      </w:r>
      <w:r>
        <w:rPr>
          <w:rFonts w:ascii="Traditional Arabic" w:hAnsi="Traditional Arabic" w:hint="cs"/>
          <w:sz w:val="32"/>
          <w:szCs w:val="32"/>
          <w:rtl/>
        </w:rPr>
        <w:t>3/177</w:t>
      </w:r>
      <w:r w:rsidRPr="00715772">
        <w:rPr>
          <w:rFonts w:ascii="Traditional Arabic" w:hAnsi="Traditional Arabic"/>
          <w:sz w:val="32"/>
          <w:szCs w:val="32"/>
          <w:rtl/>
        </w:rPr>
        <w:t>)،</w:t>
      </w:r>
      <w:r>
        <w:rPr>
          <w:rFonts w:ascii="Traditional Arabic" w:hAnsi="Traditional Arabic"/>
          <w:sz w:val="32"/>
          <w:szCs w:val="32"/>
          <w:rtl/>
        </w:rPr>
        <w:t xml:space="preserve"> و</w:t>
      </w:r>
      <w:r w:rsidRPr="00715772">
        <w:rPr>
          <w:rFonts w:ascii="Traditional Arabic" w:hAnsi="Traditional Arabic"/>
          <w:sz w:val="32"/>
          <w:szCs w:val="32"/>
          <w:rtl/>
        </w:rPr>
        <w:t>القواعد</w:t>
      </w:r>
      <w:r>
        <w:rPr>
          <w:rFonts w:ascii="Traditional Arabic" w:hAnsi="Traditional Arabic"/>
          <w:sz w:val="32"/>
          <w:szCs w:val="32"/>
          <w:rtl/>
        </w:rPr>
        <w:t xml:space="preserve"> و</w:t>
      </w:r>
      <w:r w:rsidRPr="00715772">
        <w:rPr>
          <w:rFonts w:ascii="Traditional Arabic" w:hAnsi="Traditional Arabic"/>
          <w:sz w:val="32"/>
          <w:szCs w:val="32"/>
          <w:rtl/>
        </w:rPr>
        <w:t>الأصول الجامعة (</w:t>
      </w:r>
      <w:r>
        <w:rPr>
          <w:rFonts w:ascii="Traditional Arabic" w:hAnsi="Traditional Arabic" w:hint="cs"/>
          <w:sz w:val="32"/>
          <w:szCs w:val="32"/>
          <w:rtl/>
        </w:rPr>
        <w:t>57</w:t>
      </w:r>
      <w:r w:rsidRPr="00715772">
        <w:rPr>
          <w:rFonts w:ascii="Traditional Arabic" w:hAnsi="Traditional Arabic"/>
          <w:sz w:val="32"/>
          <w:szCs w:val="32"/>
          <w:rtl/>
        </w:rPr>
        <w:t>).</w:t>
      </w:r>
    </w:p>
  </w:footnote>
  <w:footnote w:id="1051">
    <w:p w:rsidR="000D3D21" w:rsidRPr="00715772"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15772">
        <w:rPr>
          <w:rFonts w:ascii="Traditional Arabic" w:hAnsi="Traditional Arabic"/>
          <w:sz w:val="32"/>
          <w:szCs w:val="32"/>
          <w:rtl/>
        </w:rPr>
        <w:t>شرح الكوكب المنير (4/4</w:t>
      </w:r>
      <w:r>
        <w:rPr>
          <w:rFonts w:ascii="Traditional Arabic" w:hAnsi="Traditional Arabic"/>
          <w:sz w:val="32"/>
          <w:szCs w:val="32"/>
          <w:rtl/>
        </w:rPr>
        <w:t>39-440)</w:t>
      </w:r>
      <w:r>
        <w:rPr>
          <w:rFonts w:ascii="Traditional Arabic" w:hAnsi="Traditional Arabic" w:hint="cs"/>
          <w:sz w:val="32"/>
          <w:szCs w:val="32"/>
          <w:rtl/>
        </w:rPr>
        <w:t>، وانظر القواعد الفقهية للسعدي (92).</w:t>
      </w:r>
    </w:p>
  </w:footnote>
  <w:footnote w:id="1052">
    <w:p w:rsidR="000D3D21" w:rsidRPr="00715772"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مجلة الأحكام العدلية (</w:t>
      </w:r>
      <w:r>
        <w:rPr>
          <w:rFonts w:ascii="Traditional Arabic" w:hAnsi="Traditional Arabic" w:hint="cs"/>
          <w:sz w:val="32"/>
          <w:szCs w:val="32"/>
          <w:rtl/>
        </w:rPr>
        <w:t xml:space="preserve">المادة </w:t>
      </w:r>
      <w:r w:rsidRPr="00715772">
        <w:rPr>
          <w:rFonts w:ascii="Traditional Arabic" w:hAnsi="Traditional Arabic"/>
          <w:sz w:val="32"/>
          <w:szCs w:val="32"/>
          <w:rtl/>
        </w:rPr>
        <w:t>10)،</w:t>
      </w:r>
      <w:r>
        <w:rPr>
          <w:rFonts w:ascii="Traditional Arabic" w:hAnsi="Traditional Arabic"/>
          <w:sz w:val="32"/>
          <w:szCs w:val="32"/>
          <w:rtl/>
        </w:rPr>
        <w:t xml:space="preserve"> و</w:t>
      </w:r>
      <w:r w:rsidRPr="00715772">
        <w:rPr>
          <w:rFonts w:ascii="Traditional Arabic" w:hAnsi="Traditional Arabic"/>
          <w:sz w:val="32"/>
          <w:szCs w:val="32"/>
          <w:rtl/>
        </w:rPr>
        <w:t>انظر درر الحكام (</w:t>
      </w:r>
      <w:r>
        <w:rPr>
          <w:rFonts w:ascii="Traditional Arabic" w:hAnsi="Traditional Arabic" w:hint="cs"/>
          <w:sz w:val="32"/>
          <w:szCs w:val="32"/>
          <w:rtl/>
        </w:rPr>
        <w:t>1/26</w:t>
      </w:r>
      <w:r w:rsidRPr="00715772">
        <w:rPr>
          <w:rFonts w:ascii="Traditional Arabic" w:hAnsi="Traditional Arabic"/>
          <w:sz w:val="32"/>
          <w:szCs w:val="32"/>
          <w:rtl/>
        </w:rPr>
        <w:t>)</w:t>
      </w:r>
      <w:r>
        <w:rPr>
          <w:rFonts w:ascii="Traditional Arabic" w:hAnsi="Traditional Arabic"/>
          <w:sz w:val="32"/>
          <w:szCs w:val="32"/>
          <w:rtl/>
        </w:rPr>
        <w:t>، والوجيز للبورنو (</w:t>
      </w:r>
      <w:r>
        <w:rPr>
          <w:rFonts w:ascii="Traditional Arabic" w:hAnsi="Traditional Arabic" w:hint="cs"/>
          <w:sz w:val="32"/>
          <w:szCs w:val="32"/>
          <w:rtl/>
        </w:rPr>
        <w:t>172</w:t>
      </w:r>
      <w:r>
        <w:rPr>
          <w:rFonts w:ascii="Traditional Arabic" w:hAnsi="Traditional Arabic"/>
          <w:sz w:val="32"/>
          <w:szCs w:val="32"/>
          <w:rtl/>
        </w:rPr>
        <w:t>)</w:t>
      </w:r>
      <w:r>
        <w:rPr>
          <w:rFonts w:ascii="Traditional Arabic" w:hAnsi="Traditional Arabic" w:hint="cs"/>
          <w:sz w:val="32"/>
          <w:szCs w:val="32"/>
          <w:rtl/>
        </w:rPr>
        <w:t>، والمدخل الفقهي العام (2/982)، وموسوعة القواعد والضوابط للندوي (1/161)</w:t>
      </w:r>
      <w:r w:rsidRPr="00715772">
        <w:rPr>
          <w:rFonts w:ascii="Traditional Arabic" w:hAnsi="Traditional Arabic"/>
          <w:sz w:val="32"/>
          <w:szCs w:val="32"/>
          <w:rtl/>
        </w:rPr>
        <w:t>.</w:t>
      </w:r>
    </w:p>
  </w:footnote>
  <w:footnote w:id="1053">
    <w:p w:rsidR="000D3D21" w:rsidRPr="00715772"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15772">
        <w:rPr>
          <w:rFonts w:ascii="Traditional Arabic" w:hAnsi="Traditional Arabic"/>
          <w:sz w:val="32"/>
          <w:szCs w:val="32"/>
          <w:rtl/>
        </w:rPr>
        <w:t>م</w:t>
      </w:r>
      <w:r>
        <w:rPr>
          <w:rFonts w:ascii="Traditional Arabic" w:hAnsi="Traditional Arabic"/>
          <w:sz w:val="32"/>
          <w:szCs w:val="32"/>
          <w:rtl/>
        </w:rPr>
        <w:t xml:space="preserve">وسوعة القواعد والضوابط </w:t>
      </w:r>
      <w:r>
        <w:rPr>
          <w:rFonts w:ascii="Traditional Arabic" w:hAnsi="Traditional Arabic" w:hint="cs"/>
          <w:sz w:val="32"/>
          <w:szCs w:val="32"/>
          <w:rtl/>
        </w:rPr>
        <w:t>للندوي</w:t>
      </w:r>
      <w:r w:rsidRPr="00715772">
        <w:rPr>
          <w:rFonts w:ascii="Traditional Arabic" w:hAnsi="Traditional Arabic"/>
          <w:sz w:val="32"/>
          <w:szCs w:val="32"/>
          <w:rtl/>
        </w:rPr>
        <w:t xml:space="preserve"> (2/8).</w:t>
      </w:r>
    </w:p>
  </w:footnote>
  <w:footnote w:id="1054">
    <w:p w:rsidR="000D3D21" w:rsidRPr="00256695" w:rsidRDefault="000D3D21" w:rsidP="004347B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715772">
        <w:rPr>
          <w:rFonts w:ascii="Traditional Arabic" w:hAnsi="Traditional Arabic"/>
          <w:sz w:val="32"/>
          <w:szCs w:val="32"/>
          <w:rtl/>
        </w:rPr>
        <w:t>موسوعة القواعد الفقهية للبورنو (2/62)</w:t>
      </w:r>
      <w:r>
        <w:rPr>
          <w:rFonts w:ascii="Traditional Arabic" w:hAnsi="Traditional Arabic" w:hint="cs"/>
          <w:sz w:val="32"/>
          <w:szCs w:val="32"/>
          <w:rtl/>
        </w:rPr>
        <w:t xml:space="preserve">، وانظر موسوعة القواعد والضوابط للندوي (1/158). </w:t>
      </w:r>
    </w:p>
  </w:footnote>
  <w:footnote w:id="1055">
    <w:p w:rsidR="000D3D21" w:rsidRPr="001753BF" w:rsidRDefault="000D3D21" w:rsidP="004C1165">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sidRPr="001753BF">
        <w:rPr>
          <w:rFonts w:ascii="Tahoma" w:hAnsi="Tahoma" w:hint="cs"/>
          <w:sz w:val="32"/>
          <w:szCs w:val="32"/>
          <w:rtl/>
        </w:rPr>
        <w:t>انظر الأصل</w:t>
      </w:r>
      <w:r>
        <w:rPr>
          <w:rFonts w:ascii="Tahoma" w:hAnsi="Tahoma" w:hint="cs"/>
          <w:sz w:val="32"/>
          <w:szCs w:val="32"/>
          <w:rtl/>
        </w:rPr>
        <w:t xml:space="preserve"> و</w:t>
      </w:r>
      <w:r w:rsidRPr="001753BF">
        <w:rPr>
          <w:rFonts w:ascii="Tahoma" w:hAnsi="Tahoma" w:hint="cs"/>
          <w:sz w:val="32"/>
          <w:szCs w:val="32"/>
          <w:rtl/>
        </w:rPr>
        <w:t>الظاهر في القواعد الفقهية (61).</w:t>
      </w:r>
    </w:p>
  </w:footnote>
  <w:footnote w:id="1056">
    <w:p w:rsidR="000D3D21" w:rsidRDefault="000D3D21" w:rsidP="004347BB">
      <w:pPr>
        <w:pStyle w:val="a7"/>
        <w:pageBreakBefore/>
        <w:ind w:left="0" w:firstLine="0"/>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جعل كثير من العلماء هذه القاعدة بمعنى الاستصحاب.</w:t>
      </w:r>
      <w:r w:rsidRPr="00D57534">
        <w:rPr>
          <w:rFonts w:ascii="Tahoma" w:hAnsi="Tahoma" w:hint="cs"/>
          <w:sz w:val="32"/>
          <w:szCs w:val="32"/>
          <w:rtl/>
        </w:rPr>
        <w:t xml:space="preserve"> انظر: شرح القواعد الفقهية للزرقا (89)، </w:t>
      </w:r>
    </w:p>
    <w:p w:rsidR="000D3D21" w:rsidRPr="00BD7013" w:rsidRDefault="000D3D21" w:rsidP="00CE4916">
      <w:pPr>
        <w:pStyle w:val="a7"/>
        <w:pageBreakBefore/>
        <w:ind w:left="423" w:firstLine="0"/>
        <w:rPr>
          <w:rFonts w:ascii="Tahoma" w:hAnsi="Tahoma"/>
        </w:rPr>
      </w:pPr>
      <w:r>
        <w:rPr>
          <w:rFonts w:ascii="Tahoma" w:hAnsi="Tahoma" w:hint="cs"/>
          <w:sz w:val="32"/>
          <w:szCs w:val="32"/>
          <w:rtl/>
        </w:rPr>
        <w:t>و</w:t>
      </w:r>
      <w:r w:rsidRPr="00D57534">
        <w:rPr>
          <w:rFonts w:ascii="Tahoma" w:hAnsi="Tahoma" w:hint="cs"/>
          <w:sz w:val="32"/>
          <w:szCs w:val="32"/>
          <w:rtl/>
        </w:rPr>
        <w:t>المدخل الفقهي العام (2/982)،</w:t>
      </w:r>
      <w:r>
        <w:rPr>
          <w:rFonts w:ascii="Tahoma" w:hAnsi="Tahoma" w:hint="cs"/>
          <w:sz w:val="32"/>
          <w:szCs w:val="32"/>
          <w:rtl/>
        </w:rPr>
        <w:t xml:space="preserve"> و</w:t>
      </w:r>
      <w:r w:rsidRPr="00D57534">
        <w:rPr>
          <w:rFonts w:ascii="Tahoma" w:hAnsi="Tahoma" w:hint="cs"/>
          <w:sz w:val="32"/>
          <w:szCs w:val="32"/>
          <w:rtl/>
        </w:rPr>
        <w:t>الوجيز للبورنو (172)،</w:t>
      </w:r>
      <w:r>
        <w:rPr>
          <w:rFonts w:ascii="Tahoma" w:hAnsi="Tahoma" w:hint="cs"/>
          <w:sz w:val="32"/>
          <w:szCs w:val="32"/>
          <w:rtl/>
        </w:rPr>
        <w:t xml:space="preserve"> و</w:t>
      </w:r>
      <w:r w:rsidRPr="00D57534">
        <w:rPr>
          <w:rFonts w:ascii="Tahoma" w:hAnsi="Tahoma" w:hint="cs"/>
          <w:sz w:val="32"/>
          <w:szCs w:val="32"/>
          <w:rtl/>
        </w:rPr>
        <w:t>القواعد الفقهي</w:t>
      </w:r>
      <w:r>
        <w:rPr>
          <w:rFonts w:ascii="Tahoma" w:hAnsi="Tahoma" w:hint="cs"/>
          <w:sz w:val="32"/>
          <w:szCs w:val="32"/>
          <w:rtl/>
        </w:rPr>
        <w:t>ة للندوي (453)</w:t>
      </w:r>
      <w:r w:rsidRPr="00D57534">
        <w:rPr>
          <w:rFonts w:ascii="Tahoma" w:hAnsi="Tahoma" w:hint="cs"/>
          <w:sz w:val="32"/>
          <w:szCs w:val="32"/>
          <w:rtl/>
        </w:rPr>
        <w:t>،</w:t>
      </w:r>
      <w:r>
        <w:rPr>
          <w:rFonts w:ascii="Tahoma" w:hAnsi="Tahoma" w:hint="cs"/>
          <w:sz w:val="32"/>
          <w:szCs w:val="32"/>
          <w:rtl/>
        </w:rPr>
        <w:t xml:space="preserve"> وتقريب الوصول لابن جزي (391)،</w:t>
      </w:r>
      <w:r w:rsidRPr="00D57534">
        <w:rPr>
          <w:rFonts w:ascii="Tahoma" w:hAnsi="Tahoma" w:hint="cs"/>
          <w:sz w:val="32"/>
          <w:szCs w:val="32"/>
          <w:rtl/>
        </w:rPr>
        <w:t>و المنهج المنتخب (2/25)،</w:t>
      </w:r>
      <w:r>
        <w:rPr>
          <w:rFonts w:ascii="Tahoma" w:hAnsi="Tahoma" w:hint="cs"/>
          <w:sz w:val="32"/>
          <w:szCs w:val="32"/>
          <w:rtl/>
        </w:rPr>
        <w:t xml:space="preserve"> والتمهيد في تخريج الفروع على الأصول لجمال الدين الإسنوي (489)، و</w:t>
      </w:r>
      <w:r w:rsidRPr="00D57534">
        <w:rPr>
          <w:rFonts w:ascii="Tahoma" w:hAnsi="Tahoma" w:hint="cs"/>
          <w:sz w:val="32"/>
          <w:szCs w:val="32"/>
          <w:rtl/>
        </w:rPr>
        <w:t>البحر المحيط (6/7)،</w:t>
      </w:r>
      <w:r>
        <w:rPr>
          <w:rFonts w:ascii="Tahoma" w:hAnsi="Tahoma" w:hint="cs"/>
          <w:sz w:val="32"/>
          <w:szCs w:val="32"/>
          <w:rtl/>
        </w:rPr>
        <w:t xml:space="preserve"> و</w:t>
      </w:r>
      <w:r w:rsidRPr="00D57534">
        <w:rPr>
          <w:rFonts w:ascii="Tahoma" w:hAnsi="Tahoma" w:hint="cs"/>
          <w:sz w:val="32"/>
          <w:szCs w:val="32"/>
          <w:rtl/>
        </w:rPr>
        <w:t>الأشباه</w:t>
      </w:r>
      <w:r>
        <w:rPr>
          <w:rFonts w:ascii="Tahoma" w:hAnsi="Tahoma" w:hint="cs"/>
          <w:sz w:val="32"/>
          <w:szCs w:val="32"/>
          <w:rtl/>
        </w:rPr>
        <w:t xml:space="preserve"> و</w:t>
      </w:r>
      <w:r w:rsidRPr="00D57534">
        <w:rPr>
          <w:rFonts w:ascii="Tahoma" w:hAnsi="Tahoma" w:hint="cs"/>
          <w:sz w:val="32"/>
          <w:szCs w:val="32"/>
          <w:rtl/>
        </w:rPr>
        <w:t>النظائر لابن السبكي (1/13)،</w:t>
      </w:r>
      <w:r>
        <w:rPr>
          <w:rFonts w:ascii="Tahoma" w:hAnsi="Tahoma" w:hint="cs"/>
          <w:sz w:val="32"/>
          <w:szCs w:val="32"/>
          <w:rtl/>
        </w:rPr>
        <w:t xml:space="preserve"> و</w:t>
      </w:r>
      <w:r w:rsidRPr="00D57534">
        <w:rPr>
          <w:rFonts w:ascii="Tahoma" w:hAnsi="Tahoma" w:hint="cs"/>
          <w:sz w:val="32"/>
          <w:szCs w:val="32"/>
          <w:rtl/>
        </w:rPr>
        <w:t>قواعد الحصني (1/272)،</w:t>
      </w:r>
      <w:r>
        <w:rPr>
          <w:rFonts w:ascii="Tahoma" w:hAnsi="Tahoma" w:hint="cs"/>
          <w:sz w:val="32"/>
          <w:szCs w:val="32"/>
          <w:rtl/>
        </w:rPr>
        <w:t xml:space="preserve"> و</w:t>
      </w:r>
      <w:r w:rsidRPr="00D57534">
        <w:rPr>
          <w:rFonts w:ascii="Tahoma" w:hAnsi="Tahoma" w:hint="cs"/>
          <w:sz w:val="32"/>
          <w:szCs w:val="32"/>
          <w:rtl/>
        </w:rPr>
        <w:t>القواعد</w:t>
      </w:r>
      <w:r>
        <w:rPr>
          <w:rFonts w:ascii="Tahoma" w:hAnsi="Tahoma" w:hint="cs"/>
          <w:sz w:val="32"/>
          <w:szCs w:val="32"/>
          <w:rtl/>
        </w:rPr>
        <w:t xml:space="preserve"> والأصول </w:t>
      </w:r>
      <w:r w:rsidRPr="00D57534">
        <w:rPr>
          <w:rFonts w:ascii="Tahoma" w:hAnsi="Tahoma" w:hint="cs"/>
          <w:sz w:val="32"/>
          <w:szCs w:val="32"/>
          <w:rtl/>
        </w:rPr>
        <w:t>الجامعة (57)،</w:t>
      </w:r>
      <w:r>
        <w:rPr>
          <w:rFonts w:ascii="Tahoma" w:hAnsi="Tahoma" w:hint="cs"/>
          <w:sz w:val="32"/>
          <w:szCs w:val="32"/>
          <w:rtl/>
        </w:rPr>
        <w:t xml:space="preserve"> و</w:t>
      </w:r>
      <w:r w:rsidRPr="00D57534">
        <w:rPr>
          <w:rFonts w:ascii="Tahoma" w:hAnsi="Tahoma" w:hint="cs"/>
          <w:sz w:val="32"/>
          <w:szCs w:val="32"/>
          <w:rtl/>
        </w:rPr>
        <w:t>شرح منظومة أصول الفقه</w:t>
      </w:r>
      <w:r>
        <w:rPr>
          <w:rFonts w:ascii="Tahoma" w:hAnsi="Tahoma" w:hint="cs"/>
          <w:sz w:val="32"/>
          <w:szCs w:val="32"/>
          <w:rtl/>
        </w:rPr>
        <w:t xml:space="preserve"> و</w:t>
      </w:r>
      <w:r w:rsidRPr="00D57534">
        <w:rPr>
          <w:rFonts w:ascii="Tahoma" w:hAnsi="Tahoma" w:hint="cs"/>
          <w:sz w:val="32"/>
          <w:szCs w:val="32"/>
          <w:rtl/>
        </w:rPr>
        <w:t>قواعده (220).</w:t>
      </w:r>
    </w:p>
  </w:footnote>
  <w:footnote w:id="1057">
    <w:p w:rsidR="000D3D21" w:rsidRPr="006D59D2"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الشرح الممتع (9/5)</w:t>
      </w:r>
      <w:r w:rsidRPr="006D59D2">
        <w:rPr>
          <w:rFonts w:ascii="Traditional Arabic" w:hAnsi="Traditional Arabic"/>
          <w:sz w:val="32"/>
          <w:szCs w:val="32"/>
          <w:rtl/>
        </w:rPr>
        <w:t>.</w:t>
      </w:r>
    </w:p>
  </w:footnote>
  <w:footnote w:id="1058">
    <w:p w:rsidR="000D3D21" w:rsidRPr="001753BF"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1753BF">
        <w:rPr>
          <w:rFonts w:ascii="Tahoma" w:hAnsi="Tahoma" w:hint="cs"/>
          <w:sz w:val="32"/>
          <w:szCs w:val="32"/>
          <w:rtl/>
        </w:rPr>
        <w:t xml:space="preserve">انظر </w:t>
      </w:r>
      <w:r>
        <w:rPr>
          <w:rFonts w:ascii="Tahoma" w:hAnsi="Tahoma" w:hint="cs"/>
          <w:sz w:val="32"/>
          <w:szCs w:val="32"/>
          <w:rtl/>
        </w:rPr>
        <w:t>القواعد ل</w:t>
      </w:r>
      <w:r w:rsidRPr="001753BF">
        <w:rPr>
          <w:rFonts w:ascii="Tahoma" w:hAnsi="Tahoma" w:hint="cs"/>
          <w:sz w:val="32"/>
          <w:szCs w:val="32"/>
          <w:rtl/>
        </w:rPr>
        <w:t>لمقري (1/191)،</w:t>
      </w:r>
      <w:r>
        <w:rPr>
          <w:rFonts w:ascii="Tahoma" w:hAnsi="Tahoma" w:hint="cs"/>
          <w:sz w:val="32"/>
          <w:szCs w:val="32"/>
          <w:rtl/>
        </w:rPr>
        <w:t xml:space="preserve"> و</w:t>
      </w:r>
      <w:r w:rsidRPr="001753BF">
        <w:rPr>
          <w:rFonts w:ascii="Tahoma" w:hAnsi="Tahoma" w:hint="cs"/>
          <w:sz w:val="32"/>
          <w:szCs w:val="32"/>
          <w:rtl/>
        </w:rPr>
        <w:t>القواعد الفقهية للندوي (453)،</w:t>
      </w:r>
      <w:r>
        <w:rPr>
          <w:rFonts w:ascii="Tahoma" w:hAnsi="Tahoma" w:hint="cs"/>
          <w:sz w:val="32"/>
          <w:szCs w:val="32"/>
          <w:rtl/>
        </w:rPr>
        <w:t xml:space="preserve"> و</w:t>
      </w:r>
      <w:r w:rsidRPr="001753BF">
        <w:rPr>
          <w:rFonts w:ascii="Tahoma" w:hAnsi="Tahoma" w:hint="cs"/>
          <w:sz w:val="32"/>
          <w:szCs w:val="32"/>
          <w:rtl/>
        </w:rPr>
        <w:t>موسوعة القواعد</w:t>
      </w:r>
      <w:r>
        <w:rPr>
          <w:rFonts w:ascii="Tahoma" w:hAnsi="Tahoma" w:hint="cs"/>
          <w:sz w:val="32"/>
          <w:szCs w:val="32"/>
          <w:rtl/>
        </w:rPr>
        <w:t xml:space="preserve"> والضوابط للندوي (1/157)،و</w:t>
      </w:r>
      <w:r w:rsidRPr="001753BF">
        <w:rPr>
          <w:rFonts w:ascii="Tahoma" w:hAnsi="Tahoma" w:hint="cs"/>
          <w:sz w:val="32"/>
          <w:szCs w:val="32"/>
          <w:rtl/>
        </w:rPr>
        <w:t>القواعد المشتركة بين أصول الفقه</w:t>
      </w:r>
      <w:r>
        <w:rPr>
          <w:rFonts w:ascii="Tahoma" w:hAnsi="Tahoma" w:hint="cs"/>
          <w:sz w:val="32"/>
          <w:szCs w:val="32"/>
          <w:rtl/>
        </w:rPr>
        <w:t xml:space="preserve"> وال</w:t>
      </w:r>
      <w:r w:rsidRPr="001753BF">
        <w:rPr>
          <w:rFonts w:ascii="Tahoma" w:hAnsi="Tahoma" w:hint="cs"/>
          <w:sz w:val="32"/>
          <w:szCs w:val="32"/>
          <w:rtl/>
        </w:rPr>
        <w:t>قواعد الفقه</w:t>
      </w:r>
      <w:r>
        <w:rPr>
          <w:rFonts w:ascii="Tahoma" w:hAnsi="Tahoma" w:hint="cs"/>
          <w:sz w:val="32"/>
          <w:szCs w:val="32"/>
          <w:rtl/>
        </w:rPr>
        <w:t>ية</w:t>
      </w:r>
      <w:r w:rsidRPr="001753BF">
        <w:rPr>
          <w:rFonts w:ascii="Tahoma" w:hAnsi="Tahoma" w:hint="cs"/>
          <w:sz w:val="32"/>
          <w:szCs w:val="32"/>
          <w:rtl/>
        </w:rPr>
        <w:t xml:space="preserve"> </w:t>
      </w:r>
      <w:r>
        <w:rPr>
          <w:rFonts w:ascii="Tahoma" w:hAnsi="Tahoma" w:hint="cs"/>
          <w:sz w:val="32"/>
          <w:szCs w:val="32"/>
          <w:rtl/>
        </w:rPr>
        <w:t xml:space="preserve">لسليمان بن سليم الله الرحيلي </w:t>
      </w:r>
      <w:r w:rsidRPr="001753BF">
        <w:rPr>
          <w:rFonts w:ascii="Tahoma" w:hAnsi="Tahoma" w:hint="cs"/>
          <w:sz w:val="32"/>
          <w:szCs w:val="32"/>
          <w:rtl/>
        </w:rPr>
        <w:t xml:space="preserve">(2/346، 501). </w:t>
      </w:r>
    </w:p>
  </w:footnote>
  <w:footnote w:id="1059">
    <w:p w:rsidR="000D3D21" w:rsidRPr="001753BF" w:rsidRDefault="000D3D21" w:rsidP="00D65D30">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753BF">
        <w:rPr>
          <w:rFonts w:ascii="Traditional Arabic" w:hAnsi="Traditional Arabic"/>
          <w:b/>
          <w:bCs/>
          <w:sz w:val="32"/>
          <w:szCs w:val="32"/>
          <w:rtl/>
        </w:rPr>
        <w:t>الاستصحاب</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الاستصحاب</w:instrText>
      </w:r>
      <w:r>
        <w:instrText xml:space="preserve">" </w:instrText>
      </w:r>
      <w:r w:rsidRPr="00D65D30">
        <w:instrText>\fm</w:instrText>
      </w:r>
      <w:r w:rsidR="00AB0B9E">
        <w:rPr>
          <w:rFonts w:ascii="Traditional Arabic" w:hAnsi="Traditional Arabic"/>
          <w:b/>
          <w:bCs/>
          <w:sz w:val="32"/>
          <w:szCs w:val="32"/>
          <w:rtl/>
        </w:rPr>
        <w:fldChar w:fldCharType="end"/>
      </w:r>
      <w:r w:rsidRPr="001753BF">
        <w:rPr>
          <w:rFonts w:ascii="Traditional Arabic" w:hAnsi="Traditional Arabic"/>
          <w:b/>
          <w:bCs/>
          <w:sz w:val="32"/>
          <w:szCs w:val="32"/>
          <w:rtl/>
        </w:rPr>
        <w:t xml:space="preserve"> لغة</w:t>
      </w:r>
      <w:r w:rsidRPr="001753BF">
        <w:rPr>
          <w:rFonts w:ascii="Traditional Arabic" w:hAnsi="Traditional Arabic"/>
          <w:sz w:val="32"/>
          <w:szCs w:val="32"/>
          <w:rtl/>
        </w:rPr>
        <w:t>: الدعاء إلى الصُّحبة،</w:t>
      </w:r>
      <w:r>
        <w:rPr>
          <w:rFonts w:ascii="Traditional Arabic" w:hAnsi="Traditional Arabic"/>
          <w:sz w:val="32"/>
          <w:szCs w:val="32"/>
          <w:rtl/>
        </w:rPr>
        <w:t xml:space="preserve"> و</w:t>
      </w:r>
      <w:r w:rsidRPr="001753BF">
        <w:rPr>
          <w:rFonts w:ascii="Traditional Arabic" w:hAnsi="Traditional Arabic"/>
          <w:sz w:val="32"/>
          <w:szCs w:val="32"/>
          <w:rtl/>
        </w:rPr>
        <w:t>الملازمةُ،</w:t>
      </w:r>
      <w:r w:rsidRPr="001753BF">
        <w:rPr>
          <w:rFonts w:ascii="Traditional Arabic" w:hAnsi="Traditional Arabic"/>
          <w:b/>
          <w:bCs/>
          <w:sz w:val="32"/>
          <w:szCs w:val="32"/>
          <w:rtl/>
        </w:rPr>
        <w:t>.</w:t>
      </w:r>
      <w:r w:rsidRPr="001753BF">
        <w:rPr>
          <w:rFonts w:ascii="Traditional Arabic" w:hAnsi="Traditional Arabic"/>
          <w:sz w:val="32"/>
          <w:szCs w:val="32"/>
          <w:rtl/>
        </w:rPr>
        <w:t>انظر لسان العرب (4/2401).</w:t>
      </w:r>
    </w:p>
    <w:p w:rsidR="000D3D21" w:rsidRPr="001753BF" w:rsidRDefault="000D3D21" w:rsidP="004347BB">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1753BF">
        <w:rPr>
          <w:rFonts w:ascii="Traditional Arabic" w:hAnsi="Traditional Arabic"/>
          <w:b/>
          <w:bCs/>
          <w:sz w:val="32"/>
          <w:szCs w:val="32"/>
          <w:rtl/>
        </w:rPr>
        <w:t>الاستصحاب اصطلاحا:</w:t>
      </w:r>
      <w:r>
        <w:rPr>
          <w:rFonts w:ascii="Traditional Arabic" w:hAnsi="Traditional Arabic" w:hint="cs"/>
          <w:b/>
          <w:bCs/>
          <w:sz w:val="32"/>
          <w:szCs w:val="32"/>
          <w:rtl/>
        </w:rPr>
        <w:t xml:space="preserve"> </w:t>
      </w:r>
      <w:r>
        <w:rPr>
          <w:rFonts w:ascii="Traditional Arabic" w:hAnsi="Traditional Arabic"/>
          <w:sz w:val="32"/>
          <w:szCs w:val="32"/>
          <w:rtl/>
        </w:rPr>
        <w:t xml:space="preserve">استدامةُ </w:t>
      </w:r>
      <w:r w:rsidRPr="001753BF">
        <w:rPr>
          <w:rFonts w:ascii="Traditional Arabic" w:hAnsi="Traditional Arabic"/>
          <w:sz w:val="32"/>
          <w:szCs w:val="32"/>
          <w:rtl/>
        </w:rPr>
        <w:t>إثبات</w:t>
      </w:r>
      <w:r>
        <w:rPr>
          <w:rFonts w:ascii="Traditional Arabic" w:hAnsi="Traditional Arabic" w:hint="cs"/>
          <w:sz w:val="32"/>
          <w:szCs w:val="32"/>
          <w:rtl/>
        </w:rPr>
        <w:t>ِ</w:t>
      </w:r>
      <w:r w:rsidRPr="001753BF">
        <w:rPr>
          <w:rFonts w:ascii="Traditional Arabic" w:hAnsi="Traditional Arabic"/>
          <w:sz w:val="32"/>
          <w:szCs w:val="32"/>
          <w:rtl/>
        </w:rPr>
        <w:t xml:space="preserve"> ما كان ثابتا أو نفي</w:t>
      </w:r>
      <w:r>
        <w:rPr>
          <w:rFonts w:ascii="Traditional Arabic" w:hAnsi="Traditional Arabic" w:hint="cs"/>
          <w:sz w:val="32"/>
          <w:szCs w:val="32"/>
          <w:rtl/>
        </w:rPr>
        <w:t>ِ</w:t>
      </w:r>
      <w:r w:rsidRPr="001753BF">
        <w:rPr>
          <w:rFonts w:ascii="Traditional Arabic" w:hAnsi="Traditional Arabic"/>
          <w:sz w:val="32"/>
          <w:szCs w:val="32"/>
          <w:rtl/>
        </w:rPr>
        <w:t xml:space="preserve"> ما كان م</w:t>
      </w:r>
      <w:r>
        <w:rPr>
          <w:rFonts w:ascii="Traditional Arabic" w:hAnsi="Traditional Arabic" w:hint="cs"/>
          <w:sz w:val="32"/>
          <w:szCs w:val="32"/>
          <w:rtl/>
        </w:rPr>
        <w:t>َ</w:t>
      </w:r>
      <w:r w:rsidRPr="001753BF">
        <w:rPr>
          <w:rFonts w:ascii="Traditional Arabic" w:hAnsi="Traditional Arabic"/>
          <w:sz w:val="32"/>
          <w:szCs w:val="32"/>
          <w:rtl/>
        </w:rPr>
        <w:t>نفي</w:t>
      </w:r>
      <w:r>
        <w:rPr>
          <w:rFonts w:ascii="Traditional Arabic" w:hAnsi="Traditional Arabic" w:hint="cs"/>
          <w:sz w:val="32"/>
          <w:szCs w:val="32"/>
          <w:rtl/>
        </w:rPr>
        <w:t>ّ</w:t>
      </w:r>
      <w:r w:rsidRPr="001753BF">
        <w:rPr>
          <w:rFonts w:ascii="Traditional Arabic" w:hAnsi="Traditional Arabic"/>
          <w:sz w:val="32"/>
          <w:szCs w:val="32"/>
          <w:rtl/>
        </w:rPr>
        <w:t>ا</w:t>
      </w:r>
      <w:r w:rsidRPr="001753BF">
        <w:rPr>
          <w:rFonts w:ascii="Traditional Arabic" w:hAnsi="Traditional Arabic"/>
          <w:b/>
          <w:bCs/>
          <w:sz w:val="32"/>
          <w:szCs w:val="32"/>
          <w:rtl/>
        </w:rPr>
        <w:t>.</w:t>
      </w:r>
      <w:r w:rsidRPr="001753BF">
        <w:rPr>
          <w:rFonts w:ascii="Traditional Arabic" w:hAnsi="Traditional Arabic"/>
          <w:sz w:val="32"/>
          <w:szCs w:val="32"/>
          <w:rtl/>
        </w:rPr>
        <w:t>إعلام الموقعين (3/100).</w:t>
      </w:r>
    </w:p>
  </w:footnote>
  <w:footnote w:id="1060">
    <w:p w:rsidR="000D3D21" w:rsidRPr="001753BF"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Style w:val="af1"/>
          <w:rFonts w:ascii="Traditional Arabic" w:hAnsi="Traditional Arabic" w:hint="cs"/>
          <w:sz w:val="32"/>
          <w:szCs w:val="32"/>
          <w:vertAlign w:val="baseline"/>
          <w:rtl/>
        </w:rPr>
        <w:t xml:space="preserve"> انظر :كشف الأسرار عن أصول فخر الإسلام البزدوي لعبد العزيز البخاري (3/377)، وتقريب الوصول إلى علم الأصول لابن جُزي (391)، والمعتمد لأبي الحسين البصري</w:t>
      </w:r>
      <w:r>
        <w:rPr>
          <w:rFonts w:ascii="Traditional Arabic" w:hAnsi="Traditional Arabic" w:hint="cs"/>
          <w:sz w:val="32"/>
          <w:szCs w:val="32"/>
          <w:rtl/>
        </w:rPr>
        <w:t xml:space="preserve"> (2/884)، والإحكام للآمدي (4/155)، والبحر المحيط للزركشي (6/17)، وشرح الكوكب المنير لابن النجار الفتوحي (4/403).</w:t>
      </w:r>
    </w:p>
  </w:footnote>
  <w:footnote w:id="1061">
    <w:p w:rsidR="000D3D21" w:rsidRPr="001753BF"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w:t>
      </w:r>
      <w:r>
        <w:rPr>
          <w:rFonts w:ascii="Traditional Arabic" w:hAnsi="Traditional Arabic" w:hint="cs"/>
          <w:sz w:val="32"/>
          <w:szCs w:val="32"/>
          <w:rtl/>
        </w:rPr>
        <w:t>لقواعد المشتركة بين أصول الفقه والقواعد الفقهية</w:t>
      </w:r>
      <w:r w:rsidRPr="001753BF">
        <w:rPr>
          <w:rFonts w:ascii="Traditional Arabic" w:hAnsi="Traditional Arabic"/>
          <w:sz w:val="32"/>
          <w:szCs w:val="32"/>
          <w:rtl/>
        </w:rPr>
        <w:t xml:space="preserve"> (2/503).</w:t>
      </w:r>
    </w:p>
  </w:footnote>
  <w:footnote w:id="1062">
    <w:p w:rsidR="000D3D21" w:rsidRPr="001753BF"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1753BF">
        <w:rPr>
          <w:rFonts w:ascii="Traditional Arabic" w:hAnsi="Traditional Arabic"/>
          <w:sz w:val="32"/>
          <w:szCs w:val="32"/>
          <w:rtl/>
        </w:rPr>
        <w:t xml:space="preserve"> القواعد الفقهية للندوي (453)،</w:t>
      </w:r>
      <w:r>
        <w:rPr>
          <w:rFonts w:ascii="Traditional Arabic" w:hAnsi="Traditional Arabic"/>
          <w:sz w:val="32"/>
          <w:szCs w:val="32"/>
          <w:rtl/>
        </w:rPr>
        <w:t xml:space="preserve"> و</w:t>
      </w:r>
      <w:r w:rsidRPr="001753BF">
        <w:rPr>
          <w:rFonts w:ascii="Traditional Arabic" w:hAnsi="Traditional Arabic"/>
          <w:sz w:val="32"/>
          <w:szCs w:val="32"/>
          <w:rtl/>
        </w:rPr>
        <w:t>الوجيز للبورنو (172).</w:t>
      </w:r>
    </w:p>
  </w:footnote>
  <w:footnote w:id="1063">
    <w:p w:rsidR="000D3D21" w:rsidRPr="001753BF" w:rsidRDefault="000D3D21" w:rsidP="004347B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753BF">
        <w:rPr>
          <w:rFonts w:ascii="Traditional Arabic" w:hAnsi="Traditional Arabic"/>
          <w:sz w:val="32"/>
          <w:szCs w:val="32"/>
          <w:rtl/>
        </w:rPr>
        <w:t>انظر القواعد</w:t>
      </w:r>
      <w:r>
        <w:rPr>
          <w:rFonts w:ascii="Traditional Arabic" w:hAnsi="Traditional Arabic"/>
          <w:sz w:val="32"/>
          <w:szCs w:val="32"/>
          <w:rtl/>
        </w:rPr>
        <w:t xml:space="preserve"> و</w:t>
      </w:r>
      <w:r w:rsidRPr="001753BF">
        <w:rPr>
          <w:rFonts w:ascii="Traditional Arabic" w:hAnsi="Traditional Arabic"/>
          <w:sz w:val="32"/>
          <w:szCs w:val="32"/>
          <w:rtl/>
        </w:rPr>
        <w:t>الأصول الجامعة (57).</w:t>
      </w:r>
    </w:p>
  </w:footnote>
  <w:footnote w:id="1064">
    <w:p w:rsidR="000D3D21" w:rsidRPr="00F13FB9" w:rsidRDefault="000D3D21" w:rsidP="004347B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1753BF">
        <w:rPr>
          <w:rFonts w:ascii="Traditional Arabic" w:hAnsi="Traditional Arabic"/>
          <w:sz w:val="32"/>
          <w:szCs w:val="32"/>
          <w:rtl/>
        </w:rPr>
        <w:t xml:space="preserve"> شرح م</w:t>
      </w:r>
      <w:r>
        <w:rPr>
          <w:rFonts w:ascii="Traditional Arabic" w:hAnsi="Traditional Arabic"/>
          <w:sz w:val="32"/>
          <w:szCs w:val="32"/>
          <w:rtl/>
        </w:rPr>
        <w:t>نظومة أصول الفقه وقواعده (330)</w:t>
      </w:r>
      <w:r>
        <w:rPr>
          <w:rFonts w:ascii="Traditional Arabic" w:hAnsi="Traditional Arabic" w:hint="cs"/>
          <w:sz w:val="32"/>
          <w:szCs w:val="32"/>
          <w:rtl/>
        </w:rPr>
        <w:t>.</w:t>
      </w:r>
    </w:p>
  </w:footnote>
  <w:footnote w:id="1065">
    <w:p w:rsidR="000D3D21" w:rsidRPr="009E2C6B"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raditional Arabic" w:hAnsi="Traditional Arabic" w:hint="cs"/>
          <w:noProof w:val="0"/>
          <w:sz w:val="32"/>
          <w:szCs w:val="32"/>
          <w:rtl/>
          <w:lang w:eastAsia="en-US"/>
        </w:rPr>
        <w:t xml:space="preserve"> </w:t>
      </w:r>
      <w:r w:rsidRPr="009E2C6B">
        <w:rPr>
          <w:rFonts w:ascii="Traditional Arabic" w:hAnsi="Traditional Arabic"/>
          <w:noProof w:val="0"/>
          <w:sz w:val="32"/>
          <w:szCs w:val="32"/>
          <w:rtl/>
          <w:lang w:eastAsia="en-US"/>
        </w:rPr>
        <w:t xml:space="preserve">أخرجه مسلم في </w:t>
      </w:r>
      <w:r w:rsidRPr="009E2C6B">
        <w:rPr>
          <w:rFonts w:ascii="Traditional Arabic" w:hAnsi="Traditional Arabic" w:hint="cs"/>
          <w:noProof w:val="0"/>
          <w:sz w:val="32"/>
          <w:szCs w:val="32"/>
          <w:rtl/>
          <w:lang w:eastAsia="en-US"/>
        </w:rPr>
        <w:t xml:space="preserve">كتاب </w:t>
      </w:r>
      <w:r w:rsidRPr="009E2C6B">
        <w:rPr>
          <w:rFonts w:ascii="Traditional Arabic" w:hAnsi="Traditional Arabic"/>
          <w:noProof w:val="0"/>
          <w:sz w:val="32"/>
          <w:szCs w:val="32"/>
          <w:rtl/>
          <w:lang w:eastAsia="en-US"/>
        </w:rPr>
        <w:t>الطهارة</w:t>
      </w:r>
      <w:r w:rsidRPr="009E2C6B">
        <w:rPr>
          <w:rFonts w:ascii="Traditional Arabic" w:hAnsi="Traditional Arabic" w:hint="cs"/>
          <w:noProof w:val="0"/>
          <w:sz w:val="32"/>
          <w:szCs w:val="32"/>
          <w:rtl/>
          <w:lang w:eastAsia="en-US"/>
        </w:rPr>
        <w:t>،</w:t>
      </w:r>
      <w:r w:rsidRPr="009E2C6B">
        <w:rPr>
          <w:rFonts w:ascii="Traditional Arabic" w:hAnsi="Traditional Arabic"/>
          <w:noProof w:val="0"/>
          <w:sz w:val="32"/>
          <w:szCs w:val="32"/>
          <w:rtl/>
          <w:lang w:eastAsia="en-US"/>
        </w:rPr>
        <w:t xml:space="preserve"> باب الدليل على أن من تيقن الطهارة ثم شك في الحدث فله أن يصلي بطهارته تلك</w:t>
      </w:r>
      <w:r>
        <w:rPr>
          <w:rFonts w:ascii="Traditional Arabic" w:hAnsi="Traditional Arabic"/>
          <w:noProof w:val="0"/>
          <w:sz w:val="32"/>
          <w:szCs w:val="32"/>
          <w:rtl/>
          <w:lang w:eastAsia="en-US"/>
        </w:rPr>
        <w:t>،</w:t>
      </w:r>
      <w:r w:rsidRPr="009E2C6B">
        <w:rPr>
          <w:rFonts w:ascii="Traditional Arabic" w:hAnsi="Traditional Arabic" w:hint="cs"/>
          <w:noProof w:val="0"/>
          <w:sz w:val="32"/>
          <w:szCs w:val="32"/>
          <w:rtl/>
          <w:lang w:eastAsia="en-US"/>
        </w:rPr>
        <w:t xml:space="preserve"> رقم الحديث</w:t>
      </w:r>
      <w:r>
        <w:rPr>
          <w:rFonts w:ascii="Traditional Arabic" w:hAnsi="Traditional Arabic" w:hint="cs"/>
          <w:noProof w:val="0"/>
          <w:sz w:val="32"/>
          <w:szCs w:val="32"/>
          <w:rtl/>
          <w:lang w:eastAsia="en-US"/>
        </w:rPr>
        <w:t xml:space="preserve"> </w:t>
      </w:r>
      <w:r w:rsidRPr="009E2C6B">
        <w:rPr>
          <w:rFonts w:ascii="Traditional Arabic" w:hAnsi="Traditional Arabic"/>
          <w:noProof w:val="0"/>
          <w:sz w:val="32"/>
          <w:szCs w:val="32"/>
          <w:rtl/>
          <w:lang w:eastAsia="en-US"/>
        </w:rPr>
        <w:t>(362).</w:t>
      </w:r>
    </w:p>
  </w:footnote>
  <w:footnote w:id="1066">
    <w:p w:rsidR="000D3D21" w:rsidRPr="009E2C6B" w:rsidRDefault="000D3D21" w:rsidP="0048508D">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hint="cs"/>
          <w:sz w:val="32"/>
          <w:szCs w:val="32"/>
          <w:rtl/>
        </w:rPr>
        <w:t xml:space="preserve"> </w:t>
      </w:r>
      <w:r w:rsidRPr="009E2C6B">
        <w:rPr>
          <w:rFonts w:hint="cs"/>
          <w:sz w:val="32"/>
          <w:szCs w:val="32"/>
          <w:rtl/>
        </w:rPr>
        <w:t>انظر: الشرح الممتع (10/189)،</w:t>
      </w:r>
      <w:r>
        <w:rPr>
          <w:rFonts w:hint="cs"/>
          <w:sz w:val="32"/>
          <w:szCs w:val="32"/>
          <w:rtl/>
        </w:rPr>
        <w:t xml:space="preserve"> و</w:t>
      </w:r>
      <w:r w:rsidRPr="009E2C6B">
        <w:rPr>
          <w:rFonts w:hint="cs"/>
          <w:sz w:val="32"/>
          <w:szCs w:val="32"/>
          <w:rtl/>
        </w:rPr>
        <w:t>فتح ذي الجلال</w:t>
      </w:r>
      <w:r>
        <w:rPr>
          <w:rFonts w:hint="cs"/>
          <w:sz w:val="32"/>
          <w:szCs w:val="32"/>
          <w:rtl/>
        </w:rPr>
        <w:t xml:space="preserve"> و</w:t>
      </w:r>
      <w:r w:rsidRPr="009E2C6B">
        <w:rPr>
          <w:rFonts w:hint="cs"/>
          <w:sz w:val="32"/>
          <w:szCs w:val="32"/>
          <w:rtl/>
        </w:rPr>
        <w:t>الإكرام (1/431، 477، 478)،</w:t>
      </w:r>
      <w:r>
        <w:rPr>
          <w:rFonts w:hint="cs"/>
          <w:sz w:val="32"/>
          <w:szCs w:val="32"/>
          <w:rtl/>
        </w:rPr>
        <w:t xml:space="preserve"> و</w:t>
      </w:r>
      <w:r w:rsidRPr="009E2C6B">
        <w:rPr>
          <w:rFonts w:hint="cs"/>
          <w:sz w:val="32"/>
          <w:szCs w:val="32"/>
          <w:rtl/>
        </w:rPr>
        <w:t>تنبي</w:t>
      </w:r>
      <w:r>
        <w:rPr>
          <w:rFonts w:hint="cs"/>
          <w:sz w:val="32"/>
          <w:szCs w:val="32"/>
          <w:rtl/>
        </w:rPr>
        <w:t xml:space="preserve">ه الأفهام شرح عمدة الأحكام </w:t>
      </w:r>
      <w:r w:rsidRPr="009E2C6B">
        <w:rPr>
          <w:rFonts w:hint="cs"/>
          <w:sz w:val="32"/>
          <w:szCs w:val="32"/>
          <w:rtl/>
        </w:rPr>
        <w:t xml:space="preserve"> </w:t>
      </w:r>
      <w:r>
        <w:rPr>
          <w:rFonts w:hint="cs"/>
          <w:sz w:val="32"/>
          <w:szCs w:val="32"/>
          <w:rtl/>
        </w:rPr>
        <w:t>ل</w:t>
      </w:r>
      <w:r w:rsidRPr="009E2C6B">
        <w:rPr>
          <w:rFonts w:hint="cs"/>
          <w:sz w:val="32"/>
          <w:szCs w:val="32"/>
          <w:rtl/>
        </w:rPr>
        <w:t>ابن عثيمين (67).</w:t>
      </w:r>
    </w:p>
  </w:footnote>
  <w:footnote w:id="1067">
    <w:p w:rsidR="000D3D21" w:rsidRPr="009E2C6B"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9E2C6B">
        <w:rPr>
          <w:rFonts w:ascii="Tahoma" w:hAnsi="Tahoma" w:hint="cs"/>
          <w:sz w:val="32"/>
          <w:szCs w:val="32"/>
          <w:rtl/>
        </w:rPr>
        <w:t>أخرجه</w:t>
      </w:r>
      <w:r w:rsidRPr="009E2C6B">
        <w:rPr>
          <w:rFonts w:ascii="Traditional Arabic" w:hAnsi="Traditional Arabic"/>
          <w:noProof w:val="0"/>
          <w:sz w:val="32"/>
          <w:szCs w:val="32"/>
          <w:rtl/>
          <w:lang w:eastAsia="en-US"/>
        </w:rPr>
        <w:t xml:space="preserve"> مسلم </w:t>
      </w:r>
      <w:r w:rsidRPr="009E2C6B">
        <w:rPr>
          <w:rFonts w:ascii="Traditional Arabic" w:hAnsi="Traditional Arabic" w:hint="cs"/>
          <w:noProof w:val="0"/>
          <w:sz w:val="32"/>
          <w:szCs w:val="32"/>
          <w:rtl/>
          <w:lang w:eastAsia="en-US"/>
        </w:rPr>
        <w:t xml:space="preserve">في كتاب </w:t>
      </w:r>
      <w:r w:rsidRPr="009E2C6B">
        <w:rPr>
          <w:rFonts w:ascii="Traditional Arabic" w:hAnsi="Traditional Arabic"/>
          <w:noProof w:val="0"/>
          <w:sz w:val="32"/>
          <w:szCs w:val="32"/>
          <w:rtl/>
          <w:lang w:eastAsia="en-US"/>
        </w:rPr>
        <w:t>الحيض</w:t>
      </w:r>
      <w:r w:rsidRPr="009E2C6B">
        <w:rPr>
          <w:rFonts w:ascii="Traditional Arabic" w:hAnsi="Traditional Arabic" w:hint="cs"/>
          <w:noProof w:val="0"/>
          <w:sz w:val="32"/>
          <w:szCs w:val="32"/>
          <w:rtl/>
          <w:lang w:eastAsia="en-US"/>
        </w:rPr>
        <w:t xml:space="preserve">، باب </w:t>
      </w:r>
      <w:r w:rsidRPr="009E2C6B">
        <w:rPr>
          <w:rFonts w:ascii="Traditional Arabic" w:hAnsi="Traditional Arabic"/>
          <w:noProof w:val="0"/>
          <w:sz w:val="32"/>
          <w:szCs w:val="32"/>
          <w:rtl/>
          <w:lang w:eastAsia="en-US"/>
        </w:rPr>
        <w:t>الدليل على أن من تيقن الطهارة ثم شك في الحدث فله يصلي بطهارته تلك</w:t>
      </w:r>
      <w:r>
        <w:rPr>
          <w:rFonts w:ascii="Traditional Arabic" w:hAnsi="Traditional Arabic"/>
          <w:noProof w:val="0"/>
          <w:sz w:val="32"/>
          <w:szCs w:val="32"/>
          <w:rtl/>
          <w:lang w:eastAsia="en-US"/>
        </w:rPr>
        <w:t>،</w:t>
      </w:r>
      <w:r w:rsidRPr="009E2C6B">
        <w:rPr>
          <w:rFonts w:ascii="Traditional Arabic" w:hAnsi="Traditional Arabic" w:hint="cs"/>
          <w:noProof w:val="0"/>
          <w:sz w:val="32"/>
          <w:szCs w:val="32"/>
          <w:rtl/>
          <w:lang w:eastAsia="en-US"/>
        </w:rPr>
        <w:t xml:space="preserve"> رقم الحديث</w:t>
      </w:r>
      <w:r w:rsidRPr="009E2C6B">
        <w:rPr>
          <w:rFonts w:ascii="Traditional Arabic" w:hAnsi="Traditional Arabic"/>
          <w:noProof w:val="0"/>
          <w:sz w:val="32"/>
          <w:szCs w:val="32"/>
          <w:rtl/>
          <w:lang w:eastAsia="en-US"/>
        </w:rPr>
        <w:t>(3</w:t>
      </w:r>
      <w:r w:rsidRPr="009E2C6B">
        <w:rPr>
          <w:rFonts w:ascii="Traditional Arabic" w:hAnsi="Traditional Arabic" w:hint="cs"/>
          <w:noProof w:val="0"/>
          <w:sz w:val="32"/>
          <w:szCs w:val="32"/>
          <w:rtl/>
          <w:lang w:eastAsia="en-US"/>
        </w:rPr>
        <w:t>61</w:t>
      </w:r>
      <w:r w:rsidRPr="009E2C6B">
        <w:rPr>
          <w:rFonts w:ascii="Traditional Arabic" w:hAnsi="Traditional Arabic"/>
          <w:noProof w:val="0"/>
          <w:sz w:val="32"/>
          <w:szCs w:val="32"/>
          <w:rtl/>
          <w:lang w:eastAsia="en-US"/>
        </w:rPr>
        <w:t>).</w:t>
      </w:r>
    </w:p>
  </w:footnote>
  <w:footnote w:id="1068">
    <w:p w:rsidR="000D3D21" w:rsidRPr="00875330"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875330">
        <w:rPr>
          <w:rFonts w:ascii="Tahoma" w:hAnsi="Tahoma" w:hint="cs"/>
          <w:sz w:val="32"/>
          <w:szCs w:val="32"/>
          <w:rtl/>
        </w:rPr>
        <w:t xml:space="preserve">انظر تنبيه الأفهام </w:t>
      </w:r>
      <w:r>
        <w:rPr>
          <w:rFonts w:ascii="Tahoma" w:hAnsi="Tahoma" w:hint="cs"/>
          <w:sz w:val="32"/>
          <w:szCs w:val="32"/>
          <w:rtl/>
        </w:rPr>
        <w:t xml:space="preserve">شرح عمدة الأحكام </w:t>
      </w:r>
      <w:r w:rsidRPr="00875330">
        <w:rPr>
          <w:rFonts w:ascii="Tahoma" w:hAnsi="Tahoma" w:hint="cs"/>
          <w:sz w:val="32"/>
          <w:szCs w:val="32"/>
          <w:rtl/>
        </w:rPr>
        <w:t>(67).</w:t>
      </w:r>
    </w:p>
  </w:footnote>
  <w:footnote w:id="1069">
    <w:p w:rsidR="000D3D21" w:rsidRPr="00875330"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أي: البر والشعير والتمر والملح.</w:t>
      </w:r>
    </w:p>
  </w:footnote>
  <w:footnote w:id="1070">
    <w:p w:rsidR="000D3D21" w:rsidRPr="001C32FA"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1C32FA">
        <w:rPr>
          <w:rFonts w:ascii="Tahoma" w:hAnsi="Tahoma" w:hint="cs"/>
          <w:sz w:val="32"/>
          <w:szCs w:val="32"/>
          <w:rtl/>
        </w:rPr>
        <w:t>انظر الشرح الممتع (8/398).</w:t>
      </w:r>
    </w:p>
  </w:footnote>
  <w:footnote w:id="1071">
    <w:p w:rsidR="000D3D21" w:rsidRPr="00875330"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875330">
        <w:rPr>
          <w:rFonts w:ascii="Tahoma" w:hAnsi="Tahoma" w:hint="cs"/>
          <w:sz w:val="32"/>
          <w:szCs w:val="32"/>
          <w:rtl/>
        </w:rPr>
        <w:t xml:space="preserve">انظر </w:t>
      </w:r>
      <w:r>
        <w:rPr>
          <w:rFonts w:ascii="Tahoma" w:hAnsi="Tahoma" w:hint="cs"/>
          <w:sz w:val="32"/>
          <w:szCs w:val="32"/>
          <w:rtl/>
        </w:rPr>
        <w:t xml:space="preserve">المرجع السابق </w:t>
      </w:r>
      <w:r w:rsidRPr="00875330">
        <w:rPr>
          <w:rFonts w:ascii="Tahoma" w:hAnsi="Tahoma" w:hint="cs"/>
          <w:sz w:val="32"/>
          <w:szCs w:val="32"/>
          <w:rtl/>
        </w:rPr>
        <w:t>(9/167، 169).</w:t>
      </w:r>
    </w:p>
  </w:footnote>
  <w:footnote w:id="1072">
    <w:p w:rsidR="000D3D21" w:rsidRPr="00750D96"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الشرح الممتع</w:t>
      </w:r>
      <w:r w:rsidRPr="00875330">
        <w:rPr>
          <w:rFonts w:ascii="Tahoma" w:hAnsi="Tahoma" w:hint="cs"/>
          <w:sz w:val="32"/>
          <w:szCs w:val="32"/>
          <w:rtl/>
        </w:rPr>
        <w:t xml:space="preserve"> (9/169).</w:t>
      </w:r>
    </w:p>
  </w:footnote>
  <w:footnote w:id="1073">
    <w:p w:rsidR="000D3D21" w:rsidRPr="00750D96"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750D96">
        <w:rPr>
          <w:rFonts w:ascii="Tahoma" w:hAnsi="Tahoma" w:hint="cs"/>
          <w:sz w:val="32"/>
          <w:szCs w:val="32"/>
          <w:rtl/>
        </w:rPr>
        <w:t>انظر المرجع السابق (9/169-170).</w:t>
      </w:r>
    </w:p>
  </w:footnote>
  <w:footnote w:id="1074">
    <w:p w:rsidR="000D3D21" w:rsidRDefault="000D3D21" w:rsidP="00D65D30">
      <w:pPr>
        <w:pStyle w:val="a7"/>
        <w:pageBreakBefore/>
        <w:rPr>
          <w:rFonts w:ascii="Tahoma" w:hAnsi="Tahoma"/>
          <w:b/>
          <w:bCs/>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b/>
          <w:bCs/>
          <w:sz w:val="32"/>
          <w:szCs w:val="32"/>
          <w:rtl/>
        </w:rPr>
        <w:t xml:space="preserve"> اللقطة</w:t>
      </w:r>
      <w:r w:rsidR="00AB0B9E">
        <w:rPr>
          <w:rFonts w:ascii="Tahoma" w:hAnsi="Tahoma"/>
          <w:b/>
          <w:bCs/>
          <w:sz w:val="32"/>
          <w:szCs w:val="32"/>
          <w:rtl/>
        </w:rPr>
        <w:fldChar w:fldCharType="begin"/>
      </w:r>
      <w:r>
        <w:instrText xml:space="preserve"> XE "</w:instrText>
      </w:r>
      <w:r w:rsidRPr="00D65D30">
        <w:rPr>
          <w:rFonts w:ascii="Tahoma" w:hAnsi="Tahoma" w:hint="cs"/>
          <w:sz w:val="32"/>
          <w:szCs w:val="32"/>
          <w:rtl/>
        </w:rPr>
        <w:instrText>اللقطة</w:instrText>
      </w:r>
      <w:r>
        <w:instrText xml:space="preserve">" </w:instrText>
      </w:r>
      <w:r w:rsidRPr="00D65D30">
        <w:instrText>\fm</w:instrText>
      </w:r>
      <w:r w:rsidR="00AB0B9E">
        <w:rPr>
          <w:rFonts w:ascii="Tahoma" w:hAnsi="Tahoma"/>
          <w:b/>
          <w:bCs/>
          <w:sz w:val="32"/>
          <w:szCs w:val="32"/>
          <w:rtl/>
        </w:rPr>
        <w:fldChar w:fldCharType="end"/>
      </w:r>
      <w:r>
        <w:rPr>
          <w:rFonts w:ascii="Tahoma" w:hAnsi="Tahoma" w:hint="cs"/>
          <w:b/>
          <w:bCs/>
          <w:sz w:val="32"/>
          <w:szCs w:val="32"/>
          <w:rtl/>
        </w:rPr>
        <w:t xml:space="preserve"> لغة:</w:t>
      </w:r>
      <w:r w:rsidRPr="00D3659E">
        <w:rPr>
          <w:rFonts w:ascii="Tahoma" w:hAnsi="Tahoma" w:hint="cs"/>
          <w:sz w:val="32"/>
          <w:szCs w:val="32"/>
          <w:rtl/>
        </w:rPr>
        <w:t>اسم</w:t>
      </w:r>
      <w:r>
        <w:rPr>
          <w:rFonts w:ascii="Tahoma" w:hAnsi="Tahoma" w:hint="cs"/>
          <w:sz w:val="32"/>
          <w:szCs w:val="32"/>
          <w:rtl/>
        </w:rPr>
        <w:t>ُ</w:t>
      </w:r>
      <w:r w:rsidRPr="00D3659E">
        <w:rPr>
          <w:rFonts w:ascii="Tahoma" w:hAnsi="Tahoma" w:hint="cs"/>
          <w:sz w:val="32"/>
          <w:szCs w:val="32"/>
          <w:rtl/>
        </w:rPr>
        <w:t xml:space="preserve"> الشيء</w:t>
      </w:r>
      <w:r>
        <w:rPr>
          <w:rFonts w:ascii="Tahoma" w:hAnsi="Tahoma" w:hint="cs"/>
          <w:sz w:val="32"/>
          <w:szCs w:val="32"/>
          <w:rtl/>
        </w:rPr>
        <w:t>ِ</w:t>
      </w:r>
      <w:r w:rsidRPr="00D3659E">
        <w:rPr>
          <w:rFonts w:ascii="Tahoma" w:hAnsi="Tahoma" w:hint="cs"/>
          <w:sz w:val="32"/>
          <w:szCs w:val="32"/>
          <w:rtl/>
        </w:rPr>
        <w:t xml:space="preserve"> الذي تجده م</w:t>
      </w:r>
      <w:r>
        <w:rPr>
          <w:rFonts w:ascii="Tahoma" w:hAnsi="Tahoma" w:hint="cs"/>
          <w:sz w:val="32"/>
          <w:szCs w:val="32"/>
          <w:rtl/>
        </w:rPr>
        <w:t>ُ</w:t>
      </w:r>
      <w:r w:rsidRPr="00D3659E">
        <w:rPr>
          <w:rFonts w:ascii="Tahoma" w:hAnsi="Tahoma" w:hint="cs"/>
          <w:sz w:val="32"/>
          <w:szCs w:val="32"/>
          <w:rtl/>
        </w:rPr>
        <w:t>لق</w:t>
      </w:r>
      <w:r>
        <w:rPr>
          <w:rFonts w:ascii="Tahoma" w:hAnsi="Tahoma" w:hint="cs"/>
          <w:sz w:val="32"/>
          <w:szCs w:val="32"/>
          <w:rtl/>
        </w:rPr>
        <w:t>ً</w:t>
      </w:r>
      <w:r w:rsidRPr="00D3659E">
        <w:rPr>
          <w:rFonts w:ascii="Tahoma" w:hAnsi="Tahoma" w:hint="cs"/>
          <w:sz w:val="32"/>
          <w:szCs w:val="32"/>
          <w:rtl/>
        </w:rPr>
        <w:t>ى فتأخذ</w:t>
      </w:r>
      <w:r>
        <w:rPr>
          <w:rFonts w:ascii="Tahoma" w:hAnsi="Tahoma" w:hint="cs"/>
          <w:sz w:val="32"/>
          <w:szCs w:val="32"/>
          <w:rtl/>
        </w:rPr>
        <w:t>ُ</w:t>
      </w:r>
      <w:r w:rsidRPr="00D3659E">
        <w:rPr>
          <w:rFonts w:ascii="Tahoma" w:hAnsi="Tahoma" w:hint="cs"/>
          <w:sz w:val="32"/>
          <w:szCs w:val="32"/>
          <w:rtl/>
        </w:rPr>
        <w:t>ه.</w:t>
      </w:r>
      <w:r>
        <w:rPr>
          <w:rFonts w:ascii="Tahoma" w:hAnsi="Tahoma" w:hint="cs"/>
          <w:sz w:val="32"/>
          <w:szCs w:val="32"/>
          <w:rtl/>
        </w:rPr>
        <w:t>المصباح المنير (454).</w:t>
      </w:r>
    </w:p>
    <w:p w:rsidR="000D3D21" w:rsidRDefault="000D3D21" w:rsidP="004347BB">
      <w:pPr>
        <w:pStyle w:val="a7"/>
        <w:pageBreakBefore/>
        <w:rPr>
          <w:rFonts w:ascii="Traditional Arabic" w:hAnsi="Traditional Arabic"/>
          <w:noProof w:val="0"/>
          <w:sz w:val="32"/>
          <w:szCs w:val="32"/>
          <w:rtl/>
          <w:lang w:eastAsia="en-US"/>
        </w:rPr>
      </w:pPr>
      <w:r>
        <w:rPr>
          <w:rFonts w:ascii="Tahoma" w:hAnsi="Tahoma" w:hint="cs"/>
          <w:b/>
          <w:bCs/>
          <w:sz w:val="32"/>
          <w:szCs w:val="32"/>
          <w:rtl/>
        </w:rPr>
        <w:t xml:space="preserve">     اللقطة شرعا:</w:t>
      </w:r>
      <w:r w:rsidRPr="00116EED">
        <w:rPr>
          <w:rFonts w:ascii="Tahoma" w:hAnsi="Tahoma" w:hint="cs"/>
          <w:sz w:val="32"/>
          <w:szCs w:val="32"/>
          <w:rtl/>
        </w:rPr>
        <w:t>مال</w:t>
      </w:r>
      <w:r>
        <w:rPr>
          <w:rFonts w:ascii="Tahoma" w:hAnsi="Tahoma" w:hint="cs"/>
          <w:sz w:val="32"/>
          <w:szCs w:val="32"/>
          <w:rtl/>
        </w:rPr>
        <w:t>ٌ</w:t>
      </w:r>
      <w:r w:rsidRPr="00116EED">
        <w:rPr>
          <w:rFonts w:ascii="Tahoma" w:hAnsi="Tahoma" w:hint="cs"/>
          <w:sz w:val="32"/>
          <w:szCs w:val="32"/>
          <w:rtl/>
        </w:rPr>
        <w:t xml:space="preserve"> أو مُختصٌّ ضل عن ربه،</w:t>
      </w:r>
      <w:r>
        <w:rPr>
          <w:rFonts w:ascii="Tahoma" w:hAnsi="Tahoma" w:hint="cs"/>
          <w:sz w:val="32"/>
          <w:szCs w:val="32"/>
          <w:rtl/>
        </w:rPr>
        <w:t xml:space="preserve"> و</w:t>
      </w:r>
      <w:r w:rsidRPr="00116EED">
        <w:rPr>
          <w:rFonts w:ascii="Tahoma" w:hAnsi="Tahoma" w:hint="cs"/>
          <w:sz w:val="32"/>
          <w:szCs w:val="32"/>
          <w:rtl/>
        </w:rPr>
        <w:t xml:space="preserve">تَتْبَعُه هِمَّةُ أوساط الناس. </w:t>
      </w:r>
      <w:r>
        <w:rPr>
          <w:rFonts w:ascii="Traditional Arabic" w:hAnsi="Traditional Arabic" w:hint="cs"/>
          <w:noProof w:val="0"/>
          <w:sz w:val="32"/>
          <w:szCs w:val="32"/>
          <w:rtl/>
          <w:lang w:eastAsia="en-US"/>
        </w:rPr>
        <w:t>زاد المستقنع (139</w:t>
      </w:r>
      <w:r w:rsidRPr="00116EED">
        <w:rPr>
          <w:rFonts w:ascii="Traditional Arabic" w:hAnsi="Traditional Arabic" w:hint="cs"/>
          <w:noProof w:val="0"/>
          <w:sz w:val="32"/>
          <w:szCs w:val="32"/>
          <w:rtl/>
          <w:lang w:eastAsia="en-US"/>
        </w:rPr>
        <w:t xml:space="preserve">)، </w:t>
      </w:r>
    </w:p>
    <w:p w:rsidR="000D3D21" w:rsidRPr="00116EED" w:rsidRDefault="000D3D21" w:rsidP="004347BB">
      <w:pPr>
        <w:pStyle w:val="a7"/>
        <w:pageBreakBefore/>
        <w:rPr>
          <w:rFonts w:ascii="Tahoma" w:hAnsi="Tahoma"/>
          <w:b/>
          <w:bCs/>
          <w:sz w:val="32"/>
          <w:szCs w:val="32"/>
        </w:rPr>
      </w:pPr>
      <w:r>
        <w:rPr>
          <w:rFonts w:ascii="Tahoma" w:hAnsi="Tahoma" w:hint="cs"/>
          <w:b/>
          <w:bCs/>
          <w:sz w:val="32"/>
          <w:szCs w:val="32"/>
          <w:rtl/>
        </w:rPr>
        <w:t xml:space="preserve">     </w:t>
      </w:r>
      <w:r w:rsidRPr="0048508D">
        <w:rPr>
          <w:rFonts w:ascii="Tahoma" w:hAnsi="Tahoma" w:hint="cs"/>
          <w:sz w:val="32"/>
          <w:szCs w:val="32"/>
          <w:rtl/>
        </w:rPr>
        <w:t>و</w:t>
      </w:r>
      <w:r w:rsidRPr="00116EED">
        <w:rPr>
          <w:rFonts w:ascii="Traditional Arabic" w:hAnsi="Traditional Arabic" w:hint="cs"/>
          <w:noProof w:val="0"/>
          <w:sz w:val="32"/>
          <w:szCs w:val="32"/>
          <w:rtl/>
          <w:lang w:eastAsia="en-US"/>
        </w:rPr>
        <w:t>انظر</w:t>
      </w:r>
      <w:r w:rsidRPr="00116EED">
        <w:rPr>
          <w:rFonts w:ascii="Tahoma" w:hAnsi="Tahoma" w:hint="cs"/>
          <w:sz w:val="32"/>
          <w:szCs w:val="32"/>
          <w:rtl/>
        </w:rPr>
        <w:t xml:space="preserve"> المغني لابن قدامة (8/290</w:t>
      </w:r>
      <w:r>
        <w:rPr>
          <w:rFonts w:ascii="Tahoma" w:hAnsi="Tahoma" w:hint="cs"/>
          <w:sz w:val="32"/>
          <w:szCs w:val="32"/>
          <w:rtl/>
        </w:rPr>
        <w:t>)،</w:t>
      </w:r>
      <w:r>
        <w:rPr>
          <w:rFonts w:ascii="Traditional Arabic" w:hAnsi="Traditional Arabic" w:hint="cs"/>
          <w:noProof w:val="0"/>
          <w:sz w:val="32"/>
          <w:szCs w:val="32"/>
          <w:rtl/>
          <w:lang w:eastAsia="en-US"/>
        </w:rPr>
        <w:t xml:space="preserve"> والشرح الممتع (10/359-363).</w:t>
      </w:r>
    </w:p>
  </w:footnote>
  <w:footnote w:id="1075">
    <w:p w:rsidR="000D3D21" w:rsidRDefault="000D3D21" w:rsidP="004347BB">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ال</w:t>
      </w:r>
      <w:r w:rsidRPr="00750D96">
        <w:rPr>
          <w:rFonts w:ascii="Tahoma" w:hAnsi="Tahoma" w:hint="cs"/>
          <w:sz w:val="32"/>
          <w:szCs w:val="32"/>
          <w:rtl/>
        </w:rPr>
        <w:t>شرح الممتع (10/376-377)</w:t>
      </w:r>
      <w:r>
        <w:rPr>
          <w:rFonts w:ascii="Tahoma" w:hAnsi="Tahoma" w:hint="cs"/>
          <w:sz w:val="32"/>
          <w:szCs w:val="32"/>
          <w:rtl/>
        </w:rPr>
        <w:t>، والتعليق على القواعد والأصول الجامعة (109)</w:t>
      </w:r>
      <w:r w:rsidRPr="00750D96">
        <w:rPr>
          <w:rFonts w:ascii="Tahoma" w:hAnsi="Tahoma" w:hint="cs"/>
          <w:sz w:val="32"/>
          <w:szCs w:val="32"/>
          <w:rtl/>
        </w:rPr>
        <w:t>.</w:t>
      </w:r>
    </w:p>
    <w:p w:rsidR="000D3D21" w:rsidRPr="00750D96" w:rsidRDefault="000D3D21" w:rsidP="001A06F0">
      <w:pPr>
        <w:pStyle w:val="a7"/>
        <w:pageBreakBefore/>
        <w:rPr>
          <w:rFonts w:ascii="Tahoma" w:hAnsi="Tahoma"/>
          <w:sz w:val="32"/>
          <w:szCs w:val="32"/>
        </w:rPr>
      </w:pPr>
      <w:r>
        <w:rPr>
          <w:rFonts w:ascii="Tahoma" w:hAnsi="Tahoma" w:hint="cs"/>
          <w:sz w:val="32"/>
          <w:szCs w:val="32"/>
          <w:rtl/>
        </w:rPr>
        <w:t xml:space="preserve">     </w:t>
      </w:r>
      <w:r>
        <w:rPr>
          <w:rFonts w:ascii="Tahoma" w:hAnsi="Tahoma"/>
          <w:sz w:val="32"/>
          <w:szCs w:val="32"/>
          <w:rtl/>
        </w:rPr>
        <w:t>و</w:t>
      </w:r>
      <w:r w:rsidRPr="00B436F9">
        <w:rPr>
          <w:rFonts w:ascii="Tahoma" w:hAnsi="Tahoma" w:hint="cs"/>
          <w:color w:val="auto"/>
          <w:sz w:val="32"/>
          <w:szCs w:val="32"/>
          <w:rtl/>
        </w:rPr>
        <w:t>مما ورد في السنة في خصوص اللقطة</w:t>
      </w:r>
      <w:r>
        <w:rPr>
          <w:rFonts w:ascii="Tahoma" w:hAnsi="Tahoma" w:hint="cs"/>
          <w:color w:val="auto"/>
          <w:sz w:val="32"/>
          <w:szCs w:val="32"/>
          <w:rtl/>
        </w:rPr>
        <w:t xml:space="preserve">، </w:t>
      </w:r>
      <w:r w:rsidRPr="00B436F9">
        <w:rPr>
          <w:rFonts w:ascii="Tahoma" w:hAnsi="Tahoma" w:hint="cs"/>
          <w:color w:val="auto"/>
          <w:sz w:val="32"/>
          <w:szCs w:val="32"/>
          <w:rtl/>
        </w:rPr>
        <w:t xml:space="preserve">حديث </w:t>
      </w:r>
      <w:r w:rsidRPr="00B436F9">
        <w:rPr>
          <w:rFonts w:ascii="Traditional Arabic" w:hAnsi="Traditional Arabic"/>
          <w:noProof w:val="0"/>
          <w:color w:val="auto"/>
          <w:sz w:val="32"/>
          <w:szCs w:val="32"/>
          <w:rtl/>
          <w:lang w:eastAsia="en-US"/>
        </w:rPr>
        <w:t>زيد بن خال</w:t>
      </w:r>
      <w:r w:rsidRPr="00B436F9">
        <w:rPr>
          <w:rFonts w:ascii="Traditional Arabic" w:hAnsi="Traditional Arabic" w:hint="cs"/>
          <w:noProof w:val="0"/>
          <w:color w:val="auto"/>
          <w:sz w:val="32"/>
          <w:szCs w:val="32"/>
          <w:rtl/>
          <w:lang w:eastAsia="en-US"/>
        </w:rPr>
        <w:t>د</w:t>
      </w:r>
      <w:r w:rsidRPr="00B436F9">
        <w:rPr>
          <w:rFonts w:ascii="Traditional Arabic" w:hAnsi="Traditional Arabic"/>
          <w:noProof w:val="0"/>
          <w:color w:val="auto"/>
          <w:sz w:val="32"/>
          <w:szCs w:val="32"/>
          <w:rtl/>
          <w:lang w:eastAsia="en-US"/>
        </w:rPr>
        <w:t xml:space="preserve"> الجهني </w:t>
      </w:r>
      <w:r>
        <w:rPr>
          <w:rFonts w:ascii="Traditional Arabic" w:hAnsi="Traditional Arabic" w:hint="cs"/>
          <w:noProof w:val="0"/>
          <w:color w:val="auto"/>
          <w:sz w:val="32"/>
          <w:szCs w:val="32"/>
          <w:rtl/>
          <w:lang w:eastAsia="en-US"/>
        </w:rPr>
        <w:t>_</w:t>
      </w:r>
      <w:r w:rsidRPr="00B436F9">
        <w:rPr>
          <w:rFonts w:ascii="Traditional Arabic" w:hAnsi="Traditional Arabic" w:cs="CTraditional Arabic"/>
          <w:noProof w:val="0"/>
          <w:color w:val="auto"/>
          <w:sz w:val="32"/>
          <w:szCs w:val="32"/>
          <w:rtl/>
          <w:lang w:eastAsia="en-US"/>
        </w:rPr>
        <w:t>ط</w:t>
      </w:r>
      <w:r>
        <w:rPr>
          <w:rFonts w:ascii="Traditional Arabic" w:hAnsi="Traditional Arabic" w:cs="CTraditional Arabic" w:hint="cs"/>
          <w:noProof w:val="0"/>
          <w:color w:val="auto"/>
          <w:sz w:val="32"/>
          <w:szCs w:val="32"/>
          <w:rtl/>
          <w:lang w:eastAsia="en-US"/>
        </w:rPr>
        <w:t xml:space="preserve"> </w:t>
      </w:r>
      <w:r>
        <w:rPr>
          <w:rFonts w:ascii="Traditional Arabic" w:hAnsi="Traditional Arabic" w:hint="cs"/>
          <w:noProof w:val="0"/>
          <w:color w:val="auto"/>
          <w:sz w:val="32"/>
          <w:szCs w:val="32"/>
          <w:rtl/>
          <w:lang w:eastAsia="en-US"/>
        </w:rPr>
        <w:t>_</w:t>
      </w:r>
      <w:r w:rsidRPr="00B436F9">
        <w:rPr>
          <w:rFonts w:ascii="Traditional Arabic" w:hAnsi="Traditional Arabic"/>
          <w:noProof w:val="0"/>
          <w:color w:val="auto"/>
          <w:sz w:val="32"/>
          <w:szCs w:val="32"/>
          <w:rtl/>
          <w:lang w:eastAsia="en-US"/>
        </w:rPr>
        <w:t>ق</w:t>
      </w:r>
      <w:r w:rsidRPr="00B436F9">
        <w:rPr>
          <w:rFonts w:ascii="Traditional Arabic" w:hAnsi="Traditional Arabic" w:hint="cs"/>
          <w:noProof w:val="0"/>
          <w:color w:val="auto"/>
          <w:sz w:val="32"/>
          <w:szCs w:val="32"/>
          <w:rtl/>
          <w:lang w:eastAsia="en-US"/>
        </w:rPr>
        <w:t>ا</w:t>
      </w:r>
      <w:r w:rsidRPr="00B436F9">
        <w:rPr>
          <w:rFonts w:ascii="Traditional Arabic" w:hAnsi="Traditional Arabic"/>
          <w:noProof w:val="0"/>
          <w:color w:val="auto"/>
          <w:sz w:val="32"/>
          <w:szCs w:val="32"/>
          <w:rtl/>
          <w:lang w:eastAsia="en-US"/>
        </w:rPr>
        <w:t>ل</w:t>
      </w:r>
      <w:r w:rsidRPr="00B436F9">
        <w:rPr>
          <w:rFonts w:ascii="Traditional Arabic" w:hAnsi="Traditional Arabic" w:hint="cs"/>
          <w:noProof w:val="0"/>
          <w:color w:val="auto"/>
          <w:sz w:val="32"/>
          <w:szCs w:val="32"/>
          <w:rtl/>
          <w:lang w:eastAsia="en-US"/>
        </w:rPr>
        <w:t>:</w:t>
      </w:r>
      <w:r w:rsidRPr="00B436F9">
        <w:rPr>
          <w:rFonts w:ascii="Traditional Arabic" w:hAnsi="Traditional Arabic"/>
          <w:noProof w:val="0"/>
          <w:color w:val="auto"/>
          <w:sz w:val="32"/>
          <w:szCs w:val="32"/>
          <w:rtl/>
          <w:lang w:eastAsia="en-US"/>
        </w:rPr>
        <w:t xml:space="preserve"> جاء </w:t>
      </w:r>
      <w:r w:rsidRPr="00B436F9">
        <w:rPr>
          <w:rFonts w:ascii="Traditional Arabic" w:hAnsi="Traditional Arabic" w:hint="cs"/>
          <w:noProof w:val="0"/>
          <w:color w:val="auto"/>
          <w:sz w:val="32"/>
          <w:szCs w:val="32"/>
          <w:rtl/>
          <w:lang w:eastAsia="en-US"/>
        </w:rPr>
        <w:t>ر</w:t>
      </w:r>
      <w:r w:rsidRPr="00B436F9">
        <w:rPr>
          <w:rFonts w:ascii="Traditional Arabic" w:hAnsi="Traditional Arabic"/>
          <w:noProof w:val="0"/>
          <w:color w:val="auto"/>
          <w:sz w:val="32"/>
          <w:szCs w:val="32"/>
          <w:rtl/>
          <w:lang w:eastAsia="en-US"/>
        </w:rPr>
        <w:t xml:space="preserve">جل إلى رسول الله </w:t>
      </w:r>
      <w:r w:rsidRPr="00B436F9">
        <w:rPr>
          <w:rFonts w:ascii="Traditional Arabic" w:hAnsi="Traditional Arabic" w:cs="CTraditional Arabic"/>
          <w:noProof w:val="0"/>
          <w:color w:val="auto"/>
          <w:sz w:val="32"/>
          <w:szCs w:val="32"/>
          <w:rtl/>
          <w:lang w:eastAsia="en-US"/>
        </w:rPr>
        <w:t>&gt;</w:t>
      </w:r>
      <w:r w:rsidRPr="00B436F9">
        <w:rPr>
          <w:rFonts w:ascii="Traditional Arabic" w:hAnsi="Traditional Arabic" w:hint="cs"/>
          <w:noProof w:val="0"/>
          <w:color w:val="auto"/>
          <w:sz w:val="32"/>
          <w:szCs w:val="32"/>
          <w:rtl/>
          <w:lang w:eastAsia="en-US"/>
        </w:rPr>
        <w:t>،</w:t>
      </w:r>
      <w:r w:rsidRPr="00B436F9">
        <w:rPr>
          <w:rFonts w:ascii="Traditional Arabic" w:hAnsi="Traditional Arabic"/>
          <w:noProof w:val="0"/>
          <w:color w:val="auto"/>
          <w:sz w:val="32"/>
          <w:szCs w:val="32"/>
          <w:rtl/>
          <w:lang w:eastAsia="en-US"/>
        </w:rPr>
        <w:t xml:space="preserve"> فسأله عن ال</w:t>
      </w:r>
      <w:r w:rsidRPr="00B436F9">
        <w:rPr>
          <w:rFonts w:ascii="Traditional Arabic" w:hAnsi="Traditional Arabic" w:hint="cs"/>
          <w:noProof w:val="0"/>
          <w:color w:val="auto"/>
          <w:sz w:val="32"/>
          <w:szCs w:val="32"/>
          <w:rtl/>
          <w:lang w:eastAsia="en-US"/>
        </w:rPr>
        <w:t>ل</w:t>
      </w:r>
      <w:r w:rsidRPr="00B436F9">
        <w:rPr>
          <w:rFonts w:ascii="Traditional Arabic" w:hAnsi="Traditional Arabic"/>
          <w:noProof w:val="0"/>
          <w:color w:val="auto"/>
          <w:sz w:val="32"/>
          <w:szCs w:val="32"/>
          <w:rtl/>
          <w:lang w:eastAsia="en-US"/>
        </w:rPr>
        <w:t>قطة</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فقال</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اعرف</w:t>
      </w:r>
      <w:r>
        <w:rPr>
          <w:rFonts w:ascii="Traditional Arabic" w:hAnsi="Traditional Arabic" w:hint="cs"/>
          <w:noProof w:val="0"/>
          <w:color w:val="auto"/>
          <w:sz w:val="32"/>
          <w:szCs w:val="32"/>
          <w:rtl/>
          <w:lang w:eastAsia="en-US"/>
        </w:rPr>
        <w:t xml:space="preserve"> </w:t>
      </w:r>
      <w:r>
        <w:rPr>
          <w:rFonts w:ascii="Traditional Arabic" w:hAnsi="Traditional Arabic"/>
          <w:noProof w:val="0"/>
          <w:color w:val="auto"/>
          <w:sz w:val="32"/>
          <w:szCs w:val="32"/>
          <w:rtl/>
          <w:lang w:eastAsia="en-US"/>
        </w:rPr>
        <w:t>عِفَاصَه</w:t>
      </w:r>
      <w:r w:rsidRPr="00744544">
        <w:rPr>
          <w:rFonts w:ascii="Traditional Arabic" w:hAnsi="Traditional Arabic"/>
          <w:noProof w:val="0"/>
          <w:color w:val="auto"/>
          <w:sz w:val="32"/>
          <w:szCs w:val="32"/>
          <w:rtl/>
          <w:lang w:eastAsia="en-US"/>
        </w:rPr>
        <w:t>ا</w:t>
      </w:r>
      <w:r>
        <w:rPr>
          <w:rFonts w:ascii="Traditional Arabic" w:hAnsi="Traditional Arabic"/>
          <w:noProof w:val="0"/>
          <w:color w:val="auto"/>
          <w:sz w:val="32"/>
          <w:szCs w:val="32"/>
          <w:rtl/>
          <w:lang w:eastAsia="en-US"/>
        </w:rPr>
        <w:t xml:space="preserve"> وو</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كاءَه</w:t>
      </w:r>
      <w:r w:rsidRPr="00744544">
        <w:rPr>
          <w:rFonts w:ascii="Traditional Arabic" w:hAnsi="Traditional Arabic"/>
          <w:noProof w:val="0"/>
          <w:color w:val="auto"/>
          <w:sz w:val="32"/>
          <w:szCs w:val="32"/>
          <w:rtl/>
          <w:lang w:eastAsia="en-US"/>
        </w:rPr>
        <w:t>ا</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ثم عَرِّفْه</w:t>
      </w:r>
      <w:r w:rsidRPr="00744544">
        <w:rPr>
          <w:rFonts w:ascii="Traditional Arabic" w:hAnsi="Traditional Arabic"/>
          <w:noProof w:val="0"/>
          <w:color w:val="auto"/>
          <w:sz w:val="32"/>
          <w:szCs w:val="32"/>
          <w:rtl/>
          <w:lang w:eastAsia="en-US"/>
        </w:rPr>
        <w:t>ا سَنَةً</w:t>
      </w:r>
      <w:r>
        <w:rPr>
          <w:rFonts w:ascii="Traditional Arabic" w:hAnsi="Traditional Arabic" w:hint="cs"/>
          <w:noProof w:val="0"/>
          <w:color w:val="auto"/>
          <w:sz w:val="32"/>
          <w:szCs w:val="32"/>
          <w:rtl/>
          <w:lang w:eastAsia="en-US"/>
        </w:rPr>
        <w:t>،</w:t>
      </w:r>
      <w:r w:rsidR="00AB0B9E">
        <w:rPr>
          <w:rFonts w:ascii="Traditional Arabic" w:hAnsi="Traditional Arabic"/>
          <w:noProof w:val="0"/>
          <w:color w:val="auto"/>
          <w:sz w:val="32"/>
          <w:szCs w:val="32"/>
          <w:rtl/>
          <w:lang w:eastAsia="en-US"/>
        </w:rPr>
        <w:fldChar w:fldCharType="begin"/>
      </w:r>
      <w:r>
        <w:instrText xml:space="preserve"> XE "</w:instrText>
      </w:r>
      <w:r w:rsidRPr="00B1308F">
        <w:rPr>
          <w:rFonts w:ascii="Traditional Arabic" w:hAnsi="Traditional Arabic"/>
          <w:noProof w:val="0"/>
          <w:color w:val="auto"/>
          <w:sz w:val="32"/>
          <w:szCs w:val="32"/>
          <w:rtl/>
          <w:lang w:eastAsia="en-US"/>
        </w:rPr>
        <w:instrText>سأله عن ال</w:instrText>
      </w:r>
      <w:r w:rsidRPr="00B1308F">
        <w:rPr>
          <w:rFonts w:ascii="Traditional Arabic" w:hAnsi="Traditional Arabic" w:hint="cs"/>
          <w:noProof w:val="0"/>
          <w:color w:val="auto"/>
          <w:sz w:val="32"/>
          <w:szCs w:val="32"/>
          <w:rtl/>
          <w:lang w:eastAsia="en-US"/>
        </w:rPr>
        <w:instrText>ل</w:instrText>
      </w:r>
      <w:r w:rsidRPr="00B1308F">
        <w:rPr>
          <w:rFonts w:ascii="Traditional Arabic" w:hAnsi="Traditional Arabic"/>
          <w:noProof w:val="0"/>
          <w:color w:val="auto"/>
          <w:sz w:val="32"/>
          <w:szCs w:val="32"/>
          <w:rtl/>
          <w:lang w:eastAsia="en-US"/>
        </w:rPr>
        <w:instrText>قطة</w:instrText>
      </w:r>
      <w:r w:rsidRPr="00B1308F">
        <w:rPr>
          <w:rFonts w:ascii="Traditional Arabic" w:hAnsi="Traditional Arabic" w:hint="cs"/>
          <w:noProof w:val="0"/>
          <w:color w:val="auto"/>
          <w:sz w:val="32"/>
          <w:szCs w:val="32"/>
          <w:rtl/>
          <w:lang w:eastAsia="en-US"/>
        </w:rPr>
        <w:instrText>،</w:instrText>
      </w:r>
      <w:r w:rsidRPr="00B1308F">
        <w:rPr>
          <w:rFonts w:ascii="Traditional Arabic" w:hAnsi="Traditional Arabic"/>
          <w:noProof w:val="0"/>
          <w:color w:val="auto"/>
          <w:sz w:val="32"/>
          <w:szCs w:val="32"/>
          <w:rtl/>
          <w:lang w:eastAsia="en-US"/>
        </w:rPr>
        <w:instrText xml:space="preserve"> فقال</w:instrText>
      </w:r>
      <w:r w:rsidRPr="00B1308F">
        <w:instrText>\</w:instrText>
      </w:r>
      <w:r w:rsidRPr="00B1308F">
        <w:rPr>
          <w:rFonts w:ascii="Traditional Arabic" w:hAnsi="Traditional Arabic" w:hint="cs"/>
          <w:noProof w:val="0"/>
          <w:color w:val="auto"/>
          <w:sz w:val="32"/>
          <w:szCs w:val="32"/>
          <w:rtl/>
          <w:lang w:eastAsia="en-US"/>
        </w:rPr>
        <w:instrText>:</w:instrText>
      </w:r>
      <w:r w:rsidRPr="00B1308F">
        <w:rPr>
          <w:rFonts w:ascii="Traditional Arabic" w:hAnsi="Traditional Arabic"/>
          <w:noProof w:val="0"/>
          <w:color w:val="auto"/>
          <w:sz w:val="32"/>
          <w:szCs w:val="32"/>
          <w:rtl/>
          <w:lang w:eastAsia="en-US"/>
        </w:rPr>
        <w:instrText xml:space="preserve"> اعرف عِفَاصَها وو</w:instrText>
      </w:r>
      <w:r w:rsidRPr="00B1308F">
        <w:rPr>
          <w:rFonts w:ascii="Traditional Arabic" w:hAnsi="Traditional Arabic" w:hint="cs"/>
          <w:noProof w:val="0"/>
          <w:color w:val="auto"/>
          <w:sz w:val="32"/>
          <w:szCs w:val="32"/>
          <w:rtl/>
          <w:lang w:eastAsia="en-US"/>
        </w:rPr>
        <w:instrText>ِ</w:instrText>
      </w:r>
      <w:r w:rsidRPr="00B1308F">
        <w:rPr>
          <w:rFonts w:ascii="Traditional Arabic" w:hAnsi="Traditional Arabic"/>
          <w:noProof w:val="0"/>
          <w:color w:val="auto"/>
          <w:sz w:val="32"/>
          <w:szCs w:val="32"/>
          <w:rtl/>
          <w:lang w:eastAsia="en-US"/>
        </w:rPr>
        <w:instrText>كاءَها</w:instrText>
      </w:r>
      <w:r w:rsidRPr="00B1308F">
        <w:rPr>
          <w:rFonts w:ascii="Traditional Arabic" w:hAnsi="Traditional Arabic" w:hint="cs"/>
          <w:noProof w:val="0"/>
          <w:color w:val="auto"/>
          <w:sz w:val="32"/>
          <w:szCs w:val="32"/>
          <w:rtl/>
          <w:lang w:eastAsia="en-US"/>
        </w:rPr>
        <w:instrText>،</w:instrText>
      </w:r>
      <w:r w:rsidRPr="00B1308F">
        <w:rPr>
          <w:rFonts w:ascii="Traditional Arabic" w:hAnsi="Traditional Arabic"/>
          <w:noProof w:val="0"/>
          <w:color w:val="auto"/>
          <w:sz w:val="32"/>
          <w:szCs w:val="32"/>
          <w:rtl/>
          <w:lang w:eastAsia="en-US"/>
        </w:rPr>
        <w:instrText xml:space="preserve"> ثم عَرِّفْها سَنَةً</w:instrText>
      </w:r>
      <w:r w:rsidRPr="00B1308F">
        <w:rPr>
          <w:rFonts w:ascii="Traditional Arabic" w:hAnsi="Traditional Arabic" w:hint="cs"/>
          <w:noProof w:val="0"/>
          <w:color w:val="auto"/>
          <w:sz w:val="32"/>
          <w:szCs w:val="32"/>
          <w:rtl/>
          <w:lang w:eastAsia="en-US"/>
        </w:rPr>
        <w:instrText>،</w:instrText>
      </w:r>
      <w:r>
        <w:instrText>" \fh</w:instrText>
      </w:r>
      <w:r w:rsidR="00AB0B9E">
        <w:rPr>
          <w:rFonts w:ascii="Traditional Arabic" w:hAnsi="Traditional Arabic"/>
          <w:noProof w:val="0"/>
          <w:color w:val="auto"/>
          <w:sz w:val="32"/>
          <w:szCs w:val="32"/>
          <w:rtl/>
          <w:lang w:eastAsia="en-US"/>
        </w:rPr>
        <w:fldChar w:fldCharType="end"/>
      </w:r>
      <w:r>
        <w:rPr>
          <w:rFonts w:ascii="Traditional Arabic" w:hAnsi="Traditional Arabic"/>
          <w:noProof w:val="0"/>
          <w:color w:val="auto"/>
          <w:sz w:val="32"/>
          <w:szCs w:val="32"/>
          <w:rtl/>
          <w:lang w:eastAsia="en-US"/>
        </w:rPr>
        <w:t xml:space="preserve"> فإن جاء صاحِبُه</w:t>
      </w:r>
      <w:r w:rsidRPr="00744544">
        <w:rPr>
          <w:rFonts w:ascii="Traditional Arabic" w:hAnsi="Traditional Arabic"/>
          <w:noProof w:val="0"/>
          <w:color w:val="auto"/>
          <w:sz w:val="32"/>
          <w:szCs w:val="32"/>
          <w:rtl/>
          <w:lang w:eastAsia="en-US"/>
        </w:rPr>
        <w:t>ا</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وإلا فشأْ</w:t>
      </w:r>
      <w:r>
        <w:rPr>
          <w:rFonts w:ascii="Traditional Arabic" w:hAnsi="Traditional Arabic" w:hint="cs"/>
          <w:noProof w:val="0"/>
          <w:color w:val="auto"/>
          <w:sz w:val="32"/>
          <w:szCs w:val="32"/>
          <w:rtl/>
          <w:lang w:eastAsia="en-US"/>
        </w:rPr>
        <w:t>نك به</w:t>
      </w:r>
      <w:r w:rsidRPr="00744544">
        <w:rPr>
          <w:rFonts w:ascii="Traditional Arabic" w:hAnsi="Traditional Arabic"/>
          <w:noProof w:val="0"/>
          <w:color w:val="auto"/>
          <w:sz w:val="32"/>
          <w:szCs w:val="32"/>
          <w:rtl/>
          <w:lang w:eastAsia="en-US"/>
        </w:rPr>
        <w:t>ا</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ق</w:t>
      </w:r>
      <w:r>
        <w:rPr>
          <w:rFonts w:ascii="Traditional Arabic" w:hAnsi="Traditional Arabic" w:hint="cs"/>
          <w:noProof w:val="0"/>
          <w:color w:val="auto"/>
          <w:sz w:val="32"/>
          <w:szCs w:val="32"/>
          <w:rtl/>
          <w:lang w:eastAsia="en-US"/>
        </w:rPr>
        <w:t>ا</w:t>
      </w:r>
      <w:r>
        <w:rPr>
          <w:rFonts w:ascii="Traditional Arabic" w:hAnsi="Traditional Arabic"/>
          <w:noProof w:val="0"/>
          <w:color w:val="auto"/>
          <w:sz w:val="32"/>
          <w:szCs w:val="32"/>
          <w:rtl/>
          <w:lang w:eastAsia="en-US"/>
        </w:rPr>
        <w:t>ل</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فَضَالَّةُ الغن</w:t>
      </w:r>
      <w:r w:rsidRPr="00744544">
        <w:rPr>
          <w:rFonts w:ascii="Traditional Arabic" w:hAnsi="Traditional Arabic"/>
          <w:noProof w:val="0"/>
          <w:color w:val="auto"/>
          <w:sz w:val="32"/>
          <w:szCs w:val="32"/>
          <w:rtl/>
          <w:lang w:eastAsia="en-US"/>
        </w:rPr>
        <w:t>مِ</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ق</w:t>
      </w:r>
      <w:r>
        <w:rPr>
          <w:rFonts w:ascii="Traditional Arabic" w:hAnsi="Traditional Arabic" w:hint="cs"/>
          <w:noProof w:val="0"/>
          <w:color w:val="auto"/>
          <w:sz w:val="32"/>
          <w:szCs w:val="32"/>
          <w:rtl/>
          <w:lang w:eastAsia="en-US"/>
        </w:rPr>
        <w:t>ا</w:t>
      </w:r>
      <w:r>
        <w:rPr>
          <w:rFonts w:ascii="Traditional Arabic" w:hAnsi="Traditional Arabic"/>
          <w:noProof w:val="0"/>
          <w:color w:val="auto"/>
          <w:sz w:val="32"/>
          <w:szCs w:val="32"/>
          <w:rtl/>
          <w:lang w:eastAsia="en-US"/>
        </w:rPr>
        <w:t>ل</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هي لك أو لأخيك أو للذئب</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قال</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فضالَّةُ الإب</w:t>
      </w:r>
      <w:r w:rsidRPr="00744544">
        <w:rPr>
          <w:rFonts w:ascii="Traditional Arabic" w:hAnsi="Traditional Arabic"/>
          <w:noProof w:val="0"/>
          <w:color w:val="auto"/>
          <w:sz w:val="32"/>
          <w:szCs w:val="32"/>
          <w:rtl/>
          <w:lang w:eastAsia="en-US"/>
        </w:rPr>
        <w:t>ل</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ق</w:t>
      </w:r>
      <w:r>
        <w:rPr>
          <w:rFonts w:ascii="Traditional Arabic" w:hAnsi="Traditional Arabic" w:hint="cs"/>
          <w:noProof w:val="0"/>
          <w:color w:val="auto"/>
          <w:sz w:val="32"/>
          <w:szCs w:val="32"/>
          <w:rtl/>
          <w:lang w:eastAsia="en-US"/>
        </w:rPr>
        <w:t>ا</w:t>
      </w:r>
      <w:r w:rsidRPr="00744544">
        <w:rPr>
          <w:rFonts w:ascii="Traditional Arabic" w:hAnsi="Traditional Arabic"/>
          <w:noProof w:val="0"/>
          <w:color w:val="auto"/>
          <w:sz w:val="32"/>
          <w:szCs w:val="32"/>
          <w:rtl/>
          <w:lang w:eastAsia="en-US"/>
        </w:rPr>
        <w:t>ل</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ما لك ول</w:t>
      </w:r>
      <w:r>
        <w:rPr>
          <w:rFonts w:ascii="Traditional Arabic" w:hAnsi="Traditional Arabic" w:hint="cs"/>
          <w:noProof w:val="0"/>
          <w:color w:val="auto"/>
          <w:sz w:val="32"/>
          <w:szCs w:val="32"/>
          <w:rtl/>
          <w:lang w:eastAsia="en-US"/>
        </w:rPr>
        <w:t>ها،</w:t>
      </w:r>
      <w:r>
        <w:rPr>
          <w:rFonts w:ascii="Traditional Arabic" w:hAnsi="Traditional Arabic"/>
          <w:noProof w:val="0"/>
          <w:color w:val="auto"/>
          <w:sz w:val="32"/>
          <w:szCs w:val="32"/>
          <w:rtl/>
          <w:lang w:eastAsia="en-US"/>
        </w:rPr>
        <w:t xml:space="preserve"> معها سقاؤه</w:t>
      </w:r>
      <w:r w:rsidRPr="00744544">
        <w:rPr>
          <w:rFonts w:ascii="Traditional Arabic" w:hAnsi="Traditional Arabic"/>
          <w:noProof w:val="0"/>
          <w:color w:val="auto"/>
          <w:sz w:val="32"/>
          <w:szCs w:val="32"/>
          <w:rtl/>
          <w:lang w:eastAsia="en-US"/>
        </w:rPr>
        <w:t>ا</w:t>
      </w: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و</w:t>
      </w:r>
      <w:r w:rsidRPr="00744544">
        <w:rPr>
          <w:rFonts w:ascii="Traditional Arabic" w:hAnsi="Traditional Arabic"/>
          <w:noProof w:val="0"/>
          <w:sz w:val="32"/>
          <w:szCs w:val="32"/>
          <w:rtl/>
          <w:lang w:eastAsia="en-US"/>
        </w:rPr>
        <w:t>حِذَاؤُهَا</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 تَرِدُ ا</w:t>
      </w:r>
      <w:r>
        <w:rPr>
          <w:rFonts w:ascii="Traditional Arabic" w:hAnsi="Traditional Arabic" w:hint="cs"/>
          <w:noProof w:val="0"/>
          <w:sz w:val="32"/>
          <w:szCs w:val="32"/>
          <w:rtl/>
          <w:lang w:eastAsia="en-US"/>
        </w:rPr>
        <w:t>لماءَ</w:t>
      </w:r>
      <w:r>
        <w:rPr>
          <w:rFonts w:ascii="Traditional Arabic" w:hAnsi="Traditional Arabic"/>
          <w:noProof w:val="0"/>
          <w:sz w:val="32"/>
          <w:szCs w:val="32"/>
          <w:rtl/>
          <w:lang w:eastAsia="en-US"/>
        </w:rPr>
        <w:t xml:space="preserve"> وتأكل الشجر حتى يلقاها ر</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بُّهَ</w:t>
      </w:r>
      <w:r>
        <w:rPr>
          <w:rFonts w:ascii="Traditional Arabic" w:hAnsi="Traditional Arabic" w:hint="cs"/>
          <w:noProof w:val="0"/>
          <w:sz w:val="32"/>
          <w:szCs w:val="32"/>
          <w:rtl/>
          <w:lang w:eastAsia="en-US"/>
        </w:rPr>
        <w:t>ا</w:t>
      </w:r>
      <w:r w:rsidRPr="00744544">
        <w:rPr>
          <w:rFonts w:ascii="Tahoma" w:hAnsi="Tahoma" w:hint="cs"/>
          <w:sz w:val="32"/>
          <w:szCs w:val="32"/>
          <w:rtl/>
        </w:rPr>
        <w:t>.</w:t>
      </w:r>
      <w:r>
        <w:rPr>
          <w:rFonts w:ascii="Tahoma" w:hAnsi="Tahoma" w:hint="cs"/>
          <w:sz w:val="32"/>
          <w:szCs w:val="32"/>
          <w:rtl/>
        </w:rPr>
        <w:t xml:space="preserve"> أخرجه البخاري في كتاب المساقاة، باب شرب الناس والدواب من الأنهار، رقم الحديث (2372).</w:t>
      </w:r>
    </w:p>
  </w:footnote>
  <w:footnote w:id="1076">
    <w:p w:rsidR="000D3D21" w:rsidRPr="006633A1" w:rsidRDefault="000D3D21" w:rsidP="004347BB">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color w:val="auto"/>
          <w:sz w:val="32"/>
          <w:szCs w:val="32"/>
          <w:rtl/>
        </w:rPr>
        <w:t xml:space="preserve"> </w:t>
      </w:r>
      <w:r w:rsidRPr="00B436F9">
        <w:rPr>
          <w:rFonts w:ascii="Tahoma" w:hAnsi="Tahoma" w:hint="cs"/>
          <w:color w:val="auto"/>
          <w:sz w:val="32"/>
          <w:szCs w:val="32"/>
          <w:rtl/>
        </w:rPr>
        <w:t>انظر الشرح الممتع (362-363)</w:t>
      </w:r>
      <w:r>
        <w:rPr>
          <w:rFonts w:ascii="Tahoma" w:hAnsi="Tahoma" w:hint="cs"/>
          <w:color w:val="auto"/>
          <w:sz w:val="32"/>
          <w:szCs w:val="32"/>
          <w:rtl/>
        </w:rPr>
        <w:t>.</w:t>
      </w:r>
    </w:p>
  </w:footnote>
  <w:footnote w:id="1077">
    <w:p w:rsidR="000D3D21" w:rsidRPr="00F66B89" w:rsidRDefault="000D3D21" w:rsidP="004347BB">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F66B89">
        <w:rPr>
          <w:rFonts w:ascii="Tahoma" w:hAnsi="Tahoma" w:hint="cs"/>
          <w:sz w:val="32"/>
          <w:szCs w:val="32"/>
          <w:rtl/>
        </w:rPr>
        <w:t>انظر الشرح الممتع (9/167، 168)،</w:t>
      </w:r>
      <w:r>
        <w:rPr>
          <w:rFonts w:ascii="Tahoma" w:hAnsi="Tahoma" w:hint="cs"/>
          <w:sz w:val="32"/>
          <w:szCs w:val="32"/>
          <w:rtl/>
        </w:rPr>
        <w:t xml:space="preserve"> و</w:t>
      </w:r>
      <w:r w:rsidRPr="00F66B89">
        <w:rPr>
          <w:rFonts w:ascii="Tahoma" w:hAnsi="Tahoma" w:hint="cs"/>
          <w:sz w:val="32"/>
          <w:szCs w:val="32"/>
          <w:rtl/>
        </w:rPr>
        <w:t>(10/304).</w:t>
      </w:r>
    </w:p>
  </w:footnote>
  <w:footnote w:id="1078">
    <w:p w:rsidR="000D3D21" w:rsidRPr="00F66B89" w:rsidRDefault="000D3D21" w:rsidP="004347BB">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F66B89">
        <w:rPr>
          <w:rFonts w:ascii="Tahoma" w:hAnsi="Tahoma" w:hint="cs"/>
          <w:sz w:val="32"/>
          <w:szCs w:val="32"/>
          <w:rtl/>
        </w:rPr>
        <w:t>انظر شرح القواعد الفقهية للزرقا (93)</w:t>
      </w:r>
      <w:r>
        <w:rPr>
          <w:rFonts w:ascii="Tahoma" w:hAnsi="Tahoma" w:hint="cs"/>
          <w:sz w:val="32"/>
          <w:szCs w:val="32"/>
          <w:rtl/>
        </w:rPr>
        <w:t>، والوجيز للبورنو (178)</w:t>
      </w:r>
      <w:r w:rsidRPr="00F66B89">
        <w:rPr>
          <w:rFonts w:ascii="Tahoma" w:hAnsi="Tahoma" w:hint="cs"/>
          <w:sz w:val="32"/>
          <w:szCs w:val="32"/>
          <w:rtl/>
        </w:rPr>
        <w:t>.</w:t>
      </w:r>
    </w:p>
  </w:footnote>
  <w:footnote w:id="1079">
    <w:p w:rsidR="000D3D21" w:rsidRPr="006D2E97" w:rsidRDefault="000D3D21" w:rsidP="00B07589">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D2E97">
        <w:rPr>
          <w:rFonts w:hint="cs"/>
          <w:sz w:val="32"/>
          <w:szCs w:val="32"/>
          <w:rtl/>
        </w:rPr>
        <w:t>الشرح الممتع (1/</w:t>
      </w:r>
      <w:r>
        <w:rPr>
          <w:rFonts w:hint="cs"/>
          <w:sz w:val="32"/>
          <w:szCs w:val="32"/>
          <w:rtl/>
        </w:rPr>
        <w:t xml:space="preserve">265، </w:t>
      </w:r>
      <w:r w:rsidRPr="006D2E97">
        <w:rPr>
          <w:rFonts w:hint="cs"/>
          <w:sz w:val="32"/>
          <w:szCs w:val="32"/>
          <w:rtl/>
        </w:rPr>
        <w:t>329)،</w:t>
      </w:r>
      <w:r>
        <w:rPr>
          <w:rFonts w:hint="cs"/>
          <w:sz w:val="32"/>
          <w:szCs w:val="32"/>
          <w:rtl/>
        </w:rPr>
        <w:t xml:space="preserve"> و</w:t>
      </w:r>
      <w:r w:rsidRPr="006D2E97">
        <w:rPr>
          <w:rFonts w:hint="cs"/>
          <w:sz w:val="32"/>
          <w:szCs w:val="32"/>
          <w:rtl/>
        </w:rPr>
        <w:t>(2/131، 158-159)،</w:t>
      </w:r>
      <w:r>
        <w:rPr>
          <w:rFonts w:hint="cs"/>
          <w:sz w:val="32"/>
          <w:szCs w:val="32"/>
          <w:rtl/>
        </w:rPr>
        <w:t xml:space="preserve"> و</w:t>
      </w:r>
      <w:r w:rsidRPr="006D2E97">
        <w:rPr>
          <w:rFonts w:hint="cs"/>
          <w:sz w:val="32"/>
          <w:szCs w:val="32"/>
          <w:rtl/>
        </w:rPr>
        <w:t>(3/277،311-312)،</w:t>
      </w:r>
      <w:r>
        <w:rPr>
          <w:rFonts w:hint="cs"/>
          <w:sz w:val="32"/>
          <w:szCs w:val="32"/>
          <w:rtl/>
        </w:rPr>
        <w:t xml:space="preserve"> و</w:t>
      </w:r>
      <w:r w:rsidRPr="006D2E97">
        <w:rPr>
          <w:rFonts w:hint="cs"/>
          <w:sz w:val="32"/>
          <w:szCs w:val="32"/>
          <w:rtl/>
        </w:rPr>
        <w:t>(4/140)،</w:t>
      </w:r>
      <w:r>
        <w:rPr>
          <w:rFonts w:hint="cs"/>
          <w:sz w:val="32"/>
          <w:szCs w:val="32"/>
          <w:rtl/>
        </w:rPr>
        <w:t xml:space="preserve"> و</w:t>
      </w:r>
      <w:r w:rsidRPr="006D2E97">
        <w:rPr>
          <w:rFonts w:hint="cs"/>
          <w:sz w:val="32"/>
          <w:szCs w:val="32"/>
          <w:rtl/>
        </w:rPr>
        <w:t>(5/6)،</w:t>
      </w:r>
      <w:r>
        <w:rPr>
          <w:rFonts w:hint="cs"/>
          <w:sz w:val="32"/>
          <w:szCs w:val="32"/>
          <w:rtl/>
        </w:rPr>
        <w:t xml:space="preserve"> و</w:t>
      </w:r>
      <w:r w:rsidRPr="006D2E97">
        <w:rPr>
          <w:rFonts w:hint="cs"/>
          <w:sz w:val="32"/>
          <w:szCs w:val="32"/>
          <w:rtl/>
        </w:rPr>
        <w:t>(6/87، 389، 411)،</w:t>
      </w:r>
      <w:r>
        <w:rPr>
          <w:rFonts w:hint="cs"/>
          <w:sz w:val="32"/>
          <w:szCs w:val="32"/>
          <w:rtl/>
        </w:rPr>
        <w:t xml:space="preserve"> و</w:t>
      </w:r>
      <w:r w:rsidRPr="006D2E97">
        <w:rPr>
          <w:rFonts w:hint="cs"/>
          <w:sz w:val="32"/>
          <w:szCs w:val="32"/>
          <w:rtl/>
        </w:rPr>
        <w:t>(7/155، 184، 222، 308)،</w:t>
      </w:r>
      <w:r>
        <w:rPr>
          <w:rFonts w:hint="cs"/>
          <w:sz w:val="32"/>
          <w:szCs w:val="32"/>
          <w:rtl/>
        </w:rPr>
        <w:t xml:space="preserve"> و</w:t>
      </w:r>
      <w:r w:rsidRPr="006D2E97">
        <w:rPr>
          <w:rFonts w:hint="cs"/>
          <w:sz w:val="32"/>
          <w:szCs w:val="32"/>
          <w:rtl/>
        </w:rPr>
        <w:t>(9/387)،</w:t>
      </w:r>
      <w:r>
        <w:rPr>
          <w:rFonts w:hint="cs"/>
          <w:sz w:val="32"/>
          <w:szCs w:val="32"/>
          <w:rtl/>
        </w:rPr>
        <w:t xml:space="preserve"> و(12/297)، </w:t>
      </w:r>
      <w:r w:rsidRPr="006D2E97">
        <w:rPr>
          <w:rFonts w:hint="cs"/>
          <w:sz w:val="32"/>
          <w:szCs w:val="32"/>
          <w:rtl/>
        </w:rPr>
        <w:t>وفتح ذي الجلال</w:t>
      </w:r>
      <w:r>
        <w:rPr>
          <w:rFonts w:hint="cs"/>
          <w:sz w:val="32"/>
          <w:szCs w:val="32"/>
          <w:rtl/>
        </w:rPr>
        <w:t xml:space="preserve"> و</w:t>
      </w:r>
      <w:r w:rsidRPr="006D2E97">
        <w:rPr>
          <w:rFonts w:hint="cs"/>
          <w:sz w:val="32"/>
          <w:szCs w:val="32"/>
          <w:rtl/>
        </w:rPr>
        <w:t>الإكرام (3/71)،</w:t>
      </w:r>
      <w:r>
        <w:rPr>
          <w:rFonts w:hint="cs"/>
          <w:sz w:val="32"/>
          <w:szCs w:val="32"/>
          <w:rtl/>
        </w:rPr>
        <w:t xml:space="preserve"> و</w:t>
      </w:r>
      <w:r w:rsidRPr="006D2E97">
        <w:rPr>
          <w:rFonts w:hint="cs"/>
          <w:sz w:val="32"/>
          <w:szCs w:val="32"/>
          <w:rtl/>
        </w:rPr>
        <w:t>شرح</w:t>
      </w:r>
      <w:r>
        <w:rPr>
          <w:rFonts w:hint="cs"/>
          <w:sz w:val="32"/>
          <w:szCs w:val="32"/>
          <w:rtl/>
        </w:rPr>
        <w:t xml:space="preserve"> </w:t>
      </w:r>
      <w:r w:rsidRPr="006D2E97">
        <w:rPr>
          <w:rFonts w:hint="cs"/>
          <w:sz w:val="32"/>
          <w:szCs w:val="32"/>
          <w:rtl/>
        </w:rPr>
        <w:t xml:space="preserve">منظومة </w:t>
      </w:r>
      <w:r>
        <w:rPr>
          <w:rFonts w:hint="cs"/>
          <w:sz w:val="32"/>
          <w:szCs w:val="32"/>
          <w:rtl/>
        </w:rPr>
        <w:t xml:space="preserve">أصول الفقه وقواعده </w:t>
      </w:r>
      <w:r w:rsidRPr="006D2E97">
        <w:rPr>
          <w:rFonts w:hint="cs"/>
          <w:sz w:val="32"/>
          <w:szCs w:val="32"/>
          <w:rtl/>
        </w:rPr>
        <w:t>(67، 68،116)،</w:t>
      </w:r>
      <w:r>
        <w:rPr>
          <w:rFonts w:hint="cs"/>
          <w:sz w:val="32"/>
          <w:szCs w:val="32"/>
          <w:rtl/>
        </w:rPr>
        <w:t xml:space="preserve"> و</w:t>
      </w:r>
      <w:r w:rsidRPr="006D2E97">
        <w:rPr>
          <w:rFonts w:hint="cs"/>
          <w:sz w:val="32"/>
          <w:szCs w:val="32"/>
          <w:rtl/>
        </w:rPr>
        <w:t>فقه العبادات (220)،</w:t>
      </w:r>
      <w:r>
        <w:rPr>
          <w:rFonts w:hint="cs"/>
          <w:sz w:val="32"/>
          <w:szCs w:val="32"/>
          <w:rtl/>
        </w:rPr>
        <w:t xml:space="preserve"> و</w:t>
      </w:r>
      <w:r w:rsidRPr="006D2E97">
        <w:rPr>
          <w:rFonts w:hint="cs"/>
          <w:sz w:val="32"/>
          <w:szCs w:val="32"/>
          <w:rtl/>
        </w:rPr>
        <w:t>مجموع فتاوى</w:t>
      </w:r>
      <w:r>
        <w:rPr>
          <w:rFonts w:hint="cs"/>
          <w:sz w:val="32"/>
          <w:szCs w:val="32"/>
          <w:rtl/>
        </w:rPr>
        <w:t xml:space="preserve"> و</w:t>
      </w:r>
      <w:r w:rsidRPr="006D2E97">
        <w:rPr>
          <w:rFonts w:hint="cs"/>
          <w:sz w:val="32"/>
          <w:szCs w:val="32"/>
          <w:rtl/>
        </w:rPr>
        <w:t>رسائل ابن عثيمين (11/310)،</w:t>
      </w:r>
      <w:r>
        <w:rPr>
          <w:rFonts w:hint="cs"/>
          <w:sz w:val="32"/>
          <w:szCs w:val="32"/>
          <w:rtl/>
        </w:rPr>
        <w:t xml:space="preserve"> و</w:t>
      </w:r>
      <w:r w:rsidRPr="006D2E97">
        <w:rPr>
          <w:rFonts w:hint="cs"/>
          <w:sz w:val="32"/>
          <w:szCs w:val="32"/>
          <w:rtl/>
        </w:rPr>
        <w:t xml:space="preserve">(19/104، 377)، </w:t>
      </w:r>
      <w:r>
        <w:rPr>
          <w:rFonts w:hint="cs"/>
          <w:sz w:val="32"/>
          <w:szCs w:val="32"/>
          <w:rtl/>
        </w:rPr>
        <w:t>و</w:t>
      </w:r>
      <w:r w:rsidRPr="006D2E97">
        <w:rPr>
          <w:rFonts w:hint="cs"/>
          <w:sz w:val="32"/>
          <w:szCs w:val="32"/>
          <w:rtl/>
        </w:rPr>
        <w:t xml:space="preserve">التفسير الثمين (6/468)، </w:t>
      </w:r>
      <w:r>
        <w:rPr>
          <w:rFonts w:hint="cs"/>
          <w:sz w:val="32"/>
          <w:szCs w:val="32"/>
          <w:rtl/>
        </w:rPr>
        <w:t>وأحكام من القرآن الكريم (2/482)، و</w:t>
      </w:r>
      <w:r w:rsidRPr="006D2E97">
        <w:rPr>
          <w:rFonts w:hint="cs"/>
          <w:sz w:val="32"/>
          <w:szCs w:val="32"/>
          <w:rtl/>
        </w:rPr>
        <w:t>شرح رياض الصالحين (2/504).</w:t>
      </w:r>
    </w:p>
  </w:footnote>
  <w:footnote w:id="1080">
    <w:p w:rsidR="000D3D21" w:rsidRPr="006D2E97" w:rsidRDefault="000D3D21" w:rsidP="00B07589">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D2E97">
        <w:rPr>
          <w:rFonts w:ascii="Tahoma" w:hAnsi="Tahoma" w:hint="cs"/>
          <w:sz w:val="32"/>
          <w:szCs w:val="32"/>
          <w:rtl/>
        </w:rPr>
        <w:t>انظر لمزيد من ا</w:t>
      </w:r>
      <w:r>
        <w:rPr>
          <w:rFonts w:ascii="Tahoma" w:hAnsi="Tahoma" w:hint="cs"/>
          <w:sz w:val="32"/>
          <w:szCs w:val="32"/>
          <w:rtl/>
        </w:rPr>
        <w:t>لتوسع في صيغ القاعدة</w:t>
      </w:r>
      <w:r w:rsidRPr="006D2E97">
        <w:rPr>
          <w:rFonts w:ascii="Tahoma" w:hAnsi="Tahoma" w:hint="cs"/>
          <w:sz w:val="32"/>
          <w:szCs w:val="32"/>
          <w:rtl/>
        </w:rPr>
        <w:t>:</w:t>
      </w:r>
      <w:r>
        <w:rPr>
          <w:rFonts w:ascii="Tahoma" w:hAnsi="Tahoma" w:hint="cs"/>
          <w:sz w:val="32"/>
          <w:szCs w:val="32"/>
          <w:rtl/>
        </w:rPr>
        <w:t xml:space="preserve"> </w:t>
      </w:r>
      <w:r w:rsidRPr="006D2E97">
        <w:rPr>
          <w:rFonts w:ascii="Tahoma" w:hAnsi="Tahoma" w:hint="cs"/>
          <w:sz w:val="32"/>
          <w:szCs w:val="32"/>
          <w:rtl/>
        </w:rPr>
        <w:t>موسوعة القواعد</w:t>
      </w:r>
      <w:r>
        <w:rPr>
          <w:rFonts w:ascii="Tahoma" w:hAnsi="Tahoma" w:hint="cs"/>
          <w:sz w:val="32"/>
          <w:szCs w:val="32"/>
          <w:rtl/>
        </w:rPr>
        <w:t xml:space="preserve"> و</w:t>
      </w:r>
      <w:r w:rsidRPr="006D2E97">
        <w:rPr>
          <w:rFonts w:ascii="Tahoma" w:hAnsi="Tahoma" w:hint="cs"/>
          <w:sz w:val="32"/>
          <w:szCs w:val="32"/>
          <w:rtl/>
        </w:rPr>
        <w:t xml:space="preserve">الضوابط </w:t>
      </w:r>
      <w:r>
        <w:rPr>
          <w:rFonts w:ascii="Tahoma" w:hAnsi="Tahoma" w:hint="cs"/>
          <w:sz w:val="32"/>
          <w:szCs w:val="32"/>
          <w:rtl/>
        </w:rPr>
        <w:t xml:space="preserve">للندوي </w:t>
      </w:r>
      <w:r w:rsidRPr="006D2E97">
        <w:rPr>
          <w:rFonts w:ascii="Tahoma" w:hAnsi="Tahoma" w:hint="cs"/>
          <w:sz w:val="32"/>
          <w:szCs w:val="32"/>
          <w:rtl/>
        </w:rPr>
        <w:t>(1/163)ا،</w:t>
      </w:r>
      <w:r>
        <w:rPr>
          <w:rFonts w:ascii="Tahoma" w:hAnsi="Tahoma" w:hint="cs"/>
          <w:sz w:val="32"/>
          <w:szCs w:val="32"/>
          <w:rtl/>
        </w:rPr>
        <w:t xml:space="preserve"> و</w:t>
      </w:r>
      <w:r w:rsidRPr="006D2E97">
        <w:rPr>
          <w:rFonts w:ascii="Tahoma" w:hAnsi="Tahoma" w:hint="cs"/>
          <w:sz w:val="32"/>
          <w:szCs w:val="32"/>
          <w:rtl/>
        </w:rPr>
        <w:t xml:space="preserve">لأصل </w:t>
      </w:r>
      <w:r>
        <w:rPr>
          <w:rFonts w:ascii="Tahoma" w:hAnsi="Tahoma" w:hint="cs"/>
          <w:sz w:val="32"/>
          <w:szCs w:val="32"/>
          <w:rtl/>
        </w:rPr>
        <w:t>و</w:t>
      </w:r>
      <w:r w:rsidRPr="006D2E97">
        <w:rPr>
          <w:rFonts w:ascii="Tahoma" w:hAnsi="Tahoma" w:hint="cs"/>
          <w:sz w:val="32"/>
          <w:szCs w:val="32"/>
          <w:rtl/>
        </w:rPr>
        <w:t>الظاهر في القواعد الفقهية (551-552).</w:t>
      </w:r>
    </w:p>
  </w:footnote>
  <w:footnote w:id="1081">
    <w:p w:rsidR="000D3D21" w:rsidRPr="006D2E97" w:rsidRDefault="000D3D21" w:rsidP="00B07589">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hint="cs"/>
          <w:sz w:val="32"/>
          <w:szCs w:val="32"/>
          <w:rtl/>
        </w:rPr>
        <w:t xml:space="preserve"> </w:t>
      </w:r>
      <w:r w:rsidRPr="006D2E97">
        <w:rPr>
          <w:rFonts w:hint="cs"/>
          <w:sz w:val="32"/>
          <w:szCs w:val="32"/>
          <w:rtl/>
        </w:rPr>
        <w:t>الأشباه</w:t>
      </w:r>
      <w:r>
        <w:rPr>
          <w:rFonts w:hint="cs"/>
          <w:sz w:val="32"/>
          <w:szCs w:val="32"/>
          <w:rtl/>
        </w:rPr>
        <w:t xml:space="preserve"> و</w:t>
      </w:r>
      <w:r w:rsidRPr="006D2E97">
        <w:rPr>
          <w:rFonts w:hint="cs"/>
          <w:sz w:val="32"/>
          <w:szCs w:val="32"/>
          <w:rtl/>
        </w:rPr>
        <w:t>النظائر لابن نجيم (64)، ومجلة الأحكام العدلية (</w:t>
      </w:r>
      <w:r>
        <w:rPr>
          <w:rFonts w:hint="cs"/>
          <w:sz w:val="32"/>
          <w:szCs w:val="32"/>
          <w:rtl/>
        </w:rPr>
        <w:t>ال</w:t>
      </w:r>
      <w:r w:rsidRPr="006D2E97">
        <w:rPr>
          <w:rFonts w:hint="cs"/>
          <w:sz w:val="32"/>
          <w:szCs w:val="32"/>
          <w:rtl/>
        </w:rPr>
        <w:t>م</w:t>
      </w:r>
      <w:r>
        <w:rPr>
          <w:rFonts w:hint="cs"/>
          <w:sz w:val="32"/>
          <w:szCs w:val="32"/>
          <w:rtl/>
        </w:rPr>
        <w:t>ادة</w:t>
      </w:r>
      <w:r w:rsidRPr="006D2E97">
        <w:rPr>
          <w:rFonts w:hint="cs"/>
          <w:sz w:val="32"/>
          <w:szCs w:val="32"/>
          <w:rtl/>
        </w:rPr>
        <w:t>:</w:t>
      </w:r>
      <w:r>
        <w:rPr>
          <w:rFonts w:hint="cs"/>
          <w:sz w:val="32"/>
          <w:szCs w:val="32"/>
          <w:rtl/>
        </w:rPr>
        <w:t xml:space="preserve"> </w:t>
      </w:r>
      <w:r w:rsidRPr="006D2E97">
        <w:rPr>
          <w:rFonts w:hint="cs"/>
          <w:sz w:val="32"/>
          <w:szCs w:val="32"/>
          <w:rtl/>
        </w:rPr>
        <w:t>8)،</w:t>
      </w:r>
      <w:r>
        <w:rPr>
          <w:rFonts w:hint="cs"/>
          <w:sz w:val="32"/>
          <w:szCs w:val="32"/>
          <w:rtl/>
        </w:rPr>
        <w:t xml:space="preserve"> و</w:t>
      </w:r>
      <w:r w:rsidRPr="006D2E97">
        <w:rPr>
          <w:rFonts w:hint="cs"/>
          <w:sz w:val="32"/>
          <w:szCs w:val="32"/>
          <w:rtl/>
        </w:rPr>
        <w:t>الفروق للقرافي (3/41)،</w:t>
      </w:r>
      <w:r>
        <w:rPr>
          <w:rFonts w:hint="cs"/>
          <w:sz w:val="32"/>
          <w:szCs w:val="32"/>
          <w:rtl/>
        </w:rPr>
        <w:t xml:space="preserve"> والمنثور للزركشي</w:t>
      </w:r>
      <w:r w:rsidRPr="006D2E97">
        <w:rPr>
          <w:rFonts w:hint="cs"/>
          <w:sz w:val="32"/>
          <w:szCs w:val="32"/>
          <w:rtl/>
        </w:rPr>
        <w:t xml:space="preserve"> (1/318)، والأشباه</w:t>
      </w:r>
      <w:r>
        <w:rPr>
          <w:rFonts w:hint="cs"/>
          <w:sz w:val="32"/>
          <w:szCs w:val="32"/>
          <w:rtl/>
        </w:rPr>
        <w:t xml:space="preserve"> و</w:t>
      </w:r>
      <w:r w:rsidRPr="006D2E97">
        <w:rPr>
          <w:rFonts w:hint="cs"/>
          <w:sz w:val="32"/>
          <w:szCs w:val="32"/>
          <w:rtl/>
        </w:rPr>
        <w:t>النظائر للسيوطي (53)،</w:t>
      </w:r>
      <w:r>
        <w:rPr>
          <w:rFonts w:hint="cs"/>
          <w:sz w:val="32"/>
          <w:szCs w:val="32"/>
          <w:rtl/>
        </w:rPr>
        <w:t xml:space="preserve"> وتقرير ال</w:t>
      </w:r>
      <w:r w:rsidRPr="006D2E97">
        <w:rPr>
          <w:rFonts w:hint="cs"/>
          <w:sz w:val="32"/>
          <w:szCs w:val="32"/>
          <w:rtl/>
        </w:rPr>
        <w:t xml:space="preserve">قواعد </w:t>
      </w:r>
      <w:r>
        <w:rPr>
          <w:rFonts w:hint="cs"/>
          <w:sz w:val="32"/>
          <w:szCs w:val="32"/>
          <w:rtl/>
        </w:rPr>
        <w:t>ل</w:t>
      </w:r>
      <w:r w:rsidRPr="006D2E97">
        <w:rPr>
          <w:rFonts w:hint="cs"/>
          <w:sz w:val="32"/>
          <w:szCs w:val="32"/>
          <w:rtl/>
        </w:rPr>
        <w:t xml:space="preserve">ابن رجب (3/153)، </w:t>
      </w:r>
      <w:r>
        <w:rPr>
          <w:rFonts w:hint="cs"/>
          <w:sz w:val="32"/>
          <w:szCs w:val="32"/>
          <w:rtl/>
        </w:rPr>
        <w:t>و</w:t>
      </w:r>
      <w:r w:rsidRPr="006D2E97">
        <w:rPr>
          <w:rFonts w:hint="cs"/>
          <w:sz w:val="32"/>
          <w:szCs w:val="32"/>
          <w:rtl/>
        </w:rPr>
        <w:t>تيسير اللطيف المنان في خلاصة تفسير القرآن لعبد الرحمن السعدي (165).</w:t>
      </w:r>
    </w:p>
  </w:footnote>
  <w:footnote w:id="1082">
    <w:p w:rsidR="000D3D21" w:rsidRPr="006D2E97" w:rsidRDefault="000D3D21" w:rsidP="00B07589">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D2E97">
        <w:rPr>
          <w:rFonts w:ascii="Tahoma" w:hAnsi="Tahoma" w:hint="cs"/>
          <w:sz w:val="32"/>
          <w:szCs w:val="32"/>
          <w:rtl/>
        </w:rPr>
        <w:t>شرح المنهج المنتخب (2/90).</w:t>
      </w:r>
    </w:p>
  </w:footnote>
  <w:footnote w:id="1083">
    <w:p w:rsidR="000D3D21" w:rsidRPr="006D2E97" w:rsidRDefault="000D3D21" w:rsidP="00B07589">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لسان العرب (1/240، 241</w:t>
      </w:r>
      <w:r w:rsidRPr="006D2E97">
        <w:rPr>
          <w:rFonts w:ascii="Tahoma" w:hAnsi="Tahoma" w:hint="cs"/>
          <w:sz w:val="32"/>
          <w:szCs w:val="32"/>
          <w:rtl/>
        </w:rPr>
        <w:t>).</w:t>
      </w:r>
    </w:p>
  </w:footnote>
  <w:footnote w:id="1084">
    <w:p w:rsidR="000D3D21" w:rsidRPr="006D2E97" w:rsidRDefault="000D3D21" w:rsidP="00B07589">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D2E97">
        <w:rPr>
          <w:rFonts w:ascii="Tahoma" w:hAnsi="Tahoma" w:hint="cs"/>
          <w:sz w:val="32"/>
          <w:szCs w:val="32"/>
          <w:rtl/>
        </w:rPr>
        <w:t>معجم المصطلحات المالية</w:t>
      </w:r>
      <w:r>
        <w:rPr>
          <w:rFonts w:ascii="Tahoma" w:hAnsi="Tahoma" w:hint="cs"/>
          <w:sz w:val="32"/>
          <w:szCs w:val="32"/>
          <w:rtl/>
        </w:rPr>
        <w:t xml:space="preserve"> و</w:t>
      </w:r>
      <w:r w:rsidRPr="006D2E97">
        <w:rPr>
          <w:rFonts w:ascii="Tahoma" w:hAnsi="Tahoma" w:hint="cs"/>
          <w:sz w:val="32"/>
          <w:szCs w:val="32"/>
          <w:rtl/>
        </w:rPr>
        <w:t>الاقتصادية في لغة الفقهاء (93).</w:t>
      </w:r>
    </w:p>
  </w:footnote>
  <w:footnote w:id="1085">
    <w:p w:rsidR="000D3D21" w:rsidRPr="006D2E97" w:rsidRDefault="000D3D21" w:rsidP="00B07589">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D2E97">
        <w:rPr>
          <w:rFonts w:ascii="Tahoma" w:hAnsi="Tahoma" w:hint="cs"/>
          <w:sz w:val="32"/>
          <w:szCs w:val="32"/>
          <w:rtl/>
        </w:rPr>
        <w:t>لسان العرب (3/1517).</w:t>
      </w:r>
    </w:p>
  </w:footnote>
  <w:footnote w:id="1086">
    <w:p w:rsidR="000D3D21" w:rsidRPr="006D2E97" w:rsidRDefault="000D3D21" w:rsidP="00B07589">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D2E97">
        <w:rPr>
          <w:rFonts w:ascii="Tahoma" w:hAnsi="Tahoma" w:hint="cs"/>
          <w:sz w:val="32"/>
          <w:szCs w:val="32"/>
          <w:rtl/>
        </w:rPr>
        <w:t>انظر كشف الأسرار للبخاري (4/238)،</w:t>
      </w:r>
      <w:r>
        <w:rPr>
          <w:rFonts w:ascii="Tahoma" w:hAnsi="Tahoma" w:hint="cs"/>
          <w:sz w:val="32"/>
          <w:szCs w:val="32"/>
          <w:rtl/>
        </w:rPr>
        <w:t xml:space="preserve"> و</w:t>
      </w:r>
      <w:r w:rsidRPr="006D2E97">
        <w:rPr>
          <w:rFonts w:ascii="Tahoma" w:hAnsi="Tahoma" w:hint="cs"/>
          <w:sz w:val="32"/>
          <w:szCs w:val="32"/>
          <w:rtl/>
        </w:rPr>
        <w:t>شرح القواعد الفقهية للزرقا (105).</w:t>
      </w:r>
    </w:p>
  </w:footnote>
  <w:footnote w:id="1087">
    <w:p w:rsidR="000D3D21" w:rsidRPr="006D2E97" w:rsidRDefault="000D3D21" w:rsidP="00B07589">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D2E97">
        <w:rPr>
          <w:rFonts w:ascii="Tahoma" w:hAnsi="Tahoma" w:hint="cs"/>
          <w:sz w:val="32"/>
          <w:szCs w:val="32"/>
          <w:rtl/>
        </w:rPr>
        <w:t>انظر:شرح منظومة القواعد الفقهية للسعدي (26).</w:t>
      </w:r>
    </w:p>
  </w:footnote>
  <w:footnote w:id="1088">
    <w:p w:rsidR="000D3D21" w:rsidRPr="006D2E97" w:rsidRDefault="000D3D21" w:rsidP="00F22B82">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D2E97">
        <w:rPr>
          <w:rFonts w:ascii="Tahoma" w:hAnsi="Tahoma" w:hint="cs"/>
          <w:sz w:val="32"/>
          <w:szCs w:val="32"/>
          <w:rtl/>
        </w:rPr>
        <w:t xml:space="preserve">قال أبو علي الرجراجي </w:t>
      </w:r>
      <w:r>
        <w:rPr>
          <w:rFonts w:ascii="Tahoma" w:hAnsi="Tahoma" w:hint="cs"/>
          <w:sz w:val="32"/>
          <w:szCs w:val="32"/>
          <w:rtl/>
        </w:rPr>
        <w:t>_</w:t>
      </w:r>
      <w:r>
        <w:rPr>
          <w:rFonts w:ascii="Traditional Arabic" w:hAnsi="Traditional Arabic" w:cs="CTraditional Arabic" w:hint="cs"/>
          <w:rtl/>
        </w:rPr>
        <w:t>/</w:t>
      </w:r>
      <w:r>
        <w:rPr>
          <w:rFonts w:ascii="Tahoma" w:hAnsi="Tahoma" w:hint="cs"/>
          <w:sz w:val="32"/>
          <w:szCs w:val="32"/>
          <w:rtl/>
        </w:rPr>
        <w:t>_</w:t>
      </w:r>
      <w:r w:rsidRPr="006D2E97">
        <w:rPr>
          <w:rFonts w:ascii="Tahoma" w:hAnsi="Tahoma" w:hint="cs"/>
          <w:sz w:val="32"/>
          <w:szCs w:val="32"/>
          <w:rtl/>
        </w:rPr>
        <w:t>:(البراءة الأصلية، هي قسم من الاستصحاب،</w:t>
      </w:r>
      <w:r>
        <w:rPr>
          <w:rFonts w:ascii="Tahoma" w:hAnsi="Tahoma" w:hint="cs"/>
          <w:sz w:val="32"/>
          <w:szCs w:val="32"/>
          <w:rtl/>
        </w:rPr>
        <w:t xml:space="preserve"> و</w:t>
      </w:r>
      <w:r w:rsidRPr="006D2E97">
        <w:rPr>
          <w:rFonts w:ascii="Tahoma" w:hAnsi="Tahoma" w:hint="cs"/>
          <w:sz w:val="32"/>
          <w:szCs w:val="32"/>
          <w:rtl/>
        </w:rPr>
        <w:t>هي المعبَّر عنها بقولهم: الأصل براءة الذمة).رفع النقاب عن تنقيح الشهاب (6/182).</w:t>
      </w:r>
    </w:p>
  </w:footnote>
  <w:footnote w:id="1089">
    <w:p w:rsidR="000D3D21" w:rsidRPr="00560844" w:rsidRDefault="000D3D21" w:rsidP="00B07589">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6D2E97">
        <w:rPr>
          <w:rFonts w:ascii="Tahoma" w:hAnsi="Tahoma" w:hint="cs"/>
          <w:sz w:val="32"/>
          <w:szCs w:val="32"/>
          <w:rtl/>
        </w:rPr>
        <w:t>الوجيز للبورنو (179)،</w:t>
      </w:r>
      <w:r>
        <w:rPr>
          <w:rFonts w:ascii="Tahoma" w:hAnsi="Tahoma" w:hint="cs"/>
          <w:sz w:val="32"/>
          <w:szCs w:val="32"/>
          <w:rtl/>
        </w:rPr>
        <w:t xml:space="preserve"> و</w:t>
      </w:r>
      <w:r w:rsidRPr="006D2E97">
        <w:rPr>
          <w:rFonts w:ascii="Tahoma" w:hAnsi="Tahoma" w:hint="cs"/>
          <w:sz w:val="32"/>
          <w:szCs w:val="32"/>
          <w:rtl/>
        </w:rPr>
        <w:t>المدخل الفقهي العام (2/984)،</w:t>
      </w:r>
      <w:r>
        <w:rPr>
          <w:rFonts w:ascii="Tahoma" w:hAnsi="Tahoma" w:hint="cs"/>
          <w:sz w:val="32"/>
          <w:szCs w:val="32"/>
          <w:rtl/>
        </w:rPr>
        <w:t xml:space="preserve"> و</w:t>
      </w:r>
      <w:r w:rsidRPr="006D2E97">
        <w:rPr>
          <w:rFonts w:ascii="Tahoma" w:hAnsi="Tahoma" w:hint="cs"/>
          <w:sz w:val="32"/>
          <w:szCs w:val="32"/>
          <w:rtl/>
        </w:rPr>
        <w:t>قاعدة اليقين لا يزول بالشك للباحسين (98).</w:t>
      </w:r>
    </w:p>
  </w:footnote>
  <w:footnote w:id="1090">
    <w:p w:rsidR="000D3D21" w:rsidRPr="003E72DD" w:rsidRDefault="000D3D21" w:rsidP="00B07589">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3E72DD">
        <w:rPr>
          <w:rFonts w:ascii="Traditional Arabic" w:hAnsi="Traditional Arabic"/>
          <w:sz w:val="32"/>
          <w:szCs w:val="32"/>
          <w:rtl/>
        </w:rPr>
        <w:tab/>
        <w:t>أحكام من القرآن الكريم (2/349)</w:t>
      </w:r>
      <w:r>
        <w:rPr>
          <w:rFonts w:ascii="Traditional Arabic" w:hAnsi="Traditional Arabic"/>
          <w:sz w:val="32"/>
          <w:szCs w:val="32"/>
          <w:rtl/>
        </w:rPr>
        <w:t>.</w:t>
      </w:r>
    </w:p>
  </w:footnote>
  <w:footnote w:id="1091">
    <w:p w:rsidR="000D3D21" w:rsidRPr="003E72DD" w:rsidRDefault="000D3D21" w:rsidP="00B07589">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3E72DD">
        <w:rPr>
          <w:rFonts w:ascii="Tahoma" w:hAnsi="Tahoma" w:hint="cs"/>
          <w:sz w:val="32"/>
          <w:szCs w:val="32"/>
          <w:rtl/>
        </w:rPr>
        <w:t>التفسير الثمين لابن عثيمين (6/467، 468).</w:t>
      </w:r>
    </w:p>
  </w:footnote>
  <w:footnote w:id="1092">
    <w:p w:rsidR="000D3D21" w:rsidRPr="002C6D77" w:rsidRDefault="000D3D21" w:rsidP="00B07589">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C524F7">
        <w:rPr>
          <w:rFonts w:ascii="Lotus Linotype" w:hAnsi="Lotus Linotype" w:cs="Lotus Linotype" w:hint="cs"/>
          <w:b/>
          <w:bCs/>
          <w:rtl/>
        </w:rPr>
        <w:tab/>
      </w:r>
      <w:r w:rsidRPr="002C6D77">
        <w:rPr>
          <w:rFonts w:ascii="Traditional Arabic" w:hAnsi="Traditional Arabic"/>
          <w:sz w:val="32"/>
          <w:szCs w:val="32"/>
          <w:rtl/>
        </w:rPr>
        <w:t>أخرجه البخاري في : كتاب التفسير</w:t>
      </w:r>
      <w:r>
        <w:rPr>
          <w:rFonts w:ascii="Traditional Arabic" w:hAnsi="Traditional Arabic"/>
          <w:sz w:val="32"/>
          <w:szCs w:val="32"/>
          <w:rtl/>
        </w:rPr>
        <w:t>،</w:t>
      </w:r>
      <w:r w:rsidRPr="002C6D77">
        <w:rPr>
          <w:rFonts w:ascii="Traditional Arabic" w:hAnsi="Traditional Arabic"/>
          <w:sz w:val="32"/>
          <w:szCs w:val="32"/>
          <w:rtl/>
        </w:rPr>
        <w:t xml:space="preserve"> باب</w:t>
      </w:r>
      <w:r w:rsidRPr="007F2AD7">
        <w:rPr>
          <w:rFonts w:ascii="QCF_BSML" w:hAnsi="QCF_BSML" w:cs="QCF_BSML"/>
          <w:noProof w:val="0"/>
          <w:sz w:val="32"/>
          <w:szCs w:val="32"/>
          <w:rtl/>
          <w:lang w:eastAsia="en-US"/>
        </w:rPr>
        <w:t>ﭽ</w:t>
      </w:r>
      <w:r w:rsidRPr="007F2AD7">
        <w:rPr>
          <w:rFonts w:ascii="QCF_P059" w:hAnsi="QCF_P059" w:cs="QCF_P059"/>
          <w:noProof w:val="0"/>
          <w:sz w:val="32"/>
          <w:szCs w:val="32"/>
          <w:rtl/>
          <w:lang w:eastAsia="en-US"/>
        </w:rPr>
        <w:t>ﯭﯮﯯﯰﯱﯲﯳﯴ</w:t>
      </w:r>
      <w:r w:rsidRPr="007F2AD7">
        <w:rPr>
          <w:rFonts w:ascii="QCF_BSML" w:hAnsi="QCF_BSML" w:cs="QCF_BSML"/>
          <w:noProof w:val="0"/>
          <w:sz w:val="32"/>
          <w:szCs w:val="32"/>
          <w:rtl/>
          <w:lang w:eastAsia="en-US"/>
        </w:rPr>
        <w:t>ﭼ</w:t>
      </w:r>
      <w:r>
        <w:rPr>
          <w:rFonts w:ascii="Traditional Arabic" w:hAnsi="Traditional Arabic" w:hint="cs"/>
          <w:noProof w:val="0"/>
          <w:color w:val="auto"/>
          <w:sz w:val="32"/>
          <w:szCs w:val="32"/>
          <w:rtl/>
          <w:lang w:eastAsia="en-US"/>
        </w:rPr>
        <w:t>[</w:t>
      </w:r>
      <w:r w:rsidRPr="007F2AD7">
        <w:rPr>
          <w:rFonts w:ascii="Traditional Arabic" w:hAnsi="Traditional Arabic"/>
          <w:noProof w:val="0"/>
          <w:color w:val="auto"/>
          <w:sz w:val="32"/>
          <w:szCs w:val="32"/>
          <w:rtl/>
          <w:lang w:eastAsia="en-US"/>
        </w:rPr>
        <w:t>آل عمران: ٧٧</w:t>
      </w:r>
      <w:r w:rsidRPr="005C09FC">
        <w:rPr>
          <w:rFonts w:ascii="Traditional Arabic" w:hAnsi="Traditional Arabic" w:hint="cs"/>
          <w:noProof w:val="0"/>
          <w:color w:val="auto"/>
          <w:sz w:val="32"/>
          <w:szCs w:val="32"/>
          <w:rtl/>
          <w:lang w:eastAsia="en-US"/>
        </w:rPr>
        <w:t>]</w:t>
      </w:r>
      <w:r>
        <w:rPr>
          <w:rFonts w:ascii="Lotus Linotype" w:hAnsi="Lotus Linotype" w:cs="Lotus Linotype" w:hint="cs"/>
          <w:b/>
          <w:bCs/>
          <w:rtl/>
        </w:rPr>
        <w:t xml:space="preserve">، </w:t>
      </w:r>
      <w:r w:rsidRPr="002C6D77">
        <w:rPr>
          <w:rFonts w:ascii="Traditional Arabic" w:hAnsi="Traditional Arabic"/>
          <w:sz w:val="32"/>
          <w:szCs w:val="32"/>
          <w:rtl/>
        </w:rPr>
        <w:t>رقم</w:t>
      </w:r>
      <w:r>
        <w:rPr>
          <w:rFonts w:ascii="Traditional Arabic" w:hAnsi="Traditional Arabic" w:hint="cs"/>
          <w:sz w:val="32"/>
          <w:szCs w:val="32"/>
          <w:rtl/>
        </w:rPr>
        <w:t xml:space="preserve"> الحديث</w:t>
      </w:r>
      <w:r>
        <w:rPr>
          <w:rFonts w:ascii="Traditional Arabic" w:hAnsi="Traditional Arabic"/>
          <w:sz w:val="32"/>
          <w:szCs w:val="32"/>
          <w:rtl/>
        </w:rPr>
        <w:t xml:space="preserve"> (4552)</w:t>
      </w:r>
      <w:r>
        <w:rPr>
          <w:rFonts w:ascii="Traditional Arabic" w:hAnsi="Traditional Arabic" w:hint="cs"/>
          <w:sz w:val="32"/>
          <w:szCs w:val="32"/>
          <w:rtl/>
        </w:rPr>
        <w:t xml:space="preserve">، </w:t>
      </w:r>
      <w:r w:rsidRPr="002C6D77">
        <w:rPr>
          <w:rFonts w:ascii="Traditional Arabic" w:hAnsi="Traditional Arabic"/>
          <w:sz w:val="32"/>
          <w:szCs w:val="32"/>
          <w:rtl/>
        </w:rPr>
        <w:t>ومسلم في : كتاب الأقضية</w:t>
      </w:r>
      <w:r>
        <w:rPr>
          <w:rFonts w:ascii="Traditional Arabic" w:hAnsi="Traditional Arabic"/>
          <w:sz w:val="32"/>
          <w:szCs w:val="32"/>
          <w:rtl/>
        </w:rPr>
        <w:t>،</w:t>
      </w:r>
      <w:r w:rsidRPr="002C6D77">
        <w:rPr>
          <w:rFonts w:ascii="Traditional Arabic" w:hAnsi="Traditional Arabic"/>
          <w:sz w:val="32"/>
          <w:szCs w:val="32"/>
          <w:rtl/>
        </w:rPr>
        <w:t xml:space="preserve"> باب اليمين على </w:t>
      </w:r>
      <w:r>
        <w:rPr>
          <w:rFonts w:ascii="Traditional Arabic" w:hAnsi="Traditional Arabic" w:hint="cs"/>
          <w:sz w:val="32"/>
          <w:szCs w:val="32"/>
          <w:rtl/>
        </w:rPr>
        <w:t xml:space="preserve">المدعى </w:t>
      </w:r>
      <w:r w:rsidRPr="002C6D77">
        <w:rPr>
          <w:rFonts w:ascii="Traditional Arabic" w:hAnsi="Traditional Arabic"/>
          <w:sz w:val="32"/>
          <w:szCs w:val="32"/>
          <w:rtl/>
        </w:rPr>
        <w:t>عليه</w:t>
      </w:r>
      <w:r>
        <w:rPr>
          <w:rFonts w:ascii="Traditional Arabic" w:hAnsi="Traditional Arabic"/>
          <w:sz w:val="32"/>
          <w:szCs w:val="32"/>
          <w:rtl/>
        </w:rPr>
        <w:t>،</w:t>
      </w:r>
      <w:r w:rsidRPr="002C6D77">
        <w:rPr>
          <w:rFonts w:ascii="Traditional Arabic" w:hAnsi="Traditional Arabic"/>
          <w:sz w:val="32"/>
          <w:szCs w:val="32"/>
          <w:rtl/>
        </w:rPr>
        <w:t xml:space="preserve"> رقم </w:t>
      </w:r>
      <w:r>
        <w:rPr>
          <w:rFonts w:ascii="Traditional Arabic" w:hAnsi="Traditional Arabic" w:hint="cs"/>
          <w:sz w:val="32"/>
          <w:szCs w:val="32"/>
          <w:rtl/>
        </w:rPr>
        <w:t xml:space="preserve">الحديث </w:t>
      </w:r>
      <w:r w:rsidRPr="002C6D77">
        <w:rPr>
          <w:rFonts w:ascii="Traditional Arabic" w:hAnsi="Traditional Arabic"/>
          <w:sz w:val="32"/>
          <w:szCs w:val="32"/>
          <w:rtl/>
        </w:rPr>
        <w:t>(1711)</w:t>
      </w:r>
      <w:r>
        <w:rPr>
          <w:rFonts w:ascii="Traditional Arabic" w:hAnsi="Traditional Arabic"/>
          <w:sz w:val="32"/>
          <w:szCs w:val="32"/>
          <w:rtl/>
        </w:rPr>
        <w:t>.</w:t>
      </w:r>
    </w:p>
  </w:footnote>
  <w:footnote w:id="1093">
    <w:p w:rsidR="000D3D21" w:rsidRPr="001F5DD5" w:rsidRDefault="000D3D21" w:rsidP="00B07589">
      <w:pPr>
        <w:pStyle w:val="a7"/>
        <w:spacing w:line="440" w:lineRule="exact"/>
        <w:ind w:left="510" w:hanging="510"/>
        <w:jc w:val="lowKashida"/>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w:t>
      </w:r>
      <w:r>
        <w:rPr>
          <w:rFonts w:ascii="Traditional Arabic" w:hAnsi="Traditional Arabic" w:hint="cs"/>
          <w:sz w:val="32"/>
          <w:szCs w:val="32"/>
          <w:rtl/>
        </w:rPr>
        <w:t xml:space="preserve"> الشرح الممتع (12/297)</w:t>
      </w:r>
      <w:r w:rsidRPr="001F5DD5">
        <w:rPr>
          <w:rFonts w:ascii="Traditional Arabic" w:hAnsi="Traditional Arabic"/>
          <w:sz w:val="32"/>
          <w:szCs w:val="32"/>
          <w:rtl/>
        </w:rPr>
        <w:t xml:space="preserve">. </w:t>
      </w:r>
    </w:p>
  </w:footnote>
  <w:footnote w:id="1094">
    <w:p w:rsidR="000D3D21" w:rsidRPr="001F5DD5" w:rsidRDefault="000D3D21" w:rsidP="00B07589">
      <w:pPr>
        <w:pStyle w:val="a7"/>
        <w:pageBreakBefore/>
        <w:rPr>
          <w:rFonts w:ascii="Tahoma" w:hAnsi="Tahoma"/>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1F5DD5">
        <w:rPr>
          <w:rFonts w:ascii="Tahoma" w:hAnsi="Tahoma" w:hint="cs"/>
          <w:sz w:val="32"/>
          <w:szCs w:val="32"/>
          <w:rtl/>
        </w:rPr>
        <w:t>الفروق (3/41).</w:t>
      </w:r>
    </w:p>
  </w:footnote>
  <w:footnote w:id="1095">
    <w:p w:rsidR="000D3D21" w:rsidRDefault="000D3D21" w:rsidP="00B07589">
      <w:pPr>
        <w:pStyle w:val="a7"/>
        <w:pageBreakBefore/>
        <w:rPr>
          <w:rFonts w:ascii="Tahoma" w:hAnsi="Tahoma"/>
          <w:b/>
          <w:bCs/>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AA36B1">
        <w:rPr>
          <w:rFonts w:ascii="Tahoma" w:hAnsi="Tahoma" w:hint="cs"/>
          <w:sz w:val="32"/>
          <w:szCs w:val="32"/>
          <w:rtl/>
        </w:rPr>
        <w:t>انظر: الشرح الممتع (9/387).</w:t>
      </w:r>
      <w:r>
        <w:rPr>
          <w:rFonts w:ascii="Tahoma" w:hAnsi="Tahoma" w:hint="cs"/>
          <w:sz w:val="32"/>
          <w:szCs w:val="32"/>
          <w:rtl/>
        </w:rPr>
        <w:t xml:space="preserve"> </w:t>
      </w:r>
    </w:p>
    <w:p w:rsidR="000D3D21" w:rsidRDefault="000D3D21" w:rsidP="00B07589">
      <w:pPr>
        <w:pStyle w:val="a7"/>
        <w:pageBreakBefore/>
        <w:rPr>
          <w:rFonts w:ascii="Tahoma" w:hAnsi="Tahoma"/>
          <w:sz w:val="32"/>
          <w:szCs w:val="32"/>
          <w:rtl/>
        </w:rPr>
      </w:pPr>
      <w:r>
        <w:rPr>
          <w:rFonts w:ascii="Tahoma" w:hAnsi="Tahoma" w:hint="cs"/>
          <w:b/>
          <w:bCs/>
          <w:sz w:val="32"/>
          <w:szCs w:val="32"/>
          <w:rtl/>
        </w:rPr>
        <w:t xml:space="preserve">      تنبيه: </w:t>
      </w:r>
      <w:r>
        <w:rPr>
          <w:rFonts w:ascii="Tahoma" w:hAnsi="Tahoma" w:hint="cs"/>
          <w:sz w:val="32"/>
          <w:szCs w:val="32"/>
          <w:rtl/>
        </w:rPr>
        <w:t>أورد الشيخ ابن عثيمين  _</w:t>
      </w:r>
      <w:r>
        <w:rPr>
          <w:rFonts w:ascii="Traditional Arabic" w:hAnsi="Traditional Arabic" w:cs="CTraditional Arabic" w:hint="cs"/>
          <w:rtl/>
        </w:rPr>
        <w:t>/</w:t>
      </w:r>
      <w:r>
        <w:rPr>
          <w:rFonts w:ascii="Tahoma" w:hAnsi="Tahoma" w:hint="cs"/>
          <w:sz w:val="32"/>
          <w:szCs w:val="32"/>
          <w:rtl/>
        </w:rPr>
        <w:t xml:space="preserve">_ هذا الفرع عند شرحه لكلام  الحجاوي_ </w:t>
      </w:r>
      <w:r>
        <w:rPr>
          <w:rFonts w:ascii="Traditional Arabic" w:hAnsi="Traditional Arabic" w:cs="CTraditional Arabic" w:hint="cs"/>
          <w:rtl/>
        </w:rPr>
        <w:t>/</w:t>
      </w:r>
      <w:r>
        <w:rPr>
          <w:rFonts w:ascii="Tahoma" w:hAnsi="Tahoma" w:hint="cs"/>
          <w:sz w:val="32"/>
          <w:szCs w:val="32"/>
          <w:rtl/>
        </w:rPr>
        <w:t>_ في زاد المستقنع (لا يضمن وكيل الإيداع إذا لم يُشهِد)، وعلّل لذلك بأن المودَع لو ادعى الرد لقُبِل قوله، فلا حاجة إلى الإشهاد.إلا أن الشيخ رجّح أن الوكيل يضمن؛ لأنه يُعَدُّ مفرِّطا بعدم الإشهاد، واستثنى من ذلك حالتين:</w:t>
      </w:r>
    </w:p>
    <w:p w:rsidR="000D3D21" w:rsidRDefault="000D3D21" w:rsidP="00B07589">
      <w:pPr>
        <w:pStyle w:val="a7"/>
        <w:pageBreakBefore/>
        <w:rPr>
          <w:rFonts w:ascii="Tahoma" w:hAnsi="Tahoma"/>
          <w:sz w:val="32"/>
          <w:szCs w:val="32"/>
          <w:rtl/>
        </w:rPr>
      </w:pPr>
      <w:r>
        <w:rPr>
          <w:rFonts w:ascii="Tahoma" w:hAnsi="Tahoma" w:hint="cs"/>
          <w:sz w:val="32"/>
          <w:szCs w:val="32"/>
          <w:rtl/>
        </w:rPr>
        <w:t xml:space="preserve">      الأولى: إذا كان الشيء المودَع زهيداً، لم تجرِ العادة بالإشهاد عليه.</w:t>
      </w:r>
    </w:p>
    <w:p w:rsidR="000D3D21" w:rsidRDefault="000D3D21" w:rsidP="00B07589">
      <w:pPr>
        <w:pStyle w:val="a7"/>
        <w:pageBreakBefore/>
        <w:rPr>
          <w:rFonts w:ascii="Tahoma" w:hAnsi="Tahoma"/>
          <w:sz w:val="32"/>
          <w:szCs w:val="32"/>
          <w:rtl/>
        </w:rPr>
      </w:pPr>
      <w:r>
        <w:rPr>
          <w:rFonts w:ascii="Tahoma" w:hAnsi="Tahoma" w:hint="cs"/>
          <w:sz w:val="32"/>
          <w:szCs w:val="32"/>
          <w:rtl/>
        </w:rPr>
        <w:t xml:space="preserve">      الثانية: إذا كان المودَع رجلا مبرّزاً في العدالة، وجرت العادة ألا يُشهَد عليه إذا أُودِع.</w:t>
      </w:r>
    </w:p>
    <w:p w:rsidR="000D3D21" w:rsidRPr="00AA36B1" w:rsidRDefault="000D3D21" w:rsidP="00B07589">
      <w:pPr>
        <w:pStyle w:val="a7"/>
        <w:pageBreakBefore/>
        <w:rPr>
          <w:rFonts w:ascii="Tahoma" w:hAnsi="Tahoma"/>
          <w:sz w:val="32"/>
          <w:szCs w:val="32"/>
        </w:rPr>
      </w:pPr>
      <w:r>
        <w:rPr>
          <w:rFonts w:ascii="Tahoma" w:hAnsi="Tahoma" w:hint="cs"/>
          <w:sz w:val="32"/>
          <w:szCs w:val="32"/>
          <w:rtl/>
        </w:rPr>
        <w:t xml:space="preserve">      انظر الشرح الممتع (9/387-388). </w:t>
      </w:r>
    </w:p>
  </w:footnote>
  <w:footnote w:id="1096">
    <w:p w:rsidR="000D3D21" w:rsidRPr="00AA36B1" w:rsidRDefault="000D3D21" w:rsidP="00B07589">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AA36B1">
        <w:rPr>
          <w:rFonts w:ascii="Tahoma" w:hAnsi="Tahoma" w:hint="cs"/>
          <w:sz w:val="32"/>
          <w:szCs w:val="32"/>
          <w:rtl/>
        </w:rPr>
        <w:t>انظر: شرح القواعد الفقهية للزرقا (93)،</w:t>
      </w:r>
      <w:r>
        <w:rPr>
          <w:rFonts w:ascii="Tahoma" w:hAnsi="Tahoma" w:hint="cs"/>
          <w:sz w:val="32"/>
          <w:szCs w:val="32"/>
          <w:rtl/>
        </w:rPr>
        <w:t xml:space="preserve"> و</w:t>
      </w:r>
      <w:r w:rsidRPr="00AA36B1">
        <w:rPr>
          <w:rFonts w:ascii="Tahoma" w:hAnsi="Tahoma" w:hint="cs"/>
          <w:sz w:val="32"/>
          <w:szCs w:val="32"/>
          <w:rtl/>
        </w:rPr>
        <w:t>الوجيز للبورنو (178).</w:t>
      </w:r>
      <w:r>
        <w:rPr>
          <w:rFonts w:ascii="Tahoma" w:hAnsi="Tahoma" w:hint="cs"/>
          <w:sz w:val="32"/>
          <w:szCs w:val="32"/>
          <w:rtl/>
        </w:rPr>
        <w:t xml:space="preserve"> وانظر ص (287</w:t>
      </w:r>
      <w:r w:rsidRPr="00AA36B1">
        <w:rPr>
          <w:rFonts w:ascii="Tahoma" w:hAnsi="Tahoma" w:hint="cs"/>
          <w:sz w:val="32"/>
          <w:szCs w:val="32"/>
          <w:rtl/>
        </w:rPr>
        <w:t>) من هذه الرسالة.</w:t>
      </w:r>
    </w:p>
  </w:footnote>
  <w:footnote w:id="1097">
    <w:p w:rsidR="000D3D21" w:rsidRPr="00F36C9A" w:rsidRDefault="000D3D21" w:rsidP="004775DA">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szCs w:val="32"/>
          <w:rtl/>
        </w:rPr>
        <w:t xml:space="preserve"> </w:t>
      </w:r>
      <w:r>
        <w:rPr>
          <w:rFonts w:ascii="Tahoma" w:hAnsi="Tahoma" w:hint="cs"/>
          <w:sz w:val="32"/>
          <w:szCs w:val="32"/>
          <w:rtl/>
        </w:rPr>
        <w:t>اخترت هذه الصيغة؛ لتضمنها كلاًّ من العقود والشروط، كما أنها تضمنت ذكر الأصل فيها وهو الجواز والصحة، بخلاف بعض الصيغ الأخرى التي اقتصرت على العقود أو الشروط فقط، أو اقتصرت على الجواز أو الصحة فقط، أما قيد اللزوم الوارد في بعض الصيغ فيغني عنه ذكر الصحة والجواز؛ لأن النصوص دلت على وجوب الوفاء بالعقود_ ويدخل في ذلك الوفاء بشروط العقود_، فمتى كان الشرط جائزا صحيحا وجب الوفاء به، والله أعلم. انظر موسوعة القواعد والضوابط الفقهية للندوي (1/86-87).</w:t>
      </w:r>
    </w:p>
  </w:footnote>
  <w:footnote w:id="1098">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بعض هذه الصيغ تعبر عن جز</w:t>
      </w:r>
      <w:r w:rsidRPr="00C50319">
        <w:rPr>
          <w:rFonts w:ascii="Tahoma" w:hAnsi="Tahoma" w:hint="cs"/>
          <w:sz w:val="32"/>
          <w:szCs w:val="32"/>
          <w:rtl/>
        </w:rPr>
        <w:t xml:space="preserve">ء </w:t>
      </w:r>
      <w:r>
        <w:rPr>
          <w:rFonts w:ascii="Tahoma" w:hAnsi="Tahoma" w:hint="cs"/>
          <w:sz w:val="32"/>
          <w:szCs w:val="32"/>
          <w:rtl/>
        </w:rPr>
        <w:t xml:space="preserve">من </w:t>
      </w:r>
      <w:r w:rsidRPr="00C50319">
        <w:rPr>
          <w:rFonts w:ascii="Tahoma" w:hAnsi="Tahoma" w:hint="cs"/>
          <w:sz w:val="32"/>
          <w:szCs w:val="32"/>
          <w:rtl/>
        </w:rPr>
        <w:t>القاعدة.</w:t>
      </w:r>
    </w:p>
  </w:footnote>
  <w:footnote w:id="1099">
    <w:p w:rsidR="000D3D21" w:rsidRPr="00E706AD" w:rsidRDefault="000D3D21" w:rsidP="004775DA">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E706AD">
        <w:rPr>
          <w:rFonts w:ascii="Tahoma" w:hAnsi="Tahoma" w:hint="cs"/>
          <w:sz w:val="32"/>
          <w:szCs w:val="32"/>
          <w:rtl/>
        </w:rPr>
        <w:t>الشرح الممتع (8/162)،</w:t>
      </w:r>
      <w:r>
        <w:rPr>
          <w:rFonts w:ascii="Tahoma" w:hAnsi="Tahoma" w:hint="cs"/>
          <w:sz w:val="32"/>
          <w:szCs w:val="32"/>
          <w:rtl/>
        </w:rPr>
        <w:t xml:space="preserve"> و</w:t>
      </w:r>
      <w:r w:rsidRPr="00E706AD">
        <w:rPr>
          <w:rFonts w:ascii="Tahoma" w:hAnsi="Tahoma" w:hint="cs"/>
          <w:sz w:val="32"/>
          <w:szCs w:val="32"/>
          <w:rtl/>
        </w:rPr>
        <w:t>انظر(9/24).</w:t>
      </w:r>
    </w:p>
  </w:footnote>
  <w:footnote w:id="1100">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D753A6">
        <w:rPr>
          <w:rFonts w:ascii="Tahoma" w:hAnsi="Tahoma" w:hint="cs"/>
          <w:sz w:val="32"/>
          <w:szCs w:val="32"/>
          <w:rtl/>
        </w:rPr>
        <w:t>المرجع السابق (8/241).</w:t>
      </w:r>
    </w:p>
  </w:footnote>
  <w:footnote w:id="1101">
    <w:p w:rsidR="000D3D21" w:rsidRDefault="000D3D21" w:rsidP="004775DA">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E706AD">
        <w:rPr>
          <w:rFonts w:ascii="Tahoma" w:hAnsi="Tahoma" w:hint="cs"/>
          <w:sz w:val="32"/>
          <w:szCs w:val="32"/>
          <w:rtl/>
        </w:rPr>
        <w:t>المرجع السابق (8/236)،</w:t>
      </w:r>
      <w:r>
        <w:rPr>
          <w:rFonts w:ascii="Tahoma" w:hAnsi="Tahoma" w:hint="cs"/>
          <w:sz w:val="32"/>
          <w:szCs w:val="32"/>
          <w:rtl/>
        </w:rPr>
        <w:t xml:space="preserve"> و</w:t>
      </w:r>
      <w:r w:rsidRPr="00E706AD">
        <w:rPr>
          <w:rFonts w:ascii="Tahoma" w:hAnsi="Tahoma" w:hint="cs"/>
          <w:sz w:val="32"/>
          <w:szCs w:val="32"/>
          <w:rtl/>
        </w:rPr>
        <w:t>(9/445)،</w:t>
      </w:r>
      <w:r>
        <w:rPr>
          <w:rFonts w:ascii="Tahoma" w:hAnsi="Tahoma" w:hint="cs"/>
          <w:sz w:val="32"/>
          <w:szCs w:val="32"/>
          <w:rtl/>
        </w:rPr>
        <w:t xml:space="preserve"> و</w:t>
      </w:r>
      <w:r w:rsidRPr="00E706AD">
        <w:rPr>
          <w:rFonts w:ascii="Tahoma" w:hAnsi="Tahoma" w:hint="cs"/>
          <w:sz w:val="32"/>
          <w:szCs w:val="32"/>
          <w:rtl/>
        </w:rPr>
        <w:t xml:space="preserve">انظر:(8/240، </w:t>
      </w:r>
      <w:r>
        <w:rPr>
          <w:rFonts w:ascii="Tahoma" w:hAnsi="Tahoma" w:hint="cs"/>
          <w:sz w:val="32"/>
          <w:szCs w:val="32"/>
          <w:rtl/>
        </w:rPr>
        <w:t>و</w:t>
      </w:r>
      <w:r w:rsidRPr="00E706AD">
        <w:rPr>
          <w:rFonts w:ascii="Tahoma" w:hAnsi="Tahoma" w:hint="cs"/>
          <w:sz w:val="32"/>
          <w:szCs w:val="32"/>
          <w:rtl/>
        </w:rPr>
        <w:t>252)، و(9/97، 134، و138، و183، و383، و399، و401، و444، 448)، و(15/377-380)،</w:t>
      </w:r>
      <w:r>
        <w:rPr>
          <w:rFonts w:ascii="Tahoma" w:hAnsi="Tahoma" w:hint="cs"/>
          <w:sz w:val="32"/>
          <w:szCs w:val="32"/>
          <w:rtl/>
        </w:rPr>
        <w:t xml:space="preserve"> و</w:t>
      </w:r>
      <w:r w:rsidRPr="00E706AD">
        <w:rPr>
          <w:rFonts w:ascii="Tahoma" w:hAnsi="Tahoma" w:hint="cs"/>
          <w:sz w:val="32"/>
          <w:szCs w:val="32"/>
          <w:rtl/>
        </w:rPr>
        <w:t xml:space="preserve">فتح ذي الجلال </w:t>
      </w:r>
    </w:p>
    <w:p w:rsidR="000D3D21" w:rsidRPr="00E706AD" w:rsidRDefault="000D3D21" w:rsidP="004775DA">
      <w:pPr>
        <w:pStyle w:val="a7"/>
        <w:pageBreakBefore/>
        <w:rPr>
          <w:rFonts w:ascii="Tahoma" w:hAnsi="Tahoma"/>
          <w:sz w:val="32"/>
          <w:szCs w:val="32"/>
        </w:rPr>
      </w:pPr>
      <w:r>
        <w:rPr>
          <w:rFonts w:ascii="Tahoma" w:hAnsi="Tahoma" w:hint="cs"/>
          <w:sz w:val="32"/>
          <w:szCs w:val="32"/>
          <w:rtl/>
        </w:rPr>
        <w:t xml:space="preserve">      و</w:t>
      </w:r>
      <w:r w:rsidRPr="00E706AD">
        <w:rPr>
          <w:rFonts w:ascii="Tahoma" w:hAnsi="Tahoma" w:hint="cs"/>
          <w:sz w:val="32"/>
          <w:szCs w:val="32"/>
          <w:rtl/>
        </w:rPr>
        <w:t>ال</w:t>
      </w:r>
      <w:r>
        <w:rPr>
          <w:rFonts w:ascii="Tahoma" w:hAnsi="Tahoma" w:hint="cs"/>
          <w:sz w:val="32"/>
          <w:szCs w:val="32"/>
          <w:rtl/>
        </w:rPr>
        <w:t xml:space="preserve">إكرام (4/45، و75، و79)، وشرح </w:t>
      </w:r>
      <w:r w:rsidRPr="00E706AD">
        <w:rPr>
          <w:rFonts w:ascii="Tahoma" w:hAnsi="Tahoma" w:hint="cs"/>
          <w:sz w:val="32"/>
          <w:szCs w:val="32"/>
          <w:rtl/>
        </w:rPr>
        <w:t>منظومة</w:t>
      </w:r>
      <w:r>
        <w:rPr>
          <w:rFonts w:ascii="Tahoma" w:hAnsi="Tahoma" w:hint="cs"/>
          <w:sz w:val="32"/>
          <w:szCs w:val="32"/>
          <w:rtl/>
        </w:rPr>
        <w:t xml:space="preserve"> أصول الفقه وقواعده</w:t>
      </w:r>
      <w:r w:rsidRPr="00E706AD">
        <w:rPr>
          <w:rFonts w:ascii="Tahoma" w:hAnsi="Tahoma" w:hint="cs"/>
          <w:sz w:val="32"/>
          <w:szCs w:val="32"/>
          <w:rtl/>
        </w:rPr>
        <w:t xml:space="preserve"> (100، 113، 115</w:t>
      </w:r>
      <w:r>
        <w:rPr>
          <w:rFonts w:ascii="Tahoma" w:hAnsi="Tahoma" w:hint="cs"/>
          <w:sz w:val="32"/>
          <w:szCs w:val="32"/>
          <w:rtl/>
        </w:rPr>
        <w:t>، 317</w:t>
      </w:r>
      <w:r w:rsidRPr="00E706AD">
        <w:rPr>
          <w:rFonts w:ascii="Tahoma" w:hAnsi="Tahoma" w:hint="cs"/>
          <w:sz w:val="32"/>
          <w:szCs w:val="32"/>
          <w:rtl/>
        </w:rPr>
        <w:t>).</w:t>
      </w:r>
    </w:p>
  </w:footnote>
  <w:footnote w:id="1102">
    <w:p w:rsidR="000D3D21" w:rsidRPr="00E706AD"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الشرح الممتع </w:t>
      </w:r>
      <w:r w:rsidRPr="00E706AD">
        <w:rPr>
          <w:rFonts w:ascii="Tahoma" w:hAnsi="Tahoma" w:hint="cs"/>
          <w:sz w:val="32"/>
          <w:szCs w:val="32"/>
          <w:rtl/>
        </w:rPr>
        <w:t>(8/398)،</w:t>
      </w:r>
      <w:r>
        <w:rPr>
          <w:rFonts w:ascii="Tahoma" w:hAnsi="Tahoma" w:hint="cs"/>
          <w:sz w:val="32"/>
          <w:szCs w:val="32"/>
          <w:rtl/>
        </w:rPr>
        <w:t xml:space="preserve"> و</w:t>
      </w:r>
      <w:r w:rsidRPr="00E706AD">
        <w:rPr>
          <w:rFonts w:ascii="Tahoma" w:hAnsi="Tahoma" w:hint="cs"/>
          <w:sz w:val="32"/>
          <w:szCs w:val="32"/>
          <w:rtl/>
        </w:rPr>
        <w:t>انظر:(8/413، و448)، و(9/89)، و(10/6)،</w:t>
      </w:r>
      <w:r>
        <w:rPr>
          <w:rFonts w:ascii="Tahoma" w:hAnsi="Tahoma" w:hint="cs"/>
          <w:sz w:val="32"/>
          <w:szCs w:val="32"/>
          <w:rtl/>
        </w:rPr>
        <w:t xml:space="preserve"> و</w:t>
      </w:r>
      <w:r w:rsidRPr="00E706AD">
        <w:rPr>
          <w:rFonts w:ascii="Tahoma" w:hAnsi="Tahoma" w:hint="cs"/>
          <w:sz w:val="32"/>
          <w:szCs w:val="32"/>
          <w:rtl/>
        </w:rPr>
        <w:t>فتح ذي ال</w:t>
      </w:r>
      <w:r>
        <w:rPr>
          <w:rFonts w:ascii="Tahoma" w:hAnsi="Tahoma" w:hint="cs"/>
          <w:sz w:val="32"/>
          <w:szCs w:val="32"/>
          <w:rtl/>
        </w:rPr>
        <w:t xml:space="preserve">جلال والإكرام (3/564)، وشرح </w:t>
      </w:r>
      <w:r w:rsidRPr="00E706AD">
        <w:rPr>
          <w:rFonts w:ascii="Tahoma" w:hAnsi="Tahoma" w:hint="cs"/>
          <w:sz w:val="32"/>
          <w:szCs w:val="32"/>
          <w:rtl/>
        </w:rPr>
        <w:t>منظومة</w:t>
      </w:r>
      <w:r>
        <w:rPr>
          <w:rFonts w:ascii="Tahoma" w:hAnsi="Tahoma" w:hint="cs"/>
          <w:sz w:val="32"/>
          <w:szCs w:val="32"/>
          <w:rtl/>
        </w:rPr>
        <w:t xml:space="preserve"> أصول الفقه وقواعده </w:t>
      </w:r>
      <w:r w:rsidRPr="00E706AD">
        <w:rPr>
          <w:rFonts w:ascii="Tahoma" w:hAnsi="Tahoma" w:hint="cs"/>
          <w:sz w:val="32"/>
          <w:szCs w:val="32"/>
          <w:rtl/>
        </w:rPr>
        <w:t>(220).</w:t>
      </w:r>
    </w:p>
  </w:footnote>
  <w:footnote w:id="1103">
    <w:p w:rsidR="000D3D21" w:rsidRPr="00E706AD"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الشرح الممتع</w:t>
      </w:r>
      <w:r w:rsidRPr="00E706AD">
        <w:rPr>
          <w:rFonts w:ascii="Tahoma" w:hAnsi="Tahoma" w:hint="cs"/>
          <w:sz w:val="32"/>
          <w:szCs w:val="32"/>
          <w:rtl/>
        </w:rPr>
        <w:t xml:space="preserve"> (9/120)</w:t>
      </w:r>
      <w:r>
        <w:rPr>
          <w:rFonts w:ascii="Tahoma" w:hAnsi="Tahoma" w:hint="cs"/>
          <w:sz w:val="32"/>
          <w:szCs w:val="32"/>
          <w:rtl/>
        </w:rPr>
        <w:t>، وانظر (9/24)</w:t>
      </w:r>
      <w:r w:rsidRPr="00E706AD">
        <w:rPr>
          <w:rFonts w:ascii="Tahoma" w:hAnsi="Tahoma" w:hint="cs"/>
          <w:sz w:val="32"/>
          <w:szCs w:val="32"/>
          <w:rtl/>
        </w:rPr>
        <w:t>.</w:t>
      </w:r>
    </w:p>
  </w:footnote>
  <w:footnote w:id="1104">
    <w:p w:rsidR="000D3D21" w:rsidRPr="00C50319" w:rsidRDefault="000D3D21" w:rsidP="004775DA">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المرجع السابق</w:t>
      </w:r>
      <w:r w:rsidRPr="00C50319">
        <w:rPr>
          <w:rFonts w:ascii="Tahoma" w:hAnsi="Tahoma" w:hint="cs"/>
          <w:sz w:val="32"/>
          <w:szCs w:val="32"/>
          <w:rtl/>
        </w:rPr>
        <w:t xml:space="preserve"> (9/29)،</w:t>
      </w:r>
      <w:r>
        <w:rPr>
          <w:rFonts w:ascii="Tahoma" w:hAnsi="Tahoma" w:hint="cs"/>
          <w:sz w:val="32"/>
          <w:szCs w:val="32"/>
          <w:rtl/>
        </w:rPr>
        <w:t xml:space="preserve"> و</w:t>
      </w:r>
      <w:r w:rsidRPr="00C50319">
        <w:rPr>
          <w:rFonts w:ascii="Tahoma" w:hAnsi="Tahoma" w:hint="cs"/>
          <w:sz w:val="32"/>
          <w:szCs w:val="32"/>
          <w:rtl/>
        </w:rPr>
        <w:t>انظر (12/164).</w:t>
      </w:r>
    </w:p>
  </w:footnote>
  <w:footnote w:id="1105">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المرجع السابق (9/134، 187)، و(10/22)،</w:t>
      </w:r>
      <w:r>
        <w:rPr>
          <w:rFonts w:ascii="Tahoma" w:hAnsi="Tahoma" w:hint="cs"/>
          <w:sz w:val="32"/>
          <w:szCs w:val="32"/>
          <w:rtl/>
        </w:rPr>
        <w:t xml:space="preserve"> و</w:t>
      </w:r>
      <w:r w:rsidRPr="00C50319">
        <w:rPr>
          <w:rFonts w:ascii="Tahoma" w:hAnsi="Tahoma" w:hint="cs"/>
          <w:sz w:val="32"/>
          <w:szCs w:val="32"/>
          <w:rtl/>
        </w:rPr>
        <w:t>انظر (11/152).</w:t>
      </w:r>
    </w:p>
  </w:footnote>
  <w:footnote w:id="1106">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المرجع السابق (9/162).</w:t>
      </w:r>
    </w:p>
  </w:footnote>
  <w:footnote w:id="1107">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المرجع السابق(10/335)،</w:t>
      </w:r>
      <w:r>
        <w:rPr>
          <w:rFonts w:ascii="Tahoma" w:hAnsi="Tahoma" w:hint="cs"/>
          <w:sz w:val="32"/>
          <w:szCs w:val="32"/>
          <w:rtl/>
        </w:rPr>
        <w:t xml:space="preserve"> و</w:t>
      </w:r>
      <w:r w:rsidRPr="00C50319">
        <w:rPr>
          <w:rFonts w:ascii="Tahoma" w:hAnsi="Tahoma" w:hint="cs"/>
          <w:sz w:val="32"/>
          <w:szCs w:val="32"/>
          <w:rtl/>
        </w:rPr>
        <w:t>انظر(9/92).</w:t>
      </w:r>
    </w:p>
  </w:footnote>
  <w:footnote w:id="1108">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المرجع السابق (12/270).</w:t>
      </w:r>
    </w:p>
  </w:footnote>
  <w:footnote w:id="1109">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المرجع السابق (12/475)،</w:t>
      </w:r>
      <w:r>
        <w:rPr>
          <w:rFonts w:ascii="Tahoma" w:hAnsi="Tahoma" w:hint="cs"/>
          <w:sz w:val="32"/>
          <w:szCs w:val="32"/>
          <w:rtl/>
        </w:rPr>
        <w:t xml:space="preserve"> و</w:t>
      </w:r>
      <w:r w:rsidRPr="00C50319">
        <w:rPr>
          <w:rFonts w:ascii="Tahoma" w:hAnsi="Tahoma" w:hint="cs"/>
          <w:sz w:val="32"/>
          <w:szCs w:val="32"/>
          <w:rtl/>
        </w:rPr>
        <w:t>انظر (12/163).</w:t>
      </w:r>
    </w:p>
  </w:footnote>
  <w:footnote w:id="1110">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شرح منظومة أصول الفقه</w:t>
      </w:r>
      <w:r>
        <w:rPr>
          <w:rFonts w:ascii="Tahoma" w:hAnsi="Tahoma" w:hint="cs"/>
          <w:sz w:val="32"/>
          <w:szCs w:val="32"/>
          <w:rtl/>
        </w:rPr>
        <w:t xml:space="preserve"> و</w:t>
      </w:r>
      <w:r w:rsidRPr="00C50319">
        <w:rPr>
          <w:rFonts w:ascii="Tahoma" w:hAnsi="Tahoma" w:hint="cs"/>
          <w:sz w:val="32"/>
          <w:szCs w:val="32"/>
          <w:rtl/>
        </w:rPr>
        <w:t>قواعده (317).</w:t>
      </w:r>
    </w:p>
  </w:footnote>
  <w:footnote w:id="1111">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المرجع السابق (319).</w:t>
      </w:r>
    </w:p>
  </w:footnote>
  <w:footnote w:id="1112">
    <w:p w:rsidR="000D3D21" w:rsidRPr="001612AE"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مما يُلحظ أن </w:t>
      </w:r>
      <w:r w:rsidRPr="00C50319">
        <w:rPr>
          <w:rFonts w:ascii="Tahoma" w:hAnsi="Tahoma" w:hint="cs"/>
          <w:sz w:val="32"/>
          <w:szCs w:val="32"/>
          <w:rtl/>
        </w:rPr>
        <w:t>بعض هذه العبارات اقتصرتْ على ذكر بعض أجزاء القاعدة.</w:t>
      </w:r>
    </w:p>
  </w:footnote>
  <w:footnote w:id="1113">
    <w:p w:rsidR="000D3D21" w:rsidRPr="005936D3" w:rsidRDefault="000D3D21" w:rsidP="004775D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936D3">
        <w:rPr>
          <w:rFonts w:ascii="Traditional Arabic" w:hAnsi="Traditional Arabic"/>
          <w:sz w:val="32"/>
          <w:szCs w:val="32"/>
          <w:rtl/>
        </w:rPr>
        <w:t>القواعد النورانية (223)،</w:t>
      </w:r>
      <w:r>
        <w:rPr>
          <w:rFonts w:ascii="Traditional Arabic" w:hAnsi="Traditional Arabic"/>
          <w:sz w:val="32"/>
          <w:szCs w:val="32"/>
          <w:rtl/>
        </w:rPr>
        <w:t xml:space="preserve"> و</w:t>
      </w:r>
      <w:r w:rsidRPr="005936D3">
        <w:rPr>
          <w:rFonts w:ascii="Traditional Arabic" w:hAnsi="Traditional Arabic"/>
          <w:sz w:val="32"/>
          <w:szCs w:val="32"/>
          <w:rtl/>
        </w:rPr>
        <w:t xml:space="preserve">مجموع الفتاوى </w:t>
      </w:r>
      <w:r>
        <w:rPr>
          <w:rFonts w:ascii="Traditional Arabic" w:hAnsi="Traditional Arabic" w:hint="cs"/>
          <w:sz w:val="32"/>
          <w:szCs w:val="32"/>
          <w:rtl/>
        </w:rPr>
        <w:t xml:space="preserve">لابن تيمية </w:t>
      </w:r>
      <w:r w:rsidRPr="005936D3">
        <w:rPr>
          <w:rFonts w:ascii="Traditional Arabic" w:hAnsi="Traditional Arabic"/>
          <w:sz w:val="32"/>
          <w:szCs w:val="32"/>
          <w:rtl/>
        </w:rPr>
        <w:t>(28/386).</w:t>
      </w:r>
    </w:p>
  </w:footnote>
  <w:footnote w:id="1114">
    <w:p w:rsidR="000D3D21" w:rsidRPr="00C50319" w:rsidRDefault="000D3D21" w:rsidP="004775DA">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 xml:space="preserve">مجموع الفتاوى </w:t>
      </w:r>
      <w:r>
        <w:rPr>
          <w:rFonts w:ascii="Tahoma" w:hAnsi="Tahoma" w:hint="cs"/>
          <w:sz w:val="32"/>
          <w:szCs w:val="32"/>
          <w:rtl/>
        </w:rPr>
        <w:t xml:space="preserve">لابن تيمية </w:t>
      </w:r>
      <w:r w:rsidRPr="00C50319">
        <w:rPr>
          <w:rFonts w:ascii="Tahoma" w:hAnsi="Tahoma" w:hint="cs"/>
          <w:sz w:val="32"/>
          <w:szCs w:val="32"/>
          <w:rtl/>
        </w:rPr>
        <w:t>(29/346)،</w:t>
      </w:r>
      <w:r>
        <w:rPr>
          <w:rFonts w:ascii="Tahoma" w:hAnsi="Tahoma" w:hint="cs"/>
          <w:sz w:val="32"/>
          <w:szCs w:val="32"/>
          <w:rtl/>
        </w:rPr>
        <w:t xml:space="preserve"> و</w:t>
      </w:r>
      <w:r w:rsidRPr="00C50319">
        <w:rPr>
          <w:rFonts w:ascii="Tahoma" w:hAnsi="Tahoma" w:hint="cs"/>
          <w:sz w:val="32"/>
          <w:szCs w:val="32"/>
          <w:rtl/>
        </w:rPr>
        <w:t>منظومة القواعد الفقهية</w:t>
      </w:r>
      <w:r>
        <w:rPr>
          <w:rFonts w:ascii="Tahoma" w:hAnsi="Tahoma" w:hint="cs"/>
          <w:sz w:val="32"/>
          <w:szCs w:val="32"/>
          <w:rtl/>
        </w:rPr>
        <w:t xml:space="preserve"> و</w:t>
      </w:r>
      <w:r w:rsidRPr="00C50319">
        <w:rPr>
          <w:rFonts w:ascii="Tahoma" w:hAnsi="Tahoma" w:hint="cs"/>
          <w:sz w:val="32"/>
          <w:szCs w:val="32"/>
          <w:rtl/>
        </w:rPr>
        <w:t>شرحها للسعدي(46-47).</w:t>
      </w:r>
    </w:p>
  </w:footnote>
  <w:footnote w:id="1115">
    <w:p w:rsidR="000D3D21" w:rsidRPr="00114A7E"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الأشباه</w:t>
      </w:r>
      <w:r>
        <w:rPr>
          <w:rFonts w:ascii="Tahoma" w:hAnsi="Tahoma" w:hint="cs"/>
          <w:sz w:val="32"/>
          <w:szCs w:val="32"/>
          <w:rtl/>
        </w:rPr>
        <w:t xml:space="preserve"> و</w:t>
      </w:r>
      <w:r w:rsidRPr="00C50319">
        <w:rPr>
          <w:rFonts w:ascii="Tahoma" w:hAnsi="Tahoma" w:hint="cs"/>
          <w:sz w:val="32"/>
          <w:szCs w:val="32"/>
          <w:rtl/>
        </w:rPr>
        <w:t>النظائر لابن السبكي (1/253).</w:t>
      </w:r>
    </w:p>
  </w:footnote>
  <w:footnote w:id="1116">
    <w:p w:rsidR="000D3D21" w:rsidRPr="005936D3" w:rsidRDefault="000D3D21" w:rsidP="004775D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936D3">
        <w:rPr>
          <w:rFonts w:ascii="Traditional Arabic" w:hAnsi="Traditional Arabic"/>
          <w:sz w:val="32"/>
          <w:szCs w:val="32"/>
          <w:rtl/>
        </w:rPr>
        <w:t>إعلام الموقعين (3/107).</w:t>
      </w:r>
    </w:p>
  </w:footnote>
  <w:footnote w:id="1117">
    <w:p w:rsidR="000D3D21" w:rsidRPr="00E00181"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إعلام الموقعين (3/107)</w:t>
      </w:r>
      <w:r w:rsidRPr="00E00181">
        <w:rPr>
          <w:rFonts w:ascii="Tahoma" w:hAnsi="Tahoma" w:hint="cs"/>
          <w:sz w:val="32"/>
          <w:szCs w:val="32"/>
          <w:rtl/>
        </w:rPr>
        <w:t>.</w:t>
      </w:r>
    </w:p>
  </w:footnote>
  <w:footnote w:id="1118">
    <w:p w:rsidR="000D3D21" w:rsidRPr="00967D2A"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967D2A">
        <w:rPr>
          <w:rFonts w:ascii="Tahoma" w:hAnsi="Tahoma" w:hint="cs"/>
          <w:sz w:val="32"/>
          <w:szCs w:val="32"/>
          <w:rtl/>
        </w:rPr>
        <w:t>زاد المعاد (5/826)،</w:t>
      </w:r>
      <w:r>
        <w:rPr>
          <w:rFonts w:ascii="Tahoma" w:hAnsi="Tahoma" w:hint="cs"/>
          <w:sz w:val="32"/>
          <w:szCs w:val="32"/>
          <w:rtl/>
        </w:rPr>
        <w:t xml:space="preserve"> والقواعد والأصول الجامعة (72)، و</w:t>
      </w:r>
      <w:r w:rsidRPr="00967D2A">
        <w:rPr>
          <w:rFonts w:ascii="Tahoma" w:hAnsi="Tahoma" w:hint="cs"/>
          <w:sz w:val="32"/>
          <w:szCs w:val="32"/>
          <w:rtl/>
        </w:rPr>
        <w:t>انظر القواعد الفقهية المستخرجة من إعلام الموقعين (557)</w:t>
      </w:r>
      <w:r>
        <w:rPr>
          <w:rFonts w:ascii="Tahoma" w:hAnsi="Tahoma" w:hint="cs"/>
          <w:sz w:val="32"/>
          <w:szCs w:val="32"/>
          <w:rtl/>
        </w:rPr>
        <w:t>، وموسوعة القواعد والضوابط للندوي (1/86)</w:t>
      </w:r>
      <w:r w:rsidRPr="00967D2A">
        <w:rPr>
          <w:rFonts w:ascii="Tahoma" w:hAnsi="Tahoma" w:hint="cs"/>
          <w:sz w:val="32"/>
          <w:szCs w:val="32"/>
          <w:rtl/>
        </w:rPr>
        <w:t>.</w:t>
      </w:r>
    </w:p>
  </w:footnote>
  <w:footnote w:id="1119">
    <w:p w:rsidR="000D3D21" w:rsidRPr="005936D3" w:rsidRDefault="000D3D21" w:rsidP="004775D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936D3">
        <w:rPr>
          <w:rFonts w:ascii="Traditional Arabic" w:hAnsi="Traditional Arabic"/>
          <w:sz w:val="32"/>
          <w:szCs w:val="32"/>
          <w:rtl/>
        </w:rPr>
        <w:t>القواعدللمقري</w:t>
      </w:r>
      <w:r>
        <w:rPr>
          <w:rFonts w:ascii="Traditional Arabic" w:hAnsi="Traditional Arabic"/>
          <w:sz w:val="32"/>
          <w:szCs w:val="32"/>
          <w:rtl/>
        </w:rPr>
        <w:t>،</w:t>
      </w:r>
      <w:r w:rsidRPr="005936D3">
        <w:rPr>
          <w:rFonts w:ascii="Traditional Arabic" w:hAnsi="Traditional Arabic"/>
          <w:sz w:val="32"/>
          <w:szCs w:val="32"/>
          <w:rtl/>
        </w:rPr>
        <w:t xml:space="preserve"> القسم المخطوط (125)، نقلا عن محقق شرح المنهج المنتخب (2/104).</w:t>
      </w:r>
    </w:p>
  </w:footnote>
  <w:footnote w:id="1120">
    <w:p w:rsidR="000D3D21" w:rsidRPr="005936D3" w:rsidRDefault="000D3D21" w:rsidP="004775D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936D3">
        <w:rPr>
          <w:rFonts w:ascii="Traditional Arabic" w:hAnsi="Traditional Arabic"/>
          <w:sz w:val="32"/>
          <w:szCs w:val="32"/>
          <w:rtl/>
        </w:rPr>
        <w:t>تيسير اللطيف المنان في خلاصة تفسير القرآن</w:t>
      </w:r>
      <w:r>
        <w:rPr>
          <w:rFonts w:ascii="Traditional Arabic" w:hAnsi="Traditional Arabic" w:hint="cs"/>
          <w:sz w:val="32"/>
          <w:szCs w:val="32"/>
          <w:rtl/>
        </w:rPr>
        <w:t xml:space="preserve"> لعبد الرحمن السعدي</w:t>
      </w:r>
      <w:r w:rsidRPr="005936D3">
        <w:rPr>
          <w:rFonts w:ascii="Traditional Arabic" w:hAnsi="Traditional Arabic"/>
          <w:sz w:val="32"/>
          <w:szCs w:val="32"/>
          <w:rtl/>
        </w:rPr>
        <w:t xml:space="preserve"> (117).</w:t>
      </w:r>
    </w:p>
  </w:footnote>
  <w:footnote w:id="1121">
    <w:p w:rsidR="000D3D21" w:rsidRPr="005936D3" w:rsidRDefault="000D3D21" w:rsidP="004775DA">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936D3">
        <w:rPr>
          <w:rFonts w:ascii="Traditional Arabic" w:hAnsi="Traditional Arabic"/>
          <w:sz w:val="32"/>
          <w:szCs w:val="32"/>
          <w:rtl/>
        </w:rPr>
        <w:t>المرجع السابق (165)</w:t>
      </w:r>
      <w:r>
        <w:rPr>
          <w:rFonts w:ascii="Traditional Arabic" w:hAnsi="Traditional Arabic" w:hint="cs"/>
          <w:sz w:val="32"/>
          <w:szCs w:val="32"/>
          <w:rtl/>
        </w:rPr>
        <w:t>، وانظر (166)</w:t>
      </w:r>
      <w:r w:rsidRPr="005936D3">
        <w:rPr>
          <w:rFonts w:ascii="Traditional Arabic" w:hAnsi="Traditional Arabic"/>
          <w:sz w:val="32"/>
          <w:szCs w:val="32"/>
          <w:rtl/>
        </w:rPr>
        <w:t>.</w:t>
      </w:r>
    </w:p>
  </w:footnote>
  <w:footnote w:id="1122">
    <w:p w:rsidR="000D3D21" w:rsidRPr="00223FE4"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موسوعة </w:t>
      </w:r>
      <w:r w:rsidRPr="00223FE4">
        <w:rPr>
          <w:rFonts w:ascii="Tahoma" w:hAnsi="Tahoma" w:hint="cs"/>
          <w:sz w:val="32"/>
          <w:szCs w:val="32"/>
          <w:rtl/>
        </w:rPr>
        <w:t>القواعد</w:t>
      </w:r>
      <w:r>
        <w:rPr>
          <w:rFonts w:ascii="Tahoma" w:hAnsi="Tahoma" w:hint="cs"/>
          <w:sz w:val="32"/>
          <w:szCs w:val="32"/>
          <w:rtl/>
        </w:rPr>
        <w:t xml:space="preserve"> و</w:t>
      </w:r>
      <w:r w:rsidRPr="00223FE4">
        <w:rPr>
          <w:rFonts w:ascii="Tahoma" w:hAnsi="Tahoma" w:hint="cs"/>
          <w:sz w:val="32"/>
          <w:szCs w:val="32"/>
          <w:rtl/>
        </w:rPr>
        <w:t>الضوابط الفقهية للندوي (1/221).</w:t>
      </w:r>
    </w:p>
  </w:footnote>
  <w:footnote w:id="1123">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المرجع السابق (1/226).</w:t>
      </w:r>
    </w:p>
  </w:footnote>
  <w:footnote w:id="1124">
    <w:p w:rsidR="000D3D21" w:rsidRPr="00837E9A"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223FE4">
        <w:rPr>
          <w:rFonts w:ascii="Tahoma" w:hAnsi="Tahoma" w:hint="cs"/>
          <w:sz w:val="32"/>
          <w:szCs w:val="32"/>
          <w:rtl/>
        </w:rPr>
        <w:t>مقاييس اللغة (4/86</w:t>
      </w:r>
      <w:r>
        <w:rPr>
          <w:rFonts w:ascii="Tahoma" w:hAnsi="Tahoma" w:hint="cs"/>
          <w:sz w:val="32"/>
          <w:szCs w:val="32"/>
          <w:rtl/>
        </w:rPr>
        <w:t>-90</w:t>
      </w:r>
      <w:r w:rsidRPr="00223FE4">
        <w:rPr>
          <w:rFonts w:ascii="Tahoma" w:hAnsi="Tahoma" w:hint="cs"/>
          <w:sz w:val="32"/>
          <w:szCs w:val="32"/>
          <w:rtl/>
        </w:rPr>
        <w:t>)،</w:t>
      </w:r>
      <w:r>
        <w:rPr>
          <w:rFonts w:ascii="Tahoma" w:hAnsi="Tahoma" w:hint="cs"/>
          <w:sz w:val="32"/>
          <w:szCs w:val="32"/>
          <w:rtl/>
        </w:rPr>
        <w:t xml:space="preserve"> و</w:t>
      </w:r>
      <w:r w:rsidRPr="00223FE4">
        <w:rPr>
          <w:rFonts w:ascii="Tahoma" w:hAnsi="Tahoma" w:hint="cs"/>
          <w:sz w:val="32"/>
          <w:szCs w:val="32"/>
          <w:rtl/>
        </w:rPr>
        <w:t>لسان العرب (3030</w:t>
      </w:r>
      <w:r>
        <w:rPr>
          <w:rFonts w:ascii="Tahoma" w:hAnsi="Tahoma" w:hint="cs"/>
          <w:sz w:val="32"/>
          <w:szCs w:val="32"/>
          <w:rtl/>
        </w:rPr>
        <w:t>-3033</w:t>
      </w:r>
      <w:r w:rsidRPr="00223FE4">
        <w:rPr>
          <w:rFonts w:ascii="Tahoma" w:hAnsi="Tahoma" w:hint="cs"/>
          <w:sz w:val="32"/>
          <w:szCs w:val="32"/>
          <w:rtl/>
        </w:rPr>
        <w:t>).</w:t>
      </w:r>
    </w:p>
  </w:footnote>
  <w:footnote w:id="1125">
    <w:p w:rsidR="000D3D21" w:rsidRPr="00302FAB" w:rsidRDefault="000D3D21" w:rsidP="004775DA">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rtl/>
        </w:rPr>
        <w:t xml:space="preserve"> مقاييس اللغة (4/86).</w:t>
      </w:r>
    </w:p>
  </w:footnote>
  <w:footnote w:id="1126">
    <w:p w:rsidR="000D3D21" w:rsidRPr="00C50319" w:rsidRDefault="000D3D21" w:rsidP="00D65D30">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b/>
          <w:bCs/>
          <w:sz w:val="32"/>
          <w:szCs w:val="32"/>
          <w:rtl/>
        </w:rPr>
        <w:t xml:space="preserve"> </w:t>
      </w:r>
      <w:r w:rsidRPr="00C50319">
        <w:rPr>
          <w:rFonts w:ascii="Tahoma" w:hAnsi="Tahoma" w:hint="cs"/>
          <w:b/>
          <w:bCs/>
          <w:sz w:val="32"/>
          <w:szCs w:val="32"/>
          <w:rtl/>
        </w:rPr>
        <w:t>الالتزام</w:t>
      </w:r>
      <w:r w:rsidR="00AB0B9E">
        <w:rPr>
          <w:rFonts w:ascii="Tahoma" w:hAnsi="Tahoma"/>
          <w:b/>
          <w:bCs/>
          <w:sz w:val="32"/>
          <w:szCs w:val="32"/>
          <w:rtl/>
        </w:rPr>
        <w:fldChar w:fldCharType="begin"/>
      </w:r>
      <w:r>
        <w:instrText xml:space="preserve"> XE "</w:instrText>
      </w:r>
      <w:r w:rsidRPr="00D65D30">
        <w:rPr>
          <w:rFonts w:ascii="Tahoma" w:hAnsi="Tahoma" w:hint="cs"/>
          <w:sz w:val="32"/>
          <w:szCs w:val="32"/>
          <w:rtl/>
        </w:rPr>
        <w:instrText>الالتزام</w:instrText>
      </w:r>
      <w:r>
        <w:instrText xml:space="preserve">" </w:instrText>
      </w:r>
      <w:r w:rsidRPr="00D65D30">
        <w:instrText>\fm</w:instrText>
      </w:r>
      <w:r w:rsidR="00AB0B9E">
        <w:rPr>
          <w:rFonts w:ascii="Tahoma" w:hAnsi="Tahoma"/>
          <w:b/>
          <w:bCs/>
          <w:sz w:val="32"/>
          <w:szCs w:val="32"/>
          <w:rtl/>
        </w:rPr>
        <w:fldChar w:fldCharType="end"/>
      </w:r>
      <w:r w:rsidRPr="00C50319">
        <w:rPr>
          <w:rFonts w:ascii="Tahoma" w:hAnsi="Tahoma" w:hint="cs"/>
          <w:sz w:val="32"/>
          <w:szCs w:val="32"/>
          <w:rtl/>
        </w:rPr>
        <w:t>: الإيجابُ على النفس القيامَ بعمل أو الامتناعَ عن عمل.انظر معجم لغة الفقهاء (66).</w:t>
      </w:r>
    </w:p>
  </w:footnote>
  <w:footnote w:id="1127">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مبدأ الرضا في العقود (1/125)،</w:t>
      </w:r>
      <w:r>
        <w:rPr>
          <w:rFonts w:ascii="Tahoma" w:hAnsi="Tahoma" w:hint="cs"/>
          <w:sz w:val="32"/>
          <w:szCs w:val="32"/>
          <w:rtl/>
        </w:rPr>
        <w:t xml:space="preserve"> و</w:t>
      </w:r>
      <w:r w:rsidRPr="00C50319">
        <w:rPr>
          <w:rFonts w:ascii="Tahoma" w:hAnsi="Tahoma" w:hint="cs"/>
          <w:sz w:val="32"/>
          <w:szCs w:val="32"/>
          <w:rtl/>
        </w:rPr>
        <w:t>انظر المنثور للزركشي (2/397).</w:t>
      </w:r>
    </w:p>
  </w:footnote>
  <w:footnote w:id="1128">
    <w:p w:rsidR="000D3D21" w:rsidRPr="00A61A46"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لسان العرب (2235).</w:t>
      </w:r>
    </w:p>
  </w:footnote>
  <w:footnote w:id="1129">
    <w:p w:rsidR="000D3D21" w:rsidRPr="00757577" w:rsidRDefault="000D3D21" w:rsidP="004775DA">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color w:val="auto"/>
          <w:sz w:val="32"/>
          <w:szCs w:val="32"/>
          <w:rtl/>
        </w:rPr>
        <w:t xml:space="preserve"> هذا القيد </w:t>
      </w:r>
      <w:r>
        <w:rPr>
          <w:rFonts w:ascii="Traditional Arabic" w:hAnsi="Traditional Arabic" w:hint="cs"/>
          <w:noProof w:val="0"/>
          <w:color w:val="auto"/>
          <w:sz w:val="32"/>
          <w:szCs w:val="32"/>
          <w:rtl/>
          <w:lang w:eastAsia="en-US"/>
        </w:rPr>
        <w:t>يُ</w:t>
      </w:r>
      <w:r>
        <w:rPr>
          <w:rFonts w:ascii="Traditional Arabic" w:hAnsi="Traditional Arabic"/>
          <w:noProof w:val="0"/>
          <w:color w:val="auto"/>
          <w:sz w:val="32"/>
          <w:szCs w:val="32"/>
          <w:rtl/>
          <w:lang w:eastAsia="en-US"/>
        </w:rPr>
        <w:t>حتر</w:t>
      </w:r>
      <w:r>
        <w:rPr>
          <w:rFonts w:ascii="Traditional Arabic" w:hAnsi="Traditional Arabic" w:hint="cs"/>
          <w:noProof w:val="0"/>
          <w:color w:val="auto"/>
          <w:sz w:val="32"/>
          <w:szCs w:val="32"/>
          <w:rtl/>
          <w:lang w:eastAsia="en-US"/>
        </w:rPr>
        <w:t>َ</w:t>
      </w:r>
      <w:r w:rsidRPr="00757577">
        <w:rPr>
          <w:rFonts w:ascii="Traditional Arabic" w:hAnsi="Traditional Arabic"/>
          <w:noProof w:val="0"/>
          <w:color w:val="auto"/>
          <w:sz w:val="32"/>
          <w:szCs w:val="32"/>
          <w:rtl/>
          <w:lang w:eastAsia="en-US"/>
        </w:rPr>
        <w:t xml:space="preserve">ز </w:t>
      </w:r>
      <w:r>
        <w:rPr>
          <w:rFonts w:ascii="Traditional Arabic" w:hAnsi="Traditional Arabic" w:hint="cs"/>
          <w:noProof w:val="0"/>
          <w:color w:val="auto"/>
          <w:sz w:val="32"/>
          <w:szCs w:val="32"/>
          <w:rtl/>
          <w:lang w:eastAsia="en-US"/>
        </w:rPr>
        <w:t xml:space="preserve">به </w:t>
      </w:r>
      <w:r>
        <w:rPr>
          <w:rFonts w:ascii="Traditional Arabic" w:hAnsi="Traditional Arabic"/>
          <w:noProof w:val="0"/>
          <w:color w:val="auto"/>
          <w:sz w:val="32"/>
          <w:szCs w:val="32"/>
          <w:rtl/>
          <w:lang w:eastAsia="en-US"/>
        </w:rPr>
        <w:t>من المانع</w:t>
      </w:r>
      <w:r>
        <w:rPr>
          <w:rFonts w:ascii="Traditional Arabic" w:hAnsi="Traditional Arabic" w:hint="cs"/>
          <w:noProof w:val="0"/>
          <w:color w:val="auto"/>
          <w:sz w:val="32"/>
          <w:szCs w:val="32"/>
          <w:rtl/>
          <w:lang w:eastAsia="en-US"/>
        </w:rPr>
        <w:t>؛ لأ</w:t>
      </w:r>
      <w:r w:rsidRPr="00757577">
        <w:rPr>
          <w:rFonts w:ascii="Traditional Arabic" w:hAnsi="Traditional Arabic"/>
          <w:noProof w:val="0"/>
          <w:color w:val="auto"/>
          <w:sz w:val="32"/>
          <w:szCs w:val="32"/>
          <w:rtl/>
          <w:lang w:eastAsia="en-US"/>
        </w:rPr>
        <w:t>نه لا يلزم من عدمه وجود</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ولا عدم</w:t>
      </w:r>
      <w:r w:rsidRPr="00757577">
        <w:rPr>
          <w:rFonts w:ascii="Traditional Arabic" w:hAnsi="Traditional Arabic"/>
          <w:noProof w:val="0"/>
          <w:color w:val="auto"/>
          <w:sz w:val="32"/>
          <w:szCs w:val="32"/>
          <w:rtl/>
          <w:lang w:eastAsia="en-US"/>
        </w:rPr>
        <w:t xml:space="preserve">. </w:t>
      </w:r>
    </w:p>
  </w:footnote>
  <w:footnote w:id="1130">
    <w:p w:rsidR="000D3D21" w:rsidRPr="00757577" w:rsidRDefault="000D3D21" w:rsidP="004775DA">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raditional Arabic" w:hAnsi="Traditional Arabic" w:hint="cs"/>
          <w:noProof w:val="0"/>
          <w:color w:val="auto"/>
          <w:sz w:val="32"/>
          <w:szCs w:val="32"/>
          <w:rtl/>
          <w:lang w:eastAsia="en-US"/>
        </w:rPr>
        <w:t xml:space="preserve"> هذا القيد يُ</w:t>
      </w:r>
      <w:r>
        <w:rPr>
          <w:rFonts w:ascii="Traditional Arabic" w:hAnsi="Traditional Arabic"/>
          <w:noProof w:val="0"/>
          <w:color w:val="auto"/>
          <w:sz w:val="32"/>
          <w:szCs w:val="32"/>
          <w:rtl/>
          <w:lang w:eastAsia="en-US"/>
        </w:rPr>
        <w:t>حتر</w:t>
      </w:r>
      <w:r w:rsidRPr="00757577">
        <w:rPr>
          <w:rFonts w:ascii="Traditional Arabic" w:hAnsi="Traditional Arabic"/>
          <w:noProof w:val="0"/>
          <w:color w:val="auto"/>
          <w:sz w:val="32"/>
          <w:szCs w:val="32"/>
          <w:rtl/>
          <w:lang w:eastAsia="en-US"/>
        </w:rPr>
        <w:t xml:space="preserve">ز </w:t>
      </w:r>
      <w:r>
        <w:rPr>
          <w:rFonts w:ascii="Traditional Arabic" w:hAnsi="Traditional Arabic" w:hint="cs"/>
          <w:noProof w:val="0"/>
          <w:color w:val="auto"/>
          <w:sz w:val="32"/>
          <w:szCs w:val="32"/>
          <w:rtl/>
          <w:lang w:eastAsia="en-US"/>
        </w:rPr>
        <w:t xml:space="preserve">به </w:t>
      </w:r>
      <w:r>
        <w:rPr>
          <w:rFonts w:ascii="Traditional Arabic" w:hAnsi="Traditional Arabic"/>
          <w:noProof w:val="0"/>
          <w:color w:val="auto"/>
          <w:sz w:val="32"/>
          <w:szCs w:val="32"/>
          <w:rtl/>
          <w:lang w:eastAsia="en-US"/>
        </w:rPr>
        <w:t>من السبب</w:t>
      </w:r>
      <w:r>
        <w:rPr>
          <w:rFonts w:ascii="Traditional Arabic" w:hAnsi="Traditional Arabic" w:hint="cs"/>
          <w:noProof w:val="0"/>
          <w:color w:val="auto"/>
          <w:sz w:val="32"/>
          <w:szCs w:val="32"/>
          <w:rtl/>
          <w:lang w:eastAsia="en-US"/>
        </w:rPr>
        <w:t>؛ لأ</w:t>
      </w:r>
      <w:r>
        <w:rPr>
          <w:rFonts w:ascii="Traditional Arabic" w:hAnsi="Traditional Arabic"/>
          <w:noProof w:val="0"/>
          <w:color w:val="auto"/>
          <w:sz w:val="32"/>
          <w:szCs w:val="32"/>
          <w:rtl/>
          <w:lang w:eastAsia="en-US"/>
        </w:rPr>
        <w:t>نه يلزم من وجوده الوجود لذاته</w:t>
      </w:r>
      <w:r w:rsidRPr="00757577">
        <w:rPr>
          <w:rFonts w:ascii="Traditional Arabic" w:hAnsi="Traditional Arabic"/>
          <w:noProof w:val="0"/>
          <w:color w:val="auto"/>
          <w:sz w:val="32"/>
          <w:szCs w:val="32"/>
          <w:rtl/>
          <w:lang w:eastAsia="en-US"/>
        </w:rPr>
        <w:t>, و</w:t>
      </w:r>
      <w:r>
        <w:rPr>
          <w:rFonts w:ascii="Traditional Arabic" w:hAnsi="Traditional Arabic" w:hint="cs"/>
          <w:noProof w:val="0"/>
          <w:color w:val="auto"/>
          <w:sz w:val="32"/>
          <w:szCs w:val="32"/>
          <w:rtl/>
          <w:lang w:eastAsia="en-US"/>
        </w:rPr>
        <w:t xml:space="preserve">يحترز به أيضا </w:t>
      </w:r>
      <w:r>
        <w:rPr>
          <w:rFonts w:ascii="Traditional Arabic" w:hAnsi="Traditional Arabic"/>
          <w:noProof w:val="0"/>
          <w:color w:val="auto"/>
          <w:sz w:val="32"/>
          <w:szCs w:val="32"/>
          <w:rtl/>
          <w:lang w:eastAsia="en-US"/>
        </w:rPr>
        <w:t>من المانع</w:t>
      </w:r>
      <w:r>
        <w:rPr>
          <w:rFonts w:ascii="Traditional Arabic" w:hAnsi="Traditional Arabic" w:hint="cs"/>
          <w:noProof w:val="0"/>
          <w:color w:val="auto"/>
          <w:sz w:val="32"/>
          <w:szCs w:val="32"/>
          <w:rtl/>
          <w:lang w:eastAsia="en-US"/>
        </w:rPr>
        <w:t>؛ لأ</w:t>
      </w:r>
      <w:r w:rsidRPr="00757577">
        <w:rPr>
          <w:rFonts w:ascii="Traditional Arabic" w:hAnsi="Traditional Arabic"/>
          <w:noProof w:val="0"/>
          <w:color w:val="auto"/>
          <w:sz w:val="32"/>
          <w:szCs w:val="32"/>
          <w:rtl/>
          <w:lang w:eastAsia="en-US"/>
        </w:rPr>
        <w:t>نه يلزم من وجوده العدم</w:t>
      </w:r>
      <w:r>
        <w:rPr>
          <w:rFonts w:ascii="Traditional Arabic" w:hAnsi="Traditional Arabic" w:hint="cs"/>
          <w:noProof w:val="0"/>
          <w:color w:val="auto"/>
          <w:sz w:val="32"/>
          <w:szCs w:val="32"/>
          <w:rtl/>
          <w:lang w:eastAsia="en-US"/>
        </w:rPr>
        <w:t>.</w:t>
      </w:r>
    </w:p>
  </w:footnote>
  <w:footnote w:id="1131">
    <w:p w:rsidR="000D3D21" w:rsidRPr="00757577" w:rsidRDefault="000D3D21" w:rsidP="004775DA">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raditional Arabic" w:hAnsi="Traditional Arabic" w:hint="cs"/>
          <w:noProof w:val="0"/>
          <w:color w:val="auto"/>
          <w:sz w:val="32"/>
          <w:szCs w:val="32"/>
          <w:rtl/>
          <w:lang w:eastAsia="en-US"/>
        </w:rPr>
        <w:t xml:space="preserve"> هذا القيد يُ</w:t>
      </w:r>
      <w:r>
        <w:rPr>
          <w:rFonts w:ascii="Traditional Arabic" w:hAnsi="Traditional Arabic"/>
          <w:noProof w:val="0"/>
          <w:color w:val="auto"/>
          <w:sz w:val="32"/>
          <w:szCs w:val="32"/>
          <w:rtl/>
          <w:lang w:eastAsia="en-US"/>
        </w:rPr>
        <w:t>حتر</w:t>
      </w:r>
      <w:r w:rsidRPr="00757577">
        <w:rPr>
          <w:rFonts w:ascii="Traditional Arabic" w:hAnsi="Traditional Arabic"/>
          <w:noProof w:val="0"/>
          <w:color w:val="auto"/>
          <w:sz w:val="32"/>
          <w:szCs w:val="32"/>
          <w:rtl/>
          <w:lang w:eastAsia="en-US"/>
        </w:rPr>
        <w:t xml:space="preserve">ز </w:t>
      </w:r>
      <w:r>
        <w:rPr>
          <w:rFonts w:ascii="Traditional Arabic" w:hAnsi="Traditional Arabic" w:hint="cs"/>
          <w:noProof w:val="0"/>
          <w:color w:val="auto"/>
          <w:sz w:val="32"/>
          <w:szCs w:val="32"/>
          <w:rtl/>
          <w:lang w:eastAsia="en-US"/>
        </w:rPr>
        <w:t xml:space="preserve">به </w:t>
      </w:r>
      <w:r w:rsidRPr="00757577">
        <w:rPr>
          <w:rFonts w:ascii="Traditional Arabic" w:hAnsi="Traditional Arabic"/>
          <w:noProof w:val="0"/>
          <w:color w:val="auto"/>
          <w:sz w:val="32"/>
          <w:szCs w:val="32"/>
          <w:rtl/>
          <w:lang w:eastAsia="en-US"/>
        </w:rPr>
        <w:t>من م</w:t>
      </w:r>
      <w:r>
        <w:rPr>
          <w:rFonts w:ascii="Traditional Arabic" w:hAnsi="Traditional Arabic" w:hint="cs"/>
          <w:noProof w:val="0"/>
          <w:color w:val="auto"/>
          <w:sz w:val="32"/>
          <w:szCs w:val="32"/>
          <w:rtl/>
          <w:lang w:eastAsia="en-US"/>
        </w:rPr>
        <w:t>ُ</w:t>
      </w:r>
      <w:r w:rsidRPr="00757577">
        <w:rPr>
          <w:rFonts w:ascii="Traditional Arabic" w:hAnsi="Traditional Arabic"/>
          <w:noProof w:val="0"/>
          <w:color w:val="auto"/>
          <w:sz w:val="32"/>
          <w:szCs w:val="32"/>
          <w:rtl/>
          <w:lang w:eastAsia="en-US"/>
        </w:rPr>
        <w:t>قار</w:t>
      </w:r>
      <w:r>
        <w:rPr>
          <w:rFonts w:ascii="Traditional Arabic" w:hAnsi="Traditional Arabic" w:hint="cs"/>
          <w:noProof w:val="0"/>
          <w:color w:val="auto"/>
          <w:sz w:val="32"/>
          <w:szCs w:val="32"/>
          <w:rtl/>
          <w:lang w:eastAsia="en-US"/>
        </w:rPr>
        <w:t>َ</w:t>
      </w:r>
      <w:r w:rsidRPr="00757577">
        <w:rPr>
          <w:rFonts w:ascii="Traditional Arabic" w:hAnsi="Traditional Arabic"/>
          <w:noProof w:val="0"/>
          <w:color w:val="auto"/>
          <w:sz w:val="32"/>
          <w:szCs w:val="32"/>
          <w:rtl/>
          <w:lang w:eastAsia="en-US"/>
        </w:rPr>
        <w:t>نة</w:t>
      </w:r>
      <w:r>
        <w:rPr>
          <w:rFonts w:ascii="Traditional Arabic" w:hAnsi="Traditional Arabic" w:hint="cs"/>
          <w:noProof w:val="0"/>
          <w:color w:val="auto"/>
          <w:sz w:val="32"/>
          <w:szCs w:val="32"/>
          <w:rtl/>
          <w:lang w:eastAsia="en-US"/>
        </w:rPr>
        <w:t>ِ</w:t>
      </w:r>
      <w:r w:rsidRPr="00757577">
        <w:rPr>
          <w:rFonts w:ascii="Traditional Arabic" w:hAnsi="Traditional Arabic"/>
          <w:noProof w:val="0"/>
          <w:color w:val="auto"/>
          <w:sz w:val="32"/>
          <w:szCs w:val="32"/>
          <w:rtl/>
          <w:lang w:eastAsia="en-US"/>
        </w:rPr>
        <w:t xml:space="preserve"> الشرط</w:t>
      </w:r>
      <w:r>
        <w:rPr>
          <w:rFonts w:ascii="Traditional Arabic" w:hAnsi="Traditional Arabic" w:hint="cs"/>
          <w:noProof w:val="0"/>
          <w:color w:val="auto"/>
          <w:sz w:val="32"/>
          <w:szCs w:val="32"/>
          <w:rtl/>
          <w:lang w:eastAsia="en-US"/>
        </w:rPr>
        <w:t>ِ</w:t>
      </w:r>
      <w:r w:rsidRPr="00757577">
        <w:rPr>
          <w:rFonts w:ascii="Traditional Arabic" w:hAnsi="Traditional Arabic"/>
          <w:noProof w:val="0"/>
          <w:color w:val="auto"/>
          <w:sz w:val="32"/>
          <w:szCs w:val="32"/>
          <w:rtl/>
          <w:lang w:eastAsia="en-US"/>
        </w:rPr>
        <w:t xml:space="preserve"> وجود</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السبب فيلزم الوجود</w:t>
      </w:r>
      <w:r w:rsidRPr="00757577">
        <w:rPr>
          <w:rFonts w:ascii="Traditional Arabic" w:hAnsi="Traditional Arabic"/>
          <w:noProof w:val="0"/>
          <w:color w:val="auto"/>
          <w:sz w:val="32"/>
          <w:szCs w:val="32"/>
          <w:rtl/>
          <w:lang w:eastAsia="en-US"/>
        </w:rPr>
        <w:t xml:space="preserve">, أو </w:t>
      </w:r>
      <w:r>
        <w:rPr>
          <w:rFonts w:ascii="Traditional Arabic" w:hAnsi="Traditional Arabic" w:hint="cs"/>
          <w:noProof w:val="0"/>
          <w:color w:val="auto"/>
          <w:sz w:val="32"/>
          <w:szCs w:val="32"/>
          <w:rtl/>
          <w:lang w:eastAsia="en-US"/>
        </w:rPr>
        <w:t xml:space="preserve">من </w:t>
      </w:r>
      <w:r w:rsidRPr="00757577">
        <w:rPr>
          <w:rFonts w:ascii="Traditional Arabic" w:hAnsi="Traditional Arabic"/>
          <w:noProof w:val="0"/>
          <w:color w:val="auto"/>
          <w:sz w:val="32"/>
          <w:szCs w:val="32"/>
          <w:rtl/>
          <w:lang w:eastAsia="en-US"/>
        </w:rPr>
        <w:t>مقارنة الشرط</w:t>
      </w:r>
      <w:r>
        <w:rPr>
          <w:rFonts w:ascii="Traditional Arabic" w:hAnsi="Traditional Arabic" w:hint="cs"/>
          <w:noProof w:val="0"/>
          <w:color w:val="auto"/>
          <w:sz w:val="32"/>
          <w:szCs w:val="32"/>
          <w:rtl/>
          <w:lang w:eastAsia="en-US"/>
        </w:rPr>
        <w:t>ِ</w:t>
      </w:r>
      <w:r w:rsidRPr="00757577">
        <w:rPr>
          <w:rFonts w:ascii="Traditional Arabic" w:hAnsi="Traditional Arabic"/>
          <w:noProof w:val="0"/>
          <w:color w:val="auto"/>
          <w:sz w:val="32"/>
          <w:szCs w:val="32"/>
          <w:rtl/>
          <w:lang w:eastAsia="en-US"/>
        </w:rPr>
        <w:t xml:space="preserve"> ق</w:t>
      </w:r>
      <w:r>
        <w:rPr>
          <w:rFonts w:ascii="Traditional Arabic" w:hAnsi="Traditional Arabic" w:hint="cs"/>
          <w:noProof w:val="0"/>
          <w:color w:val="auto"/>
          <w:sz w:val="32"/>
          <w:szCs w:val="32"/>
          <w:rtl/>
          <w:lang w:eastAsia="en-US"/>
        </w:rPr>
        <w:t>ِ</w:t>
      </w:r>
      <w:r w:rsidRPr="00757577">
        <w:rPr>
          <w:rFonts w:ascii="Traditional Arabic" w:hAnsi="Traditional Arabic"/>
          <w:noProof w:val="0"/>
          <w:color w:val="auto"/>
          <w:sz w:val="32"/>
          <w:szCs w:val="32"/>
          <w:rtl/>
          <w:lang w:eastAsia="en-US"/>
        </w:rPr>
        <w:t>يام</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المانع</w:t>
      </w:r>
      <w:r>
        <w:rPr>
          <w:rFonts w:ascii="Traditional Arabic" w:hAnsi="Traditional Arabic" w:hint="cs"/>
          <w:noProof w:val="0"/>
          <w:color w:val="auto"/>
          <w:sz w:val="32"/>
          <w:szCs w:val="32"/>
          <w:rtl/>
          <w:lang w:eastAsia="en-US"/>
        </w:rPr>
        <w:t xml:space="preserve"> </w:t>
      </w:r>
      <w:r>
        <w:rPr>
          <w:rFonts w:ascii="Traditional Arabic" w:hAnsi="Traditional Arabic"/>
          <w:noProof w:val="0"/>
          <w:color w:val="auto"/>
          <w:sz w:val="32"/>
          <w:szCs w:val="32"/>
          <w:rtl/>
          <w:lang w:eastAsia="en-US"/>
        </w:rPr>
        <w:t>فيلزم العدم</w:t>
      </w:r>
      <w:r w:rsidRPr="00757577">
        <w:rPr>
          <w:rFonts w:ascii="Traditional Arabic" w:hAnsi="Traditional Arabic"/>
          <w:noProof w:val="0"/>
          <w:color w:val="auto"/>
          <w:sz w:val="32"/>
          <w:szCs w:val="32"/>
          <w:rtl/>
          <w:lang w:eastAsia="en-US"/>
        </w:rPr>
        <w:t>, لكن لا لذاته - وهو كونه شرطا</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بل </w:t>
      </w:r>
      <w:r>
        <w:rPr>
          <w:rFonts w:ascii="Traditional Arabic" w:hAnsi="Traditional Arabic" w:hint="cs"/>
          <w:noProof w:val="0"/>
          <w:color w:val="auto"/>
          <w:sz w:val="32"/>
          <w:szCs w:val="32"/>
          <w:rtl/>
          <w:lang w:eastAsia="en-US"/>
        </w:rPr>
        <w:t>لأ</w:t>
      </w:r>
      <w:r w:rsidRPr="00757577">
        <w:rPr>
          <w:rFonts w:ascii="Traditional Arabic" w:hAnsi="Traditional Arabic"/>
          <w:noProof w:val="0"/>
          <w:color w:val="auto"/>
          <w:sz w:val="32"/>
          <w:szCs w:val="32"/>
          <w:rtl/>
          <w:lang w:eastAsia="en-US"/>
        </w:rPr>
        <w:t>مر</w:t>
      </w:r>
      <w:r>
        <w:rPr>
          <w:rFonts w:ascii="Traditional Arabic" w:hAnsi="Traditional Arabic" w:hint="cs"/>
          <w:noProof w:val="0"/>
          <w:color w:val="auto"/>
          <w:sz w:val="32"/>
          <w:szCs w:val="32"/>
          <w:rtl/>
          <w:lang w:eastAsia="en-US"/>
        </w:rPr>
        <w:t>ٍ</w:t>
      </w:r>
      <w:r w:rsidRPr="00757577">
        <w:rPr>
          <w:rFonts w:ascii="Traditional Arabic" w:hAnsi="Traditional Arabic"/>
          <w:noProof w:val="0"/>
          <w:color w:val="auto"/>
          <w:sz w:val="32"/>
          <w:szCs w:val="32"/>
          <w:rtl/>
          <w:lang w:eastAsia="en-US"/>
        </w:rPr>
        <w:t xml:space="preserve"> خارج</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وهو مقارنة</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 xml:space="preserve"> السبب</w:t>
      </w:r>
      <w:r w:rsidRPr="00757577">
        <w:rPr>
          <w:rFonts w:ascii="Traditional Arabic" w:hAnsi="Traditional Arabic"/>
          <w:noProof w:val="0"/>
          <w:color w:val="auto"/>
          <w:sz w:val="32"/>
          <w:szCs w:val="32"/>
          <w:rtl/>
          <w:lang w:eastAsia="en-US"/>
        </w:rPr>
        <w:t>, أو قيام المانع</w:t>
      </w:r>
      <w:r>
        <w:rPr>
          <w:rFonts w:ascii="Traditional Arabic" w:hAnsi="Traditional Arabic" w:hint="cs"/>
          <w:noProof w:val="0"/>
          <w:color w:val="auto"/>
          <w:sz w:val="32"/>
          <w:szCs w:val="32"/>
          <w:rtl/>
          <w:lang w:eastAsia="en-US"/>
        </w:rPr>
        <w:t>.</w:t>
      </w:r>
    </w:p>
  </w:footnote>
  <w:footnote w:id="1132">
    <w:p w:rsidR="000D3D21" w:rsidRDefault="000D3D21" w:rsidP="004775DA">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في التعريف ومحترزاته </w:t>
      </w:r>
      <w:r w:rsidRPr="00C50319">
        <w:rPr>
          <w:rFonts w:ascii="Tahoma" w:hAnsi="Tahoma" w:hint="cs"/>
          <w:sz w:val="32"/>
          <w:szCs w:val="32"/>
          <w:rtl/>
        </w:rPr>
        <w:t>شرح الكوكب المنير (1/452).</w:t>
      </w:r>
    </w:p>
    <w:p w:rsidR="000D3D21" w:rsidRPr="00C50319" w:rsidRDefault="000D3D21" w:rsidP="004775DA">
      <w:pPr>
        <w:pStyle w:val="a7"/>
        <w:pageBreakBefore/>
        <w:rPr>
          <w:rFonts w:ascii="Tahoma" w:hAnsi="Tahoma"/>
          <w:sz w:val="32"/>
          <w:szCs w:val="32"/>
        </w:rPr>
      </w:pPr>
      <w:r>
        <w:rPr>
          <w:rFonts w:ascii="Tahoma" w:hAnsi="Tahoma" w:hint="cs"/>
          <w:b/>
          <w:bCs/>
          <w:sz w:val="32"/>
          <w:szCs w:val="32"/>
          <w:rtl/>
        </w:rPr>
        <w:t xml:space="preserve">     </w:t>
      </w:r>
      <w:r w:rsidRPr="00B9304C">
        <w:rPr>
          <w:rFonts w:ascii="Tahoma" w:hAnsi="Tahoma" w:hint="cs"/>
          <w:b/>
          <w:bCs/>
          <w:sz w:val="32"/>
          <w:szCs w:val="32"/>
          <w:rtl/>
        </w:rPr>
        <w:t>تنبيه</w:t>
      </w:r>
      <w:r>
        <w:rPr>
          <w:rFonts w:ascii="Tahoma" w:hAnsi="Tahoma" w:hint="cs"/>
          <w:sz w:val="32"/>
          <w:szCs w:val="32"/>
          <w:rtl/>
        </w:rPr>
        <w:t>: عرَّف الشيخ ابن عثيمين_رحمه الله_ الشرط بمثل هذا التعريف إلا أنه لم يَذكر قيد"لذاته"، وعلَّل ذلك بعدم الحاجة إليه؛ لأن الشيء إنما يُعرَّف لذاته بقطع النظر إلى أمور أخرى يلزم منها الوجود أو يمتنع معها الوجود. انظر شرح الأصول من علم الأصول (73).</w:t>
      </w:r>
    </w:p>
  </w:footnote>
  <w:footnote w:id="1133">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القاموس الفقهي (192).</w:t>
      </w:r>
    </w:p>
  </w:footnote>
  <w:footnote w:id="1134">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الشرح الممتع (8/222)،</w:t>
      </w:r>
      <w:r>
        <w:rPr>
          <w:rFonts w:ascii="Tahoma" w:hAnsi="Tahoma" w:hint="cs"/>
          <w:sz w:val="32"/>
          <w:szCs w:val="32"/>
          <w:rtl/>
        </w:rPr>
        <w:t xml:space="preserve"> و</w:t>
      </w:r>
      <w:r w:rsidRPr="00C50319">
        <w:rPr>
          <w:rFonts w:ascii="Tahoma" w:hAnsi="Tahoma" w:hint="cs"/>
          <w:sz w:val="32"/>
          <w:szCs w:val="32"/>
          <w:rtl/>
        </w:rPr>
        <w:t>انظر (8/223)،</w:t>
      </w:r>
      <w:r>
        <w:rPr>
          <w:rFonts w:ascii="Tahoma" w:hAnsi="Tahoma" w:hint="cs"/>
          <w:sz w:val="32"/>
          <w:szCs w:val="32"/>
          <w:rtl/>
        </w:rPr>
        <w:t xml:space="preserve"> و</w:t>
      </w:r>
      <w:r w:rsidRPr="00C50319">
        <w:rPr>
          <w:rFonts w:ascii="Tahoma" w:hAnsi="Tahoma" w:hint="cs"/>
          <w:sz w:val="32"/>
          <w:szCs w:val="32"/>
          <w:rtl/>
        </w:rPr>
        <w:t>فتح ذي الجلال</w:t>
      </w:r>
      <w:r>
        <w:rPr>
          <w:rFonts w:ascii="Tahoma" w:hAnsi="Tahoma" w:hint="cs"/>
          <w:sz w:val="32"/>
          <w:szCs w:val="32"/>
          <w:rtl/>
        </w:rPr>
        <w:t xml:space="preserve"> و</w:t>
      </w:r>
      <w:r w:rsidRPr="00C50319">
        <w:rPr>
          <w:rFonts w:ascii="Tahoma" w:hAnsi="Tahoma" w:hint="cs"/>
          <w:sz w:val="32"/>
          <w:szCs w:val="32"/>
          <w:rtl/>
        </w:rPr>
        <w:t>الإكرام (4/494).</w:t>
      </w:r>
    </w:p>
  </w:footnote>
  <w:footnote w:id="1135">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مقاييس اللغة (1/494).</w:t>
      </w:r>
    </w:p>
  </w:footnote>
  <w:footnote w:id="1136">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تاج العروس (15/77).</w:t>
      </w:r>
    </w:p>
  </w:footnote>
  <w:footnote w:id="1137">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لسان العرب (724).</w:t>
      </w:r>
    </w:p>
  </w:footnote>
  <w:footnote w:id="1138">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انظر معجم لغة الفقها</w:t>
      </w:r>
      <w:r>
        <w:rPr>
          <w:rFonts w:ascii="Tahoma" w:hAnsi="Tahoma" w:hint="cs"/>
          <w:sz w:val="32"/>
          <w:szCs w:val="32"/>
          <w:rtl/>
        </w:rPr>
        <w:t>ء (15، 148).</w:t>
      </w:r>
    </w:p>
  </w:footnote>
  <w:footnote w:id="1139">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انظر شرح الكوكب المنير (1/342).</w:t>
      </w:r>
    </w:p>
  </w:footnote>
  <w:footnote w:id="1140">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انظر قاعدة الأصل في الأشياء الإباحة (27، 140، 141، 142)</w:t>
      </w:r>
      <w:r>
        <w:rPr>
          <w:rFonts w:ascii="Tahoma" w:hAnsi="Tahoma" w:hint="cs"/>
          <w:sz w:val="32"/>
          <w:szCs w:val="32"/>
          <w:rtl/>
        </w:rPr>
        <w:t>. و</w:t>
      </w:r>
      <w:r w:rsidRPr="00C50319">
        <w:rPr>
          <w:rFonts w:ascii="Tahoma" w:hAnsi="Tahoma" w:hint="cs"/>
          <w:sz w:val="32"/>
          <w:szCs w:val="32"/>
          <w:rtl/>
        </w:rPr>
        <w:t>انظر الحدود لأبي الوليد الباجي (89).</w:t>
      </w:r>
    </w:p>
  </w:footnote>
  <w:footnote w:id="1141">
    <w:p w:rsidR="000D3D21" w:rsidRPr="004E60A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4E60A9">
        <w:rPr>
          <w:rFonts w:ascii="Tahoma" w:hAnsi="Tahoma" w:hint="cs"/>
          <w:sz w:val="32"/>
          <w:szCs w:val="32"/>
          <w:rtl/>
        </w:rPr>
        <w:t>مقاييس اللغة (3/281).</w:t>
      </w:r>
    </w:p>
  </w:footnote>
  <w:footnote w:id="1142">
    <w:p w:rsidR="000D3D21" w:rsidRPr="004E60A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4E60A9">
        <w:rPr>
          <w:rFonts w:ascii="Tahoma" w:hAnsi="Tahoma" w:hint="cs"/>
          <w:sz w:val="32"/>
          <w:szCs w:val="32"/>
          <w:rtl/>
        </w:rPr>
        <w:t>شرح</w:t>
      </w:r>
      <w:r>
        <w:rPr>
          <w:rFonts w:ascii="Tahoma" w:hAnsi="Tahoma" w:hint="cs"/>
          <w:sz w:val="32"/>
          <w:szCs w:val="32"/>
          <w:rtl/>
        </w:rPr>
        <w:t xml:space="preserve"> الكوكب المنير (1/467).</w:t>
      </w:r>
    </w:p>
  </w:footnote>
  <w:footnote w:id="1143">
    <w:p w:rsidR="000D3D21" w:rsidRPr="00237637"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237637">
        <w:rPr>
          <w:rFonts w:ascii="Tahoma" w:hAnsi="Tahoma" w:hint="cs"/>
          <w:sz w:val="32"/>
          <w:szCs w:val="32"/>
          <w:rtl/>
        </w:rPr>
        <w:t xml:space="preserve">انظر </w:t>
      </w:r>
      <w:r>
        <w:rPr>
          <w:rFonts w:ascii="Tahoma" w:hAnsi="Tahoma" w:hint="cs"/>
          <w:sz w:val="32"/>
          <w:szCs w:val="32"/>
          <w:rtl/>
        </w:rPr>
        <w:t>مجموع الفتاوى لابن تيمية (29/146، 150)، و</w:t>
      </w:r>
      <w:r w:rsidRPr="00237637">
        <w:rPr>
          <w:rFonts w:ascii="Tahoma" w:hAnsi="Tahoma" w:hint="cs"/>
          <w:sz w:val="32"/>
          <w:szCs w:val="32"/>
          <w:rtl/>
        </w:rPr>
        <w:t>شرح منظومة أصول الفقه</w:t>
      </w:r>
      <w:r>
        <w:rPr>
          <w:rFonts w:ascii="Tahoma" w:hAnsi="Tahoma" w:hint="cs"/>
          <w:sz w:val="32"/>
          <w:szCs w:val="32"/>
          <w:rtl/>
        </w:rPr>
        <w:t xml:space="preserve"> و</w:t>
      </w:r>
      <w:r w:rsidRPr="00237637">
        <w:rPr>
          <w:rFonts w:ascii="Tahoma" w:hAnsi="Tahoma" w:hint="cs"/>
          <w:sz w:val="32"/>
          <w:szCs w:val="32"/>
          <w:rtl/>
        </w:rPr>
        <w:t>قواعده (100-101)،</w:t>
      </w:r>
      <w:r>
        <w:rPr>
          <w:rFonts w:ascii="Tahoma" w:hAnsi="Tahoma" w:hint="cs"/>
          <w:sz w:val="32"/>
          <w:szCs w:val="32"/>
          <w:rtl/>
        </w:rPr>
        <w:t xml:space="preserve"> و</w:t>
      </w:r>
      <w:r w:rsidRPr="00237637">
        <w:rPr>
          <w:rFonts w:ascii="Tahoma" w:hAnsi="Tahoma" w:hint="cs"/>
          <w:sz w:val="32"/>
          <w:szCs w:val="32"/>
          <w:rtl/>
        </w:rPr>
        <w:t>الشرح الممتع (9/457)،</w:t>
      </w:r>
      <w:r>
        <w:rPr>
          <w:rFonts w:ascii="Tahoma" w:hAnsi="Tahoma" w:hint="cs"/>
          <w:sz w:val="32"/>
          <w:szCs w:val="32"/>
          <w:rtl/>
        </w:rPr>
        <w:t xml:space="preserve"> و(12/164، 267</w:t>
      </w:r>
      <w:r w:rsidRPr="00237637">
        <w:rPr>
          <w:rFonts w:ascii="Tahoma" w:hAnsi="Tahoma" w:hint="cs"/>
          <w:sz w:val="32"/>
          <w:szCs w:val="32"/>
          <w:rtl/>
        </w:rPr>
        <w:t>)</w:t>
      </w:r>
      <w:r>
        <w:rPr>
          <w:rFonts w:ascii="Tahoma" w:hAnsi="Tahoma" w:hint="cs"/>
          <w:sz w:val="32"/>
          <w:szCs w:val="32"/>
          <w:rtl/>
        </w:rPr>
        <w:t>، وقاعدة الأصل في الأشياء الإباحة (28)</w:t>
      </w:r>
      <w:r w:rsidRPr="00237637">
        <w:rPr>
          <w:rFonts w:ascii="Tahoma" w:hAnsi="Tahoma" w:hint="cs"/>
          <w:sz w:val="32"/>
          <w:szCs w:val="32"/>
          <w:rtl/>
        </w:rPr>
        <w:t>.</w:t>
      </w:r>
    </w:p>
  </w:footnote>
  <w:footnote w:id="1144">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بعض الأدلة خاص بجزء من أجزاء القاعدة</w:t>
      </w:r>
      <w:r>
        <w:rPr>
          <w:rFonts w:ascii="Tahoma" w:hAnsi="Tahoma" w:hint="cs"/>
          <w:sz w:val="32"/>
          <w:szCs w:val="32"/>
          <w:rtl/>
        </w:rPr>
        <w:t>.</w:t>
      </w:r>
      <w:r w:rsidRPr="00C50319">
        <w:rPr>
          <w:rFonts w:ascii="Tahoma" w:hAnsi="Tahoma" w:hint="cs"/>
          <w:sz w:val="32"/>
          <w:szCs w:val="32"/>
          <w:rtl/>
        </w:rPr>
        <w:t>.</w:t>
      </w:r>
    </w:p>
  </w:footnote>
  <w:footnote w:id="1145">
    <w:p w:rsidR="000D3D21" w:rsidRPr="00E5554A"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شرح الكوكب المنير</w:t>
      </w:r>
      <w:r w:rsidRPr="00C50319">
        <w:rPr>
          <w:rFonts w:ascii="Tahoma" w:hAnsi="Tahoma" w:hint="cs"/>
          <w:sz w:val="32"/>
          <w:szCs w:val="32"/>
          <w:rtl/>
        </w:rPr>
        <w:t xml:space="preserve"> (3/133).</w:t>
      </w:r>
    </w:p>
  </w:footnote>
  <w:footnote w:id="1146">
    <w:p w:rsidR="000D3D21" w:rsidRPr="00237637" w:rsidRDefault="000D3D21" w:rsidP="00CE4916">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237637">
        <w:rPr>
          <w:rFonts w:ascii="Tahoma" w:hAnsi="Tahoma" w:hint="cs"/>
          <w:sz w:val="32"/>
          <w:szCs w:val="32"/>
          <w:rtl/>
        </w:rPr>
        <w:t>انظر</w:t>
      </w:r>
      <w:r>
        <w:rPr>
          <w:rFonts w:ascii="Tahoma" w:hAnsi="Tahoma" w:hint="cs"/>
          <w:sz w:val="32"/>
          <w:szCs w:val="32"/>
          <w:rtl/>
        </w:rPr>
        <w:t>:</w:t>
      </w:r>
      <w:r w:rsidRPr="00237637">
        <w:rPr>
          <w:rFonts w:ascii="Tahoma" w:hAnsi="Tahoma" w:hint="cs"/>
          <w:sz w:val="32"/>
          <w:szCs w:val="32"/>
          <w:rtl/>
        </w:rPr>
        <w:t xml:space="preserve"> </w:t>
      </w:r>
      <w:r>
        <w:rPr>
          <w:rFonts w:ascii="Tahoma" w:hAnsi="Tahoma" w:hint="cs"/>
          <w:sz w:val="32"/>
          <w:szCs w:val="32"/>
          <w:rtl/>
        </w:rPr>
        <w:t>شرح منظومة أصول الفقه وقواعده (100)، و</w:t>
      </w:r>
      <w:r w:rsidRPr="00237637">
        <w:rPr>
          <w:rFonts w:ascii="Tahoma" w:hAnsi="Tahoma" w:hint="cs"/>
          <w:sz w:val="32"/>
          <w:szCs w:val="32"/>
          <w:rtl/>
        </w:rPr>
        <w:t>المقدمات الممهدات</w:t>
      </w:r>
      <w:r>
        <w:rPr>
          <w:rFonts w:ascii="Tahoma" w:hAnsi="Tahoma" w:hint="cs"/>
          <w:sz w:val="32"/>
          <w:szCs w:val="32"/>
          <w:rtl/>
        </w:rPr>
        <w:t xml:space="preserve"> لأبي الوليد ابن رشد الجد (2/61-62).</w:t>
      </w:r>
    </w:p>
  </w:footnote>
  <w:footnote w:id="1147">
    <w:p w:rsidR="000D3D21" w:rsidRPr="0016334B" w:rsidRDefault="000D3D21" w:rsidP="00E80CDC">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تفسير السعدي (176</w:t>
      </w:r>
      <w:r w:rsidRPr="0016334B">
        <w:rPr>
          <w:rFonts w:ascii="Tahoma" w:hAnsi="Tahoma" w:hint="cs"/>
          <w:sz w:val="32"/>
          <w:szCs w:val="32"/>
          <w:rtl/>
        </w:rPr>
        <w:t>)،</w:t>
      </w:r>
      <w:r>
        <w:rPr>
          <w:rFonts w:ascii="Tahoma" w:hAnsi="Tahoma" w:hint="cs"/>
          <w:sz w:val="32"/>
          <w:szCs w:val="32"/>
          <w:rtl/>
        </w:rPr>
        <w:t xml:space="preserve"> و</w:t>
      </w:r>
      <w:r w:rsidRPr="0016334B">
        <w:rPr>
          <w:rFonts w:ascii="Tahoma" w:hAnsi="Tahoma" w:hint="cs"/>
          <w:sz w:val="32"/>
          <w:szCs w:val="32"/>
          <w:rtl/>
        </w:rPr>
        <w:t>أصول جوامع فيما يحل</w:t>
      </w:r>
      <w:r>
        <w:rPr>
          <w:rFonts w:ascii="Tahoma" w:hAnsi="Tahoma" w:hint="cs"/>
          <w:sz w:val="32"/>
          <w:szCs w:val="32"/>
          <w:rtl/>
        </w:rPr>
        <w:t xml:space="preserve"> و</w:t>
      </w:r>
      <w:r w:rsidRPr="0016334B">
        <w:rPr>
          <w:rFonts w:ascii="Tahoma" w:hAnsi="Tahoma" w:hint="cs"/>
          <w:sz w:val="32"/>
          <w:szCs w:val="32"/>
          <w:rtl/>
        </w:rPr>
        <w:t>يحرم من المعاملات</w:t>
      </w:r>
      <w:r>
        <w:rPr>
          <w:rFonts w:ascii="Tahoma" w:hAnsi="Tahoma" w:hint="cs"/>
          <w:sz w:val="32"/>
          <w:szCs w:val="32"/>
          <w:rtl/>
        </w:rPr>
        <w:t xml:space="preserve"> للمؤلف نفسه</w:t>
      </w:r>
      <w:r w:rsidRPr="0016334B">
        <w:rPr>
          <w:rFonts w:ascii="Tahoma" w:hAnsi="Tahoma" w:hint="cs"/>
          <w:sz w:val="32"/>
          <w:szCs w:val="32"/>
          <w:rtl/>
        </w:rPr>
        <w:t xml:space="preserve"> (8-9).</w:t>
      </w:r>
    </w:p>
  </w:footnote>
  <w:footnote w:id="1148">
    <w:p w:rsidR="000D3D21" w:rsidRPr="00237637"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237637">
        <w:rPr>
          <w:rFonts w:ascii="Tahoma" w:hAnsi="Tahoma" w:hint="cs"/>
          <w:sz w:val="32"/>
          <w:szCs w:val="32"/>
          <w:rtl/>
        </w:rPr>
        <w:t>شرح منظومة أصول الفقه</w:t>
      </w:r>
      <w:r>
        <w:rPr>
          <w:rFonts w:ascii="Tahoma" w:hAnsi="Tahoma" w:hint="cs"/>
          <w:sz w:val="32"/>
          <w:szCs w:val="32"/>
          <w:rtl/>
        </w:rPr>
        <w:t xml:space="preserve"> و</w:t>
      </w:r>
      <w:r w:rsidRPr="00237637">
        <w:rPr>
          <w:rFonts w:ascii="Tahoma" w:hAnsi="Tahoma" w:hint="cs"/>
          <w:sz w:val="32"/>
          <w:szCs w:val="32"/>
          <w:rtl/>
        </w:rPr>
        <w:t>قواعده (100-101).</w:t>
      </w:r>
    </w:p>
  </w:footnote>
  <w:footnote w:id="1149">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انظر الشرح الممتع (9/45)،</w:t>
      </w:r>
      <w:r>
        <w:rPr>
          <w:rFonts w:ascii="Tahoma" w:hAnsi="Tahoma" w:hint="cs"/>
          <w:sz w:val="32"/>
          <w:szCs w:val="32"/>
          <w:rtl/>
        </w:rPr>
        <w:t xml:space="preserve"> و</w:t>
      </w:r>
      <w:r w:rsidRPr="00C50319">
        <w:rPr>
          <w:rFonts w:ascii="Tahoma" w:hAnsi="Tahoma" w:hint="cs"/>
          <w:sz w:val="32"/>
          <w:szCs w:val="32"/>
          <w:rtl/>
        </w:rPr>
        <w:t>(12/164).</w:t>
      </w:r>
    </w:p>
  </w:footnote>
  <w:footnote w:id="1150">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انظر فتح ذي الجلال</w:t>
      </w:r>
      <w:r>
        <w:rPr>
          <w:rFonts w:ascii="Tahoma" w:hAnsi="Tahoma" w:hint="cs"/>
          <w:sz w:val="32"/>
          <w:szCs w:val="32"/>
          <w:rtl/>
        </w:rPr>
        <w:t xml:space="preserve"> و</w:t>
      </w:r>
      <w:r w:rsidRPr="00C50319">
        <w:rPr>
          <w:rFonts w:ascii="Tahoma" w:hAnsi="Tahoma" w:hint="cs"/>
          <w:sz w:val="32"/>
          <w:szCs w:val="32"/>
          <w:rtl/>
        </w:rPr>
        <w:t>الإكرام (4/497).</w:t>
      </w:r>
    </w:p>
  </w:footnote>
  <w:footnote w:id="1151">
    <w:p w:rsidR="000D3D21" w:rsidRPr="00155B21"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الشرح الممتع (8/62)، و</w:t>
      </w:r>
      <w:r w:rsidRPr="00237637">
        <w:rPr>
          <w:rFonts w:ascii="Tahoma" w:hAnsi="Tahoma" w:hint="cs"/>
          <w:sz w:val="32"/>
          <w:szCs w:val="32"/>
          <w:rtl/>
        </w:rPr>
        <w:t>(9/457)</w:t>
      </w:r>
      <w:r>
        <w:rPr>
          <w:rFonts w:ascii="Tahoma" w:hAnsi="Tahoma" w:hint="cs"/>
          <w:sz w:val="32"/>
          <w:szCs w:val="32"/>
          <w:rtl/>
        </w:rPr>
        <w:t>، و(12/270).ويقال مثل ذلك في جميع ما يأتي من الأدلة الآتية الدالة على الوفاء بالعقود أو الشروط</w:t>
      </w:r>
      <w:r w:rsidRPr="00237637">
        <w:rPr>
          <w:rFonts w:ascii="Tahoma" w:hAnsi="Tahoma" w:hint="cs"/>
          <w:sz w:val="32"/>
          <w:szCs w:val="32"/>
          <w:rtl/>
        </w:rPr>
        <w:t>.</w:t>
      </w:r>
    </w:p>
  </w:footnote>
  <w:footnote w:id="1152">
    <w:p w:rsidR="000D3D21" w:rsidRPr="0016334B"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16334B">
        <w:rPr>
          <w:rFonts w:ascii="Tahoma" w:hAnsi="Tahoma" w:hint="cs"/>
          <w:sz w:val="32"/>
          <w:szCs w:val="32"/>
          <w:rtl/>
        </w:rPr>
        <w:t>الأصل</w:t>
      </w:r>
      <w:r>
        <w:rPr>
          <w:rFonts w:ascii="Tahoma" w:hAnsi="Tahoma" w:hint="cs"/>
          <w:sz w:val="32"/>
          <w:szCs w:val="32"/>
          <w:rtl/>
        </w:rPr>
        <w:t xml:space="preserve"> و</w:t>
      </w:r>
      <w:r w:rsidRPr="0016334B">
        <w:rPr>
          <w:rFonts w:ascii="Tahoma" w:hAnsi="Tahoma" w:hint="cs"/>
          <w:sz w:val="32"/>
          <w:szCs w:val="32"/>
          <w:rtl/>
        </w:rPr>
        <w:t>الظاهر في القواعد الفقهية (584)</w:t>
      </w:r>
      <w:r>
        <w:rPr>
          <w:rFonts w:ascii="Tahoma" w:hAnsi="Tahoma" w:hint="cs"/>
          <w:sz w:val="32"/>
          <w:szCs w:val="32"/>
          <w:rtl/>
        </w:rPr>
        <w:t>، وانظر مجموع الفتاوى (29/145-146)، ويقال مثل ذلك في جميع ما يأتي من الأدلة الدالة على الوفاء بالشروط والعقود</w:t>
      </w:r>
      <w:r w:rsidRPr="0016334B">
        <w:rPr>
          <w:rFonts w:ascii="Tahoma" w:hAnsi="Tahoma" w:hint="cs"/>
          <w:sz w:val="32"/>
          <w:szCs w:val="32"/>
          <w:rtl/>
        </w:rPr>
        <w:t>.</w:t>
      </w:r>
    </w:p>
  </w:footnote>
  <w:footnote w:id="1153">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sidRPr="00C50319">
        <w:rPr>
          <w:rFonts w:ascii="Tahoma" w:hAnsi="Tahoma" w:hint="cs"/>
          <w:sz w:val="32"/>
          <w:szCs w:val="32"/>
          <w:rtl/>
        </w:rPr>
        <w:t xml:space="preserve"> انظر الشرح الممتع (9/162)،</w:t>
      </w:r>
      <w:r>
        <w:rPr>
          <w:rFonts w:ascii="Tahoma" w:hAnsi="Tahoma" w:hint="cs"/>
          <w:sz w:val="32"/>
          <w:szCs w:val="32"/>
          <w:rtl/>
        </w:rPr>
        <w:t xml:space="preserve"> و</w:t>
      </w:r>
      <w:r w:rsidRPr="00C50319">
        <w:rPr>
          <w:rFonts w:ascii="Tahoma" w:hAnsi="Tahoma" w:hint="cs"/>
          <w:sz w:val="32"/>
          <w:szCs w:val="32"/>
          <w:rtl/>
        </w:rPr>
        <w:t>(15/379)،</w:t>
      </w:r>
      <w:r>
        <w:rPr>
          <w:rFonts w:ascii="Tahoma" w:hAnsi="Tahoma" w:hint="cs"/>
          <w:sz w:val="32"/>
          <w:szCs w:val="32"/>
          <w:rtl/>
        </w:rPr>
        <w:t xml:space="preserve"> و</w:t>
      </w:r>
      <w:r w:rsidRPr="00C50319">
        <w:rPr>
          <w:rFonts w:ascii="Tahoma" w:hAnsi="Tahoma" w:hint="cs"/>
          <w:sz w:val="32"/>
          <w:szCs w:val="32"/>
          <w:rtl/>
        </w:rPr>
        <w:t>فتح ذي الجلال</w:t>
      </w:r>
      <w:r>
        <w:rPr>
          <w:rFonts w:ascii="Tahoma" w:hAnsi="Tahoma" w:hint="cs"/>
          <w:sz w:val="32"/>
          <w:szCs w:val="32"/>
          <w:rtl/>
        </w:rPr>
        <w:t xml:space="preserve"> و</w:t>
      </w:r>
      <w:r w:rsidRPr="00C50319">
        <w:rPr>
          <w:rFonts w:ascii="Tahoma" w:hAnsi="Tahoma" w:hint="cs"/>
          <w:sz w:val="32"/>
          <w:szCs w:val="32"/>
          <w:rtl/>
        </w:rPr>
        <w:t>الإكرام (4/73).</w:t>
      </w:r>
    </w:p>
  </w:footnote>
  <w:footnote w:id="1154">
    <w:p w:rsidR="000D3D21" w:rsidRPr="00C50319" w:rsidRDefault="000D3D21" w:rsidP="00220935">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تقدم تخريجه.</w:t>
      </w:r>
    </w:p>
  </w:footnote>
  <w:footnote w:id="1155">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فتح ذي الجلال</w:t>
      </w:r>
      <w:r>
        <w:rPr>
          <w:rFonts w:ascii="Tahoma" w:hAnsi="Tahoma" w:hint="cs"/>
          <w:sz w:val="32"/>
          <w:szCs w:val="32"/>
          <w:rtl/>
        </w:rPr>
        <w:t xml:space="preserve"> والإكرام</w:t>
      </w:r>
      <w:r w:rsidRPr="00C50319">
        <w:rPr>
          <w:rFonts w:ascii="Tahoma" w:hAnsi="Tahoma" w:hint="cs"/>
          <w:sz w:val="32"/>
          <w:szCs w:val="32"/>
          <w:rtl/>
        </w:rPr>
        <w:t xml:space="preserve"> (3/510)</w:t>
      </w:r>
      <w:r>
        <w:rPr>
          <w:rFonts w:ascii="Tahoma" w:hAnsi="Tahoma" w:hint="cs"/>
          <w:sz w:val="32"/>
          <w:szCs w:val="32"/>
          <w:rtl/>
        </w:rPr>
        <w:t xml:space="preserve"> بتصرف</w:t>
      </w:r>
      <w:r w:rsidRPr="00C50319">
        <w:rPr>
          <w:rFonts w:ascii="Tahoma" w:hAnsi="Tahoma" w:hint="cs"/>
          <w:sz w:val="32"/>
          <w:szCs w:val="32"/>
          <w:rtl/>
        </w:rPr>
        <w:t>.</w:t>
      </w:r>
    </w:p>
  </w:footnote>
  <w:footnote w:id="1156">
    <w:p w:rsidR="000D3D21" w:rsidRPr="00550C52"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عقبة بن عامر بن عبس بن عمرو الجهني، أبو حماد، وقيل: أبو الأسود، وقيل غير ذلك، كان قارئا، عالما بالفرائض والفقه، شاعرا، كاتبا، روى عنه من الصحابة ابن عباس وأبو أمامة وغيرهما، ومن التابعين علي بن رباح وسعيد بن المسيب وغيرهما، شهد فتوح الشام، وولاه معاوية على مصر، وتوفي بها سنة 58.انظر: الاستيعاب (3/1073-1074)، وأسد الغابة (3/550-551)، والإصابة (7/205-207). </w:t>
      </w:r>
    </w:p>
  </w:footnote>
  <w:footnote w:id="1157">
    <w:p w:rsidR="000D3D21" w:rsidRPr="00E35C07" w:rsidRDefault="000D3D21" w:rsidP="004775DA">
      <w:pPr>
        <w:widowControl/>
        <w:autoSpaceDE w:val="0"/>
        <w:autoSpaceDN w:val="0"/>
        <w:adjustRightInd w:val="0"/>
        <w:ind w:firstLine="0"/>
        <w:jc w:val="left"/>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raditional Arabic" w:hAnsi="Traditional Arabic" w:hint="cs"/>
          <w:noProof w:val="0"/>
          <w:sz w:val="32"/>
          <w:szCs w:val="32"/>
          <w:rtl/>
          <w:lang w:eastAsia="en-US"/>
        </w:rPr>
        <w:t xml:space="preserve"> </w:t>
      </w:r>
      <w:r w:rsidRPr="00C971CD">
        <w:rPr>
          <w:rFonts w:ascii="Traditional Arabic" w:hAnsi="Traditional Arabic"/>
          <w:noProof w:val="0"/>
          <w:sz w:val="32"/>
          <w:szCs w:val="32"/>
          <w:rtl/>
          <w:lang w:eastAsia="en-US"/>
        </w:rPr>
        <w:t>أخرجه البخاري في</w:t>
      </w:r>
      <w:r>
        <w:rPr>
          <w:rFonts w:ascii="Traditional Arabic" w:hAnsi="Traditional Arabic" w:hint="cs"/>
          <w:noProof w:val="0"/>
          <w:sz w:val="32"/>
          <w:szCs w:val="32"/>
          <w:rtl/>
          <w:lang w:eastAsia="en-US"/>
        </w:rPr>
        <w:t xml:space="preserve"> كتاب</w:t>
      </w:r>
      <w:r>
        <w:rPr>
          <w:rFonts w:ascii="Traditional Arabic" w:hAnsi="Traditional Arabic"/>
          <w:noProof w:val="0"/>
          <w:sz w:val="32"/>
          <w:szCs w:val="32"/>
          <w:rtl/>
          <w:lang w:eastAsia="en-US"/>
        </w:rPr>
        <w:t xml:space="preserve"> الشروط</w:t>
      </w:r>
      <w:r>
        <w:rPr>
          <w:rFonts w:ascii="Traditional Arabic" w:hAnsi="Traditional Arabic" w:hint="cs"/>
          <w:noProof w:val="0"/>
          <w:sz w:val="32"/>
          <w:szCs w:val="32"/>
          <w:rtl/>
          <w:lang w:eastAsia="en-US"/>
        </w:rPr>
        <w:t>،</w:t>
      </w:r>
      <w:r w:rsidRPr="00C971CD">
        <w:rPr>
          <w:rFonts w:ascii="Traditional Arabic" w:hAnsi="Traditional Arabic"/>
          <w:noProof w:val="0"/>
          <w:sz w:val="32"/>
          <w:szCs w:val="32"/>
          <w:rtl/>
          <w:lang w:eastAsia="en-US"/>
        </w:rPr>
        <w:t xml:space="preserve"> باب الشروط في المهر عند ع</w:t>
      </w:r>
      <w:r>
        <w:rPr>
          <w:rFonts w:ascii="Traditional Arabic" w:hAnsi="Traditional Arabic" w:hint="cs"/>
          <w:noProof w:val="0"/>
          <w:sz w:val="32"/>
          <w:szCs w:val="32"/>
          <w:rtl/>
          <w:lang w:eastAsia="en-US"/>
        </w:rPr>
        <w:t>ُ</w:t>
      </w:r>
      <w:r w:rsidRPr="00C971CD">
        <w:rPr>
          <w:rFonts w:ascii="Traditional Arabic" w:hAnsi="Traditional Arabic"/>
          <w:noProof w:val="0"/>
          <w:sz w:val="32"/>
          <w:szCs w:val="32"/>
          <w:rtl/>
          <w:lang w:eastAsia="en-US"/>
        </w:rPr>
        <w:t>قد</w:t>
      </w:r>
      <w:r>
        <w:rPr>
          <w:rFonts w:ascii="Traditional Arabic" w:hAnsi="Traditional Arabic" w:hint="cs"/>
          <w:noProof w:val="0"/>
          <w:sz w:val="32"/>
          <w:szCs w:val="32"/>
          <w:rtl/>
          <w:lang w:eastAsia="en-US"/>
        </w:rPr>
        <w:t>ة</w:t>
      </w:r>
      <w:r w:rsidRPr="00C971CD">
        <w:rPr>
          <w:rFonts w:ascii="Traditional Arabic" w:hAnsi="Traditional Arabic"/>
          <w:noProof w:val="0"/>
          <w:sz w:val="32"/>
          <w:szCs w:val="32"/>
          <w:rtl/>
          <w:lang w:eastAsia="en-US"/>
        </w:rPr>
        <w:t xml:space="preserve"> النكاح</w:t>
      </w:r>
      <w:r>
        <w:rPr>
          <w:rFonts w:ascii="Traditional Arabic" w:hAnsi="Traditional Arabic" w:hint="cs"/>
          <w:noProof w:val="0"/>
          <w:sz w:val="32"/>
          <w:szCs w:val="32"/>
          <w:rtl/>
          <w:lang w:eastAsia="en-US"/>
        </w:rPr>
        <w:t>، رقم الحديث</w:t>
      </w:r>
      <w:r>
        <w:rPr>
          <w:rFonts w:ascii="Traditional Arabic" w:hAnsi="Traditional Arabic"/>
          <w:noProof w:val="0"/>
          <w:sz w:val="32"/>
          <w:szCs w:val="32"/>
          <w:rtl/>
          <w:lang w:eastAsia="en-US"/>
        </w:rPr>
        <w:t xml:space="preserve"> (2721)</w:t>
      </w:r>
      <w:r>
        <w:rPr>
          <w:rFonts w:ascii="Traditional Arabic" w:hAnsi="Traditional Arabic" w:hint="cs"/>
          <w:noProof w:val="0"/>
          <w:sz w:val="32"/>
          <w:szCs w:val="32"/>
          <w:rtl/>
          <w:lang w:eastAsia="en-US"/>
        </w:rPr>
        <w:t>،</w:t>
      </w:r>
      <w:r w:rsidRPr="00C971CD">
        <w:rPr>
          <w:rFonts w:ascii="Traditional Arabic" w:hAnsi="Traditional Arabic"/>
          <w:noProof w:val="0"/>
          <w:sz w:val="32"/>
          <w:szCs w:val="32"/>
          <w:rtl/>
          <w:lang w:eastAsia="en-US"/>
        </w:rPr>
        <w:t xml:space="preserve"> ومسلم في</w:t>
      </w:r>
      <w:r>
        <w:rPr>
          <w:rFonts w:ascii="Traditional Arabic" w:hAnsi="Traditional Arabic" w:hint="cs"/>
          <w:noProof w:val="0"/>
          <w:sz w:val="32"/>
          <w:szCs w:val="32"/>
          <w:rtl/>
          <w:lang w:eastAsia="en-US"/>
        </w:rPr>
        <w:t xml:space="preserve"> كتاب</w:t>
      </w:r>
      <w:r>
        <w:rPr>
          <w:rFonts w:ascii="Traditional Arabic" w:hAnsi="Traditional Arabic"/>
          <w:noProof w:val="0"/>
          <w:sz w:val="32"/>
          <w:szCs w:val="32"/>
          <w:rtl/>
          <w:lang w:eastAsia="en-US"/>
        </w:rPr>
        <w:t xml:space="preserve"> النكاح</w:t>
      </w:r>
      <w:r>
        <w:rPr>
          <w:rFonts w:ascii="Traditional Arabic" w:hAnsi="Traditional Arabic" w:hint="cs"/>
          <w:noProof w:val="0"/>
          <w:sz w:val="32"/>
          <w:szCs w:val="32"/>
          <w:rtl/>
          <w:lang w:eastAsia="en-US"/>
        </w:rPr>
        <w:t>،</w:t>
      </w:r>
      <w:r w:rsidRPr="00C971CD">
        <w:rPr>
          <w:rFonts w:ascii="Traditional Arabic" w:hAnsi="Traditional Arabic"/>
          <w:noProof w:val="0"/>
          <w:sz w:val="32"/>
          <w:szCs w:val="32"/>
          <w:rtl/>
          <w:lang w:eastAsia="en-US"/>
        </w:rPr>
        <w:t xml:space="preserve"> باب الوفاء بالشروط في النكاح</w:t>
      </w:r>
      <w:r>
        <w:rPr>
          <w:rFonts w:ascii="Traditional Arabic" w:hAnsi="Traditional Arabic" w:hint="cs"/>
          <w:noProof w:val="0"/>
          <w:sz w:val="32"/>
          <w:szCs w:val="32"/>
          <w:rtl/>
          <w:lang w:eastAsia="en-US"/>
        </w:rPr>
        <w:t>، رقم الحديث</w:t>
      </w:r>
      <w:r w:rsidRPr="00C971CD">
        <w:rPr>
          <w:rFonts w:ascii="Traditional Arabic" w:hAnsi="Traditional Arabic"/>
          <w:noProof w:val="0"/>
          <w:sz w:val="32"/>
          <w:szCs w:val="32"/>
          <w:rtl/>
          <w:lang w:eastAsia="en-US"/>
        </w:rPr>
        <w:t xml:space="preserve"> (1418). </w:t>
      </w:r>
    </w:p>
  </w:footnote>
  <w:footnote w:id="1158">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 xml:space="preserve">انظر مجموع الفتاوى </w:t>
      </w:r>
      <w:r>
        <w:rPr>
          <w:rFonts w:ascii="Tahoma" w:hAnsi="Tahoma" w:hint="cs"/>
          <w:sz w:val="32"/>
          <w:szCs w:val="32"/>
          <w:rtl/>
        </w:rPr>
        <w:t xml:space="preserve">لابن تيمية </w:t>
      </w:r>
      <w:r w:rsidRPr="00C50319">
        <w:rPr>
          <w:rFonts w:ascii="Tahoma" w:hAnsi="Tahoma" w:hint="cs"/>
          <w:sz w:val="32"/>
          <w:szCs w:val="32"/>
          <w:rtl/>
        </w:rPr>
        <w:t>(29/145).</w:t>
      </w:r>
    </w:p>
  </w:footnote>
  <w:footnote w:id="1159">
    <w:p w:rsidR="000D3D21" w:rsidRPr="00CB73E5" w:rsidRDefault="000D3D21" w:rsidP="004775DA">
      <w:pPr>
        <w:widowControl/>
        <w:autoSpaceDE w:val="0"/>
        <w:autoSpaceDN w:val="0"/>
        <w:adjustRightInd w:val="0"/>
        <w:ind w:firstLine="0"/>
        <w:jc w:val="left"/>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szCs w:val="32"/>
          <w:rtl/>
        </w:rPr>
        <w:t xml:space="preserve"> </w:t>
      </w:r>
      <w:r w:rsidRPr="00C971CD">
        <w:rPr>
          <w:rFonts w:ascii="Traditional Arabic" w:hAnsi="Traditional Arabic"/>
          <w:noProof w:val="0"/>
          <w:sz w:val="32"/>
          <w:szCs w:val="32"/>
          <w:rtl/>
          <w:lang w:eastAsia="en-US"/>
        </w:rPr>
        <w:t>أخرجه</w:t>
      </w:r>
      <w:r>
        <w:rPr>
          <w:rFonts w:ascii="Traditional Arabic" w:hAnsi="Traditional Arabic" w:hint="cs"/>
          <w:noProof w:val="0"/>
          <w:sz w:val="32"/>
          <w:szCs w:val="32"/>
          <w:rtl/>
          <w:lang w:eastAsia="en-US"/>
        </w:rPr>
        <w:t xml:space="preserve"> ابن ماجه بهذا اللفظ في سننه، في كتاب العتق، باب المكاتب، رقم الحديث (2521). والحديث صحيح.انظر إرواء الغليل (5/152-153).</w:t>
      </w:r>
    </w:p>
  </w:footnote>
  <w:footnote w:id="1160">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انظر الشرح الممتع (8/272)،</w:t>
      </w:r>
      <w:r>
        <w:rPr>
          <w:rFonts w:ascii="Tahoma" w:hAnsi="Tahoma" w:hint="cs"/>
          <w:sz w:val="32"/>
          <w:szCs w:val="32"/>
          <w:rtl/>
        </w:rPr>
        <w:t xml:space="preserve"> و</w:t>
      </w:r>
      <w:r w:rsidRPr="00C50319">
        <w:rPr>
          <w:rFonts w:ascii="Tahoma" w:hAnsi="Tahoma" w:hint="cs"/>
          <w:sz w:val="32"/>
          <w:szCs w:val="32"/>
          <w:rtl/>
        </w:rPr>
        <w:t>فتح ذي الجلال</w:t>
      </w:r>
      <w:r>
        <w:rPr>
          <w:rFonts w:ascii="Tahoma" w:hAnsi="Tahoma" w:hint="cs"/>
          <w:sz w:val="32"/>
          <w:szCs w:val="32"/>
          <w:rtl/>
        </w:rPr>
        <w:t xml:space="preserve"> و</w:t>
      </w:r>
      <w:r w:rsidRPr="00C50319">
        <w:rPr>
          <w:rFonts w:ascii="Tahoma" w:hAnsi="Tahoma" w:hint="cs"/>
          <w:sz w:val="32"/>
          <w:szCs w:val="32"/>
          <w:rtl/>
        </w:rPr>
        <w:t>الإكرام (4/73).</w:t>
      </w:r>
    </w:p>
  </w:footnote>
  <w:footnote w:id="1161">
    <w:p w:rsidR="000D3D21" w:rsidRPr="009C28D7"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فتح ذي الجلال</w:t>
      </w:r>
      <w:r>
        <w:rPr>
          <w:rFonts w:ascii="Tahoma" w:hAnsi="Tahoma" w:hint="cs"/>
          <w:sz w:val="32"/>
          <w:szCs w:val="32"/>
          <w:rtl/>
        </w:rPr>
        <w:t xml:space="preserve"> و</w:t>
      </w:r>
      <w:r w:rsidRPr="00C50319">
        <w:rPr>
          <w:rFonts w:ascii="Tahoma" w:hAnsi="Tahoma" w:hint="cs"/>
          <w:sz w:val="32"/>
          <w:szCs w:val="32"/>
          <w:rtl/>
        </w:rPr>
        <w:t>الإكرام (3/510)</w:t>
      </w:r>
      <w:r>
        <w:rPr>
          <w:rFonts w:ascii="Tahoma" w:hAnsi="Tahoma" w:hint="cs"/>
          <w:sz w:val="32"/>
          <w:szCs w:val="32"/>
          <w:rtl/>
        </w:rPr>
        <w:t>.</w:t>
      </w:r>
    </w:p>
  </w:footnote>
  <w:footnote w:id="1162">
    <w:p w:rsidR="000D3D21" w:rsidRPr="0016334B"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16334B">
        <w:rPr>
          <w:rFonts w:ascii="Tahoma" w:hAnsi="Tahoma" w:hint="cs"/>
          <w:sz w:val="32"/>
          <w:szCs w:val="32"/>
          <w:rtl/>
        </w:rPr>
        <w:t>الشرح الممتع (8/119).</w:t>
      </w:r>
    </w:p>
  </w:footnote>
  <w:footnote w:id="1163">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لم</w:t>
      </w:r>
      <w:r>
        <w:rPr>
          <w:rFonts w:ascii="Tahoma" w:hAnsi="Tahoma" w:hint="cs"/>
          <w:sz w:val="32"/>
          <w:szCs w:val="32"/>
          <w:rtl/>
        </w:rPr>
        <w:t>ا كانت القاعدة متعلقة بالعقود والشروط والجواز والصحة، فإني أقتصر في الغالب في</w:t>
      </w:r>
      <w:r w:rsidRPr="00C50319">
        <w:rPr>
          <w:rFonts w:ascii="Tahoma" w:hAnsi="Tahoma" w:hint="cs"/>
          <w:sz w:val="32"/>
          <w:szCs w:val="32"/>
          <w:rtl/>
        </w:rPr>
        <w:t xml:space="preserve"> وجه الاندراج على ذكر الجزء الذي له علاقة بالفرع فقط.</w:t>
      </w:r>
    </w:p>
  </w:footnote>
  <w:footnote w:id="1164">
    <w:p w:rsidR="000D3D21" w:rsidRPr="0016334B"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w:t>
      </w:r>
      <w:r w:rsidRPr="0016334B">
        <w:rPr>
          <w:rFonts w:ascii="Tahoma" w:hAnsi="Tahoma" w:hint="cs"/>
          <w:sz w:val="32"/>
          <w:szCs w:val="32"/>
          <w:rtl/>
        </w:rPr>
        <w:t xml:space="preserve"> إغاثة الجموع</w:t>
      </w:r>
      <w:r>
        <w:rPr>
          <w:rFonts w:ascii="Tahoma" w:hAnsi="Tahoma" w:hint="cs"/>
          <w:sz w:val="32"/>
          <w:szCs w:val="32"/>
          <w:rtl/>
        </w:rPr>
        <w:t xml:space="preserve"> </w:t>
      </w:r>
      <w:r w:rsidRPr="0016334B">
        <w:rPr>
          <w:rFonts w:ascii="Tahoma" w:hAnsi="Tahoma" w:hint="cs"/>
          <w:sz w:val="32"/>
          <w:szCs w:val="32"/>
          <w:rtl/>
        </w:rPr>
        <w:t>بترجيحات ابن عثيمين في البيوع (48).</w:t>
      </w:r>
    </w:p>
  </w:footnote>
  <w:footnote w:id="1165">
    <w:p w:rsidR="000D3D21" w:rsidRPr="00D753A6" w:rsidRDefault="000D3D21" w:rsidP="004775DA">
      <w:pPr>
        <w:pStyle w:val="a7"/>
        <w:pageBreakBefore/>
        <w:rPr>
          <w:rFonts w:ascii="Tahoma" w:hAnsi="Tahoma"/>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753A6">
        <w:rPr>
          <w:rFonts w:ascii="Traditional Arabic" w:hAnsi="Traditional Arabic"/>
          <w:sz w:val="32"/>
          <w:szCs w:val="32"/>
          <w:rtl/>
        </w:rPr>
        <w:t>ال</w:t>
      </w:r>
      <w:r w:rsidRPr="00D753A6">
        <w:rPr>
          <w:rFonts w:ascii="Traditional Arabic" w:hAnsi="Traditional Arabic" w:hint="cs"/>
          <w:sz w:val="32"/>
          <w:szCs w:val="32"/>
          <w:rtl/>
        </w:rPr>
        <w:t>شرح الممتع</w:t>
      </w:r>
      <w:r w:rsidRPr="00D753A6">
        <w:rPr>
          <w:rFonts w:ascii="Traditional Arabic" w:hAnsi="Traditional Arabic"/>
          <w:sz w:val="32"/>
          <w:szCs w:val="32"/>
          <w:rtl/>
        </w:rPr>
        <w:t xml:space="preserve"> (8/162)</w:t>
      </w:r>
      <w:r w:rsidRPr="00D753A6">
        <w:rPr>
          <w:rFonts w:ascii="Traditional Arabic" w:hAnsi="Traditional Arabic" w:hint="cs"/>
          <w:sz w:val="32"/>
          <w:szCs w:val="32"/>
          <w:rtl/>
        </w:rPr>
        <w:t xml:space="preserve"> بتصرف،</w:t>
      </w:r>
      <w:r>
        <w:rPr>
          <w:rFonts w:ascii="Traditional Arabic" w:hAnsi="Traditional Arabic" w:hint="cs"/>
          <w:sz w:val="32"/>
          <w:szCs w:val="32"/>
          <w:rtl/>
        </w:rPr>
        <w:t xml:space="preserve"> و</w:t>
      </w:r>
      <w:r w:rsidRPr="00D753A6">
        <w:rPr>
          <w:rFonts w:ascii="Traditional Arabic" w:hAnsi="Traditional Arabic" w:hint="cs"/>
          <w:sz w:val="32"/>
          <w:szCs w:val="32"/>
          <w:rtl/>
        </w:rPr>
        <w:t>انظر:(8/176)</w:t>
      </w:r>
      <w:r w:rsidRPr="00D753A6">
        <w:rPr>
          <w:rFonts w:ascii="Traditional Arabic" w:hAnsi="Traditional Arabic"/>
          <w:sz w:val="32"/>
          <w:szCs w:val="32"/>
          <w:rtl/>
        </w:rPr>
        <w:t>.</w:t>
      </w:r>
    </w:p>
  </w:footnote>
  <w:footnote w:id="1166">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الشرح الممتع</w:t>
      </w:r>
      <w:r w:rsidRPr="00D753A6">
        <w:rPr>
          <w:rFonts w:ascii="Tahoma" w:hAnsi="Tahoma" w:hint="cs"/>
          <w:sz w:val="32"/>
          <w:szCs w:val="32"/>
          <w:rtl/>
        </w:rPr>
        <w:t xml:space="preserve"> (8/162) بتصرف.</w:t>
      </w:r>
    </w:p>
  </w:footnote>
  <w:footnote w:id="1167">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المرجع السابق </w:t>
      </w:r>
      <w:r w:rsidRPr="00C50319">
        <w:rPr>
          <w:rFonts w:ascii="Tahoma" w:hAnsi="Tahoma" w:hint="cs"/>
          <w:sz w:val="32"/>
          <w:szCs w:val="32"/>
          <w:rtl/>
        </w:rPr>
        <w:t>(9/29).</w:t>
      </w:r>
    </w:p>
  </w:footnote>
  <w:footnote w:id="1168">
    <w:p w:rsidR="000D3D21" w:rsidRPr="004E5871"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المرجع السابق بتصرف يسير.</w:t>
      </w:r>
    </w:p>
  </w:footnote>
  <w:footnote w:id="1169">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D753A6">
        <w:rPr>
          <w:rFonts w:ascii="Tahoma" w:hAnsi="Tahoma" w:hint="cs"/>
          <w:sz w:val="32"/>
          <w:szCs w:val="32"/>
          <w:rtl/>
        </w:rPr>
        <w:t>قيد الشيخ الجواز بثلاثة شروط،</w:t>
      </w:r>
      <w:r>
        <w:rPr>
          <w:rFonts w:ascii="Tahoma" w:hAnsi="Tahoma" w:hint="cs"/>
          <w:sz w:val="32"/>
          <w:szCs w:val="32"/>
          <w:rtl/>
        </w:rPr>
        <w:t xml:space="preserve"> و</w:t>
      </w:r>
      <w:r w:rsidRPr="00D753A6">
        <w:rPr>
          <w:rFonts w:ascii="Tahoma" w:hAnsi="Tahoma" w:hint="cs"/>
          <w:sz w:val="32"/>
          <w:szCs w:val="32"/>
          <w:rtl/>
        </w:rPr>
        <w:t>هي:</w:t>
      </w:r>
      <w:r>
        <w:rPr>
          <w:rFonts w:ascii="Traditional Arabic" w:hAnsi="Traditional Arabic" w:hint="cs"/>
          <w:noProof w:val="0"/>
          <w:color w:val="auto"/>
          <w:sz w:val="32"/>
          <w:szCs w:val="32"/>
          <w:rtl/>
          <w:lang w:eastAsia="en-US"/>
        </w:rPr>
        <w:t xml:space="preserve"> </w:t>
      </w:r>
      <w:r w:rsidRPr="00D753A6">
        <w:rPr>
          <w:rFonts w:ascii="Traditional Arabic" w:hAnsi="Traditional Arabic"/>
          <w:noProof w:val="0"/>
          <w:sz w:val="32"/>
          <w:szCs w:val="32"/>
          <w:rtl/>
          <w:lang w:eastAsia="en-US"/>
        </w:rPr>
        <w:t>ألا يربح، بأن يبيعه بسعر يومه</w:t>
      </w:r>
      <w:r w:rsidRPr="00D753A6">
        <w:rPr>
          <w:rFonts w:ascii="Traditional Arabic" w:hAnsi="Traditional Arabic" w:hint="cs"/>
          <w:noProof w:val="0"/>
          <w:color w:val="auto"/>
          <w:sz w:val="32"/>
          <w:szCs w:val="32"/>
          <w:rtl/>
          <w:lang w:eastAsia="en-US"/>
        </w:rPr>
        <w:t>،</w:t>
      </w:r>
      <w:r>
        <w:rPr>
          <w:rFonts w:ascii="Traditional Arabic" w:hAnsi="Traditional Arabic" w:hint="cs"/>
          <w:noProof w:val="0"/>
          <w:color w:val="auto"/>
          <w:sz w:val="32"/>
          <w:szCs w:val="32"/>
          <w:rtl/>
          <w:lang w:eastAsia="en-US"/>
        </w:rPr>
        <w:t xml:space="preserve"> و</w:t>
      </w:r>
      <w:r w:rsidRPr="00D753A6">
        <w:rPr>
          <w:rFonts w:ascii="Traditional Arabic" w:hAnsi="Traditional Arabic"/>
          <w:noProof w:val="0"/>
          <w:sz w:val="32"/>
          <w:szCs w:val="32"/>
          <w:rtl/>
          <w:lang w:eastAsia="en-US"/>
        </w:rPr>
        <w:t>أن يحصل التقابض قبل التفرق فيما إذا باعه بشيء يجري فيه ربا النسيئة</w:t>
      </w:r>
      <w:r w:rsidRPr="00D753A6">
        <w:rPr>
          <w:rFonts w:ascii="Traditional Arabic" w:hAnsi="Traditional Arabic" w:hint="cs"/>
          <w:noProof w:val="0"/>
          <w:color w:val="auto"/>
          <w:sz w:val="32"/>
          <w:szCs w:val="32"/>
          <w:rtl/>
          <w:lang w:eastAsia="en-US"/>
        </w:rPr>
        <w:t>،</w:t>
      </w:r>
      <w:r>
        <w:rPr>
          <w:rFonts w:ascii="Traditional Arabic" w:hAnsi="Traditional Arabic" w:hint="cs"/>
          <w:noProof w:val="0"/>
          <w:color w:val="auto"/>
          <w:sz w:val="32"/>
          <w:szCs w:val="32"/>
          <w:rtl/>
          <w:lang w:eastAsia="en-US"/>
        </w:rPr>
        <w:t xml:space="preserve"> و</w:t>
      </w:r>
      <w:r w:rsidRPr="00D753A6">
        <w:rPr>
          <w:rFonts w:ascii="Traditional Arabic" w:hAnsi="Traditional Arabic"/>
          <w:noProof w:val="0"/>
          <w:sz w:val="32"/>
          <w:szCs w:val="32"/>
          <w:rtl/>
          <w:lang w:eastAsia="en-US"/>
        </w:rPr>
        <w:t>ألا يجعله ثمناً ل</w:t>
      </w:r>
      <w:r>
        <w:rPr>
          <w:rFonts w:ascii="Traditional Arabic" w:hAnsi="Traditional Arabic" w:hint="cs"/>
          <w:noProof w:val="0"/>
          <w:sz w:val="32"/>
          <w:szCs w:val="32"/>
          <w:rtl/>
          <w:lang w:eastAsia="en-US"/>
        </w:rPr>
        <w:t xml:space="preserve">عقد </w:t>
      </w:r>
      <w:r w:rsidRPr="00D753A6">
        <w:rPr>
          <w:rFonts w:ascii="Traditional Arabic" w:hAnsi="Traditional Arabic"/>
          <w:noProof w:val="0"/>
          <w:sz w:val="32"/>
          <w:szCs w:val="32"/>
          <w:rtl/>
          <w:lang w:eastAsia="en-US"/>
        </w:rPr>
        <w:t>سل</w:t>
      </w:r>
      <w:r w:rsidRPr="00D753A6">
        <w:rPr>
          <w:rFonts w:ascii="Traditional Arabic" w:hAnsi="Traditional Arabic" w:hint="cs"/>
          <w:noProof w:val="0"/>
          <w:sz w:val="32"/>
          <w:szCs w:val="32"/>
          <w:rtl/>
          <w:lang w:eastAsia="en-US"/>
        </w:rPr>
        <w:t>َ</w:t>
      </w:r>
      <w:r w:rsidRPr="00D753A6">
        <w:rPr>
          <w:rFonts w:ascii="Traditional Arabic" w:hAnsi="Traditional Arabic"/>
          <w:noProof w:val="0"/>
          <w:sz w:val="32"/>
          <w:szCs w:val="32"/>
          <w:rtl/>
          <w:lang w:eastAsia="en-US"/>
        </w:rPr>
        <w:t>م آخر</w:t>
      </w:r>
      <w:r w:rsidRPr="00D753A6">
        <w:rPr>
          <w:rFonts w:ascii="Tahoma" w:hAnsi="Tahoma" w:hint="cs"/>
          <w:sz w:val="32"/>
          <w:szCs w:val="32"/>
          <w:rtl/>
        </w:rPr>
        <w:t>.</w:t>
      </w:r>
      <w:r>
        <w:rPr>
          <w:rFonts w:ascii="Tahoma" w:hAnsi="Tahoma" w:hint="cs"/>
          <w:sz w:val="32"/>
          <w:szCs w:val="32"/>
          <w:rtl/>
        </w:rPr>
        <w:t xml:space="preserve"> انظر المرجع السابق</w:t>
      </w:r>
      <w:r w:rsidRPr="00D753A6">
        <w:rPr>
          <w:rFonts w:ascii="Tahoma" w:hAnsi="Tahoma" w:hint="cs"/>
          <w:sz w:val="32"/>
          <w:szCs w:val="32"/>
          <w:rtl/>
        </w:rPr>
        <w:t xml:space="preserve"> (9/87، 88).</w:t>
      </w:r>
    </w:p>
  </w:footnote>
  <w:footnote w:id="1170">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D753A6">
        <w:rPr>
          <w:rFonts w:ascii="Tahoma" w:hAnsi="Tahoma" w:hint="cs"/>
          <w:sz w:val="32"/>
          <w:szCs w:val="32"/>
          <w:rtl/>
        </w:rPr>
        <w:t>انظر المرجع السابق (9/87، 89).</w:t>
      </w:r>
    </w:p>
  </w:footnote>
  <w:footnote w:id="1171">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المرجع السابق </w:t>
      </w:r>
      <w:r w:rsidRPr="00D753A6">
        <w:rPr>
          <w:rFonts w:ascii="Tahoma" w:hAnsi="Tahoma" w:hint="cs"/>
          <w:sz w:val="32"/>
          <w:szCs w:val="32"/>
          <w:rtl/>
        </w:rPr>
        <w:t>(9/89).</w:t>
      </w:r>
    </w:p>
  </w:footnote>
  <w:footnote w:id="1172">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D753A6">
        <w:rPr>
          <w:rFonts w:ascii="Tahoma" w:hAnsi="Tahoma" w:hint="cs"/>
          <w:sz w:val="32"/>
          <w:szCs w:val="32"/>
          <w:rtl/>
        </w:rPr>
        <w:t>انظر المرجع السابق (9/92).</w:t>
      </w:r>
    </w:p>
  </w:footnote>
  <w:footnote w:id="1173">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الشرح الممتع (9/92)</w:t>
      </w:r>
      <w:r w:rsidRPr="00C50319">
        <w:rPr>
          <w:rFonts w:ascii="Tahoma" w:hAnsi="Tahoma" w:hint="cs"/>
          <w:sz w:val="32"/>
          <w:szCs w:val="32"/>
          <w:rtl/>
        </w:rPr>
        <w:t xml:space="preserve"> بتصرف يسير.</w:t>
      </w:r>
    </w:p>
  </w:footnote>
  <w:footnote w:id="1174">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المرجع السابق </w:t>
      </w:r>
      <w:r w:rsidRPr="00C50319">
        <w:rPr>
          <w:rFonts w:ascii="Tahoma" w:hAnsi="Tahoma" w:hint="cs"/>
          <w:sz w:val="32"/>
          <w:szCs w:val="32"/>
          <w:rtl/>
        </w:rPr>
        <w:t>(9/99، 101).</w:t>
      </w:r>
    </w:p>
  </w:footnote>
  <w:footnote w:id="1175">
    <w:p w:rsidR="000D3D21" w:rsidRPr="00947175"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انظر المرجع السابق (9/100).</w:t>
      </w:r>
    </w:p>
  </w:footnote>
  <w:footnote w:id="1176">
    <w:p w:rsidR="000D3D21" w:rsidRPr="00D753A6" w:rsidRDefault="000D3D21" w:rsidP="004775D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753A6">
        <w:rPr>
          <w:rFonts w:ascii="Traditional Arabic" w:hAnsi="Traditional Arabic"/>
          <w:sz w:val="32"/>
          <w:szCs w:val="32"/>
          <w:rtl/>
        </w:rPr>
        <w:t>انظر ال</w:t>
      </w:r>
      <w:r w:rsidRPr="00D753A6">
        <w:rPr>
          <w:rFonts w:ascii="Traditional Arabic" w:hAnsi="Traditional Arabic" w:hint="cs"/>
          <w:sz w:val="32"/>
          <w:szCs w:val="32"/>
          <w:rtl/>
        </w:rPr>
        <w:t>مرجع السابق</w:t>
      </w:r>
      <w:r w:rsidRPr="00D753A6">
        <w:rPr>
          <w:rFonts w:ascii="Traditional Arabic" w:hAnsi="Traditional Arabic"/>
          <w:sz w:val="32"/>
          <w:szCs w:val="32"/>
          <w:rtl/>
        </w:rPr>
        <w:t xml:space="preserve"> (9/119).</w:t>
      </w:r>
    </w:p>
  </w:footnote>
  <w:footnote w:id="1177">
    <w:p w:rsidR="000D3D21" w:rsidRPr="00D753A6" w:rsidRDefault="000D3D21" w:rsidP="004775D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753A6">
        <w:rPr>
          <w:rFonts w:ascii="Traditional Arabic" w:hAnsi="Traditional Arabic"/>
          <w:sz w:val="32"/>
          <w:szCs w:val="32"/>
          <w:rtl/>
        </w:rPr>
        <w:t>المعاملات الممنوعة مبناها على الظلم</w:t>
      </w:r>
      <w:r>
        <w:rPr>
          <w:rFonts w:ascii="Traditional Arabic" w:hAnsi="Traditional Arabic"/>
          <w:sz w:val="32"/>
          <w:szCs w:val="32"/>
          <w:rtl/>
        </w:rPr>
        <w:t xml:space="preserve"> و</w:t>
      </w:r>
      <w:r w:rsidRPr="00D753A6">
        <w:rPr>
          <w:rFonts w:ascii="Traditional Arabic" w:hAnsi="Traditional Arabic"/>
          <w:sz w:val="32"/>
          <w:szCs w:val="32"/>
          <w:rtl/>
        </w:rPr>
        <w:t>الربا</w:t>
      </w:r>
      <w:r>
        <w:rPr>
          <w:rFonts w:ascii="Traditional Arabic" w:hAnsi="Traditional Arabic"/>
          <w:sz w:val="32"/>
          <w:szCs w:val="32"/>
          <w:rtl/>
        </w:rPr>
        <w:t xml:space="preserve"> و</w:t>
      </w:r>
      <w:r w:rsidRPr="00D753A6">
        <w:rPr>
          <w:rFonts w:ascii="Traditional Arabic" w:hAnsi="Traditional Arabic"/>
          <w:sz w:val="32"/>
          <w:szCs w:val="32"/>
          <w:rtl/>
        </w:rPr>
        <w:t>الغرر،</w:t>
      </w:r>
      <w:r>
        <w:rPr>
          <w:rFonts w:ascii="Traditional Arabic" w:hAnsi="Traditional Arabic"/>
          <w:sz w:val="32"/>
          <w:szCs w:val="32"/>
          <w:rtl/>
        </w:rPr>
        <w:t xml:space="preserve"> و</w:t>
      </w:r>
      <w:r w:rsidRPr="00D753A6">
        <w:rPr>
          <w:rFonts w:ascii="Traditional Arabic" w:hAnsi="Traditional Arabic"/>
          <w:sz w:val="32"/>
          <w:szCs w:val="32"/>
          <w:rtl/>
        </w:rPr>
        <w:t>سيأتي بيا</w:t>
      </w:r>
      <w:r>
        <w:rPr>
          <w:rFonts w:ascii="Traditional Arabic" w:hAnsi="Traditional Arabic"/>
          <w:sz w:val="32"/>
          <w:szCs w:val="32"/>
          <w:rtl/>
        </w:rPr>
        <w:t>ن ذلك في قاعدة مستقلة.انظر ص(</w:t>
      </w:r>
      <w:r>
        <w:rPr>
          <w:rFonts w:ascii="Traditional Arabic" w:hAnsi="Traditional Arabic" w:hint="cs"/>
          <w:sz w:val="32"/>
          <w:szCs w:val="32"/>
          <w:rtl/>
        </w:rPr>
        <w:t>459</w:t>
      </w:r>
      <w:r w:rsidRPr="00D753A6">
        <w:rPr>
          <w:rFonts w:ascii="Traditional Arabic" w:hAnsi="Traditional Arabic"/>
          <w:sz w:val="32"/>
          <w:szCs w:val="32"/>
          <w:rtl/>
        </w:rPr>
        <w:t>) من هذه الرسالة.</w:t>
      </w:r>
    </w:p>
  </w:footnote>
  <w:footnote w:id="1178">
    <w:p w:rsidR="000D3D21" w:rsidRPr="00D753A6" w:rsidRDefault="000D3D21" w:rsidP="004775D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753A6">
        <w:rPr>
          <w:rFonts w:ascii="Traditional Arabic" w:hAnsi="Traditional Arabic"/>
          <w:sz w:val="32"/>
          <w:szCs w:val="32"/>
          <w:rtl/>
        </w:rPr>
        <w:t>انظر المرجع السابق (9/120).</w:t>
      </w:r>
    </w:p>
  </w:footnote>
  <w:footnote w:id="1179">
    <w:p w:rsidR="000D3D21" w:rsidRPr="00C50319"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انظر المرجع السابق (9/162، 164).</w:t>
      </w:r>
    </w:p>
  </w:footnote>
  <w:footnote w:id="1180">
    <w:p w:rsidR="000D3D21" w:rsidRPr="00712B5D" w:rsidRDefault="000D3D21" w:rsidP="004775DA">
      <w:pPr>
        <w:pStyle w:val="a7"/>
        <w:pageBreakBefore/>
        <w:rPr>
          <w:rFonts w:ascii="Tahoma" w:hAnsi="Tahoma"/>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C50319">
        <w:rPr>
          <w:rFonts w:ascii="Tahoma" w:hAnsi="Tahoma" w:hint="cs"/>
          <w:sz w:val="32"/>
          <w:szCs w:val="32"/>
          <w:rtl/>
        </w:rPr>
        <w:t>انظر المرجع السابق (9/162).</w:t>
      </w:r>
    </w:p>
  </w:footnote>
  <w:footnote w:id="1181">
    <w:p w:rsidR="000D3D21" w:rsidRPr="00D753A6" w:rsidRDefault="000D3D21" w:rsidP="004775D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753A6">
        <w:rPr>
          <w:rFonts w:ascii="Traditional Arabic" w:hAnsi="Traditional Arabic"/>
          <w:sz w:val="32"/>
          <w:szCs w:val="32"/>
          <w:rtl/>
        </w:rPr>
        <w:t>انظر المرجع السابق (9/383).</w:t>
      </w:r>
    </w:p>
  </w:footnote>
  <w:footnote w:id="1182">
    <w:p w:rsidR="000D3D21" w:rsidRPr="00B64C8F" w:rsidRDefault="000D3D21">
      <w:pPr>
        <w:pStyle w:val="a7"/>
        <w:rPr>
          <w:rFonts w:ascii="Traditional Arabic" w:hAnsi="Traditional Arabic"/>
          <w:sz w:val="32"/>
          <w:szCs w:val="32"/>
          <w:rtl/>
        </w:rPr>
      </w:pPr>
      <w:r w:rsidRPr="00B64C8F">
        <w:rPr>
          <w:rStyle w:val="af1"/>
          <w:rFonts w:ascii="Traditional Arabic" w:hAnsi="Traditional Arabic"/>
          <w:sz w:val="32"/>
          <w:szCs w:val="32"/>
          <w:vertAlign w:val="baseline"/>
        </w:rPr>
        <w:footnoteRef/>
      </w:r>
      <w:r w:rsidRPr="00B64C8F">
        <w:rPr>
          <w:rFonts w:ascii="Traditional Arabic" w:hAnsi="Traditional Arabic"/>
          <w:sz w:val="32"/>
          <w:szCs w:val="32"/>
        </w:rPr>
        <w:t>)</w:t>
      </w:r>
      <w:r w:rsidRPr="00B64C8F">
        <w:rPr>
          <w:rFonts w:ascii="Traditional Arabic" w:hAnsi="Traditional Arabic"/>
          <w:sz w:val="32"/>
          <w:szCs w:val="32"/>
          <w:rtl/>
        </w:rPr>
        <w:t xml:space="preserve">) </w:t>
      </w:r>
      <w:r w:rsidRPr="00B3344B">
        <w:rPr>
          <w:rFonts w:ascii="Traditional Arabic" w:hAnsi="Traditional Arabic"/>
          <w:b/>
          <w:bCs/>
          <w:sz w:val="32"/>
          <w:szCs w:val="32"/>
          <w:rtl/>
        </w:rPr>
        <w:t>الشركة</w:t>
      </w:r>
      <w:r>
        <w:rPr>
          <w:rFonts w:ascii="Traditional Arabic" w:hAnsi="Traditional Arabic" w:hint="cs"/>
          <w:b/>
          <w:bCs/>
          <w:sz w:val="32"/>
          <w:szCs w:val="32"/>
          <w:rtl/>
        </w:rPr>
        <w:t xml:space="preserve"> </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الشركة</w:instrText>
      </w:r>
      <w:r>
        <w:instrText xml:space="preserve">" </w:instrText>
      </w:r>
      <w:r w:rsidRPr="00D65D30">
        <w:instrText>\fm</w:instrText>
      </w:r>
      <w:r w:rsidR="00AB0B9E">
        <w:rPr>
          <w:rFonts w:ascii="Traditional Arabic" w:hAnsi="Traditional Arabic"/>
          <w:b/>
          <w:bCs/>
          <w:sz w:val="32"/>
          <w:szCs w:val="32"/>
          <w:rtl/>
        </w:rPr>
        <w:fldChar w:fldCharType="end"/>
      </w:r>
      <w:r w:rsidRPr="00B3344B">
        <w:rPr>
          <w:rFonts w:ascii="Traditional Arabic" w:hAnsi="Traditional Arabic"/>
          <w:b/>
          <w:bCs/>
          <w:sz w:val="32"/>
          <w:szCs w:val="32"/>
          <w:rtl/>
        </w:rPr>
        <w:t>اصطلاحا</w:t>
      </w:r>
      <w:r w:rsidRPr="00B3344B">
        <w:rPr>
          <w:rFonts w:ascii="Traditional Arabic" w:hAnsi="Traditional Arabic"/>
          <w:b/>
          <w:bCs/>
          <w:color w:val="auto"/>
          <w:sz w:val="32"/>
          <w:szCs w:val="32"/>
          <w:rtl/>
        </w:rPr>
        <w:t>:</w:t>
      </w:r>
      <w:r>
        <w:rPr>
          <w:rFonts w:ascii="Traditional Arabic" w:hAnsi="Traditional Arabic" w:hint="cs"/>
          <w:noProof w:val="0"/>
          <w:color w:val="auto"/>
          <w:sz w:val="32"/>
          <w:szCs w:val="32"/>
          <w:rtl/>
          <w:lang w:eastAsia="en-US"/>
        </w:rPr>
        <w:t xml:space="preserve"> </w:t>
      </w:r>
      <w:r w:rsidRPr="00B3344B">
        <w:rPr>
          <w:rFonts w:ascii="Traditional Arabic" w:hAnsi="Traditional Arabic"/>
          <w:noProof w:val="0"/>
          <w:color w:val="auto"/>
          <w:sz w:val="32"/>
          <w:szCs w:val="32"/>
          <w:rtl/>
          <w:lang w:eastAsia="en-US"/>
        </w:rPr>
        <w:t>الشركة</w:t>
      </w:r>
      <w:r w:rsidRPr="00B3344B">
        <w:rPr>
          <w:rFonts w:ascii="Traditional Arabic" w:hAnsi="Traditional Arabic"/>
          <w:noProof w:val="0"/>
          <w:sz w:val="32"/>
          <w:szCs w:val="32"/>
          <w:rtl/>
          <w:lang w:eastAsia="en-US"/>
        </w:rPr>
        <w:t xml:space="preserve"> نوعان: شركة أملاك، وهي اجتماع في استحقاق كثبوت الملك في عقار</w:t>
      </w:r>
      <w:r>
        <w:rPr>
          <w:rFonts w:ascii="Traditional Arabic" w:hAnsi="Traditional Arabic" w:hint="cs"/>
          <w:noProof w:val="0"/>
          <w:sz w:val="32"/>
          <w:szCs w:val="32"/>
          <w:rtl/>
          <w:lang w:eastAsia="en-US"/>
        </w:rPr>
        <w:t xml:space="preserve"> </w:t>
      </w:r>
      <w:r w:rsidRPr="00B3344B">
        <w:rPr>
          <w:rFonts w:ascii="Traditional Arabic" w:hAnsi="Traditional Arabic"/>
          <w:noProof w:val="0"/>
          <w:sz w:val="32"/>
          <w:szCs w:val="32"/>
          <w:rtl/>
          <w:lang w:eastAsia="en-US"/>
        </w:rPr>
        <w:t>أو منفعة لاثنين فأكثر،</w:t>
      </w:r>
      <w:r>
        <w:rPr>
          <w:rFonts w:ascii="Traditional Arabic" w:hAnsi="Traditional Arabic"/>
          <w:noProof w:val="0"/>
          <w:sz w:val="32"/>
          <w:szCs w:val="32"/>
          <w:rtl/>
          <w:lang w:eastAsia="en-US"/>
        </w:rPr>
        <w:t xml:space="preserve"> و</w:t>
      </w:r>
      <w:r w:rsidRPr="0032473E">
        <w:rPr>
          <w:rFonts w:ascii="Traditional Arabic" w:hAnsi="Traditional Arabic"/>
          <w:noProof w:val="0"/>
          <w:sz w:val="32"/>
          <w:szCs w:val="32"/>
          <w:rtl/>
          <w:lang w:eastAsia="en-US"/>
        </w:rPr>
        <w:t>شركة عقود وهي اجتماع في تصرُّف من بيع ونحوه</w:t>
      </w:r>
      <w:r w:rsidRPr="00B3344B">
        <w:rPr>
          <w:rFonts w:ascii="Traditional Arabic" w:hAnsi="Traditional Arabic"/>
          <w:b/>
          <w:bCs/>
          <w:noProof w:val="0"/>
          <w:sz w:val="32"/>
          <w:szCs w:val="32"/>
          <w:rtl/>
          <w:lang w:eastAsia="en-US"/>
        </w:rPr>
        <w:t>،</w:t>
      </w:r>
      <w:r w:rsidRPr="00B3344B">
        <w:rPr>
          <w:rFonts w:ascii="Traditional Arabic" w:hAnsi="Traditional Arabic"/>
          <w:noProof w:val="0"/>
          <w:sz w:val="32"/>
          <w:szCs w:val="32"/>
          <w:rtl/>
          <w:lang w:eastAsia="en-US"/>
        </w:rPr>
        <w:t xml:space="preserve"> وهي المقصودة هنا. </w:t>
      </w:r>
      <w:r>
        <w:rPr>
          <w:rFonts w:ascii="Traditional Arabic" w:hAnsi="Traditional Arabic"/>
          <w:noProof w:val="0"/>
          <w:color w:val="auto"/>
          <w:sz w:val="32"/>
          <w:szCs w:val="32"/>
          <w:rtl/>
          <w:lang w:eastAsia="en-US"/>
        </w:rPr>
        <w:t>الروض المربع (</w:t>
      </w:r>
      <w:r>
        <w:rPr>
          <w:rFonts w:ascii="Traditional Arabic" w:hAnsi="Traditional Arabic" w:hint="cs"/>
          <w:noProof w:val="0"/>
          <w:color w:val="auto"/>
          <w:sz w:val="32"/>
          <w:szCs w:val="32"/>
          <w:rtl/>
          <w:lang w:eastAsia="en-US"/>
        </w:rPr>
        <w:t>7/7-8</w:t>
      </w:r>
      <w:r w:rsidRPr="00B3344B">
        <w:rPr>
          <w:rFonts w:ascii="Traditional Arabic" w:hAnsi="Traditional Arabic"/>
          <w:noProof w:val="0"/>
          <w:color w:val="auto"/>
          <w:sz w:val="32"/>
          <w:szCs w:val="32"/>
          <w:rtl/>
          <w:lang w:eastAsia="en-US"/>
        </w:rPr>
        <w:t>).</w:t>
      </w:r>
    </w:p>
  </w:footnote>
  <w:footnote w:id="1183">
    <w:p w:rsidR="000D3D21" w:rsidRDefault="000D3D21" w:rsidP="00D65D30">
      <w:pPr>
        <w:pStyle w:val="a7"/>
        <w:pageBreakBefore/>
        <w:ind w:left="0" w:firstLine="0"/>
        <w:rPr>
          <w:rFonts w:ascii="Traditional Arabic" w:hAnsi="Traditional Arabic"/>
          <w:noProof w:val="0"/>
          <w:color w:val="auto"/>
          <w:sz w:val="32"/>
          <w:szCs w:val="32"/>
          <w:rtl/>
          <w:lang w:eastAsia="en-US"/>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raditional Arabic" w:hAnsi="Traditional Arabic" w:hint="cs"/>
          <w:b/>
          <w:bCs/>
          <w:noProof w:val="0"/>
          <w:color w:val="auto"/>
          <w:sz w:val="32"/>
          <w:szCs w:val="32"/>
          <w:rtl/>
          <w:lang w:eastAsia="en-US"/>
        </w:rPr>
        <w:t xml:space="preserve"> </w:t>
      </w:r>
      <w:r w:rsidRPr="00971B82">
        <w:rPr>
          <w:rFonts w:ascii="Traditional Arabic" w:hAnsi="Traditional Arabic"/>
          <w:b/>
          <w:bCs/>
          <w:noProof w:val="0"/>
          <w:color w:val="auto"/>
          <w:sz w:val="32"/>
          <w:szCs w:val="32"/>
          <w:rtl/>
          <w:lang w:eastAsia="en-US"/>
        </w:rPr>
        <w:t>المساقاة</w:t>
      </w:r>
      <w:r>
        <w:rPr>
          <w:rFonts w:ascii="Traditional Arabic" w:hAnsi="Traditional Arabic" w:hint="cs"/>
          <w:b/>
          <w:bCs/>
          <w:noProof w:val="0"/>
          <w:color w:val="auto"/>
          <w:sz w:val="32"/>
          <w:szCs w:val="32"/>
          <w:rtl/>
          <w:lang w:eastAsia="en-US"/>
        </w:rPr>
        <w:t xml:space="preserve"> </w:t>
      </w:r>
      <w:r w:rsidR="00AB0B9E">
        <w:rPr>
          <w:rFonts w:ascii="Traditional Arabic" w:hAnsi="Traditional Arabic"/>
          <w:b/>
          <w:bCs/>
          <w:noProof w:val="0"/>
          <w:color w:val="auto"/>
          <w:sz w:val="32"/>
          <w:szCs w:val="32"/>
          <w:rtl/>
          <w:lang w:eastAsia="en-US"/>
        </w:rPr>
        <w:fldChar w:fldCharType="begin"/>
      </w:r>
      <w:r>
        <w:instrText xml:space="preserve"> XE "</w:instrText>
      </w:r>
      <w:r w:rsidRPr="00D65D30">
        <w:rPr>
          <w:rFonts w:ascii="Traditional Arabic" w:hAnsi="Traditional Arabic"/>
          <w:noProof w:val="0"/>
          <w:color w:val="auto"/>
          <w:sz w:val="32"/>
          <w:szCs w:val="32"/>
          <w:rtl/>
          <w:lang w:eastAsia="en-US"/>
        </w:rPr>
        <w:instrText>المساقاة</w:instrText>
      </w:r>
      <w:r>
        <w:instrText xml:space="preserve">" </w:instrText>
      </w:r>
      <w:r w:rsidRPr="00D65D30">
        <w:instrText>\fm</w:instrText>
      </w:r>
      <w:r w:rsidR="00AB0B9E">
        <w:rPr>
          <w:rFonts w:ascii="Traditional Arabic" w:hAnsi="Traditional Arabic"/>
          <w:b/>
          <w:bCs/>
          <w:noProof w:val="0"/>
          <w:color w:val="auto"/>
          <w:sz w:val="32"/>
          <w:szCs w:val="32"/>
          <w:rtl/>
          <w:lang w:eastAsia="en-US"/>
        </w:rPr>
        <w:fldChar w:fldCharType="end"/>
      </w:r>
      <w:r w:rsidRPr="00971B82">
        <w:rPr>
          <w:rFonts w:ascii="Traditional Arabic" w:hAnsi="Traditional Arabic" w:hint="cs"/>
          <w:b/>
          <w:bCs/>
          <w:noProof w:val="0"/>
          <w:color w:val="auto"/>
          <w:sz w:val="32"/>
          <w:szCs w:val="32"/>
          <w:rtl/>
          <w:lang w:eastAsia="en-US"/>
        </w:rPr>
        <w:t>اصطلاحا</w:t>
      </w:r>
      <w:r w:rsidRPr="00971B82">
        <w:rPr>
          <w:rFonts w:ascii="Traditional Arabic" w:hAnsi="Traditional Arabic" w:hint="cs"/>
          <w:noProof w:val="0"/>
          <w:color w:val="auto"/>
          <w:sz w:val="32"/>
          <w:szCs w:val="32"/>
          <w:rtl/>
          <w:lang w:eastAsia="en-US"/>
        </w:rPr>
        <w:t>:</w:t>
      </w:r>
      <w:r>
        <w:rPr>
          <w:rFonts w:ascii="Traditional Arabic" w:hAnsi="Traditional Arabic" w:hint="cs"/>
          <w:noProof w:val="0"/>
          <w:color w:val="auto"/>
          <w:sz w:val="32"/>
          <w:szCs w:val="32"/>
          <w:rtl/>
          <w:lang w:eastAsia="en-US"/>
        </w:rPr>
        <w:t xml:space="preserve"> </w:t>
      </w:r>
      <w:r w:rsidRPr="00971B82">
        <w:rPr>
          <w:rFonts w:ascii="Traditional Arabic" w:hAnsi="Traditional Arabic"/>
          <w:noProof w:val="0"/>
          <w:color w:val="auto"/>
          <w:sz w:val="32"/>
          <w:szCs w:val="32"/>
          <w:rtl/>
          <w:lang w:eastAsia="en-US"/>
        </w:rPr>
        <w:t>أن يدفع الرجل</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 xml:space="preserve"> شجر</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ه إلى آخر</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 xml:space="preserve"> ليقوم</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 xml:space="preserve"> ب</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س</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ق</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يه وع</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مل</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 xml:space="preserve"> سائر</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 xml:space="preserve"> ما إليه بجزء</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 xml:space="preserve"> معلوم</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 xml:space="preserve"> م</w:t>
      </w:r>
      <w:r w:rsidRPr="00971B82">
        <w:rPr>
          <w:rFonts w:ascii="Traditional Arabic" w:hAnsi="Traditional Arabic" w:hint="cs"/>
          <w:noProof w:val="0"/>
          <w:color w:val="auto"/>
          <w:sz w:val="32"/>
          <w:szCs w:val="32"/>
          <w:rtl/>
          <w:lang w:eastAsia="en-US"/>
        </w:rPr>
        <w:t>ِ</w:t>
      </w:r>
      <w:r w:rsidRPr="00971B82">
        <w:rPr>
          <w:rFonts w:ascii="Traditional Arabic" w:hAnsi="Traditional Arabic"/>
          <w:noProof w:val="0"/>
          <w:color w:val="auto"/>
          <w:sz w:val="32"/>
          <w:szCs w:val="32"/>
          <w:rtl/>
          <w:lang w:eastAsia="en-US"/>
        </w:rPr>
        <w:t>ن</w:t>
      </w:r>
    </w:p>
    <w:p w:rsidR="000D3D21" w:rsidRPr="00D5480A" w:rsidRDefault="000D3D21" w:rsidP="004775DA">
      <w:pPr>
        <w:pStyle w:val="a7"/>
        <w:pageBreakBefore/>
        <w:ind w:left="0" w:firstLine="0"/>
        <w:rPr>
          <w:rFonts w:ascii="Tahoma" w:hAnsi="Tahoma"/>
        </w:rPr>
      </w:pPr>
      <w:r w:rsidRPr="00971B82">
        <w:rPr>
          <w:rFonts w:ascii="Traditional Arabic" w:hAnsi="Traditional Arabic"/>
          <w:noProof w:val="0"/>
          <w:color w:val="auto"/>
          <w:sz w:val="32"/>
          <w:szCs w:val="32"/>
          <w:rtl/>
          <w:lang w:eastAsia="en-US"/>
        </w:rPr>
        <w:t>ثمره</w:t>
      </w:r>
      <w:r w:rsidRPr="00971B82">
        <w:rPr>
          <w:rFonts w:ascii="Tahoma" w:hAnsi="Tahoma" w:hint="cs"/>
          <w:sz w:val="32"/>
          <w:szCs w:val="32"/>
          <w:rtl/>
        </w:rPr>
        <w:t>.</w:t>
      </w:r>
      <w:r>
        <w:rPr>
          <w:rFonts w:ascii="Tahoma" w:hAnsi="Tahoma" w:hint="cs"/>
          <w:sz w:val="32"/>
          <w:szCs w:val="32"/>
          <w:rtl/>
        </w:rPr>
        <w:t xml:space="preserve"> </w:t>
      </w:r>
      <w:r w:rsidRPr="00971B82">
        <w:rPr>
          <w:rFonts w:ascii="Tahoma" w:hAnsi="Tahoma" w:hint="cs"/>
          <w:sz w:val="32"/>
          <w:szCs w:val="32"/>
          <w:rtl/>
        </w:rPr>
        <w:t>المغني (7/527).</w:t>
      </w:r>
    </w:p>
  </w:footnote>
  <w:footnote w:id="1184">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الشرح الممتع (9/399، 444، 445</w:t>
      </w:r>
      <w:r w:rsidRPr="00D753A6">
        <w:rPr>
          <w:rFonts w:ascii="Tahoma" w:hAnsi="Tahoma" w:hint="cs"/>
          <w:sz w:val="32"/>
          <w:szCs w:val="32"/>
          <w:rtl/>
        </w:rPr>
        <w:t>).</w:t>
      </w:r>
    </w:p>
  </w:footnote>
  <w:footnote w:id="1185">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انظر المرجع السابق (9/399، 444، 445)</w:t>
      </w:r>
      <w:r w:rsidRPr="00D753A6">
        <w:rPr>
          <w:rFonts w:ascii="Tahoma" w:hAnsi="Tahoma" w:hint="cs"/>
          <w:sz w:val="32"/>
          <w:szCs w:val="32"/>
          <w:rtl/>
        </w:rPr>
        <w:t>.</w:t>
      </w:r>
    </w:p>
  </w:footnote>
  <w:footnote w:id="1186">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المرجع السابق</w:t>
      </w:r>
      <w:r w:rsidRPr="00D753A6">
        <w:rPr>
          <w:rFonts w:ascii="Tahoma" w:hAnsi="Tahoma" w:hint="cs"/>
          <w:sz w:val="32"/>
          <w:szCs w:val="32"/>
          <w:rtl/>
        </w:rPr>
        <w:t xml:space="preserve"> (10/335) بتصرف يسير.</w:t>
      </w:r>
    </w:p>
  </w:footnote>
  <w:footnote w:id="1187">
    <w:p w:rsidR="000D3D21" w:rsidRPr="00D753A6" w:rsidRDefault="000D3D21" w:rsidP="004775DA">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D753A6">
        <w:rPr>
          <w:rFonts w:ascii="Tahoma" w:hAnsi="Tahoma" w:hint="cs"/>
          <w:sz w:val="32"/>
          <w:szCs w:val="32"/>
          <w:rtl/>
        </w:rPr>
        <w:t>المرجع السابق (10/335) بتصرف يسير.</w:t>
      </w:r>
    </w:p>
  </w:footnote>
  <w:footnote w:id="1188">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اخترت هذه الصيغة لوجازتها وشهرتها.</w:t>
      </w:r>
    </w:p>
  </w:footnote>
  <w:footnote w:id="1189">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B3344B">
        <w:rPr>
          <w:rFonts w:ascii="Traditional Arabic" w:hAnsi="Traditional Arabic"/>
          <w:sz w:val="32"/>
          <w:szCs w:val="32"/>
          <w:rtl/>
        </w:rPr>
        <w:t xml:space="preserve"> الشرح الممتع (6/265) بتصرف، وشرح منظومة أصول الفقه وقواعده (167)</w:t>
      </w:r>
      <w:r>
        <w:rPr>
          <w:rFonts w:ascii="Traditional Arabic" w:hAnsi="Traditional Arabic" w:hint="cs"/>
          <w:sz w:val="32"/>
          <w:szCs w:val="32"/>
          <w:rtl/>
        </w:rPr>
        <w:t xml:space="preserve">، وانظر: </w:t>
      </w:r>
      <w:r w:rsidRPr="00B3344B">
        <w:rPr>
          <w:rFonts w:ascii="Traditional Arabic" w:hAnsi="Traditional Arabic"/>
          <w:sz w:val="32"/>
          <w:szCs w:val="32"/>
          <w:rtl/>
        </w:rPr>
        <w:t>الشرح الممتع (6/263)، و(9/229)، والتعليق عل</w:t>
      </w:r>
      <w:r>
        <w:rPr>
          <w:rFonts w:ascii="Traditional Arabic" w:hAnsi="Traditional Arabic"/>
          <w:sz w:val="32"/>
          <w:szCs w:val="32"/>
          <w:rtl/>
        </w:rPr>
        <w:t>ى القواعد والأصول الجامعة (251)</w:t>
      </w:r>
      <w:r w:rsidRPr="00B3344B">
        <w:rPr>
          <w:rFonts w:ascii="Traditional Arabic" w:hAnsi="Traditional Arabic"/>
          <w:sz w:val="32"/>
          <w:szCs w:val="32"/>
          <w:rtl/>
        </w:rPr>
        <w:t xml:space="preserve">. </w:t>
      </w:r>
    </w:p>
  </w:footnote>
  <w:footnote w:id="1190">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 xml:space="preserve">الشرح الممتع (7/155). </w:t>
      </w:r>
    </w:p>
  </w:footnote>
  <w:footnote w:id="1191">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شرح منظومة أصول الفقه وقواعده (165).</w:t>
      </w:r>
    </w:p>
  </w:footnote>
  <w:footnote w:id="1192">
    <w:p w:rsidR="000D3D21" w:rsidRPr="002C7155"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C7155">
        <w:rPr>
          <w:rFonts w:ascii="Traditional Arabic" w:hAnsi="Traditional Arabic"/>
          <w:sz w:val="32"/>
          <w:szCs w:val="32"/>
          <w:rtl/>
        </w:rPr>
        <w:t>منظومة أصول الفقه وقواعده (10).</w:t>
      </w:r>
    </w:p>
  </w:footnote>
  <w:footnote w:id="1193">
    <w:p w:rsidR="000D3D21" w:rsidRPr="00924837" w:rsidRDefault="000D3D21" w:rsidP="00323A1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C7155">
        <w:rPr>
          <w:rFonts w:ascii="Traditional Arabic" w:hAnsi="Traditional Arabic"/>
          <w:sz w:val="32"/>
          <w:szCs w:val="32"/>
          <w:rtl/>
        </w:rPr>
        <w:t>الأشباه والنظائر لابن الوكيل (214).</w:t>
      </w:r>
    </w:p>
  </w:footnote>
  <w:footnote w:id="1194">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تقرير القواعد </w:t>
      </w:r>
      <w:r>
        <w:rPr>
          <w:rFonts w:ascii="Traditional Arabic" w:hAnsi="Traditional Arabic" w:hint="cs"/>
          <w:sz w:val="32"/>
          <w:szCs w:val="32"/>
          <w:rtl/>
        </w:rPr>
        <w:t>لابن رجب</w:t>
      </w:r>
      <w:r w:rsidRPr="00B3344B">
        <w:rPr>
          <w:rFonts w:ascii="Traditional Arabic" w:hAnsi="Traditional Arabic"/>
          <w:sz w:val="32"/>
          <w:szCs w:val="32"/>
          <w:rtl/>
        </w:rPr>
        <w:t xml:space="preserve"> (1/522).ومقصود ابن رجب بقوله: (فيها الخلاف) أن فيها وجهين: هل يصح تصرُّفه أم لا؟ </w:t>
      </w:r>
    </w:p>
  </w:footnote>
  <w:footnote w:id="1195">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إيضاح المسالك للونشريسي (84)، وشرح المنهج المنتخب (</w:t>
      </w:r>
      <w:r>
        <w:rPr>
          <w:rFonts w:ascii="Traditional Arabic" w:hAnsi="Traditional Arabic" w:hint="cs"/>
          <w:sz w:val="32"/>
          <w:szCs w:val="32"/>
          <w:rtl/>
        </w:rPr>
        <w:t>1/</w:t>
      </w:r>
      <w:r w:rsidRPr="00B3344B">
        <w:rPr>
          <w:rFonts w:ascii="Traditional Arabic" w:hAnsi="Traditional Arabic"/>
          <w:sz w:val="32"/>
          <w:szCs w:val="32"/>
          <w:rtl/>
        </w:rPr>
        <w:t>207).</w:t>
      </w:r>
    </w:p>
  </w:footnote>
  <w:footnote w:id="1196">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القواعد والأصول الجامعة (104).</w:t>
      </w:r>
    </w:p>
  </w:footnote>
  <w:footnote w:id="1197">
    <w:p w:rsidR="000D3D21" w:rsidRPr="00B15A30" w:rsidRDefault="000D3D21" w:rsidP="00323A1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مجلة الأحكام الشرعية على مذهب  أحمد بن حنبل الشيباني لأحمد بن عبد الله القاري (133)، وانظر موسوعة القواعد والضوابط الفقهية للندوي (1/318).</w:t>
      </w:r>
    </w:p>
  </w:footnote>
  <w:footnote w:id="1198">
    <w:p w:rsidR="000D3D21" w:rsidRPr="00B3344B" w:rsidRDefault="000D3D21" w:rsidP="00D65D30">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B3344B">
        <w:rPr>
          <w:rFonts w:ascii="Traditional Arabic" w:hAnsi="Traditional Arabic"/>
          <w:b/>
          <w:bCs/>
          <w:sz w:val="32"/>
          <w:szCs w:val="32"/>
          <w:rtl/>
        </w:rPr>
        <w:t>الوكالة</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الوكالة</w:instrText>
      </w:r>
      <w:r>
        <w:instrText xml:space="preserve">" </w:instrText>
      </w:r>
      <w:r w:rsidRPr="00D65D30">
        <w:instrText>\fm</w:instrText>
      </w:r>
      <w:r w:rsidR="00AB0B9E">
        <w:rPr>
          <w:rFonts w:ascii="Traditional Arabic" w:hAnsi="Traditional Arabic"/>
          <w:b/>
          <w:bCs/>
          <w:sz w:val="32"/>
          <w:szCs w:val="32"/>
          <w:rtl/>
        </w:rPr>
        <w:fldChar w:fldCharType="end"/>
      </w:r>
      <w:r w:rsidRPr="00B3344B">
        <w:rPr>
          <w:rFonts w:ascii="Traditional Arabic" w:hAnsi="Traditional Arabic"/>
          <w:b/>
          <w:bCs/>
          <w:sz w:val="32"/>
          <w:szCs w:val="32"/>
          <w:rtl/>
        </w:rPr>
        <w:t xml:space="preserve"> اصطلاحا: </w:t>
      </w:r>
      <w:r w:rsidRPr="00B3344B">
        <w:rPr>
          <w:rFonts w:ascii="Traditional Arabic" w:hAnsi="Traditional Arabic"/>
          <w:noProof w:val="0"/>
          <w:sz w:val="32"/>
          <w:szCs w:val="32"/>
          <w:rtl/>
          <w:lang w:eastAsia="en-US"/>
        </w:rPr>
        <w:t>استنابةُ جائزِ التصرّف مثلَه فيما تدخله النيابة</w:t>
      </w:r>
      <w:r w:rsidRPr="00B3344B">
        <w:rPr>
          <w:rFonts w:ascii="Traditional Arabic" w:hAnsi="Traditional Arabic"/>
          <w:b/>
          <w:bCs/>
          <w:sz w:val="32"/>
          <w:szCs w:val="32"/>
          <w:rtl/>
        </w:rPr>
        <w:t>.</w:t>
      </w:r>
      <w:r w:rsidRPr="00B3344B">
        <w:rPr>
          <w:rFonts w:ascii="Traditional Arabic" w:hAnsi="Traditional Arabic"/>
          <w:sz w:val="32"/>
          <w:szCs w:val="32"/>
          <w:rtl/>
        </w:rPr>
        <w:t>الروض المربع</w:t>
      </w:r>
      <w:r w:rsidRPr="00B3344B">
        <w:rPr>
          <w:rFonts w:ascii="Traditional Arabic" w:hAnsi="Traditional Arabic"/>
          <w:b/>
          <w:bCs/>
          <w:sz w:val="32"/>
          <w:szCs w:val="32"/>
          <w:rtl/>
        </w:rPr>
        <w:t xml:space="preserve"> (</w:t>
      </w:r>
      <w:r>
        <w:rPr>
          <w:rFonts w:ascii="Traditional Arabic" w:hAnsi="Traditional Arabic" w:hint="cs"/>
          <w:sz w:val="32"/>
          <w:szCs w:val="32"/>
          <w:rtl/>
        </w:rPr>
        <w:t>6/563-564</w:t>
      </w:r>
      <w:r w:rsidRPr="00B3344B">
        <w:rPr>
          <w:rFonts w:ascii="Traditional Arabic" w:hAnsi="Traditional Arabic"/>
          <w:b/>
          <w:bCs/>
          <w:sz w:val="32"/>
          <w:szCs w:val="32"/>
          <w:rtl/>
        </w:rPr>
        <w:t>).</w:t>
      </w:r>
    </w:p>
  </w:footnote>
  <w:footnote w:id="1199">
    <w:p w:rsidR="000D3D21" w:rsidRPr="00B3344B" w:rsidRDefault="000D3D21" w:rsidP="00D65D30">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b/>
          <w:bCs/>
          <w:sz w:val="32"/>
          <w:szCs w:val="32"/>
          <w:rtl/>
        </w:rPr>
        <w:t>الإجارة</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الإجارة</w:instrText>
      </w:r>
      <w:r>
        <w:instrText xml:space="preserve">" </w:instrText>
      </w:r>
      <w:r w:rsidRPr="00D65D30">
        <w:instrText>\fm</w:instrText>
      </w:r>
      <w:r w:rsidR="00AB0B9E">
        <w:rPr>
          <w:rFonts w:ascii="Traditional Arabic" w:hAnsi="Traditional Arabic"/>
          <w:b/>
          <w:bCs/>
          <w:sz w:val="32"/>
          <w:szCs w:val="32"/>
          <w:rtl/>
        </w:rPr>
        <w:fldChar w:fldCharType="end"/>
      </w:r>
      <w:r w:rsidRPr="00B3344B">
        <w:rPr>
          <w:rFonts w:ascii="Traditional Arabic" w:hAnsi="Traditional Arabic"/>
          <w:b/>
          <w:bCs/>
          <w:sz w:val="32"/>
          <w:szCs w:val="32"/>
          <w:rtl/>
        </w:rPr>
        <w:t xml:space="preserve"> لغة: </w:t>
      </w:r>
      <w:r w:rsidRPr="00B3344B">
        <w:rPr>
          <w:rFonts w:ascii="Traditional Arabic" w:hAnsi="Traditional Arabic"/>
          <w:noProof w:val="0"/>
          <w:sz w:val="32"/>
          <w:szCs w:val="32"/>
          <w:rtl/>
          <w:lang w:eastAsia="en-US"/>
        </w:rPr>
        <w:t>اسم للأجرة وهي كِراء الأجير، وقد أجَّره إذا أعطاه أُجرته</w:t>
      </w:r>
      <w:r w:rsidRPr="00B3344B">
        <w:rPr>
          <w:rFonts w:ascii="Traditional Arabic" w:hAnsi="Traditional Arabic"/>
          <w:sz w:val="32"/>
          <w:szCs w:val="32"/>
          <w:rtl/>
        </w:rPr>
        <w:t>.</w:t>
      </w:r>
      <w:r>
        <w:rPr>
          <w:rFonts w:ascii="Traditional Arabic" w:hAnsi="Traditional Arabic" w:hint="cs"/>
          <w:sz w:val="32"/>
          <w:szCs w:val="32"/>
          <w:rtl/>
        </w:rPr>
        <w:t xml:space="preserve">انظر </w:t>
      </w:r>
      <w:r w:rsidRPr="00B3344B">
        <w:rPr>
          <w:rFonts w:ascii="Traditional Arabic" w:hAnsi="Traditional Arabic"/>
          <w:sz w:val="32"/>
          <w:szCs w:val="32"/>
          <w:rtl/>
        </w:rPr>
        <w:t>أنيس الفقهاء (</w:t>
      </w:r>
      <w:r>
        <w:rPr>
          <w:rFonts w:ascii="Traditional Arabic" w:hAnsi="Traditional Arabic" w:hint="cs"/>
          <w:sz w:val="32"/>
          <w:szCs w:val="32"/>
          <w:rtl/>
        </w:rPr>
        <w:t>255</w:t>
      </w:r>
      <w:r w:rsidRPr="00B3344B">
        <w:rPr>
          <w:rFonts w:ascii="Traditional Arabic" w:hAnsi="Traditional Arabic"/>
          <w:sz w:val="32"/>
          <w:szCs w:val="32"/>
          <w:rtl/>
        </w:rPr>
        <w:t>).</w:t>
      </w:r>
    </w:p>
    <w:p w:rsidR="000D3D21" w:rsidRPr="00B3344B" w:rsidRDefault="000D3D21" w:rsidP="00323A19">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B3344B">
        <w:rPr>
          <w:rFonts w:ascii="Traditional Arabic" w:hAnsi="Traditional Arabic"/>
          <w:b/>
          <w:bCs/>
          <w:sz w:val="32"/>
          <w:szCs w:val="32"/>
          <w:rtl/>
        </w:rPr>
        <w:t>الإجارة اصطلاحا</w:t>
      </w:r>
      <w:r w:rsidRPr="00B3344B">
        <w:rPr>
          <w:rFonts w:ascii="Traditional Arabic" w:hAnsi="Traditional Arabic"/>
          <w:sz w:val="32"/>
          <w:szCs w:val="32"/>
          <w:rtl/>
        </w:rPr>
        <w:t>:</w:t>
      </w:r>
      <w:r w:rsidRPr="00B3344B">
        <w:rPr>
          <w:rFonts w:ascii="Traditional Arabic" w:hAnsi="Traditional Arabic"/>
          <w:noProof w:val="0"/>
          <w:sz w:val="32"/>
          <w:szCs w:val="32"/>
          <w:rtl/>
          <w:lang w:eastAsia="en-US"/>
        </w:rPr>
        <w:t>عقد على منفعة مباحة معلومة من عين معينة أو موصوفة في الذمة مدةً أو عملٍ معلوم بعوض معلوم</w:t>
      </w:r>
      <w:r w:rsidRPr="00B3344B">
        <w:rPr>
          <w:rFonts w:ascii="Traditional Arabic" w:hAnsi="Traditional Arabic"/>
          <w:b/>
          <w:bCs/>
          <w:sz w:val="32"/>
          <w:szCs w:val="32"/>
          <w:rtl/>
        </w:rPr>
        <w:t xml:space="preserve">. </w:t>
      </w:r>
      <w:r>
        <w:rPr>
          <w:rFonts w:ascii="Traditional Arabic" w:hAnsi="Traditional Arabic"/>
          <w:sz w:val="32"/>
          <w:szCs w:val="32"/>
          <w:rtl/>
        </w:rPr>
        <w:t>الروض المربع (</w:t>
      </w:r>
      <w:r>
        <w:rPr>
          <w:rFonts w:ascii="Traditional Arabic" w:hAnsi="Traditional Arabic" w:hint="cs"/>
          <w:sz w:val="32"/>
          <w:szCs w:val="32"/>
          <w:rtl/>
        </w:rPr>
        <w:t>7/80-81</w:t>
      </w:r>
      <w:r w:rsidRPr="00B3344B">
        <w:rPr>
          <w:rFonts w:ascii="Traditional Arabic" w:hAnsi="Traditional Arabic"/>
          <w:sz w:val="32"/>
          <w:szCs w:val="32"/>
          <w:rtl/>
        </w:rPr>
        <w:t>).</w:t>
      </w:r>
    </w:p>
  </w:footnote>
  <w:footnote w:id="1200">
    <w:p w:rsidR="000D3D21" w:rsidRPr="00B3344B" w:rsidRDefault="000D3D21" w:rsidP="00D65D30">
      <w:pPr>
        <w:widowControl/>
        <w:autoSpaceDE w:val="0"/>
        <w:autoSpaceDN w:val="0"/>
        <w:adjustRightInd w:val="0"/>
        <w:ind w:firstLine="0"/>
        <w:jc w:val="left"/>
        <w:rPr>
          <w:rFonts w:ascii="Traditional Arabic" w:hAnsi="Traditional Arabic"/>
          <w:noProof w:val="0"/>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B3344B">
        <w:rPr>
          <w:rFonts w:ascii="Traditional Arabic" w:hAnsi="Traditional Arabic"/>
          <w:b/>
          <w:bCs/>
          <w:sz w:val="32"/>
          <w:szCs w:val="32"/>
          <w:rtl/>
        </w:rPr>
        <w:t>العارية</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العارية</w:instrText>
      </w:r>
      <w:r>
        <w:instrText xml:space="preserve">" </w:instrText>
      </w:r>
      <w:r w:rsidRPr="00D65D30">
        <w:instrText>\fm</w:instrText>
      </w:r>
      <w:r w:rsidR="00AB0B9E">
        <w:rPr>
          <w:rFonts w:ascii="Traditional Arabic" w:hAnsi="Traditional Arabic"/>
          <w:b/>
          <w:bCs/>
          <w:sz w:val="32"/>
          <w:szCs w:val="32"/>
          <w:rtl/>
        </w:rPr>
        <w:fldChar w:fldCharType="end"/>
      </w:r>
      <w:r w:rsidRPr="00B3344B">
        <w:rPr>
          <w:rFonts w:ascii="Traditional Arabic" w:hAnsi="Traditional Arabic"/>
          <w:b/>
          <w:bCs/>
          <w:sz w:val="32"/>
          <w:szCs w:val="32"/>
          <w:rtl/>
        </w:rPr>
        <w:t xml:space="preserve"> لغة: </w:t>
      </w:r>
      <w:r>
        <w:rPr>
          <w:rFonts w:ascii="Traditional Arabic" w:hAnsi="Traditional Arabic"/>
          <w:noProof w:val="0"/>
          <w:sz w:val="32"/>
          <w:szCs w:val="32"/>
          <w:rtl/>
          <w:lang w:eastAsia="en-US"/>
        </w:rPr>
        <w:t>العارية منسوبة إلى العارة</w:t>
      </w:r>
      <w:r w:rsidRPr="00B3344B">
        <w:rPr>
          <w:rFonts w:ascii="Traditional Arabic" w:hAnsi="Traditional Arabic"/>
          <w:noProof w:val="0"/>
          <w:sz w:val="32"/>
          <w:szCs w:val="32"/>
          <w:rtl/>
          <w:lang w:eastAsia="en-US"/>
        </w:rPr>
        <w:t xml:space="preserve">، وهي اسم من الإعارة.يقال: أَعَرْتُه الشيءَ أُعِيره إعارةً </w:t>
      </w:r>
    </w:p>
    <w:p w:rsidR="000D3D21" w:rsidRPr="00B3344B" w:rsidRDefault="000D3D21" w:rsidP="00323A19">
      <w:pPr>
        <w:widowControl/>
        <w:autoSpaceDE w:val="0"/>
        <w:autoSpaceDN w:val="0"/>
        <w:adjustRightInd w:val="0"/>
        <w:ind w:firstLine="0"/>
        <w:jc w:val="left"/>
        <w:rPr>
          <w:rFonts w:ascii="Traditional Arabic" w:hAnsi="Traditional Arabic"/>
          <w:sz w:val="32"/>
          <w:szCs w:val="32"/>
          <w:rtl/>
        </w:rPr>
      </w:pPr>
      <w:r>
        <w:rPr>
          <w:rFonts w:ascii="Traditional Arabic" w:hAnsi="Traditional Arabic"/>
          <w:noProof w:val="0"/>
          <w:sz w:val="32"/>
          <w:szCs w:val="32"/>
          <w:rtl/>
          <w:lang w:eastAsia="en-US"/>
        </w:rPr>
        <w:t xml:space="preserve"> و</w:t>
      </w:r>
      <w:r w:rsidRPr="00B3344B">
        <w:rPr>
          <w:rFonts w:ascii="Traditional Arabic" w:hAnsi="Traditional Arabic"/>
          <w:noProof w:val="0"/>
          <w:sz w:val="32"/>
          <w:szCs w:val="32"/>
          <w:rtl/>
          <w:lang w:eastAsia="en-US"/>
        </w:rPr>
        <w:t>عارةً، واستع</w:t>
      </w:r>
      <w:r>
        <w:rPr>
          <w:rFonts w:ascii="Traditional Arabic" w:hAnsi="Traditional Arabic"/>
          <w:noProof w:val="0"/>
          <w:sz w:val="32"/>
          <w:szCs w:val="32"/>
          <w:rtl/>
          <w:lang w:eastAsia="en-US"/>
        </w:rPr>
        <w:t>َرتُ منه عارِيّةً فأعارَنيها. وتَعاوَروا الشيءَ و</w:t>
      </w:r>
      <w:r w:rsidRPr="00B3344B">
        <w:rPr>
          <w:rFonts w:ascii="Traditional Arabic" w:hAnsi="Traditional Arabic"/>
          <w:noProof w:val="0"/>
          <w:sz w:val="32"/>
          <w:szCs w:val="32"/>
          <w:rtl/>
          <w:lang w:eastAsia="en-US"/>
        </w:rPr>
        <w:t>اعْتَوَرُوه: تَداوَلُوه.</w:t>
      </w:r>
      <w:r w:rsidRPr="00B3344B">
        <w:rPr>
          <w:rFonts w:ascii="Traditional Arabic" w:hAnsi="Traditional Arabic"/>
          <w:sz w:val="32"/>
          <w:szCs w:val="32"/>
          <w:rtl/>
        </w:rPr>
        <w:t>انظر: تهذيب اللغة (3/164-165)،</w:t>
      </w:r>
      <w:r>
        <w:rPr>
          <w:rFonts w:ascii="Traditional Arabic" w:hAnsi="Traditional Arabic"/>
          <w:sz w:val="32"/>
          <w:szCs w:val="32"/>
          <w:rtl/>
        </w:rPr>
        <w:t xml:space="preserve"> و</w:t>
      </w:r>
      <w:r w:rsidRPr="00B3344B">
        <w:rPr>
          <w:rFonts w:ascii="Traditional Arabic" w:hAnsi="Traditional Arabic"/>
          <w:sz w:val="32"/>
          <w:szCs w:val="32"/>
          <w:rtl/>
        </w:rPr>
        <w:t>المصباح المنير (</w:t>
      </w:r>
      <w:r>
        <w:rPr>
          <w:rFonts w:ascii="Traditional Arabic" w:hAnsi="Traditional Arabic" w:hint="cs"/>
          <w:sz w:val="32"/>
          <w:szCs w:val="32"/>
          <w:rtl/>
        </w:rPr>
        <w:t>356</w:t>
      </w:r>
      <w:r w:rsidRPr="00B3344B">
        <w:rPr>
          <w:rFonts w:ascii="Traditional Arabic" w:hAnsi="Traditional Arabic"/>
          <w:sz w:val="32"/>
          <w:szCs w:val="32"/>
          <w:rtl/>
        </w:rPr>
        <w:t>).</w:t>
      </w:r>
    </w:p>
    <w:p w:rsidR="000D3D21" w:rsidRPr="00B3344B" w:rsidRDefault="000D3D21" w:rsidP="00323A19">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B3344B">
        <w:rPr>
          <w:rFonts w:ascii="Traditional Arabic" w:hAnsi="Traditional Arabic"/>
          <w:b/>
          <w:bCs/>
          <w:sz w:val="32"/>
          <w:szCs w:val="32"/>
          <w:rtl/>
        </w:rPr>
        <w:t>العارية اصطلاحا</w:t>
      </w:r>
      <w:r w:rsidRPr="00B3344B">
        <w:rPr>
          <w:rFonts w:ascii="Traditional Arabic" w:hAnsi="Traditional Arabic"/>
          <w:sz w:val="32"/>
          <w:szCs w:val="32"/>
          <w:rtl/>
        </w:rPr>
        <w:t>:</w:t>
      </w:r>
      <w:r w:rsidRPr="00B3344B">
        <w:rPr>
          <w:rFonts w:ascii="Traditional Arabic" w:hAnsi="Traditional Arabic"/>
          <w:noProof w:val="0"/>
          <w:sz w:val="32"/>
          <w:szCs w:val="32"/>
          <w:rtl/>
          <w:lang w:eastAsia="en-US"/>
        </w:rPr>
        <w:t xml:space="preserve"> هي إباحةُ نفعِ عينٍ يَحِلّ الانتفاعُ بها تبقى بعد استيفائهلِيرُدَّهاعلى مالكها</w:t>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الروض المربع (</w:t>
      </w:r>
      <w:r>
        <w:rPr>
          <w:rFonts w:ascii="Traditional Arabic" w:hAnsi="Traditional Arabic" w:hint="cs"/>
          <w:sz w:val="32"/>
          <w:szCs w:val="32"/>
          <w:rtl/>
        </w:rPr>
        <w:t>7/167</w:t>
      </w:r>
      <w:r w:rsidRPr="00B3344B">
        <w:rPr>
          <w:rFonts w:ascii="Traditional Arabic" w:hAnsi="Traditional Arabic"/>
          <w:sz w:val="32"/>
          <w:szCs w:val="32"/>
          <w:rtl/>
        </w:rPr>
        <w:t>).</w:t>
      </w:r>
    </w:p>
  </w:footnote>
  <w:footnote w:id="1201">
    <w:p w:rsidR="000D3D21" w:rsidRPr="004E60A9" w:rsidRDefault="000D3D21" w:rsidP="00323A19">
      <w:pPr>
        <w:pStyle w:val="a7"/>
        <w:pageBreakBefore/>
        <w:ind w:left="0" w:firstLine="0"/>
        <w:rPr>
          <w:rFonts w:ascii="Tahoma" w:hAnsi="Tahoma"/>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w:t>
      </w:r>
      <w:r w:rsidRPr="00B3344B">
        <w:rPr>
          <w:rFonts w:ascii="Traditional Arabic" w:hAnsi="Traditional Arabic"/>
          <w:sz w:val="32"/>
          <w:szCs w:val="32"/>
          <w:rtl/>
        </w:rPr>
        <w:t>المدخل الفقهي الع</w:t>
      </w:r>
      <w:r>
        <w:rPr>
          <w:rFonts w:ascii="Traditional Arabic" w:hAnsi="Traditional Arabic"/>
          <w:sz w:val="32"/>
          <w:szCs w:val="32"/>
          <w:rtl/>
        </w:rPr>
        <w:t>ام (1/66)، والقاموس الفقهي (</w:t>
      </w:r>
      <w:r>
        <w:rPr>
          <w:rFonts w:ascii="Traditional Arabic" w:hAnsi="Traditional Arabic" w:hint="cs"/>
          <w:sz w:val="32"/>
          <w:szCs w:val="32"/>
          <w:rtl/>
        </w:rPr>
        <w:t>263</w:t>
      </w:r>
      <w:r>
        <w:rPr>
          <w:rFonts w:ascii="Traditional Arabic" w:hAnsi="Traditional Arabic"/>
          <w:sz w:val="32"/>
          <w:szCs w:val="32"/>
          <w:rtl/>
        </w:rPr>
        <w:t>)، و</w:t>
      </w:r>
      <w:r w:rsidRPr="00B3344B">
        <w:rPr>
          <w:rFonts w:ascii="Traditional Arabic" w:hAnsi="Traditional Arabic"/>
          <w:sz w:val="32"/>
          <w:szCs w:val="32"/>
          <w:rtl/>
        </w:rPr>
        <w:t>الأصل</w:t>
      </w:r>
      <w:r>
        <w:rPr>
          <w:rFonts w:ascii="Traditional Arabic" w:hAnsi="Traditional Arabic" w:hint="cs"/>
          <w:sz w:val="32"/>
          <w:szCs w:val="32"/>
          <w:rtl/>
        </w:rPr>
        <w:t xml:space="preserve"> والظاهر في الفقهية (522)، </w:t>
      </w:r>
      <w:r>
        <w:rPr>
          <w:rFonts w:ascii="Traditional Arabic" w:hAnsi="Traditional Arabic"/>
          <w:sz w:val="32"/>
          <w:szCs w:val="32"/>
          <w:rtl/>
        </w:rPr>
        <w:t>و</w:t>
      </w:r>
      <w:r w:rsidRPr="00B3344B">
        <w:rPr>
          <w:rFonts w:ascii="Traditional Arabic" w:hAnsi="Traditional Arabic"/>
          <w:sz w:val="32"/>
          <w:szCs w:val="32"/>
          <w:rtl/>
        </w:rPr>
        <w:t>القواعد</w:t>
      </w:r>
      <w:r>
        <w:rPr>
          <w:rFonts w:ascii="Traditional Arabic" w:hAnsi="Traditional Arabic"/>
          <w:sz w:val="32"/>
          <w:szCs w:val="32"/>
          <w:rtl/>
        </w:rPr>
        <w:t xml:space="preserve"> و</w:t>
      </w:r>
      <w:r w:rsidRPr="00B3344B">
        <w:rPr>
          <w:rFonts w:ascii="Traditional Arabic" w:hAnsi="Traditional Arabic"/>
          <w:sz w:val="32"/>
          <w:szCs w:val="32"/>
          <w:rtl/>
        </w:rPr>
        <w:t>الضوابط الفقهية ع</w:t>
      </w:r>
      <w:r>
        <w:rPr>
          <w:rFonts w:ascii="Traditional Arabic" w:hAnsi="Traditional Arabic"/>
          <w:sz w:val="32"/>
          <w:szCs w:val="32"/>
          <w:rtl/>
        </w:rPr>
        <w:t>ند ابن رشد في بداية المجتهد (</w:t>
      </w:r>
      <w:r>
        <w:rPr>
          <w:rFonts w:ascii="Traditional Arabic" w:hAnsi="Traditional Arabic" w:hint="cs"/>
          <w:sz w:val="32"/>
          <w:szCs w:val="32"/>
          <w:rtl/>
        </w:rPr>
        <w:t>2/795</w:t>
      </w:r>
      <w:r w:rsidRPr="00B3344B">
        <w:rPr>
          <w:rFonts w:ascii="Traditional Arabic" w:hAnsi="Traditional Arabic"/>
          <w:sz w:val="32"/>
          <w:szCs w:val="32"/>
          <w:rtl/>
        </w:rPr>
        <w:t xml:space="preserve">). </w:t>
      </w:r>
    </w:p>
  </w:footnote>
  <w:footnote w:id="1202">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وإن كان يحر</w:t>
      </w:r>
      <w:r>
        <w:rPr>
          <w:rFonts w:ascii="Traditional Arabic" w:hAnsi="Traditional Arabic" w:hint="cs"/>
          <w:sz w:val="32"/>
          <w:szCs w:val="32"/>
          <w:rtl/>
        </w:rPr>
        <w:t>ُ</w:t>
      </w:r>
      <w:r w:rsidRPr="00B3344B">
        <w:rPr>
          <w:rFonts w:ascii="Traditional Arabic" w:hAnsi="Traditional Arabic"/>
          <w:sz w:val="32"/>
          <w:szCs w:val="32"/>
          <w:rtl/>
        </w:rPr>
        <w:t>م على المكلف أن يتصرَّف فيما لا يَظنُّ أن له حقُّ التصرُّف فيه.شرح منظومة أصول الفقه وقواعده (</w:t>
      </w:r>
      <w:r>
        <w:rPr>
          <w:rFonts w:ascii="Traditional Arabic" w:hAnsi="Traditional Arabic" w:hint="cs"/>
          <w:sz w:val="32"/>
          <w:szCs w:val="32"/>
          <w:rtl/>
        </w:rPr>
        <w:t>167</w:t>
      </w:r>
      <w:r w:rsidRPr="00B3344B">
        <w:rPr>
          <w:rFonts w:ascii="Traditional Arabic" w:hAnsi="Traditional Arabic"/>
          <w:sz w:val="32"/>
          <w:szCs w:val="32"/>
          <w:rtl/>
        </w:rPr>
        <w:t>).</w:t>
      </w:r>
    </w:p>
  </w:footnote>
  <w:footnote w:id="1203">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انظر: الشرح الممتع (6/263)، و(7/155)، والتعليق على القواعد والأصول الجامعة (251)، والقواعد والأصول الجامعة (104</w:t>
      </w:r>
      <w:r>
        <w:rPr>
          <w:rFonts w:ascii="Traditional Arabic" w:hAnsi="Traditional Arabic" w:hint="cs"/>
          <w:sz w:val="32"/>
          <w:szCs w:val="32"/>
          <w:rtl/>
        </w:rPr>
        <w:t>، 137</w:t>
      </w:r>
      <w:r w:rsidRPr="00B3344B">
        <w:rPr>
          <w:rFonts w:ascii="Traditional Arabic" w:hAnsi="Traditional Arabic"/>
          <w:sz w:val="32"/>
          <w:szCs w:val="32"/>
          <w:rtl/>
        </w:rPr>
        <w:t xml:space="preserve">)، وموسوعة القواعد والضوابط الفقهية للندوي (1/318)، </w:t>
      </w:r>
      <w:r>
        <w:rPr>
          <w:rFonts w:ascii="Traditional Arabic" w:hAnsi="Traditional Arabic"/>
          <w:sz w:val="32"/>
          <w:szCs w:val="32"/>
          <w:rtl/>
        </w:rPr>
        <w:t xml:space="preserve">وشرح </w:t>
      </w:r>
      <w:r>
        <w:rPr>
          <w:rFonts w:ascii="Traditional Arabic" w:hAnsi="Traditional Arabic" w:hint="cs"/>
          <w:sz w:val="32"/>
          <w:szCs w:val="32"/>
          <w:rtl/>
        </w:rPr>
        <w:t>"</w:t>
      </w:r>
      <w:r>
        <w:rPr>
          <w:rFonts w:ascii="Traditional Arabic" w:hAnsi="Traditional Arabic"/>
          <w:sz w:val="32"/>
          <w:szCs w:val="32"/>
          <w:rtl/>
        </w:rPr>
        <w:t xml:space="preserve">منظومة </w:t>
      </w:r>
      <w:r>
        <w:rPr>
          <w:rFonts w:ascii="Traditional Arabic" w:hAnsi="Traditional Arabic" w:hint="cs"/>
          <w:sz w:val="32"/>
          <w:szCs w:val="32"/>
          <w:rtl/>
        </w:rPr>
        <w:t>القواعد والأصول للشيخ محمد بن صالح العثيمين"</w:t>
      </w:r>
      <w:r w:rsidRPr="00B3344B">
        <w:rPr>
          <w:rFonts w:ascii="Traditional Arabic" w:hAnsi="Traditional Arabic"/>
          <w:sz w:val="32"/>
          <w:szCs w:val="32"/>
          <w:rtl/>
        </w:rPr>
        <w:t xml:space="preserve"> لسعود بن عبد الله الغديان (</w:t>
      </w:r>
      <w:r>
        <w:rPr>
          <w:rFonts w:ascii="Traditional Arabic" w:hAnsi="Traditional Arabic" w:hint="cs"/>
          <w:sz w:val="32"/>
          <w:szCs w:val="32"/>
          <w:rtl/>
        </w:rPr>
        <w:t>81</w:t>
      </w:r>
      <w:r w:rsidRPr="00B3344B">
        <w:rPr>
          <w:rFonts w:ascii="Traditional Arabic" w:hAnsi="Traditional Arabic"/>
          <w:sz w:val="32"/>
          <w:szCs w:val="32"/>
          <w:rtl/>
        </w:rPr>
        <w:t>).</w:t>
      </w:r>
    </w:p>
  </w:footnote>
  <w:footnote w:id="1204">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 xml:space="preserve">بدأت بتعليل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B3344B">
        <w:rPr>
          <w:rFonts w:ascii="Traditional Arabic" w:hAnsi="Traditional Arabic"/>
          <w:sz w:val="32"/>
          <w:szCs w:val="32"/>
          <w:rtl/>
        </w:rPr>
        <w:t>؛ لأني اشترطت في منهج البحث في الرسالة أن أذكر أدلة القاعدة من كلام الشيخ إن وجدت، فإن لم أجد فأنقل عن علماء القواعد الذين دلَّلوا للقاعدة.</w:t>
      </w:r>
    </w:p>
  </w:footnote>
  <w:footnote w:id="1205">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مقصود</w:t>
      </w:r>
      <w:r>
        <w:rPr>
          <w:rFonts w:ascii="Traditional Arabic" w:hAnsi="Traditional Arabic" w:hint="cs"/>
          <w:sz w:val="32"/>
          <w:szCs w:val="32"/>
          <w:rtl/>
        </w:rPr>
        <w:t xml:space="preserve"> الشيخ ابن عثيمين رحمه الله</w:t>
      </w:r>
      <w:r w:rsidRPr="00B3344B">
        <w:rPr>
          <w:rFonts w:ascii="Traditional Arabic" w:hAnsi="Traditional Arabic"/>
          <w:sz w:val="32"/>
          <w:szCs w:val="32"/>
          <w:rtl/>
        </w:rPr>
        <w:t xml:space="preserve"> -والله أعلم- أن </w:t>
      </w:r>
      <w:r>
        <w:rPr>
          <w:rFonts w:ascii="Traditional Arabic" w:hAnsi="Traditional Arabic"/>
          <w:sz w:val="32"/>
          <w:szCs w:val="32"/>
          <w:rtl/>
        </w:rPr>
        <w:t>حقوق الآدميين مبنية على المشاحة</w:t>
      </w:r>
      <w:r>
        <w:rPr>
          <w:rFonts w:ascii="Traditional Arabic" w:hAnsi="Traditional Arabic" w:hint="cs"/>
          <w:sz w:val="32"/>
          <w:szCs w:val="32"/>
          <w:rtl/>
        </w:rPr>
        <w:t>؛</w:t>
      </w:r>
      <w:r w:rsidRPr="00B3344B">
        <w:rPr>
          <w:rFonts w:ascii="Traditional Arabic" w:hAnsi="Traditional Arabic"/>
          <w:sz w:val="32"/>
          <w:szCs w:val="32"/>
          <w:rtl/>
        </w:rPr>
        <w:t xml:space="preserve"> فلهذا لابد من موافقة التصرف للواقع</w:t>
      </w:r>
      <w:r>
        <w:rPr>
          <w:rFonts w:ascii="Traditional Arabic" w:hAnsi="Traditional Arabic"/>
          <w:sz w:val="32"/>
          <w:szCs w:val="32"/>
          <w:rtl/>
        </w:rPr>
        <w:t xml:space="preserve">، </w:t>
      </w:r>
      <w:r w:rsidRPr="00B3344B">
        <w:rPr>
          <w:rFonts w:ascii="Traditional Arabic" w:hAnsi="Traditional Arabic"/>
          <w:sz w:val="32"/>
          <w:szCs w:val="32"/>
          <w:rtl/>
        </w:rPr>
        <w:t>ولا ي</w:t>
      </w:r>
      <w:r>
        <w:rPr>
          <w:rFonts w:ascii="Traditional Arabic" w:hAnsi="Traditional Arabic" w:hint="cs"/>
          <w:sz w:val="32"/>
          <w:szCs w:val="32"/>
          <w:rtl/>
        </w:rPr>
        <w:t>ُ</w:t>
      </w:r>
      <w:r w:rsidRPr="00B3344B">
        <w:rPr>
          <w:rFonts w:ascii="Traditional Arabic" w:hAnsi="Traditional Arabic"/>
          <w:sz w:val="32"/>
          <w:szCs w:val="32"/>
          <w:rtl/>
        </w:rPr>
        <w:t>نظر إلى ظن المكلف صيانةً لحقوق العباد.</w:t>
      </w:r>
      <w:r>
        <w:rPr>
          <w:rFonts w:ascii="Traditional Arabic" w:hAnsi="Traditional Arabic" w:hint="cs"/>
          <w:sz w:val="32"/>
          <w:szCs w:val="32"/>
          <w:rtl/>
        </w:rPr>
        <w:t xml:space="preserve"> </w:t>
      </w:r>
      <w:r w:rsidRPr="00B3344B">
        <w:rPr>
          <w:rFonts w:ascii="Traditional Arabic" w:hAnsi="Traditional Arabic"/>
          <w:sz w:val="32"/>
          <w:szCs w:val="32"/>
          <w:rtl/>
        </w:rPr>
        <w:t>انظر شرح منظومة أصول الفقه وقواعده (165).</w:t>
      </w:r>
    </w:p>
  </w:footnote>
  <w:footnote w:id="1206">
    <w:p w:rsidR="000D3D21" w:rsidRPr="00654B4F" w:rsidRDefault="000D3D21" w:rsidP="00323A1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القواع</w:t>
      </w:r>
      <w:r>
        <w:rPr>
          <w:rFonts w:ascii="Traditional Arabic" w:hAnsi="Traditional Arabic"/>
          <w:sz w:val="32"/>
          <w:szCs w:val="32"/>
          <w:rtl/>
        </w:rPr>
        <w:t>د والأصول الجامعة لابن سعدي (</w:t>
      </w:r>
      <w:r>
        <w:rPr>
          <w:rFonts w:ascii="Traditional Arabic" w:hAnsi="Traditional Arabic" w:hint="cs"/>
          <w:sz w:val="32"/>
          <w:szCs w:val="32"/>
          <w:rtl/>
        </w:rPr>
        <w:t>137</w:t>
      </w:r>
      <w:r w:rsidRPr="00B3344B">
        <w:rPr>
          <w:rFonts w:ascii="Traditional Arabic" w:hAnsi="Traditional Arabic"/>
          <w:sz w:val="32"/>
          <w:szCs w:val="32"/>
          <w:rtl/>
        </w:rPr>
        <w:t xml:space="preserve">). </w:t>
      </w:r>
    </w:p>
  </w:footnote>
  <w:footnote w:id="1207">
    <w:p w:rsidR="000D3D21" w:rsidRPr="00B3344B"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3344B">
        <w:rPr>
          <w:rFonts w:ascii="Traditional Arabic" w:hAnsi="Traditional Arabic"/>
          <w:sz w:val="32"/>
          <w:szCs w:val="32"/>
          <w:rtl/>
        </w:rPr>
        <w:t>انظر الشرح الممتع (9/229)، والمطلع على دقائق زاد المستقنع-المعاملات المالية- (3/174، 175).</w:t>
      </w:r>
    </w:p>
  </w:footnote>
  <w:footnote w:id="1208">
    <w:p w:rsidR="000D3D21" w:rsidRPr="002C7155" w:rsidRDefault="000D3D21" w:rsidP="00323A19">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C7155">
        <w:rPr>
          <w:rFonts w:ascii="Traditional Arabic" w:hAnsi="Traditional Arabic"/>
          <w:sz w:val="32"/>
          <w:szCs w:val="32"/>
          <w:rtl/>
        </w:rPr>
        <w:t>شرح منظومة أصول الفقه وقواعده (167).</w:t>
      </w:r>
    </w:p>
  </w:footnote>
  <w:footnote w:id="1209">
    <w:p w:rsidR="000D3D21" w:rsidRPr="009E3A56"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E3A56">
        <w:rPr>
          <w:rFonts w:ascii="Traditional Arabic" w:hAnsi="Traditional Arabic"/>
          <w:sz w:val="32"/>
          <w:szCs w:val="32"/>
          <w:rtl/>
        </w:rPr>
        <w:t>المرجع السابق.</w:t>
      </w:r>
    </w:p>
  </w:footnote>
  <w:footnote w:id="1210">
    <w:p w:rsidR="000D3D21" w:rsidRPr="009E3A56" w:rsidRDefault="000D3D21" w:rsidP="00323A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E3A56">
        <w:rPr>
          <w:rFonts w:ascii="Traditional Arabic" w:hAnsi="Traditional Arabic"/>
          <w:sz w:val="32"/>
          <w:szCs w:val="32"/>
          <w:rtl/>
        </w:rPr>
        <w:t>التعليق على القواعد والأصول الجامعة (251)بتصرف.</w:t>
      </w:r>
    </w:p>
  </w:footnote>
  <w:footnote w:id="1211">
    <w:p w:rsidR="000D3D21" w:rsidRPr="000A2BA1" w:rsidRDefault="000D3D21" w:rsidP="00323A1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E3A56">
        <w:rPr>
          <w:rFonts w:ascii="Traditional Arabic" w:hAnsi="Traditional Arabic"/>
          <w:sz w:val="32"/>
          <w:szCs w:val="32"/>
          <w:rtl/>
        </w:rPr>
        <w:t>التعليق على القواعد والأصول الجامعة (251)</w:t>
      </w:r>
      <w:r>
        <w:rPr>
          <w:rFonts w:ascii="Traditional Arabic" w:hAnsi="Traditional Arabic" w:hint="cs"/>
          <w:sz w:val="32"/>
          <w:szCs w:val="32"/>
          <w:rtl/>
        </w:rPr>
        <w:t xml:space="preserve"> </w:t>
      </w:r>
      <w:r w:rsidRPr="009E3A56">
        <w:rPr>
          <w:rFonts w:ascii="Traditional Arabic" w:hAnsi="Traditional Arabic"/>
          <w:sz w:val="32"/>
          <w:szCs w:val="32"/>
          <w:rtl/>
        </w:rPr>
        <w:t>بتصرف.</w:t>
      </w:r>
    </w:p>
  </w:footnote>
  <w:footnote w:id="1212">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اخترت هذه الصيغة لكونها أعم</w:t>
      </w:r>
      <w:r w:rsidRPr="002B16D9">
        <w:rPr>
          <w:rFonts w:ascii="Traditional Arabic" w:hAnsi="Traditional Arabic"/>
          <w:sz w:val="32"/>
          <w:szCs w:val="32"/>
          <w:rtl/>
        </w:rPr>
        <w:t xml:space="preserve"> من جهة</w:t>
      </w:r>
      <w:r>
        <w:rPr>
          <w:rFonts w:ascii="Traditional Arabic" w:hAnsi="Traditional Arabic" w:hint="cs"/>
          <w:sz w:val="32"/>
          <w:szCs w:val="32"/>
          <w:rtl/>
        </w:rPr>
        <w:t xml:space="preserve"> </w:t>
      </w:r>
      <w:r w:rsidRPr="002B16D9">
        <w:rPr>
          <w:rFonts w:ascii="Traditional Arabic" w:hAnsi="Traditional Arabic"/>
          <w:sz w:val="32"/>
          <w:szCs w:val="32"/>
          <w:rtl/>
        </w:rPr>
        <w:t>شمولها أموال المحترمين سواء كانوا مسلمين أو معاهَدين، ولا يدخل في القاعدة بهذه الصيغة مال الحربي مثلا</w:t>
      </w:r>
      <w:r>
        <w:rPr>
          <w:rFonts w:ascii="Traditional Arabic" w:hAnsi="Traditional Arabic" w:hint="cs"/>
          <w:sz w:val="32"/>
          <w:szCs w:val="32"/>
          <w:rtl/>
        </w:rPr>
        <w:t>ً</w:t>
      </w:r>
      <w:r w:rsidRPr="002B16D9">
        <w:rPr>
          <w:rFonts w:ascii="Traditional Arabic" w:hAnsi="Traditional Arabic"/>
          <w:sz w:val="32"/>
          <w:szCs w:val="32"/>
          <w:rtl/>
        </w:rPr>
        <w:t xml:space="preserve"> لأنه غير محتَرم، كما أن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2B16D9">
        <w:rPr>
          <w:rFonts w:ascii="Traditional Arabic" w:hAnsi="Traditional Arabic"/>
          <w:sz w:val="32"/>
          <w:szCs w:val="32"/>
          <w:rtl/>
        </w:rPr>
        <w:t xml:space="preserve"> قال عق</w:t>
      </w:r>
      <w:r>
        <w:rPr>
          <w:rFonts w:ascii="Traditional Arabic" w:hAnsi="Traditional Arabic" w:hint="cs"/>
          <w:sz w:val="32"/>
          <w:szCs w:val="32"/>
          <w:rtl/>
        </w:rPr>
        <w:t>ِ</w:t>
      </w:r>
      <w:r w:rsidRPr="002B16D9">
        <w:rPr>
          <w:rFonts w:ascii="Traditional Arabic" w:hAnsi="Traditional Arabic"/>
          <w:sz w:val="32"/>
          <w:szCs w:val="32"/>
          <w:rtl/>
        </w:rPr>
        <w:t>ب ذ</w:t>
      </w:r>
      <w:r>
        <w:rPr>
          <w:rFonts w:ascii="Traditional Arabic" w:hAnsi="Traditional Arabic" w:hint="cs"/>
          <w:sz w:val="32"/>
          <w:szCs w:val="32"/>
          <w:rtl/>
        </w:rPr>
        <w:t>ِ</w:t>
      </w:r>
      <w:r>
        <w:rPr>
          <w:rFonts w:ascii="Traditional Arabic" w:hAnsi="Traditional Arabic"/>
          <w:sz w:val="32"/>
          <w:szCs w:val="32"/>
          <w:rtl/>
        </w:rPr>
        <w:t>كره لهذه الصيغة</w:t>
      </w:r>
      <w:r w:rsidRPr="002B16D9">
        <w:rPr>
          <w:rFonts w:ascii="Traditional Arabic" w:hAnsi="Traditional Arabic"/>
          <w:sz w:val="32"/>
          <w:szCs w:val="32"/>
          <w:rtl/>
        </w:rPr>
        <w:t>: (هذه القاعدة الأساسية). الشرح الممتع (9/397).</w:t>
      </w:r>
    </w:p>
  </w:footnote>
  <w:footnote w:id="1213">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المرجع السابق (6/20)</w:t>
      </w:r>
      <w:r>
        <w:rPr>
          <w:rFonts w:ascii="Traditional Arabic" w:hAnsi="Traditional Arabic" w:hint="cs"/>
          <w:sz w:val="32"/>
          <w:szCs w:val="32"/>
          <w:rtl/>
        </w:rPr>
        <w:t>، وفتح ذي الجلال والإكرام (4/199)</w:t>
      </w:r>
      <w:r w:rsidRPr="002B16D9">
        <w:rPr>
          <w:rFonts w:ascii="Traditional Arabic" w:hAnsi="Traditional Arabic"/>
          <w:sz w:val="32"/>
          <w:szCs w:val="32"/>
          <w:rtl/>
        </w:rPr>
        <w:t>.</w:t>
      </w:r>
    </w:p>
  </w:footnote>
  <w:footnote w:id="1214">
    <w:p w:rsidR="000D3D21" w:rsidRPr="005B27F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شرح الممتع</w:t>
      </w:r>
      <w:r w:rsidRPr="005B27F9">
        <w:rPr>
          <w:rFonts w:ascii="Traditional Arabic" w:hAnsi="Traditional Arabic"/>
          <w:sz w:val="32"/>
          <w:szCs w:val="32"/>
          <w:rtl/>
        </w:rPr>
        <w:t xml:space="preserve"> (7/186).</w:t>
      </w:r>
    </w:p>
  </w:footnote>
  <w:footnote w:id="1215">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المرجع السابق (9/153).</w:t>
      </w:r>
    </w:p>
  </w:footnote>
  <w:footnote w:id="1216">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المرجع السابق (9/175).</w:t>
      </w:r>
    </w:p>
  </w:footnote>
  <w:footnote w:id="1217">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المرجع السابق (9/397).</w:t>
      </w:r>
    </w:p>
  </w:footnote>
  <w:footnote w:id="1218">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المرجع السابق (10/227).</w:t>
      </w:r>
    </w:p>
  </w:footnote>
  <w:footnote w:id="1219">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المرجع السابق (10/379).</w:t>
      </w:r>
    </w:p>
  </w:footnote>
  <w:footnote w:id="1220">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المرجع السابق (10/381).</w:t>
      </w:r>
    </w:p>
  </w:footnote>
  <w:footnote w:id="1221">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المرجع السابق (14/379).</w:t>
      </w:r>
    </w:p>
  </w:footnote>
  <w:footnote w:id="1222">
    <w:p w:rsidR="000D3D21" w:rsidRPr="000442F4"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442F4">
        <w:rPr>
          <w:rFonts w:ascii="Traditional Arabic" w:hAnsi="Traditional Arabic"/>
          <w:sz w:val="32"/>
          <w:szCs w:val="32"/>
          <w:rtl/>
        </w:rPr>
        <w:t>فتح ذي الجلال والإكرام (4/199).</w:t>
      </w:r>
    </w:p>
  </w:footnote>
  <w:footnote w:id="1223">
    <w:p w:rsidR="000D3D21" w:rsidRPr="00FC3BEA" w:rsidRDefault="000D3D21" w:rsidP="00471FD0">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الذخيرة للقرافي (4/111)، والقواعد والضوابط الفقهية القرافية زمرة التمليكات المالية لعادل بن عبد القادر قوته (2/441).</w:t>
      </w:r>
    </w:p>
  </w:footnote>
  <w:footnote w:id="1224">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 xml:space="preserve">قواعد الأحكام (2/232)، والبحر المحيط </w:t>
      </w:r>
      <w:r>
        <w:rPr>
          <w:rFonts w:ascii="Traditional Arabic" w:hAnsi="Traditional Arabic" w:hint="cs"/>
          <w:sz w:val="32"/>
          <w:szCs w:val="32"/>
          <w:rtl/>
        </w:rPr>
        <w:t xml:space="preserve">للزركشي </w:t>
      </w:r>
      <w:r w:rsidRPr="002B16D9">
        <w:rPr>
          <w:rFonts w:ascii="Traditional Arabic" w:hAnsi="Traditional Arabic"/>
          <w:sz w:val="32"/>
          <w:szCs w:val="32"/>
          <w:rtl/>
        </w:rPr>
        <w:t>(6/14)، والإبهاج شرح المنهاج ل</w:t>
      </w:r>
      <w:r>
        <w:rPr>
          <w:rFonts w:ascii="Traditional Arabic" w:hAnsi="Traditional Arabic" w:hint="cs"/>
          <w:sz w:val="32"/>
          <w:szCs w:val="32"/>
          <w:rtl/>
        </w:rPr>
        <w:t>تاج الدين</w:t>
      </w:r>
      <w:r w:rsidRPr="002B16D9">
        <w:rPr>
          <w:rFonts w:ascii="Traditional Arabic" w:hAnsi="Traditional Arabic"/>
          <w:sz w:val="32"/>
          <w:szCs w:val="32"/>
          <w:rtl/>
        </w:rPr>
        <w:t xml:space="preserve"> السبكي (3/1709).</w:t>
      </w:r>
    </w:p>
  </w:footnote>
  <w:footnote w:id="1225">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إعلام الموقعين (3/376)</w:t>
      </w:r>
      <w:r>
        <w:rPr>
          <w:rFonts w:ascii="Traditional Arabic" w:hAnsi="Traditional Arabic" w:hint="cs"/>
          <w:sz w:val="32"/>
          <w:szCs w:val="32"/>
          <w:rtl/>
        </w:rPr>
        <w:t xml:space="preserve"> بتصرف</w:t>
      </w:r>
      <w:r w:rsidRPr="002B16D9">
        <w:rPr>
          <w:rFonts w:ascii="Traditional Arabic" w:hAnsi="Traditional Arabic"/>
          <w:sz w:val="32"/>
          <w:szCs w:val="32"/>
          <w:rtl/>
        </w:rPr>
        <w:t>.</w:t>
      </w:r>
    </w:p>
  </w:footnote>
  <w:footnote w:id="1226">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المرجع السابق (3/377)، والقواعد الفقهية المستخرجة من إعلام الموقعين (526).</w:t>
      </w:r>
    </w:p>
  </w:footnote>
  <w:footnote w:id="1227">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 xml:space="preserve">درر الحكام (1/97). </w:t>
      </w:r>
    </w:p>
  </w:footnote>
  <w:footnote w:id="1228">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القواعد الفقهية للسعدي (96).</w:t>
      </w:r>
    </w:p>
  </w:footnote>
  <w:footnote w:id="1229">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منظومة القواعد الفقهية وشرحها للسعدي (27).</w:t>
      </w:r>
    </w:p>
  </w:footnote>
  <w:footnote w:id="1230">
    <w:p w:rsidR="000D3D21" w:rsidRPr="002E3FD4" w:rsidRDefault="000D3D21" w:rsidP="00471FD0">
      <w:pPr>
        <w:pStyle w:val="a7"/>
        <w:pageBreakBefore/>
        <w:rPr>
          <w:rFonts w:ascii="Tahoma" w:hAnsi="Tahoma"/>
          <w:sz w:val="32"/>
          <w:szCs w:val="32"/>
          <w:rtl/>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2E3FD4">
        <w:rPr>
          <w:rFonts w:ascii="Tahoma" w:hAnsi="Tahoma" w:hint="cs"/>
          <w:sz w:val="32"/>
          <w:szCs w:val="32"/>
          <w:rtl/>
        </w:rPr>
        <w:t>إرشاد أولي البصائر والألباب لنيل الفقه بأقرب الطرق وأيسر الأسباب لعبد الرحمن بن ناصر السعدي (129).</w:t>
      </w:r>
    </w:p>
  </w:footnote>
  <w:footnote w:id="1231">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موسوعة القواعد والضوابط الفقهية للندوي</w:t>
      </w:r>
      <w:r w:rsidRPr="002B16D9">
        <w:rPr>
          <w:rFonts w:ascii="Traditional Arabic" w:hAnsi="Traditional Arabic"/>
          <w:sz w:val="32"/>
          <w:szCs w:val="32"/>
          <w:rtl/>
        </w:rPr>
        <w:t xml:space="preserve"> (2/84).</w:t>
      </w:r>
    </w:p>
  </w:footnote>
  <w:footnote w:id="1232">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تاج العروس (30/427).</w:t>
      </w:r>
    </w:p>
  </w:footnote>
  <w:footnote w:id="1233">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الإقناع لطالب الانتفاع لشرف الدين موسى بن أحمد الحجاوي (2/156).وانظر شرح هذا التعريف في الشرح الممتع (8/65-66).</w:t>
      </w:r>
    </w:p>
  </w:footnote>
  <w:footnote w:id="1234">
    <w:p w:rsidR="000D3D21" w:rsidRPr="0053762E" w:rsidRDefault="000D3D21" w:rsidP="00471FD0">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w:t>
      </w:r>
      <w:r>
        <w:rPr>
          <w:rFonts w:ascii="Traditional Arabic" w:hAnsi="Traditional Arabic" w:hint="cs"/>
          <w:sz w:val="32"/>
          <w:szCs w:val="32"/>
          <w:rtl/>
        </w:rPr>
        <w:t>ن</w:t>
      </w:r>
      <w:r w:rsidRPr="002B16D9">
        <w:rPr>
          <w:rFonts w:ascii="Traditional Arabic" w:hAnsi="Traditional Arabic"/>
          <w:sz w:val="32"/>
          <w:szCs w:val="32"/>
          <w:rtl/>
        </w:rPr>
        <w:t>ظر</w:t>
      </w:r>
      <w:r>
        <w:rPr>
          <w:rFonts w:ascii="Traditional Arabic" w:hAnsi="Traditional Arabic" w:hint="cs"/>
          <w:sz w:val="32"/>
          <w:szCs w:val="32"/>
          <w:rtl/>
        </w:rPr>
        <w:t>:</w:t>
      </w:r>
      <w:r>
        <w:rPr>
          <w:rFonts w:ascii="Traditional Arabic" w:hAnsi="Traditional Arabic"/>
          <w:sz w:val="32"/>
          <w:szCs w:val="32"/>
          <w:rtl/>
        </w:rPr>
        <w:t xml:space="preserve"> </w:t>
      </w:r>
      <w:r w:rsidRPr="002B16D9">
        <w:rPr>
          <w:rFonts w:ascii="Traditional Arabic" w:hAnsi="Traditional Arabic"/>
          <w:sz w:val="32"/>
          <w:szCs w:val="32"/>
          <w:rtl/>
        </w:rPr>
        <w:t>المصباح المنير</w:t>
      </w:r>
      <w:r>
        <w:rPr>
          <w:rFonts w:ascii="Traditional Arabic" w:hAnsi="Traditional Arabic" w:hint="cs"/>
          <w:sz w:val="32"/>
          <w:szCs w:val="32"/>
          <w:rtl/>
        </w:rPr>
        <w:t xml:space="preserve"> (116)</w:t>
      </w:r>
      <w:r w:rsidRPr="002B16D9">
        <w:rPr>
          <w:rFonts w:ascii="Traditional Arabic" w:hAnsi="Traditional Arabic"/>
          <w:sz w:val="32"/>
          <w:szCs w:val="32"/>
          <w:rtl/>
        </w:rPr>
        <w:t>، ومعجم لغة الفقهاء (157).</w:t>
      </w:r>
    </w:p>
  </w:footnote>
  <w:footnote w:id="1235">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انظر</w:t>
      </w:r>
      <w:r>
        <w:rPr>
          <w:rFonts w:ascii="Traditional Arabic" w:hAnsi="Traditional Arabic" w:hint="cs"/>
          <w:sz w:val="32"/>
          <w:szCs w:val="32"/>
          <w:rtl/>
        </w:rPr>
        <w:t>:</w:t>
      </w:r>
      <w:r w:rsidRPr="002B16D9">
        <w:rPr>
          <w:rFonts w:ascii="Traditional Arabic" w:hAnsi="Traditional Arabic"/>
          <w:sz w:val="32"/>
          <w:szCs w:val="32"/>
          <w:rtl/>
        </w:rPr>
        <w:t xml:space="preserve"> الشرح الممتع (8/202)، و(10/228)، والموسوعة الفقهية الكويتية (30/138-139).</w:t>
      </w:r>
    </w:p>
  </w:footnote>
  <w:footnote w:id="1236">
    <w:p w:rsidR="000D3D21" w:rsidRPr="002B16D9" w:rsidRDefault="000D3D21" w:rsidP="00D65D30">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2B16D9">
        <w:rPr>
          <w:rFonts w:ascii="Traditional Arabic" w:hAnsi="Traditional Arabic"/>
          <w:b/>
          <w:bCs/>
          <w:sz w:val="32"/>
          <w:szCs w:val="32"/>
          <w:rtl/>
        </w:rPr>
        <w:t>المعاهدون</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المعاهدون</w:instrText>
      </w:r>
      <w:r>
        <w:instrText xml:space="preserve">" </w:instrText>
      </w:r>
      <w:r w:rsidRPr="00D65D30">
        <w:instrText>\fm</w:instrText>
      </w:r>
      <w:r w:rsidR="00AB0B9E">
        <w:rPr>
          <w:rFonts w:ascii="Traditional Arabic" w:hAnsi="Traditional Arabic"/>
          <w:b/>
          <w:bCs/>
          <w:sz w:val="32"/>
          <w:szCs w:val="32"/>
          <w:rtl/>
        </w:rPr>
        <w:fldChar w:fldCharType="end"/>
      </w:r>
      <w:r w:rsidRPr="002B16D9">
        <w:rPr>
          <w:rFonts w:ascii="Traditional Arabic" w:hAnsi="Traditional Arabic"/>
          <w:b/>
          <w:bCs/>
          <w:sz w:val="32"/>
          <w:szCs w:val="32"/>
          <w:rtl/>
        </w:rPr>
        <w:t xml:space="preserve"> على صنفين</w:t>
      </w:r>
      <w:r w:rsidRPr="002B16D9">
        <w:rPr>
          <w:rFonts w:ascii="Traditional Arabic" w:hAnsi="Traditional Arabic"/>
          <w:sz w:val="32"/>
          <w:szCs w:val="32"/>
          <w:rtl/>
        </w:rPr>
        <w:t>:</w:t>
      </w:r>
    </w:p>
    <w:p w:rsidR="000D3D21" w:rsidRPr="002B16D9" w:rsidRDefault="000D3D21" w:rsidP="00D65D30">
      <w:pPr>
        <w:pStyle w:val="a7"/>
        <w:pageBreakBefore/>
        <w:rPr>
          <w:rFonts w:ascii="Traditional Arabic" w:hAnsi="Traditional Arabic"/>
          <w:sz w:val="32"/>
          <w:szCs w:val="32"/>
          <w:rtl/>
        </w:rPr>
      </w:pPr>
      <w:r>
        <w:rPr>
          <w:rFonts w:ascii="Traditional Arabic" w:hAnsi="Traditional Arabic" w:hint="cs"/>
          <w:b/>
          <w:bCs/>
          <w:sz w:val="32"/>
          <w:szCs w:val="32"/>
          <w:rtl/>
        </w:rPr>
        <w:t xml:space="preserve">     </w:t>
      </w:r>
      <w:r w:rsidRPr="002B16D9">
        <w:rPr>
          <w:rFonts w:ascii="Traditional Arabic" w:hAnsi="Traditional Arabic"/>
          <w:b/>
          <w:bCs/>
          <w:sz w:val="32"/>
          <w:szCs w:val="32"/>
          <w:rtl/>
        </w:rPr>
        <w:t>الذميون</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الذميون</w:instrText>
      </w:r>
      <w:r>
        <w:instrText xml:space="preserve">" </w:instrText>
      </w:r>
      <w:r w:rsidRPr="00D65D30">
        <w:instrText>\fm</w:instrText>
      </w:r>
      <w:r w:rsidR="00AB0B9E">
        <w:rPr>
          <w:rFonts w:ascii="Traditional Arabic" w:hAnsi="Traditional Arabic"/>
          <w:b/>
          <w:bCs/>
          <w:sz w:val="32"/>
          <w:szCs w:val="32"/>
          <w:rtl/>
        </w:rPr>
        <w:fldChar w:fldCharType="end"/>
      </w:r>
      <w:r w:rsidRPr="002B16D9">
        <w:rPr>
          <w:rFonts w:ascii="Traditional Arabic" w:hAnsi="Traditional Arabic"/>
          <w:sz w:val="32"/>
          <w:szCs w:val="32"/>
          <w:rtl/>
        </w:rPr>
        <w:t>: وهم غير المسلمين الذين يلتزمون أحكام الإسلام العامة، ويدفعون الجزية، ويقيمون إقامة مؤبدة في دار الإسلام.</w:t>
      </w:r>
    </w:p>
    <w:p w:rsidR="000D3D21" w:rsidRPr="002B16D9" w:rsidRDefault="000D3D21" w:rsidP="00D65D30">
      <w:pPr>
        <w:pStyle w:val="a7"/>
        <w:pageBreakBefore/>
        <w:ind w:left="0" w:firstLine="0"/>
        <w:rPr>
          <w:rFonts w:ascii="Traditional Arabic" w:hAnsi="Traditional Arabic"/>
          <w:sz w:val="32"/>
          <w:szCs w:val="32"/>
        </w:rPr>
      </w:pPr>
      <w:r>
        <w:rPr>
          <w:rFonts w:ascii="Traditional Arabic" w:hAnsi="Traditional Arabic" w:hint="cs"/>
          <w:b/>
          <w:bCs/>
          <w:sz w:val="32"/>
          <w:szCs w:val="32"/>
          <w:rtl/>
        </w:rPr>
        <w:t xml:space="preserve">     </w:t>
      </w:r>
      <w:r w:rsidRPr="002B16D9">
        <w:rPr>
          <w:rFonts w:ascii="Traditional Arabic" w:hAnsi="Traditional Arabic"/>
          <w:b/>
          <w:bCs/>
          <w:sz w:val="32"/>
          <w:szCs w:val="32"/>
          <w:rtl/>
        </w:rPr>
        <w:t>المستأمَنون</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المستأمَنون</w:instrText>
      </w:r>
      <w:r>
        <w:instrText xml:space="preserve">" </w:instrText>
      </w:r>
      <w:r w:rsidRPr="00D65D30">
        <w:instrText>\fm</w:instrText>
      </w:r>
      <w:r w:rsidR="00AB0B9E">
        <w:rPr>
          <w:rFonts w:ascii="Traditional Arabic" w:hAnsi="Traditional Arabic"/>
          <w:b/>
          <w:bCs/>
          <w:sz w:val="32"/>
          <w:szCs w:val="32"/>
          <w:rtl/>
        </w:rPr>
        <w:fldChar w:fldCharType="end"/>
      </w:r>
      <w:r w:rsidRPr="002B16D9">
        <w:rPr>
          <w:rFonts w:ascii="Traditional Arabic" w:hAnsi="Traditional Arabic"/>
          <w:sz w:val="32"/>
          <w:szCs w:val="32"/>
          <w:rtl/>
        </w:rPr>
        <w:t>: وهم الذين يقدُمون بلاد المسلمين بأمانٍ من غير استيطان لها. انظر: أحكام أهل الذمة</w:t>
      </w:r>
      <w:r>
        <w:rPr>
          <w:rFonts w:ascii="Traditional Arabic" w:hAnsi="Traditional Arabic" w:hint="cs"/>
          <w:sz w:val="32"/>
          <w:szCs w:val="32"/>
          <w:rtl/>
        </w:rPr>
        <w:t xml:space="preserve"> </w:t>
      </w:r>
      <w:r w:rsidRPr="002B16D9">
        <w:rPr>
          <w:rFonts w:ascii="Traditional Arabic" w:hAnsi="Traditional Arabic"/>
          <w:sz w:val="32"/>
          <w:szCs w:val="32"/>
          <w:rtl/>
        </w:rPr>
        <w:t xml:space="preserve">لابن </w:t>
      </w:r>
      <w:r>
        <w:rPr>
          <w:rFonts w:ascii="Traditional Arabic" w:hAnsi="Traditional Arabic" w:hint="cs"/>
          <w:sz w:val="32"/>
          <w:szCs w:val="32"/>
          <w:rtl/>
        </w:rPr>
        <w:t>القيم</w:t>
      </w:r>
      <w:r w:rsidRPr="002B16D9">
        <w:rPr>
          <w:rFonts w:ascii="Traditional Arabic" w:hAnsi="Traditional Arabic"/>
          <w:sz w:val="32"/>
          <w:szCs w:val="32"/>
          <w:rtl/>
        </w:rPr>
        <w:t xml:space="preserve">(2/475)، واختلاف الدارين وآثاره في الشريعة الإسلامية لعبد العزيز بن مبروك الأحمدي (1/137، 186 ). </w:t>
      </w:r>
    </w:p>
  </w:footnote>
  <w:footnote w:id="1237">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مقاييس اللغة (4/331).</w:t>
      </w:r>
    </w:p>
  </w:footnote>
  <w:footnote w:id="1238">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انظر المصباح المنير (338).</w:t>
      </w:r>
    </w:p>
  </w:footnote>
  <w:footnote w:id="1239">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انظر: التعريفات للجرحاني (156)، ومعجم لغة الفقهاء (283)، والموسوعة الفقهية الكويتية (30/137).</w:t>
      </w:r>
    </w:p>
  </w:footnote>
  <w:footnote w:id="1240">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كذلك إذا وُجد سبب من الأسباب الشرعية</w:t>
      </w:r>
      <w:r>
        <w:rPr>
          <w:rFonts w:ascii="Traditional Arabic" w:hAnsi="Traditional Arabic" w:hint="cs"/>
          <w:sz w:val="32"/>
          <w:szCs w:val="32"/>
          <w:rtl/>
        </w:rPr>
        <w:t xml:space="preserve"> </w:t>
      </w:r>
      <w:r w:rsidRPr="002B16D9">
        <w:rPr>
          <w:rFonts w:ascii="Traditional Arabic" w:hAnsi="Traditional Arabic"/>
          <w:sz w:val="32"/>
          <w:szCs w:val="32"/>
          <w:rtl/>
        </w:rPr>
        <w:t>لتملُّك مالِ الغير كالبيع والإجارة والهبة وغيرذلك.انظر درر الحكام شرح مجلة الأحكام لعلي حيدر (1/98).</w:t>
      </w:r>
    </w:p>
  </w:footnote>
  <w:footnote w:id="1241">
    <w:p w:rsidR="000D3D21" w:rsidRPr="002B16D9" w:rsidRDefault="000D3D21" w:rsidP="00D65D3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2B16D9">
        <w:rPr>
          <w:rFonts w:ascii="Traditional Arabic" w:hAnsi="Traditional Arabic"/>
          <w:b/>
          <w:bCs/>
          <w:sz w:val="32"/>
          <w:szCs w:val="32"/>
          <w:rtl/>
        </w:rPr>
        <w:t>الجناية</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الجناية</w:instrText>
      </w:r>
      <w:r>
        <w:instrText xml:space="preserve">" </w:instrText>
      </w:r>
      <w:r w:rsidRPr="00D65D30">
        <w:instrText>\fm</w:instrText>
      </w:r>
      <w:r w:rsidR="00AB0B9E">
        <w:rPr>
          <w:rFonts w:ascii="Traditional Arabic" w:hAnsi="Traditional Arabic"/>
          <w:b/>
          <w:bCs/>
          <w:sz w:val="32"/>
          <w:szCs w:val="32"/>
          <w:rtl/>
        </w:rPr>
        <w:fldChar w:fldCharType="end"/>
      </w:r>
      <w:r w:rsidRPr="002B16D9">
        <w:rPr>
          <w:rFonts w:ascii="Traditional Arabic" w:hAnsi="Traditional Arabic"/>
          <w:b/>
          <w:bCs/>
          <w:sz w:val="32"/>
          <w:szCs w:val="32"/>
          <w:rtl/>
        </w:rPr>
        <w:t xml:space="preserve">: </w:t>
      </w:r>
      <w:r w:rsidRPr="002B16D9">
        <w:rPr>
          <w:rFonts w:ascii="Traditional Arabic" w:hAnsi="Traditional Arabic"/>
          <w:sz w:val="32"/>
          <w:szCs w:val="32"/>
          <w:rtl/>
        </w:rPr>
        <w:t>الجُرْم والذنب، وما يفعله الإنسان مما يوجِب القصاصَ والعقاب في الدنيا والآخرة. النهاية لابن الأثير(1/309).</w:t>
      </w:r>
    </w:p>
  </w:footnote>
  <w:footnote w:id="1242">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 xml:space="preserve">انظر: الشرح الممتع (9/175)، و(9/397)، </w:t>
      </w:r>
      <w:r>
        <w:rPr>
          <w:rFonts w:ascii="Traditional Arabic" w:hAnsi="Traditional Arabic" w:hint="cs"/>
          <w:sz w:val="32"/>
          <w:szCs w:val="32"/>
          <w:rtl/>
        </w:rPr>
        <w:t>وأحكام من القرآن الكريم (1/664)،</w:t>
      </w:r>
      <w:r w:rsidRPr="002B16D9">
        <w:rPr>
          <w:rFonts w:ascii="Traditional Arabic" w:hAnsi="Traditional Arabic"/>
          <w:sz w:val="32"/>
          <w:szCs w:val="32"/>
          <w:rtl/>
        </w:rPr>
        <w:t xml:space="preserve"> والقواعد الفقهية (96، 97)، ومنظومة القواعد الفقهية وشرحها (27، 28) كلاهما للسعدي.</w:t>
      </w:r>
    </w:p>
  </w:footnote>
  <w:footnote w:id="1243">
    <w:p w:rsidR="000D3D21" w:rsidRPr="002B16D9" w:rsidRDefault="000D3D21" w:rsidP="00471FD0">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انظر تفسير سورة البقرة (2/364)، وتفسير سورة ا</w:t>
      </w:r>
      <w:r>
        <w:rPr>
          <w:rFonts w:ascii="Traditional Arabic" w:hAnsi="Traditional Arabic"/>
          <w:sz w:val="32"/>
          <w:szCs w:val="32"/>
          <w:rtl/>
        </w:rPr>
        <w:t>لنساء (1/254، 255)</w:t>
      </w:r>
      <w:r w:rsidRPr="002B16D9">
        <w:rPr>
          <w:rFonts w:ascii="Traditional Arabic" w:hAnsi="Traditional Arabic"/>
          <w:sz w:val="32"/>
          <w:szCs w:val="32"/>
          <w:rtl/>
        </w:rPr>
        <w:t>.</w:t>
      </w:r>
    </w:p>
  </w:footnote>
  <w:footnote w:id="1244">
    <w:p w:rsidR="000D3D21" w:rsidRPr="00423D28"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23D28">
        <w:rPr>
          <w:rFonts w:ascii="Traditional Arabic" w:hAnsi="Traditional Arabic"/>
          <w:sz w:val="32"/>
          <w:szCs w:val="32"/>
          <w:rtl/>
        </w:rPr>
        <w:t>انظر أح</w:t>
      </w:r>
      <w:r>
        <w:rPr>
          <w:rFonts w:ascii="Traditional Arabic" w:hAnsi="Traditional Arabic"/>
          <w:sz w:val="32"/>
          <w:szCs w:val="32"/>
          <w:rtl/>
        </w:rPr>
        <w:t>كام من القرآن الكريم</w:t>
      </w:r>
      <w:r w:rsidRPr="00423D28">
        <w:rPr>
          <w:rFonts w:ascii="Traditional Arabic" w:hAnsi="Traditional Arabic"/>
          <w:sz w:val="32"/>
          <w:szCs w:val="32"/>
          <w:rtl/>
        </w:rPr>
        <w:t xml:space="preserve"> (1/664).</w:t>
      </w:r>
    </w:p>
  </w:footnote>
  <w:footnote w:id="1245">
    <w:p w:rsidR="000D3D21" w:rsidRPr="001E6A20" w:rsidRDefault="000D3D21" w:rsidP="00471FD0">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أخرجه البيهقي بهذا اللفظ في السنن الكبرى في كتاب الغصب، باب</w:t>
      </w:r>
      <w:r>
        <w:rPr>
          <w:rFonts w:ascii="Traditional Arabic" w:hAnsi="Traditional Arabic" w:hint="cs"/>
          <w:noProof w:val="0"/>
          <w:color w:val="auto"/>
          <w:sz w:val="32"/>
          <w:szCs w:val="32"/>
          <w:rtl/>
          <w:lang w:eastAsia="en-US"/>
        </w:rPr>
        <w:t xml:space="preserve"> </w:t>
      </w:r>
      <w:r w:rsidRPr="002B16D9">
        <w:rPr>
          <w:rFonts w:ascii="Traditional Arabic" w:hAnsi="Traditional Arabic"/>
          <w:noProof w:val="0"/>
          <w:color w:val="auto"/>
          <w:sz w:val="32"/>
          <w:szCs w:val="32"/>
          <w:rtl/>
          <w:lang w:eastAsia="en-US"/>
        </w:rPr>
        <w:t>لا يملك أحد بالجناية شيئا جنى عليه إلا أن يشاء هو والمالك</w:t>
      </w:r>
      <w:r w:rsidRPr="002B16D9">
        <w:rPr>
          <w:rFonts w:ascii="Traditional Arabic" w:hAnsi="Traditional Arabic"/>
          <w:sz w:val="32"/>
          <w:szCs w:val="32"/>
          <w:rtl/>
        </w:rPr>
        <w:t xml:space="preserve">، رقم الحديث (11719). </w:t>
      </w:r>
      <w:r>
        <w:rPr>
          <w:rFonts w:ascii="Traditional Arabic" w:hAnsi="Traditional Arabic" w:hint="cs"/>
          <w:sz w:val="32"/>
          <w:szCs w:val="32"/>
          <w:rtl/>
        </w:rPr>
        <w:t xml:space="preserve">وقد </w:t>
      </w:r>
      <w:r w:rsidRPr="002B16D9">
        <w:rPr>
          <w:rFonts w:ascii="Traditional Arabic" w:hAnsi="Traditional Arabic"/>
          <w:sz w:val="32"/>
          <w:szCs w:val="32"/>
          <w:rtl/>
        </w:rPr>
        <w:t>صحح الألباني هذا الحديث بشواهده، وقال عن رواية ابن عباس :(هذا إسناد حسن أو لا</w:t>
      </w:r>
      <w:r>
        <w:rPr>
          <w:rFonts w:ascii="Traditional Arabic" w:hAnsi="Traditional Arabic" w:hint="cs"/>
          <w:sz w:val="32"/>
          <w:szCs w:val="32"/>
          <w:rtl/>
        </w:rPr>
        <w:t xml:space="preserve"> </w:t>
      </w:r>
      <w:r w:rsidRPr="002B16D9">
        <w:rPr>
          <w:rFonts w:ascii="Traditional Arabic" w:hAnsi="Traditional Arabic"/>
          <w:sz w:val="32"/>
          <w:szCs w:val="32"/>
          <w:rtl/>
        </w:rPr>
        <w:t>بأس به في الشواهد).</w:t>
      </w:r>
      <w:r>
        <w:rPr>
          <w:rFonts w:ascii="Traditional Arabic" w:hAnsi="Traditional Arabic" w:hint="cs"/>
          <w:sz w:val="32"/>
          <w:szCs w:val="32"/>
          <w:rtl/>
        </w:rPr>
        <w:t xml:space="preserve"> </w:t>
      </w:r>
      <w:r w:rsidRPr="002B16D9">
        <w:rPr>
          <w:rFonts w:ascii="Traditional Arabic" w:hAnsi="Traditional Arabic"/>
          <w:sz w:val="32"/>
          <w:szCs w:val="32"/>
          <w:rtl/>
        </w:rPr>
        <w:t>انظر إرواء الغليل (5/279، 281-282).</w:t>
      </w:r>
    </w:p>
  </w:footnote>
  <w:footnote w:id="1246">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نيل الأوطار لمحمد بن علي الشوكاني (7/212-213).</w:t>
      </w:r>
    </w:p>
  </w:footnote>
  <w:footnote w:id="1247">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2B16D9">
        <w:rPr>
          <w:rFonts w:ascii="Traditional Arabic" w:hAnsi="Traditional Arabic"/>
          <w:noProof w:val="0"/>
          <w:sz w:val="32"/>
          <w:szCs w:val="32"/>
          <w:rtl/>
          <w:lang w:eastAsia="en-US"/>
        </w:rPr>
        <w:t xml:space="preserve">أخرجه البخاري في كتاب العلم، باب قول النبي </w:t>
      </w:r>
      <w:r>
        <w:rPr>
          <w:rFonts w:ascii="Traditional Arabic" w:hAnsi="Traditional Arabic" w:cs="CTraditional Arabic" w:hint="cs"/>
          <w:noProof w:val="0"/>
          <w:color w:val="auto"/>
          <w:rtl/>
          <w:lang w:eastAsia="en-US"/>
        </w:rPr>
        <w:t>غ</w:t>
      </w:r>
      <w:r>
        <w:rPr>
          <w:rFonts w:ascii="Traditional Arabic" w:hAnsi="Traditional Arabic"/>
          <w:noProof w:val="0"/>
          <w:sz w:val="32"/>
          <w:szCs w:val="32"/>
          <w:rtl/>
          <w:lang w:eastAsia="en-US"/>
        </w:rPr>
        <w:t>:"رب مبلغ أوعى من سامع"</w:t>
      </w:r>
      <w:r>
        <w:rPr>
          <w:rFonts w:ascii="Traditional Arabic" w:hAnsi="Traditional Arabic" w:hint="cs"/>
          <w:noProof w:val="0"/>
          <w:sz w:val="32"/>
          <w:szCs w:val="32"/>
          <w:rtl/>
          <w:lang w:eastAsia="en-US"/>
        </w:rPr>
        <w:t xml:space="preserve">، </w:t>
      </w:r>
      <w:r w:rsidRPr="002B16D9">
        <w:rPr>
          <w:rFonts w:ascii="Traditional Arabic" w:hAnsi="Traditional Arabic"/>
          <w:noProof w:val="0"/>
          <w:sz w:val="32"/>
          <w:szCs w:val="32"/>
          <w:rtl/>
          <w:lang w:eastAsia="en-US"/>
        </w:rPr>
        <w:t>رقم الحديث (67)، ومسلم في كتاب القسامة، باب تغليظ تحريم ال</w:t>
      </w:r>
      <w:r>
        <w:rPr>
          <w:rFonts w:ascii="Traditional Arabic" w:hAnsi="Traditional Arabic"/>
          <w:noProof w:val="0"/>
          <w:sz w:val="32"/>
          <w:szCs w:val="32"/>
          <w:rtl/>
          <w:lang w:eastAsia="en-US"/>
        </w:rPr>
        <w:t>دماء</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 رقم الحديث (1679)</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 واللفظ ل</w:t>
      </w:r>
      <w:r>
        <w:rPr>
          <w:rFonts w:ascii="Traditional Arabic" w:hAnsi="Traditional Arabic" w:hint="cs"/>
          <w:noProof w:val="0"/>
          <w:sz w:val="32"/>
          <w:szCs w:val="32"/>
          <w:rtl/>
          <w:lang w:eastAsia="en-US"/>
        </w:rPr>
        <w:t>مسلم</w:t>
      </w:r>
      <w:r w:rsidRPr="002B16D9">
        <w:rPr>
          <w:rFonts w:ascii="Traditional Arabic" w:hAnsi="Traditional Arabic"/>
          <w:noProof w:val="0"/>
          <w:sz w:val="32"/>
          <w:szCs w:val="32"/>
          <w:rtl/>
          <w:lang w:eastAsia="en-US"/>
        </w:rPr>
        <w:t>.</w:t>
      </w:r>
    </w:p>
  </w:footnote>
  <w:footnote w:id="1248">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شرح رياض الصالحين (3/517-518).</w:t>
      </w:r>
    </w:p>
  </w:footnote>
  <w:footnote w:id="1249">
    <w:p w:rsidR="000D3D21" w:rsidRPr="006061FE" w:rsidRDefault="000D3D21" w:rsidP="00471FD0">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انظر الشرح الممتع (9/175).</w:t>
      </w:r>
    </w:p>
  </w:footnote>
  <w:footnote w:id="1250">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انظر المرجع السابق.</w:t>
      </w:r>
    </w:p>
  </w:footnote>
  <w:footnote w:id="1251">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انظر المرجع السابق (9/394-396).</w:t>
      </w:r>
    </w:p>
  </w:footnote>
  <w:footnote w:id="1252">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انظر الشرح الممتع (9/397)، والمطلع على دقائق زاد المستقنع-المعاملات المالية-(3/528).</w:t>
      </w:r>
    </w:p>
  </w:footnote>
  <w:footnote w:id="1253">
    <w:p w:rsidR="000D3D21" w:rsidRPr="002B16D9" w:rsidRDefault="000D3D21" w:rsidP="00471FD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B16D9">
        <w:rPr>
          <w:rFonts w:ascii="Traditional Arabic" w:hAnsi="Traditional Arabic"/>
          <w:sz w:val="32"/>
          <w:szCs w:val="32"/>
          <w:rtl/>
        </w:rPr>
        <w:t>انظر الشرح الممتع (10/227).</w:t>
      </w:r>
    </w:p>
  </w:footnote>
  <w:footnote w:id="1254">
    <w:p w:rsidR="000D3D21" w:rsidRPr="0013508A" w:rsidRDefault="000D3D21" w:rsidP="00471FD0">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شرح الممتع (10/227).</w:t>
      </w:r>
    </w:p>
  </w:footnote>
  <w:footnote w:id="1255">
    <w:p w:rsidR="000D3D21" w:rsidRPr="005E542E"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542E">
        <w:rPr>
          <w:rFonts w:ascii="Traditional Arabic" w:hAnsi="Traditional Arabic"/>
          <w:sz w:val="32"/>
          <w:szCs w:val="32"/>
          <w:rtl/>
        </w:rPr>
        <w:t>اخترت هذه الصيغة</w:t>
      </w:r>
      <w:r>
        <w:rPr>
          <w:rFonts w:ascii="Traditional Arabic" w:hAnsi="Traditional Arabic" w:hint="cs"/>
          <w:sz w:val="32"/>
          <w:szCs w:val="32"/>
          <w:rtl/>
        </w:rPr>
        <w:t>؛ لاختصارها، و</w:t>
      </w:r>
      <w:r w:rsidRPr="005E542E">
        <w:rPr>
          <w:rFonts w:ascii="Traditional Arabic" w:hAnsi="Traditional Arabic"/>
          <w:sz w:val="32"/>
          <w:szCs w:val="32"/>
          <w:rtl/>
        </w:rPr>
        <w:t>لشمولها للأمرين: كون الحكم للأغلب، وكون النادر لا حكم له.</w:t>
      </w:r>
    </w:p>
  </w:footnote>
  <w:footnote w:id="1256">
    <w:p w:rsidR="000D3D21" w:rsidRPr="005E542E"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542E">
        <w:rPr>
          <w:rFonts w:ascii="Traditional Arabic" w:hAnsi="Traditional Arabic"/>
          <w:sz w:val="32"/>
          <w:szCs w:val="32"/>
          <w:rtl/>
        </w:rPr>
        <w:t>الشرح الممتع (1/323)، وانظر (3/116)، و(6/51، 361، 451)، فتح ذي الجلال والإكرام (1/698، 699).</w:t>
      </w:r>
    </w:p>
  </w:footnote>
  <w:footnote w:id="1257">
    <w:p w:rsidR="000D3D21" w:rsidRPr="005E542E"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542E">
        <w:rPr>
          <w:rFonts w:ascii="Traditional Arabic" w:hAnsi="Traditional Arabic"/>
          <w:sz w:val="32"/>
          <w:szCs w:val="32"/>
          <w:rtl/>
        </w:rPr>
        <w:t>الشرح الممتع (1/345)، و(2/14)، و(7/426)، و(9/85)، و(10/112، 213)، و(11/289)، و(13/55)، والتعليق على القواعد الحسان (276).</w:t>
      </w:r>
    </w:p>
  </w:footnote>
  <w:footnote w:id="1258">
    <w:p w:rsidR="000D3D21" w:rsidRPr="005E542E"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542E">
        <w:rPr>
          <w:rFonts w:ascii="Traditional Arabic" w:hAnsi="Traditional Arabic"/>
          <w:sz w:val="32"/>
          <w:szCs w:val="32"/>
          <w:rtl/>
        </w:rPr>
        <w:t>الشرح الممتع (15/436) بتصرف، وانظر (6/381)، و(10/363، 364).</w:t>
      </w:r>
    </w:p>
  </w:footnote>
  <w:footnote w:id="1259">
    <w:p w:rsidR="000D3D21" w:rsidRPr="0061028C"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1028C">
        <w:rPr>
          <w:rFonts w:ascii="Traditional Arabic" w:hAnsi="Traditional Arabic"/>
          <w:sz w:val="32"/>
          <w:szCs w:val="32"/>
          <w:rtl/>
        </w:rPr>
        <w:t>أحكام من القرآن الكريم (2/489).</w:t>
      </w:r>
    </w:p>
  </w:footnote>
  <w:footnote w:id="1260">
    <w:p w:rsidR="000D3D21" w:rsidRPr="005E542E"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542E">
        <w:rPr>
          <w:rFonts w:ascii="Traditional Arabic" w:hAnsi="Traditional Arabic"/>
          <w:sz w:val="32"/>
          <w:szCs w:val="32"/>
          <w:rtl/>
        </w:rPr>
        <w:t>المرجع السابق (1/382).</w:t>
      </w:r>
    </w:p>
  </w:footnote>
  <w:footnote w:id="1261">
    <w:p w:rsidR="000D3D21" w:rsidRPr="005E542E"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542E">
        <w:rPr>
          <w:rFonts w:ascii="Traditional Arabic" w:hAnsi="Traditional Arabic"/>
          <w:sz w:val="32"/>
          <w:szCs w:val="32"/>
          <w:rtl/>
        </w:rPr>
        <w:t>المرجع السابق (12/242).</w:t>
      </w:r>
    </w:p>
  </w:footnote>
  <w:footnote w:id="1262">
    <w:p w:rsidR="000D3D21" w:rsidRPr="005E542E" w:rsidRDefault="000D3D21" w:rsidP="00251F48">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542E">
        <w:rPr>
          <w:rFonts w:ascii="Traditional Arabic" w:hAnsi="Traditional Arabic"/>
          <w:sz w:val="32"/>
          <w:szCs w:val="32"/>
          <w:rtl/>
        </w:rPr>
        <w:t>الفروق للقرافي (4/200)، وانظر(3/384).</w:t>
      </w:r>
    </w:p>
  </w:footnote>
  <w:footnote w:id="1263">
    <w:p w:rsidR="000D3D21" w:rsidRPr="005E542E"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542E">
        <w:rPr>
          <w:rFonts w:ascii="Traditional Arabic" w:hAnsi="Traditional Arabic"/>
          <w:sz w:val="32"/>
          <w:szCs w:val="32"/>
          <w:rtl/>
        </w:rPr>
        <w:t>شرح عمدة الفقه لابن تيمية-كتاب الطهارة- (1/510)، وانظر مجموع الفتاوى (21/630-631)، و(28/334)، و(29/34).</w:t>
      </w:r>
    </w:p>
  </w:footnote>
  <w:footnote w:id="1264">
    <w:p w:rsidR="000D3D21" w:rsidRPr="005E542E"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542E">
        <w:rPr>
          <w:rFonts w:ascii="Traditional Arabic" w:hAnsi="Traditional Arabic"/>
          <w:sz w:val="32"/>
          <w:szCs w:val="32"/>
          <w:rtl/>
        </w:rPr>
        <w:t>زاد المعاد (5/421).</w:t>
      </w:r>
    </w:p>
  </w:footnote>
  <w:footnote w:id="1265">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قواعد ابن القاضي الجبل (46/أ</w:t>
      </w:r>
      <w:r>
        <w:rPr>
          <w:rFonts w:ascii="Traditional Arabic" w:hAnsi="Traditional Arabic" w:hint="cs"/>
          <w:sz w:val="32"/>
          <w:szCs w:val="32"/>
          <w:rtl/>
        </w:rPr>
        <w:t>،</w:t>
      </w:r>
      <w:r w:rsidRPr="00C064B2">
        <w:rPr>
          <w:rFonts w:ascii="Traditional Arabic" w:hAnsi="Traditional Arabic"/>
          <w:sz w:val="32"/>
          <w:szCs w:val="32"/>
          <w:rtl/>
        </w:rPr>
        <w:t>مخطوط) بواسطة القواعد الفقهية عند الحنابلة للوليد بن عبد الرحمن آل فريان (469).</w:t>
      </w:r>
    </w:p>
  </w:footnote>
  <w:footnote w:id="1266">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القواعد للمقري (1/243-244).</w:t>
      </w:r>
    </w:p>
  </w:footnote>
  <w:footnote w:id="1267">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الأشباه والنظائر لابن الوكيل (213)، والأشباه والنظائر للسيوطي (183).</w:t>
      </w:r>
    </w:p>
  </w:footnote>
  <w:footnote w:id="1268">
    <w:p w:rsidR="000D3D21" w:rsidRPr="00C064B2" w:rsidRDefault="000D3D21" w:rsidP="00251F48">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المنثور للزركشي (3/246).</w:t>
      </w:r>
    </w:p>
  </w:footnote>
  <w:footnote w:id="1269">
    <w:p w:rsidR="000D3D21" w:rsidRPr="00C064B2" w:rsidRDefault="000D3D21" w:rsidP="00251F48">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مغني ذوي الأفهام عن الكتب الكثيرة في الأحكام على مذهب  المبجل أحمد بن حنبل لجمال الدين يوسف بن الحسن بن عبد الهادي (519).</w:t>
      </w:r>
    </w:p>
    <w:p w:rsidR="000D3D21" w:rsidRPr="00C064B2" w:rsidRDefault="000D3D21" w:rsidP="00251F48">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C064B2">
        <w:rPr>
          <w:rFonts w:ascii="Traditional Arabic" w:hAnsi="Traditional Arabic"/>
          <w:b/>
          <w:bCs/>
          <w:sz w:val="32"/>
          <w:szCs w:val="32"/>
          <w:rtl/>
        </w:rPr>
        <w:t xml:space="preserve">تنبيه: </w:t>
      </w:r>
      <w:r w:rsidRPr="00C064B2">
        <w:rPr>
          <w:rFonts w:ascii="Traditional Arabic" w:hAnsi="Traditional Arabic"/>
          <w:sz w:val="32"/>
          <w:szCs w:val="32"/>
          <w:rtl/>
        </w:rPr>
        <w:t>قسم ابن عبد الهادي هذه القاعدة إلى قاعدتين: الأولى:</w:t>
      </w:r>
      <w:r>
        <w:rPr>
          <w:rFonts w:ascii="Traditional Arabic" w:hAnsi="Traditional Arabic" w:hint="cs"/>
          <w:sz w:val="32"/>
          <w:szCs w:val="32"/>
          <w:rtl/>
        </w:rPr>
        <w:t xml:space="preserve"> </w:t>
      </w:r>
      <w:r w:rsidRPr="00C064B2">
        <w:rPr>
          <w:rFonts w:ascii="Traditional Arabic" w:hAnsi="Traditional Arabic"/>
          <w:sz w:val="32"/>
          <w:szCs w:val="32"/>
          <w:rtl/>
        </w:rPr>
        <w:t>الحكم للغالب، والثانية: النادر لا حكم له، فرأيت جمعهما في لفظ واحد.</w:t>
      </w:r>
    </w:p>
  </w:footnote>
  <w:footnote w:id="1270">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إيضاح المسالك للونشريسي (104)، وانظر شرح المنهج المنتخب (1/327).</w:t>
      </w:r>
    </w:p>
  </w:footnote>
  <w:footnote w:id="1271">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مجلة الأحكام العدلية (المادة 42).</w:t>
      </w:r>
    </w:p>
  </w:footnote>
  <w:footnote w:id="1272">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القواعد الفقهية لابن سعدي (107).</w:t>
      </w:r>
    </w:p>
  </w:footnote>
  <w:footnote w:id="1273">
    <w:p w:rsidR="000D3D21" w:rsidRPr="00D31318" w:rsidRDefault="000D3D21" w:rsidP="00251F4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موسوعة القواعد والضوابط الفقهية للبورنو (3/212).</w:t>
      </w:r>
    </w:p>
  </w:footnote>
  <w:footnote w:id="1274">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 xml:space="preserve">انظر مقاييس اللغة (4/388)، والمصباح المنير (366). </w:t>
      </w:r>
    </w:p>
  </w:footnote>
  <w:footnote w:id="1275">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مقاييس اللغة (4/388).</w:t>
      </w:r>
    </w:p>
  </w:footnote>
  <w:footnote w:id="1276">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موسوعة القواعد</w:t>
      </w:r>
      <w:r w:rsidRPr="00C064B2">
        <w:rPr>
          <w:rFonts w:ascii="Traditional Arabic" w:hAnsi="Traditional Arabic"/>
          <w:sz w:val="32"/>
          <w:szCs w:val="32"/>
          <w:rtl/>
        </w:rPr>
        <w:t xml:space="preserve"> الفقهية للبورنو (3/212).</w:t>
      </w:r>
    </w:p>
  </w:footnote>
  <w:footnote w:id="1277">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مقاييس اللغة (5/408).</w:t>
      </w:r>
    </w:p>
  </w:footnote>
  <w:footnote w:id="1278">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الصحاح للجوهري (825).</w:t>
      </w:r>
    </w:p>
  </w:footnote>
  <w:footnote w:id="1279">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موسوعة القواعد </w:t>
      </w:r>
      <w:r>
        <w:rPr>
          <w:rFonts w:ascii="Traditional Arabic" w:hAnsi="Traditional Arabic" w:hint="cs"/>
          <w:sz w:val="32"/>
          <w:szCs w:val="32"/>
          <w:rtl/>
        </w:rPr>
        <w:t>الفقهية</w:t>
      </w:r>
      <w:r w:rsidRPr="00C064B2">
        <w:rPr>
          <w:rFonts w:ascii="Traditional Arabic" w:hAnsi="Traditional Arabic"/>
          <w:sz w:val="32"/>
          <w:szCs w:val="32"/>
          <w:rtl/>
        </w:rPr>
        <w:t xml:space="preserve"> للبورنو (8/867).</w:t>
      </w:r>
    </w:p>
  </w:footnote>
  <w:footnote w:id="1280">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موسوعة القواعد والضوابط للندوي (1/195).</w:t>
      </w:r>
    </w:p>
  </w:footnote>
  <w:footnote w:id="1281">
    <w:p w:rsidR="000D3D21" w:rsidRPr="00FB4433" w:rsidRDefault="000D3D21" w:rsidP="00251F4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انظر موسوعة القواعد </w:t>
      </w:r>
      <w:r>
        <w:rPr>
          <w:rFonts w:ascii="Traditional Arabic" w:hAnsi="Traditional Arabic" w:hint="cs"/>
          <w:sz w:val="32"/>
          <w:szCs w:val="32"/>
          <w:rtl/>
        </w:rPr>
        <w:t>الفقهية</w:t>
      </w:r>
      <w:r w:rsidRPr="00C064B2">
        <w:rPr>
          <w:rFonts w:ascii="Traditional Arabic" w:hAnsi="Traditional Arabic"/>
          <w:sz w:val="32"/>
          <w:szCs w:val="32"/>
          <w:rtl/>
        </w:rPr>
        <w:t xml:space="preserve"> للبورنو (3/212، 306)، و(8/867)، و(11/1169).</w:t>
      </w:r>
    </w:p>
  </w:footnote>
  <w:footnote w:id="1282">
    <w:p w:rsidR="000D3D21" w:rsidRPr="00C064B2" w:rsidRDefault="000D3D21" w:rsidP="00251F48">
      <w:pPr>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دحية</w:t>
      </w:r>
      <w:r>
        <w:rPr>
          <w:rFonts w:ascii="Traditional Arabic" w:hAnsi="Traditional Arabic" w:hint="cs"/>
          <w:sz w:val="32"/>
          <w:szCs w:val="32"/>
          <w:rtl/>
        </w:rPr>
        <w:t xml:space="preserve"> بكسر الدال، وحُكي فتحها، ويقال: إنه الرئيس بلُغة أهل اليمن، وهو ا</w:t>
      </w:r>
      <w:r w:rsidRPr="00C064B2">
        <w:rPr>
          <w:rFonts w:ascii="Traditional Arabic" w:hAnsi="Traditional Arabic"/>
          <w:sz w:val="32"/>
          <w:szCs w:val="32"/>
          <w:rtl/>
        </w:rPr>
        <w:t>بن خليفة بن فروة الكَلْ</w:t>
      </w:r>
      <w:r>
        <w:rPr>
          <w:rFonts w:ascii="Traditional Arabic" w:hAnsi="Traditional Arabic"/>
          <w:sz w:val="32"/>
          <w:szCs w:val="32"/>
          <w:rtl/>
        </w:rPr>
        <w:t>بي</w:t>
      </w:r>
      <w:r w:rsidRPr="00C064B2">
        <w:rPr>
          <w:rFonts w:ascii="Traditional Arabic" w:hAnsi="Traditional Arabic"/>
          <w:sz w:val="32"/>
          <w:szCs w:val="32"/>
          <w:rtl/>
        </w:rPr>
        <w:t>،</w:t>
      </w:r>
      <w:r>
        <w:rPr>
          <w:rFonts w:ascii="Traditional Arabic" w:hAnsi="Traditional Arabic" w:hint="cs"/>
          <w:sz w:val="32"/>
          <w:szCs w:val="32"/>
          <w:rtl/>
        </w:rPr>
        <w:t xml:space="preserve"> كان من كبار الصحابة، أسلم قديما، و</w:t>
      </w:r>
      <w:r w:rsidRPr="00C064B2">
        <w:rPr>
          <w:rFonts w:ascii="Traditional Arabic" w:hAnsi="Traditional Arabic"/>
          <w:sz w:val="32"/>
          <w:szCs w:val="32"/>
          <w:rtl/>
        </w:rPr>
        <w:t>كان يُضْرَب به المثل في حُ</w:t>
      </w:r>
      <w:r>
        <w:rPr>
          <w:rFonts w:ascii="Traditional Arabic" w:hAnsi="Traditional Arabic"/>
          <w:sz w:val="32"/>
          <w:szCs w:val="32"/>
          <w:rtl/>
        </w:rPr>
        <w:t>سن الصورة، وكان جبريل عليه السلام ينزل على صورته</w:t>
      </w:r>
      <w:r w:rsidRPr="00C064B2">
        <w:rPr>
          <w:rFonts w:ascii="Traditional Arabic" w:hAnsi="Traditional Arabic"/>
          <w:sz w:val="32"/>
          <w:szCs w:val="32"/>
          <w:rtl/>
        </w:rPr>
        <w:t xml:space="preserve">، </w:t>
      </w:r>
      <w:r>
        <w:rPr>
          <w:rFonts w:ascii="Traditional Arabic" w:hAnsi="Traditional Arabic" w:hint="cs"/>
          <w:sz w:val="32"/>
          <w:szCs w:val="32"/>
          <w:rtl/>
        </w:rPr>
        <w:t>أول مشاهده الخندق، وقيل:</w:t>
      </w:r>
      <w:r w:rsidRPr="00C064B2">
        <w:rPr>
          <w:rFonts w:ascii="Traditional Arabic" w:hAnsi="Traditional Arabic"/>
          <w:sz w:val="32"/>
          <w:szCs w:val="32"/>
          <w:rtl/>
        </w:rPr>
        <w:t xml:space="preserve"> أُ</w:t>
      </w:r>
      <w:r>
        <w:rPr>
          <w:rFonts w:ascii="Traditional Arabic" w:hAnsi="Traditional Arabic"/>
          <w:sz w:val="32"/>
          <w:szCs w:val="32"/>
          <w:rtl/>
        </w:rPr>
        <w:t>حد</w:t>
      </w:r>
      <w:r>
        <w:rPr>
          <w:rFonts w:ascii="Traditional Arabic" w:hAnsi="Traditional Arabic" w:hint="cs"/>
          <w:sz w:val="32"/>
          <w:szCs w:val="32"/>
          <w:rtl/>
        </w:rPr>
        <w:t xml:space="preserve">، وشهد </w:t>
      </w:r>
      <w:r>
        <w:rPr>
          <w:rFonts w:ascii="Traditional Arabic" w:hAnsi="Traditional Arabic"/>
          <w:sz w:val="32"/>
          <w:szCs w:val="32"/>
          <w:rtl/>
        </w:rPr>
        <w:t>ما بعده</w:t>
      </w:r>
      <w:r>
        <w:rPr>
          <w:rFonts w:ascii="Traditional Arabic" w:hAnsi="Traditional Arabic" w:hint="cs"/>
          <w:sz w:val="32"/>
          <w:szCs w:val="32"/>
          <w:rtl/>
        </w:rPr>
        <w:t>ا، روى عنه الشعبي وعبد الله بن شدّاد بن الهاد، ومنصور الكلبي، نزل دمشق وسكن الْمِزّة، وعاش إلى خلافة معاوية</w:t>
      </w:r>
      <w:r w:rsidRPr="00C064B2">
        <w:rPr>
          <w:rFonts w:ascii="Traditional Arabic" w:hAnsi="Traditional Arabic"/>
          <w:sz w:val="32"/>
          <w:szCs w:val="32"/>
          <w:rtl/>
        </w:rPr>
        <w:t>.</w:t>
      </w:r>
      <w:r>
        <w:rPr>
          <w:rFonts w:ascii="Traditional Arabic" w:hAnsi="Traditional Arabic" w:hint="cs"/>
          <w:sz w:val="32"/>
          <w:szCs w:val="32"/>
          <w:rtl/>
        </w:rPr>
        <w:t>انظر الاستيعاب (2/461)، وأسد الغابة (2/6)، والإصابة (3/381-383)، وفتح الباري لابن حجر (1/52).</w:t>
      </w:r>
    </w:p>
  </w:footnote>
  <w:footnote w:id="1283">
    <w:p w:rsidR="000D3D21" w:rsidRDefault="000D3D21" w:rsidP="0004289B">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4289B">
        <w:rPr>
          <w:rFonts w:ascii="Traditional Arabic" w:hAnsi="Traditional Arabic"/>
          <w:b/>
          <w:bCs/>
          <w:sz w:val="32"/>
          <w:szCs w:val="32"/>
          <w:rtl/>
        </w:rPr>
        <w:t>عظيم ب</w:t>
      </w:r>
      <w:r>
        <w:rPr>
          <w:rFonts w:ascii="Traditional Arabic" w:hAnsi="Traditional Arabic" w:hint="cs"/>
          <w:b/>
          <w:bCs/>
          <w:sz w:val="32"/>
          <w:szCs w:val="32"/>
          <w:rtl/>
        </w:rPr>
        <w:t>ُ</w:t>
      </w:r>
      <w:r w:rsidRPr="0004289B">
        <w:rPr>
          <w:rFonts w:ascii="Traditional Arabic" w:hAnsi="Traditional Arabic"/>
          <w:b/>
          <w:bCs/>
          <w:sz w:val="32"/>
          <w:szCs w:val="32"/>
          <w:rtl/>
        </w:rPr>
        <w:t>ص</w:t>
      </w:r>
      <w:r>
        <w:rPr>
          <w:rFonts w:ascii="Traditional Arabic" w:hAnsi="Traditional Arabic" w:hint="cs"/>
          <w:b/>
          <w:bCs/>
          <w:sz w:val="32"/>
          <w:szCs w:val="32"/>
          <w:rtl/>
        </w:rPr>
        <w:t>ْ</w:t>
      </w:r>
      <w:r w:rsidRPr="0004289B">
        <w:rPr>
          <w:rFonts w:ascii="Traditional Arabic" w:hAnsi="Traditional Arabic"/>
          <w:b/>
          <w:bCs/>
          <w:sz w:val="32"/>
          <w:szCs w:val="32"/>
          <w:rtl/>
        </w:rPr>
        <w:t>رى:</w:t>
      </w:r>
      <w:r w:rsidRPr="00C064B2">
        <w:rPr>
          <w:rFonts w:ascii="Traditional Arabic" w:hAnsi="Traditional Arabic"/>
          <w:sz w:val="32"/>
          <w:szCs w:val="32"/>
          <w:rtl/>
        </w:rPr>
        <w:t xml:space="preserve"> </w:t>
      </w:r>
      <w:r w:rsidRPr="00C064B2">
        <w:rPr>
          <w:rFonts w:ascii="Traditional Arabic" w:hAnsi="Traditional Arabic"/>
          <w:noProof w:val="0"/>
          <w:sz w:val="32"/>
          <w:szCs w:val="32"/>
          <w:rtl/>
          <w:lang w:eastAsia="en-US"/>
        </w:rPr>
        <w:t>هو الحارث بن أبي شمَّر الغَسَّاني</w:t>
      </w:r>
      <w:r w:rsidR="00AB0B9E">
        <w:rPr>
          <w:rFonts w:ascii="Traditional Arabic" w:hAnsi="Traditional Arabic"/>
          <w:noProof w:val="0"/>
          <w:sz w:val="32"/>
          <w:szCs w:val="32"/>
          <w:rtl/>
          <w:lang w:eastAsia="en-US"/>
        </w:rPr>
        <w:fldChar w:fldCharType="begin"/>
      </w:r>
      <w:r>
        <w:rPr>
          <w:rFonts w:ascii="Traditional Arabic" w:hAnsi="Traditional Arabic"/>
          <w:noProof w:val="0"/>
          <w:sz w:val="32"/>
          <w:szCs w:val="32"/>
          <w:lang w:eastAsia="en-US"/>
        </w:rPr>
        <w:instrText>XE "</w:instrText>
      </w:r>
      <w:r w:rsidRPr="0041304C">
        <w:rPr>
          <w:rFonts w:ascii="Traditional Arabic" w:hAnsi="Traditional Arabic"/>
          <w:noProof w:val="0"/>
          <w:rtl/>
          <w:lang w:eastAsia="en-US"/>
        </w:rPr>
        <w:instrText>الحارث بن أبي شمَّر الغَسَّاني</w:instrText>
      </w:r>
      <w:r>
        <w:instrText>"\fa"</w:instrText>
      </w:r>
      <w:r w:rsidR="00AB0B9E">
        <w:rPr>
          <w:rFonts w:ascii="Traditional Arabic" w:hAnsi="Traditional Arabic"/>
          <w:noProof w:val="0"/>
          <w:sz w:val="32"/>
          <w:szCs w:val="32"/>
          <w:rtl/>
          <w:lang w:eastAsia="en-US"/>
        </w:rPr>
        <w:fldChar w:fldCharType="end"/>
      </w:r>
      <w:r w:rsidRPr="00C064B2">
        <w:rPr>
          <w:rFonts w:ascii="Traditional Arabic" w:hAnsi="Traditional Arabic"/>
          <w:sz w:val="32"/>
          <w:szCs w:val="32"/>
          <w:rtl/>
        </w:rPr>
        <w:t>،</w:t>
      </w:r>
      <w:r>
        <w:rPr>
          <w:rFonts w:ascii="Traditional Arabic" w:hAnsi="Traditional Arabic" w:hint="cs"/>
          <w:sz w:val="32"/>
          <w:szCs w:val="32"/>
          <w:rtl/>
        </w:rPr>
        <w:t xml:space="preserve"> توفي عام الفتح. انظر </w:t>
      </w:r>
      <w:r w:rsidRPr="00C064B2">
        <w:rPr>
          <w:rFonts w:ascii="Traditional Arabic" w:hAnsi="Traditional Arabic"/>
          <w:sz w:val="32"/>
          <w:szCs w:val="32"/>
          <w:rtl/>
        </w:rPr>
        <w:t>وفتح الباري لابن حجر (</w:t>
      </w:r>
      <w:r>
        <w:rPr>
          <w:rFonts w:ascii="Traditional Arabic" w:hAnsi="Traditional Arabic" w:hint="cs"/>
          <w:sz w:val="32"/>
          <w:szCs w:val="32"/>
          <w:rtl/>
        </w:rPr>
        <w:t>1/53</w:t>
      </w:r>
      <w:r w:rsidRPr="00C064B2">
        <w:rPr>
          <w:rFonts w:ascii="Traditional Arabic" w:hAnsi="Traditional Arabic"/>
          <w:sz w:val="32"/>
          <w:szCs w:val="32"/>
          <w:rtl/>
        </w:rPr>
        <w:t xml:space="preserve">). </w:t>
      </w:r>
    </w:p>
    <w:p w:rsidR="000D3D21" w:rsidRPr="00C064B2" w:rsidRDefault="000D3D21" w:rsidP="00251F48">
      <w:pPr>
        <w:pStyle w:val="a7"/>
        <w:pageBreakBefore/>
        <w:rPr>
          <w:rFonts w:ascii="Traditional Arabic" w:hAnsi="Traditional Arabic"/>
          <w:b/>
          <w:bCs/>
          <w:noProof w:val="0"/>
          <w:sz w:val="32"/>
          <w:szCs w:val="32"/>
          <w:rtl/>
          <w:lang w:eastAsia="en-US"/>
        </w:rPr>
      </w:pPr>
      <w:r>
        <w:rPr>
          <w:rFonts w:ascii="Traditional Arabic" w:hAnsi="Traditional Arabic" w:hint="cs"/>
          <w:sz w:val="32"/>
          <w:szCs w:val="32"/>
          <w:rtl/>
        </w:rPr>
        <w:t xml:space="preserve">     </w:t>
      </w:r>
      <w:r w:rsidRPr="0004289B">
        <w:rPr>
          <w:rFonts w:ascii="Traditional Arabic" w:hAnsi="Traditional Arabic" w:hint="cs"/>
          <w:b/>
          <w:bCs/>
          <w:noProof w:val="0"/>
          <w:sz w:val="32"/>
          <w:szCs w:val="32"/>
          <w:rtl/>
          <w:lang w:eastAsia="en-US"/>
        </w:rPr>
        <w:t>وبصرى</w:t>
      </w:r>
      <w:r>
        <w:rPr>
          <w:rFonts w:ascii="Traditional Arabic" w:hAnsi="Traditional Arabic" w:hint="cs"/>
          <w:noProof w:val="0"/>
          <w:sz w:val="32"/>
          <w:szCs w:val="32"/>
          <w:rtl/>
          <w:lang w:eastAsia="en-US"/>
        </w:rPr>
        <w:t xml:space="preserve"> </w:t>
      </w:r>
      <w:r w:rsidRPr="00C064B2">
        <w:rPr>
          <w:rFonts w:ascii="Traditional Arabic" w:hAnsi="Traditional Arabic"/>
          <w:noProof w:val="0"/>
          <w:sz w:val="32"/>
          <w:szCs w:val="32"/>
          <w:rtl/>
          <w:lang w:eastAsia="en-US"/>
        </w:rPr>
        <w:t>في موضعين: إحداهما بالشام من أعمال دمشق وهي قصبة كورة حَوْران مشهورة عند العرب قديما وحديثا، وذ</w:t>
      </w:r>
      <w:r>
        <w:rPr>
          <w:rFonts w:ascii="Traditional Arabic" w:hAnsi="Traditional Arabic" w:hint="cs"/>
          <w:noProof w:val="0"/>
          <w:sz w:val="32"/>
          <w:szCs w:val="32"/>
          <w:rtl/>
          <w:lang w:eastAsia="en-US"/>
        </w:rPr>
        <w:t>ِ</w:t>
      </w:r>
      <w:r w:rsidRPr="00C064B2">
        <w:rPr>
          <w:rFonts w:ascii="Traditional Arabic" w:hAnsi="Traditional Arabic"/>
          <w:noProof w:val="0"/>
          <w:sz w:val="32"/>
          <w:szCs w:val="32"/>
          <w:rtl/>
          <w:lang w:eastAsia="en-US"/>
        </w:rPr>
        <w:t>ك</w:t>
      </w:r>
      <w:r>
        <w:rPr>
          <w:rFonts w:ascii="Traditional Arabic" w:hAnsi="Traditional Arabic" w:hint="cs"/>
          <w:noProof w:val="0"/>
          <w:sz w:val="32"/>
          <w:szCs w:val="32"/>
          <w:rtl/>
          <w:lang w:eastAsia="en-US"/>
        </w:rPr>
        <w:t>ْ</w:t>
      </w:r>
      <w:r w:rsidRPr="00C064B2">
        <w:rPr>
          <w:rFonts w:ascii="Traditional Arabic" w:hAnsi="Traditional Arabic"/>
          <w:noProof w:val="0"/>
          <w:sz w:val="32"/>
          <w:szCs w:val="32"/>
          <w:rtl/>
          <w:lang w:eastAsia="en-US"/>
        </w:rPr>
        <w:t>ر</w:t>
      </w:r>
      <w:r>
        <w:rPr>
          <w:rFonts w:ascii="Traditional Arabic" w:hAnsi="Traditional Arabic" w:hint="cs"/>
          <w:noProof w:val="0"/>
          <w:sz w:val="32"/>
          <w:szCs w:val="32"/>
          <w:rtl/>
          <w:lang w:eastAsia="en-US"/>
        </w:rPr>
        <w:t>ُ</w:t>
      </w:r>
      <w:r w:rsidRPr="00C064B2">
        <w:rPr>
          <w:rFonts w:ascii="Traditional Arabic" w:hAnsi="Traditional Arabic"/>
          <w:noProof w:val="0"/>
          <w:sz w:val="32"/>
          <w:szCs w:val="32"/>
          <w:rtl/>
          <w:lang w:eastAsia="en-US"/>
        </w:rPr>
        <w:t>ها كثير في أشعارهم</w:t>
      </w:r>
      <w:r>
        <w:rPr>
          <w:rFonts w:ascii="Traditional Arabic" w:hAnsi="Traditional Arabic" w:hint="cs"/>
          <w:b/>
          <w:bCs/>
          <w:noProof w:val="0"/>
          <w:sz w:val="32"/>
          <w:szCs w:val="32"/>
          <w:rtl/>
          <w:lang w:eastAsia="en-US"/>
        </w:rPr>
        <w:t>.</w:t>
      </w:r>
    </w:p>
    <w:p w:rsidR="000D3D21" w:rsidRPr="00C064B2" w:rsidRDefault="000D3D21" w:rsidP="00DD31C7">
      <w:pPr>
        <w:pStyle w:val="a7"/>
        <w:pageBreakBefore/>
        <w:rPr>
          <w:rFonts w:ascii="Traditional Arabic" w:hAnsi="Traditional Arabic"/>
          <w:sz w:val="32"/>
          <w:szCs w:val="32"/>
        </w:rPr>
      </w:pPr>
      <w:r>
        <w:rPr>
          <w:rFonts w:ascii="Traditional Arabic" w:hAnsi="Traditional Arabic" w:hint="cs"/>
          <w:noProof w:val="0"/>
          <w:color w:val="auto"/>
          <w:sz w:val="32"/>
          <w:szCs w:val="32"/>
          <w:rtl/>
          <w:lang w:eastAsia="en-US"/>
        </w:rPr>
        <w:t xml:space="preserve">      </w:t>
      </w:r>
      <w:r w:rsidRPr="00C064B2">
        <w:rPr>
          <w:rFonts w:ascii="Traditional Arabic" w:hAnsi="Traditional Arabic"/>
          <w:noProof w:val="0"/>
          <w:color w:val="auto"/>
          <w:sz w:val="32"/>
          <w:szCs w:val="32"/>
          <w:rtl/>
          <w:lang w:eastAsia="en-US"/>
        </w:rPr>
        <w:t>وبصرى أيضا من قرى بغداد قرب عكبراء</w:t>
      </w:r>
      <w:r w:rsidRPr="00C064B2">
        <w:rPr>
          <w:rFonts w:ascii="Traditional Arabic" w:hAnsi="Traditional Arabic"/>
          <w:sz w:val="32"/>
          <w:szCs w:val="32"/>
          <w:rtl/>
        </w:rPr>
        <w:t>، والمقصود هو الأولى منهما؛ لأن أبا سفيان الذي روى عنه ابن عباس هذه القصة ذكر أن ذلك كان بالشام، كما دلت على ذلك رواية مسلم. انظر معجم البلدان (1/441)</w:t>
      </w:r>
      <w:r>
        <w:rPr>
          <w:rFonts w:ascii="Traditional Arabic" w:hAnsi="Traditional Arabic" w:hint="cs"/>
          <w:sz w:val="32"/>
          <w:szCs w:val="32"/>
          <w:rtl/>
        </w:rPr>
        <w:t xml:space="preserve"> لياقوت الحموي.</w:t>
      </w:r>
      <w:r w:rsidRPr="00C064B2">
        <w:rPr>
          <w:rFonts w:ascii="Traditional Arabic" w:hAnsi="Traditional Arabic"/>
          <w:sz w:val="32"/>
          <w:szCs w:val="32"/>
          <w:rtl/>
        </w:rPr>
        <w:t xml:space="preserve"> </w:t>
      </w:r>
    </w:p>
  </w:footnote>
  <w:footnote w:id="1284">
    <w:p w:rsidR="000D3D21" w:rsidRPr="00C064B2" w:rsidRDefault="000D3D21" w:rsidP="00D65D30">
      <w:pPr>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C064B2">
        <w:rPr>
          <w:rFonts w:ascii="Traditional Arabic" w:hAnsi="Traditional Arabic"/>
          <w:sz w:val="32"/>
          <w:szCs w:val="32"/>
          <w:rtl/>
        </w:rPr>
        <w:tab/>
        <w:t xml:space="preserve"> بكسر ا</w:t>
      </w:r>
      <w:r>
        <w:rPr>
          <w:rFonts w:ascii="Traditional Arabic" w:hAnsi="Traditional Arabic"/>
          <w:sz w:val="32"/>
          <w:szCs w:val="32"/>
          <w:rtl/>
        </w:rPr>
        <w:t>لهاء، وفتح الراء، وسكون القاف، هو ملك الروم</w:t>
      </w:r>
      <w:r w:rsidRPr="00C064B2">
        <w:rPr>
          <w:rFonts w:ascii="Traditional Arabic" w:hAnsi="Traditional Arabic"/>
          <w:sz w:val="32"/>
          <w:szCs w:val="32"/>
          <w:rtl/>
        </w:rPr>
        <w:t>، وهرقل اسمه</w:t>
      </w:r>
      <w:r>
        <w:rPr>
          <w:rFonts w:ascii="Traditional Arabic" w:hAnsi="Traditional Arabic"/>
          <w:sz w:val="32"/>
          <w:szCs w:val="32"/>
          <w:rtl/>
        </w:rPr>
        <w:t>،</w:t>
      </w:r>
      <w:r w:rsidRPr="00C064B2">
        <w:rPr>
          <w:rFonts w:ascii="Traditional Arabic" w:hAnsi="Traditional Arabic"/>
          <w:sz w:val="32"/>
          <w:szCs w:val="32"/>
          <w:rtl/>
        </w:rPr>
        <w:t xml:space="preserve"> ولقبه قيصر</w:t>
      </w:r>
      <w:r>
        <w:rPr>
          <w:rFonts w:ascii="Traditional Arabic" w:hAnsi="Traditional Arabic" w:hint="cs"/>
          <w:sz w:val="32"/>
          <w:szCs w:val="32"/>
          <w:rtl/>
        </w:rPr>
        <w:t>، كما يلقَّب ملك الفرس بكسرى ونحوه</w:t>
      </w:r>
      <w:r w:rsidRPr="00C064B2">
        <w:rPr>
          <w:rFonts w:ascii="Traditional Arabic" w:hAnsi="Traditional Arabic"/>
          <w:sz w:val="32"/>
          <w:szCs w:val="32"/>
          <w:rtl/>
        </w:rPr>
        <w:t>.</w:t>
      </w:r>
      <w:r>
        <w:rPr>
          <w:rFonts w:ascii="Traditional Arabic" w:hAnsi="Traditional Arabic" w:hint="cs"/>
          <w:sz w:val="32"/>
          <w:szCs w:val="32"/>
          <w:rtl/>
        </w:rPr>
        <w:t>انظر فتح الباري لابن حجر (1/46).</w:t>
      </w:r>
    </w:p>
  </w:footnote>
  <w:footnote w:id="1285">
    <w:p w:rsidR="000D3D21" w:rsidRPr="00C064B2" w:rsidRDefault="000D3D21" w:rsidP="00D65D30">
      <w:pPr>
        <w:widowControl/>
        <w:autoSpaceDE w:val="0"/>
        <w:autoSpaceDN w:val="0"/>
        <w:adjustRightInd w:val="0"/>
        <w:ind w:firstLine="0"/>
        <w:jc w:val="left"/>
        <w:rPr>
          <w:rFonts w:ascii="Traditional Arabic" w:hAnsi="Traditional Arabic"/>
          <w:b/>
          <w:bCs/>
          <w:noProof w:val="0"/>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b/>
          <w:bCs/>
          <w:sz w:val="32"/>
          <w:szCs w:val="32"/>
          <w:rtl/>
        </w:rPr>
        <w:t>الأريسيون</w:t>
      </w:r>
      <w:r w:rsidR="00AB0B9E">
        <w:rPr>
          <w:rFonts w:ascii="Traditional Arabic" w:hAnsi="Traditional Arabic"/>
          <w:b/>
          <w:bCs/>
          <w:sz w:val="32"/>
          <w:szCs w:val="32"/>
          <w:rtl/>
        </w:rPr>
        <w:fldChar w:fldCharType="begin"/>
      </w:r>
      <w:r>
        <w:instrText xml:space="preserve"> XE "</w:instrText>
      </w:r>
      <w:r w:rsidRPr="00D65D30">
        <w:rPr>
          <w:rFonts w:ascii="Traditional Arabic" w:hAnsi="Traditional Arabic"/>
          <w:sz w:val="32"/>
          <w:szCs w:val="32"/>
          <w:rtl/>
        </w:rPr>
        <w:instrText>الأريسيون</w:instrText>
      </w:r>
      <w:r>
        <w:instrText xml:space="preserve">" </w:instrText>
      </w:r>
      <w:r w:rsidRPr="00D65D30">
        <w:instrText>\fm</w:instrText>
      </w:r>
      <w:r w:rsidR="00AB0B9E">
        <w:rPr>
          <w:rFonts w:ascii="Traditional Arabic" w:hAnsi="Traditional Arabic"/>
          <w:b/>
          <w:bCs/>
          <w:sz w:val="32"/>
          <w:szCs w:val="32"/>
          <w:rtl/>
        </w:rPr>
        <w:fldChar w:fldCharType="end"/>
      </w:r>
      <w:r w:rsidRPr="00C064B2">
        <w:rPr>
          <w:rFonts w:ascii="Traditional Arabic" w:hAnsi="Traditional Arabic"/>
          <w:b/>
          <w:bCs/>
          <w:sz w:val="32"/>
          <w:szCs w:val="32"/>
          <w:rtl/>
        </w:rPr>
        <w:t>:</w:t>
      </w:r>
      <w:r>
        <w:rPr>
          <w:rFonts w:ascii="Traditional Arabic" w:hAnsi="Traditional Arabic" w:hint="cs"/>
          <w:b/>
          <w:bCs/>
          <w:sz w:val="32"/>
          <w:szCs w:val="32"/>
          <w:rtl/>
        </w:rPr>
        <w:t xml:space="preserve"> </w:t>
      </w:r>
      <w:r w:rsidRPr="00C064B2">
        <w:rPr>
          <w:rFonts w:ascii="Traditional Arabic" w:hAnsi="Traditional Arabic"/>
          <w:noProof w:val="0"/>
          <w:sz w:val="32"/>
          <w:szCs w:val="32"/>
          <w:rtl/>
          <w:lang w:eastAsia="en-US"/>
        </w:rPr>
        <w:t>هم الخدَم والخوَل، والمعنى في الحديث: عليكَ مثْلُ إثمهم، يعني لصدّه إياهم عن الدين.</w:t>
      </w:r>
    </w:p>
    <w:p w:rsidR="000D3D21" w:rsidRPr="00C064B2" w:rsidRDefault="000D3D21" w:rsidP="00251F48">
      <w:pPr>
        <w:pStyle w:val="a7"/>
        <w:pageBreakBefore/>
        <w:rPr>
          <w:rFonts w:ascii="Traditional Arabic" w:hAnsi="Traditional Arabic"/>
          <w:sz w:val="32"/>
          <w:szCs w:val="32"/>
        </w:rPr>
      </w:pPr>
      <w:r>
        <w:rPr>
          <w:rFonts w:ascii="Traditional Arabic" w:hAnsi="Traditional Arabic" w:hint="cs"/>
          <w:noProof w:val="0"/>
          <w:sz w:val="32"/>
          <w:szCs w:val="32"/>
          <w:rtl/>
          <w:lang w:eastAsia="en-US"/>
        </w:rPr>
        <w:t xml:space="preserve">      </w:t>
      </w:r>
      <w:r w:rsidRPr="00C064B2">
        <w:rPr>
          <w:rFonts w:ascii="Traditional Arabic" w:hAnsi="Traditional Arabic"/>
          <w:noProof w:val="0"/>
          <w:sz w:val="32"/>
          <w:szCs w:val="32"/>
          <w:rtl/>
          <w:lang w:eastAsia="en-US"/>
        </w:rPr>
        <w:t>انظر النهاية في غريب الحديث والأثر (1/38).</w:t>
      </w:r>
    </w:p>
  </w:footnote>
  <w:footnote w:id="1286">
    <w:p w:rsidR="000D3D21" w:rsidRPr="00C064B2" w:rsidRDefault="000D3D21" w:rsidP="00735180">
      <w:pPr>
        <w:pStyle w:val="a7"/>
        <w:spacing w:line="440" w:lineRule="exact"/>
        <w:ind w:left="510" w:hanging="510"/>
        <w:jc w:val="lowKashida"/>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C064B2">
        <w:rPr>
          <w:rFonts w:ascii="Traditional Arabic" w:hAnsi="Traditional Arabic"/>
          <w:sz w:val="32"/>
          <w:szCs w:val="32"/>
          <w:rtl/>
        </w:rPr>
        <w:t xml:space="preserve"> أخرجه البخاري في كتاب بدء الوحي، باب كيف كان بدء الوحي إلى رسول الله </w:t>
      </w:r>
      <w:r>
        <w:rPr>
          <w:rFonts w:ascii="Traditional Arabic" w:hAnsi="Traditional Arabic" w:cs="CTraditional Arabic" w:hint="cs"/>
          <w:noProof w:val="0"/>
          <w:color w:val="auto"/>
          <w:rtl/>
          <w:lang w:eastAsia="en-US"/>
        </w:rPr>
        <w:t>غ</w:t>
      </w:r>
      <w:r w:rsidRPr="00C064B2">
        <w:rPr>
          <w:rFonts w:ascii="Traditional Arabic" w:hAnsi="Traditional Arabic"/>
          <w:sz w:val="32"/>
          <w:szCs w:val="32"/>
          <w:rtl/>
        </w:rPr>
        <w:t>، وقول الله جل ذكره</w:t>
      </w:r>
      <w:r>
        <w:rPr>
          <w:rFonts w:ascii="Traditional Arabic" w:hAnsi="Traditional Arabic" w:hint="cs"/>
          <w:sz w:val="32"/>
          <w:szCs w:val="32"/>
          <w:rtl/>
        </w:rPr>
        <w:t xml:space="preserve">: </w:t>
      </w:r>
      <w:bookmarkStart w:id="248" w:name="سورة_النساء_163"/>
      <w:r w:rsidRPr="00C53E8F">
        <w:rPr>
          <w:rFonts w:ascii="QCF_BSML" w:hAnsi="QCF_BSML" w:cs="QCF_BSML"/>
          <w:noProof w:val="0"/>
          <w:sz w:val="32"/>
          <w:szCs w:val="32"/>
          <w:rtl/>
          <w:lang w:eastAsia="en-US"/>
        </w:rPr>
        <w:t xml:space="preserve">ﭽ </w:t>
      </w:r>
      <w:r w:rsidRPr="00C53E8F">
        <w:rPr>
          <w:rFonts w:ascii="QCF_P104" w:hAnsi="QCF_P104" w:cs="QCF_P104"/>
          <w:noProof w:val="0"/>
          <w:sz w:val="32"/>
          <w:szCs w:val="32"/>
          <w:rtl/>
          <w:lang w:eastAsia="en-US"/>
        </w:rPr>
        <w:t>ﭒﭓﭔﭕﭖﭗﭘﭙﭚﭛ</w:t>
      </w:r>
      <w:r w:rsidRPr="00C53E8F">
        <w:rPr>
          <w:rFonts w:ascii="QCF_BSML" w:hAnsi="QCF_BSML" w:cs="QCF_BSML"/>
          <w:noProof w:val="0"/>
          <w:sz w:val="32"/>
          <w:szCs w:val="32"/>
          <w:rtl/>
          <w:lang w:eastAsia="en-US"/>
        </w:rPr>
        <w:t>ﭼ</w:t>
      </w:r>
      <w:bookmarkEnd w:id="248"/>
      <w:r>
        <w:rPr>
          <w:rFonts w:ascii="Traditional Arabic" w:hAnsi="Traditional Arabic" w:hint="cs"/>
          <w:noProof w:val="0"/>
          <w:color w:val="auto"/>
          <w:sz w:val="32"/>
          <w:szCs w:val="32"/>
          <w:rtl/>
          <w:lang w:eastAsia="en-US"/>
        </w:rPr>
        <w:t>[</w:t>
      </w:r>
      <w:r w:rsidRPr="00C53E8F">
        <w:rPr>
          <w:rFonts w:ascii="Traditional Arabic" w:hAnsi="Traditional Arabic"/>
          <w:noProof w:val="0"/>
          <w:color w:val="auto"/>
          <w:sz w:val="32"/>
          <w:szCs w:val="32"/>
          <w:rtl/>
          <w:lang w:eastAsia="en-US"/>
        </w:rPr>
        <w:t>النساء: ١٦٣</w:t>
      </w:r>
      <w:r>
        <w:rPr>
          <w:rFonts w:ascii="Traditional Arabic" w:hAnsi="Traditional Arabic" w:hint="cs"/>
          <w:noProof w:val="0"/>
          <w:color w:val="auto"/>
          <w:sz w:val="32"/>
          <w:szCs w:val="32"/>
          <w:rtl/>
          <w:lang w:eastAsia="en-US"/>
        </w:rPr>
        <w:t>]</w:t>
      </w:r>
      <w:r w:rsidRPr="00C064B2">
        <w:rPr>
          <w:rFonts w:ascii="Traditional Arabic" w:hAnsi="Traditional Arabic"/>
          <w:sz w:val="32"/>
          <w:szCs w:val="32"/>
          <w:rtl/>
        </w:rPr>
        <w:t xml:space="preserve">، رقم الحديث (7)، ومسلم في كتاب الجهاد والسير، باب كتاب النبي </w:t>
      </w:r>
      <w:r>
        <w:rPr>
          <w:rFonts w:ascii="Traditional Arabic" w:hAnsi="Traditional Arabic" w:cs="CTraditional Arabic" w:hint="cs"/>
          <w:noProof w:val="0"/>
          <w:color w:val="auto"/>
          <w:rtl/>
          <w:lang w:eastAsia="en-US"/>
        </w:rPr>
        <w:t>غ</w:t>
      </w:r>
      <w:r w:rsidRPr="00C064B2">
        <w:rPr>
          <w:rFonts w:ascii="Traditional Arabic" w:hAnsi="Traditional Arabic"/>
          <w:sz w:val="32"/>
          <w:szCs w:val="32"/>
          <w:rtl/>
        </w:rPr>
        <w:t xml:space="preserve"> إلى </w:t>
      </w:r>
      <w:r>
        <w:rPr>
          <w:rFonts w:ascii="Traditional Arabic" w:hAnsi="Traditional Arabic" w:hint="cs"/>
          <w:sz w:val="32"/>
          <w:szCs w:val="32"/>
          <w:rtl/>
        </w:rPr>
        <w:t xml:space="preserve">هرقل </w:t>
      </w:r>
      <w:r w:rsidRPr="00C064B2">
        <w:rPr>
          <w:rFonts w:ascii="Traditional Arabic" w:hAnsi="Traditional Arabic"/>
          <w:sz w:val="32"/>
          <w:szCs w:val="32"/>
          <w:rtl/>
        </w:rPr>
        <w:t>يدعوه إلى الإسلام، رقم الحديث (1773)</w:t>
      </w:r>
      <w:r>
        <w:rPr>
          <w:rFonts w:ascii="Traditional Arabic" w:hAnsi="Traditional Arabic"/>
          <w:sz w:val="32"/>
          <w:szCs w:val="32"/>
          <w:rtl/>
        </w:rPr>
        <w:t>.</w:t>
      </w:r>
    </w:p>
  </w:footnote>
  <w:footnote w:id="1287">
    <w:p w:rsidR="000D3D21" w:rsidRPr="00F81210" w:rsidRDefault="000D3D21" w:rsidP="00251F4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أي: </w:t>
      </w:r>
      <w:r>
        <w:rPr>
          <w:rFonts w:ascii="Traditional Arabic" w:hAnsi="Traditional Arabic" w:hint="cs"/>
          <w:sz w:val="32"/>
          <w:szCs w:val="32"/>
          <w:rtl/>
        </w:rPr>
        <w:t>بغير وضوء</w:t>
      </w:r>
      <w:r w:rsidRPr="00C064B2">
        <w:rPr>
          <w:rFonts w:ascii="Traditional Arabic" w:hAnsi="Traditional Arabic"/>
          <w:sz w:val="32"/>
          <w:szCs w:val="32"/>
          <w:rtl/>
        </w:rPr>
        <w:t>.</w:t>
      </w:r>
    </w:p>
  </w:footnote>
  <w:footnote w:id="1288">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C064B2">
        <w:rPr>
          <w:rFonts w:ascii="Traditional Arabic" w:hAnsi="Traditional Arabic"/>
          <w:sz w:val="32"/>
          <w:szCs w:val="32"/>
          <w:rtl/>
        </w:rPr>
        <w:t>كما في حديث ابن عباس المتقدم، ومعلوم أن الكفار سيتناولون هذه الرسائل ويباشرونها بأيديهم لقراءتها، وهم ليسوا على طهارة قطعا؛ لأنهم كفار ومشرك</w:t>
      </w:r>
      <w:r>
        <w:rPr>
          <w:rFonts w:ascii="Traditional Arabic" w:hAnsi="Traditional Arabic"/>
          <w:sz w:val="32"/>
          <w:szCs w:val="32"/>
          <w:rtl/>
        </w:rPr>
        <w:t>ون</w:t>
      </w:r>
      <w:r w:rsidRPr="00C064B2">
        <w:rPr>
          <w:rFonts w:ascii="Traditional Arabic" w:hAnsi="Traditional Arabic"/>
          <w:sz w:val="32"/>
          <w:szCs w:val="32"/>
          <w:rtl/>
        </w:rPr>
        <w:t xml:space="preserve">؛ </w:t>
      </w:r>
      <w:r>
        <w:rPr>
          <w:rFonts w:ascii="Traditional Arabic" w:hAnsi="Traditional Arabic" w:hint="cs"/>
          <w:sz w:val="32"/>
          <w:szCs w:val="32"/>
          <w:rtl/>
        </w:rPr>
        <w:t>لكن هذه الآيات قليلة، و</w:t>
      </w:r>
      <w:r w:rsidRPr="00C064B2">
        <w:rPr>
          <w:rFonts w:ascii="Traditional Arabic" w:hAnsi="Traditional Arabic"/>
          <w:sz w:val="32"/>
          <w:szCs w:val="32"/>
          <w:rtl/>
        </w:rPr>
        <w:t>العبرة بالأغلب</w:t>
      </w:r>
      <w:r>
        <w:rPr>
          <w:rFonts w:ascii="Traditional Arabic" w:hAnsi="Traditional Arabic" w:hint="cs"/>
          <w:sz w:val="32"/>
          <w:szCs w:val="32"/>
          <w:rtl/>
        </w:rPr>
        <w:t>، والله أعلم</w:t>
      </w:r>
      <w:r w:rsidRPr="00C064B2">
        <w:rPr>
          <w:rFonts w:ascii="Traditional Arabic" w:hAnsi="Traditional Arabic"/>
          <w:sz w:val="32"/>
          <w:szCs w:val="32"/>
          <w:rtl/>
        </w:rPr>
        <w:t>.</w:t>
      </w:r>
    </w:p>
  </w:footnote>
  <w:footnote w:id="1289">
    <w:p w:rsidR="000D3D21" w:rsidRPr="00C53E8F" w:rsidRDefault="000D3D21" w:rsidP="00251F48">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C53E8F">
        <w:rPr>
          <w:rFonts w:ascii="Traditional Arabic" w:hAnsi="Traditional Arabic"/>
          <w:sz w:val="32"/>
          <w:szCs w:val="32"/>
          <w:rtl/>
        </w:rPr>
        <w:tab/>
        <w:t>الشرح الممتع (1/323). وانظر مجموع ف</w:t>
      </w:r>
      <w:r>
        <w:rPr>
          <w:rFonts w:ascii="Traditional Arabic" w:hAnsi="Traditional Arabic"/>
          <w:sz w:val="32"/>
          <w:szCs w:val="32"/>
          <w:rtl/>
        </w:rPr>
        <w:t>تاوى ورسائل ابن عثيمين (11/21</w:t>
      </w:r>
      <w:r>
        <w:rPr>
          <w:rFonts w:ascii="Traditional Arabic" w:hAnsi="Traditional Arabic" w:hint="cs"/>
          <w:sz w:val="32"/>
          <w:szCs w:val="32"/>
          <w:rtl/>
        </w:rPr>
        <w:t>4-215</w:t>
      </w:r>
      <w:r w:rsidRPr="00C53E8F">
        <w:rPr>
          <w:rFonts w:ascii="Traditional Arabic" w:hAnsi="Traditional Arabic"/>
          <w:sz w:val="32"/>
          <w:szCs w:val="32"/>
          <w:rtl/>
        </w:rPr>
        <w:t xml:space="preserve">). </w:t>
      </w:r>
    </w:p>
  </w:footnote>
  <w:footnote w:id="1290">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 xml:space="preserve">تقدم </w:t>
      </w:r>
      <w:r>
        <w:rPr>
          <w:rFonts w:ascii="Traditional Arabic" w:hAnsi="Traditional Arabic"/>
          <w:sz w:val="32"/>
          <w:szCs w:val="32"/>
          <w:rtl/>
        </w:rPr>
        <w:t>تخريجه</w:t>
      </w:r>
      <w:r w:rsidRPr="00C064B2">
        <w:rPr>
          <w:rFonts w:ascii="Traditional Arabic" w:hAnsi="Traditional Arabic"/>
          <w:sz w:val="32"/>
          <w:szCs w:val="32"/>
          <w:rtl/>
        </w:rPr>
        <w:t>.</w:t>
      </w:r>
    </w:p>
  </w:footnote>
  <w:footnote w:id="1291">
    <w:p w:rsidR="000D3D21" w:rsidRPr="00EB3251" w:rsidRDefault="000D3D21" w:rsidP="00251F48">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C064B2">
        <w:rPr>
          <w:rFonts w:ascii="Traditional Arabic" w:hAnsi="Traditional Arabic"/>
          <w:sz w:val="32"/>
          <w:szCs w:val="32"/>
          <w:rtl/>
        </w:rPr>
        <w:tab/>
        <w:t>انظر: الشرح الممتع (1/467)، وفتح ذي الجلال والإكرام (1/698 - 699)، ومجموع الفتاوى</w:t>
      </w:r>
      <w:r>
        <w:rPr>
          <w:rFonts w:ascii="Traditional Arabic" w:hAnsi="Traditional Arabic" w:hint="cs"/>
          <w:sz w:val="32"/>
          <w:szCs w:val="32"/>
          <w:rtl/>
        </w:rPr>
        <w:t xml:space="preserve"> </w:t>
      </w:r>
      <w:r w:rsidRPr="00C064B2">
        <w:rPr>
          <w:rFonts w:ascii="Traditional Arabic" w:hAnsi="Traditional Arabic"/>
          <w:sz w:val="32"/>
          <w:szCs w:val="32"/>
          <w:rtl/>
        </w:rPr>
        <w:t>لابن تيمية (21/630).</w:t>
      </w:r>
    </w:p>
  </w:footnote>
  <w:footnote w:id="1292">
    <w:p w:rsidR="000D3D21" w:rsidRPr="00C064B2" w:rsidRDefault="000D3D21" w:rsidP="00251F48">
      <w:pPr>
        <w:pStyle w:val="a7"/>
        <w:rPr>
          <w:rFonts w:ascii="Traditional Arabic" w:hAnsi="Traditional Arabic"/>
          <w:sz w:val="32"/>
          <w:szCs w:val="32"/>
          <w:rtl/>
        </w:rPr>
      </w:pPr>
      <w:r w:rsidRPr="00C064B2">
        <w:rPr>
          <w:rStyle w:val="af1"/>
          <w:rFonts w:ascii="Traditional Arabic" w:hAnsi="Traditional Arabic"/>
          <w:sz w:val="32"/>
          <w:szCs w:val="32"/>
          <w:vertAlign w:val="baseline"/>
        </w:rPr>
        <w:footnoteRef/>
      </w:r>
      <w:r w:rsidRPr="00C064B2">
        <w:rPr>
          <w:rStyle w:val="af1"/>
          <w:rFonts w:ascii="Traditional Arabic" w:hAnsi="Traditional Arabic"/>
          <w:sz w:val="32"/>
          <w:szCs w:val="32"/>
          <w:vertAlign w:val="baseline"/>
        </w:rPr>
        <w:t>)</w:t>
      </w:r>
      <w:r w:rsidRPr="00C064B2">
        <w:rPr>
          <w:rStyle w:val="af1"/>
          <w:rFonts w:ascii="Traditional Arabic" w:hAnsi="Traditional Arabic"/>
          <w:sz w:val="32"/>
          <w:szCs w:val="32"/>
          <w:vertAlign w:val="baseline"/>
          <w:rtl/>
        </w:rPr>
        <w:t>)</w:t>
      </w:r>
      <w:r>
        <w:rPr>
          <w:rFonts w:ascii="Traditional Arabic" w:hAnsi="Traditional Arabic"/>
          <w:sz w:val="32"/>
          <w:szCs w:val="32"/>
          <w:rtl/>
        </w:rPr>
        <w:t xml:space="preserve"> مثاله</w:t>
      </w:r>
      <w:r>
        <w:rPr>
          <w:rFonts w:ascii="Traditional Arabic" w:hAnsi="Traditional Arabic" w:hint="cs"/>
          <w:sz w:val="32"/>
          <w:szCs w:val="32"/>
          <w:rtl/>
        </w:rPr>
        <w:t xml:space="preserve"> ما لو </w:t>
      </w:r>
      <w:r w:rsidRPr="00C064B2">
        <w:rPr>
          <w:rFonts w:ascii="Traditional Arabic" w:hAnsi="Traditional Arabic"/>
          <w:sz w:val="32"/>
          <w:szCs w:val="32"/>
          <w:rtl/>
        </w:rPr>
        <w:t>اشترى زيد سيارة بخمسين ألفا مؤجَّلة،</w:t>
      </w:r>
      <w:r>
        <w:rPr>
          <w:rFonts w:ascii="Traditional Arabic" w:hAnsi="Traditional Arabic" w:hint="cs"/>
          <w:sz w:val="32"/>
          <w:szCs w:val="32"/>
          <w:rtl/>
        </w:rPr>
        <w:t xml:space="preserve"> </w:t>
      </w:r>
      <w:r w:rsidRPr="00C064B2">
        <w:rPr>
          <w:rFonts w:ascii="Traditional Arabic" w:hAnsi="Traditional Arabic"/>
          <w:sz w:val="32"/>
          <w:szCs w:val="32"/>
          <w:rtl/>
        </w:rPr>
        <w:t>ثم باعها تولية بهذا الثمن لعمرو، ولم ي</w:t>
      </w:r>
      <w:r>
        <w:rPr>
          <w:rFonts w:ascii="Traditional Arabic" w:hAnsi="Traditional Arabic"/>
          <w:sz w:val="32"/>
          <w:szCs w:val="32"/>
          <w:rtl/>
        </w:rPr>
        <w:t>بيّن له أنه اشتراها بثمن مؤجل،</w:t>
      </w:r>
      <w:r>
        <w:rPr>
          <w:rFonts w:ascii="Traditional Arabic" w:hAnsi="Traditional Arabic" w:hint="cs"/>
          <w:sz w:val="32"/>
          <w:szCs w:val="32"/>
          <w:rtl/>
        </w:rPr>
        <w:t xml:space="preserve"> </w:t>
      </w:r>
      <w:r>
        <w:rPr>
          <w:rFonts w:ascii="Traditional Arabic" w:hAnsi="Traditional Arabic"/>
          <w:sz w:val="32"/>
          <w:szCs w:val="32"/>
          <w:rtl/>
        </w:rPr>
        <w:t>و</w:t>
      </w:r>
      <w:r w:rsidRPr="00C064B2">
        <w:rPr>
          <w:rFonts w:ascii="Traditional Arabic" w:hAnsi="Traditional Arabic"/>
          <w:sz w:val="32"/>
          <w:szCs w:val="32"/>
          <w:rtl/>
        </w:rPr>
        <w:t>الغالب أن قيمة السيارة بالثمن المؤجل أكثر من قيمتها بالثمن الحالّ.</w:t>
      </w:r>
      <w:r>
        <w:rPr>
          <w:rFonts w:ascii="Traditional Arabic" w:hAnsi="Traditional Arabic" w:hint="cs"/>
          <w:sz w:val="32"/>
          <w:szCs w:val="32"/>
          <w:rtl/>
        </w:rPr>
        <w:t xml:space="preserve"> </w:t>
      </w:r>
      <w:r w:rsidRPr="00C064B2">
        <w:rPr>
          <w:rFonts w:ascii="Traditional Arabic" w:hAnsi="Traditional Arabic"/>
          <w:sz w:val="32"/>
          <w:szCs w:val="32"/>
          <w:rtl/>
        </w:rPr>
        <w:t>انظر:</w:t>
      </w:r>
      <w:r>
        <w:rPr>
          <w:rFonts w:ascii="Traditional Arabic" w:hAnsi="Traditional Arabic" w:hint="cs"/>
          <w:sz w:val="32"/>
          <w:szCs w:val="32"/>
          <w:rtl/>
        </w:rPr>
        <w:t xml:space="preserve"> </w:t>
      </w:r>
      <w:r w:rsidRPr="00C064B2">
        <w:rPr>
          <w:rFonts w:ascii="Traditional Arabic" w:hAnsi="Traditional Arabic"/>
          <w:sz w:val="32"/>
          <w:szCs w:val="32"/>
          <w:rtl/>
        </w:rPr>
        <w:t>الشرح الممتع (8/335)، وإغاثة الجموع بترجيحات ابن عثيمين في البيوع لمحمد بن بعسوس العمري</w:t>
      </w:r>
      <w:r>
        <w:rPr>
          <w:rFonts w:ascii="Traditional Arabic" w:hAnsi="Traditional Arabic" w:hint="cs"/>
          <w:sz w:val="32"/>
          <w:szCs w:val="32"/>
          <w:rtl/>
        </w:rPr>
        <w:t xml:space="preserve"> </w:t>
      </w:r>
      <w:r w:rsidRPr="00C064B2">
        <w:rPr>
          <w:rFonts w:ascii="Traditional Arabic" w:hAnsi="Traditional Arabic"/>
          <w:sz w:val="32"/>
          <w:szCs w:val="32"/>
          <w:rtl/>
        </w:rPr>
        <w:t>(200).</w:t>
      </w:r>
      <w:r w:rsidRPr="00C064B2">
        <w:rPr>
          <w:rFonts w:ascii="Traditional Arabic" w:hAnsi="Traditional Arabic"/>
          <w:sz w:val="32"/>
          <w:szCs w:val="32"/>
          <w:rtl/>
        </w:rPr>
        <w:tab/>
      </w:r>
    </w:p>
  </w:footnote>
  <w:footnote w:id="1293">
    <w:p w:rsidR="000D3D21" w:rsidRPr="00C064B2" w:rsidRDefault="000D3D21" w:rsidP="00251F48">
      <w:pPr>
        <w:pStyle w:val="a7"/>
        <w:rPr>
          <w:rFonts w:ascii="Traditional Arabic" w:hAnsi="Traditional Arabic"/>
          <w:sz w:val="32"/>
          <w:szCs w:val="32"/>
          <w:rtl/>
        </w:rPr>
      </w:pPr>
      <w:r w:rsidRPr="00C064B2">
        <w:rPr>
          <w:rStyle w:val="af1"/>
          <w:rFonts w:ascii="Traditional Arabic" w:hAnsi="Traditional Arabic"/>
          <w:sz w:val="32"/>
          <w:szCs w:val="32"/>
          <w:vertAlign w:val="baseline"/>
        </w:rPr>
        <w:footnoteRef/>
      </w:r>
      <w:r w:rsidRPr="00C064B2">
        <w:rPr>
          <w:rStyle w:val="af1"/>
          <w:rFonts w:ascii="Traditional Arabic" w:hAnsi="Traditional Arabic"/>
          <w:sz w:val="32"/>
          <w:szCs w:val="32"/>
          <w:vertAlign w:val="baseline"/>
        </w:rPr>
        <w:t>)</w:t>
      </w:r>
      <w:r w:rsidRPr="00C064B2">
        <w:rPr>
          <w:rStyle w:val="af1"/>
          <w:rFonts w:ascii="Traditional Arabic" w:hAnsi="Traditional Arabic"/>
          <w:sz w:val="32"/>
          <w:szCs w:val="32"/>
          <w:vertAlign w:val="baseline"/>
          <w:rtl/>
        </w:rPr>
        <w:t>)</w:t>
      </w:r>
      <w:r w:rsidRPr="00C064B2">
        <w:rPr>
          <w:rFonts w:ascii="Traditional Arabic" w:hAnsi="Traditional Arabic"/>
          <w:sz w:val="32"/>
          <w:szCs w:val="32"/>
          <w:rtl/>
        </w:rPr>
        <w:t xml:space="preserve"> انظر الشرح الممتع (8/335).هذا الذي رجَّحه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C064B2">
        <w:rPr>
          <w:rFonts w:ascii="Traditional Arabic" w:hAnsi="Traditional Arabic"/>
          <w:sz w:val="32"/>
          <w:szCs w:val="32"/>
          <w:rtl/>
        </w:rPr>
        <w:t xml:space="preserve"> فيما إذا عُلم أن البائع قصد التغرير بالمشتري.</w:t>
      </w:r>
    </w:p>
  </w:footnote>
  <w:footnote w:id="1294">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انظر الإنصاف للمرداوي (11/446).</w:t>
      </w:r>
    </w:p>
  </w:footnote>
  <w:footnote w:id="1295">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انظر الشرح الممتع (8/336).</w:t>
      </w:r>
    </w:p>
  </w:footnote>
  <w:footnote w:id="1296">
    <w:p w:rsidR="000D3D21" w:rsidRPr="00692574" w:rsidRDefault="000D3D21" w:rsidP="00251F4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064B2">
        <w:rPr>
          <w:rFonts w:ascii="Traditional Arabic" w:hAnsi="Traditional Arabic"/>
          <w:sz w:val="32"/>
          <w:szCs w:val="32"/>
          <w:rtl/>
        </w:rPr>
        <w:t>انظر المرجع السابق.</w:t>
      </w:r>
    </w:p>
  </w:footnote>
  <w:footnote w:id="1297">
    <w:p w:rsidR="000D3D21" w:rsidRPr="00C064B2" w:rsidRDefault="000D3D21" w:rsidP="00251F4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مرجع السابق</w:t>
      </w:r>
      <w:r w:rsidRPr="00C064B2">
        <w:rPr>
          <w:rFonts w:ascii="Traditional Arabic" w:hAnsi="Traditional Arabic"/>
          <w:sz w:val="32"/>
          <w:szCs w:val="32"/>
          <w:rtl/>
        </w:rPr>
        <w:t xml:space="preserve"> (9/84-85).</w:t>
      </w:r>
    </w:p>
  </w:footnote>
  <w:footnote w:id="1298">
    <w:p w:rsidR="000D3D21" w:rsidRPr="0076526D" w:rsidRDefault="000D3D21" w:rsidP="00251F4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المرجع السابق (10/112)</w:t>
      </w:r>
      <w:r>
        <w:rPr>
          <w:rFonts w:ascii="Traditional Arabic" w:hAnsi="Traditional Arabic" w:hint="cs"/>
          <w:sz w:val="32"/>
          <w:szCs w:val="32"/>
          <w:rtl/>
        </w:rPr>
        <w:t>.</w:t>
      </w:r>
    </w:p>
  </w:footnote>
  <w:footnote w:id="1299">
    <w:p w:rsidR="000D3D21" w:rsidRPr="004A4C7D"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A4C7D">
        <w:rPr>
          <w:rFonts w:ascii="Traditional Arabic" w:hAnsi="Traditional Arabic"/>
          <w:sz w:val="32"/>
          <w:szCs w:val="32"/>
          <w:rtl/>
        </w:rPr>
        <w:t>الشرح الممتع (10/174).</w:t>
      </w:r>
    </w:p>
  </w:footnote>
  <w:footnote w:id="1300">
    <w:p w:rsidR="000D3D21" w:rsidRPr="004A4C7D"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A4C7D">
        <w:rPr>
          <w:rFonts w:ascii="Traditional Arabic" w:hAnsi="Traditional Arabic"/>
          <w:sz w:val="32"/>
          <w:szCs w:val="32"/>
          <w:rtl/>
        </w:rPr>
        <w:t>الأشباه والنظائر (1/322).</w:t>
      </w:r>
    </w:p>
  </w:footnote>
  <w:footnote w:id="1301">
    <w:p w:rsidR="000D3D21" w:rsidRPr="004A4C7D"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A4C7D">
        <w:rPr>
          <w:rFonts w:ascii="Traditional Arabic" w:hAnsi="Traditional Arabic"/>
          <w:sz w:val="32"/>
          <w:szCs w:val="32"/>
          <w:rtl/>
        </w:rPr>
        <w:t>تقرير القواعد وتحرير الفوائد (2/334).</w:t>
      </w:r>
    </w:p>
  </w:footnote>
  <w:footnote w:id="1302">
    <w:p w:rsidR="000D3D21" w:rsidRPr="00AC3533" w:rsidRDefault="000D3D21" w:rsidP="00BD118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المرجع السابق</w:t>
      </w:r>
      <w:r>
        <w:rPr>
          <w:rFonts w:ascii="Traditional Arabic" w:hAnsi="Traditional Arabic" w:hint="cs"/>
          <w:sz w:val="32"/>
          <w:szCs w:val="32"/>
          <w:rtl/>
        </w:rPr>
        <w:t>.</w:t>
      </w:r>
    </w:p>
  </w:footnote>
  <w:footnote w:id="1303">
    <w:p w:rsidR="000D3D21" w:rsidRPr="00467BCE"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67BCE">
        <w:rPr>
          <w:rFonts w:ascii="Traditional Arabic" w:hAnsi="Traditional Arabic"/>
          <w:sz w:val="32"/>
          <w:szCs w:val="32"/>
          <w:rtl/>
        </w:rPr>
        <w:t xml:space="preserve">انظر: الصحاح للجوهري (1/194)، والمصباح المنير </w:t>
      </w:r>
      <w:r>
        <w:rPr>
          <w:rFonts w:ascii="Traditional Arabic" w:hAnsi="Traditional Arabic" w:hint="cs"/>
          <w:sz w:val="32"/>
          <w:szCs w:val="32"/>
          <w:rtl/>
        </w:rPr>
        <w:t>(364)</w:t>
      </w:r>
      <w:r w:rsidRPr="00467BCE">
        <w:rPr>
          <w:rFonts w:ascii="Traditional Arabic" w:hAnsi="Traditional Arabic"/>
          <w:sz w:val="32"/>
          <w:szCs w:val="32"/>
          <w:rtl/>
        </w:rPr>
        <w:t>، والمطلع على أبواب المقنع (330).</w:t>
      </w:r>
    </w:p>
  </w:footnote>
  <w:footnote w:id="1304">
    <w:p w:rsidR="000D3D21" w:rsidRPr="00467BCE"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67BCE">
        <w:rPr>
          <w:rFonts w:ascii="Traditional Arabic" w:hAnsi="Traditional Arabic"/>
          <w:sz w:val="32"/>
          <w:szCs w:val="32"/>
          <w:rtl/>
        </w:rPr>
        <w:t>المغني لابن قدامة (7/360)بتصرف، وانظر التعليق على القواعد والأصول الجامعة (379).</w:t>
      </w:r>
    </w:p>
  </w:footnote>
  <w:footnote w:id="1305">
    <w:p w:rsidR="000D3D21" w:rsidRPr="00467BCE"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انظر: </w:t>
      </w:r>
      <w:r w:rsidRPr="00467BCE">
        <w:rPr>
          <w:rFonts w:ascii="Traditional Arabic" w:hAnsi="Traditional Arabic"/>
          <w:sz w:val="32"/>
          <w:szCs w:val="32"/>
          <w:rtl/>
        </w:rPr>
        <w:t>الشرح الممتع (10/174)</w:t>
      </w:r>
      <w:r>
        <w:rPr>
          <w:rFonts w:ascii="Traditional Arabic" w:hAnsi="Traditional Arabic" w:hint="cs"/>
          <w:sz w:val="32"/>
          <w:szCs w:val="32"/>
          <w:rtl/>
        </w:rPr>
        <w:t>، والقواعد والضوابط الفقهية في الضمان المالي لحمد بن محمد الهاجري (1/243)</w:t>
      </w:r>
      <w:r w:rsidRPr="00467BCE">
        <w:rPr>
          <w:rFonts w:ascii="Traditional Arabic" w:hAnsi="Traditional Arabic"/>
          <w:sz w:val="32"/>
          <w:szCs w:val="32"/>
          <w:rtl/>
        </w:rPr>
        <w:t>.</w:t>
      </w:r>
    </w:p>
  </w:footnote>
  <w:footnote w:id="1306">
    <w:p w:rsidR="000D3D21" w:rsidRPr="006D6E71" w:rsidRDefault="000D3D21" w:rsidP="006D6E71">
      <w:pPr>
        <w:pStyle w:val="a7"/>
        <w:pageBreakBefore/>
        <w:rPr>
          <w:rFonts w:ascii="Tahoma" w:hAnsi="Tahoma"/>
        </w:rPr>
      </w:pPr>
      <w:r w:rsidRPr="006D6E71">
        <w:rPr>
          <w:rFonts w:ascii="Tahoma" w:hAnsi="Tahoma"/>
          <w:rtl/>
        </w:rPr>
        <w:t>(</w:t>
      </w:r>
      <w:r w:rsidRPr="006D6E71">
        <w:rPr>
          <w:rStyle w:val="af1"/>
          <w:rFonts w:ascii="Tahoma" w:hAnsi="Tahoma"/>
          <w:vertAlign w:val="baseline"/>
        </w:rPr>
        <w:footnoteRef/>
      </w:r>
      <w:r w:rsidRPr="006D6E71">
        <w:rPr>
          <w:rFonts w:ascii="Tahoma" w:hAnsi="Tahoma"/>
          <w:rtl/>
        </w:rPr>
        <w:t>)</w:t>
      </w:r>
      <w:r>
        <w:rPr>
          <w:rFonts w:ascii="Traditional Arabic" w:hAnsi="Traditional Arabic" w:hint="cs"/>
          <w:noProof w:val="0"/>
          <w:sz w:val="32"/>
          <w:szCs w:val="32"/>
          <w:rtl/>
          <w:lang w:eastAsia="en-US"/>
        </w:rPr>
        <w:t xml:space="preserve"> </w:t>
      </w:r>
      <w:r w:rsidRPr="00B21C22">
        <w:rPr>
          <w:rFonts w:ascii="Traditional Arabic" w:hAnsi="Traditional Arabic"/>
          <w:noProof w:val="0"/>
          <w:sz w:val="32"/>
          <w:szCs w:val="32"/>
          <w:rtl/>
          <w:lang w:eastAsia="en-US"/>
        </w:rPr>
        <w:t>أخرجه  أحمد في المسند، رقم الحديث (20086)، وأبو داود في كتاب البيوع والإجارات</w:t>
      </w:r>
      <w:r>
        <w:rPr>
          <w:rFonts w:ascii="Traditional Arabic" w:hAnsi="Traditional Arabic"/>
          <w:noProof w:val="0"/>
          <w:sz w:val="32"/>
          <w:szCs w:val="32"/>
          <w:rtl/>
          <w:lang w:eastAsia="en-US"/>
        </w:rPr>
        <w:t>،</w:t>
      </w:r>
      <w:r w:rsidRPr="00B21C22">
        <w:rPr>
          <w:rFonts w:ascii="Traditional Arabic" w:hAnsi="Traditional Arabic"/>
          <w:noProof w:val="0"/>
          <w:sz w:val="32"/>
          <w:szCs w:val="32"/>
          <w:rtl/>
          <w:lang w:eastAsia="en-US"/>
        </w:rPr>
        <w:t xml:space="preserve"> باب في تضمين العارية، رقم الحديث (3561)، والترمذي في كتاب البيوع، باب ما جاء أن العارية مؤداة، رقم الحديث (1266)، وابن ماجه في كتاب الصدقات، باب العارية، رقم الحديث (2400)، والحاكم في كتاب البيوع، رقم الحديث (2375)، والبيهقي في السنن الكبرى في كتاب العارية، باب العارية مضمونة رقم الحديث </w:t>
      </w:r>
      <w:r>
        <w:rPr>
          <w:rFonts w:ascii="Traditional Arabic" w:hAnsi="Traditional Arabic" w:hint="cs"/>
          <w:noProof w:val="0"/>
          <w:sz w:val="32"/>
          <w:szCs w:val="32"/>
          <w:rtl/>
          <w:lang w:eastAsia="en-US"/>
        </w:rPr>
        <w:t>(11677)</w:t>
      </w:r>
      <w:r w:rsidRPr="00B21C22">
        <w:rPr>
          <w:rFonts w:ascii="Traditional Arabic" w:hAnsi="Traditional Arabic"/>
          <w:noProof w:val="0"/>
          <w:sz w:val="32"/>
          <w:szCs w:val="32"/>
          <w:rtl/>
          <w:lang w:eastAsia="en-US"/>
        </w:rPr>
        <w:t>.</w:t>
      </w:r>
      <w:r>
        <w:rPr>
          <w:rFonts w:ascii="Traditional Arabic" w:hAnsi="Traditional Arabic" w:hint="cs"/>
          <w:noProof w:val="0"/>
          <w:sz w:val="32"/>
          <w:szCs w:val="32"/>
          <w:rtl/>
          <w:lang w:eastAsia="en-US"/>
        </w:rPr>
        <w:t xml:space="preserve"> </w:t>
      </w:r>
      <w:r w:rsidRPr="00B21C22">
        <w:rPr>
          <w:rFonts w:ascii="Traditional Arabic" w:hAnsi="Traditional Arabic"/>
          <w:sz w:val="32"/>
          <w:szCs w:val="32"/>
          <w:rtl/>
        </w:rPr>
        <w:t>والحديث ضعفه الألباني في إرواء الغليل (5/348).</w:t>
      </w:r>
    </w:p>
  </w:footnote>
  <w:footnote w:id="1307">
    <w:p w:rsidR="000D3D21" w:rsidRPr="006D6E71" w:rsidRDefault="000D3D21" w:rsidP="006D6E71">
      <w:pPr>
        <w:pStyle w:val="a7"/>
        <w:pageBreakBefore/>
        <w:rPr>
          <w:rFonts w:ascii="Traditional Arabic" w:hAnsi="Traditional Arabic"/>
          <w:sz w:val="32"/>
          <w:szCs w:val="32"/>
        </w:rPr>
      </w:pPr>
      <w:r w:rsidRPr="006D6E71">
        <w:rPr>
          <w:rFonts w:ascii="Traditional Arabic" w:hAnsi="Traditional Arabic"/>
          <w:sz w:val="32"/>
          <w:szCs w:val="32"/>
          <w:rtl/>
        </w:rPr>
        <w:t>(</w:t>
      </w:r>
      <w:r w:rsidRPr="006D6E71">
        <w:rPr>
          <w:rStyle w:val="af1"/>
          <w:rFonts w:ascii="Traditional Arabic" w:hAnsi="Traditional Arabic"/>
          <w:sz w:val="32"/>
          <w:szCs w:val="32"/>
          <w:vertAlign w:val="baseline"/>
        </w:rPr>
        <w:footnoteRef/>
      </w:r>
      <w:r w:rsidRPr="006D6E71">
        <w:rPr>
          <w:rFonts w:ascii="Traditional Arabic" w:hAnsi="Traditional Arabic"/>
          <w:sz w:val="32"/>
          <w:szCs w:val="32"/>
          <w:rtl/>
        </w:rPr>
        <w:t>)  انظر القواعد والضوابط الفقهية في الضمان المالي (1/247-248).</w:t>
      </w:r>
    </w:p>
  </w:footnote>
  <w:footnote w:id="1308">
    <w:p w:rsidR="000D3D21" w:rsidRPr="00F721EA"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721EA">
        <w:rPr>
          <w:rFonts w:ascii="Traditional Arabic" w:hAnsi="Traditional Arabic"/>
          <w:sz w:val="32"/>
          <w:szCs w:val="32"/>
          <w:rtl/>
        </w:rPr>
        <w:t xml:space="preserve">تيسير الكريم الرحمن لابن سعدي </w:t>
      </w:r>
      <w:r>
        <w:rPr>
          <w:rFonts w:ascii="Traditional Arabic" w:hAnsi="Traditional Arabic" w:hint="cs"/>
          <w:sz w:val="32"/>
          <w:szCs w:val="32"/>
          <w:rtl/>
        </w:rPr>
        <w:t>(761)</w:t>
      </w:r>
      <w:r w:rsidRPr="00F721EA">
        <w:rPr>
          <w:rFonts w:ascii="Traditional Arabic" w:hAnsi="Traditional Arabic"/>
          <w:sz w:val="32"/>
          <w:szCs w:val="32"/>
          <w:rtl/>
        </w:rPr>
        <w:t>.</w:t>
      </w:r>
    </w:p>
  </w:footnote>
  <w:footnote w:id="1309">
    <w:p w:rsidR="000D3D21" w:rsidRPr="00667DB4"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7DB4">
        <w:rPr>
          <w:rFonts w:ascii="Traditional Arabic" w:hAnsi="Traditional Arabic"/>
          <w:sz w:val="32"/>
          <w:szCs w:val="32"/>
          <w:rtl/>
        </w:rPr>
        <w:t>شرح منظومة أصول الفقه وقواعده (261)</w:t>
      </w:r>
      <w:r>
        <w:rPr>
          <w:rFonts w:ascii="Traditional Arabic" w:hAnsi="Traditional Arabic" w:hint="cs"/>
          <w:sz w:val="32"/>
          <w:szCs w:val="32"/>
          <w:rtl/>
        </w:rPr>
        <w:t xml:space="preserve"> </w:t>
      </w:r>
      <w:r w:rsidRPr="00667DB4">
        <w:rPr>
          <w:rFonts w:ascii="Traditional Arabic" w:hAnsi="Traditional Arabic"/>
          <w:sz w:val="32"/>
          <w:szCs w:val="32"/>
          <w:rtl/>
        </w:rPr>
        <w:t>بتصرف.</w:t>
      </w:r>
    </w:p>
  </w:footnote>
  <w:footnote w:id="1310">
    <w:p w:rsidR="000D3D21" w:rsidRPr="00667DB4"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7DB4">
        <w:rPr>
          <w:rFonts w:ascii="Traditional Arabic" w:hAnsi="Traditional Arabic"/>
          <w:sz w:val="32"/>
          <w:szCs w:val="32"/>
          <w:rtl/>
        </w:rPr>
        <w:t>تقدم تخريجه.</w:t>
      </w:r>
    </w:p>
  </w:footnote>
  <w:footnote w:id="1311">
    <w:p w:rsidR="000D3D21" w:rsidRPr="00667DB4"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7DB4">
        <w:rPr>
          <w:rFonts w:ascii="Traditional Arabic" w:hAnsi="Traditional Arabic"/>
          <w:sz w:val="32"/>
          <w:szCs w:val="32"/>
          <w:rtl/>
        </w:rPr>
        <w:t>التعليق على القواعد والأصول الجامعة (379).</w:t>
      </w:r>
    </w:p>
  </w:footnote>
  <w:footnote w:id="1312">
    <w:p w:rsidR="000D3D21" w:rsidRPr="009B753E" w:rsidRDefault="000D3D21" w:rsidP="00BD118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7DB4">
        <w:rPr>
          <w:rFonts w:ascii="Traditional Arabic" w:hAnsi="Traditional Arabic"/>
          <w:sz w:val="32"/>
          <w:szCs w:val="32"/>
          <w:rtl/>
        </w:rPr>
        <w:t>انظر شرح منظومة أصول الفقه وقواعده (261).</w:t>
      </w:r>
    </w:p>
  </w:footnote>
  <w:footnote w:id="1313">
    <w:p w:rsidR="000D3D21" w:rsidRPr="00F721EA"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721EA">
        <w:rPr>
          <w:rFonts w:ascii="Traditional Arabic" w:hAnsi="Traditional Arabic"/>
          <w:sz w:val="32"/>
          <w:szCs w:val="32"/>
          <w:rtl/>
        </w:rPr>
        <w:t>الشرح الممتع (10/174).</w:t>
      </w:r>
    </w:p>
  </w:footnote>
  <w:footnote w:id="1314">
    <w:p w:rsidR="000D3D21" w:rsidRPr="00F721EA"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انظر تقرير القواعد </w:t>
      </w:r>
      <w:r>
        <w:rPr>
          <w:rFonts w:ascii="Traditional Arabic" w:hAnsi="Traditional Arabic" w:hint="cs"/>
          <w:sz w:val="32"/>
          <w:szCs w:val="32"/>
          <w:rtl/>
        </w:rPr>
        <w:t>لابن رجب</w:t>
      </w:r>
      <w:r w:rsidRPr="00F721EA">
        <w:rPr>
          <w:rFonts w:ascii="Traditional Arabic" w:hAnsi="Traditional Arabic"/>
          <w:sz w:val="32"/>
          <w:szCs w:val="32"/>
          <w:rtl/>
        </w:rPr>
        <w:t xml:space="preserve"> (2/335).</w:t>
      </w:r>
    </w:p>
  </w:footnote>
  <w:footnote w:id="1315">
    <w:p w:rsidR="000D3D21" w:rsidRPr="00FA5E1C" w:rsidRDefault="000D3D21" w:rsidP="00BD118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721EA">
        <w:rPr>
          <w:rFonts w:ascii="Traditional Arabic" w:hAnsi="Traditional Arabic"/>
          <w:sz w:val="32"/>
          <w:szCs w:val="32"/>
          <w:rtl/>
        </w:rPr>
        <w:t>الشرح الممتع (10/174</w:t>
      </w:r>
      <w:r>
        <w:rPr>
          <w:rFonts w:ascii="Traditional Arabic" w:hAnsi="Traditional Arabic"/>
          <w:sz w:val="32"/>
          <w:szCs w:val="32"/>
          <w:rtl/>
        </w:rPr>
        <w:t>)</w:t>
      </w:r>
      <w:r>
        <w:rPr>
          <w:rFonts w:ascii="Traditional Arabic" w:hAnsi="Traditional Arabic" w:hint="cs"/>
          <w:sz w:val="32"/>
          <w:szCs w:val="32"/>
          <w:rtl/>
        </w:rPr>
        <w:t>.</w:t>
      </w:r>
    </w:p>
  </w:footnote>
  <w:footnote w:id="1316">
    <w:p w:rsidR="000D3D21" w:rsidRPr="007D6390"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D6390">
        <w:rPr>
          <w:rFonts w:ascii="Traditional Arabic" w:hAnsi="Traditional Arabic"/>
          <w:sz w:val="32"/>
          <w:szCs w:val="32"/>
          <w:rtl/>
        </w:rPr>
        <w:t>اخترت هذه الصيغة؛ لكونها أقرب إلى الصياغات الواردة عند علماء القواعد، والله أعلم.</w:t>
      </w:r>
    </w:p>
  </w:footnote>
  <w:footnote w:id="1317">
    <w:p w:rsidR="000D3D21" w:rsidRPr="007D6390"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7D6390">
        <w:rPr>
          <w:rFonts w:ascii="Traditional Arabic" w:hAnsi="Traditional Arabic"/>
          <w:sz w:val="32"/>
          <w:szCs w:val="32"/>
          <w:rtl/>
        </w:rPr>
        <w:t xml:space="preserve"> الشرح الممتع (10/173)، و(14/12، 107)، وانظر التعليق على القواعد والأصول الجامعة (378)، وشرح منظومة أصول الفقه وقواعده (250). </w:t>
      </w:r>
    </w:p>
  </w:footnote>
  <w:footnote w:id="1318">
    <w:p w:rsidR="000D3D21" w:rsidRPr="007D6390"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D6390">
        <w:rPr>
          <w:rFonts w:ascii="Traditional Arabic" w:hAnsi="Traditional Arabic"/>
          <w:sz w:val="32"/>
          <w:szCs w:val="32"/>
          <w:rtl/>
        </w:rPr>
        <w:t>الشرح الممتع (10/199).</w:t>
      </w:r>
    </w:p>
  </w:footnote>
  <w:footnote w:id="1319">
    <w:p w:rsidR="000D3D21" w:rsidRPr="00D76A58"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76A58">
        <w:rPr>
          <w:rFonts w:ascii="Traditional Arabic" w:hAnsi="Traditional Arabic"/>
          <w:sz w:val="32"/>
          <w:szCs w:val="32"/>
          <w:rtl/>
        </w:rPr>
        <w:t>تفسير سورة البقرة (1/132).</w:t>
      </w:r>
    </w:p>
  </w:footnote>
  <w:footnote w:id="1320">
    <w:p w:rsidR="000D3D21" w:rsidRPr="0049529A"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9529A">
        <w:rPr>
          <w:rFonts w:ascii="Traditional Arabic" w:hAnsi="Traditional Arabic"/>
          <w:sz w:val="32"/>
          <w:szCs w:val="32"/>
          <w:rtl/>
        </w:rPr>
        <w:t>الذخيرة للقرافي (3/317).</w:t>
      </w:r>
    </w:p>
  </w:footnote>
  <w:footnote w:id="1321">
    <w:p w:rsidR="000D3D21" w:rsidRPr="007D6390"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تقرير القواعد </w:t>
      </w:r>
      <w:r>
        <w:rPr>
          <w:rFonts w:ascii="Traditional Arabic" w:hAnsi="Traditional Arabic" w:hint="cs"/>
          <w:sz w:val="32"/>
          <w:szCs w:val="32"/>
          <w:rtl/>
        </w:rPr>
        <w:t>لابن رجب</w:t>
      </w:r>
      <w:r w:rsidRPr="007D6390">
        <w:rPr>
          <w:rFonts w:ascii="Traditional Arabic" w:hAnsi="Traditional Arabic"/>
          <w:sz w:val="32"/>
          <w:szCs w:val="32"/>
          <w:rtl/>
        </w:rPr>
        <w:t xml:space="preserve"> (</w:t>
      </w:r>
      <w:r>
        <w:rPr>
          <w:rFonts w:ascii="Traditional Arabic" w:hAnsi="Traditional Arabic" w:hint="cs"/>
          <w:sz w:val="32"/>
          <w:szCs w:val="32"/>
          <w:rtl/>
        </w:rPr>
        <w:t>2/</w:t>
      </w:r>
      <w:r w:rsidRPr="007D6390">
        <w:rPr>
          <w:rFonts w:ascii="Traditional Arabic" w:hAnsi="Traditional Arabic"/>
          <w:sz w:val="32"/>
          <w:szCs w:val="32"/>
          <w:rtl/>
        </w:rPr>
        <w:t>597).</w:t>
      </w:r>
    </w:p>
  </w:footnote>
  <w:footnote w:id="1322">
    <w:p w:rsidR="000D3D21" w:rsidRPr="007D6390" w:rsidRDefault="000D3D21" w:rsidP="005C704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Pr>
          <w:rFonts w:ascii="Traditional Arabic" w:hAnsi="Traditional Arabic"/>
          <w:b/>
          <w:bCs/>
          <w:sz w:val="32"/>
          <w:szCs w:val="32"/>
          <w:rtl/>
        </w:rPr>
        <w:t>الغرور</w:t>
      </w:r>
      <w:r w:rsidR="00AB0B9E">
        <w:rPr>
          <w:rFonts w:ascii="Traditional Arabic" w:hAnsi="Traditional Arabic"/>
          <w:b/>
          <w:bCs/>
          <w:sz w:val="32"/>
          <w:szCs w:val="32"/>
          <w:rtl/>
        </w:rPr>
        <w:fldChar w:fldCharType="begin"/>
      </w:r>
      <w:r>
        <w:instrText xml:space="preserve"> XE "</w:instrText>
      </w:r>
      <w:r w:rsidRPr="005C704E">
        <w:rPr>
          <w:rFonts w:ascii="Traditional Arabic" w:hAnsi="Traditional Arabic"/>
          <w:sz w:val="32"/>
          <w:szCs w:val="32"/>
          <w:rtl/>
        </w:rPr>
        <w:instrText>الغرور</w:instrText>
      </w:r>
      <w:r>
        <w:instrText xml:space="preserve">" </w:instrText>
      </w:r>
      <w:r w:rsidRPr="005C704E">
        <w:instrText>\fm</w:instrText>
      </w:r>
      <w:r w:rsidR="00AB0B9E">
        <w:rPr>
          <w:rFonts w:ascii="Traditional Arabic" w:hAnsi="Traditional Arabic"/>
          <w:b/>
          <w:bCs/>
          <w:sz w:val="32"/>
          <w:szCs w:val="32"/>
          <w:rtl/>
        </w:rPr>
        <w:fldChar w:fldCharType="end"/>
      </w:r>
      <w:r>
        <w:rPr>
          <w:rFonts w:ascii="Traditional Arabic" w:hAnsi="Traditional Arabic"/>
          <w:b/>
          <w:bCs/>
          <w:sz w:val="32"/>
          <w:szCs w:val="32"/>
          <w:rtl/>
        </w:rPr>
        <w:t>:</w:t>
      </w:r>
      <w:r>
        <w:rPr>
          <w:rFonts w:ascii="Traditional Arabic" w:hAnsi="Traditional Arabic"/>
          <w:noProof w:val="0"/>
          <w:sz w:val="32"/>
          <w:szCs w:val="32"/>
          <w:rtl/>
          <w:lang w:eastAsia="en-US"/>
        </w:rPr>
        <w:t>إبداء ما ظاهر</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ه السلامة، ثم تخل</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ف</w:t>
      </w:r>
      <w:r>
        <w:rPr>
          <w:rFonts w:ascii="Traditional Arabic" w:hAnsi="Traditional Arabic" w:hint="cs"/>
          <w:noProof w:val="0"/>
          <w:sz w:val="32"/>
          <w:szCs w:val="32"/>
          <w:rtl/>
          <w:lang w:eastAsia="en-US"/>
        </w:rPr>
        <w:t>.</w:t>
      </w:r>
      <w:r>
        <w:rPr>
          <w:rFonts w:ascii="Traditional Arabic" w:hAnsi="Traditional Arabic"/>
          <w:sz w:val="32"/>
          <w:szCs w:val="32"/>
          <w:rtl/>
        </w:rPr>
        <w:t>ا</w:t>
      </w:r>
      <w:r>
        <w:rPr>
          <w:rFonts w:ascii="Traditional Arabic" w:hAnsi="Traditional Arabic" w:hint="cs"/>
          <w:sz w:val="32"/>
          <w:szCs w:val="32"/>
          <w:rtl/>
        </w:rPr>
        <w:t>لقواعد الفقهية وتطبيقاتها في المذاهب الأربعة (480)</w:t>
      </w:r>
      <w:r w:rsidRPr="007D6390">
        <w:rPr>
          <w:rFonts w:ascii="Traditional Arabic" w:hAnsi="Traditional Arabic"/>
          <w:sz w:val="32"/>
          <w:szCs w:val="32"/>
          <w:rtl/>
        </w:rPr>
        <w:t>.</w:t>
      </w:r>
    </w:p>
  </w:footnote>
  <w:footnote w:id="1323">
    <w:p w:rsidR="000D3D21" w:rsidRPr="007D6390"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المنثور </w:t>
      </w:r>
      <w:r>
        <w:rPr>
          <w:rFonts w:ascii="Traditional Arabic" w:hAnsi="Traditional Arabic" w:hint="cs"/>
          <w:sz w:val="32"/>
          <w:szCs w:val="32"/>
          <w:rtl/>
        </w:rPr>
        <w:t>للزركشي</w:t>
      </w:r>
      <w:r w:rsidRPr="007D6390">
        <w:rPr>
          <w:rFonts w:ascii="Traditional Arabic" w:hAnsi="Traditional Arabic"/>
          <w:sz w:val="32"/>
          <w:szCs w:val="32"/>
          <w:rtl/>
        </w:rPr>
        <w:t xml:space="preserve"> (1/133)</w:t>
      </w:r>
      <w:r>
        <w:rPr>
          <w:rFonts w:ascii="Traditional Arabic" w:hAnsi="Traditional Arabic" w:hint="cs"/>
          <w:sz w:val="32"/>
          <w:szCs w:val="32"/>
          <w:rtl/>
        </w:rPr>
        <w:t>، وانظر الأشباه والنظائر للسيوطي (162)</w:t>
      </w:r>
      <w:r w:rsidRPr="007D6390">
        <w:rPr>
          <w:rFonts w:ascii="Traditional Arabic" w:hAnsi="Traditional Arabic"/>
          <w:sz w:val="32"/>
          <w:szCs w:val="32"/>
          <w:rtl/>
        </w:rPr>
        <w:t>.</w:t>
      </w:r>
    </w:p>
  </w:footnote>
  <w:footnote w:id="1324">
    <w:p w:rsidR="000D3D21" w:rsidRPr="007D6390"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D6390">
        <w:rPr>
          <w:rFonts w:ascii="Traditional Arabic" w:hAnsi="Traditional Arabic"/>
          <w:sz w:val="32"/>
          <w:szCs w:val="32"/>
          <w:rtl/>
        </w:rPr>
        <w:t>مغني ذوي الأفهام لابن عبد الهادي (522).</w:t>
      </w:r>
    </w:p>
  </w:footnote>
  <w:footnote w:id="1325">
    <w:p w:rsidR="000D3D21" w:rsidRPr="00916DDF"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6DDF">
        <w:rPr>
          <w:rFonts w:ascii="Traditional Arabic" w:hAnsi="Traditional Arabic"/>
          <w:sz w:val="32"/>
          <w:szCs w:val="32"/>
          <w:rtl/>
        </w:rPr>
        <w:t>الأشباه والنظائر لابن نجيم (190).</w:t>
      </w:r>
    </w:p>
  </w:footnote>
  <w:footnote w:id="1326">
    <w:p w:rsidR="000D3D21" w:rsidRPr="00916DDF" w:rsidRDefault="000D3D21" w:rsidP="00BD1188">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6DDF">
        <w:rPr>
          <w:rFonts w:ascii="Traditional Arabic" w:hAnsi="Traditional Arabic"/>
          <w:sz w:val="32"/>
          <w:szCs w:val="32"/>
          <w:rtl/>
        </w:rPr>
        <w:t>إرشاد أولي البصائر والألباب لابن سعدي (108)</w:t>
      </w:r>
      <w:r>
        <w:rPr>
          <w:rFonts w:ascii="Traditional Arabic" w:hAnsi="Traditional Arabic" w:hint="cs"/>
          <w:sz w:val="32"/>
          <w:szCs w:val="32"/>
          <w:rtl/>
        </w:rPr>
        <w:t>، وانظر (138).</w:t>
      </w:r>
    </w:p>
  </w:footnote>
  <w:footnote w:id="1327">
    <w:p w:rsidR="000D3D21" w:rsidRPr="00916DDF"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6DDF">
        <w:rPr>
          <w:rFonts w:ascii="Traditional Arabic" w:hAnsi="Traditional Arabic"/>
          <w:sz w:val="32"/>
          <w:szCs w:val="32"/>
          <w:rtl/>
        </w:rPr>
        <w:t>مجلة الأحكام العدلية (المادة 90).</w:t>
      </w:r>
    </w:p>
  </w:footnote>
  <w:footnote w:id="1328">
    <w:p w:rsidR="000D3D21" w:rsidRPr="00916DDF"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6DDF">
        <w:rPr>
          <w:rFonts w:ascii="Traditional Arabic" w:hAnsi="Traditional Arabic"/>
          <w:sz w:val="32"/>
          <w:szCs w:val="32"/>
          <w:rtl/>
        </w:rPr>
        <w:t>القواعد الفقهية وتطبيقاتها في المذاهب الأربعة (480).</w:t>
      </w:r>
    </w:p>
  </w:footnote>
  <w:footnote w:id="1329">
    <w:p w:rsidR="000D3D21" w:rsidRPr="00916DDF"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6DDF">
        <w:rPr>
          <w:rFonts w:ascii="Traditional Arabic" w:hAnsi="Traditional Arabic"/>
          <w:sz w:val="32"/>
          <w:szCs w:val="32"/>
          <w:rtl/>
        </w:rPr>
        <w:t>غمز عيون البصائ</w:t>
      </w:r>
      <w:r>
        <w:rPr>
          <w:rFonts w:ascii="Traditional Arabic" w:hAnsi="Traditional Arabic"/>
          <w:sz w:val="32"/>
          <w:szCs w:val="32"/>
          <w:rtl/>
        </w:rPr>
        <w:t>ر</w:t>
      </w:r>
      <w:r w:rsidRPr="00916DDF">
        <w:rPr>
          <w:rFonts w:ascii="Traditional Arabic" w:hAnsi="Traditional Arabic"/>
          <w:sz w:val="32"/>
          <w:szCs w:val="32"/>
          <w:rtl/>
        </w:rPr>
        <w:t xml:space="preserve"> (1/466).</w:t>
      </w:r>
    </w:p>
  </w:footnote>
  <w:footnote w:id="1330">
    <w:p w:rsidR="000D3D21" w:rsidRPr="00916DDF"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6DDF">
        <w:rPr>
          <w:rFonts w:ascii="Traditional Arabic" w:hAnsi="Traditional Arabic"/>
          <w:sz w:val="32"/>
          <w:szCs w:val="32"/>
          <w:rtl/>
        </w:rPr>
        <w:t>انظر لسان العرب (</w:t>
      </w:r>
      <w:r>
        <w:rPr>
          <w:rFonts w:ascii="Traditional Arabic" w:hAnsi="Traditional Arabic" w:hint="cs"/>
          <w:sz w:val="32"/>
          <w:szCs w:val="32"/>
          <w:rtl/>
        </w:rPr>
        <w:t>1/287</w:t>
      </w:r>
      <w:r w:rsidRPr="00916DDF">
        <w:rPr>
          <w:rFonts w:ascii="Traditional Arabic" w:hAnsi="Traditional Arabic"/>
          <w:sz w:val="32"/>
          <w:szCs w:val="32"/>
          <w:rtl/>
        </w:rPr>
        <w:t>).</w:t>
      </w:r>
    </w:p>
  </w:footnote>
  <w:footnote w:id="1331">
    <w:p w:rsidR="000D3D21" w:rsidRPr="00C012BD" w:rsidRDefault="000D3D21" w:rsidP="00BD118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6DDF">
        <w:rPr>
          <w:rFonts w:ascii="Traditional Arabic" w:hAnsi="Traditional Arabic"/>
          <w:sz w:val="32"/>
          <w:szCs w:val="32"/>
          <w:rtl/>
        </w:rPr>
        <w:t>غمز عيون البصائر (1/466).</w:t>
      </w:r>
    </w:p>
  </w:footnote>
  <w:footnote w:id="1332">
    <w:p w:rsidR="000D3D21" w:rsidRPr="00427C79"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27C79">
        <w:rPr>
          <w:rFonts w:ascii="Traditional Arabic" w:hAnsi="Traditional Arabic"/>
          <w:sz w:val="32"/>
          <w:szCs w:val="32"/>
          <w:rtl/>
        </w:rPr>
        <w:t xml:space="preserve">انظر: الشرح الممتع (10/199)، و(14/12-13)، والتعليق على القواعد والأصول الجامعة (278)، والتعليق على قواعد ابن رجب (2/597)، </w:t>
      </w:r>
      <w:r>
        <w:rPr>
          <w:rFonts w:ascii="Traditional Arabic" w:hAnsi="Traditional Arabic" w:hint="cs"/>
          <w:sz w:val="32"/>
          <w:szCs w:val="32"/>
          <w:rtl/>
        </w:rPr>
        <w:t>و</w:t>
      </w:r>
      <w:r w:rsidRPr="00427C79">
        <w:rPr>
          <w:rFonts w:ascii="Traditional Arabic" w:hAnsi="Traditional Arabic"/>
          <w:sz w:val="32"/>
          <w:szCs w:val="32"/>
          <w:rtl/>
        </w:rPr>
        <w:t>شرح الأصول من علم الأصول (253).</w:t>
      </w:r>
    </w:p>
  </w:footnote>
  <w:footnote w:id="1333">
    <w:p w:rsidR="000D3D21" w:rsidRPr="00427C79"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427C79">
        <w:rPr>
          <w:rFonts w:ascii="Traditional Arabic" w:hAnsi="Traditional Arabic"/>
          <w:sz w:val="32"/>
          <w:szCs w:val="32"/>
          <w:rtl/>
        </w:rPr>
        <w:t xml:space="preserve"> انظر التعليق على قواعد ابن رجب (2/597).</w:t>
      </w:r>
    </w:p>
  </w:footnote>
  <w:footnote w:id="1334">
    <w:p w:rsidR="000D3D21" w:rsidRPr="00427C79"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27C79">
        <w:rPr>
          <w:rFonts w:ascii="Traditional Arabic" w:hAnsi="Traditional Arabic"/>
          <w:sz w:val="32"/>
          <w:szCs w:val="32"/>
          <w:rtl/>
        </w:rPr>
        <w:t>القواعد الفقهية وتطبيقاتها في المذاهب الأربعة (480).</w:t>
      </w:r>
    </w:p>
  </w:footnote>
  <w:footnote w:id="1335">
    <w:p w:rsidR="000D3D21" w:rsidRPr="00CF0029" w:rsidRDefault="000D3D21" w:rsidP="00BD118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27C79">
        <w:rPr>
          <w:rFonts w:ascii="Traditional Arabic" w:hAnsi="Traditional Arabic"/>
          <w:sz w:val="32"/>
          <w:szCs w:val="32"/>
          <w:rtl/>
        </w:rPr>
        <w:t xml:space="preserve">أما </w:t>
      </w:r>
      <w:r w:rsidRPr="00427C79">
        <w:rPr>
          <w:rFonts w:ascii="Traditional Arabic" w:hAnsi="Traditional Arabic"/>
          <w:noProof w:val="0"/>
          <w:sz w:val="32"/>
          <w:szCs w:val="32"/>
          <w:rtl/>
          <w:lang w:eastAsia="en-US"/>
        </w:rPr>
        <w:t>إن أطعمه لغير عالم بغصبه، فالضمان على الغاصب لا على الآكل؛ لأنه أكل استناداً إلى أن الذي يتصرف في المال هو المالك أصلاً.</w:t>
      </w:r>
      <w:r>
        <w:rPr>
          <w:rFonts w:ascii="Traditional Arabic" w:hAnsi="Traditional Arabic" w:hint="cs"/>
          <w:noProof w:val="0"/>
          <w:sz w:val="32"/>
          <w:szCs w:val="32"/>
          <w:rtl/>
          <w:lang w:eastAsia="en-US"/>
        </w:rPr>
        <w:t xml:space="preserve"> </w:t>
      </w:r>
      <w:r w:rsidRPr="00427C79">
        <w:rPr>
          <w:rFonts w:ascii="Traditional Arabic" w:hAnsi="Traditional Arabic"/>
          <w:noProof w:val="0"/>
          <w:sz w:val="32"/>
          <w:szCs w:val="32"/>
          <w:rtl/>
          <w:lang w:eastAsia="en-US"/>
        </w:rPr>
        <w:t>انظر الشرح الممتع (10/173).</w:t>
      </w:r>
    </w:p>
  </w:footnote>
  <w:footnote w:id="1336">
    <w:p w:rsidR="000D3D21" w:rsidRPr="007B5C94"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Pr>
          <w:rFonts w:ascii="Traditional Arabic" w:hAnsi="Traditional Arabic"/>
          <w:sz w:val="32"/>
          <w:szCs w:val="32"/>
          <w:rtl/>
        </w:rPr>
        <w:t xml:space="preserve"> </w:t>
      </w:r>
      <w:r w:rsidRPr="007B5C94">
        <w:rPr>
          <w:rFonts w:ascii="Traditional Arabic" w:hAnsi="Traditional Arabic"/>
          <w:sz w:val="32"/>
          <w:szCs w:val="32"/>
          <w:rtl/>
        </w:rPr>
        <w:t>بتصرف.</w:t>
      </w:r>
    </w:p>
  </w:footnote>
  <w:footnote w:id="1337">
    <w:p w:rsidR="000D3D21" w:rsidRPr="007B5C94"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7B5C94">
        <w:rPr>
          <w:rFonts w:ascii="Traditional Arabic" w:hAnsi="Traditional Arabic"/>
          <w:sz w:val="32"/>
          <w:szCs w:val="32"/>
          <w:rtl/>
        </w:rPr>
        <w:t xml:space="preserve"> (10/198-199).</w:t>
      </w:r>
    </w:p>
  </w:footnote>
  <w:footnote w:id="1338">
    <w:p w:rsidR="000D3D21" w:rsidRPr="007B5C94"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B5C94">
        <w:rPr>
          <w:rFonts w:ascii="Traditional Arabic" w:hAnsi="Traditional Arabic"/>
          <w:sz w:val="32"/>
          <w:szCs w:val="32"/>
          <w:rtl/>
        </w:rPr>
        <w:t>انظر المرجع السابق (10/199).</w:t>
      </w:r>
    </w:p>
  </w:footnote>
  <w:footnote w:id="1339">
    <w:p w:rsidR="000D3D21" w:rsidRPr="007B5C94" w:rsidRDefault="000D3D21" w:rsidP="00BD118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B5C94">
        <w:rPr>
          <w:rFonts w:ascii="Traditional Arabic" w:hAnsi="Traditional Arabic"/>
          <w:sz w:val="32"/>
          <w:szCs w:val="32"/>
          <w:rtl/>
        </w:rPr>
        <w:t>القواعد الفقهية وتطبيقاتها في المذاهب الأربعة (1/484)، وا</w:t>
      </w:r>
      <w:r>
        <w:rPr>
          <w:rFonts w:ascii="Traditional Arabic" w:hAnsi="Traditional Arabic"/>
          <w:sz w:val="32"/>
          <w:szCs w:val="32"/>
          <w:rtl/>
        </w:rPr>
        <w:t xml:space="preserve">نظر تقرير القواعد </w:t>
      </w:r>
      <w:r>
        <w:rPr>
          <w:rFonts w:ascii="Traditional Arabic" w:hAnsi="Traditional Arabic" w:hint="cs"/>
          <w:sz w:val="32"/>
          <w:szCs w:val="32"/>
          <w:rtl/>
        </w:rPr>
        <w:t>لابن رجب</w:t>
      </w:r>
      <w:r w:rsidRPr="007B5C94">
        <w:rPr>
          <w:rFonts w:ascii="Traditional Arabic" w:hAnsi="Traditional Arabic"/>
          <w:sz w:val="32"/>
          <w:szCs w:val="32"/>
          <w:rtl/>
        </w:rPr>
        <w:t xml:space="preserve"> (2/599-600).</w:t>
      </w:r>
    </w:p>
  </w:footnote>
  <w:footnote w:id="1340">
    <w:p w:rsidR="000D3D21" w:rsidRPr="006C618E" w:rsidRDefault="000D3D21" w:rsidP="00BD118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تقرير القواعد</w:t>
      </w:r>
      <w:r>
        <w:rPr>
          <w:rFonts w:ascii="Traditional Arabic" w:hAnsi="Traditional Arabic" w:hint="cs"/>
          <w:sz w:val="32"/>
          <w:szCs w:val="32"/>
          <w:rtl/>
        </w:rPr>
        <w:t xml:space="preserve"> لابن رجب</w:t>
      </w:r>
      <w:r w:rsidRPr="007B5C94">
        <w:rPr>
          <w:rFonts w:ascii="Traditional Arabic" w:hAnsi="Traditional Arabic"/>
          <w:sz w:val="32"/>
          <w:szCs w:val="32"/>
          <w:rtl/>
        </w:rPr>
        <w:t xml:space="preserve"> (2/607).وانظر لمزيد من المستثنيات: الأشباه والنظائر للسيوطي (162)، والقواعد الفقهية وتطبيقاتها في المذاهب الأربعة (1/482-485).</w:t>
      </w:r>
    </w:p>
  </w:footnote>
  <w:footnote w:id="1341">
    <w:p w:rsidR="000D3D21" w:rsidRPr="00231B07" w:rsidRDefault="000D3D21" w:rsidP="009A306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اخترت هذه الصيغة لموافقتها للفظ النبو</w:t>
      </w:r>
      <w:r>
        <w:rPr>
          <w:rFonts w:ascii="Traditional Arabic" w:hAnsi="Traditional Arabic"/>
          <w:sz w:val="32"/>
          <w:szCs w:val="32"/>
          <w:rtl/>
        </w:rPr>
        <w:t>ي، حيث إن القاعدة بهذه الصيغة</w:t>
      </w:r>
      <w:r w:rsidRPr="00231B07">
        <w:rPr>
          <w:rFonts w:ascii="Traditional Arabic" w:hAnsi="Traditional Arabic"/>
          <w:sz w:val="32"/>
          <w:szCs w:val="32"/>
          <w:rtl/>
        </w:rPr>
        <w:t xml:space="preserve"> نص</w:t>
      </w:r>
      <w:r>
        <w:rPr>
          <w:rFonts w:ascii="Traditional Arabic" w:hAnsi="Traditional Arabic" w:hint="cs"/>
          <w:sz w:val="32"/>
          <w:szCs w:val="32"/>
          <w:rtl/>
        </w:rPr>
        <w:t>ُّ</w:t>
      </w:r>
      <w:r w:rsidRPr="00231B07">
        <w:rPr>
          <w:rFonts w:ascii="Traditional Arabic" w:hAnsi="Traditional Arabic"/>
          <w:sz w:val="32"/>
          <w:szCs w:val="32"/>
          <w:rtl/>
        </w:rPr>
        <w:t xml:space="preserve"> حديث نبوي شريف</w:t>
      </w:r>
      <w:r w:rsidRPr="00231B07">
        <w:rPr>
          <w:rFonts w:ascii="Traditional Arabic" w:hAnsi="Traditional Arabic" w:hint="cs"/>
          <w:sz w:val="32"/>
          <w:szCs w:val="32"/>
          <w:rtl/>
        </w:rPr>
        <w:t xml:space="preserve">.يقول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231B07">
        <w:rPr>
          <w:rFonts w:ascii="Traditional Arabic" w:hAnsi="Traditional Arabic" w:hint="cs"/>
          <w:sz w:val="32"/>
          <w:szCs w:val="32"/>
          <w:rtl/>
        </w:rPr>
        <w:t xml:space="preserve"> : (</w:t>
      </w:r>
      <w:r w:rsidRPr="00231B07">
        <w:rPr>
          <w:rFonts w:ascii="Traditional Arabic" w:hAnsi="Traditional Arabic"/>
          <w:noProof w:val="0"/>
          <w:color w:val="auto"/>
          <w:sz w:val="32"/>
          <w:szCs w:val="32"/>
          <w:rtl/>
          <w:lang w:eastAsia="en-US"/>
        </w:rPr>
        <w:t xml:space="preserve">فلدينا قاعدة أسسها النبي </w:t>
      </w:r>
      <w:r>
        <w:rPr>
          <w:rFonts w:ascii="Traditional Arabic" w:hAnsi="Traditional Arabic" w:cs="CTraditional Arabic" w:hint="cs"/>
          <w:noProof w:val="0"/>
          <w:color w:val="auto"/>
          <w:rtl/>
          <w:lang w:eastAsia="en-US"/>
        </w:rPr>
        <w:t>غ</w:t>
      </w:r>
      <w:r>
        <w:rPr>
          <w:rFonts w:ascii="Traditional Arabic" w:hAnsi="Traditional Arabic" w:hint="cs"/>
          <w:noProof w:val="0"/>
          <w:color w:val="auto"/>
          <w:sz w:val="32"/>
          <w:szCs w:val="32"/>
          <w:rtl/>
          <w:lang w:eastAsia="en-US"/>
        </w:rPr>
        <w:t>،</w:t>
      </w:r>
      <w:r w:rsidRPr="00231B07">
        <w:rPr>
          <w:rFonts w:ascii="Traditional Arabic" w:hAnsi="Traditional Arabic"/>
          <w:noProof w:val="0"/>
          <w:color w:val="auto"/>
          <w:sz w:val="32"/>
          <w:szCs w:val="32"/>
          <w:rtl/>
          <w:lang w:eastAsia="en-US"/>
        </w:rPr>
        <w:t xml:space="preserve"> وهي</w:t>
      </w:r>
      <w:r w:rsidRPr="00231B07">
        <w:rPr>
          <w:rFonts w:ascii="Traditional Arabic" w:hAnsi="Traditional Arabic" w:hint="cs"/>
          <w:noProof w:val="0"/>
          <w:color w:val="auto"/>
          <w:sz w:val="32"/>
          <w:szCs w:val="32"/>
          <w:rtl/>
          <w:lang w:eastAsia="en-US"/>
        </w:rPr>
        <w:t>"</w:t>
      </w:r>
      <w:r w:rsidRPr="00231B07">
        <w:rPr>
          <w:rFonts w:ascii="Traditional Arabic" w:hAnsi="Traditional Arabic"/>
          <w:noProof w:val="0"/>
          <w:color w:val="auto"/>
          <w:sz w:val="32"/>
          <w:szCs w:val="32"/>
          <w:rtl/>
          <w:lang w:eastAsia="en-US"/>
        </w:rPr>
        <w:t>العجماء جبار</w:t>
      </w:r>
      <w:r w:rsidRPr="00231B07">
        <w:rPr>
          <w:rFonts w:ascii="Traditional Arabic" w:hAnsi="Traditional Arabic" w:hint="cs"/>
          <w:noProof w:val="0"/>
          <w:color w:val="auto"/>
          <w:sz w:val="32"/>
          <w:szCs w:val="32"/>
          <w:rtl/>
          <w:lang w:eastAsia="en-US"/>
        </w:rPr>
        <w:t>"</w:t>
      </w:r>
      <w:r>
        <w:rPr>
          <w:rFonts w:ascii="Traditional Arabic" w:hAnsi="Traditional Arabic" w:hint="cs"/>
          <w:b/>
          <w:bCs/>
          <w:noProof w:val="0"/>
          <w:color w:val="auto"/>
          <w:sz w:val="32"/>
          <w:szCs w:val="32"/>
          <w:rtl/>
          <w:lang w:eastAsia="en-US"/>
        </w:rPr>
        <w:t>).</w:t>
      </w:r>
      <w:r w:rsidRPr="00231B07">
        <w:rPr>
          <w:rFonts w:ascii="Traditional Arabic" w:hAnsi="Traditional Arabic" w:hint="cs"/>
          <w:b/>
          <w:bCs/>
          <w:noProof w:val="0"/>
          <w:color w:val="auto"/>
          <w:sz w:val="32"/>
          <w:szCs w:val="32"/>
          <w:rtl/>
          <w:lang w:eastAsia="en-US"/>
        </w:rPr>
        <w:t xml:space="preserve"> </w:t>
      </w:r>
      <w:r w:rsidRPr="00231B07">
        <w:rPr>
          <w:rFonts w:ascii="Traditional Arabic" w:hAnsi="Traditional Arabic" w:hint="cs"/>
          <w:sz w:val="32"/>
          <w:szCs w:val="32"/>
          <w:rtl/>
        </w:rPr>
        <w:t>الشرح الممتع (10/214-215).</w:t>
      </w:r>
      <w:r>
        <w:rPr>
          <w:rFonts w:ascii="Traditional Arabic" w:hAnsi="Traditional Arabic" w:hint="cs"/>
          <w:sz w:val="32"/>
          <w:szCs w:val="32"/>
          <w:rtl/>
        </w:rPr>
        <w:t>والحديث سيأتي تخريجه في مبحث أدلة القاعدة.</w:t>
      </w:r>
    </w:p>
  </w:footnote>
  <w:footnote w:id="1342">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الشرح الممتع (10/213)</w:t>
      </w:r>
      <w:r w:rsidRPr="00231B07">
        <w:rPr>
          <w:rFonts w:ascii="Traditional Arabic" w:hAnsi="Traditional Arabic" w:hint="cs"/>
          <w:sz w:val="32"/>
          <w:szCs w:val="32"/>
          <w:rtl/>
        </w:rPr>
        <w:t>، وانظر فتح ذي الجلال والإكرام (3/314)</w:t>
      </w:r>
      <w:r w:rsidRPr="00231B07">
        <w:rPr>
          <w:rFonts w:ascii="Traditional Arabic" w:hAnsi="Traditional Arabic"/>
          <w:sz w:val="32"/>
          <w:szCs w:val="32"/>
          <w:rtl/>
        </w:rPr>
        <w:t>.</w:t>
      </w:r>
    </w:p>
  </w:footnote>
  <w:footnote w:id="1343">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المرجع السابق (10/215).</w:t>
      </w:r>
    </w:p>
  </w:footnote>
  <w:footnote w:id="1344">
    <w:p w:rsidR="000D3D21" w:rsidRPr="00B03815"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03815">
        <w:rPr>
          <w:rFonts w:ascii="Traditional Arabic" w:hAnsi="Traditional Arabic"/>
          <w:sz w:val="32"/>
          <w:szCs w:val="32"/>
          <w:rtl/>
        </w:rPr>
        <w:t>إرشاد ذوي البصائر والألباب لابن سعدي (138)</w:t>
      </w:r>
      <w:r>
        <w:rPr>
          <w:rFonts w:ascii="Traditional Arabic" w:hAnsi="Traditional Arabic" w:hint="cs"/>
          <w:sz w:val="32"/>
          <w:szCs w:val="32"/>
          <w:rtl/>
        </w:rPr>
        <w:t xml:space="preserve"> بتصرف</w:t>
      </w:r>
      <w:r w:rsidRPr="00B03815">
        <w:rPr>
          <w:rFonts w:ascii="Traditional Arabic" w:hAnsi="Traditional Arabic"/>
          <w:sz w:val="32"/>
          <w:szCs w:val="32"/>
          <w:rtl/>
        </w:rPr>
        <w:t>.</w:t>
      </w:r>
    </w:p>
  </w:footnote>
  <w:footnote w:id="1345">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مجلة الأحكام العدلية (المادة </w:t>
      </w:r>
      <w:r>
        <w:rPr>
          <w:rFonts w:ascii="Traditional Arabic" w:hAnsi="Traditional Arabic" w:hint="cs"/>
          <w:sz w:val="32"/>
          <w:szCs w:val="32"/>
          <w:rtl/>
        </w:rPr>
        <w:t>94</w:t>
      </w:r>
      <w:r w:rsidRPr="00231B07">
        <w:rPr>
          <w:rFonts w:ascii="Traditional Arabic" w:hAnsi="Traditional Arabic"/>
          <w:sz w:val="32"/>
          <w:szCs w:val="32"/>
          <w:rtl/>
        </w:rPr>
        <w:t>)،</w:t>
      </w:r>
      <w:r>
        <w:rPr>
          <w:rFonts w:ascii="Traditional Arabic" w:hAnsi="Traditional Arabic"/>
          <w:sz w:val="32"/>
          <w:szCs w:val="32"/>
          <w:rtl/>
        </w:rPr>
        <w:t xml:space="preserve"> والقواعد الفقهية وتطبيقاتها </w:t>
      </w:r>
      <w:r>
        <w:rPr>
          <w:rFonts w:ascii="Traditional Arabic" w:hAnsi="Traditional Arabic" w:hint="cs"/>
          <w:sz w:val="32"/>
          <w:szCs w:val="32"/>
          <w:rtl/>
        </w:rPr>
        <w:t>في</w:t>
      </w:r>
      <w:r w:rsidRPr="00231B07">
        <w:rPr>
          <w:rFonts w:ascii="Traditional Arabic" w:hAnsi="Traditional Arabic"/>
          <w:sz w:val="32"/>
          <w:szCs w:val="32"/>
          <w:rtl/>
        </w:rPr>
        <w:t xml:space="preserve"> المذاهب الأربعة (1/570).</w:t>
      </w:r>
    </w:p>
  </w:footnote>
  <w:footnote w:id="1346">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موسوعة القواعد</w:t>
      </w:r>
      <w:r w:rsidRPr="00231B07">
        <w:rPr>
          <w:rFonts w:ascii="Traditional Arabic" w:hAnsi="Traditional Arabic"/>
          <w:sz w:val="32"/>
          <w:szCs w:val="32"/>
          <w:rtl/>
        </w:rPr>
        <w:t xml:space="preserve"> الفقهية للبورنو (8/56).</w:t>
      </w:r>
    </w:p>
  </w:footnote>
  <w:footnote w:id="1347">
    <w:p w:rsidR="000D3D21" w:rsidRPr="00584614"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مقاييس اللغة (4/239-240).</w:t>
      </w:r>
    </w:p>
  </w:footnote>
  <w:footnote w:id="1348">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مقاييس اللغة</w:t>
      </w:r>
      <w:r w:rsidRPr="00231B07">
        <w:rPr>
          <w:rFonts w:ascii="Traditional Arabic" w:hAnsi="Traditional Arabic"/>
          <w:sz w:val="32"/>
          <w:szCs w:val="32"/>
          <w:rtl/>
        </w:rPr>
        <w:t xml:space="preserve"> (1/501).</w:t>
      </w:r>
    </w:p>
  </w:footnote>
  <w:footnote w:id="1349">
    <w:p w:rsidR="000D3D21" w:rsidRPr="00231B07" w:rsidRDefault="000D3D21" w:rsidP="00F0024F">
      <w:pPr>
        <w:pStyle w:val="a7"/>
        <w:pageBreakBefore/>
        <w:rPr>
          <w:rFonts w:ascii="Traditional Arabic" w:hAnsi="Traditional Arabic"/>
          <w:color w:val="auto"/>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231B07">
        <w:rPr>
          <w:rFonts w:ascii="Traditional Arabic" w:hAnsi="Traditional Arabic"/>
          <w:color w:val="auto"/>
          <w:sz w:val="32"/>
          <w:szCs w:val="32"/>
          <w:rtl/>
        </w:rPr>
        <w:t>انظر: الشرح الممتع (10/209، 215)، وفتح ذي الجلال والإكرام (3/314)، و</w:t>
      </w:r>
      <w:r>
        <w:rPr>
          <w:rFonts w:ascii="Traditional Arabic" w:hAnsi="Traditional Arabic" w:hint="cs"/>
          <w:color w:val="auto"/>
          <w:sz w:val="32"/>
          <w:szCs w:val="32"/>
          <w:rtl/>
        </w:rPr>
        <w:t xml:space="preserve">شرح </w:t>
      </w:r>
      <w:r w:rsidRPr="00231B07">
        <w:rPr>
          <w:rFonts w:ascii="Traditional Arabic" w:hAnsi="Traditional Arabic"/>
          <w:color w:val="auto"/>
          <w:sz w:val="32"/>
          <w:szCs w:val="32"/>
          <w:rtl/>
        </w:rPr>
        <w:t>القواع</w:t>
      </w:r>
      <w:r>
        <w:rPr>
          <w:rFonts w:ascii="Traditional Arabic" w:hAnsi="Traditional Arabic"/>
          <w:color w:val="auto"/>
          <w:sz w:val="32"/>
          <w:szCs w:val="32"/>
          <w:rtl/>
        </w:rPr>
        <w:t xml:space="preserve">د الفقهية </w:t>
      </w:r>
      <w:r>
        <w:rPr>
          <w:rFonts w:ascii="Traditional Arabic" w:hAnsi="Traditional Arabic" w:hint="cs"/>
          <w:color w:val="auto"/>
          <w:sz w:val="32"/>
          <w:szCs w:val="32"/>
          <w:rtl/>
        </w:rPr>
        <w:t>لأحمد الزرقا (457)</w:t>
      </w:r>
      <w:r w:rsidRPr="00231B07">
        <w:rPr>
          <w:rFonts w:ascii="Traditional Arabic" w:hAnsi="Traditional Arabic"/>
          <w:color w:val="auto"/>
          <w:sz w:val="32"/>
          <w:szCs w:val="32"/>
          <w:rtl/>
        </w:rPr>
        <w:t>.</w:t>
      </w:r>
    </w:p>
  </w:footnote>
  <w:footnote w:id="1350">
    <w:p w:rsidR="000D3D21" w:rsidRPr="00231B07" w:rsidRDefault="000D3D21" w:rsidP="00F0024F">
      <w:pPr>
        <w:pStyle w:val="a7"/>
        <w:pageBreakBefore/>
        <w:rPr>
          <w:rFonts w:ascii="Traditional Arabic" w:hAnsi="Traditional Arabic"/>
          <w:color w:val="auto"/>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231B07">
        <w:rPr>
          <w:rFonts w:ascii="Traditional Arabic" w:hAnsi="Traditional Arabic"/>
          <w:color w:val="auto"/>
          <w:sz w:val="32"/>
          <w:szCs w:val="32"/>
          <w:rtl/>
        </w:rPr>
        <w:t>انظر الشرح الممتع (10/213، 214، 215).</w:t>
      </w:r>
    </w:p>
  </w:footnote>
  <w:footnote w:id="1351">
    <w:p w:rsidR="000D3D21" w:rsidRPr="00231B07" w:rsidRDefault="000D3D21" w:rsidP="005C704E">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231B07">
        <w:rPr>
          <w:rFonts w:ascii="Traditional Arabic" w:hAnsi="Traditional Arabic"/>
          <w:b/>
          <w:bCs/>
          <w:sz w:val="32"/>
          <w:szCs w:val="32"/>
          <w:rtl/>
        </w:rPr>
        <w:t>الركاز</w:t>
      </w:r>
      <w:r w:rsidR="00AB0B9E">
        <w:rPr>
          <w:rFonts w:ascii="Traditional Arabic" w:hAnsi="Traditional Arabic"/>
          <w:b/>
          <w:bCs/>
          <w:sz w:val="32"/>
          <w:szCs w:val="32"/>
          <w:rtl/>
        </w:rPr>
        <w:fldChar w:fldCharType="begin"/>
      </w:r>
      <w:r>
        <w:instrText xml:space="preserve"> XE "</w:instrText>
      </w:r>
      <w:r w:rsidRPr="005C704E">
        <w:rPr>
          <w:rFonts w:ascii="Traditional Arabic" w:hAnsi="Traditional Arabic"/>
          <w:sz w:val="32"/>
          <w:szCs w:val="32"/>
          <w:rtl/>
        </w:rPr>
        <w:instrText>الركاز</w:instrText>
      </w:r>
      <w:r>
        <w:instrText xml:space="preserve">" </w:instrText>
      </w:r>
      <w:r w:rsidRPr="005C704E">
        <w:instrText>\fm</w:instrText>
      </w:r>
      <w:r w:rsidR="00AB0B9E">
        <w:rPr>
          <w:rFonts w:ascii="Traditional Arabic" w:hAnsi="Traditional Arabic"/>
          <w:b/>
          <w:bCs/>
          <w:sz w:val="32"/>
          <w:szCs w:val="32"/>
          <w:rtl/>
        </w:rPr>
        <w:fldChar w:fldCharType="end"/>
      </w:r>
      <w:r w:rsidRPr="00231B07">
        <w:rPr>
          <w:rFonts w:ascii="Traditional Arabic" w:hAnsi="Traditional Arabic"/>
          <w:b/>
          <w:bCs/>
          <w:sz w:val="32"/>
          <w:szCs w:val="32"/>
          <w:rtl/>
        </w:rPr>
        <w:t xml:space="preserve"> شرعا: </w:t>
      </w:r>
      <w:r w:rsidRPr="00231B07">
        <w:rPr>
          <w:rFonts w:ascii="Traditional Arabic" w:hAnsi="Traditional Arabic"/>
          <w:noProof w:val="0"/>
          <w:sz w:val="32"/>
          <w:szCs w:val="32"/>
          <w:rtl/>
          <w:lang w:eastAsia="en-US"/>
        </w:rPr>
        <w:t>الكنز من دَفْنِ</w:t>
      </w:r>
      <w:r>
        <w:rPr>
          <w:rFonts w:ascii="Traditional Arabic" w:hAnsi="Traditional Arabic" w:hint="cs"/>
          <w:noProof w:val="0"/>
          <w:sz w:val="32"/>
          <w:szCs w:val="32"/>
          <w:rtl/>
          <w:lang w:eastAsia="en-US"/>
        </w:rPr>
        <w:t xml:space="preserve"> </w:t>
      </w:r>
      <w:r w:rsidRPr="00231B07">
        <w:rPr>
          <w:rFonts w:ascii="Traditional Arabic" w:hAnsi="Traditional Arabic"/>
          <w:noProof w:val="0"/>
          <w:sz w:val="32"/>
          <w:szCs w:val="32"/>
          <w:rtl/>
          <w:lang w:eastAsia="en-US"/>
        </w:rPr>
        <w:t>الجاهلية</w:t>
      </w:r>
      <w:r w:rsidRPr="00231B07">
        <w:rPr>
          <w:rFonts w:ascii="Traditional Arabic" w:hAnsi="Traditional Arabic"/>
          <w:sz w:val="32"/>
          <w:szCs w:val="32"/>
          <w:rtl/>
        </w:rPr>
        <w:t>. المطلع على ألفاظ المقنع (170).</w:t>
      </w:r>
    </w:p>
  </w:footnote>
  <w:footnote w:id="1352">
    <w:p w:rsidR="000D3D21" w:rsidRPr="00231B07" w:rsidRDefault="000D3D21" w:rsidP="006B4304">
      <w:pPr>
        <w:pStyle w:val="a7"/>
        <w:pageBreakBefore/>
        <w:rPr>
          <w:rFonts w:ascii="Traditional Arabic" w:hAnsi="Traditional Arabic"/>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Pr>
          <w:rFonts w:ascii="Traditional Arabic" w:hAnsi="Traditional Arabic" w:hint="cs"/>
          <w:sz w:val="32"/>
          <w:szCs w:val="32"/>
          <w:rtl/>
        </w:rPr>
        <w:t>تقدم تخريجه.</w:t>
      </w:r>
    </w:p>
  </w:footnote>
  <w:footnote w:id="1353">
    <w:p w:rsidR="000D3D21" w:rsidRPr="00FF15DF" w:rsidRDefault="000D3D21" w:rsidP="00F0024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الشرح الممتع (10/213)</w:t>
      </w:r>
      <w:r>
        <w:rPr>
          <w:rFonts w:ascii="Traditional Arabic" w:hAnsi="Traditional Arabic" w:hint="cs"/>
          <w:sz w:val="32"/>
          <w:szCs w:val="32"/>
          <w:rtl/>
        </w:rPr>
        <w:t xml:space="preserve"> </w:t>
      </w:r>
      <w:r w:rsidRPr="00231B07">
        <w:rPr>
          <w:rFonts w:ascii="Traditional Arabic" w:hAnsi="Traditional Arabic"/>
          <w:sz w:val="32"/>
          <w:szCs w:val="32"/>
          <w:rtl/>
        </w:rPr>
        <w:t>بتصرف.</w:t>
      </w:r>
    </w:p>
  </w:footnote>
  <w:footnote w:id="1354">
    <w:p w:rsidR="000D3D21" w:rsidRDefault="000D3D21">
      <w:pPr>
        <w:pStyle w:val="a7"/>
        <w:rPr>
          <w:rFonts w:ascii="Traditional Arabic" w:hAnsi="Traditional Arabic"/>
          <w:sz w:val="32"/>
          <w:szCs w:val="32"/>
          <w:rtl/>
        </w:rPr>
      </w:pPr>
      <w:r w:rsidRPr="005515D0">
        <w:rPr>
          <w:rStyle w:val="af1"/>
          <w:rFonts w:ascii="Traditional Arabic" w:hAnsi="Traditional Arabic"/>
          <w:sz w:val="32"/>
          <w:szCs w:val="32"/>
          <w:vertAlign w:val="baseline"/>
        </w:rPr>
        <w:footnoteRef/>
      </w:r>
      <w:r w:rsidRPr="005515D0">
        <w:rPr>
          <w:rFonts w:ascii="Traditional Arabic" w:hAnsi="Traditional Arabic"/>
          <w:sz w:val="32"/>
          <w:szCs w:val="32"/>
        </w:rPr>
        <w:t>)</w:t>
      </w:r>
      <w:r w:rsidRPr="005515D0">
        <w:rPr>
          <w:rFonts w:ascii="Traditional Arabic" w:hAnsi="Traditional Arabic"/>
          <w:sz w:val="32"/>
          <w:szCs w:val="32"/>
          <w:rtl/>
        </w:rPr>
        <w:t xml:space="preserve">) </w:t>
      </w:r>
      <w:r w:rsidRPr="007404BA">
        <w:rPr>
          <w:rFonts w:ascii="Traditional Arabic" w:hAnsi="Traditional Arabic" w:hint="cs"/>
          <w:b/>
          <w:bCs/>
          <w:sz w:val="32"/>
          <w:szCs w:val="32"/>
          <w:rtl/>
        </w:rPr>
        <w:t>الكلب العقور:</w:t>
      </w:r>
      <w:r>
        <w:rPr>
          <w:rFonts w:ascii="Traditional Arabic" w:hAnsi="Traditional Arabic" w:hint="cs"/>
          <w:sz w:val="32"/>
          <w:szCs w:val="32"/>
          <w:rtl/>
        </w:rPr>
        <w:t xml:space="preserve"> هو كل سبُع يعقر، أي: يجرح ويقتل ويفترس، كالأسد والنمر والذئب. سماها النبي صلى الله عليه وسلم كلباً لاشتراكها في السَّبُعِيَّة. النهاية في غريب الحديث والأثر (3/275) بتصرف.</w:t>
      </w:r>
    </w:p>
    <w:p w:rsidR="000D3D21" w:rsidRPr="005515D0" w:rsidRDefault="000D3D21">
      <w:pPr>
        <w:pStyle w:val="a7"/>
        <w:rPr>
          <w:rFonts w:ascii="Traditional Arabic" w:hAnsi="Traditional Arabic"/>
          <w:sz w:val="32"/>
          <w:szCs w:val="32"/>
          <w:rtl/>
        </w:rPr>
      </w:pPr>
      <w:r>
        <w:rPr>
          <w:rFonts w:ascii="Traditional Arabic" w:hAnsi="Traditional Arabic" w:hint="cs"/>
          <w:sz w:val="32"/>
          <w:szCs w:val="32"/>
          <w:rtl/>
        </w:rPr>
        <w:t xml:space="preserve">      ومقصود الشيخ ابن عثيمين رحمه الله في هذه المسألة خصوص الكلب، دون غيره، والله أعلم.</w:t>
      </w:r>
    </w:p>
  </w:footnote>
  <w:footnote w:id="1355">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231B07">
        <w:rPr>
          <w:rFonts w:ascii="Traditional Arabic" w:hAnsi="Traditional Arabic"/>
          <w:noProof w:val="0"/>
          <w:sz w:val="32"/>
          <w:szCs w:val="32"/>
          <w:rtl/>
          <w:lang w:eastAsia="en-US"/>
        </w:rPr>
        <w:t>أخرجه البخاري في كتاب جزاء الصيد، باب ما يقتل المحرم من الدواب (1829)، ومسلم في كتاب الحج، باب ما يندب للمحرم وغيره قتلُه من الدواب في الحل والحرم (1198)</w:t>
      </w:r>
      <w:r>
        <w:rPr>
          <w:rFonts w:ascii="Traditional Arabic" w:hAnsi="Traditional Arabic"/>
          <w:noProof w:val="0"/>
          <w:sz w:val="32"/>
          <w:szCs w:val="32"/>
          <w:rtl/>
          <w:lang w:eastAsia="en-US"/>
        </w:rPr>
        <w:t xml:space="preserve"> عن عائشة </w:t>
      </w:r>
      <w:r>
        <w:rPr>
          <w:rFonts w:ascii="Traditional Arabic" w:hAnsi="Traditional Arabic" w:hint="cs"/>
          <w:noProof w:val="0"/>
          <w:sz w:val="32"/>
          <w:szCs w:val="32"/>
          <w:rtl/>
          <w:lang w:eastAsia="en-US"/>
        </w:rPr>
        <w:t>_</w:t>
      </w:r>
      <w:r>
        <w:rPr>
          <w:rFonts w:ascii="Traditional Arabic" w:hAnsi="Traditional Arabic" w:cs="CTraditional Arabic" w:hint="cs"/>
          <w:noProof w:val="0"/>
          <w:color w:val="auto"/>
          <w:rtl/>
          <w:lang w:eastAsia="en-US"/>
        </w:rPr>
        <w:t>ل</w:t>
      </w:r>
      <w:r>
        <w:rPr>
          <w:rFonts w:ascii="Traditional Arabic" w:hAnsi="Traditional Arabic" w:hint="cs"/>
          <w:noProof w:val="0"/>
          <w:sz w:val="32"/>
          <w:szCs w:val="32"/>
          <w:rtl/>
          <w:lang w:eastAsia="en-US"/>
        </w:rPr>
        <w:t>_</w:t>
      </w:r>
      <w:r w:rsidRPr="00231B07">
        <w:rPr>
          <w:rFonts w:ascii="Traditional Arabic" w:hAnsi="Traditional Arabic"/>
          <w:noProof w:val="0"/>
          <w:sz w:val="32"/>
          <w:szCs w:val="32"/>
          <w:rtl/>
          <w:lang w:eastAsia="en-US"/>
        </w:rPr>
        <w:t>.</w:t>
      </w:r>
    </w:p>
  </w:footnote>
  <w:footnote w:id="1356">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الشرح الممتع (10/203)</w:t>
      </w:r>
      <w:r>
        <w:rPr>
          <w:rFonts w:ascii="Traditional Arabic" w:hAnsi="Traditional Arabic" w:hint="cs"/>
          <w:sz w:val="32"/>
          <w:szCs w:val="32"/>
          <w:rtl/>
        </w:rPr>
        <w:t xml:space="preserve"> </w:t>
      </w:r>
      <w:r w:rsidRPr="00231B07">
        <w:rPr>
          <w:rFonts w:ascii="Traditional Arabic" w:hAnsi="Traditional Arabic"/>
          <w:sz w:val="32"/>
          <w:szCs w:val="32"/>
          <w:rtl/>
        </w:rPr>
        <w:t>بتصرف.</w:t>
      </w:r>
    </w:p>
  </w:footnote>
  <w:footnote w:id="1357">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انظر المرجع السابق (10/204).</w:t>
      </w:r>
    </w:p>
  </w:footnote>
  <w:footnote w:id="1358">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القائد</w:t>
      </w:r>
      <w:r>
        <w:rPr>
          <w:rFonts w:ascii="Traditional Arabic" w:hAnsi="Traditional Arabic" w:hint="cs"/>
          <w:sz w:val="32"/>
          <w:szCs w:val="32"/>
          <w:rtl/>
        </w:rPr>
        <w:t xml:space="preserve"> </w:t>
      </w:r>
      <w:r w:rsidRPr="00231B07">
        <w:rPr>
          <w:rFonts w:ascii="Traditional Arabic" w:hAnsi="Traditional Arabic"/>
          <w:sz w:val="32"/>
          <w:szCs w:val="32"/>
          <w:rtl/>
        </w:rPr>
        <w:t>يقود</w:t>
      </w:r>
      <w:r>
        <w:rPr>
          <w:rFonts w:ascii="Traditional Arabic" w:hAnsi="Traditional Arabic" w:hint="cs"/>
          <w:sz w:val="32"/>
          <w:szCs w:val="32"/>
          <w:rtl/>
        </w:rPr>
        <w:t xml:space="preserve"> </w:t>
      </w:r>
      <w:r w:rsidRPr="00231B07">
        <w:rPr>
          <w:rFonts w:ascii="Traditional Arabic" w:hAnsi="Traditional Arabic"/>
          <w:sz w:val="32"/>
          <w:szCs w:val="32"/>
          <w:rtl/>
        </w:rPr>
        <w:t>الدابة من أمام، والسائق يسوقها من الخلف.</w:t>
      </w:r>
      <w:r>
        <w:rPr>
          <w:rFonts w:ascii="Traditional Arabic" w:hAnsi="Traditional Arabic" w:hint="cs"/>
          <w:sz w:val="32"/>
          <w:szCs w:val="32"/>
          <w:rtl/>
        </w:rPr>
        <w:t xml:space="preserve"> </w:t>
      </w:r>
      <w:r w:rsidRPr="00231B07">
        <w:rPr>
          <w:rFonts w:ascii="Traditional Arabic" w:hAnsi="Traditional Arabic"/>
          <w:sz w:val="32"/>
          <w:szCs w:val="32"/>
          <w:rtl/>
        </w:rPr>
        <w:t>انظر الشرح الممتع (10/214).</w:t>
      </w:r>
    </w:p>
  </w:footnote>
  <w:footnote w:id="1359">
    <w:p w:rsidR="000D3D21" w:rsidRPr="00231B07" w:rsidRDefault="000D3D21" w:rsidP="00BC5153">
      <w:pPr>
        <w:widowControl/>
        <w:autoSpaceDE w:val="0"/>
        <w:autoSpaceDN w:val="0"/>
        <w:adjustRightInd w:val="0"/>
        <w:ind w:left="423" w:hanging="425"/>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 xml:space="preserve">قال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231B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 xml:space="preserve">( </w:t>
      </w:r>
      <w:r w:rsidRPr="00231B07">
        <w:rPr>
          <w:rFonts w:ascii="Traditional Arabic" w:hAnsi="Traditional Arabic"/>
          <w:noProof w:val="0"/>
          <w:sz w:val="32"/>
          <w:szCs w:val="32"/>
          <w:rtl/>
          <w:lang w:eastAsia="en-US"/>
        </w:rPr>
        <w:t>والتعدي مثل أن يمر</w:t>
      </w:r>
      <w:r>
        <w:rPr>
          <w:rFonts w:ascii="Traditional Arabic" w:hAnsi="Traditional Arabic" w:hint="cs"/>
          <w:noProof w:val="0"/>
          <w:sz w:val="32"/>
          <w:szCs w:val="32"/>
          <w:rtl/>
          <w:lang w:eastAsia="en-US"/>
        </w:rPr>
        <w:t>َّ</w:t>
      </w:r>
      <w:r w:rsidRPr="00231B07">
        <w:rPr>
          <w:rFonts w:ascii="Traditional Arabic" w:hAnsi="Traditional Arabic"/>
          <w:noProof w:val="0"/>
          <w:sz w:val="32"/>
          <w:szCs w:val="32"/>
          <w:rtl/>
          <w:lang w:eastAsia="en-US"/>
        </w:rPr>
        <w:t xml:space="preserve"> بها إلى جنب شجر ـ مثلا ـ أو إلى جنب أطعمة يعرف أنها سوف تنهش من هذه الثمرة أو من هذه الأطعمة، والتفريط مثل أن يمكنه كبح </w:t>
      </w:r>
      <w:r>
        <w:rPr>
          <w:rFonts w:ascii="Traditional Arabic" w:hAnsi="Traditional Arabic" w:hint="cs"/>
          <w:noProof w:val="0"/>
          <w:sz w:val="32"/>
          <w:szCs w:val="32"/>
          <w:rtl/>
          <w:lang w:eastAsia="en-US"/>
        </w:rPr>
        <w:t xml:space="preserve">لجامها </w:t>
      </w:r>
      <w:r w:rsidRPr="00231B07">
        <w:rPr>
          <w:rFonts w:ascii="Traditional Arabic" w:hAnsi="Traditional Arabic"/>
          <w:noProof w:val="0"/>
          <w:sz w:val="32"/>
          <w:szCs w:val="32"/>
          <w:rtl/>
          <w:lang w:eastAsia="en-US"/>
        </w:rPr>
        <w:t>ولكنه لا يفعل).</w:t>
      </w:r>
      <w:r>
        <w:rPr>
          <w:rFonts w:ascii="Traditional Arabic" w:hAnsi="Traditional Arabic" w:hint="cs"/>
          <w:noProof w:val="0"/>
          <w:sz w:val="32"/>
          <w:szCs w:val="32"/>
          <w:rtl/>
          <w:lang w:eastAsia="en-US"/>
        </w:rPr>
        <w:t xml:space="preserve"> </w:t>
      </w:r>
      <w:r w:rsidRPr="00231B07">
        <w:rPr>
          <w:rFonts w:ascii="Traditional Arabic" w:hAnsi="Traditional Arabic"/>
          <w:noProof w:val="0"/>
          <w:sz w:val="32"/>
          <w:szCs w:val="32"/>
          <w:rtl/>
          <w:lang w:eastAsia="en-US"/>
        </w:rPr>
        <w:t>المرجع السابق (10/215).</w:t>
      </w:r>
    </w:p>
  </w:footnote>
  <w:footnote w:id="1360">
    <w:p w:rsidR="000D3D21" w:rsidRPr="00231B07"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تقدم تخريجه.</w:t>
      </w:r>
    </w:p>
  </w:footnote>
  <w:footnote w:id="1361">
    <w:p w:rsidR="000D3D21" w:rsidRPr="006C7F54" w:rsidRDefault="000D3D21" w:rsidP="00F0024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1B07">
        <w:rPr>
          <w:rFonts w:ascii="Traditional Arabic" w:hAnsi="Traditional Arabic"/>
          <w:sz w:val="32"/>
          <w:szCs w:val="32"/>
          <w:rtl/>
        </w:rPr>
        <w:t>الشرح الممتع (10/214-215</w:t>
      </w:r>
      <w:r>
        <w:rPr>
          <w:rFonts w:ascii="Traditional Arabic" w:hAnsi="Traditional Arabic"/>
          <w:sz w:val="32"/>
          <w:szCs w:val="32"/>
          <w:rtl/>
        </w:rPr>
        <w:t>)</w:t>
      </w:r>
      <w:r>
        <w:rPr>
          <w:rFonts w:ascii="Traditional Arabic" w:hAnsi="Traditional Arabic" w:hint="cs"/>
          <w:sz w:val="32"/>
          <w:szCs w:val="32"/>
          <w:rtl/>
        </w:rPr>
        <w:t>.</w:t>
      </w:r>
    </w:p>
  </w:footnote>
  <w:footnote w:id="1362">
    <w:p w:rsidR="000D3D21" w:rsidRPr="005D293F"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293F">
        <w:rPr>
          <w:rFonts w:ascii="Traditional Arabic" w:hAnsi="Traditional Arabic"/>
          <w:sz w:val="32"/>
          <w:szCs w:val="32"/>
          <w:rtl/>
        </w:rPr>
        <w:t>تقدم تخريجه.</w:t>
      </w:r>
    </w:p>
  </w:footnote>
  <w:footnote w:id="1363">
    <w:p w:rsidR="000D3D21" w:rsidRPr="005D293F"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293F">
        <w:rPr>
          <w:rFonts w:ascii="Traditional Arabic" w:hAnsi="Traditional Arabic"/>
          <w:sz w:val="32"/>
          <w:szCs w:val="32"/>
          <w:rtl/>
        </w:rPr>
        <w:t>انظر الشرح الممتع (10/208-211)، والتعليق على القواعد والأصول الجامعة (119).</w:t>
      </w:r>
    </w:p>
  </w:footnote>
  <w:footnote w:id="1364">
    <w:p w:rsidR="000D3D21" w:rsidRPr="005D293F"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293F">
        <w:rPr>
          <w:rFonts w:ascii="Traditional Arabic" w:hAnsi="Traditional Arabic"/>
          <w:sz w:val="32"/>
          <w:szCs w:val="32"/>
          <w:rtl/>
        </w:rPr>
        <w:t>تقدم تخريجه.</w:t>
      </w:r>
    </w:p>
  </w:footnote>
  <w:footnote w:id="1365">
    <w:p w:rsidR="000D3D21" w:rsidRPr="005D293F"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293F">
        <w:rPr>
          <w:rFonts w:ascii="Traditional Arabic" w:hAnsi="Traditional Arabic"/>
          <w:sz w:val="32"/>
          <w:szCs w:val="32"/>
          <w:rtl/>
        </w:rPr>
        <w:t>انظر الشرح الممتع(10/213-215)، والتعليق على القواعد والأصول الجامعة (119).</w:t>
      </w:r>
    </w:p>
  </w:footnote>
  <w:footnote w:id="1366">
    <w:p w:rsidR="000D3D21" w:rsidRPr="005D293F"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293F">
        <w:rPr>
          <w:rFonts w:ascii="Traditional Arabic" w:hAnsi="Traditional Arabic"/>
          <w:sz w:val="32"/>
          <w:szCs w:val="32"/>
          <w:rtl/>
        </w:rPr>
        <w:t>انظر الشرح الممتع (10/203)، والتعليق على القواعد والأصول الجامعة (120).</w:t>
      </w:r>
    </w:p>
  </w:footnote>
  <w:footnote w:id="1367">
    <w:p w:rsidR="000D3D21" w:rsidRPr="005D293F" w:rsidRDefault="000D3D21" w:rsidP="00F0024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5D293F">
        <w:rPr>
          <w:rFonts w:ascii="Traditional Arabic" w:hAnsi="Traditional Arabic"/>
          <w:sz w:val="32"/>
          <w:szCs w:val="32"/>
          <w:rtl/>
        </w:rPr>
        <w:t xml:space="preserve"> (10/211-212)، والتعليق على القواعد والأصول الجامعة (119-120).</w:t>
      </w:r>
    </w:p>
  </w:footnote>
  <w:footnote w:id="1368">
    <w:p w:rsidR="000D3D21" w:rsidRPr="00240AC9" w:rsidRDefault="000D3D21" w:rsidP="00F0024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293F">
        <w:rPr>
          <w:rFonts w:ascii="Traditional Arabic" w:hAnsi="Traditional Arabic"/>
          <w:sz w:val="32"/>
          <w:szCs w:val="32"/>
          <w:rtl/>
        </w:rPr>
        <w:t>إرشاد ذوي البصائر والألباب (139).</w:t>
      </w:r>
    </w:p>
  </w:footnote>
  <w:footnote w:id="1369">
    <w:p w:rsidR="000D3D21" w:rsidRPr="00610CD5"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10CD5">
        <w:rPr>
          <w:rFonts w:ascii="Traditional Arabic" w:hAnsi="Traditional Arabic"/>
          <w:sz w:val="32"/>
          <w:szCs w:val="32"/>
          <w:rtl/>
        </w:rPr>
        <w:t>اخترت هذه الصيغة</w:t>
      </w:r>
      <w:r>
        <w:rPr>
          <w:rFonts w:ascii="Traditional Arabic" w:hAnsi="Traditional Arabic" w:hint="cs"/>
          <w:sz w:val="32"/>
          <w:szCs w:val="32"/>
          <w:rtl/>
        </w:rPr>
        <w:t>؛ لشهرتها بهذا اللفظ؛</w:t>
      </w:r>
      <w:r w:rsidRPr="00610CD5">
        <w:rPr>
          <w:rFonts w:ascii="Traditional Arabic" w:hAnsi="Traditional Arabic"/>
          <w:sz w:val="32"/>
          <w:szCs w:val="32"/>
          <w:rtl/>
        </w:rPr>
        <w:t xml:space="preserve"> </w:t>
      </w:r>
      <w:r>
        <w:rPr>
          <w:rFonts w:ascii="Traditional Arabic" w:hAnsi="Traditional Arabic" w:hint="cs"/>
          <w:sz w:val="32"/>
          <w:szCs w:val="32"/>
          <w:rtl/>
        </w:rPr>
        <w:t>و</w:t>
      </w:r>
      <w:r w:rsidRPr="00610CD5">
        <w:rPr>
          <w:rFonts w:ascii="Traditional Arabic" w:hAnsi="Traditional Arabic"/>
          <w:sz w:val="32"/>
          <w:szCs w:val="32"/>
          <w:rtl/>
        </w:rPr>
        <w:t>لموافقتها للفظ النبوي، حيث إنها نص</w:t>
      </w:r>
      <w:r>
        <w:rPr>
          <w:rFonts w:ascii="Traditional Arabic" w:hAnsi="Traditional Arabic" w:hint="cs"/>
          <w:sz w:val="32"/>
          <w:szCs w:val="32"/>
          <w:rtl/>
        </w:rPr>
        <w:t>ًّ</w:t>
      </w:r>
      <w:r w:rsidRPr="00610CD5">
        <w:rPr>
          <w:rFonts w:ascii="Traditional Arabic" w:hAnsi="Traditional Arabic"/>
          <w:sz w:val="32"/>
          <w:szCs w:val="32"/>
          <w:rtl/>
        </w:rPr>
        <w:t xml:space="preserve"> حديث</w:t>
      </w:r>
      <w:r>
        <w:rPr>
          <w:rFonts w:ascii="Traditional Arabic" w:hAnsi="Traditional Arabic" w:hint="cs"/>
          <w:sz w:val="32"/>
          <w:szCs w:val="32"/>
          <w:rtl/>
        </w:rPr>
        <w:t>ٍ</w:t>
      </w:r>
      <w:r w:rsidRPr="00610CD5">
        <w:rPr>
          <w:rFonts w:ascii="Traditional Arabic" w:hAnsi="Traditional Arabic"/>
          <w:sz w:val="32"/>
          <w:szCs w:val="32"/>
          <w:rtl/>
        </w:rPr>
        <w:t xml:space="preserve"> نبوي شريف، وسيأتي تخريجه عند ذكر أدلة القاعدة.</w:t>
      </w:r>
    </w:p>
  </w:footnote>
  <w:footnote w:id="1370">
    <w:p w:rsidR="000D3D21" w:rsidRPr="00610CD5"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10CD5">
        <w:rPr>
          <w:rFonts w:ascii="Traditional Arabic" w:hAnsi="Traditional Arabic"/>
          <w:sz w:val="32"/>
          <w:szCs w:val="32"/>
          <w:rtl/>
        </w:rPr>
        <w:t>الشرح الممتع (8/286).</w:t>
      </w:r>
    </w:p>
  </w:footnote>
  <w:footnote w:id="1371">
    <w:p w:rsidR="000D3D21" w:rsidRPr="00610CD5"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10CD5">
        <w:rPr>
          <w:rFonts w:ascii="Traditional Arabic" w:hAnsi="Traditional Arabic"/>
          <w:sz w:val="32"/>
          <w:szCs w:val="32"/>
          <w:rtl/>
        </w:rPr>
        <w:t>المرجع السابق (9/145).</w:t>
      </w:r>
    </w:p>
  </w:footnote>
  <w:footnote w:id="1372">
    <w:p w:rsidR="000D3D21" w:rsidRPr="00610CD5"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فتح</w:t>
      </w:r>
      <w:r w:rsidRPr="00610CD5">
        <w:rPr>
          <w:rFonts w:ascii="Traditional Arabic" w:hAnsi="Traditional Arabic"/>
          <w:sz w:val="32"/>
          <w:szCs w:val="32"/>
          <w:rtl/>
        </w:rPr>
        <w:t xml:space="preserve"> </w:t>
      </w:r>
      <w:r>
        <w:rPr>
          <w:rFonts w:ascii="Traditional Arabic" w:hAnsi="Traditional Arabic" w:hint="cs"/>
          <w:sz w:val="32"/>
          <w:szCs w:val="32"/>
          <w:rtl/>
        </w:rPr>
        <w:t xml:space="preserve">ذي الجلال والإكرام </w:t>
      </w:r>
      <w:r w:rsidRPr="00610CD5">
        <w:rPr>
          <w:rFonts w:ascii="Traditional Arabic" w:hAnsi="Traditional Arabic"/>
          <w:sz w:val="32"/>
          <w:szCs w:val="32"/>
          <w:rtl/>
        </w:rPr>
        <w:t>(3/609).</w:t>
      </w:r>
    </w:p>
  </w:footnote>
  <w:footnote w:id="1373">
    <w:p w:rsidR="000D3D21" w:rsidRPr="00610CD5"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10CD5">
        <w:rPr>
          <w:rFonts w:ascii="Traditional Arabic" w:hAnsi="Traditional Arabic"/>
          <w:sz w:val="32"/>
          <w:szCs w:val="32"/>
          <w:rtl/>
        </w:rPr>
        <w:t>المرجع السابق (4/99).</w:t>
      </w:r>
    </w:p>
  </w:footnote>
  <w:footnote w:id="1374">
    <w:p w:rsidR="000D3D21" w:rsidRPr="00610CD5"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610CD5">
        <w:rPr>
          <w:rFonts w:ascii="Traditional Arabic" w:hAnsi="Traditional Arabic"/>
          <w:sz w:val="32"/>
          <w:szCs w:val="32"/>
          <w:rtl/>
        </w:rPr>
        <w:t xml:space="preserve"> الأشباه والنظائر لابن نجيم (175)، ومجلة الأحكام العدلية (المادة 85)، والمنثور للزركشي (2/119)، والأشباه والنظائر للسيوطي (135).</w:t>
      </w:r>
    </w:p>
  </w:footnote>
  <w:footnote w:id="1375">
    <w:p w:rsidR="000D3D21" w:rsidRPr="00106FD8"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06FD8">
        <w:rPr>
          <w:rFonts w:ascii="Traditional Arabic" w:hAnsi="Traditional Arabic"/>
          <w:sz w:val="32"/>
          <w:szCs w:val="32"/>
          <w:rtl/>
        </w:rPr>
        <w:t>مغني ذوي الأفهام لابن عبد الهادي (520).</w:t>
      </w:r>
    </w:p>
  </w:footnote>
  <w:footnote w:id="1376">
    <w:p w:rsidR="000D3D21" w:rsidRPr="00610CD5"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10CD5">
        <w:rPr>
          <w:rFonts w:ascii="Traditional Arabic" w:hAnsi="Traditional Arabic"/>
          <w:sz w:val="32"/>
          <w:szCs w:val="32"/>
          <w:rtl/>
        </w:rPr>
        <w:t>مجلة الأحكام العدلية (المادة 87).</w:t>
      </w:r>
    </w:p>
  </w:footnote>
  <w:footnote w:id="1377">
    <w:p w:rsidR="000D3D21" w:rsidRPr="00610CD5"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10CD5">
        <w:rPr>
          <w:rFonts w:ascii="Traditional Arabic" w:hAnsi="Traditional Arabic"/>
          <w:sz w:val="32"/>
          <w:szCs w:val="32"/>
          <w:rtl/>
        </w:rPr>
        <w:t>المرجع السابق (المادة 88).</w:t>
      </w:r>
    </w:p>
  </w:footnote>
  <w:footnote w:id="1378">
    <w:p w:rsidR="000D3D21" w:rsidRPr="00A67EC9"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67EC9">
        <w:rPr>
          <w:rFonts w:ascii="Traditional Arabic" w:hAnsi="Traditional Arabic"/>
          <w:sz w:val="32"/>
          <w:szCs w:val="32"/>
          <w:rtl/>
        </w:rPr>
        <w:t>مقاييس اللغة (2/175).</w:t>
      </w:r>
    </w:p>
  </w:footnote>
  <w:footnote w:id="1379">
    <w:p w:rsidR="000D3D21" w:rsidRPr="00A67EC9"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67EC9">
        <w:rPr>
          <w:rFonts w:ascii="Traditional Arabic" w:hAnsi="Traditional Arabic"/>
          <w:sz w:val="32"/>
          <w:szCs w:val="32"/>
          <w:rtl/>
        </w:rPr>
        <w:t>الأموال (1/141).</w:t>
      </w:r>
    </w:p>
  </w:footnote>
  <w:footnote w:id="1380">
    <w:p w:rsidR="000D3D21" w:rsidRPr="00A67EC9"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67EC9">
        <w:rPr>
          <w:rFonts w:ascii="Traditional Arabic" w:hAnsi="Traditional Arabic"/>
          <w:sz w:val="32"/>
          <w:szCs w:val="32"/>
          <w:rtl/>
        </w:rPr>
        <w:t>الأشباه والنظائر (136).</w:t>
      </w:r>
    </w:p>
  </w:footnote>
  <w:footnote w:id="1381">
    <w:p w:rsidR="000D3D21" w:rsidRPr="00A67EC9" w:rsidRDefault="000D3D21" w:rsidP="005C704E">
      <w:pPr>
        <w:pStyle w:val="a7"/>
        <w:pageBreakBefore/>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67EC9">
        <w:rPr>
          <w:rFonts w:ascii="Traditional Arabic" w:hAnsi="Traditional Arabic"/>
          <w:b/>
          <w:bCs/>
          <w:sz w:val="32"/>
          <w:szCs w:val="32"/>
          <w:rtl/>
        </w:rPr>
        <w:t>العسيب</w:t>
      </w:r>
      <w:r w:rsidR="00AB0B9E">
        <w:rPr>
          <w:rFonts w:ascii="Traditional Arabic" w:hAnsi="Traditional Arabic"/>
          <w:b/>
          <w:bCs/>
          <w:sz w:val="32"/>
          <w:szCs w:val="32"/>
          <w:rtl/>
        </w:rPr>
        <w:fldChar w:fldCharType="begin"/>
      </w:r>
      <w:r>
        <w:instrText xml:space="preserve"> XE "</w:instrText>
      </w:r>
      <w:r w:rsidRPr="005C704E">
        <w:rPr>
          <w:rFonts w:ascii="Traditional Arabic" w:hAnsi="Traditional Arabic"/>
          <w:sz w:val="32"/>
          <w:szCs w:val="32"/>
          <w:rtl/>
        </w:rPr>
        <w:instrText>العسيب</w:instrText>
      </w:r>
      <w:r>
        <w:instrText xml:space="preserve">" </w:instrText>
      </w:r>
      <w:r w:rsidRPr="005C704E">
        <w:instrText>\fm</w:instrText>
      </w:r>
      <w:r w:rsidR="00AB0B9E">
        <w:rPr>
          <w:rFonts w:ascii="Traditional Arabic" w:hAnsi="Traditional Arabic"/>
          <w:b/>
          <w:bCs/>
          <w:sz w:val="32"/>
          <w:szCs w:val="32"/>
          <w:rtl/>
        </w:rPr>
        <w:fldChar w:fldCharType="end"/>
      </w:r>
      <w:r w:rsidRPr="00A67EC9">
        <w:rPr>
          <w:rFonts w:ascii="Traditional Arabic" w:hAnsi="Traditional Arabic"/>
          <w:b/>
          <w:bCs/>
          <w:sz w:val="32"/>
          <w:szCs w:val="32"/>
          <w:rtl/>
        </w:rPr>
        <w:t xml:space="preserve">: </w:t>
      </w:r>
      <w:r w:rsidRPr="00A67EC9">
        <w:rPr>
          <w:rFonts w:ascii="Traditional Arabic" w:hAnsi="Traditional Arabic"/>
          <w:sz w:val="32"/>
          <w:szCs w:val="32"/>
          <w:rtl/>
        </w:rPr>
        <w:t>ال</w:t>
      </w:r>
      <w:r w:rsidRPr="00A67EC9">
        <w:rPr>
          <w:rFonts w:ascii="Traditional Arabic" w:hAnsi="Traditional Arabic"/>
          <w:noProof w:val="0"/>
          <w:sz w:val="32"/>
          <w:szCs w:val="32"/>
          <w:rtl/>
          <w:lang w:eastAsia="en-US"/>
        </w:rPr>
        <w:t>جريدة من النخل، وهي السَّعَفة ممَّا لا يَنْبُتُ عليه الخُوصُ.النهاية في غريب الحديث والأثر (3/234).</w:t>
      </w:r>
    </w:p>
  </w:footnote>
  <w:footnote w:id="1382">
    <w:p w:rsidR="000D3D21" w:rsidRPr="00A67EC9" w:rsidRDefault="000D3D21" w:rsidP="005C704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A67EC9">
        <w:rPr>
          <w:rFonts w:ascii="Traditional Arabic" w:hAnsi="Traditional Arabic"/>
          <w:b/>
          <w:bCs/>
          <w:sz w:val="32"/>
          <w:szCs w:val="32"/>
          <w:rtl/>
        </w:rPr>
        <w:t>الفسيل</w:t>
      </w:r>
      <w:r w:rsidR="00AB0B9E">
        <w:rPr>
          <w:rFonts w:ascii="Traditional Arabic" w:hAnsi="Traditional Arabic"/>
          <w:b/>
          <w:bCs/>
          <w:sz w:val="32"/>
          <w:szCs w:val="32"/>
          <w:rtl/>
        </w:rPr>
        <w:fldChar w:fldCharType="begin"/>
      </w:r>
      <w:r>
        <w:instrText xml:space="preserve"> XE "</w:instrText>
      </w:r>
      <w:r w:rsidRPr="005C704E">
        <w:rPr>
          <w:rFonts w:ascii="Traditional Arabic" w:hAnsi="Traditional Arabic"/>
          <w:sz w:val="32"/>
          <w:szCs w:val="32"/>
          <w:rtl/>
        </w:rPr>
        <w:instrText>الفسيل</w:instrText>
      </w:r>
      <w:r>
        <w:instrText xml:space="preserve">" </w:instrText>
      </w:r>
      <w:r w:rsidRPr="005C704E">
        <w:instrText>\fm</w:instrText>
      </w:r>
      <w:r w:rsidR="00AB0B9E">
        <w:rPr>
          <w:rFonts w:ascii="Traditional Arabic" w:hAnsi="Traditional Arabic"/>
          <w:b/>
          <w:bCs/>
          <w:sz w:val="32"/>
          <w:szCs w:val="32"/>
          <w:rtl/>
        </w:rPr>
        <w:fldChar w:fldCharType="end"/>
      </w:r>
      <w:r w:rsidRPr="00A67EC9">
        <w:rPr>
          <w:rFonts w:ascii="Traditional Arabic" w:hAnsi="Traditional Arabic"/>
          <w:b/>
          <w:bCs/>
          <w:sz w:val="32"/>
          <w:szCs w:val="32"/>
          <w:rtl/>
        </w:rPr>
        <w:t xml:space="preserve">: </w:t>
      </w:r>
      <w:r w:rsidRPr="00A67EC9">
        <w:rPr>
          <w:rFonts w:ascii="Traditional Arabic" w:hAnsi="Traditional Arabic"/>
          <w:sz w:val="32"/>
          <w:szCs w:val="32"/>
          <w:rtl/>
        </w:rPr>
        <w:t>جمع فسيلة، وهي صغار النخل. غريب الحديث لأبي عبيد القاسم بن سلام (5/228).</w:t>
      </w:r>
    </w:p>
  </w:footnote>
  <w:footnote w:id="1383">
    <w:p w:rsidR="000D3D21" w:rsidRPr="0058485A"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67EC9">
        <w:rPr>
          <w:rFonts w:ascii="Traditional Arabic" w:hAnsi="Traditional Arabic"/>
          <w:sz w:val="32"/>
          <w:szCs w:val="32"/>
          <w:rtl/>
        </w:rPr>
        <w:t>فتح ذي الجلال والإكرام (3/608)بتصرف.</w:t>
      </w:r>
    </w:p>
  </w:footnote>
  <w:footnote w:id="1384">
    <w:p w:rsidR="000D3D21" w:rsidRPr="00B06FB0" w:rsidRDefault="000D3D21" w:rsidP="00272836">
      <w:pPr>
        <w:pStyle w:val="a7"/>
        <w:pageBreakBefore/>
        <w:rPr>
          <w:rFonts w:ascii="Traditional Arabic" w:hAnsi="Traditional Arabic"/>
          <w:color w:val="auto"/>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Pr>
          <w:rFonts w:ascii="Traditional Arabic" w:hAnsi="Traditional Arabic"/>
          <w:color w:val="auto"/>
          <w:sz w:val="32"/>
          <w:szCs w:val="32"/>
          <w:rtl/>
        </w:rPr>
        <w:t>موسوعة القواعد</w:t>
      </w:r>
      <w:r w:rsidRPr="00B06FB0">
        <w:rPr>
          <w:rFonts w:ascii="Traditional Arabic" w:hAnsi="Traditional Arabic"/>
          <w:color w:val="auto"/>
          <w:sz w:val="32"/>
          <w:szCs w:val="32"/>
          <w:rtl/>
        </w:rPr>
        <w:t xml:space="preserve"> الفقهية للبورنو (3/275).</w:t>
      </w:r>
    </w:p>
  </w:footnote>
  <w:footnote w:id="1385">
    <w:p w:rsidR="000D3D21" w:rsidRPr="00B06FB0" w:rsidRDefault="000D3D21" w:rsidP="00272836">
      <w:pPr>
        <w:pStyle w:val="a7"/>
        <w:pageBreakBefore/>
        <w:rPr>
          <w:rFonts w:ascii="Traditional Arabic" w:hAnsi="Traditional Arabic"/>
          <w:color w:val="auto"/>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B06FB0">
        <w:rPr>
          <w:rFonts w:ascii="Traditional Arabic" w:hAnsi="Traditional Arabic"/>
          <w:color w:val="auto"/>
          <w:sz w:val="32"/>
          <w:szCs w:val="32"/>
          <w:rtl/>
        </w:rPr>
        <w:t>سيأتي تخريجه في مبحث أدلة القاعدة.</w:t>
      </w:r>
    </w:p>
  </w:footnote>
  <w:footnote w:id="1386">
    <w:p w:rsidR="000D3D21" w:rsidRPr="00B06FB0" w:rsidRDefault="000D3D21" w:rsidP="00272836">
      <w:pPr>
        <w:pStyle w:val="a7"/>
        <w:pageBreakBefore/>
        <w:rPr>
          <w:rFonts w:ascii="Traditional Arabic" w:hAnsi="Traditional Arabic"/>
          <w:color w:val="auto"/>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B06FB0">
        <w:rPr>
          <w:rFonts w:ascii="Traditional Arabic" w:hAnsi="Traditional Arabic"/>
          <w:color w:val="auto"/>
          <w:sz w:val="32"/>
          <w:szCs w:val="32"/>
          <w:rtl/>
        </w:rPr>
        <w:t>انظر فتح ذي الجلال والإكرام (4/99)، والقواعد والضوابط الفقهية للندوي (1/98).</w:t>
      </w:r>
    </w:p>
  </w:footnote>
  <w:footnote w:id="1387">
    <w:p w:rsidR="000D3D21" w:rsidRPr="00B06FB0" w:rsidRDefault="000D3D21" w:rsidP="00272836">
      <w:pPr>
        <w:pStyle w:val="a7"/>
        <w:pageBreakBefore/>
        <w:rPr>
          <w:rFonts w:ascii="Traditional Arabic" w:hAnsi="Traditional Arabic"/>
          <w:color w:val="auto"/>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B06FB0">
        <w:rPr>
          <w:rFonts w:ascii="Traditional Arabic" w:hAnsi="Traditional Arabic"/>
          <w:color w:val="auto"/>
          <w:sz w:val="32"/>
          <w:szCs w:val="32"/>
          <w:rtl/>
        </w:rPr>
        <w:t>المنثور للزركشي (2/119).</w:t>
      </w:r>
    </w:p>
  </w:footnote>
  <w:footnote w:id="1388">
    <w:p w:rsidR="000D3D21" w:rsidRPr="00B06FB0" w:rsidRDefault="000D3D21" w:rsidP="00272836">
      <w:pPr>
        <w:pStyle w:val="a7"/>
        <w:pageBreakBefore/>
        <w:rPr>
          <w:rFonts w:ascii="Traditional Arabic" w:hAnsi="Traditional Arabic"/>
          <w:color w:val="auto"/>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B06FB0">
        <w:rPr>
          <w:rFonts w:ascii="Traditional Arabic" w:hAnsi="Traditional Arabic"/>
          <w:color w:val="auto"/>
          <w:sz w:val="32"/>
          <w:szCs w:val="32"/>
          <w:rtl/>
        </w:rPr>
        <w:t>الشرح الممتع (8/242)، وانظر (8/286، 381)، و(9/145).</w:t>
      </w:r>
    </w:p>
  </w:footnote>
  <w:footnote w:id="1389">
    <w:p w:rsidR="000D3D21" w:rsidRPr="00B06FB0" w:rsidRDefault="000D3D21" w:rsidP="00D77425">
      <w:pPr>
        <w:pStyle w:val="a7"/>
        <w:pageBreakBefore/>
        <w:rPr>
          <w:rFonts w:ascii="Traditional Arabic" w:hAnsi="Traditional Arabic"/>
          <w:noProof w:val="0"/>
          <w:color w:val="auto"/>
          <w:sz w:val="32"/>
          <w:szCs w:val="32"/>
          <w:rtl/>
          <w:lang w:eastAsia="en-US"/>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B06FB0">
        <w:rPr>
          <w:rFonts w:ascii="Traditional Arabic" w:hAnsi="Traditional Arabic"/>
          <w:noProof w:val="0"/>
          <w:color w:val="auto"/>
          <w:sz w:val="32"/>
          <w:szCs w:val="32"/>
          <w:rtl/>
          <w:lang w:eastAsia="en-US"/>
        </w:rPr>
        <w:t xml:space="preserve">أخرجه  أحمد في المسند، رقم الحديث (24224)، وأبو داود في السنن في كتاب البيوع والإجارات، باب فيمن اشترى عبدا فاستعمله ثم وجد به عيبا، رقم الحديث (3508)، والنسائي في السنن الكبرى في كتاب البيوع، باب الخراج بالضمان، رقم الحديث (6037)، والترمذي في السنن في أبواب البيوع عن رسول الله </w:t>
      </w:r>
      <w:r>
        <w:rPr>
          <w:rFonts w:ascii="Traditional Arabic" w:hAnsi="Traditional Arabic" w:cs="CTraditional Arabic" w:hint="cs"/>
          <w:noProof w:val="0"/>
          <w:color w:val="auto"/>
          <w:rtl/>
          <w:lang w:eastAsia="en-US"/>
        </w:rPr>
        <w:t>غ</w:t>
      </w:r>
      <w:r w:rsidRPr="00B06FB0">
        <w:rPr>
          <w:rFonts w:ascii="Traditional Arabic" w:hAnsi="Traditional Arabic"/>
          <w:noProof w:val="0"/>
          <w:color w:val="auto"/>
          <w:sz w:val="32"/>
          <w:szCs w:val="32"/>
          <w:rtl/>
          <w:lang w:eastAsia="en-US"/>
        </w:rPr>
        <w:t>، باب ما جاء فيمن يشتري العبد ويستغله ثم يجد به عيبا، رقم الحديث (1285)، وابن ماجه في السنن في كتاب التجارات، باب الخراج بالضمان رقم الحديث (2243)، والحاكم في المستدرك في كتاب البيوع، رقم الحديث (2230).</w:t>
      </w:r>
    </w:p>
    <w:p w:rsidR="000D3D21" w:rsidRPr="00B06FB0" w:rsidRDefault="000D3D21" w:rsidP="00272836">
      <w:pPr>
        <w:pStyle w:val="a7"/>
        <w:pageBreakBefore/>
        <w:rPr>
          <w:rFonts w:ascii="Traditional Arabic" w:hAnsi="Traditional Arabic"/>
          <w:color w:val="auto"/>
          <w:sz w:val="32"/>
          <w:szCs w:val="32"/>
        </w:rPr>
      </w:pPr>
      <w:r>
        <w:rPr>
          <w:rFonts w:ascii="Traditional Arabic" w:hAnsi="Traditional Arabic" w:hint="cs"/>
          <w:noProof w:val="0"/>
          <w:color w:val="auto"/>
          <w:sz w:val="32"/>
          <w:szCs w:val="32"/>
          <w:rtl/>
          <w:lang w:eastAsia="en-US"/>
        </w:rPr>
        <w:t xml:space="preserve">      </w:t>
      </w:r>
      <w:r w:rsidRPr="00B06FB0">
        <w:rPr>
          <w:rFonts w:ascii="Traditional Arabic" w:hAnsi="Traditional Arabic"/>
          <w:noProof w:val="0"/>
          <w:color w:val="auto"/>
          <w:sz w:val="32"/>
          <w:szCs w:val="32"/>
          <w:rtl/>
          <w:lang w:eastAsia="en-US"/>
        </w:rPr>
        <w:t xml:space="preserve">والحديث حسنه </w:t>
      </w:r>
      <w:r>
        <w:rPr>
          <w:rFonts w:ascii="Traditional Arabic" w:hAnsi="Traditional Arabic" w:hint="cs"/>
          <w:noProof w:val="0"/>
          <w:color w:val="auto"/>
          <w:sz w:val="32"/>
          <w:szCs w:val="32"/>
          <w:rtl/>
          <w:lang w:eastAsia="en-US"/>
        </w:rPr>
        <w:t xml:space="preserve">الشيخ </w:t>
      </w:r>
      <w:r w:rsidRPr="00B06FB0">
        <w:rPr>
          <w:rFonts w:ascii="Traditional Arabic" w:hAnsi="Traditional Arabic"/>
          <w:noProof w:val="0"/>
          <w:color w:val="auto"/>
          <w:sz w:val="32"/>
          <w:szCs w:val="32"/>
          <w:rtl/>
          <w:lang w:eastAsia="en-US"/>
        </w:rPr>
        <w:t>الألباني في</w:t>
      </w:r>
      <w:r>
        <w:rPr>
          <w:rFonts w:ascii="Traditional Arabic" w:hAnsi="Traditional Arabic" w:hint="cs"/>
          <w:noProof w:val="0"/>
          <w:color w:val="auto"/>
          <w:sz w:val="32"/>
          <w:szCs w:val="32"/>
          <w:rtl/>
          <w:lang w:eastAsia="en-US"/>
        </w:rPr>
        <w:t xml:space="preserve"> </w:t>
      </w:r>
      <w:r w:rsidRPr="00B06FB0">
        <w:rPr>
          <w:rFonts w:ascii="Traditional Arabic" w:hAnsi="Traditional Arabic"/>
          <w:noProof w:val="0"/>
          <w:color w:val="auto"/>
          <w:sz w:val="32"/>
          <w:szCs w:val="32"/>
          <w:rtl/>
          <w:lang w:eastAsia="en-US"/>
        </w:rPr>
        <w:t>إرواء الغليل (5/158).</w:t>
      </w:r>
    </w:p>
  </w:footnote>
  <w:footnote w:id="1390">
    <w:p w:rsidR="000D3D21" w:rsidRPr="00B06FB0" w:rsidRDefault="000D3D21" w:rsidP="00272836">
      <w:pPr>
        <w:pStyle w:val="a7"/>
        <w:pageBreakBefore/>
        <w:rPr>
          <w:rFonts w:ascii="Traditional Arabic" w:hAnsi="Traditional Arabic"/>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B06FB0">
        <w:rPr>
          <w:rFonts w:ascii="Traditional Arabic" w:hAnsi="Traditional Arabic"/>
          <w:color w:val="auto"/>
          <w:sz w:val="32"/>
          <w:szCs w:val="32"/>
          <w:rtl/>
        </w:rPr>
        <w:t xml:space="preserve">أخرجه </w:t>
      </w:r>
      <w:r w:rsidRPr="00B06FB0">
        <w:rPr>
          <w:rFonts w:ascii="Traditional Arabic" w:hAnsi="Traditional Arabic"/>
          <w:noProof w:val="0"/>
          <w:color w:val="auto"/>
          <w:sz w:val="32"/>
          <w:szCs w:val="32"/>
          <w:rtl/>
          <w:lang w:eastAsia="en-US"/>
        </w:rPr>
        <w:t>ابن ماجه في السنن، كتاب الرهون، باب لا يغلق الرهن، رقم الحديث (2441)، والدارقطني في السنن،في كتاب البيوع، باب الصلح، رقم الحديث (2919)، والحاكم في المستدرك في كتاب البيوع، رقم الحديث (2370)، والبيهقي في السنن الكبرى .</w:t>
      </w:r>
      <w:r w:rsidRPr="00B06FB0">
        <w:rPr>
          <w:rFonts w:ascii="Traditional Arabic" w:hAnsi="Traditional Arabic"/>
          <w:sz w:val="32"/>
          <w:szCs w:val="32"/>
          <w:rtl/>
        </w:rPr>
        <w:t xml:space="preserve">والحديث ضعفه </w:t>
      </w:r>
      <w:r>
        <w:rPr>
          <w:rFonts w:ascii="Traditional Arabic" w:hAnsi="Traditional Arabic" w:hint="cs"/>
          <w:sz w:val="32"/>
          <w:szCs w:val="32"/>
          <w:rtl/>
        </w:rPr>
        <w:t xml:space="preserve">الشيخ </w:t>
      </w:r>
      <w:r w:rsidRPr="00B06FB0">
        <w:rPr>
          <w:rFonts w:ascii="Traditional Arabic" w:hAnsi="Traditional Arabic"/>
          <w:sz w:val="32"/>
          <w:szCs w:val="32"/>
          <w:rtl/>
        </w:rPr>
        <w:t>الأ</w:t>
      </w:r>
      <w:r>
        <w:rPr>
          <w:rFonts w:ascii="Traditional Arabic" w:hAnsi="Traditional Arabic" w:hint="cs"/>
          <w:sz w:val="32"/>
          <w:szCs w:val="32"/>
          <w:rtl/>
        </w:rPr>
        <w:t>ل</w:t>
      </w:r>
      <w:r w:rsidRPr="00B06FB0">
        <w:rPr>
          <w:rFonts w:ascii="Traditional Arabic" w:hAnsi="Traditional Arabic"/>
          <w:sz w:val="32"/>
          <w:szCs w:val="32"/>
          <w:rtl/>
        </w:rPr>
        <w:t>باني في إرواء الغليل (5/239-244).</w:t>
      </w:r>
    </w:p>
  </w:footnote>
  <w:footnote w:id="1391">
    <w:p w:rsidR="000D3D21" w:rsidRPr="00B06FB0"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06FB0">
        <w:rPr>
          <w:rFonts w:ascii="Traditional Arabic" w:hAnsi="Traditional Arabic"/>
          <w:sz w:val="32"/>
          <w:szCs w:val="32"/>
          <w:rtl/>
        </w:rPr>
        <w:t>فتح ذي الجلال والإكرام (4/98-99)بتصرف.</w:t>
      </w:r>
    </w:p>
  </w:footnote>
  <w:footnote w:id="1392">
    <w:p w:rsidR="000D3D21" w:rsidRPr="00B06FB0" w:rsidRDefault="000D3D21" w:rsidP="00272836">
      <w:pPr>
        <w:pStyle w:val="a7"/>
        <w:pageBreakBefore/>
        <w:rPr>
          <w:rFonts w:ascii="Traditional Arabic" w:hAnsi="Traditional Arabic"/>
          <w:color w:val="auto"/>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06FB0">
        <w:rPr>
          <w:rFonts w:ascii="Traditional Arabic" w:hAnsi="Traditional Arabic"/>
          <w:sz w:val="32"/>
          <w:szCs w:val="32"/>
          <w:rtl/>
        </w:rPr>
        <w:t xml:space="preserve">قال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B06FB0">
        <w:rPr>
          <w:rFonts w:ascii="Traditional Arabic" w:hAnsi="Traditional Arabic"/>
          <w:sz w:val="32"/>
          <w:szCs w:val="32"/>
          <w:rtl/>
        </w:rPr>
        <w:t xml:space="preserve">: </w:t>
      </w:r>
      <w:r w:rsidRPr="00B06FB0">
        <w:rPr>
          <w:rFonts w:ascii="Traditional Arabic" w:hAnsi="Traditional Arabic"/>
          <w:color w:val="auto"/>
          <w:sz w:val="32"/>
          <w:szCs w:val="32"/>
          <w:rtl/>
        </w:rPr>
        <w:t>(</w:t>
      </w:r>
      <w:r w:rsidRPr="00B06FB0">
        <w:rPr>
          <w:rFonts w:ascii="Traditional Arabic" w:hAnsi="Traditional Arabic"/>
          <w:noProof w:val="0"/>
          <w:color w:val="auto"/>
          <w:sz w:val="32"/>
          <w:szCs w:val="32"/>
          <w:rtl/>
          <w:lang w:eastAsia="en-US"/>
        </w:rPr>
        <w:t>النماء المنفصل الذي ينفصل عن المبيع، احترازا من المتصل، فالمنفصل على اسمه، ما ليس متصلا بالمبيع، مثل: اللبن، والولد، والثمرة، والنماء المتصل ما لا يمكن انفكاكُه عن الأصل، مثل: السِّمن، وتعلُّم الصنعة، والصحة بعد المرض، وزوال العيب بعد وجوده).</w:t>
      </w:r>
      <w:r>
        <w:rPr>
          <w:rFonts w:ascii="Traditional Arabic" w:hAnsi="Traditional Arabic" w:hint="cs"/>
          <w:noProof w:val="0"/>
          <w:color w:val="auto"/>
          <w:sz w:val="32"/>
          <w:szCs w:val="32"/>
          <w:rtl/>
          <w:lang w:eastAsia="en-US"/>
        </w:rPr>
        <w:t xml:space="preserve"> </w:t>
      </w:r>
      <w:r w:rsidRPr="00B06FB0">
        <w:rPr>
          <w:rFonts w:ascii="Traditional Arabic" w:hAnsi="Traditional Arabic"/>
          <w:noProof w:val="0"/>
          <w:color w:val="auto"/>
          <w:sz w:val="32"/>
          <w:szCs w:val="32"/>
          <w:rtl/>
          <w:lang w:eastAsia="en-US"/>
        </w:rPr>
        <w:t>الشرح الممتع (8/285)</w:t>
      </w:r>
      <w:r>
        <w:rPr>
          <w:rFonts w:ascii="Traditional Arabic" w:hAnsi="Traditional Arabic" w:hint="cs"/>
          <w:noProof w:val="0"/>
          <w:color w:val="auto"/>
          <w:sz w:val="32"/>
          <w:szCs w:val="32"/>
          <w:rtl/>
          <w:lang w:eastAsia="en-US"/>
        </w:rPr>
        <w:t xml:space="preserve"> </w:t>
      </w:r>
      <w:r w:rsidRPr="00B06FB0">
        <w:rPr>
          <w:rFonts w:ascii="Traditional Arabic" w:hAnsi="Traditional Arabic"/>
          <w:noProof w:val="0"/>
          <w:color w:val="auto"/>
          <w:sz w:val="32"/>
          <w:szCs w:val="32"/>
          <w:rtl/>
          <w:lang w:eastAsia="en-US"/>
        </w:rPr>
        <w:t>بتصرف.</w:t>
      </w:r>
    </w:p>
  </w:footnote>
  <w:footnote w:id="1393">
    <w:p w:rsidR="000D3D21" w:rsidRPr="00B06FB0"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B06FB0">
        <w:rPr>
          <w:rFonts w:ascii="Traditional Arabic" w:hAnsi="Traditional Arabic"/>
          <w:sz w:val="32"/>
          <w:szCs w:val="32"/>
          <w:rtl/>
        </w:rPr>
        <w:t xml:space="preserve"> انظر </w:t>
      </w:r>
      <w:r>
        <w:rPr>
          <w:rFonts w:ascii="Traditional Arabic" w:hAnsi="Traditional Arabic" w:hint="cs"/>
          <w:sz w:val="32"/>
          <w:szCs w:val="32"/>
          <w:rtl/>
        </w:rPr>
        <w:t>الشرح الممتع (8/285)، و</w:t>
      </w:r>
      <w:r w:rsidRPr="00B06FB0">
        <w:rPr>
          <w:rFonts w:ascii="Traditional Arabic" w:hAnsi="Traditional Arabic"/>
          <w:sz w:val="32"/>
          <w:szCs w:val="32"/>
          <w:rtl/>
        </w:rPr>
        <w:t>الإنصاف للمرداوي (11/308)</w:t>
      </w:r>
      <w:r>
        <w:rPr>
          <w:rFonts w:ascii="Traditional Arabic" w:hAnsi="Traditional Arabic" w:hint="cs"/>
          <w:sz w:val="32"/>
          <w:szCs w:val="32"/>
          <w:rtl/>
        </w:rPr>
        <w:t>، وحاشية الروض المربع (4/428)</w:t>
      </w:r>
      <w:r w:rsidRPr="00B06FB0">
        <w:rPr>
          <w:rFonts w:ascii="Traditional Arabic" w:hAnsi="Traditional Arabic"/>
          <w:sz w:val="32"/>
          <w:szCs w:val="32"/>
          <w:rtl/>
        </w:rPr>
        <w:t>.</w:t>
      </w:r>
    </w:p>
  </w:footnote>
  <w:footnote w:id="1394">
    <w:p w:rsidR="000D3D21" w:rsidRPr="00B06FB0"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06FB0">
        <w:rPr>
          <w:rFonts w:ascii="Traditional Arabic" w:hAnsi="Traditional Arabic"/>
          <w:sz w:val="32"/>
          <w:szCs w:val="32"/>
          <w:rtl/>
        </w:rPr>
        <w:t>ا</w:t>
      </w:r>
      <w:r>
        <w:rPr>
          <w:rFonts w:ascii="Traditional Arabic" w:hAnsi="Traditional Arabic"/>
          <w:sz w:val="32"/>
          <w:szCs w:val="32"/>
          <w:rtl/>
        </w:rPr>
        <w:t xml:space="preserve">نظر تقرير القواعد </w:t>
      </w:r>
      <w:r>
        <w:rPr>
          <w:rFonts w:ascii="Traditional Arabic" w:hAnsi="Traditional Arabic" w:hint="cs"/>
          <w:sz w:val="32"/>
          <w:szCs w:val="32"/>
          <w:rtl/>
        </w:rPr>
        <w:t>لابن رجب</w:t>
      </w:r>
      <w:r w:rsidRPr="00B06FB0">
        <w:rPr>
          <w:rFonts w:ascii="Traditional Arabic" w:hAnsi="Traditional Arabic"/>
          <w:sz w:val="32"/>
          <w:szCs w:val="32"/>
          <w:rtl/>
        </w:rPr>
        <w:t xml:space="preserve"> (2/153).</w:t>
      </w:r>
    </w:p>
  </w:footnote>
  <w:footnote w:id="1395">
    <w:p w:rsidR="000D3D21" w:rsidRPr="00B06FB0"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06FB0">
        <w:rPr>
          <w:rFonts w:ascii="Traditional Arabic" w:hAnsi="Traditional Arabic"/>
          <w:sz w:val="32"/>
          <w:szCs w:val="32"/>
          <w:rtl/>
        </w:rPr>
        <w:t>انظر الأخبار العلمية من الاختيارات الفقهية لشيخ الإسلام ابن تيمية (186).</w:t>
      </w:r>
    </w:p>
  </w:footnote>
  <w:footnote w:id="1396">
    <w:p w:rsidR="000D3D21" w:rsidRPr="004B4BEC"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4B4BEC">
        <w:rPr>
          <w:rFonts w:ascii="Traditional Arabic" w:hAnsi="Traditional Arabic"/>
          <w:sz w:val="32"/>
          <w:szCs w:val="32"/>
          <w:rtl/>
        </w:rPr>
        <w:t xml:space="preserve"> انظر الشرح الممتع (8/285)، والقواعد والضوابط الفقهية للمعاملات المالية </w:t>
      </w:r>
      <w:r>
        <w:rPr>
          <w:rFonts w:ascii="Traditional Arabic" w:hAnsi="Traditional Arabic" w:hint="cs"/>
          <w:sz w:val="32"/>
          <w:szCs w:val="32"/>
          <w:rtl/>
        </w:rPr>
        <w:t xml:space="preserve">عند ابن تيمية </w:t>
      </w:r>
      <w:r w:rsidRPr="004B4BEC">
        <w:rPr>
          <w:rFonts w:ascii="Traditional Arabic" w:hAnsi="Traditional Arabic"/>
          <w:sz w:val="32"/>
          <w:szCs w:val="32"/>
          <w:rtl/>
        </w:rPr>
        <w:t>(2/262).</w:t>
      </w:r>
    </w:p>
  </w:footnote>
  <w:footnote w:id="1397">
    <w:p w:rsidR="000D3D21" w:rsidRPr="004B4BEC"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BEC">
        <w:rPr>
          <w:rFonts w:ascii="Traditional Arabic" w:hAnsi="Traditional Arabic"/>
          <w:sz w:val="32"/>
          <w:szCs w:val="32"/>
          <w:rtl/>
        </w:rPr>
        <w:t>تقدم تخريجه.</w:t>
      </w:r>
    </w:p>
  </w:footnote>
  <w:footnote w:id="1398">
    <w:p w:rsidR="000D3D21" w:rsidRPr="004B4BEC" w:rsidRDefault="000D3D21" w:rsidP="0027283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BEC">
        <w:rPr>
          <w:rFonts w:ascii="Traditional Arabic" w:hAnsi="Traditional Arabic"/>
          <w:sz w:val="32"/>
          <w:szCs w:val="32"/>
          <w:rtl/>
        </w:rPr>
        <w:t>الشرح الممتع (10/269)بتصرف.</w:t>
      </w:r>
    </w:p>
  </w:footnote>
  <w:footnote w:id="1399">
    <w:p w:rsidR="000D3D21" w:rsidRPr="004B4BEC" w:rsidRDefault="000D3D21" w:rsidP="005C704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Pr>
          <w:rFonts w:ascii="Traditional Arabic" w:hAnsi="Traditional Arabic"/>
          <w:b/>
          <w:bCs/>
          <w:sz w:val="32"/>
          <w:szCs w:val="32"/>
          <w:rtl/>
        </w:rPr>
        <w:t>الدية</w:t>
      </w:r>
      <w:r w:rsidR="00AB0B9E">
        <w:rPr>
          <w:rFonts w:ascii="Traditional Arabic" w:hAnsi="Traditional Arabic"/>
          <w:b/>
          <w:bCs/>
          <w:sz w:val="32"/>
          <w:szCs w:val="32"/>
          <w:rtl/>
        </w:rPr>
        <w:fldChar w:fldCharType="begin"/>
      </w:r>
      <w:r>
        <w:instrText xml:space="preserve"> XE "</w:instrText>
      </w:r>
      <w:r w:rsidRPr="005C704E">
        <w:rPr>
          <w:rFonts w:ascii="Traditional Arabic" w:hAnsi="Traditional Arabic"/>
          <w:sz w:val="32"/>
          <w:szCs w:val="32"/>
          <w:rtl/>
        </w:rPr>
        <w:instrText>الدية</w:instrText>
      </w:r>
      <w:r>
        <w:instrText xml:space="preserve">" </w:instrText>
      </w:r>
      <w:r w:rsidRPr="005C704E">
        <w:instrText>\fm</w:instrText>
      </w:r>
      <w:r w:rsidR="00AB0B9E">
        <w:rPr>
          <w:rFonts w:ascii="Traditional Arabic" w:hAnsi="Traditional Arabic"/>
          <w:b/>
          <w:bCs/>
          <w:sz w:val="32"/>
          <w:szCs w:val="32"/>
          <w:rtl/>
        </w:rPr>
        <w:fldChar w:fldCharType="end"/>
      </w:r>
      <w:r w:rsidRPr="004B4BEC">
        <w:rPr>
          <w:rFonts w:ascii="Traditional Arabic" w:hAnsi="Traditional Arabic"/>
          <w:b/>
          <w:bCs/>
          <w:sz w:val="32"/>
          <w:szCs w:val="32"/>
          <w:rtl/>
        </w:rPr>
        <w:t xml:space="preserve">: </w:t>
      </w:r>
      <w:r w:rsidRPr="004B4BEC">
        <w:rPr>
          <w:rFonts w:ascii="Traditional Arabic" w:hAnsi="Traditional Arabic"/>
          <w:noProof w:val="0"/>
          <w:sz w:val="32"/>
          <w:szCs w:val="32"/>
          <w:rtl/>
          <w:lang w:eastAsia="en-US"/>
        </w:rPr>
        <w:t>ودى القاتلُ القتيلَ يَدِيهِ دِيَةً: إذا أعطى وليَّه المالَ الذي هو بَدَلُ النفس</w:t>
      </w:r>
      <w:r w:rsidRPr="004B4BEC">
        <w:rPr>
          <w:rFonts w:ascii="Traditional Arabic" w:hAnsi="Traditional Arabic"/>
          <w:sz w:val="32"/>
          <w:szCs w:val="32"/>
          <w:rtl/>
        </w:rPr>
        <w:t xml:space="preserve">.المصباح المنير </w:t>
      </w:r>
      <w:r>
        <w:rPr>
          <w:rFonts w:ascii="Traditional Arabic" w:hAnsi="Traditional Arabic" w:hint="cs"/>
          <w:sz w:val="32"/>
          <w:szCs w:val="32"/>
          <w:rtl/>
        </w:rPr>
        <w:t>(536)</w:t>
      </w:r>
      <w:r w:rsidRPr="004B4BEC">
        <w:rPr>
          <w:rFonts w:ascii="Traditional Arabic" w:hAnsi="Traditional Arabic"/>
          <w:sz w:val="32"/>
          <w:szCs w:val="32"/>
          <w:rtl/>
        </w:rPr>
        <w:t>.</w:t>
      </w:r>
    </w:p>
  </w:footnote>
  <w:footnote w:id="1400">
    <w:p w:rsidR="000D3D21" w:rsidRPr="004B4BEC" w:rsidRDefault="000D3D21" w:rsidP="005C704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Pr>
          <w:rFonts w:ascii="Traditional Arabic" w:hAnsi="Traditional Arabic"/>
          <w:b/>
          <w:bCs/>
          <w:sz w:val="32"/>
          <w:szCs w:val="32"/>
          <w:rtl/>
        </w:rPr>
        <w:t>العصبة</w:t>
      </w:r>
      <w:r w:rsidR="00AB0B9E">
        <w:rPr>
          <w:rFonts w:ascii="Traditional Arabic" w:hAnsi="Traditional Arabic"/>
          <w:b/>
          <w:bCs/>
          <w:sz w:val="32"/>
          <w:szCs w:val="32"/>
          <w:rtl/>
        </w:rPr>
        <w:fldChar w:fldCharType="begin"/>
      </w:r>
      <w:r>
        <w:instrText xml:space="preserve"> XE "</w:instrText>
      </w:r>
      <w:r w:rsidRPr="005C704E">
        <w:rPr>
          <w:rFonts w:ascii="Traditional Arabic" w:hAnsi="Traditional Arabic"/>
          <w:sz w:val="32"/>
          <w:szCs w:val="32"/>
          <w:rtl/>
        </w:rPr>
        <w:instrText>العصبة</w:instrText>
      </w:r>
      <w:r>
        <w:instrText xml:space="preserve">" </w:instrText>
      </w:r>
      <w:r w:rsidRPr="005C704E">
        <w:instrText>\fm</w:instrText>
      </w:r>
      <w:r w:rsidR="00AB0B9E">
        <w:rPr>
          <w:rFonts w:ascii="Traditional Arabic" w:hAnsi="Traditional Arabic"/>
          <w:b/>
          <w:bCs/>
          <w:sz w:val="32"/>
          <w:szCs w:val="32"/>
          <w:rtl/>
        </w:rPr>
        <w:fldChar w:fldCharType="end"/>
      </w:r>
      <w:r w:rsidRPr="004B4BEC">
        <w:rPr>
          <w:rFonts w:ascii="Traditional Arabic" w:hAnsi="Traditional Arabic"/>
          <w:b/>
          <w:bCs/>
          <w:sz w:val="32"/>
          <w:szCs w:val="32"/>
          <w:rtl/>
        </w:rPr>
        <w:t xml:space="preserve">: </w:t>
      </w:r>
      <w:r w:rsidRPr="004B4BEC">
        <w:rPr>
          <w:rFonts w:ascii="Traditional Arabic" w:hAnsi="Traditional Arabic"/>
          <w:sz w:val="32"/>
          <w:szCs w:val="32"/>
          <w:rtl/>
        </w:rPr>
        <w:t xml:space="preserve">جمع عاصب، </w:t>
      </w:r>
      <w:r w:rsidRPr="004B4BEC">
        <w:rPr>
          <w:rFonts w:ascii="Traditional Arabic" w:hAnsi="Traditional Arabic"/>
          <w:noProof w:val="0"/>
          <w:sz w:val="32"/>
          <w:szCs w:val="32"/>
          <w:rtl/>
          <w:lang w:eastAsia="en-US"/>
        </w:rPr>
        <w:t>وهم القرابة الذكور الذين يدلون بالذكور</w:t>
      </w:r>
      <w:r w:rsidRPr="004B4BEC">
        <w:rPr>
          <w:rFonts w:ascii="Traditional Arabic" w:hAnsi="Traditional Arabic"/>
          <w:sz w:val="32"/>
          <w:szCs w:val="32"/>
          <w:rtl/>
        </w:rPr>
        <w:t>.</w:t>
      </w:r>
      <w:r>
        <w:rPr>
          <w:rFonts w:ascii="Traditional Arabic" w:hAnsi="Traditional Arabic" w:hint="cs"/>
          <w:sz w:val="32"/>
          <w:szCs w:val="32"/>
          <w:rtl/>
        </w:rPr>
        <w:t xml:space="preserve"> </w:t>
      </w:r>
      <w:r w:rsidRPr="004B4BEC">
        <w:rPr>
          <w:rFonts w:ascii="Traditional Arabic" w:hAnsi="Traditional Arabic"/>
          <w:sz w:val="32"/>
          <w:szCs w:val="32"/>
          <w:rtl/>
        </w:rPr>
        <w:t xml:space="preserve">المرجع السابق </w:t>
      </w:r>
      <w:r>
        <w:rPr>
          <w:rFonts w:ascii="Traditional Arabic" w:hAnsi="Traditional Arabic" w:hint="cs"/>
          <w:sz w:val="32"/>
          <w:szCs w:val="32"/>
          <w:rtl/>
        </w:rPr>
        <w:t>(336)</w:t>
      </w:r>
      <w:r w:rsidRPr="004B4BEC">
        <w:rPr>
          <w:rFonts w:ascii="Traditional Arabic" w:hAnsi="Traditional Arabic"/>
          <w:sz w:val="32"/>
          <w:szCs w:val="32"/>
          <w:rtl/>
        </w:rPr>
        <w:t>.</w:t>
      </w:r>
    </w:p>
  </w:footnote>
  <w:footnote w:id="1401">
    <w:p w:rsidR="000D3D21" w:rsidRPr="00DC2DA0" w:rsidRDefault="000D3D21" w:rsidP="0027283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موسوعة القواعد الفقهية للبورنو (3/275)</w:t>
      </w:r>
      <w:r>
        <w:rPr>
          <w:rFonts w:ascii="Traditional Arabic" w:hAnsi="Traditional Arabic" w:hint="cs"/>
          <w:sz w:val="32"/>
          <w:szCs w:val="32"/>
          <w:rtl/>
        </w:rPr>
        <w:t xml:space="preserve"> </w:t>
      </w:r>
      <w:r>
        <w:rPr>
          <w:rFonts w:ascii="Traditional Arabic" w:hAnsi="Traditional Arabic"/>
          <w:sz w:val="32"/>
          <w:szCs w:val="32"/>
          <w:rtl/>
        </w:rPr>
        <w:t>بتصرف</w:t>
      </w:r>
      <w:r>
        <w:rPr>
          <w:rFonts w:ascii="Traditional Arabic" w:hAnsi="Traditional Arabic" w:hint="cs"/>
          <w:sz w:val="32"/>
          <w:szCs w:val="32"/>
          <w:rtl/>
        </w:rPr>
        <w:t>.</w:t>
      </w:r>
    </w:p>
  </w:footnote>
  <w:footnote w:id="1402">
    <w:p w:rsidR="000D3D21" w:rsidRPr="006B1FFF"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B1FFF">
        <w:rPr>
          <w:rFonts w:ascii="Traditional Arabic" w:hAnsi="Traditional Arabic"/>
          <w:sz w:val="32"/>
          <w:szCs w:val="32"/>
          <w:rtl/>
        </w:rPr>
        <w:t>مما ي</w:t>
      </w:r>
      <w:r>
        <w:rPr>
          <w:rFonts w:ascii="Traditional Arabic" w:hAnsi="Traditional Arabic" w:hint="cs"/>
          <w:sz w:val="32"/>
          <w:szCs w:val="32"/>
          <w:rtl/>
        </w:rPr>
        <w:t>ُ</w:t>
      </w:r>
      <w:r w:rsidRPr="006B1FFF">
        <w:rPr>
          <w:rFonts w:ascii="Traditional Arabic" w:hAnsi="Traditional Arabic"/>
          <w:sz w:val="32"/>
          <w:szCs w:val="32"/>
          <w:rtl/>
        </w:rPr>
        <w:t>لحظ على صيغ هذه القاعدة أنها متشابهة وتفيد معنى واحدا؛ لهذا قمت ب</w:t>
      </w:r>
      <w:r>
        <w:rPr>
          <w:rFonts w:ascii="Traditional Arabic" w:hAnsi="Traditional Arabic"/>
          <w:sz w:val="32"/>
          <w:szCs w:val="32"/>
          <w:rtl/>
        </w:rPr>
        <w:t>اختيار إحداها</w:t>
      </w:r>
      <w:r>
        <w:rPr>
          <w:rFonts w:ascii="Traditional Arabic" w:hAnsi="Traditional Arabic" w:hint="cs"/>
          <w:sz w:val="32"/>
          <w:szCs w:val="32"/>
          <w:rtl/>
        </w:rPr>
        <w:t xml:space="preserve"> مطلقا</w:t>
      </w:r>
      <w:r w:rsidRPr="006B1FFF">
        <w:rPr>
          <w:rFonts w:ascii="Traditional Arabic" w:hAnsi="Traditional Arabic"/>
          <w:sz w:val="32"/>
          <w:szCs w:val="32"/>
          <w:rtl/>
        </w:rPr>
        <w:t xml:space="preserve">. </w:t>
      </w:r>
    </w:p>
  </w:footnote>
  <w:footnote w:id="1403">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الشرح الممتع (6/45)</w:t>
      </w:r>
    </w:p>
  </w:footnote>
  <w:footnote w:id="1404">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المرجع السابق (9/197).</w:t>
      </w:r>
    </w:p>
  </w:footnote>
  <w:footnote w:id="1405">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المرجع السابق (10/119).</w:t>
      </w:r>
    </w:p>
  </w:footnote>
  <w:footnote w:id="1406">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الشرح الممتع (10/287)، وانظر التعليق على القواعد والأصول الجامعة (101).</w:t>
      </w:r>
    </w:p>
  </w:footnote>
  <w:footnote w:id="1407">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فتح ذي الجلال والإكرام (4/235) بتصرف.</w:t>
      </w:r>
    </w:p>
  </w:footnote>
  <w:footnote w:id="1408">
    <w:p w:rsidR="000D3D21" w:rsidRPr="00683A0B" w:rsidRDefault="000D3D21" w:rsidP="00546122">
      <w:pPr>
        <w:pStyle w:val="a7"/>
        <w:pageBreakBefore/>
        <w:rPr>
          <w:rFonts w:ascii="Tahoma" w:hAnsi="Tahoma"/>
          <w:sz w:val="32"/>
          <w:szCs w:val="32"/>
        </w:rPr>
      </w:pPr>
      <w:r w:rsidRPr="00683A0B">
        <w:rPr>
          <w:rFonts w:ascii="Tahoma" w:hAnsi="Tahoma"/>
          <w:sz w:val="32"/>
          <w:szCs w:val="32"/>
          <w:rtl/>
        </w:rPr>
        <w:t>(</w:t>
      </w:r>
      <w:r w:rsidRPr="00683A0B">
        <w:rPr>
          <w:rStyle w:val="af1"/>
          <w:rFonts w:ascii="Tahoma" w:hAnsi="Tahoma"/>
          <w:sz w:val="32"/>
          <w:szCs w:val="32"/>
          <w:vertAlign w:val="baseline"/>
          <w:rtl/>
        </w:rPr>
        <w:footnoteRef/>
      </w:r>
      <w:r w:rsidRPr="00683A0B">
        <w:rPr>
          <w:rFonts w:ascii="Tahoma" w:hAnsi="Tahoma"/>
          <w:sz w:val="32"/>
          <w:szCs w:val="32"/>
          <w:rtl/>
        </w:rPr>
        <w:t>)</w:t>
      </w:r>
      <w:r w:rsidRPr="00683A0B">
        <w:rPr>
          <w:rFonts w:ascii="Tahoma" w:hAnsi="Tahoma" w:hint="cs"/>
          <w:sz w:val="32"/>
          <w:szCs w:val="32"/>
          <w:rtl/>
        </w:rPr>
        <w:t xml:space="preserve"> التعليق على قواعد ابن رجب (1/311).</w:t>
      </w:r>
    </w:p>
  </w:footnote>
  <w:footnote w:id="1409">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القواعد والأصول الجامعة (61).</w:t>
      </w:r>
    </w:p>
  </w:footnote>
  <w:footnote w:id="1410">
    <w:p w:rsidR="000D3D21" w:rsidRPr="00673D65" w:rsidRDefault="000D3D21" w:rsidP="00546122">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 xml:space="preserve">المصباح المنير </w:t>
      </w:r>
      <w:r>
        <w:rPr>
          <w:rFonts w:ascii="Traditional Arabic" w:hAnsi="Traditional Arabic" w:hint="cs"/>
          <w:sz w:val="32"/>
          <w:szCs w:val="32"/>
          <w:rtl/>
        </w:rPr>
        <w:t xml:space="preserve">(324) </w:t>
      </w:r>
      <w:r w:rsidRPr="002A14C0">
        <w:rPr>
          <w:rFonts w:ascii="Traditional Arabic" w:hAnsi="Traditional Arabic"/>
          <w:sz w:val="32"/>
          <w:szCs w:val="32"/>
          <w:rtl/>
        </w:rPr>
        <w:t>بتصرف.</w:t>
      </w:r>
    </w:p>
  </w:footnote>
  <w:footnote w:id="1411">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مقاييس اللغة (4/249).</w:t>
      </w:r>
    </w:p>
  </w:footnote>
  <w:footnote w:id="1412">
    <w:p w:rsidR="000D3D21" w:rsidRPr="002A14C0" w:rsidRDefault="000D3D21" w:rsidP="00801B7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القواعد والأصول الجامعة (62).</w:t>
      </w:r>
    </w:p>
  </w:footnote>
  <w:footnote w:id="1413">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 xml:space="preserve">انظر المصباح المنير </w:t>
      </w:r>
      <w:r>
        <w:rPr>
          <w:rFonts w:ascii="Traditional Arabic" w:hAnsi="Traditional Arabic" w:hint="cs"/>
          <w:sz w:val="32"/>
          <w:szCs w:val="32"/>
          <w:rtl/>
        </w:rPr>
        <w:t>(382)</w:t>
      </w:r>
      <w:r>
        <w:rPr>
          <w:rFonts w:ascii="Traditional Arabic" w:hAnsi="Traditional Arabic"/>
          <w:sz w:val="32"/>
          <w:szCs w:val="32"/>
          <w:rtl/>
        </w:rPr>
        <w:t xml:space="preserve">، والمطلع </w:t>
      </w:r>
      <w:r w:rsidRPr="002A14C0">
        <w:rPr>
          <w:rFonts w:ascii="Traditional Arabic" w:hAnsi="Traditional Arabic"/>
          <w:sz w:val="32"/>
          <w:szCs w:val="32"/>
          <w:rtl/>
        </w:rPr>
        <w:t>على أبواب المقنع (310).</w:t>
      </w:r>
    </w:p>
  </w:footnote>
  <w:footnote w:id="1414">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مقاييس اللغة (4/490).</w:t>
      </w:r>
    </w:p>
  </w:footnote>
  <w:footnote w:id="1415">
    <w:p w:rsidR="000D3D21" w:rsidRPr="002A14C0" w:rsidRDefault="000D3D21" w:rsidP="00801B7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القواعد والأصول الجامعة (62).</w:t>
      </w:r>
    </w:p>
  </w:footnote>
  <w:footnote w:id="1416">
    <w:p w:rsidR="000D3D21" w:rsidRPr="002A14C0"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A14C0">
        <w:rPr>
          <w:rFonts w:ascii="Traditional Arabic" w:hAnsi="Traditional Arabic"/>
          <w:sz w:val="32"/>
          <w:szCs w:val="32"/>
          <w:rtl/>
        </w:rPr>
        <w:t>الشرح الممتع (9/391).وانظر: (9/147، 197)، والتعليق على القواعد والأصول الجامعة (44، 101).</w:t>
      </w:r>
    </w:p>
  </w:footnote>
  <w:footnote w:id="1417">
    <w:p w:rsidR="000D3D21" w:rsidRPr="005C0948"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0948">
        <w:rPr>
          <w:rFonts w:ascii="Traditional Arabic" w:hAnsi="Traditional Arabic"/>
          <w:sz w:val="32"/>
          <w:szCs w:val="32"/>
          <w:rtl/>
        </w:rPr>
        <w:t>انظر الشرح الممتع (9/198، 390)، والقواعد والأصول الجامعة (62-63).</w:t>
      </w:r>
    </w:p>
  </w:footnote>
  <w:footnote w:id="1418">
    <w:p w:rsidR="000D3D21" w:rsidRPr="005C0948"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0948">
        <w:rPr>
          <w:rFonts w:ascii="Traditional Arabic" w:hAnsi="Traditional Arabic"/>
          <w:sz w:val="32"/>
          <w:szCs w:val="32"/>
          <w:rtl/>
        </w:rPr>
        <w:t>انظر الشرح الممتع (10/287، 304)، وشرح منظومة أصول الفقه وقواعده (260، 299).</w:t>
      </w:r>
    </w:p>
  </w:footnote>
  <w:footnote w:id="1419">
    <w:p w:rsidR="000D3D21" w:rsidRPr="009E02A1" w:rsidRDefault="000D3D21" w:rsidP="00546122">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تيسير الكريم الرحمن</w:t>
      </w:r>
      <w:r>
        <w:rPr>
          <w:rFonts w:ascii="Traditional Arabic" w:hAnsi="Traditional Arabic" w:hint="cs"/>
          <w:sz w:val="32"/>
          <w:szCs w:val="32"/>
          <w:rtl/>
        </w:rPr>
        <w:t xml:space="preserve"> (348).</w:t>
      </w:r>
    </w:p>
  </w:footnote>
  <w:footnote w:id="1420">
    <w:p w:rsidR="000D3D21" w:rsidRPr="005C0948" w:rsidRDefault="000D3D21" w:rsidP="00475F5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75F59">
        <w:rPr>
          <w:rFonts w:ascii="Traditional Arabic" w:hAnsi="Traditional Arabic"/>
          <w:noProof w:val="0"/>
          <w:sz w:val="32"/>
          <w:szCs w:val="32"/>
          <w:rtl/>
          <w:lang w:eastAsia="en-US"/>
        </w:rPr>
        <w:t>وذلك بأن يس</w:t>
      </w:r>
      <w:r>
        <w:rPr>
          <w:rFonts w:ascii="Traditional Arabic" w:hAnsi="Traditional Arabic"/>
          <w:noProof w:val="0"/>
          <w:sz w:val="32"/>
          <w:szCs w:val="32"/>
          <w:rtl/>
          <w:lang w:eastAsia="en-US"/>
        </w:rPr>
        <w:t>اوم إنسانًا على عين،</w:t>
      </w:r>
      <w:r w:rsidRPr="00475F59">
        <w:rPr>
          <w:rFonts w:ascii="Traditional Arabic" w:hAnsi="Traditional Arabic"/>
          <w:noProof w:val="0"/>
          <w:sz w:val="32"/>
          <w:szCs w:val="32"/>
          <w:rtl/>
          <w:lang w:eastAsia="en-US"/>
        </w:rPr>
        <w:t xml:space="preserve"> ثم يأخذها ليريها أهله، فإن رضوها أخذها، وإلا ردها لربها</w:t>
      </w:r>
      <w:r w:rsidRPr="00475F59">
        <w:rPr>
          <w:rFonts w:ascii="Traditional Arabic" w:hAnsi="Traditional Arabic"/>
          <w:sz w:val="32"/>
          <w:szCs w:val="32"/>
          <w:rtl/>
        </w:rPr>
        <w:t>.</w:t>
      </w:r>
      <w:r>
        <w:rPr>
          <w:rFonts w:ascii="Traditional Arabic" w:hAnsi="Traditional Arabic" w:hint="cs"/>
          <w:sz w:val="32"/>
          <w:szCs w:val="32"/>
          <w:rtl/>
        </w:rPr>
        <w:t xml:space="preserve"> حاشية الروض المربع (5/104) بتصرف</w:t>
      </w:r>
      <w:r w:rsidRPr="005C0948">
        <w:rPr>
          <w:rFonts w:ascii="Traditional Arabic" w:hAnsi="Traditional Arabic"/>
          <w:sz w:val="32"/>
          <w:szCs w:val="32"/>
          <w:rtl/>
        </w:rPr>
        <w:t>.</w:t>
      </w:r>
    </w:p>
  </w:footnote>
  <w:footnote w:id="1421">
    <w:p w:rsidR="000D3D21" w:rsidRPr="005C0948"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0948">
        <w:rPr>
          <w:rFonts w:ascii="Traditional Arabic" w:hAnsi="Traditional Arabic"/>
          <w:sz w:val="32"/>
          <w:szCs w:val="32"/>
          <w:rtl/>
        </w:rPr>
        <w:t>ا</w:t>
      </w:r>
      <w:r>
        <w:rPr>
          <w:rFonts w:ascii="Traditional Arabic" w:hAnsi="Traditional Arabic"/>
          <w:sz w:val="32"/>
          <w:szCs w:val="32"/>
          <w:rtl/>
        </w:rPr>
        <w:t>نظر تقرير القواعد</w:t>
      </w:r>
      <w:r w:rsidRPr="005C0948">
        <w:rPr>
          <w:rFonts w:ascii="Traditional Arabic" w:hAnsi="Traditional Arabic"/>
          <w:sz w:val="32"/>
          <w:szCs w:val="32"/>
          <w:rtl/>
        </w:rPr>
        <w:t xml:space="preserve"> </w:t>
      </w:r>
      <w:r>
        <w:rPr>
          <w:rFonts w:ascii="Traditional Arabic" w:hAnsi="Traditional Arabic" w:hint="cs"/>
          <w:sz w:val="32"/>
          <w:szCs w:val="32"/>
          <w:rtl/>
        </w:rPr>
        <w:t xml:space="preserve">لابن رجب </w:t>
      </w:r>
      <w:r w:rsidRPr="005C0948">
        <w:rPr>
          <w:rFonts w:ascii="Traditional Arabic" w:hAnsi="Traditional Arabic"/>
          <w:sz w:val="32"/>
          <w:szCs w:val="32"/>
          <w:rtl/>
        </w:rPr>
        <w:t>(1/3309)، والإنصاف للمرداوي (13/38).</w:t>
      </w:r>
    </w:p>
  </w:footnote>
  <w:footnote w:id="1422">
    <w:p w:rsidR="000D3D21" w:rsidRPr="00F81810" w:rsidRDefault="000D3D21" w:rsidP="00546122">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0948">
        <w:rPr>
          <w:rFonts w:ascii="Traditional Arabic" w:hAnsi="Traditional Arabic"/>
          <w:sz w:val="32"/>
          <w:szCs w:val="32"/>
          <w:rtl/>
        </w:rPr>
        <w:t>انظر المرجعين السابقين</w:t>
      </w:r>
      <w:r>
        <w:rPr>
          <w:rFonts w:ascii="Traditional Arabic" w:hAnsi="Traditional Arabic" w:hint="cs"/>
          <w:sz w:val="32"/>
          <w:szCs w:val="32"/>
          <w:rtl/>
        </w:rPr>
        <w:t>.</w:t>
      </w:r>
    </w:p>
  </w:footnote>
  <w:footnote w:id="1423">
    <w:p w:rsidR="000D3D21" w:rsidRPr="00F42012"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42012">
        <w:rPr>
          <w:rFonts w:ascii="Traditional Arabic" w:hAnsi="Traditional Arabic"/>
          <w:sz w:val="32"/>
          <w:szCs w:val="32"/>
          <w:rtl/>
        </w:rPr>
        <w:t>الشرح الممتع (9/196-197)بتصرف.</w:t>
      </w:r>
    </w:p>
  </w:footnote>
  <w:footnote w:id="1424">
    <w:p w:rsidR="000D3D21" w:rsidRPr="00F42012"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F42012">
        <w:rPr>
          <w:rFonts w:ascii="Traditional Arabic" w:hAnsi="Traditional Arabic"/>
          <w:sz w:val="32"/>
          <w:szCs w:val="32"/>
          <w:rtl/>
        </w:rPr>
        <w:t xml:space="preserve"> (10/81).</w:t>
      </w:r>
    </w:p>
  </w:footnote>
  <w:footnote w:id="1425">
    <w:p w:rsidR="000D3D21" w:rsidRPr="00F42012" w:rsidRDefault="000D3D21" w:rsidP="0054612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42012">
        <w:rPr>
          <w:rFonts w:ascii="Traditional Arabic" w:hAnsi="Traditional Arabic"/>
          <w:sz w:val="32"/>
          <w:szCs w:val="32"/>
          <w:rtl/>
        </w:rPr>
        <w:t>المرجع السابق (10/287)بتصرف.</w:t>
      </w:r>
    </w:p>
  </w:footnote>
  <w:footnote w:id="1426">
    <w:p w:rsidR="000D3D21" w:rsidRPr="00F42012" w:rsidRDefault="000D3D21" w:rsidP="00546122">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شرح الممتع (10/287)</w:t>
      </w:r>
      <w:r w:rsidRPr="00F42012">
        <w:rPr>
          <w:rFonts w:ascii="Traditional Arabic" w:hAnsi="Traditional Arabic"/>
          <w:sz w:val="32"/>
          <w:szCs w:val="32"/>
          <w:rtl/>
        </w:rPr>
        <w:t xml:space="preserve"> بتصرف.</w:t>
      </w:r>
    </w:p>
  </w:footnote>
  <w:footnote w:id="1427">
    <w:p w:rsidR="000D3D21" w:rsidRPr="00625CBF"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25CBF">
        <w:rPr>
          <w:rFonts w:ascii="Traditional Arabic" w:hAnsi="Traditional Arabic"/>
          <w:sz w:val="32"/>
          <w:szCs w:val="32"/>
          <w:rtl/>
        </w:rPr>
        <w:t xml:space="preserve">اخترت هذه الصيغة؛ لأن الشيخ </w:t>
      </w:r>
      <w:r>
        <w:rPr>
          <w:rFonts w:ascii="Traditional Arabic" w:hAnsi="Traditional Arabic" w:hint="cs"/>
          <w:sz w:val="32"/>
          <w:szCs w:val="32"/>
          <w:rtl/>
        </w:rPr>
        <w:t xml:space="preserve">ابن عثيمين </w:t>
      </w:r>
      <w:r w:rsidRPr="00625CBF">
        <w:rPr>
          <w:rFonts w:ascii="Traditional Arabic" w:hAnsi="Traditional Arabic"/>
          <w:sz w:val="32"/>
          <w:szCs w:val="32"/>
          <w:rtl/>
        </w:rPr>
        <w:t xml:space="preserve">نص على كونها قاعدة، وقد ذكر ذلك عند شرح كلام </w:t>
      </w:r>
      <w:r>
        <w:rPr>
          <w:rFonts w:ascii="Traditional Arabic" w:hAnsi="Traditional Arabic" w:hint="cs"/>
          <w:sz w:val="32"/>
          <w:szCs w:val="32"/>
          <w:rtl/>
        </w:rPr>
        <w:t xml:space="preserve"> </w:t>
      </w:r>
      <w:r w:rsidRPr="00625CBF">
        <w:rPr>
          <w:rFonts w:ascii="Traditional Arabic" w:hAnsi="Traditional Arabic"/>
          <w:sz w:val="32"/>
          <w:szCs w:val="32"/>
          <w:rtl/>
        </w:rPr>
        <w:t xml:space="preserve">الحجاوي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625CBF">
        <w:rPr>
          <w:rFonts w:ascii="Traditional Arabic" w:hAnsi="Traditional Arabic"/>
          <w:sz w:val="32"/>
          <w:szCs w:val="32"/>
          <w:rtl/>
        </w:rPr>
        <w:t>: (</w:t>
      </w:r>
      <w:r w:rsidRPr="00625CBF">
        <w:rPr>
          <w:rFonts w:ascii="Traditional Arabic" w:hAnsi="Traditional Arabic"/>
          <w:noProof w:val="0"/>
          <w:color w:val="auto"/>
          <w:sz w:val="32"/>
          <w:szCs w:val="32"/>
          <w:rtl/>
          <w:lang w:eastAsia="en-US"/>
        </w:rPr>
        <w:t xml:space="preserve">ومن أتلف محترما، أو فتح قفصا، أو بابا، أو حل وكاء، أو رباطا أو قيدا، فذهب ما فيه...ضمنه)، حيث </w:t>
      </w:r>
      <w:r>
        <w:rPr>
          <w:rFonts w:ascii="Traditional Arabic" w:hAnsi="Traditional Arabic" w:hint="cs"/>
          <w:noProof w:val="0"/>
          <w:color w:val="auto"/>
          <w:sz w:val="32"/>
          <w:szCs w:val="32"/>
          <w:rtl/>
          <w:lang w:eastAsia="en-US"/>
        </w:rPr>
        <w:t xml:space="preserve">إنه </w:t>
      </w:r>
      <w:r>
        <w:rPr>
          <w:rFonts w:ascii="Traditional Arabic" w:hAnsi="Traditional Arabic"/>
          <w:noProof w:val="0"/>
          <w:color w:val="auto"/>
          <w:sz w:val="32"/>
          <w:szCs w:val="32"/>
          <w:rtl/>
          <w:lang w:eastAsia="en-US"/>
        </w:rPr>
        <w:t>قال</w:t>
      </w:r>
      <w:r w:rsidRPr="00625CBF">
        <w:rPr>
          <w:rFonts w:ascii="Traditional Arabic" w:hAnsi="Traditional Arabic"/>
          <w:noProof w:val="0"/>
          <w:color w:val="auto"/>
          <w:sz w:val="32"/>
          <w:szCs w:val="32"/>
          <w:rtl/>
          <w:lang w:eastAsia="en-US"/>
        </w:rPr>
        <w:t>: (</w:t>
      </w:r>
      <w:r w:rsidRPr="00625CBF">
        <w:rPr>
          <w:rFonts w:ascii="Traditional Arabic" w:hAnsi="Traditional Arabic"/>
          <w:noProof w:val="0"/>
          <w:sz w:val="32"/>
          <w:szCs w:val="32"/>
          <w:rtl/>
          <w:lang w:eastAsia="en-US"/>
        </w:rPr>
        <w:t>وهذا الذي ذكره المؤلف-</w:t>
      </w:r>
      <w:r>
        <w:rPr>
          <w:rFonts w:ascii="Traditional Arabic" w:hAnsi="Traditional Arabic" w:cs="CTraditional Arabic" w:hint="cs"/>
          <w:rtl/>
        </w:rPr>
        <w:t>/</w:t>
      </w:r>
      <w:r w:rsidRPr="00625CBF">
        <w:rPr>
          <w:rFonts w:ascii="Traditional Arabic" w:hAnsi="Traditional Arabic"/>
          <w:noProof w:val="0"/>
          <w:sz w:val="32"/>
          <w:szCs w:val="32"/>
          <w:rtl/>
          <w:lang w:eastAsia="en-US"/>
        </w:rPr>
        <w:t>-أمثلة</w:t>
      </w:r>
      <w:r>
        <w:rPr>
          <w:rFonts w:ascii="Traditional Arabic" w:hAnsi="Traditional Arabic" w:hint="cs"/>
          <w:noProof w:val="0"/>
          <w:sz w:val="32"/>
          <w:szCs w:val="32"/>
          <w:rtl/>
          <w:lang w:eastAsia="en-US"/>
        </w:rPr>
        <w:t>ٌ</w:t>
      </w:r>
      <w:r w:rsidRPr="00625CBF">
        <w:rPr>
          <w:rFonts w:ascii="Traditional Arabic" w:hAnsi="Traditional Arabic"/>
          <w:noProof w:val="0"/>
          <w:sz w:val="32"/>
          <w:szCs w:val="32"/>
          <w:rtl/>
          <w:lang w:eastAsia="en-US"/>
        </w:rPr>
        <w:t xml:space="preserve"> وصور وليست قواعد</w:t>
      </w:r>
      <w:r>
        <w:rPr>
          <w:rFonts w:ascii="Traditional Arabic" w:hAnsi="Traditional Arabic" w:hint="cs"/>
          <w:noProof w:val="0"/>
          <w:sz w:val="32"/>
          <w:szCs w:val="32"/>
          <w:rtl/>
          <w:lang w:eastAsia="en-US"/>
        </w:rPr>
        <w:t xml:space="preserve">، </w:t>
      </w:r>
      <w:r w:rsidRPr="00625CBF">
        <w:rPr>
          <w:rFonts w:ascii="Traditional Arabic" w:hAnsi="Traditional Arabic"/>
          <w:noProof w:val="0"/>
          <w:sz w:val="32"/>
          <w:szCs w:val="32"/>
          <w:rtl/>
          <w:lang w:eastAsia="en-US"/>
        </w:rPr>
        <w:t>لكن القاعدة أن كل من أتلف شيئا فعليه الضمان).</w:t>
      </w:r>
      <w:r>
        <w:rPr>
          <w:rFonts w:ascii="Traditional Arabic" w:hAnsi="Traditional Arabic" w:hint="cs"/>
          <w:noProof w:val="0"/>
          <w:sz w:val="32"/>
          <w:szCs w:val="32"/>
          <w:rtl/>
          <w:lang w:eastAsia="en-US"/>
        </w:rPr>
        <w:t xml:space="preserve"> </w:t>
      </w:r>
      <w:r w:rsidRPr="00625CBF">
        <w:rPr>
          <w:rFonts w:ascii="Traditional Arabic" w:hAnsi="Traditional Arabic"/>
          <w:sz w:val="32"/>
          <w:szCs w:val="32"/>
          <w:rtl/>
        </w:rPr>
        <w:t>الشرح الممتع (10/200).</w:t>
      </w:r>
    </w:p>
  </w:footnote>
  <w:footnote w:id="1428">
    <w:p w:rsidR="000D3D21" w:rsidRPr="00625CBF"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25CBF">
        <w:rPr>
          <w:rFonts w:ascii="Traditional Arabic" w:hAnsi="Traditional Arabic"/>
          <w:sz w:val="32"/>
          <w:szCs w:val="32"/>
          <w:rtl/>
        </w:rPr>
        <w:t>الشرح الممتع (10/198).</w:t>
      </w:r>
    </w:p>
  </w:footnote>
  <w:footnote w:id="1429">
    <w:p w:rsidR="000D3D21" w:rsidRPr="00625CBF"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25CBF">
        <w:rPr>
          <w:rFonts w:ascii="Traditional Arabic" w:hAnsi="Traditional Arabic"/>
          <w:sz w:val="32"/>
          <w:szCs w:val="32"/>
          <w:rtl/>
        </w:rPr>
        <w:t>المرجع السابق (10/200).</w:t>
      </w:r>
    </w:p>
  </w:footnote>
  <w:footnote w:id="1430">
    <w:p w:rsidR="000D3D21" w:rsidRPr="00625CBF"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25CBF">
        <w:rPr>
          <w:rFonts w:ascii="Traditional Arabic" w:hAnsi="Traditional Arabic"/>
          <w:sz w:val="32"/>
          <w:szCs w:val="32"/>
          <w:rtl/>
        </w:rPr>
        <w:t>شرح منظومة أصول الفقه وقواعده (251).</w:t>
      </w:r>
    </w:p>
  </w:footnote>
  <w:footnote w:id="1431">
    <w:p w:rsidR="000D3D21" w:rsidRPr="00625CBF"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25CBF">
        <w:rPr>
          <w:rFonts w:ascii="Traditional Arabic" w:hAnsi="Traditional Arabic"/>
          <w:sz w:val="32"/>
          <w:szCs w:val="32"/>
          <w:rtl/>
        </w:rPr>
        <w:t>منظومة أصول الفقه وقواعده (14).</w:t>
      </w:r>
    </w:p>
  </w:footnote>
  <w:footnote w:id="1432">
    <w:p w:rsidR="000D3D21" w:rsidRPr="00625CBF"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25CBF">
        <w:rPr>
          <w:rFonts w:ascii="Traditional Arabic" w:hAnsi="Traditional Arabic"/>
          <w:sz w:val="32"/>
          <w:szCs w:val="32"/>
          <w:rtl/>
        </w:rPr>
        <w:t>مجموع الفتاوى لابن تيمية (20/552)، وإعلام الموقعين (3/217)..</w:t>
      </w:r>
    </w:p>
  </w:footnote>
  <w:footnote w:id="1433">
    <w:p w:rsidR="000D3D21" w:rsidRPr="00D61DBF" w:rsidRDefault="000D3D21" w:rsidP="001D6B0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25CBF">
        <w:rPr>
          <w:rFonts w:ascii="Traditional Arabic" w:hAnsi="Traditional Arabic"/>
          <w:sz w:val="32"/>
          <w:szCs w:val="32"/>
          <w:rtl/>
        </w:rPr>
        <w:t>القواعد والأصول الجامعة (60</w:t>
      </w:r>
      <w:r>
        <w:rPr>
          <w:rFonts w:ascii="Traditional Arabic" w:hAnsi="Traditional Arabic"/>
          <w:sz w:val="32"/>
          <w:szCs w:val="32"/>
          <w:rtl/>
        </w:rPr>
        <w:t>)</w:t>
      </w:r>
      <w:r>
        <w:rPr>
          <w:rFonts w:ascii="Traditional Arabic" w:hAnsi="Traditional Arabic" w:hint="cs"/>
          <w:sz w:val="32"/>
          <w:szCs w:val="32"/>
          <w:rtl/>
        </w:rPr>
        <w:t>.</w:t>
      </w:r>
    </w:p>
  </w:footnote>
  <w:footnote w:id="1434">
    <w:p w:rsidR="000D3D21" w:rsidRPr="003A1AA9"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A1AA9">
        <w:rPr>
          <w:rFonts w:ascii="Traditional Arabic" w:hAnsi="Traditional Arabic"/>
          <w:sz w:val="32"/>
          <w:szCs w:val="32"/>
          <w:rtl/>
        </w:rPr>
        <w:t>شرح منظومة أصول الفقه وقواعده (251)</w:t>
      </w:r>
      <w:r>
        <w:rPr>
          <w:rFonts w:ascii="Traditional Arabic" w:hAnsi="Traditional Arabic" w:hint="cs"/>
          <w:sz w:val="32"/>
          <w:szCs w:val="32"/>
          <w:rtl/>
        </w:rPr>
        <w:t xml:space="preserve"> </w:t>
      </w:r>
      <w:r w:rsidRPr="003A1AA9">
        <w:rPr>
          <w:rFonts w:ascii="Traditional Arabic" w:hAnsi="Traditional Arabic"/>
          <w:sz w:val="32"/>
          <w:szCs w:val="32"/>
          <w:rtl/>
        </w:rPr>
        <w:t>بتصرف.</w:t>
      </w:r>
    </w:p>
  </w:footnote>
  <w:footnote w:id="1435">
    <w:p w:rsidR="000D3D21" w:rsidRPr="003A1AA9" w:rsidRDefault="000D3D21" w:rsidP="005C704E">
      <w:pPr>
        <w:widowControl/>
        <w:autoSpaceDE w:val="0"/>
        <w:autoSpaceDN w:val="0"/>
        <w:adjustRightInd w:val="0"/>
        <w:ind w:firstLine="0"/>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00AB0B9E">
        <w:rPr>
          <w:rFonts w:ascii="Traditional Arabic" w:hAnsi="Traditional Arabic"/>
          <w:sz w:val="32"/>
          <w:szCs w:val="32"/>
          <w:rtl/>
        </w:rPr>
        <w:fldChar w:fldCharType="begin"/>
      </w:r>
      <w:r>
        <w:instrText xml:space="preserve"> XE "</w:instrText>
      </w:r>
      <w:r w:rsidRPr="00480401">
        <w:rPr>
          <w:rFonts w:hint="cs"/>
          <w:rtl/>
          <w:lang w:bidi="ar-DZ"/>
        </w:rPr>
        <w:instrText>الملجئ</w:instrText>
      </w:r>
      <w:r>
        <w:instrText xml:space="preserve">" </w:instrText>
      </w:r>
      <w:r w:rsidRPr="005C704E">
        <w:instrText>\fm</w:instrText>
      </w:r>
      <w:r w:rsidR="00AB0B9E">
        <w:rPr>
          <w:rFonts w:ascii="Traditional Arabic" w:hAnsi="Traditional Arabic"/>
          <w:sz w:val="32"/>
          <w:szCs w:val="32"/>
          <w:rtl/>
        </w:rPr>
        <w:fldChar w:fldCharType="end"/>
      </w:r>
      <w:r w:rsidRPr="003A1AA9">
        <w:rPr>
          <w:rFonts w:ascii="Traditional Arabic" w:hAnsi="Traditional Arabic"/>
          <w:b/>
          <w:bCs/>
          <w:noProof w:val="0"/>
          <w:sz w:val="32"/>
          <w:szCs w:val="32"/>
          <w:rtl/>
          <w:lang w:eastAsia="en-US"/>
        </w:rPr>
        <w:t>ألجأته إليه ولجَّأته</w:t>
      </w:r>
      <w:r w:rsidRPr="003A1AA9">
        <w:rPr>
          <w:rFonts w:ascii="Traditional Arabic" w:hAnsi="Traditional Arabic"/>
          <w:noProof w:val="0"/>
          <w:sz w:val="32"/>
          <w:szCs w:val="32"/>
          <w:rtl/>
          <w:lang w:eastAsia="en-US"/>
        </w:rPr>
        <w:t>: اضطررته وأكرهته.</w:t>
      </w: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 xml:space="preserve">المصباح المنير </w:t>
      </w:r>
      <w:r>
        <w:rPr>
          <w:rFonts w:ascii="Traditional Arabic" w:hAnsi="Traditional Arabic" w:hint="cs"/>
          <w:noProof w:val="0"/>
          <w:sz w:val="32"/>
          <w:szCs w:val="32"/>
          <w:rtl/>
          <w:lang w:eastAsia="en-US"/>
        </w:rPr>
        <w:t>(448)</w:t>
      </w:r>
      <w:r>
        <w:rPr>
          <w:rFonts w:ascii="Traditional Arabic" w:hAnsi="Traditional Arabic"/>
          <w:noProof w:val="0"/>
          <w:sz w:val="32"/>
          <w:szCs w:val="32"/>
          <w:rtl/>
          <w:lang w:eastAsia="en-US"/>
        </w:rPr>
        <w:t>.</w:t>
      </w:r>
    </w:p>
  </w:footnote>
  <w:footnote w:id="1436">
    <w:p w:rsidR="000D3D21" w:rsidRPr="003A1AA9"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A1AA9">
        <w:rPr>
          <w:rFonts w:ascii="Traditional Arabic" w:hAnsi="Traditional Arabic"/>
          <w:sz w:val="32"/>
          <w:szCs w:val="32"/>
          <w:rtl/>
        </w:rPr>
        <w:t>التعليق على القواعد والأصول الجامعة (118).</w:t>
      </w:r>
    </w:p>
  </w:footnote>
  <w:footnote w:id="1437">
    <w:p w:rsidR="000D3D21" w:rsidRPr="00206C8B" w:rsidRDefault="000D3D21" w:rsidP="001D6B0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A1AA9">
        <w:rPr>
          <w:rFonts w:ascii="Traditional Arabic" w:hAnsi="Traditional Arabic"/>
          <w:sz w:val="32"/>
          <w:szCs w:val="32"/>
          <w:rtl/>
        </w:rPr>
        <w:t>شرح منظومة أصول الفقه وقواعده (251).</w:t>
      </w:r>
    </w:p>
  </w:footnote>
  <w:footnote w:id="1438">
    <w:p w:rsidR="000D3D21" w:rsidRPr="003A1AA9" w:rsidRDefault="000D3D21" w:rsidP="001D6B04">
      <w:pPr>
        <w:pStyle w:val="a7"/>
        <w:pageBreakBefore/>
        <w:rPr>
          <w:rFonts w:ascii="Traditional Arabic" w:hAnsi="Traditional Arabic"/>
          <w:color w:val="auto"/>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noProof w:val="0"/>
          <w:color w:val="auto"/>
          <w:sz w:val="32"/>
          <w:szCs w:val="32"/>
          <w:rtl/>
          <w:lang w:eastAsia="en-US"/>
        </w:rPr>
        <w:t xml:space="preserve"> </w:t>
      </w:r>
      <w:r w:rsidRPr="003A1AA9">
        <w:rPr>
          <w:rFonts w:ascii="Traditional Arabic" w:hAnsi="Traditional Arabic"/>
          <w:noProof w:val="0"/>
          <w:color w:val="auto"/>
          <w:sz w:val="32"/>
          <w:szCs w:val="32"/>
          <w:rtl/>
          <w:lang w:eastAsia="en-US"/>
        </w:rPr>
        <w:t xml:space="preserve">أخرجه الترمذي بهذا اللفظ في كتاب الأحكام، باب ما جاء فيمن يُكسَر له الشيء، ما يُحكم له من مال الكاسر، رقم الحديث (1359). والحديث صححه </w:t>
      </w:r>
      <w:r>
        <w:rPr>
          <w:rFonts w:ascii="Traditional Arabic" w:hAnsi="Traditional Arabic" w:hint="cs"/>
          <w:noProof w:val="0"/>
          <w:color w:val="auto"/>
          <w:sz w:val="32"/>
          <w:szCs w:val="32"/>
          <w:rtl/>
          <w:lang w:eastAsia="en-US"/>
        </w:rPr>
        <w:t xml:space="preserve">الشيخ </w:t>
      </w:r>
      <w:r w:rsidRPr="003A1AA9">
        <w:rPr>
          <w:rFonts w:ascii="Traditional Arabic" w:hAnsi="Traditional Arabic"/>
          <w:noProof w:val="0"/>
          <w:color w:val="auto"/>
          <w:sz w:val="32"/>
          <w:szCs w:val="32"/>
          <w:rtl/>
          <w:lang w:eastAsia="en-US"/>
        </w:rPr>
        <w:t>الألباني في إرواء الغليل (5/359).</w:t>
      </w:r>
    </w:p>
  </w:footnote>
  <w:footnote w:id="1439">
    <w:p w:rsidR="000D3D21" w:rsidRPr="003A1AA9"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فتح ذي الجلال والإكرام (4/2</w:t>
      </w:r>
      <w:r>
        <w:rPr>
          <w:rFonts w:ascii="Traditional Arabic" w:hAnsi="Traditional Arabic" w:hint="cs"/>
          <w:sz w:val="32"/>
          <w:szCs w:val="32"/>
          <w:rtl/>
        </w:rPr>
        <w:t>08</w:t>
      </w:r>
      <w:r w:rsidRPr="003A1AA9">
        <w:rPr>
          <w:rFonts w:ascii="Traditional Arabic" w:hAnsi="Traditional Arabic"/>
          <w:sz w:val="32"/>
          <w:szCs w:val="32"/>
          <w:rtl/>
        </w:rPr>
        <w:t>)</w:t>
      </w:r>
      <w:r>
        <w:rPr>
          <w:rFonts w:ascii="Traditional Arabic" w:hAnsi="Traditional Arabic" w:hint="cs"/>
          <w:sz w:val="32"/>
          <w:szCs w:val="32"/>
          <w:rtl/>
        </w:rPr>
        <w:t xml:space="preserve"> </w:t>
      </w:r>
      <w:r w:rsidRPr="003A1AA9">
        <w:rPr>
          <w:rFonts w:ascii="Traditional Arabic" w:hAnsi="Traditional Arabic"/>
          <w:sz w:val="32"/>
          <w:szCs w:val="32"/>
          <w:rtl/>
        </w:rPr>
        <w:t>بتصرف.</w:t>
      </w:r>
    </w:p>
  </w:footnote>
  <w:footnote w:id="1440">
    <w:p w:rsidR="000D3D21" w:rsidRPr="003A1AA9" w:rsidRDefault="000D3D21" w:rsidP="001D6B04">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A1AA9">
        <w:rPr>
          <w:rFonts w:ascii="Traditional Arabic" w:hAnsi="Traditional Arabic"/>
          <w:sz w:val="32"/>
          <w:szCs w:val="32"/>
          <w:rtl/>
        </w:rPr>
        <w:t>انظر عارضة الأحوذي بشرح صحيح الترمذي لأبي بكر محم</w:t>
      </w:r>
      <w:r>
        <w:rPr>
          <w:rFonts w:ascii="Traditional Arabic" w:hAnsi="Traditional Arabic"/>
          <w:sz w:val="32"/>
          <w:szCs w:val="32"/>
          <w:rtl/>
        </w:rPr>
        <w:t>د بن عبد الله بن أحمد بن العربي</w:t>
      </w:r>
      <w:r>
        <w:rPr>
          <w:rFonts w:ascii="Traditional Arabic" w:hAnsi="Traditional Arabic" w:hint="cs"/>
          <w:sz w:val="32"/>
          <w:szCs w:val="32"/>
          <w:rtl/>
        </w:rPr>
        <w:t xml:space="preserve"> </w:t>
      </w:r>
      <w:r w:rsidRPr="003A1AA9">
        <w:rPr>
          <w:rFonts w:ascii="Traditional Arabic" w:hAnsi="Traditional Arabic"/>
          <w:sz w:val="32"/>
          <w:szCs w:val="32"/>
          <w:rtl/>
        </w:rPr>
        <w:t xml:space="preserve">(6/113). </w:t>
      </w:r>
    </w:p>
  </w:footnote>
  <w:footnote w:id="1441">
    <w:p w:rsidR="000D3D21" w:rsidRPr="003A1AA9"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A1AA9">
        <w:rPr>
          <w:rFonts w:ascii="Traditional Arabic" w:hAnsi="Traditional Arabic"/>
          <w:sz w:val="32"/>
          <w:szCs w:val="32"/>
          <w:rtl/>
        </w:rPr>
        <w:t>انظر شرح منظومة أصول الفقه وقواعده (251)، والقواعد والأصول الجامعة (60).</w:t>
      </w:r>
    </w:p>
  </w:footnote>
  <w:footnote w:id="1442">
    <w:p w:rsidR="000D3D21" w:rsidRPr="00B23576" w:rsidRDefault="000D3D21" w:rsidP="001D6B0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A1AA9">
        <w:rPr>
          <w:rFonts w:ascii="Traditional Arabic" w:hAnsi="Traditional Arabic"/>
          <w:sz w:val="32"/>
          <w:szCs w:val="32"/>
          <w:rtl/>
        </w:rPr>
        <w:t>الشرح الممتع (10/198)</w:t>
      </w:r>
      <w:r>
        <w:rPr>
          <w:rFonts w:ascii="Traditional Arabic" w:hAnsi="Traditional Arabic" w:hint="cs"/>
          <w:sz w:val="32"/>
          <w:szCs w:val="32"/>
          <w:rtl/>
        </w:rPr>
        <w:t xml:space="preserve"> </w:t>
      </w:r>
      <w:r w:rsidRPr="003A1AA9">
        <w:rPr>
          <w:rFonts w:ascii="Traditional Arabic" w:hAnsi="Traditional Arabic"/>
          <w:sz w:val="32"/>
          <w:szCs w:val="32"/>
          <w:rtl/>
        </w:rPr>
        <w:t>بتصرف.</w:t>
      </w:r>
    </w:p>
  </w:footnote>
  <w:footnote w:id="1443">
    <w:p w:rsidR="000D3D21" w:rsidRPr="003A1AA9"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3A1AA9">
        <w:rPr>
          <w:rFonts w:ascii="Traditional Arabic" w:hAnsi="Traditional Arabic"/>
          <w:sz w:val="32"/>
          <w:szCs w:val="32"/>
          <w:rtl/>
        </w:rPr>
        <w:t xml:space="preserve"> (10/198).</w:t>
      </w:r>
    </w:p>
  </w:footnote>
  <w:footnote w:id="1444">
    <w:p w:rsidR="000D3D21" w:rsidRPr="00EA0116" w:rsidRDefault="000D3D21" w:rsidP="001D6B0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 (10/198)</w:t>
      </w:r>
      <w:r w:rsidRPr="003A1AA9">
        <w:rPr>
          <w:rFonts w:ascii="Traditional Arabic" w:hAnsi="Traditional Arabic"/>
          <w:sz w:val="32"/>
          <w:szCs w:val="32"/>
          <w:rtl/>
        </w:rPr>
        <w:t>.</w:t>
      </w:r>
    </w:p>
  </w:footnote>
  <w:footnote w:id="1445">
    <w:p w:rsidR="000D3D21" w:rsidRPr="00155B09"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155B09">
        <w:rPr>
          <w:rFonts w:ascii="Traditional Arabic" w:hAnsi="Traditional Arabic"/>
          <w:sz w:val="32"/>
          <w:szCs w:val="32"/>
          <w:rtl/>
        </w:rPr>
        <w:t xml:space="preserve"> (7/197)، و(10/198)، شرح منظومة أصول الفقه وقواعده (248، 251)، والتعليق على القواعد والأصول الجامعة (119).</w:t>
      </w:r>
    </w:p>
  </w:footnote>
  <w:footnote w:id="1446">
    <w:p w:rsidR="000D3D21" w:rsidRPr="00155B09"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5B09">
        <w:rPr>
          <w:rFonts w:ascii="Traditional Arabic" w:hAnsi="Traditional Arabic"/>
          <w:sz w:val="32"/>
          <w:szCs w:val="32"/>
          <w:rtl/>
        </w:rPr>
        <w:t>شرح منظومة أصول الفقه وقواعده (251-252)</w:t>
      </w:r>
      <w:r>
        <w:rPr>
          <w:rFonts w:ascii="Traditional Arabic" w:hAnsi="Traditional Arabic" w:hint="cs"/>
          <w:sz w:val="32"/>
          <w:szCs w:val="32"/>
          <w:rtl/>
        </w:rPr>
        <w:t xml:space="preserve"> </w:t>
      </w:r>
      <w:r w:rsidRPr="00155B09">
        <w:rPr>
          <w:rFonts w:ascii="Traditional Arabic" w:hAnsi="Traditional Arabic"/>
          <w:sz w:val="32"/>
          <w:szCs w:val="32"/>
          <w:rtl/>
        </w:rPr>
        <w:t>بتصرف.</w:t>
      </w:r>
    </w:p>
  </w:footnote>
  <w:footnote w:id="1447">
    <w:p w:rsidR="000D3D21" w:rsidRPr="00155B09" w:rsidRDefault="000D3D21" w:rsidP="001D6B0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5B09">
        <w:rPr>
          <w:rFonts w:ascii="Traditional Arabic" w:hAnsi="Traditional Arabic"/>
          <w:sz w:val="32"/>
          <w:szCs w:val="32"/>
          <w:rtl/>
        </w:rPr>
        <w:t>المرجع السابق (253)</w:t>
      </w:r>
      <w:r>
        <w:rPr>
          <w:rFonts w:ascii="Traditional Arabic" w:hAnsi="Traditional Arabic" w:hint="cs"/>
          <w:sz w:val="32"/>
          <w:szCs w:val="32"/>
          <w:rtl/>
        </w:rPr>
        <w:t xml:space="preserve"> </w:t>
      </w:r>
      <w:r w:rsidRPr="00155B09">
        <w:rPr>
          <w:rFonts w:ascii="Traditional Arabic" w:hAnsi="Traditional Arabic"/>
          <w:sz w:val="32"/>
          <w:szCs w:val="32"/>
          <w:rtl/>
        </w:rPr>
        <w:t xml:space="preserve">بتصرف. </w:t>
      </w:r>
    </w:p>
  </w:footnote>
  <w:footnote w:id="1448">
    <w:p w:rsidR="000D3D21" w:rsidRPr="00155B09" w:rsidRDefault="000D3D21" w:rsidP="005C704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sz w:val="32"/>
          <w:szCs w:val="32"/>
          <w:rtl/>
          <w:lang w:eastAsia="en-US"/>
        </w:rPr>
        <w:t xml:space="preserve"> </w:t>
      </w:r>
      <w:r w:rsidRPr="00155B09">
        <w:rPr>
          <w:rFonts w:ascii="Traditional Arabic" w:hAnsi="Traditional Arabic"/>
          <w:b/>
          <w:bCs/>
          <w:noProof w:val="0"/>
          <w:sz w:val="32"/>
          <w:szCs w:val="32"/>
          <w:rtl/>
          <w:lang w:eastAsia="en-US"/>
        </w:rPr>
        <w:t>الغال</w:t>
      </w:r>
      <w:r w:rsidR="00AB0B9E">
        <w:rPr>
          <w:rFonts w:ascii="Traditional Arabic" w:hAnsi="Traditional Arabic"/>
          <w:b/>
          <w:bCs/>
          <w:noProof w:val="0"/>
          <w:sz w:val="32"/>
          <w:szCs w:val="32"/>
          <w:rtl/>
          <w:lang w:eastAsia="en-US"/>
        </w:rPr>
        <w:fldChar w:fldCharType="begin"/>
      </w:r>
      <w:r>
        <w:instrText xml:space="preserve"> XE "</w:instrText>
      </w:r>
      <w:r w:rsidRPr="005C704E">
        <w:rPr>
          <w:rFonts w:ascii="Traditional Arabic" w:hAnsi="Traditional Arabic"/>
          <w:noProof w:val="0"/>
          <w:sz w:val="32"/>
          <w:szCs w:val="32"/>
          <w:rtl/>
          <w:lang w:eastAsia="en-US"/>
        </w:rPr>
        <w:instrText>الغال</w:instrText>
      </w:r>
      <w:r>
        <w:instrText xml:space="preserve">" </w:instrText>
      </w:r>
      <w:r w:rsidRPr="005C704E">
        <w:instrText>\fm</w:instrText>
      </w:r>
      <w:r w:rsidR="00AB0B9E">
        <w:rPr>
          <w:rFonts w:ascii="Traditional Arabic" w:hAnsi="Traditional Arabic"/>
          <w:b/>
          <w:bCs/>
          <w:noProof w:val="0"/>
          <w:sz w:val="32"/>
          <w:szCs w:val="32"/>
          <w:rtl/>
          <w:lang w:eastAsia="en-US"/>
        </w:rPr>
        <w:fldChar w:fldCharType="end"/>
      </w:r>
      <w:r w:rsidRPr="00155B09">
        <w:rPr>
          <w:rFonts w:ascii="Traditional Arabic" w:hAnsi="Traditional Arabic"/>
          <w:b/>
          <w:bCs/>
          <w:noProof w:val="0"/>
          <w:sz w:val="32"/>
          <w:szCs w:val="32"/>
          <w:rtl/>
          <w:lang w:eastAsia="en-US"/>
        </w:rPr>
        <w:t>:</w:t>
      </w:r>
      <w:r>
        <w:rPr>
          <w:rFonts w:ascii="Traditional Arabic" w:hAnsi="Traditional Arabic" w:hint="cs"/>
          <w:noProof w:val="0"/>
          <w:color w:val="auto"/>
          <w:sz w:val="32"/>
          <w:szCs w:val="32"/>
          <w:rtl/>
          <w:lang w:eastAsia="en-US"/>
        </w:rPr>
        <w:t xml:space="preserve"> </w:t>
      </w:r>
      <w:r w:rsidRPr="00155B09">
        <w:rPr>
          <w:rFonts w:ascii="Traditional Arabic" w:hAnsi="Traditional Arabic"/>
          <w:noProof w:val="0"/>
          <w:color w:val="auto"/>
          <w:sz w:val="32"/>
          <w:szCs w:val="32"/>
          <w:rtl/>
          <w:lang w:eastAsia="en-US"/>
        </w:rPr>
        <w:t>غَلَّ في المَغْنم يَغُلُّ غُلولاً فهو غَالٌّ</w:t>
      </w:r>
      <w:r w:rsidRPr="00155B09">
        <w:rPr>
          <w:rFonts w:ascii="Traditional Arabic" w:hAnsi="Traditional Arabic"/>
          <w:sz w:val="32"/>
          <w:szCs w:val="32"/>
          <w:rtl/>
        </w:rPr>
        <w:t>، والغلول:</w:t>
      </w:r>
      <w:r w:rsidRPr="00155B09">
        <w:rPr>
          <w:rFonts w:ascii="Traditional Arabic" w:hAnsi="Traditional Arabic"/>
          <w:noProof w:val="0"/>
          <w:sz w:val="32"/>
          <w:szCs w:val="32"/>
          <w:rtl/>
          <w:lang w:eastAsia="en-US"/>
        </w:rPr>
        <w:t>هو الخيانة في المغْنَم والسَّرقَة من الغَنِيمة قبل القِسْمة. النهاية في غريب الحديث والأثر (3/380).</w:t>
      </w:r>
    </w:p>
  </w:footnote>
  <w:footnote w:id="1449">
    <w:p w:rsidR="000D3D21" w:rsidRPr="00155B09" w:rsidRDefault="000D3D21" w:rsidP="001D6B0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انظر </w:t>
      </w:r>
      <w:r>
        <w:rPr>
          <w:rFonts w:ascii="Traditional Arabic" w:hAnsi="Traditional Arabic" w:hint="cs"/>
          <w:sz w:val="32"/>
          <w:szCs w:val="32"/>
          <w:rtl/>
        </w:rPr>
        <w:t>شرح منظومة أصول الفقه وقواعده</w:t>
      </w:r>
      <w:r w:rsidRPr="00155B09">
        <w:rPr>
          <w:rFonts w:ascii="Traditional Arabic" w:hAnsi="Traditional Arabic"/>
          <w:sz w:val="32"/>
          <w:szCs w:val="32"/>
          <w:rtl/>
        </w:rPr>
        <w:t xml:space="preserve"> (254).</w:t>
      </w:r>
    </w:p>
  </w:footnote>
  <w:footnote w:id="1450">
    <w:p w:rsidR="000D3D21" w:rsidRPr="00E972DB"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972DB">
        <w:rPr>
          <w:rFonts w:ascii="Traditional Arabic" w:hAnsi="Traditional Arabic"/>
          <w:sz w:val="32"/>
          <w:szCs w:val="32"/>
          <w:rtl/>
        </w:rPr>
        <w:t>اخترت هذه الصيغة؛ لعمومها، إذ تشمل ما يترتب على المأذون فيه وغير المأذون فيه.</w:t>
      </w:r>
    </w:p>
  </w:footnote>
  <w:footnote w:id="1451">
    <w:p w:rsidR="000D3D21" w:rsidRPr="003B3583"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3583">
        <w:rPr>
          <w:rFonts w:ascii="Traditional Arabic" w:hAnsi="Traditional Arabic"/>
          <w:sz w:val="32"/>
          <w:szCs w:val="32"/>
          <w:rtl/>
        </w:rPr>
        <w:t xml:space="preserve">الشرح الممتع (6/392، 395)، و(10/123)، و(14/89، 110، 223، 386). </w:t>
      </w:r>
    </w:p>
  </w:footnote>
  <w:footnote w:id="1452">
    <w:p w:rsidR="000D3D21" w:rsidRPr="003B3583"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3583">
        <w:rPr>
          <w:rFonts w:ascii="Traditional Arabic" w:hAnsi="Traditional Arabic"/>
          <w:sz w:val="32"/>
          <w:szCs w:val="32"/>
          <w:rtl/>
        </w:rPr>
        <w:t>المرجع السابق (14/100)، وشرح منظومة أصول الفقه وقواعده (258).</w:t>
      </w:r>
    </w:p>
  </w:footnote>
  <w:footnote w:id="1453">
    <w:p w:rsidR="000D3D21" w:rsidRPr="003B3583"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3B3583">
        <w:rPr>
          <w:rFonts w:ascii="Traditional Arabic" w:hAnsi="Traditional Arabic"/>
          <w:sz w:val="32"/>
          <w:szCs w:val="32"/>
          <w:rtl/>
        </w:rPr>
        <w:t xml:space="preserve"> (14/106)، وانظر تفسير سورة البقرة</w:t>
      </w:r>
      <w:r>
        <w:rPr>
          <w:rFonts w:ascii="Traditional Arabic" w:hAnsi="Traditional Arabic" w:hint="cs"/>
          <w:sz w:val="32"/>
          <w:szCs w:val="32"/>
          <w:rtl/>
        </w:rPr>
        <w:t xml:space="preserve"> (2/355)</w:t>
      </w:r>
      <w:r w:rsidRPr="003B3583">
        <w:rPr>
          <w:rFonts w:ascii="Traditional Arabic" w:hAnsi="Traditional Arabic"/>
          <w:sz w:val="32"/>
          <w:szCs w:val="32"/>
          <w:rtl/>
        </w:rPr>
        <w:t>، وفتح ي الجلال والإكرام (5/312).</w:t>
      </w:r>
    </w:p>
  </w:footnote>
  <w:footnote w:id="1454">
    <w:p w:rsidR="000D3D21" w:rsidRPr="003B3583"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3583">
        <w:rPr>
          <w:rFonts w:ascii="Traditional Arabic" w:hAnsi="Traditional Arabic"/>
          <w:sz w:val="32"/>
          <w:szCs w:val="32"/>
          <w:rtl/>
        </w:rPr>
        <w:t>المرجع السابق (14/88)، و(14/224)، وفتح ذي الجلال والإكرام (4/340).</w:t>
      </w:r>
    </w:p>
  </w:footnote>
  <w:footnote w:id="1455">
    <w:p w:rsidR="000D3D21" w:rsidRPr="003B3583"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3583">
        <w:rPr>
          <w:rFonts w:ascii="Traditional Arabic" w:hAnsi="Traditional Arabic"/>
          <w:sz w:val="32"/>
          <w:szCs w:val="32"/>
          <w:rtl/>
        </w:rPr>
        <w:t>منظومة أصول الفقه وقواعده (15).</w:t>
      </w:r>
    </w:p>
  </w:footnote>
  <w:footnote w:id="1456">
    <w:p w:rsidR="000D3D21" w:rsidRPr="003B3583"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3583">
        <w:rPr>
          <w:rFonts w:ascii="Traditional Arabic" w:hAnsi="Traditional Arabic"/>
          <w:sz w:val="32"/>
          <w:szCs w:val="32"/>
          <w:rtl/>
        </w:rPr>
        <w:t>إعلام الموقعين (3/261).</w:t>
      </w:r>
    </w:p>
  </w:footnote>
  <w:footnote w:id="1457">
    <w:p w:rsidR="000D3D21" w:rsidRPr="003B3583"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3583">
        <w:rPr>
          <w:rFonts w:ascii="Traditional Arabic" w:hAnsi="Traditional Arabic"/>
          <w:sz w:val="32"/>
          <w:szCs w:val="32"/>
          <w:rtl/>
        </w:rPr>
        <w:t>المنثور للزركشي (3/163).</w:t>
      </w:r>
    </w:p>
  </w:footnote>
  <w:footnote w:id="1458">
    <w:p w:rsidR="000D3D21" w:rsidRPr="003B3583"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3583">
        <w:rPr>
          <w:rFonts w:ascii="Traditional Arabic" w:hAnsi="Traditional Arabic"/>
          <w:sz w:val="32"/>
          <w:szCs w:val="32"/>
          <w:rtl/>
        </w:rPr>
        <w:t>الأشباه والنظائر للسيوطي (141).</w:t>
      </w:r>
    </w:p>
  </w:footnote>
  <w:footnote w:id="1459">
    <w:p w:rsidR="000D3D21" w:rsidRPr="003B3583"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3583">
        <w:rPr>
          <w:rFonts w:ascii="Traditional Arabic" w:hAnsi="Traditional Arabic"/>
          <w:sz w:val="32"/>
          <w:szCs w:val="32"/>
          <w:rtl/>
        </w:rPr>
        <w:t>المرجع السابق.</w:t>
      </w:r>
    </w:p>
  </w:footnote>
  <w:footnote w:id="1460">
    <w:p w:rsidR="000D3D21" w:rsidRPr="00E972DB"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972DB">
        <w:rPr>
          <w:rFonts w:ascii="Traditional Arabic" w:hAnsi="Traditional Arabic"/>
          <w:sz w:val="32"/>
          <w:szCs w:val="32"/>
          <w:rtl/>
        </w:rPr>
        <w:t>القواعد والأصول الجامعة (61).</w:t>
      </w:r>
    </w:p>
  </w:footnote>
  <w:footnote w:id="1461">
    <w:p w:rsidR="000D3D21" w:rsidRPr="00E972DB"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م</w:t>
      </w:r>
      <w:r w:rsidRPr="00E972DB">
        <w:rPr>
          <w:rFonts w:ascii="Traditional Arabic" w:hAnsi="Traditional Arabic"/>
          <w:sz w:val="32"/>
          <w:szCs w:val="32"/>
          <w:rtl/>
        </w:rPr>
        <w:t>نظ</w:t>
      </w:r>
      <w:r>
        <w:rPr>
          <w:rFonts w:ascii="Traditional Arabic" w:hAnsi="Traditional Arabic" w:hint="cs"/>
          <w:sz w:val="32"/>
          <w:szCs w:val="32"/>
          <w:rtl/>
        </w:rPr>
        <w:t>و</w:t>
      </w:r>
      <w:r w:rsidRPr="00E972DB">
        <w:rPr>
          <w:rFonts w:ascii="Traditional Arabic" w:hAnsi="Traditional Arabic"/>
          <w:sz w:val="32"/>
          <w:szCs w:val="32"/>
          <w:rtl/>
        </w:rPr>
        <w:t>م</w:t>
      </w:r>
      <w:r>
        <w:rPr>
          <w:rFonts w:ascii="Traditional Arabic" w:hAnsi="Traditional Arabic" w:hint="cs"/>
          <w:sz w:val="32"/>
          <w:szCs w:val="32"/>
          <w:rtl/>
        </w:rPr>
        <w:t>ة</w:t>
      </w:r>
      <w:r w:rsidRPr="00E972DB">
        <w:rPr>
          <w:rFonts w:ascii="Traditional Arabic" w:hAnsi="Traditional Arabic"/>
          <w:sz w:val="32"/>
          <w:szCs w:val="32"/>
          <w:rtl/>
        </w:rPr>
        <w:t xml:space="preserve"> القواعد الفقهية وشرحه</w:t>
      </w:r>
      <w:r>
        <w:rPr>
          <w:rFonts w:ascii="Traditional Arabic" w:hAnsi="Traditional Arabic" w:hint="cs"/>
          <w:sz w:val="32"/>
          <w:szCs w:val="32"/>
          <w:rtl/>
        </w:rPr>
        <w:t>ا</w:t>
      </w:r>
      <w:r>
        <w:rPr>
          <w:rFonts w:ascii="Traditional Arabic" w:hAnsi="Traditional Arabic"/>
          <w:sz w:val="32"/>
          <w:szCs w:val="32"/>
          <w:rtl/>
        </w:rPr>
        <w:t xml:space="preserve"> ل</w:t>
      </w:r>
      <w:r>
        <w:rPr>
          <w:rFonts w:ascii="Traditional Arabic" w:hAnsi="Traditional Arabic" w:hint="cs"/>
          <w:sz w:val="32"/>
          <w:szCs w:val="32"/>
          <w:rtl/>
        </w:rPr>
        <w:t xml:space="preserve">ابن </w:t>
      </w:r>
      <w:r w:rsidRPr="00E972DB">
        <w:rPr>
          <w:rFonts w:ascii="Traditional Arabic" w:hAnsi="Traditional Arabic"/>
          <w:sz w:val="32"/>
          <w:szCs w:val="32"/>
          <w:rtl/>
        </w:rPr>
        <w:t>سعدي (44).</w:t>
      </w:r>
    </w:p>
  </w:footnote>
  <w:footnote w:id="1462">
    <w:p w:rsidR="000D3D21" w:rsidRPr="003B3583" w:rsidRDefault="000D3D21" w:rsidP="00F044B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972DB">
        <w:rPr>
          <w:rFonts w:ascii="Traditional Arabic" w:hAnsi="Traditional Arabic"/>
          <w:sz w:val="32"/>
          <w:szCs w:val="32"/>
          <w:rtl/>
        </w:rPr>
        <w:t>مجلة الأحكام العدلية (المادة 91).</w:t>
      </w:r>
    </w:p>
  </w:footnote>
  <w:footnote w:id="1463">
    <w:p w:rsidR="000D3D21" w:rsidRPr="00D0482B" w:rsidRDefault="000D3D21" w:rsidP="00F044B9">
      <w:pPr>
        <w:pStyle w:val="a7"/>
        <w:pageBreakBefore/>
        <w:rPr>
          <w:rFonts w:ascii="Tahoma" w:hAnsi="Tahoma"/>
          <w:sz w:val="32"/>
          <w:szCs w:val="32"/>
        </w:rPr>
      </w:pPr>
      <w:r w:rsidRPr="00D0482B">
        <w:rPr>
          <w:rFonts w:ascii="Tahoma" w:hAnsi="Tahoma"/>
          <w:sz w:val="32"/>
          <w:szCs w:val="32"/>
          <w:rtl/>
        </w:rPr>
        <w:t>(</w:t>
      </w:r>
      <w:r w:rsidRPr="00D0482B">
        <w:rPr>
          <w:rStyle w:val="af1"/>
          <w:rFonts w:ascii="Tahoma" w:hAnsi="Tahoma"/>
          <w:sz w:val="32"/>
          <w:szCs w:val="32"/>
          <w:vertAlign w:val="baseline"/>
          <w:rtl/>
        </w:rPr>
        <w:footnoteRef/>
      </w:r>
      <w:r w:rsidRPr="00D0482B">
        <w:rPr>
          <w:rFonts w:ascii="Tahoma" w:hAnsi="Tahoma"/>
          <w:sz w:val="32"/>
          <w:szCs w:val="32"/>
          <w:rtl/>
        </w:rPr>
        <w:t>)</w:t>
      </w:r>
      <w:r w:rsidRPr="00D0482B">
        <w:rPr>
          <w:rFonts w:ascii="Tahoma" w:hAnsi="Tahoma" w:hint="cs"/>
          <w:sz w:val="32"/>
          <w:szCs w:val="32"/>
          <w:rtl/>
        </w:rPr>
        <w:t xml:space="preserve"> الشرح الممتع (14/100).</w:t>
      </w:r>
    </w:p>
  </w:footnote>
  <w:footnote w:id="1464">
    <w:p w:rsidR="000D3D21" w:rsidRPr="00D0482B" w:rsidRDefault="000D3D21" w:rsidP="00F044B9">
      <w:pPr>
        <w:pStyle w:val="a7"/>
        <w:pageBreakBefore/>
        <w:rPr>
          <w:rFonts w:ascii="Tahoma" w:hAnsi="Tahoma"/>
          <w:sz w:val="32"/>
          <w:szCs w:val="32"/>
        </w:rPr>
      </w:pPr>
      <w:r w:rsidRPr="00D0482B">
        <w:rPr>
          <w:rFonts w:ascii="Tahoma" w:hAnsi="Tahoma"/>
          <w:sz w:val="32"/>
          <w:szCs w:val="32"/>
          <w:rtl/>
        </w:rPr>
        <w:t>(</w:t>
      </w:r>
      <w:r w:rsidRPr="00D0482B">
        <w:rPr>
          <w:rStyle w:val="af1"/>
          <w:rFonts w:ascii="Tahoma" w:hAnsi="Tahoma"/>
          <w:sz w:val="32"/>
          <w:szCs w:val="32"/>
          <w:vertAlign w:val="baseline"/>
          <w:rtl/>
        </w:rPr>
        <w:footnoteRef/>
      </w:r>
      <w:r w:rsidRPr="00D0482B">
        <w:rPr>
          <w:rFonts w:ascii="Tahoma" w:hAnsi="Tahoma"/>
          <w:sz w:val="32"/>
          <w:szCs w:val="32"/>
          <w:rtl/>
        </w:rPr>
        <w:t>)</w:t>
      </w:r>
      <w:r w:rsidRPr="00D0482B">
        <w:rPr>
          <w:rFonts w:ascii="Tahoma" w:hAnsi="Tahoma" w:hint="cs"/>
          <w:sz w:val="32"/>
          <w:szCs w:val="32"/>
          <w:rtl/>
        </w:rPr>
        <w:t xml:space="preserve"> المرجع السابق (14/106)</w:t>
      </w:r>
      <w:r>
        <w:rPr>
          <w:rFonts w:ascii="Tahoma" w:hAnsi="Tahoma" w:hint="cs"/>
          <w:sz w:val="32"/>
          <w:szCs w:val="32"/>
          <w:rtl/>
        </w:rPr>
        <w:t xml:space="preserve"> </w:t>
      </w:r>
      <w:r w:rsidRPr="00D0482B">
        <w:rPr>
          <w:rFonts w:ascii="Tahoma" w:hAnsi="Tahoma" w:hint="cs"/>
          <w:sz w:val="32"/>
          <w:szCs w:val="32"/>
          <w:rtl/>
        </w:rPr>
        <w:t>بتصرف.</w:t>
      </w:r>
    </w:p>
  </w:footnote>
  <w:footnote w:id="1465">
    <w:p w:rsidR="000D3D21" w:rsidRPr="00D0482B" w:rsidRDefault="000D3D21" w:rsidP="00F044B9">
      <w:pPr>
        <w:pStyle w:val="a7"/>
        <w:pageBreakBefore/>
        <w:rPr>
          <w:rFonts w:ascii="Tahoma" w:hAnsi="Tahoma"/>
          <w:sz w:val="32"/>
          <w:szCs w:val="32"/>
        </w:rPr>
      </w:pPr>
      <w:r w:rsidRPr="00D0482B">
        <w:rPr>
          <w:rFonts w:ascii="Tahoma" w:hAnsi="Tahoma"/>
          <w:sz w:val="32"/>
          <w:szCs w:val="32"/>
          <w:rtl/>
        </w:rPr>
        <w:t>(</w:t>
      </w:r>
      <w:r w:rsidRPr="00D0482B">
        <w:rPr>
          <w:rStyle w:val="af1"/>
          <w:rFonts w:ascii="Tahoma" w:hAnsi="Tahoma"/>
          <w:sz w:val="32"/>
          <w:szCs w:val="32"/>
          <w:vertAlign w:val="baseline"/>
          <w:rtl/>
        </w:rPr>
        <w:footnoteRef/>
      </w:r>
      <w:r w:rsidRPr="00D0482B">
        <w:rPr>
          <w:rFonts w:ascii="Tahoma" w:hAnsi="Tahoma"/>
          <w:sz w:val="32"/>
          <w:szCs w:val="32"/>
          <w:rtl/>
        </w:rPr>
        <w:t>)</w:t>
      </w:r>
      <w:r w:rsidRPr="00D0482B">
        <w:rPr>
          <w:rFonts w:ascii="Tahoma" w:hAnsi="Tahoma" w:hint="cs"/>
          <w:sz w:val="32"/>
          <w:szCs w:val="32"/>
          <w:rtl/>
        </w:rPr>
        <w:t xml:space="preserve"> شرح منظومة أصول الفقه وقواعده (258)</w:t>
      </w:r>
      <w:r>
        <w:rPr>
          <w:rFonts w:ascii="Tahoma" w:hAnsi="Tahoma" w:hint="cs"/>
          <w:sz w:val="32"/>
          <w:szCs w:val="32"/>
          <w:rtl/>
        </w:rPr>
        <w:t xml:space="preserve"> </w:t>
      </w:r>
      <w:r w:rsidRPr="00D0482B">
        <w:rPr>
          <w:rFonts w:ascii="Tahoma" w:hAnsi="Tahoma" w:hint="cs"/>
          <w:sz w:val="32"/>
          <w:szCs w:val="32"/>
          <w:rtl/>
        </w:rPr>
        <w:t>بتصرف.</w:t>
      </w:r>
    </w:p>
  </w:footnote>
  <w:footnote w:id="1466">
    <w:p w:rsidR="000D3D21" w:rsidRPr="00D91471" w:rsidRDefault="000D3D21" w:rsidP="00F044B9">
      <w:pPr>
        <w:pStyle w:val="a7"/>
        <w:pageBreakBefore/>
        <w:rPr>
          <w:rFonts w:ascii="Tahoma" w:hAnsi="Tahoma"/>
          <w:rtl/>
        </w:rPr>
      </w:pPr>
      <w:r w:rsidRPr="00D0482B">
        <w:rPr>
          <w:rFonts w:ascii="Tahoma" w:hAnsi="Tahoma"/>
          <w:sz w:val="32"/>
          <w:szCs w:val="32"/>
          <w:rtl/>
        </w:rPr>
        <w:t>(</w:t>
      </w:r>
      <w:r w:rsidRPr="00D0482B">
        <w:rPr>
          <w:rStyle w:val="af1"/>
          <w:rFonts w:ascii="Tahoma" w:hAnsi="Tahoma"/>
          <w:sz w:val="32"/>
          <w:szCs w:val="32"/>
          <w:vertAlign w:val="baseline"/>
          <w:rtl/>
        </w:rPr>
        <w:footnoteRef/>
      </w:r>
      <w:r w:rsidRPr="00D0482B">
        <w:rPr>
          <w:rFonts w:ascii="Tahoma" w:hAnsi="Tahoma"/>
          <w:sz w:val="32"/>
          <w:szCs w:val="32"/>
          <w:rtl/>
        </w:rPr>
        <w:t>)</w:t>
      </w:r>
      <w:r w:rsidRPr="00D0482B">
        <w:rPr>
          <w:rFonts w:ascii="Tahoma" w:hAnsi="Tahoma" w:hint="cs"/>
          <w:sz w:val="32"/>
          <w:szCs w:val="32"/>
          <w:rtl/>
        </w:rPr>
        <w:t xml:space="preserve"> </w:t>
      </w:r>
      <w:r>
        <w:rPr>
          <w:rFonts w:ascii="Tahoma" w:hAnsi="Tahoma" w:hint="cs"/>
          <w:sz w:val="32"/>
          <w:szCs w:val="32"/>
          <w:rtl/>
        </w:rPr>
        <w:t xml:space="preserve">الشرح </w:t>
      </w:r>
      <w:r w:rsidRPr="00D0482B">
        <w:rPr>
          <w:rFonts w:ascii="Tahoma" w:hAnsi="Tahoma" w:hint="cs"/>
          <w:sz w:val="32"/>
          <w:szCs w:val="32"/>
          <w:rtl/>
        </w:rPr>
        <w:t>الممتع (14/88-89).</w:t>
      </w:r>
    </w:p>
  </w:footnote>
  <w:footnote w:id="1467">
    <w:p w:rsidR="000D3D21" w:rsidRPr="00967F3A" w:rsidRDefault="000D3D21" w:rsidP="003E316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67F3A">
        <w:rPr>
          <w:rFonts w:ascii="Traditional Arabic" w:hAnsi="Traditional Arabic"/>
          <w:b/>
          <w:bCs/>
          <w:sz w:val="32"/>
          <w:szCs w:val="32"/>
          <w:rtl/>
        </w:rPr>
        <w:t>الغِرّ</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الغِرّ</w:instrText>
      </w:r>
      <w:r>
        <w:instrText xml:space="preserve">" </w:instrText>
      </w:r>
      <w:r w:rsidRPr="003E316B">
        <w:instrText>\fm</w:instrText>
      </w:r>
      <w:r w:rsidR="00AB0B9E">
        <w:rPr>
          <w:rFonts w:ascii="Traditional Arabic" w:hAnsi="Traditional Arabic"/>
          <w:b/>
          <w:bCs/>
          <w:sz w:val="32"/>
          <w:szCs w:val="32"/>
          <w:rtl/>
        </w:rPr>
        <w:fldChar w:fldCharType="end"/>
      </w:r>
      <w:r w:rsidRPr="00967F3A">
        <w:rPr>
          <w:rFonts w:ascii="Traditional Arabic" w:hAnsi="Traditional Arabic"/>
          <w:b/>
          <w:bCs/>
          <w:sz w:val="32"/>
          <w:szCs w:val="32"/>
          <w:rtl/>
        </w:rPr>
        <w:t xml:space="preserve"> والغرير</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الغرير</w:instrText>
      </w:r>
      <w:r>
        <w:instrText xml:space="preserve">" </w:instrText>
      </w:r>
      <w:r w:rsidRPr="003E316B">
        <w:instrText>\fm</w:instrText>
      </w:r>
      <w:r w:rsidR="00AB0B9E">
        <w:rPr>
          <w:rFonts w:ascii="Traditional Arabic" w:hAnsi="Traditional Arabic"/>
          <w:b/>
          <w:bCs/>
          <w:sz w:val="32"/>
          <w:szCs w:val="32"/>
          <w:rtl/>
        </w:rPr>
        <w:fldChar w:fldCharType="end"/>
      </w:r>
      <w:r w:rsidRPr="00967F3A">
        <w:rPr>
          <w:rFonts w:ascii="Traditional Arabic" w:hAnsi="Traditional Arabic"/>
          <w:sz w:val="32"/>
          <w:szCs w:val="32"/>
          <w:rtl/>
        </w:rPr>
        <w:t>:</w:t>
      </w:r>
      <w:r w:rsidRPr="00967F3A">
        <w:rPr>
          <w:rFonts w:ascii="Traditional Arabic" w:hAnsi="Traditional Arabic"/>
          <w:noProof w:val="0"/>
          <w:sz w:val="32"/>
          <w:szCs w:val="32"/>
          <w:rtl/>
          <w:lang w:eastAsia="en-US"/>
        </w:rPr>
        <w:t xml:space="preserve"> الشاب الذي لا تجربةَ له. لسان العرب (5/3235).</w:t>
      </w:r>
    </w:p>
  </w:footnote>
  <w:footnote w:id="1468">
    <w:p w:rsidR="000D3D21" w:rsidRPr="00967F3A"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67F3A">
        <w:rPr>
          <w:rFonts w:ascii="Traditional Arabic" w:hAnsi="Traditional Arabic"/>
          <w:sz w:val="32"/>
          <w:szCs w:val="32"/>
          <w:rtl/>
        </w:rPr>
        <w:t>شرح منظومة أصول الفقه وقواعده (259-260)</w:t>
      </w:r>
      <w:r>
        <w:rPr>
          <w:rFonts w:ascii="Traditional Arabic" w:hAnsi="Traditional Arabic" w:hint="cs"/>
          <w:sz w:val="32"/>
          <w:szCs w:val="32"/>
          <w:rtl/>
        </w:rPr>
        <w:t xml:space="preserve"> </w:t>
      </w:r>
      <w:r w:rsidRPr="00967F3A">
        <w:rPr>
          <w:rFonts w:ascii="Traditional Arabic" w:hAnsi="Traditional Arabic"/>
          <w:sz w:val="32"/>
          <w:szCs w:val="32"/>
          <w:rtl/>
        </w:rPr>
        <w:t>بتصرف.</w:t>
      </w:r>
    </w:p>
  </w:footnote>
  <w:footnote w:id="1469">
    <w:p w:rsidR="000D3D21" w:rsidRPr="00967F3A"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تقدم تخريجه.</w:t>
      </w:r>
    </w:p>
  </w:footnote>
  <w:footnote w:id="1470">
    <w:p w:rsidR="000D3D21" w:rsidRPr="00967F3A"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67F3A">
        <w:rPr>
          <w:rFonts w:ascii="Traditional Arabic" w:hAnsi="Traditional Arabic"/>
          <w:sz w:val="32"/>
          <w:szCs w:val="32"/>
          <w:rtl/>
        </w:rPr>
        <w:t>الشرح الممتع (10/216)</w:t>
      </w:r>
      <w:r>
        <w:rPr>
          <w:rFonts w:ascii="Traditional Arabic" w:hAnsi="Traditional Arabic" w:hint="cs"/>
          <w:sz w:val="32"/>
          <w:szCs w:val="32"/>
          <w:rtl/>
        </w:rPr>
        <w:t xml:space="preserve"> </w:t>
      </w:r>
      <w:r w:rsidRPr="00967F3A">
        <w:rPr>
          <w:rFonts w:ascii="Traditional Arabic" w:hAnsi="Traditional Arabic"/>
          <w:sz w:val="32"/>
          <w:szCs w:val="32"/>
          <w:rtl/>
        </w:rPr>
        <w:t>بتصرف.</w:t>
      </w:r>
    </w:p>
  </w:footnote>
  <w:footnote w:id="1471">
    <w:p w:rsidR="000D3D21" w:rsidRPr="00225764" w:rsidRDefault="000D3D21" w:rsidP="00F044B9">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ال</w:t>
      </w:r>
      <w:r>
        <w:rPr>
          <w:rFonts w:ascii="Traditional Arabic" w:hAnsi="Traditional Arabic" w:hint="cs"/>
          <w:sz w:val="32"/>
          <w:szCs w:val="32"/>
          <w:rtl/>
        </w:rPr>
        <w:t>مرجع السابق</w:t>
      </w:r>
      <w:r>
        <w:rPr>
          <w:rFonts w:ascii="Traditional Arabic" w:hAnsi="Traditional Arabic"/>
          <w:sz w:val="32"/>
          <w:szCs w:val="32"/>
          <w:rtl/>
        </w:rPr>
        <w:t xml:space="preserve"> (14/386)</w:t>
      </w:r>
      <w:r>
        <w:rPr>
          <w:rFonts w:ascii="Traditional Arabic" w:hAnsi="Traditional Arabic" w:hint="cs"/>
          <w:sz w:val="32"/>
          <w:szCs w:val="32"/>
          <w:rtl/>
        </w:rPr>
        <w:t>.</w:t>
      </w:r>
    </w:p>
  </w:footnote>
  <w:footnote w:id="1472">
    <w:p w:rsidR="000D3D21" w:rsidRPr="00D8725E" w:rsidRDefault="000D3D21" w:rsidP="00F044B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D8725E">
        <w:rPr>
          <w:rFonts w:ascii="Traditional Arabic" w:hAnsi="Traditional Arabic"/>
          <w:sz w:val="32"/>
          <w:szCs w:val="32"/>
          <w:rtl/>
        </w:rPr>
        <w:t xml:space="preserve"> (10/123-124)</w:t>
      </w:r>
      <w:r>
        <w:rPr>
          <w:rFonts w:ascii="Traditional Arabic" w:hAnsi="Traditional Arabic" w:hint="cs"/>
          <w:sz w:val="32"/>
          <w:szCs w:val="32"/>
          <w:rtl/>
        </w:rPr>
        <w:t xml:space="preserve"> </w:t>
      </w:r>
      <w:r w:rsidRPr="00D8725E">
        <w:rPr>
          <w:rFonts w:ascii="Traditional Arabic" w:hAnsi="Traditional Arabic"/>
          <w:sz w:val="32"/>
          <w:szCs w:val="32"/>
          <w:rtl/>
        </w:rPr>
        <w:t>بتصرف، وانظر شرح منظومة أصول الفقه وقواعده (259).</w:t>
      </w:r>
    </w:p>
  </w:footnote>
  <w:footnote w:id="1473">
    <w:p w:rsidR="000D3D21" w:rsidRPr="00D8725E" w:rsidRDefault="000D3D21" w:rsidP="003E316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8725E">
        <w:rPr>
          <w:rFonts w:ascii="Traditional Arabic" w:hAnsi="Traditional Arabic"/>
          <w:b/>
          <w:bCs/>
          <w:sz w:val="32"/>
          <w:szCs w:val="32"/>
          <w:rtl/>
        </w:rPr>
        <w:t>الضالة</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الضالة</w:instrText>
      </w:r>
      <w:r>
        <w:instrText xml:space="preserve">" </w:instrText>
      </w:r>
      <w:r w:rsidRPr="003E316B">
        <w:instrText>\fm</w:instrText>
      </w:r>
      <w:r w:rsidR="00AB0B9E">
        <w:rPr>
          <w:rFonts w:ascii="Traditional Arabic" w:hAnsi="Traditional Arabic"/>
          <w:b/>
          <w:bCs/>
          <w:sz w:val="32"/>
          <w:szCs w:val="32"/>
          <w:rtl/>
        </w:rPr>
        <w:fldChar w:fldCharType="end"/>
      </w:r>
      <w:r w:rsidRPr="00D8725E">
        <w:rPr>
          <w:rFonts w:ascii="Traditional Arabic" w:hAnsi="Traditional Arabic"/>
          <w:b/>
          <w:bCs/>
          <w:sz w:val="32"/>
          <w:szCs w:val="32"/>
          <w:rtl/>
        </w:rPr>
        <w:t>:</w:t>
      </w:r>
      <w:r>
        <w:rPr>
          <w:rFonts w:ascii="Traditional Arabic" w:hAnsi="Traditional Arabic" w:hint="cs"/>
          <w:noProof w:val="0"/>
          <w:color w:val="auto"/>
          <w:sz w:val="32"/>
          <w:szCs w:val="32"/>
          <w:rtl/>
          <w:lang w:eastAsia="en-US"/>
        </w:rPr>
        <w:t xml:space="preserve"> </w:t>
      </w:r>
      <w:r w:rsidRPr="00D8725E">
        <w:rPr>
          <w:rFonts w:ascii="Traditional Arabic" w:hAnsi="Traditional Arabic"/>
          <w:noProof w:val="0"/>
          <w:color w:val="auto"/>
          <w:sz w:val="32"/>
          <w:szCs w:val="32"/>
          <w:rtl/>
          <w:lang w:eastAsia="en-US"/>
        </w:rPr>
        <w:t xml:space="preserve">يقال للحيوان الضائع ضالة بالهاء للذكر والأنثى، والجمع ضوالّ مثل دابة ودوابّ، ويقال لغير الحيوان ضائع ولُقَطة، وضل البعير غاب وخفي موضعُه. المصباح المنير </w:t>
      </w:r>
      <w:r>
        <w:rPr>
          <w:rFonts w:ascii="Traditional Arabic" w:hAnsi="Traditional Arabic" w:hint="cs"/>
          <w:noProof w:val="0"/>
          <w:color w:val="auto"/>
          <w:sz w:val="32"/>
          <w:szCs w:val="32"/>
          <w:rtl/>
          <w:lang w:eastAsia="en-US"/>
        </w:rPr>
        <w:t xml:space="preserve">(296) </w:t>
      </w:r>
      <w:r w:rsidRPr="00D8725E">
        <w:rPr>
          <w:rFonts w:ascii="Traditional Arabic" w:hAnsi="Traditional Arabic"/>
          <w:noProof w:val="0"/>
          <w:color w:val="auto"/>
          <w:sz w:val="32"/>
          <w:szCs w:val="32"/>
          <w:rtl/>
          <w:lang w:eastAsia="en-US"/>
        </w:rPr>
        <w:t>بتصرف.</w:t>
      </w:r>
    </w:p>
  </w:footnote>
  <w:footnote w:id="1474">
    <w:p w:rsidR="000D3D21" w:rsidRPr="00A222D6" w:rsidRDefault="000D3D21" w:rsidP="00F044B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8725E">
        <w:rPr>
          <w:rFonts w:ascii="Traditional Arabic" w:hAnsi="Traditional Arabic"/>
          <w:sz w:val="32"/>
          <w:szCs w:val="32"/>
          <w:rtl/>
        </w:rPr>
        <w:t>فتح ذي الجلال والإكرام (4/340)</w:t>
      </w:r>
      <w:r>
        <w:rPr>
          <w:rFonts w:ascii="Traditional Arabic" w:hAnsi="Traditional Arabic" w:hint="cs"/>
          <w:sz w:val="32"/>
          <w:szCs w:val="32"/>
          <w:rtl/>
        </w:rPr>
        <w:t xml:space="preserve"> </w:t>
      </w:r>
      <w:r w:rsidRPr="00D8725E">
        <w:rPr>
          <w:rFonts w:ascii="Traditional Arabic" w:hAnsi="Traditional Arabic"/>
          <w:sz w:val="32"/>
          <w:szCs w:val="32"/>
          <w:rtl/>
        </w:rPr>
        <w:t>بتصرف.</w:t>
      </w:r>
    </w:p>
  </w:footnote>
  <w:footnote w:id="1475">
    <w:p w:rsidR="000D3D21" w:rsidRPr="00D74890" w:rsidRDefault="000D3D21" w:rsidP="00F044B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الأشباه والنظائر (141)</w:t>
      </w:r>
      <w:r>
        <w:rPr>
          <w:rFonts w:ascii="Traditional Arabic" w:hAnsi="Traditional Arabic" w:hint="cs"/>
          <w:sz w:val="32"/>
          <w:szCs w:val="32"/>
          <w:rtl/>
        </w:rPr>
        <w:t>.</w:t>
      </w:r>
    </w:p>
  </w:footnote>
  <w:footnote w:id="1476">
    <w:p w:rsidR="000D3D21" w:rsidRPr="00605D2D"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05D2D">
        <w:rPr>
          <w:rFonts w:ascii="Traditional Arabic" w:hAnsi="Traditional Arabic"/>
          <w:sz w:val="32"/>
          <w:szCs w:val="32"/>
          <w:rtl/>
        </w:rPr>
        <w:t>اخترت هذه الصيغة لاشتمالها على حكم العقود والشروط الفاسدة معا، ولأنها بهذه الصيغة تكون محصورة</w:t>
      </w:r>
      <w:r>
        <w:rPr>
          <w:rFonts w:ascii="Traditional Arabic" w:hAnsi="Traditional Arabic"/>
          <w:sz w:val="32"/>
          <w:szCs w:val="32"/>
          <w:rtl/>
        </w:rPr>
        <w:t xml:space="preserve"> في المعاملات دون العبادات، و</w:t>
      </w:r>
      <w:r>
        <w:rPr>
          <w:rFonts w:ascii="Traditional Arabic" w:hAnsi="Traditional Arabic" w:hint="cs"/>
          <w:sz w:val="32"/>
          <w:szCs w:val="32"/>
          <w:rtl/>
        </w:rPr>
        <w:t>تكون الصيغة بذلك</w:t>
      </w:r>
      <w:r w:rsidRPr="00605D2D">
        <w:rPr>
          <w:rFonts w:ascii="Traditional Arabic" w:hAnsi="Traditional Arabic"/>
          <w:sz w:val="32"/>
          <w:szCs w:val="32"/>
          <w:rtl/>
        </w:rPr>
        <w:t xml:space="preserve"> أقرب إلى موضوع البحث</w:t>
      </w:r>
      <w:r>
        <w:rPr>
          <w:rFonts w:ascii="Traditional Arabic" w:hAnsi="Traditional Arabic" w:hint="cs"/>
          <w:sz w:val="32"/>
          <w:szCs w:val="32"/>
          <w:rtl/>
        </w:rPr>
        <w:t>، كما أن هذه الصيغة أضبط للقاعدة، فإنها تشمل تحريم تعاطي العقود والشروط الفاسدة، كما أنها تتضمن أنه إذا تبيَّن فساد العقد أو الشرط فإنه يحرُم المضيُّ فيه، والله أعلم.</w:t>
      </w:r>
    </w:p>
  </w:footnote>
  <w:footnote w:id="1477">
    <w:p w:rsidR="000D3D21" w:rsidRPr="00605D2D"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05D2D">
        <w:rPr>
          <w:rFonts w:ascii="Traditional Arabic" w:hAnsi="Traditional Arabic"/>
          <w:sz w:val="32"/>
          <w:szCs w:val="32"/>
          <w:rtl/>
        </w:rPr>
        <w:t>الشرح الممتع (3/286).</w:t>
      </w:r>
    </w:p>
  </w:footnote>
  <w:footnote w:id="1478">
    <w:p w:rsidR="000D3D21" w:rsidRPr="00605D2D"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605D2D">
        <w:rPr>
          <w:rFonts w:ascii="Traditional Arabic" w:hAnsi="Traditional Arabic"/>
          <w:sz w:val="32"/>
          <w:szCs w:val="32"/>
          <w:rtl/>
        </w:rPr>
        <w:t xml:space="preserve"> (8/278)، وانظر (1/477)، و(10/25)</w:t>
      </w:r>
      <w:r>
        <w:rPr>
          <w:rFonts w:ascii="Traditional Arabic" w:hAnsi="Traditional Arabic" w:hint="cs"/>
          <w:sz w:val="32"/>
          <w:szCs w:val="32"/>
          <w:rtl/>
        </w:rPr>
        <w:t>، وشرح منظومة أصول الفقه وقواعده (233، 235)</w:t>
      </w:r>
      <w:r w:rsidRPr="00605D2D">
        <w:rPr>
          <w:rFonts w:ascii="Traditional Arabic" w:hAnsi="Traditional Arabic"/>
          <w:sz w:val="32"/>
          <w:szCs w:val="32"/>
          <w:rtl/>
        </w:rPr>
        <w:t>.</w:t>
      </w:r>
    </w:p>
  </w:footnote>
  <w:footnote w:id="1479">
    <w:p w:rsidR="000D3D21" w:rsidRPr="00605D2D"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605D2D">
        <w:rPr>
          <w:rFonts w:ascii="Traditional Arabic" w:hAnsi="Traditional Arabic"/>
          <w:sz w:val="32"/>
          <w:szCs w:val="32"/>
          <w:rtl/>
        </w:rPr>
        <w:t xml:space="preserve"> (9/99).</w:t>
      </w:r>
    </w:p>
  </w:footnote>
  <w:footnote w:id="1480">
    <w:p w:rsidR="000D3D21" w:rsidRPr="00605D2D"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05D2D">
        <w:rPr>
          <w:rFonts w:ascii="Traditional Arabic" w:hAnsi="Traditional Arabic"/>
          <w:sz w:val="32"/>
          <w:szCs w:val="32"/>
          <w:rtl/>
        </w:rPr>
        <w:t>المرجع السابق (10/25).</w:t>
      </w:r>
    </w:p>
  </w:footnote>
  <w:footnote w:id="1481">
    <w:p w:rsidR="000D3D21" w:rsidRPr="00605D2D"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05D2D">
        <w:rPr>
          <w:rFonts w:ascii="Traditional Arabic" w:hAnsi="Traditional Arabic"/>
          <w:sz w:val="32"/>
          <w:szCs w:val="32"/>
          <w:rtl/>
        </w:rPr>
        <w:t>التعليق على المنتقى</w:t>
      </w:r>
      <w:r>
        <w:rPr>
          <w:rFonts w:ascii="Traditional Arabic" w:hAnsi="Traditional Arabic" w:hint="cs"/>
          <w:sz w:val="32"/>
          <w:szCs w:val="32"/>
          <w:rtl/>
        </w:rPr>
        <w:t xml:space="preserve"> من أخبار المصطفى </w:t>
      </w:r>
      <w:r>
        <w:rPr>
          <w:rFonts w:ascii="Traditional Arabic" w:hAnsi="Traditional Arabic" w:cs="CTraditional Arabic" w:hint="cs"/>
          <w:noProof w:val="0"/>
          <w:color w:val="auto"/>
          <w:rtl/>
          <w:lang w:eastAsia="en-US"/>
        </w:rPr>
        <w:t>غ</w:t>
      </w:r>
      <w:r>
        <w:rPr>
          <w:rFonts w:ascii="Traditional Arabic" w:hAnsi="Traditional Arabic"/>
          <w:sz w:val="32"/>
          <w:szCs w:val="32"/>
          <w:rtl/>
        </w:rPr>
        <w:t xml:space="preserve"> (17</w:t>
      </w:r>
      <w:r>
        <w:rPr>
          <w:rFonts w:ascii="Traditional Arabic" w:hAnsi="Traditional Arabic" w:hint="cs"/>
          <w:sz w:val="32"/>
          <w:szCs w:val="32"/>
          <w:rtl/>
        </w:rPr>
        <w:t>1</w:t>
      </w:r>
      <w:r w:rsidRPr="00605D2D">
        <w:rPr>
          <w:rFonts w:ascii="Traditional Arabic" w:hAnsi="Traditional Arabic"/>
          <w:sz w:val="32"/>
          <w:szCs w:val="32"/>
          <w:rtl/>
        </w:rPr>
        <w:t>)</w:t>
      </w:r>
      <w:r>
        <w:rPr>
          <w:rFonts w:ascii="Traditional Arabic" w:hAnsi="Traditional Arabic" w:hint="cs"/>
          <w:sz w:val="32"/>
          <w:szCs w:val="32"/>
          <w:rtl/>
        </w:rPr>
        <w:t xml:space="preserve"> بتصرف</w:t>
      </w:r>
      <w:r w:rsidRPr="00605D2D">
        <w:rPr>
          <w:rFonts w:ascii="Traditional Arabic" w:hAnsi="Traditional Arabic"/>
          <w:sz w:val="32"/>
          <w:szCs w:val="32"/>
          <w:rtl/>
        </w:rPr>
        <w:t>.</w:t>
      </w:r>
    </w:p>
  </w:footnote>
  <w:footnote w:id="1482">
    <w:p w:rsidR="000D3D21" w:rsidRPr="00605D2D"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05D2D">
        <w:rPr>
          <w:rFonts w:ascii="Traditional Arabic" w:hAnsi="Traditional Arabic"/>
          <w:sz w:val="32"/>
          <w:szCs w:val="32"/>
          <w:rtl/>
        </w:rPr>
        <w:t>الأصول من علم الأصول (14).</w:t>
      </w:r>
    </w:p>
  </w:footnote>
  <w:footnote w:id="1483">
    <w:p w:rsidR="000D3D21" w:rsidRPr="00605D2D"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05D2D">
        <w:rPr>
          <w:rFonts w:ascii="Traditional Arabic" w:hAnsi="Traditional Arabic"/>
          <w:sz w:val="32"/>
          <w:szCs w:val="32"/>
          <w:rtl/>
        </w:rPr>
        <w:t>شرح نظم الورقات (40).</w:t>
      </w:r>
    </w:p>
  </w:footnote>
  <w:footnote w:id="1484">
    <w:p w:rsidR="000D3D21" w:rsidRPr="009110CE"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10CE">
        <w:rPr>
          <w:rFonts w:ascii="Traditional Arabic" w:hAnsi="Traditional Arabic"/>
          <w:sz w:val="32"/>
          <w:szCs w:val="32"/>
          <w:rtl/>
        </w:rPr>
        <w:t>منظومة أصول الفقه وقواعده (13).</w:t>
      </w:r>
    </w:p>
  </w:footnote>
  <w:footnote w:id="1485">
    <w:p w:rsidR="000D3D21" w:rsidRPr="00A3696A"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110CE">
        <w:rPr>
          <w:rFonts w:ascii="Traditional Arabic" w:hAnsi="Traditional Arabic"/>
          <w:sz w:val="32"/>
          <w:szCs w:val="32"/>
          <w:rtl/>
        </w:rPr>
        <w:t>شرح منظومة أصول الفقه وقواعده (233).</w:t>
      </w:r>
    </w:p>
  </w:footnote>
  <w:footnote w:id="1486">
    <w:p w:rsidR="000D3D21" w:rsidRPr="009110CE"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المرجع السابق</w:t>
      </w:r>
      <w:r w:rsidRPr="009110CE">
        <w:rPr>
          <w:rFonts w:ascii="Traditional Arabic" w:hAnsi="Traditional Arabic"/>
          <w:sz w:val="32"/>
          <w:szCs w:val="32"/>
          <w:rtl/>
        </w:rPr>
        <w:t xml:space="preserve"> (237).</w:t>
      </w:r>
    </w:p>
  </w:footnote>
  <w:footnote w:id="1487">
    <w:p w:rsidR="000D3D21" w:rsidRPr="006574DF"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574DF">
        <w:rPr>
          <w:rFonts w:ascii="Traditional Arabic" w:hAnsi="Traditional Arabic"/>
          <w:sz w:val="32"/>
          <w:szCs w:val="32"/>
          <w:rtl/>
        </w:rPr>
        <w:t>ي</w:t>
      </w:r>
      <w:r>
        <w:rPr>
          <w:rFonts w:ascii="Traditional Arabic" w:hAnsi="Traditional Arabic" w:hint="cs"/>
          <w:sz w:val="32"/>
          <w:szCs w:val="32"/>
          <w:rtl/>
        </w:rPr>
        <w:t>ُ</w:t>
      </w:r>
      <w:r w:rsidRPr="006574DF">
        <w:rPr>
          <w:rFonts w:ascii="Traditional Arabic" w:hAnsi="Traditional Arabic"/>
          <w:sz w:val="32"/>
          <w:szCs w:val="32"/>
          <w:rtl/>
        </w:rPr>
        <w:t>لحظ أن هؤلاء العلماء تطرقوا إلى حكم تعاطي العقود الفاسدة، دون ذكر حكم تعاطي الشروط الفاسدة.</w:t>
      </w:r>
    </w:p>
  </w:footnote>
  <w:footnote w:id="1488">
    <w:p w:rsidR="000D3D21" w:rsidRPr="00C54516"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05D2D">
        <w:rPr>
          <w:rFonts w:ascii="Traditional Arabic" w:hAnsi="Traditional Arabic"/>
          <w:sz w:val="32"/>
          <w:szCs w:val="32"/>
          <w:rtl/>
        </w:rPr>
        <w:t>الأشباه والنظائر (</w:t>
      </w:r>
      <w:r>
        <w:rPr>
          <w:rFonts w:ascii="Traditional Arabic" w:hAnsi="Traditional Arabic" w:hint="cs"/>
          <w:sz w:val="32"/>
          <w:szCs w:val="32"/>
          <w:rtl/>
        </w:rPr>
        <w:t>1/245</w:t>
      </w:r>
      <w:r>
        <w:rPr>
          <w:rFonts w:ascii="Traditional Arabic" w:hAnsi="Traditional Arabic"/>
          <w:sz w:val="32"/>
          <w:szCs w:val="32"/>
          <w:rtl/>
        </w:rPr>
        <w:t>)، وانظر موسوعة القواعد</w:t>
      </w:r>
      <w:r w:rsidRPr="00605D2D">
        <w:rPr>
          <w:rFonts w:ascii="Traditional Arabic" w:hAnsi="Traditional Arabic"/>
          <w:sz w:val="32"/>
          <w:szCs w:val="32"/>
          <w:rtl/>
        </w:rPr>
        <w:t xml:space="preserve"> الفقهية للبورنو (2/366).</w:t>
      </w:r>
    </w:p>
  </w:footnote>
  <w:footnote w:id="1489">
    <w:p w:rsidR="000D3D21" w:rsidRPr="0022238A"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2238A">
        <w:rPr>
          <w:rFonts w:ascii="Traditional Arabic" w:hAnsi="Traditional Arabic"/>
          <w:sz w:val="32"/>
          <w:szCs w:val="32"/>
          <w:rtl/>
        </w:rPr>
        <w:t>المنثور</w:t>
      </w:r>
      <w:r>
        <w:rPr>
          <w:rFonts w:ascii="Traditional Arabic" w:hAnsi="Traditional Arabic" w:hint="cs"/>
          <w:sz w:val="32"/>
          <w:szCs w:val="32"/>
          <w:rtl/>
        </w:rPr>
        <w:t xml:space="preserve"> للزركشي</w:t>
      </w:r>
      <w:r w:rsidRPr="0022238A">
        <w:rPr>
          <w:rFonts w:ascii="Traditional Arabic" w:hAnsi="Traditional Arabic"/>
          <w:sz w:val="32"/>
          <w:szCs w:val="32"/>
          <w:rtl/>
        </w:rPr>
        <w:t xml:space="preserve"> (1/352-354).</w:t>
      </w:r>
    </w:p>
  </w:footnote>
  <w:footnote w:id="1490">
    <w:p w:rsidR="000D3D21" w:rsidRPr="0022238A"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2238A">
        <w:rPr>
          <w:rFonts w:ascii="Traditional Arabic" w:hAnsi="Traditional Arabic"/>
          <w:sz w:val="32"/>
          <w:szCs w:val="32"/>
          <w:rtl/>
        </w:rPr>
        <w:t>الأشباه والنظائر (287</w:t>
      </w:r>
      <w:r>
        <w:rPr>
          <w:rFonts w:ascii="Traditional Arabic" w:hAnsi="Traditional Arabic"/>
          <w:sz w:val="32"/>
          <w:szCs w:val="32"/>
          <w:rtl/>
        </w:rPr>
        <w:t>)، وانظر موسوعة القواعد</w:t>
      </w:r>
      <w:r w:rsidRPr="0022238A">
        <w:rPr>
          <w:rFonts w:ascii="Traditional Arabic" w:hAnsi="Traditional Arabic"/>
          <w:sz w:val="32"/>
          <w:szCs w:val="32"/>
          <w:rtl/>
        </w:rPr>
        <w:t xml:space="preserve"> الفقهية للبورنو (2/366).</w:t>
      </w:r>
    </w:p>
  </w:footnote>
  <w:footnote w:id="1491">
    <w:p w:rsidR="000D3D21" w:rsidRPr="0022238A"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2238A">
        <w:rPr>
          <w:rFonts w:ascii="Traditional Arabic" w:hAnsi="Traditional Arabic"/>
          <w:sz w:val="32"/>
          <w:szCs w:val="32"/>
          <w:rtl/>
        </w:rPr>
        <w:t>انظر تاج العروس (8/496).</w:t>
      </w:r>
    </w:p>
  </w:footnote>
  <w:footnote w:id="1492">
    <w:p w:rsidR="000D3D21" w:rsidRPr="0022238A"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2238A">
        <w:rPr>
          <w:rFonts w:ascii="Traditional Arabic" w:hAnsi="Traditional Arabic"/>
          <w:sz w:val="32"/>
          <w:szCs w:val="32"/>
          <w:rtl/>
        </w:rPr>
        <w:t>انظر شرح الكوكب المنير (1/473)</w:t>
      </w:r>
      <w:r>
        <w:rPr>
          <w:rFonts w:ascii="Traditional Arabic" w:hAnsi="Traditional Arabic" w:hint="cs"/>
          <w:sz w:val="32"/>
          <w:szCs w:val="32"/>
          <w:rtl/>
        </w:rPr>
        <w:t>.</w:t>
      </w:r>
    </w:p>
  </w:footnote>
  <w:footnote w:id="1493">
    <w:p w:rsidR="000D3D21" w:rsidRDefault="000D3D21" w:rsidP="009840EE">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2238A">
        <w:rPr>
          <w:rFonts w:ascii="Traditional Arabic" w:hAnsi="Traditional Arabic"/>
          <w:sz w:val="32"/>
          <w:szCs w:val="32"/>
          <w:rtl/>
        </w:rPr>
        <w:t>الأصول من علم الأصول (14).</w:t>
      </w:r>
    </w:p>
    <w:p w:rsidR="000D3D21" w:rsidRPr="00130FD0" w:rsidRDefault="000D3D21" w:rsidP="009840EE">
      <w:pPr>
        <w:pStyle w:val="a7"/>
        <w:pageBreakBefore/>
        <w:rPr>
          <w:rFonts w:ascii="Traditional Arabic" w:hAnsi="Traditional Arabic"/>
          <w:sz w:val="32"/>
          <w:szCs w:val="32"/>
          <w:rtl/>
        </w:rPr>
      </w:pPr>
      <w:r>
        <w:rPr>
          <w:rFonts w:ascii="Traditional Arabic" w:hAnsi="Traditional Arabic" w:hint="cs"/>
          <w:b/>
          <w:bCs/>
          <w:sz w:val="32"/>
          <w:szCs w:val="32"/>
          <w:rtl/>
        </w:rPr>
        <w:t xml:space="preserve">     </w:t>
      </w:r>
      <w:r w:rsidRPr="00130FD0">
        <w:rPr>
          <w:rFonts w:ascii="Traditional Arabic" w:hAnsi="Traditional Arabic" w:hint="cs"/>
          <w:b/>
          <w:bCs/>
          <w:sz w:val="32"/>
          <w:szCs w:val="32"/>
          <w:rtl/>
        </w:rPr>
        <w:t>تنبيه:</w:t>
      </w:r>
      <w:r>
        <w:rPr>
          <w:rFonts w:ascii="Traditional Arabic" w:hAnsi="Traditional Arabic" w:hint="cs"/>
          <w:sz w:val="32"/>
          <w:szCs w:val="32"/>
          <w:rtl/>
        </w:rPr>
        <w:t>جمهور الأصوليين على أن</w:t>
      </w:r>
      <w:r w:rsidRPr="00130FD0">
        <w:rPr>
          <w:rFonts w:ascii="Traditional Arabic" w:hAnsi="Traditional Arabic" w:hint="cs"/>
          <w:sz w:val="32"/>
          <w:szCs w:val="32"/>
          <w:rtl/>
        </w:rPr>
        <w:t xml:space="preserve"> الفاسد والباطل</w:t>
      </w:r>
      <w:r>
        <w:rPr>
          <w:rFonts w:ascii="Traditional Arabic" w:hAnsi="Traditional Arabic" w:hint="cs"/>
          <w:sz w:val="32"/>
          <w:szCs w:val="32"/>
          <w:rtl/>
        </w:rPr>
        <w:t xml:space="preserve"> </w:t>
      </w:r>
      <w:r w:rsidRPr="000428F8">
        <w:rPr>
          <w:rFonts w:ascii="Traditional Arabic" w:hAnsi="Traditional Arabic" w:hint="cs"/>
          <w:sz w:val="32"/>
          <w:szCs w:val="32"/>
          <w:rtl/>
        </w:rPr>
        <w:t>مترادفان</w:t>
      </w:r>
      <w:r>
        <w:rPr>
          <w:rFonts w:ascii="Traditional Arabic" w:hAnsi="Traditional Arabic" w:hint="cs"/>
          <w:b/>
          <w:bCs/>
          <w:sz w:val="32"/>
          <w:szCs w:val="32"/>
          <w:rtl/>
        </w:rPr>
        <w:t xml:space="preserve">، </w:t>
      </w:r>
      <w:r>
        <w:rPr>
          <w:rFonts w:ascii="Traditional Arabic" w:hAnsi="Traditional Arabic" w:hint="cs"/>
          <w:sz w:val="32"/>
          <w:szCs w:val="32"/>
          <w:rtl/>
        </w:rPr>
        <w:t xml:space="preserve">سواء في العبادات أو المعاملات، أما الحنفية فهم يوافقون الجمهور في العبادات، ويخالفونهم في المعاملات: فالباطل عندهم ما كان غير مشروع بأصله ووصفه كبيع الخنزير بالدم، والفاسد ما كان مشروعا بأصله دون وصفه كبيع درهم بدرهمين. انظر: كشف الأسرار لعبد العزيز البخاري (1/547-550)، والأشباه والنظائر لابن نجيم (400-401)، ومذكرة في أصول الفقه لمحمد الأمين الشنقيطي (46)، وشرح مختصر الروضة للطوفي (445)، والصحة والفساد عند الأصوليين وأثرهما في الفقه الإسلامي لجبريل بن المهدي بن على ميغا (331-334). </w:t>
      </w:r>
    </w:p>
  </w:footnote>
  <w:footnote w:id="1494">
    <w:p w:rsidR="000D3D21" w:rsidRPr="0022238A"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2238A">
        <w:rPr>
          <w:rFonts w:ascii="Traditional Arabic" w:hAnsi="Traditional Arabic"/>
          <w:sz w:val="32"/>
          <w:szCs w:val="32"/>
          <w:rtl/>
        </w:rPr>
        <w:t>مقاييس اللغة</w:t>
      </w:r>
      <w:r>
        <w:rPr>
          <w:rFonts w:ascii="Traditional Arabic" w:hAnsi="Traditional Arabic" w:hint="cs"/>
          <w:sz w:val="32"/>
          <w:szCs w:val="32"/>
          <w:rtl/>
        </w:rPr>
        <w:t xml:space="preserve"> </w:t>
      </w:r>
      <w:r w:rsidRPr="0022238A">
        <w:rPr>
          <w:rFonts w:ascii="Traditional Arabic" w:hAnsi="Traditional Arabic"/>
          <w:sz w:val="32"/>
          <w:szCs w:val="32"/>
          <w:rtl/>
        </w:rPr>
        <w:t>(2/45).</w:t>
      </w:r>
    </w:p>
  </w:footnote>
  <w:footnote w:id="1495">
    <w:p w:rsidR="000D3D21" w:rsidRPr="0022238A"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2238A">
        <w:rPr>
          <w:rFonts w:ascii="Traditional Arabic" w:hAnsi="Traditional Arabic"/>
          <w:sz w:val="32"/>
          <w:szCs w:val="32"/>
          <w:rtl/>
        </w:rPr>
        <w:t>شرح الكوكب المنير (1/341).</w:t>
      </w:r>
    </w:p>
  </w:footnote>
  <w:footnote w:id="1496">
    <w:p w:rsidR="000D3D21" w:rsidRPr="0022238A"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2238A">
        <w:rPr>
          <w:rFonts w:ascii="Traditional Arabic" w:hAnsi="Traditional Arabic"/>
          <w:sz w:val="32"/>
          <w:szCs w:val="32"/>
          <w:rtl/>
        </w:rPr>
        <w:t>الأصول من علم الأصول (11).</w:t>
      </w:r>
    </w:p>
  </w:footnote>
  <w:footnote w:id="1497">
    <w:p w:rsidR="000D3D21" w:rsidRPr="00E11E18"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11E18">
        <w:rPr>
          <w:rFonts w:ascii="Traditional Arabic" w:hAnsi="Traditional Arabic"/>
          <w:sz w:val="32"/>
          <w:szCs w:val="32"/>
          <w:rtl/>
        </w:rPr>
        <w:t>انظر شرح منظومة أصول الفقه وقواعده (233، 234، 235، 237، 238)، وشرح نظم الورقات (40)، وشرح الأصول من علم الأصول (81-82).</w:t>
      </w:r>
    </w:p>
  </w:footnote>
  <w:footnote w:id="1498">
    <w:p w:rsidR="000D3D21" w:rsidRPr="005B2D1F"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B2D1F">
        <w:rPr>
          <w:rFonts w:ascii="Traditional Arabic" w:hAnsi="Traditional Arabic"/>
          <w:sz w:val="32"/>
          <w:szCs w:val="32"/>
          <w:rtl/>
        </w:rPr>
        <w:t>ذكر الشيخ ابن عثيمين أدلة أخرى للقاعدة إلا أنها تتعلق بالعبادات، ولهذا لم أُورِدْها ضِمن أدلة القاعدة.</w:t>
      </w:r>
      <w:r>
        <w:rPr>
          <w:rFonts w:ascii="Traditional Arabic" w:hAnsi="Traditional Arabic" w:hint="cs"/>
          <w:sz w:val="32"/>
          <w:szCs w:val="32"/>
          <w:rtl/>
        </w:rPr>
        <w:t xml:space="preserve"> </w:t>
      </w:r>
      <w:r w:rsidRPr="005B2D1F">
        <w:rPr>
          <w:rFonts w:ascii="Traditional Arabic" w:hAnsi="Traditional Arabic"/>
          <w:sz w:val="32"/>
          <w:szCs w:val="32"/>
          <w:rtl/>
        </w:rPr>
        <w:t>انظر: الشرح الممتع (3/286)، وشرح منظومة أصول الفقه وقواعده (</w:t>
      </w:r>
      <w:r>
        <w:rPr>
          <w:rFonts w:ascii="Traditional Arabic" w:hAnsi="Traditional Arabic" w:hint="cs"/>
          <w:sz w:val="32"/>
          <w:szCs w:val="32"/>
          <w:rtl/>
        </w:rPr>
        <w:t>238</w:t>
      </w:r>
      <w:r w:rsidRPr="005B2D1F">
        <w:rPr>
          <w:rFonts w:ascii="Traditional Arabic" w:hAnsi="Traditional Arabic"/>
          <w:sz w:val="32"/>
          <w:szCs w:val="32"/>
          <w:rtl/>
        </w:rPr>
        <w:t>)، وشرح الأصول من علم الأصول (82)، وشرح نظم الورقات (40)، وأحكام من القرآن الكريم (1/136-137).</w:t>
      </w:r>
    </w:p>
  </w:footnote>
  <w:footnote w:id="1499">
    <w:p w:rsidR="000D3D21" w:rsidRPr="00936B89"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36B89">
        <w:rPr>
          <w:rFonts w:ascii="Traditional Arabic" w:hAnsi="Traditional Arabic"/>
          <w:sz w:val="32"/>
          <w:szCs w:val="32"/>
          <w:rtl/>
        </w:rPr>
        <w:t>أخرجه البخاري في كتاب البيوع، باب إذا اشترط شروطا في البيع لا تَحِلّ، رقم الحديث (2168)، ومسلم في كتاب العتق، باب إنما الولاء لمن أعتق، رقم الحديث (1504)</w:t>
      </w:r>
      <w:r>
        <w:rPr>
          <w:rFonts w:ascii="Traditional Arabic" w:hAnsi="Traditional Arabic" w:hint="cs"/>
          <w:sz w:val="32"/>
          <w:szCs w:val="32"/>
          <w:rtl/>
        </w:rPr>
        <w:t>، واللفظ للبخاري</w:t>
      </w:r>
      <w:r w:rsidRPr="00936B89">
        <w:rPr>
          <w:rFonts w:ascii="Traditional Arabic" w:hAnsi="Traditional Arabic"/>
          <w:sz w:val="32"/>
          <w:szCs w:val="32"/>
          <w:rtl/>
        </w:rPr>
        <w:t>.</w:t>
      </w:r>
    </w:p>
  </w:footnote>
  <w:footnote w:id="1500">
    <w:p w:rsidR="000D3D21" w:rsidRPr="00635146"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35146">
        <w:rPr>
          <w:rFonts w:ascii="Traditional Arabic" w:hAnsi="Traditional Arabic"/>
          <w:sz w:val="32"/>
          <w:szCs w:val="32"/>
          <w:rtl/>
        </w:rPr>
        <w:t xml:space="preserve">قال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635146">
        <w:rPr>
          <w:rFonts w:ascii="Traditional Arabic" w:hAnsi="Traditional Arabic"/>
          <w:sz w:val="32"/>
          <w:szCs w:val="32"/>
          <w:rtl/>
        </w:rPr>
        <w:t>: ( المراد بذلك ليس في كتاب الله حِلُّها؛ أي: ليست مما أحلَّه الله في كتابه). فتح ذي الجلال والإكرام (3/510).</w:t>
      </w:r>
    </w:p>
  </w:footnote>
  <w:footnote w:id="1501">
    <w:p w:rsidR="000D3D21" w:rsidRPr="00FE722E" w:rsidRDefault="000D3D21" w:rsidP="009840EE">
      <w:pPr>
        <w:pStyle w:val="a7"/>
        <w:pageBreakBefore/>
        <w:rPr>
          <w:rFonts w:ascii="Tahoma" w:hAnsi="Tahoma"/>
          <w:sz w:val="32"/>
          <w:szCs w:val="32"/>
        </w:rPr>
      </w:pPr>
      <w:r w:rsidRPr="00FE722E">
        <w:rPr>
          <w:rFonts w:ascii="Tahoma" w:hAnsi="Tahoma"/>
          <w:sz w:val="32"/>
          <w:szCs w:val="32"/>
          <w:rtl/>
        </w:rPr>
        <w:t>(</w:t>
      </w:r>
      <w:r w:rsidRPr="00FE722E">
        <w:rPr>
          <w:rStyle w:val="af1"/>
          <w:rFonts w:ascii="Tahoma" w:hAnsi="Tahoma"/>
          <w:sz w:val="32"/>
          <w:szCs w:val="32"/>
          <w:vertAlign w:val="baseline"/>
          <w:rtl/>
        </w:rPr>
        <w:footnoteRef/>
      </w:r>
      <w:r w:rsidRPr="00FE722E">
        <w:rPr>
          <w:rFonts w:ascii="Tahoma" w:hAnsi="Tahoma"/>
          <w:sz w:val="32"/>
          <w:szCs w:val="32"/>
          <w:rtl/>
        </w:rPr>
        <w:t>)</w:t>
      </w:r>
      <w:r w:rsidRPr="00FE722E">
        <w:rPr>
          <w:rFonts w:ascii="Tahoma" w:hAnsi="Tahoma" w:hint="cs"/>
          <w:sz w:val="32"/>
          <w:szCs w:val="32"/>
          <w:rtl/>
        </w:rPr>
        <w:t xml:space="preserve"> انظر: الشرح الممتع (3/287)، و(8/287)، و(10/25)، وفتح ذي الجلال والإكرام (3/510).</w:t>
      </w:r>
    </w:p>
  </w:footnote>
  <w:footnote w:id="1502">
    <w:p w:rsidR="000D3D21" w:rsidRPr="00E75316" w:rsidRDefault="000D3D21" w:rsidP="009840EE">
      <w:pPr>
        <w:pStyle w:val="a7"/>
        <w:spacing w:line="360" w:lineRule="exac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أخرجه مسلم في كتاب الأقضية،باب</w:t>
      </w:r>
      <w:r>
        <w:rPr>
          <w:rFonts w:ascii="Traditional Arabic" w:hAnsi="Traditional Arabic" w:hint="cs"/>
          <w:sz w:val="32"/>
          <w:szCs w:val="32"/>
          <w:rtl/>
        </w:rPr>
        <w:t xml:space="preserve"> </w:t>
      </w:r>
      <w:r>
        <w:rPr>
          <w:rFonts w:ascii="Traditional Arabic" w:hAnsi="Traditional Arabic"/>
          <w:sz w:val="32"/>
          <w:szCs w:val="32"/>
          <w:rtl/>
        </w:rPr>
        <w:t>نقض الأحكام الباطلة و</w:t>
      </w:r>
      <w:r w:rsidRPr="00E75316">
        <w:rPr>
          <w:rFonts w:ascii="Traditional Arabic" w:hAnsi="Traditional Arabic"/>
          <w:sz w:val="32"/>
          <w:szCs w:val="32"/>
          <w:rtl/>
        </w:rPr>
        <w:t>رد</w:t>
      </w:r>
      <w:r>
        <w:rPr>
          <w:rFonts w:ascii="Traditional Arabic" w:hAnsi="Traditional Arabic" w:hint="cs"/>
          <w:sz w:val="32"/>
          <w:szCs w:val="32"/>
          <w:rtl/>
        </w:rPr>
        <w:t>ّ</w:t>
      </w:r>
      <w:r>
        <w:rPr>
          <w:rFonts w:ascii="Traditional Arabic" w:hAnsi="Traditional Arabic"/>
          <w:sz w:val="32"/>
          <w:szCs w:val="32"/>
          <w:rtl/>
        </w:rPr>
        <w:t xml:space="preserve"> م</w:t>
      </w:r>
      <w:r>
        <w:rPr>
          <w:rFonts w:ascii="Traditional Arabic" w:hAnsi="Traditional Arabic" w:hint="cs"/>
          <w:sz w:val="32"/>
          <w:szCs w:val="32"/>
          <w:rtl/>
        </w:rPr>
        <w:t>ُ</w:t>
      </w:r>
      <w:r>
        <w:rPr>
          <w:rFonts w:ascii="Traditional Arabic" w:hAnsi="Traditional Arabic"/>
          <w:sz w:val="32"/>
          <w:szCs w:val="32"/>
          <w:rtl/>
        </w:rPr>
        <w:t>حدثات الأمور</w:t>
      </w:r>
      <w:r>
        <w:rPr>
          <w:rFonts w:ascii="Traditional Arabic" w:hAnsi="Traditional Arabic" w:hint="cs"/>
          <w:sz w:val="32"/>
          <w:szCs w:val="32"/>
          <w:rtl/>
        </w:rPr>
        <w:t xml:space="preserve">، </w:t>
      </w:r>
      <w:r w:rsidRPr="00E75316">
        <w:rPr>
          <w:rFonts w:ascii="Traditional Arabic" w:hAnsi="Traditional Arabic"/>
          <w:sz w:val="32"/>
          <w:szCs w:val="32"/>
          <w:rtl/>
        </w:rPr>
        <w:t>رقم الحديث</w:t>
      </w:r>
      <w:r>
        <w:rPr>
          <w:rFonts w:ascii="Traditional Arabic" w:hAnsi="Traditional Arabic" w:hint="cs"/>
          <w:sz w:val="32"/>
          <w:szCs w:val="32"/>
          <w:rtl/>
        </w:rPr>
        <w:t xml:space="preserve"> </w:t>
      </w:r>
      <w:r w:rsidRPr="00E75316">
        <w:rPr>
          <w:rFonts w:ascii="Traditional Arabic" w:hAnsi="Traditional Arabic"/>
          <w:sz w:val="32"/>
          <w:szCs w:val="32"/>
          <w:rtl/>
        </w:rPr>
        <w:t>(4589).</w:t>
      </w:r>
    </w:p>
  </w:footnote>
  <w:footnote w:id="1503">
    <w:p w:rsidR="000D3D21" w:rsidRPr="00F5055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5055B">
        <w:rPr>
          <w:rFonts w:ascii="Traditional Arabic" w:hAnsi="Traditional Arabic"/>
          <w:sz w:val="32"/>
          <w:szCs w:val="32"/>
          <w:rtl/>
        </w:rPr>
        <w:t>انظر: شرح منظومة أصول الفقه وقواعده (</w:t>
      </w:r>
      <w:r>
        <w:rPr>
          <w:rFonts w:ascii="Traditional Arabic" w:hAnsi="Traditional Arabic" w:hint="cs"/>
          <w:sz w:val="32"/>
          <w:szCs w:val="32"/>
          <w:rtl/>
        </w:rPr>
        <w:t>237</w:t>
      </w:r>
      <w:r w:rsidRPr="00F5055B">
        <w:rPr>
          <w:rFonts w:ascii="Traditional Arabic" w:hAnsi="Traditional Arabic"/>
          <w:sz w:val="32"/>
          <w:szCs w:val="32"/>
          <w:rtl/>
        </w:rPr>
        <w:t>)، وشرح الأربعين النووية (97).</w:t>
      </w:r>
    </w:p>
  </w:footnote>
  <w:footnote w:id="1504">
    <w:p w:rsidR="000D3D21" w:rsidRPr="00515D6A"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75316">
        <w:rPr>
          <w:rFonts w:ascii="Traditional Arabic" w:hAnsi="Traditional Arabic"/>
          <w:sz w:val="32"/>
          <w:szCs w:val="32"/>
          <w:rtl/>
        </w:rPr>
        <w:t>انظر شرح منظومة أصول الفقه وقواعده (</w:t>
      </w:r>
      <w:r>
        <w:rPr>
          <w:rFonts w:ascii="Traditional Arabic" w:hAnsi="Traditional Arabic" w:hint="cs"/>
          <w:sz w:val="32"/>
          <w:szCs w:val="32"/>
          <w:rtl/>
        </w:rPr>
        <w:t>234</w:t>
      </w:r>
      <w:r w:rsidRPr="00E75316">
        <w:rPr>
          <w:rFonts w:ascii="Traditional Arabic" w:hAnsi="Traditional Arabic"/>
          <w:sz w:val="32"/>
          <w:szCs w:val="32"/>
          <w:rtl/>
        </w:rPr>
        <w:t>)، وشرح نظم الورقات (40).</w:t>
      </w:r>
    </w:p>
  </w:footnote>
  <w:footnote w:id="1505">
    <w:p w:rsidR="000D3D21" w:rsidRPr="00635146" w:rsidRDefault="000D3D21" w:rsidP="009840EE">
      <w:pPr>
        <w:pStyle w:val="a7"/>
        <w:pageBreakBefore/>
        <w:rPr>
          <w:rFonts w:ascii="Tahoma" w:hAnsi="Tahoma"/>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35146">
        <w:rPr>
          <w:rFonts w:ascii="Traditional Arabic" w:hAnsi="Traditional Arabic"/>
          <w:sz w:val="32"/>
          <w:szCs w:val="32"/>
          <w:rtl/>
        </w:rPr>
        <w:t>وجه منافاته لمقتضى العقد</w:t>
      </w:r>
      <w:r w:rsidRPr="00635146">
        <w:rPr>
          <w:rFonts w:ascii="Traditional Arabic" w:hAnsi="Traditional Arabic"/>
          <w:noProof w:val="0"/>
          <w:sz w:val="32"/>
          <w:szCs w:val="32"/>
          <w:rtl/>
          <w:lang w:eastAsia="en-US"/>
        </w:rPr>
        <w:t xml:space="preserve"> أن القرض موضوع</w:t>
      </w:r>
      <w:r w:rsidRPr="00635146">
        <w:rPr>
          <w:rFonts w:ascii="Traditional Arabic" w:hAnsi="Traditional Arabic" w:hint="cs"/>
          <w:noProof w:val="0"/>
          <w:sz w:val="32"/>
          <w:szCs w:val="32"/>
          <w:rtl/>
          <w:lang w:eastAsia="en-US"/>
        </w:rPr>
        <w:t>ُ</w:t>
      </w:r>
      <w:r w:rsidRPr="00635146">
        <w:rPr>
          <w:rFonts w:ascii="Traditional Arabic" w:hAnsi="Traditional Arabic"/>
          <w:noProof w:val="0"/>
          <w:sz w:val="32"/>
          <w:szCs w:val="32"/>
          <w:rtl/>
          <w:lang w:eastAsia="en-US"/>
        </w:rPr>
        <w:t>ه الح</w:t>
      </w:r>
      <w:r w:rsidRPr="00635146">
        <w:rPr>
          <w:rFonts w:ascii="Traditional Arabic" w:hAnsi="Traditional Arabic" w:hint="cs"/>
          <w:noProof w:val="0"/>
          <w:sz w:val="32"/>
          <w:szCs w:val="32"/>
          <w:rtl/>
          <w:lang w:eastAsia="en-US"/>
        </w:rPr>
        <w:t>ُ</w:t>
      </w:r>
      <w:r w:rsidRPr="00635146">
        <w:rPr>
          <w:rFonts w:ascii="Traditional Arabic" w:hAnsi="Traditional Arabic"/>
          <w:noProof w:val="0"/>
          <w:sz w:val="32"/>
          <w:szCs w:val="32"/>
          <w:rtl/>
          <w:lang w:eastAsia="en-US"/>
        </w:rPr>
        <w:t xml:space="preserve">لول، </w:t>
      </w:r>
      <w:r w:rsidRPr="00635146">
        <w:rPr>
          <w:rFonts w:ascii="Traditional Arabic" w:hAnsi="Traditional Arabic" w:hint="cs"/>
          <w:noProof w:val="0"/>
          <w:sz w:val="32"/>
          <w:szCs w:val="32"/>
          <w:rtl/>
          <w:lang w:eastAsia="en-US"/>
        </w:rPr>
        <w:t>وفي</w:t>
      </w:r>
      <w:r>
        <w:rPr>
          <w:rFonts w:ascii="Traditional Arabic" w:hAnsi="Traditional Arabic" w:hint="cs"/>
          <w:noProof w:val="0"/>
          <w:sz w:val="32"/>
          <w:szCs w:val="32"/>
          <w:rtl/>
          <w:lang w:eastAsia="en-US"/>
        </w:rPr>
        <w:t xml:space="preserve"> </w:t>
      </w:r>
      <w:r w:rsidRPr="00635146">
        <w:rPr>
          <w:rFonts w:ascii="Traditional Arabic" w:hAnsi="Traditional Arabic" w:hint="cs"/>
          <w:noProof w:val="0"/>
          <w:sz w:val="32"/>
          <w:szCs w:val="32"/>
          <w:rtl/>
          <w:lang w:eastAsia="en-US"/>
        </w:rPr>
        <w:t>ت</w:t>
      </w:r>
      <w:r w:rsidRPr="00635146">
        <w:rPr>
          <w:rFonts w:ascii="Traditional Arabic" w:hAnsi="Traditional Arabic"/>
          <w:noProof w:val="0"/>
          <w:sz w:val="32"/>
          <w:szCs w:val="32"/>
          <w:rtl/>
          <w:lang w:eastAsia="en-US"/>
        </w:rPr>
        <w:t>أج</w:t>
      </w:r>
      <w:r w:rsidRPr="00635146">
        <w:rPr>
          <w:rFonts w:ascii="Traditional Arabic" w:hAnsi="Traditional Arabic" w:hint="cs"/>
          <w:noProof w:val="0"/>
          <w:sz w:val="32"/>
          <w:szCs w:val="32"/>
          <w:rtl/>
          <w:lang w:eastAsia="en-US"/>
        </w:rPr>
        <w:t>ي</w:t>
      </w:r>
      <w:r w:rsidRPr="00635146">
        <w:rPr>
          <w:rFonts w:ascii="Traditional Arabic" w:hAnsi="Traditional Arabic"/>
          <w:noProof w:val="0"/>
          <w:sz w:val="32"/>
          <w:szCs w:val="32"/>
          <w:rtl/>
          <w:lang w:eastAsia="en-US"/>
        </w:rPr>
        <w:t>له خر</w:t>
      </w:r>
      <w:r w:rsidRPr="00635146">
        <w:rPr>
          <w:rFonts w:ascii="Traditional Arabic" w:hAnsi="Traditional Arabic" w:hint="cs"/>
          <w:noProof w:val="0"/>
          <w:sz w:val="32"/>
          <w:szCs w:val="32"/>
          <w:rtl/>
          <w:lang w:eastAsia="en-US"/>
        </w:rPr>
        <w:t>و</w:t>
      </w:r>
      <w:r w:rsidRPr="00635146">
        <w:rPr>
          <w:rFonts w:ascii="Traditional Arabic" w:hAnsi="Traditional Arabic"/>
          <w:noProof w:val="0"/>
          <w:sz w:val="32"/>
          <w:szCs w:val="32"/>
          <w:rtl/>
          <w:lang w:eastAsia="en-US"/>
        </w:rPr>
        <w:t>ج ب</w:t>
      </w:r>
      <w:r w:rsidRPr="00635146">
        <w:rPr>
          <w:rFonts w:ascii="Traditional Arabic" w:hAnsi="Traditional Arabic" w:hint="cs"/>
          <w:noProof w:val="0"/>
          <w:sz w:val="32"/>
          <w:szCs w:val="32"/>
          <w:rtl/>
          <w:lang w:eastAsia="en-US"/>
        </w:rPr>
        <w:t>العقد</w:t>
      </w:r>
      <w:r w:rsidRPr="00635146">
        <w:rPr>
          <w:rFonts w:ascii="Traditional Arabic" w:hAnsi="Traditional Arabic"/>
          <w:noProof w:val="0"/>
          <w:sz w:val="32"/>
          <w:szCs w:val="32"/>
          <w:rtl/>
          <w:lang w:eastAsia="en-US"/>
        </w:rPr>
        <w:t xml:space="preserve"> عن موضوعه </w:t>
      </w:r>
      <w:r w:rsidRPr="00635146">
        <w:rPr>
          <w:rFonts w:ascii="Traditional Arabic" w:hAnsi="Traditional Arabic" w:hint="cs"/>
          <w:noProof w:val="0"/>
          <w:sz w:val="32"/>
          <w:szCs w:val="32"/>
          <w:rtl/>
          <w:lang w:eastAsia="en-US"/>
        </w:rPr>
        <w:t>الشرعي.</w:t>
      </w:r>
      <w:r>
        <w:rPr>
          <w:rFonts w:ascii="Tahoma" w:hAnsi="Tahoma" w:hint="cs"/>
          <w:sz w:val="32"/>
          <w:szCs w:val="32"/>
          <w:rtl/>
        </w:rPr>
        <w:t xml:space="preserve"> انظر الشرح الممتع (9/99).</w:t>
      </w:r>
    </w:p>
  </w:footnote>
  <w:footnote w:id="1506">
    <w:p w:rsidR="000D3D21" w:rsidRPr="001D4085"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1D4085">
        <w:rPr>
          <w:rFonts w:ascii="Traditional Arabic" w:hAnsi="Traditional Arabic"/>
          <w:noProof w:val="0"/>
          <w:sz w:val="32"/>
          <w:szCs w:val="32"/>
          <w:rtl/>
          <w:lang w:eastAsia="en-US"/>
        </w:rPr>
        <w:t>كل شرط يخالف مقتضى العقد فهو باطل؛ لأنه يخرج بالعقد عن موضوعه الشرعي، فيكون مخالفا لكتاب الله ـ عز وجل ـ وكل شرط ليس في كتاب الله فهو باطل</w:t>
      </w:r>
      <w:r>
        <w:rPr>
          <w:rFonts w:ascii="Tahoma" w:hAnsi="Tahoma" w:hint="cs"/>
          <w:rtl/>
        </w:rPr>
        <w:t xml:space="preserve">. </w:t>
      </w:r>
      <w:r w:rsidRPr="00A000DE">
        <w:rPr>
          <w:rFonts w:ascii="Tahoma" w:hAnsi="Tahoma" w:hint="cs"/>
          <w:sz w:val="32"/>
          <w:szCs w:val="32"/>
          <w:rtl/>
        </w:rPr>
        <w:t>المرجع السابق.</w:t>
      </w:r>
    </w:p>
  </w:footnote>
  <w:footnote w:id="1507">
    <w:p w:rsidR="000D3D21" w:rsidRPr="0048614B" w:rsidRDefault="000D3D21" w:rsidP="009840EE">
      <w:pPr>
        <w:pStyle w:val="a7"/>
        <w:pageBreakBefore/>
        <w:rPr>
          <w:rFonts w:ascii="Tahoma" w:hAnsi="Tahoma"/>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8614B">
        <w:rPr>
          <w:rFonts w:ascii="Traditional Arabic" w:hAnsi="Traditional Arabic"/>
          <w:sz w:val="32"/>
          <w:szCs w:val="32"/>
          <w:rtl/>
        </w:rPr>
        <w:t xml:space="preserve">هذا هو المذهب عند الحنابلة، ورجح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48614B">
        <w:rPr>
          <w:rFonts w:ascii="Traditional Arabic" w:hAnsi="Traditional Arabic"/>
          <w:sz w:val="32"/>
          <w:szCs w:val="32"/>
          <w:rtl/>
        </w:rPr>
        <w:t xml:space="preserve"> أن القرض يتأج</w:t>
      </w:r>
      <w:r>
        <w:rPr>
          <w:rFonts w:ascii="Traditional Arabic" w:hAnsi="Traditional Arabic" w:hint="cs"/>
          <w:sz w:val="32"/>
          <w:szCs w:val="32"/>
          <w:rtl/>
        </w:rPr>
        <w:t>َّ</w:t>
      </w:r>
      <w:r>
        <w:rPr>
          <w:rFonts w:ascii="Traditional Arabic" w:hAnsi="Traditional Arabic"/>
          <w:sz w:val="32"/>
          <w:szCs w:val="32"/>
          <w:rtl/>
        </w:rPr>
        <w:t>ل بالتأجيل</w:t>
      </w:r>
      <w:r>
        <w:rPr>
          <w:rFonts w:ascii="Traditional Arabic" w:hAnsi="Traditional Arabic" w:hint="cs"/>
          <w:sz w:val="32"/>
          <w:szCs w:val="32"/>
          <w:rtl/>
        </w:rPr>
        <w:t xml:space="preserve">؛ </w:t>
      </w:r>
      <w:r>
        <w:rPr>
          <w:rFonts w:ascii="Traditional Arabic" w:hAnsi="Traditional Arabic"/>
          <w:noProof w:val="0"/>
          <w:sz w:val="32"/>
          <w:szCs w:val="32"/>
          <w:rtl/>
          <w:lang w:eastAsia="en-US"/>
        </w:rPr>
        <w:t xml:space="preserve">لأن </w:t>
      </w:r>
      <w:r>
        <w:rPr>
          <w:rFonts w:ascii="Traditional Arabic" w:hAnsi="Traditional Arabic" w:hint="cs"/>
          <w:noProof w:val="0"/>
          <w:sz w:val="32"/>
          <w:szCs w:val="32"/>
          <w:rtl/>
          <w:lang w:eastAsia="en-US"/>
        </w:rPr>
        <w:t xml:space="preserve">اشتراط التأجيل </w:t>
      </w:r>
      <w:r w:rsidRPr="0048614B">
        <w:rPr>
          <w:rFonts w:ascii="Traditional Arabic" w:hAnsi="Traditional Arabic"/>
          <w:noProof w:val="0"/>
          <w:sz w:val="32"/>
          <w:szCs w:val="32"/>
          <w:rtl/>
          <w:lang w:eastAsia="en-US"/>
        </w:rPr>
        <w:t>لا ينافي مقتضى العقد</w:t>
      </w:r>
      <w:r>
        <w:rPr>
          <w:rFonts w:ascii="Traditional Arabic" w:hAnsi="Traditional Arabic" w:hint="cs"/>
          <w:noProof w:val="0"/>
          <w:sz w:val="32"/>
          <w:szCs w:val="32"/>
          <w:rtl/>
          <w:lang w:eastAsia="en-US"/>
        </w:rPr>
        <w:t>،</w:t>
      </w:r>
      <w:r w:rsidRPr="0048614B">
        <w:rPr>
          <w:rFonts w:ascii="Traditional Arabic" w:hAnsi="Traditional Arabic"/>
          <w:noProof w:val="0"/>
          <w:sz w:val="32"/>
          <w:szCs w:val="32"/>
          <w:rtl/>
          <w:lang w:eastAsia="en-US"/>
        </w:rPr>
        <w:t xml:space="preserve"> بل هو من تمام مقتضى العقد؛ لأن المقصود بالقرض الإرفاق والإحسان</w:t>
      </w:r>
      <w:r>
        <w:rPr>
          <w:rFonts w:ascii="Traditional Arabic" w:hAnsi="Traditional Arabic" w:hint="cs"/>
          <w:noProof w:val="0"/>
          <w:sz w:val="32"/>
          <w:szCs w:val="32"/>
          <w:rtl/>
          <w:lang w:eastAsia="en-US"/>
        </w:rPr>
        <w:t>، و</w:t>
      </w:r>
      <w:r w:rsidRPr="0048614B">
        <w:rPr>
          <w:rFonts w:ascii="Traditional Arabic" w:hAnsi="Traditional Arabic"/>
          <w:noProof w:val="0"/>
          <w:sz w:val="32"/>
          <w:szCs w:val="32"/>
          <w:rtl/>
          <w:lang w:eastAsia="en-US"/>
        </w:rPr>
        <w:t>الأرفق للمقترض التأجيل</w:t>
      </w:r>
      <w:r>
        <w:rPr>
          <w:rFonts w:ascii="Traditional Arabic" w:hAnsi="Traditional Arabic" w:hint="cs"/>
          <w:noProof w:val="0"/>
          <w:sz w:val="32"/>
          <w:szCs w:val="32"/>
          <w:rtl/>
          <w:lang w:eastAsia="en-US"/>
        </w:rPr>
        <w:t>، وهذا الذي اختاره شيخ الإسلام ابن تيمية _</w:t>
      </w:r>
      <w:r>
        <w:rPr>
          <w:rFonts w:ascii="Traditional Arabic" w:hAnsi="Traditional Arabic" w:cs="CTraditional Arabic" w:hint="cs"/>
          <w:rtl/>
        </w:rPr>
        <w:t>/</w:t>
      </w:r>
      <w:r>
        <w:rPr>
          <w:rFonts w:ascii="Traditional Arabic" w:hAnsi="Traditional Arabic" w:hint="cs"/>
          <w:noProof w:val="0"/>
          <w:sz w:val="32"/>
          <w:szCs w:val="32"/>
          <w:rtl/>
          <w:lang w:eastAsia="en-US"/>
        </w:rPr>
        <w:t>_. انظر: المرجع السابق (9/99-100)، والاختيارات الفقهية لشيخ الإسلام ابن تيمية (194)، والإنصاف للمرداوي (12/340).</w:t>
      </w:r>
    </w:p>
  </w:footnote>
  <w:footnote w:id="1508">
    <w:p w:rsidR="000D3D21" w:rsidRPr="00DC143E"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143E">
        <w:rPr>
          <w:rFonts w:ascii="Traditional Arabic" w:hAnsi="Traditional Arabic"/>
          <w:sz w:val="32"/>
          <w:szCs w:val="32"/>
          <w:rtl/>
        </w:rPr>
        <w:t xml:space="preserve">هذا هو المذهب، وذكر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DC143E">
        <w:rPr>
          <w:rFonts w:ascii="Traditional Arabic" w:hAnsi="Traditional Arabic"/>
          <w:sz w:val="32"/>
          <w:szCs w:val="32"/>
          <w:rtl/>
        </w:rPr>
        <w:t xml:space="preserve"> قولا ثانيا</w:t>
      </w:r>
      <w:r>
        <w:rPr>
          <w:rFonts w:ascii="Traditional Arabic" w:hAnsi="Traditional Arabic" w:hint="cs"/>
          <w:sz w:val="32"/>
          <w:szCs w:val="32"/>
          <w:rtl/>
        </w:rPr>
        <w:t>،</w:t>
      </w:r>
      <w:r w:rsidRPr="00DC143E">
        <w:rPr>
          <w:rFonts w:ascii="Traditional Arabic" w:hAnsi="Traditional Arabic"/>
          <w:sz w:val="32"/>
          <w:szCs w:val="32"/>
          <w:rtl/>
        </w:rPr>
        <w:t xml:space="preserve"> وهو أن عقد الإجارة يصح، وأن للمستأجر الخيار إذا رآها.</w:t>
      </w:r>
      <w:r>
        <w:rPr>
          <w:rFonts w:ascii="Traditional Arabic" w:hAnsi="Traditional Arabic" w:hint="cs"/>
          <w:sz w:val="32"/>
          <w:szCs w:val="32"/>
          <w:rtl/>
        </w:rPr>
        <w:t xml:space="preserve"> </w:t>
      </w:r>
      <w:r w:rsidRPr="00DC143E">
        <w:rPr>
          <w:rFonts w:ascii="Traditional Arabic" w:hAnsi="Traditional Arabic"/>
          <w:sz w:val="32"/>
          <w:szCs w:val="32"/>
          <w:rtl/>
        </w:rPr>
        <w:t>انظر</w:t>
      </w:r>
      <w:r>
        <w:rPr>
          <w:rFonts w:ascii="Traditional Arabic" w:hAnsi="Traditional Arabic" w:hint="cs"/>
          <w:sz w:val="32"/>
          <w:szCs w:val="32"/>
          <w:rtl/>
        </w:rPr>
        <w:t>:</w:t>
      </w:r>
      <w:r w:rsidRPr="00DC143E">
        <w:rPr>
          <w:rFonts w:ascii="Traditional Arabic" w:hAnsi="Traditional Arabic"/>
          <w:sz w:val="32"/>
          <w:szCs w:val="32"/>
          <w:rtl/>
        </w:rPr>
        <w:t xml:space="preserve"> الشرح الممتع (10/24-26)، والشرح الكبير على متن المقنع</w:t>
      </w:r>
      <w:r>
        <w:rPr>
          <w:rFonts w:ascii="Traditional Arabic" w:hAnsi="Traditional Arabic" w:hint="cs"/>
          <w:sz w:val="32"/>
          <w:szCs w:val="32"/>
          <w:rtl/>
        </w:rPr>
        <w:t xml:space="preserve"> </w:t>
      </w:r>
      <w:r w:rsidRPr="00DC143E">
        <w:rPr>
          <w:rFonts w:ascii="Traditional Arabic" w:hAnsi="Traditional Arabic"/>
          <w:noProof w:val="0"/>
          <w:sz w:val="32"/>
          <w:szCs w:val="32"/>
          <w:rtl/>
          <w:lang w:eastAsia="en-US"/>
        </w:rPr>
        <w:t>لعبد الرحمن بن محمد بن أحمد بن قدامة المقدسي</w:t>
      </w:r>
      <w:r w:rsidRPr="00DC143E">
        <w:rPr>
          <w:rFonts w:ascii="Traditional Arabic" w:hAnsi="Traditional Arabic"/>
          <w:sz w:val="32"/>
          <w:szCs w:val="32"/>
          <w:rtl/>
        </w:rPr>
        <w:t xml:space="preserve"> (14/333).</w:t>
      </w:r>
    </w:p>
  </w:footnote>
  <w:footnote w:id="1509">
    <w:p w:rsidR="000D3D21" w:rsidRPr="00DC143E" w:rsidRDefault="000D3D21" w:rsidP="00F10FE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143E">
        <w:rPr>
          <w:rFonts w:ascii="Traditional Arabic" w:hAnsi="Traditional Arabic"/>
          <w:sz w:val="32"/>
          <w:szCs w:val="32"/>
          <w:rtl/>
        </w:rPr>
        <w:t>مما ذكره الشيخ ابن عثيمين من مستثنيات القاعدة المضي في الحج الفاسد والعمرة الفاسدة، إلا أن ذلك لا ير</w:t>
      </w:r>
      <w:r>
        <w:rPr>
          <w:rFonts w:ascii="Traditional Arabic" w:hAnsi="Traditional Arabic" w:hint="cs"/>
          <w:sz w:val="32"/>
          <w:szCs w:val="32"/>
          <w:rtl/>
        </w:rPr>
        <w:t>ِ</w:t>
      </w:r>
      <w:r w:rsidRPr="00DC143E">
        <w:rPr>
          <w:rFonts w:ascii="Traditional Arabic" w:hAnsi="Traditional Arabic"/>
          <w:sz w:val="32"/>
          <w:szCs w:val="32"/>
          <w:rtl/>
        </w:rPr>
        <w:t>د على القاعدة باللفظ المختار في هذا البحث، والله أعلم.</w:t>
      </w:r>
      <w:r>
        <w:rPr>
          <w:rFonts w:ascii="Traditional Arabic" w:hAnsi="Traditional Arabic" w:hint="cs"/>
          <w:sz w:val="32"/>
          <w:szCs w:val="32"/>
          <w:rtl/>
        </w:rPr>
        <w:t xml:space="preserve"> </w:t>
      </w:r>
      <w:r w:rsidRPr="00DC143E">
        <w:rPr>
          <w:rFonts w:ascii="Traditional Arabic" w:hAnsi="Traditional Arabic"/>
          <w:sz w:val="32"/>
          <w:szCs w:val="32"/>
          <w:rtl/>
        </w:rPr>
        <w:t>انظر شرح منظومة أصول الفقه وقواعده (</w:t>
      </w:r>
      <w:r>
        <w:rPr>
          <w:rFonts w:ascii="Traditional Arabic" w:hAnsi="Traditional Arabic" w:hint="cs"/>
          <w:sz w:val="32"/>
          <w:szCs w:val="32"/>
          <w:rtl/>
        </w:rPr>
        <w:t>238-240</w:t>
      </w:r>
      <w:r w:rsidRPr="00DC143E">
        <w:rPr>
          <w:rFonts w:ascii="Traditional Arabic" w:hAnsi="Traditional Arabic"/>
          <w:sz w:val="32"/>
          <w:szCs w:val="32"/>
          <w:rtl/>
        </w:rPr>
        <w:t>).</w:t>
      </w:r>
    </w:p>
  </w:footnote>
  <w:footnote w:id="1510">
    <w:p w:rsidR="000D3D21" w:rsidRPr="00DC143E" w:rsidRDefault="000D3D21" w:rsidP="00F10FEB">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143E">
        <w:rPr>
          <w:rFonts w:ascii="Traditional Arabic" w:hAnsi="Traditional Arabic"/>
          <w:sz w:val="32"/>
          <w:szCs w:val="32"/>
          <w:rtl/>
        </w:rPr>
        <w:t>انظر الأشباه والنظائر للسيوطي (287).</w:t>
      </w:r>
    </w:p>
    <w:p w:rsidR="000D3D21" w:rsidRPr="00FF65FB" w:rsidRDefault="000D3D21" w:rsidP="00BC5153">
      <w:pPr>
        <w:pStyle w:val="a7"/>
        <w:pageBreakBefore/>
        <w:ind w:left="0" w:firstLine="0"/>
        <w:rPr>
          <w:rFonts w:ascii="Tahoma" w:hAnsi="Tahoma"/>
        </w:rPr>
      </w:pPr>
      <w:r>
        <w:rPr>
          <w:rFonts w:ascii="Traditional Arabic" w:hAnsi="Traditional Arabic" w:hint="cs"/>
          <w:sz w:val="32"/>
          <w:szCs w:val="32"/>
          <w:rtl/>
        </w:rPr>
        <w:t xml:space="preserve">     </w:t>
      </w:r>
      <w:r w:rsidRPr="00DC143E">
        <w:rPr>
          <w:rFonts w:ascii="Traditional Arabic" w:hAnsi="Traditional Arabic"/>
          <w:sz w:val="32"/>
          <w:szCs w:val="32"/>
          <w:rtl/>
        </w:rPr>
        <w:t>والمقصود من ذلك أن هذا البيع الفاسد لا تترتب عليه آثار</w:t>
      </w:r>
      <w:r>
        <w:rPr>
          <w:rFonts w:ascii="Traditional Arabic" w:hAnsi="Traditional Arabic" w:hint="cs"/>
          <w:sz w:val="32"/>
          <w:szCs w:val="32"/>
          <w:rtl/>
        </w:rPr>
        <w:t>ُ</w:t>
      </w:r>
      <w:r w:rsidRPr="00DC143E">
        <w:rPr>
          <w:rFonts w:ascii="Traditional Arabic" w:hAnsi="Traditional Arabic"/>
          <w:sz w:val="32"/>
          <w:szCs w:val="32"/>
          <w:rtl/>
        </w:rPr>
        <w:t>ه، فيعود المشتري بالثمن على البائع، ويعود البائع بالطعام على المشتري، ولما كان المشتري قد استهلك هذا الطعام، فإنه يطالَب بمثله</w:t>
      </w:r>
      <w:r>
        <w:rPr>
          <w:rFonts w:ascii="Traditional Arabic" w:hAnsi="Traditional Arabic" w:hint="cs"/>
          <w:sz w:val="32"/>
          <w:szCs w:val="32"/>
          <w:rtl/>
        </w:rPr>
        <w:t xml:space="preserve"> أو قيمة المثل. والله أعلم.</w:t>
      </w:r>
    </w:p>
  </w:footnote>
  <w:footnote w:id="1511">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اخترت هذه الصيغة لوَجازَتها، ولِشُمولها العقودَ والفسوخَ.</w:t>
      </w:r>
    </w:p>
  </w:footnote>
  <w:footnote w:id="1512">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407CB">
        <w:rPr>
          <w:rFonts w:ascii="Traditional Arabic" w:hAnsi="Traditional Arabic"/>
          <w:sz w:val="32"/>
          <w:szCs w:val="32"/>
          <w:rtl/>
        </w:rPr>
        <w:t xml:space="preserve"> الشرح الممتع (9/191). </w:t>
      </w:r>
    </w:p>
  </w:footnote>
  <w:footnote w:id="1513">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المرجع السابق (9/217) بتصرف.</w:t>
      </w:r>
    </w:p>
  </w:footnote>
  <w:footnote w:id="1514">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المرجع السابق (13/23) بتصرف.</w:t>
      </w:r>
    </w:p>
  </w:footnote>
  <w:footnote w:id="1515">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 xml:space="preserve">مجموع الفتاوى </w:t>
      </w:r>
      <w:r>
        <w:rPr>
          <w:rFonts w:ascii="Traditional Arabic" w:hAnsi="Traditional Arabic" w:hint="cs"/>
          <w:sz w:val="32"/>
          <w:szCs w:val="32"/>
          <w:rtl/>
        </w:rPr>
        <w:t xml:space="preserve">لابن تيمية </w:t>
      </w:r>
      <w:r w:rsidRPr="00D407CB">
        <w:rPr>
          <w:rFonts w:ascii="Traditional Arabic" w:hAnsi="Traditional Arabic"/>
          <w:sz w:val="32"/>
          <w:szCs w:val="32"/>
          <w:rtl/>
        </w:rPr>
        <w:t>(29/155)، وانظر القواعد والضوابط الفقهية للمعاملات المالية عند ابن تيمية (2/173).</w:t>
      </w:r>
    </w:p>
  </w:footnote>
  <w:footnote w:id="1516">
    <w:p w:rsidR="000D3D21" w:rsidRPr="00D407CB" w:rsidRDefault="000D3D21" w:rsidP="003E316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407CB">
        <w:rPr>
          <w:rFonts w:ascii="Traditional Arabic" w:hAnsi="Traditional Arabic"/>
          <w:b/>
          <w:bCs/>
          <w:sz w:val="32"/>
          <w:szCs w:val="32"/>
          <w:rtl/>
        </w:rPr>
        <w:t>عقود الم</w:t>
      </w:r>
      <w:r>
        <w:rPr>
          <w:rFonts w:ascii="Traditional Arabic" w:hAnsi="Traditional Arabic" w:hint="cs"/>
          <w:b/>
          <w:bCs/>
          <w:sz w:val="32"/>
          <w:szCs w:val="32"/>
          <w:rtl/>
        </w:rPr>
        <w:t>ُ</w:t>
      </w:r>
      <w:r w:rsidRPr="00D407CB">
        <w:rPr>
          <w:rFonts w:ascii="Traditional Arabic" w:hAnsi="Traditional Arabic"/>
          <w:b/>
          <w:bCs/>
          <w:sz w:val="32"/>
          <w:szCs w:val="32"/>
          <w:rtl/>
        </w:rPr>
        <w:t>عاو</w:t>
      </w:r>
      <w:r>
        <w:rPr>
          <w:rFonts w:ascii="Traditional Arabic" w:hAnsi="Traditional Arabic" w:hint="cs"/>
          <w:b/>
          <w:bCs/>
          <w:sz w:val="32"/>
          <w:szCs w:val="32"/>
          <w:rtl/>
        </w:rPr>
        <w:t>َ</w:t>
      </w:r>
      <w:r w:rsidRPr="00D407CB">
        <w:rPr>
          <w:rFonts w:ascii="Traditional Arabic" w:hAnsi="Traditional Arabic"/>
          <w:b/>
          <w:bCs/>
          <w:sz w:val="32"/>
          <w:szCs w:val="32"/>
          <w:rtl/>
        </w:rPr>
        <w:t>ضات</w:t>
      </w:r>
      <w:r>
        <w:rPr>
          <w:rFonts w:ascii="Traditional Arabic" w:hAnsi="Traditional Arabic" w:hint="cs"/>
          <w:b/>
          <w:bCs/>
          <w:sz w:val="32"/>
          <w:szCs w:val="32"/>
          <w:rtl/>
        </w:rPr>
        <w:t xml:space="preserve">: </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عقود الم</w:instrText>
      </w:r>
      <w:r w:rsidRPr="003E316B">
        <w:rPr>
          <w:rFonts w:ascii="Traditional Arabic" w:hAnsi="Traditional Arabic" w:hint="cs"/>
          <w:sz w:val="32"/>
          <w:szCs w:val="32"/>
          <w:rtl/>
        </w:rPr>
        <w:instrText>ُ</w:instrText>
      </w:r>
      <w:r w:rsidRPr="003E316B">
        <w:rPr>
          <w:rFonts w:ascii="Traditional Arabic" w:hAnsi="Traditional Arabic"/>
          <w:sz w:val="32"/>
          <w:szCs w:val="32"/>
          <w:rtl/>
        </w:rPr>
        <w:instrText>عاو</w:instrText>
      </w:r>
      <w:r w:rsidRPr="003E316B">
        <w:rPr>
          <w:rFonts w:ascii="Traditional Arabic" w:hAnsi="Traditional Arabic" w:hint="cs"/>
          <w:sz w:val="32"/>
          <w:szCs w:val="32"/>
          <w:rtl/>
        </w:rPr>
        <w:instrText>َ</w:instrText>
      </w:r>
      <w:r w:rsidRPr="003E316B">
        <w:rPr>
          <w:rFonts w:ascii="Traditional Arabic" w:hAnsi="Traditional Arabic"/>
          <w:sz w:val="32"/>
          <w:szCs w:val="32"/>
          <w:rtl/>
        </w:rPr>
        <w:instrText>ضات</w:instrText>
      </w:r>
      <w:r>
        <w:instrText xml:space="preserve">" </w:instrText>
      </w:r>
      <w:r w:rsidRPr="003E316B">
        <w:instrText>\fm</w:instrText>
      </w:r>
      <w:r w:rsidR="00AB0B9E">
        <w:rPr>
          <w:rFonts w:ascii="Traditional Arabic" w:hAnsi="Traditional Arabic"/>
          <w:b/>
          <w:bCs/>
          <w:sz w:val="32"/>
          <w:szCs w:val="32"/>
          <w:rtl/>
        </w:rPr>
        <w:fldChar w:fldCharType="end"/>
      </w:r>
      <w:r w:rsidRPr="00D407CB">
        <w:rPr>
          <w:rFonts w:ascii="Traditional Arabic" w:hAnsi="Traditional Arabic"/>
          <w:sz w:val="32"/>
          <w:szCs w:val="32"/>
          <w:rtl/>
        </w:rPr>
        <w:t>عبارة عن ضرب من التمليكات، تقوم على أساس إنشاء حقوق والتزامات متقابلة بين العاقدين، وذلك كالبيع</w:t>
      </w:r>
      <w:r>
        <w:rPr>
          <w:rFonts w:ascii="Traditional Arabic" w:hAnsi="Traditional Arabic"/>
          <w:sz w:val="32"/>
          <w:szCs w:val="32"/>
          <w:rtl/>
        </w:rPr>
        <w:t xml:space="preserve"> و</w:t>
      </w:r>
      <w:r w:rsidRPr="00D407CB">
        <w:rPr>
          <w:rFonts w:ascii="Traditional Arabic" w:hAnsi="Traditional Arabic"/>
          <w:sz w:val="32"/>
          <w:szCs w:val="32"/>
          <w:rtl/>
        </w:rPr>
        <w:t>الإجارة.انظر: المدخل الفقهي العام (1/640)، ومعجم المصطلحات المالية والاقتصادية (427).</w:t>
      </w:r>
    </w:p>
  </w:footnote>
  <w:footnote w:id="1517">
    <w:p w:rsidR="000D3D21" w:rsidRDefault="000D3D21" w:rsidP="009840EE">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 xml:space="preserve">القواعد والأصول الجامعة (59). </w:t>
      </w:r>
    </w:p>
    <w:p w:rsidR="000D3D21" w:rsidRPr="00D407CB" w:rsidRDefault="000D3D21" w:rsidP="003E316B">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D407CB">
        <w:rPr>
          <w:rFonts w:ascii="Traditional Arabic" w:hAnsi="Traditional Arabic"/>
          <w:b/>
          <w:bCs/>
          <w:sz w:val="32"/>
          <w:szCs w:val="32"/>
          <w:rtl/>
        </w:rPr>
        <w:t>وعقود التبرُّعات</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عقود التبرُّعات</w:instrText>
      </w:r>
      <w:r>
        <w:instrText xml:space="preserve">" </w:instrText>
      </w:r>
      <w:r w:rsidRPr="003E316B">
        <w:instrText>\fm</w:instrText>
      </w:r>
      <w:r w:rsidR="00AB0B9E">
        <w:rPr>
          <w:rFonts w:ascii="Traditional Arabic" w:hAnsi="Traditional Arabic"/>
          <w:b/>
          <w:bCs/>
          <w:sz w:val="32"/>
          <w:szCs w:val="32"/>
          <w:rtl/>
        </w:rPr>
        <w:fldChar w:fldCharType="end"/>
      </w:r>
      <w:r w:rsidRPr="00D407CB">
        <w:rPr>
          <w:rFonts w:ascii="Traditional Arabic" w:hAnsi="Traditional Arabic"/>
          <w:b/>
          <w:bCs/>
          <w:sz w:val="32"/>
          <w:szCs w:val="32"/>
          <w:rtl/>
        </w:rPr>
        <w:t xml:space="preserve">: </w:t>
      </w:r>
      <w:r w:rsidRPr="00D407CB">
        <w:rPr>
          <w:rFonts w:ascii="Traditional Arabic" w:hAnsi="Traditional Arabic"/>
          <w:sz w:val="32"/>
          <w:szCs w:val="32"/>
          <w:rtl/>
        </w:rPr>
        <w:t>هي التي تقوم على أساس المنحة أو المعونة من أحد الطرفين للآخر، كالهبة والإعارة.</w:t>
      </w:r>
      <w:r>
        <w:rPr>
          <w:rFonts w:ascii="Traditional Arabic" w:hAnsi="Traditional Arabic" w:hint="cs"/>
          <w:sz w:val="32"/>
          <w:szCs w:val="32"/>
          <w:rtl/>
        </w:rPr>
        <w:t xml:space="preserve"> </w:t>
      </w:r>
      <w:r w:rsidRPr="00D407CB">
        <w:rPr>
          <w:rFonts w:ascii="Traditional Arabic" w:hAnsi="Traditional Arabic"/>
          <w:sz w:val="32"/>
          <w:szCs w:val="32"/>
          <w:rtl/>
        </w:rPr>
        <w:t>المدخل الفقهي العام (1/640)، وانظر معجم المصطلحات المالية والاقتصادية (127).</w:t>
      </w:r>
    </w:p>
  </w:footnote>
  <w:footnote w:id="1518">
    <w:p w:rsidR="000D3D21" w:rsidRPr="006763E5"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 xml:space="preserve">هذه الزيادة من النُّسخة التي علق عليها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D407CB">
        <w:rPr>
          <w:rFonts w:ascii="Traditional Arabic" w:hAnsi="Traditional Arabic"/>
          <w:sz w:val="32"/>
          <w:szCs w:val="32"/>
          <w:rtl/>
        </w:rPr>
        <w:t>.التعليق على القواعد والأصول الجامعة (115).</w:t>
      </w:r>
    </w:p>
  </w:footnote>
  <w:footnote w:id="1519">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مقاييس اللغة (4/503).</w:t>
      </w:r>
    </w:p>
  </w:footnote>
  <w:footnote w:id="1520">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المصباح المنير (384).</w:t>
      </w:r>
    </w:p>
  </w:footnote>
  <w:footnote w:id="1521">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الأشباه والنظائر (402) لابن نجيم، وانظر معجم المصطلحات المالية والاقتصادية (353).</w:t>
      </w:r>
    </w:p>
  </w:footnote>
  <w:footnote w:id="1522">
    <w:p w:rsidR="000D3D21" w:rsidRPr="00BD12A9" w:rsidRDefault="000D3D21" w:rsidP="00D624D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مقاييس اللغة (2/402).</w:t>
      </w:r>
    </w:p>
  </w:footnote>
  <w:footnote w:id="1523">
    <w:p w:rsidR="000D3D21" w:rsidRPr="00BD12A9" w:rsidRDefault="000D3D21" w:rsidP="00D624D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انظر المصباح المنير (</w:t>
      </w:r>
      <w:r>
        <w:rPr>
          <w:rFonts w:ascii="Traditional Arabic" w:hAnsi="Traditional Arabic" w:hint="cs"/>
          <w:sz w:val="32"/>
          <w:szCs w:val="32"/>
          <w:rtl/>
        </w:rPr>
        <w:t>191</w:t>
      </w:r>
      <w:r w:rsidRPr="00BD12A9">
        <w:rPr>
          <w:rFonts w:ascii="Traditional Arabic" w:hAnsi="Traditional Arabic"/>
          <w:sz w:val="32"/>
          <w:szCs w:val="32"/>
          <w:rtl/>
        </w:rPr>
        <w:t>).</w:t>
      </w:r>
    </w:p>
  </w:footnote>
  <w:footnote w:id="1524">
    <w:p w:rsidR="000D3D21" w:rsidRPr="009018D3"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مبدأ الرضا في العقود، دراسة مقارنة في الفقه الإسلامي والقانون المدني لعلي محيي الدين علي القره داغي (1/194).</w:t>
      </w:r>
    </w:p>
  </w:footnote>
  <w:footnote w:id="1525">
    <w:p w:rsidR="000D3D21" w:rsidRPr="00D407CB" w:rsidRDefault="000D3D21" w:rsidP="003E316B">
      <w:pPr>
        <w:widowControl/>
        <w:autoSpaceDE w:val="0"/>
        <w:autoSpaceDN w:val="0"/>
        <w:adjustRightInd w:val="0"/>
        <w:ind w:firstLine="0"/>
        <w:jc w:val="left"/>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407CB">
        <w:rPr>
          <w:rFonts w:ascii="Traditional Arabic" w:hAnsi="Traditional Arabic"/>
          <w:b/>
          <w:bCs/>
          <w:sz w:val="32"/>
          <w:szCs w:val="32"/>
          <w:rtl/>
        </w:rPr>
        <w:t>الو</w:t>
      </w:r>
      <w:r>
        <w:rPr>
          <w:rFonts w:ascii="Traditional Arabic" w:hAnsi="Traditional Arabic" w:hint="cs"/>
          <w:b/>
          <w:bCs/>
          <w:sz w:val="32"/>
          <w:szCs w:val="32"/>
          <w:rtl/>
        </w:rPr>
        <w:t>َ</w:t>
      </w:r>
      <w:r w:rsidRPr="00D407CB">
        <w:rPr>
          <w:rFonts w:ascii="Traditional Arabic" w:hAnsi="Traditional Arabic"/>
          <w:b/>
          <w:bCs/>
          <w:sz w:val="32"/>
          <w:szCs w:val="32"/>
          <w:rtl/>
        </w:rPr>
        <w:t>ثائ</w:t>
      </w:r>
      <w:r>
        <w:rPr>
          <w:rFonts w:ascii="Traditional Arabic" w:hAnsi="Traditional Arabic" w:hint="cs"/>
          <w:b/>
          <w:bCs/>
          <w:sz w:val="32"/>
          <w:szCs w:val="32"/>
          <w:rtl/>
        </w:rPr>
        <w:t>ِ</w:t>
      </w:r>
      <w:r w:rsidRPr="00D407CB">
        <w:rPr>
          <w:rFonts w:ascii="Traditional Arabic" w:hAnsi="Traditional Arabic"/>
          <w:b/>
          <w:bCs/>
          <w:sz w:val="32"/>
          <w:szCs w:val="32"/>
          <w:rtl/>
        </w:rPr>
        <w:t>ق</w:t>
      </w:r>
      <w:r>
        <w:rPr>
          <w:rFonts w:ascii="Traditional Arabic" w:hAnsi="Traditional Arabic" w:hint="cs"/>
          <w:b/>
          <w:bCs/>
          <w:sz w:val="32"/>
          <w:szCs w:val="32"/>
          <w:rtl/>
        </w:rPr>
        <w:t xml:space="preserve"> </w:t>
      </w:r>
      <w:r w:rsidRPr="00D407CB">
        <w:rPr>
          <w:rFonts w:ascii="Traditional Arabic" w:hAnsi="Traditional Arabic"/>
          <w:b/>
          <w:bCs/>
          <w:sz w:val="32"/>
          <w:szCs w:val="32"/>
          <w:rtl/>
        </w:rPr>
        <w:t>لغة:</w:t>
      </w:r>
      <w:r w:rsidRPr="00D407CB">
        <w:rPr>
          <w:rFonts w:ascii="Traditional Arabic" w:hAnsi="Traditional Arabic"/>
          <w:sz w:val="32"/>
          <w:szCs w:val="32"/>
          <w:rtl/>
        </w:rPr>
        <w:t xml:space="preserve"> جمع و</w:t>
      </w:r>
      <w:r>
        <w:rPr>
          <w:rFonts w:ascii="Traditional Arabic" w:hAnsi="Traditional Arabic" w:hint="cs"/>
          <w:sz w:val="32"/>
          <w:szCs w:val="32"/>
          <w:rtl/>
        </w:rPr>
        <w:t>َ</w:t>
      </w:r>
      <w:r w:rsidRPr="00D407CB">
        <w:rPr>
          <w:rFonts w:ascii="Traditional Arabic" w:hAnsi="Traditional Arabic"/>
          <w:sz w:val="32"/>
          <w:szCs w:val="32"/>
          <w:rtl/>
        </w:rPr>
        <w:t>ث</w:t>
      </w:r>
      <w:r>
        <w:rPr>
          <w:rFonts w:ascii="Traditional Arabic" w:hAnsi="Traditional Arabic" w:hint="cs"/>
          <w:sz w:val="32"/>
          <w:szCs w:val="32"/>
          <w:rtl/>
        </w:rPr>
        <w:t>ِ</w:t>
      </w:r>
      <w:r w:rsidRPr="00D407CB">
        <w:rPr>
          <w:rFonts w:ascii="Traditional Arabic" w:hAnsi="Traditional Arabic"/>
          <w:sz w:val="32"/>
          <w:szCs w:val="32"/>
          <w:rtl/>
        </w:rPr>
        <w:t>يق</w:t>
      </w:r>
      <w:r>
        <w:rPr>
          <w:rFonts w:ascii="Traditional Arabic" w:hAnsi="Traditional Arabic" w:hint="cs"/>
          <w:sz w:val="32"/>
          <w:szCs w:val="32"/>
          <w:rtl/>
        </w:rPr>
        <w:t>َ</w:t>
      </w:r>
      <w:r w:rsidRPr="00D407CB">
        <w:rPr>
          <w:rFonts w:ascii="Traditional Arabic" w:hAnsi="Traditional Arabic"/>
          <w:sz w:val="32"/>
          <w:szCs w:val="32"/>
          <w:rtl/>
        </w:rPr>
        <w:t>ة،</w:t>
      </w:r>
      <w:r w:rsidRPr="00D407CB">
        <w:rPr>
          <w:rFonts w:ascii="Traditional Arabic" w:hAnsi="Traditional Arabic"/>
          <w:noProof w:val="0"/>
          <w:sz w:val="32"/>
          <w:szCs w:val="32"/>
          <w:rtl/>
          <w:lang w:eastAsia="en-US"/>
        </w:rPr>
        <w:t xml:space="preserve"> والوثيقة</w:t>
      </w:r>
      <w:r w:rsidR="00AB0B9E">
        <w:rPr>
          <w:rFonts w:ascii="Traditional Arabic" w:hAnsi="Traditional Arabic"/>
          <w:noProof w:val="0"/>
          <w:sz w:val="32"/>
          <w:szCs w:val="32"/>
          <w:rtl/>
          <w:lang w:eastAsia="en-US"/>
        </w:rPr>
        <w:fldChar w:fldCharType="begin"/>
      </w:r>
      <w:r>
        <w:instrText xml:space="preserve"> XE "</w:instrText>
      </w:r>
      <w:r w:rsidRPr="00480401">
        <w:rPr>
          <w:rFonts w:ascii="Traditional Arabic" w:hAnsi="Traditional Arabic"/>
          <w:noProof w:val="0"/>
          <w:sz w:val="32"/>
          <w:szCs w:val="32"/>
          <w:rtl/>
          <w:lang w:eastAsia="en-US"/>
        </w:rPr>
        <w:instrText>الوثيقة</w:instrText>
      </w:r>
      <w:r>
        <w:instrText xml:space="preserve">" </w:instrText>
      </w:r>
      <w:r w:rsidRPr="003E316B">
        <w:instrText>\fm</w:instrText>
      </w:r>
      <w:r w:rsidR="00AB0B9E">
        <w:rPr>
          <w:rFonts w:ascii="Traditional Arabic" w:hAnsi="Traditional Arabic"/>
          <w:noProof w:val="0"/>
          <w:sz w:val="32"/>
          <w:szCs w:val="32"/>
          <w:rtl/>
          <w:lang w:eastAsia="en-US"/>
        </w:rPr>
        <w:fldChar w:fldCharType="end"/>
      </w:r>
      <w:r w:rsidRPr="00D407CB">
        <w:rPr>
          <w:rFonts w:ascii="Traditional Arabic" w:hAnsi="Traditional Arabic"/>
          <w:noProof w:val="0"/>
          <w:sz w:val="32"/>
          <w:szCs w:val="32"/>
          <w:rtl/>
          <w:lang w:eastAsia="en-US"/>
        </w:rPr>
        <w:t xml:space="preserve"> في الأمر إحكام</w:t>
      </w:r>
      <w:r>
        <w:rPr>
          <w:rFonts w:ascii="Traditional Arabic" w:hAnsi="Traditional Arabic" w:hint="cs"/>
          <w:noProof w:val="0"/>
          <w:sz w:val="32"/>
          <w:szCs w:val="32"/>
          <w:rtl/>
          <w:lang w:eastAsia="en-US"/>
        </w:rPr>
        <w:t>ُ</w:t>
      </w:r>
      <w:r w:rsidRPr="00D407CB">
        <w:rPr>
          <w:rFonts w:ascii="Traditional Arabic" w:hAnsi="Traditional Arabic"/>
          <w:noProof w:val="0"/>
          <w:sz w:val="32"/>
          <w:szCs w:val="32"/>
          <w:rtl/>
          <w:lang w:eastAsia="en-US"/>
        </w:rPr>
        <w:t>ه والأخذ</w:t>
      </w:r>
      <w:r>
        <w:rPr>
          <w:rFonts w:ascii="Traditional Arabic" w:hAnsi="Traditional Arabic" w:hint="cs"/>
          <w:noProof w:val="0"/>
          <w:sz w:val="32"/>
          <w:szCs w:val="32"/>
          <w:rtl/>
          <w:lang w:eastAsia="en-US"/>
        </w:rPr>
        <w:t>ُ</w:t>
      </w:r>
      <w:r w:rsidRPr="00D407CB">
        <w:rPr>
          <w:rFonts w:ascii="Traditional Arabic" w:hAnsi="Traditional Arabic"/>
          <w:noProof w:val="0"/>
          <w:sz w:val="32"/>
          <w:szCs w:val="32"/>
          <w:rtl/>
          <w:lang w:eastAsia="en-US"/>
        </w:rPr>
        <w:t xml:space="preserve"> بالث</w:t>
      </w:r>
      <w:r>
        <w:rPr>
          <w:rFonts w:ascii="Traditional Arabic" w:hAnsi="Traditional Arabic" w:hint="cs"/>
          <w:noProof w:val="0"/>
          <w:sz w:val="32"/>
          <w:szCs w:val="32"/>
          <w:rtl/>
          <w:lang w:eastAsia="en-US"/>
        </w:rPr>
        <w:t>ِّ</w:t>
      </w:r>
      <w:r w:rsidRPr="00D407CB">
        <w:rPr>
          <w:rFonts w:ascii="Traditional Arabic" w:hAnsi="Traditional Arabic"/>
          <w:noProof w:val="0"/>
          <w:sz w:val="32"/>
          <w:szCs w:val="32"/>
          <w:rtl/>
          <w:lang w:eastAsia="en-US"/>
        </w:rPr>
        <w:t>قة.لسان العرب (4764).</w:t>
      </w:r>
    </w:p>
    <w:p w:rsidR="000D3D21" w:rsidRPr="00D407CB" w:rsidRDefault="000D3D21" w:rsidP="003E316B">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D407CB">
        <w:rPr>
          <w:rFonts w:ascii="Traditional Arabic" w:hAnsi="Traditional Arabic"/>
          <w:b/>
          <w:bCs/>
          <w:sz w:val="32"/>
          <w:szCs w:val="32"/>
          <w:rtl/>
        </w:rPr>
        <w:t>والوثيقة بالدَّين</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الوثيقة بالدَّين</w:instrText>
      </w:r>
      <w:r>
        <w:instrText xml:space="preserve">" </w:instrText>
      </w:r>
      <w:r w:rsidRPr="003E316B">
        <w:instrText>\fm</w:instrText>
      </w:r>
      <w:r w:rsidR="00AB0B9E">
        <w:rPr>
          <w:rFonts w:ascii="Traditional Arabic" w:hAnsi="Traditional Arabic"/>
          <w:b/>
          <w:bCs/>
          <w:sz w:val="32"/>
          <w:szCs w:val="32"/>
          <w:rtl/>
        </w:rPr>
        <w:fldChar w:fldCharType="end"/>
      </w:r>
      <w:r w:rsidRPr="00D407CB">
        <w:rPr>
          <w:rFonts w:ascii="Traditional Arabic" w:hAnsi="Traditional Arabic"/>
          <w:b/>
          <w:bCs/>
          <w:sz w:val="32"/>
          <w:szCs w:val="32"/>
          <w:rtl/>
        </w:rPr>
        <w:t xml:space="preserve"> في المصطلح الفقهي</w:t>
      </w:r>
      <w:r w:rsidRPr="00D407CB">
        <w:rPr>
          <w:rFonts w:ascii="Traditional Arabic" w:hAnsi="Traditional Arabic"/>
          <w:sz w:val="32"/>
          <w:szCs w:val="32"/>
          <w:rtl/>
        </w:rPr>
        <w:t>: هي ما يزداد الدَّينُ بها وَكادَةً، والمقصود بها هنا تثبيت حقِّ الدائن فيما يكون له في ذمة المدين من مالٍ وإحكامُه، بحيث يتمكَّن عند امتناع المدين عن الوفاء من استِيفاء دَينه من شخصٍ ثالثٍ يَكْفَل المدين بمالِه أو من عينٍ مالية يتعلق بها حقُّ الدائن وتكون رهينةً بدينه، وتسمى العقود التي يكون الغرض منها تأمينُ الدائن على دَينه قِبَلَ مَدينه كالرهن والكفالة، عقود التوثيقات أو التأمينات. انظر: المدخل إلى الشريعة الإسلامية لعبد الكريم زيدان (367)، ومعجم المصطلحات المالية والاقتصادية (468).</w:t>
      </w:r>
    </w:p>
  </w:footnote>
  <w:footnote w:id="1526">
    <w:p w:rsidR="000D3D21" w:rsidRPr="00312986" w:rsidRDefault="000D3D21" w:rsidP="009840EE">
      <w:pPr>
        <w:pStyle w:val="a7"/>
        <w:pageBreakBefore/>
        <w:rPr>
          <w:rFonts w:ascii="Tahoma" w:hAnsi="Tahoma"/>
          <w:sz w:val="32"/>
          <w:szCs w:val="32"/>
          <w:rtl/>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b/>
          <w:bCs/>
          <w:sz w:val="32"/>
          <w:szCs w:val="32"/>
          <w:rtl/>
        </w:rPr>
        <w:t xml:space="preserve"> </w:t>
      </w:r>
      <w:r w:rsidRPr="00312986">
        <w:rPr>
          <w:rFonts w:ascii="Tahoma" w:hAnsi="Tahoma" w:hint="cs"/>
          <w:b/>
          <w:bCs/>
          <w:sz w:val="32"/>
          <w:szCs w:val="32"/>
          <w:rtl/>
        </w:rPr>
        <w:t>الوقف لغة:</w:t>
      </w:r>
      <w:r w:rsidRPr="00312986">
        <w:rPr>
          <w:rFonts w:ascii="Tahoma" w:hAnsi="Tahoma" w:hint="cs"/>
          <w:sz w:val="32"/>
          <w:szCs w:val="32"/>
          <w:rtl/>
        </w:rPr>
        <w:t xml:space="preserve"> مصدر وَقَفَ يقِف وَقْفاً، يقال: وقف الشيءَ وأَوْقَفَه، وحَبَسَه وأَحْبَسَه، وسبَّله، كلُّه بمعنى واحد.المطلع على أبواب المقنع (344).</w:t>
      </w:r>
    </w:p>
    <w:p w:rsidR="000D3D21" w:rsidRPr="00312986" w:rsidRDefault="000D3D21" w:rsidP="009840EE">
      <w:pPr>
        <w:pStyle w:val="a7"/>
        <w:pageBreakBefore/>
        <w:rPr>
          <w:rFonts w:ascii="Tahoma" w:hAnsi="Tahoma"/>
          <w:sz w:val="32"/>
          <w:szCs w:val="32"/>
        </w:rPr>
      </w:pPr>
      <w:r>
        <w:rPr>
          <w:rFonts w:ascii="Tahoma" w:hAnsi="Tahoma" w:hint="cs"/>
          <w:b/>
          <w:bCs/>
          <w:sz w:val="32"/>
          <w:szCs w:val="32"/>
          <w:rtl/>
        </w:rPr>
        <w:t xml:space="preserve">      </w:t>
      </w:r>
      <w:r w:rsidRPr="00312986">
        <w:rPr>
          <w:rFonts w:ascii="Tahoma" w:hAnsi="Tahoma" w:hint="cs"/>
          <w:b/>
          <w:bCs/>
          <w:sz w:val="32"/>
          <w:szCs w:val="32"/>
          <w:rtl/>
        </w:rPr>
        <w:t xml:space="preserve">الوقف شرعا: </w:t>
      </w:r>
      <w:r w:rsidRPr="00312986">
        <w:rPr>
          <w:rFonts w:ascii="Tahoma" w:hAnsi="Tahoma" w:hint="cs"/>
          <w:sz w:val="32"/>
          <w:szCs w:val="32"/>
          <w:rtl/>
        </w:rPr>
        <w:t>تحبيسُ مالكٍ مُطلَقِ التصرُّف مالَه المنتفَع به، مع بقاءِ عينه، بقطعِ تصرُّفِ المالك وغيرِه في رَقبته، يُصْرَف ريعُه إلى جهةِ برٍّ تقرُّبا إلى الله تعالى. انظر: المطلع على أبواب المقنع (344)، والإنصاف للمرداوي (16/362).</w:t>
      </w:r>
    </w:p>
  </w:footnote>
  <w:footnote w:id="1527">
    <w:p w:rsidR="000D3D21" w:rsidRPr="00D407CB" w:rsidRDefault="000D3D21" w:rsidP="00312986">
      <w:pPr>
        <w:widowControl/>
        <w:autoSpaceDE w:val="0"/>
        <w:autoSpaceDN w:val="0"/>
        <w:adjustRightInd w:val="0"/>
        <w:ind w:firstLine="0"/>
        <w:rPr>
          <w:rFonts w:ascii="Traditional Arabic" w:hAnsi="Traditional Arabic"/>
          <w:b/>
          <w:bCs/>
          <w:noProof w:val="0"/>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color w:val="auto"/>
          <w:sz w:val="32"/>
          <w:szCs w:val="32"/>
          <w:rtl/>
          <w:lang w:eastAsia="en-US"/>
        </w:rPr>
        <w:t xml:space="preserve"> </w:t>
      </w:r>
      <w:r w:rsidRPr="00D407CB">
        <w:rPr>
          <w:rFonts w:ascii="Traditional Arabic" w:hAnsi="Traditional Arabic"/>
          <w:b/>
          <w:bCs/>
          <w:noProof w:val="0"/>
          <w:color w:val="auto"/>
          <w:sz w:val="32"/>
          <w:szCs w:val="32"/>
          <w:rtl/>
          <w:lang w:eastAsia="en-US"/>
        </w:rPr>
        <w:t>الو</w:t>
      </w:r>
      <w:r>
        <w:rPr>
          <w:rFonts w:ascii="Traditional Arabic" w:hAnsi="Traditional Arabic" w:hint="cs"/>
          <w:b/>
          <w:bCs/>
          <w:noProof w:val="0"/>
          <w:color w:val="auto"/>
          <w:sz w:val="32"/>
          <w:szCs w:val="32"/>
          <w:rtl/>
          <w:lang w:eastAsia="en-US"/>
        </w:rPr>
        <w:t>َ</w:t>
      </w:r>
      <w:r w:rsidRPr="00D407CB">
        <w:rPr>
          <w:rFonts w:ascii="Traditional Arabic" w:hAnsi="Traditional Arabic"/>
          <w:b/>
          <w:bCs/>
          <w:noProof w:val="0"/>
          <w:color w:val="auto"/>
          <w:sz w:val="32"/>
          <w:szCs w:val="32"/>
          <w:rtl/>
          <w:lang w:eastAsia="en-US"/>
        </w:rPr>
        <w:t>صايا</w:t>
      </w:r>
      <w:r>
        <w:rPr>
          <w:rFonts w:ascii="Traditional Arabic" w:hAnsi="Traditional Arabic" w:hint="cs"/>
          <w:b/>
          <w:bCs/>
          <w:noProof w:val="0"/>
          <w:color w:val="auto"/>
          <w:sz w:val="32"/>
          <w:szCs w:val="32"/>
          <w:rtl/>
          <w:lang w:eastAsia="en-US"/>
        </w:rPr>
        <w:t xml:space="preserve"> </w:t>
      </w:r>
      <w:r w:rsidR="00AB0B9E">
        <w:rPr>
          <w:rFonts w:ascii="Traditional Arabic" w:hAnsi="Traditional Arabic"/>
          <w:b/>
          <w:bCs/>
          <w:noProof w:val="0"/>
          <w:color w:val="auto"/>
          <w:sz w:val="32"/>
          <w:szCs w:val="32"/>
          <w:rtl/>
          <w:lang w:eastAsia="en-US"/>
        </w:rPr>
        <w:fldChar w:fldCharType="begin"/>
      </w:r>
      <w:r>
        <w:instrText xml:space="preserve"> XE "</w:instrText>
      </w:r>
      <w:r w:rsidRPr="003E316B">
        <w:rPr>
          <w:rFonts w:ascii="Traditional Arabic" w:hAnsi="Traditional Arabic"/>
          <w:noProof w:val="0"/>
          <w:color w:val="auto"/>
          <w:sz w:val="32"/>
          <w:szCs w:val="32"/>
          <w:rtl/>
          <w:lang w:eastAsia="en-US"/>
        </w:rPr>
        <w:instrText>الو</w:instrText>
      </w:r>
      <w:r w:rsidRPr="003E316B">
        <w:rPr>
          <w:rFonts w:ascii="Traditional Arabic" w:hAnsi="Traditional Arabic" w:hint="cs"/>
          <w:noProof w:val="0"/>
          <w:color w:val="auto"/>
          <w:sz w:val="32"/>
          <w:szCs w:val="32"/>
          <w:rtl/>
          <w:lang w:eastAsia="en-US"/>
        </w:rPr>
        <w:instrText>َ</w:instrText>
      </w:r>
      <w:r w:rsidRPr="003E316B">
        <w:rPr>
          <w:rFonts w:ascii="Traditional Arabic" w:hAnsi="Traditional Arabic"/>
          <w:noProof w:val="0"/>
          <w:color w:val="auto"/>
          <w:sz w:val="32"/>
          <w:szCs w:val="32"/>
          <w:rtl/>
          <w:lang w:eastAsia="en-US"/>
        </w:rPr>
        <w:instrText>صي</w:instrText>
      </w:r>
      <w:r w:rsidRPr="003E316B">
        <w:rPr>
          <w:rFonts w:ascii="Traditional Arabic" w:hAnsi="Traditional Arabic" w:hint="cs"/>
          <w:noProof w:val="0"/>
          <w:color w:val="auto"/>
          <w:sz w:val="32"/>
          <w:szCs w:val="32"/>
          <w:rtl/>
          <w:lang w:eastAsia="en-US"/>
        </w:rPr>
        <w:instrText>ة</w:instrText>
      </w:r>
      <w:r>
        <w:instrText xml:space="preserve">" </w:instrText>
      </w:r>
      <w:r w:rsidRPr="003E316B">
        <w:instrText>\fm</w:instrText>
      </w:r>
      <w:r w:rsidR="00AB0B9E">
        <w:rPr>
          <w:rFonts w:ascii="Traditional Arabic" w:hAnsi="Traditional Arabic"/>
          <w:b/>
          <w:bCs/>
          <w:noProof w:val="0"/>
          <w:color w:val="auto"/>
          <w:sz w:val="32"/>
          <w:szCs w:val="32"/>
          <w:rtl/>
          <w:lang w:eastAsia="en-US"/>
        </w:rPr>
        <w:fldChar w:fldCharType="end"/>
      </w:r>
      <w:r w:rsidRPr="00D407CB">
        <w:rPr>
          <w:rFonts w:ascii="Traditional Arabic" w:hAnsi="Traditional Arabic"/>
          <w:b/>
          <w:bCs/>
          <w:noProof w:val="0"/>
          <w:color w:val="auto"/>
          <w:sz w:val="32"/>
          <w:szCs w:val="32"/>
          <w:rtl/>
          <w:lang w:eastAsia="en-US"/>
        </w:rPr>
        <w:t>لغة</w:t>
      </w:r>
      <w:r w:rsidRPr="00D407CB">
        <w:rPr>
          <w:rFonts w:ascii="Traditional Arabic" w:hAnsi="Traditional Arabic"/>
          <w:noProof w:val="0"/>
          <w:color w:val="auto"/>
          <w:sz w:val="32"/>
          <w:szCs w:val="32"/>
          <w:rtl/>
          <w:lang w:eastAsia="en-US"/>
        </w:rPr>
        <w:t>: جمع و</w:t>
      </w:r>
      <w:r>
        <w:rPr>
          <w:rFonts w:ascii="Traditional Arabic" w:hAnsi="Traditional Arabic" w:hint="cs"/>
          <w:noProof w:val="0"/>
          <w:color w:val="auto"/>
          <w:sz w:val="32"/>
          <w:szCs w:val="32"/>
          <w:rtl/>
          <w:lang w:eastAsia="en-US"/>
        </w:rPr>
        <w:t>َ</w:t>
      </w:r>
      <w:r w:rsidRPr="00D407CB">
        <w:rPr>
          <w:rFonts w:ascii="Traditional Arabic" w:hAnsi="Traditional Arabic"/>
          <w:noProof w:val="0"/>
          <w:color w:val="auto"/>
          <w:sz w:val="32"/>
          <w:szCs w:val="32"/>
          <w:rtl/>
          <w:lang w:eastAsia="en-US"/>
        </w:rPr>
        <w:t>ص</w:t>
      </w:r>
      <w:r>
        <w:rPr>
          <w:rFonts w:ascii="Traditional Arabic" w:hAnsi="Traditional Arabic" w:hint="cs"/>
          <w:noProof w:val="0"/>
          <w:color w:val="auto"/>
          <w:sz w:val="32"/>
          <w:szCs w:val="32"/>
          <w:rtl/>
          <w:lang w:eastAsia="en-US"/>
        </w:rPr>
        <w:t>ِ</w:t>
      </w:r>
      <w:r w:rsidRPr="00D407CB">
        <w:rPr>
          <w:rFonts w:ascii="Traditional Arabic" w:hAnsi="Traditional Arabic"/>
          <w:noProof w:val="0"/>
          <w:color w:val="auto"/>
          <w:sz w:val="32"/>
          <w:szCs w:val="32"/>
          <w:rtl/>
          <w:lang w:eastAsia="en-US"/>
        </w:rPr>
        <w:t>ي</w:t>
      </w:r>
      <w:r>
        <w:rPr>
          <w:rFonts w:ascii="Traditional Arabic" w:hAnsi="Traditional Arabic" w:hint="cs"/>
          <w:noProof w:val="0"/>
          <w:color w:val="auto"/>
          <w:sz w:val="32"/>
          <w:szCs w:val="32"/>
          <w:rtl/>
          <w:lang w:eastAsia="en-US"/>
        </w:rPr>
        <w:t>َّ</w:t>
      </w:r>
      <w:r w:rsidRPr="00D407CB">
        <w:rPr>
          <w:rFonts w:ascii="Traditional Arabic" w:hAnsi="Traditional Arabic"/>
          <w:noProof w:val="0"/>
          <w:color w:val="auto"/>
          <w:sz w:val="32"/>
          <w:szCs w:val="32"/>
          <w:rtl/>
          <w:lang w:eastAsia="en-US"/>
        </w:rPr>
        <w:t>ة</w:t>
      </w:r>
      <w:r>
        <w:rPr>
          <w:rFonts w:ascii="Traditional Arabic" w:hAnsi="Traditional Arabic" w:hint="cs"/>
          <w:noProof w:val="0"/>
          <w:color w:val="auto"/>
          <w:sz w:val="32"/>
          <w:szCs w:val="32"/>
          <w:rtl/>
          <w:lang w:eastAsia="en-US"/>
        </w:rPr>
        <w:t>ٍ</w:t>
      </w:r>
      <w:r w:rsidRPr="00D407CB">
        <w:rPr>
          <w:rFonts w:ascii="Traditional Arabic" w:hAnsi="Traditional Arabic"/>
          <w:noProof w:val="0"/>
          <w:color w:val="auto"/>
          <w:sz w:val="32"/>
          <w:szCs w:val="32"/>
          <w:rtl/>
          <w:lang w:eastAsia="en-US"/>
        </w:rPr>
        <w:t>، يقال: وصَّيْتُ إليه وِصَايةً ووصِيَّةً، وَوَصَّيْتُهُ وأَوْصَيْتُه، وأَوْصَيْتُ إليه، وَوَصَّيْتُ بالشيء وَصْياً: وَصَلْتُهُ، وسُميت الوصيةُ وصيةً؛ لأن الميت لما أوصى بها، وصَلَ ما كان فيه من أيام حياته بما بعده من أيام مماته.</w:t>
      </w:r>
      <w:r>
        <w:rPr>
          <w:rFonts w:ascii="Traditional Arabic" w:hAnsi="Traditional Arabic" w:hint="cs"/>
          <w:noProof w:val="0"/>
          <w:color w:val="auto"/>
          <w:sz w:val="32"/>
          <w:szCs w:val="32"/>
          <w:rtl/>
          <w:lang w:eastAsia="en-US"/>
        </w:rPr>
        <w:t xml:space="preserve"> </w:t>
      </w:r>
      <w:r w:rsidRPr="00D407CB">
        <w:rPr>
          <w:rFonts w:ascii="Traditional Arabic" w:hAnsi="Traditional Arabic"/>
          <w:noProof w:val="0"/>
          <w:sz w:val="32"/>
          <w:szCs w:val="32"/>
          <w:rtl/>
          <w:lang w:eastAsia="en-US"/>
        </w:rPr>
        <w:t>المطلع على أبواب المقنع (356).</w:t>
      </w:r>
    </w:p>
    <w:p w:rsidR="000D3D21" w:rsidRPr="00D407CB" w:rsidRDefault="000D3D21" w:rsidP="009840EE">
      <w:pPr>
        <w:widowControl/>
        <w:autoSpaceDE w:val="0"/>
        <w:autoSpaceDN w:val="0"/>
        <w:adjustRightInd w:val="0"/>
        <w:ind w:firstLine="0"/>
        <w:jc w:val="left"/>
        <w:rPr>
          <w:rFonts w:ascii="Traditional Arabic" w:hAnsi="Traditional Arabic"/>
          <w:sz w:val="32"/>
          <w:szCs w:val="32"/>
        </w:rPr>
      </w:pPr>
      <w:r>
        <w:rPr>
          <w:rFonts w:ascii="Traditional Arabic" w:hAnsi="Traditional Arabic" w:hint="cs"/>
          <w:b/>
          <w:bCs/>
          <w:noProof w:val="0"/>
          <w:sz w:val="32"/>
          <w:szCs w:val="32"/>
          <w:rtl/>
          <w:lang w:eastAsia="en-US"/>
        </w:rPr>
        <w:t xml:space="preserve">      </w:t>
      </w:r>
      <w:r w:rsidRPr="00D407CB">
        <w:rPr>
          <w:rFonts w:ascii="Traditional Arabic" w:hAnsi="Traditional Arabic"/>
          <w:b/>
          <w:bCs/>
          <w:noProof w:val="0"/>
          <w:sz w:val="32"/>
          <w:szCs w:val="32"/>
          <w:rtl/>
          <w:lang w:eastAsia="en-US"/>
        </w:rPr>
        <w:t>الوصية اصطلاحا:</w:t>
      </w:r>
      <w:r w:rsidRPr="00D407CB">
        <w:rPr>
          <w:rFonts w:ascii="Traditional Arabic" w:hAnsi="Traditional Arabic"/>
          <w:noProof w:val="0"/>
          <w:sz w:val="32"/>
          <w:szCs w:val="32"/>
          <w:rtl/>
          <w:lang w:eastAsia="en-US"/>
        </w:rPr>
        <w:t xml:space="preserve"> الأمر بالتصرُّف بعد الموت أو التبرُّع بالمال بَعْده</w:t>
      </w:r>
      <w:r w:rsidRPr="00D407CB">
        <w:rPr>
          <w:rFonts w:ascii="Traditional Arabic" w:hAnsi="Traditional Arabic"/>
          <w:b/>
          <w:bCs/>
          <w:noProof w:val="0"/>
          <w:sz w:val="32"/>
          <w:szCs w:val="32"/>
          <w:rtl/>
          <w:lang w:eastAsia="en-US"/>
        </w:rPr>
        <w:t>.</w:t>
      </w:r>
      <w:r>
        <w:rPr>
          <w:rFonts w:ascii="Traditional Arabic" w:hAnsi="Traditional Arabic" w:hint="cs"/>
          <w:b/>
          <w:bCs/>
          <w:noProof w:val="0"/>
          <w:sz w:val="32"/>
          <w:szCs w:val="32"/>
          <w:rtl/>
          <w:lang w:eastAsia="en-US"/>
        </w:rPr>
        <w:t xml:space="preserve"> </w:t>
      </w:r>
      <w:r w:rsidRPr="00D407CB">
        <w:rPr>
          <w:rFonts w:ascii="Traditional Arabic" w:hAnsi="Traditional Arabic"/>
          <w:noProof w:val="0"/>
          <w:sz w:val="32"/>
          <w:szCs w:val="32"/>
          <w:rtl/>
          <w:lang w:eastAsia="en-US"/>
        </w:rPr>
        <w:t>الروض المربع (7/541).</w:t>
      </w:r>
    </w:p>
  </w:footnote>
  <w:footnote w:id="1528">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القواعد والأصول الجامعة (59)</w:t>
      </w:r>
      <w:r>
        <w:rPr>
          <w:rFonts w:ascii="Traditional Arabic" w:hAnsi="Traditional Arabic" w:hint="cs"/>
          <w:sz w:val="32"/>
          <w:szCs w:val="32"/>
          <w:rtl/>
        </w:rPr>
        <w:t>، وانظر الضياء اللامع من الخطب الجوامع لابن عثيمين (236)</w:t>
      </w:r>
      <w:r w:rsidRPr="00D407CB">
        <w:rPr>
          <w:rFonts w:ascii="Traditional Arabic" w:hAnsi="Traditional Arabic"/>
          <w:sz w:val="32"/>
          <w:szCs w:val="32"/>
          <w:rtl/>
        </w:rPr>
        <w:t>.</w:t>
      </w:r>
    </w:p>
  </w:footnote>
  <w:footnote w:id="1529">
    <w:p w:rsidR="000D3D21" w:rsidRPr="002B0240"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إرشاد أولي البصائر والألباب للسعدي (112).</w:t>
      </w:r>
    </w:p>
  </w:footnote>
  <w:footnote w:id="1530">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 xml:space="preserve">مجموع الفتاوى </w:t>
      </w:r>
      <w:r>
        <w:rPr>
          <w:rFonts w:ascii="Traditional Arabic" w:hAnsi="Traditional Arabic" w:hint="cs"/>
          <w:sz w:val="32"/>
          <w:szCs w:val="32"/>
          <w:rtl/>
        </w:rPr>
        <w:t xml:space="preserve">لابن تيمية </w:t>
      </w:r>
      <w:r w:rsidRPr="00D407CB">
        <w:rPr>
          <w:rFonts w:ascii="Traditional Arabic" w:hAnsi="Traditional Arabic"/>
          <w:sz w:val="32"/>
          <w:szCs w:val="32"/>
          <w:rtl/>
        </w:rPr>
        <w:t>(29/155).</w:t>
      </w:r>
    </w:p>
  </w:footnote>
  <w:footnote w:id="1531">
    <w:p w:rsidR="000D3D21" w:rsidRPr="0073034E"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انظر الشرح الممتع (9/191)، والمطلع على دقائق زاد المستقنع-المعاملات المالية- (3/28</w:t>
      </w:r>
      <w:r>
        <w:rPr>
          <w:rFonts w:ascii="Traditional Arabic" w:hAnsi="Traditional Arabic" w:hint="cs"/>
          <w:sz w:val="32"/>
          <w:szCs w:val="32"/>
          <w:rtl/>
        </w:rPr>
        <w:t>-30</w:t>
      </w:r>
      <w:r w:rsidRPr="00D407CB">
        <w:rPr>
          <w:rFonts w:ascii="Traditional Arabic" w:hAnsi="Traditional Arabic"/>
          <w:sz w:val="32"/>
          <w:szCs w:val="32"/>
          <w:rtl/>
        </w:rPr>
        <w:t>).</w:t>
      </w:r>
    </w:p>
  </w:footnote>
  <w:footnote w:id="1532">
    <w:p w:rsidR="000D3D21" w:rsidRPr="00312986" w:rsidRDefault="000D3D21" w:rsidP="009840EE">
      <w:pPr>
        <w:pStyle w:val="a7"/>
        <w:pageBreakBefore/>
        <w:rPr>
          <w:rFonts w:ascii="Tahoma" w:hAnsi="Tahoma"/>
          <w:sz w:val="32"/>
          <w:szCs w:val="32"/>
        </w:rPr>
      </w:pPr>
      <w:r w:rsidRPr="00451907">
        <w:rPr>
          <w:rFonts w:ascii="Tahoma" w:hAnsi="Tahoma"/>
          <w:sz w:val="32"/>
          <w:szCs w:val="32"/>
          <w:rtl/>
        </w:rPr>
        <w:t>(</w:t>
      </w:r>
      <w:r w:rsidRPr="00451907">
        <w:rPr>
          <w:rStyle w:val="af1"/>
          <w:rFonts w:ascii="Tahoma" w:hAnsi="Tahoma"/>
          <w:sz w:val="32"/>
          <w:szCs w:val="32"/>
          <w:vertAlign w:val="baseline"/>
          <w:rtl/>
        </w:rPr>
        <w:footnoteRef/>
      </w:r>
      <w:r w:rsidRPr="00451907">
        <w:rPr>
          <w:rFonts w:ascii="Tahoma" w:hAnsi="Tahoma"/>
          <w:sz w:val="32"/>
          <w:szCs w:val="32"/>
          <w:rtl/>
        </w:rPr>
        <w:t>)</w:t>
      </w:r>
      <w:r>
        <w:rPr>
          <w:rFonts w:ascii="Tahoma" w:hAnsi="Tahoma" w:hint="cs"/>
          <w:sz w:val="32"/>
          <w:szCs w:val="32"/>
          <w:rtl/>
        </w:rPr>
        <w:t xml:space="preserve"> </w:t>
      </w:r>
      <w:r w:rsidRPr="00312986">
        <w:rPr>
          <w:rFonts w:ascii="Tahoma" w:hAnsi="Tahoma" w:hint="cs"/>
          <w:sz w:val="32"/>
          <w:szCs w:val="32"/>
          <w:rtl/>
        </w:rPr>
        <w:t xml:space="preserve">قال الشيخ ابن عثيمين </w:t>
      </w:r>
      <w:r>
        <w:rPr>
          <w:rFonts w:ascii="Tahoma" w:hAnsi="Tahoma" w:hint="cs"/>
          <w:sz w:val="32"/>
          <w:szCs w:val="32"/>
          <w:rtl/>
        </w:rPr>
        <w:t>_</w:t>
      </w:r>
      <w:r w:rsidRPr="00312986">
        <w:rPr>
          <w:rFonts w:ascii="Traditional Arabic" w:hAnsi="Traditional Arabic" w:cs="CTraditional Arabic" w:hint="cs"/>
          <w:sz w:val="32"/>
          <w:szCs w:val="32"/>
          <w:rtl/>
        </w:rPr>
        <w:t>/</w:t>
      </w:r>
      <w:r>
        <w:rPr>
          <w:rFonts w:ascii="Tahoma" w:hAnsi="Tahoma" w:hint="cs"/>
          <w:sz w:val="32"/>
          <w:szCs w:val="32"/>
          <w:rtl/>
        </w:rPr>
        <w:t>_</w:t>
      </w:r>
      <w:r w:rsidRPr="00312986">
        <w:rPr>
          <w:rFonts w:ascii="Tahoma" w:hAnsi="Tahoma" w:hint="cs"/>
          <w:sz w:val="32"/>
          <w:szCs w:val="32"/>
          <w:rtl/>
        </w:rPr>
        <w:t>: ( الوثائق من العقود</w:t>
      </w:r>
      <w:r>
        <w:rPr>
          <w:rFonts w:ascii="Tahoma" w:hAnsi="Tahoma" w:hint="cs"/>
          <w:sz w:val="32"/>
          <w:szCs w:val="32"/>
          <w:rtl/>
        </w:rPr>
        <w:t xml:space="preserve"> ثلاث: الرهن والضمان والكفالة؛ سُمِّيت بذلك </w:t>
      </w:r>
      <w:r w:rsidRPr="00312986">
        <w:rPr>
          <w:rFonts w:ascii="Tahoma" w:hAnsi="Tahoma" w:hint="cs"/>
          <w:sz w:val="32"/>
          <w:szCs w:val="32"/>
          <w:rtl/>
        </w:rPr>
        <w:t>لأنها عقودٌ توثِّق الحقَّ).</w:t>
      </w:r>
      <w:r>
        <w:rPr>
          <w:rFonts w:ascii="Tahoma" w:hAnsi="Tahoma" w:hint="cs"/>
          <w:sz w:val="32"/>
          <w:szCs w:val="32"/>
          <w:rtl/>
        </w:rPr>
        <w:t xml:space="preserve"> </w:t>
      </w:r>
      <w:r w:rsidRPr="00312986">
        <w:rPr>
          <w:rFonts w:ascii="Tahoma" w:hAnsi="Tahoma" w:hint="cs"/>
          <w:sz w:val="32"/>
          <w:szCs w:val="32"/>
          <w:rtl/>
        </w:rPr>
        <w:t>التعليق على القواعد والأصول الجامعة (115)</w:t>
      </w:r>
      <w:r>
        <w:rPr>
          <w:rFonts w:ascii="Tahoma" w:hAnsi="Tahoma" w:hint="cs"/>
          <w:sz w:val="32"/>
          <w:szCs w:val="32"/>
          <w:rtl/>
        </w:rPr>
        <w:t xml:space="preserve"> بتصرف</w:t>
      </w:r>
      <w:r w:rsidRPr="00312986">
        <w:rPr>
          <w:rFonts w:ascii="Tahoma" w:hAnsi="Tahoma" w:hint="cs"/>
          <w:sz w:val="32"/>
          <w:szCs w:val="32"/>
          <w:rtl/>
        </w:rPr>
        <w:t>.</w:t>
      </w:r>
    </w:p>
  </w:footnote>
  <w:footnote w:id="1533">
    <w:p w:rsidR="000D3D21" w:rsidRPr="00D407CB" w:rsidRDefault="000D3D21" w:rsidP="00C87D15">
      <w:pPr>
        <w:pStyle w:val="a7"/>
        <w:pageBreakBefore/>
        <w:rPr>
          <w:rFonts w:ascii="Traditional Arabic" w:hAnsi="Traditional Arabic"/>
          <w:color w:val="auto"/>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407CB">
        <w:rPr>
          <w:rFonts w:ascii="Traditional Arabic" w:hAnsi="Traditional Arabic"/>
          <w:b/>
          <w:bCs/>
          <w:sz w:val="32"/>
          <w:szCs w:val="32"/>
          <w:rtl/>
        </w:rPr>
        <w:t>الحَوالة</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الحَوالة</w:instrText>
      </w:r>
      <w:r>
        <w:instrText xml:space="preserve">" </w:instrText>
      </w:r>
      <w:r w:rsidRPr="003E316B">
        <w:instrText>\fm</w:instrText>
      </w:r>
      <w:r w:rsidR="00AB0B9E">
        <w:rPr>
          <w:rFonts w:ascii="Traditional Arabic" w:hAnsi="Traditional Arabic"/>
          <w:b/>
          <w:bCs/>
          <w:sz w:val="32"/>
          <w:szCs w:val="32"/>
          <w:rtl/>
        </w:rPr>
        <w:fldChar w:fldCharType="end"/>
      </w:r>
      <w:r w:rsidRPr="00D407CB">
        <w:rPr>
          <w:rFonts w:ascii="Traditional Arabic" w:hAnsi="Traditional Arabic"/>
          <w:b/>
          <w:bCs/>
          <w:sz w:val="32"/>
          <w:szCs w:val="32"/>
          <w:rtl/>
        </w:rPr>
        <w:t xml:space="preserve"> لغة:</w:t>
      </w:r>
      <w:r>
        <w:rPr>
          <w:rFonts w:ascii="Traditional Arabic" w:hAnsi="Traditional Arabic" w:hint="cs"/>
          <w:b/>
          <w:bCs/>
          <w:sz w:val="32"/>
          <w:szCs w:val="32"/>
          <w:rtl/>
        </w:rPr>
        <w:t xml:space="preserve"> </w:t>
      </w:r>
      <w:r w:rsidRPr="00D407CB">
        <w:rPr>
          <w:rFonts w:ascii="Traditional Arabic" w:hAnsi="Traditional Arabic"/>
          <w:noProof w:val="0"/>
          <w:sz w:val="32"/>
          <w:szCs w:val="32"/>
          <w:rtl/>
          <w:lang w:eastAsia="en-US"/>
        </w:rPr>
        <w:t>اسم من الإحالة، وهي مأخوذة من حوَّل من مكانه انتقل عنه، وحوَّلته تحويلاً نقلْته من موضع إلى موضع</w:t>
      </w:r>
      <w:r w:rsidRPr="00D407CB">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noProof w:val="0"/>
          <w:color w:val="auto"/>
          <w:sz w:val="32"/>
          <w:szCs w:val="32"/>
          <w:rtl/>
          <w:lang w:eastAsia="en-US"/>
        </w:rPr>
        <w:t>فالحوالة: مشتقة من التحوُّل، لأنها تنقل الحق من ذِمّةِ ا</w:t>
      </w:r>
      <w:r>
        <w:rPr>
          <w:rFonts w:ascii="Traditional Arabic" w:hAnsi="Traditional Arabic"/>
          <w:noProof w:val="0"/>
          <w:color w:val="auto"/>
          <w:sz w:val="32"/>
          <w:szCs w:val="32"/>
          <w:rtl/>
          <w:lang w:eastAsia="en-US"/>
        </w:rPr>
        <w:t>لْمُحِيل إلى ذمة الْمُحالِ عليه</w:t>
      </w:r>
      <w:r>
        <w:rPr>
          <w:rFonts w:ascii="Traditional Arabic" w:hAnsi="Traditional Arabic" w:hint="cs"/>
          <w:noProof w:val="0"/>
          <w:color w:val="auto"/>
          <w:sz w:val="32"/>
          <w:szCs w:val="32"/>
          <w:rtl/>
          <w:lang w:eastAsia="en-US"/>
        </w:rPr>
        <w:t>.</w:t>
      </w:r>
      <w:r w:rsidRPr="00D407CB">
        <w:rPr>
          <w:rFonts w:ascii="Traditional Arabic" w:hAnsi="Traditional Arabic"/>
          <w:noProof w:val="0"/>
          <w:color w:val="auto"/>
          <w:sz w:val="32"/>
          <w:szCs w:val="32"/>
          <w:rtl/>
          <w:lang w:eastAsia="en-US"/>
        </w:rPr>
        <w:t xml:space="preserve"> </w:t>
      </w:r>
      <w:r w:rsidRPr="00D407CB">
        <w:rPr>
          <w:rFonts w:ascii="Traditional Arabic" w:hAnsi="Traditional Arabic"/>
          <w:color w:val="auto"/>
          <w:sz w:val="32"/>
          <w:szCs w:val="32"/>
          <w:rtl/>
        </w:rPr>
        <w:t>انظر</w:t>
      </w:r>
      <w:r>
        <w:rPr>
          <w:rFonts w:ascii="Traditional Arabic" w:hAnsi="Traditional Arabic" w:hint="cs"/>
          <w:color w:val="auto"/>
          <w:sz w:val="32"/>
          <w:szCs w:val="32"/>
          <w:rtl/>
        </w:rPr>
        <w:t>:</w:t>
      </w:r>
      <w:r w:rsidRPr="00D407CB">
        <w:rPr>
          <w:rFonts w:ascii="Traditional Arabic" w:hAnsi="Traditional Arabic"/>
          <w:color w:val="auto"/>
          <w:sz w:val="32"/>
          <w:szCs w:val="32"/>
          <w:rtl/>
        </w:rPr>
        <w:t xml:space="preserve"> المطلع على أبواب المقنع (</w:t>
      </w:r>
      <w:r>
        <w:rPr>
          <w:rFonts w:ascii="Traditional Arabic" w:hAnsi="Traditional Arabic" w:hint="cs"/>
          <w:color w:val="auto"/>
          <w:sz w:val="32"/>
          <w:szCs w:val="32"/>
          <w:rtl/>
        </w:rPr>
        <w:t>299</w:t>
      </w:r>
      <w:r w:rsidRPr="00D407CB">
        <w:rPr>
          <w:rFonts w:ascii="Traditional Arabic" w:hAnsi="Traditional Arabic"/>
          <w:color w:val="auto"/>
          <w:sz w:val="32"/>
          <w:szCs w:val="32"/>
          <w:rtl/>
        </w:rPr>
        <w:t>)، والمصباح المنير (136)، وأنيس الفقهاء (220).</w:t>
      </w:r>
    </w:p>
    <w:p w:rsidR="000D3D21" w:rsidRPr="00D407CB" w:rsidRDefault="000D3D21" w:rsidP="009840EE">
      <w:pPr>
        <w:pStyle w:val="a7"/>
        <w:pageBreakBefore/>
        <w:rPr>
          <w:rFonts w:ascii="Traditional Arabic" w:hAnsi="Traditional Arabic"/>
          <w:sz w:val="32"/>
          <w:szCs w:val="32"/>
        </w:rPr>
      </w:pPr>
      <w:r>
        <w:rPr>
          <w:rFonts w:ascii="Traditional Arabic" w:hAnsi="Traditional Arabic" w:hint="cs"/>
          <w:b/>
          <w:bCs/>
          <w:color w:val="auto"/>
          <w:sz w:val="32"/>
          <w:szCs w:val="32"/>
          <w:rtl/>
        </w:rPr>
        <w:t xml:space="preserve">      </w:t>
      </w:r>
      <w:r w:rsidRPr="00D407CB">
        <w:rPr>
          <w:rFonts w:ascii="Traditional Arabic" w:hAnsi="Traditional Arabic"/>
          <w:b/>
          <w:bCs/>
          <w:color w:val="auto"/>
          <w:sz w:val="32"/>
          <w:szCs w:val="32"/>
          <w:rtl/>
        </w:rPr>
        <w:t>الحَوالة اصطلاحا:</w:t>
      </w:r>
      <w:r>
        <w:rPr>
          <w:rFonts w:ascii="Traditional Arabic" w:hAnsi="Traditional Arabic" w:hint="cs"/>
          <w:noProof w:val="0"/>
          <w:sz w:val="32"/>
          <w:szCs w:val="32"/>
          <w:rtl/>
          <w:lang w:eastAsia="en-US"/>
        </w:rPr>
        <w:t xml:space="preserve"> </w:t>
      </w:r>
      <w:r w:rsidRPr="00CF58F1">
        <w:rPr>
          <w:rFonts w:ascii="Traditional Arabic" w:hAnsi="Traditional Arabic"/>
          <w:noProof w:val="0"/>
          <w:sz w:val="32"/>
          <w:szCs w:val="32"/>
          <w:rtl/>
          <w:lang w:eastAsia="en-US"/>
        </w:rPr>
        <w:t>نقل الدين من ذمة المحيل إلى ذمة المحال عليه</w:t>
      </w:r>
      <w:r>
        <w:rPr>
          <w:rFonts w:ascii="Traditional Arabic" w:hAnsi="Traditional Arabic" w:hint="cs"/>
          <w:sz w:val="32"/>
          <w:szCs w:val="32"/>
          <w:rtl/>
        </w:rPr>
        <w:t>. الكافي لابن قدامة (2/218).</w:t>
      </w:r>
    </w:p>
  </w:footnote>
  <w:footnote w:id="1534">
    <w:p w:rsidR="000D3D21" w:rsidRPr="00D407CB"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07CB">
        <w:rPr>
          <w:rFonts w:ascii="Traditional Arabic" w:hAnsi="Traditional Arabic"/>
          <w:sz w:val="32"/>
          <w:szCs w:val="32"/>
          <w:rtl/>
        </w:rPr>
        <w:t xml:space="preserve">انظر: الشرح الممتع (9/217)، </w:t>
      </w:r>
      <w:r>
        <w:rPr>
          <w:rFonts w:ascii="Traditional Arabic" w:hAnsi="Traditional Arabic" w:hint="cs"/>
          <w:sz w:val="32"/>
          <w:szCs w:val="32"/>
          <w:rtl/>
        </w:rPr>
        <w:t xml:space="preserve">والإنصاف للمرداوي (13/101-103)، </w:t>
      </w:r>
      <w:r w:rsidRPr="00D407CB">
        <w:rPr>
          <w:rFonts w:ascii="Traditional Arabic" w:hAnsi="Traditional Arabic"/>
          <w:sz w:val="32"/>
          <w:szCs w:val="32"/>
          <w:rtl/>
        </w:rPr>
        <w:t>والمطلع على دقائق زاد المستقنع-المعاملات المالية- (3/115).</w:t>
      </w:r>
    </w:p>
  </w:footnote>
  <w:footnote w:id="1535">
    <w:p w:rsidR="000D3D21" w:rsidRPr="00D407CB" w:rsidRDefault="000D3D21" w:rsidP="003E316B">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407CB">
        <w:rPr>
          <w:rFonts w:ascii="Traditional Arabic" w:hAnsi="Traditional Arabic"/>
          <w:b/>
          <w:bCs/>
          <w:sz w:val="32"/>
          <w:szCs w:val="32"/>
          <w:rtl/>
        </w:rPr>
        <w:t>الإرفاق</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الإرفاق</w:instrText>
      </w:r>
      <w:r>
        <w:instrText xml:space="preserve">" </w:instrText>
      </w:r>
      <w:r w:rsidRPr="003E316B">
        <w:instrText>\fm</w:instrText>
      </w:r>
      <w:r w:rsidR="00AB0B9E">
        <w:rPr>
          <w:rFonts w:ascii="Traditional Arabic" w:hAnsi="Traditional Arabic"/>
          <w:b/>
          <w:bCs/>
          <w:sz w:val="32"/>
          <w:szCs w:val="32"/>
          <w:rtl/>
        </w:rPr>
        <w:fldChar w:fldCharType="end"/>
      </w:r>
      <w:r w:rsidRPr="00D407CB">
        <w:rPr>
          <w:rFonts w:ascii="Traditional Arabic" w:hAnsi="Traditional Arabic"/>
          <w:b/>
          <w:bCs/>
          <w:sz w:val="32"/>
          <w:szCs w:val="32"/>
          <w:rtl/>
        </w:rPr>
        <w:t xml:space="preserve"> لغة:</w:t>
      </w:r>
      <w:r w:rsidRPr="00D407CB">
        <w:rPr>
          <w:rFonts w:ascii="Traditional Arabic" w:hAnsi="Traditional Arabic"/>
          <w:sz w:val="32"/>
          <w:szCs w:val="32"/>
          <w:rtl/>
        </w:rPr>
        <w:t xml:space="preserve"> النفع، يقال : أرفقته أي : نفعته.انظر تهذيب الأسماء واللغات (</w:t>
      </w:r>
      <w:r>
        <w:rPr>
          <w:rFonts w:ascii="Traditional Arabic" w:hAnsi="Traditional Arabic" w:hint="cs"/>
          <w:sz w:val="32"/>
          <w:szCs w:val="32"/>
          <w:rtl/>
        </w:rPr>
        <w:t>3/124</w:t>
      </w:r>
      <w:r w:rsidRPr="00D407CB">
        <w:rPr>
          <w:rFonts w:ascii="Traditional Arabic" w:hAnsi="Traditional Arabic"/>
          <w:sz w:val="32"/>
          <w:szCs w:val="32"/>
          <w:rtl/>
        </w:rPr>
        <w:t>).</w:t>
      </w:r>
    </w:p>
    <w:p w:rsidR="000D3D21" w:rsidRPr="00D407CB" w:rsidRDefault="000D3D21" w:rsidP="003E316B">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D407CB">
        <w:rPr>
          <w:rFonts w:ascii="Traditional Arabic" w:hAnsi="Traditional Arabic"/>
          <w:b/>
          <w:bCs/>
          <w:sz w:val="32"/>
          <w:szCs w:val="32"/>
          <w:rtl/>
        </w:rPr>
        <w:t>عقود الإرفاق</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عقود الإرفاق</w:instrText>
      </w:r>
      <w:r>
        <w:instrText xml:space="preserve">" </w:instrText>
      </w:r>
      <w:r w:rsidRPr="003E316B">
        <w:instrText>\fm</w:instrText>
      </w:r>
      <w:r w:rsidR="00AB0B9E">
        <w:rPr>
          <w:rFonts w:ascii="Traditional Arabic" w:hAnsi="Traditional Arabic"/>
          <w:b/>
          <w:bCs/>
          <w:sz w:val="32"/>
          <w:szCs w:val="32"/>
          <w:rtl/>
        </w:rPr>
        <w:fldChar w:fldCharType="end"/>
      </w:r>
      <w:r w:rsidRPr="00D407CB">
        <w:rPr>
          <w:rFonts w:ascii="Traditional Arabic" w:hAnsi="Traditional Arabic"/>
          <w:b/>
          <w:bCs/>
          <w:sz w:val="32"/>
          <w:szCs w:val="32"/>
          <w:rtl/>
        </w:rPr>
        <w:t xml:space="preserve"> اصطلاحا: </w:t>
      </w:r>
      <w:r w:rsidRPr="00D407CB">
        <w:rPr>
          <w:rFonts w:ascii="Traditional Arabic" w:hAnsi="Traditional Arabic"/>
          <w:sz w:val="32"/>
          <w:szCs w:val="32"/>
          <w:rtl/>
        </w:rPr>
        <w:t>تطلق على عقد القرض والحوالة والعاريَّة والوكالة والوديعة والمضاربة وغيرها، سُمِّيَتْ بذلك لأن أحدَ الطرفين يُدْخِل بها على الآخَر الإرفاقَ، وهو النفع. انظر معجم المصطلحات المالية والاقتصادية (48).</w:t>
      </w:r>
    </w:p>
  </w:footnote>
  <w:footnote w:id="1536">
    <w:p w:rsidR="000D3D21" w:rsidRPr="00CF58F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F58F1">
        <w:rPr>
          <w:rFonts w:ascii="Traditional Arabic" w:hAnsi="Traditional Arabic"/>
          <w:sz w:val="32"/>
          <w:szCs w:val="32"/>
          <w:rtl/>
        </w:rPr>
        <w:t xml:space="preserve">القواعد والأصول الجامعة (60)، وانظر الشرح الممتع (8/108-109)، و(9/191، 273)، و(10/236). </w:t>
      </w:r>
    </w:p>
  </w:footnote>
  <w:footnote w:id="1537">
    <w:p w:rsidR="000D3D21" w:rsidRPr="00CF58F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F58F1">
        <w:rPr>
          <w:rFonts w:ascii="Traditional Arabic" w:hAnsi="Traditional Arabic"/>
          <w:sz w:val="32"/>
          <w:szCs w:val="32"/>
          <w:rtl/>
        </w:rPr>
        <w:t xml:space="preserve">هكذا في المطبوع، ولعل الصواب : تعميرها. </w:t>
      </w:r>
    </w:p>
  </w:footnote>
  <w:footnote w:id="1538">
    <w:p w:rsidR="000D3D21" w:rsidRPr="007C2181"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إرشاد </w:t>
      </w:r>
      <w:r>
        <w:rPr>
          <w:rFonts w:ascii="Traditional Arabic" w:hAnsi="Traditional Arabic" w:hint="cs"/>
          <w:sz w:val="32"/>
          <w:szCs w:val="32"/>
          <w:rtl/>
        </w:rPr>
        <w:t>أ</w:t>
      </w:r>
      <w:r>
        <w:rPr>
          <w:rFonts w:ascii="Traditional Arabic" w:hAnsi="Traditional Arabic"/>
          <w:sz w:val="32"/>
          <w:szCs w:val="32"/>
          <w:rtl/>
        </w:rPr>
        <w:t xml:space="preserve">ولي البصائر والألباب </w:t>
      </w:r>
      <w:r>
        <w:rPr>
          <w:rFonts w:ascii="Traditional Arabic" w:hAnsi="Traditional Arabic" w:hint="cs"/>
          <w:sz w:val="32"/>
          <w:szCs w:val="32"/>
          <w:rtl/>
        </w:rPr>
        <w:t xml:space="preserve">لابن </w:t>
      </w:r>
      <w:r w:rsidRPr="00CF58F1">
        <w:rPr>
          <w:rFonts w:ascii="Traditional Arabic" w:hAnsi="Traditional Arabic"/>
          <w:sz w:val="32"/>
          <w:szCs w:val="32"/>
          <w:rtl/>
        </w:rPr>
        <w:t>سعدي (111).</w:t>
      </w:r>
    </w:p>
  </w:footnote>
  <w:footnote w:id="1539">
    <w:p w:rsidR="000D3D21" w:rsidRPr="00EB31C6"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اخترت هذه الصيغة؛ لأنها أعم من الصيغة الأولى، إذ تشمل زوال الحكم بزوال العلة وثبوت الحكم بثبوت العلة، كما أن هذه الصيغة بينت دوران الحكم مع علته، وأنه يدور معها وجودا وعدما.</w:t>
      </w:r>
    </w:p>
  </w:footnote>
  <w:footnote w:id="1540">
    <w:p w:rsidR="000D3D21" w:rsidRPr="00EB31C6"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B31C6">
        <w:rPr>
          <w:rFonts w:ascii="Traditional Arabic" w:hAnsi="Traditional Arabic"/>
          <w:sz w:val="32"/>
          <w:szCs w:val="32"/>
          <w:rtl/>
        </w:rPr>
        <w:t>الشرح الممتع (8/445)، و(15/279)، وانظر (7/243).</w:t>
      </w:r>
    </w:p>
  </w:footnote>
  <w:footnote w:id="1541">
    <w:p w:rsidR="000D3D21" w:rsidRPr="00EB31C6"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B31C6">
        <w:rPr>
          <w:rFonts w:ascii="Traditional Arabic" w:hAnsi="Traditional Arabic"/>
          <w:sz w:val="32"/>
          <w:szCs w:val="32"/>
          <w:rtl/>
        </w:rPr>
        <w:t xml:space="preserve">المرجع السابق (1/41)، و(2/37)، و(7/64)، و(8/118، 313)، و(9/300)، و(10/212)، و(11/56، 326)، و(12/209، 443)، و(15/13، 70، 303)، وشرح منظومة أصول الفقه وقواعده (154)، وأحكام من القرآن الكريم (2/272)، وتفسير سورة البقرة (3/391)، وتفسير سورة النساء (1/136، 274)، وفتح ذي الجلال والإكرام (3/391، 621)، و(4/572)، </w:t>
      </w:r>
      <w:r>
        <w:rPr>
          <w:rFonts w:ascii="Traditional Arabic" w:hAnsi="Traditional Arabic" w:hint="cs"/>
          <w:sz w:val="32"/>
          <w:szCs w:val="32"/>
          <w:rtl/>
        </w:rPr>
        <w:t xml:space="preserve">و(6/17)، </w:t>
      </w:r>
      <w:r w:rsidRPr="00EB31C6">
        <w:rPr>
          <w:rFonts w:ascii="Traditional Arabic" w:hAnsi="Traditional Arabic"/>
          <w:sz w:val="32"/>
          <w:szCs w:val="32"/>
          <w:rtl/>
        </w:rPr>
        <w:t>والقول المفيد (2/1</w:t>
      </w:r>
      <w:r>
        <w:rPr>
          <w:rFonts w:ascii="Traditional Arabic" w:hAnsi="Traditional Arabic"/>
          <w:sz w:val="32"/>
          <w:szCs w:val="32"/>
          <w:rtl/>
        </w:rPr>
        <w:t>22، 443)</w:t>
      </w:r>
      <w:r w:rsidRPr="00EB31C6">
        <w:rPr>
          <w:rFonts w:ascii="Traditional Arabic" w:hAnsi="Traditional Arabic"/>
          <w:sz w:val="32"/>
          <w:szCs w:val="32"/>
          <w:rtl/>
        </w:rPr>
        <w:t>.</w:t>
      </w:r>
    </w:p>
  </w:footnote>
  <w:footnote w:id="1542">
    <w:p w:rsidR="000D3D21" w:rsidRPr="00E84F50"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84F50">
        <w:rPr>
          <w:rFonts w:ascii="Traditional Arabic" w:hAnsi="Traditional Arabic"/>
          <w:sz w:val="32"/>
          <w:szCs w:val="32"/>
          <w:rtl/>
        </w:rPr>
        <w:t>الشرح الممتع (1/137، 183، 500)، و(2/197)، و(8/54)، و(9/378)، و(12/421)، و(13/507، 542).</w:t>
      </w:r>
    </w:p>
  </w:footnote>
  <w:footnote w:id="1543">
    <w:p w:rsidR="000D3D21" w:rsidRPr="00546422" w:rsidRDefault="000D3D21" w:rsidP="009840EE">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46422">
        <w:rPr>
          <w:rFonts w:ascii="Traditional Arabic" w:hAnsi="Traditional Arabic"/>
          <w:sz w:val="32"/>
          <w:szCs w:val="32"/>
          <w:rtl/>
        </w:rPr>
        <w:t>منظومة أصول الفقه وقواعده (9).</w:t>
      </w:r>
    </w:p>
  </w:footnote>
  <w:footnote w:id="1544">
    <w:p w:rsidR="000D3D21" w:rsidRPr="007B73FC"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Style w:val="af1"/>
          <w:rFonts w:ascii="Traditional Arabic" w:hAnsi="Traditional Arabic" w:hint="cs"/>
          <w:sz w:val="32"/>
          <w:szCs w:val="32"/>
          <w:vertAlign w:val="baseline"/>
          <w:rtl/>
        </w:rPr>
        <w:t xml:space="preserve"> </w:t>
      </w:r>
      <w:r>
        <w:rPr>
          <w:rStyle w:val="af1"/>
          <w:rFonts w:ascii="Traditional Arabic" w:hAnsi="Traditional Arabic"/>
          <w:sz w:val="32"/>
          <w:szCs w:val="32"/>
          <w:vertAlign w:val="baseline"/>
          <w:rtl/>
        </w:rPr>
        <w:t xml:space="preserve">قواعد الأحكام </w:t>
      </w:r>
      <w:r w:rsidRPr="007B73FC">
        <w:rPr>
          <w:rStyle w:val="af1"/>
          <w:rFonts w:ascii="Traditional Arabic" w:hAnsi="Traditional Arabic"/>
          <w:sz w:val="32"/>
          <w:szCs w:val="32"/>
          <w:vertAlign w:val="baseline"/>
          <w:rtl/>
        </w:rPr>
        <w:t xml:space="preserve">لعز </w:t>
      </w:r>
      <w:r>
        <w:rPr>
          <w:rStyle w:val="af1"/>
          <w:rFonts w:ascii="Traditional Arabic" w:hAnsi="Traditional Arabic" w:hint="cs"/>
          <w:sz w:val="32"/>
          <w:szCs w:val="32"/>
          <w:vertAlign w:val="baseline"/>
          <w:rtl/>
        </w:rPr>
        <w:t xml:space="preserve">الدين </w:t>
      </w:r>
      <w:r w:rsidRPr="007B73FC">
        <w:rPr>
          <w:rStyle w:val="af1"/>
          <w:rFonts w:ascii="Traditional Arabic" w:hAnsi="Traditional Arabic"/>
          <w:sz w:val="32"/>
          <w:szCs w:val="32"/>
          <w:vertAlign w:val="baseline"/>
          <w:rtl/>
        </w:rPr>
        <w:t>بن عبد السلام (2/</w:t>
      </w:r>
      <w:r w:rsidRPr="007B73FC">
        <w:rPr>
          <w:rFonts w:ascii="Traditional Arabic" w:hAnsi="Traditional Arabic"/>
          <w:sz w:val="32"/>
          <w:szCs w:val="32"/>
          <w:rtl/>
        </w:rPr>
        <w:t>8</w:t>
      </w:r>
      <w:r w:rsidRPr="007B73FC">
        <w:rPr>
          <w:rStyle w:val="af1"/>
          <w:rFonts w:ascii="Traditional Arabic" w:hAnsi="Traditional Arabic"/>
          <w:sz w:val="32"/>
          <w:szCs w:val="32"/>
          <w:vertAlign w:val="baseline"/>
          <w:rtl/>
        </w:rPr>
        <w:t>).</w:t>
      </w:r>
    </w:p>
  </w:footnote>
  <w:footnote w:id="1545">
    <w:p w:rsidR="000D3D21" w:rsidRPr="00E84F50"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84F50">
        <w:rPr>
          <w:rFonts w:ascii="Traditional Arabic" w:hAnsi="Traditional Arabic"/>
          <w:sz w:val="32"/>
          <w:szCs w:val="32"/>
          <w:rtl/>
        </w:rPr>
        <w:t>مجموع الفتاوى لابن تيمية (20/522)، و(21/475، 476، 503، 618)، و(33/234)</w:t>
      </w:r>
      <w:r>
        <w:rPr>
          <w:rFonts w:ascii="Traditional Arabic" w:hAnsi="Traditional Arabic" w:hint="cs"/>
          <w:sz w:val="32"/>
          <w:szCs w:val="32"/>
          <w:rtl/>
        </w:rPr>
        <w:t>، وانظر زاد المعاد (5/452)</w:t>
      </w:r>
      <w:r w:rsidRPr="00E84F50">
        <w:rPr>
          <w:rFonts w:ascii="Traditional Arabic" w:hAnsi="Traditional Arabic"/>
          <w:sz w:val="32"/>
          <w:szCs w:val="32"/>
          <w:rtl/>
        </w:rPr>
        <w:t>.</w:t>
      </w:r>
    </w:p>
  </w:footnote>
  <w:footnote w:id="1546">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إعلام الموقعين (5/528).</w:t>
      </w:r>
    </w:p>
  </w:footnote>
  <w:footnote w:id="1547">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مغني ذوي الأفهام (519)، والقواعد والأصول الجامعة (107)، ومنظومة القواعد الفقهية وشرحها (46)</w:t>
      </w:r>
      <w:r>
        <w:rPr>
          <w:rFonts w:ascii="Traditional Arabic" w:hAnsi="Traditional Arabic" w:hint="cs"/>
          <w:sz w:val="32"/>
          <w:szCs w:val="32"/>
          <w:rtl/>
        </w:rPr>
        <w:t xml:space="preserve"> لابن سعدي</w:t>
      </w:r>
      <w:r w:rsidRPr="00150BA1">
        <w:rPr>
          <w:rFonts w:ascii="Traditional Arabic" w:hAnsi="Traditional Arabic"/>
          <w:sz w:val="32"/>
          <w:szCs w:val="32"/>
          <w:rtl/>
        </w:rPr>
        <w:t>.</w:t>
      </w:r>
    </w:p>
  </w:footnote>
  <w:footnote w:id="1548">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إيضاح المسالك للونشريسي (59)، وإعداد المهج</w:t>
      </w:r>
      <w:r>
        <w:rPr>
          <w:rFonts w:ascii="Traditional Arabic" w:hAnsi="Traditional Arabic" w:hint="cs"/>
          <w:sz w:val="32"/>
          <w:szCs w:val="32"/>
          <w:rtl/>
        </w:rPr>
        <w:t xml:space="preserve"> </w:t>
      </w:r>
      <w:r w:rsidRPr="00150BA1">
        <w:rPr>
          <w:rFonts w:ascii="Traditional Arabic" w:hAnsi="Traditional Arabic"/>
          <w:sz w:val="32"/>
          <w:szCs w:val="32"/>
          <w:rtl/>
        </w:rPr>
        <w:t>للاستفادة من المنهج في قواعد الفقه المالكي لأحمد بن أحمد المختار الشنقيطي (30).</w:t>
      </w:r>
      <w:r>
        <w:rPr>
          <w:rFonts w:ascii="Traditional Arabic" w:hAnsi="Traditional Arabic" w:hint="cs"/>
          <w:sz w:val="32"/>
          <w:szCs w:val="32"/>
          <w:rtl/>
        </w:rPr>
        <w:t xml:space="preserve"> </w:t>
      </w:r>
      <w:r w:rsidRPr="00150BA1">
        <w:rPr>
          <w:rFonts w:ascii="Traditional Arabic" w:hAnsi="Traditional Arabic"/>
          <w:sz w:val="32"/>
          <w:szCs w:val="32"/>
          <w:rtl/>
        </w:rPr>
        <w:t>وانظر شرح اليواقيت الثمينة فيما انتمى لعالم المدينة لأبي عبد الله محمد بن أبي القاسم السجلماسي (1/451).</w:t>
      </w:r>
    </w:p>
  </w:footnote>
  <w:footnote w:id="1549">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منظومة القواعد الفقهية وشرحها (46).</w:t>
      </w:r>
    </w:p>
  </w:footnote>
  <w:footnote w:id="1550">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مقاييس اللغة (2/91).</w:t>
      </w:r>
    </w:p>
  </w:footnote>
  <w:footnote w:id="1551">
    <w:p w:rsidR="000D3D21" w:rsidRPr="00964D81"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150BA1">
        <w:rPr>
          <w:rFonts w:ascii="Traditional Arabic" w:hAnsi="Traditional Arabic"/>
          <w:sz w:val="32"/>
          <w:szCs w:val="32"/>
          <w:rtl/>
        </w:rPr>
        <w:t xml:space="preserve"> انظر مذكرة في أصول الفقه للشيخ الأمين الشنقيطي</w:t>
      </w:r>
      <w:r>
        <w:rPr>
          <w:rFonts w:ascii="Traditional Arabic" w:hAnsi="Traditional Arabic" w:hint="cs"/>
          <w:sz w:val="32"/>
          <w:szCs w:val="32"/>
          <w:rtl/>
        </w:rPr>
        <w:t xml:space="preserve"> (7-8)</w:t>
      </w:r>
      <w:r w:rsidRPr="00150BA1">
        <w:rPr>
          <w:rFonts w:ascii="Traditional Arabic" w:hAnsi="Traditional Arabic"/>
          <w:sz w:val="32"/>
          <w:szCs w:val="32"/>
          <w:rtl/>
        </w:rPr>
        <w:t xml:space="preserve">، والمختصر في أصول الفقه </w:t>
      </w:r>
      <w:r>
        <w:rPr>
          <w:rFonts w:ascii="Traditional Arabic" w:hAnsi="Traditional Arabic" w:hint="cs"/>
          <w:sz w:val="32"/>
          <w:szCs w:val="32"/>
          <w:rtl/>
        </w:rPr>
        <w:t xml:space="preserve">على مذهب  أحمد بن حنبل </w:t>
      </w:r>
      <w:r w:rsidRPr="00150BA1">
        <w:rPr>
          <w:rFonts w:ascii="Traditional Arabic" w:hAnsi="Traditional Arabic"/>
          <w:sz w:val="32"/>
          <w:szCs w:val="32"/>
          <w:rtl/>
        </w:rPr>
        <w:t>ل</w:t>
      </w:r>
      <w:r>
        <w:rPr>
          <w:rFonts w:ascii="Traditional Arabic" w:hAnsi="Traditional Arabic" w:hint="cs"/>
          <w:sz w:val="32"/>
          <w:szCs w:val="32"/>
          <w:rtl/>
        </w:rPr>
        <w:t>علي بن محمد البعلي المعروف ب</w:t>
      </w:r>
      <w:r w:rsidRPr="00150BA1">
        <w:rPr>
          <w:rFonts w:ascii="Traditional Arabic" w:hAnsi="Traditional Arabic"/>
          <w:sz w:val="32"/>
          <w:szCs w:val="32"/>
          <w:rtl/>
        </w:rPr>
        <w:t xml:space="preserve">ابن اللحام </w:t>
      </w:r>
      <w:r>
        <w:rPr>
          <w:rFonts w:ascii="Traditional Arabic" w:hAnsi="Traditional Arabic" w:hint="cs"/>
          <w:sz w:val="32"/>
          <w:szCs w:val="32"/>
          <w:rtl/>
        </w:rPr>
        <w:t>(57)</w:t>
      </w:r>
      <w:r w:rsidRPr="00150BA1">
        <w:rPr>
          <w:rFonts w:ascii="Traditional Arabic" w:hAnsi="Traditional Arabic"/>
          <w:sz w:val="32"/>
          <w:szCs w:val="32"/>
          <w:rtl/>
        </w:rPr>
        <w:t xml:space="preserve">، ومعالم أصول الفقه عند أهل السنة والجماعة </w:t>
      </w:r>
      <w:r>
        <w:rPr>
          <w:rFonts w:ascii="Traditional Arabic" w:hAnsi="Traditional Arabic" w:hint="cs"/>
          <w:sz w:val="32"/>
          <w:szCs w:val="32"/>
          <w:rtl/>
        </w:rPr>
        <w:t>لمحمد بن حسين الجيزاني (292، 293)</w:t>
      </w:r>
      <w:r w:rsidRPr="00150BA1">
        <w:rPr>
          <w:rFonts w:ascii="Traditional Arabic" w:hAnsi="Traditional Arabic"/>
          <w:sz w:val="32"/>
          <w:szCs w:val="32"/>
          <w:rtl/>
        </w:rPr>
        <w:t>.</w:t>
      </w:r>
    </w:p>
  </w:footnote>
  <w:footnote w:id="1552">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 xml:space="preserve">الأصول من علم الأصول </w:t>
      </w:r>
      <w:r>
        <w:rPr>
          <w:rFonts w:ascii="Traditional Arabic" w:hAnsi="Traditional Arabic" w:hint="cs"/>
          <w:sz w:val="32"/>
          <w:szCs w:val="32"/>
          <w:rtl/>
        </w:rPr>
        <w:t>(10)</w:t>
      </w:r>
      <w:r w:rsidRPr="00150BA1">
        <w:rPr>
          <w:rFonts w:ascii="Traditional Arabic" w:hAnsi="Traditional Arabic"/>
          <w:sz w:val="32"/>
          <w:szCs w:val="32"/>
          <w:rtl/>
        </w:rPr>
        <w:t>.</w:t>
      </w:r>
    </w:p>
  </w:footnote>
  <w:footnote w:id="1553">
    <w:p w:rsidR="000D3D21" w:rsidRPr="00150BA1" w:rsidRDefault="000D3D21" w:rsidP="003E316B">
      <w:pPr>
        <w:pStyle w:val="a7"/>
        <w:ind w:left="329" w:hanging="329"/>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150BA1">
        <w:rPr>
          <w:rFonts w:ascii="Traditional Arabic" w:hAnsi="Traditional Arabic"/>
          <w:b/>
          <w:bCs/>
          <w:sz w:val="32"/>
          <w:szCs w:val="32"/>
          <w:rtl/>
        </w:rPr>
        <w:t>القياس</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القياس</w:instrText>
      </w:r>
      <w:r>
        <w:instrText xml:space="preserve">" </w:instrText>
      </w:r>
      <w:r w:rsidRPr="003E316B">
        <w:instrText>\fm</w:instrText>
      </w:r>
      <w:r w:rsidR="00AB0B9E">
        <w:rPr>
          <w:rFonts w:ascii="Traditional Arabic" w:hAnsi="Traditional Arabic"/>
          <w:b/>
          <w:bCs/>
          <w:sz w:val="32"/>
          <w:szCs w:val="32"/>
          <w:rtl/>
        </w:rPr>
        <w:fldChar w:fldCharType="end"/>
      </w:r>
      <w:r w:rsidRPr="00150BA1">
        <w:rPr>
          <w:rFonts w:ascii="Traditional Arabic" w:hAnsi="Traditional Arabic"/>
          <w:b/>
          <w:bCs/>
          <w:sz w:val="32"/>
          <w:szCs w:val="32"/>
          <w:rtl/>
        </w:rPr>
        <w:t xml:space="preserve"> لغة:</w:t>
      </w:r>
      <w:r w:rsidRPr="00150BA1">
        <w:rPr>
          <w:rFonts w:ascii="Traditional Arabic" w:hAnsi="Traditional Arabic"/>
          <w:sz w:val="32"/>
          <w:szCs w:val="32"/>
          <w:rtl/>
        </w:rPr>
        <w:t xml:space="preserve"> التقدير والمساواة</w:t>
      </w:r>
      <w:r>
        <w:rPr>
          <w:rFonts w:ascii="Traditional Arabic" w:hAnsi="Traditional Arabic"/>
          <w:sz w:val="32"/>
          <w:szCs w:val="32"/>
          <w:rtl/>
        </w:rPr>
        <w:t>.</w:t>
      </w:r>
      <w:r w:rsidRPr="00150BA1">
        <w:rPr>
          <w:rFonts w:ascii="Traditional Arabic" w:hAnsi="Traditional Arabic"/>
          <w:sz w:val="32"/>
          <w:szCs w:val="32"/>
          <w:rtl/>
        </w:rPr>
        <w:t xml:space="preserve"> انظر: لسان العرب (6/187)، والمصباح المنير (521)</w:t>
      </w:r>
      <w:r>
        <w:rPr>
          <w:rFonts w:ascii="Traditional Arabic" w:hAnsi="Traditional Arabic"/>
          <w:sz w:val="32"/>
          <w:szCs w:val="32"/>
          <w:rtl/>
        </w:rPr>
        <w:t>.</w:t>
      </w:r>
    </w:p>
    <w:p w:rsidR="000D3D21" w:rsidRPr="00150BA1" w:rsidRDefault="000D3D21" w:rsidP="009840EE">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150BA1">
        <w:rPr>
          <w:rFonts w:ascii="Traditional Arabic" w:hAnsi="Traditional Arabic"/>
          <w:b/>
          <w:bCs/>
          <w:sz w:val="32"/>
          <w:szCs w:val="32"/>
          <w:rtl/>
        </w:rPr>
        <w:t>القياس اصطلاحا:</w:t>
      </w:r>
      <w:r w:rsidRPr="00150BA1">
        <w:rPr>
          <w:rFonts w:ascii="Traditional Arabic" w:hAnsi="Traditional Arabic"/>
          <w:sz w:val="32"/>
          <w:szCs w:val="32"/>
          <w:rtl/>
        </w:rPr>
        <w:t xml:space="preserve"> حمل فرع على أصل في حكم بجامع بينهما</w:t>
      </w:r>
      <w:r>
        <w:rPr>
          <w:rFonts w:ascii="Traditional Arabic" w:hAnsi="Traditional Arabic"/>
          <w:sz w:val="32"/>
          <w:szCs w:val="32"/>
          <w:rtl/>
        </w:rPr>
        <w:t xml:space="preserve">. انظر: روضة الناظر </w:t>
      </w:r>
      <w:r>
        <w:rPr>
          <w:rFonts w:ascii="Traditional Arabic" w:hAnsi="Traditional Arabic" w:hint="cs"/>
          <w:sz w:val="32"/>
          <w:szCs w:val="32"/>
          <w:rtl/>
        </w:rPr>
        <w:t>(3/797</w:t>
      </w:r>
      <w:r w:rsidRPr="00150BA1">
        <w:rPr>
          <w:rFonts w:ascii="Traditional Arabic" w:hAnsi="Traditional Arabic"/>
          <w:sz w:val="32"/>
          <w:szCs w:val="32"/>
          <w:rtl/>
        </w:rPr>
        <w:t>)</w:t>
      </w:r>
      <w:r>
        <w:rPr>
          <w:rFonts w:ascii="Traditional Arabic" w:hAnsi="Traditional Arabic"/>
          <w:sz w:val="32"/>
          <w:szCs w:val="32"/>
          <w:rtl/>
        </w:rPr>
        <w:t>.</w:t>
      </w:r>
    </w:p>
  </w:footnote>
  <w:footnote w:id="1554">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 xml:space="preserve">الأصول من علم الأصول </w:t>
      </w:r>
      <w:r>
        <w:rPr>
          <w:rFonts w:ascii="Traditional Arabic" w:hAnsi="Traditional Arabic" w:hint="cs"/>
          <w:sz w:val="32"/>
          <w:szCs w:val="32"/>
          <w:rtl/>
        </w:rPr>
        <w:t>(68)</w:t>
      </w:r>
      <w:r w:rsidRPr="00150BA1">
        <w:rPr>
          <w:rFonts w:ascii="Traditional Arabic" w:hAnsi="Traditional Arabic"/>
          <w:sz w:val="32"/>
          <w:szCs w:val="32"/>
          <w:rtl/>
        </w:rPr>
        <w:t>.</w:t>
      </w:r>
    </w:p>
  </w:footnote>
  <w:footnote w:id="1555">
    <w:p w:rsidR="000D3D21" w:rsidRPr="00150BA1" w:rsidRDefault="000D3D21" w:rsidP="009840EE">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مقاييس اللغة (4/12-14).</w:t>
      </w:r>
    </w:p>
  </w:footnote>
  <w:footnote w:id="1556">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مذكرة أصول الفقه </w:t>
      </w:r>
      <w:r>
        <w:rPr>
          <w:rFonts w:ascii="Traditional Arabic" w:hAnsi="Traditional Arabic" w:hint="cs"/>
          <w:sz w:val="32"/>
          <w:szCs w:val="32"/>
          <w:rtl/>
        </w:rPr>
        <w:t>(275)</w:t>
      </w:r>
      <w:r w:rsidRPr="00150BA1">
        <w:rPr>
          <w:rFonts w:ascii="Traditional Arabic" w:hAnsi="Traditional Arabic"/>
          <w:sz w:val="32"/>
          <w:szCs w:val="32"/>
          <w:rtl/>
        </w:rPr>
        <w:t>، وانظر الوصف المناسب لأحمد بن محمود بن عبد الوهاب الشنقيطي (43-54).</w:t>
      </w:r>
    </w:p>
  </w:footnote>
  <w:footnote w:id="1557">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 xml:space="preserve">الأصول من علم الأصول </w:t>
      </w:r>
      <w:r>
        <w:rPr>
          <w:rFonts w:ascii="Traditional Arabic" w:hAnsi="Traditional Arabic" w:hint="cs"/>
          <w:sz w:val="32"/>
          <w:szCs w:val="32"/>
          <w:rtl/>
        </w:rPr>
        <w:t>(68)</w:t>
      </w:r>
      <w:r w:rsidRPr="00150BA1">
        <w:rPr>
          <w:rFonts w:ascii="Traditional Arabic" w:hAnsi="Traditional Arabic"/>
          <w:sz w:val="32"/>
          <w:szCs w:val="32"/>
          <w:rtl/>
        </w:rPr>
        <w:t>.</w:t>
      </w:r>
    </w:p>
  </w:footnote>
  <w:footnote w:id="1558">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شرح منظومة أصول الفقه وقواعده (154).</w:t>
      </w:r>
    </w:p>
  </w:footnote>
  <w:footnote w:id="1559">
    <w:p w:rsidR="000D3D21" w:rsidRPr="000C1E2F"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القواعد والأصول الجامعة (</w:t>
      </w:r>
      <w:r>
        <w:rPr>
          <w:rFonts w:ascii="Traditional Arabic" w:hAnsi="Traditional Arabic" w:hint="cs"/>
          <w:sz w:val="32"/>
          <w:szCs w:val="32"/>
          <w:rtl/>
        </w:rPr>
        <w:t>107</w:t>
      </w:r>
      <w:r w:rsidRPr="00150BA1">
        <w:rPr>
          <w:rFonts w:ascii="Traditional Arabic" w:hAnsi="Traditional Arabic"/>
          <w:sz w:val="32"/>
          <w:szCs w:val="32"/>
          <w:rtl/>
        </w:rPr>
        <w:t>).</w:t>
      </w:r>
    </w:p>
  </w:footnote>
  <w:footnote w:id="1560">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موسوعة القواعد</w:t>
      </w:r>
      <w:r w:rsidRPr="00150BA1">
        <w:rPr>
          <w:rFonts w:ascii="Traditional Arabic" w:hAnsi="Traditional Arabic"/>
          <w:sz w:val="32"/>
          <w:szCs w:val="32"/>
          <w:rtl/>
        </w:rPr>
        <w:t xml:space="preserve"> الفقهية للبورنو (2/51).</w:t>
      </w:r>
    </w:p>
  </w:footnote>
  <w:footnote w:id="1561">
    <w:p w:rsidR="000D3D21" w:rsidRPr="00F05E83"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05E83">
        <w:rPr>
          <w:rFonts w:ascii="Traditional Arabic" w:hAnsi="Traditional Arabic"/>
          <w:sz w:val="32"/>
          <w:szCs w:val="32"/>
          <w:rtl/>
        </w:rPr>
        <w:t>وكثيرا ما يتطرق الأصوليون إلى هذه القاعدة في معر</w:t>
      </w:r>
      <w:r>
        <w:rPr>
          <w:rFonts w:ascii="Traditional Arabic" w:hAnsi="Traditional Arabic" w:hint="cs"/>
          <w:sz w:val="32"/>
          <w:szCs w:val="32"/>
          <w:rtl/>
        </w:rPr>
        <w:t>ِ</w:t>
      </w:r>
      <w:r w:rsidRPr="00F05E83">
        <w:rPr>
          <w:rFonts w:ascii="Traditional Arabic" w:hAnsi="Traditional Arabic"/>
          <w:sz w:val="32"/>
          <w:szCs w:val="32"/>
          <w:rtl/>
        </w:rPr>
        <w:t>ض حديثهم عن مسلك من مسالك</w:t>
      </w:r>
      <w:r>
        <w:rPr>
          <w:rFonts w:ascii="Traditional Arabic" w:hAnsi="Traditional Arabic"/>
          <w:sz w:val="32"/>
          <w:szCs w:val="32"/>
          <w:rtl/>
        </w:rPr>
        <w:t xml:space="preserve"> العلة، وهو </w:t>
      </w:r>
      <w:r>
        <w:rPr>
          <w:rFonts w:ascii="Traditional Arabic" w:hAnsi="Traditional Arabic" w:hint="cs"/>
          <w:sz w:val="32"/>
          <w:szCs w:val="32"/>
          <w:rtl/>
        </w:rPr>
        <w:t>"</w:t>
      </w:r>
      <w:r>
        <w:rPr>
          <w:rFonts w:ascii="Traditional Arabic" w:hAnsi="Traditional Arabic"/>
          <w:sz w:val="32"/>
          <w:szCs w:val="32"/>
          <w:rtl/>
        </w:rPr>
        <w:t>الدوران</w:t>
      </w:r>
      <w:r>
        <w:rPr>
          <w:rFonts w:ascii="Traditional Arabic" w:hAnsi="Traditional Arabic" w:hint="cs"/>
          <w:sz w:val="32"/>
          <w:szCs w:val="32"/>
          <w:rtl/>
        </w:rPr>
        <w:t>" الذي هو ترتُّب الحكم على الوصف وجودا وعدما، ويسميه بعض الأصوليين "الطرد والعكس"</w:t>
      </w:r>
      <w:r>
        <w:rPr>
          <w:rFonts w:ascii="Traditional Arabic" w:hAnsi="Traditional Arabic"/>
          <w:sz w:val="32"/>
          <w:szCs w:val="32"/>
          <w:rtl/>
        </w:rPr>
        <w:t xml:space="preserve">. انظر </w:t>
      </w:r>
      <w:r w:rsidRPr="00F05E83">
        <w:rPr>
          <w:rFonts w:ascii="Traditional Arabic" w:hAnsi="Traditional Arabic"/>
          <w:sz w:val="32"/>
          <w:szCs w:val="32"/>
          <w:rtl/>
        </w:rPr>
        <w:t xml:space="preserve">شرح الكوكب المنير (4/191-194). </w:t>
      </w:r>
    </w:p>
  </w:footnote>
  <w:footnote w:id="1562">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القواعد والضوابط الفقهية عند  ابن دقيق العيد من خلال كتابه إحكام الأحكام لياسر بن علي آل شويه القحطاني (260)</w:t>
      </w:r>
      <w:r>
        <w:rPr>
          <w:rFonts w:ascii="Traditional Arabic" w:hAnsi="Traditional Arabic" w:hint="cs"/>
          <w:sz w:val="32"/>
          <w:szCs w:val="32"/>
          <w:rtl/>
        </w:rPr>
        <w:t xml:space="preserve"> </w:t>
      </w:r>
      <w:r w:rsidRPr="00150BA1">
        <w:rPr>
          <w:rFonts w:ascii="Traditional Arabic" w:hAnsi="Traditional Arabic"/>
          <w:sz w:val="32"/>
          <w:szCs w:val="32"/>
          <w:rtl/>
        </w:rPr>
        <w:t>بتصرف.</w:t>
      </w:r>
    </w:p>
  </w:footnote>
  <w:footnote w:id="1563">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شرح منظومة أصول الفقه وقواعده (154)</w:t>
      </w:r>
      <w:r>
        <w:rPr>
          <w:rFonts w:ascii="Traditional Arabic" w:hAnsi="Traditional Arabic" w:hint="cs"/>
          <w:sz w:val="32"/>
          <w:szCs w:val="32"/>
          <w:rtl/>
        </w:rPr>
        <w:t xml:space="preserve"> </w:t>
      </w:r>
      <w:r w:rsidRPr="00150BA1">
        <w:rPr>
          <w:rFonts w:ascii="Traditional Arabic" w:hAnsi="Traditional Arabic"/>
          <w:sz w:val="32"/>
          <w:szCs w:val="32"/>
          <w:rtl/>
        </w:rPr>
        <w:t>بتصرف.</w:t>
      </w:r>
    </w:p>
  </w:footnote>
  <w:footnote w:id="1564">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منظومة القوا عد الفقهية وشرحها (46).</w:t>
      </w:r>
    </w:p>
  </w:footnote>
  <w:footnote w:id="1565">
    <w:p w:rsidR="000D3D21" w:rsidRPr="007F6027"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القواعد والأصول الجامعة (107-108)</w:t>
      </w:r>
      <w:r>
        <w:rPr>
          <w:rFonts w:ascii="Traditional Arabic" w:hAnsi="Traditional Arabic" w:hint="cs"/>
          <w:sz w:val="32"/>
          <w:szCs w:val="32"/>
          <w:rtl/>
        </w:rPr>
        <w:t xml:space="preserve"> </w:t>
      </w:r>
      <w:r w:rsidRPr="00150BA1">
        <w:rPr>
          <w:rFonts w:ascii="Traditional Arabic" w:hAnsi="Traditional Arabic"/>
          <w:sz w:val="32"/>
          <w:szCs w:val="32"/>
          <w:rtl/>
        </w:rPr>
        <w:t>بتصرف.</w:t>
      </w:r>
    </w:p>
  </w:footnote>
  <w:footnote w:id="1566">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انظر أحكام من القرآن الكريم (2/270، 272).</w:t>
      </w:r>
    </w:p>
  </w:footnote>
  <w:footnote w:id="1567">
    <w:p w:rsidR="000D3D21" w:rsidRPr="00150BA1" w:rsidRDefault="000D3D21" w:rsidP="009840EE">
      <w:pPr>
        <w:pStyle w:val="a7"/>
        <w:pageBreakBefore/>
        <w:rPr>
          <w:rFonts w:ascii="Traditional Arabic" w:hAnsi="Traditional Arabic"/>
          <w:sz w:val="32"/>
          <w:szCs w:val="32"/>
        </w:rPr>
      </w:pPr>
      <w:r w:rsidRPr="00C85F0F">
        <w:rPr>
          <w:rFonts w:ascii="Traditional Arabic" w:hAnsi="Traditional Arabic"/>
          <w:sz w:val="32"/>
          <w:szCs w:val="32"/>
          <w:rtl/>
        </w:rPr>
        <w:t>(</w:t>
      </w:r>
      <w:r w:rsidRPr="00C85F0F">
        <w:rPr>
          <w:rStyle w:val="af1"/>
          <w:rFonts w:ascii="Traditional Arabic" w:hAnsi="Traditional Arabic"/>
          <w:sz w:val="32"/>
          <w:szCs w:val="32"/>
          <w:vertAlign w:val="baseline"/>
          <w:rtl/>
        </w:rPr>
        <w:footnoteRef/>
      </w:r>
      <w:r w:rsidRPr="00C85F0F">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 xml:space="preserve">انظر تفسير سورة البقرة لابن عثيمين </w:t>
      </w:r>
      <w:r>
        <w:rPr>
          <w:rFonts w:ascii="Traditional Arabic" w:hAnsi="Traditional Arabic" w:hint="cs"/>
          <w:sz w:val="32"/>
          <w:szCs w:val="32"/>
          <w:rtl/>
        </w:rPr>
        <w:t>(3/79)</w:t>
      </w:r>
      <w:r w:rsidRPr="00150BA1">
        <w:rPr>
          <w:rFonts w:ascii="Traditional Arabic" w:hAnsi="Traditional Arabic"/>
          <w:sz w:val="32"/>
          <w:szCs w:val="32"/>
          <w:rtl/>
        </w:rPr>
        <w:t>.</w:t>
      </w:r>
    </w:p>
  </w:footnote>
  <w:footnote w:id="1568">
    <w:p w:rsidR="000D3D21" w:rsidRPr="000D1C6C"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انظر</w:t>
      </w:r>
      <w:r>
        <w:rPr>
          <w:rFonts w:ascii="Traditional Arabic" w:hAnsi="Traditional Arabic" w:hint="cs"/>
          <w:sz w:val="32"/>
          <w:szCs w:val="32"/>
          <w:rtl/>
        </w:rPr>
        <w:t>:</w:t>
      </w:r>
      <w:r w:rsidRPr="00150BA1">
        <w:rPr>
          <w:rFonts w:ascii="Traditional Arabic" w:hAnsi="Traditional Arabic"/>
          <w:sz w:val="32"/>
          <w:szCs w:val="32"/>
          <w:rtl/>
        </w:rPr>
        <w:t xml:space="preserve"> تفسير سورة البقرة لابن عثيمين </w:t>
      </w:r>
      <w:r>
        <w:rPr>
          <w:rFonts w:ascii="Traditional Arabic" w:hAnsi="Traditional Arabic" w:hint="cs"/>
          <w:sz w:val="32"/>
          <w:szCs w:val="32"/>
          <w:rtl/>
        </w:rPr>
        <w:t>(3/391-392)</w:t>
      </w:r>
      <w:r w:rsidRPr="00150BA1">
        <w:rPr>
          <w:rFonts w:ascii="Traditional Arabic" w:hAnsi="Traditional Arabic"/>
          <w:sz w:val="32"/>
          <w:szCs w:val="32"/>
          <w:rtl/>
        </w:rPr>
        <w:t xml:space="preserve">، وتيسير الكريم الرحمن </w:t>
      </w:r>
      <w:r>
        <w:rPr>
          <w:rFonts w:ascii="Traditional Arabic" w:hAnsi="Traditional Arabic" w:hint="cs"/>
          <w:sz w:val="32"/>
          <w:szCs w:val="32"/>
          <w:rtl/>
        </w:rPr>
        <w:t>لابن سعدي (117)</w:t>
      </w:r>
      <w:r w:rsidRPr="00150BA1">
        <w:rPr>
          <w:rFonts w:ascii="Traditional Arabic" w:hAnsi="Traditional Arabic"/>
          <w:sz w:val="32"/>
          <w:szCs w:val="32"/>
          <w:rtl/>
        </w:rPr>
        <w:t>.</w:t>
      </w:r>
    </w:p>
  </w:footnote>
  <w:footnote w:id="1569">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أي: على غير الذي في ذمته</w:t>
      </w:r>
      <w:r>
        <w:rPr>
          <w:rFonts w:ascii="Traditional Arabic" w:hAnsi="Traditional Arabic" w:hint="cs"/>
          <w:sz w:val="32"/>
          <w:szCs w:val="32"/>
          <w:rtl/>
        </w:rPr>
        <w:t>، وأما بيع الدين على من هو عليه فقد أجازه الشيخ _</w:t>
      </w:r>
      <w:r>
        <w:rPr>
          <w:rFonts w:ascii="Traditional Arabic" w:hAnsi="Traditional Arabic" w:cs="CTraditional Arabic" w:hint="cs"/>
          <w:rtl/>
        </w:rPr>
        <w:t>/</w:t>
      </w:r>
      <w:r>
        <w:rPr>
          <w:rFonts w:ascii="Traditional Arabic" w:hAnsi="Traditional Arabic" w:hint="cs"/>
          <w:sz w:val="32"/>
          <w:szCs w:val="32"/>
          <w:rtl/>
        </w:rPr>
        <w:t>_ بشرط أن يكون بسعر يومه وأن يتقابضا قبل التفرق فيما يُشترط فيه التقابض</w:t>
      </w:r>
      <w:r w:rsidRPr="00150BA1">
        <w:rPr>
          <w:rFonts w:ascii="Traditional Arabic" w:hAnsi="Traditional Arabic"/>
          <w:sz w:val="32"/>
          <w:szCs w:val="32"/>
          <w:rtl/>
        </w:rPr>
        <w:t>. انظر الشرح الممتع (</w:t>
      </w:r>
      <w:r>
        <w:rPr>
          <w:rFonts w:ascii="Traditional Arabic" w:hAnsi="Traditional Arabic" w:hint="cs"/>
          <w:sz w:val="32"/>
          <w:szCs w:val="32"/>
          <w:rtl/>
        </w:rPr>
        <w:t>8/378، 445</w:t>
      </w:r>
      <w:r w:rsidRPr="00150BA1">
        <w:rPr>
          <w:rFonts w:ascii="Traditional Arabic" w:hAnsi="Traditional Arabic"/>
          <w:sz w:val="32"/>
          <w:szCs w:val="32"/>
          <w:rtl/>
        </w:rPr>
        <w:t>).</w:t>
      </w:r>
    </w:p>
  </w:footnote>
  <w:footnote w:id="1570">
    <w:p w:rsidR="000D3D21" w:rsidRPr="00150BA1"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0BA1">
        <w:rPr>
          <w:rFonts w:ascii="Traditional Arabic" w:hAnsi="Traditional Arabic"/>
          <w:sz w:val="32"/>
          <w:szCs w:val="32"/>
          <w:rtl/>
        </w:rPr>
        <w:t>انظر الإ</w:t>
      </w:r>
      <w:r>
        <w:rPr>
          <w:rFonts w:ascii="Traditional Arabic" w:hAnsi="Traditional Arabic" w:hint="cs"/>
          <w:sz w:val="32"/>
          <w:szCs w:val="32"/>
          <w:rtl/>
        </w:rPr>
        <w:t>ن</w:t>
      </w:r>
      <w:r w:rsidRPr="00150BA1">
        <w:rPr>
          <w:rFonts w:ascii="Traditional Arabic" w:hAnsi="Traditional Arabic"/>
          <w:sz w:val="32"/>
          <w:szCs w:val="32"/>
          <w:rtl/>
        </w:rPr>
        <w:t>صاف للمرداوي (12/299).</w:t>
      </w:r>
    </w:p>
  </w:footnote>
  <w:footnote w:id="1571">
    <w:p w:rsidR="000D3D21" w:rsidRPr="006372D0"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372D0">
        <w:rPr>
          <w:rFonts w:ascii="Traditional Arabic" w:hAnsi="Traditional Arabic"/>
          <w:sz w:val="32"/>
          <w:szCs w:val="32"/>
          <w:rtl/>
        </w:rPr>
        <w:t>قال شيخ الإسلام ابن تيمية: ( ويجوز بيع الدين في الذمة من الغريم وغيره، ولا فرق بين دين السلم وغيره، وهو رواية</w:t>
      </w:r>
      <w:r>
        <w:rPr>
          <w:rFonts w:ascii="Traditional Arabic" w:hAnsi="Traditional Arabic" w:hint="cs"/>
          <w:sz w:val="32"/>
          <w:szCs w:val="32"/>
          <w:rtl/>
        </w:rPr>
        <w:t xml:space="preserve"> </w:t>
      </w:r>
      <w:r w:rsidRPr="006372D0">
        <w:rPr>
          <w:rFonts w:ascii="Traditional Arabic" w:hAnsi="Traditional Arabic"/>
          <w:sz w:val="32"/>
          <w:szCs w:val="32"/>
          <w:rtl/>
        </w:rPr>
        <w:t>أحمد، وقاله ابن عباس، لكن بقدر القيمة فقط؛ لئلا يربح فيما لم يضمن).</w:t>
      </w:r>
      <w:r>
        <w:rPr>
          <w:rFonts w:ascii="Traditional Arabic" w:hAnsi="Traditional Arabic" w:hint="cs"/>
          <w:sz w:val="32"/>
          <w:szCs w:val="32"/>
          <w:rtl/>
        </w:rPr>
        <w:t xml:space="preserve"> </w:t>
      </w:r>
      <w:r w:rsidRPr="006372D0">
        <w:rPr>
          <w:rFonts w:ascii="Traditional Arabic" w:hAnsi="Traditional Arabic"/>
          <w:sz w:val="32"/>
          <w:szCs w:val="32"/>
          <w:rtl/>
        </w:rPr>
        <w:t>الأخبار العلمية من الاختيارات الفقهية لشيخ ا</w:t>
      </w:r>
      <w:r>
        <w:rPr>
          <w:rFonts w:ascii="Traditional Arabic" w:hAnsi="Traditional Arabic"/>
          <w:sz w:val="32"/>
          <w:szCs w:val="32"/>
          <w:rtl/>
        </w:rPr>
        <w:t xml:space="preserve">لإسلام ابن تيمية لعلاء الدين </w:t>
      </w:r>
      <w:r>
        <w:rPr>
          <w:rFonts w:ascii="Traditional Arabic" w:hAnsi="Traditional Arabic" w:hint="cs"/>
          <w:sz w:val="32"/>
          <w:szCs w:val="32"/>
          <w:rtl/>
        </w:rPr>
        <w:t>ا</w:t>
      </w:r>
      <w:r>
        <w:rPr>
          <w:rFonts w:ascii="Traditional Arabic" w:hAnsi="Traditional Arabic"/>
          <w:sz w:val="32"/>
          <w:szCs w:val="32"/>
          <w:rtl/>
        </w:rPr>
        <w:t>لبعلي (193)</w:t>
      </w:r>
      <w:r>
        <w:rPr>
          <w:rFonts w:ascii="Traditional Arabic" w:hAnsi="Traditional Arabic" w:hint="cs"/>
          <w:sz w:val="32"/>
          <w:szCs w:val="32"/>
          <w:rtl/>
        </w:rPr>
        <w:t xml:space="preserve">، </w:t>
      </w:r>
      <w:r w:rsidRPr="006372D0">
        <w:rPr>
          <w:rFonts w:ascii="Traditional Arabic" w:hAnsi="Traditional Arabic"/>
          <w:sz w:val="32"/>
          <w:szCs w:val="32"/>
          <w:rtl/>
        </w:rPr>
        <w:t>وانظر الإنصاف للمرداوي (12/299).</w:t>
      </w:r>
    </w:p>
  </w:footnote>
  <w:footnote w:id="1572">
    <w:p w:rsidR="000D3D21" w:rsidRPr="006372D0"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372D0">
        <w:rPr>
          <w:rFonts w:ascii="Traditional Arabic" w:hAnsi="Traditional Arabic"/>
          <w:sz w:val="32"/>
          <w:szCs w:val="32"/>
          <w:rtl/>
        </w:rPr>
        <w:t>الشرح الممتع (8/444-445) بتصرف.</w:t>
      </w:r>
    </w:p>
  </w:footnote>
  <w:footnote w:id="1573">
    <w:p w:rsidR="000D3D21" w:rsidRPr="006372D0"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372D0">
        <w:rPr>
          <w:rFonts w:ascii="Traditional Arabic" w:hAnsi="Traditional Arabic"/>
          <w:sz w:val="32"/>
          <w:szCs w:val="32"/>
          <w:rtl/>
        </w:rPr>
        <w:t>انظر المرجع السابق (8/444).</w:t>
      </w:r>
    </w:p>
  </w:footnote>
  <w:footnote w:id="1574">
    <w:p w:rsidR="000D3D21" w:rsidRDefault="000D3D21" w:rsidP="003739DF">
      <w:pPr>
        <w:pStyle w:val="a7"/>
        <w:pageBreakBefore/>
        <w:rPr>
          <w:rFonts w:ascii="Traditional Arabic" w:hAnsi="Traditional Arabic"/>
          <w:noProof w:val="0"/>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noProof w:val="0"/>
          <w:sz w:val="32"/>
          <w:szCs w:val="32"/>
          <w:rtl/>
          <w:lang w:eastAsia="en-US"/>
        </w:rPr>
        <w:t>أخرجه البخاري في كتاب الاعتصام، باب ما يكره من كثرة السؤال وتكُّلف ما لايعنيه وقوله تعالى:</w:t>
      </w:r>
      <w:bookmarkStart w:id="316" w:name="سورة_المائدة_101_2"/>
    </w:p>
    <w:p w:rsidR="000D3D21" w:rsidRPr="006372D0" w:rsidRDefault="000D3D21" w:rsidP="003739DF">
      <w:pPr>
        <w:pStyle w:val="a7"/>
        <w:pageBreakBefore/>
        <w:rPr>
          <w:rFonts w:ascii="Traditional Arabic" w:hAnsi="Traditional Arabic"/>
          <w:sz w:val="32"/>
          <w:szCs w:val="32"/>
        </w:rPr>
      </w:pPr>
      <w:r>
        <w:rPr>
          <w:rFonts w:ascii="Traditional Arabic" w:hAnsi="Traditional Arabic" w:hint="cs"/>
          <w:noProof w:val="0"/>
          <w:sz w:val="32"/>
          <w:szCs w:val="32"/>
          <w:rtl/>
          <w:lang w:eastAsia="en-US"/>
        </w:rPr>
        <w:t xml:space="preserve">     </w:t>
      </w:r>
      <w:r>
        <w:rPr>
          <w:rFonts w:ascii="QCF_BSML" w:hAnsi="QCF_BSML" w:cs="QCF_BSML"/>
          <w:noProof w:val="0"/>
          <w:sz w:val="32"/>
          <w:szCs w:val="32"/>
          <w:rtl/>
          <w:lang w:eastAsia="en-US"/>
        </w:rPr>
        <w:t xml:space="preserve">ﭽ </w:t>
      </w:r>
      <w:r>
        <w:rPr>
          <w:rFonts w:ascii="QCF_P124" w:hAnsi="QCF_P124" w:cs="QCF_P124"/>
          <w:noProof w:val="0"/>
          <w:sz w:val="32"/>
          <w:szCs w:val="32"/>
          <w:rtl/>
          <w:lang w:eastAsia="en-US"/>
        </w:rPr>
        <w:t>ﮱﯓﯔﯕﯖﯗﯘﯙ</w:t>
      </w:r>
      <w:r>
        <w:rPr>
          <w:rFonts w:ascii="QCF_BSML" w:hAnsi="QCF_BSML" w:cs="QCF_BSML"/>
          <w:noProof w:val="0"/>
          <w:sz w:val="32"/>
          <w:szCs w:val="32"/>
          <w:rtl/>
          <w:lang w:eastAsia="en-US"/>
        </w:rPr>
        <w:t>ﭼ</w:t>
      </w:r>
      <w:bookmarkEnd w:id="316"/>
      <w:r>
        <w:rPr>
          <w:rFonts w:ascii="Traditional Arabic" w:hAnsi="Traditional Arabic"/>
          <w:noProof w:val="0"/>
          <w:color w:val="auto"/>
          <w:sz w:val="32"/>
          <w:szCs w:val="32"/>
          <w:rtl/>
          <w:lang w:eastAsia="en-US"/>
        </w:rPr>
        <w:t>[المائدة: ١٠١]،</w:t>
      </w:r>
      <w:r>
        <w:rPr>
          <w:rFonts w:ascii="Traditional Arabic" w:hAnsi="Traditional Arabic"/>
          <w:noProof w:val="0"/>
          <w:sz w:val="32"/>
          <w:szCs w:val="32"/>
          <w:rtl/>
          <w:lang w:eastAsia="en-US"/>
        </w:rPr>
        <w:t xml:space="preserve"> رقم الحديث (7292)، ومسلم في كتاب الأقضية، باب النهي عن كثرة المسائل من غير حاجة والنهي عن منع وهات وهو الامتناع من أداء حق لزمه أو طلب ما لا يستحق، رقم الحديث (1715) عن المغيرة بن شعبة وأبي هريرة _</w:t>
      </w:r>
      <w:r>
        <w:rPr>
          <w:rFonts w:ascii="Traditional Arabic" w:hAnsi="Traditional Arabic" w:cs="CTraditional Arabic" w:hint="cs"/>
          <w:noProof w:val="0"/>
          <w:color w:val="auto"/>
          <w:rtl/>
          <w:lang w:eastAsia="en-US"/>
        </w:rPr>
        <w:t>ي</w:t>
      </w:r>
      <w:r>
        <w:rPr>
          <w:rFonts w:ascii="Traditional Arabic" w:hAnsi="Traditional Arabic"/>
          <w:noProof w:val="0"/>
          <w:sz w:val="32"/>
          <w:szCs w:val="32"/>
          <w:rtl/>
          <w:lang w:eastAsia="en-US"/>
        </w:rPr>
        <w:t>ا_.</w:t>
      </w:r>
    </w:p>
  </w:footnote>
  <w:footnote w:id="1575">
    <w:p w:rsidR="000D3D21" w:rsidRPr="006372D0" w:rsidRDefault="000D3D21" w:rsidP="003E316B">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6372D0">
        <w:rPr>
          <w:rFonts w:ascii="Traditional Arabic" w:hAnsi="Traditional Arabic"/>
          <w:b/>
          <w:bCs/>
          <w:sz w:val="32"/>
          <w:szCs w:val="32"/>
          <w:rtl/>
        </w:rPr>
        <w:t>العلق</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العلق</w:instrText>
      </w:r>
      <w:r>
        <w:instrText xml:space="preserve">" </w:instrText>
      </w:r>
      <w:r w:rsidRPr="003E316B">
        <w:instrText>\fm</w:instrText>
      </w:r>
      <w:r w:rsidR="00AB0B9E">
        <w:rPr>
          <w:rFonts w:ascii="Traditional Arabic" w:hAnsi="Traditional Arabic"/>
          <w:b/>
          <w:bCs/>
          <w:sz w:val="32"/>
          <w:szCs w:val="32"/>
          <w:rtl/>
        </w:rPr>
        <w:fldChar w:fldCharType="end"/>
      </w:r>
      <w:r w:rsidRPr="006372D0">
        <w:rPr>
          <w:rFonts w:ascii="Traditional Arabic" w:hAnsi="Traditional Arabic"/>
          <w:b/>
          <w:bCs/>
          <w:sz w:val="32"/>
          <w:szCs w:val="32"/>
          <w:rtl/>
        </w:rPr>
        <w:t xml:space="preserve">: </w:t>
      </w:r>
      <w:r w:rsidRPr="006372D0">
        <w:rPr>
          <w:rFonts w:ascii="Traditional Arabic" w:hAnsi="Traditional Arabic"/>
          <w:noProof w:val="0"/>
          <w:sz w:val="32"/>
          <w:szCs w:val="32"/>
          <w:rtl/>
          <w:lang w:eastAsia="en-US"/>
        </w:rPr>
        <w:t>جمع علقة، وهو شيء أسود يشبه الدود يكون بالماء فإذا شربته الدابة تَعلَّق بِحَلْقِها.</w:t>
      </w:r>
      <w:r>
        <w:rPr>
          <w:rFonts w:ascii="Traditional Arabic" w:hAnsi="Traditional Arabic" w:hint="cs"/>
          <w:noProof w:val="0"/>
          <w:sz w:val="32"/>
          <w:szCs w:val="32"/>
          <w:rtl/>
          <w:lang w:eastAsia="en-US"/>
        </w:rPr>
        <w:t xml:space="preserve"> </w:t>
      </w:r>
      <w:r w:rsidRPr="006372D0">
        <w:rPr>
          <w:rFonts w:ascii="Traditional Arabic" w:hAnsi="Traditional Arabic"/>
          <w:noProof w:val="0"/>
          <w:sz w:val="32"/>
          <w:szCs w:val="32"/>
          <w:rtl/>
          <w:lang w:eastAsia="en-US"/>
        </w:rPr>
        <w:t>المصباح المنير  بتصرف</w:t>
      </w:r>
      <w:r>
        <w:rPr>
          <w:rFonts w:ascii="Traditional Arabic" w:hAnsi="Traditional Arabic" w:hint="cs"/>
          <w:noProof w:val="0"/>
          <w:sz w:val="32"/>
          <w:szCs w:val="32"/>
          <w:rtl/>
          <w:lang w:eastAsia="en-US"/>
        </w:rPr>
        <w:t xml:space="preserve"> (347)</w:t>
      </w:r>
      <w:r w:rsidRPr="006372D0">
        <w:rPr>
          <w:rFonts w:ascii="Traditional Arabic" w:hAnsi="Traditional Arabic"/>
          <w:noProof w:val="0"/>
          <w:sz w:val="32"/>
          <w:szCs w:val="32"/>
          <w:rtl/>
          <w:lang w:eastAsia="en-US"/>
        </w:rPr>
        <w:t>.</w:t>
      </w:r>
    </w:p>
  </w:footnote>
  <w:footnote w:id="1576">
    <w:p w:rsidR="000D3D21" w:rsidRPr="00B3614D"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372D0">
        <w:rPr>
          <w:rFonts w:ascii="Traditional Arabic" w:hAnsi="Traditional Arabic"/>
          <w:sz w:val="32"/>
          <w:szCs w:val="32"/>
          <w:rtl/>
        </w:rPr>
        <w:t>الشرح الممتع (8/118) بتصرف.</w:t>
      </w:r>
    </w:p>
  </w:footnote>
  <w:footnote w:id="1577">
    <w:p w:rsidR="000D3D21" w:rsidRPr="003B2216" w:rsidRDefault="000D3D21" w:rsidP="009840EE">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3B2216">
        <w:rPr>
          <w:rFonts w:ascii="Traditional Arabic" w:hAnsi="Traditional Arabic"/>
          <w:noProof w:val="0"/>
          <w:sz w:val="32"/>
          <w:szCs w:val="32"/>
          <w:rtl/>
          <w:lang w:eastAsia="en-US"/>
        </w:rPr>
        <w:t>أخرجه البخاري في كتاب</w:t>
      </w:r>
      <w:r>
        <w:rPr>
          <w:rFonts w:ascii="Traditional Arabic" w:hAnsi="Traditional Arabic" w:hint="cs"/>
          <w:noProof w:val="0"/>
          <w:sz w:val="32"/>
          <w:szCs w:val="32"/>
          <w:rtl/>
          <w:lang w:eastAsia="en-US"/>
        </w:rPr>
        <w:t xml:space="preserve"> </w:t>
      </w:r>
      <w:r w:rsidRPr="003B2216">
        <w:rPr>
          <w:rFonts w:ascii="Traditional Arabic" w:hAnsi="Traditional Arabic"/>
          <w:noProof w:val="0"/>
          <w:sz w:val="32"/>
          <w:szCs w:val="32"/>
          <w:rtl/>
          <w:lang w:eastAsia="en-US"/>
        </w:rPr>
        <w:t>اللباس، باب المتنمصات، حديث رقم (5939)، ومسلم في كتاب اللباس، باب تحريم فعل الواصلة والمستوصلة</w:t>
      </w:r>
      <w:r>
        <w:rPr>
          <w:rFonts w:ascii="Traditional Arabic" w:hAnsi="Traditional Arabic" w:hint="cs"/>
          <w:noProof w:val="0"/>
          <w:color w:val="auto"/>
          <w:sz w:val="32"/>
          <w:szCs w:val="32"/>
          <w:rtl/>
          <w:lang w:eastAsia="en-US"/>
        </w:rPr>
        <w:t xml:space="preserve"> </w:t>
      </w:r>
      <w:r w:rsidRPr="003B2216">
        <w:rPr>
          <w:rFonts w:ascii="Traditional Arabic" w:hAnsi="Traditional Arabic"/>
          <w:noProof w:val="0"/>
          <w:color w:val="auto"/>
          <w:sz w:val="32"/>
          <w:szCs w:val="32"/>
          <w:rtl/>
          <w:lang w:eastAsia="en-US"/>
        </w:rPr>
        <w:t xml:space="preserve">والواشمة والمستوشمة والنامصة والمتنمصة والمتفلجات والمغيرات خلق الله، </w:t>
      </w:r>
      <w:r w:rsidRPr="003B2216">
        <w:rPr>
          <w:rFonts w:ascii="Traditional Arabic" w:hAnsi="Traditional Arabic"/>
          <w:noProof w:val="0"/>
          <w:sz w:val="32"/>
          <w:szCs w:val="32"/>
          <w:rtl/>
          <w:lang w:eastAsia="en-US"/>
        </w:rPr>
        <w:t>رقم الحديث (2125) عن ابن مسعود رضي الله عنه واللفظ لمسلم إلا أنه ورد بلفظ الجمع</w:t>
      </w:r>
      <w:r>
        <w:rPr>
          <w:rFonts w:ascii="Traditional Arabic" w:hAnsi="Traditional Arabic" w:hint="cs"/>
          <w:noProof w:val="0"/>
          <w:sz w:val="32"/>
          <w:szCs w:val="32"/>
          <w:rtl/>
          <w:lang w:eastAsia="en-US"/>
        </w:rPr>
        <w:t xml:space="preserve"> </w:t>
      </w:r>
      <w:r w:rsidRPr="003B2216">
        <w:rPr>
          <w:rFonts w:ascii="Traditional Arabic" w:hAnsi="Traditional Arabic"/>
          <w:noProof w:val="0"/>
          <w:sz w:val="32"/>
          <w:szCs w:val="32"/>
          <w:rtl/>
          <w:lang w:eastAsia="en-US"/>
        </w:rPr>
        <w:t>( النامصات والمتنمصات).</w:t>
      </w:r>
    </w:p>
    <w:p w:rsidR="000D3D21" w:rsidRPr="003B2216" w:rsidRDefault="000D3D21" w:rsidP="003E316B">
      <w:pPr>
        <w:widowControl/>
        <w:autoSpaceDE w:val="0"/>
        <w:autoSpaceDN w:val="0"/>
        <w:adjustRightInd w:val="0"/>
        <w:ind w:firstLine="0"/>
        <w:jc w:val="left"/>
        <w:rPr>
          <w:rFonts w:ascii="Traditional Arabic" w:hAnsi="Traditional Arabic"/>
          <w:sz w:val="32"/>
          <w:szCs w:val="32"/>
        </w:rPr>
      </w:pPr>
      <w:r>
        <w:rPr>
          <w:rFonts w:ascii="Traditional Arabic" w:hAnsi="Traditional Arabic" w:hint="cs"/>
          <w:sz w:val="32"/>
          <w:szCs w:val="32"/>
          <w:rtl/>
        </w:rPr>
        <w:t xml:space="preserve">      </w:t>
      </w:r>
      <w:r w:rsidRPr="003B2216">
        <w:rPr>
          <w:rFonts w:ascii="Traditional Arabic" w:hAnsi="Traditional Arabic"/>
          <w:sz w:val="32"/>
          <w:szCs w:val="32"/>
          <w:rtl/>
        </w:rPr>
        <w:t>و</w:t>
      </w:r>
      <w:r w:rsidRPr="003B2216">
        <w:rPr>
          <w:rFonts w:ascii="Traditional Arabic" w:hAnsi="Traditional Arabic"/>
          <w:b/>
          <w:bCs/>
          <w:noProof w:val="0"/>
          <w:sz w:val="32"/>
          <w:szCs w:val="32"/>
          <w:rtl/>
          <w:lang w:eastAsia="en-US"/>
        </w:rPr>
        <w:t>النَّامِصة</w:t>
      </w:r>
      <w:r w:rsidR="00AB0B9E">
        <w:rPr>
          <w:rFonts w:ascii="Traditional Arabic" w:hAnsi="Traditional Arabic"/>
          <w:b/>
          <w:bCs/>
          <w:noProof w:val="0"/>
          <w:sz w:val="32"/>
          <w:szCs w:val="32"/>
          <w:rtl/>
          <w:lang w:eastAsia="en-US"/>
        </w:rPr>
        <w:fldChar w:fldCharType="begin"/>
      </w:r>
      <w:r>
        <w:instrText xml:space="preserve"> XE "</w:instrText>
      </w:r>
      <w:r w:rsidRPr="003E316B">
        <w:rPr>
          <w:rFonts w:ascii="Traditional Arabic" w:hAnsi="Traditional Arabic"/>
          <w:noProof w:val="0"/>
          <w:sz w:val="32"/>
          <w:szCs w:val="32"/>
          <w:rtl/>
          <w:lang w:eastAsia="en-US"/>
        </w:rPr>
        <w:instrText>النَّامِصة</w:instrText>
      </w:r>
      <w:r>
        <w:instrText xml:space="preserve">" </w:instrText>
      </w:r>
      <w:r w:rsidRPr="003E316B">
        <w:instrText>\fm</w:instrText>
      </w:r>
      <w:r w:rsidR="00AB0B9E">
        <w:rPr>
          <w:rFonts w:ascii="Traditional Arabic" w:hAnsi="Traditional Arabic"/>
          <w:b/>
          <w:bCs/>
          <w:noProof w:val="0"/>
          <w:sz w:val="32"/>
          <w:szCs w:val="32"/>
          <w:rtl/>
          <w:lang w:eastAsia="en-US"/>
        </w:rPr>
        <w:fldChar w:fldCharType="end"/>
      </w:r>
      <w:r w:rsidRPr="003B2216">
        <w:rPr>
          <w:rFonts w:ascii="Traditional Arabic" w:hAnsi="Traditional Arabic"/>
          <w:noProof w:val="0"/>
          <w:sz w:val="32"/>
          <w:szCs w:val="32"/>
          <w:rtl/>
          <w:lang w:eastAsia="en-US"/>
        </w:rPr>
        <w:t>: التي تَنْتِف الشَّعر من وجهها</w:t>
      </w:r>
      <w:r>
        <w:rPr>
          <w:rFonts w:ascii="Traditional Arabic" w:hAnsi="Traditional Arabic"/>
          <w:noProof w:val="0"/>
          <w:sz w:val="32"/>
          <w:szCs w:val="32"/>
          <w:rtl/>
          <w:lang w:eastAsia="en-US"/>
        </w:rPr>
        <w:t>.</w:t>
      </w:r>
      <w:r w:rsidRPr="003B2216">
        <w:rPr>
          <w:rFonts w:ascii="Traditional Arabic" w:hAnsi="Traditional Arabic"/>
          <w:b/>
          <w:bCs/>
          <w:noProof w:val="0"/>
          <w:sz w:val="32"/>
          <w:szCs w:val="32"/>
          <w:rtl/>
          <w:lang w:eastAsia="en-US"/>
        </w:rPr>
        <w:t>والمُتَنَمِّصة</w:t>
      </w:r>
      <w:r w:rsidR="00AB0B9E">
        <w:rPr>
          <w:rFonts w:ascii="Traditional Arabic" w:hAnsi="Traditional Arabic"/>
          <w:b/>
          <w:bCs/>
          <w:noProof w:val="0"/>
          <w:sz w:val="32"/>
          <w:szCs w:val="32"/>
          <w:rtl/>
          <w:lang w:eastAsia="en-US"/>
        </w:rPr>
        <w:fldChar w:fldCharType="begin"/>
      </w:r>
      <w:r>
        <w:instrText xml:space="preserve"> XE "</w:instrText>
      </w:r>
      <w:r w:rsidRPr="003E316B">
        <w:rPr>
          <w:rFonts w:ascii="Traditional Arabic" w:hAnsi="Traditional Arabic"/>
          <w:noProof w:val="0"/>
          <w:sz w:val="32"/>
          <w:szCs w:val="32"/>
          <w:rtl/>
          <w:lang w:eastAsia="en-US"/>
        </w:rPr>
        <w:instrText>المُتَنَمِّصة</w:instrText>
      </w:r>
      <w:r>
        <w:instrText xml:space="preserve">" </w:instrText>
      </w:r>
      <w:r w:rsidRPr="003E316B">
        <w:instrText>\fm</w:instrText>
      </w:r>
      <w:r w:rsidR="00AB0B9E">
        <w:rPr>
          <w:rFonts w:ascii="Traditional Arabic" w:hAnsi="Traditional Arabic"/>
          <w:b/>
          <w:bCs/>
          <w:noProof w:val="0"/>
          <w:sz w:val="32"/>
          <w:szCs w:val="32"/>
          <w:rtl/>
          <w:lang w:eastAsia="en-US"/>
        </w:rPr>
        <w:fldChar w:fldCharType="end"/>
      </w:r>
      <w:r w:rsidRPr="003B2216">
        <w:rPr>
          <w:rFonts w:ascii="Traditional Arabic" w:hAnsi="Traditional Arabic"/>
          <w:noProof w:val="0"/>
          <w:sz w:val="32"/>
          <w:szCs w:val="32"/>
          <w:rtl/>
          <w:lang w:eastAsia="en-US"/>
        </w:rPr>
        <w:t>: التي تأمُر مَن يفعل بها ذلك.</w:t>
      </w:r>
      <w:r>
        <w:rPr>
          <w:rFonts w:ascii="Traditional Arabic" w:hAnsi="Traditional Arabic" w:hint="cs"/>
          <w:noProof w:val="0"/>
          <w:sz w:val="32"/>
          <w:szCs w:val="32"/>
          <w:rtl/>
          <w:lang w:eastAsia="en-US"/>
        </w:rPr>
        <w:t xml:space="preserve"> </w:t>
      </w:r>
      <w:r w:rsidRPr="003B2216">
        <w:rPr>
          <w:rFonts w:ascii="Traditional Arabic" w:hAnsi="Traditional Arabic"/>
          <w:noProof w:val="0"/>
          <w:sz w:val="32"/>
          <w:szCs w:val="32"/>
          <w:rtl/>
          <w:lang w:eastAsia="en-US"/>
        </w:rPr>
        <w:t xml:space="preserve">النهاية غريب الحديث والأثر (5/119). </w:t>
      </w:r>
    </w:p>
  </w:footnote>
  <w:footnote w:id="1578">
    <w:p w:rsidR="000D3D21" w:rsidRPr="003B2216" w:rsidRDefault="000D3D21" w:rsidP="003E316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3B2216">
        <w:rPr>
          <w:rFonts w:ascii="Traditional Arabic" w:hAnsi="Traditional Arabic"/>
          <w:b/>
          <w:bCs/>
          <w:sz w:val="32"/>
          <w:szCs w:val="32"/>
          <w:rtl/>
        </w:rPr>
        <w:t>البواسير</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البواسير</w:instrText>
      </w:r>
      <w:r>
        <w:instrText xml:space="preserve">" </w:instrText>
      </w:r>
      <w:r w:rsidRPr="003E316B">
        <w:instrText>\fm</w:instrText>
      </w:r>
      <w:r w:rsidR="00AB0B9E">
        <w:rPr>
          <w:rFonts w:ascii="Traditional Arabic" w:hAnsi="Traditional Arabic"/>
          <w:b/>
          <w:bCs/>
          <w:sz w:val="32"/>
          <w:szCs w:val="32"/>
          <w:rtl/>
        </w:rPr>
        <w:fldChar w:fldCharType="end"/>
      </w:r>
      <w:r w:rsidRPr="003B2216">
        <w:rPr>
          <w:rFonts w:ascii="Traditional Arabic" w:hAnsi="Traditional Arabic"/>
          <w:b/>
          <w:bCs/>
          <w:sz w:val="32"/>
          <w:szCs w:val="32"/>
          <w:rtl/>
        </w:rPr>
        <w:t xml:space="preserve">: </w:t>
      </w:r>
      <w:r w:rsidRPr="003B2216">
        <w:rPr>
          <w:rFonts w:ascii="Traditional Arabic" w:hAnsi="Traditional Arabic"/>
          <w:sz w:val="32"/>
          <w:szCs w:val="32"/>
          <w:rtl/>
        </w:rPr>
        <w:t xml:space="preserve">جمع باسور، </w:t>
      </w:r>
      <w:r w:rsidRPr="003B2216">
        <w:rPr>
          <w:rFonts w:ascii="Traditional Arabic" w:hAnsi="Traditional Arabic"/>
          <w:noProof w:val="0"/>
          <w:sz w:val="32"/>
          <w:szCs w:val="32"/>
          <w:rtl/>
          <w:lang w:eastAsia="en-US"/>
        </w:rPr>
        <w:t>وهي علة تخرج من المقعدة.</w:t>
      </w:r>
      <w:r>
        <w:rPr>
          <w:rFonts w:ascii="Traditional Arabic" w:hAnsi="Traditional Arabic" w:hint="cs"/>
          <w:sz w:val="32"/>
          <w:szCs w:val="32"/>
          <w:rtl/>
        </w:rPr>
        <w:t xml:space="preserve"> </w:t>
      </w:r>
      <w:r w:rsidRPr="003B2216">
        <w:rPr>
          <w:rFonts w:ascii="Traditional Arabic" w:hAnsi="Traditional Arabic"/>
          <w:sz w:val="32"/>
          <w:szCs w:val="32"/>
          <w:rtl/>
        </w:rPr>
        <w:t>المطلع على أبواب المقنع (</w:t>
      </w:r>
      <w:r>
        <w:rPr>
          <w:rFonts w:ascii="Traditional Arabic" w:hAnsi="Traditional Arabic" w:hint="cs"/>
          <w:sz w:val="32"/>
          <w:szCs w:val="32"/>
          <w:rtl/>
        </w:rPr>
        <w:t>394</w:t>
      </w:r>
      <w:r w:rsidRPr="003B2216">
        <w:rPr>
          <w:rFonts w:ascii="Traditional Arabic" w:hAnsi="Traditional Arabic"/>
          <w:sz w:val="32"/>
          <w:szCs w:val="32"/>
          <w:rtl/>
        </w:rPr>
        <w:t>).</w:t>
      </w:r>
    </w:p>
  </w:footnote>
  <w:footnote w:id="1579">
    <w:p w:rsidR="000D3D21" w:rsidRPr="003B2216" w:rsidRDefault="000D3D21" w:rsidP="009840EE">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B2216">
        <w:rPr>
          <w:rFonts w:ascii="Traditional Arabic" w:hAnsi="Traditional Arabic"/>
          <w:sz w:val="32"/>
          <w:szCs w:val="32"/>
          <w:rtl/>
        </w:rPr>
        <w:t>الشرح الممتع (8/313) بتصرف.</w:t>
      </w:r>
    </w:p>
    <w:p w:rsidR="000D3D21" w:rsidRPr="00F410F9" w:rsidRDefault="000D3D21" w:rsidP="009840EE">
      <w:pPr>
        <w:pStyle w:val="a7"/>
        <w:pageBreakBefore/>
        <w:rPr>
          <w:rFonts w:ascii="Tahoma" w:hAnsi="Tahoma"/>
        </w:rPr>
      </w:pPr>
      <w:r>
        <w:rPr>
          <w:rFonts w:ascii="Traditional Arabic" w:hAnsi="Traditional Arabic" w:hint="cs"/>
          <w:sz w:val="32"/>
          <w:szCs w:val="32"/>
          <w:rtl/>
        </w:rPr>
        <w:t xml:space="preserve">     </w:t>
      </w:r>
      <w:r w:rsidRPr="003B2216">
        <w:rPr>
          <w:rFonts w:ascii="Traditional Arabic" w:hAnsi="Traditional Arabic"/>
          <w:sz w:val="32"/>
          <w:szCs w:val="32"/>
          <w:rtl/>
        </w:rPr>
        <w:t xml:space="preserve">هذا الفرع ذكره الشيخ ابن عثيمين </w:t>
      </w:r>
      <w:r>
        <w:rPr>
          <w:rFonts w:ascii="Traditional Arabic" w:hAnsi="Traditional Arabic" w:hint="cs"/>
          <w:sz w:val="32"/>
          <w:szCs w:val="32"/>
          <w:rtl/>
        </w:rPr>
        <w:t xml:space="preserve"> -</w:t>
      </w:r>
      <w:r>
        <w:rPr>
          <w:rFonts w:ascii="Traditional Arabic" w:hAnsi="Traditional Arabic" w:cs="CTraditional Arabic" w:hint="cs"/>
          <w:rtl/>
        </w:rPr>
        <w:t>/</w:t>
      </w:r>
      <w:r>
        <w:rPr>
          <w:rFonts w:ascii="Traditional Arabic" w:hAnsi="Traditional Arabic" w:hint="cs"/>
          <w:sz w:val="32"/>
          <w:szCs w:val="32"/>
          <w:rtl/>
        </w:rPr>
        <w:t xml:space="preserve"> -</w:t>
      </w:r>
      <w:r w:rsidRPr="003B2216">
        <w:rPr>
          <w:rFonts w:ascii="Traditional Arabic" w:hAnsi="Traditional Arabic"/>
          <w:sz w:val="32"/>
          <w:szCs w:val="32"/>
          <w:rtl/>
        </w:rPr>
        <w:t xml:space="preserve"> لما تطرق إلى خيار العيب وما يعدُّ عيبا يثبت به الخيار، فذكر أن فقد العضو أو السن الزائد ليس عيبا، وأن زيادة العضو عيب في ال</w:t>
      </w:r>
      <w:r>
        <w:rPr>
          <w:rFonts w:ascii="Traditional Arabic" w:hAnsi="Traditional Arabic"/>
          <w:sz w:val="32"/>
          <w:szCs w:val="32"/>
          <w:rtl/>
        </w:rPr>
        <w:t>غالب.</w:t>
      </w:r>
      <w:r>
        <w:rPr>
          <w:rFonts w:ascii="Traditional Arabic" w:hAnsi="Traditional Arabic" w:hint="cs"/>
          <w:sz w:val="32"/>
          <w:szCs w:val="32"/>
          <w:rtl/>
        </w:rPr>
        <w:t xml:space="preserve"> </w:t>
      </w:r>
      <w:r>
        <w:rPr>
          <w:rFonts w:ascii="Traditional Arabic" w:hAnsi="Traditional Arabic"/>
          <w:sz w:val="32"/>
          <w:szCs w:val="32"/>
          <w:rtl/>
        </w:rPr>
        <w:t>انظر المرجع السابق (8/312)</w:t>
      </w:r>
      <w:r>
        <w:rPr>
          <w:rFonts w:ascii="Traditional Arabic" w:hAnsi="Traditional Arabic" w:hint="cs"/>
          <w:sz w:val="32"/>
          <w:szCs w:val="32"/>
          <w:rtl/>
        </w:rPr>
        <w:t>.</w:t>
      </w:r>
    </w:p>
  </w:footnote>
  <w:footnote w:id="1580">
    <w:p w:rsidR="000D3D21" w:rsidRPr="00D5149C"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D5149C">
        <w:rPr>
          <w:rFonts w:ascii="Traditional Arabic" w:hAnsi="Traditional Arabic"/>
          <w:sz w:val="32"/>
          <w:szCs w:val="32"/>
          <w:rtl/>
        </w:rPr>
        <w:t xml:space="preserve"> (8/313).</w:t>
      </w:r>
    </w:p>
  </w:footnote>
  <w:footnote w:id="1581">
    <w:p w:rsidR="000D3D21" w:rsidRPr="00D5149C"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D5149C">
        <w:rPr>
          <w:rFonts w:ascii="Traditional Arabic" w:hAnsi="Traditional Arabic"/>
          <w:sz w:val="32"/>
          <w:szCs w:val="32"/>
          <w:rtl/>
        </w:rPr>
        <w:t xml:space="preserve"> (9/296-300).</w:t>
      </w:r>
    </w:p>
  </w:footnote>
  <w:footnote w:id="1582">
    <w:p w:rsidR="000D3D21" w:rsidRPr="00D5149C" w:rsidRDefault="000D3D21" w:rsidP="009840E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انظر </w:t>
      </w:r>
      <w:r>
        <w:rPr>
          <w:rFonts w:ascii="Traditional Arabic" w:hAnsi="Traditional Arabic" w:hint="cs"/>
          <w:sz w:val="32"/>
          <w:szCs w:val="32"/>
          <w:rtl/>
        </w:rPr>
        <w:t>الشرح الممتع</w:t>
      </w:r>
      <w:r w:rsidRPr="00D5149C">
        <w:rPr>
          <w:rFonts w:ascii="Traditional Arabic" w:hAnsi="Traditional Arabic"/>
          <w:sz w:val="32"/>
          <w:szCs w:val="32"/>
          <w:rtl/>
        </w:rPr>
        <w:t xml:space="preserve"> (9/300).</w:t>
      </w:r>
    </w:p>
  </w:footnote>
  <w:footnote w:id="1583">
    <w:p w:rsidR="000D3D21" w:rsidRPr="0085257E" w:rsidRDefault="000D3D21" w:rsidP="009840EE">
      <w:pPr>
        <w:pStyle w:val="a7"/>
        <w:pageBreakBefore/>
        <w:rPr>
          <w:rFonts w:ascii="Tahoma" w:hAnsi="Tahoma"/>
          <w:sz w:val="32"/>
          <w:szCs w:val="32"/>
        </w:rPr>
      </w:pPr>
      <w:r w:rsidRPr="0085257E">
        <w:rPr>
          <w:rFonts w:ascii="Tahoma" w:hAnsi="Tahoma"/>
          <w:sz w:val="32"/>
          <w:szCs w:val="32"/>
          <w:rtl/>
        </w:rPr>
        <w:t>(</w:t>
      </w:r>
      <w:r w:rsidRPr="0085257E">
        <w:rPr>
          <w:rStyle w:val="af1"/>
          <w:rFonts w:ascii="Tahoma" w:hAnsi="Tahoma"/>
          <w:sz w:val="32"/>
          <w:szCs w:val="32"/>
          <w:vertAlign w:val="baseline"/>
          <w:rtl/>
        </w:rPr>
        <w:footnoteRef/>
      </w:r>
      <w:r w:rsidRPr="0085257E">
        <w:rPr>
          <w:rFonts w:ascii="Tahoma" w:hAnsi="Tahoma"/>
          <w:sz w:val="32"/>
          <w:szCs w:val="32"/>
          <w:rtl/>
        </w:rPr>
        <w:t>)</w:t>
      </w:r>
      <w:r w:rsidRPr="0085257E">
        <w:rPr>
          <w:rFonts w:ascii="Tahoma" w:hAnsi="Tahoma" w:hint="cs"/>
          <w:sz w:val="32"/>
          <w:szCs w:val="32"/>
          <w:rtl/>
        </w:rPr>
        <w:t xml:space="preserve"> انظر فتح ذي الجلال والإكرام (3/621).</w:t>
      </w:r>
    </w:p>
  </w:footnote>
  <w:footnote w:id="1584">
    <w:p w:rsidR="000D3D21" w:rsidRPr="0085257E" w:rsidRDefault="000D3D21" w:rsidP="009840EE">
      <w:pPr>
        <w:pStyle w:val="a7"/>
        <w:pageBreakBefore/>
        <w:rPr>
          <w:rFonts w:ascii="Tahoma" w:hAnsi="Tahoma"/>
          <w:sz w:val="32"/>
          <w:szCs w:val="32"/>
        </w:rPr>
      </w:pPr>
      <w:r w:rsidRPr="0085257E">
        <w:rPr>
          <w:rFonts w:ascii="Tahoma" w:hAnsi="Tahoma"/>
          <w:sz w:val="32"/>
          <w:szCs w:val="32"/>
          <w:rtl/>
        </w:rPr>
        <w:t>(</w:t>
      </w:r>
      <w:r w:rsidRPr="0085257E">
        <w:rPr>
          <w:rStyle w:val="af1"/>
          <w:rFonts w:ascii="Tahoma" w:hAnsi="Tahoma"/>
          <w:sz w:val="32"/>
          <w:szCs w:val="32"/>
          <w:vertAlign w:val="baseline"/>
          <w:rtl/>
        </w:rPr>
        <w:footnoteRef/>
      </w:r>
      <w:r w:rsidRPr="0085257E">
        <w:rPr>
          <w:rFonts w:ascii="Tahoma" w:hAnsi="Tahoma"/>
          <w:sz w:val="32"/>
          <w:szCs w:val="32"/>
          <w:rtl/>
        </w:rPr>
        <w:t>)</w:t>
      </w:r>
      <w:r>
        <w:rPr>
          <w:rFonts w:ascii="Tahoma" w:hAnsi="Tahoma" w:hint="cs"/>
          <w:sz w:val="32"/>
          <w:szCs w:val="32"/>
          <w:rtl/>
        </w:rPr>
        <w:t xml:space="preserve"> انظر المرجع السابق</w:t>
      </w:r>
      <w:r w:rsidRPr="0085257E">
        <w:rPr>
          <w:rFonts w:ascii="Tahoma" w:hAnsi="Tahoma" w:hint="cs"/>
          <w:sz w:val="32"/>
          <w:szCs w:val="32"/>
          <w:rtl/>
        </w:rPr>
        <w:t xml:space="preserve"> (3/621).</w:t>
      </w:r>
    </w:p>
  </w:footnote>
  <w:footnote w:id="1585">
    <w:p w:rsidR="000D3D21" w:rsidRPr="00D5149C" w:rsidRDefault="000D3D21" w:rsidP="009840E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العقد الثمين </w:t>
      </w:r>
      <w:r>
        <w:rPr>
          <w:rFonts w:ascii="Traditional Arabic" w:hAnsi="Traditional Arabic" w:hint="cs"/>
          <w:sz w:val="32"/>
          <w:szCs w:val="32"/>
          <w:rtl/>
        </w:rPr>
        <w:t xml:space="preserve">في شرح منظومة الشيخ ابن عثيمين في أصول الفقه وقواعده </w:t>
      </w:r>
      <w:r>
        <w:rPr>
          <w:rFonts w:ascii="Traditional Arabic" w:hAnsi="Traditional Arabic"/>
          <w:sz w:val="32"/>
          <w:szCs w:val="32"/>
          <w:rtl/>
        </w:rPr>
        <w:t xml:space="preserve">لخالد </w:t>
      </w:r>
      <w:r>
        <w:rPr>
          <w:rFonts w:ascii="Traditional Arabic" w:hAnsi="Traditional Arabic" w:hint="cs"/>
          <w:sz w:val="32"/>
          <w:szCs w:val="32"/>
          <w:rtl/>
        </w:rPr>
        <w:t xml:space="preserve">بن علي </w:t>
      </w:r>
      <w:r>
        <w:rPr>
          <w:rFonts w:ascii="Traditional Arabic" w:hAnsi="Traditional Arabic"/>
          <w:sz w:val="32"/>
          <w:szCs w:val="32"/>
          <w:rtl/>
        </w:rPr>
        <w:t>المشيقح</w:t>
      </w:r>
      <w:r w:rsidRPr="00D5149C">
        <w:rPr>
          <w:rFonts w:ascii="Traditional Arabic" w:hAnsi="Traditional Arabic"/>
          <w:sz w:val="32"/>
          <w:szCs w:val="32"/>
          <w:rtl/>
        </w:rPr>
        <w:t xml:space="preserve"> </w:t>
      </w:r>
      <w:r>
        <w:rPr>
          <w:rFonts w:ascii="Traditional Arabic" w:hAnsi="Traditional Arabic" w:hint="cs"/>
          <w:sz w:val="32"/>
          <w:szCs w:val="32"/>
          <w:rtl/>
        </w:rPr>
        <w:t xml:space="preserve">(141-142) </w:t>
      </w:r>
      <w:r w:rsidRPr="00D5149C">
        <w:rPr>
          <w:rFonts w:ascii="Traditional Arabic" w:hAnsi="Traditional Arabic"/>
          <w:sz w:val="32"/>
          <w:szCs w:val="32"/>
          <w:rtl/>
        </w:rPr>
        <w:t>بتصرف.</w:t>
      </w:r>
      <w:r>
        <w:rPr>
          <w:rFonts w:ascii="Traditional Arabic" w:hAnsi="Traditional Arabic" w:hint="cs"/>
          <w:sz w:val="32"/>
          <w:szCs w:val="32"/>
          <w:rtl/>
        </w:rPr>
        <w:t xml:space="preserve"> وانظر القواعد الفقهية وتطبيقاتها في المذاهب الأربعة (2/879-880).</w:t>
      </w:r>
    </w:p>
  </w:footnote>
  <w:footnote w:id="1586">
    <w:p w:rsidR="000D3D21" w:rsidRPr="00D712E1" w:rsidRDefault="000D3D21" w:rsidP="003E316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712E1">
        <w:rPr>
          <w:rFonts w:ascii="Traditional Arabic" w:hAnsi="Traditional Arabic"/>
          <w:b/>
          <w:bCs/>
          <w:sz w:val="32"/>
          <w:szCs w:val="32"/>
          <w:rtl/>
        </w:rPr>
        <w:t>الرمل</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الرمل</w:instrText>
      </w:r>
      <w:r>
        <w:instrText xml:space="preserve">" </w:instrText>
      </w:r>
      <w:r w:rsidRPr="003E316B">
        <w:instrText>\fm</w:instrText>
      </w:r>
      <w:r w:rsidR="00AB0B9E">
        <w:rPr>
          <w:rFonts w:ascii="Traditional Arabic" w:hAnsi="Traditional Arabic"/>
          <w:b/>
          <w:bCs/>
          <w:sz w:val="32"/>
          <w:szCs w:val="32"/>
          <w:rtl/>
        </w:rPr>
        <w:fldChar w:fldCharType="end"/>
      </w:r>
      <w:r w:rsidRPr="00D712E1">
        <w:rPr>
          <w:rFonts w:ascii="Traditional Arabic" w:hAnsi="Traditional Arabic"/>
          <w:b/>
          <w:bCs/>
          <w:sz w:val="32"/>
          <w:szCs w:val="32"/>
          <w:rtl/>
        </w:rPr>
        <w:t>:</w:t>
      </w:r>
      <w:r w:rsidRPr="00D712E1">
        <w:rPr>
          <w:rFonts w:ascii="Traditional Arabic" w:hAnsi="Traditional Arabic"/>
          <w:sz w:val="32"/>
          <w:szCs w:val="32"/>
          <w:rtl/>
        </w:rPr>
        <w:t xml:space="preserve"> مصدر رمل يرمُل رَملَاً، إذا أسرع في المشي وهزَّ منكبيه. النهاية في غريب الحديث والأثر (2/265)</w:t>
      </w:r>
      <w:r>
        <w:rPr>
          <w:rFonts w:ascii="Traditional Arabic" w:hAnsi="Traditional Arabic" w:hint="cs"/>
          <w:sz w:val="32"/>
          <w:szCs w:val="32"/>
          <w:rtl/>
        </w:rPr>
        <w:t xml:space="preserve"> بتصرف</w:t>
      </w:r>
      <w:r w:rsidRPr="00D712E1">
        <w:rPr>
          <w:rFonts w:ascii="Traditional Arabic" w:hAnsi="Traditional Arabic"/>
          <w:sz w:val="32"/>
          <w:szCs w:val="32"/>
          <w:rtl/>
        </w:rPr>
        <w:t>.</w:t>
      </w:r>
    </w:p>
  </w:footnote>
  <w:footnote w:id="1587">
    <w:p w:rsidR="000D3D21" w:rsidRPr="00D712E1" w:rsidRDefault="000D3D21" w:rsidP="00EA2BD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وذلك عندما قال المشركون</w:t>
      </w:r>
      <w:r>
        <w:rPr>
          <w:rFonts w:ascii="Traditional Arabic" w:hAnsi="Traditional Arabic" w:hint="cs"/>
          <w:noProof w:val="0"/>
          <w:sz w:val="32"/>
          <w:szCs w:val="32"/>
          <w:rtl/>
          <w:lang w:eastAsia="en-US"/>
        </w:rPr>
        <w:t>:</w:t>
      </w:r>
      <w:r w:rsidRPr="00D712E1">
        <w:rPr>
          <w:rFonts w:ascii="Traditional Arabic" w:hAnsi="Traditional Arabic"/>
          <w:noProof w:val="0"/>
          <w:sz w:val="32"/>
          <w:szCs w:val="32"/>
          <w:rtl/>
          <w:lang w:eastAsia="en-US"/>
        </w:rPr>
        <w:t xml:space="preserve"> يقدم عليكم قوم قد</w:t>
      </w:r>
      <w:r>
        <w:rPr>
          <w:rFonts w:ascii="Traditional Arabic" w:hAnsi="Traditional Arabic"/>
          <w:noProof w:val="0"/>
          <w:sz w:val="32"/>
          <w:szCs w:val="32"/>
          <w:rtl/>
          <w:lang w:eastAsia="en-US"/>
        </w:rPr>
        <w:t xml:space="preserve"> وهنتهم حمى يثرب فأمرهم النبي </w:t>
      </w:r>
      <w:r>
        <w:rPr>
          <w:rFonts w:ascii="Traditional Arabic" w:hAnsi="Traditional Arabic" w:cs="CTraditional Arabic" w:hint="cs"/>
          <w:noProof w:val="0"/>
          <w:color w:val="auto"/>
          <w:rtl/>
          <w:lang w:eastAsia="en-US"/>
        </w:rPr>
        <w:t xml:space="preserve">غ </w:t>
      </w:r>
      <w:r w:rsidRPr="00D712E1">
        <w:rPr>
          <w:rFonts w:ascii="Traditional Arabic" w:hAnsi="Traditional Arabic"/>
          <w:noProof w:val="0"/>
          <w:sz w:val="32"/>
          <w:szCs w:val="32"/>
          <w:rtl/>
          <w:lang w:eastAsia="en-US"/>
        </w:rPr>
        <w:t>أن يرملوا الأشواط الثلاثة</w:t>
      </w:r>
      <w:r>
        <w:rPr>
          <w:rFonts w:ascii="Traditional Arabic" w:hAnsi="Traditional Arabic"/>
          <w:noProof w:val="0"/>
          <w:sz w:val="32"/>
          <w:szCs w:val="32"/>
          <w:rtl/>
          <w:lang w:eastAsia="en-US"/>
        </w:rPr>
        <w:t>.</w:t>
      </w:r>
      <w:r>
        <w:rPr>
          <w:rFonts w:ascii="Traditional Arabic" w:hAnsi="Traditional Arabic" w:hint="cs"/>
          <w:noProof w:val="0"/>
          <w:sz w:val="32"/>
          <w:szCs w:val="32"/>
          <w:rtl/>
          <w:lang w:eastAsia="en-US"/>
        </w:rPr>
        <w:t xml:space="preserve">والحديث </w:t>
      </w:r>
      <w:r w:rsidRPr="00D712E1">
        <w:rPr>
          <w:rFonts w:ascii="Traditional Arabic" w:hAnsi="Traditional Arabic"/>
          <w:noProof w:val="0"/>
          <w:sz w:val="32"/>
          <w:szCs w:val="32"/>
          <w:rtl/>
          <w:lang w:eastAsia="en-US"/>
        </w:rPr>
        <w:t>أخرجه البخاري في كتاب الحج، باب كيف كان بدء الرمل، رقم الحديث (1602) ومسلم قي كتاب الحج، باب استحباب الرمل في الطواف</w:t>
      </w:r>
      <w:r>
        <w:rPr>
          <w:rFonts w:ascii="Traditional Arabic" w:hAnsi="Traditional Arabic"/>
          <w:noProof w:val="0"/>
          <w:sz w:val="32"/>
          <w:szCs w:val="32"/>
          <w:rtl/>
          <w:lang w:eastAsia="en-US"/>
        </w:rPr>
        <w:t xml:space="preserve"> و</w:t>
      </w:r>
      <w:r w:rsidRPr="00D712E1">
        <w:rPr>
          <w:rFonts w:ascii="Traditional Arabic" w:hAnsi="Traditional Arabic"/>
          <w:noProof w:val="0"/>
          <w:sz w:val="32"/>
          <w:szCs w:val="32"/>
          <w:rtl/>
          <w:lang w:eastAsia="en-US"/>
        </w:rPr>
        <w:t xml:space="preserve">العمرة، وفي الطواف الأول من الحج، رقم الحديث (1264) عن ابن عباس </w:t>
      </w:r>
      <w:r>
        <w:rPr>
          <w:rFonts w:ascii="Traditional Arabic" w:hAnsi="Traditional Arabic" w:hint="cs"/>
          <w:noProof w:val="0"/>
          <w:sz w:val="32"/>
          <w:szCs w:val="32"/>
          <w:rtl/>
          <w:lang w:eastAsia="en-US"/>
        </w:rPr>
        <w:t>_</w:t>
      </w:r>
      <w:r>
        <w:rPr>
          <w:rFonts w:ascii="Traditional Arabic" w:hAnsi="Traditional Arabic" w:cs="CTraditional Arabic" w:hint="cs"/>
          <w:noProof w:val="0"/>
          <w:color w:val="auto"/>
          <w:rtl/>
          <w:lang w:eastAsia="en-US"/>
        </w:rPr>
        <w:t>ي</w:t>
      </w:r>
      <w:r w:rsidRPr="00D712E1">
        <w:rPr>
          <w:rFonts w:ascii="Traditional Arabic" w:hAnsi="Traditional Arabic"/>
          <w:noProof w:val="0"/>
          <w:sz w:val="32"/>
          <w:szCs w:val="32"/>
          <w:rtl/>
          <w:lang w:eastAsia="en-US"/>
        </w:rPr>
        <w:t>ا</w:t>
      </w:r>
      <w:r>
        <w:rPr>
          <w:rFonts w:ascii="Traditional Arabic" w:hAnsi="Traditional Arabic" w:hint="cs"/>
          <w:noProof w:val="0"/>
          <w:sz w:val="32"/>
          <w:szCs w:val="32"/>
          <w:rtl/>
          <w:lang w:eastAsia="en-US"/>
        </w:rPr>
        <w:t>_</w:t>
      </w:r>
      <w:r w:rsidRPr="00D712E1">
        <w:rPr>
          <w:rFonts w:ascii="Traditional Arabic" w:hAnsi="Traditional Arabic"/>
          <w:noProof w:val="0"/>
          <w:sz w:val="32"/>
          <w:szCs w:val="32"/>
          <w:rtl/>
          <w:lang w:eastAsia="en-US"/>
        </w:rPr>
        <w:t>.</w:t>
      </w:r>
    </w:p>
  </w:footnote>
  <w:footnote w:id="1588">
    <w:p w:rsidR="000D3D21" w:rsidRPr="00D5149C" w:rsidRDefault="000D3D21" w:rsidP="00EA2BD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712E1">
        <w:rPr>
          <w:rFonts w:ascii="Traditional Arabic" w:hAnsi="Traditional Arabic"/>
          <w:sz w:val="32"/>
          <w:szCs w:val="32"/>
          <w:rtl/>
        </w:rPr>
        <w:t xml:space="preserve"> انظر صحيح </w:t>
      </w:r>
      <w:r w:rsidRPr="00D712E1">
        <w:rPr>
          <w:rFonts w:ascii="Traditional Arabic" w:hAnsi="Traditional Arabic"/>
          <w:noProof w:val="0"/>
          <w:sz w:val="32"/>
          <w:szCs w:val="32"/>
          <w:rtl/>
          <w:lang w:eastAsia="en-US"/>
        </w:rPr>
        <w:t>مسلم</w:t>
      </w:r>
      <w:r>
        <w:rPr>
          <w:rFonts w:ascii="Traditional Arabic" w:hAnsi="Traditional Arabic" w:hint="cs"/>
          <w:noProof w:val="0"/>
          <w:sz w:val="32"/>
          <w:szCs w:val="32"/>
          <w:rtl/>
          <w:lang w:eastAsia="en-US"/>
        </w:rPr>
        <w:t>:</w:t>
      </w:r>
      <w:r w:rsidRPr="00D712E1">
        <w:rPr>
          <w:rFonts w:ascii="Traditional Arabic" w:hAnsi="Traditional Arabic"/>
          <w:noProof w:val="0"/>
          <w:sz w:val="32"/>
          <w:szCs w:val="32"/>
          <w:rtl/>
          <w:lang w:eastAsia="en-US"/>
        </w:rPr>
        <w:t xml:space="preserve"> كتاب الحج، باب حجة النبي </w:t>
      </w:r>
      <w:r>
        <w:rPr>
          <w:rFonts w:ascii="Traditional Arabic" w:hAnsi="Traditional Arabic" w:cs="CTraditional Arabic" w:hint="cs"/>
          <w:noProof w:val="0"/>
          <w:color w:val="auto"/>
          <w:rtl/>
          <w:lang w:eastAsia="en-US"/>
        </w:rPr>
        <w:t>غ</w:t>
      </w:r>
      <w:r w:rsidRPr="00D712E1">
        <w:rPr>
          <w:rFonts w:ascii="Traditional Arabic" w:hAnsi="Traditional Arabic"/>
          <w:noProof w:val="0"/>
          <w:sz w:val="32"/>
          <w:szCs w:val="32"/>
          <w:rtl/>
          <w:lang w:eastAsia="en-US"/>
        </w:rPr>
        <w:t>، رقم الحديث (1218) عن جابر بن عبد الله</w:t>
      </w:r>
      <w:r>
        <w:rPr>
          <w:rFonts w:ascii="Traditional Arabic" w:hAnsi="Traditional Arabic" w:hint="cs"/>
          <w:noProof w:val="0"/>
          <w:sz w:val="32"/>
          <w:szCs w:val="32"/>
          <w:rtl/>
          <w:lang w:eastAsia="en-US"/>
        </w:rPr>
        <w:t>_</w:t>
      </w:r>
      <w:r w:rsidRPr="00D712E1">
        <w:rPr>
          <w:rFonts w:ascii="Traditional Arabic" w:hAnsi="Traditional Arabic"/>
          <w:noProof w:val="0"/>
          <w:sz w:val="32"/>
          <w:szCs w:val="32"/>
          <w:rtl/>
          <w:lang w:eastAsia="en-US"/>
        </w:rPr>
        <w:t xml:space="preserve"> </w:t>
      </w:r>
      <w:r>
        <w:rPr>
          <w:rFonts w:ascii="Traditional Arabic" w:hAnsi="Traditional Arabic" w:cs="CTraditional Arabic" w:hint="cs"/>
          <w:noProof w:val="0"/>
          <w:color w:val="auto"/>
          <w:rtl/>
          <w:lang w:eastAsia="en-US"/>
        </w:rPr>
        <w:t>ب</w:t>
      </w:r>
      <w:r>
        <w:rPr>
          <w:rFonts w:ascii="Traditional Arabic" w:hAnsi="Traditional Arabic" w:hint="cs"/>
          <w:noProof w:val="0"/>
          <w:sz w:val="32"/>
          <w:szCs w:val="32"/>
          <w:rtl/>
          <w:lang w:eastAsia="en-US"/>
        </w:rPr>
        <w:t>_</w:t>
      </w:r>
      <w:r w:rsidRPr="00D712E1">
        <w:rPr>
          <w:rFonts w:ascii="Traditional Arabic" w:hAnsi="Traditional Arabic"/>
          <w:noProof w:val="0"/>
          <w:sz w:val="32"/>
          <w:szCs w:val="32"/>
          <w:rtl/>
          <w:lang w:eastAsia="en-US"/>
        </w:rPr>
        <w:t>.</w:t>
      </w:r>
    </w:p>
  </w:footnote>
  <w:footnote w:id="1589">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BD12A9">
        <w:rPr>
          <w:rFonts w:ascii="Traditional Arabic" w:hAnsi="Traditional Arabic"/>
          <w:sz w:val="32"/>
          <w:szCs w:val="32"/>
          <w:rtl/>
        </w:rPr>
        <w:t xml:space="preserve"> اخترت هذه الصيغة لتصريحها بالأصل في حق الآدمي، وهو عدم سقوطه، كما أن في هذه الصيغة ذِكرَ ما يخرج عن هذا الأصل، وهو ما إذا ثبت ما يدل على رضا الإنسان بإسقاط حقه، فإنه يسقط حينئذ. </w:t>
      </w:r>
    </w:p>
  </w:footnote>
  <w:footnote w:id="1590">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الشرح الممتع (9/13).</w:t>
      </w:r>
    </w:p>
  </w:footnote>
  <w:footnote w:id="1591">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المرجع السابق (9/127)، وانظر فتح ذي الجلال والإكرام (4/5).</w:t>
      </w:r>
    </w:p>
  </w:footnote>
  <w:footnote w:id="1592">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BD12A9">
        <w:rPr>
          <w:rFonts w:ascii="Traditional Arabic" w:hAnsi="Traditional Arabic"/>
          <w:sz w:val="32"/>
          <w:szCs w:val="32"/>
          <w:rtl/>
        </w:rPr>
        <w:t xml:space="preserve"> (9/295) بتصرف.</w:t>
      </w:r>
    </w:p>
  </w:footnote>
  <w:footnote w:id="1593">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المرجع السابق (10/250).</w:t>
      </w:r>
    </w:p>
  </w:footnote>
  <w:footnote w:id="1594">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تفسير سورة النساء (1/215).</w:t>
      </w:r>
    </w:p>
  </w:footnote>
  <w:footnote w:id="1595">
    <w:p w:rsidR="000D3D21" w:rsidRPr="00BD12A9" w:rsidRDefault="000D3D21" w:rsidP="00C97663">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المرجع السابق</w:t>
      </w:r>
      <w:r>
        <w:rPr>
          <w:rFonts w:ascii="Traditional Arabic" w:hAnsi="Traditional Arabic" w:hint="cs"/>
          <w:sz w:val="32"/>
          <w:szCs w:val="32"/>
          <w:rtl/>
        </w:rPr>
        <w:t>، وانظر فتح ذي الجلال والإكرام (3/519)</w:t>
      </w:r>
      <w:r w:rsidRPr="00BD12A9">
        <w:rPr>
          <w:rFonts w:ascii="Traditional Arabic" w:hAnsi="Traditional Arabic"/>
          <w:sz w:val="32"/>
          <w:szCs w:val="32"/>
          <w:rtl/>
        </w:rPr>
        <w:t>.</w:t>
      </w:r>
    </w:p>
  </w:footnote>
  <w:footnote w:id="1596">
    <w:p w:rsidR="000D3D21" w:rsidRPr="00D564C3" w:rsidRDefault="000D3D21" w:rsidP="00C97663">
      <w:pPr>
        <w:pStyle w:val="a7"/>
        <w:pageBreakBefore/>
        <w:rPr>
          <w:rFonts w:ascii="Traditional Arabic" w:hAnsi="Traditional Arabic"/>
          <w:sz w:val="32"/>
          <w:szCs w:val="32"/>
        </w:rPr>
      </w:pPr>
      <w:r w:rsidRPr="00D564C3">
        <w:rPr>
          <w:rFonts w:ascii="Traditional Arabic" w:hAnsi="Traditional Arabic"/>
          <w:sz w:val="32"/>
          <w:szCs w:val="32"/>
          <w:rtl/>
        </w:rPr>
        <w:t>(</w:t>
      </w:r>
      <w:r w:rsidRPr="00D564C3">
        <w:rPr>
          <w:rStyle w:val="af1"/>
          <w:rFonts w:ascii="Traditional Arabic" w:hAnsi="Traditional Arabic"/>
          <w:sz w:val="32"/>
          <w:szCs w:val="32"/>
          <w:vertAlign w:val="baseline"/>
          <w:rtl/>
        </w:rPr>
        <w:footnoteRef/>
      </w:r>
      <w:r w:rsidRPr="00D564C3">
        <w:rPr>
          <w:rFonts w:ascii="Traditional Arabic" w:hAnsi="Traditional Arabic"/>
          <w:sz w:val="32"/>
          <w:szCs w:val="32"/>
          <w:rtl/>
        </w:rPr>
        <w:t>)</w:t>
      </w:r>
      <w:r>
        <w:rPr>
          <w:rFonts w:ascii="Traditional Arabic" w:hAnsi="Traditional Arabic" w:hint="cs"/>
          <w:sz w:val="32"/>
          <w:szCs w:val="32"/>
          <w:rtl/>
        </w:rPr>
        <w:t xml:space="preserve"> </w:t>
      </w:r>
      <w:r w:rsidRPr="00D564C3">
        <w:rPr>
          <w:rFonts w:ascii="Traditional Arabic" w:hAnsi="Traditional Arabic"/>
          <w:sz w:val="32"/>
          <w:szCs w:val="32"/>
          <w:rtl/>
        </w:rPr>
        <w:t>الفروق للقرافي (</w:t>
      </w:r>
      <w:r>
        <w:rPr>
          <w:rFonts w:ascii="Traditional Arabic" w:hAnsi="Traditional Arabic"/>
          <w:sz w:val="32"/>
          <w:szCs w:val="32"/>
          <w:rtl/>
        </w:rPr>
        <w:t xml:space="preserve">3/303)، وموسوعة القواعد </w:t>
      </w:r>
      <w:r>
        <w:rPr>
          <w:rFonts w:ascii="Traditional Arabic" w:hAnsi="Traditional Arabic" w:hint="cs"/>
          <w:sz w:val="32"/>
          <w:szCs w:val="32"/>
          <w:rtl/>
        </w:rPr>
        <w:t>الفقهية</w:t>
      </w:r>
      <w:r w:rsidRPr="00D564C3">
        <w:rPr>
          <w:rFonts w:ascii="Traditional Arabic" w:hAnsi="Traditional Arabic"/>
          <w:sz w:val="32"/>
          <w:szCs w:val="32"/>
          <w:rtl/>
        </w:rPr>
        <w:t xml:space="preserve"> للبورنو (3/43).</w:t>
      </w:r>
    </w:p>
  </w:footnote>
  <w:footnote w:id="1597">
    <w:p w:rsidR="000D3D21" w:rsidRPr="00D564C3" w:rsidRDefault="000D3D21" w:rsidP="00C97663">
      <w:pPr>
        <w:pStyle w:val="a7"/>
        <w:pageBreakBefore/>
        <w:rPr>
          <w:rFonts w:ascii="Tahoma" w:hAnsi="Tahoma"/>
          <w:sz w:val="32"/>
          <w:szCs w:val="32"/>
        </w:rPr>
      </w:pPr>
      <w:r w:rsidRPr="00D564C3">
        <w:rPr>
          <w:rFonts w:ascii="Tahoma" w:hAnsi="Tahoma"/>
          <w:sz w:val="32"/>
          <w:szCs w:val="32"/>
          <w:rtl/>
        </w:rPr>
        <w:t>(</w:t>
      </w:r>
      <w:r w:rsidRPr="00D564C3">
        <w:rPr>
          <w:rStyle w:val="af1"/>
          <w:rFonts w:ascii="Tahoma" w:hAnsi="Tahoma"/>
          <w:sz w:val="32"/>
          <w:szCs w:val="32"/>
          <w:vertAlign w:val="baseline"/>
          <w:rtl/>
        </w:rPr>
        <w:footnoteRef/>
      </w:r>
      <w:r w:rsidRPr="00D564C3">
        <w:rPr>
          <w:rFonts w:ascii="Tahoma" w:hAnsi="Tahoma"/>
          <w:sz w:val="32"/>
          <w:szCs w:val="32"/>
          <w:rtl/>
        </w:rPr>
        <w:t>)</w:t>
      </w:r>
      <w:r>
        <w:rPr>
          <w:rFonts w:ascii="Tahoma" w:hAnsi="Tahoma" w:hint="cs"/>
          <w:sz w:val="32"/>
          <w:szCs w:val="32"/>
          <w:rtl/>
        </w:rPr>
        <w:t xml:space="preserve"> </w:t>
      </w:r>
      <w:r w:rsidRPr="00D564C3">
        <w:rPr>
          <w:rFonts w:ascii="Tahoma" w:hAnsi="Tahoma" w:hint="cs"/>
          <w:sz w:val="32"/>
          <w:szCs w:val="32"/>
          <w:rtl/>
        </w:rPr>
        <w:t>إعلام الموقعين (3/377).</w:t>
      </w:r>
    </w:p>
  </w:footnote>
  <w:footnote w:id="1598">
    <w:p w:rsidR="000D3D21" w:rsidRPr="00D564C3" w:rsidRDefault="000D3D21" w:rsidP="00C97663">
      <w:pPr>
        <w:pStyle w:val="a7"/>
        <w:pageBreakBefore/>
        <w:rPr>
          <w:rFonts w:ascii="Tahoma" w:hAnsi="Tahoma"/>
          <w:sz w:val="32"/>
          <w:szCs w:val="32"/>
        </w:rPr>
      </w:pPr>
      <w:r w:rsidRPr="00D564C3">
        <w:rPr>
          <w:rFonts w:ascii="Tahoma" w:hAnsi="Tahoma"/>
          <w:sz w:val="32"/>
          <w:szCs w:val="32"/>
          <w:rtl/>
        </w:rPr>
        <w:t>(</w:t>
      </w:r>
      <w:r w:rsidRPr="00D564C3">
        <w:rPr>
          <w:rStyle w:val="af1"/>
          <w:rFonts w:ascii="Tahoma" w:hAnsi="Tahoma"/>
          <w:sz w:val="32"/>
          <w:szCs w:val="32"/>
          <w:vertAlign w:val="baseline"/>
          <w:rtl/>
        </w:rPr>
        <w:footnoteRef/>
      </w:r>
      <w:r w:rsidRPr="00D564C3">
        <w:rPr>
          <w:rFonts w:ascii="Tahoma" w:hAnsi="Tahoma"/>
          <w:sz w:val="32"/>
          <w:szCs w:val="32"/>
          <w:rtl/>
        </w:rPr>
        <w:t>)</w:t>
      </w:r>
      <w:r>
        <w:rPr>
          <w:rFonts w:ascii="Tahoma" w:hAnsi="Tahoma" w:hint="cs"/>
          <w:sz w:val="32"/>
          <w:szCs w:val="32"/>
          <w:rtl/>
        </w:rPr>
        <w:t xml:space="preserve"> قواعد ابن </w:t>
      </w:r>
      <w:r w:rsidRPr="00D564C3">
        <w:rPr>
          <w:rFonts w:ascii="Tahoma" w:hAnsi="Tahoma" w:hint="cs"/>
          <w:sz w:val="32"/>
          <w:szCs w:val="32"/>
          <w:rtl/>
        </w:rPr>
        <w:t xml:space="preserve">قاضي الجبل (118/أمخطوط) بواسطة القواعد الفقهية عند الحنابلة للوليد بن عبد الرحمن آل الفريان (476). </w:t>
      </w:r>
    </w:p>
  </w:footnote>
  <w:footnote w:id="1599">
    <w:p w:rsidR="000D3D21" w:rsidRPr="00D564C3" w:rsidRDefault="000D3D21" w:rsidP="00C97663">
      <w:pPr>
        <w:pStyle w:val="a7"/>
        <w:pageBreakBefore/>
        <w:rPr>
          <w:rFonts w:ascii="Tahoma" w:hAnsi="Tahoma"/>
          <w:sz w:val="32"/>
          <w:szCs w:val="32"/>
        </w:rPr>
      </w:pPr>
      <w:r w:rsidRPr="00D564C3">
        <w:rPr>
          <w:rFonts w:ascii="Tahoma" w:hAnsi="Tahoma"/>
          <w:sz w:val="32"/>
          <w:szCs w:val="32"/>
          <w:rtl/>
        </w:rPr>
        <w:t>(</w:t>
      </w:r>
      <w:r w:rsidRPr="00D564C3">
        <w:rPr>
          <w:rStyle w:val="af1"/>
          <w:rFonts w:ascii="Tahoma" w:hAnsi="Tahoma"/>
          <w:sz w:val="32"/>
          <w:szCs w:val="32"/>
          <w:vertAlign w:val="baseline"/>
          <w:rtl/>
        </w:rPr>
        <w:footnoteRef/>
      </w:r>
      <w:r w:rsidRPr="00D564C3">
        <w:rPr>
          <w:rFonts w:ascii="Tahoma" w:hAnsi="Tahoma"/>
          <w:sz w:val="32"/>
          <w:szCs w:val="32"/>
          <w:rtl/>
        </w:rPr>
        <w:t>)</w:t>
      </w:r>
      <w:r>
        <w:rPr>
          <w:rFonts w:ascii="Tahoma" w:hAnsi="Tahoma" w:hint="cs"/>
          <w:sz w:val="32"/>
          <w:szCs w:val="32"/>
          <w:rtl/>
        </w:rPr>
        <w:t xml:space="preserve"> </w:t>
      </w:r>
      <w:r w:rsidRPr="00D564C3">
        <w:rPr>
          <w:rFonts w:ascii="Tahoma" w:hAnsi="Tahoma" w:hint="cs"/>
          <w:sz w:val="32"/>
          <w:szCs w:val="32"/>
          <w:rtl/>
        </w:rPr>
        <w:t>إرشاد أولي البصائر والأ</w:t>
      </w:r>
      <w:r>
        <w:rPr>
          <w:rFonts w:ascii="Tahoma" w:hAnsi="Tahoma" w:hint="cs"/>
          <w:sz w:val="32"/>
          <w:szCs w:val="32"/>
          <w:rtl/>
        </w:rPr>
        <w:t>لباب لابن سعدي</w:t>
      </w:r>
      <w:r w:rsidRPr="00D564C3">
        <w:rPr>
          <w:rFonts w:ascii="Tahoma" w:hAnsi="Tahoma" w:hint="cs"/>
          <w:sz w:val="32"/>
          <w:szCs w:val="32"/>
          <w:rtl/>
        </w:rPr>
        <w:t xml:space="preserve"> (141).</w:t>
      </w:r>
    </w:p>
  </w:footnote>
  <w:footnote w:id="1600">
    <w:p w:rsidR="000D3D21" w:rsidRPr="00D564C3" w:rsidRDefault="000D3D21" w:rsidP="00C97663">
      <w:pPr>
        <w:pStyle w:val="a7"/>
        <w:pageBreakBefore/>
        <w:rPr>
          <w:rFonts w:ascii="Traditional Arabic" w:hAnsi="Traditional Arabic"/>
          <w:sz w:val="32"/>
          <w:szCs w:val="32"/>
        </w:rPr>
      </w:pPr>
      <w:r w:rsidRPr="00D564C3">
        <w:rPr>
          <w:rFonts w:ascii="Traditional Arabic" w:hAnsi="Traditional Arabic"/>
          <w:sz w:val="32"/>
          <w:szCs w:val="32"/>
          <w:rtl/>
        </w:rPr>
        <w:t>(</w:t>
      </w:r>
      <w:r w:rsidRPr="00D564C3">
        <w:rPr>
          <w:rStyle w:val="af1"/>
          <w:rFonts w:ascii="Traditional Arabic" w:hAnsi="Traditional Arabic"/>
          <w:sz w:val="32"/>
          <w:szCs w:val="32"/>
          <w:vertAlign w:val="baseline"/>
          <w:rtl/>
        </w:rPr>
        <w:footnoteRef/>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موسوعة القواعد </w:t>
      </w:r>
      <w:r>
        <w:rPr>
          <w:rFonts w:ascii="Traditional Arabic" w:hAnsi="Traditional Arabic" w:hint="cs"/>
          <w:sz w:val="32"/>
          <w:szCs w:val="32"/>
          <w:rtl/>
        </w:rPr>
        <w:t>الفقهية</w:t>
      </w:r>
      <w:r w:rsidRPr="00D564C3">
        <w:rPr>
          <w:rFonts w:ascii="Traditional Arabic" w:hAnsi="Traditional Arabic"/>
          <w:sz w:val="32"/>
          <w:szCs w:val="32"/>
          <w:rtl/>
        </w:rPr>
        <w:t xml:space="preserve"> للبورنو (3/124)، وموسوعة القواعد والضوابط للندوي (2/158)، وانظر أيضا (2/159)، و(2/163).</w:t>
      </w:r>
    </w:p>
  </w:footnote>
  <w:footnote w:id="1601">
    <w:p w:rsidR="000D3D21" w:rsidRPr="00D564C3" w:rsidRDefault="000D3D21" w:rsidP="00C97663">
      <w:pPr>
        <w:pStyle w:val="a7"/>
        <w:pageBreakBefore/>
        <w:rPr>
          <w:rFonts w:ascii="Traditional Arabic" w:hAnsi="Traditional Arabic"/>
          <w:sz w:val="32"/>
          <w:szCs w:val="32"/>
        </w:rPr>
      </w:pPr>
      <w:r w:rsidRPr="00D564C3">
        <w:rPr>
          <w:rFonts w:ascii="Traditional Arabic" w:hAnsi="Traditional Arabic"/>
          <w:sz w:val="32"/>
          <w:szCs w:val="32"/>
          <w:rtl/>
        </w:rPr>
        <w:t>(</w:t>
      </w:r>
      <w:r w:rsidRPr="00D564C3">
        <w:rPr>
          <w:rStyle w:val="af1"/>
          <w:rFonts w:ascii="Traditional Arabic" w:hAnsi="Traditional Arabic"/>
          <w:sz w:val="32"/>
          <w:szCs w:val="32"/>
          <w:vertAlign w:val="baseline"/>
          <w:rtl/>
        </w:rPr>
        <w:footnoteRef/>
      </w:r>
      <w:r w:rsidRPr="00D564C3">
        <w:rPr>
          <w:rFonts w:ascii="Traditional Arabic" w:hAnsi="Traditional Arabic"/>
          <w:sz w:val="32"/>
          <w:szCs w:val="32"/>
          <w:rtl/>
        </w:rPr>
        <w:t>)</w:t>
      </w:r>
      <w:r>
        <w:rPr>
          <w:rFonts w:ascii="Traditional Arabic" w:hAnsi="Traditional Arabic" w:hint="cs"/>
          <w:sz w:val="32"/>
          <w:szCs w:val="32"/>
          <w:rtl/>
        </w:rPr>
        <w:t xml:space="preserve"> </w:t>
      </w:r>
      <w:r w:rsidRPr="00D564C3">
        <w:rPr>
          <w:rFonts w:ascii="Traditional Arabic" w:hAnsi="Traditional Arabic"/>
          <w:sz w:val="32"/>
          <w:szCs w:val="32"/>
          <w:rtl/>
        </w:rPr>
        <w:t>موسوعة القواعد والضوابط للندوي (2/157).</w:t>
      </w:r>
    </w:p>
  </w:footnote>
  <w:footnote w:id="1602">
    <w:p w:rsidR="000D3D21" w:rsidRPr="00D564C3" w:rsidRDefault="000D3D21" w:rsidP="00C97663">
      <w:pPr>
        <w:pStyle w:val="a7"/>
        <w:pageBreakBefore/>
        <w:rPr>
          <w:rFonts w:ascii="Traditional Arabic" w:hAnsi="Traditional Arabic"/>
          <w:sz w:val="32"/>
          <w:szCs w:val="32"/>
        </w:rPr>
      </w:pPr>
      <w:r w:rsidRPr="00D564C3">
        <w:rPr>
          <w:rFonts w:ascii="Traditional Arabic" w:hAnsi="Traditional Arabic"/>
          <w:sz w:val="32"/>
          <w:szCs w:val="32"/>
          <w:rtl/>
        </w:rPr>
        <w:t>(</w:t>
      </w:r>
      <w:r w:rsidRPr="00D564C3">
        <w:rPr>
          <w:rStyle w:val="af1"/>
          <w:rFonts w:ascii="Traditional Arabic" w:hAnsi="Traditional Arabic"/>
          <w:sz w:val="32"/>
          <w:szCs w:val="32"/>
          <w:vertAlign w:val="baseline"/>
          <w:rtl/>
        </w:rPr>
        <w:footnoteRef/>
      </w:r>
      <w:r w:rsidRPr="00D564C3">
        <w:rPr>
          <w:rFonts w:ascii="Traditional Arabic" w:hAnsi="Traditional Arabic"/>
          <w:sz w:val="32"/>
          <w:szCs w:val="32"/>
          <w:rtl/>
        </w:rPr>
        <w:t>)</w:t>
      </w:r>
      <w:r>
        <w:rPr>
          <w:rFonts w:ascii="Traditional Arabic" w:hAnsi="Traditional Arabic" w:hint="cs"/>
          <w:sz w:val="32"/>
          <w:szCs w:val="32"/>
          <w:rtl/>
        </w:rPr>
        <w:t xml:space="preserve"> المرجع السابق</w:t>
      </w:r>
      <w:r w:rsidRPr="00D564C3">
        <w:rPr>
          <w:rFonts w:ascii="Traditional Arabic" w:hAnsi="Traditional Arabic"/>
          <w:sz w:val="32"/>
          <w:szCs w:val="32"/>
          <w:rtl/>
        </w:rPr>
        <w:t xml:space="preserve"> (2/158).</w:t>
      </w:r>
    </w:p>
  </w:footnote>
  <w:footnote w:id="1603">
    <w:p w:rsidR="000D3D21" w:rsidRPr="00100A81" w:rsidRDefault="000D3D21" w:rsidP="00C97663">
      <w:pPr>
        <w:pStyle w:val="a7"/>
        <w:pageBreakBefore/>
        <w:rPr>
          <w:rFonts w:ascii="Traditional Arabic" w:hAnsi="Traditional Arabic"/>
          <w:sz w:val="32"/>
          <w:szCs w:val="32"/>
        </w:rPr>
      </w:pPr>
      <w:r w:rsidRPr="00D564C3">
        <w:rPr>
          <w:rFonts w:ascii="Traditional Arabic" w:hAnsi="Traditional Arabic"/>
          <w:sz w:val="32"/>
          <w:szCs w:val="32"/>
          <w:rtl/>
        </w:rPr>
        <w:t>(</w:t>
      </w:r>
      <w:r w:rsidRPr="00D564C3">
        <w:rPr>
          <w:rStyle w:val="af1"/>
          <w:rFonts w:ascii="Traditional Arabic" w:hAnsi="Traditional Arabic"/>
          <w:sz w:val="32"/>
          <w:szCs w:val="32"/>
          <w:vertAlign w:val="baseline"/>
          <w:rtl/>
        </w:rPr>
        <w:footnoteRef/>
      </w:r>
      <w:r w:rsidRPr="00D564C3">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المرجع السابق.</w:t>
      </w:r>
      <w:r>
        <w:rPr>
          <w:rFonts w:ascii="Traditional Arabic" w:hAnsi="Traditional Arabic" w:hint="cs"/>
          <w:sz w:val="32"/>
          <w:szCs w:val="32"/>
          <w:rtl/>
        </w:rPr>
        <w:t xml:space="preserve"> </w:t>
      </w:r>
      <w:r>
        <w:rPr>
          <w:rFonts w:ascii="Traditional Arabic" w:hAnsi="Traditional Arabic"/>
          <w:sz w:val="32"/>
          <w:szCs w:val="32"/>
          <w:rtl/>
        </w:rPr>
        <w:t>وانظ</w:t>
      </w:r>
      <w:r>
        <w:rPr>
          <w:rFonts w:ascii="Traditional Arabic" w:hAnsi="Traditional Arabic" w:hint="cs"/>
          <w:sz w:val="32"/>
          <w:szCs w:val="32"/>
          <w:rtl/>
        </w:rPr>
        <w:t>ر</w:t>
      </w:r>
      <w:r w:rsidRPr="00D564C3">
        <w:rPr>
          <w:rFonts w:ascii="Traditional Arabic" w:hAnsi="Traditional Arabic"/>
          <w:sz w:val="32"/>
          <w:szCs w:val="32"/>
          <w:rtl/>
        </w:rPr>
        <w:t xml:space="preserve"> (2/162).</w:t>
      </w:r>
    </w:p>
  </w:footnote>
  <w:footnote w:id="1604">
    <w:p w:rsidR="000D3D21" w:rsidRPr="00100A81" w:rsidRDefault="000D3D21" w:rsidP="007E1439">
      <w:pPr>
        <w:pStyle w:val="a7"/>
        <w:pageBreakBefore/>
        <w:tabs>
          <w:tab w:val="left" w:pos="2625"/>
        </w:tabs>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00A81">
        <w:rPr>
          <w:rFonts w:ascii="Traditional Arabic" w:hAnsi="Traditional Arabic"/>
          <w:sz w:val="32"/>
          <w:szCs w:val="32"/>
          <w:rtl/>
        </w:rPr>
        <w:t>المصباح المنير (125</w:t>
      </w:r>
      <w:r>
        <w:rPr>
          <w:rFonts w:ascii="Traditional Arabic" w:hAnsi="Traditional Arabic"/>
          <w:sz w:val="32"/>
          <w:szCs w:val="32"/>
          <w:rtl/>
        </w:rPr>
        <w:t>)</w:t>
      </w:r>
      <w:r>
        <w:rPr>
          <w:rFonts w:ascii="Traditional Arabic" w:hAnsi="Traditional Arabic" w:hint="cs"/>
          <w:sz w:val="32"/>
          <w:szCs w:val="32"/>
          <w:rtl/>
        </w:rPr>
        <w:t>.</w:t>
      </w:r>
      <w:r>
        <w:rPr>
          <w:rFonts w:ascii="Traditional Arabic" w:hAnsi="Traditional Arabic"/>
          <w:sz w:val="32"/>
          <w:szCs w:val="32"/>
        </w:rPr>
        <w:tab/>
      </w:r>
    </w:p>
  </w:footnote>
  <w:footnote w:id="1605">
    <w:p w:rsidR="000D3D21" w:rsidRPr="009B4BA2" w:rsidRDefault="000D3D21" w:rsidP="00C97663">
      <w:pPr>
        <w:pStyle w:val="a7"/>
        <w:pageBreakBefore/>
        <w:rPr>
          <w:rFonts w:ascii="Tahoma" w:hAnsi="Tahoma"/>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ahoma" w:hAnsi="Tahoma" w:hint="cs"/>
          <w:rtl/>
        </w:rPr>
        <w:t xml:space="preserve"> ا</w:t>
      </w:r>
      <w:r w:rsidRPr="00100A81">
        <w:rPr>
          <w:rFonts w:ascii="Traditional Arabic" w:hAnsi="Traditional Arabic"/>
          <w:sz w:val="32"/>
          <w:szCs w:val="32"/>
          <w:rtl/>
        </w:rPr>
        <w:t>لتوقيف على مهمات التعاريف ل</w:t>
      </w:r>
      <w:r>
        <w:rPr>
          <w:rFonts w:ascii="Traditional Arabic" w:hAnsi="Traditional Arabic" w:hint="cs"/>
          <w:sz w:val="32"/>
          <w:szCs w:val="32"/>
          <w:rtl/>
        </w:rPr>
        <w:t xml:space="preserve">محمد </w:t>
      </w:r>
      <w:r>
        <w:rPr>
          <w:rFonts w:ascii="Traditional Arabic" w:hAnsi="Traditional Arabic"/>
          <w:sz w:val="32"/>
          <w:szCs w:val="32"/>
          <w:rtl/>
        </w:rPr>
        <w:t>عبد الرؤوف</w:t>
      </w:r>
      <w:r w:rsidRPr="00100A81">
        <w:rPr>
          <w:rFonts w:ascii="Traditional Arabic" w:hAnsi="Traditional Arabic"/>
          <w:sz w:val="32"/>
          <w:szCs w:val="32"/>
          <w:rtl/>
        </w:rPr>
        <w:t xml:space="preserve"> المناوي (</w:t>
      </w:r>
      <w:r>
        <w:rPr>
          <w:rFonts w:ascii="Traditional Arabic" w:hAnsi="Traditional Arabic" w:hint="cs"/>
          <w:sz w:val="32"/>
          <w:szCs w:val="32"/>
          <w:rtl/>
        </w:rPr>
        <w:t>287</w:t>
      </w:r>
      <w:r w:rsidRPr="00100A81">
        <w:rPr>
          <w:rFonts w:ascii="Traditional Arabic" w:hAnsi="Traditional Arabic"/>
          <w:sz w:val="32"/>
          <w:szCs w:val="32"/>
          <w:rtl/>
        </w:rPr>
        <w:t>).</w:t>
      </w:r>
    </w:p>
  </w:footnote>
  <w:footnote w:id="1606">
    <w:p w:rsidR="000D3D21" w:rsidRPr="00AF14CD" w:rsidRDefault="000D3D21" w:rsidP="00C97663">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00A81">
        <w:rPr>
          <w:rFonts w:ascii="Traditional Arabic" w:hAnsi="Traditional Arabic"/>
          <w:sz w:val="32"/>
          <w:szCs w:val="32"/>
          <w:rtl/>
        </w:rPr>
        <w:t>مما يرجِّح ذلك أن هذه</w:t>
      </w:r>
      <w:r>
        <w:rPr>
          <w:rFonts w:ascii="Traditional Arabic" w:hAnsi="Traditional Arabic"/>
          <w:sz w:val="32"/>
          <w:szCs w:val="32"/>
          <w:rtl/>
        </w:rPr>
        <w:t xml:space="preserve"> القاعدة ذكرها الشيخ ابن عثيمين</w:t>
      </w:r>
      <w:r>
        <w:rPr>
          <w:rFonts w:ascii="Traditional Arabic" w:hAnsi="Traditional Arabic" w:hint="cs"/>
          <w:sz w:val="32"/>
          <w:szCs w:val="32"/>
          <w:rtl/>
        </w:rPr>
        <w:t xml:space="preserve"> _رحمه الله_</w:t>
      </w:r>
      <w:r w:rsidRPr="00100A81">
        <w:rPr>
          <w:rFonts w:ascii="Traditional Arabic" w:hAnsi="Traditional Arabic"/>
          <w:sz w:val="32"/>
          <w:szCs w:val="32"/>
          <w:rtl/>
        </w:rPr>
        <w:t xml:space="preserve">عند حديثه عن حق الشفعة، وحق الخيار، وحق المرأة في المهر، وكذلك قد يستفاد ذلك من قول الشيخ </w:t>
      </w:r>
      <w:r>
        <w:rPr>
          <w:rFonts w:ascii="Traditional Arabic" w:hAnsi="Traditional Arabic" w:hint="cs"/>
          <w:sz w:val="32"/>
          <w:szCs w:val="32"/>
          <w:rtl/>
        </w:rPr>
        <w:t>_رحمه الله_</w:t>
      </w:r>
      <w:r w:rsidRPr="00100A81">
        <w:rPr>
          <w:rFonts w:ascii="Traditional Arabic" w:hAnsi="Traditional Arabic"/>
          <w:sz w:val="32"/>
          <w:szCs w:val="32"/>
          <w:rtl/>
        </w:rPr>
        <w:t xml:space="preserve">: (الشيءُ الذي أَوْجبه اللهُ مِن باب الحقوق على الناس بعضِهم لبعضٍ </w:t>
      </w:r>
      <w:r>
        <w:rPr>
          <w:rFonts w:ascii="Traditional Arabic" w:hAnsi="Traditional Arabic"/>
          <w:sz w:val="32"/>
          <w:szCs w:val="32"/>
          <w:rtl/>
        </w:rPr>
        <w:t>إذا أَسْقَطه مَن له الحقُّ سَقط</w:t>
      </w:r>
      <w:r w:rsidRPr="00100A81">
        <w:rPr>
          <w:rFonts w:ascii="Traditional Arabic" w:hAnsi="Traditional Arabic"/>
          <w:sz w:val="32"/>
          <w:szCs w:val="32"/>
          <w:rtl/>
        </w:rPr>
        <w:t>)؛ فإن فيه التصريح بأن هذه</w:t>
      </w:r>
      <w:r w:rsidRPr="00BD12A9">
        <w:rPr>
          <w:rFonts w:ascii="Traditional Arabic" w:hAnsi="Traditional Arabic"/>
          <w:sz w:val="32"/>
          <w:szCs w:val="32"/>
          <w:rtl/>
        </w:rPr>
        <w:t xml:space="preserve"> الحقوق ثبتت بإيجابٍ من الشارع، والله أعلم</w:t>
      </w:r>
      <w:r w:rsidRPr="004D15E3">
        <w:rPr>
          <w:rFonts w:ascii="Traditional Arabic" w:hAnsi="Traditional Arabic"/>
          <w:sz w:val="32"/>
          <w:szCs w:val="32"/>
          <w:rtl/>
        </w:rPr>
        <w:t>.</w:t>
      </w:r>
      <w:r w:rsidRPr="004D15E3">
        <w:rPr>
          <w:rFonts w:ascii="Tahoma" w:hAnsi="Tahoma" w:hint="cs"/>
          <w:sz w:val="32"/>
          <w:szCs w:val="32"/>
          <w:rtl/>
        </w:rPr>
        <w:t xml:space="preserve"> انظر تفسير سورة النساء (1/215).</w:t>
      </w:r>
    </w:p>
  </w:footnote>
  <w:footnote w:id="1607">
    <w:p w:rsidR="000D3D21" w:rsidRPr="00BD12A9" w:rsidRDefault="000D3D21" w:rsidP="00C97663">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انظر معجم المصطلحات ال</w:t>
      </w:r>
      <w:r>
        <w:rPr>
          <w:rFonts w:ascii="Traditional Arabic" w:hAnsi="Traditional Arabic"/>
          <w:sz w:val="32"/>
          <w:szCs w:val="32"/>
          <w:rtl/>
        </w:rPr>
        <w:t>مالية والاقتصادية</w:t>
      </w:r>
      <w:r w:rsidRPr="00BD12A9">
        <w:rPr>
          <w:rFonts w:ascii="Traditional Arabic" w:hAnsi="Traditional Arabic"/>
          <w:sz w:val="32"/>
          <w:szCs w:val="32"/>
          <w:rtl/>
        </w:rPr>
        <w:t xml:space="preserve"> (181).</w:t>
      </w:r>
    </w:p>
    <w:p w:rsidR="000D3D21" w:rsidRPr="00BD12A9" w:rsidRDefault="000D3D21" w:rsidP="003E316B">
      <w:pPr>
        <w:pStyle w:val="a7"/>
        <w:pageBreakBefore/>
        <w:rPr>
          <w:rFonts w:ascii="Traditional Arabic" w:hAnsi="Traditional Arabic"/>
          <w:b/>
          <w:bCs/>
          <w:sz w:val="32"/>
          <w:szCs w:val="32"/>
          <w:rtl/>
        </w:rPr>
      </w:pPr>
      <w:r>
        <w:rPr>
          <w:rFonts w:ascii="Traditional Arabic" w:hAnsi="Traditional Arabic" w:hint="cs"/>
          <w:b/>
          <w:bCs/>
          <w:sz w:val="32"/>
          <w:szCs w:val="32"/>
          <w:rtl/>
        </w:rPr>
        <w:t xml:space="preserve">     </w:t>
      </w:r>
      <w:r w:rsidRPr="00BD12A9">
        <w:rPr>
          <w:rFonts w:ascii="Traditional Arabic" w:hAnsi="Traditional Arabic"/>
          <w:b/>
          <w:bCs/>
          <w:sz w:val="32"/>
          <w:szCs w:val="32"/>
          <w:rtl/>
        </w:rPr>
        <w:t>والحَضانة</w:t>
      </w:r>
      <w:r w:rsidR="00AB0B9E">
        <w:rPr>
          <w:rFonts w:ascii="Traditional Arabic" w:hAnsi="Traditional Arabic"/>
          <w:b/>
          <w:bCs/>
          <w:sz w:val="32"/>
          <w:szCs w:val="32"/>
          <w:rtl/>
        </w:rPr>
        <w:fldChar w:fldCharType="begin"/>
      </w:r>
      <w:r>
        <w:instrText xml:space="preserve"> XE "</w:instrText>
      </w:r>
      <w:r w:rsidRPr="003E316B">
        <w:rPr>
          <w:rFonts w:ascii="Traditional Arabic" w:hAnsi="Traditional Arabic"/>
          <w:sz w:val="32"/>
          <w:szCs w:val="32"/>
          <w:rtl/>
        </w:rPr>
        <w:instrText>الحَضانة</w:instrText>
      </w:r>
      <w:r>
        <w:instrText xml:space="preserve">" </w:instrText>
      </w:r>
      <w:r w:rsidRPr="003E316B">
        <w:instrText>\fm</w:instrText>
      </w:r>
      <w:r w:rsidR="00AB0B9E">
        <w:rPr>
          <w:rFonts w:ascii="Traditional Arabic" w:hAnsi="Traditional Arabic"/>
          <w:b/>
          <w:bCs/>
          <w:sz w:val="32"/>
          <w:szCs w:val="32"/>
          <w:rtl/>
        </w:rPr>
        <w:fldChar w:fldCharType="end"/>
      </w:r>
      <w:r w:rsidRPr="00BD12A9">
        <w:rPr>
          <w:rFonts w:ascii="Traditional Arabic" w:hAnsi="Traditional Arabic"/>
          <w:b/>
          <w:bCs/>
          <w:sz w:val="32"/>
          <w:szCs w:val="32"/>
          <w:rtl/>
        </w:rPr>
        <w:t xml:space="preserve"> لغة: </w:t>
      </w:r>
      <w:r w:rsidRPr="00BD12A9">
        <w:rPr>
          <w:rFonts w:ascii="Traditional Arabic" w:hAnsi="Traditional Arabic"/>
          <w:noProof w:val="0"/>
          <w:sz w:val="32"/>
          <w:szCs w:val="32"/>
          <w:rtl/>
          <w:lang w:eastAsia="en-US"/>
        </w:rPr>
        <w:t>مصدر حَضَنْتُ الصبيَّ حَضَانة: تحمَّلتُ مؤنَتِهُ وتربيَتَهُ، والحاضِنَةُ: التي تُربيِّ الطفل، سُميت بذلك لأنها تضم الطفل إلى ح</w:t>
      </w:r>
      <w:r>
        <w:rPr>
          <w:rFonts w:ascii="Traditional Arabic" w:hAnsi="Traditional Arabic" w:hint="cs"/>
          <w:noProof w:val="0"/>
          <w:sz w:val="32"/>
          <w:szCs w:val="32"/>
          <w:rtl/>
          <w:lang w:eastAsia="en-US"/>
        </w:rPr>
        <w:t>ِ</w:t>
      </w:r>
      <w:r w:rsidRPr="00BD12A9">
        <w:rPr>
          <w:rFonts w:ascii="Traditional Arabic" w:hAnsi="Traditional Arabic"/>
          <w:noProof w:val="0"/>
          <w:sz w:val="32"/>
          <w:szCs w:val="32"/>
          <w:rtl/>
          <w:lang w:eastAsia="en-US"/>
        </w:rPr>
        <w:t>ض</w:t>
      </w:r>
      <w:r>
        <w:rPr>
          <w:rFonts w:ascii="Traditional Arabic" w:hAnsi="Traditional Arabic" w:hint="cs"/>
          <w:noProof w:val="0"/>
          <w:sz w:val="32"/>
          <w:szCs w:val="32"/>
          <w:rtl/>
          <w:lang w:eastAsia="en-US"/>
        </w:rPr>
        <w:t>ْ</w:t>
      </w:r>
      <w:r w:rsidRPr="00BD12A9">
        <w:rPr>
          <w:rFonts w:ascii="Traditional Arabic" w:hAnsi="Traditional Arabic"/>
          <w:noProof w:val="0"/>
          <w:sz w:val="32"/>
          <w:szCs w:val="32"/>
          <w:rtl/>
          <w:lang w:eastAsia="en-US"/>
        </w:rPr>
        <w:t>نها، وهو: ما دون الإبط إلى الكَشْح، وهو الخَصْر.</w:t>
      </w:r>
      <w:r w:rsidRPr="00BD12A9">
        <w:rPr>
          <w:rFonts w:ascii="Traditional Arabic" w:hAnsi="Traditional Arabic"/>
          <w:sz w:val="32"/>
          <w:szCs w:val="32"/>
          <w:rtl/>
        </w:rPr>
        <w:t>المطلع(432).</w:t>
      </w:r>
    </w:p>
    <w:p w:rsidR="000D3D21" w:rsidRPr="00BD12A9" w:rsidRDefault="000D3D21" w:rsidP="00C97663">
      <w:pPr>
        <w:pStyle w:val="a7"/>
        <w:pageBreakBefore/>
        <w:rPr>
          <w:rFonts w:ascii="Traditional Arabic" w:hAnsi="Traditional Arabic"/>
          <w:b/>
          <w:bCs/>
          <w:sz w:val="32"/>
          <w:szCs w:val="32"/>
        </w:rPr>
      </w:pPr>
      <w:r>
        <w:rPr>
          <w:rFonts w:ascii="Traditional Arabic" w:hAnsi="Traditional Arabic" w:hint="cs"/>
          <w:b/>
          <w:bCs/>
          <w:sz w:val="32"/>
          <w:szCs w:val="32"/>
          <w:rtl/>
        </w:rPr>
        <w:t xml:space="preserve">    </w:t>
      </w:r>
      <w:r w:rsidRPr="00BD12A9">
        <w:rPr>
          <w:rFonts w:ascii="Traditional Arabic" w:hAnsi="Traditional Arabic"/>
          <w:b/>
          <w:bCs/>
          <w:sz w:val="32"/>
          <w:szCs w:val="32"/>
          <w:rtl/>
        </w:rPr>
        <w:t>الحضانة شرعا:</w:t>
      </w:r>
      <w:r>
        <w:rPr>
          <w:rFonts w:ascii="Traditional Arabic" w:hAnsi="Traditional Arabic" w:hint="cs"/>
          <w:b/>
          <w:bCs/>
          <w:sz w:val="32"/>
          <w:szCs w:val="32"/>
          <w:rtl/>
        </w:rPr>
        <w:t xml:space="preserve"> </w:t>
      </w:r>
      <w:r w:rsidRPr="00BD12A9">
        <w:rPr>
          <w:rFonts w:ascii="Traditional Arabic" w:hAnsi="Traditional Arabic"/>
          <w:noProof w:val="0"/>
          <w:sz w:val="32"/>
          <w:szCs w:val="32"/>
          <w:rtl/>
          <w:lang w:eastAsia="en-US"/>
        </w:rPr>
        <w:t>حِفظُ صغيرٍ ونحوه عما يضرّه، وتربيتُه بعمَلِ مصالحه. الروض المربع (9/498).</w:t>
      </w:r>
    </w:p>
  </w:footnote>
  <w:footnote w:id="1608">
    <w:p w:rsidR="000D3D21" w:rsidRPr="00022B3E" w:rsidRDefault="000D3D21" w:rsidP="00C97663">
      <w:pPr>
        <w:pStyle w:val="a7"/>
        <w:pageBreakBefore/>
        <w:rPr>
          <w:rFonts w:ascii="Tahoma" w:hAnsi="Tahoma"/>
          <w:sz w:val="32"/>
          <w:szCs w:val="32"/>
        </w:rPr>
      </w:pPr>
      <w:r w:rsidRPr="00022B3E">
        <w:rPr>
          <w:rFonts w:ascii="Tahoma" w:hAnsi="Tahoma"/>
          <w:sz w:val="32"/>
          <w:szCs w:val="32"/>
          <w:rtl/>
        </w:rPr>
        <w:t>(</w:t>
      </w:r>
      <w:r w:rsidRPr="00022B3E">
        <w:rPr>
          <w:rStyle w:val="af1"/>
          <w:rFonts w:ascii="Tahoma" w:hAnsi="Tahoma"/>
          <w:sz w:val="32"/>
          <w:szCs w:val="32"/>
          <w:vertAlign w:val="baseline"/>
          <w:rtl/>
        </w:rPr>
        <w:footnoteRef/>
      </w:r>
      <w:r w:rsidRPr="00022B3E">
        <w:rPr>
          <w:rFonts w:ascii="Tahoma" w:hAnsi="Tahoma"/>
          <w:sz w:val="32"/>
          <w:szCs w:val="32"/>
          <w:rtl/>
        </w:rPr>
        <w:t>)</w:t>
      </w:r>
      <w:r w:rsidRPr="00022B3E">
        <w:rPr>
          <w:rFonts w:ascii="Tahoma" w:hAnsi="Tahoma" w:hint="cs"/>
          <w:sz w:val="32"/>
          <w:szCs w:val="32"/>
          <w:rtl/>
        </w:rPr>
        <w:t xml:space="preserve"> إرشاد أولي البصائر للسعدي بتصرف (141).</w:t>
      </w:r>
    </w:p>
  </w:footnote>
  <w:footnote w:id="1609">
    <w:p w:rsidR="000D3D21" w:rsidRPr="000B759E" w:rsidRDefault="000D3D21" w:rsidP="00C97663">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انظر المراجع المتقدمة عند ذكر ص</w:t>
      </w:r>
      <w:r>
        <w:rPr>
          <w:rFonts w:ascii="Traditional Arabic" w:hAnsi="Traditional Arabic"/>
          <w:sz w:val="32"/>
          <w:szCs w:val="32"/>
          <w:rtl/>
        </w:rPr>
        <w:t>يغ القاعدة عند الشيخ</w:t>
      </w:r>
      <w:r>
        <w:rPr>
          <w:rFonts w:ascii="Traditional Arabic" w:hAnsi="Traditional Arabic" w:hint="cs"/>
          <w:sz w:val="32"/>
          <w:szCs w:val="32"/>
          <w:rtl/>
        </w:rPr>
        <w:t xml:space="preserve"> ابن عثيمين _رحمه الله_</w:t>
      </w:r>
      <w:r w:rsidRPr="00BD12A9">
        <w:rPr>
          <w:rFonts w:ascii="Traditional Arabic" w:hAnsi="Traditional Arabic"/>
          <w:sz w:val="32"/>
          <w:szCs w:val="32"/>
          <w:rtl/>
        </w:rPr>
        <w:t>.</w:t>
      </w:r>
    </w:p>
  </w:footnote>
  <w:footnote w:id="1610">
    <w:p w:rsidR="000D3D21" w:rsidRPr="00022B3E" w:rsidRDefault="000D3D21" w:rsidP="00C97663">
      <w:pPr>
        <w:pStyle w:val="a7"/>
        <w:pageBreakBefore/>
        <w:rPr>
          <w:rFonts w:ascii="Tahoma" w:hAnsi="Tahoma"/>
          <w:sz w:val="32"/>
          <w:szCs w:val="32"/>
        </w:rPr>
      </w:pPr>
      <w:r w:rsidRPr="00022B3E">
        <w:rPr>
          <w:rFonts w:ascii="Tahoma" w:hAnsi="Tahoma"/>
          <w:sz w:val="32"/>
          <w:szCs w:val="32"/>
          <w:rtl/>
        </w:rPr>
        <w:t>(</w:t>
      </w:r>
      <w:r w:rsidRPr="00022B3E">
        <w:rPr>
          <w:rStyle w:val="af1"/>
          <w:rFonts w:ascii="Tahoma" w:hAnsi="Tahoma"/>
          <w:sz w:val="32"/>
          <w:szCs w:val="32"/>
          <w:vertAlign w:val="baseline"/>
          <w:rtl/>
        </w:rPr>
        <w:footnoteRef/>
      </w:r>
      <w:r w:rsidRPr="00022B3E">
        <w:rPr>
          <w:rFonts w:ascii="Tahoma" w:hAnsi="Tahoma"/>
          <w:sz w:val="32"/>
          <w:szCs w:val="32"/>
          <w:rtl/>
        </w:rPr>
        <w:t>)</w:t>
      </w:r>
      <w:r>
        <w:rPr>
          <w:rFonts w:ascii="Tahoma" w:hAnsi="Tahoma" w:hint="cs"/>
          <w:sz w:val="32"/>
          <w:szCs w:val="32"/>
          <w:rtl/>
        </w:rPr>
        <w:t xml:space="preserve"> انظر تفسير سورة البقرة</w:t>
      </w:r>
      <w:r w:rsidRPr="00022B3E">
        <w:rPr>
          <w:rFonts w:ascii="Tahoma" w:hAnsi="Tahoma" w:hint="cs"/>
          <w:sz w:val="32"/>
          <w:szCs w:val="32"/>
          <w:rtl/>
        </w:rPr>
        <w:t xml:space="preserve"> (2/297)، وفتح ذي الجلال والإكرام (3/518-519).</w:t>
      </w:r>
    </w:p>
  </w:footnote>
  <w:footnote w:id="1611">
    <w:p w:rsidR="000D3D21" w:rsidRPr="00D564C3" w:rsidRDefault="000D3D21" w:rsidP="00C97663">
      <w:pPr>
        <w:pStyle w:val="a7"/>
        <w:pageBreakBefore/>
        <w:rPr>
          <w:rFonts w:ascii="Traditional Arabic" w:hAnsi="Traditional Arabic"/>
          <w:sz w:val="32"/>
          <w:szCs w:val="32"/>
        </w:rPr>
      </w:pPr>
      <w:r w:rsidRPr="00022B3E">
        <w:rPr>
          <w:rFonts w:ascii="Traditional Arabic" w:hAnsi="Traditional Arabic"/>
          <w:sz w:val="32"/>
          <w:szCs w:val="32"/>
          <w:rtl/>
        </w:rPr>
        <w:t>(</w:t>
      </w:r>
      <w:r w:rsidRPr="00022B3E">
        <w:rPr>
          <w:rStyle w:val="af1"/>
          <w:rFonts w:ascii="Traditional Arabic" w:hAnsi="Traditional Arabic"/>
          <w:sz w:val="32"/>
          <w:szCs w:val="32"/>
          <w:vertAlign w:val="baseline"/>
          <w:rtl/>
        </w:rPr>
        <w:footnoteRef/>
      </w:r>
      <w:r w:rsidRPr="00022B3E">
        <w:rPr>
          <w:rFonts w:ascii="Traditional Arabic" w:hAnsi="Traditional Arabic"/>
          <w:sz w:val="32"/>
          <w:szCs w:val="32"/>
          <w:rtl/>
        </w:rPr>
        <w:t>)</w:t>
      </w:r>
      <w:r>
        <w:rPr>
          <w:rFonts w:ascii="Traditional Arabic" w:hAnsi="Traditional Arabic" w:hint="cs"/>
          <w:sz w:val="32"/>
          <w:szCs w:val="32"/>
          <w:rtl/>
        </w:rPr>
        <w:t xml:space="preserve"> </w:t>
      </w:r>
      <w:r w:rsidRPr="00022B3E">
        <w:rPr>
          <w:rFonts w:ascii="Traditional Arabic" w:hAnsi="Traditional Arabic"/>
          <w:sz w:val="32"/>
          <w:szCs w:val="32"/>
          <w:rtl/>
        </w:rPr>
        <w:t>انظر تفسير سورة النساء (1/204، 215).</w:t>
      </w:r>
    </w:p>
  </w:footnote>
  <w:footnote w:id="1612">
    <w:p w:rsidR="000D3D21" w:rsidRPr="00D564C3" w:rsidRDefault="000D3D21" w:rsidP="00C97663">
      <w:pPr>
        <w:pStyle w:val="a7"/>
        <w:pageBreakBefore/>
        <w:rPr>
          <w:rFonts w:ascii="Traditional Arabic" w:hAnsi="Traditional Arabic"/>
          <w:sz w:val="32"/>
          <w:szCs w:val="32"/>
        </w:rPr>
      </w:pPr>
      <w:r w:rsidRPr="00D564C3">
        <w:rPr>
          <w:rFonts w:ascii="Traditional Arabic" w:hAnsi="Traditional Arabic"/>
          <w:sz w:val="32"/>
          <w:szCs w:val="32"/>
          <w:rtl/>
        </w:rPr>
        <w:t>(</w:t>
      </w:r>
      <w:r w:rsidRPr="00D564C3">
        <w:rPr>
          <w:rStyle w:val="af1"/>
          <w:rFonts w:ascii="Traditional Arabic" w:hAnsi="Traditional Arabic"/>
          <w:sz w:val="32"/>
          <w:szCs w:val="32"/>
          <w:vertAlign w:val="baseline"/>
          <w:rtl/>
        </w:rPr>
        <w:footnoteRef/>
      </w:r>
      <w:r w:rsidRPr="00D564C3">
        <w:rPr>
          <w:rFonts w:ascii="Traditional Arabic" w:hAnsi="Traditional Arabic"/>
          <w:sz w:val="32"/>
          <w:szCs w:val="32"/>
          <w:rtl/>
        </w:rPr>
        <w:t>) أخرجه البخاري في كتاب البيوع، باب إذا خير أحدهما صاحبه بعد البيع فقد وجب البيع، رقم الحديث (2112)، ومسلم في كتاب البيوع، باب ثبوت خيار المجلس للمتبايعين، حديث رقم (1531)</w:t>
      </w:r>
      <w:r>
        <w:rPr>
          <w:rFonts w:ascii="Traditional Arabic" w:hAnsi="Traditional Arabic" w:hint="cs"/>
          <w:sz w:val="32"/>
          <w:szCs w:val="32"/>
          <w:rtl/>
        </w:rPr>
        <w:t>،</w:t>
      </w:r>
      <w:r w:rsidRPr="00D564C3">
        <w:rPr>
          <w:rFonts w:ascii="Traditional Arabic" w:hAnsi="Traditional Arabic"/>
          <w:sz w:val="32"/>
          <w:szCs w:val="32"/>
          <w:rtl/>
        </w:rPr>
        <w:t xml:space="preserve"> واللفظ لمسلم. </w:t>
      </w:r>
    </w:p>
  </w:footnote>
  <w:footnote w:id="1613">
    <w:p w:rsidR="000D3D21" w:rsidRPr="00D564C3" w:rsidRDefault="000D3D21" w:rsidP="00C97663">
      <w:pPr>
        <w:pStyle w:val="a7"/>
        <w:pageBreakBefore/>
        <w:rPr>
          <w:rFonts w:ascii="Tahoma" w:hAnsi="Tahoma"/>
          <w:sz w:val="32"/>
          <w:szCs w:val="32"/>
        </w:rPr>
      </w:pPr>
      <w:r w:rsidRPr="00D564C3">
        <w:rPr>
          <w:rFonts w:ascii="Traditional Arabic" w:hAnsi="Traditional Arabic"/>
          <w:sz w:val="32"/>
          <w:szCs w:val="32"/>
          <w:rtl/>
        </w:rPr>
        <w:t>(</w:t>
      </w:r>
      <w:r w:rsidRPr="00D564C3">
        <w:rPr>
          <w:rStyle w:val="af1"/>
          <w:rFonts w:ascii="Traditional Arabic" w:hAnsi="Traditional Arabic"/>
          <w:sz w:val="32"/>
          <w:szCs w:val="32"/>
          <w:vertAlign w:val="baseline"/>
          <w:rtl/>
        </w:rPr>
        <w:footnoteRef/>
      </w:r>
      <w:r w:rsidRPr="00D564C3">
        <w:rPr>
          <w:rFonts w:ascii="Traditional Arabic" w:hAnsi="Traditional Arabic"/>
          <w:sz w:val="32"/>
          <w:szCs w:val="32"/>
          <w:rtl/>
        </w:rPr>
        <w:t>)</w:t>
      </w:r>
      <w:r>
        <w:rPr>
          <w:rFonts w:ascii="Traditional Arabic" w:hAnsi="Traditional Arabic" w:hint="cs"/>
          <w:sz w:val="32"/>
          <w:szCs w:val="32"/>
          <w:rtl/>
        </w:rPr>
        <w:t xml:space="preserve"> </w:t>
      </w:r>
      <w:r w:rsidRPr="00D564C3">
        <w:rPr>
          <w:rFonts w:ascii="Traditional Arabic" w:hAnsi="Traditional Arabic"/>
          <w:sz w:val="32"/>
          <w:szCs w:val="32"/>
          <w:rtl/>
        </w:rPr>
        <w:t>انظر فتح ذي الجلال والإكرام (4/4، 5).</w:t>
      </w:r>
    </w:p>
  </w:footnote>
  <w:footnote w:id="1614">
    <w:p w:rsidR="000D3D21" w:rsidRPr="00D564C3" w:rsidRDefault="000D3D21" w:rsidP="00D77425">
      <w:pPr>
        <w:pStyle w:val="a7"/>
        <w:pageBreakBefore/>
        <w:rPr>
          <w:rFonts w:ascii="Tahoma" w:hAnsi="Tahoma"/>
          <w:sz w:val="32"/>
          <w:szCs w:val="32"/>
        </w:rPr>
      </w:pPr>
      <w:r w:rsidRPr="00D564C3">
        <w:rPr>
          <w:rFonts w:ascii="Tahoma" w:hAnsi="Tahoma"/>
          <w:sz w:val="32"/>
          <w:szCs w:val="32"/>
          <w:rtl/>
        </w:rPr>
        <w:t>(</w:t>
      </w:r>
      <w:r w:rsidRPr="00D564C3">
        <w:rPr>
          <w:rStyle w:val="af1"/>
          <w:rFonts w:ascii="Tahoma" w:hAnsi="Tahoma"/>
          <w:sz w:val="32"/>
          <w:szCs w:val="32"/>
          <w:vertAlign w:val="baseline"/>
          <w:rtl/>
        </w:rPr>
        <w:footnoteRef/>
      </w:r>
      <w:r w:rsidRPr="00D564C3">
        <w:rPr>
          <w:rFonts w:ascii="Tahoma" w:hAnsi="Tahoma"/>
          <w:sz w:val="32"/>
          <w:szCs w:val="32"/>
          <w:rtl/>
        </w:rPr>
        <w:t>)</w:t>
      </w:r>
      <w:r>
        <w:rPr>
          <w:rFonts w:ascii="Tahoma" w:hAnsi="Tahoma" w:hint="cs"/>
          <w:sz w:val="32"/>
          <w:szCs w:val="32"/>
          <w:rtl/>
        </w:rPr>
        <w:t xml:space="preserve"> </w:t>
      </w:r>
      <w:r w:rsidRPr="00D564C3">
        <w:rPr>
          <w:rFonts w:ascii="Tahoma" w:hAnsi="Tahoma" w:hint="cs"/>
          <w:sz w:val="32"/>
          <w:szCs w:val="32"/>
          <w:rtl/>
        </w:rPr>
        <w:t>انظر قاعدة جميع العقود والف</w:t>
      </w:r>
      <w:r>
        <w:rPr>
          <w:rFonts w:ascii="Tahoma" w:hAnsi="Tahoma" w:hint="cs"/>
          <w:sz w:val="32"/>
          <w:szCs w:val="32"/>
          <w:rtl/>
        </w:rPr>
        <w:t>سوخ لابد فيها من الرضا في ص (376</w:t>
      </w:r>
      <w:r w:rsidRPr="00D564C3">
        <w:rPr>
          <w:rFonts w:ascii="Tahoma" w:hAnsi="Tahoma" w:hint="cs"/>
          <w:sz w:val="32"/>
          <w:szCs w:val="32"/>
          <w:rtl/>
        </w:rPr>
        <w:t>) من هذه الرسالة.</w:t>
      </w:r>
    </w:p>
  </w:footnote>
  <w:footnote w:id="1615">
    <w:p w:rsidR="000D3D21" w:rsidRPr="00E03D94" w:rsidRDefault="000D3D21" w:rsidP="00C97663">
      <w:pPr>
        <w:pStyle w:val="a7"/>
        <w:pageBreakBefore/>
        <w:rPr>
          <w:rFonts w:ascii="Tahoma" w:hAnsi="Tahoma"/>
        </w:rPr>
      </w:pPr>
      <w:r w:rsidRPr="00D564C3">
        <w:rPr>
          <w:rFonts w:ascii="Traditional Arabic" w:hAnsi="Traditional Arabic"/>
          <w:sz w:val="32"/>
          <w:szCs w:val="32"/>
          <w:rtl/>
        </w:rPr>
        <w:t>(</w:t>
      </w:r>
      <w:r w:rsidRPr="00D564C3">
        <w:rPr>
          <w:rStyle w:val="af1"/>
          <w:rFonts w:ascii="Traditional Arabic" w:hAnsi="Traditional Arabic"/>
          <w:sz w:val="32"/>
          <w:szCs w:val="32"/>
          <w:vertAlign w:val="baseline"/>
          <w:rtl/>
        </w:rPr>
        <w:footnoteRef/>
      </w:r>
      <w:r w:rsidRPr="00D564C3">
        <w:rPr>
          <w:rFonts w:ascii="Traditional Arabic" w:hAnsi="Traditional Arabic"/>
          <w:sz w:val="32"/>
          <w:szCs w:val="32"/>
          <w:rtl/>
        </w:rPr>
        <w:t>)</w:t>
      </w:r>
      <w:r>
        <w:rPr>
          <w:rFonts w:ascii="Traditional Arabic" w:hAnsi="Traditional Arabic" w:hint="cs"/>
          <w:sz w:val="32"/>
          <w:szCs w:val="32"/>
          <w:rtl/>
        </w:rPr>
        <w:t xml:space="preserve"> </w:t>
      </w:r>
      <w:r w:rsidRPr="00D564C3">
        <w:rPr>
          <w:rFonts w:ascii="Traditional Arabic" w:hAnsi="Traditional Arabic"/>
          <w:sz w:val="32"/>
          <w:szCs w:val="32"/>
          <w:rtl/>
        </w:rPr>
        <w:t>الفروق (3/314).</w:t>
      </w:r>
    </w:p>
  </w:footnote>
  <w:footnote w:id="1616">
    <w:p w:rsidR="000D3D21" w:rsidRPr="00BD12A9" w:rsidRDefault="000D3D21" w:rsidP="00C97663">
      <w:pPr>
        <w:widowControl/>
        <w:autoSpaceDE w:val="0"/>
        <w:autoSpaceDN w:val="0"/>
        <w:adjustRightInd w:val="0"/>
        <w:ind w:firstLine="0"/>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BD12A9">
        <w:rPr>
          <w:rFonts w:ascii="Traditional Arabic" w:hAnsi="Traditional Arabic"/>
          <w:noProof w:val="0"/>
          <w:sz w:val="32"/>
          <w:szCs w:val="32"/>
          <w:rtl/>
          <w:lang w:eastAsia="en-US"/>
        </w:rPr>
        <w:t>أخرجه البخاري في كتاب البيوع، باب بيع الأرض والدور والعروض مشاعا غير مقسوم، رقم الحديث (2214)، ومسلم في كتاب المساقاة والمزارعة، باب في الشفعة، حديث رقم (1608) عن جابر ـ بن عبد الله رضي الله عنه</w:t>
      </w:r>
      <w:r>
        <w:rPr>
          <w:rFonts w:ascii="Traditional Arabic" w:hAnsi="Traditional Arabic" w:hint="cs"/>
          <w:noProof w:val="0"/>
          <w:sz w:val="32"/>
          <w:szCs w:val="32"/>
          <w:rtl/>
          <w:lang w:eastAsia="en-US"/>
        </w:rPr>
        <w:t>_</w:t>
      </w:r>
      <w:r>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وا</w:t>
      </w:r>
      <w:r w:rsidRPr="00BD12A9">
        <w:rPr>
          <w:rFonts w:ascii="Traditional Arabic" w:hAnsi="Traditional Arabic"/>
          <w:noProof w:val="0"/>
          <w:sz w:val="32"/>
          <w:szCs w:val="32"/>
          <w:rtl/>
          <w:lang w:eastAsia="en-US"/>
        </w:rPr>
        <w:t>ل</w:t>
      </w:r>
      <w:r>
        <w:rPr>
          <w:rFonts w:ascii="Traditional Arabic" w:hAnsi="Traditional Arabic" w:hint="cs"/>
          <w:noProof w:val="0"/>
          <w:sz w:val="32"/>
          <w:szCs w:val="32"/>
          <w:rtl/>
          <w:lang w:eastAsia="en-US"/>
        </w:rPr>
        <w:t>ل</w:t>
      </w:r>
      <w:r>
        <w:rPr>
          <w:rFonts w:ascii="Traditional Arabic" w:hAnsi="Traditional Arabic"/>
          <w:noProof w:val="0"/>
          <w:sz w:val="32"/>
          <w:szCs w:val="32"/>
          <w:rtl/>
          <w:lang w:eastAsia="en-US"/>
        </w:rPr>
        <w:t xml:space="preserve">فظ </w:t>
      </w:r>
      <w:r>
        <w:rPr>
          <w:rFonts w:ascii="Traditional Arabic" w:hAnsi="Traditional Arabic" w:hint="cs"/>
          <w:noProof w:val="0"/>
          <w:sz w:val="32"/>
          <w:szCs w:val="32"/>
          <w:rtl/>
          <w:lang w:eastAsia="en-US"/>
        </w:rPr>
        <w:t>ل</w:t>
      </w:r>
      <w:r w:rsidRPr="00BD12A9">
        <w:rPr>
          <w:rFonts w:ascii="Traditional Arabic" w:hAnsi="Traditional Arabic"/>
          <w:noProof w:val="0"/>
          <w:sz w:val="32"/>
          <w:szCs w:val="32"/>
          <w:rtl/>
          <w:lang w:eastAsia="en-US"/>
        </w:rPr>
        <w:t>لبخاري.</w:t>
      </w:r>
    </w:p>
  </w:footnote>
  <w:footnote w:id="1617">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الشرح ال</w:t>
      </w:r>
      <w:r>
        <w:rPr>
          <w:rFonts w:ascii="Traditional Arabic" w:hAnsi="Traditional Arabic"/>
          <w:sz w:val="32"/>
          <w:szCs w:val="32"/>
          <w:rtl/>
        </w:rPr>
        <w:t>ممتع (10/250، 253-254)</w:t>
      </w:r>
      <w:r>
        <w:rPr>
          <w:rFonts w:ascii="Traditional Arabic" w:hAnsi="Traditional Arabic" w:hint="cs"/>
          <w:sz w:val="32"/>
          <w:szCs w:val="32"/>
          <w:rtl/>
        </w:rPr>
        <w:t xml:space="preserve"> </w:t>
      </w:r>
      <w:r>
        <w:rPr>
          <w:rFonts w:ascii="Traditional Arabic" w:hAnsi="Traditional Arabic"/>
          <w:sz w:val="32"/>
          <w:szCs w:val="32"/>
          <w:rtl/>
        </w:rPr>
        <w:t>بتصرف</w:t>
      </w:r>
      <w:r w:rsidRPr="00BD12A9">
        <w:rPr>
          <w:rFonts w:ascii="Traditional Arabic" w:hAnsi="Traditional Arabic"/>
          <w:sz w:val="32"/>
          <w:szCs w:val="32"/>
          <w:rtl/>
        </w:rPr>
        <w:t>.</w:t>
      </w:r>
    </w:p>
  </w:footnote>
  <w:footnote w:id="1618">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انظر المرجع السابق (8/269)، وفتح ذي الجلال والإكرام (4/4، 5).</w:t>
      </w:r>
    </w:p>
  </w:footnote>
  <w:footnote w:id="1619">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المرجع</w:t>
      </w:r>
      <w:r>
        <w:rPr>
          <w:rFonts w:ascii="Traditional Arabic" w:hAnsi="Traditional Arabic" w:hint="cs"/>
          <w:sz w:val="32"/>
          <w:szCs w:val="32"/>
          <w:rtl/>
        </w:rPr>
        <w:t>ين</w:t>
      </w:r>
      <w:r>
        <w:rPr>
          <w:rFonts w:ascii="Traditional Arabic" w:hAnsi="Traditional Arabic"/>
          <w:sz w:val="32"/>
          <w:szCs w:val="32"/>
          <w:rtl/>
        </w:rPr>
        <w:t xml:space="preserve"> السابق</w:t>
      </w:r>
      <w:r>
        <w:rPr>
          <w:rFonts w:ascii="Traditional Arabic" w:hAnsi="Traditional Arabic" w:hint="cs"/>
          <w:sz w:val="32"/>
          <w:szCs w:val="32"/>
          <w:rtl/>
        </w:rPr>
        <w:t>ين</w:t>
      </w:r>
      <w:r w:rsidRPr="00BD12A9">
        <w:rPr>
          <w:rFonts w:ascii="Traditional Arabic" w:hAnsi="Traditional Arabic"/>
          <w:sz w:val="32"/>
          <w:szCs w:val="32"/>
          <w:rtl/>
        </w:rPr>
        <w:t>.</w:t>
      </w:r>
    </w:p>
  </w:footnote>
  <w:footnote w:id="1620">
    <w:p w:rsidR="000D3D21" w:rsidRPr="00BD12A9" w:rsidRDefault="000D3D21" w:rsidP="00C9766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D12A9">
        <w:rPr>
          <w:rFonts w:ascii="Traditional Arabic" w:hAnsi="Traditional Arabic"/>
          <w:sz w:val="32"/>
          <w:szCs w:val="32"/>
          <w:rtl/>
        </w:rPr>
        <w:t>انظر الشرح الممتع (10/250).</w:t>
      </w:r>
    </w:p>
  </w:footnote>
  <w:footnote w:id="1621">
    <w:p w:rsidR="000D3D21" w:rsidRDefault="000D3D21" w:rsidP="00C97663">
      <w:pPr>
        <w:pStyle w:val="a7"/>
        <w:pageBreakBefore/>
        <w:rPr>
          <w:rFonts w:ascii="Tahoma" w:hAnsi="Tahoma"/>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ومع ذلك فإنه لا يمكَّن الشفيع من تأخيرٍ يضرّ بالمشتري. </w:t>
      </w:r>
      <w:r>
        <w:rPr>
          <w:rFonts w:ascii="Traditional Arabic" w:hAnsi="Traditional Arabic"/>
          <w:sz w:val="32"/>
          <w:szCs w:val="32"/>
          <w:rtl/>
        </w:rPr>
        <w:t>انظر</w:t>
      </w:r>
      <w:r>
        <w:rPr>
          <w:rFonts w:ascii="Traditional Arabic" w:hAnsi="Traditional Arabic" w:hint="cs"/>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مرجع السابق</w:t>
      </w:r>
      <w:r w:rsidRPr="00BD12A9">
        <w:rPr>
          <w:rFonts w:ascii="Traditional Arabic" w:hAnsi="Traditional Arabic"/>
          <w:sz w:val="32"/>
          <w:szCs w:val="32"/>
          <w:rtl/>
        </w:rPr>
        <w:t xml:space="preserve"> (10/251، 253)</w:t>
      </w:r>
      <w:r>
        <w:rPr>
          <w:rFonts w:ascii="Traditional Arabic" w:hAnsi="Traditional Arabic" w:hint="cs"/>
          <w:sz w:val="32"/>
          <w:szCs w:val="32"/>
          <w:rtl/>
        </w:rPr>
        <w:t>، وإرشاد أولي البصائر للسعدي (142)</w:t>
      </w:r>
      <w:r w:rsidRPr="00BD12A9">
        <w:rPr>
          <w:rFonts w:ascii="Traditional Arabic" w:hAnsi="Traditional Arabic"/>
          <w:sz w:val="32"/>
          <w:szCs w:val="32"/>
          <w:rtl/>
        </w:rPr>
        <w:t>.</w:t>
      </w:r>
    </w:p>
    <w:p w:rsidR="000D3D21" w:rsidRPr="00317BBD" w:rsidRDefault="000D3D21" w:rsidP="00C97663">
      <w:pPr>
        <w:pStyle w:val="a7"/>
        <w:pageBreakBefore/>
        <w:rPr>
          <w:rFonts w:ascii="Tahoma" w:hAnsi="Tahoma"/>
        </w:rPr>
      </w:pPr>
    </w:p>
  </w:footnote>
  <w:footnote w:id="1622">
    <w:p w:rsidR="000D3D21" w:rsidRPr="00C33836" w:rsidRDefault="000D3D21" w:rsidP="00C97663">
      <w:pPr>
        <w:pStyle w:val="a7"/>
        <w:rPr>
          <w:rFonts w:ascii="Traditional Arabic" w:hAnsi="Traditional Arabic"/>
          <w:sz w:val="32"/>
          <w:szCs w:val="32"/>
          <w:rtl/>
        </w:rPr>
      </w:pPr>
      <w:r w:rsidRPr="00C33836">
        <w:rPr>
          <w:rStyle w:val="af1"/>
          <w:rFonts w:ascii="Traditional Arabic" w:hAnsi="Traditional Arabic"/>
          <w:sz w:val="32"/>
          <w:szCs w:val="32"/>
          <w:vertAlign w:val="baseline"/>
        </w:rPr>
        <w:footnoteRef/>
      </w:r>
      <w:r w:rsidRPr="00C33836">
        <w:rPr>
          <w:rFonts w:ascii="Traditional Arabic" w:hAnsi="Traditional Arabic"/>
          <w:sz w:val="32"/>
          <w:szCs w:val="32"/>
        </w:rPr>
        <w:t>)</w:t>
      </w:r>
      <w:r w:rsidRPr="00C33836">
        <w:rPr>
          <w:rFonts w:ascii="Traditional Arabic" w:hAnsi="Traditional Arabic"/>
          <w:sz w:val="32"/>
          <w:szCs w:val="32"/>
          <w:rtl/>
        </w:rPr>
        <w:t>)</w:t>
      </w:r>
      <w:r>
        <w:rPr>
          <w:rFonts w:ascii="Traditional Arabic" w:hAnsi="Traditional Arabic" w:hint="cs"/>
          <w:sz w:val="32"/>
          <w:szCs w:val="32"/>
          <w:rtl/>
        </w:rPr>
        <w:t xml:space="preserve"> </w:t>
      </w:r>
      <w:r w:rsidRPr="00C33836">
        <w:rPr>
          <w:rFonts w:ascii="Traditional Arabic" w:hAnsi="Traditional Arabic" w:hint="cs"/>
          <w:sz w:val="32"/>
          <w:szCs w:val="32"/>
          <w:rtl/>
        </w:rPr>
        <w:t>اخترت هذه الصيغة</w:t>
      </w:r>
      <w:r>
        <w:rPr>
          <w:rFonts w:ascii="Traditional Arabic" w:hAnsi="Traditional Arabic" w:hint="cs"/>
          <w:sz w:val="32"/>
          <w:szCs w:val="32"/>
          <w:rtl/>
        </w:rPr>
        <w:t>؛ لوجازتها؛ و</w:t>
      </w:r>
      <w:r w:rsidRPr="00C33836">
        <w:rPr>
          <w:rFonts w:ascii="Traditional Arabic" w:hAnsi="Traditional Arabic" w:hint="cs"/>
          <w:sz w:val="32"/>
          <w:szCs w:val="32"/>
          <w:rtl/>
        </w:rPr>
        <w:t xml:space="preserve">لأن الشيخ </w:t>
      </w:r>
      <w:r>
        <w:rPr>
          <w:rFonts w:ascii="Traditional Arabic" w:hAnsi="Traditional Arabic" w:hint="cs"/>
          <w:sz w:val="32"/>
          <w:szCs w:val="32"/>
          <w:rtl/>
        </w:rPr>
        <w:t>_رحمه الله_</w:t>
      </w:r>
      <w:r w:rsidRPr="00C33836">
        <w:rPr>
          <w:rFonts w:ascii="Traditional Arabic" w:hAnsi="Traditional Arabic" w:hint="cs"/>
          <w:sz w:val="32"/>
          <w:szCs w:val="32"/>
          <w:rtl/>
        </w:rPr>
        <w:t>صد</w:t>
      </w:r>
      <w:r>
        <w:rPr>
          <w:rFonts w:ascii="Traditional Arabic" w:hAnsi="Traditional Arabic" w:hint="cs"/>
          <w:sz w:val="32"/>
          <w:szCs w:val="32"/>
          <w:rtl/>
        </w:rPr>
        <w:t>َّ</w:t>
      </w:r>
      <w:r w:rsidRPr="00C33836">
        <w:rPr>
          <w:rFonts w:ascii="Traditional Arabic" w:hAnsi="Traditional Arabic" w:hint="cs"/>
          <w:sz w:val="32"/>
          <w:szCs w:val="32"/>
          <w:rtl/>
        </w:rPr>
        <w:t>رها بقوله قاعدة، حيث قال: (قاعدة: إذا تساوت الحقوق ن</w:t>
      </w:r>
      <w:r>
        <w:rPr>
          <w:rFonts w:ascii="Traditional Arabic" w:hAnsi="Traditional Arabic" w:hint="cs"/>
          <w:sz w:val="32"/>
          <w:szCs w:val="32"/>
          <w:rtl/>
        </w:rPr>
        <w:t>ُ</w:t>
      </w:r>
      <w:r w:rsidRPr="00C33836">
        <w:rPr>
          <w:rFonts w:ascii="Traditional Arabic" w:hAnsi="Traditional Arabic" w:hint="cs"/>
          <w:sz w:val="32"/>
          <w:szCs w:val="32"/>
          <w:rtl/>
        </w:rPr>
        <w:t>قرع،</w:t>
      </w:r>
      <w:r>
        <w:rPr>
          <w:rFonts w:ascii="Traditional Arabic" w:hAnsi="Traditional Arabic" w:hint="cs"/>
          <w:sz w:val="32"/>
          <w:szCs w:val="32"/>
          <w:rtl/>
        </w:rPr>
        <w:t xml:space="preserve"> والقرعة طريق شرعي للمتساويات</w:t>
      </w:r>
      <w:r w:rsidRPr="00C33836">
        <w:rPr>
          <w:rFonts w:ascii="Traditional Arabic" w:hAnsi="Traditional Arabic" w:hint="cs"/>
          <w:sz w:val="32"/>
          <w:szCs w:val="32"/>
          <w:rtl/>
        </w:rPr>
        <w:t>)،</w:t>
      </w:r>
      <w:r>
        <w:rPr>
          <w:rFonts w:ascii="Traditional Arabic" w:hAnsi="Traditional Arabic" w:hint="cs"/>
          <w:sz w:val="32"/>
          <w:szCs w:val="32"/>
          <w:rtl/>
        </w:rPr>
        <w:t xml:space="preserve"> و</w:t>
      </w:r>
      <w:r w:rsidRPr="00C33836">
        <w:rPr>
          <w:rFonts w:ascii="Traditional Arabic" w:hAnsi="Traditional Arabic" w:hint="cs"/>
          <w:sz w:val="32"/>
          <w:szCs w:val="32"/>
          <w:rtl/>
        </w:rPr>
        <w:t>أضفت إليها ما بين المعكوفتين حتى تتضح</w:t>
      </w:r>
      <w:r>
        <w:rPr>
          <w:rFonts w:ascii="Traditional Arabic" w:hAnsi="Traditional Arabic" w:hint="cs"/>
          <w:sz w:val="32"/>
          <w:szCs w:val="32"/>
          <w:rtl/>
        </w:rPr>
        <w:t xml:space="preserve"> </w:t>
      </w:r>
      <w:r w:rsidRPr="00C33836">
        <w:rPr>
          <w:rFonts w:ascii="Traditional Arabic" w:hAnsi="Traditional Arabic" w:hint="cs"/>
          <w:noProof w:val="0"/>
          <w:sz w:val="32"/>
          <w:szCs w:val="32"/>
          <w:rtl/>
          <w:lang w:eastAsia="en-US"/>
        </w:rPr>
        <w:t>دلالة هذه الصيغة على معنى القاعدة،</w:t>
      </w:r>
      <w:r>
        <w:rPr>
          <w:rFonts w:ascii="Traditional Arabic" w:hAnsi="Traditional Arabic" w:hint="cs"/>
          <w:noProof w:val="0"/>
          <w:sz w:val="32"/>
          <w:szCs w:val="32"/>
          <w:rtl/>
          <w:lang w:eastAsia="en-US"/>
        </w:rPr>
        <w:t xml:space="preserve"> وهذه الإضافة مستفادة من الصيغة الثالث</w:t>
      </w:r>
      <w:r w:rsidRPr="00C33836">
        <w:rPr>
          <w:rFonts w:ascii="Traditional Arabic" w:hAnsi="Traditional Arabic" w:hint="cs"/>
          <w:noProof w:val="0"/>
          <w:sz w:val="32"/>
          <w:szCs w:val="32"/>
          <w:rtl/>
          <w:lang w:eastAsia="en-US"/>
        </w:rPr>
        <w:t>ة</w:t>
      </w:r>
      <w:r>
        <w:rPr>
          <w:rFonts w:ascii="Traditional Arabic" w:hAnsi="Traditional Arabic" w:hint="cs"/>
          <w:noProof w:val="0"/>
          <w:sz w:val="32"/>
          <w:szCs w:val="32"/>
          <w:rtl/>
          <w:lang w:eastAsia="en-US"/>
        </w:rPr>
        <w:t xml:space="preserve"> و</w:t>
      </w:r>
      <w:r w:rsidRPr="00C33836">
        <w:rPr>
          <w:rFonts w:ascii="Traditional Arabic" w:hAnsi="Traditional Arabic" w:hint="cs"/>
          <w:noProof w:val="0"/>
          <w:sz w:val="32"/>
          <w:szCs w:val="32"/>
          <w:rtl/>
          <w:lang w:eastAsia="en-US"/>
        </w:rPr>
        <w:t>الأخيرة عند الشيخ،</w:t>
      </w:r>
      <w:r>
        <w:rPr>
          <w:rFonts w:ascii="Traditional Arabic" w:hAnsi="Traditional Arabic" w:hint="cs"/>
          <w:noProof w:val="0"/>
          <w:sz w:val="32"/>
          <w:szCs w:val="32"/>
          <w:rtl/>
          <w:lang w:eastAsia="en-US"/>
        </w:rPr>
        <w:t xml:space="preserve"> و</w:t>
      </w:r>
      <w:r w:rsidRPr="00C33836">
        <w:rPr>
          <w:rFonts w:ascii="Traditional Arabic" w:hAnsi="Traditional Arabic" w:hint="cs"/>
          <w:noProof w:val="0"/>
          <w:sz w:val="32"/>
          <w:szCs w:val="32"/>
          <w:rtl/>
          <w:lang w:eastAsia="en-US"/>
        </w:rPr>
        <w:t>من بعض الصيغ التي ذكرها علماء القواعد،</w:t>
      </w:r>
      <w:r>
        <w:rPr>
          <w:rFonts w:ascii="Traditional Arabic" w:hAnsi="Traditional Arabic" w:hint="cs"/>
          <w:noProof w:val="0"/>
          <w:sz w:val="32"/>
          <w:szCs w:val="32"/>
          <w:rtl/>
          <w:lang w:eastAsia="en-US"/>
        </w:rPr>
        <w:t xml:space="preserve"> و</w:t>
      </w:r>
      <w:r w:rsidRPr="00C33836">
        <w:rPr>
          <w:rFonts w:ascii="Traditional Arabic" w:hAnsi="Traditional Arabic" w:hint="cs"/>
          <w:noProof w:val="0"/>
          <w:sz w:val="32"/>
          <w:szCs w:val="32"/>
          <w:rtl/>
          <w:lang w:eastAsia="en-US"/>
        </w:rPr>
        <w:t>الله أعلم.</w:t>
      </w:r>
      <w:r>
        <w:rPr>
          <w:rFonts w:ascii="Traditional Arabic" w:hAnsi="Traditional Arabic" w:hint="cs"/>
          <w:noProof w:val="0"/>
          <w:sz w:val="32"/>
          <w:szCs w:val="32"/>
          <w:rtl/>
          <w:lang w:eastAsia="en-US"/>
        </w:rPr>
        <w:t xml:space="preserve"> </w:t>
      </w:r>
      <w:r w:rsidRPr="00C33836">
        <w:rPr>
          <w:rFonts w:ascii="Traditional Arabic" w:hAnsi="Traditional Arabic" w:hint="cs"/>
          <w:noProof w:val="0"/>
          <w:sz w:val="32"/>
          <w:szCs w:val="32"/>
          <w:rtl/>
          <w:lang w:eastAsia="en-US"/>
        </w:rPr>
        <w:t>انظر الشرح الممتع (6/158).</w:t>
      </w:r>
    </w:p>
  </w:footnote>
  <w:footnote w:id="1623">
    <w:p w:rsidR="000D3D21" w:rsidRPr="00C33836" w:rsidRDefault="000D3D21" w:rsidP="00C97663">
      <w:pPr>
        <w:pStyle w:val="a7"/>
        <w:rPr>
          <w:rFonts w:ascii="Traditional Arabic" w:hAnsi="Traditional Arabic"/>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sz w:val="32"/>
          <w:szCs w:val="32"/>
          <w:rtl/>
        </w:rPr>
        <w:t>) ال</w:t>
      </w:r>
      <w:r w:rsidRPr="00C33836">
        <w:rPr>
          <w:rFonts w:ascii="Traditional Arabic" w:hAnsi="Traditional Arabic" w:hint="cs"/>
          <w:sz w:val="32"/>
          <w:szCs w:val="32"/>
          <w:rtl/>
        </w:rPr>
        <w:t>مرجع السابق (6/158)</w:t>
      </w:r>
      <w:r w:rsidRPr="00C33836">
        <w:rPr>
          <w:rFonts w:ascii="Traditional Arabic" w:hAnsi="Traditional Arabic"/>
          <w:sz w:val="32"/>
          <w:szCs w:val="32"/>
          <w:rtl/>
        </w:rPr>
        <w:t>.</w:t>
      </w:r>
    </w:p>
  </w:footnote>
  <w:footnote w:id="1624">
    <w:p w:rsidR="000D3D21" w:rsidRPr="004D15E3" w:rsidRDefault="000D3D21" w:rsidP="00C97663">
      <w:pPr>
        <w:pStyle w:val="a7"/>
        <w:rPr>
          <w:sz w:val="32"/>
          <w:szCs w:val="32"/>
        </w:rPr>
      </w:pPr>
      <w:r w:rsidRPr="004D15E3">
        <w:rPr>
          <w:rFonts w:ascii="Traditional Arabic" w:hAnsi="Traditional Arabic"/>
          <w:sz w:val="32"/>
          <w:szCs w:val="32"/>
        </w:rPr>
        <w:footnoteRef/>
      </w:r>
      <w:r w:rsidRPr="004D15E3">
        <w:rPr>
          <w:rFonts w:ascii="Traditional Arabic" w:hAnsi="Traditional Arabic"/>
          <w:sz w:val="32"/>
          <w:szCs w:val="32"/>
        </w:rPr>
        <w:t>)</w:t>
      </w:r>
      <w:r w:rsidRPr="004D15E3">
        <w:rPr>
          <w:rFonts w:ascii="Traditional Arabic" w:hAnsi="Traditional Arabic" w:hint="cs"/>
          <w:sz w:val="32"/>
          <w:szCs w:val="32"/>
          <w:rtl/>
        </w:rPr>
        <w:t>)</w:t>
      </w:r>
      <w:r w:rsidRPr="004D15E3">
        <w:rPr>
          <w:rFonts w:hint="cs"/>
          <w:sz w:val="32"/>
          <w:szCs w:val="32"/>
          <w:rtl/>
        </w:rPr>
        <w:t xml:space="preserve"> المرجع السابق (11/292).</w:t>
      </w:r>
    </w:p>
  </w:footnote>
  <w:footnote w:id="1625">
    <w:p w:rsidR="000D3D21" w:rsidRPr="00C33836" w:rsidRDefault="000D3D21" w:rsidP="00C97663">
      <w:pPr>
        <w:pStyle w:val="a7"/>
        <w:rPr>
          <w:rFonts w:ascii="Traditional Arabic" w:hAnsi="Traditional Arabic"/>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sz w:val="32"/>
          <w:szCs w:val="32"/>
          <w:rtl/>
        </w:rPr>
        <w:t>) المرجع السابق (11/292).</w:t>
      </w:r>
    </w:p>
  </w:footnote>
  <w:footnote w:id="1626">
    <w:p w:rsidR="000D3D21" w:rsidRPr="00C33836" w:rsidRDefault="000D3D21" w:rsidP="00C97663">
      <w:pPr>
        <w:pStyle w:val="a7"/>
        <w:rPr>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sz w:val="32"/>
          <w:szCs w:val="32"/>
          <w:rtl/>
        </w:rPr>
        <w:t xml:space="preserve">) </w:t>
      </w:r>
      <w:r>
        <w:rPr>
          <w:rFonts w:ascii="Traditional Arabic" w:hAnsi="Traditional Arabic" w:hint="cs"/>
          <w:sz w:val="32"/>
          <w:szCs w:val="32"/>
          <w:rtl/>
        </w:rPr>
        <w:t>انظر:</w:t>
      </w:r>
      <w:r>
        <w:rPr>
          <w:rFonts w:ascii="Traditional Arabic" w:hAnsi="Traditional Arabic"/>
          <w:sz w:val="32"/>
          <w:szCs w:val="32"/>
          <w:rtl/>
        </w:rPr>
        <w:t>المرجع السابق (</w:t>
      </w:r>
      <w:r>
        <w:rPr>
          <w:rFonts w:ascii="Traditional Arabic" w:hAnsi="Traditional Arabic" w:hint="cs"/>
          <w:sz w:val="32"/>
          <w:szCs w:val="32"/>
          <w:rtl/>
        </w:rPr>
        <w:t>13/172، 175</w:t>
      </w:r>
      <w:r w:rsidRPr="00C33836">
        <w:rPr>
          <w:rFonts w:ascii="Traditional Arabic" w:hAnsi="Traditional Arabic"/>
          <w:sz w:val="32"/>
          <w:szCs w:val="32"/>
          <w:rtl/>
        </w:rPr>
        <w:t>).</w:t>
      </w:r>
    </w:p>
  </w:footnote>
  <w:footnote w:id="1627">
    <w:p w:rsidR="000D3D21" w:rsidRPr="00C33836" w:rsidRDefault="000D3D21" w:rsidP="00C97663">
      <w:pPr>
        <w:pStyle w:val="a7"/>
        <w:rPr>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w:t>
      </w:r>
      <w:r>
        <w:rPr>
          <w:rFonts w:ascii="Traditional Arabic" w:hAnsi="Traditional Arabic" w:hint="cs"/>
          <w:sz w:val="32"/>
          <w:szCs w:val="32"/>
          <w:rtl/>
        </w:rPr>
        <w:t xml:space="preserve"> </w:t>
      </w:r>
      <w:r w:rsidRPr="00C33836">
        <w:rPr>
          <w:rFonts w:ascii="Traditional Arabic" w:hAnsi="Traditional Arabic" w:hint="cs"/>
          <w:sz w:val="32"/>
          <w:szCs w:val="32"/>
          <w:rtl/>
        </w:rPr>
        <w:t>فتح ذي الجلال</w:t>
      </w:r>
      <w:r>
        <w:rPr>
          <w:rFonts w:ascii="Traditional Arabic" w:hAnsi="Traditional Arabic" w:hint="cs"/>
          <w:sz w:val="32"/>
          <w:szCs w:val="32"/>
          <w:rtl/>
        </w:rPr>
        <w:t xml:space="preserve"> و</w:t>
      </w:r>
      <w:r w:rsidRPr="00C33836">
        <w:rPr>
          <w:rFonts w:ascii="Traditional Arabic" w:hAnsi="Traditional Arabic" w:hint="cs"/>
          <w:sz w:val="32"/>
          <w:szCs w:val="32"/>
          <w:rtl/>
        </w:rPr>
        <w:t>الإكرام (4/646).</w:t>
      </w:r>
    </w:p>
  </w:footnote>
  <w:footnote w:id="1628">
    <w:p w:rsidR="000D3D21" w:rsidRPr="00C33836" w:rsidRDefault="000D3D21" w:rsidP="00C97663">
      <w:pPr>
        <w:pStyle w:val="a7"/>
        <w:rPr>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w:t>
      </w:r>
      <w:r>
        <w:rPr>
          <w:rFonts w:ascii="Traditional Arabic" w:hAnsi="Traditional Arabic" w:hint="cs"/>
          <w:sz w:val="32"/>
          <w:szCs w:val="32"/>
          <w:rtl/>
        </w:rPr>
        <w:t xml:space="preserve"> شرح </w:t>
      </w:r>
      <w:r w:rsidRPr="00C33836">
        <w:rPr>
          <w:rFonts w:ascii="Traditional Arabic" w:hAnsi="Traditional Arabic" w:hint="cs"/>
          <w:sz w:val="32"/>
          <w:szCs w:val="32"/>
          <w:rtl/>
        </w:rPr>
        <w:t>منظومة</w:t>
      </w:r>
      <w:r>
        <w:rPr>
          <w:rFonts w:ascii="Traditional Arabic" w:hAnsi="Traditional Arabic" w:hint="cs"/>
          <w:sz w:val="32"/>
          <w:szCs w:val="32"/>
          <w:rtl/>
        </w:rPr>
        <w:t xml:space="preserve"> أصول الفقه وقواعده</w:t>
      </w:r>
      <w:r w:rsidRPr="00C33836">
        <w:rPr>
          <w:rFonts w:hint="cs"/>
          <w:sz w:val="32"/>
          <w:szCs w:val="32"/>
          <w:rtl/>
        </w:rPr>
        <w:t xml:space="preserve"> (342).</w:t>
      </w:r>
    </w:p>
  </w:footnote>
  <w:footnote w:id="1629">
    <w:p w:rsidR="000D3D21" w:rsidRPr="00C33836" w:rsidRDefault="000D3D21" w:rsidP="00C97663">
      <w:pPr>
        <w:pStyle w:val="a7"/>
        <w:rPr>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w:t>
      </w:r>
      <w:r>
        <w:rPr>
          <w:rFonts w:ascii="Traditional Arabic" w:hAnsi="Traditional Arabic" w:hint="cs"/>
          <w:sz w:val="32"/>
          <w:szCs w:val="32"/>
          <w:rtl/>
        </w:rPr>
        <w:t xml:space="preserve"> </w:t>
      </w:r>
      <w:r w:rsidRPr="00C33836">
        <w:rPr>
          <w:rFonts w:ascii="Traditional Arabic" w:hAnsi="Traditional Arabic" w:hint="cs"/>
          <w:sz w:val="32"/>
          <w:szCs w:val="32"/>
          <w:rtl/>
        </w:rPr>
        <w:t>تعرّض بعض العلماء للكلام عن هذه القاعدة دون ذكر صيغة معينة لها.انظر: الفروق للقرافي (4/215)،</w:t>
      </w:r>
      <w:r>
        <w:rPr>
          <w:rFonts w:ascii="Traditional Arabic" w:hAnsi="Traditional Arabic" w:hint="cs"/>
          <w:sz w:val="32"/>
          <w:szCs w:val="32"/>
          <w:rtl/>
        </w:rPr>
        <w:t xml:space="preserve"> و</w:t>
      </w:r>
      <w:r w:rsidRPr="00C33836">
        <w:rPr>
          <w:rFonts w:ascii="Traditional Arabic" w:hAnsi="Traditional Arabic" w:hint="cs"/>
          <w:sz w:val="32"/>
          <w:szCs w:val="32"/>
          <w:rtl/>
        </w:rPr>
        <w:t>قواعد الأحكام في إصلاح الأنام (1/127)،</w:t>
      </w:r>
      <w:r>
        <w:rPr>
          <w:rFonts w:ascii="Traditional Arabic" w:hAnsi="Traditional Arabic" w:hint="cs"/>
          <w:sz w:val="32"/>
          <w:szCs w:val="32"/>
          <w:rtl/>
        </w:rPr>
        <w:t xml:space="preserve"> والمجموع المذهب للعلائي (2/483)، و</w:t>
      </w:r>
      <w:r w:rsidRPr="00C33836">
        <w:rPr>
          <w:rFonts w:ascii="Traditional Arabic" w:hAnsi="Traditional Arabic" w:hint="cs"/>
          <w:sz w:val="32"/>
          <w:szCs w:val="32"/>
          <w:rtl/>
        </w:rPr>
        <w:t>المنثور للزركشي (3/62)</w:t>
      </w:r>
      <w:r>
        <w:rPr>
          <w:rFonts w:ascii="Traditional Arabic" w:hAnsi="Traditional Arabic" w:hint="cs"/>
          <w:sz w:val="32"/>
          <w:szCs w:val="32"/>
          <w:rtl/>
        </w:rPr>
        <w:t>، والقواعد للحصني (4/239)</w:t>
      </w:r>
      <w:r w:rsidRPr="00C33836">
        <w:rPr>
          <w:rFonts w:ascii="Traditional Arabic" w:hAnsi="Traditional Arabic" w:hint="cs"/>
          <w:sz w:val="32"/>
          <w:szCs w:val="32"/>
          <w:rtl/>
        </w:rPr>
        <w:t>.</w:t>
      </w:r>
    </w:p>
  </w:footnote>
  <w:footnote w:id="1630">
    <w:p w:rsidR="000D3D21" w:rsidRDefault="000D3D21" w:rsidP="00C97663">
      <w:pPr>
        <w:pStyle w:val="a7"/>
        <w:rPr>
          <w:rFonts w:ascii="Traditional Arabic" w:hAnsi="Traditional Arabic"/>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 المستدرك على مجموع فتاوى شيخ الإسلام ابن تيمية</w:t>
      </w:r>
      <w:r>
        <w:rPr>
          <w:rFonts w:ascii="Traditional Arabic" w:hAnsi="Traditional Arabic" w:hint="cs"/>
          <w:sz w:val="32"/>
          <w:szCs w:val="32"/>
          <w:rtl/>
        </w:rPr>
        <w:t xml:space="preserve"> </w:t>
      </w:r>
      <w:r w:rsidRPr="00C33836">
        <w:rPr>
          <w:rFonts w:ascii="Traditional Arabic" w:hAnsi="Traditional Arabic" w:hint="cs"/>
          <w:sz w:val="32"/>
          <w:szCs w:val="32"/>
          <w:rtl/>
        </w:rPr>
        <w:t xml:space="preserve">لمحمد بن عبد الرحمن بن قاسم (5/200)، </w:t>
      </w:r>
    </w:p>
    <w:p w:rsidR="000D3D21" w:rsidRPr="00C33836" w:rsidRDefault="000D3D21" w:rsidP="00C97663">
      <w:pPr>
        <w:pStyle w:val="a7"/>
        <w:rPr>
          <w:rFonts w:ascii="Traditional Arabic" w:hAnsi="Traditional Arabic"/>
          <w:sz w:val="32"/>
          <w:szCs w:val="32"/>
          <w:rtl/>
        </w:rPr>
      </w:pPr>
      <w:r>
        <w:rPr>
          <w:rFonts w:ascii="Traditional Arabic" w:hAnsi="Traditional Arabic" w:hint="cs"/>
          <w:sz w:val="32"/>
          <w:szCs w:val="32"/>
          <w:rtl/>
        </w:rPr>
        <w:t xml:space="preserve">     و</w:t>
      </w:r>
      <w:r w:rsidRPr="00C33836">
        <w:rPr>
          <w:rFonts w:ascii="Traditional Arabic" w:hAnsi="Traditional Arabic" w:hint="cs"/>
          <w:sz w:val="32"/>
          <w:szCs w:val="32"/>
          <w:rtl/>
        </w:rPr>
        <w:t>القواعد</w:t>
      </w:r>
      <w:r>
        <w:rPr>
          <w:rFonts w:ascii="Traditional Arabic" w:hAnsi="Traditional Arabic" w:hint="cs"/>
          <w:sz w:val="32"/>
          <w:szCs w:val="32"/>
          <w:rtl/>
        </w:rPr>
        <w:t xml:space="preserve"> و</w:t>
      </w:r>
      <w:r w:rsidRPr="00C33836">
        <w:rPr>
          <w:rFonts w:ascii="Traditional Arabic" w:hAnsi="Traditional Arabic" w:hint="cs"/>
          <w:sz w:val="32"/>
          <w:szCs w:val="32"/>
          <w:rtl/>
        </w:rPr>
        <w:t>الضوابط الفقهية عند ابن تيمية في الشهادات</w:t>
      </w:r>
      <w:r>
        <w:rPr>
          <w:rFonts w:ascii="Traditional Arabic" w:hAnsi="Traditional Arabic" w:hint="cs"/>
          <w:sz w:val="32"/>
          <w:szCs w:val="32"/>
          <w:rtl/>
        </w:rPr>
        <w:t xml:space="preserve"> و</w:t>
      </w:r>
      <w:r w:rsidRPr="00C33836">
        <w:rPr>
          <w:rFonts w:ascii="Traditional Arabic" w:hAnsi="Traditional Arabic" w:hint="cs"/>
          <w:sz w:val="32"/>
          <w:szCs w:val="32"/>
          <w:rtl/>
        </w:rPr>
        <w:t>الأقضية</w:t>
      </w:r>
      <w:r>
        <w:rPr>
          <w:rFonts w:ascii="Traditional Arabic" w:hAnsi="Traditional Arabic" w:hint="cs"/>
          <w:sz w:val="32"/>
          <w:szCs w:val="32"/>
          <w:rtl/>
        </w:rPr>
        <w:t xml:space="preserve"> والقسمة والإقرارات لعبد الله </w:t>
      </w:r>
      <w:r w:rsidRPr="00C33836">
        <w:rPr>
          <w:rFonts w:ascii="Traditional Arabic" w:hAnsi="Traditional Arabic" w:hint="cs"/>
          <w:sz w:val="32"/>
          <w:szCs w:val="32"/>
          <w:rtl/>
        </w:rPr>
        <w:t>النفاعي (245).</w:t>
      </w:r>
    </w:p>
  </w:footnote>
  <w:footnote w:id="1631">
    <w:p w:rsidR="000D3D21" w:rsidRPr="00C33836" w:rsidRDefault="000D3D21" w:rsidP="00C97663">
      <w:pPr>
        <w:pStyle w:val="a7"/>
        <w:rPr>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w:t>
      </w:r>
      <w:r>
        <w:rPr>
          <w:rFonts w:ascii="Traditional Arabic" w:hAnsi="Traditional Arabic" w:hint="cs"/>
          <w:sz w:val="32"/>
          <w:szCs w:val="32"/>
          <w:rtl/>
        </w:rPr>
        <w:t xml:space="preserve"> </w:t>
      </w:r>
      <w:r w:rsidRPr="00C33836">
        <w:rPr>
          <w:rFonts w:ascii="Traditional Arabic" w:hAnsi="Traditional Arabic" w:hint="cs"/>
          <w:sz w:val="32"/>
          <w:szCs w:val="32"/>
          <w:rtl/>
        </w:rPr>
        <w:t>زاد المعاد (5/469).و انظر القواعد</w:t>
      </w:r>
      <w:r>
        <w:rPr>
          <w:rFonts w:ascii="Traditional Arabic" w:hAnsi="Traditional Arabic" w:hint="cs"/>
          <w:sz w:val="32"/>
          <w:szCs w:val="32"/>
          <w:rtl/>
        </w:rPr>
        <w:t xml:space="preserve"> و</w:t>
      </w:r>
      <w:r w:rsidRPr="00C33836">
        <w:rPr>
          <w:rFonts w:ascii="Traditional Arabic" w:hAnsi="Traditional Arabic" w:hint="cs"/>
          <w:sz w:val="32"/>
          <w:szCs w:val="32"/>
          <w:rtl/>
        </w:rPr>
        <w:t>الضوابط الفقهية عند ابن القي</w:t>
      </w:r>
      <w:r>
        <w:rPr>
          <w:rFonts w:ascii="Traditional Arabic" w:hAnsi="Traditional Arabic" w:hint="cs"/>
          <w:sz w:val="32"/>
          <w:szCs w:val="32"/>
          <w:rtl/>
        </w:rPr>
        <w:t>م في فقه الأسرة</w:t>
      </w:r>
      <w:r w:rsidRPr="00C33836">
        <w:rPr>
          <w:rFonts w:ascii="Traditional Arabic" w:hAnsi="Traditional Arabic" w:hint="cs"/>
          <w:sz w:val="32"/>
          <w:szCs w:val="32"/>
          <w:rtl/>
        </w:rPr>
        <w:t xml:space="preserve"> (410).</w:t>
      </w:r>
    </w:p>
  </w:footnote>
  <w:footnote w:id="1632">
    <w:p w:rsidR="000D3D21" w:rsidRDefault="000D3D21" w:rsidP="00C97663">
      <w:pPr>
        <w:pStyle w:val="a7"/>
        <w:rPr>
          <w:rtl/>
        </w:rPr>
      </w:pPr>
      <w:r w:rsidRPr="001D1D49">
        <w:rPr>
          <w:rFonts w:ascii="Traditional Arabic" w:hAnsi="Traditional Arabic"/>
          <w:sz w:val="32"/>
          <w:szCs w:val="32"/>
        </w:rPr>
        <w:footnoteRef/>
      </w:r>
      <w:r w:rsidRPr="001D1D49">
        <w:rPr>
          <w:rFonts w:ascii="Traditional Arabic" w:hAnsi="Traditional Arabic"/>
          <w:sz w:val="32"/>
          <w:szCs w:val="32"/>
        </w:rPr>
        <w:t>)</w:t>
      </w:r>
      <w:r w:rsidRPr="001D1D49">
        <w:rPr>
          <w:rFonts w:ascii="Traditional Arabic" w:hAnsi="Traditional Arabic" w:hint="cs"/>
          <w:sz w:val="32"/>
          <w:szCs w:val="32"/>
          <w:rtl/>
        </w:rPr>
        <w:t>)</w:t>
      </w:r>
      <w:r>
        <w:rPr>
          <w:rFonts w:ascii="Traditional Arabic" w:hAnsi="Traditional Arabic" w:hint="cs"/>
          <w:sz w:val="32"/>
          <w:szCs w:val="32"/>
          <w:rtl/>
        </w:rPr>
        <w:t xml:space="preserve"> </w:t>
      </w:r>
      <w:r w:rsidRPr="001D1D49">
        <w:rPr>
          <w:rFonts w:ascii="Traditional Arabic" w:hAnsi="Traditional Arabic" w:hint="cs"/>
          <w:sz w:val="32"/>
          <w:szCs w:val="32"/>
          <w:rtl/>
        </w:rPr>
        <w:t>الطرق الحكمية لابن القيم (2/</w:t>
      </w:r>
      <w:r>
        <w:rPr>
          <w:rFonts w:ascii="Traditional Arabic" w:hAnsi="Traditional Arabic" w:hint="cs"/>
          <w:sz w:val="32"/>
          <w:szCs w:val="32"/>
          <w:rtl/>
        </w:rPr>
        <w:t>773</w:t>
      </w:r>
      <w:r w:rsidRPr="001D1D49">
        <w:rPr>
          <w:rFonts w:ascii="Traditional Arabic" w:hAnsi="Traditional Arabic" w:hint="cs"/>
          <w:sz w:val="32"/>
          <w:szCs w:val="32"/>
          <w:rtl/>
        </w:rPr>
        <w:t>).</w:t>
      </w:r>
    </w:p>
  </w:footnote>
  <w:footnote w:id="1633">
    <w:p w:rsidR="000D3D21" w:rsidRPr="00C33836" w:rsidRDefault="000D3D21" w:rsidP="00C97663">
      <w:pPr>
        <w:pStyle w:val="a7"/>
        <w:rPr>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w:t>
      </w:r>
      <w:r>
        <w:rPr>
          <w:rFonts w:ascii="Traditional Arabic" w:hAnsi="Traditional Arabic" w:hint="cs"/>
          <w:sz w:val="32"/>
          <w:szCs w:val="32"/>
          <w:rtl/>
        </w:rPr>
        <w:t xml:space="preserve"> </w:t>
      </w:r>
      <w:r w:rsidRPr="00C33836">
        <w:rPr>
          <w:rFonts w:ascii="Traditional Arabic" w:hAnsi="Traditional Arabic" w:hint="cs"/>
          <w:sz w:val="32"/>
          <w:szCs w:val="32"/>
          <w:rtl/>
        </w:rPr>
        <w:t>تقرير القواعد</w:t>
      </w:r>
      <w:r>
        <w:rPr>
          <w:rFonts w:ascii="Traditional Arabic" w:hAnsi="Traditional Arabic" w:hint="cs"/>
          <w:sz w:val="32"/>
          <w:szCs w:val="32"/>
          <w:rtl/>
        </w:rPr>
        <w:t xml:space="preserve"> لابن رجب</w:t>
      </w:r>
      <w:r w:rsidRPr="00C33836">
        <w:rPr>
          <w:rFonts w:ascii="Traditional Arabic" w:hAnsi="Traditional Arabic" w:hint="cs"/>
          <w:sz w:val="32"/>
          <w:szCs w:val="32"/>
          <w:rtl/>
        </w:rPr>
        <w:t xml:space="preserve"> (3/195).</w:t>
      </w:r>
    </w:p>
  </w:footnote>
  <w:footnote w:id="1634">
    <w:p w:rsidR="000D3D21" w:rsidRPr="00C33836" w:rsidRDefault="000D3D21" w:rsidP="00C97663">
      <w:pPr>
        <w:pStyle w:val="a7"/>
        <w:rPr>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w:t>
      </w:r>
      <w:r>
        <w:rPr>
          <w:rFonts w:hint="cs"/>
          <w:sz w:val="32"/>
          <w:szCs w:val="32"/>
          <w:rtl/>
        </w:rPr>
        <w:t xml:space="preserve"> </w:t>
      </w:r>
      <w:r w:rsidRPr="00C33836">
        <w:rPr>
          <w:rFonts w:hint="cs"/>
          <w:sz w:val="32"/>
          <w:szCs w:val="32"/>
          <w:rtl/>
        </w:rPr>
        <w:t>القواعد</w:t>
      </w:r>
      <w:r>
        <w:rPr>
          <w:rFonts w:hint="cs"/>
          <w:sz w:val="32"/>
          <w:szCs w:val="32"/>
          <w:rtl/>
        </w:rPr>
        <w:t xml:space="preserve"> و</w:t>
      </w:r>
      <w:r w:rsidRPr="00C33836">
        <w:rPr>
          <w:rFonts w:hint="cs"/>
          <w:sz w:val="32"/>
          <w:szCs w:val="32"/>
          <w:rtl/>
        </w:rPr>
        <w:t>الأصول الجامعة (76)،</w:t>
      </w:r>
      <w:r>
        <w:rPr>
          <w:rFonts w:hint="cs"/>
          <w:sz w:val="32"/>
          <w:szCs w:val="32"/>
          <w:rtl/>
        </w:rPr>
        <w:t xml:space="preserve"> وانظر</w:t>
      </w:r>
      <w:r w:rsidRPr="00C33836">
        <w:rPr>
          <w:rFonts w:hint="cs"/>
          <w:sz w:val="32"/>
          <w:szCs w:val="32"/>
          <w:rtl/>
        </w:rPr>
        <w:t xml:space="preserve"> منظومة القواعد الفقهية </w:t>
      </w:r>
      <w:r>
        <w:rPr>
          <w:rFonts w:hint="cs"/>
          <w:sz w:val="32"/>
          <w:szCs w:val="32"/>
          <w:rtl/>
        </w:rPr>
        <w:t xml:space="preserve">وشرحها لابن </w:t>
      </w:r>
      <w:r w:rsidRPr="00C33836">
        <w:rPr>
          <w:rFonts w:hint="cs"/>
          <w:sz w:val="32"/>
          <w:szCs w:val="32"/>
          <w:rtl/>
        </w:rPr>
        <w:t>سعدي (47).</w:t>
      </w:r>
    </w:p>
  </w:footnote>
  <w:footnote w:id="1635">
    <w:p w:rsidR="000D3D21" w:rsidRPr="00C33836" w:rsidRDefault="000D3D21" w:rsidP="00C97663">
      <w:pPr>
        <w:pStyle w:val="a7"/>
        <w:rPr>
          <w:rFonts w:ascii="Traditional Arabic" w:hAnsi="Traditional Arabic"/>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w:t>
      </w:r>
      <w:r>
        <w:rPr>
          <w:rFonts w:ascii="Traditional Arabic" w:hAnsi="Traditional Arabic"/>
          <w:sz w:val="32"/>
          <w:szCs w:val="32"/>
          <w:rtl/>
        </w:rPr>
        <w:t xml:space="preserve"> موسوعة القواعد</w:t>
      </w:r>
      <w:r w:rsidRPr="00C33836">
        <w:rPr>
          <w:rFonts w:ascii="Traditional Arabic" w:hAnsi="Traditional Arabic"/>
          <w:sz w:val="32"/>
          <w:szCs w:val="32"/>
          <w:rtl/>
        </w:rPr>
        <w:t xml:space="preserve"> الفقهية</w:t>
      </w:r>
      <w:r>
        <w:rPr>
          <w:rFonts w:ascii="Traditional Arabic" w:hAnsi="Traditional Arabic" w:hint="cs"/>
          <w:sz w:val="32"/>
          <w:szCs w:val="32"/>
          <w:rtl/>
        </w:rPr>
        <w:t xml:space="preserve"> للبورنو</w:t>
      </w:r>
      <w:r w:rsidRPr="00C33836">
        <w:rPr>
          <w:rFonts w:ascii="Traditional Arabic" w:hAnsi="Traditional Arabic"/>
          <w:sz w:val="32"/>
          <w:szCs w:val="32"/>
          <w:rtl/>
        </w:rPr>
        <w:t xml:space="preserve"> (1/386).</w:t>
      </w:r>
    </w:p>
  </w:footnote>
  <w:footnote w:id="1636">
    <w:p w:rsidR="000D3D21" w:rsidRPr="00A25EC9" w:rsidRDefault="000D3D21" w:rsidP="00C97663">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موسوعة القواعد</w:t>
      </w:r>
      <w:r w:rsidRPr="00A25EC9">
        <w:rPr>
          <w:rFonts w:ascii="Traditional Arabic" w:hAnsi="Traditional Arabic"/>
          <w:sz w:val="32"/>
          <w:szCs w:val="32"/>
          <w:rtl/>
        </w:rPr>
        <w:t xml:space="preserve"> الفقهية للندوي (2/161).</w:t>
      </w:r>
    </w:p>
  </w:footnote>
  <w:footnote w:id="1637">
    <w:p w:rsidR="000D3D21" w:rsidRPr="00C33836" w:rsidRDefault="000D3D21" w:rsidP="00C97663">
      <w:pPr>
        <w:pStyle w:val="a7"/>
        <w:rPr>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sz w:val="32"/>
          <w:szCs w:val="32"/>
          <w:rtl/>
        </w:rPr>
        <w:t>) مقاييس اللغة (5/72)</w:t>
      </w:r>
      <w:r>
        <w:rPr>
          <w:rFonts w:hint="cs"/>
          <w:sz w:val="32"/>
          <w:szCs w:val="32"/>
          <w:rtl/>
        </w:rPr>
        <w:t>.</w:t>
      </w:r>
    </w:p>
  </w:footnote>
  <w:footnote w:id="1638">
    <w:p w:rsidR="000D3D21" w:rsidRPr="00C33836" w:rsidRDefault="000D3D21" w:rsidP="00C97663">
      <w:pPr>
        <w:pStyle w:val="a7"/>
        <w:rPr>
          <w:sz w:val="32"/>
          <w:szCs w:val="32"/>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w:t>
      </w:r>
      <w:r>
        <w:rPr>
          <w:rFonts w:ascii="Traditional Arabic" w:hAnsi="Traditional Arabic" w:hint="cs"/>
          <w:sz w:val="32"/>
          <w:szCs w:val="32"/>
          <w:rtl/>
        </w:rPr>
        <w:t xml:space="preserve"> </w:t>
      </w:r>
      <w:r w:rsidRPr="00C33836">
        <w:rPr>
          <w:rFonts w:ascii="Traditional Arabic" w:hAnsi="Traditional Arabic" w:hint="cs"/>
          <w:sz w:val="32"/>
          <w:szCs w:val="32"/>
          <w:rtl/>
        </w:rPr>
        <w:t>معجم المصطلحات المالية</w:t>
      </w:r>
      <w:r>
        <w:rPr>
          <w:rFonts w:ascii="Traditional Arabic" w:hAnsi="Traditional Arabic" w:hint="cs"/>
          <w:sz w:val="32"/>
          <w:szCs w:val="32"/>
          <w:rtl/>
        </w:rPr>
        <w:t xml:space="preserve"> والاقتصادية (362) بتصرف</w:t>
      </w:r>
      <w:r w:rsidRPr="00C33836">
        <w:rPr>
          <w:rFonts w:ascii="Traditional Arabic" w:hAnsi="Traditional Arabic" w:hint="cs"/>
          <w:sz w:val="32"/>
          <w:szCs w:val="32"/>
          <w:rtl/>
        </w:rPr>
        <w:t>.</w:t>
      </w:r>
    </w:p>
  </w:footnote>
  <w:footnote w:id="1639">
    <w:p w:rsidR="000D3D21" w:rsidRPr="00C33836" w:rsidRDefault="000D3D21" w:rsidP="00C97663">
      <w:pPr>
        <w:pStyle w:val="a7"/>
        <w:rPr>
          <w:rtl/>
        </w:rPr>
      </w:pPr>
      <w:r w:rsidRPr="00C33836">
        <w:rPr>
          <w:rFonts w:ascii="Traditional Arabic" w:hAnsi="Traditional Arabic"/>
          <w:sz w:val="32"/>
          <w:szCs w:val="32"/>
        </w:rPr>
        <w:footnoteRef/>
      </w:r>
      <w:r w:rsidRPr="00C33836">
        <w:rPr>
          <w:rFonts w:ascii="Traditional Arabic" w:hAnsi="Traditional Arabic"/>
          <w:sz w:val="32"/>
          <w:szCs w:val="32"/>
        </w:rPr>
        <w:t>)</w:t>
      </w:r>
      <w:r w:rsidRPr="00C33836">
        <w:rPr>
          <w:rFonts w:ascii="Traditional Arabic" w:hAnsi="Traditional Arabic" w:hint="cs"/>
          <w:sz w:val="32"/>
          <w:szCs w:val="32"/>
          <w:rtl/>
        </w:rPr>
        <w:t>)</w:t>
      </w:r>
      <w:r>
        <w:rPr>
          <w:rFonts w:ascii="Traditional Arabic" w:hAnsi="Traditional Arabic" w:hint="cs"/>
          <w:sz w:val="32"/>
          <w:szCs w:val="32"/>
          <w:rtl/>
        </w:rPr>
        <w:t xml:space="preserve"> </w:t>
      </w:r>
      <w:r w:rsidRPr="00C33836">
        <w:rPr>
          <w:rFonts w:ascii="Traditional Arabic" w:hAnsi="Traditional Arabic" w:hint="cs"/>
          <w:sz w:val="32"/>
          <w:szCs w:val="32"/>
          <w:rtl/>
        </w:rPr>
        <w:t>معجم لغة الفقهاء- عربي انكليزي- لمحمد قلعه جي</w:t>
      </w:r>
      <w:r>
        <w:rPr>
          <w:rFonts w:ascii="Traditional Arabic" w:hAnsi="Traditional Arabic" w:hint="cs"/>
          <w:sz w:val="32"/>
          <w:szCs w:val="32"/>
          <w:rtl/>
        </w:rPr>
        <w:t xml:space="preserve"> و</w:t>
      </w:r>
      <w:r w:rsidRPr="00C33836">
        <w:rPr>
          <w:rFonts w:ascii="Traditional Arabic" w:hAnsi="Traditional Arabic" w:hint="cs"/>
          <w:sz w:val="32"/>
          <w:szCs w:val="32"/>
          <w:rtl/>
        </w:rPr>
        <w:t>حامد صادق قنيبي (361).</w:t>
      </w:r>
    </w:p>
  </w:footnote>
  <w:footnote w:id="1640">
    <w:p w:rsidR="000D3D21" w:rsidRPr="003A2EB1" w:rsidRDefault="000D3D21" w:rsidP="00C97663">
      <w:pPr>
        <w:pStyle w:val="a7"/>
        <w:rPr>
          <w:sz w:val="32"/>
          <w:szCs w:val="32"/>
          <w:rtl/>
        </w:rPr>
      </w:pPr>
      <w:r w:rsidRPr="003A2EB1">
        <w:rPr>
          <w:rFonts w:ascii="Traditional Arabic" w:hAnsi="Traditional Arabic"/>
          <w:sz w:val="32"/>
          <w:szCs w:val="32"/>
        </w:rPr>
        <w:footnoteRef/>
      </w:r>
      <w:r w:rsidRPr="003A2EB1">
        <w:rPr>
          <w:rFonts w:ascii="Traditional Arabic" w:hAnsi="Traditional Arabic"/>
          <w:sz w:val="32"/>
          <w:szCs w:val="32"/>
        </w:rPr>
        <w:t>)</w:t>
      </w:r>
      <w:r w:rsidRPr="003A2EB1">
        <w:rPr>
          <w:rFonts w:ascii="Traditional Arabic" w:hAnsi="Traditional Arabic" w:hint="cs"/>
          <w:sz w:val="32"/>
          <w:szCs w:val="32"/>
          <w:rtl/>
        </w:rPr>
        <w:t>)</w:t>
      </w:r>
      <w:r>
        <w:rPr>
          <w:rFonts w:hint="cs"/>
          <w:sz w:val="32"/>
          <w:szCs w:val="32"/>
          <w:rtl/>
        </w:rPr>
        <w:t xml:space="preserve"> إن كان هناك مرجِّح فلا يصار إلى القرعة، بل يؤخذ بالراجح. انظر: فتح ذي الجلال والإكرام (4/647)، وشرح منظومة أصول الفقه وقواعده (343).</w:t>
      </w:r>
    </w:p>
  </w:footnote>
  <w:footnote w:id="1641">
    <w:p w:rsidR="000D3D21" w:rsidRPr="00540EA9" w:rsidRDefault="000D3D21" w:rsidP="00C97663">
      <w:pPr>
        <w:pStyle w:val="a7"/>
        <w:rPr>
          <w:sz w:val="32"/>
          <w:szCs w:val="32"/>
          <w:rtl/>
        </w:rPr>
      </w:pPr>
      <w:r w:rsidRPr="00540EA9">
        <w:rPr>
          <w:rFonts w:ascii="Traditional Arabic" w:hAnsi="Traditional Arabic"/>
          <w:sz w:val="32"/>
          <w:szCs w:val="32"/>
        </w:rPr>
        <w:footnoteRef/>
      </w:r>
      <w:r w:rsidRPr="00540EA9">
        <w:rPr>
          <w:rFonts w:ascii="Traditional Arabic" w:hAnsi="Traditional Arabic"/>
          <w:sz w:val="32"/>
          <w:szCs w:val="32"/>
        </w:rPr>
        <w:t>)</w:t>
      </w:r>
      <w:r w:rsidRPr="00540EA9">
        <w:rPr>
          <w:rFonts w:ascii="Traditional Arabic" w:hAnsi="Traditional Arabic" w:hint="cs"/>
          <w:sz w:val="32"/>
          <w:szCs w:val="32"/>
          <w:rtl/>
        </w:rPr>
        <w:t>)</w:t>
      </w:r>
      <w:r>
        <w:rPr>
          <w:rFonts w:hint="cs"/>
          <w:sz w:val="32"/>
          <w:szCs w:val="32"/>
          <w:rtl/>
        </w:rPr>
        <w:t xml:space="preserve"> مثال ما خرجتْ فيه القرعة مخرج الميسر، ما لو اشترك رجلان في حبوب، وكانت الشركة بينهما بالنصف، فاقتسما هذه الحبوب على ثلث وثلثين، وقالا: نريد أن نخرج سهم أحدنا بقرعة، فهذا حرام؛ لأنه يؤدي إلى كون أحدهما غارِماً، والثاني غاِنماً. شرح منظومة أصول الفقه وقواعده (342-343) بتصرف. </w:t>
      </w:r>
    </w:p>
  </w:footnote>
  <w:footnote w:id="1642">
    <w:p w:rsidR="000D3D21" w:rsidRDefault="000D3D21" w:rsidP="00C97663">
      <w:pPr>
        <w:pStyle w:val="a7"/>
        <w:rPr>
          <w:sz w:val="32"/>
          <w:szCs w:val="32"/>
          <w:rtl/>
        </w:rPr>
      </w:pPr>
      <w:r w:rsidRPr="0062260A">
        <w:rPr>
          <w:rFonts w:ascii="Traditional Arabic" w:hAnsi="Traditional Arabic"/>
          <w:sz w:val="32"/>
          <w:szCs w:val="32"/>
        </w:rPr>
        <w:footnoteRef/>
      </w:r>
      <w:r w:rsidRPr="0062260A">
        <w:rPr>
          <w:rFonts w:ascii="Traditional Arabic" w:hAnsi="Traditional Arabic"/>
          <w:sz w:val="32"/>
          <w:szCs w:val="32"/>
        </w:rPr>
        <w:t>)</w:t>
      </w:r>
      <w:r w:rsidRPr="0062260A">
        <w:rPr>
          <w:rFonts w:ascii="Traditional Arabic" w:hAnsi="Traditional Arabic" w:hint="cs"/>
          <w:sz w:val="32"/>
          <w:szCs w:val="32"/>
          <w:rtl/>
        </w:rPr>
        <w:t>)</w:t>
      </w:r>
      <w:r>
        <w:rPr>
          <w:rFonts w:hint="cs"/>
          <w:sz w:val="32"/>
          <w:szCs w:val="32"/>
          <w:rtl/>
        </w:rPr>
        <w:t xml:space="preserve"> بعض العلماء أنكر القرعة مطلقا، انظر في أدلتهم والرد عليها: الشرح الممتع (13/174-175)، وشرح منظومة أصول الفقه وقواعده (342)، وتفسير سورة الصافات للشيخ ابن عثيمين (309)، والجامع لأحكام القرآن للقرطبي (5/132-133)، وبدائع الفوائد (3/1261-1274)، والطرق الحكمية (2/778-779). </w:t>
      </w:r>
    </w:p>
    <w:p w:rsidR="000D3D21" w:rsidRPr="0062260A" w:rsidRDefault="000D3D21" w:rsidP="00C97663">
      <w:pPr>
        <w:pStyle w:val="a7"/>
        <w:rPr>
          <w:sz w:val="32"/>
          <w:szCs w:val="32"/>
          <w:rtl/>
        </w:rPr>
      </w:pPr>
    </w:p>
  </w:footnote>
  <w:footnote w:id="1643">
    <w:p w:rsidR="000D3D21" w:rsidRDefault="000D3D21" w:rsidP="00C97663">
      <w:pPr>
        <w:pStyle w:val="a7"/>
        <w:rPr>
          <w:rtl/>
        </w:rPr>
      </w:pPr>
      <w:r w:rsidRPr="00A25E5D">
        <w:rPr>
          <w:rFonts w:ascii="Traditional Arabic" w:hAnsi="Traditional Arabic"/>
          <w:sz w:val="32"/>
          <w:szCs w:val="32"/>
        </w:rPr>
        <w:footnoteRef/>
      </w:r>
      <w:r w:rsidRPr="00A25E5D">
        <w:rPr>
          <w:rFonts w:ascii="Traditional Arabic" w:hAnsi="Traditional Arabic"/>
          <w:sz w:val="32"/>
          <w:szCs w:val="32"/>
        </w:rPr>
        <w:t>)</w:t>
      </w:r>
      <w:r w:rsidRPr="00A25E5D">
        <w:rPr>
          <w:rFonts w:ascii="Traditional Arabic" w:hAnsi="Traditional Arabic" w:hint="cs"/>
          <w:sz w:val="32"/>
          <w:szCs w:val="32"/>
          <w:rtl/>
        </w:rPr>
        <w:t>)</w:t>
      </w:r>
      <w:r>
        <w:rPr>
          <w:rFonts w:ascii="Traditional Arabic" w:hAnsi="Traditional Arabic" w:hint="cs"/>
          <w:sz w:val="32"/>
          <w:szCs w:val="32"/>
          <w:rtl/>
        </w:rPr>
        <w:t xml:space="preserve"> </w:t>
      </w:r>
      <w:r w:rsidRPr="00A25E5D">
        <w:rPr>
          <w:rFonts w:ascii="Traditional Arabic" w:hAnsi="Traditional Arabic" w:hint="cs"/>
          <w:sz w:val="32"/>
          <w:szCs w:val="32"/>
          <w:rtl/>
        </w:rPr>
        <w:t>انظر</w:t>
      </w:r>
      <w:r>
        <w:rPr>
          <w:rFonts w:ascii="Traditional Arabic" w:hAnsi="Traditional Arabic" w:hint="cs"/>
          <w:sz w:val="32"/>
          <w:szCs w:val="32"/>
          <w:rtl/>
        </w:rPr>
        <w:t xml:space="preserve"> :الشرح الممتع (2/54، 55)، (6/158)، (10/238)، (11/292)، (12/136)، (15/380)، وفتح ذي الجلال والإكرام (4/646)، وشرح المنظومة (341، 342)، وتفسير سورة الصافات (309، 310).</w:t>
      </w:r>
    </w:p>
  </w:footnote>
  <w:footnote w:id="1644">
    <w:p w:rsidR="000D3D21" w:rsidRPr="00900CB1" w:rsidRDefault="000D3D21" w:rsidP="00C97663">
      <w:pPr>
        <w:pStyle w:val="a7"/>
        <w:rPr>
          <w:sz w:val="32"/>
          <w:szCs w:val="32"/>
          <w:rtl/>
        </w:rPr>
      </w:pPr>
      <w:r w:rsidRPr="00900CB1">
        <w:rPr>
          <w:rStyle w:val="af1"/>
          <w:rFonts w:ascii="Traditional Arabic" w:hAnsi="Traditional Arabic"/>
          <w:sz w:val="32"/>
          <w:szCs w:val="32"/>
          <w:vertAlign w:val="baseline"/>
        </w:rPr>
        <w:footnoteRef/>
      </w:r>
      <w:r w:rsidRPr="00900CB1">
        <w:rPr>
          <w:rStyle w:val="af1"/>
          <w:rFonts w:ascii="Traditional Arabic" w:hAnsi="Traditional Arabic"/>
          <w:sz w:val="32"/>
          <w:szCs w:val="32"/>
          <w:vertAlign w:val="baseline"/>
        </w:rPr>
        <w:t>)</w:t>
      </w:r>
      <w:r w:rsidRPr="00900CB1">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w:t>
      </w:r>
      <w:r w:rsidRPr="00900CB1">
        <w:rPr>
          <w:rStyle w:val="af1"/>
          <w:rFonts w:ascii="Traditional Arabic" w:hAnsi="Traditional Arabic" w:hint="cs"/>
          <w:sz w:val="32"/>
          <w:szCs w:val="32"/>
          <w:vertAlign w:val="baseline"/>
          <w:rtl/>
        </w:rPr>
        <w:t xml:space="preserve">انظر </w:t>
      </w:r>
      <w:r w:rsidRPr="00900CB1">
        <w:rPr>
          <w:rFonts w:hint="cs"/>
          <w:sz w:val="32"/>
          <w:szCs w:val="32"/>
          <w:rtl/>
        </w:rPr>
        <w:t>فتح ذي الجلال</w:t>
      </w:r>
      <w:r>
        <w:rPr>
          <w:rFonts w:hint="cs"/>
          <w:sz w:val="32"/>
          <w:szCs w:val="32"/>
          <w:rtl/>
        </w:rPr>
        <w:t xml:space="preserve"> و</w:t>
      </w:r>
      <w:r w:rsidRPr="00900CB1">
        <w:rPr>
          <w:rFonts w:hint="cs"/>
          <w:sz w:val="32"/>
          <w:szCs w:val="32"/>
          <w:rtl/>
        </w:rPr>
        <w:t>الإكرام (4/646)،</w:t>
      </w:r>
      <w:r>
        <w:rPr>
          <w:rFonts w:hint="cs"/>
          <w:sz w:val="32"/>
          <w:szCs w:val="32"/>
          <w:rtl/>
        </w:rPr>
        <w:t xml:space="preserve"> و</w:t>
      </w:r>
      <w:r w:rsidRPr="00900CB1">
        <w:rPr>
          <w:rStyle w:val="af1"/>
          <w:rFonts w:ascii="Traditional Arabic" w:hAnsi="Traditional Arabic" w:hint="cs"/>
          <w:sz w:val="32"/>
          <w:szCs w:val="32"/>
          <w:vertAlign w:val="baseline"/>
          <w:rtl/>
        </w:rPr>
        <w:t>شرح المنظومة (241-242).</w:t>
      </w:r>
    </w:p>
  </w:footnote>
  <w:footnote w:id="1645">
    <w:p w:rsidR="000D3D21" w:rsidRPr="00900CB1" w:rsidRDefault="000D3D21" w:rsidP="00C97663">
      <w:pPr>
        <w:pStyle w:val="a7"/>
        <w:rPr>
          <w:rFonts w:ascii="Traditional Arabic" w:hAnsi="Traditional Arabic"/>
          <w:sz w:val="32"/>
          <w:szCs w:val="32"/>
          <w:rtl/>
        </w:rPr>
      </w:pPr>
      <w:r w:rsidRPr="00900CB1">
        <w:rPr>
          <w:rStyle w:val="af1"/>
          <w:rFonts w:ascii="Traditional Arabic" w:hAnsi="Traditional Arabic"/>
          <w:sz w:val="32"/>
          <w:szCs w:val="32"/>
          <w:vertAlign w:val="baseline"/>
        </w:rPr>
        <w:footnoteRef/>
      </w:r>
      <w:r w:rsidRPr="00900CB1">
        <w:rPr>
          <w:rFonts w:ascii="Traditional Arabic" w:hAnsi="Traditional Arabic"/>
          <w:sz w:val="32"/>
          <w:szCs w:val="32"/>
        </w:rPr>
        <w:t>)</w:t>
      </w:r>
      <w:r w:rsidRPr="00900CB1">
        <w:rPr>
          <w:rFonts w:ascii="Traditional Arabic" w:hAnsi="Traditional Arabic"/>
          <w:sz w:val="32"/>
          <w:szCs w:val="32"/>
          <w:rtl/>
        </w:rPr>
        <w:t xml:space="preserve">) </w:t>
      </w:r>
      <w:r w:rsidRPr="00900CB1">
        <w:rPr>
          <w:rFonts w:ascii="Traditional Arabic" w:hAnsi="Traditional Arabic" w:hint="cs"/>
          <w:sz w:val="32"/>
          <w:szCs w:val="32"/>
          <w:rtl/>
        </w:rPr>
        <w:t>انظر:تفسير سورة آل عمران (1/263)</w:t>
      </w:r>
      <w:r w:rsidRPr="00900CB1">
        <w:rPr>
          <w:rStyle w:val="af1"/>
          <w:rFonts w:ascii="Traditional Arabic" w:hAnsi="Traditional Arabic" w:hint="cs"/>
          <w:sz w:val="32"/>
          <w:szCs w:val="32"/>
          <w:vertAlign w:val="baseline"/>
          <w:rtl/>
        </w:rPr>
        <w:t>.</w:t>
      </w:r>
    </w:p>
  </w:footnote>
  <w:footnote w:id="1646">
    <w:p w:rsidR="000D3D21" w:rsidRPr="00900CB1" w:rsidRDefault="000D3D21" w:rsidP="00C97663">
      <w:pPr>
        <w:pStyle w:val="a7"/>
        <w:rPr>
          <w:sz w:val="32"/>
          <w:szCs w:val="32"/>
          <w:rtl/>
        </w:rPr>
      </w:pPr>
      <w:r w:rsidRPr="00900CB1">
        <w:rPr>
          <w:rStyle w:val="af1"/>
          <w:rFonts w:ascii="Traditional Arabic" w:hAnsi="Traditional Arabic"/>
          <w:sz w:val="32"/>
          <w:szCs w:val="32"/>
          <w:vertAlign w:val="baseline"/>
        </w:rPr>
        <w:footnoteRef/>
      </w:r>
      <w:r w:rsidRPr="00900CB1">
        <w:rPr>
          <w:rStyle w:val="af1"/>
          <w:rFonts w:ascii="Traditional Arabic" w:hAnsi="Traditional Arabic"/>
          <w:sz w:val="32"/>
          <w:szCs w:val="32"/>
          <w:vertAlign w:val="baseline"/>
        </w:rPr>
        <w:t>)</w:t>
      </w:r>
      <w:r w:rsidRPr="00900CB1">
        <w:rPr>
          <w:rStyle w:val="af1"/>
          <w:rFonts w:ascii="Traditional Arabic" w:hAnsi="Traditional Arabic" w:hint="cs"/>
          <w:sz w:val="32"/>
          <w:szCs w:val="32"/>
          <w:vertAlign w:val="baseline"/>
          <w:rtl/>
        </w:rPr>
        <w:t>)</w:t>
      </w:r>
      <w:r>
        <w:rPr>
          <w:rFonts w:hint="cs"/>
          <w:sz w:val="32"/>
          <w:szCs w:val="32"/>
          <w:rtl/>
        </w:rPr>
        <w:t xml:space="preserve"> </w:t>
      </w:r>
      <w:r w:rsidRPr="00900CB1">
        <w:rPr>
          <w:rFonts w:hint="cs"/>
          <w:sz w:val="32"/>
          <w:szCs w:val="32"/>
          <w:rtl/>
        </w:rPr>
        <w:t>انظر تفسير سورة الصافات (296، 297).</w:t>
      </w:r>
    </w:p>
  </w:footnote>
  <w:footnote w:id="1647">
    <w:p w:rsidR="000D3D21" w:rsidRDefault="000D3D21" w:rsidP="00886717">
      <w:pPr>
        <w:pStyle w:val="a7"/>
        <w:ind w:left="282" w:hanging="282"/>
        <w:rPr>
          <w:sz w:val="32"/>
          <w:szCs w:val="32"/>
          <w:rtl/>
        </w:rPr>
      </w:pPr>
      <w:r w:rsidRPr="00900CB1">
        <w:rPr>
          <w:rStyle w:val="af1"/>
          <w:rFonts w:ascii="Traditional Arabic" w:hAnsi="Traditional Arabic"/>
          <w:sz w:val="32"/>
          <w:szCs w:val="32"/>
          <w:vertAlign w:val="baseline"/>
        </w:rPr>
        <w:footnoteRef/>
      </w:r>
      <w:r w:rsidRPr="00900CB1">
        <w:rPr>
          <w:rStyle w:val="af1"/>
          <w:rFonts w:ascii="Traditional Arabic" w:hAnsi="Traditional Arabic"/>
          <w:sz w:val="32"/>
          <w:szCs w:val="32"/>
          <w:vertAlign w:val="baseline"/>
        </w:rPr>
        <w:t>)</w:t>
      </w:r>
      <w:r w:rsidRPr="00900CB1">
        <w:rPr>
          <w:rStyle w:val="af1"/>
          <w:rFonts w:ascii="Traditional Arabic" w:hAnsi="Traditional Arabic" w:hint="cs"/>
          <w:sz w:val="32"/>
          <w:szCs w:val="32"/>
          <w:vertAlign w:val="baseline"/>
          <w:rtl/>
        </w:rPr>
        <w:t>)</w:t>
      </w:r>
      <w:r>
        <w:rPr>
          <w:rFonts w:hint="cs"/>
          <w:sz w:val="32"/>
          <w:szCs w:val="32"/>
          <w:rtl/>
        </w:rPr>
        <w:t xml:space="preserve"> انظر تفسير سورة الصافات (309).</w:t>
      </w:r>
    </w:p>
    <w:p w:rsidR="000D3D21" w:rsidRDefault="000D3D21" w:rsidP="00886717">
      <w:pPr>
        <w:pStyle w:val="a7"/>
        <w:ind w:left="282" w:hanging="282"/>
        <w:rPr>
          <w:sz w:val="32"/>
          <w:szCs w:val="32"/>
          <w:rtl/>
        </w:rPr>
      </w:pPr>
      <w:r>
        <w:rPr>
          <w:rFonts w:hint="cs"/>
          <w:sz w:val="32"/>
          <w:szCs w:val="32"/>
          <w:rtl/>
        </w:rPr>
        <w:t xml:space="preserve">   و</w:t>
      </w:r>
      <w:r w:rsidRPr="00900CB1">
        <w:rPr>
          <w:rFonts w:hint="cs"/>
          <w:sz w:val="32"/>
          <w:szCs w:val="32"/>
          <w:rtl/>
        </w:rPr>
        <w:t>حاصل تحرير مسألة شرع من قبلنا، أن لها واسطةً</w:t>
      </w:r>
      <w:r>
        <w:rPr>
          <w:rFonts w:hint="cs"/>
          <w:sz w:val="32"/>
          <w:szCs w:val="32"/>
          <w:rtl/>
        </w:rPr>
        <w:t xml:space="preserve"> و</w:t>
      </w:r>
      <w:r w:rsidRPr="00900CB1">
        <w:rPr>
          <w:rFonts w:hint="cs"/>
          <w:sz w:val="32"/>
          <w:szCs w:val="32"/>
          <w:rtl/>
        </w:rPr>
        <w:t>طرفين، طرف يكون فيه شرعا لنا إجماعا،</w:t>
      </w:r>
      <w:r>
        <w:rPr>
          <w:rFonts w:hint="cs"/>
          <w:sz w:val="32"/>
          <w:szCs w:val="32"/>
          <w:rtl/>
        </w:rPr>
        <w:t xml:space="preserve"> و</w:t>
      </w:r>
      <w:r w:rsidRPr="00900CB1">
        <w:rPr>
          <w:rFonts w:hint="cs"/>
          <w:sz w:val="32"/>
          <w:szCs w:val="32"/>
          <w:rtl/>
        </w:rPr>
        <w:t xml:space="preserve">طرف </w:t>
      </w:r>
      <w:r>
        <w:rPr>
          <w:rFonts w:hint="cs"/>
          <w:sz w:val="32"/>
          <w:szCs w:val="32"/>
          <w:rtl/>
        </w:rPr>
        <w:t xml:space="preserve">    </w:t>
      </w:r>
      <w:r w:rsidRPr="00900CB1">
        <w:rPr>
          <w:rFonts w:hint="cs"/>
          <w:sz w:val="32"/>
          <w:szCs w:val="32"/>
          <w:rtl/>
        </w:rPr>
        <w:t>يكون فيه غير شرع لنا إجماعا،</w:t>
      </w:r>
      <w:r>
        <w:rPr>
          <w:rFonts w:hint="cs"/>
          <w:sz w:val="32"/>
          <w:szCs w:val="32"/>
          <w:rtl/>
        </w:rPr>
        <w:t xml:space="preserve"> و</w:t>
      </w:r>
      <w:r w:rsidRPr="00900CB1">
        <w:rPr>
          <w:rFonts w:hint="cs"/>
          <w:sz w:val="32"/>
          <w:szCs w:val="32"/>
          <w:rtl/>
        </w:rPr>
        <w:t>واسطة هي محل الخلاف.</w:t>
      </w:r>
    </w:p>
    <w:p w:rsidR="000D3D21" w:rsidRPr="009B6AB5" w:rsidRDefault="000D3D21" w:rsidP="00886717">
      <w:pPr>
        <w:pStyle w:val="a7"/>
        <w:ind w:left="282" w:hanging="282"/>
        <w:rPr>
          <w:sz w:val="32"/>
          <w:szCs w:val="32"/>
          <w:rtl/>
        </w:rPr>
      </w:pPr>
      <w:r>
        <w:rPr>
          <w:rFonts w:hint="cs"/>
          <w:sz w:val="32"/>
          <w:szCs w:val="32"/>
          <w:rtl/>
        </w:rPr>
        <w:t xml:space="preserve">   </w:t>
      </w:r>
      <w:r w:rsidRPr="009B6AB5">
        <w:rPr>
          <w:rFonts w:hint="cs"/>
          <w:sz w:val="32"/>
          <w:szCs w:val="32"/>
          <w:rtl/>
        </w:rPr>
        <w:t>أما الطرف الذي يكون فيه شرعا لنا إجماعا، فهو ما ثبت بشرعنا أنه كان</w:t>
      </w:r>
      <w:r>
        <w:rPr>
          <w:rFonts w:hint="cs"/>
          <w:sz w:val="32"/>
          <w:szCs w:val="32"/>
          <w:rtl/>
        </w:rPr>
        <w:t xml:space="preserve"> شرعا لمن قبلنا، ثم ثبت بشرعنا أ</w:t>
      </w:r>
      <w:r w:rsidRPr="009B6AB5">
        <w:rPr>
          <w:rFonts w:hint="cs"/>
          <w:sz w:val="32"/>
          <w:szCs w:val="32"/>
          <w:rtl/>
        </w:rPr>
        <w:t>نه شرع لنا.</w:t>
      </w:r>
    </w:p>
    <w:p w:rsidR="000D3D21" w:rsidRPr="009B6AB5" w:rsidRDefault="000D3D21" w:rsidP="00C97663">
      <w:pPr>
        <w:pStyle w:val="a7"/>
        <w:rPr>
          <w:sz w:val="32"/>
          <w:szCs w:val="32"/>
          <w:rtl/>
        </w:rPr>
      </w:pPr>
      <w:r>
        <w:rPr>
          <w:rFonts w:hint="cs"/>
          <w:sz w:val="32"/>
          <w:szCs w:val="32"/>
          <w:rtl/>
        </w:rPr>
        <w:t xml:space="preserve">   </w:t>
      </w:r>
      <w:r w:rsidRPr="009B6AB5">
        <w:rPr>
          <w:rFonts w:hint="cs"/>
          <w:sz w:val="32"/>
          <w:szCs w:val="32"/>
          <w:rtl/>
        </w:rPr>
        <w:t>أما الطرف الذي يكون فيه غير شرع لنا إجماعا، فهو أمران:</w:t>
      </w:r>
    </w:p>
    <w:p w:rsidR="000D3D21" w:rsidRPr="009B6AB5" w:rsidRDefault="000D3D21" w:rsidP="00C97663">
      <w:pPr>
        <w:pStyle w:val="a7"/>
        <w:rPr>
          <w:sz w:val="32"/>
          <w:szCs w:val="32"/>
          <w:rtl/>
        </w:rPr>
      </w:pPr>
      <w:r>
        <w:rPr>
          <w:rFonts w:hint="cs"/>
          <w:sz w:val="32"/>
          <w:szCs w:val="32"/>
          <w:rtl/>
        </w:rPr>
        <w:t xml:space="preserve">   </w:t>
      </w:r>
      <w:r w:rsidRPr="009B6AB5">
        <w:rPr>
          <w:rFonts w:hint="cs"/>
          <w:sz w:val="32"/>
          <w:szCs w:val="32"/>
          <w:rtl/>
        </w:rPr>
        <w:t>أحدهما: ما لم يثبت بشرعنا أصلا، كاالمأخوذ من الإسرائيليات.</w:t>
      </w:r>
    </w:p>
    <w:p w:rsidR="000D3D21" w:rsidRPr="009B6AB5" w:rsidRDefault="000D3D21" w:rsidP="00C97663">
      <w:pPr>
        <w:pStyle w:val="a7"/>
        <w:rPr>
          <w:sz w:val="32"/>
          <w:szCs w:val="32"/>
          <w:rtl/>
        </w:rPr>
      </w:pPr>
      <w:r>
        <w:rPr>
          <w:rFonts w:hint="cs"/>
          <w:sz w:val="32"/>
          <w:szCs w:val="32"/>
          <w:rtl/>
        </w:rPr>
        <w:t xml:space="preserve">   </w:t>
      </w:r>
      <w:r w:rsidRPr="009B6AB5">
        <w:rPr>
          <w:rFonts w:hint="cs"/>
          <w:sz w:val="32"/>
          <w:szCs w:val="32"/>
          <w:rtl/>
        </w:rPr>
        <w:t>الثاني: ما ثبت بشرعنا أنه كان شرعا لمن قبلنا</w:t>
      </w:r>
      <w:r>
        <w:rPr>
          <w:rFonts w:hint="cs"/>
          <w:sz w:val="32"/>
          <w:szCs w:val="32"/>
          <w:rtl/>
        </w:rPr>
        <w:t xml:space="preserve"> و</w:t>
      </w:r>
      <w:r w:rsidRPr="009B6AB5">
        <w:rPr>
          <w:rFonts w:hint="cs"/>
          <w:sz w:val="32"/>
          <w:szCs w:val="32"/>
          <w:rtl/>
        </w:rPr>
        <w:t>صُرّح في شرعنا بنسخه.</w:t>
      </w:r>
    </w:p>
    <w:p w:rsidR="000D3D21" w:rsidRPr="009B6AB5" w:rsidRDefault="000D3D21" w:rsidP="00C97663">
      <w:pPr>
        <w:pStyle w:val="a7"/>
        <w:rPr>
          <w:sz w:val="32"/>
          <w:szCs w:val="32"/>
          <w:rtl/>
        </w:rPr>
      </w:pPr>
      <w:r>
        <w:rPr>
          <w:rFonts w:hint="cs"/>
          <w:sz w:val="32"/>
          <w:szCs w:val="32"/>
          <w:rtl/>
        </w:rPr>
        <w:t xml:space="preserve">   و</w:t>
      </w:r>
      <w:r w:rsidRPr="009B6AB5">
        <w:rPr>
          <w:rFonts w:hint="cs"/>
          <w:sz w:val="32"/>
          <w:szCs w:val="32"/>
          <w:rtl/>
        </w:rPr>
        <w:t>الواسطة: هي ما ثبت بشرعنا أنه شرع لمن قبلنا،</w:t>
      </w:r>
      <w:r>
        <w:rPr>
          <w:rFonts w:hint="cs"/>
          <w:sz w:val="32"/>
          <w:szCs w:val="32"/>
          <w:rtl/>
        </w:rPr>
        <w:t xml:space="preserve"> و</w:t>
      </w:r>
      <w:r w:rsidRPr="009B6AB5">
        <w:rPr>
          <w:rFonts w:hint="cs"/>
          <w:sz w:val="32"/>
          <w:szCs w:val="32"/>
          <w:rtl/>
        </w:rPr>
        <w:t>لم يصرَّح بنسخه في شرعنا.</w:t>
      </w:r>
    </w:p>
    <w:p w:rsidR="000D3D21" w:rsidRPr="00A62824" w:rsidRDefault="000D3D21" w:rsidP="00C97663">
      <w:pPr>
        <w:pStyle w:val="a7"/>
        <w:rPr>
          <w:sz w:val="32"/>
          <w:szCs w:val="32"/>
          <w:rtl/>
        </w:rPr>
      </w:pPr>
      <w:r>
        <w:rPr>
          <w:rFonts w:hint="cs"/>
          <w:sz w:val="32"/>
          <w:szCs w:val="32"/>
          <w:rtl/>
        </w:rPr>
        <w:t xml:space="preserve">ا  انظر: </w:t>
      </w:r>
      <w:r w:rsidRPr="00A62824">
        <w:rPr>
          <w:rFonts w:hint="cs"/>
          <w:sz w:val="32"/>
          <w:szCs w:val="32"/>
          <w:rtl/>
        </w:rPr>
        <w:t>أصول السرخسي (2/99)،</w:t>
      </w:r>
      <w:r>
        <w:rPr>
          <w:rFonts w:hint="cs"/>
          <w:sz w:val="32"/>
          <w:szCs w:val="32"/>
          <w:rtl/>
        </w:rPr>
        <w:t xml:space="preserve"> و</w:t>
      </w:r>
      <w:r w:rsidRPr="00A62824">
        <w:rPr>
          <w:rFonts w:hint="cs"/>
          <w:sz w:val="32"/>
          <w:szCs w:val="32"/>
          <w:rtl/>
        </w:rPr>
        <w:t>مذكرة</w:t>
      </w:r>
      <w:r>
        <w:rPr>
          <w:rFonts w:hint="cs"/>
          <w:sz w:val="32"/>
          <w:szCs w:val="32"/>
          <w:rtl/>
        </w:rPr>
        <w:t xml:space="preserve"> أصول الفقه </w:t>
      </w:r>
      <w:r w:rsidRPr="00A62824">
        <w:rPr>
          <w:rFonts w:hint="cs"/>
          <w:sz w:val="32"/>
          <w:szCs w:val="32"/>
          <w:rtl/>
        </w:rPr>
        <w:t xml:space="preserve"> </w:t>
      </w:r>
      <w:r>
        <w:rPr>
          <w:rFonts w:hint="cs"/>
          <w:sz w:val="32"/>
          <w:szCs w:val="32"/>
          <w:rtl/>
        </w:rPr>
        <w:t>ل</w:t>
      </w:r>
      <w:r w:rsidRPr="00A62824">
        <w:rPr>
          <w:rFonts w:hint="cs"/>
          <w:sz w:val="32"/>
          <w:szCs w:val="32"/>
          <w:rtl/>
        </w:rPr>
        <w:t>محمد الأمين الشنقيطي (250)، والبحر المحيط للزركشي (6/41-45)،</w:t>
      </w:r>
      <w:r>
        <w:rPr>
          <w:rFonts w:hint="cs"/>
          <w:sz w:val="32"/>
          <w:szCs w:val="32"/>
          <w:rtl/>
        </w:rPr>
        <w:t xml:space="preserve"> وروضة الناظر</w:t>
      </w:r>
      <w:r w:rsidRPr="00A62824">
        <w:rPr>
          <w:rFonts w:hint="cs"/>
          <w:sz w:val="32"/>
          <w:szCs w:val="32"/>
          <w:rtl/>
        </w:rPr>
        <w:t xml:space="preserve"> (2/</w:t>
      </w:r>
      <w:r>
        <w:rPr>
          <w:rFonts w:hint="cs"/>
          <w:sz w:val="32"/>
          <w:szCs w:val="32"/>
          <w:rtl/>
        </w:rPr>
        <w:t>517</w:t>
      </w:r>
      <w:r w:rsidRPr="00A62824">
        <w:rPr>
          <w:rFonts w:hint="cs"/>
          <w:sz w:val="32"/>
          <w:szCs w:val="32"/>
          <w:rtl/>
        </w:rPr>
        <w:t xml:space="preserve">). </w:t>
      </w:r>
    </w:p>
  </w:footnote>
  <w:footnote w:id="1648">
    <w:p w:rsidR="000D3D21" w:rsidRPr="00015670" w:rsidRDefault="000D3D21" w:rsidP="00C97663">
      <w:pPr>
        <w:pStyle w:val="a7"/>
        <w:spacing w:line="440" w:lineRule="exact"/>
        <w:ind w:left="510" w:hanging="510"/>
        <w:jc w:val="lowKashida"/>
        <w:rPr>
          <w:rFonts w:ascii="Traditional Arabic" w:hAnsi="Traditional Arabic"/>
          <w:sz w:val="32"/>
          <w:szCs w:val="32"/>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sidRPr="00015670">
        <w:rPr>
          <w:rFonts w:ascii="Traditional Arabic" w:hAnsi="Traditional Arabic"/>
          <w:sz w:val="32"/>
          <w:szCs w:val="32"/>
          <w:rtl/>
        </w:rPr>
        <w:tab/>
      </w:r>
      <w:r>
        <w:rPr>
          <w:rFonts w:ascii="Traditional Arabic" w:hAnsi="Traditional Arabic"/>
          <w:sz w:val="32"/>
          <w:szCs w:val="32"/>
          <w:rtl/>
        </w:rPr>
        <w:t>أخرجه البخاري في</w:t>
      </w:r>
      <w:r w:rsidRPr="00015670">
        <w:rPr>
          <w:rFonts w:ascii="Traditional Arabic" w:hAnsi="Traditional Arabic"/>
          <w:sz w:val="32"/>
          <w:szCs w:val="32"/>
          <w:rtl/>
        </w:rPr>
        <w:t xml:space="preserve"> كتاب الأذان</w:t>
      </w:r>
      <w:r>
        <w:rPr>
          <w:rFonts w:ascii="Traditional Arabic" w:hAnsi="Traditional Arabic"/>
          <w:sz w:val="32"/>
          <w:szCs w:val="32"/>
          <w:rtl/>
        </w:rPr>
        <w:t>،</w:t>
      </w:r>
      <w:r w:rsidRPr="00015670">
        <w:rPr>
          <w:rFonts w:ascii="Traditional Arabic" w:hAnsi="Traditional Arabic"/>
          <w:sz w:val="32"/>
          <w:szCs w:val="32"/>
          <w:rtl/>
        </w:rPr>
        <w:t xml:space="preserve"> باب الاس</w:t>
      </w:r>
      <w:r>
        <w:rPr>
          <w:rFonts w:ascii="Traditional Arabic" w:hAnsi="Traditional Arabic"/>
          <w:sz w:val="32"/>
          <w:szCs w:val="32"/>
          <w:rtl/>
        </w:rPr>
        <w:t xml:space="preserve">تهام في الأذان، رقم </w:t>
      </w:r>
      <w:r>
        <w:rPr>
          <w:rFonts w:ascii="Traditional Arabic" w:hAnsi="Traditional Arabic" w:hint="cs"/>
          <w:sz w:val="32"/>
          <w:szCs w:val="32"/>
          <w:rtl/>
        </w:rPr>
        <w:t xml:space="preserve">الحديث </w:t>
      </w:r>
      <w:r>
        <w:rPr>
          <w:rFonts w:ascii="Traditional Arabic" w:hAnsi="Traditional Arabic"/>
          <w:sz w:val="32"/>
          <w:szCs w:val="32"/>
          <w:rtl/>
        </w:rPr>
        <w:t>(615)،</w:t>
      </w:r>
      <w:r>
        <w:rPr>
          <w:rFonts w:ascii="Traditional Arabic" w:hAnsi="Traditional Arabic" w:hint="cs"/>
          <w:sz w:val="32"/>
          <w:szCs w:val="32"/>
          <w:rtl/>
        </w:rPr>
        <w:t xml:space="preserve"> </w:t>
      </w:r>
      <w:r>
        <w:rPr>
          <w:rFonts w:ascii="Traditional Arabic" w:hAnsi="Traditional Arabic"/>
          <w:sz w:val="32"/>
          <w:szCs w:val="32"/>
          <w:rtl/>
        </w:rPr>
        <w:t>ومسلم في</w:t>
      </w:r>
      <w:r w:rsidRPr="00015670">
        <w:rPr>
          <w:rFonts w:ascii="Traditional Arabic" w:hAnsi="Traditional Arabic"/>
          <w:sz w:val="32"/>
          <w:szCs w:val="32"/>
          <w:rtl/>
        </w:rPr>
        <w:t xml:space="preserve"> كتاب الصلاة</w:t>
      </w:r>
      <w:r>
        <w:rPr>
          <w:rFonts w:ascii="Traditional Arabic" w:hAnsi="Traditional Arabic"/>
          <w:sz w:val="32"/>
          <w:szCs w:val="32"/>
          <w:rtl/>
        </w:rPr>
        <w:t>،</w:t>
      </w:r>
      <w:r w:rsidRPr="00015670">
        <w:rPr>
          <w:rFonts w:ascii="Traditional Arabic" w:hAnsi="Traditional Arabic"/>
          <w:sz w:val="32"/>
          <w:szCs w:val="32"/>
          <w:rtl/>
        </w:rPr>
        <w:t xml:space="preserve"> باب تسوية الصفوف وإقامتها وفضل الأول </w:t>
      </w:r>
      <w:r>
        <w:rPr>
          <w:rFonts w:ascii="Traditional Arabic" w:hAnsi="Traditional Arabic"/>
          <w:sz w:val="32"/>
          <w:szCs w:val="32"/>
          <w:rtl/>
        </w:rPr>
        <w:t>فالأول منها والازدحام على الصف،</w:t>
      </w:r>
      <w:r w:rsidRPr="00015670">
        <w:rPr>
          <w:rFonts w:ascii="Traditional Arabic" w:hAnsi="Traditional Arabic"/>
          <w:sz w:val="32"/>
          <w:szCs w:val="32"/>
          <w:rtl/>
        </w:rPr>
        <w:t xml:space="preserve"> رقم</w:t>
      </w:r>
      <w:r>
        <w:rPr>
          <w:rFonts w:ascii="Traditional Arabic" w:hAnsi="Traditional Arabic" w:hint="cs"/>
          <w:sz w:val="32"/>
          <w:szCs w:val="32"/>
          <w:rtl/>
        </w:rPr>
        <w:t xml:space="preserve"> الحديث</w:t>
      </w:r>
      <w:r w:rsidRPr="00015670">
        <w:rPr>
          <w:rFonts w:ascii="Traditional Arabic" w:hAnsi="Traditional Arabic"/>
          <w:sz w:val="32"/>
          <w:szCs w:val="32"/>
          <w:rtl/>
        </w:rPr>
        <w:t xml:space="preserve"> (437)</w:t>
      </w:r>
      <w:r>
        <w:rPr>
          <w:rFonts w:ascii="Traditional Arabic" w:hAnsi="Traditional Arabic"/>
          <w:sz w:val="32"/>
          <w:szCs w:val="32"/>
          <w:rtl/>
        </w:rPr>
        <w:t>.</w:t>
      </w:r>
    </w:p>
  </w:footnote>
  <w:footnote w:id="1649">
    <w:p w:rsidR="000D3D21" w:rsidRDefault="000D3D21" w:rsidP="00C97663">
      <w:pPr>
        <w:pStyle w:val="a7"/>
        <w:spacing w:line="440" w:lineRule="exact"/>
        <w:ind w:left="510" w:hanging="510"/>
        <w:jc w:val="lowKashida"/>
        <w:rPr>
          <w:rtl/>
        </w:rPr>
      </w:pPr>
      <w:r w:rsidRPr="00015670">
        <w:rPr>
          <w:rStyle w:val="af1"/>
          <w:rFonts w:ascii="Traditional Arabic" w:hAnsi="Traditional Arabic"/>
          <w:sz w:val="32"/>
          <w:szCs w:val="32"/>
          <w:vertAlign w:val="baseline"/>
        </w:rPr>
        <w:footnoteRef/>
      </w:r>
      <w:r w:rsidRPr="00015670">
        <w:rPr>
          <w:rStyle w:val="af1"/>
          <w:rFonts w:ascii="Traditional Arabic" w:hAnsi="Traditional Arabic"/>
          <w:sz w:val="32"/>
          <w:szCs w:val="32"/>
          <w:vertAlign w:val="baseline"/>
        </w:rPr>
        <w:t>)</w:t>
      </w:r>
      <w:r w:rsidRPr="00015670">
        <w:rPr>
          <w:rStyle w:val="af1"/>
          <w:rFonts w:ascii="Traditional Arabic" w:hAnsi="Traditional Arabic" w:hint="cs"/>
          <w:sz w:val="32"/>
          <w:szCs w:val="32"/>
          <w:vertAlign w:val="baseline"/>
          <w:rtl/>
        </w:rPr>
        <w:t>)</w:t>
      </w:r>
      <w:r>
        <w:rPr>
          <w:rFonts w:ascii="Traditional Arabic" w:hAnsi="Traditional Arabic" w:hint="cs"/>
          <w:sz w:val="32"/>
          <w:szCs w:val="32"/>
          <w:rtl/>
        </w:rPr>
        <w:t xml:space="preserve"> </w:t>
      </w:r>
      <w:r w:rsidRPr="00B37191">
        <w:rPr>
          <w:rFonts w:ascii="Traditional Arabic" w:hAnsi="Traditional Arabic" w:hint="cs"/>
          <w:sz w:val="32"/>
          <w:szCs w:val="32"/>
          <w:rtl/>
        </w:rPr>
        <w:t>الشرح الممتع (4/210).</w:t>
      </w:r>
    </w:p>
  </w:footnote>
  <w:footnote w:id="1650">
    <w:p w:rsidR="000D3D21" w:rsidRPr="00D77E33" w:rsidRDefault="000D3D21" w:rsidP="00C97663">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hint="cs"/>
          <w:sz w:val="32"/>
          <w:szCs w:val="32"/>
          <w:rtl/>
        </w:rPr>
        <w:tab/>
        <w:t xml:space="preserve">أخرجه البخاري في </w:t>
      </w:r>
      <w:r w:rsidRPr="00D77E33">
        <w:rPr>
          <w:rFonts w:ascii="Traditional Arabic" w:hAnsi="Traditional Arabic" w:hint="cs"/>
          <w:sz w:val="32"/>
          <w:szCs w:val="32"/>
          <w:rtl/>
        </w:rPr>
        <w:t>كتاب الشركة</w:t>
      </w:r>
      <w:r>
        <w:rPr>
          <w:rFonts w:ascii="Traditional Arabic" w:hAnsi="Traditional Arabic" w:hint="cs"/>
          <w:sz w:val="32"/>
          <w:szCs w:val="32"/>
          <w:rtl/>
        </w:rPr>
        <w:t>،</w:t>
      </w:r>
      <w:r w:rsidRPr="00D77E33">
        <w:rPr>
          <w:rFonts w:ascii="Traditional Arabic" w:hAnsi="Traditional Arabic" w:hint="cs"/>
          <w:sz w:val="32"/>
          <w:szCs w:val="32"/>
          <w:rtl/>
        </w:rPr>
        <w:t xml:space="preserve"> باب هل يُقرع في القسمة والاستهام به</w:t>
      </w:r>
      <w:r>
        <w:rPr>
          <w:rFonts w:ascii="Traditional Arabic" w:hAnsi="Traditional Arabic" w:hint="cs"/>
          <w:sz w:val="32"/>
          <w:szCs w:val="32"/>
          <w:rtl/>
        </w:rPr>
        <w:t>،</w:t>
      </w:r>
      <w:r w:rsidRPr="00D77E33">
        <w:rPr>
          <w:rFonts w:ascii="Traditional Arabic" w:hAnsi="Traditional Arabic" w:hint="cs"/>
          <w:sz w:val="32"/>
          <w:szCs w:val="32"/>
          <w:rtl/>
        </w:rPr>
        <w:t xml:space="preserve"> رقم </w:t>
      </w:r>
      <w:r>
        <w:rPr>
          <w:rFonts w:ascii="Traditional Arabic" w:hAnsi="Traditional Arabic" w:hint="cs"/>
          <w:sz w:val="32"/>
          <w:szCs w:val="32"/>
          <w:rtl/>
        </w:rPr>
        <w:t xml:space="preserve">الحديث </w:t>
      </w:r>
      <w:r w:rsidRPr="00D77E33">
        <w:rPr>
          <w:rFonts w:ascii="Traditional Arabic" w:hAnsi="Traditional Arabic" w:hint="cs"/>
          <w:sz w:val="32"/>
          <w:szCs w:val="32"/>
          <w:rtl/>
        </w:rPr>
        <w:t>(2493)</w:t>
      </w:r>
      <w:r>
        <w:rPr>
          <w:rFonts w:ascii="Traditional Arabic" w:hAnsi="Traditional Arabic" w:hint="cs"/>
          <w:sz w:val="32"/>
          <w:szCs w:val="32"/>
          <w:rtl/>
        </w:rPr>
        <w:t>.</w:t>
      </w:r>
    </w:p>
  </w:footnote>
  <w:footnote w:id="1651">
    <w:p w:rsidR="000D3D21" w:rsidRPr="00D77E33" w:rsidRDefault="000D3D21" w:rsidP="00C97663">
      <w:pPr>
        <w:pStyle w:val="a7"/>
        <w:rPr>
          <w:rFonts w:ascii="Traditional Arabic" w:hAnsi="Traditional Arabic"/>
          <w:sz w:val="32"/>
          <w:szCs w:val="32"/>
          <w:rtl/>
        </w:rPr>
      </w:pPr>
      <w:r w:rsidRPr="00D77E33">
        <w:rPr>
          <w:rStyle w:val="af1"/>
          <w:rFonts w:ascii="Traditional Arabic" w:hAnsi="Traditional Arabic"/>
          <w:sz w:val="32"/>
          <w:szCs w:val="32"/>
          <w:vertAlign w:val="baseline"/>
        </w:rPr>
        <w:footnoteRef/>
      </w:r>
      <w:r w:rsidRPr="00D77E33">
        <w:rPr>
          <w:rFonts w:ascii="Traditional Arabic" w:hAnsi="Traditional Arabic"/>
          <w:sz w:val="32"/>
          <w:szCs w:val="32"/>
        </w:rPr>
        <w:t>)</w:t>
      </w:r>
      <w:r w:rsidRPr="00D77E33">
        <w:rPr>
          <w:rFonts w:ascii="Traditional Arabic" w:hAnsi="Traditional Arabic"/>
          <w:sz w:val="32"/>
          <w:szCs w:val="32"/>
          <w:rtl/>
        </w:rPr>
        <w:t xml:space="preserve">) </w:t>
      </w:r>
      <w:r w:rsidRPr="00D77E33">
        <w:rPr>
          <w:rFonts w:ascii="Traditional Arabic" w:hAnsi="Traditional Arabic" w:hint="cs"/>
          <w:sz w:val="32"/>
          <w:szCs w:val="32"/>
          <w:rtl/>
        </w:rPr>
        <w:t>انظر شرح رياض الصالحين (2/431، 433).</w:t>
      </w:r>
    </w:p>
  </w:footnote>
  <w:footnote w:id="1652">
    <w:p w:rsidR="000D3D21" w:rsidRPr="00D77E33" w:rsidRDefault="000D3D21" w:rsidP="00C97663">
      <w:pPr>
        <w:pStyle w:val="a7"/>
        <w:rPr>
          <w:rFonts w:ascii="Traditional Arabic" w:hAnsi="Traditional Arabic"/>
          <w:sz w:val="32"/>
          <w:szCs w:val="32"/>
          <w:rtl/>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sidRPr="00D77E33">
        <w:rPr>
          <w:rFonts w:ascii="Lotus Linotype" w:hAnsi="Lotus Linotype" w:cs="Lotus Linotype" w:hint="cs"/>
          <w:b/>
          <w:bCs/>
          <w:sz w:val="32"/>
          <w:szCs w:val="32"/>
          <w:rtl/>
        </w:rPr>
        <w:tab/>
      </w:r>
      <w:r w:rsidRPr="00D77E33">
        <w:rPr>
          <w:rFonts w:ascii="Traditional Arabic" w:hAnsi="Traditional Arabic" w:hint="cs"/>
          <w:sz w:val="32"/>
          <w:szCs w:val="32"/>
          <w:rtl/>
        </w:rPr>
        <w:t>أخرجه البخاري في كتاب الهبة</w:t>
      </w:r>
      <w:r>
        <w:rPr>
          <w:rFonts w:ascii="Traditional Arabic" w:hAnsi="Traditional Arabic" w:hint="cs"/>
          <w:sz w:val="32"/>
          <w:szCs w:val="32"/>
          <w:rtl/>
        </w:rPr>
        <w:t>،</w:t>
      </w:r>
      <w:r w:rsidRPr="00D77E33">
        <w:rPr>
          <w:rFonts w:ascii="Traditional Arabic" w:hAnsi="Traditional Arabic" w:hint="cs"/>
          <w:sz w:val="32"/>
          <w:szCs w:val="32"/>
          <w:rtl/>
        </w:rPr>
        <w:t xml:space="preserve"> باب هبة المرأة لغير زوجها وعتقها</w:t>
      </w:r>
      <w:r>
        <w:rPr>
          <w:rFonts w:ascii="Traditional Arabic" w:hAnsi="Traditional Arabic" w:hint="cs"/>
          <w:sz w:val="32"/>
          <w:szCs w:val="32"/>
          <w:rtl/>
        </w:rPr>
        <w:t>،</w:t>
      </w:r>
      <w:r w:rsidRPr="00D77E33">
        <w:rPr>
          <w:rFonts w:ascii="Traditional Arabic" w:hAnsi="Traditional Arabic" w:hint="cs"/>
          <w:sz w:val="32"/>
          <w:szCs w:val="32"/>
          <w:rtl/>
        </w:rPr>
        <w:t xml:space="preserve"> رقم الحديث (2593)،</w:t>
      </w:r>
    </w:p>
    <w:p w:rsidR="000D3D21" w:rsidRPr="00D77E33" w:rsidRDefault="000D3D21" w:rsidP="00C97663">
      <w:pPr>
        <w:pStyle w:val="a7"/>
        <w:rPr>
          <w:rFonts w:ascii="Lotus Linotype" w:hAnsi="Lotus Linotype" w:cs="Lotus Linotype"/>
          <w:b/>
          <w:bCs/>
          <w:sz w:val="32"/>
          <w:szCs w:val="32"/>
        </w:rPr>
      </w:pPr>
      <w:r>
        <w:rPr>
          <w:rFonts w:ascii="Traditional Arabic" w:hAnsi="Traditional Arabic" w:hint="cs"/>
          <w:sz w:val="32"/>
          <w:szCs w:val="32"/>
          <w:rtl/>
        </w:rPr>
        <w:tab/>
        <w:t>و</w:t>
      </w:r>
      <w:r w:rsidRPr="00D77E33">
        <w:rPr>
          <w:rFonts w:ascii="Traditional Arabic" w:hAnsi="Traditional Arabic" w:hint="cs"/>
          <w:sz w:val="32"/>
          <w:szCs w:val="32"/>
          <w:rtl/>
        </w:rPr>
        <w:t>مسلم في كتاب التوبة</w:t>
      </w:r>
      <w:r>
        <w:rPr>
          <w:rFonts w:ascii="Traditional Arabic" w:hAnsi="Traditional Arabic" w:hint="cs"/>
          <w:sz w:val="32"/>
          <w:szCs w:val="32"/>
          <w:rtl/>
        </w:rPr>
        <w:t>،</w:t>
      </w:r>
      <w:r w:rsidRPr="00D77E33">
        <w:rPr>
          <w:rFonts w:ascii="Traditional Arabic" w:hAnsi="Traditional Arabic" w:hint="cs"/>
          <w:sz w:val="32"/>
          <w:szCs w:val="32"/>
          <w:rtl/>
        </w:rPr>
        <w:t xml:space="preserve"> باب في حديث الإفك وقبول توبة القاذف</w:t>
      </w:r>
      <w:r>
        <w:rPr>
          <w:rFonts w:ascii="Traditional Arabic" w:hAnsi="Traditional Arabic" w:hint="cs"/>
          <w:sz w:val="32"/>
          <w:szCs w:val="32"/>
          <w:rtl/>
        </w:rPr>
        <w:t>،</w:t>
      </w:r>
      <w:r w:rsidRPr="00D77E33">
        <w:rPr>
          <w:rFonts w:ascii="Traditional Arabic" w:hAnsi="Traditional Arabic" w:hint="cs"/>
          <w:sz w:val="32"/>
          <w:szCs w:val="32"/>
          <w:rtl/>
        </w:rPr>
        <w:t xml:space="preserve"> رقم الحديث (2770)</w:t>
      </w:r>
      <w:r>
        <w:rPr>
          <w:rFonts w:ascii="Traditional Arabic" w:hAnsi="Traditional Arabic" w:hint="cs"/>
          <w:sz w:val="32"/>
          <w:szCs w:val="32"/>
          <w:rtl/>
        </w:rPr>
        <w:t>.</w:t>
      </w:r>
    </w:p>
  </w:footnote>
  <w:footnote w:id="1653">
    <w:p w:rsidR="000D3D21" w:rsidRPr="00D77E33" w:rsidRDefault="000D3D21" w:rsidP="00C97663">
      <w:pPr>
        <w:pStyle w:val="a7"/>
        <w:rPr>
          <w:sz w:val="32"/>
          <w:szCs w:val="32"/>
          <w:rtl/>
        </w:rPr>
      </w:pPr>
      <w:r w:rsidRPr="00D77E33">
        <w:rPr>
          <w:rStyle w:val="af1"/>
          <w:rFonts w:ascii="Traditional Arabic" w:hAnsi="Traditional Arabic"/>
          <w:sz w:val="32"/>
          <w:szCs w:val="32"/>
          <w:vertAlign w:val="baseline"/>
        </w:rPr>
        <w:footnoteRef/>
      </w:r>
      <w:r w:rsidRPr="00D77E33">
        <w:rPr>
          <w:rStyle w:val="af1"/>
          <w:rFonts w:ascii="Traditional Arabic" w:hAnsi="Traditional Arabic"/>
          <w:sz w:val="32"/>
          <w:szCs w:val="32"/>
          <w:vertAlign w:val="baseline"/>
        </w:rPr>
        <w:t>)</w:t>
      </w:r>
      <w:r w:rsidRPr="00D77E33">
        <w:rPr>
          <w:rStyle w:val="af1"/>
          <w:rFonts w:ascii="Traditional Arabic" w:hAnsi="Traditional Arabic" w:hint="cs"/>
          <w:sz w:val="32"/>
          <w:szCs w:val="32"/>
          <w:vertAlign w:val="baseline"/>
          <w:rtl/>
        </w:rPr>
        <w:t>)</w:t>
      </w:r>
      <w:r>
        <w:rPr>
          <w:rFonts w:hint="cs"/>
          <w:sz w:val="32"/>
          <w:szCs w:val="32"/>
          <w:rtl/>
        </w:rPr>
        <w:t xml:space="preserve"> </w:t>
      </w:r>
      <w:r w:rsidRPr="00D77E33">
        <w:rPr>
          <w:rFonts w:hint="cs"/>
          <w:sz w:val="32"/>
          <w:szCs w:val="32"/>
          <w:rtl/>
        </w:rPr>
        <w:t xml:space="preserve">انظر </w:t>
      </w:r>
      <w:r>
        <w:rPr>
          <w:rFonts w:hint="cs"/>
          <w:sz w:val="32"/>
          <w:szCs w:val="32"/>
          <w:rtl/>
        </w:rPr>
        <w:t>الشرح الممتع (13/174)، و</w:t>
      </w:r>
      <w:r w:rsidRPr="00D77E33">
        <w:rPr>
          <w:rFonts w:hint="cs"/>
          <w:sz w:val="32"/>
          <w:szCs w:val="32"/>
          <w:rtl/>
        </w:rPr>
        <w:t>فتح ذي الجلال</w:t>
      </w:r>
      <w:r>
        <w:rPr>
          <w:rFonts w:hint="cs"/>
          <w:sz w:val="32"/>
          <w:szCs w:val="32"/>
          <w:rtl/>
        </w:rPr>
        <w:t xml:space="preserve"> والإكرام (4/646).</w:t>
      </w:r>
    </w:p>
  </w:footnote>
  <w:footnote w:id="1654">
    <w:p w:rsidR="000D3D21" w:rsidRPr="00C524F7" w:rsidRDefault="000D3D21" w:rsidP="00C97663">
      <w:pPr>
        <w:pStyle w:val="a7"/>
        <w:spacing w:line="440" w:lineRule="exact"/>
        <w:ind w:left="510" w:hanging="510"/>
        <w:jc w:val="lowKashida"/>
        <w:rPr>
          <w:rFonts w:ascii="Lotus Linotype" w:hAnsi="Lotus Linotype" w:cs="Lotus Linotype"/>
          <w:b/>
          <w:bCs/>
          <w:rtl/>
        </w:rPr>
      </w:pPr>
      <w:r w:rsidRPr="00451907">
        <w:rPr>
          <w:rStyle w:val="af1"/>
          <w:rFonts w:ascii="Traditional Arabic" w:hAnsi="Traditional Arabic"/>
          <w:sz w:val="32"/>
          <w:szCs w:val="32"/>
          <w:vertAlign w:val="baseline"/>
          <w:rtl/>
        </w:rPr>
        <w:t>(</w:t>
      </w:r>
      <w:r w:rsidRPr="00451907">
        <w:rPr>
          <w:rStyle w:val="af1"/>
          <w:rFonts w:ascii="Traditional Arabic" w:hAnsi="Traditional Arabic"/>
          <w:sz w:val="32"/>
          <w:szCs w:val="32"/>
          <w:vertAlign w:val="baseline"/>
          <w:rtl/>
        </w:rPr>
        <w:footnoteRef/>
      </w:r>
      <w:r w:rsidRPr="00451907">
        <w:rPr>
          <w:rStyle w:val="af1"/>
          <w:rFonts w:ascii="Traditional Arabic" w:hAnsi="Traditional Arabic"/>
          <w:sz w:val="32"/>
          <w:szCs w:val="32"/>
          <w:vertAlign w:val="baseline"/>
          <w:rtl/>
        </w:rPr>
        <w:t>)</w:t>
      </w:r>
      <w:r>
        <w:rPr>
          <w:rFonts w:hint="cs"/>
          <w:sz w:val="32"/>
          <w:szCs w:val="32"/>
          <w:rtl/>
        </w:rPr>
        <w:tab/>
        <w:t>انظر الشرح الممتع</w:t>
      </w:r>
      <w:r w:rsidRPr="008521ED">
        <w:rPr>
          <w:rFonts w:hint="cs"/>
          <w:sz w:val="32"/>
          <w:szCs w:val="32"/>
          <w:rtl/>
        </w:rPr>
        <w:t xml:space="preserve"> (10/338)</w:t>
      </w:r>
      <w:r>
        <w:rPr>
          <w:rFonts w:hint="cs"/>
          <w:sz w:val="32"/>
          <w:szCs w:val="32"/>
          <w:rtl/>
        </w:rPr>
        <w:t>.</w:t>
      </w:r>
    </w:p>
  </w:footnote>
  <w:footnote w:id="1655">
    <w:p w:rsidR="000D3D21" w:rsidRPr="003C11C1" w:rsidRDefault="000D3D21" w:rsidP="0048676E">
      <w:pPr>
        <w:widowControl/>
        <w:autoSpaceDE w:val="0"/>
        <w:autoSpaceDN w:val="0"/>
        <w:adjustRightInd w:val="0"/>
        <w:ind w:left="423" w:hanging="425"/>
        <w:jc w:val="left"/>
        <w:rPr>
          <w:rFonts w:ascii="Traditional Arabic" w:hAnsi="Traditional Arabic"/>
          <w:sz w:val="32"/>
          <w:szCs w:val="32"/>
          <w:rtl/>
        </w:rPr>
      </w:pPr>
      <w:r w:rsidRPr="003C11C1">
        <w:rPr>
          <w:rStyle w:val="af1"/>
          <w:rFonts w:ascii="Traditional Arabic" w:hAnsi="Traditional Arabic"/>
          <w:sz w:val="32"/>
          <w:szCs w:val="32"/>
          <w:vertAlign w:val="baseline"/>
        </w:rPr>
        <w:footnoteRef/>
      </w:r>
      <w:r w:rsidRPr="003C11C1">
        <w:rPr>
          <w:rFonts w:ascii="Traditional Arabic" w:hAnsi="Traditional Arabic"/>
          <w:sz w:val="32"/>
          <w:szCs w:val="32"/>
        </w:rPr>
        <w:t>)</w:t>
      </w:r>
      <w:r w:rsidRPr="003C11C1">
        <w:rPr>
          <w:rFonts w:ascii="Traditional Arabic" w:hAnsi="Traditional Arabic"/>
          <w:sz w:val="32"/>
          <w:szCs w:val="32"/>
          <w:rtl/>
        </w:rPr>
        <w:t xml:space="preserve">) </w:t>
      </w:r>
      <w:r>
        <w:rPr>
          <w:rFonts w:ascii="Traditional Arabic" w:hAnsi="Traditional Arabic" w:hint="cs"/>
          <w:sz w:val="32"/>
          <w:szCs w:val="32"/>
          <w:rtl/>
        </w:rPr>
        <w:t>الشرح الممتع (14/201).ذكر الشيخ ابن عثيمين _</w:t>
      </w:r>
      <w:r>
        <w:rPr>
          <w:rFonts w:ascii="Traditional Arabic" w:hAnsi="Traditional Arabic" w:cs="CTraditional Arabic" w:hint="cs"/>
          <w:rtl/>
        </w:rPr>
        <w:t>/</w:t>
      </w:r>
      <w:r>
        <w:rPr>
          <w:rFonts w:ascii="Traditional Arabic" w:hAnsi="Traditional Arabic" w:hint="cs"/>
          <w:sz w:val="32"/>
          <w:szCs w:val="32"/>
          <w:rtl/>
        </w:rPr>
        <w:t xml:space="preserve">_ هذا الاستثناء في معرِض الجواب عن اعتراض يتعلَّق بأيمان القسامة، وأنه </w:t>
      </w:r>
      <w:r>
        <w:rPr>
          <w:rFonts w:ascii="Traditional Arabic" w:hAnsi="Traditional Arabic"/>
          <w:sz w:val="32"/>
          <w:szCs w:val="32"/>
          <w:rtl/>
        </w:rPr>
        <w:t xml:space="preserve">إذا كان </w:t>
      </w:r>
      <w:r>
        <w:rPr>
          <w:rFonts w:ascii="Traditional Arabic" w:hAnsi="Traditional Arabic" w:hint="cs"/>
          <w:sz w:val="32"/>
          <w:szCs w:val="32"/>
          <w:rtl/>
        </w:rPr>
        <w:t>ل</w:t>
      </w:r>
      <w:r>
        <w:rPr>
          <w:rFonts w:ascii="Traditional Arabic" w:hAnsi="Traditional Arabic"/>
          <w:sz w:val="32"/>
          <w:szCs w:val="32"/>
          <w:rtl/>
        </w:rPr>
        <w:t>لمقتول</w:t>
      </w:r>
      <w:r w:rsidRPr="003C11C1">
        <w:rPr>
          <w:rFonts w:ascii="Traditional Arabic" w:hAnsi="Traditional Arabic"/>
          <w:sz w:val="32"/>
          <w:szCs w:val="32"/>
          <w:rtl/>
        </w:rPr>
        <w:t xml:space="preserve"> ثلاثة أبناء</w:t>
      </w:r>
      <w:r>
        <w:rPr>
          <w:rFonts w:ascii="Traditional Arabic" w:hAnsi="Traditional Arabic" w:hint="cs"/>
          <w:sz w:val="32"/>
          <w:szCs w:val="32"/>
          <w:rtl/>
        </w:rPr>
        <w:t>،</w:t>
      </w:r>
      <w:r w:rsidRPr="003C11C1">
        <w:rPr>
          <w:rFonts w:ascii="Traditional Arabic" w:hAnsi="Traditional Arabic"/>
          <w:sz w:val="32"/>
          <w:szCs w:val="32"/>
          <w:rtl/>
        </w:rPr>
        <w:t xml:space="preserve"> ف</w:t>
      </w:r>
      <w:r>
        <w:rPr>
          <w:rFonts w:ascii="Traditional Arabic" w:hAnsi="Traditional Arabic" w:hint="cs"/>
          <w:sz w:val="32"/>
          <w:szCs w:val="32"/>
          <w:rtl/>
        </w:rPr>
        <w:t xml:space="preserve">إنه </w:t>
      </w:r>
      <w:r w:rsidRPr="003C11C1">
        <w:rPr>
          <w:rFonts w:ascii="Traditional Arabic" w:hAnsi="Traditional Arabic"/>
          <w:sz w:val="32"/>
          <w:szCs w:val="32"/>
          <w:rtl/>
        </w:rPr>
        <w:t>يحلف كل</w:t>
      </w:r>
      <w:r>
        <w:rPr>
          <w:rFonts w:ascii="Traditional Arabic" w:hAnsi="Traditional Arabic" w:hint="cs"/>
          <w:sz w:val="32"/>
          <w:szCs w:val="32"/>
          <w:rtl/>
        </w:rPr>
        <w:t>ٌّ</w:t>
      </w:r>
      <w:r w:rsidRPr="003C11C1">
        <w:rPr>
          <w:rFonts w:ascii="Traditional Arabic" w:hAnsi="Traditional Arabic"/>
          <w:sz w:val="32"/>
          <w:szCs w:val="32"/>
          <w:rtl/>
        </w:rPr>
        <w:t xml:space="preserve"> منهم ست عشرة يميناً</w:t>
      </w:r>
      <w:r>
        <w:rPr>
          <w:rFonts w:ascii="Traditional Arabic" w:hAnsi="Traditional Arabic" w:hint="cs"/>
          <w:sz w:val="32"/>
          <w:szCs w:val="32"/>
          <w:rtl/>
        </w:rPr>
        <w:t>،</w:t>
      </w:r>
      <w:r>
        <w:rPr>
          <w:rFonts w:ascii="Traditional Arabic" w:hAnsi="Traditional Arabic"/>
          <w:sz w:val="32"/>
          <w:szCs w:val="32"/>
          <w:rtl/>
        </w:rPr>
        <w:t xml:space="preserve"> وي</w:t>
      </w:r>
      <w:r>
        <w:rPr>
          <w:rFonts w:ascii="Traditional Arabic" w:hAnsi="Traditional Arabic" w:hint="cs"/>
          <w:sz w:val="32"/>
          <w:szCs w:val="32"/>
          <w:rtl/>
        </w:rPr>
        <w:t>ُ</w:t>
      </w:r>
      <w:r>
        <w:rPr>
          <w:rFonts w:ascii="Traditional Arabic" w:hAnsi="Traditional Arabic"/>
          <w:sz w:val="32"/>
          <w:szCs w:val="32"/>
          <w:rtl/>
        </w:rPr>
        <w:t>جب</w:t>
      </w:r>
      <w:r>
        <w:rPr>
          <w:rFonts w:ascii="Traditional Arabic" w:hAnsi="Traditional Arabic" w:hint="cs"/>
          <w:sz w:val="32"/>
          <w:szCs w:val="32"/>
          <w:rtl/>
        </w:rPr>
        <w:t>َ</w:t>
      </w:r>
      <w:r>
        <w:rPr>
          <w:rFonts w:ascii="Traditional Arabic" w:hAnsi="Traditional Arabic"/>
          <w:sz w:val="32"/>
          <w:szCs w:val="32"/>
          <w:rtl/>
        </w:rPr>
        <w:t xml:space="preserve">ر الكسر </w:t>
      </w:r>
      <w:r>
        <w:rPr>
          <w:rFonts w:ascii="Traditional Arabic" w:hAnsi="Traditional Arabic" w:hint="cs"/>
          <w:sz w:val="32"/>
          <w:szCs w:val="32"/>
          <w:rtl/>
        </w:rPr>
        <w:t>لعدم إ</w:t>
      </w:r>
      <w:r w:rsidRPr="003C11C1">
        <w:rPr>
          <w:rFonts w:ascii="Traditional Arabic" w:hAnsi="Traditional Arabic"/>
          <w:sz w:val="32"/>
          <w:szCs w:val="32"/>
          <w:rtl/>
        </w:rPr>
        <w:t>مك</w:t>
      </w:r>
      <w:r>
        <w:rPr>
          <w:rFonts w:ascii="Traditional Arabic" w:hAnsi="Traditional Arabic" w:hint="cs"/>
          <w:sz w:val="32"/>
          <w:szCs w:val="32"/>
          <w:rtl/>
        </w:rPr>
        <w:t>ا</w:t>
      </w:r>
      <w:r w:rsidRPr="003C11C1">
        <w:rPr>
          <w:rFonts w:ascii="Traditional Arabic" w:hAnsi="Traditional Arabic"/>
          <w:sz w:val="32"/>
          <w:szCs w:val="32"/>
          <w:rtl/>
        </w:rPr>
        <w:t>ن تبعُّض ا</w:t>
      </w:r>
      <w:r>
        <w:rPr>
          <w:rFonts w:ascii="Traditional Arabic" w:hAnsi="Traditional Arabic"/>
          <w:sz w:val="32"/>
          <w:szCs w:val="32"/>
          <w:rtl/>
        </w:rPr>
        <w:t>ليمين</w:t>
      </w:r>
      <w:r>
        <w:rPr>
          <w:rFonts w:ascii="Traditional Arabic" w:hAnsi="Traditional Arabic" w:hint="cs"/>
          <w:sz w:val="32"/>
          <w:szCs w:val="32"/>
          <w:rtl/>
        </w:rPr>
        <w:t>.قال:</w:t>
      </w:r>
      <w:r w:rsidRPr="003C11C1">
        <w:rPr>
          <w:rFonts w:ascii="Traditional Arabic" w:hAnsi="Traditional Arabic"/>
          <w:sz w:val="32"/>
          <w:szCs w:val="32"/>
          <w:rtl/>
        </w:rPr>
        <w:t>فإن قال قائل:</w:t>
      </w:r>
      <w:r>
        <w:rPr>
          <w:rFonts w:ascii="Traditional Arabic" w:hAnsi="Traditional Arabic" w:hint="cs"/>
          <w:sz w:val="32"/>
          <w:szCs w:val="32"/>
          <w:rtl/>
        </w:rPr>
        <w:t>(</w:t>
      </w:r>
      <w:r w:rsidRPr="003C11C1">
        <w:rPr>
          <w:rFonts w:ascii="Traditional Arabic" w:hAnsi="Traditional Arabic"/>
          <w:sz w:val="32"/>
          <w:szCs w:val="32"/>
          <w:rtl/>
        </w:rPr>
        <w:t xml:space="preserve"> لماذا لا تحلِّفون اثنين منهم بالقرعة؟فالجواب:</w:t>
      </w:r>
      <w:r w:rsidRPr="00F25C3C">
        <w:rPr>
          <w:rFonts w:ascii="Traditional Arabic" w:hAnsi="Traditional Arabic"/>
          <w:sz w:val="32"/>
          <w:szCs w:val="32"/>
          <w:rtl/>
        </w:rPr>
        <w:t xml:space="preserve"> أن الأيمان لا تدخلها القرعة، </w:t>
      </w:r>
      <w:r w:rsidRPr="003C11C1">
        <w:rPr>
          <w:rFonts w:ascii="Traditional Arabic" w:hAnsi="Traditional Arabic"/>
          <w:sz w:val="32"/>
          <w:szCs w:val="32"/>
          <w:rtl/>
        </w:rPr>
        <w:t>فلا م</w:t>
      </w:r>
      <w:r>
        <w:rPr>
          <w:rFonts w:ascii="Traditional Arabic" w:hAnsi="Traditional Arabic" w:hint="cs"/>
          <w:sz w:val="32"/>
          <w:szCs w:val="32"/>
          <w:rtl/>
        </w:rPr>
        <w:t>َ</w:t>
      </w:r>
      <w:r w:rsidRPr="003C11C1">
        <w:rPr>
          <w:rFonts w:ascii="Traditional Arabic" w:hAnsi="Traditional Arabic"/>
          <w:sz w:val="32"/>
          <w:szCs w:val="32"/>
          <w:rtl/>
        </w:rPr>
        <w:t>ناص</w:t>
      </w:r>
      <w:r>
        <w:rPr>
          <w:rFonts w:ascii="Traditional Arabic" w:hAnsi="Traditional Arabic" w:hint="cs"/>
          <w:sz w:val="32"/>
          <w:szCs w:val="32"/>
          <w:rtl/>
        </w:rPr>
        <w:t>َ</w:t>
      </w:r>
      <w:r w:rsidRPr="003C11C1">
        <w:rPr>
          <w:rFonts w:ascii="Traditional Arabic" w:hAnsi="Traditional Arabic"/>
          <w:sz w:val="32"/>
          <w:szCs w:val="32"/>
          <w:rtl/>
        </w:rPr>
        <w:t xml:space="preserve"> من ج</w:t>
      </w:r>
      <w:r>
        <w:rPr>
          <w:rFonts w:ascii="Traditional Arabic" w:hAnsi="Traditional Arabic" w:hint="cs"/>
          <w:sz w:val="32"/>
          <w:szCs w:val="32"/>
          <w:rtl/>
        </w:rPr>
        <w:t>َ</w:t>
      </w:r>
      <w:r w:rsidRPr="003C11C1">
        <w:rPr>
          <w:rFonts w:ascii="Traditional Arabic" w:hAnsi="Traditional Arabic"/>
          <w:sz w:val="32"/>
          <w:szCs w:val="32"/>
          <w:rtl/>
        </w:rPr>
        <w:t>ب</w:t>
      </w:r>
      <w:r>
        <w:rPr>
          <w:rFonts w:ascii="Traditional Arabic" w:hAnsi="Traditional Arabic" w:hint="cs"/>
          <w:sz w:val="32"/>
          <w:szCs w:val="32"/>
          <w:rtl/>
        </w:rPr>
        <w:t>ْ</w:t>
      </w:r>
      <w:r w:rsidRPr="003C11C1">
        <w:rPr>
          <w:rFonts w:ascii="Traditional Arabic" w:hAnsi="Traditional Arabic"/>
          <w:sz w:val="32"/>
          <w:szCs w:val="32"/>
          <w:rtl/>
        </w:rPr>
        <w:t>ر الك</w:t>
      </w:r>
      <w:r>
        <w:rPr>
          <w:rFonts w:ascii="Traditional Arabic" w:hAnsi="Traditional Arabic" w:hint="cs"/>
          <w:sz w:val="32"/>
          <w:szCs w:val="32"/>
          <w:rtl/>
        </w:rPr>
        <w:t>َ</w:t>
      </w:r>
      <w:r w:rsidRPr="003C11C1">
        <w:rPr>
          <w:rFonts w:ascii="Traditional Arabic" w:hAnsi="Traditional Arabic"/>
          <w:sz w:val="32"/>
          <w:szCs w:val="32"/>
          <w:rtl/>
        </w:rPr>
        <w:t>س</w:t>
      </w:r>
      <w:r>
        <w:rPr>
          <w:rFonts w:ascii="Traditional Arabic" w:hAnsi="Traditional Arabic" w:hint="cs"/>
          <w:sz w:val="32"/>
          <w:szCs w:val="32"/>
          <w:rtl/>
        </w:rPr>
        <w:t>ْ</w:t>
      </w:r>
      <w:r w:rsidRPr="003C11C1">
        <w:rPr>
          <w:rFonts w:ascii="Traditional Arabic" w:hAnsi="Traditional Arabic"/>
          <w:sz w:val="32"/>
          <w:szCs w:val="32"/>
          <w:rtl/>
        </w:rPr>
        <w:t>ر</w:t>
      </w:r>
      <w:r>
        <w:rPr>
          <w:rFonts w:ascii="Traditional Arabic" w:hAnsi="Traditional Arabic" w:hint="cs"/>
          <w:sz w:val="32"/>
          <w:szCs w:val="32"/>
          <w:rtl/>
        </w:rPr>
        <w:t>)</w:t>
      </w:r>
      <w:r w:rsidRPr="003C11C1">
        <w:rPr>
          <w:rFonts w:ascii="Traditional Arabic" w:hAnsi="Traditional Arabic"/>
          <w:sz w:val="32"/>
          <w:szCs w:val="32"/>
          <w:rtl/>
        </w:rPr>
        <w:t>.</w:t>
      </w:r>
    </w:p>
  </w:footnote>
  <w:footnote w:id="1656">
    <w:p w:rsidR="000D3D21" w:rsidRPr="004B40EC"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اخترت هذه الصيغة</w:t>
      </w:r>
      <w:r>
        <w:rPr>
          <w:rFonts w:ascii="Traditional Arabic" w:hAnsi="Traditional Arabic"/>
          <w:sz w:val="32"/>
          <w:szCs w:val="32"/>
          <w:rtl/>
        </w:rPr>
        <w:t xml:space="preserve"> لوجازتها</w:t>
      </w:r>
      <w:r>
        <w:rPr>
          <w:rFonts w:ascii="Traditional Arabic" w:hAnsi="Traditional Arabic" w:hint="cs"/>
          <w:sz w:val="32"/>
          <w:szCs w:val="32"/>
          <w:rtl/>
        </w:rPr>
        <w:t>؛</w:t>
      </w:r>
      <w:r>
        <w:rPr>
          <w:rFonts w:ascii="Traditional Arabic" w:hAnsi="Traditional Arabic"/>
          <w:sz w:val="32"/>
          <w:szCs w:val="32"/>
          <w:rtl/>
        </w:rPr>
        <w:t xml:space="preserve"> ولأن الشيخ </w:t>
      </w:r>
      <w:r>
        <w:rPr>
          <w:rFonts w:ascii="Traditional Arabic" w:hAnsi="Traditional Arabic" w:hint="cs"/>
          <w:sz w:val="32"/>
          <w:szCs w:val="32"/>
          <w:rtl/>
        </w:rPr>
        <w:t xml:space="preserve">_رحمه الله_ صرح بكونها </w:t>
      </w:r>
      <w:r w:rsidRPr="004B40EC">
        <w:rPr>
          <w:rFonts w:ascii="Traditional Arabic" w:hAnsi="Traditional Arabic"/>
          <w:sz w:val="32"/>
          <w:szCs w:val="32"/>
          <w:rtl/>
        </w:rPr>
        <w:t>قاعدة</w:t>
      </w:r>
      <w:r>
        <w:rPr>
          <w:rFonts w:ascii="Traditional Arabic" w:hAnsi="Traditional Arabic" w:hint="cs"/>
          <w:sz w:val="32"/>
          <w:szCs w:val="32"/>
          <w:rtl/>
        </w:rPr>
        <w:t xml:space="preserve"> بهذا اللفظ</w:t>
      </w:r>
      <w:r w:rsidRPr="004B40EC">
        <w:rPr>
          <w:rFonts w:ascii="Traditional Arabic" w:hAnsi="Traditional Arabic"/>
          <w:sz w:val="32"/>
          <w:szCs w:val="32"/>
          <w:rtl/>
        </w:rPr>
        <w:t>.</w:t>
      </w:r>
    </w:p>
  </w:footnote>
  <w:footnote w:id="1657">
    <w:p w:rsidR="000D3D21" w:rsidRPr="004B40EC"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الشرح الممتع (8/352)، و(10/187)، وانظر (10/354).</w:t>
      </w:r>
    </w:p>
  </w:footnote>
  <w:footnote w:id="1658">
    <w:p w:rsidR="000D3D21" w:rsidRPr="004B40EC"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 xml:space="preserve">المرجع السابق (10/169، 189). </w:t>
      </w:r>
    </w:p>
  </w:footnote>
  <w:footnote w:id="1659">
    <w:p w:rsidR="000D3D21" w:rsidRPr="004B40EC"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المرجع السابق (10/188).</w:t>
      </w:r>
    </w:p>
  </w:footnote>
  <w:footnote w:id="1660">
    <w:p w:rsidR="000D3D21" w:rsidRPr="004B40EC"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المرجع السابق (15/508).</w:t>
      </w:r>
    </w:p>
  </w:footnote>
  <w:footnote w:id="1661">
    <w:p w:rsidR="000D3D21" w:rsidRPr="004B40EC" w:rsidRDefault="000D3D21" w:rsidP="004D2319">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تقدم تخريجه.</w:t>
      </w:r>
    </w:p>
  </w:footnote>
  <w:footnote w:id="1662">
    <w:p w:rsidR="000D3D21" w:rsidRPr="007C56AA" w:rsidRDefault="000D3D21" w:rsidP="004D231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الشرح الممتع (10/187).</w:t>
      </w:r>
    </w:p>
  </w:footnote>
  <w:footnote w:id="1663">
    <w:p w:rsidR="000D3D21" w:rsidRPr="004B40EC" w:rsidRDefault="000D3D21" w:rsidP="004D2319">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النهاية في غريب الحديث والأثر (3/363)، ولسان العرب (5/3247).</w:t>
      </w:r>
    </w:p>
  </w:footnote>
  <w:footnote w:id="1664">
    <w:p w:rsidR="000D3D21" w:rsidRPr="004B40EC"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الشرح الممتع (6/232).</w:t>
      </w:r>
    </w:p>
  </w:footnote>
  <w:footnote w:id="1665">
    <w:p w:rsidR="000D3D21" w:rsidRPr="004B40EC"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4B40EC">
        <w:rPr>
          <w:rFonts w:ascii="Traditional Arabic" w:hAnsi="Traditional Arabic"/>
          <w:sz w:val="32"/>
          <w:szCs w:val="32"/>
          <w:rtl/>
        </w:rPr>
        <w:t xml:space="preserve"> (8/352-353، 359).</w:t>
      </w:r>
    </w:p>
  </w:footnote>
  <w:footnote w:id="1666">
    <w:p w:rsidR="000D3D21" w:rsidRPr="004B40EC"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40EC">
        <w:rPr>
          <w:rFonts w:ascii="Traditional Arabic" w:hAnsi="Traditional Arabic"/>
          <w:sz w:val="32"/>
          <w:szCs w:val="32"/>
          <w:rtl/>
        </w:rPr>
        <w:t>تقدم تخريجه.</w:t>
      </w:r>
    </w:p>
  </w:footnote>
  <w:footnote w:id="1667">
    <w:p w:rsidR="000D3D21" w:rsidRPr="001C6C83" w:rsidRDefault="000D3D21" w:rsidP="004D231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4B40EC">
        <w:rPr>
          <w:rFonts w:ascii="Traditional Arabic" w:hAnsi="Traditional Arabic"/>
          <w:sz w:val="32"/>
          <w:szCs w:val="32"/>
          <w:rtl/>
        </w:rPr>
        <w:t xml:space="preserve"> (10/187-188)، و(15/473).</w:t>
      </w:r>
    </w:p>
  </w:footnote>
  <w:footnote w:id="1668">
    <w:p w:rsidR="000D3D21" w:rsidRDefault="000D3D21" w:rsidP="00413B63">
      <w:pPr>
        <w:pStyle w:val="a7"/>
        <w:pageBreakBefore/>
      </w:pPr>
      <w:r w:rsidRPr="00413B63">
        <w:rPr>
          <w:rStyle w:val="af1"/>
          <w:rFonts w:ascii="Traditional Arabic" w:hAnsi="Traditional Arabic"/>
          <w:sz w:val="32"/>
          <w:szCs w:val="32"/>
          <w:vertAlign w:val="baseline"/>
        </w:rPr>
        <w:footnoteRef/>
      </w:r>
      <w:r w:rsidRPr="00413B63">
        <w:rPr>
          <w:rStyle w:val="af1"/>
          <w:rFonts w:ascii="Traditional Arabic" w:hAnsi="Traditional Arabic"/>
          <w:sz w:val="32"/>
          <w:szCs w:val="32"/>
          <w:vertAlign w:val="baseline"/>
        </w:rPr>
        <w:t>)</w:t>
      </w:r>
      <w:r w:rsidRPr="00413B63">
        <w:rPr>
          <w:rStyle w:val="af1"/>
          <w:rFonts w:ascii="Traditional Arabic" w:hAnsi="Traditional Arabic" w:hint="cs"/>
          <w:sz w:val="32"/>
          <w:szCs w:val="32"/>
          <w:vertAlign w:val="baseline"/>
          <w:rtl/>
        </w:rPr>
        <w:t>)</w:t>
      </w:r>
      <w:r>
        <w:rPr>
          <w:rStyle w:val="af1"/>
          <w:rFonts w:ascii="Traditional Arabic" w:hAnsi="Traditional Arabic" w:hint="cs"/>
          <w:sz w:val="32"/>
          <w:szCs w:val="32"/>
          <w:vertAlign w:val="baseline"/>
          <w:rtl/>
        </w:rPr>
        <w:t xml:space="preserve"> تقدم تخريجه.</w:t>
      </w:r>
      <w:r>
        <w:rPr>
          <w:rtl/>
        </w:rPr>
        <w:t xml:space="preserve"> </w:t>
      </w:r>
    </w:p>
  </w:footnote>
  <w:footnote w:id="1669">
    <w:p w:rsidR="000D3D21" w:rsidRPr="008179F4" w:rsidRDefault="000D3D21">
      <w:pPr>
        <w:pStyle w:val="a7"/>
        <w:rPr>
          <w:rFonts w:ascii="Traditional Arabic" w:hAnsi="Traditional Arabic"/>
          <w:sz w:val="32"/>
          <w:szCs w:val="32"/>
          <w:rtl/>
        </w:rPr>
      </w:pPr>
      <w:r w:rsidRPr="008179F4">
        <w:rPr>
          <w:rStyle w:val="af1"/>
          <w:rFonts w:ascii="Traditional Arabic" w:hAnsi="Traditional Arabic"/>
          <w:sz w:val="32"/>
          <w:szCs w:val="32"/>
          <w:vertAlign w:val="baseline"/>
        </w:rPr>
        <w:footnoteRef/>
      </w:r>
      <w:r w:rsidRPr="008179F4">
        <w:rPr>
          <w:rFonts w:ascii="Traditional Arabic" w:hAnsi="Traditional Arabic"/>
          <w:sz w:val="32"/>
          <w:szCs w:val="32"/>
        </w:rPr>
        <w:t>)</w:t>
      </w:r>
      <w:r w:rsidRPr="008179F4">
        <w:rPr>
          <w:rFonts w:ascii="Traditional Arabic" w:hAnsi="Traditional Arabic"/>
          <w:sz w:val="32"/>
          <w:szCs w:val="32"/>
          <w:rtl/>
        </w:rPr>
        <w:t xml:space="preserve">) </w:t>
      </w:r>
      <w:r>
        <w:rPr>
          <w:rFonts w:ascii="Traditional Arabic" w:hAnsi="Traditional Arabic" w:hint="cs"/>
          <w:sz w:val="32"/>
          <w:szCs w:val="32"/>
          <w:rtl/>
        </w:rPr>
        <w:t>انظر الشرح الممتع (8/352-353، 359).</w:t>
      </w:r>
    </w:p>
  </w:footnote>
  <w:footnote w:id="1670">
    <w:p w:rsidR="000D3D21" w:rsidRPr="00873061"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873061">
        <w:rPr>
          <w:rFonts w:ascii="Traditional Arabic" w:hAnsi="Traditional Arabic"/>
          <w:sz w:val="32"/>
          <w:szCs w:val="32"/>
          <w:rtl/>
        </w:rPr>
        <w:t xml:space="preserve"> (8/352) بتصرف.</w:t>
      </w:r>
    </w:p>
  </w:footnote>
  <w:footnote w:id="1671">
    <w:p w:rsidR="000D3D21" w:rsidRPr="00873061"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73061">
        <w:rPr>
          <w:rFonts w:ascii="Traditional Arabic" w:hAnsi="Traditional Arabic"/>
          <w:sz w:val="32"/>
          <w:szCs w:val="32"/>
          <w:rtl/>
        </w:rPr>
        <w:t>المرجع السابق (8/352-353) بتصرف.</w:t>
      </w:r>
    </w:p>
  </w:footnote>
  <w:footnote w:id="1672">
    <w:p w:rsidR="000D3D21" w:rsidRPr="00413B63" w:rsidRDefault="000D3D21" w:rsidP="00413B63">
      <w:pPr>
        <w:pStyle w:val="a7"/>
        <w:pageBreakBefore/>
        <w:rPr>
          <w:sz w:val="32"/>
          <w:szCs w:val="32"/>
        </w:rPr>
      </w:pPr>
      <w:r w:rsidRPr="00413B63">
        <w:rPr>
          <w:rFonts w:ascii="Traditional Arabic" w:hAnsi="Traditional Arabic"/>
          <w:sz w:val="32"/>
          <w:szCs w:val="32"/>
        </w:rPr>
        <w:footnoteRef/>
      </w:r>
      <w:r w:rsidRPr="00413B63">
        <w:rPr>
          <w:rFonts w:ascii="Traditional Arabic" w:hAnsi="Traditional Arabic"/>
          <w:sz w:val="32"/>
          <w:szCs w:val="32"/>
        </w:rPr>
        <w:t>)</w:t>
      </w:r>
      <w:r w:rsidRPr="00413B63">
        <w:rPr>
          <w:rFonts w:ascii="Traditional Arabic" w:hAnsi="Traditional Arabic" w:hint="cs"/>
          <w:sz w:val="32"/>
          <w:szCs w:val="32"/>
          <w:rtl/>
        </w:rPr>
        <w:t>)</w:t>
      </w:r>
      <w:r w:rsidRPr="00413B63">
        <w:rPr>
          <w:sz w:val="32"/>
          <w:szCs w:val="32"/>
          <w:rtl/>
        </w:rPr>
        <w:t xml:space="preserve"> </w:t>
      </w:r>
      <w:r w:rsidRPr="00413B63">
        <w:rPr>
          <w:rFonts w:hint="cs"/>
          <w:sz w:val="32"/>
          <w:szCs w:val="32"/>
          <w:rtl/>
        </w:rPr>
        <w:t>تقدم تخريجه.</w:t>
      </w:r>
    </w:p>
  </w:footnote>
  <w:footnote w:id="1673">
    <w:p w:rsidR="000D3D21" w:rsidRPr="00873061" w:rsidRDefault="000D3D21" w:rsidP="004D231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73061">
        <w:rPr>
          <w:rFonts w:ascii="Traditional Arabic" w:hAnsi="Traditional Arabic"/>
          <w:sz w:val="32"/>
          <w:szCs w:val="32"/>
          <w:rtl/>
        </w:rPr>
        <w:t>المرجع السابق (10/187)</w:t>
      </w:r>
      <w:r>
        <w:rPr>
          <w:rFonts w:ascii="Traditional Arabic" w:hAnsi="Traditional Arabic" w:hint="cs"/>
          <w:sz w:val="32"/>
          <w:szCs w:val="32"/>
          <w:rtl/>
        </w:rPr>
        <w:t xml:space="preserve"> </w:t>
      </w:r>
      <w:r w:rsidRPr="00873061">
        <w:rPr>
          <w:rFonts w:ascii="Traditional Arabic" w:hAnsi="Traditional Arabic"/>
          <w:sz w:val="32"/>
          <w:szCs w:val="32"/>
          <w:rtl/>
        </w:rPr>
        <w:t>بتصرف.</w:t>
      </w:r>
    </w:p>
  </w:footnote>
  <w:footnote w:id="1674">
    <w:p w:rsidR="000D3D21" w:rsidRPr="00873061" w:rsidRDefault="000D3D21" w:rsidP="009A2D7D">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73061">
        <w:rPr>
          <w:rFonts w:ascii="Traditional Arabic" w:hAnsi="Traditional Arabic"/>
          <w:b/>
          <w:bCs/>
          <w:sz w:val="32"/>
          <w:szCs w:val="32"/>
          <w:rtl/>
        </w:rPr>
        <w:t>الجعل</w:t>
      </w:r>
      <w:r w:rsidR="00AB0B9E">
        <w:rPr>
          <w:rFonts w:ascii="Traditional Arabic" w:hAnsi="Traditional Arabic"/>
          <w:b/>
          <w:bCs/>
          <w:sz w:val="32"/>
          <w:szCs w:val="32"/>
          <w:rtl/>
        </w:rPr>
        <w:fldChar w:fldCharType="begin"/>
      </w:r>
      <w:r>
        <w:instrText xml:space="preserve"> XE "</w:instrText>
      </w:r>
      <w:r w:rsidRPr="009A2D7D">
        <w:rPr>
          <w:rFonts w:ascii="Traditional Arabic" w:hAnsi="Traditional Arabic"/>
          <w:sz w:val="32"/>
          <w:szCs w:val="32"/>
          <w:rtl/>
        </w:rPr>
        <w:instrText>الجعل</w:instrText>
      </w:r>
      <w:r>
        <w:instrText>" \fm</w:instrText>
      </w:r>
      <w:r w:rsidR="00AB0B9E">
        <w:rPr>
          <w:rFonts w:ascii="Traditional Arabic" w:hAnsi="Traditional Arabic"/>
          <w:b/>
          <w:bCs/>
          <w:sz w:val="32"/>
          <w:szCs w:val="32"/>
          <w:rtl/>
        </w:rPr>
        <w:fldChar w:fldCharType="end"/>
      </w:r>
      <w:r w:rsidRPr="00873061">
        <w:rPr>
          <w:rFonts w:ascii="Traditional Arabic" w:hAnsi="Traditional Arabic"/>
          <w:b/>
          <w:bCs/>
          <w:sz w:val="32"/>
          <w:szCs w:val="32"/>
          <w:rtl/>
        </w:rPr>
        <w:t xml:space="preserve">: </w:t>
      </w:r>
      <w:r w:rsidRPr="00873061">
        <w:rPr>
          <w:rFonts w:ascii="Traditional Arabic" w:hAnsi="Traditional Arabic"/>
          <w:noProof w:val="0"/>
          <w:sz w:val="32"/>
          <w:szCs w:val="32"/>
          <w:rtl/>
          <w:lang w:eastAsia="en-US"/>
        </w:rPr>
        <w:t>ما ي</w:t>
      </w:r>
      <w:r>
        <w:rPr>
          <w:rFonts w:ascii="Traditional Arabic" w:hAnsi="Traditional Arabic" w:hint="cs"/>
          <w:noProof w:val="0"/>
          <w:sz w:val="32"/>
          <w:szCs w:val="32"/>
          <w:rtl/>
          <w:lang w:eastAsia="en-US"/>
        </w:rPr>
        <w:t>ُ</w:t>
      </w:r>
      <w:r w:rsidRPr="00873061">
        <w:rPr>
          <w:rFonts w:ascii="Traditional Arabic" w:hAnsi="Traditional Arabic"/>
          <w:noProof w:val="0"/>
          <w:sz w:val="32"/>
          <w:szCs w:val="32"/>
          <w:rtl/>
          <w:lang w:eastAsia="en-US"/>
        </w:rPr>
        <w:t>عطاه الإنسان على الأمر يفعله.</w:t>
      </w:r>
      <w:r>
        <w:rPr>
          <w:rFonts w:ascii="Traditional Arabic" w:hAnsi="Traditional Arabic" w:hint="cs"/>
          <w:noProof w:val="0"/>
          <w:sz w:val="32"/>
          <w:szCs w:val="32"/>
          <w:rtl/>
          <w:lang w:eastAsia="en-US"/>
        </w:rPr>
        <w:t>المطلع على ألفاظ المقنع (340).</w:t>
      </w:r>
    </w:p>
  </w:footnote>
  <w:footnote w:id="1675">
    <w:p w:rsidR="000D3D21" w:rsidRPr="00873061" w:rsidRDefault="000D3D21" w:rsidP="004D2319">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873061">
        <w:rPr>
          <w:rFonts w:ascii="Traditional Arabic" w:hAnsi="Traditional Arabic"/>
          <w:sz w:val="32"/>
          <w:szCs w:val="32"/>
          <w:rtl/>
        </w:rPr>
        <w:t xml:space="preserve"> (10/354).</w:t>
      </w:r>
    </w:p>
    <w:p w:rsidR="000D3D21" w:rsidRPr="00873061" w:rsidRDefault="000D3D21" w:rsidP="004D2319">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873061">
        <w:rPr>
          <w:rFonts w:ascii="Traditional Arabic" w:hAnsi="Traditional Arabic"/>
          <w:b/>
          <w:bCs/>
          <w:sz w:val="32"/>
          <w:szCs w:val="32"/>
          <w:rtl/>
        </w:rPr>
        <w:t>تنبيه:</w:t>
      </w:r>
      <w:r w:rsidRPr="00873061">
        <w:rPr>
          <w:rFonts w:ascii="Traditional Arabic" w:hAnsi="Traditional Arabic"/>
          <w:sz w:val="32"/>
          <w:szCs w:val="32"/>
          <w:rtl/>
        </w:rPr>
        <w:t xml:space="preserve">ذكر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873061">
        <w:rPr>
          <w:rFonts w:ascii="Traditional Arabic" w:hAnsi="Traditional Arabic"/>
          <w:sz w:val="32"/>
          <w:szCs w:val="32"/>
          <w:rtl/>
        </w:rPr>
        <w:t xml:space="preserve"> أنه يستثنى من ذلك ما </w:t>
      </w:r>
      <w:r w:rsidRPr="00873061">
        <w:rPr>
          <w:rFonts w:ascii="Traditional Arabic" w:hAnsi="Traditional Arabic"/>
          <w:noProof w:val="0"/>
          <w:sz w:val="32"/>
          <w:szCs w:val="32"/>
          <w:rtl/>
          <w:lang w:eastAsia="en-US"/>
        </w:rPr>
        <w:t>إذا ادعى الجاعل دعوى تكذ</w:t>
      </w:r>
      <w:r>
        <w:rPr>
          <w:rFonts w:ascii="Traditional Arabic" w:hAnsi="Traditional Arabic" w:hint="cs"/>
          <w:noProof w:val="0"/>
          <w:sz w:val="32"/>
          <w:szCs w:val="32"/>
          <w:rtl/>
          <w:lang w:eastAsia="en-US"/>
        </w:rPr>
        <w:t>ِّ</w:t>
      </w:r>
      <w:r w:rsidRPr="00873061">
        <w:rPr>
          <w:rFonts w:ascii="Traditional Arabic" w:hAnsi="Traditional Arabic"/>
          <w:noProof w:val="0"/>
          <w:sz w:val="32"/>
          <w:szCs w:val="32"/>
          <w:rtl/>
          <w:lang w:eastAsia="en-US"/>
        </w:rPr>
        <w:t>بها العادة والعرف، فلا ي</w:t>
      </w:r>
      <w:r>
        <w:rPr>
          <w:rFonts w:ascii="Traditional Arabic" w:hAnsi="Traditional Arabic" w:hint="cs"/>
          <w:noProof w:val="0"/>
          <w:sz w:val="32"/>
          <w:szCs w:val="32"/>
          <w:rtl/>
          <w:lang w:eastAsia="en-US"/>
        </w:rPr>
        <w:t>ُ</w:t>
      </w:r>
      <w:r w:rsidRPr="00873061">
        <w:rPr>
          <w:rFonts w:ascii="Traditional Arabic" w:hAnsi="Traditional Arabic"/>
          <w:noProof w:val="0"/>
          <w:sz w:val="32"/>
          <w:szCs w:val="32"/>
          <w:rtl/>
          <w:lang w:eastAsia="en-US"/>
        </w:rPr>
        <w:t>قبل قوله</w:t>
      </w:r>
      <w:r>
        <w:rPr>
          <w:rFonts w:ascii="Traditional Arabic" w:hAnsi="Traditional Arabic" w:hint="cs"/>
          <w:noProof w:val="0"/>
          <w:sz w:val="32"/>
          <w:szCs w:val="32"/>
          <w:rtl/>
          <w:lang w:eastAsia="en-US"/>
        </w:rPr>
        <w:t xml:space="preserve"> حينئذ،</w:t>
      </w:r>
      <w:r w:rsidRPr="00873061">
        <w:rPr>
          <w:rFonts w:ascii="Traditional Arabic" w:hAnsi="Traditional Arabic"/>
          <w:noProof w:val="0"/>
          <w:sz w:val="32"/>
          <w:szCs w:val="32"/>
          <w:rtl/>
          <w:lang w:eastAsia="en-US"/>
        </w:rPr>
        <w:t xml:space="preserve"> وي</w:t>
      </w:r>
      <w:r>
        <w:rPr>
          <w:rFonts w:ascii="Traditional Arabic" w:hAnsi="Traditional Arabic" w:hint="cs"/>
          <w:noProof w:val="0"/>
          <w:sz w:val="32"/>
          <w:szCs w:val="32"/>
          <w:rtl/>
          <w:lang w:eastAsia="en-US"/>
        </w:rPr>
        <w:t>ُ</w:t>
      </w:r>
      <w:r w:rsidRPr="00873061">
        <w:rPr>
          <w:rFonts w:ascii="Traditional Arabic" w:hAnsi="Traditional Arabic"/>
          <w:noProof w:val="0"/>
          <w:sz w:val="32"/>
          <w:szCs w:val="32"/>
          <w:rtl/>
          <w:lang w:eastAsia="en-US"/>
        </w:rPr>
        <w:t>قبل قول العامل.</w:t>
      </w:r>
      <w:r>
        <w:rPr>
          <w:rFonts w:ascii="Traditional Arabic" w:hAnsi="Traditional Arabic" w:hint="cs"/>
          <w:sz w:val="32"/>
          <w:szCs w:val="32"/>
          <w:rtl/>
        </w:rPr>
        <w:t>انظر المرجع السابق.</w:t>
      </w:r>
    </w:p>
  </w:footnote>
  <w:footnote w:id="1676">
    <w:p w:rsidR="000D3D21" w:rsidRPr="000C24EA"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اخترت هذه ا</w:t>
      </w:r>
      <w:r>
        <w:rPr>
          <w:rFonts w:ascii="Traditional Arabic" w:hAnsi="Traditional Arabic" w:hint="cs"/>
          <w:sz w:val="32"/>
          <w:szCs w:val="32"/>
          <w:rtl/>
        </w:rPr>
        <w:t>لصيغة؛</w:t>
      </w:r>
      <w:r w:rsidRPr="000C24EA">
        <w:rPr>
          <w:rFonts w:ascii="Traditional Arabic" w:hAnsi="Traditional Arabic"/>
          <w:sz w:val="32"/>
          <w:szCs w:val="32"/>
          <w:rtl/>
        </w:rPr>
        <w:t xml:space="preserve"> لعمومها؛ إذ تشمل قبول قول الأمناء في الرد والتلف وغير ذلك مما هم مؤتمنون ع</w:t>
      </w:r>
      <w:r>
        <w:rPr>
          <w:rFonts w:ascii="Traditional Arabic" w:hAnsi="Traditional Arabic"/>
          <w:sz w:val="32"/>
          <w:szCs w:val="32"/>
          <w:rtl/>
        </w:rPr>
        <w:t>ليه</w:t>
      </w:r>
      <w:r>
        <w:rPr>
          <w:rFonts w:ascii="Traditional Arabic" w:hAnsi="Traditional Arabic" w:hint="cs"/>
          <w:sz w:val="32"/>
          <w:szCs w:val="32"/>
          <w:rtl/>
        </w:rPr>
        <w:t>.</w:t>
      </w:r>
    </w:p>
  </w:footnote>
  <w:footnote w:id="1677">
    <w:p w:rsidR="000D3D21" w:rsidRDefault="000D3D21" w:rsidP="00602B8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C24EA">
        <w:rPr>
          <w:rFonts w:ascii="Traditional Arabic" w:hAnsi="Traditional Arabic"/>
          <w:sz w:val="32"/>
          <w:szCs w:val="32"/>
          <w:rtl/>
        </w:rPr>
        <w:t>الشرح الممتع (9/169).</w:t>
      </w:r>
    </w:p>
    <w:p w:rsidR="000D3D21" w:rsidRPr="000C24EA" w:rsidRDefault="000D3D21" w:rsidP="00602B85">
      <w:pPr>
        <w:pStyle w:val="a7"/>
        <w:pageBreakBefore/>
        <w:rPr>
          <w:rFonts w:ascii="Traditional Arabic" w:hAnsi="Traditional Arabic"/>
          <w:sz w:val="32"/>
          <w:szCs w:val="32"/>
        </w:rPr>
      </w:pPr>
      <w:r>
        <w:rPr>
          <w:rFonts w:ascii="Traditional Arabic" w:hAnsi="Traditional Arabic" w:hint="cs"/>
          <w:sz w:val="32"/>
          <w:szCs w:val="32"/>
          <w:rtl/>
        </w:rPr>
        <w:t xml:space="preserve">     يُلحظ أن الشيخ _رحمه الله_ اقتبس هذه الصيغة من منظومته في أصول الفقه وقواعده.</w:t>
      </w:r>
    </w:p>
  </w:footnote>
  <w:footnote w:id="1678">
    <w:p w:rsidR="000D3D21" w:rsidRPr="000C24EA"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C24EA">
        <w:rPr>
          <w:rFonts w:ascii="Traditional Arabic" w:hAnsi="Traditional Arabic"/>
          <w:sz w:val="32"/>
          <w:szCs w:val="32"/>
          <w:rtl/>
        </w:rPr>
        <w:t>المرجع السابق (9/179)</w:t>
      </w:r>
      <w:r>
        <w:rPr>
          <w:rFonts w:ascii="Traditional Arabic" w:hAnsi="Traditional Arabic" w:hint="cs"/>
          <w:sz w:val="32"/>
          <w:szCs w:val="32"/>
          <w:rtl/>
        </w:rPr>
        <w:t xml:space="preserve"> بتصرف</w:t>
      </w:r>
      <w:r w:rsidRPr="000C24EA">
        <w:rPr>
          <w:rFonts w:ascii="Traditional Arabic" w:hAnsi="Traditional Arabic"/>
          <w:sz w:val="32"/>
          <w:szCs w:val="32"/>
          <w:rtl/>
        </w:rPr>
        <w:t>.</w:t>
      </w:r>
    </w:p>
  </w:footnote>
  <w:footnote w:id="1679">
    <w:p w:rsidR="000D3D21" w:rsidRPr="000C24EA"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C24EA">
        <w:rPr>
          <w:rFonts w:ascii="Traditional Arabic" w:hAnsi="Traditional Arabic"/>
          <w:sz w:val="32"/>
          <w:szCs w:val="32"/>
          <w:rtl/>
        </w:rPr>
        <w:t>المرجع السابق (9/314).</w:t>
      </w:r>
    </w:p>
  </w:footnote>
  <w:footnote w:id="1680">
    <w:p w:rsidR="000D3D21" w:rsidRPr="000C24EA"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C24EA">
        <w:rPr>
          <w:rFonts w:ascii="Traditional Arabic" w:hAnsi="Traditional Arabic"/>
          <w:sz w:val="32"/>
          <w:szCs w:val="32"/>
          <w:rtl/>
        </w:rPr>
        <w:t>المرجع السابق (9/315).</w:t>
      </w:r>
    </w:p>
  </w:footnote>
  <w:footnote w:id="1681">
    <w:p w:rsidR="000D3D21" w:rsidRPr="000C24EA"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C24EA">
        <w:rPr>
          <w:rFonts w:ascii="Traditional Arabic" w:hAnsi="Traditional Arabic"/>
          <w:sz w:val="32"/>
          <w:szCs w:val="32"/>
          <w:rtl/>
        </w:rPr>
        <w:t>منظومة أصول الفقه وقواعده (17).</w:t>
      </w:r>
    </w:p>
  </w:footnote>
  <w:footnote w:id="1682">
    <w:p w:rsidR="000D3D21" w:rsidRPr="000C24EA"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C24EA">
        <w:rPr>
          <w:rFonts w:ascii="Traditional Arabic" w:hAnsi="Traditional Arabic"/>
          <w:sz w:val="32"/>
          <w:szCs w:val="32"/>
          <w:rtl/>
        </w:rPr>
        <w:t>شرح منظومة أصول الفقه وقواعده (44، 301)</w:t>
      </w:r>
      <w:r>
        <w:rPr>
          <w:rFonts w:ascii="Traditional Arabic" w:hAnsi="Traditional Arabic" w:hint="cs"/>
          <w:sz w:val="32"/>
          <w:szCs w:val="32"/>
          <w:rtl/>
        </w:rPr>
        <w:t>.</w:t>
      </w:r>
    </w:p>
  </w:footnote>
  <w:footnote w:id="1683">
    <w:p w:rsidR="000D3D21" w:rsidRPr="00D428F8"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428F8">
        <w:rPr>
          <w:rFonts w:ascii="Traditional Arabic" w:hAnsi="Traditional Arabic"/>
          <w:sz w:val="32"/>
          <w:szCs w:val="32"/>
          <w:rtl/>
        </w:rPr>
        <w:t>الأشباه والنظائر لابن السبكي (1/361).</w:t>
      </w:r>
    </w:p>
  </w:footnote>
  <w:footnote w:id="1684">
    <w:p w:rsidR="000D3D21" w:rsidRPr="000C24EA"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C24EA">
        <w:rPr>
          <w:rFonts w:ascii="Traditional Arabic" w:hAnsi="Traditional Arabic"/>
          <w:sz w:val="32"/>
          <w:szCs w:val="32"/>
          <w:rtl/>
        </w:rPr>
        <w:t>تقرير الق</w:t>
      </w:r>
      <w:r>
        <w:rPr>
          <w:rFonts w:ascii="Traditional Arabic" w:hAnsi="Traditional Arabic"/>
          <w:sz w:val="32"/>
          <w:szCs w:val="32"/>
          <w:rtl/>
        </w:rPr>
        <w:t xml:space="preserve">واعد </w:t>
      </w:r>
      <w:r>
        <w:rPr>
          <w:rFonts w:ascii="Traditional Arabic" w:hAnsi="Traditional Arabic" w:hint="cs"/>
          <w:sz w:val="32"/>
          <w:szCs w:val="32"/>
          <w:rtl/>
        </w:rPr>
        <w:t>لابن رجب</w:t>
      </w:r>
      <w:r w:rsidRPr="000C24EA">
        <w:rPr>
          <w:rFonts w:ascii="Traditional Arabic" w:hAnsi="Traditional Arabic"/>
          <w:sz w:val="32"/>
          <w:szCs w:val="32"/>
          <w:rtl/>
        </w:rPr>
        <w:t xml:space="preserve"> (1/315).</w:t>
      </w:r>
    </w:p>
  </w:footnote>
  <w:footnote w:id="1685">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القواعد والأصول الجامعة (78).</w:t>
      </w:r>
    </w:p>
  </w:footnote>
  <w:footnote w:id="1686">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 xml:space="preserve">المصباح المنير </w:t>
      </w:r>
      <w:r>
        <w:rPr>
          <w:rFonts w:ascii="Traditional Arabic" w:hAnsi="Traditional Arabic" w:hint="cs"/>
          <w:sz w:val="32"/>
          <w:szCs w:val="32"/>
          <w:rtl/>
        </w:rPr>
        <w:t xml:space="preserve">(31) </w:t>
      </w:r>
      <w:r w:rsidRPr="000D2E82">
        <w:rPr>
          <w:rFonts w:ascii="Traditional Arabic" w:hAnsi="Traditional Arabic"/>
          <w:sz w:val="32"/>
          <w:szCs w:val="32"/>
          <w:rtl/>
        </w:rPr>
        <w:t>بتصرف.</w:t>
      </w:r>
    </w:p>
  </w:footnote>
  <w:footnote w:id="1687">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مقاييس اللغة (1/133).</w:t>
      </w:r>
    </w:p>
  </w:footnote>
  <w:footnote w:id="1688">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القواعد والأصول الجامعة (61).</w:t>
      </w:r>
    </w:p>
  </w:footnote>
  <w:footnote w:id="1689">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شرح منظومة أصول الفقه وقواعده (298).</w:t>
      </w:r>
    </w:p>
  </w:footnote>
  <w:footnote w:id="1690">
    <w:p w:rsidR="000D3D21" w:rsidRPr="000D2E82" w:rsidRDefault="000D3D21" w:rsidP="00602B8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الشرح الممتع (8/129).</w:t>
      </w:r>
    </w:p>
  </w:footnote>
  <w:footnote w:id="1691">
    <w:p w:rsidR="000D3D21" w:rsidRPr="000A1FEA" w:rsidRDefault="000D3D21" w:rsidP="00602B8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القواعد والأصول الجامعة (78)</w:t>
      </w:r>
      <w:r>
        <w:rPr>
          <w:rFonts w:ascii="Traditional Arabic" w:hAnsi="Traditional Arabic" w:hint="cs"/>
          <w:sz w:val="32"/>
          <w:szCs w:val="32"/>
          <w:rtl/>
        </w:rPr>
        <w:t xml:space="preserve"> </w:t>
      </w:r>
      <w:r w:rsidRPr="000D2E82">
        <w:rPr>
          <w:rFonts w:ascii="Traditional Arabic" w:hAnsi="Traditional Arabic"/>
          <w:sz w:val="32"/>
          <w:szCs w:val="32"/>
          <w:rtl/>
        </w:rPr>
        <w:t>بتصرف.</w:t>
      </w:r>
    </w:p>
  </w:footnote>
  <w:footnote w:id="1692">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انظر</w:t>
      </w:r>
      <w:r>
        <w:rPr>
          <w:rFonts w:ascii="Traditional Arabic" w:hAnsi="Traditional Arabic" w:hint="cs"/>
          <w:sz w:val="32"/>
          <w:szCs w:val="32"/>
          <w:rtl/>
        </w:rPr>
        <w:t>:</w:t>
      </w:r>
      <w:r w:rsidRPr="000D2E82">
        <w:rPr>
          <w:rFonts w:ascii="Traditional Arabic" w:hAnsi="Traditional Arabic"/>
          <w:sz w:val="32"/>
          <w:szCs w:val="32"/>
          <w:rtl/>
        </w:rPr>
        <w:t xml:space="preserve"> شرح منظومة أصول الفقه وقواعده (301)، والتعليق على قواعد ابن رجب (1/317، 318).</w:t>
      </w:r>
    </w:p>
  </w:footnote>
  <w:footnote w:id="1693">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شرح منظومة أصول الفقه وقواعده (300).</w:t>
      </w:r>
    </w:p>
  </w:footnote>
  <w:footnote w:id="1694">
    <w:p w:rsidR="000D3D21" w:rsidRPr="000D2E82" w:rsidRDefault="000D3D21" w:rsidP="009C4E5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تقدم تخريجه.</w:t>
      </w:r>
    </w:p>
  </w:footnote>
  <w:footnote w:id="1695">
    <w:p w:rsidR="000D3D21" w:rsidRDefault="000D3D21">
      <w:pPr>
        <w:pStyle w:val="a7"/>
        <w:rPr>
          <w:rtl/>
        </w:rPr>
      </w:pPr>
      <w:r w:rsidRPr="009C4E53">
        <w:rPr>
          <w:rFonts w:ascii="Traditional Arabic" w:hAnsi="Traditional Arabic"/>
          <w:sz w:val="32"/>
          <w:szCs w:val="32"/>
        </w:rPr>
        <w:footnoteRef/>
      </w:r>
      <w:r w:rsidRPr="009C4E53">
        <w:rPr>
          <w:rFonts w:ascii="Traditional Arabic" w:hAnsi="Traditional Arabic"/>
          <w:sz w:val="32"/>
          <w:szCs w:val="32"/>
        </w:rPr>
        <w:t>)</w:t>
      </w:r>
      <w:r w:rsidRPr="009C4E53">
        <w:rPr>
          <w:rFonts w:ascii="Traditional Arabic" w:hAnsi="Traditional Arabic" w:hint="cs"/>
          <w:sz w:val="32"/>
          <w:szCs w:val="32"/>
          <w:rtl/>
        </w:rPr>
        <w:t>)</w:t>
      </w:r>
      <w:r w:rsidRPr="009C4E53">
        <w:rPr>
          <w:rFonts w:ascii="Traditional Arabic" w:hAnsi="Traditional Arabic"/>
          <w:sz w:val="32"/>
          <w:szCs w:val="32"/>
          <w:rtl/>
        </w:rPr>
        <w:t xml:space="preserve"> </w:t>
      </w:r>
      <w:r>
        <w:rPr>
          <w:rFonts w:ascii="Traditional Arabic" w:hAnsi="Traditional Arabic"/>
          <w:sz w:val="32"/>
          <w:szCs w:val="32"/>
          <w:rtl/>
        </w:rPr>
        <w:t>انظر</w:t>
      </w:r>
      <w:r>
        <w:rPr>
          <w:rFonts w:ascii="Traditional Arabic" w:hAnsi="Traditional Arabic" w:hint="cs"/>
          <w:sz w:val="32"/>
          <w:szCs w:val="32"/>
          <w:rtl/>
        </w:rPr>
        <w:t>: شرح منظومة أصول الفقه وقواعده</w:t>
      </w:r>
      <w:r w:rsidRPr="000D2E82">
        <w:rPr>
          <w:rFonts w:ascii="Traditional Arabic" w:hAnsi="Traditional Arabic"/>
          <w:sz w:val="32"/>
          <w:szCs w:val="32"/>
          <w:rtl/>
        </w:rPr>
        <w:t xml:space="preserve"> (302)، والتعليق على قواعد ابن رجب (1/316).</w:t>
      </w:r>
    </w:p>
  </w:footnote>
  <w:footnote w:id="1696">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انظر شرح منظومة أصول الفقه وقواعده (260، 299)</w:t>
      </w:r>
      <w:r>
        <w:rPr>
          <w:rFonts w:ascii="Traditional Arabic" w:hAnsi="Traditional Arabic" w:hint="cs"/>
          <w:sz w:val="32"/>
          <w:szCs w:val="32"/>
          <w:rtl/>
        </w:rPr>
        <w:t>، وتيسير الكريم الرحمن (348)</w:t>
      </w:r>
      <w:r w:rsidRPr="000D2E82">
        <w:rPr>
          <w:rFonts w:ascii="Traditional Arabic" w:hAnsi="Traditional Arabic"/>
          <w:sz w:val="32"/>
          <w:szCs w:val="32"/>
          <w:rtl/>
        </w:rPr>
        <w:t>.</w:t>
      </w:r>
    </w:p>
  </w:footnote>
  <w:footnote w:id="1697">
    <w:p w:rsidR="000D3D21" w:rsidRPr="009E02A1"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E02A1">
        <w:rPr>
          <w:rFonts w:ascii="Traditional Arabic" w:hAnsi="Traditional Arabic"/>
          <w:sz w:val="32"/>
          <w:szCs w:val="32"/>
          <w:rtl/>
        </w:rPr>
        <w:t>الشرح الممتع (9/168).</w:t>
      </w:r>
    </w:p>
  </w:footnote>
  <w:footnote w:id="1698">
    <w:p w:rsidR="000D3D21" w:rsidRPr="009E02A1"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E02A1">
        <w:rPr>
          <w:rFonts w:ascii="Traditional Arabic" w:hAnsi="Traditional Arabic"/>
          <w:sz w:val="32"/>
          <w:szCs w:val="32"/>
          <w:rtl/>
        </w:rPr>
        <w:t>الشرح الممتع (9/179)بتصرف.</w:t>
      </w:r>
    </w:p>
  </w:footnote>
  <w:footnote w:id="1699">
    <w:p w:rsidR="000D3D21" w:rsidRPr="009E02A1"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E02A1">
        <w:rPr>
          <w:rFonts w:ascii="Traditional Arabic" w:hAnsi="Traditional Arabic"/>
          <w:sz w:val="32"/>
          <w:szCs w:val="32"/>
          <w:rtl/>
        </w:rPr>
        <w:t>المرجع السابق بتصرف.</w:t>
      </w:r>
    </w:p>
  </w:footnote>
  <w:footnote w:id="1700">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E02A1">
        <w:rPr>
          <w:rFonts w:ascii="Traditional Arabic" w:hAnsi="Traditional Arabic"/>
          <w:sz w:val="32"/>
          <w:szCs w:val="32"/>
          <w:rtl/>
        </w:rPr>
        <w:t>المرجع السابق (9/314) بتصرف.</w:t>
      </w:r>
    </w:p>
  </w:footnote>
  <w:footnote w:id="1701">
    <w:p w:rsidR="000D3D21" w:rsidRPr="000D2E82"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المرجع السابق بتصرف.</w:t>
      </w:r>
    </w:p>
  </w:footnote>
  <w:footnote w:id="1702">
    <w:p w:rsidR="000D3D21" w:rsidRPr="00B42FA4" w:rsidRDefault="000D3D21" w:rsidP="00602B8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مرجع السابق</w:t>
      </w:r>
      <w:r w:rsidRPr="000D2E82">
        <w:rPr>
          <w:rFonts w:ascii="Traditional Arabic" w:hAnsi="Traditional Arabic"/>
          <w:sz w:val="32"/>
          <w:szCs w:val="32"/>
          <w:rtl/>
        </w:rPr>
        <w:t xml:space="preserve"> (9/314-315)بتصرف.</w:t>
      </w:r>
    </w:p>
  </w:footnote>
  <w:footnote w:id="1703">
    <w:p w:rsidR="000D3D21" w:rsidRPr="00FB0BDB"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مرجع السابق</w:t>
      </w:r>
      <w:r w:rsidRPr="00FB0BDB">
        <w:rPr>
          <w:rFonts w:ascii="Traditional Arabic" w:hAnsi="Traditional Arabic"/>
          <w:sz w:val="32"/>
          <w:szCs w:val="32"/>
          <w:rtl/>
        </w:rPr>
        <w:t xml:space="preserve"> (9/315).</w:t>
      </w:r>
    </w:p>
  </w:footnote>
  <w:footnote w:id="1704">
    <w:p w:rsidR="000D3D21" w:rsidRPr="00FB0BDB" w:rsidRDefault="000D3D21" w:rsidP="00602B8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B">
        <w:rPr>
          <w:rFonts w:ascii="Traditional Arabic" w:hAnsi="Traditional Arabic"/>
          <w:sz w:val="32"/>
          <w:szCs w:val="32"/>
          <w:rtl/>
        </w:rPr>
        <w:t>انظر شرح منظومة أصول الفقه وقواعده (299).</w:t>
      </w:r>
    </w:p>
  </w:footnote>
  <w:footnote w:id="1705">
    <w:p w:rsidR="000D3D21" w:rsidRPr="000D2E82" w:rsidRDefault="000D3D21" w:rsidP="00602B8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B">
        <w:rPr>
          <w:rFonts w:ascii="Traditional Arabic" w:hAnsi="Traditional Arabic"/>
          <w:sz w:val="32"/>
          <w:szCs w:val="32"/>
          <w:rtl/>
        </w:rPr>
        <w:t>انظر المرجع السابق</w:t>
      </w:r>
      <w:r>
        <w:rPr>
          <w:rFonts w:ascii="Traditional Arabic" w:hAnsi="Traditional Arabic" w:hint="cs"/>
          <w:sz w:val="32"/>
          <w:szCs w:val="32"/>
          <w:rtl/>
        </w:rPr>
        <w:t xml:space="preserve"> </w:t>
      </w:r>
      <w:r w:rsidRPr="00FB0BDB">
        <w:rPr>
          <w:rFonts w:ascii="Traditional Arabic" w:hAnsi="Traditional Arabic"/>
          <w:sz w:val="32"/>
          <w:szCs w:val="32"/>
          <w:rtl/>
        </w:rPr>
        <w:t>(298-299</w:t>
      </w:r>
      <w:r>
        <w:rPr>
          <w:rFonts w:ascii="Traditional Arabic" w:hAnsi="Traditional Arabic"/>
          <w:sz w:val="32"/>
          <w:szCs w:val="32"/>
          <w:rtl/>
        </w:rPr>
        <w:t>)</w:t>
      </w:r>
      <w:r>
        <w:rPr>
          <w:rFonts w:ascii="Traditional Arabic" w:hAnsi="Traditional Arabic" w:hint="cs"/>
          <w:sz w:val="32"/>
          <w:szCs w:val="32"/>
          <w:rtl/>
        </w:rPr>
        <w:t>.</w:t>
      </w:r>
    </w:p>
  </w:footnote>
  <w:footnote w:id="1706">
    <w:p w:rsidR="000D3D21" w:rsidRPr="000D2E82" w:rsidRDefault="000D3D21" w:rsidP="009C4E53">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2E82">
        <w:rPr>
          <w:rFonts w:ascii="Traditional Arabic" w:hAnsi="Traditional Arabic"/>
          <w:sz w:val="32"/>
          <w:szCs w:val="32"/>
          <w:rtl/>
        </w:rPr>
        <w:t>انظر</w:t>
      </w:r>
      <w:r>
        <w:rPr>
          <w:rFonts w:ascii="Traditional Arabic" w:hAnsi="Traditional Arabic" w:hint="cs"/>
          <w:sz w:val="32"/>
          <w:szCs w:val="32"/>
          <w:rtl/>
        </w:rPr>
        <w:t>:</w:t>
      </w:r>
      <w:r w:rsidRPr="000D2E82">
        <w:rPr>
          <w:rFonts w:ascii="Traditional Arabic" w:hAnsi="Traditional Arabic"/>
          <w:sz w:val="32"/>
          <w:szCs w:val="32"/>
          <w:rtl/>
        </w:rPr>
        <w:t xml:space="preserve"> الش</w:t>
      </w:r>
      <w:r>
        <w:rPr>
          <w:rFonts w:ascii="Traditional Arabic" w:hAnsi="Traditional Arabic"/>
          <w:sz w:val="32"/>
          <w:szCs w:val="32"/>
          <w:rtl/>
        </w:rPr>
        <w:t xml:space="preserve">رح الممتع (9/315)، وشرح منظومة </w:t>
      </w:r>
      <w:r>
        <w:rPr>
          <w:rFonts w:ascii="Traditional Arabic" w:hAnsi="Traditional Arabic" w:hint="cs"/>
          <w:sz w:val="32"/>
          <w:szCs w:val="32"/>
          <w:rtl/>
        </w:rPr>
        <w:t>أ</w:t>
      </w:r>
      <w:r w:rsidRPr="000D2E82">
        <w:rPr>
          <w:rFonts w:ascii="Traditional Arabic" w:hAnsi="Traditional Arabic"/>
          <w:sz w:val="32"/>
          <w:szCs w:val="32"/>
          <w:rtl/>
        </w:rPr>
        <w:t>صول الفقه وقواعده (301)، والتعليق عل</w:t>
      </w:r>
      <w:r>
        <w:rPr>
          <w:rFonts w:ascii="Traditional Arabic" w:hAnsi="Traditional Arabic"/>
          <w:sz w:val="32"/>
          <w:szCs w:val="32"/>
          <w:rtl/>
        </w:rPr>
        <w:t>ى قواعد ابن رجب</w:t>
      </w:r>
      <w:r w:rsidRPr="000D2E82">
        <w:rPr>
          <w:rFonts w:ascii="Traditional Arabic" w:hAnsi="Traditional Arabic"/>
          <w:sz w:val="32"/>
          <w:szCs w:val="32"/>
          <w:rtl/>
        </w:rPr>
        <w:t xml:space="preserve"> (1/315، 316).</w:t>
      </w:r>
    </w:p>
  </w:footnote>
  <w:footnote w:id="1707">
    <w:p w:rsidR="000D3D21" w:rsidRDefault="000D3D21" w:rsidP="009C4E53">
      <w:pPr>
        <w:pStyle w:val="a7"/>
        <w:pageBreakBefore/>
        <w:rPr>
          <w:rtl/>
        </w:rPr>
      </w:pPr>
      <w:r w:rsidRPr="009C4E53">
        <w:rPr>
          <w:rStyle w:val="af1"/>
          <w:rFonts w:ascii="Traditional Arabic" w:hAnsi="Traditional Arabic"/>
          <w:sz w:val="32"/>
          <w:szCs w:val="32"/>
          <w:vertAlign w:val="baseline"/>
        </w:rPr>
        <w:footnoteRef/>
      </w:r>
      <w:r w:rsidRPr="009C4E53">
        <w:rPr>
          <w:rStyle w:val="af1"/>
          <w:rFonts w:ascii="Traditional Arabic" w:hAnsi="Traditional Arabic"/>
          <w:sz w:val="32"/>
          <w:szCs w:val="32"/>
          <w:vertAlign w:val="baseline"/>
        </w:rPr>
        <w:t>)</w:t>
      </w:r>
      <w:r w:rsidRPr="009C4E53">
        <w:rPr>
          <w:rStyle w:val="af1"/>
          <w:rFonts w:ascii="Traditional Arabic" w:hAnsi="Traditional Arabic" w:hint="cs"/>
          <w:sz w:val="32"/>
          <w:szCs w:val="32"/>
          <w:vertAlign w:val="baseline"/>
          <w:rtl/>
        </w:rPr>
        <w:t>)</w:t>
      </w:r>
      <w:r>
        <w:rPr>
          <w:rtl/>
        </w:rPr>
        <w:t xml:space="preserve"> </w:t>
      </w:r>
      <w:r>
        <w:rPr>
          <w:rFonts w:ascii="Traditional Arabic" w:hAnsi="Traditional Arabic" w:hint="cs"/>
          <w:sz w:val="32"/>
          <w:szCs w:val="32"/>
          <w:rtl/>
        </w:rPr>
        <w:t xml:space="preserve">انظر: </w:t>
      </w:r>
      <w:r w:rsidRPr="000D2E82">
        <w:rPr>
          <w:rFonts w:ascii="Traditional Arabic" w:hAnsi="Traditional Arabic"/>
          <w:sz w:val="32"/>
          <w:szCs w:val="32"/>
          <w:rtl/>
        </w:rPr>
        <w:t>شرح منظومة أصول الفقه وقواعده (301)، والتعليق على قواعد ابن رجب (1/317، 318)</w:t>
      </w:r>
      <w:r>
        <w:rPr>
          <w:rFonts w:ascii="Traditional Arabic" w:hAnsi="Traditional Arabic" w:hint="cs"/>
          <w:sz w:val="32"/>
          <w:szCs w:val="32"/>
          <w:rtl/>
        </w:rPr>
        <w:t>، والقواعد والأصول الجامعة (78)</w:t>
      </w:r>
      <w:r w:rsidRPr="000D2E82">
        <w:rPr>
          <w:rFonts w:ascii="Traditional Arabic" w:hAnsi="Traditional Arabic"/>
          <w:sz w:val="32"/>
          <w:szCs w:val="32"/>
          <w:rtl/>
        </w:rPr>
        <w:t>.</w:t>
      </w:r>
    </w:p>
  </w:footnote>
  <w:footnote w:id="1708">
    <w:p w:rsidR="000D3D21" w:rsidRPr="008C5084"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اخترت هذه الصيغة لشمولها الحالات الثلاث: من قبض العين لحظ نفسه، ومن قبضها لحظ المالك، ومن قبضها لحظهما جميعا.</w:t>
      </w:r>
    </w:p>
  </w:footnote>
  <w:footnote w:id="1709">
    <w:p w:rsidR="000D3D21" w:rsidRPr="008C5084"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5084">
        <w:rPr>
          <w:rFonts w:ascii="Traditional Arabic" w:hAnsi="Traditional Arabic"/>
          <w:sz w:val="32"/>
          <w:szCs w:val="32"/>
          <w:rtl/>
        </w:rPr>
        <w:t>الشرح الممتع (9/168)</w:t>
      </w:r>
      <w:r>
        <w:rPr>
          <w:rFonts w:ascii="Traditional Arabic" w:hAnsi="Traditional Arabic" w:hint="cs"/>
          <w:sz w:val="32"/>
          <w:szCs w:val="32"/>
          <w:rtl/>
        </w:rPr>
        <w:t xml:space="preserve"> بتصرف</w:t>
      </w:r>
      <w:r w:rsidRPr="008C5084">
        <w:rPr>
          <w:rFonts w:ascii="Traditional Arabic" w:hAnsi="Traditional Arabic"/>
          <w:sz w:val="32"/>
          <w:szCs w:val="32"/>
          <w:rtl/>
        </w:rPr>
        <w:t>.</w:t>
      </w:r>
    </w:p>
  </w:footnote>
  <w:footnote w:id="1710">
    <w:p w:rsidR="000D3D21" w:rsidRPr="008C5084"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5084">
        <w:rPr>
          <w:rFonts w:ascii="Traditional Arabic" w:hAnsi="Traditional Arabic"/>
          <w:sz w:val="32"/>
          <w:szCs w:val="32"/>
          <w:rtl/>
        </w:rPr>
        <w:t>المرجع السابق (10/136-137).</w:t>
      </w:r>
    </w:p>
  </w:footnote>
  <w:footnote w:id="1711">
    <w:p w:rsidR="000D3D21" w:rsidRPr="008C5084"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5084">
        <w:rPr>
          <w:rFonts w:ascii="Traditional Arabic" w:hAnsi="Traditional Arabic"/>
          <w:sz w:val="32"/>
          <w:szCs w:val="32"/>
          <w:rtl/>
        </w:rPr>
        <w:t>المرجع السابق (10/304).</w:t>
      </w:r>
    </w:p>
  </w:footnote>
  <w:footnote w:id="1712">
    <w:p w:rsidR="000D3D21" w:rsidRPr="008C5084"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5084">
        <w:rPr>
          <w:rFonts w:ascii="Traditional Arabic" w:hAnsi="Traditional Arabic"/>
          <w:sz w:val="32"/>
          <w:szCs w:val="32"/>
          <w:rtl/>
        </w:rPr>
        <w:t>المجموع شرح المهذب لمحيي الدين يحي بن شرف النوو</w:t>
      </w:r>
      <w:r>
        <w:rPr>
          <w:rFonts w:ascii="Traditional Arabic" w:hAnsi="Traditional Arabic"/>
          <w:sz w:val="32"/>
          <w:szCs w:val="32"/>
          <w:rtl/>
        </w:rPr>
        <w:t>ي (1/</w:t>
      </w:r>
      <w:r>
        <w:rPr>
          <w:rFonts w:ascii="Traditional Arabic" w:hAnsi="Traditional Arabic" w:hint="cs"/>
          <w:sz w:val="32"/>
          <w:szCs w:val="32"/>
          <w:rtl/>
        </w:rPr>
        <w:t>76</w:t>
      </w:r>
      <w:r>
        <w:rPr>
          <w:rFonts w:ascii="Traditional Arabic" w:hAnsi="Traditional Arabic"/>
          <w:sz w:val="32"/>
          <w:szCs w:val="32"/>
          <w:rtl/>
        </w:rPr>
        <w:t>)، وانظر ا</w:t>
      </w:r>
      <w:r>
        <w:rPr>
          <w:rFonts w:ascii="Traditional Arabic" w:hAnsi="Traditional Arabic" w:hint="cs"/>
          <w:sz w:val="32"/>
          <w:szCs w:val="32"/>
          <w:rtl/>
        </w:rPr>
        <w:t>لمنثور للزركشي</w:t>
      </w:r>
      <w:r w:rsidRPr="008C5084">
        <w:rPr>
          <w:rFonts w:ascii="Traditional Arabic" w:hAnsi="Traditional Arabic"/>
          <w:sz w:val="32"/>
          <w:szCs w:val="32"/>
          <w:rtl/>
        </w:rPr>
        <w:t xml:space="preserve"> (1/208-209). </w:t>
      </w:r>
    </w:p>
  </w:footnote>
  <w:footnote w:id="1713">
    <w:p w:rsidR="000D3D21" w:rsidRPr="00570DAC" w:rsidRDefault="000D3D21" w:rsidP="00DF7D27">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8C5084">
        <w:rPr>
          <w:rFonts w:ascii="Traditional Arabic" w:hAnsi="Traditional Arabic"/>
          <w:sz w:val="32"/>
          <w:szCs w:val="32"/>
          <w:rtl/>
        </w:rPr>
        <w:t xml:space="preserve"> القواعد والأصول الجامعة (95) بتصرف، وا</w:t>
      </w:r>
      <w:r>
        <w:rPr>
          <w:rFonts w:ascii="Traditional Arabic" w:hAnsi="Traditional Arabic"/>
          <w:sz w:val="32"/>
          <w:szCs w:val="32"/>
          <w:rtl/>
        </w:rPr>
        <w:t xml:space="preserve">نظر تقرير القواعد </w:t>
      </w:r>
      <w:r>
        <w:rPr>
          <w:rFonts w:ascii="Traditional Arabic" w:hAnsi="Traditional Arabic" w:hint="cs"/>
          <w:sz w:val="32"/>
          <w:szCs w:val="32"/>
          <w:rtl/>
        </w:rPr>
        <w:t>لابن رجب</w:t>
      </w:r>
      <w:r w:rsidRPr="008C5084">
        <w:rPr>
          <w:rFonts w:ascii="Traditional Arabic" w:hAnsi="Traditional Arabic"/>
          <w:sz w:val="32"/>
          <w:szCs w:val="32"/>
          <w:rtl/>
        </w:rPr>
        <w:t xml:space="preserve"> (1/315-319).</w:t>
      </w:r>
    </w:p>
  </w:footnote>
  <w:footnote w:id="1714">
    <w:p w:rsidR="000D3D21" w:rsidRPr="00793DEC" w:rsidRDefault="000D3D21" w:rsidP="00DF7D27">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93DEC">
        <w:rPr>
          <w:rFonts w:ascii="Traditional Arabic" w:hAnsi="Traditional Arabic"/>
          <w:sz w:val="32"/>
          <w:szCs w:val="32"/>
          <w:rtl/>
        </w:rPr>
        <w:t>انظر الشرح الممتع (10/136).</w:t>
      </w:r>
    </w:p>
  </w:footnote>
  <w:footnote w:id="1715">
    <w:p w:rsidR="000D3D21" w:rsidRPr="00793DEC"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93DEC">
        <w:rPr>
          <w:rFonts w:ascii="Traditional Arabic" w:hAnsi="Traditional Arabic"/>
          <w:sz w:val="32"/>
          <w:szCs w:val="32"/>
          <w:rtl/>
        </w:rPr>
        <w:t>انظر</w:t>
      </w:r>
      <w:r>
        <w:rPr>
          <w:rFonts w:ascii="Traditional Arabic" w:hAnsi="Traditional Arabic" w:hint="cs"/>
          <w:sz w:val="32"/>
          <w:szCs w:val="32"/>
          <w:rtl/>
        </w:rPr>
        <w:t>:</w:t>
      </w:r>
      <w:r w:rsidRPr="00793DEC">
        <w:rPr>
          <w:rFonts w:ascii="Traditional Arabic" w:hAnsi="Traditional Arabic"/>
          <w:sz w:val="32"/>
          <w:szCs w:val="32"/>
          <w:rtl/>
        </w:rPr>
        <w:t xml:space="preserve"> التعليق على القواعد والأصول الجامعة (224)، والتعليق على قواعد ابن رجب (1/317).</w:t>
      </w:r>
    </w:p>
  </w:footnote>
  <w:footnote w:id="1716">
    <w:p w:rsidR="000D3D21" w:rsidRPr="00793DEC"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93DEC">
        <w:rPr>
          <w:rFonts w:ascii="Traditional Arabic" w:hAnsi="Traditional Arabic"/>
          <w:sz w:val="32"/>
          <w:szCs w:val="32"/>
          <w:rtl/>
        </w:rPr>
        <w:t>انظر</w:t>
      </w:r>
      <w:r>
        <w:rPr>
          <w:rFonts w:ascii="Traditional Arabic" w:hAnsi="Traditional Arabic" w:hint="cs"/>
          <w:sz w:val="32"/>
          <w:szCs w:val="32"/>
          <w:rtl/>
        </w:rPr>
        <w:t>:</w:t>
      </w:r>
      <w:r w:rsidRPr="00793DEC">
        <w:rPr>
          <w:rFonts w:ascii="Traditional Arabic" w:hAnsi="Traditional Arabic"/>
          <w:sz w:val="32"/>
          <w:szCs w:val="32"/>
          <w:rtl/>
        </w:rPr>
        <w:t xml:space="preserve"> الشرح الممتع (10/137، 304)، وشرح منظومة أصول الفقه وقواعده (299).</w:t>
      </w:r>
    </w:p>
  </w:footnote>
  <w:footnote w:id="1717">
    <w:p w:rsidR="000D3D21" w:rsidRPr="00793DEC"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93DEC">
        <w:rPr>
          <w:rFonts w:ascii="Traditional Arabic" w:hAnsi="Traditional Arabic"/>
          <w:sz w:val="32"/>
          <w:szCs w:val="32"/>
          <w:rtl/>
        </w:rPr>
        <w:t>انظر التعليق على القواعد والأصول الجامعة (224)، وشرح منظومة أصول الفقه وقواعده (260، 299).</w:t>
      </w:r>
    </w:p>
  </w:footnote>
  <w:footnote w:id="1718">
    <w:p w:rsidR="000D3D21" w:rsidRPr="003916A0"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916A0">
        <w:rPr>
          <w:rFonts w:ascii="Traditional Arabic" w:hAnsi="Traditional Arabic"/>
          <w:sz w:val="32"/>
          <w:szCs w:val="32"/>
          <w:rtl/>
        </w:rPr>
        <w:t>انظر التعليق على القواعد والأصول الجامعة (224).</w:t>
      </w:r>
    </w:p>
  </w:footnote>
  <w:footnote w:id="1719">
    <w:p w:rsidR="000D3D21" w:rsidRPr="003916A0"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916A0">
        <w:rPr>
          <w:rFonts w:ascii="Traditional Arabic" w:hAnsi="Traditional Arabic"/>
          <w:sz w:val="32"/>
          <w:szCs w:val="32"/>
          <w:rtl/>
        </w:rPr>
        <w:t>انظر الشرح الممتع (10/137، 304)، وشرح منظومة أصول الفقه وقواعده (299).</w:t>
      </w:r>
    </w:p>
  </w:footnote>
  <w:footnote w:id="1720">
    <w:p w:rsidR="000D3D21" w:rsidRPr="003916A0" w:rsidRDefault="000D3D21" w:rsidP="00DF7D2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916A0">
        <w:rPr>
          <w:rFonts w:ascii="Traditional Arabic" w:hAnsi="Traditional Arabic"/>
          <w:sz w:val="32"/>
          <w:szCs w:val="32"/>
          <w:rtl/>
        </w:rPr>
        <w:t>الشرح الممتع (10/136)بتصرف.</w:t>
      </w:r>
    </w:p>
  </w:footnote>
  <w:footnote w:id="1721">
    <w:p w:rsidR="000D3D21" w:rsidRPr="003916A0" w:rsidRDefault="000D3D21" w:rsidP="00DF7D27">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916A0">
        <w:rPr>
          <w:rFonts w:ascii="Traditional Arabic" w:hAnsi="Traditional Arabic"/>
          <w:sz w:val="32"/>
          <w:szCs w:val="32"/>
          <w:rtl/>
        </w:rPr>
        <w:t>المرجع السابق (10/137)بتصرف</w:t>
      </w:r>
      <w:r>
        <w:rPr>
          <w:rFonts w:ascii="Traditional Arabic" w:hAnsi="Traditional Arabic" w:hint="cs"/>
          <w:sz w:val="32"/>
          <w:szCs w:val="32"/>
          <w:rtl/>
        </w:rPr>
        <w:t>.</w:t>
      </w:r>
    </w:p>
  </w:footnote>
  <w:footnote w:id="1722">
    <w:p w:rsidR="000D3D21" w:rsidRPr="00A31E9C" w:rsidRDefault="000D3D21" w:rsidP="00DF7D27">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31E9C">
        <w:rPr>
          <w:rFonts w:ascii="Traditional Arabic" w:hAnsi="Traditional Arabic"/>
          <w:sz w:val="32"/>
          <w:szCs w:val="32"/>
          <w:rtl/>
        </w:rPr>
        <w:t>الشرح الممتع (10/137)بتصرف.</w:t>
      </w:r>
    </w:p>
    <w:p w:rsidR="000D3D21" w:rsidRPr="00456FCB" w:rsidRDefault="000D3D21" w:rsidP="00DF7D27">
      <w:pPr>
        <w:pStyle w:val="a7"/>
        <w:pageBreakBefore/>
        <w:rPr>
          <w:rFonts w:ascii="Tahoma" w:hAnsi="Tahoma"/>
        </w:rPr>
      </w:pPr>
      <w:r>
        <w:rPr>
          <w:rFonts w:ascii="Traditional Arabic" w:hAnsi="Traditional Arabic" w:hint="cs"/>
          <w:b/>
          <w:bCs/>
          <w:sz w:val="32"/>
          <w:szCs w:val="32"/>
          <w:rtl/>
        </w:rPr>
        <w:t xml:space="preserve">     </w:t>
      </w:r>
      <w:r w:rsidRPr="00A31E9C">
        <w:rPr>
          <w:rFonts w:ascii="Traditional Arabic" w:hAnsi="Traditional Arabic"/>
          <w:b/>
          <w:bCs/>
          <w:sz w:val="32"/>
          <w:szCs w:val="32"/>
          <w:rtl/>
        </w:rPr>
        <w:t xml:space="preserve">تنبيه: </w:t>
      </w:r>
      <w:r w:rsidRPr="00A31E9C">
        <w:rPr>
          <w:rFonts w:ascii="Traditional Arabic" w:hAnsi="Traditional Arabic"/>
          <w:sz w:val="32"/>
          <w:szCs w:val="32"/>
          <w:rtl/>
        </w:rPr>
        <w:t xml:space="preserve">ذكر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A31E9C">
        <w:rPr>
          <w:rFonts w:ascii="Traditional Arabic" w:hAnsi="Traditional Arabic"/>
          <w:sz w:val="32"/>
          <w:szCs w:val="32"/>
          <w:rtl/>
        </w:rPr>
        <w:t xml:space="preserve"> أن إعمال هذه القاعدة في هذه ا</w:t>
      </w:r>
      <w:r>
        <w:rPr>
          <w:rFonts w:ascii="Traditional Arabic" w:hAnsi="Traditional Arabic"/>
          <w:sz w:val="32"/>
          <w:szCs w:val="32"/>
          <w:rtl/>
        </w:rPr>
        <w:t>لمسألة يصح بعد النظر في القرائن</w:t>
      </w:r>
      <w:r>
        <w:rPr>
          <w:rFonts w:ascii="Traditional Arabic" w:hAnsi="Traditional Arabic" w:hint="cs"/>
          <w:sz w:val="32"/>
          <w:szCs w:val="32"/>
          <w:rtl/>
        </w:rPr>
        <w:t>، فإن لم تدل القرائن على قول أحدهما، عُمل حينئذ بهذه القاعدة. انظر ص (432) من هذه الرسالة.</w:t>
      </w:r>
    </w:p>
  </w:footnote>
  <w:footnote w:id="1723">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664E49">
        <w:rPr>
          <w:rFonts w:ascii="Traditional Arabic" w:hAnsi="Traditional Arabic"/>
          <w:sz w:val="32"/>
          <w:szCs w:val="32"/>
          <w:rtl/>
        </w:rPr>
        <w:t xml:space="preserve"> مجلة الأحكام العدلية (المادة 76)، وشرح اليواقيت الثمينة لأبي عبد الله السجلماسي (2/703)، </w:t>
      </w:r>
      <w:r>
        <w:rPr>
          <w:rFonts w:ascii="Traditional Arabic" w:hAnsi="Traditional Arabic" w:hint="cs"/>
          <w:sz w:val="32"/>
          <w:szCs w:val="32"/>
          <w:rtl/>
        </w:rPr>
        <w:t xml:space="preserve">والمجموع المذهب للعلائي (2/490)، </w:t>
      </w:r>
      <w:r w:rsidRPr="00664E49">
        <w:rPr>
          <w:rFonts w:ascii="Traditional Arabic" w:hAnsi="Traditional Arabic"/>
          <w:sz w:val="32"/>
          <w:szCs w:val="32"/>
          <w:rtl/>
        </w:rPr>
        <w:t xml:space="preserve">والأشباه والنظائر للسيوطي (508)، والقواعد والأصول الجامعة (55). </w:t>
      </w:r>
    </w:p>
  </w:footnote>
  <w:footnote w:id="1724">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الشرح الممتع (8/353)، (9/167)، و(10/187)، وشرح منظومة أصول الفقه وقواعده (297)، وفتح ذي الجلال والإكرام (5/175).</w:t>
      </w:r>
    </w:p>
  </w:footnote>
  <w:footnote w:id="1725">
    <w:p w:rsidR="000D3D21" w:rsidRPr="00664E49" w:rsidRDefault="000D3D21" w:rsidP="00D569FA">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منظومة أصول الفقه وقواعده (17).</w:t>
      </w:r>
    </w:p>
  </w:footnote>
  <w:footnote w:id="1726">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المطلع على أبواب المقنع (</w:t>
      </w:r>
      <w:r>
        <w:rPr>
          <w:rFonts w:ascii="Traditional Arabic" w:hAnsi="Traditional Arabic" w:hint="cs"/>
          <w:sz w:val="32"/>
          <w:szCs w:val="32"/>
          <w:rtl/>
        </w:rPr>
        <w:t>492</w:t>
      </w:r>
      <w:r w:rsidRPr="00664E49">
        <w:rPr>
          <w:rFonts w:ascii="Traditional Arabic" w:hAnsi="Traditional Arabic"/>
          <w:sz w:val="32"/>
          <w:szCs w:val="32"/>
          <w:rtl/>
        </w:rPr>
        <w:t>).</w:t>
      </w:r>
    </w:p>
  </w:footnote>
  <w:footnote w:id="1727">
    <w:p w:rsidR="000D3D21" w:rsidRPr="00C2194A" w:rsidRDefault="000D3D21" w:rsidP="00D569FA">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مقاييس اللغة (1/327-328).</w:t>
      </w:r>
    </w:p>
  </w:footnote>
  <w:footnote w:id="1728">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الطرق الحكمية في السياسة الشرعية لابن قيم الجوزية (1/25)</w:t>
      </w:r>
      <w:r>
        <w:rPr>
          <w:rFonts w:ascii="Traditional Arabic" w:hAnsi="Traditional Arabic" w:hint="cs"/>
          <w:sz w:val="32"/>
          <w:szCs w:val="32"/>
          <w:rtl/>
        </w:rPr>
        <w:t>، وانظر (1/64)</w:t>
      </w:r>
      <w:r w:rsidRPr="00664E49">
        <w:rPr>
          <w:rFonts w:ascii="Traditional Arabic" w:hAnsi="Traditional Arabic"/>
          <w:sz w:val="32"/>
          <w:szCs w:val="32"/>
          <w:rtl/>
        </w:rPr>
        <w:t>.</w:t>
      </w:r>
    </w:p>
  </w:footnote>
  <w:footnote w:id="1729">
    <w:p w:rsidR="000D3D21" w:rsidRPr="00793C74" w:rsidRDefault="000D3D21" w:rsidP="00D569FA">
      <w:pPr>
        <w:pStyle w:val="a7"/>
        <w:pageBreakBefore/>
        <w:rPr>
          <w:rFonts w:ascii="Tahoma" w:hAnsi="Tahoma"/>
          <w:sz w:val="32"/>
          <w:szCs w:val="32"/>
          <w:rtl/>
        </w:rPr>
      </w:pPr>
      <w:r w:rsidRPr="00793C74">
        <w:rPr>
          <w:rFonts w:ascii="Tahoma" w:hAnsi="Tahoma"/>
          <w:sz w:val="32"/>
          <w:szCs w:val="32"/>
          <w:rtl/>
        </w:rPr>
        <w:t>(</w:t>
      </w:r>
      <w:r w:rsidRPr="00793C74">
        <w:rPr>
          <w:rStyle w:val="af1"/>
          <w:rFonts w:ascii="Tahoma" w:hAnsi="Tahoma"/>
          <w:sz w:val="32"/>
          <w:szCs w:val="32"/>
          <w:vertAlign w:val="baseline"/>
          <w:rtl/>
        </w:rPr>
        <w:footnoteRef/>
      </w:r>
      <w:r w:rsidRPr="00793C74">
        <w:rPr>
          <w:rFonts w:ascii="Tahoma" w:hAnsi="Tahoma"/>
          <w:sz w:val="32"/>
          <w:szCs w:val="32"/>
          <w:rtl/>
        </w:rPr>
        <w:t>)</w:t>
      </w:r>
      <w:r w:rsidRPr="00793C74">
        <w:rPr>
          <w:rFonts w:ascii="Tahoma" w:hAnsi="Tahoma" w:hint="cs"/>
          <w:sz w:val="32"/>
          <w:szCs w:val="32"/>
          <w:rtl/>
        </w:rPr>
        <w:t xml:space="preserve"> خص الفقهاء كلمة البينة بالشهادة، فإذا أطلقوا لفظ البينة انصرف إلى الشهادة في اصطلاحهم. انظر الإثبات بالقرائن في الفقه الإسلامي لإبراهيم بن محمد الفايز (47-48). </w:t>
      </w:r>
    </w:p>
  </w:footnote>
  <w:footnote w:id="1730">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إعلام الموقعين (2/168).</w:t>
      </w:r>
    </w:p>
  </w:footnote>
  <w:footnote w:id="1731">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664E49">
        <w:rPr>
          <w:rFonts w:ascii="Traditional Arabic" w:hAnsi="Traditional Arabic"/>
          <w:sz w:val="32"/>
          <w:szCs w:val="32"/>
          <w:rtl/>
        </w:rPr>
        <w:t xml:space="preserve"> فتح ذي الجلال والإكرام (3/478).</w:t>
      </w:r>
      <w:r>
        <w:rPr>
          <w:rFonts w:ascii="Traditional Arabic" w:hAnsi="Traditional Arabic"/>
          <w:sz w:val="32"/>
          <w:szCs w:val="32"/>
          <w:rtl/>
        </w:rPr>
        <w:t>، وانظر (6/192)، وشر</w:t>
      </w:r>
      <w:r w:rsidRPr="00664E49">
        <w:rPr>
          <w:rFonts w:ascii="Traditional Arabic" w:hAnsi="Traditional Arabic"/>
          <w:sz w:val="32"/>
          <w:szCs w:val="32"/>
          <w:rtl/>
        </w:rPr>
        <w:t xml:space="preserve">ح منظومة أصول الفقه وقواعده (293). </w:t>
      </w:r>
    </w:p>
  </w:footnote>
  <w:footnote w:id="1732">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القواعد والأصول الجامعة (56).</w:t>
      </w:r>
    </w:p>
  </w:footnote>
  <w:footnote w:id="1733">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التعليق على القواعد والأصول الجامعة (108).</w:t>
      </w:r>
    </w:p>
  </w:footnote>
  <w:footnote w:id="1734">
    <w:p w:rsidR="000D3D21" w:rsidRPr="00664E49" w:rsidRDefault="000D3D21" w:rsidP="009A2D7D">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b/>
          <w:bCs/>
          <w:sz w:val="32"/>
          <w:szCs w:val="32"/>
          <w:rtl/>
        </w:rPr>
        <w:t>الدعاوى</w:t>
      </w:r>
      <w:r w:rsidR="00AB0B9E">
        <w:rPr>
          <w:rFonts w:ascii="Traditional Arabic" w:hAnsi="Traditional Arabic"/>
          <w:b/>
          <w:bCs/>
          <w:sz w:val="32"/>
          <w:szCs w:val="32"/>
          <w:rtl/>
        </w:rPr>
        <w:fldChar w:fldCharType="begin"/>
      </w:r>
      <w:r>
        <w:instrText xml:space="preserve"> XE "</w:instrText>
      </w:r>
      <w:r w:rsidRPr="009A2D7D">
        <w:rPr>
          <w:rFonts w:ascii="Traditional Arabic" w:hAnsi="Traditional Arabic"/>
          <w:sz w:val="32"/>
          <w:szCs w:val="32"/>
          <w:rtl/>
        </w:rPr>
        <w:instrText>الدعاوى</w:instrText>
      </w:r>
      <w:r>
        <w:instrText>" \fm</w:instrText>
      </w:r>
      <w:r w:rsidR="00AB0B9E">
        <w:rPr>
          <w:rFonts w:ascii="Traditional Arabic" w:hAnsi="Traditional Arabic"/>
          <w:b/>
          <w:bCs/>
          <w:sz w:val="32"/>
          <w:szCs w:val="32"/>
          <w:rtl/>
        </w:rPr>
        <w:fldChar w:fldCharType="end"/>
      </w:r>
      <w:r w:rsidRPr="00664E49">
        <w:rPr>
          <w:rFonts w:ascii="Traditional Arabic" w:hAnsi="Traditional Arabic"/>
          <w:b/>
          <w:bCs/>
          <w:sz w:val="32"/>
          <w:szCs w:val="32"/>
          <w:rtl/>
        </w:rPr>
        <w:t xml:space="preserve">: </w:t>
      </w:r>
      <w:r w:rsidRPr="00664E49">
        <w:rPr>
          <w:rFonts w:ascii="Traditional Arabic" w:hAnsi="Traditional Arabic"/>
          <w:noProof w:val="0"/>
          <w:sz w:val="32"/>
          <w:szCs w:val="32"/>
          <w:rtl/>
          <w:lang w:eastAsia="en-US"/>
        </w:rPr>
        <w:t>الدعاوى، بكسر الواو وفتحها: جمع دعوى، تقول: ادَّعيت على فلان بكذا ادِّعاءً، والاسم: الدعوى، وهي: طلب الشيء زاعماً مِلْكَه.</w:t>
      </w:r>
      <w:r>
        <w:rPr>
          <w:rFonts w:ascii="Traditional Arabic" w:hAnsi="Traditional Arabic" w:hint="cs"/>
          <w:noProof w:val="0"/>
          <w:sz w:val="32"/>
          <w:szCs w:val="32"/>
          <w:rtl/>
          <w:lang w:eastAsia="en-US"/>
        </w:rPr>
        <w:t xml:space="preserve"> </w:t>
      </w:r>
      <w:r w:rsidRPr="00664E49">
        <w:rPr>
          <w:rFonts w:ascii="Traditional Arabic" w:hAnsi="Traditional Arabic"/>
          <w:noProof w:val="0"/>
          <w:sz w:val="32"/>
          <w:szCs w:val="32"/>
          <w:rtl/>
          <w:lang w:eastAsia="en-US"/>
        </w:rPr>
        <w:t xml:space="preserve">المطلع على أبواب المقنع </w:t>
      </w:r>
      <w:r>
        <w:rPr>
          <w:rFonts w:ascii="Traditional Arabic" w:hAnsi="Traditional Arabic" w:hint="cs"/>
          <w:noProof w:val="0"/>
          <w:sz w:val="32"/>
          <w:szCs w:val="32"/>
          <w:rtl/>
          <w:lang w:eastAsia="en-US"/>
        </w:rPr>
        <w:t>(492) بتصرف</w:t>
      </w:r>
      <w:r w:rsidRPr="00664E49">
        <w:rPr>
          <w:rFonts w:ascii="Traditional Arabic" w:hAnsi="Traditional Arabic"/>
          <w:noProof w:val="0"/>
          <w:sz w:val="32"/>
          <w:szCs w:val="32"/>
          <w:rtl/>
          <w:lang w:eastAsia="en-US"/>
        </w:rPr>
        <w:t>.</w:t>
      </w:r>
    </w:p>
  </w:footnote>
  <w:footnote w:id="1735">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 xml:space="preserve">أخرجه بهذا اللفظ البيهقي في السنن الكبرى في كتاب الدعوى والبينات، </w:t>
      </w:r>
      <w:r w:rsidRPr="00664E49">
        <w:rPr>
          <w:rFonts w:ascii="Traditional Arabic" w:hAnsi="Traditional Arabic"/>
          <w:noProof w:val="0"/>
          <w:color w:val="auto"/>
          <w:sz w:val="32"/>
          <w:szCs w:val="32"/>
          <w:rtl/>
          <w:lang w:eastAsia="en-US"/>
        </w:rPr>
        <w:t>باب البينة على المدعى واليمين على المدعى عليه، رقم الحديث (200990).</w:t>
      </w:r>
      <w:r>
        <w:rPr>
          <w:rFonts w:ascii="Traditional Arabic" w:hAnsi="Traditional Arabic" w:hint="cs"/>
          <w:noProof w:val="0"/>
          <w:color w:val="auto"/>
          <w:sz w:val="32"/>
          <w:szCs w:val="32"/>
          <w:rtl/>
          <w:lang w:eastAsia="en-US"/>
        </w:rPr>
        <w:t xml:space="preserve"> </w:t>
      </w:r>
      <w:r w:rsidRPr="00664E49">
        <w:rPr>
          <w:rFonts w:ascii="Traditional Arabic" w:hAnsi="Traditional Arabic"/>
          <w:noProof w:val="0"/>
          <w:color w:val="auto"/>
          <w:sz w:val="32"/>
          <w:szCs w:val="32"/>
          <w:rtl/>
          <w:lang w:eastAsia="en-US"/>
        </w:rPr>
        <w:t>والحديث صححه الألباني في إرواء الغليل (6/357).</w:t>
      </w:r>
    </w:p>
  </w:footnote>
  <w:footnote w:id="1736">
    <w:p w:rsidR="000D3D21" w:rsidRPr="00664E49"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4E49">
        <w:rPr>
          <w:rFonts w:ascii="Traditional Arabic" w:hAnsi="Traditional Arabic"/>
          <w:sz w:val="32"/>
          <w:szCs w:val="32"/>
          <w:rtl/>
        </w:rPr>
        <w:t>القواعد والأصول الجامعة (55-56)</w:t>
      </w:r>
      <w:r>
        <w:rPr>
          <w:rFonts w:ascii="Traditional Arabic" w:hAnsi="Traditional Arabic" w:hint="cs"/>
          <w:sz w:val="32"/>
          <w:szCs w:val="32"/>
          <w:rtl/>
        </w:rPr>
        <w:t xml:space="preserve"> </w:t>
      </w:r>
      <w:r w:rsidRPr="00664E49">
        <w:rPr>
          <w:rFonts w:ascii="Traditional Arabic" w:hAnsi="Traditional Arabic"/>
          <w:sz w:val="32"/>
          <w:szCs w:val="32"/>
          <w:rtl/>
        </w:rPr>
        <w:t>بتصرف.</w:t>
      </w:r>
    </w:p>
  </w:footnote>
  <w:footnote w:id="1737">
    <w:p w:rsidR="000D3D21" w:rsidRPr="00BF20D3"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F20D3">
        <w:rPr>
          <w:rFonts w:ascii="Traditional Arabic" w:hAnsi="Traditional Arabic"/>
          <w:sz w:val="32"/>
          <w:szCs w:val="32"/>
          <w:rtl/>
        </w:rPr>
        <w:t>فتح ذي الجلال والإكرام (6/193)</w:t>
      </w:r>
      <w:r>
        <w:rPr>
          <w:rFonts w:ascii="Traditional Arabic" w:hAnsi="Traditional Arabic" w:hint="cs"/>
          <w:sz w:val="32"/>
          <w:szCs w:val="32"/>
          <w:rtl/>
        </w:rPr>
        <w:t xml:space="preserve"> </w:t>
      </w:r>
      <w:r w:rsidRPr="00BF20D3">
        <w:rPr>
          <w:rFonts w:ascii="Traditional Arabic" w:hAnsi="Traditional Arabic"/>
          <w:sz w:val="32"/>
          <w:szCs w:val="32"/>
          <w:rtl/>
        </w:rPr>
        <w:t>بتصرف.</w:t>
      </w:r>
    </w:p>
  </w:footnote>
  <w:footnote w:id="1738">
    <w:p w:rsidR="000D3D21" w:rsidRPr="00C107D2"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07D2">
        <w:rPr>
          <w:rFonts w:ascii="Traditional Arabic" w:hAnsi="Traditional Arabic"/>
          <w:sz w:val="32"/>
          <w:szCs w:val="32"/>
          <w:rtl/>
        </w:rPr>
        <w:t>انظر الشرح الممتع (10/188)، و(15/473)</w:t>
      </w:r>
      <w:r>
        <w:rPr>
          <w:rFonts w:ascii="Traditional Arabic" w:hAnsi="Traditional Arabic" w:hint="cs"/>
          <w:sz w:val="32"/>
          <w:szCs w:val="32"/>
          <w:rtl/>
        </w:rPr>
        <w:t>، وشرح منظومة أصول الفقه وقواعده (303)</w:t>
      </w:r>
      <w:r w:rsidRPr="00C107D2">
        <w:rPr>
          <w:rFonts w:ascii="Traditional Arabic" w:hAnsi="Traditional Arabic"/>
          <w:sz w:val="32"/>
          <w:szCs w:val="32"/>
          <w:rtl/>
        </w:rPr>
        <w:t>.</w:t>
      </w:r>
    </w:p>
  </w:footnote>
  <w:footnote w:id="1739">
    <w:p w:rsidR="000D3D21" w:rsidRPr="00C107D2" w:rsidRDefault="000D3D21" w:rsidP="00D569FA">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07D2">
        <w:rPr>
          <w:rFonts w:ascii="Traditional Arabic" w:hAnsi="Traditional Arabic"/>
          <w:sz w:val="32"/>
          <w:szCs w:val="32"/>
          <w:rtl/>
        </w:rPr>
        <w:t>فتح ذي الجلال والإكرام (3/479) بتصرف، وانظر شرح منظومة أصول الفقه وقواعده (298).</w:t>
      </w:r>
    </w:p>
    <w:p w:rsidR="000D3D21" w:rsidRPr="00C107D2" w:rsidRDefault="000D3D21" w:rsidP="00D569FA">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C107D2">
        <w:rPr>
          <w:rFonts w:ascii="Traditional Arabic" w:hAnsi="Traditional Arabic"/>
          <w:b/>
          <w:bCs/>
          <w:sz w:val="32"/>
          <w:szCs w:val="32"/>
          <w:rtl/>
        </w:rPr>
        <w:t xml:space="preserve">تنبيه: </w:t>
      </w:r>
      <w:r w:rsidRPr="00C107D2">
        <w:rPr>
          <w:rFonts w:ascii="Traditional Arabic" w:hAnsi="Traditional Arabic"/>
          <w:sz w:val="32"/>
          <w:szCs w:val="32"/>
          <w:rtl/>
        </w:rPr>
        <w:t xml:space="preserve">اختلف العلماء في ضابط التمييز بين المدعي والمدعى عليه. انظر القواعد الفقهية للدعوى القضائية </w:t>
      </w:r>
      <w:r>
        <w:rPr>
          <w:rFonts w:ascii="Traditional Arabic" w:hAnsi="Traditional Arabic" w:hint="cs"/>
          <w:sz w:val="32"/>
          <w:szCs w:val="32"/>
          <w:rtl/>
        </w:rPr>
        <w:t>(1/161)</w:t>
      </w:r>
      <w:r w:rsidRPr="00C107D2">
        <w:rPr>
          <w:rFonts w:ascii="Traditional Arabic" w:hAnsi="Traditional Arabic"/>
          <w:sz w:val="32"/>
          <w:szCs w:val="32"/>
          <w:rtl/>
        </w:rPr>
        <w:t>.</w:t>
      </w:r>
    </w:p>
  </w:footnote>
  <w:footnote w:id="1740">
    <w:p w:rsidR="000D3D21" w:rsidRPr="00C107D2"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07D2">
        <w:rPr>
          <w:rFonts w:ascii="Traditional Arabic" w:hAnsi="Traditional Arabic"/>
          <w:sz w:val="32"/>
          <w:szCs w:val="32"/>
          <w:rtl/>
        </w:rPr>
        <w:t>تقدم تخريجه.</w:t>
      </w:r>
    </w:p>
  </w:footnote>
  <w:footnote w:id="1741">
    <w:p w:rsidR="000D3D21" w:rsidRPr="00C107D2"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07D2">
        <w:rPr>
          <w:rFonts w:ascii="Traditional Arabic" w:hAnsi="Traditional Arabic"/>
          <w:sz w:val="32"/>
          <w:szCs w:val="32"/>
          <w:rtl/>
        </w:rPr>
        <w:t xml:space="preserve">شرح النووي على صحيح مسلم </w:t>
      </w:r>
      <w:r>
        <w:rPr>
          <w:rFonts w:ascii="Traditional Arabic" w:hAnsi="Traditional Arabic" w:hint="cs"/>
          <w:sz w:val="32"/>
          <w:szCs w:val="32"/>
          <w:rtl/>
        </w:rPr>
        <w:t>(12/230)</w:t>
      </w:r>
      <w:r w:rsidRPr="00C107D2">
        <w:rPr>
          <w:rFonts w:ascii="Traditional Arabic" w:hAnsi="Traditional Arabic"/>
          <w:sz w:val="32"/>
          <w:szCs w:val="32"/>
          <w:rtl/>
        </w:rPr>
        <w:t>.</w:t>
      </w:r>
    </w:p>
  </w:footnote>
  <w:footnote w:id="1742">
    <w:p w:rsidR="000D3D21" w:rsidRPr="00664E49" w:rsidRDefault="000D3D21" w:rsidP="00D569FA">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الإجماع لأبي بكر بن المنذر</w:t>
      </w:r>
      <w:r w:rsidRPr="00C107D2">
        <w:rPr>
          <w:rFonts w:ascii="Traditional Arabic" w:hAnsi="Traditional Arabic"/>
          <w:sz w:val="32"/>
          <w:szCs w:val="32"/>
          <w:rtl/>
        </w:rPr>
        <w:t xml:space="preserve"> (86)، وانظر القواعد والأصول الجامعة (55).</w:t>
      </w:r>
    </w:p>
  </w:footnote>
  <w:footnote w:id="1743">
    <w:p w:rsidR="000D3D21" w:rsidRPr="00C107D2"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07D2">
        <w:rPr>
          <w:rFonts w:ascii="Traditional Arabic" w:hAnsi="Traditional Arabic"/>
          <w:sz w:val="32"/>
          <w:szCs w:val="32"/>
          <w:rtl/>
        </w:rPr>
        <w:t>انظر الشرح الممتع (8/553).</w:t>
      </w:r>
    </w:p>
  </w:footnote>
  <w:footnote w:id="1744">
    <w:p w:rsidR="000D3D21" w:rsidRPr="00A7110E" w:rsidRDefault="000D3D21" w:rsidP="00D569FA">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A7110E">
        <w:rPr>
          <w:rFonts w:ascii="Traditional Arabic" w:hAnsi="Traditional Arabic"/>
          <w:sz w:val="32"/>
          <w:szCs w:val="32"/>
          <w:rtl/>
        </w:rPr>
        <w:t xml:space="preserve"> (9/164)</w:t>
      </w:r>
      <w:r>
        <w:rPr>
          <w:rFonts w:ascii="Traditional Arabic" w:hAnsi="Traditional Arabic" w:hint="cs"/>
          <w:sz w:val="32"/>
          <w:szCs w:val="32"/>
          <w:rtl/>
        </w:rPr>
        <w:t xml:space="preserve"> </w:t>
      </w:r>
      <w:r w:rsidRPr="00A7110E">
        <w:rPr>
          <w:rFonts w:ascii="Traditional Arabic" w:hAnsi="Traditional Arabic"/>
          <w:sz w:val="32"/>
          <w:szCs w:val="32"/>
          <w:rtl/>
        </w:rPr>
        <w:t>بتصرف.</w:t>
      </w:r>
    </w:p>
    <w:p w:rsidR="000D3D21" w:rsidRPr="00A7110E" w:rsidRDefault="000D3D21" w:rsidP="00D569FA">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A7110E">
        <w:rPr>
          <w:rFonts w:ascii="Traditional Arabic" w:hAnsi="Traditional Arabic"/>
          <w:sz w:val="32"/>
          <w:szCs w:val="32"/>
          <w:rtl/>
        </w:rPr>
        <w:t>يُلْحَظ أن الشيخ ابن عثيمين</w:t>
      </w:r>
      <w:r>
        <w:rPr>
          <w:rFonts w:ascii="Traditional Arabic" w:hAnsi="Traditional Arabic" w:hint="cs"/>
          <w:sz w:val="32"/>
          <w:szCs w:val="32"/>
          <w:rtl/>
        </w:rPr>
        <w:t>_رحمه الله_</w:t>
      </w:r>
      <w:r w:rsidRPr="00A7110E">
        <w:rPr>
          <w:rFonts w:ascii="Traditional Arabic" w:hAnsi="Traditional Arabic"/>
          <w:sz w:val="32"/>
          <w:szCs w:val="32"/>
          <w:rtl/>
        </w:rPr>
        <w:t xml:space="preserve"> رجح أن القول قول من</w:t>
      </w:r>
      <w:r w:rsidRPr="00A7110E">
        <w:rPr>
          <w:rFonts w:ascii="Traditional Arabic" w:hAnsi="Traditional Arabic"/>
          <w:noProof w:val="0"/>
          <w:sz w:val="32"/>
          <w:szCs w:val="32"/>
          <w:rtl/>
          <w:lang w:eastAsia="en-US"/>
        </w:rPr>
        <w:t xml:space="preserve"> يشهد العرفُ له، </w:t>
      </w:r>
      <w:r w:rsidRPr="00A7110E">
        <w:rPr>
          <w:rFonts w:ascii="Traditional Arabic" w:hAnsi="Traditional Arabic"/>
          <w:sz w:val="32"/>
          <w:szCs w:val="32"/>
          <w:rtl/>
        </w:rPr>
        <w:t>فلو كان الدين الذي ادعاه الراهن بعيدا من قيمة الرهن عادةً، فإن القول قول المرتهن. انظر المرجع السابق (9/164-165).</w:t>
      </w:r>
    </w:p>
  </w:footnote>
  <w:footnote w:id="1745">
    <w:p w:rsidR="000D3D21" w:rsidRPr="00A7110E"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7110E">
        <w:rPr>
          <w:rFonts w:ascii="Traditional Arabic" w:hAnsi="Traditional Arabic"/>
          <w:sz w:val="32"/>
          <w:szCs w:val="32"/>
          <w:rtl/>
        </w:rPr>
        <w:t>المرجع السابق (9/165)بتصرف.</w:t>
      </w:r>
    </w:p>
  </w:footnote>
  <w:footnote w:id="1746">
    <w:p w:rsidR="000D3D21" w:rsidRPr="00A7110E" w:rsidRDefault="000D3D21" w:rsidP="001A744D">
      <w:pPr>
        <w:pStyle w:val="a7"/>
        <w:pageBreakBefore/>
        <w:rPr>
          <w:rFonts w:ascii="Tahoma" w:hAnsi="Tahoma"/>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A7110E">
        <w:rPr>
          <w:rFonts w:ascii="Traditional Arabic" w:hAnsi="Traditional Arabic"/>
          <w:b/>
          <w:bCs/>
          <w:sz w:val="32"/>
          <w:szCs w:val="32"/>
          <w:rtl/>
        </w:rPr>
        <w:t>المضاربة</w:t>
      </w:r>
      <w:r w:rsidR="00AB0B9E">
        <w:rPr>
          <w:rFonts w:ascii="Traditional Arabic" w:hAnsi="Traditional Arabic"/>
          <w:b/>
          <w:bCs/>
          <w:sz w:val="32"/>
          <w:szCs w:val="32"/>
          <w:rtl/>
        </w:rPr>
        <w:fldChar w:fldCharType="begin"/>
      </w:r>
      <w:r>
        <w:instrText xml:space="preserve"> XE "</w:instrText>
      </w:r>
      <w:r w:rsidRPr="001A744D">
        <w:rPr>
          <w:rFonts w:ascii="Traditional Arabic" w:hAnsi="Traditional Arabic"/>
          <w:sz w:val="32"/>
          <w:szCs w:val="32"/>
          <w:rtl/>
        </w:rPr>
        <w:instrText>المضاربة</w:instrText>
      </w:r>
      <w:r>
        <w:instrText>" \fm</w:instrText>
      </w:r>
      <w:r w:rsidR="00AB0B9E">
        <w:rPr>
          <w:rFonts w:ascii="Traditional Arabic" w:hAnsi="Traditional Arabic"/>
          <w:b/>
          <w:bCs/>
          <w:sz w:val="32"/>
          <w:szCs w:val="32"/>
          <w:rtl/>
        </w:rPr>
        <w:fldChar w:fldCharType="end"/>
      </w:r>
      <w:r w:rsidRPr="00A7110E">
        <w:rPr>
          <w:rFonts w:ascii="Traditional Arabic" w:hAnsi="Traditional Arabic"/>
          <w:b/>
          <w:bCs/>
          <w:sz w:val="32"/>
          <w:szCs w:val="32"/>
          <w:rtl/>
        </w:rPr>
        <w:t xml:space="preserve"> لغة:</w:t>
      </w:r>
      <w:r>
        <w:rPr>
          <w:rFonts w:ascii="Traditional Arabic" w:hAnsi="Traditional Arabic" w:hint="cs"/>
          <w:b/>
          <w:bCs/>
          <w:sz w:val="32"/>
          <w:szCs w:val="32"/>
          <w:rtl/>
        </w:rPr>
        <w:t xml:space="preserve"> </w:t>
      </w:r>
      <w:r w:rsidRPr="00A7110E">
        <w:rPr>
          <w:rFonts w:ascii="Traditional Arabic" w:hAnsi="Traditional Arabic"/>
          <w:noProof w:val="0"/>
          <w:sz w:val="32"/>
          <w:szCs w:val="32"/>
          <w:rtl/>
          <w:lang w:eastAsia="en-US"/>
        </w:rPr>
        <w:t xml:space="preserve">مصدر ضارب يضارب مضاربة، وفي اشتقاقها وجهان، أصحهما: أنها مشتقة من الضرب في الأرض، وهو: السفر فيها للتجارة، قال الله تعالى: </w:t>
      </w:r>
      <w:bookmarkStart w:id="357" w:name="سورة_المزمل_2"/>
      <w:r w:rsidRPr="00A7110E">
        <w:rPr>
          <w:rFonts w:ascii="QCF_BSML" w:hAnsi="QCF_BSML" w:cs="QCF_BSML"/>
          <w:noProof w:val="0"/>
          <w:sz w:val="32"/>
          <w:szCs w:val="32"/>
          <w:rtl/>
          <w:lang w:eastAsia="en-US"/>
        </w:rPr>
        <w:t xml:space="preserve">ﭽ </w:t>
      </w:r>
      <w:r w:rsidRPr="00A7110E">
        <w:rPr>
          <w:rFonts w:ascii="QCF_P575" w:hAnsi="QCF_P575" w:cs="QCF_P575"/>
          <w:noProof w:val="0"/>
          <w:sz w:val="32"/>
          <w:szCs w:val="32"/>
          <w:rtl/>
          <w:lang w:eastAsia="en-US"/>
        </w:rPr>
        <w:t>ﭺﭻﭼﭽ</w:t>
      </w:r>
      <w:r w:rsidRPr="00A7110E">
        <w:rPr>
          <w:rFonts w:ascii="QCF_BSML" w:hAnsi="QCF_BSML" w:cs="QCF_BSML"/>
          <w:noProof w:val="0"/>
          <w:sz w:val="32"/>
          <w:szCs w:val="32"/>
          <w:rtl/>
          <w:lang w:eastAsia="en-US"/>
        </w:rPr>
        <w:t>ﭼ</w:t>
      </w:r>
      <w:bookmarkEnd w:id="357"/>
      <w:r w:rsidRPr="00A7110E">
        <w:rPr>
          <w:rFonts w:ascii="Traditional Arabic" w:hAnsi="Traditional Arabic"/>
          <w:noProof w:val="0"/>
          <w:sz w:val="32"/>
          <w:szCs w:val="32"/>
          <w:rtl/>
          <w:lang w:eastAsia="en-US"/>
        </w:rPr>
        <w:t>[المزمل: 2]. والثاني: من ضرب كل واحد منهما في الربح بسهم</w:t>
      </w:r>
      <w:r w:rsidRPr="00A7110E">
        <w:rPr>
          <w:rFonts w:ascii="Tahoma" w:hAnsi="Tahoma" w:hint="cs"/>
          <w:b/>
          <w:bCs/>
          <w:sz w:val="32"/>
          <w:szCs w:val="32"/>
          <w:rtl/>
        </w:rPr>
        <w:t>.</w:t>
      </w:r>
      <w:r>
        <w:rPr>
          <w:rFonts w:ascii="Tahoma" w:hAnsi="Tahoma" w:hint="cs"/>
          <w:sz w:val="32"/>
          <w:szCs w:val="32"/>
          <w:rtl/>
        </w:rPr>
        <w:t xml:space="preserve"> </w:t>
      </w:r>
      <w:r w:rsidRPr="00A41262">
        <w:rPr>
          <w:rFonts w:ascii="Tahoma" w:hAnsi="Tahoma" w:hint="cs"/>
          <w:sz w:val="32"/>
          <w:szCs w:val="32"/>
          <w:rtl/>
        </w:rPr>
        <w:t>المطلع على أبواب المقنع (</w:t>
      </w:r>
      <w:r>
        <w:rPr>
          <w:rFonts w:ascii="Tahoma" w:hAnsi="Tahoma" w:hint="cs"/>
          <w:sz w:val="32"/>
          <w:szCs w:val="32"/>
          <w:rtl/>
        </w:rPr>
        <w:t>190</w:t>
      </w:r>
      <w:r w:rsidRPr="00A41262">
        <w:rPr>
          <w:rFonts w:ascii="Tahoma" w:hAnsi="Tahoma" w:hint="cs"/>
          <w:sz w:val="32"/>
          <w:szCs w:val="32"/>
          <w:rtl/>
        </w:rPr>
        <w:t>)بتصرف.</w:t>
      </w:r>
    </w:p>
    <w:p w:rsidR="000D3D21" w:rsidRPr="00A7110E" w:rsidRDefault="000D3D21" w:rsidP="00D569FA">
      <w:pPr>
        <w:pStyle w:val="a7"/>
        <w:pageBreakBefore/>
        <w:rPr>
          <w:rFonts w:ascii="Tahoma" w:hAnsi="Tahoma"/>
          <w:b/>
          <w:bCs/>
          <w:sz w:val="32"/>
          <w:szCs w:val="32"/>
        </w:rPr>
      </w:pPr>
      <w:r>
        <w:rPr>
          <w:rFonts w:ascii="Tahoma" w:hAnsi="Tahoma" w:hint="cs"/>
          <w:b/>
          <w:bCs/>
          <w:sz w:val="32"/>
          <w:szCs w:val="32"/>
          <w:rtl/>
        </w:rPr>
        <w:t xml:space="preserve">     </w:t>
      </w:r>
      <w:r w:rsidRPr="00A7110E">
        <w:rPr>
          <w:rFonts w:ascii="Tahoma" w:hAnsi="Tahoma" w:hint="cs"/>
          <w:b/>
          <w:bCs/>
          <w:sz w:val="32"/>
          <w:szCs w:val="32"/>
          <w:rtl/>
        </w:rPr>
        <w:t xml:space="preserve">المضاربة اصطلاحا: </w:t>
      </w:r>
      <w:r w:rsidRPr="00A7110E">
        <w:rPr>
          <w:rFonts w:ascii="Traditional Arabic" w:hAnsi="Traditional Arabic"/>
          <w:noProof w:val="0"/>
          <w:sz w:val="32"/>
          <w:szCs w:val="32"/>
          <w:rtl/>
          <w:lang w:eastAsia="en-US"/>
        </w:rPr>
        <w:t>أن يدفع رجل</w:t>
      </w:r>
      <w:r>
        <w:rPr>
          <w:rFonts w:ascii="Traditional Arabic" w:hAnsi="Traditional Arabic" w:hint="cs"/>
          <w:noProof w:val="0"/>
          <w:sz w:val="32"/>
          <w:szCs w:val="32"/>
          <w:rtl/>
          <w:lang w:eastAsia="en-US"/>
        </w:rPr>
        <w:t>ٌ</w:t>
      </w:r>
      <w:r w:rsidRPr="00A7110E">
        <w:rPr>
          <w:rFonts w:ascii="Traditional Arabic" w:hAnsi="Traditional Arabic"/>
          <w:noProof w:val="0"/>
          <w:sz w:val="32"/>
          <w:szCs w:val="32"/>
          <w:rtl/>
          <w:lang w:eastAsia="en-US"/>
        </w:rPr>
        <w:t xml:space="preserve"> مال</w:t>
      </w:r>
      <w:r>
        <w:rPr>
          <w:rFonts w:ascii="Traditional Arabic" w:hAnsi="Traditional Arabic" w:hint="cs"/>
          <w:noProof w:val="0"/>
          <w:sz w:val="32"/>
          <w:szCs w:val="32"/>
          <w:rtl/>
          <w:lang w:eastAsia="en-US"/>
        </w:rPr>
        <w:t>َ</w:t>
      </w:r>
      <w:r w:rsidRPr="00A7110E">
        <w:rPr>
          <w:rFonts w:ascii="Traditional Arabic" w:hAnsi="Traditional Arabic"/>
          <w:noProof w:val="0"/>
          <w:sz w:val="32"/>
          <w:szCs w:val="32"/>
          <w:rtl/>
          <w:lang w:eastAsia="en-US"/>
        </w:rPr>
        <w:t>ه إلى آخر يت</w:t>
      </w:r>
      <w:r>
        <w:rPr>
          <w:rFonts w:ascii="Traditional Arabic" w:hAnsi="Traditional Arabic" w:hint="cs"/>
          <w:noProof w:val="0"/>
          <w:sz w:val="32"/>
          <w:szCs w:val="32"/>
          <w:rtl/>
          <w:lang w:eastAsia="en-US"/>
        </w:rPr>
        <w:t>َّ</w:t>
      </w:r>
      <w:r w:rsidRPr="00A7110E">
        <w:rPr>
          <w:rFonts w:ascii="Traditional Arabic" w:hAnsi="Traditional Arabic"/>
          <w:noProof w:val="0"/>
          <w:sz w:val="32"/>
          <w:szCs w:val="32"/>
          <w:rtl/>
          <w:lang w:eastAsia="en-US"/>
        </w:rPr>
        <w:t>جر له فيه، على أن ما حصل من الربح بينهما حس</w:t>
      </w:r>
      <w:r>
        <w:rPr>
          <w:rFonts w:ascii="Traditional Arabic" w:hAnsi="Traditional Arabic" w:hint="cs"/>
          <w:noProof w:val="0"/>
          <w:sz w:val="32"/>
          <w:szCs w:val="32"/>
          <w:rtl/>
          <w:lang w:eastAsia="en-US"/>
        </w:rPr>
        <w:t>َ</w:t>
      </w:r>
      <w:r w:rsidRPr="00A7110E">
        <w:rPr>
          <w:rFonts w:ascii="Traditional Arabic" w:hAnsi="Traditional Arabic"/>
          <w:noProof w:val="0"/>
          <w:sz w:val="32"/>
          <w:szCs w:val="32"/>
          <w:rtl/>
          <w:lang w:eastAsia="en-US"/>
        </w:rPr>
        <w:t>ب ما يشترطانه</w:t>
      </w:r>
      <w:r w:rsidRPr="00A7110E">
        <w:rPr>
          <w:rFonts w:ascii="Tahoma" w:hAnsi="Tahoma" w:hint="cs"/>
          <w:b/>
          <w:bCs/>
          <w:sz w:val="32"/>
          <w:szCs w:val="32"/>
          <w:rtl/>
        </w:rPr>
        <w:t>.</w:t>
      </w:r>
      <w:r>
        <w:rPr>
          <w:rFonts w:ascii="Tahoma" w:hAnsi="Tahoma" w:hint="cs"/>
          <w:b/>
          <w:bCs/>
          <w:sz w:val="32"/>
          <w:szCs w:val="32"/>
          <w:rtl/>
        </w:rPr>
        <w:t xml:space="preserve"> </w:t>
      </w:r>
      <w:r w:rsidRPr="00A7110E">
        <w:rPr>
          <w:rFonts w:ascii="Tahoma" w:hAnsi="Tahoma" w:hint="cs"/>
          <w:sz w:val="32"/>
          <w:szCs w:val="32"/>
          <w:rtl/>
        </w:rPr>
        <w:t>المغني لابن قدامة (</w:t>
      </w:r>
      <w:r>
        <w:rPr>
          <w:rFonts w:ascii="Tahoma" w:hAnsi="Tahoma" w:hint="cs"/>
          <w:sz w:val="32"/>
          <w:szCs w:val="32"/>
          <w:rtl/>
        </w:rPr>
        <w:t>7/132-133</w:t>
      </w:r>
      <w:r w:rsidRPr="00A7110E">
        <w:rPr>
          <w:rFonts w:ascii="Tahoma" w:hAnsi="Tahoma" w:hint="cs"/>
          <w:sz w:val="32"/>
          <w:szCs w:val="32"/>
          <w:rtl/>
        </w:rPr>
        <w:t>).</w:t>
      </w:r>
    </w:p>
  </w:footnote>
  <w:footnote w:id="1747">
    <w:p w:rsidR="000D3D21" w:rsidRPr="00C107D2"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7110E">
        <w:rPr>
          <w:rFonts w:ascii="Traditional Arabic" w:hAnsi="Traditional Arabic"/>
          <w:sz w:val="32"/>
          <w:szCs w:val="32"/>
          <w:rtl/>
        </w:rPr>
        <w:t>الشرح الممتع (9/419-420)</w:t>
      </w:r>
      <w:r>
        <w:rPr>
          <w:rFonts w:ascii="Traditional Arabic" w:hAnsi="Traditional Arabic" w:hint="cs"/>
          <w:sz w:val="32"/>
          <w:szCs w:val="32"/>
          <w:rtl/>
        </w:rPr>
        <w:t xml:space="preserve"> </w:t>
      </w:r>
      <w:r w:rsidRPr="00A7110E">
        <w:rPr>
          <w:rFonts w:ascii="Traditional Arabic" w:hAnsi="Traditional Arabic"/>
          <w:sz w:val="32"/>
          <w:szCs w:val="32"/>
          <w:rtl/>
        </w:rPr>
        <w:t>بتصرف.</w:t>
      </w:r>
    </w:p>
  </w:footnote>
  <w:footnote w:id="1748">
    <w:p w:rsidR="000D3D21" w:rsidRPr="00C107D2"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07D2">
        <w:rPr>
          <w:rFonts w:ascii="Traditional Arabic" w:hAnsi="Traditional Arabic"/>
          <w:sz w:val="32"/>
          <w:szCs w:val="32"/>
          <w:rtl/>
        </w:rPr>
        <w:t>المرجع السابق (10/187)</w:t>
      </w:r>
      <w:r>
        <w:rPr>
          <w:rFonts w:ascii="Traditional Arabic" w:hAnsi="Traditional Arabic" w:hint="cs"/>
          <w:sz w:val="32"/>
          <w:szCs w:val="32"/>
          <w:rtl/>
        </w:rPr>
        <w:t xml:space="preserve"> </w:t>
      </w:r>
      <w:r w:rsidRPr="00C107D2">
        <w:rPr>
          <w:rFonts w:ascii="Traditional Arabic" w:hAnsi="Traditional Arabic"/>
          <w:sz w:val="32"/>
          <w:szCs w:val="32"/>
          <w:rtl/>
        </w:rPr>
        <w:t>بتصرف.</w:t>
      </w:r>
    </w:p>
  </w:footnote>
  <w:footnote w:id="1749">
    <w:p w:rsidR="000D3D21" w:rsidRPr="00C107D2"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07D2">
        <w:rPr>
          <w:rFonts w:ascii="Traditional Arabic" w:hAnsi="Traditional Arabic"/>
          <w:sz w:val="32"/>
          <w:szCs w:val="32"/>
          <w:rtl/>
        </w:rPr>
        <w:t>انظر المرجع السابق.</w:t>
      </w:r>
    </w:p>
  </w:footnote>
  <w:footnote w:id="1750">
    <w:p w:rsidR="000D3D21" w:rsidRPr="00C107D2" w:rsidRDefault="000D3D21" w:rsidP="00D569F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07D2">
        <w:rPr>
          <w:rFonts w:ascii="Traditional Arabic" w:hAnsi="Traditional Arabic"/>
          <w:sz w:val="32"/>
          <w:szCs w:val="32"/>
          <w:rtl/>
        </w:rPr>
        <w:t xml:space="preserve">شرح منظومة أصول الفقه وقواعده (295) </w:t>
      </w:r>
      <w:r>
        <w:rPr>
          <w:rFonts w:ascii="Traditional Arabic" w:hAnsi="Traditional Arabic" w:hint="cs"/>
          <w:sz w:val="32"/>
          <w:szCs w:val="32"/>
          <w:rtl/>
        </w:rPr>
        <w:t>ب</w:t>
      </w:r>
      <w:r>
        <w:rPr>
          <w:rFonts w:ascii="Traditional Arabic" w:hAnsi="Traditional Arabic"/>
          <w:sz w:val="32"/>
          <w:szCs w:val="32"/>
          <w:rtl/>
        </w:rPr>
        <w:t>تصرف</w:t>
      </w:r>
      <w:r>
        <w:rPr>
          <w:rFonts w:ascii="Traditional Arabic" w:hAnsi="Traditional Arabic" w:hint="cs"/>
          <w:sz w:val="32"/>
          <w:szCs w:val="32"/>
          <w:rtl/>
        </w:rPr>
        <w:t>.</w:t>
      </w:r>
    </w:p>
  </w:footnote>
  <w:footnote w:id="1751">
    <w:p w:rsidR="000D3D21" w:rsidRPr="00550C6E" w:rsidRDefault="000D3D21" w:rsidP="001A744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550C6E">
        <w:rPr>
          <w:rFonts w:ascii="Traditional Arabic" w:hAnsi="Traditional Arabic"/>
          <w:b/>
          <w:bCs/>
          <w:sz w:val="32"/>
          <w:szCs w:val="32"/>
          <w:rtl/>
        </w:rPr>
        <w:t>الغترة</w:t>
      </w:r>
      <w:r w:rsidR="00AB0B9E">
        <w:rPr>
          <w:rFonts w:ascii="Traditional Arabic" w:hAnsi="Traditional Arabic"/>
          <w:b/>
          <w:bCs/>
          <w:sz w:val="32"/>
          <w:szCs w:val="32"/>
          <w:rtl/>
        </w:rPr>
        <w:fldChar w:fldCharType="begin"/>
      </w:r>
      <w:r>
        <w:instrText xml:space="preserve"> XE "</w:instrText>
      </w:r>
      <w:r w:rsidRPr="001A744D">
        <w:rPr>
          <w:rFonts w:ascii="Traditional Arabic" w:hAnsi="Traditional Arabic"/>
          <w:sz w:val="32"/>
          <w:szCs w:val="32"/>
          <w:rtl/>
        </w:rPr>
        <w:instrText>الغترة</w:instrText>
      </w:r>
      <w:r>
        <w:instrText xml:space="preserve">" </w:instrText>
      </w:r>
      <w:r w:rsidRPr="001A744D">
        <w:instrText xml:space="preserve">\fm </w:instrText>
      </w:r>
      <w:r w:rsidR="00AB0B9E">
        <w:rPr>
          <w:rFonts w:ascii="Traditional Arabic" w:hAnsi="Traditional Arabic"/>
          <w:b/>
          <w:bCs/>
          <w:sz w:val="32"/>
          <w:szCs w:val="32"/>
          <w:rtl/>
        </w:rPr>
        <w:fldChar w:fldCharType="end"/>
      </w:r>
      <w:r w:rsidRPr="00550C6E">
        <w:rPr>
          <w:rFonts w:ascii="Traditional Arabic" w:hAnsi="Traditional Arabic"/>
          <w:b/>
          <w:bCs/>
          <w:sz w:val="32"/>
          <w:szCs w:val="32"/>
          <w:rtl/>
        </w:rPr>
        <w:t xml:space="preserve">: </w:t>
      </w:r>
      <w:r w:rsidRPr="00550C6E">
        <w:rPr>
          <w:rFonts w:ascii="Traditional Arabic" w:hAnsi="Traditional Arabic"/>
          <w:sz w:val="32"/>
          <w:szCs w:val="32"/>
          <w:rtl/>
        </w:rPr>
        <w:t xml:space="preserve">مفرد جمعه </w:t>
      </w:r>
      <w:r w:rsidRPr="00550C6E">
        <w:rPr>
          <w:rFonts w:ascii="Traditional Arabic" w:hAnsi="Traditional Arabic"/>
          <w:noProof w:val="0"/>
          <w:sz w:val="32"/>
          <w:szCs w:val="32"/>
          <w:rtl/>
          <w:lang w:eastAsia="en-US"/>
        </w:rPr>
        <w:t>غُتُرات وغُتْرات، وهي قطعةُ نسيجٍ تُوضع على رأس الرجل وتتدلّى إلى كتفيه، وقد يُوضع فوقها عِقال أو غِطاء الرأس.مجمع اللغة العربية المعاصرة (2/1594).</w:t>
      </w:r>
    </w:p>
  </w:footnote>
  <w:footnote w:id="1752">
    <w:p w:rsidR="000D3D21" w:rsidRDefault="000D3D21" w:rsidP="00D569FA">
      <w:pPr>
        <w:widowControl/>
        <w:autoSpaceDE w:val="0"/>
        <w:autoSpaceDN w:val="0"/>
        <w:adjustRightInd w:val="0"/>
        <w:ind w:firstLine="0"/>
        <w:jc w:val="left"/>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C562E4">
        <w:rPr>
          <w:rFonts w:ascii="Traditional Arabic" w:hAnsi="Traditional Arabic"/>
          <w:b/>
          <w:bCs/>
          <w:sz w:val="32"/>
          <w:szCs w:val="32"/>
          <w:rtl/>
        </w:rPr>
        <w:t xml:space="preserve">القرائن لغة: </w:t>
      </w:r>
      <w:r w:rsidRPr="00C562E4">
        <w:rPr>
          <w:rFonts w:ascii="Traditional Arabic" w:hAnsi="Traditional Arabic"/>
          <w:sz w:val="32"/>
          <w:szCs w:val="32"/>
          <w:rtl/>
        </w:rPr>
        <w:t xml:space="preserve">جمع قرينة، </w:t>
      </w:r>
      <w:r w:rsidRPr="00867986">
        <w:rPr>
          <w:rFonts w:ascii="Traditional Arabic" w:hAnsi="Traditional Arabic"/>
          <w:noProof w:val="0"/>
          <w:color w:val="auto"/>
          <w:sz w:val="32"/>
          <w:szCs w:val="32"/>
          <w:rtl/>
          <w:lang w:eastAsia="en-US"/>
        </w:rPr>
        <w:t>والقرينة: فعيلة</w:t>
      </w:r>
      <w:r>
        <w:rPr>
          <w:rFonts w:ascii="Traditional Arabic" w:hAnsi="Traditional Arabic" w:hint="cs"/>
          <w:noProof w:val="0"/>
          <w:color w:val="auto"/>
          <w:sz w:val="32"/>
          <w:szCs w:val="32"/>
          <w:rtl/>
          <w:lang w:eastAsia="en-US"/>
        </w:rPr>
        <w:t xml:space="preserve"> ب</w:t>
      </w:r>
      <w:r w:rsidRPr="00867986">
        <w:rPr>
          <w:rFonts w:ascii="Traditional Arabic" w:hAnsi="Traditional Arabic"/>
          <w:noProof w:val="0"/>
          <w:color w:val="auto"/>
          <w:sz w:val="32"/>
          <w:szCs w:val="32"/>
          <w:rtl/>
          <w:lang w:eastAsia="en-US"/>
        </w:rPr>
        <w:t>معنى مفعولة من الاقتران</w:t>
      </w:r>
      <w:r>
        <w:rPr>
          <w:rFonts w:ascii="Traditional Arabic" w:hAnsi="Traditional Arabic" w:hint="cs"/>
          <w:sz w:val="32"/>
          <w:szCs w:val="32"/>
          <w:rtl/>
        </w:rPr>
        <w:t>، يقال:</w:t>
      </w:r>
      <w:r w:rsidRPr="00C562E4">
        <w:rPr>
          <w:rFonts w:ascii="Traditional Arabic" w:hAnsi="Traditional Arabic"/>
          <w:noProof w:val="0"/>
          <w:sz w:val="32"/>
          <w:szCs w:val="32"/>
          <w:rtl/>
          <w:lang w:eastAsia="en-US"/>
        </w:rPr>
        <w:t>قارَن الشيءَ يُقارِنه وقِراناً إذا اقترَن به وصاحبَ</w:t>
      </w:r>
      <w:r>
        <w:rPr>
          <w:rFonts w:ascii="Traditional Arabic" w:hAnsi="Traditional Arabic"/>
          <w:noProof w:val="0"/>
          <w:sz w:val="32"/>
          <w:szCs w:val="32"/>
          <w:rtl/>
          <w:lang w:eastAsia="en-US"/>
        </w:rPr>
        <w:t>ه</w:t>
      </w:r>
      <w:r w:rsidRPr="00C562E4">
        <w:rPr>
          <w:rFonts w:ascii="Traditional Arabic" w:hAnsi="Traditional Arabic"/>
          <w:sz w:val="32"/>
          <w:szCs w:val="32"/>
          <w:rtl/>
        </w:rPr>
        <w:t>.</w:t>
      </w:r>
      <w:r>
        <w:rPr>
          <w:rFonts w:ascii="Traditional Arabic" w:hAnsi="Traditional Arabic" w:hint="cs"/>
          <w:sz w:val="32"/>
          <w:szCs w:val="32"/>
          <w:rtl/>
        </w:rPr>
        <w:t xml:space="preserve"> </w:t>
      </w:r>
      <w:r w:rsidRPr="00C562E4">
        <w:rPr>
          <w:rFonts w:ascii="Traditional Arabic" w:hAnsi="Traditional Arabic"/>
          <w:sz w:val="32"/>
          <w:szCs w:val="32"/>
          <w:rtl/>
        </w:rPr>
        <w:t xml:space="preserve">انظر </w:t>
      </w:r>
      <w:r>
        <w:rPr>
          <w:rFonts w:ascii="Traditional Arabic" w:hAnsi="Traditional Arabic" w:hint="cs"/>
          <w:sz w:val="32"/>
          <w:szCs w:val="32"/>
          <w:rtl/>
        </w:rPr>
        <w:t>لسان العرب (5/3611)، و</w:t>
      </w:r>
      <w:r w:rsidRPr="00C562E4">
        <w:rPr>
          <w:rFonts w:ascii="Traditional Arabic" w:hAnsi="Traditional Arabic"/>
          <w:sz w:val="32"/>
          <w:szCs w:val="32"/>
          <w:rtl/>
        </w:rPr>
        <w:t>تاج العروس (</w:t>
      </w:r>
      <w:r>
        <w:rPr>
          <w:rFonts w:ascii="Traditional Arabic" w:hAnsi="Traditional Arabic" w:hint="cs"/>
          <w:sz w:val="32"/>
          <w:szCs w:val="32"/>
          <w:rtl/>
        </w:rPr>
        <w:t>35/543</w:t>
      </w:r>
      <w:r w:rsidRPr="00C562E4">
        <w:rPr>
          <w:rFonts w:ascii="Traditional Arabic" w:hAnsi="Traditional Arabic"/>
          <w:sz w:val="32"/>
          <w:szCs w:val="32"/>
          <w:rtl/>
        </w:rPr>
        <w:t>).</w:t>
      </w:r>
    </w:p>
    <w:p w:rsidR="000D3D21" w:rsidRPr="00852E28" w:rsidRDefault="000D3D21" w:rsidP="001A744D">
      <w:pPr>
        <w:pStyle w:val="a7"/>
        <w:pageBreakBefore/>
        <w:rPr>
          <w:rFonts w:ascii="Traditional Arabic" w:hAnsi="Traditional Arabic"/>
          <w:sz w:val="32"/>
          <w:szCs w:val="32"/>
        </w:rPr>
      </w:pPr>
      <w:r>
        <w:rPr>
          <w:rFonts w:ascii="Traditional Arabic" w:hAnsi="Traditional Arabic" w:hint="cs"/>
          <w:b/>
          <w:bCs/>
          <w:sz w:val="32"/>
          <w:szCs w:val="32"/>
          <w:rtl/>
        </w:rPr>
        <w:t xml:space="preserve">     القرائن</w:t>
      </w:r>
      <w:r w:rsidR="00AB0B9E">
        <w:rPr>
          <w:rFonts w:ascii="Traditional Arabic" w:hAnsi="Traditional Arabic"/>
          <w:b/>
          <w:bCs/>
          <w:sz w:val="32"/>
          <w:szCs w:val="32"/>
          <w:rtl/>
        </w:rPr>
        <w:fldChar w:fldCharType="begin"/>
      </w:r>
      <w:r>
        <w:instrText xml:space="preserve"> XE "</w:instrText>
      </w:r>
      <w:r w:rsidRPr="001A744D">
        <w:rPr>
          <w:rFonts w:ascii="Traditional Arabic" w:hAnsi="Traditional Arabic" w:hint="cs"/>
          <w:sz w:val="32"/>
          <w:szCs w:val="32"/>
          <w:rtl/>
        </w:rPr>
        <w:instrText>القرائن</w:instrText>
      </w:r>
      <w:r>
        <w:instrText xml:space="preserve">" </w:instrText>
      </w:r>
      <w:r w:rsidRPr="001A744D">
        <w:instrText xml:space="preserve">\fm </w:instrText>
      </w:r>
      <w:r w:rsidR="00AB0B9E">
        <w:rPr>
          <w:rFonts w:ascii="Traditional Arabic" w:hAnsi="Traditional Arabic"/>
          <w:b/>
          <w:bCs/>
          <w:sz w:val="32"/>
          <w:szCs w:val="32"/>
          <w:rtl/>
        </w:rPr>
        <w:fldChar w:fldCharType="end"/>
      </w:r>
      <w:r>
        <w:rPr>
          <w:rFonts w:ascii="Traditional Arabic" w:hAnsi="Traditional Arabic" w:hint="cs"/>
          <w:b/>
          <w:bCs/>
          <w:sz w:val="32"/>
          <w:szCs w:val="32"/>
          <w:rtl/>
        </w:rPr>
        <w:t xml:space="preserve"> اصطلاحا: </w:t>
      </w:r>
      <w:r w:rsidRPr="00852E28">
        <w:rPr>
          <w:rFonts w:ascii="Traditional Arabic" w:hAnsi="Traditional Arabic" w:hint="cs"/>
          <w:sz w:val="32"/>
          <w:szCs w:val="32"/>
          <w:rtl/>
        </w:rPr>
        <w:t>الأمارة التي نص عليها الشارع</w:t>
      </w:r>
      <w:r>
        <w:rPr>
          <w:rFonts w:ascii="Traditional Arabic" w:hAnsi="Traditional Arabic" w:hint="cs"/>
          <w:sz w:val="32"/>
          <w:szCs w:val="32"/>
          <w:rtl/>
        </w:rPr>
        <w:t xml:space="preserve"> </w:t>
      </w:r>
      <w:r w:rsidRPr="00852E28">
        <w:rPr>
          <w:rFonts w:ascii="Traditional Arabic" w:hAnsi="Traditional Arabic" w:hint="cs"/>
          <w:sz w:val="32"/>
          <w:szCs w:val="32"/>
          <w:rtl/>
        </w:rPr>
        <w:t>أو استنبطها أئمة الشريعة باجتهادهم</w:t>
      </w:r>
      <w:r>
        <w:rPr>
          <w:rFonts w:ascii="Traditional Arabic" w:hAnsi="Traditional Arabic" w:hint="cs"/>
          <w:sz w:val="32"/>
          <w:szCs w:val="32"/>
          <w:rtl/>
        </w:rPr>
        <w:t xml:space="preserve"> </w:t>
      </w:r>
      <w:r w:rsidRPr="00852E28">
        <w:rPr>
          <w:rFonts w:ascii="Traditional Arabic" w:hAnsi="Traditional Arabic" w:hint="cs"/>
          <w:sz w:val="32"/>
          <w:szCs w:val="32"/>
          <w:rtl/>
        </w:rPr>
        <w:t>أو</w:t>
      </w:r>
      <w:r>
        <w:rPr>
          <w:rFonts w:ascii="Traditional Arabic" w:hAnsi="Traditional Arabic" w:hint="cs"/>
          <w:sz w:val="32"/>
          <w:szCs w:val="32"/>
          <w:rtl/>
        </w:rPr>
        <w:t xml:space="preserve"> استنتجها القاضي من الحادثة وما يكتنفها من أحوال. القضاء بالقرائن في الشريعة الإسلامية لعبد الله علي عيدروس البار (23، 25).</w:t>
      </w:r>
    </w:p>
  </w:footnote>
  <w:footnote w:id="1753">
    <w:p w:rsidR="000D3D21" w:rsidRPr="00C107D2" w:rsidRDefault="000D3D21" w:rsidP="00D569FA">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07D2">
        <w:rPr>
          <w:rFonts w:ascii="Traditional Arabic" w:hAnsi="Traditional Arabic"/>
          <w:sz w:val="32"/>
          <w:szCs w:val="32"/>
          <w:rtl/>
        </w:rPr>
        <w:t>انظر</w:t>
      </w:r>
      <w:r>
        <w:rPr>
          <w:rFonts w:ascii="Traditional Arabic" w:hAnsi="Traditional Arabic" w:hint="cs"/>
          <w:sz w:val="32"/>
          <w:szCs w:val="32"/>
          <w:rtl/>
        </w:rPr>
        <w:t>:</w:t>
      </w:r>
      <w:r w:rsidRPr="00C107D2">
        <w:rPr>
          <w:rFonts w:ascii="Traditional Arabic" w:hAnsi="Traditional Arabic"/>
          <w:sz w:val="32"/>
          <w:szCs w:val="32"/>
          <w:rtl/>
        </w:rPr>
        <w:t xml:space="preserve"> </w:t>
      </w:r>
      <w:r>
        <w:rPr>
          <w:rFonts w:ascii="Traditional Arabic" w:hAnsi="Traditional Arabic" w:hint="cs"/>
          <w:sz w:val="32"/>
          <w:szCs w:val="32"/>
          <w:rtl/>
        </w:rPr>
        <w:t>الشرح الممتع (15/454)، وشرح منظومة أصول الفقه وقواعده</w:t>
      </w:r>
      <w:r w:rsidRPr="00C107D2">
        <w:rPr>
          <w:rFonts w:ascii="Traditional Arabic" w:hAnsi="Traditional Arabic"/>
          <w:sz w:val="32"/>
          <w:szCs w:val="32"/>
          <w:rtl/>
        </w:rPr>
        <w:t xml:space="preserve"> (295، 2997).</w:t>
      </w:r>
    </w:p>
    <w:p w:rsidR="000D3D21" w:rsidRPr="00C107D2" w:rsidRDefault="000D3D21" w:rsidP="00D569FA">
      <w:pPr>
        <w:pStyle w:val="a7"/>
        <w:pageBreakBefore/>
        <w:rPr>
          <w:rFonts w:ascii="Tahoma" w:hAnsi="Tahoma"/>
        </w:rPr>
      </w:pPr>
    </w:p>
  </w:footnote>
  <w:footnote w:id="1754">
    <w:p w:rsidR="000D3D21" w:rsidRPr="00E20D7C"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اخترت هذه الصيغة</w:t>
      </w:r>
      <w:r>
        <w:rPr>
          <w:rFonts w:ascii="Traditional Arabic" w:hAnsi="Traditional Arabic" w:hint="cs"/>
          <w:sz w:val="32"/>
          <w:szCs w:val="32"/>
          <w:rtl/>
        </w:rPr>
        <w:t xml:space="preserve">؛ </w:t>
      </w:r>
      <w:r w:rsidRPr="00E20D7C">
        <w:rPr>
          <w:rFonts w:ascii="Traditional Arabic" w:hAnsi="Traditional Arabic"/>
          <w:sz w:val="32"/>
          <w:szCs w:val="32"/>
          <w:rtl/>
        </w:rPr>
        <w:t>لكونها أدلَّ على م</w:t>
      </w:r>
      <w:r>
        <w:rPr>
          <w:rFonts w:ascii="Traditional Arabic" w:hAnsi="Traditional Arabic"/>
          <w:sz w:val="32"/>
          <w:szCs w:val="32"/>
          <w:rtl/>
        </w:rPr>
        <w:t>ضمون القاعدة، وخاصة من حيث كون</w:t>
      </w:r>
      <w:r>
        <w:rPr>
          <w:rFonts w:ascii="Traditional Arabic" w:hAnsi="Traditional Arabic" w:hint="cs"/>
          <w:sz w:val="32"/>
          <w:szCs w:val="32"/>
          <w:rtl/>
        </w:rPr>
        <w:t xml:space="preserve"> القرائن</w:t>
      </w:r>
      <w:r w:rsidRPr="00E20D7C">
        <w:rPr>
          <w:rFonts w:ascii="Traditional Arabic" w:hAnsi="Traditional Arabic"/>
          <w:sz w:val="32"/>
          <w:szCs w:val="32"/>
          <w:rtl/>
        </w:rPr>
        <w:t xml:space="preserve"> بمنزلة البينة.والله أعلم. </w:t>
      </w:r>
    </w:p>
  </w:footnote>
  <w:footnote w:id="1755">
    <w:p w:rsidR="000D3D21" w:rsidRPr="00E20D7C"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0D7C">
        <w:rPr>
          <w:rFonts w:ascii="Traditional Arabic" w:hAnsi="Traditional Arabic"/>
          <w:sz w:val="32"/>
          <w:szCs w:val="32"/>
          <w:rtl/>
        </w:rPr>
        <w:t>الشرح الممتع (8/357).</w:t>
      </w:r>
    </w:p>
  </w:footnote>
  <w:footnote w:id="1756">
    <w:p w:rsidR="000D3D21" w:rsidRPr="00E20D7C"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0D7C">
        <w:rPr>
          <w:rFonts w:ascii="Traditional Arabic" w:hAnsi="Traditional Arabic"/>
          <w:sz w:val="32"/>
          <w:szCs w:val="32"/>
          <w:rtl/>
        </w:rPr>
        <w:t>المرجع السابق (10/137).</w:t>
      </w:r>
    </w:p>
  </w:footnote>
  <w:footnote w:id="1757">
    <w:p w:rsidR="000D3D21" w:rsidRPr="00E20D7C"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0D7C">
        <w:rPr>
          <w:rFonts w:ascii="Traditional Arabic" w:hAnsi="Traditional Arabic"/>
          <w:sz w:val="32"/>
          <w:szCs w:val="32"/>
          <w:rtl/>
        </w:rPr>
        <w:t>التعليق على القواعد والأصول الجامعة (246).</w:t>
      </w:r>
    </w:p>
  </w:footnote>
  <w:footnote w:id="1758">
    <w:p w:rsidR="000D3D21" w:rsidRPr="00E20D7C"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0D7C">
        <w:rPr>
          <w:rFonts w:ascii="Traditional Arabic" w:hAnsi="Traditional Arabic"/>
          <w:sz w:val="32"/>
          <w:szCs w:val="32"/>
          <w:rtl/>
        </w:rPr>
        <w:t>إعلام الموقعين (4/469).</w:t>
      </w:r>
    </w:p>
  </w:footnote>
  <w:footnote w:id="1759">
    <w:p w:rsidR="000D3D21" w:rsidRPr="00E20D7C"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0D7C">
        <w:rPr>
          <w:rFonts w:ascii="Traditional Arabic" w:hAnsi="Traditional Arabic"/>
          <w:sz w:val="32"/>
          <w:szCs w:val="32"/>
          <w:rtl/>
        </w:rPr>
        <w:t>القواعد والأصول الجامعة (</w:t>
      </w:r>
      <w:r>
        <w:rPr>
          <w:rFonts w:ascii="Traditional Arabic" w:hAnsi="Traditional Arabic" w:hint="cs"/>
          <w:sz w:val="32"/>
          <w:szCs w:val="32"/>
          <w:rtl/>
        </w:rPr>
        <w:t>102</w:t>
      </w:r>
      <w:r w:rsidRPr="00E20D7C">
        <w:rPr>
          <w:rFonts w:ascii="Traditional Arabic" w:hAnsi="Traditional Arabic"/>
          <w:sz w:val="32"/>
          <w:szCs w:val="32"/>
          <w:rtl/>
        </w:rPr>
        <w:t>).</w:t>
      </w:r>
    </w:p>
  </w:footnote>
  <w:footnote w:id="1760">
    <w:p w:rsidR="000D3D21" w:rsidRPr="00E20D7C"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0D7C">
        <w:rPr>
          <w:rFonts w:ascii="Traditional Arabic" w:hAnsi="Traditional Arabic"/>
          <w:sz w:val="32"/>
          <w:szCs w:val="32"/>
          <w:rtl/>
        </w:rPr>
        <w:t xml:space="preserve">الشرح الممتع (8/358)، </w:t>
      </w:r>
      <w:r>
        <w:rPr>
          <w:rFonts w:ascii="Traditional Arabic" w:hAnsi="Traditional Arabic" w:hint="cs"/>
          <w:sz w:val="32"/>
          <w:szCs w:val="32"/>
          <w:rtl/>
        </w:rPr>
        <w:t>و</w:t>
      </w:r>
      <w:r w:rsidRPr="00E20D7C">
        <w:rPr>
          <w:rFonts w:ascii="Traditional Arabic" w:hAnsi="Traditional Arabic"/>
          <w:sz w:val="32"/>
          <w:szCs w:val="32"/>
          <w:rtl/>
        </w:rPr>
        <w:t>(10/137-139) بتصرف.</w:t>
      </w:r>
    </w:p>
  </w:footnote>
  <w:footnote w:id="1761">
    <w:p w:rsidR="000D3D21" w:rsidRPr="00393AAA"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93AAA">
        <w:rPr>
          <w:rFonts w:ascii="Traditional Arabic" w:hAnsi="Traditional Arabic"/>
          <w:sz w:val="32"/>
          <w:szCs w:val="32"/>
          <w:rtl/>
        </w:rPr>
        <w:t>الشرح الممتع (10/138) بتصرف.</w:t>
      </w:r>
    </w:p>
  </w:footnote>
  <w:footnote w:id="1762">
    <w:p w:rsidR="000D3D21" w:rsidRPr="00E20D7C"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393AAA">
        <w:rPr>
          <w:rFonts w:ascii="Traditional Arabic" w:hAnsi="Traditional Arabic"/>
          <w:noProof w:val="0"/>
          <w:sz w:val="32"/>
          <w:szCs w:val="32"/>
          <w:rtl/>
          <w:lang w:eastAsia="en-US"/>
        </w:rPr>
        <w:t>أ</w:t>
      </w:r>
      <w:r>
        <w:rPr>
          <w:rFonts w:ascii="Traditional Arabic" w:hAnsi="Traditional Arabic"/>
          <w:noProof w:val="0"/>
          <w:sz w:val="32"/>
          <w:szCs w:val="32"/>
          <w:rtl/>
          <w:lang w:eastAsia="en-US"/>
        </w:rPr>
        <w:t xml:space="preserve">خرجه البخاري في </w:t>
      </w:r>
      <w:r>
        <w:rPr>
          <w:rFonts w:ascii="Traditional Arabic" w:hAnsi="Traditional Arabic" w:hint="cs"/>
          <w:noProof w:val="0"/>
          <w:sz w:val="32"/>
          <w:szCs w:val="32"/>
          <w:rtl/>
          <w:lang w:eastAsia="en-US"/>
        </w:rPr>
        <w:t xml:space="preserve">كتاب </w:t>
      </w:r>
      <w:r>
        <w:rPr>
          <w:rFonts w:ascii="Traditional Arabic" w:hAnsi="Traditional Arabic"/>
          <w:noProof w:val="0"/>
          <w:sz w:val="32"/>
          <w:szCs w:val="32"/>
          <w:rtl/>
          <w:lang w:eastAsia="en-US"/>
        </w:rPr>
        <w:t>الأنبياء</w:t>
      </w:r>
      <w:r>
        <w:rPr>
          <w:rFonts w:ascii="Traditional Arabic" w:hAnsi="Traditional Arabic" w:hint="cs"/>
          <w:noProof w:val="0"/>
          <w:sz w:val="32"/>
          <w:szCs w:val="32"/>
          <w:rtl/>
          <w:lang w:eastAsia="en-US"/>
        </w:rPr>
        <w:t>،</w:t>
      </w:r>
      <w:r w:rsidRPr="00393AAA">
        <w:rPr>
          <w:rFonts w:ascii="Traditional Arabic" w:hAnsi="Traditional Arabic"/>
          <w:noProof w:val="0"/>
          <w:sz w:val="32"/>
          <w:szCs w:val="32"/>
          <w:rtl/>
          <w:lang w:eastAsia="en-US"/>
        </w:rPr>
        <w:t xml:space="preserve"> باب قوله تعالى:</w:t>
      </w:r>
      <w:bookmarkStart w:id="367" w:name="سورة_ص_30"/>
      <w:r>
        <w:rPr>
          <w:rFonts w:ascii="QCF_BSML" w:hAnsi="QCF_BSML" w:cs="QCF_BSML" w:hint="cs"/>
          <w:noProof w:val="0"/>
          <w:sz w:val="32"/>
          <w:szCs w:val="32"/>
          <w:rtl/>
          <w:lang w:eastAsia="en-US"/>
        </w:rPr>
        <w:t xml:space="preserve"> </w:t>
      </w:r>
      <w:r>
        <w:rPr>
          <w:rFonts w:ascii="QCF_BSML" w:hAnsi="QCF_BSML" w:cs="QCF_BSML"/>
          <w:noProof w:val="0"/>
          <w:sz w:val="32"/>
          <w:szCs w:val="32"/>
          <w:rtl/>
          <w:lang w:eastAsia="en-US"/>
        </w:rPr>
        <w:t>ﭽ</w:t>
      </w:r>
      <w:r w:rsidRPr="00492F40">
        <w:rPr>
          <w:rFonts w:ascii="QCF_P455" w:hAnsi="QCF_P455" w:cs="QCF_P455"/>
          <w:noProof w:val="0"/>
          <w:sz w:val="32"/>
          <w:szCs w:val="32"/>
          <w:rtl/>
          <w:lang w:eastAsia="en-US"/>
        </w:rPr>
        <w:t>ﭼ</w:t>
      </w:r>
      <w:r>
        <w:rPr>
          <w:rFonts w:ascii="QCF_P455" w:hAnsi="QCF_P455" w:cs="QCF_P455" w:hint="cs"/>
          <w:noProof w:val="0"/>
          <w:sz w:val="32"/>
          <w:szCs w:val="32"/>
          <w:rtl/>
          <w:lang w:eastAsia="en-US"/>
        </w:rPr>
        <w:t xml:space="preserve"> </w:t>
      </w:r>
      <w:r w:rsidRPr="00492F40">
        <w:rPr>
          <w:rFonts w:ascii="QCF_P455" w:hAnsi="QCF_P455" w:cs="QCF_P455"/>
          <w:noProof w:val="0"/>
          <w:sz w:val="32"/>
          <w:szCs w:val="32"/>
          <w:rtl/>
          <w:lang w:eastAsia="en-US"/>
        </w:rPr>
        <w:t>ﭽ</w:t>
      </w:r>
      <w:r>
        <w:rPr>
          <w:rFonts w:ascii="QCF_P455" w:hAnsi="QCF_P455" w:cs="QCF_P455" w:hint="cs"/>
          <w:noProof w:val="0"/>
          <w:sz w:val="32"/>
          <w:szCs w:val="32"/>
          <w:rtl/>
          <w:lang w:eastAsia="en-US"/>
        </w:rPr>
        <w:t xml:space="preserve"> </w:t>
      </w:r>
      <w:r w:rsidRPr="00492F40">
        <w:rPr>
          <w:rFonts w:ascii="QCF_P455" w:hAnsi="QCF_P455" w:cs="QCF_P455"/>
          <w:noProof w:val="0"/>
          <w:sz w:val="32"/>
          <w:szCs w:val="32"/>
          <w:rtl/>
          <w:lang w:eastAsia="en-US"/>
        </w:rPr>
        <w:t>ﭾ</w:t>
      </w:r>
      <w:r>
        <w:rPr>
          <w:rFonts w:ascii="QCF_P455" w:hAnsi="QCF_P455" w:cs="QCF_P455" w:hint="cs"/>
          <w:noProof w:val="0"/>
          <w:sz w:val="32"/>
          <w:szCs w:val="32"/>
          <w:rtl/>
          <w:lang w:eastAsia="en-US"/>
        </w:rPr>
        <w:t xml:space="preserve"> </w:t>
      </w:r>
      <w:r w:rsidRPr="00492F40">
        <w:rPr>
          <w:rFonts w:ascii="QCF_P455" w:hAnsi="QCF_P455" w:cs="QCF_P455"/>
          <w:noProof w:val="0"/>
          <w:color w:val="0000A5"/>
          <w:sz w:val="32"/>
          <w:szCs w:val="32"/>
          <w:rtl/>
          <w:lang w:eastAsia="en-US"/>
        </w:rPr>
        <w:t>ﭿ</w:t>
      </w:r>
      <w:r>
        <w:rPr>
          <w:rFonts w:ascii="QCF_P455" w:hAnsi="QCF_P455" w:cs="QCF_P455" w:hint="cs"/>
          <w:noProof w:val="0"/>
          <w:color w:val="0000A5"/>
          <w:sz w:val="32"/>
          <w:szCs w:val="32"/>
          <w:rtl/>
          <w:lang w:eastAsia="en-US"/>
        </w:rPr>
        <w:t xml:space="preserve"> </w:t>
      </w:r>
      <w:r w:rsidRPr="00492F40">
        <w:rPr>
          <w:rFonts w:ascii="QCF_P455" w:hAnsi="QCF_P455" w:cs="QCF_P455"/>
          <w:noProof w:val="0"/>
          <w:sz w:val="32"/>
          <w:szCs w:val="32"/>
          <w:rtl/>
          <w:lang w:eastAsia="en-US"/>
        </w:rPr>
        <w:t>ﮀ</w:t>
      </w:r>
      <w:r>
        <w:rPr>
          <w:rFonts w:ascii="QCF_P455" w:hAnsi="QCF_P455" w:cs="QCF_P455" w:hint="cs"/>
          <w:noProof w:val="0"/>
          <w:sz w:val="32"/>
          <w:szCs w:val="32"/>
          <w:rtl/>
          <w:lang w:eastAsia="en-US"/>
        </w:rPr>
        <w:t xml:space="preserve"> </w:t>
      </w:r>
      <w:r w:rsidRPr="00492F40">
        <w:rPr>
          <w:rFonts w:ascii="QCF_P455" w:hAnsi="QCF_P455" w:cs="QCF_P455"/>
          <w:noProof w:val="0"/>
          <w:sz w:val="32"/>
          <w:szCs w:val="32"/>
          <w:rtl/>
          <w:lang w:eastAsia="en-US"/>
        </w:rPr>
        <w:t>ﮁ</w:t>
      </w:r>
      <w:r>
        <w:rPr>
          <w:rFonts w:ascii="QCF_P455" w:hAnsi="QCF_P455" w:cs="QCF_P455" w:hint="cs"/>
          <w:noProof w:val="0"/>
          <w:sz w:val="32"/>
          <w:szCs w:val="32"/>
          <w:rtl/>
          <w:lang w:eastAsia="en-US"/>
        </w:rPr>
        <w:t xml:space="preserve"> </w:t>
      </w:r>
      <w:r w:rsidRPr="00492F40">
        <w:rPr>
          <w:rFonts w:ascii="QCF_P455" w:hAnsi="QCF_P455" w:cs="QCF_P455"/>
          <w:noProof w:val="0"/>
          <w:color w:val="0000A5"/>
          <w:sz w:val="32"/>
          <w:szCs w:val="32"/>
          <w:rtl/>
          <w:lang w:eastAsia="en-US"/>
        </w:rPr>
        <w:t>ﮂ</w:t>
      </w:r>
      <w:r>
        <w:rPr>
          <w:rFonts w:ascii="QCF_P455" w:hAnsi="QCF_P455" w:cs="QCF_P455" w:hint="cs"/>
          <w:noProof w:val="0"/>
          <w:color w:val="0000A5"/>
          <w:sz w:val="32"/>
          <w:szCs w:val="32"/>
          <w:rtl/>
          <w:lang w:eastAsia="en-US"/>
        </w:rPr>
        <w:t xml:space="preserve"> </w:t>
      </w:r>
      <w:r w:rsidRPr="00492F40">
        <w:rPr>
          <w:rFonts w:ascii="QCF_P455" w:hAnsi="QCF_P455" w:cs="QCF_P455"/>
          <w:noProof w:val="0"/>
          <w:sz w:val="32"/>
          <w:szCs w:val="32"/>
          <w:rtl/>
          <w:lang w:eastAsia="en-US"/>
        </w:rPr>
        <w:t>ﮃﮄ</w:t>
      </w:r>
      <w:r w:rsidRPr="00492F40">
        <w:rPr>
          <w:rFonts w:ascii="QCF_BSML" w:hAnsi="QCF_BSML" w:cs="QCF_BSML"/>
          <w:noProof w:val="0"/>
          <w:sz w:val="32"/>
          <w:szCs w:val="32"/>
          <w:rtl/>
          <w:lang w:eastAsia="en-US"/>
        </w:rPr>
        <w:t>ﭼ</w:t>
      </w:r>
      <w:bookmarkEnd w:id="367"/>
      <w:r>
        <w:rPr>
          <w:rFonts w:ascii="Arial" w:hAnsi="Arial" w:cs="Arial" w:hint="cs"/>
          <w:noProof w:val="0"/>
          <w:sz w:val="32"/>
          <w:szCs w:val="32"/>
          <w:rtl/>
          <w:lang w:eastAsia="en-US"/>
        </w:rPr>
        <w:t>[</w:t>
      </w:r>
      <w:r w:rsidRPr="00492F40">
        <w:rPr>
          <w:rFonts w:ascii="Traditional Arabic" w:hAnsi="Traditional Arabic"/>
          <w:noProof w:val="0"/>
          <w:color w:val="auto"/>
          <w:sz w:val="32"/>
          <w:szCs w:val="32"/>
          <w:rtl/>
          <w:lang w:eastAsia="en-US"/>
        </w:rPr>
        <w:t>ص: ٣٠</w:t>
      </w:r>
      <w:r w:rsidRPr="00E20D7C">
        <w:rPr>
          <w:rFonts w:ascii="Traditional Arabic" w:hAnsi="Traditional Arabic"/>
          <w:noProof w:val="0"/>
          <w:sz w:val="32"/>
          <w:szCs w:val="32"/>
          <w:rtl/>
          <w:lang w:eastAsia="en-US"/>
        </w:rPr>
        <w:t>]، رقم الحديث (3427)، ومسلم في كتاب الأقضية، باب بيان اختلاف المجتهدين</w:t>
      </w:r>
      <w:r>
        <w:rPr>
          <w:rFonts w:ascii="Traditional Arabic" w:hAnsi="Traditional Arabic" w:hint="cs"/>
          <w:noProof w:val="0"/>
          <w:sz w:val="32"/>
          <w:szCs w:val="32"/>
          <w:rtl/>
          <w:lang w:eastAsia="en-US"/>
        </w:rPr>
        <w:t>،</w:t>
      </w:r>
      <w:r w:rsidRPr="00E20D7C">
        <w:rPr>
          <w:rFonts w:ascii="Traditional Arabic" w:hAnsi="Traditional Arabic"/>
          <w:noProof w:val="0"/>
          <w:sz w:val="32"/>
          <w:szCs w:val="32"/>
          <w:rtl/>
          <w:lang w:eastAsia="en-US"/>
        </w:rPr>
        <w:t xml:space="preserve"> رقم الحديث (1720)</w:t>
      </w:r>
      <w:r w:rsidRPr="00E20D7C">
        <w:rPr>
          <w:rFonts w:ascii="Traditional Arabic" w:hAnsi="Traditional Arabic"/>
          <w:sz w:val="32"/>
          <w:szCs w:val="32"/>
          <w:rtl/>
        </w:rPr>
        <w:t>.</w:t>
      </w:r>
    </w:p>
  </w:footnote>
  <w:footnote w:id="1763">
    <w:p w:rsidR="000D3D21" w:rsidRPr="00B85F0D" w:rsidRDefault="000D3D21" w:rsidP="009A2D9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20D7C">
        <w:rPr>
          <w:rFonts w:ascii="Traditional Arabic" w:hAnsi="Traditional Arabic"/>
          <w:sz w:val="32"/>
          <w:szCs w:val="32"/>
          <w:rtl/>
        </w:rPr>
        <w:t>الطرق الحكمية (1/8-9).وقد انتصر ابن القيم للاحتجاج بالقرائن في القضاء بقوة في هذا الكتاب.</w:t>
      </w:r>
      <w:r>
        <w:rPr>
          <w:rFonts w:ascii="Traditional Arabic" w:hAnsi="Traditional Arabic" w:hint="cs"/>
          <w:sz w:val="32"/>
          <w:szCs w:val="32"/>
          <w:rtl/>
        </w:rPr>
        <w:t xml:space="preserve"> </w:t>
      </w:r>
      <w:r w:rsidRPr="00E20D7C">
        <w:rPr>
          <w:rFonts w:ascii="Traditional Arabic" w:hAnsi="Traditional Arabic"/>
          <w:sz w:val="32"/>
          <w:szCs w:val="32"/>
          <w:rtl/>
        </w:rPr>
        <w:t>وانظر الشرح الممتع (8/356)، و(10/257).</w:t>
      </w:r>
    </w:p>
  </w:footnote>
  <w:footnote w:id="1764">
    <w:p w:rsidR="000D3D21" w:rsidRPr="00D819CC"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D819CC">
        <w:rPr>
          <w:rFonts w:ascii="Traditional Arabic" w:hAnsi="Traditional Arabic"/>
          <w:sz w:val="32"/>
          <w:szCs w:val="32"/>
          <w:rtl/>
        </w:rPr>
        <w:t xml:space="preserve"> (8/355-356).</w:t>
      </w:r>
    </w:p>
  </w:footnote>
  <w:footnote w:id="1765">
    <w:p w:rsidR="000D3D21" w:rsidRPr="00D819CC" w:rsidRDefault="000D3D21" w:rsidP="009A2D9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D819CC">
        <w:rPr>
          <w:rFonts w:ascii="Traditional Arabic" w:hAnsi="Traditional Arabic"/>
          <w:sz w:val="32"/>
          <w:szCs w:val="32"/>
          <w:rtl/>
        </w:rPr>
        <w:t xml:space="preserve"> (10/137-138)</w:t>
      </w:r>
      <w:r>
        <w:rPr>
          <w:rFonts w:ascii="Traditional Arabic" w:hAnsi="Traditional Arabic" w:hint="cs"/>
          <w:sz w:val="32"/>
          <w:szCs w:val="32"/>
          <w:rtl/>
        </w:rPr>
        <w:t>.</w:t>
      </w:r>
    </w:p>
  </w:footnote>
  <w:footnote w:id="1766">
    <w:p w:rsidR="000D3D21" w:rsidRPr="00AB41F3"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B41F3">
        <w:rPr>
          <w:rFonts w:ascii="Traditional Arabic" w:hAnsi="Traditional Arabic"/>
          <w:sz w:val="32"/>
          <w:szCs w:val="32"/>
          <w:rtl/>
        </w:rPr>
        <w:t>المرجع السابق (10/379-380).</w:t>
      </w:r>
    </w:p>
  </w:footnote>
  <w:footnote w:id="1767">
    <w:p w:rsidR="000D3D21" w:rsidRPr="00271C46" w:rsidRDefault="000D3D21" w:rsidP="009A2D9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B41F3">
        <w:rPr>
          <w:rFonts w:ascii="Traditional Arabic" w:hAnsi="Traditional Arabic"/>
          <w:sz w:val="32"/>
          <w:szCs w:val="32"/>
          <w:rtl/>
        </w:rPr>
        <w:t>انظر</w:t>
      </w:r>
      <w:r>
        <w:rPr>
          <w:rFonts w:ascii="Traditional Arabic" w:hAnsi="Traditional Arabic" w:hint="cs"/>
          <w:sz w:val="32"/>
          <w:szCs w:val="32"/>
          <w:rtl/>
        </w:rPr>
        <w:t>:</w:t>
      </w:r>
      <w:r w:rsidRPr="00AB41F3">
        <w:rPr>
          <w:rFonts w:ascii="Traditional Arabic" w:hAnsi="Traditional Arabic"/>
          <w:sz w:val="32"/>
          <w:szCs w:val="32"/>
          <w:rtl/>
        </w:rPr>
        <w:t xml:space="preserve"> الشرح الممتع (10/382)، وحاشية الروض المربع </w:t>
      </w:r>
      <w:r>
        <w:rPr>
          <w:rFonts w:ascii="Traditional Arabic" w:hAnsi="Traditional Arabic" w:hint="cs"/>
          <w:sz w:val="32"/>
          <w:szCs w:val="32"/>
          <w:rtl/>
        </w:rPr>
        <w:t xml:space="preserve">لابن قاسم </w:t>
      </w:r>
      <w:r w:rsidRPr="00AB41F3">
        <w:rPr>
          <w:rFonts w:ascii="Traditional Arabic" w:hAnsi="Traditional Arabic"/>
          <w:sz w:val="32"/>
          <w:szCs w:val="32"/>
          <w:rtl/>
        </w:rPr>
        <w:t>(5/517).</w:t>
      </w:r>
    </w:p>
  </w:footnote>
  <w:footnote w:id="1768">
    <w:p w:rsidR="000D3D21" w:rsidRPr="00AB41F3" w:rsidRDefault="000D3D21" w:rsidP="009A2D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B41F3">
        <w:rPr>
          <w:rFonts w:ascii="Traditional Arabic" w:hAnsi="Traditional Arabic"/>
          <w:sz w:val="32"/>
          <w:szCs w:val="32"/>
          <w:rtl/>
        </w:rPr>
        <w:t>الشرح الممتع (10/382).وه</w:t>
      </w:r>
      <w:r>
        <w:rPr>
          <w:rFonts w:ascii="Traditional Arabic" w:hAnsi="Traditional Arabic"/>
          <w:sz w:val="32"/>
          <w:szCs w:val="32"/>
          <w:rtl/>
        </w:rPr>
        <w:t>ذا القول الثاني هو الذي مال</w:t>
      </w:r>
      <w:r w:rsidRPr="00AB41F3">
        <w:rPr>
          <w:rFonts w:ascii="Traditional Arabic" w:hAnsi="Traditional Arabic"/>
          <w:sz w:val="32"/>
          <w:szCs w:val="32"/>
          <w:rtl/>
        </w:rPr>
        <w:t xml:space="preserve">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 إلى ترجيحه</w:t>
      </w:r>
      <w:r w:rsidRPr="00AB41F3">
        <w:rPr>
          <w:rFonts w:ascii="Traditional Arabic" w:hAnsi="Traditional Arabic"/>
          <w:sz w:val="32"/>
          <w:szCs w:val="32"/>
          <w:rtl/>
        </w:rPr>
        <w:t>.</w:t>
      </w:r>
    </w:p>
  </w:footnote>
  <w:footnote w:id="1769">
    <w:p w:rsidR="000D3D21" w:rsidRPr="00AB41F3" w:rsidRDefault="000D3D21" w:rsidP="009A2D9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B41F3">
        <w:rPr>
          <w:rFonts w:ascii="Traditional Arabic" w:hAnsi="Traditional Arabic"/>
          <w:sz w:val="32"/>
          <w:szCs w:val="32"/>
          <w:rtl/>
        </w:rPr>
        <w:t>انظر المرجع السابق (10/381-382).</w:t>
      </w:r>
    </w:p>
  </w:footnote>
  <w:footnote w:id="1770">
    <w:p w:rsidR="000D3D21" w:rsidRPr="00F2586C"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اخترت هذه الصيغة لتصريحها بكون المحرَّم في هذه القاعدة هو ما أوجب العداوة بين المسلمين خاصة، أما الكفار فإن المسلم مأمور شرعا أن يبغضهم. والله أعلم. </w:t>
      </w:r>
    </w:p>
  </w:footnote>
  <w:footnote w:id="1771">
    <w:p w:rsidR="000D3D21" w:rsidRPr="00F2586C"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2586C">
        <w:rPr>
          <w:rFonts w:ascii="Traditional Arabic" w:hAnsi="Traditional Arabic"/>
          <w:sz w:val="32"/>
          <w:szCs w:val="32"/>
          <w:rtl/>
        </w:rPr>
        <w:t>الشرح الممتع (8/143).</w:t>
      </w:r>
    </w:p>
  </w:footnote>
  <w:footnote w:id="1772">
    <w:p w:rsidR="000D3D21" w:rsidRPr="00F2586C"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2586C">
        <w:rPr>
          <w:rFonts w:ascii="Traditional Arabic" w:hAnsi="Traditional Arabic"/>
          <w:sz w:val="32"/>
          <w:szCs w:val="32"/>
          <w:rtl/>
        </w:rPr>
        <w:t>المرجع السابق (9/200)، وانظر التعليق على القواعد والأصول الجامعة (45).</w:t>
      </w:r>
    </w:p>
  </w:footnote>
  <w:footnote w:id="1773">
    <w:p w:rsidR="000D3D21" w:rsidRPr="00F2586C"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F2586C">
        <w:rPr>
          <w:rFonts w:ascii="Traditional Arabic" w:hAnsi="Traditional Arabic"/>
          <w:sz w:val="32"/>
          <w:szCs w:val="32"/>
          <w:rtl/>
        </w:rPr>
        <w:t xml:space="preserve"> (9/21).</w:t>
      </w:r>
    </w:p>
  </w:footnote>
  <w:footnote w:id="1774">
    <w:p w:rsidR="000D3D21" w:rsidRPr="00F2586C"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2586C">
        <w:rPr>
          <w:rFonts w:ascii="Traditional Arabic" w:hAnsi="Traditional Arabic"/>
          <w:sz w:val="32"/>
          <w:szCs w:val="32"/>
          <w:rtl/>
        </w:rPr>
        <w:t>المرجع السابق (9/43).</w:t>
      </w:r>
    </w:p>
  </w:footnote>
  <w:footnote w:id="1775">
    <w:p w:rsidR="000D3D21" w:rsidRPr="00237F87"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7F87">
        <w:rPr>
          <w:rFonts w:ascii="Traditional Arabic" w:hAnsi="Traditional Arabic"/>
          <w:sz w:val="32"/>
          <w:szCs w:val="32"/>
          <w:rtl/>
        </w:rPr>
        <w:t>المرجع السابق (9/74).</w:t>
      </w:r>
    </w:p>
  </w:footnote>
  <w:footnote w:id="1776">
    <w:p w:rsidR="000D3D21" w:rsidRPr="00F2586C"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2586C">
        <w:rPr>
          <w:rFonts w:ascii="Traditional Arabic" w:hAnsi="Traditional Arabic"/>
          <w:sz w:val="32"/>
          <w:szCs w:val="32"/>
          <w:rtl/>
        </w:rPr>
        <w:t>المرجع السابق (12/454).</w:t>
      </w:r>
    </w:p>
  </w:footnote>
  <w:footnote w:id="1777">
    <w:p w:rsidR="000D3D21" w:rsidRPr="00F2586C" w:rsidRDefault="000D3D21" w:rsidP="00315C1E">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2586C">
        <w:rPr>
          <w:rFonts w:ascii="Traditional Arabic" w:hAnsi="Traditional Arabic"/>
          <w:sz w:val="32"/>
          <w:szCs w:val="32"/>
          <w:rtl/>
        </w:rPr>
        <w:t xml:space="preserve">انظر: القواعد النورانية </w:t>
      </w:r>
      <w:r>
        <w:rPr>
          <w:rFonts w:ascii="Traditional Arabic" w:hAnsi="Traditional Arabic" w:hint="cs"/>
          <w:sz w:val="32"/>
          <w:szCs w:val="32"/>
          <w:rtl/>
        </w:rPr>
        <w:t>(169)</w:t>
      </w:r>
      <w:r w:rsidRPr="00F2586C">
        <w:rPr>
          <w:rFonts w:ascii="Traditional Arabic" w:hAnsi="Traditional Arabic"/>
          <w:sz w:val="32"/>
          <w:szCs w:val="32"/>
          <w:rtl/>
        </w:rPr>
        <w:t>، وإعلام الموقعين (3/94)، و(5/33)، والقواعد والأصول الجامعة (71).</w:t>
      </w:r>
    </w:p>
  </w:footnote>
  <w:footnote w:id="1778">
    <w:p w:rsidR="000D3D21" w:rsidRPr="00A47947" w:rsidRDefault="000D3D21" w:rsidP="00315C1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2586C">
        <w:rPr>
          <w:rFonts w:ascii="Traditional Arabic" w:hAnsi="Traditional Arabic"/>
          <w:sz w:val="32"/>
          <w:szCs w:val="32"/>
          <w:rtl/>
        </w:rPr>
        <w:t>انظر القواعد والأصول الجامعة (33).</w:t>
      </w:r>
    </w:p>
  </w:footnote>
  <w:footnote w:id="1779">
    <w:p w:rsidR="000D3D21" w:rsidRDefault="000D3D21" w:rsidP="00315C1E">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56CCB">
        <w:rPr>
          <w:rFonts w:ascii="Traditional Arabic" w:hAnsi="Traditional Arabic"/>
          <w:sz w:val="32"/>
          <w:szCs w:val="32"/>
          <w:rtl/>
        </w:rPr>
        <w:t>انظر: الشرح الممتع (8/200، 201)،</w:t>
      </w:r>
      <w:r>
        <w:rPr>
          <w:rFonts w:ascii="Traditional Arabic" w:hAnsi="Traditional Arabic"/>
          <w:sz w:val="32"/>
          <w:szCs w:val="32"/>
          <w:rtl/>
        </w:rPr>
        <w:t xml:space="preserve"> و</w:t>
      </w:r>
      <w:r w:rsidRPr="00F56CCB">
        <w:rPr>
          <w:rFonts w:ascii="Traditional Arabic" w:hAnsi="Traditional Arabic"/>
          <w:sz w:val="32"/>
          <w:szCs w:val="32"/>
          <w:rtl/>
        </w:rPr>
        <w:t>(9/43)، والتعليق على القواعد والأصول الجامعة (45)، وشرح منظومة أصول الفقه وقواعده (92)، ومجموع فتاوى ورسائل ابن عثيمين (29/566).</w:t>
      </w:r>
    </w:p>
    <w:p w:rsidR="000D3D21" w:rsidRPr="00F56CCB" w:rsidRDefault="000D3D21" w:rsidP="00315C1E">
      <w:pPr>
        <w:pStyle w:val="a7"/>
        <w:pageBreakBefore/>
        <w:rPr>
          <w:rFonts w:ascii="Traditional Arabic" w:hAnsi="Traditional Arabic"/>
          <w:sz w:val="32"/>
          <w:szCs w:val="32"/>
        </w:rPr>
      </w:pPr>
      <w:r>
        <w:rPr>
          <w:rFonts w:ascii="Traditional Arabic" w:hAnsi="Traditional Arabic" w:hint="cs"/>
          <w:sz w:val="32"/>
          <w:szCs w:val="32"/>
          <w:rtl/>
        </w:rPr>
        <w:t xml:space="preserve">     ولا يدخل في ذلك ما إذا كانت العداوة والبغضاء من أجل الدين؛ لأن الحب والبغض في الله من أوثق عرى الإيمان. انظر فتح ذي الجلال والإكرام (4/225).</w:t>
      </w:r>
    </w:p>
  </w:footnote>
  <w:footnote w:id="1780">
    <w:p w:rsidR="000D3D21" w:rsidRPr="00F56CCB" w:rsidRDefault="000D3D21" w:rsidP="00315C1E">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56CCB">
        <w:rPr>
          <w:rFonts w:ascii="Traditional Arabic" w:hAnsi="Traditional Arabic"/>
          <w:sz w:val="32"/>
          <w:szCs w:val="32"/>
          <w:rtl/>
        </w:rPr>
        <w:t>انظر التعليق على القواعد والأصول الجامعة (45).</w:t>
      </w:r>
    </w:p>
  </w:footnote>
  <w:footnote w:id="1781">
    <w:p w:rsidR="000D3D21" w:rsidRPr="00F56CCB" w:rsidRDefault="000D3D21" w:rsidP="001A744D">
      <w:pPr>
        <w:pStyle w:val="a7"/>
        <w:pageBreakBefore/>
        <w:rPr>
          <w:rFonts w:ascii="Tahoma" w:hAnsi="Tahoma"/>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56CCB">
        <w:rPr>
          <w:rFonts w:ascii="Traditional Arabic" w:hAnsi="Traditional Arabic"/>
          <w:b/>
          <w:bCs/>
          <w:sz w:val="32"/>
          <w:szCs w:val="32"/>
          <w:rtl/>
        </w:rPr>
        <w:t>التناجُش</w:t>
      </w:r>
      <w:r w:rsidR="00AB0B9E">
        <w:rPr>
          <w:rFonts w:ascii="Traditional Arabic" w:hAnsi="Traditional Arabic"/>
          <w:b/>
          <w:bCs/>
          <w:sz w:val="32"/>
          <w:szCs w:val="32"/>
          <w:rtl/>
        </w:rPr>
        <w:fldChar w:fldCharType="begin"/>
      </w:r>
      <w:r>
        <w:instrText xml:space="preserve"> XE "</w:instrText>
      </w:r>
      <w:r w:rsidRPr="001A744D">
        <w:rPr>
          <w:rFonts w:ascii="Traditional Arabic" w:hAnsi="Traditional Arabic"/>
          <w:sz w:val="32"/>
          <w:szCs w:val="32"/>
          <w:rtl/>
        </w:rPr>
        <w:instrText>التناجُش</w:instrText>
      </w:r>
      <w:r>
        <w:instrText xml:space="preserve">" </w:instrText>
      </w:r>
      <w:r w:rsidRPr="001A744D">
        <w:instrText xml:space="preserve">\fm </w:instrText>
      </w:r>
      <w:r w:rsidR="00AB0B9E">
        <w:rPr>
          <w:rFonts w:ascii="Traditional Arabic" w:hAnsi="Traditional Arabic"/>
          <w:b/>
          <w:bCs/>
          <w:sz w:val="32"/>
          <w:szCs w:val="32"/>
          <w:rtl/>
        </w:rPr>
        <w:fldChar w:fldCharType="end"/>
      </w:r>
      <w:r w:rsidRPr="00F56CCB">
        <w:rPr>
          <w:rFonts w:ascii="Traditional Arabic" w:hAnsi="Traditional Arabic"/>
          <w:sz w:val="32"/>
          <w:szCs w:val="32"/>
          <w:rtl/>
        </w:rPr>
        <w:t xml:space="preserve">: </w:t>
      </w:r>
      <w:r w:rsidRPr="00F56CCB">
        <w:rPr>
          <w:rFonts w:ascii="Traditional Arabic" w:hAnsi="Traditional Arabic"/>
          <w:noProof w:val="0"/>
          <w:sz w:val="32"/>
          <w:szCs w:val="32"/>
          <w:rtl/>
          <w:lang w:eastAsia="en-US"/>
        </w:rPr>
        <w:t>تفاعُل من النجْش، وهو أن يمدح السلعة ليُنفِقها ويروِّجها أو يزيد في ثمنها وهو لا يريد شراءها ليقع غيرُه فيها</w:t>
      </w:r>
      <w:r>
        <w:rPr>
          <w:rFonts w:ascii="Traditional Arabic" w:hAnsi="Traditional Arabic"/>
          <w:noProof w:val="0"/>
          <w:sz w:val="32"/>
          <w:szCs w:val="32"/>
          <w:rtl/>
          <w:lang w:eastAsia="en-US"/>
        </w:rPr>
        <w:t>.</w:t>
      </w:r>
      <w:r w:rsidRPr="00F56CCB">
        <w:rPr>
          <w:rFonts w:ascii="Traditional Arabic" w:hAnsi="Traditional Arabic"/>
          <w:noProof w:val="0"/>
          <w:sz w:val="32"/>
          <w:szCs w:val="32"/>
          <w:rtl/>
          <w:lang w:eastAsia="en-US"/>
        </w:rPr>
        <w:t xml:space="preserve"> النهاية في غريب الحديث والأثر (5/21).</w:t>
      </w:r>
    </w:p>
  </w:footnote>
  <w:footnote w:id="1782">
    <w:p w:rsidR="000D3D21" w:rsidRPr="003808D4" w:rsidRDefault="000D3D21" w:rsidP="001A744D">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3808D4">
        <w:rPr>
          <w:rFonts w:ascii="Traditional Arabic" w:hAnsi="Traditional Arabic"/>
          <w:b/>
          <w:bCs/>
          <w:sz w:val="32"/>
          <w:szCs w:val="32"/>
          <w:rtl/>
        </w:rPr>
        <w:t>لا تدابروا</w:t>
      </w:r>
      <w:r w:rsidR="00AB0B9E">
        <w:rPr>
          <w:rFonts w:ascii="Traditional Arabic" w:hAnsi="Traditional Arabic"/>
          <w:b/>
          <w:bCs/>
          <w:sz w:val="32"/>
          <w:szCs w:val="32"/>
          <w:rtl/>
        </w:rPr>
        <w:fldChar w:fldCharType="begin"/>
      </w:r>
      <w:r>
        <w:instrText xml:space="preserve"> XE "</w:instrText>
      </w:r>
      <w:r>
        <w:rPr>
          <w:rFonts w:ascii="Traditional Arabic" w:hAnsi="Traditional Arabic" w:hint="cs"/>
          <w:sz w:val="32"/>
          <w:szCs w:val="32"/>
          <w:rtl/>
        </w:rPr>
        <w:instrText>الت</w:instrText>
      </w:r>
      <w:r w:rsidRPr="001A744D">
        <w:rPr>
          <w:rFonts w:ascii="Traditional Arabic" w:hAnsi="Traditional Arabic"/>
          <w:sz w:val="32"/>
          <w:szCs w:val="32"/>
          <w:rtl/>
        </w:rPr>
        <w:instrText>دابر</w:instrText>
      </w:r>
      <w:r>
        <w:instrText xml:space="preserve">" </w:instrText>
      </w:r>
      <w:r w:rsidRPr="001A744D">
        <w:instrText>\fm</w:instrText>
      </w:r>
      <w:r w:rsidR="00AB0B9E">
        <w:rPr>
          <w:rFonts w:ascii="Traditional Arabic" w:hAnsi="Traditional Arabic"/>
          <w:b/>
          <w:bCs/>
          <w:sz w:val="32"/>
          <w:szCs w:val="32"/>
          <w:rtl/>
        </w:rPr>
        <w:fldChar w:fldCharType="end"/>
      </w:r>
      <w:r w:rsidRPr="003808D4">
        <w:rPr>
          <w:rFonts w:ascii="Traditional Arabic" w:hAnsi="Traditional Arabic"/>
          <w:b/>
          <w:bCs/>
          <w:sz w:val="32"/>
          <w:szCs w:val="32"/>
          <w:rtl/>
        </w:rPr>
        <w:t>:</w:t>
      </w:r>
      <w:r>
        <w:rPr>
          <w:rFonts w:ascii="Traditional Arabic" w:hAnsi="Traditional Arabic"/>
          <w:noProof w:val="0"/>
          <w:sz w:val="32"/>
          <w:szCs w:val="32"/>
          <w:rtl/>
          <w:lang w:eastAsia="en-US"/>
        </w:rPr>
        <w:t>لا يعطي كل واحد منكم أخ</w:t>
      </w:r>
      <w:r w:rsidRPr="003808D4">
        <w:rPr>
          <w:rFonts w:ascii="Traditional Arabic" w:hAnsi="Traditional Arabic"/>
          <w:noProof w:val="0"/>
          <w:sz w:val="32"/>
          <w:szCs w:val="32"/>
          <w:rtl/>
          <w:lang w:eastAsia="en-US"/>
        </w:rPr>
        <w:t>اه دُبُرَه وق</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ف</w:t>
      </w:r>
      <w:r w:rsidRPr="003808D4">
        <w:rPr>
          <w:rFonts w:ascii="Traditional Arabic" w:hAnsi="Traditional Arabic"/>
          <w:noProof w:val="0"/>
          <w:sz w:val="32"/>
          <w:szCs w:val="32"/>
          <w:rtl/>
          <w:lang w:eastAsia="en-US"/>
        </w:rPr>
        <w:t>اه فيُعْر</w:t>
      </w:r>
      <w:r>
        <w:rPr>
          <w:rFonts w:ascii="Traditional Arabic" w:hAnsi="Traditional Arabic" w:hint="cs"/>
          <w:noProof w:val="0"/>
          <w:sz w:val="32"/>
          <w:szCs w:val="32"/>
          <w:rtl/>
          <w:lang w:eastAsia="en-US"/>
        </w:rPr>
        <w:t>ِ</w:t>
      </w:r>
      <w:r w:rsidRPr="003808D4">
        <w:rPr>
          <w:rFonts w:ascii="Traditional Arabic" w:hAnsi="Traditional Arabic"/>
          <w:noProof w:val="0"/>
          <w:sz w:val="32"/>
          <w:szCs w:val="32"/>
          <w:rtl/>
          <w:lang w:eastAsia="en-US"/>
        </w:rPr>
        <w:t>ض عن</w:t>
      </w:r>
      <w:r>
        <w:rPr>
          <w:rFonts w:ascii="Traditional Arabic" w:hAnsi="Traditional Arabic"/>
          <w:noProof w:val="0"/>
          <w:sz w:val="32"/>
          <w:szCs w:val="32"/>
          <w:rtl/>
          <w:lang w:eastAsia="en-US"/>
        </w:rPr>
        <w:t>ه ويه</w:t>
      </w:r>
      <w:r w:rsidRPr="003808D4">
        <w:rPr>
          <w:rFonts w:ascii="Traditional Arabic" w:hAnsi="Traditional Arabic"/>
          <w:noProof w:val="0"/>
          <w:sz w:val="32"/>
          <w:szCs w:val="32"/>
          <w:rtl/>
          <w:lang w:eastAsia="en-US"/>
        </w:rPr>
        <w:t>جُره</w:t>
      </w:r>
      <w:r>
        <w:rPr>
          <w:rFonts w:ascii="Traditional Arabic" w:hAnsi="Traditional Arabic" w:hint="cs"/>
          <w:noProof w:val="0"/>
          <w:sz w:val="32"/>
          <w:szCs w:val="32"/>
          <w:rtl/>
          <w:lang w:eastAsia="en-US"/>
        </w:rPr>
        <w:t>. النهاية في غريب الحديث والأثر(2/97).</w:t>
      </w:r>
    </w:p>
  </w:footnote>
  <w:footnote w:id="1783">
    <w:p w:rsidR="000D3D21" w:rsidRPr="00EB3251" w:rsidRDefault="000D3D21" w:rsidP="00315C1E">
      <w:pPr>
        <w:pStyle w:val="a7"/>
        <w:spacing w:line="440" w:lineRule="exact"/>
        <w:ind w:left="510" w:hanging="510"/>
        <w:jc w:val="lowKashida"/>
        <w:rPr>
          <w:rFonts w:ascii="Lotus Linotype" w:hAnsi="Lotus Linotype" w:cs="Lotus Linotype"/>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أخرجه </w:t>
      </w:r>
      <w:r>
        <w:rPr>
          <w:rFonts w:ascii="Traditional Arabic" w:hAnsi="Traditional Arabic" w:hint="cs"/>
          <w:sz w:val="32"/>
          <w:szCs w:val="32"/>
          <w:rtl/>
        </w:rPr>
        <w:t>بهذا اللفظ مسلم</w:t>
      </w:r>
      <w:r>
        <w:rPr>
          <w:rFonts w:ascii="Traditional Arabic" w:hAnsi="Traditional Arabic"/>
          <w:sz w:val="32"/>
          <w:szCs w:val="32"/>
          <w:rtl/>
        </w:rPr>
        <w:t xml:space="preserve"> في كتاب ا</w:t>
      </w:r>
      <w:r>
        <w:rPr>
          <w:rFonts w:ascii="Traditional Arabic" w:hAnsi="Traditional Arabic" w:hint="cs"/>
          <w:sz w:val="32"/>
          <w:szCs w:val="32"/>
          <w:rtl/>
        </w:rPr>
        <w:t>لبر والصلة والآداب</w:t>
      </w:r>
      <w:r w:rsidRPr="00585873">
        <w:rPr>
          <w:rFonts w:ascii="Traditional Arabic" w:hAnsi="Traditional Arabic"/>
          <w:sz w:val="32"/>
          <w:szCs w:val="32"/>
          <w:rtl/>
        </w:rPr>
        <w:t xml:space="preserve">، </w:t>
      </w:r>
      <w:r>
        <w:rPr>
          <w:rFonts w:ascii="Traditional Arabic" w:hAnsi="Traditional Arabic"/>
          <w:sz w:val="32"/>
          <w:szCs w:val="32"/>
          <w:rtl/>
        </w:rPr>
        <w:t xml:space="preserve">باب </w:t>
      </w:r>
      <w:r>
        <w:rPr>
          <w:rFonts w:ascii="Traditional Arabic" w:hAnsi="Traditional Arabic" w:hint="cs"/>
          <w:sz w:val="32"/>
          <w:szCs w:val="32"/>
          <w:rtl/>
        </w:rPr>
        <w:t xml:space="preserve">تحريم ظلم </w:t>
      </w:r>
      <w:r w:rsidRPr="00365483">
        <w:rPr>
          <w:rFonts w:ascii="Traditional Arabic" w:hAnsi="Traditional Arabic"/>
          <w:noProof w:val="0"/>
          <w:color w:val="auto"/>
          <w:sz w:val="32"/>
          <w:szCs w:val="32"/>
          <w:rtl/>
          <w:lang w:eastAsia="en-US"/>
        </w:rPr>
        <w:t xml:space="preserve">المسلم وخذله واحتقاره ودمه </w:t>
      </w:r>
      <w:r>
        <w:rPr>
          <w:rFonts w:ascii="Traditional Arabic" w:hAnsi="Traditional Arabic"/>
          <w:noProof w:val="0"/>
          <w:color w:val="auto"/>
          <w:sz w:val="32"/>
          <w:szCs w:val="32"/>
          <w:rtl/>
          <w:lang w:eastAsia="en-US"/>
        </w:rPr>
        <w:t>وماله</w:t>
      </w:r>
      <w:r w:rsidRPr="00585873">
        <w:rPr>
          <w:rFonts w:ascii="Traditional Arabic" w:hAnsi="Traditional Arabic"/>
          <w:sz w:val="32"/>
          <w:szCs w:val="32"/>
          <w:rtl/>
        </w:rPr>
        <w:t xml:space="preserve">، رقم </w:t>
      </w:r>
      <w:r w:rsidRPr="00585873">
        <w:rPr>
          <w:rFonts w:ascii="Traditional Arabic" w:hAnsi="Traditional Arabic" w:hint="cs"/>
          <w:sz w:val="32"/>
          <w:szCs w:val="32"/>
          <w:rtl/>
        </w:rPr>
        <w:t xml:space="preserve">الحديث </w:t>
      </w:r>
      <w:r>
        <w:rPr>
          <w:rFonts w:ascii="Traditional Arabic" w:hAnsi="Traditional Arabic"/>
          <w:sz w:val="32"/>
          <w:szCs w:val="32"/>
          <w:rtl/>
        </w:rPr>
        <w:t>(</w:t>
      </w:r>
      <w:r>
        <w:rPr>
          <w:rFonts w:ascii="Traditional Arabic" w:hAnsi="Traditional Arabic" w:hint="cs"/>
          <w:sz w:val="32"/>
          <w:szCs w:val="32"/>
          <w:rtl/>
        </w:rPr>
        <w:t>2564</w:t>
      </w:r>
      <w:r w:rsidRPr="00585873">
        <w:rPr>
          <w:rFonts w:ascii="Traditional Arabic" w:hAnsi="Traditional Arabic"/>
          <w:sz w:val="32"/>
          <w:szCs w:val="32"/>
          <w:rtl/>
        </w:rPr>
        <w:t>)</w:t>
      </w:r>
      <w:r>
        <w:rPr>
          <w:rFonts w:ascii="Traditional Arabic" w:hAnsi="Traditional Arabic"/>
          <w:sz w:val="32"/>
          <w:szCs w:val="32"/>
          <w:rtl/>
        </w:rPr>
        <w:t>.</w:t>
      </w:r>
    </w:p>
  </w:footnote>
  <w:footnote w:id="1784">
    <w:p w:rsidR="000D3D21" w:rsidRPr="00365483" w:rsidRDefault="000D3D21" w:rsidP="00315C1E">
      <w:pPr>
        <w:pStyle w:val="a7"/>
        <w:spacing w:line="440" w:lineRule="exact"/>
        <w:ind w:left="510" w:hanging="510"/>
        <w:jc w:val="lowKashida"/>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ab/>
        <w:t>انظر</w:t>
      </w:r>
      <w:r w:rsidRPr="00365483">
        <w:rPr>
          <w:rFonts w:ascii="Traditional Arabic" w:hAnsi="Traditional Arabic"/>
          <w:sz w:val="32"/>
          <w:szCs w:val="32"/>
          <w:rtl/>
        </w:rPr>
        <w:t xml:space="preserve">: </w:t>
      </w:r>
      <w:r>
        <w:rPr>
          <w:rFonts w:ascii="Traditional Arabic" w:hAnsi="Traditional Arabic" w:hint="cs"/>
          <w:sz w:val="32"/>
          <w:szCs w:val="32"/>
          <w:rtl/>
        </w:rPr>
        <w:t>الشرح الممتع (8/200، 300)، و(12/454)، و</w:t>
      </w:r>
      <w:r w:rsidRPr="00365483">
        <w:rPr>
          <w:rFonts w:ascii="Traditional Arabic" w:hAnsi="Traditional Arabic"/>
          <w:sz w:val="32"/>
          <w:szCs w:val="32"/>
          <w:rtl/>
        </w:rPr>
        <w:t>شرح الأربعين النووية (339 –</w:t>
      </w:r>
      <w:r>
        <w:rPr>
          <w:rFonts w:ascii="Traditional Arabic" w:hAnsi="Traditional Arabic"/>
          <w:sz w:val="32"/>
          <w:szCs w:val="32"/>
          <w:rtl/>
        </w:rPr>
        <w:t xml:space="preserve"> 354)</w:t>
      </w:r>
      <w:r w:rsidRPr="00365483">
        <w:rPr>
          <w:rFonts w:ascii="Traditional Arabic" w:hAnsi="Traditional Arabic"/>
          <w:sz w:val="32"/>
          <w:szCs w:val="32"/>
          <w:rtl/>
        </w:rPr>
        <w:t>،</w:t>
      </w:r>
      <w:r>
        <w:rPr>
          <w:rFonts w:ascii="Traditional Arabic" w:hAnsi="Traditional Arabic" w:hint="cs"/>
          <w:sz w:val="32"/>
          <w:szCs w:val="32"/>
          <w:rtl/>
        </w:rPr>
        <w:t xml:space="preserve"> و</w:t>
      </w:r>
      <w:r w:rsidRPr="00365483">
        <w:rPr>
          <w:rFonts w:ascii="Traditional Arabic" w:hAnsi="Traditional Arabic"/>
          <w:sz w:val="32"/>
          <w:szCs w:val="32"/>
          <w:rtl/>
        </w:rPr>
        <w:t>مجموع فتاوى ورسائل ابن عثيمين (14/179، 180)</w:t>
      </w:r>
      <w:r>
        <w:rPr>
          <w:rFonts w:ascii="Traditional Arabic" w:hAnsi="Traditional Arabic" w:hint="cs"/>
          <w:sz w:val="32"/>
          <w:szCs w:val="32"/>
          <w:rtl/>
        </w:rPr>
        <w:t>، و(29/566)، والقواعد والضوابط الفقهية عند الشيخ ابن عثيمين في الشرح الممتع من كتاب العبادات (1/447)</w:t>
      </w:r>
      <w:r w:rsidRPr="00365483">
        <w:rPr>
          <w:rFonts w:ascii="Traditional Arabic" w:hAnsi="Traditional Arabic"/>
          <w:sz w:val="32"/>
          <w:szCs w:val="32"/>
          <w:rtl/>
        </w:rPr>
        <w:t xml:space="preserve">. </w:t>
      </w:r>
    </w:p>
  </w:footnote>
  <w:footnote w:id="1785">
    <w:p w:rsidR="000D3D21" w:rsidRDefault="000D3D21">
      <w:pPr>
        <w:pStyle w:val="a7"/>
        <w:rPr>
          <w:rFonts w:ascii="Traditional Arabic" w:hAnsi="Traditional Arabic"/>
          <w:noProof w:val="0"/>
          <w:sz w:val="32"/>
          <w:szCs w:val="32"/>
          <w:rtl/>
          <w:lang w:eastAsia="en-US"/>
        </w:rPr>
      </w:pPr>
      <w:r w:rsidRPr="00460314">
        <w:rPr>
          <w:rFonts w:ascii="Traditional Arabic" w:hAnsi="Traditional Arabic"/>
          <w:sz w:val="32"/>
          <w:szCs w:val="32"/>
          <w:rtl/>
        </w:rPr>
        <w:t>(</w:t>
      </w:r>
      <w:r w:rsidRPr="00460314">
        <w:rPr>
          <w:rStyle w:val="af1"/>
          <w:rFonts w:ascii="Traditional Arabic" w:hAnsi="Traditional Arabic"/>
          <w:sz w:val="32"/>
          <w:szCs w:val="32"/>
          <w:vertAlign w:val="baseline"/>
        </w:rPr>
        <w:footnoteRef/>
      </w:r>
      <w:r w:rsidRPr="00460314">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hint="cs"/>
          <w:b/>
          <w:bCs/>
          <w:sz w:val="32"/>
          <w:szCs w:val="32"/>
          <w:rtl/>
        </w:rPr>
        <w:t xml:space="preserve">بيع الحصاة: </w:t>
      </w:r>
      <w:r>
        <w:rPr>
          <w:rFonts w:ascii="Traditional Arabic" w:hAnsi="Traditional Arabic" w:hint="cs"/>
          <w:noProof w:val="0"/>
          <w:sz w:val="32"/>
          <w:szCs w:val="32"/>
          <w:rtl/>
          <w:lang w:eastAsia="en-US"/>
        </w:rPr>
        <w:t xml:space="preserve">هو </w:t>
      </w:r>
      <w:r>
        <w:rPr>
          <w:rFonts w:ascii="Traditional Arabic" w:hAnsi="Traditional Arabic"/>
          <w:noProof w:val="0"/>
          <w:sz w:val="32"/>
          <w:szCs w:val="32"/>
          <w:rtl/>
          <w:lang w:eastAsia="en-US"/>
        </w:rPr>
        <w:t>أن يقول البائع أو المشتر</w:t>
      </w:r>
      <w:r w:rsidRPr="00460314">
        <w:rPr>
          <w:rFonts w:ascii="Traditional Arabic" w:hAnsi="Traditional Arabic"/>
          <w:noProof w:val="0"/>
          <w:sz w:val="32"/>
          <w:szCs w:val="32"/>
          <w:rtl/>
          <w:lang w:eastAsia="en-US"/>
        </w:rPr>
        <w:t xml:space="preserve">ي : إذا نَبذْتُ إليك </w:t>
      </w:r>
      <w:r w:rsidRPr="00460314">
        <w:rPr>
          <w:rFonts w:ascii="Traditional Arabic" w:hAnsi="Traditional Arabic"/>
          <w:noProof w:val="0"/>
          <w:color w:val="auto"/>
          <w:sz w:val="32"/>
          <w:szCs w:val="32"/>
          <w:rtl/>
          <w:lang w:eastAsia="en-US"/>
        </w:rPr>
        <w:t xml:space="preserve">الحصاة </w:t>
      </w:r>
      <w:r>
        <w:rPr>
          <w:rFonts w:ascii="Traditional Arabic" w:hAnsi="Traditional Arabic"/>
          <w:noProof w:val="0"/>
          <w:sz w:val="32"/>
          <w:szCs w:val="32"/>
          <w:rtl/>
          <w:lang w:eastAsia="en-US"/>
        </w:rPr>
        <w:t>فقد وَجَب البيع</w:t>
      </w:r>
      <w:r w:rsidRPr="00460314">
        <w:rPr>
          <w:rFonts w:ascii="Traditional Arabic" w:hAnsi="Traditional Arabic"/>
          <w:noProof w:val="0"/>
          <w:sz w:val="32"/>
          <w:szCs w:val="32"/>
          <w:rtl/>
          <w:lang w:eastAsia="en-US"/>
        </w:rPr>
        <w:t xml:space="preserve">. </w:t>
      </w:r>
    </w:p>
    <w:p w:rsidR="000D3D21" w:rsidRPr="00460314" w:rsidRDefault="000D3D21">
      <w:pPr>
        <w:pStyle w:val="a7"/>
        <w:rPr>
          <w:rFonts w:ascii="Traditional Arabic" w:hAnsi="Traditional Arabic"/>
          <w:b/>
          <w:bCs/>
          <w:sz w:val="32"/>
          <w:szCs w:val="32"/>
        </w:rPr>
      </w:pP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وقيل: هو أن يقول</w:t>
      </w:r>
      <w:r w:rsidRPr="00460314">
        <w:rPr>
          <w:rFonts w:ascii="Traditional Arabic" w:hAnsi="Traditional Arabic"/>
          <w:noProof w:val="0"/>
          <w:sz w:val="32"/>
          <w:szCs w:val="32"/>
          <w:rtl/>
          <w:lang w:eastAsia="en-US"/>
        </w:rPr>
        <w:t>: بعْتُك من السِّلَع ما تَقع عليه حصاتُك إذا رمَيْتَ بها</w:t>
      </w:r>
      <w:r>
        <w:rPr>
          <w:rFonts w:ascii="Traditional Arabic" w:hAnsi="Traditional Arabic" w:hint="cs"/>
          <w:noProof w:val="0"/>
          <w:sz w:val="32"/>
          <w:szCs w:val="32"/>
          <w:rtl/>
          <w:lang w:eastAsia="en-US"/>
        </w:rPr>
        <w:t>،</w:t>
      </w:r>
      <w:r w:rsidRPr="00460314">
        <w:rPr>
          <w:rFonts w:ascii="Traditional Arabic" w:hAnsi="Traditional Arabic"/>
          <w:noProof w:val="0"/>
          <w:sz w:val="32"/>
          <w:szCs w:val="32"/>
          <w:rtl/>
          <w:lang w:eastAsia="en-US"/>
        </w:rPr>
        <w:t xml:space="preserve"> أو بِعْتُك من الأرض إلى حيثُ تَنْتَهي حصاتُك</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النهاية في غريب الحديث والأثر (1/398).</w:t>
      </w:r>
    </w:p>
  </w:footnote>
  <w:footnote w:id="1786">
    <w:p w:rsidR="000D3D21" w:rsidRPr="00863277"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63277">
        <w:rPr>
          <w:rFonts w:ascii="Traditional Arabic" w:hAnsi="Traditional Arabic"/>
          <w:sz w:val="32"/>
          <w:szCs w:val="32"/>
          <w:rtl/>
        </w:rPr>
        <w:t>تقدم تخريجه.</w:t>
      </w:r>
    </w:p>
  </w:footnote>
  <w:footnote w:id="1787">
    <w:p w:rsidR="000D3D21" w:rsidRPr="006C71D4" w:rsidRDefault="000D3D21" w:rsidP="001A744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color w:val="auto"/>
          <w:sz w:val="32"/>
          <w:szCs w:val="32"/>
          <w:rtl/>
          <w:lang w:eastAsia="en-US"/>
        </w:rPr>
        <w:t xml:space="preserve"> </w:t>
      </w:r>
      <w:r w:rsidRPr="006C71D4">
        <w:rPr>
          <w:rFonts w:ascii="Traditional Arabic" w:hAnsi="Traditional Arabic"/>
          <w:b/>
          <w:bCs/>
          <w:noProof w:val="0"/>
          <w:color w:val="auto"/>
          <w:sz w:val="32"/>
          <w:szCs w:val="32"/>
          <w:rtl/>
          <w:lang w:eastAsia="en-US"/>
        </w:rPr>
        <w:t>شرد</w:t>
      </w:r>
      <w:r w:rsidR="00AB0B9E">
        <w:rPr>
          <w:rFonts w:ascii="Traditional Arabic" w:hAnsi="Traditional Arabic"/>
          <w:b/>
          <w:bCs/>
          <w:noProof w:val="0"/>
          <w:color w:val="auto"/>
          <w:sz w:val="32"/>
          <w:szCs w:val="32"/>
          <w:rtl/>
          <w:lang w:eastAsia="en-US"/>
        </w:rPr>
        <w:fldChar w:fldCharType="begin"/>
      </w:r>
      <w:r>
        <w:instrText xml:space="preserve"> XE "</w:instrText>
      </w:r>
      <w:r w:rsidRPr="001A744D">
        <w:rPr>
          <w:rFonts w:ascii="Traditional Arabic" w:hAnsi="Traditional Arabic"/>
          <w:noProof w:val="0"/>
          <w:color w:val="auto"/>
          <w:sz w:val="32"/>
          <w:szCs w:val="32"/>
          <w:rtl/>
          <w:lang w:eastAsia="en-US"/>
        </w:rPr>
        <w:instrText>شرد</w:instrText>
      </w:r>
      <w:r>
        <w:instrText xml:space="preserve">" </w:instrText>
      </w:r>
      <w:r w:rsidRPr="001A744D">
        <w:instrText>\fm</w:instrText>
      </w:r>
      <w:r w:rsidR="00AB0B9E">
        <w:rPr>
          <w:rFonts w:ascii="Traditional Arabic" w:hAnsi="Traditional Arabic"/>
          <w:b/>
          <w:bCs/>
          <w:noProof w:val="0"/>
          <w:color w:val="auto"/>
          <w:sz w:val="32"/>
          <w:szCs w:val="32"/>
          <w:rtl/>
          <w:lang w:eastAsia="en-US"/>
        </w:rPr>
        <w:fldChar w:fldCharType="end"/>
      </w:r>
      <w:r w:rsidRPr="006C71D4">
        <w:rPr>
          <w:rFonts w:ascii="Traditional Arabic" w:hAnsi="Traditional Arabic"/>
          <w:noProof w:val="0"/>
          <w:color w:val="auto"/>
          <w:sz w:val="32"/>
          <w:szCs w:val="32"/>
          <w:rtl/>
          <w:lang w:eastAsia="en-US"/>
        </w:rPr>
        <w:t xml:space="preserve"> البعير شُرودا:</w:t>
      </w:r>
      <w:r>
        <w:rPr>
          <w:rFonts w:ascii="Traditional Arabic" w:hAnsi="Traditional Arabic" w:hint="cs"/>
          <w:noProof w:val="0"/>
          <w:color w:val="auto"/>
          <w:sz w:val="32"/>
          <w:szCs w:val="32"/>
          <w:rtl/>
          <w:lang w:eastAsia="en-US"/>
        </w:rPr>
        <w:t xml:space="preserve"> </w:t>
      </w:r>
      <w:r w:rsidRPr="006C71D4">
        <w:rPr>
          <w:rFonts w:ascii="Traditional Arabic" w:hAnsi="Traditional Arabic"/>
          <w:noProof w:val="0"/>
          <w:color w:val="auto"/>
          <w:sz w:val="32"/>
          <w:szCs w:val="32"/>
          <w:rtl/>
          <w:lang w:eastAsia="en-US"/>
        </w:rPr>
        <w:t>ندَّ ونَفَرَ</w:t>
      </w:r>
      <w:r w:rsidRPr="006C71D4">
        <w:rPr>
          <w:rFonts w:ascii="Traditional Arabic" w:hAnsi="Traditional Arabic"/>
          <w:sz w:val="32"/>
          <w:szCs w:val="32"/>
          <w:rtl/>
        </w:rPr>
        <w:t>.</w:t>
      </w:r>
      <w:r>
        <w:rPr>
          <w:rFonts w:ascii="Traditional Arabic" w:hAnsi="Traditional Arabic" w:hint="cs"/>
          <w:sz w:val="32"/>
          <w:szCs w:val="32"/>
          <w:rtl/>
        </w:rPr>
        <w:t xml:space="preserve"> </w:t>
      </w:r>
      <w:r w:rsidRPr="006C71D4">
        <w:rPr>
          <w:rFonts w:ascii="Traditional Arabic" w:hAnsi="Traditional Arabic"/>
          <w:sz w:val="32"/>
          <w:szCs w:val="32"/>
          <w:rtl/>
        </w:rPr>
        <w:t>انظر المصباح المنير (</w:t>
      </w:r>
      <w:r>
        <w:rPr>
          <w:rFonts w:ascii="Traditional Arabic" w:hAnsi="Traditional Arabic" w:hint="cs"/>
          <w:sz w:val="32"/>
          <w:szCs w:val="32"/>
          <w:rtl/>
        </w:rPr>
        <w:t>254</w:t>
      </w:r>
      <w:r w:rsidRPr="006C71D4">
        <w:rPr>
          <w:rFonts w:ascii="Traditional Arabic" w:hAnsi="Traditional Arabic"/>
          <w:sz w:val="32"/>
          <w:szCs w:val="32"/>
          <w:rtl/>
        </w:rPr>
        <w:t>).</w:t>
      </w:r>
    </w:p>
  </w:footnote>
  <w:footnote w:id="1788">
    <w:p w:rsidR="000D3D21" w:rsidRPr="006C71D4" w:rsidRDefault="000D3D21" w:rsidP="001A744D">
      <w:pPr>
        <w:widowControl/>
        <w:autoSpaceDE w:val="0"/>
        <w:autoSpaceDN w:val="0"/>
        <w:adjustRightInd w:val="0"/>
        <w:ind w:firstLine="0"/>
        <w:jc w:val="left"/>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6C71D4">
        <w:rPr>
          <w:rFonts w:ascii="Traditional Arabic" w:hAnsi="Traditional Arabic"/>
          <w:b/>
          <w:bCs/>
          <w:sz w:val="32"/>
          <w:szCs w:val="32"/>
          <w:rtl/>
        </w:rPr>
        <w:t>المخاطرة</w:t>
      </w:r>
      <w:r w:rsidR="00AB0B9E">
        <w:rPr>
          <w:rFonts w:ascii="Traditional Arabic" w:hAnsi="Traditional Arabic"/>
          <w:b/>
          <w:bCs/>
          <w:sz w:val="32"/>
          <w:szCs w:val="32"/>
          <w:rtl/>
        </w:rPr>
        <w:fldChar w:fldCharType="begin"/>
      </w:r>
      <w:r>
        <w:instrText xml:space="preserve"> XE "</w:instrText>
      </w:r>
      <w:r w:rsidRPr="001A744D">
        <w:rPr>
          <w:rFonts w:ascii="Traditional Arabic" w:hAnsi="Traditional Arabic"/>
          <w:sz w:val="32"/>
          <w:szCs w:val="32"/>
          <w:rtl/>
        </w:rPr>
        <w:instrText>المخاطرة</w:instrText>
      </w:r>
      <w:r>
        <w:instrText xml:space="preserve">" </w:instrText>
      </w:r>
      <w:r w:rsidRPr="001A744D">
        <w:instrText xml:space="preserve">\fm </w:instrText>
      </w:r>
      <w:r w:rsidR="00AB0B9E">
        <w:rPr>
          <w:rFonts w:ascii="Traditional Arabic" w:hAnsi="Traditional Arabic"/>
          <w:b/>
          <w:bCs/>
          <w:sz w:val="32"/>
          <w:szCs w:val="32"/>
          <w:rtl/>
        </w:rPr>
        <w:fldChar w:fldCharType="end"/>
      </w:r>
      <w:r w:rsidRPr="006C71D4">
        <w:rPr>
          <w:rFonts w:ascii="Traditional Arabic" w:hAnsi="Traditional Arabic"/>
          <w:b/>
          <w:bCs/>
          <w:sz w:val="32"/>
          <w:szCs w:val="32"/>
          <w:rtl/>
        </w:rPr>
        <w:t xml:space="preserve"> لغة</w:t>
      </w:r>
      <w:r w:rsidRPr="006C71D4">
        <w:rPr>
          <w:rFonts w:ascii="Traditional Arabic" w:hAnsi="Traditional Arabic"/>
          <w:sz w:val="32"/>
          <w:szCs w:val="32"/>
          <w:rtl/>
        </w:rPr>
        <w:t>:</w:t>
      </w:r>
      <w:r>
        <w:rPr>
          <w:rFonts w:ascii="Traditional Arabic" w:hAnsi="Traditional Arabic" w:hint="cs"/>
          <w:sz w:val="32"/>
          <w:szCs w:val="32"/>
          <w:rtl/>
        </w:rPr>
        <w:t xml:space="preserve"> </w:t>
      </w:r>
      <w:r w:rsidRPr="006C71D4">
        <w:rPr>
          <w:rFonts w:ascii="Traditional Arabic" w:hAnsi="Traditional Arabic"/>
          <w:sz w:val="32"/>
          <w:szCs w:val="32"/>
          <w:rtl/>
        </w:rPr>
        <w:t>تأتي بمعنى المراهنة، يقال: خاطرته على مال؛ أي: راهنته عليه، من الخ</w:t>
      </w:r>
      <w:r>
        <w:rPr>
          <w:rFonts w:ascii="Traditional Arabic" w:hAnsi="Traditional Arabic" w:hint="cs"/>
          <w:sz w:val="32"/>
          <w:szCs w:val="32"/>
          <w:rtl/>
        </w:rPr>
        <w:t>َ</w:t>
      </w:r>
      <w:r w:rsidRPr="006C71D4">
        <w:rPr>
          <w:rFonts w:ascii="Traditional Arabic" w:hAnsi="Traditional Arabic"/>
          <w:sz w:val="32"/>
          <w:szCs w:val="32"/>
          <w:rtl/>
        </w:rPr>
        <w:t>ط</w:t>
      </w:r>
      <w:r>
        <w:rPr>
          <w:rFonts w:ascii="Traditional Arabic" w:hAnsi="Traditional Arabic" w:hint="cs"/>
          <w:sz w:val="32"/>
          <w:szCs w:val="32"/>
          <w:rtl/>
        </w:rPr>
        <w:t>َ</w:t>
      </w:r>
      <w:r w:rsidRPr="006C71D4">
        <w:rPr>
          <w:rFonts w:ascii="Traditional Arabic" w:hAnsi="Traditional Arabic"/>
          <w:sz w:val="32"/>
          <w:szCs w:val="32"/>
          <w:rtl/>
        </w:rPr>
        <w:t>ر، الذي هو الإشراف على الهلاك، أو الترد</w:t>
      </w:r>
      <w:r>
        <w:rPr>
          <w:rFonts w:ascii="Traditional Arabic" w:hAnsi="Traditional Arabic" w:hint="cs"/>
          <w:sz w:val="32"/>
          <w:szCs w:val="32"/>
          <w:rtl/>
        </w:rPr>
        <w:t>ُّ</w:t>
      </w:r>
      <w:r w:rsidRPr="006C71D4">
        <w:rPr>
          <w:rFonts w:ascii="Traditional Arabic" w:hAnsi="Traditional Arabic"/>
          <w:sz w:val="32"/>
          <w:szCs w:val="32"/>
          <w:rtl/>
        </w:rPr>
        <w:t>د بين السلامة والتل</w:t>
      </w:r>
      <w:r>
        <w:rPr>
          <w:rFonts w:ascii="Traditional Arabic" w:hAnsi="Traditional Arabic" w:hint="cs"/>
          <w:sz w:val="32"/>
          <w:szCs w:val="32"/>
          <w:rtl/>
        </w:rPr>
        <w:t>َ</w:t>
      </w:r>
      <w:r w:rsidRPr="006C71D4">
        <w:rPr>
          <w:rFonts w:ascii="Traditional Arabic" w:hAnsi="Traditional Arabic"/>
          <w:sz w:val="32"/>
          <w:szCs w:val="32"/>
          <w:rtl/>
        </w:rPr>
        <w:t>ف.</w:t>
      </w:r>
      <w:r>
        <w:rPr>
          <w:rFonts w:ascii="Traditional Arabic" w:hAnsi="Traditional Arabic" w:hint="cs"/>
          <w:sz w:val="32"/>
          <w:szCs w:val="32"/>
          <w:rtl/>
        </w:rPr>
        <w:t xml:space="preserve"> </w:t>
      </w:r>
      <w:r w:rsidRPr="006C71D4">
        <w:rPr>
          <w:rFonts w:ascii="Traditional Arabic" w:hAnsi="Traditional Arabic"/>
          <w:sz w:val="32"/>
          <w:szCs w:val="32"/>
          <w:rtl/>
        </w:rPr>
        <w:t>انظر المصباح المنير (</w:t>
      </w:r>
      <w:r>
        <w:rPr>
          <w:rFonts w:ascii="Traditional Arabic" w:hAnsi="Traditional Arabic" w:hint="cs"/>
          <w:sz w:val="32"/>
          <w:szCs w:val="32"/>
          <w:rtl/>
        </w:rPr>
        <w:t>147</w:t>
      </w:r>
      <w:r w:rsidRPr="006C71D4">
        <w:rPr>
          <w:rFonts w:ascii="Traditional Arabic" w:hAnsi="Traditional Arabic"/>
          <w:sz w:val="32"/>
          <w:szCs w:val="32"/>
          <w:rtl/>
        </w:rPr>
        <w:t>).</w:t>
      </w:r>
    </w:p>
    <w:p w:rsidR="000D3D21" w:rsidRPr="00196E0F" w:rsidRDefault="000D3D21" w:rsidP="00315C1E">
      <w:pPr>
        <w:widowControl/>
        <w:autoSpaceDE w:val="0"/>
        <w:autoSpaceDN w:val="0"/>
        <w:adjustRightInd w:val="0"/>
        <w:ind w:firstLine="0"/>
        <w:jc w:val="left"/>
        <w:rPr>
          <w:rFonts w:ascii="Traditional Arabic" w:hAnsi="Traditional Arabic"/>
          <w:noProof w:val="0"/>
          <w:color w:val="auto"/>
          <w:sz w:val="32"/>
          <w:szCs w:val="32"/>
          <w:rtl/>
          <w:lang w:eastAsia="en-US"/>
        </w:rPr>
      </w:pPr>
      <w:r>
        <w:rPr>
          <w:rFonts w:ascii="Traditional Arabic" w:hAnsi="Traditional Arabic" w:hint="cs"/>
          <w:sz w:val="32"/>
          <w:szCs w:val="32"/>
          <w:rtl/>
        </w:rPr>
        <w:t xml:space="preserve">     </w:t>
      </w:r>
      <w:r w:rsidRPr="00196E0F">
        <w:rPr>
          <w:rFonts w:ascii="Traditional Arabic" w:hAnsi="Traditional Arabic"/>
          <w:sz w:val="32"/>
          <w:szCs w:val="32"/>
          <w:rtl/>
        </w:rPr>
        <w:t>والمخاطرة في المعاملات</w:t>
      </w:r>
      <w:r w:rsidRPr="00196E0F">
        <w:rPr>
          <w:rFonts w:ascii="Traditional Arabic" w:hAnsi="Traditional Arabic"/>
          <w:noProof w:val="0"/>
          <w:color w:val="auto"/>
          <w:sz w:val="32"/>
          <w:szCs w:val="32"/>
          <w:rtl/>
          <w:lang w:eastAsia="en-US"/>
        </w:rPr>
        <w:t xml:space="preserve"> مخاطرتان: </w:t>
      </w:r>
    </w:p>
    <w:p w:rsidR="000D3D21" w:rsidRPr="006C71D4" w:rsidRDefault="000D3D21" w:rsidP="00315C1E">
      <w:pPr>
        <w:widowControl/>
        <w:autoSpaceDE w:val="0"/>
        <w:autoSpaceDN w:val="0"/>
        <w:adjustRightInd w:val="0"/>
        <w:ind w:firstLine="0"/>
        <w:jc w:val="left"/>
        <w:rPr>
          <w:rFonts w:ascii="Traditional Arabic" w:hAnsi="Traditional Arabic"/>
          <w:noProof w:val="0"/>
          <w:color w:val="auto"/>
          <w:sz w:val="32"/>
          <w:szCs w:val="32"/>
          <w:rtl/>
          <w:lang w:eastAsia="en-US"/>
        </w:rPr>
      </w:pPr>
      <w:r>
        <w:rPr>
          <w:rFonts w:ascii="Traditional Arabic" w:hAnsi="Traditional Arabic" w:hint="cs"/>
          <w:noProof w:val="0"/>
          <w:color w:val="auto"/>
          <w:sz w:val="32"/>
          <w:szCs w:val="32"/>
          <w:rtl/>
          <w:lang w:eastAsia="en-US"/>
        </w:rPr>
        <w:t xml:space="preserve">    </w:t>
      </w:r>
      <w:r w:rsidRPr="006C71D4">
        <w:rPr>
          <w:rFonts w:ascii="Traditional Arabic" w:hAnsi="Traditional Arabic"/>
          <w:noProof w:val="0"/>
          <w:color w:val="auto"/>
          <w:sz w:val="32"/>
          <w:szCs w:val="32"/>
          <w:rtl/>
          <w:lang w:eastAsia="en-US"/>
        </w:rPr>
        <w:t>قال ابن القيم</w:t>
      </w:r>
      <w:r>
        <w:rPr>
          <w:rFonts w:ascii="Traditional Arabic" w:hAnsi="Traditional Arabic" w:hint="cs"/>
          <w:noProof w:val="0"/>
          <w:color w:val="auto"/>
          <w:sz w:val="32"/>
          <w:szCs w:val="32"/>
          <w:rtl/>
          <w:lang w:eastAsia="en-US"/>
        </w:rPr>
        <w:t>_</w:t>
      </w:r>
      <w:r w:rsidRPr="006C71D4">
        <w:rPr>
          <w:rFonts w:ascii="Traditional Arabic" w:hAnsi="Traditional Arabic"/>
          <w:noProof w:val="0"/>
          <w:color w:val="auto"/>
          <w:sz w:val="32"/>
          <w:szCs w:val="32"/>
          <w:rtl/>
          <w:lang w:eastAsia="en-US"/>
        </w:rPr>
        <w:t xml:space="preserve"> </w:t>
      </w:r>
      <w:r>
        <w:rPr>
          <w:rFonts w:ascii="Traditional Arabic" w:hAnsi="Traditional Arabic" w:cs="CTraditional Arabic" w:hint="cs"/>
          <w:rtl/>
        </w:rPr>
        <w:t>/</w:t>
      </w:r>
      <w:r>
        <w:rPr>
          <w:rFonts w:ascii="Traditional Arabic" w:hAnsi="Traditional Arabic" w:hint="cs"/>
          <w:noProof w:val="0"/>
          <w:color w:val="auto"/>
          <w:sz w:val="32"/>
          <w:szCs w:val="32"/>
          <w:rtl/>
          <w:lang w:eastAsia="en-US"/>
        </w:rPr>
        <w:t>_</w:t>
      </w:r>
      <w:r w:rsidRPr="006C71D4">
        <w:rPr>
          <w:rFonts w:ascii="Traditional Arabic" w:hAnsi="Traditional Arabic"/>
          <w:noProof w:val="0"/>
          <w:color w:val="auto"/>
          <w:sz w:val="32"/>
          <w:szCs w:val="32"/>
          <w:rtl/>
          <w:lang w:eastAsia="en-US"/>
        </w:rPr>
        <w:t>:</w:t>
      </w:r>
      <w:r>
        <w:rPr>
          <w:rFonts w:ascii="Traditional Arabic" w:hAnsi="Traditional Arabic" w:hint="cs"/>
          <w:noProof w:val="0"/>
          <w:color w:val="auto"/>
          <w:sz w:val="32"/>
          <w:szCs w:val="32"/>
          <w:rtl/>
          <w:lang w:eastAsia="en-US"/>
        </w:rPr>
        <w:t xml:space="preserve"> (</w:t>
      </w:r>
      <w:r w:rsidRPr="006C71D4">
        <w:rPr>
          <w:rFonts w:ascii="Traditional Arabic" w:hAnsi="Traditional Arabic"/>
          <w:noProof w:val="0"/>
          <w:color w:val="auto"/>
          <w:sz w:val="32"/>
          <w:szCs w:val="32"/>
          <w:rtl/>
          <w:lang w:eastAsia="en-US"/>
        </w:rPr>
        <w:t>المخاطرة مخاطرتان:</w:t>
      </w:r>
    </w:p>
    <w:p w:rsidR="000D3D21" w:rsidRDefault="000D3D21" w:rsidP="00315C1E">
      <w:pPr>
        <w:widowControl/>
        <w:autoSpaceDE w:val="0"/>
        <w:autoSpaceDN w:val="0"/>
        <w:adjustRightInd w:val="0"/>
        <w:ind w:firstLine="0"/>
        <w:jc w:val="left"/>
        <w:rPr>
          <w:rFonts w:ascii="Traditional Arabic" w:hAnsi="Traditional Arabic"/>
          <w:noProof w:val="0"/>
          <w:color w:val="auto"/>
          <w:sz w:val="32"/>
          <w:szCs w:val="32"/>
          <w:rtl/>
          <w:lang w:eastAsia="en-US"/>
        </w:rPr>
      </w:pPr>
      <w:r>
        <w:rPr>
          <w:rFonts w:ascii="Traditional Arabic" w:hAnsi="Traditional Arabic" w:hint="cs"/>
          <w:b/>
          <w:bCs/>
          <w:noProof w:val="0"/>
          <w:color w:val="auto"/>
          <w:sz w:val="32"/>
          <w:szCs w:val="32"/>
          <w:rtl/>
          <w:lang w:eastAsia="en-US"/>
        </w:rPr>
        <w:t xml:space="preserve">    </w:t>
      </w:r>
      <w:r w:rsidRPr="006C71D4">
        <w:rPr>
          <w:rFonts w:ascii="Traditional Arabic" w:hAnsi="Traditional Arabic"/>
          <w:b/>
          <w:bCs/>
          <w:noProof w:val="0"/>
          <w:color w:val="auto"/>
          <w:sz w:val="32"/>
          <w:szCs w:val="32"/>
          <w:rtl/>
          <w:lang w:eastAsia="en-US"/>
        </w:rPr>
        <w:t>مخاطرة التجارة</w:t>
      </w:r>
      <w:r w:rsidRPr="006C71D4">
        <w:rPr>
          <w:rFonts w:ascii="Traditional Arabic" w:hAnsi="Traditional Arabic"/>
          <w:noProof w:val="0"/>
          <w:color w:val="auto"/>
          <w:sz w:val="32"/>
          <w:szCs w:val="32"/>
          <w:rtl/>
          <w:lang w:eastAsia="en-US"/>
        </w:rPr>
        <w:t xml:space="preserve"> وهو أن يشتري السلعة بقصد أن يبيعها ويربح ويتوكل على الله في ذلك</w:t>
      </w:r>
      <w:r>
        <w:rPr>
          <w:rFonts w:ascii="Traditional Arabic" w:hAnsi="Traditional Arabic" w:hint="cs"/>
          <w:noProof w:val="0"/>
          <w:color w:val="auto"/>
          <w:sz w:val="32"/>
          <w:szCs w:val="32"/>
          <w:rtl/>
          <w:lang w:eastAsia="en-US"/>
        </w:rPr>
        <w:t>.</w:t>
      </w:r>
    </w:p>
    <w:p w:rsidR="000D3D21" w:rsidRPr="006C71D4" w:rsidRDefault="000D3D21" w:rsidP="00315C1E">
      <w:pPr>
        <w:pStyle w:val="a7"/>
        <w:pageBreakBefore/>
        <w:ind w:left="0" w:firstLine="0"/>
        <w:rPr>
          <w:rFonts w:ascii="Traditional Arabic" w:hAnsi="Traditional Arabic"/>
          <w:sz w:val="32"/>
          <w:szCs w:val="32"/>
        </w:rPr>
      </w:pPr>
      <w:r>
        <w:rPr>
          <w:rFonts w:ascii="Traditional Arabic" w:hAnsi="Traditional Arabic" w:hint="cs"/>
          <w:b/>
          <w:bCs/>
          <w:noProof w:val="0"/>
          <w:color w:val="auto"/>
          <w:sz w:val="32"/>
          <w:szCs w:val="32"/>
          <w:rtl/>
          <w:lang w:eastAsia="en-US"/>
        </w:rPr>
        <w:t xml:space="preserve">    </w:t>
      </w:r>
      <w:r w:rsidRPr="00843F65">
        <w:rPr>
          <w:rFonts w:ascii="Traditional Arabic" w:hAnsi="Traditional Arabic"/>
          <w:b/>
          <w:bCs/>
          <w:noProof w:val="0"/>
          <w:color w:val="auto"/>
          <w:sz w:val="32"/>
          <w:szCs w:val="32"/>
          <w:rtl/>
          <w:lang w:eastAsia="en-US"/>
        </w:rPr>
        <w:t>والخ</w:t>
      </w:r>
      <w:r w:rsidRPr="00843F65">
        <w:rPr>
          <w:rFonts w:ascii="Traditional Arabic" w:hAnsi="Traditional Arabic" w:hint="cs"/>
          <w:b/>
          <w:bCs/>
          <w:noProof w:val="0"/>
          <w:color w:val="auto"/>
          <w:sz w:val="32"/>
          <w:szCs w:val="32"/>
          <w:rtl/>
          <w:lang w:eastAsia="en-US"/>
        </w:rPr>
        <w:t>َ</w:t>
      </w:r>
      <w:r w:rsidRPr="00843F65">
        <w:rPr>
          <w:rFonts w:ascii="Traditional Arabic" w:hAnsi="Traditional Arabic"/>
          <w:b/>
          <w:bCs/>
          <w:noProof w:val="0"/>
          <w:color w:val="auto"/>
          <w:sz w:val="32"/>
          <w:szCs w:val="32"/>
          <w:rtl/>
          <w:lang w:eastAsia="en-US"/>
        </w:rPr>
        <w:t>ط</w:t>
      </w:r>
      <w:r w:rsidRPr="00843F65">
        <w:rPr>
          <w:rFonts w:ascii="Traditional Arabic" w:hAnsi="Traditional Arabic" w:hint="cs"/>
          <w:b/>
          <w:bCs/>
          <w:noProof w:val="0"/>
          <w:color w:val="auto"/>
          <w:sz w:val="32"/>
          <w:szCs w:val="32"/>
          <w:rtl/>
          <w:lang w:eastAsia="en-US"/>
        </w:rPr>
        <w:t>َ</w:t>
      </w:r>
      <w:r w:rsidRPr="00843F65">
        <w:rPr>
          <w:rFonts w:ascii="Traditional Arabic" w:hAnsi="Traditional Arabic"/>
          <w:b/>
          <w:bCs/>
          <w:noProof w:val="0"/>
          <w:color w:val="auto"/>
          <w:sz w:val="32"/>
          <w:szCs w:val="32"/>
          <w:rtl/>
          <w:lang w:eastAsia="en-US"/>
        </w:rPr>
        <w:t>ر</w:t>
      </w:r>
      <w:r w:rsidRPr="006C71D4">
        <w:rPr>
          <w:rFonts w:ascii="Traditional Arabic" w:hAnsi="Traditional Arabic"/>
          <w:b/>
          <w:bCs/>
          <w:noProof w:val="0"/>
          <w:color w:val="auto"/>
          <w:sz w:val="32"/>
          <w:szCs w:val="32"/>
          <w:rtl/>
          <w:lang w:eastAsia="en-US"/>
        </w:rPr>
        <w:t>الثاني: الميسر</w:t>
      </w:r>
      <w:r w:rsidRPr="006C71D4">
        <w:rPr>
          <w:rFonts w:ascii="Traditional Arabic" w:hAnsi="Traditional Arabic"/>
          <w:noProof w:val="0"/>
          <w:color w:val="auto"/>
          <w:sz w:val="32"/>
          <w:szCs w:val="32"/>
          <w:rtl/>
          <w:lang w:eastAsia="en-US"/>
        </w:rPr>
        <w:t xml:space="preserve"> الذي يتضمن أكل المال بالباطل، فهذا الذي حرمه الله تعالى ورسوله، مثل بيع الم</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لامسة والم</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نابذة وح</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ب</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ل الح</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ب</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لة والملاقيح والمضامين وبيع الثمار قبل بدو</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 xml:space="preserve"> صلاحها، ومن هذا النوع يكون أحدهما قد قمر الآخر وظلمه ويتظل</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م أحد</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هما من الآخر</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 xml:space="preserve"> بخلاف التاجر الذي قد اشترى السلعة ثم بعد هذا نقص سعر</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ها</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 xml:space="preserve"> فهذا من الله سبحانه ليس لأحد فيه حيلة</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 xml:space="preserve"> ولا يتظلم مثل</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 xml:space="preserve"> هذا من البائع</w:t>
      </w:r>
      <w:r>
        <w:rPr>
          <w:rFonts w:ascii="Traditional Arabic" w:hAnsi="Traditional Arabic" w:hint="cs"/>
          <w:noProof w:val="0"/>
          <w:color w:val="auto"/>
          <w:sz w:val="32"/>
          <w:szCs w:val="32"/>
          <w:rtl/>
          <w:lang w:eastAsia="en-US"/>
        </w:rPr>
        <w:t>)</w:t>
      </w:r>
      <w:r w:rsidRPr="006C71D4">
        <w:rPr>
          <w:rFonts w:ascii="Traditional Arabic" w:hAnsi="Traditional Arabic"/>
          <w:noProof w:val="0"/>
          <w:color w:val="auto"/>
          <w:sz w:val="32"/>
          <w:szCs w:val="32"/>
          <w:rtl/>
          <w:lang w:eastAsia="en-US"/>
        </w:rPr>
        <w:t>.</w:t>
      </w:r>
      <w:r>
        <w:rPr>
          <w:rFonts w:ascii="Traditional Arabic" w:hAnsi="Traditional Arabic" w:hint="cs"/>
          <w:noProof w:val="0"/>
          <w:color w:val="auto"/>
          <w:sz w:val="32"/>
          <w:szCs w:val="32"/>
          <w:rtl/>
          <w:lang w:eastAsia="en-US"/>
        </w:rPr>
        <w:t xml:space="preserve"> </w:t>
      </w:r>
      <w:r w:rsidRPr="006C71D4">
        <w:rPr>
          <w:rFonts w:ascii="Traditional Arabic" w:hAnsi="Traditional Arabic"/>
          <w:sz w:val="32"/>
          <w:szCs w:val="32"/>
          <w:rtl/>
        </w:rPr>
        <w:t xml:space="preserve">زاد </w:t>
      </w:r>
      <w:r>
        <w:rPr>
          <w:rFonts w:ascii="Traditional Arabic" w:hAnsi="Traditional Arabic" w:hint="cs"/>
          <w:sz w:val="32"/>
          <w:szCs w:val="32"/>
          <w:rtl/>
        </w:rPr>
        <w:t xml:space="preserve">المعاد </w:t>
      </w:r>
      <w:r w:rsidRPr="006C71D4">
        <w:rPr>
          <w:rFonts w:ascii="Traditional Arabic" w:hAnsi="Traditional Arabic"/>
          <w:sz w:val="32"/>
          <w:szCs w:val="32"/>
          <w:rtl/>
        </w:rPr>
        <w:t>(5/816).</w:t>
      </w:r>
    </w:p>
  </w:footnote>
  <w:footnote w:id="1789">
    <w:p w:rsidR="000D3D21" w:rsidRPr="005D770D"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770D">
        <w:rPr>
          <w:rFonts w:ascii="Traditional Arabic" w:hAnsi="Traditional Arabic"/>
          <w:sz w:val="32"/>
          <w:szCs w:val="32"/>
          <w:rtl/>
        </w:rPr>
        <w:t>القواعد النورانية (169).</w:t>
      </w:r>
    </w:p>
  </w:footnote>
  <w:footnote w:id="1790">
    <w:p w:rsidR="000D3D21" w:rsidRPr="005D770D"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770D">
        <w:rPr>
          <w:rFonts w:ascii="Traditional Arabic" w:hAnsi="Traditional Arabic"/>
          <w:sz w:val="32"/>
          <w:szCs w:val="32"/>
          <w:rtl/>
        </w:rPr>
        <w:t>انظر الشرح الممتع (8/147).</w:t>
      </w:r>
    </w:p>
  </w:footnote>
  <w:footnote w:id="1791">
    <w:p w:rsidR="000D3D21" w:rsidRPr="005D770D" w:rsidRDefault="000D3D21" w:rsidP="00315C1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770D">
        <w:rPr>
          <w:rFonts w:ascii="Traditional Arabic" w:hAnsi="Traditional Arabic"/>
          <w:sz w:val="32"/>
          <w:szCs w:val="32"/>
          <w:rtl/>
        </w:rPr>
        <w:t>المرجع السابق (8/200).</w:t>
      </w:r>
    </w:p>
  </w:footnote>
  <w:footnote w:id="1792">
    <w:p w:rsidR="000D3D21" w:rsidRPr="00B14866" w:rsidRDefault="000D3D21" w:rsidP="001A744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14866">
        <w:rPr>
          <w:rFonts w:ascii="Traditional Arabic" w:hAnsi="Traditional Arabic"/>
          <w:b/>
          <w:bCs/>
          <w:noProof w:val="0"/>
          <w:sz w:val="32"/>
          <w:szCs w:val="32"/>
          <w:rtl/>
          <w:lang w:eastAsia="en-US"/>
        </w:rPr>
        <w:t>اشتدادُ الح</w:t>
      </w:r>
      <w:r>
        <w:rPr>
          <w:rFonts w:ascii="Traditional Arabic" w:hAnsi="Traditional Arabic" w:hint="cs"/>
          <w:b/>
          <w:bCs/>
          <w:noProof w:val="0"/>
          <w:sz w:val="32"/>
          <w:szCs w:val="32"/>
          <w:rtl/>
          <w:lang w:eastAsia="en-US"/>
        </w:rPr>
        <w:t>َ</w:t>
      </w:r>
      <w:r w:rsidRPr="00B14866">
        <w:rPr>
          <w:rFonts w:ascii="Traditional Arabic" w:hAnsi="Traditional Arabic"/>
          <w:b/>
          <w:bCs/>
          <w:noProof w:val="0"/>
          <w:sz w:val="32"/>
          <w:szCs w:val="32"/>
          <w:rtl/>
          <w:lang w:eastAsia="en-US"/>
        </w:rPr>
        <w:t>ب</w:t>
      </w:r>
      <w:r w:rsidR="00AB0B9E">
        <w:rPr>
          <w:rFonts w:ascii="Traditional Arabic" w:hAnsi="Traditional Arabic"/>
          <w:b/>
          <w:bCs/>
          <w:noProof w:val="0"/>
          <w:sz w:val="32"/>
          <w:szCs w:val="32"/>
          <w:rtl/>
          <w:lang w:eastAsia="en-US"/>
        </w:rPr>
        <w:fldChar w:fldCharType="begin"/>
      </w:r>
      <w:r>
        <w:instrText xml:space="preserve"> XE "</w:instrText>
      </w:r>
      <w:r w:rsidRPr="001A744D">
        <w:rPr>
          <w:rFonts w:ascii="Traditional Arabic" w:hAnsi="Traditional Arabic"/>
          <w:noProof w:val="0"/>
          <w:sz w:val="32"/>
          <w:szCs w:val="32"/>
          <w:rtl/>
          <w:lang w:eastAsia="en-US"/>
        </w:rPr>
        <w:instrText>اشتدادُ الح</w:instrText>
      </w:r>
      <w:r w:rsidRPr="001A744D">
        <w:rPr>
          <w:rFonts w:ascii="Traditional Arabic" w:hAnsi="Traditional Arabic" w:hint="cs"/>
          <w:noProof w:val="0"/>
          <w:sz w:val="32"/>
          <w:szCs w:val="32"/>
          <w:rtl/>
          <w:lang w:eastAsia="en-US"/>
        </w:rPr>
        <w:instrText>َ</w:instrText>
      </w:r>
      <w:r w:rsidRPr="001A744D">
        <w:rPr>
          <w:rFonts w:ascii="Traditional Arabic" w:hAnsi="Traditional Arabic"/>
          <w:noProof w:val="0"/>
          <w:sz w:val="32"/>
          <w:szCs w:val="32"/>
          <w:rtl/>
          <w:lang w:eastAsia="en-US"/>
        </w:rPr>
        <w:instrText>ب</w:instrText>
      </w:r>
      <w:r>
        <w:instrText xml:space="preserve">" </w:instrText>
      </w:r>
      <w:r w:rsidRPr="001A744D">
        <w:instrText>\fm</w:instrText>
      </w:r>
      <w:r w:rsidR="00AB0B9E">
        <w:rPr>
          <w:rFonts w:ascii="Traditional Arabic" w:hAnsi="Traditional Arabic"/>
          <w:b/>
          <w:bCs/>
          <w:noProof w:val="0"/>
          <w:sz w:val="32"/>
          <w:szCs w:val="32"/>
          <w:rtl/>
          <w:lang w:eastAsia="en-US"/>
        </w:rPr>
        <w:fldChar w:fldCharType="end"/>
      </w:r>
      <w:r w:rsidRPr="00B14866">
        <w:rPr>
          <w:rFonts w:ascii="Traditional Arabic" w:hAnsi="Traditional Arabic"/>
          <w:noProof w:val="0"/>
          <w:sz w:val="32"/>
          <w:szCs w:val="32"/>
          <w:rtl/>
          <w:lang w:eastAsia="en-US"/>
        </w:rPr>
        <w:t>: قُوّته وصَلابتُه</w:t>
      </w:r>
      <w:r w:rsidRPr="00B14866">
        <w:rPr>
          <w:rFonts w:ascii="Traditional Arabic" w:hAnsi="Traditional Arabic"/>
          <w:b/>
          <w:bCs/>
          <w:noProof w:val="0"/>
          <w:sz w:val="32"/>
          <w:szCs w:val="32"/>
          <w:rtl/>
          <w:lang w:eastAsia="en-US"/>
        </w:rPr>
        <w:t>.</w:t>
      </w:r>
      <w:r w:rsidRPr="00B14866">
        <w:rPr>
          <w:rFonts w:ascii="Traditional Arabic" w:hAnsi="Traditional Arabic"/>
          <w:sz w:val="32"/>
          <w:szCs w:val="32"/>
          <w:rtl/>
        </w:rPr>
        <w:t xml:space="preserve"> النهاية في غريب الحديث والأثر (2/452).</w:t>
      </w:r>
    </w:p>
  </w:footnote>
  <w:footnote w:id="1793">
    <w:p w:rsidR="000D3D21" w:rsidRPr="002B0A3F"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شرح الممتع</w:t>
      </w:r>
      <w:r w:rsidRPr="002B0A3F">
        <w:rPr>
          <w:rFonts w:ascii="Traditional Arabic" w:hAnsi="Traditional Arabic"/>
          <w:sz w:val="32"/>
          <w:szCs w:val="32"/>
          <w:rtl/>
        </w:rPr>
        <w:t xml:space="preserve"> (9/21</w:t>
      </w:r>
      <w:r>
        <w:rPr>
          <w:rFonts w:ascii="Traditional Arabic" w:hAnsi="Traditional Arabic" w:hint="cs"/>
          <w:sz w:val="32"/>
          <w:szCs w:val="32"/>
          <w:rtl/>
        </w:rPr>
        <w:t>، 23</w:t>
      </w:r>
      <w:r w:rsidRPr="002B0A3F">
        <w:rPr>
          <w:rFonts w:ascii="Traditional Arabic" w:hAnsi="Traditional Arabic"/>
          <w:sz w:val="32"/>
          <w:szCs w:val="32"/>
          <w:rtl/>
        </w:rPr>
        <w:t>).</w:t>
      </w:r>
    </w:p>
  </w:footnote>
  <w:footnote w:id="1794">
    <w:p w:rsidR="000D3D21" w:rsidRPr="009F0A89"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9F0A89">
        <w:rPr>
          <w:rFonts w:ascii="Traditional Arabic" w:hAnsi="Traditional Arabic"/>
          <w:sz w:val="32"/>
          <w:szCs w:val="32"/>
          <w:rtl/>
        </w:rPr>
        <w:t xml:space="preserve"> (9/21، 23).</w:t>
      </w:r>
    </w:p>
  </w:footnote>
  <w:footnote w:id="1795">
    <w:p w:rsidR="000D3D21" w:rsidRPr="009F0A89"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9F0A89">
        <w:rPr>
          <w:rFonts w:ascii="Traditional Arabic" w:hAnsi="Traditional Arabic"/>
          <w:sz w:val="32"/>
          <w:szCs w:val="32"/>
          <w:rtl/>
        </w:rPr>
        <w:t xml:space="preserve"> (9/73-74).</w:t>
      </w:r>
    </w:p>
  </w:footnote>
  <w:footnote w:id="1796">
    <w:p w:rsidR="000D3D21" w:rsidRPr="00237F87" w:rsidRDefault="000D3D21" w:rsidP="00315C1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9F0A89">
        <w:rPr>
          <w:rFonts w:ascii="Traditional Arabic" w:hAnsi="Traditional Arabic"/>
          <w:sz w:val="32"/>
          <w:szCs w:val="32"/>
          <w:rtl/>
        </w:rPr>
        <w:t xml:space="preserve"> (9/43، 73-74).</w:t>
      </w:r>
    </w:p>
  </w:footnote>
  <w:footnote w:id="1797">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اخترت هذه الصيغة؛ لأن</w:t>
      </w:r>
      <w:r w:rsidRPr="001B7763">
        <w:rPr>
          <w:rFonts w:ascii="Traditional Arabic" w:hAnsi="Traditional Arabic"/>
          <w:sz w:val="32"/>
          <w:szCs w:val="32"/>
          <w:rtl/>
        </w:rPr>
        <w:t xml:space="preserve"> </w:t>
      </w:r>
      <w:r>
        <w:rPr>
          <w:rFonts w:ascii="Traditional Arabic" w:hAnsi="Traditional Arabic" w:hint="cs"/>
          <w:sz w:val="32"/>
          <w:szCs w:val="32"/>
          <w:rtl/>
        </w:rPr>
        <w:t>بعض</w:t>
      </w:r>
      <w:r>
        <w:rPr>
          <w:rFonts w:ascii="Traditional Arabic" w:hAnsi="Traditional Arabic"/>
          <w:sz w:val="32"/>
          <w:szCs w:val="32"/>
          <w:rtl/>
        </w:rPr>
        <w:t xml:space="preserve"> الأحكام </w:t>
      </w:r>
      <w:r>
        <w:rPr>
          <w:rFonts w:ascii="Traditional Arabic" w:hAnsi="Traditional Arabic" w:hint="cs"/>
          <w:sz w:val="32"/>
          <w:szCs w:val="32"/>
          <w:rtl/>
        </w:rPr>
        <w:t xml:space="preserve">لا </w:t>
      </w:r>
      <w:r w:rsidRPr="001B7763">
        <w:rPr>
          <w:rFonts w:ascii="Traditional Arabic" w:hAnsi="Traditional Arabic"/>
          <w:sz w:val="32"/>
          <w:szCs w:val="32"/>
          <w:rtl/>
        </w:rPr>
        <w:t>ت</w:t>
      </w:r>
      <w:r>
        <w:rPr>
          <w:rFonts w:ascii="Traditional Arabic" w:hAnsi="Traditional Arabic" w:hint="cs"/>
          <w:sz w:val="32"/>
          <w:szCs w:val="32"/>
          <w:rtl/>
        </w:rPr>
        <w:t>ت</w:t>
      </w:r>
      <w:r>
        <w:rPr>
          <w:rFonts w:ascii="Traditional Arabic" w:hAnsi="Traditional Arabic"/>
          <w:sz w:val="32"/>
          <w:szCs w:val="32"/>
          <w:rtl/>
        </w:rPr>
        <w:t>بعض</w:t>
      </w:r>
      <w:r w:rsidRPr="001B7763">
        <w:rPr>
          <w:rFonts w:ascii="Traditional Arabic" w:hAnsi="Traditional Arabic"/>
          <w:sz w:val="32"/>
          <w:szCs w:val="32"/>
          <w:rtl/>
        </w:rPr>
        <w:t>، سواء دل حرف"قد" على التقليل أو التكثير، والله أعلم.</w:t>
      </w:r>
      <w:r>
        <w:rPr>
          <w:rFonts w:ascii="Traditional Arabic" w:hAnsi="Traditional Arabic" w:hint="cs"/>
          <w:sz w:val="32"/>
          <w:szCs w:val="32"/>
          <w:rtl/>
        </w:rPr>
        <w:t xml:space="preserve"> </w:t>
      </w:r>
      <w:r w:rsidRPr="001B7763">
        <w:rPr>
          <w:rFonts w:ascii="Traditional Arabic" w:hAnsi="Traditional Arabic"/>
          <w:sz w:val="32"/>
          <w:szCs w:val="32"/>
          <w:rtl/>
        </w:rPr>
        <w:t>انظر في معاني "قد" مغني اللبيب عن كتب الأعاريب لعبد الله بن يوسف بن هشام الأنصاري (2/541-543).</w:t>
      </w:r>
    </w:p>
  </w:footnote>
  <w:footnote w:id="1798">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الشرح الممتع (6/316)، و(10/134)، والتعليق على القواعد والأصول الجامعة (184).</w:t>
      </w:r>
    </w:p>
  </w:footnote>
  <w:footnote w:id="1799">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المرجع السابق (15/460).</w:t>
      </w:r>
    </w:p>
  </w:footnote>
  <w:footnote w:id="1800">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إعلام الموقعين (6/475).</w:t>
      </w:r>
    </w:p>
  </w:footnote>
  <w:footnote w:id="1801">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القواعد والأصول الجامعة (83).</w:t>
      </w:r>
    </w:p>
  </w:footnote>
  <w:footnote w:id="1802">
    <w:p w:rsidR="000D3D21" w:rsidRPr="003E23BE" w:rsidRDefault="000D3D21" w:rsidP="00F101F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مقاييس اللغة (1/269).</w:t>
      </w:r>
    </w:p>
  </w:footnote>
  <w:footnote w:id="1803">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الشرح الممتع (10/134) بتصرف، و(10/281).</w:t>
      </w:r>
      <w:r>
        <w:rPr>
          <w:rFonts w:ascii="Traditional Arabic" w:hAnsi="Traditional Arabic" w:hint="cs"/>
          <w:sz w:val="32"/>
          <w:szCs w:val="32"/>
          <w:rtl/>
        </w:rPr>
        <w:t xml:space="preserve"> </w:t>
      </w:r>
      <w:r w:rsidRPr="001B7763">
        <w:rPr>
          <w:rFonts w:ascii="Traditional Arabic" w:hAnsi="Traditional Arabic"/>
          <w:sz w:val="32"/>
          <w:szCs w:val="32"/>
          <w:rtl/>
        </w:rPr>
        <w:t xml:space="preserve">وانظر: </w:t>
      </w:r>
      <w:r>
        <w:rPr>
          <w:rFonts w:ascii="Traditional Arabic" w:hAnsi="Traditional Arabic" w:hint="cs"/>
          <w:sz w:val="32"/>
          <w:szCs w:val="32"/>
          <w:rtl/>
        </w:rPr>
        <w:t>ال</w:t>
      </w:r>
      <w:r>
        <w:rPr>
          <w:rFonts w:ascii="Traditional Arabic" w:hAnsi="Traditional Arabic"/>
          <w:sz w:val="32"/>
          <w:szCs w:val="32"/>
          <w:rtl/>
        </w:rPr>
        <w:t>تعليق</w:t>
      </w:r>
      <w:r w:rsidRPr="001B7763">
        <w:rPr>
          <w:rFonts w:ascii="Traditional Arabic" w:hAnsi="Traditional Arabic"/>
          <w:sz w:val="32"/>
          <w:szCs w:val="32"/>
          <w:rtl/>
        </w:rPr>
        <w:t xml:space="preserve"> على قواعد رجب (1/121-122)، والتعليق على القواعد والأصول الجامعة (184).</w:t>
      </w:r>
    </w:p>
  </w:footnote>
  <w:footnote w:id="1804">
    <w:p w:rsidR="000D3D21" w:rsidRPr="001B7763" w:rsidRDefault="000D3D21" w:rsidP="00F967A6">
      <w:pPr>
        <w:pStyle w:val="a7"/>
        <w:pageBreakBefore/>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b/>
          <w:bCs/>
          <w:sz w:val="32"/>
          <w:szCs w:val="32"/>
          <w:rtl/>
        </w:rPr>
        <w:t>الصفقة</w:t>
      </w:r>
      <w:r w:rsidR="00AB0B9E">
        <w:rPr>
          <w:rFonts w:ascii="Traditional Arabic" w:hAnsi="Traditional Arabic"/>
          <w:b/>
          <w:bCs/>
          <w:sz w:val="32"/>
          <w:szCs w:val="32"/>
          <w:rtl/>
        </w:rPr>
        <w:fldChar w:fldCharType="begin"/>
      </w:r>
      <w:r>
        <w:instrText xml:space="preserve"> XE "</w:instrText>
      </w:r>
      <w:r w:rsidRPr="00F967A6">
        <w:rPr>
          <w:rFonts w:ascii="Traditional Arabic" w:hAnsi="Traditional Arabic"/>
          <w:sz w:val="32"/>
          <w:szCs w:val="32"/>
          <w:rtl/>
        </w:rPr>
        <w:instrText>الصفقة</w:instrText>
      </w:r>
      <w:r>
        <w:instrText xml:space="preserve">" </w:instrText>
      </w:r>
      <w:r w:rsidRPr="00F967A6">
        <w:instrText xml:space="preserve">\fm </w:instrText>
      </w:r>
      <w:r w:rsidR="00AB0B9E">
        <w:rPr>
          <w:rFonts w:ascii="Traditional Arabic" w:hAnsi="Traditional Arabic"/>
          <w:b/>
          <w:bCs/>
          <w:sz w:val="32"/>
          <w:szCs w:val="32"/>
          <w:rtl/>
        </w:rPr>
        <w:fldChar w:fldCharType="end"/>
      </w:r>
      <w:r w:rsidRPr="001B7763">
        <w:rPr>
          <w:rFonts w:ascii="Traditional Arabic" w:hAnsi="Traditional Arabic"/>
          <w:b/>
          <w:bCs/>
          <w:sz w:val="32"/>
          <w:szCs w:val="32"/>
          <w:rtl/>
        </w:rPr>
        <w:t xml:space="preserve"> لغة: </w:t>
      </w:r>
      <w:r w:rsidRPr="001B7763">
        <w:rPr>
          <w:rFonts w:ascii="Traditional Arabic" w:hAnsi="Traditional Arabic"/>
          <w:noProof w:val="0"/>
          <w:color w:val="auto"/>
          <w:sz w:val="32"/>
          <w:szCs w:val="32"/>
          <w:rtl/>
          <w:lang w:eastAsia="en-US"/>
        </w:rPr>
        <w:t>صفَّقت له بالبيعة صَفْقَةً وصَفْقاً، إذا ضربت بيدي على يده، وكانت العرب إذا وجب البيع ضرب أحدهما يده على يد صاحبه، ثم استعملت الصفقة في العقد.</w:t>
      </w:r>
      <w:r>
        <w:rPr>
          <w:rFonts w:ascii="Traditional Arabic" w:hAnsi="Traditional Arabic" w:hint="cs"/>
          <w:noProof w:val="0"/>
          <w:color w:val="auto"/>
          <w:sz w:val="32"/>
          <w:szCs w:val="32"/>
          <w:rtl/>
          <w:lang w:eastAsia="en-US"/>
        </w:rPr>
        <w:t xml:space="preserve"> </w:t>
      </w:r>
      <w:r w:rsidRPr="001B7763">
        <w:rPr>
          <w:rFonts w:ascii="Traditional Arabic" w:hAnsi="Traditional Arabic"/>
          <w:noProof w:val="0"/>
          <w:color w:val="auto"/>
          <w:sz w:val="32"/>
          <w:szCs w:val="32"/>
          <w:rtl/>
          <w:lang w:eastAsia="en-US"/>
        </w:rPr>
        <w:t>المصباح المنير</w:t>
      </w:r>
      <w:r>
        <w:rPr>
          <w:rFonts w:ascii="Traditional Arabic" w:hAnsi="Traditional Arabic" w:hint="cs"/>
          <w:noProof w:val="0"/>
          <w:color w:val="auto"/>
          <w:sz w:val="32"/>
          <w:szCs w:val="32"/>
          <w:rtl/>
          <w:lang w:eastAsia="en-US"/>
        </w:rPr>
        <w:t xml:space="preserve"> (282)</w:t>
      </w:r>
      <w:r>
        <w:rPr>
          <w:rFonts w:ascii="Traditional Arabic" w:hAnsi="Traditional Arabic"/>
          <w:noProof w:val="0"/>
          <w:color w:val="auto"/>
          <w:sz w:val="32"/>
          <w:szCs w:val="32"/>
          <w:rtl/>
          <w:lang w:eastAsia="en-US"/>
        </w:rPr>
        <w:t xml:space="preserve"> </w:t>
      </w:r>
      <w:r w:rsidRPr="001B7763">
        <w:rPr>
          <w:rFonts w:ascii="Traditional Arabic" w:hAnsi="Traditional Arabic"/>
          <w:noProof w:val="0"/>
          <w:color w:val="auto"/>
          <w:sz w:val="32"/>
          <w:szCs w:val="32"/>
          <w:rtl/>
          <w:lang w:eastAsia="en-US"/>
        </w:rPr>
        <w:t>بتصرف.</w:t>
      </w:r>
    </w:p>
    <w:p w:rsidR="000D3D21" w:rsidRPr="001B7763" w:rsidRDefault="000D3D21" w:rsidP="00F101FD">
      <w:pPr>
        <w:widowControl/>
        <w:autoSpaceDE w:val="0"/>
        <w:autoSpaceDN w:val="0"/>
        <w:adjustRightInd w:val="0"/>
        <w:ind w:firstLine="0"/>
        <w:jc w:val="left"/>
        <w:rPr>
          <w:rFonts w:ascii="Traditional Arabic" w:hAnsi="Traditional Arabic"/>
          <w:sz w:val="32"/>
          <w:szCs w:val="32"/>
          <w:rtl/>
        </w:rPr>
      </w:pPr>
      <w:r>
        <w:rPr>
          <w:rFonts w:ascii="Traditional Arabic" w:hAnsi="Traditional Arabic" w:hint="cs"/>
          <w:b/>
          <w:bCs/>
          <w:sz w:val="32"/>
          <w:szCs w:val="32"/>
          <w:rtl/>
        </w:rPr>
        <w:t xml:space="preserve">     </w:t>
      </w:r>
      <w:r w:rsidRPr="001B7763">
        <w:rPr>
          <w:rFonts w:ascii="Traditional Arabic" w:hAnsi="Traditional Arabic"/>
          <w:b/>
          <w:bCs/>
          <w:sz w:val="32"/>
          <w:szCs w:val="32"/>
          <w:rtl/>
        </w:rPr>
        <w:t>الصفقة اصطلاحا:</w:t>
      </w:r>
      <w:r w:rsidRPr="001B7763">
        <w:rPr>
          <w:rFonts w:ascii="Traditional Arabic" w:hAnsi="Traditional Arabic"/>
          <w:noProof w:val="0"/>
          <w:sz w:val="32"/>
          <w:szCs w:val="32"/>
          <w:rtl/>
          <w:lang w:eastAsia="en-US"/>
        </w:rPr>
        <w:t xml:space="preserve"> أن يجمع بين ما يصح بيعُه، وما لا يصح بيعه، في عقد واحد، </w:t>
      </w:r>
      <w:r w:rsidRPr="001B7763">
        <w:rPr>
          <w:rFonts w:ascii="Traditional Arabic" w:hAnsi="Traditional Arabic"/>
          <w:b/>
          <w:bCs/>
          <w:noProof w:val="0"/>
          <w:sz w:val="32"/>
          <w:szCs w:val="32"/>
          <w:rtl/>
          <w:lang w:eastAsia="en-US"/>
        </w:rPr>
        <w:t>وتفريقها</w:t>
      </w:r>
      <w:r w:rsidRPr="001B7763">
        <w:rPr>
          <w:rFonts w:ascii="Traditional Arabic" w:hAnsi="Traditional Arabic"/>
          <w:noProof w:val="0"/>
          <w:sz w:val="32"/>
          <w:szCs w:val="32"/>
          <w:rtl/>
          <w:lang w:eastAsia="en-US"/>
        </w:rPr>
        <w:t xml:space="preserve"> : تفريقما اشتراه في عقد واحد. حاشية الروض المربع على زاد المستقنع لعبد الرحمن بن قاسم </w:t>
      </w:r>
      <w:r>
        <w:rPr>
          <w:rFonts w:ascii="Traditional Arabic" w:hAnsi="Traditional Arabic" w:hint="cs"/>
          <w:noProof w:val="0"/>
          <w:sz w:val="32"/>
          <w:szCs w:val="32"/>
          <w:rtl/>
          <w:lang w:eastAsia="en-US"/>
        </w:rPr>
        <w:t>(4/367)</w:t>
      </w:r>
      <w:r w:rsidRPr="001B7763">
        <w:rPr>
          <w:rFonts w:ascii="Traditional Arabic" w:hAnsi="Traditional Arabic"/>
          <w:noProof w:val="0"/>
          <w:sz w:val="32"/>
          <w:szCs w:val="32"/>
          <w:rtl/>
          <w:lang w:eastAsia="en-US"/>
        </w:rPr>
        <w:t>.</w:t>
      </w:r>
    </w:p>
    <w:p w:rsidR="000D3D21" w:rsidRPr="001B7763" w:rsidRDefault="000D3D21" w:rsidP="00F101FD">
      <w:pPr>
        <w:pStyle w:val="a7"/>
        <w:pageBreakBefore/>
        <w:ind w:left="0" w:firstLine="0"/>
        <w:rPr>
          <w:rFonts w:ascii="Traditional Arabic" w:hAnsi="Traditional Arabic"/>
          <w:sz w:val="32"/>
          <w:szCs w:val="32"/>
        </w:rPr>
      </w:pPr>
      <w:r>
        <w:rPr>
          <w:rFonts w:ascii="Traditional Arabic" w:hAnsi="Traditional Arabic" w:hint="cs"/>
          <w:sz w:val="32"/>
          <w:szCs w:val="32"/>
          <w:rtl/>
        </w:rPr>
        <w:t xml:space="preserve">     </w:t>
      </w:r>
      <w:r w:rsidRPr="001B7763">
        <w:rPr>
          <w:rFonts w:ascii="Traditional Arabic" w:hAnsi="Traditional Arabic"/>
          <w:sz w:val="32"/>
          <w:szCs w:val="32"/>
          <w:rtl/>
        </w:rPr>
        <w:t xml:space="preserve">يقول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1B7763">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 xml:space="preserve">( </w:t>
      </w:r>
      <w:r w:rsidRPr="001B7763">
        <w:rPr>
          <w:rFonts w:ascii="Traditional Arabic" w:hAnsi="Traditional Arabic"/>
          <w:noProof w:val="0"/>
          <w:sz w:val="32"/>
          <w:szCs w:val="32"/>
          <w:rtl/>
          <w:lang w:eastAsia="en-US"/>
        </w:rPr>
        <w:t>ومعنى الصفقة العقد؛ لأن المتعاقدين -ولا سيما في الزمن الأول- إذا باع قال له: بكم بِعْت علي؟ قال: بعت عليك بكذا ويصفِّق على يديه، فالصفقة هي العقد، وتفريقها: تصحيح بعضِها وإبطال البعض</w:t>
      </w:r>
      <w:r w:rsidRPr="001B7763">
        <w:rPr>
          <w:rFonts w:ascii="Traditional Arabic" w:hAnsi="Traditional Arabic"/>
          <w:sz w:val="32"/>
          <w:szCs w:val="32"/>
          <w:rtl/>
        </w:rPr>
        <w:t>).الشرح الممتع (8/180)، وانظر: (8/45)، و(11/169)، و(12/159).</w:t>
      </w:r>
    </w:p>
  </w:footnote>
  <w:footnote w:id="1805">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القواعد والأصول الجامعة (83-84) بتصرف.</w:t>
      </w:r>
    </w:p>
  </w:footnote>
  <w:footnote w:id="1806">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هو عبد الرحمن بن زمعة، أخو عبد من أبيه.انظر الإعلام بفوائد عمدة الأحكام لأبي حفص عمر بن علي الأنصاري المعروف بابن الملقن (8/459).</w:t>
      </w:r>
    </w:p>
  </w:footnote>
  <w:footnote w:id="1807">
    <w:p w:rsidR="000D3D21" w:rsidRPr="001B7763" w:rsidRDefault="000D3D21" w:rsidP="000A019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00AB0B9E" w:rsidRPr="000A019A">
        <w:rPr>
          <w:rFonts w:ascii="Traditional Arabic" w:hAnsi="Traditional Arabic"/>
          <w:sz w:val="32"/>
          <w:szCs w:val="32"/>
          <w:rtl/>
        </w:rPr>
        <w:fldChar w:fldCharType="begin"/>
      </w:r>
      <w:r w:rsidRPr="000A019A">
        <w:rPr>
          <w:rFonts w:ascii="Traditional Arabic" w:hAnsi="Traditional Arabic"/>
          <w:sz w:val="32"/>
          <w:szCs w:val="32"/>
        </w:rPr>
        <w:instrText>XE "</w:instrText>
      </w:r>
      <w:r w:rsidRPr="000A019A">
        <w:rPr>
          <w:rFonts w:ascii="Traditional Arabic" w:hAnsi="Traditional Arabic"/>
          <w:sz w:val="32"/>
          <w:szCs w:val="32"/>
          <w:rtl/>
        </w:rPr>
        <w:instrText>ع</w:instrText>
      </w:r>
      <w:r w:rsidRPr="000A019A">
        <w:rPr>
          <w:rFonts w:ascii="Traditional Arabic" w:hAnsi="Traditional Arabic" w:hint="cs"/>
          <w:sz w:val="32"/>
          <w:szCs w:val="32"/>
          <w:rtl/>
        </w:rPr>
        <w:instrText>ُ</w:instrText>
      </w:r>
      <w:r w:rsidRPr="000A019A">
        <w:rPr>
          <w:rFonts w:ascii="Traditional Arabic" w:hAnsi="Traditional Arabic"/>
          <w:sz w:val="32"/>
          <w:szCs w:val="32"/>
          <w:rtl/>
        </w:rPr>
        <w:instrText>تبة بن أبي وقاص</w:instrText>
      </w:r>
      <w:r w:rsidRPr="000A019A">
        <w:rPr>
          <w:rFonts w:ascii="Traditional Arabic" w:hAnsi="Traditional Arabic"/>
          <w:sz w:val="32"/>
          <w:szCs w:val="32"/>
        </w:rPr>
        <w:instrText>"\fa"</w:instrText>
      </w:r>
      <w:r w:rsidR="00AB0B9E" w:rsidRPr="000A019A">
        <w:rPr>
          <w:rFonts w:ascii="Traditional Arabic" w:hAnsi="Traditional Arabic"/>
          <w:sz w:val="32"/>
          <w:szCs w:val="32"/>
          <w:rtl/>
        </w:rPr>
        <w:fldChar w:fldCharType="end"/>
      </w:r>
      <w:r w:rsidRPr="001B7763">
        <w:rPr>
          <w:rFonts w:ascii="Traditional Arabic" w:hAnsi="Traditional Arabic"/>
          <w:noProof w:val="0"/>
          <w:color w:val="auto"/>
          <w:sz w:val="32"/>
          <w:szCs w:val="32"/>
          <w:rtl/>
          <w:lang w:eastAsia="en-US"/>
        </w:rPr>
        <w:t>عتبة بن مالك بن وهب_ ويقال: ابن أ</w:t>
      </w:r>
      <w:r>
        <w:rPr>
          <w:rFonts w:ascii="Traditional Arabic" w:hAnsi="Traditional Arabic" w:hint="cs"/>
          <w:noProof w:val="0"/>
          <w:color w:val="auto"/>
          <w:sz w:val="32"/>
          <w:szCs w:val="32"/>
          <w:rtl/>
          <w:lang w:eastAsia="en-US"/>
        </w:rPr>
        <w:t>ُ</w:t>
      </w:r>
      <w:r w:rsidRPr="001B7763">
        <w:rPr>
          <w:rFonts w:ascii="Traditional Arabic" w:hAnsi="Traditional Arabic"/>
          <w:noProof w:val="0"/>
          <w:color w:val="auto"/>
          <w:sz w:val="32"/>
          <w:szCs w:val="32"/>
          <w:rtl/>
          <w:lang w:eastAsia="en-US"/>
        </w:rPr>
        <w:t>ه</w:t>
      </w:r>
      <w:r>
        <w:rPr>
          <w:rFonts w:ascii="Traditional Arabic" w:hAnsi="Traditional Arabic" w:hint="cs"/>
          <w:noProof w:val="0"/>
          <w:color w:val="auto"/>
          <w:sz w:val="32"/>
          <w:szCs w:val="32"/>
          <w:rtl/>
          <w:lang w:eastAsia="en-US"/>
        </w:rPr>
        <w:t>َ</w:t>
      </w:r>
      <w:r w:rsidRPr="001B7763">
        <w:rPr>
          <w:rFonts w:ascii="Traditional Arabic" w:hAnsi="Traditional Arabic"/>
          <w:noProof w:val="0"/>
          <w:color w:val="auto"/>
          <w:sz w:val="32"/>
          <w:szCs w:val="32"/>
          <w:rtl/>
          <w:lang w:eastAsia="en-US"/>
        </w:rPr>
        <w:t>يب_ بن عبد مناف بن زهرة القرشي الزهري، أخو سعد بن أبي وقاص، لم يذكره</w:t>
      </w:r>
      <w:r w:rsidRPr="001B7763">
        <w:rPr>
          <w:rFonts w:ascii="Traditional Arabic" w:hAnsi="Traditional Arabic"/>
          <w:noProof w:val="0"/>
          <w:sz w:val="32"/>
          <w:szCs w:val="32"/>
          <w:rtl/>
          <w:lang w:eastAsia="en-US"/>
        </w:rPr>
        <w:t xml:space="preserve"> في الصحابة إلا ابن منده، واستند إلى هذا الحديث، لكن ليس فيه ما يدل على إسلامه، وقد اشتد إنكار أبي ن</w:t>
      </w:r>
      <w:r>
        <w:rPr>
          <w:rFonts w:ascii="Traditional Arabic" w:hAnsi="Traditional Arabic"/>
          <w:noProof w:val="0"/>
          <w:sz w:val="32"/>
          <w:szCs w:val="32"/>
          <w:rtl/>
          <w:lang w:eastAsia="en-US"/>
        </w:rPr>
        <w:t xml:space="preserve">عيم على ابن منده في ذلك، وقال: </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هو الذي كسر رَباعية </w:t>
      </w:r>
      <w:r>
        <w:rPr>
          <w:rFonts w:ascii="Traditional Arabic" w:hAnsi="Traditional Arabic" w:hint="cs"/>
          <w:noProof w:val="0"/>
          <w:sz w:val="32"/>
          <w:szCs w:val="32"/>
          <w:rtl/>
          <w:lang w:eastAsia="en-US"/>
        </w:rPr>
        <w:t>رسول الله</w:t>
      </w:r>
      <w:r>
        <w:rPr>
          <w:rFonts w:ascii="Traditional Arabic" w:hAnsi="Traditional Arabic" w:cs="CTraditional Arabic" w:hint="cs"/>
          <w:noProof w:val="0"/>
          <w:color w:val="auto"/>
          <w:rtl/>
          <w:lang w:eastAsia="en-US"/>
        </w:rPr>
        <w:t>غ</w:t>
      </w:r>
      <w:r>
        <w:rPr>
          <w:rFonts w:ascii="Traditional Arabic" w:hAnsi="Traditional Arabic" w:hint="cs"/>
          <w:noProof w:val="0"/>
          <w:color w:val="auto"/>
          <w:rtl/>
          <w:lang w:eastAsia="en-US"/>
        </w:rPr>
        <w:t xml:space="preserve"> يوم أحد وشج وجهه، ولا علمت له إسلاما، وما ذكره أحد من الأئمة والمتقدمين في الصحابة</w:t>
      </w:r>
      <w:r>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 xml:space="preserve">بل </w:t>
      </w:r>
      <w:r w:rsidRPr="001B7763">
        <w:rPr>
          <w:rFonts w:ascii="Traditional Arabic" w:hAnsi="Traditional Arabic"/>
          <w:noProof w:val="0"/>
          <w:sz w:val="32"/>
          <w:szCs w:val="32"/>
          <w:rtl/>
          <w:lang w:eastAsia="en-US"/>
        </w:rPr>
        <w:t>قيل: إنه مات كافرا</w:t>
      </w:r>
      <w:r>
        <w:rPr>
          <w:rFonts w:ascii="Traditional Arabic" w:hAnsi="Traditional Arabic" w:hint="cs"/>
          <w:noProof w:val="0"/>
          <w:sz w:val="32"/>
          <w:szCs w:val="32"/>
          <w:rtl/>
          <w:lang w:eastAsia="en-US"/>
        </w:rPr>
        <w:t>)</w:t>
      </w:r>
      <w:r w:rsidRPr="001B7763">
        <w:rPr>
          <w:rFonts w:ascii="Traditional Arabic" w:hAnsi="Traditional Arabic"/>
          <w:noProof w:val="0"/>
          <w:sz w:val="32"/>
          <w:szCs w:val="32"/>
          <w:rtl/>
          <w:lang w:eastAsia="en-US"/>
        </w:rPr>
        <w:t>.انظر:</w:t>
      </w:r>
      <w:r>
        <w:rPr>
          <w:rFonts w:ascii="Traditional Arabic" w:hAnsi="Traditional Arabic" w:hint="cs"/>
          <w:noProof w:val="0"/>
          <w:sz w:val="32"/>
          <w:szCs w:val="32"/>
          <w:rtl/>
          <w:lang w:eastAsia="en-US"/>
        </w:rPr>
        <w:t>معرفة الصحابة لأبي نعيم أحمد بن عبد الله بن أحمد الأصبهاني (4/2138)، و</w:t>
      </w:r>
      <w:r w:rsidRPr="001B7763">
        <w:rPr>
          <w:rFonts w:ascii="Traditional Arabic" w:hAnsi="Traditional Arabic"/>
          <w:noProof w:val="0"/>
          <w:sz w:val="32"/>
          <w:szCs w:val="32"/>
          <w:rtl/>
          <w:lang w:eastAsia="en-US"/>
        </w:rPr>
        <w:t xml:space="preserve">أسد الغابة </w:t>
      </w:r>
      <w:r>
        <w:rPr>
          <w:rFonts w:ascii="Traditional Arabic" w:hAnsi="Traditional Arabic" w:hint="cs"/>
          <w:noProof w:val="0"/>
          <w:sz w:val="32"/>
          <w:szCs w:val="32"/>
          <w:rtl/>
          <w:lang w:eastAsia="en-US"/>
        </w:rPr>
        <w:t>(3/467)</w:t>
      </w:r>
      <w:r w:rsidRPr="001B7763">
        <w:rPr>
          <w:rFonts w:ascii="Traditional Arabic" w:hAnsi="Traditional Arabic"/>
          <w:noProof w:val="0"/>
          <w:sz w:val="32"/>
          <w:szCs w:val="32"/>
          <w:rtl/>
          <w:lang w:eastAsia="en-US"/>
        </w:rPr>
        <w:t>، وتهذي</w:t>
      </w:r>
      <w:r>
        <w:rPr>
          <w:rFonts w:ascii="Traditional Arabic" w:hAnsi="Traditional Arabic"/>
          <w:noProof w:val="0"/>
          <w:sz w:val="32"/>
          <w:szCs w:val="32"/>
          <w:rtl/>
          <w:lang w:eastAsia="en-US"/>
        </w:rPr>
        <w:t xml:space="preserve">ب الأسماء واللغات </w:t>
      </w:r>
      <w:r>
        <w:rPr>
          <w:rFonts w:ascii="Traditional Arabic" w:hAnsi="Traditional Arabic" w:hint="cs"/>
          <w:noProof w:val="0"/>
          <w:sz w:val="32"/>
          <w:szCs w:val="32"/>
          <w:rtl/>
          <w:lang w:eastAsia="en-US"/>
        </w:rPr>
        <w:t>(1/320)</w:t>
      </w:r>
      <w:r w:rsidRPr="001B7763">
        <w:rPr>
          <w:rFonts w:ascii="Traditional Arabic" w:hAnsi="Traditional Arabic"/>
          <w:noProof w:val="0"/>
          <w:sz w:val="32"/>
          <w:szCs w:val="32"/>
          <w:rtl/>
          <w:lang w:eastAsia="en-US"/>
        </w:rPr>
        <w:t xml:space="preserve">، والإصابة </w:t>
      </w:r>
      <w:r>
        <w:rPr>
          <w:rFonts w:ascii="Traditional Arabic" w:hAnsi="Traditional Arabic" w:hint="cs"/>
          <w:noProof w:val="0"/>
          <w:sz w:val="32"/>
          <w:szCs w:val="32"/>
          <w:rtl/>
          <w:lang w:eastAsia="en-US"/>
        </w:rPr>
        <w:t>(8/383)</w:t>
      </w:r>
      <w:r w:rsidRPr="001B7763">
        <w:rPr>
          <w:rFonts w:ascii="Traditional Arabic" w:hAnsi="Traditional Arabic"/>
          <w:noProof w:val="0"/>
          <w:sz w:val="32"/>
          <w:szCs w:val="32"/>
          <w:rtl/>
          <w:lang w:eastAsia="en-US"/>
        </w:rPr>
        <w:t>.</w:t>
      </w:r>
    </w:p>
  </w:footnote>
  <w:footnote w:id="1808">
    <w:p w:rsidR="000D3D21" w:rsidRPr="001B7763" w:rsidRDefault="000D3D21" w:rsidP="00F101FD">
      <w:pPr>
        <w:pStyle w:val="a7"/>
        <w:pageBreakBefore/>
        <w:tabs>
          <w:tab w:val="left" w:pos="6302"/>
        </w:tabs>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color w:val="auto"/>
          <w:sz w:val="32"/>
          <w:szCs w:val="32"/>
          <w:rtl/>
          <w:lang w:eastAsia="en-US"/>
        </w:rPr>
        <w:t xml:space="preserve"> </w:t>
      </w:r>
      <w:r w:rsidRPr="001B7763">
        <w:rPr>
          <w:rFonts w:ascii="Traditional Arabic" w:hAnsi="Traditional Arabic"/>
          <w:noProof w:val="0"/>
          <w:color w:val="auto"/>
          <w:sz w:val="32"/>
          <w:szCs w:val="32"/>
          <w:rtl/>
          <w:lang w:eastAsia="en-US"/>
        </w:rPr>
        <w:t>عبد بن زمعة</w:t>
      </w:r>
      <w:r w:rsidR="00AB0B9E">
        <w:rPr>
          <w:rFonts w:ascii="Traditional Arabic" w:hAnsi="Traditional Arabic"/>
          <w:noProof w:val="0"/>
          <w:color w:val="auto"/>
          <w:sz w:val="32"/>
          <w:szCs w:val="32"/>
          <w:rtl/>
          <w:lang w:eastAsia="en-US"/>
        </w:rPr>
        <w:fldChar w:fldCharType="begin"/>
      </w:r>
      <w:r>
        <w:rPr>
          <w:rFonts w:ascii="Traditional Arabic" w:hAnsi="Traditional Arabic"/>
          <w:noProof w:val="0"/>
          <w:color w:val="auto"/>
          <w:sz w:val="32"/>
          <w:szCs w:val="32"/>
          <w:lang w:eastAsia="en-US"/>
        </w:rPr>
        <w:instrText>XE "</w:instrText>
      </w:r>
      <w:r w:rsidRPr="0041304C">
        <w:rPr>
          <w:rFonts w:ascii="Traditional Arabic" w:hAnsi="Traditional Arabic"/>
          <w:noProof w:val="0"/>
          <w:color w:val="auto"/>
          <w:rtl/>
          <w:lang w:eastAsia="en-US"/>
        </w:rPr>
        <w:instrText>عبد بن زمعة</w:instrText>
      </w:r>
      <w:r>
        <w:instrText>"\fa"</w:instrText>
      </w:r>
      <w:r w:rsidR="00AB0B9E">
        <w:rPr>
          <w:rFonts w:ascii="Traditional Arabic" w:hAnsi="Traditional Arabic"/>
          <w:noProof w:val="0"/>
          <w:color w:val="auto"/>
          <w:sz w:val="32"/>
          <w:szCs w:val="32"/>
          <w:rtl/>
          <w:lang w:eastAsia="en-US"/>
        </w:rPr>
        <w:fldChar w:fldCharType="end"/>
      </w:r>
      <w:r w:rsidRPr="001B7763">
        <w:rPr>
          <w:rFonts w:ascii="Traditional Arabic" w:hAnsi="Traditional Arabic"/>
          <w:noProof w:val="0"/>
          <w:color w:val="auto"/>
          <w:sz w:val="32"/>
          <w:szCs w:val="32"/>
          <w:rtl/>
          <w:lang w:eastAsia="en-US"/>
        </w:rPr>
        <w:t xml:space="preserve"> بن قيس بن عبد شمس بن لؤي بن القرشي العامري المكي، أخو سودة أم المؤمنين</w:t>
      </w:r>
      <w:r w:rsidRPr="001B7763">
        <w:rPr>
          <w:rFonts w:ascii="Traditional Arabic" w:hAnsi="Traditional Arabic"/>
          <w:sz w:val="32"/>
          <w:szCs w:val="32"/>
          <w:rtl/>
        </w:rPr>
        <w:t xml:space="preserve"> لأبيها، </w:t>
      </w:r>
      <w:r w:rsidRPr="001B7763">
        <w:rPr>
          <w:rFonts w:ascii="Traditional Arabic" w:hAnsi="Traditional Arabic"/>
          <w:noProof w:val="0"/>
          <w:color w:val="auto"/>
          <w:sz w:val="32"/>
          <w:szCs w:val="32"/>
          <w:rtl/>
          <w:lang w:eastAsia="en-US"/>
        </w:rPr>
        <w:t xml:space="preserve">وأمه عاتكة بنت الأحنف، كان </w:t>
      </w:r>
      <w:r>
        <w:rPr>
          <w:rFonts w:ascii="Traditional Arabic" w:hAnsi="Traditional Arabic" w:hint="cs"/>
          <w:noProof w:val="0"/>
          <w:color w:val="auto"/>
          <w:sz w:val="32"/>
          <w:szCs w:val="32"/>
          <w:rtl/>
          <w:lang w:eastAsia="en-US"/>
        </w:rPr>
        <w:t xml:space="preserve">عبدا </w:t>
      </w:r>
      <w:r w:rsidRPr="001B7763">
        <w:rPr>
          <w:rFonts w:ascii="Traditional Arabic" w:hAnsi="Traditional Arabic"/>
          <w:noProof w:val="0"/>
          <w:color w:val="auto"/>
          <w:sz w:val="32"/>
          <w:szCs w:val="32"/>
          <w:rtl/>
          <w:lang w:eastAsia="en-US"/>
        </w:rPr>
        <w:t>شريفا</w:t>
      </w:r>
      <w:r>
        <w:rPr>
          <w:rFonts w:ascii="Traditional Arabic" w:hAnsi="Traditional Arabic" w:hint="cs"/>
          <w:noProof w:val="0"/>
          <w:color w:val="auto"/>
          <w:sz w:val="32"/>
          <w:szCs w:val="32"/>
          <w:rtl/>
          <w:lang w:eastAsia="en-US"/>
        </w:rPr>
        <w:t>،</w:t>
      </w:r>
      <w:r w:rsidRPr="001B7763">
        <w:rPr>
          <w:rFonts w:ascii="Traditional Arabic" w:hAnsi="Traditional Arabic"/>
          <w:noProof w:val="0"/>
          <w:color w:val="auto"/>
          <w:sz w:val="32"/>
          <w:szCs w:val="32"/>
          <w:rtl/>
          <w:lang w:eastAsia="en-US"/>
        </w:rPr>
        <w:t xml:space="preserve"> سيدا من سادات الصحابة.انظر: الاستيعاب </w:t>
      </w:r>
      <w:r>
        <w:rPr>
          <w:rFonts w:ascii="Traditional Arabic" w:hAnsi="Traditional Arabic" w:hint="cs"/>
          <w:noProof w:val="0"/>
          <w:color w:val="auto"/>
          <w:sz w:val="32"/>
          <w:szCs w:val="32"/>
          <w:rtl/>
          <w:lang w:eastAsia="en-US"/>
        </w:rPr>
        <w:t>(2/820)</w:t>
      </w:r>
      <w:r w:rsidRPr="001B7763">
        <w:rPr>
          <w:rFonts w:ascii="Traditional Arabic" w:hAnsi="Traditional Arabic"/>
          <w:noProof w:val="0"/>
          <w:color w:val="auto"/>
          <w:sz w:val="32"/>
          <w:szCs w:val="32"/>
          <w:rtl/>
          <w:lang w:eastAsia="en-US"/>
        </w:rPr>
        <w:t xml:space="preserve">، وأسد الغابة </w:t>
      </w:r>
      <w:r>
        <w:rPr>
          <w:rFonts w:ascii="Traditional Arabic" w:hAnsi="Traditional Arabic" w:hint="cs"/>
          <w:noProof w:val="0"/>
          <w:color w:val="auto"/>
          <w:sz w:val="32"/>
          <w:szCs w:val="32"/>
          <w:rtl/>
          <w:lang w:eastAsia="en-US"/>
        </w:rPr>
        <w:t>(3/411)</w:t>
      </w:r>
      <w:r w:rsidRPr="001B7763">
        <w:rPr>
          <w:rFonts w:ascii="Traditional Arabic" w:hAnsi="Traditional Arabic"/>
          <w:noProof w:val="0"/>
          <w:color w:val="auto"/>
          <w:sz w:val="32"/>
          <w:szCs w:val="32"/>
          <w:rtl/>
          <w:lang w:eastAsia="en-US"/>
        </w:rPr>
        <w:t xml:space="preserve">، وتهذيب الأسماء واللغات </w:t>
      </w:r>
      <w:r>
        <w:rPr>
          <w:rFonts w:ascii="Traditional Arabic" w:hAnsi="Traditional Arabic" w:hint="cs"/>
          <w:noProof w:val="0"/>
          <w:color w:val="auto"/>
          <w:sz w:val="32"/>
          <w:szCs w:val="32"/>
          <w:rtl/>
          <w:lang w:eastAsia="en-US"/>
        </w:rPr>
        <w:t>(1/310)</w:t>
      </w:r>
      <w:r w:rsidRPr="001B7763">
        <w:rPr>
          <w:rFonts w:ascii="Traditional Arabic" w:hAnsi="Traditional Arabic"/>
          <w:noProof w:val="0"/>
          <w:color w:val="auto"/>
          <w:sz w:val="32"/>
          <w:szCs w:val="32"/>
          <w:rtl/>
          <w:lang w:eastAsia="en-US"/>
        </w:rPr>
        <w:t>، والإصابة</w:t>
      </w:r>
      <w:r>
        <w:rPr>
          <w:rFonts w:ascii="Traditional Arabic" w:hAnsi="Traditional Arabic" w:hint="cs"/>
          <w:noProof w:val="0"/>
          <w:color w:val="auto"/>
          <w:sz w:val="32"/>
          <w:szCs w:val="32"/>
          <w:rtl/>
          <w:lang w:eastAsia="en-US"/>
        </w:rPr>
        <w:t>(6/606)</w:t>
      </w:r>
      <w:r w:rsidRPr="001B7763">
        <w:rPr>
          <w:rFonts w:ascii="Traditional Arabic" w:hAnsi="Traditional Arabic"/>
          <w:noProof w:val="0"/>
          <w:color w:val="auto"/>
          <w:sz w:val="32"/>
          <w:szCs w:val="32"/>
          <w:rtl/>
          <w:lang w:eastAsia="en-US"/>
        </w:rPr>
        <w:t>.</w:t>
      </w:r>
      <w:r w:rsidRPr="001B7763">
        <w:rPr>
          <w:rFonts w:ascii="Traditional Arabic" w:hAnsi="Traditional Arabic"/>
          <w:sz w:val="32"/>
          <w:szCs w:val="32"/>
          <w:rtl/>
        </w:rPr>
        <w:tab/>
      </w:r>
    </w:p>
  </w:footnote>
  <w:footnote w:id="1809">
    <w:p w:rsidR="000D3D21" w:rsidRPr="001B7763" w:rsidRDefault="000D3D21" w:rsidP="0034747A">
      <w:pPr>
        <w:widowControl/>
        <w:autoSpaceDE w:val="0"/>
        <w:autoSpaceDN w:val="0"/>
        <w:adjustRightInd w:val="0"/>
        <w:ind w:left="423" w:hanging="425"/>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color w:val="auto"/>
          <w:sz w:val="32"/>
          <w:szCs w:val="32"/>
          <w:rtl/>
          <w:lang w:eastAsia="en-US"/>
        </w:rPr>
        <w:t xml:space="preserve"> </w:t>
      </w:r>
      <w:r w:rsidRPr="001B7763">
        <w:rPr>
          <w:rFonts w:ascii="Traditional Arabic" w:hAnsi="Traditional Arabic"/>
          <w:b/>
          <w:bCs/>
          <w:noProof w:val="0"/>
          <w:color w:val="auto"/>
          <w:sz w:val="32"/>
          <w:szCs w:val="32"/>
          <w:rtl/>
          <w:lang w:eastAsia="en-US"/>
        </w:rPr>
        <w:t>الوليدة</w:t>
      </w:r>
      <w:r w:rsidR="00AB0B9E">
        <w:rPr>
          <w:rFonts w:ascii="Traditional Arabic" w:hAnsi="Traditional Arabic"/>
          <w:b/>
          <w:bCs/>
          <w:noProof w:val="0"/>
          <w:color w:val="auto"/>
          <w:sz w:val="32"/>
          <w:szCs w:val="32"/>
          <w:rtl/>
          <w:lang w:eastAsia="en-US"/>
        </w:rPr>
        <w:fldChar w:fldCharType="begin"/>
      </w:r>
      <w:r>
        <w:instrText xml:space="preserve"> XE "</w:instrText>
      </w:r>
      <w:r w:rsidRPr="00F967A6">
        <w:rPr>
          <w:rFonts w:ascii="Traditional Arabic" w:hAnsi="Traditional Arabic"/>
          <w:noProof w:val="0"/>
          <w:color w:val="auto"/>
          <w:sz w:val="32"/>
          <w:szCs w:val="32"/>
          <w:rtl/>
          <w:lang w:eastAsia="en-US"/>
        </w:rPr>
        <w:instrText>الوليدة</w:instrText>
      </w:r>
      <w:r>
        <w:instrText xml:space="preserve">" </w:instrText>
      </w:r>
      <w:r w:rsidRPr="00F967A6">
        <w:instrText xml:space="preserve">\fm </w:instrText>
      </w:r>
      <w:r w:rsidR="00AB0B9E">
        <w:rPr>
          <w:rFonts w:ascii="Traditional Arabic" w:hAnsi="Traditional Arabic"/>
          <w:b/>
          <w:bCs/>
          <w:noProof w:val="0"/>
          <w:color w:val="auto"/>
          <w:sz w:val="32"/>
          <w:szCs w:val="32"/>
          <w:rtl/>
          <w:lang w:eastAsia="en-US"/>
        </w:rPr>
        <w:fldChar w:fldCharType="end"/>
      </w:r>
      <w:r w:rsidRPr="001B7763">
        <w:rPr>
          <w:rFonts w:ascii="Traditional Arabic" w:hAnsi="Traditional Arabic"/>
          <w:b/>
          <w:bCs/>
          <w:noProof w:val="0"/>
          <w:color w:val="auto"/>
          <w:sz w:val="32"/>
          <w:szCs w:val="32"/>
          <w:rtl/>
          <w:lang w:eastAsia="en-US"/>
        </w:rPr>
        <w:t>:</w:t>
      </w:r>
      <w:r>
        <w:rPr>
          <w:rFonts w:ascii="Traditional Arabic" w:hAnsi="Traditional Arabic" w:hint="cs"/>
          <w:noProof w:val="0"/>
          <w:color w:val="auto"/>
          <w:sz w:val="32"/>
          <w:szCs w:val="32"/>
          <w:rtl/>
          <w:lang w:eastAsia="en-US"/>
        </w:rPr>
        <w:t xml:space="preserve"> </w:t>
      </w:r>
      <w:r w:rsidRPr="001B7763">
        <w:rPr>
          <w:rFonts w:ascii="Traditional Arabic" w:hAnsi="Traditional Arabic"/>
          <w:noProof w:val="0"/>
          <w:color w:val="auto"/>
          <w:sz w:val="32"/>
          <w:szCs w:val="32"/>
          <w:rtl/>
          <w:lang w:eastAsia="en-US"/>
        </w:rPr>
        <w:t>جمعها ولائد، تطلق على الجارية والأمة وإن كا</w:t>
      </w:r>
      <w:r>
        <w:rPr>
          <w:rFonts w:ascii="Traditional Arabic" w:hAnsi="Traditional Arabic"/>
          <w:noProof w:val="0"/>
          <w:color w:val="auto"/>
          <w:sz w:val="32"/>
          <w:szCs w:val="32"/>
          <w:rtl/>
          <w:lang w:eastAsia="en-US"/>
        </w:rPr>
        <w:t>نت كبيرة.</w:t>
      </w:r>
      <w:r>
        <w:rPr>
          <w:rFonts w:ascii="Traditional Arabic" w:hAnsi="Traditional Arabic" w:hint="cs"/>
          <w:noProof w:val="0"/>
          <w:color w:val="auto"/>
          <w:sz w:val="32"/>
          <w:szCs w:val="32"/>
          <w:rtl/>
          <w:lang w:eastAsia="en-US"/>
        </w:rPr>
        <w:t xml:space="preserve"> </w:t>
      </w:r>
      <w:r>
        <w:rPr>
          <w:rFonts w:ascii="Traditional Arabic" w:hAnsi="Traditional Arabic"/>
          <w:noProof w:val="0"/>
          <w:color w:val="auto"/>
          <w:sz w:val="32"/>
          <w:szCs w:val="32"/>
          <w:rtl/>
          <w:lang w:eastAsia="en-US"/>
        </w:rPr>
        <w:t>النهاية في غريب الحدي</w:t>
      </w:r>
      <w:r>
        <w:rPr>
          <w:rFonts w:ascii="Traditional Arabic" w:hAnsi="Traditional Arabic" w:hint="cs"/>
          <w:noProof w:val="0"/>
          <w:color w:val="auto"/>
          <w:sz w:val="32"/>
          <w:szCs w:val="32"/>
          <w:rtl/>
          <w:lang w:eastAsia="en-US"/>
        </w:rPr>
        <w:t xml:space="preserve">ث  </w:t>
      </w:r>
      <w:r w:rsidRPr="001B7763">
        <w:rPr>
          <w:rFonts w:ascii="Traditional Arabic" w:hAnsi="Traditional Arabic"/>
          <w:noProof w:val="0"/>
          <w:color w:val="auto"/>
          <w:sz w:val="32"/>
          <w:szCs w:val="32"/>
          <w:rtl/>
          <w:lang w:eastAsia="en-US"/>
        </w:rPr>
        <w:t>والأثر</w:t>
      </w:r>
      <w:r>
        <w:rPr>
          <w:rFonts w:ascii="Traditional Arabic" w:hAnsi="Traditional Arabic" w:hint="cs"/>
          <w:noProof w:val="0"/>
          <w:color w:val="auto"/>
          <w:sz w:val="32"/>
          <w:szCs w:val="32"/>
          <w:rtl/>
          <w:lang w:eastAsia="en-US"/>
        </w:rPr>
        <w:t xml:space="preserve"> </w:t>
      </w:r>
      <w:r w:rsidRPr="001B7763">
        <w:rPr>
          <w:rFonts w:ascii="Traditional Arabic" w:hAnsi="Traditional Arabic"/>
          <w:noProof w:val="0"/>
          <w:color w:val="auto"/>
          <w:sz w:val="32"/>
          <w:szCs w:val="32"/>
          <w:rtl/>
          <w:lang w:eastAsia="en-US"/>
        </w:rPr>
        <w:t>(5/225)</w:t>
      </w:r>
      <w:r>
        <w:rPr>
          <w:rFonts w:ascii="Traditional Arabic" w:hAnsi="Traditional Arabic" w:hint="cs"/>
          <w:noProof w:val="0"/>
          <w:color w:val="auto"/>
          <w:sz w:val="32"/>
          <w:szCs w:val="32"/>
          <w:rtl/>
          <w:lang w:eastAsia="en-US"/>
        </w:rPr>
        <w:t xml:space="preserve"> </w:t>
      </w:r>
      <w:r w:rsidRPr="001B7763">
        <w:rPr>
          <w:rFonts w:ascii="Traditional Arabic" w:hAnsi="Traditional Arabic"/>
          <w:noProof w:val="0"/>
          <w:color w:val="auto"/>
          <w:sz w:val="32"/>
          <w:szCs w:val="32"/>
          <w:rtl/>
          <w:lang w:eastAsia="en-US"/>
        </w:rPr>
        <w:t xml:space="preserve">بتصرف. </w:t>
      </w:r>
    </w:p>
  </w:footnote>
  <w:footnote w:id="1810">
    <w:p w:rsidR="000D3D21" w:rsidRPr="001B7763" w:rsidRDefault="000D3D21" w:rsidP="00F967A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sz w:val="32"/>
          <w:szCs w:val="32"/>
          <w:rtl/>
          <w:lang w:eastAsia="en-US"/>
        </w:rPr>
        <w:t xml:space="preserve"> </w:t>
      </w:r>
      <w:r w:rsidRPr="001B7763">
        <w:rPr>
          <w:rFonts w:ascii="Traditional Arabic" w:hAnsi="Traditional Arabic"/>
          <w:b/>
          <w:bCs/>
          <w:noProof w:val="0"/>
          <w:sz w:val="32"/>
          <w:szCs w:val="32"/>
          <w:rtl/>
          <w:lang w:eastAsia="en-US"/>
        </w:rPr>
        <w:t>العاهر</w:t>
      </w:r>
      <w:r w:rsidR="00AB0B9E">
        <w:rPr>
          <w:rFonts w:ascii="Traditional Arabic" w:hAnsi="Traditional Arabic"/>
          <w:b/>
          <w:bCs/>
          <w:noProof w:val="0"/>
          <w:sz w:val="32"/>
          <w:szCs w:val="32"/>
          <w:rtl/>
          <w:lang w:eastAsia="en-US"/>
        </w:rPr>
        <w:fldChar w:fldCharType="begin"/>
      </w:r>
      <w:r>
        <w:instrText xml:space="preserve"> XE "</w:instrText>
      </w:r>
      <w:r w:rsidRPr="00F967A6">
        <w:rPr>
          <w:rFonts w:ascii="Traditional Arabic" w:hAnsi="Traditional Arabic"/>
          <w:noProof w:val="0"/>
          <w:sz w:val="32"/>
          <w:szCs w:val="32"/>
          <w:rtl/>
          <w:lang w:eastAsia="en-US"/>
        </w:rPr>
        <w:instrText>العاهر</w:instrText>
      </w:r>
      <w:r>
        <w:instrText xml:space="preserve">" </w:instrText>
      </w:r>
      <w:r w:rsidRPr="00F967A6">
        <w:instrText xml:space="preserve">\fm </w:instrText>
      </w:r>
      <w:r w:rsidR="00AB0B9E">
        <w:rPr>
          <w:rFonts w:ascii="Traditional Arabic" w:hAnsi="Traditional Arabic"/>
          <w:b/>
          <w:bCs/>
          <w:noProof w:val="0"/>
          <w:sz w:val="32"/>
          <w:szCs w:val="32"/>
          <w:rtl/>
          <w:lang w:eastAsia="en-US"/>
        </w:rPr>
        <w:fldChar w:fldCharType="end"/>
      </w:r>
      <w:r w:rsidRPr="001B7763">
        <w:rPr>
          <w:rFonts w:ascii="Traditional Arabic" w:hAnsi="Traditional Arabic"/>
          <w:b/>
          <w:bCs/>
          <w:noProof w:val="0"/>
          <w:sz w:val="32"/>
          <w:szCs w:val="32"/>
          <w:rtl/>
          <w:lang w:eastAsia="en-US"/>
        </w:rPr>
        <w:t xml:space="preserve">: </w:t>
      </w:r>
      <w:r w:rsidRPr="001B7763">
        <w:rPr>
          <w:rFonts w:ascii="Traditional Arabic" w:hAnsi="Traditional Arabic"/>
          <w:noProof w:val="0"/>
          <w:sz w:val="32"/>
          <w:szCs w:val="32"/>
          <w:rtl/>
          <w:lang w:eastAsia="en-US"/>
        </w:rPr>
        <w:t>الزَّاني، يقال: قد عَهَر يَعْهَر عَهْراً وعُهوراً</w:t>
      </w:r>
      <w:r>
        <w:rPr>
          <w:rFonts w:ascii="Traditional Arabic" w:hAnsi="Traditional Arabic" w:hint="cs"/>
          <w:noProof w:val="0"/>
          <w:sz w:val="32"/>
          <w:szCs w:val="32"/>
          <w:rtl/>
          <w:lang w:eastAsia="en-US"/>
        </w:rPr>
        <w:t>،</w:t>
      </w:r>
      <w:r w:rsidRPr="001B7763">
        <w:rPr>
          <w:rFonts w:ascii="Traditional Arabic" w:hAnsi="Traditional Arabic"/>
          <w:noProof w:val="0"/>
          <w:sz w:val="32"/>
          <w:szCs w:val="32"/>
          <w:rtl/>
          <w:lang w:eastAsia="en-US"/>
        </w:rPr>
        <w:t xml:space="preserve"> إذا أتى المرأةَ ليلاً للفُجور بها، ثم غَلَب على الزّنا مُطْلقا. النهاية في غريب الحديث والأثر (3/326)</w:t>
      </w:r>
      <w:r>
        <w:rPr>
          <w:rFonts w:ascii="Traditional Arabic" w:hAnsi="Traditional Arabic" w:hint="cs"/>
          <w:noProof w:val="0"/>
          <w:sz w:val="32"/>
          <w:szCs w:val="32"/>
          <w:rtl/>
          <w:lang w:eastAsia="en-US"/>
        </w:rPr>
        <w:t xml:space="preserve"> </w:t>
      </w:r>
      <w:r w:rsidRPr="001B7763">
        <w:rPr>
          <w:rFonts w:ascii="Traditional Arabic" w:hAnsi="Traditional Arabic"/>
          <w:noProof w:val="0"/>
          <w:sz w:val="32"/>
          <w:szCs w:val="32"/>
          <w:rtl/>
          <w:lang w:eastAsia="en-US"/>
        </w:rPr>
        <w:t>بتصرف.</w:t>
      </w:r>
    </w:p>
  </w:footnote>
  <w:footnote w:id="1811">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color w:val="auto"/>
          <w:sz w:val="32"/>
          <w:szCs w:val="32"/>
          <w:rtl/>
          <w:lang w:eastAsia="en-US"/>
        </w:rPr>
        <w:t xml:space="preserve"> </w:t>
      </w:r>
      <w:r w:rsidRPr="001B7763">
        <w:rPr>
          <w:rFonts w:ascii="Traditional Arabic" w:hAnsi="Traditional Arabic"/>
          <w:noProof w:val="0"/>
          <w:color w:val="auto"/>
          <w:sz w:val="32"/>
          <w:szCs w:val="32"/>
          <w:rtl/>
          <w:lang w:eastAsia="en-US"/>
        </w:rPr>
        <w:t>يعني أنّ الولد لِصاحب الفراش من الزّوْج أو السَّيد، وللِزاني الخَيْبة والحِرْمان.</w:t>
      </w:r>
      <w:r>
        <w:rPr>
          <w:rFonts w:ascii="Traditional Arabic" w:hAnsi="Traditional Arabic" w:hint="cs"/>
          <w:noProof w:val="0"/>
          <w:color w:val="auto"/>
          <w:sz w:val="32"/>
          <w:szCs w:val="32"/>
          <w:rtl/>
          <w:lang w:eastAsia="en-US"/>
        </w:rPr>
        <w:t xml:space="preserve"> </w:t>
      </w:r>
      <w:r w:rsidRPr="001B7763">
        <w:rPr>
          <w:rFonts w:ascii="Traditional Arabic" w:hAnsi="Traditional Arabic"/>
          <w:noProof w:val="0"/>
          <w:color w:val="auto"/>
          <w:sz w:val="32"/>
          <w:szCs w:val="32"/>
          <w:rtl/>
          <w:lang w:eastAsia="en-US"/>
        </w:rPr>
        <w:t>النهاية في غريب الحديث والأثر (1/343).</w:t>
      </w:r>
    </w:p>
  </w:footnote>
  <w:footnote w:id="1812">
    <w:p w:rsidR="000D3D21" w:rsidRPr="001B776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color w:val="auto"/>
          <w:sz w:val="32"/>
          <w:szCs w:val="32"/>
          <w:rtl/>
          <w:lang w:eastAsia="en-US"/>
        </w:rPr>
        <w:t xml:space="preserve"> </w:t>
      </w:r>
      <w:r w:rsidRPr="001B7763">
        <w:rPr>
          <w:rFonts w:ascii="Traditional Arabic" w:hAnsi="Traditional Arabic"/>
          <w:noProof w:val="0"/>
          <w:color w:val="auto"/>
          <w:sz w:val="32"/>
          <w:szCs w:val="32"/>
          <w:rtl/>
          <w:lang w:eastAsia="en-US"/>
        </w:rPr>
        <w:t>سودة بنت زمعة</w:t>
      </w:r>
      <w:r w:rsidR="00AB0B9E">
        <w:rPr>
          <w:rFonts w:ascii="Traditional Arabic" w:hAnsi="Traditional Arabic"/>
          <w:noProof w:val="0"/>
          <w:color w:val="auto"/>
          <w:sz w:val="32"/>
          <w:szCs w:val="32"/>
          <w:rtl/>
          <w:lang w:eastAsia="en-US"/>
        </w:rPr>
        <w:fldChar w:fldCharType="begin"/>
      </w:r>
      <w:r>
        <w:rPr>
          <w:rFonts w:ascii="Traditional Arabic" w:hAnsi="Traditional Arabic"/>
          <w:noProof w:val="0"/>
          <w:color w:val="auto"/>
          <w:sz w:val="32"/>
          <w:szCs w:val="32"/>
          <w:lang w:eastAsia="en-US"/>
        </w:rPr>
        <w:instrText>XE "</w:instrText>
      </w:r>
      <w:r w:rsidRPr="0041304C">
        <w:rPr>
          <w:rFonts w:ascii="Traditional Arabic" w:hAnsi="Traditional Arabic"/>
          <w:noProof w:val="0"/>
          <w:color w:val="auto"/>
          <w:rtl/>
          <w:lang w:eastAsia="en-US"/>
        </w:rPr>
        <w:instrText>سودة بنت زمعة</w:instrText>
      </w:r>
      <w:r>
        <w:instrText>"\fa"</w:instrText>
      </w:r>
      <w:r w:rsidR="00AB0B9E">
        <w:rPr>
          <w:rFonts w:ascii="Traditional Arabic" w:hAnsi="Traditional Arabic"/>
          <w:noProof w:val="0"/>
          <w:color w:val="auto"/>
          <w:sz w:val="32"/>
          <w:szCs w:val="32"/>
          <w:rtl/>
          <w:lang w:eastAsia="en-US"/>
        </w:rPr>
        <w:fldChar w:fldCharType="end"/>
      </w:r>
      <w:r w:rsidRPr="001B7763">
        <w:rPr>
          <w:rFonts w:ascii="Traditional Arabic" w:hAnsi="Traditional Arabic"/>
          <w:noProof w:val="0"/>
          <w:color w:val="auto"/>
          <w:sz w:val="32"/>
          <w:szCs w:val="32"/>
          <w:rtl/>
          <w:lang w:eastAsia="en-US"/>
        </w:rPr>
        <w:t xml:space="preserve"> بن قيس بن عبد شمس بن لؤى القرشية العامرية أم المؤمنين،</w:t>
      </w:r>
      <w:r w:rsidRPr="001B7763">
        <w:rPr>
          <w:rFonts w:ascii="Traditional Arabic" w:hAnsi="Traditional Arabic"/>
          <w:noProof w:val="0"/>
          <w:sz w:val="32"/>
          <w:szCs w:val="32"/>
          <w:rtl/>
          <w:lang w:eastAsia="en-US"/>
        </w:rPr>
        <w:t xml:space="preserve"> قيل: كُنيتها أم الأسود، تزوجها ابن عمها السكران بن عمرو وهاجرت معه إلى الحبشة في الهجرة الثانية، </w:t>
      </w:r>
      <w:r>
        <w:rPr>
          <w:rFonts w:ascii="Traditional Arabic" w:hAnsi="Traditional Arabic" w:hint="cs"/>
          <w:noProof w:val="0"/>
          <w:sz w:val="32"/>
          <w:szCs w:val="32"/>
          <w:rtl/>
          <w:lang w:eastAsia="en-US"/>
        </w:rPr>
        <w:t xml:space="preserve">فلما </w:t>
      </w:r>
      <w:r>
        <w:rPr>
          <w:rFonts w:ascii="Traditional Arabic" w:hAnsi="Traditional Arabic"/>
          <w:noProof w:val="0"/>
          <w:sz w:val="32"/>
          <w:szCs w:val="32"/>
          <w:rtl/>
          <w:lang w:eastAsia="en-US"/>
        </w:rPr>
        <w:t xml:space="preserve">توفي عنها زوجها </w:t>
      </w:r>
      <w:r w:rsidRPr="001B7763">
        <w:rPr>
          <w:rFonts w:ascii="Traditional Arabic" w:hAnsi="Traditional Arabic"/>
          <w:noProof w:val="0"/>
          <w:sz w:val="32"/>
          <w:szCs w:val="32"/>
          <w:rtl/>
          <w:lang w:eastAsia="en-US"/>
        </w:rPr>
        <w:t xml:space="preserve">تزوجها رسول الله </w:t>
      </w:r>
      <w:r>
        <w:rPr>
          <w:rFonts w:ascii="Traditional Arabic" w:hAnsi="Traditional Arabic" w:cs="CTraditional Arabic" w:hint="cs"/>
          <w:noProof w:val="0"/>
          <w:color w:val="auto"/>
          <w:rtl/>
          <w:lang w:eastAsia="en-US"/>
        </w:rPr>
        <w:t>غ</w:t>
      </w:r>
      <w:r w:rsidRPr="001B7763">
        <w:rPr>
          <w:rFonts w:ascii="Traditional Arabic" w:hAnsi="Traditional Arabic"/>
          <w:noProof w:val="0"/>
          <w:sz w:val="32"/>
          <w:szCs w:val="32"/>
          <w:rtl/>
          <w:lang w:eastAsia="en-US"/>
        </w:rPr>
        <w:t xml:space="preserve"> وكانت أول امرأة تزوجها بعد خديجة</w:t>
      </w:r>
      <w:r w:rsidRPr="001B7763">
        <w:rPr>
          <w:rFonts w:ascii="Traditional Arabic" w:hAnsi="Traditional Arabic"/>
          <w:sz w:val="32"/>
          <w:szCs w:val="32"/>
          <w:rtl/>
        </w:rPr>
        <w:t xml:space="preserve">، </w:t>
      </w:r>
      <w:r w:rsidRPr="001B7763">
        <w:rPr>
          <w:rFonts w:ascii="Traditional Arabic" w:hAnsi="Traditional Arabic"/>
          <w:noProof w:val="0"/>
          <w:sz w:val="32"/>
          <w:szCs w:val="32"/>
          <w:rtl/>
          <w:lang w:eastAsia="en-US"/>
        </w:rPr>
        <w:t xml:space="preserve">خشيت أن يطلقها رسول الله </w:t>
      </w:r>
      <w:r>
        <w:rPr>
          <w:rFonts w:ascii="Traditional Arabic" w:hAnsi="Traditional Arabic" w:cs="CTraditional Arabic" w:hint="cs"/>
          <w:noProof w:val="0"/>
          <w:color w:val="auto"/>
          <w:rtl/>
          <w:lang w:eastAsia="en-US"/>
        </w:rPr>
        <w:t>غ</w:t>
      </w:r>
      <w:r w:rsidRPr="001B7763">
        <w:rPr>
          <w:rFonts w:ascii="Traditional Arabic" w:hAnsi="Traditional Arabic"/>
          <w:noProof w:val="0"/>
          <w:sz w:val="32"/>
          <w:szCs w:val="32"/>
          <w:rtl/>
          <w:lang w:eastAsia="en-US"/>
        </w:rPr>
        <w:t xml:space="preserve"> فقالت:لا تطلقني وأمسكني واجعل يومي لعائشة، فأمسكها رسول الله </w:t>
      </w:r>
      <w:r>
        <w:rPr>
          <w:rFonts w:ascii="Traditional Arabic" w:hAnsi="Traditional Arabic" w:cs="CTraditional Arabic" w:hint="cs"/>
          <w:noProof w:val="0"/>
          <w:color w:val="auto"/>
          <w:rtl/>
          <w:lang w:eastAsia="en-US"/>
        </w:rPr>
        <w:t>غ</w:t>
      </w:r>
      <w:r w:rsidRPr="001B7763">
        <w:rPr>
          <w:rFonts w:ascii="Traditional Arabic" w:hAnsi="Traditional Arabic"/>
          <w:noProof w:val="0"/>
          <w:sz w:val="32"/>
          <w:szCs w:val="32"/>
          <w:rtl/>
          <w:lang w:eastAsia="en-US"/>
        </w:rPr>
        <w:t xml:space="preserve"> حتى توفي عنها، روى عنها ابن عباس ويحيى بن عبد الرحمن بن أسعد بن زرارة، توفيت في آخر زمان عمر بن الخطاب، ويقال: ماتت سنة أربع وخمسين</w:t>
      </w:r>
      <w:r w:rsidRPr="001B7763">
        <w:rPr>
          <w:rFonts w:ascii="Traditional Arabic" w:hAnsi="Traditional Arabic"/>
          <w:sz w:val="32"/>
          <w:szCs w:val="32"/>
          <w:rtl/>
        </w:rPr>
        <w:t xml:space="preserve">.انظر: الاستيعاب </w:t>
      </w:r>
      <w:r>
        <w:rPr>
          <w:rFonts w:ascii="Traditional Arabic" w:hAnsi="Traditional Arabic" w:hint="cs"/>
          <w:sz w:val="32"/>
          <w:szCs w:val="32"/>
          <w:rtl/>
        </w:rPr>
        <w:t>(4/1867)</w:t>
      </w:r>
      <w:r w:rsidRPr="001B7763">
        <w:rPr>
          <w:rFonts w:ascii="Traditional Arabic" w:hAnsi="Traditional Arabic"/>
          <w:sz w:val="32"/>
          <w:szCs w:val="32"/>
          <w:rtl/>
        </w:rPr>
        <w:t xml:space="preserve">، وأسد الغابة </w:t>
      </w:r>
      <w:r>
        <w:rPr>
          <w:rFonts w:ascii="Traditional Arabic" w:hAnsi="Traditional Arabic" w:hint="cs"/>
          <w:sz w:val="32"/>
          <w:szCs w:val="32"/>
          <w:rtl/>
        </w:rPr>
        <w:t>(6/157)</w:t>
      </w:r>
      <w:r w:rsidRPr="001B7763">
        <w:rPr>
          <w:rFonts w:ascii="Traditional Arabic" w:hAnsi="Traditional Arabic"/>
          <w:sz w:val="32"/>
          <w:szCs w:val="32"/>
          <w:rtl/>
        </w:rPr>
        <w:t xml:space="preserve">، وتهذيب الأسماء واللغات </w:t>
      </w:r>
      <w:r>
        <w:rPr>
          <w:rFonts w:ascii="Traditional Arabic" w:hAnsi="Traditional Arabic" w:hint="cs"/>
          <w:sz w:val="32"/>
          <w:szCs w:val="32"/>
          <w:rtl/>
        </w:rPr>
        <w:t>(2/342)</w:t>
      </w:r>
      <w:r w:rsidRPr="001B7763">
        <w:rPr>
          <w:rFonts w:ascii="Traditional Arabic" w:hAnsi="Traditional Arabic"/>
          <w:sz w:val="32"/>
          <w:szCs w:val="32"/>
          <w:rtl/>
        </w:rPr>
        <w:t xml:space="preserve">، والإصابة </w:t>
      </w:r>
      <w:r>
        <w:rPr>
          <w:rFonts w:ascii="Traditional Arabic" w:hAnsi="Traditional Arabic" w:hint="cs"/>
          <w:sz w:val="32"/>
          <w:szCs w:val="32"/>
          <w:rtl/>
        </w:rPr>
        <w:t>(13/505)</w:t>
      </w:r>
      <w:r w:rsidRPr="001B7763">
        <w:rPr>
          <w:rFonts w:ascii="Traditional Arabic" w:hAnsi="Traditional Arabic"/>
          <w:sz w:val="32"/>
          <w:szCs w:val="32"/>
          <w:rtl/>
        </w:rPr>
        <w:t>.</w:t>
      </w:r>
    </w:p>
  </w:footnote>
  <w:footnote w:id="1813">
    <w:p w:rsidR="000D3D21" w:rsidRPr="008F4335"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B7763">
        <w:rPr>
          <w:rFonts w:ascii="Traditional Arabic" w:hAnsi="Traditional Arabic"/>
          <w:sz w:val="32"/>
          <w:szCs w:val="32"/>
          <w:rtl/>
        </w:rPr>
        <w:t>أخرجه البخاري في كتاب البيوع، باب شراء المملوك من الحربي وهبته وعتقه، رقم الحديث (2218)، ومسلم في كتاب الرضاع، باب الولد للفراش، وتوقي الشبهات، رقم الحديث (1457).</w:t>
      </w:r>
    </w:p>
  </w:footnote>
  <w:footnote w:id="1814">
    <w:p w:rsidR="000D3D21" w:rsidRPr="00DC28F7" w:rsidRDefault="000D3D21" w:rsidP="00F101F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F4335">
        <w:rPr>
          <w:rFonts w:ascii="Traditional Arabic" w:hAnsi="Traditional Arabic"/>
          <w:sz w:val="32"/>
          <w:szCs w:val="32"/>
          <w:rtl/>
        </w:rPr>
        <w:t>الإعلام بفوائد عمدة الأحكام (8/478).وانظر إعلام الموقعين (6/475</w:t>
      </w:r>
      <w:r>
        <w:rPr>
          <w:rFonts w:ascii="Traditional Arabic" w:hAnsi="Traditional Arabic"/>
          <w:sz w:val="32"/>
          <w:szCs w:val="32"/>
          <w:rtl/>
        </w:rPr>
        <w:t>)</w:t>
      </w:r>
      <w:r>
        <w:rPr>
          <w:rFonts w:ascii="Traditional Arabic" w:hAnsi="Traditional Arabic" w:hint="cs"/>
          <w:sz w:val="32"/>
          <w:szCs w:val="32"/>
          <w:rtl/>
        </w:rPr>
        <w:t>، وتهذيب السنن (2/980).</w:t>
      </w:r>
    </w:p>
  </w:footnote>
  <w:footnote w:id="1815">
    <w:p w:rsidR="000D3D21" w:rsidRPr="00CB6A5F"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B6A5F">
        <w:rPr>
          <w:rFonts w:ascii="Traditional Arabic" w:hAnsi="Traditional Arabic"/>
          <w:sz w:val="32"/>
          <w:szCs w:val="32"/>
          <w:rtl/>
        </w:rPr>
        <w:t>إعلام الموقعين (6/475).</w:t>
      </w:r>
    </w:p>
  </w:footnote>
  <w:footnote w:id="1816">
    <w:p w:rsidR="000D3D21" w:rsidRPr="00DF6926"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F6926">
        <w:rPr>
          <w:rFonts w:ascii="Traditional Arabic" w:hAnsi="Traditional Arabic"/>
          <w:sz w:val="32"/>
          <w:szCs w:val="32"/>
          <w:rtl/>
        </w:rPr>
        <w:t>انظر الشرح الممتع (10/132، 133،-134).</w:t>
      </w:r>
    </w:p>
  </w:footnote>
  <w:footnote w:id="1817">
    <w:p w:rsidR="000D3D21" w:rsidRPr="001713C9"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713C9">
        <w:rPr>
          <w:rFonts w:ascii="Traditional Arabic" w:hAnsi="Traditional Arabic"/>
          <w:sz w:val="32"/>
          <w:szCs w:val="32"/>
          <w:rtl/>
        </w:rPr>
        <w:t>انظر المرجع السابق (10/133، 134).</w:t>
      </w:r>
    </w:p>
  </w:footnote>
  <w:footnote w:id="1818">
    <w:p w:rsidR="000D3D21" w:rsidRPr="00CD3A2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3A23">
        <w:rPr>
          <w:rFonts w:ascii="Traditional Arabic" w:hAnsi="Traditional Arabic"/>
          <w:sz w:val="32"/>
          <w:szCs w:val="32"/>
          <w:rtl/>
        </w:rPr>
        <w:t>انظر المرجع السابق (10/280-281).</w:t>
      </w:r>
    </w:p>
  </w:footnote>
  <w:footnote w:id="1819">
    <w:p w:rsidR="000D3D21" w:rsidRPr="00CD3A2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3A23">
        <w:rPr>
          <w:rFonts w:ascii="Traditional Arabic" w:hAnsi="Traditional Arabic"/>
          <w:sz w:val="32"/>
          <w:szCs w:val="32"/>
          <w:rtl/>
        </w:rPr>
        <w:t>الشرح الممتع (10/281)</w:t>
      </w:r>
      <w:r>
        <w:rPr>
          <w:rFonts w:ascii="Traditional Arabic" w:hAnsi="Traditional Arabic" w:hint="cs"/>
          <w:sz w:val="32"/>
          <w:szCs w:val="32"/>
          <w:rtl/>
        </w:rPr>
        <w:t xml:space="preserve"> </w:t>
      </w:r>
      <w:r w:rsidRPr="00CD3A23">
        <w:rPr>
          <w:rFonts w:ascii="Traditional Arabic" w:hAnsi="Traditional Arabic"/>
          <w:sz w:val="32"/>
          <w:szCs w:val="32"/>
          <w:rtl/>
        </w:rPr>
        <w:t>بتصرف.</w:t>
      </w:r>
    </w:p>
  </w:footnote>
  <w:footnote w:id="1820">
    <w:p w:rsidR="000D3D21" w:rsidRPr="00CD3A2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3A23">
        <w:rPr>
          <w:rFonts w:ascii="Traditional Arabic" w:hAnsi="Traditional Arabic"/>
          <w:sz w:val="32"/>
          <w:szCs w:val="32"/>
          <w:rtl/>
        </w:rPr>
        <w:t xml:space="preserve">قال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CD3A23">
        <w:rPr>
          <w:rFonts w:ascii="Traditional Arabic" w:hAnsi="Traditional Arabic"/>
          <w:sz w:val="32"/>
          <w:szCs w:val="32"/>
          <w:rtl/>
        </w:rPr>
        <w:t xml:space="preserve"> فيما يتعلق بكيفية تقسيط الثمن: (</w:t>
      </w:r>
      <w:r w:rsidRPr="00CD3A23">
        <w:rPr>
          <w:rFonts w:ascii="Traditional Arabic" w:hAnsi="Traditional Arabic"/>
          <w:noProof w:val="0"/>
          <w:sz w:val="32"/>
          <w:szCs w:val="32"/>
          <w:rtl/>
          <w:lang w:eastAsia="en-US"/>
        </w:rPr>
        <w:t>نقدِّر كم قيمة الموجودة بين أيدينا، فإذا كانت: قيمتها عشرة، وقيمة الأخرى خمسة، نوزعِّ الثمن أثلاثاً، ثُلثاه للحاضرة، وثلثه للغائبة، فصار يقسَّط الثمن على المعلوم الحاضر وعلى المجهول الغائب، ويؤخذ ثمن المعلوم الحاضر وذاك يسقط؛ لأنه لم يصح فيه البيع).</w:t>
      </w:r>
      <w:r>
        <w:rPr>
          <w:rFonts w:ascii="Traditional Arabic" w:hAnsi="Traditional Arabic" w:hint="cs"/>
          <w:noProof w:val="0"/>
          <w:sz w:val="32"/>
          <w:szCs w:val="32"/>
          <w:rtl/>
          <w:lang w:eastAsia="en-US"/>
        </w:rPr>
        <w:t xml:space="preserve"> </w:t>
      </w:r>
      <w:r w:rsidRPr="00CD3A23">
        <w:rPr>
          <w:rFonts w:ascii="Traditional Arabic" w:hAnsi="Traditional Arabic"/>
          <w:noProof w:val="0"/>
          <w:sz w:val="32"/>
          <w:szCs w:val="32"/>
          <w:rtl/>
          <w:lang w:eastAsia="en-US"/>
        </w:rPr>
        <w:t>الشرح الممتع (8/179).</w:t>
      </w:r>
    </w:p>
  </w:footnote>
  <w:footnote w:id="1821">
    <w:p w:rsidR="000D3D21" w:rsidRPr="00CD3A23"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المرجع السابق (8/178، 179)</w:t>
      </w:r>
      <w:r>
        <w:rPr>
          <w:rFonts w:ascii="Traditional Arabic" w:hAnsi="Traditional Arabic" w:hint="cs"/>
          <w:sz w:val="32"/>
          <w:szCs w:val="32"/>
          <w:rtl/>
        </w:rPr>
        <w:t>.</w:t>
      </w:r>
    </w:p>
  </w:footnote>
  <w:footnote w:id="1822">
    <w:p w:rsidR="000D3D21" w:rsidRPr="00CD3A23" w:rsidRDefault="000D3D21" w:rsidP="00F101F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3A23">
        <w:rPr>
          <w:rFonts w:ascii="Traditional Arabic" w:hAnsi="Traditional Arabic"/>
          <w:sz w:val="32"/>
          <w:szCs w:val="32"/>
          <w:rtl/>
        </w:rPr>
        <w:t>انظر المرجع السابق (8/180)</w:t>
      </w:r>
      <w:r>
        <w:rPr>
          <w:rFonts w:ascii="Traditional Arabic" w:hAnsi="Traditional Arabic" w:hint="cs"/>
          <w:sz w:val="32"/>
          <w:szCs w:val="32"/>
          <w:rtl/>
        </w:rPr>
        <w:t>.</w:t>
      </w:r>
    </w:p>
  </w:footnote>
  <w:footnote w:id="1823">
    <w:p w:rsidR="000D3D21" w:rsidRPr="00B92B39" w:rsidRDefault="000D3D21" w:rsidP="00F22B8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92B39">
        <w:rPr>
          <w:rFonts w:ascii="Traditional Arabic" w:hAnsi="Traditional Arabic"/>
          <w:sz w:val="32"/>
          <w:szCs w:val="32"/>
          <w:rtl/>
        </w:rPr>
        <w:t>اخترت هذه الصيغة لاختصارها وعمومها؛ إذ ت</w:t>
      </w:r>
      <w:r>
        <w:rPr>
          <w:rFonts w:ascii="Traditional Arabic" w:hAnsi="Traditional Arabic"/>
          <w:sz w:val="32"/>
          <w:szCs w:val="32"/>
          <w:rtl/>
        </w:rPr>
        <w:t>شمل جميع أنواع الاحتياط، وإن ك</w:t>
      </w:r>
      <w:r>
        <w:rPr>
          <w:rFonts w:ascii="Traditional Arabic" w:hAnsi="Traditional Arabic" w:hint="cs"/>
          <w:sz w:val="32"/>
          <w:szCs w:val="32"/>
          <w:rtl/>
        </w:rPr>
        <w:t>ان</w:t>
      </w:r>
      <w:r>
        <w:rPr>
          <w:rFonts w:ascii="Traditional Arabic" w:hAnsi="Traditional Arabic"/>
          <w:sz w:val="32"/>
          <w:szCs w:val="32"/>
          <w:rtl/>
        </w:rPr>
        <w:t xml:space="preserve"> علماء القواعد المتقدم</w:t>
      </w:r>
      <w:r>
        <w:rPr>
          <w:rFonts w:ascii="Traditional Arabic" w:hAnsi="Traditional Arabic" w:hint="cs"/>
          <w:sz w:val="32"/>
          <w:szCs w:val="32"/>
          <w:rtl/>
        </w:rPr>
        <w:t>و</w:t>
      </w:r>
      <w:r w:rsidRPr="00B92B39">
        <w:rPr>
          <w:rFonts w:ascii="Traditional Arabic" w:hAnsi="Traditional Arabic"/>
          <w:sz w:val="32"/>
          <w:szCs w:val="32"/>
          <w:rtl/>
        </w:rPr>
        <w:t>ن</w:t>
      </w:r>
      <w:r>
        <w:rPr>
          <w:rFonts w:ascii="Traditional Arabic" w:hAnsi="Traditional Arabic" w:hint="cs"/>
          <w:sz w:val="32"/>
          <w:szCs w:val="32"/>
          <w:rtl/>
        </w:rPr>
        <w:t>-فيما اطلعت عليه-</w:t>
      </w:r>
      <w:r w:rsidRPr="00B92B39">
        <w:rPr>
          <w:rFonts w:ascii="Traditional Arabic" w:hAnsi="Traditional Arabic"/>
          <w:sz w:val="32"/>
          <w:szCs w:val="32"/>
          <w:rtl/>
        </w:rPr>
        <w:t xml:space="preserve"> </w:t>
      </w:r>
      <w:r>
        <w:rPr>
          <w:rFonts w:ascii="Traditional Arabic" w:hAnsi="Traditional Arabic" w:hint="cs"/>
          <w:sz w:val="32"/>
          <w:szCs w:val="32"/>
          <w:rtl/>
        </w:rPr>
        <w:t>لم</w:t>
      </w:r>
      <w:r w:rsidRPr="00B92B39">
        <w:rPr>
          <w:rFonts w:ascii="Traditional Arabic" w:hAnsi="Traditional Arabic"/>
          <w:sz w:val="32"/>
          <w:szCs w:val="32"/>
          <w:rtl/>
        </w:rPr>
        <w:t xml:space="preserve"> </w:t>
      </w:r>
      <w:r>
        <w:rPr>
          <w:rFonts w:ascii="Traditional Arabic" w:hAnsi="Traditional Arabic" w:hint="cs"/>
          <w:sz w:val="32"/>
          <w:szCs w:val="32"/>
          <w:rtl/>
        </w:rPr>
        <w:t>ي</w:t>
      </w:r>
      <w:r w:rsidRPr="00B92B39">
        <w:rPr>
          <w:rFonts w:ascii="Traditional Arabic" w:hAnsi="Traditional Arabic"/>
          <w:sz w:val="32"/>
          <w:szCs w:val="32"/>
          <w:rtl/>
        </w:rPr>
        <w:t>ذكر</w:t>
      </w:r>
      <w:r>
        <w:rPr>
          <w:rFonts w:ascii="Traditional Arabic" w:hAnsi="Traditional Arabic" w:hint="cs"/>
          <w:sz w:val="32"/>
          <w:szCs w:val="32"/>
          <w:rtl/>
        </w:rPr>
        <w:t>و</w:t>
      </w:r>
      <w:r w:rsidRPr="00B92B39">
        <w:rPr>
          <w:rFonts w:ascii="Traditional Arabic" w:hAnsi="Traditional Arabic"/>
          <w:sz w:val="32"/>
          <w:szCs w:val="32"/>
          <w:rtl/>
        </w:rPr>
        <w:t>ها بهذه الصيغة، لكنهم ذكروا العمل بالاحتياط في كتبهم وفرعوا عليه قواعد</w:t>
      </w:r>
      <w:r>
        <w:rPr>
          <w:rFonts w:ascii="Traditional Arabic" w:hAnsi="Traditional Arabic" w:hint="cs"/>
          <w:sz w:val="32"/>
          <w:szCs w:val="32"/>
          <w:rtl/>
        </w:rPr>
        <w:t>،</w:t>
      </w:r>
      <w:r w:rsidRPr="00B92B39">
        <w:rPr>
          <w:rFonts w:ascii="Traditional Arabic" w:hAnsi="Traditional Arabic"/>
          <w:sz w:val="32"/>
          <w:szCs w:val="32"/>
          <w:rtl/>
        </w:rPr>
        <w:t xml:space="preserve"> كقاعدة" إذا اجتمع الحلال والحرام غلب الحرام"، وقاعدةالخروج من الخلاف مستحب"</w:t>
      </w:r>
      <w:r>
        <w:rPr>
          <w:rFonts w:ascii="Traditional Arabic" w:hAnsi="Traditional Arabic" w:hint="cs"/>
          <w:sz w:val="32"/>
          <w:szCs w:val="32"/>
          <w:rtl/>
        </w:rPr>
        <w:t xml:space="preserve">، </w:t>
      </w:r>
      <w:r w:rsidRPr="00B92B39">
        <w:rPr>
          <w:rFonts w:ascii="Traditional Arabic" w:hAnsi="Traditional Arabic"/>
          <w:sz w:val="32"/>
          <w:szCs w:val="32"/>
          <w:rtl/>
        </w:rPr>
        <w:t>وغيرهما من القواعد. انظر العمل بالاحتياط في الفقه الإسلامي لمنيب بن محمود شاكر (66).</w:t>
      </w:r>
    </w:p>
  </w:footnote>
  <w:footnote w:id="1824">
    <w:p w:rsidR="000D3D21" w:rsidRPr="00B92B39"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92B39">
        <w:rPr>
          <w:rFonts w:ascii="Traditional Arabic" w:hAnsi="Traditional Arabic"/>
          <w:sz w:val="32"/>
          <w:szCs w:val="32"/>
          <w:rtl/>
        </w:rPr>
        <w:t>انظر على سبيل المثال: الشرح الممتع (1/387)، و(2/131)، و</w:t>
      </w:r>
      <w:r>
        <w:rPr>
          <w:rFonts w:ascii="Traditional Arabic" w:hAnsi="Traditional Arabic" w:hint="cs"/>
          <w:sz w:val="32"/>
          <w:szCs w:val="32"/>
          <w:rtl/>
        </w:rPr>
        <w:t>(4/353)، و</w:t>
      </w:r>
      <w:r w:rsidRPr="00B92B39">
        <w:rPr>
          <w:rFonts w:ascii="Traditional Arabic" w:hAnsi="Traditional Arabic"/>
          <w:sz w:val="32"/>
          <w:szCs w:val="32"/>
          <w:rtl/>
        </w:rPr>
        <w:t>(5/59)، و(6/99)، و(7/4</w:t>
      </w:r>
      <w:r>
        <w:rPr>
          <w:rFonts w:ascii="Traditional Arabic" w:hAnsi="Traditional Arabic"/>
          <w:sz w:val="32"/>
          <w:szCs w:val="32"/>
          <w:rtl/>
        </w:rPr>
        <w:t>8)، و(8/127)، و(9/77)، و(13/352</w:t>
      </w:r>
      <w:r w:rsidRPr="00B92B39">
        <w:rPr>
          <w:rFonts w:ascii="Traditional Arabic" w:hAnsi="Traditional Arabic"/>
          <w:sz w:val="32"/>
          <w:szCs w:val="32"/>
          <w:rtl/>
        </w:rPr>
        <w:t>،363، 409)</w:t>
      </w:r>
      <w:r>
        <w:rPr>
          <w:rFonts w:ascii="Traditional Arabic" w:hAnsi="Traditional Arabic" w:hint="cs"/>
          <w:sz w:val="32"/>
          <w:szCs w:val="32"/>
          <w:rtl/>
        </w:rPr>
        <w:t>، ومجموع فتاوى ورسائل ابن عثيمين (29/568)</w:t>
      </w:r>
      <w:r w:rsidRPr="00B92B39">
        <w:rPr>
          <w:rFonts w:ascii="Traditional Arabic" w:hAnsi="Traditional Arabic"/>
          <w:sz w:val="32"/>
          <w:szCs w:val="32"/>
          <w:rtl/>
        </w:rPr>
        <w:t>.</w:t>
      </w:r>
    </w:p>
  </w:footnote>
  <w:footnote w:id="1825">
    <w:p w:rsidR="000D3D21" w:rsidRPr="00B92B39"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92B39">
        <w:rPr>
          <w:rFonts w:ascii="Traditional Arabic" w:hAnsi="Traditional Arabic"/>
          <w:sz w:val="32"/>
          <w:szCs w:val="32"/>
          <w:rtl/>
        </w:rPr>
        <w:t>انظر المرجع السابق (6/204)، و(7/94)، و(8/148)، و(9/41)</w:t>
      </w:r>
      <w:r>
        <w:rPr>
          <w:rFonts w:ascii="Traditional Arabic" w:hAnsi="Traditional Arabic" w:hint="cs"/>
          <w:sz w:val="32"/>
          <w:szCs w:val="32"/>
          <w:rtl/>
        </w:rPr>
        <w:t>، و(12/82)</w:t>
      </w:r>
      <w:r w:rsidRPr="00B92B39">
        <w:rPr>
          <w:rFonts w:ascii="Traditional Arabic" w:hAnsi="Traditional Arabic"/>
          <w:sz w:val="32"/>
          <w:szCs w:val="32"/>
          <w:rtl/>
        </w:rPr>
        <w:t>.</w:t>
      </w:r>
    </w:p>
  </w:footnote>
  <w:footnote w:id="1826">
    <w:p w:rsidR="000D3D21" w:rsidRPr="00B92B39"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92B39">
        <w:rPr>
          <w:rFonts w:ascii="Traditional Arabic" w:hAnsi="Traditional Arabic"/>
          <w:sz w:val="32"/>
          <w:szCs w:val="32"/>
          <w:rtl/>
        </w:rPr>
        <w:t>انظر المرجع السابق (1/249)، و(15/116).</w:t>
      </w:r>
    </w:p>
  </w:footnote>
  <w:footnote w:id="1827">
    <w:p w:rsidR="000D3D21" w:rsidRPr="00B92B39"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92B39">
        <w:rPr>
          <w:rFonts w:ascii="Traditional Arabic" w:hAnsi="Traditional Arabic"/>
          <w:sz w:val="32"/>
          <w:szCs w:val="32"/>
          <w:rtl/>
        </w:rPr>
        <w:t>الفروق للقرافي (3/254).</w:t>
      </w:r>
    </w:p>
  </w:footnote>
  <w:footnote w:id="1828">
    <w:p w:rsidR="000D3D21" w:rsidRPr="00B92B39"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92B39">
        <w:rPr>
          <w:rFonts w:ascii="Traditional Arabic" w:hAnsi="Traditional Arabic"/>
          <w:sz w:val="32"/>
          <w:szCs w:val="32"/>
          <w:rtl/>
        </w:rPr>
        <w:t>الأشباه والنظائر لابن السبكي (1/110).</w:t>
      </w:r>
    </w:p>
  </w:footnote>
  <w:footnote w:id="1829">
    <w:p w:rsidR="000D3D21" w:rsidRPr="009F058A"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058A">
        <w:rPr>
          <w:rFonts w:ascii="Traditional Arabic" w:hAnsi="Traditional Arabic"/>
          <w:sz w:val="32"/>
          <w:szCs w:val="32"/>
          <w:rtl/>
        </w:rPr>
        <w:t>بدائع الفوائد لابن القيم (3/1249)، وانظر موسوعة القواعد والضوابط الفقهية للندوي (1/453).</w:t>
      </w:r>
    </w:p>
  </w:footnote>
  <w:footnote w:id="1830">
    <w:p w:rsidR="000D3D21" w:rsidRPr="009F058A"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058A">
        <w:rPr>
          <w:rFonts w:ascii="Traditional Arabic" w:hAnsi="Traditional Arabic"/>
          <w:sz w:val="32"/>
          <w:szCs w:val="32"/>
          <w:rtl/>
        </w:rPr>
        <w:t>العمل بالاحتياط في الفقه الإسلامي(66).</w:t>
      </w:r>
    </w:p>
  </w:footnote>
  <w:footnote w:id="1831">
    <w:p w:rsidR="000D3D21" w:rsidRPr="009F058A"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058A">
        <w:rPr>
          <w:rFonts w:ascii="Traditional Arabic" w:hAnsi="Traditional Arabic"/>
          <w:sz w:val="32"/>
          <w:szCs w:val="32"/>
          <w:rtl/>
        </w:rPr>
        <w:t>قواعد الوسائل (493).</w:t>
      </w:r>
    </w:p>
  </w:footnote>
  <w:footnote w:id="1832">
    <w:p w:rsidR="000D3D21" w:rsidRPr="009F058A"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058A">
        <w:rPr>
          <w:rFonts w:ascii="Traditional Arabic" w:hAnsi="Traditional Arabic"/>
          <w:sz w:val="32"/>
          <w:szCs w:val="32"/>
          <w:rtl/>
        </w:rPr>
        <w:t>لسان العرب (2/1052)، والمصباح المنير (135).</w:t>
      </w:r>
    </w:p>
  </w:footnote>
  <w:footnote w:id="1833">
    <w:p w:rsidR="000D3D21" w:rsidRPr="00C94866" w:rsidRDefault="000D3D21" w:rsidP="00F101F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058A">
        <w:rPr>
          <w:rFonts w:ascii="Traditional Arabic" w:hAnsi="Traditional Arabic"/>
          <w:sz w:val="32"/>
          <w:szCs w:val="32"/>
          <w:rtl/>
        </w:rPr>
        <w:t>العمل بالاحتياط في الفقه الإسلامي (48).</w:t>
      </w:r>
    </w:p>
  </w:footnote>
  <w:footnote w:id="1834">
    <w:p w:rsidR="000D3D21" w:rsidRPr="00B92B39" w:rsidRDefault="000D3D21" w:rsidP="00F101FD">
      <w:pPr>
        <w:pStyle w:val="a7"/>
        <w:spacing w:line="440" w:lineRule="exact"/>
        <w:ind w:left="510" w:hanging="510"/>
        <w:jc w:val="lowKashida"/>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B92B39">
        <w:rPr>
          <w:rFonts w:ascii="Traditional Arabic" w:hAnsi="Traditional Arabic"/>
          <w:sz w:val="32"/>
          <w:szCs w:val="32"/>
          <w:rtl/>
        </w:rPr>
        <w:t xml:space="preserve"> المنتقى من فرائد الفوائد (108)، وانظر بدائع الفوائد لابن القيم (3/1253-1283). </w:t>
      </w:r>
    </w:p>
  </w:footnote>
  <w:footnote w:id="1835">
    <w:p w:rsidR="000D3D21" w:rsidRPr="003932C9"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932C9">
        <w:rPr>
          <w:rFonts w:ascii="Traditional Arabic" w:hAnsi="Traditional Arabic"/>
          <w:sz w:val="32"/>
          <w:szCs w:val="32"/>
          <w:rtl/>
        </w:rPr>
        <w:t xml:space="preserve">التعليق على المنتقى من أخبار المصطفى </w:t>
      </w:r>
      <w:r>
        <w:rPr>
          <w:rFonts w:ascii="Traditional Arabic" w:hAnsi="Traditional Arabic" w:cs="CTraditional Arabic" w:hint="cs"/>
          <w:noProof w:val="0"/>
          <w:color w:val="auto"/>
          <w:rtl/>
          <w:lang w:eastAsia="en-US"/>
        </w:rPr>
        <w:t>غ</w:t>
      </w:r>
      <w:r w:rsidRPr="003932C9">
        <w:rPr>
          <w:rFonts w:ascii="Traditional Arabic" w:hAnsi="Traditional Arabic"/>
          <w:sz w:val="32"/>
          <w:szCs w:val="32"/>
          <w:rtl/>
        </w:rPr>
        <w:t xml:space="preserve"> (252).</w:t>
      </w:r>
    </w:p>
  </w:footnote>
  <w:footnote w:id="1836">
    <w:p w:rsidR="000D3D21" w:rsidRPr="00B92B39"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92B39">
        <w:rPr>
          <w:rFonts w:ascii="Traditional Arabic" w:hAnsi="Traditional Arabic"/>
          <w:sz w:val="32"/>
          <w:szCs w:val="32"/>
          <w:rtl/>
        </w:rPr>
        <w:t>الأشباه والنظائر لابن السبكي (1/110).</w:t>
      </w:r>
    </w:p>
  </w:footnote>
  <w:footnote w:id="1837">
    <w:p w:rsidR="000D3D21" w:rsidRPr="00417392"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92B39">
        <w:rPr>
          <w:rFonts w:ascii="Traditional Arabic" w:hAnsi="Traditional Arabic"/>
          <w:sz w:val="32"/>
          <w:szCs w:val="32"/>
          <w:rtl/>
        </w:rPr>
        <w:t>تقدم تخريجه.</w:t>
      </w:r>
    </w:p>
  </w:footnote>
  <w:footnote w:id="1838">
    <w:p w:rsidR="000D3D21" w:rsidRPr="00E02625"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E02625">
        <w:rPr>
          <w:rFonts w:ascii="Traditional Arabic" w:hAnsi="Traditional Arabic"/>
          <w:sz w:val="32"/>
          <w:szCs w:val="32"/>
          <w:rtl/>
        </w:rPr>
        <w:t xml:space="preserve"> انظر الشرح الممتع (3/212)، وشرح الأربعين النووية (105).</w:t>
      </w:r>
    </w:p>
  </w:footnote>
  <w:footnote w:id="1839">
    <w:p w:rsidR="000D3D21" w:rsidRPr="00E02625"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02625">
        <w:rPr>
          <w:rFonts w:ascii="Traditional Arabic" w:hAnsi="Traditional Arabic"/>
          <w:sz w:val="32"/>
          <w:szCs w:val="32"/>
          <w:rtl/>
        </w:rPr>
        <w:t>أخرجه أحمد في المسند، رقم الحديث (1723، 1727)، والترمذي في كتاب صفة القيامة، رقم الحديث (2518)، والنسائي في كتاب الأشربة، باب الحث على ترك الشبهات، رقم الحديث (5727).والحديث صححه الألباني في إرواء الغليل (1/44).</w:t>
      </w:r>
    </w:p>
  </w:footnote>
  <w:footnote w:id="1840">
    <w:p w:rsidR="000D3D21" w:rsidRPr="00E02625" w:rsidRDefault="000D3D21" w:rsidP="00F101FD">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02625">
        <w:rPr>
          <w:rFonts w:ascii="Traditional Arabic" w:hAnsi="Traditional Arabic"/>
          <w:sz w:val="32"/>
          <w:szCs w:val="32"/>
          <w:rtl/>
        </w:rPr>
        <w:t>انظر قواعد الأحكام في إصلاح الأنام (2/111)، والعمل بالاحتياط في الفقه الإسلامي (78).</w:t>
      </w:r>
    </w:p>
  </w:footnote>
  <w:footnote w:id="1841">
    <w:p w:rsidR="000D3D21" w:rsidRPr="00151E7A" w:rsidRDefault="000D3D21" w:rsidP="00AE71F7">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تقدم تخريجه.</w:t>
      </w:r>
    </w:p>
  </w:footnote>
  <w:footnote w:id="1842">
    <w:p w:rsidR="000D3D21" w:rsidRPr="00151E7A" w:rsidRDefault="000D3D21" w:rsidP="00F101F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51E7A">
        <w:rPr>
          <w:rFonts w:ascii="Traditional Arabic" w:hAnsi="Traditional Arabic"/>
          <w:sz w:val="32"/>
          <w:szCs w:val="32"/>
          <w:rtl/>
        </w:rPr>
        <w:t>الإعلام بفوائد عمدة الأحكام (8/475-476) بتصرف</w:t>
      </w:r>
      <w:r>
        <w:rPr>
          <w:rFonts w:ascii="Traditional Arabic" w:hAnsi="Traditional Arabic" w:hint="cs"/>
          <w:sz w:val="32"/>
          <w:szCs w:val="32"/>
          <w:rtl/>
        </w:rPr>
        <w:t>، وانظر فتح ذي الجلال والإكرام (5/141)</w:t>
      </w:r>
      <w:r w:rsidRPr="00151E7A">
        <w:rPr>
          <w:rFonts w:ascii="Traditional Arabic" w:hAnsi="Traditional Arabic"/>
          <w:sz w:val="32"/>
          <w:szCs w:val="32"/>
          <w:rtl/>
        </w:rPr>
        <w:t>.</w:t>
      </w:r>
    </w:p>
  </w:footnote>
  <w:footnote w:id="1843">
    <w:p w:rsidR="000D3D21" w:rsidRPr="00E02625"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noProof w:val="0"/>
          <w:sz w:val="32"/>
          <w:szCs w:val="32"/>
          <w:rtl/>
          <w:lang w:eastAsia="en-US"/>
        </w:rPr>
        <w:t xml:space="preserve"> </w:t>
      </w:r>
      <w:r w:rsidRPr="009F058A">
        <w:rPr>
          <w:rFonts w:ascii="Traditional Arabic" w:hAnsi="Traditional Arabic"/>
          <w:b/>
          <w:bCs/>
          <w:noProof w:val="0"/>
          <w:sz w:val="32"/>
          <w:szCs w:val="32"/>
          <w:rtl/>
          <w:lang w:eastAsia="en-US"/>
        </w:rPr>
        <w:t>الجنس</w:t>
      </w:r>
      <w:r w:rsidRPr="00E02625">
        <w:rPr>
          <w:rFonts w:ascii="Traditional Arabic" w:hAnsi="Traditional Arabic"/>
          <w:noProof w:val="0"/>
          <w:sz w:val="32"/>
          <w:szCs w:val="32"/>
          <w:rtl/>
          <w:lang w:eastAsia="en-US"/>
        </w:rPr>
        <w:t>: مال</w:t>
      </w:r>
      <w:r>
        <w:rPr>
          <w:rFonts w:ascii="Traditional Arabic" w:hAnsi="Traditional Arabic" w:hint="cs"/>
          <w:noProof w:val="0"/>
          <w:sz w:val="32"/>
          <w:szCs w:val="32"/>
          <w:rtl/>
          <w:lang w:eastAsia="en-US"/>
        </w:rPr>
        <w:t>َ</w:t>
      </w:r>
      <w:r w:rsidRPr="00E02625">
        <w:rPr>
          <w:rFonts w:ascii="Traditional Arabic" w:hAnsi="Traditional Arabic"/>
          <w:noProof w:val="0"/>
          <w:sz w:val="32"/>
          <w:szCs w:val="32"/>
          <w:rtl/>
          <w:lang w:eastAsia="en-US"/>
        </w:rPr>
        <w:t>ه اسم</w:t>
      </w:r>
      <w:r>
        <w:rPr>
          <w:rFonts w:ascii="Traditional Arabic" w:hAnsi="Traditional Arabic" w:hint="cs"/>
          <w:noProof w:val="0"/>
          <w:sz w:val="32"/>
          <w:szCs w:val="32"/>
          <w:rtl/>
          <w:lang w:eastAsia="en-US"/>
        </w:rPr>
        <w:t>ٌ</w:t>
      </w:r>
      <w:r w:rsidRPr="00E02625">
        <w:rPr>
          <w:rFonts w:ascii="Traditional Arabic" w:hAnsi="Traditional Arabic"/>
          <w:noProof w:val="0"/>
          <w:sz w:val="32"/>
          <w:szCs w:val="32"/>
          <w:rtl/>
          <w:lang w:eastAsia="en-US"/>
        </w:rPr>
        <w:t xml:space="preserve"> خاص يشمل أنواعا</w:t>
      </w:r>
      <w:r w:rsidRPr="00E02625">
        <w:rPr>
          <w:rFonts w:ascii="Traditional Arabic" w:hAnsi="Traditional Arabic"/>
          <w:sz w:val="32"/>
          <w:szCs w:val="32"/>
          <w:rtl/>
        </w:rPr>
        <w:t>،</w:t>
      </w:r>
      <w:r w:rsidRPr="00E02625">
        <w:rPr>
          <w:rFonts w:ascii="Traditional Arabic" w:hAnsi="Traditional Arabic"/>
          <w:noProof w:val="0"/>
          <w:sz w:val="32"/>
          <w:szCs w:val="32"/>
          <w:rtl/>
          <w:lang w:eastAsia="en-US"/>
        </w:rPr>
        <w:t xml:space="preserve"> فهو الشامل لأشياء مختلفة بأنواعها</w:t>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الروض المربع (6/224)</w:t>
      </w:r>
      <w:r>
        <w:rPr>
          <w:rFonts w:ascii="Traditional Arabic" w:hAnsi="Traditional Arabic" w:hint="cs"/>
          <w:sz w:val="32"/>
          <w:szCs w:val="32"/>
          <w:rtl/>
        </w:rPr>
        <w:t xml:space="preserve"> </w:t>
      </w:r>
      <w:r>
        <w:rPr>
          <w:rFonts w:ascii="Traditional Arabic" w:hAnsi="Traditional Arabic"/>
          <w:sz w:val="32"/>
          <w:szCs w:val="32"/>
          <w:rtl/>
        </w:rPr>
        <w:t>بتصرف</w:t>
      </w:r>
      <w:r w:rsidRPr="00E02625">
        <w:rPr>
          <w:rFonts w:ascii="Traditional Arabic" w:hAnsi="Traditional Arabic"/>
          <w:sz w:val="32"/>
          <w:szCs w:val="32"/>
          <w:rtl/>
        </w:rPr>
        <w:t>.</w:t>
      </w:r>
    </w:p>
  </w:footnote>
  <w:footnote w:id="1844">
    <w:p w:rsidR="000D3D21" w:rsidRPr="00CA7A21" w:rsidRDefault="000D3D21" w:rsidP="00F101F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هذا مذهب الجمهور من الحنفية والمالكية والشافعية والحنابلة، و</w:t>
      </w:r>
      <w:r w:rsidRPr="00E02625">
        <w:rPr>
          <w:rFonts w:ascii="Traditional Arabic" w:hAnsi="Traditional Arabic"/>
          <w:sz w:val="32"/>
          <w:szCs w:val="32"/>
          <w:rtl/>
        </w:rPr>
        <w:t xml:space="preserve">العلة في منع ذلك </w:t>
      </w:r>
      <w:r w:rsidRPr="00E02625">
        <w:rPr>
          <w:rFonts w:ascii="Traditional Arabic" w:hAnsi="Traditional Arabic"/>
          <w:noProof w:val="0"/>
          <w:sz w:val="32"/>
          <w:szCs w:val="32"/>
          <w:rtl/>
          <w:lang w:eastAsia="en-US"/>
        </w:rPr>
        <w:t>أن ما خول</w:t>
      </w:r>
      <w:r>
        <w:rPr>
          <w:rFonts w:ascii="Traditional Arabic" w:hAnsi="Traditional Arabic" w:hint="cs"/>
          <w:noProof w:val="0"/>
          <w:sz w:val="32"/>
          <w:szCs w:val="32"/>
          <w:rtl/>
          <w:lang w:eastAsia="en-US"/>
        </w:rPr>
        <w:t>ِ</w:t>
      </w:r>
      <w:r w:rsidRPr="00E02625">
        <w:rPr>
          <w:rFonts w:ascii="Traditional Arabic" w:hAnsi="Traditional Arabic"/>
          <w:noProof w:val="0"/>
          <w:sz w:val="32"/>
          <w:szCs w:val="32"/>
          <w:rtl/>
          <w:lang w:eastAsia="en-US"/>
        </w:rPr>
        <w:t>ف معيارُه الشرعي لا يت</w:t>
      </w:r>
      <w:r>
        <w:rPr>
          <w:rFonts w:ascii="Traditional Arabic" w:hAnsi="Traditional Arabic"/>
          <w:noProof w:val="0"/>
          <w:sz w:val="32"/>
          <w:szCs w:val="32"/>
          <w:rtl/>
          <w:lang w:eastAsia="en-US"/>
        </w:rPr>
        <w:t>حقق فيه التماثل، و</w:t>
      </w:r>
      <w:r w:rsidRPr="00CD5DFD">
        <w:rPr>
          <w:rFonts w:ascii="Traditional Arabic" w:hAnsi="Traditional Arabic"/>
          <w:noProof w:val="0"/>
          <w:sz w:val="32"/>
          <w:szCs w:val="32"/>
          <w:rtl/>
          <w:lang w:eastAsia="en-US"/>
        </w:rPr>
        <w:t>الجهل بالتماثل كالعلم بالتفاضل</w:t>
      </w:r>
      <w:r w:rsidRPr="00E02625">
        <w:rPr>
          <w:rFonts w:ascii="Traditional Arabic" w:hAnsi="Traditional Arabic"/>
          <w:noProof w:val="0"/>
          <w:sz w:val="32"/>
          <w:szCs w:val="32"/>
          <w:rtl/>
          <w:lang w:eastAsia="en-US"/>
        </w:rPr>
        <w:t>.</w:t>
      </w:r>
      <w:r>
        <w:rPr>
          <w:rFonts w:ascii="Traditional Arabic" w:hAnsi="Traditional Arabic" w:hint="cs"/>
          <w:noProof w:val="0"/>
          <w:sz w:val="32"/>
          <w:szCs w:val="32"/>
          <w:rtl/>
          <w:lang w:eastAsia="en-US"/>
        </w:rPr>
        <w:t xml:space="preserve"> </w:t>
      </w:r>
      <w:r w:rsidRPr="00E02625">
        <w:rPr>
          <w:rFonts w:ascii="Traditional Arabic" w:hAnsi="Traditional Arabic"/>
          <w:noProof w:val="0"/>
          <w:sz w:val="32"/>
          <w:szCs w:val="32"/>
          <w:rtl/>
          <w:lang w:eastAsia="en-US"/>
        </w:rPr>
        <w:t>انظر</w:t>
      </w:r>
      <w:r>
        <w:rPr>
          <w:rFonts w:ascii="Traditional Arabic" w:hAnsi="Traditional Arabic" w:hint="cs"/>
          <w:noProof w:val="0"/>
          <w:sz w:val="32"/>
          <w:szCs w:val="32"/>
          <w:rtl/>
          <w:lang w:eastAsia="en-US"/>
        </w:rPr>
        <w:t>: بدائع الصنائع في ترتيب الشرائع لعلاء الدين أبي بكر الكاساني (7/83)، ومواهب الجليل لشرح مختصر خليل (6/221)، وتكملة المجموع شرح المهذب لتقي الدين علي بن عبد الكافي السبكي (10/142)، والمغني لابن قدامة المقدسي (6/69)، و</w:t>
      </w:r>
      <w:r w:rsidRPr="00E02625">
        <w:rPr>
          <w:rFonts w:ascii="Traditional Arabic" w:hAnsi="Traditional Arabic"/>
          <w:noProof w:val="0"/>
          <w:sz w:val="32"/>
          <w:szCs w:val="32"/>
          <w:rtl/>
          <w:lang w:eastAsia="en-US"/>
        </w:rPr>
        <w:t>الروض المربع (6/222</w:t>
      </w:r>
      <w:r>
        <w:rPr>
          <w:rFonts w:ascii="Traditional Arabic" w:hAnsi="Traditional Arabic"/>
          <w:noProof w:val="0"/>
          <w:sz w:val="32"/>
          <w:szCs w:val="32"/>
          <w:rtl/>
          <w:lang w:eastAsia="en-US"/>
        </w:rPr>
        <w:t>)</w:t>
      </w:r>
      <w:r>
        <w:rPr>
          <w:rFonts w:ascii="Traditional Arabic" w:hAnsi="Traditional Arabic" w:hint="cs"/>
          <w:noProof w:val="0"/>
          <w:sz w:val="32"/>
          <w:szCs w:val="32"/>
          <w:rtl/>
          <w:lang w:eastAsia="en-US"/>
        </w:rPr>
        <w:t>.</w:t>
      </w:r>
    </w:p>
  </w:footnote>
  <w:footnote w:id="1845">
    <w:p w:rsidR="000D3D21" w:rsidRPr="009814EA"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14EA">
        <w:rPr>
          <w:rFonts w:ascii="Traditional Arabic" w:hAnsi="Traditional Arabic"/>
          <w:sz w:val="32"/>
          <w:szCs w:val="32"/>
          <w:rtl/>
        </w:rPr>
        <w:t>لأن الاعتبار بالتساوي</w:t>
      </w:r>
      <w:r>
        <w:rPr>
          <w:rFonts w:ascii="Traditional Arabic" w:hAnsi="Traditional Arabic"/>
          <w:sz w:val="32"/>
          <w:szCs w:val="32"/>
          <w:rtl/>
        </w:rPr>
        <w:t>،</w:t>
      </w:r>
      <w:r w:rsidRPr="009814EA">
        <w:rPr>
          <w:rFonts w:ascii="Traditional Arabic" w:hAnsi="Traditional Arabic"/>
          <w:sz w:val="32"/>
          <w:szCs w:val="32"/>
          <w:rtl/>
        </w:rPr>
        <w:t xml:space="preserve"> فإذا وُجد التساوي بالوزن جاز ذلك. وحكي هذا القول عن الفوراني من الشافعية و أبي حنيفة</w:t>
      </w:r>
      <w:r>
        <w:rPr>
          <w:rFonts w:ascii="Traditional Arabic" w:hAnsi="Traditional Arabic"/>
          <w:sz w:val="32"/>
          <w:szCs w:val="32"/>
          <w:rtl/>
        </w:rPr>
        <w:t>، والذي وجدت</w:t>
      </w:r>
      <w:r>
        <w:rPr>
          <w:rFonts w:ascii="Traditional Arabic" w:hAnsi="Traditional Arabic" w:hint="cs"/>
          <w:sz w:val="32"/>
          <w:szCs w:val="32"/>
          <w:rtl/>
        </w:rPr>
        <w:t>ُه</w:t>
      </w:r>
      <w:r w:rsidRPr="009814EA">
        <w:rPr>
          <w:rFonts w:ascii="Traditional Arabic" w:hAnsi="Traditional Arabic"/>
          <w:sz w:val="32"/>
          <w:szCs w:val="32"/>
          <w:rtl/>
        </w:rPr>
        <w:t xml:space="preserve"> في بعض كتب الحنفية </w:t>
      </w:r>
      <w:r w:rsidRPr="009814EA">
        <w:rPr>
          <w:rFonts w:ascii="Traditional Arabic" w:hAnsi="Traditional Arabic"/>
          <w:noProof w:val="0"/>
          <w:sz w:val="32"/>
          <w:szCs w:val="32"/>
          <w:rtl/>
          <w:lang w:eastAsia="en-US"/>
        </w:rPr>
        <w:t>أنه روي عن  أبي يوسف</w:t>
      </w:r>
      <w:r>
        <w:rPr>
          <w:rFonts w:ascii="Traditional Arabic" w:hAnsi="Traditional Arabic" w:hint="cs"/>
          <w:noProof w:val="0"/>
          <w:sz w:val="32"/>
          <w:szCs w:val="32"/>
          <w:rtl/>
          <w:lang w:eastAsia="en-US"/>
        </w:rPr>
        <w:t>_رحمه الله_</w:t>
      </w:r>
      <w:r w:rsidRPr="009814EA">
        <w:rPr>
          <w:rFonts w:ascii="Traditional Arabic" w:hAnsi="Traditional Arabic"/>
          <w:noProof w:val="0"/>
          <w:sz w:val="32"/>
          <w:szCs w:val="32"/>
          <w:rtl/>
          <w:lang w:eastAsia="en-US"/>
        </w:rPr>
        <w:t xml:space="preserve"> في مسألة بيع الحنطة بالحنطة إذا غلب استعمال الوزن فيها أنها تصير وَزنيّةً ويعتبر التساوي فيها بالوزن، وإن كانت في الأصل كَيْليّةً.</w:t>
      </w:r>
      <w:r w:rsidRPr="009814EA">
        <w:rPr>
          <w:rFonts w:ascii="Traditional Arabic" w:hAnsi="Traditional Arabic"/>
          <w:sz w:val="32"/>
          <w:szCs w:val="32"/>
          <w:rtl/>
        </w:rPr>
        <w:t xml:space="preserve"> انظر</w:t>
      </w:r>
      <w:r>
        <w:rPr>
          <w:rFonts w:ascii="Traditional Arabic" w:hAnsi="Traditional Arabic" w:hint="cs"/>
          <w:sz w:val="32"/>
          <w:szCs w:val="32"/>
          <w:rtl/>
        </w:rPr>
        <w:t>:</w:t>
      </w:r>
      <w:r w:rsidRPr="009814EA">
        <w:rPr>
          <w:rFonts w:ascii="Traditional Arabic" w:hAnsi="Traditional Arabic"/>
          <w:sz w:val="32"/>
          <w:szCs w:val="32"/>
          <w:rtl/>
        </w:rPr>
        <w:t xml:space="preserve"> </w:t>
      </w:r>
      <w:r>
        <w:rPr>
          <w:rFonts w:ascii="Traditional Arabic" w:hAnsi="Traditional Arabic" w:hint="cs"/>
          <w:sz w:val="32"/>
          <w:szCs w:val="32"/>
          <w:rtl/>
        </w:rPr>
        <w:t>بدائع الصنائع (7/84)، و</w:t>
      </w:r>
      <w:r w:rsidRPr="009814EA">
        <w:rPr>
          <w:rFonts w:ascii="Traditional Arabic" w:hAnsi="Traditional Arabic"/>
          <w:sz w:val="32"/>
          <w:szCs w:val="32"/>
          <w:rtl/>
        </w:rPr>
        <w:t>تكملة المجموع شرح المهذب</w:t>
      </w:r>
      <w:r>
        <w:rPr>
          <w:rFonts w:ascii="Traditional Arabic" w:hAnsi="Traditional Arabic" w:hint="cs"/>
          <w:sz w:val="32"/>
          <w:szCs w:val="32"/>
          <w:rtl/>
        </w:rPr>
        <w:t xml:space="preserve"> </w:t>
      </w:r>
      <w:r w:rsidRPr="009814EA">
        <w:rPr>
          <w:rFonts w:ascii="Traditional Arabic" w:hAnsi="Traditional Arabic"/>
          <w:sz w:val="32"/>
          <w:szCs w:val="32"/>
          <w:rtl/>
        </w:rPr>
        <w:t>(</w:t>
      </w:r>
      <w:r>
        <w:rPr>
          <w:rFonts w:ascii="Traditional Arabic" w:hAnsi="Traditional Arabic"/>
          <w:sz w:val="32"/>
          <w:szCs w:val="32"/>
          <w:rtl/>
        </w:rPr>
        <w:t>10/142)</w:t>
      </w:r>
      <w:r>
        <w:rPr>
          <w:rFonts w:ascii="Traditional Arabic" w:hAnsi="Traditional Arabic" w:hint="cs"/>
          <w:sz w:val="32"/>
          <w:szCs w:val="32"/>
          <w:rtl/>
        </w:rPr>
        <w:t>.</w:t>
      </w:r>
    </w:p>
  </w:footnote>
  <w:footnote w:id="1846">
    <w:p w:rsidR="000D3D21" w:rsidRDefault="000D3D21" w:rsidP="00F101FD">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14EA">
        <w:rPr>
          <w:rFonts w:ascii="Traditional Arabic" w:hAnsi="Traditional Arabic"/>
          <w:sz w:val="32"/>
          <w:szCs w:val="32"/>
          <w:rtl/>
        </w:rPr>
        <w:t>انظر الشرح</w:t>
      </w:r>
      <w:r>
        <w:rPr>
          <w:rFonts w:ascii="Traditional Arabic" w:hAnsi="Traditional Arabic" w:hint="cs"/>
          <w:sz w:val="32"/>
          <w:szCs w:val="32"/>
          <w:rtl/>
        </w:rPr>
        <w:t xml:space="preserve"> </w:t>
      </w:r>
      <w:r w:rsidRPr="009814EA">
        <w:rPr>
          <w:rFonts w:ascii="Traditional Arabic" w:hAnsi="Traditional Arabic"/>
          <w:sz w:val="32"/>
          <w:szCs w:val="32"/>
          <w:rtl/>
        </w:rPr>
        <w:t>الممتع (8/398-401).</w:t>
      </w:r>
    </w:p>
    <w:p w:rsidR="000D3D21" w:rsidRPr="009814EA" w:rsidRDefault="000D3D21" w:rsidP="00F101FD">
      <w:pPr>
        <w:pStyle w:val="a7"/>
        <w:pageBreakBefore/>
        <w:rPr>
          <w:rFonts w:ascii="Traditional Arabic" w:hAnsi="Traditional Arabic"/>
          <w:sz w:val="32"/>
          <w:szCs w:val="32"/>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9814EA">
        <w:rPr>
          <w:rFonts w:ascii="Traditional Arabic" w:hAnsi="Traditional Arabic"/>
          <w:sz w:val="32"/>
          <w:szCs w:val="32"/>
          <w:rtl/>
        </w:rPr>
        <w:t xml:space="preserve">استثنى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9814EA">
        <w:rPr>
          <w:rFonts w:ascii="Traditional Arabic" w:hAnsi="Traditional Arabic"/>
          <w:sz w:val="32"/>
          <w:szCs w:val="32"/>
          <w:rtl/>
        </w:rPr>
        <w:t xml:space="preserve"> ما تساوى فيه الكيل والوزن، وذكر أن بيعه كيلا أو وزنا جائز.</w:t>
      </w:r>
      <w:r>
        <w:rPr>
          <w:rFonts w:ascii="Traditional Arabic" w:hAnsi="Traditional Arabic" w:hint="cs"/>
          <w:sz w:val="32"/>
          <w:szCs w:val="32"/>
          <w:rtl/>
        </w:rPr>
        <w:t xml:space="preserve"> </w:t>
      </w:r>
      <w:r w:rsidRPr="009814EA">
        <w:rPr>
          <w:rFonts w:ascii="Traditional Arabic" w:hAnsi="Traditional Arabic"/>
          <w:sz w:val="32"/>
          <w:szCs w:val="32"/>
          <w:rtl/>
        </w:rPr>
        <w:t>انظر المرجع السابق (8/402).</w:t>
      </w:r>
    </w:p>
  </w:footnote>
  <w:footnote w:id="1847">
    <w:p w:rsidR="000D3D21" w:rsidRPr="009814EA"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14EA">
        <w:rPr>
          <w:rFonts w:ascii="Traditional Arabic" w:hAnsi="Traditional Arabic"/>
          <w:sz w:val="32"/>
          <w:szCs w:val="32"/>
          <w:rtl/>
        </w:rPr>
        <w:t>انظر بدائع الصنائع (7/83)، وتكملة المجموع (10/142)، والمغني (6/70).</w:t>
      </w:r>
    </w:p>
  </w:footnote>
  <w:footnote w:id="1848">
    <w:p w:rsidR="000D3D21" w:rsidRPr="009814EA"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9814EA">
        <w:rPr>
          <w:rFonts w:ascii="Traditional Arabic" w:hAnsi="Traditional Arabic"/>
          <w:sz w:val="32"/>
          <w:szCs w:val="32"/>
          <w:rtl/>
        </w:rPr>
        <w:t xml:space="preserve"> اشترط جمهور العلماء الأجل في عقد السلم-على خلاف بينهم في تقدير أدنى مدة لهذا الأ</w:t>
      </w:r>
      <w:r>
        <w:rPr>
          <w:rFonts w:ascii="Traditional Arabic" w:hAnsi="Traditional Arabic"/>
          <w:sz w:val="32"/>
          <w:szCs w:val="32"/>
          <w:rtl/>
        </w:rPr>
        <w:t>جل- والمذهب عند الحنابلة اشترا</w:t>
      </w:r>
      <w:r>
        <w:rPr>
          <w:rFonts w:ascii="Traditional Arabic" w:hAnsi="Traditional Arabic" w:hint="cs"/>
          <w:sz w:val="32"/>
          <w:szCs w:val="32"/>
          <w:rtl/>
        </w:rPr>
        <w:t xml:space="preserve">طُ </w:t>
      </w:r>
      <w:r w:rsidRPr="009814EA">
        <w:rPr>
          <w:rFonts w:ascii="Traditional Arabic" w:hAnsi="Traditional Arabic"/>
          <w:sz w:val="32"/>
          <w:szCs w:val="32"/>
          <w:rtl/>
        </w:rPr>
        <w:t>كون الأجل له وقع في الثمن عادةً. أما الشافعية فلم يشترطوا الأجل</w:t>
      </w:r>
      <w:r>
        <w:rPr>
          <w:rFonts w:ascii="Traditional Arabic" w:hAnsi="Traditional Arabic"/>
          <w:sz w:val="32"/>
          <w:szCs w:val="32"/>
          <w:rtl/>
        </w:rPr>
        <w:t xml:space="preserve"> وقالوا بجواز السلم الحالّ.</w:t>
      </w:r>
      <w:r>
        <w:rPr>
          <w:rFonts w:ascii="Traditional Arabic" w:hAnsi="Traditional Arabic" w:hint="cs"/>
          <w:sz w:val="32"/>
          <w:szCs w:val="32"/>
          <w:rtl/>
        </w:rPr>
        <w:t xml:space="preserve"> </w:t>
      </w:r>
      <w:r>
        <w:rPr>
          <w:rFonts w:ascii="Traditional Arabic" w:hAnsi="Traditional Arabic"/>
          <w:sz w:val="32"/>
          <w:szCs w:val="32"/>
          <w:rtl/>
        </w:rPr>
        <w:t>انظر</w:t>
      </w:r>
      <w:r w:rsidRPr="009814EA">
        <w:rPr>
          <w:rFonts w:ascii="Traditional Arabic" w:hAnsi="Traditional Arabic"/>
          <w:sz w:val="32"/>
          <w:szCs w:val="32"/>
          <w:rtl/>
        </w:rPr>
        <w:t>: بدائع الصنائع (7/146)، مواهب الجليل (6/499)، و</w:t>
      </w:r>
      <w:r>
        <w:rPr>
          <w:rFonts w:ascii="Traditional Arabic" w:hAnsi="Traditional Arabic"/>
          <w:sz w:val="32"/>
          <w:szCs w:val="32"/>
          <w:rtl/>
        </w:rPr>
        <w:t>تكملة المجموع</w:t>
      </w:r>
      <w:r w:rsidRPr="009814EA">
        <w:rPr>
          <w:rFonts w:ascii="Traditional Arabic" w:hAnsi="Traditional Arabic"/>
          <w:sz w:val="32"/>
          <w:szCs w:val="32"/>
          <w:rtl/>
        </w:rPr>
        <w:t xml:space="preserve"> (12/156-157)، والمغني (6/404-405)، والمحلى لابن حزم (9/109).</w:t>
      </w:r>
    </w:p>
  </w:footnote>
  <w:footnote w:id="1849">
    <w:p w:rsidR="000D3D21" w:rsidRPr="008B7BCE" w:rsidRDefault="000D3D21" w:rsidP="00F101F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14EA">
        <w:rPr>
          <w:rFonts w:ascii="Traditional Arabic" w:hAnsi="Traditional Arabic"/>
          <w:sz w:val="32"/>
          <w:szCs w:val="32"/>
          <w:rtl/>
        </w:rPr>
        <w:t>المسلِم يستفيد رُخْصَ الثمن في السلم، أو زيادةً في المبيع.</w:t>
      </w:r>
      <w:r>
        <w:rPr>
          <w:rFonts w:ascii="Traditional Arabic" w:hAnsi="Traditional Arabic" w:hint="cs"/>
          <w:sz w:val="32"/>
          <w:szCs w:val="32"/>
          <w:rtl/>
        </w:rPr>
        <w:t xml:space="preserve"> </w:t>
      </w:r>
      <w:r w:rsidRPr="009814EA">
        <w:rPr>
          <w:rFonts w:ascii="Traditional Arabic" w:hAnsi="Traditional Arabic"/>
          <w:sz w:val="32"/>
          <w:szCs w:val="32"/>
          <w:rtl/>
        </w:rPr>
        <w:t>انظر</w:t>
      </w:r>
      <w:r>
        <w:rPr>
          <w:rFonts w:ascii="Traditional Arabic" w:hAnsi="Traditional Arabic" w:hint="cs"/>
          <w:sz w:val="32"/>
          <w:szCs w:val="32"/>
          <w:rtl/>
        </w:rPr>
        <w:t>:</w:t>
      </w:r>
      <w:r w:rsidRPr="009814EA">
        <w:rPr>
          <w:rFonts w:ascii="Traditional Arabic" w:hAnsi="Traditional Arabic"/>
          <w:sz w:val="32"/>
          <w:szCs w:val="32"/>
          <w:rtl/>
        </w:rPr>
        <w:t xml:space="preserve"> </w:t>
      </w:r>
      <w:r>
        <w:rPr>
          <w:rFonts w:ascii="Traditional Arabic" w:hAnsi="Traditional Arabic" w:hint="cs"/>
          <w:sz w:val="32"/>
          <w:szCs w:val="32"/>
          <w:rtl/>
        </w:rPr>
        <w:t>الشرح الممتع (9/76)، و</w:t>
      </w:r>
      <w:r w:rsidRPr="009814EA">
        <w:rPr>
          <w:rFonts w:ascii="Traditional Arabic" w:hAnsi="Traditional Arabic"/>
          <w:sz w:val="32"/>
          <w:szCs w:val="32"/>
          <w:rtl/>
        </w:rPr>
        <w:t>المغن</w:t>
      </w:r>
      <w:r>
        <w:rPr>
          <w:rFonts w:ascii="Traditional Arabic" w:hAnsi="Traditional Arabic"/>
          <w:sz w:val="32"/>
          <w:szCs w:val="32"/>
          <w:rtl/>
        </w:rPr>
        <w:t>ي (6/385)</w:t>
      </w:r>
      <w:r>
        <w:rPr>
          <w:rFonts w:ascii="Traditional Arabic" w:hAnsi="Traditional Arabic" w:hint="cs"/>
          <w:sz w:val="32"/>
          <w:szCs w:val="32"/>
          <w:rtl/>
        </w:rPr>
        <w:t>.</w:t>
      </w:r>
      <w:r w:rsidRPr="009814EA">
        <w:rPr>
          <w:rFonts w:ascii="Traditional Arabic" w:hAnsi="Traditional Arabic"/>
          <w:sz w:val="32"/>
          <w:szCs w:val="32"/>
          <w:rtl/>
        </w:rPr>
        <w:t xml:space="preserve"> </w:t>
      </w:r>
    </w:p>
  </w:footnote>
  <w:footnote w:id="1850">
    <w:p w:rsidR="000D3D21" w:rsidRPr="009814EA"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9814EA">
        <w:rPr>
          <w:rFonts w:ascii="Traditional Arabic" w:hAnsi="Traditional Arabic"/>
          <w:noProof w:val="0"/>
          <w:sz w:val="32"/>
          <w:szCs w:val="32"/>
          <w:rtl/>
          <w:lang w:eastAsia="en-US"/>
        </w:rPr>
        <w:t xml:space="preserve">أخرجه البخاري في </w:t>
      </w:r>
      <w:r w:rsidRPr="009814EA">
        <w:rPr>
          <w:rFonts w:ascii="Traditional Arabic" w:hAnsi="Traditional Arabic" w:hint="cs"/>
          <w:noProof w:val="0"/>
          <w:sz w:val="32"/>
          <w:szCs w:val="32"/>
          <w:rtl/>
          <w:lang w:eastAsia="en-US"/>
        </w:rPr>
        <w:t xml:space="preserve">كتاب </w:t>
      </w:r>
      <w:r w:rsidRPr="009814EA">
        <w:rPr>
          <w:rFonts w:ascii="Traditional Arabic" w:hAnsi="Traditional Arabic"/>
          <w:noProof w:val="0"/>
          <w:sz w:val="32"/>
          <w:szCs w:val="32"/>
          <w:rtl/>
          <w:lang w:eastAsia="en-US"/>
        </w:rPr>
        <w:t>السلم</w:t>
      </w:r>
      <w:r w:rsidRPr="009814EA">
        <w:rPr>
          <w:rFonts w:ascii="Traditional Arabic" w:hAnsi="Traditional Arabic" w:hint="cs"/>
          <w:noProof w:val="0"/>
          <w:sz w:val="32"/>
          <w:szCs w:val="32"/>
          <w:rtl/>
          <w:lang w:eastAsia="en-US"/>
        </w:rPr>
        <w:t>،</w:t>
      </w:r>
      <w:r w:rsidRPr="009814EA">
        <w:rPr>
          <w:rFonts w:ascii="Traditional Arabic" w:hAnsi="Traditional Arabic"/>
          <w:noProof w:val="0"/>
          <w:sz w:val="32"/>
          <w:szCs w:val="32"/>
          <w:rtl/>
          <w:lang w:eastAsia="en-US"/>
        </w:rPr>
        <w:t xml:space="preserve"> باب السلم في وزن معلوم</w:t>
      </w:r>
      <w:r w:rsidRPr="009814EA">
        <w:rPr>
          <w:rFonts w:ascii="Traditional Arabic" w:hAnsi="Traditional Arabic" w:hint="cs"/>
          <w:noProof w:val="0"/>
          <w:sz w:val="32"/>
          <w:szCs w:val="32"/>
          <w:rtl/>
          <w:lang w:eastAsia="en-US"/>
        </w:rPr>
        <w:t>، رقم الحديث</w:t>
      </w:r>
      <w:r w:rsidRPr="009814EA">
        <w:rPr>
          <w:rFonts w:ascii="Traditional Arabic" w:hAnsi="Traditional Arabic"/>
          <w:noProof w:val="0"/>
          <w:sz w:val="32"/>
          <w:szCs w:val="32"/>
          <w:rtl/>
          <w:lang w:eastAsia="en-US"/>
        </w:rPr>
        <w:t xml:space="preserve"> (2240)، ومسلم في </w:t>
      </w:r>
      <w:r w:rsidRPr="009814EA">
        <w:rPr>
          <w:rFonts w:ascii="Traditional Arabic" w:hAnsi="Traditional Arabic" w:hint="cs"/>
          <w:noProof w:val="0"/>
          <w:sz w:val="32"/>
          <w:szCs w:val="32"/>
          <w:rtl/>
          <w:lang w:eastAsia="en-US"/>
        </w:rPr>
        <w:t xml:space="preserve">كتاب </w:t>
      </w:r>
      <w:r w:rsidRPr="009814EA">
        <w:rPr>
          <w:rFonts w:ascii="Traditional Arabic" w:hAnsi="Traditional Arabic"/>
          <w:noProof w:val="0"/>
          <w:sz w:val="32"/>
          <w:szCs w:val="32"/>
          <w:rtl/>
          <w:lang w:eastAsia="en-US"/>
        </w:rPr>
        <w:t>ال</w:t>
      </w:r>
      <w:r w:rsidRPr="009814EA">
        <w:rPr>
          <w:rFonts w:ascii="Traditional Arabic" w:hAnsi="Traditional Arabic" w:hint="cs"/>
          <w:noProof w:val="0"/>
          <w:sz w:val="32"/>
          <w:szCs w:val="32"/>
          <w:rtl/>
          <w:lang w:eastAsia="en-US"/>
        </w:rPr>
        <w:t>مساقاة والمزارعة،</w:t>
      </w:r>
      <w:r w:rsidRPr="009814EA">
        <w:rPr>
          <w:rFonts w:ascii="Traditional Arabic" w:hAnsi="Traditional Arabic"/>
          <w:noProof w:val="0"/>
          <w:sz w:val="32"/>
          <w:szCs w:val="32"/>
          <w:rtl/>
          <w:lang w:eastAsia="en-US"/>
        </w:rPr>
        <w:t xml:space="preserve"> باب السلم</w:t>
      </w:r>
      <w:r w:rsidRPr="009814EA">
        <w:rPr>
          <w:rFonts w:ascii="Traditional Arabic" w:hAnsi="Traditional Arabic" w:hint="cs"/>
          <w:noProof w:val="0"/>
          <w:sz w:val="32"/>
          <w:szCs w:val="32"/>
          <w:rtl/>
          <w:lang w:eastAsia="en-US"/>
        </w:rPr>
        <w:t>، رقم الحديث</w:t>
      </w:r>
      <w:r w:rsidRPr="009814EA">
        <w:rPr>
          <w:rFonts w:ascii="Traditional Arabic" w:hAnsi="Traditional Arabic"/>
          <w:noProof w:val="0"/>
          <w:sz w:val="32"/>
          <w:szCs w:val="32"/>
          <w:rtl/>
          <w:lang w:eastAsia="en-US"/>
        </w:rPr>
        <w:t xml:space="preserve"> (1604) عن ابن عباس ـ </w:t>
      </w:r>
      <w:r>
        <w:rPr>
          <w:rFonts w:ascii="Traditional Arabic" w:hAnsi="Traditional Arabic" w:cs="CTraditional Arabic" w:hint="cs"/>
          <w:noProof w:val="0"/>
          <w:color w:val="auto"/>
          <w:rtl/>
          <w:lang w:eastAsia="en-US"/>
        </w:rPr>
        <w:t>ي</w:t>
      </w:r>
      <w:r w:rsidRPr="009814EA">
        <w:rPr>
          <w:rFonts w:ascii="Traditional Arabic" w:hAnsi="Traditional Arabic"/>
          <w:noProof w:val="0"/>
          <w:sz w:val="32"/>
          <w:szCs w:val="32"/>
          <w:rtl/>
          <w:lang w:eastAsia="en-US"/>
        </w:rPr>
        <w:t xml:space="preserve">ا ـ </w:t>
      </w:r>
      <w:r>
        <w:rPr>
          <w:rFonts w:ascii="Traditional Arabic" w:hAnsi="Traditional Arabic" w:hint="cs"/>
          <w:noProof w:val="0"/>
          <w:sz w:val="32"/>
          <w:szCs w:val="32"/>
          <w:rtl/>
          <w:lang w:eastAsia="en-US"/>
        </w:rPr>
        <w:t xml:space="preserve">، </w:t>
      </w:r>
      <w:r w:rsidRPr="009814EA">
        <w:rPr>
          <w:rFonts w:ascii="Traditional Arabic" w:hAnsi="Traditional Arabic"/>
          <w:noProof w:val="0"/>
          <w:sz w:val="32"/>
          <w:szCs w:val="32"/>
          <w:rtl/>
          <w:lang w:eastAsia="en-US"/>
        </w:rPr>
        <w:t>واللفظ للبخاري.</w:t>
      </w:r>
    </w:p>
  </w:footnote>
  <w:footnote w:id="1851">
    <w:p w:rsidR="000D3D21" w:rsidRPr="009814EA" w:rsidRDefault="000D3D21" w:rsidP="00F101FD">
      <w:pPr>
        <w:pStyle w:val="a7"/>
        <w:pageBreakBefore/>
        <w:rPr>
          <w:rFonts w:ascii="Tahoma" w:hAnsi="Tahoma"/>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ahoma" w:hAnsi="Tahoma" w:hint="cs"/>
          <w:sz w:val="32"/>
          <w:szCs w:val="32"/>
          <w:rtl/>
        </w:rPr>
        <w:t xml:space="preserve"> </w:t>
      </w:r>
      <w:r w:rsidRPr="009814EA">
        <w:rPr>
          <w:rFonts w:ascii="Tahoma" w:hAnsi="Tahoma" w:hint="cs"/>
          <w:sz w:val="32"/>
          <w:szCs w:val="32"/>
          <w:rtl/>
        </w:rPr>
        <w:t>انظر المراجع المتقدمة في الصفحة السابقة عند ذكر مسألة الأجل في السلم.</w:t>
      </w:r>
    </w:p>
  </w:footnote>
  <w:footnote w:id="1852">
    <w:p w:rsidR="000D3D21" w:rsidRPr="009814EA" w:rsidRDefault="000D3D21" w:rsidP="00F101F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9814EA">
        <w:rPr>
          <w:rFonts w:ascii="Traditional Arabic" w:hAnsi="Traditional Arabic"/>
          <w:sz w:val="32"/>
          <w:szCs w:val="32"/>
          <w:rtl/>
        </w:rPr>
        <w:t xml:space="preserve"> انظر الشرح الممتع (9/75-77).</w:t>
      </w:r>
    </w:p>
  </w:footnote>
  <w:footnote w:id="1853">
    <w:p w:rsidR="000D3D21" w:rsidRPr="00B6041B" w:rsidRDefault="000D3D21" w:rsidP="00F101F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المرجع السابق (9/77-78)</w:t>
      </w:r>
      <w:r>
        <w:rPr>
          <w:rFonts w:ascii="Traditional Arabic" w:hAnsi="Traditional Arabic" w:hint="cs"/>
          <w:sz w:val="32"/>
          <w:szCs w:val="32"/>
          <w:rtl/>
        </w:rPr>
        <w:t>.</w:t>
      </w:r>
    </w:p>
  </w:footnote>
  <w:footnote w:id="1854">
    <w:p w:rsidR="000D3D21" w:rsidRPr="00A42B18" w:rsidRDefault="000D3D21" w:rsidP="00AE71F7">
      <w:pPr>
        <w:pStyle w:val="a7"/>
        <w:pageBreakBefore/>
        <w:rPr>
          <w:rFonts w:ascii="Traditional Arabic" w:hAnsi="Traditional Arabic"/>
          <w:color w:val="auto"/>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اخترت هذه الصيغة؛ لأن صنيع الشيخ</w:t>
      </w:r>
      <w:r>
        <w:rPr>
          <w:rFonts w:ascii="Traditional Arabic" w:hAnsi="Traditional Arabic" w:hint="cs"/>
          <w:sz w:val="32"/>
          <w:szCs w:val="32"/>
          <w:rtl/>
        </w:rPr>
        <w:t xml:space="preserve"> ابن عثيمين </w:t>
      </w:r>
      <w:r w:rsidRPr="00A42B18">
        <w:rPr>
          <w:rFonts w:ascii="Traditional Arabic" w:hAnsi="Traditional Arabic"/>
          <w:sz w:val="32"/>
          <w:szCs w:val="32"/>
          <w:rtl/>
        </w:rPr>
        <w:t>يدل على اعتباره للقاعدة بهذه الصيغة؛ حيث إنه كثيرا ما يستدل على صحة بعض المعاملات بنفي اشتمالها على هذه الأمور الثلاث أو بعضها، أي: الظلم</w:t>
      </w:r>
      <w:r>
        <w:rPr>
          <w:rFonts w:ascii="Traditional Arabic" w:hAnsi="Traditional Arabic"/>
          <w:sz w:val="32"/>
          <w:szCs w:val="32"/>
          <w:rtl/>
        </w:rPr>
        <w:t xml:space="preserve"> والغرر والربا، </w:t>
      </w:r>
      <w:r w:rsidRPr="00A42B18">
        <w:rPr>
          <w:rFonts w:ascii="Traditional Arabic" w:hAnsi="Traditional Arabic"/>
          <w:sz w:val="32"/>
          <w:szCs w:val="32"/>
          <w:rtl/>
        </w:rPr>
        <w:t>وأما الصيغة الثانية فقد ذكره</w:t>
      </w:r>
      <w:r>
        <w:rPr>
          <w:rFonts w:ascii="Traditional Arabic" w:hAnsi="Traditional Arabic"/>
          <w:sz w:val="32"/>
          <w:szCs w:val="32"/>
          <w:rtl/>
        </w:rPr>
        <w:t>ا الشيخ ونسبها لابن تيمية</w:t>
      </w:r>
      <w:r>
        <w:rPr>
          <w:rFonts w:ascii="Traditional Arabic" w:hAnsi="Traditional Arabic" w:hint="cs"/>
          <w:sz w:val="32"/>
          <w:szCs w:val="32"/>
          <w:rtl/>
        </w:rPr>
        <w:t xml:space="preserve">. </w:t>
      </w:r>
      <w:r w:rsidRPr="00A42B18">
        <w:rPr>
          <w:rFonts w:ascii="Traditional Arabic" w:hAnsi="Traditional Arabic"/>
          <w:color w:val="auto"/>
          <w:sz w:val="32"/>
          <w:szCs w:val="32"/>
          <w:rtl/>
        </w:rPr>
        <w:t>انظر: الشرح الممتع (8/157، 167، 214، 280، 428)، و(9/29، 33، 53، 71، 92، 120، 134، 150، 213، 233)، و(10/6، 29)، والتعليق على القواعد والأصول الجامعة (146)</w:t>
      </w:r>
      <w:r>
        <w:rPr>
          <w:rFonts w:ascii="Traditional Arabic" w:hAnsi="Traditional Arabic" w:hint="cs"/>
          <w:color w:val="auto"/>
          <w:sz w:val="32"/>
          <w:szCs w:val="32"/>
          <w:rtl/>
        </w:rPr>
        <w:t>، ومجموع فتاوى ورسائل ابن عثيمين (28/223، 280)</w:t>
      </w:r>
      <w:r w:rsidRPr="00A42B18">
        <w:rPr>
          <w:rFonts w:ascii="Traditional Arabic" w:hAnsi="Traditional Arabic"/>
          <w:color w:val="auto"/>
          <w:sz w:val="32"/>
          <w:szCs w:val="32"/>
          <w:rtl/>
        </w:rPr>
        <w:t>.</w:t>
      </w:r>
    </w:p>
  </w:footnote>
  <w:footnote w:id="1855">
    <w:p w:rsidR="000D3D21" w:rsidRPr="00A42B18" w:rsidRDefault="000D3D21" w:rsidP="00E269AD">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الشرح الممتع (9/53) بتصرف.</w:t>
      </w:r>
    </w:p>
  </w:footnote>
  <w:footnote w:id="1856">
    <w:p w:rsidR="000D3D21" w:rsidRPr="00A42B18"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المرجع السابق (9/134)، والتعليق على القواعد والأصول الجامعة (146).</w:t>
      </w:r>
    </w:p>
  </w:footnote>
  <w:footnote w:id="1857">
    <w:p w:rsidR="000D3D21" w:rsidRPr="00A42B18"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ا</w:t>
      </w:r>
      <w:r>
        <w:rPr>
          <w:rFonts w:ascii="Traditional Arabic" w:hAnsi="Traditional Arabic"/>
          <w:sz w:val="32"/>
          <w:szCs w:val="32"/>
          <w:rtl/>
        </w:rPr>
        <w:t>نظر القواعد النورانية</w:t>
      </w:r>
      <w:r w:rsidRPr="00A42B18">
        <w:rPr>
          <w:rFonts w:ascii="Traditional Arabic" w:hAnsi="Traditional Arabic"/>
          <w:sz w:val="32"/>
          <w:szCs w:val="32"/>
          <w:rtl/>
        </w:rPr>
        <w:t xml:space="preserve"> (168-190).</w:t>
      </w:r>
    </w:p>
  </w:footnote>
  <w:footnote w:id="1858">
    <w:p w:rsidR="000D3D21" w:rsidRPr="00A42B18"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القواعد والأصول الجامعة (71).</w:t>
      </w:r>
    </w:p>
  </w:footnote>
  <w:footnote w:id="1859">
    <w:p w:rsidR="000D3D21" w:rsidRPr="00A42B18"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تيسير اللطيف المنان في خلاصة تفسير القرآن (117).</w:t>
      </w:r>
    </w:p>
  </w:footnote>
  <w:footnote w:id="1860">
    <w:p w:rsidR="000D3D21" w:rsidRPr="00A42B18" w:rsidRDefault="000D3D21" w:rsidP="00D564C0">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A42B18">
        <w:rPr>
          <w:rFonts w:ascii="Traditional Arabic" w:hAnsi="Traditional Arabic"/>
          <w:b/>
          <w:bCs/>
          <w:sz w:val="32"/>
          <w:szCs w:val="32"/>
          <w:rtl/>
        </w:rPr>
        <w:t>العبد الآبق</w:t>
      </w:r>
      <w:r w:rsidR="00AB0B9E">
        <w:rPr>
          <w:rFonts w:ascii="Traditional Arabic" w:hAnsi="Traditional Arabic"/>
          <w:b/>
          <w:bCs/>
          <w:sz w:val="32"/>
          <w:szCs w:val="32"/>
          <w:rtl/>
        </w:rPr>
        <w:fldChar w:fldCharType="begin"/>
      </w:r>
      <w:r>
        <w:instrText xml:space="preserve"> XE "</w:instrText>
      </w:r>
      <w:r w:rsidRPr="00D564C0">
        <w:rPr>
          <w:rFonts w:ascii="Traditional Arabic" w:hAnsi="Traditional Arabic"/>
          <w:sz w:val="32"/>
          <w:szCs w:val="32"/>
          <w:rtl/>
        </w:rPr>
        <w:instrText>العبد الآبق</w:instrText>
      </w:r>
      <w:r>
        <w:instrText xml:space="preserve">" </w:instrText>
      </w:r>
      <w:r w:rsidRPr="00D564C0">
        <w:instrText xml:space="preserve">\fm </w:instrText>
      </w:r>
      <w:r w:rsidR="00AB0B9E">
        <w:rPr>
          <w:rFonts w:ascii="Traditional Arabic" w:hAnsi="Traditional Arabic"/>
          <w:b/>
          <w:bCs/>
          <w:sz w:val="32"/>
          <w:szCs w:val="32"/>
          <w:rtl/>
        </w:rPr>
        <w:fldChar w:fldCharType="end"/>
      </w:r>
      <w:r w:rsidRPr="00A42B18">
        <w:rPr>
          <w:rFonts w:ascii="Traditional Arabic" w:hAnsi="Traditional Arabic"/>
          <w:sz w:val="32"/>
          <w:szCs w:val="32"/>
          <w:rtl/>
        </w:rPr>
        <w:t xml:space="preserve"> : الهار</w:t>
      </w:r>
      <w:r>
        <w:rPr>
          <w:rFonts w:ascii="Traditional Arabic" w:hAnsi="Traditional Arabic" w:hint="cs"/>
          <w:sz w:val="32"/>
          <w:szCs w:val="32"/>
          <w:rtl/>
        </w:rPr>
        <w:t>ِ</w:t>
      </w:r>
      <w:r w:rsidRPr="00A42B18">
        <w:rPr>
          <w:rFonts w:ascii="Traditional Arabic" w:hAnsi="Traditional Arabic"/>
          <w:sz w:val="32"/>
          <w:szCs w:val="32"/>
          <w:rtl/>
        </w:rPr>
        <w:t>ب من سيده. انظر المصباح المنير (</w:t>
      </w:r>
      <w:r>
        <w:rPr>
          <w:rFonts w:ascii="Traditional Arabic" w:hAnsi="Traditional Arabic" w:hint="cs"/>
          <w:sz w:val="32"/>
          <w:szCs w:val="32"/>
          <w:rtl/>
        </w:rPr>
        <w:t>13</w:t>
      </w:r>
      <w:r w:rsidRPr="00A42B18">
        <w:rPr>
          <w:rFonts w:ascii="Traditional Arabic" w:hAnsi="Traditional Arabic"/>
          <w:sz w:val="32"/>
          <w:szCs w:val="32"/>
          <w:rtl/>
        </w:rPr>
        <w:t>).</w:t>
      </w:r>
    </w:p>
  </w:footnote>
  <w:footnote w:id="1861">
    <w:p w:rsidR="000D3D21" w:rsidRPr="00A42B18"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مقاييس اللغة (4/380-381).</w:t>
      </w:r>
    </w:p>
  </w:footnote>
  <w:footnote w:id="1862">
    <w:p w:rsidR="000D3D21" w:rsidRPr="00502696" w:rsidRDefault="000D3D21" w:rsidP="00E269AD">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02696">
        <w:rPr>
          <w:rFonts w:ascii="Traditional Arabic" w:hAnsi="Traditional Arabic"/>
          <w:sz w:val="32"/>
          <w:szCs w:val="32"/>
          <w:rtl/>
        </w:rPr>
        <w:t>العقود لابن تيمية (437).</w:t>
      </w:r>
    </w:p>
  </w:footnote>
  <w:footnote w:id="1863">
    <w:p w:rsidR="000D3D21" w:rsidRPr="000B4025"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فتح ذي الجلال والإكرام </w:t>
      </w:r>
      <w:r>
        <w:rPr>
          <w:rFonts w:ascii="Traditional Arabic" w:hAnsi="Traditional Arabic" w:hint="cs"/>
          <w:sz w:val="32"/>
          <w:szCs w:val="32"/>
          <w:rtl/>
        </w:rPr>
        <w:t>(3/539</w:t>
      </w:r>
      <w:r w:rsidRPr="000B4025">
        <w:rPr>
          <w:rFonts w:ascii="Traditional Arabic" w:hAnsi="Traditional Arabic"/>
          <w:sz w:val="32"/>
          <w:szCs w:val="32"/>
          <w:rtl/>
        </w:rPr>
        <w:t>).</w:t>
      </w:r>
    </w:p>
  </w:footnote>
  <w:footnote w:id="1864">
    <w:p w:rsidR="000D3D21" w:rsidRDefault="000D3D21" w:rsidP="00D936AB">
      <w:pPr>
        <w:widowControl/>
        <w:autoSpaceDE w:val="0"/>
        <w:autoSpaceDN w:val="0"/>
        <w:adjustRightInd w:val="0"/>
        <w:ind w:firstLine="0"/>
        <w:jc w:val="left"/>
        <w:rPr>
          <w:rFonts w:ascii="Traditional Arabic" w:hAnsi="Traditional Arabic"/>
          <w:b/>
          <w:bCs/>
          <w:noProof w:val="0"/>
          <w:color w:val="auto"/>
          <w:sz w:val="44"/>
          <w:szCs w:val="44"/>
          <w:rtl/>
          <w:lang w:eastAsia="en-US"/>
        </w:rPr>
      </w:pPr>
      <w:r w:rsidRPr="00D936AB">
        <w:rPr>
          <w:rStyle w:val="af1"/>
          <w:rFonts w:ascii="Traditional Arabic" w:hAnsi="Traditional Arabic"/>
          <w:sz w:val="32"/>
          <w:szCs w:val="32"/>
          <w:vertAlign w:val="baseline"/>
        </w:rPr>
        <w:footnoteRef/>
      </w:r>
      <w:r w:rsidRPr="00D936AB">
        <w:rPr>
          <w:rStyle w:val="af1"/>
          <w:rFonts w:ascii="Traditional Arabic" w:hAnsi="Traditional Arabic"/>
          <w:sz w:val="32"/>
          <w:szCs w:val="32"/>
          <w:vertAlign w:val="baseline"/>
        </w:rPr>
        <w:t>)</w:t>
      </w:r>
      <w:r w:rsidRPr="00D936AB">
        <w:rPr>
          <w:rStyle w:val="af1"/>
          <w:rFonts w:ascii="Traditional Arabic" w:hAnsi="Traditional Arabic" w:hint="cs"/>
          <w:sz w:val="32"/>
          <w:szCs w:val="32"/>
          <w:vertAlign w:val="baseline"/>
          <w:rtl/>
        </w:rPr>
        <w:t>)</w:t>
      </w:r>
      <w:r w:rsidRPr="00D936AB">
        <w:rPr>
          <w:rStyle w:val="af1"/>
          <w:rFonts w:ascii="Traditional Arabic" w:hAnsi="Traditional Arabic"/>
          <w:sz w:val="32"/>
          <w:szCs w:val="32"/>
          <w:vertAlign w:val="baseline"/>
          <w:rtl/>
        </w:rPr>
        <w:t xml:space="preserve"> </w:t>
      </w:r>
      <w:r w:rsidRPr="00D936AB">
        <w:rPr>
          <w:rFonts w:hint="cs"/>
          <w:b/>
          <w:bCs/>
          <w:sz w:val="32"/>
          <w:szCs w:val="32"/>
          <w:rtl/>
        </w:rPr>
        <w:t>الرهان:</w:t>
      </w:r>
      <w:r w:rsidRPr="00D936AB">
        <w:rPr>
          <w:rFonts w:hint="cs"/>
          <w:sz w:val="32"/>
          <w:szCs w:val="32"/>
          <w:rtl/>
        </w:rPr>
        <w:t xml:space="preserve"> </w:t>
      </w:r>
      <w:r w:rsidRPr="00D936AB">
        <w:rPr>
          <w:rFonts w:ascii="Traditional Arabic" w:hAnsi="Traditional Arabic"/>
          <w:noProof w:val="0"/>
          <w:sz w:val="32"/>
          <w:szCs w:val="32"/>
          <w:rtl/>
          <w:lang w:eastAsia="en-US"/>
        </w:rPr>
        <w:t>راهنت</w:t>
      </w:r>
      <w:r>
        <w:rPr>
          <w:rFonts w:ascii="Traditional Arabic" w:hAnsi="Traditional Arabic"/>
          <w:noProof w:val="0"/>
          <w:sz w:val="32"/>
          <w:szCs w:val="32"/>
          <w:rtl/>
          <w:lang w:eastAsia="en-US"/>
        </w:rPr>
        <w:t xml:space="preserve"> فلانا على كذا رهانا</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 </w:t>
      </w:r>
      <w:r w:rsidRPr="00D936AB">
        <w:rPr>
          <w:rFonts w:ascii="Traditional Arabic" w:hAnsi="Traditional Arabic"/>
          <w:noProof w:val="0"/>
          <w:sz w:val="32"/>
          <w:szCs w:val="32"/>
          <w:rtl/>
          <w:lang w:eastAsia="en-US"/>
        </w:rPr>
        <w:t>وتراه</w:t>
      </w:r>
      <w:r>
        <w:rPr>
          <w:rFonts w:ascii="Traditional Arabic" w:hAnsi="Traditional Arabic" w:hint="cs"/>
          <w:noProof w:val="0"/>
          <w:sz w:val="32"/>
          <w:szCs w:val="32"/>
          <w:rtl/>
          <w:lang w:eastAsia="en-US"/>
        </w:rPr>
        <w:t>َ</w:t>
      </w:r>
      <w:r w:rsidRPr="00D936AB">
        <w:rPr>
          <w:rFonts w:ascii="Traditional Arabic" w:hAnsi="Traditional Arabic"/>
          <w:noProof w:val="0"/>
          <w:sz w:val="32"/>
          <w:szCs w:val="32"/>
          <w:rtl/>
          <w:lang w:eastAsia="en-US"/>
        </w:rPr>
        <w:t>ن القوم</w:t>
      </w:r>
      <w:r>
        <w:rPr>
          <w:rFonts w:ascii="Traditional Arabic" w:hAnsi="Traditional Arabic" w:hint="cs"/>
          <w:noProof w:val="0"/>
          <w:sz w:val="32"/>
          <w:szCs w:val="32"/>
          <w:rtl/>
          <w:lang w:eastAsia="en-US"/>
        </w:rPr>
        <w:t>ُ، إذا</w:t>
      </w:r>
      <w:r w:rsidRPr="00D936AB">
        <w:rPr>
          <w:rFonts w:ascii="Traditional Arabic" w:hAnsi="Traditional Arabic"/>
          <w:noProof w:val="0"/>
          <w:sz w:val="32"/>
          <w:szCs w:val="32"/>
          <w:rtl/>
          <w:lang w:eastAsia="en-US"/>
        </w:rPr>
        <w:t xml:space="preserve"> أخرج كل واحد رهنا</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 ليفوز السابق بالجميع إذا غلب</w:t>
      </w:r>
      <w:r w:rsidRPr="00D936AB">
        <w:rPr>
          <w:rFonts w:ascii="Traditional Arabic" w:hAnsi="Traditional Arabic"/>
          <w:noProof w:val="0"/>
          <w:sz w:val="32"/>
          <w:szCs w:val="32"/>
          <w:rtl/>
          <w:lang w:eastAsia="en-US"/>
        </w:rPr>
        <w:t>.</w:t>
      </w:r>
      <w:r>
        <w:rPr>
          <w:rFonts w:ascii="Traditional Arabic" w:hAnsi="Traditional Arabic" w:hint="cs"/>
          <w:b/>
          <w:bCs/>
          <w:noProof w:val="0"/>
          <w:color w:val="auto"/>
          <w:sz w:val="44"/>
          <w:szCs w:val="44"/>
          <w:rtl/>
          <w:lang w:eastAsia="en-US"/>
        </w:rPr>
        <w:t xml:space="preserve"> </w:t>
      </w:r>
      <w:r w:rsidRPr="00D936AB">
        <w:rPr>
          <w:rFonts w:ascii="Traditional Arabic" w:hAnsi="Traditional Arabic" w:hint="cs"/>
          <w:noProof w:val="0"/>
          <w:color w:val="auto"/>
          <w:sz w:val="32"/>
          <w:szCs w:val="32"/>
          <w:rtl/>
          <w:lang w:eastAsia="en-US"/>
        </w:rPr>
        <w:t>المصباح المنير (</w:t>
      </w:r>
      <w:r>
        <w:rPr>
          <w:rFonts w:ascii="Traditional Arabic" w:hAnsi="Traditional Arabic" w:hint="cs"/>
          <w:noProof w:val="0"/>
          <w:color w:val="auto"/>
          <w:sz w:val="32"/>
          <w:szCs w:val="32"/>
          <w:rtl/>
          <w:lang w:eastAsia="en-US"/>
        </w:rPr>
        <w:t>210</w:t>
      </w:r>
      <w:r w:rsidRPr="00D936AB">
        <w:rPr>
          <w:rFonts w:ascii="Traditional Arabic" w:hAnsi="Traditional Arabic" w:hint="cs"/>
          <w:noProof w:val="0"/>
          <w:color w:val="auto"/>
          <w:sz w:val="32"/>
          <w:szCs w:val="32"/>
          <w:rtl/>
          <w:lang w:eastAsia="en-US"/>
        </w:rPr>
        <w:t>) بتصرف.</w:t>
      </w:r>
    </w:p>
    <w:p w:rsidR="000D3D21" w:rsidRPr="00D936AB" w:rsidRDefault="000D3D21" w:rsidP="00D936AB">
      <w:pPr>
        <w:pStyle w:val="a7"/>
        <w:pageBreakBefore/>
        <w:rPr>
          <w:b/>
          <w:bCs/>
          <w:rtl/>
        </w:rPr>
      </w:pPr>
    </w:p>
  </w:footnote>
  <w:footnote w:id="1865">
    <w:p w:rsidR="000D3D21" w:rsidRPr="00962ECB"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62ECB">
        <w:rPr>
          <w:rFonts w:ascii="Traditional Arabic" w:hAnsi="Traditional Arabic"/>
          <w:sz w:val="32"/>
          <w:szCs w:val="32"/>
          <w:rtl/>
        </w:rPr>
        <w:t>إرشاد أولي البصائر والألباب لنيل الفقه بأقرب الطرق وأيسر الأسباب (101).</w:t>
      </w:r>
    </w:p>
  </w:footnote>
  <w:footnote w:id="1866">
    <w:p w:rsidR="000D3D21" w:rsidRPr="005924D8" w:rsidRDefault="000D3D21" w:rsidP="00E269A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مقاييس اللغة (2/483).</w:t>
      </w:r>
    </w:p>
  </w:footnote>
  <w:footnote w:id="1867">
    <w:p w:rsidR="000D3D21" w:rsidRPr="00A42B18" w:rsidRDefault="000D3D21" w:rsidP="00E35B26">
      <w:pPr>
        <w:pStyle w:val="a7"/>
        <w:pageBreakBefore/>
        <w:ind w:left="0" w:firstLine="0"/>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ورد ذكر</w:t>
      </w:r>
      <w:r w:rsidRPr="00A42B18">
        <w:rPr>
          <w:rFonts w:ascii="Traditional Arabic" w:hAnsi="Traditional Arabic"/>
          <w:sz w:val="32"/>
          <w:szCs w:val="32"/>
          <w:rtl/>
        </w:rPr>
        <w:t xml:space="preserve"> </w:t>
      </w:r>
      <w:r>
        <w:rPr>
          <w:rFonts w:ascii="Traditional Arabic" w:hAnsi="Traditional Arabic" w:hint="cs"/>
          <w:sz w:val="32"/>
          <w:szCs w:val="32"/>
          <w:rtl/>
        </w:rPr>
        <w:t xml:space="preserve">هذه الأصناف </w:t>
      </w:r>
      <w:r w:rsidRPr="00A42B18">
        <w:rPr>
          <w:rFonts w:ascii="Traditional Arabic" w:hAnsi="Traditional Arabic"/>
          <w:sz w:val="32"/>
          <w:szCs w:val="32"/>
          <w:rtl/>
        </w:rPr>
        <w:t xml:space="preserve"> في حديث عبادة بن الصامت رضي الله عنه قال: </w:t>
      </w:r>
      <w:r w:rsidRPr="00A42B18">
        <w:rPr>
          <w:rFonts w:ascii="Traditional Arabic" w:hAnsi="Traditional Arabic"/>
          <w:noProof w:val="0"/>
          <w:color w:val="auto"/>
          <w:sz w:val="32"/>
          <w:szCs w:val="32"/>
          <w:rtl/>
          <w:lang w:eastAsia="en-US"/>
        </w:rPr>
        <w:t xml:space="preserve">قال رسول الله </w:t>
      </w:r>
      <w:r>
        <w:rPr>
          <w:rFonts w:ascii="Traditional Arabic" w:hAnsi="Traditional Arabic" w:cs="CTraditional Arabic" w:hint="cs"/>
          <w:noProof w:val="0"/>
          <w:color w:val="auto"/>
          <w:rtl/>
          <w:lang w:eastAsia="en-US"/>
        </w:rPr>
        <w:t>غ</w:t>
      </w:r>
      <w:r w:rsidRPr="00A42B18">
        <w:rPr>
          <w:rFonts w:ascii="Traditional Arabic" w:hAnsi="Traditional Arabic"/>
          <w:noProof w:val="0"/>
          <w:color w:val="auto"/>
          <w:sz w:val="32"/>
          <w:szCs w:val="32"/>
          <w:rtl/>
          <w:lang w:eastAsia="en-US"/>
        </w:rPr>
        <w:t xml:space="preserve"> :"الذهب بالذهب والفضة بالفضة</w:t>
      </w:r>
      <w:r w:rsidR="00AB0B9E">
        <w:rPr>
          <w:rFonts w:ascii="Traditional Arabic" w:hAnsi="Traditional Arabic"/>
          <w:noProof w:val="0"/>
          <w:color w:val="auto"/>
          <w:sz w:val="32"/>
          <w:szCs w:val="32"/>
          <w:rtl/>
          <w:lang w:eastAsia="en-US"/>
        </w:rPr>
        <w:fldChar w:fldCharType="begin"/>
      </w:r>
      <w:r>
        <w:instrText xml:space="preserve"> XE "</w:instrText>
      </w:r>
      <w:r w:rsidRPr="00921233">
        <w:rPr>
          <w:rFonts w:ascii="Traditional Arabic" w:hAnsi="Traditional Arabic"/>
          <w:noProof w:val="0"/>
          <w:color w:val="auto"/>
          <w:sz w:val="32"/>
          <w:szCs w:val="32"/>
          <w:rtl/>
          <w:lang w:eastAsia="en-US"/>
        </w:rPr>
        <w:instrText>الذهب بالذهب والفضة بالفضة</w:instrText>
      </w:r>
      <w:r>
        <w:instrText>" \fh</w:instrText>
      </w:r>
      <w:r w:rsidR="00AB0B9E">
        <w:rPr>
          <w:rFonts w:ascii="Traditional Arabic" w:hAnsi="Traditional Arabic"/>
          <w:noProof w:val="0"/>
          <w:color w:val="auto"/>
          <w:sz w:val="32"/>
          <w:szCs w:val="32"/>
          <w:rtl/>
          <w:lang w:eastAsia="en-US"/>
        </w:rPr>
        <w:fldChar w:fldCharType="end"/>
      </w:r>
      <w:r w:rsidRPr="00A42B18">
        <w:rPr>
          <w:rFonts w:ascii="Traditional Arabic" w:hAnsi="Traditional Arabic"/>
          <w:noProof w:val="0"/>
          <w:color w:val="auto"/>
          <w:sz w:val="32"/>
          <w:szCs w:val="32"/>
          <w:rtl/>
          <w:lang w:eastAsia="en-US"/>
        </w:rPr>
        <w:t xml:space="preserve"> والبر بالبر والشعير بالشعير والتمر بالتمر والملح بالملح مثلا بمثل سواء بسواء يدا بيد فإذا اختلفت هذه الأصناف فبيعوا كيف شئتم إذا كان يدا بيد".</w:t>
      </w:r>
    </w:p>
    <w:p w:rsidR="000D3D21" w:rsidRDefault="000D3D21" w:rsidP="00E269AD">
      <w:pPr>
        <w:pStyle w:val="a7"/>
        <w:pageBreakBefore/>
        <w:rPr>
          <w:rFonts w:ascii="Traditional Arabic" w:hAnsi="Traditional Arabic"/>
          <w:noProof w:val="0"/>
          <w:color w:val="auto"/>
          <w:sz w:val="32"/>
          <w:szCs w:val="32"/>
          <w:rtl/>
          <w:lang w:eastAsia="en-US"/>
        </w:rPr>
      </w:pPr>
      <w:r>
        <w:rPr>
          <w:rFonts w:ascii="Traditional Arabic" w:hAnsi="Traditional Arabic" w:hint="cs"/>
          <w:noProof w:val="0"/>
          <w:color w:val="auto"/>
          <w:sz w:val="32"/>
          <w:szCs w:val="32"/>
          <w:rtl/>
          <w:lang w:eastAsia="en-US"/>
        </w:rPr>
        <w:t xml:space="preserve">      وألحق جمهور العلماء بها ما كان مشتملا على علة الربا من غير هذه الأصناف. انظر الشرح الممتع (8/394-395).</w:t>
      </w:r>
    </w:p>
    <w:p w:rsidR="000D3D21" w:rsidRPr="00A42B18" w:rsidRDefault="000D3D21" w:rsidP="00E269AD">
      <w:pPr>
        <w:pStyle w:val="a7"/>
        <w:pageBreakBefore/>
        <w:rPr>
          <w:rFonts w:ascii="Traditional Arabic" w:hAnsi="Traditional Arabic"/>
          <w:sz w:val="32"/>
          <w:szCs w:val="32"/>
        </w:rPr>
      </w:pPr>
      <w:r>
        <w:rPr>
          <w:rFonts w:ascii="Traditional Arabic" w:hAnsi="Traditional Arabic" w:hint="cs"/>
          <w:sz w:val="32"/>
          <w:szCs w:val="32"/>
          <w:rtl/>
        </w:rPr>
        <w:t xml:space="preserve">      والحديث </w:t>
      </w:r>
      <w:r w:rsidRPr="00A42B18">
        <w:rPr>
          <w:rFonts w:ascii="Traditional Arabic" w:hAnsi="Traditional Arabic"/>
          <w:sz w:val="32"/>
          <w:szCs w:val="32"/>
          <w:rtl/>
        </w:rPr>
        <w:t>أخرجه مسلم في كتاب المساقاة والمزارعة، باب الصرف وبيع الذهب بالورِق نقدا، رقم الحديث (1587).</w:t>
      </w:r>
    </w:p>
  </w:footnote>
  <w:footnote w:id="1868">
    <w:p w:rsidR="000D3D21" w:rsidRPr="00A42B18"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وبعض الفقهاء يسمي ربا النساء بربا النسيئة باعتبارها تعني التأخير كالنساء. انظر معجم المصطلحات والاقتصادية (219، 223-224).</w:t>
      </w:r>
    </w:p>
  </w:footnote>
  <w:footnote w:id="1869">
    <w:p w:rsidR="000D3D21" w:rsidRPr="00074C63"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74C63">
        <w:rPr>
          <w:rFonts w:ascii="Traditional Arabic" w:hAnsi="Traditional Arabic"/>
          <w:sz w:val="32"/>
          <w:szCs w:val="32"/>
          <w:rtl/>
        </w:rPr>
        <w:t>مجموع فتاوى ورسائل ابن عثيمين (29/50)</w:t>
      </w:r>
      <w:r>
        <w:rPr>
          <w:rFonts w:ascii="Traditional Arabic" w:hAnsi="Traditional Arabic" w:hint="cs"/>
          <w:sz w:val="32"/>
          <w:szCs w:val="32"/>
          <w:rtl/>
        </w:rPr>
        <w:t>، وانظر الشرح الممتع (8/393-394)، والتعليق على صحيح مسلم لابن عثيمين (312-313)</w:t>
      </w:r>
      <w:r w:rsidRPr="00074C63">
        <w:rPr>
          <w:rFonts w:ascii="Traditional Arabic" w:hAnsi="Traditional Arabic"/>
          <w:sz w:val="32"/>
          <w:szCs w:val="32"/>
          <w:rtl/>
        </w:rPr>
        <w:t>.</w:t>
      </w:r>
    </w:p>
  </w:footnote>
  <w:footnote w:id="1870">
    <w:p w:rsidR="000D3D21" w:rsidRPr="00A42B18"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42B18">
        <w:rPr>
          <w:rFonts w:ascii="Traditional Arabic" w:hAnsi="Traditional Arabic"/>
          <w:sz w:val="32"/>
          <w:szCs w:val="32"/>
          <w:rtl/>
        </w:rPr>
        <w:t>انظر الشرح الممتع (8/147، 153، 155، 158، 160، 170، 210، 275، 444، 445)، و(9/28، 56، 60، 234، 241، 320، 370، 449)، و(10/7، 33، 77، 91).</w:t>
      </w:r>
    </w:p>
  </w:footnote>
  <w:footnote w:id="1871">
    <w:p w:rsidR="000D3D21" w:rsidRPr="00DA18C0"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A18C0">
        <w:rPr>
          <w:rFonts w:ascii="Traditional Arabic" w:hAnsi="Traditional Arabic"/>
          <w:sz w:val="32"/>
          <w:szCs w:val="32"/>
          <w:rtl/>
        </w:rPr>
        <w:t xml:space="preserve"> انظر الشرح الممتع </w:t>
      </w:r>
      <w:r w:rsidRPr="00DA18C0">
        <w:rPr>
          <w:rFonts w:ascii="Traditional Arabic" w:hAnsi="Traditional Arabic"/>
          <w:color w:val="auto"/>
          <w:sz w:val="32"/>
          <w:szCs w:val="32"/>
          <w:rtl/>
        </w:rPr>
        <w:t>(8/157، 167، 214،</w:t>
      </w:r>
      <w:r w:rsidRPr="00DA18C0">
        <w:rPr>
          <w:rFonts w:ascii="Traditional Arabic" w:hAnsi="Traditional Arabic" w:hint="cs"/>
          <w:color w:val="auto"/>
          <w:sz w:val="32"/>
          <w:szCs w:val="32"/>
          <w:rtl/>
        </w:rPr>
        <w:t xml:space="preserve"> 235،</w:t>
      </w:r>
      <w:r w:rsidRPr="00DA18C0">
        <w:rPr>
          <w:rFonts w:ascii="Traditional Arabic" w:hAnsi="Traditional Arabic"/>
          <w:color w:val="auto"/>
          <w:sz w:val="32"/>
          <w:szCs w:val="32"/>
          <w:rtl/>
        </w:rPr>
        <w:t xml:space="preserve"> 280، 428)، و(9/29، 33، 53، 71، 92، 120، 134، 150، 213، 233)، و(10/6، 29)</w:t>
      </w:r>
      <w:r>
        <w:rPr>
          <w:rFonts w:ascii="Traditional Arabic" w:hAnsi="Traditional Arabic" w:hint="cs"/>
          <w:color w:val="auto"/>
          <w:sz w:val="32"/>
          <w:szCs w:val="32"/>
          <w:rtl/>
        </w:rPr>
        <w:t>، ومجموع فتاوى ورسائل ابن عثيمين (28/197، 223، 280)</w:t>
      </w:r>
      <w:r w:rsidRPr="00DA18C0">
        <w:rPr>
          <w:rFonts w:ascii="Traditional Arabic" w:hAnsi="Traditional Arabic"/>
          <w:sz w:val="32"/>
          <w:szCs w:val="32"/>
          <w:rtl/>
        </w:rPr>
        <w:t>.</w:t>
      </w:r>
    </w:p>
  </w:footnote>
  <w:footnote w:id="1872">
    <w:p w:rsidR="000D3D21" w:rsidRPr="00DA18C0"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18C0">
        <w:rPr>
          <w:rFonts w:ascii="Traditional Arabic" w:hAnsi="Traditional Arabic" w:hint="cs"/>
          <w:sz w:val="32"/>
          <w:szCs w:val="32"/>
          <w:rtl/>
        </w:rPr>
        <w:t xml:space="preserve">قال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_بعد انتهائه من شرح ما يتعلق بشروط البيع من كتاب زاد المستقنع</w:t>
      </w:r>
      <w:r w:rsidRPr="00DA18C0">
        <w:rPr>
          <w:rFonts w:ascii="Traditional Arabic" w:hAnsi="Traditional Arabic" w:hint="cs"/>
          <w:sz w:val="32"/>
          <w:szCs w:val="32"/>
          <w:rtl/>
        </w:rPr>
        <w:t>: (</w:t>
      </w:r>
      <w:r w:rsidRPr="00DA18C0">
        <w:rPr>
          <w:rFonts w:ascii="Traditional Arabic" w:hAnsi="Traditional Arabic"/>
          <w:noProof w:val="0"/>
          <w:color w:val="auto"/>
          <w:sz w:val="32"/>
          <w:szCs w:val="32"/>
          <w:rtl/>
          <w:lang w:eastAsia="en-US"/>
        </w:rPr>
        <w:t>وبهذا انتهت شروط البيع، وتبي</w:t>
      </w:r>
      <w:r>
        <w:rPr>
          <w:rFonts w:ascii="Traditional Arabic" w:hAnsi="Traditional Arabic" w:hint="cs"/>
          <w:noProof w:val="0"/>
          <w:color w:val="auto"/>
          <w:sz w:val="32"/>
          <w:szCs w:val="32"/>
          <w:rtl/>
          <w:lang w:eastAsia="en-US"/>
        </w:rPr>
        <w:t>َّ</w:t>
      </w:r>
      <w:r w:rsidRPr="00DA18C0">
        <w:rPr>
          <w:rFonts w:ascii="Traditional Arabic" w:hAnsi="Traditional Arabic"/>
          <w:noProof w:val="0"/>
          <w:color w:val="auto"/>
          <w:sz w:val="32"/>
          <w:szCs w:val="32"/>
          <w:rtl/>
          <w:lang w:eastAsia="en-US"/>
        </w:rPr>
        <w:t>ن أن الشروط تدور على ثلاثة أشياء: الظلم، والربا، والغرر، فمن باع ما لا يملك فهذا من باب الظلم، ومن تعامل بالربا فهذا من باب الربا، ومن باع بالمجهول فهذا من باب الغرر</w:t>
      </w:r>
      <w:r w:rsidRPr="00DA18C0">
        <w:rPr>
          <w:rFonts w:ascii="Traditional Arabic" w:hAnsi="Traditional Arabic" w:hint="cs"/>
          <w:b/>
          <w:bCs/>
          <w:noProof w:val="0"/>
          <w:sz w:val="32"/>
          <w:szCs w:val="32"/>
          <w:rtl/>
          <w:lang w:eastAsia="en-US"/>
        </w:rPr>
        <w:t>)</w:t>
      </w:r>
      <w:r w:rsidRPr="00DA18C0">
        <w:rPr>
          <w:rFonts w:ascii="Traditional Arabic" w:hAnsi="Traditional Arabic"/>
          <w:b/>
          <w:bCs/>
          <w:noProof w:val="0"/>
          <w:sz w:val="32"/>
          <w:szCs w:val="32"/>
          <w:rtl/>
          <w:lang w:eastAsia="en-US"/>
        </w:rPr>
        <w:t>.</w:t>
      </w:r>
      <w:r>
        <w:rPr>
          <w:rFonts w:ascii="Traditional Arabic" w:hAnsi="Traditional Arabic" w:hint="cs"/>
          <w:sz w:val="32"/>
          <w:szCs w:val="32"/>
          <w:rtl/>
        </w:rPr>
        <w:t xml:space="preserve"> </w:t>
      </w:r>
      <w:r w:rsidRPr="00DA18C0">
        <w:rPr>
          <w:rFonts w:ascii="Traditional Arabic" w:hAnsi="Traditional Arabic"/>
          <w:sz w:val="32"/>
          <w:szCs w:val="32"/>
          <w:rtl/>
        </w:rPr>
        <w:t>الشرح الممتع (8/1</w:t>
      </w:r>
      <w:r w:rsidRPr="00DA18C0">
        <w:rPr>
          <w:rFonts w:ascii="Traditional Arabic" w:hAnsi="Traditional Arabic" w:hint="cs"/>
          <w:sz w:val="32"/>
          <w:szCs w:val="32"/>
          <w:rtl/>
        </w:rPr>
        <w:t>84</w:t>
      </w:r>
      <w:r w:rsidRPr="00DA18C0">
        <w:rPr>
          <w:rFonts w:ascii="Traditional Arabic" w:hAnsi="Traditional Arabic"/>
          <w:sz w:val="32"/>
          <w:szCs w:val="32"/>
          <w:rtl/>
        </w:rPr>
        <w:t>)</w:t>
      </w:r>
      <w:r w:rsidRPr="00DA18C0">
        <w:rPr>
          <w:rFonts w:ascii="Traditional Arabic" w:hAnsi="Traditional Arabic" w:hint="cs"/>
          <w:sz w:val="32"/>
          <w:szCs w:val="32"/>
          <w:rtl/>
        </w:rPr>
        <w:t>، وانظر (8/107)</w:t>
      </w:r>
      <w:r w:rsidRPr="00DA18C0">
        <w:rPr>
          <w:rFonts w:ascii="Traditional Arabic" w:hAnsi="Traditional Arabic"/>
          <w:sz w:val="32"/>
          <w:szCs w:val="32"/>
          <w:rtl/>
        </w:rPr>
        <w:t xml:space="preserve">. </w:t>
      </w:r>
    </w:p>
  </w:footnote>
  <w:footnote w:id="1873">
    <w:p w:rsidR="000D3D21" w:rsidRPr="00DA18C0" w:rsidRDefault="000D3D21" w:rsidP="00E269AD">
      <w:pPr>
        <w:pStyle w:val="a7"/>
        <w:pageBreakBefore/>
        <w:rPr>
          <w:rFonts w:ascii="Tahoma" w:hAnsi="Tahoma"/>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A18C0">
        <w:rPr>
          <w:rFonts w:ascii="Traditional Arabic" w:hAnsi="Traditional Arabic"/>
          <w:sz w:val="32"/>
          <w:szCs w:val="32"/>
          <w:rtl/>
        </w:rPr>
        <w:t>انظر في شرح القاعدة وتفاصيل أسباب تحريم المعاملات:</w:t>
      </w:r>
      <w:r>
        <w:rPr>
          <w:rFonts w:ascii="Traditional Arabic" w:hAnsi="Traditional Arabic" w:hint="cs"/>
          <w:sz w:val="32"/>
          <w:szCs w:val="32"/>
          <w:rtl/>
        </w:rPr>
        <w:t xml:space="preserve"> </w:t>
      </w:r>
      <w:r w:rsidRPr="00DA18C0">
        <w:rPr>
          <w:rFonts w:ascii="Traditional Arabic" w:hAnsi="Traditional Arabic"/>
          <w:sz w:val="32"/>
          <w:szCs w:val="32"/>
          <w:rtl/>
        </w:rPr>
        <w:t xml:space="preserve">الشرح الممتع (9/53، 134)، والتعليق على القواعد والأصول الجامعة (146-154)، </w:t>
      </w:r>
      <w:r w:rsidRPr="00DA18C0">
        <w:rPr>
          <w:rFonts w:ascii="Traditional Arabic" w:hAnsi="Traditional Arabic" w:hint="cs"/>
          <w:sz w:val="32"/>
          <w:szCs w:val="32"/>
          <w:rtl/>
        </w:rPr>
        <w:t xml:space="preserve">ومجموع فتاوى ورسائل ابن عثيمين (28/223، 280)، </w:t>
      </w:r>
      <w:r w:rsidRPr="00DA18C0">
        <w:rPr>
          <w:rFonts w:ascii="Traditional Arabic" w:hAnsi="Traditional Arabic"/>
          <w:sz w:val="32"/>
          <w:szCs w:val="32"/>
          <w:rtl/>
        </w:rPr>
        <w:t xml:space="preserve">والقواعد النورانية (168-190)، </w:t>
      </w:r>
      <w:r>
        <w:rPr>
          <w:rFonts w:ascii="Traditional Arabic" w:hAnsi="Traditional Arabic" w:hint="cs"/>
          <w:sz w:val="32"/>
          <w:szCs w:val="32"/>
          <w:rtl/>
        </w:rPr>
        <w:t xml:space="preserve">والعقود لابن تيمية (437، 442_446)، </w:t>
      </w:r>
      <w:r w:rsidRPr="00DA18C0">
        <w:rPr>
          <w:rFonts w:ascii="Traditional Arabic" w:hAnsi="Traditional Arabic"/>
          <w:sz w:val="32"/>
          <w:szCs w:val="32"/>
          <w:rtl/>
        </w:rPr>
        <w:t>والقواعد والأصول الجامعة (71)، وتيسير اللطيف المنان (117-120، 164)، و</w:t>
      </w:r>
      <w:r>
        <w:rPr>
          <w:rFonts w:ascii="Traditional Arabic" w:hAnsi="Traditional Arabic"/>
          <w:sz w:val="32"/>
          <w:szCs w:val="32"/>
          <w:rtl/>
        </w:rPr>
        <w:t xml:space="preserve">إرشاد أولي البصائر والألباب </w:t>
      </w:r>
      <w:r w:rsidRPr="00DA18C0">
        <w:rPr>
          <w:rFonts w:ascii="Traditional Arabic" w:hAnsi="Traditional Arabic"/>
          <w:sz w:val="32"/>
          <w:szCs w:val="32"/>
          <w:rtl/>
        </w:rPr>
        <w:t>(101-116).</w:t>
      </w:r>
    </w:p>
    <w:p w:rsidR="000D3D21" w:rsidRPr="00DA18C0" w:rsidRDefault="000D3D21" w:rsidP="00E269AD">
      <w:pPr>
        <w:pStyle w:val="a7"/>
        <w:pageBreakBefore/>
        <w:rPr>
          <w:rFonts w:ascii="Tahoma" w:hAnsi="Tahoma"/>
          <w:sz w:val="32"/>
          <w:szCs w:val="32"/>
          <w:rtl/>
        </w:rPr>
      </w:pPr>
      <w:r>
        <w:rPr>
          <w:rFonts w:ascii="Tahoma" w:hAnsi="Tahoma" w:hint="cs"/>
          <w:sz w:val="32"/>
          <w:szCs w:val="32"/>
          <w:rtl/>
        </w:rPr>
        <w:t xml:space="preserve">      </w:t>
      </w:r>
      <w:r>
        <w:rPr>
          <w:rFonts w:ascii="Tahoma" w:hAnsi="Tahoma" w:hint="cs"/>
          <w:b/>
          <w:bCs/>
          <w:sz w:val="32"/>
          <w:szCs w:val="32"/>
          <w:rtl/>
        </w:rPr>
        <w:t xml:space="preserve">تنبيه: </w:t>
      </w:r>
      <w:r w:rsidRPr="00DA18C0">
        <w:rPr>
          <w:rFonts w:ascii="Tahoma" w:hAnsi="Tahoma" w:hint="cs"/>
          <w:sz w:val="32"/>
          <w:szCs w:val="32"/>
          <w:rtl/>
        </w:rPr>
        <w:t>المقصود في القاعدة فيما يتعلق بالغرر عقود المعاوضة دون عقود التبرُّع والتوثقة؛ وذلك أن عقود المعاوضة مبناها على المشاحة والمطالبة بالحق كاملاً، فينبغي أن ت</w:t>
      </w:r>
      <w:r>
        <w:rPr>
          <w:rFonts w:ascii="Tahoma" w:hAnsi="Tahoma" w:hint="cs"/>
          <w:sz w:val="32"/>
          <w:szCs w:val="32"/>
          <w:rtl/>
        </w:rPr>
        <w:t>ُ</w:t>
      </w:r>
      <w:r w:rsidRPr="00DA18C0">
        <w:rPr>
          <w:rFonts w:ascii="Tahoma" w:hAnsi="Tahoma" w:hint="cs"/>
          <w:sz w:val="32"/>
          <w:szCs w:val="32"/>
          <w:rtl/>
        </w:rPr>
        <w:t>حرَّر ولا يكون فيها مخاطرة بحيث يكون العقد متردِّدا بين الغُنْم والغُرْم، والتحرير يكون بالعلم بالمبيع في البيع مثلا،أوالعلم بالأجرة والمنفعة في الإجارة، ويكون كذلك بالقدرة على تسليم المبيع أو المنفعة.</w:t>
      </w:r>
    </w:p>
    <w:p w:rsidR="000D3D21" w:rsidRPr="00DA18C0" w:rsidRDefault="000D3D21" w:rsidP="00E269AD">
      <w:pPr>
        <w:pStyle w:val="a7"/>
        <w:pageBreakBefore/>
        <w:rPr>
          <w:rFonts w:ascii="Tahoma" w:hAnsi="Tahoma"/>
          <w:sz w:val="32"/>
          <w:szCs w:val="32"/>
          <w:rtl/>
        </w:rPr>
      </w:pPr>
      <w:r>
        <w:rPr>
          <w:rFonts w:ascii="Tahoma" w:hAnsi="Tahoma" w:hint="cs"/>
          <w:sz w:val="32"/>
          <w:szCs w:val="32"/>
          <w:rtl/>
        </w:rPr>
        <w:t xml:space="preserve">      </w:t>
      </w:r>
      <w:r w:rsidRPr="00DA18C0">
        <w:rPr>
          <w:rFonts w:ascii="Tahoma" w:hAnsi="Tahoma" w:hint="cs"/>
          <w:sz w:val="32"/>
          <w:szCs w:val="32"/>
          <w:rtl/>
        </w:rPr>
        <w:t>أما عقود التبرعات فهي مترددة بين الغُنم والسلامة؛ ولذلك ي</w:t>
      </w:r>
      <w:r>
        <w:rPr>
          <w:rFonts w:ascii="Tahoma" w:hAnsi="Tahoma" w:hint="cs"/>
          <w:sz w:val="32"/>
          <w:szCs w:val="32"/>
          <w:rtl/>
        </w:rPr>
        <w:t>ُ</w:t>
      </w:r>
      <w:r w:rsidRPr="00DA18C0">
        <w:rPr>
          <w:rFonts w:ascii="Tahoma" w:hAnsi="Tahoma" w:hint="cs"/>
          <w:sz w:val="32"/>
          <w:szCs w:val="32"/>
          <w:rtl/>
        </w:rPr>
        <w:t>سام</w:t>
      </w:r>
      <w:r>
        <w:rPr>
          <w:rFonts w:ascii="Tahoma" w:hAnsi="Tahoma" w:hint="cs"/>
          <w:sz w:val="32"/>
          <w:szCs w:val="32"/>
          <w:rtl/>
        </w:rPr>
        <w:t>َ</w:t>
      </w:r>
      <w:r w:rsidRPr="00DA18C0">
        <w:rPr>
          <w:rFonts w:ascii="Tahoma" w:hAnsi="Tahoma" w:hint="cs"/>
          <w:sz w:val="32"/>
          <w:szCs w:val="32"/>
          <w:rtl/>
        </w:rPr>
        <w:t>ح فيها بالجهل، وكذلك عقود التوثقة؛ فإنها إن حصلت فهو مَغْنَمٌ</w:t>
      </w:r>
      <w:r>
        <w:rPr>
          <w:rFonts w:ascii="Tahoma" w:hAnsi="Tahoma" w:hint="cs"/>
          <w:sz w:val="32"/>
          <w:szCs w:val="32"/>
          <w:rtl/>
        </w:rPr>
        <w:t xml:space="preserve">، </w:t>
      </w:r>
      <w:r w:rsidRPr="00DA18C0">
        <w:rPr>
          <w:rFonts w:ascii="Tahoma" w:hAnsi="Tahoma" w:hint="cs"/>
          <w:sz w:val="32"/>
          <w:szCs w:val="32"/>
          <w:rtl/>
        </w:rPr>
        <w:t>وإلا فالحق فيها باقٍ لا يضيع.</w:t>
      </w:r>
    </w:p>
    <w:p w:rsidR="000D3D21" w:rsidRPr="00DA18C0" w:rsidRDefault="000D3D21" w:rsidP="00E269AD">
      <w:pPr>
        <w:pStyle w:val="a7"/>
        <w:pageBreakBefore/>
        <w:rPr>
          <w:rFonts w:ascii="Tahoma" w:hAnsi="Tahoma"/>
          <w:sz w:val="32"/>
          <w:szCs w:val="32"/>
          <w:rtl/>
        </w:rPr>
      </w:pPr>
      <w:r>
        <w:rPr>
          <w:rFonts w:ascii="Tahoma" w:hAnsi="Tahoma" w:hint="cs"/>
          <w:sz w:val="32"/>
          <w:szCs w:val="32"/>
          <w:rtl/>
        </w:rPr>
        <w:t xml:space="preserve">     </w:t>
      </w:r>
      <w:r w:rsidRPr="00DA18C0">
        <w:rPr>
          <w:rFonts w:ascii="Tahoma" w:hAnsi="Tahoma" w:hint="cs"/>
          <w:sz w:val="32"/>
          <w:szCs w:val="32"/>
          <w:rtl/>
        </w:rPr>
        <w:t xml:space="preserve">ولعل هذا سبب تقييد الشيخ ابن عثيمين </w:t>
      </w:r>
      <w:r>
        <w:rPr>
          <w:rFonts w:ascii="Tahoma" w:hAnsi="Tahoma" w:hint="cs"/>
          <w:sz w:val="32"/>
          <w:szCs w:val="32"/>
          <w:rtl/>
        </w:rPr>
        <w:t>_</w:t>
      </w:r>
      <w:r>
        <w:rPr>
          <w:rFonts w:ascii="Traditional Arabic" w:hAnsi="Traditional Arabic" w:cs="CTraditional Arabic" w:hint="cs"/>
          <w:rtl/>
        </w:rPr>
        <w:t>/</w:t>
      </w:r>
      <w:r>
        <w:rPr>
          <w:rFonts w:ascii="Tahoma" w:hAnsi="Tahoma" w:hint="cs"/>
          <w:sz w:val="32"/>
          <w:szCs w:val="32"/>
          <w:rtl/>
        </w:rPr>
        <w:t>_</w:t>
      </w:r>
      <w:r w:rsidRPr="00DA18C0">
        <w:rPr>
          <w:rFonts w:ascii="Tahoma" w:hAnsi="Tahoma" w:hint="cs"/>
          <w:sz w:val="32"/>
          <w:szCs w:val="32"/>
          <w:rtl/>
        </w:rPr>
        <w:t xml:space="preserve"> هذه القاعدة بعقود المعاوضة، حيث </w:t>
      </w:r>
      <w:r>
        <w:rPr>
          <w:rFonts w:ascii="Tahoma" w:hAnsi="Tahoma" w:hint="cs"/>
          <w:sz w:val="32"/>
          <w:szCs w:val="32"/>
          <w:rtl/>
        </w:rPr>
        <w:t xml:space="preserve">إنه </w:t>
      </w:r>
      <w:r w:rsidRPr="00DA18C0">
        <w:rPr>
          <w:rFonts w:ascii="Tahoma" w:hAnsi="Tahoma" w:hint="cs"/>
          <w:sz w:val="32"/>
          <w:szCs w:val="32"/>
          <w:rtl/>
        </w:rPr>
        <w:t>قال: (</w:t>
      </w:r>
      <w:r w:rsidRPr="00DA18C0">
        <w:rPr>
          <w:rFonts w:ascii="Traditional Arabic" w:hAnsi="Traditional Arabic"/>
          <w:noProof w:val="0"/>
          <w:color w:val="auto"/>
          <w:sz w:val="32"/>
          <w:szCs w:val="32"/>
          <w:rtl/>
          <w:lang w:eastAsia="en-US"/>
        </w:rPr>
        <w:t>ومدار المعاملات المحرمة ـ أي: معاملات المعاوضة ـ على هذه الثلاثة، الربا والظلم والغرر</w:t>
      </w:r>
      <w:r w:rsidRPr="00DA18C0">
        <w:rPr>
          <w:rFonts w:ascii="Tahoma" w:hAnsi="Tahoma" w:hint="cs"/>
          <w:sz w:val="32"/>
          <w:szCs w:val="32"/>
          <w:rtl/>
        </w:rPr>
        <w:t>).</w:t>
      </w:r>
    </w:p>
    <w:p w:rsidR="000D3D21" w:rsidRPr="00397A2F" w:rsidRDefault="000D3D21" w:rsidP="0034747A">
      <w:pPr>
        <w:pStyle w:val="a7"/>
        <w:pageBreakBefore/>
        <w:rPr>
          <w:rFonts w:ascii="Tahoma" w:hAnsi="Tahoma"/>
        </w:rPr>
      </w:pPr>
      <w:r>
        <w:rPr>
          <w:rFonts w:ascii="Tahoma" w:hAnsi="Tahoma" w:hint="cs"/>
          <w:sz w:val="32"/>
          <w:szCs w:val="32"/>
          <w:rtl/>
        </w:rPr>
        <w:t xml:space="preserve">      </w:t>
      </w:r>
      <w:r w:rsidRPr="00DA18C0">
        <w:rPr>
          <w:rFonts w:ascii="Tahoma" w:hAnsi="Tahoma" w:hint="cs"/>
          <w:sz w:val="32"/>
          <w:szCs w:val="32"/>
          <w:rtl/>
        </w:rPr>
        <w:t xml:space="preserve">الشرح الممتع (9/53)، وانظر </w:t>
      </w:r>
      <w:r>
        <w:rPr>
          <w:rFonts w:ascii="Tahoma" w:hAnsi="Tahoma" w:hint="cs"/>
          <w:sz w:val="32"/>
          <w:szCs w:val="32"/>
          <w:rtl/>
        </w:rPr>
        <w:t>(9/123، 193)، و(11/16، 67)، و</w:t>
      </w:r>
      <w:r w:rsidRPr="00DA18C0">
        <w:rPr>
          <w:rFonts w:ascii="Tahoma" w:hAnsi="Tahoma" w:hint="cs"/>
          <w:sz w:val="32"/>
          <w:szCs w:val="32"/>
          <w:rtl/>
        </w:rPr>
        <w:t>شرح منظومة أصول الفقه وقواعده (262، 263، 265، 270، 271).</w:t>
      </w:r>
    </w:p>
  </w:footnote>
  <w:footnote w:id="1874">
    <w:p w:rsidR="000D3D21" w:rsidRPr="00A15190"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سيأتي ذكر بعضها </w:t>
      </w:r>
      <w:r>
        <w:rPr>
          <w:rFonts w:ascii="Traditional Arabic" w:hAnsi="Traditional Arabic" w:hint="cs"/>
          <w:sz w:val="32"/>
          <w:szCs w:val="32"/>
          <w:rtl/>
        </w:rPr>
        <w:t>ضمن</w:t>
      </w:r>
      <w:r w:rsidRPr="00A15190">
        <w:rPr>
          <w:rFonts w:ascii="Traditional Arabic" w:hAnsi="Traditional Arabic"/>
          <w:sz w:val="32"/>
          <w:szCs w:val="32"/>
          <w:rtl/>
        </w:rPr>
        <w:t xml:space="preserve"> كلام شيخ الإسلام، والإشارة إلى بعضها في الحاشية.</w:t>
      </w:r>
    </w:p>
  </w:footnote>
  <w:footnote w:id="1875">
    <w:p w:rsidR="000D3D21" w:rsidRPr="005B67B9" w:rsidRDefault="000D3D21" w:rsidP="00E269AD">
      <w:pPr>
        <w:pStyle w:val="a7"/>
        <w:pageBreakBefore/>
        <w:rPr>
          <w:rFonts w:ascii="Traditional Arabic" w:hAnsi="Traditional Arabic"/>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B67B9">
        <w:rPr>
          <w:rFonts w:ascii="Traditional Arabic" w:hAnsi="Traditional Arabic"/>
          <w:sz w:val="32"/>
          <w:szCs w:val="32"/>
          <w:rtl/>
        </w:rPr>
        <w:t>كما في قوله تعالى:</w:t>
      </w:r>
      <w:bookmarkStart w:id="392" w:name="سورة_النساء_29_4"/>
      <w:r>
        <w:rPr>
          <w:rFonts w:ascii="QCF_BSML" w:hAnsi="QCF_BSML" w:cs="QCF_BSML"/>
          <w:noProof w:val="0"/>
          <w:sz w:val="32"/>
          <w:szCs w:val="32"/>
          <w:rtl/>
          <w:lang w:eastAsia="en-US"/>
        </w:rPr>
        <w:t>ﭽ</w:t>
      </w:r>
      <w:r w:rsidRPr="005B67B9">
        <w:rPr>
          <w:rFonts w:ascii="QCF_P083" w:hAnsi="QCF_P083" w:cs="QCF_P083"/>
          <w:noProof w:val="0"/>
          <w:sz w:val="32"/>
          <w:szCs w:val="32"/>
          <w:rtl/>
          <w:lang w:eastAsia="en-US"/>
        </w:rPr>
        <w:t>ﭩ</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ﭪ</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ﭫ</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ﭬ</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ﭭ</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ﭮ</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ﭯ</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ﭰ</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ﭱ</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ﭲ</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ﭳ</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ﭴ</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ﭵ</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ﭶ</w:t>
      </w:r>
      <w:r>
        <w:rPr>
          <w:rFonts w:ascii="QCF_P083" w:hAnsi="QCF_P083" w:cs="QCF_P083" w:hint="cs"/>
          <w:noProof w:val="0"/>
          <w:sz w:val="32"/>
          <w:szCs w:val="32"/>
          <w:rtl/>
          <w:lang w:eastAsia="en-US"/>
        </w:rPr>
        <w:t xml:space="preserve"> </w:t>
      </w:r>
      <w:r w:rsidRPr="005B67B9">
        <w:rPr>
          <w:rFonts w:ascii="QCF_P083" w:hAnsi="QCF_P083" w:cs="QCF_P083"/>
          <w:noProof w:val="0"/>
          <w:sz w:val="32"/>
          <w:szCs w:val="32"/>
          <w:rtl/>
          <w:lang w:eastAsia="en-US"/>
        </w:rPr>
        <w:t>ﭷ</w:t>
      </w:r>
      <w:r w:rsidRPr="005B67B9">
        <w:rPr>
          <w:rFonts w:ascii="QCF_BSML" w:hAnsi="QCF_BSML" w:cs="QCF_BSML"/>
          <w:noProof w:val="0"/>
          <w:sz w:val="32"/>
          <w:szCs w:val="32"/>
          <w:rtl/>
          <w:lang w:eastAsia="en-US"/>
        </w:rPr>
        <w:t>ﭼ</w:t>
      </w:r>
      <w:bookmarkEnd w:id="392"/>
      <w:r>
        <w:rPr>
          <w:rFonts w:ascii="Traditional Arabic" w:hAnsi="Traditional Arabic" w:hint="cs"/>
          <w:noProof w:val="0"/>
          <w:color w:val="auto"/>
          <w:sz w:val="32"/>
          <w:szCs w:val="32"/>
          <w:rtl/>
          <w:lang w:eastAsia="en-US"/>
        </w:rPr>
        <w:t>[</w:t>
      </w:r>
      <w:r w:rsidRPr="005B67B9">
        <w:rPr>
          <w:rFonts w:ascii="Traditional Arabic" w:hAnsi="Traditional Arabic"/>
          <w:noProof w:val="0"/>
          <w:color w:val="auto"/>
          <w:sz w:val="32"/>
          <w:szCs w:val="32"/>
          <w:rtl/>
          <w:lang w:eastAsia="en-US"/>
        </w:rPr>
        <w:t>النساء: ٢٩</w:t>
      </w:r>
      <w:r>
        <w:rPr>
          <w:rFonts w:ascii="Traditional Arabic" w:hAnsi="Traditional Arabic" w:hint="cs"/>
          <w:noProof w:val="0"/>
          <w:color w:val="auto"/>
          <w:sz w:val="32"/>
          <w:szCs w:val="32"/>
          <w:rtl/>
          <w:lang w:eastAsia="en-US"/>
        </w:rPr>
        <w:t>].</w:t>
      </w:r>
    </w:p>
  </w:footnote>
  <w:footnote w:id="1876">
    <w:p w:rsidR="000D3D21" w:rsidRPr="005B67B9" w:rsidRDefault="000D3D21" w:rsidP="00E269AD">
      <w:pPr>
        <w:pStyle w:val="a7"/>
        <w:pageBreakBefore/>
        <w:rPr>
          <w:rFonts w:ascii="Traditional Arabic" w:hAnsi="Traditional Arabic"/>
          <w:color w:val="auto"/>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6A6D7D">
        <w:rPr>
          <w:rFonts w:ascii="Traditional Arabic" w:hAnsi="Traditional Arabic"/>
          <w:sz w:val="32"/>
          <w:szCs w:val="32"/>
          <w:rtl/>
        </w:rPr>
        <w:t xml:space="preserve"> في قوله تعالى:</w:t>
      </w:r>
      <w:bookmarkStart w:id="393" w:name="سورة_التوبة_34"/>
      <w:r>
        <w:rPr>
          <w:rFonts w:ascii="QCF_BSML" w:hAnsi="QCF_BSML" w:cs="QCF_BSML"/>
          <w:noProof w:val="0"/>
          <w:sz w:val="32"/>
          <w:szCs w:val="32"/>
          <w:rtl/>
          <w:lang w:eastAsia="en-US"/>
        </w:rPr>
        <w:t>ﭽ</w:t>
      </w:r>
      <w:r w:rsidRPr="005B67B9">
        <w:rPr>
          <w:rFonts w:ascii="QCF_P192" w:hAnsi="QCF_P192" w:cs="QCF_P192"/>
          <w:noProof w:val="0"/>
          <w:sz w:val="32"/>
          <w:szCs w:val="32"/>
          <w:rtl/>
          <w:lang w:eastAsia="en-US"/>
        </w:rPr>
        <w:t>ﭱ</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ﭲ</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ﭳ</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ﭴ</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ﭵ</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ﭶ</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ﭷ</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ﭸ</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ﭹ</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ﭺ</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ﭻ</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ﭼ</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ﭽ</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ﭾ</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ﭿ</w:t>
      </w:r>
      <w:r>
        <w:rPr>
          <w:rFonts w:ascii="QCF_P192" w:hAnsi="QCF_P192" w:cs="QCF_P192" w:hint="cs"/>
          <w:noProof w:val="0"/>
          <w:sz w:val="32"/>
          <w:szCs w:val="32"/>
          <w:rtl/>
          <w:lang w:eastAsia="en-US"/>
        </w:rPr>
        <w:t xml:space="preserve"> </w:t>
      </w:r>
      <w:r w:rsidRPr="005B67B9">
        <w:rPr>
          <w:rFonts w:ascii="QCF_P192" w:hAnsi="QCF_P192" w:cs="QCF_P192"/>
          <w:noProof w:val="0"/>
          <w:sz w:val="32"/>
          <w:szCs w:val="32"/>
          <w:rtl/>
          <w:lang w:eastAsia="en-US"/>
        </w:rPr>
        <w:t>ﮀ</w:t>
      </w:r>
      <w:r w:rsidRPr="005B67B9">
        <w:rPr>
          <w:rFonts w:ascii="QCF_BSML" w:hAnsi="QCF_BSML" w:cs="QCF_BSML"/>
          <w:noProof w:val="0"/>
          <w:sz w:val="32"/>
          <w:szCs w:val="32"/>
          <w:rtl/>
          <w:lang w:eastAsia="en-US"/>
        </w:rPr>
        <w:t>ﭼ</w:t>
      </w:r>
      <w:bookmarkEnd w:id="393"/>
      <w:r>
        <w:rPr>
          <w:rFonts w:ascii="Traditional Arabic" w:hAnsi="Traditional Arabic" w:hint="cs"/>
          <w:noProof w:val="0"/>
          <w:color w:val="auto"/>
          <w:sz w:val="32"/>
          <w:szCs w:val="32"/>
          <w:rtl/>
          <w:lang w:eastAsia="en-US"/>
        </w:rPr>
        <w:t>[</w:t>
      </w:r>
      <w:r w:rsidRPr="005B67B9">
        <w:rPr>
          <w:rFonts w:ascii="Traditional Arabic" w:hAnsi="Traditional Arabic"/>
          <w:noProof w:val="0"/>
          <w:color w:val="auto"/>
          <w:sz w:val="32"/>
          <w:szCs w:val="32"/>
          <w:rtl/>
          <w:lang w:eastAsia="en-US"/>
        </w:rPr>
        <w:t>التوبة: ٣٤</w:t>
      </w:r>
      <w:r>
        <w:rPr>
          <w:rFonts w:ascii="Traditional Arabic" w:hAnsi="Traditional Arabic" w:hint="cs"/>
          <w:noProof w:val="0"/>
          <w:color w:val="auto"/>
          <w:sz w:val="32"/>
          <w:szCs w:val="32"/>
          <w:rtl/>
          <w:lang w:eastAsia="en-US"/>
        </w:rPr>
        <w:t>].</w:t>
      </w:r>
    </w:p>
  </w:footnote>
  <w:footnote w:id="1877">
    <w:p w:rsidR="000D3D21" w:rsidRPr="006C71D4" w:rsidRDefault="000D3D21" w:rsidP="00E269AD">
      <w:pPr>
        <w:pStyle w:val="a7"/>
        <w:pageBreakBefore/>
        <w:rPr>
          <w:rFonts w:ascii="Traditional Arabic" w:hAnsi="Traditional Arabic"/>
          <w:color w:val="auto"/>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A6D7D">
        <w:rPr>
          <w:rFonts w:ascii="Traditional Arabic" w:hAnsi="Traditional Arabic"/>
          <w:sz w:val="32"/>
          <w:szCs w:val="32"/>
          <w:rtl/>
        </w:rPr>
        <w:t>في قوله تعالى:</w:t>
      </w:r>
      <w:bookmarkStart w:id="394" w:name="سورة_النساء_160إلى161"/>
      <w:r>
        <w:rPr>
          <w:rFonts w:ascii="QCF_BSML" w:hAnsi="QCF_BSML" w:cs="QCF_BSML"/>
          <w:noProof w:val="0"/>
          <w:sz w:val="32"/>
          <w:szCs w:val="32"/>
          <w:rtl/>
          <w:lang w:eastAsia="en-US"/>
        </w:rPr>
        <w:t>ﭽ</w:t>
      </w:r>
      <w:r w:rsidRPr="001930A9">
        <w:rPr>
          <w:rFonts w:ascii="QCF_P103" w:hAnsi="QCF_P103" w:cs="QCF_P103"/>
          <w:noProof w:val="0"/>
          <w:sz w:val="32"/>
          <w:szCs w:val="32"/>
          <w:rtl/>
          <w:lang w:eastAsia="en-US"/>
        </w:rPr>
        <w:t>ﮰ</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ﮱ</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ﯓ</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ﯔ</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ﯕ</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ﯖ</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ﯗ</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ﯘ</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ﯙ</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ﯚ</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ﯛ</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ﯜ</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ﯝ</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ﯞ</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ﯟ</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ﯠ</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ﯡ</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ﯢ</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ﯣ</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ﯤ</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ﯥ</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ﯦ</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ﯧ</w:t>
      </w:r>
      <w:r>
        <w:rPr>
          <w:rFonts w:ascii="QCF_P103" w:hAnsi="QCF_P103" w:cs="QCF_P103" w:hint="cs"/>
          <w:noProof w:val="0"/>
          <w:sz w:val="32"/>
          <w:szCs w:val="32"/>
          <w:rtl/>
          <w:lang w:eastAsia="en-US"/>
        </w:rPr>
        <w:t xml:space="preserve">  </w:t>
      </w:r>
      <w:r w:rsidRPr="001930A9">
        <w:rPr>
          <w:rFonts w:ascii="QCF_P103" w:hAnsi="QCF_P103" w:cs="QCF_P103"/>
          <w:noProof w:val="0"/>
          <w:sz w:val="32"/>
          <w:szCs w:val="32"/>
          <w:rtl/>
          <w:lang w:eastAsia="en-US"/>
        </w:rPr>
        <w:t>ﯨ</w:t>
      </w:r>
      <w:r w:rsidRPr="001930A9">
        <w:rPr>
          <w:rFonts w:ascii="QCF_BSML" w:hAnsi="QCF_BSML" w:cs="QCF_BSML"/>
          <w:noProof w:val="0"/>
          <w:sz w:val="32"/>
          <w:szCs w:val="32"/>
          <w:rtl/>
          <w:lang w:eastAsia="en-US"/>
        </w:rPr>
        <w:t>ﭼ</w:t>
      </w:r>
      <w:bookmarkEnd w:id="394"/>
      <w:r>
        <w:rPr>
          <w:rFonts w:ascii="Traditional Arabic" w:hAnsi="Traditional Arabic" w:hint="cs"/>
          <w:noProof w:val="0"/>
          <w:color w:val="auto"/>
          <w:sz w:val="32"/>
          <w:szCs w:val="32"/>
          <w:rtl/>
          <w:lang w:eastAsia="en-US"/>
        </w:rPr>
        <w:t>[</w:t>
      </w:r>
      <w:r w:rsidRPr="001930A9">
        <w:rPr>
          <w:rFonts w:ascii="Traditional Arabic" w:hAnsi="Traditional Arabic"/>
          <w:noProof w:val="0"/>
          <w:color w:val="auto"/>
          <w:sz w:val="32"/>
          <w:szCs w:val="32"/>
          <w:rtl/>
          <w:lang w:eastAsia="en-US"/>
        </w:rPr>
        <w:t xml:space="preserve">النساء: ١٦٠ </w:t>
      </w:r>
      <w:r>
        <w:rPr>
          <w:rFonts w:ascii="Traditional Arabic" w:hAnsi="Traditional Arabic"/>
          <w:noProof w:val="0"/>
          <w:color w:val="auto"/>
          <w:sz w:val="32"/>
          <w:szCs w:val="32"/>
          <w:rtl/>
          <w:lang w:eastAsia="en-US"/>
        </w:rPr>
        <w:t>–</w:t>
      </w:r>
      <w:r w:rsidRPr="006C71D4">
        <w:rPr>
          <w:rFonts w:ascii="Traditional Arabic" w:hAnsi="Traditional Arabic"/>
          <w:noProof w:val="0"/>
          <w:color w:val="auto"/>
          <w:sz w:val="32"/>
          <w:szCs w:val="32"/>
          <w:rtl/>
          <w:lang w:eastAsia="en-US"/>
        </w:rPr>
        <w:t>١٦١].</w:t>
      </w:r>
    </w:p>
  </w:footnote>
  <w:footnote w:id="1878">
    <w:p w:rsidR="000D3D21" w:rsidRPr="006C71D4" w:rsidRDefault="000D3D21" w:rsidP="00157F7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71D4">
        <w:rPr>
          <w:rFonts w:ascii="Traditional Arabic" w:hAnsi="Traditional Arabic"/>
          <w:sz w:val="32"/>
          <w:szCs w:val="32"/>
          <w:rtl/>
        </w:rPr>
        <w:t>أخرجه مسلم في كتاب البيوع، باب بطلان بيع الحصاة والبيع الذي فيه غرر، رقم الحديث (1513)</w:t>
      </w:r>
      <w:r>
        <w:rPr>
          <w:rFonts w:ascii="Traditional Arabic" w:hAnsi="Traditional Arabic" w:hint="cs"/>
          <w:sz w:val="32"/>
          <w:szCs w:val="32"/>
          <w:rtl/>
        </w:rPr>
        <w:t xml:space="preserve"> عن أبي هريرة رضي الله عنه</w:t>
      </w:r>
      <w:r w:rsidRPr="006C71D4">
        <w:rPr>
          <w:rFonts w:ascii="Traditional Arabic" w:hAnsi="Traditional Arabic"/>
          <w:sz w:val="32"/>
          <w:szCs w:val="32"/>
          <w:rtl/>
        </w:rPr>
        <w:t>.والحديث لفظ</w:t>
      </w:r>
      <w:r>
        <w:rPr>
          <w:rFonts w:ascii="Traditional Arabic" w:hAnsi="Traditional Arabic" w:hint="cs"/>
          <w:sz w:val="32"/>
          <w:szCs w:val="32"/>
          <w:rtl/>
        </w:rPr>
        <w:t>ُ</w:t>
      </w:r>
      <w:r w:rsidRPr="006C71D4">
        <w:rPr>
          <w:rFonts w:ascii="Traditional Arabic" w:hAnsi="Traditional Arabic"/>
          <w:sz w:val="32"/>
          <w:szCs w:val="32"/>
          <w:rtl/>
        </w:rPr>
        <w:t xml:space="preserve">ه:" نهى رسول الله </w:t>
      </w:r>
      <w:r>
        <w:rPr>
          <w:rFonts w:ascii="Traditional Arabic" w:hAnsi="Traditional Arabic" w:cs="CTraditional Arabic" w:hint="cs"/>
          <w:noProof w:val="0"/>
          <w:color w:val="auto"/>
          <w:rtl/>
          <w:lang w:eastAsia="en-US"/>
        </w:rPr>
        <w:t>غ</w:t>
      </w:r>
      <w:r w:rsidRPr="006C71D4">
        <w:rPr>
          <w:rFonts w:ascii="Traditional Arabic" w:hAnsi="Traditional Arabic"/>
          <w:sz w:val="32"/>
          <w:szCs w:val="32"/>
          <w:rtl/>
        </w:rPr>
        <w:t xml:space="preserve"> عن بيع الحصاة وعن بيع الغرر</w:t>
      </w:r>
      <w:r w:rsidR="00AB0B9E" w:rsidRPr="00157F71">
        <w:rPr>
          <w:rFonts w:ascii="Traditional Arabic" w:hAnsi="Traditional Arabic"/>
          <w:sz w:val="32"/>
          <w:szCs w:val="32"/>
          <w:rtl/>
        </w:rPr>
        <w:fldChar w:fldCharType="begin"/>
      </w:r>
      <w:r w:rsidRPr="00157F71">
        <w:rPr>
          <w:rFonts w:ascii="Traditional Arabic" w:hAnsi="Traditional Arabic"/>
          <w:sz w:val="32"/>
          <w:szCs w:val="32"/>
        </w:rPr>
        <w:instrText xml:space="preserve"> XE "</w:instrText>
      </w:r>
      <w:r w:rsidRPr="00157F71">
        <w:rPr>
          <w:rFonts w:ascii="Traditional Arabic" w:hAnsi="Traditional Arabic" w:hint="cs"/>
          <w:sz w:val="32"/>
          <w:szCs w:val="32"/>
          <w:rtl/>
        </w:rPr>
        <w:instrText xml:space="preserve">نهى </w:instrText>
      </w:r>
      <w:r w:rsidRPr="00157F71">
        <w:rPr>
          <w:rFonts w:ascii="Traditional Arabic" w:hAnsi="Traditional Arabic"/>
          <w:sz w:val="32"/>
          <w:szCs w:val="32"/>
          <w:rtl/>
        </w:rPr>
        <w:instrText xml:space="preserve">رسول الله </w:instrText>
      </w:r>
      <w:r w:rsidRPr="00157F71">
        <w:rPr>
          <w:rFonts w:ascii="Traditional Arabic" w:hAnsi="Traditional Arabic"/>
          <w:sz w:val="32"/>
          <w:szCs w:val="32"/>
          <w:rtl/>
        </w:rPr>
        <w:sym w:font="AGA Arabesque" w:char="F072"/>
      </w:r>
      <w:r w:rsidRPr="00157F71">
        <w:rPr>
          <w:rFonts w:ascii="Traditional Arabic" w:hAnsi="Traditional Arabic"/>
          <w:sz w:val="32"/>
          <w:szCs w:val="32"/>
          <w:rtl/>
        </w:rPr>
        <w:instrText xml:space="preserve"> عن بيع الح</w:instrText>
      </w:r>
      <w:r w:rsidRPr="00157F71">
        <w:rPr>
          <w:rFonts w:ascii="Traditional Arabic" w:hAnsi="Traditional Arabic" w:hint="cs"/>
          <w:sz w:val="32"/>
          <w:szCs w:val="32"/>
          <w:rtl/>
        </w:rPr>
        <w:instrText>َ</w:instrText>
      </w:r>
      <w:r w:rsidRPr="00157F71">
        <w:rPr>
          <w:rFonts w:ascii="Traditional Arabic" w:hAnsi="Traditional Arabic"/>
          <w:sz w:val="32"/>
          <w:szCs w:val="32"/>
          <w:rtl/>
        </w:rPr>
        <w:instrText>صاة وعن بيع الغرر</w:instrText>
      </w:r>
      <w:r w:rsidRPr="00157F71">
        <w:rPr>
          <w:rFonts w:ascii="Traditional Arabic" w:hAnsi="Traditional Arabic"/>
          <w:sz w:val="32"/>
          <w:szCs w:val="32"/>
        </w:rPr>
        <w:instrText>" \fh</w:instrText>
      </w:r>
      <w:r w:rsidR="00AB0B9E" w:rsidRPr="00157F71">
        <w:rPr>
          <w:rFonts w:ascii="Traditional Arabic" w:hAnsi="Traditional Arabic"/>
          <w:sz w:val="32"/>
          <w:szCs w:val="32"/>
          <w:rtl/>
        </w:rPr>
        <w:fldChar w:fldCharType="end"/>
      </w:r>
      <w:r w:rsidRPr="006C71D4">
        <w:rPr>
          <w:rFonts w:ascii="Traditional Arabic" w:hAnsi="Traditional Arabic"/>
          <w:sz w:val="32"/>
          <w:szCs w:val="32"/>
          <w:rtl/>
        </w:rPr>
        <w:t>".</w:t>
      </w:r>
    </w:p>
  </w:footnote>
  <w:footnote w:id="1879">
    <w:p w:rsidR="000D3D21" w:rsidRPr="00662D98" w:rsidRDefault="000D3D21" w:rsidP="00E269AD">
      <w:pPr>
        <w:pStyle w:val="a7"/>
        <w:pageBreakBefore/>
        <w:rPr>
          <w:rFonts w:ascii="Tahoma" w:hAnsi="Tahoma"/>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C71D4">
        <w:rPr>
          <w:rFonts w:ascii="Traditional Arabic" w:hAnsi="Traditional Arabic"/>
          <w:sz w:val="32"/>
          <w:szCs w:val="32"/>
          <w:rtl/>
        </w:rPr>
        <w:t>أخرجه البخاري في كتاب الوصايا، باب قول الله تعالى</w:t>
      </w:r>
      <w:r>
        <w:rPr>
          <w:rFonts w:ascii="Traditional Arabic" w:hAnsi="Traditional Arabic" w:hint="cs"/>
          <w:sz w:val="32"/>
          <w:szCs w:val="32"/>
          <w:rtl/>
        </w:rPr>
        <w:t xml:space="preserve">: </w:t>
      </w:r>
      <w:bookmarkStart w:id="396" w:name="سورة_النساء_10"/>
      <w:r>
        <w:rPr>
          <w:rFonts w:ascii="QCF_BSML" w:hAnsi="QCF_BSML" w:cs="QCF_BSML"/>
          <w:noProof w:val="0"/>
          <w:sz w:val="32"/>
          <w:szCs w:val="32"/>
          <w:rtl/>
          <w:lang w:eastAsia="en-US"/>
        </w:rPr>
        <w:t>ﭽ</w:t>
      </w:r>
      <w:r w:rsidRPr="00E71A99">
        <w:rPr>
          <w:rFonts w:ascii="QCF_P078" w:hAnsi="QCF_P078" w:cs="QCF_P078"/>
          <w:noProof w:val="0"/>
          <w:sz w:val="32"/>
          <w:szCs w:val="32"/>
          <w:rtl/>
          <w:lang w:eastAsia="en-US"/>
        </w:rPr>
        <w:t>ﮄ</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ﮅ</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ﮆ</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ﮇ</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ﮈ</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ﮉ</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ﮊ</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ﮋ</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ﮌ</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ﮍ</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ﮎ</w:t>
      </w:r>
      <w:r>
        <w:rPr>
          <w:rFonts w:ascii="QCF_P078" w:hAnsi="QCF_P078" w:cs="QCF_P078" w:hint="cs"/>
          <w:noProof w:val="0"/>
          <w:sz w:val="32"/>
          <w:szCs w:val="32"/>
          <w:rtl/>
          <w:lang w:eastAsia="en-US"/>
        </w:rPr>
        <w:t xml:space="preserve"> </w:t>
      </w:r>
      <w:r w:rsidRPr="00E71A99">
        <w:rPr>
          <w:rFonts w:ascii="QCF_P078" w:hAnsi="QCF_P078" w:cs="QCF_P078"/>
          <w:noProof w:val="0"/>
          <w:color w:val="0000A5"/>
          <w:sz w:val="32"/>
          <w:szCs w:val="32"/>
          <w:rtl/>
          <w:lang w:eastAsia="en-US"/>
        </w:rPr>
        <w:t>ﮏ</w:t>
      </w:r>
      <w:r>
        <w:rPr>
          <w:rFonts w:ascii="QCF_P078" w:hAnsi="QCF_P078" w:cs="QCF_P078" w:hint="cs"/>
          <w:noProof w:val="0"/>
          <w:color w:val="0000A5"/>
          <w:sz w:val="32"/>
          <w:szCs w:val="32"/>
          <w:rtl/>
          <w:lang w:eastAsia="en-US"/>
        </w:rPr>
        <w:t xml:space="preserve"> </w:t>
      </w:r>
      <w:r w:rsidRPr="00E71A99">
        <w:rPr>
          <w:rFonts w:ascii="QCF_P078" w:hAnsi="QCF_P078" w:cs="QCF_P078"/>
          <w:noProof w:val="0"/>
          <w:sz w:val="32"/>
          <w:szCs w:val="32"/>
          <w:rtl/>
          <w:lang w:eastAsia="en-US"/>
        </w:rPr>
        <w:t>ﮐ</w:t>
      </w:r>
      <w:r>
        <w:rPr>
          <w:rFonts w:ascii="QCF_P078" w:hAnsi="QCF_P078" w:cs="QCF_P078" w:hint="cs"/>
          <w:noProof w:val="0"/>
          <w:sz w:val="32"/>
          <w:szCs w:val="32"/>
          <w:rtl/>
          <w:lang w:eastAsia="en-US"/>
        </w:rPr>
        <w:t xml:space="preserve"> </w:t>
      </w:r>
      <w:r w:rsidRPr="00E71A99">
        <w:rPr>
          <w:rFonts w:ascii="QCF_P078" w:hAnsi="QCF_P078" w:cs="QCF_P078"/>
          <w:noProof w:val="0"/>
          <w:sz w:val="32"/>
          <w:szCs w:val="32"/>
          <w:rtl/>
          <w:lang w:eastAsia="en-US"/>
        </w:rPr>
        <w:t>ﮑ</w:t>
      </w:r>
      <w:r w:rsidRPr="00E71A99">
        <w:rPr>
          <w:rFonts w:ascii="QCF_BSML" w:hAnsi="QCF_BSML" w:cs="QCF_BSML"/>
          <w:noProof w:val="0"/>
          <w:sz w:val="32"/>
          <w:szCs w:val="32"/>
          <w:rtl/>
          <w:lang w:eastAsia="en-US"/>
        </w:rPr>
        <w:t>ﭼ</w:t>
      </w:r>
      <w:bookmarkEnd w:id="396"/>
      <w:r w:rsidRPr="009B5950">
        <w:rPr>
          <w:rFonts w:ascii="Traditional Arabic" w:hAnsi="Traditional Arabic"/>
          <w:noProof w:val="0"/>
          <w:color w:val="auto"/>
          <w:sz w:val="32"/>
          <w:szCs w:val="32"/>
          <w:rtl/>
          <w:lang w:eastAsia="en-US"/>
        </w:rPr>
        <w:t>[النساء: ١٠]،</w:t>
      </w:r>
      <w:r>
        <w:rPr>
          <w:rFonts w:ascii="Traditional Arabic" w:hAnsi="Traditional Arabic" w:hint="cs"/>
          <w:noProof w:val="0"/>
          <w:color w:val="auto"/>
          <w:sz w:val="32"/>
          <w:szCs w:val="32"/>
          <w:rtl/>
          <w:lang w:eastAsia="en-US"/>
        </w:rPr>
        <w:t xml:space="preserve"> </w:t>
      </w:r>
      <w:r w:rsidRPr="00662D98">
        <w:rPr>
          <w:rFonts w:ascii="Tahoma" w:hAnsi="Tahoma" w:hint="cs"/>
          <w:sz w:val="32"/>
          <w:szCs w:val="32"/>
          <w:rtl/>
        </w:rPr>
        <w:t>رقم الحديث (2766)،</w:t>
      </w:r>
      <w:r>
        <w:rPr>
          <w:rFonts w:ascii="Tahoma" w:hAnsi="Tahoma" w:hint="cs"/>
          <w:sz w:val="32"/>
          <w:szCs w:val="32"/>
          <w:rtl/>
        </w:rPr>
        <w:t xml:space="preserve"> </w:t>
      </w:r>
      <w:r w:rsidRPr="00662D98">
        <w:rPr>
          <w:rFonts w:ascii="Tahoma" w:hAnsi="Tahoma" w:hint="cs"/>
          <w:sz w:val="32"/>
          <w:szCs w:val="32"/>
          <w:rtl/>
        </w:rPr>
        <w:t>ومسلم في كتاب الإيمان، باب بيان بيان الكبائر وأكبرها، رقم الحديث (89)</w:t>
      </w:r>
      <w:r>
        <w:rPr>
          <w:rFonts w:ascii="Tahoma" w:hAnsi="Tahoma" w:hint="cs"/>
          <w:sz w:val="32"/>
          <w:szCs w:val="32"/>
          <w:rtl/>
        </w:rPr>
        <w:t>.</w:t>
      </w:r>
    </w:p>
  </w:footnote>
  <w:footnote w:id="1880">
    <w:p w:rsidR="000D3D21" w:rsidRPr="00E71A99"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71A99">
        <w:rPr>
          <w:rFonts w:ascii="Traditional Arabic" w:hAnsi="Traditional Arabic"/>
          <w:sz w:val="32"/>
          <w:szCs w:val="32"/>
          <w:rtl/>
        </w:rPr>
        <w:t>عند الآية: 276</w:t>
      </w:r>
      <w:r>
        <w:rPr>
          <w:rFonts w:ascii="Traditional Arabic" w:hAnsi="Traditional Arabic" w:hint="cs"/>
          <w:sz w:val="32"/>
          <w:szCs w:val="32"/>
          <w:rtl/>
        </w:rPr>
        <w:t xml:space="preserve"> من سورة البقرة.</w:t>
      </w:r>
    </w:p>
  </w:footnote>
  <w:footnote w:id="1881">
    <w:p w:rsidR="000D3D21" w:rsidRPr="00EC6792"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C6792">
        <w:rPr>
          <w:rFonts w:ascii="Traditional Arabic" w:hAnsi="Traditional Arabic"/>
          <w:sz w:val="32"/>
          <w:szCs w:val="32"/>
          <w:rtl/>
        </w:rPr>
        <w:t>القواعد النورانية (168-190) بتصرف.</w:t>
      </w:r>
    </w:p>
  </w:footnote>
  <w:footnote w:id="1882">
    <w:p w:rsidR="000D3D21" w:rsidRPr="00C92933"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33">
        <w:rPr>
          <w:rFonts w:ascii="Traditional Arabic" w:hAnsi="Traditional Arabic"/>
          <w:sz w:val="32"/>
          <w:szCs w:val="32"/>
          <w:rtl/>
        </w:rPr>
        <w:t>ي</w:t>
      </w:r>
      <w:r>
        <w:rPr>
          <w:rFonts w:ascii="Traditional Arabic" w:hAnsi="Traditional Arabic" w:hint="cs"/>
          <w:sz w:val="32"/>
          <w:szCs w:val="32"/>
          <w:rtl/>
        </w:rPr>
        <w:t>ُ</w:t>
      </w:r>
      <w:r w:rsidRPr="00C92933">
        <w:rPr>
          <w:rFonts w:ascii="Traditional Arabic" w:hAnsi="Traditional Arabic"/>
          <w:sz w:val="32"/>
          <w:szCs w:val="32"/>
          <w:rtl/>
        </w:rPr>
        <w:t xml:space="preserve">لحظ أن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C92933">
        <w:rPr>
          <w:rFonts w:ascii="Traditional Arabic" w:hAnsi="Traditional Arabic"/>
          <w:sz w:val="32"/>
          <w:szCs w:val="32"/>
          <w:rtl/>
        </w:rPr>
        <w:t xml:space="preserve"> يعب</w:t>
      </w:r>
      <w:r>
        <w:rPr>
          <w:rFonts w:ascii="Traditional Arabic" w:hAnsi="Traditional Arabic" w:hint="cs"/>
          <w:sz w:val="32"/>
          <w:szCs w:val="32"/>
          <w:rtl/>
        </w:rPr>
        <w:t>ّ</w:t>
      </w:r>
      <w:r w:rsidRPr="00C92933">
        <w:rPr>
          <w:rFonts w:ascii="Traditional Arabic" w:hAnsi="Traditional Arabic"/>
          <w:sz w:val="32"/>
          <w:szCs w:val="32"/>
          <w:rtl/>
        </w:rPr>
        <w:t xml:space="preserve">ر </w:t>
      </w:r>
      <w:r>
        <w:rPr>
          <w:rFonts w:ascii="Traditional Arabic" w:hAnsi="Traditional Arabic" w:hint="cs"/>
          <w:sz w:val="32"/>
          <w:szCs w:val="32"/>
          <w:rtl/>
        </w:rPr>
        <w:t xml:space="preserve">أحيانا </w:t>
      </w:r>
      <w:r w:rsidRPr="00C92933">
        <w:rPr>
          <w:rFonts w:ascii="Traditional Arabic" w:hAnsi="Traditional Arabic"/>
          <w:sz w:val="32"/>
          <w:szCs w:val="32"/>
          <w:rtl/>
        </w:rPr>
        <w:t>بعدم الص</w:t>
      </w:r>
      <w:r>
        <w:rPr>
          <w:rFonts w:ascii="Traditional Arabic" w:hAnsi="Traditional Arabic"/>
          <w:sz w:val="32"/>
          <w:szCs w:val="32"/>
          <w:rtl/>
        </w:rPr>
        <w:t>حة</w:t>
      </w:r>
      <w:r w:rsidRPr="00C92933">
        <w:rPr>
          <w:rFonts w:ascii="Traditional Arabic" w:hAnsi="Traditional Arabic"/>
          <w:sz w:val="32"/>
          <w:szCs w:val="32"/>
          <w:rtl/>
        </w:rPr>
        <w:t>، ولا إشكال في ذلك؛ لأن كل فاسد محر</w:t>
      </w:r>
      <w:r>
        <w:rPr>
          <w:rFonts w:ascii="Traditional Arabic" w:hAnsi="Traditional Arabic" w:hint="cs"/>
          <w:sz w:val="32"/>
          <w:szCs w:val="32"/>
          <w:rtl/>
        </w:rPr>
        <w:t>َّ</w:t>
      </w:r>
      <w:r w:rsidRPr="00C92933">
        <w:rPr>
          <w:rFonts w:ascii="Traditional Arabic" w:hAnsi="Traditional Arabic"/>
          <w:sz w:val="32"/>
          <w:szCs w:val="32"/>
          <w:rtl/>
        </w:rPr>
        <w:t>م، وبالتالي تكون تلك المعاملات الفاسدة محرمة، وتندرج تحت القاعدة، وقد تقدم بيان ذلك عند قاعدة</w:t>
      </w:r>
      <w:r>
        <w:rPr>
          <w:rFonts w:ascii="Traditional Arabic" w:hAnsi="Traditional Arabic" w:hint="cs"/>
          <w:sz w:val="32"/>
          <w:szCs w:val="32"/>
          <w:rtl/>
        </w:rPr>
        <w:t>:</w:t>
      </w:r>
      <w:r w:rsidRPr="00C92933">
        <w:rPr>
          <w:rFonts w:ascii="Traditional Arabic" w:hAnsi="Traditional Arabic"/>
          <w:sz w:val="32"/>
          <w:szCs w:val="32"/>
          <w:rtl/>
        </w:rPr>
        <w:t xml:space="preserve"> </w:t>
      </w:r>
      <w:r>
        <w:rPr>
          <w:rFonts w:ascii="Traditional Arabic" w:hAnsi="Traditional Arabic" w:hint="cs"/>
          <w:sz w:val="32"/>
          <w:szCs w:val="32"/>
          <w:rtl/>
        </w:rPr>
        <w:t xml:space="preserve">"جميع </w:t>
      </w:r>
      <w:r w:rsidRPr="00C92933">
        <w:rPr>
          <w:rFonts w:ascii="Traditional Arabic" w:hAnsi="Traditional Arabic"/>
          <w:sz w:val="32"/>
          <w:szCs w:val="32"/>
          <w:rtl/>
        </w:rPr>
        <w:t>العقود والشروط الفاسدة عقدها حرام واشتراطها حرام</w:t>
      </w:r>
      <w:r>
        <w:rPr>
          <w:rFonts w:ascii="Traditional Arabic" w:hAnsi="Traditional Arabic" w:hint="cs"/>
          <w:sz w:val="32"/>
          <w:szCs w:val="32"/>
          <w:rtl/>
        </w:rPr>
        <w:t>"</w:t>
      </w:r>
      <w:r w:rsidRPr="00C92933">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ص (</w:t>
      </w:r>
      <w:r>
        <w:rPr>
          <w:rFonts w:ascii="Traditional Arabic" w:hAnsi="Traditional Arabic" w:hint="cs"/>
          <w:sz w:val="32"/>
          <w:szCs w:val="32"/>
          <w:rtl/>
        </w:rPr>
        <w:t>371</w:t>
      </w:r>
      <w:r w:rsidRPr="00C92933">
        <w:rPr>
          <w:rFonts w:ascii="Traditional Arabic" w:hAnsi="Traditional Arabic"/>
          <w:sz w:val="32"/>
          <w:szCs w:val="32"/>
          <w:rtl/>
        </w:rPr>
        <w:t>) من هذه الرسالة.</w:t>
      </w:r>
    </w:p>
  </w:footnote>
  <w:footnote w:id="1883">
    <w:p w:rsidR="000D3D21" w:rsidRPr="0033591E" w:rsidRDefault="000D3D21" w:rsidP="0033591E">
      <w:pPr>
        <w:pStyle w:val="a7"/>
        <w:pageBreakBefore/>
        <w:rPr>
          <w:sz w:val="32"/>
          <w:szCs w:val="32"/>
        </w:rPr>
      </w:pPr>
      <w:r w:rsidRPr="0033591E">
        <w:rPr>
          <w:rStyle w:val="af1"/>
          <w:rFonts w:ascii="Traditional Arabic" w:hAnsi="Traditional Arabic"/>
          <w:sz w:val="32"/>
          <w:szCs w:val="32"/>
          <w:vertAlign w:val="baseline"/>
        </w:rPr>
        <w:footnoteRef/>
      </w:r>
      <w:r w:rsidRPr="0033591E">
        <w:rPr>
          <w:rStyle w:val="af1"/>
          <w:rFonts w:ascii="Traditional Arabic" w:hAnsi="Traditional Arabic"/>
          <w:sz w:val="32"/>
          <w:szCs w:val="32"/>
          <w:vertAlign w:val="baseline"/>
        </w:rPr>
        <w:t>)</w:t>
      </w:r>
      <w:r w:rsidRPr="0033591E">
        <w:rPr>
          <w:rStyle w:val="af1"/>
          <w:rFonts w:ascii="Traditional Arabic" w:hAnsi="Traditional Arabic" w:hint="cs"/>
          <w:sz w:val="32"/>
          <w:szCs w:val="32"/>
          <w:vertAlign w:val="baseline"/>
          <w:rtl/>
        </w:rPr>
        <w:t>)</w:t>
      </w:r>
      <w:r w:rsidRPr="0033591E">
        <w:rPr>
          <w:rStyle w:val="af1"/>
          <w:rFonts w:ascii="Traditional Arabic" w:hAnsi="Traditional Arabic"/>
          <w:sz w:val="32"/>
          <w:szCs w:val="32"/>
          <w:vertAlign w:val="baseline"/>
          <w:rtl/>
        </w:rPr>
        <w:t xml:space="preserve"> </w:t>
      </w:r>
      <w:r w:rsidRPr="0033591E">
        <w:rPr>
          <w:rFonts w:hint="cs"/>
          <w:sz w:val="32"/>
          <w:szCs w:val="32"/>
          <w:rtl/>
        </w:rPr>
        <w:t>تقدم تخريجه.</w:t>
      </w:r>
    </w:p>
  </w:footnote>
  <w:footnote w:id="1884">
    <w:p w:rsidR="000D3D21" w:rsidRPr="008E7686"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E7686">
        <w:rPr>
          <w:rFonts w:ascii="Traditional Arabic" w:hAnsi="Traditional Arabic"/>
          <w:sz w:val="32"/>
          <w:szCs w:val="32"/>
          <w:rtl/>
        </w:rPr>
        <w:t>انظر الشرح الممتع (8/153)</w:t>
      </w:r>
      <w:r>
        <w:rPr>
          <w:rFonts w:ascii="Traditional Arabic" w:hAnsi="Traditional Arabic" w:hint="cs"/>
          <w:sz w:val="32"/>
          <w:szCs w:val="32"/>
          <w:rtl/>
        </w:rPr>
        <w:t>، وشرح منظومة أصول الفقه وقواعده (263)</w:t>
      </w:r>
      <w:r w:rsidRPr="008E7686">
        <w:rPr>
          <w:rFonts w:ascii="Traditional Arabic" w:hAnsi="Traditional Arabic"/>
          <w:sz w:val="32"/>
          <w:szCs w:val="32"/>
          <w:rtl/>
        </w:rPr>
        <w:t>.</w:t>
      </w:r>
    </w:p>
  </w:footnote>
  <w:footnote w:id="1885">
    <w:p w:rsidR="000D3D21" w:rsidRPr="002304B7" w:rsidRDefault="000D3D21" w:rsidP="00D564C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04B7">
        <w:rPr>
          <w:rFonts w:ascii="Traditional Arabic" w:hAnsi="Traditional Arabic"/>
          <w:b/>
          <w:bCs/>
          <w:sz w:val="32"/>
          <w:szCs w:val="32"/>
          <w:rtl/>
        </w:rPr>
        <w:t>الربطة</w:t>
      </w:r>
      <w:r w:rsidR="00AB0B9E">
        <w:rPr>
          <w:rFonts w:ascii="Traditional Arabic" w:hAnsi="Traditional Arabic"/>
          <w:b/>
          <w:bCs/>
          <w:sz w:val="32"/>
          <w:szCs w:val="32"/>
          <w:rtl/>
        </w:rPr>
        <w:fldChar w:fldCharType="begin"/>
      </w:r>
      <w:r>
        <w:instrText xml:space="preserve"> XE "</w:instrText>
      </w:r>
      <w:r w:rsidRPr="00D564C0">
        <w:rPr>
          <w:rFonts w:ascii="Traditional Arabic" w:hAnsi="Traditional Arabic"/>
          <w:sz w:val="32"/>
          <w:szCs w:val="32"/>
          <w:rtl/>
        </w:rPr>
        <w:instrText>الربطة</w:instrText>
      </w:r>
      <w:r>
        <w:instrText xml:space="preserve">" </w:instrText>
      </w:r>
      <w:r w:rsidRPr="00D564C0">
        <w:instrText>\fm</w:instrText>
      </w:r>
      <w:r w:rsidR="00AB0B9E">
        <w:rPr>
          <w:rFonts w:ascii="Traditional Arabic" w:hAnsi="Traditional Arabic"/>
          <w:b/>
          <w:bCs/>
          <w:sz w:val="32"/>
          <w:szCs w:val="32"/>
          <w:rtl/>
        </w:rPr>
        <w:fldChar w:fldCharType="end"/>
      </w:r>
      <w:r w:rsidRPr="002304B7">
        <w:rPr>
          <w:rFonts w:ascii="Traditional Arabic" w:hAnsi="Traditional Arabic"/>
          <w:b/>
          <w:bCs/>
          <w:sz w:val="32"/>
          <w:szCs w:val="32"/>
          <w:rtl/>
        </w:rPr>
        <w:t>:</w:t>
      </w:r>
      <w:r w:rsidRPr="002304B7">
        <w:rPr>
          <w:rFonts w:ascii="Traditional Arabic" w:hAnsi="Traditional Arabic"/>
          <w:sz w:val="32"/>
          <w:szCs w:val="32"/>
          <w:rtl/>
        </w:rPr>
        <w:t xml:space="preserve"> الحُزْمة.</w:t>
      </w:r>
      <w:r>
        <w:rPr>
          <w:rFonts w:ascii="Traditional Arabic" w:hAnsi="Traditional Arabic" w:hint="cs"/>
          <w:sz w:val="32"/>
          <w:szCs w:val="32"/>
          <w:rtl/>
        </w:rPr>
        <w:t xml:space="preserve"> </w:t>
      </w:r>
      <w:r w:rsidRPr="002304B7">
        <w:rPr>
          <w:rFonts w:ascii="Traditional Arabic" w:hAnsi="Traditional Arabic"/>
          <w:sz w:val="32"/>
          <w:szCs w:val="32"/>
          <w:rtl/>
        </w:rPr>
        <w:t>المعجم الوسيط (323).</w:t>
      </w:r>
    </w:p>
  </w:footnote>
  <w:footnote w:id="1886">
    <w:p w:rsidR="000D3D21" w:rsidRPr="002304B7"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04B7">
        <w:rPr>
          <w:rFonts w:ascii="Traditional Arabic" w:hAnsi="Traditional Arabic"/>
          <w:sz w:val="32"/>
          <w:szCs w:val="32"/>
          <w:rtl/>
        </w:rPr>
        <w:t>انظر الروض المربع (6/58).</w:t>
      </w:r>
    </w:p>
  </w:footnote>
  <w:footnote w:id="1887">
    <w:p w:rsidR="000D3D21" w:rsidRPr="00765FAD" w:rsidRDefault="000D3D21" w:rsidP="00E269A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04B7">
        <w:rPr>
          <w:rFonts w:ascii="Traditional Arabic" w:hAnsi="Traditional Arabic"/>
          <w:sz w:val="32"/>
          <w:szCs w:val="32"/>
          <w:rtl/>
        </w:rPr>
        <w:t>انظر الشرح الممتع (8/170).</w:t>
      </w:r>
    </w:p>
  </w:footnote>
  <w:footnote w:id="1888">
    <w:p w:rsidR="000D3D21" w:rsidRDefault="000D3D21" w:rsidP="00E269AD">
      <w:pPr>
        <w:widowControl/>
        <w:autoSpaceDE w:val="0"/>
        <w:autoSpaceDN w:val="0"/>
        <w:adjustRightInd w:val="0"/>
        <w:ind w:firstLine="0"/>
        <w:jc w:val="left"/>
        <w:rPr>
          <w:rFonts w:ascii="Traditional Arabic" w:hAnsi="Traditional Arabic"/>
          <w:noProof w:val="0"/>
          <w:color w:val="auto"/>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149DE">
        <w:rPr>
          <w:rFonts w:ascii="Traditional Arabic" w:hAnsi="Traditional Arabic"/>
          <w:sz w:val="32"/>
          <w:szCs w:val="32"/>
          <w:rtl/>
        </w:rPr>
        <w:t xml:space="preserve">قال  القرافي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A149DE">
        <w:rPr>
          <w:rFonts w:ascii="Traditional Arabic" w:hAnsi="Traditional Arabic"/>
          <w:sz w:val="32"/>
          <w:szCs w:val="32"/>
          <w:rtl/>
        </w:rPr>
        <w:t xml:space="preserve"> في </w:t>
      </w:r>
      <w:r w:rsidRPr="00A149DE">
        <w:rPr>
          <w:rFonts w:ascii="Traditional Arabic" w:hAnsi="Traditional Arabic"/>
          <w:noProof w:val="0"/>
          <w:sz w:val="32"/>
          <w:szCs w:val="32"/>
          <w:rtl/>
          <w:lang w:eastAsia="en-US"/>
        </w:rPr>
        <w:t xml:space="preserve">الفرق بين </w:t>
      </w:r>
      <w:r>
        <w:rPr>
          <w:rFonts w:ascii="Traditional Arabic" w:hAnsi="Traditional Arabic"/>
          <w:noProof w:val="0"/>
          <w:color w:val="auto"/>
          <w:sz w:val="32"/>
          <w:szCs w:val="32"/>
          <w:rtl/>
          <w:lang w:eastAsia="en-US"/>
        </w:rPr>
        <w:t>قاعدة المجهول وقاعدة الغرر:</w:t>
      </w:r>
      <w:r>
        <w:rPr>
          <w:rFonts w:ascii="Traditional Arabic" w:hAnsi="Traditional Arabic" w:hint="cs"/>
          <w:noProof w:val="0"/>
          <w:color w:val="auto"/>
          <w:sz w:val="32"/>
          <w:szCs w:val="32"/>
          <w:rtl/>
          <w:lang w:eastAsia="en-US"/>
        </w:rPr>
        <w:t xml:space="preserve"> </w:t>
      </w:r>
    </w:p>
    <w:p w:rsidR="000D3D21" w:rsidRPr="00A149DE" w:rsidRDefault="000D3D21" w:rsidP="00E269AD">
      <w:pPr>
        <w:widowControl/>
        <w:autoSpaceDE w:val="0"/>
        <w:autoSpaceDN w:val="0"/>
        <w:adjustRightInd w:val="0"/>
        <w:ind w:firstLine="0"/>
        <w:jc w:val="left"/>
        <w:rPr>
          <w:rFonts w:ascii="Traditional Arabic" w:hAnsi="Traditional Arabic"/>
          <w:noProof w:val="0"/>
          <w:sz w:val="32"/>
          <w:szCs w:val="32"/>
          <w:rtl/>
          <w:lang w:eastAsia="en-US"/>
        </w:rPr>
      </w:pPr>
      <w:r>
        <w:rPr>
          <w:rFonts w:ascii="Traditional Arabic" w:hAnsi="Traditional Arabic" w:hint="cs"/>
          <w:noProof w:val="0"/>
          <w:color w:val="auto"/>
          <w:sz w:val="32"/>
          <w:szCs w:val="32"/>
          <w:rtl/>
          <w:lang w:eastAsia="en-US"/>
        </w:rPr>
        <w:t xml:space="preserve">     </w:t>
      </w:r>
      <w:r>
        <w:rPr>
          <w:rFonts w:ascii="Traditional Arabic" w:hAnsi="Traditional Arabic"/>
          <w:noProof w:val="0"/>
          <w:color w:val="auto"/>
          <w:sz w:val="32"/>
          <w:szCs w:val="32"/>
          <w:rtl/>
          <w:lang w:eastAsia="en-US"/>
        </w:rPr>
        <w:t>(</w:t>
      </w:r>
      <w:r w:rsidRPr="00A149DE">
        <w:rPr>
          <w:rFonts w:ascii="Traditional Arabic" w:hAnsi="Traditional Arabic"/>
          <w:noProof w:val="0"/>
          <w:color w:val="auto"/>
          <w:sz w:val="32"/>
          <w:szCs w:val="32"/>
          <w:rtl/>
          <w:lang w:eastAsia="en-US"/>
        </w:rPr>
        <w:t>اعلم أن العلماء قد يتوسعون في هاتين العبارتين فيستعملون إحداهما موضع</w:t>
      </w:r>
      <w:r>
        <w:rPr>
          <w:rFonts w:ascii="Traditional Arabic" w:hAnsi="Traditional Arabic" w:hint="cs"/>
          <w:noProof w:val="0"/>
          <w:color w:val="auto"/>
          <w:sz w:val="32"/>
          <w:szCs w:val="32"/>
          <w:rtl/>
          <w:lang w:eastAsia="en-US"/>
        </w:rPr>
        <w:t>َ</w:t>
      </w:r>
      <w:r w:rsidRPr="00A149DE">
        <w:rPr>
          <w:rFonts w:ascii="Traditional Arabic" w:hAnsi="Traditional Arabic"/>
          <w:noProof w:val="0"/>
          <w:color w:val="auto"/>
          <w:sz w:val="32"/>
          <w:szCs w:val="32"/>
          <w:rtl/>
          <w:lang w:eastAsia="en-US"/>
        </w:rPr>
        <w:t xml:space="preserve"> الأخرى، وأصل الغرر هو الذي لا ندري هل</w:t>
      </w:r>
      <w:r>
        <w:rPr>
          <w:rFonts w:ascii="Traditional Arabic" w:hAnsi="Traditional Arabic"/>
          <w:noProof w:val="0"/>
          <w:sz w:val="32"/>
          <w:szCs w:val="32"/>
          <w:rtl/>
          <w:lang w:eastAsia="en-US"/>
        </w:rPr>
        <w:t xml:space="preserve"> يحصل أم لا</w:t>
      </w:r>
      <w:r w:rsidRPr="00A149DE">
        <w:rPr>
          <w:rFonts w:ascii="Traditional Arabic" w:hAnsi="Traditional Arabic"/>
          <w:noProof w:val="0"/>
          <w:sz w:val="32"/>
          <w:szCs w:val="32"/>
          <w:rtl/>
          <w:lang w:eastAsia="en-US"/>
        </w:rPr>
        <w:t>؟كالطير في الهواء والسمك في الماء</w:t>
      </w:r>
      <w:r>
        <w:rPr>
          <w:rFonts w:ascii="Traditional Arabic" w:hAnsi="Traditional Arabic"/>
          <w:noProof w:val="0"/>
          <w:sz w:val="32"/>
          <w:szCs w:val="32"/>
          <w:rtl/>
          <w:lang w:eastAsia="en-US"/>
        </w:rPr>
        <w:t>.</w:t>
      </w:r>
    </w:p>
    <w:p w:rsidR="000D3D21" w:rsidRPr="009C0C29" w:rsidRDefault="000D3D21" w:rsidP="00E269AD">
      <w:pPr>
        <w:pStyle w:val="a7"/>
        <w:pageBreakBefore/>
        <w:rPr>
          <w:rFonts w:ascii="Tahoma" w:hAnsi="Tahoma"/>
        </w:rPr>
      </w:pPr>
      <w:r>
        <w:rPr>
          <w:rFonts w:ascii="Traditional Arabic" w:hAnsi="Traditional Arabic" w:hint="cs"/>
          <w:noProof w:val="0"/>
          <w:sz w:val="32"/>
          <w:szCs w:val="32"/>
          <w:rtl/>
          <w:lang w:eastAsia="en-US"/>
        </w:rPr>
        <w:t xml:space="preserve">      </w:t>
      </w:r>
      <w:r w:rsidRPr="00A149DE">
        <w:rPr>
          <w:rFonts w:ascii="Traditional Arabic" w:hAnsi="Traditional Arabic"/>
          <w:noProof w:val="0"/>
          <w:sz w:val="32"/>
          <w:szCs w:val="32"/>
          <w:rtl/>
          <w:lang w:eastAsia="en-US"/>
        </w:rPr>
        <w:t>وأما</w:t>
      </w:r>
      <w:r>
        <w:rPr>
          <w:rFonts w:ascii="Traditional Arabic" w:hAnsi="Traditional Arabic" w:hint="cs"/>
          <w:noProof w:val="0"/>
          <w:sz w:val="32"/>
          <w:szCs w:val="32"/>
          <w:rtl/>
          <w:lang w:eastAsia="en-US"/>
        </w:rPr>
        <w:t xml:space="preserve"> </w:t>
      </w:r>
      <w:r w:rsidRPr="00A149DE">
        <w:rPr>
          <w:rFonts w:ascii="Traditional Arabic" w:hAnsi="Traditional Arabic"/>
          <w:b/>
          <w:bCs/>
          <w:noProof w:val="0"/>
          <w:sz w:val="32"/>
          <w:szCs w:val="32"/>
          <w:rtl/>
          <w:lang w:eastAsia="en-US"/>
        </w:rPr>
        <w:t>ما عُلم حصوله وجُهلت صفته فهو المجهول</w:t>
      </w:r>
      <w:r w:rsidRPr="00A149DE">
        <w:rPr>
          <w:rFonts w:ascii="Traditional Arabic" w:hAnsi="Traditional Arabic"/>
          <w:noProof w:val="0"/>
          <w:sz w:val="32"/>
          <w:szCs w:val="32"/>
          <w:rtl/>
          <w:lang w:eastAsia="en-US"/>
        </w:rPr>
        <w:t>، كبيعه ما في كُمِّه، فهو يحصل قَطْعاً</w:t>
      </w:r>
      <w:r>
        <w:rPr>
          <w:rFonts w:ascii="Traditional Arabic" w:hAnsi="Traditional Arabic" w:hint="cs"/>
          <w:noProof w:val="0"/>
          <w:sz w:val="32"/>
          <w:szCs w:val="32"/>
          <w:rtl/>
          <w:lang w:eastAsia="en-US"/>
        </w:rPr>
        <w:t>،</w:t>
      </w:r>
      <w:r w:rsidRPr="00A149DE">
        <w:rPr>
          <w:rFonts w:ascii="Traditional Arabic" w:hAnsi="Traditional Arabic"/>
          <w:noProof w:val="0"/>
          <w:sz w:val="32"/>
          <w:szCs w:val="32"/>
          <w:rtl/>
          <w:lang w:eastAsia="en-US"/>
        </w:rPr>
        <w:t xml:space="preserve"> لكن لا ندري أيُّ شيء هو؟ فالغرر والمجهول كلُّ واحد منهما أعمُّ من الآخر من وجهٍ وأخصُّ من وجه، فيوجد كل واحد منهما مع الآخر وبدونه...)</w:t>
      </w:r>
      <w:r w:rsidRPr="00A149DE">
        <w:rPr>
          <w:rFonts w:ascii="Traditional Arabic" w:hAnsi="Traditional Arabic"/>
          <w:sz w:val="32"/>
          <w:szCs w:val="32"/>
          <w:rtl/>
        </w:rPr>
        <w:t>. الفروق (3/403).</w:t>
      </w:r>
    </w:p>
  </w:footnote>
  <w:footnote w:id="1889">
    <w:p w:rsidR="000D3D21" w:rsidRPr="00F23C20"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23C20">
        <w:rPr>
          <w:rFonts w:ascii="Traditional Arabic" w:hAnsi="Traditional Arabic"/>
          <w:sz w:val="32"/>
          <w:szCs w:val="32"/>
          <w:rtl/>
        </w:rPr>
        <w:t>انظر الشرح الممتع (8/170</w:t>
      </w:r>
      <w:r>
        <w:rPr>
          <w:rFonts w:ascii="Traditional Arabic" w:hAnsi="Traditional Arabic" w:hint="cs"/>
          <w:sz w:val="32"/>
          <w:szCs w:val="32"/>
          <w:rtl/>
        </w:rPr>
        <w:t>، 333</w:t>
      </w:r>
      <w:r w:rsidRPr="00F23C20">
        <w:rPr>
          <w:rFonts w:ascii="Traditional Arabic" w:hAnsi="Traditional Arabic"/>
          <w:sz w:val="32"/>
          <w:szCs w:val="32"/>
          <w:rtl/>
        </w:rPr>
        <w:t>)، و(10/7).</w:t>
      </w:r>
    </w:p>
  </w:footnote>
  <w:footnote w:id="1890">
    <w:p w:rsidR="000D3D21" w:rsidRPr="00E87596"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E87596">
        <w:rPr>
          <w:rFonts w:ascii="Traditional Arabic" w:hAnsi="Traditional Arabic"/>
          <w:sz w:val="32"/>
          <w:szCs w:val="32"/>
          <w:rtl/>
        </w:rPr>
        <w:t xml:space="preserve"> (8/370).</w:t>
      </w:r>
    </w:p>
  </w:footnote>
  <w:footnote w:id="1891">
    <w:p w:rsidR="000D3D21" w:rsidRPr="00776119"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76119">
        <w:rPr>
          <w:rFonts w:ascii="Traditional Arabic" w:hAnsi="Traditional Arabic"/>
          <w:sz w:val="32"/>
          <w:szCs w:val="32"/>
          <w:rtl/>
        </w:rPr>
        <w:t>انظر المرجع السابق (9/108).</w:t>
      </w:r>
    </w:p>
  </w:footnote>
  <w:footnote w:id="1892">
    <w:p w:rsidR="000D3D21" w:rsidRPr="00776119"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76119">
        <w:rPr>
          <w:rFonts w:ascii="Traditional Arabic" w:hAnsi="Traditional Arabic"/>
          <w:sz w:val="32"/>
          <w:szCs w:val="32"/>
          <w:rtl/>
        </w:rPr>
        <w:t>انظر المرجع السابق.</w:t>
      </w:r>
    </w:p>
  </w:footnote>
  <w:footnote w:id="1893">
    <w:p w:rsidR="000D3D21" w:rsidRPr="00230796"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شرح الممتع</w:t>
      </w:r>
      <w:r w:rsidRPr="00230796">
        <w:rPr>
          <w:rFonts w:ascii="Traditional Arabic" w:hAnsi="Traditional Arabic"/>
          <w:sz w:val="32"/>
          <w:szCs w:val="32"/>
          <w:rtl/>
        </w:rPr>
        <w:t xml:space="preserve"> (10/91).</w:t>
      </w:r>
    </w:p>
  </w:footnote>
  <w:footnote w:id="1894">
    <w:p w:rsidR="000D3D21" w:rsidRPr="00125920"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125920">
        <w:rPr>
          <w:rFonts w:ascii="Traditional Arabic" w:hAnsi="Traditional Arabic"/>
          <w:sz w:val="32"/>
          <w:szCs w:val="32"/>
          <w:rtl/>
        </w:rPr>
        <w:t xml:space="preserve"> (10/33).</w:t>
      </w:r>
    </w:p>
  </w:footnote>
  <w:footnote w:id="1895">
    <w:p w:rsidR="000D3D21" w:rsidRPr="00230796"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30796">
        <w:rPr>
          <w:rFonts w:ascii="Traditional Arabic" w:hAnsi="Traditional Arabic"/>
          <w:sz w:val="32"/>
          <w:szCs w:val="32"/>
          <w:rtl/>
        </w:rPr>
        <w:t>مجموع فتاوى ورسائل ابن عثيمين (28/216-217).</w:t>
      </w:r>
    </w:p>
  </w:footnote>
  <w:footnote w:id="1896">
    <w:p w:rsidR="000D3D21" w:rsidRDefault="000D3D21" w:rsidP="00D564C0">
      <w:pPr>
        <w:pStyle w:val="a7"/>
        <w:pageBreakBefore/>
        <w:rPr>
          <w:rFonts w:ascii="Tahoma" w:hAnsi="Tahoma"/>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230796">
        <w:rPr>
          <w:rFonts w:ascii="Traditional Arabic" w:hAnsi="Traditional Arabic"/>
          <w:b/>
          <w:bCs/>
          <w:sz w:val="32"/>
          <w:szCs w:val="32"/>
          <w:rtl/>
        </w:rPr>
        <w:t>التأمين</w:t>
      </w:r>
      <w:r w:rsidR="00AB0B9E">
        <w:rPr>
          <w:rFonts w:ascii="Traditional Arabic" w:hAnsi="Traditional Arabic"/>
          <w:b/>
          <w:bCs/>
          <w:sz w:val="32"/>
          <w:szCs w:val="32"/>
          <w:rtl/>
        </w:rPr>
        <w:fldChar w:fldCharType="begin"/>
      </w:r>
      <w:r>
        <w:instrText xml:space="preserve"> XE "</w:instrText>
      </w:r>
      <w:r w:rsidRPr="00D564C0">
        <w:rPr>
          <w:rFonts w:ascii="Traditional Arabic" w:hAnsi="Traditional Arabic"/>
          <w:sz w:val="32"/>
          <w:szCs w:val="32"/>
          <w:rtl/>
        </w:rPr>
        <w:instrText>التأمين</w:instrText>
      </w:r>
      <w:r>
        <w:instrText xml:space="preserve">" </w:instrText>
      </w:r>
      <w:r w:rsidRPr="00D564C0">
        <w:instrText>\fm</w:instrText>
      </w:r>
      <w:r w:rsidR="00AB0B9E">
        <w:rPr>
          <w:rFonts w:ascii="Traditional Arabic" w:hAnsi="Traditional Arabic"/>
          <w:b/>
          <w:bCs/>
          <w:sz w:val="32"/>
          <w:szCs w:val="32"/>
          <w:rtl/>
        </w:rPr>
        <w:fldChar w:fldCharType="end"/>
      </w:r>
      <w:r w:rsidRPr="00230796">
        <w:rPr>
          <w:rFonts w:ascii="Traditional Arabic" w:hAnsi="Traditional Arabic"/>
          <w:b/>
          <w:bCs/>
          <w:sz w:val="32"/>
          <w:szCs w:val="32"/>
          <w:rtl/>
        </w:rPr>
        <w:t xml:space="preserve"> لغة:</w:t>
      </w:r>
      <w:r w:rsidRPr="00230796">
        <w:rPr>
          <w:rFonts w:ascii="Traditional Arabic" w:hAnsi="Traditional Arabic"/>
          <w:sz w:val="32"/>
          <w:szCs w:val="32"/>
          <w:rtl/>
        </w:rPr>
        <w:t xml:space="preserve"> مأخوذ من الأمانة التي هي ضد الخيانة. فيقال: أمَّنه تأميناً وائتمنه واستأمنه.</w:t>
      </w:r>
      <w:r w:rsidRPr="00230796">
        <w:rPr>
          <w:rFonts w:ascii="Traditional Arabic" w:hAnsi="Traditional Arabic"/>
          <w:noProof w:val="0"/>
          <w:sz w:val="32"/>
          <w:szCs w:val="32"/>
          <w:rtl/>
          <w:lang w:eastAsia="en-US"/>
        </w:rPr>
        <w:t>ويقال: أمَّن على الشيء، أي: دفع مالا منجَّماً لِيَنال هو أو ورثتُه قدراً من المال متفقا عليه أو تعويضا عما فَقَدَ، يقال : أمَّن على حياته أو على داره أو سيارته.</w:t>
      </w:r>
      <w:r>
        <w:rPr>
          <w:rFonts w:ascii="Traditional Arabic" w:hAnsi="Traditional Arabic" w:hint="cs"/>
          <w:noProof w:val="0"/>
          <w:sz w:val="32"/>
          <w:szCs w:val="32"/>
          <w:rtl/>
          <w:lang w:eastAsia="en-US"/>
        </w:rPr>
        <w:t>انظر: القاموس المحيط (4/194)، والمصباح المنير (31)، والمعجم الوسيط (28).</w:t>
      </w:r>
    </w:p>
    <w:p w:rsidR="000D3D21" w:rsidRDefault="000D3D21" w:rsidP="00E269AD">
      <w:pPr>
        <w:pStyle w:val="a7"/>
        <w:pageBreakBefore/>
        <w:rPr>
          <w:rFonts w:ascii="Traditional Arabic" w:hAnsi="Traditional Arabic"/>
          <w:sz w:val="32"/>
          <w:szCs w:val="32"/>
          <w:rtl/>
        </w:rPr>
      </w:pPr>
      <w:r>
        <w:rPr>
          <w:rFonts w:ascii="Traditional Arabic" w:hAnsi="Traditional Arabic" w:hint="cs"/>
          <w:b/>
          <w:bCs/>
          <w:sz w:val="32"/>
          <w:szCs w:val="32"/>
          <w:rtl/>
        </w:rPr>
        <w:t xml:space="preserve">     </w:t>
      </w:r>
      <w:r w:rsidRPr="00876F5E">
        <w:rPr>
          <w:rFonts w:ascii="Traditional Arabic" w:hAnsi="Traditional Arabic"/>
          <w:b/>
          <w:bCs/>
          <w:sz w:val="32"/>
          <w:szCs w:val="32"/>
          <w:rtl/>
        </w:rPr>
        <w:t>عقد التأمين</w:t>
      </w:r>
      <w:r>
        <w:rPr>
          <w:rFonts w:ascii="Traditional Arabic" w:hAnsi="Traditional Arabic" w:hint="cs"/>
          <w:b/>
          <w:bCs/>
          <w:sz w:val="32"/>
          <w:szCs w:val="32"/>
          <w:rtl/>
        </w:rPr>
        <w:t xml:space="preserve"> </w:t>
      </w:r>
      <w:r w:rsidRPr="00876F5E">
        <w:rPr>
          <w:rFonts w:ascii="Traditional Arabic" w:hAnsi="Traditional Arabic"/>
          <w:b/>
          <w:bCs/>
          <w:sz w:val="32"/>
          <w:szCs w:val="32"/>
          <w:rtl/>
        </w:rPr>
        <w:t xml:space="preserve">اصطلاحا: </w:t>
      </w:r>
      <w:r w:rsidRPr="00876F5E">
        <w:rPr>
          <w:rFonts w:ascii="Traditional Arabic" w:hAnsi="Traditional Arabic"/>
          <w:sz w:val="32"/>
          <w:szCs w:val="32"/>
          <w:rtl/>
        </w:rPr>
        <w:t>عقد</w:t>
      </w:r>
      <w:r>
        <w:rPr>
          <w:rFonts w:ascii="Traditional Arabic" w:hAnsi="Traditional Arabic" w:hint="cs"/>
          <w:sz w:val="32"/>
          <w:szCs w:val="32"/>
          <w:rtl/>
        </w:rPr>
        <w:t>ُ</w:t>
      </w:r>
      <w:r w:rsidRPr="00876F5E">
        <w:rPr>
          <w:rFonts w:ascii="Traditional Arabic" w:hAnsi="Traditional Arabic"/>
          <w:sz w:val="32"/>
          <w:szCs w:val="32"/>
          <w:rtl/>
        </w:rPr>
        <w:t xml:space="preserve"> معاوضة يلتزم أحد طرفيه، وهو المؤمِّن، أن يؤدي إلى الطرف الآخر، وهو المؤمَّن له، أو إلى المستفيد الذي جُعل التأمين لمصلحته عِوَضاً ماليّاً يُتفق عليه، يُدفع عند وقوع الخطر أو تحقُّق الخسارة المبيَّنة في العقد، وذلك نظيرَ رَسْمٍ يسمى قسط التأمين، يدفعه المؤمَّن له بالقدر والأجل وا</w:t>
      </w:r>
      <w:r>
        <w:rPr>
          <w:rFonts w:ascii="Traditional Arabic" w:hAnsi="Traditional Arabic"/>
          <w:sz w:val="32"/>
          <w:szCs w:val="32"/>
          <w:rtl/>
        </w:rPr>
        <w:t>لكيفية التي ينص عليها العقد ال</w:t>
      </w:r>
      <w:r>
        <w:rPr>
          <w:rFonts w:ascii="Traditional Arabic" w:hAnsi="Traditional Arabic" w:hint="cs"/>
          <w:sz w:val="32"/>
          <w:szCs w:val="32"/>
          <w:rtl/>
        </w:rPr>
        <w:t>ْ</w:t>
      </w:r>
      <w:r>
        <w:rPr>
          <w:rFonts w:ascii="Traditional Arabic" w:hAnsi="Traditional Arabic"/>
          <w:sz w:val="32"/>
          <w:szCs w:val="32"/>
          <w:rtl/>
        </w:rPr>
        <w:t>م</w:t>
      </w:r>
      <w:r>
        <w:rPr>
          <w:rFonts w:ascii="Traditional Arabic" w:hAnsi="Traditional Arabic" w:hint="cs"/>
          <w:sz w:val="32"/>
          <w:szCs w:val="32"/>
          <w:rtl/>
        </w:rPr>
        <w:t>ُ</w:t>
      </w:r>
      <w:r w:rsidRPr="00876F5E">
        <w:rPr>
          <w:rFonts w:ascii="Traditional Arabic" w:hAnsi="Traditional Arabic"/>
          <w:sz w:val="32"/>
          <w:szCs w:val="32"/>
          <w:rtl/>
        </w:rPr>
        <w:t xml:space="preserve">بْرَم بينهما. </w:t>
      </w:r>
    </w:p>
    <w:p w:rsidR="000D3D21" w:rsidRDefault="000D3D21" w:rsidP="00E269AD">
      <w:pPr>
        <w:pStyle w:val="a7"/>
        <w:pageBreakBefore/>
        <w:rPr>
          <w:rFonts w:ascii="Traditional Arabic" w:hAnsi="Traditional Arabic"/>
          <w:sz w:val="32"/>
          <w:szCs w:val="32"/>
          <w:rtl/>
        </w:rPr>
      </w:pPr>
      <w:r>
        <w:rPr>
          <w:rFonts w:ascii="Traditional Arabic" w:hAnsi="Traditional Arabic" w:hint="cs"/>
          <w:sz w:val="32"/>
          <w:szCs w:val="32"/>
          <w:rtl/>
        </w:rPr>
        <w:t xml:space="preserve">      وينقسم التأمين باعتبار طبيعة التأمين إلى قسمين:</w:t>
      </w:r>
    </w:p>
    <w:p w:rsidR="000D3D21" w:rsidRDefault="000D3D21" w:rsidP="00D564C0">
      <w:pPr>
        <w:pStyle w:val="a7"/>
        <w:pageBreakBefore/>
        <w:rPr>
          <w:rFonts w:ascii="Traditional Arabic" w:hAnsi="Traditional Arabic"/>
          <w:sz w:val="32"/>
          <w:szCs w:val="32"/>
          <w:rtl/>
        </w:rPr>
      </w:pPr>
      <w:r>
        <w:rPr>
          <w:rFonts w:ascii="Traditional Arabic" w:hAnsi="Traditional Arabic" w:hint="cs"/>
          <w:b/>
          <w:bCs/>
          <w:sz w:val="32"/>
          <w:szCs w:val="32"/>
          <w:rtl/>
        </w:rPr>
        <w:t xml:space="preserve">      التأمين التجاري</w:t>
      </w:r>
      <w:r w:rsidR="00AB0B9E">
        <w:rPr>
          <w:rFonts w:ascii="Traditional Arabic" w:hAnsi="Traditional Arabic"/>
          <w:b/>
          <w:bCs/>
          <w:sz w:val="32"/>
          <w:szCs w:val="32"/>
          <w:rtl/>
        </w:rPr>
        <w:fldChar w:fldCharType="begin"/>
      </w:r>
      <w:r>
        <w:instrText xml:space="preserve"> XE "</w:instrText>
      </w:r>
      <w:r w:rsidRPr="00D564C0">
        <w:rPr>
          <w:rFonts w:ascii="Traditional Arabic" w:hAnsi="Traditional Arabic" w:hint="cs"/>
          <w:sz w:val="32"/>
          <w:szCs w:val="32"/>
          <w:rtl/>
        </w:rPr>
        <w:instrText>التأمين التجاري</w:instrText>
      </w:r>
      <w:r>
        <w:instrText xml:space="preserve">" </w:instrText>
      </w:r>
      <w:r w:rsidRPr="00D564C0">
        <w:instrText>\fm</w:instrText>
      </w:r>
      <w:r w:rsidR="00AB0B9E">
        <w:rPr>
          <w:rFonts w:ascii="Traditional Arabic" w:hAnsi="Traditional Arabic"/>
          <w:b/>
          <w:bCs/>
          <w:sz w:val="32"/>
          <w:szCs w:val="32"/>
          <w:rtl/>
        </w:rPr>
        <w:fldChar w:fldCharType="end"/>
      </w:r>
      <w:r>
        <w:rPr>
          <w:rFonts w:ascii="Traditional Arabic" w:hAnsi="Traditional Arabic" w:hint="cs"/>
          <w:b/>
          <w:bCs/>
          <w:sz w:val="32"/>
          <w:szCs w:val="32"/>
          <w:rtl/>
        </w:rPr>
        <w:t xml:space="preserve">: </w:t>
      </w:r>
      <w:r>
        <w:rPr>
          <w:rFonts w:ascii="Traditional Arabic" w:hAnsi="Traditional Arabic" w:hint="cs"/>
          <w:sz w:val="32"/>
          <w:szCs w:val="32"/>
          <w:rtl/>
        </w:rPr>
        <w:t>وهو التأمين الذي تقوم به شركة مساهمة، يكون غرضها الأساسي تحقيق الربح عن طريق إجراء المقاصَّة بين المخاطر والأقساط الثابتة الواقعة على عاتق المستأمن، في مقابل تحمُّل ما يتحقق من مخاطر تتحملها الشركة المؤمِّنة وحدها دون تضامن مع المستأمنين، حيث تدفع مبلغ التأمين، وما يتبقى يكون خاصا بها.</w:t>
      </w:r>
    </w:p>
    <w:p w:rsidR="000D3D21" w:rsidRDefault="000D3D21" w:rsidP="00D564C0">
      <w:pPr>
        <w:pStyle w:val="a7"/>
        <w:pageBreakBefore/>
        <w:rPr>
          <w:rFonts w:ascii="Traditional Arabic" w:hAnsi="Traditional Arabic"/>
          <w:sz w:val="32"/>
          <w:szCs w:val="32"/>
          <w:rtl/>
        </w:rPr>
      </w:pPr>
      <w:r>
        <w:rPr>
          <w:rFonts w:ascii="Traditional Arabic" w:hAnsi="Traditional Arabic" w:hint="cs"/>
          <w:b/>
          <w:bCs/>
          <w:sz w:val="32"/>
          <w:szCs w:val="32"/>
          <w:rtl/>
        </w:rPr>
        <w:t xml:space="preserve">      التأمين التعاوني</w:t>
      </w:r>
      <w:r w:rsidR="00AB0B9E">
        <w:rPr>
          <w:rFonts w:ascii="Traditional Arabic" w:hAnsi="Traditional Arabic"/>
          <w:b/>
          <w:bCs/>
          <w:sz w:val="32"/>
          <w:szCs w:val="32"/>
          <w:rtl/>
        </w:rPr>
        <w:fldChar w:fldCharType="begin"/>
      </w:r>
      <w:r>
        <w:instrText xml:space="preserve"> XE "</w:instrText>
      </w:r>
      <w:r w:rsidRPr="00D564C0">
        <w:rPr>
          <w:rFonts w:ascii="Traditional Arabic" w:hAnsi="Traditional Arabic" w:hint="cs"/>
          <w:sz w:val="32"/>
          <w:szCs w:val="32"/>
          <w:rtl/>
        </w:rPr>
        <w:instrText>التأمين التعاوني</w:instrText>
      </w:r>
      <w:r>
        <w:instrText xml:space="preserve">" </w:instrText>
      </w:r>
      <w:r w:rsidRPr="00D564C0">
        <w:instrText>\fm</w:instrText>
      </w:r>
      <w:r w:rsidR="00AB0B9E">
        <w:rPr>
          <w:rFonts w:ascii="Traditional Arabic" w:hAnsi="Traditional Arabic"/>
          <w:b/>
          <w:bCs/>
          <w:sz w:val="32"/>
          <w:szCs w:val="32"/>
          <w:rtl/>
        </w:rPr>
        <w:fldChar w:fldCharType="end"/>
      </w:r>
      <w:r>
        <w:rPr>
          <w:rFonts w:ascii="Traditional Arabic" w:hAnsi="Traditional Arabic" w:hint="cs"/>
          <w:b/>
          <w:bCs/>
          <w:sz w:val="32"/>
          <w:szCs w:val="32"/>
          <w:rtl/>
        </w:rPr>
        <w:t>:</w:t>
      </w:r>
      <w:r>
        <w:rPr>
          <w:rFonts w:ascii="Traditional Arabic" w:hAnsi="Traditional Arabic" w:hint="cs"/>
          <w:sz w:val="32"/>
          <w:szCs w:val="32"/>
          <w:rtl/>
        </w:rPr>
        <w:t xml:space="preserve"> وهو أن تتعاون مجموعة من الناس بالتبرُّع بدفع مبلغ إلى صندوق خاص بهم، لتعويض خسائر الخطر الذي قد يتعرَّض لها أحدهم.</w:t>
      </w:r>
    </w:p>
    <w:p w:rsidR="000D3D21" w:rsidRDefault="000D3D21" w:rsidP="00E269AD">
      <w:pPr>
        <w:pStyle w:val="a7"/>
        <w:pageBreakBefore/>
        <w:rPr>
          <w:rFonts w:ascii="Traditional Arabic" w:hAnsi="Traditional Arabic"/>
          <w:b/>
          <w:bCs/>
          <w:sz w:val="32"/>
          <w:szCs w:val="32"/>
          <w:rtl/>
        </w:rPr>
      </w:pPr>
      <w:r>
        <w:rPr>
          <w:rFonts w:ascii="Traditional Arabic" w:hAnsi="Traditional Arabic" w:hint="cs"/>
          <w:sz w:val="32"/>
          <w:szCs w:val="32"/>
          <w:rtl/>
        </w:rPr>
        <w:t xml:space="preserve">      انظر التأمين الإسلامي دراسة فقهية تأصيلية مقارنة بالتأمين التجاري مع التطبيقات العملية لعلي محي الدين القره داغي (27،28).</w:t>
      </w:r>
    </w:p>
    <w:p w:rsidR="000D3D21" w:rsidRPr="00876F5E" w:rsidRDefault="000D3D21" w:rsidP="00E269AD">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6978B8">
        <w:rPr>
          <w:rFonts w:ascii="Traditional Arabic" w:hAnsi="Traditional Arabic" w:hint="cs"/>
          <w:sz w:val="32"/>
          <w:szCs w:val="32"/>
          <w:rtl/>
        </w:rPr>
        <w:t xml:space="preserve">والشيخ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 تعرَّض في هذه الفتوى إلى حكم التأمين التجاري.</w:t>
      </w:r>
    </w:p>
  </w:footnote>
  <w:footnote w:id="1897">
    <w:p w:rsidR="000D3D21" w:rsidRPr="00876F5E"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76F5E">
        <w:rPr>
          <w:rFonts w:ascii="Traditional Arabic" w:hAnsi="Traditional Arabic"/>
          <w:sz w:val="32"/>
          <w:szCs w:val="32"/>
          <w:rtl/>
        </w:rPr>
        <w:t>تقدم تخريجه.</w:t>
      </w:r>
    </w:p>
  </w:footnote>
  <w:footnote w:id="1898">
    <w:p w:rsidR="000D3D21" w:rsidRPr="00876F5E" w:rsidRDefault="000D3D21" w:rsidP="00E269AD">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76F5E">
        <w:rPr>
          <w:rFonts w:ascii="Traditional Arabic" w:hAnsi="Traditional Arabic"/>
          <w:sz w:val="32"/>
          <w:szCs w:val="32"/>
          <w:rtl/>
        </w:rPr>
        <w:t>مجموع فتاوى ورسائل ابن عثيمين (29/421)</w:t>
      </w:r>
      <w:r>
        <w:rPr>
          <w:rFonts w:ascii="Traditional Arabic" w:hAnsi="Traditional Arabic" w:hint="cs"/>
          <w:sz w:val="32"/>
          <w:szCs w:val="32"/>
          <w:rtl/>
        </w:rPr>
        <w:t>، وانظر الشرح الممتع (9/127)، و(10/327)، وشرح منظومة أصول الفقه وقواعده (266، 272)، والتعليق على القواعد والأصول الجامعة (147)</w:t>
      </w:r>
      <w:r w:rsidRPr="00876F5E">
        <w:rPr>
          <w:rFonts w:ascii="Traditional Arabic" w:hAnsi="Traditional Arabic"/>
          <w:sz w:val="32"/>
          <w:szCs w:val="32"/>
          <w:rtl/>
        </w:rPr>
        <w:t>.</w:t>
      </w:r>
    </w:p>
  </w:footnote>
  <w:footnote w:id="1899">
    <w:p w:rsidR="000D3D21" w:rsidRDefault="000D3D21" w:rsidP="00E269AD">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92933">
        <w:rPr>
          <w:rFonts w:ascii="Traditional Arabic" w:hAnsi="Traditional Arabic"/>
          <w:sz w:val="32"/>
          <w:szCs w:val="32"/>
          <w:rtl/>
        </w:rPr>
        <w:t>فتح ذي الجلال والإكرام (3/542-543) بتصرف</w:t>
      </w:r>
      <w:r>
        <w:rPr>
          <w:rFonts w:ascii="Traditional Arabic" w:hAnsi="Traditional Arabic" w:hint="cs"/>
          <w:sz w:val="32"/>
          <w:szCs w:val="32"/>
          <w:rtl/>
        </w:rPr>
        <w:t>، وانظر الشرح الممتع (8/150، 158)، و(9/381)، و(10/107)</w:t>
      </w:r>
      <w:r w:rsidRPr="00C92933">
        <w:rPr>
          <w:rFonts w:ascii="Traditional Arabic" w:hAnsi="Traditional Arabic"/>
          <w:sz w:val="32"/>
          <w:szCs w:val="32"/>
          <w:rtl/>
        </w:rPr>
        <w:t>.</w:t>
      </w:r>
    </w:p>
    <w:p w:rsidR="000D3D21" w:rsidRPr="00C92933" w:rsidRDefault="000D3D21" w:rsidP="00D77425">
      <w:pPr>
        <w:pStyle w:val="a7"/>
        <w:pageBreakBefore/>
        <w:rPr>
          <w:rFonts w:ascii="Traditional Arabic" w:hAnsi="Traditional Arabic"/>
          <w:sz w:val="32"/>
          <w:szCs w:val="32"/>
        </w:rPr>
      </w:pPr>
      <w:r>
        <w:rPr>
          <w:rFonts w:ascii="Traditional Arabic" w:hAnsi="Traditional Arabic" w:hint="cs"/>
          <w:sz w:val="32"/>
          <w:szCs w:val="32"/>
          <w:rtl/>
        </w:rPr>
        <w:t xml:space="preserve">      ذكر شيخ الإسلام ابن تيمية _</w:t>
      </w:r>
      <w:r>
        <w:rPr>
          <w:rFonts w:ascii="Traditional Arabic" w:hAnsi="Traditional Arabic" w:cs="CTraditional Arabic" w:hint="cs"/>
          <w:rtl/>
        </w:rPr>
        <w:t>/</w:t>
      </w:r>
      <w:r>
        <w:rPr>
          <w:rFonts w:ascii="Traditional Arabic" w:hAnsi="Traditional Arabic" w:hint="cs"/>
          <w:sz w:val="32"/>
          <w:szCs w:val="32"/>
          <w:rtl/>
        </w:rPr>
        <w:t xml:space="preserve">_ بعض المسائل المستثناة من تحريم الغرر، منها بيع العقار جملةً وإن لم يعلم دواخل الحيطان والأساس، وجعلها من باب ما يجوز تبعا وضمنا، حيث قال: (...فظهر أنه يجوز من الغرر اليسير ضمنا وتبعا ما لا يجوز من غيره)، فهذا الفرع يندرج أيضا تحت قاعدة "يثبت تبعا ما لا يثبت استقلالا"، وقد تقدمت دراسة هذه القاعدة في ص (267) من هذه الرسالة. انظر: القواعد النورانية (180)، والقواعد والأصول الجامعة (100). </w:t>
      </w:r>
    </w:p>
  </w:footnote>
  <w:footnote w:id="1900">
    <w:p w:rsidR="000D3D21" w:rsidRPr="00860BB7" w:rsidRDefault="000D3D21" w:rsidP="00E269AD">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B0BDE">
        <w:rPr>
          <w:rFonts w:ascii="Traditional Arabic" w:hAnsi="Traditional Arabic"/>
          <w:sz w:val="32"/>
          <w:szCs w:val="32"/>
          <w:rtl/>
        </w:rPr>
        <w:t>انظر الش</w:t>
      </w:r>
      <w:r>
        <w:rPr>
          <w:rFonts w:ascii="Traditional Arabic" w:hAnsi="Traditional Arabic"/>
          <w:sz w:val="32"/>
          <w:szCs w:val="32"/>
          <w:rtl/>
        </w:rPr>
        <w:t>رح الممتع (2/215-216)، و(8/418)</w:t>
      </w:r>
      <w:r>
        <w:rPr>
          <w:rFonts w:ascii="Traditional Arabic" w:hAnsi="Traditional Arabic" w:hint="cs"/>
          <w:sz w:val="32"/>
          <w:szCs w:val="32"/>
          <w:rtl/>
        </w:rPr>
        <w:t>.</w:t>
      </w:r>
    </w:p>
  </w:footnote>
  <w:footnote w:id="1901">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اخترت هذه الصيغة لوجازتها، مع شمولها لتصرف الإنسان لنفسه ولغيره، واستبدلت فيه</w:t>
      </w:r>
      <w:r>
        <w:rPr>
          <w:rFonts w:ascii="Traditional Arabic" w:hAnsi="Traditional Arabic"/>
          <w:sz w:val="32"/>
          <w:szCs w:val="32"/>
          <w:rtl/>
        </w:rPr>
        <w:t>ا لفظ (الأحظ) بلفظ (الأصلح)؛</w:t>
      </w:r>
      <w:r w:rsidRPr="009F2872">
        <w:rPr>
          <w:rFonts w:ascii="Traditional Arabic" w:hAnsi="Traditional Arabic"/>
          <w:sz w:val="32"/>
          <w:szCs w:val="32"/>
          <w:rtl/>
        </w:rPr>
        <w:t xml:space="preserve"> </w:t>
      </w:r>
      <w:r>
        <w:rPr>
          <w:rFonts w:ascii="Traditional Arabic" w:hAnsi="Traditional Arabic" w:hint="cs"/>
          <w:sz w:val="32"/>
          <w:szCs w:val="32"/>
          <w:rtl/>
        </w:rPr>
        <w:t>ل</w:t>
      </w:r>
      <w:r w:rsidRPr="009F2872">
        <w:rPr>
          <w:rFonts w:ascii="Traditional Arabic" w:hAnsi="Traditional Arabic"/>
          <w:sz w:val="32"/>
          <w:szCs w:val="32"/>
          <w:rtl/>
        </w:rPr>
        <w:t>أنه أدق في التعبير عن القاعدة؛ لدورانها حول</w:t>
      </w:r>
      <w:r>
        <w:rPr>
          <w:rFonts w:ascii="Traditional Arabic" w:hAnsi="Traditional Arabic"/>
          <w:sz w:val="32"/>
          <w:szCs w:val="32"/>
          <w:rtl/>
        </w:rPr>
        <w:t xml:space="preserve"> التصرف عن الغير بما فيه مصلحتة</w:t>
      </w:r>
      <w:r>
        <w:rPr>
          <w:rFonts w:ascii="Traditional Arabic" w:hAnsi="Traditional Arabic" w:hint="cs"/>
          <w:sz w:val="32"/>
          <w:szCs w:val="32"/>
          <w:rtl/>
        </w:rPr>
        <w:t xml:space="preserve">، </w:t>
      </w:r>
      <w:r w:rsidRPr="009F2872">
        <w:rPr>
          <w:rFonts w:ascii="Traditional Arabic" w:hAnsi="Traditional Arabic"/>
          <w:sz w:val="32"/>
          <w:szCs w:val="32"/>
          <w:rtl/>
        </w:rPr>
        <w:t>والله أعلم.</w:t>
      </w:r>
    </w:p>
  </w:footnote>
  <w:footnote w:id="1902">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الشرح الممتع (4/193).</w:t>
      </w:r>
    </w:p>
  </w:footnote>
  <w:footnote w:id="1903">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9F2872">
        <w:rPr>
          <w:rFonts w:ascii="Traditional Arabic" w:hAnsi="Traditional Arabic"/>
          <w:sz w:val="32"/>
          <w:szCs w:val="32"/>
          <w:rtl/>
        </w:rPr>
        <w:t xml:space="preserve"> المرجع السابق (8/25). </w:t>
      </w:r>
    </w:p>
  </w:footnote>
  <w:footnote w:id="1904">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المرجع السابق (8/34-35) بتصرف.</w:t>
      </w:r>
    </w:p>
  </w:footnote>
  <w:footnote w:id="1905">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المرجع السابق (8/130).</w:t>
      </w:r>
    </w:p>
  </w:footnote>
  <w:footnote w:id="1906">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9F2872">
        <w:rPr>
          <w:rFonts w:ascii="Traditional Arabic" w:hAnsi="Traditional Arabic"/>
          <w:sz w:val="32"/>
          <w:szCs w:val="32"/>
          <w:rtl/>
        </w:rPr>
        <w:t xml:space="preserve"> (9/307).</w:t>
      </w:r>
    </w:p>
  </w:footnote>
  <w:footnote w:id="1907">
    <w:p w:rsidR="000D3D21" w:rsidRPr="00031B71" w:rsidRDefault="000D3D21" w:rsidP="00D25F1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المرجع السابق (9/319)، وانظر (15/157).</w:t>
      </w:r>
    </w:p>
  </w:footnote>
  <w:footnote w:id="1908">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فتح ذي الجلال والإكرام (3/69)، وانظر (3/389).</w:t>
      </w:r>
    </w:p>
  </w:footnote>
  <w:footnote w:id="1909">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 xml:space="preserve">مجموع الفتاوى لابن تيمية (34/121). </w:t>
      </w:r>
    </w:p>
  </w:footnote>
  <w:footnote w:id="1910">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الأشباه والنظائر لابن السبكي (1/310)، وانظر الأشباه والنظائر للسيوطي (49).</w:t>
      </w:r>
    </w:p>
  </w:footnote>
  <w:footnote w:id="1911">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القواعد والأصول الجامعة (86).</w:t>
      </w:r>
    </w:p>
  </w:footnote>
  <w:footnote w:id="1912">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انظر مقاييس اللغة (3/303).</w:t>
      </w:r>
    </w:p>
  </w:footnote>
  <w:footnote w:id="1913">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انظر المراجع المتقدمة عند ذكر صيغ القاعدة عند الشيخ، والشرح الممتع (10/392)، ومجموع الفتاوى لابن تيمية</w:t>
      </w:r>
      <w:r>
        <w:rPr>
          <w:rFonts w:ascii="Traditional Arabic" w:hAnsi="Traditional Arabic" w:hint="cs"/>
          <w:sz w:val="32"/>
          <w:szCs w:val="32"/>
          <w:rtl/>
        </w:rPr>
        <w:t xml:space="preserve"> </w:t>
      </w:r>
      <w:r w:rsidRPr="009F2872">
        <w:rPr>
          <w:rFonts w:ascii="Traditional Arabic" w:hAnsi="Traditional Arabic"/>
          <w:sz w:val="32"/>
          <w:szCs w:val="32"/>
          <w:rtl/>
        </w:rPr>
        <w:t xml:space="preserve">(34/121)، ورسالة لطيفة في أصول الفقه </w:t>
      </w:r>
      <w:r>
        <w:rPr>
          <w:rFonts w:ascii="Traditional Arabic" w:hAnsi="Traditional Arabic" w:hint="cs"/>
          <w:sz w:val="32"/>
          <w:szCs w:val="32"/>
          <w:rtl/>
        </w:rPr>
        <w:t xml:space="preserve">لابن سعدي </w:t>
      </w:r>
      <w:r w:rsidRPr="009F2872">
        <w:rPr>
          <w:rFonts w:ascii="Traditional Arabic" w:hAnsi="Traditional Arabic"/>
          <w:sz w:val="32"/>
          <w:szCs w:val="32"/>
          <w:rtl/>
        </w:rPr>
        <w:t>(114).</w:t>
      </w:r>
    </w:p>
  </w:footnote>
  <w:footnote w:id="1914">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 xml:space="preserve">تيسير الكريم المنان للسعدي </w:t>
      </w:r>
      <w:r>
        <w:rPr>
          <w:rFonts w:ascii="Traditional Arabic" w:hAnsi="Traditional Arabic" w:hint="cs"/>
          <w:sz w:val="32"/>
          <w:szCs w:val="32"/>
          <w:rtl/>
        </w:rPr>
        <w:t xml:space="preserve">(280) </w:t>
      </w:r>
      <w:r w:rsidRPr="009F2872">
        <w:rPr>
          <w:rFonts w:ascii="Traditional Arabic" w:hAnsi="Traditional Arabic"/>
          <w:sz w:val="32"/>
          <w:szCs w:val="32"/>
          <w:rtl/>
        </w:rPr>
        <w:t>بتصرف.</w:t>
      </w:r>
    </w:p>
  </w:footnote>
  <w:footnote w:id="1915">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انظر الشرح الممتع (9/306)، و(15/156)، ومجموع الفتاوى لابن تيمية (34/121)، والقواعد والأصول الجامعة (87).</w:t>
      </w:r>
    </w:p>
  </w:footnote>
  <w:footnote w:id="1916">
    <w:p w:rsidR="000D3D21" w:rsidRPr="003C451C" w:rsidRDefault="000D3D21" w:rsidP="00D25F1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noProof w:val="0"/>
          <w:sz w:val="32"/>
          <w:szCs w:val="32"/>
          <w:rtl/>
          <w:lang w:eastAsia="en-US"/>
        </w:rPr>
        <w:t>أخرجه البخاري في كتاب الأذان، باب إذا صلى لنفسه فليطول ما شاء، رقم الحديث (703)، ومسلم في كتاب الصلاة، باب أمر الأئمة بتخفيف الصلاة في تمام، رقم الحديث (467)</w:t>
      </w:r>
      <w:r w:rsidRPr="009F2872">
        <w:rPr>
          <w:rFonts w:ascii="Traditional Arabic" w:hAnsi="Traditional Arabic"/>
          <w:sz w:val="32"/>
          <w:szCs w:val="32"/>
          <w:rtl/>
        </w:rPr>
        <w:t>.</w:t>
      </w:r>
    </w:p>
  </w:footnote>
  <w:footnote w:id="1917">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انظر الشرح الممتع (4/52، 192)، و(8/130)، و(9/307).</w:t>
      </w:r>
    </w:p>
  </w:footnote>
  <w:footnote w:id="1918">
    <w:p w:rsidR="000D3D21" w:rsidRPr="00206CBE" w:rsidRDefault="000D3D21" w:rsidP="00D25F1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9F2872">
        <w:rPr>
          <w:rFonts w:ascii="Traditional Arabic" w:hAnsi="Traditional Arabic"/>
          <w:sz w:val="32"/>
          <w:szCs w:val="32"/>
          <w:rtl/>
        </w:rPr>
        <w:t xml:space="preserve"> (8/130) بتصرف، وانظر (4/193).</w:t>
      </w:r>
    </w:p>
  </w:footnote>
  <w:footnote w:id="1919">
    <w:p w:rsidR="000D3D21" w:rsidRPr="009F2872"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F2872">
        <w:rPr>
          <w:rFonts w:ascii="Traditional Arabic" w:hAnsi="Traditional Arabic"/>
          <w:sz w:val="32"/>
          <w:szCs w:val="32"/>
          <w:rtl/>
        </w:rPr>
        <w:t>ال</w:t>
      </w:r>
      <w:r>
        <w:rPr>
          <w:rFonts w:ascii="Traditional Arabic" w:hAnsi="Traditional Arabic" w:hint="cs"/>
          <w:sz w:val="32"/>
          <w:szCs w:val="32"/>
          <w:rtl/>
        </w:rPr>
        <w:t>مرجع السابق</w:t>
      </w:r>
      <w:r w:rsidRPr="009F2872">
        <w:rPr>
          <w:rFonts w:ascii="Traditional Arabic" w:hAnsi="Traditional Arabic"/>
          <w:sz w:val="32"/>
          <w:szCs w:val="32"/>
          <w:rtl/>
        </w:rPr>
        <w:t xml:space="preserve"> (9/307، 308) بتصرف.</w:t>
      </w:r>
    </w:p>
  </w:footnote>
  <w:footnote w:id="1920">
    <w:p w:rsidR="000D3D21" w:rsidRPr="00001FEE" w:rsidRDefault="000D3D21" w:rsidP="00D25F1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المرجع السابق (10/190-194)</w:t>
      </w:r>
      <w:r>
        <w:rPr>
          <w:rFonts w:ascii="Traditional Arabic" w:hAnsi="Traditional Arabic" w:hint="cs"/>
          <w:sz w:val="32"/>
          <w:szCs w:val="32"/>
          <w:rtl/>
        </w:rPr>
        <w:t>.</w:t>
      </w:r>
    </w:p>
  </w:footnote>
  <w:footnote w:id="1921">
    <w:p w:rsidR="000D3D21" w:rsidRPr="005C2A97"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2A97">
        <w:rPr>
          <w:rFonts w:ascii="Traditional Arabic" w:hAnsi="Traditional Arabic"/>
          <w:sz w:val="32"/>
          <w:szCs w:val="32"/>
          <w:rtl/>
        </w:rPr>
        <w:t>الشرح الممتع (9/107)</w:t>
      </w:r>
      <w:r>
        <w:rPr>
          <w:rFonts w:ascii="Traditional Arabic" w:hAnsi="Traditional Arabic" w:hint="cs"/>
          <w:sz w:val="32"/>
          <w:szCs w:val="32"/>
          <w:rtl/>
        </w:rPr>
        <w:t>، وشرح منظومة أصول الفقه وقواعده (256). وانظر: شرح الأصول من علم الأصول (91)، وفقه العبادات (330)</w:t>
      </w:r>
      <w:r w:rsidRPr="005C2A97">
        <w:rPr>
          <w:rFonts w:ascii="Traditional Arabic" w:hAnsi="Traditional Arabic"/>
          <w:sz w:val="32"/>
          <w:szCs w:val="32"/>
          <w:rtl/>
        </w:rPr>
        <w:t>.</w:t>
      </w:r>
    </w:p>
  </w:footnote>
  <w:footnote w:id="1922">
    <w:p w:rsidR="000D3D21" w:rsidRPr="00865905"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65905">
        <w:rPr>
          <w:rFonts w:ascii="Traditional Arabic" w:hAnsi="Traditional Arabic"/>
          <w:sz w:val="32"/>
          <w:szCs w:val="32"/>
          <w:rtl/>
        </w:rPr>
        <w:t xml:space="preserve">الذخيرة </w:t>
      </w:r>
      <w:r>
        <w:rPr>
          <w:rFonts w:ascii="Traditional Arabic" w:hAnsi="Traditional Arabic" w:hint="cs"/>
          <w:sz w:val="32"/>
          <w:szCs w:val="32"/>
          <w:rtl/>
        </w:rPr>
        <w:t xml:space="preserve">للقرافي </w:t>
      </w:r>
      <w:r w:rsidRPr="00865905">
        <w:rPr>
          <w:rFonts w:ascii="Traditional Arabic" w:hAnsi="Traditional Arabic"/>
          <w:sz w:val="32"/>
          <w:szCs w:val="32"/>
          <w:rtl/>
        </w:rPr>
        <w:t>(2/52).</w:t>
      </w:r>
    </w:p>
  </w:footnote>
  <w:footnote w:id="1923">
    <w:p w:rsidR="000D3D21" w:rsidRPr="00663712"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3712">
        <w:rPr>
          <w:rFonts w:ascii="Traditional Arabic" w:hAnsi="Traditional Arabic"/>
          <w:sz w:val="32"/>
          <w:szCs w:val="32"/>
          <w:rtl/>
        </w:rPr>
        <w:t>مجموع الف</w:t>
      </w:r>
      <w:r w:rsidRPr="00663712">
        <w:rPr>
          <w:rFonts w:ascii="Traditional Arabic" w:hAnsi="Traditional Arabic" w:hint="cs"/>
          <w:sz w:val="32"/>
          <w:szCs w:val="32"/>
          <w:rtl/>
        </w:rPr>
        <w:t>ت</w:t>
      </w:r>
      <w:r w:rsidRPr="00663712">
        <w:rPr>
          <w:rFonts w:ascii="Traditional Arabic" w:hAnsi="Traditional Arabic"/>
          <w:sz w:val="32"/>
          <w:szCs w:val="32"/>
          <w:rtl/>
        </w:rPr>
        <w:t xml:space="preserve">اوى </w:t>
      </w:r>
      <w:r w:rsidRPr="00663712">
        <w:rPr>
          <w:rFonts w:ascii="Traditional Arabic" w:hAnsi="Traditional Arabic" w:hint="cs"/>
          <w:sz w:val="32"/>
          <w:szCs w:val="32"/>
          <w:rtl/>
        </w:rPr>
        <w:t xml:space="preserve">لابن تيمية </w:t>
      </w:r>
      <w:r w:rsidRPr="00663712">
        <w:rPr>
          <w:rFonts w:ascii="Traditional Arabic" w:hAnsi="Traditional Arabic"/>
          <w:sz w:val="32"/>
          <w:szCs w:val="32"/>
          <w:rtl/>
        </w:rPr>
        <w:t>(31/252)</w:t>
      </w:r>
      <w:r w:rsidRPr="00663712">
        <w:rPr>
          <w:rFonts w:ascii="Traditional Arabic" w:hAnsi="Traditional Arabic" w:hint="cs"/>
          <w:sz w:val="32"/>
          <w:szCs w:val="32"/>
          <w:rtl/>
        </w:rPr>
        <w:t>، وانظر القواعد والضوابط الفقهية للمعاملات المالية عند ابن تيمية</w:t>
      </w:r>
      <w:r>
        <w:rPr>
          <w:rFonts w:ascii="Traditional Arabic" w:hAnsi="Traditional Arabic" w:hint="cs"/>
          <w:sz w:val="32"/>
          <w:szCs w:val="32"/>
          <w:rtl/>
        </w:rPr>
        <w:t xml:space="preserve"> </w:t>
      </w:r>
      <w:r w:rsidRPr="00663712">
        <w:rPr>
          <w:rFonts w:ascii="Traditional Arabic" w:hAnsi="Traditional Arabic" w:hint="cs"/>
          <w:sz w:val="32"/>
          <w:szCs w:val="32"/>
          <w:rtl/>
        </w:rPr>
        <w:t>(2/15)</w:t>
      </w:r>
      <w:r w:rsidRPr="00663712">
        <w:rPr>
          <w:rFonts w:ascii="Traditional Arabic" w:hAnsi="Traditional Arabic"/>
          <w:sz w:val="32"/>
          <w:szCs w:val="32"/>
          <w:rtl/>
        </w:rPr>
        <w:t>.</w:t>
      </w:r>
    </w:p>
  </w:footnote>
  <w:footnote w:id="1924">
    <w:p w:rsidR="000D3D21" w:rsidRPr="005C2A97"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2A97">
        <w:rPr>
          <w:rFonts w:ascii="Traditional Arabic" w:hAnsi="Traditional Arabic"/>
          <w:sz w:val="32"/>
          <w:szCs w:val="32"/>
          <w:rtl/>
        </w:rPr>
        <w:t>إعلام الموقعين (5/391)</w:t>
      </w:r>
      <w:r>
        <w:rPr>
          <w:rFonts w:ascii="Traditional Arabic" w:hAnsi="Traditional Arabic" w:hint="cs"/>
          <w:sz w:val="32"/>
          <w:szCs w:val="32"/>
          <w:rtl/>
        </w:rPr>
        <w:t>، وانظر القواعد والضوابط الفقهية عند  ابن القيم في فقه الأسرة (471)</w:t>
      </w:r>
      <w:r w:rsidRPr="005C2A97">
        <w:rPr>
          <w:rFonts w:ascii="Traditional Arabic" w:hAnsi="Traditional Arabic"/>
          <w:sz w:val="32"/>
          <w:szCs w:val="32"/>
          <w:rtl/>
        </w:rPr>
        <w:t>.</w:t>
      </w:r>
    </w:p>
  </w:footnote>
  <w:footnote w:id="1925">
    <w:p w:rsidR="000D3D21" w:rsidRPr="005C2A97"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2A97">
        <w:rPr>
          <w:rFonts w:ascii="Traditional Arabic" w:hAnsi="Traditional Arabic"/>
          <w:sz w:val="32"/>
          <w:szCs w:val="32"/>
          <w:rtl/>
        </w:rPr>
        <w:t>القواعد للمقري (2/469).</w:t>
      </w:r>
    </w:p>
  </w:footnote>
  <w:footnote w:id="1926">
    <w:p w:rsidR="000D3D21" w:rsidRPr="005C2A97"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2A97">
        <w:rPr>
          <w:rFonts w:ascii="Traditional Arabic" w:hAnsi="Traditional Arabic"/>
          <w:sz w:val="32"/>
          <w:szCs w:val="32"/>
          <w:rtl/>
        </w:rPr>
        <w:t>المنثور للزركشي (1/178).</w:t>
      </w:r>
    </w:p>
  </w:footnote>
  <w:footnote w:id="1927">
    <w:p w:rsidR="000D3D21" w:rsidRDefault="000D3D21" w:rsidP="00D25F1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648DB">
        <w:rPr>
          <w:rFonts w:ascii="Traditional Arabic" w:hAnsi="Traditional Arabic"/>
          <w:sz w:val="32"/>
          <w:szCs w:val="32"/>
          <w:rtl/>
        </w:rPr>
        <w:t>القواعد والأصول الجامعة (80).</w:t>
      </w:r>
    </w:p>
    <w:p w:rsidR="000D3D21" w:rsidRPr="00D77E46" w:rsidRDefault="000D3D21" w:rsidP="00D25F15">
      <w:pPr>
        <w:pStyle w:val="a7"/>
        <w:pageBreakBefore/>
        <w:rPr>
          <w:rFonts w:ascii="Tahoma" w:hAnsi="Tahoma"/>
          <w:b/>
          <w:bCs/>
        </w:rPr>
      </w:pPr>
      <w:r>
        <w:rPr>
          <w:rFonts w:ascii="Traditional Arabic" w:hAnsi="Traditional Arabic" w:hint="cs"/>
          <w:b/>
          <w:bCs/>
          <w:sz w:val="32"/>
          <w:szCs w:val="32"/>
          <w:rtl/>
        </w:rPr>
        <w:t xml:space="preserve">     تنبيه: </w:t>
      </w:r>
      <w:r w:rsidRPr="00D648DB">
        <w:rPr>
          <w:rFonts w:ascii="Traditional Arabic" w:hAnsi="Traditional Arabic"/>
          <w:sz w:val="32"/>
          <w:szCs w:val="32"/>
          <w:rtl/>
        </w:rPr>
        <w:t xml:space="preserve">في النسخة التي علق عليها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D648DB">
        <w:rPr>
          <w:rFonts w:ascii="Traditional Arabic" w:hAnsi="Traditional Arabic"/>
          <w:sz w:val="32"/>
          <w:szCs w:val="32"/>
          <w:rtl/>
        </w:rPr>
        <w:t xml:space="preserve"> وردت هذه القاعدة بلفظ: (يقوم البدل مقام المبدل عند تعذّر المبدل منه).</w:t>
      </w:r>
      <w:r>
        <w:rPr>
          <w:rFonts w:ascii="Traditional Arabic" w:hAnsi="Traditional Arabic" w:hint="cs"/>
          <w:sz w:val="32"/>
          <w:szCs w:val="32"/>
          <w:rtl/>
        </w:rPr>
        <w:t xml:space="preserve"> </w:t>
      </w:r>
      <w:r w:rsidRPr="00D648DB">
        <w:rPr>
          <w:rFonts w:ascii="Traditional Arabic" w:hAnsi="Traditional Arabic"/>
          <w:sz w:val="32"/>
          <w:szCs w:val="32"/>
          <w:rtl/>
        </w:rPr>
        <w:t xml:space="preserve">التعليق على القواعد والأصول </w:t>
      </w:r>
      <w:r>
        <w:rPr>
          <w:rFonts w:ascii="Traditional Arabic" w:hAnsi="Traditional Arabic" w:hint="cs"/>
          <w:sz w:val="32"/>
          <w:szCs w:val="32"/>
          <w:rtl/>
        </w:rPr>
        <w:t xml:space="preserve">الجامعة </w:t>
      </w:r>
      <w:r w:rsidRPr="00D648DB">
        <w:rPr>
          <w:rFonts w:ascii="Traditional Arabic" w:hAnsi="Traditional Arabic"/>
          <w:sz w:val="32"/>
          <w:szCs w:val="32"/>
          <w:rtl/>
        </w:rPr>
        <w:t>(173</w:t>
      </w:r>
      <w:r>
        <w:rPr>
          <w:rFonts w:ascii="Traditional Arabic" w:hAnsi="Traditional Arabic"/>
          <w:sz w:val="32"/>
          <w:szCs w:val="32"/>
          <w:rtl/>
        </w:rPr>
        <w:t>)</w:t>
      </w:r>
      <w:r>
        <w:rPr>
          <w:rFonts w:ascii="Traditional Arabic" w:hAnsi="Traditional Arabic" w:hint="cs"/>
          <w:sz w:val="32"/>
          <w:szCs w:val="32"/>
          <w:rtl/>
        </w:rPr>
        <w:t>.</w:t>
      </w:r>
    </w:p>
  </w:footnote>
  <w:footnote w:id="1928">
    <w:p w:rsidR="000D3D21" w:rsidRPr="005C2A97"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2A97">
        <w:rPr>
          <w:rFonts w:ascii="Traditional Arabic" w:hAnsi="Traditional Arabic"/>
          <w:sz w:val="32"/>
          <w:szCs w:val="32"/>
          <w:rtl/>
        </w:rPr>
        <w:t>مجلة الأحكام العدلية ( المادة 53).</w:t>
      </w:r>
    </w:p>
  </w:footnote>
  <w:footnote w:id="1929">
    <w:p w:rsidR="000D3D21" w:rsidRPr="0063644A" w:rsidRDefault="000D3D21" w:rsidP="00D25F15">
      <w:pPr>
        <w:pStyle w:val="a7"/>
        <w:pageBreakBefore/>
        <w:rPr>
          <w:rFonts w:ascii="Tahoma" w:hAnsi="Tahoma"/>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C2A97">
        <w:rPr>
          <w:rFonts w:ascii="Traditional Arabic" w:hAnsi="Traditional Arabic"/>
          <w:sz w:val="32"/>
          <w:szCs w:val="32"/>
          <w:rtl/>
        </w:rPr>
        <w:t>المدخل الفقهي العام (2/1028).</w:t>
      </w:r>
    </w:p>
  </w:footnote>
  <w:footnote w:id="1930">
    <w:p w:rsidR="000D3D21" w:rsidRPr="00D77E46"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77E46">
        <w:rPr>
          <w:rFonts w:ascii="Traditional Arabic" w:hAnsi="Traditional Arabic"/>
          <w:sz w:val="32"/>
          <w:szCs w:val="32"/>
          <w:rtl/>
        </w:rPr>
        <w:t>مقاييس اللغة (4/255).</w:t>
      </w:r>
    </w:p>
  </w:footnote>
  <w:footnote w:id="1931">
    <w:p w:rsidR="000D3D21" w:rsidRPr="00D648DB"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648DB">
        <w:rPr>
          <w:rFonts w:ascii="Traditional Arabic" w:hAnsi="Traditional Arabic"/>
          <w:sz w:val="32"/>
          <w:szCs w:val="32"/>
          <w:rtl/>
        </w:rPr>
        <w:t xml:space="preserve">انظر القواعد الفقهية المتضمنة للتيسير </w:t>
      </w:r>
      <w:r>
        <w:rPr>
          <w:rFonts w:ascii="Traditional Arabic" w:hAnsi="Traditional Arabic" w:hint="cs"/>
          <w:sz w:val="32"/>
          <w:szCs w:val="32"/>
          <w:rtl/>
        </w:rPr>
        <w:t xml:space="preserve">لعبد الرحمن آل عبد اللطيف </w:t>
      </w:r>
      <w:r w:rsidRPr="00D648DB">
        <w:rPr>
          <w:rFonts w:ascii="Traditional Arabic" w:hAnsi="Traditional Arabic"/>
          <w:sz w:val="32"/>
          <w:szCs w:val="32"/>
          <w:rtl/>
        </w:rPr>
        <w:t>(</w:t>
      </w:r>
      <w:r>
        <w:rPr>
          <w:rFonts w:ascii="Traditional Arabic" w:hAnsi="Traditional Arabic" w:hint="cs"/>
          <w:sz w:val="32"/>
          <w:szCs w:val="32"/>
          <w:rtl/>
        </w:rPr>
        <w:t>2/630</w:t>
      </w:r>
      <w:r w:rsidRPr="00D648DB">
        <w:rPr>
          <w:rFonts w:ascii="Traditional Arabic" w:hAnsi="Traditional Arabic"/>
          <w:sz w:val="32"/>
          <w:szCs w:val="32"/>
          <w:rtl/>
        </w:rPr>
        <w:t>).</w:t>
      </w:r>
    </w:p>
  </w:footnote>
  <w:footnote w:id="1932">
    <w:p w:rsidR="000D3D21" w:rsidRPr="005E0F42"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0F42">
        <w:rPr>
          <w:rFonts w:ascii="Traditional Arabic" w:hAnsi="Traditional Arabic"/>
          <w:sz w:val="32"/>
          <w:szCs w:val="32"/>
          <w:rtl/>
        </w:rPr>
        <w:t>مقاييس اللغة (1/210).</w:t>
      </w:r>
    </w:p>
  </w:footnote>
  <w:footnote w:id="1933">
    <w:p w:rsidR="000D3D21" w:rsidRPr="005E0F42"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E0F42">
        <w:rPr>
          <w:rFonts w:ascii="Traditional Arabic" w:hAnsi="Traditional Arabic"/>
          <w:sz w:val="32"/>
          <w:szCs w:val="32"/>
          <w:rtl/>
        </w:rPr>
        <w:t xml:space="preserve">الفروق في اللغة لأبي هلال العسكري </w:t>
      </w:r>
      <w:r>
        <w:rPr>
          <w:rFonts w:ascii="Traditional Arabic" w:hAnsi="Traditional Arabic" w:hint="cs"/>
          <w:sz w:val="32"/>
          <w:szCs w:val="32"/>
          <w:rtl/>
        </w:rPr>
        <w:t>(197)</w:t>
      </w:r>
      <w:r w:rsidRPr="005E0F42">
        <w:rPr>
          <w:rFonts w:ascii="Traditional Arabic" w:hAnsi="Traditional Arabic"/>
          <w:sz w:val="32"/>
          <w:szCs w:val="32"/>
          <w:rtl/>
        </w:rPr>
        <w:t>، والقواعد والضوابط الفقهية عند  ابن القيم في فقه الأسرة (473).</w:t>
      </w:r>
    </w:p>
  </w:footnote>
  <w:footnote w:id="1934">
    <w:p w:rsidR="000D3D21" w:rsidRPr="005C2A97"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انظر في ما يتعلق بهذه القاعدة: </w:t>
      </w:r>
      <w:r>
        <w:rPr>
          <w:rFonts w:ascii="Traditional Arabic" w:hAnsi="Traditional Arabic" w:hint="cs"/>
          <w:sz w:val="32"/>
          <w:szCs w:val="32"/>
          <w:rtl/>
        </w:rPr>
        <w:t>شرح منظومة أصول الفقه وقواعده (322)، و</w:t>
      </w:r>
      <w:r>
        <w:rPr>
          <w:rFonts w:ascii="Traditional Arabic" w:hAnsi="Traditional Arabic"/>
          <w:sz w:val="32"/>
          <w:szCs w:val="32"/>
          <w:rtl/>
        </w:rPr>
        <w:t xml:space="preserve">تقرير القواعد </w:t>
      </w:r>
      <w:r>
        <w:rPr>
          <w:rFonts w:ascii="Traditional Arabic" w:hAnsi="Traditional Arabic" w:hint="cs"/>
          <w:sz w:val="32"/>
          <w:szCs w:val="32"/>
          <w:rtl/>
        </w:rPr>
        <w:t>لابن رجب</w:t>
      </w:r>
      <w:r w:rsidRPr="005C2A97">
        <w:rPr>
          <w:rFonts w:ascii="Traditional Arabic" w:hAnsi="Traditional Arabic"/>
          <w:sz w:val="32"/>
          <w:szCs w:val="32"/>
          <w:rtl/>
        </w:rPr>
        <w:t xml:space="preserve"> (3/73)، ومغني ذوي الأفهام لابن عبد الهادي (521)، والق</w:t>
      </w:r>
      <w:r>
        <w:rPr>
          <w:rFonts w:ascii="Traditional Arabic" w:hAnsi="Traditional Arabic"/>
          <w:sz w:val="32"/>
          <w:szCs w:val="32"/>
          <w:rtl/>
        </w:rPr>
        <w:t>واعد والأصول الجامعة (80)</w:t>
      </w:r>
      <w:r>
        <w:rPr>
          <w:rFonts w:ascii="Traditional Arabic" w:hAnsi="Traditional Arabic" w:hint="cs"/>
          <w:sz w:val="32"/>
          <w:szCs w:val="32"/>
          <w:rtl/>
        </w:rPr>
        <w:t>.</w:t>
      </w:r>
    </w:p>
  </w:footnote>
  <w:footnote w:id="1935">
    <w:p w:rsidR="000D3D21" w:rsidRPr="00D02E4E"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02E4E">
        <w:rPr>
          <w:rFonts w:ascii="Traditional Arabic" w:hAnsi="Traditional Arabic"/>
          <w:sz w:val="32"/>
          <w:szCs w:val="32"/>
          <w:rtl/>
        </w:rPr>
        <w:t xml:space="preserve">سيأتي </w:t>
      </w:r>
      <w:r>
        <w:rPr>
          <w:rFonts w:ascii="Traditional Arabic" w:hAnsi="Traditional Arabic"/>
          <w:sz w:val="32"/>
          <w:szCs w:val="32"/>
          <w:rtl/>
        </w:rPr>
        <w:t>الكلام عن هذه القاعدة في</w:t>
      </w:r>
      <w:r w:rsidRPr="00D02E4E">
        <w:rPr>
          <w:rFonts w:ascii="Traditional Arabic" w:hAnsi="Traditional Arabic"/>
          <w:sz w:val="32"/>
          <w:szCs w:val="32"/>
          <w:rtl/>
        </w:rPr>
        <w:t xml:space="preserve"> </w:t>
      </w:r>
      <w:r>
        <w:rPr>
          <w:rFonts w:ascii="Traditional Arabic" w:hAnsi="Traditional Arabic" w:hint="cs"/>
          <w:sz w:val="32"/>
          <w:szCs w:val="32"/>
          <w:rtl/>
        </w:rPr>
        <w:t xml:space="preserve">المبحث الثامن </w:t>
      </w:r>
      <w:r>
        <w:rPr>
          <w:rFonts w:ascii="Traditional Arabic" w:hAnsi="Traditional Arabic"/>
          <w:sz w:val="32"/>
          <w:szCs w:val="32"/>
          <w:rtl/>
        </w:rPr>
        <w:t>من هذ</w:t>
      </w:r>
      <w:r>
        <w:rPr>
          <w:rFonts w:ascii="Traditional Arabic" w:hAnsi="Traditional Arabic" w:hint="cs"/>
          <w:sz w:val="32"/>
          <w:szCs w:val="32"/>
          <w:rtl/>
        </w:rPr>
        <w:t>ا</w:t>
      </w:r>
      <w:r>
        <w:rPr>
          <w:rFonts w:ascii="Traditional Arabic" w:hAnsi="Traditional Arabic"/>
          <w:sz w:val="32"/>
          <w:szCs w:val="32"/>
          <w:rtl/>
        </w:rPr>
        <w:t xml:space="preserve"> ال</w:t>
      </w:r>
      <w:r>
        <w:rPr>
          <w:rFonts w:ascii="Traditional Arabic" w:hAnsi="Traditional Arabic" w:hint="cs"/>
          <w:sz w:val="32"/>
          <w:szCs w:val="32"/>
          <w:rtl/>
        </w:rPr>
        <w:t>فصل</w:t>
      </w:r>
      <w:r w:rsidRPr="00D02E4E">
        <w:rPr>
          <w:rFonts w:ascii="Traditional Arabic" w:hAnsi="Traditional Arabic"/>
          <w:sz w:val="32"/>
          <w:szCs w:val="32"/>
          <w:rtl/>
        </w:rPr>
        <w:t>.</w:t>
      </w:r>
    </w:p>
  </w:footnote>
  <w:footnote w:id="1936">
    <w:p w:rsidR="000D3D21" w:rsidRPr="004D1611" w:rsidRDefault="000D3D21" w:rsidP="00D564C0">
      <w:pPr>
        <w:pStyle w:val="a7"/>
        <w:ind w:left="329" w:hanging="329"/>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564C0">
        <w:rPr>
          <w:rFonts w:ascii="Traditional Arabic" w:hAnsi="Traditional Arabic"/>
          <w:b/>
          <w:bCs/>
          <w:sz w:val="32"/>
          <w:szCs w:val="32"/>
          <w:rtl/>
        </w:rPr>
        <w:t>الرخصة</w:t>
      </w:r>
      <w:r w:rsidR="00AB0B9E">
        <w:rPr>
          <w:rFonts w:ascii="Traditional Arabic" w:hAnsi="Traditional Arabic"/>
          <w:b/>
          <w:bCs/>
          <w:sz w:val="32"/>
          <w:szCs w:val="32"/>
          <w:rtl/>
        </w:rPr>
        <w:fldChar w:fldCharType="begin"/>
      </w:r>
      <w:r>
        <w:instrText xml:space="preserve"> XE "</w:instrText>
      </w:r>
      <w:r w:rsidRPr="00D564C0">
        <w:rPr>
          <w:rFonts w:ascii="Traditional Arabic" w:hAnsi="Traditional Arabic"/>
          <w:sz w:val="32"/>
          <w:szCs w:val="32"/>
          <w:rtl/>
        </w:rPr>
        <w:instrText>الرخصة</w:instrText>
      </w:r>
      <w:r>
        <w:instrText xml:space="preserve">" </w:instrText>
      </w:r>
      <w:r w:rsidRPr="00D564C0">
        <w:instrText xml:space="preserve">\fm </w:instrText>
      </w:r>
      <w:r w:rsidR="00AB0B9E">
        <w:rPr>
          <w:rFonts w:ascii="Traditional Arabic" w:hAnsi="Traditional Arabic"/>
          <w:b/>
          <w:bCs/>
          <w:sz w:val="32"/>
          <w:szCs w:val="32"/>
          <w:rtl/>
        </w:rPr>
        <w:fldChar w:fldCharType="end"/>
      </w:r>
      <w:r w:rsidRPr="00D564C0">
        <w:rPr>
          <w:rFonts w:ascii="Traditional Arabic" w:hAnsi="Traditional Arabic"/>
          <w:b/>
          <w:bCs/>
          <w:sz w:val="32"/>
          <w:szCs w:val="32"/>
          <w:rtl/>
        </w:rPr>
        <w:t xml:space="preserve"> لغة:</w:t>
      </w:r>
      <w:r w:rsidRPr="004D1611">
        <w:rPr>
          <w:rFonts w:ascii="Traditional Arabic" w:hAnsi="Traditional Arabic"/>
          <w:sz w:val="32"/>
          <w:szCs w:val="32"/>
          <w:rtl/>
        </w:rPr>
        <w:t xml:space="preserve"> من الترخيص وهو التسهيل</w:t>
      </w:r>
      <w:r>
        <w:rPr>
          <w:rFonts w:ascii="Traditional Arabic" w:hAnsi="Traditional Arabic"/>
          <w:sz w:val="32"/>
          <w:szCs w:val="32"/>
          <w:rtl/>
        </w:rPr>
        <w:t>.</w:t>
      </w:r>
      <w:r w:rsidRPr="004D1611">
        <w:rPr>
          <w:rFonts w:ascii="Traditional Arabic" w:hAnsi="Traditional Arabic"/>
          <w:sz w:val="32"/>
          <w:szCs w:val="32"/>
          <w:rtl/>
        </w:rPr>
        <w:t xml:space="preserve"> انظر: لسان العرب (3/1616)</w:t>
      </w:r>
      <w:r>
        <w:rPr>
          <w:rFonts w:ascii="Traditional Arabic" w:hAnsi="Traditional Arabic"/>
          <w:sz w:val="32"/>
          <w:szCs w:val="32"/>
          <w:rtl/>
        </w:rPr>
        <w:t>.</w:t>
      </w:r>
    </w:p>
    <w:p w:rsidR="000D3D21" w:rsidRPr="004D1611" w:rsidRDefault="000D3D21" w:rsidP="00D25F15">
      <w:pPr>
        <w:pStyle w:val="a7"/>
        <w:ind w:left="329" w:hanging="47"/>
        <w:rPr>
          <w:rFonts w:ascii="Tahoma" w:hAnsi="Tahoma"/>
          <w:b/>
          <w:bCs/>
        </w:rPr>
      </w:pPr>
      <w:r>
        <w:rPr>
          <w:rFonts w:ascii="Traditional Arabic" w:hAnsi="Traditional Arabic" w:hint="cs"/>
          <w:b/>
          <w:bCs/>
          <w:sz w:val="32"/>
          <w:szCs w:val="32"/>
          <w:rtl/>
        </w:rPr>
        <w:t xml:space="preserve">  </w:t>
      </w:r>
      <w:r w:rsidRPr="00D564C0">
        <w:rPr>
          <w:rFonts w:ascii="Traditional Arabic" w:hAnsi="Traditional Arabic"/>
          <w:b/>
          <w:bCs/>
          <w:sz w:val="32"/>
          <w:szCs w:val="32"/>
          <w:rtl/>
        </w:rPr>
        <w:t>الرخصة اصطلاحا:</w:t>
      </w:r>
      <w:r w:rsidRPr="004D1611">
        <w:rPr>
          <w:rFonts w:ascii="Traditional Arabic" w:hAnsi="Traditional Arabic"/>
          <w:sz w:val="32"/>
          <w:szCs w:val="32"/>
          <w:rtl/>
        </w:rPr>
        <w:t xml:space="preserve"> الحكم الثابت على خلاف الدليل لعذر</w:t>
      </w:r>
      <w:r>
        <w:rPr>
          <w:rFonts w:ascii="Traditional Arabic" w:hAnsi="Traditional Arabic"/>
          <w:sz w:val="32"/>
          <w:szCs w:val="32"/>
          <w:rtl/>
        </w:rPr>
        <w:t>.</w:t>
      </w:r>
      <w:r w:rsidRPr="004D1611">
        <w:rPr>
          <w:rFonts w:ascii="Traditional Arabic" w:hAnsi="Traditional Arabic"/>
          <w:sz w:val="32"/>
          <w:szCs w:val="32"/>
          <w:rtl/>
        </w:rPr>
        <w:t xml:space="preserve"> انظر: المنهاج للبيضاوي مع نهاية السول للأسنوي (1/120-121)</w:t>
      </w:r>
      <w:r>
        <w:rPr>
          <w:rFonts w:ascii="Traditional Arabic" w:hAnsi="Traditional Arabic"/>
          <w:sz w:val="32"/>
          <w:szCs w:val="32"/>
          <w:rtl/>
        </w:rPr>
        <w:t>.</w:t>
      </w:r>
    </w:p>
  </w:footnote>
  <w:footnote w:id="1937">
    <w:p w:rsidR="000D3D21" w:rsidRPr="00A334E3" w:rsidRDefault="000D3D21" w:rsidP="00D25F15">
      <w:pPr>
        <w:pStyle w:val="a7"/>
        <w:pageBreakBefore/>
        <w:rPr>
          <w:rFonts w:ascii="Tahoma" w:hAnsi="Tahoma"/>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انظر: </w:t>
      </w:r>
      <w:r w:rsidRPr="005C2A97">
        <w:rPr>
          <w:rFonts w:ascii="Traditional Arabic" w:hAnsi="Traditional Arabic"/>
          <w:sz w:val="32"/>
          <w:szCs w:val="32"/>
          <w:rtl/>
        </w:rPr>
        <w:t xml:space="preserve">شرح القواعد الفقهية لأحمد الزرقا (287)، </w:t>
      </w:r>
      <w:r>
        <w:rPr>
          <w:rFonts w:ascii="Traditional Arabic" w:hAnsi="Traditional Arabic" w:hint="cs"/>
          <w:sz w:val="32"/>
          <w:szCs w:val="32"/>
          <w:rtl/>
        </w:rPr>
        <w:t xml:space="preserve">والوجيز للبورنو (246)، </w:t>
      </w:r>
      <w:r w:rsidRPr="005C2A97">
        <w:rPr>
          <w:rFonts w:ascii="Traditional Arabic" w:hAnsi="Traditional Arabic"/>
          <w:sz w:val="32"/>
          <w:szCs w:val="32"/>
          <w:rtl/>
        </w:rPr>
        <w:t>والقواعد والأصول الجامعة (80)</w:t>
      </w:r>
      <w:r>
        <w:rPr>
          <w:rFonts w:ascii="Traditional Arabic" w:hAnsi="Traditional Arabic" w:hint="cs"/>
          <w:sz w:val="32"/>
          <w:szCs w:val="32"/>
          <w:rtl/>
        </w:rPr>
        <w:t>، والقواعد والضوابط الفقهية للندوي (1/470)، و</w:t>
      </w:r>
      <w:r w:rsidRPr="005C2A97">
        <w:rPr>
          <w:rFonts w:ascii="Traditional Arabic" w:hAnsi="Traditional Arabic"/>
          <w:sz w:val="32"/>
          <w:szCs w:val="32"/>
          <w:rtl/>
        </w:rPr>
        <w:t>القواعد الفقهية المس</w:t>
      </w:r>
      <w:r>
        <w:rPr>
          <w:rFonts w:ascii="Traditional Arabic" w:hAnsi="Traditional Arabic"/>
          <w:sz w:val="32"/>
          <w:szCs w:val="32"/>
          <w:rtl/>
        </w:rPr>
        <w:t>تخرجة من إعلام الموقعين (436)</w:t>
      </w:r>
      <w:r w:rsidRPr="005C2A97">
        <w:rPr>
          <w:rFonts w:ascii="Traditional Arabic" w:hAnsi="Traditional Arabic"/>
          <w:sz w:val="32"/>
          <w:szCs w:val="32"/>
          <w:rtl/>
        </w:rPr>
        <w:t>.</w:t>
      </w:r>
    </w:p>
  </w:footnote>
  <w:footnote w:id="1938">
    <w:p w:rsidR="000D3D21" w:rsidRPr="00991236"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91236">
        <w:rPr>
          <w:rFonts w:ascii="Traditional Arabic" w:hAnsi="Traditional Arabic"/>
          <w:sz w:val="32"/>
          <w:szCs w:val="32"/>
          <w:rtl/>
        </w:rPr>
        <w:t>الشرح الممتع (325، 338) بتصرف.</w:t>
      </w:r>
    </w:p>
  </w:footnote>
  <w:footnote w:id="1939">
    <w:p w:rsidR="000D3D21" w:rsidRPr="00991236" w:rsidRDefault="000D3D21" w:rsidP="00D564C0">
      <w:pPr>
        <w:pStyle w:val="a7"/>
        <w:pageBreakBefore/>
        <w:rPr>
          <w:rFonts w:ascii="Traditional Arabic" w:hAnsi="Traditional Arabic"/>
          <w:b/>
          <w:bCs/>
          <w:sz w:val="32"/>
          <w:szCs w:val="32"/>
          <w:rtl/>
          <w:lang w:eastAsia="en-U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564C0">
        <w:rPr>
          <w:rFonts w:ascii="Traditional Arabic" w:hAnsi="Traditional Arabic"/>
          <w:b/>
          <w:bCs/>
          <w:sz w:val="32"/>
          <w:szCs w:val="32"/>
          <w:rtl/>
        </w:rPr>
        <w:t>العزيمة</w:t>
      </w:r>
      <w:r>
        <w:rPr>
          <w:rFonts w:ascii="Traditional Arabic" w:hAnsi="Traditional Arabic" w:hint="cs"/>
          <w:sz w:val="32"/>
          <w:szCs w:val="32"/>
          <w:rtl/>
        </w:rPr>
        <w:t xml:space="preserve"> </w:t>
      </w:r>
      <w:r w:rsidR="00AB0B9E">
        <w:rPr>
          <w:rFonts w:ascii="Traditional Arabic" w:hAnsi="Traditional Arabic"/>
          <w:sz w:val="32"/>
          <w:szCs w:val="32"/>
          <w:rtl/>
        </w:rPr>
        <w:fldChar w:fldCharType="begin"/>
      </w:r>
      <w:r>
        <w:instrText xml:space="preserve"> XE "</w:instrText>
      </w:r>
      <w:r w:rsidRPr="00A00F78">
        <w:rPr>
          <w:rFonts w:ascii="Traditional Arabic" w:hAnsi="Traditional Arabic"/>
          <w:sz w:val="32"/>
          <w:szCs w:val="32"/>
          <w:rtl/>
        </w:rPr>
        <w:instrText>العزيمة</w:instrText>
      </w:r>
      <w:r>
        <w:instrText xml:space="preserve">" </w:instrText>
      </w:r>
      <w:r w:rsidRPr="00D564C0">
        <w:instrText>\fm</w:instrText>
      </w:r>
      <w:r w:rsidR="00AB0B9E">
        <w:rPr>
          <w:rFonts w:ascii="Traditional Arabic" w:hAnsi="Traditional Arabic"/>
          <w:sz w:val="32"/>
          <w:szCs w:val="32"/>
          <w:rtl/>
        </w:rPr>
        <w:fldChar w:fldCharType="end"/>
      </w:r>
      <w:r w:rsidRPr="00D564C0">
        <w:rPr>
          <w:rFonts w:ascii="Traditional Arabic" w:hAnsi="Traditional Arabic"/>
          <w:b/>
          <w:bCs/>
          <w:sz w:val="32"/>
          <w:szCs w:val="32"/>
          <w:rtl/>
        </w:rPr>
        <w:t>لغة:</w:t>
      </w:r>
      <w:r>
        <w:rPr>
          <w:rFonts w:ascii="Traditional Arabic" w:hAnsi="Traditional Arabic" w:hint="cs"/>
          <w:b/>
          <w:bCs/>
          <w:sz w:val="32"/>
          <w:szCs w:val="32"/>
          <w:rtl/>
        </w:rPr>
        <w:t xml:space="preserve"> </w:t>
      </w:r>
      <w:r w:rsidRPr="00991236">
        <w:rPr>
          <w:rFonts w:ascii="Traditional Arabic" w:hAnsi="Traditional Arabic"/>
          <w:sz w:val="32"/>
          <w:szCs w:val="32"/>
          <w:rtl/>
          <w:lang w:eastAsia="en-US"/>
        </w:rPr>
        <w:t xml:space="preserve">عزم عزيمة وعَزْمة بمعنى اجتهد وجدَّ في أمره. المصباح المنير </w:t>
      </w:r>
      <w:r>
        <w:rPr>
          <w:rFonts w:ascii="Traditional Arabic" w:hAnsi="Traditional Arabic" w:hint="cs"/>
          <w:sz w:val="32"/>
          <w:szCs w:val="32"/>
          <w:rtl/>
          <w:lang w:eastAsia="en-US"/>
        </w:rPr>
        <w:t>(232-233)</w:t>
      </w:r>
      <w:r w:rsidRPr="00991236">
        <w:rPr>
          <w:rFonts w:ascii="Traditional Arabic" w:hAnsi="Traditional Arabic"/>
          <w:sz w:val="32"/>
          <w:szCs w:val="32"/>
          <w:rtl/>
          <w:lang w:eastAsia="en-US"/>
        </w:rPr>
        <w:t>.</w:t>
      </w:r>
    </w:p>
    <w:p w:rsidR="000D3D21" w:rsidRPr="00663712" w:rsidRDefault="000D3D21" w:rsidP="00D25F15">
      <w:pPr>
        <w:pStyle w:val="a7"/>
        <w:pageBreakBefore/>
        <w:rPr>
          <w:rFonts w:ascii="Traditional Arabic" w:hAnsi="Traditional Arabic"/>
          <w:b/>
          <w:bCs/>
          <w:sz w:val="32"/>
          <w:szCs w:val="32"/>
        </w:rPr>
      </w:pPr>
      <w:r w:rsidRPr="00D564C0">
        <w:rPr>
          <w:rFonts w:ascii="Traditional Arabic" w:hAnsi="Traditional Arabic"/>
          <w:b/>
          <w:bCs/>
          <w:sz w:val="32"/>
          <w:szCs w:val="32"/>
          <w:rtl/>
          <w:lang w:eastAsia="en-US"/>
        </w:rPr>
        <w:t xml:space="preserve"> </w:t>
      </w:r>
      <w:r>
        <w:rPr>
          <w:rFonts w:ascii="Traditional Arabic" w:hAnsi="Traditional Arabic" w:hint="cs"/>
          <w:b/>
          <w:bCs/>
          <w:sz w:val="32"/>
          <w:szCs w:val="32"/>
          <w:rtl/>
          <w:lang w:eastAsia="en-US"/>
        </w:rPr>
        <w:t xml:space="preserve">     </w:t>
      </w:r>
      <w:r w:rsidRPr="00D564C0">
        <w:rPr>
          <w:rFonts w:ascii="Traditional Arabic" w:hAnsi="Traditional Arabic"/>
          <w:b/>
          <w:bCs/>
          <w:sz w:val="32"/>
          <w:szCs w:val="32"/>
          <w:rtl/>
          <w:lang w:eastAsia="en-US"/>
        </w:rPr>
        <w:t>العزيمة اصطلاحا:</w:t>
      </w:r>
      <w:r w:rsidRPr="00663712">
        <w:rPr>
          <w:rFonts w:ascii="Traditional Arabic" w:hAnsi="Traditional Arabic"/>
          <w:sz w:val="32"/>
          <w:szCs w:val="32"/>
          <w:rtl/>
          <w:lang w:eastAsia="en-US"/>
        </w:rPr>
        <w:t xml:space="preserve"> الحكم الثابت، لا على خلاف الدليل كإباحة الأكل والشرب، أو على خلاف الدليل لكن لا لعذر</w:t>
      </w:r>
      <w:r>
        <w:rPr>
          <w:rFonts w:ascii="Traditional Arabic" w:hAnsi="Traditional Arabic" w:hint="cs"/>
          <w:sz w:val="32"/>
          <w:szCs w:val="32"/>
          <w:rtl/>
          <w:lang w:eastAsia="en-US"/>
        </w:rPr>
        <w:t>ٍ</w:t>
      </w:r>
      <w:r w:rsidRPr="00663712">
        <w:rPr>
          <w:rFonts w:ascii="Traditional Arabic" w:hAnsi="Traditional Arabic"/>
          <w:sz w:val="32"/>
          <w:szCs w:val="32"/>
          <w:rtl/>
          <w:lang w:eastAsia="en-US"/>
        </w:rPr>
        <w:t xml:space="preserve"> كالتكاليف</w:t>
      </w:r>
      <w:r>
        <w:rPr>
          <w:rFonts w:ascii="Traditional Arabic" w:hAnsi="Traditional Arabic"/>
          <w:sz w:val="32"/>
          <w:szCs w:val="32"/>
          <w:rtl/>
        </w:rPr>
        <w:t xml:space="preserve">. نهاية السول إلى منهاج الوصول </w:t>
      </w:r>
      <w:r>
        <w:rPr>
          <w:rFonts w:ascii="Traditional Arabic" w:hAnsi="Traditional Arabic" w:hint="cs"/>
          <w:sz w:val="32"/>
          <w:szCs w:val="32"/>
          <w:rtl/>
        </w:rPr>
        <w:t>ل</w:t>
      </w:r>
      <w:r w:rsidRPr="00663712">
        <w:rPr>
          <w:rFonts w:ascii="Traditional Arabic" w:hAnsi="Traditional Arabic"/>
          <w:sz w:val="32"/>
          <w:szCs w:val="32"/>
          <w:rtl/>
        </w:rPr>
        <w:t>لأسنوي (1/128).</w:t>
      </w:r>
    </w:p>
  </w:footnote>
  <w:footnote w:id="1940">
    <w:p w:rsidR="000D3D21" w:rsidRPr="00663712"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3712">
        <w:rPr>
          <w:rFonts w:ascii="Traditional Arabic" w:hAnsi="Traditional Arabic"/>
          <w:sz w:val="32"/>
          <w:szCs w:val="32"/>
          <w:rtl/>
        </w:rPr>
        <w:t xml:space="preserve">الوجيز للبورنو </w:t>
      </w:r>
      <w:r>
        <w:rPr>
          <w:rFonts w:ascii="Traditional Arabic" w:hAnsi="Traditional Arabic" w:hint="cs"/>
          <w:sz w:val="32"/>
          <w:szCs w:val="32"/>
          <w:rtl/>
        </w:rPr>
        <w:t>(247)</w:t>
      </w:r>
      <w:r w:rsidRPr="00663712">
        <w:rPr>
          <w:rFonts w:ascii="Traditional Arabic" w:hAnsi="Traditional Arabic"/>
          <w:sz w:val="32"/>
          <w:szCs w:val="32"/>
          <w:rtl/>
        </w:rPr>
        <w:t>.</w:t>
      </w:r>
    </w:p>
  </w:footnote>
  <w:footnote w:id="1941">
    <w:p w:rsidR="000D3D21" w:rsidRPr="00663712" w:rsidRDefault="000D3D21" w:rsidP="00D25F15">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3712">
        <w:rPr>
          <w:rFonts w:ascii="Traditional Arabic" w:hAnsi="Traditional Arabic"/>
          <w:sz w:val="32"/>
          <w:szCs w:val="32"/>
          <w:rtl/>
        </w:rPr>
        <w:t xml:space="preserve">ذكر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663712">
        <w:rPr>
          <w:rFonts w:ascii="Traditional Arabic" w:hAnsi="Traditional Arabic"/>
          <w:sz w:val="32"/>
          <w:szCs w:val="32"/>
          <w:rtl/>
        </w:rPr>
        <w:t xml:space="preserve"> فرعا للقاعدة، لكنه يتعلق بكتاب الحج؛ لهذا لم أذكره ضمن تطبيقات القاعدة.</w:t>
      </w:r>
      <w:r>
        <w:rPr>
          <w:rFonts w:ascii="Traditional Arabic" w:hAnsi="Traditional Arabic" w:hint="cs"/>
          <w:sz w:val="32"/>
          <w:szCs w:val="32"/>
          <w:rtl/>
        </w:rPr>
        <w:t xml:space="preserve"> </w:t>
      </w:r>
      <w:r w:rsidRPr="00663712">
        <w:rPr>
          <w:rFonts w:ascii="Traditional Arabic" w:hAnsi="Traditional Arabic"/>
          <w:sz w:val="32"/>
          <w:szCs w:val="32"/>
          <w:rtl/>
        </w:rPr>
        <w:t xml:space="preserve">انظر فقه العبادات </w:t>
      </w:r>
      <w:r>
        <w:rPr>
          <w:rFonts w:ascii="Traditional Arabic" w:hAnsi="Traditional Arabic" w:hint="cs"/>
          <w:sz w:val="32"/>
          <w:szCs w:val="32"/>
          <w:rtl/>
        </w:rPr>
        <w:t>(330)</w:t>
      </w:r>
      <w:r w:rsidRPr="00663712">
        <w:rPr>
          <w:rFonts w:ascii="Traditional Arabic" w:hAnsi="Traditional Arabic"/>
          <w:sz w:val="32"/>
          <w:szCs w:val="32"/>
          <w:rtl/>
        </w:rPr>
        <w:t>.</w:t>
      </w:r>
    </w:p>
  </w:footnote>
  <w:footnote w:id="1942">
    <w:p w:rsidR="000D3D21" w:rsidRPr="00663712" w:rsidRDefault="000D3D21" w:rsidP="00D564C0">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lang w:eastAsia="en-US"/>
        </w:rPr>
        <w:t xml:space="preserve"> </w:t>
      </w:r>
      <w:r w:rsidRPr="00D564C0">
        <w:rPr>
          <w:rFonts w:ascii="Traditional Arabic" w:hAnsi="Traditional Arabic"/>
          <w:b/>
          <w:bCs/>
          <w:sz w:val="32"/>
          <w:szCs w:val="32"/>
          <w:rtl/>
          <w:lang w:eastAsia="en-US"/>
        </w:rPr>
        <w:t>أعوز</w:t>
      </w:r>
      <w:r w:rsidR="00AB0B9E">
        <w:rPr>
          <w:rFonts w:ascii="Traditional Arabic" w:hAnsi="Traditional Arabic"/>
          <w:sz w:val="32"/>
          <w:szCs w:val="32"/>
          <w:rtl/>
          <w:lang w:eastAsia="en-US"/>
        </w:rPr>
        <w:fldChar w:fldCharType="begin"/>
      </w:r>
      <w:r>
        <w:instrText xml:space="preserve"> XE "</w:instrText>
      </w:r>
      <w:r w:rsidRPr="00A00F78">
        <w:rPr>
          <w:rFonts w:ascii="Traditional Arabic" w:hAnsi="Traditional Arabic"/>
          <w:sz w:val="32"/>
          <w:szCs w:val="32"/>
          <w:rtl/>
          <w:lang w:eastAsia="en-US"/>
        </w:rPr>
        <w:instrText>أعوز</w:instrText>
      </w:r>
      <w:r>
        <w:instrText xml:space="preserve">" </w:instrText>
      </w:r>
      <w:r w:rsidRPr="00D564C0">
        <w:instrText xml:space="preserve">\fm </w:instrText>
      </w:r>
      <w:r w:rsidR="00AB0B9E">
        <w:rPr>
          <w:rFonts w:ascii="Traditional Arabic" w:hAnsi="Traditional Arabic"/>
          <w:sz w:val="32"/>
          <w:szCs w:val="32"/>
          <w:rtl/>
          <w:lang w:eastAsia="en-US"/>
        </w:rPr>
        <w:fldChar w:fldCharType="end"/>
      </w:r>
      <w:r w:rsidRPr="00663712">
        <w:rPr>
          <w:rFonts w:ascii="Traditional Arabic" w:hAnsi="Traditional Arabic"/>
          <w:sz w:val="32"/>
          <w:szCs w:val="32"/>
          <w:rtl/>
          <w:lang w:eastAsia="en-US"/>
        </w:rPr>
        <w:t>: عَوِز الشيءُ عَوَزاً، أي: عزَّ فلم يوجد، وعُزْتُ الشيءَ أَعُوزُه،</w:t>
      </w:r>
      <w:r>
        <w:rPr>
          <w:rFonts w:ascii="Traditional Arabic" w:hAnsi="Traditional Arabic" w:hint="cs"/>
          <w:sz w:val="32"/>
          <w:szCs w:val="32"/>
          <w:rtl/>
          <w:lang w:eastAsia="en-US"/>
        </w:rPr>
        <w:t xml:space="preserve"> </w:t>
      </w:r>
      <w:r w:rsidRPr="00663712">
        <w:rPr>
          <w:rFonts w:ascii="Traditional Arabic" w:hAnsi="Traditional Arabic"/>
          <w:sz w:val="32"/>
          <w:szCs w:val="32"/>
          <w:rtl/>
          <w:lang w:eastAsia="en-US"/>
        </w:rPr>
        <w:t>أي: احتجت إليه فلم أجده، وأعوزني المطلوب مثل أعجزني وزنا ومعنى</w:t>
      </w:r>
      <w:r w:rsidRPr="00663712">
        <w:rPr>
          <w:rFonts w:ascii="Traditional Arabic" w:hAnsi="Traditional Arabic"/>
          <w:sz w:val="32"/>
          <w:szCs w:val="32"/>
          <w:rtl/>
        </w:rPr>
        <w:t xml:space="preserve">.انظر المصباح المنير </w:t>
      </w:r>
      <w:r>
        <w:rPr>
          <w:rFonts w:ascii="Traditional Arabic" w:hAnsi="Traditional Arabic" w:hint="cs"/>
          <w:sz w:val="32"/>
          <w:szCs w:val="32"/>
          <w:rtl/>
        </w:rPr>
        <w:t>(356)</w:t>
      </w:r>
      <w:r w:rsidRPr="00663712">
        <w:rPr>
          <w:rFonts w:ascii="Traditional Arabic" w:hAnsi="Traditional Arabic"/>
          <w:sz w:val="32"/>
          <w:szCs w:val="32"/>
          <w:rtl/>
        </w:rPr>
        <w:t>.</w:t>
      </w:r>
    </w:p>
  </w:footnote>
  <w:footnote w:id="1943">
    <w:p w:rsidR="000D3D21" w:rsidRPr="00663712" w:rsidRDefault="000D3D21" w:rsidP="00D25F15">
      <w:pPr>
        <w:pStyle w:val="a7"/>
        <w:pageBreakBefore/>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3712">
        <w:rPr>
          <w:rFonts w:ascii="Traditional Arabic" w:hAnsi="Traditional Arabic"/>
          <w:sz w:val="32"/>
          <w:szCs w:val="32"/>
          <w:rtl/>
        </w:rPr>
        <w:t>انظر الشرح الممتع (9/104، 106-107).</w:t>
      </w:r>
    </w:p>
  </w:footnote>
  <w:footnote w:id="1944">
    <w:p w:rsidR="000D3D21" w:rsidRPr="00663712" w:rsidRDefault="000D3D21" w:rsidP="00D25F15">
      <w:pPr>
        <w:pStyle w:val="a7"/>
        <w:pageBreakBefore/>
        <w:rPr>
          <w:rFonts w:ascii="Tahoma" w:hAnsi="Tahoma"/>
          <w:b/>
          <w:bCs/>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63712">
        <w:rPr>
          <w:rFonts w:ascii="Traditional Arabic" w:hAnsi="Traditional Arabic"/>
          <w:sz w:val="32"/>
          <w:szCs w:val="32"/>
          <w:rtl/>
        </w:rPr>
        <w:t>الشرح الممتع (9/107) بتصرف.</w:t>
      </w:r>
    </w:p>
  </w:footnote>
  <w:footnote w:id="1945">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الشرح الممتع (9/123، 149، 150)، وشرح منظومة أصول الفقه وقواعده (321).</w:t>
      </w:r>
    </w:p>
  </w:footnote>
  <w:footnote w:id="1946">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منظومة أصول الفقه وقواعده (</w:t>
      </w:r>
      <w:r>
        <w:rPr>
          <w:rFonts w:ascii="Traditional Arabic" w:hAnsi="Traditional Arabic" w:hint="cs"/>
          <w:sz w:val="32"/>
          <w:szCs w:val="32"/>
          <w:rtl/>
        </w:rPr>
        <w:t>19</w:t>
      </w:r>
      <w:r w:rsidRPr="00DC6C50">
        <w:rPr>
          <w:rFonts w:ascii="Traditional Arabic" w:hAnsi="Traditional Arabic"/>
          <w:sz w:val="32"/>
          <w:szCs w:val="32"/>
          <w:rtl/>
        </w:rPr>
        <w:t>).</w:t>
      </w:r>
    </w:p>
  </w:footnote>
  <w:footnote w:id="1947">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المنثور للزركشي (3/174)، والأشباه والنظائر للسيوطي (151)، وإيضاح القواعد الف</w:t>
      </w:r>
      <w:r>
        <w:rPr>
          <w:rFonts w:ascii="Traditional Arabic" w:hAnsi="Traditional Arabic" w:hint="cs"/>
          <w:sz w:val="32"/>
          <w:szCs w:val="32"/>
          <w:rtl/>
        </w:rPr>
        <w:t>ق</w:t>
      </w:r>
      <w:r w:rsidRPr="00DC6C50">
        <w:rPr>
          <w:rFonts w:ascii="Traditional Arabic" w:hAnsi="Traditional Arabic"/>
          <w:sz w:val="32"/>
          <w:szCs w:val="32"/>
          <w:rtl/>
        </w:rPr>
        <w:t>هية للحجي (74)، ومنظومة القواعد الفقهية وشرحها لابن سعدي (48)، والقواعد الفقهية وتطبيقاتها في المذاهب الأبعة (2/747).</w:t>
      </w:r>
    </w:p>
  </w:footnote>
  <w:footnote w:id="1948">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المنثور للزركشي (2/412)، والقواعد الفقهية وتطبيقاتها في المذاهب الأربعة (2/747).</w:t>
      </w:r>
    </w:p>
  </w:footnote>
  <w:footnote w:id="1949">
    <w:p w:rsidR="000D3D21" w:rsidRPr="00DC6C50" w:rsidRDefault="000D3D21" w:rsidP="00D25F1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منظومة القواعد الفقهية وشرحها لابن سعدي (48).</w:t>
      </w:r>
    </w:p>
    <w:p w:rsidR="000D3D21" w:rsidRPr="00B248FE" w:rsidRDefault="000D3D21" w:rsidP="00D564C0">
      <w:pPr>
        <w:pStyle w:val="a7"/>
        <w:pageBreakBefore/>
        <w:rPr>
          <w:rFonts w:ascii="Tahoma" w:hAnsi="Tahoma"/>
          <w:b/>
          <w:bCs/>
        </w:rPr>
      </w:pPr>
      <w:r>
        <w:rPr>
          <w:rFonts w:ascii="Traditional Arabic" w:hAnsi="Traditional Arabic" w:hint="cs"/>
          <w:b/>
          <w:bCs/>
          <w:sz w:val="32"/>
          <w:szCs w:val="32"/>
          <w:rtl/>
        </w:rPr>
        <w:t xml:space="preserve">     </w:t>
      </w:r>
      <w:r w:rsidRPr="00DC6C50">
        <w:rPr>
          <w:rFonts w:ascii="Traditional Arabic" w:hAnsi="Traditional Arabic"/>
          <w:b/>
          <w:bCs/>
          <w:sz w:val="32"/>
          <w:szCs w:val="32"/>
          <w:rtl/>
        </w:rPr>
        <w:t>المسبَّل</w:t>
      </w:r>
      <w:r w:rsidR="00AB0B9E">
        <w:rPr>
          <w:rFonts w:ascii="Traditional Arabic" w:hAnsi="Traditional Arabic"/>
          <w:b/>
          <w:bCs/>
          <w:sz w:val="32"/>
          <w:szCs w:val="32"/>
          <w:rtl/>
        </w:rPr>
        <w:fldChar w:fldCharType="begin"/>
      </w:r>
      <w:r>
        <w:instrText xml:space="preserve"> XE "</w:instrText>
      </w:r>
      <w:r w:rsidRPr="00D564C0">
        <w:rPr>
          <w:rFonts w:ascii="Traditional Arabic" w:hAnsi="Traditional Arabic"/>
          <w:sz w:val="32"/>
          <w:szCs w:val="32"/>
          <w:rtl/>
        </w:rPr>
        <w:instrText>المسبَّل</w:instrText>
      </w:r>
      <w:r>
        <w:instrText xml:space="preserve">" </w:instrText>
      </w:r>
      <w:r w:rsidRPr="00D564C0">
        <w:instrText>\fm</w:instrText>
      </w:r>
      <w:r w:rsidR="00AB0B9E">
        <w:rPr>
          <w:rFonts w:ascii="Traditional Arabic" w:hAnsi="Traditional Arabic"/>
          <w:b/>
          <w:bCs/>
          <w:sz w:val="32"/>
          <w:szCs w:val="32"/>
          <w:rtl/>
        </w:rPr>
        <w:fldChar w:fldCharType="end"/>
      </w:r>
      <w:r w:rsidRPr="00DC6C50">
        <w:rPr>
          <w:rFonts w:ascii="Traditional Arabic" w:hAnsi="Traditional Arabic"/>
          <w:b/>
          <w:bCs/>
          <w:sz w:val="32"/>
          <w:szCs w:val="32"/>
          <w:rtl/>
        </w:rPr>
        <w:t xml:space="preserve">: </w:t>
      </w:r>
      <w:r w:rsidRPr="00DC6C50">
        <w:rPr>
          <w:rFonts w:ascii="Traditional Arabic" w:hAnsi="Traditional Arabic"/>
          <w:noProof w:val="0"/>
          <w:sz w:val="32"/>
          <w:szCs w:val="32"/>
          <w:rtl/>
          <w:lang w:eastAsia="en-US"/>
        </w:rPr>
        <w:t>سبَّلت الثمرة، أي:</w:t>
      </w:r>
      <w:r>
        <w:rPr>
          <w:rFonts w:ascii="Traditional Arabic" w:hAnsi="Traditional Arabic" w:hint="cs"/>
          <w:noProof w:val="0"/>
          <w:sz w:val="32"/>
          <w:szCs w:val="32"/>
          <w:rtl/>
          <w:lang w:eastAsia="en-US"/>
        </w:rPr>
        <w:t xml:space="preserve"> </w:t>
      </w:r>
      <w:r w:rsidRPr="00DC6C50">
        <w:rPr>
          <w:rFonts w:ascii="Traditional Arabic" w:hAnsi="Traditional Arabic"/>
          <w:noProof w:val="0"/>
          <w:sz w:val="32"/>
          <w:szCs w:val="32"/>
          <w:rtl/>
          <w:lang w:eastAsia="en-US"/>
        </w:rPr>
        <w:t xml:space="preserve">جعلتها في </w:t>
      </w:r>
      <w:r w:rsidRPr="00DC6C50">
        <w:rPr>
          <w:rFonts w:ascii="Traditional Arabic" w:hAnsi="Traditional Arabic"/>
          <w:noProof w:val="0"/>
          <w:color w:val="auto"/>
          <w:sz w:val="32"/>
          <w:szCs w:val="32"/>
          <w:rtl/>
          <w:lang w:eastAsia="en-US"/>
        </w:rPr>
        <w:t>سُبل</w:t>
      </w:r>
      <w:r w:rsidRPr="00DC6C50">
        <w:rPr>
          <w:rFonts w:ascii="Traditional Arabic" w:hAnsi="Traditional Arabic"/>
          <w:noProof w:val="0"/>
          <w:sz w:val="32"/>
          <w:szCs w:val="32"/>
          <w:rtl/>
          <w:lang w:eastAsia="en-US"/>
        </w:rPr>
        <w:t xml:space="preserve"> الخير وأنواع البر، والمقصود بالمسبل هنا الموقوف</w:t>
      </w:r>
      <w:r w:rsidRPr="00DC6C50">
        <w:rPr>
          <w:rFonts w:ascii="Traditional Arabic" w:hAnsi="Traditional Arabic"/>
          <w:b/>
          <w:bCs/>
          <w:noProof w:val="0"/>
          <w:sz w:val="32"/>
          <w:szCs w:val="32"/>
          <w:rtl/>
          <w:lang w:eastAsia="en-US"/>
        </w:rPr>
        <w:t xml:space="preserve">؛ </w:t>
      </w:r>
      <w:r w:rsidRPr="00DC6C50">
        <w:rPr>
          <w:rFonts w:ascii="Traditional Arabic" w:hAnsi="Traditional Arabic"/>
          <w:noProof w:val="0"/>
          <w:sz w:val="32"/>
          <w:szCs w:val="32"/>
          <w:rtl/>
          <w:lang w:eastAsia="en-US"/>
        </w:rPr>
        <w:t>لأنه مأخوذ من الوقف، وهو: تحبيس الأصل وتسبيل الثمرة.</w:t>
      </w:r>
      <w:r>
        <w:rPr>
          <w:rFonts w:ascii="Traditional Arabic" w:hAnsi="Traditional Arabic" w:hint="cs"/>
          <w:noProof w:val="0"/>
          <w:sz w:val="32"/>
          <w:szCs w:val="32"/>
          <w:rtl/>
          <w:lang w:eastAsia="en-US"/>
        </w:rPr>
        <w:t xml:space="preserve"> </w:t>
      </w:r>
      <w:r w:rsidRPr="00DC6C50">
        <w:rPr>
          <w:rFonts w:ascii="Traditional Arabic" w:hAnsi="Traditional Arabic"/>
          <w:sz w:val="32"/>
          <w:szCs w:val="32"/>
          <w:rtl/>
        </w:rPr>
        <w:t xml:space="preserve">انظر: المصباح المنير </w:t>
      </w:r>
      <w:r>
        <w:rPr>
          <w:rFonts w:ascii="Traditional Arabic" w:hAnsi="Traditional Arabic" w:hint="cs"/>
          <w:sz w:val="32"/>
          <w:szCs w:val="32"/>
          <w:rtl/>
        </w:rPr>
        <w:t>(219)</w:t>
      </w:r>
      <w:r w:rsidRPr="00DC6C50">
        <w:rPr>
          <w:rFonts w:ascii="Traditional Arabic" w:hAnsi="Traditional Arabic"/>
          <w:sz w:val="32"/>
          <w:szCs w:val="32"/>
          <w:rtl/>
        </w:rPr>
        <w:t>، وروضة الفوائد شرح منظومة القواعد لابن سعدي لمصطفى مخدوم (79).</w:t>
      </w:r>
    </w:p>
  </w:footnote>
  <w:footnote w:id="1950">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مقاييس اللغة (3/195).</w:t>
      </w:r>
    </w:p>
  </w:footnote>
  <w:footnote w:id="1951">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شرح منظومة أصول الفقه وقواعده (321، 322) بتصرف.</w:t>
      </w:r>
    </w:p>
  </w:footnote>
  <w:footnote w:id="1952">
    <w:p w:rsidR="000D3D21" w:rsidRPr="00252404" w:rsidRDefault="000D3D21" w:rsidP="0034747A">
      <w:pPr>
        <w:widowControl/>
        <w:autoSpaceDE w:val="0"/>
        <w:autoSpaceDN w:val="0"/>
        <w:adjustRightInd w:val="0"/>
        <w:ind w:left="423" w:hanging="425"/>
        <w:jc w:val="left"/>
        <w:rPr>
          <w:rFonts w:ascii="Traditional Arabic" w:hAnsi="Traditional Arabic"/>
          <w:noProof w:val="0"/>
          <w:sz w:val="32"/>
          <w:szCs w:val="32"/>
          <w:rtl/>
          <w:lang w:eastAsia="en-US"/>
        </w:rPr>
      </w:pPr>
      <w:r w:rsidRPr="00252404">
        <w:rPr>
          <w:rStyle w:val="af1"/>
          <w:rFonts w:ascii="Traditional Arabic" w:hAnsi="Traditional Arabic"/>
          <w:sz w:val="32"/>
          <w:szCs w:val="32"/>
          <w:vertAlign w:val="baseline"/>
        </w:rPr>
        <w:footnoteRef/>
      </w:r>
      <w:r w:rsidRPr="00252404">
        <w:rPr>
          <w:rFonts w:ascii="Traditional Arabic" w:hAnsi="Traditional Arabic"/>
          <w:sz w:val="32"/>
          <w:szCs w:val="32"/>
        </w:rPr>
        <w:t>)</w:t>
      </w:r>
      <w:r w:rsidRPr="00252404">
        <w:rPr>
          <w:rFonts w:ascii="Traditional Arabic" w:hAnsi="Traditional Arabic"/>
          <w:sz w:val="32"/>
          <w:szCs w:val="32"/>
          <w:rtl/>
        </w:rPr>
        <w:t xml:space="preserve">) </w:t>
      </w:r>
      <w:r w:rsidRPr="00252404">
        <w:rPr>
          <w:rFonts w:ascii="Traditional Arabic" w:hAnsi="Traditional Arabic"/>
          <w:noProof w:val="0"/>
          <w:sz w:val="32"/>
          <w:szCs w:val="32"/>
          <w:rtl/>
          <w:lang w:eastAsia="en-US"/>
        </w:rPr>
        <w:t>أ</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ص</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ح</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م</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ة</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 بن </w:t>
      </w:r>
      <w:r>
        <w:rPr>
          <w:rFonts w:ascii="Traditional Arabic" w:hAnsi="Traditional Arabic" w:hint="cs"/>
          <w:noProof w:val="0"/>
          <w:sz w:val="32"/>
          <w:szCs w:val="32"/>
          <w:rtl/>
          <w:lang w:eastAsia="en-US"/>
        </w:rPr>
        <w:t>أ</w:t>
      </w:r>
      <w:r w:rsidRPr="00252404">
        <w:rPr>
          <w:rFonts w:ascii="Traditional Arabic" w:hAnsi="Traditional Arabic"/>
          <w:noProof w:val="0"/>
          <w:sz w:val="32"/>
          <w:szCs w:val="32"/>
          <w:rtl/>
          <w:lang w:eastAsia="en-US"/>
        </w:rPr>
        <w:t>بحر النجاشي</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 xml:space="preserve"> ملك الحبشة</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 xml:space="preserve"> واسمه بالعربية ع</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ط</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ي</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ة</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 xml:space="preserve"> والنجاشي لقب</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 xml:space="preserve"> له</w:t>
      </w:r>
      <w:r>
        <w:rPr>
          <w:rFonts w:ascii="Traditional Arabic" w:hAnsi="Traditional Arabic"/>
          <w:b/>
          <w:bCs/>
          <w:noProof w:val="0"/>
          <w:sz w:val="44"/>
          <w:szCs w:val="44"/>
          <w:rtl/>
          <w:lang w:eastAsia="en-US"/>
        </w:rPr>
        <w:t xml:space="preserve"> </w:t>
      </w:r>
      <w:r w:rsidRPr="00AA5CEC">
        <w:rPr>
          <w:rFonts w:ascii="Traditional Arabic" w:hAnsi="Traditional Arabic"/>
          <w:noProof w:val="0"/>
          <w:sz w:val="32"/>
          <w:szCs w:val="32"/>
          <w:rtl/>
          <w:lang w:eastAsia="en-US"/>
        </w:rPr>
        <w:t>ولملوك الح</w:t>
      </w:r>
      <w:r>
        <w:rPr>
          <w:rFonts w:ascii="Traditional Arabic" w:hAnsi="Traditional Arabic"/>
          <w:noProof w:val="0"/>
          <w:sz w:val="32"/>
          <w:szCs w:val="32"/>
          <w:rtl/>
          <w:lang w:eastAsia="en-US"/>
        </w:rPr>
        <w:t>بشة مثل كسرى للفرس وقيصر للروم</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 xml:space="preserve"> أسل</w:t>
      </w:r>
      <w:r>
        <w:rPr>
          <w:rFonts w:ascii="Traditional Arabic" w:hAnsi="Traditional Arabic"/>
          <w:noProof w:val="0"/>
          <w:sz w:val="32"/>
          <w:szCs w:val="32"/>
          <w:rtl/>
          <w:lang w:eastAsia="en-US"/>
        </w:rPr>
        <w:t>م على عهد النبي صلى الله عليه و</w:t>
      </w:r>
      <w:r w:rsidRPr="00252404">
        <w:rPr>
          <w:rFonts w:ascii="Traditional Arabic" w:hAnsi="Traditional Arabic"/>
          <w:noProof w:val="0"/>
          <w:sz w:val="32"/>
          <w:szCs w:val="32"/>
          <w:rtl/>
          <w:lang w:eastAsia="en-US"/>
        </w:rPr>
        <w:t>سلم ولم يهاجر إليه</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 xml:space="preserve"> وكان ر</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د</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ءا</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 xml:space="preserve"> للمسلمين نافعا</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 xml:space="preserve"> وقصته مشهورة في المغازي في إحسانه إلى المسلمين الذين هاجروا إليه في صدر الإسلام</w:t>
      </w:r>
      <w:r>
        <w:rPr>
          <w:rFonts w:ascii="Traditional Arabic" w:hAnsi="Traditional Arabic" w:hint="cs"/>
          <w:noProof w:val="0"/>
          <w:sz w:val="32"/>
          <w:szCs w:val="32"/>
          <w:rtl/>
          <w:lang w:eastAsia="en-US"/>
        </w:rPr>
        <w:t xml:space="preserve">، </w:t>
      </w:r>
      <w:r w:rsidRPr="00252404">
        <w:rPr>
          <w:rFonts w:ascii="Traditional Arabic" w:hAnsi="Traditional Arabic"/>
          <w:noProof w:val="0"/>
          <w:sz w:val="32"/>
          <w:szCs w:val="32"/>
          <w:rtl/>
          <w:lang w:eastAsia="en-US"/>
        </w:rPr>
        <w:t>توفي ببلاده قبل فتح مكة</w:t>
      </w:r>
      <w:r>
        <w:rPr>
          <w:rFonts w:ascii="Traditional Arabic" w:hAnsi="Traditional Arabic" w:hint="cs"/>
          <w:noProof w:val="0"/>
          <w:sz w:val="32"/>
          <w:szCs w:val="32"/>
          <w:rtl/>
          <w:lang w:eastAsia="en-US"/>
        </w:rPr>
        <w:t>،</w:t>
      </w:r>
      <w:r w:rsidRPr="00252404">
        <w:rPr>
          <w:rFonts w:ascii="Traditional Arabic" w:hAnsi="Traditional Arabic"/>
          <w:noProof w:val="0"/>
          <w:sz w:val="32"/>
          <w:szCs w:val="32"/>
          <w:rtl/>
          <w:lang w:eastAsia="en-US"/>
        </w:rPr>
        <w:t xml:space="preserve"> وصلى عليه النبي صلى الله علي</w:t>
      </w:r>
      <w:r>
        <w:rPr>
          <w:rFonts w:ascii="Traditional Arabic" w:hAnsi="Traditional Arabic"/>
          <w:noProof w:val="0"/>
          <w:sz w:val="32"/>
          <w:szCs w:val="32"/>
          <w:rtl/>
          <w:lang w:eastAsia="en-US"/>
        </w:rPr>
        <w:t xml:space="preserve">ه وسلم </w:t>
      </w:r>
      <w:r>
        <w:rPr>
          <w:rFonts w:ascii="Traditional Arabic" w:hAnsi="Traditional Arabic" w:hint="cs"/>
          <w:noProof w:val="0"/>
          <w:sz w:val="32"/>
          <w:szCs w:val="32"/>
          <w:rtl/>
          <w:lang w:eastAsia="en-US"/>
        </w:rPr>
        <w:t xml:space="preserve">صلاة الغائب </w:t>
      </w:r>
      <w:r>
        <w:rPr>
          <w:rFonts w:ascii="Traditional Arabic" w:hAnsi="Traditional Arabic"/>
          <w:noProof w:val="0"/>
          <w:sz w:val="32"/>
          <w:szCs w:val="32"/>
          <w:rtl/>
          <w:lang w:eastAsia="en-US"/>
        </w:rPr>
        <w:t>بالمدينة</w:t>
      </w:r>
      <w:r>
        <w:rPr>
          <w:rFonts w:ascii="Traditional Arabic" w:hAnsi="Traditional Arabic" w:hint="cs"/>
          <w:noProof w:val="0"/>
          <w:sz w:val="32"/>
          <w:szCs w:val="32"/>
          <w:rtl/>
          <w:lang w:eastAsia="en-US"/>
        </w:rPr>
        <w:t>. انظر: أسد الغابة (1/119-120)، والإصابة (1/396-397).</w:t>
      </w:r>
    </w:p>
  </w:footnote>
  <w:footnote w:id="1953">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أخرجه البخاري في كتاب الصلاة، باب ما ينهى من الكلام في الصلاة، رقم الحديث (1199)، ومسلم في كتاب الصلاة، باب تحريم الكلام في الصلاة ونسخ ما كان من إباحة، رقم الحديث (538).</w:t>
      </w:r>
    </w:p>
  </w:footnote>
  <w:footnote w:id="1954">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 xml:space="preserve">انظر شرح النووي على صحيح مسلم </w:t>
      </w:r>
      <w:r>
        <w:rPr>
          <w:rFonts w:ascii="Traditional Arabic" w:hAnsi="Traditional Arabic" w:hint="cs"/>
          <w:sz w:val="32"/>
          <w:szCs w:val="32"/>
          <w:rtl/>
        </w:rPr>
        <w:t>(5/29)</w:t>
      </w:r>
      <w:r w:rsidRPr="00DC6C50">
        <w:rPr>
          <w:rFonts w:ascii="Traditional Arabic" w:hAnsi="Traditional Arabic"/>
          <w:sz w:val="32"/>
          <w:szCs w:val="32"/>
          <w:rtl/>
        </w:rPr>
        <w:t>، والعقد الثمين في شرح منظومة</w:t>
      </w:r>
      <w:r>
        <w:rPr>
          <w:rFonts w:ascii="Traditional Arabic" w:hAnsi="Traditional Arabic"/>
          <w:sz w:val="32"/>
          <w:szCs w:val="32"/>
          <w:rtl/>
        </w:rPr>
        <w:t xml:space="preserve"> الشيخ العثيمين </w:t>
      </w:r>
      <w:r>
        <w:rPr>
          <w:rFonts w:ascii="Traditional Arabic" w:hAnsi="Traditional Arabic" w:hint="cs"/>
          <w:sz w:val="32"/>
          <w:szCs w:val="32"/>
          <w:rtl/>
        </w:rPr>
        <w:t>(307)</w:t>
      </w:r>
      <w:r w:rsidRPr="00DC6C50">
        <w:rPr>
          <w:rFonts w:ascii="Traditional Arabic" w:hAnsi="Traditional Arabic"/>
          <w:sz w:val="32"/>
          <w:szCs w:val="32"/>
          <w:rtl/>
        </w:rPr>
        <w:t>.</w:t>
      </w:r>
    </w:p>
  </w:footnote>
  <w:footnote w:id="1955">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موسوعة القواعد</w:t>
      </w:r>
      <w:r w:rsidRPr="00DC6C50">
        <w:rPr>
          <w:rFonts w:ascii="Traditional Arabic" w:hAnsi="Traditional Arabic"/>
          <w:sz w:val="32"/>
          <w:szCs w:val="32"/>
          <w:rtl/>
        </w:rPr>
        <w:t xml:space="preserve"> الفقهية للبورنو (10/630).</w:t>
      </w:r>
    </w:p>
  </w:footnote>
  <w:footnote w:id="1956">
    <w:p w:rsidR="000D3D21" w:rsidRDefault="000D3D21" w:rsidP="00D25F1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الشرح الممتع (9/140) بتصرف، وانظر (9/123).</w:t>
      </w:r>
    </w:p>
    <w:p w:rsidR="000D3D21" w:rsidRPr="00DC6C50" w:rsidRDefault="000D3D21" w:rsidP="00D25F15">
      <w:pPr>
        <w:pStyle w:val="a7"/>
        <w:pageBreakBefore/>
        <w:rPr>
          <w:rFonts w:ascii="Traditional Arabic" w:hAnsi="Traditional Arabic"/>
          <w:sz w:val="32"/>
          <w:szCs w:val="32"/>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sidRPr="00DC6C50">
        <w:rPr>
          <w:rFonts w:ascii="Traditional Arabic" w:hAnsi="Traditional Arabic"/>
          <w:sz w:val="32"/>
          <w:szCs w:val="32"/>
          <w:rtl/>
        </w:rPr>
        <w:t xml:space="preserve">استثنى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 xml:space="preserve">_ </w:t>
      </w:r>
      <w:r w:rsidRPr="00DC6C50">
        <w:rPr>
          <w:rFonts w:ascii="Traditional Arabic" w:hAnsi="Traditional Arabic"/>
          <w:sz w:val="32"/>
          <w:szCs w:val="32"/>
          <w:rtl/>
        </w:rPr>
        <w:t>من ذلك مسألة</w:t>
      </w:r>
      <w:r>
        <w:rPr>
          <w:rFonts w:ascii="Traditional Arabic" w:hAnsi="Traditional Arabic" w:hint="cs"/>
          <w:sz w:val="32"/>
          <w:szCs w:val="32"/>
          <w:rtl/>
        </w:rPr>
        <w:t>،</w:t>
      </w:r>
      <w:r w:rsidRPr="00DC6C50">
        <w:rPr>
          <w:rFonts w:ascii="Traditional Arabic" w:hAnsi="Traditional Arabic"/>
          <w:sz w:val="32"/>
          <w:szCs w:val="32"/>
          <w:rtl/>
        </w:rPr>
        <w:t xml:space="preserve"> وهي: </w:t>
      </w:r>
      <w:r w:rsidRPr="00DC6C50">
        <w:rPr>
          <w:rFonts w:ascii="Traditional Arabic" w:hAnsi="Traditional Arabic"/>
          <w:noProof w:val="0"/>
          <w:sz w:val="32"/>
          <w:szCs w:val="32"/>
          <w:rtl/>
          <w:lang w:eastAsia="en-US"/>
        </w:rPr>
        <w:t>إذا طلب أحدهما عقدا</w:t>
      </w:r>
      <w:r>
        <w:rPr>
          <w:rFonts w:ascii="Traditional Arabic" w:hAnsi="Traditional Arabic" w:hint="cs"/>
          <w:noProof w:val="0"/>
          <w:sz w:val="32"/>
          <w:szCs w:val="32"/>
          <w:rtl/>
          <w:lang w:eastAsia="en-US"/>
        </w:rPr>
        <w:t>ً</w:t>
      </w:r>
      <w:r w:rsidRPr="00DC6C50">
        <w:rPr>
          <w:rFonts w:ascii="Traditional Arabic" w:hAnsi="Traditional Arabic"/>
          <w:noProof w:val="0"/>
          <w:sz w:val="32"/>
          <w:szCs w:val="32"/>
          <w:rtl/>
          <w:lang w:eastAsia="en-US"/>
        </w:rPr>
        <w:t xml:space="preserve"> لا يضر</w:t>
      </w:r>
      <w:r>
        <w:rPr>
          <w:rFonts w:ascii="Traditional Arabic" w:hAnsi="Traditional Arabic" w:hint="cs"/>
          <w:noProof w:val="0"/>
          <w:sz w:val="32"/>
          <w:szCs w:val="32"/>
          <w:rtl/>
          <w:lang w:eastAsia="en-US"/>
        </w:rPr>
        <w:t>ّ</w:t>
      </w:r>
      <w:r w:rsidRPr="00DC6C50">
        <w:rPr>
          <w:rFonts w:ascii="Traditional Arabic" w:hAnsi="Traditional Arabic"/>
          <w:noProof w:val="0"/>
          <w:sz w:val="32"/>
          <w:szCs w:val="32"/>
          <w:rtl/>
          <w:lang w:eastAsia="en-US"/>
        </w:rPr>
        <w:t xml:space="preserve"> بحق المرتهن فإن الواجب إجابته، وأن الممتنع منهما يُجبَر على استغلال ذلك النفع.</w:t>
      </w:r>
      <w:r>
        <w:rPr>
          <w:rFonts w:ascii="Traditional Arabic" w:hAnsi="Traditional Arabic" w:hint="cs"/>
          <w:sz w:val="32"/>
          <w:szCs w:val="32"/>
          <w:rtl/>
        </w:rPr>
        <w:t xml:space="preserve"> </w:t>
      </w:r>
      <w:r w:rsidRPr="00DC6C50">
        <w:rPr>
          <w:rFonts w:ascii="Traditional Arabic" w:hAnsi="Traditional Arabic"/>
          <w:sz w:val="32"/>
          <w:szCs w:val="32"/>
          <w:rtl/>
        </w:rPr>
        <w:t>انظر المرجع السابق.</w:t>
      </w:r>
    </w:p>
  </w:footnote>
  <w:footnote w:id="1957">
    <w:p w:rsidR="000D3D21" w:rsidRPr="00DC6C50"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المرجع السابق (9/276-277) بتصرف.</w:t>
      </w:r>
    </w:p>
  </w:footnote>
  <w:footnote w:id="1958">
    <w:p w:rsidR="000D3D21" w:rsidRPr="00DC6C50" w:rsidRDefault="000D3D21" w:rsidP="00D564C0">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DC6C50">
        <w:rPr>
          <w:rFonts w:ascii="Traditional Arabic" w:hAnsi="Traditional Arabic"/>
          <w:b/>
          <w:bCs/>
          <w:sz w:val="32"/>
          <w:szCs w:val="32"/>
          <w:rtl/>
        </w:rPr>
        <w:t>الغرماء</w:t>
      </w:r>
      <w:r w:rsidR="00AB0B9E">
        <w:rPr>
          <w:rFonts w:ascii="Traditional Arabic" w:hAnsi="Traditional Arabic"/>
          <w:b/>
          <w:bCs/>
          <w:sz w:val="32"/>
          <w:szCs w:val="32"/>
          <w:rtl/>
        </w:rPr>
        <w:fldChar w:fldCharType="begin"/>
      </w:r>
      <w:r>
        <w:instrText xml:space="preserve"> XE "</w:instrText>
      </w:r>
      <w:r w:rsidRPr="00D564C0">
        <w:rPr>
          <w:rFonts w:ascii="Traditional Arabic" w:hAnsi="Traditional Arabic"/>
          <w:sz w:val="32"/>
          <w:szCs w:val="32"/>
          <w:rtl/>
        </w:rPr>
        <w:instrText>الغرماء</w:instrText>
      </w:r>
      <w:r>
        <w:instrText xml:space="preserve">" </w:instrText>
      </w:r>
      <w:r w:rsidRPr="00D564C0">
        <w:instrText xml:space="preserve">\fm </w:instrText>
      </w:r>
      <w:r w:rsidR="00AB0B9E">
        <w:rPr>
          <w:rFonts w:ascii="Traditional Arabic" w:hAnsi="Traditional Arabic"/>
          <w:b/>
          <w:bCs/>
          <w:sz w:val="32"/>
          <w:szCs w:val="32"/>
          <w:rtl/>
        </w:rPr>
        <w:fldChar w:fldCharType="end"/>
      </w:r>
      <w:r w:rsidRPr="00DC6C50">
        <w:rPr>
          <w:rFonts w:ascii="Traditional Arabic" w:hAnsi="Traditional Arabic"/>
          <w:b/>
          <w:bCs/>
          <w:sz w:val="32"/>
          <w:szCs w:val="32"/>
          <w:rtl/>
        </w:rPr>
        <w:t xml:space="preserve">: </w:t>
      </w:r>
      <w:r w:rsidRPr="00DC6C50">
        <w:rPr>
          <w:rFonts w:ascii="Traditional Arabic" w:hAnsi="Traditional Arabic"/>
          <w:sz w:val="32"/>
          <w:szCs w:val="32"/>
          <w:rtl/>
        </w:rPr>
        <w:t>جمع غريم، وهو المدين وصاحب الدين أيضا، والمقصود به في هذه المسألة هو الثاني.</w:t>
      </w:r>
      <w:r>
        <w:rPr>
          <w:rFonts w:ascii="Traditional Arabic" w:hAnsi="Traditional Arabic" w:hint="cs"/>
          <w:sz w:val="32"/>
          <w:szCs w:val="32"/>
          <w:rtl/>
        </w:rPr>
        <w:t xml:space="preserve"> </w:t>
      </w:r>
      <w:r w:rsidRPr="00DC6C50">
        <w:rPr>
          <w:rFonts w:ascii="Traditional Arabic" w:hAnsi="Traditional Arabic"/>
          <w:sz w:val="32"/>
          <w:szCs w:val="32"/>
          <w:rtl/>
        </w:rPr>
        <w:t xml:space="preserve">انظر المصباح المنير </w:t>
      </w:r>
      <w:r>
        <w:rPr>
          <w:rFonts w:ascii="Traditional Arabic" w:hAnsi="Traditional Arabic" w:hint="cs"/>
          <w:sz w:val="32"/>
          <w:szCs w:val="32"/>
          <w:rtl/>
        </w:rPr>
        <w:t>(363)</w:t>
      </w:r>
      <w:r w:rsidRPr="00DC6C50">
        <w:rPr>
          <w:rFonts w:ascii="Traditional Arabic" w:hAnsi="Traditional Arabic"/>
          <w:sz w:val="32"/>
          <w:szCs w:val="32"/>
          <w:rtl/>
        </w:rPr>
        <w:t>.</w:t>
      </w:r>
    </w:p>
  </w:footnote>
  <w:footnote w:id="1959">
    <w:p w:rsidR="000D3D21" w:rsidRPr="00054F75" w:rsidRDefault="000D3D21" w:rsidP="00D25F1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الشرح الممتع (10/263-264)</w:t>
      </w:r>
      <w:r>
        <w:rPr>
          <w:rFonts w:ascii="Traditional Arabic" w:hAnsi="Traditional Arabic" w:hint="cs"/>
          <w:sz w:val="32"/>
          <w:szCs w:val="32"/>
          <w:rtl/>
        </w:rPr>
        <w:t>.</w:t>
      </w:r>
    </w:p>
  </w:footnote>
  <w:footnote w:id="1960">
    <w:p w:rsidR="000D3D21" w:rsidRPr="00DC6C50" w:rsidRDefault="000D3D21" w:rsidP="00801F81">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C6C50">
        <w:rPr>
          <w:rFonts w:ascii="Traditional Arabic" w:hAnsi="Traditional Arabic"/>
          <w:sz w:val="32"/>
          <w:szCs w:val="32"/>
          <w:rtl/>
        </w:rPr>
        <w:t>انظر الشرح الممتع (150-151).</w:t>
      </w:r>
    </w:p>
  </w:footnote>
  <w:footnote w:id="1961">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اخترت هذه الصيغة لتضمُّنها قيدا زائدا، وهو وجود الأسباب.</w:t>
      </w:r>
    </w:p>
  </w:footnote>
  <w:footnote w:id="1962">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الشرح الممتع (6/14).</w:t>
      </w:r>
    </w:p>
  </w:footnote>
  <w:footnote w:id="1963">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المرجع السابق (6/252)، وانظر التعليق على صحيح مسلم (188).</w:t>
      </w:r>
    </w:p>
  </w:footnote>
  <w:footnote w:id="1964">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المرجع السابق (8/185)</w:t>
      </w:r>
      <w:r>
        <w:rPr>
          <w:rFonts w:ascii="Traditional Arabic" w:hAnsi="Traditional Arabic" w:hint="cs"/>
          <w:sz w:val="32"/>
          <w:szCs w:val="32"/>
          <w:rtl/>
        </w:rPr>
        <w:t>، وانظر (12/48)</w:t>
      </w:r>
      <w:r w:rsidRPr="001F1ABF">
        <w:rPr>
          <w:rFonts w:ascii="Traditional Arabic" w:hAnsi="Traditional Arabic"/>
          <w:sz w:val="32"/>
          <w:szCs w:val="32"/>
          <w:rtl/>
        </w:rPr>
        <w:t>.</w:t>
      </w:r>
    </w:p>
  </w:footnote>
  <w:footnote w:id="1965">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المرجع السابق</w:t>
      </w:r>
      <w:r>
        <w:rPr>
          <w:rFonts w:ascii="Traditional Arabic" w:hAnsi="Traditional Arabic" w:hint="cs"/>
          <w:sz w:val="32"/>
          <w:szCs w:val="32"/>
          <w:rtl/>
        </w:rPr>
        <w:t xml:space="preserve"> (8/185)</w:t>
      </w:r>
      <w:r w:rsidRPr="001F1ABF">
        <w:rPr>
          <w:rFonts w:ascii="Traditional Arabic" w:hAnsi="Traditional Arabic"/>
          <w:sz w:val="32"/>
          <w:szCs w:val="32"/>
          <w:rtl/>
        </w:rPr>
        <w:t>.</w:t>
      </w:r>
    </w:p>
  </w:footnote>
  <w:footnote w:id="1966">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المرجع السابق (9/215-216)</w:t>
      </w:r>
      <w:r>
        <w:rPr>
          <w:rFonts w:ascii="Traditional Arabic" w:hAnsi="Traditional Arabic" w:hint="cs"/>
          <w:sz w:val="32"/>
          <w:szCs w:val="32"/>
          <w:rtl/>
        </w:rPr>
        <w:t>، وانظر الأصول من علم الأصول (13)</w:t>
      </w:r>
      <w:r w:rsidRPr="001F1ABF">
        <w:rPr>
          <w:rFonts w:ascii="Traditional Arabic" w:hAnsi="Traditional Arabic"/>
          <w:sz w:val="32"/>
          <w:szCs w:val="32"/>
          <w:rtl/>
        </w:rPr>
        <w:t>.</w:t>
      </w:r>
    </w:p>
  </w:footnote>
  <w:footnote w:id="1967">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منظومة أصول الفقه وقواعده (10).</w:t>
      </w:r>
    </w:p>
  </w:footnote>
  <w:footnote w:id="1968">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شرح منظومة أصول الفقه وقواعده</w:t>
      </w:r>
      <w:r w:rsidRPr="001F1ABF">
        <w:rPr>
          <w:rFonts w:ascii="Traditional Arabic" w:hAnsi="Traditional Arabic"/>
          <w:sz w:val="32"/>
          <w:szCs w:val="32"/>
          <w:rtl/>
        </w:rPr>
        <w:t xml:space="preserve"> (162)، وانظر شرح الأصول من علم الأصول (215).</w:t>
      </w:r>
    </w:p>
  </w:footnote>
  <w:footnote w:id="1969">
    <w:p w:rsidR="000D3D21" w:rsidRPr="00BF3B5A" w:rsidRDefault="000D3D21" w:rsidP="00D25F1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 xml:space="preserve">تسهيل الفرائض </w:t>
      </w:r>
      <w:r>
        <w:rPr>
          <w:rFonts w:ascii="Traditional Arabic" w:hAnsi="Traditional Arabic" w:hint="cs"/>
          <w:sz w:val="32"/>
          <w:szCs w:val="32"/>
          <w:rtl/>
        </w:rPr>
        <w:t xml:space="preserve">لابن عثيمين </w:t>
      </w:r>
      <w:r w:rsidRPr="001F1ABF">
        <w:rPr>
          <w:rFonts w:ascii="Traditional Arabic" w:hAnsi="Traditional Arabic"/>
          <w:sz w:val="32"/>
          <w:szCs w:val="32"/>
          <w:rtl/>
        </w:rPr>
        <w:t>(19)، وانظر (68).</w:t>
      </w:r>
    </w:p>
  </w:footnote>
  <w:footnote w:id="1970">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الفروق للقرافي (4/72).</w:t>
      </w:r>
    </w:p>
  </w:footnote>
  <w:footnote w:id="1971">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رسالة لطيفة في أصول الفقه لعبد الرحمن بن ناصر السعدي (104).</w:t>
      </w:r>
    </w:p>
  </w:footnote>
  <w:footnote w:id="1972">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 xml:space="preserve">مدارج السالكين (1/302). </w:t>
      </w:r>
      <w:r>
        <w:rPr>
          <w:rFonts w:ascii="Traditional Arabic" w:hAnsi="Traditional Arabic" w:hint="cs"/>
          <w:sz w:val="32"/>
          <w:szCs w:val="32"/>
          <w:rtl/>
        </w:rPr>
        <w:t xml:space="preserve">وقد </w:t>
      </w:r>
      <w:r>
        <w:rPr>
          <w:rFonts w:ascii="Traditional Arabic" w:hAnsi="Traditional Arabic"/>
          <w:sz w:val="32"/>
          <w:szCs w:val="32"/>
          <w:rtl/>
        </w:rPr>
        <w:t xml:space="preserve">ذكر ابن القيم </w:t>
      </w:r>
      <w:r>
        <w:rPr>
          <w:rFonts w:ascii="Traditional Arabic" w:hAnsi="Traditional Arabic" w:hint="cs"/>
          <w:sz w:val="32"/>
          <w:szCs w:val="32"/>
          <w:rtl/>
        </w:rPr>
        <w:t>هذه الصيغة</w:t>
      </w:r>
      <w:r w:rsidRPr="001F1ABF">
        <w:rPr>
          <w:rFonts w:ascii="Traditional Arabic" w:hAnsi="Traditional Arabic"/>
          <w:sz w:val="32"/>
          <w:szCs w:val="32"/>
          <w:rtl/>
        </w:rPr>
        <w:t xml:space="preserve"> عند ذكره لتوجيهات الطوائف لنصوص الوعيد، فقال عند ذكر الطائفة السابعة: (</w:t>
      </w:r>
      <w:r w:rsidRPr="001F1ABF">
        <w:rPr>
          <w:rFonts w:ascii="Traditional Arabic" w:hAnsi="Traditional Arabic"/>
          <w:noProof w:val="0"/>
          <w:color w:val="auto"/>
          <w:sz w:val="32"/>
          <w:szCs w:val="32"/>
          <w:rtl/>
          <w:lang w:eastAsia="en-US"/>
        </w:rPr>
        <w:t xml:space="preserve">وقالت فرقة سابعة هذه النصوص وأمثالُها مما ذُكر فيه المقتضي للعقوبة، ولا يلزم من وجود مقتضي الحكم وجودُه، </w:t>
      </w:r>
      <w:r w:rsidRPr="009B6E87">
        <w:rPr>
          <w:rFonts w:ascii="Traditional Arabic" w:hAnsi="Traditional Arabic"/>
          <w:noProof w:val="0"/>
          <w:color w:val="auto"/>
          <w:sz w:val="32"/>
          <w:szCs w:val="32"/>
          <w:rtl/>
          <w:lang w:eastAsia="en-US"/>
        </w:rPr>
        <w:t>فإن الحكم إنما يتم بوجود مقتضيه وانتفاء مانعه</w:t>
      </w:r>
      <w:r w:rsidRPr="001F1ABF">
        <w:rPr>
          <w:rFonts w:ascii="Traditional Arabic" w:hAnsi="Traditional Arabic"/>
          <w:noProof w:val="0"/>
          <w:color w:val="auto"/>
          <w:sz w:val="32"/>
          <w:szCs w:val="32"/>
          <w:rtl/>
          <w:lang w:eastAsia="en-US"/>
        </w:rPr>
        <w:t>، وغاية هذه النصوص الإعلام بأن كذا سبب للعقوبة ومقتض</w:t>
      </w:r>
      <w:r>
        <w:rPr>
          <w:rFonts w:ascii="Traditional Arabic" w:hAnsi="Traditional Arabic" w:hint="cs"/>
          <w:noProof w:val="0"/>
          <w:color w:val="auto"/>
          <w:sz w:val="32"/>
          <w:szCs w:val="32"/>
          <w:rtl/>
          <w:lang w:eastAsia="en-US"/>
        </w:rPr>
        <w:t>ٍ</w:t>
      </w:r>
      <w:r w:rsidRPr="001F1ABF">
        <w:rPr>
          <w:rFonts w:ascii="Traditional Arabic" w:hAnsi="Traditional Arabic"/>
          <w:noProof w:val="0"/>
          <w:color w:val="auto"/>
          <w:sz w:val="32"/>
          <w:szCs w:val="32"/>
          <w:rtl/>
          <w:lang w:eastAsia="en-US"/>
        </w:rPr>
        <w:t xml:space="preserve"> لها،</w:t>
      </w:r>
      <w:r>
        <w:rPr>
          <w:rFonts w:ascii="Traditional Arabic" w:hAnsi="Traditional Arabic" w:hint="cs"/>
          <w:noProof w:val="0"/>
          <w:sz w:val="32"/>
          <w:szCs w:val="32"/>
          <w:rtl/>
          <w:lang w:eastAsia="en-US"/>
        </w:rPr>
        <w:t xml:space="preserve"> </w:t>
      </w:r>
      <w:r w:rsidRPr="001F1ABF">
        <w:rPr>
          <w:rFonts w:ascii="Traditional Arabic" w:hAnsi="Traditional Arabic"/>
          <w:noProof w:val="0"/>
          <w:sz w:val="32"/>
          <w:szCs w:val="32"/>
          <w:rtl/>
          <w:lang w:eastAsia="en-US"/>
        </w:rPr>
        <w:t>وقد قام الدليل على ذكر الموانع فبعضها بالإجماع وبعضها بالنص</w:t>
      </w:r>
      <w:r w:rsidRPr="001F1ABF">
        <w:rPr>
          <w:rFonts w:ascii="Traditional Arabic" w:hAnsi="Traditional Arabic"/>
          <w:sz w:val="32"/>
          <w:szCs w:val="32"/>
          <w:rtl/>
        </w:rPr>
        <w:t>).</w:t>
      </w:r>
    </w:p>
  </w:footnote>
  <w:footnote w:id="1973">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القواعد والأصول الجامعة (50).</w:t>
      </w:r>
    </w:p>
  </w:footnote>
  <w:footnote w:id="1974">
    <w:p w:rsidR="000D3D21" w:rsidRPr="001F1ABF" w:rsidRDefault="000D3D21" w:rsidP="00D25F1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منظومة القواعد الفقهية وشرحها لابن سعدي (40).</w:t>
      </w:r>
    </w:p>
  </w:footnote>
  <w:footnote w:id="1975">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1F1ABF">
        <w:rPr>
          <w:rFonts w:ascii="Traditional Arabic" w:hAnsi="Traditional Arabic"/>
          <w:sz w:val="32"/>
          <w:szCs w:val="32"/>
          <w:rtl/>
        </w:rPr>
        <w:t xml:space="preserve"> انظر</w:t>
      </w:r>
      <w:r>
        <w:rPr>
          <w:rFonts w:ascii="Traditional Arabic" w:hAnsi="Traditional Arabic" w:hint="cs"/>
          <w:sz w:val="32"/>
          <w:szCs w:val="32"/>
          <w:rtl/>
        </w:rPr>
        <w:t xml:space="preserve"> </w:t>
      </w:r>
      <w:r w:rsidRPr="001F1ABF">
        <w:rPr>
          <w:rFonts w:ascii="Traditional Arabic" w:hAnsi="Traditional Arabic"/>
          <w:sz w:val="32"/>
          <w:szCs w:val="32"/>
          <w:rtl/>
        </w:rPr>
        <w:t>لسان العرب (1910).</w:t>
      </w:r>
    </w:p>
  </w:footnote>
  <w:footnote w:id="1976">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noProof w:val="0"/>
          <w:sz w:val="32"/>
          <w:szCs w:val="32"/>
          <w:rtl/>
          <w:lang w:eastAsia="en-US"/>
        </w:rPr>
        <w:t>هذا القيد يُحترَز به من الشرط؛ لأنه لا يلزم من وجوده الوجود.</w:t>
      </w:r>
    </w:p>
  </w:footnote>
  <w:footnote w:id="1977">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noProof w:val="0"/>
          <w:sz w:val="32"/>
          <w:szCs w:val="32"/>
          <w:rtl/>
          <w:lang w:eastAsia="en-US"/>
        </w:rPr>
        <w:t>هذا القيد يُحترَز به من المانع ; لأنه لا يلزم من عدمه وجود ولا عدم.</w:t>
      </w:r>
    </w:p>
  </w:footnote>
  <w:footnote w:id="1978">
    <w:p w:rsidR="000D3D21" w:rsidRPr="001F1ABF" w:rsidRDefault="000D3D21" w:rsidP="00D25F1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1F1ABF">
        <w:rPr>
          <w:rFonts w:ascii="Traditional Arabic" w:hAnsi="Traditional Arabic"/>
          <w:noProof w:val="0"/>
          <w:sz w:val="32"/>
          <w:szCs w:val="32"/>
          <w:rtl/>
          <w:lang w:eastAsia="en-US"/>
        </w:rPr>
        <w:t>هذا القيد يُحترَز به مما لو قارَنَ السببَ فُقْدانُ الشرطِ , أو وجودُ المانع، كالنصاب قبل تمام الحَول, أو مع وجود الدَّين، فإنه لا يلزم من وجوده الوجود, لكن لا لذاته, بل لأمرٍ خارج عنه, وهو انتفاء الشرط ووجود المانع.</w:t>
      </w:r>
      <w:r w:rsidRPr="001F1ABF">
        <w:rPr>
          <w:rFonts w:ascii="Traditional Arabic" w:hAnsi="Traditional Arabic"/>
          <w:sz w:val="32"/>
          <w:szCs w:val="32"/>
          <w:rtl/>
        </w:rPr>
        <w:t xml:space="preserve"> انظر </w:t>
      </w:r>
      <w:r>
        <w:rPr>
          <w:rFonts w:ascii="Traditional Arabic" w:hAnsi="Traditional Arabic" w:hint="cs"/>
          <w:sz w:val="32"/>
          <w:szCs w:val="32"/>
          <w:rtl/>
        </w:rPr>
        <w:t xml:space="preserve">في </w:t>
      </w:r>
      <w:r>
        <w:rPr>
          <w:rFonts w:ascii="Traditional Arabic" w:hAnsi="Traditional Arabic"/>
          <w:sz w:val="32"/>
          <w:szCs w:val="32"/>
          <w:rtl/>
        </w:rPr>
        <w:t>التعريف ومحترزاته</w:t>
      </w:r>
      <w:r>
        <w:rPr>
          <w:rFonts w:ascii="Traditional Arabic" w:hAnsi="Traditional Arabic" w:hint="cs"/>
          <w:sz w:val="32"/>
          <w:szCs w:val="32"/>
          <w:rtl/>
        </w:rPr>
        <w:t>:</w:t>
      </w:r>
      <w:r w:rsidRPr="001F1ABF">
        <w:rPr>
          <w:rFonts w:ascii="Traditional Arabic" w:hAnsi="Traditional Arabic"/>
          <w:sz w:val="32"/>
          <w:szCs w:val="32"/>
          <w:rtl/>
        </w:rPr>
        <w:t xml:space="preserve"> شرح مختصر الروضة للطوفي (1/434)، الكوكب المنير (1/445-446). </w:t>
      </w:r>
    </w:p>
    <w:p w:rsidR="000D3D21" w:rsidRPr="001F1ABF" w:rsidRDefault="000D3D21" w:rsidP="00D25F15">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1F1ABF">
        <w:rPr>
          <w:rFonts w:ascii="Traditional Arabic" w:hAnsi="Traditional Arabic"/>
          <w:b/>
          <w:bCs/>
          <w:sz w:val="32"/>
          <w:szCs w:val="32"/>
          <w:rtl/>
        </w:rPr>
        <w:t>تنبيه:</w:t>
      </w:r>
      <w:r w:rsidRPr="001F1ABF">
        <w:rPr>
          <w:rFonts w:ascii="Traditional Arabic" w:hAnsi="Traditional Arabic"/>
          <w:sz w:val="32"/>
          <w:szCs w:val="32"/>
          <w:rtl/>
        </w:rPr>
        <w:t xml:space="preserve"> عرَّف الشيخ ابن عثيمين السبب بمثل هذا التعريف، إلا أنه لم يذكر قيد (لذاته)؛ وعلَّل ذلك بعدم الحاجة إليه، فقال: (وزادوا في تعريف السبب كلمة "لذاته"، وهذه الكلمة لها مقتضى؛ لكنها لا حاجة إليها، لأننا إذا قلنا: ما يلزم من عدمه العدم في الشرط ولا يلزم من وجوده الوجود لذاته، يعني: بقطع النظر عن وجود أشياء اخرى تلزم بالوجود، أو أشياء أخرى تمنع الوجود) شرح الأ</w:t>
      </w:r>
      <w:r>
        <w:rPr>
          <w:rFonts w:ascii="Traditional Arabic" w:hAnsi="Traditional Arabic"/>
          <w:sz w:val="32"/>
          <w:szCs w:val="32"/>
          <w:rtl/>
        </w:rPr>
        <w:t>صول من علم الأصول (73)</w:t>
      </w:r>
      <w:r>
        <w:rPr>
          <w:rFonts w:ascii="Traditional Arabic" w:hAnsi="Traditional Arabic" w:hint="cs"/>
          <w:sz w:val="32"/>
          <w:szCs w:val="32"/>
          <w:rtl/>
        </w:rPr>
        <w:t xml:space="preserve"> </w:t>
      </w:r>
      <w:r>
        <w:rPr>
          <w:rFonts w:ascii="Traditional Arabic" w:hAnsi="Traditional Arabic"/>
          <w:sz w:val="32"/>
          <w:szCs w:val="32"/>
          <w:rtl/>
        </w:rPr>
        <w:t>بتصرف</w:t>
      </w:r>
      <w:r w:rsidRPr="001F1ABF">
        <w:rPr>
          <w:rFonts w:ascii="Traditional Arabic" w:hAnsi="Traditional Arabic"/>
          <w:sz w:val="32"/>
          <w:szCs w:val="32"/>
          <w:rtl/>
        </w:rPr>
        <w:t>.</w:t>
      </w:r>
    </w:p>
  </w:footnote>
  <w:footnote w:id="1979">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انظر</w:t>
      </w:r>
      <w:r>
        <w:rPr>
          <w:rFonts w:ascii="Traditional Arabic" w:hAnsi="Traditional Arabic" w:hint="cs"/>
          <w:sz w:val="32"/>
          <w:szCs w:val="32"/>
          <w:rtl/>
        </w:rPr>
        <w:t>:</w:t>
      </w:r>
      <w:r>
        <w:rPr>
          <w:rFonts w:ascii="Traditional Arabic" w:hAnsi="Traditional Arabic"/>
          <w:sz w:val="32"/>
          <w:szCs w:val="32"/>
          <w:rtl/>
        </w:rPr>
        <w:t xml:space="preserve"> تهذيب اللغة</w:t>
      </w:r>
      <w:r w:rsidRPr="001F1ABF">
        <w:rPr>
          <w:rFonts w:ascii="Traditional Arabic" w:hAnsi="Traditional Arabic"/>
          <w:sz w:val="32"/>
          <w:szCs w:val="32"/>
          <w:rtl/>
        </w:rPr>
        <w:t xml:space="preserve"> (3/19)، والمعجم الوسيط (888).</w:t>
      </w:r>
    </w:p>
  </w:footnote>
  <w:footnote w:id="1980">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1F1ABF">
        <w:rPr>
          <w:rFonts w:ascii="Traditional Arabic" w:hAnsi="Traditional Arabic"/>
          <w:noProof w:val="0"/>
          <w:sz w:val="32"/>
          <w:szCs w:val="32"/>
          <w:rtl/>
          <w:lang w:eastAsia="en-US"/>
        </w:rPr>
        <w:t>هذا القيد يُحترَز به من</w:t>
      </w:r>
      <w:r>
        <w:rPr>
          <w:rFonts w:ascii="Traditional Arabic" w:hAnsi="Traditional Arabic" w:hint="cs"/>
          <w:noProof w:val="0"/>
          <w:sz w:val="32"/>
          <w:szCs w:val="32"/>
          <w:rtl/>
          <w:lang w:eastAsia="en-US"/>
        </w:rPr>
        <w:t xml:space="preserve"> </w:t>
      </w:r>
      <w:r w:rsidRPr="001F1ABF">
        <w:rPr>
          <w:rFonts w:ascii="Traditional Arabic" w:hAnsi="Traditional Arabic"/>
          <w:noProof w:val="0"/>
          <w:sz w:val="32"/>
          <w:szCs w:val="32"/>
          <w:rtl/>
          <w:lang w:eastAsia="en-US"/>
        </w:rPr>
        <w:t>السبب; لأنه يلزم من وجوده الوجود</w:t>
      </w:r>
      <w:r w:rsidRPr="001F1ABF">
        <w:rPr>
          <w:rFonts w:ascii="Traditional Arabic" w:hAnsi="Traditional Arabic"/>
          <w:sz w:val="32"/>
          <w:szCs w:val="32"/>
          <w:rtl/>
        </w:rPr>
        <w:t>.</w:t>
      </w:r>
    </w:p>
  </w:footnote>
  <w:footnote w:id="1981">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1F1ABF">
        <w:rPr>
          <w:rFonts w:ascii="Traditional Arabic" w:hAnsi="Traditional Arabic"/>
          <w:noProof w:val="0"/>
          <w:sz w:val="32"/>
          <w:szCs w:val="32"/>
          <w:rtl/>
          <w:lang w:eastAsia="en-US"/>
        </w:rPr>
        <w:t>هذا القيد يُحترَز به من</w:t>
      </w:r>
      <w:r>
        <w:rPr>
          <w:rFonts w:ascii="Traditional Arabic" w:hAnsi="Traditional Arabic" w:hint="cs"/>
          <w:noProof w:val="0"/>
          <w:sz w:val="32"/>
          <w:szCs w:val="32"/>
          <w:rtl/>
          <w:lang w:eastAsia="en-US"/>
        </w:rPr>
        <w:t xml:space="preserve"> </w:t>
      </w:r>
      <w:r w:rsidRPr="001F1ABF">
        <w:rPr>
          <w:rFonts w:ascii="Traditional Arabic" w:hAnsi="Traditional Arabic"/>
          <w:noProof w:val="0"/>
          <w:sz w:val="32"/>
          <w:szCs w:val="32"/>
          <w:rtl/>
          <w:lang w:eastAsia="en-US"/>
        </w:rPr>
        <w:t>الشرط; لأنه يلزم من عدمه العدم</w:t>
      </w:r>
      <w:r w:rsidRPr="001F1ABF">
        <w:rPr>
          <w:rFonts w:ascii="Traditional Arabic" w:hAnsi="Traditional Arabic"/>
          <w:sz w:val="32"/>
          <w:szCs w:val="32"/>
          <w:rtl/>
        </w:rPr>
        <w:t>.</w:t>
      </w:r>
    </w:p>
  </w:footnote>
  <w:footnote w:id="1982">
    <w:p w:rsidR="000D3D21" w:rsidRPr="001F1ABF" w:rsidRDefault="000D3D21" w:rsidP="00D25F15">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1F1ABF">
        <w:rPr>
          <w:rFonts w:ascii="Traditional Arabic" w:hAnsi="Traditional Arabic"/>
          <w:noProof w:val="0"/>
          <w:sz w:val="32"/>
          <w:szCs w:val="32"/>
          <w:rtl/>
          <w:lang w:eastAsia="en-US"/>
        </w:rPr>
        <w:t>هذا القيد يُحترَز به من</w:t>
      </w:r>
      <w:r>
        <w:rPr>
          <w:rFonts w:ascii="Traditional Arabic" w:hAnsi="Traditional Arabic" w:hint="cs"/>
          <w:noProof w:val="0"/>
          <w:sz w:val="32"/>
          <w:szCs w:val="32"/>
          <w:rtl/>
          <w:lang w:eastAsia="en-US"/>
        </w:rPr>
        <w:t xml:space="preserve"> </w:t>
      </w:r>
      <w:r w:rsidRPr="001F1ABF">
        <w:rPr>
          <w:rFonts w:ascii="Traditional Arabic" w:hAnsi="Traditional Arabic"/>
          <w:noProof w:val="0"/>
          <w:color w:val="auto"/>
          <w:sz w:val="32"/>
          <w:szCs w:val="32"/>
          <w:rtl/>
          <w:lang w:eastAsia="en-US"/>
        </w:rPr>
        <w:t>مُقارَنة المانعِ لوجودِ سببٍ آخر، فإنه يلزم الوجود لا لِعدم المانع , بل لوجود السبب الآخر, كالمرتدّ القاتل لولَدِه, فإنه يُقتل بالرِّدة, وإن لم يُقتل قصاصاً؛ لأن المانع لأحد السببين فقط</w:t>
      </w:r>
      <w:r w:rsidRPr="001F1ABF">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 xml:space="preserve">انظر </w:t>
      </w:r>
      <w:r>
        <w:rPr>
          <w:rFonts w:ascii="Traditional Arabic" w:hAnsi="Traditional Arabic" w:hint="cs"/>
          <w:sz w:val="32"/>
          <w:szCs w:val="32"/>
          <w:rtl/>
        </w:rPr>
        <w:t xml:space="preserve">في </w:t>
      </w:r>
      <w:r w:rsidRPr="001F1ABF">
        <w:rPr>
          <w:rFonts w:ascii="Traditional Arabic" w:hAnsi="Traditional Arabic"/>
          <w:sz w:val="32"/>
          <w:szCs w:val="32"/>
          <w:rtl/>
        </w:rPr>
        <w:t>ا</w:t>
      </w:r>
      <w:r>
        <w:rPr>
          <w:rFonts w:ascii="Traditional Arabic" w:hAnsi="Traditional Arabic"/>
          <w:sz w:val="32"/>
          <w:szCs w:val="32"/>
          <w:rtl/>
        </w:rPr>
        <w:t>لتعريف ومحترزاته</w:t>
      </w:r>
      <w:r>
        <w:rPr>
          <w:rFonts w:ascii="Traditional Arabic" w:hAnsi="Traditional Arabic" w:hint="cs"/>
          <w:sz w:val="32"/>
          <w:szCs w:val="32"/>
          <w:rtl/>
        </w:rPr>
        <w:t>:</w:t>
      </w:r>
      <w:r w:rsidRPr="001F1ABF">
        <w:rPr>
          <w:rFonts w:ascii="Traditional Arabic" w:hAnsi="Traditional Arabic"/>
          <w:sz w:val="32"/>
          <w:szCs w:val="32"/>
          <w:rtl/>
        </w:rPr>
        <w:t xml:space="preserve"> شرح مختصر الروضة للطوفي (1/436)، </w:t>
      </w:r>
      <w:r>
        <w:rPr>
          <w:rFonts w:ascii="Traditional Arabic" w:hAnsi="Traditional Arabic" w:hint="cs"/>
          <w:sz w:val="32"/>
          <w:szCs w:val="32"/>
          <w:rtl/>
        </w:rPr>
        <w:t>و</w:t>
      </w:r>
      <w:r w:rsidRPr="001F1ABF">
        <w:rPr>
          <w:rFonts w:ascii="Traditional Arabic" w:hAnsi="Traditional Arabic"/>
          <w:sz w:val="32"/>
          <w:szCs w:val="32"/>
          <w:rtl/>
        </w:rPr>
        <w:t>شرح الكوكب المنير (1/456-457).</w:t>
      </w:r>
    </w:p>
    <w:p w:rsidR="000D3D21" w:rsidRPr="001F1ABF" w:rsidRDefault="000D3D21" w:rsidP="00D25F15">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1F1ABF">
        <w:rPr>
          <w:rFonts w:ascii="Traditional Arabic" w:hAnsi="Traditional Arabic"/>
          <w:b/>
          <w:bCs/>
          <w:sz w:val="32"/>
          <w:szCs w:val="32"/>
          <w:rtl/>
        </w:rPr>
        <w:t>تنبيه</w:t>
      </w:r>
      <w:r w:rsidRPr="001F1ABF">
        <w:rPr>
          <w:rFonts w:ascii="Traditional Arabic" w:hAnsi="Traditional Arabic"/>
          <w:sz w:val="32"/>
          <w:szCs w:val="32"/>
          <w:rtl/>
        </w:rPr>
        <w:t xml:space="preserve">: عرف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1F1ABF">
        <w:rPr>
          <w:rFonts w:ascii="Traditional Arabic" w:hAnsi="Traditional Arabic"/>
          <w:sz w:val="32"/>
          <w:szCs w:val="32"/>
          <w:rtl/>
        </w:rPr>
        <w:t xml:space="preserve"> المانع بمثل هذا التعريف إلا أنه لم يذكر قيد(لذاته)، ولعل ذلك راجع إلى نفس السبب الذي ذكره عند تعريف السبب، والله أعلم.</w:t>
      </w:r>
    </w:p>
  </w:footnote>
  <w:footnote w:id="1983">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 xml:space="preserve">مقصود الشيخ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1F1ABF">
        <w:rPr>
          <w:rFonts w:ascii="Traditional Arabic" w:hAnsi="Traditional Arabic"/>
          <w:sz w:val="32"/>
          <w:szCs w:val="32"/>
          <w:rtl/>
        </w:rPr>
        <w:t xml:space="preserve"> بالأحكام الجزائية ما يتعلق بالجزاء والمعاد؛ ولهذا مثَّل لها بنصوص الوعيد، والله أعلم.</w:t>
      </w:r>
      <w:r>
        <w:rPr>
          <w:rFonts w:ascii="Traditional Arabic" w:hAnsi="Traditional Arabic" w:hint="cs"/>
          <w:sz w:val="32"/>
          <w:szCs w:val="32"/>
          <w:rtl/>
        </w:rPr>
        <w:t xml:space="preserve"> </w:t>
      </w:r>
      <w:r w:rsidRPr="001F1ABF">
        <w:rPr>
          <w:rFonts w:ascii="Traditional Arabic" w:hAnsi="Traditional Arabic"/>
          <w:sz w:val="32"/>
          <w:szCs w:val="32"/>
          <w:rtl/>
        </w:rPr>
        <w:t>انظر شرح منظومة أصول الفقه وقواعده (164).</w:t>
      </w:r>
    </w:p>
  </w:footnote>
  <w:footnote w:id="1984">
    <w:p w:rsidR="000D3D21" w:rsidRPr="001F1ABF" w:rsidRDefault="000D3D21" w:rsidP="00476BE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انظر: الشرح الممتع (6/252)، و(8/185)، وشرح منظومة أصول الفقه وقواعده (162،163)، وشرح الأصول من علم الأصول (215)، وتسهيل الفرائض</w:t>
      </w:r>
      <w:r>
        <w:rPr>
          <w:rFonts w:ascii="Traditional Arabic" w:hAnsi="Traditional Arabic" w:hint="cs"/>
          <w:sz w:val="32"/>
          <w:szCs w:val="32"/>
          <w:rtl/>
        </w:rPr>
        <w:t xml:space="preserve"> (68)</w:t>
      </w:r>
      <w:r w:rsidRPr="001F1ABF">
        <w:rPr>
          <w:rFonts w:ascii="Traditional Arabic" w:hAnsi="Traditional Arabic"/>
          <w:sz w:val="32"/>
          <w:szCs w:val="32"/>
          <w:rtl/>
        </w:rPr>
        <w:t>،</w:t>
      </w:r>
      <w:r>
        <w:rPr>
          <w:rFonts w:ascii="Traditional Arabic" w:hAnsi="Traditional Arabic"/>
          <w:sz w:val="32"/>
          <w:szCs w:val="32"/>
          <w:rtl/>
        </w:rPr>
        <w:t xml:space="preserve"> والقواعد والأصول الجامعة (51).</w:t>
      </w:r>
    </w:p>
  </w:footnote>
  <w:footnote w:id="1985">
    <w:p w:rsidR="000D3D21" w:rsidRPr="004274AE"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شرح منظومة أصول الفقه وقواعده (162).</w:t>
      </w:r>
    </w:p>
  </w:footnote>
  <w:footnote w:id="1986">
    <w:p w:rsidR="000D3D21" w:rsidRPr="001F1ABF" w:rsidRDefault="000D3D21" w:rsidP="00D17979">
      <w:pPr>
        <w:pStyle w:val="a7"/>
        <w:pageBreakBefore/>
        <w:rPr>
          <w:rFonts w:ascii="Traditional Arabic" w:hAnsi="Traditional Arabic"/>
          <w:sz w:val="32"/>
          <w:szCs w:val="32"/>
        </w:rPr>
      </w:pPr>
      <w:r w:rsidRPr="001F1ABF">
        <w:rPr>
          <w:rFonts w:ascii="Traditional Arabic" w:hAnsi="Traditional Arabic"/>
          <w:sz w:val="32"/>
          <w:szCs w:val="32"/>
          <w:rtl/>
        </w:rPr>
        <w:t>(</w:t>
      </w:r>
      <w:r w:rsidRPr="001F1ABF">
        <w:rPr>
          <w:rStyle w:val="af1"/>
          <w:rFonts w:ascii="Traditional Arabic" w:hAnsi="Traditional Arabic"/>
          <w:sz w:val="32"/>
          <w:szCs w:val="32"/>
          <w:vertAlign w:val="baseline"/>
        </w:rPr>
        <w:footnoteRef/>
      </w:r>
      <w:r w:rsidRPr="001F1ABF">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انظر المرجع السابق.</w:t>
      </w:r>
    </w:p>
  </w:footnote>
  <w:footnote w:id="1987">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شرح المنظومة الس</w:t>
      </w:r>
      <w:r>
        <w:rPr>
          <w:rFonts w:ascii="Traditional Arabic" w:hAnsi="Traditional Arabic"/>
          <w:sz w:val="32"/>
          <w:szCs w:val="32"/>
          <w:rtl/>
        </w:rPr>
        <w:t>عدية في القواعد الفقهية ل</w:t>
      </w:r>
      <w:r w:rsidRPr="001F1ABF">
        <w:rPr>
          <w:rFonts w:ascii="Traditional Arabic" w:hAnsi="Traditional Arabic"/>
          <w:sz w:val="32"/>
          <w:szCs w:val="32"/>
          <w:rtl/>
        </w:rPr>
        <w:t>سعد بن ناصر الشثري (127).</w:t>
      </w:r>
    </w:p>
  </w:footnote>
  <w:footnote w:id="1988">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1F1ABF">
        <w:rPr>
          <w:rFonts w:ascii="Traditional Arabic" w:hAnsi="Traditional Arabic"/>
          <w:noProof w:val="0"/>
          <w:sz w:val="32"/>
          <w:szCs w:val="32"/>
          <w:rtl/>
          <w:lang w:eastAsia="en-US"/>
        </w:rPr>
        <w:t>أخرجه البخاري في كتاب الوضوء، باب لا تقبل صلاة بغير طهور، رقم الحديث (135)</w:t>
      </w:r>
      <w:r>
        <w:rPr>
          <w:rFonts w:ascii="Traditional Arabic" w:hAnsi="Traditional Arabic"/>
          <w:noProof w:val="0"/>
          <w:sz w:val="32"/>
          <w:szCs w:val="32"/>
          <w:rtl/>
          <w:lang w:eastAsia="en-US"/>
        </w:rPr>
        <w:t>.</w:t>
      </w:r>
    </w:p>
  </w:footnote>
  <w:footnote w:id="1989">
    <w:p w:rsidR="000D3D21" w:rsidRPr="001F1ABF" w:rsidRDefault="000D3D21" w:rsidP="0034747A">
      <w:pPr>
        <w:widowControl/>
        <w:autoSpaceDE w:val="0"/>
        <w:autoSpaceDN w:val="0"/>
        <w:adjustRightInd w:val="0"/>
        <w:ind w:left="423" w:hanging="425"/>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1F1ABF">
        <w:rPr>
          <w:rFonts w:ascii="Traditional Arabic" w:hAnsi="Traditional Arabic"/>
          <w:noProof w:val="0"/>
          <w:sz w:val="32"/>
          <w:szCs w:val="32"/>
          <w:rtl/>
          <w:lang w:eastAsia="en-US"/>
        </w:rPr>
        <w:t>أخرجه الترمذي</w:t>
      </w:r>
      <w:r>
        <w:rPr>
          <w:rFonts w:ascii="Traditional Arabic" w:hAnsi="Traditional Arabic" w:hint="cs"/>
          <w:noProof w:val="0"/>
          <w:sz w:val="32"/>
          <w:szCs w:val="32"/>
          <w:rtl/>
          <w:lang w:eastAsia="en-US"/>
        </w:rPr>
        <w:t xml:space="preserve"> في سننه في أبواب البيوع عن رسول الله صلى الله عليه وسلم، باب ما جاء في كراهية بيع ما ليس عندك، </w:t>
      </w:r>
      <w:r w:rsidRPr="001F1ABF">
        <w:rPr>
          <w:rFonts w:ascii="Traditional Arabic" w:hAnsi="Traditional Arabic"/>
          <w:noProof w:val="0"/>
          <w:sz w:val="32"/>
          <w:szCs w:val="32"/>
          <w:rtl/>
          <w:lang w:eastAsia="en-US"/>
        </w:rPr>
        <w:t xml:space="preserve">رقم </w:t>
      </w:r>
      <w:r>
        <w:rPr>
          <w:rFonts w:ascii="Traditional Arabic" w:hAnsi="Traditional Arabic" w:hint="cs"/>
          <w:noProof w:val="0"/>
          <w:sz w:val="32"/>
          <w:szCs w:val="32"/>
          <w:rtl/>
          <w:lang w:eastAsia="en-US"/>
        </w:rPr>
        <w:t xml:space="preserve">الحديث </w:t>
      </w:r>
      <w:r w:rsidRPr="001F1ABF">
        <w:rPr>
          <w:rFonts w:ascii="Traditional Arabic" w:hAnsi="Traditional Arabic"/>
          <w:noProof w:val="0"/>
          <w:sz w:val="32"/>
          <w:szCs w:val="32"/>
          <w:rtl/>
          <w:lang w:eastAsia="en-US"/>
        </w:rPr>
        <w:t xml:space="preserve">(1232) وأبو داود </w:t>
      </w:r>
      <w:r>
        <w:rPr>
          <w:rFonts w:ascii="Traditional Arabic" w:hAnsi="Traditional Arabic" w:hint="cs"/>
          <w:noProof w:val="0"/>
          <w:sz w:val="32"/>
          <w:szCs w:val="32"/>
          <w:rtl/>
          <w:lang w:eastAsia="en-US"/>
        </w:rPr>
        <w:t xml:space="preserve">في سننه في كتاب البيوع والإجارات، باب في الرجل يبيع ما ليس عنده، </w:t>
      </w:r>
      <w:r w:rsidRPr="001F1ABF">
        <w:rPr>
          <w:rFonts w:ascii="Traditional Arabic" w:hAnsi="Traditional Arabic"/>
          <w:noProof w:val="0"/>
          <w:sz w:val="32"/>
          <w:szCs w:val="32"/>
          <w:rtl/>
          <w:lang w:eastAsia="en-US"/>
        </w:rPr>
        <w:t xml:space="preserve">رقم </w:t>
      </w:r>
      <w:r>
        <w:rPr>
          <w:rFonts w:ascii="Traditional Arabic" w:hAnsi="Traditional Arabic" w:hint="cs"/>
          <w:noProof w:val="0"/>
          <w:sz w:val="32"/>
          <w:szCs w:val="32"/>
          <w:rtl/>
          <w:lang w:eastAsia="en-US"/>
        </w:rPr>
        <w:t xml:space="preserve">الحديث </w:t>
      </w:r>
      <w:r w:rsidRPr="001F1ABF">
        <w:rPr>
          <w:rFonts w:ascii="Traditional Arabic" w:hAnsi="Traditional Arabic"/>
          <w:noProof w:val="0"/>
          <w:sz w:val="32"/>
          <w:szCs w:val="32"/>
          <w:rtl/>
          <w:lang w:eastAsia="en-US"/>
        </w:rPr>
        <w:t>(3503)</w:t>
      </w:r>
      <w:r>
        <w:rPr>
          <w:rFonts w:ascii="Traditional Arabic" w:hAnsi="Traditional Arabic" w:hint="cs"/>
          <w:noProof w:val="0"/>
          <w:sz w:val="32"/>
          <w:szCs w:val="32"/>
          <w:rtl/>
          <w:lang w:eastAsia="en-US"/>
        </w:rPr>
        <w:t>،</w:t>
      </w:r>
      <w:r w:rsidRPr="001F1ABF">
        <w:rPr>
          <w:rFonts w:ascii="Traditional Arabic" w:hAnsi="Traditional Arabic"/>
          <w:noProof w:val="0"/>
          <w:sz w:val="32"/>
          <w:szCs w:val="32"/>
          <w:rtl/>
          <w:lang w:eastAsia="en-US"/>
        </w:rPr>
        <w:t xml:space="preserve"> والنسائي </w:t>
      </w:r>
      <w:r>
        <w:rPr>
          <w:rFonts w:ascii="Traditional Arabic" w:hAnsi="Traditional Arabic" w:hint="cs"/>
          <w:noProof w:val="0"/>
          <w:sz w:val="32"/>
          <w:szCs w:val="32"/>
          <w:rtl/>
          <w:lang w:eastAsia="en-US"/>
        </w:rPr>
        <w:t>في السنن الكبرى في كتاب البيوع، باب بيع ما ليس عند البائع، رقم الحديث (6160</w:t>
      </w:r>
      <w:r w:rsidRPr="001F1ABF">
        <w:rPr>
          <w:rFonts w:ascii="Traditional Arabic" w:hAnsi="Traditional Arabic"/>
          <w:noProof w:val="0"/>
          <w:sz w:val="32"/>
          <w:szCs w:val="32"/>
          <w:rtl/>
          <w:lang w:eastAsia="en-US"/>
        </w:rPr>
        <w:t>)</w:t>
      </w:r>
      <w:r>
        <w:rPr>
          <w:rFonts w:ascii="Traditional Arabic" w:hAnsi="Traditional Arabic" w:hint="cs"/>
          <w:noProof w:val="0"/>
          <w:sz w:val="32"/>
          <w:szCs w:val="32"/>
          <w:rtl/>
          <w:lang w:eastAsia="en-US"/>
        </w:rPr>
        <w:t>،</w:t>
      </w:r>
      <w:r w:rsidRPr="001F1ABF">
        <w:rPr>
          <w:rFonts w:ascii="Traditional Arabic" w:hAnsi="Traditional Arabic"/>
          <w:noProof w:val="0"/>
          <w:sz w:val="32"/>
          <w:szCs w:val="32"/>
          <w:rtl/>
          <w:lang w:eastAsia="en-US"/>
        </w:rPr>
        <w:t xml:space="preserve"> وابن ماجه </w:t>
      </w:r>
      <w:r>
        <w:rPr>
          <w:rFonts w:ascii="Traditional Arabic" w:hAnsi="Traditional Arabic" w:hint="cs"/>
          <w:noProof w:val="0"/>
          <w:sz w:val="32"/>
          <w:szCs w:val="32"/>
          <w:rtl/>
          <w:lang w:eastAsia="en-US"/>
        </w:rPr>
        <w:t xml:space="preserve">في سننه في كتاب التجارات، باب النهي عن بيع ما ليس عندك وعن ربح ما لم يضمن، </w:t>
      </w:r>
      <w:r w:rsidRPr="001F1ABF">
        <w:rPr>
          <w:rFonts w:ascii="Traditional Arabic" w:hAnsi="Traditional Arabic"/>
          <w:noProof w:val="0"/>
          <w:sz w:val="32"/>
          <w:szCs w:val="32"/>
          <w:rtl/>
          <w:lang w:eastAsia="en-US"/>
        </w:rPr>
        <w:t xml:space="preserve">رقم </w:t>
      </w:r>
      <w:r>
        <w:rPr>
          <w:rFonts w:ascii="Traditional Arabic" w:hAnsi="Traditional Arabic" w:hint="cs"/>
          <w:noProof w:val="0"/>
          <w:sz w:val="32"/>
          <w:szCs w:val="32"/>
          <w:rtl/>
          <w:lang w:eastAsia="en-US"/>
        </w:rPr>
        <w:t xml:space="preserve">الحديث </w:t>
      </w:r>
      <w:r w:rsidRPr="001F1ABF">
        <w:rPr>
          <w:rFonts w:ascii="Traditional Arabic" w:hAnsi="Traditional Arabic"/>
          <w:noProof w:val="0"/>
          <w:sz w:val="32"/>
          <w:szCs w:val="32"/>
          <w:rtl/>
          <w:lang w:eastAsia="en-US"/>
        </w:rPr>
        <w:t>(2188)</w:t>
      </w:r>
      <w:r>
        <w:rPr>
          <w:rFonts w:ascii="Traditional Arabic" w:hAnsi="Traditional Arabic" w:hint="cs"/>
          <w:noProof w:val="0"/>
          <w:sz w:val="32"/>
          <w:szCs w:val="32"/>
          <w:rtl/>
          <w:lang w:eastAsia="en-US"/>
        </w:rPr>
        <w:t>.</w:t>
      </w:r>
      <w:r w:rsidRPr="001F1ABF">
        <w:rPr>
          <w:rFonts w:ascii="Traditional Arabic" w:hAnsi="Traditional Arabic"/>
          <w:noProof w:val="0"/>
          <w:sz w:val="32"/>
          <w:szCs w:val="32"/>
          <w:rtl/>
          <w:lang w:eastAsia="en-US"/>
        </w:rPr>
        <w:t xml:space="preserve"> و</w:t>
      </w:r>
      <w:r>
        <w:rPr>
          <w:rFonts w:ascii="Traditional Arabic" w:hAnsi="Traditional Arabic" w:hint="cs"/>
          <w:noProof w:val="0"/>
          <w:sz w:val="32"/>
          <w:szCs w:val="32"/>
          <w:rtl/>
          <w:lang w:eastAsia="en-US"/>
        </w:rPr>
        <w:t xml:space="preserve">الحديث </w:t>
      </w:r>
      <w:r w:rsidRPr="001F1ABF">
        <w:rPr>
          <w:rFonts w:ascii="Traditional Arabic" w:hAnsi="Traditional Arabic"/>
          <w:noProof w:val="0"/>
          <w:sz w:val="32"/>
          <w:szCs w:val="32"/>
          <w:rtl/>
          <w:lang w:eastAsia="en-US"/>
        </w:rPr>
        <w:t xml:space="preserve">صححه </w:t>
      </w:r>
      <w:r>
        <w:rPr>
          <w:rFonts w:ascii="Traditional Arabic" w:hAnsi="Traditional Arabic" w:hint="cs"/>
          <w:noProof w:val="0"/>
          <w:sz w:val="32"/>
          <w:szCs w:val="32"/>
          <w:rtl/>
          <w:lang w:eastAsia="en-US"/>
        </w:rPr>
        <w:t>الشيخ الألباني في صحيح سنن أبي داود (374)</w:t>
      </w:r>
      <w:r>
        <w:rPr>
          <w:rFonts w:ascii="Traditional Arabic" w:hAnsi="Traditional Arabic"/>
          <w:noProof w:val="0"/>
          <w:sz w:val="32"/>
          <w:szCs w:val="32"/>
          <w:rtl/>
          <w:lang w:eastAsia="en-US"/>
        </w:rPr>
        <w:t>.</w:t>
      </w:r>
    </w:p>
  </w:footnote>
  <w:footnote w:id="1990">
    <w:p w:rsidR="000D3D21" w:rsidRPr="00EC11C7" w:rsidRDefault="000D3D21" w:rsidP="00D25F1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1ABF">
        <w:rPr>
          <w:rFonts w:ascii="Traditional Arabic" w:hAnsi="Traditional Arabic"/>
          <w:sz w:val="32"/>
          <w:szCs w:val="32"/>
          <w:rtl/>
        </w:rPr>
        <w:t xml:space="preserve">انظر العقد الثمين </w:t>
      </w:r>
      <w:r w:rsidRPr="001F1ABF">
        <w:rPr>
          <w:rFonts w:ascii="Traditional Arabic" w:hAnsi="Traditional Arabic"/>
          <w:noProof w:val="0"/>
          <w:sz w:val="32"/>
          <w:szCs w:val="32"/>
          <w:rtl/>
          <w:lang w:eastAsia="en-US"/>
        </w:rPr>
        <w:t>في شرح منظومة الشيخ</w:t>
      </w:r>
      <w:r>
        <w:rPr>
          <w:rFonts w:ascii="Traditional Arabic" w:hAnsi="Traditional Arabic"/>
          <w:noProof w:val="0"/>
          <w:sz w:val="32"/>
          <w:szCs w:val="32"/>
          <w:rtl/>
          <w:lang w:eastAsia="en-US"/>
        </w:rPr>
        <w:t xml:space="preserve"> ابن عثيمين</w:t>
      </w:r>
      <w:r w:rsidRPr="001F1ABF">
        <w:rPr>
          <w:rFonts w:ascii="Traditional Arabic" w:hAnsi="Traditional Arabic"/>
          <w:noProof w:val="0"/>
          <w:sz w:val="32"/>
          <w:szCs w:val="32"/>
          <w:rtl/>
          <w:lang w:eastAsia="en-US"/>
        </w:rPr>
        <w:t xml:space="preserve"> (153-154).</w:t>
      </w:r>
    </w:p>
  </w:footnote>
  <w:footnote w:id="1991">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الشرح الممتع (9/215-216)</w:t>
      </w:r>
      <w:r>
        <w:rPr>
          <w:rFonts w:ascii="Traditional Arabic" w:hAnsi="Traditional Arabic" w:hint="cs"/>
          <w:sz w:val="32"/>
          <w:szCs w:val="32"/>
          <w:rtl/>
        </w:rPr>
        <w:t>.</w:t>
      </w:r>
    </w:p>
  </w:footnote>
  <w:footnote w:id="1992">
    <w:p w:rsidR="000D3D21" w:rsidRPr="001F1ABF" w:rsidRDefault="000D3D21" w:rsidP="00D25F15">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المرجع السابق</w:t>
      </w:r>
      <w:r>
        <w:rPr>
          <w:rFonts w:ascii="Traditional Arabic" w:hAnsi="Traditional Arabic" w:hint="cs"/>
          <w:sz w:val="32"/>
          <w:szCs w:val="32"/>
          <w:rtl/>
        </w:rPr>
        <w:t>.</w:t>
      </w:r>
    </w:p>
  </w:footnote>
  <w:footnote w:id="1993">
    <w:p w:rsidR="000D3D21" w:rsidRPr="00DD104A" w:rsidRDefault="000D3D21" w:rsidP="00D25F15">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الشرح الممتع (9/241-243)</w:t>
      </w:r>
      <w:r>
        <w:rPr>
          <w:rFonts w:ascii="Traditional Arabic" w:hAnsi="Traditional Arabic" w:hint="cs"/>
          <w:sz w:val="32"/>
          <w:szCs w:val="32"/>
          <w:rtl/>
        </w:rPr>
        <w:t>.</w:t>
      </w:r>
    </w:p>
  </w:footnote>
  <w:footnote w:id="1994">
    <w:p w:rsidR="000D3D21" w:rsidRDefault="000D3D21">
      <w:pPr>
        <w:pStyle w:val="a7"/>
        <w:rPr>
          <w:rFonts w:ascii="Traditional Arabic" w:hAnsi="Traditional Arabic"/>
          <w:sz w:val="32"/>
          <w:szCs w:val="32"/>
          <w:rtl/>
        </w:rPr>
      </w:pPr>
      <w:r w:rsidRPr="00007A1E">
        <w:rPr>
          <w:rStyle w:val="af1"/>
          <w:rFonts w:ascii="Traditional Arabic" w:hAnsi="Traditional Arabic"/>
          <w:sz w:val="32"/>
          <w:szCs w:val="32"/>
          <w:vertAlign w:val="baseline"/>
        </w:rPr>
        <w:footnoteRef/>
      </w:r>
      <w:r w:rsidRPr="00007A1E">
        <w:rPr>
          <w:rFonts w:ascii="Traditional Arabic" w:hAnsi="Traditional Arabic"/>
          <w:sz w:val="32"/>
          <w:szCs w:val="32"/>
        </w:rPr>
        <w:t>)</w:t>
      </w:r>
      <w:r w:rsidRPr="00007A1E">
        <w:rPr>
          <w:rFonts w:ascii="Traditional Arabic" w:hAnsi="Traditional Arabic"/>
          <w:sz w:val="32"/>
          <w:szCs w:val="32"/>
          <w:rtl/>
        </w:rPr>
        <w:t xml:space="preserve">) </w:t>
      </w:r>
      <w:r>
        <w:rPr>
          <w:rFonts w:ascii="Traditional Arabic" w:hAnsi="Traditional Arabic" w:hint="cs"/>
          <w:sz w:val="32"/>
          <w:szCs w:val="32"/>
          <w:rtl/>
        </w:rPr>
        <w:t>اخترت هذه الصيغة لعدة أسباب، منها:</w:t>
      </w:r>
    </w:p>
    <w:p w:rsidR="000D3D21" w:rsidRPr="00866D70" w:rsidRDefault="000D3D21" w:rsidP="000A76C7">
      <w:pPr>
        <w:pStyle w:val="afc"/>
        <w:numPr>
          <w:ilvl w:val="0"/>
          <w:numId w:val="275"/>
        </w:numPr>
        <w:spacing w:after="200"/>
        <w:ind w:left="849" w:hanging="283"/>
        <w:rPr>
          <w:rFonts w:ascii="Traditional Arabic" w:hAnsi="Traditional Arabic"/>
          <w:sz w:val="32"/>
          <w:szCs w:val="32"/>
        </w:rPr>
      </w:pPr>
      <w:r w:rsidRPr="00866D70">
        <w:rPr>
          <w:rFonts w:ascii="Traditional Arabic" w:hAnsi="Traditional Arabic" w:hint="cs"/>
          <w:sz w:val="32"/>
          <w:szCs w:val="32"/>
          <w:rtl/>
        </w:rPr>
        <w:t>شهرة القاعدة بهذه الصيغة عند علماء القواعد.</w:t>
      </w:r>
    </w:p>
    <w:p w:rsidR="000D3D21" w:rsidRDefault="000D3D21" w:rsidP="000A76C7">
      <w:pPr>
        <w:pStyle w:val="afc"/>
        <w:numPr>
          <w:ilvl w:val="0"/>
          <w:numId w:val="275"/>
        </w:numPr>
        <w:spacing w:after="200"/>
        <w:ind w:left="849" w:hanging="283"/>
        <w:rPr>
          <w:rFonts w:ascii="Traditional Arabic" w:hAnsi="Traditional Arabic"/>
        </w:rPr>
      </w:pPr>
      <w:r w:rsidRPr="00007A1E">
        <w:rPr>
          <w:rFonts w:ascii="Traditional Arabic" w:hAnsi="Traditional Arabic" w:hint="cs"/>
          <w:sz w:val="32"/>
          <w:szCs w:val="32"/>
          <w:rtl/>
        </w:rPr>
        <w:t>دقة هذه الصيغة من جهة دلالتها على موضوع القاعدة من حيث التيسير عند وجود المشقة الطارئة، بخلاف الألفاظ الأخرى فإنها تدل على ي</w:t>
      </w:r>
      <w:r w:rsidRPr="00007A1E">
        <w:rPr>
          <w:rFonts w:ascii="Traditional Arabic" w:hAnsi="Traditional Arabic"/>
          <w:sz w:val="32"/>
          <w:szCs w:val="32"/>
          <w:rtl/>
        </w:rPr>
        <w:t>ُ</w:t>
      </w:r>
      <w:r w:rsidRPr="00007A1E">
        <w:rPr>
          <w:rFonts w:ascii="Traditional Arabic" w:hAnsi="Traditional Arabic" w:hint="cs"/>
          <w:sz w:val="32"/>
          <w:szCs w:val="32"/>
          <w:rtl/>
        </w:rPr>
        <w:t>س</w:t>
      </w:r>
      <w:r w:rsidRPr="00007A1E">
        <w:rPr>
          <w:rFonts w:ascii="Traditional Arabic" w:hAnsi="Traditional Arabic"/>
          <w:sz w:val="32"/>
          <w:szCs w:val="32"/>
          <w:rtl/>
        </w:rPr>
        <w:t>ْ</w:t>
      </w:r>
      <w:r w:rsidRPr="00007A1E">
        <w:rPr>
          <w:rFonts w:ascii="Traditional Arabic" w:hAnsi="Traditional Arabic" w:hint="cs"/>
          <w:sz w:val="32"/>
          <w:szCs w:val="32"/>
          <w:rtl/>
        </w:rPr>
        <w:t>ر الشريعة ونفي الحرج مطلقا؛ إذ تشمل التيسير الأصلي والتيسير الطارئ</w:t>
      </w:r>
      <w:r>
        <w:rPr>
          <w:rFonts w:ascii="Traditional Arabic" w:hAnsi="Traditional Arabic" w:hint="cs"/>
          <w:rtl/>
        </w:rPr>
        <w:t>.</w:t>
      </w:r>
    </w:p>
    <w:p w:rsidR="000D3D21" w:rsidRPr="00866D70" w:rsidRDefault="000D3D21" w:rsidP="000A76C7">
      <w:pPr>
        <w:pStyle w:val="afc"/>
        <w:numPr>
          <w:ilvl w:val="0"/>
          <w:numId w:val="275"/>
        </w:numPr>
        <w:spacing w:after="200"/>
        <w:ind w:left="849" w:hanging="283"/>
        <w:rPr>
          <w:rFonts w:ascii="Traditional Arabic" w:hAnsi="Traditional Arabic"/>
          <w:sz w:val="32"/>
          <w:szCs w:val="32"/>
        </w:rPr>
      </w:pPr>
      <w:r w:rsidRPr="00866D70">
        <w:rPr>
          <w:rFonts w:ascii="Traditional Arabic" w:hAnsi="Traditional Arabic" w:hint="cs"/>
          <w:sz w:val="32"/>
          <w:szCs w:val="32"/>
          <w:rtl/>
        </w:rPr>
        <w:t>ذِكر الشيخ لهذه القاعدة بهذه الصيغة في مواضع كثيرة.</w:t>
      </w:r>
    </w:p>
    <w:p w:rsidR="000D3D21" w:rsidRPr="00866D70" w:rsidRDefault="000D3D21" w:rsidP="000A76C7">
      <w:pPr>
        <w:pStyle w:val="afc"/>
        <w:numPr>
          <w:ilvl w:val="0"/>
          <w:numId w:val="275"/>
        </w:numPr>
        <w:spacing w:after="200"/>
        <w:ind w:left="849" w:hanging="283"/>
        <w:rPr>
          <w:rFonts w:ascii="Traditional Arabic" w:hAnsi="Traditional Arabic"/>
          <w:sz w:val="32"/>
          <w:szCs w:val="32"/>
        </w:rPr>
      </w:pPr>
      <w:r w:rsidRPr="00866D70">
        <w:rPr>
          <w:rFonts w:ascii="Traditional Arabic" w:hAnsi="Traditional Arabic" w:hint="cs"/>
          <w:sz w:val="32"/>
          <w:szCs w:val="32"/>
          <w:rtl/>
        </w:rPr>
        <w:t>كون الشيخ</w:t>
      </w:r>
      <w:r>
        <w:rPr>
          <w:rFonts w:ascii="Traditional Arabic" w:hAnsi="Traditional Arabic" w:hint="cs"/>
          <w:sz w:val="32"/>
          <w:szCs w:val="32"/>
          <w:rtl/>
        </w:rPr>
        <w:t>_رحمه الله_</w:t>
      </w:r>
      <w:r w:rsidRPr="00866D70">
        <w:rPr>
          <w:rFonts w:ascii="Traditional Arabic" w:hAnsi="Traditional Arabic" w:hint="cs"/>
          <w:sz w:val="32"/>
          <w:szCs w:val="32"/>
          <w:rtl/>
        </w:rPr>
        <w:t xml:space="preserve"> رجح هذه الصيغة على بعض الصيغ حيث قال: "ولهذا قال بعض العلماء معبراً عن هذه القاعدة: (المشقة تجلب التيسير)، وقال بعضهم: (كلما ضاق الأمر اتسع)، </w:t>
      </w:r>
      <w:r w:rsidRPr="00866D70">
        <w:rPr>
          <w:rFonts w:ascii="Traditional Arabic" w:hAnsi="Traditional Arabic"/>
          <w:sz w:val="32"/>
          <w:szCs w:val="32"/>
          <w:rtl/>
        </w:rPr>
        <w:t xml:space="preserve">لكن العبارة التي ذكرنا في النظم والتي بعدها [أي المشقة تجلب </w:t>
      </w:r>
      <w:r>
        <w:rPr>
          <w:rFonts w:ascii="Traditional Arabic" w:hAnsi="Traditional Arabic"/>
          <w:sz w:val="32"/>
          <w:szCs w:val="32"/>
          <w:rtl/>
        </w:rPr>
        <w:t>التيسير</w:t>
      </w:r>
      <w:r w:rsidRPr="00866D70">
        <w:rPr>
          <w:rFonts w:ascii="Traditional Arabic" w:hAnsi="Traditional Arabic"/>
          <w:sz w:val="32"/>
          <w:szCs w:val="32"/>
          <w:rtl/>
        </w:rPr>
        <w:t>] أحسن من الأخيرة، لأنك إذا قلت :كلما ضاق الأمر اتسع، كان بين العبارتين تضاد، لكن إذا قلت: المشقة تجلب التيسير، صار الكلام سلِسا</w:t>
      </w:r>
      <w:r w:rsidRPr="00866D70">
        <w:rPr>
          <w:rFonts w:ascii="Traditional Arabic" w:hAnsi="Traditional Arabic" w:hint="cs"/>
          <w:sz w:val="32"/>
          <w:szCs w:val="32"/>
          <w:rtl/>
        </w:rPr>
        <w:t>ً</w:t>
      </w:r>
      <w:r w:rsidRPr="00866D70">
        <w:rPr>
          <w:rFonts w:ascii="Traditional Arabic" w:hAnsi="Traditional Arabic"/>
          <w:sz w:val="32"/>
          <w:szCs w:val="32"/>
          <w:rtl/>
        </w:rPr>
        <w:t>، ولاتناق</w:t>
      </w:r>
      <w:r w:rsidRPr="00866D70">
        <w:rPr>
          <w:rFonts w:ascii="Traditional Arabic" w:hAnsi="Traditional Arabic" w:hint="cs"/>
          <w:sz w:val="32"/>
          <w:szCs w:val="32"/>
          <w:rtl/>
        </w:rPr>
        <w:t>ُ</w:t>
      </w:r>
      <w:r w:rsidRPr="00866D70">
        <w:rPr>
          <w:rFonts w:ascii="Traditional Arabic" w:hAnsi="Traditional Arabic"/>
          <w:sz w:val="32"/>
          <w:szCs w:val="32"/>
          <w:rtl/>
        </w:rPr>
        <w:t>ض فيه، لاظاهرا ول</w:t>
      </w:r>
      <w:r w:rsidRPr="00866D70">
        <w:rPr>
          <w:rFonts w:ascii="Traditional Arabic" w:hAnsi="Traditional Arabic" w:hint="cs"/>
          <w:sz w:val="32"/>
          <w:szCs w:val="32"/>
          <w:rtl/>
        </w:rPr>
        <w:t>ا خفيّاً). شرح منظومة أصول الفقه وقواعده (66).</w:t>
      </w:r>
    </w:p>
    <w:p w:rsidR="000D3D21" w:rsidRPr="0034747A" w:rsidRDefault="000D3D21" w:rsidP="0034747A">
      <w:pPr>
        <w:pStyle w:val="afc"/>
        <w:numPr>
          <w:ilvl w:val="0"/>
          <w:numId w:val="275"/>
        </w:numPr>
        <w:spacing w:after="200"/>
        <w:ind w:left="849" w:hanging="284"/>
        <w:rPr>
          <w:rFonts w:ascii="Traditional Arabic" w:hAnsi="Traditional Arabic"/>
          <w:sz w:val="32"/>
          <w:szCs w:val="32"/>
          <w:rtl/>
        </w:rPr>
      </w:pPr>
      <w:r w:rsidRPr="0034747A">
        <w:rPr>
          <w:rFonts w:ascii="Traditional Arabic" w:hAnsi="Traditional Arabic" w:hint="cs"/>
          <w:sz w:val="32"/>
          <w:szCs w:val="32"/>
          <w:rtl/>
        </w:rPr>
        <w:t>اللفظ الذي ورد في منظومة أصول الفقه وقواعده للشيخ -</w:t>
      </w:r>
      <w:r w:rsidRPr="0034747A">
        <w:rPr>
          <w:rFonts w:ascii="Traditional Arabic" w:hAnsi="Traditional Arabic" w:cs="CTraditional Arabic" w:hint="cs"/>
          <w:sz w:val="32"/>
          <w:szCs w:val="32"/>
          <w:rtl/>
        </w:rPr>
        <w:t>/</w:t>
      </w:r>
      <w:r w:rsidRPr="0034747A">
        <w:rPr>
          <w:rFonts w:ascii="Traditional Arabic" w:hAnsi="Traditional Arabic" w:hint="cs"/>
          <w:sz w:val="32"/>
          <w:szCs w:val="32"/>
          <w:rtl/>
        </w:rPr>
        <w:t>-: (فاجلب لتيسير لكل ذي شطط) -وإن كان الشيخ قد استحسنه أيضا- إلا أن صيغة (المشقة تجلب التيسير) أقرب إلى صياغة القواعد من جهة الاختصار والوضوح.</w:t>
      </w:r>
    </w:p>
  </w:footnote>
  <w:footnote w:id="1995">
    <w:p w:rsidR="000D3D21" w:rsidRPr="00D53ACD" w:rsidRDefault="000D3D21" w:rsidP="007A0DDE">
      <w:pPr>
        <w:pStyle w:val="a7"/>
        <w:ind w:left="329" w:hanging="329"/>
        <w:rPr>
          <w:rFonts w:ascii="Traditional Arabic" w:hAnsi="Traditional Arabic"/>
          <w:sz w:val="32"/>
          <w:szCs w:val="32"/>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sidRPr="00D53ACD">
        <w:rPr>
          <w:rFonts w:ascii="Traditional Arabic" w:hAnsi="Traditional Arabic" w:hint="cs"/>
          <w:sz w:val="32"/>
          <w:szCs w:val="32"/>
          <w:rtl/>
        </w:rPr>
        <w:t>)</w:t>
      </w:r>
      <w:r>
        <w:rPr>
          <w:rFonts w:ascii="Traditional Arabic" w:hAnsi="Traditional Arabic" w:hint="cs"/>
          <w:sz w:val="32"/>
          <w:szCs w:val="32"/>
          <w:rtl/>
        </w:rPr>
        <w:t xml:space="preserve"> </w:t>
      </w:r>
      <w:r w:rsidRPr="00D53ACD">
        <w:rPr>
          <w:rFonts w:ascii="Traditional Arabic" w:hAnsi="Traditional Arabic" w:hint="cs"/>
          <w:sz w:val="32"/>
          <w:szCs w:val="32"/>
          <w:rtl/>
        </w:rPr>
        <w:t>الشرح الممتع (1/37).</w:t>
      </w:r>
    </w:p>
  </w:footnote>
  <w:footnote w:id="1996">
    <w:p w:rsidR="000D3D21" w:rsidRPr="00D53ACD" w:rsidRDefault="000D3D21" w:rsidP="009820D6">
      <w:pPr>
        <w:pStyle w:val="a7"/>
        <w:ind w:left="329" w:hanging="329"/>
        <w:rPr>
          <w:rFonts w:ascii="Traditional Arabic" w:hAnsi="Traditional Arabic"/>
          <w:sz w:val="32"/>
          <w:szCs w:val="32"/>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sidRPr="00D53ACD">
        <w:rPr>
          <w:rFonts w:ascii="Traditional Arabic" w:hAnsi="Traditional Arabic" w:hint="cs"/>
          <w:sz w:val="32"/>
          <w:szCs w:val="32"/>
          <w:rtl/>
        </w:rPr>
        <w:t>)</w:t>
      </w:r>
      <w:r>
        <w:rPr>
          <w:rFonts w:ascii="Traditional Arabic" w:hAnsi="Traditional Arabic" w:hint="cs"/>
          <w:sz w:val="32"/>
          <w:szCs w:val="32"/>
          <w:rtl/>
        </w:rPr>
        <w:t xml:space="preserve"> المرجع السابق</w:t>
      </w:r>
      <w:r w:rsidRPr="00D53ACD">
        <w:rPr>
          <w:rFonts w:ascii="Traditional Arabic" w:hAnsi="Traditional Arabic" w:hint="cs"/>
          <w:sz w:val="32"/>
          <w:szCs w:val="32"/>
          <w:rtl/>
        </w:rPr>
        <w:t xml:space="preserve"> (1/288).</w:t>
      </w:r>
    </w:p>
  </w:footnote>
  <w:footnote w:id="1997">
    <w:p w:rsidR="000D3D21" w:rsidRPr="00D53ACD" w:rsidRDefault="000D3D21" w:rsidP="00866D70">
      <w:pPr>
        <w:pStyle w:val="a7"/>
        <w:ind w:left="329" w:hanging="329"/>
        <w:rPr>
          <w:rFonts w:ascii="Traditional Arabic" w:hAnsi="Traditional Arabic"/>
          <w:sz w:val="32"/>
          <w:szCs w:val="32"/>
          <w:rtl/>
        </w:rPr>
      </w:pPr>
      <w:r w:rsidRPr="00D53ACD">
        <w:rPr>
          <w:rFonts w:ascii="Traditional Arabic" w:hAnsi="Traditional Arabic"/>
          <w:sz w:val="32"/>
          <w:szCs w:val="32"/>
          <w:rtl/>
        </w:rPr>
        <w:t>(</w:t>
      </w:r>
      <w:r w:rsidRPr="00D53ACD">
        <w:rPr>
          <w:rStyle w:val="af1"/>
          <w:rFonts w:ascii="Traditional Arabic" w:hAnsi="Traditional Arabic"/>
          <w:sz w:val="32"/>
          <w:szCs w:val="32"/>
          <w:vertAlign w:val="baseline"/>
          <w:rtl/>
        </w:rPr>
        <w:footnoteRef/>
      </w:r>
      <w:r w:rsidRPr="00D53ACD">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D53ACD">
        <w:rPr>
          <w:rFonts w:ascii="Traditional Arabic" w:hAnsi="Traditional Arabic"/>
          <w:sz w:val="32"/>
          <w:szCs w:val="32"/>
          <w:rtl/>
        </w:rPr>
        <w:t xml:space="preserve"> </w:t>
      </w:r>
      <w:r w:rsidRPr="00D53ACD">
        <w:rPr>
          <w:rFonts w:ascii="Traditional Arabic" w:hAnsi="Traditional Arabic" w:hint="cs"/>
          <w:sz w:val="32"/>
          <w:szCs w:val="32"/>
          <w:rtl/>
        </w:rPr>
        <w:t>(2/206)، و(4/310،324</w:t>
      </w:r>
      <w:r w:rsidRPr="00D53ACD">
        <w:rPr>
          <w:rFonts w:ascii="Traditional Arabic" w:hAnsi="Traditional Arabic"/>
          <w:sz w:val="32"/>
          <w:szCs w:val="32"/>
          <w:rtl/>
        </w:rPr>
        <w:t>),</w:t>
      </w:r>
      <w:r w:rsidRPr="00D53ACD">
        <w:rPr>
          <w:rFonts w:ascii="Traditional Arabic" w:hAnsi="Traditional Arabic" w:hint="cs"/>
          <w:sz w:val="32"/>
          <w:szCs w:val="32"/>
          <w:rtl/>
        </w:rPr>
        <w:t xml:space="preserve"> و(6/484)،</w:t>
      </w:r>
      <w:r w:rsidRPr="00D53ACD">
        <w:rPr>
          <w:rFonts w:ascii="Traditional Arabic" w:hAnsi="Traditional Arabic"/>
          <w:sz w:val="32"/>
          <w:szCs w:val="32"/>
          <w:rtl/>
        </w:rPr>
        <w:t xml:space="preserve"> و(7/353), وشرح منظومة أصول الفقه وقواعده (67) , وفتح ذ</w:t>
      </w:r>
      <w:r>
        <w:rPr>
          <w:rFonts w:ascii="Traditional Arabic" w:hAnsi="Traditional Arabic"/>
          <w:sz w:val="32"/>
          <w:szCs w:val="32"/>
          <w:rtl/>
        </w:rPr>
        <w:t xml:space="preserve">ي الجلال والإكرام </w:t>
      </w:r>
      <w:r w:rsidRPr="00D53ACD">
        <w:rPr>
          <w:rFonts w:ascii="Traditional Arabic" w:hAnsi="Traditional Arabic" w:hint="cs"/>
          <w:sz w:val="32"/>
          <w:szCs w:val="32"/>
          <w:rtl/>
        </w:rPr>
        <w:t>(4/55)</w:t>
      </w:r>
      <w:r w:rsidRPr="00D53ACD">
        <w:rPr>
          <w:rFonts w:ascii="Traditional Arabic" w:hAnsi="Traditional Arabic"/>
          <w:sz w:val="32"/>
          <w:szCs w:val="32"/>
          <w:rtl/>
        </w:rPr>
        <w:t>,</w:t>
      </w:r>
      <w:r>
        <w:rPr>
          <w:rFonts w:ascii="Traditional Arabic" w:hAnsi="Traditional Arabic" w:hint="cs"/>
          <w:sz w:val="32"/>
          <w:szCs w:val="32"/>
          <w:rtl/>
        </w:rPr>
        <w:t xml:space="preserve"> </w:t>
      </w:r>
      <w:r w:rsidRPr="00D53ACD">
        <w:rPr>
          <w:rFonts w:ascii="Traditional Arabic" w:hAnsi="Traditional Arabic"/>
          <w:sz w:val="32"/>
          <w:szCs w:val="32"/>
          <w:rtl/>
        </w:rPr>
        <w:t>و</w:t>
      </w:r>
      <w:r>
        <w:rPr>
          <w:rFonts w:ascii="Traditional Arabic" w:hAnsi="Traditional Arabic" w:hint="cs"/>
          <w:sz w:val="32"/>
          <w:szCs w:val="32"/>
          <w:rtl/>
        </w:rPr>
        <w:t>ال</w:t>
      </w:r>
      <w:r>
        <w:rPr>
          <w:rFonts w:ascii="Traditional Arabic" w:hAnsi="Traditional Arabic"/>
          <w:sz w:val="32"/>
          <w:szCs w:val="32"/>
          <w:rtl/>
        </w:rPr>
        <w:t>تعليق</w:t>
      </w:r>
      <w:r w:rsidRPr="00D53ACD">
        <w:rPr>
          <w:rFonts w:ascii="Traditional Arabic" w:hAnsi="Traditional Arabic" w:hint="cs"/>
          <w:sz w:val="32"/>
          <w:szCs w:val="32"/>
          <w:rtl/>
        </w:rPr>
        <w:t xml:space="preserve"> </w:t>
      </w:r>
      <w:r w:rsidRPr="00D53ACD">
        <w:rPr>
          <w:rFonts w:ascii="Traditional Arabic" w:hAnsi="Traditional Arabic"/>
          <w:sz w:val="32"/>
          <w:szCs w:val="32"/>
          <w:rtl/>
        </w:rPr>
        <w:t>على القو</w:t>
      </w:r>
      <w:r>
        <w:rPr>
          <w:rFonts w:ascii="Traditional Arabic" w:hAnsi="Traditional Arabic"/>
          <w:sz w:val="32"/>
          <w:szCs w:val="32"/>
          <w:rtl/>
        </w:rPr>
        <w:t>اعد والأصول الجامعة</w:t>
      </w:r>
      <w:r w:rsidRPr="00D53ACD">
        <w:rPr>
          <w:rFonts w:ascii="Traditional Arabic" w:hAnsi="Traditional Arabic"/>
          <w:sz w:val="32"/>
          <w:szCs w:val="32"/>
          <w:rtl/>
        </w:rPr>
        <w:t xml:space="preserve"> (56)</w:t>
      </w:r>
      <w:r w:rsidRPr="00D53ACD">
        <w:rPr>
          <w:rFonts w:ascii="Traditional Arabic" w:hAnsi="Traditional Arabic" w:hint="cs"/>
          <w:sz w:val="32"/>
          <w:szCs w:val="32"/>
          <w:rtl/>
        </w:rPr>
        <w:t>، ودروس وفتاوى الحرم المكي (198)، وتفسير سورة النساء (1</w:t>
      </w:r>
      <w:r>
        <w:rPr>
          <w:rFonts w:ascii="Traditional Arabic" w:hAnsi="Traditional Arabic" w:hint="cs"/>
          <w:sz w:val="32"/>
          <w:szCs w:val="32"/>
          <w:rtl/>
        </w:rPr>
        <w:t>/353)، ومجموع فتاوى ورسائل</w:t>
      </w:r>
      <w:r w:rsidRPr="00D53ACD">
        <w:rPr>
          <w:rFonts w:ascii="Traditional Arabic" w:hAnsi="Traditional Arabic" w:hint="cs"/>
          <w:sz w:val="32"/>
          <w:szCs w:val="32"/>
          <w:rtl/>
        </w:rPr>
        <w:t xml:space="preserve"> ابن عثيمين (12/253)، والتفسير الثمين للعلامة العثيمين (6/62)، وتفسير آية الطهارة من سورة المائدة (44-45).</w:t>
      </w:r>
    </w:p>
  </w:footnote>
  <w:footnote w:id="1998">
    <w:p w:rsidR="000D3D21" w:rsidRPr="00D53ACD" w:rsidRDefault="000D3D21" w:rsidP="007A0DDE">
      <w:pPr>
        <w:pStyle w:val="a7"/>
        <w:ind w:left="329" w:hanging="329"/>
        <w:rPr>
          <w:rFonts w:ascii="Traditional Arabic" w:hAnsi="Traditional Arabic"/>
          <w:sz w:val="32"/>
          <w:szCs w:val="32"/>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sidRPr="00D53ACD">
        <w:rPr>
          <w:rFonts w:ascii="Traditional Arabic" w:hAnsi="Traditional Arabic" w:hint="cs"/>
          <w:sz w:val="32"/>
          <w:szCs w:val="32"/>
          <w:rtl/>
        </w:rPr>
        <w:t xml:space="preserve">) </w:t>
      </w:r>
      <w:r>
        <w:rPr>
          <w:rFonts w:ascii="Traditional Arabic" w:hAnsi="Traditional Arabic" w:hint="cs"/>
          <w:sz w:val="32"/>
          <w:szCs w:val="32"/>
          <w:rtl/>
        </w:rPr>
        <w:t>التعليق</w:t>
      </w:r>
      <w:r w:rsidRPr="00D53ACD">
        <w:rPr>
          <w:rFonts w:ascii="Traditional Arabic" w:hAnsi="Traditional Arabic" w:hint="cs"/>
          <w:sz w:val="32"/>
          <w:szCs w:val="32"/>
          <w:rtl/>
        </w:rPr>
        <w:t xml:space="preserve"> على القواعد والأصول الجامعة (8).</w:t>
      </w:r>
    </w:p>
  </w:footnote>
  <w:footnote w:id="1999">
    <w:p w:rsidR="000D3D21" w:rsidRPr="00D53ACD" w:rsidRDefault="000D3D21" w:rsidP="007A0DDE">
      <w:pPr>
        <w:pStyle w:val="a7"/>
        <w:ind w:left="329" w:hanging="329"/>
        <w:rPr>
          <w:rFonts w:ascii="Traditional Arabic" w:hAnsi="Traditional Arabic"/>
          <w:sz w:val="32"/>
          <w:szCs w:val="32"/>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sidRPr="00D53ACD">
        <w:rPr>
          <w:rFonts w:ascii="Traditional Arabic" w:hAnsi="Traditional Arabic" w:hint="cs"/>
          <w:sz w:val="32"/>
          <w:szCs w:val="32"/>
          <w:rtl/>
        </w:rPr>
        <w:t>)</w:t>
      </w:r>
      <w:r>
        <w:rPr>
          <w:rFonts w:ascii="Traditional Arabic" w:hAnsi="Traditional Arabic" w:hint="cs"/>
          <w:sz w:val="32"/>
          <w:szCs w:val="32"/>
          <w:rtl/>
        </w:rPr>
        <w:t xml:space="preserve"> الشرح الممتع</w:t>
      </w:r>
      <w:r w:rsidRPr="00D53ACD">
        <w:rPr>
          <w:rFonts w:ascii="Traditional Arabic" w:hAnsi="Traditional Arabic" w:hint="cs"/>
          <w:sz w:val="32"/>
          <w:szCs w:val="32"/>
          <w:rtl/>
        </w:rPr>
        <w:t xml:space="preserve"> (2/225)، وشرح رياض الصالحين (2/223).</w:t>
      </w:r>
    </w:p>
  </w:footnote>
  <w:footnote w:id="2000">
    <w:p w:rsidR="000D3D21" w:rsidRPr="00D53ACD" w:rsidRDefault="000D3D21" w:rsidP="007A0DDE">
      <w:pPr>
        <w:pStyle w:val="a7"/>
        <w:ind w:left="329" w:hanging="329"/>
        <w:rPr>
          <w:rFonts w:ascii="Traditional Arabic" w:hAnsi="Traditional Arabic"/>
          <w:sz w:val="32"/>
          <w:szCs w:val="32"/>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Pr>
          <w:rFonts w:ascii="Traditional Arabic" w:hAnsi="Traditional Arabic" w:hint="cs"/>
          <w:sz w:val="32"/>
          <w:szCs w:val="32"/>
          <w:rtl/>
        </w:rPr>
        <w:t xml:space="preserve">) المرجع السابق </w:t>
      </w:r>
      <w:r w:rsidRPr="00D53ACD">
        <w:rPr>
          <w:rFonts w:ascii="Traditional Arabic" w:hAnsi="Traditional Arabic" w:hint="cs"/>
          <w:sz w:val="32"/>
          <w:szCs w:val="32"/>
          <w:rtl/>
        </w:rPr>
        <w:t>(4/324), و(6/484).</w:t>
      </w:r>
    </w:p>
  </w:footnote>
  <w:footnote w:id="2001">
    <w:p w:rsidR="000D3D21" w:rsidRPr="00D53ACD" w:rsidRDefault="000D3D21" w:rsidP="007A0DDE">
      <w:pPr>
        <w:pStyle w:val="a7"/>
        <w:ind w:left="329" w:hanging="329"/>
        <w:rPr>
          <w:rFonts w:ascii="Traditional Arabic" w:hAnsi="Traditional Arabic"/>
          <w:sz w:val="32"/>
          <w:szCs w:val="32"/>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sidRPr="00D53ACD">
        <w:rPr>
          <w:rFonts w:ascii="Traditional Arabic" w:hAnsi="Traditional Arabic" w:hint="cs"/>
          <w:sz w:val="32"/>
          <w:szCs w:val="32"/>
          <w:rtl/>
        </w:rPr>
        <w:t>) منظومة أصول الفقه وقواعده</w:t>
      </w:r>
      <w:r>
        <w:rPr>
          <w:rFonts w:ascii="Traditional Arabic" w:hAnsi="Traditional Arabic" w:hint="cs"/>
          <w:sz w:val="32"/>
          <w:szCs w:val="32"/>
          <w:rtl/>
        </w:rPr>
        <w:t xml:space="preserve"> (6</w:t>
      </w:r>
      <w:r w:rsidRPr="00D53ACD">
        <w:rPr>
          <w:rFonts w:ascii="Traditional Arabic" w:hAnsi="Traditional Arabic" w:hint="cs"/>
          <w:sz w:val="32"/>
          <w:szCs w:val="32"/>
          <w:rtl/>
        </w:rPr>
        <w:t>).</w:t>
      </w:r>
    </w:p>
  </w:footnote>
  <w:footnote w:id="2002">
    <w:p w:rsidR="000D3D21" w:rsidRPr="00FF0604" w:rsidRDefault="000D3D21" w:rsidP="0034747A">
      <w:pPr>
        <w:pStyle w:val="a7"/>
        <w:ind w:left="329" w:hanging="329"/>
        <w:rPr>
          <w:rFonts w:ascii="Traditional Arabic" w:hAnsi="Traditional Arabic"/>
          <w:sz w:val="24"/>
          <w:szCs w:val="24"/>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sidRPr="00D53ACD">
        <w:rPr>
          <w:rFonts w:ascii="Traditional Arabic" w:hAnsi="Traditional Arabic" w:hint="cs"/>
          <w:sz w:val="32"/>
          <w:szCs w:val="32"/>
          <w:rtl/>
        </w:rPr>
        <w:t>)</w:t>
      </w:r>
      <w:r>
        <w:rPr>
          <w:rFonts w:ascii="Traditional Arabic" w:hAnsi="Traditional Arabic" w:hint="cs"/>
          <w:sz w:val="32"/>
          <w:szCs w:val="32"/>
          <w:rtl/>
        </w:rPr>
        <w:t xml:space="preserve"> </w:t>
      </w:r>
      <w:r w:rsidRPr="00D53ACD">
        <w:rPr>
          <w:rFonts w:ascii="Traditional Arabic" w:hAnsi="Traditional Arabic" w:hint="cs"/>
          <w:sz w:val="32"/>
          <w:szCs w:val="32"/>
          <w:rtl/>
        </w:rPr>
        <w:t xml:space="preserve">الأشباه والنظائر </w:t>
      </w:r>
      <w:r>
        <w:rPr>
          <w:rFonts w:ascii="Traditional Arabic" w:hAnsi="Traditional Arabic" w:hint="cs"/>
          <w:sz w:val="32"/>
          <w:szCs w:val="32"/>
          <w:rtl/>
        </w:rPr>
        <w:t xml:space="preserve">لابن نجيم (64)، </w:t>
      </w:r>
      <w:r w:rsidRPr="00D53ACD">
        <w:rPr>
          <w:rFonts w:ascii="Traditional Arabic" w:hAnsi="Traditional Arabic" w:hint="cs"/>
          <w:sz w:val="32"/>
          <w:szCs w:val="32"/>
          <w:rtl/>
        </w:rPr>
        <w:t>وشرح القواعد الفقهية للزرقا (157),</w:t>
      </w:r>
      <w:r>
        <w:rPr>
          <w:rFonts w:ascii="Traditional Arabic" w:hAnsi="Traditional Arabic" w:hint="cs"/>
          <w:sz w:val="32"/>
          <w:szCs w:val="32"/>
          <w:rtl/>
        </w:rPr>
        <w:t xml:space="preserve"> </w:t>
      </w:r>
      <w:r w:rsidRPr="00D53ACD">
        <w:rPr>
          <w:rFonts w:ascii="Traditional Arabic" w:hAnsi="Traditional Arabic" w:hint="cs"/>
          <w:sz w:val="32"/>
          <w:szCs w:val="32"/>
          <w:rtl/>
        </w:rPr>
        <w:t>والمدخل الفقهي العام للزرقا (2/1001),</w:t>
      </w:r>
      <w:r>
        <w:rPr>
          <w:rFonts w:ascii="Traditional Arabic" w:hAnsi="Traditional Arabic" w:hint="cs"/>
          <w:sz w:val="32"/>
          <w:szCs w:val="32"/>
          <w:rtl/>
        </w:rPr>
        <w:t xml:space="preserve"> والوجيز للبورنو(218)</w:t>
      </w:r>
      <w:r w:rsidRPr="00D53ACD">
        <w:rPr>
          <w:rFonts w:ascii="Traditional Arabic" w:hAnsi="Traditional Arabic" w:hint="cs"/>
          <w:sz w:val="32"/>
          <w:szCs w:val="32"/>
          <w:rtl/>
        </w:rPr>
        <w:t>,</w:t>
      </w:r>
      <w:r>
        <w:rPr>
          <w:rFonts w:ascii="Traditional Arabic" w:hAnsi="Traditional Arabic" w:hint="cs"/>
          <w:sz w:val="32"/>
          <w:szCs w:val="32"/>
          <w:rtl/>
        </w:rPr>
        <w:t xml:space="preserve"> </w:t>
      </w:r>
      <w:r w:rsidRPr="00D53ACD">
        <w:rPr>
          <w:rFonts w:ascii="Traditional Arabic" w:hAnsi="Traditional Arabic" w:hint="cs"/>
          <w:sz w:val="32"/>
          <w:szCs w:val="32"/>
          <w:rtl/>
        </w:rPr>
        <w:t>والأشباه والنظائر للسبكي (1/48)</w:t>
      </w:r>
      <w:r>
        <w:rPr>
          <w:rFonts w:ascii="Traditional Arabic" w:hAnsi="Traditional Arabic" w:hint="cs"/>
          <w:sz w:val="32"/>
          <w:szCs w:val="32"/>
          <w:rtl/>
        </w:rPr>
        <w:t>,</w:t>
      </w:r>
      <w:r w:rsidRPr="00D53ACD">
        <w:rPr>
          <w:rFonts w:ascii="Traditional Arabic" w:hAnsi="Traditional Arabic" w:hint="cs"/>
          <w:sz w:val="32"/>
          <w:szCs w:val="32"/>
          <w:rtl/>
        </w:rPr>
        <w:t xml:space="preserve"> </w:t>
      </w:r>
      <w:r>
        <w:rPr>
          <w:rFonts w:ascii="Traditional Arabic" w:hAnsi="Traditional Arabic" w:hint="cs"/>
          <w:sz w:val="32"/>
          <w:szCs w:val="32"/>
          <w:rtl/>
        </w:rPr>
        <w:t>والمجموع المذهب</w:t>
      </w:r>
      <w:r w:rsidRPr="00D53ACD">
        <w:rPr>
          <w:rFonts w:ascii="Traditional Arabic" w:hAnsi="Traditional Arabic" w:hint="cs"/>
          <w:sz w:val="32"/>
          <w:szCs w:val="32"/>
          <w:rtl/>
        </w:rPr>
        <w:t xml:space="preserve"> (1/97),</w:t>
      </w:r>
      <w:r>
        <w:rPr>
          <w:rFonts w:ascii="Traditional Arabic" w:hAnsi="Traditional Arabic" w:hint="cs"/>
          <w:sz w:val="32"/>
          <w:szCs w:val="32"/>
          <w:rtl/>
        </w:rPr>
        <w:t xml:space="preserve"> والمنثور</w:t>
      </w:r>
      <w:r w:rsidRPr="00D53ACD">
        <w:rPr>
          <w:rFonts w:ascii="Traditional Arabic" w:hAnsi="Traditional Arabic" w:hint="cs"/>
          <w:sz w:val="32"/>
          <w:szCs w:val="32"/>
          <w:rtl/>
        </w:rPr>
        <w:t xml:space="preserve"> للزركشي (3/169),</w:t>
      </w:r>
      <w:r>
        <w:rPr>
          <w:rFonts w:ascii="Traditional Arabic" w:hAnsi="Traditional Arabic" w:hint="cs"/>
          <w:sz w:val="32"/>
          <w:szCs w:val="32"/>
          <w:rtl/>
        </w:rPr>
        <w:t xml:space="preserve"> والقواعد ل</w:t>
      </w:r>
      <w:r w:rsidRPr="00D53ACD">
        <w:rPr>
          <w:rFonts w:ascii="Traditional Arabic" w:hAnsi="Traditional Arabic" w:hint="cs"/>
          <w:sz w:val="32"/>
          <w:szCs w:val="32"/>
          <w:rtl/>
        </w:rPr>
        <w:t>لحصني (1/308),</w:t>
      </w:r>
      <w:r>
        <w:rPr>
          <w:rFonts w:ascii="Traditional Arabic" w:hAnsi="Traditional Arabic" w:hint="cs"/>
          <w:sz w:val="24"/>
          <w:szCs w:val="24"/>
          <w:rtl/>
        </w:rPr>
        <w:t xml:space="preserve"> </w:t>
      </w:r>
      <w:r w:rsidRPr="00EA6198">
        <w:rPr>
          <w:rFonts w:ascii="Traditional Arabic" w:hAnsi="Traditional Arabic" w:hint="cs"/>
          <w:sz w:val="32"/>
          <w:szCs w:val="32"/>
          <w:rtl/>
        </w:rPr>
        <w:t>والأشباه والنظائر</w:t>
      </w:r>
      <w:r>
        <w:rPr>
          <w:rFonts w:ascii="Traditional Arabic" w:hAnsi="Traditional Arabic" w:hint="cs"/>
          <w:sz w:val="32"/>
          <w:szCs w:val="32"/>
          <w:rtl/>
        </w:rPr>
        <w:t xml:space="preserve"> للسيوطي (128).</w:t>
      </w:r>
    </w:p>
  </w:footnote>
  <w:footnote w:id="2003">
    <w:p w:rsidR="000D3D21" w:rsidRPr="00D53ACD" w:rsidRDefault="000D3D21" w:rsidP="0034747A">
      <w:pPr>
        <w:pStyle w:val="a7"/>
        <w:ind w:left="329" w:hanging="329"/>
        <w:rPr>
          <w:rFonts w:ascii="Traditional Arabic" w:hAnsi="Traditional Arabic"/>
          <w:sz w:val="32"/>
          <w:szCs w:val="32"/>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sidRPr="00D53ACD">
        <w:rPr>
          <w:rFonts w:ascii="Traditional Arabic" w:hAnsi="Traditional Arabic" w:hint="cs"/>
          <w:sz w:val="32"/>
          <w:szCs w:val="32"/>
          <w:rtl/>
        </w:rPr>
        <w:t>)</w:t>
      </w:r>
      <w:r>
        <w:rPr>
          <w:rFonts w:ascii="Traditional Arabic" w:hAnsi="Traditional Arabic" w:hint="cs"/>
          <w:sz w:val="32"/>
          <w:szCs w:val="32"/>
          <w:rtl/>
        </w:rPr>
        <w:t xml:space="preserve"> </w:t>
      </w:r>
      <w:r w:rsidRPr="00D53ACD">
        <w:rPr>
          <w:rFonts w:ascii="Traditional Arabic" w:hAnsi="Traditional Arabic" w:hint="cs"/>
          <w:sz w:val="32"/>
          <w:szCs w:val="32"/>
          <w:rtl/>
        </w:rPr>
        <w:t>غمز عيون البصائ</w:t>
      </w:r>
      <w:r>
        <w:rPr>
          <w:rFonts w:ascii="Traditional Arabic" w:hAnsi="Traditional Arabic" w:hint="cs"/>
          <w:sz w:val="32"/>
          <w:szCs w:val="32"/>
          <w:rtl/>
        </w:rPr>
        <w:t>ر</w:t>
      </w:r>
      <w:r w:rsidRPr="00D53ACD">
        <w:rPr>
          <w:rFonts w:ascii="Traditional Arabic" w:hAnsi="Traditional Arabic" w:hint="cs"/>
          <w:sz w:val="32"/>
          <w:szCs w:val="32"/>
          <w:rtl/>
        </w:rPr>
        <w:t xml:space="preserve"> للحموي (1/137), </w:t>
      </w:r>
      <w:r>
        <w:rPr>
          <w:rFonts w:ascii="Traditional Arabic" w:hAnsi="Traditional Arabic" w:hint="cs"/>
          <w:sz w:val="32"/>
          <w:szCs w:val="32"/>
          <w:rtl/>
        </w:rPr>
        <w:t>و</w:t>
      </w:r>
      <w:r w:rsidRPr="00D53ACD">
        <w:rPr>
          <w:rFonts w:ascii="Traditional Arabic" w:hAnsi="Traditional Arabic" w:hint="cs"/>
          <w:sz w:val="32"/>
          <w:szCs w:val="32"/>
          <w:rtl/>
        </w:rPr>
        <w:t>شرح القواعد الفقهية للزرقا (111)</w:t>
      </w:r>
      <w:r>
        <w:rPr>
          <w:rFonts w:ascii="Traditional Arabic" w:hAnsi="Traditional Arabic" w:hint="cs"/>
          <w:sz w:val="32"/>
          <w:szCs w:val="32"/>
          <w:rtl/>
        </w:rPr>
        <w:t xml:space="preserve">، والوجيز للبورنو(230)، </w:t>
      </w:r>
      <w:r w:rsidRPr="00D53ACD">
        <w:rPr>
          <w:rFonts w:ascii="Traditional Arabic" w:hAnsi="Traditional Arabic" w:hint="cs"/>
          <w:sz w:val="32"/>
          <w:szCs w:val="32"/>
          <w:rtl/>
        </w:rPr>
        <w:t>وقواعد الأحكام للعز بن عبد السلام</w:t>
      </w:r>
      <w:r>
        <w:rPr>
          <w:rFonts w:ascii="Traditional Arabic" w:hAnsi="Traditional Arabic" w:hint="cs"/>
          <w:sz w:val="32"/>
          <w:szCs w:val="32"/>
          <w:rtl/>
        </w:rPr>
        <w:t xml:space="preserve"> </w:t>
      </w:r>
      <w:r w:rsidRPr="00D53ACD">
        <w:rPr>
          <w:rFonts w:ascii="Traditional Arabic" w:hAnsi="Traditional Arabic" w:hint="cs"/>
          <w:sz w:val="32"/>
          <w:szCs w:val="32"/>
          <w:rtl/>
        </w:rPr>
        <w:t>(2/192)</w:t>
      </w:r>
      <w:r>
        <w:rPr>
          <w:rFonts w:ascii="Traditional Arabic" w:hAnsi="Traditional Arabic" w:hint="cs"/>
          <w:sz w:val="32"/>
          <w:szCs w:val="32"/>
          <w:rtl/>
        </w:rPr>
        <w:t xml:space="preserve">, </w:t>
      </w:r>
      <w:r w:rsidRPr="00D53ACD">
        <w:rPr>
          <w:rFonts w:ascii="Traditional Arabic" w:hAnsi="Traditional Arabic" w:hint="cs"/>
          <w:sz w:val="32"/>
          <w:szCs w:val="32"/>
          <w:rtl/>
        </w:rPr>
        <w:t xml:space="preserve">والمنثور للزركشي (1/120), </w:t>
      </w:r>
      <w:r>
        <w:rPr>
          <w:rFonts w:ascii="Traditional Arabic" w:hAnsi="Traditional Arabic" w:hint="cs"/>
          <w:sz w:val="32"/>
          <w:szCs w:val="32"/>
          <w:rtl/>
        </w:rPr>
        <w:t>والقواعد الفقهية للندوي (264).</w:t>
      </w:r>
    </w:p>
  </w:footnote>
  <w:footnote w:id="2004">
    <w:p w:rsidR="000D3D21" w:rsidRPr="00D53ACD" w:rsidRDefault="000D3D21" w:rsidP="00D77425">
      <w:pPr>
        <w:pStyle w:val="a7"/>
        <w:ind w:left="329" w:hanging="329"/>
        <w:rPr>
          <w:rFonts w:ascii="Traditional Arabic" w:hAnsi="Traditional Arabic"/>
          <w:sz w:val="32"/>
          <w:szCs w:val="32"/>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sidRPr="00D53ACD">
        <w:rPr>
          <w:rFonts w:ascii="Traditional Arabic" w:hAnsi="Traditional Arabic" w:hint="cs"/>
          <w:sz w:val="32"/>
          <w:szCs w:val="32"/>
          <w:rtl/>
        </w:rPr>
        <w:t>)</w:t>
      </w:r>
      <w:r>
        <w:rPr>
          <w:rFonts w:ascii="Traditional Arabic" w:hAnsi="Traditional Arabic" w:hint="cs"/>
          <w:sz w:val="32"/>
          <w:szCs w:val="32"/>
          <w:rtl/>
        </w:rPr>
        <w:t xml:space="preserve"> مجموع الفتاوى</w:t>
      </w:r>
      <w:r w:rsidRPr="00D53ACD">
        <w:rPr>
          <w:rFonts w:ascii="Traditional Arabic" w:hAnsi="Traditional Arabic" w:hint="cs"/>
          <w:sz w:val="32"/>
          <w:szCs w:val="32"/>
          <w:rtl/>
        </w:rPr>
        <w:t xml:space="preserve"> </w:t>
      </w:r>
      <w:r>
        <w:rPr>
          <w:rFonts w:ascii="Traditional Arabic" w:hAnsi="Traditional Arabic" w:hint="cs"/>
          <w:sz w:val="32"/>
          <w:szCs w:val="32"/>
          <w:rtl/>
        </w:rPr>
        <w:t>ل</w:t>
      </w:r>
      <w:r w:rsidRPr="00D53ACD">
        <w:rPr>
          <w:rFonts w:ascii="Traditional Arabic" w:hAnsi="Traditional Arabic" w:hint="cs"/>
          <w:sz w:val="32"/>
          <w:szCs w:val="32"/>
          <w:rtl/>
        </w:rPr>
        <w:t>ابن تيمية (34/21),</w:t>
      </w:r>
      <w:r>
        <w:rPr>
          <w:rFonts w:ascii="Traditional Arabic" w:hAnsi="Traditional Arabic" w:hint="cs"/>
          <w:sz w:val="32"/>
          <w:szCs w:val="32"/>
          <w:rtl/>
        </w:rPr>
        <w:t xml:space="preserve"> </w:t>
      </w:r>
      <w:r w:rsidRPr="00D53ACD">
        <w:rPr>
          <w:rFonts w:ascii="Traditional Arabic" w:hAnsi="Traditional Arabic" w:hint="cs"/>
          <w:sz w:val="32"/>
          <w:szCs w:val="32"/>
          <w:rtl/>
        </w:rPr>
        <w:t>وقاعدة في العقود لابن تيمية (37),</w:t>
      </w:r>
      <w:r>
        <w:rPr>
          <w:rFonts w:ascii="Traditional Arabic" w:hAnsi="Traditional Arabic" w:hint="cs"/>
          <w:sz w:val="32"/>
          <w:szCs w:val="32"/>
          <w:rtl/>
        </w:rPr>
        <w:t xml:space="preserve"> و</w:t>
      </w:r>
      <w:r w:rsidRPr="00D53ACD">
        <w:rPr>
          <w:rFonts w:ascii="Traditional Arabic" w:hAnsi="Traditional Arabic" w:hint="cs"/>
          <w:sz w:val="32"/>
          <w:szCs w:val="32"/>
          <w:rtl/>
        </w:rPr>
        <w:t>إيضاح المسالك للونشريسي (2/432)،</w:t>
      </w:r>
      <w:r>
        <w:rPr>
          <w:rFonts w:ascii="Traditional Arabic" w:hAnsi="Traditional Arabic" w:hint="cs"/>
          <w:sz w:val="32"/>
          <w:szCs w:val="32"/>
          <w:rtl/>
        </w:rPr>
        <w:t xml:space="preserve"> </w:t>
      </w:r>
      <w:r w:rsidRPr="00D53ACD">
        <w:rPr>
          <w:rFonts w:ascii="Traditional Arabic" w:hAnsi="Traditional Arabic" w:hint="cs"/>
          <w:sz w:val="32"/>
          <w:szCs w:val="32"/>
          <w:rtl/>
        </w:rPr>
        <w:t>وا</w:t>
      </w:r>
      <w:r>
        <w:rPr>
          <w:rFonts w:ascii="Traditional Arabic" w:hAnsi="Traditional Arabic" w:hint="cs"/>
          <w:sz w:val="32"/>
          <w:szCs w:val="32"/>
          <w:rtl/>
        </w:rPr>
        <w:t>نظر قاعدة المشقة تجلب التيسير ل</w:t>
      </w:r>
      <w:r w:rsidRPr="00D53ACD">
        <w:rPr>
          <w:rFonts w:ascii="Traditional Arabic" w:hAnsi="Traditional Arabic" w:hint="cs"/>
          <w:sz w:val="32"/>
          <w:szCs w:val="32"/>
          <w:rtl/>
        </w:rPr>
        <w:t>يعقوب الباحسين (30).</w:t>
      </w:r>
    </w:p>
  </w:footnote>
  <w:footnote w:id="2005">
    <w:p w:rsidR="000D3D21" w:rsidRPr="00D53ACD" w:rsidRDefault="000D3D21" w:rsidP="0034747A">
      <w:pPr>
        <w:pStyle w:val="a7"/>
        <w:ind w:left="329" w:hanging="329"/>
        <w:rPr>
          <w:rFonts w:ascii="Traditional Arabic" w:hAnsi="Traditional Arabic"/>
          <w:sz w:val="32"/>
          <w:szCs w:val="32"/>
          <w:rtl/>
        </w:rPr>
      </w:pPr>
      <w:r w:rsidRPr="00D53ACD">
        <w:rPr>
          <w:rFonts w:ascii="Traditional Arabic" w:hAnsi="Traditional Arabic" w:hint="cs"/>
          <w:sz w:val="32"/>
          <w:szCs w:val="32"/>
          <w:rtl/>
        </w:rPr>
        <w:t>(</w:t>
      </w:r>
      <w:r w:rsidRPr="00D53ACD">
        <w:rPr>
          <w:rFonts w:ascii="Traditional Arabic" w:hAnsi="Traditional Arabic"/>
          <w:sz w:val="32"/>
          <w:szCs w:val="32"/>
          <w:rtl/>
        </w:rPr>
        <w:footnoteRef/>
      </w:r>
      <w:r w:rsidRPr="00D53ACD">
        <w:rPr>
          <w:rFonts w:ascii="Traditional Arabic" w:hAnsi="Traditional Arabic" w:hint="cs"/>
          <w:sz w:val="32"/>
          <w:szCs w:val="32"/>
          <w:rtl/>
        </w:rPr>
        <w:t>) تهذيب اللغة (8/247)، ومقاييس اللغة (3/202)، ولسان العرب (1/685)، والقاموس المحيط (3/250)، وتاج العروس (6/395).</w:t>
      </w:r>
    </w:p>
  </w:footnote>
  <w:footnote w:id="2006">
    <w:p w:rsidR="000D3D21" w:rsidRPr="00CD56C4" w:rsidRDefault="000D3D21">
      <w:pPr>
        <w:pStyle w:val="a7"/>
        <w:rPr>
          <w:rFonts w:ascii="Traditional Arabic" w:hAnsi="Traditional Arabic"/>
          <w:sz w:val="32"/>
          <w:szCs w:val="32"/>
        </w:rPr>
      </w:pPr>
      <w:r w:rsidRPr="00CD56C4">
        <w:rPr>
          <w:rStyle w:val="af1"/>
          <w:rFonts w:ascii="Traditional Arabic" w:hAnsi="Traditional Arabic"/>
          <w:sz w:val="32"/>
          <w:szCs w:val="32"/>
          <w:vertAlign w:val="baseline"/>
        </w:rPr>
        <w:footnoteRef/>
      </w:r>
      <w:r w:rsidRPr="00CD56C4">
        <w:rPr>
          <w:rFonts w:ascii="Traditional Arabic" w:hAnsi="Traditional Arabic"/>
          <w:sz w:val="32"/>
          <w:szCs w:val="32"/>
        </w:rPr>
        <w:t>)</w:t>
      </w:r>
      <w:r w:rsidRPr="00CD56C4">
        <w:rPr>
          <w:rFonts w:ascii="Traditional Arabic" w:hAnsi="Traditional Arabic"/>
          <w:sz w:val="32"/>
          <w:szCs w:val="32"/>
          <w:rtl/>
        </w:rPr>
        <w:t xml:space="preserve">) </w:t>
      </w:r>
      <w:r w:rsidRPr="00D53ACD">
        <w:rPr>
          <w:rFonts w:ascii="Traditional Arabic" w:hAnsi="Traditional Arabic" w:hint="cs"/>
          <w:sz w:val="32"/>
          <w:szCs w:val="32"/>
          <w:rtl/>
        </w:rPr>
        <w:t xml:space="preserve">معجم </w:t>
      </w:r>
      <w:r>
        <w:rPr>
          <w:rFonts w:ascii="Traditional Arabic" w:hAnsi="Traditional Arabic" w:hint="cs"/>
          <w:sz w:val="32"/>
          <w:szCs w:val="32"/>
          <w:rtl/>
        </w:rPr>
        <w:t xml:space="preserve">لغة الفقهاء </w:t>
      </w:r>
      <w:r w:rsidRPr="00D53ACD">
        <w:rPr>
          <w:rFonts w:ascii="Traditional Arabic" w:hAnsi="Traditional Arabic" w:hint="cs"/>
          <w:sz w:val="32"/>
          <w:szCs w:val="32"/>
          <w:rtl/>
        </w:rPr>
        <w:t>(401)،</w:t>
      </w:r>
      <w:r>
        <w:rPr>
          <w:rFonts w:ascii="Traditional Arabic" w:hAnsi="Traditional Arabic" w:hint="cs"/>
          <w:sz w:val="32"/>
          <w:szCs w:val="32"/>
          <w:rtl/>
        </w:rPr>
        <w:t xml:space="preserve"> </w:t>
      </w:r>
      <w:r w:rsidRPr="00D53ACD">
        <w:rPr>
          <w:rFonts w:ascii="Traditional Arabic" w:hAnsi="Traditional Arabic" w:hint="cs"/>
          <w:sz w:val="32"/>
          <w:szCs w:val="32"/>
          <w:rtl/>
        </w:rPr>
        <w:t>وقاعدة المشقة تجلب التيسير للباحسين(25)،</w:t>
      </w:r>
      <w:r>
        <w:rPr>
          <w:rFonts w:ascii="Traditional Arabic" w:hAnsi="Traditional Arabic" w:hint="cs"/>
          <w:sz w:val="32"/>
          <w:szCs w:val="32"/>
          <w:rtl/>
        </w:rPr>
        <w:t xml:space="preserve"> والقواعد الكلية ل</w:t>
      </w:r>
      <w:r w:rsidRPr="00D53ACD">
        <w:rPr>
          <w:rFonts w:ascii="Traditional Arabic" w:hAnsi="Traditional Arabic" w:hint="cs"/>
          <w:sz w:val="32"/>
          <w:szCs w:val="32"/>
          <w:rtl/>
        </w:rPr>
        <w:t>محمد عثمان شبير(188)،</w:t>
      </w:r>
      <w:r>
        <w:rPr>
          <w:rFonts w:ascii="Traditional Arabic" w:hAnsi="Traditional Arabic" w:hint="cs"/>
          <w:sz w:val="32"/>
          <w:szCs w:val="32"/>
          <w:rtl/>
        </w:rPr>
        <w:t xml:space="preserve"> </w:t>
      </w:r>
      <w:r w:rsidRPr="00D53ACD">
        <w:rPr>
          <w:rFonts w:ascii="Traditional Arabic" w:hAnsi="Traditional Arabic" w:hint="cs"/>
          <w:sz w:val="32"/>
          <w:szCs w:val="32"/>
          <w:rtl/>
        </w:rPr>
        <w:t>والقواعد المشتركة بين أصول الفقه و</w:t>
      </w:r>
      <w:r>
        <w:rPr>
          <w:rFonts w:ascii="Traditional Arabic" w:hAnsi="Traditional Arabic" w:hint="cs"/>
          <w:sz w:val="32"/>
          <w:szCs w:val="32"/>
          <w:rtl/>
        </w:rPr>
        <w:t>ال</w:t>
      </w:r>
      <w:r w:rsidRPr="00D53ACD">
        <w:rPr>
          <w:rFonts w:ascii="Traditional Arabic" w:hAnsi="Traditional Arabic" w:hint="cs"/>
          <w:sz w:val="32"/>
          <w:szCs w:val="32"/>
          <w:rtl/>
        </w:rPr>
        <w:t>قواعد الفقه</w:t>
      </w:r>
      <w:r>
        <w:rPr>
          <w:rFonts w:ascii="Traditional Arabic" w:hAnsi="Traditional Arabic" w:hint="cs"/>
          <w:sz w:val="32"/>
          <w:szCs w:val="32"/>
          <w:rtl/>
        </w:rPr>
        <w:t xml:space="preserve">ية </w:t>
      </w:r>
      <w:r w:rsidRPr="00D53ACD">
        <w:rPr>
          <w:rFonts w:ascii="Traditional Arabic" w:hAnsi="Traditional Arabic" w:hint="cs"/>
          <w:sz w:val="32"/>
          <w:szCs w:val="32"/>
          <w:rtl/>
        </w:rPr>
        <w:t>(2/348).</w:t>
      </w:r>
    </w:p>
  </w:footnote>
  <w:footnote w:id="2007">
    <w:p w:rsidR="000D3D21" w:rsidRPr="00D53ACD" w:rsidRDefault="000D3D21" w:rsidP="007A0DDE">
      <w:pPr>
        <w:pStyle w:val="a7"/>
        <w:ind w:left="329" w:hanging="329"/>
        <w:rPr>
          <w:rFonts w:ascii="Traditional Arabic" w:hAnsi="Traditional Arabic"/>
          <w:sz w:val="32"/>
          <w:szCs w:val="32"/>
          <w:rtl/>
        </w:rPr>
      </w:pPr>
      <w:r w:rsidRPr="00D53ACD">
        <w:rPr>
          <w:rFonts w:ascii="Traditional Arabic" w:hAnsi="Traditional Arabic"/>
          <w:sz w:val="32"/>
          <w:szCs w:val="32"/>
          <w:rtl/>
        </w:rPr>
        <w:t>(</w:t>
      </w:r>
      <w:r w:rsidRPr="00D53ACD">
        <w:rPr>
          <w:rFonts w:ascii="Traditional Arabic" w:hAnsi="Traditional Arabic"/>
          <w:sz w:val="32"/>
          <w:szCs w:val="32"/>
          <w:rtl/>
        </w:rPr>
        <w:footnoteRef/>
      </w:r>
      <w:r w:rsidRPr="00D53ACD">
        <w:rPr>
          <w:rFonts w:ascii="Traditional Arabic" w:hAnsi="Traditional Arabic"/>
          <w:sz w:val="32"/>
          <w:szCs w:val="32"/>
          <w:rtl/>
        </w:rPr>
        <w:t>) مقاييس اللغة (1/469)، ولسان العرب (1/647).</w:t>
      </w:r>
    </w:p>
  </w:footnote>
  <w:footnote w:id="2008">
    <w:p w:rsidR="000D3D21" w:rsidRPr="00D53ACD" w:rsidRDefault="000D3D21" w:rsidP="007A0DDE">
      <w:pPr>
        <w:pStyle w:val="a7"/>
        <w:ind w:left="329" w:hanging="329"/>
        <w:rPr>
          <w:rFonts w:ascii="Traditional Arabic" w:hAnsi="Traditional Arabic"/>
          <w:sz w:val="32"/>
          <w:szCs w:val="32"/>
          <w:rtl/>
        </w:rPr>
      </w:pPr>
      <w:r w:rsidRPr="00D53ACD">
        <w:rPr>
          <w:rFonts w:ascii="Traditional Arabic" w:hAnsi="Traditional Arabic"/>
          <w:sz w:val="32"/>
          <w:szCs w:val="32"/>
          <w:rtl/>
        </w:rPr>
        <w:t>(</w:t>
      </w:r>
      <w:r w:rsidRPr="00D53ACD">
        <w:rPr>
          <w:rFonts w:ascii="Traditional Arabic" w:hAnsi="Traditional Arabic"/>
          <w:sz w:val="32"/>
          <w:szCs w:val="32"/>
          <w:rtl/>
        </w:rPr>
        <w:footnoteRef/>
      </w:r>
      <w:r w:rsidRPr="00D53ACD">
        <w:rPr>
          <w:rFonts w:ascii="Traditional Arabic" w:hAnsi="Traditional Arabic"/>
          <w:sz w:val="32"/>
          <w:szCs w:val="32"/>
          <w:rtl/>
        </w:rPr>
        <w:t>) تهذيب اللغة (3/59)، ومقاييس اللغة (6/155)، ولسان العرب (6/4957- 4958)، والقاموس المحيط (2/163).</w:t>
      </w:r>
    </w:p>
  </w:footnote>
  <w:footnote w:id="2009">
    <w:p w:rsidR="000D3D21" w:rsidRPr="00D53ACD" w:rsidRDefault="000D3D21" w:rsidP="007A0DDE">
      <w:pPr>
        <w:pStyle w:val="a7"/>
        <w:ind w:left="329" w:hanging="329"/>
        <w:rPr>
          <w:rFonts w:ascii="Traditional Arabic" w:hAnsi="Traditional Arabic"/>
          <w:sz w:val="32"/>
          <w:szCs w:val="32"/>
          <w:rtl/>
        </w:rPr>
      </w:pPr>
      <w:r w:rsidRPr="00D53ACD">
        <w:rPr>
          <w:rFonts w:ascii="Traditional Arabic" w:hAnsi="Traditional Arabic"/>
          <w:sz w:val="32"/>
          <w:szCs w:val="32"/>
          <w:rtl/>
        </w:rPr>
        <w:t>(</w:t>
      </w:r>
      <w:r w:rsidRPr="00D53ACD">
        <w:rPr>
          <w:rFonts w:ascii="Traditional Arabic" w:hAnsi="Traditional Arabic"/>
          <w:sz w:val="32"/>
          <w:szCs w:val="32"/>
          <w:rtl/>
        </w:rPr>
        <w:footnoteRef/>
      </w:r>
      <w:r w:rsidRPr="00D53ACD">
        <w:rPr>
          <w:rFonts w:ascii="Traditional Arabic" w:hAnsi="Traditional Arabic"/>
          <w:sz w:val="32"/>
          <w:szCs w:val="32"/>
          <w:rtl/>
        </w:rPr>
        <w:t>) كونها فقهية يظهر من جهة تعلّقها بأفعال المكلفين والتيسير عليهم عند الحرج والمشقة.</w:t>
      </w:r>
    </w:p>
  </w:footnote>
  <w:footnote w:id="2010">
    <w:p w:rsidR="000D3D21" w:rsidRPr="00D53ACD" w:rsidRDefault="000D3D21" w:rsidP="009D0E52">
      <w:pPr>
        <w:pStyle w:val="a7"/>
        <w:ind w:left="329" w:hanging="329"/>
        <w:rPr>
          <w:rFonts w:ascii="Traditional Arabic" w:hAnsi="Traditional Arabic"/>
          <w:sz w:val="32"/>
          <w:szCs w:val="32"/>
          <w:rtl/>
        </w:rPr>
      </w:pPr>
      <w:r w:rsidRPr="00D53ACD">
        <w:rPr>
          <w:rFonts w:ascii="Traditional Arabic" w:hAnsi="Traditional Arabic"/>
          <w:sz w:val="32"/>
          <w:szCs w:val="32"/>
          <w:rtl/>
        </w:rPr>
        <w:t>(</w:t>
      </w:r>
      <w:r w:rsidRPr="00D53ACD">
        <w:rPr>
          <w:rFonts w:ascii="Traditional Arabic" w:hAnsi="Traditional Arabic"/>
          <w:sz w:val="32"/>
          <w:szCs w:val="32"/>
          <w:rtl/>
        </w:rPr>
        <w:footnoteRef/>
      </w:r>
      <w:r w:rsidRPr="00D53ACD">
        <w:rPr>
          <w:rFonts w:ascii="Traditional Arabic" w:hAnsi="Traditional Arabic"/>
          <w:sz w:val="32"/>
          <w:szCs w:val="32"/>
          <w:rtl/>
        </w:rPr>
        <w:t>)</w:t>
      </w:r>
      <w:r>
        <w:rPr>
          <w:rFonts w:ascii="Traditional Arabic" w:hAnsi="Traditional Arabic" w:hint="cs"/>
          <w:sz w:val="32"/>
          <w:szCs w:val="32"/>
          <w:rtl/>
        </w:rPr>
        <w:t xml:space="preserve"> </w:t>
      </w:r>
      <w:r w:rsidRPr="00D53ACD">
        <w:rPr>
          <w:rFonts w:ascii="Traditional Arabic" w:hAnsi="Traditional Arabic"/>
          <w:b/>
          <w:bCs/>
          <w:sz w:val="32"/>
          <w:szCs w:val="32"/>
          <w:rtl/>
        </w:rPr>
        <w:t>التكليف</w:t>
      </w:r>
      <w:r w:rsidR="00AB0B9E" w:rsidRPr="00D53ACD">
        <w:rPr>
          <w:rFonts w:ascii="Traditional Arabic" w:hAnsi="Traditional Arabic"/>
          <w:b/>
          <w:bCs/>
          <w:sz w:val="32"/>
          <w:szCs w:val="32"/>
          <w:rtl/>
        </w:rPr>
        <w:fldChar w:fldCharType="begin"/>
      </w:r>
      <w:r w:rsidRPr="00D53ACD">
        <w:rPr>
          <w:rFonts w:ascii="Traditional Arabic" w:hAnsi="Traditional Arabic"/>
          <w:sz w:val="32"/>
          <w:szCs w:val="32"/>
        </w:rPr>
        <w:instrText xml:space="preserve"> XE "</w:instrText>
      </w:r>
      <w:r w:rsidRPr="00D53ACD">
        <w:rPr>
          <w:rFonts w:ascii="Traditional Arabic" w:hAnsi="Traditional Arabic"/>
          <w:sz w:val="32"/>
          <w:szCs w:val="32"/>
          <w:rtl/>
        </w:rPr>
        <w:instrText>التكليف</w:instrText>
      </w:r>
      <w:r w:rsidRPr="00D53ACD">
        <w:rPr>
          <w:rFonts w:ascii="Traditional Arabic" w:hAnsi="Traditional Arabic"/>
          <w:sz w:val="32"/>
          <w:szCs w:val="32"/>
        </w:rPr>
        <w:instrText xml:space="preserve">" \fm </w:instrText>
      </w:r>
      <w:r w:rsidR="00AB0B9E" w:rsidRPr="00D53ACD">
        <w:rPr>
          <w:rFonts w:ascii="Traditional Arabic" w:hAnsi="Traditional Arabic"/>
          <w:b/>
          <w:bCs/>
          <w:sz w:val="32"/>
          <w:szCs w:val="32"/>
          <w:rtl/>
        </w:rPr>
        <w:fldChar w:fldCharType="end"/>
      </w:r>
      <w:r w:rsidRPr="00D53ACD">
        <w:rPr>
          <w:rFonts w:ascii="Traditional Arabic" w:hAnsi="Traditional Arabic"/>
          <w:b/>
          <w:bCs/>
          <w:sz w:val="32"/>
          <w:szCs w:val="32"/>
          <w:rtl/>
        </w:rPr>
        <w:t xml:space="preserve"> لغة:</w:t>
      </w:r>
      <w:r w:rsidRPr="00D53ACD">
        <w:rPr>
          <w:rFonts w:ascii="Traditional Arabic" w:hAnsi="Traditional Arabic"/>
          <w:sz w:val="32"/>
          <w:szCs w:val="32"/>
          <w:rtl/>
        </w:rPr>
        <w:t xml:space="preserve"> إلزام ما فيه ك</w:t>
      </w:r>
      <w:r>
        <w:rPr>
          <w:rFonts w:ascii="Traditional Arabic" w:hAnsi="Traditional Arabic" w:hint="cs"/>
          <w:sz w:val="32"/>
          <w:szCs w:val="32"/>
          <w:rtl/>
        </w:rPr>
        <w:t>ُ</w:t>
      </w:r>
      <w:r w:rsidRPr="00D53ACD">
        <w:rPr>
          <w:rFonts w:ascii="Traditional Arabic" w:hAnsi="Traditional Arabic"/>
          <w:sz w:val="32"/>
          <w:szCs w:val="32"/>
          <w:rtl/>
        </w:rPr>
        <w:t>ل</w:t>
      </w:r>
      <w:r>
        <w:rPr>
          <w:rFonts w:ascii="Traditional Arabic" w:hAnsi="Traditional Arabic" w:hint="cs"/>
          <w:sz w:val="32"/>
          <w:szCs w:val="32"/>
          <w:rtl/>
        </w:rPr>
        <w:t>ْ</w:t>
      </w:r>
      <w:r w:rsidRPr="00D53ACD">
        <w:rPr>
          <w:rFonts w:ascii="Traditional Arabic" w:hAnsi="Traditional Arabic"/>
          <w:sz w:val="32"/>
          <w:szCs w:val="32"/>
          <w:rtl/>
        </w:rPr>
        <w:t>فة، والكلفة هي المشقة. المصباح المنير (537-538).</w:t>
      </w:r>
    </w:p>
    <w:p w:rsidR="000D3D21" w:rsidRPr="00D53ACD" w:rsidRDefault="000D3D21" w:rsidP="00CD56C4">
      <w:pPr>
        <w:pStyle w:val="a7"/>
        <w:rPr>
          <w:rFonts w:ascii="Traditional Arabic" w:hAnsi="Traditional Arabic"/>
          <w:sz w:val="32"/>
          <w:szCs w:val="32"/>
          <w:rtl/>
        </w:rPr>
      </w:pPr>
      <w:r>
        <w:rPr>
          <w:rFonts w:ascii="Traditional Arabic" w:hAnsi="Traditional Arabic" w:hint="cs"/>
          <w:b/>
          <w:bCs/>
          <w:sz w:val="32"/>
          <w:szCs w:val="32"/>
          <w:rtl/>
        </w:rPr>
        <w:t xml:space="preserve">     التكليف </w:t>
      </w:r>
      <w:r w:rsidRPr="00D53ACD">
        <w:rPr>
          <w:rFonts w:ascii="Traditional Arabic" w:hAnsi="Traditional Arabic"/>
          <w:b/>
          <w:bCs/>
          <w:sz w:val="32"/>
          <w:szCs w:val="32"/>
          <w:rtl/>
        </w:rPr>
        <w:t xml:space="preserve">اصطلاحا: </w:t>
      </w:r>
      <w:r w:rsidRPr="00D53ACD">
        <w:rPr>
          <w:rFonts w:ascii="Traditional Arabic" w:hAnsi="Traditional Arabic"/>
          <w:sz w:val="32"/>
          <w:szCs w:val="32"/>
          <w:rtl/>
        </w:rPr>
        <w:t>إلزام مقتضى خطاب الشرع. شرح مختصر الروضة للطوفي (1/176).</w:t>
      </w:r>
    </w:p>
  </w:footnote>
  <w:footnote w:id="2011">
    <w:p w:rsidR="000D3D21" w:rsidRPr="00D53ACD" w:rsidRDefault="000D3D21" w:rsidP="007A0DDE">
      <w:pPr>
        <w:pStyle w:val="a7"/>
        <w:ind w:left="329" w:hanging="329"/>
        <w:rPr>
          <w:rFonts w:ascii="Traditional Arabic" w:hAnsi="Traditional Arabic"/>
          <w:sz w:val="32"/>
          <w:szCs w:val="32"/>
          <w:rtl/>
        </w:rPr>
      </w:pPr>
      <w:r w:rsidRPr="00D53ACD">
        <w:rPr>
          <w:rFonts w:ascii="Traditional Arabic" w:hAnsi="Traditional Arabic"/>
          <w:sz w:val="32"/>
          <w:szCs w:val="32"/>
          <w:rtl/>
        </w:rPr>
        <w:t>(</w:t>
      </w:r>
      <w:r w:rsidRPr="00D53ACD">
        <w:rPr>
          <w:rFonts w:ascii="Traditional Arabic" w:hAnsi="Traditional Arabic"/>
          <w:sz w:val="32"/>
          <w:szCs w:val="32"/>
          <w:rtl/>
        </w:rPr>
        <w:footnoteRef/>
      </w:r>
      <w:r w:rsidRPr="00D53ACD">
        <w:rPr>
          <w:rFonts w:ascii="Traditional Arabic" w:hAnsi="Traditional Arabic"/>
          <w:sz w:val="32"/>
          <w:szCs w:val="32"/>
          <w:rtl/>
        </w:rPr>
        <w:t>)</w:t>
      </w:r>
      <w:r>
        <w:rPr>
          <w:rFonts w:ascii="Traditional Arabic" w:hAnsi="Traditional Arabic" w:hint="cs"/>
          <w:sz w:val="32"/>
          <w:szCs w:val="32"/>
          <w:rtl/>
        </w:rPr>
        <w:t xml:space="preserve"> </w:t>
      </w:r>
      <w:r w:rsidRPr="00D53ACD">
        <w:rPr>
          <w:rFonts w:ascii="Traditional Arabic" w:hAnsi="Traditional Arabic"/>
          <w:sz w:val="32"/>
          <w:szCs w:val="32"/>
          <w:rtl/>
        </w:rPr>
        <w:t>أي</w:t>
      </w:r>
      <w:r>
        <w:rPr>
          <w:rFonts w:ascii="Traditional Arabic" w:hAnsi="Traditional Arabic" w:hint="cs"/>
          <w:sz w:val="32"/>
          <w:szCs w:val="32"/>
          <w:rtl/>
        </w:rPr>
        <w:t>:</w:t>
      </w:r>
      <w:r w:rsidRPr="00D53ACD">
        <w:rPr>
          <w:rFonts w:ascii="Traditional Arabic" w:hAnsi="Traditional Arabic"/>
          <w:sz w:val="32"/>
          <w:szCs w:val="32"/>
          <w:rtl/>
        </w:rPr>
        <w:t xml:space="preserve"> هل يشترط أن يكون المكلف به مقدورا للمكلف أو لا؟ انظر: البحر المحيط للزركشي (1/385)، ومجموع الفتاوى </w:t>
      </w:r>
      <w:r>
        <w:rPr>
          <w:rFonts w:ascii="Traditional Arabic" w:hAnsi="Traditional Arabic" w:hint="cs"/>
          <w:sz w:val="32"/>
          <w:szCs w:val="32"/>
          <w:rtl/>
        </w:rPr>
        <w:t xml:space="preserve">لابن تيمية </w:t>
      </w:r>
      <w:r w:rsidRPr="00D53ACD">
        <w:rPr>
          <w:rFonts w:ascii="Traditional Arabic" w:hAnsi="Traditional Arabic"/>
          <w:sz w:val="32"/>
          <w:szCs w:val="32"/>
          <w:rtl/>
        </w:rPr>
        <w:t>(3/318-319)، و(8/298-299).</w:t>
      </w:r>
    </w:p>
  </w:footnote>
  <w:footnote w:id="2012">
    <w:p w:rsidR="000D3D21" w:rsidRPr="00D53ACD" w:rsidRDefault="000D3D21" w:rsidP="009D0E52">
      <w:pPr>
        <w:pStyle w:val="a7"/>
        <w:ind w:left="329" w:hanging="329"/>
        <w:rPr>
          <w:rFonts w:ascii="Traditional Arabic" w:hAnsi="Traditional Arabic"/>
          <w:sz w:val="32"/>
          <w:szCs w:val="32"/>
          <w:rtl/>
        </w:rPr>
      </w:pPr>
      <w:r w:rsidRPr="00D53ACD">
        <w:rPr>
          <w:rFonts w:ascii="Traditional Arabic" w:hAnsi="Traditional Arabic"/>
          <w:sz w:val="32"/>
          <w:szCs w:val="32"/>
          <w:rtl/>
        </w:rPr>
        <w:t>(</w:t>
      </w:r>
      <w:r w:rsidRPr="00D53ACD">
        <w:rPr>
          <w:rFonts w:ascii="Traditional Arabic" w:hAnsi="Traditional Arabic"/>
          <w:sz w:val="32"/>
          <w:szCs w:val="32"/>
          <w:rtl/>
        </w:rPr>
        <w:footnoteRef/>
      </w:r>
      <w:r w:rsidRPr="00D53ACD">
        <w:rPr>
          <w:rFonts w:ascii="Traditional Arabic" w:hAnsi="Traditional Arabic"/>
          <w:sz w:val="32"/>
          <w:szCs w:val="32"/>
          <w:rtl/>
        </w:rPr>
        <w:t>)</w:t>
      </w:r>
      <w:r>
        <w:rPr>
          <w:rFonts w:ascii="Traditional Arabic" w:hAnsi="Traditional Arabic" w:hint="cs"/>
          <w:b/>
          <w:bCs/>
          <w:sz w:val="32"/>
          <w:szCs w:val="32"/>
          <w:rtl/>
        </w:rPr>
        <w:t xml:space="preserve"> </w:t>
      </w:r>
      <w:r w:rsidRPr="00D53ACD">
        <w:rPr>
          <w:rFonts w:ascii="Traditional Arabic" w:hAnsi="Traditional Arabic"/>
          <w:b/>
          <w:bCs/>
          <w:sz w:val="32"/>
          <w:szCs w:val="32"/>
          <w:rtl/>
        </w:rPr>
        <w:t>العوارض</w:t>
      </w:r>
      <w:r w:rsidR="00AB0B9E" w:rsidRPr="00D53ACD">
        <w:rPr>
          <w:rFonts w:ascii="Traditional Arabic" w:hAnsi="Traditional Arabic"/>
          <w:b/>
          <w:bCs/>
          <w:sz w:val="32"/>
          <w:szCs w:val="32"/>
          <w:rtl/>
        </w:rPr>
        <w:fldChar w:fldCharType="begin"/>
      </w:r>
      <w:r w:rsidRPr="00D53ACD">
        <w:rPr>
          <w:rFonts w:ascii="Traditional Arabic" w:hAnsi="Traditional Arabic"/>
          <w:sz w:val="32"/>
          <w:szCs w:val="32"/>
        </w:rPr>
        <w:instrText xml:space="preserve"> XE "</w:instrText>
      </w:r>
      <w:r w:rsidRPr="00D53ACD">
        <w:rPr>
          <w:rFonts w:ascii="Traditional Arabic" w:hAnsi="Traditional Arabic"/>
          <w:sz w:val="32"/>
          <w:szCs w:val="32"/>
          <w:rtl/>
        </w:rPr>
        <w:instrText>العوارض</w:instrText>
      </w:r>
      <w:r w:rsidRPr="00D53ACD">
        <w:rPr>
          <w:rFonts w:ascii="Traditional Arabic" w:hAnsi="Traditional Arabic"/>
          <w:sz w:val="32"/>
          <w:szCs w:val="32"/>
        </w:rPr>
        <w:instrText xml:space="preserve">" \fm </w:instrText>
      </w:r>
      <w:r w:rsidR="00AB0B9E" w:rsidRPr="00D53ACD">
        <w:rPr>
          <w:rFonts w:ascii="Traditional Arabic" w:hAnsi="Traditional Arabic"/>
          <w:b/>
          <w:bCs/>
          <w:sz w:val="32"/>
          <w:szCs w:val="32"/>
          <w:rtl/>
        </w:rPr>
        <w:fldChar w:fldCharType="end"/>
      </w:r>
      <w:r w:rsidRPr="00D53ACD">
        <w:rPr>
          <w:rFonts w:ascii="Traditional Arabic" w:hAnsi="Traditional Arabic"/>
          <w:b/>
          <w:bCs/>
          <w:sz w:val="32"/>
          <w:szCs w:val="32"/>
          <w:rtl/>
        </w:rPr>
        <w:t xml:space="preserve"> لغة:</w:t>
      </w:r>
      <w:r w:rsidRPr="00D53ACD">
        <w:rPr>
          <w:rFonts w:ascii="Traditional Arabic" w:hAnsi="Traditional Arabic"/>
          <w:sz w:val="32"/>
          <w:szCs w:val="32"/>
          <w:rtl/>
        </w:rPr>
        <w:t xml:space="preserve"> جمع عارض أو عارضة، مأخوذ من عر</w:t>
      </w:r>
      <w:r>
        <w:rPr>
          <w:rFonts w:ascii="Traditional Arabic" w:hAnsi="Traditional Arabic" w:hint="cs"/>
          <w:sz w:val="32"/>
          <w:szCs w:val="32"/>
          <w:rtl/>
        </w:rPr>
        <w:t>َ</w:t>
      </w:r>
      <w:r w:rsidRPr="00D53ACD">
        <w:rPr>
          <w:rFonts w:ascii="Traditional Arabic" w:hAnsi="Traditional Arabic"/>
          <w:sz w:val="32"/>
          <w:szCs w:val="32"/>
          <w:rtl/>
        </w:rPr>
        <w:t>ض له كذا إذا ظهر له أمر</w:t>
      </w:r>
      <w:r>
        <w:rPr>
          <w:rFonts w:ascii="Traditional Arabic" w:hAnsi="Traditional Arabic" w:hint="cs"/>
          <w:sz w:val="32"/>
          <w:szCs w:val="32"/>
          <w:rtl/>
        </w:rPr>
        <w:t>ٌ</w:t>
      </w:r>
      <w:r w:rsidRPr="00D53ACD">
        <w:rPr>
          <w:rFonts w:ascii="Traditional Arabic" w:hAnsi="Traditional Arabic"/>
          <w:sz w:val="32"/>
          <w:szCs w:val="32"/>
          <w:rtl/>
        </w:rPr>
        <w:t xml:space="preserve"> يصد</w:t>
      </w:r>
      <w:r>
        <w:rPr>
          <w:rFonts w:ascii="Traditional Arabic" w:hAnsi="Traditional Arabic" w:hint="cs"/>
          <w:sz w:val="32"/>
          <w:szCs w:val="32"/>
          <w:rtl/>
        </w:rPr>
        <w:t>ُّ</w:t>
      </w:r>
      <w:r w:rsidRPr="00D53ACD">
        <w:rPr>
          <w:rFonts w:ascii="Traditional Arabic" w:hAnsi="Traditional Arabic"/>
          <w:sz w:val="32"/>
          <w:szCs w:val="32"/>
          <w:rtl/>
        </w:rPr>
        <w:t>ه عن المضي</w:t>
      </w:r>
      <w:r>
        <w:rPr>
          <w:rFonts w:ascii="Traditional Arabic" w:hAnsi="Traditional Arabic" w:hint="cs"/>
          <w:sz w:val="32"/>
          <w:szCs w:val="32"/>
          <w:rtl/>
        </w:rPr>
        <w:t>ّ</w:t>
      </w:r>
      <w:r w:rsidRPr="00D53ACD">
        <w:rPr>
          <w:rFonts w:ascii="Traditional Arabic" w:hAnsi="Traditional Arabic"/>
          <w:sz w:val="32"/>
          <w:szCs w:val="32"/>
          <w:rtl/>
        </w:rPr>
        <w:t xml:space="preserve"> على ما كان عليه. انظر: المصباح المنير (328).</w:t>
      </w:r>
    </w:p>
    <w:p w:rsidR="000D3D21" w:rsidRPr="00D53ACD" w:rsidRDefault="000D3D21" w:rsidP="009D0E52">
      <w:pPr>
        <w:pStyle w:val="a7"/>
        <w:ind w:left="329" w:hanging="47"/>
        <w:rPr>
          <w:rFonts w:ascii="Traditional Arabic" w:hAnsi="Traditional Arabic"/>
          <w:sz w:val="32"/>
          <w:szCs w:val="32"/>
          <w:rtl/>
        </w:rPr>
      </w:pPr>
      <w:r>
        <w:rPr>
          <w:rFonts w:ascii="Traditional Arabic" w:hAnsi="Traditional Arabic" w:hint="cs"/>
          <w:b/>
          <w:bCs/>
          <w:sz w:val="32"/>
          <w:szCs w:val="32"/>
          <w:rtl/>
        </w:rPr>
        <w:t xml:space="preserve">  </w:t>
      </w:r>
      <w:r w:rsidRPr="00D53ACD">
        <w:rPr>
          <w:rFonts w:ascii="Traditional Arabic" w:hAnsi="Traditional Arabic"/>
          <w:b/>
          <w:bCs/>
          <w:sz w:val="32"/>
          <w:szCs w:val="32"/>
          <w:rtl/>
        </w:rPr>
        <w:t>الأهلية</w:t>
      </w:r>
      <w:r w:rsidR="00AB0B9E" w:rsidRPr="00D53ACD">
        <w:rPr>
          <w:rFonts w:ascii="Traditional Arabic" w:hAnsi="Traditional Arabic"/>
          <w:b/>
          <w:bCs/>
          <w:sz w:val="32"/>
          <w:szCs w:val="32"/>
          <w:rtl/>
        </w:rPr>
        <w:fldChar w:fldCharType="begin"/>
      </w:r>
      <w:r w:rsidRPr="00D53ACD">
        <w:rPr>
          <w:rFonts w:ascii="Traditional Arabic" w:hAnsi="Traditional Arabic"/>
          <w:sz w:val="32"/>
          <w:szCs w:val="32"/>
        </w:rPr>
        <w:instrText xml:space="preserve"> XE "</w:instrText>
      </w:r>
      <w:r w:rsidRPr="00D53ACD">
        <w:rPr>
          <w:rFonts w:ascii="Traditional Arabic" w:hAnsi="Traditional Arabic"/>
          <w:sz w:val="32"/>
          <w:szCs w:val="32"/>
          <w:rtl/>
        </w:rPr>
        <w:instrText>الأهلية</w:instrText>
      </w:r>
      <w:r w:rsidRPr="00D53ACD">
        <w:rPr>
          <w:rFonts w:ascii="Traditional Arabic" w:hAnsi="Traditional Arabic"/>
          <w:sz w:val="32"/>
          <w:szCs w:val="32"/>
        </w:rPr>
        <w:instrText xml:space="preserve">" \fm </w:instrText>
      </w:r>
      <w:r w:rsidR="00AB0B9E" w:rsidRPr="00D53ACD">
        <w:rPr>
          <w:rFonts w:ascii="Traditional Arabic" w:hAnsi="Traditional Arabic"/>
          <w:b/>
          <w:bCs/>
          <w:sz w:val="32"/>
          <w:szCs w:val="32"/>
          <w:rtl/>
        </w:rPr>
        <w:fldChar w:fldCharType="end"/>
      </w:r>
      <w:r w:rsidRPr="00D53ACD">
        <w:rPr>
          <w:rFonts w:ascii="Traditional Arabic" w:hAnsi="Traditional Arabic"/>
          <w:b/>
          <w:bCs/>
          <w:sz w:val="32"/>
          <w:szCs w:val="32"/>
          <w:rtl/>
        </w:rPr>
        <w:t xml:space="preserve"> لغة:</w:t>
      </w:r>
      <w:r w:rsidRPr="00D53ACD">
        <w:rPr>
          <w:rFonts w:ascii="Traditional Arabic" w:hAnsi="Traditional Arabic"/>
          <w:sz w:val="32"/>
          <w:szCs w:val="32"/>
          <w:rtl/>
        </w:rPr>
        <w:t xml:space="preserve"> الصلاحي</w:t>
      </w:r>
      <w:r>
        <w:rPr>
          <w:rFonts w:ascii="Traditional Arabic" w:hAnsi="Traditional Arabic"/>
          <w:sz w:val="32"/>
          <w:szCs w:val="32"/>
          <w:rtl/>
        </w:rPr>
        <w:t xml:space="preserve">ة للشيء. انظر: المعجم الوسيط </w:t>
      </w:r>
      <w:r>
        <w:rPr>
          <w:rFonts w:ascii="Traditional Arabic" w:hAnsi="Traditional Arabic" w:hint="cs"/>
          <w:sz w:val="32"/>
          <w:szCs w:val="32"/>
          <w:rtl/>
        </w:rPr>
        <w:t>(32</w:t>
      </w:r>
      <w:r w:rsidRPr="00D53ACD">
        <w:rPr>
          <w:rFonts w:ascii="Traditional Arabic" w:hAnsi="Traditional Arabic"/>
          <w:sz w:val="32"/>
          <w:szCs w:val="32"/>
          <w:rtl/>
        </w:rPr>
        <w:t>).</w:t>
      </w:r>
    </w:p>
    <w:p w:rsidR="000D3D21" w:rsidRPr="00D53ACD" w:rsidRDefault="000D3D21" w:rsidP="007A0DDE">
      <w:pPr>
        <w:pStyle w:val="a7"/>
        <w:ind w:left="329" w:hanging="47"/>
        <w:rPr>
          <w:rFonts w:ascii="Traditional Arabic" w:hAnsi="Traditional Arabic"/>
          <w:sz w:val="32"/>
          <w:szCs w:val="32"/>
          <w:rtl/>
        </w:rPr>
      </w:pPr>
      <w:r>
        <w:rPr>
          <w:rFonts w:ascii="Traditional Arabic" w:hAnsi="Traditional Arabic" w:hint="cs"/>
          <w:sz w:val="32"/>
          <w:szCs w:val="32"/>
          <w:rtl/>
        </w:rPr>
        <w:t xml:space="preserve"> </w:t>
      </w:r>
      <w:r w:rsidRPr="00CD56C4">
        <w:rPr>
          <w:rFonts w:ascii="Traditional Arabic" w:hAnsi="Traditional Arabic" w:hint="cs"/>
          <w:b/>
          <w:bCs/>
          <w:sz w:val="32"/>
          <w:szCs w:val="32"/>
          <w:rtl/>
        </w:rPr>
        <w:t xml:space="preserve"> الأهلية</w:t>
      </w:r>
      <w:r>
        <w:rPr>
          <w:rFonts w:ascii="Traditional Arabic" w:hAnsi="Traditional Arabic" w:hint="cs"/>
          <w:sz w:val="32"/>
          <w:szCs w:val="32"/>
          <w:rtl/>
        </w:rPr>
        <w:t xml:space="preserve"> </w:t>
      </w:r>
      <w:r w:rsidRPr="00D53ACD">
        <w:rPr>
          <w:rFonts w:ascii="Traditional Arabic" w:hAnsi="Traditional Arabic"/>
          <w:b/>
          <w:bCs/>
          <w:sz w:val="32"/>
          <w:szCs w:val="32"/>
          <w:rtl/>
        </w:rPr>
        <w:t>اصطلاحا:</w:t>
      </w:r>
      <w:r w:rsidRPr="00D53ACD">
        <w:rPr>
          <w:rFonts w:ascii="Traditional Arabic" w:hAnsi="Traditional Arabic"/>
          <w:sz w:val="32"/>
          <w:szCs w:val="32"/>
          <w:rtl/>
        </w:rPr>
        <w:t xml:space="preserve"> صلاحية الإنسان لوجوب الحقوق المشروعة له وعليه. انظر: مرآة الأصول لمنلا خسرو (321).</w:t>
      </w:r>
    </w:p>
    <w:p w:rsidR="000D3D21" w:rsidRPr="00BF427E" w:rsidRDefault="000D3D21" w:rsidP="009D0E52">
      <w:pPr>
        <w:pStyle w:val="a7"/>
        <w:ind w:left="329" w:hanging="47"/>
        <w:rPr>
          <w:rFonts w:ascii="Traditional Arabic" w:hAnsi="Traditional Arabic"/>
          <w:sz w:val="32"/>
          <w:szCs w:val="32"/>
          <w:rtl/>
        </w:rPr>
      </w:pPr>
      <w:r w:rsidRPr="00D53ACD">
        <w:rPr>
          <w:rFonts w:ascii="Traditional Arabic" w:hAnsi="Traditional Arabic"/>
          <w:b/>
          <w:bCs/>
          <w:sz w:val="32"/>
          <w:szCs w:val="32"/>
          <w:rtl/>
        </w:rPr>
        <w:t>وعوارض الأهلية</w:t>
      </w:r>
      <w:r w:rsidR="00AB0B9E" w:rsidRPr="00D53ACD">
        <w:rPr>
          <w:rFonts w:ascii="Traditional Arabic" w:hAnsi="Traditional Arabic"/>
          <w:b/>
          <w:bCs/>
          <w:sz w:val="32"/>
          <w:szCs w:val="32"/>
          <w:rtl/>
        </w:rPr>
        <w:fldChar w:fldCharType="begin"/>
      </w:r>
      <w:r w:rsidRPr="00D53ACD">
        <w:rPr>
          <w:rFonts w:ascii="Traditional Arabic" w:hAnsi="Traditional Arabic"/>
          <w:sz w:val="32"/>
          <w:szCs w:val="32"/>
        </w:rPr>
        <w:instrText xml:space="preserve"> XE "</w:instrText>
      </w:r>
      <w:r w:rsidRPr="00D53ACD">
        <w:rPr>
          <w:rFonts w:ascii="Traditional Arabic" w:hAnsi="Traditional Arabic"/>
          <w:sz w:val="32"/>
          <w:szCs w:val="32"/>
          <w:rtl/>
        </w:rPr>
        <w:instrText>عوارض الأهلية</w:instrText>
      </w:r>
      <w:r w:rsidRPr="00D53ACD">
        <w:rPr>
          <w:rFonts w:ascii="Traditional Arabic" w:hAnsi="Traditional Arabic"/>
          <w:sz w:val="32"/>
          <w:szCs w:val="32"/>
        </w:rPr>
        <w:instrText xml:space="preserve">" \fm </w:instrText>
      </w:r>
      <w:r w:rsidR="00AB0B9E" w:rsidRPr="00D53ACD">
        <w:rPr>
          <w:rFonts w:ascii="Traditional Arabic" w:hAnsi="Traditional Arabic"/>
          <w:b/>
          <w:bCs/>
          <w:sz w:val="32"/>
          <w:szCs w:val="32"/>
          <w:rtl/>
        </w:rPr>
        <w:fldChar w:fldCharType="end"/>
      </w:r>
      <w:r w:rsidRPr="00D53ACD">
        <w:rPr>
          <w:rFonts w:ascii="Traditional Arabic" w:hAnsi="Traditional Arabic"/>
          <w:b/>
          <w:bCs/>
          <w:sz w:val="32"/>
          <w:szCs w:val="32"/>
          <w:rtl/>
        </w:rPr>
        <w:t>:</w:t>
      </w:r>
      <w:r w:rsidRPr="00D53ACD">
        <w:rPr>
          <w:rFonts w:ascii="Traditional Arabic" w:hAnsi="Traditional Arabic"/>
          <w:sz w:val="32"/>
          <w:szCs w:val="32"/>
          <w:rtl/>
        </w:rPr>
        <w:t xml:space="preserve"> هي الحالات التي تكون منافية للأهلية، وليست من لوازم الإنسان من حيث هو إنسان،</w:t>
      </w:r>
      <w:r>
        <w:rPr>
          <w:rFonts w:ascii="Traditional Arabic" w:hAnsi="Traditional Arabic" w:hint="cs"/>
          <w:sz w:val="32"/>
          <w:szCs w:val="32"/>
          <w:rtl/>
        </w:rPr>
        <w:t xml:space="preserve"> </w:t>
      </w:r>
      <w:r>
        <w:rPr>
          <w:rFonts w:ascii="Traditional Arabic" w:hAnsi="Traditional Arabic"/>
          <w:sz w:val="32"/>
          <w:szCs w:val="32"/>
          <w:rtl/>
        </w:rPr>
        <w:t>و</w:t>
      </w:r>
      <w:r>
        <w:rPr>
          <w:rFonts w:ascii="Traditional Arabic" w:hAnsi="Traditional Arabic" w:hint="cs"/>
          <w:sz w:val="32"/>
          <w:szCs w:val="32"/>
          <w:rtl/>
        </w:rPr>
        <w:t xml:space="preserve">هي </w:t>
      </w:r>
      <w:r>
        <w:rPr>
          <w:rFonts w:ascii="Traditional Arabic" w:hAnsi="Traditional Arabic"/>
          <w:sz w:val="32"/>
          <w:szCs w:val="32"/>
          <w:rtl/>
        </w:rPr>
        <w:t>تنقسم</w:t>
      </w:r>
      <w:r w:rsidRPr="00D53ACD">
        <w:rPr>
          <w:rFonts w:ascii="Traditional Arabic" w:hAnsi="Traditional Arabic"/>
          <w:sz w:val="32"/>
          <w:szCs w:val="32"/>
          <w:rtl/>
        </w:rPr>
        <w:t xml:space="preserve"> ﺇلى قسمين:</w:t>
      </w:r>
      <w:r>
        <w:rPr>
          <w:rFonts w:ascii="Traditional Arabic" w:hAnsi="Traditional Arabic" w:hint="cs"/>
          <w:sz w:val="32"/>
          <w:szCs w:val="32"/>
          <w:rtl/>
        </w:rPr>
        <w:t xml:space="preserve"> </w:t>
      </w:r>
      <w:r w:rsidRPr="00D53ACD">
        <w:rPr>
          <w:rFonts w:ascii="Traditional Arabic" w:hAnsi="Traditional Arabic"/>
          <w:sz w:val="32"/>
          <w:szCs w:val="32"/>
          <w:rtl/>
        </w:rPr>
        <w:t>عوارض سماوية كالص</w:t>
      </w:r>
      <w:r>
        <w:rPr>
          <w:rFonts w:ascii="Traditional Arabic" w:hAnsi="Traditional Arabic" w:hint="cs"/>
          <w:sz w:val="32"/>
          <w:szCs w:val="32"/>
          <w:rtl/>
        </w:rPr>
        <w:t>ِّ</w:t>
      </w:r>
      <w:r w:rsidRPr="00D53ACD">
        <w:rPr>
          <w:rFonts w:ascii="Traditional Arabic" w:hAnsi="Traditional Arabic"/>
          <w:sz w:val="32"/>
          <w:szCs w:val="32"/>
          <w:rtl/>
        </w:rPr>
        <w:t>غر والجنون والنسيان والنوم،</w:t>
      </w:r>
      <w:r>
        <w:rPr>
          <w:rFonts w:ascii="Traditional Arabic" w:hAnsi="Traditional Arabic" w:hint="cs"/>
          <w:sz w:val="32"/>
          <w:szCs w:val="32"/>
          <w:rtl/>
        </w:rPr>
        <w:t xml:space="preserve"> </w:t>
      </w:r>
      <w:r w:rsidRPr="00D53ACD">
        <w:rPr>
          <w:rFonts w:ascii="Traditional Arabic" w:hAnsi="Traditional Arabic"/>
          <w:sz w:val="32"/>
          <w:szCs w:val="32"/>
          <w:rtl/>
        </w:rPr>
        <w:t xml:space="preserve">وعوارض مكتسبة </w:t>
      </w:r>
      <w:r w:rsidRPr="00BF427E">
        <w:rPr>
          <w:rFonts w:ascii="Traditional Arabic" w:hAnsi="Traditional Arabic"/>
          <w:sz w:val="32"/>
          <w:szCs w:val="32"/>
          <w:rtl/>
        </w:rPr>
        <w:t>كالخطأ واﻹكراه وال</w:t>
      </w:r>
      <w:r>
        <w:rPr>
          <w:rFonts w:ascii="Traditional Arabic" w:hAnsi="Traditional Arabic"/>
          <w:sz w:val="32"/>
          <w:szCs w:val="32"/>
          <w:rtl/>
        </w:rPr>
        <w:t>سفر. انظر: عوارض الأهلية ل</w:t>
      </w:r>
      <w:r>
        <w:rPr>
          <w:rFonts w:ascii="Traditional Arabic" w:hAnsi="Traditional Arabic" w:hint="cs"/>
          <w:sz w:val="32"/>
          <w:szCs w:val="32"/>
          <w:rtl/>
        </w:rPr>
        <w:t>حسين خلف</w:t>
      </w:r>
      <w:r w:rsidRPr="00BF427E">
        <w:rPr>
          <w:rFonts w:ascii="Traditional Arabic" w:hAnsi="Traditional Arabic"/>
          <w:sz w:val="32"/>
          <w:szCs w:val="32"/>
          <w:rtl/>
        </w:rPr>
        <w:t xml:space="preserve"> الجبوري (126).</w:t>
      </w:r>
    </w:p>
  </w:footnote>
  <w:footnote w:id="2013">
    <w:p w:rsidR="000D3D21" w:rsidRPr="00BF427E" w:rsidRDefault="000D3D21" w:rsidP="007A0DDE">
      <w:pPr>
        <w:pStyle w:val="a7"/>
        <w:ind w:left="329" w:hanging="329"/>
        <w:rPr>
          <w:rFonts w:ascii="Traditional Arabic" w:hAnsi="Traditional Arabic"/>
          <w:sz w:val="32"/>
          <w:szCs w:val="32"/>
          <w:rtl/>
        </w:rPr>
      </w:pPr>
      <w:r w:rsidRPr="00BF427E">
        <w:rPr>
          <w:rFonts w:ascii="Traditional Arabic" w:hAnsi="Traditional Arabic"/>
          <w:sz w:val="32"/>
          <w:szCs w:val="32"/>
          <w:rtl/>
        </w:rPr>
        <w:t>(</w:t>
      </w:r>
      <w:r w:rsidRPr="00BF427E">
        <w:rPr>
          <w:rFonts w:ascii="Traditional Arabic" w:hAnsi="Traditional Arabic"/>
          <w:sz w:val="32"/>
          <w:szCs w:val="32"/>
          <w:rtl/>
        </w:rPr>
        <w:footnoteRef/>
      </w:r>
      <w:r w:rsidRPr="00BF427E">
        <w:rPr>
          <w:rFonts w:ascii="Traditional Arabic" w:hAnsi="Traditional Arabic"/>
          <w:sz w:val="32"/>
          <w:szCs w:val="32"/>
          <w:rtl/>
        </w:rPr>
        <w:t>)</w:t>
      </w:r>
      <w:r>
        <w:rPr>
          <w:rFonts w:ascii="Traditional Arabic" w:hAnsi="Traditional Arabic" w:hint="cs"/>
          <w:sz w:val="32"/>
          <w:szCs w:val="32"/>
          <w:rtl/>
        </w:rPr>
        <w:t xml:space="preserve"> </w:t>
      </w:r>
      <w:r w:rsidRPr="00BF427E">
        <w:rPr>
          <w:rFonts w:ascii="Traditional Arabic" w:hAnsi="Traditional Arabic"/>
          <w:sz w:val="32"/>
          <w:szCs w:val="32"/>
          <w:rtl/>
        </w:rPr>
        <w:t>أي</w:t>
      </w:r>
      <w:r>
        <w:rPr>
          <w:rFonts w:ascii="Traditional Arabic" w:hAnsi="Traditional Arabic" w:hint="cs"/>
          <w:sz w:val="32"/>
          <w:szCs w:val="32"/>
          <w:rtl/>
        </w:rPr>
        <w:t>:</w:t>
      </w:r>
      <w:r w:rsidRPr="00BF427E">
        <w:rPr>
          <w:rFonts w:ascii="Traditional Arabic" w:hAnsi="Traditional Arabic"/>
          <w:sz w:val="32"/>
          <w:szCs w:val="32"/>
          <w:rtl/>
        </w:rPr>
        <w:t xml:space="preserve"> إذا ش</w:t>
      </w:r>
      <w:r>
        <w:rPr>
          <w:rFonts w:ascii="Traditional Arabic" w:hAnsi="Traditional Arabic" w:hint="cs"/>
          <w:sz w:val="32"/>
          <w:szCs w:val="32"/>
          <w:rtl/>
        </w:rPr>
        <w:t>ُ</w:t>
      </w:r>
      <w:r w:rsidRPr="00BF427E">
        <w:rPr>
          <w:rFonts w:ascii="Traditional Arabic" w:hAnsi="Traditional Arabic"/>
          <w:sz w:val="32"/>
          <w:szCs w:val="32"/>
          <w:rtl/>
        </w:rPr>
        <w:t>رعت رخصة</w:t>
      </w:r>
      <w:r>
        <w:rPr>
          <w:rFonts w:ascii="Traditional Arabic" w:hAnsi="Traditional Arabic" w:hint="cs"/>
          <w:sz w:val="32"/>
          <w:szCs w:val="32"/>
          <w:rtl/>
        </w:rPr>
        <w:t>ً</w:t>
      </w:r>
      <w:r w:rsidRPr="00BF427E">
        <w:rPr>
          <w:rFonts w:ascii="Traditional Arabic" w:hAnsi="Traditional Arabic"/>
          <w:sz w:val="32"/>
          <w:szCs w:val="32"/>
          <w:rtl/>
        </w:rPr>
        <w:t xml:space="preserve"> لعذر، و</w:t>
      </w:r>
      <w:r>
        <w:rPr>
          <w:rFonts w:ascii="Traditional Arabic" w:hAnsi="Traditional Arabic" w:hint="cs"/>
          <w:sz w:val="32"/>
          <w:szCs w:val="32"/>
          <w:rtl/>
        </w:rPr>
        <w:t>ُ</w:t>
      </w:r>
      <w:r w:rsidRPr="00BF427E">
        <w:rPr>
          <w:rFonts w:ascii="Traditional Arabic" w:hAnsi="Traditional Arabic"/>
          <w:sz w:val="32"/>
          <w:szCs w:val="32"/>
          <w:rtl/>
        </w:rPr>
        <w:t xml:space="preserve">وجد ما يشبه هذا العذر في شيء آخر، فهل يترخص فيه قياسا على الرخصة للاتفاق في العلة أو لا ؟ انظر: الرخص الشرعية وإثباتها بالقياس </w:t>
      </w:r>
      <w:r>
        <w:rPr>
          <w:rFonts w:ascii="Traditional Arabic" w:hAnsi="Traditional Arabic"/>
          <w:sz w:val="32"/>
          <w:szCs w:val="32"/>
          <w:rtl/>
        </w:rPr>
        <w:t>ل</w:t>
      </w:r>
      <w:r w:rsidRPr="00BF427E">
        <w:rPr>
          <w:rFonts w:ascii="Traditional Arabic" w:hAnsi="Traditional Arabic"/>
          <w:sz w:val="32"/>
          <w:szCs w:val="32"/>
          <w:rtl/>
        </w:rPr>
        <w:t>عبد الكريم النملة (177).</w:t>
      </w:r>
    </w:p>
  </w:footnote>
  <w:footnote w:id="2014">
    <w:p w:rsidR="000D3D21" w:rsidRPr="00BF427E" w:rsidRDefault="000D3D21" w:rsidP="009D0E52">
      <w:pPr>
        <w:pStyle w:val="a7"/>
        <w:ind w:left="329" w:hanging="329"/>
        <w:rPr>
          <w:rFonts w:ascii="Traditional Arabic" w:hAnsi="Traditional Arabic"/>
          <w:sz w:val="32"/>
          <w:szCs w:val="32"/>
          <w:rtl/>
        </w:rPr>
      </w:pPr>
      <w:r w:rsidRPr="00BF427E">
        <w:rPr>
          <w:rFonts w:ascii="Traditional Arabic" w:hAnsi="Traditional Arabic"/>
          <w:sz w:val="32"/>
          <w:szCs w:val="32"/>
          <w:rtl/>
        </w:rPr>
        <w:t>(</w:t>
      </w:r>
      <w:r w:rsidRPr="00BF427E">
        <w:rPr>
          <w:rFonts w:ascii="Traditional Arabic" w:hAnsi="Traditional Arabic"/>
          <w:sz w:val="32"/>
          <w:szCs w:val="32"/>
          <w:rtl/>
        </w:rPr>
        <w:footnoteRef/>
      </w:r>
      <w:r w:rsidRPr="00BF427E">
        <w:rPr>
          <w:rFonts w:ascii="Traditional Arabic" w:hAnsi="Traditional Arabic"/>
          <w:sz w:val="32"/>
          <w:szCs w:val="32"/>
          <w:rtl/>
        </w:rPr>
        <w:t>)</w:t>
      </w:r>
      <w:r>
        <w:rPr>
          <w:rFonts w:ascii="Traditional Arabic" w:hAnsi="Traditional Arabic" w:hint="cs"/>
          <w:b/>
          <w:bCs/>
          <w:sz w:val="32"/>
          <w:szCs w:val="32"/>
          <w:rtl/>
        </w:rPr>
        <w:t xml:space="preserve"> </w:t>
      </w:r>
      <w:r w:rsidRPr="00BF427E">
        <w:rPr>
          <w:rFonts w:ascii="Traditional Arabic" w:hAnsi="Traditional Arabic"/>
          <w:b/>
          <w:bCs/>
          <w:sz w:val="32"/>
          <w:szCs w:val="32"/>
          <w:rtl/>
        </w:rPr>
        <w:t>المعدول به عن سنن القياس</w:t>
      </w:r>
      <w:r>
        <w:rPr>
          <w:rFonts w:ascii="Traditional Arabic" w:hAnsi="Traditional Arabic" w:hint="cs"/>
          <w:b/>
          <w:bCs/>
          <w:sz w:val="32"/>
          <w:szCs w:val="32"/>
          <w:rtl/>
        </w:rPr>
        <w:t>:</w:t>
      </w:r>
      <w:r w:rsidR="00AB0B9E" w:rsidRPr="00BF427E">
        <w:rPr>
          <w:rFonts w:ascii="Traditional Arabic" w:hAnsi="Traditional Arabic"/>
          <w:sz w:val="32"/>
          <w:szCs w:val="32"/>
          <w:rtl/>
        </w:rPr>
        <w:fldChar w:fldCharType="begin"/>
      </w:r>
      <w:r w:rsidRPr="00BF427E">
        <w:rPr>
          <w:rFonts w:ascii="Traditional Arabic" w:hAnsi="Traditional Arabic"/>
          <w:sz w:val="32"/>
          <w:szCs w:val="32"/>
        </w:rPr>
        <w:instrText xml:space="preserve"> XE "</w:instrText>
      </w:r>
      <w:r w:rsidRPr="00BF427E">
        <w:rPr>
          <w:rFonts w:ascii="Traditional Arabic" w:hAnsi="Traditional Arabic"/>
          <w:sz w:val="32"/>
          <w:szCs w:val="32"/>
          <w:rtl/>
        </w:rPr>
        <w:instrText>المعدول به عن سنن القياس</w:instrText>
      </w:r>
      <w:r w:rsidRPr="00BF427E">
        <w:rPr>
          <w:rFonts w:ascii="Traditional Arabic" w:hAnsi="Traditional Arabic"/>
          <w:sz w:val="32"/>
          <w:szCs w:val="32"/>
        </w:rPr>
        <w:instrText>" \fm</w:instrText>
      </w:r>
      <w:r w:rsidR="00AB0B9E" w:rsidRPr="00BF427E">
        <w:rPr>
          <w:rFonts w:ascii="Traditional Arabic" w:hAnsi="Traditional Arabic"/>
          <w:sz w:val="32"/>
          <w:szCs w:val="32"/>
          <w:rtl/>
        </w:rPr>
        <w:fldChar w:fldCharType="end"/>
      </w:r>
      <w:r w:rsidRPr="00BF427E">
        <w:rPr>
          <w:rFonts w:ascii="Traditional Arabic" w:hAnsi="Traditional Arabic"/>
          <w:sz w:val="32"/>
          <w:szCs w:val="32"/>
          <w:rtl/>
        </w:rPr>
        <w:t xml:space="preserve"> هو أن ير</w:t>
      </w:r>
      <w:r>
        <w:rPr>
          <w:rFonts w:ascii="Traditional Arabic" w:hAnsi="Traditional Arabic" w:hint="cs"/>
          <w:sz w:val="32"/>
          <w:szCs w:val="32"/>
          <w:rtl/>
        </w:rPr>
        <w:t>ِ</w:t>
      </w:r>
      <w:r w:rsidRPr="00BF427E">
        <w:rPr>
          <w:rFonts w:ascii="Traditional Arabic" w:hAnsi="Traditional Arabic"/>
          <w:sz w:val="32"/>
          <w:szCs w:val="32"/>
          <w:rtl/>
        </w:rPr>
        <w:t>د نقضا</w:t>
      </w:r>
      <w:r>
        <w:rPr>
          <w:rFonts w:ascii="Traditional Arabic" w:hAnsi="Traditional Arabic" w:hint="cs"/>
          <w:sz w:val="32"/>
          <w:szCs w:val="32"/>
          <w:rtl/>
        </w:rPr>
        <w:t>ً</w:t>
      </w:r>
      <w:r w:rsidRPr="00BF427E">
        <w:rPr>
          <w:rFonts w:ascii="Traditional Arabic" w:hAnsi="Traditional Arabic"/>
          <w:sz w:val="32"/>
          <w:szCs w:val="32"/>
          <w:rtl/>
        </w:rPr>
        <w:t xml:space="preserve"> على قياس معتبر شرعا بالاتفاق، وكثير من العلماء يطلق عليه (الحكم المخالف للقياس). انظر: شفاء الغليل للغزالي (650)، و</w:t>
      </w:r>
      <w:r>
        <w:rPr>
          <w:rFonts w:ascii="Traditional Arabic" w:hAnsi="Traditional Arabic"/>
          <w:sz w:val="32"/>
          <w:szCs w:val="32"/>
          <w:rtl/>
        </w:rPr>
        <w:t>المعدول به عن سنن القياس ل</w:t>
      </w:r>
      <w:r w:rsidRPr="00BF427E">
        <w:rPr>
          <w:rFonts w:ascii="Traditional Arabic" w:hAnsi="Traditional Arabic"/>
          <w:sz w:val="32"/>
          <w:szCs w:val="32"/>
          <w:rtl/>
        </w:rPr>
        <w:t>عمر عبد العزيز (17).</w:t>
      </w:r>
    </w:p>
  </w:footnote>
  <w:footnote w:id="2015">
    <w:p w:rsidR="000D3D21" w:rsidRPr="00BF427E" w:rsidRDefault="000D3D21" w:rsidP="007A0DDE">
      <w:pPr>
        <w:pStyle w:val="a7"/>
        <w:ind w:left="329" w:hanging="329"/>
        <w:rPr>
          <w:rFonts w:ascii="Traditional Arabic" w:hAnsi="Traditional Arabic"/>
          <w:sz w:val="32"/>
          <w:szCs w:val="32"/>
          <w:rtl/>
        </w:rPr>
      </w:pPr>
      <w:r w:rsidRPr="00BF427E">
        <w:rPr>
          <w:rFonts w:ascii="Traditional Arabic" w:hAnsi="Traditional Arabic"/>
          <w:sz w:val="32"/>
          <w:szCs w:val="32"/>
          <w:rtl/>
        </w:rPr>
        <w:t>(</w:t>
      </w:r>
      <w:r w:rsidRPr="00BF427E">
        <w:rPr>
          <w:rFonts w:ascii="Traditional Arabic" w:hAnsi="Traditional Arabic"/>
          <w:sz w:val="32"/>
          <w:szCs w:val="32"/>
          <w:rtl/>
        </w:rPr>
        <w:footnoteRef/>
      </w:r>
      <w:r w:rsidRPr="00BF427E">
        <w:rPr>
          <w:rFonts w:ascii="Traditional Arabic" w:hAnsi="Traditional Arabic"/>
          <w:sz w:val="32"/>
          <w:szCs w:val="32"/>
          <w:rtl/>
        </w:rPr>
        <w:t xml:space="preserve">) </w:t>
      </w:r>
      <w:r>
        <w:rPr>
          <w:rFonts w:ascii="Traditional Arabic" w:hAnsi="Traditional Arabic" w:hint="cs"/>
          <w:sz w:val="32"/>
          <w:szCs w:val="32"/>
          <w:rtl/>
        </w:rPr>
        <w:t>المدخل الفقهي العام (2/991)، و</w:t>
      </w:r>
      <w:r w:rsidRPr="00BF427E">
        <w:rPr>
          <w:rFonts w:ascii="Traditional Arabic" w:hAnsi="Traditional Arabic"/>
          <w:sz w:val="32"/>
          <w:szCs w:val="32"/>
          <w:rtl/>
        </w:rPr>
        <w:t>القواعد الفقهية لعلي الندوي (265), والقواعد المشتركة بين أصول الفقه و</w:t>
      </w:r>
      <w:r>
        <w:rPr>
          <w:rFonts w:ascii="Traditional Arabic" w:hAnsi="Traditional Arabic" w:hint="cs"/>
          <w:sz w:val="32"/>
          <w:szCs w:val="32"/>
          <w:rtl/>
        </w:rPr>
        <w:t>ال</w:t>
      </w:r>
      <w:r w:rsidRPr="00BF427E">
        <w:rPr>
          <w:rFonts w:ascii="Traditional Arabic" w:hAnsi="Traditional Arabic"/>
          <w:sz w:val="32"/>
          <w:szCs w:val="32"/>
          <w:rtl/>
        </w:rPr>
        <w:t>قواعد الفقه</w:t>
      </w:r>
      <w:r>
        <w:rPr>
          <w:rFonts w:ascii="Traditional Arabic" w:hAnsi="Traditional Arabic" w:hint="cs"/>
          <w:sz w:val="32"/>
          <w:szCs w:val="32"/>
          <w:rtl/>
        </w:rPr>
        <w:t xml:space="preserve">ية </w:t>
      </w:r>
      <w:r w:rsidRPr="00BF427E">
        <w:rPr>
          <w:rFonts w:ascii="Traditional Arabic" w:hAnsi="Traditional Arabic"/>
          <w:sz w:val="32"/>
          <w:szCs w:val="32"/>
          <w:rtl/>
        </w:rPr>
        <w:t>(2/34</w:t>
      </w:r>
      <w:r>
        <w:rPr>
          <w:rFonts w:ascii="Traditional Arabic" w:hAnsi="Traditional Arabic"/>
          <w:sz w:val="32"/>
          <w:szCs w:val="32"/>
          <w:rtl/>
        </w:rPr>
        <w:t>8)</w:t>
      </w:r>
      <w:r w:rsidRPr="00BF427E">
        <w:rPr>
          <w:rFonts w:ascii="Traditional Arabic" w:hAnsi="Traditional Arabic"/>
          <w:sz w:val="32"/>
          <w:szCs w:val="32"/>
          <w:rtl/>
        </w:rPr>
        <w:t>.</w:t>
      </w:r>
    </w:p>
  </w:footnote>
  <w:footnote w:id="2016">
    <w:p w:rsidR="000D3D21" w:rsidRPr="00BF427E" w:rsidRDefault="000D3D21" w:rsidP="007A0DDE">
      <w:pPr>
        <w:pStyle w:val="a7"/>
        <w:ind w:left="329" w:hanging="329"/>
        <w:rPr>
          <w:rFonts w:ascii="Traditional Arabic" w:hAnsi="Traditional Arabic"/>
          <w:sz w:val="32"/>
          <w:szCs w:val="32"/>
          <w:rtl/>
        </w:rPr>
      </w:pPr>
      <w:r w:rsidRPr="00BF427E">
        <w:rPr>
          <w:rFonts w:ascii="Traditional Arabic" w:hAnsi="Traditional Arabic"/>
          <w:sz w:val="32"/>
          <w:szCs w:val="32"/>
          <w:rtl/>
        </w:rPr>
        <w:t>(</w:t>
      </w:r>
      <w:r w:rsidRPr="00BF427E">
        <w:rPr>
          <w:rFonts w:ascii="Traditional Arabic" w:hAnsi="Traditional Arabic"/>
          <w:sz w:val="32"/>
          <w:szCs w:val="32"/>
          <w:rtl/>
        </w:rPr>
        <w:footnoteRef/>
      </w:r>
      <w:r w:rsidRPr="00BF427E">
        <w:rPr>
          <w:rFonts w:ascii="Traditional Arabic" w:hAnsi="Traditional Arabic"/>
          <w:sz w:val="32"/>
          <w:szCs w:val="32"/>
          <w:rtl/>
        </w:rPr>
        <w:t>) انظر</w:t>
      </w:r>
      <w:r>
        <w:rPr>
          <w:rFonts w:ascii="Traditional Arabic" w:hAnsi="Traditional Arabic" w:hint="cs"/>
          <w:sz w:val="32"/>
          <w:szCs w:val="32"/>
          <w:rtl/>
        </w:rPr>
        <w:t>:</w:t>
      </w:r>
      <w:r w:rsidRPr="00BF427E">
        <w:rPr>
          <w:rFonts w:ascii="Traditional Arabic" w:hAnsi="Traditional Arabic"/>
          <w:sz w:val="32"/>
          <w:szCs w:val="32"/>
          <w:rtl/>
        </w:rPr>
        <w:t xml:space="preserve"> </w:t>
      </w:r>
      <w:r>
        <w:rPr>
          <w:rFonts w:ascii="Traditional Arabic" w:hAnsi="Traditional Arabic" w:hint="cs"/>
          <w:sz w:val="32"/>
          <w:szCs w:val="32"/>
          <w:rtl/>
        </w:rPr>
        <w:t>شرح منظومة أصول الفقه وقواعده (66)، و</w:t>
      </w:r>
      <w:r w:rsidRPr="00BF427E">
        <w:rPr>
          <w:rFonts w:ascii="Traditional Arabic" w:hAnsi="Traditional Arabic"/>
          <w:sz w:val="32"/>
          <w:szCs w:val="32"/>
          <w:rtl/>
        </w:rPr>
        <w:t>درر الحكام (1/31), شرح مجلة الأحكام العدلية لسليم رستم</w:t>
      </w:r>
      <w:r>
        <w:rPr>
          <w:rFonts w:ascii="Traditional Arabic" w:hAnsi="Traditional Arabic"/>
          <w:sz w:val="32"/>
          <w:szCs w:val="32"/>
          <w:rtl/>
        </w:rPr>
        <w:t xml:space="preserve"> (27), والوجيز للبورنو(218)</w:t>
      </w:r>
      <w:r w:rsidRPr="00BF427E">
        <w:rPr>
          <w:rFonts w:ascii="Traditional Arabic" w:hAnsi="Traditional Arabic"/>
          <w:sz w:val="32"/>
          <w:szCs w:val="32"/>
          <w:rtl/>
        </w:rPr>
        <w:t>.</w:t>
      </w:r>
    </w:p>
  </w:footnote>
  <w:footnote w:id="2017">
    <w:p w:rsidR="000D3D21" w:rsidRPr="00BF427E" w:rsidRDefault="000D3D21" w:rsidP="00D77425">
      <w:pPr>
        <w:pStyle w:val="a7"/>
        <w:ind w:left="329" w:hanging="329"/>
        <w:rPr>
          <w:rFonts w:ascii="Traditional Arabic" w:hAnsi="Traditional Arabic"/>
          <w:sz w:val="32"/>
          <w:szCs w:val="32"/>
          <w:rtl/>
        </w:rPr>
      </w:pPr>
      <w:r w:rsidRPr="00BF427E">
        <w:rPr>
          <w:rFonts w:ascii="Traditional Arabic" w:hAnsi="Traditional Arabic"/>
          <w:sz w:val="32"/>
          <w:szCs w:val="32"/>
          <w:rtl/>
        </w:rPr>
        <w:t>(</w:t>
      </w:r>
      <w:r w:rsidRPr="00BF427E">
        <w:rPr>
          <w:rFonts w:ascii="Traditional Arabic" w:hAnsi="Traditional Arabic"/>
          <w:sz w:val="32"/>
          <w:szCs w:val="32"/>
          <w:rtl/>
        </w:rPr>
        <w:footnoteRef/>
      </w:r>
      <w:r w:rsidRPr="00BF427E">
        <w:rPr>
          <w:rFonts w:ascii="Traditional Arabic" w:hAnsi="Traditional Arabic"/>
          <w:sz w:val="32"/>
          <w:szCs w:val="32"/>
          <w:rtl/>
        </w:rPr>
        <w:t>)</w:t>
      </w:r>
      <w:r>
        <w:rPr>
          <w:rFonts w:ascii="Traditional Arabic" w:hAnsi="Traditional Arabic" w:hint="cs"/>
          <w:sz w:val="32"/>
          <w:szCs w:val="32"/>
          <w:rtl/>
        </w:rPr>
        <w:t xml:space="preserve"> </w:t>
      </w:r>
      <w:r w:rsidRPr="00BF427E">
        <w:rPr>
          <w:rFonts w:ascii="Traditional Arabic" w:hAnsi="Traditional Arabic"/>
          <w:sz w:val="32"/>
          <w:szCs w:val="32"/>
          <w:rtl/>
        </w:rPr>
        <w:t>فالمشقة المعتادة لا أثر لها في التخفيف. انظر في ذلك وفي ضابط المشقة الموجِبة للتخفيف في العبادات والمعاملات: الأشباه والنظائر لابن نجيم (103)، والفروق للقرافي (1/120)، والقواعد للمقري (1/327)، والموافقات للشاط</w:t>
      </w:r>
      <w:r>
        <w:rPr>
          <w:rFonts w:ascii="Traditional Arabic" w:hAnsi="Traditional Arabic"/>
          <w:sz w:val="32"/>
          <w:szCs w:val="32"/>
          <w:rtl/>
        </w:rPr>
        <w:t xml:space="preserve">بي (1/314-315)، وقواعد الأحكام </w:t>
      </w:r>
      <w:r w:rsidRPr="00BF427E">
        <w:rPr>
          <w:rFonts w:ascii="Traditional Arabic" w:hAnsi="Traditional Arabic"/>
          <w:sz w:val="32"/>
          <w:szCs w:val="32"/>
          <w:rtl/>
        </w:rPr>
        <w:t xml:space="preserve">لعز </w:t>
      </w:r>
      <w:r>
        <w:rPr>
          <w:rFonts w:ascii="Traditional Arabic" w:hAnsi="Traditional Arabic" w:hint="cs"/>
          <w:sz w:val="32"/>
          <w:szCs w:val="32"/>
          <w:rtl/>
        </w:rPr>
        <w:t xml:space="preserve">الدين </w:t>
      </w:r>
      <w:r w:rsidRPr="00BF427E">
        <w:rPr>
          <w:rFonts w:ascii="Traditional Arabic" w:hAnsi="Traditional Arabic"/>
          <w:sz w:val="32"/>
          <w:szCs w:val="32"/>
          <w:rtl/>
        </w:rPr>
        <w:t>بن عبد السلام</w:t>
      </w:r>
      <w:r>
        <w:rPr>
          <w:rFonts w:ascii="Traditional Arabic" w:hAnsi="Traditional Arabic"/>
          <w:sz w:val="32"/>
          <w:szCs w:val="32"/>
          <w:rtl/>
        </w:rPr>
        <w:t xml:space="preserve"> (2/12)، والمجموع المذهب</w:t>
      </w:r>
      <w:r w:rsidRPr="00BF427E">
        <w:rPr>
          <w:rFonts w:ascii="Traditional Arabic" w:hAnsi="Traditional Arabic"/>
          <w:sz w:val="32"/>
          <w:szCs w:val="32"/>
          <w:rtl/>
        </w:rPr>
        <w:t xml:space="preserve"> (1/355)، والأشباه والنظائر للسيوطي (80)، وإعلام الموقعين لابن القيم (2/131)، وقاعدة المشقة تجلب التيسير للباحسين (61-62).</w:t>
      </w:r>
    </w:p>
  </w:footnote>
  <w:footnote w:id="2018">
    <w:p w:rsidR="000D3D21" w:rsidRPr="00FF0604" w:rsidRDefault="000D3D21" w:rsidP="007A0DDE">
      <w:pPr>
        <w:pStyle w:val="a7"/>
        <w:ind w:left="329" w:hanging="329"/>
        <w:rPr>
          <w:rFonts w:ascii="Traditional Arabic" w:hAnsi="Traditional Arabic"/>
          <w:sz w:val="24"/>
          <w:szCs w:val="24"/>
          <w:rtl/>
        </w:rPr>
      </w:pPr>
      <w:r w:rsidRPr="00BF427E">
        <w:rPr>
          <w:rFonts w:ascii="Traditional Arabic" w:hAnsi="Traditional Arabic"/>
          <w:sz w:val="32"/>
          <w:szCs w:val="32"/>
          <w:rtl/>
        </w:rPr>
        <w:t>(</w:t>
      </w:r>
      <w:r w:rsidRPr="00BF427E">
        <w:rPr>
          <w:rFonts w:ascii="Traditional Arabic" w:hAnsi="Traditional Arabic"/>
          <w:sz w:val="32"/>
          <w:szCs w:val="32"/>
          <w:rtl/>
        </w:rPr>
        <w:footnoteRef/>
      </w:r>
      <w:r w:rsidRPr="00BF427E">
        <w:rPr>
          <w:rFonts w:ascii="Traditional Arabic" w:hAnsi="Traditional Arabic"/>
          <w:sz w:val="32"/>
          <w:szCs w:val="32"/>
          <w:rtl/>
        </w:rPr>
        <w:t>) الوجيز للبورنو(218).</w:t>
      </w:r>
    </w:p>
  </w:footnote>
  <w:footnote w:id="2019">
    <w:p w:rsidR="000D3D21" w:rsidRPr="00BF427E" w:rsidRDefault="000D3D21" w:rsidP="007A0DDE">
      <w:pPr>
        <w:pStyle w:val="a7"/>
        <w:ind w:left="329" w:hanging="329"/>
        <w:rPr>
          <w:rFonts w:ascii="Traditional Arabic" w:hAnsi="Traditional Arabic"/>
          <w:sz w:val="32"/>
          <w:szCs w:val="32"/>
        </w:rPr>
      </w:pPr>
      <w:r w:rsidRPr="00BF427E">
        <w:rPr>
          <w:rFonts w:ascii="Traditional Arabic" w:hAnsi="Traditional Arabic"/>
          <w:sz w:val="32"/>
          <w:szCs w:val="32"/>
          <w:rtl/>
        </w:rPr>
        <w:t>(</w:t>
      </w:r>
      <w:r w:rsidRPr="00BF427E">
        <w:rPr>
          <w:rFonts w:ascii="Traditional Arabic" w:hAnsi="Traditional Arabic"/>
          <w:sz w:val="32"/>
          <w:szCs w:val="32"/>
          <w:rtl/>
        </w:rPr>
        <w:footnoteRef/>
      </w:r>
      <w:r w:rsidRPr="00BF427E">
        <w:rPr>
          <w:rFonts w:ascii="Traditional Arabic" w:hAnsi="Traditional Arabic"/>
          <w:sz w:val="32"/>
          <w:szCs w:val="32"/>
          <w:rtl/>
        </w:rPr>
        <w:t>)</w:t>
      </w:r>
      <w:r>
        <w:rPr>
          <w:rFonts w:ascii="Traditional Arabic" w:hAnsi="Traditional Arabic" w:hint="cs"/>
          <w:sz w:val="32"/>
          <w:szCs w:val="32"/>
          <w:rtl/>
        </w:rPr>
        <w:t xml:space="preserve"> </w:t>
      </w:r>
      <w:r w:rsidRPr="00BF427E">
        <w:rPr>
          <w:rFonts w:ascii="Traditional Arabic" w:hAnsi="Traditional Arabic" w:hint="cs"/>
          <w:sz w:val="32"/>
          <w:szCs w:val="32"/>
          <w:rtl/>
        </w:rPr>
        <w:t>انظر: دروس وفتاوى الحرم المكي</w:t>
      </w:r>
      <w:r>
        <w:rPr>
          <w:rFonts w:ascii="Traditional Arabic" w:hAnsi="Traditional Arabic" w:hint="cs"/>
          <w:sz w:val="32"/>
          <w:szCs w:val="32"/>
          <w:rtl/>
        </w:rPr>
        <w:t xml:space="preserve"> (198),</w:t>
      </w:r>
      <w:r w:rsidRPr="00BF427E">
        <w:rPr>
          <w:rFonts w:ascii="Traditional Arabic" w:hAnsi="Traditional Arabic" w:hint="cs"/>
          <w:sz w:val="32"/>
          <w:szCs w:val="32"/>
          <w:rtl/>
        </w:rPr>
        <w:t xml:space="preserve"> </w:t>
      </w:r>
      <w:r>
        <w:rPr>
          <w:rFonts w:ascii="Traditional Arabic" w:hAnsi="Traditional Arabic" w:hint="cs"/>
          <w:sz w:val="32"/>
          <w:szCs w:val="32"/>
          <w:rtl/>
        </w:rPr>
        <w:t>و</w:t>
      </w:r>
      <w:r w:rsidRPr="00BF427E">
        <w:rPr>
          <w:rFonts w:ascii="Traditional Arabic" w:hAnsi="Traditional Arabic" w:hint="cs"/>
          <w:sz w:val="32"/>
          <w:szCs w:val="32"/>
          <w:rtl/>
        </w:rPr>
        <w:t>تفسير سورة البقرة</w:t>
      </w:r>
      <w:r>
        <w:rPr>
          <w:rFonts w:ascii="Traditional Arabic" w:hAnsi="Traditional Arabic" w:hint="cs"/>
          <w:sz w:val="32"/>
          <w:szCs w:val="32"/>
          <w:rtl/>
        </w:rPr>
        <w:t xml:space="preserve"> </w:t>
      </w:r>
      <w:r w:rsidRPr="00BF427E">
        <w:rPr>
          <w:rFonts w:ascii="Traditional Arabic" w:hAnsi="Traditional Arabic" w:hint="cs"/>
          <w:sz w:val="32"/>
          <w:szCs w:val="32"/>
          <w:rtl/>
        </w:rPr>
        <w:t>(2/324, 339), و(3/456), وتفسير سورة النساء (1/246, 249), والتفسير الثمين للعلامة العثيمين (6/62).</w:t>
      </w:r>
    </w:p>
  </w:footnote>
  <w:footnote w:id="2020">
    <w:p w:rsidR="000D3D21" w:rsidRPr="005C3C61" w:rsidRDefault="000D3D21">
      <w:pPr>
        <w:pStyle w:val="a7"/>
        <w:rPr>
          <w:rFonts w:ascii="Traditional Arabic" w:hAnsi="Traditional Arabic"/>
          <w:sz w:val="32"/>
          <w:szCs w:val="32"/>
          <w:rtl/>
        </w:rPr>
      </w:pPr>
      <w:r w:rsidRPr="005C3C61">
        <w:rPr>
          <w:rStyle w:val="af1"/>
          <w:rFonts w:ascii="Traditional Arabic" w:hAnsi="Traditional Arabic"/>
          <w:sz w:val="32"/>
          <w:szCs w:val="32"/>
          <w:vertAlign w:val="baseline"/>
        </w:rPr>
        <w:footnoteRef/>
      </w:r>
      <w:r w:rsidRPr="005C3C61">
        <w:rPr>
          <w:rFonts w:ascii="Traditional Arabic" w:hAnsi="Traditional Arabic"/>
          <w:sz w:val="32"/>
          <w:szCs w:val="32"/>
        </w:rPr>
        <w:t>)</w:t>
      </w:r>
      <w:r w:rsidRPr="005C3C61">
        <w:rPr>
          <w:rFonts w:ascii="Traditional Arabic" w:hAnsi="Traditional Arabic"/>
          <w:sz w:val="32"/>
          <w:szCs w:val="32"/>
          <w:rtl/>
        </w:rPr>
        <w:t xml:space="preserve">) </w:t>
      </w:r>
      <w:r>
        <w:rPr>
          <w:rFonts w:ascii="Traditional Arabic" w:hAnsi="Traditional Arabic"/>
          <w:b/>
          <w:bCs/>
          <w:noProof w:val="0"/>
          <w:color w:val="auto"/>
          <w:sz w:val="32"/>
          <w:szCs w:val="32"/>
          <w:rtl/>
          <w:lang w:eastAsia="en-US"/>
        </w:rPr>
        <w:t>الغد</w:t>
      </w:r>
      <w:r w:rsidRPr="005C3C61">
        <w:rPr>
          <w:rFonts w:ascii="Traditional Arabic" w:hAnsi="Traditional Arabic"/>
          <w:b/>
          <w:bCs/>
          <w:noProof w:val="0"/>
          <w:color w:val="auto"/>
          <w:sz w:val="32"/>
          <w:szCs w:val="32"/>
          <w:rtl/>
          <w:lang w:eastAsia="en-US"/>
        </w:rPr>
        <w:t>وة:</w:t>
      </w:r>
      <w:r w:rsidRPr="00DE73DC">
        <w:rPr>
          <w:rFonts w:ascii="Traditional Arabic" w:hAnsi="Traditional Arabic"/>
          <w:noProof w:val="0"/>
          <w:color w:val="auto"/>
          <w:sz w:val="32"/>
          <w:szCs w:val="32"/>
          <w:rtl/>
          <w:lang w:eastAsia="en-US"/>
        </w:rPr>
        <w:t xml:space="preserve"> ا</w:t>
      </w:r>
      <w:r>
        <w:rPr>
          <w:rFonts w:ascii="Traditional Arabic" w:hAnsi="Traditional Arabic"/>
          <w:noProof w:val="0"/>
          <w:color w:val="auto"/>
          <w:sz w:val="32"/>
          <w:szCs w:val="32"/>
          <w:rtl/>
          <w:lang w:eastAsia="en-US"/>
        </w:rPr>
        <w:t>لمرّة من الغُدُوّ، وهو سير أ</w:t>
      </w:r>
      <w:r>
        <w:rPr>
          <w:rFonts w:ascii="Traditional Arabic" w:hAnsi="Traditional Arabic" w:hint="cs"/>
          <w:noProof w:val="0"/>
          <w:color w:val="auto"/>
          <w:sz w:val="32"/>
          <w:szCs w:val="32"/>
          <w:rtl/>
          <w:lang w:eastAsia="en-US"/>
        </w:rPr>
        <w:t xml:space="preserve">ول </w:t>
      </w:r>
      <w:r w:rsidRPr="00DE73DC">
        <w:rPr>
          <w:rFonts w:ascii="Traditional Arabic" w:hAnsi="Traditional Arabic"/>
          <w:noProof w:val="0"/>
          <w:color w:val="auto"/>
          <w:sz w:val="32"/>
          <w:szCs w:val="32"/>
          <w:rtl/>
          <w:lang w:eastAsia="en-US"/>
        </w:rPr>
        <w:t>النهار، نَقِيض الرَّواح</w:t>
      </w:r>
      <w:r>
        <w:rPr>
          <w:rFonts w:ascii="Traditional Arabic" w:hAnsi="Traditional Arabic" w:hint="cs"/>
          <w:noProof w:val="0"/>
          <w:color w:val="auto"/>
          <w:sz w:val="32"/>
          <w:szCs w:val="32"/>
          <w:rtl/>
          <w:lang w:eastAsia="en-US"/>
        </w:rPr>
        <w:t>. النهاية في غريب الحديث والأثر (3/346)، وفتح الباري لابن حجر (1/128).</w:t>
      </w:r>
      <w:r>
        <w:rPr>
          <w:rFonts w:ascii="Traditional Arabic" w:hAnsi="Traditional Arabic" w:hint="cs"/>
          <w:sz w:val="32"/>
          <w:szCs w:val="32"/>
          <w:rtl/>
        </w:rPr>
        <w:t xml:space="preserve"> </w:t>
      </w:r>
    </w:p>
  </w:footnote>
  <w:footnote w:id="2021">
    <w:p w:rsidR="000D3D21" w:rsidRPr="00DE73DC" w:rsidRDefault="000D3D21" w:rsidP="0034747A">
      <w:pPr>
        <w:widowControl/>
        <w:autoSpaceDE w:val="0"/>
        <w:autoSpaceDN w:val="0"/>
        <w:adjustRightInd w:val="0"/>
        <w:ind w:firstLine="0"/>
        <w:jc w:val="left"/>
        <w:rPr>
          <w:rFonts w:ascii="Traditional Arabic" w:hAnsi="Traditional Arabic"/>
          <w:sz w:val="32"/>
          <w:szCs w:val="32"/>
          <w:rtl/>
        </w:rPr>
      </w:pPr>
      <w:r w:rsidRPr="00DE73DC">
        <w:rPr>
          <w:rStyle w:val="af1"/>
          <w:rFonts w:ascii="Traditional Arabic" w:hAnsi="Traditional Arabic"/>
          <w:sz w:val="32"/>
          <w:szCs w:val="32"/>
          <w:vertAlign w:val="baseline"/>
        </w:rPr>
        <w:footnoteRef/>
      </w:r>
      <w:r w:rsidRPr="00DE73DC">
        <w:rPr>
          <w:rFonts w:ascii="Traditional Arabic" w:hAnsi="Traditional Arabic"/>
          <w:sz w:val="32"/>
          <w:szCs w:val="32"/>
        </w:rPr>
        <w:t>)</w:t>
      </w:r>
      <w:r w:rsidRPr="00DE73DC">
        <w:rPr>
          <w:rFonts w:ascii="Traditional Arabic" w:hAnsi="Traditional Arabic"/>
          <w:sz w:val="32"/>
          <w:szCs w:val="32"/>
          <w:rtl/>
        </w:rPr>
        <w:t xml:space="preserve">) </w:t>
      </w:r>
      <w:r w:rsidRPr="003B0DCB">
        <w:rPr>
          <w:rFonts w:ascii="Traditional Arabic" w:hAnsi="Traditional Arabic" w:hint="cs"/>
          <w:b/>
          <w:bCs/>
          <w:sz w:val="32"/>
          <w:szCs w:val="32"/>
          <w:rtl/>
        </w:rPr>
        <w:t>الروحة:</w:t>
      </w:r>
      <w:r w:rsidRPr="003B0DCB">
        <w:rPr>
          <w:rFonts w:ascii="Traditional Arabic" w:hAnsi="Traditional Arabic" w:hint="cs"/>
          <w:b/>
          <w:bCs/>
          <w:noProof w:val="0"/>
          <w:sz w:val="32"/>
          <w:szCs w:val="32"/>
          <w:rtl/>
          <w:lang w:eastAsia="en-US"/>
        </w:rPr>
        <w:t xml:space="preserve"> </w:t>
      </w:r>
      <w:r>
        <w:rPr>
          <w:rFonts w:ascii="Traditional Arabic" w:hAnsi="Traditional Arabic"/>
          <w:noProof w:val="0"/>
          <w:sz w:val="32"/>
          <w:szCs w:val="32"/>
          <w:rtl/>
          <w:lang w:eastAsia="en-US"/>
        </w:rPr>
        <w:t xml:space="preserve">السير </w:t>
      </w:r>
      <w:r>
        <w:rPr>
          <w:rFonts w:ascii="Traditional Arabic" w:hAnsi="Traditional Arabic" w:hint="cs"/>
          <w:noProof w:val="0"/>
          <w:sz w:val="32"/>
          <w:szCs w:val="32"/>
          <w:rtl/>
          <w:lang w:eastAsia="en-US"/>
        </w:rPr>
        <w:t>بعد الزوال</w:t>
      </w:r>
      <w:r w:rsidRPr="003B0DCB">
        <w:rPr>
          <w:rFonts w:ascii="Traditional Arabic" w:hAnsi="Traditional Arabic" w:hint="cs"/>
          <w:noProof w:val="0"/>
          <w:sz w:val="32"/>
          <w:szCs w:val="32"/>
          <w:rtl/>
          <w:lang w:eastAsia="en-US"/>
        </w:rPr>
        <w:t>.</w:t>
      </w:r>
      <w:r>
        <w:rPr>
          <w:rFonts w:ascii="Traditional Arabic" w:hAnsi="Traditional Arabic" w:hint="cs"/>
          <w:noProof w:val="0"/>
          <w:sz w:val="44"/>
          <w:szCs w:val="44"/>
          <w:rtl/>
          <w:lang w:eastAsia="en-US"/>
        </w:rPr>
        <w:t xml:space="preserve"> </w:t>
      </w:r>
      <w:r w:rsidRPr="003B0DCB">
        <w:rPr>
          <w:rFonts w:ascii="Traditional Arabic" w:hAnsi="Traditional Arabic" w:hint="cs"/>
          <w:noProof w:val="0"/>
          <w:sz w:val="32"/>
          <w:szCs w:val="32"/>
          <w:rtl/>
          <w:lang w:eastAsia="en-US"/>
        </w:rPr>
        <w:t>فتح الباري لابن حجر (</w:t>
      </w:r>
      <w:r>
        <w:rPr>
          <w:rFonts w:ascii="Traditional Arabic" w:hAnsi="Traditional Arabic" w:hint="cs"/>
          <w:noProof w:val="0"/>
          <w:sz w:val="32"/>
          <w:szCs w:val="32"/>
          <w:rtl/>
          <w:lang w:eastAsia="en-US"/>
        </w:rPr>
        <w:t>1/128</w:t>
      </w:r>
      <w:r w:rsidRPr="003B0DCB">
        <w:rPr>
          <w:rFonts w:ascii="Traditional Arabic" w:hAnsi="Traditional Arabic" w:hint="cs"/>
          <w:noProof w:val="0"/>
          <w:sz w:val="32"/>
          <w:szCs w:val="32"/>
          <w:rtl/>
          <w:lang w:eastAsia="en-US"/>
        </w:rPr>
        <w:t>).</w:t>
      </w:r>
    </w:p>
  </w:footnote>
  <w:footnote w:id="2022">
    <w:p w:rsidR="000D3D21" w:rsidRPr="005C3C61" w:rsidRDefault="000D3D21">
      <w:pPr>
        <w:pStyle w:val="a7"/>
        <w:rPr>
          <w:rFonts w:ascii="Traditional Arabic" w:hAnsi="Traditional Arabic"/>
          <w:sz w:val="32"/>
          <w:szCs w:val="32"/>
          <w:rtl/>
        </w:rPr>
      </w:pPr>
      <w:r w:rsidRPr="005C3C61">
        <w:rPr>
          <w:rStyle w:val="af1"/>
          <w:rFonts w:ascii="Traditional Arabic" w:hAnsi="Traditional Arabic"/>
          <w:sz w:val="32"/>
          <w:szCs w:val="32"/>
          <w:vertAlign w:val="baseline"/>
        </w:rPr>
        <w:footnoteRef/>
      </w:r>
      <w:r w:rsidRPr="005C3C61">
        <w:rPr>
          <w:rFonts w:ascii="Traditional Arabic" w:hAnsi="Traditional Arabic"/>
          <w:sz w:val="32"/>
          <w:szCs w:val="32"/>
        </w:rPr>
        <w:t>)</w:t>
      </w:r>
      <w:r w:rsidRPr="005C3C61">
        <w:rPr>
          <w:rFonts w:ascii="Traditional Arabic" w:hAnsi="Traditional Arabic"/>
          <w:sz w:val="32"/>
          <w:szCs w:val="32"/>
          <w:rtl/>
        </w:rPr>
        <w:t xml:space="preserve">) </w:t>
      </w:r>
      <w:r w:rsidRPr="005C3C61">
        <w:rPr>
          <w:rFonts w:ascii="Traditional Arabic" w:hAnsi="Traditional Arabic" w:hint="cs"/>
          <w:b/>
          <w:bCs/>
          <w:sz w:val="32"/>
          <w:szCs w:val="32"/>
          <w:rtl/>
        </w:rPr>
        <w:t>الدلجة:</w:t>
      </w:r>
      <w:r>
        <w:rPr>
          <w:rFonts w:ascii="Traditional Arabic" w:hAnsi="Traditional Arabic" w:hint="cs"/>
          <w:sz w:val="32"/>
          <w:szCs w:val="32"/>
          <w:rtl/>
        </w:rPr>
        <w:t xml:space="preserve"> سير الليل، وقيل: سير آخر الليل. انظر: النهاية في غريب الحديث والأثر (2/129)، وفتح الباري لابن حجر (1/128).</w:t>
      </w:r>
    </w:p>
  </w:footnote>
  <w:footnote w:id="2023">
    <w:p w:rsidR="000D3D21" w:rsidRPr="00BF427E" w:rsidRDefault="000D3D21" w:rsidP="007A0DDE">
      <w:pPr>
        <w:pStyle w:val="a7"/>
        <w:ind w:left="329" w:hanging="329"/>
        <w:rPr>
          <w:rFonts w:ascii="Traditional Arabic" w:hAnsi="Traditional Arabic"/>
          <w:sz w:val="32"/>
          <w:szCs w:val="32"/>
        </w:rPr>
      </w:pPr>
      <w:r w:rsidRPr="00BF427E">
        <w:rPr>
          <w:rFonts w:ascii="Traditional Arabic" w:hAnsi="Traditional Arabic"/>
          <w:sz w:val="32"/>
          <w:szCs w:val="32"/>
          <w:rtl/>
        </w:rPr>
        <w:t>(</w:t>
      </w:r>
      <w:r w:rsidRPr="00BF427E">
        <w:rPr>
          <w:rFonts w:ascii="Traditional Arabic" w:hAnsi="Traditional Arabic"/>
          <w:sz w:val="32"/>
          <w:szCs w:val="32"/>
          <w:rtl/>
        </w:rPr>
        <w:footnoteRef/>
      </w:r>
      <w:r w:rsidRPr="00BF427E">
        <w:rPr>
          <w:rFonts w:ascii="Traditional Arabic" w:hAnsi="Traditional Arabic"/>
          <w:sz w:val="32"/>
          <w:szCs w:val="32"/>
          <w:rtl/>
        </w:rPr>
        <w:t>)</w:t>
      </w:r>
      <w:r>
        <w:rPr>
          <w:rFonts w:ascii="Traditional Arabic" w:hAnsi="Traditional Arabic" w:hint="cs"/>
          <w:sz w:val="32"/>
          <w:szCs w:val="32"/>
          <w:rtl/>
        </w:rPr>
        <w:t xml:space="preserve"> </w:t>
      </w:r>
      <w:r w:rsidRPr="00BF427E">
        <w:rPr>
          <w:rFonts w:ascii="Traditional Arabic" w:hAnsi="Traditional Arabic" w:hint="cs"/>
          <w:sz w:val="32"/>
          <w:szCs w:val="32"/>
          <w:rtl/>
        </w:rPr>
        <w:t>أخرجه البخاري ف</w:t>
      </w:r>
      <w:r>
        <w:rPr>
          <w:rFonts w:ascii="Traditional Arabic" w:hAnsi="Traditional Arabic" w:hint="cs"/>
          <w:sz w:val="32"/>
          <w:szCs w:val="32"/>
          <w:rtl/>
        </w:rPr>
        <w:t xml:space="preserve">ي كتاب الإيمان, باب الدين يسر, رقم الحديث </w:t>
      </w:r>
      <w:r w:rsidRPr="00BF427E">
        <w:rPr>
          <w:rFonts w:ascii="Traditional Arabic" w:hAnsi="Traditional Arabic" w:hint="cs"/>
          <w:sz w:val="32"/>
          <w:szCs w:val="32"/>
          <w:rtl/>
        </w:rPr>
        <w:t>(39).</w:t>
      </w:r>
    </w:p>
  </w:footnote>
  <w:footnote w:id="2024">
    <w:p w:rsidR="000D3D21" w:rsidRPr="005239F1" w:rsidRDefault="000D3D21" w:rsidP="007A0DDE">
      <w:pPr>
        <w:pStyle w:val="a7"/>
        <w:ind w:left="329" w:hanging="329"/>
        <w:rPr>
          <w:rFonts w:ascii="Traditional Arabic" w:hAnsi="Traditional Arabic"/>
          <w:sz w:val="24"/>
          <w:szCs w:val="24"/>
        </w:rPr>
      </w:pPr>
      <w:r w:rsidRPr="00BF427E">
        <w:rPr>
          <w:rFonts w:ascii="Traditional Arabic" w:hAnsi="Traditional Arabic"/>
          <w:sz w:val="32"/>
          <w:szCs w:val="32"/>
          <w:rtl/>
        </w:rPr>
        <w:t>(</w:t>
      </w:r>
      <w:r w:rsidRPr="00BF427E">
        <w:rPr>
          <w:rFonts w:ascii="Traditional Arabic" w:hAnsi="Traditional Arabic"/>
          <w:sz w:val="32"/>
          <w:szCs w:val="32"/>
          <w:rtl/>
        </w:rPr>
        <w:footnoteRef/>
      </w:r>
      <w:r w:rsidRPr="00BF427E">
        <w:rPr>
          <w:rFonts w:ascii="Traditional Arabic" w:hAnsi="Traditional Arabic"/>
          <w:sz w:val="32"/>
          <w:szCs w:val="32"/>
          <w:rtl/>
        </w:rPr>
        <w:t>)</w:t>
      </w:r>
      <w:r>
        <w:rPr>
          <w:rFonts w:ascii="Traditional Arabic" w:hAnsi="Traditional Arabic" w:hint="cs"/>
          <w:sz w:val="32"/>
          <w:szCs w:val="32"/>
          <w:rtl/>
        </w:rPr>
        <w:t xml:space="preserve"> </w:t>
      </w:r>
      <w:r w:rsidRPr="00BF427E">
        <w:rPr>
          <w:rFonts w:ascii="Traditional Arabic" w:hAnsi="Traditional Arabic" w:hint="cs"/>
          <w:sz w:val="32"/>
          <w:szCs w:val="32"/>
          <w:rtl/>
        </w:rPr>
        <w:t xml:space="preserve">انظر: شرح رياض الصالحين (2/223, </w:t>
      </w:r>
      <w:r>
        <w:rPr>
          <w:rFonts w:ascii="Traditional Arabic" w:hAnsi="Traditional Arabic" w:hint="cs"/>
          <w:sz w:val="32"/>
          <w:szCs w:val="32"/>
          <w:rtl/>
        </w:rPr>
        <w:t>225), وشرح صحيح البخاري</w:t>
      </w:r>
      <w:r w:rsidRPr="00BF427E">
        <w:rPr>
          <w:rFonts w:ascii="Traditional Arabic" w:hAnsi="Traditional Arabic" w:hint="cs"/>
          <w:sz w:val="32"/>
          <w:szCs w:val="32"/>
          <w:rtl/>
        </w:rPr>
        <w:t xml:space="preserve"> (1/110)</w:t>
      </w:r>
      <w:r>
        <w:rPr>
          <w:rFonts w:ascii="Traditional Arabic" w:hAnsi="Traditional Arabic" w:hint="cs"/>
          <w:sz w:val="32"/>
          <w:szCs w:val="32"/>
          <w:rtl/>
        </w:rPr>
        <w:t xml:space="preserve"> كلاهما لابن عثيمين</w:t>
      </w:r>
      <w:r w:rsidRPr="00BF427E">
        <w:rPr>
          <w:rFonts w:ascii="Traditional Arabic" w:hAnsi="Traditional Arabic" w:hint="cs"/>
          <w:sz w:val="32"/>
          <w:szCs w:val="32"/>
          <w:rtl/>
        </w:rPr>
        <w:t>.</w:t>
      </w:r>
    </w:p>
  </w:footnote>
  <w:footnote w:id="2025">
    <w:p w:rsidR="000D3D21" w:rsidRPr="005C3C61" w:rsidRDefault="000D3D21" w:rsidP="007A0DDE">
      <w:pPr>
        <w:pStyle w:val="a7"/>
        <w:ind w:left="329" w:hanging="329"/>
        <w:rPr>
          <w:rFonts w:ascii="Traditional Arabic" w:hAnsi="Traditional Arabic"/>
          <w:sz w:val="32"/>
          <w:szCs w:val="32"/>
        </w:rPr>
      </w:pPr>
      <w:r w:rsidRPr="005C3C61">
        <w:rPr>
          <w:rFonts w:ascii="Traditional Arabic" w:hAnsi="Traditional Arabic"/>
          <w:sz w:val="32"/>
          <w:szCs w:val="32"/>
          <w:rtl/>
        </w:rPr>
        <w:t>(</w:t>
      </w:r>
      <w:r w:rsidRPr="005C3C61">
        <w:rPr>
          <w:rFonts w:ascii="Traditional Arabic" w:hAnsi="Traditional Arabic"/>
          <w:sz w:val="32"/>
          <w:szCs w:val="32"/>
          <w:rtl/>
        </w:rPr>
        <w:footnoteRef/>
      </w:r>
      <w:r w:rsidRPr="005C3C61">
        <w:rPr>
          <w:rFonts w:ascii="Traditional Arabic" w:hAnsi="Traditional Arabic"/>
          <w:sz w:val="32"/>
          <w:szCs w:val="32"/>
          <w:rtl/>
        </w:rPr>
        <w:t>)</w:t>
      </w:r>
      <w:r w:rsidRPr="005C3C61">
        <w:rPr>
          <w:rFonts w:ascii="Traditional Arabic" w:hAnsi="Traditional Arabic" w:hint="cs"/>
          <w:sz w:val="32"/>
          <w:szCs w:val="32"/>
          <w:rtl/>
        </w:rPr>
        <w:t xml:space="preserve"> أخرجه البخاري تعليقاً بصيغة الجزم, في كتاب الصوم, </w:t>
      </w:r>
      <w:r>
        <w:rPr>
          <w:rFonts w:ascii="Traditional Arabic" w:hAnsi="Traditional Arabic" w:hint="cs"/>
          <w:sz w:val="32"/>
          <w:szCs w:val="32"/>
          <w:rtl/>
        </w:rPr>
        <w:t xml:space="preserve">باب سواك الرطب واليابس للصائم, رقم الحديث </w:t>
      </w:r>
      <w:r w:rsidRPr="005C3C61">
        <w:rPr>
          <w:rFonts w:ascii="Traditional Arabic" w:hAnsi="Traditional Arabic" w:hint="cs"/>
          <w:sz w:val="32"/>
          <w:szCs w:val="32"/>
          <w:rtl/>
        </w:rPr>
        <w:t>(27).</w:t>
      </w:r>
    </w:p>
  </w:footnote>
  <w:footnote w:id="2026">
    <w:p w:rsidR="000D3D21" w:rsidRPr="005239F1" w:rsidRDefault="000D3D21" w:rsidP="007A0DDE">
      <w:pPr>
        <w:pStyle w:val="a7"/>
        <w:ind w:left="329" w:hanging="329"/>
        <w:rPr>
          <w:rFonts w:ascii="Traditional Arabic" w:hAnsi="Traditional Arabic"/>
          <w:sz w:val="24"/>
          <w:szCs w:val="24"/>
        </w:rPr>
      </w:pPr>
      <w:r w:rsidRPr="005C3C61">
        <w:rPr>
          <w:rFonts w:ascii="Traditional Arabic" w:hAnsi="Traditional Arabic"/>
          <w:sz w:val="32"/>
          <w:szCs w:val="32"/>
          <w:rtl/>
        </w:rPr>
        <w:t>(</w:t>
      </w:r>
      <w:r w:rsidRPr="005C3C61">
        <w:rPr>
          <w:rFonts w:ascii="Traditional Arabic" w:hAnsi="Traditional Arabic"/>
          <w:sz w:val="32"/>
          <w:szCs w:val="32"/>
          <w:rtl/>
        </w:rPr>
        <w:footnoteRef/>
      </w:r>
      <w:r w:rsidRPr="005C3C61">
        <w:rPr>
          <w:rFonts w:ascii="Traditional Arabic" w:hAnsi="Traditional Arabic"/>
          <w:sz w:val="32"/>
          <w:szCs w:val="32"/>
          <w:rtl/>
        </w:rPr>
        <w:t>)</w:t>
      </w:r>
      <w:r>
        <w:rPr>
          <w:rFonts w:ascii="Traditional Arabic" w:hAnsi="Traditional Arabic" w:hint="cs"/>
          <w:sz w:val="32"/>
          <w:szCs w:val="32"/>
          <w:rtl/>
        </w:rPr>
        <w:t xml:space="preserve"> انظر: شرح ا</w:t>
      </w:r>
      <w:r w:rsidRPr="005C3C61">
        <w:rPr>
          <w:rFonts w:ascii="Traditional Arabic" w:hAnsi="Traditional Arabic" w:hint="cs"/>
          <w:sz w:val="32"/>
          <w:szCs w:val="32"/>
          <w:rtl/>
        </w:rPr>
        <w:t>لنووي</w:t>
      </w:r>
      <w:r>
        <w:rPr>
          <w:rFonts w:ascii="Traditional Arabic" w:hAnsi="Traditional Arabic" w:hint="cs"/>
          <w:sz w:val="32"/>
          <w:szCs w:val="32"/>
          <w:rtl/>
        </w:rPr>
        <w:t xml:space="preserve"> على صحيح مسلم </w:t>
      </w:r>
      <w:r w:rsidRPr="005C3C61">
        <w:rPr>
          <w:rFonts w:ascii="Traditional Arabic" w:hAnsi="Traditional Arabic" w:hint="cs"/>
          <w:sz w:val="32"/>
          <w:szCs w:val="32"/>
          <w:rtl/>
        </w:rPr>
        <w:t>(3/115), والقواعد الفقهية للندوي</w:t>
      </w:r>
      <w:r>
        <w:rPr>
          <w:rFonts w:ascii="Traditional Arabic" w:hAnsi="Traditional Arabic" w:hint="cs"/>
          <w:sz w:val="32"/>
          <w:szCs w:val="32"/>
          <w:rtl/>
        </w:rPr>
        <w:t xml:space="preserve"> </w:t>
      </w:r>
      <w:r w:rsidRPr="005C3C61">
        <w:rPr>
          <w:rFonts w:ascii="Traditional Arabic" w:hAnsi="Traditional Arabic" w:hint="cs"/>
          <w:sz w:val="32"/>
          <w:szCs w:val="32"/>
          <w:rtl/>
        </w:rPr>
        <w:t>(306).</w:t>
      </w:r>
    </w:p>
  </w:footnote>
  <w:footnote w:id="2027">
    <w:p w:rsidR="000D3D21" w:rsidRPr="003F01EA" w:rsidRDefault="000D3D21" w:rsidP="007A0DDE">
      <w:pPr>
        <w:pStyle w:val="a7"/>
        <w:ind w:left="329" w:hanging="329"/>
        <w:rPr>
          <w:rFonts w:ascii="Traditional Arabic" w:hAnsi="Traditional Arabic"/>
          <w:sz w:val="32"/>
          <w:szCs w:val="32"/>
        </w:rPr>
      </w:pPr>
      <w:r w:rsidRPr="003F01EA">
        <w:rPr>
          <w:rFonts w:ascii="Traditional Arabic" w:hAnsi="Traditional Arabic"/>
          <w:sz w:val="32"/>
          <w:szCs w:val="32"/>
          <w:rtl/>
        </w:rPr>
        <w:t>(</w:t>
      </w:r>
      <w:r w:rsidRPr="003F01EA">
        <w:rPr>
          <w:rFonts w:ascii="Traditional Arabic" w:hAnsi="Traditional Arabic"/>
          <w:sz w:val="32"/>
          <w:szCs w:val="32"/>
          <w:rtl/>
        </w:rPr>
        <w:footnoteRef/>
      </w:r>
      <w:r w:rsidRPr="003F01EA">
        <w:rPr>
          <w:rFonts w:ascii="Traditional Arabic" w:hAnsi="Traditional Arabic"/>
          <w:sz w:val="32"/>
          <w:szCs w:val="32"/>
          <w:rtl/>
        </w:rPr>
        <w:t>)</w:t>
      </w:r>
      <w:r>
        <w:rPr>
          <w:rFonts w:ascii="Traditional Arabic" w:hAnsi="Traditional Arabic" w:hint="cs"/>
          <w:sz w:val="32"/>
          <w:szCs w:val="32"/>
          <w:rtl/>
        </w:rPr>
        <w:t xml:space="preserve"> </w:t>
      </w:r>
      <w:r w:rsidRPr="003F01EA">
        <w:rPr>
          <w:rFonts w:ascii="Traditional Arabic" w:hAnsi="Traditional Arabic" w:hint="cs"/>
          <w:sz w:val="32"/>
          <w:szCs w:val="32"/>
          <w:rtl/>
        </w:rPr>
        <w:t>ا</w:t>
      </w:r>
      <w:r>
        <w:rPr>
          <w:rFonts w:ascii="Traditional Arabic" w:hAnsi="Traditional Arabic" w:hint="cs"/>
          <w:sz w:val="32"/>
          <w:szCs w:val="32"/>
          <w:rtl/>
        </w:rPr>
        <w:t>نظر: الموافقات (2/340).</w:t>
      </w:r>
    </w:p>
  </w:footnote>
  <w:footnote w:id="2028">
    <w:p w:rsidR="000D3D21" w:rsidRPr="003F01EA" w:rsidRDefault="000D3D21" w:rsidP="007A0DDE">
      <w:pPr>
        <w:pStyle w:val="a7"/>
        <w:ind w:left="329" w:hanging="329"/>
        <w:rPr>
          <w:rFonts w:ascii="Traditional Arabic" w:hAnsi="Traditional Arabic"/>
          <w:sz w:val="32"/>
          <w:szCs w:val="32"/>
        </w:rPr>
      </w:pPr>
      <w:r w:rsidRPr="003F01EA">
        <w:rPr>
          <w:rFonts w:ascii="Traditional Arabic" w:hAnsi="Traditional Arabic"/>
          <w:sz w:val="32"/>
          <w:szCs w:val="32"/>
          <w:rtl/>
        </w:rPr>
        <w:t>(</w:t>
      </w:r>
      <w:r w:rsidRPr="003F01EA">
        <w:rPr>
          <w:rFonts w:ascii="Traditional Arabic" w:hAnsi="Traditional Arabic"/>
          <w:sz w:val="32"/>
          <w:szCs w:val="32"/>
          <w:rtl/>
        </w:rPr>
        <w:footnoteRef/>
      </w:r>
      <w:r w:rsidRPr="003F01EA">
        <w:rPr>
          <w:rFonts w:ascii="Traditional Arabic" w:hAnsi="Traditional Arabic"/>
          <w:sz w:val="32"/>
          <w:szCs w:val="32"/>
          <w:rtl/>
        </w:rPr>
        <w:t>)</w:t>
      </w:r>
      <w:r>
        <w:rPr>
          <w:rFonts w:ascii="Traditional Arabic" w:hAnsi="Traditional Arabic" w:hint="cs"/>
          <w:sz w:val="32"/>
          <w:szCs w:val="32"/>
          <w:rtl/>
        </w:rPr>
        <w:t xml:space="preserve"> انظر: المرجع السابق</w:t>
      </w:r>
      <w:r w:rsidRPr="003F01EA">
        <w:rPr>
          <w:rFonts w:ascii="Traditional Arabic" w:hAnsi="Traditional Arabic" w:hint="cs"/>
          <w:sz w:val="32"/>
          <w:szCs w:val="32"/>
          <w:rtl/>
        </w:rPr>
        <w:t xml:space="preserve"> (2/123).</w:t>
      </w:r>
    </w:p>
  </w:footnote>
  <w:footnote w:id="2029">
    <w:p w:rsidR="000D3D21" w:rsidRPr="003F01EA" w:rsidRDefault="000D3D21" w:rsidP="007A0DDE">
      <w:pPr>
        <w:pStyle w:val="a7"/>
        <w:rPr>
          <w:rFonts w:ascii="Traditional Arabic" w:hAnsi="Traditional Arabic"/>
          <w:sz w:val="32"/>
          <w:szCs w:val="32"/>
          <w:rtl/>
        </w:rPr>
      </w:pPr>
      <w:r w:rsidRPr="003F01EA">
        <w:rPr>
          <w:rStyle w:val="af1"/>
          <w:rFonts w:ascii="Traditional Arabic" w:hAnsi="Traditional Arabic"/>
          <w:sz w:val="32"/>
          <w:szCs w:val="32"/>
          <w:vertAlign w:val="baseline"/>
        </w:rPr>
        <w:footnoteRef/>
      </w:r>
      <w:r w:rsidRPr="003F01EA">
        <w:rPr>
          <w:rFonts w:ascii="Traditional Arabic" w:hAnsi="Traditional Arabic"/>
          <w:sz w:val="32"/>
          <w:szCs w:val="32"/>
        </w:rPr>
        <w:t>)</w:t>
      </w:r>
      <w:r w:rsidRPr="003F01EA">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hint="cs"/>
          <w:b/>
          <w:bCs/>
          <w:sz w:val="32"/>
          <w:szCs w:val="32"/>
          <w:rtl/>
        </w:rPr>
        <w:t>عنوةً</w:t>
      </w:r>
      <w:r w:rsidRPr="003F01EA">
        <w:rPr>
          <w:rFonts w:ascii="Traditional Arabic" w:hAnsi="Traditional Arabic"/>
          <w:sz w:val="32"/>
          <w:szCs w:val="32"/>
          <w:rtl/>
        </w:rPr>
        <w:t>:</w:t>
      </w:r>
      <w:r>
        <w:rPr>
          <w:rFonts w:ascii="Traditional Arabic" w:hAnsi="Traditional Arabic" w:hint="cs"/>
          <w:sz w:val="32"/>
          <w:szCs w:val="32"/>
          <w:rtl/>
        </w:rPr>
        <w:t xml:space="preserve"> </w:t>
      </w:r>
      <w:r w:rsidRPr="003F01EA">
        <w:rPr>
          <w:rFonts w:ascii="Traditional Arabic" w:hAnsi="Traditional Arabic"/>
          <w:sz w:val="32"/>
          <w:szCs w:val="32"/>
          <w:rtl/>
        </w:rPr>
        <w:t>قهرا</w:t>
      </w:r>
      <w:r>
        <w:rPr>
          <w:rFonts w:ascii="Traditional Arabic" w:hAnsi="Traditional Arabic" w:hint="cs"/>
          <w:sz w:val="32"/>
          <w:szCs w:val="32"/>
          <w:rtl/>
        </w:rPr>
        <w:t>ً</w:t>
      </w:r>
      <w:r w:rsidRPr="003F01EA">
        <w:rPr>
          <w:rFonts w:ascii="Traditional Arabic" w:hAnsi="Traditional Arabic"/>
          <w:sz w:val="32"/>
          <w:szCs w:val="32"/>
          <w:rtl/>
        </w:rPr>
        <w:t xml:space="preserve"> وغلبة</w:t>
      </w:r>
      <w:r>
        <w:rPr>
          <w:rFonts w:ascii="Traditional Arabic" w:hAnsi="Traditional Arabic" w:hint="cs"/>
          <w:sz w:val="32"/>
          <w:szCs w:val="32"/>
          <w:rtl/>
        </w:rPr>
        <w:t>ً</w:t>
      </w:r>
      <w:r w:rsidRPr="003F01EA">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المطلع على أ</w:t>
      </w:r>
      <w:r>
        <w:rPr>
          <w:rFonts w:ascii="Traditional Arabic" w:hAnsi="Traditional Arabic" w:hint="cs"/>
          <w:sz w:val="32"/>
          <w:szCs w:val="32"/>
          <w:rtl/>
        </w:rPr>
        <w:t>لفاظ</w:t>
      </w:r>
      <w:r>
        <w:rPr>
          <w:rFonts w:ascii="Traditional Arabic" w:hAnsi="Traditional Arabic"/>
          <w:sz w:val="32"/>
          <w:szCs w:val="32"/>
          <w:rtl/>
        </w:rPr>
        <w:t xml:space="preserve"> المقنع</w:t>
      </w:r>
      <w:r>
        <w:rPr>
          <w:rFonts w:ascii="Traditional Arabic" w:hAnsi="Traditional Arabic" w:hint="cs"/>
          <w:sz w:val="32"/>
          <w:szCs w:val="32"/>
          <w:rtl/>
        </w:rPr>
        <w:t xml:space="preserve"> (168</w:t>
      </w:r>
      <w:r w:rsidRPr="003F01EA">
        <w:rPr>
          <w:rFonts w:ascii="Traditional Arabic" w:hAnsi="Traditional Arabic"/>
          <w:sz w:val="32"/>
          <w:szCs w:val="32"/>
          <w:rtl/>
        </w:rPr>
        <w:t>).</w:t>
      </w:r>
    </w:p>
  </w:footnote>
  <w:footnote w:id="2030">
    <w:p w:rsidR="000D3D21" w:rsidRPr="003F01EA" w:rsidRDefault="000D3D21" w:rsidP="007A0DDE">
      <w:pPr>
        <w:pStyle w:val="a7"/>
        <w:ind w:left="329" w:hanging="329"/>
        <w:rPr>
          <w:rFonts w:ascii="Traditional Arabic" w:hAnsi="Traditional Arabic"/>
          <w:sz w:val="32"/>
          <w:szCs w:val="32"/>
        </w:rPr>
      </w:pPr>
      <w:r w:rsidRPr="003F01EA">
        <w:rPr>
          <w:rFonts w:ascii="Traditional Arabic" w:hAnsi="Traditional Arabic"/>
          <w:sz w:val="32"/>
          <w:szCs w:val="32"/>
          <w:rtl/>
        </w:rPr>
        <w:t>(</w:t>
      </w:r>
      <w:r w:rsidRPr="003F01EA">
        <w:rPr>
          <w:rFonts w:ascii="Traditional Arabic" w:hAnsi="Traditional Arabic"/>
          <w:sz w:val="32"/>
          <w:szCs w:val="32"/>
          <w:rtl/>
        </w:rPr>
        <w:footnoteRef/>
      </w:r>
      <w:r w:rsidRPr="003F01EA">
        <w:rPr>
          <w:rFonts w:ascii="Traditional Arabic" w:hAnsi="Traditional Arabic"/>
          <w:sz w:val="32"/>
          <w:szCs w:val="32"/>
          <w:rtl/>
        </w:rPr>
        <w:t>)</w:t>
      </w:r>
      <w:r>
        <w:rPr>
          <w:rFonts w:ascii="Traditional Arabic" w:hAnsi="Traditional Arabic" w:hint="cs"/>
          <w:sz w:val="32"/>
          <w:szCs w:val="32"/>
          <w:rtl/>
        </w:rPr>
        <w:t xml:space="preserve"> </w:t>
      </w:r>
      <w:r w:rsidRPr="003F01EA">
        <w:rPr>
          <w:rFonts w:ascii="Traditional Arabic" w:hAnsi="Traditional Arabic" w:hint="cs"/>
          <w:sz w:val="32"/>
          <w:szCs w:val="32"/>
          <w:rtl/>
        </w:rPr>
        <w:t>انظر: الشرح الممتع (8/137).</w:t>
      </w:r>
    </w:p>
  </w:footnote>
  <w:footnote w:id="2031">
    <w:p w:rsidR="000D3D21" w:rsidRPr="00B4467C" w:rsidRDefault="000D3D21" w:rsidP="007A0DDE">
      <w:pPr>
        <w:pStyle w:val="a7"/>
        <w:ind w:left="329" w:hanging="329"/>
        <w:rPr>
          <w:rFonts w:ascii="Traditional Arabic" w:hAnsi="Traditional Arabic"/>
          <w:sz w:val="32"/>
          <w:szCs w:val="32"/>
          <w:rtl/>
        </w:rPr>
      </w:pPr>
      <w:r w:rsidRPr="00B4467C">
        <w:rPr>
          <w:rFonts w:ascii="Traditional Arabic" w:hAnsi="Traditional Arabic"/>
          <w:sz w:val="32"/>
          <w:szCs w:val="32"/>
          <w:rtl/>
        </w:rPr>
        <w:t>(</w:t>
      </w:r>
      <w:r w:rsidRPr="00B4467C">
        <w:rPr>
          <w:rFonts w:ascii="Traditional Arabic" w:hAnsi="Traditional Arabic"/>
          <w:sz w:val="32"/>
          <w:szCs w:val="32"/>
          <w:rtl/>
        </w:rPr>
        <w:footnoteRef/>
      </w:r>
      <w:r w:rsidRPr="00B4467C">
        <w:rPr>
          <w:rFonts w:ascii="Traditional Arabic" w:hAnsi="Traditional Arabic"/>
          <w:sz w:val="32"/>
          <w:szCs w:val="32"/>
          <w:rtl/>
        </w:rPr>
        <w:t>)</w:t>
      </w:r>
      <w:r>
        <w:rPr>
          <w:rFonts w:ascii="Traditional Arabic" w:hAnsi="Traditional Arabic" w:hint="cs"/>
          <w:sz w:val="32"/>
          <w:szCs w:val="32"/>
          <w:rtl/>
        </w:rPr>
        <w:t xml:space="preserve"> </w:t>
      </w:r>
      <w:r w:rsidRPr="00B4467C">
        <w:rPr>
          <w:rFonts w:ascii="Traditional Arabic" w:hAnsi="Traditional Arabic" w:hint="cs"/>
          <w:sz w:val="32"/>
          <w:szCs w:val="32"/>
          <w:rtl/>
        </w:rPr>
        <w:t>انظر: المرجع السابق.</w:t>
      </w:r>
    </w:p>
  </w:footnote>
  <w:footnote w:id="2032">
    <w:p w:rsidR="000D3D21" w:rsidRPr="00B4467C" w:rsidRDefault="000D3D21" w:rsidP="00C577A5">
      <w:pPr>
        <w:pStyle w:val="a7"/>
        <w:rPr>
          <w:rFonts w:ascii="Traditional Arabic" w:hAnsi="Traditional Arabic"/>
          <w:sz w:val="32"/>
          <w:szCs w:val="32"/>
          <w:rtl/>
        </w:rPr>
      </w:pPr>
      <w:r w:rsidRPr="00B4467C">
        <w:rPr>
          <w:rStyle w:val="af1"/>
          <w:rFonts w:ascii="Traditional Arabic" w:hAnsi="Traditional Arabic"/>
          <w:sz w:val="32"/>
          <w:szCs w:val="32"/>
          <w:vertAlign w:val="baseline"/>
        </w:rPr>
        <w:footnoteRef/>
      </w:r>
      <w:r w:rsidRPr="00B4467C">
        <w:rPr>
          <w:rFonts w:ascii="Traditional Arabic" w:hAnsi="Traditional Arabic"/>
          <w:sz w:val="32"/>
          <w:szCs w:val="32"/>
        </w:rPr>
        <w:t>)</w:t>
      </w:r>
      <w:r w:rsidRPr="00B4467C">
        <w:rPr>
          <w:rFonts w:ascii="Traditional Arabic" w:hAnsi="Traditional Arabic"/>
          <w:sz w:val="32"/>
          <w:szCs w:val="32"/>
          <w:rtl/>
        </w:rPr>
        <w:t xml:space="preserve">) </w:t>
      </w:r>
      <w:r w:rsidRPr="00B4467C">
        <w:rPr>
          <w:rFonts w:ascii="Traditional Arabic" w:hAnsi="Traditional Arabic"/>
          <w:b/>
          <w:bCs/>
          <w:sz w:val="32"/>
          <w:szCs w:val="32"/>
          <w:rtl/>
        </w:rPr>
        <w:t>الجهالة في العقود</w:t>
      </w:r>
      <w:r w:rsidR="00AB0B9E" w:rsidRPr="00B4467C">
        <w:rPr>
          <w:rFonts w:ascii="Traditional Arabic" w:hAnsi="Traditional Arabic"/>
          <w:sz w:val="32"/>
          <w:szCs w:val="32"/>
          <w:rtl/>
        </w:rPr>
        <w:fldChar w:fldCharType="begin"/>
      </w:r>
      <w:r w:rsidRPr="00B4467C">
        <w:rPr>
          <w:rFonts w:ascii="Traditional Arabic" w:hAnsi="Traditional Arabic"/>
          <w:sz w:val="32"/>
          <w:szCs w:val="32"/>
        </w:rPr>
        <w:instrText xml:space="preserve"> XE "</w:instrText>
      </w:r>
      <w:r w:rsidRPr="00B4467C">
        <w:rPr>
          <w:rFonts w:ascii="Traditional Arabic" w:hAnsi="Traditional Arabic"/>
          <w:sz w:val="32"/>
          <w:szCs w:val="32"/>
          <w:rtl/>
        </w:rPr>
        <w:instrText>الجهالة في العقود</w:instrText>
      </w:r>
      <w:r w:rsidRPr="00B4467C">
        <w:rPr>
          <w:rFonts w:ascii="Traditional Arabic" w:hAnsi="Traditional Arabic"/>
          <w:sz w:val="32"/>
          <w:szCs w:val="32"/>
        </w:rPr>
        <w:instrText>" \fm</w:instrText>
      </w:r>
      <w:r w:rsidR="00AB0B9E" w:rsidRPr="00B4467C">
        <w:rPr>
          <w:rFonts w:ascii="Traditional Arabic" w:hAnsi="Traditional Arabic"/>
          <w:sz w:val="32"/>
          <w:szCs w:val="32"/>
          <w:rtl/>
        </w:rPr>
        <w:fldChar w:fldCharType="end"/>
      </w:r>
      <w:r w:rsidRPr="00B4467C">
        <w:rPr>
          <w:rFonts w:ascii="Traditional Arabic" w:hAnsi="Traditional Arabic"/>
          <w:sz w:val="32"/>
          <w:szCs w:val="32"/>
          <w:rtl/>
        </w:rPr>
        <w:t>: هي الجهل بأحد أجزاء العقد.</w:t>
      </w:r>
      <w:r>
        <w:rPr>
          <w:rFonts w:ascii="Traditional Arabic" w:hAnsi="Traditional Arabic" w:hint="cs"/>
          <w:sz w:val="32"/>
          <w:szCs w:val="32"/>
          <w:rtl/>
        </w:rPr>
        <w:t xml:space="preserve"> </w:t>
      </w:r>
      <w:r w:rsidRPr="00B4467C">
        <w:rPr>
          <w:rFonts w:ascii="Traditional Arabic" w:hAnsi="Traditional Arabic"/>
          <w:sz w:val="32"/>
          <w:szCs w:val="32"/>
          <w:rtl/>
        </w:rPr>
        <w:t>انظر الفروق للقرافي</w:t>
      </w:r>
      <w:r>
        <w:rPr>
          <w:rFonts w:ascii="Traditional Arabic" w:hAnsi="Traditional Arabic" w:hint="cs"/>
          <w:sz w:val="32"/>
          <w:szCs w:val="32"/>
          <w:rtl/>
        </w:rPr>
        <w:t xml:space="preserve"> </w:t>
      </w:r>
      <w:r w:rsidRPr="00B4467C">
        <w:rPr>
          <w:rFonts w:ascii="Traditional Arabic" w:hAnsi="Traditional Arabic"/>
          <w:sz w:val="32"/>
          <w:szCs w:val="32"/>
          <w:rtl/>
        </w:rPr>
        <w:t>(3/266)، والقواعد النورانية لابن تيمية(2/318)، ومعجم المصطلحات الاقتصادية</w:t>
      </w:r>
      <w:r>
        <w:rPr>
          <w:rFonts w:ascii="Traditional Arabic" w:hAnsi="Traditional Arabic" w:hint="cs"/>
          <w:sz w:val="32"/>
          <w:szCs w:val="32"/>
          <w:rtl/>
        </w:rPr>
        <w:t xml:space="preserve"> والمالية </w:t>
      </w:r>
      <w:r w:rsidRPr="00B4467C">
        <w:rPr>
          <w:rFonts w:ascii="Traditional Arabic" w:hAnsi="Traditional Arabic"/>
          <w:sz w:val="32"/>
          <w:szCs w:val="32"/>
          <w:rtl/>
        </w:rPr>
        <w:t>(139).</w:t>
      </w:r>
    </w:p>
  </w:footnote>
  <w:footnote w:id="2033">
    <w:p w:rsidR="000D3D21" w:rsidRPr="003A13BD" w:rsidRDefault="000D3D21" w:rsidP="007A0DDE">
      <w:pPr>
        <w:pStyle w:val="a7"/>
        <w:rPr>
          <w:rFonts w:ascii="Traditional Arabic" w:hAnsi="Traditional Arabic"/>
          <w:sz w:val="32"/>
          <w:szCs w:val="32"/>
          <w:rtl/>
        </w:rPr>
      </w:pPr>
      <w:r w:rsidRPr="003A13BD">
        <w:rPr>
          <w:rStyle w:val="af1"/>
          <w:rFonts w:ascii="Traditional Arabic" w:hAnsi="Traditional Arabic"/>
          <w:sz w:val="32"/>
          <w:szCs w:val="32"/>
          <w:vertAlign w:val="baseline"/>
        </w:rPr>
        <w:footnoteRef/>
      </w:r>
      <w:r w:rsidRPr="003A13BD">
        <w:rPr>
          <w:rFonts w:ascii="Traditional Arabic" w:hAnsi="Traditional Arabic"/>
          <w:sz w:val="32"/>
          <w:szCs w:val="32"/>
        </w:rPr>
        <w:t>)</w:t>
      </w:r>
      <w:r w:rsidRPr="003A13BD">
        <w:rPr>
          <w:rFonts w:ascii="Traditional Arabic" w:hAnsi="Traditional Arabic" w:hint="cs"/>
          <w:sz w:val="32"/>
          <w:szCs w:val="32"/>
          <w:rtl/>
        </w:rPr>
        <w:t>)</w:t>
      </w:r>
      <w:r>
        <w:rPr>
          <w:rFonts w:ascii="Traditional Arabic" w:hAnsi="Traditional Arabic" w:hint="cs"/>
          <w:sz w:val="32"/>
          <w:szCs w:val="32"/>
          <w:rtl/>
        </w:rPr>
        <w:t xml:space="preserve"> </w:t>
      </w:r>
      <w:r w:rsidRPr="003A13BD">
        <w:rPr>
          <w:rFonts w:ascii="Traditional Arabic" w:hAnsi="Traditional Arabic" w:hint="cs"/>
          <w:sz w:val="32"/>
          <w:szCs w:val="32"/>
          <w:rtl/>
        </w:rPr>
        <w:t>انظر في ضوابط الجهالة اليسيرة:</w:t>
      </w:r>
      <w:r>
        <w:rPr>
          <w:rFonts w:ascii="Traditional Arabic" w:hAnsi="Traditional Arabic" w:hint="cs"/>
          <w:sz w:val="32"/>
          <w:szCs w:val="32"/>
          <w:rtl/>
        </w:rPr>
        <w:t xml:space="preserve"> </w:t>
      </w:r>
      <w:r w:rsidRPr="003A13BD">
        <w:rPr>
          <w:rFonts w:ascii="Traditional Arabic" w:hAnsi="Traditional Arabic" w:hint="cs"/>
          <w:sz w:val="32"/>
          <w:szCs w:val="32"/>
          <w:rtl/>
        </w:rPr>
        <w:t>القواعد والضوابط الفقهية في الجهالة المؤثرة في العقود</w:t>
      </w:r>
      <w:r>
        <w:rPr>
          <w:rFonts w:ascii="Traditional Arabic" w:hAnsi="Traditional Arabic" w:hint="cs"/>
          <w:sz w:val="32"/>
          <w:szCs w:val="32"/>
          <w:rtl/>
        </w:rPr>
        <w:t xml:space="preserve"> لدهام بن كريم الفضلي </w:t>
      </w:r>
      <w:r w:rsidRPr="003A13BD">
        <w:rPr>
          <w:rFonts w:ascii="Traditional Arabic" w:hAnsi="Traditional Arabic" w:hint="cs"/>
          <w:sz w:val="32"/>
          <w:szCs w:val="32"/>
          <w:rtl/>
        </w:rPr>
        <w:t>(86).</w:t>
      </w:r>
    </w:p>
  </w:footnote>
  <w:footnote w:id="2034">
    <w:p w:rsidR="000D3D21" w:rsidRPr="005239F1" w:rsidRDefault="000D3D21" w:rsidP="007A0DDE">
      <w:pPr>
        <w:pStyle w:val="a7"/>
        <w:ind w:left="329" w:hanging="329"/>
        <w:rPr>
          <w:rFonts w:ascii="Traditional Arabic" w:hAnsi="Traditional Arabic"/>
          <w:sz w:val="24"/>
          <w:szCs w:val="24"/>
        </w:rPr>
      </w:pPr>
      <w:r w:rsidRPr="003A13BD">
        <w:rPr>
          <w:rFonts w:ascii="Traditional Arabic" w:hAnsi="Traditional Arabic"/>
          <w:sz w:val="32"/>
          <w:szCs w:val="32"/>
          <w:rtl/>
        </w:rPr>
        <w:t>(</w:t>
      </w:r>
      <w:r w:rsidRPr="003A13BD">
        <w:rPr>
          <w:rFonts w:ascii="Traditional Arabic" w:hAnsi="Traditional Arabic"/>
          <w:sz w:val="32"/>
          <w:szCs w:val="32"/>
          <w:rtl/>
        </w:rPr>
        <w:footnoteRef/>
      </w:r>
      <w:r w:rsidRPr="003A13BD">
        <w:rPr>
          <w:rFonts w:ascii="Traditional Arabic" w:hAnsi="Traditional Arabic"/>
          <w:sz w:val="32"/>
          <w:szCs w:val="32"/>
          <w:rtl/>
        </w:rPr>
        <w:t>)</w:t>
      </w:r>
      <w:r w:rsidRPr="003A13BD">
        <w:rPr>
          <w:rFonts w:ascii="Traditional Arabic" w:hAnsi="Traditional Arabic" w:hint="cs"/>
          <w:sz w:val="32"/>
          <w:szCs w:val="32"/>
          <w:rtl/>
        </w:rPr>
        <w:t xml:space="preserve"> انظر: الشرح الممتع</w:t>
      </w:r>
      <w:r>
        <w:rPr>
          <w:rFonts w:ascii="Traditional Arabic" w:hAnsi="Traditional Arabic" w:hint="cs"/>
          <w:sz w:val="32"/>
          <w:szCs w:val="32"/>
          <w:rtl/>
        </w:rPr>
        <w:t xml:space="preserve"> </w:t>
      </w:r>
      <w:r w:rsidRPr="003A13BD">
        <w:rPr>
          <w:rFonts w:ascii="Traditional Arabic" w:hAnsi="Traditional Arabic" w:hint="cs"/>
          <w:sz w:val="32"/>
          <w:szCs w:val="32"/>
          <w:rtl/>
        </w:rPr>
        <w:t>(8/150).</w:t>
      </w:r>
    </w:p>
  </w:footnote>
  <w:footnote w:id="2035">
    <w:p w:rsidR="000D3D21" w:rsidRPr="0098430F" w:rsidRDefault="000D3D21" w:rsidP="0034747A">
      <w:pPr>
        <w:pStyle w:val="a7"/>
        <w:ind w:left="329" w:hanging="329"/>
        <w:rPr>
          <w:rFonts w:ascii="Traditional Arabic" w:hAnsi="Traditional Arabic"/>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sidRPr="0098430F">
        <w:rPr>
          <w:rFonts w:ascii="Traditional Arabic" w:hAnsi="Traditional Arabic" w:hint="cs"/>
          <w:sz w:val="32"/>
          <w:szCs w:val="32"/>
          <w:rtl/>
        </w:rPr>
        <w:t xml:space="preserve"> انظر: المرجع السابق </w:t>
      </w:r>
      <w:r>
        <w:rPr>
          <w:rFonts w:ascii="Traditional Arabic" w:hAnsi="Traditional Arabic" w:hint="cs"/>
          <w:sz w:val="32"/>
          <w:szCs w:val="32"/>
          <w:rtl/>
        </w:rPr>
        <w:t>(8/158</w:t>
      </w:r>
      <w:r w:rsidRPr="0098430F">
        <w:rPr>
          <w:rFonts w:ascii="Traditional Arabic" w:hAnsi="Traditional Arabic" w:hint="cs"/>
          <w:sz w:val="32"/>
          <w:szCs w:val="32"/>
          <w:rtl/>
        </w:rPr>
        <w:t>).</w:t>
      </w:r>
    </w:p>
  </w:footnote>
  <w:footnote w:id="2036">
    <w:p w:rsidR="000D3D21" w:rsidRPr="0098430F" w:rsidRDefault="000D3D21" w:rsidP="007A0DDE">
      <w:pPr>
        <w:pStyle w:val="a7"/>
        <w:ind w:left="329" w:hanging="329"/>
        <w:rPr>
          <w:rFonts w:ascii="Traditional Arabic" w:hAnsi="Traditional Arabic"/>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sidRPr="0098430F">
        <w:rPr>
          <w:rFonts w:ascii="Traditional Arabic" w:hAnsi="Traditional Arabic" w:hint="cs"/>
          <w:sz w:val="32"/>
          <w:szCs w:val="32"/>
          <w:rtl/>
        </w:rPr>
        <w:t xml:space="preserve"> انظر: الموافقات (4/208), والاعتصام (2/122)</w:t>
      </w:r>
      <w:r>
        <w:rPr>
          <w:rFonts w:ascii="Traditional Arabic" w:hAnsi="Traditional Arabic" w:hint="cs"/>
          <w:sz w:val="32"/>
          <w:szCs w:val="32"/>
          <w:rtl/>
        </w:rPr>
        <w:t xml:space="preserve"> كلاهما للشاطبي، وزاد المعاد (5/821).</w:t>
      </w:r>
    </w:p>
  </w:footnote>
  <w:footnote w:id="2037">
    <w:p w:rsidR="000D3D21" w:rsidRPr="0098430F" w:rsidRDefault="000D3D21" w:rsidP="007A0DDE">
      <w:pPr>
        <w:pStyle w:val="a7"/>
        <w:ind w:left="329" w:hanging="329"/>
        <w:rPr>
          <w:rFonts w:ascii="Traditional Arabic" w:hAnsi="Traditional Arabic"/>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sidRPr="0098430F">
        <w:rPr>
          <w:rFonts w:ascii="Traditional Arabic" w:hAnsi="Traditional Arabic" w:hint="cs"/>
          <w:sz w:val="32"/>
          <w:szCs w:val="32"/>
          <w:rtl/>
        </w:rPr>
        <w:t xml:space="preserve"> انظر: الشرح الممتع (8/168)</w:t>
      </w:r>
      <w:r>
        <w:rPr>
          <w:rFonts w:ascii="Traditional Arabic" w:hAnsi="Traditional Arabic" w:hint="cs"/>
          <w:sz w:val="32"/>
          <w:szCs w:val="32"/>
          <w:rtl/>
        </w:rPr>
        <w:t>.</w:t>
      </w:r>
    </w:p>
  </w:footnote>
  <w:footnote w:id="2038">
    <w:p w:rsidR="000D3D21" w:rsidRPr="0098430F" w:rsidRDefault="000D3D21" w:rsidP="007A0DDE">
      <w:pPr>
        <w:pStyle w:val="a7"/>
        <w:ind w:left="329" w:hanging="329"/>
        <w:rPr>
          <w:rFonts w:ascii="Traditional Arabic" w:hAnsi="Traditional Arabic"/>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30F">
        <w:rPr>
          <w:rFonts w:ascii="Traditional Arabic" w:hAnsi="Traditional Arabic" w:hint="cs"/>
          <w:sz w:val="32"/>
          <w:szCs w:val="32"/>
          <w:rtl/>
        </w:rPr>
        <w:t xml:space="preserve">انظر: </w:t>
      </w:r>
      <w:r>
        <w:rPr>
          <w:rFonts w:ascii="Traditional Arabic" w:hAnsi="Traditional Arabic" w:hint="cs"/>
          <w:sz w:val="32"/>
          <w:szCs w:val="32"/>
          <w:rtl/>
        </w:rPr>
        <w:t>الشرح الممتع (8/169)، وفتح ذي الجلال والإكرام (4/64)، و</w:t>
      </w:r>
      <w:r w:rsidRPr="0098430F">
        <w:rPr>
          <w:rFonts w:ascii="Traditional Arabic" w:hAnsi="Traditional Arabic" w:hint="cs"/>
          <w:sz w:val="32"/>
          <w:szCs w:val="32"/>
          <w:rtl/>
        </w:rPr>
        <w:t xml:space="preserve">مجموع </w:t>
      </w:r>
      <w:r>
        <w:rPr>
          <w:rFonts w:ascii="Traditional Arabic" w:hAnsi="Traditional Arabic" w:hint="cs"/>
          <w:sz w:val="32"/>
          <w:szCs w:val="32"/>
          <w:rtl/>
        </w:rPr>
        <w:t>الفتاوى لابن تيمية</w:t>
      </w:r>
      <w:r w:rsidRPr="0098430F">
        <w:rPr>
          <w:rFonts w:ascii="Traditional Arabic" w:hAnsi="Traditional Arabic" w:hint="cs"/>
          <w:sz w:val="32"/>
          <w:szCs w:val="32"/>
          <w:rtl/>
        </w:rPr>
        <w:t xml:space="preserve"> (29/33, 227, </w:t>
      </w:r>
      <w:r>
        <w:rPr>
          <w:rFonts w:ascii="Traditional Arabic" w:hAnsi="Traditional Arabic" w:hint="cs"/>
          <w:sz w:val="32"/>
          <w:szCs w:val="32"/>
          <w:rtl/>
        </w:rPr>
        <w:t>492), وإعلام الموقعين (4/4)</w:t>
      </w:r>
      <w:r w:rsidRPr="0098430F">
        <w:rPr>
          <w:rFonts w:ascii="Traditional Arabic" w:hAnsi="Traditional Arabic" w:hint="cs"/>
          <w:sz w:val="32"/>
          <w:szCs w:val="32"/>
          <w:rtl/>
        </w:rPr>
        <w:t>،</w:t>
      </w:r>
      <w:r>
        <w:rPr>
          <w:rFonts w:ascii="Traditional Arabic" w:hAnsi="Traditional Arabic" w:hint="cs"/>
          <w:sz w:val="32"/>
          <w:szCs w:val="32"/>
          <w:rtl/>
        </w:rPr>
        <w:t xml:space="preserve"> </w:t>
      </w:r>
      <w:r w:rsidRPr="0098430F">
        <w:rPr>
          <w:rFonts w:ascii="Traditional Arabic" w:hAnsi="Traditional Arabic" w:hint="cs"/>
          <w:sz w:val="32"/>
          <w:szCs w:val="32"/>
          <w:rtl/>
        </w:rPr>
        <w:t>والحاجة وأثرها في الأحكام (1/68)، والقواعد والضوابط الفقهية في الجهالة المؤثرة في العقود (159)</w:t>
      </w:r>
      <w:r>
        <w:rPr>
          <w:rFonts w:ascii="Traditional Arabic" w:hAnsi="Traditional Arabic" w:hint="cs"/>
          <w:sz w:val="32"/>
          <w:szCs w:val="32"/>
          <w:rtl/>
        </w:rPr>
        <w:t>.</w:t>
      </w:r>
    </w:p>
  </w:footnote>
  <w:footnote w:id="2039">
    <w:p w:rsidR="000D3D21" w:rsidRPr="0098430F" w:rsidRDefault="000D3D21" w:rsidP="007A0DDE">
      <w:pPr>
        <w:pStyle w:val="a7"/>
        <w:ind w:left="329" w:hanging="329"/>
        <w:rPr>
          <w:rFonts w:ascii="Traditional Arabic" w:hAnsi="Traditional Arabic"/>
          <w:sz w:val="32"/>
          <w:szCs w:val="32"/>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30F">
        <w:rPr>
          <w:rFonts w:ascii="Traditional Arabic" w:hAnsi="Traditional Arabic" w:hint="cs"/>
          <w:sz w:val="32"/>
          <w:szCs w:val="32"/>
          <w:rtl/>
        </w:rPr>
        <w:t>انظر: الشرح الممتع (8/418).</w:t>
      </w:r>
    </w:p>
  </w:footnote>
  <w:footnote w:id="2040">
    <w:p w:rsidR="000D3D21" w:rsidRPr="00332B28" w:rsidRDefault="000D3D21" w:rsidP="007A0DDE">
      <w:pPr>
        <w:pStyle w:val="a7"/>
        <w:tabs>
          <w:tab w:val="left" w:pos="1274"/>
        </w:tabs>
        <w:ind w:left="329" w:hanging="329"/>
        <w:rPr>
          <w:rFonts w:ascii="Traditional Arabic" w:hAnsi="Traditional Arabic"/>
          <w:sz w:val="24"/>
          <w:szCs w:val="24"/>
          <w:rtl/>
        </w:rPr>
      </w:pPr>
      <w:r w:rsidRPr="00451907">
        <w:rPr>
          <w:rFonts w:ascii="Traditional Arabic" w:hAnsi="Traditional Arabic"/>
          <w:sz w:val="32"/>
          <w:szCs w:val="32"/>
          <w:rtl/>
        </w:rPr>
        <w:t>(</w:t>
      </w:r>
      <w:r w:rsidRPr="00451907">
        <w:rPr>
          <w:rFonts w:ascii="Traditional Arabic" w:hAnsi="Traditional Arabic"/>
          <w:sz w:val="32"/>
          <w:szCs w:val="32"/>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30F">
        <w:rPr>
          <w:rFonts w:ascii="Traditional Arabic" w:hAnsi="Traditional Arabic" w:hint="cs"/>
          <w:sz w:val="32"/>
          <w:szCs w:val="32"/>
          <w:rtl/>
        </w:rPr>
        <w:t>انظر: فتح ذي الجلال والإكرام (4/55).</w:t>
      </w:r>
    </w:p>
  </w:footnote>
  <w:footnote w:id="2041">
    <w:p w:rsidR="000D3D21" w:rsidRPr="00B715F4" w:rsidRDefault="000D3D21">
      <w:pPr>
        <w:pStyle w:val="a7"/>
        <w:rPr>
          <w:rFonts w:ascii="Traditional Arabic" w:hAnsi="Traditional Arabic"/>
          <w:sz w:val="32"/>
          <w:szCs w:val="32"/>
          <w:rtl/>
        </w:rPr>
      </w:pPr>
      <w:r w:rsidRPr="00B715F4">
        <w:rPr>
          <w:rStyle w:val="af1"/>
          <w:rFonts w:ascii="Traditional Arabic" w:hAnsi="Traditional Arabic"/>
          <w:sz w:val="32"/>
          <w:szCs w:val="32"/>
          <w:vertAlign w:val="baseline"/>
        </w:rPr>
        <w:footnoteRef/>
      </w:r>
      <w:r w:rsidRPr="00B715F4">
        <w:rPr>
          <w:rFonts w:ascii="Traditional Arabic" w:hAnsi="Traditional Arabic"/>
          <w:sz w:val="32"/>
          <w:szCs w:val="32"/>
        </w:rPr>
        <w:t>)</w:t>
      </w:r>
      <w:r w:rsidRPr="00B715F4">
        <w:rPr>
          <w:rFonts w:ascii="Traditional Arabic" w:hAnsi="Traditional Arabic"/>
          <w:sz w:val="32"/>
          <w:szCs w:val="32"/>
          <w:rtl/>
        </w:rPr>
        <w:t xml:space="preserve">) </w:t>
      </w:r>
      <w:r>
        <w:rPr>
          <w:rFonts w:ascii="Traditional Arabic" w:hAnsi="Traditional Arabic" w:hint="cs"/>
          <w:sz w:val="32"/>
          <w:szCs w:val="32"/>
          <w:rtl/>
        </w:rPr>
        <w:t>اخترت هذه الصيغة لموافقتها للفظ النبوي، وسيأتي تخريج الحديث في مبحث أدلة القاعدة.</w:t>
      </w:r>
    </w:p>
  </w:footnote>
  <w:footnote w:id="2042">
    <w:p w:rsidR="000D3D21" w:rsidRPr="00E021B8"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E021B8">
        <w:rPr>
          <w:rFonts w:ascii="Traditional Arabic" w:hAnsi="Traditional Arabic"/>
          <w:sz w:val="32"/>
          <w:szCs w:val="32"/>
          <w:rtl/>
        </w:rPr>
        <w:t xml:space="preserve"> الشرح الممتع (10/192). </w:t>
      </w:r>
    </w:p>
  </w:footnote>
  <w:footnote w:id="2043">
    <w:p w:rsidR="000D3D21" w:rsidRPr="00E021B8"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E021B8">
        <w:rPr>
          <w:rFonts w:ascii="Traditional Arabic" w:hAnsi="Traditional Arabic"/>
          <w:sz w:val="32"/>
          <w:szCs w:val="32"/>
          <w:rtl/>
        </w:rPr>
        <w:t xml:space="preserve"> المرجع السابق (10/299). </w:t>
      </w:r>
    </w:p>
  </w:footnote>
  <w:footnote w:id="2044">
    <w:p w:rsidR="000D3D21" w:rsidRPr="00E021B8"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021B8">
        <w:rPr>
          <w:rFonts w:ascii="Traditional Arabic" w:hAnsi="Traditional Arabic"/>
          <w:sz w:val="32"/>
          <w:szCs w:val="32"/>
          <w:rtl/>
        </w:rPr>
        <w:t>القواعد الفقهية بين الأصالة والتوجيه</w:t>
      </w:r>
      <w:r>
        <w:rPr>
          <w:rFonts w:ascii="Traditional Arabic" w:hAnsi="Traditional Arabic"/>
          <w:sz w:val="32"/>
          <w:szCs w:val="32"/>
          <w:rtl/>
        </w:rPr>
        <w:t xml:space="preserve"> (314</w:t>
      </w:r>
      <w:r w:rsidRPr="00E021B8">
        <w:rPr>
          <w:rFonts w:ascii="Traditional Arabic" w:hAnsi="Traditional Arabic"/>
          <w:sz w:val="32"/>
          <w:szCs w:val="32"/>
          <w:rtl/>
        </w:rPr>
        <w:t>).</w:t>
      </w:r>
    </w:p>
  </w:footnote>
  <w:footnote w:id="2045">
    <w:p w:rsidR="000D3D21" w:rsidRPr="00E021B8"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021B8">
        <w:rPr>
          <w:rFonts w:ascii="Traditional Arabic" w:hAnsi="Traditional Arabic"/>
          <w:sz w:val="32"/>
          <w:szCs w:val="32"/>
          <w:rtl/>
        </w:rPr>
        <w:t>مقاييس اللغة (3/95).</w:t>
      </w:r>
    </w:p>
  </w:footnote>
  <w:footnote w:id="2046">
    <w:p w:rsidR="000D3D21" w:rsidRPr="00E021B8"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021B8">
        <w:rPr>
          <w:rFonts w:ascii="Traditional Arabic" w:hAnsi="Traditional Arabic"/>
          <w:sz w:val="32"/>
          <w:szCs w:val="32"/>
          <w:rtl/>
        </w:rPr>
        <w:t xml:space="preserve">الروض المربع </w:t>
      </w:r>
      <w:r>
        <w:rPr>
          <w:rFonts w:ascii="Traditional Arabic" w:hAnsi="Traditional Arabic" w:hint="cs"/>
          <w:sz w:val="32"/>
          <w:szCs w:val="32"/>
          <w:rtl/>
        </w:rPr>
        <w:t>(8/307)</w:t>
      </w:r>
      <w:r w:rsidRPr="00E021B8">
        <w:rPr>
          <w:rFonts w:ascii="Traditional Arabic" w:hAnsi="Traditional Arabic"/>
          <w:sz w:val="32"/>
          <w:szCs w:val="32"/>
          <w:rtl/>
        </w:rPr>
        <w:t>.</w:t>
      </w:r>
    </w:p>
  </w:footnote>
  <w:footnote w:id="2047">
    <w:p w:rsidR="000D3D21" w:rsidRPr="0060384F" w:rsidRDefault="000D3D21" w:rsidP="007A0DD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E021B8">
        <w:rPr>
          <w:rFonts w:ascii="Traditional Arabic" w:hAnsi="Traditional Arabic"/>
          <w:sz w:val="32"/>
          <w:szCs w:val="32"/>
          <w:rtl/>
        </w:rPr>
        <w:t>الشرح الممتع (12/76)، وانظر (12/85).</w:t>
      </w:r>
    </w:p>
  </w:footnote>
  <w:footnote w:id="2048">
    <w:p w:rsidR="000D3D21" w:rsidRPr="00213E5B"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213E5B">
        <w:rPr>
          <w:rFonts w:ascii="Traditional Arabic" w:hAnsi="Traditional Arabic"/>
          <w:sz w:val="32"/>
          <w:szCs w:val="32"/>
          <w:rtl/>
        </w:rPr>
        <w:t xml:space="preserve"> (8/129)، وانظر (11/39)، وشرح منظومة أصول الفقه وقواعده (284)، والتعليق على القواعد والأصول الجامعة (381).</w:t>
      </w:r>
    </w:p>
  </w:footnote>
  <w:footnote w:id="2049">
    <w:p w:rsidR="000D3D21" w:rsidRPr="00AC28F2" w:rsidRDefault="000D3D21" w:rsidP="007A0DD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13E5B">
        <w:rPr>
          <w:rFonts w:ascii="Traditional Arabic" w:hAnsi="Traditional Arabic"/>
          <w:sz w:val="32"/>
          <w:szCs w:val="32"/>
          <w:rtl/>
        </w:rPr>
        <w:t>القواعد والأصول الجامعة (163-164).</w:t>
      </w:r>
    </w:p>
  </w:footnote>
  <w:footnote w:id="2050">
    <w:p w:rsidR="000D3D21" w:rsidRPr="002F61ED"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2F61ED">
        <w:rPr>
          <w:rFonts w:ascii="Traditional Arabic" w:hAnsi="Traditional Arabic"/>
          <w:noProof w:val="0"/>
          <w:sz w:val="32"/>
          <w:szCs w:val="32"/>
          <w:rtl/>
          <w:lang w:eastAsia="en-US"/>
        </w:rPr>
        <w:t xml:space="preserve">أخرجه  أحمد في المسند، رقم الحديث (24372)، وأبو داود في </w:t>
      </w:r>
      <w:r>
        <w:rPr>
          <w:rFonts w:ascii="Traditional Arabic" w:hAnsi="Traditional Arabic" w:hint="cs"/>
          <w:noProof w:val="0"/>
          <w:sz w:val="32"/>
          <w:szCs w:val="32"/>
          <w:rtl/>
          <w:lang w:eastAsia="en-US"/>
        </w:rPr>
        <w:t xml:space="preserve">سننه في </w:t>
      </w:r>
      <w:r w:rsidRPr="002F61ED">
        <w:rPr>
          <w:rFonts w:ascii="Traditional Arabic" w:hAnsi="Traditional Arabic"/>
          <w:noProof w:val="0"/>
          <w:sz w:val="32"/>
          <w:szCs w:val="32"/>
          <w:rtl/>
          <w:lang w:eastAsia="en-US"/>
        </w:rPr>
        <w:t xml:space="preserve">كتاب النكاح، باب في الولي رقم الحديث (2083)، والترمذي في </w:t>
      </w:r>
      <w:r>
        <w:rPr>
          <w:rFonts w:ascii="Traditional Arabic" w:hAnsi="Traditional Arabic" w:hint="cs"/>
          <w:noProof w:val="0"/>
          <w:sz w:val="32"/>
          <w:szCs w:val="32"/>
          <w:rtl/>
          <w:lang w:eastAsia="en-US"/>
        </w:rPr>
        <w:t xml:space="preserve">سننه في </w:t>
      </w:r>
      <w:r w:rsidRPr="002F61ED">
        <w:rPr>
          <w:rFonts w:ascii="Traditional Arabic" w:hAnsi="Traditional Arabic"/>
          <w:noProof w:val="0"/>
          <w:sz w:val="32"/>
          <w:szCs w:val="32"/>
          <w:rtl/>
          <w:lang w:eastAsia="en-US"/>
        </w:rPr>
        <w:t xml:space="preserve">كتاب النكاح، باب ما جاء لا نكاح إلا بولي، حديث رقم (1102)، وابن ماجه في </w:t>
      </w:r>
      <w:r>
        <w:rPr>
          <w:rFonts w:ascii="Traditional Arabic" w:hAnsi="Traditional Arabic" w:hint="cs"/>
          <w:noProof w:val="0"/>
          <w:sz w:val="32"/>
          <w:szCs w:val="32"/>
          <w:rtl/>
          <w:lang w:eastAsia="en-US"/>
        </w:rPr>
        <w:t xml:space="preserve">سننه في </w:t>
      </w:r>
      <w:r w:rsidRPr="002F61ED">
        <w:rPr>
          <w:rFonts w:ascii="Traditional Arabic" w:hAnsi="Traditional Arabic"/>
          <w:noProof w:val="0"/>
          <w:sz w:val="32"/>
          <w:szCs w:val="32"/>
          <w:rtl/>
          <w:lang w:eastAsia="en-US"/>
        </w:rPr>
        <w:t>كتاب النكاح، باب لا نكاح إلا بولي، رقم الحديث (1879). والحديث صححه الألب</w:t>
      </w:r>
      <w:r>
        <w:rPr>
          <w:rFonts w:ascii="Traditional Arabic" w:hAnsi="Traditional Arabic"/>
          <w:noProof w:val="0"/>
          <w:sz w:val="32"/>
          <w:szCs w:val="32"/>
          <w:rtl/>
          <w:lang w:eastAsia="en-US"/>
        </w:rPr>
        <w:t>اني في صحيح سنن أبي داود (</w:t>
      </w:r>
      <w:r>
        <w:rPr>
          <w:rFonts w:ascii="Traditional Arabic" w:hAnsi="Traditional Arabic" w:hint="cs"/>
          <w:noProof w:val="0"/>
          <w:sz w:val="32"/>
          <w:szCs w:val="32"/>
          <w:rtl/>
          <w:lang w:eastAsia="en-US"/>
        </w:rPr>
        <w:t>1/584)</w:t>
      </w:r>
      <w:r w:rsidRPr="002F61ED">
        <w:rPr>
          <w:rFonts w:ascii="Traditional Arabic" w:hAnsi="Traditional Arabic"/>
          <w:noProof w:val="0"/>
          <w:sz w:val="32"/>
          <w:szCs w:val="32"/>
          <w:rtl/>
          <w:lang w:eastAsia="en-US"/>
        </w:rPr>
        <w:t>.</w:t>
      </w:r>
    </w:p>
  </w:footnote>
  <w:footnote w:id="2051">
    <w:p w:rsidR="000D3D21" w:rsidRPr="002F61ED"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F61ED">
        <w:rPr>
          <w:rFonts w:ascii="Traditional Arabic" w:hAnsi="Traditional Arabic"/>
          <w:sz w:val="32"/>
          <w:szCs w:val="32"/>
          <w:rtl/>
        </w:rPr>
        <w:t>حاشية أبي الحسن الحنفي السندي على سنن ابن ماجة (2/427)</w:t>
      </w:r>
      <w:r>
        <w:rPr>
          <w:rFonts w:ascii="Traditional Arabic" w:hAnsi="Traditional Arabic" w:hint="cs"/>
          <w:sz w:val="32"/>
          <w:szCs w:val="32"/>
          <w:rtl/>
        </w:rPr>
        <w:t xml:space="preserve"> </w:t>
      </w:r>
      <w:r w:rsidRPr="002F61ED">
        <w:rPr>
          <w:rFonts w:ascii="Traditional Arabic" w:hAnsi="Traditional Arabic"/>
          <w:sz w:val="32"/>
          <w:szCs w:val="32"/>
          <w:rtl/>
        </w:rPr>
        <w:t>بتصرف.</w:t>
      </w:r>
    </w:p>
  </w:footnote>
  <w:footnote w:id="2052">
    <w:p w:rsidR="000D3D21" w:rsidRPr="002F61ED"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F61ED">
        <w:rPr>
          <w:rFonts w:ascii="Traditional Arabic" w:hAnsi="Traditional Arabic"/>
          <w:sz w:val="32"/>
          <w:szCs w:val="32"/>
          <w:rtl/>
        </w:rPr>
        <w:t>فتح ذي الجلال والإكرام (4/473).</w:t>
      </w:r>
    </w:p>
  </w:footnote>
  <w:footnote w:id="2053">
    <w:p w:rsidR="000D3D21" w:rsidRPr="00476BE8" w:rsidRDefault="000D3D21">
      <w:pPr>
        <w:pStyle w:val="a7"/>
        <w:rPr>
          <w:rFonts w:ascii="Traditional Arabic" w:hAnsi="Traditional Arabic"/>
          <w:sz w:val="32"/>
          <w:szCs w:val="32"/>
          <w:rtl/>
        </w:rPr>
      </w:pPr>
      <w:r w:rsidRPr="00476BE8">
        <w:rPr>
          <w:rStyle w:val="af1"/>
          <w:rFonts w:ascii="Traditional Arabic" w:hAnsi="Traditional Arabic"/>
          <w:sz w:val="32"/>
          <w:szCs w:val="32"/>
          <w:vertAlign w:val="baseline"/>
        </w:rPr>
        <w:footnoteRef/>
      </w:r>
      <w:r w:rsidRPr="00476BE8">
        <w:rPr>
          <w:rFonts w:ascii="Traditional Arabic" w:hAnsi="Traditional Arabic"/>
          <w:sz w:val="32"/>
          <w:szCs w:val="32"/>
        </w:rPr>
        <w:t>)</w:t>
      </w:r>
      <w:r w:rsidRPr="00476BE8">
        <w:rPr>
          <w:rFonts w:ascii="Traditional Arabic" w:hAnsi="Traditional Arabic"/>
          <w:sz w:val="32"/>
          <w:szCs w:val="32"/>
          <w:rtl/>
        </w:rPr>
        <w:t xml:space="preserve">) </w:t>
      </w:r>
      <w:r>
        <w:rPr>
          <w:rFonts w:ascii="Traditional Arabic" w:hAnsi="Traditional Arabic" w:hint="cs"/>
          <w:sz w:val="32"/>
          <w:szCs w:val="32"/>
          <w:rtl/>
        </w:rPr>
        <w:t>الاستذكار (14/85).</w:t>
      </w:r>
    </w:p>
  </w:footnote>
  <w:footnote w:id="2054">
    <w:p w:rsidR="000D3D21" w:rsidRPr="00CE55C4" w:rsidRDefault="000D3D21" w:rsidP="007A0DD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F61ED">
        <w:rPr>
          <w:rFonts w:ascii="Traditional Arabic" w:hAnsi="Traditional Arabic"/>
          <w:sz w:val="32"/>
          <w:szCs w:val="32"/>
          <w:rtl/>
        </w:rPr>
        <w:t>انظر الشرح الممتع (10/191، 192).</w:t>
      </w:r>
    </w:p>
  </w:footnote>
  <w:footnote w:id="2055">
    <w:p w:rsidR="000D3D21" w:rsidRPr="00487E97" w:rsidRDefault="000D3D21" w:rsidP="007A0DDE">
      <w:pPr>
        <w:widowControl/>
        <w:autoSpaceDE w:val="0"/>
        <w:autoSpaceDN w:val="0"/>
        <w:adjustRightInd w:val="0"/>
        <w:ind w:firstLine="0"/>
        <w:jc w:val="left"/>
        <w:rPr>
          <w:sz w:val="32"/>
          <w:szCs w:val="32"/>
          <w:rtl/>
        </w:rPr>
      </w:pPr>
      <w:r w:rsidRPr="00487E97">
        <w:rPr>
          <w:rFonts w:ascii="Traditional Arabic" w:hAnsi="Traditional Arabic"/>
          <w:sz w:val="32"/>
          <w:szCs w:val="32"/>
        </w:rPr>
        <w:footnoteRef/>
      </w:r>
      <w:r w:rsidRPr="00487E97">
        <w:rPr>
          <w:rFonts w:ascii="Traditional Arabic" w:hAnsi="Traditional Arabic"/>
          <w:sz w:val="32"/>
          <w:szCs w:val="32"/>
        </w:rPr>
        <w:t>)</w:t>
      </w:r>
      <w:r w:rsidRPr="00487E97">
        <w:rPr>
          <w:rFonts w:ascii="Traditional Arabic" w:hAnsi="Traditional Arabic" w:hint="cs"/>
          <w:sz w:val="32"/>
          <w:szCs w:val="32"/>
          <w:rtl/>
        </w:rPr>
        <w:t>)</w:t>
      </w:r>
      <w:r>
        <w:rPr>
          <w:rFonts w:hint="cs"/>
          <w:sz w:val="32"/>
          <w:szCs w:val="32"/>
          <w:rtl/>
        </w:rPr>
        <w:t xml:space="preserve"> </w:t>
      </w:r>
      <w:r w:rsidRPr="00487E97">
        <w:rPr>
          <w:rFonts w:hint="cs"/>
          <w:sz w:val="32"/>
          <w:szCs w:val="32"/>
          <w:rtl/>
        </w:rPr>
        <w:t>انظر المرجع السابق (10</w:t>
      </w:r>
      <w:r>
        <w:rPr>
          <w:rFonts w:hint="cs"/>
          <w:sz w:val="32"/>
          <w:szCs w:val="32"/>
          <w:rtl/>
        </w:rPr>
        <w:t>/297-299</w:t>
      </w:r>
      <w:r w:rsidRPr="00487E97">
        <w:rPr>
          <w:rFonts w:hint="cs"/>
          <w:sz w:val="32"/>
          <w:szCs w:val="32"/>
          <w:rtl/>
        </w:rPr>
        <w:t>).</w:t>
      </w:r>
    </w:p>
  </w:footnote>
  <w:footnote w:id="2056">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اخترت هذه الصيغة لوجازتها، ولأنها قريبة من الصيغة التي ذكرها شيخ الإسلام، وخاصة أن الشيخ ابن عثيمين</w:t>
      </w:r>
      <w:r>
        <w:rPr>
          <w:rFonts w:ascii="Traditional Arabic" w:hAnsi="Traditional Arabic" w:hint="cs"/>
          <w:sz w:val="32"/>
          <w:szCs w:val="32"/>
          <w:rtl/>
        </w:rPr>
        <w:t>_رحمه الله_</w:t>
      </w:r>
      <w:r w:rsidRPr="00553F1C">
        <w:rPr>
          <w:rFonts w:ascii="Traditional Arabic" w:hAnsi="Traditional Arabic"/>
          <w:sz w:val="32"/>
          <w:szCs w:val="32"/>
          <w:rtl/>
        </w:rPr>
        <w:t xml:space="preserve"> لما ذكر ه</w:t>
      </w:r>
      <w:r>
        <w:rPr>
          <w:rFonts w:ascii="Traditional Arabic" w:hAnsi="Traditional Arabic"/>
          <w:sz w:val="32"/>
          <w:szCs w:val="32"/>
          <w:rtl/>
        </w:rPr>
        <w:t>ذه القاعدة نسبها إلى شيخ الإسلا</w:t>
      </w:r>
      <w:r>
        <w:rPr>
          <w:rFonts w:ascii="Traditional Arabic" w:hAnsi="Traditional Arabic" w:hint="cs"/>
          <w:sz w:val="32"/>
          <w:szCs w:val="32"/>
          <w:rtl/>
        </w:rPr>
        <w:t>م ابن تيمية _رحمه الله_</w:t>
      </w:r>
      <w:r w:rsidRPr="00553F1C">
        <w:rPr>
          <w:rFonts w:ascii="Traditional Arabic" w:hAnsi="Traditional Arabic"/>
          <w:sz w:val="32"/>
          <w:szCs w:val="32"/>
          <w:rtl/>
        </w:rPr>
        <w:t>.</w:t>
      </w:r>
    </w:p>
  </w:footnote>
  <w:footnote w:id="2057">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الشرح الممتع (10/32).</w:t>
      </w:r>
    </w:p>
  </w:footnote>
  <w:footnote w:id="2058">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المرجع السابق.</w:t>
      </w:r>
    </w:p>
  </w:footnote>
  <w:footnote w:id="2059">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أحكام من القرآن الكريم (2/239).</w:t>
      </w:r>
    </w:p>
  </w:footnote>
  <w:footnote w:id="2060">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التعليق على قواعد ابن رجب (1/169).</w:t>
      </w:r>
    </w:p>
  </w:footnote>
  <w:footnote w:id="2061">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مجموع الفتاوى لابن تيمية (20/550).</w:t>
      </w:r>
    </w:p>
  </w:footnote>
  <w:footnote w:id="2062">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المرجع السابق (29/73)، وانظر (29/74).</w:t>
      </w:r>
    </w:p>
  </w:footnote>
  <w:footnote w:id="2063">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إعلام الموقعين (3/215).</w:t>
      </w:r>
    </w:p>
  </w:footnote>
  <w:footnote w:id="2064">
    <w:p w:rsidR="000D3D21" w:rsidRPr="00553F1C" w:rsidRDefault="000D3D21" w:rsidP="007A0DD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مقاييس اللغة (5/463).</w:t>
      </w:r>
    </w:p>
  </w:footnote>
  <w:footnote w:id="2065">
    <w:p w:rsidR="000D3D21" w:rsidRPr="00867938"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67938">
        <w:rPr>
          <w:rFonts w:ascii="Traditional Arabic" w:hAnsi="Traditional Arabic"/>
          <w:sz w:val="32"/>
          <w:szCs w:val="32"/>
          <w:rtl/>
        </w:rPr>
        <w:t xml:space="preserve">المصباح المنير </w:t>
      </w:r>
      <w:r>
        <w:rPr>
          <w:rFonts w:ascii="Traditional Arabic" w:hAnsi="Traditional Arabic" w:hint="cs"/>
          <w:sz w:val="32"/>
          <w:szCs w:val="32"/>
          <w:rtl/>
        </w:rPr>
        <w:t>(506)</w:t>
      </w:r>
      <w:r w:rsidRPr="00867938">
        <w:rPr>
          <w:rFonts w:ascii="Traditional Arabic" w:hAnsi="Traditional Arabic"/>
          <w:sz w:val="32"/>
          <w:szCs w:val="32"/>
          <w:rtl/>
        </w:rPr>
        <w:t>.</w:t>
      </w:r>
    </w:p>
  </w:footnote>
  <w:footnote w:id="2066">
    <w:p w:rsidR="000D3D21" w:rsidRPr="00867938"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المطلع على أ</w:t>
      </w:r>
      <w:r>
        <w:rPr>
          <w:rFonts w:ascii="Traditional Arabic" w:hAnsi="Traditional Arabic" w:hint="cs"/>
          <w:sz w:val="32"/>
          <w:szCs w:val="32"/>
          <w:rtl/>
        </w:rPr>
        <w:t>لفاظ</w:t>
      </w:r>
      <w:r w:rsidRPr="00867938">
        <w:rPr>
          <w:rFonts w:ascii="Traditional Arabic" w:hAnsi="Traditional Arabic"/>
          <w:sz w:val="32"/>
          <w:szCs w:val="32"/>
          <w:rtl/>
        </w:rPr>
        <w:t xml:space="preserve"> المقنع (</w:t>
      </w:r>
      <w:r>
        <w:rPr>
          <w:rFonts w:ascii="Traditional Arabic" w:hAnsi="Traditional Arabic" w:hint="cs"/>
          <w:sz w:val="32"/>
          <w:szCs w:val="32"/>
          <w:rtl/>
        </w:rPr>
        <w:t>491</w:t>
      </w:r>
      <w:r w:rsidRPr="00867938">
        <w:rPr>
          <w:rFonts w:ascii="Traditional Arabic" w:hAnsi="Traditional Arabic"/>
          <w:sz w:val="32"/>
          <w:szCs w:val="32"/>
          <w:rtl/>
        </w:rPr>
        <w:t>).</w:t>
      </w:r>
    </w:p>
  </w:footnote>
  <w:footnote w:id="2067">
    <w:p w:rsidR="000D3D21" w:rsidRPr="00867938"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67938">
        <w:rPr>
          <w:rFonts w:ascii="Traditional Arabic" w:hAnsi="Traditional Arabic"/>
          <w:sz w:val="32"/>
          <w:szCs w:val="32"/>
          <w:rtl/>
        </w:rPr>
        <w:t>زاد المعاد (5/826).</w:t>
      </w:r>
    </w:p>
  </w:footnote>
  <w:footnote w:id="2068">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67938">
        <w:rPr>
          <w:rFonts w:ascii="Traditional Arabic" w:hAnsi="Traditional Arabic"/>
          <w:sz w:val="32"/>
          <w:szCs w:val="32"/>
          <w:rtl/>
        </w:rPr>
        <w:t>التعليق على قواعد ابن رجب (1/169) بتصرف.</w:t>
      </w:r>
    </w:p>
  </w:footnote>
  <w:footnote w:id="2069">
    <w:p w:rsidR="000D3D21" w:rsidRPr="002064D2" w:rsidRDefault="000D3D21" w:rsidP="007A0DDE">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أحكام من القرآن الكريم (2/239) بتصرف.</w:t>
      </w:r>
    </w:p>
  </w:footnote>
  <w:footnote w:id="2070">
    <w:p w:rsidR="000D3D21" w:rsidRPr="00553F1C" w:rsidRDefault="000D3D21" w:rsidP="007A0DDE">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53F1C">
        <w:rPr>
          <w:rFonts w:ascii="Traditional Arabic" w:hAnsi="Traditional Arabic"/>
          <w:sz w:val="32"/>
          <w:szCs w:val="32"/>
          <w:rtl/>
        </w:rPr>
        <w:t>الشرح الممتع (10/32).</w:t>
      </w:r>
    </w:p>
  </w:footnote>
  <w:footnote w:id="2071">
    <w:p w:rsidR="000D3D21" w:rsidRPr="00553F1C" w:rsidRDefault="000D3D21" w:rsidP="007A0DDE">
      <w:pPr>
        <w:pStyle w:val="a7"/>
        <w:pageBreakBefore/>
        <w:rPr>
          <w:rFonts w:ascii="Tahoma" w:hAnsi="Tahoma"/>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553F1C">
        <w:rPr>
          <w:rFonts w:ascii="Traditional Arabic" w:hAnsi="Traditional Arabic"/>
          <w:sz w:val="32"/>
          <w:szCs w:val="32"/>
          <w:rtl/>
        </w:rPr>
        <w:t xml:space="preserve"> (10/29-32).</w:t>
      </w:r>
    </w:p>
  </w:footnote>
  <w:footnote w:id="2072">
    <w:p w:rsidR="000D3D21" w:rsidRDefault="000D3D21" w:rsidP="00B34E74">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14BD9">
        <w:rPr>
          <w:rFonts w:ascii="Traditional Arabic" w:hAnsi="Traditional Arabic"/>
          <w:sz w:val="32"/>
          <w:szCs w:val="32"/>
          <w:rtl/>
        </w:rPr>
        <w:t>الشرح الممتع (8/260)</w:t>
      </w:r>
      <w:r>
        <w:rPr>
          <w:rFonts w:ascii="Traditional Arabic" w:hAnsi="Traditional Arabic" w:hint="cs"/>
          <w:sz w:val="32"/>
          <w:szCs w:val="32"/>
          <w:rtl/>
        </w:rPr>
        <w:t xml:space="preserve"> </w:t>
      </w:r>
      <w:r w:rsidRPr="00214BD9">
        <w:rPr>
          <w:rFonts w:ascii="Traditional Arabic" w:hAnsi="Traditional Arabic"/>
          <w:sz w:val="32"/>
          <w:szCs w:val="32"/>
          <w:rtl/>
        </w:rPr>
        <w:t>بتصرف.</w:t>
      </w:r>
    </w:p>
    <w:p w:rsidR="000D3D21" w:rsidRDefault="000D3D21" w:rsidP="00B34E74">
      <w:pPr>
        <w:pStyle w:val="a7"/>
        <w:pageBreakBefore/>
        <w:rPr>
          <w:rFonts w:ascii="Traditional Arabic" w:hAnsi="Traditional Arabic"/>
          <w:sz w:val="32"/>
          <w:szCs w:val="32"/>
          <w:rtl/>
        </w:rPr>
      </w:pPr>
      <w:r>
        <w:rPr>
          <w:rFonts w:ascii="Traditional Arabic" w:hAnsi="Traditional Arabic" w:hint="cs"/>
          <w:b/>
          <w:bCs/>
          <w:sz w:val="32"/>
          <w:szCs w:val="32"/>
          <w:rtl/>
        </w:rPr>
        <w:t xml:space="preserve">     </w:t>
      </w:r>
      <w:r>
        <w:rPr>
          <w:rFonts w:ascii="Traditional Arabic" w:hAnsi="Traditional Arabic" w:hint="cs"/>
          <w:sz w:val="32"/>
          <w:szCs w:val="32"/>
          <w:rtl/>
        </w:rPr>
        <w:t xml:space="preserve">ورد هذا الضابط عند الشيخ ابن عثيمين _رحمه الله_ بصيغة أخرى، وهي: </w:t>
      </w:r>
    </w:p>
    <w:p w:rsidR="000D3D21" w:rsidRPr="00C13A15" w:rsidRDefault="000D3D21" w:rsidP="00B34E74">
      <w:pPr>
        <w:pStyle w:val="a7"/>
        <w:pageBreakBefore/>
        <w:rPr>
          <w:rFonts w:ascii="Traditional Arabic" w:hAnsi="Traditional Arabic"/>
          <w:color w:val="auto"/>
          <w:sz w:val="32"/>
          <w:szCs w:val="32"/>
        </w:rPr>
      </w:pPr>
      <w:r>
        <w:rPr>
          <w:rFonts w:ascii="Traditional Arabic" w:hAnsi="Traditional Arabic" w:hint="cs"/>
          <w:sz w:val="32"/>
          <w:szCs w:val="32"/>
          <w:rtl/>
        </w:rPr>
        <w:t xml:space="preserve">     </w:t>
      </w:r>
      <w:r w:rsidRPr="00C13A15">
        <w:rPr>
          <w:rFonts w:ascii="Traditional Arabic" w:hAnsi="Traditional Arabic"/>
          <w:noProof w:val="0"/>
          <w:color w:val="auto"/>
          <w:sz w:val="32"/>
          <w:szCs w:val="32"/>
          <w:rtl/>
          <w:lang w:eastAsia="en-US"/>
        </w:rPr>
        <w:t>الخيار يثب</w:t>
      </w:r>
      <w:r>
        <w:rPr>
          <w:rFonts w:ascii="Traditional Arabic" w:hAnsi="Traditional Arabic" w:hint="cs"/>
          <w:noProof w:val="0"/>
          <w:color w:val="auto"/>
          <w:sz w:val="32"/>
          <w:szCs w:val="32"/>
          <w:rtl/>
          <w:lang w:eastAsia="en-US"/>
        </w:rPr>
        <w:t>ُ</w:t>
      </w:r>
      <w:r w:rsidRPr="00C13A15">
        <w:rPr>
          <w:rFonts w:ascii="Traditional Arabic" w:hAnsi="Traditional Arabic"/>
          <w:noProof w:val="0"/>
          <w:color w:val="auto"/>
          <w:sz w:val="32"/>
          <w:szCs w:val="32"/>
          <w:rtl/>
          <w:lang w:eastAsia="en-US"/>
        </w:rPr>
        <w:t>ت فيما يف</w:t>
      </w:r>
      <w:r>
        <w:rPr>
          <w:rFonts w:ascii="Traditional Arabic" w:hAnsi="Traditional Arabic" w:hint="cs"/>
          <w:noProof w:val="0"/>
          <w:color w:val="auto"/>
          <w:sz w:val="32"/>
          <w:szCs w:val="32"/>
          <w:rtl/>
          <w:lang w:eastAsia="en-US"/>
        </w:rPr>
        <w:t>ُ</w:t>
      </w:r>
      <w:r w:rsidRPr="00C13A15">
        <w:rPr>
          <w:rFonts w:ascii="Traditional Arabic" w:hAnsi="Traditional Arabic"/>
          <w:noProof w:val="0"/>
          <w:color w:val="auto"/>
          <w:sz w:val="32"/>
          <w:szCs w:val="32"/>
          <w:rtl/>
          <w:lang w:eastAsia="en-US"/>
        </w:rPr>
        <w:t>وت به مقصود</w:t>
      </w:r>
      <w:r>
        <w:rPr>
          <w:rFonts w:ascii="Traditional Arabic" w:hAnsi="Traditional Arabic" w:hint="cs"/>
          <w:noProof w:val="0"/>
          <w:color w:val="auto"/>
          <w:sz w:val="32"/>
          <w:szCs w:val="32"/>
          <w:rtl/>
          <w:lang w:eastAsia="en-US"/>
        </w:rPr>
        <w:t>ُ</w:t>
      </w:r>
      <w:r w:rsidRPr="00C13A15">
        <w:rPr>
          <w:rFonts w:ascii="Traditional Arabic" w:hAnsi="Traditional Arabic"/>
          <w:noProof w:val="0"/>
          <w:color w:val="auto"/>
          <w:sz w:val="32"/>
          <w:szCs w:val="32"/>
          <w:rtl/>
          <w:lang w:eastAsia="en-US"/>
        </w:rPr>
        <w:t xml:space="preserve"> أحد المتعاقدين</w:t>
      </w:r>
      <w:r>
        <w:rPr>
          <w:rFonts w:ascii="Traditional Arabic" w:hAnsi="Traditional Arabic" w:hint="cs"/>
          <w:noProof w:val="0"/>
          <w:color w:val="auto"/>
          <w:sz w:val="32"/>
          <w:szCs w:val="32"/>
          <w:rtl/>
          <w:lang w:eastAsia="en-US"/>
        </w:rPr>
        <w:t>. المرجع السابق (8/365).</w:t>
      </w:r>
    </w:p>
  </w:footnote>
  <w:footnote w:id="2073">
    <w:p w:rsidR="000D3D21" w:rsidRPr="00214BD9" w:rsidRDefault="000D3D21" w:rsidP="00B34E7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14BD9">
        <w:rPr>
          <w:rFonts w:ascii="Traditional Arabic" w:hAnsi="Traditional Arabic"/>
          <w:sz w:val="32"/>
          <w:szCs w:val="32"/>
          <w:rtl/>
        </w:rPr>
        <w:t xml:space="preserve">المصباح المنير </w:t>
      </w:r>
      <w:r>
        <w:rPr>
          <w:rFonts w:ascii="Traditional Arabic" w:hAnsi="Traditional Arabic" w:hint="cs"/>
          <w:sz w:val="32"/>
          <w:szCs w:val="32"/>
          <w:rtl/>
        </w:rPr>
        <w:t xml:space="preserve">(362) </w:t>
      </w:r>
      <w:r w:rsidRPr="00214BD9">
        <w:rPr>
          <w:rFonts w:ascii="Traditional Arabic" w:hAnsi="Traditional Arabic"/>
          <w:sz w:val="32"/>
          <w:szCs w:val="32"/>
          <w:rtl/>
        </w:rPr>
        <w:t>بتصرف.</w:t>
      </w:r>
    </w:p>
  </w:footnote>
  <w:footnote w:id="2074">
    <w:p w:rsidR="000D3D21" w:rsidRPr="00061AE1" w:rsidRDefault="000D3D21" w:rsidP="00B34E7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14BD9">
        <w:rPr>
          <w:rFonts w:ascii="Traditional Arabic" w:hAnsi="Traditional Arabic"/>
          <w:sz w:val="32"/>
          <w:szCs w:val="32"/>
          <w:rtl/>
        </w:rPr>
        <w:t>انظر الشرح الممتع (8/259، 336، 334).</w:t>
      </w:r>
    </w:p>
  </w:footnote>
  <w:footnote w:id="2075">
    <w:p w:rsidR="000D3D21" w:rsidRPr="00986F47" w:rsidRDefault="000D3D21" w:rsidP="00B34E74">
      <w:pPr>
        <w:widowControl/>
        <w:autoSpaceDE w:val="0"/>
        <w:autoSpaceDN w:val="0"/>
        <w:adjustRightInd w:val="0"/>
        <w:ind w:firstLine="0"/>
        <w:jc w:val="left"/>
        <w:rPr>
          <w:rFonts w:ascii="Tahoma" w:hAnsi="Tahoma"/>
          <w:sz w:val="28"/>
          <w:szCs w:val="28"/>
        </w:rPr>
      </w:pPr>
      <w:r w:rsidRPr="00451907">
        <w:rPr>
          <w:rFonts w:ascii="Tahoma" w:hAnsi="Tahoma"/>
          <w:sz w:val="28"/>
          <w:szCs w:val="32"/>
          <w:rtl/>
        </w:rPr>
        <w:t>(</w:t>
      </w:r>
      <w:r w:rsidRPr="00451907">
        <w:rPr>
          <w:rStyle w:val="af1"/>
          <w:rFonts w:ascii="Tahoma" w:hAnsi="Tahoma"/>
          <w:sz w:val="28"/>
          <w:szCs w:val="32"/>
          <w:vertAlign w:val="baseline"/>
          <w:rtl/>
        </w:rPr>
        <w:footnoteRef/>
      </w:r>
      <w:r w:rsidRPr="00451907">
        <w:rPr>
          <w:rFonts w:ascii="Tahoma" w:hAnsi="Tahoma"/>
          <w:sz w:val="28"/>
          <w:szCs w:val="32"/>
          <w:rtl/>
        </w:rPr>
        <w:t>)</w:t>
      </w:r>
      <w:r>
        <w:rPr>
          <w:rFonts w:ascii="Tahoma" w:hAnsi="Tahoma" w:hint="cs"/>
          <w:rtl/>
        </w:rPr>
        <w:t xml:space="preserve"> </w:t>
      </w:r>
      <w:r w:rsidRPr="00A37462">
        <w:rPr>
          <w:rFonts w:ascii="Tahoma" w:hAnsi="Tahoma" w:hint="cs"/>
          <w:sz w:val="32"/>
          <w:szCs w:val="32"/>
          <w:rtl/>
        </w:rPr>
        <w:t>لكن يشترط أن يكون المشتري قد جهل المقدار،</w:t>
      </w:r>
      <w:r>
        <w:rPr>
          <w:rFonts w:ascii="Tahoma" w:hAnsi="Tahoma" w:hint="cs"/>
          <w:rtl/>
        </w:rPr>
        <w:t xml:space="preserve"> </w:t>
      </w:r>
      <w:r>
        <w:rPr>
          <w:rFonts w:ascii="Traditional Arabic" w:hAnsi="Traditional Arabic"/>
          <w:noProof w:val="0"/>
          <w:sz w:val="32"/>
          <w:szCs w:val="32"/>
          <w:rtl/>
          <w:lang w:eastAsia="en-US"/>
        </w:rPr>
        <w:t>فإن كان المشتري يعلم أن</w:t>
      </w:r>
      <w:r>
        <w:rPr>
          <w:rFonts w:ascii="Traditional Arabic" w:hAnsi="Traditional Arabic" w:hint="cs"/>
          <w:noProof w:val="0"/>
          <w:sz w:val="32"/>
          <w:szCs w:val="32"/>
          <w:rtl/>
          <w:lang w:eastAsia="en-US"/>
        </w:rPr>
        <w:t xml:space="preserve"> مقدارها</w:t>
      </w:r>
      <w:r>
        <w:rPr>
          <w:rFonts w:ascii="Traditional Arabic" w:hAnsi="Traditional Arabic"/>
          <w:noProof w:val="0"/>
          <w:sz w:val="32"/>
          <w:szCs w:val="32"/>
          <w:rtl/>
          <w:lang w:eastAsia="en-US"/>
        </w:rPr>
        <w:t xml:space="preserve"> تسعون </w:t>
      </w:r>
      <w:r>
        <w:rPr>
          <w:rFonts w:ascii="Traditional Arabic" w:hAnsi="Traditional Arabic" w:hint="cs"/>
          <w:noProof w:val="0"/>
          <w:sz w:val="32"/>
          <w:szCs w:val="32"/>
          <w:rtl/>
          <w:lang w:eastAsia="en-US"/>
        </w:rPr>
        <w:t>ذراعا</w:t>
      </w:r>
      <w:r w:rsidRPr="00986F47">
        <w:rPr>
          <w:rFonts w:ascii="Traditional Arabic" w:hAnsi="Traditional Arabic"/>
          <w:noProof w:val="0"/>
          <w:sz w:val="32"/>
          <w:szCs w:val="32"/>
          <w:rtl/>
          <w:lang w:eastAsia="en-US"/>
        </w:rPr>
        <w:t xml:space="preserve"> فإنه لا خيار له؛ لأنه دخل على بص</w:t>
      </w:r>
      <w:r>
        <w:rPr>
          <w:rFonts w:ascii="Traditional Arabic" w:hAnsi="Traditional Arabic"/>
          <w:noProof w:val="0"/>
          <w:sz w:val="32"/>
          <w:szCs w:val="32"/>
          <w:rtl/>
          <w:lang w:eastAsia="en-US"/>
        </w:rPr>
        <w:t xml:space="preserve">يرة، وكان عليه أن </w:t>
      </w:r>
      <w:r>
        <w:rPr>
          <w:rFonts w:ascii="Traditional Arabic" w:hAnsi="Traditional Arabic" w:hint="cs"/>
          <w:noProof w:val="0"/>
          <w:sz w:val="32"/>
          <w:szCs w:val="32"/>
          <w:rtl/>
          <w:lang w:eastAsia="en-US"/>
        </w:rPr>
        <w:t>يبيِّن</w:t>
      </w:r>
      <w:r>
        <w:rPr>
          <w:rFonts w:ascii="Traditional Arabic" w:hAnsi="Traditional Arabic"/>
          <w:noProof w:val="0"/>
          <w:sz w:val="32"/>
          <w:szCs w:val="32"/>
          <w:rtl/>
          <w:lang w:eastAsia="en-US"/>
        </w:rPr>
        <w:t xml:space="preserve"> للبائع </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حين قال: إنها مائة </w:t>
      </w:r>
      <w:r>
        <w:rPr>
          <w:rFonts w:ascii="Traditional Arabic" w:hAnsi="Traditional Arabic" w:hint="cs"/>
          <w:noProof w:val="0"/>
          <w:sz w:val="32"/>
          <w:szCs w:val="32"/>
          <w:rtl/>
          <w:lang w:eastAsia="en-US"/>
        </w:rPr>
        <w:t>ذراع- أن مقدارها</w:t>
      </w:r>
      <w:r>
        <w:rPr>
          <w:rFonts w:ascii="Traditional Arabic" w:hAnsi="Traditional Arabic"/>
          <w:noProof w:val="0"/>
          <w:sz w:val="32"/>
          <w:szCs w:val="32"/>
          <w:rtl/>
          <w:lang w:eastAsia="en-US"/>
        </w:rPr>
        <w:t xml:space="preserve"> تسعون </w:t>
      </w:r>
      <w:r>
        <w:rPr>
          <w:rFonts w:ascii="Traditional Arabic" w:hAnsi="Traditional Arabic" w:hint="cs"/>
          <w:noProof w:val="0"/>
          <w:sz w:val="32"/>
          <w:szCs w:val="32"/>
          <w:rtl/>
          <w:lang w:eastAsia="en-US"/>
        </w:rPr>
        <w:t>ذراع</w:t>
      </w:r>
      <w:r w:rsidRPr="00986F47">
        <w:rPr>
          <w:rFonts w:ascii="Traditional Arabic" w:hAnsi="Traditional Arabic"/>
          <w:noProof w:val="0"/>
          <w:sz w:val="32"/>
          <w:szCs w:val="32"/>
          <w:rtl/>
          <w:lang w:eastAsia="en-US"/>
        </w:rPr>
        <w:t>ا.</w:t>
      </w:r>
      <w:r>
        <w:rPr>
          <w:rFonts w:ascii="Traditional Arabic" w:hAnsi="Traditional Arabic" w:hint="cs"/>
          <w:noProof w:val="0"/>
          <w:sz w:val="32"/>
          <w:szCs w:val="32"/>
          <w:rtl/>
          <w:lang w:eastAsia="en-US"/>
        </w:rPr>
        <w:t xml:space="preserve"> انظر المرجع السابق (8/258).</w:t>
      </w:r>
    </w:p>
  </w:footnote>
  <w:footnote w:id="2076">
    <w:p w:rsidR="000D3D21" w:rsidRPr="00B8508A" w:rsidRDefault="000D3D21" w:rsidP="00B34E7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مرجع السابق</w:t>
      </w:r>
      <w:r w:rsidRPr="00B8508A">
        <w:rPr>
          <w:rFonts w:ascii="Traditional Arabic" w:hAnsi="Traditional Arabic"/>
          <w:sz w:val="32"/>
          <w:szCs w:val="32"/>
          <w:rtl/>
        </w:rPr>
        <w:t>.</w:t>
      </w:r>
    </w:p>
  </w:footnote>
  <w:footnote w:id="2077">
    <w:p w:rsidR="000D3D21" w:rsidRPr="00986F47" w:rsidRDefault="000D3D21" w:rsidP="00B34E7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986F47">
        <w:rPr>
          <w:rFonts w:ascii="Traditional Arabic" w:hAnsi="Traditional Arabic"/>
          <w:noProof w:val="0"/>
          <w:sz w:val="32"/>
          <w:szCs w:val="32"/>
          <w:rtl/>
          <w:lang w:eastAsia="en-US"/>
        </w:rPr>
        <w:t xml:space="preserve">الفرق بين هذه المسألة والمسألة الأولى أن الأرض لا </w:t>
      </w:r>
      <w:r>
        <w:rPr>
          <w:rFonts w:ascii="Traditional Arabic" w:hAnsi="Traditional Arabic"/>
          <w:noProof w:val="0"/>
          <w:sz w:val="32"/>
          <w:szCs w:val="32"/>
          <w:rtl/>
          <w:lang w:eastAsia="en-US"/>
        </w:rPr>
        <w:t>يمكن الزيادة فيها ولا النقص،</w:t>
      </w:r>
      <w:r w:rsidRPr="00986F47">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ف</w:t>
      </w:r>
      <w:r w:rsidRPr="00986F47">
        <w:rPr>
          <w:rFonts w:ascii="Traditional Arabic" w:hAnsi="Traditional Arabic"/>
          <w:noProof w:val="0"/>
          <w:sz w:val="32"/>
          <w:szCs w:val="32"/>
          <w:rtl/>
          <w:lang w:eastAsia="en-US"/>
        </w:rPr>
        <w:t>لو باعها على أنها مائة ذراع فتبي</w:t>
      </w:r>
      <w:r>
        <w:rPr>
          <w:rFonts w:ascii="Traditional Arabic" w:hAnsi="Traditional Arabic" w:hint="cs"/>
          <w:noProof w:val="0"/>
          <w:sz w:val="32"/>
          <w:szCs w:val="32"/>
          <w:rtl/>
          <w:lang w:eastAsia="en-US"/>
        </w:rPr>
        <w:t>ّ</w:t>
      </w:r>
      <w:r>
        <w:rPr>
          <w:rFonts w:ascii="Traditional Arabic" w:hAnsi="Traditional Arabic"/>
          <w:noProof w:val="0"/>
          <w:sz w:val="32"/>
          <w:szCs w:val="32"/>
          <w:rtl/>
          <w:lang w:eastAsia="en-US"/>
        </w:rPr>
        <w:t xml:space="preserve">ن أنها تسعون ذراعا، </w:t>
      </w:r>
      <w:r>
        <w:rPr>
          <w:rFonts w:ascii="Traditional Arabic" w:hAnsi="Traditional Arabic" w:hint="cs"/>
          <w:noProof w:val="0"/>
          <w:sz w:val="32"/>
          <w:szCs w:val="32"/>
          <w:rtl/>
          <w:lang w:eastAsia="en-US"/>
        </w:rPr>
        <w:t>لم</w:t>
      </w:r>
      <w:r w:rsidRPr="00986F47">
        <w:rPr>
          <w:rFonts w:ascii="Traditional Arabic" w:hAnsi="Traditional Arabic"/>
          <w:noProof w:val="0"/>
          <w:sz w:val="32"/>
          <w:szCs w:val="32"/>
          <w:rtl/>
          <w:lang w:eastAsia="en-US"/>
        </w:rPr>
        <w:t xml:space="preserve"> يمك</w:t>
      </w:r>
      <w:r>
        <w:rPr>
          <w:rFonts w:ascii="Traditional Arabic" w:hAnsi="Traditional Arabic" w:hint="cs"/>
          <w:noProof w:val="0"/>
          <w:sz w:val="32"/>
          <w:szCs w:val="32"/>
          <w:rtl/>
          <w:lang w:eastAsia="en-US"/>
        </w:rPr>
        <w:t>ِ</w:t>
      </w:r>
      <w:r w:rsidRPr="00986F47">
        <w:rPr>
          <w:rFonts w:ascii="Traditional Arabic" w:hAnsi="Traditional Arabic"/>
          <w:noProof w:val="0"/>
          <w:sz w:val="32"/>
          <w:szCs w:val="32"/>
          <w:rtl/>
          <w:lang w:eastAsia="en-US"/>
        </w:rPr>
        <w:t>ن</w:t>
      </w:r>
      <w:r>
        <w:rPr>
          <w:rFonts w:ascii="Traditional Arabic" w:hAnsi="Traditional Arabic" w:hint="cs"/>
          <w:noProof w:val="0"/>
          <w:sz w:val="32"/>
          <w:szCs w:val="32"/>
          <w:rtl/>
          <w:lang w:eastAsia="en-US"/>
        </w:rPr>
        <w:t>ه</w:t>
      </w:r>
      <w:r w:rsidRPr="00986F47">
        <w:rPr>
          <w:rFonts w:ascii="Traditional Arabic" w:hAnsi="Traditional Arabic"/>
          <w:noProof w:val="0"/>
          <w:sz w:val="32"/>
          <w:szCs w:val="32"/>
          <w:rtl/>
          <w:lang w:eastAsia="en-US"/>
        </w:rPr>
        <w:t xml:space="preserve"> أن يأتي بعشرة أذرع يضيفها إلى هذه التسعين، لكن الكومة من الطعام يمكن أن يأتي بطعام آخر من جنسه، ويكمل الناقص.</w:t>
      </w: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انظر ال</w:t>
      </w:r>
      <w:r>
        <w:rPr>
          <w:rFonts w:ascii="Traditional Arabic" w:hAnsi="Traditional Arabic" w:hint="cs"/>
          <w:noProof w:val="0"/>
          <w:sz w:val="32"/>
          <w:szCs w:val="32"/>
          <w:rtl/>
          <w:lang w:eastAsia="en-US"/>
        </w:rPr>
        <w:t>شرح الممتع</w:t>
      </w:r>
      <w:r w:rsidRPr="00986F47">
        <w:rPr>
          <w:rFonts w:ascii="Traditional Arabic" w:hAnsi="Traditional Arabic"/>
          <w:noProof w:val="0"/>
          <w:sz w:val="32"/>
          <w:szCs w:val="32"/>
          <w:rtl/>
          <w:lang w:eastAsia="en-US"/>
        </w:rPr>
        <w:t xml:space="preserve"> (8/260).</w:t>
      </w:r>
    </w:p>
  </w:footnote>
  <w:footnote w:id="2078">
    <w:p w:rsidR="000D3D21" w:rsidRPr="004A00A7" w:rsidRDefault="000D3D21" w:rsidP="00B34E7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B8508A">
        <w:rPr>
          <w:rFonts w:ascii="Traditional Arabic" w:hAnsi="Traditional Arabic"/>
          <w:sz w:val="32"/>
          <w:szCs w:val="32"/>
          <w:rtl/>
        </w:rPr>
        <w:t xml:space="preserve"> (8/259-260</w:t>
      </w:r>
      <w:r>
        <w:rPr>
          <w:rFonts w:ascii="Traditional Arabic" w:hAnsi="Traditional Arabic"/>
          <w:sz w:val="32"/>
          <w:szCs w:val="32"/>
          <w:rtl/>
        </w:rPr>
        <w:t>)</w:t>
      </w:r>
      <w:r>
        <w:rPr>
          <w:rFonts w:ascii="Traditional Arabic" w:hAnsi="Traditional Arabic" w:hint="cs"/>
          <w:sz w:val="32"/>
          <w:szCs w:val="32"/>
          <w:rtl/>
        </w:rPr>
        <w:t>.</w:t>
      </w:r>
    </w:p>
  </w:footnote>
  <w:footnote w:id="2079">
    <w:p w:rsidR="000D3D21" w:rsidRPr="00B8508A" w:rsidRDefault="000D3D21" w:rsidP="00B34E7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8508A">
        <w:rPr>
          <w:rFonts w:ascii="Traditional Arabic" w:hAnsi="Traditional Arabic"/>
          <w:sz w:val="32"/>
          <w:szCs w:val="32"/>
          <w:rtl/>
        </w:rPr>
        <w:t>تقدم تخريجه.</w:t>
      </w:r>
    </w:p>
  </w:footnote>
  <w:footnote w:id="2080">
    <w:p w:rsidR="000D3D21" w:rsidRPr="00B8508A" w:rsidRDefault="000D3D21" w:rsidP="00B34E74">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B8508A">
        <w:rPr>
          <w:rFonts w:ascii="Traditional Arabic" w:hAnsi="Traditional Arabic"/>
          <w:sz w:val="32"/>
          <w:szCs w:val="32"/>
          <w:rtl/>
        </w:rPr>
        <w:t xml:space="preserve"> (8/274-275)</w:t>
      </w:r>
      <w:r>
        <w:rPr>
          <w:rFonts w:ascii="Traditional Arabic" w:hAnsi="Traditional Arabic" w:hint="cs"/>
          <w:sz w:val="32"/>
          <w:szCs w:val="32"/>
          <w:rtl/>
        </w:rPr>
        <w:t xml:space="preserve"> </w:t>
      </w:r>
      <w:r w:rsidRPr="00B8508A">
        <w:rPr>
          <w:rFonts w:ascii="Traditional Arabic" w:hAnsi="Traditional Arabic"/>
          <w:sz w:val="32"/>
          <w:szCs w:val="32"/>
          <w:rtl/>
        </w:rPr>
        <w:t>بتصرف.</w:t>
      </w:r>
    </w:p>
  </w:footnote>
  <w:footnote w:id="2081">
    <w:p w:rsidR="000D3D21" w:rsidRPr="008554F1" w:rsidRDefault="000D3D21">
      <w:pPr>
        <w:pStyle w:val="a7"/>
        <w:rPr>
          <w:rFonts w:ascii="Traditional Arabic" w:hAnsi="Traditional Arabic"/>
          <w:sz w:val="32"/>
          <w:szCs w:val="32"/>
          <w:rtl/>
        </w:rPr>
      </w:pPr>
      <w:r w:rsidRPr="008554F1">
        <w:rPr>
          <w:rStyle w:val="af1"/>
          <w:rFonts w:ascii="Traditional Arabic" w:hAnsi="Traditional Arabic"/>
          <w:sz w:val="32"/>
          <w:szCs w:val="32"/>
          <w:vertAlign w:val="baseline"/>
        </w:rPr>
        <w:footnoteRef/>
      </w:r>
      <w:r w:rsidRPr="008554F1">
        <w:rPr>
          <w:rFonts w:ascii="Traditional Arabic" w:hAnsi="Traditional Arabic"/>
          <w:sz w:val="32"/>
          <w:szCs w:val="32"/>
        </w:rPr>
        <w:t>)</w:t>
      </w:r>
      <w:r w:rsidRPr="008554F1">
        <w:rPr>
          <w:rFonts w:ascii="Traditional Arabic" w:hAnsi="Traditional Arabic"/>
          <w:sz w:val="32"/>
          <w:szCs w:val="32"/>
          <w:rtl/>
        </w:rPr>
        <w:t xml:space="preserve">) </w:t>
      </w:r>
      <w:r>
        <w:rPr>
          <w:rFonts w:ascii="Traditional Arabic" w:hAnsi="Traditional Arabic" w:hint="cs"/>
          <w:sz w:val="32"/>
          <w:szCs w:val="32"/>
          <w:rtl/>
        </w:rPr>
        <w:t>لأن الشروط ثلاثة أقسام: صحيح، وفاسد يبطل العقد، وفاسد لا يبطل العقد. انظر زاد المستقنع (103_104).</w:t>
      </w:r>
    </w:p>
  </w:footnote>
  <w:footnote w:id="2082">
    <w:p w:rsidR="000D3D21" w:rsidRPr="004A00A7" w:rsidRDefault="000D3D21" w:rsidP="00B34E74">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B8508A">
        <w:rPr>
          <w:rFonts w:ascii="Traditional Arabic" w:hAnsi="Traditional Arabic"/>
          <w:sz w:val="32"/>
          <w:szCs w:val="32"/>
          <w:rtl/>
        </w:rPr>
        <w:t xml:space="preserve"> (</w:t>
      </w:r>
      <w:r>
        <w:rPr>
          <w:rFonts w:ascii="Traditional Arabic" w:hAnsi="Traditional Arabic" w:hint="cs"/>
          <w:sz w:val="32"/>
          <w:szCs w:val="32"/>
          <w:rtl/>
        </w:rPr>
        <w:t>8/</w:t>
      </w:r>
      <w:r w:rsidRPr="00B8508A">
        <w:rPr>
          <w:rFonts w:ascii="Traditional Arabic" w:hAnsi="Traditional Arabic"/>
          <w:sz w:val="32"/>
          <w:szCs w:val="32"/>
          <w:rtl/>
        </w:rPr>
        <w:t>275).</w:t>
      </w:r>
    </w:p>
  </w:footnote>
  <w:footnote w:id="2083">
    <w:p w:rsidR="000D3D21" w:rsidRPr="007A6F9A" w:rsidRDefault="000D3D21" w:rsidP="00B34E74">
      <w:pPr>
        <w:pStyle w:val="a7"/>
        <w:pageBreakBefore/>
        <w:rPr>
          <w:rFonts w:ascii="Traditional Arabic" w:hAnsi="Traditional Arabic"/>
          <w:sz w:val="32"/>
          <w:szCs w:val="32"/>
          <w:rtl/>
        </w:rPr>
      </w:pPr>
      <w:r w:rsidRPr="007A6F9A">
        <w:rPr>
          <w:rFonts w:ascii="Traditional Arabic" w:hAnsi="Traditional Arabic"/>
          <w:sz w:val="32"/>
          <w:szCs w:val="32"/>
          <w:rtl/>
        </w:rPr>
        <w:t>(</w:t>
      </w:r>
      <w:r w:rsidRPr="007A6F9A">
        <w:rPr>
          <w:rStyle w:val="af1"/>
          <w:rFonts w:ascii="Traditional Arabic" w:hAnsi="Traditional Arabic"/>
          <w:sz w:val="32"/>
          <w:szCs w:val="32"/>
          <w:vertAlign w:val="baseline"/>
          <w:rtl/>
        </w:rPr>
        <w:footnoteRef/>
      </w:r>
      <w:r w:rsidRPr="007A6F9A">
        <w:rPr>
          <w:rFonts w:ascii="Traditional Arabic" w:hAnsi="Traditional Arabic"/>
          <w:sz w:val="32"/>
          <w:szCs w:val="32"/>
          <w:rtl/>
        </w:rPr>
        <w:t>)</w:t>
      </w:r>
      <w:r>
        <w:rPr>
          <w:rFonts w:ascii="Traditional Arabic" w:hAnsi="Traditional Arabic" w:hint="cs"/>
          <w:sz w:val="32"/>
          <w:szCs w:val="32"/>
          <w:rtl/>
        </w:rPr>
        <w:t xml:space="preserve"> </w:t>
      </w:r>
      <w:r w:rsidRPr="007A6F9A">
        <w:rPr>
          <w:rFonts w:ascii="Traditional Arabic" w:hAnsi="Traditional Arabic"/>
          <w:sz w:val="32"/>
          <w:szCs w:val="32"/>
          <w:rtl/>
        </w:rPr>
        <w:t>الشرح الممتع (8/265).</w:t>
      </w:r>
    </w:p>
    <w:p w:rsidR="000D3D21" w:rsidRPr="007A6F9A" w:rsidRDefault="000D3D21" w:rsidP="00010350">
      <w:pPr>
        <w:pStyle w:val="a7"/>
        <w:pageBreakBefore/>
        <w:rPr>
          <w:rFonts w:ascii="Traditional Arabic" w:hAnsi="Traditional Arabic"/>
          <w:sz w:val="32"/>
          <w:szCs w:val="32"/>
        </w:rPr>
      </w:pPr>
    </w:p>
  </w:footnote>
  <w:footnote w:id="2084">
    <w:p w:rsidR="000D3D21" w:rsidRPr="007A6F9A" w:rsidRDefault="000D3D21" w:rsidP="00B34E74">
      <w:pPr>
        <w:pStyle w:val="a7"/>
        <w:pageBreakBefore/>
        <w:rPr>
          <w:rFonts w:ascii="Traditional Arabic" w:hAnsi="Traditional Arabic"/>
          <w:sz w:val="32"/>
          <w:szCs w:val="32"/>
        </w:rPr>
      </w:pPr>
      <w:r w:rsidRPr="007A6F9A">
        <w:rPr>
          <w:rFonts w:ascii="Traditional Arabic" w:hAnsi="Traditional Arabic"/>
          <w:sz w:val="32"/>
          <w:szCs w:val="32"/>
          <w:rtl/>
        </w:rPr>
        <w:t>(</w:t>
      </w:r>
      <w:r w:rsidRPr="007A6F9A">
        <w:rPr>
          <w:rStyle w:val="af1"/>
          <w:rFonts w:ascii="Traditional Arabic" w:hAnsi="Traditional Arabic"/>
          <w:sz w:val="32"/>
          <w:szCs w:val="32"/>
          <w:vertAlign w:val="baseline"/>
          <w:rtl/>
        </w:rPr>
        <w:footnoteRef/>
      </w:r>
      <w:r w:rsidRPr="007A6F9A">
        <w:rPr>
          <w:rFonts w:ascii="Traditional Arabic" w:hAnsi="Traditional Arabic"/>
          <w:sz w:val="32"/>
          <w:szCs w:val="32"/>
          <w:rtl/>
        </w:rPr>
        <w:t>)</w:t>
      </w:r>
      <w:r>
        <w:rPr>
          <w:rFonts w:ascii="Traditional Arabic" w:hAnsi="Traditional Arabic" w:hint="cs"/>
          <w:sz w:val="32"/>
          <w:szCs w:val="32"/>
          <w:rtl/>
        </w:rPr>
        <w:t xml:space="preserve"> </w:t>
      </w:r>
      <w:r w:rsidRPr="007A6F9A">
        <w:rPr>
          <w:rFonts w:ascii="Traditional Arabic" w:hAnsi="Traditional Arabic"/>
          <w:sz w:val="32"/>
          <w:szCs w:val="32"/>
          <w:rtl/>
        </w:rPr>
        <w:t xml:space="preserve">المطلع </w:t>
      </w:r>
      <w:r>
        <w:rPr>
          <w:rFonts w:ascii="Traditional Arabic" w:hAnsi="Traditional Arabic" w:hint="cs"/>
          <w:sz w:val="32"/>
          <w:szCs w:val="32"/>
          <w:rtl/>
        </w:rPr>
        <w:t xml:space="preserve">على ألفاظ المقنع </w:t>
      </w:r>
      <w:r w:rsidRPr="007A6F9A">
        <w:rPr>
          <w:rFonts w:ascii="Traditional Arabic" w:hAnsi="Traditional Arabic"/>
          <w:sz w:val="32"/>
          <w:szCs w:val="32"/>
          <w:rtl/>
        </w:rPr>
        <w:t>(279)</w:t>
      </w:r>
      <w:r>
        <w:rPr>
          <w:rFonts w:ascii="Traditional Arabic" w:hAnsi="Traditional Arabic" w:hint="cs"/>
          <w:sz w:val="32"/>
          <w:szCs w:val="32"/>
          <w:rtl/>
        </w:rPr>
        <w:t xml:space="preserve"> </w:t>
      </w:r>
      <w:r w:rsidRPr="007A6F9A">
        <w:rPr>
          <w:rFonts w:ascii="Traditional Arabic" w:hAnsi="Traditional Arabic"/>
          <w:sz w:val="32"/>
          <w:szCs w:val="32"/>
          <w:rtl/>
        </w:rPr>
        <w:t>بتصرف.</w:t>
      </w:r>
    </w:p>
  </w:footnote>
  <w:footnote w:id="2085">
    <w:p w:rsidR="000D3D21" w:rsidRPr="007A6F9A" w:rsidRDefault="000D3D21" w:rsidP="00B34E74">
      <w:pPr>
        <w:pStyle w:val="a7"/>
        <w:pageBreakBefore/>
        <w:rPr>
          <w:rFonts w:ascii="Traditional Arabic" w:hAnsi="Traditional Arabic"/>
          <w:noProof w:val="0"/>
          <w:sz w:val="32"/>
          <w:szCs w:val="32"/>
          <w:rtl/>
          <w:lang w:eastAsia="en-US"/>
        </w:rPr>
      </w:pPr>
      <w:r w:rsidRPr="007A6F9A">
        <w:rPr>
          <w:rFonts w:ascii="Traditional Arabic" w:hAnsi="Traditional Arabic"/>
          <w:sz w:val="32"/>
          <w:szCs w:val="32"/>
          <w:rtl/>
        </w:rPr>
        <w:t>(</w:t>
      </w:r>
      <w:r w:rsidRPr="007A6F9A">
        <w:rPr>
          <w:rStyle w:val="af1"/>
          <w:rFonts w:ascii="Traditional Arabic" w:hAnsi="Traditional Arabic"/>
          <w:sz w:val="32"/>
          <w:szCs w:val="32"/>
          <w:vertAlign w:val="baseline"/>
          <w:rtl/>
        </w:rPr>
        <w:footnoteRef/>
      </w:r>
      <w:r w:rsidRPr="007A6F9A">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7A6F9A">
        <w:rPr>
          <w:rFonts w:ascii="Traditional Arabic" w:hAnsi="Traditional Arabic"/>
          <w:noProof w:val="0"/>
          <w:sz w:val="32"/>
          <w:szCs w:val="32"/>
          <w:rtl/>
          <w:lang w:eastAsia="en-US"/>
        </w:rPr>
        <w:t>ويلحق بالبيع الصلح الذي بمعنى البيع، والصرف والسلم لأنهما من أنواع البيوع، والإجارة لأنها بيع للمنافع.</w:t>
      </w:r>
      <w:r>
        <w:rPr>
          <w:rFonts w:ascii="Traditional Arabic" w:hAnsi="Traditional Arabic" w:hint="cs"/>
          <w:noProof w:val="0"/>
          <w:sz w:val="32"/>
          <w:szCs w:val="32"/>
          <w:rtl/>
          <w:lang w:eastAsia="en-US"/>
        </w:rPr>
        <w:t xml:space="preserve"> </w:t>
      </w:r>
      <w:r w:rsidRPr="007A6F9A">
        <w:rPr>
          <w:rFonts w:ascii="Traditional Arabic" w:hAnsi="Traditional Arabic"/>
          <w:noProof w:val="0"/>
          <w:sz w:val="32"/>
          <w:szCs w:val="32"/>
          <w:rtl/>
          <w:lang w:eastAsia="en-US"/>
        </w:rPr>
        <w:t>انظر الشرح الممتع (8/263-265).</w:t>
      </w:r>
    </w:p>
    <w:p w:rsidR="000D3D21" w:rsidRPr="007A6F9A" w:rsidRDefault="000D3D21" w:rsidP="00B34E74">
      <w:pPr>
        <w:pStyle w:val="a7"/>
        <w:pageBreakBefore/>
        <w:rPr>
          <w:rFonts w:ascii="Traditional Arabic" w:hAnsi="Traditional Arabic"/>
          <w:sz w:val="32"/>
          <w:szCs w:val="32"/>
        </w:rPr>
      </w:pPr>
      <w:r w:rsidRPr="007A6F9A">
        <w:rPr>
          <w:rFonts w:ascii="Traditional Arabic" w:hAnsi="Traditional Arabic"/>
          <w:noProof w:val="0"/>
          <w:sz w:val="32"/>
          <w:szCs w:val="32"/>
          <w:rtl/>
          <w:lang w:eastAsia="en-US"/>
        </w:rPr>
        <w:t xml:space="preserve"> </w:t>
      </w:r>
      <w:r>
        <w:rPr>
          <w:rFonts w:ascii="Traditional Arabic" w:hAnsi="Traditional Arabic" w:hint="cs"/>
          <w:noProof w:val="0"/>
          <w:sz w:val="32"/>
          <w:szCs w:val="32"/>
          <w:rtl/>
          <w:lang w:eastAsia="en-US"/>
        </w:rPr>
        <w:t xml:space="preserve">     </w:t>
      </w:r>
      <w:r w:rsidRPr="007A6F9A">
        <w:rPr>
          <w:rFonts w:ascii="Traditional Arabic" w:hAnsi="Traditional Arabic"/>
          <w:noProof w:val="0"/>
          <w:sz w:val="32"/>
          <w:szCs w:val="32"/>
          <w:rtl/>
          <w:lang w:eastAsia="en-US"/>
        </w:rPr>
        <w:t xml:space="preserve">والحديث أخرجه البخاري في كتاب البيوع، باب إذا خير أحدهما صاحبه بعد البيع فقد وجب البيع،رقم الحديث (2112)، ومسلم في البيوع، باب ثبوت خيار المجلس للمتبايعين، </w:t>
      </w:r>
      <w:r>
        <w:rPr>
          <w:rFonts w:ascii="Traditional Arabic" w:hAnsi="Traditional Arabic"/>
          <w:noProof w:val="0"/>
          <w:sz w:val="32"/>
          <w:szCs w:val="32"/>
          <w:rtl/>
          <w:lang w:eastAsia="en-US"/>
        </w:rPr>
        <w:t>رقم الحديث (1531)</w:t>
      </w:r>
      <w:r w:rsidRPr="007A6F9A">
        <w:rPr>
          <w:rFonts w:ascii="Traditional Arabic" w:hAnsi="Traditional Arabic"/>
          <w:noProof w:val="0"/>
          <w:sz w:val="32"/>
          <w:szCs w:val="32"/>
          <w:rtl/>
          <w:lang w:eastAsia="en-US"/>
        </w:rPr>
        <w:t xml:space="preserve"> عن ابن عمر </w:t>
      </w:r>
      <w:r>
        <w:rPr>
          <w:rFonts w:ascii="Traditional Arabic" w:hAnsi="Traditional Arabic" w:hint="cs"/>
          <w:noProof w:val="0"/>
          <w:color w:val="auto"/>
          <w:sz w:val="32"/>
          <w:szCs w:val="32"/>
          <w:rtl/>
          <w:lang w:eastAsia="en-US"/>
        </w:rPr>
        <w:t>رضي الله عنهما</w:t>
      </w:r>
      <w:r w:rsidRPr="007A6F9A">
        <w:rPr>
          <w:rFonts w:ascii="Traditional Arabic" w:hAnsi="Traditional Arabic"/>
          <w:noProof w:val="0"/>
          <w:sz w:val="32"/>
          <w:szCs w:val="32"/>
          <w:rtl/>
          <w:lang w:eastAsia="en-US"/>
        </w:rPr>
        <w:t>.</w:t>
      </w:r>
    </w:p>
  </w:footnote>
  <w:footnote w:id="2086">
    <w:p w:rsidR="000D3D21" w:rsidRPr="007A6F9A" w:rsidRDefault="000D3D21" w:rsidP="006E1F02">
      <w:pPr>
        <w:pStyle w:val="a7"/>
        <w:pageBreakBefore/>
        <w:rPr>
          <w:rFonts w:ascii="Traditional Arabic" w:hAnsi="Traditional Arabic"/>
          <w:b/>
          <w:bCs/>
          <w:sz w:val="32"/>
          <w:szCs w:val="32"/>
          <w:rtl/>
        </w:rPr>
      </w:pPr>
      <w:r w:rsidRPr="007A6F9A">
        <w:rPr>
          <w:rFonts w:ascii="Traditional Arabic" w:hAnsi="Traditional Arabic"/>
          <w:sz w:val="32"/>
          <w:szCs w:val="32"/>
          <w:rtl/>
        </w:rPr>
        <w:t>(</w:t>
      </w:r>
      <w:r w:rsidRPr="007A6F9A">
        <w:rPr>
          <w:rStyle w:val="af1"/>
          <w:rFonts w:ascii="Traditional Arabic" w:hAnsi="Traditional Arabic"/>
          <w:sz w:val="32"/>
          <w:szCs w:val="32"/>
          <w:vertAlign w:val="baseline"/>
          <w:rtl/>
        </w:rPr>
        <w:footnoteRef/>
      </w:r>
      <w:r w:rsidRPr="007A6F9A">
        <w:rPr>
          <w:rFonts w:ascii="Traditional Arabic" w:hAnsi="Traditional Arabic"/>
          <w:sz w:val="32"/>
          <w:szCs w:val="32"/>
          <w:rtl/>
        </w:rPr>
        <w:t>)</w:t>
      </w:r>
      <w:r>
        <w:rPr>
          <w:rFonts w:ascii="Traditional Arabic" w:hAnsi="Traditional Arabic" w:hint="cs"/>
          <w:b/>
          <w:bCs/>
          <w:sz w:val="32"/>
          <w:szCs w:val="32"/>
          <w:rtl/>
        </w:rPr>
        <w:t xml:space="preserve"> </w:t>
      </w:r>
      <w:r w:rsidRPr="007A6F9A">
        <w:rPr>
          <w:rFonts w:ascii="Traditional Arabic" w:hAnsi="Traditional Arabic"/>
          <w:b/>
          <w:bCs/>
          <w:sz w:val="32"/>
          <w:szCs w:val="32"/>
          <w:rtl/>
        </w:rPr>
        <w:t>العتق</w:t>
      </w:r>
      <w:r w:rsidR="00AB0B9E" w:rsidRPr="007A6F9A">
        <w:rPr>
          <w:rFonts w:ascii="Traditional Arabic" w:hAnsi="Traditional Arabic"/>
          <w:b/>
          <w:bCs/>
          <w:sz w:val="32"/>
          <w:szCs w:val="32"/>
          <w:rtl/>
        </w:rPr>
        <w:fldChar w:fldCharType="begin"/>
      </w:r>
      <w:r w:rsidRPr="007A6F9A">
        <w:rPr>
          <w:rFonts w:ascii="Traditional Arabic" w:hAnsi="Traditional Arabic"/>
          <w:sz w:val="32"/>
          <w:szCs w:val="32"/>
        </w:rPr>
        <w:instrText xml:space="preserve"> XE "</w:instrText>
      </w:r>
      <w:r w:rsidRPr="007A6F9A">
        <w:rPr>
          <w:rFonts w:ascii="Traditional Arabic" w:hAnsi="Traditional Arabic"/>
          <w:sz w:val="32"/>
          <w:szCs w:val="32"/>
          <w:rtl/>
        </w:rPr>
        <w:instrText>العتق</w:instrText>
      </w:r>
      <w:r w:rsidRPr="007A6F9A">
        <w:rPr>
          <w:rFonts w:ascii="Traditional Arabic" w:hAnsi="Traditional Arabic"/>
          <w:sz w:val="32"/>
          <w:szCs w:val="32"/>
        </w:rPr>
        <w:instrText xml:space="preserve">" \fm </w:instrText>
      </w:r>
      <w:r w:rsidR="00AB0B9E" w:rsidRPr="007A6F9A">
        <w:rPr>
          <w:rFonts w:ascii="Traditional Arabic" w:hAnsi="Traditional Arabic"/>
          <w:b/>
          <w:bCs/>
          <w:sz w:val="32"/>
          <w:szCs w:val="32"/>
          <w:rtl/>
        </w:rPr>
        <w:fldChar w:fldCharType="end"/>
      </w:r>
      <w:r w:rsidRPr="007A6F9A">
        <w:rPr>
          <w:rFonts w:ascii="Traditional Arabic" w:hAnsi="Traditional Arabic"/>
          <w:b/>
          <w:bCs/>
          <w:sz w:val="32"/>
          <w:szCs w:val="32"/>
          <w:rtl/>
        </w:rPr>
        <w:t xml:space="preserve"> لغة: </w:t>
      </w:r>
      <w:r w:rsidRPr="007A6F9A">
        <w:rPr>
          <w:rFonts w:ascii="Traditional Arabic" w:hAnsi="Traditional Arabic"/>
          <w:sz w:val="32"/>
          <w:szCs w:val="32"/>
          <w:rtl/>
        </w:rPr>
        <w:t>الحرية.</w:t>
      </w:r>
      <w:r>
        <w:rPr>
          <w:rFonts w:ascii="Traditional Arabic" w:hAnsi="Traditional Arabic" w:hint="cs"/>
          <w:sz w:val="32"/>
          <w:szCs w:val="32"/>
          <w:rtl/>
        </w:rPr>
        <w:t xml:space="preserve"> </w:t>
      </w:r>
      <w:r>
        <w:rPr>
          <w:rFonts w:ascii="Traditional Arabic" w:hAnsi="Traditional Arabic"/>
          <w:sz w:val="32"/>
          <w:szCs w:val="32"/>
          <w:rtl/>
        </w:rPr>
        <w:t>الصحاح</w:t>
      </w:r>
      <w:r w:rsidRPr="007A6F9A">
        <w:rPr>
          <w:rFonts w:ascii="Traditional Arabic" w:hAnsi="Traditional Arabic"/>
          <w:sz w:val="32"/>
          <w:szCs w:val="32"/>
          <w:rtl/>
        </w:rPr>
        <w:t xml:space="preserve"> (4/1520).</w:t>
      </w:r>
    </w:p>
    <w:p w:rsidR="000D3D21" w:rsidRPr="007A6F9A" w:rsidRDefault="000D3D21" w:rsidP="00B34E74">
      <w:pPr>
        <w:pStyle w:val="a7"/>
        <w:pageBreakBefore/>
        <w:rPr>
          <w:rFonts w:ascii="Traditional Arabic" w:hAnsi="Traditional Arabic"/>
          <w:b/>
          <w:bCs/>
          <w:sz w:val="32"/>
          <w:szCs w:val="32"/>
        </w:rPr>
      </w:pPr>
      <w:r w:rsidRPr="007A6F9A">
        <w:rPr>
          <w:rFonts w:ascii="Traditional Arabic" w:hAnsi="Traditional Arabic"/>
          <w:b/>
          <w:bCs/>
          <w:sz w:val="32"/>
          <w:szCs w:val="32"/>
          <w:rtl/>
        </w:rPr>
        <w:t xml:space="preserve"> </w:t>
      </w:r>
      <w:r>
        <w:rPr>
          <w:rFonts w:ascii="Traditional Arabic" w:hAnsi="Traditional Arabic" w:hint="cs"/>
          <w:b/>
          <w:bCs/>
          <w:sz w:val="32"/>
          <w:szCs w:val="32"/>
          <w:rtl/>
        </w:rPr>
        <w:t xml:space="preserve">    </w:t>
      </w:r>
      <w:r w:rsidRPr="007A6F9A">
        <w:rPr>
          <w:rFonts w:ascii="Traditional Arabic" w:hAnsi="Traditional Arabic"/>
          <w:b/>
          <w:bCs/>
          <w:sz w:val="32"/>
          <w:szCs w:val="32"/>
          <w:rtl/>
        </w:rPr>
        <w:t xml:space="preserve">العتق شرعا: </w:t>
      </w:r>
      <w:r w:rsidRPr="007A6F9A">
        <w:rPr>
          <w:rFonts w:ascii="Traditional Arabic" w:hAnsi="Traditional Arabic"/>
          <w:noProof w:val="0"/>
          <w:sz w:val="32"/>
          <w:szCs w:val="32"/>
          <w:rtl/>
          <w:lang w:eastAsia="en-US"/>
        </w:rPr>
        <w:t>تحرير الرقبة وتخليصها من الرِّق</w:t>
      </w:r>
      <w:r w:rsidRPr="007A6F9A">
        <w:rPr>
          <w:rFonts w:ascii="Traditional Arabic" w:hAnsi="Traditional Arabic"/>
          <w:b/>
          <w:bCs/>
          <w:sz w:val="32"/>
          <w:szCs w:val="32"/>
          <w:rtl/>
        </w:rPr>
        <w:t>.</w:t>
      </w:r>
      <w:r>
        <w:rPr>
          <w:rFonts w:ascii="Traditional Arabic" w:hAnsi="Traditional Arabic" w:hint="cs"/>
          <w:b/>
          <w:bCs/>
          <w:sz w:val="32"/>
          <w:szCs w:val="32"/>
          <w:rtl/>
        </w:rPr>
        <w:t xml:space="preserve"> </w:t>
      </w:r>
      <w:r w:rsidRPr="007A6F9A">
        <w:rPr>
          <w:rFonts w:ascii="Traditional Arabic" w:hAnsi="Traditional Arabic"/>
          <w:sz w:val="32"/>
          <w:szCs w:val="32"/>
          <w:rtl/>
        </w:rPr>
        <w:t>المغني لابن قدامة (14/344).</w:t>
      </w:r>
    </w:p>
  </w:footnote>
  <w:footnote w:id="2087">
    <w:p w:rsidR="000D3D21" w:rsidRPr="00010350" w:rsidRDefault="000D3D21">
      <w:pPr>
        <w:pStyle w:val="a7"/>
        <w:rPr>
          <w:rFonts w:ascii="Traditional Arabic" w:hAnsi="Traditional Arabic"/>
          <w:sz w:val="32"/>
          <w:szCs w:val="32"/>
          <w:rtl/>
        </w:rPr>
      </w:pPr>
      <w:r w:rsidRPr="00010350">
        <w:rPr>
          <w:rStyle w:val="af1"/>
          <w:rFonts w:ascii="Traditional Arabic" w:hAnsi="Traditional Arabic"/>
          <w:sz w:val="32"/>
          <w:szCs w:val="32"/>
          <w:vertAlign w:val="baseline"/>
        </w:rPr>
        <w:footnoteRef/>
      </w:r>
      <w:r w:rsidRPr="00010350">
        <w:rPr>
          <w:rFonts w:ascii="Traditional Arabic" w:hAnsi="Traditional Arabic"/>
          <w:sz w:val="32"/>
          <w:szCs w:val="32"/>
        </w:rPr>
        <w:t>)</w:t>
      </w:r>
      <w:r w:rsidRPr="00010350">
        <w:rPr>
          <w:rFonts w:ascii="Traditional Arabic" w:hAnsi="Traditional Arabic"/>
          <w:sz w:val="32"/>
          <w:szCs w:val="32"/>
          <w:rtl/>
        </w:rPr>
        <w:t xml:space="preserve">) </w:t>
      </w:r>
      <w:r>
        <w:rPr>
          <w:rFonts w:ascii="Traditional Arabic" w:hAnsi="Traditional Arabic" w:hint="cs"/>
          <w:sz w:val="32"/>
          <w:szCs w:val="32"/>
          <w:rtl/>
        </w:rPr>
        <w:t>تقدم بيان أن الشيخ رحمه الله يطلق لفظ القاعدة على الضابط أحيانا.</w:t>
      </w:r>
    </w:p>
  </w:footnote>
  <w:footnote w:id="2088">
    <w:p w:rsidR="000D3D21" w:rsidRPr="007A6F9A" w:rsidRDefault="000D3D21" w:rsidP="00B34E74">
      <w:pPr>
        <w:pStyle w:val="a7"/>
        <w:pageBreakBefore/>
        <w:rPr>
          <w:rFonts w:ascii="Traditional Arabic" w:hAnsi="Traditional Arabic"/>
          <w:sz w:val="32"/>
          <w:szCs w:val="32"/>
        </w:rPr>
      </w:pPr>
      <w:r w:rsidRPr="007A6F9A">
        <w:rPr>
          <w:rFonts w:ascii="Traditional Arabic" w:hAnsi="Traditional Arabic"/>
          <w:sz w:val="32"/>
          <w:szCs w:val="32"/>
          <w:rtl/>
        </w:rPr>
        <w:t>(</w:t>
      </w:r>
      <w:r w:rsidRPr="007A6F9A">
        <w:rPr>
          <w:rStyle w:val="af1"/>
          <w:rFonts w:ascii="Traditional Arabic" w:hAnsi="Traditional Arabic"/>
          <w:sz w:val="32"/>
          <w:szCs w:val="32"/>
          <w:vertAlign w:val="baseline"/>
          <w:rtl/>
        </w:rPr>
        <w:footnoteRef/>
      </w:r>
      <w:r w:rsidRPr="007A6F9A">
        <w:rPr>
          <w:rFonts w:ascii="Traditional Arabic" w:hAnsi="Traditional Arabic"/>
          <w:sz w:val="32"/>
          <w:szCs w:val="32"/>
          <w:rtl/>
        </w:rPr>
        <w:t>)</w:t>
      </w:r>
      <w:r>
        <w:rPr>
          <w:rFonts w:ascii="Traditional Arabic" w:hAnsi="Traditional Arabic" w:hint="cs"/>
          <w:sz w:val="32"/>
          <w:szCs w:val="32"/>
          <w:rtl/>
        </w:rPr>
        <w:t xml:space="preserve"> </w:t>
      </w:r>
      <w:r w:rsidRPr="007A6F9A">
        <w:rPr>
          <w:rFonts w:ascii="Traditional Arabic" w:hAnsi="Traditional Arabic"/>
          <w:sz w:val="32"/>
          <w:szCs w:val="32"/>
          <w:rtl/>
        </w:rPr>
        <w:t>الشرح الممتع (8/265)</w:t>
      </w:r>
      <w:r>
        <w:rPr>
          <w:rFonts w:ascii="Traditional Arabic" w:hAnsi="Traditional Arabic" w:hint="cs"/>
          <w:sz w:val="32"/>
          <w:szCs w:val="32"/>
          <w:rtl/>
        </w:rPr>
        <w:t xml:space="preserve"> </w:t>
      </w:r>
      <w:r w:rsidRPr="007A6F9A">
        <w:rPr>
          <w:rFonts w:ascii="Traditional Arabic" w:hAnsi="Traditional Arabic"/>
          <w:sz w:val="32"/>
          <w:szCs w:val="32"/>
          <w:rtl/>
        </w:rPr>
        <w:t xml:space="preserve">بتصرف، وانظر إرشاد أولي البصائر والألباب </w:t>
      </w:r>
      <w:r>
        <w:rPr>
          <w:rFonts w:ascii="Traditional Arabic" w:hAnsi="Traditional Arabic" w:hint="cs"/>
          <w:sz w:val="32"/>
          <w:szCs w:val="32"/>
          <w:rtl/>
        </w:rPr>
        <w:t xml:space="preserve">لابن سعدي </w:t>
      </w:r>
      <w:r w:rsidRPr="007A6F9A">
        <w:rPr>
          <w:rFonts w:ascii="Traditional Arabic" w:hAnsi="Traditional Arabic"/>
          <w:sz w:val="32"/>
          <w:szCs w:val="32"/>
          <w:rtl/>
        </w:rPr>
        <w:t>(134-135).</w:t>
      </w:r>
    </w:p>
  </w:footnote>
  <w:footnote w:id="2089">
    <w:p w:rsidR="000D3D21" w:rsidRPr="00934DCB" w:rsidRDefault="000D3D21" w:rsidP="00B34E74">
      <w:pPr>
        <w:pStyle w:val="a7"/>
        <w:pageBreakBefore/>
        <w:rPr>
          <w:rFonts w:ascii="Tahoma" w:hAnsi="Tahoma"/>
        </w:rPr>
      </w:pPr>
      <w:r w:rsidRPr="007A6F9A">
        <w:rPr>
          <w:rFonts w:ascii="Traditional Arabic" w:hAnsi="Traditional Arabic"/>
          <w:sz w:val="32"/>
          <w:szCs w:val="32"/>
          <w:rtl/>
        </w:rPr>
        <w:t>(</w:t>
      </w:r>
      <w:r w:rsidRPr="007A6F9A">
        <w:rPr>
          <w:rStyle w:val="af1"/>
          <w:rFonts w:ascii="Traditional Arabic" w:hAnsi="Traditional Arabic"/>
          <w:sz w:val="32"/>
          <w:szCs w:val="32"/>
          <w:vertAlign w:val="baseline"/>
          <w:rtl/>
        </w:rPr>
        <w:footnoteRef/>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7A6F9A">
        <w:rPr>
          <w:rFonts w:ascii="Traditional Arabic" w:hAnsi="Traditional Arabic"/>
          <w:sz w:val="32"/>
          <w:szCs w:val="32"/>
          <w:rtl/>
        </w:rPr>
        <w:t xml:space="preserve"> (8/256)، و(9/353).</w:t>
      </w:r>
    </w:p>
  </w:footnote>
  <w:footnote w:id="2090">
    <w:p w:rsidR="000D3D21" w:rsidRPr="00BB3D95" w:rsidRDefault="000D3D21" w:rsidP="0038004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BB3D95">
        <w:rPr>
          <w:rFonts w:ascii="Traditional Arabic" w:hAnsi="Traditional Arabic"/>
          <w:sz w:val="32"/>
          <w:szCs w:val="32"/>
          <w:rtl/>
        </w:rPr>
        <w:t xml:space="preserve"> فتح ذي الجلال والإكرام (3/491)، ومجموع فتاوى ورسائل ابن عثيمين </w:t>
      </w:r>
      <w:r>
        <w:rPr>
          <w:rFonts w:ascii="Traditional Arabic" w:hAnsi="Traditional Arabic" w:hint="cs"/>
          <w:sz w:val="32"/>
          <w:szCs w:val="32"/>
          <w:rtl/>
        </w:rPr>
        <w:t>(29/176، 326، 487)</w:t>
      </w:r>
      <w:r w:rsidRPr="00BB3D95">
        <w:rPr>
          <w:rFonts w:ascii="Traditional Arabic" w:hAnsi="Traditional Arabic"/>
          <w:sz w:val="32"/>
          <w:szCs w:val="32"/>
          <w:rtl/>
        </w:rPr>
        <w:t>.</w:t>
      </w:r>
    </w:p>
    <w:p w:rsidR="000D3D21" w:rsidRPr="00BB3D95" w:rsidRDefault="000D3D21" w:rsidP="0038004C">
      <w:pPr>
        <w:pStyle w:val="a7"/>
        <w:pageBreakBefore/>
        <w:rPr>
          <w:rFonts w:ascii="Traditional Arabic" w:hAnsi="Traditional Arabic"/>
          <w:sz w:val="32"/>
          <w:szCs w:val="32"/>
          <w:rtl/>
        </w:rPr>
      </w:pPr>
      <w:r>
        <w:rPr>
          <w:rFonts w:ascii="Traditional Arabic" w:hAnsi="Traditional Arabic" w:hint="cs"/>
          <w:b/>
          <w:bCs/>
          <w:sz w:val="32"/>
          <w:szCs w:val="32"/>
          <w:rtl/>
        </w:rPr>
        <w:t xml:space="preserve">      </w:t>
      </w:r>
      <w:r w:rsidRPr="00BB3D95">
        <w:rPr>
          <w:rFonts w:ascii="Traditional Arabic" w:hAnsi="Traditional Arabic"/>
          <w:b/>
          <w:bCs/>
          <w:sz w:val="32"/>
          <w:szCs w:val="32"/>
          <w:rtl/>
        </w:rPr>
        <w:t>تنبيه:</w:t>
      </w:r>
      <w:r w:rsidRPr="00BB3D95">
        <w:rPr>
          <w:rFonts w:ascii="Traditional Arabic" w:hAnsi="Traditional Arabic"/>
          <w:sz w:val="32"/>
          <w:szCs w:val="32"/>
          <w:rtl/>
        </w:rPr>
        <w:t xml:space="preserve"> ذكر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BB3D95">
        <w:rPr>
          <w:rFonts w:ascii="Traditional Arabic" w:hAnsi="Traditional Arabic"/>
          <w:sz w:val="32"/>
          <w:szCs w:val="32"/>
          <w:rtl/>
        </w:rPr>
        <w:t xml:space="preserve"> هذا الضابط في الشرح الممتع بمعناه، لكني ا</w:t>
      </w:r>
      <w:r>
        <w:rPr>
          <w:rFonts w:ascii="Traditional Arabic" w:hAnsi="Traditional Arabic"/>
          <w:sz w:val="32"/>
          <w:szCs w:val="32"/>
          <w:rtl/>
        </w:rPr>
        <w:t>خترت هذه الصيغة لدلالتها على معن</w:t>
      </w:r>
      <w:r>
        <w:rPr>
          <w:rFonts w:ascii="Traditional Arabic" w:hAnsi="Traditional Arabic" w:hint="cs"/>
          <w:sz w:val="32"/>
          <w:szCs w:val="32"/>
          <w:rtl/>
        </w:rPr>
        <w:t>اه</w:t>
      </w:r>
      <w:r w:rsidRPr="00BB3D95">
        <w:rPr>
          <w:rFonts w:ascii="Traditional Arabic" w:hAnsi="Traditional Arabic"/>
          <w:sz w:val="32"/>
          <w:szCs w:val="32"/>
          <w:rtl/>
        </w:rPr>
        <w:t>؛ ولأن أصلها حديث نبوي شريف، وسيأتي تخريجه عند ذكر أدلة الضابط.</w:t>
      </w:r>
      <w:r>
        <w:rPr>
          <w:rFonts w:ascii="Traditional Arabic" w:hAnsi="Traditional Arabic" w:hint="cs"/>
          <w:sz w:val="32"/>
          <w:szCs w:val="32"/>
          <w:rtl/>
        </w:rPr>
        <w:t xml:space="preserve"> </w:t>
      </w:r>
      <w:r w:rsidRPr="00BB3D95">
        <w:rPr>
          <w:rFonts w:ascii="Traditional Arabic" w:hAnsi="Traditional Arabic"/>
          <w:sz w:val="32"/>
          <w:szCs w:val="32"/>
          <w:rtl/>
        </w:rPr>
        <w:t>انظر الشرح الممتع (8/240).</w:t>
      </w:r>
    </w:p>
    <w:p w:rsidR="000D3D21" w:rsidRPr="00BB3D95" w:rsidRDefault="000D3D21" w:rsidP="0038004C">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BB3D95">
        <w:rPr>
          <w:rFonts w:ascii="Traditional Arabic" w:hAnsi="Traditional Arabic"/>
          <w:sz w:val="32"/>
          <w:szCs w:val="32"/>
          <w:rtl/>
        </w:rPr>
        <w:t>وقد أورد الشيخ هذا الضابط بصيغ أخرى متقاربة، منها:</w:t>
      </w:r>
    </w:p>
    <w:p w:rsidR="000D3D21" w:rsidRPr="00BB3D95" w:rsidRDefault="000D3D21" w:rsidP="000A76C7">
      <w:pPr>
        <w:pStyle w:val="a7"/>
        <w:pageBreakBefore/>
        <w:numPr>
          <w:ilvl w:val="0"/>
          <w:numId w:val="285"/>
        </w:numPr>
        <w:rPr>
          <w:rFonts w:ascii="Traditional Arabic" w:hAnsi="Traditional Arabic"/>
          <w:sz w:val="32"/>
          <w:szCs w:val="32"/>
        </w:rPr>
      </w:pPr>
      <w:r w:rsidRPr="00BB3D95">
        <w:rPr>
          <w:rFonts w:ascii="Traditional Arabic" w:hAnsi="Traditional Arabic"/>
          <w:sz w:val="32"/>
          <w:szCs w:val="32"/>
          <w:rtl/>
        </w:rPr>
        <w:t>كل شرط جر نفعا للمقرض فهو محرم.الشرح الممتع (9/108).</w:t>
      </w:r>
    </w:p>
    <w:p w:rsidR="000D3D21" w:rsidRPr="00BB3D95" w:rsidRDefault="000D3D21" w:rsidP="000A76C7">
      <w:pPr>
        <w:pStyle w:val="a7"/>
        <w:pageBreakBefore/>
        <w:numPr>
          <w:ilvl w:val="0"/>
          <w:numId w:val="285"/>
        </w:numPr>
        <w:rPr>
          <w:rFonts w:ascii="Traditional Arabic" w:hAnsi="Traditional Arabic"/>
          <w:sz w:val="32"/>
          <w:szCs w:val="32"/>
        </w:rPr>
      </w:pPr>
      <w:r w:rsidRPr="00BB3D95">
        <w:rPr>
          <w:rFonts w:ascii="Traditional Arabic" w:hAnsi="Traditional Arabic"/>
          <w:sz w:val="32"/>
          <w:szCs w:val="32"/>
          <w:rtl/>
        </w:rPr>
        <w:t>كل قرض جر منفعة بشرط فهو ربا.</w:t>
      </w:r>
      <w:r>
        <w:rPr>
          <w:rFonts w:ascii="Traditional Arabic" w:hAnsi="Traditional Arabic" w:hint="cs"/>
          <w:sz w:val="32"/>
          <w:szCs w:val="32"/>
          <w:rtl/>
        </w:rPr>
        <w:t xml:space="preserve"> </w:t>
      </w:r>
      <w:r w:rsidRPr="00BB3D95">
        <w:rPr>
          <w:rFonts w:ascii="Traditional Arabic" w:hAnsi="Traditional Arabic"/>
          <w:sz w:val="32"/>
          <w:szCs w:val="32"/>
          <w:rtl/>
        </w:rPr>
        <w:t>المرجع السابق (9/109).</w:t>
      </w:r>
    </w:p>
    <w:p w:rsidR="000D3D21" w:rsidRPr="00BB3D95" w:rsidRDefault="000D3D21" w:rsidP="000A76C7">
      <w:pPr>
        <w:pStyle w:val="a7"/>
        <w:pageBreakBefore/>
        <w:numPr>
          <w:ilvl w:val="0"/>
          <w:numId w:val="285"/>
        </w:numPr>
        <w:rPr>
          <w:rFonts w:ascii="Traditional Arabic" w:hAnsi="Traditional Arabic"/>
          <w:sz w:val="32"/>
          <w:szCs w:val="32"/>
        </w:rPr>
      </w:pPr>
      <w:r w:rsidRPr="00BB3D95">
        <w:rPr>
          <w:rFonts w:ascii="Traditional Arabic" w:hAnsi="Traditional Arabic"/>
          <w:sz w:val="32"/>
          <w:szCs w:val="32"/>
          <w:rtl/>
        </w:rPr>
        <w:t>كل قرض جر نفعا فهو ربا.</w:t>
      </w:r>
      <w:r>
        <w:rPr>
          <w:rFonts w:ascii="Traditional Arabic" w:hAnsi="Traditional Arabic" w:hint="cs"/>
          <w:sz w:val="32"/>
          <w:szCs w:val="32"/>
          <w:rtl/>
        </w:rPr>
        <w:t xml:space="preserve"> </w:t>
      </w:r>
      <w:r w:rsidRPr="00BB3D95">
        <w:rPr>
          <w:rFonts w:ascii="Traditional Arabic" w:hAnsi="Traditional Arabic"/>
          <w:sz w:val="32"/>
          <w:szCs w:val="32"/>
          <w:rtl/>
        </w:rPr>
        <w:t xml:space="preserve">فتح ذي </w:t>
      </w:r>
      <w:r>
        <w:rPr>
          <w:rFonts w:ascii="Traditional Arabic" w:hAnsi="Traditional Arabic"/>
          <w:sz w:val="32"/>
          <w:szCs w:val="32"/>
          <w:rtl/>
        </w:rPr>
        <w:t>الجلال والإكرام (3/551)</w:t>
      </w:r>
      <w:r>
        <w:rPr>
          <w:rFonts w:ascii="Traditional Arabic" w:hAnsi="Traditional Arabic" w:hint="cs"/>
          <w:sz w:val="32"/>
          <w:szCs w:val="32"/>
          <w:rtl/>
        </w:rPr>
        <w:t>، ومجموع فتاوى ورسائل ابن عثيمين (29/487).</w:t>
      </w:r>
    </w:p>
    <w:p w:rsidR="000D3D21" w:rsidRPr="00BB3D95" w:rsidRDefault="000D3D21" w:rsidP="00EA39D3">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BB3D95">
        <w:rPr>
          <w:rFonts w:ascii="Traditional Arabic" w:hAnsi="Traditional Arabic"/>
          <w:sz w:val="32"/>
          <w:szCs w:val="32"/>
          <w:rtl/>
        </w:rPr>
        <w:t xml:space="preserve">وانظر: الأشباه والنظائر لابن نجيم (316)، </w:t>
      </w:r>
      <w:r>
        <w:rPr>
          <w:rFonts w:ascii="Traditional Arabic" w:hAnsi="Traditional Arabic" w:hint="cs"/>
          <w:sz w:val="32"/>
          <w:szCs w:val="32"/>
          <w:rtl/>
        </w:rPr>
        <w:t xml:space="preserve">وموسوعة القواعد الفقهية للبورنو (9/484)، </w:t>
      </w:r>
      <w:r w:rsidRPr="00BB3D95">
        <w:rPr>
          <w:rFonts w:ascii="Traditional Arabic" w:hAnsi="Traditional Arabic"/>
          <w:sz w:val="32"/>
          <w:szCs w:val="32"/>
          <w:rtl/>
        </w:rPr>
        <w:t>والكليات الفقهية للمقري (157)، ومجموع الفتاوى لابن تيمية (29/533)، وا</w:t>
      </w:r>
      <w:r>
        <w:rPr>
          <w:rFonts w:ascii="Traditional Arabic" w:hAnsi="Traditional Arabic"/>
          <w:sz w:val="32"/>
          <w:szCs w:val="32"/>
          <w:rtl/>
        </w:rPr>
        <w:t>لقواعد والأصول الجامعة</w:t>
      </w:r>
      <w:r w:rsidRPr="00BB3D95">
        <w:rPr>
          <w:rFonts w:ascii="Traditional Arabic" w:hAnsi="Traditional Arabic"/>
          <w:sz w:val="32"/>
          <w:szCs w:val="32"/>
          <w:rtl/>
        </w:rPr>
        <w:t xml:space="preserve"> مع تعليق الشيخ ابن عثيمين عليه (244)، والقواعد الفقهية وتطبيقاتها على المذاهب الأربعة (1/654)</w:t>
      </w:r>
      <w:r>
        <w:rPr>
          <w:rFonts w:ascii="Traditional Arabic" w:hAnsi="Traditional Arabic" w:hint="cs"/>
          <w:sz w:val="32"/>
          <w:szCs w:val="32"/>
          <w:rtl/>
        </w:rPr>
        <w:t xml:space="preserve">. </w:t>
      </w:r>
    </w:p>
  </w:footnote>
  <w:footnote w:id="2091">
    <w:p w:rsidR="000D3D21" w:rsidRPr="009842AD"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2AD">
        <w:rPr>
          <w:rFonts w:ascii="Traditional Arabic" w:hAnsi="Traditional Arabic"/>
          <w:sz w:val="32"/>
          <w:szCs w:val="32"/>
          <w:rtl/>
        </w:rPr>
        <w:t>انظر: الشرح الممتع (9/108)، وفتح ذي الجلال والإكرام (4/102)، و</w:t>
      </w:r>
      <w:r>
        <w:rPr>
          <w:rFonts w:ascii="Traditional Arabic" w:hAnsi="Traditional Arabic"/>
          <w:sz w:val="32"/>
          <w:szCs w:val="32"/>
          <w:rtl/>
        </w:rPr>
        <w:t xml:space="preserve">مجموع فتاوى ورسائل ابن عثيمين </w:t>
      </w:r>
      <w:r>
        <w:rPr>
          <w:rFonts w:ascii="Traditional Arabic" w:hAnsi="Traditional Arabic" w:hint="cs"/>
          <w:sz w:val="32"/>
          <w:szCs w:val="32"/>
          <w:rtl/>
        </w:rPr>
        <w:t>(29/39، 326).</w:t>
      </w:r>
    </w:p>
  </w:footnote>
  <w:footnote w:id="2092">
    <w:p w:rsidR="000D3D21" w:rsidRDefault="000D3D21" w:rsidP="00311557">
      <w:pPr>
        <w:pStyle w:val="a7"/>
        <w:rPr>
          <w:rFonts w:ascii="Traditional Arabic" w:hAnsi="Traditional Arabic"/>
          <w:sz w:val="32"/>
          <w:szCs w:val="32"/>
          <w:rtl/>
        </w:rPr>
      </w:pPr>
      <w:r w:rsidRPr="0043731C">
        <w:rPr>
          <w:rStyle w:val="af1"/>
          <w:rFonts w:ascii="Traditional Arabic" w:hAnsi="Traditional Arabic"/>
          <w:sz w:val="32"/>
          <w:szCs w:val="32"/>
          <w:vertAlign w:val="baseline"/>
        </w:rPr>
        <w:footnoteRef/>
      </w:r>
      <w:r w:rsidRPr="0043731C">
        <w:rPr>
          <w:rFonts w:ascii="Traditional Arabic" w:hAnsi="Traditional Arabic"/>
          <w:sz w:val="32"/>
          <w:szCs w:val="32"/>
        </w:rPr>
        <w:t>)</w:t>
      </w:r>
      <w:r w:rsidRPr="0043731C">
        <w:rPr>
          <w:rFonts w:ascii="Traditional Arabic" w:hAnsi="Traditional Arabic"/>
          <w:sz w:val="32"/>
          <w:szCs w:val="32"/>
          <w:rtl/>
        </w:rPr>
        <w:t xml:space="preserve">) </w:t>
      </w:r>
      <w:r>
        <w:rPr>
          <w:rFonts w:ascii="Traditional Arabic" w:hAnsi="Traditional Arabic" w:hint="cs"/>
          <w:sz w:val="32"/>
          <w:szCs w:val="32"/>
          <w:rtl/>
        </w:rPr>
        <w:t>انظر: الشرح الممتع (9/109)، مجموع فتاوى ورسائل ابن عثيمين (29/487)، وفتح ذي الجلال والإكرام (3/554)، وتهذيب السنن لابن القيم (4/1714).</w:t>
      </w:r>
    </w:p>
    <w:p w:rsidR="000D3D21" w:rsidRPr="00FD7D26" w:rsidRDefault="000D3D21" w:rsidP="00311557">
      <w:pPr>
        <w:pStyle w:val="a7"/>
        <w:rPr>
          <w:rFonts w:ascii="Traditional Arabic" w:hAnsi="Traditional Arabic"/>
          <w:sz w:val="32"/>
          <w:szCs w:val="32"/>
          <w:rtl/>
        </w:rPr>
      </w:pPr>
      <w:r>
        <w:rPr>
          <w:rFonts w:ascii="Traditional Arabic" w:hAnsi="Traditional Arabic" w:hint="cs"/>
          <w:sz w:val="32"/>
          <w:szCs w:val="32"/>
          <w:rtl/>
        </w:rPr>
        <w:t xml:space="preserve">      </w:t>
      </w:r>
      <w:r>
        <w:rPr>
          <w:rFonts w:ascii="Traditional Arabic" w:hAnsi="Traditional Arabic" w:hint="cs"/>
          <w:b/>
          <w:bCs/>
          <w:sz w:val="32"/>
          <w:szCs w:val="32"/>
          <w:rtl/>
        </w:rPr>
        <w:t xml:space="preserve">تنبيه: </w:t>
      </w:r>
      <w:r>
        <w:rPr>
          <w:rFonts w:ascii="Traditional Arabic" w:hAnsi="Traditional Arabic" w:hint="cs"/>
          <w:sz w:val="32"/>
          <w:szCs w:val="32"/>
          <w:rtl/>
        </w:rPr>
        <w:t>بنى الشيخ ابن عثيمين_ رحمه الله_ على ذلك جواز إحدى المعاملات المعاصرة، والتي تُعْرَف بجمعية الموظفين. انظر مجموع فتاوى ورسائل ابن عثيمين (29/486-487).</w:t>
      </w:r>
    </w:p>
  </w:footnote>
  <w:footnote w:id="2093">
    <w:p w:rsidR="000D3D21" w:rsidRPr="00AE48CB" w:rsidRDefault="000D3D21" w:rsidP="00AE48CB">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تقدم تخريجه.</w:t>
      </w:r>
    </w:p>
    <w:p w:rsidR="000D3D21" w:rsidRPr="009842AD" w:rsidRDefault="000D3D21" w:rsidP="00CA6E98">
      <w:pPr>
        <w:pStyle w:val="a7"/>
        <w:pageBreakBefore/>
        <w:rPr>
          <w:rFonts w:ascii="Traditional Arabic" w:hAnsi="Traditional Arabic"/>
          <w:sz w:val="32"/>
          <w:szCs w:val="32"/>
          <w:rtl/>
        </w:rPr>
      </w:pPr>
    </w:p>
  </w:footnote>
  <w:footnote w:id="2094">
    <w:p w:rsidR="000D3D21" w:rsidRPr="002E73AB" w:rsidRDefault="000D3D21">
      <w:pPr>
        <w:pStyle w:val="a7"/>
        <w:rPr>
          <w:rFonts w:ascii="Traditional Arabic" w:hAnsi="Traditional Arabic"/>
          <w:sz w:val="32"/>
          <w:szCs w:val="32"/>
          <w:rtl/>
        </w:rPr>
      </w:pPr>
      <w:r w:rsidRPr="002E73AB">
        <w:rPr>
          <w:rStyle w:val="af1"/>
          <w:rFonts w:ascii="Traditional Arabic" w:hAnsi="Traditional Arabic"/>
          <w:sz w:val="32"/>
          <w:szCs w:val="32"/>
          <w:vertAlign w:val="baseline"/>
        </w:rPr>
        <w:footnoteRef/>
      </w:r>
      <w:r w:rsidRPr="002E73AB">
        <w:rPr>
          <w:rFonts w:ascii="Traditional Arabic" w:hAnsi="Traditional Arabic"/>
          <w:sz w:val="32"/>
          <w:szCs w:val="32"/>
        </w:rPr>
        <w:t>)</w:t>
      </w:r>
      <w:r w:rsidRPr="002E73AB">
        <w:rPr>
          <w:rFonts w:ascii="Traditional Arabic" w:hAnsi="Traditional Arabic"/>
          <w:sz w:val="32"/>
          <w:szCs w:val="32"/>
          <w:rtl/>
        </w:rPr>
        <w:t xml:space="preserve">) </w:t>
      </w:r>
      <w:r>
        <w:rPr>
          <w:rFonts w:ascii="Traditional Arabic" w:hAnsi="Traditional Arabic" w:hint="cs"/>
          <w:sz w:val="32"/>
          <w:szCs w:val="32"/>
          <w:rtl/>
        </w:rPr>
        <w:t>الإجماع لأبي بكر ابن المنذر (136).</w:t>
      </w:r>
    </w:p>
  </w:footnote>
  <w:footnote w:id="2095">
    <w:p w:rsidR="000D3D21" w:rsidRPr="00443CC2" w:rsidRDefault="000D3D21">
      <w:pPr>
        <w:pStyle w:val="a7"/>
        <w:rPr>
          <w:rFonts w:ascii="Traditional Arabic" w:hAnsi="Traditional Arabic"/>
          <w:sz w:val="32"/>
          <w:szCs w:val="32"/>
          <w:rtl/>
        </w:rPr>
      </w:pPr>
      <w:r w:rsidRPr="00443CC2">
        <w:rPr>
          <w:rStyle w:val="af1"/>
          <w:rFonts w:ascii="Traditional Arabic" w:hAnsi="Traditional Arabic"/>
          <w:sz w:val="32"/>
          <w:szCs w:val="32"/>
          <w:vertAlign w:val="baseline"/>
        </w:rPr>
        <w:footnoteRef/>
      </w:r>
      <w:r w:rsidRPr="00443CC2">
        <w:rPr>
          <w:rFonts w:ascii="Traditional Arabic" w:hAnsi="Traditional Arabic"/>
          <w:sz w:val="32"/>
          <w:szCs w:val="32"/>
        </w:rPr>
        <w:t>)</w:t>
      </w:r>
      <w:r w:rsidRPr="00443CC2">
        <w:rPr>
          <w:rFonts w:ascii="Traditional Arabic" w:hAnsi="Traditional Arabic"/>
          <w:sz w:val="32"/>
          <w:szCs w:val="32"/>
          <w:rtl/>
        </w:rPr>
        <w:t xml:space="preserve">) </w:t>
      </w:r>
      <w:r>
        <w:rPr>
          <w:rFonts w:ascii="Traditional Arabic" w:hAnsi="Traditional Arabic" w:hint="cs"/>
          <w:sz w:val="32"/>
          <w:szCs w:val="32"/>
          <w:rtl/>
        </w:rPr>
        <w:t>مجموع فتاوى ورسائل ابن عثيمين (29/486-487).</w:t>
      </w:r>
    </w:p>
  </w:footnote>
  <w:footnote w:id="2096">
    <w:p w:rsidR="000D3D21" w:rsidRPr="00FD7D26" w:rsidRDefault="000D3D21">
      <w:pPr>
        <w:pStyle w:val="a7"/>
        <w:rPr>
          <w:rFonts w:ascii="Traditional Arabic" w:hAnsi="Traditional Arabic"/>
          <w:sz w:val="32"/>
          <w:szCs w:val="32"/>
          <w:rtl/>
        </w:rPr>
      </w:pPr>
      <w:r w:rsidRPr="00FD7D26">
        <w:rPr>
          <w:rStyle w:val="af1"/>
          <w:rFonts w:ascii="Traditional Arabic" w:hAnsi="Traditional Arabic"/>
          <w:sz w:val="32"/>
          <w:szCs w:val="32"/>
          <w:vertAlign w:val="baseline"/>
        </w:rPr>
        <w:footnoteRef/>
      </w:r>
      <w:r w:rsidRPr="00FD7D26">
        <w:rPr>
          <w:rFonts w:ascii="Traditional Arabic" w:hAnsi="Traditional Arabic"/>
          <w:sz w:val="32"/>
          <w:szCs w:val="32"/>
        </w:rPr>
        <w:t>)</w:t>
      </w:r>
      <w:r w:rsidRPr="00FD7D26">
        <w:rPr>
          <w:rFonts w:ascii="Traditional Arabic" w:hAnsi="Traditional Arabic"/>
          <w:sz w:val="32"/>
          <w:szCs w:val="32"/>
          <w:rtl/>
        </w:rPr>
        <w:t xml:space="preserve">) </w:t>
      </w:r>
      <w:r>
        <w:rPr>
          <w:rFonts w:ascii="Traditional Arabic" w:hAnsi="Traditional Arabic" w:hint="cs"/>
          <w:sz w:val="32"/>
          <w:szCs w:val="32"/>
          <w:rtl/>
        </w:rPr>
        <w:t>تقدم في التمهيد عن ذكر الفرق بين القاعدة الفقهية والضابط الفقهي أن الشيخ ابن عثيمين_رحمه الله_ يطلق أحيانا لفظ القاعدة على الضابط الفقهي. انظر ص (68) من هذه الرسالة.</w:t>
      </w:r>
    </w:p>
  </w:footnote>
  <w:footnote w:id="2097">
    <w:p w:rsidR="000D3D21" w:rsidRPr="00443CC2" w:rsidRDefault="000D3D21">
      <w:pPr>
        <w:pStyle w:val="a7"/>
        <w:rPr>
          <w:sz w:val="32"/>
          <w:szCs w:val="32"/>
          <w:rtl/>
        </w:rPr>
      </w:pPr>
      <w:r w:rsidRPr="00443CC2">
        <w:rPr>
          <w:rStyle w:val="af1"/>
          <w:rFonts w:ascii="Traditional Arabic" w:hAnsi="Traditional Arabic"/>
          <w:sz w:val="32"/>
          <w:szCs w:val="32"/>
          <w:vertAlign w:val="baseline"/>
        </w:rPr>
        <w:footnoteRef/>
      </w:r>
      <w:r w:rsidRPr="00443CC2">
        <w:rPr>
          <w:rStyle w:val="af1"/>
          <w:rFonts w:ascii="Traditional Arabic" w:hAnsi="Traditional Arabic"/>
          <w:sz w:val="32"/>
          <w:szCs w:val="32"/>
          <w:vertAlign w:val="baseline"/>
        </w:rPr>
        <w:t>)</w:t>
      </w:r>
      <w:r w:rsidRPr="00443CC2">
        <w:rPr>
          <w:rStyle w:val="af1"/>
          <w:rFonts w:ascii="Traditional Arabic" w:hAnsi="Traditional Arabic" w:hint="cs"/>
          <w:sz w:val="32"/>
          <w:szCs w:val="32"/>
          <w:vertAlign w:val="baseline"/>
          <w:rtl/>
        </w:rPr>
        <w:t>)</w:t>
      </w:r>
      <w:r w:rsidRPr="00443CC2">
        <w:rPr>
          <w:rStyle w:val="af1"/>
          <w:rFonts w:ascii="Traditional Arabic" w:hAnsi="Traditional Arabic"/>
          <w:sz w:val="32"/>
          <w:szCs w:val="32"/>
          <w:vertAlign w:val="baseline"/>
          <w:rtl/>
        </w:rPr>
        <w:t xml:space="preserve"> </w:t>
      </w:r>
      <w:r w:rsidRPr="00443CC2">
        <w:rPr>
          <w:rFonts w:hint="cs"/>
          <w:sz w:val="32"/>
          <w:szCs w:val="32"/>
          <w:rtl/>
        </w:rPr>
        <w:t>المرجع السابق (29/487).</w:t>
      </w:r>
    </w:p>
  </w:footnote>
  <w:footnote w:id="2098">
    <w:p w:rsidR="000D3D21" w:rsidRPr="00B5779E" w:rsidRDefault="000D3D21">
      <w:pPr>
        <w:pStyle w:val="a7"/>
        <w:rPr>
          <w:rFonts w:ascii="Traditional Arabic" w:hAnsi="Traditional Arabic"/>
          <w:sz w:val="32"/>
          <w:szCs w:val="32"/>
          <w:rtl/>
        </w:rPr>
      </w:pPr>
      <w:r w:rsidRPr="00B5779E">
        <w:rPr>
          <w:rStyle w:val="af1"/>
          <w:rFonts w:ascii="Traditional Arabic" w:hAnsi="Traditional Arabic"/>
          <w:sz w:val="32"/>
          <w:szCs w:val="32"/>
          <w:vertAlign w:val="baseline"/>
        </w:rPr>
        <w:footnoteRef/>
      </w:r>
      <w:r w:rsidRPr="00B5779E">
        <w:rPr>
          <w:rFonts w:ascii="Traditional Arabic" w:hAnsi="Traditional Arabic"/>
          <w:sz w:val="32"/>
          <w:szCs w:val="32"/>
        </w:rPr>
        <w:t>)</w:t>
      </w:r>
      <w:r w:rsidRPr="00B5779E">
        <w:rPr>
          <w:rFonts w:ascii="Traditional Arabic" w:hAnsi="Traditional Arabic"/>
          <w:sz w:val="32"/>
          <w:szCs w:val="32"/>
          <w:rtl/>
        </w:rPr>
        <w:t xml:space="preserve">) </w:t>
      </w:r>
      <w:r>
        <w:rPr>
          <w:rFonts w:ascii="Traditional Arabic" w:hAnsi="Traditional Arabic" w:hint="cs"/>
          <w:sz w:val="32"/>
          <w:szCs w:val="32"/>
          <w:rtl/>
        </w:rPr>
        <w:t>انظر المرجع السابق (29/39-40).</w:t>
      </w:r>
    </w:p>
  </w:footnote>
  <w:footnote w:id="2099">
    <w:p w:rsidR="000D3D21" w:rsidRPr="00D25100" w:rsidRDefault="000D3D21" w:rsidP="0038004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9842AD">
        <w:rPr>
          <w:rFonts w:ascii="Traditional Arabic" w:hAnsi="Traditional Arabic"/>
          <w:sz w:val="32"/>
          <w:szCs w:val="32"/>
          <w:rtl/>
        </w:rPr>
        <w:t>انظر الشرح الممتع (8/240).</w:t>
      </w:r>
    </w:p>
  </w:footnote>
  <w:footnote w:id="2100">
    <w:p w:rsidR="000D3D21" w:rsidRPr="009842AD"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9842AD">
        <w:rPr>
          <w:rFonts w:ascii="Traditional Arabic" w:hAnsi="Traditional Arabic"/>
          <w:sz w:val="32"/>
          <w:szCs w:val="32"/>
          <w:rtl/>
        </w:rPr>
        <w:t xml:space="preserve"> (9/173)</w:t>
      </w:r>
      <w:r>
        <w:rPr>
          <w:rFonts w:ascii="Traditional Arabic" w:hAnsi="Traditional Arabic" w:hint="cs"/>
          <w:sz w:val="32"/>
          <w:szCs w:val="32"/>
          <w:rtl/>
        </w:rPr>
        <w:t xml:space="preserve"> </w:t>
      </w:r>
      <w:r w:rsidRPr="009842AD">
        <w:rPr>
          <w:rFonts w:ascii="Traditional Arabic" w:hAnsi="Traditional Arabic"/>
          <w:sz w:val="32"/>
          <w:szCs w:val="32"/>
          <w:rtl/>
        </w:rPr>
        <w:t>بتصرف.</w:t>
      </w:r>
    </w:p>
  </w:footnote>
  <w:footnote w:id="2101">
    <w:p w:rsidR="000D3D21" w:rsidRPr="003C6AEC" w:rsidRDefault="000D3D21" w:rsidP="0038004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C6AEC">
        <w:rPr>
          <w:rFonts w:ascii="Traditional Arabic" w:hAnsi="Traditional Arabic"/>
          <w:sz w:val="32"/>
          <w:szCs w:val="32"/>
          <w:rtl/>
        </w:rPr>
        <w:t>الشرح الممتع (8/438).</w:t>
      </w:r>
      <w:r>
        <w:rPr>
          <w:rFonts w:ascii="Traditional Arabic" w:hAnsi="Traditional Arabic" w:hint="cs"/>
          <w:sz w:val="32"/>
          <w:szCs w:val="32"/>
          <w:rtl/>
        </w:rPr>
        <w:t xml:space="preserve"> </w:t>
      </w:r>
      <w:r w:rsidRPr="003C6AEC">
        <w:rPr>
          <w:rFonts w:ascii="Traditional Arabic" w:hAnsi="Traditional Arabic"/>
          <w:sz w:val="32"/>
          <w:szCs w:val="32"/>
          <w:rtl/>
        </w:rPr>
        <w:t xml:space="preserve">وورد هذا الضابط عند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3C6AEC">
        <w:rPr>
          <w:rFonts w:ascii="Traditional Arabic" w:hAnsi="Traditional Arabic"/>
          <w:sz w:val="32"/>
          <w:szCs w:val="32"/>
          <w:rtl/>
        </w:rPr>
        <w:t xml:space="preserve"> بصيغ أخرى، منها:</w:t>
      </w:r>
    </w:p>
    <w:p w:rsidR="000D3D21" w:rsidRPr="003C6AEC" w:rsidRDefault="000D3D21" w:rsidP="000A76C7">
      <w:pPr>
        <w:pStyle w:val="a7"/>
        <w:pageBreakBefore/>
        <w:numPr>
          <w:ilvl w:val="0"/>
          <w:numId w:val="288"/>
        </w:numPr>
        <w:rPr>
          <w:rFonts w:ascii="Traditional Arabic" w:hAnsi="Traditional Arabic"/>
          <w:sz w:val="32"/>
          <w:szCs w:val="32"/>
        </w:rPr>
      </w:pPr>
      <w:r w:rsidRPr="003C6AEC">
        <w:rPr>
          <w:rFonts w:ascii="Traditional Arabic" w:hAnsi="Traditional Arabic"/>
          <w:noProof w:val="0"/>
          <w:sz w:val="32"/>
          <w:szCs w:val="32"/>
          <w:rtl/>
          <w:lang w:eastAsia="en-US"/>
        </w:rPr>
        <w:t>كل شيء حرُم فيه ربا الفضل فإنه يحرم فيه ربا النسيئة، لا العكس</w:t>
      </w:r>
      <w:r w:rsidRPr="003C6AEC">
        <w:rPr>
          <w:rFonts w:ascii="Traditional Arabic" w:hAnsi="Traditional Arabic"/>
          <w:sz w:val="32"/>
          <w:szCs w:val="32"/>
          <w:rtl/>
        </w:rPr>
        <w:t>.المرجع السابق (8/399).</w:t>
      </w:r>
    </w:p>
    <w:p w:rsidR="000D3D21" w:rsidRPr="003C6AEC" w:rsidRDefault="000D3D21" w:rsidP="000A76C7">
      <w:pPr>
        <w:pStyle w:val="a7"/>
        <w:pageBreakBefore/>
        <w:numPr>
          <w:ilvl w:val="0"/>
          <w:numId w:val="288"/>
        </w:numPr>
        <w:rPr>
          <w:rFonts w:ascii="Traditional Arabic" w:hAnsi="Traditional Arabic"/>
          <w:sz w:val="32"/>
          <w:szCs w:val="32"/>
        </w:rPr>
      </w:pPr>
      <w:r w:rsidRPr="003C6AEC">
        <w:rPr>
          <w:rFonts w:ascii="Traditional Arabic" w:hAnsi="Traditional Arabic"/>
          <w:noProof w:val="0"/>
          <w:sz w:val="32"/>
          <w:szCs w:val="32"/>
          <w:rtl/>
          <w:lang w:eastAsia="en-US"/>
        </w:rPr>
        <w:t>متى حرم ربا الفضل حرم ربا النسيئة.</w:t>
      </w:r>
      <w:r w:rsidRPr="003C6AEC">
        <w:rPr>
          <w:rFonts w:ascii="Traditional Arabic" w:hAnsi="Traditional Arabic"/>
          <w:sz w:val="32"/>
          <w:szCs w:val="32"/>
          <w:rtl/>
        </w:rPr>
        <w:t>المرجع السابق.</w:t>
      </w:r>
    </w:p>
    <w:p w:rsidR="000D3D21" w:rsidRPr="00B47ECB" w:rsidRDefault="000D3D21" w:rsidP="00B47ECB">
      <w:pPr>
        <w:pStyle w:val="a7"/>
        <w:pageBreakBefore/>
        <w:numPr>
          <w:ilvl w:val="0"/>
          <w:numId w:val="288"/>
        </w:numPr>
        <w:rPr>
          <w:rFonts w:ascii="Traditional Arabic" w:hAnsi="Traditional Arabic"/>
          <w:sz w:val="32"/>
          <w:szCs w:val="32"/>
        </w:rPr>
      </w:pPr>
      <w:r w:rsidRPr="00B47ECB">
        <w:rPr>
          <w:rFonts w:ascii="Traditional Arabic" w:hAnsi="Traditional Arabic"/>
          <w:sz w:val="32"/>
          <w:szCs w:val="32"/>
          <w:rtl/>
        </w:rPr>
        <w:t>كل بيع يجري فيه ربا الفضل فإنه يجري فيه ربا النسيئة ولا عكس.مجموع فتاوى ورسائل ابن عثيمين (29/47).</w:t>
      </w:r>
    </w:p>
    <w:p w:rsidR="000D3D21" w:rsidRPr="003C6AEC" w:rsidRDefault="000D3D21" w:rsidP="0038004C">
      <w:pPr>
        <w:pStyle w:val="a7"/>
        <w:pageBreakBefore/>
        <w:ind w:left="1123" w:firstLine="0"/>
        <w:rPr>
          <w:rFonts w:ascii="Traditional Arabic" w:hAnsi="Traditional Arabic"/>
          <w:sz w:val="32"/>
          <w:szCs w:val="32"/>
        </w:rPr>
      </w:pPr>
      <w:r>
        <w:rPr>
          <w:rFonts w:ascii="Traditional Arabic" w:hAnsi="Traditional Arabic" w:hint="cs"/>
          <w:sz w:val="32"/>
          <w:szCs w:val="32"/>
          <w:rtl/>
        </w:rPr>
        <w:t>و</w:t>
      </w:r>
      <w:r w:rsidRPr="003C6AEC">
        <w:rPr>
          <w:rFonts w:ascii="Traditional Arabic" w:hAnsi="Traditional Arabic"/>
          <w:sz w:val="32"/>
          <w:szCs w:val="32"/>
          <w:rtl/>
        </w:rPr>
        <w:t>انظر: المغني (6/61)، وإرشاد أولي البصائر والألباب (95)، وموسوعة القواعد والضوابط ا</w:t>
      </w:r>
      <w:r>
        <w:rPr>
          <w:rFonts w:ascii="Traditional Arabic" w:hAnsi="Traditional Arabic"/>
          <w:sz w:val="32"/>
          <w:szCs w:val="32"/>
          <w:rtl/>
        </w:rPr>
        <w:t>لفقهية</w:t>
      </w:r>
      <w:r w:rsidRPr="003C6AEC">
        <w:rPr>
          <w:rFonts w:ascii="Traditional Arabic" w:hAnsi="Traditional Arabic"/>
          <w:sz w:val="32"/>
          <w:szCs w:val="32"/>
          <w:rtl/>
        </w:rPr>
        <w:t xml:space="preserve"> للندوي (2/327)</w:t>
      </w:r>
      <w:r>
        <w:rPr>
          <w:rFonts w:ascii="Traditional Arabic" w:hAnsi="Traditional Arabic" w:hint="cs"/>
          <w:sz w:val="32"/>
          <w:szCs w:val="32"/>
          <w:rtl/>
        </w:rPr>
        <w:t>، وضوابط في باب الربا لخالد بن علي المشيقح (41)</w:t>
      </w:r>
      <w:r w:rsidRPr="003C6AEC">
        <w:rPr>
          <w:rFonts w:ascii="Traditional Arabic" w:hAnsi="Traditional Arabic"/>
          <w:sz w:val="32"/>
          <w:szCs w:val="32"/>
          <w:rtl/>
        </w:rPr>
        <w:t>.</w:t>
      </w:r>
    </w:p>
  </w:footnote>
  <w:footnote w:id="2102">
    <w:p w:rsidR="000D3D21" w:rsidRPr="003C6AEC" w:rsidRDefault="000D3D21" w:rsidP="0038004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3C6AEC">
        <w:rPr>
          <w:rFonts w:ascii="Traditional Arabic" w:hAnsi="Traditional Arabic"/>
          <w:sz w:val="32"/>
          <w:szCs w:val="32"/>
          <w:rtl/>
        </w:rPr>
        <w:t>انظر: الشرح الممتع (</w:t>
      </w:r>
      <w:r>
        <w:rPr>
          <w:rFonts w:ascii="Traditional Arabic" w:hAnsi="Traditional Arabic" w:hint="cs"/>
          <w:sz w:val="32"/>
          <w:szCs w:val="32"/>
          <w:rtl/>
        </w:rPr>
        <w:t>8/392، 438</w:t>
      </w:r>
      <w:r w:rsidRPr="003C6AEC">
        <w:rPr>
          <w:rFonts w:ascii="Traditional Arabic" w:hAnsi="Traditional Arabic"/>
          <w:sz w:val="32"/>
          <w:szCs w:val="32"/>
          <w:rtl/>
        </w:rPr>
        <w:t>)، وإرشاد أولي البصائر والألباب (95).</w:t>
      </w:r>
    </w:p>
  </w:footnote>
  <w:footnote w:id="2103">
    <w:p w:rsidR="000D3D21" w:rsidRDefault="000D3D21" w:rsidP="0038004C">
      <w:pPr>
        <w:pStyle w:val="a7"/>
        <w:pageBreakBefore/>
        <w:rPr>
          <w:rFonts w:ascii="Traditional Arabic" w:hAnsi="Traditional Arabic"/>
          <w:sz w:val="32"/>
          <w:szCs w:val="32"/>
          <w:rtl/>
        </w:rPr>
      </w:pPr>
      <w:r w:rsidRPr="00451907">
        <w:rPr>
          <w:rFonts w:ascii="Tahoma" w:hAnsi="Tahoma"/>
          <w:szCs w:val="32"/>
          <w:rtl/>
        </w:rPr>
        <w:t>(</w:t>
      </w:r>
      <w:r w:rsidRPr="00451907">
        <w:rPr>
          <w:rStyle w:val="af1"/>
          <w:rFonts w:ascii="Tahoma" w:hAnsi="Tahoma"/>
          <w:szCs w:val="32"/>
          <w:vertAlign w:val="baseline"/>
          <w:rtl/>
        </w:rPr>
        <w:footnoteRef/>
      </w:r>
      <w:r w:rsidRPr="00451907">
        <w:rPr>
          <w:rFonts w:ascii="Tahoma" w:hAnsi="Tahoma"/>
          <w:szCs w:val="32"/>
          <w:rtl/>
        </w:rPr>
        <w:t>)</w:t>
      </w:r>
      <w:r>
        <w:rPr>
          <w:rFonts w:ascii="Traditional Arabic" w:hAnsi="Traditional Arabic" w:hint="cs"/>
          <w:sz w:val="32"/>
          <w:szCs w:val="32"/>
          <w:rtl/>
        </w:rPr>
        <w:t xml:space="preserve"> </w:t>
      </w:r>
      <w:r w:rsidRPr="005C20B6">
        <w:rPr>
          <w:rFonts w:ascii="Traditional Arabic" w:hAnsi="Traditional Arabic"/>
          <w:sz w:val="32"/>
          <w:szCs w:val="32"/>
          <w:rtl/>
        </w:rPr>
        <w:t xml:space="preserve">ذكر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5C20B6">
        <w:rPr>
          <w:rFonts w:ascii="Traditional Arabic" w:hAnsi="Traditional Arabic"/>
          <w:sz w:val="32"/>
          <w:szCs w:val="32"/>
          <w:rtl/>
        </w:rPr>
        <w:t xml:space="preserve"> هذه الأمثلة بناء</w:t>
      </w:r>
      <w:r>
        <w:rPr>
          <w:rFonts w:ascii="Traditional Arabic" w:hAnsi="Traditional Arabic" w:hint="cs"/>
          <w:sz w:val="32"/>
          <w:szCs w:val="32"/>
          <w:rtl/>
        </w:rPr>
        <w:t>ً</w:t>
      </w:r>
      <w:r w:rsidRPr="005C20B6">
        <w:rPr>
          <w:rFonts w:ascii="Traditional Arabic" w:hAnsi="Traditional Arabic"/>
          <w:sz w:val="32"/>
          <w:szCs w:val="32"/>
          <w:rtl/>
        </w:rPr>
        <w:t xml:space="preserve"> على علة الربا عند الحنابلة، وهي الكيل </w:t>
      </w:r>
      <w:r>
        <w:rPr>
          <w:rFonts w:ascii="Traditional Arabic" w:hAnsi="Traditional Arabic" w:hint="cs"/>
          <w:sz w:val="32"/>
          <w:szCs w:val="32"/>
          <w:rtl/>
        </w:rPr>
        <w:t xml:space="preserve">أو الوزن، والذي يرجحه الشيخ في هذه المسألة أن علة الربا  في الأصناف الأربعة وما يلحق بها الطعم والكيل، </w:t>
      </w:r>
    </w:p>
    <w:p w:rsidR="000D3D21" w:rsidRDefault="000D3D21" w:rsidP="0038004C">
      <w:pPr>
        <w:pStyle w:val="a7"/>
        <w:pageBreakBefore/>
        <w:rPr>
          <w:rFonts w:ascii="Traditional Arabic" w:hAnsi="Traditional Arabic"/>
          <w:sz w:val="32"/>
          <w:szCs w:val="32"/>
          <w:rtl/>
        </w:rPr>
      </w:pPr>
      <w:r>
        <w:rPr>
          <w:rFonts w:ascii="Traditional Arabic" w:hAnsi="Traditional Arabic" w:hint="cs"/>
          <w:sz w:val="32"/>
          <w:szCs w:val="32"/>
          <w:rtl/>
        </w:rPr>
        <w:t xml:space="preserve">     وفي الذهب والفضة الثمنية. انظر مجموع فتاوى ورسائل ابن عثيمين (29/45).</w:t>
      </w:r>
    </w:p>
    <w:p w:rsidR="000D3D21" w:rsidRPr="005C20B6" w:rsidRDefault="000D3D21" w:rsidP="0038004C">
      <w:pPr>
        <w:pStyle w:val="a7"/>
        <w:pageBreakBefore/>
        <w:rPr>
          <w:rFonts w:ascii="Tahoma" w:hAnsi="Tahoma"/>
        </w:rPr>
      </w:pPr>
      <w:r>
        <w:rPr>
          <w:rFonts w:ascii="Traditional Arabic" w:hAnsi="Traditional Arabic" w:hint="cs"/>
          <w:sz w:val="32"/>
          <w:szCs w:val="32"/>
          <w:rtl/>
        </w:rPr>
        <w:t xml:space="preserve">      وانظر: </w:t>
      </w:r>
      <w:r w:rsidRPr="005C20B6">
        <w:rPr>
          <w:rFonts w:ascii="Traditional Arabic" w:hAnsi="Traditional Arabic"/>
          <w:sz w:val="32"/>
          <w:szCs w:val="32"/>
          <w:rtl/>
        </w:rPr>
        <w:t>الروض المربع (6/211، 219).</w:t>
      </w:r>
    </w:p>
  </w:footnote>
  <w:footnote w:id="2104">
    <w:p w:rsidR="000D3D21" w:rsidRPr="005C20B6"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C20B6">
        <w:rPr>
          <w:rFonts w:ascii="Traditional Arabic" w:hAnsi="Traditional Arabic"/>
          <w:sz w:val="32"/>
          <w:szCs w:val="32"/>
          <w:rtl/>
        </w:rPr>
        <w:t xml:space="preserve"> الشرح الممتع (8/441). </w:t>
      </w:r>
    </w:p>
  </w:footnote>
  <w:footnote w:id="2105">
    <w:p w:rsidR="000D3D21" w:rsidRPr="007C7485" w:rsidRDefault="000D3D21" w:rsidP="0038004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 (8/441)</w:t>
      </w:r>
      <w:r w:rsidRPr="005C20B6">
        <w:rPr>
          <w:rFonts w:ascii="Traditional Arabic" w:hAnsi="Traditional Arabic"/>
          <w:sz w:val="32"/>
          <w:szCs w:val="32"/>
          <w:rtl/>
        </w:rPr>
        <w:t>.</w:t>
      </w:r>
    </w:p>
  </w:footnote>
  <w:footnote w:id="2106">
    <w:p w:rsidR="000D3D21" w:rsidRPr="00277AD5" w:rsidRDefault="000D3D21" w:rsidP="0038004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77AD5">
        <w:rPr>
          <w:rFonts w:ascii="Traditional Arabic" w:hAnsi="Traditional Arabic"/>
          <w:sz w:val="32"/>
          <w:szCs w:val="32"/>
          <w:rtl/>
        </w:rPr>
        <w:t>الشرح الممتع (9/96).</w:t>
      </w:r>
    </w:p>
    <w:p w:rsidR="000D3D21" w:rsidRPr="00277AD5" w:rsidRDefault="000D3D21" w:rsidP="0034747A">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277AD5">
        <w:rPr>
          <w:rFonts w:ascii="Traditional Arabic" w:hAnsi="Traditional Arabic"/>
          <w:b/>
          <w:bCs/>
          <w:sz w:val="32"/>
          <w:szCs w:val="32"/>
          <w:rtl/>
        </w:rPr>
        <w:t xml:space="preserve">تنبيه: </w:t>
      </w:r>
      <w:r w:rsidRPr="00277AD5">
        <w:rPr>
          <w:rFonts w:ascii="Traditional Arabic" w:hAnsi="Traditional Arabic"/>
          <w:sz w:val="32"/>
          <w:szCs w:val="32"/>
          <w:rtl/>
        </w:rPr>
        <w:t xml:space="preserve">الذي وجدته </w:t>
      </w:r>
      <w:r>
        <w:rPr>
          <w:rFonts w:ascii="Traditional Arabic" w:hAnsi="Traditional Arabic" w:hint="cs"/>
          <w:sz w:val="32"/>
          <w:szCs w:val="32"/>
          <w:rtl/>
        </w:rPr>
        <w:t>_</w:t>
      </w:r>
      <w:r w:rsidRPr="00277AD5">
        <w:rPr>
          <w:rFonts w:ascii="Traditional Arabic" w:hAnsi="Traditional Arabic"/>
          <w:sz w:val="32"/>
          <w:szCs w:val="32"/>
          <w:rtl/>
        </w:rPr>
        <w:t>فيما اطلعت عليه</w:t>
      </w:r>
      <w:r>
        <w:rPr>
          <w:rFonts w:ascii="Traditional Arabic" w:hAnsi="Traditional Arabic" w:hint="cs"/>
          <w:sz w:val="32"/>
          <w:szCs w:val="32"/>
          <w:rtl/>
        </w:rPr>
        <w:t>_</w:t>
      </w:r>
      <w:r w:rsidRPr="00277AD5">
        <w:rPr>
          <w:rFonts w:ascii="Traditional Arabic" w:hAnsi="Traditional Arabic"/>
          <w:sz w:val="32"/>
          <w:szCs w:val="32"/>
          <w:rtl/>
        </w:rPr>
        <w:t xml:space="preserve"> في كتب القواعد لفظ أخص مما أورده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Pr>
          <w:rFonts w:ascii="Traditional Arabic" w:hAnsi="Traditional Arabic"/>
          <w:sz w:val="32"/>
          <w:szCs w:val="32"/>
          <w:rtl/>
        </w:rPr>
        <w:t xml:space="preserve"> إذا أنهم خصوه </w:t>
      </w:r>
      <w:r>
        <w:rPr>
          <w:rFonts w:ascii="Traditional Arabic" w:hAnsi="Traditional Arabic" w:hint="cs"/>
          <w:sz w:val="32"/>
          <w:szCs w:val="32"/>
          <w:rtl/>
        </w:rPr>
        <w:t>بباب</w:t>
      </w:r>
      <w:r w:rsidRPr="00277AD5">
        <w:rPr>
          <w:rFonts w:ascii="Traditional Arabic" w:hAnsi="Traditional Arabic"/>
          <w:sz w:val="32"/>
          <w:szCs w:val="32"/>
          <w:rtl/>
        </w:rPr>
        <w:t xml:space="preserve"> السلم فقط دون أبواب البيع الأخرى.</w:t>
      </w:r>
      <w:r>
        <w:rPr>
          <w:rFonts w:ascii="Traditional Arabic" w:hAnsi="Traditional Arabic" w:hint="cs"/>
          <w:sz w:val="32"/>
          <w:szCs w:val="32"/>
          <w:rtl/>
        </w:rPr>
        <w:t xml:space="preserve"> </w:t>
      </w:r>
      <w:r w:rsidRPr="00277AD5">
        <w:rPr>
          <w:rFonts w:ascii="Traditional Arabic" w:hAnsi="Traditional Arabic"/>
          <w:sz w:val="32"/>
          <w:szCs w:val="32"/>
          <w:rtl/>
        </w:rPr>
        <w:t>انظر:</w:t>
      </w:r>
      <w:r>
        <w:rPr>
          <w:rFonts w:ascii="Traditional Arabic" w:hAnsi="Traditional Arabic" w:hint="cs"/>
          <w:sz w:val="32"/>
          <w:szCs w:val="32"/>
          <w:rtl/>
        </w:rPr>
        <w:t xml:space="preserve"> </w:t>
      </w:r>
      <w:r w:rsidRPr="00277AD5">
        <w:rPr>
          <w:rFonts w:ascii="Traditional Arabic" w:hAnsi="Traditional Arabic"/>
          <w:sz w:val="32"/>
          <w:szCs w:val="32"/>
          <w:rtl/>
        </w:rPr>
        <w:t>الكليات الفقهية لأبي عبد الله ا</w:t>
      </w:r>
      <w:r>
        <w:rPr>
          <w:rFonts w:ascii="Traditional Arabic" w:hAnsi="Traditional Arabic"/>
          <w:sz w:val="32"/>
          <w:szCs w:val="32"/>
          <w:rtl/>
        </w:rPr>
        <w:t xml:space="preserve">لمقري (157)، والمنثور </w:t>
      </w:r>
      <w:r>
        <w:rPr>
          <w:rFonts w:ascii="Traditional Arabic" w:hAnsi="Traditional Arabic" w:hint="cs"/>
          <w:sz w:val="32"/>
          <w:szCs w:val="32"/>
          <w:rtl/>
        </w:rPr>
        <w:t>للزركشي</w:t>
      </w:r>
      <w:r w:rsidRPr="00277AD5">
        <w:rPr>
          <w:rFonts w:ascii="Traditional Arabic" w:hAnsi="Traditional Arabic"/>
          <w:sz w:val="32"/>
          <w:szCs w:val="32"/>
          <w:rtl/>
        </w:rPr>
        <w:t xml:space="preserve"> (3/155)، والأشباه والنظائر للسيوطي (457).</w:t>
      </w:r>
    </w:p>
  </w:footnote>
  <w:footnote w:id="2107">
    <w:p w:rsidR="000D3D21" w:rsidRPr="00277AD5"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77AD5">
        <w:rPr>
          <w:rFonts w:ascii="Traditional Arabic" w:hAnsi="Traditional Arabic"/>
          <w:sz w:val="32"/>
          <w:szCs w:val="32"/>
          <w:rtl/>
        </w:rPr>
        <w:t>لسان العرب (1/401).</w:t>
      </w:r>
    </w:p>
  </w:footnote>
  <w:footnote w:id="2108">
    <w:p w:rsidR="000D3D21" w:rsidRPr="00277AD5"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77AD5">
        <w:rPr>
          <w:rFonts w:ascii="Traditional Arabic" w:hAnsi="Traditional Arabic"/>
          <w:sz w:val="32"/>
          <w:szCs w:val="32"/>
          <w:rtl/>
        </w:rPr>
        <w:t>زاد المستقنع (</w:t>
      </w:r>
      <w:r>
        <w:rPr>
          <w:rFonts w:ascii="Traditional Arabic" w:hAnsi="Traditional Arabic" w:hint="cs"/>
          <w:sz w:val="32"/>
          <w:szCs w:val="32"/>
          <w:rtl/>
        </w:rPr>
        <w:t>100</w:t>
      </w:r>
      <w:r w:rsidRPr="00277AD5">
        <w:rPr>
          <w:rFonts w:ascii="Traditional Arabic" w:hAnsi="Traditional Arabic"/>
          <w:sz w:val="32"/>
          <w:szCs w:val="32"/>
          <w:rtl/>
        </w:rPr>
        <w:t>)، وانظر شرح التعريف في الشرح الممتع (8/95-100).</w:t>
      </w:r>
    </w:p>
  </w:footnote>
  <w:footnote w:id="2109">
    <w:p w:rsidR="000D3D21" w:rsidRPr="00277AD5"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77AD5">
        <w:rPr>
          <w:rFonts w:ascii="Traditional Arabic" w:hAnsi="Traditional Arabic"/>
          <w:sz w:val="32"/>
          <w:szCs w:val="32"/>
          <w:rtl/>
        </w:rPr>
        <w:t>الشرح الممتع (9/96).</w:t>
      </w:r>
    </w:p>
  </w:footnote>
  <w:footnote w:id="2110">
    <w:p w:rsidR="000D3D21" w:rsidRPr="000A082F"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A082F">
        <w:rPr>
          <w:rFonts w:ascii="Traditional Arabic" w:hAnsi="Traditional Arabic"/>
          <w:sz w:val="32"/>
          <w:szCs w:val="32"/>
          <w:rtl/>
        </w:rPr>
        <w:t>انظر المرجع السابق (8/100).</w:t>
      </w:r>
    </w:p>
  </w:footnote>
  <w:footnote w:id="2111">
    <w:p w:rsidR="000D3D21" w:rsidRPr="000A082F"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0A082F">
        <w:rPr>
          <w:rFonts w:ascii="Traditional Arabic" w:hAnsi="Traditional Arabic"/>
          <w:sz w:val="32"/>
          <w:szCs w:val="32"/>
          <w:rtl/>
        </w:rPr>
        <w:t xml:space="preserve"> (9/96).</w:t>
      </w:r>
    </w:p>
  </w:footnote>
  <w:footnote w:id="2112">
    <w:p w:rsidR="000D3D21" w:rsidRPr="000A082F"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A082F">
        <w:rPr>
          <w:rFonts w:ascii="Traditional Arabic" w:hAnsi="Traditional Arabic"/>
          <w:sz w:val="32"/>
          <w:szCs w:val="32"/>
          <w:rtl/>
        </w:rPr>
        <w:t>انظر المرجع السابق.</w:t>
      </w:r>
    </w:p>
  </w:footnote>
  <w:footnote w:id="2113">
    <w:p w:rsidR="000D3D21" w:rsidRPr="000A082F"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A082F">
        <w:rPr>
          <w:rFonts w:ascii="Traditional Arabic" w:hAnsi="Traditional Arabic"/>
          <w:sz w:val="32"/>
          <w:szCs w:val="32"/>
          <w:rtl/>
        </w:rPr>
        <w:t>الإنصاف للمرداوي (12/329).</w:t>
      </w:r>
    </w:p>
  </w:footnote>
  <w:footnote w:id="2114">
    <w:p w:rsidR="000D3D21" w:rsidRPr="000A082F"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A082F">
        <w:rPr>
          <w:rFonts w:ascii="Traditional Arabic" w:hAnsi="Traditional Arabic"/>
          <w:sz w:val="32"/>
          <w:szCs w:val="32"/>
          <w:rtl/>
        </w:rPr>
        <w:t>الأخبار العلمية من الاختيارات الفق</w:t>
      </w:r>
      <w:r>
        <w:rPr>
          <w:rFonts w:ascii="Traditional Arabic" w:hAnsi="Traditional Arabic"/>
          <w:sz w:val="32"/>
          <w:szCs w:val="32"/>
          <w:rtl/>
        </w:rPr>
        <w:t>هية لشيخ الإسلام ابن تيمية</w:t>
      </w:r>
      <w:r w:rsidRPr="000A082F">
        <w:rPr>
          <w:rFonts w:ascii="Traditional Arabic" w:hAnsi="Traditional Arabic"/>
          <w:sz w:val="32"/>
          <w:szCs w:val="32"/>
          <w:rtl/>
        </w:rPr>
        <w:t xml:space="preserve"> (194).</w:t>
      </w:r>
    </w:p>
  </w:footnote>
  <w:footnote w:id="2115">
    <w:p w:rsidR="000D3D21" w:rsidRPr="00A16F5F" w:rsidRDefault="000D3D21" w:rsidP="0038004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A082F">
        <w:rPr>
          <w:rFonts w:ascii="Traditional Arabic" w:hAnsi="Traditional Arabic"/>
          <w:sz w:val="32"/>
          <w:szCs w:val="32"/>
          <w:rtl/>
        </w:rPr>
        <w:t>الشرح الممتع (9/96-97)</w:t>
      </w:r>
      <w:r>
        <w:rPr>
          <w:rFonts w:ascii="Traditional Arabic" w:hAnsi="Traditional Arabic" w:hint="cs"/>
          <w:sz w:val="32"/>
          <w:szCs w:val="32"/>
          <w:rtl/>
        </w:rPr>
        <w:t xml:space="preserve"> </w:t>
      </w:r>
      <w:r w:rsidRPr="000A082F">
        <w:rPr>
          <w:rFonts w:ascii="Traditional Arabic" w:hAnsi="Traditional Arabic"/>
          <w:sz w:val="32"/>
          <w:szCs w:val="32"/>
          <w:rtl/>
        </w:rPr>
        <w:t>بتصرف.</w:t>
      </w:r>
    </w:p>
  </w:footnote>
  <w:footnote w:id="2116">
    <w:p w:rsidR="000D3D21" w:rsidRPr="00594FE9" w:rsidRDefault="000D3D21" w:rsidP="006E1F0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94FE9">
        <w:rPr>
          <w:rFonts w:ascii="Traditional Arabic" w:hAnsi="Traditional Arabic"/>
          <w:b/>
          <w:bCs/>
          <w:sz w:val="32"/>
          <w:szCs w:val="32"/>
          <w:rtl/>
        </w:rPr>
        <w:t>البَكر</w:t>
      </w:r>
      <w:r w:rsidR="00AB0B9E">
        <w:rPr>
          <w:rFonts w:ascii="Traditional Arabic" w:hAnsi="Traditional Arabic"/>
          <w:b/>
          <w:bCs/>
          <w:sz w:val="32"/>
          <w:szCs w:val="32"/>
          <w:rtl/>
        </w:rPr>
        <w:fldChar w:fldCharType="begin"/>
      </w:r>
      <w:r>
        <w:instrText xml:space="preserve"> XE "</w:instrText>
      </w:r>
      <w:r w:rsidRPr="006E1F02">
        <w:rPr>
          <w:rFonts w:ascii="Traditional Arabic" w:hAnsi="Traditional Arabic"/>
          <w:sz w:val="32"/>
          <w:szCs w:val="32"/>
          <w:rtl/>
        </w:rPr>
        <w:instrText>البَكر</w:instrText>
      </w:r>
      <w:r>
        <w:instrText xml:space="preserve">" </w:instrText>
      </w:r>
      <w:r w:rsidRPr="006E1F02">
        <w:instrText xml:space="preserve">\fm </w:instrText>
      </w:r>
      <w:r w:rsidR="00AB0B9E">
        <w:rPr>
          <w:rFonts w:ascii="Traditional Arabic" w:hAnsi="Traditional Arabic"/>
          <w:b/>
          <w:bCs/>
          <w:sz w:val="32"/>
          <w:szCs w:val="32"/>
          <w:rtl/>
        </w:rPr>
        <w:fldChar w:fldCharType="end"/>
      </w:r>
      <w:r w:rsidRPr="00594FE9">
        <w:rPr>
          <w:rFonts w:ascii="Traditional Arabic" w:hAnsi="Traditional Arabic"/>
          <w:b/>
          <w:bCs/>
          <w:sz w:val="32"/>
          <w:szCs w:val="32"/>
          <w:rtl/>
        </w:rPr>
        <w:t xml:space="preserve">: </w:t>
      </w:r>
      <w:r w:rsidRPr="00594FE9">
        <w:rPr>
          <w:rFonts w:ascii="Traditional Arabic" w:hAnsi="Traditional Arabic"/>
          <w:sz w:val="32"/>
          <w:szCs w:val="32"/>
          <w:rtl/>
        </w:rPr>
        <w:t>الفتيّ من الإبل، بمنزلة الغلام من الناس. النهاية في غريب الحديث والأثر (1/149).</w:t>
      </w:r>
    </w:p>
  </w:footnote>
  <w:footnote w:id="2117">
    <w:p w:rsidR="000D3D21" w:rsidRPr="00AF42E9"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F42E9">
        <w:rPr>
          <w:rFonts w:ascii="Traditional Arabic" w:hAnsi="Traditional Arabic"/>
          <w:sz w:val="32"/>
          <w:szCs w:val="32"/>
          <w:rtl/>
        </w:rPr>
        <w:t>أخرجه البخاري في كتاب الاستقراض، باب استقراض الإبل، رقم الحديث (2390)، ومسلم في كتاب المساقاة والمزارعة، باب من استسلف شيئا فقضى خيرا منه، و"خيركم أحسنكم قضاء"، رقم الحديث (1601).</w:t>
      </w:r>
    </w:p>
  </w:footnote>
  <w:footnote w:id="2118">
    <w:p w:rsidR="000D3D21" w:rsidRPr="00AF42E9"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F42E9">
        <w:rPr>
          <w:rFonts w:ascii="Traditional Arabic" w:hAnsi="Traditional Arabic"/>
          <w:sz w:val="32"/>
          <w:szCs w:val="32"/>
          <w:rtl/>
        </w:rPr>
        <w:t>الشرح الممتع (9/98)</w:t>
      </w:r>
      <w:r>
        <w:rPr>
          <w:rFonts w:ascii="Traditional Arabic" w:hAnsi="Traditional Arabic" w:hint="cs"/>
          <w:sz w:val="32"/>
          <w:szCs w:val="32"/>
          <w:rtl/>
        </w:rPr>
        <w:t xml:space="preserve"> </w:t>
      </w:r>
      <w:r w:rsidRPr="00AF42E9">
        <w:rPr>
          <w:rFonts w:ascii="Traditional Arabic" w:hAnsi="Traditional Arabic"/>
          <w:sz w:val="32"/>
          <w:szCs w:val="32"/>
          <w:rtl/>
        </w:rPr>
        <w:t>بتصرف.</w:t>
      </w:r>
    </w:p>
  </w:footnote>
  <w:footnote w:id="2119">
    <w:p w:rsidR="000D3D21" w:rsidRPr="00D351CA" w:rsidRDefault="000D3D21" w:rsidP="0038004C">
      <w:pPr>
        <w:pStyle w:val="a7"/>
        <w:pageBreakBefore/>
        <w:rPr>
          <w:rFonts w:ascii="Tahoma" w:hAnsi="Tahoma"/>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الشرح الممتع (9/97)</w:t>
      </w:r>
      <w:r>
        <w:rPr>
          <w:rFonts w:ascii="Traditional Arabic" w:hAnsi="Traditional Arabic" w:hint="cs"/>
          <w:sz w:val="32"/>
          <w:szCs w:val="32"/>
          <w:rtl/>
        </w:rPr>
        <w:t>.</w:t>
      </w:r>
    </w:p>
  </w:footnote>
  <w:footnote w:id="2120">
    <w:p w:rsidR="000D3D21" w:rsidRPr="005A521B" w:rsidRDefault="000D3D21" w:rsidP="0038004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A521B">
        <w:rPr>
          <w:rFonts w:ascii="Traditional Arabic" w:hAnsi="Traditional Arabic"/>
          <w:sz w:val="32"/>
          <w:szCs w:val="32"/>
          <w:rtl/>
        </w:rPr>
        <w:t>الشرح الممتع (9/122)، وانظر (9/132)، ومجموع فتاوى ورسائل ابن عثيمين (29/442).</w:t>
      </w:r>
    </w:p>
    <w:p w:rsidR="000D3D21" w:rsidRPr="005A521B" w:rsidRDefault="000D3D21" w:rsidP="0038004C">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5A521B">
        <w:rPr>
          <w:rFonts w:ascii="Traditional Arabic" w:hAnsi="Traditional Arabic"/>
          <w:sz w:val="32"/>
          <w:szCs w:val="32"/>
          <w:rtl/>
        </w:rPr>
        <w:t>وانظر: الأشباه والنظائر لابن نجي</w:t>
      </w:r>
      <w:r>
        <w:rPr>
          <w:rFonts w:ascii="Traditional Arabic" w:hAnsi="Traditional Arabic"/>
          <w:sz w:val="32"/>
          <w:szCs w:val="32"/>
          <w:rtl/>
        </w:rPr>
        <w:t>م (345)، والمجموع المذهب (2/387)، والمنثور</w:t>
      </w:r>
      <w:r>
        <w:rPr>
          <w:rFonts w:ascii="Traditional Arabic" w:hAnsi="Traditional Arabic" w:hint="cs"/>
          <w:sz w:val="32"/>
          <w:szCs w:val="32"/>
          <w:rtl/>
        </w:rPr>
        <w:t xml:space="preserve"> للزركشي</w:t>
      </w:r>
      <w:r w:rsidRPr="005A521B">
        <w:rPr>
          <w:rFonts w:ascii="Traditional Arabic" w:hAnsi="Traditional Arabic"/>
          <w:sz w:val="32"/>
          <w:szCs w:val="32"/>
          <w:rtl/>
        </w:rPr>
        <w:t xml:space="preserve"> (3/139)، والقواعد للحصني (4/157)، والأشباه والنظائر للسيوطي (457).</w:t>
      </w:r>
    </w:p>
  </w:footnote>
  <w:footnote w:id="2121">
    <w:p w:rsidR="000D3D21" w:rsidRPr="005A521B"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A521B">
        <w:rPr>
          <w:rFonts w:ascii="Traditional Arabic" w:hAnsi="Traditional Arabic"/>
          <w:sz w:val="32"/>
          <w:szCs w:val="32"/>
          <w:rtl/>
        </w:rPr>
        <w:t>انظر الشرح الممتع (9/122، 132).</w:t>
      </w:r>
    </w:p>
  </w:footnote>
  <w:footnote w:id="2122">
    <w:p w:rsidR="000D3D21" w:rsidRPr="005A521B" w:rsidRDefault="000D3D21" w:rsidP="0038004C">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A521B">
        <w:rPr>
          <w:rFonts w:ascii="Traditional Arabic" w:hAnsi="Traditional Arabic"/>
          <w:sz w:val="32"/>
          <w:szCs w:val="32"/>
          <w:rtl/>
        </w:rPr>
        <w:t>انظر الروض المربع (</w:t>
      </w:r>
      <w:r>
        <w:rPr>
          <w:rFonts w:ascii="Traditional Arabic" w:hAnsi="Traditional Arabic" w:hint="cs"/>
          <w:sz w:val="32"/>
          <w:szCs w:val="32"/>
          <w:rtl/>
        </w:rPr>
        <w:t>6/376</w:t>
      </w:r>
      <w:r w:rsidRPr="005A521B">
        <w:rPr>
          <w:rFonts w:ascii="Traditional Arabic" w:hAnsi="Traditional Arabic"/>
          <w:sz w:val="32"/>
          <w:szCs w:val="32"/>
          <w:rtl/>
        </w:rPr>
        <w:t>)، وحاشية الروض المربع لابن قاسم (5/53).</w:t>
      </w:r>
    </w:p>
  </w:footnote>
  <w:footnote w:id="2123">
    <w:p w:rsidR="000D3D21" w:rsidRPr="00FA46BA" w:rsidRDefault="000D3D21" w:rsidP="0038004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A521B">
        <w:rPr>
          <w:rFonts w:ascii="Traditional Arabic" w:hAnsi="Traditional Arabic"/>
          <w:sz w:val="32"/>
          <w:szCs w:val="32"/>
          <w:rtl/>
        </w:rPr>
        <w:t>الشرح الممتع (9/122)</w:t>
      </w:r>
      <w:r>
        <w:rPr>
          <w:rFonts w:ascii="Traditional Arabic" w:hAnsi="Traditional Arabic" w:hint="cs"/>
          <w:sz w:val="32"/>
          <w:szCs w:val="32"/>
          <w:rtl/>
        </w:rPr>
        <w:t xml:space="preserve"> </w:t>
      </w:r>
      <w:r w:rsidRPr="005A521B">
        <w:rPr>
          <w:rFonts w:ascii="Traditional Arabic" w:hAnsi="Traditional Arabic"/>
          <w:sz w:val="32"/>
          <w:szCs w:val="32"/>
          <w:rtl/>
        </w:rPr>
        <w:t>بتصرف</w:t>
      </w:r>
      <w:r>
        <w:rPr>
          <w:rFonts w:ascii="Traditional Arabic" w:hAnsi="Traditional Arabic" w:hint="cs"/>
          <w:sz w:val="32"/>
          <w:szCs w:val="32"/>
          <w:rtl/>
        </w:rPr>
        <w:t>.</w:t>
      </w:r>
    </w:p>
  </w:footnote>
  <w:footnote w:id="2124">
    <w:p w:rsidR="000D3D21" w:rsidRPr="005A521B" w:rsidRDefault="000D3D21" w:rsidP="0038004C">
      <w:pPr>
        <w:pStyle w:val="a7"/>
        <w:pageBreakBefore/>
        <w:tabs>
          <w:tab w:val="left" w:pos="6583"/>
        </w:tabs>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5A521B">
        <w:rPr>
          <w:rFonts w:ascii="Traditional Arabic" w:hAnsi="Traditional Arabic"/>
          <w:sz w:val="32"/>
          <w:szCs w:val="32"/>
          <w:rtl/>
        </w:rPr>
        <w:t>.</w:t>
      </w:r>
      <w:r w:rsidRPr="005A521B">
        <w:rPr>
          <w:rFonts w:ascii="Traditional Arabic" w:hAnsi="Traditional Arabic"/>
          <w:sz w:val="32"/>
          <w:szCs w:val="32"/>
        </w:rPr>
        <w:tab/>
      </w:r>
    </w:p>
  </w:footnote>
  <w:footnote w:id="2125">
    <w:p w:rsidR="000D3D21" w:rsidRPr="004A0221" w:rsidRDefault="000D3D21" w:rsidP="0038004C">
      <w:pPr>
        <w:pStyle w:val="a7"/>
        <w:pageBreakBefore/>
        <w:rPr>
          <w:rFonts w:ascii="Tahoma" w:hAnsi="Tahoma"/>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A521B">
        <w:rPr>
          <w:rFonts w:ascii="Traditional Arabic" w:hAnsi="Traditional Arabic"/>
          <w:sz w:val="32"/>
          <w:szCs w:val="32"/>
          <w:rtl/>
        </w:rPr>
        <w:t>انظر المرجع السابق (9/122-123).</w:t>
      </w:r>
    </w:p>
  </w:footnote>
  <w:footnote w:id="2126">
    <w:p w:rsidR="000D3D21" w:rsidRPr="005A521B" w:rsidRDefault="000D3D21" w:rsidP="0038004C">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A521B">
        <w:rPr>
          <w:rFonts w:ascii="Traditional Arabic" w:hAnsi="Traditional Arabic"/>
          <w:sz w:val="32"/>
          <w:szCs w:val="32"/>
          <w:rtl/>
        </w:rPr>
        <w:t>تقدم تخريجه.</w:t>
      </w:r>
    </w:p>
  </w:footnote>
  <w:footnote w:id="2127">
    <w:p w:rsidR="000D3D21" w:rsidRPr="005A521B" w:rsidRDefault="000D3D21" w:rsidP="0038004C">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A521B">
        <w:rPr>
          <w:rFonts w:ascii="Traditional Arabic" w:hAnsi="Traditional Arabic"/>
          <w:sz w:val="32"/>
          <w:szCs w:val="32"/>
          <w:rtl/>
        </w:rPr>
        <w:t>الشرح الممتع (9/123)بتصرف.</w:t>
      </w:r>
    </w:p>
  </w:footnote>
  <w:footnote w:id="2128">
    <w:p w:rsidR="000D3D21" w:rsidRPr="00B21C22" w:rsidRDefault="000D3D21" w:rsidP="007868F9">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21C22">
        <w:rPr>
          <w:rFonts w:ascii="Traditional Arabic" w:hAnsi="Traditional Arabic"/>
          <w:sz w:val="32"/>
          <w:szCs w:val="32"/>
          <w:rtl/>
        </w:rPr>
        <w:t>الشرح الممتع (10/133).</w:t>
      </w:r>
      <w:r>
        <w:rPr>
          <w:rFonts w:ascii="Traditional Arabic" w:hAnsi="Traditional Arabic" w:hint="cs"/>
          <w:sz w:val="32"/>
          <w:szCs w:val="32"/>
          <w:rtl/>
        </w:rPr>
        <w:t xml:space="preserve"> </w:t>
      </w:r>
      <w:r w:rsidRPr="00B21C22">
        <w:rPr>
          <w:rFonts w:ascii="Traditional Arabic" w:hAnsi="Traditional Arabic"/>
          <w:sz w:val="32"/>
          <w:szCs w:val="32"/>
          <w:rtl/>
        </w:rPr>
        <w:t xml:space="preserve">وذكر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B21C22">
        <w:rPr>
          <w:rFonts w:ascii="Traditional Arabic" w:hAnsi="Traditional Arabic"/>
          <w:sz w:val="32"/>
          <w:szCs w:val="32"/>
          <w:rtl/>
        </w:rPr>
        <w:t xml:space="preserve"> هذا الضابط بصيغة أخرى، وهي:</w:t>
      </w:r>
    </w:p>
    <w:p w:rsidR="000D3D21" w:rsidRPr="00B31761" w:rsidRDefault="000D3D21" w:rsidP="008366F0">
      <w:pPr>
        <w:pStyle w:val="a7"/>
        <w:pageBreakBefore/>
        <w:numPr>
          <w:ilvl w:val="0"/>
          <w:numId w:val="293"/>
        </w:numPr>
        <w:rPr>
          <w:rFonts w:ascii="Traditional Arabic" w:hAnsi="Traditional Arabic"/>
          <w:color w:val="auto"/>
          <w:sz w:val="32"/>
          <w:szCs w:val="32"/>
        </w:rPr>
      </w:pPr>
      <w:r w:rsidRPr="00B31761">
        <w:rPr>
          <w:rFonts w:ascii="Traditional Arabic" w:hAnsi="Traditional Arabic"/>
          <w:noProof w:val="0"/>
          <w:color w:val="auto"/>
          <w:sz w:val="32"/>
          <w:szCs w:val="32"/>
          <w:rtl/>
          <w:lang w:eastAsia="en-US"/>
        </w:rPr>
        <w:t>الأصل فيمن قبض مال غيره الضمان.</w:t>
      </w:r>
      <w:r w:rsidRPr="00B31761">
        <w:rPr>
          <w:rFonts w:ascii="Traditional Arabic" w:hAnsi="Traditional Arabic" w:hint="cs"/>
          <w:noProof w:val="0"/>
          <w:color w:val="auto"/>
          <w:sz w:val="32"/>
          <w:szCs w:val="32"/>
          <w:rtl/>
          <w:lang w:eastAsia="en-US"/>
        </w:rPr>
        <w:t xml:space="preserve"> </w:t>
      </w:r>
      <w:r w:rsidRPr="00B31761">
        <w:rPr>
          <w:rFonts w:ascii="Traditional Arabic" w:hAnsi="Traditional Arabic"/>
          <w:noProof w:val="0"/>
          <w:color w:val="auto"/>
          <w:sz w:val="32"/>
          <w:szCs w:val="32"/>
          <w:rtl/>
          <w:lang w:eastAsia="en-US"/>
        </w:rPr>
        <w:t>المرجع السابق (10/136)</w:t>
      </w:r>
      <w:r w:rsidRPr="00B31761">
        <w:rPr>
          <w:rFonts w:ascii="Traditional Arabic" w:hAnsi="Traditional Arabic" w:hint="cs"/>
          <w:noProof w:val="0"/>
          <w:color w:val="auto"/>
          <w:sz w:val="32"/>
          <w:szCs w:val="32"/>
          <w:rtl/>
          <w:lang w:eastAsia="en-US"/>
        </w:rPr>
        <w:t xml:space="preserve"> </w:t>
      </w:r>
      <w:r w:rsidRPr="00B31761">
        <w:rPr>
          <w:rFonts w:ascii="Traditional Arabic" w:hAnsi="Traditional Arabic"/>
          <w:noProof w:val="0"/>
          <w:color w:val="auto"/>
          <w:sz w:val="32"/>
          <w:szCs w:val="32"/>
          <w:rtl/>
          <w:lang w:eastAsia="en-US"/>
        </w:rPr>
        <w:t>بتصرف.</w:t>
      </w:r>
    </w:p>
    <w:p w:rsidR="000D3D21" w:rsidRDefault="000D3D21" w:rsidP="004B29C1">
      <w:pPr>
        <w:pStyle w:val="a7"/>
        <w:pageBreakBefore/>
        <w:rPr>
          <w:rFonts w:ascii="Traditional Arabic" w:hAnsi="Traditional Arabic"/>
          <w:color w:val="auto"/>
          <w:sz w:val="32"/>
          <w:szCs w:val="32"/>
          <w:rtl/>
        </w:rPr>
      </w:pPr>
      <w:r>
        <w:rPr>
          <w:rFonts w:ascii="Traditional Arabic" w:hAnsi="Traditional Arabic" w:hint="cs"/>
          <w:noProof w:val="0"/>
          <w:color w:val="auto"/>
          <w:sz w:val="32"/>
          <w:szCs w:val="32"/>
          <w:rtl/>
          <w:lang w:eastAsia="en-US"/>
        </w:rPr>
        <w:t xml:space="preserve">     </w:t>
      </w:r>
      <w:r w:rsidRPr="00B21C22">
        <w:rPr>
          <w:rFonts w:ascii="Traditional Arabic" w:hAnsi="Traditional Arabic"/>
          <w:noProof w:val="0"/>
          <w:color w:val="auto"/>
          <w:sz w:val="32"/>
          <w:szCs w:val="32"/>
          <w:rtl/>
          <w:lang w:eastAsia="en-US"/>
        </w:rPr>
        <w:t>وانظر الروض المربع (7/184، 186).</w:t>
      </w:r>
    </w:p>
    <w:p w:rsidR="000D3D21" w:rsidRPr="00E93051" w:rsidRDefault="000D3D21" w:rsidP="004B29C1">
      <w:pPr>
        <w:pStyle w:val="a7"/>
        <w:pageBreakBefore/>
        <w:rPr>
          <w:rFonts w:ascii="Traditional Arabic" w:hAnsi="Traditional Arabic"/>
          <w:color w:val="auto"/>
          <w:sz w:val="32"/>
          <w:szCs w:val="32"/>
        </w:rPr>
      </w:pPr>
      <w:r>
        <w:rPr>
          <w:rFonts w:ascii="Traditional Arabic" w:hAnsi="Traditional Arabic" w:hint="cs"/>
          <w:b/>
          <w:bCs/>
          <w:color w:val="auto"/>
          <w:sz w:val="32"/>
          <w:szCs w:val="32"/>
          <w:rtl/>
        </w:rPr>
        <w:t xml:space="preserve">     تنبيه: </w:t>
      </w:r>
      <w:r>
        <w:rPr>
          <w:rFonts w:ascii="Traditional Arabic" w:hAnsi="Traditional Arabic" w:hint="cs"/>
          <w:color w:val="auto"/>
          <w:sz w:val="32"/>
          <w:szCs w:val="32"/>
          <w:rtl/>
        </w:rPr>
        <w:t>يظهر _والله أعلم _أن هذا الضابط يمكن أن يُجعل قاعدة فقهية؛ لشموله لأكثر من باب، فقد يقبض الشخص العين على سبيل العارية أو الإجارة أو الرهن، أو غير ذلك، وممن عدَّه من القواعد الفقهية الشيخ محمد فوزي فيض الله، وأورد القاعدة بلفظ حديث سمرة بن جندب رضي الله عنه. انظر نظرية الضمان في الفقه الإسلامي العام (213).</w:t>
      </w:r>
    </w:p>
  </w:footnote>
  <w:footnote w:id="2129">
    <w:p w:rsidR="000D3D21" w:rsidRPr="00B21C22" w:rsidRDefault="000D3D21" w:rsidP="007868F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شرح الممتع</w:t>
      </w:r>
      <w:r w:rsidRPr="00B21C22">
        <w:rPr>
          <w:rFonts w:ascii="Traditional Arabic" w:hAnsi="Traditional Arabic"/>
          <w:sz w:val="32"/>
          <w:szCs w:val="32"/>
          <w:rtl/>
        </w:rPr>
        <w:t xml:space="preserve"> (10/133، 136).</w:t>
      </w:r>
    </w:p>
  </w:footnote>
  <w:footnote w:id="2130">
    <w:p w:rsidR="000D3D21" w:rsidRPr="0095760C" w:rsidRDefault="000D3D21" w:rsidP="00427662">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تقدم تخريجه.</w:t>
      </w:r>
    </w:p>
  </w:footnote>
  <w:footnote w:id="2131">
    <w:p w:rsidR="000D3D21" w:rsidRPr="00B21C22" w:rsidRDefault="000D3D21" w:rsidP="007868F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21C22">
        <w:rPr>
          <w:rFonts w:ascii="Traditional Arabic" w:hAnsi="Traditional Arabic"/>
          <w:sz w:val="32"/>
          <w:szCs w:val="32"/>
          <w:rtl/>
        </w:rPr>
        <w:t xml:space="preserve">انظر فتح ذي الجلال والإكرام (4/195)، وحاشية الروض المربع </w:t>
      </w:r>
      <w:r>
        <w:rPr>
          <w:rFonts w:ascii="Traditional Arabic" w:hAnsi="Traditional Arabic" w:hint="cs"/>
          <w:sz w:val="32"/>
          <w:szCs w:val="32"/>
          <w:rtl/>
        </w:rPr>
        <w:t xml:space="preserve">لابن قاسم </w:t>
      </w:r>
      <w:r w:rsidRPr="00B21C22">
        <w:rPr>
          <w:rFonts w:ascii="Traditional Arabic" w:hAnsi="Traditional Arabic"/>
          <w:sz w:val="32"/>
          <w:szCs w:val="32"/>
          <w:rtl/>
        </w:rPr>
        <w:t>(5/374).</w:t>
      </w:r>
    </w:p>
  </w:footnote>
  <w:footnote w:id="2132">
    <w:p w:rsidR="000D3D21" w:rsidRPr="00B21C22" w:rsidRDefault="000D3D21" w:rsidP="007868F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شرح الممتع</w:t>
      </w:r>
      <w:r w:rsidRPr="00B21C22">
        <w:rPr>
          <w:rFonts w:ascii="Traditional Arabic" w:hAnsi="Traditional Arabic"/>
          <w:sz w:val="32"/>
          <w:szCs w:val="32"/>
          <w:rtl/>
        </w:rPr>
        <w:t xml:space="preserve"> (10/132، 133).</w:t>
      </w:r>
    </w:p>
  </w:footnote>
  <w:footnote w:id="2133">
    <w:p w:rsidR="000D3D21" w:rsidRPr="00B21C22" w:rsidRDefault="000D3D21" w:rsidP="007868F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21C22">
        <w:rPr>
          <w:rFonts w:ascii="Traditional Arabic" w:hAnsi="Traditional Arabic"/>
          <w:sz w:val="32"/>
          <w:szCs w:val="32"/>
          <w:rtl/>
        </w:rPr>
        <w:t>لأن المستعير ينكر الإجارة، فيرجع إلى أجرة المثل. انظر المرجع السابق (10/134).</w:t>
      </w:r>
    </w:p>
  </w:footnote>
  <w:footnote w:id="2134">
    <w:p w:rsidR="000D3D21" w:rsidRPr="00B21C22" w:rsidRDefault="000D3D21" w:rsidP="007868F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21C22">
        <w:rPr>
          <w:rFonts w:ascii="Traditional Arabic" w:hAnsi="Traditional Arabic"/>
          <w:sz w:val="32"/>
          <w:szCs w:val="32"/>
          <w:rtl/>
        </w:rPr>
        <w:t>هذا على المذهب الحنبلي؛ لأن المستعير يضمن مطلقا في المذهب، سواء فرط أو لم يفرط.</w:t>
      </w:r>
      <w:r>
        <w:rPr>
          <w:rFonts w:ascii="Traditional Arabic" w:hAnsi="Traditional Arabic" w:hint="cs"/>
          <w:sz w:val="32"/>
          <w:szCs w:val="32"/>
          <w:rtl/>
        </w:rPr>
        <w:t xml:space="preserve"> انظر الروض المربع (7/173).</w:t>
      </w:r>
    </w:p>
  </w:footnote>
  <w:footnote w:id="2135">
    <w:p w:rsidR="000D3D21" w:rsidRPr="00B05959" w:rsidRDefault="000D3D21" w:rsidP="007868F9">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انظر ال</w:t>
      </w:r>
      <w:r>
        <w:rPr>
          <w:rFonts w:ascii="Traditional Arabic" w:hAnsi="Traditional Arabic" w:hint="cs"/>
          <w:sz w:val="32"/>
          <w:szCs w:val="32"/>
          <w:rtl/>
        </w:rPr>
        <w:t>شرح الممتع</w:t>
      </w:r>
      <w:r>
        <w:rPr>
          <w:rFonts w:ascii="Traditional Arabic" w:hAnsi="Traditional Arabic"/>
          <w:sz w:val="32"/>
          <w:szCs w:val="32"/>
          <w:rtl/>
        </w:rPr>
        <w:t xml:space="preserve"> (10/135-136)</w:t>
      </w:r>
      <w:r>
        <w:rPr>
          <w:rFonts w:ascii="Traditional Arabic" w:hAnsi="Traditional Arabic" w:hint="cs"/>
          <w:sz w:val="32"/>
          <w:szCs w:val="32"/>
          <w:rtl/>
        </w:rPr>
        <w:t>.</w:t>
      </w:r>
    </w:p>
  </w:footnote>
  <w:footnote w:id="2136">
    <w:p w:rsidR="000D3D21" w:rsidRPr="0024511F" w:rsidRDefault="000D3D21" w:rsidP="007868F9">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4511F">
        <w:rPr>
          <w:rFonts w:ascii="Traditional Arabic" w:hAnsi="Traditional Arabic"/>
          <w:sz w:val="32"/>
          <w:szCs w:val="32"/>
          <w:rtl/>
        </w:rPr>
        <w:t>انظر المرجع السابق (10/136)، والروض المربع (7/186).</w:t>
      </w:r>
    </w:p>
  </w:footnote>
  <w:footnote w:id="2137">
    <w:p w:rsidR="000D3D21" w:rsidRPr="00045F6E" w:rsidRDefault="000D3D21" w:rsidP="0078336F">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45F6E">
        <w:rPr>
          <w:rFonts w:ascii="Traditional Arabic" w:hAnsi="Traditional Arabic"/>
          <w:sz w:val="32"/>
          <w:szCs w:val="32"/>
          <w:rtl/>
        </w:rPr>
        <w:t>الشرح الممتع (10/119-120)، وفتح ذي الجلال والإكرام (4/209)، وانظر(10/179)، و(12/314)، والتعليق على القواعد والأصول الجامعة (140).</w:t>
      </w:r>
    </w:p>
    <w:p w:rsidR="000D3D21" w:rsidRDefault="000D3D21" w:rsidP="0078336F">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045F6E">
        <w:rPr>
          <w:rFonts w:ascii="Traditional Arabic" w:hAnsi="Traditional Arabic"/>
          <w:sz w:val="32"/>
          <w:szCs w:val="32"/>
          <w:rtl/>
        </w:rPr>
        <w:t>وانظر: قواعد الأحكام في إصلاح الأنام (2/325)، والأشباه والنظائر لابن الس</w:t>
      </w:r>
      <w:r>
        <w:rPr>
          <w:rFonts w:ascii="Traditional Arabic" w:hAnsi="Traditional Arabic"/>
          <w:sz w:val="32"/>
          <w:szCs w:val="32"/>
          <w:rtl/>
        </w:rPr>
        <w:t>بكي (1/303)، والمنثور</w:t>
      </w:r>
      <w:r>
        <w:rPr>
          <w:rFonts w:ascii="Traditional Arabic" w:hAnsi="Traditional Arabic" w:hint="cs"/>
          <w:sz w:val="32"/>
          <w:szCs w:val="32"/>
          <w:rtl/>
        </w:rPr>
        <w:t xml:space="preserve"> للزركشي</w:t>
      </w:r>
      <w:r w:rsidRPr="00045F6E">
        <w:rPr>
          <w:rFonts w:ascii="Traditional Arabic" w:hAnsi="Traditional Arabic"/>
          <w:sz w:val="32"/>
          <w:szCs w:val="32"/>
          <w:rtl/>
        </w:rPr>
        <w:t xml:space="preserve"> (335، 336)، ومختصر من قواعد العلائي وكلام الإسنوي (1/361)، والأشباه والنظائر للسيوطي (356)، ومجموع الفتاوى لابن تيمية (20/563، 564، 566)، وإعلام الموقعين (3/231-232)، والقواعد والأصول الجامعة (68)، والقواعد الفقهية وتطبيقاتها في المذاهب الأربعة (2/786). </w:t>
      </w:r>
    </w:p>
    <w:p w:rsidR="000D3D21" w:rsidRPr="00BF6565" w:rsidRDefault="000D3D21" w:rsidP="0078336F">
      <w:pPr>
        <w:pStyle w:val="a7"/>
        <w:pageBreakBefore/>
        <w:rPr>
          <w:rFonts w:ascii="Traditional Arabic" w:hAnsi="Traditional Arabic"/>
          <w:sz w:val="32"/>
          <w:szCs w:val="32"/>
        </w:rPr>
      </w:pPr>
      <w:r>
        <w:rPr>
          <w:rFonts w:ascii="Traditional Arabic" w:hAnsi="Traditional Arabic" w:hint="cs"/>
          <w:b/>
          <w:bCs/>
          <w:sz w:val="32"/>
          <w:szCs w:val="32"/>
          <w:rtl/>
        </w:rPr>
        <w:t xml:space="preserve">      تنبيه: </w:t>
      </w:r>
      <w:r>
        <w:rPr>
          <w:rFonts w:ascii="Traditional Arabic" w:hAnsi="Traditional Arabic" w:hint="cs"/>
          <w:sz w:val="32"/>
          <w:szCs w:val="32"/>
          <w:rtl/>
        </w:rPr>
        <w:t xml:space="preserve">تبين لي بعد دراسة الضابط وتطبيقاته أنه قاعدة فقهية، وأن محلَّه الباب الأول في الفصل المتعلق بقواعد الضمان. انظر القواعد والضوابط الفقهية في الضمان المالي لحمد بن محمد الهاجري (2/437). </w:t>
      </w:r>
    </w:p>
  </w:footnote>
  <w:footnote w:id="2138">
    <w:p w:rsidR="000D3D21" w:rsidRPr="00045F6E"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45F6E">
        <w:rPr>
          <w:rFonts w:ascii="Traditional Arabic" w:hAnsi="Traditional Arabic"/>
          <w:sz w:val="32"/>
          <w:szCs w:val="32"/>
          <w:rtl/>
        </w:rPr>
        <w:t xml:space="preserve">المصباح المنير </w:t>
      </w:r>
      <w:r>
        <w:rPr>
          <w:rFonts w:ascii="Traditional Arabic" w:hAnsi="Traditional Arabic" w:hint="cs"/>
          <w:sz w:val="32"/>
          <w:szCs w:val="32"/>
          <w:rtl/>
        </w:rPr>
        <w:t>(424)</w:t>
      </w:r>
      <w:r w:rsidRPr="00045F6E">
        <w:rPr>
          <w:rFonts w:ascii="Traditional Arabic" w:hAnsi="Traditional Arabic"/>
          <w:sz w:val="32"/>
          <w:szCs w:val="32"/>
          <w:rtl/>
        </w:rPr>
        <w:t>.</w:t>
      </w:r>
    </w:p>
  </w:footnote>
  <w:footnote w:id="2139">
    <w:p w:rsidR="000D3D21" w:rsidRPr="00045F6E"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45F6E">
        <w:rPr>
          <w:rFonts w:ascii="Traditional Arabic" w:hAnsi="Traditional Arabic"/>
          <w:sz w:val="32"/>
          <w:szCs w:val="32"/>
          <w:rtl/>
        </w:rPr>
        <w:t>مقاييس اللغة (5/296).</w:t>
      </w:r>
    </w:p>
  </w:footnote>
  <w:footnote w:id="2140">
    <w:p w:rsidR="000D3D21" w:rsidRPr="00045F6E"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45F6E">
        <w:rPr>
          <w:rFonts w:ascii="Traditional Arabic" w:hAnsi="Traditional Arabic"/>
          <w:sz w:val="32"/>
          <w:szCs w:val="32"/>
          <w:rtl/>
        </w:rPr>
        <w:t>انظر القواعد والضوابط الفقهية للمعاملات المالية عند ابن تيمية (1/302).</w:t>
      </w:r>
    </w:p>
  </w:footnote>
  <w:footnote w:id="2141">
    <w:p w:rsidR="000D3D21" w:rsidRPr="00045F6E"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45F6E">
        <w:rPr>
          <w:rFonts w:ascii="Traditional Arabic" w:hAnsi="Traditional Arabic"/>
          <w:sz w:val="32"/>
          <w:szCs w:val="32"/>
          <w:rtl/>
        </w:rPr>
        <w:t>الأشباه والنظائر للسيوطي (361).</w:t>
      </w:r>
    </w:p>
  </w:footnote>
  <w:footnote w:id="2142">
    <w:p w:rsidR="000D3D21" w:rsidRPr="00B9249E" w:rsidRDefault="000D3D21" w:rsidP="0078336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45F6E">
        <w:rPr>
          <w:rFonts w:ascii="Traditional Arabic" w:hAnsi="Traditional Arabic"/>
          <w:sz w:val="32"/>
          <w:szCs w:val="32"/>
          <w:rtl/>
        </w:rPr>
        <w:t xml:space="preserve">انظر شرح منتهى </w:t>
      </w:r>
      <w:r>
        <w:rPr>
          <w:rFonts w:ascii="Traditional Arabic" w:hAnsi="Traditional Arabic"/>
          <w:sz w:val="32"/>
          <w:szCs w:val="32"/>
          <w:rtl/>
        </w:rPr>
        <w:t>الإرادات لمنصور</w:t>
      </w:r>
      <w:r w:rsidRPr="00045F6E">
        <w:rPr>
          <w:rFonts w:ascii="Traditional Arabic" w:hAnsi="Traditional Arabic"/>
          <w:sz w:val="32"/>
          <w:szCs w:val="32"/>
          <w:rtl/>
        </w:rPr>
        <w:t xml:space="preserve"> البهوتي (4/158-159).</w:t>
      </w:r>
    </w:p>
  </w:footnote>
  <w:footnote w:id="2143">
    <w:p w:rsidR="000D3D21" w:rsidRPr="001F6032"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6032">
        <w:rPr>
          <w:rFonts w:ascii="Traditional Arabic" w:hAnsi="Traditional Arabic"/>
          <w:sz w:val="32"/>
          <w:szCs w:val="32"/>
          <w:rtl/>
        </w:rPr>
        <w:t>مجلة الأحكام العدلية (المادة 145).</w:t>
      </w:r>
    </w:p>
  </w:footnote>
  <w:footnote w:id="2144">
    <w:p w:rsidR="000D3D21" w:rsidRPr="001F6032"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6032">
        <w:rPr>
          <w:rFonts w:ascii="Traditional Arabic" w:hAnsi="Traditional Arabic"/>
          <w:sz w:val="32"/>
          <w:szCs w:val="32"/>
          <w:rtl/>
        </w:rPr>
        <w:t>القواعد والأصول الجامعة (68).</w:t>
      </w:r>
    </w:p>
  </w:footnote>
  <w:footnote w:id="2145">
    <w:p w:rsidR="000D3D21" w:rsidRPr="001F6032"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6032">
        <w:rPr>
          <w:rFonts w:ascii="Traditional Arabic" w:hAnsi="Traditional Arabic"/>
          <w:sz w:val="32"/>
          <w:szCs w:val="32"/>
          <w:rtl/>
        </w:rPr>
        <w:t>الشرح الممتع (10/121).</w:t>
      </w:r>
    </w:p>
  </w:footnote>
  <w:footnote w:id="2146">
    <w:p w:rsidR="000D3D21" w:rsidRPr="001F6032"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6032">
        <w:rPr>
          <w:rFonts w:ascii="Traditional Arabic" w:hAnsi="Traditional Arabic"/>
          <w:sz w:val="32"/>
          <w:szCs w:val="32"/>
          <w:rtl/>
        </w:rPr>
        <w:t>شرح منظومة أصول الفقه وقواعده (256)</w:t>
      </w:r>
      <w:r>
        <w:rPr>
          <w:rFonts w:ascii="Traditional Arabic" w:hAnsi="Traditional Arabic" w:hint="cs"/>
          <w:sz w:val="32"/>
          <w:szCs w:val="32"/>
          <w:rtl/>
        </w:rPr>
        <w:t>، وانظر الشرح الممتع (9/106)، و(10/122، 177، 178)، و(12/274، 275)، وفتح ذي الجلال والإكرام (4/210)</w:t>
      </w:r>
      <w:r w:rsidRPr="001F6032">
        <w:rPr>
          <w:rFonts w:ascii="Traditional Arabic" w:hAnsi="Traditional Arabic"/>
          <w:sz w:val="32"/>
          <w:szCs w:val="32"/>
          <w:rtl/>
        </w:rPr>
        <w:t>.</w:t>
      </w:r>
    </w:p>
  </w:footnote>
  <w:footnote w:id="2147">
    <w:p w:rsidR="000D3D21" w:rsidRPr="001F6032"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6032">
        <w:rPr>
          <w:rFonts w:ascii="Traditional Arabic" w:hAnsi="Traditional Arabic"/>
          <w:sz w:val="32"/>
          <w:szCs w:val="32"/>
          <w:rtl/>
        </w:rPr>
        <w:t xml:space="preserve">معجم لغة الفقهاء </w:t>
      </w:r>
      <w:r>
        <w:rPr>
          <w:rFonts w:ascii="Traditional Arabic" w:hAnsi="Traditional Arabic" w:hint="cs"/>
          <w:sz w:val="32"/>
          <w:szCs w:val="32"/>
          <w:rtl/>
        </w:rPr>
        <w:t>(373) بتصرف</w:t>
      </w:r>
      <w:r w:rsidRPr="001F6032">
        <w:rPr>
          <w:rFonts w:ascii="Traditional Arabic" w:hAnsi="Traditional Arabic"/>
          <w:sz w:val="32"/>
          <w:szCs w:val="32"/>
          <w:rtl/>
        </w:rPr>
        <w:t>.</w:t>
      </w:r>
    </w:p>
  </w:footnote>
  <w:footnote w:id="2148">
    <w:p w:rsidR="000D3D21" w:rsidRPr="001F6032"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6032">
        <w:rPr>
          <w:rFonts w:ascii="Traditional Arabic" w:hAnsi="Traditional Arabic"/>
          <w:sz w:val="32"/>
          <w:szCs w:val="32"/>
          <w:rtl/>
        </w:rPr>
        <w:t>انظر القواعد والأصول الجامعة (68).</w:t>
      </w:r>
    </w:p>
  </w:footnote>
  <w:footnote w:id="2149">
    <w:p w:rsidR="000D3D21" w:rsidRPr="001F6032"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6032">
        <w:rPr>
          <w:rFonts w:ascii="Traditional Arabic" w:hAnsi="Traditional Arabic"/>
          <w:sz w:val="32"/>
          <w:szCs w:val="32"/>
          <w:rtl/>
        </w:rPr>
        <w:t>شرح منظومة أصول الفقه وقواعده (256</w:t>
      </w:r>
      <w:r>
        <w:rPr>
          <w:rFonts w:ascii="Traditional Arabic" w:hAnsi="Traditional Arabic"/>
          <w:sz w:val="32"/>
          <w:szCs w:val="32"/>
          <w:rtl/>
        </w:rPr>
        <w:t>)</w:t>
      </w:r>
      <w:r>
        <w:rPr>
          <w:rFonts w:ascii="Traditional Arabic" w:hAnsi="Traditional Arabic" w:hint="cs"/>
          <w:sz w:val="32"/>
          <w:szCs w:val="32"/>
          <w:rtl/>
        </w:rPr>
        <w:t>، وانظر الشرح الممتع (10/120)</w:t>
      </w:r>
      <w:r w:rsidRPr="001F6032">
        <w:rPr>
          <w:rFonts w:ascii="Traditional Arabic" w:hAnsi="Traditional Arabic"/>
          <w:sz w:val="32"/>
          <w:szCs w:val="32"/>
          <w:rtl/>
        </w:rPr>
        <w:t>.</w:t>
      </w:r>
    </w:p>
  </w:footnote>
  <w:footnote w:id="2150">
    <w:p w:rsidR="000D3D21" w:rsidRPr="002F3CF3" w:rsidRDefault="000D3D21" w:rsidP="0078336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6032">
        <w:rPr>
          <w:rFonts w:ascii="Traditional Arabic" w:hAnsi="Traditional Arabic"/>
          <w:sz w:val="32"/>
          <w:szCs w:val="32"/>
          <w:rtl/>
        </w:rPr>
        <w:t>التعليق على القواعد والأصول الجامعة (140)</w:t>
      </w:r>
      <w:r>
        <w:rPr>
          <w:rFonts w:ascii="Traditional Arabic" w:hAnsi="Traditional Arabic" w:hint="cs"/>
          <w:sz w:val="32"/>
          <w:szCs w:val="32"/>
          <w:rtl/>
        </w:rPr>
        <w:t>.</w:t>
      </w:r>
    </w:p>
  </w:footnote>
  <w:footnote w:id="2151">
    <w:p w:rsidR="000D3D21" w:rsidRPr="001F6032"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انظر الشرح الممتع (10/179)، و</w:t>
      </w:r>
      <w:r w:rsidRPr="001F6032">
        <w:rPr>
          <w:rFonts w:ascii="Traditional Arabic" w:hAnsi="Traditional Arabic"/>
          <w:sz w:val="32"/>
          <w:szCs w:val="32"/>
          <w:rtl/>
        </w:rPr>
        <w:t>شرح منظومة القواعد والأصول لابن عثيمين لسعود بن عبد الله الغديان (122).</w:t>
      </w:r>
    </w:p>
  </w:footnote>
  <w:footnote w:id="2152">
    <w:p w:rsidR="000D3D21" w:rsidRPr="001F6032" w:rsidRDefault="000D3D21" w:rsidP="0078336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F6032">
        <w:rPr>
          <w:rFonts w:ascii="Traditional Arabic" w:hAnsi="Traditional Arabic"/>
          <w:sz w:val="32"/>
          <w:szCs w:val="32"/>
          <w:rtl/>
        </w:rPr>
        <w:t>التعليق على القواعد والأصول الجامعة (141).</w:t>
      </w:r>
    </w:p>
  </w:footnote>
  <w:footnote w:id="2153">
    <w:p w:rsidR="000D3D21" w:rsidRPr="00526971" w:rsidRDefault="000D3D21" w:rsidP="0078336F">
      <w:pPr>
        <w:pStyle w:val="a7"/>
        <w:pageBreakBefore/>
        <w:rPr>
          <w:rFonts w:ascii="Tahoma" w:hAnsi="Tahoma"/>
          <w:sz w:val="32"/>
          <w:szCs w:val="32"/>
        </w:rPr>
      </w:pPr>
      <w:r w:rsidRPr="00526971">
        <w:rPr>
          <w:rFonts w:ascii="Tahoma" w:hAnsi="Tahoma"/>
          <w:sz w:val="32"/>
          <w:szCs w:val="32"/>
          <w:rtl/>
        </w:rPr>
        <w:t>(</w:t>
      </w:r>
      <w:r w:rsidRPr="00526971">
        <w:rPr>
          <w:rStyle w:val="af1"/>
          <w:rFonts w:ascii="Tahoma" w:hAnsi="Tahoma"/>
          <w:sz w:val="32"/>
          <w:szCs w:val="32"/>
          <w:vertAlign w:val="baseline"/>
          <w:rtl/>
        </w:rPr>
        <w:footnoteRef/>
      </w:r>
      <w:r w:rsidRPr="00526971">
        <w:rPr>
          <w:rFonts w:ascii="Tahoma" w:hAnsi="Tahoma"/>
          <w:sz w:val="32"/>
          <w:szCs w:val="32"/>
          <w:rtl/>
        </w:rPr>
        <w:t>)</w:t>
      </w:r>
      <w:r>
        <w:rPr>
          <w:rFonts w:ascii="Tahoma" w:hAnsi="Tahoma" w:hint="cs"/>
          <w:sz w:val="32"/>
          <w:szCs w:val="32"/>
          <w:rtl/>
        </w:rPr>
        <w:t xml:space="preserve"> </w:t>
      </w:r>
      <w:r w:rsidRPr="00526971">
        <w:rPr>
          <w:rFonts w:ascii="Tahoma" w:hAnsi="Tahoma" w:hint="cs"/>
          <w:sz w:val="32"/>
          <w:szCs w:val="32"/>
          <w:rtl/>
        </w:rPr>
        <w:t>انظر: تفسير سورة البقرة لابن عثيمين</w:t>
      </w:r>
      <w:r>
        <w:rPr>
          <w:rFonts w:ascii="Tahoma" w:hAnsi="Tahoma" w:hint="cs"/>
          <w:sz w:val="32"/>
          <w:szCs w:val="32"/>
          <w:rtl/>
        </w:rPr>
        <w:t xml:space="preserve"> (2/385)</w:t>
      </w:r>
      <w:r w:rsidRPr="00526971">
        <w:rPr>
          <w:rFonts w:ascii="Tahoma" w:hAnsi="Tahoma" w:hint="cs"/>
          <w:sz w:val="32"/>
          <w:szCs w:val="32"/>
          <w:rtl/>
        </w:rPr>
        <w:t>، ومجموع الفتاوى لابن تيمية (20/564)، والقواعد والضوابط الفقهية للمعاملات المالية عند ابن تيمية (1/308).</w:t>
      </w:r>
    </w:p>
  </w:footnote>
  <w:footnote w:id="2154">
    <w:p w:rsidR="000D3D21" w:rsidRPr="003A1AA9" w:rsidRDefault="000D3D21" w:rsidP="0078336F">
      <w:pPr>
        <w:pStyle w:val="a7"/>
        <w:pageBreakBefore/>
        <w:rPr>
          <w:rFonts w:ascii="Traditional Arabic" w:hAnsi="Traditional Arabic"/>
          <w:color w:val="auto"/>
          <w:sz w:val="32"/>
          <w:szCs w:val="32"/>
        </w:rPr>
      </w:pPr>
      <w:r w:rsidRPr="00451907">
        <w:rPr>
          <w:rFonts w:ascii="Traditional Arabic" w:hAnsi="Traditional Arabic"/>
          <w:color w:val="auto"/>
          <w:sz w:val="32"/>
          <w:szCs w:val="32"/>
          <w:rtl/>
        </w:rPr>
        <w:t>(</w:t>
      </w:r>
      <w:r w:rsidRPr="00451907">
        <w:rPr>
          <w:rStyle w:val="af1"/>
          <w:rFonts w:ascii="Traditional Arabic" w:hAnsi="Traditional Arabic"/>
          <w:color w:val="auto"/>
          <w:sz w:val="32"/>
          <w:szCs w:val="32"/>
          <w:vertAlign w:val="baseline"/>
          <w:rtl/>
        </w:rPr>
        <w:footnoteRef/>
      </w:r>
      <w:r w:rsidRPr="00451907">
        <w:rPr>
          <w:rFonts w:ascii="Traditional Arabic" w:hAnsi="Traditional Arabic"/>
          <w:color w:val="auto"/>
          <w:sz w:val="32"/>
          <w:szCs w:val="32"/>
          <w:rtl/>
        </w:rPr>
        <w:t>)</w:t>
      </w:r>
      <w:r>
        <w:rPr>
          <w:rFonts w:ascii="Traditional Arabic" w:hAnsi="Traditional Arabic" w:hint="cs"/>
          <w:noProof w:val="0"/>
          <w:color w:val="auto"/>
          <w:sz w:val="32"/>
          <w:szCs w:val="32"/>
          <w:rtl/>
          <w:lang w:eastAsia="en-US"/>
        </w:rPr>
        <w:t xml:space="preserve"> تقدم تخريجه.</w:t>
      </w:r>
    </w:p>
  </w:footnote>
  <w:footnote w:id="2155">
    <w:p w:rsidR="000D3D21" w:rsidRPr="005744B6" w:rsidRDefault="000D3D21" w:rsidP="0078336F">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744B6">
        <w:rPr>
          <w:rFonts w:ascii="Traditional Arabic" w:hAnsi="Traditional Arabic"/>
          <w:sz w:val="32"/>
          <w:szCs w:val="32"/>
          <w:rtl/>
        </w:rPr>
        <w:t>انظر الشرح الممتع (9/106)، و(10/120، 121)، وفتح ذي الجلال والإكرام (4/210).</w:t>
      </w:r>
    </w:p>
  </w:footnote>
  <w:footnote w:id="2156">
    <w:p w:rsidR="000D3D21" w:rsidRPr="005744B6"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تقدم تخريجه.</w:t>
      </w:r>
    </w:p>
  </w:footnote>
  <w:footnote w:id="2157">
    <w:p w:rsidR="000D3D21" w:rsidRPr="005744B6"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744B6">
        <w:rPr>
          <w:rFonts w:ascii="Traditional Arabic" w:hAnsi="Traditional Arabic"/>
          <w:sz w:val="32"/>
          <w:szCs w:val="32"/>
          <w:rtl/>
        </w:rPr>
        <w:t>انظر: الشرح الممتع (9/106)، وإعلام الموقعين (3/231).</w:t>
      </w:r>
    </w:p>
  </w:footnote>
  <w:footnote w:id="2158">
    <w:p w:rsidR="000D3D21" w:rsidRPr="005744B6"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744B6">
        <w:rPr>
          <w:rFonts w:ascii="Traditional Arabic" w:hAnsi="Traditional Arabic"/>
          <w:sz w:val="32"/>
          <w:szCs w:val="32"/>
          <w:rtl/>
        </w:rPr>
        <w:t>شرح منظومة أصول الفقه وقواعده (257)بتصرف.</w:t>
      </w:r>
    </w:p>
  </w:footnote>
  <w:footnote w:id="2159">
    <w:p w:rsidR="000D3D21" w:rsidRPr="00052480" w:rsidRDefault="000D3D21" w:rsidP="0078336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744B6">
        <w:rPr>
          <w:rFonts w:ascii="Traditional Arabic" w:hAnsi="Traditional Arabic"/>
          <w:sz w:val="32"/>
          <w:szCs w:val="32"/>
          <w:rtl/>
        </w:rPr>
        <w:t>الشرح الممتع (10/120</w:t>
      </w:r>
      <w:r>
        <w:rPr>
          <w:rFonts w:ascii="Traditional Arabic" w:hAnsi="Traditional Arabic"/>
          <w:sz w:val="32"/>
          <w:szCs w:val="32"/>
          <w:rtl/>
        </w:rPr>
        <w:t>) بتصرف</w:t>
      </w:r>
      <w:r>
        <w:rPr>
          <w:rFonts w:ascii="Traditional Arabic" w:hAnsi="Traditional Arabic" w:hint="cs"/>
          <w:sz w:val="32"/>
          <w:szCs w:val="32"/>
          <w:rtl/>
        </w:rPr>
        <w:t>.</w:t>
      </w:r>
    </w:p>
  </w:footnote>
  <w:footnote w:id="2160">
    <w:p w:rsidR="000D3D21" w:rsidRPr="005744B6"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w:t>
      </w:r>
      <w:r>
        <w:rPr>
          <w:rFonts w:ascii="Traditional Arabic" w:hAnsi="Traditional Arabic"/>
          <w:sz w:val="32"/>
          <w:szCs w:val="32"/>
          <w:rtl/>
        </w:rPr>
        <w:t>ل</w:t>
      </w:r>
      <w:r>
        <w:rPr>
          <w:rFonts w:ascii="Traditional Arabic" w:hAnsi="Traditional Arabic" w:hint="cs"/>
          <w:sz w:val="32"/>
          <w:szCs w:val="32"/>
          <w:rtl/>
        </w:rPr>
        <w:t>علة في ذلك</w:t>
      </w:r>
      <w:r w:rsidRPr="005744B6">
        <w:rPr>
          <w:rFonts w:ascii="Traditional Arabic" w:hAnsi="Traditional Arabic"/>
          <w:sz w:val="32"/>
          <w:szCs w:val="32"/>
          <w:rtl/>
        </w:rPr>
        <w:t xml:space="preserve"> </w:t>
      </w:r>
      <w:r>
        <w:rPr>
          <w:rFonts w:ascii="Traditional Arabic" w:hAnsi="Traditional Arabic" w:hint="cs"/>
          <w:sz w:val="32"/>
          <w:szCs w:val="32"/>
          <w:rtl/>
        </w:rPr>
        <w:t xml:space="preserve">أن </w:t>
      </w:r>
      <w:r w:rsidRPr="005744B6">
        <w:rPr>
          <w:rFonts w:ascii="Traditional Arabic" w:hAnsi="Traditional Arabic"/>
          <w:sz w:val="32"/>
          <w:szCs w:val="32"/>
          <w:rtl/>
        </w:rPr>
        <w:t xml:space="preserve">الفنجال على المذهب ليس مثليا؛ لأنه ليس مكيلا ولا موزونا، وفيه صناعة مباحة، والمثلي في المذهب هو كل مكيل أو موزون، لا صناعةَ فيه مباحة، يصح السَّلم فيه.انظر: شرح منظومة أصول الفقه وقواعده (255-257)، وشرح منتهى الإرادات للبهوتي (4/158-159). </w:t>
      </w:r>
    </w:p>
  </w:footnote>
  <w:footnote w:id="2161">
    <w:p w:rsidR="000D3D21" w:rsidRPr="00450809" w:rsidRDefault="000D3D21" w:rsidP="0078336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5744B6">
        <w:rPr>
          <w:rFonts w:ascii="Traditional Arabic" w:hAnsi="Traditional Arabic"/>
          <w:sz w:val="32"/>
          <w:szCs w:val="32"/>
          <w:rtl/>
        </w:rPr>
        <w:t>الشرح الممتع (10/177-178)</w:t>
      </w:r>
      <w:r>
        <w:rPr>
          <w:rFonts w:ascii="Traditional Arabic" w:hAnsi="Traditional Arabic" w:hint="cs"/>
          <w:sz w:val="32"/>
          <w:szCs w:val="32"/>
          <w:rtl/>
        </w:rPr>
        <w:t xml:space="preserve"> </w:t>
      </w:r>
      <w:r w:rsidRPr="005744B6">
        <w:rPr>
          <w:rFonts w:ascii="Traditional Arabic" w:hAnsi="Traditional Arabic"/>
          <w:sz w:val="32"/>
          <w:szCs w:val="32"/>
          <w:rtl/>
        </w:rPr>
        <w:t>بتصرف.</w:t>
      </w:r>
    </w:p>
  </w:footnote>
  <w:footnote w:id="2162">
    <w:p w:rsidR="000D3D21" w:rsidRPr="00FD490A"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لأن المسجل ليس مثليا</w:t>
      </w:r>
      <w:r>
        <w:rPr>
          <w:rFonts w:ascii="Traditional Arabic" w:hAnsi="Traditional Arabic" w:hint="cs"/>
          <w:sz w:val="32"/>
          <w:szCs w:val="32"/>
          <w:rtl/>
        </w:rPr>
        <w:t xml:space="preserve"> </w:t>
      </w:r>
      <w:r w:rsidRPr="00FD490A">
        <w:rPr>
          <w:rFonts w:ascii="Traditional Arabic" w:hAnsi="Traditional Arabic"/>
          <w:sz w:val="32"/>
          <w:szCs w:val="32"/>
          <w:rtl/>
        </w:rPr>
        <w:t>على المذهب.</w:t>
      </w:r>
    </w:p>
  </w:footnote>
  <w:footnote w:id="2163">
    <w:p w:rsidR="000D3D21" w:rsidRPr="00FD490A" w:rsidRDefault="000D3D21" w:rsidP="0078336F">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D490A">
        <w:rPr>
          <w:rFonts w:ascii="Traditional Arabic" w:hAnsi="Traditional Arabic"/>
          <w:sz w:val="32"/>
          <w:szCs w:val="32"/>
          <w:rtl/>
        </w:rPr>
        <w:t>انظر الشرح الممتع (12/274).</w:t>
      </w:r>
    </w:p>
  </w:footnote>
  <w:footnote w:id="2164">
    <w:p w:rsidR="000D3D21" w:rsidRPr="00FD490A" w:rsidRDefault="000D3D21" w:rsidP="006E1F02">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FD490A">
        <w:rPr>
          <w:rFonts w:ascii="Traditional Arabic" w:hAnsi="Traditional Arabic"/>
          <w:b/>
          <w:bCs/>
          <w:sz w:val="32"/>
          <w:szCs w:val="32"/>
          <w:rtl/>
        </w:rPr>
        <w:t>المفازة</w:t>
      </w:r>
      <w:r w:rsidR="00AB0B9E">
        <w:rPr>
          <w:rFonts w:ascii="Traditional Arabic" w:hAnsi="Traditional Arabic"/>
          <w:b/>
          <w:bCs/>
          <w:sz w:val="32"/>
          <w:szCs w:val="32"/>
          <w:rtl/>
        </w:rPr>
        <w:fldChar w:fldCharType="begin"/>
      </w:r>
      <w:r>
        <w:instrText xml:space="preserve"> XE "</w:instrText>
      </w:r>
      <w:r w:rsidRPr="006E1F02">
        <w:rPr>
          <w:rFonts w:ascii="Traditional Arabic" w:hAnsi="Traditional Arabic"/>
          <w:sz w:val="32"/>
          <w:szCs w:val="32"/>
          <w:rtl/>
        </w:rPr>
        <w:instrText>المفازة</w:instrText>
      </w:r>
      <w:r>
        <w:instrText xml:space="preserve">" </w:instrText>
      </w:r>
      <w:r w:rsidRPr="006E1F02">
        <w:instrText xml:space="preserve">\fm </w:instrText>
      </w:r>
      <w:r w:rsidR="00AB0B9E">
        <w:rPr>
          <w:rFonts w:ascii="Traditional Arabic" w:hAnsi="Traditional Arabic"/>
          <w:b/>
          <w:bCs/>
          <w:sz w:val="32"/>
          <w:szCs w:val="32"/>
          <w:rtl/>
        </w:rPr>
        <w:fldChar w:fldCharType="end"/>
      </w:r>
      <w:r w:rsidRPr="00FD490A">
        <w:rPr>
          <w:rFonts w:ascii="Traditional Arabic" w:hAnsi="Traditional Arabic"/>
          <w:b/>
          <w:bCs/>
          <w:sz w:val="32"/>
          <w:szCs w:val="32"/>
          <w:rtl/>
        </w:rPr>
        <w:t>:</w:t>
      </w:r>
      <w:r>
        <w:rPr>
          <w:rFonts w:ascii="Traditional Arabic" w:hAnsi="Traditional Arabic" w:hint="cs"/>
          <w:noProof w:val="0"/>
          <w:sz w:val="32"/>
          <w:szCs w:val="32"/>
          <w:rtl/>
          <w:lang w:eastAsia="en-US"/>
        </w:rPr>
        <w:t xml:space="preserve"> </w:t>
      </w:r>
      <w:r w:rsidRPr="00FD490A">
        <w:rPr>
          <w:rFonts w:ascii="Traditional Arabic" w:hAnsi="Traditional Arabic"/>
          <w:noProof w:val="0"/>
          <w:sz w:val="32"/>
          <w:szCs w:val="32"/>
          <w:rtl/>
          <w:lang w:eastAsia="en-US"/>
        </w:rPr>
        <w:t>الموضع ال</w:t>
      </w:r>
      <w:r>
        <w:rPr>
          <w:rFonts w:ascii="Traditional Arabic" w:hAnsi="Traditional Arabic" w:hint="cs"/>
          <w:noProof w:val="0"/>
          <w:sz w:val="32"/>
          <w:szCs w:val="32"/>
          <w:rtl/>
          <w:lang w:eastAsia="en-US"/>
        </w:rPr>
        <w:t>ْ</w:t>
      </w:r>
      <w:r w:rsidRPr="00FD490A">
        <w:rPr>
          <w:rFonts w:ascii="Traditional Arabic" w:hAnsi="Traditional Arabic"/>
          <w:noProof w:val="0"/>
          <w:sz w:val="32"/>
          <w:szCs w:val="32"/>
          <w:rtl/>
          <w:lang w:eastAsia="en-US"/>
        </w:rPr>
        <w:t>م</w:t>
      </w:r>
      <w:r>
        <w:rPr>
          <w:rFonts w:ascii="Traditional Arabic" w:hAnsi="Traditional Arabic" w:hint="cs"/>
          <w:noProof w:val="0"/>
          <w:sz w:val="32"/>
          <w:szCs w:val="32"/>
          <w:rtl/>
          <w:lang w:eastAsia="en-US"/>
        </w:rPr>
        <w:t>ُ</w:t>
      </w:r>
      <w:r w:rsidRPr="00FD490A">
        <w:rPr>
          <w:rFonts w:ascii="Traditional Arabic" w:hAnsi="Traditional Arabic"/>
          <w:noProof w:val="0"/>
          <w:sz w:val="32"/>
          <w:szCs w:val="32"/>
          <w:rtl/>
          <w:lang w:eastAsia="en-US"/>
        </w:rPr>
        <w:t>هلِك، مأخوذة من فوَّز، إذا مات؛ لأنها مظنة الموت، وقيل: مِن فاز، إذا نجا وسلِم، وسميت به تفاؤلاً بالسلامة.</w:t>
      </w:r>
      <w:r>
        <w:rPr>
          <w:rFonts w:ascii="Traditional Arabic" w:hAnsi="Traditional Arabic" w:hint="cs"/>
          <w:noProof w:val="0"/>
          <w:sz w:val="32"/>
          <w:szCs w:val="32"/>
          <w:rtl/>
          <w:lang w:eastAsia="en-US"/>
        </w:rPr>
        <w:t xml:space="preserve"> </w:t>
      </w:r>
      <w:r w:rsidRPr="00FD490A">
        <w:rPr>
          <w:rFonts w:ascii="Traditional Arabic" w:hAnsi="Traditional Arabic"/>
          <w:noProof w:val="0"/>
          <w:sz w:val="32"/>
          <w:szCs w:val="32"/>
          <w:rtl/>
          <w:lang w:eastAsia="en-US"/>
        </w:rPr>
        <w:t xml:space="preserve">المصباح المنير </w:t>
      </w:r>
      <w:r>
        <w:rPr>
          <w:rFonts w:ascii="Traditional Arabic" w:hAnsi="Traditional Arabic" w:hint="cs"/>
          <w:noProof w:val="0"/>
          <w:sz w:val="32"/>
          <w:szCs w:val="32"/>
          <w:rtl/>
          <w:lang w:eastAsia="en-US"/>
        </w:rPr>
        <w:t>(393)</w:t>
      </w:r>
      <w:r w:rsidRPr="00FD490A">
        <w:rPr>
          <w:rFonts w:ascii="Traditional Arabic" w:hAnsi="Traditional Arabic"/>
          <w:noProof w:val="0"/>
          <w:sz w:val="32"/>
          <w:szCs w:val="32"/>
          <w:rtl/>
          <w:lang w:eastAsia="en-US"/>
        </w:rPr>
        <w:t>.</w:t>
      </w:r>
    </w:p>
  </w:footnote>
  <w:footnote w:id="2165">
    <w:p w:rsidR="000D3D21" w:rsidRPr="00FD490A" w:rsidRDefault="000D3D21" w:rsidP="0078336F">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D490A">
        <w:rPr>
          <w:rFonts w:ascii="Traditional Arabic" w:hAnsi="Traditional Arabic"/>
          <w:sz w:val="32"/>
          <w:szCs w:val="32"/>
          <w:rtl/>
        </w:rPr>
        <w:t>الشرح الممتع (10/179)</w:t>
      </w:r>
      <w:r>
        <w:rPr>
          <w:rFonts w:ascii="Traditional Arabic" w:hAnsi="Traditional Arabic" w:hint="cs"/>
          <w:sz w:val="32"/>
          <w:szCs w:val="32"/>
          <w:rtl/>
        </w:rPr>
        <w:t xml:space="preserve"> </w:t>
      </w:r>
      <w:r>
        <w:rPr>
          <w:rFonts w:ascii="Traditional Arabic" w:hAnsi="Traditional Arabic"/>
          <w:sz w:val="32"/>
          <w:szCs w:val="32"/>
          <w:rtl/>
        </w:rPr>
        <w:t>بتصرف</w:t>
      </w:r>
      <w:r>
        <w:rPr>
          <w:rFonts w:ascii="Traditional Arabic" w:hAnsi="Traditional Arabic" w:hint="cs"/>
          <w:sz w:val="32"/>
          <w:szCs w:val="32"/>
          <w:rtl/>
        </w:rPr>
        <w:t>.</w:t>
      </w:r>
    </w:p>
  </w:footnote>
  <w:footnote w:id="2166">
    <w:p w:rsidR="000D3D21" w:rsidRDefault="000D3D21" w:rsidP="00AA224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65366">
        <w:rPr>
          <w:rFonts w:ascii="Traditional Arabic" w:hAnsi="Traditional Arabic"/>
          <w:sz w:val="32"/>
          <w:szCs w:val="32"/>
          <w:rtl/>
        </w:rPr>
        <w:t>الشرح الممتع (9/215).</w:t>
      </w:r>
    </w:p>
    <w:p w:rsidR="000D3D21" w:rsidRPr="00B65366" w:rsidRDefault="000D3D21" w:rsidP="00AA2246">
      <w:pPr>
        <w:pStyle w:val="a7"/>
        <w:pageBreakBefore/>
        <w:rPr>
          <w:rFonts w:ascii="Traditional Arabic" w:hAnsi="Traditional Arabic"/>
          <w:sz w:val="32"/>
          <w:szCs w:val="32"/>
        </w:rPr>
      </w:pPr>
      <w:r>
        <w:rPr>
          <w:rFonts w:ascii="Traditional Arabic" w:hAnsi="Traditional Arabic" w:hint="cs"/>
          <w:sz w:val="32"/>
          <w:szCs w:val="32"/>
          <w:rtl/>
        </w:rPr>
        <w:t xml:space="preserve">     وانظر الأشباه والنظائر للسيوطي (170)، وإيضاح القواعد الفقهية للحجي (89)، والقواعد الفقهية وتطبيقاتها على المذاهب الأربعة (2/939).</w:t>
      </w:r>
    </w:p>
  </w:footnote>
  <w:footnote w:id="2167">
    <w:p w:rsidR="000D3D21" w:rsidRPr="00B65366" w:rsidRDefault="000D3D21" w:rsidP="00AA224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65366">
        <w:rPr>
          <w:rFonts w:ascii="Traditional Arabic" w:hAnsi="Traditional Arabic"/>
          <w:sz w:val="32"/>
          <w:szCs w:val="32"/>
          <w:rtl/>
        </w:rPr>
        <w:t>مقاييس اللغة (6/129)،</w:t>
      </w:r>
      <w:r>
        <w:rPr>
          <w:rFonts w:ascii="Traditional Arabic" w:hAnsi="Traditional Arabic" w:hint="cs"/>
          <w:sz w:val="32"/>
          <w:szCs w:val="32"/>
          <w:rtl/>
        </w:rPr>
        <w:t xml:space="preserve"> </w:t>
      </w:r>
      <w:r w:rsidRPr="00B65366">
        <w:rPr>
          <w:rFonts w:ascii="Traditional Arabic" w:hAnsi="Traditional Arabic"/>
          <w:sz w:val="32"/>
          <w:szCs w:val="32"/>
          <w:rtl/>
        </w:rPr>
        <w:t>وانظر لسان العرب (6/4887).</w:t>
      </w:r>
    </w:p>
  </w:footnote>
  <w:footnote w:id="2168">
    <w:p w:rsidR="000D3D21" w:rsidRPr="006F5A75" w:rsidRDefault="000D3D21" w:rsidP="00AA224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B65366">
        <w:rPr>
          <w:rFonts w:ascii="Traditional Arabic" w:hAnsi="Traditional Arabic"/>
          <w:sz w:val="32"/>
          <w:szCs w:val="32"/>
          <w:rtl/>
        </w:rPr>
        <w:t>انظر الشرح الممتع (9/215)، وفتح ذي الجلال والإكرام (4/146، 150).</w:t>
      </w:r>
    </w:p>
  </w:footnote>
  <w:footnote w:id="2169">
    <w:p w:rsidR="000D3D21" w:rsidRPr="007F32BD" w:rsidRDefault="000D3D21" w:rsidP="00AA224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F32BD">
        <w:rPr>
          <w:rFonts w:ascii="Traditional Arabic" w:hAnsi="Traditional Arabic"/>
          <w:sz w:val="32"/>
          <w:szCs w:val="32"/>
          <w:rtl/>
        </w:rPr>
        <w:t>انظر الشرح الممتع (9/212).</w:t>
      </w:r>
    </w:p>
  </w:footnote>
  <w:footnote w:id="2170">
    <w:p w:rsidR="000D3D21" w:rsidRPr="00B1368D" w:rsidRDefault="000D3D21" w:rsidP="00AA224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F32BD">
        <w:rPr>
          <w:rFonts w:ascii="Traditional Arabic" w:hAnsi="Traditional Arabic"/>
          <w:sz w:val="32"/>
          <w:szCs w:val="32"/>
          <w:rtl/>
        </w:rPr>
        <w:t>المرجع السابق (9/214)</w:t>
      </w:r>
      <w:r>
        <w:rPr>
          <w:rFonts w:ascii="Traditional Arabic" w:hAnsi="Traditional Arabic" w:hint="cs"/>
          <w:sz w:val="32"/>
          <w:szCs w:val="32"/>
          <w:rtl/>
        </w:rPr>
        <w:t xml:space="preserve"> </w:t>
      </w:r>
      <w:r w:rsidRPr="007F32BD">
        <w:rPr>
          <w:rFonts w:ascii="Traditional Arabic" w:hAnsi="Traditional Arabic"/>
          <w:sz w:val="32"/>
          <w:szCs w:val="32"/>
          <w:rtl/>
        </w:rPr>
        <w:t>بتصرف</w:t>
      </w:r>
      <w:r>
        <w:rPr>
          <w:rFonts w:ascii="Traditional Arabic" w:hAnsi="Traditional Arabic" w:hint="cs"/>
          <w:sz w:val="32"/>
          <w:szCs w:val="32"/>
          <w:rtl/>
        </w:rPr>
        <w:t>.</w:t>
      </w:r>
    </w:p>
  </w:footnote>
  <w:footnote w:id="2171">
    <w:p w:rsidR="000D3D21" w:rsidRPr="00A27B7A" w:rsidRDefault="000D3D21" w:rsidP="00264398">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27B7A">
        <w:rPr>
          <w:rFonts w:ascii="Traditional Arabic" w:hAnsi="Traditional Arabic"/>
          <w:sz w:val="32"/>
          <w:szCs w:val="32"/>
          <w:rtl/>
        </w:rPr>
        <w:t>الشرح الممتع (9/329).</w:t>
      </w:r>
    </w:p>
    <w:p w:rsidR="000D3D21" w:rsidRDefault="000D3D21" w:rsidP="00264398">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A27B7A">
        <w:rPr>
          <w:rFonts w:ascii="Traditional Arabic" w:hAnsi="Traditional Arabic"/>
          <w:sz w:val="32"/>
          <w:szCs w:val="32"/>
          <w:rtl/>
        </w:rPr>
        <w:t>وانظر الأشباه والنظائر لابن السبكي (1/323)</w:t>
      </w:r>
      <w:r>
        <w:rPr>
          <w:rFonts w:ascii="Traditional Arabic" w:hAnsi="Traditional Arabic" w:hint="cs"/>
          <w:sz w:val="32"/>
          <w:szCs w:val="32"/>
          <w:rtl/>
        </w:rPr>
        <w:t>، ومختصر من كلام العلائي والأسنوي (316)، والأشباه والنظائر للسيوطي (463)</w:t>
      </w:r>
      <w:r w:rsidRPr="00A27B7A">
        <w:rPr>
          <w:rFonts w:ascii="Traditional Arabic" w:hAnsi="Traditional Arabic"/>
          <w:sz w:val="32"/>
          <w:szCs w:val="32"/>
          <w:rtl/>
        </w:rPr>
        <w:t>.</w:t>
      </w:r>
    </w:p>
    <w:p w:rsidR="000D3D21" w:rsidRPr="00A27B7A" w:rsidRDefault="000D3D21" w:rsidP="00264398">
      <w:pPr>
        <w:pStyle w:val="a7"/>
        <w:pageBreakBefore/>
        <w:rPr>
          <w:rFonts w:ascii="Traditional Arabic" w:hAnsi="Traditional Arabic"/>
          <w:sz w:val="32"/>
          <w:szCs w:val="32"/>
        </w:rPr>
      </w:pPr>
      <w:r>
        <w:rPr>
          <w:rFonts w:ascii="Traditional Arabic" w:hAnsi="Traditional Arabic" w:hint="cs"/>
          <w:b/>
          <w:bCs/>
          <w:sz w:val="32"/>
          <w:szCs w:val="32"/>
          <w:rtl/>
        </w:rPr>
        <w:t xml:space="preserve">      تنبيه: </w:t>
      </w:r>
      <w:r>
        <w:rPr>
          <w:rFonts w:ascii="Traditional Arabic" w:hAnsi="Traditional Arabic" w:hint="cs"/>
          <w:sz w:val="32"/>
          <w:szCs w:val="32"/>
          <w:rtl/>
        </w:rPr>
        <w:t xml:space="preserve">الذي يظهر من خلال النظر في تطبيقات الضابط أنه قاعدة فقهية؛ لشموله لأكثر من باب فقهي، والله أعلم. انظر القواعد والضوابط المتضمنة للتيسير (1/474). </w:t>
      </w:r>
    </w:p>
  </w:footnote>
  <w:footnote w:id="2172">
    <w:p w:rsidR="000D3D21" w:rsidRPr="00A27B7A"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27B7A">
        <w:rPr>
          <w:rFonts w:ascii="Traditional Arabic" w:hAnsi="Traditional Arabic"/>
          <w:sz w:val="32"/>
          <w:szCs w:val="32"/>
          <w:rtl/>
        </w:rPr>
        <w:t>مقاييس اللغة (3/342).</w:t>
      </w:r>
    </w:p>
  </w:footnote>
  <w:footnote w:id="2173">
    <w:p w:rsidR="000D3D21" w:rsidRPr="00A27B7A"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27B7A">
        <w:rPr>
          <w:rFonts w:ascii="Traditional Arabic" w:hAnsi="Traditional Arabic"/>
          <w:sz w:val="32"/>
          <w:szCs w:val="32"/>
          <w:rtl/>
        </w:rPr>
        <w:t>القاموس المحيط (3/157).</w:t>
      </w:r>
    </w:p>
  </w:footnote>
  <w:footnote w:id="2174">
    <w:p w:rsidR="000D3D21" w:rsidRPr="00A27B7A"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27B7A">
        <w:rPr>
          <w:rFonts w:ascii="Traditional Arabic" w:hAnsi="Traditional Arabic"/>
          <w:sz w:val="32"/>
          <w:szCs w:val="32"/>
          <w:rtl/>
        </w:rPr>
        <w:t>المعجم الوسيط (513).</w:t>
      </w:r>
    </w:p>
  </w:footnote>
  <w:footnote w:id="2175">
    <w:p w:rsidR="000D3D21" w:rsidRPr="00A27B7A"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27B7A">
        <w:rPr>
          <w:rFonts w:ascii="Traditional Arabic" w:hAnsi="Traditional Arabic"/>
          <w:sz w:val="32"/>
          <w:szCs w:val="32"/>
          <w:rtl/>
        </w:rPr>
        <w:t>الفقه الإسلامي وأدلته لوهبة الزحيلي (4/83).</w:t>
      </w:r>
    </w:p>
  </w:footnote>
  <w:footnote w:id="2176">
    <w:p w:rsidR="000D3D21" w:rsidRPr="00DF34E7" w:rsidRDefault="000D3D21" w:rsidP="00264398">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F34E7">
        <w:rPr>
          <w:rFonts w:ascii="Traditional Arabic" w:hAnsi="Traditional Arabic"/>
          <w:sz w:val="32"/>
          <w:szCs w:val="32"/>
          <w:rtl/>
        </w:rPr>
        <w:t>الشرح الممتع (9/326، 327).</w:t>
      </w:r>
    </w:p>
    <w:p w:rsidR="000D3D21" w:rsidRPr="00D315C2" w:rsidRDefault="000D3D21" w:rsidP="00D315C2">
      <w:pPr>
        <w:widowControl/>
        <w:autoSpaceDE w:val="0"/>
        <w:autoSpaceDN w:val="0"/>
        <w:adjustRightInd w:val="0"/>
        <w:ind w:firstLine="0"/>
        <w:jc w:val="left"/>
        <w:rPr>
          <w:rFonts w:ascii="Traditional Arabic" w:hAnsi="Traditional Arabic"/>
          <w:noProof w:val="0"/>
          <w:color w:val="auto"/>
          <w:sz w:val="32"/>
          <w:szCs w:val="32"/>
          <w:lang w:eastAsia="en-US"/>
        </w:rPr>
      </w:pPr>
      <w:r>
        <w:rPr>
          <w:rFonts w:ascii="Traditional Arabic" w:hAnsi="Traditional Arabic" w:hint="cs"/>
          <w:b/>
          <w:bCs/>
          <w:sz w:val="32"/>
          <w:szCs w:val="32"/>
          <w:rtl/>
        </w:rPr>
        <w:t xml:space="preserve">     </w:t>
      </w:r>
      <w:r w:rsidRPr="00DF34E7">
        <w:rPr>
          <w:rFonts w:ascii="Traditional Arabic" w:hAnsi="Traditional Arabic"/>
          <w:b/>
          <w:bCs/>
          <w:sz w:val="32"/>
          <w:szCs w:val="32"/>
          <w:rtl/>
        </w:rPr>
        <w:t xml:space="preserve">تنبيه: </w:t>
      </w:r>
      <w:r w:rsidRPr="00DF34E7">
        <w:rPr>
          <w:rFonts w:ascii="Traditional Arabic" w:hAnsi="Traditional Arabic"/>
          <w:sz w:val="32"/>
          <w:szCs w:val="32"/>
          <w:rtl/>
        </w:rPr>
        <w:t>ي</w:t>
      </w:r>
      <w:r>
        <w:rPr>
          <w:rFonts w:ascii="Traditional Arabic" w:hAnsi="Traditional Arabic" w:hint="cs"/>
          <w:sz w:val="32"/>
          <w:szCs w:val="32"/>
          <w:rtl/>
        </w:rPr>
        <w:t>ُ</w:t>
      </w:r>
      <w:r w:rsidRPr="00DF34E7">
        <w:rPr>
          <w:rFonts w:ascii="Traditional Arabic" w:hAnsi="Traditional Arabic"/>
          <w:sz w:val="32"/>
          <w:szCs w:val="32"/>
          <w:rtl/>
        </w:rPr>
        <w:t>شترط في الوكالة أن يكون الموكَّل فيه مما تدخله النيابة،</w:t>
      </w:r>
      <w:r>
        <w:rPr>
          <w:rFonts w:ascii="Traditional Arabic" w:hAnsi="Traditional Arabic" w:hint="cs"/>
          <w:sz w:val="32"/>
          <w:szCs w:val="32"/>
          <w:rtl/>
        </w:rPr>
        <w:t xml:space="preserve"> </w:t>
      </w:r>
      <w:r>
        <w:rPr>
          <w:rFonts w:ascii="Traditional Arabic" w:hAnsi="Traditional Arabic"/>
          <w:noProof w:val="0"/>
          <w:color w:val="auto"/>
          <w:sz w:val="32"/>
          <w:szCs w:val="32"/>
          <w:rtl/>
          <w:lang w:eastAsia="en-US"/>
        </w:rPr>
        <w:t xml:space="preserve">فلو وكل إنسانا أن يتوضأ </w:t>
      </w:r>
      <w:r w:rsidRPr="00DF34E7">
        <w:rPr>
          <w:rFonts w:ascii="Traditional Arabic" w:hAnsi="Traditional Arabic"/>
          <w:noProof w:val="0"/>
          <w:color w:val="auto"/>
          <w:sz w:val="32"/>
          <w:szCs w:val="32"/>
          <w:rtl/>
          <w:lang w:eastAsia="en-US"/>
        </w:rPr>
        <w:t>عنه</w:t>
      </w:r>
      <w:r>
        <w:rPr>
          <w:rFonts w:ascii="Traditional Arabic" w:hAnsi="Traditional Arabic" w:hint="cs"/>
          <w:noProof w:val="0"/>
          <w:color w:val="auto"/>
          <w:sz w:val="32"/>
          <w:szCs w:val="32"/>
          <w:rtl/>
          <w:lang w:eastAsia="en-US"/>
        </w:rPr>
        <w:t>،</w:t>
      </w:r>
      <w:r w:rsidRPr="00DF34E7">
        <w:rPr>
          <w:rFonts w:ascii="Traditional Arabic" w:hAnsi="Traditional Arabic"/>
          <w:noProof w:val="0"/>
          <w:color w:val="auto"/>
          <w:sz w:val="32"/>
          <w:szCs w:val="32"/>
          <w:rtl/>
          <w:lang w:eastAsia="en-US"/>
        </w:rPr>
        <w:t xml:space="preserve"> أو يصلي</w:t>
      </w:r>
      <w:r>
        <w:rPr>
          <w:rFonts w:ascii="Traditional Arabic" w:hAnsi="Traditional Arabic" w:hint="cs"/>
          <w:noProof w:val="0"/>
          <w:color w:val="auto"/>
          <w:sz w:val="32"/>
          <w:szCs w:val="32"/>
          <w:rtl/>
          <w:lang w:eastAsia="en-US"/>
        </w:rPr>
        <w:t xml:space="preserve"> </w:t>
      </w:r>
      <w:r w:rsidRPr="00DF34E7">
        <w:rPr>
          <w:rFonts w:ascii="Traditional Arabic" w:hAnsi="Traditional Arabic"/>
          <w:noProof w:val="0"/>
          <w:color w:val="auto"/>
          <w:sz w:val="32"/>
          <w:szCs w:val="32"/>
          <w:rtl/>
          <w:lang w:eastAsia="en-US"/>
        </w:rPr>
        <w:t>عنه</w:t>
      </w:r>
      <w:r>
        <w:rPr>
          <w:rFonts w:ascii="Traditional Arabic" w:hAnsi="Traditional Arabic" w:hint="cs"/>
          <w:noProof w:val="0"/>
          <w:color w:val="auto"/>
          <w:sz w:val="32"/>
          <w:szCs w:val="32"/>
          <w:rtl/>
          <w:lang w:eastAsia="en-US"/>
        </w:rPr>
        <w:t>،</w:t>
      </w:r>
      <w:r w:rsidRPr="00DF34E7">
        <w:rPr>
          <w:rFonts w:ascii="Traditional Arabic" w:hAnsi="Traditional Arabic"/>
          <w:noProof w:val="0"/>
          <w:color w:val="auto"/>
          <w:sz w:val="32"/>
          <w:szCs w:val="32"/>
          <w:rtl/>
          <w:lang w:eastAsia="en-US"/>
        </w:rPr>
        <w:t xml:space="preserve"> أو يصوم عنه، لم تصحَّ الوكالة.</w:t>
      </w:r>
      <w:r>
        <w:rPr>
          <w:rFonts w:ascii="Traditional Arabic" w:hAnsi="Traditional Arabic" w:hint="cs"/>
          <w:noProof w:val="0"/>
          <w:color w:val="auto"/>
          <w:sz w:val="32"/>
          <w:szCs w:val="32"/>
          <w:rtl/>
          <w:lang w:eastAsia="en-US"/>
        </w:rPr>
        <w:t xml:space="preserve"> </w:t>
      </w:r>
      <w:r w:rsidRPr="00DF34E7">
        <w:rPr>
          <w:rFonts w:ascii="Traditional Arabic" w:hAnsi="Traditional Arabic"/>
          <w:noProof w:val="0"/>
          <w:color w:val="auto"/>
          <w:sz w:val="32"/>
          <w:szCs w:val="32"/>
          <w:rtl/>
          <w:lang w:eastAsia="en-US"/>
        </w:rPr>
        <w:t>انظر المرجع السابق (9/321).</w:t>
      </w:r>
    </w:p>
  </w:footnote>
  <w:footnote w:id="2177">
    <w:p w:rsidR="000D3D21" w:rsidRPr="00DF34E7"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الروض المربع</w:t>
      </w:r>
      <w:r w:rsidRPr="00DF34E7">
        <w:rPr>
          <w:rFonts w:ascii="Traditional Arabic" w:hAnsi="Traditional Arabic"/>
          <w:sz w:val="32"/>
          <w:szCs w:val="32"/>
          <w:rtl/>
        </w:rPr>
        <w:t xml:space="preserve"> (</w:t>
      </w:r>
      <w:r>
        <w:rPr>
          <w:rFonts w:ascii="Traditional Arabic" w:hAnsi="Traditional Arabic" w:hint="cs"/>
          <w:sz w:val="32"/>
          <w:szCs w:val="32"/>
          <w:rtl/>
        </w:rPr>
        <w:t>7/563-564</w:t>
      </w:r>
      <w:r w:rsidRPr="00DF34E7">
        <w:rPr>
          <w:rFonts w:ascii="Traditional Arabic" w:hAnsi="Traditional Arabic"/>
          <w:sz w:val="32"/>
          <w:szCs w:val="32"/>
          <w:rtl/>
        </w:rPr>
        <w:t>).</w:t>
      </w:r>
    </w:p>
  </w:footnote>
  <w:footnote w:id="2178">
    <w:p w:rsidR="000D3D21" w:rsidRPr="00DF34E7"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F34E7">
        <w:rPr>
          <w:rFonts w:ascii="Traditional Arabic" w:hAnsi="Traditional Arabic"/>
          <w:sz w:val="32"/>
          <w:szCs w:val="32"/>
          <w:rtl/>
        </w:rPr>
        <w:t xml:space="preserve">انظر حاشية الرروض المربع </w:t>
      </w:r>
      <w:r>
        <w:rPr>
          <w:rFonts w:ascii="Traditional Arabic" w:hAnsi="Traditional Arabic" w:hint="cs"/>
          <w:sz w:val="32"/>
          <w:szCs w:val="32"/>
          <w:rtl/>
        </w:rPr>
        <w:t xml:space="preserve">لابن قاسم </w:t>
      </w:r>
      <w:r w:rsidRPr="00DF34E7">
        <w:rPr>
          <w:rFonts w:ascii="Traditional Arabic" w:hAnsi="Traditional Arabic"/>
          <w:sz w:val="32"/>
          <w:szCs w:val="32"/>
          <w:rtl/>
        </w:rPr>
        <w:t>(5/206).</w:t>
      </w:r>
    </w:p>
  </w:footnote>
  <w:footnote w:id="2179">
    <w:p w:rsidR="000D3D21" w:rsidRPr="00DF34E7"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F34E7">
        <w:rPr>
          <w:rFonts w:ascii="Traditional Arabic" w:hAnsi="Traditional Arabic"/>
          <w:sz w:val="32"/>
          <w:szCs w:val="32"/>
          <w:rtl/>
        </w:rPr>
        <w:t>ال</w:t>
      </w:r>
      <w:r>
        <w:rPr>
          <w:rFonts w:ascii="Traditional Arabic" w:hAnsi="Traditional Arabic" w:hint="cs"/>
          <w:sz w:val="32"/>
          <w:szCs w:val="32"/>
          <w:rtl/>
        </w:rPr>
        <w:t xml:space="preserve">شرح الممتع </w:t>
      </w:r>
      <w:r w:rsidRPr="00DF34E7">
        <w:rPr>
          <w:rFonts w:ascii="Traditional Arabic" w:hAnsi="Traditional Arabic"/>
          <w:sz w:val="32"/>
          <w:szCs w:val="32"/>
          <w:rtl/>
        </w:rPr>
        <w:t>(9/326، 327).</w:t>
      </w:r>
    </w:p>
  </w:footnote>
  <w:footnote w:id="2180">
    <w:p w:rsidR="000D3D21" w:rsidRPr="00A27B7A"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sidRPr="00DF34E7">
        <w:rPr>
          <w:rFonts w:ascii="Traditional Arabic" w:hAnsi="Traditional Arabic"/>
          <w:sz w:val="32"/>
          <w:szCs w:val="32"/>
          <w:rtl/>
        </w:rPr>
        <w:t xml:space="preserve"> جائز التصرف هو الذي جمع هذه الصفات الأربعة: الب</w:t>
      </w:r>
      <w:r>
        <w:rPr>
          <w:rFonts w:ascii="Traditional Arabic" w:hAnsi="Traditional Arabic"/>
          <w:sz w:val="32"/>
          <w:szCs w:val="32"/>
          <w:rtl/>
        </w:rPr>
        <w:t>لبوغ والعقل والحرية والرشد.</w:t>
      </w:r>
      <w:r>
        <w:rPr>
          <w:rFonts w:ascii="Traditional Arabic" w:hAnsi="Traditional Arabic" w:hint="cs"/>
          <w:sz w:val="32"/>
          <w:szCs w:val="32"/>
          <w:rtl/>
        </w:rPr>
        <w:t xml:space="preserve"> </w:t>
      </w:r>
      <w:r>
        <w:rPr>
          <w:rFonts w:ascii="Traditional Arabic" w:hAnsi="Traditional Arabic"/>
          <w:sz w:val="32"/>
          <w:szCs w:val="32"/>
          <w:rtl/>
        </w:rPr>
        <w:t>انظر</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DF34E7">
        <w:rPr>
          <w:rFonts w:ascii="Traditional Arabic" w:hAnsi="Traditional Arabic"/>
          <w:sz w:val="32"/>
          <w:szCs w:val="32"/>
          <w:rtl/>
        </w:rPr>
        <w:t xml:space="preserve"> (9/321)</w:t>
      </w:r>
      <w:r>
        <w:rPr>
          <w:rFonts w:ascii="Traditional Arabic" w:hAnsi="Traditional Arabic" w:hint="cs"/>
          <w:sz w:val="32"/>
          <w:szCs w:val="32"/>
          <w:rtl/>
        </w:rPr>
        <w:t>، وحاشية الروض المربع لابن قاسم (5/203)</w:t>
      </w:r>
      <w:r w:rsidRPr="00DF34E7">
        <w:rPr>
          <w:rFonts w:ascii="Traditional Arabic" w:hAnsi="Traditional Arabic"/>
          <w:sz w:val="32"/>
          <w:szCs w:val="32"/>
          <w:rtl/>
        </w:rPr>
        <w:t>.</w:t>
      </w:r>
    </w:p>
  </w:footnote>
  <w:footnote w:id="2181">
    <w:p w:rsidR="000D3D21" w:rsidRPr="00A27B7A"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 (9/326)</w:t>
      </w:r>
      <w:r w:rsidRPr="00A27B7A">
        <w:rPr>
          <w:rFonts w:ascii="Traditional Arabic" w:hAnsi="Traditional Arabic"/>
          <w:sz w:val="32"/>
          <w:szCs w:val="32"/>
          <w:rtl/>
        </w:rPr>
        <w:t xml:space="preserve"> بتصرف.</w:t>
      </w:r>
    </w:p>
  </w:footnote>
  <w:footnote w:id="2182">
    <w:p w:rsidR="000D3D21" w:rsidRPr="00790B9C" w:rsidRDefault="000D3D21" w:rsidP="00264398">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 (9/326)</w:t>
      </w:r>
      <w:r w:rsidRPr="00A27B7A">
        <w:rPr>
          <w:rFonts w:ascii="Traditional Arabic" w:hAnsi="Traditional Arabic"/>
          <w:sz w:val="32"/>
          <w:szCs w:val="32"/>
          <w:rtl/>
        </w:rPr>
        <w:t>.</w:t>
      </w:r>
    </w:p>
  </w:footnote>
  <w:footnote w:id="2183">
    <w:p w:rsidR="000D3D21" w:rsidRPr="007A6F9A" w:rsidRDefault="000D3D21" w:rsidP="002209E5">
      <w:pPr>
        <w:pStyle w:val="a7"/>
        <w:pageBreakBefore/>
        <w:rPr>
          <w:rFonts w:ascii="Traditional Arabic" w:hAnsi="Traditional Arabic"/>
          <w:b/>
          <w:bCs/>
          <w:sz w:val="32"/>
          <w:szCs w:val="32"/>
          <w:rtl/>
        </w:rPr>
      </w:pPr>
      <w:r w:rsidRPr="002209E5">
        <w:rPr>
          <w:rStyle w:val="af1"/>
          <w:rFonts w:ascii="Traditional Arabic" w:hAnsi="Traditional Arabic"/>
          <w:sz w:val="32"/>
          <w:szCs w:val="32"/>
          <w:vertAlign w:val="baseline"/>
        </w:rPr>
        <w:footnoteRef/>
      </w:r>
      <w:r w:rsidRPr="002209E5">
        <w:rPr>
          <w:rFonts w:ascii="Traditional Arabic" w:hAnsi="Traditional Arabic"/>
          <w:sz w:val="32"/>
          <w:szCs w:val="32"/>
        </w:rPr>
        <w:t>)</w:t>
      </w:r>
      <w:r w:rsidRPr="002209E5">
        <w:rPr>
          <w:rFonts w:ascii="Traditional Arabic" w:hAnsi="Traditional Arabic"/>
          <w:sz w:val="32"/>
          <w:szCs w:val="32"/>
          <w:rtl/>
        </w:rPr>
        <w:t xml:space="preserve">) </w:t>
      </w:r>
      <w:r w:rsidRPr="007A6F9A">
        <w:rPr>
          <w:rFonts w:ascii="Traditional Arabic" w:hAnsi="Traditional Arabic"/>
          <w:b/>
          <w:bCs/>
          <w:sz w:val="32"/>
          <w:szCs w:val="32"/>
          <w:rtl/>
        </w:rPr>
        <w:t>النكاح</w:t>
      </w:r>
      <w:r w:rsidR="00AB0B9E" w:rsidRPr="007A6F9A">
        <w:rPr>
          <w:rFonts w:ascii="Traditional Arabic" w:hAnsi="Traditional Arabic"/>
          <w:b/>
          <w:bCs/>
          <w:sz w:val="32"/>
          <w:szCs w:val="32"/>
          <w:rtl/>
        </w:rPr>
        <w:fldChar w:fldCharType="begin"/>
      </w:r>
      <w:r w:rsidRPr="007A6F9A">
        <w:rPr>
          <w:rFonts w:ascii="Traditional Arabic" w:hAnsi="Traditional Arabic"/>
          <w:sz w:val="32"/>
          <w:szCs w:val="32"/>
        </w:rPr>
        <w:instrText xml:space="preserve"> XE "</w:instrText>
      </w:r>
      <w:r w:rsidRPr="007A6F9A">
        <w:rPr>
          <w:rFonts w:ascii="Traditional Arabic" w:hAnsi="Traditional Arabic"/>
          <w:sz w:val="32"/>
          <w:szCs w:val="32"/>
          <w:rtl/>
        </w:rPr>
        <w:instrText>النكاح</w:instrText>
      </w:r>
      <w:r w:rsidRPr="007A6F9A">
        <w:rPr>
          <w:rFonts w:ascii="Traditional Arabic" w:hAnsi="Traditional Arabic"/>
          <w:sz w:val="32"/>
          <w:szCs w:val="32"/>
        </w:rPr>
        <w:instrText xml:space="preserve">" \fm </w:instrText>
      </w:r>
      <w:r w:rsidR="00AB0B9E" w:rsidRPr="007A6F9A">
        <w:rPr>
          <w:rFonts w:ascii="Traditional Arabic" w:hAnsi="Traditional Arabic"/>
          <w:b/>
          <w:bCs/>
          <w:sz w:val="32"/>
          <w:szCs w:val="32"/>
          <w:rtl/>
        </w:rPr>
        <w:fldChar w:fldCharType="end"/>
      </w:r>
      <w:r w:rsidRPr="007A6F9A">
        <w:rPr>
          <w:rFonts w:ascii="Traditional Arabic" w:hAnsi="Traditional Arabic"/>
          <w:b/>
          <w:bCs/>
          <w:sz w:val="32"/>
          <w:szCs w:val="32"/>
          <w:rtl/>
        </w:rPr>
        <w:t xml:space="preserve"> لغة: </w:t>
      </w:r>
      <w:r w:rsidRPr="007A6F9A">
        <w:rPr>
          <w:rFonts w:ascii="Traditional Arabic" w:hAnsi="Traditional Arabic"/>
          <w:noProof w:val="0"/>
          <w:sz w:val="32"/>
          <w:szCs w:val="32"/>
          <w:rtl/>
          <w:lang w:eastAsia="en-US"/>
        </w:rPr>
        <w:t>الوطء فِي الأَصل، وقيل: هو العَقْدُ له، وهو التَّزويج؛ لأَنّه سببٌ للوطء المباح.</w:t>
      </w:r>
      <w:r>
        <w:rPr>
          <w:rFonts w:ascii="Traditional Arabic" w:hAnsi="Traditional Arabic" w:hint="cs"/>
          <w:noProof w:val="0"/>
          <w:sz w:val="32"/>
          <w:szCs w:val="32"/>
          <w:rtl/>
          <w:lang w:eastAsia="en-US"/>
        </w:rPr>
        <w:t xml:space="preserve"> </w:t>
      </w:r>
      <w:r w:rsidRPr="007A6F9A">
        <w:rPr>
          <w:rFonts w:ascii="Traditional Arabic" w:hAnsi="Traditional Arabic"/>
          <w:noProof w:val="0"/>
          <w:sz w:val="32"/>
          <w:szCs w:val="32"/>
          <w:rtl/>
          <w:lang w:eastAsia="en-US"/>
        </w:rPr>
        <w:t>تاج العروس (7/195).</w:t>
      </w:r>
    </w:p>
    <w:p w:rsidR="000D3D21" w:rsidRPr="002209E5" w:rsidRDefault="000D3D21" w:rsidP="002209E5">
      <w:pPr>
        <w:pStyle w:val="a7"/>
        <w:rPr>
          <w:rFonts w:ascii="Traditional Arabic" w:hAnsi="Traditional Arabic"/>
          <w:sz w:val="32"/>
          <w:szCs w:val="32"/>
          <w:rtl/>
        </w:rPr>
      </w:pPr>
      <w:r w:rsidRPr="007A6F9A">
        <w:rPr>
          <w:rFonts w:ascii="Traditional Arabic" w:hAnsi="Traditional Arabic"/>
          <w:b/>
          <w:bCs/>
          <w:sz w:val="32"/>
          <w:szCs w:val="32"/>
          <w:rtl/>
        </w:rPr>
        <w:t xml:space="preserve"> </w:t>
      </w:r>
      <w:r>
        <w:rPr>
          <w:rFonts w:ascii="Traditional Arabic" w:hAnsi="Traditional Arabic" w:hint="cs"/>
          <w:b/>
          <w:bCs/>
          <w:sz w:val="32"/>
          <w:szCs w:val="32"/>
          <w:rtl/>
        </w:rPr>
        <w:t xml:space="preserve">    </w:t>
      </w:r>
      <w:r w:rsidRPr="007A6F9A">
        <w:rPr>
          <w:rFonts w:ascii="Traditional Arabic" w:hAnsi="Traditional Arabic"/>
          <w:b/>
          <w:bCs/>
          <w:sz w:val="32"/>
          <w:szCs w:val="32"/>
          <w:rtl/>
        </w:rPr>
        <w:t xml:space="preserve">النكاح شرعا: </w:t>
      </w:r>
      <w:r w:rsidRPr="007A6F9A">
        <w:rPr>
          <w:rFonts w:ascii="Traditional Arabic" w:hAnsi="Traditional Arabic"/>
          <w:sz w:val="32"/>
          <w:szCs w:val="32"/>
          <w:rtl/>
        </w:rPr>
        <w:t>عقد التزويج.</w:t>
      </w:r>
      <w:r>
        <w:rPr>
          <w:rFonts w:ascii="Traditional Arabic" w:hAnsi="Traditional Arabic" w:hint="cs"/>
          <w:sz w:val="32"/>
          <w:szCs w:val="32"/>
          <w:rtl/>
        </w:rPr>
        <w:t xml:space="preserve"> </w:t>
      </w:r>
      <w:r w:rsidRPr="007A6F9A">
        <w:rPr>
          <w:rFonts w:ascii="Traditional Arabic" w:hAnsi="Traditional Arabic"/>
          <w:sz w:val="32"/>
          <w:szCs w:val="32"/>
          <w:rtl/>
        </w:rPr>
        <w:t>المغني لابن قدامة (9/339).</w:t>
      </w:r>
    </w:p>
  </w:footnote>
  <w:footnote w:id="2184">
    <w:p w:rsidR="000D3D21" w:rsidRPr="00A27B7A"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A27B7A">
        <w:rPr>
          <w:rFonts w:ascii="Traditional Arabic" w:hAnsi="Traditional Arabic"/>
          <w:sz w:val="32"/>
          <w:szCs w:val="32"/>
          <w:rtl/>
        </w:rPr>
        <w:t xml:space="preserve"> (9/327).</w:t>
      </w:r>
    </w:p>
  </w:footnote>
  <w:footnote w:id="2185">
    <w:p w:rsidR="000D3D21" w:rsidRPr="00A27B7A"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27B7A">
        <w:rPr>
          <w:rFonts w:ascii="Traditional Arabic" w:hAnsi="Traditional Arabic"/>
          <w:sz w:val="32"/>
          <w:szCs w:val="32"/>
          <w:rtl/>
        </w:rPr>
        <w:t>المرجع السابق بتصرف.</w:t>
      </w:r>
    </w:p>
  </w:footnote>
  <w:footnote w:id="2186">
    <w:p w:rsidR="000D3D21" w:rsidRPr="00A27B7A" w:rsidRDefault="000D3D21" w:rsidP="00264398">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 xml:space="preserve"> ال</w:t>
      </w:r>
      <w:r>
        <w:rPr>
          <w:rFonts w:ascii="Traditional Arabic" w:hAnsi="Traditional Arabic" w:hint="cs"/>
          <w:sz w:val="32"/>
          <w:szCs w:val="32"/>
          <w:rtl/>
        </w:rPr>
        <w:t>شرح الممتع (9/327)</w:t>
      </w:r>
      <w:r w:rsidRPr="00A27B7A">
        <w:rPr>
          <w:rFonts w:ascii="Traditional Arabic" w:hAnsi="Traditional Arabic"/>
          <w:sz w:val="32"/>
          <w:szCs w:val="32"/>
          <w:rtl/>
        </w:rPr>
        <w:t xml:space="preserve"> بتصرف.</w:t>
      </w:r>
    </w:p>
  </w:footnote>
  <w:footnote w:id="2187">
    <w:p w:rsidR="000D3D21" w:rsidRPr="00CD38A4"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38A4">
        <w:rPr>
          <w:rFonts w:ascii="Traditional Arabic" w:hAnsi="Traditional Arabic"/>
          <w:sz w:val="32"/>
          <w:szCs w:val="32"/>
          <w:rtl/>
        </w:rPr>
        <w:t>الشرح الممتع (9/439)، وانظر (9/414، 431، 432، 335، 340).</w:t>
      </w:r>
    </w:p>
    <w:p w:rsidR="000D3D21" w:rsidRPr="00CD38A4" w:rsidRDefault="000D3D21" w:rsidP="006431D6">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CD38A4">
        <w:rPr>
          <w:rFonts w:ascii="Traditional Arabic" w:hAnsi="Traditional Arabic"/>
          <w:sz w:val="32"/>
          <w:szCs w:val="32"/>
          <w:rtl/>
        </w:rPr>
        <w:t>وانظر مجموع الفتاوى لابن تيمية (20/508)، وإعلام الموقعين (3/169).</w:t>
      </w:r>
    </w:p>
  </w:footnote>
  <w:footnote w:id="2188">
    <w:p w:rsidR="000D3D21" w:rsidRPr="00CD38A4"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المطلع على أ</w:t>
      </w:r>
      <w:r>
        <w:rPr>
          <w:rFonts w:ascii="Traditional Arabic" w:hAnsi="Traditional Arabic" w:hint="cs"/>
          <w:sz w:val="32"/>
          <w:szCs w:val="32"/>
          <w:rtl/>
        </w:rPr>
        <w:t>لفاظ</w:t>
      </w:r>
      <w:r w:rsidRPr="00CD38A4">
        <w:rPr>
          <w:rFonts w:ascii="Traditional Arabic" w:hAnsi="Traditional Arabic"/>
          <w:sz w:val="32"/>
          <w:szCs w:val="32"/>
          <w:rtl/>
        </w:rPr>
        <w:t xml:space="preserve"> المقنع (311).</w:t>
      </w:r>
    </w:p>
  </w:footnote>
  <w:footnote w:id="2189">
    <w:p w:rsidR="000D3D21" w:rsidRPr="00CD38A4"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38A4">
        <w:rPr>
          <w:rFonts w:ascii="Traditional Arabic" w:hAnsi="Traditional Arabic"/>
          <w:sz w:val="32"/>
          <w:szCs w:val="32"/>
          <w:rtl/>
        </w:rPr>
        <w:t>مقاييس اللغة (6/117).</w:t>
      </w:r>
    </w:p>
  </w:footnote>
  <w:footnote w:id="2190">
    <w:p w:rsidR="000D3D21" w:rsidRPr="00CD38A4"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D38A4">
        <w:rPr>
          <w:rFonts w:ascii="Traditional Arabic" w:hAnsi="Traditional Arabic"/>
          <w:sz w:val="32"/>
          <w:szCs w:val="32"/>
          <w:rtl/>
        </w:rPr>
        <w:t>الشرح الممتع (9/413، 414، 439)</w:t>
      </w:r>
      <w:r>
        <w:rPr>
          <w:rFonts w:ascii="Traditional Arabic" w:hAnsi="Traditional Arabic" w:hint="cs"/>
          <w:sz w:val="32"/>
          <w:szCs w:val="32"/>
          <w:rtl/>
        </w:rPr>
        <w:t xml:space="preserve"> </w:t>
      </w:r>
      <w:r w:rsidRPr="00CD38A4">
        <w:rPr>
          <w:rFonts w:ascii="Traditional Arabic" w:hAnsi="Traditional Arabic"/>
          <w:sz w:val="32"/>
          <w:szCs w:val="32"/>
          <w:rtl/>
        </w:rPr>
        <w:t>بتصرف، وانظر (9/340).</w:t>
      </w:r>
    </w:p>
  </w:footnote>
  <w:footnote w:id="2191">
    <w:p w:rsidR="000D3D21" w:rsidRPr="006712CE"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712CE">
        <w:rPr>
          <w:rFonts w:ascii="Traditional Arabic" w:hAnsi="Traditional Arabic"/>
          <w:sz w:val="32"/>
          <w:szCs w:val="32"/>
          <w:rtl/>
        </w:rPr>
        <w:t>أخرجه بهذا اللفظ  عبد الرزاق في المصنف في كتاب البيوع، باب نفقة المضارب ووضيعته، رقم الحديث (15087)، ولم أجد من حكم على هذا الأثر تصحيحا أو تضعيفا.</w:t>
      </w:r>
    </w:p>
  </w:footnote>
  <w:footnote w:id="2192">
    <w:p w:rsidR="000D3D21" w:rsidRPr="006712CE"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712CE">
        <w:rPr>
          <w:rFonts w:ascii="Traditional Arabic" w:hAnsi="Traditional Arabic"/>
          <w:sz w:val="32"/>
          <w:szCs w:val="32"/>
          <w:rtl/>
        </w:rPr>
        <w:t>انظر الشرح الممتع (9/414).</w:t>
      </w:r>
    </w:p>
  </w:footnote>
  <w:footnote w:id="2193">
    <w:p w:rsidR="000D3D21" w:rsidRPr="006712CE"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712CE">
        <w:rPr>
          <w:rFonts w:ascii="Traditional Arabic" w:hAnsi="Traditional Arabic"/>
          <w:sz w:val="32"/>
          <w:szCs w:val="32"/>
          <w:rtl/>
        </w:rPr>
        <w:t>انظر الشرح الممتع (9/413).</w:t>
      </w:r>
    </w:p>
  </w:footnote>
  <w:footnote w:id="2194">
    <w:p w:rsidR="000D3D21" w:rsidRPr="006712CE" w:rsidRDefault="000D3D21" w:rsidP="00D9035A">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6712CE">
        <w:rPr>
          <w:rFonts w:ascii="Traditional Arabic" w:hAnsi="Traditional Arabic"/>
          <w:b/>
          <w:bCs/>
          <w:sz w:val="32"/>
          <w:szCs w:val="32"/>
          <w:rtl/>
        </w:rPr>
        <w:t xml:space="preserve">شركة الوجوه: </w:t>
      </w:r>
      <w:r w:rsidRPr="006712CE">
        <w:rPr>
          <w:rFonts w:ascii="Traditional Arabic" w:hAnsi="Traditional Arabic"/>
          <w:noProof w:val="0"/>
          <w:sz w:val="32"/>
          <w:szCs w:val="32"/>
          <w:rtl/>
          <w:lang w:eastAsia="en-US"/>
        </w:rPr>
        <w:t>أن يشترك اثنان لا مالَ لهما، في ربح ما يشتريان من الناس في ذممهما، ويكون الملك والربح كما شرطا، والخسارة على قدر الملك.</w:t>
      </w:r>
      <w:r>
        <w:rPr>
          <w:rFonts w:ascii="Traditional Arabic" w:hAnsi="Traditional Arabic" w:hint="cs"/>
          <w:noProof w:val="0"/>
          <w:sz w:val="32"/>
          <w:szCs w:val="32"/>
          <w:rtl/>
          <w:lang w:eastAsia="en-US"/>
        </w:rPr>
        <w:t xml:space="preserve"> </w:t>
      </w:r>
      <w:r w:rsidRPr="006712CE">
        <w:rPr>
          <w:rFonts w:ascii="Traditional Arabic" w:hAnsi="Traditional Arabic"/>
          <w:noProof w:val="0"/>
          <w:sz w:val="32"/>
          <w:szCs w:val="32"/>
          <w:rtl/>
          <w:lang w:eastAsia="en-US"/>
        </w:rPr>
        <w:t>دليل الطالب لنيل المطالب لمرعي بن يوسف الكرمي الحنبلي (287)</w:t>
      </w:r>
      <w:r>
        <w:rPr>
          <w:rFonts w:ascii="Traditional Arabic" w:hAnsi="Traditional Arabic" w:hint="cs"/>
          <w:b/>
          <w:bCs/>
          <w:sz w:val="32"/>
          <w:szCs w:val="32"/>
          <w:rtl/>
        </w:rPr>
        <w:t>.</w:t>
      </w:r>
    </w:p>
  </w:footnote>
  <w:footnote w:id="2195">
    <w:p w:rsidR="000D3D21" w:rsidRPr="00156E43"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6712CE">
        <w:rPr>
          <w:rFonts w:ascii="Traditional Arabic" w:hAnsi="Traditional Arabic"/>
          <w:sz w:val="32"/>
          <w:szCs w:val="32"/>
          <w:rtl/>
        </w:rPr>
        <w:t xml:space="preserve"> (9/331</w:t>
      </w:r>
      <w:r>
        <w:rPr>
          <w:rFonts w:ascii="Traditional Arabic" w:hAnsi="Traditional Arabic"/>
          <w:sz w:val="32"/>
          <w:szCs w:val="32"/>
          <w:rtl/>
        </w:rPr>
        <w:t>)</w:t>
      </w:r>
      <w:r>
        <w:rPr>
          <w:rFonts w:ascii="Traditional Arabic" w:hAnsi="Traditional Arabic" w:hint="cs"/>
          <w:sz w:val="32"/>
          <w:szCs w:val="32"/>
          <w:rtl/>
        </w:rPr>
        <w:t>.</w:t>
      </w:r>
    </w:p>
  </w:footnote>
  <w:footnote w:id="2196">
    <w:p w:rsidR="000D3D21" w:rsidRPr="00714DAC"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714DAC">
        <w:rPr>
          <w:rFonts w:ascii="Traditional Arabic" w:hAnsi="Traditional Arabic"/>
          <w:sz w:val="32"/>
          <w:szCs w:val="32"/>
          <w:rtl/>
        </w:rPr>
        <w:t>انظر المرجع السابق</w:t>
      </w:r>
      <w:r>
        <w:rPr>
          <w:rFonts w:ascii="Traditional Arabic" w:hAnsi="Traditional Arabic" w:hint="cs"/>
          <w:sz w:val="32"/>
          <w:szCs w:val="32"/>
          <w:rtl/>
        </w:rPr>
        <w:t>.</w:t>
      </w:r>
    </w:p>
  </w:footnote>
  <w:footnote w:id="2197">
    <w:p w:rsidR="000D3D21" w:rsidRPr="00533726"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33726">
        <w:rPr>
          <w:rFonts w:ascii="Traditional Arabic" w:hAnsi="Traditional Arabic"/>
          <w:sz w:val="32"/>
          <w:szCs w:val="32"/>
          <w:rtl/>
        </w:rPr>
        <w:t>الشرح الممتع (9/449).</w:t>
      </w:r>
      <w:r>
        <w:rPr>
          <w:rFonts w:ascii="Traditional Arabic" w:hAnsi="Traditional Arabic" w:hint="cs"/>
          <w:sz w:val="32"/>
          <w:szCs w:val="32"/>
          <w:rtl/>
        </w:rPr>
        <w:t xml:space="preserve"> </w:t>
      </w:r>
      <w:r w:rsidRPr="00533726">
        <w:rPr>
          <w:rFonts w:ascii="Traditional Arabic" w:hAnsi="Traditional Arabic"/>
          <w:sz w:val="32"/>
          <w:szCs w:val="32"/>
          <w:rtl/>
        </w:rPr>
        <w:t xml:space="preserve">وقد أبان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533726">
        <w:rPr>
          <w:rFonts w:ascii="Traditional Arabic" w:hAnsi="Traditional Arabic"/>
          <w:sz w:val="32"/>
          <w:szCs w:val="32"/>
          <w:rtl/>
        </w:rPr>
        <w:t xml:space="preserve"> عن هذا الضابط بعبارات أخرى، منها:</w:t>
      </w:r>
    </w:p>
    <w:p w:rsidR="000D3D21" w:rsidRPr="00533726" w:rsidRDefault="000D3D21" w:rsidP="000A76C7">
      <w:pPr>
        <w:widowControl/>
        <w:numPr>
          <w:ilvl w:val="0"/>
          <w:numId w:val="310"/>
        </w:numPr>
        <w:autoSpaceDE w:val="0"/>
        <w:autoSpaceDN w:val="0"/>
        <w:adjustRightInd w:val="0"/>
        <w:jc w:val="left"/>
        <w:rPr>
          <w:rFonts w:ascii="Traditional Arabic" w:hAnsi="Traditional Arabic"/>
          <w:noProof w:val="0"/>
          <w:sz w:val="32"/>
          <w:szCs w:val="32"/>
          <w:rtl/>
          <w:lang w:eastAsia="en-US"/>
        </w:rPr>
      </w:pPr>
      <w:r w:rsidRPr="00533726">
        <w:rPr>
          <w:rFonts w:ascii="Traditional Arabic" w:hAnsi="Traditional Arabic"/>
          <w:noProof w:val="0"/>
          <w:sz w:val="32"/>
          <w:szCs w:val="32"/>
          <w:rtl/>
          <w:lang w:eastAsia="en-US"/>
        </w:rPr>
        <w:t>الشركة مبنية على أصل، وهو اشتراك الشريكين في المغنم والمغرم.</w:t>
      </w:r>
      <w:r>
        <w:rPr>
          <w:rFonts w:ascii="Traditional Arabic" w:hAnsi="Traditional Arabic" w:hint="cs"/>
          <w:noProof w:val="0"/>
          <w:sz w:val="32"/>
          <w:szCs w:val="32"/>
          <w:rtl/>
          <w:lang w:eastAsia="en-US"/>
        </w:rPr>
        <w:t xml:space="preserve"> </w:t>
      </w:r>
      <w:r w:rsidRPr="00533726">
        <w:rPr>
          <w:rFonts w:ascii="Traditional Arabic" w:hAnsi="Traditional Arabic"/>
          <w:noProof w:val="0"/>
          <w:sz w:val="32"/>
          <w:szCs w:val="32"/>
          <w:rtl/>
          <w:lang w:eastAsia="en-US"/>
        </w:rPr>
        <w:t>المرجع السابق (9/411).</w:t>
      </w:r>
    </w:p>
    <w:p w:rsidR="000D3D21" w:rsidRPr="00533726" w:rsidRDefault="000D3D21" w:rsidP="000A76C7">
      <w:pPr>
        <w:pageBreakBefore/>
        <w:widowControl/>
        <w:numPr>
          <w:ilvl w:val="0"/>
          <w:numId w:val="310"/>
        </w:numPr>
        <w:autoSpaceDE w:val="0"/>
        <w:autoSpaceDN w:val="0"/>
        <w:adjustRightInd w:val="0"/>
        <w:jc w:val="left"/>
        <w:rPr>
          <w:rFonts w:ascii="Traditional Arabic" w:hAnsi="Traditional Arabic"/>
          <w:sz w:val="32"/>
          <w:szCs w:val="32"/>
          <w:rtl/>
        </w:rPr>
      </w:pPr>
      <w:r w:rsidRPr="00533726">
        <w:rPr>
          <w:rFonts w:ascii="Traditional Arabic" w:hAnsi="Traditional Arabic"/>
          <w:noProof w:val="0"/>
          <w:sz w:val="32"/>
          <w:szCs w:val="32"/>
          <w:rtl/>
          <w:lang w:eastAsia="en-US"/>
        </w:rPr>
        <w:t>القاعدة الأصلية في المشاركة تساوي الشريكين في المغنم والمغرم.</w:t>
      </w:r>
      <w:r>
        <w:rPr>
          <w:rFonts w:ascii="Traditional Arabic" w:hAnsi="Traditional Arabic" w:hint="cs"/>
          <w:noProof w:val="0"/>
          <w:sz w:val="32"/>
          <w:szCs w:val="32"/>
          <w:rtl/>
          <w:lang w:eastAsia="en-US"/>
        </w:rPr>
        <w:t xml:space="preserve"> </w:t>
      </w:r>
      <w:r>
        <w:rPr>
          <w:rFonts w:ascii="Traditional Arabic" w:hAnsi="Traditional Arabic"/>
          <w:noProof w:val="0"/>
          <w:sz w:val="32"/>
          <w:szCs w:val="32"/>
          <w:rtl/>
          <w:lang w:eastAsia="en-US"/>
        </w:rPr>
        <w:t>ال</w:t>
      </w:r>
      <w:r>
        <w:rPr>
          <w:rFonts w:ascii="Traditional Arabic" w:hAnsi="Traditional Arabic" w:hint="cs"/>
          <w:noProof w:val="0"/>
          <w:sz w:val="32"/>
          <w:szCs w:val="32"/>
          <w:rtl/>
          <w:lang w:eastAsia="en-US"/>
        </w:rPr>
        <w:t>مرجع السابق</w:t>
      </w:r>
      <w:r w:rsidRPr="00533726">
        <w:rPr>
          <w:rFonts w:ascii="Traditional Arabic" w:hAnsi="Traditional Arabic"/>
          <w:noProof w:val="0"/>
          <w:sz w:val="32"/>
          <w:szCs w:val="32"/>
          <w:rtl/>
          <w:lang w:eastAsia="en-US"/>
        </w:rPr>
        <w:t xml:space="preserve"> (9/413). القاعدة في المشاركة أن يتساوى الشريكان في المغنم والمغرم</w:t>
      </w:r>
      <w:r w:rsidRPr="00533726">
        <w:rPr>
          <w:rFonts w:ascii="Traditional Arabic" w:hAnsi="Traditional Arabic"/>
          <w:sz w:val="32"/>
          <w:szCs w:val="32"/>
          <w:rtl/>
        </w:rPr>
        <w:t>.</w:t>
      </w:r>
      <w:r>
        <w:rPr>
          <w:rFonts w:ascii="Traditional Arabic" w:hAnsi="Traditional Arabic" w:hint="cs"/>
          <w:sz w:val="32"/>
          <w:szCs w:val="32"/>
          <w:rtl/>
        </w:rPr>
        <w:t xml:space="preserve"> </w:t>
      </w:r>
      <w:r w:rsidRPr="00533726">
        <w:rPr>
          <w:rFonts w:ascii="Traditional Arabic" w:hAnsi="Traditional Arabic"/>
          <w:sz w:val="32"/>
          <w:szCs w:val="32"/>
          <w:rtl/>
        </w:rPr>
        <w:t xml:space="preserve">المرجع السابق (9/458). </w:t>
      </w:r>
    </w:p>
    <w:p w:rsidR="000D3D21" w:rsidRPr="00533726" w:rsidRDefault="000D3D21" w:rsidP="000A76C7">
      <w:pPr>
        <w:pStyle w:val="a7"/>
        <w:pageBreakBefore/>
        <w:numPr>
          <w:ilvl w:val="0"/>
          <w:numId w:val="309"/>
        </w:numPr>
        <w:rPr>
          <w:rFonts w:ascii="Traditional Arabic" w:hAnsi="Traditional Arabic"/>
          <w:sz w:val="32"/>
          <w:szCs w:val="32"/>
        </w:rPr>
      </w:pPr>
      <w:r w:rsidRPr="00533726">
        <w:rPr>
          <w:rFonts w:ascii="Traditional Arabic" w:hAnsi="Traditional Arabic"/>
          <w:sz w:val="32"/>
          <w:szCs w:val="32"/>
          <w:rtl/>
        </w:rPr>
        <w:t>قاعدة الشركات أن يتساوى الشريكان في المغنم والمغرم إلا في المضاربة، فالخسارة على رب المال دون العامل.</w:t>
      </w:r>
      <w:r>
        <w:rPr>
          <w:rFonts w:ascii="Traditional Arabic" w:hAnsi="Traditional Arabic" w:hint="cs"/>
          <w:sz w:val="32"/>
          <w:szCs w:val="32"/>
          <w:rtl/>
        </w:rPr>
        <w:t xml:space="preserve"> </w:t>
      </w:r>
      <w:r w:rsidRPr="00533726">
        <w:rPr>
          <w:rFonts w:ascii="Traditional Arabic" w:hAnsi="Traditional Arabic"/>
          <w:sz w:val="32"/>
          <w:szCs w:val="32"/>
          <w:rtl/>
        </w:rPr>
        <w:t>مجموع فتاوى ورسائل ابن عثيمين (29/324).</w:t>
      </w:r>
    </w:p>
    <w:p w:rsidR="000D3D21" w:rsidRPr="00533726" w:rsidRDefault="000D3D21" w:rsidP="006431D6">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533726">
        <w:rPr>
          <w:rFonts w:ascii="Traditional Arabic" w:hAnsi="Traditional Arabic"/>
          <w:sz w:val="32"/>
          <w:szCs w:val="32"/>
          <w:rtl/>
        </w:rPr>
        <w:t>وانظر</w:t>
      </w:r>
      <w:r>
        <w:rPr>
          <w:rFonts w:ascii="Traditional Arabic" w:hAnsi="Traditional Arabic" w:hint="cs"/>
          <w:sz w:val="32"/>
          <w:szCs w:val="32"/>
          <w:rtl/>
        </w:rPr>
        <w:t>:</w:t>
      </w:r>
      <w:r w:rsidRPr="00533726">
        <w:rPr>
          <w:rFonts w:ascii="Traditional Arabic" w:hAnsi="Traditional Arabic"/>
          <w:sz w:val="32"/>
          <w:szCs w:val="32"/>
          <w:rtl/>
        </w:rPr>
        <w:t xml:space="preserve"> مجموع الفتاوى لابن تيمية (30/97)، وإرشاد أولي ال</w:t>
      </w:r>
      <w:r>
        <w:rPr>
          <w:rFonts w:ascii="Traditional Arabic" w:hAnsi="Traditional Arabic"/>
          <w:sz w:val="32"/>
          <w:szCs w:val="32"/>
          <w:rtl/>
        </w:rPr>
        <w:t xml:space="preserve">بصائر والألباب (103)، والقواعد </w:t>
      </w:r>
      <w:r>
        <w:rPr>
          <w:rFonts w:ascii="Traditional Arabic" w:hAnsi="Traditional Arabic" w:hint="cs"/>
          <w:sz w:val="32"/>
          <w:szCs w:val="32"/>
          <w:rtl/>
        </w:rPr>
        <w:t>و</w:t>
      </w:r>
      <w:r w:rsidRPr="00533726">
        <w:rPr>
          <w:rFonts w:ascii="Traditional Arabic" w:hAnsi="Traditional Arabic"/>
          <w:sz w:val="32"/>
          <w:szCs w:val="32"/>
          <w:rtl/>
        </w:rPr>
        <w:t>الضوابط الفقهية للمعاملات المالية عند ابن تيمية (2/366).</w:t>
      </w:r>
    </w:p>
  </w:footnote>
  <w:footnote w:id="2198">
    <w:p w:rsidR="000D3D21" w:rsidRPr="00533726"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المطلع على أ</w:t>
      </w:r>
      <w:r>
        <w:rPr>
          <w:rFonts w:ascii="Traditional Arabic" w:hAnsi="Traditional Arabic" w:hint="cs"/>
          <w:sz w:val="32"/>
          <w:szCs w:val="32"/>
          <w:rtl/>
        </w:rPr>
        <w:t>لفاظ</w:t>
      </w:r>
      <w:r w:rsidRPr="00533726">
        <w:rPr>
          <w:rFonts w:ascii="Traditional Arabic" w:hAnsi="Traditional Arabic"/>
          <w:sz w:val="32"/>
          <w:szCs w:val="32"/>
          <w:rtl/>
        </w:rPr>
        <w:t xml:space="preserve"> المقنع (255)، وانظر تاج العروس (33/188).</w:t>
      </w:r>
    </w:p>
  </w:footnote>
  <w:footnote w:id="2199">
    <w:p w:rsidR="000D3D21" w:rsidRPr="00533726"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33726">
        <w:rPr>
          <w:rFonts w:ascii="Traditional Arabic" w:hAnsi="Traditional Arabic"/>
          <w:sz w:val="32"/>
          <w:szCs w:val="32"/>
          <w:rtl/>
        </w:rPr>
        <w:t xml:space="preserve">انظر المصباح المنير </w:t>
      </w:r>
      <w:r>
        <w:rPr>
          <w:rFonts w:ascii="Traditional Arabic" w:hAnsi="Traditional Arabic" w:hint="cs"/>
          <w:sz w:val="32"/>
          <w:szCs w:val="32"/>
          <w:rtl/>
        </w:rPr>
        <w:t>(363)</w:t>
      </w:r>
      <w:r w:rsidRPr="00533726">
        <w:rPr>
          <w:rFonts w:ascii="Traditional Arabic" w:hAnsi="Traditional Arabic"/>
          <w:sz w:val="32"/>
          <w:szCs w:val="32"/>
          <w:rtl/>
        </w:rPr>
        <w:t>.</w:t>
      </w:r>
    </w:p>
  </w:footnote>
  <w:footnote w:id="2200">
    <w:p w:rsidR="000D3D21" w:rsidRPr="00CC0DDA"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33726">
        <w:rPr>
          <w:rFonts w:ascii="Traditional Arabic" w:hAnsi="Traditional Arabic"/>
          <w:sz w:val="32"/>
          <w:szCs w:val="32"/>
          <w:rtl/>
        </w:rPr>
        <w:t xml:space="preserve">انظر: الشرح الممتع (9/449)، ومجموع فتاوى ورسائل ابن عثيمين (29/324)، </w:t>
      </w:r>
      <w:r>
        <w:rPr>
          <w:rFonts w:ascii="Traditional Arabic" w:hAnsi="Traditional Arabic"/>
          <w:sz w:val="32"/>
          <w:szCs w:val="32"/>
          <w:rtl/>
        </w:rPr>
        <w:t>وفتح ذي الجلال والإكرام (4/240)</w:t>
      </w:r>
      <w:r>
        <w:rPr>
          <w:rFonts w:ascii="Traditional Arabic" w:hAnsi="Traditional Arabic" w:hint="cs"/>
          <w:sz w:val="32"/>
          <w:szCs w:val="32"/>
          <w:rtl/>
        </w:rPr>
        <w:t>.</w:t>
      </w:r>
    </w:p>
  </w:footnote>
  <w:footnote w:id="2201">
    <w:p w:rsidR="000D3D21" w:rsidRPr="000D5184"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5184">
        <w:rPr>
          <w:rFonts w:ascii="Traditional Arabic" w:hAnsi="Traditional Arabic"/>
          <w:sz w:val="32"/>
          <w:szCs w:val="32"/>
          <w:rtl/>
        </w:rPr>
        <w:t>انظر: إرشاد أولي البصائر والألباب (133)، والقواعد والضوابط الفقهية للمعاملات المالية لابن تيمية (2/366).</w:t>
      </w:r>
    </w:p>
  </w:footnote>
  <w:footnote w:id="2202">
    <w:p w:rsidR="000D3D21" w:rsidRPr="000D5184"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مجموع الفتاوى لابن تيمية (20/508).</w:t>
      </w:r>
    </w:p>
  </w:footnote>
  <w:footnote w:id="2203">
    <w:p w:rsidR="000D3D21" w:rsidRPr="008C4362"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0D5184">
        <w:rPr>
          <w:rFonts w:ascii="Traditional Arabic" w:hAnsi="Traditional Arabic"/>
          <w:sz w:val="32"/>
          <w:szCs w:val="32"/>
          <w:rtl/>
        </w:rPr>
        <w:t>انظر الشرح الممتع (9/411).</w:t>
      </w:r>
    </w:p>
  </w:footnote>
  <w:footnote w:id="2204">
    <w:p w:rsidR="000D3D21" w:rsidRPr="008B36B7"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sz w:val="32"/>
          <w:szCs w:val="32"/>
          <w:rtl/>
        </w:rPr>
        <w:t>انظر ال</w:t>
      </w:r>
      <w:r>
        <w:rPr>
          <w:rFonts w:ascii="Traditional Arabic" w:hAnsi="Traditional Arabic" w:hint="cs"/>
          <w:sz w:val="32"/>
          <w:szCs w:val="32"/>
          <w:rtl/>
        </w:rPr>
        <w:t>شرح الممتع (9/411)</w:t>
      </w:r>
      <w:r w:rsidRPr="008C4362">
        <w:rPr>
          <w:rFonts w:ascii="Traditional Arabic" w:hAnsi="Traditional Arabic"/>
          <w:sz w:val="32"/>
          <w:szCs w:val="32"/>
          <w:rtl/>
        </w:rPr>
        <w:t>.</w:t>
      </w:r>
    </w:p>
  </w:footnote>
  <w:footnote w:id="2205">
    <w:p w:rsidR="000D3D21" w:rsidRPr="008C4362"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مرجع السابق</w:t>
      </w:r>
      <w:r w:rsidRPr="008C4362">
        <w:rPr>
          <w:rFonts w:ascii="Traditional Arabic" w:hAnsi="Traditional Arabic"/>
          <w:sz w:val="32"/>
          <w:szCs w:val="32"/>
          <w:rtl/>
        </w:rPr>
        <w:t xml:space="preserve"> (9/449)</w:t>
      </w:r>
      <w:r>
        <w:rPr>
          <w:rFonts w:ascii="Traditional Arabic" w:hAnsi="Traditional Arabic" w:hint="cs"/>
          <w:sz w:val="32"/>
          <w:szCs w:val="32"/>
          <w:rtl/>
        </w:rPr>
        <w:t xml:space="preserve"> </w:t>
      </w:r>
      <w:r w:rsidRPr="008C4362">
        <w:rPr>
          <w:rFonts w:ascii="Traditional Arabic" w:hAnsi="Traditional Arabic"/>
          <w:sz w:val="32"/>
          <w:szCs w:val="32"/>
          <w:rtl/>
        </w:rPr>
        <w:t>بتصرف.</w:t>
      </w:r>
    </w:p>
  </w:footnote>
  <w:footnote w:id="2206">
    <w:p w:rsidR="000D3D21" w:rsidRPr="008C4362"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C4362">
        <w:rPr>
          <w:rFonts w:ascii="Traditional Arabic" w:hAnsi="Traditional Arabic"/>
          <w:sz w:val="32"/>
          <w:szCs w:val="32"/>
          <w:rtl/>
        </w:rPr>
        <w:t>مجموع فتاوى ورسائل ابن عثيمين (29/324).</w:t>
      </w:r>
    </w:p>
  </w:footnote>
  <w:footnote w:id="2207">
    <w:p w:rsidR="000D3D21" w:rsidRPr="00A25239" w:rsidRDefault="000D3D21" w:rsidP="006431D6">
      <w:pPr>
        <w:pStyle w:val="a7"/>
        <w:spacing w:line="440" w:lineRule="exact"/>
        <w:ind w:left="510" w:hanging="510"/>
        <w:jc w:val="lowKashida"/>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25239">
        <w:rPr>
          <w:rFonts w:ascii="Traditional Arabic" w:hAnsi="Traditional Arabic"/>
          <w:sz w:val="32"/>
          <w:szCs w:val="32"/>
          <w:rtl/>
        </w:rPr>
        <w:t>الشرح الممتع (10/58).وقد عبر الشيخ ابن عثيمين عن هذا الضابط بعدة صيغ، منها:</w:t>
      </w:r>
    </w:p>
    <w:p w:rsidR="000D3D21" w:rsidRPr="00A25239" w:rsidRDefault="000D3D21" w:rsidP="000A76C7">
      <w:pPr>
        <w:pStyle w:val="a7"/>
        <w:numPr>
          <w:ilvl w:val="0"/>
          <w:numId w:val="312"/>
        </w:numPr>
        <w:spacing w:line="440" w:lineRule="exact"/>
        <w:jc w:val="lowKashida"/>
        <w:rPr>
          <w:rFonts w:ascii="Traditional Arabic" w:hAnsi="Traditional Arabic"/>
          <w:sz w:val="32"/>
          <w:szCs w:val="32"/>
          <w:rtl/>
        </w:rPr>
      </w:pPr>
      <w:r w:rsidRPr="00A25239">
        <w:rPr>
          <w:rFonts w:ascii="Traditional Arabic" w:hAnsi="Traditional Arabic"/>
          <w:noProof w:val="0"/>
          <w:sz w:val="32"/>
          <w:szCs w:val="32"/>
          <w:rtl/>
          <w:lang w:eastAsia="en-US"/>
        </w:rPr>
        <w:t>العبادات لا يجوز أخذ الأجرة عليها</w:t>
      </w:r>
      <w:r>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 xml:space="preserve">الشرح الممتع </w:t>
      </w:r>
      <w:r>
        <w:rPr>
          <w:rFonts w:ascii="Traditional Arabic" w:hAnsi="Traditional Arabic" w:hint="cs"/>
          <w:sz w:val="32"/>
          <w:szCs w:val="32"/>
          <w:rtl/>
        </w:rPr>
        <w:t>(2</w:t>
      </w:r>
      <w:r w:rsidRPr="00A25239">
        <w:rPr>
          <w:rFonts w:ascii="Traditional Arabic" w:hAnsi="Traditional Arabic"/>
          <w:sz w:val="32"/>
          <w:szCs w:val="32"/>
          <w:rtl/>
        </w:rPr>
        <w:t>/48)</w:t>
      </w:r>
      <w:r>
        <w:rPr>
          <w:rFonts w:ascii="Traditional Arabic" w:hAnsi="Traditional Arabic" w:hint="cs"/>
          <w:sz w:val="32"/>
          <w:szCs w:val="32"/>
          <w:rtl/>
        </w:rPr>
        <w:t>، ومجموع فتاوى ورسائل ابن عثيمين (12/163)، وانظر الشرح الممتع (10/10)</w:t>
      </w:r>
      <w:r w:rsidRPr="00A25239">
        <w:rPr>
          <w:rFonts w:ascii="Traditional Arabic" w:hAnsi="Traditional Arabic"/>
          <w:sz w:val="32"/>
          <w:szCs w:val="32"/>
          <w:rtl/>
        </w:rPr>
        <w:t>.</w:t>
      </w:r>
    </w:p>
    <w:p w:rsidR="000D3D21" w:rsidRPr="00A25239" w:rsidRDefault="000D3D21" w:rsidP="000A76C7">
      <w:pPr>
        <w:pStyle w:val="a7"/>
        <w:numPr>
          <w:ilvl w:val="0"/>
          <w:numId w:val="312"/>
        </w:numPr>
        <w:spacing w:line="440" w:lineRule="exact"/>
        <w:jc w:val="lowKashida"/>
        <w:rPr>
          <w:rFonts w:ascii="Traditional Arabic" w:hAnsi="Traditional Arabic"/>
          <w:color w:val="auto"/>
          <w:sz w:val="32"/>
          <w:szCs w:val="32"/>
        </w:rPr>
      </w:pPr>
      <w:r w:rsidRPr="00A25239">
        <w:rPr>
          <w:rFonts w:ascii="Traditional Arabic" w:hAnsi="Traditional Arabic"/>
          <w:noProof w:val="0"/>
          <w:color w:val="auto"/>
          <w:sz w:val="32"/>
          <w:szCs w:val="32"/>
          <w:rtl/>
          <w:lang w:eastAsia="en-US"/>
        </w:rPr>
        <w:t>مسائل القرب لا يصح الاستئجار عليها</w:t>
      </w:r>
      <w:r w:rsidRPr="00A25239">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A25239">
        <w:rPr>
          <w:rFonts w:ascii="Traditional Arabic" w:hAnsi="Traditional Arabic"/>
          <w:color w:val="auto"/>
          <w:sz w:val="32"/>
          <w:szCs w:val="32"/>
          <w:rtl/>
        </w:rPr>
        <w:t>المرجع السابق (6/456).</w:t>
      </w:r>
    </w:p>
    <w:p w:rsidR="000D3D21" w:rsidRPr="00A25239" w:rsidRDefault="000D3D21" w:rsidP="000A76C7">
      <w:pPr>
        <w:pStyle w:val="a7"/>
        <w:numPr>
          <w:ilvl w:val="0"/>
          <w:numId w:val="312"/>
        </w:numPr>
        <w:spacing w:line="440" w:lineRule="exact"/>
        <w:jc w:val="lowKashida"/>
        <w:rPr>
          <w:rFonts w:ascii="Traditional Arabic" w:hAnsi="Traditional Arabic"/>
          <w:color w:val="auto"/>
          <w:sz w:val="32"/>
          <w:szCs w:val="32"/>
        </w:rPr>
      </w:pPr>
      <w:r w:rsidRPr="00A25239">
        <w:rPr>
          <w:rFonts w:ascii="Traditional Arabic" w:hAnsi="Traditional Arabic"/>
          <w:noProof w:val="0"/>
          <w:color w:val="auto"/>
          <w:sz w:val="32"/>
          <w:szCs w:val="32"/>
          <w:rtl/>
          <w:lang w:eastAsia="en-US"/>
        </w:rPr>
        <w:t>كل عمل لا يقع إلا قربة فإنه لا يصح أن يؤخذ عليه أجرة</w:t>
      </w:r>
      <w:r w:rsidRPr="00A25239">
        <w:rPr>
          <w:rFonts w:ascii="Traditional Arabic" w:hAnsi="Traditional Arabic"/>
          <w:color w:val="auto"/>
          <w:sz w:val="32"/>
          <w:szCs w:val="32"/>
          <w:rtl/>
        </w:rPr>
        <w:t>.</w:t>
      </w:r>
      <w:r>
        <w:rPr>
          <w:rFonts w:ascii="Traditional Arabic" w:hAnsi="Traditional Arabic" w:hint="cs"/>
          <w:color w:val="auto"/>
          <w:sz w:val="32"/>
          <w:szCs w:val="32"/>
          <w:rtl/>
        </w:rPr>
        <w:t xml:space="preserve"> </w:t>
      </w:r>
      <w:r w:rsidRPr="00A25239">
        <w:rPr>
          <w:rFonts w:ascii="Traditional Arabic" w:hAnsi="Traditional Arabic"/>
          <w:color w:val="auto"/>
          <w:sz w:val="32"/>
          <w:szCs w:val="32"/>
          <w:rtl/>
        </w:rPr>
        <w:t>المرجع السابق (10/52).</w:t>
      </w:r>
    </w:p>
    <w:p w:rsidR="000D3D21" w:rsidRDefault="000D3D21" w:rsidP="000A76C7">
      <w:pPr>
        <w:pStyle w:val="a7"/>
        <w:numPr>
          <w:ilvl w:val="0"/>
          <w:numId w:val="312"/>
        </w:numPr>
        <w:spacing w:line="440" w:lineRule="exact"/>
        <w:jc w:val="lowKashida"/>
        <w:rPr>
          <w:rFonts w:ascii="Traditional Arabic" w:hAnsi="Traditional Arabic"/>
          <w:color w:val="auto"/>
          <w:sz w:val="32"/>
          <w:szCs w:val="32"/>
        </w:rPr>
      </w:pPr>
      <w:r w:rsidRPr="00A25239">
        <w:rPr>
          <w:rFonts w:ascii="Traditional Arabic" w:hAnsi="Traditional Arabic"/>
          <w:noProof w:val="0"/>
          <w:sz w:val="32"/>
          <w:szCs w:val="32"/>
          <w:rtl/>
          <w:lang w:eastAsia="en-US"/>
        </w:rPr>
        <w:t>كل شيء لا يقع إلا قربة فإنه لا يصح أن يقع عليه عقد الإجارة.المرجع السابق (10/53).</w:t>
      </w:r>
    </w:p>
    <w:p w:rsidR="000D3D21" w:rsidRPr="00A25239" w:rsidRDefault="000D3D21" w:rsidP="000A76C7">
      <w:pPr>
        <w:pStyle w:val="a7"/>
        <w:numPr>
          <w:ilvl w:val="0"/>
          <w:numId w:val="312"/>
        </w:numPr>
        <w:spacing w:line="440" w:lineRule="exact"/>
        <w:jc w:val="lowKashida"/>
        <w:rPr>
          <w:rFonts w:ascii="Traditional Arabic" w:hAnsi="Traditional Arabic"/>
          <w:color w:val="auto"/>
          <w:sz w:val="32"/>
          <w:szCs w:val="32"/>
        </w:rPr>
      </w:pPr>
      <w:r>
        <w:rPr>
          <w:rFonts w:ascii="Traditional Arabic" w:hAnsi="Traditional Arabic" w:hint="cs"/>
          <w:color w:val="auto"/>
          <w:sz w:val="32"/>
          <w:szCs w:val="32"/>
          <w:rtl/>
        </w:rPr>
        <w:t>الأمر الواجب ليس له أجرة. المرجع السابق (10/116).</w:t>
      </w:r>
    </w:p>
    <w:p w:rsidR="000D3D21" w:rsidRPr="00A25239" w:rsidRDefault="000D3D21" w:rsidP="000A76C7">
      <w:pPr>
        <w:pStyle w:val="a7"/>
        <w:pageBreakBefore/>
        <w:numPr>
          <w:ilvl w:val="0"/>
          <w:numId w:val="312"/>
        </w:numPr>
        <w:spacing w:line="440" w:lineRule="exact"/>
        <w:jc w:val="lowKashida"/>
        <w:rPr>
          <w:rFonts w:ascii="Traditional Arabic" w:hAnsi="Traditional Arabic"/>
          <w:sz w:val="32"/>
          <w:szCs w:val="32"/>
        </w:rPr>
      </w:pPr>
      <w:r w:rsidRPr="00A25239">
        <w:rPr>
          <w:rFonts w:ascii="Traditional Arabic" w:hAnsi="Traditional Arabic"/>
          <w:noProof w:val="0"/>
          <w:color w:val="auto"/>
          <w:sz w:val="32"/>
          <w:szCs w:val="32"/>
          <w:rtl/>
          <w:lang w:eastAsia="en-US"/>
        </w:rPr>
        <w:t>الأعمال الصالحة لا يمكن أن يأخذ الإنسان عليها أجرا من الدنيا.</w:t>
      </w:r>
      <w:r>
        <w:rPr>
          <w:rFonts w:ascii="Traditional Arabic" w:hAnsi="Traditional Arabic" w:hint="cs"/>
          <w:noProof w:val="0"/>
          <w:color w:val="auto"/>
          <w:sz w:val="32"/>
          <w:szCs w:val="32"/>
          <w:rtl/>
          <w:lang w:eastAsia="en-US"/>
        </w:rPr>
        <w:t xml:space="preserve"> </w:t>
      </w:r>
      <w:r w:rsidRPr="00A25239">
        <w:rPr>
          <w:rFonts w:ascii="Traditional Arabic" w:hAnsi="Traditional Arabic"/>
          <w:noProof w:val="0"/>
          <w:color w:val="auto"/>
          <w:sz w:val="32"/>
          <w:szCs w:val="32"/>
          <w:rtl/>
          <w:lang w:eastAsia="en-US"/>
        </w:rPr>
        <w:t>المرجع السابق</w:t>
      </w:r>
      <w:r>
        <w:rPr>
          <w:rFonts w:ascii="Traditional Arabic" w:hAnsi="Traditional Arabic" w:hint="cs"/>
          <w:noProof w:val="0"/>
          <w:color w:val="auto"/>
          <w:sz w:val="32"/>
          <w:szCs w:val="32"/>
          <w:rtl/>
          <w:lang w:eastAsia="en-US"/>
        </w:rPr>
        <w:t xml:space="preserve"> </w:t>
      </w:r>
      <w:r w:rsidRPr="00A25239">
        <w:rPr>
          <w:rFonts w:ascii="Traditional Arabic" w:hAnsi="Traditional Arabic"/>
          <w:noProof w:val="0"/>
          <w:color w:val="auto"/>
          <w:sz w:val="32"/>
          <w:szCs w:val="32"/>
          <w:rtl/>
          <w:lang w:eastAsia="en-US"/>
        </w:rPr>
        <w:t>(12/259).</w:t>
      </w:r>
    </w:p>
  </w:footnote>
  <w:footnote w:id="2208">
    <w:p w:rsidR="000D3D21" w:rsidRPr="00A25239"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25239">
        <w:rPr>
          <w:rFonts w:ascii="Traditional Arabic" w:hAnsi="Traditional Arabic"/>
          <w:sz w:val="32"/>
          <w:szCs w:val="32"/>
          <w:rtl/>
        </w:rPr>
        <w:t xml:space="preserve">المصباح المنير </w:t>
      </w:r>
      <w:r>
        <w:rPr>
          <w:rFonts w:ascii="Traditional Arabic" w:hAnsi="Traditional Arabic" w:hint="cs"/>
          <w:sz w:val="32"/>
          <w:szCs w:val="32"/>
          <w:rtl/>
        </w:rPr>
        <w:t>(404)</w:t>
      </w:r>
      <w:r w:rsidRPr="00A25239">
        <w:rPr>
          <w:rFonts w:ascii="Traditional Arabic" w:hAnsi="Traditional Arabic"/>
          <w:sz w:val="32"/>
          <w:szCs w:val="32"/>
          <w:rtl/>
        </w:rPr>
        <w:t>.</w:t>
      </w:r>
    </w:p>
  </w:footnote>
  <w:footnote w:id="2209">
    <w:p w:rsidR="000D3D21" w:rsidRPr="004C1EDC"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A25239">
        <w:rPr>
          <w:rFonts w:ascii="Traditional Arabic" w:hAnsi="Traditional Arabic"/>
          <w:sz w:val="32"/>
          <w:szCs w:val="32"/>
          <w:rtl/>
        </w:rPr>
        <w:t xml:space="preserve"> (10/52، 53، 54، 58)</w:t>
      </w:r>
      <w:r>
        <w:rPr>
          <w:rFonts w:ascii="Traditional Arabic" w:hAnsi="Traditional Arabic" w:hint="cs"/>
          <w:sz w:val="32"/>
          <w:szCs w:val="32"/>
          <w:rtl/>
        </w:rPr>
        <w:t xml:space="preserve"> </w:t>
      </w:r>
      <w:r w:rsidRPr="00A25239">
        <w:rPr>
          <w:rFonts w:ascii="Traditional Arabic" w:hAnsi="Traditional Arabic"/>
          <w:sz w:val="32"/>
          <w:szCs w:val="32"/>
          <w:rtl/>
        </w:rPr>
        <w:t>بتصرف.</w:t>
      </w:r>
    </w:p>
  </w:footnote>
  <w:footnote w:id="2210">
    <w:p w:rsidR="000D3D21" w:rsidRPr="005D0743"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5D0743">
        <w:rPr>
          <w:rFonts w:ascii="Traditional Arabic" w:hAnsi="Traditional Arabic"/>
          <w:sz w:val="32"/>
          <w:szCs w:val="32"/>
          <w:rtl/>
        </w:rPr>
        <w:t xml:space="preserve"> (10/52)، ومجموع فتاوى ورسائل ابن عثيمين (12/165)، وفتح ذي الجلال والإكرام (4/255).</w:t>
      </w:r>
    </w:p>
  </w:footnote>
  <w:footnote w:id="2211">
    <w:p w:rsidR="000D3D21" w:rsidRPr="005D0743"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0743">
        <w:rPr>
          <w:rFonts w:ascii="Traditional Arabic" w:hAnsi="Traditional Arabic"/>
          <w:sz w:val="32"/>
          <w:szCs w:val="32"/>
          <w:rtl/>
        </w:rPr>
        <w:t>تقدم تخريجه.</w:t>
      </w:r>
    </w:p>
  </w:footnote>
  <w:footnote w:id="2212">
    <w:p w:rsidR="000D3D21" w:rsidRPr="0011173D"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D0743">
        <w:rPr>
          <w:rFonts w:ascii="Traditional Arabic" w:hAnsi="Traditional Arabic"/>
          <w:sz w:val="32"/>
          <w:szCs w:val="32"/>
          <w:rtl/>
        </w:rPr>
        <w:t>انظر الشرح الممتع (2/49)، ومجموع فتاوى ورسائل ابن عثيمين (12/164).</w:t>
      </w:r>
    </w:p>
  </w:footnote>
  <w:footnote w:id="2213">
    <w:p w:rsidR="000D3D21" w:rsidRPr="00F971D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F971D7">
        <w:rPr>
          <w:rFonts w:ascii="Traditional Arabic" w:hAnsi="Traditional Arabic"/>
          <w:noProof w:val="0"/>
          <w:sz w:val="32"/>
          <w:szCs w:val="32"/>
          <w:rtl/>
          <w:lang w:eastAsia="en-US"/>
        </w:rPr>
        <w:t>أخرجه البخاري في كتاب الطب، باب الشرط في الرقية بقطيع الغنم، رقم الحديث (5737)</w:t>
      </w:r>
      <w:r w:rsidRPr="00F971D7">
        <w:rPr>
          <w:rFonts w:ascii="Traditional Arabic" w:hAnsi="Traditional Arabic"/>
          <w:sz w:val="32"/>
          <w:szCs w:val="32"/>
          <w:rtl/>
        </w:rPr>
        <w:t>.</w:t>
      </w:r>
    </w:p>
  </w:footnote>
  <w:footnote w:id="2214">
    <w:p w:rsidR="000D3D21" w:rsidRPr="00F971D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971D7">
        <w:rPr>
          <w:rFonts w:ascii="Traditional Arabic" w:hAnsi="Traditional Arabic"/>
          <w:sz w:val="32"/>
          <w:szCs w:val="32"/>
          <w:rtl/>
        </w:rPr>
        <w:t>انظر: الشرح الممتع (10/55)، وفتح ذي الجلال والإكرام (4/255-256).</w:t>
      </w:r>
    </w:p>
  </w:footnote>
  <w:footnote w:id="2215">
    <w:p w:rsidR="000D3D21" w:rsidRPr="00F971D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971D7">
        <w:rPr>
          <w:rFonts w:ascii="Traditional Arabic" w:hAnsi="Traditional Arabic"/>
          <w:sz w:val="32"/>
          <w:szCs w:val="32"/>
          <w:rtl/>
        </w:rPr>
        <w:t>انظر الشرح الممتع (2/48).</w:t>
      </w:r>
    </w:p>
  </w:footnote>
  <w:footnote w:id="2216">
    <w:p w:rsidR="000D3D21" w:rsidRPr="00D24FD2"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w:t>
      </w:r>
      <w:r>
        <w:rPr>
          <w:rFonts w:ascii="Traditional Arabic" w:hAnsi="Traditional Arabic" w:hint="cs"/>
          <w:sz w:val="32"/>
          <w:szCs w:val="32"/>
          <w:rtl/>
        </w:rPr>
        <w:t>شرح الممتع</w:t>
      </w:r>
      <w:r w:rsidRPr="00F971D7">
        <w:rPr>
          <w:rFonts w:ascii="Traditional Arabic" w:hAnsi="Traditional Arabic"/>
          <w:sz w:val="32"/>
          <w:szCs w:val="32"/>
          <w:rtl/>
        </w:rPr>
        <w:t xml:space="preserve"> (6/456).</w:t>
      </w:r>
    </w:p>
  </w:footnote>
  <w:footnote w:id="2217">
    <w:p w:rsidR="000D3D21" w:rsidRPr="00F971D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F971D7">
        <w:rPr>
          <w:rFonts w:ascii="Traditional Arabic" w:hAnsi="Traditional Arabic"/>
          <w:sz w:val="32"/>
          <w:szCs w:val="32"/>
          <w:rtl/>
        </w:rPr>
        <w:t xml:space="preserve"> (10/56).</w:t>
      </w:r>
    </w:p>
  </w:footnote>
  <w:footnote w:id="2218">
    <w:p w:rsidR="000D3D21" w:rsidRPr="00F971D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F971D7">
        <w:rPr>
          <w:rFonts w:ascii="Traditional Arabic" w:hAnsi="Traditional Arabic"/>
          <w:sz w:val="32"/>
          <w:szCs w:val="32"/>
          <w:rtl/>
        </w:rPr>
        <w:t xml:space="preserve"> (10/54، 55)، وفتح ذي الجلال والإكرام (255، 256).</w:t>
      </w:r>
    </w:p>
  </w:footnote>
  <w:footnote w:id="2219">
    <w:p w:rsidR="000D3D21" w:rsidRPr="00F971D7"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F971D7">
        <w:rPr>
          <w:rFonts w:ascii="Traditional Arabic" w:hAnsi="Traditional Arabic"/>
          <w:sz w:val="32"/>
          <w:szCs w:val="32"/>
          <w:rtl/>
        </w:rPr>
        <w:t>انظر الشرح الممتع (10/58).</w:t>
      </w:r>
    </w:p>
  </w:footnote>
  <w:footnote w:id="2220">
    <w:p w:rsidR="000D3D21" w:rsidRPr="008F5BAF"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F5BAF">
        <w:rPr>
          <w:rFonts w:ascii="Traditional Arabic" w:hAnsi="Traditional Arabic"/>
          <w:sz w:val="32"/>
          <w:szCs w:val="32"/>
          <w:rtl/>
        </w:rPr>
        <w:t>الشرح الممتع (10/93)بتصرف.</w:t>
      </w:r>
      <w:r>
        <w:rPr>
          <w:rFonts w:ascii="Traditional Arabic" w:hAnsi="Traditional Arabic" w:hint="cs"/>
          <w:sz w:val="32"/>
          <w:szCs w:val="32"/>
          <w:rtl/>
        </w:rPr>
        <w:t xml:space="preserve"> </w:t>
      </w:r>
      <w:r w:rsidRPr="008F5BAF">
        <w:rPr>
          <w:rFonts w:ascii="Traditional Arabic" w:hAnsi="Traditional Arabic"/>
          <w:sz w:val="32"/>
          <w:szCs w:val="32"/>
          <w:rtl/>
        </w:rPr>
        <w:t>وانظر (10/92).</w:t>
      </w:r>
    </w:p>
    <w:p w:rsidR="000D3D21" w:rsidRPr="008F5BAF" w:rsidRDefault="000D3D21" w:rsidP="006431D6">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8F5BAF">
        <w:rPr>
          <w:rFonts w:ascii="Traditional Arabic" w:hAnsi="Traditional Arabic"/>
          <w:sz w:val="32"/>
          <w:szCs w:val="32"/>
          <w:rtl/>
        </w:rPr>
        <w:t>وانظر إرشاد أولي البصائر والألباب (139).</w:t>
      </w:r>
    </w:p>
  </w:footnote>
  <w:footnote w:id="2221">
    <w:p w:rsidR="000D3D21" w:rsidRPr="008F5BAF" w:rsidRDefault="000D3D21" w:rsidP="003A770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3A770A">
        <w:rPr>
          <w:rFonts w:ascii="Traditional Arabic" w:hAnsi="Traditional Arabic"/>
          <w:b/>
          <w:bCs/>
          <w:sz w:val="32"/>
          <w:szCs w:val="32"/>
          <w:rtl/>
        </w:rPr>
        <w:t>الس</w:t>
      </w:r>
      <w:r>
        <w:rPr>
          <w:rFonts w:ascii="Traditional Arabic" w:hAnsi="Traditional Arabic" w:hint="cs"/>
          <w:b/>
          <w:bCs/>
          <w:sz w:val="32"/>
          <w:szCs w:val="32"/>
          <w:rtl/>
        </w:rPr>
        <w:t>َّ</w:t>
      </w:r>
      <w:r w:rsidRPr="003A770A">
        <w:rPr>
          <w:rFonts w:ascii="Traditional Arabic" w:hAnsi="Traditional Arabic"/>
          <w:b/>
          <w:bCs/>
          <w:sz w:val="32"/>
          <w:szCs w:val="32"/>
          <w:rtl/>
        </w:rPr>
        <w:t>ب</w:t>
      </w:r>
      <w:r>
        <w:rPr>
          <w:rFonts w:ascii="Traditional Arabic" w:hAnsi="Traditional Arabic" w:hint="cs"/>
          <w:b/>
          <w:bCs/>
          <w:sz w:val="32"/>
          <w:szCs w:val="32"/>
          <w:rtl/>
        </w:rPr>
        <w:t>ْ</w:t>
      </w:r>
      <w:r w:rsidRPr="003A770A">
        <w:rPr>
          <w:rFonts w:ascii="Traditional Arabic" w:hAnsi="Traditional Arabic"/>
          <w:b/>
          <w:bCs/>
          <w:sz w:val="32"/>
          <w:szCs w:val="32"/>
          <w:rtl/>
        </w:rPr>
        <w:t>ق</w:t>
      </w:r>
      <w:r w:rsidR="00AB0B9E">
        <w:rPr>
          <w:rFonts w:ascii="Traditional Arabic" w:hAnsi="Traditional Arabic"/>
          <w:sz w:val="32"/>
          <w:szCs w:val="32"/>
          <w:rtl/>
        </w:rPr>
        <w:fldChar w:fldCharType="begin"/>
      </w:r>
      <w:r>
        <w:instrText xml:space="preserve"> XE "</w:instrText>
      </w:r>
      <w:r w:rsidRPr="00A00F78">
        <w:rPr>
          <w:rFonts w:ascii="Traditional Arabic" w:hAnsi="Traditional Arabic"/>
          <w:sz w:val="32"/>
          <w:szCs w:val="32"/>
          <w:rtl/>
        </w:rPr>
        <w:instrText>السب</w:instrText>
      </w:r>
      <w:r>
        <w:rPr>
          <w:rFonts w:ascii="Traditional Arabic" w:hAnsi="Traditional Arabic" w:hint="cs"/>
          <w:sz w:val="32"/>
          <w:szCs w:val="32"/>
          <w:rtl/>
        </w:rPr>
        <w:instrText>ْ</w:instrText>
      </w:r>
      <w:r w:rsidRPr="00A00F78">
        <w:rPr>
          <w:rFonts w:ascii="Traditional Arabic" w:hAnsi="Traditional Arabic"/>
          <w:sz w:val="32"/>
          <w:szCs w:val="32"/>
          <w:rtl/>
        </w:rPr>
        <w:instrText>ق</w:instrText>
      </w:r>
      <w:r>
        <w:instrText xml:space="preserve">" </w:instrText>
      </w:r>
      <w:r w:rsidRPr="003A770A">
        <w:instrText xml:space="preserve">\fm </w:instrText>
      </w:r>
      <w:r w:rsidR="00AB0B9E">
        <w:rPr>
          <w:rFonts w:ascii="Traditional Arabic" w:hAnsi="Traditional Arabic"/>
          <w:sz w:val="32"/>
          <w:szCs w:val="32"/>
          <w:rtl/>
        </w:rPr>
        <w:fldChar w:fldCharType="end"/>
      </w:r>
      <w:r w:rsidRPr="008F5BAF">
        <w:rPr>
          <w:rFonts w:ascii="Traditional Arabic" w:hAnsi="Traditional Arabic"/>
          <w:sz w:val="32"/>
          <w:szCs w:val="32"/>
          <w:rtl/>
        </w:rPr>
        <w:t xml:space="preserve"> بمعنى المسابقة، وقد تقدم بيان ذلك في موضعه عند تعريف المسابقة.</w:t>
      </w:r>
    </w:p>
  </w:footnote>
  <w:footnote w:id="2222">
    <w:p w:rsidR="000D3D21" w:rsidRPr="008F5BAF"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F5BAF">
        <w:rPr>
          <w:rFonts w:ascii="Traditional Arabic" w:hAnsi="Traditional Arabic"/>
          <w:sz w:val="32"/>
          <w:szCs w:val="32"/>
          <w:rtl/>
        </w:rPr>
        <w:t>كالأشياء الثلاثة الواردة في حديث أبي هريرة:"لا سبق إلا في ثلاث..."، وسيأتي تخريجه.</w:t>
      </w:r>
    </w:p>
  </w:footnote>
  <w:footnote w:id="2223">
    <w:p w:rsidR="000D3D21" w:rsidRPr="008F5BAF" w:rsidRDefault="000D3D21" w:rsidP="006431D6">
      <w:pPr>
        <w:pStyle w:val="a7"/>
        <w:pageBreakBefore/>
        <w:rPr>
          <w:rFonts w:ascii="Tahoma" w:hAnsi="Tahoma"/>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الشرح الممتع (10/92-93)</w:t>
      </w:r>
      <w:r>
        <w:rPr>
          <w:rFonts w:ascii="Traditional Arabic" w:hAnsi="Traditional Arabic" w:hint="cs"/>
          <w:sz w:val="32"/>
          <w:szCs w:val="32"/>
          <w:rtl/>
        </w:rPr>
        <w:t>.</w:t>
      </w:r>
    </w:p>
  </w:footnote>
  <w:footnote w:id="2224">
    <w:p w:rsidR="000D3D21" w:rsidRPr="00A36310"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36310">
        <w:rPr>
          <w:rFonts w:ascii="Traditional Arabic" w:hAnsi="Traditional Arabic"/>
          <w:sz w:val="32"/>
          <w:szCs w:val="32"/>
          <w:rtl/>
        </w:rPr>
        <w:t>انظر الشرح الممتع (10/34، 92-93).</w:t>
      </w:r>
    </w:p>
  </w:footnote>
  <w:footnote w:id="2225">
    <w:p w:rsidR="000D3D21" w:rsidRPr="00A36310" w:rsidRDefault="000D3D21" w:rsidP="003A770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A36310">
        <w:rPr>
          <w:rFonts w:ascii="Traditional Arabic" w:hAnsi="Traditional Arabic"/>
          <w:b/>
          <w:bCs/>
          <w:sz w:val="32"/>
          <w:szCs w:val="32"/>
          <w:rtl/>
        </w:rPr>
        <w:t>الس</w:t>
      </w:r>
      <w:r>
        <w:rPr>
          <w:rFonts w:ascii="Traditional Arabic" w:hAnsi="Traditional Arabic" w:hint="cs"/>
          <w:b/>
          <w:bCs/>
          <w:sz w:val="32"/>
          <w:szCs w:val="32"/>
          <w:rtl/>
        </w:rPr>
        <w:t>َّ</w:t>
      </w:r>
      <w:r w:rsidRPr="00A36310">
        <w:rPr>
          <w:rFonts w:ascii="Traditional Arabic" w:hAnsi="Traditional Arabic"/>
          <w:b/>
          <w:bCs/>
          <w:sz w:val="32"/>
          <w:szCs w:val="32"/>
          <w:rtl/>
        </w:rPr>
        <w:t>ب</w:t>
      </w:r>
      <w:r>
        <w:rPr>
          <w:rFonts w:ascii="Traditional Arabic" w:hAnsi="Traditional Arabic" w:hint="cs"/>
          <w:b/>
          <w:bCs/>
          <w:sz w:val="32"/>
          <w:szCs w:val="32"/>
          <w:rtl/>
        </w:rPr>
        <w:t>َ</w:t>
      </w:r>
      <w:r w:rsidRPr="00A36310">
        <w:rPr>
          <w:rFonts w:ascii="Traditional Arabic" w:hAnsi="Traditional Arabic"/>
          <w:b/>
          <w:bCs/>
          <w:sz w:val="32"/>
          <w:szCs w:val="32"/>
          <w:rtl/>
        </w:rPr>
        <w:t>ق</w:t>
      </w:r>
      <w:r w:rsidR="00AB0B9E">
        <w:rPr>
          <w:rFonts w:ascii="Traditional Arabic" w:hAnsi="Traditional Arabic"/>
          <w:b/>
          <w:bCs/>
          <w:sz w:val="32"/>
          <w:szCs w:val="32"/>
          <w:rtl/>
        </w:rPr>
        <w:fldChar w:fldCharType="begin"/>
      </w:r>
      <w:r>
        <w:instrText xml:space="preserve"> XE "</w:instrText>
      </w:r>
      <w:r w:rsidRPr="003A770A">
        <w:rPr>
          <w:rFonts w:ascii="Traditional Arabic" w:hAnsi="Traditional Arabic"/>
          <w:sz w:val="32"/>
          <w:szCs w:val="32"/>
          <w:rtl/>
        </w:rPr>
        <w:instrText>السب</w:instrText>
      </w:r>
      <w:r w:rsidRPr="003A770A">
        <w:rPr>
          <w:rFonts w:ascii="Traditional Arabic" w:hAnsi="Traditional Arabic" w:hint="cs"/>
          <w:sz w:val="32"/>
          <w:szCs w:val="32"/>
          <w:rtl/>
        </w:rPr>
        <w:instrText>َ</w:instrText>
      </w:r>
      <w:r w:rsidRPr="003A770A">
        <w:rPr>
          <w:rFonts w:ascii="Traditional Arabic" w:hAnsi="Traditional Arabic"/>
          <w:sz w:val="32"/>
          <w:szCs w:val="32"/>
          <w:rtl/>
        </w:rPr>
        <w:instrText>ق</w:instrText>
      </w:r>
      <w:r>
        <w:instrText xml:space="preserve">" </w:instrText>
      </w:r>
      <w:r w:rsidRPr="003A770A">
        <w:instrText xml:space="preserve">\fm </w:instrText>
      </w:r>
      <w:r w:rsidR="00AB0B9E">
        <w:rPr>
          <w:rFonts w:ascii="Traditional Arabic" w:hAnsi="Traditional Arabic"/>
          <w:b/>
          <w:bCs/>
          <w:sz w:val="32"/>
          <w:szCs w:val="32"/>
          <w:rtl/>
        </w:rPr>
        <w:fldChar w:fldCharType="end"/>
      </w:r>
      <w:r w:rsidRPr="00A36310">
        <w:rPr>
          <w:rFonts w:ascii="Traditional Arabic" w:hAnsi="Traditional Arabic"/>
          <w:sz w:val="32"/>
          <w:szCs w:val="32"/>
          <w:rtl/>
        </w:rPr>
        <w:t xml:space="preserve"> بفتح الباء: ما يُجعل للسابق على سبقه من جُع</w:t>
      </w:r>
      <w:r>
        <w:rPr>
          <w:rFonts w:ascii="Traditional Arabic" w:hAnsi="Traditional Arabic" w:hint="cs"/>
          <w:sz w:val="32"/>
          <w:szCs w:val="32"/>
          <w:rtl/>
        </w:rPr>
        <w:t>ْ</w:t>
      </w:r>
      <w:r w:rsidRPr="00A36310">
        <w:rPr>
          <w:rFonts w:ascii="Traditional Arabic" w:hAnsi="Traditional Arabic"/>
          <w:sz w:val="32"/>
          <w:szCs w:val="32"/>
          <w:rtl/>
        </w:rPr>
        <w:t>ل.</w:t>
      </w:r>
      <w:r>
        <w:rPr>
          <w:rFonts w:ascii="Traditional Arabic" w:hAnsi="Traditional Arabic" w:hint="cs"/>
          <w:sz w:val="32"/>
          <w:szCs w:val="32"/>
          <w:rtl/>
        </w:rPr>
        <w:t xml:space="preserve"> </w:t>
      </w:r>
      <w:r w:rsidRPr="00A36310">
        <w:rPr>
          <w:rFonts w:ascii="Traditional Arabic" w:hAnsi="Traditional Arabic"/>
          <w:sz w:val="32"/>
          <w:szCs w:val="32"/>
          <w:rtl/>
        </w:rPr>
        <w:t xml:space="preserve">عون المعبود (7/241). </w:t>
      </w:r>
    </w:p>
  </w:footnote>
  <w:footnote w:id="2226">
    <w:p w:rsidR="000D3D21" w:rsidRPr="00A36310" w:rsidRDefault="000D3D21" w:rsidP="0034747A">
      <w:pPr>
        <w:widowControl/>
        <w:autoSpaceDE w:val="0"/>
        <w:autoSpaceDN w:val="0"/>
        <w:adjustRightInd w:val="0"/>
        <w:ind w:left="423" w:hanging="425"/>
        <w:jc w:val="left"/>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noProof w:val="0"/>
          <w:sz w:val="32"/>
          <w:szCs w:val="32"/>
          <w:rtl/>
          <w:lang w:eastAsia="en-US"/>
        </w:rPr>
        <w:t xml:space="preserve"> </w:t>
      </w:r>
      <w:r w:rsidRPr="00A36310">
        <w:rPr>
          <w:rFonts w:ascii="Traditional Arabic" w:hAnsi="Traditional Arabic"/>
          <w:noProof w:val="0"/>
          <w:sz w:val="32"/>
          <w:szCs w:val="32"/>
          <w:rtl/>
          <w:lang w:eastAsia="en-US"/>
        </w:rPr>
        <w:t>المراد بالخُفّ</w:t>
      </w:r>
      <w:r w:rsidR="00AB0B9E">
        <w:rPr>
          <w:rFonts w:ascii="Traditional Arabic" w:hAnsi="Traditional Arabic"/>
          <w:noProof w:val="0"/>
          <w:sz w:val="32"/>
          <w:szCs w:val="32"/>
          <w:rtl/>
          <w:lang w:eastAsia="en-US"/>
        </w:rPr>
        <w:fldChar w:fldCharType="begin"/>
      </w:r>
      <w:r>
        <w:instrText xml:space="preserve"> XE "</w:instrText>
      </w:r>
      <w:r w:rsidRPr="00A00F78">
        <w:rPr>
          <w:rFonts w:ascii="Traditional Arabic" w:hAnsi="Traditional Arabic"/>
          <w:noProof w:val="0"/>
          <w:sz w:val="32"/>
          <w:szCs w:val="32"/>
          <w:rtl/>
          <w:lang w:eastAsia="en-US"/>
        </w:rPr>
        <w:instrText>الخُفّ</w:instrText>
      </w:r>
      <w:r>
        <w:instrText xml:space="preserve">" </w:instrText>
      </w:r>
      <w:r w:rsidRPr="003A770A">
        <w:instrText xml:space="preserve">\fm </w:instrText>
      </w:r>
      <w:r w:rsidR="00AB0B9E">
        <w:rPr>
          <w:rFonts w:ascii="Traditional Arabic" w:hAnsi="Traditional Arabic"/>
          <w:noProof w:val="0"/>
          <w:sz w:val="32"/>
          <w:szCs w:val="32"/>
          <w:rtl/>
          <w:lang w:eastAsia="en-US"/>
        </w:rPr>
        <w:fldChar w:fldCharType="end"/>
      </w:r>
      <w:r w:rsidRPr="00A36310">
        <w:rPr>
          <w:rFonts w:ascii="Traditional Arabic" w:hAnsi="Traditional Arabic"/>
          <w:noProof w:val="0"/>
          <w:sz w:val="32"/>
          <w:szCs w:val="32"/>
          <w:rtl/>
          <w:lang w:eastAsia="en-US"/>
        </w:rPr>
        <w:t xml:space="preserve"> الإبل، ولابُدَّ من حذف مُضافٍ : أي: لا سبق إلا في ذي خُف أو ذي نصل أو</w:t>
      </w:r>
      <w:r>
        <w:rPr>
          <w:rFonts w:ascii="Traditional Arabic" w:hAnsi="Traditional Arabic" w:hint="cs"/>
          <w:noProof w:val="0"/>
          <w:sz w:val="32"/>
          <w:szCs w:val="32"/>
          <w:rtl/>
          <w:lang w:eastAsia="en-US"/>
        </w:rPr>
        <w:t xml:space="preserve"> ذي </w:t>
      </w:r>
      <w:r w:rsidRPr="00A36310">
        <w:rPr>
          <w:rFonts w:ascii="Traditional Arabic" w:hAnsi="Traditional Arabic"/>
          <w:noProof w:val="0"/>
          <w:sz w:val="32"/>
          <w:szCs w:val="32"/>
          <w:rtl/>
          <w:lang w:eastAsia="en-US"/>
        </w:rPr>
        <w:t>حافر، والخُفُّ للبعير كالحافر للفَرَس.النهاية في غريب الحديث (2/55).</w:t>
      </w:r>
    </w:p>
  </w:footnote>
  <w:footnote w:id="2227">
    <w:p w:rsidR="000D3D21" w:rsidRPr="00A36310" w:rsidRDefault="000D3D21" w:rsidP="003A770A">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36310">
        <w:rPr>
          <w:rFonts w:ascii="Traditional Arabic" w:hAnsi="Traditional Arabic"/>
          <w:sz w:val="32"/>
          <w:szCs w:val="32"/>
          <w:rtl/>
        </w:rPr>
        <w:t>أي: نصل</w:t>
      </w:r>
      <w:r w:rsidR="00AB0B9E">
        <w:rPr>
          <w:rFonts w:ascii="Traditional Arabic" w:hAnsi="Traditional Arabic"/>
          <w:sz w:val="32"/>
          <w:szCs w:val="32"/>
          <w:rtl/>
        </w:rPr>
        <w:fldChar w:fldCharType="begin"/>
      </w:r>
      <w:r>
        <w:instrText xml:space="preserve"> XE "</w:instrText>
      </w:r>
      <w:r>
        <w:rPr>
          <w:rFonts w:ascii="Traditional Arabic" w:hAnsi="Traditional Arabic" w:hint="cs"/>
          <w:sz w:val="32"/>
          <w:szCs w:val="32"/>
          <w:rtl/>
        </w:rPr>
        <w:instrText>الن</w:instrText>
      </w:r>
      <w:r w:rsidRPr="00A00F78">
        <w:rPr>
          <w:rFonts w:ascii="Traditional Arabic" w:hAnsi="Traditional Arabic"/>
          <w:sz w:val="32"/>
          <w:szCs w:val="32"/>
          <w:rtl/>
        </w:rPr>
        <w:instrText>صل</w:instrText>
      </w:r>
      <w:r>
        <w:instrText xml:space="preserve">" </w:instrText>
      </w:r>
      <w:r w:rsidRPr="003A770A">
        <w:instrText xml:space="preserve">\fm </w:instrText>
      </w:r>
      <w:r w:rsidR="00AB0B9E">
        <w:rPr>
          <w:rFonts w:ascii="Traditional Arabic" w:hAnsi="Traditional Arabic"/>
          <w:sz w:val="32"/>
          <w:szCs w:val="32"/>
          <w:rtl/>
        </w:rPr>
        <w:fldChar w:fldCharType="end"/>
      </w:r>
      <w:r w:rsidRPr="00A36310">
        <w:rPr>
          <w:rFonts w:ascii="Traditional Arabic" w:hAnsi="Traditional Arabic"/>
          <w:sz w:val="32"/>
          <w:szCs w:val="32"/>
          <w:rtl/>
        </w:rPr>
        <w:t xml:space="preserve"> السهم، والمقصود هنا الرمي.</w:t>
      </w:r>
      <w:r>
        <w:rPr>
          <w:rFonts w:ascii="Traditional Arabic" w:hAnsi="Traditional Arabic" w:hint="cs"/>
          <w:sz w:val="32"/>
          <w:szCs w:val="32"/>
          <w:rtl/>
        </w:rPr>
        <w:t xml:space="preserve"> </w:t>
      </w:r>
      <w:r w:rsidRPr="00A36310">
        <w:rPr>
          <w:rFonts w:ascii="Traditional Arabic" w:hAnsi="Traditional Arabic"/>
          <w:sz w:val="32"/>
          <w:szCs w:val="32"/>
          <w:rtl/>
        </w:rPr>
        <w:t>انظر عون المعبود (7/241).</w:t>
      </w:r>
    </w:p>
  </w:footnote>
  <w:footnote w:id="2228">
    <w:p w:rsidR="000D3D21" w:rsidRPr="00A36310"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36310">
        <w:rPr>
          <w:rFonts w:ascii="Traditional Arabic" w:hAnsi="Traditional Arabic"/>
          <w:noProof w:val="0"/>
          <w:sz w:val="32"/>
          <w:szCs w:val="32"/>
          <w:rtl/>
          <w:lang w:eastAsia="en-US"/>
        </w:rPr>
        <w:t xml:space="preserve">أخرجه  أحمد في المسند، رقم الحديث (7482)، وأبو داود في </w:t>
      </w:r>
      <w:r>
        <w:rPr>
          <w:rFonts w:ascii="Traditional Arabic" w:hAnsi="Traditional Arabic" w:hint="cs"/>
          <w:noProof w:val="0"/>
          <w:sz w:val="32"/>
          <w:szCs w:val="32"/>
          <w:rtl/>
          <w:lang w:eastAsia="en-US"/>
        </w:rPr>
        <w:t xml:space="preserve">سننه في </w:t>
      </w:r>
      <w:r w:rsidRPr="00A36310">
        <w:rPr>
          <w:rFonts w:ascii="Traditional Arabic" w:hAnsi="Traditional Arabic"/>
          <w:noProof w:val="0"/>
          <w:sz w:val="32"/>
          <w:szCs w:val="32"/>
          <w:rtl/>
          <w:lang w:eastAsia="en-US"/>
        </w:rPr>
        <w:t>كتاب الجهاد، باب في السبق</w:t>
      </w:r>
      <w:r>
        <w:rPr>
          <w:rFonts w:ascii="Traditional Arabic" w:hAnsi="Traditional Arabic" w:hint="cs"/>
          <w:noProof w:val="0"/>
          <w:sz w:val="32"/>
          <w:szCs w:val="32"/>
          <w:rtl/>
          <w:lang w:eastAsia="en-US"/>
        </w:rPr>
        <w:t>،</w:t>
      </w:r>
      <w:r w:rsidRPr="00A36310">
        <w:rPr>
          <w:rFonts w:ascii="Traditional Arabic" w:hAnsi="Traditional Arabic"/>
          <w:noProof w:val="0"/>
          <w:sz w:val="32"/>
          <w:szCs w:val="32"/>
          <w:rtl/>
          <w:lang w:eastAsia="en-US"/>
        </w:rPr>
        <w:t xml:space="preserve"> رقم الحديث (2574)، والترمذي </w:t>
      </w:r>
      <w:r>
        <w:rPr>
          <w:rFonts w:ascii="Traditional Arabic" w:hAnsi="Traditional Arabic" w:hint="cs"/>
          <w:noProof w:val="0"/>
          <w:sz w:val="32"/>
          <w:szCs w:val="32"/>
          <w:rtl/>
          <w:lang w:eastAsia="en-US"/>
        </w:rPr>
        <w:t xml:space="preserve">في سننه </w:t>
      </w:r>
      <w:r w:rsidRPr="00A36310">
        <w:rPr>
          <w:rFonts w:ascii="Traditional Arabic" w:hAnsi="Traditional Arabic"/>
          <w:noProof w:val="0"/>
          <w:sz w:val="32"/>
          <w:szCs w:val="32"/>
          <w:rtl/>
          <w:lang w:eastAsia="en-US"/>
        </w:rPr>
        <w:t>في كتاب الجهاد، باب ما جاء في الرهان والسبق، رقم الحديث (1700)، والنسائي في السنن الكبرى في كتاب الخيل، باب السبق، رقم الحديث (4410)، وابن ماجه في كتاب الجهاد، باب ا</w:t>
      </w:r>
      <w:r>
        <w:rPr>
          <w:rFonts w:ascii="Traditional Arabic" w:hAnsi="Traditional Arabic"/>
          <w:noProof w:val="0"/>
          <w:sz w:val="32"/>
          <w:szCs w:val="32"/>
          <w:rtl/>
          <w:lang w:eastAsia="en-US"/>
        </w:rPr>
        <w:t>لسبق والرهان، رقم الحديث (2878)</w:t>
      </w:r>
      <w:r>
        <w:rPr>
          <w:rFonts w:ascii="Traditional Arabic" w:hAnsi="Traditional Arabic" w:hint="cs"/>
          <w:noProof w:val="0"/>
          <w:sz w:val="32"/>
          <w:szCs w:val="32"/>
          <w:rtl/>
          <w:lang w:eastAsia="en-US"/>
        </w:rPr>
        <w:t>.و</w:t>
      </w:r>
      <w:r>
        <w:rPr>
          <w:rFonts w:ascii="Traditional Arabic" w:hAnsi="Traditional Arabic"/>
          <w:noProof w:val="0"/>
          <w:sz w:val="32"/>
          <w:szCs w:val="32"/>
          <w:rtl/>
          <w:lang w:eastAsia="en-US"/>
        </w:rPr>
        <w:t xml:space="preserve">الحديث </w:t>
      </w:r>
      <w:r w:rsidRPr="00A36310">
        <w:rPr>
          <w:rFonts w:ascii="Traditional Arabic" w:hAnsi="Traditional Arabic"/>
          <w:noProof w:val="0"/>
          <w:sz w:val="32"/>
          <w:szCs w:val="32"/>
          <w:rtl/>
          <w:lang w:eastAsia="en-US"/>
        </w:rPr>
        <w:t xml:space="preserve">صححه </w:t>
      </w:r>
      <w:r>
        <w:rPr>
          <w:rFonts w:ascii="Traditional Arabic" w:hAnsi="Traditional Arabic" w:hint="cs"/>
          <w:noProof w:val="0"/>
          <w:sz w:val="32"/>
          <w:szCs w:val="32"/>
          <w:rtl/>
          <w:lang w:eastAsia="en-US"/>
        </w:rPr>
        <w:t xml:space="preserve">الشيخ </w:t>
      </w:r>
      <w:r w:rsidRPr="00A36310">
        <w:rPr>
          <w:rFonts w:ascii="Traditional Arabic" w:hAnsi="Traditional Arabic"/>
          <w:noProof w:val="0"/>
          <w:sz w:val="32"/>
          <w:szCs w:val="32"/>
          <w:rtl/>
          <w:lang w:eastAsia="en-US"/>
        </w:rPr>
        <w:t>الألباني في إرواء الغليل(5/333).</w:t>
      </w:r>
    </w:p>
  </w:footnote>
  <w:footnote w:id="2229">
    <w:p w:rsidR="000D3D21" w:rsidRPr="00F84520" w:rsidRDefault="000D3D21" w:rsidP="006431D6">
      <w:pPr>
        <w:pStyle w:val="a7"/>
        <w:pageBreakBefore/>
        <w:rPr>
          <w:rFonts w:ascii="Tahoma" w:hAnsi="Tahoma"/>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36310">
        <w:rPr>
          <w:rFonts w:ascii="Traditional Arabic" w:hAnsi="Traditional Arabic"/>
          <w:sz w:val="32"/>
          <w:szCs w:val="32"/>
          <w:rtl/>
        </w:rPr>
        <w:t>انظر فتح ذي الجلال والإكرام (5/524).</w:t>
      </w:r>
    </w:p>
  </w:footnote>
  <w:footnote w:id="2230">
    <w:p w:rsidR="000D3D21" w:rsidRPr="002C684F"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C684F">
        <w:rPr>
          <w:rFonts w:ascii="Traditional Arabic" w:hAnsi="Traditional Arabic"/>
          <w:sz w:val="32"/>
          <w:szCs w:val="32"/>
          <w:rtl/>
        </w:rPr>
        <w:t>انظر المغني لابن قدامة (13/406-407).</w:t>
      </w:r>
    </w:p>
  </w:footnote>
  <w:footnote w:id="2231">
    <w:p w:rsidR="000D3D21" w:rsidRPr="002C684F"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C684F">
        <w:rPr>
          <w:rFonts w:ascii="Traditional Arabic" w:hAnsi="Traditional Arabic"/>
          <w:sz w:val="32"/>
          <w:szCs w:val="32"/>
          <w:rtl/>
        </w:rPr>
        <w:t>انظر الشرح الممتع (10/92، 93-94).</w:t>
      </w:r>
    </w:p>
  </w:footnote>
  <w:footnote w:id="2232">
    <w:p w:rsidR="000D3D21" w:rsidRPr="002C684F"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C684F">
        <w:rPr>
          <w:rFonts w:ascii="Traditional Arabic" w:hAnsi="Traditional Arabic"/>
          <w:sz w:val="32"/>
          <w:szCs w:val="32"/>
          <w:rtl/>
        </w:rPr>
        <w:t>انظر المغني (13/406).</w:t>
      </w:r>
    </w:p>
  </w:footnote>
  <w:footnote w:id="2233">
    <w:p w:rsidR="000D3D21" w:rsidRPr="002C684F"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C684F">
        <w:rPr>
          <w:rFonts w:ascii="Traditional Arabic" w:hAnsi="Traditional Arabic"/>
          <w:sz w:val="32"/>
          <w:szCs w:val="32"/>
          <w:rtl/>
        </w:rPr>
        <w:t>تقدم تخريجه.</w:t>
      </w:r>
    </w:p>
  </w:footnote>
  <w:footnote w:id="2234">
    <w:p w:rsidR="000D3D21" w:rsidRPr="002C684F"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C684F">
        <w:rPr>
          <w:rFonts w:ascii="Traditional Arabic" w:hAnsi="Traditional Arabic"/>
          <w:sz w:val="32"/>
          <w:szCs w:val="32"/>
          <w:rtl/>
        </w:rPr>
        <w:t xml:space="preserve">انظر الأخبار العلمية من الاختيارات الفقهية لشيخ الإسلام ابن تيمية (233). </w:t>
      </w:r>
    </w:p>
  </w:footnote>
  <w:footnote w:id="2235">
    <w:p w:rsidR="000D3D21" w:rsidRPr="00AA77FE"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2C684F">
        <w:rPr>
          <w:rFonts w:ascii="Traditional Arabic" w:hAnsi="Traditional Arabic"/>
          <w:sz w:val="32"/>
          <w:szCs w:val="32"/>
          <w:rtl/>
        </w:rPr>
        <w:t>الشرح الممتع (10/104)</w:t>
      </w:r>
      <w:r>
        <w:rPr>
          <w:rFonts w:ascii="Traditional Arabic" w:hAnsi="Traditional Arabic" w:hint="cs"/>
          <w:sz w:val="32"/>
          <w:szCs w:val="32"/>
          <w:rtl/>
        </w:rPr>
        <w:t xml:space="preserve"> </w:t>
      </w:r>
      <w:r w:rsidRPr="002C684F">
        <w:rPr>
          <w:rFonts w:ascii="Traditional Arabic" w:hAnsi="Traditional Arabic"/>
          <w:sz w:val="32"/>
          <w:szCs w:val="32"/>
          <w:rtl/>
        </w:rPr>
        <w:t>بتصرف.</w:t>
      </w:r>
    </w:p>
  </w:footnote>
  <w:footnote w:id="2236">
    <w:p w:rsidR="000D3D21" w:rsidRPr="00DE0B4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E0B47">
        <w:rPr>
          <w:rFonts w:ascii="Traditional Arabic" w:hAnsi="Traditional Arabic"/>
          <w:sz w:val="32"/>
          <w:szCs w:val="32"/>
          <w:rtl/>
        </w:rPr>
        <w:t>الشرح الممتع (10/177).وانظر (10/119، 123).</w:t>
      </w:r>
    </w:p>
  </w:footnote>
  <w:footnote w:id="2237">
    <w:p w:rsidR="000D3D21" w:rsidRPr="00DE0B4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E0B47">
        <w:rPr>
          <w:rFonts w:ascii="Traditional Arabic" w:hAnsi="Traditional Arabic"/>
          <w:sz w:val="32"/>
          <w:szCs w:val="32"/>
          <w:rtl/>
        </w:rPr>
        <w:t>انظر المرجع السابق (10/123، 177).</w:t>
      </w:r>
    </w:p>
  </w:footnote>
  <w:footnote w:id="2238">
    <w:p w:rsidR="000D3D21" w:rsidRPr="00DE0B4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E0B47">
        <w:rPr>
          <w:rFonts w:ascii="Traditional Arabic" w:hAnsi="Traditional Arabic"/>
          <w:sz w:val="32"/>
          <w:szCs w:val="32"/>
          <w:rtl/>
        </w:rPr>
        <w:t>انظر المرجع السابق (10/177).</w:t>
      </w:r>
    </w:p>
  </w:footnote>
  <w:footnote w:id="2239">
    <w:p w:rsidR="000D3D21" w:rsidRPr="00DE0B4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E0B47">
        <w:rPr>
          <w:rFonts w:ascii="Traditional Arabic" w:hAnsi="Traditional Arabic"/>
          <w:sz w:val="32"/>
          <w:szCs w:val="32"/>
          <w:rtl/>
        </w:rPr>
        <w:t xml:space="preserve">المذهب عند الحنابلة أن العارية مضمونة مطلقا، سواء أكان المستعير متعديا أو مفرطا أم لا.انظر الروض </w:t>
      </w:r>
      <w:r>
        <w:rPr>
          <w:rFonts w:ascii="Traditional Arabic" w:hAnsi="Traditional Arabic" w:hint="cs"/>
          <w:sz w:val="32"/>
          <w:szCs w:val="32"/>
          <w:rtl/>
        </w:rPr>
        <w:t xml:space="preserve">المربع </w:t>
      </w:r>
      <w:r w:rsidRPr="00DE0B47">
        <w:rPr>
          <w:rFonts w:ascii="Traditional Arabic" w:hAnsi="Traditional Arabic"/>
          <w:sz w:val="32"/>
          <w:szCs w:val="32"/>
          <w:rtl/>
        </w:rPr>
        <w:t>(7/173).</w:t>
      </w:r>
    </w:p>
  </w:footnote>
  <w:footnote w:id="2240">
    <w:p w:rsidR="000D3D21" w:rsidRPr="00DE0B4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E0B47">
        <w:rPr>
          <w:rFonts w:ascii="Traditional Arabic" w:hAnsi="Traditional Arabic"/>
          <w:sz w:val="32"/>
          <w:szCs w:val="32"/>
          <w:rtl/>
        </w:rPr>
        <w:t>انظر الشرح الممتع (10/117)، وفتح ذي الجلال والإكرام (196).</w:t>
      </w:r>
    </w:p>
  </w:footnote>
  <w:footnote w:id="2241">
    <w:p w:rsidR="000D3D21" w:rsidRPr="00DE0B4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E0B47">
        <w:rPr>
          <w:rFonts w:ascii="Traditional Arabic" w:hAnsi="Traditional Arabic"/>
          <w:sz w:val="32"/>
          <w:szCs w:val="32"/>
          <w:rtl/>
        </w:rPr>
        <w:t>تقدم تخريجه.</w:t>
      </w:r>
    </w:p>
  </w:footnote>
  <w:footnote w:id="2242">
    <w:p w:rsidR="000D3D21" w:rsidRPr="00DE0B47"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E0B47">
        <w:rPr>
          <w:rFonts w:ascii="Traditional Arabic" w:hAnsi="Traditional Arabic"/>
          <w:sz w:val="32"/>
          <w:szCs w:val="32"/>
          <w:rtl/>
        </w:rPr>
        <w:t>انظر الشرح الممتع (10/117).</w:t>
      </w:r>
    </w:p>
  </w:footnote>
  <w:footnote w:id="2243">
    <w:p w:rsidR="000D3D21" w:rsidRPr="0034006D"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DE0B47">
        <w:rPr>
          <w:rFonts w:ascii="Traditional Arabic" w:hAnsi="Traditional Arabic"/>
          <w:sz w:val="32"/>
          <w:szCs w:val="32"/>
          <w:rtl/>
        </w:rPr>
        <w:t>تقدم</w:t>
      </w:r>
      <w:r>
        <w:rPr>
          <w:rFonts w:ascii="Traditional Arabic" w:hAnsi="Traditional Arabic"/>
          <w:sz w:val="32"/>
          <w:szCs w:val="32"/>
          <w:rtl/>
        </w:rPr>
        <w:t xml:space="preserve"> الكلام على هذه القاعدة في ص</w:t>
      </w:r>
      <w:r>
        <w:rPr>
          <w:rFonts w:ascii="Traditional Arabic" w:hAnsi="Traditional Arabic" w:hint="cs"/>
          <w:sz w:val="32"/>
          <w:szCs w:val="32"/>
          <w:rtl/>
        </w:rPr>
        <w:t xml:space="preserve"> </w:t>
      </w:r>
      <w:r>
        <w:rPr>
          <w:rFonts w:ascii="Traditional Arabic" w:hAnsi="Traditional Arabic"/>
          <w:sz w:val="32"/>
          <w:szCs w:val="32"/>
          <w:rtl/>
        </w:rPr>
        <w:t>(</w:t>
      </w:r>
      <w:r>
        <w:rPr>
          <w:rFonts w:ascii="Traditional Arabic" w:hAnsi="Traditional Arabic" w:hint="cs"/>
          <w:sz w:val="32"/>
          <w:szCs w:val="32"/>
          <w:rtl/>
        </w:rPr>
        <w:t>351</w:t>
      </w:r>
      <w:r w:rsidRPr="00DE0B47">
        <w:rPr>
          <w:rFonts w:ascii="Traditional Arabic" w:hAnsi="Traditional Arabic"/>
          <w:sz w:val="32"/>
          <w:szCs w:val="32"/>
          <w:rtl/>
        </w:rPr>
        <w:t>) من هذه الرسالة.</w:t>
      </w:r>
    </w:p>
  </w:footnote>
  <w:footnote w:id="2244">
    <w:p w:rsidR="000D3D21"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36E6E">
        <w:rPr>
          <w:rFonts w:ascii="Traditional Arabic" w:hAnsi="Traditional Arabic"/>
          <w:sz w:val="32"/>
          <w:szCs w:val="32"/>
          <w:rtl/>
        </w:rPr>
        <w:t>الشرح الممتع (10/195)، وانظر مجموع فتاوى ورسائل ابن عثيمين (28/160)، وأ</w:t>
      </w:r>
      <w:r>
        <w:rPr>
          <w:rFonts w:ascii="Traditional Arabic" w:hAnsi="Traditional Arabic"/>
          <w:sz w:val="32"/>
          <w:szCs w:val="32"/>
          <w:rtl/>
        </w:rPr>
        <w:t>حكام من القرآن الكريم (2/397)</w:t>
      </w:r>
      <w:r>
        <w:rPr>
          <w:rFonts w:ascii="Traditional Arabic" w:hAnsi="Traditional Arabic" w:hint="cs"/>
          <w:sz w:val="32"/>
          <w:szCs w:val="32"/>
          <w:rtl/>
        </w:rPr>
        <w:t>.</w:t>
      </w:r>
      <w:r w:rsidRPr="00536E6E">
        <w:rPr>
          <w:rFonts w:ascii="Traditional Arabic" w:hAnsi="Traditional Arabic"/>
          <w:sz w:val="32"/>
          <w:szCs w:val="32"/>
          <w:rtl/>
        </w:rPr>
        <w:t xml:space="preserve"> </w:t>
      </w:r>
    </w:p>
    <w:p w:rsidR="000D3D21" w:rsidRPr="00536E6E" w:rsidRDefault="000D3D21" w:rsidP="006431D6">
      <w:pPr>
        <w:pStyle w:val="a7"/>
        <w:pageBreakBefore/>
        <w:rPr>
          <w:rFonts w:ascii="Traditional Arabic" w:hAnsi="Traditional Arabic"/>
          <w:sz w:val="32"/>
          <w:szCs w:val="32"/>
          <w:rtl/>
        </w:rPr>
      </w:pPr>
      <w:r>
        <w:rPr>
          <w:rFonts w:ascii="Traditional Arabic" w:hAnsi="Traditional Arabic" w:hint="cs"/>
          <w:sz w:val="32"/>
          <w:szCs w:val="32"/>
          <w:rtl/>
        </w:rPr>
        <w:t xml:space="preserve">     </w:t>
      </w:r>
      <w:r w:rsidRPr="00536E6E">
        <w:rPr>
          <w:rFonts w:ascii="Traditional Arabic" w:hAnsi="Traditional Arabic"/>
          <w:sz w:val="32"/>
          <w:szCs w:val="32"/>
          <w:rtl/>
        </w:rPr>
        <w:t>و</w:t>
      </w:r>
      <w:r>
        <w:rPr>
          <w:rFonts w:ascii="Traditional Arabic" w:hAnsi="Traditional Arabic" w:hint="cs"/>
          <w:sz w:val="32"/>
          <w:szCs w:val="32"/>
          <w:rtl/>
        </w:rPr>
        <w:t xml:space="preserve">انظر: </w:t>
      </w:r>
      <w:r w:rsidRPr="00536E6E">
        <w:rPr>
          <w:rFonts w:ascii="Traditional Arabic" w:hAnsi="Traditional Arabic"/>
          <w:sz w:val="32"/>
          <w:szCs w:val="32"/>
          <w:rtl/>
        </w:rPr>
        <w:t xml:space="preserve">مجموع الفتاوى لابن تيمية (28/593)، و(29/321)، والقواعد والأصول الجامعة (70)، وإرشاد أولي البصائر والألباب (140)، </w:t>
      </w:r>
      <w:r>
        <w:rPr>
          <w:rFonts w:ascii="Traditional Arabic" w:hAnsi="Traditional Arabic" w:hint="cs"/>
          <w:sz w:val="32"/>
          <w:szCs w:val="32"/>
          <w:rtl/>
        </w:rPr>
        <w:t xml:space="preserve">وتيسير اللطيف المنان في خلاصة تفسير القرآن (166)، </w:t>
      </w:r>
      <w:r w:rsidRPr="00536E6E">
        <w:rPr>
          <w:rFonts w:ascii="Traditional Arabic" w:hAnsi="Traditional Arabic"/>
          <w:sz w:val="32"/>
          <w:szCs w:val="32"/>
          <w:rtl/>
        </w:rPr>
        <w:t>والقواعد الفقهية للندوي (1/350)، و(2/83)</w:t>
      </w:r>
      <w:r>
        <w:rPr>
          <w:rFonts w:ascii="Traditional Arabic" w:hAnsi="Traditional Arabic" w:hint="cs"/>
          <w:sz w:val="32"/>
          <w:szCs w:val="32"/>
          <w:rtl/>
        </w:rPr>
        <w:t>، والقواعد والضوابط الفقهية عند ابن تيمية في كتابي الجهاد والوقف لمحمد مرزا عالم بخاري (256)</w:t>
      </w:r>
      <w:r w:rsidRPr="00536E6E">
        <w:rPr>
          <w:rFonts w:ascii="Traditional Arabic" w:hAnsi="Traditional Arabic"/>
          <w:sz w:val="32"/>
          <w:szCs w:val="32"/>
          <w:rtl/>
        </w:rPr>
        <w:t xml:space="preserve">. </w:t>
      </w:r>
    </w:p>
  </w:footnote>
  <w:footnote w:id="2245">
    <w:p w:rsidR="000D3D21" w:rsidRPr="00536E6E" w:rsidRDefault="000D3D21" w:rsidP="0034747A">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قال شيخ الإسلام ابن تيمية _</w:t>
      </w:r>
      <w:r>
        <w:rPr>
          <w:rFonts w:ascii="Traditional Arabic" w:hAnsi="Traditional Arabic" w:cs="CTraditional Arabic" w:hint="cs"/>
          <w:rtl/>
        </w:rPr>
        <w:t>/</w:t>
      </w:r>
      <w:r>
        <w:rPr>
          <w:rFonts w:ascii="Traditional Arabic" w:hAnsi="Traditional Arabic" w:hint="cs"/>
          <w:sz w:val="32"/>
          <w:szCs w:val="32"/>
          <w:rtl/>
        </w:rPr>
        <w:t>_: (</w:t>
      </w:r>
      <w:r w:rsidRPr="00CE0B44">
        <w:rPr>
          <w:rFonts w:ascii="Traditional Arabic" w:hAnsi="Traditional Arabic"/>
          <w:noProof w:val="0"/>
          <w:color w:val="auto"/>
          <w:sz w:val="32"/>
          <w:szCs w:val="32"/>
          <w:rtl/>
          <w:lang w:eastAsia="en-US"/>
        </w:rPr>
        <w:t>ولا نزاع بين الأئمة أنه بعد تعريف ال</w:t>
      </w:r>
      <w:r>
        <w:rPr>
          <w:rFonts w:ascii="Traditional Arabic" w:hAnsi="Traditional Arabic"/>
          <w:noProof w:val="0"/>
          <w:color w:val="auto"/>
          <w:sz w:val="32"/>
          <w:szCs w:val="32"/>
          <w:rtl/>
          <w:lang w:eastAsia="en-US"/>
        </w:rPr>
        <w:t>سنة يجوز للملتق</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ط أن يتصدق بها</w:t>
      </w:r>
      <w:r>
        <w:rPr>
          <w:rFonts w:ascii="Traditional Arabic" w:hAnsi="Traditional Arabic" w:hint="cs"/>
          <w:noProof w:val="0"/>
          <w:color w:val="auto"/>
          <w:sz w:val="32"/>
          <w:szCs w:val="32"/>
          <w:rtl/>
          <w:lang w:eastAsia="en-US"/>
        </w:rPr>
        <w:t xml:space="preserve">، </w:t>
      </w:r>
      <w:r w:rsidRPr="00CE0B44">
        <w:rPr>
          <w:rFonts w:ascii="Traditional Arabic" w:hAnsi="Traditional Arabic"/>
          <w:noProof w:val="0"/>
          <w:color w:val="auto"/>
          <w:sz w:val="32"/>
          <w:szCs w:val="32"/>
          <w:rtl/>
          <w:lang w:eastAsia="en-US"/>
        </w:rPr>
        <w:t>و</w:t>
      </w:r>
      <w:r>
        <w:rPr>
          <w:rFonts w:ascii="Traditional Arabic" w:hAnsi="Traditional Arabic"/>
          <w:noProof w:val="0"/>
          <w:color w:val="auto"/>
          <w:sz w:val="32"/>
          <w:szCs w:val="32"/>
          <w:rtl/>
          <w:lang w:eastAsia="en-US"/>
        </w:rPr>
        <w:t>كذلك له أن يتمل</w:t>
      </w:r>
      <w:r>
        <w:rPr>
          <w:rFonts w:ascii="Traditional Arabic" w:hAnsi="Traditional Arabic" w:hint="cs"/>
          <w:noProof w:val="0"/>
          <w:color w:val="auto"/>
          <w:sz w:val="32"/>
          <w:szCs w:val="32"/>
          <w:rtl/>
          <w:lang w:eastAsia="en-US"/>
        </w:rPr>
        <w:t>َّ</w:t>
      </w:r>
      <w:r>
        <w:rPr>
          <w:rFonts w:ascii="Traditional Arabic" w:hAnsi="Traditional Arabic"/>
          <w:noProof w:val="0"/>
          <w:color w:val="auto"/>
          <w:sz w:val="32"/>
          <w:szCs w:val="32"/>
          <w:rtl/>
          <w:lang w:eastAsia="en-US"/>
        </w:rPr>
        <w:t>كها إن كان فقيرا</w:t>
      </w:r>
      <w:r>
        <w:rPr>
          <w:rFonts w:ascii="Traditional Arabic" w:hAnsi="Traditional Arabic" w:hint="cs"/>
          <w:b/>
          <w:bCs/>
          <w:sz w:val="32"/>
          <w:szCs w:val="32"/>
          <w:rtl/>
        </w:rPr>
        <w:t>).</w:t>
      </w:r>
      <w:r>
        <w:rPr>
          <w:rFonts w:ascii="Traditional Arabic" w:hAnsi="Traditional Arabic" w:hint="cs"/>
          <w:sz w:val="32"/>
          <w:szCs w:val="32"/>
          <w:rtl/>
        </w:rPr>
        <w:t>مجموع الفتاوى (29/322).</w:t>
      </w:r>
    </w:p>
  </w:footnote>
  <w:footnote w:id="2246">
    <w:p w:rsidR="000D3D21" w:rsidRPr="00536E6E"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36E6E">
        <w:rPr>
          <w:rFonts w:ascii="Traditional Arabic" w:hAnsi="Traditional Arabic"/>
          <w:sz w:val="32"/>
          <w:szCs w:val="32"/>
          <w:rtl/>
        </w:rPr>
        <w:t>ولهذا فالذي يظهر أن هذا الضابط قاعدة فقهية؛ لشمولها لأكثر من باب فقهي، والله أعلم.</w:t>
      </w:r>
    </w:p>
  </w:footnote>
  <w:footnote w:id="2247">
    <w:p w:rsidR="000D3D21" w:rsidRPr="00536E6E"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536E6E">
        <w:rPr>
          <w:rFonts w:ascii="Traditional Arabic" w:hAnsi="Traditional Arabic"/>
          <w:sz w:val="32"/>
          <w:szCs w:val="32"/>
          <w:rtl/>
        </w:rPr>
        <w:t>إرشاد أولي البصائر والألباب (140)</w:t>
      </w:r>
      <w:r>
        <w:rPr>
          <w:rFonts w:ascii="Traditional Arabic" w:hAnsi="Traditional Arabic" w:hint="cs"/>
          <w:sz w:val="32"/>
          <w:szCs w:val="32"/>
          <w:rtl/>
        </w:rPr>
        <w:t xml:space="preserve"> بتصرف، وانظر الشرح الممتع (10/191، 192)</w:t>
      </w:r>
      <w:r w:rsidRPr="00536E6E">
        <w:rPr>
          <w:rFonts w:ascii="Traditional Arabic" w:hAnsi="Traditional Arabic"/>
          <w:sz w:val="32"/>
          <w:szCs w:val="32"/>
          <w:rtl/>
        </w:rPr>
        <w:t>.</w:t>
      </w:r>
    </w:p>
    <w:p w:rsidR="000D3D21" w:rsidRPr="00107B85" w:rsidRDefault="000D3D21" w:rsidP="006431D6">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536E6E">
        <w:rPr>
          <w:rFonts w:ascii="Traditional Arabic" w:hAnsi="Traditional Arabic"/>
          <w:b/>
          <w:bCs/>
          <w:sz w:val="32"/>
          <w:szCs w:val="32"/>
          <w:rtl/>
        </w:rPr>
        <w:t xml:space="preserve">تنبيه: </w:t>
      </w:r>
      <w:r w:rsidRPr="00536E6E">
        <w:rPr>
          <w:rFonts w:ascii="Traditional Arabic" w:hAnsi="Traditional Arabic"/>
          <w:sz w:val="32"/>
          <w:szCs w:val="32"/>
          <w:rtl/>
        </w:rPr>
        <w:t xml:space="preserve">القاعدة باللفظ الذي ذكره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536E6E">
        <w:rPr>
          <w:rFonts w:ascii="Traditional Arabic" w:hAnsi="Traditional Arabic"/>
          <w:sz w:val="32"/>
          <w:szCs w:val="32"/>
          <w:rtl/>
        </w:rPr>
        <w:t xml:space="preserve"> تتعلق بالشطر الأخير من شرح </w:t>
      </w:r>
      <w:r w:rsidRPr="00107B85">
        <w:rPr>
          <w:rFonts w:ascii="Traditional Arabic" w:hAnsi="Traditional Arabic"/>
          <w:sz w:val="32"/>
          <w:szCs w:val="32"/>
          <w:rtl/>
        </w:rPr>
        <w:t>القاعدة.</w:t>
      </w:r>
    </w:p>
  </w:footnote>
  <w:footnote w:id="2248">
    <w:p w:rsidR="000D3D21" w:rsidRPr="00107B85"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07B85">
        <w:rPr>
          <w:rFonts w:ascii="Traditional Arabic" w:hAnsi="Traditional Arabic"/>
          <w:sz w:val="32"/>
          <w:szCs w:val="32"/>
          <w:rtl/>
        </w:rPr>
        <w:t>أخرجه عبد الرزاق في مصنفه في كتاب اللقطة، رقم الأثر (18631)، وابن أبي شيبة في مصنفه في كتاب البيوع والأقضية، باب في اللقطة ما يصنع بها؟</w:t>
      </w:r>
      <w:r>
        <w:rPr>
          <w:rFonts w:ascii="Traditional Arabic" w:hAnsi="Traditional Arabic" w:hint="cs"/>
          <w:sz w:val="32"/>
          <w:szCs w:val="32"/>
          <w:rtl/>
        </w:rPr>
        <w:t xml:space="preserve"> </w:t>
      </w:r>
      <w:r w:rsidRPr="00107B85">
        <w:rPr>
          <w:rFonts w:ascii="Traditional Arabic" w:hAnsi="Traditional Arabic"/>
          <w:sz w:val="32"/>
          <w:szCs w:val="32"/>
          <w:rtl/>
        </w:rPr>
        <w:t>رقم الأثر (22050).</w:t>
      </w:r>
    </w:p>
  </w:footnote>
  <w:footnote w:id="2249">
    <w:p w:rsidR="000D3D21" w:rsidRPr="00107B85"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07B85">
        <w:rPr>
          <w:rFonts w:ascii="Traditional Arabic" w:hAnsi="Traditional Arabic"/>
          <w:sz w:val="32"/>
          <w:szCs w:val="32"/>
          <w:rtl/>
        </w:rPr>
        <w:t>أخرجه سعيد بن منصور في سننه في كتاب الجهاد، باب ما جاء فيمن غل وندم، رقم الأثر (2732).</w:t>
      </w:r>
    </w:p>
    <w:p w:rsidR="000D3D21" w:rsidRPr="00107B85" w:rsidRDefault="000D3D21" w:rsidP="006431D6">
      <w:pPr>
        <w:pStyle w:val="a7"/>
        <w:pageBreakBefore/>
        <w:rPr>
          <w:rFonts w:ascii="Traditional Arabic" w:hAnsi="Traditional Arabic"/>
          <w:sz w:val="32"/>
          <w:szCs w:val="32"/>
        </w:rPr>
      </w:pPr>
    </w:p>
  </w:footnote>
  <w:footnote w:id="2250">
    <w:p w:rsidR="000D3D21" w:rsidRPr="00107B85"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07B85">
        <w:rPr>
          <w:rFonts w:ascii="Traditional Arabic" w:hAnsi="Traditional Arabic"/>
          <w:sz w:val="32"/>
          <w:szCs w:val="32"/>
          <w:rtl/>
        </w:rPr>
        <w:t>مجموع الفتاوى (29/321)، وانظر (30/328).</w:t>
      </w:r>
    </w:p>
  </w:footnote>
  <w:footnote w:id="2251">
    <w:p w:rsidR="000D3D21" w:rsidRPr="00107B85"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07B85">
        <w:rPr>
          <w:rFonts w:ascii="Traditional Arabic" w:hAnsi="Traditional Arabic"/>
          <w:sz w:val="32"/>
          <w:szCs w:val="32"/>
          <w:rtl/>
        </w:rPr>
        <w:t>انظر الشرح الممتع (10/190، 192، 193).</w:t>
      </w:r>
    </w:p>
  </w:footnote>
  <w:footnote w:id="2252">
    <w:p w:rsidR="000D3D21" w:rsidRPr="005941B9"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07B85">
        <w:rPr>
          <w:rFonts w:ascii="Traditional Arabic" w:hAnsi="Traditional Arabic"/>
          <w:sz w:val="32"/>
          <w:szCs w:val="32"/>
          <w:rtl/>
        </w:rPr>
        <w:t>انظر المرجع السابق (10/193).</w:t>
      </w:r>
    </w:p>
  </w:footnote>
  <w:footnote w:id="2253">
    <w:p w:rsidR="000D3D21" w:rsidRPr="00640564"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640564">
        <w:rPr>
          <w:rFonts w:ascii="Traditional Arabic" w:hAnsi="Traditional Arabic"/>
          <w:sz w:val="32"/>
          <w:szCs w:val="32"/>
          <w:rtl/>
        </w:rPr>
        <w:t xml:space="preserve"> (10/195).</w:t>
      </w:r>
    </w:p>
  </w:footnote>
  <w:footnote w:id="2254">
    <w:p w:rsidR="000D3D21" w:rsidRPr="004B6DD7"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6DD7">
        <w:rPr>
          <w:rFonts w:ascii="Traditional Arabic" w:hAnsi="Traditional Arabic"/>
          <w:sz w:val="32"/>
          <w:szCs w:val="32"/>
          <w:rtl/>
        </w:rPr>
        <w:t xml:space="preserve">الشرح الممتع (10/239)، وورد هذا الضابط عند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4B6DD7">
        <w:rPr>
          <w:rFonts w:ascii="Traditional Arabic" w:hAnsi="Traditional Arabic"/>
          <w:sz w:val="32"/>
          <w:szCs w:val="32"/>
          <w:rtl/>
        </w:rPr>
        <w:t xml:space="preserve"> بصيغ أخرى، منها:</w:t>
      </w:r>
    </w:p>
    <w:p w:rsidR="000D3D21" w:rsidRPr="004B6DD7" w:rsidRDefault="000D3D21" w:rsidP="000A76C7">
      <w:pPr>
        <w:pStyle w:val="a7"/>
        <w:pageBreakBefore/>
        <w:numPr>
          <w:ilvl w:val="0"/>
          <w:numId w:val="318"/>
        </w:numPr>
        <w:rPr>
          <w:rFonts w:ascii="Traditional Arabic" w:hAnsi="Traditional Arabic"/>
          <w:sz w:val="32"/>
          <w:szCs w:val="32"/>
          <w:rtl/>
        </w:rPr>
      </w:pPr>
      <w:r w:rsidRPr="004B6DD7">
        <w:rPr>
          <w:rFonts w:ascii="Traditional Arabic" w:hAnsi="Traditional Arabic"/>
          <w:noProof w:val="0"/>
          <w:sz w:val="32"/>
          <w:szCs w:val="32"/>
          <w:rtl/>
          <w:lang w:eastAsia="en-US"/>
        </w:rPr>
        <w:t>كلما خرج الشقص بالاختيار فإن للشريك أن يأخذ بالشفعة</w:t>
      </w:r>
      <w:r w:rsidRPr="004B6DD7">
        <w:rPr>
          <w:rFonts w:ascii="Traditional Arabic" w:hAnsi="Traditional Arabic"/>
          <w:sz w:val="32"/>
          <w:szCs w:val="32"/>
          <w:rtl/>
        </w:rPr>
        <w:t>.</w:t>
      </w:r>
      <w:r>
        <w:rPr>
          <w:rFonts w:ascii="Traditional Arabic" w:hAnsi="Traditional Arabic" w:hint="cs"/>
          <w:sz w:val="32"/>
          <w:szCs w:val="32"/>
          <w:rtl/>
        </w:rPr>
        <w:t xml:space="preserve"> </w:t>
      </w:r>
      <w:r w:rsidRPr="004B6DD7">
        <w:rPr>
          <w:rFonts w:ascii="Traditional Arabic" w:hAnsi="Traditional Arabic"/>
          <w:sz w:val="32"/>
          <w:szCs w:val="32"/>
          <w:rtl/>
        </w:rPr>
        <w:t>الشرج الممتع (10/234). الشفعة تثبت في كل انتقال اختياري.</w:t>
      </w:r>
      <w:r>
        <w:rPr>
          <w:rFonts w:ascii="Traditional Arabic" w:hAnsi="Traditional Arabic" w:hint="cs"/>
          <w:sz w:val="32"/>
          <w:szCs w:val="32"/>
          <w:rtl/>
        </w:rPr>
        <w:t xml:space="preserve"> </w:t>
      </w:r>
      <w:r w:rsidRPr="004B6DD7">
        <w:rPr>
          <w:rFonts w:ascii="Traditional Arabic" w:hAnsi="Traditional Arabic"/>
          <w:sz w:val="32"/>
          <w:szCs w:val="32"/>
          <w:rtl/>
        </w:rPr>
        <w:t xml:space="preserve">فتح ذي الجلال والإكرام (4/224). </w:t>
      </w:r>
    </w:p>
    <w:p w:rsidR="000D3D21" w:rsidRPr="004B6DD7" w:rsidRDefault="000D3D21" w:rsidP="006431D6">
      <w:pPr>
        <w:pStyle w:val="a7"/>
        <w:pageBreakBefore/>
        <w:rPr>
          <w:rFonts w:ascii="Traditional Arabic" w:hAnsi="Traditional Arabic"/>
          <w:sz w:val="32"/>
          <w:szCs w:val="32"/>
        </w:rPr>
      </w:pPr>
      <w:r>
        <w:rPr>
          <w:rFonts w:ascii="Traditional Arabic" w:hAnsi="Traditional Arabic" w:hint="cs"/>
          <w:sz w:val="32"/>
          <w:szCs w:val="32"/>
          <w:rtl/>
        </w:rPr>
        <w:t xml:space="preserve">     </w:t>
      </w:r>
      <w:r w:rsidRPr="004B6DD7">
        <w:rPr>
          <w:rFonts w:ascii="Traditional Arabic" w:hAnsi="Traditional Arabic"/>
          <w:sz w:val="32"/>
          <w:szCs w:val="32"/>
          <w:rtl/>
        </w:rPr>
        <w:t>وانظر الكليات الفقهية للمقري (160).</w:t>
      </w:r>
    </w:p>
  </w:footnote>
  <w:footnote w:id="2255">
    <w:p w:rsidR="000D3D21" w:rsidRPr="004B6DD7" w:rsidRDefault="000D3D21" w:rsidP="003A770A">
      <w:pPr>
        <w:pStyle w:val="a7"/>
        <w:pageBreakBefore/>
        <w:rPr>
          <w:rFonts w:ascii="Traditional Arabic" w:hAnsi="Traditional Arabic"/>
          <w:b/>
          <w:bCs/>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4B6DD7">
        <w:rPr>
          <w:rFonts w:ascii="Traditional Arabic" w:hAnsi="Traditional Arabic"/>
          <w:b/>
          <w:bCs/>
          <w:sz w:val="32"/>
          <w:szCs w:val="32"/>
          <w:rtl/>
        </w:rPr>
        <w:t>التركة</w:t>
      </w:r>
      <w:r w:rsidR="00AB0B9E">
        <w:rPr>
          <w:rFonts w:ascii="Traditional Arabic" w:hAnsi="Traditional Arabic"/>
          <w:b/>
          <w:bCs/>
          <w:sz w:val="32"/>
          <w:szCs w:val="32"/>
          <w:rtl/>
        </w:rPr>
        <w:fldChar w:fldCharType="begin"/>
      </w:r>
      <w:r>
        <w:instrText xml:space="preserve"> XE "</w:instrText>
      </w:r>
      <w:r w:rsidRPr="003A770A">
        <w:rPr>
          <w:rFonts w:ascii="Traditional Arabic" w:hAnsi="Traditional Arabic"/>
          <w:sz w:val="32"/>
          <w:szCs w:val="32"/>
          <w:rtl/>
        </w:rPr>
        <w:instrText>التركة</w:instrText>
      </w:r>
      <w:r>
        <w:instrText xml:space="preserve">" </w:instrText>
      </w:r>
      <w:r w:rsidRPr="003A770A">
        <w:instrText xml:space="preserve">\fm </w:instrText>
      </w:r>
      <w:r w:rsidR="00AB0B9E">
        <w:rPr>
          <w:rFonts w:ascii="Traditional Arabic" w:hAnsi="Traditional Arabic"/>
          <w:b/>
          <w:bCs/>
          <w:sz w:val="32"/>
          <w:szCs w:val="32"/>
          <w:rtl/>
        </w:rPr>
        <w:fldChar w:fldCharType="end"/>
      </w:r>
      <w:r w:rsidRPr="004B6DD7">
        <w:rPr>
          <w:rFonts w:ascii="Traditional Arabic" w:hAnsi="Traditional Arabic"/>
          <w:b/>
          <w:bCs/>
          <w:sz w:val="32"/>
          <w:szCs w:val="32"/>
          <w:rtl/>
        </w:rPr>
        <w:t xml:space="preserve">: </w:t>
      </w:r>
      <w:r w:rsidRPr="004B6DD7">
        <w:rPr>
          <w:rFonts w:ascii="Traditional Arabic" w:hAnsi="Traditional Arabic"/>
          <w:noProof w:val="0"/>
          <w:sz w:val="32"/>
          <w:szCs w:val="32"/>
          <w:rtl/>
          <w:lang w:eastAsia="en-US"/>
        </w:rPr>
        <w:t>التراث المتروك عن الميت.</w:t>
      </w:r>
      <w:r>
        <w:rPr>
          <w:rFonts w:ascii="Traditional Arabic" w:hAnsi="Traditional Arabic" w:hint="cs"/>
          <w:noProof w:val="0"/>
          <w:sz w:val="32"/>
          <w:szCs w:val="32"/>
          <w:rtl/>
          <w:lang w:eastAsia="en-US"/>
        </w:rPr>
        <w:t xml:space="preserve"> </w:t>
      </w:r>
      <w:r>
        <w:rPr>
          <w:rFonts w:ascii="Traditional Arabic" w:hAnsi="Traditional Arabic"/>
          <w:sz w:val="32"/>
          <w:szCs w:val="32"/>
          <w:rtl/>
        </w:rPr>
        <w:t>المطلع على أ</w:t>
      </w:r>
      <w:r>
        <w:rPr>
          <w:rFonts w:ascii="Traditional Arabic" w:hAnsi="Traditional Arabic" w:hint="cs"/>
          <w:sz w:val="32"/>
          <w:szCs w:val="32"/>
          <w:rtl/>
        </w:rPr>
        <w:t>لفاظ</w:t>
      </w:r>
      <w:r w:rsidRPr="004B6DD7">
        <w:rPr>
          <w:rFonts w:ascii="Traditional Arabic" w:hAnsi="Traditional Arabic"/>
          <w:sz w:val="32"/>
          <w:szCs w:val="32"/>
          <w:rtl/>
        </w:rPr>
        <w:t xml:space="preserve"> المقنع (270).</w:t>
      </w:r>
    </w:p>
  </w:footnote>
  <w:footnote w:id="2256">
    <w:p w:rsidR="000D3D21" w:rsidRPr="004552E4"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4B6DD7">
        <w:rPr>
          <w:rFonts w:ascii="Traditional Arabic" w:hAnsi="Traditional Arabic"/>
          <w:sz w:val="32"/>
          <w:szCs w:val="32"/>
          <w:rtl/>
        </w:rPr>
        <w:t>انظر الشرح الممتع (10/231، 232، 234،237، 239).</w:t>
      </w:r>
    </w:p>
  </w:footnote>
  <w:footnote w:id="2257">
    <w:p w:rsidR="000D3D21" w:rsidRPr="00C93731"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شرح الممتع</w:t>
      </w:r>
      <w:r w:rsidRPr="004552E4">
        <w:rPr>
          <w:rFonts w:ascii="Traditional Arabic" w:hAnsi="Traditional Arabic"/>
          <w:sz w:val="32"/>
          <w:szCs w:val="32"/>
          <w:rtl/>
        </w:rPr>
        <w:t xml:space="preserve"> (10/232، 233، 236</w:t>
      </w:r>
      <w:r>
        <w:rPr>
          <w:rFonts w:ascii="Traditional Arabic" w:hAnsi="Traditional Arabic"/>
          <w:sz w:val="32"/>
          <w:szCs w:val="32"/>
          <w:rtl/>
        </w:rPr>
        <w:t>)</w:t>
      </w:r>
      <w:r>
        <w:rPr>
          <w:rFonts w:ascii="Traditional Arabic" w:hAnsi="Traditional Arabic" w:hint="cs"/>
          <w:sz w:val="32"/>
          <w:szCs w:val="32"/>
          <w:rtl/>
        </w:rPr>
        <w:t>.</w:t>
      </w:r>
    </w:p>
  </w:footnote>
  <w:footnote w:id="2258">
    <w:p w:rsidR="000D3D21" w:rsidRPr="0088377B"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8377B">
        <w:rPr>
          <w:rFonts w:ascii="Traditional Arabic" w:hAnsi="Traditional Arabic"/>
          <w:sz w:val="32"/>
          <w:szCs w:val="32"/>
          <w:rtl/>
        </w:rPr>
        <w:t>انظر الشرح الممتع (10/237).</w:t>
      </w:r>
    </w:p>
  </w:footnote>
  <w:footnote w:id="2259">
    <w:p w:rsidR="000D3D21" w:rsidRPr="0088377B" w:rsidRDefault="000D3D21" w:rsidP="003A770A">
      <w:pPr>
        <w:pStyle w:val="a7"/>
        <w:pageBreakBefore/>
        <w:rPr>
          <w:rFonts w:ascii="Traditional Arabic" w:hAnsi="Traditional Arabic"/>
          <w:b/>
          <w:bCs/>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b/>
          <w:bCs/>
          <w:sz w:val="32"/>
          <w:szCs w:val="32"/>
          <w:rtl/>
        </w:rPr>
        <w:t xml:space="preserve"> </w:t>
      </w:r>
      <w:r w:rsidRPr="0088377B">
        <w:rPr>
          <w:rFonts w:ascii="Traditional Arabic" w:hAnsi="Traditional Arabic"/>
          <w:b/>
          <w:bCs/>
          <w:sz w:val="32"/>
          <w:szCs w:val="32"/>
          <w:rtl/>
        </w:rPr>
        <w:t>الخلع</w:t>
      </w:r>
      <w:r w:rsidR="00AB0B9E">
        <w:rPr>
          <w:rFonts w:ascii="Traditional Arabic" w:hAnsi="Traditional Arabic"/>
          <w:b/>
          <w:bCs/>
          <w:sz w:val="32"/>
          <w:szCs w:val="32"/>
          <w:rtl/>
        </w:rPr>
        <w:fldChar w:fldCharType="begin"/>
      </w:r>
      <w:r>
        <w:instrText xml:space="preserve"> XE "</w:instrText>
      </w:r>
      <w:r w:rsidRPr="003A770A">
        <w:rPr>
          <w:rFonts w:ascii="Traditional Arabic" w:hAnsi="Traditional Arabic"/>
          <w:sz w:val="32"/>
          <w:szCs w:val="32"/>
          <w:rtl/>
        </w:rPr>
        <w:instrText>الخلع</w:instrText>
      </w:r>
      <w:r>
        <w:instrText xml:space="preserve">" </w:instrText>
      </w:r>
      <w:r w:rsidRPr="003A770A">
        <w:instrText xml:space="preserve">\fm </w:instrText>
      </w:r>
      <w:r w:rsidR="00AB0B9E">
        <w:rPr>
          <w:rFonts w:ascii="Traditional Arabic" w:hAnsi="Traditional Arabic"/>
          <w:b/>
          <w:bCs/>
          <w:sz w:val="32"/>
          <w:szCs w:val="32"/>
          <w:rtl/>
        </w:rPr>
        <w:fldChar w:fldCharType="end"/>
      </w:r>
      <w:r w:rsidRPr="0088377B">
        <w:rPr>
          <w:rFonts w:ascii="Traditional Arabic" w:hAnsi="Traditional Arabic"/>
          <w:b/>
          <w:bCs/>
          <w:sz w:val="32"/>
          <w:szCs w:val="32"/>
          <w:rtl/>
        </w:rPr>
        <w:t xml:space="preserve"> لغة: </w:t>
      </w:r>
      <w:r w:rsidRPr="0088377B">
        <w:rPr>
          <w:rFonts w:ascii="Traditional Arabic" w:hAnsi="Traditional Arabic"/>
          <w:noProof w:val="0"/>
          <w:color w:val="auto"/>
          <w:sz w:val="32"/>
          <w:szCs w:val="32"/>
          <w:rtl/>
          <w:lang w:eastAsia="en-US"/>
        </w:rPr>
        <w:t>خَلَعَ امْرَأَتَهُ خُلْعًا، وخالَعَها مُخالعةً، واختلعتْ هي منه، فهي خالعُ، وأصله: من خلع الثوب.</w:t>
      </w:r>
      <w:r>
        <w:rPr>
          <w:rFonts w:ascii="Traditional Arabic" w:hAnsi="Traditional Arabic" w:hint="cs"/>
          <w:noProof w:val="0"/>
          <w:color w:val="auto"/>
          <w:sz w:val="32"/>
          <w:szCs w:val="32"/>
          <w:rtl/>
          <w:lang w:eastAsia="en-US"/>
        </w:rPr>
        <w:t xml:space="preserve"> </w:t>
      </w:r>
      <w:r>
        <w:rPr>
          <w:rFonts w:ascii="Traditional Arabic" w:hAnsi="Traditional Arabic"/>
          <w:sz w:val="32"/>
          <w:szCs w:val="32"/>
          <w:rtl/>
        </w:rPr>
        <w:t>المطلع على أ</w:t>
      </w:r>
      <w:r>
        <w:rPr>
          <w:rFonts w:ascii="Traditional Arabic" w:hAnsi="Traditional Arabic" w:hint="cs"/>
          <w:sz w:val="32"/>
          <w:szCs w:val="32"/>
          <w:rtl/>
        </w:rPr>
        <w:t>لفاظ</w:t>
      </w:r>
      <w:r w:rsidRPr="0088377B">
        <w:rPr>
          <w:rFonts w:ascii="Traditional Arabic" w:hAnsi="Traditional Arabic"/>
          <w:sz w:val="32"/>
          <w:szCs w:val="32"/>
          <w:rtl/>
        </w:rPr>
        <w:t xml:space="preserve"> المقنع (403).</w:t>
      </w:r>
    </w:p>
    <w:p w:rsidR="000D3D21" w:rsidRDefault="000D3D21" w:rsidP="006431D6">
      <w:pPr>
        <w:pStyle w:val="a7"/>
        <w:pageBreakBefore/>
        <w:rPr>
          <w:rFonts w:ascii="Traditional Arabic" w:hAnsi="Traditional Arabic"/>
          <w:sz w:val="32"/>
          <w:szCs w:val="32"/>
          <w:rtl/>
        </w:rPr>
      </w:pPr>
      <w:r>
        <w:rPr>
          <w:rFonts w:ascii="Traditional Arabic" w:hAnsi="Traditional Arabic" w:hint="cs"/>
          <w:b/>
          <w:bCs/>
          <w:sz w:val="32"/>
          <w:szCs w:val="32"/>
          <w:rtl/>
        </w:rPr>
        <w:t xml:space="preserve">     </w:t>
      </w:r>
      <w:r>
        <w:rPr>
          <w:rFonts w:ascii="Traditional Arabic" w:hAnsi="Traditional Arabic"/>
          <w:b/>
          <w:bCs/>
          <w:sz w:val="32"/>
          <w:szCs w:val="32"/>
          <w:rtl/>
        </w:rPr>
        <w:t xml:space="preserve">الخلع </w:t>
      </w:r>
      <w:r>
        <w:rPr>
          <w:rFonts w:ascii="Traditional Arabic" w:hAnsi="Traditional Arabic" w:hint="cs"/>
          <w:b/>
          <w:bCs/>
          <w:sz w:val="32"/>
          <w:szCs w:val="32"/>
          <w:rtl/>
        </w:rPr>
        <w:t>شرعا</w:t>
      </w:r>
      <w:r w:rsidRPr="0088377B">
        <w:rPr>
          <w:rFonts w:ascii="Traditional Arabic" w:hAnsi="Traditional Arabic"/>
          <w:b/>
          <w:bCs/>
          <w:sz w:val="32"/>
          <w:szCs w:val="32"/>
          <w:rtl/>
        </w:rPr>
        <w:t xml:space="preserve">: </w:t>
      </w:r>
      <w:r w:rsidRPr="0088377B">
        <w:rPr>
          <w:rFonts w:ascii="Traditional Arabic" w:hAnsi="Traditional Arabic"/>
          <w:noProof w:val="0"/>
          <w:sz w:val="32"/>
          <w:szCs w:val="32"/>
          <w:rtl/>
          <w:lang w:eastAsia="en-US"/>
        </w:rPr>
        <w:t>فراق الزوج امرأته بعوض</w:t>
      </w:r>
      <w:r w:rsidRPr="0088377B">
        <w:rPr>
          <w:rFonts w:ascii="Traditional Arabic" w:hAnsi="Traditional Arabic"/>
          <w:b/>
          <w:bCs/>
          <w:sz w:val="32"/>
          <w:szCs w:val="32"/>
          <w:rtl/>
        </w:rPr>
        <w:t>.</w:t>
      </w:r>
      <w:r>
        <w:rPr>
          <w:rFonts w:ascii="Traditional Arabic" w:hAnsi="Traditional Arabic" w:hint="cs"/>
          <w:sz w:val="32"/>
          <w:szCs w:val="32"/>
          <w:rtl/>
        </w:rPr>
        <w:t xml:space="preserve"> </w:t>
      </w:r>
      <w:r w:rsidRPr="0088377B">
        <w:rPr>
          <w:rFonts w:ascii="Traditional Arabic" w:hAnsi="Traditional Arabic"/>
          <w:sz w:val="32"/>
          <w:szCs w:val="32"/>
          <w:rtl/>
        </w:rPr>
        <w:t>الإنصاف للمرداوي (22/5).</w:t>
      </w:r>
    </w:p>
    <w:p w:rsidR="000D3D21" w:rsidRPr="001470E7" w:rsidRDefault="000D3D21" w:rsidP="006431D6">
      <w:pPr>
        <w:pStyle w:val="a7"/>
        <w:pageBreakBefore/>
        <w:rPr>
          <w:rFonts w:ascii="Traditional Arabic" w:hAnsi="Traditional Arabic"/>
          <w:sz w:val="32"/>
          <w:szCs w:val="32"/>
        </w:rPr>
      </w:pPr>
      <w:r>
        <w:rPr>
          <w:rFonts w:ascii="Traditional Arabic" w:hAnsi="Traditional Arabic" w:hint="cs"/>
          <w:sz w:val="32"/>
          <w:szCs w:val="32"/>
          <w:rtl/>
        </w:rPr>
        <w:t xml:space="preserve">     وهنا المرأة هي التي تجعل نصيبها عوضا في الخلع؛ لأنها هي التي تعطي مالا للزوج في مقابل أن يفارقها.</w:t>
      </w:r>
    </w:p>
  </w:footnote>
  <w:footnote w:id="2260">
    <w:p w:rsidR="000D3D21" w:rsidRPr="00736025"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88377B">
        <w:rPr>
          <w:rFonts w:ascii="Traditional Arabic" w:hAnsi="Traditional Arabic"/>
          <w:sz w:val="32"/>
          <w:szCs w:val="32"/>
          <w:rtl/>
        </w:rPr>
        <w:t>انظر الشرح الممتع (10/238-239</w:t>
      </w:r>
      <w:r>
        <w:rPr>
          <w:rFonts w:ascii="Traditional Arabic" w:hAnsi="Traditional Arabic"/>
          <w:sz w:val="32"/>
          <w:szCs w:val="32"/>
          <w:rtl/>
        </w:rPr>
        <w:t>)</w:t>
      </w:r>
      <w:r>
        <w:rPr>
          <w:rFonts w:ascii="Traditional Arabic" w:hAnsi="Traditional Arabic" w:hint="cs"/>
          <w:sz w:val="32"/>
          <w:szCs w:val="32"/>
          <w:rtl/>
        </w:rPr>
        <w:t>.</w:t>
      </w:r>
    </w:p>
  </w:footnote>
  <w:footnote w:id="2261">
    <w:p w:rsidR="000D3D21" w:rsidRPr="00C13A2B"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3A2B">
        <w:rPr>
          <w:rFonts w:ascii="Traditional Arabic" w:hAnsi="Traditional Arabic"/>
          <w:sz w:val="32"/>
          <w:szCs w:val="32"/>
          <w:rtl/>
        </w:rPr>
        <w:t>الشرح الممتع (10/266).</w:t>
      </w:r>
    </w:p>
    <w:p w:rsidR="000D3D21" w:rsidRPr="00C13A2B" w:rsidRDefault="000D3D21" w:rsidP="006431D6">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C13A2B">
        <w:rPr>
          <w:rFonts w:ascii="Traditional Arabic" w:hAnsi="Traditional Arabic"/>
          <w:b/>
          <w:bCs/>
          <w:sz w:val="32"/>
          <w:szCs w:val="32"/>
          <w:rtl/>
        </w:rPr>
        <w:t xml:space="preserve">تنبيه: </w:t>
      </w:r>
      <w:r>
        <w:rPr>
          <w:rFonts w:ascii="Traditional Arabic" w:hAnsi="Traditional Arabic"/>
          <w:sz w:val="32"/>
          <w:szCs w:val="32"/>
          <w:rtl/>
        </w:rPr>
        <w:t>ظهر</w:t>
      </w:r>
      <w:r>
        <w:rPr>
          <w:rFonts w:ascii="Traditional Arabic" w:hAnsi="Traditional Arabic" w:hint="cs"/>
          <w:sz w:val="32"/>
          <w:szCs w:val="32"/>
          <w:rtl/>
        </w:rPr>
        <w:t xml:space="preserve">لي </w:t>
      </w:r>
      <w:r w:rsidRPr="00C13A2B">
        <w:rPr>
          <w:rFonts w:ascii="Traditional Arabic" w:hAnsi="Traditional Arabic"/>
          <w:sz w:val="32"/>
          <w:szCs w:val="32"/>
          <w:rtl/>
        </w:rPr>
        <w:t xml:space="preserve">بعد التدقيق في كلام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C13A2B">
        <w:rPr>
          <w:rFonts w:ascii="Traditional Arabic" w:hAnsi="Traditional Arabic"/>
          <w:sz w:val="32"/>
          <w:szCs w:val="32"/>
          <w:rtl/>
        </w:rPr>
        <w:t xml:space="preserve"> أن هذا </w:t>
      </w:r>
      <w:r>
        <w:rPr>
          <w:rFonts w:ascii="Traditional Arabic" w:hAnsi="Traditional Arabic" w:hint="cs"/>
          <w:sz w:val="32"/>
          <w:szCs w:val="32"/>
          <w:rtl/>
        </w:rPr>
        <w:t xml:space="preserve">الضابط </w:t>
      </w:r>
      <w:r w:rsidRPr="00C13A2B">
        <w:rPr>
          <w:rFonts w:ascii="Traditional Arabic" w:hAnsi="Traditional Arabic"/>
          <w:sz w:val="32"/>
          <w:szCs w:val="32"/>
          <w:rtl/>
        </w:rPr>
        <w:t>يصلح أن يكون ضابطا</w:t>
      </w:r>
      <w:r>
        <w:rPr>
          <w:rFonts w:ascii="Traditional Arabic" w:hAnsi="Traditional Arabic" w:hint="cs"/>
          <w:sz w:val="32"/>
          <w:szCs w:val="32"/>
          <w:rtl/>
        </w:rPr>
        <w:t>ً</w:t>
      </w:r>
      <w:r w:rsidRPr="00C13A2B">
        <w:rPr>
          <w:rFonts w:ascii="Traditional Arabic" w:hAnsi="Traditional Arabic"/>
          <w:sz w:val="32"/>
          <w:szCs w:val="32"/>
          <w:rtl/>
        </w:rPr>
        <w:t xml:space="preserve"> بناء</w:t>
      </w:r>
      <w:r>
        <w:rPr>
          <w:rFonts w:ascii="Traditional Arabic" w:hAnsi="Traditional Arabic" w:hint="cs"/>
          <w:sz w:val="32"/>
          <w:szCs w:val="32"/>
          <w:rtl/>
        </w:rPr>
        <w:t>ً</w:t>
      </w:r>
      <w:r w:rsidRPr="00C13A2B">
        <w:rPr>
          <w:rFonts w:ascii="Traditional Arabic" w:hAnsi="Traditional Arabic"/>
          <w:sz w:val="32"/>
          <w:szCs w:val="32"/>
          <w:rtl/>
        </w:rPr>
        <w:t xml:space="preserve"> على ما رجحه  الحجاوي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C13A2B">
        <w:rPr>
          <w:rFonts w:ascii="Traditional Arabic" w:hAnsi="Traditional Arabic"/>
          <w:sz w:val="32"/>
          <w:szCs w:val="32"/>
          <w:rtl/>
        </w:rPr>
        <w:t xml:space="preserve"> في متن زاد المستقنع؛ لأن الشيخ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C13A2B">
        <w:rPr>
          <w:rFonts w:ascii="Traditional Arabic" w:hAnsi="Traditional Arabic"/>
          <w:sz w:val="32"/>
          <w:szCs w:val="32"/>
          <w:rtl/>
        </w:rPr>
        <w:t xml:space="preserve"> خالفه في </w:t>
      </w:r>
      <w:r>
        <w:rPr>
          <w:rFonts w:ascii="Traditional Arabic" w:hAnsi="Traditional Arabic"/>
          <w:sz w:val="32"/>
          <w:szCs w:val="32"/>
          <w:rtl/>
        </w:rPr>
        <w:t>ذلك، كما سيتبين</w:t>
      </w:r>
      <w:r w:rsidRPr="00C13A2B">
        <w:rPr>
          <w:rFonts w:ascii="Traditional Arabic" w:hAnsi="Traditional Arabic"/>
          <w:sz w:val="32"/>
          <w:szCs w:val="32"/>
          <w:rtl/>
        </w:rPr>
        <w:t xml:space="preserve"> عند ذكر تطبيقات الضابط.</w:t>
      </w:r>
    </w:p>
  </w:footnote>
  <w:footnote w:id="2262">
    <w:p w:rsidR="000D3D21" w:rsidRPr="00C13A2B"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3A2B">
        <w:rPr>
          <w:rFonts w:ascii="Traditional Arabic" w:hAnsi="Traditional Arabic"/>
          <w:sz w:val="32"/>
          <w:szCs w:val="32"/>
          <w:rtl/>
        </w:rPr>
        <w:t>تصرف المشتري تصرفا ينقل الملك على وجه تثبت به الشفعة ابتداء مثلما لو تصرف في الشقص ببيع، فهنا يكون للشفيع الحق في أخذ الشقص بأحد البيعين.</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C13A2B">
        <w:rPr>
          <w:rFonts w:ascii="Traditional Arabic" w:hAnsi="Traditional Arabic"/>
          <w:sz w:val="32"/>
          <w:szCs w:val="32"/>
          <w:rtl/>
        </w:rPr>
        <w:t xml:space="preserve"> (10/267). </w:t>
      </w:r>
    </w:p>
  </w:footnote>
  <w:footnote w:id="2263">
    <w:p w:rsidR="000D3D21" w:rsidRPr="00C13A2B"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3A2B">
        <w:rPr>
          <w:rFonts w:ascii="Traditional Arabic" w:hAnsi="Traditional Arabic"/>
          <w:sz w:val="32"/>
          <w:szCs w:val="32"/>
          <w:rtl/>
        </w:rPr>
        <w:t>هذا هو المذهب عند الحنابلة، وقد تقدم في الضابط المتقدم في الشفعة أن الراجح أن كون العوض ماليا أو غير مالي لا أثر له، وإنما إذا انتقل الملك على وجه اختياري ففيه الشفعة مطلقا.</w:t>
      </w:r>
      <w:r>
        <w:rPr>
          <w:rFonts w:ascii="Traditional Arabic" w:hAnsi="Traditional Arabic" w:hint="cs"/>
          <w:sz w:val="32"/>
          <w:szCs w:val="32"/>
          <w:rtl/>
        </w:rPr>
        <w:t xml:space="preserve"> </w:t>
      </w:r>
      <w:r>
        <w:rPr>
          <w:rFonts w:ascii="Traditional Arabic" w:hAnsi="Traditional Arabic"/>
          <w:sz w:val="32"/>
          <w:szCs w:val="32"/>
          <w:rtl/>
        </w:rPr>
        <w:t>انظر: ال</w:t>
      </w:r>
      <w:r>
        <w:rPr>
          <w:rFonts w:ascii="Traditional Arabic" w:hAnsi="Traditional Arabic" w:hint="cs"/>
          <w:sz w:val="32"/>
          <w:szCs w:val="32"/>
          <w:rtl/>
        </w:rPr>
        <w:t>مرجع السابق</w:t>
      </w:r>
      <w:r w:rsidRPr="00C13A2B">
        <w:rPr>
          <w:rFonts w:ascii="Traditional Arabic" w:hAnsi="Traditional Arabic"/>
          <w:sz w:val="32"/>
          <w:szCs w:val="32"/>
          <w:rtl/>
        </w:rPr>
        <w:t xml:space="preserve"> (10/239)، والمغني لابن قدامة (7/444). </w:t>
      </w:r>
    </w:p>
  </w:footnote>
  <w:footnote w:id="2264">
    <w:p w:rsidR="000D3D21" w:rsidRPr="00C13A2B" w:rsidRDefault="000D3D21" w:rsidP="006431D6">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3A2B">
        <w:rPr>
          <w:rFonts w:ascii="Traditional Arabic" w:hAnsi="Traditional Arabic"/>
          <w:sz w:val="32"/>
          <w:szCs w:val="32"/>
          <w:rtl/>
        </w:rPr>
        <w:t>انظر الشرح الممتع (10/263، 266).</w:t>
      </w:r>
    </w:p>
  </w:footnote>
  <w:footnote w:id="2265">
    <w:p w:rsidR="000D3D21" w:rsidRPr="00A60EAE" w:rsidRDefault="000D3D21" w:rsidP="006431D6">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C13A2B">
        <w:rPr>
          <w:rFonts w:ascii="Traditional Arabic" w:hAnsi="Traditional Arabic"/>
          <w:sz w:val="32"/>
          <w:szCs w:val="32"/>
          <w:rtl/>
        </w:rPr>
        <w:t>انظر: الروض المربع(7/290)، وحاشية الروض المربع لابن قاسم (5/443).</w:t>
      </w:r>
    </w:p>
  </w:footnote>
  <w:footnote w:id="2266">
    <w:p w:rsidR="000D3D21" w:rsidRPr="00A67465" w:rsidRDefault="000D3D21" w:rsidP="006431D6">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A67465">
        <w:rPr>
          <w:rFonts w:ascii="Traditional Arabic" w:hAnsi="Traditional Arabic"/>
          <w:sz w:val="32"/>
          <w:szCs w:val="32"/>
          <w:rtl/>
        </w:rPr>
        <w:t>انظر الشرح الممتع (10/263، 266).</w:t>
      </w:r>
    </w:p>
    <w:p w:rsidR="000D3D21" w:rsidRPr="007E3748" w:rsidRDefault="000D3D21" w:rsidP="006431D6">
      <w:pPr>
        <w:pStyle w:val="a7"/>
        <w:pageBreakBefore/>
        <w:rPr>
          <w:rFonts w:ascii="Tahoma" w:hAnsi="Tahoma"/>
        </w:rPr>
      </w:pPr>
      <w:r>
        <w:rPr>
          <w:rFonts w:ascii="Traditional Arabic" w:hAnsi="Traditional Arabic" w:hint="cs"/>
          <w:b/>
          <w:bCs/>
          <w:sz w:val="32"/>
          <w:szCs w:val="32"/>
          <w:rtl/>
        </w:rPr>
        <w:t xml:space="preserve">     </w:t>
      </w:r>
      <w:r w:rsidRPr="00A67465">
        <w:rPr>
          <w:rFonts w:ascii="Traditional Arabic" w:hAnsi="Traditional Arabic"/>
          <w:b/>
          <w:bCs/>
          <w:sz w:val="32"/>
          <w:szCs w:val="32"/>
          <w:rtl/>
        </w:rPr>
        <w:t xml:space="preserve">تنبيه: </w:t>
      </w:r>
      <w:r w:rsidRPr="00A67465">
        <w:rPr>
          <w:rFonts w:ascii="Traditional Arabic" w:hAnsi="Traditional Arabic"/>
          <w:sz w:val="32"/>
          <w:szCs w:val="32"/>
          <w:rtl/>
        </w:rPr>
        <w:t xml:space="preserve">رجح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A67465">
        <w:rPr>
          <w:rFonts w:ascii="Traditional Arabic" w:hAnsi="Traditional Arabic"/>
          <w:sz w:val="32"/>
          <w:szCs w:val="32"/>
          <w:rtl/>
        </w:rPr>
        <w:t xml:space="preserve"> أن هذا التصرف لا ي</w:t>
      </w:r>
      <w:r>
        <w:rPr>
          <w:rFonts w:ascii="Traditional Arabic" w:hAnsi="Traditional Arabic" w:hint="cs"/>
          <w:sz w:val="32"/>
          <w:szCs w:val="32"/>
          <w:rtl/>
        </w:rPr>
        <w:t>ُ</w:t>
      </w:r>
      <w:r w:rsidRPr="00A67465">
        <w:rPr>
          <w:rFonts w:ascii="Traditional Arabic" w:hAnsi="Traditional Arabic"/>
          <w:sz w:val="32"/>
          <w:szCs w:val="32"/>
          <w:rtl/>
        </w:rPr>
        <w:t>بطل حق الشفيع؛</w:t>
      </w:r>
      <w:r>
        <w:rPr>
          <w:rFonts w:ascii="Traditional Arabic" w:hAnsi="Traditional Arabic" w:hint="cs"/>
          <w:sz w:val="32"/>
          <w:szCs w:val="32"/>
          <w:rtl/>
        </w:rPr>
        <w:t xml:space="preserve"> </w:t>
      </w:r>
      <w:r w:rsidRPr="00A67465">
        <w:rPr>
          <w:rFonts w:ascii="Traditional Arabic" w:hAnsi="Traditional Arabic"/>
          <w:noProof w:val="0"/>
          <w:sz w:val="32"/>
          <w:szCs w:val="32"/>
          <w:rtl/>
          <w:lang w:eastAsia="en-US"/>
        </w:rPr>
        <w:t>لأن هذا الشقص انتقل من شريكه على وجه تثبت به الشفعة؛ لأن الملك انتقل على وجه اختياري، فكان ثبوت الشفعة سابقا على تصرف المشتري، وإذا تزاحمت الحقوق أُخذ بالأسبق</w:t>
      </w:r>
      <w:r w:rsidRPr="00A67465">
        <w:rPr>
          <w:rFonts w:ascii="Traditional Arabic" w:hAnsi="Traditional Arabic"/>
          <w:sz w:val="32"/>
          <w:szCs w:val="32"/>
          <w:rtl/>
        </w:rPr>
        <w:t>.</w:t>
      </w:r>
      <w:r>
        <w:rPr>
          <w:rFonts w:ascii="Traditional Arabic" w:hAnsi="Traditional Arabic" w:hint="cs"/>
          <w:sz w:val="32"/>
          <w:szCs w:val="32"/>
          <w:rtl/>
        </w:rPr>
        <w:t xml:space="preserve"> </w:t>
      </w:r>
      <w:r w:rsidRPr="00A67465">
        <w:rPr>
          <w:rFonts w:ascii="Traditional Arabic" w:hAnsi="Traditional Arabic"/>
          <w:sz w:val="32"/>
          <w:szCs w:val="32"/>
          <w:rtl/>
        </w:rPr>
        <w:t>انظر المرجع السابق (10/266-267).</w:t>
      </w:r>
    </w:p>
  </w:footnote>
  <w:footnote w:id="2267">
    <w:p w:rsidR="000D3D21" w:rsidRPr="001D485D" w:rsidRDefault="000D3D21" w:rsidP="005C189B">
      <w:pPr>
        <w:pStyle w:val="a7"/>
        <w:pageBreakBefore/>
        <w:rPr>
          <w:rFonts w:ascii="Traditional Arabic" w:hAnsi="Traditional Arabic"/>
          <w:sz w:val="32"/>
          <w:szCs w:val="32"/>
          <w:rtl/>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D485D">
        <w:rPr>
          <w:rFonts w:ascii="Traditional Arabic" w:hAnsi="Traditional Arabic"/>
          <w:sz w:val="32"/>
          <w:szCs w:val="32"/>
          <w:rtl/>
        </w:rPr>
        <w:t>الشرح الممتع (10/293)</w:t>
      </w:r>
      <w:r>
        <w:rPr>
          <w:rFonts w:ascii="Traditional Arabic" w:hAnsi="Traditional Arabic" w:hint="cs"/>
          <w:sz w:val="32"/>
          <w:szCs w:val="32"/>
          <w:rtl/>
        </w:rPr>
        <w:t xml:space="preserve"> </w:t>
      </w:r>
      <w:r w:rsidRPr="001D485D">
        <w:rPr>
          <w:rFonts w:ascii="Traditional Arabic" w:hAnsi="Traditional Arabic"/>
          <w:sz w:val="32"/>
          <w:szCs w:val="32"/>
          <w:rtl/>
        </w:rPr>
        <w:t>بتصرف.</w:t>
      </w:r>
    </w:p>
    <w:p w:rsidR="000D3D21" w:rsidRPr="001D485D" w:rsidRDefault="000D3D21" w:rsidP="005C189B">
      <w:pPr>
        <w:pStyle w:val="a7"/>
        <w:pageBreakBefore/>
        <w:rPr>
          <w:rFonts w:ascii="Traditional Arabic" w:hAnsi="Traditional Arabic"/>
          <w:sz w:val="32"/>
          <w:szCs w:val="32"/>
        </w:rPr>
      </w:pPr>
      <w:r>
        <w:rPr>
          <w:rFonts w:ascii="Traditional Arabic" w:hAnsi="Traditional Arabic" w:hint="cs"/>
          <w:b/>
          <w:bCs/>
          <w:sz w:val="32"/>
          <w:szCs w:val="32"/>
          <w:rtl/>
        </w:rPr>
        <w:t xml:space="preserve">      </w:t>
      </w:r>
      <w:r w:rsidRPr="001D485D">
        <w:rPr>
          <w:rFonts w:ascii="Traditional Arabic" w:hAnsi="Traditional Arabic"/>
          <w:b/>
          <w:bCs/>
          <w:sz w:val="32"/>
          <w:szCs w:val="32"/>
          <w:rtl/>
        </w:rPr>
        <w:t xml:space="preserve">تنبيه: </w:t>
      </w:r>
      <w:r w:rsidRPr="001D485D">
        <w:rPr>
          <w:rFonts w:ascii="Traditional Arabic" w:hAnsi="Traditional Arabic"/>
          <w:sz w:val="32"/>
          <w:szCs w:val="32"/>
          <w:rtl/>
        </w:rPr>
        <w:t xml:space="preserve">أورد الشيخ ابن عثيمين </w:t>
      </w:r>
      <w:r>
        <w:rPr>
          <w:rFonts w:ascii="Traditional Arabic" w:hAnsi="Traditional Arabic" w:hint="cs"/>
          <w:sz w:val="32"/>
          <w:szCs w:val="32"/>
          <w:rtl/>
        </w:rPr>
        <w:t>_</w:t>
      </w:r>
      <w:r>
        <w:rPr>
          <w:rFonts w:ascii="Traditional Arabic" w:hAnsi="Traditional Arabic" w:cs="CTraditional Arabic" w:hint="cs"/>
          <w:rtl/>
        </w:rPr>
        <w:t>/</w:t>
      </w:r>
      <w:r>
        <w:rPr>
          <w:rFonts w:ascii="Traditional Arabic" w:hAnsi="Traditional Arabic" w:hint="cs"/>
          <w:sz w:val="32"/>
          <w:szCs w:val="32"/>
          <w:rtl/>
        </w:rPr>
        <w:t>_</w:t>
      </w:r>
      <w:r w:rsidRPr="001D485D">
        <w:rPr>
          <w:rFonts w:ascii="Traditional Arabic" w:hAnsi="Traditional Arabic"/>
          <w:sz w:val="32"/>
          <w:szCs w:val="32"/>
          <w:rtl/>
        </w:rPr>
        <w:t xml:space="preserve"> هذا الضابط بقوله:(</w:t>
      </w:r>
      <w:r>
        <w:rPr>
          <w:rFonts w:ascii="Traditional Arabic" w:hAnsi="Traditional Arabic"/>
          <w:sz w:val="32"/>
          <w:szCs w:val="32"/>
          <w:rtl/>
        </w:rPr>
        <w:t>.</w:t>
      </w:r>
      <w:r w:rsidRPr="001D485D">
        <w:rPr>
          <w:rFonts w:ascii="Traditional Arabic" w:hAnsi="Traditional Arabic"/>
          <w:sz w:val="32"/>
          <w:szCs w:val="32"/>
          <w:rtl/>
        </w:rPr>
        <w:t>..</w:t>
      </w:r>
      <w:r w:rsidRPr="001D485D">
        <w:rPr>
          <w:rFonts w:ascii="Traditional Arabic" w:hAnsi="Traditional Arabic"/>
          <w:noProof w:val="0"/>
          <w:color w:val="auto"/>
          <w:sz w:val="32"/>
          <w:szCs w:val="32"/>
          <w:rtl/>
          <w:lang w:eastAsia="en-US"/>
        </w:rPr>
        <w:t>للقاعدة السابقة: أنه إذا عين الحرز صاحبها، فأحرزها فيما هو أشد فلا ضمان</w:t>
      </w:r>
      <w:r w:rsidRPr="001D485D">
        <w:rPr>
          <w:rFonts w:ascii="Traditional Arabic" w:hAnsi="Traditional Arabic"/>
          <w:sz w:val="32"/>
          <w:szCs w:val="32"/>
          <w:rtl/>
        </w:rPr>
        <w:t xml:space="preserve">)، فتصرفت في صياغته بما يجعله </w:t>
      </w:r>
      <w:r>
        <w:rPr>
          <w:rFonts w:ascii="Traditional Arabic" w:hAnsi="Traditional Arabic" w:hint="cs"/>
          <w:sz w:val="32"/>
          <w:szCs w:val="32"/>
          <w:rtl/>
        </w:rPr>
        <w:t>أ</w:t>
      </w:r>
      <w:r w:rsidRPr="001D485D">
        <w:rPr>
          <w:rFonts w:ascii="Traditional Arabic" w:hAnsi="Traditional Arabic"/>
          <w:sz w:val="32"/>
          <w:szCs w:val="32"/>
          <w:rtl/>
        </w:rPr>
        <w:t>كثر وضوحا في دلالته على معناه.</w:t>
      </w:r>
    </w:p>
  </w:footnote>
  <w:footnote w:id="2268">
    <w:p w:rsidR="000D3D21" w:rsidRPr="001D485D" w:rsidRDefault="000D3D21" w:rsidP="005C18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D485D">
        <w:rPr>
          <w:rFonts w:ascii="Traditional Arabic" w:hAnsi="Traditional Arabic"/>
          <w:sz w:val="32"/>
          <w:szCs w:val="32"/>
          <w:rtl/>
        </w:rPr>
        <w:t xml:space="preserve">المصباح المنير </w:t>
      </w:r>
      <w:r>
        <w:rPr>
          <w:rFonts w:ascii="Traditional Arabic" w:hAnsi="Traditional Arabic" w:hint="cs"/>
          <w:sz w:val="32"/>
          <w:szCs w:val="32"/>
          <w:rtl/>
        </w:rPr>
        <w:t>(114)</w:t>
      </w:r>
      <w:r w:rsidRPr="001D485D">
        <w:rPr>
          <w:rFonts w:ascii="Traditional Arabic" w:hAnsi="Traditional Arabic"/>
          <w:sz w:val="32"/>
          <w:szCs w:val="32"/>
          <w:rtl/>
        </w:rPr>
        <w:t>.</w:t>
      </w:r>
    </w:p>
  </w:footnote>
  <w:footnote w:id="2269">
    <w:p w:rsidR="000D3D21" w:rsidRPr="001D485D" w:rsidRDefault="000D3D21" w:rsidP="005C18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D485D">
        <w:rPr>
          <w:rFonts w:ascii="Traditional Arabic" w:hAnsi="Traditional Arabic"/>
          <w:sz w:val="32"/>
          <w:szCs w:val="32"/>
          <w:rtl/>
        </w:rPr>
        <w:t>الشرح الممتع (10/288)، وانظر التعليق على القواعد والأصول الجامعة (101).</w:t>
      </w:r>
    </w:p>
  </w:footnote>
  <w:footnote w:id="2270">
    <w:p w:rsidR="000D3D21" w:rsidRPr="001D485D" w:rsidRDefault="000D3D21" w:rsidP="005C189B">
      <w:pPr>
        <w:pStyle w:val="a7"/>
        <w:pageBreakBefore/>
        <w:rPr>
          <w:rFonts w:ascii="Traditional Arabic" w:hAnsi="Traditional Arabic"/>
          <w:sz w:val="32"/>
          <w:szCs w:val="32"/>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D485D">
        <w:rPr>
          <w:rFonts w:ascii="Traditional Arabic" w:hAnsi="Traditional Arabic"/>
          <w:sz w:val="32"/>
          <w:szCs w:val="32"/>
          <w:rtl/>
        </w:rPr>
        <w:t>انظر الروض المربع (7/314).</w:t>
      </w:r>
    </w:p>
  </w:footnote>
  <w:footnote w:id="2271">
    <w:p w:rsidR="000D3D21" w:rsidRPr="00030827" w:rsidRDefault="000D3D21" w:rsidP="005C189B">
      <w:pPr>
        <w:pStyle w:val="a7"/>
        <w:pageBreakBefore/>
        <w:rPr>
          <w:rFonts w:ascii="Tahoma" w:hAnsi="Tahoma"/>
        </w:rPr>
      </w:pPr>
      <w:r w:rsidRPr="00451907">
        <w:rPr>
          <w:rFonts w:ascii="Traditional Arabic" w:hAnsi="Traditional Arabic"/>
          <w:sz w:val="32"/>
          <w:szCs w:val="32"/>
          <w:rtl/>
        </w:rPr>
        <w:t>(</w:t>
      </w:r>
      <w:r w:rsidRPr="00451907">
        <w:rPr>
          <w:rStyle w:val="af1"/>
          <w:rFonts w:ascii="Traditional Arabic" w:hAnsi="Traditional Arabic"/>
          <w:sz w:val="32"/>
          <w:szCs w:val="32"/>
          <w:vertAlign w:val="baseline"/>
          <w:rtl/>
        </w:rPr>
        <w:footnoteRef/>
      </w:r>
      <w:r w:rsidRPr="00451907">
        <w:rPr>
          <w:rFonts w:ascii="Traditional Arabic" w:hAnsi="Traditional Arabic"/>
          <w:sz w:val="32"/>
          <w:szCs w:val="32"/>
          <w:rtl/>
        </w:rPr>
        <w:t>)</w:t>
      </w:r>
      <w:r>
        <w:rPr>
          <w:rFonts w:ascii="Traditional Arabic" w:hAnsi="Traditional Arabic" w:hint="cs"/>
          <w:sz w:val="32"/>
          <w:szCs w:val="32"/>
          <w:rtl/>
        </w:rPr>
        <w:t xml:space="preserve"> </w:t>
      </w:r>
      <w:r w:rsidRPr="001D485D">
        <w:rPr>
          <w:rFonts w:ascii="Traditional Arabic" w:hAnsi="Traditional Arabic"/>
          <w:sz w:val="32"/>
          <w:szCs w:val="32"/>
          <w:rtl/>
        </w:rPr>
        <w:t>هو مفهوم الموافقة الأولوي، وهو</w:t>
      </w:r>
      <w:r w:rsidRPr="001D485D">
        <w:rPr>
          <w:rFonts w:ascii="Traditional Arabic" w:hAnsi="Traditional Arabic"/>
          <w:noProof w:val="0"/>
          <w:sz w:val="32"/>
          <w:szCs w:val="32"/>
          <w:rtl/>
          <w:lang w:eastAsia="en-US"/>
        </w:rPr>
        <w:t xml:space="preserve"> ما كان المسكوت عنه أولى بالحكم من المنطوق؛ كدلالة تحريم التأفيف على تحريم الضرب؛ لأنه أشد.انظر شرح الكوكب المنير (3/482)، و(4/105-106).</w:t>
      </w:r>
    </w:p>
  </w:footnote>
  <w:footnote w:id="2272">
    <w:p w:rsidR="000D3D21" w:rsidRPr="00DC357C" w:rsidRDefault="000D3D21" w:rsidP="005C189B">
      <w:pPr>
        <w:pStyle w:val="a7"/>
        <w:pageBreakBefore/>
        <w:rPr>
          <w:rFonts w:ascii="Tahoma" w:hAnsi="Tahoma"/>
          <w:sz w:val="32"/>
          <w:szCs w:val="32"/>
        </w:rPr>
      </w:pPr>
      <w:r w:rsidRPr="00DC357C">
        <w:rPr>
          <w:rFonts w:ascii="Tahoma" w:hAnsi="Tahoma"/>
          <w:sz w:val="32"/>
          <w:szCs w:val="32"/>
          <w:rtl/>
        </w:rPr>
        <w:t>(</w:t>
      </w:r>
      <w:r w:rsidRPr="00DC357C">
        <w:rPr>
          <w:rStyle w:val="af1"/>
          <w:rFonts w:ascii="Tahoma" w:hAnsi="Tahoma"/>
          <w:sz w:val="32"/>
          <w:szCs w:val="32"/>
          <w:vertAlign w:val="baseline"/>
          <w:rtl/>
        </w:rPr>
        <w:footnoteRef/>
      </w:r>
      <w:r w:rsidRPr="00DC357C">
        <w:rPr>
          <w:rFonts w:ascii="Tahoma" w:hAnsi="Tahoma"/>
          <w:sz w:val="32"/>
          <w:szCs w:val="32"/>
          <w:rtl/>
        </w:rPr>
        <w:t>)</w:t>
      </w:r>
      <w:r w:rsidRPr="00DC357C">
        <w:rPr>
          <w:rFonts w:ascii="Tahoma" w:hAnsi="Tahoma" w:hint="cs"/>
          <w:sz w:val="32"/>
          <w:szCs w:val="32"/>
          <w:rtl/>
        </w:rPr>
        <w:t xml:space="preserve"> الشرح الممتع (10/292)</w:t>
      </w:r>
      <w:r>
        <w:rPr>
          <w:rFonts w:ascii="Tahoma" w:hAnsi="Tahoma" w:hint="cs"/>
          <w:sz w:val="32"/>
          <w:szCs w:val="32"/>
          <w:rtl/>
        </w:rPr>
        <w:t xml:space="preserve"> </w:t>
      </w:r>
      <w:r w:rsidRPr="00DC357C">
        <w:rPr>
          <w:rFonts w:ascii="Tahoma" w:hAnsi="Tahoma" w:hint="cs"/>
          <w:sz w:val="32"/>
          <w:szCs w:val="32"/>
          <w:rtl/>
        </w:rPr>
        <w:t>بتصرف.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1" w:rsidRPr="00741318" w:rsidRDefault="000D3D21" w:rsidP="00741318">
    <w:pPr>
      <w:pStyle w:val="af4"/>
      <w:bidi/>
      <w:rPr>
        <w:sz w:val="26"/>
        <w:szCs w:val="2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1" w:rsidRPr="00741318" w:rsidRDefault="00AB0B9E" w:rsidP="004F64E0">
    <w:pPr>
      <w:pStyle w:val="af4"/>
      <w:pBdr>
        <w:bottom w:val="thickThinSmallGap" w:sz="24" w:space="1" w:color="auto"/>
      </w:pBdr>
      <w:tabs>
        <w:tab w:val="clear" w:pos="4153"/>
        <w:tab w:val="clear" w:pos="8306"/>
        <w:tab w:val="right" w:pos="8787"/>
      </w:tabs>
      <w:bidi/>
      <w:jc w:val="left"/>
      <w:rPr>
        <w:rFonts w:ascii="Traditional Arabic" w:hAnsi="Traditional Arabic"/>
        <w:sz w:val="26"/>
        <w:szCs w:val="26"/>
      </w:rPr>
    </w:pPr>
    <w:fldSimple w:instr="STYLEREF  باب  \* MERGEFORMAT">
      <w:r w:rsidR="00793945">
        <w:rPr>
          <w:rtl/>
        </w:rPr>
        <w:t>مقدمـة البحث</w:t>
      </w:r>
    </w:fldSimple>
    <w:r w:rsidR="000D3D21" w:rsidRPr="00741318">
      <w:rPr>
        <w:rFonts w:ascii="Traditional Arabic" w:hAnsi="Traditional Arabic"/>
        <w:sz w:val="26"/>
        <w:szCs w:val="26"/>
        <w:rtl/>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1" w:rsidRPr="00741318" w:rsidRDefault="000D3D21" w:rsidP="00741318">
    <w:pPr>
      <w:pStyle w:val="af4"/>
      <w:bidi/>
      <w:rPr>
        <w:sz w:val="26"/>
        <w:szCs w:val="26"/>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1" w:rsidRPr="00741318" w:rsidRDefault="00AB0B9E" w:rsidP="001B251E">
    <w:pPr>
      <w:pStyle w:val="af4"/>
      <w:pBdr>
        <w:bottom w:val="thickThinSmallGap" w:sz="24" w:space="1" w:color="auto"/>
      </w:pBdr>
      <w:tabs>
        <w:tab w:val="clear" w:pos="4153"/>
        <w:tab w:val="clear" w:pos="8306"/>
        <w:tab w:val="right" w:pos="8787"/>
      </w:tabs>
      <w:bidi/>
      <w:jc w:val="left"/>
      <w:rPr>
        <w:rFonts w:ascii="Traditional Arabic" w:hAnsi="Traditional Arabic"/>
        <w:sz w:val="26"/>
        <w:szCs w:val="26"/>
        <w:rtl/>
      </w:rPr>
    </w:pPr>
    <w:fldSimple w:instr="STYLEREF  باب  \* MERGEFORMAT">
      <w:r w:rsidR="00793945" w:rsidRPr="00793945">
        <w:rPr>
          <w:rFonts w:ascii="Traditional Arabic" w:hAnsi="Traditional Arabic"/>
          <w:sz w:val="26"/>
          <w:szCs w:val="26"/>
          <w:rtl/>
        </w:rPr>
        <w:t>التمهيد:التعريف</w:t>
      </w:r>
      <w:r w:rsidR="00793945">
        <w:rPr>
          <w:rtl/>
        </w:rPr>
        <w:t xml:space="preserve"> بمفردات عنوان الرسالة</w:t>
      </w:r>
    </w:fldSimple>
    <w:r w:rsidR="000D3D21" w:rsidRPr="00741318">
      <w:rPr>
        <w:rFonts w:ascii="Traditional Arabic" w:hAnsi="Traditional Arabic"/>
        <w:sz w:val="26"/>
        <w:szCs w:val="26"/>
        <w:rtl/>
      </w:rPr>
      <w:tab/>
    </w:r>
    <w:fldSimple w:instr="STYLEREF  فصل  \* MERGEFORMAT">
      <w:r w:rsidR="00793945" w:rsidRPr="00793945">
        <w:rPr>
          <w:rFonts w:ascii="Traditional Arabic" w:hAnsi="Traditional Arabic"/>
          <w:sz w:val="26"/>
          <w:szCs w:val="26"/>
          <w:rtl/>
        </w:rPr>
        <w:t>المبحث الثاني :التعريف بكتاب"الشرح</w:t>
      </w:r>
      <w:r w:rsidR="00793945">
        <w:rPr>
          <w:rtl/>
        </w:rPr>
        <w:t xml:space="preserve"> الممتع"ومنهج الشيخ ابن عثيمين في الكتاب</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1" w:rsidRPr="00741318" w:rsidRDefault="00AB0B9E" w:rsidP="000C2786">
    <w:pPr>
      <w:pStyle w:val="af4"/>
      <w:pBdr>
        <w:bottom w:val="thickThinSmallGap" w:sz="24" w:space="1" w:color="auto"/>
      </w:pBdr>
      <w:tabs>
        <w:tab w:val="clear" w:pos="4153"/>
        <w:tab w:val="clear" w:pos="8306"/>
        <w:tab w:val="right" w:pos="8787"/>
      </w:tabs>
      <w:bidi/>
      <w:jc w:val="left"/>
      <w:rPr>
        <w:rFonts w:ascii="Traditional Arabic" w:hAnsi="Traditional Arabic"/>
        <w:sz w:val="26"/>
        <w:szCs w:val="26"/>
      </w:rPr>
    </w:pPr>
    <w:fldSimple w:instr="STYLEREF  باب  \* MERGEFORMAT">
      <w:r w:rsidR="00793945" w:rsidRPr="00793945">
        <w:rPr>
          <w:rFonts w:ascii="Traditional Arabic" w:hAnsi="Traditional Arabic"/>
          <w:sz w:val="26"/>
          <w:szCs w:val="26"/>
          <w:rtl/>
        </w:rPr>
        <w:t>الخـــاتمــــة</w:t>
      </w:r>
    </w:fldSimple>
    <w:r w:rsidR="000D3D21" w:rsidRPr="00741318">
      <w:rPr>
        <w:rFonts w:ascii="Traditional Arabic" w:hAnsi="Traditional Arabic"/>
        <w:sz w:val="26"/>
        <w:szCs w:val="26"/>
        <w:rtl/>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3D21" w:rsidRPr="00741318" w:rsidRDefault="00AB0B9E" w:rsidP="000C2786">
    <w:pPr>
      <w:pStyle w:val="af4"/>
      <w:pBdr>
        <w:bottom w:val="thickThinSmallGap" w:sz="24" w:space="1" w:color="auto"/>
      </w:pBdr>
      <w:tabs>
        <w:tab w:val="clear" w:pos="4153"/>
        <w:tab w:val="clear" w:pos="8306"/>
        <w:tab w:val="right" w:pos="8787"/>
      </w:tabs>
      <w:bidi/>
      <w:jc w:val="left"/>
      <w:rPr>
        <w:rFonts w:ascii="Traditional Arabic" w:hAnsi="Traditional Arabic"/>
        <w:sz w:val="26"/>
        <w:szCs w:val="26"/>
      </w:rPr>
    </w:pPr>
    <w:fldSimple w:instr="STYLEREF  باب  \* MERGEFORMAT">
      <w:r w:rsidR="00793945" w:rsidRPr="00793945">
        <w:rPr>
          <w:rFonts w:ascii="Traditional Arabic" w:hAnsi="Traditional Arabic"/>
          <w:sz w:val="26"/>
          <w:szCs w:val="26"/>
          <w:rtl/>
        </w:rPr>
        <w:t>الفهارس</w:t>
      </w:r>
    </w:fldSimple>
    <w:r w:rsidR="000D3D21" w:rsidRPr="00741318">
      <w:rPr>
        <w:rFonts w:ascii="Traditional Arabic" w:hAnsi="Traditional Arabic"/>
        <w:sz w:val="26"/>
        <w:szCs w:val="26"/>
        <w:rtl/>
      </w:rPr>
      <w:tab/>
    </w:r>
    <w:fldSimple w:instr="STYLEREF  فصل  \* MERGEFORMAT">
      <w:r w:rsidR="00793945">
        <w:rPr>
          <w:rtl/>
        </w:rPr>
        <w:t>فهرس الموضوعات</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709D"/>
    <w:multiLevelType w:val="hybridMultilevel"/>
    <w:tmpl w:val="FE9C2C1C"/>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
    <w:nsid w:val="00585C23"/>
    <w:multiLevelType w:val="hybridMultilevel"/>
    <w:tmpl w:val="2624BC24"/>
    <w:lvl w:ilvl="0" w:tplc="F4D8CAEA">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864C8F"/>
    <w:multiLevelType w:val="hybridMultilevel"/>
    <w:tmpl w:val="5E321BA6"/>
    <w:lvl w:ilvl="0" w:tplc="2C54136C">
      <w:start w:val="1"/>
      <w:numFmt w:val="decimal"/>
      <w:lvlText w:val="(%1)"/>
      <w:lvlJc w:val="left"/>
      <w:pPr>
        <w:ind w:left="1080" w:hanging="72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F0105"/>
    <w:multiLevelType w:val="hybridMultilevel"/>
    <w:tmpl w:val="02827870"/>
    <w:lvl w:ilvl="0" w:tplc="913E90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DD32C3"/>
    <w:multiLevelType w:val="hybridMultilevel"/>
    <w:tmpl w:val="ABD219A2"/>
    <w:lvl w:ilvl="0" w:tplc="E7869A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A3693D"/>
    <w:multiLevelType w:val="hybridMultilevel"/>
    <w:tmpl w:val="3A2AAA4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31F6EB4"/>
    <w:multiLevelType w:val="hybridMultilevel"/>
    <w:tmpl w:val="877E5E4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nsid w:val="0337067D"/>
    <w:multiLevelType w:val="hybridMultilevel"/>
    <w:tmpl w:val="1DFCD0A8"/>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8">
    <w:nsid w:val="03C4208F"/>
    <w:multiLevelType w:val="hybridMultilevel"/>
    <w:tmpl w:val="8F3ECCA6"/>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9">
    <w:nsid w:val="041A067D"/>
    <w:multiLevelType w:val="hybridMultilevel"/>
    <w:tmpl w:val="5D9A47C6"/>
    <w:lvl w:ilvl="0" w:tplc="3FF63E3E">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
    <w:nsid w:val="050B3924"/>
    <w:multiLevelType w:val="hybridMultilevel"/>
    <w:tmpl w:val="9028EC96"/>
    <w:lvl w:ilvl="0" w:tplc="F9B66B8C">
      <w:start w:val="1"/>
      <w:numFmt w:val="decimal"/>
      <w:lvlText w:val="(%1)"/>
      <w:lvlJc w:val="left"/>
      <w:pPr>
        <w:ind w:left="1080" w:hanging="720"/>
      </w:pPr>
      <w:rPr>
        <w:rFonts w:ascii="Traditional Arabic" w:hAnsi="Traditional Arabic" w:cs="Traditional Arab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53146BB"/>
    <w:multiLevelType w:val="hybridMultilevel"/>
    <w:tmpl w:val="76DAFD08"/>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2">
    <w:nsid w:val="05792194"/>
    <w:multiLevelType w:val="hybridMultilevel"/>
    <w:tmpl w:val="3CBC40CA"/>
    <w:lvl w:ilvl="0" w:tplc="481E0536">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7185888"/>
    <w:multiLevelType w:val="hybridMultilevel"/>
    <w:tmpl w:val="B8A08B86"/>
    <w:lvl w:ilvl="0" w:tplc="3CF627EE">
      <w:start w:val="1"/>
      <w:numFmt w:val="decimal"/>
      <w:lvlText w:val="%1-"/>
      <w:lvlJc w:val="center"/>
      <w:pPr>
        <w:ind w:left="1647" w:hanging="360"/>
      </w:pPr>
      <w:rPr>
        <w:rFonts w:hint="default"/>
        <w:lang w:val="en-US"/>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4">
    <w:nsid w:val="072B2305"/>
    <w:multiLevelType w:val="hybridMultilevel"/>
    <w:tmpl w:val="C99600F4"/>
    <w:lvl w:ilvl="0" w:tplc="0F5C87E2">
      <w:start w:val="1"/>
      <w:numFmt w:val="decimal"/>
      <w:lvlText w:val="(%1)"/>
      <w:lvlJc w:val="left"/>
      <w:pPr>
        <w:ind w:left="1080" w:hanging="720"/>
      </w:pPr>
      <w:rPr>
        <w:rFonts w:ascii="Traditional Arabic" w:hAnsi="Traditional Arabic" w:cs="Traditional Arab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A7437E"/>
    <w:multiLevelType w:val="hybridMultilevel"/>
    <w:tmpl w:val="DE4A62AC"/>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6">
    <w:nsid w:val="07AC0BA2"/>
    <w:multiLevelType w:val="hybridMultilevel"/>
    <w:tmpl w:val="4CACF900"/>
    <w:lvl w:ilvl="0" w:tplc="CACCA5EE">
      <w:start w:val="1"/>
      <w:numFmt w:val="decimal"/>
      <w:lvlText w:val="(%1)"/>
      <w:lvlJc w:val="left"/>
      <w:pPr>
        <w:tabs>
          <w:tab w:val="num" w:pos="1384"/>
        </w:tabs>
        <w:ind w:left="1384" w:hanging="93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08486AE3"/>
    <w:multiLevelType w:val="hybridMultilevel"/>
    <w:tmpl w:val="63C014B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085E3246"/>
    <w:multiLevelType w:val="hybridMultilevel"/>
    <w:tmpl w:val="ACB4F2D2"/>
    <w:lvl w:ilvl="0" w:tplc="04090001">
      <w:start w:val="1"/>
      <w:numFmt w:val="bullet"/>
      <w:lvlText w:val=""/>
      <w:lvlJc w:val="left"/>
      <w:pPr>
        <w:ind w:left="1162" w:hanging="360"/>
      </w:pPr>
      <w:rPr>
        <w:rFonts w:ascii="Symbol" w:hAnsi="Symbo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9">
    <w:nsid w:val="09105149"/>
    <w:multiLevelType w:val="hybridMultilevel"/>
    <w:tmpl w:val="C61A50E4"/>
    <w:lvl w:ilvl="0" w:tplc="4FDE57E0">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0">
    <w:nsid w:val="093156A5"/>
    <w:multiLevelType w:val="hybridMultilevel"/>
    <w:tmpl w:val="74287BC8"/>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1">
    <w:nsid w:val="09AC36AB"/>
    <w:multiLevelType w:val="hybridMultilevel"/>
    <w:tmpl w:val="E99A7570"/>
    <w:lvl w:ilvl="0" w:tplc="CACCA5EE">
      <w:start w:val="1"/>
      <w:numFmt w:val="decimal"/>
      <w:lvlText w:val="(%1)"/>
      <w:lvlJc w:val="left"/>
      <w:pPr>
        <w:tabs>
          <w:tab w:val="num" w:pos="1384"/>
        </w:tabs>
        <w:ind w:left="1384" w:hanging="93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2">
    <w:nsid w:val="09AE78B3"/>
    <w:multiLevelType w:val="hybridMultilevel"/>
    <w:tmpl w:val="95960FC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09DB3FD7"/>
    <w:multiLevelType w:val="hybridMultilevel"/>
    <w:tmpl w:val="2F6ED688"/>
    <w:lvl w:ilvl="0" w:tplc="BDDC5696">
      <w:start w:val="1"/>
      <w:numFmt w:val="decimal"/>
      <w:lvlText w:val="%1-"/>
      <w:lvlJc w:val="left"/>
      <w:pPr>
        <w:tabs>
          <w:tab w:val="num" w:pos="1324"/>
        </w:tabs>
        <w:ind w:left="1324" w:hanging="87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4">
    <w:nsid w:val="0A2C71FA"/>
    <w:multiLevelType w:val="hybridMultilevel"/>
    <w:tmpl w:val="C9AE9676"/>
    <w:lvl w:ilvl="0" w:tplc="04090001">
      <w:start w:val="1"/>
      <w:numFmt w:val="bullet"/>
      <w:lvlText w:val=""/>
      <w:lvlJc w:val="left"/>
      <w:pPr>
        <w:ind w:left="1087" w:hanging="360"/>
      </w:pPr>
      <w:rPr>
        <w:rFonts w:ascii="Symbol" w:hAnsi="Symbol" w:hint="default"/>
      </w:rPr>
    </w:lvl>
    <w:lvl w:ilvl="1" w:tplc="04090003" w:tentative="1">
      <w:start w:val="1"/>
      <w:numFmt w:val="bullet"/>
      <w:lvlText w:val="o"/>
      <w:lvlJc w:val="left"/>
      <w:pPr>
        <w:ind w:left="1807" w:hanging="360"/>
      </w:pPr>
      <w:rPr>
        <w:rFonts w:ascii="Courier New" w:hAnsi="Courier New" w:cs="Courier New" w:hint="default"/>
      </w:rPr>
    </w:lvl>
    <w:lvl w:ilvl="2" w:tplc="04090005" w:tentative="1">
      <w:start w:val="1"/>
      <w:numFmt w:val="bullet"/>
      <w:lvlText w:val=""/>
      <w:lvlJc w:val="left"/>
      <w:pPr>
        <w:ind w:left="2527" w:hanging="360"/>
      </w:pPr>
      <w:rPr>
        <w:rFonts w:ascii="Wingdings" w:hAnsi="Wingdings" w:hint="default"/>
      </w:rPr>
    </w:lvl>
    <w:lvl w:ilvl="3" w:tplc="04090001" w:tentative="1">
      <w:start w:val="1"/>
      <w:numFmt w:val="bullet"/>
      <w:lvlText w:val=""/>
      <w:lvlJc w:val="left"/>
      <w:pPr>
        <w:ind w:left="3247" w:hanging="360"/>
      </w:pPr>
      <w:rPr>
        <w:rFonts w:ascii="Symbol" w:hAnsi="Symbol" w:hint="default"/>
      </w:rPr>
    </w:lvl>
    <w:lvl w:ilvl="4" w:tplc="04090003" w:tentative="1">
      <w:start w:val="1"/>
      <w:numFmt w:val="bullet"/>
      <w:lvlText w:val="o"/>
      <w:lvlJc w:val="left"/>
      <w:pPr>
        <w:ind w:left="3967" w:hanging="360"/>
      </w:pPr>
      <w:rPr>
        <w:rFonts w:ascii="Courier New" w:hAnsi="Courier New" w:cs="Courier New" w:hint="default"/>
      </w:rPr>
    </w:lvl>
    <w:lvl w:ilvl="5" w:tplc="04090005" w:tentative="1">
      <w:start w:val="1"/>
      <w:numFmt w:val="bullet"/>
      <w:lvlText w:val=""/>
      <w:lvlJc w:val="left"/>
      <w:pPr>
        <w:ind w:left="4687" w:hanging="360"/>
      </w:pPr>
      <w:rPr>
        <w:rFonts w:ascii="Wingdings" w:hAnsi="Wingdings" w:hint="default"/>
      </w:rPr>
    </w:lvl>
    <w:lvl w:ilvl="6" w:tplc="04090001" w:tentative="1">
      <w:start w:val="1"/>
      <w:numFmt w:val="bullet"/>
      <w:lvlText w:val=""/>
      <w:lvlJc w:val="left"/>
      <w:pPr>
        <w:ind w:left="5407" w:hanging="360"/>
      </w:pPr>
      <w:rPr>
        <w:rFonts w:ascii="Symbol" w:hAnsi="Symbol" w:hint="default"/>
      </w:rPr>
    </w:lvl>
    <w:lvl w:ilvl="7" w:tplc="04090003" w:tentative="1">
      <w:start w:val="1"/>
      <w:numFmt w:val="bullet"/>
      <w:lvlText w:val="o"/>
      <w:lvlJc w:val="left"/>
      <w:pPr>
        <w:ind w:left="6127" w:hanging="360"/>
      </w:pPr>
      <w:rPr>
        <w:rFonts w:ascii="Courier New" w:hAnsi="Courier New" w:cs="Courier New" w:hint="default"/>
      </w:rPr>
    </w:lvl>
    <w:lvl w:ilvl="8" w:tplc="04090005" w:tentative="1">
      <w:start w:val="1"/>
      <w:numFmt w:val="bullet"/>
      <w:lvlText w:val=""/>
      <w:lvlJc w:val="left"/>
      <w:pPr>
        <w:ind w:left="6847" w:hanging="360"/>
      </w:pPr>
      <w:rPr>
        <w:rFonts w:ascii="Wingdings" w:hAnsi="Wingdings" w:hint="default"/>
      </w:rPr>
    </w:lvl>
  </w:abstractNum>
  <w:abstractNum w:abstractNumId="25">
    <w:nsid w:val="0A465582"/>
    <w:multiLevelType w:val="hybridMultilevel"/>
    <w:tmpl w:val="E7A0750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0A6338EF"/>
    <w:multiLevelType w:val="hybridMultilevel"/>
    <w:tmpl w:val="1354ECBA"/>
    <w:lvl w:ilvl="0" w:tplc="460483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A9A55DD"/>
    <w:multiLevelType w:val="hybridMultilevel"/>
    <w:tmpl w:val="B9B4D44C"/>
    <w:lvl w:ilvl="0" w:tplc="2E2E177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B3C27B6"/>
    <w:multiLevelType w:val="hybridMultilevel"/>
    <w:tmpl w:val="4CD4E1A8"/>
    <w:lvl w:ilvl="0" w:tplc="A0BAAFA8">
      <w:start w:val="1"/>
      <w:numFmt w:val="decimal"/>
      <w:lvlText w:val="%1-"/>
      <w:lvlJc w:val="left"/>
      <w:pPr>
        <w:tabs>
          <w:tab w:val="num" w:pos="795"/>
        </w:tabs>
        <w:ind w:left="795" w:hanging="4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0BD055DE"/>
    <w:multiLevelType w:val="hybridMultilevel"/>
    <w:tmpl w:val="3B12AFBA"/>
    <w:lvl w:ilvl="0" w:tplc="628CFDFC">
      <w:start w:val="1"/>
      <w:numFmt w:val="decimal"/>
      <w:lvlText w:val="(%1)"/>
      <w:lvlJc w:val="left"/>
      <w:pPr>
        <w:ind w:left="1170" w:hanging="720"/>
      </w:pPr>
      <w:rPr>
        <w:rFonts w:ascii="Times New Roman" w:hAnsi="Times New Roman" w:hint="default"/>
        <w:color w:val="00000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nsid w:val="0BFB5FA0"/>
    <w:multiLevelType w:val="hybridMultilevel"/>
    <w:tmpl w:val="FF22876A"/>
    <w:lvl w:ilvl="0" w:tplc="91B07F08">
      <w:start w:val="1"/>
      <w:numFmt w:val="decimal"/>
      <w:suff w:val="space"/>
      <w:lvlText w:val="%1-"/>
      <w:lvlJc w:val="left"/>
      <w:pPr>
        <w:ind w:left="283" w:hanging="283"/>
      </w:pPr>
      <w:rPr>
        <w:rFonts w:ascii="Times New Roman" w:hAnsi="Times New Roman"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C2D4F55"/>
    <w:multiLevelType w:val="hybridMultilevel"/>
    <w:tmpl w:val="840666B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nsid w:val="0C4F747E"/>
    <w:multiLevelType w:val="hybridMultilevel"/>
    <w:tmpl w:val="BB2AC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C5A06E4"/>
    <w:multiLevelType w:val="hybridMultilevel"/>
    <w:tmpl w:val="13B6AB5A"/>
    <w:lvl w:ilvl="0" w:tplc="2F88FEE4">
      <w:start w:val="1"/>
      <w:numFmt w:val="decimal"/>
      <w:lvlText w:val="%1-"/>
      <w:lvlJc w:val="left"/>
      <w:pPr>
        <w:tabs>
          <w:tab w:val="num" w:pos="1309"/>
        </w:tabs>
        <w:ind w:left="1309" w:hanging="855"/>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34">
    <w:nsid w:val="0DAC2DC0"/>
    <w:multiLevelType w:val="hybridMultilevel"/>
    <w:tmpl w:val="2DF442F8"/>
    <w:lvl w:ilvl="0" w:tplc="90B4DBA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DD430D7"/>
    <w:multiLevelType w:val="hybridMultilevel"/>
    <w:tmpl w:val="9D0C5F08"/>
    <w:lvl w:ilvl="0" w:tplc="2CECDB5A">
      <w:start w:val="1"/>
      <w:numFmt w:val="decimal"/>
      <w:lvlText w:val="%1-"/>
      <w:lvlJc w:val="left"/>
      <w:pPr>
        <w:tabs>
          <w:tab w:val="num" w:pos="859"/>
        </w:tabs>
        <w:ind w:left="859" w:hanging="405"/>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36">
    <w:nsid w:val="0E755A43"/>
    <w:multiLevelType w:val="hybridMultilevel"/>
    <w:tmpl w:val="512A1760"/>
    <w:lvl w:ilvl="0" w:tplc="2F02BB3A">
      <w:start w:val="1"/>
      <w:numFmt w:val="decimal"/>
      <w:lvlText w:val="%1-"/>
      <w:lvlJc w:val="left"/>
      <w:pPr>
        <w:tabs>
          <w:tab w:val="num" w:pos="874"/>
        </w:tabs>
        <w:ind w:left="874" w:hanging="4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37">
    <w:nsid w:val="0E7F54F7"/>
    <w:multiLevelType w:val="hybridMultilevel"/>
    <w:tmpl w:val="AF468E08"/>
    <w:lvl w:ilvl="0" w:tplc="04090001">
      <w:start w:val="1"/>
      <w:numFmt w:val="bullet"/>
      <w:lvlText w:val=""/>
      <w:lvlJc w:val="left"/>
      <w:pPr>
        <w:ind w:left="1622" w:hanging="360"/>
      </w:pPr>
      <w:rPr>
        <w:rFonts w:ascii="Symbol" w:hAnsi="Symbol"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38">
    <w:nsid w:val="0F590E6A"/>
    <w:multiLevelType w:val="hybridMultilevel"/>
    <w:tmpl w:val="8466B7B0"/>
    <w:lvl w:ilvl="0" w:tplc="B69E40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FE62162"/>
    <w:multiLevelType w:val="hybridMultilevel"/>
    <w:tmpl w:val="C86A35A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0">
    <w:nsid w:val="10E30E2B"/>
    <w:multiLevelType w:val="hybridMultilevel"/>
    <w:tmpl w:val="9C944F0C"/>
    <w:lvl w:ilvl="0" w:tplc="B23C4F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1290B70"/>
    <w:multiLevelType w:val="hybridMultilevel"/>
    <w:tmpl w:val="8438CD26"/>
    <w:lvl w:ilvl="0" w:tplc="13C8510A">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1731A35"/>
    <w:multiLevelType w:val="hybridMultilevel"/>
    <w:tmpl w:val="08E220D6"/>
    <w:lvl w:ilvl="0" w:tplc="2AA095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1E07B7D"/>
    <w:multiLevelType w:val="hybridMultilevel"/>
    <w:tmpl w:val="FFB08898"/>
    <w:lvl w:ilvl="0" w:tplc="8EB2E2E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2102B64"/>
    <w:multiLevelType w:val="hybridMultilevel"/>
    <w:tmpl w:val="A2422794"/>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5">
    <w:nsid w:val="12295589"/>
    <w:multiLevelType w:val="hybridMultilevel"/>
    <w:tmpl w:val="C5C496E0"/>
    <w:lvl w:ilvl="0" w:tplc="0409000F">
      <w:start w:val="1"/>
      <w:numFmt w:val="decimal"/>
      <w:lvlText w:val="%1."/>
      <w:lvlJc w:val="left"/>
      <w:pPr>
        <w:ind w:left="1628" w:hanging="360"/>
      </w:pPr>
    </w:lvl>
    <w:lvl w:ilvl="1" w:tplc="04090019" w:tentative="1">
      <w:start w:val="1"/>
      <w:numFmt w:val="lowerLetter"/>
      <w:lvlText w:val="%2."/>
      <w:lvlJc w:val="left"/>
      <w:pPr>
        <w:ind w:left="2348" w:hanging="360"/>
      </w:pPr>
    </w:lvl>
    <w:lvl w:ilvl="2" w:tplc="0409001B" w:tentative="1">
      <w:start w:val="1"/>
      <w:numFmt w:val="lowerRoman"/>
      <w:lvlText w:val="%3."/>
      <w:lvlJc w:val="right"/>
      <w:pPr>
        <w:ind w:left="3068" w:hanging="180"/>
      </w:pPr>
    </w:lvl>
    <w:lvl w:ilvl="3" w:tplc="0409000F" w:tentative="1">
      <w:start w:val="1"/>
      <w:numFmt w:val="decimal"/>
      <w:lvlText w:val="%4."/>
      <w:lvlJc w:val="left"/>
      <w:pPr>
        <w:ind w:left="3788" w:hanging="360"/>
      </w:pPr>
    </w:lvl>
    <w:lvl w:ilvl="4" w:tplc="04090019" w:tentative="1">
      <w:start w:val="1"/>
      <w:numFmt w:val="lowerLetter"/>
      <w:lvlText w:val="%5."/>
      <w:lvlJc w:val="left"/>
      <w:pPr>
        <w:ind w:left="4508" w:hanging="360"/>
      </w:pPr>
    </w:lvl>
    <w:lvl w:ilvl="5" w:tplc="0409001B" w:tentative="1">
      <w:start w:val="1"/>
      <w:numFmt w:val="lowerRoman"/>
      <w:lvlText w:val="%6."/>
      <w:lvlJc w:val="right"/>
      <w:pPr>
        <w:ind w:left="5228" w:hanging="180"/>
      </w:pPr>
    </w:lvl>
    <w:lvl w:ilvl="6" w:tplc="0409000F" w:tentative="1">
      <w:start w:val="1"/>
      <w:numFmt w:val="decimal"/>
      <w:lvlText w:val="%7."/>
      <w:lvlJc w:val="left"/>
      <w:pPr>
        <w:ind w:left="5948" w:hanging="360"/>
      </w:pPr>
    </w:lvl>
    <w:lvl w:ilvl="7" w:tplc="04090019" w:tentative="1">
      <w:start w:val="1"/>
      <w:numFmt w:val="lowerLetter"/>
      <w:lvlText w:val="%8."/>
      <w:lvlJc w:val="left"/>
      <w:pPr>
        <w:ind w:left="6668" w:hanging="360"/>
      </w:pPr>
    </w:lvl>
    <w:lvl w:ilvl="8" w:tplc="0409001B" w:tentative="1">
      <w:start w:val="1"/>
      <w:numFmt w:val="lowerRoman"/>
      <w:lvlText w:val="%9."/>
      <w:lvlJc w:val="right"/>
      <w:pPr>
        <w:ind w:left="7388" w:hanging="180"/>
      </w:pPr>
    </w:lvl>
  </w:abstractNum>
  <w:abstractNum w:abstractNumId="46">
    <w:nsid w:val="12737950"/>
    <w:multiLevelType w:val="hybridMultilevel"/>
    <w:tmpl w:val="88021B5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47">
    <w:nsid w:val="135A0649"/>
    <w:multiLevelType w:val="hybridMultilevel"/>
    <w:tmpl w:val="07EE9D34"/>
    <w:lvl w:ilvl="0" w:tplc="40EADF90">
      <w:start w:val="1"/>
      <w:numFmt w:val="arabicAlpha"/>
      <w:suff w:val="space"/>
      <w:lvlText w:val="%1-"/>
      <w:lvlJc w:val="right"/>
      <w:pPr>
        <w:ind w:left="284" w:hanging="284"/>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3677BE9"/>
    <w:multiLevelType w:val="hybridMultilevel"/>
    <w:tmpl w:val="9746FC0E"/>
    <w:lvl w:ilvl="0" w:tplc="0AB891EC">
      <w:start w:val="1"/>
      <w:numFmt w:val="decimal"/>
      <w:lvlText w:val="%1-"/>
      <w:lvlJc w:val="left"/>
      <w:pPr>
        <w:tabs>
          <w:tab w:val="num" w:pos="859"/>
        </w:tabs>
        <w:ind w:left="859" w:hanging="405"/>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49">
    <w:nsid w:val="139F5DC5"/>
    <w:multiLevelType w:val="hybridMultilevel"/>
    <w:tmpl w:val="493CF0F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50">
    <w:nsid w:val="13D21B3A"/>
    <w:multiLevelType w:val="hybridMultilevel"/>
    <w:tmpl w:val="685E53F8"/>
    <w:lvl w:ilvl="0" w:tplc="04090001">
      <w:start w:val="1"/>
      <w:numFmt w:val="bullet"/>
      <w:lvlText w:val=""/>
      <w:lvlJc w:val="left"/>
      <w:pPr>
        <w:ind w:left="1162" w:hanging="360"/>
      </w:pPr>
      <w:rPr>
        <w:rFonts w:ascii="Symbol" w:hAnsi="Symbo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51">
    <w:nsid w:val="14470CEF"/>
    <w:multiLevelType w:val="hybridMultilevel"/>
    <w:tmpl w:val="8EA2778C"/>
    <w:lvl w:ilvl="0" w:tplc="1FB23F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4984A91"/>
    <w:multiLevelType w:val="hybridMultilevel"/>
    <w:tmpl w:val="01961F34"/>
    <w:lvl w:ilvl="0" w:tplc="EFC63FFC">
      <w:start w:val="1"/>
      <w:numFmt w:val="decimal"/>
      <w:lvlText w:val="%1-"/>
      <w:lvlJc w:val="left"/>
      <w:pPr>
        <w:tabs>
          <w:tab w:val="num" w:pos="1339"/>
        </w:tabs>
        <w:ind w:left="1339" w:hanging="885"/>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53">
    <w:nsid w:val="154A65D4"/>
    <w:multiLevelType w:val="hybridMultilevel"/>
    <w:tmpl w:val="7D96730E"/>
    <w:lvl w:ilvl="0" w:tplc="3EC0BC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583741B"/>
    <w:multiLevelType w:val="hybridMultilevel"/>
    <w:tmpl w:val="F79471F2"/>
    <w:lvl w:ilvl="0" w:tplc="EC26351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5B038B3"/>
    <w:multiLevelType w:val="hybridMultilevel"/>
    <w:tmpl w:val="2E56F498"/>
    <w:lvl w:ilvl="0" w:tplc="435450D4">
      <w:start w:val="1"/>
      <w:numFmt w:val="decimal"/>
      <w:lvlText w:val="(%1)"/>
      <w:lvlJc w:val="left"/>
      <w:pPr>
        <w:ind w:left="1080" w:hanging="720"/>
      </w:pPr>
      <w:rPr>
        <w:rFonts w:ascii="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6602299"/>
    <w:multiLevelType w:val="hybridMultilevel"/>
    <w:tmpl w:val="9C96A238"/>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57">
    <w:nsid w:val="16E0533D"/>
    <w:multiLevelType w:val="hybridMultilevel"/>
    <w:tmpl w:val="FB2691AE"/>
    <w:lvl w:ilvl="0" w:tplc="523AD9B8">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7204F73"/>
    <w:multiLevelType w:val="hybridMultilevel"/>
    <w:tmpl w:val="FF2CC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172064DA"/>
    <w:multiLevelType w:val="hybridMultilevel"/>
    <w:tmpl w:val="AF7E01C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0">
    <w:nsid w:val="17A71AFA"/>
    <w:multiLevelType w:val="hybridMultilevel"/>
    <w:tmpl w:val="5C488E58"/>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61">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62">
    <w:nsid w:val="17E30B52"/>
    <w:multiLevelType w:val="hybridMultilevel"/>
    <w:tmpl w:val="59F8EF86"/>
    <w:lvl w:ilvl="0" w:tplc="850CC1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18052E6B"/>
    <w:multiLevelType w:val="hybridMultilevel"/>
    <w:tmpl w:val="DADE36A0"/>
    <w:lvl w:ilvl="0" w:tplc="73889C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87A31A4"/>
    <w:multiLevelType w:val="hybridMultilevel"/>
    <w:tmpl w:val="5DB45000"/>
    <w:lvl w:ilvl="0" w:tplc="B6D6B856">
      <w:start w:val="1"/>
      <w:numFmt w:val="decimal"/>
      <w:lvlText w:val="(%1)"/>
      <w:lvlJc w:val="left"/>
      <w:pPr>
        <w:ind w:left="1174" w:hanging="720"/>
      </w:pPr>
      <w:rPr>
        <w:rFonts w:hint="default"/>
        <w:b w:val="0"/>
        <w:color w:val="00000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5">
    <w:nsid w:val="19116643"/>
    <w:multiLevelType w:val="hybridMultilevel"/>
    <w:tmpl w:val="F500B5BA"/>
    <w:lvl w:ilvl="0" w:tplc="E66C3C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9307E73"/>
    <w:multiLevelType w:val="hybridMultilevel"/>
    <w:tmpl w:val="794A85E8"/>
    <w:lvl w:ilvl="0" w:tplc="D0CA4E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C53C0"/>
    <w:multiLevelType w:val="hybridMultilevel"/>
    <w:tmpl w:val="6958C06E"/>
    <w:lvl w:ilvl="0" w:tplc="A7EC95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9E93732"/>
    <w:multiLevelType w:val="hybridMultilevel"/>
    <w:tmpl w:val="E20807C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69">
    <w:nsid w:val="19FD3495"/>
    <w:multiLevelType w:val="hybridMultilevel"/>
    <w:tmpl w:val="F8FEF590"/>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0">
    <w:nsid w:val="1A72425D"/>
    <w:multiLevelType w:val="hybridMultilevel"/>
    <w:tmpl w:val="5142C4D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1">
    <w:nsid w:val="1AC063C9"/>
    <w:multiLevelType w:val="hybridMultilevel"/>
    <w:tmpl w:val="DD127C0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72">
    <w:nsid w:val="1B860CFC"/>
    <w:multiLevelType w:val="hybridMultilevel"/>
    <w:tmpl w:val="65EA28C4"/>
    <w:lvl w:ilvl="0" w:tplc="8E1667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1B9A0AA0"/>
    <w:multiLevelType w:val="hybridMultilevel"/>
    <w:tmpl w:val="7C368E08"/>
    <w:lvl w:ilvl="0" w:tplc="E2EE47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1BF41DC7"/>
    <w:multiLevelType w:val="hybridMultilevel"/>
    <w:tmpl w:val="DDF82EF2"/>
    <w:lvl w:ilvl="0" w:tplc="71AE8B64">
      <w:start w:val="1"/>
      <w:numFmt w:val="decimal"/>
      <w:lvlText w:val="(%1)"/>
      <w:lvlJc w:val="left"/>
      <w:pPr>
        <w:ind w:left="1080"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C5E78D8"/>
    <w:multiLevelType w:val="hybridMultilevel"/>
    <w:tmpl w:val="87DCAA40"/>
    <w:lvl w:ilvl="0" w:tplc="04090001">
      <w:start w:val="1"/>
      <w:numFmt w:val="bullet"/>
      <w:lvlText w:val=""/>
      <w:lvlJc w:val="left"/>
      <w:pPr>
        <w:ind w:left="1268" w:hanging="360"/>
      </w:pPr>
      <w:rPr>
        <w:rFonts w:ascii="Symbol" w:hAnsi="Symbol" w:hint="default"/>
      </w:rPr>
    </w:lvl>
    <w:lvl w:ilvl="1" w:tplc="04090003" w:tentative="1">
      <w:start w:val="1"/>
      <w:numFmt w:val="bullet"/>
      <w:lvlText w:val="o"/>
      <w:lvlJc w:val="left"/>
      <w:pPr>
        <w:ind w:left="1988"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76">
    <w:nsid w:val="1CCB5586"/>
    <w:multiLevelType w:val="hybridMultilevel"/>
    <w:tmpl w:val="4B602F6A"/>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77">
    <w:nsid w:val="1CD269CC"/>
    <w:multiLevelType w:val="hybridMultilevel"/>
    <w:tmpl w:val="025CF15A"/>
    <w:lvl w:ilvl="0" w:tplc="3558DA16">
      <w:start w:val="1"/>
      <w:numFmt w:val="decimal"/>
      <w:lvlText w:val="%1-"/>
      <w:lvlJc w:val="left"/>
      <w:pPr>
        <w:tabs>
          <w:tab w:val="num" w:pos="874"/>
        </w:tabs>
        <w:ind w:left="874" w:hanging="4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78">
    <w:nsid w:val="1D1C7BF1"/>
    <w:multiLevelType w:val="hybridMultilevel"/>
    <w:tmpl w:val="B41C3800"/>
    <w:lvl w:ilvl="0" w:tplc="D13EE9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D381F6F"/>
    <w:multiLevelType w:val="hybridMultilevel"/>
    <w:tmpl w:val="BE0ED496"/>
    <w:lvl w:ilvl="0" w:tplc="C20CDCB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1DA9236F"/>
    <w:multiLevelType w:val="hybridMultilevel"/>
    <w:tmpl w:val="2F02EA46"/>
    <w:lvl w:ilvl="0" w:tplc="170EBF44">
      <w:start w:val="1"/>
      <w:numFmt w:val="decimal"/>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1">
    <w:nsid w:val="1DB3001B"/>
    <w:multiLevelType w:val="hybridMultilevel"/>
    <w:tmpl w:val="7F0EC416"/>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82">
    <w:nsid w:val="1DB54EFA"/>
    <w:multiLevelType w:val="hybridMultilevel"/>
    <w:tmpl w:val="2076C448"/>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83">
    <w:nsid w:val="1E636266"/>
    <w:multiLevelType w:val="hybridMultilevel"/>
    <w:tmpl w:val="AB28C930"/>
    <w:lvl w:ilvl="0" w:tplc="EBEC7C80">
      <w:start w:val="1"/>
      <w:numFmt w:val="decimal"/>
      <w:lvlText w:val="(%1)"/>
      <w:lvlJc w:val="left"/>
      <w:pPr>
        <w:ind w:left="1080" w:hanging="720"/>
      </w:pPr>
      <w:rPr>
        <w:rFonts w:hint="default"/>
        <w:b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1E6B2396"/>
    <w:multiLevelType w:val="hybridMultilevel"/>
    <w:tmpl w:val="588EDBEE"/>
    <w:lvl w:ilvl="0" w:tplc="AB06AE3A">
      <w:start w:val="1"/>
      <w:numFmt w:val="decimal"/>
      <w:lvlText w:val="%1-"/>
      <w:lvlJc w:val="left"/>
      <w:pPr>
        <w:tabs>
          <w:tab w:val="num" w:pos="1324"/>
        </w:tabs>
        <w:ind w:left="1324" w:hanging="87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85">
    <w:nsid w:val="1ED20FFB"/>
    <w:multiLevelType w:val="hybridMultilevel"/>
    <w:tmpl w:val="692065F6"/>
    <w:lvl w:ilvl="0" w:tplc="A6B27FA0">
      <w:start w:val="1"/>
      <w:numFmt w:val="decimal"/>
      <w:lvlText w:val="%1-"/>
      <w:lvlJc w:val="left"/>
      <w:pPr>
        <w:tabs>
          <w:tab w:val="num" w:pos="1219"/>
        </w:tabs>
        <w:ind w:left="1219" w:hanging="405"/>
      </w:pPr>
      <w:rPr>
        <w:rFonts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abstractNum w:abstractNumId="86">
    <w:nsid w:val="1EF60944"/>
    <w:multiLevelType w:val="hybridMultilevel"/>
    <w:tmpl w:val="3842CAF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87">
    <w:nsid w:val="1EF83C82"/>
    <w:multiLevelType w:val="hybridMultilevel"/>
    <w:tmpl w:val="264E005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20337C17"/>
    <w:multiLevelType w:val="hybridMultilevel"/>
    <w:tmpl w:val="AEFA2C2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89">
    <w:nsid w:val="207436A2"/>
    <w:multiLevelType w:val="hybridMultilevel"/>
    <w:tmpl w:val="6940158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90">
    <w:nsid w:val="20D12974"/>
    <w:multiLevelType w:val="hybridMultilevel"/>
    <w:tmpl w:val="6FB615BC"/>
    <w:lvl w:ilvl="0" w:tplc="82927B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2119071C"/>
    <w:multiLevelType w:val="hybridMultilevel"/>
    <w:tmpl w:val="41804DEA"/>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92">
    <w:nsid w:val="21894137"/>
    <w:multiLevelType w:val="hybridMultilevel"/>
    <w:tmpl w:val="2ADA6998"/>
    <w:lvl w:ilvl="0" w:tplc="04090001">
      <w:start w:val="1"/>
      <w:numFmt w:val="bullet"/>
      <w:lvlText w:val=""/>
      <w:lvlJc w:val="left"/>
      <w:pPr>
        <w:ind w:left="1795" w:hanging="360"/>
      </w:pPr>
      <w:rPr>
        <w:rFonts w:ascii="Symbol" w:hAnsi="Symbol"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93">
    <w:nsid w:val="21EE6CCE"/>
    <w:multiLevelType w:val="hybridMultilevel"/>
    <w:tmpl w:val="BED82036"/>
    <w:lvl w:ilvl="0" w:tplc="3572C66C">
      <w:start w:val="1"/>
      <w:numFmt w:val="decimal"/>
      <w:lvlText w:val="(%1)"/>
      <w:lvlJc w:val="left"/>
      <w:pPr>
        <w:ind w:left="1080" w:hanging="72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223A512B"/>
    <w:multiLevelType w:val="hybridMultilevel"/>
    <w:tmpl w:val="389E5548"/>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95">
    <w:nsid w:val="227E70E2"/>
    <w:multiLevelType w:val="hybridMultilevel"/>
    <w:tmpl w:val="FD040812"/>
    <w:lvl w:ilvl="0" w:tplc="872877E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22820539"/>
    <w:multiLevelType w:val="hybridMultilevel"/>
    <w:tmpl w:val="F050D6B2"/>
    <w:lvl w:ilvl="0" w:tplc="2C787BC0">
      <w:start w:val="1"/>
      <w:numFmt w:val="bullet"/>
      <w:suff w:val="space"/>
      <w:lvlText w:val=""/>
      <w:lvlJc w:val="left"/>
      <w:pPr>
        <w:ind w:left="284" w:hanging="28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22A0043C"/>
    <w:multiLevelType w:val="hybridMultilevel"/>
    <w:tmpl w:val="4872D12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8">
    <w:nsid w:val="22DC7D48"/>
    <w:multiLevelType w:val="hybridMultilevel"/>
    <w:tmpl w:val="2C18F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23B81453"/>
    <w:multiLevelType w:val="hybridMultilevel"/>
    <w:tmpl w:val="D75A3A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24422DC3"/>
    <w:multiLevelType w:val="hybridMultilevel"/>
    <w:tmpl w:val="7BF4A63C"/>
    <w:lvl w:ilvl="0" w:tplc="A6B27FA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24562B01"/>
    <w:multiLevelType w:val="hybridMultilevel"/>
    <w:tmpl w:val="25709930"/>
    <w:lvl w:ilvl="0" w:tplc="03345C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245B6612"/>
    <w:multiLevelType w:val="hybridMultilevel"/>
    <w:tmpl w:val="21B6904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03">
    <w:nsid w:val="24976096"/>
    <w:multiLevelType w:val="hybridMultilevel"/>
    <w:tmpl w:val="33DE396A"/>
    <w:lvl w:ilvl="0" w:tplc="04090001">
      <w:start w:val="1"/>
      <w:numFmt w:val="bullet"/>
      <w:lvlText w:val=""/>
      <w:lvlJc w:val="left"/>
      <w:pPr>
        <w:ind w:left="1162" w:hanging="360"/>
      </w:pPr>
      <w:rPr>
        <w:rFonts w:ascii="Symbol" w:hAnsi="Symbo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04">
    <w:nsid w:val="24AD3F16"/>
    <w:multiLevelType w:val="hybridMultilevel"/>
    <w:tmpl w:val="D6D659E0"/>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105">
    <w:nsid w:val="25EA4156"/>
    <w:multiLevelType w:val="hybridMultilevel"/>
    <w:tmpl w:val="959E79FC"/>
    <w:lvl w:ilvl="0" w:tplc="04090001">
      <w:start w:val="1"/>
      <w:numFmt w:val="bullet"/>
      <w:lvlText w:val=""/>
      <w:lvlJc w:val="left"/>
      <w:pPr>
        <w:ind w:left="1162" w:hanging="360"/>
      </w:pPr>
      <w:rPr>
        <w:rFonts w:ascii="Symbol" w:hAnsi="Symbo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06">
    <w:nsid w:val="25F01388"/>
    <w:multiLevelType w:val="hybridMultilevel"/>
    <w:tmpl w:val="41D84E82"/>
    <w:lvl w:ilvl="0" w:tplc="6562E8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6596841"/>
    <w:multiLevelType w:val="hybridMultilevel"/>
    <w:tmpl w:val="2528C268"/>
    <w:lvl w:ilvl="0" w:tplc="F2F0A3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26B34C05"/>
    <w:multiLevelType w:val="hybridMultilevel"/>
    <w:tmpl w:val="0C988252"/>
    <w:lvl w:ilvl="0" w:tplc="2FE26C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26C17807"/>
    <w:multiLevelType w:val="hybridMultilevel"/>
    <w:tmpl w:val="95E8919A"/>
    <w:lvl w:ilvl="0" w:tplc="A6B27FA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26DF7961"/>
    <w:multiLevelType w:val="hybridMultilevel"/>
    <w:tmpl w:val="F09C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270A5499"/>
    <w:multiLevelType w:val="hybridMultilevel"/>
    <w:tmpl w:val="9B56DB24"/>
    <w:lvl w:ilvl="0" w:tplc="2E7225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274B1A12"/>
    <w:multiLevelType w:val="hybridMultilevel"/>
    <w:tmpl w:val="AD24C498"/>
    <w:lvl w:ilvl="0" w:tplc="ECB2EA4A">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281C6390"/>
    <w:multiLevelType w:val="hybridMultilevel"/>
    <w:tmpl w:val="970648CE"/>
    <w:lvl w:ilvl="0" w:tplc="0409000F">
      <w:start w:val="1"/>
      <w:numFmt w:val="decimal"/>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14">
    <w:nsid w:val="286866CE"/>
    <w:multiLevelType w:val="hybridMultilevel"/>
    <w:tmpl w:val="56A67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29060F4C"/>
    <w:multiLevelType w:val="hybridMultilevel"/>
    <w:tmpl w:val="5022868E"/>
    <w:lvl w:ilvl="0" w:tplc="28E4128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29850817"/>
    <w:multiLevelType w:val="hybridMultilevel"/>
    <w:tmpl w:val="FF0AC1B2"/>
    <w:lvl w:ilvl="0" w:tplc="04090001">
      <w:start w:val="1"/>
      <w:numFmt w:val="bullet"/>
      <w:lvlText w:val=""/>
      <w:lvlJc w:val="left"/>
      <w:pPr>
        <w:ind w:left="1027" w:hanging="360"/>
      </w:pPr>
      <w:rPr>
        <w:rFonts w:ascii="Symbol" w:hAnsi="Symbol" w:hint="default"/>
      </w:rPr>
    </w:lvl>
    <w:lvl w:ilvl="1" w:tplc="04090003" w:tentative="1">
      <w:start w:val="1"/>
      <w:numFmt w:val="bullet"/>
      <w:lvlText w:val="o"/>
      <w:lvlJc w:val="left"/>
      <w:pPr>
        <w:ind w:left="1747" w:hanging="360"/>
      </w:pPr>
      <w:rPr>
        <w:rFonts w:ascii="Courier New" w:hAnsi="Courier New" w:cs="Courier New" w:hint="default"/>
      </w:rPr>
    </w:lvl>
    <w:lvl w:ilvl="2" w:tplc="04090005" w:tentative="1">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117">
    <w:nsid w:val="29D76592"/>
    <w:multiLevelType w:val="hybridMultilevel"/>
    <w:tmpl w:val="25629932"/>
    <w:lvl w:ilvl="0" w:tplc="13BECD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2AA3743A"/>
    <w:multiLevelType w:val="hybridMultilevel"/>
    <w:tmpl w:val="B380D08C"/>
    <w:lvl w:ilvl="0" w:tplc="839EB4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2B255DDE"/>
    <w:multiLevelType w:val="hybridMultilevel"/>
    <w:tmpl w:val="A742027C"/>
    <w:lvl w:ilvl="0" w:tplc="A16066A0">
      <w:start w:val="1"/>
      <w:numFmt w:val="decimal"/>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0">
    <w:nsid w:val="2C0F6F7C"/>
    <w:multiLevelType w:val="hybridMultilevel"/>
    <w:tmpl w:val="8A6E4128"/>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21">
    <w:nsid w:val="2C255430"/>
    <w:multiLevelType w:val="hybridMultilevel"/>
    <w:tmpl w:val="39B67F34"/>
    <w:lvl w:ilvl="0" w:tplc="89FC063E">
      <w:start w:val="1"/>
      <w:numFmt w:val="decimal"/>
      <w:lvlText w:val="(%1)"/>
      <w:lvlJc w:val="left"/>
      <w:pPr>
        <w:ind w:left="1080" w:hanging="720"/>
      </w:pPr>
      <w:rPr>
        <w:rFonts w:ascii="Traditional Arabic" w:eastAsia="Times New Roman" w:hAnsi="Traditional Arabic" w:cs="Traditional Arabi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2C590650"/>
    <w:multiLevelType w:val="hybridMultilevel"/>
    <w:tmpl w:val="D4C88D2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3">
    <w:nsid w:val="2CBD13CF"/>
    <w:multiLevelType w:val="hybridMultilevel"/>
    <w:tmpl w:val="39409394"/>
    <w:lvl w:ilvl="0" w:tplc="04090001">
      <w:start w:val="1"/>
      <w:numFmt w:val="bullet"/>
      <w:lvlText w:val=""/>
      <w:lvlJc w:val="left"/>
      <w:pPr>
        <w:ind w:left="1162" w:hanging="360"/>
      </w:pPr>
      <w:rPr>
        <w:rFonts w:ascii="Symbol" w:hAnsi="Symbo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24">
    <w:nsid w:val="2CE0539C"/>
    <w:multiLevelType w:val="hybridMultilevel"/>
    <w:tmpl w:val="1E48F3DA"/>
    <w:lvl w:ilvl="0" w:tplc="04090001">
      <w:start w:val="1"/>
      <w:numFmt w:val="bullet"/>
      <w:lvlText w:val=""/>
      <w:lvlJc w:val="left"/>
      <w:pPr>
        <w:ind w:left="1534" w:hanging="360"/>
      </w:pPr>
      <w:rPr>
        <w:rFonts w:ascii="Symbol" w:hAnsi="Symbol" w:hint="default"/>
      </w:rPr>
    </w:lvl>
    <w:lvl w:ilvl="1" w:tplc="04090003" w:tentative="1">
      <w:start w:val="1"/>
      <w:numFmt w:val="bullet"/>
      <w:lvlText w:val="o"/>
      <w:lvlJc w:val="left"/>
      <w:pPr>
        <w:ind w:left="2254" w:hanging="360"/>
      </w:pPr>
      <w:rPr>
        <w:rFonts w:ascii="Courier New" w:hAnsi="Courier New" w:cs="Courier New" w:hint="default"/>
      </w:rPr>
    </w:lvl>
    <w:lvl w:ilvl="2" w:tplc="04090005" w:tentative="1">
      <w:start w:val="1"/>
      <w:numFmt w:val="bullet"/>
      <w:lvlText w:val=""/>
      <w:lvlJc w:val="left"/>
      <w:pPr>
        <w:ind w:left="2974" w:hanging="360"/>
      </w:pPr>
      <w:rPr>
        <w:rFonts w:ascii="Wingdings" w:hAnsi="Wingdings" w:hint="default"/>
      </w:rPr>
    </w:lvl>
    <w:lvl w:ilvl="3" w:tplc="04090001" w:tentative="1">
      <w:start w:val="1"/>
      <w:numFmt w:val="bullet"/>
      <w:lvlText w:val=""/>
      <w:lvlJc w:val="left"/>
      <w:pPr>
        <w:ind w:left="3694" w:hanging="360"/>
      </w:pPr>
      <w:rPr>
        <w:rFonts w:ascii="Symbol" w:hAnsi="Symbol" w:hint="default"/>
      </w:rPr>
    </w:lvl>
    <w:lvl w:ilvl="4" w:tplc="04090003" w:tentative="1">
      <w:start w:val="1"/>
      <w:numFmt w:val="bullet"/>
      <w:lvlText w:val="o"/>
      <w:lvlJc w:val="left"/>
      <w:pPr>
        <w:ind w:left="4414" w:hanging="360"/>
      </w:pPr>
      <w:rPr>
        <w:rFonts w:ascii="Courier New" w:hAnsi="Courier New" w:cs="Courier New" w:hint="default"/>
      </w:rPr>
    </w:lvl>
    <w:lvl w:ilvl="5" w:tplc="04090005" w:tentative="1">
      <w:start w:val="1"/>
      <w:numFmt w:val="bullet"/>
      <w:lvlText w:val=""/>
      <w:lvlJc w:val="left"/>
      <w:pPr>
        <w:ind w:left="5134" w:hanging="360"/>
      </w:pPr>
      <w:rPr>
        <w:rFonts w:ascii="Wingdings" w:hAnsi="Wingdings" w:hint="default"/>
      </w:rPr>
    </w:lvl>
    <w:lvl w:ilvl="6" w:tplc="04090001" w:tentative="1">
      <w:start w:val="1"/>
      <w:numFmt w:val="bullet"/>
      <w:lvlText w:val=""/>
      <w:lvlJc w:val="left"/>
      <w:pPr>
        <w:ind w:left="5854" w:hanging="360"/>
      </w:pPr>
      <w:rPr>
        <w:rFonts w:ascii="Symbol" w:hAnsi="Symbol" w:hint="default"/>
      </w:rPr>
    </w:lvl>
    <w:lvl w:ilvl="7" w:tplc="04090003" w:tentative="1">
      <w:start w:val="1"/>
      <w:numFmt w:val="bullet"/>
      <w:lvlText w:val="o"/>
      <w:lvlJc w:val="left"/>
      <w:pPr>
        <w:ind w:left="6574" w:hanging="360"/>
      </w:pPr>
      <w:rPr>
        <w:rFonts w:ascii="Courier New" w:hAnsi="Courier New" w:cs="Courier New" w:hint="default"/>
      </w:rPr>
    </w:lvl>
    <w:lvl w:ilvl="8" w:tplc="04090005" w:tentative="1">
      <w:start w:val="1"/>
      <w:numFmt w:val="bullet"/>
      <w:lvlText w:val=""/>
      <w:lvlJc w:val="left"/>
      <w:pPr>
        <w:ind w:left="7294" w:hanging="360"/>
      </w:pPr>
      <w:rPr>
        <w:rFonts w:ascii="Wingdings" w:hAnsi="Wingdings" w:hint="default"/>
      </w:rPr>
    </w:lvl>
  </w:abstractNum>
  <w:abstractNum w:abstractNumId="125">
    <w:nsid w:val="2D107C6F"/>
    <w:multiLevelType w:val="hybridMultilevel"/>
    <w:tmpl w:val="A600FEEC"/>
    <w:lvl w:ilvl="0" w:tplc="04090001">
      <w:start w:val="1"/>
      <w:numFmt w:val="bullet"/>
      <w:lvlText w:val=""/>
      <w:lvlJc w:val="left"/>
      <w:pPr>
        <w:ind w:left="1268" w:hanging="360"/>
      </w:pPr>
      <w:rPr>
        <w:rFonts w:ascii="Symbol" w:hAnsi="Symbol" w:hint="default"/>
      </w:rPr>
    </w:lvl>
    <w:lvl w:ilvl="1" w:tplc="04090003" w:tentative="1">
      <w:start w:val="1"/>
      <w:numFmt w:val="bullet"/>
      <w:lvlText w:val="o"/>
      <w:lvlJc w:val="left"/>
      <w:pPr>
        <w:ind w:left="1988"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126">
    <w:nsid w:val="2D1830C8"/>
    <w:multiLevelType w:val="hybridMultilevel"/>
    <w:tmpl w:val="F384D060"/>
    <w:lvl w:ilvl="0" w:tplc="46BCE70A">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2DB54321"/>
    <w:multiLevelType w:val="hybridMultilevel"/>
    <w:tmpl w:val="7CF64976"/>
    <w:lvl w:ilvl="0" w:tplc="C9206498">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2E0F2D44"/>
    <w:multiLevelType w:val="hybridMultilevel"/>
    <w:tmpl w:val="F774A1D4"/>
    <w:lvl w:ilvl="0" w:tplc="804AF7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2E750AD2"/>
    <w:multiLevelType w:val="hybridMultilevel"/>
    <w:tmpl w:val="9DF2B93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nsid w:val="2EB93794"/>
    <w:multiLevelType w:val="hybridMultilevel"/>
    <w:tmpl w:val="E536D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2F546AC9"/>
    <w:multiLevelType w:val="hybridMultilevel"/>
    <w:tmpl w:val="C4EE7DD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2">
    <w:nsid w:val="2F7E1EBF"/>
    <w:multiLevelType w:val="hybridMultilevel"/>
    <w:tmpl w:val="991E9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2FA342B8"/>
    <w:multiLevelType w:val="hybridMultilevel"/>
    <w:tmpl w:val="8892CCA8"/>
    <w:lvl w:ilvl="0" w:tplc="6590CD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3002779F"/>
    <w:multiLevelType w:val="hybridMultilevel"/>
    <w:tmpl w:val="09160B1A"/>
    <w:lvl w:ilvl="0" w:tplc="04090001">
      <w:start w:val="1"/>
      <w:numFmt w:val="bullet"/>
      <w:lvlText w:val=""/>
      <w:lvlJc w:val="left"/>
      <w:pPr>
        <w:ind w:left="1853" w:hanging="360"/>
      </w:pPr>
      <w:rPr>
        <w:rFonts w:ascii="Symbol" w:hAnsi="Symbol" w:hint="default"/>
      </w:rPr>
    </w:lvl>
    <w:lvl w:ilvl="1" w:tplc="04090003" w:tentative="1">
      <w:start w:val="1"/>
      <w:numFmt w:val="bullet"/>
      <w:lvlText w:val="o"/>
      <w:lvlJc w:val="left"/>
      <w:pPr>
        <w:ind w:left="2573" w:hanging="360"/>
      </w:pPr>
      <w:rPr>
        <w:rFonts w:ascii="Courier New" w:hAnsi="Courier New" w:cs="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cs="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cs="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135">
    <w:nsid w:val="30045563"/>
    <w:multiLevelType w:val="hybridMultilevel"/>
    <w:tmpl w:val="AA3E8760"/>
    <w:lvl w:ilvl="0" w:tplc="030E9646">
      <w:start w:val="1"/>
      <w:numFmt w:val="decimal"/>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6">
    <w:nsid w:val="30EA3050"/>
    <w:multiLevelType w:val="hybridMultilevel"/>
    <w:tmpl w:val="2C44AA94"/>
    <w:lvl w:ilvl="0" w:tplc="4B36A3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1C76366"/>
    <w:multiLevelType w:val="hybridMultilevel"/>
    <w:tmpl w:val="FCCE0F54"/>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138">
    <w:nsid w:val="31E60339"/>
    <w:multiLevelType w:val="hybridMultilevel"/>
    <w:tmpl w:val="B8F07D06"/>
    <w:lvl w:ilvl="0" w:tplc="04090001">
      <w:start w:val="1"/>
      <w:numFmt w:val="bullet"/>
      <w:lvlText w:val=""/>
      <w:lvlJc w:val="left"/>
      <w:pPr>
        <w:ind w:left="1894" w:hanging="360"/>
      </w:pPr>
      <w:rPr>
        <w:rFonts w:ascii="Symbol" w:hAnsi="Symbol"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139">
    <w:nsid w:val="329241A9"/>
    <w:multiLevelType w:val="hybridMultilevel"/>
    <w:tmpl w:val="EE3C02BE"/>
    <w:lvl w:ilvl="0" w:tplc="ABA8B7A8">
      <w:start w:val="1"/>
      <w:numFmt w:val="decimal"/>
      <w:lvlText w:val="%1-"/>
      <w:lvlJc w:val="left"/>
      <w:pPr>
        <w:ind w:left="1549" w:hanging="720"/>
      </w:pPr>
      <w:rPr>
        <w:rFonts w:hint="default"/>
      </w:r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140">
    <w:nsid w:val="32A93B75"/>
    <w:multiLevelType w:val="hybridMultilevel"/>
    <w:tmpl w:val="01961F34"/>
    <w:lvl w:ilvl="0" w:tplc="EFC63FFC">
      <w:start w:val="1"/>
      <w:numFmt w:val="decimal"/>
      <w:lvlText w:val="%1-"/>
      <w:lvlJc w:val="left"/>
      <w:pPr>
        <w:tabs>
          <w:tab w:val="num" w:pos="1339"/>
        </w:tabs>
        <w:ind w:left="1339" w:hanging="885"/>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41">
    <w:nsid w:val="33521848"/>
    <w:multiLevelType w:val="hybridMultilevel"/>
    <w:tmpl w:val="5E56814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42">
    <w:nsid w:val="33AA4782"/>
    <w:multiLevelType w:val="hybridMultilevel"/>
    <w:tmpl w:val="EDF22174"/>
    <w:lvl w:ilvl="0" w:tplc="CD8A9B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34E035EE"/>
    <w:multiLevelType w:val="hybridMultilevel"/>
    <w:tmpl w:val="AAA870F2"/>
    <w:lvl w:ilvl="0" w:tplc="2D9C0172">
      <w:start w:val="1"/>
      <w:numFmt w:val="decimal"/>
      <w:lvlText w:val="(%1)"/>
      <w:lvlJc w:val="left"/>
      <w:pPr>
        <w:ind w:left="1080" w:hanging="720"/>
      </w:pPr>
      <w:rPr>
        <w:rFonts w:ascii="Traditional Arabic" w:hAnsi="Traditional Arabic" w:cs="Traditional Arabic"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358037E1"/>
    <w:multiLevelType w:val="hybridMultilevel"/>
    <w:tmpl w:val="B0681E1A"/>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145">
    <w:nsid w:val="358D2FBB"/>
    <w:multiLevelType w:val="hybridMultilevel"/>
    <w:tmpl w:val="92E601BC"/>
    <w:lvl w:ilvl="0" w:tplc="04090001">
      <w:start w:val="1"/>
      <w:numFmt w:val="bullet"/>
      <w:lvlText w:val=""/>
      <w:lvlJc w:val="left"/>
      <w:pPr>
        <w:ind w:left="1699" w:hanging="360"/>
      </w:pPr>
      <w:rPr>
        <w:rFonts w:ascii="Symbol" w:hAnsi="Symbol" w:hint="default"/>
      </w:rPr>
    </w:lvl>
    <w:lvl w:ilvl="1" w:tplc="04090003" w:tentative="1">
      <w:start w:val="1"/>
      <w:numFmt w:val="bullet"/>
      <w:lvlText w:val="o"/>
      <w:lvlJc w:val="left"/>
      <w:pPr>
        <w:ind w:left="2419" w:hanging="360"/>
      </w:pPr>
      <w:rPr>
        <w:rFonts w:ascii="Courier New" w:hAnsi="Courier New" w:cs="Courier New" w:hint="default"/>
      </w:rPr>
    </w:lvl>
    <w:lvl w:ilvl="2" w:tplc="04090005" w:tentative="1">
      <w:start w:val="1"/>
      <w:numFmt w:val="bullet"/>
      <w:lvlText w:val=""/>
      <w:lvlJc w:val="left"/>
      <w:pPr>
        <w:ind w:left="3139" w:hanging="360"/>
      </w:pPr>
      <w:rPr>
        <w:rFonts w:ascii="Wingdings" w:hAnsi="Wingdings" w:hint="default"/>
      </w:rPr>
    </w:lvl>
    <w:lvl w:ilvl="3" w:tplc="04090001" w:tentative="1">
      <w:start w:val="1"/>
      <w:numFmt w:val="bullet"/>
      <w:lvlText w:val=""/>
      <w:lvlJc w:val="left"/>
      <w:pPr>
        <w:ind w:left="3859" w:hanging="360"/>
      </w:pPr>
      <w:rPr>
        <w:rFonts w:ascii="Symbol" w:hAnsi="Symbol" w:hint="default"/>
      </w:rPr>
    </w:lvl>
    <w:lvl w:ilvl="4" w:tplc="04090003" w:tentative="1">
      <w:start w:val="1"/>
      <w:numFmt w:val="bullet"/>
      <w:lvlText w:val="o"/>
      <w:lvlJc w:val="left"/>
      <w:pPr>
        <w:ind w:left="4579" w:hanging="360"/>
      </w:pPr>
      <w:rPr>
        <w:rFonts w:ascii="Courier New" w:hAnsi="Courier New" w:cs="Courier New" w:hint="default"/>
      </w:rPr>
    </w:lvl>
    <w:lvl w:ilvl="5" w:tplc="04090005" w:tentative="1">
      <w:start w:val="1"/>
      <w:numFmt w:val="bullet"/>
      <w:lvlText w:val=""/>
      <w:lvlJc w:val="left"/>
      <w:pPr>
        <w:ind w:left="5299" w:hanging="360"/>
      </w:pPr>
      <w:rPr>
        <w:rFonts w:ascii="Wingdings" w:hAnsi="Wingdings" w:hint="default"/>
      </w:rPr>
    </w:lvl>
    <w:lvl w:ilvl="6" w:tplc="04090001" w:tentative="1">
      <w:start w:val="1"/>
      <w:numFmt w:val="bullet"/>
      <w:lvlText w:val=""/>
      <w:lvlJc w:val="left"/>
      <w:pPr>
        <w:ind w:left="6019" w:hanging="360"/>
      </w:pPr>
      <w:rPr>
        <w:rFonts w:ascii="Symbol" w:hAnsi="Symbol" w:hint="default"/>
      </w:rPr>
    </w:lvl>
    <w:lvl w:ilvl="7" w:tplc="04090003" w:tentative="1">
      <w:start w:val="1"/>
      <w:numFmt w:val="bullet"/>
      <w:lvlText w:val="o"/>
      <w:lvlJc w:val="left"/>
      <w:pPr>
        <w:ind w:left="6739" w:hanging="360"/>
      </w:pPr>
      <w:rPr>
        <w:rFonts w:ascii="Courier New" w:hAnsi="Courier New" w:cs="Courier New" w:hint="default"/>
      </w:rPr>
    </w:lvl>
    <w:lvl w:ilvl="8" w:tplc="04090005" w:tentative="1">
      <w:start w:val="1"/>
      <w:numFmt w:val="bullet"/>
      <w:lvlText w:val=""/>
      <w:lvlJc w:val="left"/>
      <w:pPr>
        <w:ind w:left="7459" w:hanging="360"/>
      </w:pPr>
      <w:rPr>
        <w:rFonts w:ascii="Wingdings" w:hAnsi="Wingdings" w:hint="default"/>
      </w:rPr>
    </w:lvl>
  </w:abstractNum>
  <w:abstractNum w:abstractNumId="146">
    <w:nsid w:val="358E39D0"/>
    <w:multiLevelType w:val="hybridMultilevel"/>
    <w:tmpl w:val="5CD6D7F6"/>
    <w:lvl w:ilvl="0" w:tplc="E8B287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35C3376B"/>
    <w:multiLevelType w:val="hybridMultilevel"/>
    <w:tmpl w:val="7ED42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35F778C3"/>
    <w:multiLevelType w:val="hybridMultilevel"/>
    <w:tmpl w:val="3492496E"/>
    <w:lvl w:ilvl="0" w:tplc="CACCA5EE">
      <w:start w:val="1"/>
      <w:numFmt w:val="decimal"/>
      <w:lvlText w:val="(%1)"/>
      <w:lvlJc w:val="left"/>
      <w:pPr>
        <w:tabs>
          <w:tab w:val="num" w:pos="1384"/>
        </w:tabs>
        <w:ind w:left="1384" w:hanging="93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nsid w:val="36354FF3"/>
    <w:multiLevelType w:val="hybridMultilevel"/>
    <w:tmpl w:val="670A65B0"/>
    <w:lvl w:ilvl="0" w:tplc="71DA35E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36755CC1"/>
    <w:multiLevelType w:val="hybridMultilevel"/>
    <w:tmpl w:val="AAFE59F6"/>
    <w:lvl w:ilvl="0" w:tplc="5F887D76">
      <w:start w:val="1"/>
      <w:numFmt w:val="decimal"/>
      <w:lvlText w:val="(%1)"/>
      <w:lvlJc w:val="left"/>
      <w:pPr>
        <w:ind w:left="1170" w:hanging="720"/>
      </w:pPr>
      <w:rPr>
        <w:rFonts w:ascii="Traditional Arabic" w:hAnsi="Traditional Arabic"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1">
    <w:nsid w:val="36FC13C2"/>
    <w:multiLevelType w:val="hybridMultilevel"/>
    <w:tmpl w:val="783061D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2">
    <w:nsid w:val="37D10769"/>
    <w:multiLevelType w:val="hybridMultilevel"/>
    <w:tmpl w:val="61F0A022"/>
    <w:lvl w:ilvl="0" w:tplc="947607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38B41682"/>
    <w:multiLevelType w:val="hybridMultilevel"/>
    <w:tmpl w:val="4DAC204A"/>
    <w:lvl w:ilvl="0" w:tplc="B3F41E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38C34626"/>
    <w:multiLevelType w:val="hybridMultilevel"/>
    <w:tmpl w:val="95BCFBA8"/>
    <w:lvl w:ilvl="0" w:tplc="E1CA9E20">
      <w:start w:val="1"/>
      <w:numFmt w:val="decimal"/>
      <w:lvlText w:val="(%1)"/>
      <w:lvlJc w:val="left"/>
      <w:pPr>
        <w:ind w:left="1080" w:hanging="720"/>
      </w:pPr>
      <w:rPr>
        <w:rFonts w:ascii="Traditional Arabic" w:hAnsi="Traditional Arabic"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399D0821"/>
    <w:multiLevelType w:val="hybridMultilevel"/>
    <w:tmpl w:val="9DD8D0F0"/>
    <w:lvl w:ilvl="0" w:tplc="1E1463C2">
      <w:start w:val="1"/>
      <w:numFmt w:val="decimal"/>
      <w:lvlText w:val="(%1)"/>
      <w:lvlJc w:val="left"/>
      <w:pPr>
        <w:ind w:left="825" w:hanging="375"/>
      </w:pPr>
      <w:rPr>
        <w:rFonts w:ascii="Traditional Arabic" w:hAnsi="Traditional Arabic" w:cs="Traditional Arabic"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6">
    <w:nsid w:val="39CB6C5D"/>
    <w:multiLevelType w:val="hybridMultilevel"/>
    <w:tmpl w:val="19007F24"/>
    <w:lvl w:ilvl="0" w:tplc="1AF8E5A2">
      <w:start w:val="1"/>
      <w:numFmt w:val="decimal"/>
      <w:lvlText w:val="(%1)"/>
      <w:lvlJc w:val="left"/>
      <w:pPr>
        <w:ind w:left="1080" w:hanging="72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39DB341A"/>
    <w:multiLevelType w:val="hybridMultilevel"/>
    <w:tmpl w:val="47B8E690"/>
    <w:lvl w:ilvl="0" w:tplc="392804C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3A285671"/>
    <w:multiLevelType w:val="hybridMultilevel"/>
    <w:tmpl w:val="07A47AFE"/>
    <w:lvl w:ilvl="0" w:tplc="A7EC95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3A3F3658"/>
    <w:multiLevelType w:val="hybridMultilevel"/>
    <w:tmpl w:val="7D186BB4"/>
    <w:lvl w:ilvl="0" w:tplc="CF60551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3A922967"/>
    <w:multiLevelType w:val="hybridMultilevel"/>
    <w:tmpl w:val="319EFAC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1">
    <w:nsid w:val="3C4618EC"/>
    <w:multiLevelType w:val="hybridMultilevel"/>
    <w:tmpl w:val="96C8F3DA"/>
    <w:lvl w:ilvl="0" w:tplc="C5A26E4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C8A2BE2"/>
    <w:multiLevelType w:val="hybridMultilevel"/>
    <w:tmpl w:val="6E3A4054"/>
    <w:lvl w:ilvl="0" w:tplc="A06A97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3CB65C40"/>
    <w:multiLevelType w:val="hybridMultilevel"/>
    <w:tmpl w:val="A702915E"/>
    <w:lvl w:ilvl="0" w:tplc="A6B27FA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4">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165">
    <w:nsid w:val="3D0100C2"/>
    <w:multiLevelType w:val="hybridMultilevel"/>
    <w:tmpl w:val="E63ABD1E"/>
    <w:lvl w:ilvl="0" w:tplc="14CE72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3D0762FA"/>
    <w:multiLevelType w:val="hybridMultilevel"/>
    <w:tmpl w:val="F424B18A"/>
    <w:lvl w:ilvl="0" w:tplc="E6C0F198">
      <w:start w:val="1"/>
      <w:numFmt w:val="decimal"/>
      <w:lvlText w:val="(%1)"/>
      <w:lvlJc w:val="left"/>
      <w:pPr>
        <w:ind w:left="735" w:hanging="375"/>
      </w:pPr>
      <w:rPr>
        <w:rFonts w:ascii="Traditional Arabic" w:hAnsi="Traditional Arabic" w:cs="Traditional Arabic"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DBC20CD"/>
    <w:multiLevelType w:val="hybridMultilevel"/>
    <w:tmpl w:val="33FA77E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68">
    <w:nsid w:val="3DC02049"/>
    <w:multiLevelType w:val="hybridMultilevel"/>
    <w:tmpl w:val="B30C6EC6"/>
    <w:lvl w:ilvl="0" w:tplc="CEE22F22">
      <w:start w:val="1"/>
      <w:numFmt w:val="decimal"/>
      <w:lvlText w:val="%1-"/>
      <w:lvlJc w:val="left"/>
      <w:pPr>
        <w:tabs>
          <w:tab w:val="num" w:pos="874"/>
        </w:tabs>
        <w:ind w:left="874" w:hanging="420"/>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169">
    <w:nsid w:val="3DDB3A54"/>
    <w:multiLevelType w:val="hybridMultilevel"/>
    <w:tmpl w:val="C5D033A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70">
    <w:nsid w:val="3E626EBF"/>
    <w:multiLevelType w:val="hybridMultilevel"/>
    <w:tmpl w:val="C92C1246"/>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1">
    <w:nsid w:val="3E975DD8"/>
    <w:multiLevelType w:val="hybridMultilevel"/>
    <w:tmpl w:val="D3B2EB9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72">
    <w:nsid w:val="3EAE6424"/>
    <w:multiLevelType w:val="hybridMultilevel"/>
    <w:tmpl w:val="E620D4F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3">
    <w:nsid w:val="3EBA2DF4"/>
    <w:multiLevelType w:val="hybridMultilevel"/>
    <w:tmpl w:val="10CEF082"/>
    <w:lvl w:ilvl="0" w:tplc="C30E805A">
      <w:start w:val="1"/>
      <w:numFmt w:val="decimal"/>
      <w:lvlText w:val="%1-"/>
      <w:lvlJc w:val="left"/>
      <w:pPr>
        <w:tabs>
          <w:tab w:val="num" w:pos="780"/>
        </w:tabs>
        <w:ind w:left="780" w:hanging="420"/>
      </w:pPr>
      <w:rPr>
        <w:rFonts w:hint="default"/>
      </w:rPr>
    </w:lvl>
    <w:lvl w:ilvl="1" w:tplc="A6B27FA0">
      <w:start w:val="1"/>
      <w:numFmt w:val="decimal"/>
      <w:lvlText w:val="%2-"/>
      <w:lvlJc w:val="left"/>
      <w:pPr>
        <w:tabs>
          <w:tab w:val="num" w:pos="1485"/>
        </w:tabs>
        <w:ind w:left="1485" w:hanging="405"/>
      </w:pPr>
      <w:rPr>
        <w:rFonts w:hint="default"/>
      </w:rPr>
    </w:lvl>
    <w:lvl w:ilvl="2" w:tplc="D974E488">
      <w:start w:val="1"/>
      <w:numFmt w:val="arabicAlpha"/>
      <w:lvlText w:val="%3-"/>
      <w:lvlJc w:val="left"/>
      <w:pPr>
        <w:ind w:left="2700" w:hanging="720"/>
      </w:pPr>
      <w:rPr>
        <w:rFonts w:hint="default"/>
      </w:rPr>
    </w:lvl>
    <w:lvl w:ilvl="3" w:tplc="653ABA6E">
      <w:start w:val="1"/>
      <w:numFmt w:val="decimal"/>
      <w:lvlText w:val="(%4)"/>
      <w:lvlJc w:val="left"/>
      <w:pPr>
        <w:ind w:left="3240" w:hanging="720"/>
      </w:pPr>
      <w:rPr>
        <w:rFonts w:hint="default"/>
        <w:color w:val="auto"/>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3EDD5F71"/>
    <w:multiLevelType w:val="hybridMultilevel"/>
    <w:tmpl w:val="177658E0"/>
    <w:lvl w:ilvl="0" w:tplc="D972A366">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F381062"/>
    <w:multiLevelType w:val="hybridMultilevel"/>
    <w:tmpl w:val="471C6A94"/>
    <w:lvl w:ilvl="0" w:tplc="F95CE712">
      <w:start w:val="1"/>
      <w:numFmt w:val="decimal"/>
      <w:lvlText w:val="%1-"/>
      <w:lvlJc w:val="left"/>
      <w:pPr>
        <w:tabs>
          <w:tab w:val="num" w:pos="874"/>
        </w:tabs>
        <w:ind w:left="874"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3FAD1C6F"/>
    <w:multiLevelType w:val="hybridMultilevel"/>
    <w:tmpl w:val="4D94B6CE"/>
    <w:lvl w:ilvl="0" w:tplc="96943D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01774B2"/>
    <w:multiLevelType w:val="hybridMultilevel"/>
    <w:tmpl w:val="2AAE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40E01663"/>
    <w:multiLevelType w:val="hybridMultilevel"/>
    <w:tmpl w:val="16365BA0"/>
    <w:lvl w:ilvl="0" w:tplc="04090001">
      <w:start w:val="1"/>
      <w:numFmt w:val="bullet"/>
      <w:lvlText w:val=""/>
      <w:lvlJc w:val="left"/>
      <w:pPr>
        <w:ind w:left="1162" w:hanging="360"/>
      </w:pPr>
      <w:rPr>
        <w:rFonts w:ascii="Symbol" w:hAnsi="Symbo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179">
    <w:nsid w:val="415636D9"/>
    <w:multiLevelType w:val="hybridMultilevel"/>
    <w:tmpl w:val="C7AC9FDE"/>
    <w:lvl w:ilvl="0" w:tplc="76949C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41AF1C1E"/>
    <w:multiLevelType w:val="hybridMultilevel"/>
    <w:tmpl w:val="93CA2D2C"/>
    <w:lvl w:ilvl="0" w:tplc="1AA21F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41BC04B9"/>
    <w:multiLevelType w:val="hybridMultilevel"/>
    <w:tmpl w:val="1130D9CC"/>
    <w:lvl w:ilvl="0" w:tplc="EA54481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4250312F"/>
    <w:multiLevelType w:val="hybridMultilevel"/>
    <w:tmpl w:val="4FF6EDE8"/>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183">
    <w:nsid w:val="433D392C"/>
    <w:multiLevelType w:val="hybridMultilevel"/>
    <w:tmpl w:val="31E2325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4">
    <w:nsid w:val="442D35F5"/>
    <w:multiLevelType w:val="hybridMultilevel"/>
    <w:tmpl w:val="A93609D6"/>
    <w:lvl w:ilvl="0" w:tplc="6AE68E0A">
      <w:start w:val="1"/>
      <w:numFmt w:val="decimal"/>
      <w:lvlText w:val="(%1)"/>
      <w:lvlJc w:val="left"/>
      <w:pPr>
        <w:ind w:left="1080" w:hanging="720"/>
      </w:pPr>
      <w:rPr>
        <w:rFonts w:hint="default"/>
        <w:b w:val="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46267253"/>
    <w:multiLevelType w:val="hybridMultilevel"/>
    <w:tmpl w:val="7316AB4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86">
    <w:nsid w:val="464878A6"/>
    <w:multiLevelType w:val="hybridMultilevel"/>
    <w:tmpl w:val="5F48B47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87">
    <w:nsid w:val="46B00EC8"/>
    <w:multiLevelType w:val="hybridMultilevel"/>
    <w:tmpl w:val="01E60D50"/>
    <w:lvl w:ilvl="0" w:tplc="59F45ADC">
      <w:start w:val="1"/>
      <w:numFmt w:val="decimal"/>
      <w:lvlText w:val="(%1)"/>
      <w:lvlJc w:val="left"/>
      <w:pPr>
        <w:ind w:left="1080" w:hanging="720"/>
      </w:pPr>
      <w:rPr>
        <w:rFonts w:ascii="Traditional Arabic" w:hAnsi="Traditional Arabic" w:cs="Traditional Arabic"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47CA50B7"/>
    <w:multiLevelType w:val="hybridMultilevel"/>
    <w:tmpl w:val="768400F8"/>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89">
    <w:nsid w:val="485C2A32"/>
    <w:multiLevelType w:val="hybridMultilevel"/>
    <w:tmpl w:val="ECC4A998"/>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90">
    <w:nsid w:val="486808CB"/>
    <w:multiLevelType w:val="hybridMultilevel"/>
    <w:tmpl w:val="812E2936"/>
    <w:lvl w:ilvl="0" w:tplc="2C5413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489825D3"/>
    <w:multiLevelType w:val="hybridMultilevel"/>
    <w:tmpl w:val="9230D9F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2">
    <w:nsid w:val="48C72E1A"/>
    <w:multiLevelType w:val="hybridMultilevel"/>
    <w:tmpl w:val="33E2C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49004D16"/>
    <w:multiLevelType w:val="hybridMultilevel"/>
    <w:tmpl w:val="265CDBE0"/>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4">
    <w:nsid w:val="490C0309"/>
    <w:multiLevelType w:val="hybridMultilevel"/>
    <w:tmpl w:val="EE8AA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nsid w:val="49742548"/>
    <w:multiLevelType w:val="hybridMultilevel"/>
    <w:tmpl w:val="DACC435C"/>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196">
    <w:nsid w:val="49DE2124"/>
    <w:multiLevelType w:val="hybridMultilevel"/>
    <w:tmpl w:val="27881690"/>
    <w:lvl w:ilvl="0" w:tplc="60A895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4AA613D1"/>
    <w:multiLevelType w:val="hybridMultilevel"/>
    <w:tmpl w:val="90D27188"/>
    <w:lvl w:ilvl="0" w:tplc="723613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4AD93835"/>
    <w:multiLevelType w:val="hybridMultilevel"/>
    <w:tmpl w:val="07188CD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99">
    <w:nsid w:val="4B484D7E"/>
    <w:multiLevelType w:val="hybridMultilevel"/>
    <w:tmpl w:val="5D88C0C0"/>
    <w:lvl w:ilvl="0" w:tplc="EB20E5B8">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00">
    <w:nsid w:val="4BC34483"/>
    <w:multiLevelType w:val="hybridMultilevel"/>
    <w:tmpl w:val="B5AC3436"/>
    <w:lvl w:ilvl="0" w:tplc="2E140EB0">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1">
    <w:nsid w:val="4C1046DB"/>
    <w:multiLevelType w:val="hybridMultilevel"/>
    <w:tmpl w:val="27FE8ACA"/>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02">
    <w:nsid w:val="4C3D7E84"/>
    <w:multiLevelType w:val="hybridMultilevel"/>
    <w:tmpl w:val="ED16F3B2"/>
    <w:lvl w:ilvl="0" w:tplc="4D9E1F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C691696"/>
    <w:multiLevelType w:val="hybridMultilevel"/>
    <w:tmpl w:val="817C0390"/>
    <w:lvl w:ilvl="0" w:tplc="E508F94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nsid w:val="4CA8213F"/>
    <w:multiLevelType w:val="hybridMultilevel"/>
    <w:tmpl w:val="1D90A18A"/>
    <w:lvl w:ilvl="0" w:tplc="A6C0C2E4">
      <w:start w:val="1"/>
      <w:numFmt w:val="bullet"/>
      <w:suff w:val="space"/>
      <w:lvlText w:val=""/>
      <w:lvlJc w:val="left"/>
      <w:pPr>
        <w:ind w:left="-613" w:hanging="360"/>
      </w:pPr>
      <w:rPr>
        <w:rFonts w:ascii="Symbol" w:hAnsi="Symbol" w:hint="default"/>
      </w:rPr>
    </w:lvl>
    <w:lvl w:ilvl="1" w:tplc="04090003" w:tentative="1">
      <w:start w:val="1"/>
      <w:numFmt w:val="bullet"/>
      <w:lvlText w:val="o"/>
      <w:lvlJc w:val="left"/>
      <w:pPr>
        <w:ind w:left="107" w:hanging="360"/>
      </w:pPr>
      <w:rPr>
        <w:rFonts w:ascii="Courier New" w:hAnsi="Courier New" w:cs="Courier New" w:hint="default"/>
      </w:rPr>
    </w:lvl>
    <w:lvl w:ilvl="2" w:tplc="04090005" w:tentative="1">
      <w:start w:val="1"/>
      <w:numFmt w:val="bullet"/>
      <w:lvlText w:val=""/>
      <w:lvlJc w:val="left"/>
      <w:pPr>
        <w:ind w:left="827" w:hanging="360"/>
      </w:pPr>
      <w:rPr>
        <w:rFonts w:ascii="Wingdings" w:hAnsi="Wingdings" w:hint="default"/>
      </w:rPr>
    </w:lvl>
    <w:lvl w:ilvl="3" w:tplc="04090001" w:tentative="1">
      <w:start w:val="1"/>
      <w:numFmt w:val="bullet"/>
      <w:lvlText w:val=""/>
      <w:lvlJc w:val="left"/>
      <w:pPr>
        <w:ind w:left="1547" w:hanging="360"/>
      </w:pPr>
      <w:rPr>
        <w:rFonts w:ascii="Symbol" w:hAnsi="Symbol" w:hint="default"/>
      </w:rPr>
    </w:lvl>
    <w:lvl w:ilvl="4" w:tplc="04090003" w:tentative="1">
      <w:start w:val="1"/>
      <w:numFmt w:val="bullet"/>
      <w:lvlText w:val="o"/>
      <w:lvlJc w:val="left"/>
      <w:pPr>
        <w:ind w:left="2267" w:hanging="360"/>
      </w:pPr>
      <w:rPr>
        <w:rFonts w:ascii="Courier New" w:hAnsi="Courier New" w:cs="Courier New" w:hint="default"/>
      </w:rPr>
    </w:lvl>
    <w:lvl w:ilvl="5" w:tplc="04090005" w:tentative="1">
      <w:start w:val="1"/>
      <w:numFmt w:val="bullet"/>
      <w:lvlText w:val=""/>
      <w:lvlJc w:val="left"/>
      <w:pPr>
        <w:ind w:left="2987" w:hanging="360"/>
      </w:pPr>
      <w:rPr>
        <w:rFonts w:ascii="Wingdings" w:hAnsi="Wingdings" w:hint="default"/>
      </w:rPr>
    </w:lvl>
    <w:lvl w:ilvl="6" w:tplc="04090001" w:tentative="1">
      <w:start w:val="1"/>
      <w:numFmt w:val="bullet"/>
      <w:lvlText w:val=""/>
      <w:lvlJc w:val="left"/>
      <w:pPr>
        <w:ind w:left="3707" w:hanging="360"/>
      </w:pPr>
      <w:rPr>
        <w:rFonts w:ascii="Symbol" w:hAnsi="Symbol" w:hint="default"/>
      </w:rPr>
    </w:lvl>
    <w:lvl w:ilvl="7" w:tplc="04090003" w:tentative="1">
      <w:start w:val="1"/>
      <w:numFmt w:val="bullet"/>
      <w:lvlText w:val="o"/>
      <w:lvlJc w:val="left"/>
      <w:pPr>
        <w:ind w:left="4427" w:hanging="360"/>
      </w:pPr>
      <w:rPr>
        <w:rFonts w:ascii="Courier New" w:hAnsi="Courier New" w:cs="Courier New" w:hint="default"/>
      </w:rPr>
    </w:lvl>
    <w:lvl w:ilvl="8" w:tplc="04090005" w:tentative="1">
      <w:start w:val="1"/>
      <w:numFmt w:val="bullet"/>
      <w:lvlText w:val=""/>
      <w:lvlJc w:val="left"/>
      <w:pPr>
        <w:ind w:left="5147" w:hanging="360"/>
      </w:pPr>
      <w:rPr>
        <w:rFonts w:ascii="Wingdings" w:hAnsi="Wingdings" w:hint="default"/>
      </w:rPr>
    </w:lvl>
  </w:abstractNum>
  <w:abstractNum w:abstractNumId="205">
    <w:nsid w:val="4D003B1C"/>
    <w:multiLevelType w:val="hybridMultilevel"/>
    <w:tmpl w:val="AF34F618"/>
    <w:lvl w:ilvl="0" w:tplc="04090001">
      <w:start w:val="1"/>
      <w:numFmt w:val="bullet"/>
      <w:lvlText w:val=""/>
      <w:lvlJc w:val="left"/>
      <w:pPr>
        <w:ind w:left="1027" w:hanging="360"/>
      </w:pPr>
      <w:rPr>
        <w:rFonts w:ascii="Symbol" w:hAnsi="Symbol" w:hint="default"/>
      </w:rPr>
    </w:lvl>
    <w:lvl w:ilvl="1" w:tplc="04090003" w:tentative="1">
      <w:start w:val="1"/>
      <w:numFmt w:val="bullet"/>
      <w:lvlText w:val="o"/>
      <w:lvlJc w:val="left"/>
      <w:pPr>
        <w:ind w:left="1747" w:hanging="360"/>
      </w:pPr>
      <w:rPr>
        <w:rFonts w:ascii="Courier New" w:hAnsi="Courier New" w:cs="Courier New" w:hint="default"/>
      </w:rPr>
    </w:lvl>
    <w:lvl w:ilvl="2" w:tplc="04090005" w:tentative="1">
      <w:start w:val="1"/>
      <w:numFmt w:val="bullet"/>
      <w:lvlText w:val=""/>
      <w:lvlJc w:val="left"/>
      <w:pPr>
        <w:ind w:left="2467" w:hanging="360"/>
      </w:pPr>
      <w:rPr>
        <w:rFonts w:ascii="Wingdings" w:hAnsi="Wingdings" w:hint="default"/>
      </w:rPr>
    </w:lvl>
    <w:lvl w:ilvl="3" w:tplc="04090001" w:tentative="1">
      <w:start w:val="1"/>
      <w:numFmt w:val="bullet"/>
      <w:lvlText w:val=""/>
      <w:lvlJc w:val="left"/>
      <w:pPr>
        <w:ind w:left="3187" w:hanging="360"/>
      </w:pPr>
      <w:rPr>
        <w:rFonts w:ascii="Symbol" w:hAnsi="Symbol" w:hint="default"/>
      </w:rPr>
    </w:lvl>
    <w:lvl w:ilvl="4" w:tplc="04090003" w:tentative="1">
      <w:start w:val="1"/>
      <w:numFmt w:val="bullet"/>
      <w:lvlText w:val="o"/>
      <w:lvlJc w:val="left"/>
      <w:pPr>
        <w:ind w:left="3907" w:hanging="360"/>
      </w:pPr>
      <w:rPr>
        <w:rFonts w:ascii="Courier New" w:hAnsi="Courier New" w:cs="Courier New" w:hint="default"/>
      </w:rPr>
    </w:lvl>
    <w:lvl w:ilvl="5" w:tplc="04090005" w:tentative="1">
      <w:start w:val="1"/>
      <w:numFmt w:val="bullet"/>
      <w:lvlText w:val=""/>
      <w:lvlJc w:val="left"/>
      <w:pPr>
        <w:ind w:left="4627" w:hanging="360"/>
      </w:pPr>
      <w:rPr>
        <w:rFonts w:ascii="Wingdings" w:hAnsi="Wingdings" w:hint="default"/>
      </w:rPr>
    </w:lvl>
    <w:lvl w:ilvl="6" w:tplc="04090001" w:tentative="1">
      <w:start w:val="1"/>
      <w:numFmt w:val="bullet"/>
      <w:lvlText w:val=""/>
      <w:lvlJc w:val="left"/>
      <w:pPr>
        <w:ind w:left="5347" w:hanging="360"/>
      </w:pPr>
      <w:rPr>
        <w:rFonts w:ascii="Symbol" w:hAnsi="Symbol" w:hint="default"/>
      </w:rPr>
    </w:lvl>
    <w:lvl w:ilvl="7" w:tplc="04090003" w:tentative="1">
      <w:start w:val="1"/>
      <w:numFmt w:val="bullet"/>
      <w:lvlText w:val="o"/>
      <w:lvlJc w:val="left"/>
      <w:pPr>
        <w:ind w:left="6067" w:hanging="360"/>
      </w:pPr>
      <w:rPr>
        <w:rFonts w:ascii="Courier New" w:hAnsi="Courier New" w:cs="Courier New" w:hint="default"/>
      </w:rPr>
    </w:lvl>
    <w:lvl w:ilvl="8" w:tplc="04090005" w:tentative="1">
      <w:start w:val="1"/>
      <w:numFmt w:val="bullet"/>
      <w:lvlText w:val=""/>
      <w:lvlJc w:val="left"/>
      <w:pPr>
        <w:ind w:left="6787" w:hanging="360"/>
      </w:pPr>
      <w:rPr>
        <w:rFonts w:ascii="Wingdings" w:hAnsi="Wingdings" w:hint="default"/>
      </w:rPr>
    </w:lvl>
  </w:abstractNum>
  <w:abstractNum w:abstractNumId="206">
    <w:nsid w:val="4D475656"/>
    <w:multiLevelType w:val="hybridMultilevel"/>
    <w:tmpl w:val="938030B8"/>
    <w:lvl w:ilvl="0" w:tplc="2C22A2FE">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7">
    <w:nsid w:val="4ED744F3"/>
    <w:multiLevelType w:val="hybridMultilevel"/>
    <w:tmpl w:val="DB806A54"/>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08">
    <w:nsid w:val="4F676A68"/>
    <w:multiLevelType w:val="hybridMultilevel"/>
    <w:tmpl w:val="C49644A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09">
    <w:nsid w:val="4F7F6E4C"/>
    <w:multiLevelType w:val="hybridMultilevel"/>
    <w:tmpl w:val="11763CF4"/>
    <w:lvl w:ilvl="0" w:tplc="BAACFA6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nsid w:val="50673AA5"/>
    <w:multiLevelType w:val="hybridMultilevel"/>
    <w:tmpl w:val="D2D27642"/>
    <w:lvl w:ilvl="0" w:tplc="B5EEE3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nsid w:val="51E17C04"/>
    <w:multiLevelType w:val="hybridMultilevel"/>
    <w:tmpl w:val="0750C0E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12">
    <w:nsid w:val="521C4906"/>
    <w:multiLevelType w:val="hybridMultilevel"/>
    <w:tmpl w:val="A7DE63B2"/>
    <w:lvl w:ilvl="0" w:tplc="8FD081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nsid w:val="52403454"/>
    <w:multiLevelType w:val="hybridMultilevel"/>
    <w:tmpl w:val="83444EB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4">
    <w:nsid w:val="525A1881"/>
    <w:multiLevelType w:val="hybridMultilevel"/>
    <w:tmpl w:val="823E056A"/>
    <w:lvl w:ilvl="0" w:tplc="5180EA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nsid w:val="52B667ED"/>
    <w:multiLevelType w:val="hybridMultilevel"/>
    <w:tmpl w:val="194AA6B2"/>
    <w:lvl w:ilvl="0" w:tplc="569E41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52DC1B09"/>
    <w:multiLevelType w:val="hybridMultilevel"/>
    <w:tmpl w:val="B100FE3A"/>
    <w:lvl w:ilvl="0" w:tplc="BCA6C122">
      <w:start w:val="1"/>
      <w:numFmt w:val="decimal"/>
      <w:lvlText w:val="(%1)"/>
      <w:lvlJc w:val="left"/>
      <w:pPr>
        <w:ind w:left="1080" w:hanging="720"/>
      </w:pPr>
      <w:rPr>
        <w:rFonts w:ascii="Traditional Arabic" w:hAnsi="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531A5B31"/>
    <w:multiLevelType w:val="hybridMultilevel"/>
    <w:tmpl w:val="BD6C8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53372DCB"/>
    <w:multiLevelType w:val="hybridMultilevel"/>
    <w:tmpl w:val="11483FA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19">
    <w:nsid w:val="533E3C2B"/>
    <w:multiLevelType w:val="hybridMultilevel"/>
    <w:tmpl w:val="4FE80324"/>
    <w:lvl w:ilvl="0" w:tplc="8534AF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5349696E"/>
    <w:multiLevelType w:val="hybridMultilevel"/>
    <w:tmpl w:val="C1186F7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21">
    <w:nsid w:val="53620BA4"/>
    <w:multiLevelType w:val="hybridMultilevel"/>
    <w:tmpl w:val="B76C43A0"/>
    <w:lvl w:ilvl="0" w:tplc="0F5EFF38">
      <w:start w:val="1"/>
      <w:numFmt w:val="decimal"/>
      <w:lvlText w:val="%1-"/>
      <w:lvlJc w:val="left"/>
      <w:pPr>
        <w:tabs>
          <w:tab w:val="num" w:pos="859"/>
        </w:tabs>
        <w:ind w:left="859" w:hanging="405"/>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22">
    <w:nsid w:val="539D64A1"/>
    <w:multiLevelType w:val="hybridMultilevel"/>
    <w:tmpl w:val="E5C07F40"/>
    <w:lvl w:ilvl="0" w:tplc="12C0BB0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53DB3752"/>
    <w:multiLevelType w:val="hybridMultilevel"/>
    <w:tmpl w:val="F13E9B2C"/>
    <w:lvl w:ilvl="0" w:tplc="4AD40E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54E112AC"/>
    <w:multiLevelType w:val="hybridMultilevel"/>
    <w:tmpl w:val="08E6A954"/>
    <w:lvl w:ilvl="0" w:tplc="E5E8B40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552543AE"/>
    <w:multiLevelType w:val="hybridMultilevel"/>
    <w:tmpl w:val="D2E42FB4"/>
    <w:lvl w:ilvl="0" w:tplc="C74432F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555600F9"/>
    <w:multiLevelType w:val="hybridMultilevel"/>
    <w:tmpl w:val="E050FC6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227">
    <w:nsid w:val="5564135C"/>
    <w:multiLevelType w:val="hybridMultilevel"/>
    <w:tmpl w:val="EF147FB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8">
    <w:nsid w:val="556F5D21"/>
    <w:multiLevelType w:val="hybridMultilevel"/>
    <w:tmpl w:val="195E7782"/>
    <w:lvl w:ilvl="0" w:tplc="78640092">
      <w:start w:val="1"/>
      <w:numFmt w:val="decimal"/>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55C824D1"/>
    <w:multiLevelType w:val="hybridMultilevel"/>
    <w:tmpl w:val="463CD90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30">
    <w:nsid w:val="567F097E"/>
    <w:multiLevelType w:val="hybridMultilevel"/>
    <w:tmpl w:val="923C86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1">
    <w:nsid w:val="57730D30"/>
    <w:multiLevelType w:val="hybridMultilevel"/>
    <w:tmpl w:val="FF22876A"/>
    <w:lvl w:ilvl="0" w:tplc="91B07F08">
      <w:start w:val="1"/>
      <w:numFmt w:val="decimal"/>
      <w:suff w:val="space"/>
      <w:lvlText w:val="%1-"/>
      <w:lvlJc w:val="left"/>
      <w:pPr>
        <w:ind w:left="283" w:hanging="283"/>
      </w:pPr>
      <w:rPr>
        <w:rFonts w:ascii="Times New Roman" w:hAnsi="Times New Roman" w:cs="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nsid w:val="582B28C0"/>
    <w:multiLevelType w:val="hybridMultilevel"/>
    <w:tmpl w:val="0B783BB0"/>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3">
    <w:nsid w:val="58341640"/>
    <w:multiLevelType w:val="hybridMultilevel"/>
    <w:tmpl w:val="A9EE9B28"/>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34">
    <w:nsid w:val="58BE4299"/>
    <w:multiLevelType w:val="hybridMultilevel"/>
    <w:tmpl w:val="7D3A8D8C"/>
    <w:lvl w:ilvl="0" w:tplc="F32449BE">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nsid w:val="58EB6566"/>
    <w:multiLevelType w:val="hybridMultilevel"/>
    <w:tmpl w:val="A5DEC59A"/>
    <w:lvl w:ilvl="0" w:tplc="AE9AF1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58EC112F"/>
    <w:multiLevelType w:val="hybridMultilevel"/>
    <w:tmpl w:val="E60C0542"/>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37">
    <w:nsid w:val="5913007F"/>
    <w:multiLevelType w:val="hybridMultilevel"/>
    <w:tmpl w:val="933E4DC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38">
    <w:nsid w:val="5A1929C1"/>
    <w:multiLevelType w:val="hybridMultilevel"/>
    <w:tmpl w:val="0AC6AF5A"/>
    <w:lvl w:ilvl="0" w:tplc="BBBC8D2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5A6818C0"/>
    <w:multiLevelType w:val="hybridMultilevel"/>
    <w:tmpl w:val="5C104A9A"/>
    <w:lvl w:ilvl="0" w:tplc="0409000F">
      <w:start w:val="1"/>
      <w:numFmt w:val="decimal"/>
      <w:lvlText w:val="%1."/>
      <w:lvlJc w:val="left"/>
      <w:pPr>
        <w:ind w:left="1909" w:hanging="360"/>
      </w:pPr>
    </w:lvl>
    <w:lvl w:ilvl="1" w:tplc="04090019" w:tentative="1">
      <w:start w:val="1"/>
      <w:numFmt w:val="lowerLetter"/>
      <w:lvlText w:val="%2."/>
      <w:lvlJc w:val="left"/>
      <w:pPr>
        <w:ind w:left="2629" w:hanging="360"/>
      </w:pPr>
    </w:lvl>
    <w:lvl w:ilvl="2" w:tplc="0409001B" w:tentative="1">
      <w:start w:val="1"/>
      <w:numFmt w:val="lowerRoman"/>
      <w:lvlText w:val="%3."/>
      <w:lvlJc w:val="right"/>
      <w:pPr>
        <w:ind w:left="3349" w:hanging="180"/>
      </w:pPr>
    </w:lvl>
    <w:lvl w:ilvl="3" w:tplc="0409000F" w:tentative="1">
      <w:start w:val="1"/>
      <w:numFmt w:val="decimal"/>
      <w:lvlText w:val="%4."/>
      <w:lvlJc w:val="left"/>
      <w:pPr>
        <w:ind w:left="4069" w:hanging="360"/>
      </w:pPr>
    </w:lvl>
    <w:lvl w:ilvl="4" w:tplc="04090019" w:tentative="1">
      <w:start w:val="1"/>
      <w:numFmt w:val="lowerLetter"/>
      <w:lvlText w:val="%5."/>
      <w:lvlJc w:val="left"/>
      <w:pPr>
        <w:ind w:left="4789" w:hanging="360"/>
      </w:pPr>
    </w:lvl>
    <w:lvl w:ilvl="5" w:tplc="0409001B" w:tentative="1">
      <w:start w:val="1"/>
      <w:numFmt w:val="lowerRoman"/>
      <w:lvlText w:val="%6."/>
      <w:lvlJc w:val="right"/>
      <w:pPr>
        <w:ind w:left="5509" w:hanging="180"/>
      </w:pPr>
    </w:lvl>
    <w:lvl w:ilvl="6" w:tplc="0409000F" w:tentative="1">
      <w:start w:val="1"/>
      <w:numFmt w:val="decimal"/>
      <w:lvlText w:val="%7."/>
      <w:lvlJc w:val="left"/>
      <w:pPr>
        <w:ind w:left="6229" w:hanging="360"/>
      </w:pPr>
    </w:lvl>
    <w:lvl w:ilvl="7" w:tplc="04090019" w:tentative="1">
      <w:start w:val="1"/>
      <w:numFmt w:val="lowerLetter"/>
      <w:lvlText w:val="%8."/>
      <w:lvlJc w:val="left"/>
      <w:pPr>
        <w:ind w:left="6949" w:hanging="360"/>
      </w:pPr>
    </w:lvl>
    <w:lvl w:ilvl="8" w:tplc="0409001B" w:tentative="1">
      <w:start w:val="1"/>
      <w:numFmt w:val="lowerRoman"/>
      <w:lvlText w:val="%9."/>
      <w:lvlJc w:val="right"/>
      <w:pPr>
        <w:ind w:left="7669" w:hanging="180"/>
      </w:pPr>
    </w:lvl>
  </w:abstractNum>
  <w:abstractNum w:abstractNumId="240">
    <w:nsid w:val="5A884D7E"/>
    <w:multiLevelType w:val="hybridMultilevel"/>
    <w:tmpl w:val="4242448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41">
    <w:nsid w:val="5AD44C45"/>
    <w:multiLevelType w:val="hybridMultilevel"/>
    <w:tmpl w:val="89528846"/>
    <w:lvl w:ilvl="0" w:tplc="A73AC874">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2">
    <w:nsid w:val="5AE66A78"/>
    <w:multiLevelType w:val="hybridMultilevel"/>
    <w:tmpl w:val="9306E09C"/>
    <w:lvl w:ilvl="0" w:tplc="A6B27FA0">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nsid w:val="5AF10BB3"/>
    <w:multiLevelType w:val="hybridMultilevel"/>
    <w:tmpl w:val="AF1441A2"/>
    <w:lvl w:ilvl="0" w:tplc="E37005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5B27324F"/>
    <w:multiLevelType w:val="hybridMultilevel"/>
    <w:tmpl w:val="746A757C"/>
    <w:lvl w:ilvl="0" w:tplc="5816C85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B31405A"/>
    <w:multiLevelType w:val="hybridMultilevel"/>
    <w:tmpl w:val="F080DF6C"/>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46">
    <w:nsid w:val="5BB50383"/>
    <w:multiLevelType w:val="hybridMultilevel"/>
    <w:tmpl w:val="2752C4AC"/>
    <w:lvl w:ilvl="0" w:tplc="AD60BAEA">
      <w:start w:val="1"/>
      <w:numFmt w:val="decimal"/>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7">
    <w:nsid w:val="5BCB3F5F"/>
    <w:multiLevelType w:val="hybridMultilevel"/>
    <w:tmpl w:val="3AA063D6"/>
    <w:lvl w:ilvl="0" w:tplc="91D65A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nsid w:val="5BFF0DC3"/>
    <w:multiLevelType w:val="hybridMultilevel"/>
    <w:tmpl w:val="3264B682"/>
    <w:lvl w:ilvl="0" w:tplc="EB54B590">
      <w:start w:val="1"/>
      <w:numFmt w:val="decimal"/>
      <w:lvlText w:val="%1-"/>
      <w:lvlJc w:val="center"/>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9">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0">
    <w:nsid w:val="5C6D1BBD"/>
    <w:multiLevelType w:val="hybridMultilevel"/>
    <w:tmpl w:val="75F4AB9C"/>
    <w:lvl w:ilvl="0" w:tplc="E16468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5D2B7B92"/>
    <w:multiLevelType w:val="hybridMultilevel"/>
    <w:tmpl w:val="96CEC3F8"/>
    <w:lvl w:ilvl="0" w:tplc="07442BB2">
      <w:start w:val="1"/>
      <w:numFmt w:val="decimal"/>
      <w:lvlText w:val="(%1)"/>
      <w:lvlJc w:val="left"/>
      <w:pPr>
        <w:ind w:left="1080" w:hanging="720"/>
      </w:pPr>
      <w:rPr>
        <w:rFonts w:ascii="Traditional Arabic" w:hAnsi="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D4744FE"/>
    <w:multiLevelType w:val="hybridMultilevel"/>
    <w:tmpl w:val="FBF6BFF8"/>
    <w:lvl w:ilvl="0" w:tplc="2966913A">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nsid w:val="5D566F7C"/>
    <w:multiLevelType w:val="hybridMultilevel"/>
    <w:tmpl w:val="6172DAB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4">
    <w:nsid w:val="5D5E2A77"/>
    <w:multiLevelType w:val="hybridMultilevel"/>
    <w:tmpl w:val="9C88B32C"/>
    <w:lvl w:ilvl="0" w:tplc="04090001">
      <w:start w:val="1"/>
      <w:numFmt w:val="bullet"/>
      <w:lvlText w:val=""/>
      <w:lvlJc w:val="left"/>
      <w:pPr>
        <w:ind w:left="1162" w:hanging="360"/>
      </w:pPr>
      <w:rPr>
        <w:rFonts w:ascii="Symbol" w:hAnsi="Symbo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255">
    <w:nsid w:val="5D763417"/>
    <w:multiLevelType w:val="hybridMultilevel"/>
    <w:tmpl w:val="36E6774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6">
    <w:nsid w:val="5D8A36E2"/>
    <w:multiLevelType w:val="hybridMultilevel"/>
    <w:tmpl w:val="13D89F26"/>
    <w:lvl w:ilvl="0" w:tplc="44A0364A">
      <w:start w:val="1"/>
      <w:numFmt w:val="arabicAlpha"/>
      <w:lvlText w:val="%1-"/>
      <w:lvlJc w:val="left"/>
      <w:pPr>
        <w:tabs>
          <w:tab w:val="num" w:pos="284"/>
        </w:tabs>
        <w:ind w:left="284" w:hanging="284"/>
      </w:pPr>
      <w:rPr>
        <w:rFonts w:cs="Traditional Arabic" w:hint="cs"/>
        <w:bCs w:val="0"/>
        <w:iCs w:val="0"/>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DFA1053"/>
    <w:multiLevelType w:val="hybridMultilevel"/>
    <w:tmpl w:val="C1B4B33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58">
    <w:nsid w:val="5E291310"/>
    <w:multiLevelType w:val="hybridMultilevel"/>
    <w:tmpl w:val="5B32F69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59">
    <w:nsid w:val="5E647E79"/>
    <w:multiLevelType w:val="hybridMultilevel"/>
    <w:tmpl w:val="5F3AC05E"/>
    <w:lvl w:ilvl="0" w:tplc="D3527718">
      <w:start w:val="1"/>
      <w:numFmt w:val="decimal"/>
      <w:lvlText w:val="(%1)"/>
      <w:lvlJc w:val="left"/>
      <w:pPr>
        <w:ind w:left="1174" w:hanging="720"/>
      </w:pPr>
      <w:rPr>
        <w:rFonts w:hint="default"/>
        <w:b w:val="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60">
    <w:nsid w:val="5E95561E"/>
    <w:multiLevelType w:val="hybridMultilevel"/>
    <w:tmpl w:val="042C679A"/>
    <w:lvl w:ilvl="0" w:tplc="42088A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nsid w:val="5F516855"/>
    <w:multiLevelType w:val="hybridMultilevel"/>
    <w:tmpl w:val="16728DB6"/>
    <w:lvl w:ilvl="0" w:tplc="F098A8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nsid w:val="5FC262C1"/>
    <w:multiLevelType w:val="hybridMultilevel"/>
    <w:tmpl w:val="9E3AAC7C"/>
    <w:lvl w:ilvl="0" w:tplc="04090001">
      <w:start w:val="1"/>
      <w:numFmt w:val="bullet"/>
      <w:lvlText w:val=""/>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263">
    <w:nsid w:val="605A1BE6"/>
    <w:multiLevelType w:val="hybridMultilevel"/>
    <w:tmpl w:val="EC2E5F3E"/>
    <w:lvl w:ilvl="0" w:tplc="17465944">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64">
    <w:nsid w:val="60BE26F2"/>
    <w:multiLevelType w:val="hybridMultilevel"/>
    <w:tmpl w:val="8C3C80A8"/>
    <w:lvl w:ilvl="0" w:tplc="0409000F">
      <w:start w:val="1"/>
      <w:numFmt w:val="decimal"/>
      <w:lvlText w:val="%1."/>
      <w:lvlJc w:val="left"/>
      <w:pPr>
        <w:ind w:left="1174" w:hanging="360"/>
      </w:p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265">
    <w:nsid w:val="611E03E8"/>
    <w:multiLevelType w:val="hybridMultilevel"/>
    <w:tmpl w:val="F61418BE"/>
    <w:lvl w:ilvl="0" w:tplc="4050A3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611F1F92"/>
    <w:multiLevelType w:val="hybridMultilevel"/>
    <w:tmpl w:val="D4D484BA"/>
    <w:lvl w:ilvl="0" w:tplc="4B4E46F6">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7">
    <w:nsid w:val="61507FBA"/>
    <w:multiLevelType w:val="hybridMultilevel"/>
    <w:tmpl w:val="BA829904"/>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68">
    <w:nsid w:val="61553B82"/>
    <w:multiLevelType w:val="hybridMultilevel"/>
    <w:tmpl w:val="72A21992"/>
    <w:lvl w:ilvl="0" w:tplc="AB94ED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633D5564"/>
    <w:multiLevelType w:val="hybridMultilevel"/>
    <w:tmpl w:val="4656AC90"/>
    <w:lvl w:ilvl="0" w:tplc="F37A52B4">
      <w:start w:val="1"/>
      <w:numFmt w:val="decimal"/>
      <w:lvlText w:val="%1-"/>
      <w:lvlJc w:val="left"/>
      <w:pPr>
        <w:tabs>
          <w:tab w:val="num" w:pos="1309"/>
        </w:tabs>
        <w:ind w:left="1309" w:hanging="855"/>
      </w:pPr>
      <w:rPr>
        <w:rFonts w:hint="default"/>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270">
    <w:nsid w:val="64637D6B"/>
    <w:multiLevelType w:val="hybridMultilevel"/>
    <w:tmpl w:val="7A742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nsid w:val="648A41B6"/>
    <w:multiLevelType w:val="hybridMultilevel"/>
    <w:tmpl w:val="484C049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2">
    <w:nsid w:val="650C377F"/>
    <w:multiLevelType w:val="hybridMultilevel"/>
    <w:tmpl w:val="F266CEC0"/>
    <w:lvl w:ilvl="0" w:tplc="04090001">
      <w:start w:val="1"/>
      <w:numFmt w:val="bullet"/>
      <w:lvlText w:val=""/>
      <w:lvlJc w:val="left"/>
      <w:pPr>
        <w:ind w:left="1104" w:hanging="360"/>
      </w:pPr>
      <w:rPr>
        <w:rFonts w:ascii="Symbol" w:hAnsi="Symbol"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73">
    <w:nsid w:val="65496B58"/>
    <w:multiLevelType w:val="hybridMultilevel"/>
    <w:tmpl w:val="45B0DE1C"/>
    <w:lvl w:ilvl="0" w:tplc="0276AA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65B76889"/>
    <w:multiLevelType w:val="hybridMultilevel"/>
    <w:tmpl w:val="AB2E889E"/>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75">
    <w:nsid w:val="65B77D43"/>
    <w:multiLevelType w:val="hybridMultilevel"/>
    <w:tmpl w:val="9BA6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nsid w:val="663F5091"/>
    <w:multiLevelType w:val="hybridMultilevel"/>
    <w:tmpl w:val="02D2B118"/>
    <w:lvl w:ilvl="0" w:tplc="04090001">
      <w:start w:val="1"/>
      <w:numFmt w:val="bullet"/>
      <w:lvlText w:val=""/>
      <w:lvlJc w:val="left"/>
      <w:pPr>
        <w:ind w:left="117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7">
    <w:nsid w:val="66440911"/>
    <w:multiLevelType w:val="hybridMultilevel"/>
    <w:tmpl w:val="887A39DA"/>
    <w:lvl w:ilvl="0" w:tplc="42088A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nsid w:val="671E42E3"/>
    <w:multiLevelType w:val="hybridMultilevel"/>
    <w:tmpl w:val="2DCC4390"/>
    <w:lvl w:ilvl="0" w:tplc="F478413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nsid w:val="67851A9A"/>
    <w:multiLevelType w:val="hybridMultilevel"/>
    <w:tmpl w:val="584CC6F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80">
    <w:nsid w:val="67951252"/>
    <w:multiLevelType w:val="hybridMultilevel"/>
    <w:tmpl w:val="FC2817E4"/>
    <w:lvl w:ilvl="0" w:tplc="04090001">
      <w:start w:val="1"/>
      <w:numFmt w:val="bullet"/>
      <w:lvlText w:val=""/>
      <w:lvlJc w:val="left"/>
      <w:pPr>
        <w:ind w:left="1891" w:hanging="360"/>
      </w:pPr>
      <w:rPr>
        <w:rFonts w:ascii="Symbol" w:hAnsi="Symbol" w:hint="default"/>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281">
    <w:nsid w:val="67AA218C"/>
    <w:multiLevelType w:val="hybridMultilevel"/>
    <w:tmpl w:val="69FE9E70"/>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282">
    <w:nsid w:val="67DA6DF2"/>
    <w:multiLevelType w:val="hybridMultilevel"/>
    <w:tmpl w:val="50DEC958"/>
    <w:lvl w:ilvl="0" w:tplc="04090001">
      <w:start w:val="1"/>
      <w:numFmt w:val="bullet"/>
      <w:lvlText w:val=""/>
      <w:lvlJc w:val="left"/>
      <w:pPr>
        <w:ind w:left="1795" w:hanging="360"/>
      </w:pPr>
      <w:rPr>
        <w:rFonts w:ascii="Symbol" w:hAnsi="Symbol" w:hint="default"/>
      </w:rPr>
    </w:lvl>
    <w:lvl w:ilvl="1" w:tplc="04090003" w:tentative="1">
      <w:start w:val="1"/>
      <w:numFmt w:val="bullet"/>
      <w:lvlText w:val="o"/>
      <w:lvlJc w:val="left"/>
      <w:pPr>
        <w:ind w:left="2515" w:hanging="360"/>
      </w:pPr>
      <w:rPr>
        <w:rFonts w:ascii="Courier New" w:hAnsi="Courier New" w:cs="Courier New" w:hint="default"/>
      </w:rPr>
    </w:lvl>
    <w:lvl w:ilvl="2" w:tplc="04090005" w:tentative="1">
      <w:start w:val="1"/>
      <w:numFmt w:val="bullet"/>
      <w:lvlText w:val=""/>
      <w:lvlJc w:val="left"/>
      <w:pPr>
        <w:ind w:left="3235" w:hanging="360"/>
      </w:pPr>
      <w:rPr>
        <w:rFonts w:ascii="Wingdings" w:hAnsi="Wingdings" w:hint="default"/>
      </w:rPr>
    </w:lvl>
    <w:lvl w:ilvl="3" w:tplc="04090001" w:tentative="1">
      <w:start w:val="1"/>
      <w:numFmt w:val="bullet"/>
      <w:lvlText w:val=""/>
      <w:lvlJc w:val="left"/>
      <w:pPr>
        <w:ind w:left="3955" w:hanging="360"/>
      </w:pPr>
      <w:rPr>
        <w:rFonts w:ascii="Symbol" w:hAnsi="Symbol" w:hint="default"/>
      </w:rPr>
    </w:lvl>
    <w:lvl w:ilvl="4" w:tplc="04090003" w:tentative="1">
      <w:start w:val="1"/>
      <w:numFmt w:val="bullet"/>
      <w:lvlText w:val="o"/>
      <w:lvlJc w:val="left"/>
      <w:pPr>
        <w:ind w:left="4675" w:hanging="360"/>
      </w:pPr>
      <w:rPr>
        <w:rFonts w:ascii="Courier New" w:hAnsi="Courier New" w:cs="Courier New" w:hint="default"/>
      </w:rPr>
    </w:lvl>
    <w:lvl w:ilvl="5" w:tplc="04090005" w:tentative="1">
      <w:start w:val="1"/>
      <w:numFmt w:val="bullet"/>
      <w:lvlText w:val=""/>
      <w:lvlJc w:val="left"/>
      <w:pPr>
        <w:ind w:left="5395" w:hanging="360"/>
      </w:pPr>
      <w:rPr>
        <w:rFonts w:ascii="Wingdings" w:hAnsi="Wingdings" w:hint="default"/>
      </w:rPr>
    </w:lvl>
    <w:lvl w:ilvl="6" w:tplc="04090001" w:tentative="1">
      <w:start w:val="1"/>
      <w:numFmt w:val="bullet"/>
      <w:lvlText w:val=""/>
      <w:lvlJc w:val="left"/>
      <w:pPr>
        <w:ind w:left="6115" w:hanging="360"/>
      </w:pPr>
      <w:rPr>
        <w:rFonts w:ascii="Symbol" w:hAnsi="Symbol" w:hint="default"/>
      </w:rPr>
    </w:lvl>
    <w:lvl w:ilvl="7" w:tplc="04090003" w:tentative="1">
      <w:start w:val="1"/>
      <w:numFmt w:val="bullet"/>
      <w:lvlText w:val="o"/>
      <w:lvlJc w:val="left"/>
      <w:pPr>
        <w:ind w:left="6835" w:hanging="360"/>
      </w:pPr>
      <w:rPr>
        <w:rFonts w:ascii="Courier New" w:hAnsi="Courier New" w:cs="Courier New" w:hint="default"/>
      </w:rPr>
    </w:lvl>
    <w:lvl w:ilvl="8" w:tplc="04090005" w:tentative="1">
      <w:start w:val="1"/>
      <w:numFmt w:val="bullet"/>
      <w:lvlText w:val=""/>
      <w:lvlJc w:val="left"/>
      <w:pPr>
        <w:ind w:left="7555" w:hanging="360"/>
      </w:pPr>
      <w:rPr>
        <w:rFonts w:ascii="Wingdings" w:hAnsi="Wingdings" w:hint="default"/>
      </w:rPr>
    </w:lvl>
  </w:abstractNum>
  <w:abstractNum w:abstractNumId="283">
    <w:nsid w:val="67E33843"/>
    <w:multiLevelType w:val="hybridMultilevel"/>
    <w:tmpl w:val="5DE0D75C"/>
    <w:lvl w:ilvl="0" w:tplc="700E440E">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nsid w:val="67E62BCE"/>
    <w:multiLevelType w:val="hybridMultilevel"/>
    <w:tmpl w:val="0B8C55FC"/>
    <w:lvl w:ilvl="0" w:tplc="D7FEA86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68420A46"/>
    <w:multiLevelType w:val="hybridMultilevel"/>
    <w:tmpl w:val="1A0459E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6">
    <w:nsid w:val="685F4FC4"/>
    <w:multiLevelType w:val="hybridMultilevel"/>
    <w:tmpl w:val="358C976A"/>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287">
    <w:nsid w:val="687E7F3B"/>
    <w:multiLevelType w:val="hybridMultilevel"/>
    <w:tmpl w:val="D21274CA"/>
    <w:lvl w:ilvl="0" w:tplc="EB8E4274">
      <w:start w:val="1"/>
      <w:numFmt w:val="decimal"/>
      <w:lvlText w:val="(%1)"/>
      <w:lvlJc w:val="left"/>
      <w:pPr>
        <w:ind w:left="1174" w:hanging="72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88">
    <w:nsid w:val="688800B0"/>
    <w:multiLevelType w:val="hybridMultilevel"/>
    <w:tmpl w:val="4EAEC20E"/>
    <w:lvl w:ilvl="0" w:tplc="0409000F">
      <w:start w:val="1"/>
      <w:numFmt w:val="decimal"/>
      <w:lvlText w:val="%1."/>
      <w:lvlJc w:val="left"/>
      <w:pPr>
        <w:ind w:left="816" w:hanging="360"/>
      </w:pPr>
    </w:lvl>
    <w:lvl w:ilvl="1" w:tplc="04090019" w:tentative="1">
      <w:start w:val="1"/>
      <w:numFmt w:val="lowerLetter"/>
      <w:lvlText w:val="%2."/>
      <w:lvlJc w:val="left"/>
      <w:pPr>
        <w:ind w:left="1536" w:hanging="360"/>
      </w:pPr>
    </w:lvl>
    <w:lvl w:ilvl="2" w:tplc="0409001B" w:tentative="1">
      <w:start w:val="1"/>
      <w:numFmt w:val="lowerRoman"/>
      <w:lvlText w:val="%3."/>
      <w:lvlJc w:val="right"/>
      <w:pPr>
        <w:ind w:left="2256" w:hanging="180"/>
      </w:pPr>
    </w:lvl>
    <w:lvl w:ilvl="3" w:tplc="0409000F" w:tentative="1">
      <w:start w:val="1"/>
      <w:numFmt w:val="decimal"/>
      <w:lvlText w:val="%4."/>
      <w:lvlJc w:val="left"/>
      <w:pPr>
        <w:ind w:left="2976" w:hanging="360"/>
      </w:pPr>
    </w:lvl>
    <w:lvl w:ilvl="4" w:tplc="04090019" w:tentative="1">
      <w:start w:val="1"/>
      <w:numFmt w:val="lowerLetter"/>
      <w:lvlText w:val="%5."/>
      <w:lvlJc w:val="left"/>
      <w:pPr>
        <w:ind w:left="3696" w:hanging="360"/>
      </w:pPr>
    </w:lvl>
    <w:lvl w:ilvl="5" w:tplc="0409001B" w:tentative="1">
      <w:start w:val="1"/>
      <w:numFmt w:val="lowerRoman"/>
      <w:lvlText w:val="%6."/>
      <w:lvlJc w:val="right"/>
      <w:pPr>
        <w:ind w:left="4416" w:hanging="180"/>
      </w:pPr>
    </w:lvl>
    <w:lvl w:ilvl="6" w:tplc="0409000F" w:tentative="1">
      <w:start w:val="1"/>
      <w:numFmt w:val="decimal"/>
      <w:lvlText w:val="%7."/>
      <w:lvlJc w:val="left"/>
      <w:pPr>
        <w:ind w:left="5136" w:hanging="360"/>
      </w:pPr>
    </w:lvl>
    <w:lvl w:ilvl="7" w:tplc="04090019" w:tentative="1">
      <w:start w:val="1"/>
      <w:numFmt w:val="lowerLetter"/>
      <w:lvlText w:val="%8."/>
      <w:lvlJc w:val="left"/>
      <w:pPr>
        <w:ind w:left="5856" w:hanging="360"/>
      </w:pPr>
    </w:lvl>
    <w:lvl w:ilvl="8" w:tplc="0409001B" w:tentative="1">
      <w:start w:val="1"/>
      <w:numFmt w:val="lowerRoman"/>
      <w:lvlText w:val="%9."/>
      <w:lvlJc w:val="right"/>
      <w:pPr>
        <w:ind w:left="6576" w:hanging="180"/>
      </w:pPr>
    </w:lvl>
  </w:abstractNum>
  <w:abstractNum w:abstractNumId="289">
    <w:nsid w:val="69B92DC5"/>
    <w:multiLevelType w:val="hybridMultilevel"/>
    <w:tmpl w:val="1C2E56A0"/>
    <w:lvl w:ilvl="0" w:tplc="04090001">
      <w:start w:val="1"/>
      <w:numFmt w:val="bullet"/>
      <w:lvlText w:val=""/>
      <w:lvlJc w:val="left"/>
      <w:pPr>
        <w:ind w:left="1891" w:hanging="360"/>
      </w:pPr>
      <w:rPr>
        <w:rFonts w:ascii="Symbol" w:hAnsi="Symbol" w:hint="default"/>
      </w:rPr>
    </w:lvl>
    <w:lvl w:ilvl="1" w:tplc="04090003" w:tentative="1">
      <w:start w:val="1"/>
      <w:numFmt w:val="bullet"/>
      <w:lvlText w:val="o"/>
      <w:lvlJc w:val="left"/>
      <w:pPr>
        <w:ind w:left="2611" w:hanging="360"/>
      </w:pPr>
      <w:rPr>
        <w:rFonts w:ascii="Courier New" w:hAnsi="Courier New" w:cs="Courier New" w:hint="default"/>
      </w:rPr>
    </w:lvl>
    <w:lvl w:ilvl="2" w:tplc="04090005" w:tentative="1">
      <w:start w:val="1"/>
      <w:numFmt w:val="bullet"/>
      <w:lvlText w:val=""/>
      <w:lvlJc w:val="left"/>
      <w:pPr>
        <w:ind w:left="3331" w:hanging="360"/>
      </w:pPr>
      <w:rPr>
        <w:rFonts w:ascii="Wingdings" w:hAnsi="Wingdings" w:hint="default"/>
      </w:rPr>
    </w:lvl>
    <w:lvl w:ilvl="3" w:tplc="04090001" w:tentative="1">
      <w:start w:val="1"/>
      <w:numFmt w:val="bullet"/>
      <w:lvlText w:val=""/>
      <w:lvlJc w:val="left"/>
      <w:pPr>
        <w:ind w:left="4051" w:hanging="360"/>
      </w:pPr>
      <w:rPr>
        <w:rFonts w:ascii="Symbol" w:hAnsi="Symbol" w:hint="default"/>
      </w:rPr>
    </w:lvl>
    <w:lvl w:ilvl="4" w:tplc="04090003" w:tentative="1">
      <w:start w:val="1"/>
      <w:numFmt w:val="bullet"/>
      <w:lvlText w:val="o"/>
      <w:lvlJc w:val="left"/>
      <w:pPr>
        <w:ind w:left="4771" w:hanging="360"/>
      </w:pPr>
      <w:rPr>
        <w:rFonts w:ascii="Courier New" w:hAnsi="Courier New" w:cs="Courier New" w:hint="default"/>
      </w:rPr>
    </w:lvl>
    <w:lvl w:ilvl="5" w:tplc="04090005" w:tentative="1">
      <w:start w:val="1"/>
      <w:numFmt w:val="bullet"/>
      <w:lvlText w:val=""/>
      <w:lvlJc w:val="left"/>
      <w:pPr>
        <w:ind w:left="5491" w:hanging="360"/>
      </w:pPr>
      <w:rPr>
        <w:rFonts w:ascii="Wingdings" w:hAnsi="Wingdings" w:hint="default"/>
      </w:rPr>
    </w:lvl>
    <w:lvl w:ilvl="6" w:tplc="04090001" w:tentative="1">
      <w:start w:val="1"/>
      <w:numFmt w:val="bullet"/>
      <w:lvlText w:val=""/>
      <w:lvlJc w:val="left"/>
      <w:pPr>
        <w:ind w:left="6211" w:hanging="360"/>
      </w:pPr>
      <w:rPr>
        <w:rFonts w:ascii="Symbol" w:hAnsi="Symbol" w:hint="default"/>
      </w:rPr>
    </w:lvl>
    <w:lvl w:ilvl="7" w:tplc="04090003" w:tentative="1">
      <w:start w:val="1"/>
      <w:numFmt w:val="bullet"/>
      <w:lvlText w:val="o"/>
      <w:lvlJc w:val="left"/>
      <w:pPr>
        <w:ind w:left="6931" w:hanging="360"/>
      </w:pPr>
      <w:rPr>
        <w:rFonts w:ascii="Courier New" w:hAnsi="Courier New" w:cs="Courier New" w:hint="default"/>
      </w:rPr>
    </w:lvl>
    <w:lvl w:ilvl="8" w:tplc="04090005" w:tentative="1">
      <w:start w:val="1"/>
      <w:numFmt w:val="bullet"/>
      <w:lvlText w:val=""/>
      <w:lvlJc w:val="left"/>
      <w:pPr>
        <w:ind w:left="7651" w:hanging="360"/>
      </w:pPr>
      <w:rPr>
        <w:rFonts w:ascii="Wingdings" w:hAnsi="Wingdings" w:hint="default"/>
      </w:rPr>
    </w:lvl>
  </w:abstractNum>
  <w:abstractNum w:abstractNumId="290">
    <w:nsid w:val="69FF1E45"/>
    <w:multiLevelType w:val="hybridMultilevel"/>
    <w:tmpl w:val="74844936"/>
    <w:lvl w:ilvl="0" w:tplc="FB8A934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6A504774"/>
    <w:multiLevelType w:val="hybridMultilevel"/>
    <w:tmpl w:val="C038A02E"/>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292">
    <w:nsid w:val="6ADE1B04"/>
    <w:multiLevelType w:val="hybridMultilevel"/>
    <w:tmpl w:val="1B3638F2"/>
    <w:lvl w:ilvl="0" w:tplc="5C0C90F2">
      <w:start w:val="1"/>
      <w:numFmt w:val="decimal"/>
      <w:lvlText w:val="(%1)"/>
      <w:lvlJc w:val="left"/>
      <w:pPr>
        <w:ind w:left="735" w:hanging="375"/>
      </w:pPr>
      <w:rPr>
        <w:rFonts w:ascii="Traditional Arabic" w:hAnsi="Traditional Arabic" w:cs="Traditional Arabic"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AF2137A"/>
    <w:multiLevelType w:val="hybridMultilevel"/>
    <w:tmpl w:val="DE96A1DE"/>
    <w:lvl w:ilvl="0" w:tplc="04090001">
      <w:start w:val="1"/>
      <w:numFmt w:val="bullet"/>
      <w:lvlText w:val=""/>
      <w:lvlJc w:val="left"/>
      <w:pPr>
        <w:ind w:left="1162" w:hanging="360"/>
      </w:pPr>
      <w:rPr>
        <w:rFonts w:ascii="Symbol" w:hAnsi="Symbol" w:hint="default"/>
      </w:rPr>
    </w:lvl>
    <w:lvl w:ilvl="1" w:tplc="04090003" w:tentative="1">
      <w:start w:val="1"/>
      <w:numFmt w:val="bullet"/>
      <w:lvlText w:val="o"/>
      <w:lvlJc w:val="left"/>
      <w:pPr>
        <w:ind w:left="1882" w:hanging="360"/>
      </w:pPr>
      <w:rPr>
        <w:rFonts w:ascii="Courier New" w:hAnsi="Courier New" w:cs="Courier New" w:hint="default"/>
      </w:rPr>
    </w:lvl>
    <w:lvl w:ilvl="2" w:tplc="04090005" w:tentative="1">
      <w:start w:val="1"/>
      <w:numFmt w:val="bullet"/>
      <w:lvlText w:val=""/>
      <w:lvlJc w:val="left"/>
      <w:pPr>
        <w:ind w:left="2602" w:hanging="360"/>
      </w:pPr>
      <w:rPr>
        <w:rFonts w:ascii="Wingdings" w:hAnsi="Wingdings" w:hint="default"/>
      </w:rPr>
    </w:lvl>
    <w:lvl w:ilvl="3" w:tplc="04090001" w:tentative="1">
      <w:start w:val="1"/>
      <w:numFmt w:val="bullet"/>
      <w:lvlText w:val=""/>
      <w:lvlJc w:val="left"/>
      <w:pPr>
        <w:ind w:left="3322" w:hanging="360"/>
      </w:pPr>
      <w:rPr>
        <w:rFonts w:ascii="Symbol" w:hAnsi="Symbol" w:hint="default"/>
      </w:rPr>
    </w:lvl>
    <w:lvl w:ilvl="4" w:tplc="04090003" w:tentative="1">
      <w:start w:val="1"/>
      <w:numFmt w:val="bullet"/>
      <w:lvlText w:val="o"/>
      <w:lvlJc w:val="left"/>
      <w:pPr>
        <w:ind w:left="4042" w:hanging="360"/>
      </w:pPr>
      <w:rPr>
        <w:rFonts w:ascii="Courier New" w:hAnsi="Courier New" w:cs="Courier New" w:hint="default"/>
      </w:rPr>
    </w:lvl>
    <w:lvl w:ilvl="5" w:tplc="04090005" w:tentative="1">
      <w:start w:val="1"/>
      <w:numFmt w:val="bullet"/>
      <w:lvlText w:val=""/>
      <w:lvlJc w:val="left"/>
      <w:pPr>
        <w:ind w:left="4762" w:hanging="360"/>
      </w:pPr>
      <w:rPr>
        <w:rFonts w:ascii="Wingdings" w:hAnsi="Wingdings" w:hint="default"/>
      </w:rPr>
    </w:lvl>
    <w:lvl w:ilvl="6" w:tplc="04090001" w:tentative="1">
      <w:start w:val="1"/>
      <w:numFmt w:val="bullet"/>
      <w:lvlText w:val=""/>
      <w:lvlJc w:val="left"/>
      <w:pPr>
        <w:ind w:left="5482" w:hanging="360"/>
      </w:pPr>
      <w:rPr>
        <w:rFonts w:ascii="Symbol" w:hAnsi="Symbol" w:hint="default"/>
      </w:rPr>
    </w:lvl>
    <w:lvl w:ilvl="7" w:tplc="04090003" w:tentative="1">
      <w:start w:val="1"/>
      <w:numFmt w:val="bullet"/>
      <w:lvlText w:val="o"/>
      <w:lvlJc w:val="left"/>
      <w:pPr>
        <w:ind w:left="6202" w:hanging="360"/>
      </w:pPr>
      <w:rPr>
        <w:rFonts w:ascii="Courier New" w:hAnsi="Courier New" w:cs="Courier New" w:hint="default"/>
      </w:rPr>
    </w:lvl>
    <w:lvl w:ilvl="8" w:tplc="04090005" w:tentative="1">
      <w:start w:val="1"/>
      <w:numFmt w:val="bullet"/>
      <w:lvlText w:val=""/>
      <w:lvlJc w:val="left"/>
      <w:pPr>
        <w:ind w:left="6922" w:hanging="360"/>
      </w:pPr>
      <w:rPr>
        <w:rFonts w:ascii="Wingdings" w:hAnsi="Wingdings" w:hint="default"/>
      </w:rPr>
    </w:lvl>
  </w:abstractNum>
  <w:abstractNum w:abstractNumId="294">
    <w:nsid w:val="6B2F3233"/>
    <w:multiLevelType w:val="hybridMultilevel"/>
    <w:tmpl w:val="F1445936"/>
    <w:lvl w:ilvl="0" w:tplc="388A5A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6B334F21"/>
    <w:multiLevelType w:val="hybridMultilevel"/>
    <w:tmpl w:val="D960F10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6">
    <w:nsid w:val="6BC36694"/>
    <w:multiLevelType w:val="hybridMultilevel"/>
    <w:tmpl w:val="454491E2"/>
    <w:lvl w:ilvl="0" w:tplc="71C86DDE">
      <w:start w:val="1"/>
      <w:numFmt w:val="decimal"/>
      <w:lvlText w:val="(%1)"/>
      <w:lvlJc w:val="left"/>
      <w:pPr>
        <w:ind w:left="829" w:hanging="375"/>
      </w:pPr>
      <w:rPr>
        <w:rFonts w:ascii="Traditional Arabic" w:hAnsi="Traditional Arabic" w:cs="Traditional Arabic" w:hint="default"/>
        <w:color w:val="000000"/>
        <w:sz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97">
    <w:nsid w:val="6D1D3E3C"/>
    <w:multiLevelType w:val="hybridMultilevel"/>
    <w:tmpl w:val="6B60995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8">
    <w:nsid w:val="6D3439E2"/>
    <w:multiLevelType w:val="hybridMultilevel"/>
    <w:tmpl w:val="C958E71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9">
    <w:nsid w:val="6D4F4403"/>
    <w:multiLevelType w:val="hybridMultilevel"/>
    <w:tmpl w:val="EB04932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0">
    <w:nsid w:val="6D5D6829"/>
    <w:multiLevelType w:val="hybridMultilevel"/>
    <w:tmpl w:val="66CAEB3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01">
    <w:nsid w:val="6DFC28BC"/>
    <w:multiLevelType w:val="hybridMultilevel"/>
    <w:tmpl w:val="B7EC8B84"/>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2">
    <w:nsid w:val="6EDF37BB"/>
    <w:multiLevelType w:val="hybridMultilevel"/>
    <w:tmpl w:val="3E14F0F0"/>
    <w:lvl w:ilvl="0" w:tplc="ACACC2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nsid w:val="6F072549"/>
    <w:multiLevelType w:val="hybridMultilevel"/>
    <w:tmpl w:val="9C8AF482"/>
    <w:lvl w:ilvl="0" w:tplc="F600F3E8">
      <w:start w:val="1"/>
      <w:numFmt w:val="decimal"/>
      <w:lvlText w:val="(%1)"/>
      <w:lvlJc w:val="left"/>
      <w:pPr>
        <w:ind w:left="1080" w:hanging="720"/>
      </w:pPr>
      <w:rPr>
        <w:rFonts w:ascii="Traditional Arabic" w:hAnsi="Traditional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nsid w:val="6F11389F"/>
    <w:multiLevelType w:val="hybridMultilevel"/>
    <w:tmpl w:val="BFC477CC"/>
    <w:lvl w:ilvl="0" w:tplc="04090001">
      <w:start w:val="1"/>
      <w:numFmt w:val="bullet"/>
      <w:lvlText w:val=""/>
      <w:lvlJc w:val="left"/>
      <w:pPr>
        <w:ind w:left="1354" w:hanging="360"/>
      </w:pPr>
      <w:rPr>
        <w:rFonts w:ascii="Symbol" w:hAnsi="Symbol"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05">
    <w:nsid w:val="6F736B8B"/>
    <w:multiLevelType w:val="hybridMultilevel"/>
    <w:tmpl w:val="9782CC26"/>
    <w:lvl w:ilvl="0" w:tplc="36F60A18">
      <w:start w:val="1"/>
      <w:numFmt w:val="decimal"/>
      <w:lvlText w:val="%1-"/>
      <w:lvlJc w:val="left"/>
      <w:pPr>
        <w:ind w:left="1425" w:hanging="720"/>
      </w:pPr>
      <w:rPr>
        <w:rFonts w:hint="default"/>
        <w:b w:val="0"/>
        <w:bCs w:val="0"/>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nsid w:val="6FBB39C4"/>
    <w:multiLevelType w:val="hybridMultilevel"/>
    <w:tmpl w:val="98F20AF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07">
    <w:nsid w:val="70717FD5"/>
    <w:multiLevelType w:val="hybridMultilevel"/>
    <w:tmpl w:val="CD20DA46"/>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08">
    <w:nsid w:val="70997ECD"/>
    <w:multiLevelType w:val="hybridMultilevel"/>
    <w:tmpl w:val="AF3E4E58"/>
    <w:lvl w:ilvl="0" w:tplc="04090001">
      <w:start w:val="1"/>
      <w:numFmt w:val="bullet"/>
      <w:lvlText w:val=""/>
      <w:lvlJc w:val="left"/>
      <w:pPr>
        <w:ind w:left="1085" w:hanging="360"/>
      </w:pPr>
      <w:rPr>
        <w:rFonts w:ascii="Symbol" w:hAnsi="Symbol" w:hint="default"/>
      </w:rPr>
    </w:lvl>
    <w:lvl w:ilvl="1" w:tplc="04090003" w:tentative="1">
      <w:start w:val="1"/>
      <w:numFmt w:val="bullet"/>
      <w:lvlText w:val="o"/>
      <w:lvlJc w:val="left"/>
      <w:pPr>
        <w:ind w:left="1805" w:hanging="360"/>
      </w:pPr>
      <w:rPr>
        <w:rFonts w:ascii="Courier New" w:hAnsi="Courier New" w:cs="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309">
    <w:nsid w:val="718B1F5A"/>
    <w:multiLevelType w:val="hybridMultilevel"/>
    <w:tmpl w:val="4B881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0">
    <w:nsid w:val="71F05EE4"/>
    <w:multiLevelType w:val="hybridMultilevel"/>
    <w:tmpl w:val="274CEB4A"/>
    <w:lvl w:ilvl="0" w:tplc="22B4C1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nsid w:val="721553D5"/>
    <w:multiLevelType w:val="hybridMultilevel"/>
    <w:tmpl w:val="7DDCCC7E"/>
    <w:lvl w:ilvl="0" w:tplc="0FA2F94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2">
    <w:nsid w:val="725F6B65"/>
    <w:multiLevelType w:val="hybridMultilevel"/>
    <w:tmpl w:val="88ACB30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3">
    <w:nsid w:val="72D9485A"/>
    <w:multiLevelType w:val="hybridMultilevel"/>
    <w:tmpl w:val="C2F02BEA"/>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4">
    <w:nsid w:val="73671617"/>
    <w:multiLevelType w:val="hybridMultilevel"/>
    <w:tmpl w:val="5510D55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5">
    <w:nsid w:val="7394578D"/>
    <w:multiLevelType w:val="hybridMultilevel"/>
    <w:tmpl w:val="5F30309A"/>
    <w:lvl w:ilvl="0" w:tplc="1AEE7164">
      <w:start w:val="1"/>
      <w:numFmt w:val="decimal"/>
      <w:lvlText w:val="(%1)"/>
      <w:lvlJc w:val="left"/>
      <w:pPr>
        <w:ind w:left="1080" w:hanging="720"/>
      </w:pPr>
      <w:rPr>
        <w:rFonts w:ascii="Traditional Arabic" w:hAnsi="Traditional Arabic"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73FD12E8"/>
    <w:multiLevelType w:val="hybridMultilevel"/>
    <w:tmpl w:val="17A0DEEC"/>
    <w:lvl w:ilvl="0" w:tplc="04090001">
      <w:start w:val="1"/>
      <w:numFmt w:val="bullet"/>
      <w:lvlText w:val=""/>
      <w:lvlJc w:val="left"/>
      <w:pPr>
        <w:ind w:left="1430" w:hanging="360"/>
      </w:pPr>
      <w:rPr>
        <w:rFonts w:ascii="Symbol" w:hAnsi="Symbol"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317">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18">
    <w:nsid w:val="75F17740"/>
    <w:multiLevelType w:val="hybridMultilevel"/>
    <w:tmpl w:val="E774D8EA"/>
    <w:lvl w:ilvl="0" w:tplc="8F5C4F84">
      <w:start w:val="1"/>
      <w:numFmt w:val="decimal"/>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19">
    <w:nsid w:val="76062800"/>
    <w:multiLevelType w:val="hybridMultilevel"/>
    <w:tmpl w:val="98A0A8A0"/>
    <w:lvl w:ilvl="0" w:tplc="036CBA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nsid w:val="783C59BD"/>
    <w:multiLevelType w:val="hybridMultilevel"/>
    <w:tmpl w:val="C342613E"/>
    <w:lvl w:ilvl="0" w:tplc="E576A4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1">
    <w:nsid w:val="78A1791B"/>
    <w:multiLevelType w:val="hybridMultilevel"/>
    <w:tmpl w:val="18ACE2EC"/>
    <w:lvl w:ilvl="0" w:tplc="B4B625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985327D"/>
    <w:multiLevelType w:val="hybridMultilevel"/>
    <w:tmpl w:val="3CD651F8"/>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3">
    <w:nsid w:val="79BA25C3"/>
    <w:multiLevelType w:val="hybridMultilevel"/>
    <w:tmpl w:val="6048081A"/>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24">
    <w:nsid w:val="7A5E388A"/>
    <w:multiLevelType w:val="hybridMultilevel"/>
    <w:tmpl w:val="362EE91A"/>
    <w:lvl w:ilvl="0" w:tplc="A2F62C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7AD04B61"/>
    <w:multiLevelType w:val="hybridMultilevel"/>
    <w:tmpl w:val="0710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7B426BD8"/>
    <w:multiLevelType w:val="hybridMultilevel"/>
    <w:tmpl w:val="679A2038"/>
    <w:lvl w:ilvl="0" w:tplc="CFC2B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nsid w:val="7BC63DD2"/>
    <w:multiLevelType w:val="hybridMultilevel"/>
    <w:tmpl w:val="C0809EC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28">
    <w:nsid w:val="7C022003"/>
    <w:multiLevelType w:val="hybridMultilevel"/>
    <w:tmpl w:val="5568C988"/>
    <w:lvl w:ilvl="0" w:tplc="09928B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9">
    <w:nsid w:val="7D3E0852"/>
    <w:multiLevelType w:val="hybridMultilevel"/>
    <w:tmpl w:val="5940419E"/>
    <w:lvl w:ilvl="0" w:tplc="04090001">
      <w:start w:val="1"/>
      <w:numFmt w:val="bullet"/>
      <w:lvlText w:val=""/>
      <w:lvlJc w:val="left"/>
      <w:pPr>
        <w:ind w:left="1894" w:hanging="360"/>
      </w:pPr>
      <w:rPr>
        <w:rFonts w:ascii="Symbol" w:hAnsi="Symbol" w:hint="default"/>
      </w:rPr>
    </w:lvl>
    <w:lvl w:ilvl="1" w:tplc="04090003" w:tentative="1">
      <w:start w:val="1"/>
      <w:numFmt w:val="bullet"/>
      <w:lvlText w:val="o"/>
      <w:lvlJc w:val="left"/>
      <w:pPr>
        <w:ind w:left="2614" w:hanging="360"/>
      </w:pPr>
      <w:rPr>
        <w:rFonts w:ascii="Courier New" w:hAnsi="Courier New" w:cs="Courier New" w:hint="default"/>
      </w:rPr>
    </w:lvl>
    <w:lvl w:ilvl="2" w:tplc="04090005" w:tentative="1">
      <w:start w:val="1"/>
      <w:numFmt w:val="bullet"/>
      <w:lvlText w:val=""/>
      <w:lvlJc w:val="left"/>
      <w:pPr>
        <w:ind w:left="3334" w:hanging="360"/>
      </w:pPr>
      <w:rPr>
        <w:rFonts w:ascii="Wingdings" w:hAnsi="Wingdings" w:hint="default"/>
      </w:rPr>
    </w:lvl>
    <w:lvl w:ilvl="3" w:tplc="04090001" w:tentative="1">
      <w:start w:val="1"/>
      <w:numFmt w:val="bullet"/>
      <w:lvlText w:val=""/>
      <w:lvlJc w:val="left"/>
      <w:pPr>
        <w:ind w:left="4054" w:hanging="360"/>
      </w:pPr>
      <w:rPr>
        <w:rFonts w:ascii="Symbol" w:hAnsi="Symbol" w:hint="default"/>
      </w:rPr>
    </w:lvl>
    <w:lvl w:ilvl="4" w:tplc="04090003" w:tentative="1">
      <w:start w:val="1"/>
      <w:numFmt w:val="bullet"/>
      <w:lvlText w:val="o"/>
      <w:lvlJc w:val="left"/>
      <w:pPr>
        <w:ind w:left="4774" w:hanging="360"/>
      </w:pPr>
      <w:rPr>
        <w:rFonts w:ascii="Courier New" w:hAnsi="Courier New" w:cs="Courier New" w:hint="default"/>
      </w:rPr>
    </w:lvl>
    <w:lvl w:ilvl="5" w:tplc="04090005" w:tentative="1">
      <w:start w:val="1"/>
      <w:numFmt w:val="bullet"/>
      <w:lvlText w:val=""/>
      <w:lvlJc w:val="left"/>
      <w:pPr>
        <w:ind w:left="5494" w:hanging="360"/>
      </w:pPr>
      <w:rPr>
        <w:rFonts w:ascii="Wingdings" w:hAnsi="Wingdings" w:hint="default"/>
      </w:rPr>
    </w:lvl>
    <w:lvl w:ilvl="6" w:tplc="04090001" w:tentative="1">
      <w:start w:val="1"/>
      <w:numFmt w:val="bullet"/>
      <w:lvlText w:val=""/>
      <w:lvlJc w:val="left"/>
      <w:pPr>
        <w:ind w:left="6214" w:hanging="360"/>
      </w:pPr>
      <w:rPr>
        <w:rFonts w:ascii="Symbol" w:hAnsi="Symbol" w:hint="default"/>
      </w:rPr>
    </w:lvl>
    <w:lvl w:ilvl="7" w:tplc="04090003" w:tentative="1">
      <w:start w:val="1"/>
      <w:numFmt w:val="bullet"/>
      <w:lvlText w:val="o"/>
      <w:lvlJc w:val="left"/>
      <w:pPr>
        <w:ind w:left="6934" w:hanging="360"/>
      </w:pPr>
      <w:rPr>
        <w:rFonts w:ascii="Courier New" w:hAnsi="Courier New" w:cs="Courier New" w:hint="default"/>
      </w:rPr>
    </w:lvl>
    <w:lvl w:ilvl="8" w:tplc="04090005" w:tentative="1">
      <w:start w:val="1"/>
      <w:numFmt w:val="bullet"/>
      <w:lvlText w:val=""/>
      <w:lvlJc w:val="left"/>
      <w:pPr>
        <w:ind w:left="7654" w:hanging="360"/>
      </w:pPr>
      <w:rPr>
        <w:rFonts w:ascii="Wingdings" w:hAnsi="Wingdings" w:hint="default"/>
      </w:rPr>
    </w:lvl>
  </w:abstractNum>
  <w:abstractNum w:abstractNumId="330">
    <w:nsid w:val="7D45225B"/>
    <w:multiLevelType w:val="hybridMultilevel"/>
    <w:tmpl w:val="01F8FD00"/>
    <w:lvl w:ilvl="0" w:tplc="673289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nsid w:val="7D737AB9"/>
    <w:multiLevelType w:val="hybridMultilevel"/>
    <w:tmpl w:val="6EA8C448"/>
    <w:lvl w:ilvl="0" w:tplc="F9B2E8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E5715E3"/>
    <w:multiLevelType w:val="hybridMultilevel"/>
    <w:tmpl w:val="492CA5C8"/>
    <w:lvl w:ilvl="0" w:tplc="04090001">
      <w:start w:val="1"/>
      <w:numFmt w:val="bullet"/>
      <w:lvlText w:val=""/>
      <w:lvlJc w:val="left"/>
      <w:pPr>
        <w:ind w:left="1622" w:hanging="360"/>
      </w:pPr>
      <w:rPr>
        <w:rFonts w:ascii="Symbol" w:hAnsi="Symbol"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333">
    <w:nsid w:val="7E8165CF"/>
    <w:multiLevelType w:val="hybridMultilevel"/>
    <w:tmpl w:val="3FF4FD0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34">
    <w:nsid w:val="7E920D04"/>
    <w:multiLevelType w:val="hybridMultilevel"/>
    <w:tmpl w:val="C0B683C2"/>
    <w:lvl w:ilvl="0" w:tplc="40EAB3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nsid w:val="7E9F7A75"/>
    <w:multiLevelType w:val="hybridMultilevel"/>
    <w:tmpl w:val="352C263E"/>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6">
    <w:nsid w:val="7EAA21C8"/>
    <w:multiLevelType w:val="hybridMultilevel"/>
    <w:tmpl w:val="271EFCCC"/>
    <w:lvl w:ilvl="0" w:tplc="C390136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nsid w:val="7ED04B92"/>
    <w:multiLevelType w:val="hybridMultilevel"/>
    <w:tmpl w:val="C57009B0"/>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338">
    <w:nsid w:val="7EF30F36"/>
    <w:multiLevelType w:val="hybridMultilevel"/>
    <w:tmpl w:val="ADF8B58C"/>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9">
    <w:nsid w:val="7FB928B6"/>
    <w:multiLevelType w:val="hybridMultilevel"/>
    <w:tmpl w:val="9BA217F6"/>
    <w:lvl w:ilvl="0" w:tplc="E3D05C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FDC604D"/>
    <w:multiLevelType w:val="hybridMultilevel"/>
    <w:tmpl w:val="F5AC5B56"/>
    <w:lvl w:ilvl="0" w:tplc="DA16412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1">
    <w:nsid w:val="7FE9551D"/>
    <w:multiLevelType w:val="hybridMultilevel"/>
    <w:tmpl w:val="364C4C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64"/>
  </w:num>
  <w:num w:numId="2">
    <w:abstractNumId w:val="317"/>
  </w:num>
  <w:num w:numId="3">
    <w:abstractNumId w:val="61"/>
  </w:num>
  <w:num w:numId="4">
    <w:abstractNumId w:val="249"/>
  </w:num>
  <w:num w:numId="5">
    <w:abstractNumId w:val="338"/>
  </w:num>
  <w:num w:numId="6">
    <w:abstractNumId w:val="59"/>
  </w:num>
  <w:num w:numId="7">
    <w:abstractNumId w:val="136"/>
  </w:num>
  <w:num w:numId="8">
    <w:abstractNumId w:val="174"/>
  </w:num>
  <w:num w:numId="9">
    <w:abstractNumId w:val="298"/>
  </w:num>
  <w:num w:numId="10">
    <w:abstractNumId w:val="53"/>
  </w:num>
  <w:num w:numId="11">
    <w:abstractNumId w:val="30"/>
  </w:num>
  <w:num w:numId="12">
    <w:abstractNumId w:val="96"/>
  </w:num>
  <w:num w:numId="13">
    <w:abstractNumId w:val="256"/>
  </w:num>
  <w:num w:numId="14">
    <w:abstractNumId w:val="47"/>
  </w:num>
  <w:num w:numId="15">
    <w:abstractNumId w:val="231"/>
  </w:num>
  <w:num w:numId="16">
    <w:abstractNumId w:val="21"/>
  </w:num>
  <w:num w:numId="17">
    <w:abstractNumId w:val="33"/>
  </w:num>
  <w:num w:numId="18">
    <w:abstractNumId w:val="109"/>
  </w:num>
  <w:num w:numId="19">
    <w:abstractNumId w:val="242"/>
  </w:num>
  <w:num w:numId="20">
    <w:abstractNumId w:val="127"/>
  </w:num>
  <w:num w:numId="21">
    <w:abstractNumId w:val="206"/>
  </w:num>
  <w:num w:numId="22">
    <w:abstractNumId w:val="266"/>
  </w:num>
  <w:num w:numId="23">
    <w:abstractNumId w:val="159"/>
  </w:num>
  <w:num w:numId="24">
    <w:abstractNumId w:val="48"/>
  </w:num>
  <w:num w:numId="25">
    <w:abstractNumId w:val="126"/>
  </w:num>
  <w:num w:numId="26">
    <w:abstractNumId w:val="203"/>
  </w:num>
  <w:num w:numId="27">
    <w:abstractNumId w:val="54"/>
  </w:num>
  <w:num w:numId="28">
    <w:abstractNumId w:val="252"/>
  </w:num>
  <w:num w:numId="29">
    <w:abstractNumId w:val="95"/>
  </w:num>
  <w:num w:numId="30">
    <w:abstractNumId w:val="28"/>
  </w:num>
  <w:num w:numId="31">
    <w:abstractNumId w:val="168"/>
  </w:num>
  <w:num w:numId="32">
    <w:abstractNumId w:val="12"/>
  </w:num>
  <w:num w:numId="33">
    <w:abstractNumId w:val="85"/>
  </w:num>
  <w:num w:numId="34">
    <w:abstractNumId w:val="100"/>
  </w:num>
  <w:num w:numId="35">
    <w:abstractNumId w:val="241"/>
  </w:num>
  <w:num w:numId="36">
    <w:abstractNumId w:val="234"/>
  </w:num>
  <w:num w:numId="37">
    <w:abstractNumId w:val="200"/>
  </w:num>
  <w:num w:numId="38">
    <w:abstractNumId w:val="283"/>
  </w:num>
  <w:num w:numId="39">
    <w:abstractNumId w:val="173"/>
  </w:num>
  <w:num w:numId="40">
    <w:abstractNumId w:val="163"/>
  </w:num>
  <w:num w:numId="41">
    <w:abstractNumId w:val="140"/>
  </w:num>
  <w:num w:numId="42">
    <w:abstractNumId w:val="84"/>
  </w:num>
  <w:num w:numId="43">
    <w:abstractNumId w:val="217"/>
  </w:num>
  <w:num w:numId="44">
    <w:abstractNumId w:val="116"/>
  </w:num>
  <w:num w:numId="45">
    <w:abstractNumId w:val="205"/>
  </w:num>
  <w:num w:numId="46">
    <w:abstractNumId w:val="221"/>
  </w:num>
  <w:num w:numId="47">
    <w:abstractNumId w:val="36"/>
  </w:num>
  <w:num w:numId="48">
    <w:abstractNumId w:val="77"/>
  </w:num>
  <w:num w:numId="49">
    <w:abstractNumId w:val="23"/>
  </w:num>
  <w:num w:numId="50">
    <w:abstractNumId w:val="269"/>
  </w:num>
  <w:num w:numId="51">
    <w:abstractNumId w:val="262"/>
  </w:num>
  <w:num w:numId="52">
    <w:abstractNumId w:val="14"/>
  </w:num>
  <w:num w:numId="53">
    <w:abstractNumId w:val="46"/>
  </w:num>
  <w:num w:numId="54">
    <w:abstractNumId w:val="120"/>
  </w:num>
  <w:num w:numId="55">
    <w:abstractNumId w:val="101"/>
  </w:num>
  <w:num w:numId="56">
    <w:abstractNumId w:val="187"/>
  </w:num>
  <w:num w:numId="57">
    <w:abstractNumId w:val="186"/>
  </w:num>
  <w:num w:numId="58">
    <w:abstractNumId w:val="254"/>
  </w:num>
  <w:num w:numId="59">
    <w:abstractNumId w:val="339"/>
  </w:num>
  <w:num w:numId="60">
    <w:abstractNumId w:val="161"/>
  </w:num>
  <w:num w:numId="61">
    <w:abstractNumId w:val="253"/>
  </w:num>
  <w:num w:numId="62">
    <w:abstractNumId w:val="295"/>
  </w:num>
  <w:num w:numId="63">
    <w:abstractNumId w:val="192"/>
  </w:num>
  <w:num w:numId="64">
    <w:abstractNumId w:val="35"/>
  </w:num>
  <w:num w:numId="65">
    <w:abstractNumId w:val="146"/>
  </w:num>
  <w:num w:numId="66">
    <w:abstractNumId w:val="124"/>
  </w:num>
  <w:num w:numId="67">
    <w:abstractNumId w:val="82"/>
  </w:num>
  <w:num w:numId="68">
    <w:abstractNumId w:val="58"/>
  </w:num>
  <w:num w:numId="69">
    <w:abstractNumId w:val="219"/>
  </w:num>
  <w:num w:numId="70">
    <w:abstractNumId w:val="258"/>
  </w:num>
  <w:num w:numId="71">
    <w:abstractNumId w:val="218"/>
  </w:num>
  <w:num w:numId="72">
    <w:abstractNumId w:val="135"/>
  </w:num>
  <w:num w:numId="73">
    <w:abstractNumId w:val="213"/>
  </w:num>
  <w:num w:numId="74">
    <w:abstractNumId w:val="312"/>
  </w:num>
  <w:num w:numId="75">
    <w:abstractNumId w:val="108"/>
  </w:num>
  <w:num w:numId="76">
    <w:abstractNumId w:val="70"/>
  </w:num>
  <w:num w:numId="77">
    <w:abstractNumId w:val="160"/>
  </w:num>
  <w:num w:numId="78">
    <w:abstractNumId w:val="170"/>
  </w:num>
  <w:num w:numId="79">
    <w:abstractNumId w:val="314"/>
  </w:num>
  <w:num w:numId="80">
    <w:abstractNumId w:val="150"/>
  </w:num>
  <w:num w:numId="81">
    <w:abstractNumId w:val="111"/>
  </w:num>
  <w:num w:numId="82">
    <w:abstractNumId w:val="335"/>
  </w:num>
  <w:num w:numId="83">
    <w:abstractNumId w:val="212"/>
  </w:num>
  <w:num w:numId="84">
    <w:abstractNumId w:val="331"/>
  </w:num>
  <w:num w:numId="85">
    <w:abstractNumId w:val="291"/>
  </w:num>
  <w:num w:numId="86">
    <w:abstractNumId w:val="255"/>
  </w:num>
  <w:num w:numId="87">
    <w:abstractNumId w:val="336"/>
  </w:num>
  <w:num w:numId="88">
    <w:abstractNumId w:val="107"/>
  </w:num>
  <w:num w:numId="89">
    <w:abstractNumId w:val="19"/>
  </w:num>
  <w:num w:numId="90">
    <w:abstractNumId w:val="155"/>
  </w:num>
  <w:num w:numId="91">
    <w:abstractNumId w:val="285"/>
  </w:num>
  <w:num w:numId="92">
    <w:abstractNumId w:val="322"/>
  </w:num>
  <w:num w:numId="93">
    <w:abstractNumId w:val="296"/>
  </w:num>
  <w:num w:numId="94">
    <w:abstractNumId w:val="9"/>
  </w:num>
  <w:num w:numId="95">
    <w:abstractNumId w:val="329"/>
  </w:num>
  <w:num w:numId="96">
    <w:abstractNumId w:val="138"/>
  </w:num>
  <w:num w:numId="97">
    <w:abstractNumId w:val="156"/>
  </w:num>
  <w:num w:numId="98">
    <w:abstractNumId w:val="228"/>
  </w:num>
  <w:num w:numId="99">
    <w:abstractNumId w:val="17"/>
  </w:num>
  <w:num w:numId="100">
    <w:abstractNumId w:val="271"/>
  </w:num>
  <w:num w:numId="101">
    <w:abstractNumId w:val="105"/>
  </w:num>
  <w:num w:numId="102">
    <w:abstractNumId w:val="80"/>
  </w:num>
  <w:num w:numId="103">
    <w:abstractNumId w:val="324"/>
  </w:num>
  <w:num w:numId="104">
    <w:abstractNumId w:val="149"/>
  </w:num>
  <w:num w:numId="105">
    <w:abstractNumId w:val="39"/>
  </w:num>
  <w:num w:numId="106">
    <w:abstractNumId w:val="193"/>
  </w:num>
  <w:num w:numId="107">
    <w:abstractNumId w:val="69"/>
  </w:num>
  <w:num w:numId="108">
    <w:abstractNumId w:val="311"/>
  </w:num>
  <w:num w:numId="109">
    <w:abstractNumId w:val="1"/>
  </w:num>
  <w:num w:numId="110">
    <w:abstractNumId w:val="133"/>
  </w:num>
  <w:num w:numId="111">
    <w:abstractNumId w:val="25"/>
  </w:num>
  <w:num w:numId="112">
    <w:abstractNumId w:val="5"/>
  </w:num>
  <w:num w:numId="113">
    <w:abstractNumId w:val="208"/>
  </w:num>
  <w:num w:numId="114">
    <w:abstractNumId w:val="313"/>
  </w:num>
  <w:num w:numId="115">
    <w:abstractNumId w:val="165"/>
  </w:num>
  <w:num w:numId="116">
    <w:abstractNumId w:val="34"/>
  </w:num>
  <w:num w:numId="117">
    <w:abstractNumId w:val="281"/>
  </w:num>
  <w:num w:numId="118">
    <w:abstractNumId w:val="232"/>
  </w:num>
  <w:num w:numId="119">
    <w:abstractNumId w:val="131"/>
  </w:num>
  <w:num w:numId="120">
    <w:abstractNumId w:val="73"/>
  </w:num>
  <w:num w:numId="121">
    <w:abstractNumId w:val="128"/>
  </w:num>
  <w:num w:numId="122">
    <w:abstractNumId w:val="264"/>
  </w:num>
  <w:num w:numId="123">
    <w:abstractNumId w:val="172"/>
  </w:num>
  <w:num w:numId="124">
    <w:abstractNumId w:val="293"/>
  </w:num>
  <w:num w:numId="125">
    <w:abstractNumId w:val="129"/>
  </w:num>
  <w:num w:numId="126">
    <w:abstractNumId w:val="76"/>
  </w:num>
  <w:num w:numId="127">
    <w:abstractNumId w:val="125"/>
  </w:num>
  <w:num w:numId="128">
    <w:abstractNumId w:val="75"/>
  </w:num>
  <w:num w:numId="129">
    <w:abstractNumId w:val="45"/>
  </w:num>
  <w:num w:numId="130">
    <w:abstractNumId w:val="139"/>
  </w:num>
  <w:num w:numId="131">
    <w:abstractNumId w:val="239"/>
  </w:num>
  <w:num w:numId="132">
    <w:abstractNumId w:val="20"/>
  </w:num>
  <w:num w:numId="133">
    <w:abstractNumId w:val="184"/>
  </w:num>
  <w:num w:numId="134">
    <w:abstractNumId w:val="143"/>
  </w:num>
  <w:num w:numId="135">
    <w:abstractNumId w:val="227"/>
  </w:num>
  <w:num w:numId="136">
    <w:abstractNumId w:val="299"/>
  </w:num>
  <w:num w:numId="137">
    <w:abstractNumId w:val="166"/>
  </w:num>
  <w:num w:numId="138">
    <w:abstractNumId w:val="207"/>
  </w:num>
  <w:num w:numId="139">
    <w:abstractNumId w:val="102"/>
  </w:num>
  <w:num w:numId="140">
    <w:abstractNumId w:val="327"/>
  </w:num>
  <w:num w:numId="141">
    <w:abstractNumId w:val="151"/>
  </w:num>
  <w:num w:numId="142">
    <w:abstractNumId w:val="38"/>
  </w:num>
  <w:num w:numId="143">
    <w:abstractNumId w:val="294"/>
  </w:num>
  <w:num w:numId="144">
    <w:abstractNumId w:val="182"/>
  </w:num>
  <w:num w:numId="145">
    <w:abstractNumId w:val="91"/>
  </w:num>
  <w:num w:numId="146">
    <w:abstractNumId w:val="26"/>
  </w:num>
  <w:num w:numId="147">
    <w:abstractNumId w:val="121"/>
  </w:num>
  <w:num w:numId="148">
    <w:abstractNumId w:val="152"/>
  </w:num>
  <w:num w:numId="149">
    <w:abstractNumId w:val="134"/>
  </w:num>
  <w:num w:numId="150">
    <w:abstractNumId w:val="280"/>
  </w:num>
  <w:num w:numId="151">
    <w:abstractNumId w:val="230"/>
  </w:num>
  <w:num w:numId="152">
    <w:abstractNumId w:val="37"/>
  </w:num>
  <w:num w:numId="153">
    <w:abstractNumId w:val="153"/>
  </w:num>
  <w:num w:numId="154">
    <w:abstractNumId w:val="31"/>
  </w:num>
  <w:num w:numId="155">
    <w:abstractNumId w:val="191"/>
  </w:num>
  <w:num w:numId="156">
    <w:abstractNumId w:val="288"/>
  </w:num>
  <w:num w:numId="157">
    <w:abstractNumId w:val="305"/>
  </w:num>
  <w:num w:numId="158">
    <w:abstractNumId w:val="97"/>
  </w:num>
  <w:num w:numId="159">
    <w:abstractNumId w:val="103"/>
  </w:num>
  <w:num w:numId="160">
    <w:abstractNumId w:val="106"/>
  </w:num>
  <w:num w:numId="161">
    <w:abstractNumId w:val="119"/>
  </w:num>
  <w:num w:numId="162">
    <w:abstractNumId w:val="123"/>
  </w:num>
  <w:num w:numId="163">
    <w:abstractNumId w:val="304"/>
  </w:num>
  <w:num w:numId="164">
    <w:abstractNumId w:val="137"/>
  </w:num>
  <w:num w:numId="165">
    <w:abstractNumId w:val="259"/>
  </w:num>
  <w:num w:numId="166">
    <w:abstractNumId w:val="287"/>
  </w:num>
  <w:num w:numId="167">
    <w:abstractNumId w:val="86"/>
  </w:num>
  <w:num w:numId="168">
    <w:abstractNumId w:val="178"/>
  </w:num>
  <w:num w:numId="169">
    <w:abstractNumId w:val="292"/>
  </w:num>
  <w:num w:numId="170">
    <w:abstractNumId w:val="209"/>
  </w:num>
  <w:num w:numId="171">
    <w:abstractNumId w:val="196"/>
  </w:num>
  <w:num w:numId="172">
    <w:abstractNumId w:val="326"/>
  </w:num>
  <w:num w:numId="173">
    <w:abstractNumId w:val="22"/>
  </w:num>
  <w:num w:numId="174">
    <w:abstractNumId w:val="300"/>
  </w:num>
  <w:num w:numId="175">
    <w:abstractNumId w:val="278"/>
  </w:num>
  <w:num w:numId="176">
    <w:abstractNumId w:val="222"/>
  </w:num>
  <w:num w:numId="177">
    <w:abstractNumId w:val="15"/>
  </w:num>
  <w:num w:numId="178">
    <w:abstractNumId w:val="307"/>
  </w:num>
  <w:num w:numId="179">
    <w:abstractNumId w:val="245"/>
  </w:num>
  <w:num w:numId="180">
    <w:abstractNumId w:val="267"/>
  </w:num>
  <w:num w:numId="181">
    <w:abstractNumId w:val="78"/>
  </w:num>
  <w:num w:numId="182">
    <w:abstractNumId w:val="185"/>
  </w:num>
  <w:num w:numId="183">
    <w:abstractNumId w:val="211"/>
  </w:num>
  <w:num w:numId="184">
    <w:abstractNumId w:val="279"/>
  </w:num>
  <w:num w:numId="185">
    <w:abstractNumId w:val="180"/>
  </w:num>
  <w:num w:numId="186">
    <w:abstractNumId w:val="190"/>
  </w:num>
  <w:num w:numId="187">
    <w:abstractNumId w:val="2"/>
  </w:num>
  <w:num w:numId="188">
    <w:abstractNumId w:val="56"/>
  </w:num>
  <w:num w:numId="189">
    <w:abstractNumId w:val="319"/>
  </w:num>
  <w:num w:numId="190">
    <w:abstractNumId w:val="42"/>
  </w:num>
  <w:num w:numId="191">
    <w:abstractNumId w:val="167"/>
  </w:num>
  <w:num w:numId="192">
    <w:abstractNumId w:val="188"/>
  </w:num>
  <w:num w:numId="193">
    <w:abstractNumId w:val="49"/>
  </w:num>
  <w:num w:numId="194">
    <w:abstractNumId w:val="158"/>
  </w:num>
  <w:num w:numId="195">
    <w:abstractNumId w:val="67"/>
  </w:num>
  <w:num w:numId="196">
    <w:abstractNumId w:val="306"/>
  </w:num>
  <w:num w:numId="197">
    <w:abstractNumId w:val="7"/>
  </w:num>
  <w:num w:numId="198">
    <w:abstractNumId w:val="71"/>
  </w:num>
  <w:num w:numId="199">
    <w:abstractNumId w:val="179"/>
  </w:num>
  <w:num w:numId="200">
    <w:abstractNumId w:val="250"/>
  </w:num>
  <w:num w:numId="201">
    <w:abstractNumId w:val="141"/>
  </w:num>
  <w:num w:numId="202">
    <w:abstractNumId w:val="144"/>
  </w:num>
  <w:num w:numId="203">
    <w:abstractNumId w:val="24"/>
  </w:num>
  <w:num w:numId="204">
    <w:abstractNumId w:val="55"/>
  </w:num>
  <w:num w:numId="205">
    <w:abstractNumId w:val="202"/>
  </w:num>
  <w:num w:numId="206">
    <w:abstractNumId w:val="87"/>
  </w:num>
  <w:num w:numId="207">
    <w:abstractNumId w:val="301"/>
  </w:num>
  <w:num w:numId="208">
    <w:abstractNumId w:val="246"/>
  </w:num>
  <w:num w:numId="209">
    <w:abstractNumId w:val="315"/>
  </w:num>
  <w:num w:numId="210">
    <w:abstractNumId w:val="337"/>
  </w:num>
  <w:num w:numId="211">
    <w:abstractNumId w:val="229"/>
  </w:num>
  <w:num w:numId="212">
    <w:abstractNumId w:val="240"/>
  </w:num>
  <w:num w:numId="213">
    <w:abstractNumId w:val="118"/>
  </w:num>
  <w:num w:numId="214">
    <w:abstractNumId w:val="260"/>
  </w:num>
  <w:num w:numId="215">
    <w:abstractNumId w:val="277"/>
  </w:num>
  <w:num w:numId="216">
    <w:abstractNumId w:val="332"/>
  </w:num>
  <w:num w:numId="217">
    <w:abstractNumId w:val="145"/>
  </w:num>
  <w:num w:numId="218">
    <w:abstractNumId w:val="64"/>
  </w:num>
  <w:num w:numId="219">
    <w:abstractNumId w:val="29"/>
  </w:num>
  <w:num w:numId="220">
    <w:abstractNumId w:val="289"/>
  </w:num>
  <w:num w:numId="221">
    <w:abstractNumId w:val="92"/>
  </w:num>
  <w:num w:numId="222">
    <w:abstractNumId w:val="282"/>
  </w:num>
  <w:num w:numId="223">
    <w:abstractNumId w:val="183"/>
  </w:num>
  <w:num w:numId="224">
    <w:abstractNumId w:val="263"/>
  </w:num>
  <w:num w:numId="225">
    <w:abstractNumId w:val="68"/>
  </w:num>
  <w:num w:numId="226">
    <w:abstractNumId w:val="157"/>
  </w:num>
  <w:num w:numId="227">
    <w:abstractNumId w:val="247"/>
  </w:num>
  <w:num w:numId="228">
    <w:abstractNumId w:val="11"/>
  </w:num>
  <w:num w:numId="229">
    <w:abstractNumId w:val="169"/>
  </w:num>
  <w:num w:numId="230">
    <w:abstractNumId w:val="189"/>
  </w:num>
  <w:num w:numId="231">
    <w:abstractNumId w:val="142"/>
  </w:num>
  <w:num w:numId="232">
    <w:abstractNumId w:val="274"/>
  </w:num>
  <w:num w:numId="233">
    <w:abstractNumId w:val="237"/>
  </w:num>
  <w:num w:numId="234">
    <w:abstractNumId w:val="162"/>
  </w:num>
  <w:num w:numId="235">
    <w:abstractNumId w:val="284"/>
  </w:num>
  <w:num w:numId="236">
    <w:abstractNumId w:val="286"/>
  </w:num>
  <w:num w:numId="237">
    <w:abstractNumId w:val="176"/>
  </w:num>
  <w:num w:numId="238">
    <w:abstractNumId w:val="334"/>
  </w:num>
  <w:num w:numId="239">
    <w:abstractNumId w:val="297"/>
  </w:num>
  <w:num w:numId="240">
    <w:abstractNumId w:val="257"/>
  </w:num>
  <w:num w:numId="241">
    <w:abstractNumId w:val="115"/>
  </w:num>
  <w:num w:numId="242">
    <w:abstractNumId w:val="302"/>
  </w:num>
  <w:num w:numId="243">
    <w:abstractNumId w:val="171"/>
  </w:num>
  <w:num w:numId="244">
    <w:abstractNumId w:val="197"/>
  </w:num>
  <w:num w:numId="245">
    <w:abstractNumId w:val="10"/>
  </w:num>
  <w:num w:numId="246">
    <w:abstractNumId w:val="94"/>
  </w:num>
  <w:num w:numId="247">
    <w:abstractNumId w:val="104"/>
  </w:num>
  <w:num w:numId="248">
    <w:abstractNumId w:val="235"/>
  </w:num>
  <w:num w:numId="249">
    <w:abstractNumId w:val="83"/>
  </w:num>
  <w:num w:numId="250">
    <w:abstractNumId w:val="341"/>
  </w:num>
  <w:num w:numId="251">
    <w:abstractNumId w:val="3"/>
  </w:num>
  <w:num w:numId="252">
    <w:abstractNumId w:val="130"/>
  </w:num>
  <w:num w:numId="253">
    <w:abstractNumId w:val="89"/>
  </w:num>
  <w:num w:numId="254">
    <w:abstractNumId w:val="308"/>
  </w:num>
  <w:num w:numId="255">
    <w:abstractNumId w:val="0"/>
  </w:num>
  <w:num w:numId="256">
    <w:abstractNumId w:val="154"/>
  </w:num>
  <w:num w:numId="257">
    <w:abstractNumId w:val="310"/>
  </w:num>
  <w:num w:numId="258">
    <w:abstractNumId w:val="316"/>
  </w:num>
  <w:num w:numId="259">
    <w:abstractNumId w:val="323"/>
  </w:num>
  <w:num w:numId="260">
    <w:abstractNumId w:val="220"/>
  </w:num>
  <w:num w:numId="261">
    <w:abstractNumId w:val="320"/>
  </w:num>
  <w:num w:numId="262">
    <w:abstractNumId w:val="214"/>
  </w:num>
  <w:num w:numId="263">
    <w:abstractNumId w:val="88"/>
  </w:num>
  <w:num w:numId="264">
    <w:abstractNumId w:val="233"/>
  </w:num>
  <w:num w:numId="265">
    <w:abstractNumId w:val="238"/>
  </w:num>
  <w:num w:numId="266">
    <w:abstractNumId w:val="340"/>
  </w:num>
  <w:num w:numId="267">
    <w:abstractNumId w:val="333"/>
  </w:num>
  <w:num w:numId="268">
    <w:abstractNumId w:val="65"/>
  </w:num>
  <w:num w:numId="269">
    <w:abstractNumId w:val="268"/>
  </w:num>
  <w:num w:numId="270">
    <w:abstractNumId w:val="18"/>
  </w:num>
  <w:num w:numId="271">
    <w:abstractNumId w:val="50"/>
  </w:num>
  <w:num w:numId="272">
    <w:abstractNumId w:val="223"/>
  </w:num>
  <w:num w:numId="273">
    <w:abstractNumId w:val="328"/>
  </w:num>
  <w:num w:numId="274">
    <w:abstractNumId w:val="204"/>
  </w:num>
  <w:num w:numId="275">
    <w:abstractNumId w:val="248"/>
  </w:num>
  <w:num w:numId="276">
    <w:abstractNumId w:val="13"/>
  </w:num>
  <w:num w:numId="277">
    <w:abstractNumId w:val="6"/>
  </w:num>
  <w:num w:numId="278">
    <w:abstractNumId w:val="79"/>
  </w:num>
  <w:num w:numId="279">
    <w:abstractNumId w:val="122"/>
  </w:num>
  <w:num w:numId="280">
    <w:abstractNumId w:val="201"/>
  </w:num>
  <w:num w:numId="281">
    <w:abstractNumId w:val="8"/>
  </w:num>
  <w:num w:numId="282">
    <w:abstractNumId w:val="57"/>
  </w:num>
  <w:num w:numId="283">
    <w:abstractNumId w:val="66"/>
  </w:num>
  <w:num w:numId="284">
    <w:abstractNumId w:val="62"/>
  </w:num>
  <w:num w:numId="285">
    <w:abstractNumId w:val="44"/>
  </w:num>
  <w:num w:numId="286">
    <w:abstractNumId w:val="90"/>
  </w:num>
  <w:num w:numId="287">
    <w:abstractNumId w:val="112"/>
  </w:num>
  <w:num w:numId="288">
    <w:abstractNumId w:val="81"/>
  </w:num>
  <w:num w:numId="289">
    <w:abstractNumId w:val="265"/>
  </w:num>
  <w:num w:numId="290">
    <w:abstractNumId w:val="330"/>
  </w:num>
  <w:num w:numId="291">
    <w:abstractNumId w:val="224"/>
  </w:num>
  <w:num w:numId="292">
    <w:abstractNumId w:val="63"/>
  </w:num>
  <w:num w:numId="293">
    <w:abstractNumId w:val="198"/>
  </w:num>
  <w:num w:numId="294">
    <w:abstractNumId w:val="4"/>
  </w:num>
  <w:num w:numId="295">
    <w:abstractNumId w:val="318"/>
  </w:num>
  <w:num w:numId="296">
    <w:abstractNumId w:val="199"/>
  </w:num>
  <w:num w:numId="297">
    <w:abstractNumId w:val="215"/>
  </w:num>
  <w:num w:numId="298">
    <w:abstractNumId w:val="290"/>
  </w:num>
  <w:num w:numId="299">
    <w:abstractNumId w:val="216"/>
  </w:num>
  <w:num w:numId="300">
    <w:abstractNumId w:val="303"/>
  </w:num>
  <w:num w:numId="301">
    <w:abstractNumId w:val="72"/>
  </w:num>
  <w:num w:numId="302">
    <w:abstractNumId w:val="261"/>
  </w:num>
  <w:num w:numId="303">
    <w:abstractNumId w:val="226"/>
  </w:num>
  <w:num w:numId="304">
    <w:abstractNumId w:val="113"/>
  </w:num>
  <w:num w:numId="305">
    <w:abstractNumId w:val="43"/>
  </w:num>
  <w:num w:numId="306">
    <w:abstractNumId w:val="225"/>
  </w:num>
  <w:num w:numId="307">
    <w:abstractNumId w:val="27"/>
  </w:num>
  <w:num w:numId="308">
    <w:abstractNumId w:val="321"/>
  </w:num>
  <w:num w:numId="309">
    <w:abstractNumId w:val="60"/>
  </w:num>
  <w:num w:numId="310">
    <w:abstractNumId w:val="236"/>
  </w:num>
  <w:num w:numId="311">
    <w:abstractNumId w:val="40"/>
  </w:num>
  <w:num w:numId="312">
    <w:abstractNumId w:val="272"/>
  </w:num>
  <w:num w:numId="313">
    <w:abstractNumId w:val="244"/>
  </w:num>
  <w:num w:numId="314">
    <w:abstractNumId w:val="210"/>
  </w:num>
  <w:num w:numId="315">
    <w:abstractNumId w:val="51"/>
  </w:num>
  <w:num w:numId="316">
    <w:abstractNumId w:val="251"/>
  </w:num>
  <w:num w:numId="317">
    <w:abstractNumId w:val="74"/>
  </w:num>
  <w:num w:numId="318">
    <w:abstractNumId w:val="195"/>
  </w:num>
  <w:num w:numId="319">
    <w:abstractNumId w:val="117"/>
  </w:num>
  <w:num w:numId="320">
    <w:abstractNumId w:val="273"/>
  </w:num>
  <w:num w:numId="321">
    <w:abstractNumId w:val="93"/>
  </w:num>
  <w:num w:numId="3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2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09"/>
  </w:num>
  <w:num w:numId="326">
    <w:abstractNumId w:val="99"/>
  </w:num>
  <w:num w:numId="327">
    <w:abstractNumId w:val="98"/>
  </w:num>
  <w:num w:numId="328">
    <w:abstractNumId w:val="325"/>
  </w:num>
  <w:num w:numId="329">
    <w:abstractNumId w:val="194"/>
  </w:num>
  <w:num w:numId="330">
    <w:abstractNumId w:val="110"/>
  </w:num>
  <w:num w:numId="331">
    <w:abstractNumId w:val="175"/>
  </w:num>
  <w:num w:numId="332">
    <w:abstractNumId w:val="177"/>
  </w:num>
  <w:num w:numId="333">
    <w:abstractNumId w:val="270"/>
  </w:num>
  <w:num w:numId="334">
    <w:abstractNumId w:val="114"/>
  </w:num>
  <w:num w:numId="335">
    <w:abstractNumId w:val="132"/>
  </w:num>
  <w:num w:numId="336">
    <w:abstractNumId w:val="147"/>
  </w:num>
  <w:num w:numId="337">
    <w:abstractNumId w:val="275"/>
  </w:num>
  <w:num w:numId="338">
    <w:abstractNumId w:val="52"/>
  </w:num>
  <w:num w:numId="339">
    <w:abstractNumId w:val="32"/>
  </w:num>
  <w:num w:numId="340">
    <w:abstractNumId w:val="181"/>
  </w:num>
  <w:num w:numId="341">
    <w:abstractNumId w:val="41"/>
  </w:num>
  <w:num w:numId="342">
    <w:abstractNumId w:val="243"/>
  </w:num>
  <w:numIdMacAtCleanup w:val="3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stylePaneFormatFilter w:val="3A01"/>
  <w:defaultTabStop w:val="720"/>
  <w:hyphenationZone w:val="425"/>
  <w:drawingGridVerticalSpacing w:val="245"/>
  <w:displayHorizontalDrawingGridEvery w:val="0"/>
  <w:displayVerticalDrawingGridEvery w:val="2"/>
  <w:noPunctuationKerning/>
  <w:characterSpacingControl w:val="doNotCompress"/>
  <w:hdrShapeDefaults>
    <o:shapedefaults v:ext="edit" spidmax="57346"/>
    <o:shapelayout v:ext="edit">
      <o:idmap v:ext="edit" data="2"/>
    </o:shapelayout>
  </w:hdrShapeDefaults>
  <w:footnotePr>
    <w:numRestart w:val="eachPage"/>
    <w:footnote w:id="0"/>
    <w:footnote w:id="1"/>
    <w:footnote w:id="2"/>
  </w:footnotePr>
  <w:endnotePr>
    <w:endnote w:id="0"/>
    <w:endnote w:id="1"/>
  </w:endnotePr>
  <w:compat/>
  <w:rsids>
    <w:rsidRoot w:val="003841F8"/>
    <w:rsid w:val="00000A26"/>
    <w:rsid w:val="00001176"/>
    <w:rsid w:val="00002BE0"/>
    <w:rsid w:val="00005E96"/>
    <w:rsid w:val="00007A1E"/>
    <w:rsid w:val="00010350"/>
    <w:rsid w:val="00011985"/>
    <w:rsid w:val="00011F65"/>
    <w:rsid w:val="00014697"/>
    <w:rsid w:val="000149D0"/>
    <w:rsid w:val="000152E3"/>
    <w:rsid w:val="00015974"/>
    <w:rsid w:val="0001602B"/>
    <w:rsid w:val="00017A43"/>
    <w:rsid w:val="00021C97"/>
    <w:rsid w:val="000222BB"/>
    <w:rsid w:val="000224D6"/>
    <w:rsid w:val="000224DD"/>
    <w:rsid w:val="00022961"/>
    <w:rsid w:val="0002299F"/>
    <w:rsid w:val="00022B3E"/>
    <w:rsid w:val="00022E98"/>
    <w:rsid w:val="00024B2B"/>
    <w:rsid w:val="000270A1"/>
    <w:rsid w:val="00027B98"/>
    <w:rsid w:val="00030154"/>
    <w:rsid w:val="00030659"/>
    <w:rsid w:val="00031026"/>
    <w:rsid w:val="0003131A"/>
    <w:rsid w:val="00031790"/>
    <w:rsid w:val="00033314"/>
    <w:rsid w:val="00033A48"/>
    <w:rsid w:val="000411F5"/>
    <w:rsid w:val="00041CA2"/>
    <w:rsid w:val="0004289B"/>
    <w:rsid w:val="00045EC5"/>
    <w:rsid w:val="0005244C"/>
    <w:rsid w:val="000558E2"/>
    <w:rsid w:val="000558F4"/>
    <w:rsid w:val="00055B0E"/>
    <w:rsid w:val="00055F73"/>
    <w:rsid w:val="000575B2"/>
    <w:rsid w:val="000577E5"/>
    <w:rsid w:val="00060462"/>
    <w:rsid w:val="000606DE"/>
    <w:rsid w:val="00061AD6"/>
    <w:rsid w:val="00063018"/>
    <w:rsid w:val="000634F2"/>
    <w:rsid w:val="000641BC"/>
    <w:rsid w:val="00065E4B"/>
    <w:rsid w:val="00066002"/>
    <w:rsid w:val="00066397"/>
    <w:rsid w:val="0006641A"/>
    <w:rsid w:val="00066653"/>
    <w:rsid w:val="00066CE6"/>
    <w:rsid w:val="00067C1A"/>
    <w:rsid w:val="00067F5D"/>
    <w:rsid w:val="00070109"/>
    <w:rsid w:val="00070BFE"/>
    <w:rsid w:val="0007126C"/>
    <w:rsid w:val="000712B0"/>
    <w:rsid w:val="00071852"/>
    <w:rsid w:val="0007192E"/>
    <w:rsid w:val="0007251C"/>
    <w:rsid w:val="00072B9A"/>
    <w:rsid w:val="00073A3B"/>
    <w:rsid w:val="00073E31"/>
    <w:rsid w:val="00080CF2"/>
    <w:rsid w:val="000825CC"/>
    <w:rsid w:val="00082C34"/>
    <w:rsid w:val="00082D47"/>
    <w:rsid w:val="000847F4"/>
    <w:rsid w:val="0008537E"/>
    <w:rsid w:val="00085EEA"/>
    <w:rsid w:val="00085F99"/>
    <w:rsid w:val="00086E4F"/>
    <w:rsid w:val="00086EFD"/>
    <w:rsid w:val="000907D5"/>
    <w:rsid w:val="000918A2"/>
    <w:rsid w:val="00091991"/>
    <w:rsid w:val="00091C9E"/>
    <w:rsid w:val="0009226B"/>
    <w:rsid w:val="00092912"/>
    <w:rsid w:val="00094FA0"/>
    <w:rsid w:val="000960DB"/>
    <w:rsid w:val="00096BBD"/>
    <w:rsid w:val="00097387"/>
    <w:rsid w:val="000973EB"/>
    <w:rsid w:val="00097A00"/>
    <w:rsid w:val="000A00CE"/>
    <w:rsid w:val="000A019A"/>
    <w:rsid w:val="000A01DD"/>
    <w:rsid w:val="000A0F2E"/>
    <w:rsid w:val="000A11F4"/>
    <w:rsid w:val="000A1E91"/>
    <w:rsid w:val="000A5447"/>
    <w:rsid w:val="000A689C"/>
    <w:rsid w:val="000A6D24"/>
    <w:rsid w:val="000A76C7"/>
    <w:rsid w:val="000A7B75"/>
    <w:rsid w:val="000B232D"/>
    <w:rsid w:val="000B2D01"/>
    <w:rsid w:val="000B2E6F"/>
    <w:rsid w:val="000B30CC"/>
    <w:rsid w:val="000B4522"/>
    <w:rsid w:val="000B4B12"/>
    <w:rsid w:val="000B5320"/>
    <w:rsid w:val="000B570D"/>
    <w:rsid w:val="000B5C2D"/>
    <w:rsid w:val="000C0552"/>
    <w:rsid w:val="000C0B29"/>
    <w:rsid w:val="000C26E6"/>
    <w:rsid w:val="000C2786"/>
    <w:rsid w:val="000C2C6B"/>
    <w:rsid w:val="000C324A"/>
    <w:rsid w:val="000C443D"/>
    <w:rsid w:val="000C4A8C"/>
    <w:rsid w:val="000C501F"/>
    <w:rsid w:val="000C64F6"/>
    <w:rsid w:val="000C69B0"/>
    <w:rsid w:val="000C69DB"/>
    <w:rsid w:val="000C76F7"/>
    <w:rsid w:val="000D04E7"/>
    <w:rsid w:val="000D16EE"/>
    <w:rsid w:val="000D19D9"/>
    <w:rsid w:val="000D2750"/>
    <w:rsid w:val="000D29FC"/>
    <w:rsid w:val="000D2C32"/>
    <w:rsid w:val="000D30DD"/>
    <w:rsid w:val="000D30E1"/>
    <w:rsid w:val="000D3D21"/>
    <w:rsid w:val="000D462B"/>
    <w:rsid w:val="000D49DC"/>
    <w:rsid w:val="000D4E7A"/>
    <w:rsid w:val="000D64A3"/>
    <w:rsid w:val="000D6EB7"/>
    <w:rsid w:val="000D728F"/>
    <w:rsid w:val="000D7CE2"/>
    <w:rsid w:val="000E139F"/>
    <w:rsid w:val="000E1D14"/>
    <w:rsid w:val="000E1D72"/>
    <w:rsid w:val="000E234C"/>
    <w:rsid w:val="000E23B1"/>
    <w:rsid w:val="000E2FB7"/>
    <w:rsid w:val="000E3D46"/>
    <w:rsid w:val="000E5554"/>
    <w:rsid w:val="000E629B"/>
    <w:rsid w:val="000E677B"/>
    <w:rsid w:val="000E6ABE"/>
    <w:rsid w:val="000F09D8"/>
    <w:rsid w:val="000F2637"/>
    <w:rsid w:val="000F50BE"/>
    <w:rsid w:val="000F5602"/>
    <w:rsid w:val="000F5C0F"/>
    <w:rsid w:val="000F6372"/>
    <w:rsid w:val="000F673D"/>
    <w:rsid w:val="000F705E"/>
    <w:rsid w:val="000F7DC7"/>
    <w:rsid w:val="00101AB9"/>
    <w:rsid w:val="00102A1C"/>
    <w:rsid w:val="00103131"/>
    <w:rsid w:val="00103C36"/>
    <w:rsid w:val="00103CD2"/>
    <w:rsid w:val="0010438E"/>
    <w:rsid w:val="0010464B"/>
    <w:rsid w:val="00104E67"/>
    <w:rsid w:val="00105922"/>
    <w:rsid w:val="00105D20"/>
    <w:rsid w:val="0011081B"/>
    <w:rsid w:val="00111261"/>
    <w:rsid w:val="0011348D"/>
    <w:rsid w:val="00113A66"/>
    <w:rsid w:val="00113FA0"/>
    <w:rsid w:val="00114068"/>
    <w:rsid w:val="00116A9D"/>
    <w:rsid w:val="001172ED"/>
    <w:rsid w:val="001205B4"/>
    <w:rsid w:val="00120EA3"/>
    <w:rsid w:val="00121642"/>
    <w:rsid w:val="001219FA"/>
    <w:rsid w:val="00121E43"/>
    <w:rsid w:val="00123242"/>
    <w:rsid w:val="00123FA3"/>
    <w:rsid w:val="00124DC3"/>
    <w:rsid w:val="00125AA3"/>
    <w:rsid w:val="00126401"/>
    <w:rsid w:val="00126537"/>
    <w:rsid w:val="00127A6E"/>
    <w:rsid w:val="00130929"/>
    <w:rsid w:val="00131049"/>
    <w:rsid w:val="00131B97"/>
    <w:rsid w:val="00132684"/>
    <w:rsid w:val="00133344"/>
    <w:rsid w:val="00133933"/>
    <w:rsid w:val="00134D0F"/>
    <w:rsid w:val="00134F0E"/>
    <w:rsid w:val="001351E5"/>
    <w:rsid w:val="0013537C"/>
    <w:rsid w:val="0013591C"/>
    <w:rsid w:val="00135E0D"/>
    <w:rsid w:val="001364EC"/>
    <w:rsid w:val="00137163"/>
    <w:rsid w:val="00137EB9"/>
    <w:rsid w:val="001403DE"/>
    <w:rsid w:val="0014044F"/>
    <w:rsid w:val="00140497"/>
    <w:rsid w:val="00140980"/>
    <w:rsid w:val="00142BC1"/>
    <w:rsid w:val="001430BE"/>
    <w:rsid w:val="00143D77"/>
    <w:rsid w:val="00144AC8"/>
    <w:rsid w:val="00144DF9"/>
    <w:rsid w:val="001452F2"/>
    <w:rsid w:val="00145ED8"/>
    <w:rsid w:val="00145FDE"/>
    <w:rsid w:val="0014726A"/>
    <w:rsid w:val="00150991"/>
    <w:rsid w:val="00151433"/>
    <w:rsid w:val="001515B0"/>
    <w:rsid w:val="00151933"/>
    <w:rsid w:val="00152164"/>
    <w:rsid w:val="00152B17"/>
    <w:rsid w:val="00152CB1"/>
    <w:rsid w:val="00153A5C"/>
    <w:rsid w:val="00153D33"/>
    <w:rsid w:val="0015404E"/>
    <w:rsid w:val="00154102"/>
    <w:rsid w:val="00154D7E"/>
    <w:rsid w:val="00155869"/>
    <w:rsid w:val="00155CDC"/>
    <w:rsid w:val="0015635C"/>
    <w:rsid w:val="001567E0"/>
    <w:rsid w:val="00157F71"/>
    <w:rsid w:val="00160CBB"/>
    <w:rsid w:val="00160E7B"/>
    <w:rsid w:val="001616E3"/>
    <w:rsid w:val="00161B21"/>
    <w:rsid w:val="00161E0F"/>
    <w:rsid w:val="00164063"/>
    <w:rsid w:val="00164159"/>
    <w:rsid w:val="001646A1"/>
    <w:rsid w:val="0016512E"/>
    <w:rsid w:val="001659D7"/>
    <w:rsid w:val="00165AFE"/>
    <w:rsid w:val="00166B01"/>
    <w:rsid w:val="00166BB4"/>
    <w:rsid w:val="001672C6"/>
    <w:rsid w:val="001673B4"/>
    <w:rsid w:val="00167C73"/>
    <w:rsid w:val="00170418"/>
    <w:rsid w:val="00170BF4"/>
    <w:rsid w:val="001714C3"/>
    <w:rsid w:val="00171838"/>
    <w:rsid w:val="001718C1"/>
    <w:rsid w:val="00172146"/>
    <w:rsid w:val="00173CF4"/>
    <w:rsid w:val="00173F8B"/>
    <w:rsid w:val="00175E5D"/>
    <w:rsid w:val="00177604"/>
    <w:rsid w:val="00180E3E"/>
    <w:rsid w:val="00180FDC"/>
    <w:rsid w:val="001814AE"/>
    <w:rsid w:val="001814DF"/>
    <w:rsid w:val="00182638"/>
    <w:rsid w:val="00182EA0"/>
    <w:rsid w:val="001834B1"/>
    <w:rsid w:val="00183D67"/>
    <w:rsid w:val="00184121"/>
    <w:rsid w:val="00184ADA"/>
    <w:rsid w:val="00184C26"/>
    <w:rsid w:val="001851F0"/>
    <w:rsid w:val="00186935"/>
    <w:rsid w:val="001873E8"/>
    <w:rsid w:val="00187620"/>
    <w:rsid w:val="00187E48"/>
    <w:rsid w:val="001910BC"/>
    <w:rsid w:val="001916C2"/>
    <w:rsid w:val="001916D5"/>
    <w:rsid w:val="00191E9B"/>
    <w:rsid w:val="00192192"/>
    <w:rsid w:val="001924DB"/>
    <w:rsid w:val="001946A3"/>
    <w:rsid w:val="00194A86"/>
    <w:rsid w:val="00194B8A"/>
    <w:rsid w:val="0019507C"/>
    <w:rsid w:val="0019534E"/>
    <w:rsid w:val="00196226"/>
    <w:rsid w:val="0019788E"/>
    <w:rsid w:val="001A06F0"/>
    <w:rsid w:val="001A0BAA"/>
    <w:rsid w:val="001A1608"/>
    <w:rsid w:val="001A190C"/>
    <w:rsid w:val="001A2E33"/>
    <w:rsid w:val="001A3826"/>
    <w:rsid w:val="001A3849"/>
    <w:rsid w:val="001A3A90"/>
    <w:rsid w:val="001A4922"/>
    <w:rsid w:val="001A4B7C"/>
    <w:rsid w:val="001A5027"/>
    <w:rsid w:val="001A52B2"/>
    <w:rsid w:val="001A5343"/>
    <w:rsid w:val="001A744D"/>
    <w:rsid w:val="001B069A"/>
    <w:rsid w:val="001B2229"/>
    <w:rsid w:val="001B251E"/>
    <w:rsid w:val="001B2FA9"/>
    <w:rsid w:val="001B361C"/>
    <w:rsid w:val="001B56A8"/>
    <w:rsid w:val="001B5B63"/>
    <w:rsid w:val="001B6D44"/>
    <w:rsid w:val="001C03F0"/>
    <w:rsid w:val="001C077C"/>
    <w:rsid w:val="001C0B19"/>
    <w:rsid w:val="001C111D"/>
    <w:rsid w:val="001C1ED8"/>
    <w:rsid w:val="001C3F19"/>
    <w:rsid w:val="001C40CC"/>
    <w:rsid w:val="001C4C78"/>
    <w:rsid w:val="001C50AE"/>
    <w:rsid w:val="001C5656"/>
    <w:rsid w:val="001C5A8A"/>
    <w:rsid w:val="001C664E"/>
    <w:rsid w:val="001C7583"/>
    <w:rsid w:val="001C7DBD"/>
    <w:rsid w:val="001D0C3F"/>
    <w:rsid w:val="001D1AFA"/>
    <w:rsid w:val="001D1E88"/>
    <w:rsid w:val="001D2594"/>
    <w:rsid w:val="001D2EC1"/>
    <w:rsid w:val="001D39FC"/>
    <w:rsid w:val="001D51E2"/>
    <w:rsid w:val="001D52CC"/>
    <w:rsid w:val="001D56E5"/>
    <w:rsid w:val="001D6B04"/>
    <w:rsid w:val="001D6E89"/>
    <w:rsid w:val="001D7C04"/>
    <w:rsid w:val="001E0986"/>
    <w:rsid w:val="001E2D6C"/>
    <w:rsid w:val="001E3043"/>
    <w:rsid w:val="001E3C0F"/>
    <w:rsid w:val="001E513A"/>
    <w:rsid w:val="001E5439"/>
    <w:rsid w:val="001E5C2F"/>
    <w:rsid w:val="001E60CD"/>
    <w:rsid w:val="001E6E14"/>
    <w:rsid w:val="001F08AA"/>
    <w:rsid w:val="001F09B4"/>
    <w:rsid w:val="001F0BA3"/>
    <w:rsid w:val="001F18F9"/>
    <w:rsid w:val="001F1D88"/>
    <w:rsid w:val="001F3849"/>
    <w:rsid w:val="001F4718"/>
    <w:rsid w:val="001F4999"/>
    <w:rsid w:val="001F4BDD"/>
    <w:rsid w:val="001F51EC"/>
    <w:rsid w:val="001F563D"/>
    <w:rsid w:val="001F5B08"/>
    <w:rsid w:val="001F5C0A"/>
    <w:rsid w:val="001F5E01"/>
    <w:rsid w:val="001F758B"/>
    <w:rsid w:val="001F7E56"/>
    <w:rsid w:val="00200EDE"/>
    <w:rsid w:val="00201197"/>
    <w:rsid w:val="00201568"/>
    <w:rsid w:val="002015B6"/>
    <w:rsid w:val="002015DE"/>
    <w:rsid w:val="00201C63"/>
    <w:rsid w:val="00201E37"/>
    <w:rsid w:val="0020241F"/>
    <w:rsid w:val="00202487"/>
    <w:rsid w:val="00203C32"/>
    <w:rsid w:val="00203C72"/>
    <w:rsid w:val="00204BDD"/>
    <w:rsid w:val="0020566F"/>
    <w:rsid w:val="0020567D"/>
    <w:rsid w:val="00205A20"/>
    <w:rsid w:val="00205A35"/>
    <w:rsid w:val="00205CE6"/>
    <w:rsid w:val="00205E4C"/>
    <w:rsid w:val="002072FF"/>
    <w:rsid w:val="00210AB0"/>
    <w:rsid w:val="00210F6F"/>
    <w:rsid w:val="0021182F"/>
    <w:rsid w:val="00212646"/>
    <w:rsid w:val="002144E5"/>
    <w:rsid w:val="00215F82"/>
    <w:rsid w:val="00217381"/>
    <w:rsid w:val="002202E1"/>
    <w:rsid w:val="00220935"/>
    <w:rsid w:val="002209E5"/>
    <w:rsid w:val="00220B95"/>
    <w:rsid w:val="00220D7B"/>
    <w:rsid w:val="00220EF0"/>
    <w:rsid w:val="002226EA"/>
    <w:rsid w:val="0022296F"/>
    <w:rsid w:val="00223413"/>
    <w:rsid w:val="00223FD5"/>
    <w:rsid w:val="00224993"/>
    <w:rsid w:val="00224A5A"/>
    <w:rsid w:val="00224E23"/>
    <w:rsid w:val="002250C6"/>
    <w:rsid w:val="00230519"/>
    <w:rsid w:val="00231C99"/>
    <w:rsid w:val="00231DB5"/>
    <w:rsid w:val="002329A9"/>
    <w:rsid w:val="0023301F"/>
    <w:rsid w:val="002333A4"/>
    <w:rsid w:val="00233AA1"/>
    <w:rsid w:val="00233C7F"/>
    <w:rsid w:val="00234613"/>
    <w:rsid w:val="00234C6A"/>
    <w:rsid w:val="0023592A"/>
    <w:rsid w:val="0023594B"/>
    <w:rsid w:val="00236A41"/>
    <w:rsid w:val="002379DA"/>
    <w:rsid w:val="00237D7F"/>
    <w:rsid w:val="00240352"/>
    <w:rsid w:val="002410B3"/>
    <w:rsid w:val="00243941"/>
    <w:rsid w:val="00244901"/>
    <w:rsid w:val="00246303"/>
    <w:rsid w:val="00246D79"/>
    <w:rsid w:val="0024767F"/>
    <w:rsid w:val="00247F93"/>
    <w:rsid w:val="00250AFB"/>
    <w:rsid w:val="00251136"/>
    <w:rsid w:val="002511EE"/>
    <w:rsid w:val="00251572"/>
    <w:rsid w:val="00251F48"/>
    <w:rsid w:val="00252216"/>
    <w:rsid w:val="00252404"/>
    <w:rsid w:val="002524D9"/>
    <w:rsid w:val="002534A8"/>
    <w:rsid w:val="00253C65"/>
    <w:rsid w:val="00255659"/>
    <w:rsid w:val="00256239"/>
    <w:rsid w:val="00256371"/>
    <w:rsid w:val="00256878"/>
    <w:rsid w:val="00256D10"/>
    <w:rsid w:val="002571A0"/>
    <w:rsid w:val="002617F1"/>
    <w:rsid w:val="00261F20"/>
    <w:rsid w:val="00262F13"/>
    <w:rsid w:val="00263298"/>
    <w:rsid w:val="00264398"/>
    <w:rsid w:val="00264B18"/>
    <w:rsid w:val="0026506D"/>
    <w:rsid w:val="002658E5"/>
    <w:rsid w:val="00266B19"/>
    <w:rsid w:val="002670A5"/>
    <w:rsid w:val="002671B7"/>
    <w:rsid w:val="00267A03"/>
    <w:rsid w:val="00270884"/>
    <w:rsid w:val="00270F41"/>
    <w:rsid w:val="002719ED"/>
    <w:rsid w:val="00271AB9"/>
    <w:rsid w:val="00272776"/>
    <w:rsid w:val="00272836"/>
    <w:rsid w:val="00273140"/>
    <w:rsid w:val="00273437"/>
    <w:rsid w:val="002739B8"/>
    <w:rsid w:val="00273DC6"/>
    <w:rsid w:val="00273FB3"/>
    <w:rsid w:val="00274077"/>
    <w:rsid w:val="0027446A"/>
    <w:rsid w:val="0027633D"/>
    <w:rsid w:val="002768D7"/>
    <w:rsid w:val="002769A5"/>
    <w:rsid w:val="00276F56"/>
    <w:rsid w:val="002803F3"/>
    <w:rsid w:val="00280BD2"/>
    <w:rsid w:val="0028148F"/>
    <w:rsid w:val="002831CE"/>
    <w:rsid w:val="00283387"/>
    <w:rsid w:val="00283A88"/>
    <w:rsid w:val="002861F0"/>
    <w:rsid w:val="00286543"/>
    <w:rsid w:val="002870FF"/>
    <w:rsid w:val="002879FF"/>
    <w:rsid w:val="00290D9A"/>
    <w:rsid w:val="00291071"/>
    <w:rsid w:val="00291488"/>
    <w:rsid w:val="00291A94"/>
    <w:rsid w:val="0029266D"/>
    <w:rsid w:val="00292BB9"/>
    <w:rsid w:val="00294289"/>
    <w:rsid w:val="002948BC"/>
    <w:rsid w:val="00294DF6"/>
    <w:rsid w:val="002A0C79"/>
    <w:rsid w:val="002A17CF"/>
    <w:rsid w:val="002A2CA3"/>
    <w:rsid w:val="002A35A4"/>
    <w:rsid w:val="002A4CF1"/>
    <w:rsid w:val="002A53A2"/>
    <w:rsid w:val="002A53C3"/>
    <w:rsid w:val="002A5421"/>
    <w:rsid w:val="002A5BE7"/>
    <w:rsid w:val="002A634F"/>
    <w:rsid w:val="002A68CC"/>
    <w:rsid w:val="002A7C37"/>
    <w:rsid w:val="002B0222"/>
    <w:rsid w:val="002B030B"/>
    <w:rsid w:val="002B0B5A"/>
    <w:rsid w:val="002B2749"/>
    <w:rsid w:val="002B32F0"/>
    <w:rsid w:val="002B348A"/>
    <w:rsid w:val="002B37A1"/>
    <w:rsid w:val="002B5AFF"/>
    <w:rsid w:val="002B5E90"/>
    <w:rsid w:val="002B66A0"/>
    <w:rsid w:val="002B79D5"/>
    <w:rsid w:val="002B7A22"/>
    <w:rsid w:val="002C020D"/>
    <w:rsid w:val="002C0E04"/>
    <w:rsid w:val="002C1436"/>
    <w:rsid w:val="002C15BF"/>
    <w:rsid w:val="002C1A6D"/>
    <w:rsid w:val="002C1AE8"/>
    <w:rsid w:val="002C1C02"/>
    <w:rsid w:val="002C3257"/>
    <w:rsid w:val="002C3CD7"/>
    <w:rsid w:val="002C46CE"/>
    <w:rsid w:val="002C4B0E"/>
    <w:rsid w:val="002C5B69"/>
    <w:rsid w:val="002C6A43"/>
    <w:rsid w:val="002D0425"/>
    <w:rsid w:val="002D05F7"/>
    <w:rsid w:val="002D06EB"/>
    <w:rsid w:val="002D0DE4"/>
    <w:rsid w:val="002D1FBD"/>
    <w:rsid w:val="002D264F"/>
    <w:rsid w:val="002D3555"/>
    <w:rsid w:val="002D35AE"/>
    <w:rsid w:val="002D3F71"/>
    <w:rsid w:val="002D5041"/>
    <w:rsid w:val="002D551E"/>
    <w:rsid w:val="002D5B46"/>
    <w:rsid w:val="002D68BD"/>
    <w:rsid w:val="002D78A8"/>
    <w:rsid w:val="002D7A92"/>
    <w:rsid w:val="002E00F7"/>
    <w:rsid w:val="002E01FD"/>
    <w:rsid w:val="002E07A7"/>
    <w:rsid w:val="002E28AE"/>
    <w:rsid w:val="002E3186"/>
    <w:rsid w:val="002E3D09"/>
    <w:rsid w:val="002E3D96"/>
    <w:rsid w:val="002E4A85"/>
    <w:rsid w:val="002E4B37"/>
    <w:rsid w:val="002E58AC"/>
    <w:rsid w:val="002E5C43"/>
    <w:rsid w:val="002E5CB3"/>
    <w:rsid w:val="002E676B"/>
    <w:rsid w:val="002E73AB"/>
    <w:rsid w:val="002F0855"/>
    <w:rsid w:val="002F2870"/>
    <w:rsid w:val="002F2D6E"/>
    <w:rsid w:val="002F34AD"/>
    <w:rsid w:val="002F3E2A"/>
    <w:rsid w:val="002F3E83"/>
    <w:rsid w:val="002F50A0"/>
    <w:rsid w:val="002F5E4C"/>
    <w:rsid w:val="002F65C4"/>
    <w:rsid w:val="002F785C"/>
    <w:rsid w:val="00301519"/>
    <w:rsid w:val="00301AB4"/>
    <w:rsid w:val="00303FA3"/>
    <w:rsid w:val="003045F6"/>
    <w:rsid w:val="00304A01"/>
    <w:rsid w:val="00304E01"/>
    <w:rsid w:val="00304E2A"/>
    <w:rsid w:val="003055DD"/>
    <w:rsid w:val="003068D5"/>
    <w:rsid w:val="00310588"/>
    <w:rsid w:val="003106CB"/>
    <w:rsid w:val="00310EC4"/>
    <w:rsid w:val="0031104D"/>
    <w:rsid w:val="0031123A"/>
    <w:rsid w:val="00311357"/>
    <w:rsid w:val="00311557"/>
    <w:rsid w:val="00311F3B"/>
    <w:rsid w:val="00312986"/>
    <w:rsid w:val="003130FB"/>
    <w:rsid w:val="00314794"/>
    <w:rsid w:val="00315C1E"/>
    <w:rsid w:val="00316868"/>
    <w:rsid w:val="00317117"/>
    <w:rsid w:val="003171F2"/>
    <w:rsid w:val="00317273"/>
    <w:rsid w:val="003174F8"/>
    <w:rsid w:val="00317D43"/>
    <w:rsid w:val="00320479"/>
    <w:rsid w:val="0032117E"/>
    <w:rsid w:val="00321906"/>
    <w:rsid w:val="0032204A"/>
    <w:rsid w:val="00322254"/>
    <w:rsid w:val="00322923"/>
    <w:rsid w:val="00323A19"/>
    <w:rsid w:val="00323C15"/>
    <w:rsid w:val="003246CE"/>
    <w:rsid w:val="0032473E"/>
    <w:rsid w:val="0032502B"/>
    <w:rsid w:val="003253E6"/>
    <w:rsid w:val="0032649F"/>
    <w:rsid w:val="00327B9A"/>
    <w:rsid w:val="00330267"/>
    <w:rsid w:val="0033041B"/>
    <w:rsid w:val="00331F14"/>
    <w:rsid w:val="00332FE2"/>
    <w:rsid w:val="0033398A"/>
    <w:rsid w:val="00333C62"/>
    <w:rsid w:val="0033476F"/>
    <w:rsid w:val="00334E35"/>
    <w:rsid w:val="0033576A"/>
    <w:rsid w:val="0033591E"/>
    <w:rsid w:val="00335A5B"/>
    <w:rsid w:val="00336659"/>
    <w:rsid w:val="003368A0"/>
    <w:rsid w:val="00340095"/>
    <w:rsid w:val="003407B9"/>
    <w:rsid w:val="00341437"/>
    <w:rsid w:val="00342CD0"/>
    <w:rsid w:val="00343083"/>
    <w:rsid w:val="0034358A"/>
    <w:rsid w:val="0034363C"/>
    <w:rsid w:val="00343FCC"/>
    <w:rsid w:val="003441A7"/>
    <w:rsid w:val="00344336"/>
    <w:rsid w:val="0034438E"/>
    <w:rsid w:val="00346635"/>
    <w:rsid w:val="0034747A"/>
    <w:rsid w:val="003504FF"/>
    <w:rsid w:val="00351451"/>
    <w:rsid w:val="00357540"/>
    <w:rsid w:val="00360089"/>
    <w:rsid w:val="003616DF"/>
    <w:rsid w:val="00361A05"/>
    <w:rsid w:val="00361C2A"/>
    <w:rsid w:val="00362E42"/>
    <w:rsid w:val="0036336E"/>
    <w:rsid w:val="00363638"/>
    <w:rsid w:val="003638AD"/>
    <w:rsid w:val="0036563F"/>
    <w:rsid w:val="0036649F"/>
    <w:rsid w:val="00366B6A"/>
    <w:rsid w:val="00367BA8"/>
    <w:rsid w:val="00367F16"/>
    <w:rsid w:val="003701B0"/>
    <w:rsid w:val="0037067C"/>
    <w:rsid w:val="00372501"/>
    <w:rsid w:val="00373366"/>
    <w:rsid w:val="003739DF"/>
    <w:rsid w:val="00374F14"/>
    <w:rsid w:val="003751BC"/>
    <w:rsid w:val="00375899"/>
    <w:rsid w:val="0037620A"/>
    <w:rsid w:val="003769A4"/>
    <w:rsid w:val="0038004C"/>
    <w:rsid w:val="00380872"/>
    <w:rsid w:val="00380F63"/>
    <w:rsid w:val="00381526"/>
    <w:rsid w:val="0038224B"/>
    <w:rsid w:val="00382990"/>
    <w:rsid w:val="00383D2B"/>
    <w:rsid w:val="003840B8"/>
    <w:rsid w:val="003841F8"/>
    <w:rsid w:val="003849E5"/>
    <w:rsid w:val="00386287"/>
    <w:rsid w:val="003864B7"/>
    <w:rsid w:val="003868BF"/>
    <w:rsid w:val="00390D67"/>
    <w:rsid w:val="003914B8"/>
    <w:rsid w:val="003914C5"/>
    <w:rsid w:val="00391883"/>
    <w:rsid w:val="00391A68"/>
    <w:rsid w:val="003932DA"/>
    <w:rsid w:val="00393AF0"/>
    <w:rsid w:val="00394567"/>
    <w:rsid w:val="00394674"/>
    <w:rsid w:val="00395178"/>
    <w:rsid w:val="00395497"/>
    <w:rsid w:val="00395E3B"/>
    <w:rsid w:val="003966B8"/>
    <w:rsid w:val="00396896"/>
    <w:rsid w:val="003979D0"/>
    <w:rsid w:val="00397AB7"/>
    <w:rsid w:val="003A0F35"/>
    <w:rsid w:val="003A13BD"/>
    <w:rsid w:val="003A1D01"/>
    <w:rsid w:val="003A36B1"/>
    <w:rsid w:val="003A4013"/>
    <w:rsid w:val="003A469B"/>
    <w:rsid w:val="003A5193"/>
    <w:rsid w:val="003A5738"/>
    <w:rsid w:val="003A5B6C"/>
    <w:rsid w:val="003A639A"/>
    <w:rsid w:val="003A6D79"/>
    <w:rsid w:val="003A770A"/>
    <w:rsid w:val="003A778D"/>
    <w:rsid w:val="003A7C17"/>
    <w:rsid w:val="003B0143"/>
    <w:rsid w:val="003B06F0"/>
    <w:rsid w:val="003B0DCB"/>
    <w:rsid w:val="003B2B46"/>
    <w:rsid w:val="003B388E"/>
    <w:rsid w:val="003B3E89"/>
    <w:rsid w:val="003B41EB"/>
    <w:rsid w:val="003B420A"/>
    <w:rsid w:val="003B5071"/>
    <w:rsid w:val="003B5112"/>
    <w:rsid w:val="003B550A"/>
    <w:rsid w:val="003B63D2"/>
    <w:rsid w:val="003C0521"/>
    <w:rsid w:val="003C1718"/>
    <w:rsid w:val="003C39FD"/>
    <w:rsid w:val="003C3E37"/>
    <w:rsid w:val="003C4072"/>
    <w:rsid w:val="003C4B47"/>
    <w:rsid w:val="003C597B"/>
    <w:rsid w:val="003D0CB0"/>
    <w:rsid w:val="003D32C1"/>
    <w:rsid w:val="003D3385"/>
    <w:rsid w:val="003D3728"/>
    <w:rsid w:val="003D472A"/>
    <w:rsid w:val="003D4CB6"/>
    <w:rsid w:val="003D7636"/>
    <w:rsid w:val="003D7972"/>
    <w:rsid w:val="003D7ADB"/>
    <w:rsid w:val="003E06B0"/>
    <w:rsid w:val="003E0A64"/>
    <w:rsid w:val="003E1242"/>
    <w:rsid w:val="003E316B"/>
    <w:rsid w:val="003E3B3D"/>
    <w:rsid w:val="003E4079"/>
    <w:rsid w:val="003E4244"/>
    <w:rsid w:val="003E4A49"/>
    <w:rsid w:val="003E582B"/>
    <w:rsid w:val="003E59FD"/>
    <w:rsid w:val="003E5A0E"/>
    <w:rsid w:val="003E6082"/>
    <w:rsid w:val="003E65D8"/>
    <w:rsid w:val="003E6BDD"/>
    <w:rsid w:val="003E6F57"/>
    <w:rsid w:val="003E722C"/>
    <w:rsid w:val="003E7B4D"/>
    <w:rsid w:val="003F01EA"/>
    <w:rsid w:val="003F0AF0"/>
    <w:rsid w:val="003F0E8F"/>
    <w:rsid w:val="003F1BA9"/>
    <w:rsid w:val="003F25B1"/>
    <w:rsid w:val="003F2815"/>
    <w:rsid w:val="003F431B"/>
    <w:rsid w:val="003F507C"/>
    <w:rsid w:val="003F6081"/>
    <w:rsid w:val="00400CE8"/>
    <w:rsid w:val="004022B8"/>
    <w:rsid w:val="00404164"/>
    <w:rsid w:val="004042A5"/>
    <w:rsid w:val="0040539A"/>
    <w:rsid w:val="00406889"/>
    <w:rsid w:val="00407555"/>
    <w:rsid w:val="00407D59"/>
    <w:rsid w:val="00411DD1"/>
    <w:rsid w:val="004123DB"/>
    <w:rsid w:val="00413B63"/>
    <w:rsid w:val="0041438F"/>
    <w:rsid w:val="00414C0B"/>
    <w:rsid w:val="00415A6F"/>
    <w:rsid w:val="00416913"/>
    <w:rsid w:val="00416E5B"/>
    <w:rsid w:val="004173D5"/>
    <w:rsid w:val="00417813"/>
    <w:rsid w:val="00420F71"/>
    <w:rsid w:val="004226B1"/>
    <w:rsid w:val="00422872"/>
    <w:rsid w:val="00426C84"/>
    <w:rsid w:val="00426F86"/>
    <w:rsid w:val="00427662"/>
    <w:rsid w:val="00427E19"/>
    <w:rsid w:val="00433431"/>
    <w:rsid w:val="0043356E"/>
    <w:rsid w:val="00434476"/>
    <w:rsid w:val="004347BB"/>
    <w:rsid w:val="00435B0D"/>
    <w:rsid w:val="00435FA8"/>
    <w:rsid w:val="0043647E"/>
    <w:rsid w:val="0043731C"/>
    <w:rsid w:val="004373AE"/>
    <w:rsid w:val="00440348"/>
    <w:rsid w:val="00442266"/>
    <w:rsid w:val="00442386"/>
    <w:rsid w:val="00442D4B"/>
    <w:rsid w:val="00443CC2"/>
    <w:rsid w:val="004451CE"/>
    <w:rsid w:val="00446674"/>
    <w:rsid w:val="00446D19"/>
    <w:rsid w:val="004472DC"/>
    <w:rsid w:val="004505B5"/>
    <w:rsid w:val="004514CF"/>
    <w:rsid w:val="00451907"/>
    <w:rsid w:val="00452EAC"/>
    <w:rsid w:val="004533B3"/>
    <w:rsid w:val="00455CC2"/>
    <w:rsid w:val="00455D8E"/>
    <w:rsid w:val="00455F51"/>
    <w:rsid w:val="00456223"/>
    <w:rsid w:val="004563EB"/>
    <w:rsid w:val="00457D81"/>
    <w:rsid w:val="00460314"/>
    <w:rsid w:val="00462ACB"/>
    <w:rsid w:val="00463E83"/>
    <w:rsid w:val="004666DE"/>
    <w:rsid w:val="0046698E"/>
    <w:rsid w:val="00467211"/>
    <w:rsid w:val="004677D6"/>
    <w:rsid w:val="004716EF"/>
    <w:rsid w:val="00471FD0"/>
    <w:rsid w:val="00474211"/>
    <w:rsid w:val="00474BB3"/>
    <w:rsid w:val="00475F59"/>
    <w:rsid w:val="004762EF"/>
    <w:rsid w:val="00476BE8"/>
    <w:rsid w:val="004775DA"/>
    <w:rsid w:val="00477FA2"/>
    <w:rsid w:val="00484390"/>
    <w:rsid w:val="0048508D"/>
    <w:rsid w:val="00486671"/>
    <w:rsid w:val="0048676E"/>
    <w:rsid w:val="00486FC8"/>
    <w:rsid w:val="004874AB"/>
    <w:rsid w:val="004874B5"/>
    <w:rsid w:val="00487E8E"/>
    <w:rsid w:val="00491A5A"/>
    <w:rsid w:val="0049385B"/>
    <w:rsid w:val="004949B9"/>
    <w:rsid w:val="00494C7F"/>
    <w:rsid w:val="00494F7A"/>
    <w:rsid w:val="0049650A"/>
    <w:rsid w:val="004A0C85"/>
    <w:rsid w:val="004A1352"/>
    <w:rsid w:val="004A1625"/>
    <w:rsid w:val="004A43C4"/>
    <w:rsid w:val="004A4BF0"/>
    <w:rsid w:val="004A5734"/>
    <w:rsid w:val="004A6099"/>
    <w:rsid w:val="004B0743"/>
    <w:rsid w:val="004B1690"/>
    <w:rsid w:val="004B1A8C"/>
    <w:rsid w:val="004B29C1"/>
    <w:rsid w:val="004B4104"/>
    <w:rsid w:val="004B411B"/>
    <w:rsid w:val="004B4234"/>
    <w:rsid w:val="004B44AA"/>
    <w:rsid w:val="004B4828"/>
    <w:rsid w:val="004B512C"/>
    <w:rsid w:val="004B6520"/>
    <w:rsid w:val="004B6B30"/>
    <w:rsid w:val="004B709B"/>
    <w:rsid w:val="004B70B1"/>
    <w:rsid w:val="004B77D4"/>
    <w:rsid w:val="004C0180"/>
    <w:rsid w:val="004C0662"/>
    <w:rsid w:val="004C0CDC"/>
    <w:rsid w:val="004C1165"/>
    <w:rsid w:val="004C1C74"/>
    <w:rsid w:val="004C276C"/>
    <w:rsid w:val="004C3351"/>
    <w:rsid w:val="004C3927"/>
    <w:rsid w:val="004C3FB0"/>
    <w:rsid w:val="004C48C2"/>
    <w:rsid w:val="004C4CBC"/>
    <w:rsid w:val="004C5751"/>
    <w:rsid w:val="004C5DA4"/>
    <w:rsid w:val="004D15E3"/>
    <w:rsid w:val="004D1DEC"/>
    <w:rsid w:val="004D2319"/>
    <w:rsid w:val="004D2E66"/>
    <w:rsid w:val="004D47B7"/>
    <w:rsid w:val="004D6254"/>
    <w:rsid w:val="004D713C"/>
    <w:rsid w:val="004D75B7"/>
    <w:rsid w:val="004E0347"/>
    <w:rsid w:val="004E0A7E"/>
    <w:rsid w:val="004E0D61"/>
    <w:rsid w:val="004E0ED0"/>
    <w:rsid w:val="004E106A"/>
    <w:rsid w:val="004E18CD"/>
    <w:rsid w:val="004E2AB1"/>
    <w:rsid w:val="004E2D02"/>
    <w:rsid w:val="004E2EB7"/>
    <w:rsid w:val="004E4745"/>
    <w:rsid w:val="004E7683"/>
    <w:rsid w:val="004E79DA"/>
    <w:rsid w:val="004F0D27"/>
    <w:rsid w:val="004F2ED3"/>
    <w:rsid w:val="004F4D45"/>
    <w:rsid w:val="004F50F0"/>
    <w:rsid w:val="004F542F"/>
    <w:rsid w:val="004F5A0D"/>
    <w:rsid w:val="004F5FD5"/>
    <w:rsid w:val="004F600F"/>
    <w:rsid w:val="004F64E0"/>
    <w:rsid w:val="004F66DF"/>
    <w:rsid w:val="004F73E5"/>
    <w:rsid w:val="00501C5E"/>
    <w:rsid w:val="005023CD"/>
    <w:rsid w:val="00502D4C"/>
    <w:rsid w:val="00505351"/>
    <w:rsid w:val="00505E7C"/>
    <w:rsid w:val="005071C9"/>
    <w:rsid w:val="00507FC5"/>
    <w:rsid w:val="00510078"/>
    <w:rsid w:val="00510C76"/>
    <w:rsid w:val="005114EB"/>
    <w:rsid w:val="00511977"/>
    <w:rsid w:val="00511D96"/>
    <w:rsid w:val="00511F2C"/>
    <w:rsid w:val="00512C20"/>
    <w:rsid w:val="00512DB7"/>
    <w:rsid w:val="00514407"/>
    <w:rsid w:val="00514D5B"/>
    <w:rsid w:val="00514E0F"/>
    <w:rsid w:val="0051564D"/>
    <w:rsid w:val="00515A3F"/>
    <w:rsid w:val="00517BDC"/>
    <w:rsid w:val="00520BE9"/>
    <w:rsid w:val="00520CAB"/>
    <w:rsid w:val="00521052"/>
    <w:rsid w:val="00521697"/>
    <w:rsid w:val="00521FCF"/>
    <w:rsid w:val="00523EF2"/>
    <w:rsid w:val="00525843"/>
    <w:rsid w:val="00526169"/>
    <w:rsid w:val="00526971"/>
    <w:rsid w:val="00527048"/>
    <w:rsid w:val="0053096F"/>
    <w:rsid w:val="00531753"/>
    <w:rsid w:val="00531B4A"/>
    <w:rsid w:val="00532EAC"/>
    <w:rsid w:val="00534038"/>
    <w:rsid w:val="005346C6"/>
    <w:rsid w:val="00534E33"/>
    <w:rsid w:val="0053510A"/>
    <w:rsid w:val="00536ED9"/>
    <w:rsid w:val="00537520"/>
    <w:rsid w:val="00541168"/>
    <w:rsid w:val="0054384D"/>
    <w:rsid w:val="005447E4"/>
    <w:rsid w:val="00544D34"/>
    <w:rsid w:val="00545161"/>
    <w:rsid w:val="00546122"/>
    <w:rsid w:val="00546D0E"/>
    <w:rsid w:val="00546E6E"/>
    <w:rsid w:val="00547221"/>
    <w:rsid w:val="005507F5"/>
    <w:rsid w:val="005515D0"/>
    <w:rsid w:val="00552221"/>
    <w:rsid w:val="00552768"/>
    <w:rsid w:val="005529EC"/>
    <w:rsid w:val="00553BA1"/>
    <w:rsid w:val="00554068"/>
    <w:rsid w:val="0055590D"/>
    <w:rsid w:val="0055729C"/>
    <w:rsid w:val="00560C6D"/>
    <w:rsid w:val="005615C6"/>
    <w:rsid w:val="00561796"/>
    <w:rsid w:val="005629D0"/>
    <w:rsid w:val="00564A07"/>
    <w:rsid w:val="0056595D"/>
    <w:rsid w:val="00566368"/>
    <w:rsid w:val="00566836"/>
    <w:rsid w:val="00566AF9"/>
    <w:rsid w:val="005676BE"/>
    <w:rsid w:val="0057000C"/>
    <w:rsid w:val="00570E2E"/>
    <w:rsid w:val="00571A27"/>
    <w:rsid w:val="00572C32"/>
    <w:rsid w:val="0057310C"/>
    <w:rsid w:val="00573370"/>
    <w:rsid w:val="00573D50"/>
    <w:rsid w:val="00575CAE"/>
    <w:rsid w:val="00575E47"/>
    <w:rsid w:val="0057676A"/>
    <w:rsid w:val="00576D78"/>
    <w:rsid w:val="0057781E"/>
    <w:rsid w:val="005802C1"/>
    <w:rsid w:val="005805E3"/>
    <w:rsid w:val="00581A7E"/>
    <w:rsid w:val="0058316B"/>
    <w:rsid w:val="00583DCC"/>
    <w:rsid w:val="00584769"/>
    <w:rsid w:val="00585DD4"/>
    <w:rsid w:val="0058728B"/>
    <w:rsid w:val="00587B75"/>
    <w:rsid w:val="00590407"/>
    <w:rsid w:val="00590AA7"/>
    <w:rsid w:val="00591B53"/>
    <w:rsid w:val="00592393"/>
    <w:rsid w:val="005942DD"/>
    <w:rsid w:val="00594A50"/>
    <w:rsid w:val="0059502B"/>
    <w:rsid w:val="005952BE"/>
    <w:rsid w:val="0059623C"/>
    <w:rsid w:val="00596967"/>
    <w:rsid w:val="0059733B"/>
    <w:rsid w:val="00597C20"/>
    <w:rsid w:val="005A0633"/>
    <w:rsid w:val="005A21A8"/>
    <w:rsid w:val="005A2C8E"/>
    <w:rsid w:val="005A36D7"/>
    <w:rsid w:val="005A6048"/>
    <w:rsid w:val="005A7577"/>
    <w:rsid w:val="005B0631"/>
    <w:rsid w:val="005B3597"/>
    <w:rsid w:val="005B4391"/>
    <w:rsid w:val="005B5678"/>
    <w:rsid w:val="005B590B"/>
    <w:rsid w:val="005B65ED"/>
    <w:rsid w:val="005B6EF2"/>
    <w:rsid w:val="005B6F97"/>
    <w:rsid w:val="005C0B27"/>
    <w:rsid w:val="005C0DB8"/>
    <w:rsid w:val="005C1302"/>
    <w:rsid w:val="005C189B"/>
    <w:rsid w:val="005C279A"/>
    <w:rsid w:val="005C2829"/>
    <w:rsid w:val="005C33CA"/>
    <w:rsid w:val="005C38FC"/>
    <w:rsid w:val="005C3C61"/>
    <w:rsid w:val="005C454D"/>
    <w:rsid w:val="005C4FD5"/>
    <w:rsid w:val="005C5094"/>
    <w:rsid w:val="005C5751"/>
    <w:rsid w:val="005C6729"/>
    <w:rsid w:val="005C704E"/>
    <w:rsid w:val="005D0760"/>
    <w:rsid w:val="005D15AA"/>
    <w:rsid w:val="005D1FD9"/>
    <w:rsid w:val="005D4589"/>
    <w:rsid w:val="005D53F9"/>
    <w:rsid w:val="005D5694"/>
    <w:rsid w:val="005D56CB"/>
    <w:rsid w:val="005D6275"/>
    <w:rsid w:val="005D6516"/>
    <w:rsid w:val="005E1944"/>
    <w:rsid w:val="005E1F61"/>
    <w:rsid w:val="005E2A2B"/>
    <w:rsid w:val="005E5825"/>
    <w:rsid w:val="005E6020"/>
    <w:rsid w:val="005E60EA"/>
    <w:rsid w:val="005E65EA"/>
    <w:rsid w:val="005E7506"/>
    <w:rsid w:val="005F0555"/>
    <w:rsid w:val="005F2B9C"/>
    <w:rsid w:val="005F3B66"/>
    <w:rsid w:val="005F5119"/>
    <w:rsid w:val="005F532E"/>
    <w:rsid w:val="005F53FF"/>
    <w:rsid w:val="005F5567"/>
    <w:rsid w:val="005F6AF9"/>
    <w:rsid w:val="005F7012"/>
    <w:rsid w:val="005F7A10"/>
    <w:rsid w:val="005F7CCD"/>
    <w:rsid w:val="005F7DCE"/>
    <w:rsid w:val="006011B6"/>
    <w:rsid w:val="00602435"/>
    <w:rsid w:val="00602437"/>
    <w:rsid w:val="00602B85"/>
    <w:rsid w:val="0060420A"/>
    <w:rsid w:val="00604396"/>
    <w:rsid w:val="006044C2"/>
    <w:rsid w:val="00605DF1"/>
    <w:rsid w:val="00605E3F"/>
    <w:rsid w:val="00606147"/>
    <w:rsid w:val="00606D04"/>
    <w:rsid w:val="00607326"/>
    <w:rsid w:val="00610E60"/>
    <w:rsid w:val="0061160B"/>
    <w:rsid w:val="00611710"/>
    <w:rsid w:val="00611FFB"/>
    <w:rsid w:val="006130AF"/>
    <w:rsid w:val="006135FE"/>
    <w:rsid w:val="00613F54"/>
    <w:rsid w:val="006141E2"/>
    <w:rsid w:val="0061492C"/>
    <w:rsid w:val="006159D2"/>
    <w:rsid w:val="00615B49"/>
    <w:rsid w:val="00615DA1"/>
    <w:rsid w:val="00615E17"/>
    <w:rsid w:val="0061688D"/>
    <w:rsid w:val="00616A9F"/>
    <w:rsid w:val="00616FF4"/>
    <w:rsid w:val="00617421"/>
    <w:rsid w:val="0062045B"/>
    <w:rsid w:val="0062093F"/>
    <w:rsid w:val="006210B8"/>
    <w:rsid w:val="00621FA8"/>
    <w:rsid w:val="00622CFF"/>
    <w:rsid w:val="00623E6B"/>
    <w:rsid w:val="0062426F"/>
    <w:rsid w:val="00624B71"/>
    <w:rsid w:val="00624CDD"/>
    <w:rsid w:val="006254F0"/>
    <w:rsid w:val="00625977"/>
    <w:rsid w:val="006259DD"/>
    <w:rsid w:val="006264C0"/>
    <w:rsid w:val="00626658"/>
    <w:rsid w:val="00627AB8"/>
    <w:rsid w:val="00630599"/>
    <w:rsid w:val="0063066B"/>
    <w:rsid w:val="00630D1C"/>
    <w:rsid w:val="00631694"/>
    <w:rsid w:val="006320B3"/>
    <w:rsid w:val="00633188"/>
    <w:rsid w:val="006331EC"/>
    <w:rsid w:val="006344AB"/>
    <w:rsid w:val="00634F57"/>
    <w:rsid w:val="00635805"/>
    <w:rsid w:val="00635BEA"/>
    <w:rsid w:val="0063602D"/>
    <w:rsid w:val="0063653A"/>
    <w:rsid w:val="00636856"/>
    <w:rsid w:val="00636912"/>
    <w:rsid w:val="00637F99"/>
    <w:rsid w:val="006400CF"/>
    <w:rsid w:val="00640B0E"/>
    <w:rsid w:val="0064125E"/>
    <w:rsid w:val="00641370"/>
    <w:rsid w:val="00641D68"/>
    <w:rsid w:val="006431D6"/>
    <w:rsid w:val="00643B38"/>
    <w:rsid w:val="00644029"/>
    <w:rsid w:val="00645550"/>
    <w:rsid w:val="00646B94"/>
    <w:rsid w:val="00647199"/>
    <w:rsid w:val="00647611"/>
    <w:rsid w:val="00647662"/>
    <w:rsid w:val="00651435"/>
    <w:rsid w:val="00651800"/>
    <w:rsid w:val="006552F0"/>
    <w:rsid w:val="00657189"/>
    <w:rsid w:val="00660787"/>
    <w:rsid w:val="0066178C"/>
    <w:rsid w:val="00662882"/>
    <w:rsid w:val="00662E84"/>
    <w:rsid w:val="00665520"/>
    <w:rsid w:val="00670427"/>
    <w:rsid w:val="00671D28"/>
    <w:rsid w:val="00671EFE"/>
    <w:rsid w:val="00672DD9"/>
    <w:rsid w:val="006730D7"/>
    <w:rsid w:val="006734C7"/>
    <w:rsid w:val="006750C3"/>
    <w:rsid w:val="006759F1"/>
    <w:rsid w:val="006762EB"/>
    <w:rsid w:val="00677366"/>
    <w:rsid w:val="006802D7"/>
    <w:rsid w:val="0068033B"/>
    <w:rsid w:val="006816C2"/>
    <w:rsid w:val="0068195D"/>
    <w:rsid w:val="00681DD2"/>
    <w:rsid w:val="00683290"/>
    <w:rsid w:val="00683508"/>
    <w:rsid w:val="00683A0B"/>
    <w:rsid w:val="00684200"/>
    <w:rsid w:val="0068573F"/>
    <w:rsid w:val="00685917"/>
    <w:rsid w:val="00686007"/>
    <w:rsid w:val="00686714"/>
    <w:rsid w:val="006873C5"/>
    <w:rsid w:val="0069012C"/>
    <w:rsid w:val="00690470"/>
    <w:rsid w:val="0069059B"/>
    <w:rsid w:val="006907D8"/>
    <w:rsid w:val="00691FFC"/>
    <w:rsid w:val="006924F7"/>
    <w:rsid w:val="006944BC"/>
    <w:rsid w:val="006946EA"/>
    <w:rsid w:val="00695200"/>
    <w:rsid w:val="0069598B"/>
    <w:rsid w:val="00695A4D"/>
    <w:rsid w:val="00695BDA"/>
    <w:rsid w:val="006960A7"/>
    <w:rsid w:val="006960FA"/>
    <w:rsid w:val="00696A10"/>
    <w:rsid w:val="006A324D"/>
    <w:rsid w:val="006A3A17"/>
    <w:rsid w:val="006A4CA1"/>
    <w:rsid w:val="006A60E0"/>
    <w:rsid w:val="006B02F8"/>
    <w:rsid w:val="006B0FD5"/>
    <w:rsid w:val="006B1BAB"/>
    <w:rsid w:val="006B22E6"/>
    <w:rsid w:val="006B28CC"/>
    <w:rsid w:val="006B30C6"/>
    <w:rsid w:val="006B4304"/>
    <w:rsid w:val="006B4842"/>
    <w:rsid w:val="006C16E6"/>
    <w:rsid w:val="006D06EC"/>
    <w:rsid w:val="006D0B94"/>
    <w:rsid w:val="006D1282"/>
    <w:rsid w:val="006D1EA8"/>
    <w:rsid w:val="006D2B15"/>
    <w:rsid w:val="006D30EA"/>
    <w:rsid w:val="006D41CE"/>
    <w:rsid w:val="006D4978"/>
    <w:rsid w:val="006D63F7"/>
    <w:rsid w:val="006D675B"/>
    <w:rsid w:val="006D6E71"/>
    <w:rsid w:val="006D7400"/>
    <w:rsid w:val="006E065B"/>
    <w:rsid w:val="006E11B5"/>
    <w:rsid w:val="006E1F02"/>
    <w:rsid w:val="006E2717"/>
    <w:rsid w:val="006E2F65"/>
    <w:rsid w:val="006E3406"/>
    <w:rsid w:val="006E451A"/>
    <w:rsid w:val="006E48FC"/>
    <w:rsid w:val="006E4919"/>
    <w:rsid w:val="006E4FF3"/>
    <w:rsid w:val="006E5134"/>
    <w:rsid w:val="006E519E"/>
    <w:rsid w:val="006E5B27"/>
    <w:rsid w:val="006F027A"/>
    <w:rsid w:val="006F05AF"/>
    <w:rsid w:val="006F0830"/>
    <w:rsid w:val="006F08E1"/>
    <w:rsid w:val="006F0FCD"/>
    <w:rsid w:val="006F1264"/>
    <w:rsid w:val="006F1A84"/>
    <w:rsid w:val="006F3BFD"/>
    <w:rsid w:val="006F4B08"/>
    <w:rsid w:val="006F5131"/>
    <w:rsid w:val="006F5695"/>
    <w:rsid w:val="006F5F1F"/>
    <w:rsid w:val="006F69C8"/>
    <w:rsid w:val="0070078D"/>
    <w:rsid w:val="00701349"/>
    <w:rsid w:val="0070211C"/>
    <w:rsid w:val="007038B1"/>
    <w:rsid w:val="0070556A"/>
    <w:rsid w:val="007073E9"/>
    <w:rsid w:val="007079D2"/>
    <w:rsid w:val="00712728"/>
    <w:rsid w:val="00712E85"/>
    <w:rsid w:val="00714E35"/>
    <w:rsid w:val="007155F8"/>
    <w:rsid w:val="00715C00"/>
    <w:rsid w:val="007161B7"/>
    <w:rsid w:val="007174AE"/>
    <w:rsid w:val="00717631"/>
    <w:rsid w:val="0072112D"/>
    <w:rsid w:val="00722CC7"/>
    <w:rsid w:val="007230D9"/>
    <w:rsid w:val="00723228"/>
    <w:rsid w:val="00724ABF"/>
    <w:rsid w:val="007264C1"/>
    <w:rsid w:val="007265AC"/>
    <w:rsid w:val="007274EF"/>
    <w:rsid w:val="00727A8B"/>
    <w:rsid w:val="0073051F"/>
    <w:rsid w:val="00730F55"/>
    <w:rsid w:val="00731A88"/>
    <w:rsid w:val="0073352F"/>
    <w:rsid w:val="00735180"/>
    <w:rsid w:val="00735F52"/>
    <w:rsid w:val="00737C41"/>
    <w:rsid w:val="007404BA"/>
    <w:rsid w:val="0074056D"/>
    <w:rsid w:val="007412D7"/>
    <w:rsid w:val="00741318"/>
    <w:rsid w:val="007421B5"/>
    <w:rsid w:val="00742AB1"/>
    <w:rsid w:val="00746096"/>
    <w:rsid w:val="00747C9E"/>
    <w:rsid w:val="007500AB"/>
    <w:rsid w:val="00751EBB"/>
    <w:rsid w:val="00752F8E"/>
    <w:rsid w:val="00753F0E"/>
    <w:rsid w:val="00755E31"/>
    <w:rsid w:val="00755EA2"/>
    <w:rsid w:val="007564AA"/>
    <w:rsid w:val="00757EDC"/>
    <w:rsid w:val="0076024D"/>
    <w:rsid w:val="007628CA"/>
    <w:rsid w:val="00763E78"/>
    <w:rsid w:val="00764171"/>
    <w:rsid w:val="00765642"/>
    <w:rsid w:val="00765C31"/>
    <w:rsid w:val="00766786"/>
    <w:rsid w:val="00766A01"/>
    <w:rsid w:val="00767BAB"/>
    <w:rsid w:val="00770AAD"/>
    <w:rsid w:val="00770C72"/>
    <w:rsid w:val="00770F23"/>
    <w:rsid w:val="00771670"/>
    <w:rsid w:val="00772749"/>
    <w:rsid w:val="00774363"/>
    <w:rsid w:val="00774848"/>
    <w:rsid w:val="00777853"/>
    <w:rsid w:val="00777D19"/>
    <w:rsid w:val="00782555"/>
    <w:rsid w:val="00783054"/>
    <w:rsid w:val="0078336F"/>
    <w:rsid w:val="00783F41"/>
    <w:rsid w:val="00784265"/>
    <w:rsid w:val="00785B01"/>
    <w:rsid w:val="007868F9"/>
    <w:rsid w:val="007871E4"/>
    <w:rsid w:val="00790371"/>
    <w:rsid w:val="00790FDA"/>
    <w:rsid w:val="007927E8"/>
    <w:rsid w:val="0079393B"/>
    <w:rsid w:val="00793945"/>
    <w:rsid w:val="00793C74"/>
    <w:rsid w:val="007944E9"/>
    <w:rsid w:val="00795933"/>
    <w:rsid w:val="00796E5B"/>
    <w:rsid w:val="00797F48"/>
    <w:rsid w:val="007A002E"/>
    <w:rsid w:val="007A0DDE"/>
    <w:rsid w:val="007A1F42"/>
    <w:rsid w:val="007A2CE8"/>
    <w:rsid w:val="007A39AE"/>
    <w:rsid w:val="007A460E"/>
    <w:rsid w:val="007A4629"/>
    <w:rsid w:val="007A5619"/>
    <w:rsid w:val="007A5A1C"/>
    <w:rsid w:val="007A5DE8"/>
    <w:rsid w:val="007A60A4"/>
    <w:rsid w:val="007A6252"/>
    <w:rsid w:val="007A6CF4"/>
    <w:rsid w:val="007A6F9A"/>
    <w:rsid w:val="007A790D"/>
    <w:rsid w:val="007B05CA"/>
    <w:rsid w:val="007B07EC"/>
    <w:rsid w:val="007B102E"/>
    <w:rsid w:val="007B191B"/>
    <w:rsid w:val="007B1FE5"/>
    <w:rsid w:val="007B2196"/>
    <w:rsid w:val="007B23F1"/>
    <w:rsid w:val="007B2C56"/>
    <w:rsid w:val="007B2CF6"/>
    <w:rsid w:val="007B332B"/>
    <w:rsid w:val="007B34EA"/>
    <w:rsid w:val="007B3FE1"/>
    <w:rsid w:val="007B402A"/>
    <w:rsid w:val="007B4683"/>
    <w:rsid w:val="007B6310"/>
    <w:rsid w:val="007B6A43"/>
    <w:rsid w:val="007B727E"/>
    <w:rsid w:val="007B7634"/>
    <w:rsid w:val="007B7EC4"/>
    <w:rsid w:val="007C0153"/>
    <w:rsid w:val="007C1BFD"/>
    <w:rsid w:val="007C1E05"/>
    <w:rsid w:val="007C2758"/>
    <w:rsid w:val="007C2788"/>
    <w:rsid w:val="007C2E49"/>
    <w:rsid w:val="007C3DDA"/>
    <w:rsid w:val="007C4906"/>
    <w:rsid w:val="007C54A6"/>
    <w:rsid w:val="007C57A0"/>
    <w:rsid w:val="007C6342"/>
    <w:rsid w:val="007C6C99"/>
    <w:rsid w:val="007C71E7"/>
    <w:rsid w:val="007C7D58"/>
    <w:rsid w:val="007D2268"/>
    <w:rsid w:val="007D2FF3"/>
    <w:rsid w:val="007D4013"/>
    <w:rsid w:val="007D6688"/>
    <w:rsid w:val="007E1439"/>
    <w:rsid w:val="007E3580"/>
    <w:rsid w:val="007E3E41"/>
    <w:rsid w:val="007E4718"/>
    <w:rsid w:val="007E5588"/>
    <w:rsid w:val="007E5C2C"/>
    <w:rsid w:val="007E70B1"/>
    <w:rsid w:val="007E7548"/>
    <w:rsid w:val="007F336E"/>
    <w:rsid w:val="007F3D62"/>
    <w:rsid w:val="007F4BBF"/>
    <w:rsid w:val="007F6583"/>
    <w:rsid w:val="0080019A"/>
    <w:rsid w:val="00801B1A"/>
    <w:rsid w:val="00801B78"/>
    <w:rsid w:val="00801F81"/>
    <w:rsid w:val="008058D1"/>
    <w:rsid w:val="00806989"/>
    <w:rsid w:val="00807BF6"/>
    <w:rsid w:val="00807E1B"/>
    <w:rsid w:val="00810031"/>
    <w:rsid w:val="00810F6C"/>
    <w:rsid w:val="008121AC"/>
    <w:rsid w:val="00812972"/>
    <w:rsid w:val="008135F7"/>
    <w:rsid w:val="00813FCE"/>
    <w:rsid w:val="0081424D"/>
    <w:rsid w:val="0081429F"/>
    <w:rsid w:val="00814B2F"/>
    <w:rsid w:val="008179F4"/>
    <w:rsid w:val="008206CE"/>
    <w:rsid w:val="00821295"/>
    <w:rsid w:val="00822C6A"/>
    <w:rsid w:val="0082386C"/>
    <w:rsid w:val="00823C71"/>
    <w:rsid w:val="008251D4"/>
    <w:rsid w:val="00825695"/>
    <w:rsid w:val="00826DB3"/>
    <w:rsid w:val="0082782C"/>
    <w:rsid w:val="008306DE"/>
    <w:rsid w:val="0083137E"/>
    <w:rsid w:val="00831A34"/>
    <w:rsid w:val="00831F32"/>
    <w:rsid w:val="008320FC"/>
    <w:rsid w:val="008331CC"/>
    <w:rsid w:val="00833E51"/>
    <w:rsid w:val="00835765"/>
    <w:rsid w:val="008366F0"/>
    <w:rsid w:val="0083731E"/>
    <w:rsid w:val="00837895"/>
    <w:rsid w:val="0084069E"/>
    <w:rsid w:val="00840CB0"/>
    <w:rsid w:val="008416B0"/>
    <w:rsid w:val="00841A48"/>
    <w:rsid w:val="0084207F"/>
    <w:rsid w:val="00842B7B"/>
    <w:rsid w:val="008444A1"/>
    <w:rsid w:val="00844DA0"/>
    <w:rsid w:val="008454EA"/>
    <w:rsid w:val="0084552A"/>
    <w:rsid w:val="0084699B"/>
    <w:rsid w:val="008469F2"/>
    <w:rsid w:val="008478D9"/>
    <w:rsid w:val="008501B2"/>
    <w:rsid w:val="008503C9"/>
    <w:rsid w:val="00850A81"/>
    <w:rsid w:val="00851FDA"/>
    <w:rsid w:val="0085257E"/>
    <w:rsid w:val="00852749"/>
    <w:rsid w:val="0085366C"/>
    <w:rsid w:val="00853816"/>
    <w:rsid w:val="00853E7C"/>
    <w:rsid w:val="00854FF0"/>
    <w:rsid w:val="008554F1"/>
    <w:rsid w:val="00855BA2"/>
    <w:rsid w:val="00860351"/>
    <w:rsid w:val="00860DE9"/>
    <w:rsid w:val="00861540"/>
    <w:rsid w:val="0086188B"/>
    <w:rsid w:val="00863833"/>
    <w:rsid w:val="00863A22"/>
    <w:rsid w:val="00863EE1"/>
    <w:rsid w:val="00864657"/>
    <w:rsid w:val="00864922"/>
    <w:rsid w:val="008652AF"/>
    <w:rsid w:val="0086553C"/>
    <w:rsid w:val="00865918"/>
    <w:rsid w:val="00866D6A"/>
    <w:rsid w:val="00866D70"/>
    <w:rsid w:val="008726B8"/>
    <w:rsid w:val="008726FC"/>
    <w:rsid w:val="00872DD6"/>
    <w:rsid w:val="00872EEF"/>
    <w:rsid w:val="00874489"/>
    <w:rsid w:val="00874975"/>
    <w:rsid w:val="0087755C"/>
    <w:rsid w:val="008775D5"/>
    <w:rsid w:val="008812A2"/>
    <w:rsid w:val="00881F56"/>
    <w:rsid w:val="00882283"/>
    <w:rsid w:val="00883353"/>
    <w:rsid w:val="00884B77"/>
    <w:rsid w:val="00886356"/>
    <w:rsid w:val="00886717"/>
    <w:rsid w:val="008874B1"/>
    <w:rsid w:val="00887C19"/>
    <w:rsid w:val="008909EC"/>
    <w:rsid w:val="00890AE7"/>
    <w:rsid w:val="00890BD3"/>
    <w:rsid w:val="00890E45"/>
    <w:rsid w:val="00892EF0"/>
    <w:rsid w:val="00892F98"/>
    <w:rsid w:val="00894ED6"/>
    <w:rsid w:val="008957F8"/>
    <w:rsid w:val="0089592F"/>
    <w:rsid w:val="00895EBA"/>
    <w:rsid w:val="00896484"/>
    <w:rsid w:val="00896593"/>
    <w:rsid w:val="00896DE1"/>
    <w:rsid w:val="008970FC"/>
    <w:rsid w:val="00897C34"/>
    <w:rsid w:val="00897F65"/>
    <w:rsid w:val="008A198B"/>
    <w:rsid w:val="008A2793"/>
    <w:rsid w:val="008A431F"/>
    <w:rsid w:val="008A50B4"/>
    <w:rsid w:val="008A75EE"/>
    <w:rsid w:val="008B08EB"/>
    <w:rsid w:val="008B1FA5"/>
    <w:rsid w:val="008B2568"/>
    <w:rsid w:val="008B28DF"/>
    <w:rsid w:val="008B4327"/>
    <w:rsid w:val="008B44C4"/>
    <w:rsid w:val="008B573F"/>
    <w:rsid w:val="008B7D03"/>
    <w:rsid w:val="008C0DF8"/>
    <w:rsid w:val="008C10FE"/>
    <w:rsid w:val="008C117E"/>
    <w:rsid w:val="008C262C"/>
    <w:rsid w:val="008C2912"/>
    <w:rsid w:val="008C44BB"/>
    <w:rsid w:val="008C4A2C"/>
    <w:rsid w:val="008C7123"/>
    <w:rsid w:val="008D015B"/>
    <w:rsid w:val="008D0EF6"/>
    <w:rsid w:val="008D0F19"/>
    <w:rsid w:val="008D18E1"/>
    <w:rsid w:val="008D1BE5"/>
    <w:rsid w:val="008D3035"/>
    <w:rsid w:val="008D3C6A"/>
    <w:rsid w:val="008D4384"/>
    <w:rsid w:val="008D4531"/>
    <w:rsid w:val="008D4794"/>
    <w:rsid w:val="008D48CE"/>
    <w:rsid w:val="008D5917"/>
    <w:rsid w:val="008D7F57"/>
    <w:rsid w:val="008E179D"/>
    <w:rsid w:val="008E2E6E"/>
    <w:rsid w:val="008E3230"/>
    <w:rsid w:val="008E37DE"/>
    <w:rsid w:val="008E4C81"/>
    <w:rsid w:val="008E4FAA"/>
    <w:rsid w:val="008E528F"/>
    <w:rsid w:val="008E56EF"/>
    <w:rsid w:val="008E5BD0"/>
    <w:rsid w:val="008E5F21"/>
    <w:rsid w:val="008E64FB"/>
    <w:rsid w:val="008F0B01"/>
    <w:rsid w:val="008F17B6"/>
    <w:rsid w:val="008F1B7F"/>
    <w:rsid w:val="008F1E90"/>
    <w:rsid w:val="008F2337"/>
    <w:rsid w:val="008F288E"/>
    <w:rsid w:val="008F28EA"/>
    <w:rsid w:val="008F3465"/>
    <w:rsid w:val="008F36CC"/>
    <w:rsid w:val="008F483A"/>
    <w:rsid w:val="008F4AB2"/>
    <w:rsid w:val="008F4C64"/>
    <w:rsid w:val="008F5C5A"/>
    <w:rsid w:val="008F61ED"/>
    <w:rsid w:val="008F66EE"/>
    <w:rsid w:val="008F6A1D"/>
    <w:rsid w:val="0090062B"/>
    <w:rsid w:val="00900C2F"/>
    <w:rsid w:val="00900FD5"/>
    <w:rsid w:val="00901838"/>
    <w:rsid w:val="00902DD4"/>
    <w:rsid w:val="0090386A"/>
    <w:rsid w:val="00903D81"/>
    <w:rsid w:val="009045AE"/>
    <w:rsid w:val="00905810"/>
    <w:rsid w:val="0090723D"/>
    <w:rsid w:val="00910715"/>
    <w:rsid w:val="00910A93"/>
    <w:rsid w:val="009110F9"/>
    <w:rsid w:val="009118FF"/>
    <w:rsid w:val="009119F7"/>
    <w:rsid w:val="009120CD"/>
    <w:rsid w:val="009127F2"/>
    <w:rsid w:val="00912996"/>
    <w:rsid w:val="0091310E"/>
    <w:rsid w:val="00913B9E"/>
    <w:rsid w:val="0091408B"/>
    <w:rsid w:val="00914907"/>
    <w:rsid w:val="00920FC4"/>
    <w:rsid w:val="009223F8"/>
    <w:rsid w:val="00922D6E"/>
    <w:rsid w:val="0092403A"/>
    <w:rsid w:val="009248C2"/>
    <w:rsid w:val="00925718"/>
    <w:rsid w:val="00925C6E"/>
    <w:rsid w:val="00930DB9"/>
    <w:rsid w:val="00931967"/>
    <w:rsid w:val="00931A6E"/>
    <w:rsid w:val="00932036"/>
    <w:rsid w:val="009322BA"/>
    <w:rsid w:val="009324F7"/>
    <w:rsid w:val="0093387E"/>
    <w:rsid w:val="00933F74"/>
    <w:rsid w:val="00935715"/>
    <w:rsid w:val="00935FC2"/>
    <w:rsid w:val="009364CB"/>
    <w:rsid w:val="00936AB3"/>
    <w:rsid w:val="0093793F"/>
    <w:rsid w:val="009404C0"/>
    <w:rsid w:val="00940C72"/>
    <w:rsid w:val="00940FAA"/>
    <w:rsid w:val="00940FD5"/>
    <w:rsid w:val="0094242F"/>
    <w:rsid w:val="00942FD4"/>
    <w:rsid w:val="009451FD"/>
    <w:rsid w:val="00945AC4"/>
    <w:rsid w:val="0094686D"/>
    <w:rsid w:val="009474A6"/>
    <w:rsid w:val="0095016B"/>
    <w:rsid w:val="009510EF"/>
    <w:rsid w:val="00951241"/>
    <w:rsid w:val="0095130F"/>
    <w:rsid w:val="0095241C"/>
    <w:rsid w:val="00953123"/>
    <w:rsid w:val="00953ECC"/>
    <w:rsid w:val="00955598"/>
    <w:rsid w:val="00955A36"/>
    <w:rsid w:val="00955AAF"/>
    <w:rsid w:val="009565AB"/>
    <w:rsid w:val="00957172"/>
    <w:rsid w:val="00961587"/>
    <w:rsid w:val="00961695"/>
    <w:rsid w:val="009633C7"/>
    <w:rsid w:val="00964480"/>
    <w:rsid w:val="009649C1"/>
    <w:rsid w:val="00964D80"/>
    <w:rsid w:val="00964E64"/>
    <w:rsid w:val="00966C10"/>
    <w:rsid w:val="0096739B"/>
    <w:rsid w:val="00967867"/>
    <w:rsid w:val="00970D9C"/>
    <w:rsid w:val="00975750"/>
    <w:rsid w:val="00976BC1"/>
    <w:rsid w:val="00977350"/>
    <w:rsid w:val="00977457"/>
    <w:rsid w:val="00981CDD"/>
    <w:rsid w:val="009820D6"/>
    <w:rsid w:val="00982621"/>
    <w:rsid w:val="00982D2B"/>
    <w:rsid w:val="00983B3F"/>
    <w:rsid w:val="00983F93"/>
    <w:rsid w:val="009840EE"/>
    <w:rsid w:val="00984A97"/>
    <w:rsid w:val="00986946"/>
    <w:rsid w:val="0099033E"/>
    <w:rsid w:val="009913D4"/>
    <w:rsid w:val="009944C2"/>
    <w:rsid w:val="009956F8"/>
    <w:rsid w:val="009970B3"/>
    <w:rsid w:val="00997A8C"/>
    <w:rsid w:val="009A0575"/>
    <w:rsid w:val="009A0A20"/>
    <w:rsid w:val="009A12E9"/>
    <w:rsid w:val="009A1B52"/>
    <w:rsid w:val="009A2645"/>
    <w:rsid w:val="009A2D7D"/>
    <w:rsid w:val="009A2D9B"/>
    <w:rsid w:val="009A3062"/>
    <w:rsid w:val="009A33D4"/>
    <w:rsid w:val="009A3457"/>
    <w:rsid w:val="009A3809"/>
    <w:rsid w:val="009A3A72"/>
    <w:rsid w:val="009A447B"/>
    <w:rsid w:val="009A5761"/>
    <w:rsid w:val="009A5882"/>
    <w:rsid w:val="009A59DC"/>
    <w:rsid w:val="009A5EFA"/>
    <w:rsid w:val="009A60EC"/>
    <w:rsid w:val="009A7179"/>
    <w:rsid w:val="009B194B"/>
    <w:rsid w:val="009B3CE9"/>
    <w:rsid w:val="009B3ECD"/>
    <w:rsid w:val="009B53ED"/>
    <w:rsid w:val="009B6E87"/>
    <w:rsid w:val="009B6EF3"/>
    <w:rsid w:val="009B7DB3"/>
    <w:rsid w:val="009C1A6E"/>
    <w:rsid w:val="009C1FFE"/>
    <w:rsid w:val="009C2C71"/>
    <w:rsid w:val="009C2CFA"/>
    <w:rsid w:val="009C3DC0"/>
    <w:rsid w:val="009C4E53"/>
    <w:rsid w:val="009C5A6B"/>
    <w:rsid w:val="009C5B23"/>
    <w:rsid w:val="009C63DD"/>
    <w:rsid w:val="009C6550"/>
    <w:rsid w:val="009C7AE6"/>
    <w:rsid w:val="009D023F"/>
    <w:rsid w:val="009D09F6"/>
    <w:rsid w:val="009D0A17"/>
    <w:rsid w:val="009D0B1C"/>
    <w:rsid w:val="009D0E52"/>
    <w:rsid w:val="009D15E3"/>
    <w:rsid w:val="009D16C5"/>
    <w:rsid w:val="009D16E9"/>
    <w:rsid w:val="009D372A"/>
    <w:rsid w:val="009D4D7B"/>
    <w:rsid w:val="009D4EF5"/>
    <w:rsid w:val="009D61A8"/>
    <w:rsid w:val="009D70A1"/>
    <w:rsid w:val="009E3212"/>
    <w:rsid w:val="009E392B"/>
    <w:rsid w:val="009E42B3"/>
    <w:rsid w:val="009E4B83"/>
    <w:rsid w:val="009E4FB7"/>
    <w:rsid w:val="009E5F88"/>
    <w:rsid w:val="009E62A4"/>
    <w:rsid w:val="009E677D"/>
    <w:rsid w:val="009E7671"/>
    <w:rsid w:val="009F1735"/>
    <w:rsid w:val="009F1B97"/>
    <w:rsid w:val="009F1D04"/>
    <w:rsid w:val="009F24AE"/>
    <w:rsid w:val="009F3968"/>
    <w:rsid w:val="009F49D5"/>
    <w:rsid w:val="009F4D57"/>
    <w:rsid w:val="009F7DCC"/>
    <w:rsid w:val="00A000DE"/>
    <w:rsid w:val="00A00840"/>
    <w:rsid w:val="00A00885"/>
    <w:rsid w:val="00A0117D"/>
    <w:rsid w:val="00A01FAB"/>
    <w:rsid w:val="00A021DC"/>
    <w:rsid w:val="00A02AA5"/>
    <w:rsid w:val="00A02E6F"/>
    <w:rsid w:val="00A03901"/>
    <w:rsid w:val="00A04F5B"/>
    <w:rsid w:val="00A07AD0"/>
    <w:rsid w:val="00A10360"/>
    <w:rsid w:val="00A1060F"/>
    <w:rsid w:val="00A11724"/>
    <w:rsid w:val="00A11BFD"/>
    <w:rsid w:val="00A12059"/>
    <w:rsid w:val="00A12182"/>
    <w:rsid w:val="00A13680"/>
    <w:rsid w:val="00A1377E"/>
    <w:rsid w:val="00A14880"/>
    <w:rsid w:val="00A14E9D"/>
    <w:rsid w:val="00A1538D"/>
    <w:rsid w:val="00A15D64"/>
    <w:rsid w:val="00A16513"/>
    <w:rsid w:val="00A1695E"/>
    <w:rsid w:val="00A169C4"/>
    <w:rsid w:val="00A203B2"/>
    <w:rsid w:val="00A214D6"/>
    <w:rsid w:val="00A242B9"/>
    <w:rsid w:val="00A248C4"/>
    <w:rsid w:val="00A24C27"/>
    <w:rsid w:val="00A323FE"/>
    <w:rsid w:val="00A32854"/>
    <w:rsid w:val="00A32C18"/>
    <w:rsid w:val="00A33685"/>
    <w:rsid w:val="00A33687"/>
    <w:rsid w:val="00A35A37"/>
    <w:rsid w:val="00A37462"/>
    <w:rsid w:val="00A37820"/>
    <w:rsid w:val="00A40229"/>
    <w:rsid w:val="00A40466"/>
    <w:rsid w:val="00A41542"/>
    <w:rsid w:val="00A41875"/>
    <w:rsid w:val="00A422DD"/>
    <w:rsid w:val="00A428B0"/>
    <w:rsid w:val="00A43675"/>
    <w:rsid w:val="00A43818"/>
    <w:rsid w:val="00A43BF1"/>
    <w:rsid w:val="00A442F6"/>
    <w:rsid w:val="00A453DF"/>
    <w:rsid w:val="00A45753"/>
    <w:rsid w:val="00A521DA"/>
    <w:rsid w:val="00A52909"/>
    <w:rsid w:val="00A5551C"/>
    <w:rsid w:val="00A55FB6"/>
    <w:rsid w:val="00A5641A"/>
    <w:rsid w:val="00A56C29"/>
    <w:rsid w:val="00A57165"/>
    <w:rsid w:val="00A57F5F"/>
    <w:rsid w:val="00A6051C"/>
    <w:rsid w:val="00A60CBF"/>
    <w:rsid w:val="00A61A86"/>
    <w:rsid w:val="00A63630"/>
    <w:rsid w:val="00A63D28"/>
    <w:rsid w:val="00A63D3A"/>
    <w:rsid w:val="00A65721"/>
    <w:rsid w:val="00A6588C"/>
    <w:rsid w:val="00A6645D"/>
    <w:rsid w:val="00A66827"/>
    <w:rsid w:val="00A668F4"/>
    <w:rsid w:val="00A6797E"/>
    <w:rsid w:val="00A67BBA"/>
    <w:rsid w:val="00A70C2C"/>
    <w:rsid w:val="00A712EC"/>
    <w:rsid w:val="00A71852"/>
    <w:rsid w:val="00A71CAE"/>
    <w:rsid w:val="00A71ED0"/>
    <w:rsid w:val="00A74341"/>
    <w:rsid w:val="00A74631"/>
    <w:rsid w:val="00A7612E"/>
    <w:rsid w:val="00A76AFC"/>
    <w:rsid w:val="00A76EEC"/>
    <w:rsid w:val="00A77733"/>
    <w:rsid w:val="00A779FF"/>
    <w:rsid w:val="00A77F0D"/>
    <w:rsid w:val="00A811DB"/>
    <w:rsid w:val="00A81D67"/>
    <w:rsid w:val="00A827C3"/>
    <w:rsid w:val="00A82884"/>
    <w:rsid w:val="00A82DFE"/>
    <w:rsid w:val="00A8347C"/>
    <w:rsid w:val="00A85B59"/>
    <w:rsid w:val="00A86821"/>
    <w:rsid w:val="00A86A19"/>
    <w:rsid w:val="00A870C7"/>
    <w:rsid w:val="00A907E1"/>
    <w:rsid w:val="00A90DDB"/>
    <w:rsid w:val="00A929E1"/>
    <w:rsid w:val="00A95E66"/>
    <w:rsid w:val="00A95EB9"/>
    <w:rsid w:val="00A966DD"/>
    <w:rsid w:val="00A97756"/>
    <w:rsid w:val="00AA0250"/>
    <w:rsid w:val="00AA2246"/>
    <w:rsid w:val="00AA2F0F"/>
    <w:rsid w:val="00AA3194"/>
    <w:rsid w:val="00AA387F"/>
    <w:rsid w:val="00AA3F7A"/>
    <w:rsid w:val="00AA486C"/>
    <w:rsid w:val="00AA4B3A"/>
    <w:rsid w:val="00AA5CEC"/>
    <w:rsid w:val="00AA5E87"/>
    <w:rsid w:val="00AA60C0"/>
    <w:rsid w:val="00AA69F5"/>
    <w:rsid w:val="00AA794C"/>
    <w:rsid w:val="00AA7BAE"/>
    <w:rsid w:val="00AA7C01"/>
    <w:rsid w:val="00AA7EC9"/>
    <w:rsid w:val="00AB0B9E"/>
    <w:rsid w:val="00AB1344"/>
    <w:rsid w:val="00AB1A36"/>
    <w:rsid w:val="00AB1A60"/>
    <w:rsid w:val="00AB1C65"/>
    <w:rsid w:val="00AB26F0"/>
    <w:rsid w:val="00AB390D"/>
    <w:rsid w:val="00AB395C"/>
    <w:rsid w:val="00AB3AC1"/>
    <w:rsid w:val="00AB3B1F"/>
    <w:rsid w:val="00AB3E29"/>
    <w:rsid w:val="00AB3EEB"/>
    <w:rsid w:val="00AB4313"/>
    <w:rsid w:val="00AB545C"/>
    <w:rsid w:val="00AB5D31"/>
    <w:rsid w:val="00AB6BD0"/>
    <w:rsid w:val="00AC0184"/>
    <w:rsid w:val="00AC12C0"/>
    <w:rsid w:val="00AC1B31"/>
    <w:rsid w:val="00AC3B57"/>
    <w:rsid w:val="00AC4213"/>
    <w:rsid w:val="00AC587E"/>
    <w:rsid w:val="00AC61C7"/>
    <w:rsid w:val="00AD00AA"/>
    <w:rsid w:val="00AD0261"/>
    <w:rsid w:val="00AD0756"/>
    <w:rsid w:val="00AD0AE5"/>
    <w:rsid w:val="00AD1F57"/>
    <w:rsid w:val="00AD29A1"/>
    <w:rsid w:val="00AD3C70"/>
    <w:rsid w:val="00AD485A"/>
    <w:rsid w:val="00AD4EB8"/>
    <w:rsid w:val="00AD513D"/>
    <w:rsid w:val="00AD5FF3"/>
    <w:rsid w:val="00AD6017"/>
    <w:rsid w:val="00AD64C2"/>
    <w:rsid w:val="00AD6C2A"/>
    <w:rsid w:val="00AD6E77"/>
    <w:rsid w:val="00AD7575"/>
    <w:rsid w:val="00AD758D"/>
    <w:rsid w:val="00AD7603"/>
    <w:rsid w:val="00AD79DB"/>
    <w:rsid w:val="00AE01C8"/>
    <w:rsid w:val="00AE03C1"/>
    <w:rsid w:val="00AE0873"/>
    <w:rsid w:val="00AE1AEC"/>
    <w:rsid w:val="00AE1BA1"/>
    <w:rsid w:val="00AE1BF1"/>
    <w:rsid w:val="00AE2771"/>
    <w:rsid w:val="00AE2FC2"/>
    <w:rsid w:val="00AE4019"/>
    <w:rsid w:val="00AE46B7"/>
    <w:rsid w:val="00AE48CB"/>
    <w:rsid w:val="00AE5091"/>
    <w:rsid w:val="00AE6818"/>
    <w:rsid w:val="00AE71F7"/>
    <w:rsid w:val="00AF042E"/>
    <w:rsid w:val="00AF043D"/>
    <w:rsid w:val="00AF056A"/>
    <w:rsid w:val="00AF1619"/>
    <w:rsid w:val="00AF1D02"/>
    <w:rsid w:val="00AF295C"/>
    <w:rsid w:val="00AF3C55"/>
    <w:rsid w:val="00AF4ECE"/>
    <w:rsid w:val="00AF690F"/>
    <w:rsid w:val="00AF778B"/>
    <w:rsid w:val="00B0042A"/>
    <w:rsid w:val="00B00DDF"/>
    <w:rsid w:val="00B01A5A"/>
    <w:rsid w:val="00B02AEE"/>
    <w:rsid w:val="00B02F42"/>
    <w:rsid w:val="00B0307E"/>
    <w:rsid w:val="00B03558"/>
    <w:rsid w:val="00B03A89"/>
    <w:rsid w:val="00B0488E"/>
    <w:rsid w:val="00B050F0"/>
    <w:rsid w:val="00B0560B"/>
    <w:rsid w:val="00B0574F"/>
    <w:rsid w:val="00B057A7"/>
    <w:rsid w:val="00B071AC"/>
    <w:rsid w:val="00B071C3"/>
    <w:rsid w:val="00B07589"/>
    <w:rsid w:val="00B07FDD"/>
    <w:rsid w:val="00B10159"/>
    <w:rsid w:val="00B106D8"/>
    <w:rsid w:val="00B1153B"/>
    <w:rsid w:val="00B119BE"/>
    <w:rsid w:val="00B11BA0"/>
    <w:rsid w:val="00B129C1"/>
    <w:rsid w:val="00B147A2"/>
    <w:rsid w:val="00B14B58"/>
    <w:rsid w:val="00B17F50"/>
    <w:rsid w:val="00B213C0"/>
    <w:rsid w:val="00B21472"/>
    <w:rsid w:val="00B22058"/>
    <w:rsid w:val="00B2290D"/>
    <w:rsid w:val="00B22F18"/>
    <w:rsid w:val="00B23518"/>
    <w:rsid w:val="00B235ED"/>
    <w:rsid w:val="00B24527"/>
    <w:rsid w:val="00B25117"/>
    <w:rsid w:val="00B25120"/>
    <w:rsid w:val="00B25D54"/>
    <w:rsid w:val="00B26A31"/>
    <w:rsid w:val="00B26D2D"/>
    <w:rsid w:val="00B276C1"/>
    <w:rsid w:val="00B27CB2"/>
    <w:rsid w:val="00B27E55"/>
    <w:rsid w:val="00B30799"/>
    <w:rsid w:val="00B30A0F"/>
    <w:rsid w:val="00B30C7F"/>
    <w:rsid w:val="00B31761"/>
    <w:rsid w:val="00B31B26"/>
    <w:rsid w:val="00B334D1"/>
    <w:rsid w:val="00B33FAC"/>
    <w:rsid w:val="00B34E74"/>
    <w:rsid w:val="00B35119"/>
    <w:rsid w:val="00B3690D"/>
    <w:rsid w:val="00B36910"/>
    <w:rsid w:val="00B36B76"/>
    <w:rsid w:val="00B3706D"/>
    <w:rsid w:val="00B3716C"/>
    <w:rsid w:val="00B37BB2"/>
    <w:rsid w:val="00B40770"/>
    <w:rsid w:val="00B4089C"/>
    <w:rsid w:val="00B40B33"/>
    <w:rsid w:val="00B4152C"/>
    <w:rsid w:val="00B41E0F"/>
    <w:rsid w:val="00B4339C"/>
    <w:rsid w:val="00B43595"/>
    <w:rsid w:val="00B43C9F"/>
    <w:rsid w:val="00B443F9"/>
    <w:rsid w:val="00B4467C"/>
    <w:rsid w:val="00B454E3"/>
    <w:rsid w:val="00B46E10"/>
    <w:rsid w:val="00B473F2"/>
    <w:rsid w:val="00B47ECB"/>
    <w:rsid w:val="00B47FC3"/>
    <w:rsid w:val="00B50740"/>
    <w:rsid w:val="00B50D62"/>
    <w:rsid w:val="00B5184C"/>
    <w:rsid w:val="00B52DAA"/>
    <w:rsid w:val="00B5386F"/>
    <w:rsid w:val="00B54A10"/>
    <w:rsid w:val="00B56ED3"/>
    <w:rsid w:val="00B575F3"/>
    <w:rsid w:val="00B5779E"/>
    <w:rsid w:val="00B57B1D"/>
    <w:rsid w:val="00B60567"/>
    <w:rsid w:val="00B60EE5"/>
    <w:rsid w:val="00B63AFD"/>
    <w:rsid w:val="00B64C8F"/>
    <w:rsid w:val="00B64F4C"/>
    <w:rsid w:val="00B66B90"/>
    <w:rsid w:val="00B66D11"/>
    <w:rsid w:val="00B67C17"/>
    <w:rsid w:val="00B714D0"/>
    <w:rsid w:val="00B715F4"/>
    <w:rsid w:val="00B720B1"/>
    <w:rsid w:val="00B73A4E"/>
    <w:rsid w:val="00B73BF0"/>
    <w:rsid w:val="00B73D0B"/>
    <w:rsid w:val="00B7479A"/>
    <w:rsid w:val="00B74A3C"/>
    <w:rsid w:val="00B75C57"/>
    <w:rsid w:val="00B75D25"/>
    <w:rsid w:val="00B75E09"/>
    <w:rsid w:val="00B76414"/>
    <w:rsid w:val="00B76A81"/>
    <w:rsid w:val="00B77190"/>
    <w:rsid w:val="00B774B5"/>
    <w:rsid w:val="00B8032D"/>
    <w:rsid w:val="00B8087E"/>
    <w:rsid w:val="00B80B81"/>
    <w:rsid w:val="00B81836"/>
    <w:rsid w:val="00B82E1C"/>
    <w:rsid w:val="00B83647"/>
    <w:rsid w:val="00B83C47"/>
    <w:rsid w:val="00B84700"/>
    <w:rsid w:val="00B863D5"/>
    <w:rsid w:val="00B86A50"/>
    <w:rsid w:val="00B86C69"/>
    <w:rsid w:val="00B90A7C"/>
    <w:rsid w:val="00B91514"/>
    <w:rsid w:val="00B92205"/>
    <w:rsid w:val="00B92960"/>
    <w:rsid w:val="00B93365"/>
    <w:rsid w:val="00B93718"/>
    <w:rsid w:val="00B9376B"/>
    <w:rsid w:val="00B9399B"/>
    <w:rsid w:val="00B951C2"/>
    <w:rsid w:val="00B9643F"/>
    <w:rsid w:val="00B96609"/>
    <w:rsid w:val="00B96668"/>
    <w:rsid w:val="00B9669B"/>
    <w:rsid w:val="00B9695A"/>
    <w:rsid w:val="00B96BCA"/>
    <w:rsid w:val="00B9793C"/>
    <w:rsid w:val="00B97B5B"/>
    <w:rsid w:val="00BA3488"/>
    <w:rsid w:val="00BA3B15"/>
    <w:rsid w:val="00BA45AD"/>
    <w:rsid w:val="00BA47E6"/>
    <w:rsid w:val="00BA4BAA"/>
    <w:rsid w:val="00BA6501"/>
    <w:rsid w:val="00BA67DA"/>
    <w:rsid w:val="00BA711A"/>
    <w:rsid w:val="00BA7ADD"/>
    <w:rsid w:val="00BB13AE"/>
    <w:rsid w:val="00BB1F1B"/>
    <w:rsid w:val="00BB2406"/>
    <w:rsid w:val="00BB25F0"/>
    <w:rsid w:val="00BB31BC"/>
    <w:rsid w:val="00BB33F2"/>
    <w:rsid w:val="00BB5704"/>
    <w:rsid w:val="00BB5DDF"/>
    <w:rsid w:val="00BB60DC"/>
    <w:rsid w:val="00BB616C"/>
    <w:rsid w:val="00BB6FC1"/>
    <w:rsid w:val="00BB704F"/>
    <w:rsid w:val="00BB7384"/>
    <w:rsid w:val="00BC100A"/>
    <w:rsid w:val="00BC14E2"/>
    <w:rsid w:val="00BC3533"/>
    <w:rsid w:val="00BC4568"/>
    <w:rsid w:val="00BC5153"/>
    <w:rsid w:val="00BC5A69"/>
    <w:rsid w:val="00BC6073"/>
    <w:rsid w:val="00BC6BFA"/>
    <w:rsid w:val="00BD1188"/>
    <w:rsid w:val="00BD4603"/>
    <w:rsid w:val="00BD4959"/>
    <w:rsid w:val="00BD4990"/>
    <w:rsid w:val="00BD4BCE"/>
    <w:rsid w:val="00BD5832"/>
    <w:rsid w:val="00BD5F18"/>
    <w:rsid w:val="00BD7A67"/>
    <w:rsid w:val="00BE04FF"/>
    <w:rsid w:val="00BE067C"/>
    <w:rsid w:val="00BE08C4"/>
    <w:rsid w:val="00BE11AE"/>
    <w:rsid w:val="00BE1A85"/>
    <w:rsid w:val="00BE1CEF"/>
    <w:rsid w:val="00BE1E1E"/>
    <w:rsid w:val="00BE3CDB"/>
    <w:rsid w:val="00BE3E18"/>
    <w:rsid w:val="00BE412F"/>
    <w:rsid w:val="00BE42D4"/>
    <w:rsid w:val="00BE465B"/>
    <w:rsid w:val="00BE561B"/>
    <w:rsid w:val="00BE573F"/>
    <w:rsid w:val="00BE684B"/>
    <w:rsid w:val="00BE7D89"/>
    <w:rsid w:val="00BF16BC"/>
    <w:rsid w:val="00BF1D10"/>
    <w:rsid w:val="00BF2365"/>
    <w:rsid w:val="00BF3D60"/>
    <w:rsid w:val="00BF427E"/>
    <w:rsid w:val="00BF43ED"/>
    <w:rsid w:val="00BF452F"/>
    <w:rsid w:val="00BF5886"/>
    <w:rsid w:val="00BF7828"/>
    <w:rsid w:val="00BF7A6A"/>
    <w:rsid w:val="00C0026F"/>
    <w:rsid w:val="00C0097D"/>
    <w:rsid w:val="00C00AC8"/>
    <w:rsid w:val="00C0438C"/>
    <w:rsid w:val="00C04C42"/>
    <w:rsid w:val="00C07877"/>
    <w:rsid w:val="00C07A7C"/>
    <w:rsid w:val="00C1145D"/>
    <w:rsid w:val="00C13299"/>
    <w:rsid w:val="00C13A15"/>
    <w:rsid w:val="00C13BEC"/>
    <w:rsid w:val="00C1436D"/>
    <w:rsid w:val="00C14C95"/>
    <w:rsid w:val="00C15013"/>
    <w:rsid w:val="00C1540A"/>
    <w:rsid w:val="00C15AF3"/>
    <w:rsid w:val="00C15DA7"/>
    <w:rsid w:val="00C16169"/>
    <w:rsid w:val="00C1698B"/>
    <w:rsid w:val="00C169BE"/>
    <w:rsid w:val="00C16F1A"/>
    <w:rsid w:val="00C2050A"/>
    <w:rsid w:val="00C21909"/>
    <w:rsid w:val="00C21A2F"/>
    <w:rsid w:val="00C23730"/>
    <w:rsid w:val="00C2536E"/>
    <w:rsid w:val="00C25939"/>
    <w:rsid w:val="00C2673C"/>
    <w:rsid w:val="00C26A69"/>
    <w:rsid w:val="00C26C1D"/>
    <w:rsid w:val="00C26D7B"/>
    <w:rsid w:val="00C27BD6"/>
    <w:rsid w:val="00C30BD3"/>
    <w:rsid w:val="00C330D2"/>
    <w:rsid w:val="00C33175"/>
    <w:rsid w:val="00C332B4"/>
    <w:rsid w:val="00C332D4"/>
    <w:rsid w:val="00C33E18"/>
    <w:rsid w:val="00C34C59"/>
    <w:rsid w:val="00C35012"/>
    <w:rsid w:val="00C35C2A"/>
    <w:rsid w:val="00C35FC9"/>
    <w:rsid w:val="00C3681E"/>
    <w:rsid w:val="00C37010"/>
    <w:rsid w:val="00C376A8"/>
    <w:rsid w:val="00C407BE"/>
    <w:rsid w:val="00C40ACF"/>
    <w:rsid w:val="00C40B12"/>
    <w:rsid w:val="00C40E55"/>
    <w:rsid w:val="00C4587C"/>
    <w:rsid w:val="00C45B43"/>
    <w:rsid w:val="00C46152"/>
    <w:rsid w:val="00C461B8"/>
    <w:rsid w:val="00C47545"/>
    <w:rsid w:val="00C47867"/>
    <w:rsid w:val="00C50EB9"/>
    <w:rsid w:val="00C50F08"/>
    <w:rsid w:val="00C52AD4"/>
    <w:rsid w:val="00C52BD8"/>
    <w:rsid w:val="00C53A25"/>
    <w:rsid w:val="00C53C59"/>
    <w:rsid w:val="00C54787"/>
    <w:rsid w:val="00C56E04"/>
    <w:rsid w:val="00C57222"/>
    <w:rsid w:val="00C577A5"/>
    <w:rsid w:val="00C60EF0"/>
    <w:rsid w:val="00C633B3"/>
    <w:rsid w:val="00C651F5"/>
    <w:rsid w:val="00C709AB"/>
    <w:rsid w:val="00C72363"/>
    <w:rsid w:val="00C73227"/>
    <w:rsid w:val="00C74669"/>
    <w:rsid w:val="00C74E37"/>
    <w:rsid w:val="00C74E9A"/>
    <w:rsid w:val="00C75DF1"/>
    <w:rsid w:val="00C81B44"/>
    <w:rsid w:val="00C82163"/>
    <w:rsid w:val="00C821A1"/>
    <w:rsid w:val="00C83DCD"/>
    <w:rsid w:val="00C859CE"/>
    <w:rsid w:val="00C85BAE"/>
    <w:rsid w:val="00C85C55"/>
    <w:rsid w:val="00C85F0F"/>
    <w:rsid w:val="00C86D3D"/>
    <w:rsid w:val="00C87D15"/>
    <w:rsid w:val="00C933BB"/>
    <w:rsid w:val="00C933CD"/>
    <w:rsid w:val="00C95443"/>
    <w:rsid w:val="00C9554A"/>
    <w:rsid w:val="00C956B4"/>
    <w:rsid w:val="00C96871"/>
    <w:rsid w:val="00C97663"/>
    <w:rsid w:val="00C97845"/>
    <w:rsid w:val="00C97B8A"/>
    <w:rsid w:val="00CA06C6"/>
    <w:rsid w:val="00CA0A28"/>
    <w:rsid w:val="00CA0ACB"/>
    <w:rsid w:val="00CA12C2"/>
    <w:rsid w:val="00CA19E4"/>
    <w:rsid w:val="00CA1ECF"/>
    <w:rsid w:val="00CA2A73"/>
    <w:rsid w:val="00CA2D76"/>
    <w:rsid w:val="00CA3049"/>
    <w:rsid w:val="00CA5010"/>
    <w:rsid w:val="00CA535A"/>
    <w:rsid w:val="00CA5D8F"/>
    <w:rsid w:val="00CA6E98"/>
    <w:rsid w:val="00CA7937"/>
    <w:rsid w:val="00CB029F"/>
    <w:rsid w:val="00CB14DC"/>
    <w:rsid w:val="00CB1A66"/>
    <w:rsid w:val="00CB5722"/>
    <w:rsid w:val="00CB5E35"/>
    <w:rsid w:val="00CB6849"/>
    <w:rsid w:val="00CB737C"/>
    <w:rsid w:val="00CB78B1"/>
    <w:rsid w:val="00CC0901"/>
    <w:rsid w:val="00CC1637"/>
    <w:rsid w:val="00CC16EF"/>
    <w:rsid w:val="00CC17B4"/>
    <w:rsid w:val="00CC34E3"/>
    <w:rsid w:val="00CC3EE2"/>
    <w:rsid w:val="00CC47BA"/>
    <w:rsid w:val="00CC559A"/>
    <w:rsid w:val="00CD0A75"/>
    <w:rsid w:val="00CD0FB7"/>
    <w:rsid w:val="00CD22F1"/>
    <w:rsid w:val="00CD323B"/>
    <w:rsid w:val="00CD49F1"/>
    <w:rsid w:val="00CD4D4F"/>
    <w:rsid w:val="00CD5014"/>
    <w:rsid w:val="00CD5330"/>
    <w:rsid w:val="00CD5467"/>
    <w:rsid w:val="00CD56C4"/>
    <w:rsid w:val="00CD5DFD"/>
    <w:rsid w:val="00CD6BA1"/>
    <w:rsid w:val="00CD6DF1"/>
    <w:rsid w:val="00CD7598"/>
    <w:rsid w:val="00CD7CC0"/>
    <w:rsid w:val="00CE11C3"/>
    <w:rsid w:val="00CE1C6C"/>
    <w:rsid w:val="00CE2EB9"/>
    <w:rsid w:val="00CE32F4"/>
    <w:rsid w:val="00CE3A7C"/>
    <w:rsid w:val="00CE4916"/>
    <w:rsid w:val="00CE4EC6"/>
    <w:rsid w:val="00CE61CE"/>
    <w:rsid w:val="00CE68C2"/>
    <w:rsid w:val="00CE6960"/>
    <w:rsid w:val="00CE6B25"/>
    <w:rsid w:val="00CE711D"/>
    <w:rsid w:val="00CE7DB5"/>
    <w:rsid w:val="00CF1846"/>
    <w:rsid w:val="00CF3E28"/>
    <w:rsid w:val="00CF3FBC"/>
    <w:rsid w:val="00CF6339"/>
    <w:rsid w:val="00D00476"/>
    <w:rsid w:val="00D00A58"/>
    <w:rsid w:val="00D01B2D"/>
    <w:rsid w:val="00D01E38"/>
    <w:rsid w:val="00D041AF"/>
    <w:rsid w:val="00D0482B"/>
    <w:rsid w:val="00D06346"/>
    <w:rsid w:val="00D06379"/>
    <w:rsid w:val="00D06594"/>
    <w:rsid w:val="00D06D7D"/>
    <w:rsid w:val="00D100F9"/>
    <w:rsid w:val="00D10AE0"/>
    <w:rsid w:val="00D129F0"/>
    <w:rsid w:val="00D1370F"/>
    <w:rsid w:val="00D16E48"/>
    <w:rsid w:val="00D1746D"/>
    <w:rsid w:val="00D178DF"/>
    <w:rsid w:val="00D17979"/>
    <w:rsid w:val="00D17CD2"/>
    <w:rsid w:val="00D201CC"/>
    <w:rsid w:val="00D20662"/>
    <w:rsid w:val="00D20E0B"/>
    <w:rsid w:val="00D20FD7"/>
    <w:rsid w:val="00D2210C"/>
    <w:rsid w:val="00D22803"/>
    <w:rsid w:val="00D22935"/>
    <w:rsid w:val="00D23C82"/>
    <w:rsid w:val="00D24526"/>
    <w:rsid w:val="00D24977"/>
    <w:rsid w:val="00D25493"/>
    <w:rsid w:val="00D25A6D"/>
    <w:rsid w:val="00D25E91"/>
    <w:rsid w:val="00D25F15"/>
    <w:rsid w:val="00D276F8"/>
    <w:rsid w:val="00D277A7"/>
    <w:rsid w:val="00D31112"/>
    <w:rsid w:val="00D315A5"/>
    <w:rsid w:val="00D315C2"/>
    <w:rsid w:val="00D31900"/>
    <w:rsid w:val="00D3267C"/>
    <w:rsid w:val="00D32BF5"/>
    <w:rsid w:val="00D3367E"/>
    <w:rsid w:val="00D36423"/>
    <w:rsid w:val="00D36C65"/>
    <w:rsid w:val="00D372CE"/>
    <w:rsid w:val="00D37334"/>
    <w:rsid w:val="00D41110"/>
    <w:rsid w:val="00D41AE1"/>
    <w:rsid w:val="00D428FA"/>
    <w:rsid w:val="00D430E0"/>
    <w:rsid w:val="00D44334"/>
    <w:rsid w:val="00D464C4"/>
    <w:rsid w:val="00D47FF6"/>
    <w:rsid w:val="00D509F4"/>
    <w:rsid w:val="00D514D2"/>
    <w:rsid w:val="00D5163B"/>
    <w:rsid w:val="00D51BA8"/>
    <w:rsid w:val="00D52370"/>
    <w:rsid w:val="00D5341F"/>
    <w:rsid w:val="00D53ACD"/>
    <w:rsid w:val="00D53F55"/>
    <w:rsid w:val="00D54649"/>
    <w:rsid w:val="00D55333"/>
    <w:rsid w:val="00D55E68"/>
    <w:rsid w:val="00D564C0"/>
    <w:rsid w:val="00D564C3"/>
    <w:rsid w:val="00D569FA"/>
    <w:rsid w:val="00D56CA7"/>
    <w:rsid w:val="00D60CB4"/>
    <w:rsid w:val="00D61DF9"/>
    <w:rsid w:val="00D62354"/>
    <w:rsid w:val="00D624DD"/>
    <w:rsid w:val="00D62D3E"/>
    <w:rsid w:val="00D64015"/>
    <w:rsid w:val="00D64C8A"/>
    <w:rsid w:val="00D653A7"/>
    <w:rsid w:val="00D65437"/>
    <w:rsid w:val="00D65656"/>
    <w:rsid w:val="00D65D30"/>
    <w:rsid w:val="00D662E0"/>
    <w:rsid w:val="00D66E41"/>
    <w:rsid w:val="00D67B70"/>
    <w:rsid w:val="00D713F5"/>
    <w:rsid w:val="00D721A3"/>
    <w:rsid w:val="00D733BA"/>
    <w:rsid w:val="00D7400D"/>
    <w:rsid w:val="00D741DC"/>
    <w:rsid w:val="00D742A4"/>
    <w:rsid w:val="00D745AB"/>
    <w:rsid w:val="00D7493E"/>
    <w:rsid w:val="00D74CC0"/>
    <w:rsid w:val="00D7537E"/>
    <w:rsid w:val="00D75AED"/>
    <w:rsid w:val="00D760F4"/>
    <w:rsid w:val="00D76BE4"/>
    <w:rsid w:val="00D77425"/>
    <w:rsid w:val="00D80F33"/>
    <w:rsid w:val="00D816CC"/>
    <w:rsid w:val="00D82122"/>
    <w:rsid w:val="00D82F52"/>
    <w:rsid w:val="00D858FA"/>
    <w:rsid w:val="00D867A2"/>
    <w:rsid w:val="00D87E06"/>
    <w:rsid w:val="00D87E43"/>
    <w:rsid w:val="00D9035A"/>
    <w:rsid w:val="00D9143B"/>
    <w:rsid w:val="00D917C1"/>
    <w:rsid w:val="00D91EDF"/>
    <w:rsid w:val="00D9224A"/>
    <w:rsid w:val="00D926C2"/>
    <w:rsid w:val="00D92D30"/>
    <w:rsid w:val="00D92F88"/>
    <w:rsid w:val="00D936AB"/>
    <w:rsid w:val="00DA26F6"/>
    <w:rsid w:val="00DA3546"/>
    <w:rsid w:val="00DA3DA0"/>
    <w:rsid w:val="00DA493C"/>
    <w:rsid w:val="00DA5406"/>
    <w:rsid w:val="00DA6C6A"/>
    <w:rsid w:val="00DB0C53"/>
    <w:rsid w:val="00DB17C3"/>
    <w:rsid w:val="00DB2B5C"/>
    <w:rsid w:val="00DB2EB3"/>
    <w:rsid w:val="00DB3ECE"/>
    <w:rsid w:val="00DB450C"/>
    <w:rsid w:val="00DB48EF"/>
    <w:rsid w:val="00DB4D97"/>
    <w:rsid w:val="00DB6118"/>
    <w:rsid w:val="00DB6406"/>
    <w:rsid w:val="00DB69B2"/>
    <w:rsid w:val="00DB6D71"/>
    <w:rsid w:val="00DC2EED"/>
    <w:rsid w:val="00DC323E"/>
    <w:rsid w:val="00DC355D"/>
    <w:rsid w:val="00DC357C"/>
    <w:rsid w:val="00DC3634"/>
    <w:rsid w:val="00DC4758"/>
    <w:rsid w:val="00DC59C4"/>
    <w:rsid w:val="00DC7BA3"/>
    <w:rsid w:val="00DC7CD0"/>
    <w:rsid w:val="00DC7F4B"/>
    <w:rsid w:val="00DD044B"/>
    <w:rsid w:val="00DD19C7"/>
    <w:rsid w:val="00DD210E"/>
    <w:rsid w:val="00DD298D"/>
    <w:rsid w:val="00DD2EEF"/>
    <w:rsid w:val="00DD31C7"/>
    <w:rsid w:val="00DD480D"/>
    <w:rsid w:val="00DD4A9C"/>
    <w:rsid w:val="00DD595C"/>
    <w:rsid w:val="00DD59BA"/>
    <w:rsid w:val="00DD6245"/>
    <w:rsid w:val="00DD678A"/>
    <w:rsid w:val="00DD67CF"/>
    <w:rsid w:val="00DD7807"/>
    <w:rsid w:val="00DD7AA9"/>
    <w:rsid w:val="00DD7DD4"/>
    <w:rsid w:val="00DE08D6"/>
    <w:rsid w:val="00DE3BB1"/>
    <w:rsid w:val="00DE3F96"/>
    <w:rsid w:val="00DE5D3B"/>
    <w:rsid w:val="00DE68C7"/>
    <w:rsid w:val="00DE6AA0"/>
    <w:rsid w:val="00DE73DC"/>
    <w:rsid w:val="00DE7967"/>
    <w:rsid w:val="00DF0395"/>
    <w:rsid w:val="00DF0744"/>
    <w:rsid w:val="00DF0B6B"/>
    <w:rsid w:val="00DF187C"/>
    <w:rsid w:val="00DF222F"/>
    <w:rsid w:val="00DF244D"/>
    <w:rsid w:val="00DF32B5"/>
    <w:rsid w:val="00DF34E9"/>
    <w:rsid w:val="00DF3DC2"/>
    <w:rsid w:val="00DF4499"/>
    <w:rsid w:val="00DF572F"/>
    <w:rsid w:val="00DF5B13"/>
    <w:rsid w:val="00DF6683"/>
    <w:rsid w:val="00DF6CD7"/>
    <w:rsid w:val="00DF7D27"/>
    <w:rsid w:val="00DF7FDB"/>
    <w:rsid w:val="00E0101F"/>
    <w:rsid w:val="00E02630"/>
    <w:rsid w:val="00E03C89"/>
    <w:rsid w:val="00E042D5"/>
    <w:rsid w:val="00E060BD"/>
    <w:rsid w:val="00E0721F"/>
    <w:rsid w:val="00E107E7"/>
    <w:rsid w:val="00E109BF"/>
    <w:rsid w:val="00E11918"/>
    <w:rsid w:val="00E11D56"/>
    <w:rsid w:val="00E11FAB"/>
    <w:rsid w:val="00E129F3"/>
    <w:rsid w:val="00E131E4"/>
    <w:rsid w:val="00E13C32"/>
    <w:rsid w:val="00E13E02"/>
    <w:rsid w:val="00E13EBE"/>
    <w:rsid w:val="00E1444D"/>
    <w:rsid w:val="00E15229"/>
    <w:rsid w:val="00E1618F"/>
    <w:rsid w:val="00E162E6"/>
    <w:rsid w:val="00E1798A"/>
    <w:rsid w:val="00E205A6"/>
    <w:rsid w:val="00E206AA"/>
    <w:rsid w:val="00E21031"/>
    <w:rsid w:val="00E21433"/>
    <w:rsid w:val="00E21C6C"/>
    <w:rsid w:val="00E22C45"/>
    <w:rsid w:val="00E22C73"/>
    <w:rsid w:val="00E23816"/>
    <w:rsid w:val="00E244FD"/>
    <w:rsid w:val="00E24DED"/>
    <w:rsid w:val="00E257ED"/>
    <w:rsid w:val="00E26217"/>
    <w:rsid w:val="00E269AD"/>
    <w:rsid w:val="00E273F0"/>
    <w:rsid w:val="00E27822"/>
    <w:rsid w:val="00E27972"/>
    <w:rsid w:val="00E27F3A"/>
    <w:rsid w:val="00E27FD9"/>
    <w:rsid w:val="00E3039D"/>
    <w:rsid w:val="00E30CBD"/>
    <w:rsid w:val="00E310CB"/>
    <w:rsid w:val="00E31177"/>
    <w:rsid w:val="00E3179F"/>
    <w:rsid w:val="00E3260C"/>
    <w:rsid w:val="00E32F32"/>
    <w:rsid w:val="00E3372F"/>
    <w:rsid w:val="00E354D2"/>
    <w:rsid w:val="00E35B26"/>
    <w:rsid w:val="00E35ED5"/>
    <w:rsid w:val="00E36E3D"/>
    <w:rsid w:val="00E3703F"/>
    <w:rsid w:val="00E37224"/>
    <w:rsid w:val="00E375B5"/>
    <w:rsid w:val="00E3787A"/>
    <w:rsid w:val="00E416B5"/>
    <w:rsid w:val="00E41CF2"/>
    <w:rsid w:val="00E4218E"/>
    <w:rsid w:val="00E454AB"/>
    <w:rsid w:val="00E46BFD"/>
    <w:rsid w:val="00E46FB5"/>
    <w:rsid w:val="00E4713B"/>
    <w:rsid w:val="00E4746A"/>
    <w:rsid w:val="00E4792B"/>
    <w:rsid w:val="00E51D72"/>
    <w:rsid w:val="00E51E88"/>
    <w:rsid w:val="00E5216A"/>
    <w:rsid w:val="00E53843"/>
    <w:rsid w:val="00E53CE8"/>
    <w:rsid w:val="00E53F00"/>
    <w:rsid w:val="00E54921"/>
    <w:rsid w:val="00E54CA2"/>
    <w:rsid w:val="00E551F0"/>
    <w:rsid w:val="00E554C9"/>
    <w:rsid w:val="00E55EEE"/>
    <w:rsid w:val="00E57D51"/>
    <w:rsid w:val="00E61CDC"/>
    <w:rsid w:val="00E6261F"/>
    <w:rsid w:val="00E62B65"/>
    <w:rsid w:val="00E63327"/>
    <w:rsid w:val="00E63C6D"/>
    <w:rsid w:val="00E6514B"/>
    <w:rsid w:val="00E654A5"/>
    <w:rsid w:val="00E65A2C"/>
    <w:rsid w:val="00E710BD"/>
    <w:rsid w:val="00E716C1"/>
    <w:rsid w:val="00E71F94"/>
    <w:rsid w:val="00E72A60"/>
    <w:rsid w:val="00E73B7B"/>
    <w:rsid w:val="00E74C2E"/>
    <w:rsid w:val="00E759AC"/>
    <w:rsid w:val="00E76DB2"/>
    <w:rsid w:val="00E77E23"/>
    <w:rsid w:val="00E77E3B"/>
    <w:rsid w:val="00E804FF"/>
    <w:rsid w:val="00E8065C"/>
    <w:rsid w:val="00E807B5"/>
    <w:rsid w:val="00E80CDC"/>
    <w:rsid w:val="00E80E5D"/>
    <w:rsid w:val="00E814A0"/>
    <w:rsid w:val="00E81538"/>
    <w:rsid w:val="00E828CB"/>
    <w:rsid w:val="00E843E0"/>
    <w:rsid w:val="00E85B94"/>
    <w:rsid w:val="00E86244"/>
    <w:rsid w:val="00E87217"/>
    <w:rsid w:val="00E874DB"/>
    <w:rsid w:val="00E875E8"/>
    <w:rsid w:val="00E90490"/>
    <w:rsid w:val="00E90BA9"/>
    <w:rsid w:val="00E90F51"/>
    <w:rsid w:val="00E91582"/>
    <w:rsid w:val="00E9258C"/>
    <w:rsid w:val="00E930B8"/>
    <w:rsid w:val="00E930D4"/>
    <w:rsid w:val="00E94570"/>
    <w:rsid w:val="00E95022"/>
    <w:rsid w:val="00E96788"/>
    <w:rsid w:val="00E96C09"/>
    <w:rsid w:val="00EA1AAD"/>
    <w:rsid w:val="00EA21BD"/>
    <w:rsid w:val="00EA2BD7"/>
    <w:rsid w:val="00EA2C14"/>
    <w:rsid w:val="00EA39D3"/>
    <w:rsid w:val="00EA3D34"/>
    <w:rsid w:val="00EA4890"/>
    <w:rsid w:val="00EA6198"/>
    <w:rsid w:val="00EA7848"/>
    <w:rsid w:val="00EB00A3"/>
    <w:rsid w:val="00EB05B7"/>
    <w:rsid w:val="00EB1405"/>
    <w:rsid w:val="00EB60EC"/>
    <w:rsid w:val="00EB7862"/>
    <w:rsid w:val="00EB78A3"/>
    <w:rsid w:val="00EC0771"/>
    <w:rsid w:val="00EC298B"/>
    <w:rsid w:val="00EC33FB"/>
    <w:rsid w:val="00EC5622"/>
    <w:rsid w:val="00EC6501"/>
    <w:rsid w:val="00ED2FBB"/>
    <w:rsid w:val="00ED3461"/>
    <w:rsid w:val="00ED3919"/>
    <w:rsid w:val="00ED4C59"/>
    <w:rsid w:val="00ED53D5"/>
    <w:rsid w:val="00ED67F4"/>
    <w:rsid w:val="00ED68B6"/>
    <w:rsid w:val="00ED68CE"/>
    <w:rsid w:val="00ED6CE2"/>
    <w:rsid w:val="00EE1613"/>
    <w:rsid w:val="00EE1933"/>
    <w:rsid w:val="00EE1A85"/>
    <w:rsid w:val="00EE1E0A"/>
    <w:rsid w:val="00EE31EA"/>
    <w:rsid w:val="00EE4769"/>
    <w:rsid w:val="00EE57EC"/>
    <w:rsid w:val="00EE67FB"/>
    <w:rsid w:val="00EE6CBE"/>
    <w:rsid w:val="00EE7D87"/>
    <w:rsid w:val="00EF0477"/>
    <w:rsid w:val="00EF1161"/>
    <w:rsid w:val="00EF121B"/>
    <w:rsid w:val="00EF2EBC"/>
    <w:rsid w:val="00EF4B6F"/>
    <w:rsid w:val="00EF5527"/>
    <w:rsid w:val="00EF605B"/>
    <w:rsid w:val="00F0024F"/>
    <w:rsid w:val="00F00AD6"/>
    <w:rsid w:val="00F01274"/>
    <w:rsid w:val="00F02A31"/>
    <w:rsid w:val="00F042EC"/>
    <w:rsid w:val="00F044B9"/>
    <w:rsid w:val="00F05069"/>
    <w:rsid w:val="00F05D2C"/>
    <w:rsid w:val="00F06593"/>
    <w:rsid w:val="00F07DF3"/>
    <w:rsid w:val="00F101FD"/>
    <w:rsid w:val="00F105F1"/>
    <w:rsid w:val="00F10FEB"/>
    <w:rsid w:val="00F11C35"/>
    <w:rsid w:val="00F12748"/>
    <w:rsid w:val="00F128C5"/>
    <w:rsid w:val="00F13023"/>
    <w:rsid w:val="00F13303"/>
    <w:rsid w:val="00F13B33"/>
    <w:rsid w:val="00F13B78"/>
    <w:rsid w:val="00F148DD"/>
    <w:rsid w:val="00F15252"/>
    <w:rsid w:val="00F15C5B"/>
    <w:rsid w:val="00F1756E"/>
    <w:rsid w:val="00F17D85"/>
    <w:rsid w:val="00F202CA"/>
    <w:rsid w:val="00F21708"/>
    <w:rsid w:val="00F228A9"/>
    <w:rsid w:val="00F22B82"/>
    <w:rsid w:val="00F23297"/>
    <w:rsid w:val="00F237DA"/>
    <w:rsid w:val="00F25C3C"/>
    <w:rsid w:val="00F26329"/>
    <w:rsid w:val="00F26353"/>
    <w:rsid w:val="00F26A80"/>
    <w:rsid w:val="00F27542"/>
    <w:rsid w:val="00F304FC"/>
    <w:rsid w:val="00F31D19"/>
    <w:rsid w:val="00F32B62"/>
    <w:rsid w:val="00F338C3"/>
    <w:rsid w:val="00F341EE"/>
    <w:rsid w:val="00F34333"/>
    <w:rsid w:val="00F34776"/>
    <w:rsid w:val="00F350DE"/>
    <w:rsid w:val="00F35FF0"/>
    <w:rsid w:val="00F36702"/>
    <w:rsid w:val="00F37AD2"/>
    <w:rsid w:val="00F41B4D"/>
    <w:rsid w:val="00F42A8E"/>
    <w:rsid w:val="00F42EDF"/>
    <w:rsid w:val="00F46329"/>
    <w:rsid w:val="00F464F6"/>
    <w:rsid w:val="00F4758B"/>
    <w:rsid w:val="00F478D9"/>
    <w:rsid w:val="00F51285"/>
    <w:rsid w:val="00F53048"/>
    <w:rsid w:val="00F539EA"/>
    <w:rsid w:val="00F540AA"/>
    <w:rsid w:val="00F558A7"/>
    <w:rsid w:val="00F55948"/>
    <w:rsid w:val="00F563AE"/>
    <w:rsid w:val="00F5707A"/>
    <w:rsid w:val="00F60BF3"/>
    <w:rsid w:val="00F61CCF"/>
    <w:rsid w:val="00F636B6"/>
    <w:rsid w:val="00F6382B"/>
    <w:rsid w:val="00F63D33"/>
    <w:rsid w:val="00F63E02"/>
    <w:rsid w:val="00F645EE"/>
    <w:rsid w:val="00F646AD"/>
    <w:rsid w:val="00F65015"/>
    <w:rsid w:val="00F65539"/>
    <w:rsid w:val="00F665A6"/>
    <w:rsid w:val="00F66DBB"/>
    <w:rsid w:val="00F67955"/>
    <w:rsid w:val="00F67EA6"/>
    <w:rsid w:val="00F70505"/>
    <w:rsid w:val="00F706D7"/>
    <w:rsid w:val="00F70C80"/>
    <w:rsid w:val="00F7255C"/>
    <w:rsid w:val="00F72816"/>
    <w:rsid w:val="00F73A5D"/>
    <w:rsid w:val="00F73C2F"/>
    <w:rsid w:val="00F76EA4"/>
    <w:rsid w:val="00F776BA"/>
    <w:rsid w:val="00F81791"/>
    <w:rsid w:val="00F81F18"/>
    <w:rsid w:val="00F822A5"/>
    <w:rsid w:val="00F831DF"/>
    <w:rsid w:val="00F835D6"/>
    <w:rsid w:val="00F835FE"/>
    <w:rsid w:val="00F837F9"/>
    <w:rsid w:val="00F83ABD"/>
    <w:rsid w:val="00F83D66"/>
    <w:rsid w:val="00F84702"/>
    <w:rsid w:val="00F84DDD"/>
    <w:rsid w:val="00F8592C"/>
    <w:rsid w:val="00F86310"/>
    <w:rsid w:val="00F86527"/>
    <w:rsid w:val="00F87283"/>
    <w:rsid w:val="00F87330"/>
    <w:rsid w:val="00F87F6B"/>
    <w:rsid w:val="00F90A99"/>
    <w:rsid w:val="00F912F1"/>
    <w:rsid w:val="00F9141C"/>
    <w:rsid w:val="00F925E5"/>
    <w:rsid w:val="00F9281A"/>
    <w:rsid w:val="00F92D3C"/>
    <w:rsid w:val="00F92E51"/>
    <w:rsid w:val="00F93E72"/>
    <w:rsid w:val="00F959B7"/>
    <w:rsid w:val="00F967A6"/>
    <w:rsid w:val="00F968B3"/>
    <w:rsid w:val="00FA056A"/>
    <w:rsid w:val="00FA06ED"/>
    <w:rsid w:val="00FA3484"/>
    <w:rsid w:val="00FA3AB4"/>
    <w:rsid w:val="00FA4309"/>
    <w:rsid w:val="00FA4422"/>
    <w:rsid w:val="00FA577A"/>
    <w:rsid w:val="00FA5AFB"/>
    <w:rsid w:val="00FA76B9"/>
    <w:rsid w:val="00FA7962"/>
    <w:rsid w:val="00FA79C9"/>
    <w:rsid w:val="00FB0118"/>
    <w:rsid w:val="00FB0AB6"/>
    <w:rsid w:val="00FB0CD8"/>
    <w:rsid w:val="00FB1694"/>
    <w:rsid w:val="00FB170A"/>
    <w:rsid w:val="00FB1ADA"/>
    <w:rsid w:val="00FB374C"/>
    <w:rsid w:val="00FB449C"/>
    <w:rsid w:val="00FB45BC"/>
    <w:rsid w:val="00FB54E9"/>
    <w:rsid w:val="00FB61AE"/>
    <w:rsid w:val="00FB6886"/>
    <w:rsid w:val="00FB6D5F"/>
    <w:rsid w:val="00FB76CC"/>
    <w:rsid w:val="00FB770A"/>
    <w:rsid w:val="00FC149C"/>
    <w:rsid w:val="00FC17F3"/>
    <w:rsid w:val="00FC32C5"/>
    <w:rsid w:val="00FC3BF1"/>
    <w:rsid w:val="00FC407C"/>
    <w:rsid w:val="00FC502C"/>
    <w:rsid w:val="00FC5E12"/>
    <w:rsid w:val="00FD0768"/>
    <w:rsid w:val="00FD1650"/>
    <w:rsid w:val="00FD2A4D"/>
    <w:rsid w:val="00FD3233"/>
    <w:rsid w:val="00FD340B"/>
    <w:rsid w:val="00FD3C88"/>
    <w:rsid w:val="00FD5687"/>
    <w:rsid w:val="00FD682D"/>
    <w:rsid w:val="00FD6CFC"/>
    <w:rsid w:val="00FD7180"/>
    <w:rsid w:val="00FD7699"/>
    <w:rsid w:val="00FD7D26"/>
    <w:rsid w:val="00FE12C7"/>
    <w:rsid w:val="00FE332F"/>
    <w:rsid w:val="00FE6214"/>
    <w:rsid w:val="00FE6FFF"/>
    <w:rsid w:val="00FE722E"/>
    <w:rsid w:val="00FF1471"/>
    <w:rsid w:val="00FF2A1F"/>
    <w:rsid w:val="00FF3117"/>
    <w:rsid w:val="00FF37C2"/>
    <w:rsid w:val="00FF4079"/>
    <w:rsid w:val="00FF4149"/>
    <w:rsid w:val="00FF4366"/>
    <w:rsid w:val="00FF4671"/>
    <w:rsid w:val="00FF5151"/>
    <w:rsid w:val="00FF52EC"/>
    <w:rsid w:val="00FF5579"/>
    <w:rsid w:val="00FF5745"/>
    <w:rsid w:val="00FF6320"/>
    <w:rsid w:val="00FF671E"/>
    <w:rsid w:val="00FF6F06"/>
    <w:rsid w:val="00FF7262"/>
    <w:rsid w:val="00FF7336"/>
    <w:rsid w:val="00FF7EF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3">
    <w:name w:val="Normal"/>
    <w:qFormat/>
    <w:rsid w:val="004F64E0"/>
    <w:pPr>
      <w:widowControl w:val="0"/>
      <w:bidi/>
      <w:ind w:firstLine="454"/>
      <w:jc w:val="both"/>
    </w:pPr>
    <w:rPr>
      <w:rFonts w:cs="Traditional Arabic"/>
      <w:noProof/>
      <w:color w:val="000000"/>
      <w:sz w:val="36"/>
      <w:szCs w:val="36"/>
      <w:lang w:eastAsia="ar-SA"/>
    </w:rPr>
  </w:style>
  <w:style w:type="paragraph" w:styleId="1">
    <w:name w:val="heading 1"/>
    <w:next w:val="a3"/>
    <w:link w:val="1Char"/>
    <w:qFormat/>
    <w:rsid w:val="00772749"/>
    <w:pPr>
      <w:keepNext/>
      <w:spacing w:after="240"/>
      <w:outlineLvl w:val="0"/>
    </w:pPr>
    <w:rPr>
      <w:rFonts w:cs="Traditional Arabic"/>
      <w:b/>
      <w:bCs/>
      <w:noProof/>
      <w:color w:val="000000"/>
      <w:kern w:val="32"/>
      <w:sz w:val="32"/>
      <w:szCs w:val="44"/>
      <w:lang w:eastAsia="ar-SA"/>
    </w:rPr>
  </w:style>
  <w:style w:type="paragraph" w:styleId="2">
    <w:name w:val="heading 2"/>
    <w:next w:val="a3"/>
    <w:link w:val="2Char"/>
    <w:qFormat/>
    <w:rsid w:val="00283A88"/>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3"/>
    <w:link w:val="3Char"/>
    <w:qFormat/>
    <w:rsid w:val="00283A88"/>
    <w:pPr>
      <w:keepNext/>
      <w:spacing w:before="240" w:after="60"/>
      <w:outlineLvl w:val="2"/>
    </w:pPr>
    <w:rPr>
      <w:rFonts w:ascii="Arial" w:hAnsi="Arial" w:cs="Arial"/>
      <w:b/>
      <w:bCs/>
      <w:noProof/>
      <w:color w:val="000000"/>
      <w:sz w:val="26"/>
      <w:szCs w:val="26"/>
      <w:lang w:eastAsia="ar-SA"/>
    </w:rPr>
  </w:style>
  <w:style w:type="paragraph" w:styleId="4">
    <w:name w:val="heading 4"/>
    <w:next w:val="a3"/>
    <w:link w:val="4Char"/>
    <w:qFormat/>
    <w:rsid w:val="00283A88"/>
    <w:pPr>
      <w:keepNext/>
      <w:spacing w:before="240" w:after="60"/>
      <w:outlineLvl w:val="3"/>
    </w:pPr>
    <w:rPr>
      <w:b/>
      <w:bCs/>
      <w:noProof/>
      <w:color w:val="000000"/>
      <w:sz w:val="28"/>
      <w:szCs w:val="28"/>
      <w:lang w:eastAsia="ar-SA"/>
    </w:rPr>
  </w:style>
  <w:style w:type="paragraph" w:styleId="5">
    <w:name w:val="heading 5"/>
    <w:next w:val="a3"/>
    <w:link w:val="5Char"/>
    <w:qFormat/>
    <w:rsid w:val="00C07A7C"/>
    <w:pPr>
      <w:keepNext/>
      <w:keepLines/>
      <w:spacing w:before="240" w:after="60"/>
      <w:jc w:val="right"/>
      <w:outlineLvl w:val="4"/>
    </w:pPr>
    <w:rPr>
      <w:rFonts w:ascii="Tahoma" w:hAnsi="Tahoma" w:cs="Traditional Arabic"/>
      <w:b/>
      <w:bCs/>
      <w:i/>
      <w:iCs/>
      <w:noProof/>
      <w:color w:val="000000"/>
      <w:sz w:val="26"/>
      <w:szCs w:val="26"/>
      <w:lang w:eastAsia="ar-SA"/>
    </w:rPr>
  </w:style>
  <w:style w:type="paragraph" w:styleId="6">
    <w:name w:val="heading 6"/>
    <w:next w:val="a3"/>
    <w:link w:val="6Char"/>
    <w:qFormat/>
    <w:rsid w:val="00283A88"/>
    <w:pPr>
      <w:spacing w:before="240" w:after="60"/>
      <w:outlineLvl w:val="5"/>
    </w:pPr>
    <w:rPr>
      <w:b/>
      <w:bCs/>
      <w:noProof/>
      <w:color w:val="000000"/>
      <w:sz w:val="22"/>
      <w:szCs w:val="22"/>
      <w:lang w:eastAsia="ar-SA"/>
    </w:rPr>
  </w:style>
  <w:style w:type="paragraph" w:styleId="7">
    <w:name w:val="heading 7"/>
    <w:next w:val="a3"/>
    <w:link w:val="7Char"/>
    <w:qFormat/>
    <w:rsid w:val="00283A88"/>
    <w:pPr>
      <w:spacing w:before="240" w:after="60"/>
      <w:outlineLvl w:val="6"/>
    </w:pPr>
    <w:rPr>
      <w:noProof/>
      <w:color w:val="000000"/>
      <w:sz w:val="24"/>
      <w:szCs w:val="24"/>
      <w:lang w:eastAsia="ar-SA"/>
    </w:rPr>
  </w:style>
  <w:style w:type="paragraph" w:styleId="8">
    <w:name w:val="heading 8"/>
    <w:next w:val="a3"/>
    <w:link w:val="8Char"/>
    <w:qFormat/>
    <w:rsid w:val="00283A88"/>
    <w:pPr>
      <w:spacing w:before="240" w:after="60"/>
      <w:outlineLvl w:val="7"/>
    </w:pPr>
    <w:rPr>
      <w:i/>
      <w:iCs/>
      <w:noProof/>
      <w:color w:val="000000"/>
      <w:sz w:val="24"/>
      <w:szCs w:val="24"/>
      <w:lang w:eastAsia="ar-SA"/>
    </w:rPr>
  </w:style>
  <w:style w:type="paragraph" w:styleId="9">
    <w:name w:val="heading 9"/>
    <w:next w:val="a3"/>
    <w:link w:val="9Char"/>
    <w:qFormat/>
    <w:rsid w:val="00283A88"/>
    <w:pPr>
      <w:spacing w:before="240" w:after="60"/>
      <w:outlineLvl w:val="8"/>
    </w:pPr>
    <w:rPr>
      <w:rFonts w:ascii="Arial" w:hAnsi="Arial" w:cs="Arial"/>
      <w:noProof/>
      <w:color w:val="000000"/>
      <w:sz w:val="22"/>
      <w:szCs w:val="22"/>
      <w:lang w:eastAsia="ar-SA"/>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footnote text"/>
    <w:basedOn w:val="a3"/>
    <w:link w:val="Char"/>
    <w:rsid w:val="00283A88"/>
    <w:pPr>
      <w:ind w:left="454" w:hanging="454"/>
    </w:pPr>
    <w:rPr>
      <w:sz w:val="28"/>
      <w:szCs w:val="28"/>
    </w:rPr>
  </w:style>
  <w:style w:type="paragraph" w:customStyle="1" w:styleId="11">
    <w:name w:val="عنوان 11"/>
    <w:next w:val="a3"/>
    <w:rsid w:val="00283A88"/>
    <w:rPr>
      <w:rFonts w:ascii="Tahoma" w:hAnsi="Tahoma" w:cs="Andalus"/>
      <w:b/>
      <w:bCs/>
      <w:color w:val="000000"/>
      <w:sz w:val="40"/>
      <w:szCs w:val="40"/>
      <w:lang w:eastAsia="ar-SA"/>
    </w:rPr>
  </w:style>
  <w:style w:type="paragraph" w:customStyle="1" w:styleId="10">
    <w:name w:val="عنوان 10"/>
    <w:next w:val="a3"/>
    <w:rsid w:val="00283A88"/>
    <w:pPr>
      <w:bidi/>
    </w:pPr>
    <w:rPr>
      <w:rFonts w:ascii="Tahoma" w:hAnsi="Tahoma" w:cs="Monotype Koufi"/>
      <w:bCs/>
      <w:color w:val="000000"/>
      <w:sz w:val="36"/>
      <w:szCs w:val="40"/>
      <w:lang w:eastAsia="ar-SA"/>
    </w:rPr>
  </w:style>
  <w:style w:type="paragraph" w:customStyle="1" w:styleId="12">
    <w:name w:val="عنوان 12"/>
    <w:next w:val="a3"/>
    <w:rsid w:val="00283A88"/>
    <w:rPr>
      <w:b/>
      <w:bCs/>
      <w:color w:val="000000"/>
      <w:sz w:val="40"/>
      <w:szCs w:val="40"/>
      <w:lang w:eastAsia="ar-SA"/>
    </w:rPr>
  </w:style>
  <w:style w:type="paragraph" w:customStyle="1" w:styleId="13">
    <w:name w:val="عنوان 13"/>
    <w:next w:val="a3"/>
    <w:rsid w:val="00283A88"/>
    <w:rPr>
      <w:rFonts w:ascii="Tahoma" w:hAnsi="Tahoma" w:cs="Simplified Arabic"/>
      <w:b/>
      <w:bCs/>
      <w:i/>
      <w:iCs/>
      <w:color w:val="000000"/>
      <w:sz w:val="36"/>
      <w:szCs w:val="36"/>
      <w:lang w:eastAsia="ar-SA"/>
    </w:rPr>
  </w:style>
  <w:style w:type="paragraph" w:customStyle="1" w:styleId="14">
    <w:name w:val="عنوان 14"/>
    <w:next w:val="a3"/>
    <w:rsid w:val="00283A88"/>
    <w:rPr>
      <w:rFonts w:ascii="Tahoma" w:hAnsi="Tahoma" w:cs="Traditional Arabic"/>
      <w:b/>
      <w:bCs/>
      <w:color w:val="000000"/>
      <w:sz w:val="32"/>
      <w:szCs w:val="32"/>
      <w:lang w:eastAsia="ar-SA"/>
    </w:rPr>
  </w:style>
  <w:style w:type="paragraph" w:styleId="Index1">
    <w:name w:val="index 1"/>
    <w:basedOn w:val="a3"/>
    <w:next w:val="a3"/>
    <w:autoRedefine/>
    <w:rsid w:val="00C46152"/>
    <w:pPr>
      <w:tabs>
        <w:tab w:val="right" w:leader="dot" w:pos="8777"/>
      </w:tabs>
      <w:ind w:firstLine="0"/>
    </w:pPr>
  </w:style>
  <w:style w:type="numbering" w:customStyle="1" w:styleId="a">
    <w:name w:val="ترقيم نقطي"/>
    <w:rsid w:val="00283A88"/>
    <w:pPr>
      <w:numPr>
        <w:numId w:val="3"/>
      </w:numPr>
    </w:pPr>
  </w:style>
  <w:style w:type="paragraph" w:styleId="Index2">
    <w:name w:val="index 2"/>
    <w:basedOn w:val="a3"/>
    <w:next w:val="a3"/>
    <w:autoRedefine/>
    <w:rsid w:val="00283A88"/>
    <w:pPr>
      <w:ind w:left="720" w:hanging="360"/>
    </w:pPr>
  </w:style>
  <w:style w:type="character" w:styleId="a8">
    <w:name w:val="FollowedHyperlink"/>
    <w:basedOn w:val="a4"/>
    <w:rsid w:val="00283A88"/>
    <w:rPr>
      <w:color w:val="800080"/>
      <w:u w:val="none"/>
    </w:rPr>
  </w:style>
  <w:style w:type="paragraph" w:styleId="Index3">
    <w:name w:val="index 3"/>
    <w:basedOn w:val="a3"/>
    <w:next w:val="a3"/>
    <w:autoRedefine/>
    <w:rsid w:val="00283A88"/>
    <w:pPr>
      <w:ind w:left="1080" w:hanging="360"/>
    </w:pPr>
  </w:style>
  <w:style w:type="numbering" w:customStyle="1" w:styleId="a2">
    <w:name w:val="ترقيم بحروف بمستويين"/>
    <w:rsid w:val="00283A88"/>
    <w:pPr>
      <w:numPr>
        <w:numId w:val="2"/>
      </w:numPr>
    </w:pPr>
  </w:style>
  <w:style w:type="paragraph" w:styleId="Index4">
    <w:name w:val="index 4"/>
    <w:basedOn w:val="a3"/>
    <w:next w:val="a3"/>
    <w:autoRedefine/>
    <w:rsid w:val="00283A88"/>
    <w:pPr>
      <w:ind w:left="1440" w:hanging="360"/>
    </w:pPr>
  </w:style>
  <w:style w:type="paragraph" w:styleId="Index5">
    <w:name w:val="index 5"/>
    <w:basedOn w:val="a3"/>
    <w:next w:val="a3"/>
    <w:autoRedefine/>
    <w:rsid w:val="00283A88"/>
    <w:pPr>
      <w:ind w:left="1800" w:hanging="360"/>
    </w:pPr>
  </w:style>
  <w:style w:type="numbering" w:customStyle="1" w:styleId="a0">
    <w:name w:val="ترقيم بثلاثة مستويات"/>
    <w:rsid w:val="00283A88"/>
    <w:pPr>
      <w:numPr>
        <w:numId w:val="1"/>
      </w:numPr>
    </w:pPr>
  </w:style>
  <w:style w:type="paragraph" w:styleId="Index6">
    <w:name w:val="index 6"/>
    <w:basedOn w:val="a3"/>
    <w:next w:val="a3"/>
    <w:autoRedefine/>
    <w:rsid w:val="00283A88"/>
    <w:pPr>
      <w:ind w:left="2160" w:hanging="360"/>
    </w:pPr>
  </w:style>
  <w:style w:type="paragraph" w:styleId="Index7">
    <w:name w:val="index 7"/>
    <w:basedOn w:val="a3"/>
    <w:next w:val="a3"/>
    <w:autoRedefine/>
    <w:rsid w:val="00283A88"/>
    <w:pPr>
      <w:ind w:left="2520" w:hanging="360"/>
    </w:pPr>
  </w:style>
  <w:style w:type="paragraph" w:styleId="Index8">
    <w:name w:val="index 8"/>
    <w:basedOn w:val="a3"/>
    <w:next w:val="a3"/>
    <w:autoRedefine/>
    <w:rsid w:val="00283A88"/>
    <w:pPr>
      <w:ind w:left="2880" w:hanging="360"/>
    </w:pPr>
  </w:style>
  <w:style w:type="paragraph" w:styleId="Index9">
    <w:name w:val="index 9"/>
    <w:basedOn w:val="a3"/>
    <w:next w:val="a3"/>
    <w:autoRedefine/>
    <w:rsid w:val="00283A88"/>
    <w:pPr>
      <w:ind w:left="3240" w:hanging="360"/>
    </w:pPr>
  </w:style>
  <w:style w:type="paragraph" w:styleId="a9">
    <w:name w:val="table of figures"/>
    <w:basedOn w:val="a3"/>
    <w:next w:val="a3"/>
    <w:rsid w:val="00283A88"/>
    <w:pPr>
      <w:ind w:left="720" w:hanging="720"/>
    </w:pPr>
  </w:style>
  <w:style w:type="paragraph" w:styleId="15">
    <w:name w:val="toc 1"/>
    <w:basedOn w:val="a3"/>
    <w:next w:val="a3"/>
    <w:autoRedefine/>
    <w:rsid w:val="00B057A7"/>
    <w:pPr>
      <w:keepNext/>
      <w:keepLines/>
      <w:widowControl/>
      <w:tabs>
        <w:tab w:val="right" w:leader="dot" w:pos="8777"/>
      </w:tabs>
      <w:spacing w:before="600"/>
      <w:ind w:left="567" w:hanging="567"/>
    </w:pPr>
    <w:rPr>
      <w:rFonts w:cs="Andalus"/>
      <w:b/>
      <w:bCs/>
    </w:rPr>
  </w:style>
  <w:style w:type="paragraph" w:styleId="20">
    <w:name w:val="toc 2"/>
    <w:basedOn w:val="a3"/>
    <w:next w:val="a3"/>
    <w:autoRedefine/>
    <w:rsid w:val="00B057A7"/>
    <w:pPr>
      <w:keepNext/>
      <w:keepLines/>
      <w:widowControl/>
      <w:tabs>
        <w:tab w:val="right" w:leader="dot" w:pos="8777"/>
      </w:tabs>
      <w:spacing w:before="360" w:after="120"/>
      <w:ind w:left="1588" w:hanging="1134"/>
    </w:pPr>
    <w:rPr>
      <w:bCs/>
    </w:rPr>
  </w:style>
  <w:style w:type="paragraph" w:styleId="30">
    <w:name w:val="toc 3"/>
    <w:basedOn w:val="a3"/>
    <w:next w:val="a3"/>
    <w:autoRedefine/>
    <w:rsid w:val="00B057A7"/>
    <w:pPr>
      <w:keepNext/>
      <w:keepLines/>
      <w:widowControl/>
      <w:tabs>
        <w:tab w:val="right" w:leader="dot" w:pos="8777"/>
      </w:tabs>
      <w:spacing w:before="240"/>
      <w:ind w:left="1474" w:hanging="567"/>
    </w:pPr>
    <w:rPr>
      <w:b/>
      <w:bCs/>
    </w:rPr>
  </w:style>
  <w:style w:type="paragraph" w:styleId="40">
    <w:name w:val="toc 4"/>
    <w:basedOn w:val="a3"/>
    <w:next w:val="a3"/>
    <w:autoRedefine/>
    <w:rsid w:val="00B057A7"/>
    <w:pPr>
      <w:tabs>
        <w:tab w:val="right" w:leader="dot" w:pos="8777"/>
      </w:tabs>
      <w:ind w:left="2041" w:hanging="567"/>
    </w:pPr>
  </w:style>
  <w:style w:type="paragraph" w:styleId="50">
    <w:name w:val="toc 5"/>
    <w:basedOn w:val="a3"/>
    <w:next w:val="a3"/>
    <w:autoRedefine/>
    <w:rsid w:val="00283A88"/>
    <w:pPr>
      <w:ind w:left="1440"/>
    </w:pPr>
  </w:style>
  <w:style w:type="paragraph" w:styleId="60">
    <w:name w:val="toc 6"/>
    <w:basedOn w:val="a3"/>
    <w:next w:val="a3"/>
    <w:autoRedefine/>
    <w:rsid w:val="00283A88"/>
    <w:pPr>
      <w:ind w:left="1800"/>
    </w:pPr>
  </w:style>
  <w:style w:type="paragraph" w:styleId="70">
    <w:name w:val="toc 7"/>
    <w:basedOn w:val="a3"/>
    <w:next w:val="a3"/>
    <w:autoRedefine/>
    <w:rsid w:val="00283A88"/>
    <w:pPr>
      <w:ind w:left="2160"/>
    </w:pPr>
  </w:style>
  <w:style w:type="paragraph" w:styleId="80">
    <w:name w:val="toc 8"/>
    <w:basedOn w:val="a3"/>
    <w:next w:val="a3"/>
    <w:autoRedefine/>
    <w:rsid w:val="00283A88"/>
    <w:pPr>
      <w:ind w:left="2520"/>
    </w:pPr>
  </w:style>
  <w:style w:type="paragraph" w:styleId="90">
    <w:name w:val="toc 9"/>
    <w:basedOn w:val="a3"/>
    <w:next w:val="a3"/>
    <w:autoRedefine/>
    <w:rsid w:val="00283A88"/>
    <w:pPr>
      <w:ind w:left="2880"/>
    </w:pPr>
  </w:style>
  <w:style w:type="paragraph" w:styleId="aa">
    <w:name w:val="table of authorities"/>
    <w:basedOn w:val="a3"/>
    <w:next w:val="a3"/>
    <w:rsid w:val="00283A88"/>
    <w:pPr>
      <w:ind w:left="360" w:hanging="360"/>
    </w:pPr>
  </w:style>
  <w:style w:type="paragraph" w:styleId="ab">
    <w:name w:val="Document Map"/>
    <w:basedOn w:val="a3"/>
    <w:link w:val="Char0"/>
    <w:rsid w:val="00391A68"/>
    <w:pPr>
      <w:shd w:val="clear" w:color="auto" w:fill="000080"/>
    </w:pPr>
  </w:style>
  <w:style w:type="paragraph" w:styleId="ac">
    <w:name w:val="toa heading"/>
    <w:basedOn w:val="a3"/>
    <w:next w:val="a3"/>
    <w:rsid w:val="00283A88"/>
    <w:pPr>
      <w:spacing w:before="120"/>
    </w:pPr>
    <w:rPr>
      <w:rFonts w:ascii="Arial" w:hAnsi="Arial" w:cs="Arial"/>
      <w:b/>
      <w:bCs/>
      <w:sz w:val="24"/>
      <w:szCs w:val="24"/>
    </w:rPr>
  </w:style>
  <w:style w:type="paragraph" w:styleId="ad">
    <w:name w:val="index heading"/>
    <w:basedOn w:val="a3"/>
    <w:next w:val="Index1"/>
    <w:rsid w:val="00283A88"/>
    <w:rPr>
      <w:rFonts w:ascii="Arial" w:hAnsi="Arial" w:cs="Arial"/>
      <w:b/>
      <w:bCs/>
    </w:rPr>
  </w:style>
  <w:style w:type="character" w:styleId="Hyperlink">
    <w:name w:val="Hyperlink"/>
    <w:basedOn w:val="a4"/>
    <w:rsid w:val="00ED67F4"/>
    <w:rPr>
      <w:rFonts w:cs="Traditional Arabic"/>
      <w:color w:val="0000FF"/>
      <w:u w:val="single"/>
    </w:rPr>
  </w:style>
  <w:style w:type="character" w:styleId="ae">
    <w:name w:val="annotation reference"/>
    <w:basedOn w:val="a4"/>
    <w:rsid w:val="00283A88"/>
    <w:rPr>
      <w:sz w:val="16"/>
      <w:szCs w:val="16"/>
    </w:rPr>
  </w:style>
  <w:style w:type="character" w:styleId="af">
    <w:name w:val="endnote reference"/>
    <w:basedOn w:val="a4"/>
    <w:rsid w:val="00283A88"/>
    <w:rPr>
      <w:vertAlign w:val="superscript"/>
    </w:rPr>
  </w:style>
  <w:style w:type="paragraph" w:styleId="af0">
    <w:name w:val="footer"/>
    <w:aliases w:val="Footer"/>
    <w:basedOn w:val="a3"/>
    <w:link w:val="Char1"/>
    <w:rsid w:val="00EF121B"/>
    <w:pPr>
      <w:tabs>
        <w:tab w:val="center" w:pos="4153"/>
        <w:tab w:val="right" w:pos="8306"/>
      </w:tabs>
      <w:bidi w:val="0"/>
      <w:ind w:firstLine="0"/>
      <w:jc w:val="lowKashida"/>
    </w:pPr>
    <w:rPr>
      <w:sz w:val="20"/>
      <w:szCs w:val="20"/>
    </w:rPr>
  </w:style>
  <w:style w:type="character" w:styleId="af1">
    <w:name w:val="footnote reference"/>
    <w:basedOn w:val="a4"/>
    <w:rsid w:val="00283A88"/>
    <w:rPr>
      <w:vertAlign w:val="superscript"/>
    </w:rPr>
  </w:style>
  <w:style w:type="paragraph" w:styleId="af2">
    <w:name w:val="annotation text"/>
    <w:basedOn w:val="a3"/>
    <w:link w:val="Char2"/>
    <w:rsid w:val="00317273"/>
    <w:rPr>
      <w:sz w:val="20"/>
      <w:szCs w:val="28"/>
    </w:rPr>
  </w:style>
  <w:style w:type="paragraph" w:styleId="af3">
    <w:name w:val="annotation subject"/>
    <w:basedOn w:val="af2"/>
    <w:next w:val="af2"/>
    <w:link w:val="Char3"/>
    <w:rsid w:val="00283A88"/>
    <w:rPr>
      <w:b/>
      <w:bCs/>
    </w:rPr>
  </w:style>
  <w:style w:type="paragraph" w:styleId="af4">
    <w:name w:val="header"/>
    <w:basedOn w:val="a3"/>
    <w:link w:val="Char4"/>
    <w:rsid w:val="00EF121B"/>
    <w:pPr>
      <w:tabs>
        <w:tab w:val="center" w:pos="4153"/>
        <w:tab w:val="right" w:pos="8306"/>
      </w:tabs>
      <w:bidi w:val="0"/>
      <w:ind w:firstLine="0"/>
      <w:jc w:val="lowKashida"/>
    </w:pPr>
    <w:rPr>
      <w:sz w:val="20"/>
      <w:szCs w:val="20"/>
    </w:rPr>
  </w:style>
  <w:style w:type="paragraph" w:styleId="af5">
    <w:name w:val="caption"/>
    <w:basedOn w:val="a3"/>
    <w:next w:val="a3"/>
    <w:qFormat/>
    <w:rsid w:val="00283A88"/>
    <w:pPr>
      <w:widowControl/>
      <w:overflowPunct w:val="0"/>
      <w:autoSpaceDE w:val="0"/>
      <w:autoSpaceDN w:val="0"/>
      <w:adjustRightInd w:val="0"/>
      <w:spacing w:before="120" w:after="120"/>
      <w:ind w:firstLine="0"/>
      <w:jc w:val="left"/>
      <w:textAlignment w:val="baseline"/>
    </w:pPr>
    <w:rPr>
      <w:color w:val="auto"/>
    </w:rPr>
  </w:style>
  <w:style w:type="paragraph" w:styleId="af6">
    <w:name w:val="endnote text"/>
    <w:basedOn w:val="a3"/>
    <w:link w:val="Char5"/>
    <w:rsid w:val="00283A88"/>
    <w:rPr>
      <w:sz w:val="20"/>
      <w:szCs w:val="20"/>
    </w:rPr>
  </w:style>
  <w:style w:type="paragraph" w:styleId="af7">
    <w:name w:val="Balloon Text"/>
    <w:basedOn w:val="a3"/>
    <w:link w:val="Char6"/>
    <w:rsid w:val="00283A88"/>
    <w:rPr>
      <w:rFonts w:cs="Tahoma"/>
      <w:sz w:val="16"/>
      <w:szCs w:val="16"/>
    </w:rPr>
  </w:style>
  <w:style w:type="paragraph" w:styleId="af8">
    <w:name w:val="macro"/>
    <w:link w:val="Char7"/>
    <w:rsid w:val="00283A88"/>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16">
    <w:name w:val="نمط حرفي 1"/>
    <w:rsid w:val="00283A88"/>
    <w:rPr>
      <w:rFonts w:cs="Times New Roman"/>
      <w:szCs w:val="40"/>
    </w:rPr>
  </w:style>
  <w:style w:type="character" w:customStyle="1" w:styleId="21">
    <w:name w:val="نمط حرفي 2"/>
    <w:rsid w:val="00283A88"/>
    <w:rPr>
      <w:rFonts w:ascii="Times New Roman" w:hAnsi="Times New Roman" w:cs="Times New Roman"/>
      <w:sz w:val="40"/>
      <w:szCs w:val="40"/>
    </w:rPr>
  </w:style>
  <w:style w:type="character" w:customStyle="1" w:styleId="31">
    <w:name w:val="نمط حرفي 3"/>
    <w:rsid w:val="00283A88"/>
    <w:rPr>
      <w:rFonts w:ascii="Times New Roman" w:hAnsi="Times New Roman" w:cs="Times New Roman"/>
      <w:sz w:val="40"/>
      <w:szCs w:val="40"/>
    </w:rPr>
  </w:style>
  <w:style w:type="character" w:customStyle="1" w:styleId="51">
    <w:name w:val="نمط حرفي 5"/>
    <w:rsid w:val="00283A88"/>
    <w:rPr>
      <w:rFonts w:cs="Times New Roman"/>
      <w:szCs w:val="40"/>
    </w:rPr>
  </w:style>
  <w:style w:type="character" w:customStyle="1" w:styleId="41">
    <w:name w:val="نمط حرفي 4"/>
    <w:rsid w:val="00283A88"/>
    <w:rPr>
      <w:rFonts w:cs="Times New Roman"/>
      <w:szCs w:val="40"/>
    </w:rPr>
  </w:style>
  <w:style w:type="character" w:styleId="af9">
    <w:name w:val="page number"/>
    <w:basedOn w:val="a4"/>
    <w:rsid w:val="00EF121B"/>
  </w:style>
  <w:style w:type="paragraph" w:styleId="afa">
    <w:name w:val="Body Text"/>
    <w:basedOn w:val="a3"/>
    <w:link w:val="Char8"/>
    <w:rsid w:val="00434476"/>
    <w:pPr>
      <w:spacing w:after="120"/>
      <w:ind w:firstLine="0"/>
      <w:jc w:val="mediumKashida"/>
    </w:pPr>
    <w:rPr>
      <w:sz w:val="24"/>
      <w:lang w:val="fr-FR"/>
    </w:rPr>
  </w:style>
  <w:style w:type="paragraph" w:styleId="afb">
    <w:name w:val="Block Text"/>
    <w:basedOn w:val="a3"/>
    <w:rsid w:val="00EF121B"/>
    <w:pPr>
      <w:ind w:left="566" w:hanging="566"/>
      <w:jc w:val="lowKashida"/>
    </w:pPr>
    <w:rPr>
      <w:sz w:val="18"/>
      <w:szCs w:val="30"/>
    </w:rPr>
  </w:style>
  <w:style w:type="paragraph" w:customStyle="1" w:styleId="17">
    <w:name w:val="نمط إضافي 1"/>
    <w:basedOn w:val="a3"/>
    <w:next w:val="a3"/>
    <w:rsid w:val="00EF121B"/>
    <w:pPr>
      <w:ind w:firstLine="0"/>
      <w:jc w:val="left"/>
    </w:pPr>
    <w:rPr>
      <w:rFonts w:cs="Andalus"/>
      <w:color w:val="0000FF"/>
      <w:szCs w:val="40"/>
    </w:rPr>
  </w:style>
  <w:style w:type="paragraph" w:customStyle="1" w:styleId="22">
    <w:name w:val="نمط إضافي 2"/>
    <w:basedOn w:val="a3"/>
    <w:next w:val="a3"/>
    <w:rsid w:val="00EF121B"/>
    <w:pPr>
      <w:ind w:firstLine="0"/>
      <w:jc w:val="left"/>
    </w:pPr>
    <w:rPr>
      <w:rFonts w:cs="Monotype Koufi"/>
      <w:bCs/>
      <w:color w:val="008000"/>
      <w:szCs w:val="44"/>
    </w:rPr>
  </w:style>
  <w:style w:type="paragraph" w:customStyle="1" w:styleId="32">
    <w:name w:val="نمط إضافي 3"/>
    <w:basedOn w:val="a3"/>
    <w:next w:val="a3"/>
    <w:rsid w:val="00EF121B"/>
    <w:pPr>
      <w:ind w:firstLine="0"/>
      <w:jc w:val="left"/>
    </w:pPr>
    <w:rPr>
      <w:rFonts w:cs="Tahoma"/>
      <w:color w:val="800080"/>
    </w:rPr>
  </w:style>
  <w:style w:type="paragraph" w:customStyle="1" w:styleId="42">
    <w:name w:val="نمط إضافي 4"/>
    <w:basedOn w:val="a3"/>
    <w:next w:val="a3"/>
    <w:rsid w:val="00EF121B"/>
    <w:pPr>
      <w:ind w:firstLine="0"/>
      <w:jc w:val="left"/>
    </w:pPr>
    <w:rPr>
      <w:rFonts w:cs="Simplified Arabic Fixed"/>
      <w:color w:val="FF6600"/>
      <w:sz w:val="44"/>
    </w:rPr>
  </w:style>
  <w:style w:type="paragraph" w:customStyle="1" w:styleId="52">
    <w:name w:val="نمط إضافي 5"/>
    <w:basedOn w:val="a3"/>
    <w:next w:val="a3"/>
    <w:rsid w:val="00EF121B"/>
    <w:pPr>
      <w:ind w:firstLine="0"/>
      <w:jc w:val="left"/>
    </w:pPr>
    <w:rPr>
      <w:rFonts w:cs="DecoType Naskh"/>
      <w:color w:val="3366FF"/>
      <w:szCs w:val="44"/>
    </w:rPr>
  </w:style>
  <w:style w:type="numbering" w:customStyle="1" w:styleId="a1">
    <w:name w:val="ترقيم جدول"/>
    <w:basedOn w:val="a6"/>
    <w:rsid w:val="00A00840"/>
    <w:pPr>
      <w:numPr>
        <w:numId w:val="4"/>
      </w:numPr>
    </w:pPr>
  </w:style>
  <w:style w:type="character" w:customStyle="1" w:styleId="Char">
    <w:name w:val="نص حاشية سفلية Char"/>
    <w:basedOn w:val="a4"/>
    <w:link w:val="a7"/>
    <w:rsid w:val="007C1BFD"/>
    <w:rPr>
      <w:rFonts w:cs="Traditional Arabic"/>
      <w:noProof/>
      <w:color w:val="000000"/>
      <w:sz w:val="28"/>
      <w:szCs w:val="28"/>
      <w:lang w:eastAsia="ar-SA"/>
    </w:rPr>
  </w:style>
  <w:style w:type="paragraph" w:styleId="afc">
    <w:name w:val="List Paragraph"/>
    <w:basedOn w:val="a3"/>
    <w:uiPriority w:val="34"/>
    <w:qFormat/>
    <w:rsid w:val="001F1D88"/>
    <w:pPr>
      <w:ind w:left="720"/>
      <w:contextualSpacing/>
    </w:pPr>
  </w:style>
  <w:style w:type="character" w:customStyle="1" w:styleId="Char1">
    <w:name w:val="تذييل صفحة Char"/>
    <w:aliases w:val="Footer Char"/>
    <w:basedOn w:val="a4"/>
    <w:link w:val="af0"/>
    <w:uiPriority w:val="99"/>
    <w:rsid w:val="00554068"/>
    <w:rPr>
      <w:rFonts w:cs="Traditional Arabic"/>
      <w:noProof/>
      <w:color w:val="000000"/>
      <w:lang w:eastAsia="ar-SA"/>
    </w:rPr>
  </w:style>
  <w:style w:type="character" w:customStyle="1" w:styleId="1Char">
    <w:name w:val="عنوان 1 Char"/>
    <w:basedOn w:val="a4"/>
    <w:link w:val="1"/>
    <w:rsid w:val="00772749"/>
    <w:rPr>
      <w:rFonts w:cs="Traditional Arabic"/>
      <w:b/>
      <w:bCs/>
      <w:noProof/>
      <w:color w:val="000000"/>
      <w:kern w:val="32"/>
      <w:sz w:val="32"/>
      <w:szCs w:val="44"/>
      <w:lang w:eastAsia="ar-SA"/>
    </w:rPr>
  </w:style>
  <w:style w:type="character" w:customStyle="1" w:styleId="2Char">
    <w:name w:val="عنوان 2 Char"/>
    <w:basedOn w:val="a4"/>
    <w:link w:val="2"/>
    <w:rsid w:val="00B276C1"/>
    <w:rPr>
      <w:rFonts w:ascii="Arial" w:hAnsi="Arial" w:cs="Arial"/>
      <w:b/>
      <w:bCs/>
      <w:i/>
      <w:iCs/>
      <w:noProof/>
      <w:color w:val="000000"/>
      <w:sz w:val="28"/>
      <w:szCs w:val="28"/>
      <w:lang w:eastAsia="ar-SA"/>
    </w:rPr>
  </w:style>
  <w:style w:type="character" w:customStyle="1" w:styleId="3Char">
    <w:name w:val="عنوان 3 Char"/>
    <w:basedOn w:val="a4"/>
    <w:link w:val="3"/>
    <w:rsid w:val="00B276C1"/>
    <w:rPr>
      <w:rFonts w:ascii="Arial" w:hAnsi="Arial" w:cs="Arial"/>
      <w:b/>
      <w:bCs/>
      <w:noProof/>
      <w:color w:val="000000"/>
      <w:sz w:val="26"/>
      <w:szCs w:val="26"/>
      <w:lang w:eastAsia="ar-SA"/>
    </w:rPr>
  </w:style>
  <w:style w:type="character" w:customStyle="1" w:styleId="4Char">
    <w:name w:val="عنوان 4 Char"/>
    <w:basedOn w:val="a4"/>
    <w:link w:val="4"/>
    <w:rsid w:val="00B276C1"/>
    <w:rPr>
      <w:b/>
      <w:bCs/>
      <w:noProof/>
      <w:color w:val="000000"/>
      <w:sz w:val="28"/>
      <w:szCs w:val="28"/>
      <w:lang w:eastAsia="ar-SA"/>
    </w:rPr>
  </w:style>
  <w:style w:type="character" w:customStyle="1" w:styleId="5Char">
    <w:name w:val="عنوان 5 Char"/>
    <w:basedOn w:val="a4"/>
    <w:link w:val="5"/>
    <w:rsid w:val="00C07A7C"/>
    <w:rPr>
      <w:rFonts w:ascii="Tahoma" w:hAnsi="Tahoma" w:cs="Traditional Arabic"/>
      <w:b/>
      <w:bCs/>
      <w:i/>
      <w:iCs/>
      <w:noProof/>
      <w:color w:val="000000"/>
      <w:sz w:val="26"/>
      <w:szCs w:val="26"/>
      <w:lang w:eastAsia="ar-SA"/>
    </w:rPr>
  </w:style>
  <w:style w:type="character" w:customStyle="1" w:styleId="6Char">
    <w:name w:val="عنوان 6 Char"/>
    <w:basedOn w:val="a4"/>
    <w:link w:val="6"/>
    <w:rsid w:val="00B276C1"/>
    <w:rPr>
      <w:b/>
      <w:bCs/>
      <w:noProof/>
      <w:color w:val="000000"/>
      <w:sz w:val="22"/>
      <w:szCs w:val="22"/>
      <w:lang w:eastAsia="ar-SA"/>
    </w:rPr>
  </w:style>
  <w:style w:type="character" w:customStyle="1" w:styleId="7Char">
    <w:name w:val="عنوان 7 Char"/>
    <w:basedOn w:val="a4"/>
    <w:link w:val="7"/>
    <w:rsid w:val="00B276C1"/>
    <w:rPr>
      <w:noProof/>
      <w:color w:val="000000"/>
      <w:sz w:val="24"/>
      <w:szCs w:val="24"/>
      <w:lang w:eastAsia="ar-SA"/>
    </w:rPr>
  </w:style>
  <w:style w:type="character" w:customStyle="1" w:styleId="8Char">
    <w:name w:val="عنوان 8 Char"/>
    <w:basedOn w:val="a4"/>
    <w:link w:val="8"/>
    <w:rsid w:val="00B276C1"/>
    <w:rPr>
      <w:i/>
      <w:iCs/>
      <w:noProof/>
      <w:color w:val="000000"/>
      <w:sz w:val="24"/>
      <w:szCs w:val="24"/>
      <w:lang w:eastAsia="ar-SA"/>
    </w:rPr>
  </w:style>
  <w:style w:type="character" w:customStyle="1" w:styleId="9Char">
    <w:name w:val="عنوان 9 Char"/>
    <w:basedOn w:val="a4"/>
    <w:link w:val="9"/>
    <w:rsid w:val="00B276C1"/>
    <w:rPr>
      <w:rFonts w:ascii="Arial" w:hAnsi="Arial" w:cs="Arial"/>
      <w:noProof/>
      <w:color w:val="000000"/>
      <w:sz w:val="22"/>
      <w:szCs w:val="22"/>
      <w:lang w:eastAsia="ar-SA"/>
    </w:rPr>
  </w:style>
  <w:style w:type="character" w:customStyle="1" w:styleId="Char0">
    <w:name w:val="خريطة مستند Char"/>
    <w:basedOn w:val="a4"/>
    <w:link w:val="ab"/>
    <w:rsid w:val="00B276C1"/>
    <w:rPr>
      <w:rFonts w:cs="Traditional Arabic"/>
      <w:noProof/>
      <w:color w:val="000000"/>
      <w:sz w:val="36"/>
      <w:szCs w:val="36"/>
      <w:shd w:val="clear" w:color="auto" w:fill="000080"/>
      <w:lang w:eastAsia="ar-SA"/>
    </w:rPr>
  </w:style>
  <w:style w:type="character" w:customStyle="1" w:styleId="Char2">
    <w:name w:val="نص تعليق Char"/>
    <w:basedOn w:val="a4"/>
    <w:link w:val="af2"/>
    <w:rsid w:val="00B276C1"/>
    <w:rPr>
      <w:rFonts w:cs="Traditional Arabic"/>
      <w:noProof/>
      <w:color w:val="000000"/>
      <w:szCs w:val="28"/>
      <w:lang w:eastAsia="ar-SA"/>
    </w:rPr>
  </w:style>
  <w:style w:type="character" w:customStyle="1" w:styleId="Char3">
    <w:name w:val="موضوع تعليق Char"/>
    <w:basedOn w:val="Char2"/>
    <w:link w:val="af3"/>
    <w:rsid w:val="00B276C1"/>
    <w:rPr>
      <w:rFonts w:cs="Traditional Arabic"/>
      <w:b/>
      <w:bCs/>
      <w:noProof/>
      <w:color w:val="000000"/>
      <w:szCs w:val="28"/>
      <w:lang w:eastAsia="ar-SA"/>
    </w:rPr>
  </w:style>
  <w:style w:type="character" w:customStyle="1" w:styleId="Char4">
    <w:name w:val="رأس صفحة Char"/>
    <w:basedOn w:val="a4"/>
    <w:link w:val="af4"/>
    <w:rsid w:val="00B276C1"/>
    <w:rPr>
      <w:rFonts w:cs="Traditional Arabic"/>
      <w:noProof/>
      <w:color w:val="000000"/>
      <w:lang w:eastAsia="ar-SA"/>
    </w:rPr>
  </w:style>
  <w:style w:type="character" w:customStyle="1" w:styleId="Char5">
    <w:name w:val="نص تعليق ختامي Char"/>
    <w:basedOn w:val="a4"/>
    <w:link w:val="af6"/>
    <w:rsid w:val="00B276C1"/>
    <w:rPr>
      <w:rFonts w:cs="Traditional Arabic"/>
      <w:noProof/>
      <w:color w:val="000000"/>
      <w:lang w:eastAsia="ar-SA"/>
    </w:rPr>
  </w:style>
  <w:style w:type="character" w:customStyle="1" w:styleId="Char6">
    <w:name w:val="نص في بالون Char"/>
    <w:basedOn w:val="a4"/>
    <w:link w:val="af7"/>
    <w:rsid w:val="00B276C1"/>
    <w:rPr>
      <w:rFonts w:cs="Tahoma"/>
      <w:noProof/>
      <w:color w:val="000000"/>
      <w:sz w:val="16"/>
      <w:szCs w:val="16"/>
      <w:lang w:eastAsia="ar-SA"/>
    </w:rPr>
  </w:style>
  <w:style w:type="character" w:customStyle="1" w:styleId="Char7">
    <w:name w:val="نص ماكرو Char"/>
    <w:basedOn w:val="a4"/>
    <w:link w:val="af8"/>
    <w:rsid w:val="00B276C1"/>
    <w:rPr>
      <w:rFonts w:ascii="Courier New" w:hAnsi="Courier New" w:cs="Courier New"/>
      <w:color w:val="000000"/>
      <w:lang w:eastAsia="ar-SA"/>
    </w:rPr>
  </w:style>
  <w:style w:type="character" w:customStyle="1" w:styleId="Char8">
    <w:name w:val="نص أساسي Char"/>
    <w:basedOn w:val="a4"/>
    <w:link w:val="afa"/>
    <w:rsid w:val="00B276C1"/>
    <w:rPr>
      <w:rFonts w:cs="Traditional Arabic"/>
      <w:noProof/>
      <w:color w:val="000000"/>
      <w:sz w:val="24"/>
      <w:szCs w:val="36"/>
      <w:lang w:val="fr-FR" w:eastAsia="ar-SA"/>
    </w:rPr>
  </w:style>
  <w:style w:type="paragraph" w:styleId="afd">
    <w:name w:val="Body Text Indent"/>
    <w:basedOn w:val="a3"/>
    <w:link w:val="Char9"/>
    <w:rsid w:val="00B276C1"/>
    <w:pPr>
      <w:widowControl/>
      <w:spacing w:line="540" w:lineRule="exact"/>
      <w:ind w:firstLine="431"/>
      <w:jc w:val="lowKashida"/>
    </w:pPr>
    <w:rPr>
      <w:noProof w:val="0"/>
      <w:sz w:val="30"/>
      <w:szCs w:val="30"/>
    </w:rPr>
  </w:style>
  <w:style w:type="character" w:customStyle="1" w:styleId="Char9">
    <w:name w:val="نص أساسي بمسافة بادئة Char"/>
    <w:basedOn w:val="a4"/>
    <w:link w:val="afd"/>
    <w:rsid w:val="00B276C1"/>
    <w:rPr>
      <w:rFonts w:cs="Traditional Arabic"/>
      <w:color w:val="000000"/>
      <w:sz w:val="30"/>
      <w:szCs w:val="30"/>
      <w:lang w:eastAsia="ar-SA"/>
    </w:rPr>
  </w:style>
  <w:style w:type="paragraph" w:styleId="afe">
    <w:name w:val="Plain Text"/>
    <w:basedOn w:val="a3"/>
    <w:link w:val="Chara"/>
    <w:rsid w:val="00B276C1"/>
    <w:pPr>
      <w:widowControl/>
      <w:bidi w:val="0"/>
      <w:ind w:firstLine="0"/>
      <w:jc w:val="left"/>
    </w:pPr>
    <w:rPr>
      <w:rFonts w:ascii="Courier New" w:hAnsi="Courier New" w:cs="Courier New"/>
      <w:noProof w:val="0"/>
      <w:color w:val="auto"/>
      <w:sz w:val="20"/>
      <w:szCs w:val="20"/>
      <w:lang w:eastAsia="en-US"/>
    </w:rPr>
  </w:style>
  <w:style w:type="character" w:customStyle="1" w:styleId="Chara">
    <w:name w:val="نص عادي Char"/>
    <w:basedOn w:val="a4"/>
    <w:link w:val="afe"/>
    <w:rsid w:val="00B276C1"/>
    <w:rPr>
      <w:rFonts w:ascii="Courier New" w:hAnsi="Courier New" w:cs="Courier New"/>
    </w:rPr>
  </w:style>
  <w:style w:type="table" w:styleId="aff">
    <w:name w:val="Table Grid"/>
    <w:basedOn w:val="a5"/>
    <w:rsid w:val="00B276C1"/>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فصل"/>
    <w:basedOn w:val="2"/>
    <w:link w:val="Car"/>
    <w:qFormat/>
    <w:rsid w:val="00FB0118"/>
    <w:pPr>
      <w:keepLines/>
      <w:pageBreakBefore/>
      <w:pBdr>
        <w:top w:val="threeDEmboss" w:sz="48" w:space="1" w:color="auto"/>
        <w:left w:val="threeDEmboss" w:sz="48" w:space="4" w:color="auto"/>
        <w:bottom w:val="threeDEngrave" w:sz="48" w:space="1" w:color="auto"/>
        <w:right w:val="threeDEngrave" w:sz="48" w:space="4" w:color="auto"/>
      </w:pBdr>
      <w:bidi/>
      <w:spacing w:before="480" w:after="2040"/>
      <w:jc w:val="center"/>
    </w:pPr>
    <w:rPr>
      <w:rFonts w:cs="Traditional Arabic"/>
      <w:i w:val="0"/>
      <w:iCs w:val="0"/>
      <w:szCs w:val="40"/>
    </w:rPr>
  </w:style>
  <w:style w:type="paragraph" w:customStyle="1" w:styleId="aff1">
    <w:name w:val="باب"/>
    <w:basedOn w:val="1"/>
    <w:link w:val="Car0"/>
    <w:autoRedefine/>
    <w:qFormat/>
    <w:rsid w:val="00575CAE"/>
    <w:pPr>
      <w:keepLines/>
      <w:pBdr>
        <w:top w:val="threeDEmboss" w:sz="48" w:space="1" w:color="auto"/>
        <w:left w:val="threeDEmboss" w:sz="48" w:space="4" w:color="auto"/>
        <w:bottom w:val="threeDEngrave" w:sz="48" w:space="1" w:color="auto"/>
        <w:right w:val="threeDEngrave" w:sz="48" w:space="4" w:color="auto"/>
      </w:pBdr>
      <w:bidi/>
      <w:spacing w:after="1080"/>
      <w:ind w:left="1134" w:right="1134"/>
      <w:jc w:val="center"/>
    </w:pPr>
    <w:rPr>
      <w:rFonts w:cs="Andalus"/>
      <w:szCs w:val="56"/>
    </w:rPr>
  </w:style>
  <w:style w:type="character" w:customStyle="1" w:styleId="Car">
    <w:name w:val="فصل Car"/>
    <w:basedOn w:val="2Char"/>
    <w:link w:val="aff0"/>
    <w:rsid w:val="00FB0118"/>
    <w:rPr>
      <w:rFonts w:ascii="Arial" w:hAnsi="Arial" w:cs="Traditional Arabic"/>
      <w:b/>
      <w:bCs/>
      <w:i w:val="0"/>
      <w:iCs w:val="0"/>
      <w:noProof/>
      <w:color w:val="000000"/>
      <w:sz w:val="28"/>
      <w:szCs w:val="40"/>
      <w:lang w:eastAsia="ar-SA"/>
    </w:rPr>
  </w:style>
  <w:style w:type="paragraph" w:customStyle="1" w:styleId="aff2">
    <w:name w:val="مبحث"/>
    <w:basedOn w:val="3"/>
    <w:link w:val="Car1"/>
    <w:autoRedefine/>
    <w:qFormat/>
    <w:rsid w:val="000F5C0F"/>
    <w:pPr>
      <w:keepLines/>
      <w:pageBreakBefore/>
      <w:pBdr>
        <w:bottom w:val="threeDEmboss" w:sz="48" w:space="1" w:color="auto"/>
      </w:pBdr>
      <w:bidi/>
      <w:spacing w:after="480"/>
      <w:jc w:val="center"/>
    </w:pPr>
    <w:rPr>
      <w:rFonts w:cs="Traditional Arabic"/>
      <w:sz w:val="38"/>
      <w:szCs w:val="38"/>
      <w:lang w:val="fr-FR" w:eastAsia="fr-FR"/>
    </w:rPr>
  </w:style>
  <w:style w:type="character" w:customStyle="1" w:styleId="Car0">
    <w:name w:val="باب Car"/>
    <w:basedOn w:val="1Char"/>
    <w:link w:val="aff1"/>
    <w:rsid w:val="00575CAE"/>
    <w:rPr>
      <w:rFonts w:cs="Andalus"/>
      <w:b/>
      <w:bCs/>
      <w:noProof/>
      <w:color w:val="000000"/>
      <w:kern w:val="32"/>
      <w:sz w:val="32"/>
      <w:szCs w:val="56"/>
      <w:lang w:eastAsia="ar-SA"/>
    </w:rPr>
  </w:style>
  <w:style w:type="paragraph" w:customStyle="1" w:styleId="aff3">
    <w:name w:val="مطلب"/>
    <w:basedOn w:val="4"/>
    <w:link w:val="Car2"/>
    <w:autoRedefine/>
    <w:qFormat/>
    <w:rsid w:val="00A8347C"/>
    <w:pPr>
      <w:bidi/>
      <w:spacing w:before="480" w:after="360"/>
      <w:ind w:right="1701"/>
    </w:pPr>
    <w:rPr>
      <w:rFonts w:ascii="Traditional Arabic" w:hAnsi="Traditional Arabic" w:cs="Traditional Arabic"/>
      <w:color w:val="auto"/>
      <w:sz w:val="36"/>
      <w:szCs w:val="36"/>
      <w:lang w:eastAsia="en-US"/>
    </w:rPr>
  </w:style>
  <w:style w:type="character" w:customStyle="1" w:styleId="Car1">
    <w:name w:val="مبحث Car"/>
    <w:basedOn w:val="3Char"/>
    <w:link w:val="aff2"/>
    <w:rsid w:val="000F5C0F"/>
    <w:rPr>
      <w:rFonts w:ascii="Arial" w:hAnsi="Arial" w:cs="Traditional Arabic"/>
      <w:b/>
      <w:bCs/>
      <w:noProof/>
      <w:color w:val="000000"/>
      <w:sz w:val="38"/>
      <w:szCs w:val="38"/>
      <w:lang w:val="fr-FR" w:eastAsia="fr-FR"/>
    </w:rPr>
  </w:style>
  <w:style w:type="paragraph" w:customStyle="1" w:styleId="53">
    <w:name w:val="عنوان5"/>
    <w:basedOn w:val="5"/>
    <w:link w:val="5Car"/>
    <w:qFormat/>
    <w:rsid w:val="00597C20"/>
    <w:pPr>
      <w:bidi/>
      <w:jc w:val="left"/>
    </w:pPr>
    <w:rPr>
      <w:rFonts w:asciiTheme="majorBidi" w:hAnsiTheme="majorBidi"/>
      <w:i w:val="0"/>
      <w:iCs w:val="0"/>
      <w:sz w:val="36"/>
      <w:szCs w:val="36"/>
      <w:lang w:eastAsia="en-US"/>
    </w:rPr>
  </w:style>
  <w:style w:type="character" w:customStyle="1" w:styleId="Car2">
    <w:name w:val="مطلب Car"/>
    <w:basedOn w:val="4Char"/>
    <w:link w:val="aff3"/>
    <w:rsid w:val="00A8347C"/>
    <w:rPr>
      <w:rFonts w:ascii="Traditional Arabic" w:hAnsi="Traditional Arabic" w:cs="Traditional Arabic"/>
      <w:b/>
      <w:bCs/>
      <w:sz w:val="36"/>
      <w:szCs w:val="36"/>
    </w:rPr>
  </w:style>
  <w:style w:type="character" w:styleId="aff4">
    <w:name w:val="Placeholder Text"/>
    <w:basedOn w:val="a4"/>
    <w:uiPriority w:val="99"/>
    <w:semiHidden/>
    <w:rsid w:val="0094686D"/>
    <w:rPr>
      <w:color w:val="808080"/>
    </w:rPr>
  </w:style>
  <w:style w:type="character" w:customStyle="1" w:styleId="5Car">
    <w:name w:val="عنوان5 Car"/>
    <w:basedOn w:val="5Char"/>
    <w:link w:val="53"/>
    <w:rsid w:val="00597C20"/>
    <w:rPr>
      <w:rFonts w:asciiTheme="majorBidi" w:hAnsiTheme="majorBidi" w:cs="Traditional Arabic"/>
      <w:b/>
      <w:bCs/>
      <w:i w:val="0"/>
      <w:iCs w:val="0"/>
      <w:noProof/>
      <w:color w:val="000000"/>
      <w:sz w:val="36"/>
      <w:szCs w:val="36"/>
      <w:lang w:eastAsia="ar-SA"/>
    </w:rPr>
  </w:style>
  <w:style w:type="paragraph" w:customStyle="1" w:styleId="61">
    <w:name w:val="عنوان6"/>
    <w:basedOn w:val="6"/>
    <w:link w:val="6Car"/>
    <w:qFormat/>
    <w:rsid w:val="00597C20"/>
    <w:pPr>
      <w:keepNext/>
      <w:bidi/>
    </w:pPr>
    <w:rPr>
      <w:rFonts w:cs="Traditional Arabic"/>
      <w:sz w:val="32"/>
      <w:szCs w:val="36"/>
    </w:rPr>
  </w:style>
  <w:style w:type="paragraph" w:customStyle="1" w:styleId="71">
    <w:name w:val="عنوان7"/>
    <w:basedOn w:val="7"/>
    <w:link w:val="7Car"/>
    <w:qFormat/>
    <w:rsid w:val="00597C20"/>
    <w:pPr>
      <w:keepNext/>
      <w:bidi/>
    </w:pPr>
    <w:rPr>
      <w:rFonts w:cs="Traditional Arabic"/>
      <w:b/>
      <w:bCs/>
      <w:sz w:val="32"/>
      <w:szCs w:val="36"/>
    </w:rPr>
  </w:style>
  <w:style w:type="character" w:customStyle="1" w:styleId="6Car">
    <w:name w:val="عنوان6 Car"/>
    <w:basedOn w:val="6Char"/>
    <w:link w:val="61"/>
    <w:rsid w:val="00597C20"/>
    <w:rPr>
      <w:rFonts w:cs="Traditional Arabic"/>
      <w:b/>
      <w:bCs/>
      <w:noProof/>
      <w:color w:val="000000"/>
      <w:sz w:val="32"/>
      <w:szCs w:val="36"/>
      <w:lang w:eastAsia="ar-SA"/>
    </w:rPr>
  </w:style>
  <w:style w:type="character" w:customStyle="1" w:styleId="7Car">
    <w:name w:val="عنوان7 Car"/>
    <w:basedOn w:val="7Char"/>
    <w:link w:val="71"/>
    <w:rsid w:val="00597C20"/>
    <w:rPr>
      <w:rFonts w:cs="Traditional Arabic"/>
      <w:b/>
      <w:bCs/>
      <w:noProof/>
      <w:color w:val="000000"/>
      <w:sz w:val="32"/>
      <w:szCs w:val="36"/>
      <w:lang w:eastAsia="ar-SA"/>
    </w:rPr>
  </w:style>
  <w:style w:type="character" w:styleId="aff5">
    <w:name w:val="Emphasis"/>
    <w:basedOn w:val="a4"/>
    <w:qFormat/>
    <w:rsid w:val="00B2290D"/>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75CB4-A2F1-41C0-B5FB-340E05B80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695</Pages>
  <Words>90014</Words>
  <Characters>513086</Characters>
  <Application>Microsoft Office Word</Application>
  <DocSecurity>0</DocSecurity>
  <Lines>4275</Lines>
  <Paragraphs>1203</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القواعد والضوابط الفقهية عند الشيخ ابن العثيمين –رحمه الله- في المعاملات من الشرح الممتع، جمعا ودراسة</vt:lpstr>
      <vt:lpstr>القواعد والضوابط الفقهية عند الشيخ ابن العثيمين –رحمه الله- في المعاملات من الشرح الممتع، جمعا ودراسة</vt:lpstr>
    </vt:vector>
  </TitlesOfParts>
  <Company>مسجد الرحمة</Company>
  <LinksUpToDate>false</LinksUpToDate>
  <CharactersWithSpaces>601897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القواعد والضوابط الفقهية عند الشيخ ابن العثيمين –رحمه الله- في المعاملات من الشرح الممتع، جمعا ودراسة</dc:title>
  <dc:creator>Chekroun Athmane</dc:creator>
  <cp:lastModifiedBy>user</cp:lastModifiedBy>
  <cp:revision>40</cp:revision>
  <cp:lastPrinted>2013-02-06T07:19:00Z</cp:lastPrinted>
  <dcterms:created xsi:type="dcterms:W3CDTF">2013-01-30T16:16:00Z</dcterms:created>
  <dcterms:modified xsi:type="dcterms:W3CDTF">2013-02-09T08:57:00Z</dcterms:modified>
</cp:coreProperties>
</file>